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ink/ink1.xml" ContentType="application/inkml+xml"/>
  <Override PartName="/word/ink/ink2.xml" ContentType="application/inkml+xml"/>
  <Override PartName="/word/ink/ink3.xml" ContentType="application/inkml+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A3F33B" w14:textId="77777777" w:rsidR="0076699A" w:rsidRDefault="0076699A" w:rsidP="00FB22FD">
      <w:pPr>
        <w:pStyle w:val="StandardText"/>
        <w:jc w:val="center"/>
        <w:rPr>
          <w:b/>
          <w:color w:val="4472C4" w:themeColor="accent5"/>
          <w:sz w:val="72"/>
          <w:szCs w:val="72"/>
        </w:rPr>
      </w:pPr>
    </w:p>
    <w:p w14:paraId="1FB6CBFE" w14:textId="77777777" w:rsidR="00FB22FD" w:rsidRPr="00DD4A5A" w:rsidRDefault="00FB22FD" w:rsidP="00FB22FD">
      <w:pPr>
        <w:pStyle w:val="StandardText"/>
        <w:jc w:val="center"/>
        <w:rPr>
          <w:b/>
          <w:sz w:val="72"/>
          <w:szCs w:val="72"/>
        </w:rPr>
      </w:pPr>
      <w:r w:rsidRPr="00DD4A5A">
        <w:rPr>
          <w:b/>
          <w:sz w:val="72"/>
          <w:szCs w:val="72"/>
        </w:rPr>
        <w:t>Glossar</w:t>
      </w:r>
    </w:p>
    <w:p w14:paraId="42BC9389" w14:textId="77777777" w:rsidR="00FB22FD" w:rsidRPr="00DD4A5A" w:rsidRDefault="00FB22FD" w:rsidP="00FB22FD">
      <w:pPr>
        <w:pStyle w:val="StandardText"/>
        <w:jc w:val="center"/>
        <w:rPr>
          <w:b/>
          <w:szCs w:val="24"/>
        </w:rPr>
      </w:pPr>
    </w:p>
    <w:p w14:paraId="5774B474" w14:textId="77777777" w:rsidR="00FB22FD" w:rsidRPr="00DD4A5A" w:rsidRDefault="00FB22FD" w:rsidP="00FB22FD">
      <w:pPr>
        <w:pStyle w:val="StandardText"/>
        <w:jc w:val="center"/>
        <w:rPr>
          <w:sz w:val="56"/>
          <w:szCs w:val="56"/>
        </w:rPr>
      </w:pPr>
      <w:r w:rsidRPr="00DD4A5A">
        <w:rPr>
          <w:b/>
          <w:sz w:val="56"/>
          <w:szCs w:val="56"/>
        </w:rPr>
        <w:t>zu</w:t>
      </w:r>
    </w:p>
    <w:p w14:paraId="333B9D22" w14:textId="77777777" w:rsidR="00FB22FD" w:rsidRPr="00E73F6F" w:rsidRDefault="00FB22FD" w:rsidP="00FB22FD">
      <w:pPr>
        <w:rPr>
          <w:sz w:val="24"/>
          <w:szCs w:val="24"/>
        </w:rPr>
      </w:pPr>
    </w:p>
    <w:p w14:paraId="1107F6C6" w14:textId="77777777" w:rsidR="00FB22FD" w:rsidRPr="00E73F6F" w:rsidRDefault="00FB22FD" w:rsidP="00FB22FD">
      <w:pPr>
        <w:pStyle w:val="StandardText"/>
        <w:jc w:val="center"/>
      </w:pPr>
    </w:p>
    <w:p w14:paraId="7992C01A" w14:textId="77777777" w:rsidR="00FB22FD" w:rsidRDefault="008D49C6" w:rsidP="00FB22FD">
      <w:pPr>
        <w:pStyle w:val="StandardText"/>
        <w:jc w:val="left"/>
      </w:pPr>
      <w:r w:rsidRPr="00E73F6F">
        <w:rPr>
          <w:noProof/>
        </w:rPr>
        <w:drawing>
          <wp:inline distT="0" distB="0" distL="0" distR="0" wp14:anchorId="47B25669" wp14:editId="5B225976">
            <wp:extent cx="5973417" cy="4885796"/>
            <wp:effectExtent l="0" t="0" r="8890" b="0"/>
            <wp:docPr id="2297107" name="Grafik 2297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80494" cy="4891584"/>
                    </a:xfrm>
                    <a:prstGeom prst="rect">
                      <a:avLst/>
                    </a:prstGeom>
                    <a:noFill/>
                  </pic:spPr>
                </pic:pic>
              </a:graphicData>
            </a:graphic>
          </wp:inline>
        </w:drawing>
      </w:r>
    </w:p>
    <w:p w14:paraId="0DE08BCD" w14:textId="77777777" w:rsidR="0076699A" w:rsidRDefault="0076699A" w:rsidP="00FB22FD">
      <w:pPr>
        <w:pStyle w:val="StandardText"/>
        <w:jc w:val="left"/>
      </w:pPr>
    </w:p>
    <w:p w14:paraId="7A5FEFBE" w14:textId="77777777" w:rsidR="0076699A" w:rsidRDefault="0076699A" w:rsidP="00FB22FD">
      <w:pPr>
        <w:pStyle w:val="StandardText"/>
        <w:jc w:val="left"/>
      </w:pPr>
    </w:p>
    <w:p w14:paraId="4D7D35AC" w14:textId="77777777" w:rsidR="0076699A" w:rsidRDefault="0076699A" w:rsidP="00FB22FD">
      <w:pPr>
        <w:pStyle w:val="StandardText"/>
        <w:jc w:val="left"/>
      </w:pPr>
    </w:p>
    <w:p w14:paraId="5780E5D1" w14:textId="77777777" w:rsidR="0076699A" w:rsidRDefault="0076699A" w:rsidP="00FB22FD">
      <w:pPr>
        <w:pStyle w:val="StandardText"/>
        <w:jc w:val="left"/>
      </w:pPr>
    </w:p>
    <w:p w14:paraId="06FD7712" w14:textId="64152A45" w:rsidR="0076699A" w:rsidRPr="00DD4A5A" w:rsidRDefault="0076699A" w:rsidP="0076699A">
      <w:pPr>
        <w:pStyle w:val="StandardText"/>
        <w:jc w:val="center"/>
        <w:rPr>
          <w:b/>
          <w:sz w:val="32"/>
          <w:szCs w:val="32"/>
        </w:rPr>
        <w:sectPr w:rsidR="0076699A" w:rsidRPr="00DD4A5A" w:rsidSect="00C03491">
          <w:headerReference w:type="default" r:id="rId9"/>
          <w:pgSz w:w="11906" w:h="16838" w:code="9"/>
          <w:pgMar w:top="1417" w:right="1417" w:bottom="1134" w:left="1417" w:header="965" w:footer="0" w:gutter="0"/>
          <w:pgNumType w:start="1"/>
          <w:cols w:space="720"/>
          <w:docGrid w:linePitch="299"/>
        </w:sectPr>
      </w:pPr>
      <w:r w:rsidRPr="00DD4A5A">
        <w:rPr>
          <w:b/>
          <w:sz w:val="32"/>
          <w:szCs w:val="32"/>
        </w:rPr>
        <w:t>Autoren:  Prof. Dr. Stefan Müller</w:t>
      </w:r>
      <w:r w:rsidR="00DD4A5A" w:rsidRPr="00DD4A5A">
        <w:rPr>
          <w:b/>
          <w:sz w:val="32"/>
          <w:szCs w:val="32"/>
        </w:rPr>
        <w:t xml:space="preserve"> &amp;</w:t>
      </w:r>
      <w:r w:rsidRPr="00DD4A5A">
        <w:rPr>
          <w:b/>
          <w:sz w:val="32"/>
          <w:szCs w:val="32"/>
        </w:rPr>
        <w:t xml:space="preserve"> Prof. Dr. Katja Gelbrich</w:t>
      </w:r>
    </w:p>
    <w:p w14:paraId="44CD8F7B" w14:textId="77777777" w:rsidR="00FF7799" w:rsidRPr="00646384" w:rsidRDefault="00FF7799" w:rsidP="00D83ABA">
      <w:pPr>
        <w:pStyle w:val="berschrift1"/>
      </w:pPr>
      <w:r w:rsidRPr="00DD4A5A">
        <w:rPr>
          <w:color w:val="2F5496" w:themeColor="accent5" w:themeShade="BF"/>
        </w:rPr>
        <w:lastRenderedPageBreak/>
        <w:t>Abhängiges vs. unabhängiges Selbstkonzept</w:t>
      </w:r>
      <w:r w:rsidR="00E35FFF" w:rsidRPr="00646384">
        <w:t xml:space="preserve"> </w:t>
      </w:r>
      <w:r w:rsidR="00E35FFF" w:rsidRPr="00646384">
        <w:rPr>
          <w:b w:val="0"/>
          <w:szCs w:val="24"/>
        </w:rPr>
        <w:t>→</w:t>
      </w:r>
      <w:r w:rsidR="00C274AE" w:rsidRPr="00646384">
        <w:rPr>
          <w:b w:val="0"/>
          <w:szCs w:val="24"/>
        </w:rPr>
        <w:t xml:space="preserve"> Selbstbild</w:t>
      </w:r>
    </w:p>
    <w:p w14:paraId="1D064664" w14:textId="77777777" w:rsidR="00FF7799" w:rsidRDefault="00FF7799" w:rsidP="00C03491">
      <w:pPr>
        <w:pStyle w:val="berschrift1"/>
        <w:rPr>
          <w:b w:val="0"/>
        </w:rPr>
      </w:pPr>
      <w:r w:rsidRPr="009823E6">
        <w:rPr>
          <w:color w:val="2F5496" w:themeColor="accent5" w:themeShade="BF"/>
        </w:rPr>
        <w:t>Affektivität</w:t>
      </w:r>
      <w:r w:rsidRPr="00646384">
        <w:rPr>
          <w:spacing w:val="1"/>
        </w:rPr>
        <w:t xml:space="preserve"> </w:t>
      </w:r>
      <w:r w:rsidRPr="00646384">
        <w:rPr>
          <w:b w:val="0"/>
          <w:szCs w:val="24"/>
        </w:rPr>
        <w:t>→</w:t>
      </w:r>
      <w:r w:rsidRPr="00646384">
        <w:rPr>
          <w:b w:val="0"/>
          <w:spacing w:val="-4"/>
        </w:rPr>
        <w:t xml:space="preserve"> </w:t>
      </w:r>
      <w:r w:rsidRPr="00646384">
        <w:rPr>
          <w:b w:val="0"/>
        </w:rPr>
        <w:t>Kulturdimensionen</w:t>
      </w:r>
      <w:r w:rsidRPr="00646384">
        <w:rPr>
          <w:b w:val="0"/>
          <w:spacing w:val="-5"/>
        </w:rPr>
        <w:t xml:space="preserve"> </w:t>
      </w:r>
      <w:r w:rsidRPr="00646384">
        <w:rPr>
          <w:b w:val="0"/>
        </w:rPr>
        <w:t>nach</w:t>
      </w:r>
      <w:r w:rsidRPr="00646384">
        <w:rPr>
          <w:b w:val="0"/>
          <w:spacing w:val="-3"/>
        </w:rPr>
        <w:t xml:space="preserve"> </w:t>
      </w:r>
      <w:r w:rsidRPr="00646384">
        <w:rPr>
          <w:b w:val="0"/>
        </w:rPr>
        <w:t>Trompenaars</w:t>
      </w:r>
    </w:p>
    <w:p w14:paraId="14C7229A" w14:textId="77777777" w:rsidR="00FF7799" w:rsidRPr="009823E6" w:rsidRDefault="00FF7799" w:rsidP="00DD066F">
      <w:pPr>
        <w:pStyle w:val="berschrift1"/>
        <w:rPr>
          <w:color w:val="2F5496" w:themeColor="accent5" w:themeShade="BF"/>
          <w:szCs w:val="24"/>
        </w:rPr>
      </w:pPr>
      <w:r w:rsidRPr="009823E6">
        <w:rPr>
          <w:color w:val="2F5496" w:themeColor="accent5" w:themeShade="BF"/>
          <w:szCs w:val="24"/>
        </w:rPr>
        <w:t>Ahnenkult</w:t>
      </w:r>
    </w:p>
    <w:p w14:paraId="3687313B" w14:textId="77777777" w:rsidR="00FF7799" w:rsidRPr="00646384" w:rsidRDefault="00FF7799" w:rsidP="004905D5">
      <w:pPr>
        <w:pStyle w:val="StandardText"/>
        <w:rPr>
          <w:spacing w:val="-2"/>
        </w:rPr>
      </w:pPr>
      <w:r w:rsidRPr="00646384">
        <w:t>in</w:t>
      </w:r>
      <w:r w:rsidRPr="00646384">
        <w:rPr>
          <w:spacing w:val="-2"/>
        </w:rPr>
        <w:t xml:space="preserve"> </w:t>
      </w:r>
      <w:r w:rsidRPr="00646384">
        <w:t>weiten</w:t>
      </w:r>
      <w:r w:rsidRPr="00646384">
        <w:rPr>
          <w:spacing w:val="-2"/>
        </w:rPr>
        <w:t xml:space="preserve"> </w:t>
      </w:r>
      <w:r w:rsidRPr="00646384">
        <w:t>Teilen</w:t>
      </w:r>
      <w:r w:rsidRPr="00646384">
        <w:rPr>
          <w:spacing w:val="-2"/>
        </w:rPr>
        <w:t xml:space="preserve"> </w:t>
      </w:r>
      <w:r w:rsidRPr="00646384">
        <w:t>der</w:t>
      </w:r>
      <w:r w:rsidRPr="00646384">
        <w:rPr>
          <w:spacing w:val="-3"/>
        </w:rPr>
        <w:t xml:space="preserve"> </w:t>
      </w:r>
      <w:r w:rsidRPr="00646384">
        <w:t>Welt</w:t>
      </w:r>
      <w:r w:rsidRPr="00646384">
        <w:rPr>
          <w:spacing w:val="-5"/>
        </w:rPr>
        <w:t xml:space="preserve"> </w:t>
      </w:r>
      <w:r w:rsidRPr="00646384">
        <w:t>nach</w:t>
      </w:r>
      <w:r w:rsidRPr="00646384">
        <w:rPr>
          <w:spacing w:val="-2"/>
        </w:rPr>
        <w:t xml:space="preserve"> </w:t>
      </w:r>
      <w:r w:rsidRPr="00646384">
        <w:t>wie</w:t>
      </w:r>
      <w:r w:rsidRPr="00646384">
        <w:rPr>
          <w:spacing w:val="-4"/>
        </w:rPr>
        <w:t xml:space="preserve"> </w:t>
      </w:r>
      <w:r w:rsidRPr="00646384">
        <w:t>vor übliche</w:t>
      </w:r>
      <w:r w:rsidRPr="00646384">
        <w:rPr>
          <w:spacing w:val="-3"/>
        </w:rPr>
        <w:t xml:space="preserve"> </w:t>
      </w:r>
      <w:r w:rsidRPr="00646384">
        <w:t>Verehrung</w:t>
      </w:r>
      <w:r w:rsidRPr="00646384">
        <w:rPr>
          <w:spacing w:val="-2"/>
        </w:rPr>
        <w:t xml:space="preserve"> </w:t>
      </w:r>
      <w:r w:rsidRPr="00646384">
        <w:t>der</w:t>
      </w:r>
      <w:r w:rsidRPr="00646384">
        <w:rPr>
          <w:spacing w:val="-3"/>
        </w:rPr>
        <w:t xml:space="preserve"> </w:t>
      </w:r>
      <w:r w:rsidRPr="00646384">
        <w:t>Verstorbenen (z.B. in</w:t>
      </w:r>
      <w:r w:rsidRPr="00646384">
        <w:rPr>
          <w:spacing w:val="-5"/>
        </w:rPr>
        <w:t xml:space="preserve"> </w:t>
      </w:r>
      <w:r w:rsidRPr="00646384">
        <w:t>Ostasien,</w:t>
      </w:r>
      <w:r w:rsidRPr="00646384">
        <w:rPr>
          <w:spacing w:val="-7"/>
        </w:rPr>
        <w:t xml:space="preserve"> </w:t>
      </w:r>
      <w:r w:rsidRPr="00646384">
        <w:t>in</w:t>
      </w:r>
      <w:r w:rsidRPr="00646384">
        <w:rPr>
          <w:spacing w:val="-7"/>
        </w:rPr>
        <w:t xml:space="preserve"> </w:t>
      </w:r>
      <w:r w:rsidRPr="00646384">
        <w:t>Westafrika,</w:t>
      </w:r>
      <w:r w:rsidRPr="00646384">
        <w:rPr>
          <w:spacing w:val="-7"/>
        </w:rPr>
        <w:t xml:space="preserve"> </w:t>
      </w:r>
      <w:r w:rsidRPr="00646384">
        <w:t>in</w:t>
      </w:r>
      <w:r w:rsidRPr="00646384">
        <w:rPr>
          <w:spacing w:val="-7"/>
        </w:rPr>
        <w:t xml:space="preserve"> </w:t>
      </w:r>
      <w:r w:rsidRPr="00646384">
        <w:t>Polynesien</w:t>
      </w:r>
      <w:r w:rsidRPr="00646384">
        <w:rPr>
          <w:spacing w:val="-7"/>
        </w:rPr>
        <w:t xml:space="preserve"> </w:t>
      </w:r>
      <w:r w:rsidRPr="00646384">
        <w:t>und</w:t>
      </w:r>
      <w:r w:rsidRPr="00646384">
        <w:rPr>
          <w:spacing w:val="-7"/>
        </w:rPr>
        <w:t xml:space="preserve"> </w:t>
      </w:r>
      <w:r w:rsidRPr="00646384">
        <w:t>Melanesien</w:t>
      </w:r>
      <w:r w:rsidRPr="00646384">
        <w:rPr>
          <w:spacing w:val="-5"/>
        </w:rPr>
        <w:t xml:space="preserve"> </w:t>
      </w:r>
      <w:r w:rsidRPr="00646384">
        <w:t>sowie</w:t>
      </w:r>
      <w:r w:rsidRPr="00646384">
        <w:rPr>
          <w:spacing w:val="-7"/>
        </w:rPr>
        <w:t xml:space="preserve"> in der Frühzeit </w:t>
      </w:r>
      <w:r w:rsidRPr="00646384">
        <w:t>bei</w:t>
      </w:r>
      <w:r w:rsidRPr="00646384">
        <w:rPr>
          <w:spacing w:val="-6"/>
        </w:rPr>
        <w:t xml:space="preserve"> </w:t>
      </w:r>
      <w:r w:rsidRPr="00646384">
        <w:t>verschiedenen indoeuropäischen Völkern, etwa Germanen und Wikinger). Der Ahnenkult verkörpert</w:t>
      </w:r>
      <w:r w:rsidRPr="00646384">
        <w:rPr>
          <w:spacing w:val="-8"/>
        </w:rPr>
        <w:t xml:space="preserve"> </w:t>
      </w:r>
      <w:r w:rsidRPr="00646384">
        <w:t>zusammen</w:t>
      </w:r>
      <w:r w:rsidRPr="00646384">
        <w:rPr>
          <w:spacing w:val="-8"/>
        </w:rPr>
        <w:t xml:space="preserve"> </w:t>
      </w:r>
      <w:r w:rsidRPr="00646384">
        <w:t>mit</w:t>
      </w:r>
      <w:r w:rsidRPr="00646384">
        <w:rPr>
          <w:spacing w:val="-10"/>
        </w:rPr>
        <w:t xml:space="preserve"> </w:t>
      </w:r>
      <w:r w:rsidRPr="00646384">
        <w:t>dem</w:t>
      </w:r>
      <w:r w:rsidRPr="00646384">
        <w:rPr>
          <w:spacing w:val="-10"/>
        </w:rPr>
        <w:t xml:space="preserve"> </w:t>
      </w:r>
      <w:r w:rsidRPr="00646384">
        <w:t>Fruchtbarkeitskult</w:t>
      </w:r>
      <w:r w:rsidRPr="00646384">
        <w:rPr>
          <w:spacing w:val="-10"/>
        </w:rPr>
        <w:t xml:space="preserve"> </w:t>
      </w:r>
      <w:r w:rsidRPr="00646384">
        <w:t>das</w:t>
      </w:r>
      <w:r w:rsidRPr="00646384">
        <w:rPr>
          <w:spacing w:val="-9"/>
        </w:rPr>
        <w:t xml:space="preserve"> </w:t>
      </w:r>
      <w:r w:rsidRPr="00646384">
        <w:t>ideologische</w:t>
      </w:r>
      <w:r w:rsidRPr="00646384">
        <w:rPr>
          <w:spacing w:val="-11"/>
        </w:rPr>
        <w:t xml:space="preserve"> </w:t>
      </w:r>
      <w:r w:rsidRPr="00646384">
        <w:t>Fundament</w:t>
      </w:r>
      <w:r w:rsidRPr="00646384">
        <w:rPr>
          <w:spacing w:val="-8"/>
        </w:rPr>
        <w:t xml:space="preserve"> </w:t>
      </w:r>
      <w:r w:rsidRPr="00646384">
        <w:t>der verschiedenen</w:t>
      </w:r>
      <w:r w:rsidRPr="00646384">
        <w:rPr>
          <w:spacing w:val="-9"/>
        </w:rPr>
        <w:t xml:space="preserve"> </w:t>
      </w:r>
      <w:r w:rsidRPr="00646384">
        <w:rPr>
          <w:rFonts w:ascii="Cambria Math" w:hAnsi="Cambria Math" w:cs="Cambria Math"/>
        </w:rPr>
        <w:t>⇒</w:t>
      </w:r>
      <w:r w:rsidRPr="00646384">
        <w:rPr>
          <w:spacing w:val="-3"/>
        </w:rPr>
        <w:t xml:space="preserve"> </w:t>
      </w:r>
      <w:r w:rsidRPr="00646384">
        <w:t>Naturreligionen</w:t>
      </w:r>
      <w:r w:rsidRPr="00646384">
        <w:rPr>
          <w:spacing w:val="-9"/>
        </w:rPr>
        <w:t xml:space="preserve"> </w:t>
      </w:r>
      <w:r w:rsidRPr="00646384">
        <w:t>(</w:t>
      </w:r>
      <w:r w:rsidRPr="00646384">
        <w:rPr>
          <w:rFonts w:ascii="Cambria Math" w:hAnsi="Cambria Math" w:cs="Cambria Math"/>
        </w:rPr>
        <w:t>⇒</w:t>
      </w:r>
      <w:r w:rsidRPr="00646384">
        <w:rPr>
          <w:spacing w:val="-3"/>
        </w:rPr>
        <w:t xml:space="preserve"> </w:t>
      </w:r>
      <w:r w:rsidRPr="00646384">
        <w:t>Animismus).</w:t>
      </w:r>
      <w:r w:rsidRPr="00646384">
        <w:rPr>
          <w:spacing w:val="-10"/>
        </w:rPr>
        <w:t xml:space="preserve"> </w:t>
      </w:r>
      <w:r w:rsidRPr="00646384">
        <w:t>Obwohl</w:t>
      </w:r>
      <w:r w:rsidRPr="00646384">
        <w:rPr>
          <w:spacing w:val="-10"/>
        </w:rPr>
        <w:t xml:space="preserve"> </w:t>
      </w:r>
      <w:r w:rsidRPr="00646384">
        <w:t>sie</w:t>
      </w:r>
      <w:r w:rsidRPr="00646384">
        <w:rPr>
          <w:spacing w:val="-9"/>
        </w:rPr>
        <w:t xml:space="preserve"> </w:t>
      </w:r>
      <w:r w:rsidRPr="00646384">
        <w:t>sich</w:t>
      </w:r>
      <w:r w:rsidRPr="00646384">
        <w:rPr>
          <w:spacing w:val="-10"/>
        </w:rPr>
        <w:t xml:space="preserve"> </w:t>
      </w:r>
      <w:r w:rsidRPr="00646384">
        <w:t>ihre</w:t>
      </w:r>
      <w:r w:rsidRPr="00646384">
        <w:rPr>
          <w:spacing w:val="-9"/>
        </w:rPr>
        <w:t xml:space="preserve"> </w:t>
      </w:r>
      <w:r w:rsidRPr="00646384">
        <w:t>Ahnen</w:t>
      </w:r>
      <w:r w:rsidRPr="00646384">
        <w:rPr>
          <w:spacing w:val="-9"/>
        </w:rPr>
        <w:t xml:space="preserve"> </w:t>
      </w:r>
      <w:r w:rsidRPr="00646384">
        <w:t>als mächtige</w:t>
      </w:r>
      <w:r w:rsidRPr="00646384">
        <w:rPr>
          <w:spacing w:val="-12"/>
        </w:rPr>
        <w:t xml:space="preserve"> </w:t>
      </w:r>
      <w:r w:rsidRPr="00646384">
        <w:t>spirituelle</w:t>
      </w:r>
      <w:r w:rsidRPr="00646384">
        <w:rPr>
          <w:spacing w:val="-11"/>
        </w:rPr>
        <w:t xml:space="preserve"> </w:t>
      </w:r>
      <w:r w:rsidRPr="00646384">
        <w:t>und</w:t>
      </w:r>
      <w:r w:rsidRPr="00646384">
        <w:rPr>
          <w:spacing w:val="-11"/>
        </w:rPr>
        <w:t xml:space="preserve"> </w:t>
      </w:r>
      <w:r w:rsidRPr="00646384">
        <w:t>bisweilen</w:t>
      </w:r>
      <w:r w:rsidRPr="00646384">
        <w:rPr>
          <w:spacing w:val="-11"/>
        </w:rPr>
        <w:t xml:space="preserve"> </w:t>
      </w:r>
      <w:r w:rsidRPr="00646384">
        <w:t>sogar</w:t>
      </w:r>
      <w:r w:rsidRPr="00646384">
        <w:rPr>
          <w:spacing w:val="-12"/>
        </w:rPr>
        <w:t xml:space="preserve"> </w:t>
      </w:r>
      <w:r w:rsidRPr="00646384">
        <w:t>gottähnliche</w:t>
      </w:r>
      <w:r w:rsidRPr="00646384">
        <w:rPr>
          <w:spacing w:val="-11"/>
        </w:rPr>
        <w:t xml:space="preserve"> </w:t>
      </w:r>
      <w:r w:rsidRPr="00646384">
        <w:t>Wesen</w:t>
      </w:r>
      <w:r w:rsidRPr="00646384">
        <w:rPr>
          <w:spacing w:val="-11"/>
        </w:rPr>
        <w:t xml:space="preserve"> </w:t>
      </w:r>
      <w:r w:rsidRPr="00646384">
        <w:t>vorstellten,</w:t>
      </w:r>
      <w:r w:rsidRPr="00646384">
        <w:rPr>
          <w:spacing w:val="-11"/>
        </w:rPr>
        <w:t xml:space="preserve"> </w:t>
      </w:r>
      <w:r w:rsidRPr="00646384">
        <w:t>waren</w:t>
      </w:r>
      <w:r w:rsidRPr="00646384">
        <w:rPr>
          <w:spacing w:val="-12"/>
        </w:rPr>
        <w:t xml:space="preserve"> </w:t>
      </w:r>
      <w:r w:rsidRPr="00646384">
        <w:t>diese Menschen zugleich davon überzeugt, dass ihre Vorfahren am Leben und Schicksal ihrer Nachkommen</w:t>
      </w:r>
      <w:r w:rsidRPr="00646384">
        <w:rPr>
          <w:spacing w:val="-8"/>
        </w:rPr>
        <w:t xml:space="preserve"> </w:t>
      </w:r>
      <w:r w:rsidRPr="00646384">
        <w:t>Anteil</w:t>
      </w:r>
      <w:r w:rsidRPr="00646384">
        <w:rPr>
          <w:spacing w:val="-9"/>
        </w:rPr>
        <w:t xml:space="preserve"> </w:t>
      </w:r>
      <w:r w:rsidRPr="00646384">
        <w:t>nehmen</w:t>
      </w:r>
      <w:r w:rsidRPr="00646384">
        <w:rPr>
          <w:spacing w:val="-10"/>
        </w:rPr>
        <w:t xml:space="preserve"> </w:t>
      </w:r>
      <w:r w:rsidRPr="00646384">
        <w:t>und</w:t>
      </w:r>
      <w:r w:rsidRPr="00646384">
        <w:rPr>
          <w:spacing w:val="-8"/>
        </w:rPr>
        <w:t xml:space="preserve"> </w:t>
      </w:r>
      <w:r w:rsidRPr="00646384">
        <w:t>ihre</w:t>
      </w:r>
      <w:r w:rsidRPr="00646384">
        <w:rPr>
          <w:spacing w:val="-10"/>
        </w:rPr>
        <w:t xml:space="preserve"> </w:t>
      </w:r>
      <w:r w:rsidRPr="00646384">
        <w:t>Macht</w:t>
      </w:r>
      <w:r w:rsidRPr="00646384">
        <w:rPr>
          <w:spacing w:val="-9"/>
        </w:rPr>
        <w:t xml:space="preserve"> </w:t>
      </w:r>
      <w:r w:rsidRPr="00646384">
        <w:t>nutzen,</w:t>
      </w:r>
      <w:r w:rsidRPr="00646384">
        <w:rPr>
          <w:spacing w:val="-9"/>
        </w:rPr>
        <w:t xml:space="preserve"> </w:t>
      </w:r>
      <w:r w:rsidRPr="00646384">
        <w:t>um</w:t>
      </w:r>
      <w:r w:rsidRPr="00646384">
        <w:rPr>
          <w:spacing w:val="-10"/>
        </w:rPr>
        <w:t xml:space="preserve"> </w:t>
      </w:r>
      <w:r w:rsidRPr="00646384">
        <w:t>ihre</w:t>
      </w:r>
      <w:r w:rsidRPr="00646384">
        <w:rPr>
          <w:spacing w:val="-10"/>
        </w:rPr>
        <w:t xml:space="preserve"> </w:t>
      </w:r>
      <w:r w:rsidRPr="00646384">
        <w:t>Familie</w:t>
      </w:r>
      <w:r w:rsidRPr="00646384">
        <w:rPr>
          <w:spacing w:val="-10"/>
        </w:rPr>
        <w:t xml:space="preserve"> </w:t>
      </w:r>
      <w:r w:rsidRPr="00646384">
        <w:t>dauerhaft</w:t>
      </w:r>
      <w:r w:rsidRPr="00646384">
        <w:rPr>
          <w:spacing w:val="-9"/>
        </w:rPr>
        <w:t xml:space="preserve"> </w:t>
      </w:r>
      <w:r w:rsidRPr="00646384">
        <w:t xml:space="preserve">zu </w:t>
      </w:r>
      <w:r w:rsidRPr="00646384">
        <w:rPr>
          <w:spacing w:val="-2"/>
        </w:rPr>
        <w:t>schützen.</w:t>
      </w:r>
    </w:p>
    <w:p w14:paraId="7B78829D" w14:textId="77777777" w:rsidR="00FF7799" w:rsidRPr="00646384" w:rsidRDefault="00FF7799" w:rsidP="004905D5">
      <w:pPr>
        <w:pStyle w:val="StandardText"/>
      </w:pPr>
      <w:r w:rsidRPr="00646384">
        <w:t>Die als Mittler zwischen den Menschen und den Göttern imaginierten Ahnen wurden (bzw. werden) sowohl verehrt als auch gefürchtet (z.B. weil sie Frauen Fruchtbarkeit</w:t>
      </w:r>
      <w:r w:rsidRPr="00646384">
        <w:rPr>
          <w:spacing w:val="-6"/>
        </w:rPr>
        <w:t xml:space="preserve"> </w:t>
      </w:r>
      <w:r w:rsidRPr="00646384">
        <w:t>und</w:t>
      </w:r>
      <w:r w:rsidRPr="00646384">
        <w:rPr>
          <w:spacing w:val="-3"/>
        </w:rPr>
        <w:t xml:space="preserve"> </w:t>
      </w:r>
      <w:r w:rsidRPr="00646384">
        <w:t>Männern</w:t>
      </w:r>
      <w:r w:rsidRPr="00646384">
        <w:rPr>
          <w:spacing w:val="-5"/>
        </w:rPr>
        <w:t xml:space="preserve"> </w:t>
      </w:r>
      <w:r w:rsidRPr="00646384">
        <w:t>Manneskraft</w:t>
      </w:r>
      <w:r w:rsidRPr="00646384">
        <w:rPr>
          <w:spacing w:val="-4"/>
        </w:rPr>
        <w:t xml:space="preserve"> </w:t>
      </w:r>
      <w:r w:rsidRPr="00646384">
        <w:t>schenken</w:t>
      </w:r>
      <w:r w:rsidRPr="00646384">
        <w:rPr>
          <w:spacing w:val="-5"/>
        </w:rPr>
        <w:t xml:space="preserve"> </w:t>
      </w:r>
      <w:r w:rsidRPr="00646384">
        <w:t>bzw.</w:t>
      </w:r>
      <w:r w:rsidRPr="00646384">
        <w:rPr>
          <w:spacing w:val="-6"/>
        </w:rPr>
        <w:t xml:space="preserve"> </w:t>
      </w:r>
      <w:r w:rsidRPr="00646384">
        <w:t>verwehren).</w:t>
      </w:r>
      <w:r w:rsidRPr="00646384">
        <w:rPr>
          <w:spacing w:val="-4"/>
        </w:rPr>
        <w:t xml:space="preserve"> </w:t>
      </w:r>
      <w:r w:rsidRPr="00646384">
        <w:t>Während</w:t>
      </w:r>
      <w:r w:rsidRPr="00646384">
        <w:rPr>
          <w:spacing w:val="-3"/>
        </w:rPr>
        <w:t xml:space="preserve"> </w:t>
      </w:r>
      <w:r w:rsidRPr="00646384">
        <w:t>sie durch Träume zu den Lebenden sprechen (und im Extremfall sogar deren Körper in Besitz nehmen), können die Lebenden durch Bittgebete, Opfer und Demutsbezeugungen sowie Sühne mit ihren Ahnen Kontakt aufnehmen. Da die Verstorbenen</w:t>
      </w:r>
      <w:r w:rsidRPr="00646384">
        <w:rPr>
          <w:spacing w:val="-5"/>
        </w:rPr>
        <w:t xml:space="preserve"> </w:t>
      </w:r>
      <w:r w:rsidRPr="00646384">
        <w:t>einen</w:t>
      </w:r>
      <w:r w:rsidRPr="00646384">
        <w:rPr>
          <w:spacing w:val="-7"/>
        </w:rPr>
        <w:t xml:space="preserve"> </w:t>
      </w:r>
      <w:r w:rsidRPr="00646384">
        <w:t>vorgöttlichen</w:t>
      </w:r>
      <w:r w:rsidRPr="00646384">
        <w:rPr>
          <w:spacing w:val="-7"/>
        </w:rPr>
        <w:t xml:space="preserve"> </w:t>
      </w:r>
      <w:r w:rsidRPr="00646384">
        <w:t>Status</w:t>
      </w:r>
      <w:r w:rsidRPr="00646384">
        <w:rPr>
          <w:spacing w:val="-8"/>
        </w:rPr>
        <w:t xml:space="preserve"> </w:t>
      </w:r>
      <w:r w:rsidRPr="00646384">
        <w:t>besitzen</w:t>
      </w:r>
      <w:r w:rsidRPr="00646384">
        <w:rPr>
          <w:spacing w:val="-5"/>
        </w:rPr>
        <w:t xml:space="preserve"> </w:t>
      </w:r>
      <w:r w:rsidRPr="00646384">
        <w:t>und</w:t>
      </w:r>
      <w:r w:rsidRPr="00646384">
        <w:rPr>
          <w:spacing w:val="-7"/>
        </w:rPr>
        <w:t xml:space="preserve"> </w:t>
      </w:r>
      <w:r w:rsidRPr="00646384">
        <w:t>unmittelbar</w:t>
      </w:r>
      <w:r w:rsidRPr="00646384">
        <w:rPr>
          <w:spacing w:val="-8"/>
        </w:rPr>
        <w:t xml:space="preserve"> </w:t>
      </w:r>
      <w:r w:rsidRPr="00646384">
        <w:t>in</w:t>
      </w:r>
      <w:r w:rsidRPr="00646384">
        <w:rPr>
          <w:spacing w:val="-6"/>
        </w:rPr>
        <w:t xml:space="preserve"> </w:t>
      </w:r>
      <w:r w:rsidRPr="00646384">
        <w:t>das</w:t>
      </w:r>
      <w:r w:rsidRPr="00646384">
        <w:rPr>
          <w:spacing w:val="-6"/>
        </w:rPr>
        <w:t xml:space="preserve"> </w:t>
      </w:r>
      <w:r w:rsidRPr="00646384">
        <w:t>Schicksal der Lebenden eingreifen können, vollführen diese Opferrituale bzw. Kulthandlungen, um die Ahnen, deren außerirdisches Leben sich nicht grundsätzlich von ihrem irdischen Dasein unterscheidet, gnädig zu stimmen.</w:t>
      </w:r>
    </w:p>
    <w:p w14:paraId="5937CD99" w14:textId="77777777" w:rsidR="00FF7799" w:rsidRPr="00646384" w:rsidRDefault="00FF7799" w:rsidP="004905D5">
      <w:pPr>
        <w:pStyle w:val="StandardText"/>
      </w:pPr>
      <w:r w:rsidRPr="00646384">
        <w:t>Im ostasiatischen Raum ist die Ehrfurcht vor Ahnen und Eltern eine moralische Pflicht und zentral für das soziale Leben. Der Ahnenkult sorgt für eine enge Bindung</w:t>
      </w:r>
      <w:r w:rsidRPr="00646384">
        <w:rPr>
          <w:spacing w:val="-5"/>
        </w:rPr>
        <w:t xml:space="preserve"> </w:t>
      </w:r>
      <w:r w:rsidRPr="00646384">
        <w:t>innerhalb</w:t>
      </w:r>
      <w:r w:rsidRPr="00646384">
        <w:rPr>
          <w:spacing w:val="-7"/>
        </w:rPr>
        <w:t xml:space="preserve"> </w:t>
      </w:r>
      <w:r w:rsidRPr="00646384">
        <w:t>der</w:t>
      </w:r>
      <w:r w:rsidRPr="00646384">
        <w:rPr>
          <w:spacing w:val="-9"/>
        </w:rPr>
        <w:t xml:space="preserve"> </w:t>
      </w:r>
      <w:r w:rsidRPr="00646384">
        <w:t>Familie.</w:t>
      </w:r>
      <w:r w:rsidRPr="00646384">
        <w:rPr>
          <w:spacing w:val="-8"/>
        </w:rPr>
        <w:t xml:space="preserve"> </w:t>
      </w:r>
      <w:r w:rsidRPr="00646384">
        <w:t>Während</w:t>
      </w:r>
      <w:r w:rsidRPr="00646384">
        <w:rPr>
          <w:spacing w:val="-8"/>
        </w:rPr>
        <w:t xml:space="preserve"> </w:t>
      </w:r>
      <w:r w:rsidRPr="00646384">
        <w:t>gemäß</w:t>
      </w:r>
      <w:r w:rsidRPr="00646384">
        <w:rPr>
          <w:spacing w:val="-8"/>
        </w:rPr>
        <w:t xml:space="preserve"> </w:t>
      </w:r>
      <w:r w:rsidRPr="00646384">
        <w:t>der</w:t>
      </w:r>
      <w:r w:rsidRPr="00646384">
        <w:rPr>
          <w:spacing w:val="-9"/>
        </w:rPr>
        <w:t xml:space="preserve"> </w:t>
      </w:r>
      <w:r w:rsidRPr="00646384">
        <w:t>Protestantismus-These</w:t>
      </w:r>
      <w:r w:rsidRPr="00646384">
        <w:rPr>
          <w:spacing w:val="-7"/>
        </w:rPr>
        <w:t xml:space="preserve"> </w:t>
      </w:r>
      <w:r w:rsidRPr="00646384">
        <w:t>„harte Arbeit“ den Weg zur sog. Gnadengewissheit ebnet, erlangt gemäß der konfuzianischen</w:t>
      </w:r>
      <w:r w:rsidRPr="00646384">
        <w:rPr>
          <w:spacing w:val="-7"/>
        </w:rPr>
        <w:t xml:space="preserve"> </w:t>
      </w:r>
      <w:r w:rsidRPr="00646384">
        <w:t>Sittenlehre</w:t>
      </w:r>
      <w:r w:rsidRPr="00646384">
        <w:rPr>
          <w:spacing w:val="-8"/>
        </w:rPr>
        <w:t xml:space="preserve"> </w:t>
      </w:r>
      <w:r w:rsidRPr="00646384">
        <w:t>der</w:t>
      </w:r>
      <w:r w:rsidRPr="00646384">
        <w:rPr>
          <w:spacing w:val="-5"/>
        </w:rPr>
        <w:t xml:space="preserve"> </w:t>
      </w:r>
      <w:r w:rsidRPr="00646384">
        <w:t>Einzelne</w:t>
      </w:r>
      <w:r w:rsidRPr="00646384">
        <w:rPr>
          <w:spacing w:val="-6"/>
        </w:rPr>
        <w:t xml:space="preserve"> </w:t>
      </w:r>
      <w:r w:rsidRPr="00646384">
        <w:t>durch</w:t>
      </w:r>
      <w:r w:rsidRPr="00646384">
        <w:rPr>
          <w:spacing w:val="-4"/>
        </w:rPr>
        <w:t xml:space="preserve"> </w:t>
      </w:r>
      <w:r w:rsidRPr="00646384">
        <w:t>sie</w:t>
      </w:r>
      <w:r w:rsidRPr="00646384">
        <w:rPr>
          <w:spacing w:val="-6"/>
        </w:rPr>
        <w:t xml:space="preserve"> </w:t>
      </w:r>
      <w:r w:rsidRPr="00646384">
        <w:t>Gewähr,</w:t>
      </w:r>
      <w:r w:rsidRPr="00646384">
        <w:rPr>
          <w:spacing w:val="-5"/>
        </w:rPr>
        <w:t xml:space="preserve"> </w:t>
      </w:r>
      <w:r w:rsidRPr="00646384">
        <w:t>dass</w:t>
      </w:r>
      <w:r w:rsidRPr="00646384">
        <w:rPr>
          <w:spacing w:val="-6"/>
        </w:rPr>
        <w:t xml:space="preserve"> </w:t>
      </w:r>
      <w:r w:rsidRPr="00646384">
        <w:t>er</w:t>
      </w:r>
      <w:r w:rsidRPr="00646384">
        <w:rPr>
          <w:spacing w:val="-8"/>
        </w:rPr>
        <w:t xml:space="preserve"> </w:t>
      </w:r>
      <w:r w:rsidRPr="00646384">
        <w:t>seiner</w:t>
      </w:r>
      <w:r w:rsidRPr="00646384">
        <w:rPr>
          <w:spacing w:val="-5"/>
        </w:rPr>
        <w:t xml:space="preserve"> </w:t>
      </w:r>
      <w:r w:rsidRPr="00646384">
        <w:t>Familie keine</w:t>
      </w:r>
      <w:r w:rsidRPr="00646384">
        <w:rPr>
          <w:spacing w:val="-4"/>
        </w:rPr>
        <w:t xml:space="preserve"> </w:t>
      </w:r>
      <w:r w:rsidRPr="00646384">
        <w:t>Schande</w:t>
      </w:r>
      <w:r w:rsidRPr="00646384">
        <w:rPr>
          <w:spacing w:val="-4"/>
        </w:rPr>
        <w:t xml:space="preserve"> </w:t>
      </w:r>
      <w:r w:rsidRPr="00646384">
        <w:t>bereitet.</w:t>
      </w:r>
      <w:r w:rsidRPr="00646384">
        <w:rPr>
          <w:spacing w:val="-2"/>
        </w:rPr>
        <w:t xml:space="preserve"> </w:t>
      </w:r>
      <w:r w:rsidRPr="00646384">
        <w:t>Dies</w:t>
      </w:r>
      <w:r w:rsidRPr="00646384">
        <w:rPr>
          <w:spacing w:val="-3"/>
        </w:rPr>
        <w:t xml:space="preserve"> </w:t>
      </w:r>
      <w:r w:rsidRPr="00646384">
        <w:t>wiederum</w:t>
      </w:r>
      <w:r w:rsidRPr="00646384">
        <w:rPr>
          <w:spacing w:val="-4"/>
        </w:rPr>
        <w:t xml:space="preserve"> </w:t>
      </w:r>
      <w:r w:rsidRPr="00646384">
        <w:t>erklärt,</w:t>
      </w:r>
      <w:r w:rsidRPr="00646384">
        <w:rPr>
          <w:spacing w:val="-3"/>
        </w:rPr>
        <w:t xml:space="preserve"> </w:t>
      </w:r>
      <w:r w:rsidRPr="00646384">
        <w:t>warum</w:t>
      </w:r>
      <w:r w:rsidRPr="00646384">
        <w:rPr>
          <w:spacing w:val="-4"/>
        </w:rPr>
        <w:t xml:space="preserve"> </w:t>
      </w:r>
      <w:r w:rsidRPr="00646384">
        <w:t>in konfuzianischen</w:t>
      </w:r>
      <w:r w:rsidRPr="00646384">
        <w:rPr>
          <w:spacing w:val="-2"/>
        </w:rPr>
        <w:t xml:space="preserve"> </w:t>
      </w:r>
      <w:r w:rsidRPr="00646384">
        <w:t>Gesellschaften Leistungsorientierung als Wert an sich gilt, der von Generation zu Generation weitergegeben wird. Überdies verpflichtet der Ahnen- bzw. Familienkult den Einzelnen dazu, für seine Eltern und Großeltern, seine Kinder und für sich selbst zu sorgen, weshalb Familien wichtige Entscheidungen langfristig planen müssen und sich in ihrer Zukunftsvorsorge nicht auf die anonyme Gesellschaft verlassen können.</w:t>
      </w:r>
    </w:p>
    <w:p w14:paraId="4CD75D7E" w14:textId="77777777" w:rsidR="00FF7799" w:rsidRPr="00646384" w:rsidRDefault="00FF7799" w:rsidP="004905D5">
      <w:pPr>
        <w:pStyle w:val="StandardText"/>
      </w:pPr>
      <w:r w:rsidRPr="00646384">
        <w:t>In Japan haben die Treue gegenüber dem Herrn und dessen Fürsorgepflichten gegenüber den hierarchisch Untergebenen Vorrang vor den Familienbanden. Früher galt die Treuepflicht dem Fürsten, heute dem Unternehmen und jederzeit dem Tenno und der Nation.</w:t>
      </w:r>
    </w:p>
    <w:p w14:paraId="7D2A8EB9" w14:textId="77777777" w:rsidR="00FF7799" w:rsidRPr="003C3DC5" w:rsidRDefault="00B571EF" w:rsidP="004905D5">
      <w:pPr>
        <w:pStyle w:val="StandardText"/>
        <w:rPr>
          <w:sz w:val="22"/>
          <w:szCs w:val="22"/>
        </w:rPr>
      </w:pPr>
      <w:r w:rsidRPr="00646384">
        <w:rPr>
          <w:b/>
          <w:i/>
          <w:sz w:val="22"/>
          <w:szCs w:val="22"/>
        </w:rPr>
        <w:t>L</w:t>
      </w:r>
      <w:r w:rsidR="00FF7799" w:rsidRPr="00646384">
        <w:rPr>
          <w:b/>
          <w:i/>
          <w:sz w:val="22"/>
          <w:szCs w:val="22"/>
        </w:rPr>
        <w:t>iteratur:</w:t>
      </w:r>
      <w:r w:rsidR="00FF7799" w:rsidRPr="003C3DC5">
        <w:rPr>
          <w:sz w:val="22"/>
          <w:szCs w:val="22"/>
        </w:rPr>
        <w:t xml:space="preserve"> Wunn, J. (2001): Götter, Mütter, Ahnenkult. Religionsentwicklung in der</w:t>
      </w:r>
      <w:r w:rsidR="00FF7799" w:rsidRPr="003C3DC5">
        <w:rPr>
          <w:spacing w:val="40"/>
          <w:sz w:val="22"/>
          <w:szCs w:val="22"/>
        </w:rPr>
        <w:t xml:space="preserve"> </w:t>
      </w:r>
      <w:r w:rsidR="00FF7799" w:rsidRPr="003C3DC5">
        <w:rPr>
          <w:sz w:val="22"/>
          <w:szCs w:val="22"/>
        </w:rPr>
        <w:t>Jungsteinzeit, Rahden: Verlag Marie Leidorf.</w:t>
      </w:r>
      <w:r w:rsidR="00FF7799" w:rsidRPr="003C3DC5">
        <w:rPr>
          <w:spacing w:val="40"/>
          <w:sz w:val="22"/>
          <w:szCs w:val="22"/>
        </w:rPr>
        <w:t xml:space="preserve"> </w:t>
      </w:r>
      <w:r w:rsidR="00FF7799" w:rsidRPr="003C3DC5">
        <w:rPr>
          <w:sz w:val="22"/>
          <w:szCs w:val="22"/>
        </w:rPr>
        <w:t>Thiel, J.F. (1984): Religionsethnologie.</w:t>
      </w:r>
      <w:r w:rsidR="00FF7799" w:rsidRPr="003C3DC5">
        <w:rPr>
          <w:spacing w:val="40"/>
          <w:sz w:val="22"/>
          <w:szCs w:val="22"/>
        </w:rPr>
        <w:t xml:space="preserve"> </w:t>
      </w:r>
      <w:r w:rsidR="00FF7799" w:rsidRPr="003C3DC5">
        <w:rPr>
          <w:sz w:val="22"/>
          <w:szCs w:val="22"/>
        </w:rPr>
        <w:t>Grundbegriffe der Religionen schriftloser Völker, Berlin: Reimer.</w:t>
      </w:r>
    </w:p>
    <w:p w14:paraId="64B25B3F" w14:textId="77777777" w:rsidR="00FF7799" w:rsidRPr="00B571EF" w:rsidRDefault="00FF7799" w:rsidP="00862DBA">
      <w:pPr>
        <w:rPr>
          <w:sz w:val="20"/>
          <w:szCs w:val="20"/>
        </w:rPr>
      </w:pPr>
    </w:p>
    <w:p w14:paraId="29636C76" w14:textId="77777777" w:rsidR="00FF7799" w:rsidRPr="009823E6" w:rsidRDefault="00FF7799" w:rsidP="00D97BAA">
      <w:pPr>
        <w:pStyle w:val="berschrift1"/>
        <w:rPr>
          <w:color w:val="2F5496" w:themeColor="accent5" w:themeShade="BF"/>
        </w:rPr>
      </w:pPr>
      <w:r w:rsidRPr="009823E6">
        <w:rPr>
          <w:color w:val="2F5496" w:themeColor="accent5" w:themeShade="BF"/>
        </w:rPr>
        <w:t>Akkord</w:t>
      </w:r>
      <w:r w:rsidRPr="009823E6">
        <w:rPr>
          <w:color w:val="2F5496" w:themeColor="accent5" w:themeShade="BF"/>
          <w:spacing w:val="-2"/>
        </w:rPr>
        <w:t xml:space="preserve"> </w:t>
      </w:r>
      <w:r w:rsidRPr="009823E6">
        <w:rPr>
          <w:color w:val="2F5496" w:themeColor="accent5" w:themeShade="BF"/>
        </w:rPr>
        <w:t>von</w:t>
      </w:r>
      <w:r w:rsidRPr="009823E6">
        <w:rPr>
          <w:color w:val="2F5496" w:themeColor="accent5" w:themeShade="BF"/>
          <w:spacing w:val="-1"/>
        </w:rPr>
        <w:t xml:space="preserve"> </w:t>
      </w:r>
      <w:r w:rsidRPr="009823E6">
        <w:rPr>
          <w:color w:val="2F5496" w:themeColor="accent5" w:themeShade="BF"/>
          <w:spacing w:val="-2"/>
        </w:rPr>
        <w:t>Wassenaar</w:t>
      </w:r>
    </w:p>
    <w:p w14:paraId="6644A5E9" w14:textId="77777777" w:rsidR="00FF7799" w:rsidRPr="00646384" w:rsidRDefault="00FF7799" w:rsidP="004905D5">
      <w:pPr>
        <w:pStyle w:val="StandardText"/>
      </w:pPr>
      <w:r w:rsidRPr="00646384">
        <w:t>beispielhafte Vereinbarung der niederländischen Tarifpartner. Nicht zuletzt dadurch gelang es den Niederlanden im Verlauf der späten 1990er-Jahre, ihren ausufernden Sozialstaat zu reformieren und die sog. Maastricht-Kriterien zu erfüllen,</w:t>
      </w:r>
      <w:r w:rsidRPr="00646384">
        <w:rPr>
          <w:spacing w:val="-6"/>
        </w:rPr>
        <w:t xml:space="preserve"> </w:t>
      </w:r>
      <w:r w:rsidRPr="00646384">
        <w:t>ohne</w:t>
      </w:r>
      <w:r w:rsidRPr="00646384">
        <w:rPr>
          <w:spacing w:val="-9"/>
        </w:rPr>
        <w:t xml:space="preserve"> </w:t>
      </w:r>
      <w:r w:rsidRPr="00646384">
        <w:t>dadurch</w:t>
      </w:r>
      <w:r w:rsidRPr="00646384">
        <w:rPr>
          <w:spacing w:val="-8"/>
        </w:rPr>
        <w:t xml:space="preserve"> </w:t>
      </w:r>
      <w:r w:rsidRPr="00646384">
        <w:t>den</w:t>
      </w:r>
      <w:r w:rsidRPr="00646384">
        <w:rPr>
          <w:spacing w:val="-5"/>
        </w:rPr>
        <w:t xml:space="preserve"> </w:t>
      </w:r>
      <w:r w:rsidRPr="00646384">
        <w:t>sprichwörtlichen</w:t>
      </w:r>
      <w:r w:rsidRPr="00646384">
        <w:rPr>
          <w:spacing w:val="-4"/>
        </w:rPr>
        <w:t xml:space="preserve"> </w:t>
      </w:r>
      <w:r w:rsidRPr="00646384">
        <w:t>gesamtgesellschaftlichen</w:t>
      </w:r>
      <w:r w:rsidRPr="00646384">
        <w:rPr>
          <w:spacing w:val="-5"/>
        </w:rPr>
        <w:t xml:space="preserve"> </w:t>
      </w:r>
      <w:r w:rsidRPr="00646384">
        <w:t>Konsens</w:t>
      </w:r>
      <w:r w:rsidRPr="00646384">
        <w:rPr>
          <w:spacing w:val="-5"/>
        </w:rPr>
        <w:t xml:space="preserve"> </w:t>
      </w:r>
      <w:r w:rsidRPr="00646384">
        <w:t xml:space="preserve">zu gefährden. Als in den 1980er- Jahren die Arbeitslosenquote mit 12% ein Rekordniveau erreicht hatte und jeder sechste Berufstätige als chronisch Kranker </w:t>
      </w:r>
      <w:r w:rsidRPr="00646384">
        <w:lastRenderedPageBreak/>
        <w:t>bis zu seiner Pensionierung eine Invalidenrente bezog, entwickelten Arbeitgeberverband, Gewerkschaften und Regierung gemeinsam einen Lösungsansatz. In einer Zeit, als in Deutschland noch um Arbeitszeitverkürzung bei</w:t>
      </w:r>
      <w:r w:rsidRPr="00646384">
        <w:rPr>
          <w:spacing w:val="11"/>
        </w:rPr>
        <w:t xml:space="preserve"> </w:t>
      </w:r>
      <w:r w:rsidRPr="00646384">
        <w:t>vollem</w:t>
      </w:r>
      <w:r w:rsidRPr="00646384">
        <w:rPr>
          <w:spacing w:val="11"/>
        </w:rPr>
        <w:t xml:space="preserve"> </w:t>
      </w:r>
      <w:r w:rsidRPr="00646384">
        <w:t>Lohnausgleich</w:t>
      </w:r>
      <w:r w:rsidRPr="00646384">
        <w:rPr>
          <w:spacing w:val="13"/>
        </w:rPr>
        <w:t xml:space="preserve"> </w:t>
      </w:r>
      <w:r w:rsidRPr="00646384">
        <w:t>gekämpft</w:t>
      </w:r>
      <w:r w:rsidRPr="00646384">
        <w:rPr>
          <w:spacing w:val="13"/>
        </w:rPr>
        <w:t xml:space="preserve"> </w:t>
      </w:r>
      <w:r w:rsidRPr="00646384">
        <w:t>wurde,</w:t>
      </w:r>
      <w:r w:rsidRPr="00646384">
        <w:rPr>
          <w:spacing w:val="14"/>
        </w:rPr>
        <w:t xml:space="preserve"> </w:t>
      </w:r>
      <w:r w:rsidRPr="00646384">
        <w:t>sah</w:t>
      </w:r>
      <w:r w:rsidRPr="00646384">
        <w:rPr>
          <w:spacing w:val="13"/>
        </w:rPr>
        <w:t xml:space="preserve"> </w:t>
      </w:r>
      <w:r w:rsidRPr="00646384">
        <w:t>der</w:t>
      </w:r>
      <w:r w:rsidRPr="00646384">
        <w:rPr>
          <w:spacing w:val="12"/>
        </w:rPr>
        <w:t xml:space="preserve"> </w:t>
      </w:r>
      <w:r w:rsidRPr="00646384">
        <w:t>sog.</w:t>
      </w:r>
      <w:r w:rsidRPr="00646384">
        <w:rPr>
          <w:spacing w:val="18"/>
        </w:rPr>
        <w:t xml:space="preserve"> </w:t>
      </w:r>
      <w:r w:rsidRPr="00646384">
        <w:t>Akkord</w:t>
      </w:r>
      <w:r w:rsidRPr="00646384">
        <w:rPr>
          <w:spacing w:val="13"/>
        </w:rPr>
        <w:t xml:space="preserve"> </w:t>
      </w:r>
      <w:r w:rsidRPr="00646384">
        <w:t>von</w:t>
      </w:r>
      <w:r w:rsidRPr="00646384">
        <w:rPr>
          <w:spacing w:val="14"/>
        </w:rPr>
        <w:t xml:space="preserve"> </w:t>
      </w:r>
      <w:r w:rsidRPr="00646384">
        <w:rPr>
          <w:spacing w:val="-2"/>
        </w:rPr>
        <w:t xml:space="preserve">Wassenaar </w:t>
      </w:r>
      <w:r w:rsidRPr="00646384">
        <w:t>u.a. Lohnstopp bei gleichzeitiger Arbeitszeitverkürzung sowie regelmäßige Überprüfung</w:t>
      </w:r>
      <w:r w:rsidRPr="00646384">
        <w:rPr>
          <w:spacing w:val="-3"/>
        </w:rPr>
        <w:t xml:space="preserve"> </w:t>
      </w:r>
      <w:r w:rsidRPr="00646384">
        <w:t>der</w:t>
      </w:r>
      <w:r w:rsidRPr="00646384">
        <w:rPr>
          <w:spacing w:val="-2"/>
        </w:rPr>
        <w:t xml:space="preserve"> </w:t>
      </w:r>
      <w:r w:rsidRPr="00646384">
        <w:t>Arbeitsunfähigkeit</w:t>
      </w:r>
      <w:r w:rsidRPr="00646384">
        <w:rPr>
          <w:spacing w:val="-1"/>
        </w:rPr>
        <w:t xml:space="preserve"> </w:t>
      </w:r>
      <w:r w:rsidRPr="00646384">
        <w:t>vor.</w:t>
      </w:r>
      <w:r w:rsidRPr="00646384">
        <w:rPr>
          <w:spacing w:val="-3"/>
        </w:rPr>
        <w:t xml:space="preserve"> </w:t>
      </w:r>
      <w:r w:rsidRPr="00646384">
        <w:t>Das Rentensystem</w:t>
      </w:r>
      <w:r w:rsidRPr="00646384">
        <w:rPr>
          <w:spacing w:val="-2"/>
        </w:rPr>
        <w:t xml:space="preserve"> </w:t>
      </w:r>
      <w:r w:rsidRPr="00646384">
        <w:t>wurde</w:t>
      </w:r>
      <w:r w:rsidRPr="00646384">
        <w:rPr>
          <w:spacing w:val="-6"/>
        </w:rPr>
        <w:t xml:space="preserve"> </w:t>
      </w:r>
      <w:r w:rsidRPr="00646384">
        <w:t>nach</w:t>
      </w:r>
      <w:r w:rsidRPr="00646384">
        <w:rPr>
          <w:spacing w:val="-3"/>
        </w:rPr>
        <w:t xml:space="preserve"> </w:t>
      </w:r>
      <w:r w:rsidRPr="00646384">
        <w:t>dem</w:t>
      </w:r>
      <w:r w:rsidRPr="00646384">
        <w:rPr>
          <w:spacing w:val="-3"/>
        </w:rPr>
        <w:t xml:space="preserve"> </w:t>
      </w:r>
      <w:r w:rsidRPr="00646384">
        <w:t>sog. Cappuccino-Prinzip reformiert: Sinnbildlich bezahlt „der Staat“ den allen frei zugänglichen</w:t>
      </w:r>
      <w:r w:rsidRPr="00646384">
        <w:rPr>
          <w:spacing w:val="-12"/>
        </w:rPr>
        <w:t xml:space="preserve"> </w:t>
      </w:r>
      <w:r w:rsidRPr="00646384">
        <w:t>Kaffee,</w:t>
      </w:r>
      <w:r w:rsidRPr="00646384">
        <w:rPr>
          <w:spacing w:val="-11"/>
        </w:rPr>
        <w:t xml:space="preserve"> </w:t>
      </w:r>
      <w:r w:rsidRPr="00646384">
        <w:t>Arbeitgeber</w:t>
      </w:r>
      <w:r w:rsidRPr="00646384">
        <w:rPr>
          <w:spacing w:val="-11"/>
        </w:rPr>
        <w:t xml:space="preserve"> </w:t>
      </w:r>
      <w:r w:rsidRPr="00646384">
        <w:t>und</w:t>
      </w:r>
      <w:r w:rsidRPr="00646384">
        <w:rPr>
          <w:spacing w:val="-11"/>
        </w:rPr>
        <w:t xml:space="preserve"> </w:t>
      </w:r>
      <w:r w:rsidRPr="00646384">
        <w:t>Arbeitnehmer</w:t>
      </w:r>
      <w:r w:rsidRPr="00646384">
        <w:rPr>
          <w:spacing w:val="-12"/>
        </w:rPr>
        <w:t xml:space="preserve"> </w:t>
      </w:r>
      <w:r w:rsidRPr="00646384">
        <w:t>steuern</w:t>
      </w:r>
      <w:r w:rsidRPr="00646384">
        <w:rPr>
          <w:spacing w:val="-11"/>
        </w:rPr>
        <w:t xml:space="preserve"> </w:t>
      </w:r>
      <w:r w:rsidRPr="00646384">
        <w:t>gemeinsam</w:t>
      </w:r>
      <w:r w:rsidRPr="00646384">
        <w:rPr>
          <w:spacing w:val="-11"/>
        </w:rPr>
        <w:t xml:space="preserve"> </w:t>
      </w:r>
      <w:r w:rsidRPr="00646384">
        <w:t>die</w:t>
      </w:r>
      <w:r w:rsidRPr="00646384">
        <w:rPr>
          <w:spacing w:val="-11"/>
        </w:rPr>
        <w:t xml:space="preserve"> </w:t>
      </w:r>
      <w:r w:rsidRPr="00646384">
        <w:t>Sahne bei – und wer sich zur Zierde noch etwas Kakaopulver darüber streuen möchte, muss dafür selbst aufkommen. Auf die Finanzierung der Renten übertragen bedeutet</w:t>
      </w:r>
      <w:r w:rsidRPr="00646384">
        <w:rPr>
          <w:spacing w:val="-10"/>
        </w:rPr>
        <w:t xml:space="preserve"> </w:t>
      </w:r>
      <w:r w:rsidRPr="00646384">
        <w:t>dies:</w:t>
      </w:r>
      <w:r w:rsidRPr="00646384">
        <w:rPr>
          <w:spacing w:val="-10"/>
        </w:rPr>
        <w:t xml:space="preserve"> </w:t>
      </w:r>
      <w:r w:rsidRPr="00646384">
        <w:t>Alle</w:t>
      </w:r>
      <w:r w:rsidRPr="00646384">
        <w:rPr>
          <w:spacing w:val="-10"/>
        </w:rPr>
        <w:t xml:space="preserve"> </w:t>
      </w:r>
      <w:r w:rsidRPr="00646384">
        <w:t>Rentenempfänger</w:t>
      </w:r>
      <w:r w:rsidRPr="00646384">
        <w:rPr>
          <w:spacing w:val="-10"/>
        </w:rPr>
        <w:t xml:space="preserve"> </w:t>
      </w:r>
      <w:r w:rsidRPr="00646384">
        <w:t>erhalten</w:t>
      </w:r>
      <w:r w:rsidRPr="00646384">
        <w:rPr>
          <w:spacing w:val="-9"/>
        </w:rPr>
        <w:t xml:space="preserve"> </w:t>
      </w:r>
      <w:r w:rsidRPr="00646384">
        <w:t>eine</w:t>
      </w:r>
      <w:r w:rsidRPr="00646384">
        <w:rPr>
          <w:spacing w:val="-10"/>
        </w:rPr>
        <w:t xml:space="preserve"> </w:t>
      </w:r>
      <w:r w:rsidRPr="00646384">
        <w:t>Basiszahlung</w:t>
      </w:r>
      <w:r w:rsidRPr="00646384">
        <w:rPr>
          <w:spacing w:val="-9"/>
        </w:rPr>
        <w:t xml:space="preserve"> </w:t>
      </w:r>
      <w:r w:rsidRPr="00646384">
        <w:t>in</w:t>
      </w:r>
      <w:r w:rsidRPr="00646384">
        <w:rPr>
          <w:spacing w:val="-9"/>
        </w:rPr>
        <w:t xml:space="preserve"> </w:t>
      </w:r>
      <w:r w:rsidRPr="00646384">
        <w:t>Höhe</w:t>
      </w:r>
      <w:r w:rsidRPr="00646384">
        <w:rPr>
          <w:spacing w:val="-10"/>
        </w:rPr>
        <w:t xml:space="preserve"> </w:t>
      </w:r>
      <w:r w:rsidRPr="00646384">
        <w:t>von</w:t>
      </w:r>
      <w:r w:rsidRPr="00646384">
        <w:rPr>
          <w:spacing w:val="-9"/>
        </w:rPr>
        <w:t xml:space="preserve"> </w:t>
      </w:r>
      <w:r w:rsidRPr="00646384">
        <w:t>70% des Mindestlohns. Diese wird durch vertraglich vereinbarte Leistungen von Pensionsfonds</w:t>
      </w:r>
      <w:r w:rsidRPr="00646384">
        <w:rPr>
          <w:spacing w:val="-2"/>
        </w:rPr>
        <w:t xml:space="preserve"> </w:t>
      </w:r>
      <w:r w:rsidRPr="00646384">
        <w:t>aufgestockt.</w:t>
      </w:r>
      <w:r w:rsidRPr="00646384">
        <w:rPr>
          <w:spacing w:val="-4"/>
        </w:rPr>
        <w:t xml:space="preserve"> </w:t>
      </w:r>
      <w:r w:rsidRPr="00646384">
        <w:t>Das</w:t>
      </w:r>
      <w:r w:rsidRPr="00646384">
        <w:rPr>
          <w:spacing w:val="-2"/>
        </w:rPr>
        <w:t xml:space="preserve"> </w:t>
      </w:r>
      <w:r w:rsidRPr="00646384">
        <w:t>dritte</w:t>
      </w:r>
      <w:r w:rsidRPr="00646384">
        <w:rPr>
          <w:spacing w:val="-2"/>
        </w:rPr>
        <w:t xml:space="preserve"> </w:t>
      </w:r>
      <w:r w:rsidRPr="00646384">
        <w:t>Element</w:t>
      </w:r>
      <w:r w:rsidRPr="00646384">
        <w:rPr>
          <w:spacing w:val="-2"/>
        </w:rPr>
        <w:t xml:space="preserve"> </w:t>
      </w:r>
      <w:r w:rsidRPr="00646384">
        <w:t>ist</w:t>
      </w:r>
      <w:r w:rsidRPr="00646384">
        <w:rPr>
          <w:spacing w:val="-4"/>
        </w:rPr>
        <w:t xml:space="preserve"> </w:t>
      </w:r>
      <w:r w:rsidRPr="00646384">
        <w:t>die private</w:t>
      </w:r>
      <w:r w:rsidRPr="00646384">
        <w:rPr>
          <w:spacing w:val="-2"/>
        </w:rPr>
        <w:t xml:space="preserve"> </w:t>
      </w:r>
      <w:r w:rsidRPr="00646384">
        <w:t>Zusatzversicherung. Hierzulande funktioniert die Troika aus Staat, Arbeitgebern und Arbeitsnehmern ganz gut, bestätigt K. de Vries, der ehemalige Leiter der sozialdemokratischen Parlamentsfraktion. Er kennt das politische Holland wie kaum einer und arbeitet nun an einer Schlüsselstelle der Kontaktpflege: Er ist Präsident des Sozialökonomischen Rates, einer Institution, in der sich die Spitzen der Tarifparteien und Regierungsvertreter regelmäßig treffen. Alle Änderungen der Sozialpolitik werden dort diskutiert und kommentiert. Im selben Haus, ein paar Stockwerke höher, arbeitet eine zweite, ebenso wichtige Organisation, die Arbeitsstiftung. Dort wiederum sehen sich Vertreter von Arbeitnehmern fast täglich,</w:t>
      </w:r>
      <w:r w:rsidRPr="00646384">
        <w:rPr>
          <w:spacing w:val="-5"/>
        </w:rPr>
        <w:t xml:space="preserve"> </w:t>
      </w:r>
      <w:r w:rsidRPr="00646384">
        <w:t>unterstützt</w:t>
      </w:r>
      <w:r w:rsidRPr="00646384">
        <w:rPr>
          <w:spacing w:val="-5"/>
        </w:rPr>
        <w:t xml:space="preserve"> </w:t>
      </w:r>
      <w:r w:rsidRPr="00646384">
        <w:t>von</w:t>
      </w:r>
      <w:r w:rsidRPr="00646384">
        <w:rPr>
          <w:spacing w:val="-2"/>
        </w:rPr>
        <w:t xml:space="preserve"> </w:t>
      </w:r>
      <w:r w:rsidRPr="00646384">
        <w:t>wissenschaftlichen</w:t>
      </w:r>
      <w:r w:rsidRPr="00646384">
        <w:rPr>
          <w:spacing w:val="-2"/>
        </w:rPr>
        <w:t xml:space="preserve"> </w:t>
      </w:r>
      <w:r w:rsidRPr="00646384">
        <w:t>Mitarbeitern.</w:t>
      </w:r>
      <w:r w:rsidRPr="00646384">
        <w:rPr>
          <w:spacing w:val="-5"/>
        </w:rPr>
        <w:t xml:space="preserve"> </w:t>
      </w:r>
      <w:r w:rsidRPr="00646384">
        <w:t>Der</w:t>
      </w:r>
      <w:r w:rsidRPr="00646384">
        <w:rPr>
          <w:spacing w:val="-3"/>
        </w:rPr>
        <w:t xml:space="preserve"> </w:t>
      </w:r>
      <w:r w:rsidRPr="00646384">
        <w:t>ständige</w:t>
      </w:r>
      <w:r w:rsidRPr="00646384">
        <w:rPr>
          <w:spacing w:val="-4"/>
        </w:rPr>
        <w:t xml:space="preserve"> </w:t>
      </w:r>
      <w:r w:rsidRPr="00646384">
        <w:t>Kontakt</w:t>
      </w:r>
      <w:r w:rsidRPr="00646384">
        <w:rPr>
          <w:spacing w:val="-5"/>
        </w:rPr>
        <w:t xml:space="preserve"> </w:t>
      </w:r>
      <w:r w:rsidRPr="00646384">
        <w:t>hat konkrete Folgen. Statt sich, wie in Deutschland das Institut der deutschen Wirtschaft und das DGB-Forschungsinstitut, mit entgegengesetzten Studien zu dementieren, werden hier viele Probleme gemeinsam geklärt, sagt de Vries“ (Pinzler 1997).</w:t>
      </w:r>
    </w:p>
    <w:p w14:paraId="729DBA93" w14:textId="77777777" w:rsidR="00FF7799" w:rsidRDefault="00FF7799" w:rsidP="004905D5">
      <w:pPr>
        <w:pStyle w:val="StandardText"/>
        <w:rPr>
          <w:sz w:val="22"/>
          <w:szCs w:val="22"/>
        </w:rPr>
      </w:pPr>
      <w:r w:rsidRPr="00646384">
        <w:rPr>
          <w:b/>
          <w:i/>
          <w:sz w:val="22"/>
          <w:szCs w:val="22"/>
        </w:rPr>
        <w:t>Literatur:</w:t>
      </w:r>
      <w:r w:rsidRPr="00646384">
        <w:rPr>
          <w:sz w:val="22"/>
          <w:szCs w:val="22"/>
        </w:rPr>
        <w:t xml:space="preserve"> Pinzler, P. (1997): Genesung auf holländisch, Die Zeit, 52(3):15.</w:t>
      </w:r>
      <w:r w:rsidRPr="00646384">
        <w:rPr>
          <w:spacing w:val="40"/>
          <w:sz w:val="22"/>
          <w:szCs w:val="22"/>
        </w:rPr>
        <w:t xml:space="preserve"> </w:t>
      </w:r>
      <w:r w:rsidRPr="00646384">
        <w:rPr>
          <w:sz w:val="22"/>
          <w:szCs w:val="22"/>
        </w:rPr>
        <w:t>Schettkat, R.</w:t>
      </w:r>
      <w:r w:rsidRPr="00646384">
        <w:rPr>
          <w:spacing w:val="40"/>
          <w:sz w:val="22"/>
          <w:szCs w:val="22"/>
        </w:rPr>
        <w:t xml:space="preserve"> </w:t>
      </w:r>
      <w:r w:rsidRPr="00646384">
        <w:rPr>
          <w:sz w:val="22"/>
          <w:szCs w:val="22"/>
        </w:rPr>
        <w:t>(2001): Von anderen Ländern lernen? Institutionen und ökonomische Entwicklung in</w:t>
      </w:r>
      <w:r w:rsidRPr="00646384">
        <w:rPr>
          <w:spacing w:val="40"/>
          <w:sz w:val="22"/>
          <w:szCs w:val="22"/>
        </w:rPr>
        <w:t xml:space="preserve"> </w:t>
      </w:r>
      <w:r w:rsidRPr="00646384">
        <w:rPr>
          <w:sz w:val="22"/>
          <w:szCs w:val="22"/>
        </w:rPr>
        <w:t>Deutschland, USA und den Niederlanden, in: Franz, W.; Hesse, H.; Ramser, H.J.; Stadler, M. (Hrsg.), Wirtschaftspolitische Herausforderungen an der Jahrtausendwende, 91-109,</w:t>
      </w:r>
      <w:r w:rsidRPr="00646384">
        <w:rPr>
          <w:spacing w:val="40"/>
          <w:sz w:val="22"/>
          <w:szCs w:val="22"/>
        </w:rPr>
        <w:t xml:space="preserve"> </w:t>
      </w:r>
      <w:r w:rsidRPr="00646384">
        <w:rPr>
          <w:sz w:val="22"/>
          <w:szCs w:val="22"/>
        </w:rPr>
        <w:t>Tübingen: Mohr Siebeck.</w:t>
      </w:r>
    </w:p>
    <w:p w14:paraId="0D3EED2C" w14:textId="77777777" w:rsidR="00043AE9" w:rsidRPr="00646384" w:rsidRDefault="00043AE9" w:rsidP="004905D5">
      <w:pPr>
        <w:pStyle w:val="StandardText"/>
        <w:rPr>
          <w:sz w:val="22"/>
          <w:szCs w:val="22"/>
        </w:rPr>
      </w:pPr>
    </w:p>
    <w:p w14:paraId="049278DB" w14:textId="2AE625F9" w:rsidR="0029103A" w:rsidRPr="0029103A" w:rsidRDefault="0029103A" w:rsidP="0029103A">
      <w:pPr>
        <w:pStyle w:val="berschrift2"/>
        <w:ind w:left="576" w:hanging="576"/>
        <w:rPr>
          <w:b w:val="0"/>
          <w:sz w:val="24"/>
          <w:szCs w:val="24"/>
        </w:rPr>
      </w:pPr>
      <w:r w:rsidRPr="009823E6">
        <w:rPr>
          <w:color w:val="2F5496" w:themeColor="accent5" w:themeShade="BF"/>
          <w:sz w:val="24"/>
          <w:szCs w:val="24"/>
        </w:rPr>
        <w:t>Akkulturation</w:t>
      </w:r>
      <w:r w:rsidRPr="007F69DA">
        <w:rPr>
          <w:bCs w:val="0"/>
          <w:color w:val="2E74B5"/>
          <w:szCs w:val="22"/>
        </w:rPr>
        <w:t xml:space="preserve"> </w:t>
      </w:r>
      <w:r w:rsidRPr="007F69DA">
        <w:rPr>
          <w:rFonts w:eastAsiaTheme="minorHAnsi" w:cstheme="minorBidi"/>
          <w:b w:val="0"/>
          <w:bCs w:val="0"/>
          <w:sz w:val="22"/>
          <w:szCs w:val="22"/>
        </w:rPr>
        <w:sym w:font="Symbol" w:char="F0AE"/>
      </w:r>
      <w:r w:rsidRPr="007F69DA">
        <w:rPr>
          <w:rFonts w:eastAsiaTheme="minorHAnsi" w:cstheme="minorBidi"/>
          <w:b w:val="0"/>
          <w:bCs w:val="0"/>
          <w:sz w:val="22"/>
          <w:szCs w:val="22"/>
        </w:rPr>
        <w:t xml:space="preserve"> </w:t>
      </w:r>
      <w:r w:rsidRPr="0029103A">
        <w:rPr>
          <w:b w:val="0"/>
          <w:sz w:val="24"/>
          <w:szCs w:val="24"/>
        </w:rPr>
        <w:t>Diversity Management; → Enkulturation</w:t>
      </w:r>
    </w:p>
    <w:p w14:paraId="60DCB7F2" w14:textId="77777777" w:rsidR="00FF7799" w:rsidRPr="00E73F6F" w:rsidRDefault="00FF7799" w:rsidP="00DD066F">
      <w:pPr>
        <w:pStyle w:val="berschrift1"/>
        <w:rPr>
          <w:szCs w:val="24"/>
        </w:rPr>
      </w:pPr>
      <w:r w:rsidRPr="009823E6">
        <w:rPr>
          <w:color w:val="2F5496" w:themeColor="accent5" w:themeShade="BF"/>
          <w:szCs w:val="24"/>
        </w:rPr>
        <w:t>Akquieszenz</w:t>
      </w:r>
      <w:r w:rsidRPr="00E73F6F">
        <w:rPr>
          <w:szCs w:val="24"/>
        </w:rPr>
        <w:t xml:space="preserve"> </w:t>
      </w:r>
      <w:r w:rsidRPr="00E73F6F">
        <w:rPr>
          <w:b w:val="0"/>
          <w:szCs w:val="24"/>
        </w:rPr>
        <w:t>→ Ja-Sage-Tendenz</w:t>
      </w:r>
    </w:p>
    <w:p w14:paraId="0E89B48E" w14:textId="77777777" w:rsidR="00FF7799" w:rsidRPr="009823E6" w:rsidRDefault="00FF7799" w:rsidP="00862DBA">
      <w:pPr>
        <w:pStyle w:val="berschrift1"/>
        <w:spacing w:before="91"/>
        <w:rPr>
          <w:color w:val="2F5496" w:themeColor="accent5" w:themeShade="BF"/>
          <w:szCs w:val="24"/>
        </w:rPr>
      </w:pPr>
      <w:r w:rsidRPr="009823E6">
        <w:rPr>
          <w:color w:val="2F5496" w:themeColor="accent5" w:themeShade="BF"/>
          <w:szCs w:val="24"/>
        </w:rPr>
        <w:t>Akzeptanz</w:t>
      </w:r>
      <w:r w:rsidRPr="009823E6">
        <w:rPr>
          <w:color w:val="2F5496" w:themeColor="accent5" w:themeShade="BF"/>
          <w:spacing w:val="-4"/>
          <w:szCs w:val="24"/>
        </w:rPr>
        <w:t xml:space="preserve"> </w:t>
      </w:r>
      <w:r w:rsidRPr="009823E6">
        <w:rPr>
          <w:color w:val="2F5496" w:themeColor="accent5" w:themeShade="BF"/>
          <w:szCs w:val="24"/>
        </w:rPr>
        <w:t>von</w:t>
      </w:r>
      <w:r w:rsidRPr="009823E6">
        <w:rPr>
          <w:color w:val="2F5496" w:themeColor="accent5" w:themeShade="BF"/>
          <w:spacing w:val="-1"/>
          <w:szCs w:val="24"/>
        </w:rPr>
        <w:t xml:space="preserve"> </w:t>
      </w:r>
      <w:r w:rsidRPr="009823E6">
        <w:rPr>
          <w:color w:val="2F5496" w:themeColor="accent5" w:themeShade="BF"/>
          <w:spacing w:val="-2"/>
          <w:szCs w:val="24"/>
        </w:rPr>
        <w:t>Machtdistanz</w:t>
      </w:r>
    </w:p>
    <w:p w14:paraId="53E065CE" w14:textId="77777777" w:rsidR="00FF7799" w:rsidRPr="00E73F6F" w:rsidRDefault="00FF7799" w:rsidP="00F54454">
      <w:pPr>
        <w:pStyle w:val="StandardText"/>
      </w:pPr>
      <w:r w:rsidRPr="00E73F6F">
        <w:t xml:space="preserve">eine der </w:t>
      </w:r>
      <w:r w:rsidR="003C3DC5">
        <w:t xml:space="preserve">sechs </w:t>
      </w:r>
      <w:r w:rsidRPr="00646384">
        <w:t>Hofstede-</w:t>
      </w:r>
      <w:r w:rsidRPr="00E73F6F">
        <w:t xml:space="preserve">Kulturdimensionen. Innerhalb jeder Gesellschaft gibt es ein mehr oder minder stark ausgeprägtes soziales Gefälle. Hofstede (1991, S.28) bezeichnete das Ausmaß, in dem insb. weniger einflussreiche Gesellschaftsmitglieder akzeptieren, dass Status und Macht ungleich verteilt sind, als ‘power distance‘: Akzeptanz von Machtdistanz. Diese </w:t>
      </w:r>
      <w:r w:rsidRPr="00E73F6F">
        <w:rPr>
          <w:rFonts w:ascii="Cambria Math" w:hAnsi="Cambria Math" w:cs="Cambria Math"/>
        </w:rPr>
        <w:t>⇒</w:t>
      </w:r>
      <w:r w:rsidRPr="00E73F6F">
        <w:t xml:space="preserve"> Kulturdimension ist auch Teil des </w:t>
      </w:r>
      <w:r w:rsidR="00C274AE">
        <w:sym w:font="Symbol" w:char="F0DE"/>
      </w:r>
      <w:r w:rsidR="00C274AE">
        <w:t xml:space="preserve"> </w:t>
      </w:r>
      <w:r w:rsidRPr="00E73F6F">
        <w:t>GLOBE-Ansatzes (vgl. House et al. 2004) bzw. unter Bezeichnungen wie ‘hierarchy‘ (Schwartz 1999, S.26ff.) oder „hierarchische Differenzierung“ (vgl. Haire et al. 1966).</w:t>
      </w:r>
    </w:p>
    <w:p w14:paraId="62AE6ED8" w14:textId="77777777" w:rsidR="00FF7799" w:rsidRPr="00E73F6F" w:rsidRDefault="00FF7799" w:rsidP="004905D5">
      <w:pPr>
        <w:pStyle w:val="StandardText"/>
        <w:rPr>
          <w:szCs w:val="24"/>
        </w:rPr>
      </w:pPr>
      <w:r w:rsidRPr="00E73F6F">
        <w:t>In Gesellschaften, in denen Machtungleichheit generell akzeptiert wird, sind die Lebenssphären von Vorgesetzten und Untergebenen räumlich und funktional zumeist eindeutig getrennt. Höhergestellte können ihren sozialen Status offen demonstrieren, ohne sich für die damit verbundenen Privilegien rechtfertigen zu müssen.</w:t>
      </w:r>
      <w:r w:rsidRPr="00E73F6F">
        <w:rPr>
          <w:spacing w:val="-6"/>
        </w:rPr>
        <w:t xml:space="preserve"> </w:t>
      </w:r>
      <w:r w:rsidRPr="00E73F6F">
        <w:t>Auch</w:t>
      </w:r>
      <w:r w:rsidRPr="00E73F6F">
        <w:rPr>
          <w:spacing w:val="-5"/>
        </w:rPr>
        <w:t xml:space="preserve"> </w:t>
      </w:r>
      <w:r w:rsidRPr="00E73F6F">
        <w:t>sind</w:t>
      </w:r>
      <w:r w:rsidRPr="00E73F6F">
        <w:rPr>
          <w:spacing w:val="-5"/>
        </w:rPr>
        <w:t xml:space="preserve"> </w:t>
      </w:r>
      <w:r w:rsidRPr="00E73F6F">
        <w:t>machtdistante</w:t>
      </w:r>
      <w:r w:rsidRPr="00E73F6F">
        <w:rPr>
          <w:spacing w:val="-6"/>
        </w:rPr>
        <w:t xml:space="preserve"> </w:t>
      </w:r>
      <w:r w:rsidRPr="00E73F6F">
        <w:t>Länder</w:t>
      </w:r>
      <w:r w:rsidRPr="00E73F6F">
        <w:rPr>
          <w:spacing w:val="-6"/>
        </w:rPr>
        <w:t xml:space="preserve"> </w:t>
      </w:r>
      <w:r w:rsidRPr="00E73F6F">
        <w:t>wie</w:t>
      </w:r>
      <w:r w:rsidRPr="00E73F6F">
        <w:rPr>
          <w:spacing w:val="-7"/>
        </w:rPr>
        <w:t xml:space="preserve"> </w:t>
      </w:r>
      <w:r w:rsidRPr="00E73F6F">
        <w:t>Malaysia</w:t>
      </w:r>
      <w:r w:rsidRPr="00E73F6F">
        <w:rPr>
          <w:spacing w:val="-6"/>
        </w:rPr>
        <w:t xml:space="preserve"> </w:t>
      </w:r>
      <w:r w:rsidRPr="00E73F6F">
        <w:t>(PDI</w:t>
      </w:r>
      <w:r w:rsidRPr="00E73F6F">
        <w:rPr>
          <w:spacing w:val="-6"/>
        </w:rPr>
        <w:t xml:space="preserve"> </w:t>
      </w:r>
      <w:r w:rsidRPr="00E73F6F">
        <w:t>=</w:t>
      </w:r>
      <w:r w:rsidRPr="00E73F6F">
        <w:rPr>
          <w:spacing w:val="-6"/>
        </w:rPr>
        <w:t xml:space="preserve"> </w:t>
      </w:r>
      <w:r w:rsidRPr="00E73F6F">
        <w:t>104),</w:t>
      </w:r>
      <w:r w:rsidRPr="00E73F6F">
        <w:rPr>
          <w:spacing w:val="-5"/>
        </w:rPr>
        <w:t xml:space="preserve"> </w:t>
      </w:r>
      <w:r w:rsidRPr="00E73F6F">
        <w:t>Panama</w:t>
      </w:r>
      <w:r w:rsidRPr="00E73F6F">
        <w:rPr>
          <w:spacing w:val="-6"/>
        </w:rPr>
        <w:t xml:space="preserve"> </w:t>
      </w:r>
      <w:r w:rsidRPr="00E73F6F">
        <w:rPr>
          <w:spacing w:val="-4"/>
        </w:rPr>
        <w:t xml:space="preserve">(PDI </w:t>
      </w:r>
      <w:r w:rsidRPr="00E73F6F">
        <w:rPr>
          <w:szCs w:val="24"/>
        </w:rPr>
        <w:t>=</w:t>
      </w:r>
      <w:r w:rsidRPr="00E73F6F">
        <w:rPr>
          <w:spacing w:val="-5"/>
          <w:szCs w:val="24"/>
        </w:rPr>
        <w:t xml:space="preserve"> </w:t>
      </w:r>
      <w:r w:rsidRPr="00E73F6F">
        <w:rPr>
          <w:szCs w:val="24"/>
        </w:rPr>
        <w:t>95),</w:t>
      </w:r>
      <w:r w:rsidRPr="00E73F6F">
        <w:rPr>
          <w:spacing w:val="-4"/>
          <w:szCs w:val="24"/>
        </w:rPr>
        <w:t xml:space="preserve"> </w:t>
      </w:r>
      <w:r w:rsidRPr="00E73F6F">
        <w:rPr>
          <w:szCs w:val="24"/>
        </w:rPr>
        <w:t>Russland</w:t>
      </w:r>
      <w:r w:rsidRPr="00E73F6F">
        <w:rPr>
          <w:spacing w:val="-2"/>
          <w:szCs w:val="24"/>
        </w:rPr>
        <w:t xml:space="preserve"> </w:t>
      </w:r>
      <w:r w:rsidRPr="00E73F6F">
        <w:rPr>
          <w:szCs w:val="24"/>
        </w:rPr>
        <w:t>(PDI</w:t>
      </w:r>
      <w:r w:rsidRPr="00E73F6F">
        <w:rPr>
          <w:spacing w:val="-5"/>
          <w:szCs w:val="24"/>
        </w:rPr>
        <w:t xml:space="preserve"> </w:t>
      </w:r>
      <w:r w:rsidRPr="00E73F6F">
        <w:rPr>
          <w:szCs w:val="24"/>
        </w:rPr>
        <w:t>=</w:t>
      </w:r>
      <w:r w:rsidRPr="00E73F6F">
        <w:rPr>
          <w:spacing w:val="-5"/>
          <w:szCs w:val="24"/>
        </w:rPr>
        <w:t xml:space="preserve"> </w:t>
      </w:r>
      <w:r w:rsidRPr="00E73F6F">
        <w:rPr>
          <w:szCs w:val="24"/>
        </w:rPr>
        <w:t>95),</w:t>
      </w:r>
      <w:r w:rsidRPr="00E73F6F">
        <w:rPr>
          <w:spacing w:val="-6"/>
          <w:szCs w:val="24"/>
        </w:rPr>
        <w:t xml:space="preserve"> </w:t>
      </w:r>
      <w:r w:rsidRPr="00E73F6F">
        <w:rPr>
          <w:szCs w:val="24"/>
        </w:rPr>
        <w:t>Saudi</w:t>
      </w:r>
      <w:r w:rsidRPr="00E73F6F">
        <w:rPr>
          <w:spacing w:val="-6"/>
          <w:szCs w:val="24"/>
        </w:rPr>
        <w:t xml:space="preserve"> </w:t>
      </w:r>
      <w:r w:rsidRPr="00E73F6F">
        <w:rPr>
          <w:szCs w:val="24"/>
        </w:rPr>
        <w:t>Arabien</w:t>
      </w:r>
      <w:r w:rsidRPr="00E73F6F">
        <w:rPr>
          <w:spacing w:val="-4"/>
          <w:szCs w:val="24"/>
        </w:rPr>
        <w:t xml:space="preserve"> </w:t>
      </w:r>
      <w:r w:rsidRPr="00E73F6F">
        <w:rPr>
          <w:szCs w:val="24"/>
        </w:rPr>
        <w:t>(PDI</w:t>
      </w:r>
      <w:r w:rsidRPr="00E73F6F">
        <w:rPr>
          <w:spacing w:val="-5"/>
          <w:szCs w:val="24"/>
        </w:rPr>
        <w:t xml:space="preserve"> </w:t>
      </w:r>
      <w:r w:rsidRPr="00E73F6F">
        <w:rPr>
          <w:szCs w:val="24"/>
        </w:rPr>
        <w:t>=</w:t>
      </w:r>
      <w:r w:rsidRPr="00E73F6F">
        <w:rPr>
          <w:spacing w:val="-5"/>
          <w:szCs w:val="24"/>
        </w:rPr>
        <w:t xml:space="preserve"> </w:t>
      </w:r>
      <w:r w:rsidRPr="00E73F6F">
        <w:rPr>
          <w:szCs w:val="24"/>
        </w:rPr>
        <w:t>95),</w:t>
      </w:r>
      <w:r w:rsidRPr="00E73F6F">
        <w:rPr>
          <w:spacing w:val="-4"/>
          <w:szCs w:val="24"/>
        </w:rPr>
        <w:t xml:space="preserve"> </w:t>
      </w:r>
      <w:r w:rsidRPr="00E73F6F">
        <w:rPr>
          <w:szCs w:val="24"/>
        </w:rPr>
        <w:t>die</w:t>
      </w:r>
      <w:r w:rsidRPr="00E73F6F">
        <w:rPr>
          <w:spacing w:val="-5"/>
          <w:szCs w:val="24"/>
        </w:rPr>
        <w:t xml:space="preserve"> </w:t>
      </w:r>
      <w:r w:rsidRPr="00E73F6F">
        <w:rPr>
          <w:szCs w:val="24"/>
        </w:rPr>
        <w:t>Philippinen</w:t>
      </w:r>
      <w:r w:rsidRPr="00E73F6F">
        <w:rPr>
          <w:spacing w:val="-3"/>
          <w:szCs w:val="24"/>
        </w:rPr>
        <w:t xml:space="preserve"> </w:t>
      </w:r>
      <w:r w:rsidRPr="00E73F6F">
        <w:rPr>
          <w:szCs w:val="24"/>
        </w:rPr>
        <w:t>(PDI</w:t>
      </w:r>
      <w:r w:rsidRPr="00E73F6F">
        <w:rPr>
          <w:spacing w:val="-5"/>
          <w:szCs w:val="24"/>
        </w:rPr>
        <w:t xml:space="preserve"> </w:t>
      </w:r>
      <w:r w:rsidRPr="00E73F6F">
        <w:rPr>
          <w:szCs w:val="24"/>
        </w:rPr>
        <w:t>=</w:t>
      </w:r>
      <w:r w:rsidRPr="00E73F6F">
        <w:rPr>
          <w:spacing w:val="-5"/>
          <w:szCs w:val="24"/>
        </w:rPr>
        <w:t xml:space="preserve"> </w:t>
      </w:r>
      <w:r w:rsidRPr="00E73F6F">
        <w:rPr>
          <w:szCs w:val="24"/>
        </w:rPr>
        <w:t xml:space="preserve">94) oder China </w:t>
      </w:r>
      <w:r w:rsidR="00C274AE">
        <w:rPr>
          <w:szCs w:val="24"/>
        </w:rPr>
        <w:t xml:space="preserve">(PDI = 80) mehr als andere für </w:t>
      </w:r>
      <w:r w:rsidR="00C274AE">
        <w:rPr>
          <w:szCs w:val="24"/>
        </w:rPr>
        <w:sym w:font="Symbol" w:char="F0DE"/>
      </w:r>
      <w:r w:rsidRPr="00E73F6F">
        <w:rPr>
          <w:szCs w:val="24"/>
        </w:rPr>
        <w:t xml:space="preserve"> Korruption anfällig.</w:t>
      </w:r>
    </w:p>
    <w:p w14:paraId="58DF3A98" w14:textId="77777777" w:rsidR="00FF7799" w:rsidRPr="00E73F6F" w:rsidRDefault="00FF7799" w:rsidP="00862DBA">
      <w:pPr>
        <w:spacing w:before="1"/>
        <w:jc w:val="both"/>
        <w:rPr>
          <w:sz w:val="24"/>
          <w:szCs w:val="24"/>
        </w:rPr>
      </w:pPr>
    </w:p>
    <w:p w14:paraId="06D7C92A" w14:textId="77777777" w:rsidR="00FF7799" w:rsidRPr="00037FAC" w:rsidRDefault="009C4E13" w:rsidP="009C4E13">
      <w:pPr>
        <w:pStyle w:val="BeschriftungTab"/>
        <w:rPr>
          <w:i/>
          <w:iCs/>
        </w:rPr>
      </w:pPr>
      <w:r w:rsidRPr="00037FAC">
        <w:rPr>
          <w:i/>
          <w:iCs/>
        </w:rPr>
        <w:t xml:space="preserve">Tab. 1: </w:t>
      </w:r>
      <w:r w:rsidR="00FF7799" w:rsidRPr="00037FAC">
        <w:rPr>
          <w:i/>
          <w:iCs/>
        </w:rPr>
        <w:t>Konsequenzen</w:t>
      </w:r>
      <w:r w:rsidR="00FF7799" w:rsidRPr="00037FAC">
        <w:rPr>
          <w:i/>
          <w:iCs/>
          <w:spacing w:val="-1"/>
        </w:rPr>
        <w:t xml:space="preserve"> </w:t>
      </w:r>
      <w:r w:rsidR="00FF7799" w:rsidRPr="00037FAC">
        <w:rPr>
          <w:i/>
          <w:iCs/>
        </w:rPr>
        <w:t>der</w:t>
      </w:r>
      <w:r w:rsidR="00FF7799" w:rsidRPr="00037FAC">
        <w:rPr>
          <w:i/>
          <w:iCs/>
          <w:spacing w:val="-2"/>
        </w:rPr>
        <w:t xml:space="preserve"> </w:t>
      </w:r>
      <w:r w:rsidR="00FF7799" w:rsidRPr="00037FAC">
        <w:rPr>
          <w:i/>
          <w:iCs/>
        </w:rPr>
        <w:t>Akzeptanz</w:t>
      </w:r>
      <w:r w:rsidR="00FF7799" w:rsidRPr="00037FAC">
        <w:rPr>
          <w:i/>
          <w:iCs/>
          <w:spacing w:val="-3"/>
        </w:rPr>
        <w:t xml:space="preserve"> </w:t>
      </w:r>
      <w:r w:rsidR="00FF7799" w:rsidRPr="00037FAC">
        <w:rPr>
          <w:i/>
          <w:iCs/>
        </w:rPr>
        <w:t>von Machtdistanz</w:t>
      </w:r>
      <w:r w:rsidR="00FF7799" w:rsidRPr="00037FAC">
        <w:rPr>
          <w:i/>
          <w:iCs/>
          <w:spacing w:val="-3"/>
        </w:rPr>
        <w:t xml:space="preserve"> </w:t>
      </w:r>
      <w:r w:rsidR="00FF7799" w:rsidRPr="00037FAC">
        <w:rPr>
          <w:i/>
          <w:iCs/>
        </w:rPr>
        <w:t>für</w:t>
      </w:r>
      <w:r w:rsidR="00FF7799" w:rsidRPr="00037FAC">
        <w:rPr>
          <w:i/>
          <w:iCs/>
          <w:spacing w:val="-4"/>
        </w:rPr>
        <w:t xml:space="preserve"> </w:t>
      </w:r>
      <w:r w:rsidR="00FF7799" w:rsidRPr="00037FAC">
        <w:rPr>
          <w:i/>
          <w:iCs/>
        </w:rPr>
        <w:t>das</w:t>
      </w:r>
      <w:r w:rsidR="00FF7799" w:rsidRPr="00037FAC">
        <w:rPr>
          <w:i/>
          <w:iCs/>
          <w:spacing w:val="-1"/>
        </w:rPr>
        <w:t xml:space="preserve"> </w:t>
      </w:r>
      <w:r w:rsidR="00FF7799" w:rsidRPr="00037FAC">
        <w:rPr>
          <w:i/>
          <w:iCs/>
          <w:spacing w:val="-2"/>
        </w:rPr>
        <w:t>Arbeitsleben</w:t>
      </w:r>
    </w:p>
    <w:tbl>
      <w:tblPr>
        <w:tblStyle w:val="TableNormal"/>
        <w:tblW w:w="0" w:type="auto"/>
        <w:tblInd w:w="139" w:type="dxa"/>
        <w:tblBorders>
          <w:top w:val="single" w:sz="4" w:space="0" w:color="000000"/>
          <w:bottom w:val="single" w:sz="4" w:space="0" w:color="000000"/>
          <w:insideH w:val="single" w:sz="4" w:space="0" w:color="000000"/>
        </w:tblBorders>
        <w:tblLayout w:type="fixed"/>
        <w:tblLook w:val="01E0" w:firstRow="1" w:lastRow="1" w:firstColumn="1" w:lastColumn="1" w:noHBand="0" w:noVBand="0"/>
      </w:tblPr>
      <w:tblGrid>
        <w:gridCol w:w="3964"/>
        <w:gridCol w:w="4969"/>
      </w:tblGrid>
      <w:tr w:rsidR="00FF7799" w:rsidRPr="00E73F6F" w14:paraId="0B94D74B" w14:textId="77777777" w:rsidTr="0046492B">
        <w:trPr>
          <w:trHeight w:val="321"/>
        </w:trPr>
        <w:tc>
          <w:tcPr>
            <w:tcW w:w="3964" w:type="dxa"/>
            <w:shd w:val="clear" w:color="auto" w:fill="FFC000"/>
          </w:tcPr>
          <w:p w14:paraId="1F4D11F9" w14:textId="77777777" w:rsidR="00FF7799" w:rsidRPr="00E73F6F" w:rsidRDefault="00FF7799" w:rsidP="00D97BAA">
            <w:pPr>
              <w:pStyle w:val="StandardText"/>
              <w:jc w:val="center"/>
              <w:rPr>
                <w:b/>
                <w:spacing w:val="-7"/>
                <w:lang w:val="de-DE"/>
              </w:rPr>
            </w:pPr>
            <w:r w:rsidRPr="00E73F6F">
              <w:rPr>
                <w:b/>
                <w:lang w:val="de-DE"/>
              </w:rPr>
              <w:t>Gesellschaften,</w:t>
            </w:r>
          </w:p>
          <w:p w14:paraId="6AB73C65" w14:textId="77777777" w:rsidR="00FF7799" w:rsidRPr="00E73F6F" w:rsidRDefault="00FF7799" w:rsidP="00D97BAA">
            <w:pPr>
              <w:pStyle w:val="StandardText"/>
              <w:jc w:val="center"/>
              <w:rPr>
                <w:b/>
                <w:lang w:val="de-DE"/>
              </w:rPr>
            </w:pPr>
            <w:r w:rsidRPr="00E73F6F">
              <w:rPr>
                <w:b/>
                <w:lang w:val="de-DE"/>
              </w:rPr>
              <w:lastRenderedPageBreak/>
              <w:t>die</w:t>
            </w:r>
            <w:r w:rsidRPr="00E73F6F">
              <w:rPr>
                <w:b/>
                <w:spacing w:val="-7"/>
                <w:lang w:val="de-DE"/>
              </w:rPr>
              <w:t xml:space="preserve"> </w:t>
            </w:r>
            <w:r w:rsidRPr="00E73F6F">
              <w:rPr>
                <w:b/>
                <w:lang w:val="de-DE"/>
              </w:rPr>
              <w:t>Machtdistanz</w:t>
            </w:r>
            <w:r w:rsidRPr="00E73F6F">
              <w:rPr>
                <w:b/>
                <w:spacing w:val="-7"/>
                <w:lang w:val="de-DE"/>
              </w:rPr>
              <w:t xml:space="preserve"> </w:t>
            </w:r>
            <w:r w:rsidRPr="00E73F6F">
              <w:rPr>
                <w:b/>
                <w:spacing w:val="-2"/>
                <w:lang w:val="de-DE"/>
              </w:rPr>
              <w:t>akzeptieren</w:t>
            </w:r>
          </w:p>
        </w:tc>
        <w:tc>
          <w:tcPr>
            <w:tcW w:w="4969" w:type="dxa"/>
            <w:shd w:val="clear" w:color="auto" w:fill="FFC000"/>
          </w:tcPr>
          <w:p w14:paraId="1294DEB6" w14:textId="77777777" w:rsidR="00FF7799" w:rsidRPr="00E73F6F" w:rsidRDefault="00FF7799" w:rsidP="00D97BAA">
            <w:pPr>
              <w:pStyle w:val="StandardText"/>
              <w:jc w:val="center"/>
              <w:rPr>
                <w:b/>
                <w:lang w:val="de-DE"/>
              </w:rPr>
            </w:pPr>
            <w:r w:rsidRPr="00E73F6F">
              <w:rPr>
                <w:b/>
                <w:lang w:val="de-DE"/>
              </w:rPr>
              <w:lastRenderedPageBreak/>
              <w:t>Gesellschaften,</w:t>
            </w:r>
          </w:p>
          <w:p w14:paraId="7430B4CB" w14:textId="77777777" w:rsidR="00FF7799" w:rsidRPr="00E73F6F" w:rsidRDefault="00FF7799" w:rsidP="00D97BAA">
            <w:pPr>
              <w:pStyle w:val="StandardText"/>
              <w:jc w:val="center"/>
              <w:rPr>
                <w:b/>
                <w:lang w:val="de-DE"/>
              </w:rPr>
            </w:pPr>
            <w:r w:rsidRPr="00E73F6F">
              <w:rPr>
                <w:b/>
                <w:lang w:val="de-DE"/>
              </w:rPr>
              <w:lastRenderedPageBreak/>
              <w:t>die Machtdistanz ablehnen</w:t>
            </w:r>
          </w:p>
        </w:tc>
      </w:tr>
      <w:tr w:rsidR="00FF7799" w:rsidRPr="00E73F6F" w14:paraId="4D51411C" w14:textId="77777777" w:rsidTr="0046492B">
        <w:trPr>
          <w:trHeight w:val="421"/>
        </w:trPr>
        <w:tc>
          <w:tcPr>
            <w:tcW w:w="3964" w:type="dxa"/>
          </w:tcPr>
          <w:p w14:paraId="68142259" w14:textId="77777777" w:rsidR="00FF7799" w:rsidRPr="00E73F6F" w:rsidRDefault="00FF7799">
            <w:pPr>
              <w:pStyle w:val="StandardText"/>
              <w:numPr>
                <w:ilvl w:val="0"/>
                <w:numId w:val="7"/>
              </w:numPr>
              <w:ind w:left="290" w:hanging="284"/>
              <w:rPr>
                <w:lang w:val="de-DE"/>
              </w:rPr>
            </w:pPr>
            <w:r w:rsidRPr="00E73F6F">
              <w:rPr>
                <w:lang w:val="de-DE"/>
              </w:rPr>
              <w:lastRenderedPageBreak/>
              <w:t>Große</w:t>
            </w:r>
            <w:r w:rsidRPr="00E73F6F">
              <w:rPr>
                <w:spacing w:val="-4"/>
                <w:lang w:val="de-DE"/>
              </w:rPr>
              <w:t xml:space="preserve"> </w:t>
            </w:r>
            <w:r w:rsidRPr="00E73F6F">
              <w:rPr>
                <w:spacing w:val="-2"/>
                <w:lang w:val="de-DE"/>
              </w:rPr>
              <w:t>Einkommensunterschiede</w:t>
            </w:r>
          </w:p>
        </w:tc>
        <w:tc>
          <w:tcPr>
            <w:tcW w:w="4969" w:type="dxa"/>
          </w:tcPr>
          <w:p w14:paraId="6776A2D2" w14:textId="77777777" w:rsidR="00FF7799" w:rsidRPr="00E73F6F" w:rsidRDefault="00FF7799">
            <w:pPr>
              <w:pStyle w:val="StandardText"/>
              <w:numPr>
                <w:ilvl w:val="0"/>
                <w:numId w:val="7"/>
              </w:numPr>
              <w:rPr>
                <w:lang w:val="de-DE"/>
              </w:rPr>
            </w:pPr>
            <w:r w:rsidRPr="00E73F6F">
              <w:rPr>
                <w:lang w:val="de-DE"/>
              </w:rPr>
              <w:t>Geringere</w:t>
            </w:r>
            <w:r w:rsidRPr="00E73F6F">
              <w:rPr>
                <w:spacing w:val="-8"/>
                <w:lang w:val="de-DE"/>
              </w:rPr>
              <w:t xml:space="preserve"> </w:t>
            </w:r>
            <w:r w:rsidRPr="00E73F6F">
              <w:rPr>
                <w:spacing w:val="-2"/>
                <w:lang w:val="de-DE"/>
              </w:rPr>
              <w:t>Einkommensunterschiede</w:t>
            </w:r>
          </w:p>
        </w:tc>
      </w:tr>
      <w:tr w:rsidR="00FF7799" w:rsidRPr="00E73F6F" w14:paraId="49E79905" w14:textId="77777777" w:rsidTr="0046492B">
        <w:trPr>
          <w:trHeight w:val="493"/>
        </w:trPr>
        <w:tc>
          <w:tcPr>
            <w:tcW w:w="3964" w:type="dxa"/>
          </w:tcPr>
          <w:p w14:paraId="413B9B73" w14:textId="77777777" w:rsidR="00FF7799" w:rsidRPr="00E73F6F" w:rsidRDefault="00FF7799">
            <w:pPr>
              <w:pStyle w:val="StandardText"/>
              <w:numPr>
                <w:ilvl w:val="0"/>
                <w:numId w:val="7"/>
              </w:numPr>
              <w:ind w:left="290" w:hanging="284"/>
              <w:jc w:val="left"/>
              <w:rPr>
                <w:lang w:val="de-DE"/>
              </w:rPr>
            </w:pPr>
            <w:r w:rsidRPr="00E73F6F">
              <w:rPr>
                <w:lang w:val="de-DE"/>
              </w:rPr>
              <w:t>Hierarchie</w:t>
            </w:r>
            <w:r w:rsidRPr="00E73F6F">
              <w:rPr>
                <w:spacing w:val="-9"/>
                <w:lang w:val="de-DE"/>
              </w:rPr>
              <w:t xml:space="preserve"> </w:t>
            </w:r>
            <w:r w:rsidRPr="00E73F6F">
              <w:rPr>
                <w:lang w:val="de-DE"/>
              </w:rPr>
              <w:t>bedeutet</w:t>
            </w:r>
            <w:r w:rsidRPr="00E73F6F">
              <w:rPr>
                <w:spacing w:val="-9"/>
                <w:lang w:val="de-DE"/>
              </w:rPr>
              <w:t xml:space="preserve"> </w:t>
            </w:r>
            <w:r w:rsidRPr="00E73F6F">
              <w:rPr>
                <w:lang w:val="de-DE"/>
              </w:rPr>
              <w:t>existenzielle</w:t>
            </w:r>
            <w:r w:rsidRPr="00E73F6F">
              <w:rPr>
                <w:spacing w:val="-9"/>
                <w:lang w:val="de-DE"/>
              </w:rPr>
              <w:t xml:space="preserve"> </w:t>
            </w:r>
            <w:r w:rsidRPr="00E73F6F">
              <w:rPr>
                <w:lang w:val="de-DE"/>
              </w:rPr>
              <w:t>Ungleichheit</w:t>
            </w:r>
            <w:r w:rsidRPr="00E73F6F">
              <w:rPr>
                <w:spacing w:val="40"/>
                <w:lang w:val="de-DE"/>
              </w:rPr>
              <w:t xml:space="preserve"> </w:t>
            </w:r>
            <w:r w:rsidRPr="00E73F6F">
              <w:rPr>
                <w:lang w:val="de-DE"/>
              </w:rPr>
              <w:t>(=</w:t>
            </w:r>
            <w:r w:rsidRPr="00E73F6F">
              <w:rPr>
                <w:spacing w:val="80"/>
                <w:lang w:val="de-DE"/>
              </w:rPr>
              <w:t xml:space="preserve"> </w:t>
            </w:r>
            <w:r w:rsidRPr="00E73F6F">
              <w:rPr>
                <w:lang w:val="de-DE"/>
              </w:rPr>
              <w:t>dauerhaft)</w:t>
            </w:r>
          </w:p>
        </w:tc>
        <w:tc>
          <w:tcPr>
            <w:tcW w:w="4969" w:type="dxa"/>
          </w:tcPr>
          <w:p w14:paraId="26C7612C" w14:textId="77777777" w:rsidR="00FF7799" w:rsidRPr="00E73F6F" w:rsidRDefault="00FF7799">
            <w:pPr>
              <w:pStyle w:val="StandardText"/>
              <w:numPr>
                <w:ilvl w:val="0"/>
                <w:numId w:val="7"/>
              </w:numPr>
              <w:jc w:val="left"/>
              <w:rPr>
                <w:lang w:val="de-DE"/>
              </w:rPr>
            </w:pPr>
            <w:r w:rsidRPr="00E73F6F">
              <w:rPr>
                <w:lang w:val="de-DE"/>
              </w:rPr>
              <w:t>Hierarchie</w:t>
            </w:r>
            <w:r w:rsidRPr="00E73F6F">
              <w:rPr>
                <w:spacing w:val="-2"/>
                <w:lang w:val="de-DE"/>
              </w:rPr>
              <w:t xml:space="preserve"> </w:t>
            </w:r>
            <w:r w:rsidRPr="00E73F6F">
              <w:rPr>
                <w:lang w:val="de-DE"/>
              </w:rPr>
              <w:t>bedeutet</w:t>
            </w:r>
            <w:r w:rsidRPr="00E73F6F">
              <w:rPr>
                <w:spacing w:val="-3"/>
                <w:lang w:val="de-DE"/>
              </w:rPr>
              <w:t xml:space="preserve"> </w:t>
            </w:r>
            <w:r w:rsidRPr="00E73F6F">
              <w:rPr>
                <w:lang w:val="de-DE"/>
              </w:rPr>
              <w:t>Ungleichheiten</w:t>
            </w:r>
            <w:r w:rsidRPr="00E73F6F">
              <w:rPr>
                <w:spacing w:val="-3"/>
                <w:lang w:val="de-DE"/>
              </w:rPr>
              <w:t xml:space="preserve"> </w:t>
            </w:r>
            <w:r w:rsidRPr="00E73F6F">
              <w:rPr>
                <w:lang w:val="de-DE"/>
              </w:rPr>
              <w:t>der</w:t>
            </w:r>
            <w:r w:rsidRPr="00E73F6F">
              <w:rPr>
                <w:spacing w:val="40"/>
                <w:lang w:val="de-DE"/>
              </w:rPr>
              <w:t xml:space="preserve"> </w:t>
            </w:r>
            <w:r w:rsidRPr="00E73F6F">
              <w:rPr>
                <w:lang w:val="de-DE"/>
              </w:rPr>
              <w:t>Rollen</w:t>
            </w:r>
            <w:r w:rsidRPr="00E73F6F">
              <w:rPr>
                <w:spacing w:val="80"/>
                <w:lang w:val="de-DE"/>
              </w:rPr>
              <w:t xml:space="preserve"> </w:t>
            </w:r>
            <w:r w:rsidRPr="00E73F6F">
              <w:rPr>
                <w:lang w:val="de-DE"/>
              </w:rPr>
              <w:t>aus</w:t>
            </w:r>
            <w:r w:rsidRPr="00E73F6F">
              <w:rPr>
                <w:spacing w:val="80"/>
                <w:lang w:val="de-DE"/>
              </w:rPr>
              <w:t xml:space="preserve"> </w:t>
            </w:r>
            <w:r w:rsidRPr="00E73F6F">
              <w:rPr>
                <w:lang w:val="de-DE"/>
              </w:rPr>
              <w:t>funktionalen</w:t>
            </w:r>
            <w:r w:rsidRPr="00E73F6F">
              <w:rPr>
                <w:spacing w:val="80"/>
                <w:lang w:val="de-DE"/>
              </w:rPr>
              <w:t xml:space="preserve"> </w:t>
            </w:r>
            <w:r w:rsidRPr="00E73F6F">
              <w:rPr>
                <w:lang w:val="de-DE"/>
              </w:rPr>
              <w:t xml:space="preserve">Gründen </w:t>
            </w:r>
            <w:r w:rsidRPr="00E73F6F">
              <w:rPr>
                <w:lang w:val="de-DE"/>
              </w:rPr>
              <w:br/>
              <w:t>(=</w:t>
            </w:r>
            <w:r w:rsidRPr="00E73F6F">
              <w:rPr>
                <w:spacing w:val="-2"/>
                <w:lang w:val="de-DE"/>
              </w:rPr>
              <w:t xml:space="preserve"> situativ)</w:t>
            </w:r>
          </w:p>
        </w:tc>
      </w:tr>
      <w:tr w:rsidR="00FF7799" w:rsidRPr="00E73F6F" w14:paraId="047252B8" w14:textId="77777777" w:rsidTr="0046492B">
        <w:trPr>
          <w:trHeight w:val="331"/>
        </w:trPr>
        <w:tc>
          <w:tcPr>
            <w:tcW w:w="3964" w:type="dxa"/>
          </w:tcPr>
          <w:p w14:paraId="54E62BF5" w14:textId="77777777" w:rsidR="00FF7799" w:rsidRPr="00E73F6F" w:rsidRDefault="00FF7799">
            <w:pPr>
              <w:pStyle w:val="StandardText"/>
              <w:numPr>
                <w:ilvl w:val="0"/>
                <w:numId w:val="7"/>
              </w:numPr>
              <w:ind w:left="290" w:hanging="284"/>
              <w:jc w:val="left"/>
              <w:rPr>
                <w:lang w:val="de-DE"/>
              </w:rPr>
            </w:pPr>
            <w:r w:rsidRPr="00E73F6F">
              <w:rPr>
                <w:lang w:val="de-DE"/>
              </w:rPr>
              <w:t>Mitarbeiter</w:t>
            </w:r>
            <w:r w:rsidRPr="00E73F6F">
              <w:rPr>
                <w:spacing w:val="-6"/>
                <w:lang w:val="de-DE"/>
              </w:rPr>
              <w:t xml:space="preserve"> </w:t>
            </w:r>
            <w:r w:rsidRPr="00E73F6F">
              <w:rPr>
                <w:lang w:val="de-DE"/>
              </w:rPr>
              <w:t>erwarten</w:t>
            </w:r>
            <w:r w:rsidRPr="00E73F6F">
              <w:rPr>
                <w:spacing w:val="-6"/>
                <w:lang w:val="de-DE"/>
              </w:rPr>
              <w:t xml:space="preserve"> </w:t>
            </w:r>
            <w:r w:rsidRPr="00E73F6F">
              <w:rPr>
                <w:lang w:val="de-DE"/>
              </w:rPr>
              <w:t>Anweisungen</w:t>
            </w:r>
            <w:r w:rsidRPr="00E73F6F">
              <w:rPr>
                <w:spacing w:val="-5"/>
                <w:lang w:val="de-DE"/>
              </w:rPr>
              <w:t xml:space="preserve"> </w:t>
            </w:r>
            <w:r w:rsidRPr="00E73F6F">
              <w:rPr>
                <w:lang w:val="de-DE"/>
              </w:rPr>
              <w:t>&amp;</w:t>
            </w:r>
            <w:r w:rsidRPr="00E73F6F">
              <w:rPr>
                <w:spacing w:val="-4"/>
                <w:lang w:val="de-DE"/>
              </w:rPr>
              <w:t xml:space="preserve"> </w:t>
            </w:r>
            <w:r w:rsidRPr="00E73F6F">
              <w:rPr>
                <w:spacing w:val="-2"/>
                <w:lang w:val="de-DE"/>
              </w:rPr>
              <w:t>Vorschriften</w:t>
            </w:r>
          </w:p>
        </w:tc>
        <w:tc>
          <w:tcPr>
            <w:tcW w:w="4969" w:type="dxa"/>
          </w:tcPr>
          <w:p w14:paraId="1D31395C" w14:textId="77777777" w:rsidR="00FF7799" w:rsidRPr="00E73F6F" w:rsidRDefault="00FF7799">
            <w:pPr>
              <w:pStyle w:val="StandardText"/>
              <w:numPr>
                <w:ilvl w:val="0"/>
                <w:numId w:val="7"/>
              </w:numPr>
              <w:jc w:val="left"/>
              <w:rPr>
                <w:lang w:val="de-DE"/>
              </w:rPr>
            </w:pPr>
            <w:r w:rsidRPr="00E73F6F">
              <w:rPr>
                <w:lang w:val="de-DE"/>
              </w:rPr>
              <w:t>Mitarbeiter</w:t>
            </w:r>
            <w:r w:rsidRPr="00E73F6F">
              <w:rPr>
                <w:spacing w:val="-9"/>
                <w:lang w:val="de-DE"/>
              </w:rPr>
              <w:t xml:space="preserve"> </w:t>
            </w:r>
            <w:r w:rsidRPr="00E73F6F">
              <w:rPr>
                <w:lang w:val="de-DE"/>
              </w:rPr>
              <w:t>erwarten,</w:t>
            </w:r>
            <w:r w:rsidRPr="00E73F6F">
              <w:rPr>
                <w:spacing w:val="-9"/>
                <w:lang w:val="de-DE"/>
              </w:rPr>
              <w:t xml:space="preserve"> </w:t>
            </w:r>
            <w:r w:rsidRPr="00E73F6F">
              <w:rPr>
                <w:lang w:val="de-DE"/>
              </w:rPr>
              <w:t>in</w:t>
            </w:r>
            <w:r w:rsidRPr="00E73F6F">
              <w:rPr>
                <w:spacing w:val="-9"/>
                <w:lang w:val="de-DE"/>
              </w:rPr>
              <w:t xml:space="preserve"> </w:t>
            </w:r>
            <w:r w:rsidR="00DD4E52">
              <w:rPr>
                <w:lang w:val="de-DE"/>
              </w:rPr>
              <w:t>Entscheidungs</w:t>
            </w:r>
            <w:r w:rsidRPr="00E73F6F">
              <w:rPr>
                <w:lang w:val="de-DE"/>
              </w:rPr>
              <w:t>prozesse einbezogen zu werden</w:t>
            </w:r>
          </w:p>
        </w:tc>
      </w:tr>
      <w:tr w:rsidR="00FF7799" w:rsidRPr="00E73F6F" w14:paraId="30871DE8" w14:textId="77777777" w:rsidTr="0046492B">
        <w:trPr>
          <w:trHeight w:val="331"/>
        </w:trPr>
        <w:tc>
          <w:tcPr>
            <w:tcW w:w="3964" w:type="dxa"/>
          </w:tcPr>
          <w:p w14:paraId="30DC1D95" w14:textId="77777777" w:rsidR="00FF7799" w:rsidRPr="00E73F6F" w:rsidRDefault="00FF7799">
            <w:pPr>
              <w:pStyle w:val="StandardText"/>
              <w:numPr>
                <w:ilvl w:val="0"/>
                <w:numId w:val="7"/>
              </w:numPr>
              <w:ind w:left="290" w:hanging="284"/>
              <w:jc w:val="left"/>
              <w:rPr>
                <w:lang w:val="de-DE"/>
              </w:rPr>
            </w:pPr>
            <w:r w:rsidRPr="00E73F6F">
              <w:rPr>
                <w:lang w:val="de-DE"/>
              </w:rPr>
              <w:t>Tendenz</w:t>
            </w:r>
            <w:r w:rsidRPr="00E73F6F">
              <w:rPr>
                <w:spacing w:val="21"/>
                <w:lang w:val="de-DE"/>
              </w:rPr>
              <w:t xml:space="preserve"> </w:t>
            </w:r>
            <w:r w:rsidRPr="00E73F6F">
              <w:rPr>
                <w:lang w:val="de-DE"/>
              </w:rPr>
              <w:t>zur</w:t>
            </w:r>
            <w:r w:rsidRPr="00E73F6F">
              <w:rPr>
                <w:spacing w:val="20"/>
                <w:lang w:val="de-DE"/>
              </w:rPr>
              <w:t xml:space="preserve"> </w:t>
            </w:r>
            <w:r w:rsidRPr="00E73F6F">
              <w:rPr>
                <w:lang w:val="de-DE"/>
              </w:rPr>
              <w:t>Zentralisation</w:t>
            </w:r>
            <w:r w:rsidRPr="00E73F6F">
              <w:rPr>
                <w:spacing w:val="20"/>
                <w:lang w:val="de-DE"/>
              </w:rPr>
              <w:t xml:space="preserve"> </w:t>
            </w:r>
            <w:r w:rsidRPr="00E73F6F">
              <w:rPr>
                <w:lang w:val="de-DE"/>
              </w:rPr>
              <w:t>von</w:t>
            </w:r>
            <w:r w:rsidRPr="00E73F6F">
              <w:rPr>
                <w:spacing w:val="23"/>
                <w:lang w:val="de-DE"/>
              </w:rPr>
              <w:t xml:space="preserve"> </w:t>
            </w:r>
            <w:r w:rsidRPr="00E73F6F">
              <w:rPr>
                <w:lang w:val="de-DE"/>
              </w:rPr>
              <w:t>Entscheidung</w:t>
            </w:r>
            <w:r w:rsidRPr="00E73F6F">
              <w:rPr>
                <w:spacing w:val="20"/>
                <w:lang w:val="de-DE"/>
              </w:rPr>
              <w:t xml:space="preserve"> </w:t>
            </w:r>
            <w:r w:rsidRPr="00E73F6F">
              <w:rPr>
                <w:lang w:val="de-DE"/>
              </w:rPr>
              <w:t>&amp;</w:t>
            </w:r>
            <w:r w:rsidRPr="00E73F6F">
              <w:rPr>
                <w:spacing w:val="40"/>
                <w:lang w:val="de-DE"/>
              </w:rPr>
              <w:t xml:space="preserve"> </w:t>
            </w:r>
            <w:r w:rsidRPr="00E73F6F">
              <w:rPr>
                <w:spacing w:val="-2"/>
                <w:lang w:val="de-DE"/>
              </w:rPr>
              <w:t>Verantwortung</w:t>
            </w:r>
          </w:p>
        </w:tc>
        <w:tc>
          <w:tcPr>
            <w:tcW w:w="4969" w:type="dxa"/>
          </w:tcPr>
          <w:p w14:paraId="0767B493" w14:textId="77777777" w:rsidR="00FF7799" w:rsidRPr="00E73F6F" w:rsidRDefault="00FF7799">
            <w:pPr>
              <w:pStyle w:val="StandardText"/>
              <w:numPr>
                <w:ilvl w:val="0"/>
                <w:numId w:val="7"/>
              </w:numPr>
              <w:jc w:val="left"/>
              <w:rPr>
                <w:lang w:val="de-DE"/>
              </w:rPr>
            </w:pPr>
            <w:r w:rsidRPr="00E73F6F">
              <w:rPr>
                <w:lang w:val="de-DE"/>
              </w:rPr>
              <w:t>Tendenz zur Delegation von Aufgaben</w:t>
            </w:r>
            <w:r w:rsidRPr="00E73F6F">
              <w:rPr>
                <w:spacing w:val="40"/>
                <w:lang w:val="de-DE"/>
              </w:rPr>
              <w:t xml:space="preserve"> </w:t>
            </w:r>
            <w:r w:rsidRPr="00E73F6F">
              <w:rPr>
                <w:lang w:val="de-DE"/>
              </w:rPr>
              <w:t>&amp;</w:t>
            </w:r>
            <w:r w:rsidRPr="00E73F6F">
              <w:rPr>
                <w:spacing w:val="-6"/>
                <w:lang w:val="de-DE"/>
              </w:rPr>
              <w:t xml:space="preserve"> </w:t>
            </w:r>
            <w:r w:rsidRPr="00E73F6F">
              <w:rPr>
                <w:lang w:val="de-DE"/>
              </w:rPr>
              <w:t>Verantwortung</w:t>
            </w:r>
          </w:p>
        </w:tc>
      </w:tr>
      <w:tr w:rsidR="00FF7799" w:rsidRPr="00E73F6F" w14:paraId="2D838B5C" w14:textId="77777777" w:rsidTr="0046492B">
        <w:trPr>
          <w:trHeight w:val="318"/>
        </w:trPr>
        <w:tc>
          <w:tcPr>
            <w:tcW w:w="3964" w:type="dxa"/>
          </w:tcPr>
          <w:p w14:paraId="4A931117" w14:textId="77777777" w:rsidR="00FF7799" w:rsidRPr="00E73F6F" w:rsidRDefault="00FF7799">
            <w:pPr>
              <w:pStyle w:val="StandardText"/>
              <w:numPr>
                <w:ilvl w:val="0"/>
                <w:numId w:val="7"/>
              </w:numPr>
              <w:ind w:left="290" w:hanging="284"/>
              <w:jc w:val="left"/>
              <w:rPr>
                <w:lang w:val="de-DE"/>
              </w:rPr>
            </w:pPr>
            <w:r w:rsidRPr="00E73F6F">
              <w:rPr>
                <w:lang w:val="de-DE"/>
              </w:rPr>
              <w:t>Idealer</w:t>
            </w:r>
            <w:r w:rsidRPr="00E73F6F">
              <w:rPr>
                <w:spacing w:val="-4"/>
                <w:lang w:val="de-DE"/>
              </w:rPr>
              <w:t xml:space="preserve"> </w:t>
            </w:r>
            <w:r w:rsidRPr="00E73F6F">
              <w:rPr>
                <w:lang w:val="de-DE"/>
              </w:rPr>
              <w:t>Chef</w:t>
            </w:r>
            <w:r w:rsidRPr="00E73F6F">
              <w:rPr>
                <w:spacing w:val="-4"/>
                <w:lang w:val="de-DE"/>
              </w:rPr>
              <w:t xml:space="preserve"> </w:t>
            </w:r>
            <w:r w:rsidRPr="00E73F6F">
              <w:rPr>
                <w:lang w:val="de-DE"/>
              </w:rPr>
              <w:t>ist</w:t>
            </w:r>
            <w:r w:rsidRPr="00E73F6F">
              <w:rPr>
                <w:spacing w:val="-4"/>
                <w:lang w:val="de-DE"/>
              </w:rPr>
              <w:t xml:space="preserve"> </w:t>
            </w:r>
            <w:r w:rsidRPr="00E73F6F">
              <w:rPr>
                <w:lang w:val="de-DE"/>
              </w:rPr>
              <w:t>wohlwollender</w:t>
            </w:r>
            <w:r w:rsidRPr="00E73F6F">
              <w:rPr>
                <w:spacing w:val="-4"/>
                <w:lang w:val="de-DE"/>
              </w:rPr>
              <w:t xml:space="preserve"> </w:t>
            </w:r>
            <w:r w:rsidRPr="00E73F6F">
              <w:rPr>
                <w:spacing w:val="-2"/>
                <w:lang w:val="de-DE"/>
              </w:rPr>
              <w:t>Autokrat</w:t>
            </w:r>
          </w:p>
        </w:tc>
        <w:tc>
          <w:tcPr>
            <w:tcW w:w="4969" w:type="dxa"/>
          </w:tcPr>
          <w:p w14:paraId="070387F6" w14:textId="77777777" w:rsidR="00FF7799" w:rsidRPr="00E73F6F" w:rsidRDefault="00FF7799">
            <w:pPr>
              <w:pStyle w:val="StandardText"/>
              <w:numPr>
                <w:ilvl w:val="0"/>
                <w:numId w:val="7"/>
              </w:numPr>
              <w:jc w:val="left"/>
              <w:rPr>
                <w:lang w:val="de-DE"/>
              </w:rPr>
            </w:pPr>
            <w:r w:rsidRPr="00E73F6F">
              <w:rPr>
                <w:lang w:val="de-DE"/>
              </w:rPr>
              <w:t>Idealer</w:t>
            </w:r>
            <w:r w:rsidRPr="00E73F6F">
              <w:rPr>
                <w:spacing w:val="-4"/>
                <w:lang w:val="de-DE"/>
              </w:rPr>
              <w:t xml:space="preserve"> </w:t>
            </w:r>
            <w:r w:rsidRPr="00E73F6F">
              <w:rPr>
                <w:lang w:val="de-DE"/>
              </w:rPr>
              <w:t>Chef</w:t>
            </w:r>
            <w:r w:rsidRPr="00E73F6F">
              <w:rPr>
                <w:spacing w:val="-3"/>
                <w:lang w:val="de-DE"/>
              </w:rPr>
              <w:t xml:space="preserve"> </w:t>
            </w:r>
            <w:r w:rsidRPr="00E73F6F">
              <w:rPr>
                <w:lang w:val="de-DE"/>
              </w:rPr>
              <w:t>ist</w:t>
            </w:r>
            <w:r w:rsidRPr="00E73F6F">
              <w:rPr>
                <w:spacing w:val="-3"/>
                <w:lang w:val="de-DE"/>
              </w:rPr>
              <w:t xml:space="preserve"> </w:t>
            </w:r>
            <w:r w:rsidRPr="00E73F6F">
              <w:rPr>
                <w:lang w:val="de-DE"/>
              </w:rPr>
              <w:t>ein</w:t>
            </w:r>
            <w:r w:rsidRPr="00E73F6F">
              <w:rPr>
                <w:spacing w:val="-3"/>
                <w:lang w:val="de-DE"/>
              </w:rPr>
              <w:t xml:space="preserve"> </w:t>
            </w:r>
            <w:r w:rsidRPr="00E73F6F">
              <w:rPr>
                <w:lang w:val="de-DE"/>
              </w:rPr>
              <w:t>fähiger</w:t>
            </w:r>
            <w:r w:rsidRPr="00E73F6F">
              <w:rPr>
                <w:spacing w:val="-3"/>
                <w:lang w:val="de-DE"/>
              </w:rPr>
              <w:t xml:space="preserve"> </w:t>
            </w:r>
            <w:r w:rsidRPr="00E73F6F">
              <w:rPr>
                <w:spacing w:val="-2"/>
                <w:lang w:val="de-DE"/>
              </w:rPr>
              <w:t>Demokrat</w:t>
            </w:r>
          </w:p>
        </w:tc>
      </w:tr>
    </w:tbl>
    <w:p w14:paraId="2A861B98" w14:textId="77777777" w:rsidR="00FF7799" w:rsidRPr="00E73F6F" w:rsidRDefault="00FF7799" w:rsidP="00862DBA">
      <w:pPr>
        <w:spacing w:before="7"/>
        <w:rPr>
          <w:sz w:val="24"/>
          <w:szCs w:val="24"/>
        </w:rPr>
      </w:pPr>
    </w:p>
    <w:p w14:paraId="75DD6185" w14:textId="77777777" w:rsidR="00FF7799" w:rsidRPr="003C3DC5" w:rsidRDefault="00FF7799" w:rsidP="00D97BAA">
      <w:pPr>
        <w:pStyle w:val="StandardText"/>
        <w:rPr>
          <w:sz w:val="22"/>
          <w:szCs w:val="22"/>
          <w:lang w:val="en-US"/>
        </w:rPr>
      </w:pPr>
      <w:r w:rsidRPr="00646384">
        <w:rPr>
          <w:b/>
          <w:i/>
          <w:sz w:val="22"/>
          <w:szCs w:val="22"/>
          <w:lang w:val="en-US"/>
        </w:rPr>
        <w:t>Literatur:</w:t>
      </w:r>
      <w:r w:rsidRPr="00646384">
        <w:rPr>
          <w:b/>
          <w:sz w:val="22"/>
          <w:szCs w:val="22"/>
          <w:lang w:val="en-US"/>
        </w:rPr>
        <w:t xml:space="preserve"> </w:t>
      </w:r>
      <w:r w:rsidRPr="003C3DC5">
        <w:rPr>
          <w:sz w:val="22"/>
          <w:szCs w:val="22"/>
          <w:lang w:val="en-US"/>
        </w:rPr>
        <w:t>Haire, M.; Ghiselli, E.; Porter, L.W. (1966): Managerial Thinking. An</w:t>
      </w:r>
      <w:r w:rsidRPr="003C3DC5">
        <w:rPr>
          <w:spacing w:val="40"/>
          <w:sz w:val="22"/>
          <w:szCs w:val="22"/>
          <w:lang w:val="en-US"/>
        </w:rPr>
        <w:t xml:space="preserve"> </w:t>
      </w:r>
      <w:r w:rsidRPr="003C3DC5">
        <w:rPr>
          <w:sz w:val="22"/>
          <w:szCs w:val="22"/>
          <w:lang w:val="en-US"/>
        </w:rPr>
        <w:t>International Study, New York: Wiley.</w:t>
      </w:r>
      <w:r w:rsidRPr="003C3DC5">
        <w:rPr>
          <w:spacing w:val="40"/>
          <w:sz w:val="22"/>
          <w:szCs w:val="22"/>
          <w:lang w:val="en-US"/>
        </w:rPr>
        <w:t xml:space="preserve"> </w:t>
      </w:r>
      <w:r w:rsidRPr="003C3DC5">
        <w:rPr>
          <w:sz w:val="22"/>
          <w:szCs w:val="22"/>
          <w:lang w:val="en-US"/>
        </w:rPr>
        <w:t>Hofstede, G. (1991): Cultures and Organizations.</w:t>
      </w:r>
      <w:r w:rsidRPr="003C3DC5">
        <w:rPr>
          <w:spacing w:val="40"/>
          <w:sz w:val="22"/>
          <w:szCs w:val="22"/>
          <w:lang w:val="en-US"/>
        </w:rPr>
        <w:t xml:space="preserve"> </w:t>
      </w:r>
      <w:r w:rsidRPr="003C3DC5">
        <w:rPr>
          <w:sz w:val="22"/>
          <w:szCs w:val="22"/>
          <w:lang w:val="en-US"/>
        </w:rPr>
        <w:t>Intercultural Cooperation and its Importance for Survival, London: McGraw-Hill.</w:t>
      </w:r>
      <w:r w:rsidRPr="003C3DC5">
        <w:rPr>
          <w:spacing w:val="40"/>
          <w:sz w:val="22"/>
          <w:szCs w:val="22"/>
          <w:lang w:val="en-US"/>
        </w:rPr>
        <w:t xml:space="preserve"> </w:t>
      </w:r>
      <w:r w:rsidRPr="003C3DC5">
        <w:rPr>
          <w:sz w:val="22"/>
          <w:szCs w:val="22"/>
          <w:lang w:val="en-US"/>
        </w:rPr>
        <w:t>House,</w:t>
      </w:r>
      <w:r w:rsidRPr="003C3DC5">
        <w:rPr>
          <w:spacing w:val="40"/>
          <w:sz w:val="22"/>
          <w:szCs w:val="22"/>
          <w:lang w:val="en-US"/>
        </w:rPr>
        <w:t xml:space="preserve"> </w:t>
      </w:r>
      <w:r w:rsidRPr="003C3DC5">
        <w:rPr>
          <w:sz w:val="22"/>
          <w:szCs w:val="22"/>
          <w:lang w:val="en-US"/>
        </w:rPr>
        <w:t>R.J.; Hanges, P.J.; Dorfmann, P.W.; Gupta, V. (2004): Culture, Leadership, and</w:t>
      </w:r>
      <w:r w:rsidRPr="003C3DC5">
        <w:rPr>
          <w:spacing w:val="40"/>
          <w:sz w:val="22"/>
          <w:szCs w:val="22"/>
          <w:lang w:val="en-US"/>
        </w:rPr>
        <w:t xml:space="preserve"> </w:t>
      </w:r>
      <w:r w:rsidRPr="003C3DC5">
        <w:rPr>
          <w:sz w:val="22"/>
          <w:szCs w:val="22"/>
          <w:lang w:val="en-US"/>
        </w:rPr>
        <w:t>Organizations. The GLOBE Study of 62 Societies, Thousand Oaks/CA: Sage.</w:t>
      </w:r>
      <w:r w:rsidRPr="003C3DC5">
        <w:rPr>
          <w:spacing w:val="80"/>
          <w:sz w:val="22"/>
          <w:szCs w:val="22"/>
          <w:lang w:val="en-US"/>
        </w:rPr>
        <w:t xml:space="preserve"> </w:t>
      </w:r>
      <w:r w:rsidRPr="003C3DC5">
        <w:rPr>
          <w:sz w:val="22"/>
          <w:szCs w:val="22"/>
          <w:lang w:val="en-US"/>
        </w:rPr>
        <w:t>Schwartz, S.H. (1999): A Theory of Cultural Values and some Implications for Work, Applied</w:t>
      </w:r>
      <w:r w:rsidRPr="003C3DC5">
        <w:rPr>
          <w:spacing w:val="40"/>
          <w:sz w:val="22"/>
          <w:szCs w:val="22"/>
          <w:lang w:val="en-US"/>
        </w:rPr>
        <w:t xml:space="preserve"> </w:t>
      </w:r>
      <w:r w:rsidRPr="003C3DC5">
        <w:rPr>
          <w:sz w:val="22"/>
          <w:szCs w:val="22"/>
          <w:lang w:val="en-US"/>
        </w:rPr>
        <w:t>Psychology, 48(1): 23-47.</w:t>
      </w:r>
    </w:p>
    <w:p w14:paraId="48F31A36" w14:textId="77777777" w:rsidR="00FF7799" w:rsidRPr="00B571EF" w:rsidRDefault="00FF7799" w:rsidP="00F54454">
      <w:pPr>
        <w:pStyle w:val="StandardText"/>
        <w:rPr>
          <w:sz w:val="22"/>
          <w:szCs w:val="22"/>
          <w:lang w:val="en-US"/>
        </w:rPr>
      </w:pPr>
    </w:p>
    <w:p w14:paraId="31415CDD" w14:textId="77777777" w:rsidR="00FF7799" w:rsidRDefault="00FF7799" w:rsidP="00D97BAA">
      <w:pPr>
        <w:pStyle w:val="berschrift1"/>
        <w:rPr>
          <w:b w:val="0"/>
        </w:rPr>
      </w:pPr>
      <w:r w:rsidRPr="009823E6">
        <w:rPr>
          <w:color w:val="2F5496" w:themeColor="accent5" w:themeShade="BF"/>
        </w:rPr>
        <w:t>Allozentriker</w:t>
      </w:r>
      <w:r w:rsidRPr="00E73F6F">
        <w:t xml:space="preserve"> </w:t>
      </w:r>
      <w:r w:rsidRPr="00E73F6F">
        <w:rPr>
          <w:b w:val="0"/>
        </w:rPr>
        <w:t>→ Kultur, individuelle</w:t>
      </w:r>
    </w:p>
    <w:p w14:paraId="33945C8F" w14:textId="77777777" w:rsidR="0000202D" w:rsidRPr="00E73F6F" w:rsidRDefault="0000202D" w:rsidP="00D97BAA">
      <w:pPr>
        <w:pStyle w:val="berschrift1"/>
      </w:pPr>
      <w:r w:rsidRPr="00CF3D78">
        <w:rPr>
          <w:color w:val="2F5496" w:themeColor="accent5" w:themeShade="BF"/>
        </w:rPr>
        <w:t>Amae</w:t>
      </w:r>
      <w:r w:rsidRPr="0000202D">
        <w:t xml:space="preserve"> </w:t>
      </w:r>
      <w:r>
        <w:rPr>
          <w:b w:val="0"/>
        </w:rPr>
        <w:t>→ Auswirkungen der Landeskultur</w:t>
      </w:r>
    </w:p>
    <w:p w14:paraId="5DAF9E5B" w14:textId="77777777" w:rsidR="00FF7799" w:rsidRPr="00E73F6F" w:rsidRDefault="00FF7799" w:rsidP="00D97BAA">
      <w:pPr>
        <w:pStyle w:val="berschrift1"/>
      </w:pPr>
      <w:r w:rsidRPr="00CF3D78">
        <w:rPr>
          <w:color w:val="2F5496" w:themeColor="accent5" w:themeShade="BF"/>
        </w:rPr>
        <w:t>Animatismus</w:t>
      </w:r>
      <w:r w:rsidRPr="00E73F6F">
        <w:t xml:space="preserve"> →</w:t>
      </w:r>
      <w:r w:rsidRPr="00E73F6F">
        <w:rPr>
          <w:b w:val="0"/>
          <w:spacing w:val="3"/>
        </w:rPr>
        <w:t xml:space="preserve"> </w:t>
      </w:r>
      <w:r w:rsidRPr="00E73F6F">
        <w:rPr>
          <w:b w:val="0"/>
        </w:rPr>
        <w:t>Animismus</w:t>
      </w:r>
    </w:p>
    <w:p w14:paraId="355B030B" w14:textId="77777777" w:rsidR="00FF7799" w:rsidRPr="00CF3D78" w:rsidRDefault="00FF7799" w:rsidP="00D97BAA">
      <w:pPr>
        <w:pStyle w:val="berschrift1"/>
        <w:rPr>
          <w:color w:val="2F5496" w:themeColor="accent5" w:themeShade="BF"/>
        </w:rPr>
      </w:pPr>
      <w:r w:rsidRPr="00CF3D78">
        <w:rPr>
          <w:color w:val="2F5496" w:themeColor="accent5" w:themeShade="BF"/>
        </w:rPr>
        <w:t>Animismus</w:t>
      </w:r>
    </w:p>
    <w:p w14:paraId="7F908BBE" w14:textId="77777777" w:rsidR="00FF7799" w:rsidRPr="00E73F6F" w:rsidRDefault="00FF7799" w:rsidP="00D97BAA">
      <w:pPr>
        <w:pStyle w:val="StandardText"/>
      </w:pPr>
      <w:r w:rsidRPr="00E73F6F">
        <w:t>(1) Lehre</w:t>
      </w:r>
      <w:r w:rsidRPr="00E73F6F">
        <w:rPr>
          <w:spacing w:val="-5"/>
        </w:rPr>
        <w:t xml:space="preserve"> </w:t>
      </w:r>
      <w:r w:rsidRPr="00E73F6F">
        <w:t>von der</w:t>
      </w:r>
      <w:r w:rsidRPr="00E73F6F">
        <w:rPr>
          <w:spacing w:val="-3"/>
        </w:rPr>
        <w:t xml:space="preserve"> </w:t>
      </w:r>
      <w:r w:rsidRPr="00E73F6F">
        <w:t>unsterblichen</w:t>
      </w:r>
      <w:r w:rsidRPr="00E73F6F">
        <w:rPr>
          <w:spacing w:val="-2"/>
        </w:rPr>
        <w:t xml:space="preserve"> </w:t>
      </w:r>
      <w:r w:rsidRPr="00E73F6F">
        <w:t>Seele</w:t>
      </w:r>
      <w:r w:rsidRPr="00E73F6F">
        <w:rPr>
          <w:spacing w:val="-1"/>
        </w:rPr>
        <w:t xml:space="preserve"> </w:t>
      </w:r>
      <w:r w:rsidRPr="00E73F6F">
        <w:t>(lat.</w:t>
      </w:r>
      <w:r w:rsidRPr="00E73F6F">
        <w:rPr>
          <w:spacing w:val="3"/>
        </w:rPr>
        <w:t xml:space="preserve"> </w:t>
      </w:r>
      <w:r w:rsidRPr="00E73F6F">
        <w:t>=</w:t>
      </w:r>
      <w:r w:rsidRPr="00E73F6F">
        <w:rPr>
          <w:spacing w:val="-1"/>
        </w:rPr>
        <w:t xml:space="preserve"> </w:t>
      </w:r>
      <w:r w:rsidRPr="00E73F6F">
        <w:rPr>
          <w:spacing w:val="-2"/>
        </w:rPr>
        <w:t>‘animus‘)</w:t>
      </w:r>
    </w:p>
    <w:p w14:paraId="674DF48D" w14:textId="77777777" w:rsidR="00FF7799" w:rsidRPr="00E73F6F" w:rsidRDefault="00FF7799" w:rsidP="00D97BAA">
      <w:pPr>
        <w:pStyle w:val="StandardText"/>
      </w:pPr>
      <w:r w:rsidRPr="00E73F6F">
        <w:t xml:space="preserve">(2) In der Tradition der </w:t>
      </w:r>
      <w:r w:rsidRPr="00E73F6F">
        <w:rPr>
          <w:rFonts w:ascii="Cambria Math" w:hAnsi="Cambria Math" w:cs="Cambria Math"/>
        </w:rPr>
        <w:t>⇒</w:t>
      </w:r>
      <w:r w:rsidRPr="00E73F6F">
        <w:t xml:space="preserve"> Ethnologie des 19. Jahrhunderts werden insb. die westafrikanischen </w:t>
      </w:r>
      <w:r w:rsidRPr="00E73F6F">
        <w:rPr>
          <w:rFonts w:ascii="Cambria Math" w:hAnsi="Cambria Math" w:cs="Cambria Math"/>
        </w:rPr>
        <w:t>⇒</w:t>
      </w:r>
      <w:r w:rsidRPr="00E73F6F">
        <w:t xml:space="preserve"> Naturreligionen unter dieser Kategorie zusammengefasst und als animistisch bezeichnet. Charakteristisch für diese Urform menschlicher Religiosität</w:t>
      </w:r>
      <w:r w:rsidRPr="00E73F6F">
        <w:rPr>
          <w:spacing w:val="-7"/>
        </w:rPr>
        <w:t xml:space="preserve"> </w:t>
      </w:r>
      <w:r w:rsidRPr="00E73F6F">
        <w:t>ist</w:t>
      </w:r>
      <w:r w:rsidRPr="00E73F6F">
        <w:rPr>
          <w:spacing w:val="-5"/>
        </w:rPr>
        <w:t xml:space="preserve"> </w:t>
      </w:r>
      <w:r w:rsidRPr="00E73F6F">
        <w:t>die</w:t>
      </w:r>
      <w:r w:rsidRPr="00E73F6F">
        <w:rPr>
          <w:spacing w:val="-6"/>
        </w:rPr>
        <w:t xml:space="preserve"> </w:t>
      </w:r>
      <w:r w:rsidRPr="00E73F6F">
        <w:t>Vorstellung</w:t>
      </w:r>
      <w:r w:rsidRPr="00E73F6F">
        <w:rPr>
          <w:spacing w:val="-7"/>
        </w:rPr>
        <w:t xml:space="preserve"> </w:t>
      </w:r>
      <w:r w:rsidRPr="00E73F6F">
        <w:t>von</w:t>
      </w:r>
      <w:r w:rsidRPr="00E73F6F">
        <w:rPr>
          <w:spacing w:val="-4"/>
        </w:rPr>
        <w:t xml:space="preserve"> </w:t>
      </w:r>
      <w:r w:rsidRPr="00E73F6F">
        <w:t>einer</w:t>
      </w:r>
      <w:r w:rsidRPr="00E73F6F">
        <w:rPr>
          <w:spacing w:val="-5"/>
        </w:rPr>
        <w:t xml:space="preserve"> </w:t>
      </w:r>
      <w:r w:rsidRPr="00E73F6F">
        <w:t>„beseelten“</w:t>
      </w:r>
      <w:r w:rsidRPr="00E73F6F">
        <w:rPr>
          <w:spacing w:val="-6"/>
        </w:rPr>
        <w:t xml:space="preserve"> </w:t>
      </w:r>
      <w:r w:rsidRPr="00E73F6F">
        <w:t>Welt,</w:t>
      </w:r>
      <w:r w:rsidRPr="00E73F6F">
        <w:rPr>
          <w:spacing w:val="-7"/>
        </w:rPr>
        <w:t xml:space="preserve"> </w:t>
      </w:r>
      <w:r w:rsidRPr="00E73F6F">
        <w:t>in</w:t>
      </w:r>
      <w:r w:rsidRPr="00E73F6F">
        <w:rPr>
          <w:spacing w:val="-6"/>
        </w:rPr>
        <w:t xml:space="preserve"> </w:t>
      </w:r>
      <w:r w:rsidRPr="00E73F6F">
        <w:t>der</w:t>
      </w:r>
      <w:r w:rsidRPr="00E73F6F">
        <w:rPr>
          <w:spacing w:val="-5"/>
        </w:rPr>
        <w:t xml:space="preserve"> </w:t>
      </w:r>
      <w:r w:rsidRPr="00E73F6F">
        <w:t>Objekte,</w:t>
      </w:r>
      <w:r w:rsidRPr="00E73F6F">
        <w:rPr>
          <w:spacing w:val="-5"/>
        </w:rPr>
        <w:t xml:space="preserve"> </w:t>
      </w:r>
      <w:r w:rsidRPr="00E73F6F">
        <w:t>Geister und Vorfahren eine wichtige Rolle spielen. Deren Erwartungen müssen die Gläubigen jederzeit gerecht werden, wollen sie von diesem Schutz</w:t>
      </w:r>
      <w:r w:rsidRPr="00E73F6F">
        <w:rPr>
          <w:spacing w:val="-1"/>
        </w:rPr>
        <w:t xml:space="preserve"> </w:t>
      </w:r>
      <w:r w:rsidRPr="00E73F6F">
        <w:t>erlangen bzw. nicht deren Opfer werden. Opfergaben und Zauberpraktiken sind dazu bestimmt, die Geisterwesen zu besänftigen und/oder Macht über sie zu erlangen. Vom Glauben</w:t>
      </w:r>
      <w:r w:rsidRPr="00E73F6F">
        <w:rPr>
          <w:spacing w:val="-2"/>
        </w:rPr>
        <w:t xml:space="preserve"> </w:t>
      </w:r>
      <w:r w:rsidRPr="00E73F6F">
        <w:t>an</w:t>
      </w:r>
      <w:r w:rsidRPr="00E73F6F">
        <w:rPr>
          <w:spacing w:val="-2"/>
        </w:rPr>
        <w:t xml:space="preserve"> </w:t>
      </w:r>
      <w:r w:rsidRPr="00E73F6F">
        <w:t>Geisterwesen (=</w:t>
      </w:r>
      <w:r w:rsidRPr="00E73F6F">
        <w:rPr>
          <w:spacing w:val="-4"/>
        </w:rPr>
        <w:t xml:space="preserve"> </w:t>
      </w:r>
      <w:r w:rsidRPr="00E73F6F">
        <w:t>Personalismus)</w:t>
      </w:r>
      <w:r w:rsidRPr="00E73F6F">
        <w:rPr>
          <w:spacing w:val="-2"/>
        </w:rPr>
        <w:t xml:space="preserve"> </w:t>
      </w:r>
      <w:r w:rsidRPr="00E73F6F">
        <w:t>ist</w:t>
      </w:r>
      <w:r w:rsidRPr="00E73F6F">
        <w:rPr>
          <w:spacing w:val="-5"/>
        </w:rPr>
        <w:t xml:space="preserve"> </w:t>
      </w:r>
      <w:r w:rsidRPr="00E73F6F">
        <w:t>der</w:t>
      </w:r>
      <w:r w:rsidRPr="00E73F6F">
        <w:rPr>
          <w:spacing w:val="-3"/>
        </w:rPr>
        <w:t xml:space="preserve"> </w:t>
      </w:r>
      <w:r w:rsidRPr="00E73F6F">
        <w:t>Glaube</w:t>
      </w:r>
      <w:r w:rsidRPr="00E73F6F">
        <w:rPr>
          <w:spacing w:val="-4"/>
        </w:rPr>
        <w:t xml:space="preserve"> </w:t>
      </w:r>
      <w:r w:rsidRPr="00E73F6F">
        <w:t>an</w:t>
      </w:r>
      <w:r w:rsidRPr="00E73F6F">
        <w:rPr>
          <w:spacing w:val="-4"/>
        </w:rPr>
        <w:t xml:space="preserve"> </w:t>
      </w:r>
      <w:r w:rsidRPr="00E73F6F">
        <w:t>ein</w:t>
      </w:r>
      <w:r w:rsidRPr="00E73F6F">
        <w:rPr>
          <w:spacing w:val="-6"/>
        </w:rPr>
        <w:t xml:space="preserve"> </w:t>
      </w:r>
      <w:r w:rsidRPr="00E73F6F">
        <w:t>beseeltes</w:t>
      </w:r>
      <w:r w:rsidRPr="00E73F6F">
        <w:rPr>
          <w:spacing w:val="-3"/>
        </w:rPr>
        <w:t xml:space="preserve"> </w:t>
      </w:r>
      <w:r w:rsidRPr="00E73F6F">
        <w:t>All (= Animatismus) abzugrenzen.</w:t>
      </w:r>
    </w:p>
    <w:p w14:paraId="34ABC13B" w14:textId="77777777" w:rsidR="00FF7799" w:rsidRPr="00E73F6F" w:rsidRDefault="00FF7799" w:rsidP="00D97BAA">
      <w:pPr>
        <w:pStyle w:val="StandardText"/>
      </w:pPr>
      <w:r w:rsidRPr="00E73F6F">
        <w:t>Im Zeitverständnis animistischer Gesellschaften dominiere</w:t>
      </w:r>
      <w:r w:rsidR="00B571EF">
        <w:t>n Vergangenheit und Gegenwart (</w:t>
      </w:r>
      <w:r w:rsidR="00B571EF">
        <w:sym w:font="Symbol" w:char="F0DE"/>
      </w:r>
      <w:r w:rsidR="00B571EF">
        <w:t xml:space="preserve"> </w:t>
      </w:r>
      <w:r w:rsidRPr="00E73F6F">
        <w:t xml:space="preserve"> Zeit</w:t>
      </w:r>
      <w:r w:rsidR="00B571EF">
        <w:t>wahrnehmung</w:t>
      </w:r>
      <w:r w:rsidRPr="00E73F6F">
        <w:t>). Entsprechend ist die Zukunftsorientierung nur schwach ausgeprägt.</w:t>
      </w:r>
      <w:r w:rsidRPr="00E73F6F">
        <w:rPr>
          <w:spacing w:val="-5"/>
        </w:rPr>
        <w:t xml:space="preserve"> </w:t>
      </w:r>
      <w:r w:rsidRPr="00E73F6F">
        <w:t>Zumeist</w:t>
      </w:r>
      <w:r w:rsidRPr="00E73F6F">
        <w:rPr>
          <w:spacing w:val="-3"/>
        </w:rPr>
        <w:t xml:space="preserve"> </w:t>
      </w:r>
      <w:r w:rsidRPr="00E73F6F">
        <w:t>wird</w:t>
      </w:r>
      <w:r w:rsidRPr="00E73F6F">
        <w:rPr>
          <w:spacing w:val="-2"/>
        </w:rPr>
        <w:t xml:space="preserve"> </w:t>
      </w:r>
      <w:r w:rsidRPr="00E73F6F">
        <w:t>die</w:t>
      </w:r>
      <w:r w:rsidRPr="00E73F6F">
        <w:rPr>
          <w:spacing w:val="-3"/>
        </w:rPr>
        <w:t xml:space="preserve"> </w:t>
      </w:r>
      <w:r w:rsidRPr="00E73F6F">
        <w:t>als</w:t>
      </w:r>
      <w:r w:rsidRPr="00E73F6F">
        <w:rPr>
          <w:spacing w:val="-6"/>
        </w:rPr>
        <w:t xml:space="preserve"> </w:t>
      </w:r>
      <w:r w:rsidRPr="00E73F6F">
        <w:t>nährende</w:t>
      </w:r>
      <w:r w:rsidRPr="00E73F6F">
        <w:rPr>
          <w:spacing w:val="-4"/>
        </w:rPr>
        <w:t xml:space="preserve"> </w:t>
      </w:r>
      <w:r w:rsidRPr="00E73F6F">
        <w:t>„Mutter</w:t>
      </w:r>
      <w:r w:rsidRPr="00E73F6F">
        <w:rPr>
          <w:spacing w:val="-5"/>
        </w:rPr>
        <w:t xml:space="preserve"> </w:t>
      </w:r>
      <w:r w:rsidRPr="00E73F6F">
        <w:t>der</w:t>
      </w:r>
      <w:r w:rsidRPr="00E73F6F">
        <w:rPr>
          <w:spacing w:val="-3"/>
        </w:rPr>
        <w:t xml:space="preserve"> </w:t>
      </w:r>
      <w:r w:rsidRPr="00E73F6F">
        <w:t>Menschen“</w:t>
      </w:r>
      <w:r w:rsidRPr="00E73F6F">
        <w:rPr>
          <w:spacing w:val="-4"/>
        </w:rPr>
        <w:t xml:space="preserve"> </w:t>
      </w:r>
      <w:r w:rsidRPr="00E73F6F">
        <w:t>personalisierte Erde als Gottheit verehrt, die unmittelbar verantwortlich ist für die Fruchtbarkeit des</w:t>
      </w:r>
      <w:r w:rsidRPr="00E73F6F">
        <w:rPr>
          <w:spacing w:val="-8"/>
        </w:rPr>
        <w:t xml:space="preserve"> </w:t>
      </w:r>
      <w:r w:rsidRPr="00E73F6F">
        <w:t>Bodens</w:t>
      </w:r>
      <w:r w:rsidRPr="00E73F6F">
        <w:rPr>
          <w:spacing w:val="-8"/>
        </w:rPr>
        <w:t xml:space="preserve"> </w:t>
      </w:r>
      <w:r w:rsidRPr="00E73F6F">
        <w:t>und</w:t>
      </w:r>
      <w:r w:rsidRPr="00E73F6F">
        <w:rPr>
          <w:spacing w:val="-9"/>
        </w:rPr>
        <w:t xml:space="preserve"> </w:t>
      </w:r>
      <w:r w:rsidRPr="00E73F6F">
        <w:t>indirekt</w:t>
      </w:r>
      <w:r w:rsidRPr="00E73F6F">
        <w:rPr>
          <w:spacing w:val="-10"/>
        </w:rPr>
        <w:t xml:space="preserve"> </w:t>
      </w:r>
      <w:r w:rsidRPr="00E73F6F">
        <w:t>für</w:t>
      </w:r>
      <w:r w:rsidRPr="00E73F6F">
        <w:rPr>
          <w:spacing w:val="-10"/>
        </w:rPr>
        <w:t xml:space="preserve"> </w:t>
      </w:r>
      <w:r w:rsidRPr="00E73F6F">
        <w:t>das</w:t>
      </w:r>
      <w:r w:rsidRPr="00E73F6F">
        <w:rPr>
          <w:spacing w:val="-8"/>
        </w:rPr>
        <w:t xml:space="preserve"> </w:t>
      </w:r>
      <w:r w:rsidRPr="00E73F6F">
        <w:t>Überleben</w:t>
      </w:r>
      <w:r w:rsidRPr="00E73F6F">
        <w:rPr>
          <w:spacing w:val="-7"/>
        </w:rPr>
        <w:t xml:space="preserve"> </w:t>
      </w:r>
      <w:r w:rsidRPr="00E73F6F">
        <w:t>(bzw.</w:t>
      </w:r>
      <w:r w:rsidRPr="00E73F6F">
        <w:rPr>
          <w:spacing w:val="-7"/>
        </w:rPr>
        <w:t xml:space="preserve"> </w:t>
      </w:r>
      <w:r w:rsidRPr="00E73F6F">
        <w:t>Wohlergehen)</w:t>
      </w:r>
      <w:r w:rsidRPr="00E73F6F">
        <w:rPr>
          <w:spacing w:val="-10"/>
        </w:rPr>
        <w:t xml:space="preserve"> </w:t>
      </w:r>
      <w:r w:rsidRPr="00E73F6F">
        <w:t>der</w:t>
      </w:r>
      <w:r w:rsidRPr="00E73F6F">
        <w:rPr>
          <w:spacing w:val="-10"/>
        </w:rPr>
        <w:t xml:space="preserve"> </w:t>
      </w:r>
      <w:r w:rsidRPr="00E73F6F">
        <w:t>Menschen.</w:t>
      </w:r>
      <w:r w:rsidRPr="00E73F6F">
        <w:rPr>
          <w:spacing w:val="-7"/>
        </w:rPr>
        <w:t xml:space="preserve"> </w:t>
      </w:r>
      <w:r w:rsidRPr="00E73F6F">
        <w:t>Im Übrigen greift in dieser Vorstellungswelt eine Vielzahl von kleinen und großen Göttern, vergöttlichen Wesen und Kobolden unmittelbar in das Leben der Menschen</w:t>
      </w:r>
      <w:r w:rsidRPr="00E73F6F">
        <w:rPr>
          <w:spacing w:val="-7"/>
        </w:rPr>
        <w:t xml:space="preserve"> </w:t>
      </w:r>
      <w:r w:rsidRPr="00E73F6F">
        <w:t>ein.</w:t>
      </w:r>
      <w:r w:rsidRPr="00E73F6F">
        <w:rPr>
          <w:spacing w:val="-7"/>
        </w:rPr>
        <w:t xml:space="preserve"> </w:t>
      </w:r>
      <w:r w:rsidRPr="00E73F6F">
        <w:t>Die</w:t>
      </w:r>
      <w:r w:rsidRPr="00E73F6F">
        <w:rPr>
          <w:spacing w:val="-10"/>
        </w:rPr>
        <w:t xml:space="preserve"> </w:t>
      </w:r>
      <w:r w:rsidRPr="00E73F6F">
        <w:t>gilt</w:t>
      </w:r>
      <w:r w:rsidRPr="00E73F6F">
        <w:rPr>
          <w:spacing w:val="-9"/>
        </w:rPr>
        <w:t xml:space="preserve"> </w:t>
      </w:r>
      <w:r w:rsidRPr="00E73F6F">
        <w:t>auch</w:t>
      </w:r>
      <w:r w:rsidRPr="00E73F6F">
        <w:rPr>
          <w:spacing w:val="-8"/>
        </w:rPr>
        <w:t xml:space="preserve"> </w:t>
      </w:r>
      <w:r w:rsidRPr="00E73F6F">
        <w:t>für</w:t>
      </w:r>
      <w:r w:rsidRPr="00E73F6F">
        <w:rPr>
          <w:spacing w:val="-9"/>
        </w:rPr>
        <w:t xml:space="preserve"> </w:t>
      </w:r>
      <w:r w:rsidRPr="00E73F6F">
        <w:t>die</w:t>
      </w:r>
      <w:r w:rsidRPr="00E73F6F">
        <w:rPr>
          <w:spacing w:val="-7"/>
        </w:rPr>
        <w:t xml:space="preserve"> </w:t>
      </w:r>
      <w:r w:rsidRPr="00E73F6F">
        <w:t>verstorbenen</w:t>
      </w:r>
      <w:r w:rsidRPr="00E73F6F">
        <w:rPr>
          <w:spacing w:val="-8"/>
        </w:rPr>
        <w:t xml:space="preserve"> </w:t>
      </w:r>
      <w:r w:rsidRPr="00E73F6F">
        <w:t>und</w:t>
      </w:r>
      <w:r w:rsidRPr="00E73F6F">
        <w:rPr>
          <w:spacing w:val="-8"/>
        </w:rPr>
        <w:t xml:space="preserve"> </w:t>
      </w:r>
      <w:r w:rsidRPr="00E73F6F">
        <w:t>nun</w:t>
      </w:r>
      <w:r w:rsidRPr="00E73F6F">
        <w:rPr>
          <w:spacing w:val="-8"/>
        </w:rPr>
        <w:t xml:space="preserve"> </w:t>
      </w:r>
      <w:r w:rsidRPr="00E73F6F">
        <w:t>vorgöttlichen</w:t>
      </w:r>
      <w:r w:rsidRPr="00E73F6F">
        <w:rPr>
          <w:spacing w:val="-7"/>
        </w:rPr>
        <w:t xml:space="preserve"> </w:t>
      </w:r>
      <w:r w:rsidRPr="00E73F6F">
        <w:t>Ahnen</w:t>
      </w:r>
      <w:r w:rsidRPr="00E73F6F">
        <w:rPr>
          <w:spacing w:val="-8"/>
        </w:rPr>
        <w:t xml:space="preserve"> </w:t>
      </w:r>
      <w:r w:rsidRPr="00E73F6F">
        <w:t>(</w:t>
      </w:r>
      <w:r w:rsidRPr="00E73F6F">
        <w:rPr>
          <w:rFonts w:ascii="Cambria Math" w:hAnsi="Cambria Math" w:cs="Cambria Math"/>
        </w:rPr>
        <w:t>⇒</w:t>
      </w:r>
      <w:r w:rsidRPr="00E73F6F">
        <w:t xml:space="preserve"> </w:t>
      </w:r>
      <w:r w:rsidRPr="00E73F6F">
        <w:rPr>
          <w:spacing w:val="-2"/>
        </w:rPr>
        <w:t>Ahnenkult).</w:t>
      </w:r>
    </w:p>
    <w:p w14:paraId="3C20BF83" w14:textId="77777777" w:rsidR="00FF7799" w:rsidRPr="00E73F6F" w:rsidRDefault="00FF7799" w:rsidP="00D97BAA">
      <w:pPr>
        <w:pStyle w:val="StandardText"/>
      </w:pPr>
      <w:r w:rsidRPr="00E73F6F">
        <w:lastRenderedPageBreak/>
        <w:t>(3) Weiterhin wird eine Spielart des Okkultismus, der parapsychologische Phänomene</w:t>
      </w:r>
      <w:r w:rsidRPr="00E73F6F">
        <w:rPr>
          <w:spacing w:val="-12"/>
        </w:rPr>
        <w:t xml:space="preserve"> </w:t>
      </w:r>
      <w:r w:rsidRPr="00E73F6F">
        <w:t>mit</w:t>
      </w:r>
      <w:r w:rsidRPr="00E73F6F">
        <w:rPr>
          <w:spacing w:val="-11"/>
        </w:rPr>
        <w:t xml:space="preserve"> </w:t>
      </w:r>
      <w:r w:rsidRPr="00E73F6F">
        <w:t>dem</w:t>
      </w:r>
      <w:r w:rsidRPr="00E73F6F">
        <w:rPr>
          <w:spacing w:val="-11"/>
        </w:rPr>
        <w:t xml:space="preserve"> </w:t>
      </w:r>
      <w:r w:rsidRPr="00E73F6F">
        <w:t>Wirken</w:t>
      </w:r>
      <w:r w:rsidRPr="00E73F6F">
        <w:rPr>
          <w:spacing w:val="-11"/>
        </w:rPr>
        <w:t xml:space="preserve"> </w:t>
      </w:r>
      <w:r w:rsidRPr="00E73F6F">
        <w:t>lebender</w:t>
      </w:r>
      <w:r w:rsidRPr="00E73F6F">
        <w:rPr>
          <w:spacing w:val="-12"/>
        </w:rPr>
        <w:t xml:space="preserve"> </w:t>
      </w:r>
      <w:r w:rsidRPr="00E73F6F">
        <w:t>Personen</w:t>
      </w:r>
      <w:r w:rsidRPr="00E73F6F">
        <w:rPr>
          <w:spacing w:val="-11"/>
        </w:rPr>
        <w:t xml:space="preserve"> </w:t>
      </w:r>
      <w:r w:rsidRPr="00E73F6F">
        <w:t>erklärt,</w:t>
      </w:r>
      <w:r w:rsidRPr="00E73F6F">
        <w:rPr>
          <w:spacing w:val="-11"/>
        </w:rPr>
        <w:t xml:space="preserve"> </w:t>
      </w:r>
      <w:r w:rsidRPr="00E73F6F">
        <w:t>als</w:t>
      </w:r>
      <w:r w:rsidRPr="00E73F6F">
        <w:rPr>
          <w:spacing w:val="-11"/>
        </w:rPr>
        <w:t xml:space="preserve"> </w:t>
      </w:r>
      <w:r w:rsidRPr="00E73F6F">
        <w:t>Animismus</w:t>
      </w:r>
      <w:r w:rsidRPr="00E73F6F">
        <w:rPr>
          <w:spacing w:val="-12"/>
        </w:rPr>
        <w:t xml:space="preserve"> </w:t>
      </w:r>
      <w:r w:rsidRPr="00E73F6F">
        <w:t>bezeichnet.</w:t>
      </w:r>
    </w:p>
    <w:p w14:paraId="2BEAB360" w14:textId="77777777" w:rsidR="00FF7799" w:rsidRPr="00B571EF" w:rsidRDefault="00FF7799" w:rsidP="00D97BAA">
      <w:pPr>
        <w:pStyle w:val="StandardText"/>
        <w:rPr>
          <w:color w:val="0000FF"/>
          <w:spacing w:val="-2"/>
          <w:sz w:val="22"/>
          <w:szCs w:val="22"/>
          <w:u w:val="single" w:color="0000FF"/>
        </w:rPr>
      </w:pPr>
      <w:r w:rsidRPr="00646384">
        <w:rPr>
          <w:b/>
          <w:i/>
          <w:sz w:val="22"/>
          <w:szCs w:val="22"/>
        </w:rPr>
        <w:t>Literatur:</w:t>
      </w:r>
      <w:r w:rsidRPr="00B571EF">
        <w:rPr>
          <w:b/>
          <w:sz w:val="22"/>
          <w:szCs w:val="22"/>
        </w:rPr>
        <w:t xml:space="preserve"> </w:t>
      </w:r>
      <w:r w:rsidRPr="00646384">
        <w:rPr>
          <w:i/>
          <w:sz w:val="22"/>
          <w:szCs w:val="22"/>
        </w:rPr>
        <w:t xml:space="preserve">Schebesta, P. </w:t>
      </w:r>
      <w:r w:rsidRPr="00646384">
        <w:rPr>
          <w:sz w:val="22"/>
          <w:szCs w:val="22"/>
        </w:rPr>
        <w:t>(</w:t>
      </w:r>
      <w:r w:rsidRPr="00B571EF">
        <w:rPr>
          <w:sz w:val="22"/>
          <w:szCs w:val="22"/>
        </w:rPr>
        <w:t>1961): Ursprung</w:t>
      </w:r>
      <w:r w:rsidRPr="00B571EF">
        <w:rPr>
          <w:spacing w:val="-1"/>
          <w:sz w:val="22"/>
          <w:szCs w:val="22"/>
        </w:rPr>
        <w:t xml:space="preserve"> </w:t>
      </w:r>
      <w:r w:rsidRPr="00B571EF">
        <w:rPr>
          <w:sz w:val="22"/>
          <w:szCs w:val="22"/>
        </w:rPr>
        <w:t>der Religion. Ergebnisse der vorgeschichtlichen</w:t>
      </w:r>
      <w:r w:rsidRPr="00B571EF">
        <w:rPr>
          <w:spacing w:val="40"/>
          <w:sz w:val="22"/>
          <w:szCs w:val="22"/>
        </w:rPr>
        <w:t xml:space="preserve"> </w:t>
      </w:r>
      <w:r w:rsidRPr="00B571EF">
        <w:rPr>
          <w:sz w:val="22"/>
          <w:szCs w:val="22"/>
        </w:rPr>
        <w:t xml:space="preserve">und völkerkundlichen Forschung, Berlin: Morus. </w:t>
      </w:r>
      <w:hyperlink r:id="rId10">
        <w:r w:rsidRPr="00B571EF">
          <w:rPr>
            <w:color w:val="0000FF"/>
            <w:sz w:val="22"/>
            <w:szCs w:val="22"/>
            <w:u w:val="single" w:color="0000FF"/>
          </w:rPr>
          <w:t>www.transafrika.org/pages/</w:t>
        </w:r>
      </w:hyperlink>
      <w:hyperlink r:id="rId11">
        <w:r w:rsidRPr="00B571EF">
          <w:rPr>
            <w:color w:val="0000FF"/>
            <w:spacing w:val="-2"/>
            <w:sz w:val="22"/>
            <w:szCs w:val="22"/>
            <w:u w:val="single" w:color="0000FF"/>
          </w:rPr>
          <w:t>informationen-afrika/religion</w:t>
        </w:r>
      </w:hyperlink>
    </w:p>
    <w:p w14:paraId="65F03B05" w14:textId="77777777" w:rsidR="009C4E13" w:rsidRPr="00E73F6F" w:rsidRDefault="009C4E13" w:rsidP="00D97BAA">
      <w:pPr>
        <w:pStyle w:val="StandardText"/>
      </w:pPr>
    </w:p>
    <w:p w14:paraId="4C152427" w14:textId="77777777" w:rsidR="00FF7799" w:rsidRPr="00CF3D78" w:rsidRDefault="00FF7799" w:rsidP="00FC0505">
      <w:pPr>
        <w:pStyle w:val="berschrift1"/>
        <w:rPr>
          <w:color w:val="2F5496" w:themeColor="accent5" w:themeShade="BF"/>
        </w:rPr>
      </w:pPr>
      <w:r w:rsidRPr="00CF3D78">
        <w:rPr>
          <w:color w:val="2F5496" w:themeColor="accent5" w:themeShade="BF"/>
        </w:rPr>
        <w:t>Animosität</w:t>
      </w:r>
    </w:p>
    <w:p w14:paraId="6218D73D" w14:textId="77777777" w:rsidR="00FF7799" w:rsidRPr="00E73F6F" w:rsidRDefault="00FF7799" w:rsidP="00D97BAA">
      <w:pPr>
        <w:pStyle w:val="StandardText"/>
      </w:pPr>
      <w:r w:rsidRPr="00E73F6F">
        <w:t>leidenschaftliche Ablehnung von Personen, Objekten oder Sachverhalten (</w:t>
      </w:r>
      <w:r w:rsidRPr="00E73F6F">
        <w:rPr>
          <w:rFonts w:ascii="Cambria Math" w:hAnsi="Cambria Math" w:cs="Cambria Math"/>
        </w:rPr>
        <w:t>⇒</w:t>
      </w:r>
      <w:r w:rsidRPr="00E73F6F">
        <w:t xml:space="preserve"> Beeinflussbarkeit).</w:t>
      </w:r>
      <w:r w:rsidRPr="00E73F6F">
        <w:rPr>
          <w:spacing w:val="-12"/>
        </w:rPr>
        <w:t xml:space="preserve"> </w:t>
      </w:r>
      <w:r w:rsidRPr="00E73F6F">
        <w:t>Zumeist</w:t>
      </w:r>
      <w:r w:rsidRPr="00E73F6F">
        <w:rPr>
          <w:spacing w:val="-11"/>
        </w:rPr>
        <w:t xml:space="preserve"> </w:t>
      </w:r>
      <w:r w:rsidRPr="00E73F6F">
        <w:t>wird</w:t>
      </w:r>
      <w:r w:rsidRPr="00E73F6F">
        <w:rPr>
          <w:spacing w:val="-11"/>
        </w:rPr>
        <w:t xml:space="preserve"> </w:t>
      </w:r>
      <w:r w:rsidRPr="00E73F6F">
        <w:t>dieser</w:t>
      </w:r>
      <w:r w:rsidRPr="00E73F6F">
        <w:rPr>
          <w:spacing w:val="-11"/>
        </w:rPr>
        <w:t xml:space="preserve"> </w:t>
      </w:r>
      <w:r w:rsidRPr="00E73F6F">
        <w:t>Begriff</w:t>
      </w:r>
      <w:r w:rsidRPr="00E73F6F">
        <w:rPr>
          <w:spacing w:val="-11"/>
        </w:rPr>
        <w:t xml:space="preserve"> </w:t>
      </w:r>
      <w:r w:rsidRPr="00E73F6F">
        <w:t>herangezogen,</w:t>
      </w:r>
      <w:r w:rsidRPr="00E73F6F">
        <w:rPr>
          <w:spacing w:val="-12"/>
        </w:rPr>
        <w:t xml:space="preserve"> </w:t>
      </w:r>
      <w:r w:rsidRPr="00E73F6F">
        <w:t>um</w:t>
      </w:r>
      <w:r w:rsidRPr="00E73F6F">
        <w:rPr>
          <w:spacing w:val="-11"/>
        </w:rPr>
        <w:t xml:space="preserve"> </w:t>
      </w:r>
      <w:r w:rsidRPr="00E73F6F">
        <w:t>die</w:t>
      </w:r>
      <w:r w:rsidRPr="00E73F6F">
        <w:rPr>
          <w:spacing w:val="-10"/>
        </w:rPr>
        <w:t xml:space="preserve"> </w:t>
      </w:r>
      <w:r w:rsidRPr="00E73F6F">
        <w:t>„feindselige Einstellung gegenüber einem fremden Land bzw. dessen Bewohnern“ zu bezeichnen (vgl. Klein et al. 1998).</w:t>
      </w:r>
    </w:p>
    <w:p w14:paraId="6E062EA7" w14:textId="77777777" w:rsidR="00FF7799" w:rsidRPr="00646384" w:rsidRDefault="00FF7799" w:rsidP="00D97BAA">
      <w:pPr>
        <w:pStyle w:val="StandardText"/>
        <w:rPr>
          <w:sz w:val="22"/>
          <w:szCs w:val="22"/>
          <w:lang w:val="en-US"/>
        </w:rPr>
      </w:pPr>
      <w:r w:rsidRPr="00646384">
        <w:rPr>
          <w:b/>
          <w:i/>
          <w:sz w:val="22"/>
          <w:szCs w:val="22"/>
          <w:lang w:val="en-US"/>
        </w:rPr>
        <w:t>Literatur</w:t>
      </w:r>
      <w:r w:rsidRPr="00646384">
        <w:rPr>
          <w:i/>
          <w:sz w:val="22"/>
          <w:szCs w:val="22"/>
          <w:lang w:val="en-US"/>
        </w:rPr>
        <w:t>:</w:t>
      </w:r>
      <w:r w:rsidRPr="00B571EF">
        <w:rPr>
          <w:sz w:val="22"/>
          <w:szCs w:val="22"/>
          <w:lang w:val="en-US"/>
        </w:rPr>
        <w:t xml:space="preserve"> </w:t>
      </w:r>
      <w:r w:rsidRPr="00646384">
        <w:rPr>
          <w:sz w:val="22"/>
          <w:szCs w:val="22"/>
          <w:lang w:val="en-US"/>
        </w:rPr>
        <w:t>Hoffmann, S.; Mai, R.; Smirnova, M. (2011): Development and Validation of a</w:t>
      </w:r>
      <w:r w:rsidRPr="00646384">
        <w:rPr>
          <w:spacing w:val="40"/>
          <w:sz w:val="22"/>
          <w:szCs w:val="22"/>
          <w:lang w:val="en-US"/>
        </w:rPr>
        <w:t xml:space="preserve"> </w:t>
      </w:r>
      <w:r w:rsidRPr="00646384">
        <w:rPr>
          <w:sz w:val="22"/>
          <w:szCs w:val="22"/>
          <w:lang w:val="en-US"/>
        </w:rPr>
        <w:t>Cross-Nationally Stable Scale of Consumer Animosity, Journal of Marketing Theory and</w:t>
      </w:r>
      <w:r w:rsidRPr="00646384">
        <w:rPr>
          <w:spacing w:val="40"/>
          <w:sz w:val="22"/>
          <w:szCs w:val="22"/>
          <w:lang w:val="en-US"/>
        </w:rPr>
        <w:t xml:space="preserve"> </w:t>
      </w:r>
      <w:r w:rsidRPr="00646384">
        <w:rPr>
          <w:sz w:val="22"/>
          <w:szCs w:val="22"/>
          <w:lang w:val="en-US"/>
        </w:rPr>
        <w:t>Practice, 19(2): 235-252.</w:t>
      </w:r>
      <w:r w:rsidRPr="00646384">
        <w:rPr>
          <w:spacing w:val="40"/>
          <w:sz w:val="22"/>
          <w:szCs w:val="22"/>
          <w:lang w:val="en-US"/>
        </w:rPr>
        <w:t xml:space="preserve"> </w:t>
      </w:r>
      <w:r w:rsidRPr="00646384">
        <w:rPr>
          <w:sz w:val="22"/>
          <w:szCs w:val="22"/>
          <w:lang w:val="en-US"/>
        </w:rPr>
        <w:t>Klein, J.G.; Ettenson, R. (1999): Consumer Animosity and</w:t>
      </w:r>
      <w:r w:rsidRPr="00646384">
        <w:rPr>
          <w:spacing w:val="40"/>
          <w:sz w:val="22"/>
          <w:szCs w:val="22"/>
          <w:lang w:val="en-US"/>
        </w:rPr>
        <w:t xml:space="preserve"> </w:t>
      </w:r>
      <w:r w:rsidRPr="00646384">
        <w:rPr>
          <w:sz w:val="22"/>
          <w:szCs w:val="22"/>
          <w:lang w:val="en-US"/>
        </w:rPr>
        <w:t>Consumer Ethnocentrism. An Analysis of Unique Antecedents, Journal of International</w:t>
      </w:r>
      <w:r w:rsidRPr="00646384">
        <w:rPr>
          <w:spacing w:val="40"/>
          <w:sz w:val="22"/>
          <w:szCs w:val="22"/>
          <w:lang w:val="en-US"/>
        </w:rPr>
        <w:t xml:space="preserve"> </w:t>
      </w:r>
      <w:r w:rsidRPr="00646384">
        <w:rPr>
          <w:sz w:val="22"/>
          <w:szCs w:val="22"/>
          <w:lang w:val="en-US"/>
        </w:rPr>
        <w:t>Consumer Marketing, 11(4): 5-24.</w:t>
      </w:r>
    </w:p>
    <w:p w14:paraId="7E38A14B" w14:textId="77777777" w:rsidR="00FF7799" w:rsidRPr="00E35FFF" w:rsidRDefault="00FF7799" w:rsidP="00D97BAA">
      <w:pPr>
        <w:pStyle w:val="StandardText"/>
        <w:rPr>
          <w:lang w:val="en-US"/>
        </w:rPr>
      </w:pPr>
    </w:p>
    <w:p w14:paraId="5D90B859" w14:textId="77777777" w:rsidR="00FF7799" w:rsidRPr="00CF3D78" w:rsidRDefault="00FF7799" w:rsidP="00902C45">
      <w:pPr>
        <w:pStyle w:val="berschrift1"/>
        <w:rPr>
          <w:color w:val="2F5496" w:themeColor="accent5" w:themeShade="BF"/>
        </w:rPr>
      </w:pPr>
      <w:r w:rsidRPr="00CF3D78">
        <w:rPr>
          <w:color w:val="2F5496" w:themeColor="accent5" w:themeShade="BF"/>
        </w:rPr>
        <w:t>Anthropologie</w:t>
      </w:r>
    </w:p>
    <w:p w14:paraId="13FD2326" w14:textId="77777777" w:rsidR="00FF7799" w:rsidRPr="00E73F6F" w:rsidRDefault="00FF7799" w:rsidP="005D11F5">
      <w:pPr>
        <w:pStyle w:val="StandardText"/>
      </w:pPr>
      <w:r w:rsidRPr="00E73F6F">
        <w:t xml:space="preserve">ganzheitliche Wissenschaft vom Menschen. Im deutschsprachigen Raum setzten sich „Menschenkundler“ primär mit biologischen, genetischen und stammesgeschichtlichen Fragen auseinander, während englischsprachige Anthropologen vorzugsweise psychologische, soziologische und kulturwissenschaftliche Forschungsfragen aufgriffen. Ziel der anthropologischen Forschung ist es, den Zusammenhang zwischen der Umwelt, in der Menschen leben, und deren Verhalten </w:t>
      </w:r>
      <w:r w:rsidR="00C274AE">
        <w:t>zu untersuchen (</w:t>
      </w:r>
      <w:r w:rsidR="00C274AE">
        <w:sym w:font="Symbol" w:char="F0DE"/>
      </w:r>
      <w:r w:rsidRPr="00E73F6F">
        <w:rPr>
          <w:spacing w:val="-8"/>
        </w:rPr>
        <w:t xml:space="preserve"> </w:t>
      </w:r>
      <w:r w:rsidRPr="00E73F6F">
        <w:t>Interkulturelles</w:t>
      </w:r>
      <w:r w:rsidRPr="00E73F6F">
        <w:rPr>
          <w:spacing w:val="-4"/>
        </w:rPr>
        <w:t xml:space="preserve"> </w:t>
      </w:r>
      <w:r w:rsidRPr="00E73F6F">
        <w:rPr>
          <w:spacing w:val="-2"/>
        </w:rPr>
        <w:t>Marketing</w:t>
      </w:r>
      <w:r w:rsidR="00C274AE">
        <w:rPr>
          <w:spacing w:val="-2"/>
        </w:rPr>
        <w:t>, Vorläufer und Nachbardisziplinen</w:t>
      </w:r>
      <w:r w:rsidRPr="00E73F6F">
        <w:rPr>
          <w:spacing w:val="-2"/>
        </w:rPr>
        <w:t>).</w:t>
      </w:r>
    </w:p>
    <w:p w14:paraId="713A2319" w14:textId="77777777" w:rsidR="00FF7799" w:rsidRPr="003C3DC5" w:rsidRDefault="00FF7799" w:rsidP="005D11F5">
      <w:pPr>
        <w:pStyle w:val="StandardText"/>
        <w:rPr>
          <w:sz w:val="22"/>
          <w:szCs w:val="22"/>
        </w:rPr>
      </w:pPr>
      <w:r w:rsidRPr="00646384">
        <w:rPr>
          <w:b/>
          <w:i/>
          <w:sz w:val="22"/>
          <w:szCs w:val="22"/>
          <w:lang w:val="en-US"/>
        </w:rPr>
        <w:t>Literatur:</w:t>
      </w:r>
      <w:r w:rsidRPr="00B571EF">
        <w:rPr>
          <w:sz w:val="22"/>
          <w:szCs w:val="22"/>
          <w:lang w:val="en-US"/>
        </w:rPr>
        <w:t xml:space="preserve"> </w:t>
      </w:r>
      <w:r w:rsidRPr="003C3DC5">
        <w:rPr>
          <w:sz w:val="22"/>
          <w:szCs w:val="22"/>
          <w:lang w:val="en-US"/>
        </w:rPr>
        <w:t xml:space="preserve">Kottak, C.P. (2021): Anthropology, New York: McGraw-Hill. </w:t>
      </w:r>
      <w:r w:rsidRPr="003C3DC5">
        <w:rPr>
          <w:sz w:val="22"/>
          <w:szCs w:val="22"/>
        </w:rPr>
        <w:t>Wulf, C. (2004): Anthropologie: Geschichte, Kultur, Philosophie, Reinbek: Rowohlt.</w:t>
      </w:r>
    </w:p>
    <w:p w14:paraId="5E615C0F" w14:textId="77777777" w:rsidR="00FF7799" w:rsidRPr="003C3DC5" w:rsidRDefault="00FF7799" w:rsidP="005D11F5">
      <w:pPr>
        <w:pStyle w:val="StandardText"/>
        <w:rPr>
          <w:sz w:val="22"/>
          <w:szCs w:val="22"/>
        </w:rPr>
      </w:pPr>
    </w:p>
    <w:p w14:paraId="58158D87" w14:textId="77777777" w:rsidR="00FF7799" w:rsidRPr="00CF3D78" w:rsidRDefault="00FF7799" w:rsidP="00FC0505">
      <w:pPr>
        <w:pStyle w:val="berschrift1"/>
        <w:rPr>
          <w:color w:val="2F5496" w:themeColor="accent5" w:themeShade="BF"/>
        </w:rPr>
      </w:pPr>
      <w:r w:rsidRPr="00CF3D78">
        <w:rPr>
          <w:color w:val="2F5496" w:themeColor="accent5" w:themeShade="BF"/>
        </w:rPr>
        <w:t>Anthropomorphismus</w:t>
      </w:r>
    </w:p>
    <w:p w14:paraId="4DE36B54" w14:textId="77777777" w:rsidR="00FF7799" w:rsidRPr="00E73F6F" w:rsidRDefault="00FF7799" w:rsidP="005D11F5">
      <w:pPr>
        <w:pStyle w:val="StandardText"/>
      </w:pPr>
      <w:r w:rsidRPr="00E73F6F">
        <w:t>Übertragung menschlicher Motive, Eigenschaften etc. auf die nicht-menschliche Umwelt (z.B. Götter, Natur- und sonstige Phänomene)</w:t>
      </w:r>
    </w:p>
    <w:p w14:paraId="289955F3" w14:textId="77777777" w:rsidR="008941AC" w:rsidRPr="00E73F6F" w:rsidRDefault="008941AC" w:rsidP="005D11F5">
      <w:pPr>
        <w:pStyle w:val="StandardText"/>
      </w:pPr>
    </w:p>
    <w:p w14:paraId="1D831C5A" w14:textId="77777777" w:rsidR="00FF7799" w:rsidRPr="00CF3D78" w:rsidRDefault="00FF7799" w:rsidP="00FC0505">
      <w:pPr>
        <w:pStyle w:val="berschrift1"/>
        <w:rPr>
          <w:color w:val="2F5496" w:themeColor="accent5" w:themeShade="BF"/>
        </w:rPr>
      </w:pPr>
      <w:r w:rsidRPr="00CF3D78">
        <w:rPr>
          <w:color w:val="2F5496" w:themeColor="accent5" w:themeShade="BF"/>
        </w:rPr>
        <w:t>Anti-Intellektualitätsthese</w:t>
      </w:r>
    </w:p>
    <w:p w14:paraId="49E370B3" w14:textId="77777777" w:rsidR="00FF7799" w:rsidRPr="00646384" w:rsidRDefault="00FF7799" w:rsidP="005D11F5">
      <w:pPr>
        <w:pStyle w:val="StandardText"/>
      </w:pPr>
      <w:r w:rsidRPr="00646384">
        <w:t>erstmals von J.T. Ellis formulierte und bspw. von Essoo/Dibb (1995) empirisch bestätigte Hypothese, dass katholische Konsumenten überdurchschnittlich fatalistische Konsumenten sowie weniger entschlossen und innovativ sind als jüdische</w:t>
      </w:r>
      <w:r w:rsidRPr="00646384">
        <w:rPr>
          <w:spacing w:val="29"/>
        </w:rPr>
        <w:t xml:space="preserve"> </w:t>
      </w:r>
      <w:r w:rsidRPr="00646384">
        <w:t>und</w:t>
      </w:r>
      <w:r w:rsidRPr="00646384">
        <w:rPr>
          <w:spacing w:val="31"/>
        </w:rPr>
        <w:t xml:space="preserve"> </w:t>
      </w:r>
      <w:r w:rsidRPr="00646384">
        <w:t>als</w:t>
      </w:r>
      <w:r w:rsidRPr="00646384">
        <w:rPr>
          <w:spacing w:val="31"/>
        </w:rPr>
        <w:t xml:space="preserve"> </w:t>
      </w:r>
      <w:r w:rsidRPr="00646384">
        <w:t>protestantische</w:t>
      </w:r>
      <w:r w:rsidRPr="00646384">
        <w:rPr>
          <w:spacing w:val="27"/>
        </w:rPr>
        <w:t xml:space="preserve"> </w:t>
      </w:r>
      <w:r w:rsidRPr="00646384">
        <w:t>Konsumenten.</w:t>
      </w:r>
      <w:r w:rsidRPr="00646384">
        <w:rPr>
          <w:spacing w:val="31"/>
        </w:rPr>
        <w:t xml:space="preserve"> </w:t>
      </w:r>
      <w:r w:rsidRPr="00646384">
        <w:t>Denn</w:t>
      </w:r>
      <w:r w:rsidRPr="00646384">
        <w:rPr>
          <w:spacing w:val="35"/>
        </w:rPr>
        <w:t xml:space="preserve"> </w:t>
      </w:r>
      <w:r w:rsidRPr="00646384">
        <w:t>die</w:t>
      </w:r>
      <w:r w:rsidRPr="00646384">
        <w:rPr>
          <w:spacing w:val="30"/>
        </w:rPr>
        <w:t xml:space="preserve"> </w:t>
      </w:r>
      <w:r w:rsidRPr="00646384">
        <w:t>rigide,</w:t>
      </w:r>
      <w:r w:rsidRPr="00646384">
        <w:rPr>
          <w:spacing w:val="29"/>
        </w:rPr>
        <w:t xml:space="preserve"> </w:t>
      </w:r>
      <w:r w:rsidRPr="00646384">
        <w:rPr>
          <w:spacing w:val="-2"/>
        </w:rPr>
        <w:t>zentralistisch-</w:t>
      </w:r>
      <w:r w:rsidRPr="00646384">
        <w:t xml:space="preserve">hierarchische Struktur der katholischen Kirche beeinträchtige die intellektuelle Entwicklung der Katholiken. Die neuere Forschung geht jedoch davon aus, dass die Grundannahme, Katholiken verinnerlichten eine unkritische Weltsicht, möglicherweise die Mitte des vergangenen Jahrhunderts gegebene Situation abbilde, dem nivellierenden Einfluss der Säkularisierung jedoch nicht Rechnung trage. Fundamentalistische Strömungen wie die Kreatonisten lehnen das aufgeklärte </w:t>
      </w:r>
      <w:r w:rsidR="00D22D27">
        <w:sym w:font="Symbol" w:char="F0DE"/>
      </w:r>
      <w:r w:rsidR="00D22D27">
        <w:t xml:space="preserve"> </w:t>
      </w:r>
      <w:r w:rsidRPr="00646384">
        <w:t>Weltbild jedoch ab und sind insofern von der Säkularisierung unbeeinflusst. Deshalb liegt es nahe, d</w:t>
      </w:r>
      <w:r w:rsidR="00C274AE" w:rsidRPr="00646384">
        <w:t>avon auszugehen, dass die Anti-</w:t>
      </w:r>
      <w:r w:rsidRPr="00646384">
        <w:t>Intellektualitätsthese in ihrem Falle aufrechterhalten werden kann.</w:t>
      </w:r>
    </w:p>
    <w:p w14:paraId="35677239" w14:textId="77777777" w:rsidR="00FF7799" w:rsidRPr="00646384" w:rsidRDefault="00FF7799" w:rsidP="005D11F5">
      <w:pPr>
        <w:pStyle w:val="StandardText"/>
        <w:rPr>
          <w:sz w:val="22"/>
          <w:szCs w:val="22"/>
          <w:lang w:val="en-US"/>
        </w:rPr>
      </w:pPr>
      <w:r w:rsidRPr="00646384">
        <w:rPr>
          <w:b/>
          <w:i/>
          <w:sz w:val="22"/>
          <w:szCs w:val="22"/>
          <w:lang w:val="en-US"/>
        </w:rPr>
        <w:lastRenderedPageBreak/>
        <w:t>Literatur:</w:t>
      </w:r>
      <w:r w:rsidRPr="00646384">
        <w:rPr>
          <w:b/>
          <w:sz w:val="22"/>
          <w:szCs w:val="22"/>
          <w:lang w:val="en-US"/>
        </w:rPr>
        <w:t xml:space="preserve"> </w:t>
      </w:r>
      <w:r w:rsidRPr="00646384">
        <w:rPr>
          <w:sz w:val="22"/>
          <w:szCs w:val="22"/>
          <w:lang w:val="en-US"/>
        </w:rPr>
        <w:t>Ellis, J.T. (1995): American Catholics and the Intellectual Life, Thought, 30(3):</w:t>
      </w:r>
      <w:r w:rsidRPr="00646384">
        <w:rPr>
          <w:spacing w:val="40"/>
          <w:sz w:val="22"/>
          <w:szCs w:val="22"/>
          <w:lang w:val="en-US"/>
        </w:rPr>
        <w:t xml:space="preserve"> </w:t>
      </w:r>
      <w:r w:rsidRPr="00646384">
        <w:rPr>
          <w:sz w:val="22"/>
          <w:szCs w:val="22"/>
          <w:lang w:val="en-US"/>
        </w:rPr>
        <w:t>355-388.</w:t>
      </w:r>
      <w:r w:rsidRPr="00646384">
        <w:rPr>
          <w:spacing w:val="40"/>
          <w:sz w:val="22"/>
          <w:szCs w:val="22"/>
          <w:lang w:val="en-US"/>
        </w:rPr>
        <w:t xml:space="preserve"> </w:t>
      </w:r>
      <w:r w:rsidRPr="00646384">
        <w:rPr>
          <w:sz w:val="22"/>
          <w:szCs w:val="22"/>
          <w:lang w:val="en-US"/>
        </w:rPr>
        <w:t>Essoo, N.; Dibb, S. (2004): Religious Influences on Shopping Behaviour. An</w:t>
      </w:r>
      <w:r w:rsidRPr="00646384">
        <w:rPr>
          <w:spacing w:val="40"/>
          <w:sz w:val="22"/>
          <w:szCs w:val="22"/>
          <w:lang w:val="en-US"/>
        </w:rPr>
        <w:t xml:space="preserve"> </w:t>
      </w:r>
      <w:r w:rsidRPr="00646384">
        <w:rPr>
          <w:sz w:val="22"/>
          <w:szCs w:val="22"/>
          <w:lang w:val="en-US"/>
        </w:rPr>
        <w:t>Exploratory</w:t>
      </w:r>
      <w:r w:rsidRPr="00646384">
        <w:rPr>
          <w:spacing w:val="-1"/>
          <w:sz w:val="22"/>
          <w:szCs w:val="22"/>
          <w:lang w:val="en-US"/>
        </w:rPr>
        <w:t xml:space="preserve"> </w:t>
      </w:r>
      <w:r w:rsidRPr="00646384">
        <w:rPr>
          <w:sz w:val="22"/>
          <w:szCs w:val="22"/>
          <w:lang w:val="en-US"/>
        </w:rPr>
        <w:t>Study,</w:t>
      </w:r>
      <w:r w:rsidRPr="00646384">
        <w:rPr>
          <w:spacing w:val="-1"/>
          <w:sz w:val="22"/>
          <w:szCs w:val="22"/>
          <w:lang w:val="en-US"/>
        </w:rPr>
        <w:t xml:space="preserve"> </w:t>
      </w:r>
      <w:r w:rsidRPr="00646384">
        <w:rPr>
          <w:sz w:val="22"/>
          <w:szCs w:val="22"/>
          <w:lang w:val="en-US"/>
        </w:rPr>
        <w:t>Journal</w:t>
      </w:r>
      <w:r w:rsidRPr="00646384">
        <w:rPr>
          <w:spacing w:val="-3"/>
          <w:sz w:val="22"/>
          <w:szCs w:val="22"/>
          <w:lang w:val="en-US"/>
        </w:rPr>
        <w:t xml:space="preserve"> </w:t>
      </w:r>
      <w:r w:rsidRPr="00646384">
        <w:rPr>
          <w:sz w:val="22"/>
          <w:szCs w:val="22"/>
          <w:lang w:val="en-US"/>
        </w:rPr>
        <w:t>of</w:t>
      </w:r>
      <w:r w:rsidRPr="00646384">
        <w:rPr>
          <w:spacing w:val="-3"/>
          <w:sz w:val="22"/>
          <w:szCs w:val="22"/>
          <w:lang w:val="en-US"/>
        </w:rPr>
        <w:t xml:space="preserve"> </w:t>
      </w:r>
      <w:r w:rsidRPr="00646384">
        <w:rPr>
          <w:sz w:val="22"/>
          <w:szCs w:val="22"/>
          <w:lang w:val="en-US"/>
        </w:rPr>
        <w:t>Marketing</w:t>
      </w:r>
      <w:r w:rsidRPr="00646384">
        <w:rPr>
          <w:spacing w:val="-3"/>
          <w:sz w:val="22"/>
          <w:szCs w:val="22"/>
          <w:lang w:val="en-US"/>
        </w:rPr>
        <w:t xml:space="preserve"> </w:t>
      </w:r>
      <w:r w:rsidRPr="00646384">
        <w:rPr>
          <w:sz w:val="22"/>
          <w:szCs w:val="22"/>
          <w:lang w:val="en-US"/>
        </w:rPr>
        <w:t>Management,</w:t>
      </w:r>
      <w:r w:rsidRPr="00646384">
        <w:rPr>
          <w:spacing w:val="-1"/>
          <w:sz w:val="22"/>
          <w:szCs w:val="22"/>
          <w:lang w:val="en-US"/>
        </w:rPr>
        <w:t xml:space="preserve"> </w:t>
      </w:r>
      <w:r w:rsidRPr="00646384">
        <w:rPr>
          <w:sz w:val="22"/>
          <w:szCs w:val="22"/>
          <w:lang w:val="en-US"/>
        </w:rPr>
        <w:t>20(7/8): 683-712.</w:t>
      </w:r>
      <w:r w:rsidRPr="00646384">
        <w:rPr>
          <w:spacing w:val="40"/>
          <w:sz w:val="22"/>
          <w:szCs w:val="22"/>
          <w:lang w:val="en-US"/>
        </w:rPr>
        <w:t xml:space="preserve"> </w:t>
      </w:r>
      <w:r w:rsidRPr="00646384">
        <w:rPr>
          <w:sz w:val="22"/>
          <w:szCs w:val="22"/>
          <w:lang w:val="en-US"/>
        </w:rPr>
        <w:t>Hirschman,</w:t>
      </w:r>
      <w:r w:rsidRPr="00646384">
        <w:rPr>
          <w:spacing w:val="-1"/>
          <w:sz w:val="22"/>
          <w:szCs w:val="22"/>
          <w:lang w:val="en-US"/>
        </w:rPr>
        <w:t xml:space="preserve"> </w:t>
      </w:r>
      <w:r w:rsidRPr="00646384">
        <w:rPr>
          <w:sz w:val="22"/>
          <w:szCs w:val="22"/>
          <w:lang w:val="en-US"/>
        </w:rPr>
        <w:t>E.</w:t>
      </w:r>
      <w:r w:rsidR="00DC53F5">
        <w:rPr>
          <w:sz w:val="22"/>
          <w:szCs w:val="22"/>
          <w:lang w:val="en-US"/>
        </w:rPr>
        <w:t xml:space="preserve"> </w:t>
      </w:r>
      <w:r w:rsidRPr="00646384">
        <w:rPr>
          <w:sz w:val="22"/>
          <w:szCs w:val="22"/>
          <w:lang w:val="en-US"/>
        </w:rPr>
        <w:t>C.</w:t>
      </w:r>
      <w:r w:rsidRPr="00646384">
        <w:rPr>
          <w:spacing w:val="40"/>
          <w:sz w:val="22"/>
          <w:szCs w:val="22"/>
          <w:lang w:val="en-US"/>
        </w:rPr>
        <w:t xml:space="preserve"> </w:t>
      </w:r>
      <w:r w:rsidRPr="00646384">
        <w:rPr>
          <w:sz w:val="22"/>
          <w:szCs w:val="22"/>
          <w:lang w:val="en-US"/>
        </w:rPr>
        <w:t>(1983): Religious Affiliation and Consumption Processes, in: Sheth, J. (Ed.), Research in</w:t>
      </w:r>
      <w:r w:rsidRPr="00646384">
        <w:rPr>
          <w:spacing w:val="40"/>
          <w:sz w:val="22"/>
          <w:szCs w:val="22"/>
          <w:lang w:val="en-US"/>
        </w:rPr>
        <w:t xml:space="preserve"> </w:t>
      </w:r>
      <w:r w:rsidRPr="00646384">
        <w:rPr>
          <w:sz w:val="22"/>
          <w:szCs w:val="22"/>
          <w:lang w:val="en-US"/>
        </w:rPr>
        <w:t>Marketing, Vol.6, 131-170, Greenwich/CT: JAI.</w:t>
      </w:r>
    </w:p>
    <w:p w14:paraId="5C95BD76" w14:textId="77777777" w:rsidR="00FF7799" w:rsidRPr="00E35FFF" w:rsidRDefault="00FF7799" w:rsidP="00862DBA">
      <w:pPr>
        <w:spacing w:before="11"/>
        <w:rPr>
          <w:sz w:val="24"/>
          <w:szCs w:val="24"/>
          <w:lang w:val="en-US"/>
        </w:rPr>
      </w:pPr>
    </w:p>
    <w:p w14:paraId="77924004" w14:textId="77777777" w:rsidR="00FF7799" w:rsidRPr="00CF3D78" w:rsidRDefault="00FF7799" w:rsidP="00FC0505">
      <w:pPr>
        <w:pStyle w:val="berschrift1"/>
        <w:rPr>
          <w:color w:val="2F5496" w:themeColor="accent5" w:themeShade="BF"/>
        </w:rPr>
      </w:pPr>
      <w:r w:rsidRPr="00CF3D78">
        <w:rPr>
          <w:color w:val="2F5496" w:themeColor="accent5" w:themeShade="BF"/>
        </w:rPr>
        <w:t>Anti-Korruptionsmaßnahmen</w:t>
      </w:r>
    </w:p>
    <w:p w14:paraId="40AEC5BA" w14:textId="77777777" w:rsidR="00FF7799" w:rsidRPr="003C3DC5" w:rsidRDefault="00FF7799" w:rsidP="00B509C5">
      <w:pPr>
        <w:pStyle w:val="StandardTextkursiv"/>
        <w:rPr>
          <w:i w:val="0"/>
        </w:rPr>
      </w:pPr>
      <w:r w:rsidRPr="003C3DC5">
        <w:rPr>
          <w:i w:val="0"/>
        </w:rPr>
        <w:t>1 Selbstkontrolle der Unternehmen</w:t>
      </w:r>
    </w:p>
    <w:p w14:paraId="0BE4362F" w14:textId="77777777" w:rsidR="00FF7799" w:rsidRPr="0030166F" w:rsidRDefault="00FF7799" w:rsidP="00B509C5">
      <w:pPr>
        <w:pStyle w:val="StandardText"/>
      </w:pPr>
      <w:r w:rsidRPr="0030166F">
        <w:t xml:space="preserve">Integritätspakt: Auf Dauer verschafft </w:t>
      </w:r>
      <w:r w:rsidR="001E3F06">
        <w:sym w:font="Symbol" w:char="F0DE"/>
      </w:r>
      <w:r w:rsidR="001E3F06">
        <w:t xml:space="preserve"> </w:t>
      </w:r>
      <w:r w:rsidRPr="0030166F">
        <w:t>Korruption keinem Wettbewerber einen entscheidenden</w:t>
      </w:r>
      <w:r w:rsidRPr="0030166F">
        <w:rPr>
          <w:spacing w:val="-3"/>
        </w:rPr>
        <w:t xml:space="preserve"> </w:t>
      </w:r>
      <w:r w:rsidRPr="0030166F">
        <w:t>Vorteil,</w:t>
      </w:r>
      <w:r w:rsidRPr="0030166F">
        <w:rPr>
          <w:spacing w:val="-3"/>
        </w:rPr>
        <w:t xml:space="preserve"> </w:t>
      </w:r>
      <w:r w:rsidRPr="0030166F">
        <w:t>aber</w:t>
      </w:r>
      <w:r w:rsidRPr="0030166F">
        <w:rPr>
          <w:spacing w:val="-4"/>
        </w:rPr>
        <w:t xml:space="preserve"> </w:t>
      </w:r>
      <w:r w:rsidRPr="0030166F">
        <w:t>alle</w:t>
      </w:r>
      <w:r w:rsidRPr="0030166F">
        <w:rPr>
          <w:spacing w:val="-6"/>
        </w:rPr>
        <w:t xml:space="preserve"> </w:t>
      </w:r>
      <w:r w:rsidRPr="0030166F">
        <w:t>müssen</w:t>
      </w:r>
      <w:r w:rsidRPr="0030166F">
        <w:rPr>
          <w:spacing w:val="-3"/>
        </w:rPr>
        <w:t xml:space="preserve"> </w:t>
      </w:r>
      <w:r w:rsidRPr="0030166F">
        <w:t>die</w:t>
      </w:r>
      <w:r w:rsidRPr="0030166F">
        <w:rPr>
          <w:spacing w:val="-4"/>
        </w:rPr>
        <w:t xml:space="preserve"> </w:t>
      </w:r>
      <w:r w:rsidRPr="0030166F">
        <w:t>korruptionsbedingten</w:t>
      </w:r>
      <w:r w:rsidRPr="0030166F">
        <w:rPr>
          <w:spacing w:val="-7"/>
        </w:rPr>
        <w:t xml:space="preserve"> </w:t>
      </w:r>
      <w:r w:rsidRPr="0030166F">
        <w:t>Kosten</w:t>
      </w:r>
      <w:r w:rsidRPr="0030166F">
        <w:rPr>
          <w:spacing w:val="-3"/>
        </w:rPr>
        <w:t xml:space="preserve"> </w:t>
      </w:r>
      <w:r w:rsidRPr="0030166F">
        <w:t>tragen. Deshalb ist es</w:t>
      </w:r>
      <w:r w:rsidRPr="0030166F">
        <w:rPr>
          <w:spacing w:val="-1"/>
        </w:rPr>
        <w:t xml:space="preserve"> </w:t>
      </w:r>
      <w:r w:rsidRPr="0030166F">
        <w:t>rational, darauf</w:t>
      </w:r>
      <w:r w:rsidRPr="0030166F">
        <w:rPr>
          <w:spacing w:val="-1"/>
        </w:rPr>
        <w:t xml:space="preserve"> </w:t>
      </w:r>
      <w:r w:rsidRPr="0030166F">
        <w:t>zu</w:t>
      </w:r>
      <w:r w:rsidRPr="0030166F">
        <w:rPr>
          <w:spacing w:val="-2"/>
        </w:rPr>
        <w:t xml:space="preserve"> </w:t>
      </w:r>
      <w:r w:rsidRPr="0030166F">
        <w:t>verzichten. So lautet – verkürzt dargestellt – die Begründung der verschiedenen Integritätspakte (vgl. Eigen 2003). Die entscheidende Randbedingung derartiger Initiativen – alle relevanten Akteure halten sich an derartige Absprachen – ist in aller Regel jedoch nicht erfüllt. So folgten gemäß einer McKinsey-Studie</w:t>
      </w:r>
      <w:r w:rsidRPr="0030166F">
        <w:rPr>
          <w:spacing w:val="-1"/>
        </w:rPr>
        <w:t xml:space="preserve"> </w:t>
      </w:r>
      <w:r w:rsidRPr="0030166F">
        <w:t>nur</w:t>
      </w:r>
      <w:r w:rsidRPr="0030166F">
        <w:rPr>
          <w:spacing w:val="-1"/>
        </w:rPr>
        <w:t xml:space="preserve"> </w:t>
      </w:r>
      <w:r w:rsidRPr="0030166F">
        <w:t>61% der</w:t>
      </w:r>
      <w:r w:rsidRPr="0030166F">
        <w:rPr>
          <w:spacing w:val="-1"/>
        </w:rPr>
        <w:t xml:space="preserve"> </w:t>
      </w:r>
      <w:r w:rsidRPr="0030166F">
        <w:t>400 Unternehmen, die Global Compact, dem weltweit wichtigsten Integritätspakt, beigetreten waren, der Vorgabe</w:t>
      </w:r>
      <w:r w:rsidRPr="0030166F">
        <w:rPr>
          <w:spacing w:val="-12"/>
        </w:rPr>
        <w:t xml:space="preserve"> </w:t>
      </w:r>
      <w:r w:rsidRPr="0030166F">
        <w:t>„Null</w:t>
      </w:r>
      <w:r w:rsidRPr="0030166F">
        <w:rPr>
          <w:spacing w:val="-11"/>
        </w:rPr>
        <w:t xml:space="preserve"> </w:t>
      </w:r>
      <w:r w:rsidRPr="0030166F">
        <w:t>Toleranz</w:t>
      </w:r>
      <w:r w:rsidRPr="0030166F">
        <w:rPr>
          <w:spacing w:val="-11"/>
        </w:rPr>
        <w:t xml:space="preserve"> </w:t>
      </w:r>
      <w:r w:rsidRPr="0030166F">
        <w:t>gegen</w:t>
      </w:r>
      <w:r w:rsidRPr="0030166F">
        <w:rPr>
          <w:spacing w:val="-11"/>
        </w:rPr>
        <w:t xml:space="preserve"> </w:t>
      </w:r>
      <w:r w:rsidRPr="0030166F">
        <w:t>Korruption“.</w:t>
      </w:r>
      <w:r w:rsidRPr="0030166F">
        <w:rPr>
          <w:spacing w:val="-12"/>
        </w:rPr>
        <w:t xml:space="preserve"> </w:t>
      </w:r>
      <w:r w:rsidRPr="0030166F">
        <w:t>Nur</w:t>
      </w:r>
      <w:r w:rsidRPr="0030166F">
        <w:rPr>
          <w:spacing w:val="-11"/>
        </w:rPr>
        <w:t xml:space="preserve"> </w:t>
      </w:r>
      <w:r w:rsidRPr="0030166F">
        <w:t>7%</w:t>
      </w:r>
      <w:r w:rsidRPr="0030166F">
        <w:rPr>
          <w:spacing w:val="-11"/>
        </w:rPr>
        <w:t xml:space="preserve"> </w:t>
      </w:r>
      <w:r w:rsidRPr="0030166F">
        <w:t>veröffentlichten</w:t>
      </w:r>
      <w:r w:rsidRPr="0030166F">
        <w:rPr>
          <w:spacing w:val="-11"/>
        </w:rPr>
        <w:t xml:space="preserve"> </w:t>
      </w:r>
      <w:r w:rsidRPr="0030166F">
        <w:t>ihre</w:t>
      </w:r>
      <w:r w:rsidRPr="0030166F">
        <w:rPr>
          <w:spacing w:val="-12"/>
        </w:rPr>
        <w:t xml:space="preserve"> </w:t>
      </w:r>
      <w:r w:rsidRPr="0030166F">
        <w:t>Spenden an</w:t>
      </w:r>
      <w:r w:rsidRPr="0030166F">
        <w:rPr>
          <w:spacing w:val="-7"/>
        </w:rPr>
        <w:t xml:space="preserve"> </w:t>
      </w:r>
      <w:r w:rsidRPr="0030166F">
        <w:t>politische</w:t>
      </w:r>
      <w:r w:rsidRPr="0030166F">
        <w:rPr>
          <w:spacing w:val="-8"/>
        </w:rPr>
        <w:t xml:space="preserve"> </w:t>
      </w:r>
      <w:r w:rsidRPr="0030166F">
        <w:t>Instanzen,</w:t>
      </w:r>
      <w:r w:rsidRPr="0030166F">
        <w:rPr>
          <w:spacing w:val="-9"/>
        </w:rPr>
        <w:t xml:space="preserve"> </w:t>
      </w:r>
      <w:r w:rsidRPr="0030166F">
        <w:t>und</w:t>
      </w:r>
      <w:r w:rsidRPr="0030166F">
        <w:rPr>
          <w:spacing w:val="-9"/>
        </w:rPr>
        <w:t xml:space="preserve"> </w:t>
      </w:r>
      <w:r w:rsidRPr="0030166F">
        <w:t>nur</w:t>
      </w:r>
      <w:r w:rsidRPr="0030166F">
        <w:rPr>
          <w:spacing w:val="-10"/>
        </w:rPr>
        <w:t xml:space="preserve"> </w:t>
      </w:r>
      <w:r w:rsidRPr="0030166F">
        <w:t>22%</w:t>
      </w:r>
      <w:r w:rsidRPr="0030166F">
        <w:rPr>
          <w:spacing w:val="-7"/>
        </w:rPr>
        <w:t xml:space="preserve"> </w:t>
      </w:r>
      <w:r w:rsidRPr="0030166F">
        <w:t>sanktionierten</w:t>
      </w:r>
      <w:r w:rsidRPr="0030166F">
        <w:rPr>
          <w:spacing w:val="-9"/>
        </w:rPr>
        <w:t xml:space="preserve"> </w:t>
      </w:r>
      <w:r w:rsidRPr="0030166F">
        <w:t>Verstöße</w:t>
      </w:r>
      <w:r w:rsidRPr="0030166F">
        <w:rPr>
          <w:spacing w:val="-8"/>
        </w:rPr>
        <w:t xml:space="preserve"> </w:t>
      </w:r>
      <w:r w:rsidRPr="0030166F">
        <w:t>gegen</w:t>
      </w:r>
      <w:r w:rsidRPr="0030166F">
        <w:rPr>
          <w:spacing w:val="-7"/>
        </w:rPr>
        <w:t xml:space="preserve"> </w:t>
      </w:r>
      <w:r w:rsidRPr="0030166F">
        <w:t>den</w:t>
      </w:r>
      <w:r w:rsidRPr="0030166F">
        <w:rPr>
          <w:spacing w:val="-7"/>
        </w:rPr>
        <w:t xml:space="preserve"> </w:t>
      </w:r>
      <w:r w:rsidRPr="0030166F">
        <w:t>Pakt</w:t>
      </w:r>
      <w:r w:rsidRPr="0030166F">
        <w:rPr>
          <w:spacing w:val="-7"/>
        </w:rPr>
        <w:t xml:space="preserve"> </w:t>
      </w:r>
      <w:r w:rsidRPr="0030166F">
        <w:t>(vgl. Williams 2008; Cetindamar 2007).</w:t>
      </w:r>
    </w:p>
    <w:p w14:paraId="4CFF52BC" w14:textId="77777777" w:rsidR="00FF7799" w:rsidRPr="0030166F" w:rsidRDefault="00FF7799" w:rsidP="00B509C5">
      <w:pPr>
        <w:pStyle w:val="StandardText"/>
      </w:pPr>
      <w:r w:rsidRPr="0030166F">
        <w:t>Clean Management: Ein Ethik-Kodex, der Korruption für unvereinbar mit der Unternehmenskultur erklärt, wird konkretisiert durch Verhaltensgrundsätze zur Korruptionsbekämpfung. Sie wiederum sind Teil der Arbeitsordnung und diese, als Gesamtbetriebsvereinbarung, Bestandteil des Arbeitsvertrages. Bislang allerdings</w:t>
      </w:r>
      <w:r w:rsidRPr="0030166F">
        <w:rPr>
          <w:spacing w:val="-12"/>
        </w:rPr>
        <w:t xml:space="preserve"> </w:t>
      </w:r>
      <w:r w:rsidRPr="0030166F">
        <w:t>haben</w:t>
      </w:r>
      <w:r w:rsidRPr="0030166F">
        <w:rPr>
          <w:spacing w:val="-11"/>
        </w:rPr>
        <w:t xml:space="preserve"> </w:t>
      </w:r>
      <w:r w:rsidRPr="0030166F">
        <w:t>sich</w:t>
      </w:r>
      <w:r w:rsidRPr="0030166F">
        <w:rPr>
          <w:spacing w:val="-11"/>
        </w:rPr>
        <w:t xml:space="preserve"> </w:t>
      </w:r>
      <w:r w:rsidRPr="0030166F">
        <w:t>weder</w:t>
      </w:r>
      <w:r w:rsidRPr="0030166F">
        <w:rPr>
          <w:spacing w:val="-11"/>
        </w:rPr>
        <w:t xml:space="preserve"> </w:t>
      </w:r>
      <w:r w:rsidRPr="0030166F">
        <w:t>das</w:t>
      </w:r>
      <w:r w:rsidRPr="0030166F">
        <w:rPr>
          <w:spacing w:val="-12"/>
        </w:rPr>
        <w:t xml:space="preserve"> </w:t>
      </w:r>
      <w:r w:rsidRPr="0030166F">
        <w:t>interne</w:t>
      </w:r>
      <w:r w:rsidRPr="0030166F">
        <w:rPr>
          <w:spacing w:val="-11"/>
        </w:rPr>
        <w:t xml:space="preserve"> </w:t>
      </w:r>
      <w:r w:rsidRPr="0030166F">
        <w:t>Wertemanagement</w:t>
      </w:r>
      <w:r w:rsidRPr="0030166F">
        <w:rPr>
          <w:spacing w:val="-11"/>
        </w:rPr>
        <w:t xml:space="preserve"> </w:t>
      </w:r>
      <w:r w:rsidRPr="0030166F">
        <w:t>(=</w:t>
      </w:r>
      <w:r w:rsidRPr="0030166F">
        <w:rPr>
          <w:spacing w:val="-11"/>
        </w:rPr>
        <w:t xml:space="preserve"> </w:t>
      </w:r>
      <w:r w:rsidRPr="0030166F">
        <w:t>Code</w:t>
      </w:r>
      <w:r w:rsidRPr="0030166F">
        <w:rPr>
          <w:spacing w:val="-12"/>
        </w:rPr>
        <w:t xml:space="preserve"> </w:t>
      </w:r>
      <w:r w:rsidRPr="0030166F">
        <w:t>of</w:t>
      </w:r>
      <w:r w:rsidRPr="0030166F">
        <w:rPr>
          <w:spacing w:val="-11"/>
        </w:rPr>
        <w:t xml:space="preserve"> </w:t>
      </w:r>
      <w:r w:rsidRPr="0030166F">
        <w:t>Ethics)</w:t>
      </w:r>
      <w:r w:rsidRPr="0030166F">
        <w:rPr>
          <w:spacing w:val="-11"/>
        </w:rPr>
        <w:t xml:space="preserve"> </w:t>
      </w:r>
      <w:r w:rsidRPr="0030166F">
        <w:t>noch direkte Anweisungen für den Umgang mit Kunden (= Code of Conduct) als geeignet erwiesen, Korruption zu verhindern.</w:t>
      </w:r>
    </w:p>
    <w:p w14:paraId="7A15CFD5" w14:textId="77777777" w:rsidR="00FF7799" w:rsidRPr="0030166F" w:rsidRDefault="00FF7799" w:rsidP="00B509C5">
      <w:pPr>
        <w:pStyle w:val="StandardText"/>
      </w:pPr>
      <w:r w:rsidRPr="0030166F">
        <w:t>Ethik-Management-Systeme: Der Branchenkodex des Bayerischen Bauindustrieverbandes gibt eine Vielzahl von Empfehlungen (bspw. die Funktionstrennung, d.h. Trennung der Abläufe von Planung, Vergabe und Abrechnung bei allen größeren Projekten oder das Vier-Augen-Prinzip). Einschlägige</w:t>
      </w:r>
      <w:r w:rsidRPr="0030166F">
        <w:rPr>
          <w:spacing w:val="-12"/>
        </w:rPr>
        <w:t xml:space="preserve"> </w:t>
      </w:r>
      <w:r w:rsidRPr="0030166F">
        <w:t>Anleitungen</w:t>
      </w:r>
      <w:r w:rsidRPr="0030166F">
        <w:rPr>
          <w:spacing w:val="-11"/>
        </w:rPr>
        <w:t xml:space="preserve"> </w:t>
      </w:r>
      <w:r w:rsidRPr="0030166F">
        <w:t>und</w:t>
      </w:r>
      <w:r w:rsidRPr="0030166F">
        <w:rPr>
          <w:spacing w:val="-11"/>
        </w:rPr>
        <w:t xml:space="preserve"> </w:t>
      </w:r>
      <w:r w:rsidRPr="0030166F">
        <w:t>Empfehlungen</w:t>
      </w:r>
      <w:r w:rsidRPr="0030166F">
        <w:rPr>
          <w:spacing w:val="-11"/>
        </w:rPr>
        <w:t xml:space="preserve"> </w:t>
      </w:r>
      <w:r w:rsidRPr="0030166F">
        <w:t>(bspw.</w:t>
      </w:r>
      <w:r w:rsidRPr="0030166F">
        <w:rPr>
          <w:spacing w:val="-12"/>
        </w:rPr>
        <w:t xml:space="preserve"> </w:t>
      </w:r>
      <w:r w:rsidRPr="0030166F">
        <w:t>Antikorruptions-Grundsätze) stellen u.a. die Internationale Handelskammer (ICC), Paris, der Deutsche Industrie- und Handelskammertag sowie die anderen Spitzenverbände der Wirtschaft zur Verfügung.</w:t>
      </w:r>
    </w:p>
    <w:p w14:paraId="31D320E8" w14:textId="77777777" w:rsidR="00FF7799" w:rsidRPr="0030166F" w:rsidRDefault="00FF7799" w:rsidP="00B509C5">
      <w:pPr>
        <w:pStyle w:val="StandardText"/>
        <w:rPr>
          <w:szCs w:val="24"/>
        </w:rPr>
      </w:pPr>
      <w:r w:rsidRPr="0030166F">
        <w:rPr>
          <w:szCs w:val="24"/>
        </w:rPr>
        <w:t>Es empfiehlt sich, den Ermessensspielraum von Managern und Amtsträgern zu begrenzen sowie die Komplexität von Entscheidungsprozessen und Verwaltungsabläufen</w:t>
      </w:r>
      <w:r w:rsidRPr="0030166F">
        <w:rPr>
          <w:spacing w:val="-10"/>
          <w:szCs w:val="24"/>
        </w:rPr>
        <w:t xml:space="preserve"> </w:t>
      </w:r>
      <w:r w:rsidRPr="0030166F">
        <w:rPr>
          <w:szCs w:val="24"/>
        </w:rPr>
        <w:t>zu</w:t>
      </w:r>
      <w:r w:rsidRPr="0030166F">
        <w:rPr>
          <w:spacing w:val="-10"/>
          <w:szCs w:val="24"/>
        </w:rPr>
        <w:t xml:space="preserve"> </w:t>
      </w:r>
      <w:r w:rsidRPr="0030166F">
        <w:rPr>
          <w:szCs w:val="24"/>
        </w:rPr>
        <w:t>reduzieren.</w:t>
      </w:r>
      <w:r w:rsidRPr="0030166F">
        <w:rPr>
          <w:spacing w:val="-11"/>
          <w:szCs w:val="24"/>
        </w:rPr>
        <w:t xml:space="preserve"> </w:t>
      </w:r>
      <w:r w:rsidRPr="0030166F">
        <w:rPr>
          <w:szCs w:val="24"/>
        </w:rPr>
        <w:t>Gleiches</w:t>
      </w:r>
      <w:r w:rsidRPr="0030166F">
        <w:rPr>
          <w:spacing w:val="-12"/>
          <w:szCs w:val="24"/>
        </w:rPr>
        <w:t xml:space="preserve"> </w:t>
      </w:r>
      <w:r w:rsidRPr="0030166F">
        <w:rPr>
          <w:szCs w:val="24"/>
        </w:rPr>
        <w:t>gilt</w:t>
      </w:r>
      <w:r w:rsidRPr="0030166F">
        <w:rPr>
          <w:spacing w:val="-10"/>
          <w:szCs w:val="24"/>
        </w:rPr>
        <w:t xml:space="preserve"> </w:t>
      </w:r>
      <w:r w:rsidRPr="0030166F">
        <w:rPr>
          <w:szCs w:val="24"/>
        </w:rPr>
        <w:t>für</w:t>
      </w:r>
      <w:r w:rsidRPr="0030166F">
        <w:rPr>
          <w:spacing w:val="-11"/>
          <w:szCs w:val="24"/>
        </w:rPr>
        <w:t xml:space="preserve"> </w:t>
      </w:r>
      <w:r w:rsidRPr="0030166F">
        <w:rPr>
          <w:szCs w:val="24"/>
        </w:rPr>
        <w:t>die</w:t>
      </w:r>
      <w:r w:rsidRPr="0030166F">
        <w:rPr>
          <w:spacing w:val="-12"/>
          <w:szCs w:val="24"/>
        </w:rPr>
        <w:t xml:space="preserve"> </w:t>
      </w:r>
      <w:r w:rsidRPr="0030166F">
        <w:rPr>
          <w:szCs w:val="24"/>
        </w:rPr>
        <w:t>Regulierungsdichte.</w:t>
      </w:r>
      <w:r w:rsidRPr="0030166F">
        <w:rPr>
          <w:spacing w:val="-10"/>
          <w:szCs w:val="24"/>
        </w:rPr>
        <w:t xml:space="preserve"> </w:t>
      </w:r>
      <w:r w:rsidRPr="0030166F">
        <w:rPr>
          <w:szCs w:val="24"/>
        </w:rPr>
        <w:t>Sind diese</w:t>
      </w:r>
      <w:r w:rsidRPr="0030166F">
        <w:rPr>
          <w:spacing w:val="-3"/>
          <w:szCs w:val="24"/>
        </w:rPr>
        <w:t xml:space="preserve"> </w:t>
      </w:r>
      <w:r w:rsidRPr="0030166F">
        <w:rPr>
          <w:szCs w:val="24"/>
        </w:rPr>
        <w:t>Faktoren</w:t>
      </w:r>
      <w:r w:rsidRPr="0030166F">
        <w:rPr>
          <w:spacing w:val="-4"/>
          <w:szCs w:val="24"/>
        </w:rPr>
        <w:t xml:space="preserve"> </w:t>
      </w:r>
      <w:r w:rsidRPr="0030166F">
        <w:rPr>
          <w:szCs w:val="24"/>
        </w:rPr>
        <w:t>überdurchschnittlich</w:t>
      </w:r>
      <w:r w:rsidRPr="0030166F">
        <w:rPr>
          <w:spacing w:val="-2"/>
          <w:szCs w:val="24"/>
        </w:rPr>
        <w:t xml:space="preserve"> </w:t>
      </w:r>
      <w:r w:rsidRPr="0030166F">
        <w:rPr>
          <w:szCs w:val="24"/>
        </w:rPr>
        <w:t>ausgeprägt,</w:t>
      </w:r>
      <w:r w:rsidRPr="0030166F">
        <w:rPr>
          <w:spacing w:val="-4"/>
          <w:szCs w:val="24"/>
        </w:rPr>
        <w:t xml:space="preserve"> </w:t>
      </w:r>
      <w:r w:rsidRPr="0030166F">
        <w:rPr>
          <w:szCs w:val="24"/>
        </w:rPr>
        <w:t>dann</w:t>
      </w:r>
      <w:r w:rsidRPr="0030166F">
        <w:rPr>
          <w:spacing w:val="-4"/>
          <w:szCs w:val="24"/>
        </w:rPr>
        <w:t xml:space="preserve"> </w:t>
      </w:r>
      <w:r w:rsidRPr="0030166F">
        <w:rPr>
          <w:szCs w:val="24"/>
        </w:rPr>
        <w:t>herrscht</w:t>
      </w:r>
      <w:r w:rsidRPr="0030166F">
        <w:rPr>
          <w:spacing w:val="-2"/>
          <w:szCs w:val="24"/>
        </w:rPr>
        <w:t xml:space="preserve"> </w:t>
      </w:r>
      <w:r w:rsidRPr="0030166F">
        <w:rPr>
          <w:szCs w:val="24"/>
        </w:rPr>
        <w:t>Intransparenz –</w:t>
      </w:r>
      <w:r w:rsidRPr="0030166F">
        <w:rPr>
          <w:spacing w:val="-4"/>
          <w:szCs w:val="24"/>
        </w:rPr>
        <w:t xml:space="preserve"> </w:t>
      </w:r>
      <w:r w:rsidRPr="0030166F">
        <w:rPr>
          <w:szCs w:val="24"/>
        </w:rPr>
        <w:t>für Korruption ein Nährboden.</w:t>
      </w:r>
    </w:p>
    <w:p w14:paraId="0BA227F2" w14:textId="77777777" w:rsidR="00FF7799" w:rsidRPr="00E73F6F" w:rsidRDefault="00FF7799" w:rsidP="00862DBA">
      <w:pPr>
        <w:rPr>
          <w:sz w:val="24"/>
          <w:szCs w:val="24"/>
        </w:rPr>
      </w:pPr>
    </w:p>
    <w:p w14:paraId="66E32336" w14:textId="77777777" w:rsidR="00FF7799" w:rsidRPr="003C3DC5" w:rsidRDefault="00FF7799" w:rsidP="00B509C5">
      <w:pPr>
        <w:pStyle w:val="StandardTextkursiv"/>
        <w:rPr>
          <w:i w:val="0"/>
        </w:rPr>
      </w:pPr>
      <w:r w:rsidRPr="003C3DC5">
        <w:rPr>
          <w:i w:val="0"/>
        </w:rPr>
        <w:t>2 Supranationale</w:t>
      </w:r>
      <w:r w:rsidRPr="003C3DC5">
        <w:rPr>
          <w:i w:val="0"/>
          <w:spacing w:val="-5"/>
        </w:rPr>
        <w:t xml:space="preserve"> </w:t>
      </w:r>
      <w:r w:rsidRPr="003C3DC5">
        <w:rPr>
          <w:i w:val="0"/>
          <w:spacing w:val="-2"/>
        </w:rPr>
        <w:t>Abkommen</w:t>
      </w:r>
    </w:p>
    <w:p w14:paraId="32CAC694" w14:textId="77777777" w:rsidR="00FF7799" w:rsidRDefault="00FF7799" w:rsidP="005D11F5">
      <w:pPr>
        <w:pStyle w:val="StandardText"/>
      </w:pPr>
      <w:r w:rsidRPr="00E73F6F">
        <w:t>2003 hat die Bundesrepublik Deutschland die UN-Konvention gegen Korruption zwar unterschrieben, aber anders als 159 Staaten bislang nicht ratifiziert. Zusammen</w:t>
      </w:r>
      <w:r w:rsidRPr="00E73F6F">
        <w:rPr>
          <w:spacing w:val="-12"/>
        </w:rPr>
        <w:t xml:space="preserve"> </w:t>
      </w:r>
      <w:r w:rsidRPr="00E73F6F">
        <w:t>mit</w:t>
      </w:r>
      <w:r w:rsidRPr="00E73F6F">
        <w:rPr>
          <w:spacing w:val="-11"/>
        </w:rPr>
        <w:t xml:space="preserve"> </w:t>
      </w:r>
      <w:r w:rsidRPr="00E73F6F">
        <w:t>Saudi-Arabien,</w:t>
      </w:r>
      <w:r w:rsidRPr="00E73F6F">
        <w:rPr>
          <w:spacing w:val="-11"/>
        </w:rPr>
        <w:t xml:space="preserve"> </w:t>
      </w:r>
      <w:r w:rsidRPr="00E73F6F">
        <w:t>Syrien</w:t>
      </w:r>
      <w:r w:rsidRPr="00E73F6F">
        <w:rPr>
          <w:spacing w:val="-11"/>
        </w:rPr>
        <w:t xml:space="preserve"> </w:t>
      </w:r>
      <w:r w:rsidRPr="00E73F6F">
        <w:t>und</w:t>
      </w:r>
      <w:r w:rsidRPr="00E73F6F">
        <w:rPr>
          <w:spacing w:val="-12"/>
        </w:rPr>
        <w:t xml:space="preserve"> </w:t>
      </w:r>
      <w:r w:rsidRPr="00E73F6F">
        <w:t>Sudan</w:t>
      </w:r>
      <w:r w:rsidRPr="00E73F6F">
        <w:rPr>
          <w:spacing w:val="-11"/>
        </w:rPr>
        <w:t xml:space="preserve"> </w:t>
      </w:r>
      <w:r w:rsidRPr="00E73F6F">
        <w:t>gehört</w:t>
      </w:r>
      <w:r w:rsidRPr="00E73F6F">
        <w:rPr>
          <w:spacing w:val="-11"/>
        </w:rPr>
        <w:t xml:space="preserve"> </w:t>
      </w:r>
      <w:r w:rsidRPr="00E73F6F">
        <w:t>Deutschland</w:t>
      </w:r>
      <w:r w:rsidRPr="00E73F6F">
        <w:rPr>
          <w:spacing w:val="-11"/>
        </w:rPr>
        <w:t xml:space="preserve"> </w:t>
      </w:r>
      <w:r w:rsidRPr="00E73F6F">
        <w:t>einer</w:t>
      </w:r>
      <w:r w:rsidRPr="00E73F6F">
        <w:rPr>
          <w:spacing w:val="-12"/>
        </w:rPr>
        <w:t xml:space="preserve"> </w:t>
      </w:r>
      <w:r w:rsidRPr="00E73F6F">
        <w:t>Gruppe von</w:t>
      </w:r>
      <w:r w:rsidRPr="00E73F6F">
        <w:rPr>
          <w:spacing w:val="-8"/>
        </w:rPr>
        <w:t xml:space="preserve"> </w:t>
      </w:r>
      <w:r w:rsidRPr="00E73F6F">
        <w:t>14</w:t>
      </w:r>
      <w:r w:rsidRPr="00E73F6F">
        <w:rPr>
          <w:spacing w:val="-6"/>
        </w:rPr>
        <w:t xml:space="preserve"> </w:t>
      </w:r>
      <w:r w:rsidRPr="00E73F6F">
        <w:t>Staaten</w:t>
      </w:r>
      <w:r w:rsidRPr="00E73F6F">
        <w:rPr>
          <w:spacing w:val="-5"/>
        </w:rPr>
        <w:t xml:space="preserve"> </w:t>
      </w:r>
      <w:r w:rsidRPr="00E73F6F">
        <w:t>an,</w:t>
      </w:r>
      <w:r w:rsidRPr="00E73F6F">
        <w:rPr>
          <w:spacing w:val="-6"/>
        </w:rPr>
        <w:t xml:space="preserve"> </w:t>
      </w:r>
      <w:r w:rsidRPr="00E73F6F">
        <w:t>die</w:t>
      </w:r>
      <w:r w:rsidRPr="00E73F6F">
        <w:rPr>
          <w:spacing w:val="-5"/>
        </w:rPr>
        <w:t xml:space="preserve"> </w:t>
      </w:r>
      <w:r w:rsidRPr="00E73F6F">
        <w:t>sich</w:t>
      </w:r>
      <w:r w:rsidRPr="00E73F6F">
        <w:rPr>
          <w:spacing w:val="-6"/>
        </w:rPr>
        <w:t xml:space="preserve"> </w:t>
      </w:r>
      <w:r w:rsidRPr="00E73F6F">
        <w:t>bei</w:t>
      </w:r>
      <w:r w:rsidRPr="00E73F6F">
        <w:rPr>
          <w:spacing w:val="-6"/>
        </w:rPr>
        <w:t xml:space="preserve"> </w:t>
      </w:r>
      <w:r w:rsidRPr="00E73F6F">
        <w:t>der</w:t>
      </w:r>
      <w:r w:rsidRPr="00E73F6F">
        <w:rPr>
          <w:spacing w:val="-7"/>
        </w:rPr>
        <w:t xml:space="preserve"> </w:t>
      </w:r>
      <w:r w:rsidRPr="00E73F6F">
        <w:t>Verhinderung</w:t>
      </w:r>
      <w:r w:rsidRPr="00E73F6F">
        <w:rPr>
          <w:spacing w:val="-6"/>
        </w:rPr>
        <w:t xml:space="preserve"> </w:t>
      </w:r>
      <w:r w:rsidRPr="00E73F6F">
        <w:t>bzw.</w:t>
      </w:r>
      <w:r w:rsidRPr="00E73F6F">
        <w:rPr>
          <w:spacing w:val="-6"/>
        </w:rPr>
        <w:t xml:space="preserve"> </w:t>
      </w:r>
      <w:r w:rsidRPr="00E73F6F">
        <w:t>Verfolgung</w:t>
      </w:r>
      <w:r w:rsidRPr="00E73F6F">
        <w:rPr>
          <w:spacing w:val="-6"/>
        </w:rPr>
        <w:t xml:space="preserve"> </w:t>
      </w:r>
      <w:r w:rsidRPr="00E73F6F">
        <w:t>von</w:t>
      </w:r>
      <w:r w:rsidRPr="00E73F6F">
        <w:rPr>
          <w:spacing w:val="-6"/>
        </w:rPr>
        <w:t xml:space="preserve"> </w:t>
      </w:r>
      <w:r w:rsidRPr="00E73F6F">
        <w:t>Korruption isoliert haben (vgl. Bigalke 2012, S.6).</w:t>
      </w:r>
    </w:p>
    <w:p w14:paraId="2830EE30" w14:textId="77777777" w:rsidR="003C3DC5" w:rsidRPr="00E73F6F" w:rsidRDefault="003C3DC5" w:rsidP="005D11F5">
      <w:pPr>
        <w:pStyle w:val="StandardText"/>
      </w:pPr>
    </w:p>
    <w:p w14:paraId="782E79C8" w14:textId="77777777" w:rsidR="00FF7799" w:rsidRPr="003C3DC5" w:rsidRDefault="00FF7799" w:rsidP="00B509C5">
      <w:pPr>
        <w:pStyle w:val="StandardTextkursiv"/>
        <w:rPr>
          <w:i w:val="0"/>
        </w:rPr>
      </w:pPr>
      <w:r w:rsidRPr="003C3DC5">
        <w:rPr>
          <w:i w:val="0"/>
        </w:rPr>
        <w:t>3 Möglichkeiten des Strafrechts</w:t>
      </w:r>
    </w:p>
    <w:p w14:paraId="2A02DF66" w14:textId="77777777" w:rsidR="00FF7799" w:rsidRPr="00684099" w:rsidRDefault="00FF7799" w:rsidP="005D11F5">
      <w:pPr>
        <w:pStyle w:val="StandardText"/>
      </w:pPr>
      <w:r w:rsidRPr="00684099">
        <w:t>Kronzeugenregelung: Da Bestecher und Bestochener zumeist einvernehmlich handeln, ist Korruption im Regelfall eine „opferlose Tat“. Deshalb sind die Strafverfolgungsbehörden auf Zuträger angewiesen. Im angelsächsischen Raum werden Whistle Blower durch mehr oder minder weitgehende Zusicherung von Anonymität geschützt. In …</w:t>
      </w:r>
    </w:p>
    <w:p w14:paraId="4B411BB4" w14:textId="77777777" w:rsidR="00FF7799" w:rsidRPr="00684099" w:rsidRDefault="00FF7799" w:rsidP="00DD4A5A">
      <w:pPr>
        <w:pStyle w:val="StandardTextAufzhlung"/>
        <w:ind w:left="567" w:hanging="502"/>
      </w:pPr>
      <w:r w:rsidRPr="00684099">
        <w:t>den</w:t>
      </w:r>
      <w:r w:rsidRPr="00684099">
        <w:rPr>
          <w:spacing w:val="-1"/>
        </w:rPr>
        <w:t xml:space="preserve"> </w:t>
      </w:r>
      <w:r w:rsidRPr="00684099">
        <w:t>USA</w:t>
      </w:r>
      <w:r w:rsidRPr="00684099">
        <w:rPr>
          <w:spacing w:val="-1"/>
        </w:rPr>
        <w:t xml:space="preserve"> </w:t>
      </w:r>
      <w:r w:rsidRPr="00684099">
        <w:t>seit</w:t>
      </w:r>
      <w:r w:rsidRPr="00684099">
        <w:rPr>
          <w:spacing w:val="-3"/>
        </w:rPr>
        <w:t xml:space="preserve"> </w:t>
      </w:r>
      <w:r w:rsidRPr="00684099">
        <w:t>1986</w:t>
      </w:r>
      <w:r w:rsidRPr="00684099">
        <w:rPr>
          <w:spacing w:val="-2"/>
        </w:rPr>
        <w:t xml:space="preserve"> </w:t>
      </w:r>
      <w:r w:rsidRPr="00684099">
        <w:t>durch den</w:t>
      </w:r>
      <w:r w:rsidRPr="00684099">
        <w:rPr>
          <w:spacing w:val="3"/>
        </w:rPr>
        <w:t xml:space="preserve"> </w:t>
      </w:r>
      <w:r w:rsidRPr="00684099">
        <w:t>False</w:t>
      </w:r>
      <w:r w:rsidRPr="00684099">
        <w:rPr>
          <w:spacing w:val="-2"/>
        </w:rPr>
        <w:t xml:space="preserve"> </w:t>
      </w:r>
      <w:r w:rsidRPr="00684099">
        <w:t>Claim</w:t>
      </w:r>
      <w:r w:rsidRPr="00684099">
        <w:rPr>
          <w:spacing w:val="-1"/>
        </w:rPr>
        <w:t xml:space="preserve"> </w:t>
      </w:r>
      <w:r w:rsidRPr="00684099">
        <w:rPr>
          <w:spacing w:val="-4"/>
        </w:rPr>
        <w:t>Act,</w:t>
      </w:r>
    </w:p>
    <w:p w14:paraId="1BD0A574" w14:textId="77777777" w:rsidR="00FF7799" w:rsidRPr="00684099" w:rsidRDefault="00FF7799" w:rsidP="00DD4A5A">
      <w:pPr>
        <w:pStyle w:val="StandardTextAufzhlung"/>
        <w:ind w:left="567" w:hanging="502"/>
      </w:pPr>
      <w:r w:rsidRPr="00684099">
        <w:lastRenderedPageBreak/>
        <w:t>Australien</w:t>
      </w:r>
      <w:r w:rsidRPr="00684099">
        <w:rPr>
          <w:spacing w:val="-1"/>
        </w:rPr>
        <w:t xml:space="preserve"> </w:t>
      </w:r>
      <w:r w:rsidRPr="00684099">
        <w:t>seit</w:t>
      </w:r>
      <w:r w:rsidRPr="00684099">
        <w:rPr>
          <w:spacing w:val="-2"/>
        </w:rPr>
        <w:t xml:space="preserve"> </w:t>
      </w:r>
      <w:r w:rsidRPr="00684099">
        <w:t>1989</w:t>
      </w:r>
      <w:r w:rsidRPr="00684099">
        <w:rPr>
          <w:spacing w:val="-3"/>
        </w:rPr>
        <w:t xml:space="preserve"> </w:t>
      </w:r>
      <w:r w:rsidRPr="00684099">
        <w:t>durch</w:t>
      </w:r>
      <w:r w:rsidRPr="00684099">
        <w:rPr>
          <w:spacing w:val="-2"/>
        </w:rPr>
        <w:t xml:space="preserve"> </w:t>
      </w:r>
      <w:r w:rsidRPr="00684099">
        <w:t>die</w:t>
      </w:r>
      <w:r w:rsidRPr="00684099">
        <w:rPr>
          <w:spacing w:val="1"/>
        </w:rPr>
        <w:t xml:space="preserve"> </w:t>
      </w:r>
      <w:r w:rsidRPr="00684099">
        <w:t>Whistleblower</w:t>
      </w:r>
      <w:r w:rsidRPr="00684099">
        <w:rPr>
          <w:spacing w:val="-2"/>
        </w:rPr>
        <w:t xml:space="preserve"> </w:t>
      </w:r>
      <w:r w:rsidRPr="00684099">
        <w:t>Protection</w:t>
      </w:r>
      <w:r w:rsidRPr="00684099">
        <w:rPr>
          <w:spacing w:val="-2"/>
        </w:rPr>
        <w:t xml:space="preserve"> Bill,</w:t>
      </w:r>
    </w:p>
    <w:p w14:paraId="2E681D8C" w14:textId="77777777" w:rsidR="00FF7799" w:rsidRPr="00684099" w:rsidRDefault="00FF7799" w:rsidP="00DD4A5A">
      <w:pPr>
        <w:pStyle w:val="StandardTextAufzhlung"/>
        <w:ind w:left="567" w:hanging="502"/>
      </w:pPr>
      <w:r w:rsidRPr="00684099">
        <w:t>Großbritannien</w:t>
      </w:r>
      <w:r w:rsidRPr="00684099">
        <w:rPr>
          <w:spacing w:val="-1"/>
        </w:rPr>
        <w:t xml:space="preserve"> </w:t>
      </w:r>
      <w:r w:rsidRPr="00684099">
        <w:t>seit</w:t>
      </w:r>
      <w:r w:rsidRPr="00684099">
        <w:rPr>
          <w:spacing w:val="-4"/>
        </w:rPr>
        <w:t xml:space="preserve"> </w:t>
      </w:r>
      <w:r w:rsidRPr="00684099">
        <w:t>1998</w:t>
      </w:r>
      <w:r w:rsidRPr="00684099">
        <w:rPr>
          <w:spacing w:val="-3"/>
        </w:rPr>
        <w:t xml:space="preserve"> </w:t>
      </w:r>
      <w:r w:rsidRPr="00684099">
        <w:t>durch den</w:t>
      </w:r>
      <w:r w:rsidRPr="00684099">
        <w:rPr>
          <w:spacing w:val="3"/>
        </w:rPr>
        <w:t xml:space="preserve"> </w:t>
      </w:r>
      <w:r w:rsidRPr="00684099">
        <w:t>Public</w:t>
      </w:r>
      <w:r w:rsidRPr="00684099">
        <w:rPr>
          <w:spacing w:val="-3"/>
        </w:rPr>
        <w:t xml:space="preserve"> </w:t>
      </w:r>
      <w:r w:rsidRPr="00684099">
        <w:t>Interest</w:t>
      </w:r>
      <w:r w:rsidRPr="00684099">
        <w:rPr>
          <w:spacing w:val="-2"/>
        </w:rPr>
        <w:t xml:space="preserve"> </w:t>
      </w:r>
      <w:r w:rsidRPr="00684099">
        <w:t>Disclosure</w:t>
      </w:r>
      <w:r w:rsidRPr="00684099">
        <w:rPr>
          <w:spacing w:val="-2"/>
        </w:rPr>
        <w:t xml:space="preserve"> </w:t>
      </w:r>
      <w:r w:rsidRPr="00684099">
        <w:rPr>
          <w:spacing w:val="-4"/>
        </w:rPr>
        <w:t>Act.</w:t>
      </w:r>
    </w:p>
    <w:p w14:paraId="6B42457F" w14:textId="77777777" w:rsidR="00FF7799" w:rsidRPr="00684099" w:rsidRDefault="00FF7799" w:rsidP="005D11F5">
      <w:pPr>
        <w:pStyle w:val="StandardText"/>
      </w:pPr>
      <w:r w:rsidRPr="00684099">
        <w:t xml:space="preserve">Hinzu kommen Schutz vor sozialen und beruflichen Sanktionen sowie Anspruch auf Entschädigung, falls der ‘whistle blower‘ dennoch materielle Nachteile erleidet. In Deutschland hingegen ist der Zuträger weder geschützt noch gern </w:t>
      </w:r>
      <w:r w:rsidRPr="00684099">
        <w:rPr>
          <w:spacing w:val="-2"/>
        </w:rPr>
        <w:t>gesehen.</w:t>
      </w:r>
    </w:p>
    <w:p w14:paraId="6870F778" w14:textId="77777777" w:rsidR="00FF7799" w:rsidRPr="00684099" w:rsidRDefault="00FF7799" w:rsidP="005D11F5">
      <w:pPr>
        <w:pStyle w:val="StandardText"/>
        <w:rPr>
          <w:szCs w:val="24"/>
        </w:rPr>
      </w:pPr>
      <w:r w:rsidRPr="00684099">
        <w:rPr>
          <w:szCs w:val="24"/>
        </w:rPr>
        <w:t>Strafrechtliche</w:t>
      </w:r>
      <w:r w:rsidRPr="00684099">
        <w:rPr>
          <w:spacing w:val="-2"/>
          <w:szCs w:val="24"/>
        </w:rPr>
        <w:t xml:space="preserve"> </w:t>
      </w:r>
      <w:r w:rsidRPr="00684099">
        <w:rPr>
          <w:szCs w:val="24"/>
        </w:rPr>
        <w:t>Verfolgung</w:t>
      </w:r>
      <w:r w:rsidRPr="00684099">
        <w:rPr>
          <w:spacing w:val="1"/>
          <w:szCs w:val="24"/>
        </w:rPr>
        <w:t xml:space="preserve"> </w:t>
      </w:r>
      <w:r w:rsidRPr="00684099">
        <w:rPr>
          <w:spacing w:val="-10"/>
          <w:szCs w:val="24"/>
        </w:rPr>
        <w:t>…</w:t>
      </w:r>
    </w:p>
    <w:p w14:paraId="50D2AACF" w14:textId="77777777" w:rsidR="00FF7799" w:rsidRPr="00684099" w:rsidRDefault="00FF7799" w:rsidP="00DD4A5A">
      <w:pPr>
        <w:pStyle w:val="StandardTextAufzhlung"/>
        <w:ind w:left="567" w:hanging="567"/>
      </w:pPr>
      <w:r w:rsidRPr="00684099">
        <w:t>von angestellten Managern: Bis Anfang 1999 waren deutsche Manager nur dann von Strafe bedroht, wenn sie im Geltungsbereich der Europäischen Union Abgeordnete, Beamte, Richter oder Soldaten bestochen hatten. Gemäß</w:t>
      </w:r>
      <w:r w:rsidRPr="00684099">
        <w:rPr>
          <w:spacing w:val="-7"/>
        </w:rPr>
        <w:t xml:space="preserve"> </w:t>
      </w:r>
      <w:r w:rsidRPr="00684099">
        <w:t>der</w:t>
      </w:r>
      <w:r w:rsidRPr="00684099">
        <w:rPr>
          <w:spacing w:val="-5"/>
        </w:rPr>
        <w:t xml:space="preserve"> </w:t>
      </w:r>
      <w:r w:rsidRPr="00684099">
        <w:t>seit</w:t>
      </w:r>
      <w:r w:rsidRPr="00684099">
        <w:rPr>
          <w:spacing w:val="-5"/>
        </w:rPr>
        <w:t xml:space="preserve"> </w:t>
      </w:r>
      <w:r w:rsidRPr="00684099">
        <w:t>15.2.1999</w:t>
      </w:r>
      <w:r w:rsidRPr="00684099">
        <w:rPr>
          <w:spacing w:val="-5"/>
        </w:rPr>
        <w:t xml:space="preserve"> </w:t>
      </w:r>
      <w:r w:rsidRPr="00684099">
        <w:t>gültigen</w:t>
      </w:r>
      <w:r w:rsidRPr="00684099">
        <w:rPr>
          <w:spacing w:val="-1"/>
        </w:rPr>
        <w:t xml:space="preserve"> </w:t>
      </w:r>
      <w:r w:rsidRPr="00684099">
        <w:t>OECD-Konvention</w:t>
      </w:r>
      <w:r w:rsidRPr="00684099">
        <w:rPr>
          <w:spacing w:val="-5"/>
        </w:rPr>
        <w:t xml:space="preserve"> </w:t>
      </w:r>
      <w:r w:rsidRPr="00684099">
        <w:t>über</w:t>
      </w:r>
      <w:r w:rsidRPr="00684099">
        <w:rPr>
          <w:spacing w:val="-5"/>
        </w:rPr>
        <w:t xml:space="preserve"> </w:t>
      </w:r>
      <w:r w:rsidRPr="00684099">
        <w:t>das</w:t>
      </w:r>
      <w:r w:rsidRPr="00684099">
        <w:rPr>
          <w:spacing w:val="-6"/>
        </w:rPr>
        <w:t xml:space="preserve"> </w:t>
      </w:r>
      <w:r w:rsidRPr="00684099">
        <w:t>„Verbot</w:t>
      </w:r>
      <w:r w:rsidRPr="00684099">
        <w:rPr>
          <w:spacing w:val="-5"/>
        </w:rPr>
        <w:t xml:space="preserve"> </w:t>
      </w:r>
      <w:r w:rsidRPr="00684099">
        <w:t>der Bestechung ausländischer Amtsträger“ muss nunmehr bis zu zehn Jahre Gefängnis</w:t>
      </w:r>
      <w:r w:rsidRPr="00684099">
        <w:rPr>
          <w:spacing w:val="-11"/>
        </w:rPr>
        <w:t xml:space="preserve"> </w:t>
      </w:r>
      <w:r w:rsidRPr="00684099">
        <w:t>befürchten,</w:t>
      </w:r>
      <w:r w:rsidRPr="00684099">
        <w:rPr>
          <w:spacing w:val="-9"/>
        </w:rPr>
        <w:t xml:space="preserve"> </w:t>
      </w:r>
      <w:r w:rsidRPr="00684099">
        <w:t>wer</w:t>
      </w:r>
      <w:r w:rsidRPr="00684099">
        <w:rPr>
          <w:spacing w:val="-11"/>
        </w:rPr>
        <w:t xml:space="preserve"> </w:t>
      </w:r>
      <w:r w:rsidRPr="00684099">
        <w:t>sich</w:t>
      </w:r>
      <w:r w:rsidRPr="00684099">
        <w:rPr>
          <w:spacing w:val="-10"/>
        </w:rPr>
        <w:t xml:space="preserve"> </w:t>
      </w:r>
      <w:r w:rsidRPr="00684099">
        <w:t>das</w:t>
      </w:r>
      <w:r w:rsidRPr="00684099">
        <w:rPr>
          <w:spacing w:val="-12"/>
        </w:rPr>
        <w:t xml:space="preserve"> </w:t>
      </w:r>
      <w:r w:rsidRPr="00684099">
        <w:t>Wohlwollen</w:t>
      </w:r>
      <w:r w:rsidRPr="00684099">
        <w:rPr>
          <w:spacing w:val="-9"/>
        </w:rPr>
        <w:t xml:space="preserve"> </w:t>
      </w:r>
      <w:r w:rsidRPr="00684099">
        <w:t>von</w:t>
      </w:r>
      <w:r w:rsidRPr="00684099">
        <w:rPr>
          <w:spacing w:val="-10"/>
        </w:rPr>
        <w:t xml:space="preserve"> </w:t>
      </w:r>
      <w:r w:rsidRPr="00684099">
        <w:t>ausländischen</w:t>
      </w:r>
      <w:r w:rsidRPr="00684099">
        <w:rPr>
          <w:spacing w:val="-12"/>
        </w:rPr>
        <w:t xml:space="preserve"> </w:t>
      </w:r>
      <w:r w:rsidRPr="00684099">
        <w:t>Beamten mit Schmiergeld erkauft.</w:t>
      </w:r>
    </w:p>
    <w:p w14:paraId="3CEF9679" w14:textId="77777777" w:rsidR="00FF7799" w:rsidRPr="00684099" w:rsidRDefault="00FF7799" w:rsidP="00DD4A5A">
      <w:pPr>
        <w:pStyle w:val="StandardTextAufzhlung"/>
        <w:ind w:left="567" w:hanging="567"/>
      </w:pPr>
      <w:r w:rsidRPr="00684099">
        <w:t>von Vorgesetzten: Sie können nach dem Ordnungswidrigkeitengesetz zur Verantwortung gezogen werden, wenn sie (bzw. das Unternehmen als juristische Person) Bestechung durch ihre Mitarbeiter billigend in Kauf nehmen. Haben sie diese gar dazu aufgefordert, sind Vorgesetzte auch als Mittäter zu behandeln.</w:t>
      </w:r>
    </w:p>
    <w:p w14:paraId="4E6C808A" w14:textId="77777777" w:rsidR="00FF7799" w:rsidRPr="00684099" w:rsidRDefault="00FF7799" w:rsidP="00DD4A5A">
      <w:pPr>
        <w:pStyle w:val="StandardTextAufzhlung"/>
        <w:ind w:left="567" w:hanging="567"/>
      </w:pPr>
      <w:r w:rsidRPr="00684099">
        <w:t xml:space="preserve">von juristischen Personen (z.B. Unternehmen), Freiberuflern und Firmeninhabern: Diese Marktteilnehmer sind bislang strafrechtlich nicht </w:t>
      </w:r>
      <w:r w:rsidRPr="00684099">
        <w:rPr>
          <w:spacing w:val="-2"/>
        </w:rPr>
        <w:t>belangbar.</w:t>
      </w:r>
    </w:p>
    <w:p w14:paraId="338C0D25" w14:textId="77777777" w:rsidR="00FF7799" w:rsidRPr="00684099" w:rsidRDefault="00FF7799" w:rsidP="00DD4A5A">
      <w:pPr>
        <w:pStyle w:val="StandardTextAufzhlung"/>
        <w:ind w:left="567" w:hanging="567"/>
      </w:pPr>
      <w:r w:rsidRPr="00684099">
        <w:t>von Abgeordneten: Bislang können Abgeordnete nur nach § 108e StGB belangt</w:t>
      </w:r>
      <w:r w:rsidRPr="00684099">
        <w:rPr>
          <w:spacing w:val="-12"/>
        </w:rPr>
        <w:t xml:space="preserve"> </w:t>
      </w:r>
      <w:r w:rsidRPr="00684099">
        <w:t>werden,</w:t>
      </w:r>
      <w:r w:rsidRPr="00684099">
        <w:rPr>
          <w:spacing w:val="-11"/>
        </w:rPr>
        <w:t xml:space="preserve"> </w:t>
      </w:r>
      <w:r w:rsidRPr="00684099">
        <w:t>wenn</w:t>
      </w:r>
      <w:r w:rsidRPr="00684099">
        <w:rPr>
          <w:spacing w:val="-11"/>
        </w:rPr>
        <w:t xml:space="preserve"> </w:t>
      </w:r>
      <w:r w:rsidRPr="00684099">
        <w:t>sie</w:t>
      </w:r>
      <w:r w:rsidRPr="00684099">
        <w:rPr>
          <w:spacing w:val="-11"/>
        </w:rPr>
        <w:t xml:space="preserve"> </w:t>
      </w:r>
      <w:r w:rsidRPr="00684099">
        <w:t>ihre</w:t>
      </w:r>
      <w:r w:rsidRPr="00684099">
        <w:rPr>
          <w:spacing w:val="-12"/>
        </w:rPr>
        <w:t xml:space="preserve"> </w:t>
      </w:r>
      <w:r w:rsidRPr="00684099">
        <w:t>Stimme</w:t>
      </w:r>
      <w:r w:rsidRPr="00684099">
        <w:rPr>
          <w:spacing w:val="-11"/>
        </w:rPr>
        <w:t xml:space="preserve"> </w:t>
      </w:r>
      <w:r w:rsidRPr="00684099">
        <w:t>verkaufen.</w:t>
      </w:r>
      <w:r w:rsidRPr="00684099">
        <w:rPr>
          <w:spacing w:val="-11"/>
        </w:rPr>
        <w:t xml:space="preserve"> </w:t>
      </w:r>
      <w:r w:rsidRPr="00684099">
        <w:t>Die</w:t>
      </w:r>
      <w:r w:rsidRPr="00684099">
        <w:rPr>
          <w:spacing w:val="-11"/>
        </w:rPr>
        <w:t xml:space="preserve"> </w:t>
      </w:r>
      <w:r w:rsidRPr="00684099">
        <w:t>UN-Konvention</w:t>
      </w:r>
      <w:r w:rsidRPr="00684099">
        <w:rPr>
          <w:spacing w:val="-12"/>
        </w:rPr>
        <w:t xml:space="preserve"> </w:t>
      </w:r>
      <w:r w:rsidRPr="00684099">
        <w:t>gegen Korruption sieht vor, auch die Annahme von Geld und anderen Vorteilen unter</w:t>
      </w:r>
      <w:r w:rsidRPr="00684099">
        <w:rPr>
          <w:spacing w:val="-1"/>
        </w:rPr>
        <w:t xml:space="preserve"> </w:t>
      </w:r>
      <w:r w:rsidRPr="00684099">
        <w:t>Strafe</w:t>
      </w:r>
      <w:r w:rsidRPr="00684099">
        <w:rPr>
          <w:spacing w:val="-2"/>
        </w:rPr>
        <w:t xml:space="preserve"> </w:t>
      </w:r>
      <w:r w:rsidRPr="00684099">
        <w:t>zu stellen, wenn Abgeordnete</w:t>
      </w:r>
      <w:r w:rsidRPr="00684099">
        <w:rPr>
          <w:spacing w:val="-1"/>
        </w:rPr>
        <w:t xml:space="preserve"> </w:t>
      </w:r>
      <w:r w:rsidRPr="00684099">
        <w:t>sie</w:t>
      </w:r>
      <w:r w:rsidRPr="00684099">
        <w:rPr>
          <w:spacing w:val="-1"/>
        </w:rPr>
        <w:t xml:space="preserve"> </w:t>
      </w:r>
      <w:r w:rsidRPr="00684099">
        <w:t>dafür</w:t>
      </w:r>
      <w:r w:rsidRPr="00684099">
        <w:rPr>
          <w:spacing w:val="-1"/>
        </w:rPr>
        <w:t xml:space="preserve"> </w:t>
      </w:r>
      <w:r w:rsidRPr="00684099">
        <w:t>erhalten</w:t>
      </w:r>
      <w:r w:rsidRPr="00684099">
        <w:rPr>
          <w:spacing w:val="-2"/>
        </w:rPr>
        <w:t xml:space="preserve"> </w:t>
      </w:r>
      <w:r w:rsidRPr="00684099">
        <w:t>haben,</w:t>
      </w:r>
      <w:r w:rsidRPr="00684099">
        <w:rPr>
          <w:spacing w:val="-2"/>
        </w:rPr>
        <w:t xml:space="preserve"> </w:t>
      </w:r>
      <w:r w:rsidRPr="00684099">
        <w:t>dass</w:t>
      </w:r>
      <w:r w:rsidRPr="00684099">
        <w:rPr>
          <w:spacing w:val="-2"/>
        </w:rPr>
        <w:t xml:space="preserve"> </w:t>
      </w:r>
      <w:r w:rsidRPr="00684099">
        <w:t xml:space="preserve">sie sich für die Interessen derjenigen einsetzen, denen sie diese Vorteile </w:t>
      </w:r>
      <w:r w:rsidRPr="00684099">
        <w:rPr>
          <w:spacing w:val="-2"/>
        </w:rPr>
        <w:t>verdanken.</w:t>
      </w:r>
    </w:p>
    <w:p w14:paraId="1EE10435" w14:textId="77777777" w:rsidR="00FF7799" w:rsidRPr="00684099" w:rsidRDefault="00FF7799" w:rsidP="005D11F5">
      <w:pPr>
        <w:pStyle w:val="StandardText"/>
      </w:pPr>
      <w:r w:rsidRPr="00684099">
        <w:t xml:space="preserve">Seit Jahren lehnen CDU/CSU und FDP diesen Vorschlag und damit die Ratifizierung der Konvention mit der Begründung ab, es </w:t>
      </w:r>
      <w:r w:rsidR="00A8618B" w:rsidRPr="00684099">
        <w:t xml:space="preserve">sei </w:t>
      </w:r>
      <w:r w:rsidRPr="00684099">
        <w:t>das Wesen des Mandats von Abgeordneten, „Interessen zu vertreten. Es ist politischer Alltag, dass sich Abgeordnete von Lobbyverbänden einladen lassen, Spenden annehmen und versprechen, sich für etwas einzusetzen. Wie kann man</w:t>
      </w:r>
      <w:r w:rsidRPr="00684099">
        <w:rPr>
          <w:spacing w:val="-12"/>
        </w:rPr>
        <w:t xml:space="preserve"> </w:t>
      </w:r>
      <w:r w:rsidRPr="00684099">
        <w:t>abgrenzen,</w:t>
      </w:r>
      <w:r w:rsidRPr="00684099">
        <w:rPr>
          <w:spacing w:val="-11"/>
        </w:rPr>
        <w:t xml:space="preserve"> </w:t>
      </w:r>
      <w:r w:rsidRPr="00684099">
        <w:t>wann</w:t>
      </w:r>
      <w:r w:rsidRPr="00684099">
        <w:rPr>
          <w:spacing w:val="-11"/>
        </w:rPr>
        <w:t xml:space="preserve"> </w:t>
      </w:r>
      <w:r w:rsidRPr="00684099">
        <w:t>dieses</w:t>
      </w:r>
      <w:r w:rsidRPr="00684099">
        <w:rPr>
          <w:spacing w:val="-11"/>
        </w:rPr>
        <w:t xml:space="preserve"> </w:t>
      </w:r>
      <w:r w:rsidRPr="00684099">
        <w:t>Geben</w:t>
      </w:r>
      <w:r w:rsidRPr="00684099">
        <w:rPr>
          <w:spacing w:val="-12"/>
        </w:rPr>
        <w:t xml:space="preserve"> </w:t>
      </w:r>
      <w:r w:rsidRPr="00684099">
        <w:t>und</w:t>
      </w:r>
      <w:r w:rsidRPr="00684099">
        <w:rPr>
          <w:spacing w:val="-11"/>
        </w:rPr>
        <w:t xml:space="preserve"> </w:t>
      </w:r>
      <w:r w:rsidRPr="00684099">
        <w:t>Nehmen</w:t>
      </w:r>
      <w:r w:rsidRPr="00684099">
        <w:rPr>
          <w:spacing w:val="-13"/>
        </w:rPr>
        <w:t xml:space="preserve"> </w:t>
      </w:r>
      <w:r w:rsidRPr="00684099">
        <w:t>nicht mehr legitim, sondern korrupt ist? [… Beide Parteien warnen davor, Abgeordnete] wie Beamte zu behandeln, wie es die UN-Konvention vorsieht. Für Beamte, die sich überhaupt nicht beeinflussen lassen dürfen, findet sich im Gesetz ein umfangreiches Korruptionsverbot. Mit ebenso strengen Regeln für Mandatsträger sei Parlamentarismus, wie wir ihn gewohnt sind, aber nicht mehr möglich, sagt CDU-Vertreter S. Kauder“ (Bigalke 2012, S.6).</w:t>
      </w:r>
    </w:p>
    <w:p w14:paraId="396B2ED6" w14:textId="77777777" w:rsidR="00FF7799" w:rsidRPr="00684099" w:rsidRDefault="00FF7799" w:rsidP="00862DBA">
      <w:pPr>
        <w:rPr>
          <w:sz w:val="24"/>
          <w:szCs w:val="24"/>
        </w:rPr>
      </w:pPr>
    </w:p>
    <w:p w14:paraId="5FF08974" w14:textId="77777777" w:rsidR="00FF7799" w:rsidRPr="003C3DC5" w:rsidRDefault="00FF7799" w:rsidP="005D11F5">
      <w:pPr>
        <w:pStyle w:val="StandardTextkursiv"/>
        <w:rPr>
          <w:i w:val="0"/>
        </w:rPr>
      </w:pPr>
      <w:r w:rsidRPr="003C3DC5">
        <w:rPr>
          <w:i w:val="0"/>
        </w:rPr>
        <w:t>4 Möglichkeiten</w:t>
      </w:r>
      <w:r w:rsidRPr="003C3DC5">
        <w:rPr>
          <w:i w:val="0"/>
          <w:spacing w:val="-3"/>
        </w:rPr>
        <w:t xml:space="preserve"> </w:t>
      </w:r>
      <w:r w:rsidRPr="003C3DC5">
        <w:rPr>
          <w:i w:val="0"/>
        </w:rPr>
        <w:t>des</w:t>
      </w:r>
      <w:r w:rsidRPr="003C3DC5">
        <w:rPr>
          <w:i w:val="0"/>
          <w:spacing w:val="-2"/>
        </w:rPr>
        <w:t xml:space="preserve"> Steuerrechts</w:t>
      </w:r>
    </w:p>
    <w:p w14:paraId="29D60C72" w14:textId="77777777" w:rsidR="00FF7799" w:rsidRPr="00684099" w:rsidRDefault="00FF7799" w:rsidP="003C3DC5">
      <w:pPr>
        <w:pStyle w:val="StandardText"/>
      </w:pPr>
      <w:r w:rsidRPr="00684099">
        <w:t>Gemäß der OECD-Empfehlung zur Korruptionsbekämpfung können Schmiergeldzahlungen</w:t>
      </w:r>
      <w:r w:rsidRPr="00684099">
        <w:rPr>
          <w:spacing w:val="18"/>
        </w:rPr>
        <w:t xml:space="preserve"> </w:t>
      </w:r>
      <w:r w:rsidRPr="00684099">
        <w:t>seit</w:t>
      </w:r>
      <w:r w:rsidRPr="00684099">
        <w:rPr>
          <w:spacing w:val="18"/>
        </w:rPr>
        <w:t xml:space="preserve"> </w:t>
      </w:r>
      <w:r w:rsidRPr="00684099">
        <w:t>1.1.1999</w:t>
      </w:r>
      <w:r w:rsidRPr="00684099">
        <w:rPr>
          <w:spacing w:val="18"/>
        </w:rPr>
        <w:t xml:space="preserve"> </w:t>
      </w:r>
      <w:r w:rsidRPr="00684099">
        <w:t>nicht</w:t>
      </w:r>
      <w:r w:rsidRPr="00684099">
        <w:rPr>
          <w:spacing w:val="20"/>
        </w:rPr>
        <w:t xml:space="preserve"> </w:t>
      </w:r>
      <w:r w:rsidRPr="00684099">
        <w:t>mehr</w:t>
      </w:r>
      <w:r w:rsidRPr="00684099">
        <w:rPr>
          <w:spacing w:val="18"/>
        </w:rPr>
        <w:t xml:space="preserve"> </w:t>
      </w:r>
      <w:r w:rsidRPr="00684099">
        <w:t>als</w:t>
      </w:r>
      <w:r w:rsidRPr="00684099">
        <w:rPr>
          <w:spacing w:val="19"/>
        </w:rPr>
        <w:t xml:space="preserve"> </w:t>
      </w:r>
      <w:r w:rsidRPr="00684099">
        <w:t>„nützliche</w:t>
      </w:r>
      <w:r w:rsidRPr="00684099">
        <w:rPr>
          <w:spacing w:val="19"/>
        </w:rPr>
        <w:t xml:space="preserve"> </w:t>
      </w:r>
      <w:r w:rsidRPr="00684099">
        <w:rPr>
          <w:spacing w:val="-2"/>
        </w:rPr>
        <w:t>Aufwendungen“,</w:t>
      </w:r>
      <w:r w:rsidR="003C3DC5" w:rsidRPr="00684099">
        <w:rPr>
          <w:spacing w:val="-2"/>
        </w:rPr>
        <w:t xml:space="preserve"> </w:t>
      </w:r>
      <w:r w:rsidRPr="00684099">
        <w:rPr>
          <w:szCs w:val="24"/>
        </w:rPr>
        <w:t>d.h.</w:t>
      </w:r>
      <w:r w:rsidRPr="00684099">
        <w:rPr>
          <w:spacing w:val="-4"/>
          <w:szCs w:val="24"/>
        </w:rPr>
        <w:t xml:space="preserve"> </w:t>
      </w:r>
      <w:r w:rsidRPr="00684099">
        <w:rPr>
          <w:szCs w:val="24"/>
        </w:rPr>
        <w:t>als</w:t>
      </w:r>
      <w:r w:rsidRPr="00684099">
        <w:rPr>
          <w:spacing w:val="-1"/>
          <w:szCs w:val="24"/>
        </w:rPr>
        <w:t xml:space="preserve"> </w:t>
      </w:r>
      <w:r w:rsidRPr="00684099">
        <w:rPr>
          <w:szCs w:val="24"/>
        </w:rPr>
        <w:t>Betriebskosten,</w:t>
      </w:r>
      <w:r w:rsidRPr="00684099">
        <w:rPr>
          <w:spacing w:val="-1"/>
          <w:szCs w:val="24"/>
        </w:rPr>
        <w:t xml:space="preserve"> </w:t>
      </w:r>
      <w:r w:rsidRPr="00684099">
        <w:rPr>
          <w:szCs w:val="24"/>
        </w:rPr>
        <w:t>steuerlich</w:t>
      </w:r>
      <w:r w:rsidRPr="00684099">
        <w:rPr>
          <w:spacing w:val="-2"/>
          <w:szCs w:val="24"/>
        </w:rPr>
        <w:t xml:space="preserve"> </w:t>
      </w:r>
      <w:r w:rsidRPr="00684099">
        <w:rPr>
          <w:szCs w:val="24"/>
        </w:rPr>
        <w:t>geltend</w:t>
      </w:r>
      <w:r w:rsidRPr="00684099">
        <w:rPr>
          <w:spacing w:val="-2"/>
          <w:szCs w:val="24"/>
        </w:rPr>
        <w:t xml:space="preserve"> </w:t>
      </w:r>
      <w:r w:rsidRPr="00684099">
        <w:rPr>
          <w:szCs w:val="24"/>
        </w:rPr>
        <w:t>gemacht</w:t>
      </w:r>
      <w:r w:rsidRPr="00684099">
        <w:rPr>
          <w:spacing w:val="-1"/>
          <w:szCs w:val="24"/>
        </w:rPr>
        <w:t xml:space="preserve"> </w:t>
      </w:r>
      <w:r w:rsidRPr="00684099">
        <w:rPr>
          <w:spacing w:val="-2"/>
          <w:szCs w:val="24"/>
        </w:rPr>
        <w:t>werden.</w:t>
      </w:r>
    </w:p>
    <w:p w14:paraId="13A83B12" w14:textId="77777777" w:rsidR="00FF7799" w:rsidRPr="00E73F6F" w:rsidRDefault="00FF7799" w:rsidP="00862DBA">
      <w:pPr>
        <w:rPr>
          <w:sz w:val="24"/>
          <w:szCs w:val="24"/>
        </w:rPr>
      </w:pPr>
    </w:p>
    <w:p w14:paraId="37EEEA38" w14:textId="77777777" w:rsidR="00FF7799" w:rsidRPr="003C3DC5" w:rsidRDefault="00FF7799" w:rsidP="005D11F5">
      <w:pPr>
        <w:pStyle w:val="StandardTextkursiv"/>
        <w:rPr>
          <w:i w:val="0"/>
        </w:rPr>
      </w:pPr>
      <w:r w:rsidRPr="003C3DC5">
        <w:rPr>
          <w:i w:val="0"/>
        </w:rPr>
        <w:t>5 Politische</w:t>
      </w:r>
      <w:r w:rsidRPr="003C3DC5">
        <w:rPr>
          <w:i w:val="0"/>
          <w:spacing w:val="-5"/>
        </w:rPr>
        <w:t xml:space="preserve"> </w:t>
      </w:r>
      <w:r w:rsidRPr="003C3DC5">
        <w:rPr>
          <w:i w:val="0"/>
          <w:spacing w:val="-2"/>
        </w:rPr>
        <w:t>Maßnahmen</w:t>
      </w:r>
    </w:p>
    <w:p w14:paraId="639C4786" w14:textId="77777777" w:rsidR="00FF7799" w:rsidRPr="00E73F6F" w:rsidRDefault="00FF7799" w:rsidP="005D11F5">
      <w:pPr>
        <w:pStyle w:val="StandardText"/>
      </w:pPr>
      <w:r w:rsidRPr="00E73F6F">
        <w:t>Deregulierung: So lange Handelshemmnisse bestehen</w:t>
      </w:r>
      <w:r w:rsidR="00063AB1">
        <w:t xml:space="preserve"> (</w:t>
      </w:r>
      <w:r w:rsidR="00063AB1">
        <w:sym w:font="Symbol" w:char="F0DE"/>
      </w:r>
      <w:r w:rsidR="00063AB1">
        <w:t xml:space="preserve"> Protektionismus)</w:t>
      </w:r>
      <w:r w:rsidRPr="00E73F6F">
        <w:t>, wird es Versuche geben, diese zu umgehen (z.B. indem man Zollbeamte besticht).</w:t>
      </w:r>
    </w:p>
    <w:p w14:paraId="7D70D012" w14:textId="77777777" w:rsidR="00FF7799" w:rsidRPr="00E73F6F" w:rsidRDefault="00FF7799" w:rsidP="005D11F5">
      <w:pPr>
        <w:pStyle w:val="StandardText"/>
      </w:pPr>
      <w:r w:rsidRPr="00E73F6F">
        <w:t>Subsidiarität: Je größer der Staatsanteil und je schwächer die juristische sowie parlamentarische</w:t>
      </w:r>
      <w:r w:rsidRPr="00E73F6F">
        <w:rPr>
          <w:spacing w:val="-11"/>
        </w:rPr>
        <w:t xml:space="preserve"> </w:t>
      </w:r>
      <w:r w:rsidRPr="00E73F6F">
        <w:t>Kontrolle,</w:t>
      </w:r>
      <w:r w:rsidRPr="00E73F6F">
        <w:rPr>
          <w:spacing w:val="-9"/>
        </w:rPr>
        <w:t xml:space="preserve"> </w:t>
      </w:r>
      <w:r w:rsidRPr="00E73F6F">
        <w:t>umso</w:t>
      </w:r>
      <w:r w:rsidRPr="00E73F6F">
        <w:rPr>
          <w:spacing w:val="-10"/>
        </w:rPr>
        <w:t xml:space="preserve"> </w:t>
      </w:r>
      <w:r w:rsidRPr="00E73F6F">
        <w:t>ausgeprägter</w:t>
      </w:r>
      <w:r w:rsidRPr="00E73F6F">
        <w:rPr>
          <w:spacing w:val="-7"/>
        </w:rPr>
        <w:t xml:space="preserve"> </w:t>
      </w:r>
      <w:r w:rsidRPr="00E73F6F">
        <w:t>ist</w:t>
      </w:r>
      <w:r w:rsidRPr="00E73F6F">
        <w:rPr>
          <w:spacing w:val="-7"/>
        </w:rPr>
        <w:t xml:space="preserve"> </w:t>
      </w:r>
      <w:r w:rsidRPr="00E73F6F">
        <w:t>die</w:t>
      </w:r>
      <w:r w:rsidRPr="00E73F6F">
        <w:rPr>
          <w:spacing w:val="-9"/>
        </w:rPr>
        <w:t xml:space="preserve"> </w:t>
      </w:r>
      <w:r w:rsidRPr="00E73F6F">
        <w:t>Anfälligkeit</w:t>
      </w:r>
      <w:r w:rsidRPr="00E73F6F">
        <w:rPr>
          <w:spacing w:val="-7"/>
        </w:rPr>
        <w:t xml:space="preserve"> </w:t>
      </w:r>
      <w:r w:rsidRPr="00E73F6F">
        <w:t>für</w:t>
      </w:r>
      <w:r w:rsidRPr="00E73F6F">
        <w:rPr>
          <w:spacing w:val="-7"/>
        </w:rPr>
        <w:t xml:space="preserve"> </w:t>
      </w:r>
      <w:r w:rsidRPr="00E73F6F">
        <w:rPr>
          <w:spacing w:val="-2"/>
        </w:rPr>
        <w:t>Korruption.</w:t>
      </w:r>
    </w:p>
    <w:p w14:paraId="6BEB2E0F" w14:textId="77777777" w:rsidR="00FF7799" w:rsidRPr="00E73F6F" w:rsidRDefault="00FF7799" w:rsidP="00862DBA">
      <w:pPr>
        <w:rPr>
          <w:sz w:val="24"/>
          <w:szCs w:val="24"/>
        </w:rPr>
      </w:pPr>
    </w:p>
    <w:p w14:paraId="3852E877" w14:textId="77777777" w:rsidR="00FF7799" w:rsidRPr="003C3DC5" w:rsidRDefault="00FF7799" w:rsidP="005D11F5">
      <w:pPr>
        <w:pStyle w:val="StandardTextkursiv"/>
        <w:rPr>
          <w:i w:val="0"/>
        </w:rPr>
      </w:pPr>
      <w:r w:rsidRPr="003C3DC5">
        <w:rPr>
          <w:i w:val="0"/>
        </w:rPr>
        <w:t>6 Kritische Öffentlichkeit</w:t>
      </w:r>
    </w:p>
    <w:p w14:paraId="5FACF02D" w14:textId="77777777" w:rsidR="00FF7799" w:rsidRPr="00684099" w:rsidRDefault="00FF7799" w:rsidP="005D11F5">
      <w:pPr>
        <w:pStyle w:val="StandardText"/>
      </w:pPr>
      <w:r w:rsidRPr="00684099">
        <w:lastRenderedPageBreak/>
        <w:t>Da auf die Instrumente der Selbstkontrolle immer nur bedingt Verlass ist, juristische Maßnahmen sich als ein stumpfes Schwert erwiesen haben und politische Maßnahmen, bspw. im supranationalen Bereich, nur schwer durchsetzbar sind, bedarf Korruptionsbekämpfung immer auch der kritischen Öffentlichkeit.</w:t>
      </w:r>
      <w:r w:rsidRPr="00684099">
        <w:rPr>
          <w:spacing w:val="-3"/>
        </w:rPr>
        <w:t xml:space="preserve"> </w:t>
      </w:r>
      <w:r w:rsidRPr="00684099">
        <w:t>Zu</w:t>
      </w:r>
      <w:r w:rsidRPr="00684099">
        <w:rPr>
          <w:spacing w:val="-3"/>
        </w:rPr>
        <w:t xml:space="preserve"> </w:t>
      </w:r>
      <w:r w:rsidRPr="00684099">
        <w:t>ihr</w:t>
      </w:r>
      <w:r w:rsidRPr="00684099">
        <w:rPr>
          <w:spacing w:val="-3"/>
        </w:rPr>
        <w:t xml:space="preserve"> </w:t>
      </w:r>
      <w:r w:rsidRPr="00684099">
        <w:t>zählen</w:t>
      </w:r>
      <w:r w:rsidRPr="00684099">
        <w:rPr>
          <w:spacing w:val="-4"/>
        </w:rPr>
        <w:t xml:space="preserve"> </w:t>
      </w:r>
      <w:r w:rsidRPr="00684099">
        <w:t>unabhängige</w:t>
      </w:r>
      <w:r w:rsidRPr="00684099">
        <w:rPr>
          <w:spacing w:val="-3"/>
        </w:rPr>
        <w:t xml:space="preserve"> </w:t>
      </w:r>
      <w:r w:rsidRPr="00684099">
        <w:t>Rechnungsprüfer,</w:t>
      </w:r>
      <w:r w:rsidRPr="00684099">
        <w:rPr>
          <w:spacing w:val="-3"/>
        </w:rPr>
        <w:t xml:space="preserve"> </w:t>
      </w:r>
      <w:r w:rsidRPr="00684099">
        <w:t>eine</w:t>
      </w:r>
      <w:r w:rsidRPr="00684099">
        <w:rPr>
          <w:spacing w:val="-3"/>
        </w:rPr>
        <w:t xml:space="preserve"> </w:t>
      </w:r>
      <w:r w:rsidRPr="00684099">
        <w:t>freie</w:t>
      </w:r>
      <w:r w:rsidRPr="00684099">
        <w:rPr>
          <w:spacing w:val="-3"/>
        </w:rPr>
        <w:t xml:space="preserve"> </w:t>
      </w:r>
      <w:r w:rsidRPr="00684099">
        <w:t>Presse</w:t>
      </w:r>
      <w:r w:rsidRPr="00684099">
        <w:rPr>
          <w:spacing w:val="-3"/>
        </w:rPr>
        <w:t xml:space="preserve"> </w:t>
      </w:r>
      <w:r w:rsidRPr="00684099">
        <w:t>und einschlägig engagierte Nicht-Regierungsorganisationen. Transparency International</w:t>
      </w:r>
      <w:r w:rsidRPr="00684099">
        <w:rPr>
          <w:spacing w:val="-7"/>
        </w:rPr>
        <w:t xml:space="preserve"> </w:t>
      </w:r>
      <w:r w:rsidRPr="00684099">
        <w:t>gelangte</w:t>
      </w:r>
      <w:r w:rsidRPr="00684099">
        <w:rPr>
          <w:spacing w:val="-5"/>
        </w:rPr>
        <w:t xml:space="preserve"> </w:t>
      </w:r>
      <w:r w:rsidRPr="00684099">
        <w:t>mit</w:t>
      </w:r>
      <w:r w:rsidRPr="00684099">
        <w:rPr>
          <w:spacing w:val="-7"/>
        </w:rPr>
        <w:t xml:space="preserve"> </w:t>
      </w:r>
      <w:r w:rsidRPr="00684099">
        <w:t>ihrem</w:t>
      </w:r>
      <w:r w:rsidRPr="00684099">
        <w:rPr>
          <w:spacing w:val="-9"/>
        </w:rPr>
        <w:t xml:space="preserve"> </w:t>
      </w:r>
      <w:r w:rsidRPr="00684099">
        <w:t>Kampf</w:t>
      </w:r>
      <w:r w:rsidRPr="00684099">
        <w:rPr>
          <w:spacing w:val="-5"/>
        </w:rPr>
        <w:t xml:space="preserve"> </w:t>
      </w:r>
      <w:r w:rsidRPr="00684099">
        <w:t>gegen</w:t>
      </w:r>
      <w:r w:rsidRPr="00684099">
        <w:rPr>
          <w:spacing w:val="-7"/>
        </w:rPr>
        <w:t xml:space="preserve"> </w:t>
      </w:r>
      <w:r w:rsidRPr="00684099">
        <w:t>Korruption</w:t>
      </w:r>
      <w:r w:rsidRPr="00684099">
        <w:rPr>
          <w:spacing w:val="-7"/>
        </w:rPr>
        <w:t xml:space="preserve"> </w:t>
      </w:r>
      <w:r w:rsidRPr="00684099">
        <w:t>nicht</w:t>
      </w:r>
      <w:r w:rsidRPr="00684099">
        <w:rPr>
          <w:spacing w:val="-7"/>
        </w:rPr>
        <w:t xml:space="preserve"> </w:t>
      </w:r>
      <w:r w:rsidRPr="00684099">
        <w:t>nur</w:t>
      </w:r>
      <w:r w:rsidRPr="00684099">
        <w:rPr>
          <w:spacing w:val="-5"/>
        </w:rPr>
        <w:t xml:space="preserve"> </w:t>
      </w:r>
      <w:r w:rsidRPr="00684099">
        <w:t>zu</w:t>
      </w:r>
      <w:r w:rsidRPr="00684099">
        <w:rPr>
          <w:spacing w:val="-4"/>
        </w:rPr>
        <w:t xml:space="preserve"> </w:t>
      </w:r>
      <w:r w:rsidRPr="00684099">
        <w:t>weltweiter Berühmtheit, sondern war darin vermutlich erfolgreicher als die Mehrzahl der anderen Maßnahmen zusammengenommen.</w:t>
      </w:r>
    </w:p>
    <w:p w14:paraId="0886CB1D" w14:textId="77777777" w:rsidR="00FF7799" w:rsidRPr="00684099" w:rsidRDefault="00FF7799" w:rsidP="005D11F5">
      <w:pPr>
        <w:pStyle w:val="StandardText"/>
        <w:rPr>
          <w:sz w:val="22"/>
          <w:szCs w:val="22"/>
          <w:lang w:val="en-US"/>
        </w:rPr>
      </w:pPr>
      <w:r w:rsidRPr="00684099">
        <w:rPr>
          <w:b/>
          <w:i/>
          <w:sz w:val="22"/>
          <w:szCs w:val="22"/>
        </w:rPr>
        <w:t>Literatur:</w:t>
      </w:r>
      <w:r w:rsidRPr="00684099">
        <w:rPr>
          <w:b/>
          <w:spacing w:val="-2"/>
          <w:sz w:val="22"/>
          <w:szCs w:val="22"/>
        </w:rPr>
        <w:t xml:space="preserve"> </w:t>
      </w:r>
      <w:r w:rsidRPr="00684099">
        <w:rPr>
          <w:sz w:val="22"/>
          <w:szCs w:val="22"/>
        </w:rPr>
        <w:t>Bigalke,</w:t>
      </w:r>
      <w:r w:rsidRPr="00684099">
        <w:rPr>
          <w:spacing w:val="-1"/>
          <w:sz w:val="22"/>
          <w:szCs w:val="22"/>
        </w:rPr>
        <w:t xml:space="preserve"> </w:t>
      </w:r>
      <w:r w:rsidRPr="00684099">
        <w:rPr>
          <w:sz w:val="22"/>
          <w:szCs w:val="22"/>
        </w:rPr>
        <w:t>S. (2012): Das</w:t>
      </w:r>
      <w:r w:rsidRPr="00684099">
        <w:rPr>
          <w:spacing w:val="-1"/>
          <w:sz w:val="22"/>
          <w:szCs w:val="22"/>
        </w:rPr>
        <w:t xml:space="preserve"> </w:t>
      </w:r>
      <w:r w:rsidRPr="00684099">
        <w:rPr>
          <w:sz w:val="22"/>
          <w:szCs w:val="22"/>
        </w:rPr>
        <w:t>alltägliche Geben und Nehmen,</w:t>
      </w:r>
      <w:r w:rsidRPr="00684099">
        <w:rPr>
          <w:spacing w:val="-1"/>
          <w:sz w:val="22"/>
          <w:szCs w:val="22"/>
        </w:rPr>
        <w:t xml:space="preserve"> </w:t>
      </w:r>
      <w:r w:rsidRPr="00684099">
        <w:rPr>
          <w:sz w:val="22"/>
          <w:szCs w:val="22"/>
        </w:rPr>
        <w:t>Süddeutsche Zeitung,</w:t>
      </w:r>
      <w:r w:rsidRPr="00684099">
        <w:rPr>
          <w:spacing w:val="40"/>
          <w:sz w:val="22"/>
          <w:szCs w:val="22"/>
        </w:rPr>
        <w:t xml:space="preserve"> </w:t>
      </w:r>
      <w:r w:rsidRPr="00684099">
        <w:rPr>
          <w:sz w:val="22"/>
          <w:szCs w:val="22"/>
        </w:rPr>
        <w:t>68(9): 6.</w:t>
      </w:r>
      <w:r w:rsidRPr="00684099">
        <w:rPr>
          <w:spacing w:val="80"/>
          <w:sz w:val="22"/>
          <w:szCs w:val="22"/>
        </w:rPr>
        <w:t xml:space="preserve"> </w:t>
      </w:r>
      <w:r w:rsidRPr="00684099">
        <w:rPr>
          <w:sz w:val="22"/>
          <w:szCs w:val="22"/>
          <w:lang w:val="en-US"/>
        </w:rPr>
        <w:t>Cetindamar, D. (2007): Corporate Social Responsibility Practices and</w:t>
      </w:r>
      <w:r w:rsidRPr="00684099">
        <w:rPr>
          <w:spacing w:val="40"/>
          <w:sz w:val="22"/>
          <w:szCs w:val="22"/>
          <w:lang w:val="en-US"/>
        </w:rPr>
        <w:t xml:space="preserve"> </w:t>
      </w:r>
      <w:r w:rsidRPr="00684099">
        <w:rPr>
          <w:sz w:val="22"/>
          <w:szCs w:val="22"/>
          <w:lang w:val="en-US"/>
        </w:rPr>
        <w:t>Environmentally</w:t>
      </w:r>
      <w:r w:rsidRPr="00684099">
        <w:rPr>
          <w:spacing w:val="-4"/>
          <w:sz w:val="22"/>
          <w:szCs w:val="22"/>
          <w:lang w:val="en-US"/>
        </w:rPr>
        <w:t xml:space="preserve"> </w:t>
      </w:r>
      <w:r w:rsidRPr="00684099">
        <w:rPr>
          <w:sz w:val="22"/>
          <w:szCs w:val="22"/>
          <w:lang w:val="en-US"/>
        </w:rPr>
        <w:t>Responsible</w:t>
      </w:r>
      <w:r w:rsidRPr="00684099">
        <w:rPr>
          <w:spacing w:val="-5"/>
          <w:sz w:val="22"/>
          <w:szCs w:val="22"/>
          <w:lang w:val="en-US"/>
        </w:rPr>
        <w:t xml:space="preserve"> </w:t>
      </w:r>
      <w:r w:rsidRPr="00684099">
        <w:rPr>
          <w:sz w:val="22"/>
          <w:szCs w:val="22"/>
          <w:lang w:val="en-US"/>
        </w:rPr>
        <w:t>Behavior.</w:t>
      </w:r>
      <w:r w:rsidRPr="00684099">
        <w:rPr>
          <w:spacing w:val="-2"/>
          <w:sz w:val="22"/>
          <w:szCs w:val="22"/>
          <w:lang w:val="en-US"/>
        </w:rPr>
        <w:t xml:space="preserve"> </w:t>
      </w:r>
      <w:r w:rsidRPr="00684099">
        <w:rPr>
          <w:sz w:val="22"/>
          <w:szCs w:val="22"/>
          <w:lang w:val="en-US"/>
        </w:rPr>
        <w:t>The</w:t>
      </w:r>
      <w:r w:rsidRPr="00684099">
        <w:rPr>
          <w:spacing w:val="-5"/>
          <w:sz w:val="22"/>
          <w:szCs w:val="22"/>
          <w:lang w:val="en-US"/>
        </w:rPr>
        <w:t xml:space="preserve"> </w:t>
      </w:r>
      <w:r w:rsidRPr="00684099">
        <w:rPr>
          <w:sz w:val="22"/>
          <w:szCs w:val="22"/>
          <w:lang w:val="en-US"/>
        </w:rPr>
        <w:t>Case</w:t>
      </w:r>
      <w:r w:rsidRPr="00684099">
        <w:rPr>
          <w:spacing w:val="-5"/>
          <w:sz w:val="22"/>
          <w:szCs w:val="22"/>
          <w:lang w:val="en-US"/>
        </w:rPr>
        <w:t xml:space="preserve"> </w:t>
      </w:r>
      <w:r w:rsidRPr="00684099">
        <w:rPr>
          <w:sz w:val="22"/>
          <w:szCs w:val="22"/>
          <w:lang w:val="en-US"/>
        </w:rPr>
        <w:t>of</w:t>
      </w:r>
      <w:r w:rsidRPr="00684099">
        <w:rPr>
          <w:spacing w:val="-6"/>
          <w:sz w:val="22"/>
          <w:szCs w:val="22"/>
          <w:lang w:val="en-US"/>
        </w:rPr>
        <w:t xml:space="preserve"> </w:t>
      </w:r>
      <w:r w:rsidRPr="00684099">
        <w:rPr>
          <w:sz w:val="22"/>
          <w:szCs w:val="22"/>
          <w:lang w:val="en-US"/>
        </w:rPr>
        <w:t>the</w:t>
      </w:r>
      <w:r w:rsidRPr="00684099">
        <w:rPr>
          <w:spacing w:val="-2"/>
          <w:sz w:val="22"/>
          <w:szCs w:val="22"/>
          <w:lang w:val="en-US"/>
        </w:rPr>
        <w:t xml:space="preserve"> </w:t>
      </w:r>
      <w:r w:rsidRPr="00684099">
        <w:rPr>
          <w:sz w:val="22"/>
          <w:szCs w:val="22"/>
          <w:lang w:val="en-US"/>
        </w:rPr>
        <w:t>United</w:t>
      </w:r>
      <w:r w:rsidRPr="00684099">
        <w:rPr>
          <w:spacing w:val="-2"/>
          <w:sz w:val="22"/>
          <w:szCs w:val="22"/>
          <w:lang w:val="en-US"/>
        </w:rPr>
        <w:t xml:space="preserve"> </w:t>
      </w:r>
      <w:r w:rsidRPr="00684099">
        <w:rPr>
          <w:sz w:val="22"/>
          <w:szCs w:val="22"/>
          <w:lang w:val="en-US"/>
        </w:rPr>
        <w:t>Nations</w:t>
      </w:r>
      <w:r w:rsidRPr="00684099">
        <w:rPr>
          <w:spacing w:val="-3"/>
          <w:sz w:val="22"/>
          <w:szCs w:val="22"/>
          <w:lang w:val="en-US"/>
        </w:rPr>
        <w:t xml:space="preserve"> </w:t>
      </w:r>
      <w:r w:rsidRPr="00684099">
        <w:rPr>
          <w:sz w:val="22"/>
          <w:szCs w:val="22"/>
          <w:lang w:val="en-US"/>
        </w:rPr>
        <w:t>Global</w:t>
      </w:r>
      <w:r w:rsidRPr="00684099">
        <w:rPr>
          <w:spacing w:val="-4"/>
          <w:sz w:val="22"/>
          <w:szCs w:val="22"/>
          <w:lang w:val="en-US"/>
        </w:rPr>
        <w:t xml:space="preserve"> </w:t>
      </w:r>
      <w:r w:rsidRPr="00684099">
        <w:rPr>
          <w:sz w:val="22"/>
          <w:szCs w:val="22"/>
          <w:lang w:val="en-US"/>
        </w:rPr>
        <w:t>Compact,</w:t>
      </w:r>
      <w:r w:rsidRPr="00684099">
        <w:rPr>
          <w:spacing w:val="40"/>
          <w:sz w:val="22"/>
          <w:szCs w:val="22"/>
          <w:lang w:val="en-US"/>
        </w:rPr>
        <w:t xml:space="preserve"> </w:t>
      </w:r>
      <w:r w:rsidRPr="00684099">
        <w:rPr>
          <w:sz w:val="22"/>
          <w:szCs w:val="22"/>
          <w:lang w:val="en-US"/>
        </w:rPr>
        <w:t>Journal of Business Ethics, 76(2): 163-176.</w:t>
      </w:r>
      <w:r w:rsidRPr="00684099">
        <w:rPr>
          <w:spacing w:val="80"/>
          <w:sz w:val="22"/>
          <w:szCs w:val="22"/>
          <w:lang w:val="en-US"/>
        </w:rPr>
        <w:t xml:space="preserve"> </w:t>
      </w:r>
      <w:r w:rsidRPr="00684099">
        <w:rPr>
          <w:sz w:val="22"/>
          <w:szCs w:val="22"/>
        </w:rPr>
        <w:t>Eigen, P. (2003): Das Netz der Korruption.</w:t>
      </w:r>
      <w:r w:rsidRPr="00684099">
        <w:rPr>
          <w:spacing w:val="40"/>
          <w:sz w:val="22"/>
          <w:szCs w:val="22"/>
        </w:rPr>
        <w:t xml:space="preserve"> </w:t>
      </w:r>
      <w:r w:rsidRPr="00684099">
        <w:rPr>
          <w:sz w:val="22"/>
          <w:szCs w:val="22"/>
        </w:rPr>
        <w:t xml:space="preserve">Wie eine weltweite Bewegung gegen Bestechung kämpft, Frankfurt/Main: Campus. </w:t>
      </w:r>
      <w:r w:rsidRPr="00684099">
        <w:rPr>
          <w:sz w:val="22"/>
          <w:szCs w:val="22"/>
          <w:lang w:val="en-US"/>
        </w:rPr>
        <w:t>Williams,</w:t>
      </w:r>
      <w:r w:rsidRPr="00684099">
        <w:rPr>
          <w:spacing w:val="-5"/>
          <w:sz w:val="22"/>
          <w:szCs w:val="22"/>
          <w:lang w:val="en-US"/>
        </w:rPr>
        <w:t xml:space="preserve"> </w:t>
      </w:r>
      <w:r w:rsidRPr="00684099">
        <w:rPr>
          <w:sz w:val="22"/>
          <w:szCs w:val="22"/>
          <w:lang w:val="en-US"/>
        </w:rPr>
        <w:t>O.F.</w:t>
      </w:r>
      <w:r w:rsidRPr="00684099">
        <w:rPr>
          <w:spacing w:val="-3"/>
          <w:sz w:val="22"/>
          <w:szCs w:val="22"/>
          <w:lang w:val="en-US"/>
        </w:rPr>
        <w:t xml:space="preserve"> </w:t>
      </w:r>
      <w:r w:rsidRPr="00684099">
        <w:rPr>
          <w:sz w:val="22"/>
          <w:szCs w:val="22"/>
          <w:lang w:val="en-US"/>
        </w:rPr>
        <w:t>(2008):</w:t>
      </w:r>
      <w:r w:rsidRPr="00684099">
        <w:rPr>
          <w:spacing w:val="-4"/>
          <w:sz w:val="22"/>
          <w:szCs w:val="22"/>
          <w:lang w:val="en-US"/>
        </w:rPr>
        <w:t xml:space="preserve"> </w:t>
      </w:r>
      <w:r w:rsidRPr="00684099">
        <w:rPr>
          <w:sz w:val="22"/>
          <w:szCs w:val="22"/>
          <w:lang w:val="en-US"/>
        </w:rPr>
        <w:t>Peace</w:t>
      </w:r>
      <w:r w:rsidRPr="00684099">
        <w:rPr>
          <w:spacing w:val="-5"/>
          <w:sz w:val="22"/>
          <w:szCs w:val="22"/>
          <w:lang w:val="en-US"/>
        </w:rPr>
        <w:t xml:space="preserve"> </w:t>
      </w:r>
      <w:r w:rsidRPr="00684099">
        <w:rPr>
          <w:sz w:val="22"/>
          <w:szCs w:val="22"/>
          <w:lang w:val="en-US"/>
        </w:rPr>
        <w:t>through</w:t>
      </w:r>
      <w:r w:rsidRPr="00684099">
        <w:rPr>
          <w:spacing w:val="-6"/>
          <w:sz w:val="22"/>
          <w:szCs w:val="22"/>
          <w:lang w:val="en-US"/>
        </w:rPr>
        <w:t xml:space="preserve"> </w:t>
      </w:r>
      <w:r w:rsidRPr="00684099">
        <w:rPr>
          <w:sz w:val="22"/>
          <w:szCs w:val="22"/>
          <w:lang w:val="en-US"/>
        </w:rPr>
        <w:t>Commerce.</w:t>
      </w:r>
      <w:r w:rsidRPr="00684099">
        <w:rPr>
          <w:spacing w:val="-5"/>
          <w:sz w:val="22"/>
          <w:szCs w:val="22"/>
          <w:lang w:val="en-US"/>
        </w:rPr>
        <w:t xml:space="preserve"> </w:t>
      </w:r>
      <w:r w:rsidRPr="00684099">
        <w:rPr>
          <w:sz w:val="22"/>
          <w:szCs w:val="22"/>
          <w:lang w:val="en-US"/>
        </w:rPr>
        <w:t>Responsible</w:t>
      </w:r>
      <w:r w:rsidRPr="00684099">
        <w:rPr>
          <w:spacing w:val="-5"/>
          <w:sz w:val="22"/>
          <w:szCs w:val="22"/>
          <w:lang w:val="en-US"/>
        </w:rPr>
        <w:t xml:space="preserve"> </w:t>
      </w:r>
      <w:r w:rsidRPr="00684099">
        <w:rPr>
          <w:sz w:val="22"/>
          <w:szCs w:val="22"/>
          <w:lang w:val="en-US"/>
        </w:rPr>
        <w:t>Corporate</w:t>
      </w:r>
      <w:r w:rsidRPr="00684099">
        <w:rPr>
          <w:spacing w:val="-5"/>
          <w:sz w:val="22"/>
          <w:szCs w:val="22"/>
          <w:lang w:val="en-US"/>
        </w:rPr>
        <w:t xml:space="preserve"> </w:t>
      </w:r>
      <w:r w:rsidRPr="00684099">
        <w:rPr>
          <w:sz w:val="22"/>
          <w:szCs w:val="22"/>
          <w:lang w:val="en-US"/>
        </w:rPr>
        <w:t>Citizenship</w:t>
      </w:r>
      <w:r w:rsidRPr="00684099">
        <w:rPr>
          <w:spacing w:val="-4"/>
          <w:sz w:val="22"/>
          <w:szCs w:val="22"/>
          <w:lang w:val="en-US"/>
        </w:rPr>
        <w:t xml:space="preserve"> </w:t>
      </w:r>
      <w:r w:rsidRPr="00684099">
        <w:rPr>
          <w:sz w:val="22"/>
          <w:szCs w:val="22"/>
          <w:lang w:val="en-US"/>
        </w:rPr>
        <w:t>and</w:t>
      </w:r>
      <w:r w:rsidRPr="00684099">
        <w:rPr>
          <w:spacing w:val="40"/>
          <w:sz w:val="22"/>
          <w:szCs w:val="22"/>
          <w:lang w:val="en-US"/>
        </w:rPr>
        <w:t xml:space="preserve"> </w:t>
      </w:r>
      <w:r w:rsidRPr="00684099">
        <w:rPr>
          <w:sz w:val="22"/>
          <w:szCs w:val="22"/>
          <w:lang w:val="en-US"/>
        </w:rPr>
        <w:t>the Ideals of the United Nations Global Compact, South Bend/IN: University of Notre</w:t>
      </w:r>
      <w:r w:rsidRPr="00684099">
        <w:rPr>
          <w:spacing w:val="40"/>
          <w:sz w:val="22"/>
          <w:szCs w:val="22"/>
          <w:lang w:val="en-US"/>
        </w:rPr>
        <w:t xml:space="preserve"> </w:t>
      </w:r>
      <w:r w:rsidRPr="00684099">
        <w:rPr>
          <w:sz w:val="22"/>
          <w:szCs w:val="22"/>
          <w:lang w:val="en-US"/>
        </w:rPr>
        <w:t>Dame Press.</w:t>
      </w:r>
    </w:p>
    <w:p w14:paraId="362AC611" w14:textId="77777777" w:rsidR="00FF7799" w:rsidRPr="00E35FFF" w:rsidRDefault="00FF7799" w:rsidP="00862DBA">
      <w:pPr>
        <w:spacing w:before="3"/>
        <w:rPr>
          <w:sz w:val="24"/>
          <w:szCs w:val="24"/>
          <w:lang w:val="en-US"/>
        </w:rPr>
      </w:pPr>
    </w:p>
    <w:p w14:paraId="21FD4C4D" w14:textId="77777777" w:rsidR="00FF7799" w:rsidRPr="00E73F6F" w:rsidRDefault="00FF7799" w:rsidP="00FC0505">
      <w:pPr>
        <w:pStyle w:val="berschrift1"/>
      </w:pPr>
      <w:r w:rsidRPr="00CF3D78">
        <w:rPr>
          <w:color w:val="2F5496" w:themeColor="accent5" w:themeShade="BF"/>
        </w:rPr>
        <w:t>Antisemitismus</w:t>
      </w:r>
      <w:r w:rsidRPr="00E73F6F">
        <w:t xml:space="preserve"> </w:t>
      </w:r>
      <w:r w:rsidRPr="00E73F6F">
        <w:rPr>
          <w:b w:val="0"/>
        </w:rPr>
        <w:t>→</w:t>
      </w:r>
      <w:r w:rsidRPr="00E73F6F">
        <w:rPr>
          <w:b w:val="0"/>
          <w:spacing w:val="-8"/>
        </w:rPr>
        <w:t xml:space="preserve"> </w:t>
      </w:r>
      <w:r w:rsidRPr="00E73F6F">
        <w:rPr>
          <w:b w:val="0"/>
        </w:rPr>
        <w:t>Rassismus</w:t>
      </w:r>
    </w:p>
    <w:p w14:paraId="0D64DC73" w14:textId="77777777" w:rsidR="00FF7799" w:rsidRPr="00CF3D78" w:rsidRDefault="00FF7799" w:rsidP="00902C45">
      <w:pPr>
        <w:pStyle w:val="berschrift1"/>
        <w:rPr>
          <w:color w:val="2F5496" w:themeColor="accent5" w:themeShade="BF"/>
        </w:rPr>
      </w:pPr>
      <w:r w:rsidRPr="00CF3D78">
        <w:rPr>
          <w:color w:val="2F5496" w:themeColor="accent5" w:themeShade="BF"/>
        </w:rPr>
        <w:t>Antworttendenz</w:t>
      </w:r>
    </w:p>
    <w:p w14:paraId="7169DD46" w14:textId="77777777" w:rsidR="00FF7799" w:rsidRPr="00E73F6F" w:rsidRDefault="00FF7799" w:rsidP="005D11F5">
      <w:pPr>
        <w:pStyle w:val="StandardText"/>
      </w:pPr>
      <w:r w:rsidRPr="00E73F6F">
        <w:t xml:space="preserve">systematische Verzerrung der Antworten von Auskunftspersonen. Bedeutsame Antworttendenzen (Response Set) sind die Tendenz zur Mitte, die Akquieszenz genannte </w:t>
      </w:r>
      <w:r w:rsidR="00A8618B">
        <w:sym w:font="Symbol" w:char="F0DE"/>
      </w:r>
      <w:r w:rsidRPr="00E73F6F">
        <w:t xml:space="preserve"> Ja-Sage-Tendenz und die Tendenz, sozial erwünschte Antworten zu geben (</w:t>
      </w:r>
      <w:r w:rsidRPr="00E73F6F">
        <w:rPr>
          <w:rFonts w:ascii="Cambria Math" w:hAnsi="Cambria Math" w:cs="Cambria Math"/>
        </w:rPr>
        <w:t>⇒</w:t>
      </w:r>
      <w:r w:rsidRPr="00E73F6F">
        <w:t xml:space="preserve"> Marktforschung). Wie die kulturvergleichende Forschung gezeigt hat, wird im konfuzianischen Kulturraum die – unentschiedene – mittlere Antwortkategorie auffällig häufig bevorzugt (= Tendenz zur Mitte), während Angehörige des individualistisch-angelsächsischen Kulturraumes dazu neigen, die gesamte Skalenbreite zu nutzen, und sich auch nicht scheuen, „extreme“ Antworten zu geben (z.B. „stimme voll und ganz zu“; vgl. Baumgartner/Steenkamp 2001).</w:t>
      </w:r>
    </w:p>
    <w:p w14:paraId="055ABACC" w14:textId="77777777" w:rsidR="00FF7799" w:rsidRPr="00684099" w:rsidRDefault="00FF7799" w:rsidP="005D11F5">
      <w:pPr>
        <w:pStyle w:val="StandardText"/>
        <w:rPr>
          <w:iCs/>
          <w:sz w:val="22"/>
          <w:szCs w:val="22"/>
        </w:rPr>
      </w:pPr>
      <w:r w:rsidRPr="00684099">
        <w:rPr>
          <w:b/>
          <w:i/>
          <w:sz w:val="22"/>
          <w:szCs w:val="22"/>
          <w:lang w:val="en-US"/>
        </w:rPr>
        <w:t>Literatur:</w:t>
      </w:r>
      <w:r w:rsidRPr="00684099">
        <w:rPr>
          <w:sz w:val="22"/>
          <w:szCs w:val="22"/>
          <w:lang w:val="en-US"/>
        </w:rPr>
        <w:t xml:space="preserve"> </w:t>
      </w:r>
      <w:r w:rsidRPr="00684099">
        <w:rPr>
          <w:iCs/>
          <w:sz w:val="22"/>
          <w:szCs w:val="22"/>
          <w:lang w:val="en-US"/>
        </w:rPr>
        <w:t xml:space="preserve">Baumgartner, H.; Steenkamp, J.-B. E.M. (2001): Response Styles in Marketing Research. A Cross-National Investigation, Journal of Marketing Research, 38(2): 143–156. </w:t>
      </w:r>
      <w:r w:rsidR="00A8618B" w:rsidRPr="00684099">
        <w:rPr>
          <w:iCs/>
          <w:sz w:val="22"/>
          <w:szCs w:val="22"/>
          <w:lang w:val="en-US"/>
        </w:rPr>
        <w:t xml:space="preserve">   </w:t>
      </w:r>
      <w:r w:rsidRPr="00684099">
        <w:rPr>
          <w:iCs/>
          <w:sz w:val="22"/>
          <w:szCs w:val="22"/>
          <w:lang w:val="en-US"/>
        </w:rPr>
        <w:t xml:space="preserve">Hoffmann, S.; Mai, R.; Cristescu, A. (2013): Do Culture-Dependent Response Styles Distort Substantial Relationships? </w:t>
      </w:r>
      <w:r w:rsidRPr="00684099">
        <w:rPr>
          <w:iCs/>
          <w:sz w:val="22"/>
          <w:szCs w:val="22"/>
        </w:rPr>
        <w:t xml:space="preserve">International Business Review, 22(5): 814-827. </w:t>
      </w:r>
    </w:p>
    <w:p w14:paraId="04BCDB09" w14:textId="77777777" w:rsidR="00FF7799" w:rsidRPr="00E73F6F" w:rsidRDefault="00FF7799" w:rsidP="005D11F5">
      <w:pPr>
        <w:pStyle w:val="StandardText"/>
      </w:pPr>
    </w:p>
    <w:p w14:paraId="5C2BA137" w14:textId="77777777" w:rsidR="00FF7799" w:rsidRPr="00CF3D78" w:rsidRDefault="00FF7799" w:rsidP="00902C45">
      <w:pPr>
        <w:pStyle w:val="berschrift1"/>
        <w:rPr>
          <w:color w:val="2F5496" w:themeColor="accent5" w:themeShade="BF"/>
        </w:rPr>
      </w:pPr>
      <w:r w:rsidRPr="00CF3D78">
        <w:rPr>
          <w:color w:val="2F5496" w:themeColor="accent5" w:themeShade="BF"/>
        </w:rPr>
        <w:t>Arab Human Development Report</w:t>
      </w:r>
    </w:p>
    <w:p w14:paraId="10D4969F" w14:textId="77777777" w:rsidR="00FF7799" w:rsidRPr="00684099" w:rsidRDefault="00FF7799" w:rsidP="005D11F5">
      <w:pPr>
        <w:pStyle w:val="StandardText"/>
      </w:pPr>
      <w:r w:rsidRPr="00684099">
        <w:t>Bericht über den Stand der Entwicklung der 22 Mitgliedsstaaten der Arabischen Liga. Der Arab Human Development Report wird von der UNDP, der Entwicklungsorganisation der Vereinten Nationen, veröffentlicht. Der Report schließt regelmäßig mit dem Befund, dass diese Region sich trotz gewaltiger Vorkommen an Naturschätzen und eines eindrucksvollen kulturellen Erbes ökonomisch wesentlich schlechter entwickelt hat (jährliche Steigerung des Bruttosozialprodukts um 0,5%) als die übrigen Regionen (durchschnittlich + 3,0%).</w:t>
      </w:r>
      <w:r w:rsidRPr="00684099">
        <w:rPr>
          <w:spacing w:val="-9"/>
        </w:rPr>
        <w:t xml:space="preserve"> </w:t>
      </w:r>
      <w:r w:rsidRPr="00684099">
        <w:t>Während</w:t>
      </w:r>
      <w:r w:rsidRPr="00684099">
        <w:rPr>
          <w:spacing w:val="-7"/>
        </w:rPr>
        <w:t xml:space="preserve"> </w:t>
      </w:r>
      <w:r w:rsidRPr="00684099">
        <w:t>sich</w:t>
      </w:r>
      <w:r w:rsidRPr="00684099">
        <w:rPr>
          <w:spacing w:val="-9"/>
        </w:rPr>
        <w:t xml:space="preserve"> </w:t>
      </w:r>
      <w:r w:rsidRPr="00684099">
        <w:t>der</w:t>
      </w:r>
      <w:r w:rsidRPr="00684099">
        <w:rPr>
          <w:spacing w:val="-8"/>
        </w:rPr>
        <w:t xml:space="preserve"> </w:t>
      </w:r>
      <w:r w:rsidRPr="00684099">
        <w:t>weltweite</w:t>
      </w:r>
      <w:r w:rsidRPr="00684099">
        <w:rPr>
          <w:spacing w:val="-8"/>
        </w:rPr>
        <w:t xml:space="preserve"> </w:t>
      </w:r>
      <w:r w:rsidRPr="00684099">
        <w:t>Warenhandel</w:t>
      </w:r>
      <w:r w:rsidRPr="00684099">
        <w:rPr>
          <w:spacing w:val="-7"/>
        </w:rPr>
        <w:t xml:space="preserve"> </w:t>
      </w:r>
      <w:r w:rsidRPr="00684099">
        <w:t>zwischen</w:t>
      </w:r>
      <w:r w:rsidRPr="00684099">
        <w:rPr>
          <w:spacing w:val="-7"/>
        </w:rPr>
        <w:t xml:space="preserve"> </w:t>
      </w:r>
      <w:r w:rsidRPr="00684099">
        <w:t>1980</w:t>
      </w:r>
      <w:r w:rsidRPr="00684099">
        <w:rPr>
          <w:spacing w:val="-9"/>
        </w:rPr>
        <w:t xml:space="preserve"> </w:t>
      </w:r>
      <w:r w:rsidRPr="00684099">
        <w:t>und</w:t>
      </w:r>
      <w:r w:rsidRPr="00684099">
        <w:rPr>
          <w:spacing w:val="-7"/>
        </w:rPr>
        <w:t xml:space="preserve"> </w:t>
      </w:r>
      <w:r w:rsidRPr="00684099">
        <w:t>2000</w:t>
      </w:r>
      <w:r w:rsidRPr="00684099">
        <w:rPr>
          <w:spacing w:val="-7"/>
        </w:rPr>
        <w:t xml:space="preserve"> </w:t>
      </w:r>
      <w:r w:rsidRPr="00684099">
        <w:t>in</w:t>
      </w:r>
      <w:r w:rsidRPr="00684099">
        <w:rPr>
          <w:spacing w:val="-7"/>
        </w:rPr>
        <w:t xml:space="preserve"> </w:t>
      </w:r>
      <w:r w:rsidRPr="00684099">
        <w:t>etwa verdreifacht hat, fielen und stiegen die</w:t>
      </w:r>
      <w:r w:rsidRPr="00684099">
        <w:rPr>
          <w:spacing w:val="-2"/>
        </w:rPr>
        <w:t xml:space="preserve"> </w:t>
      </w:r>
      <w:r w:rsidR="00D42EC4">
        <w:rPr>
          <w:spacing w:val="-2"/>
        </w:rPr>
        <w:sym w:font="Symbol" w:char="F0DE"/>
      </w:r>
      <w:r w:rsidR="00D42EC4">
        <w:rPr>
          <w:spacing w:val="-2"/>
        </w:rPr>
        <w:t xml:space="preserve"> </w:t>
      </w:r>
      <w:r w:rsidRPr="00684099">
        <w:t>Exporte der arabischen Länder synchron mit dem Ölpreis.</w:t>
      </w:r>
    </w:p>
    <w:p w14:paraId="46A30ADB" w14:textId="77777777" w:rsidR="00FF7799" w:rsidRPr="00E73F6F" w:rsidRDefault="00FF7799" w:rsidP="005D11F5">
      <w:pPr>
        <w:pStyle w:val="StandardText"/>
      </w:pPr>
    </w:p>
    <w:p w14:paraId="1A14815B" w14:textId="77777777" w:rsidR="00DD4A5A" w:rsidRPr="007F69DA" w:rsidRDefault="00DD4A5A" w:rsidP="00DD4A5A">
      <w:pPr>
        <w:pStyle w:val="berschrift2"/>
        <w:ind w:left="576" w:hanging="576"/>
        <w:rPr>
          <w:bCs w:val="0"/>
          <w:iCs/>
          <w:color w:val="2E74B5"/>
          <w:szCs w:val="22"/>
        </w:rPr>
      </w:pPr>
      <w:r w:rsidRPr="00CF3D78">
        <w:rPr>
          <w:color w:val="2F5496" w:themeColor="accent5" w:themeShade="BF"/>
          <w:sz w:val="24"/>
          <w:szCs w:val="22"/>
        </w:rPr>
        <w:t>Arbeitsstil</w:t>
      </w:r>
      <w:r w:rsidRPr="00DD4A5A">
        <w:rPr>
          <w:sz w:val="24"/>
          <w:szCs w:val="22"/>
        </w:rPr>
        <w:t xml:space="preserve"> </w:t>
      </w:r>
      <w:r w:rsidRPr="007F69DA">
        <w:rPr>
          <w:rFonts w:eastAsiaTheme="minorHAnsi" w:cstheme="minorBidi"/>
          <w:b w:val="0"/>
          <w:bCs w:val="0"/>
          <w:sz w:val="22"/>
          <w:szCs w:val="22"/>
        </w:rPr>
        <w:sym w:font="Symbol" w:char="F0AE"/>
      </w:r>
      <w:r w:rsidRPr="007F69DA">
        <w:rPr>
          <w:rFonts w:eastAsiaTheme="minorHAnsi" w:cstheme="minorBidi"/>
          <w:b w:val="0"/>
          <w:bCs w:val="0"/>
          <w:sz w:val="22"/>
          <w:szCs w:val="22"/>
        </w:rPr>
        <w:t xml:space="preserve"> Team, multikulturelles</w:t>
      </w:r>
    </w:p>
    <w:p w14:paraId="77E45D21" w14:textId="77777777" w:rsidR="00FF7799" w:rsidRPr="00CF3D78" w:rsidRDefault="00FF7799" w:rsidP="00902C45">
      <w:pPr>
        <w:pStyle w:val="berschrift1"/>
        <w:rPr>
          <w:color w:val="2F5496" w:themeColor="accent5" w:themeShade="BF"/>
        </w:rPr>
      </w:pPr>
      <w:r w:rsidRPr="00CF3D78">
        <w:rPr>
          <w:color w:val="2F5496" w:themeColor="accent5" w:themeShade="BF"/>
        </w:rPr>
        <w:t>Arbitrage-Handel</w:t>
      </w:r>
    </w:p>
    <w:p w14:paraId="0ED5B892" w14:textId="77777777" w:rsidR="00FF7799" w:rsidRPr="0026427E" w:rsidRDefault="00FF7799" w:rsidP="008B184E">
      <w:pPr>
        <w:pStyle w:val="StandardTextkursiv"/>
        <w:rPr>
          <w:i w:val="0"/>
        </w:rPr>
      </w:pPr>
      <w:r w:rsidRPr="0026427E">
        <w:rPr>
          <w:i w:val="0"/>
        </w:rPr>
        <w:lastRenderedPageBreak/>
        <w:t>1 Prinzip</w:t>
      </w:r>
      <w:r w:rsidRPr="0026427E">
        <w:rPr>
          <w:i w:val="0"/>
          <w:spacing w:val="-5"/>
        </w:rPr>
        <w:t xml:space="preserve"> </w:t>
      </w:r>
      <w:r w:rsidRPr="0026427E">
        <w:rPr>
          <w:i w:val="0"/>
        </w:rPr>
        <w:t>&amp; Funktionsweise</w:t>
      </w:r>
    </w:p>
    <w:p w14:paraId="38167D00" w14:textId="77777777" w:rsidR="00FF7799" w:rsidRPr="00E73F6F" w:rsidRDefault="00FF7799" w:rsidP="008B184E">
      <w:pPr>
        <w:pStyle w:val="StandardText"/>
      </w:pPr>
      <w:r w:rsidRPr="00E73F6F">
        <w:t>Der Arbitrage-Handel ist Folge der interna</w:t>
      </w:r>
      <w:r w:rsidR="00107A50">
        <w:t>tionalen Preisdifferenzierung (</w:t>
      </w:r>
      <w:r w:rsidR="00107A50">
        <w:sym w:font="Symbol" w:char="F0DE"/>
      </w:r>
      <w:r w:rsidRPr="00E73F6F">
        <w:t xml:space="preserve"> Preisdifferenzierung). Daneben sorgt die von Land zu Land unterschiedliche Besteuerung für Preisspreizung. So bezahlten Dänen, Finnen, Niederländer und Griechen einen nicht unerheblichen Zulassungsaufschlag. Da Ausländer davon befreit sind, können sie in diesen Ländern Automobile billiger kaufen als in ihrem Heimatmarkt und dann re-importieren.</w:t>
      </w:r>
    </w:p>
    <w:p w14:paraId="51C6392C" w14:textId="77777777" w:rsidR="00FF7799" w:rsidRPr="00E73F6F" w:rsidRDefault="00FF7799" w:rsidP="008B184E">
      <w:pPr>
        <w:pStyle w:val="StandardText"/>
      </w:pPr>
      <w:r w:rsidRPr="00E73F6F">
        <w:t xml:space="preserve">Damit ist auch schon der Grundgedanke des Arbitrage-Handels beschrieben. Er nutzt die zwischen verschiedenen Märkten bestehenden Preisdifferenzen gewinnbringend aus. Graue Märkte entstehen, wenn identische oder ähnliche Produkte in verschiedenen Ländern zu derart unterschiedlichen Preisen angeboten werden, dass Händler oder Konsumenten einen Anreiz haben, sie aus dem preiswerteren Markt (B) in das Herstellerland (A) zu re-importieren. Aus Unternehmenssicht ist der Parallelimport besonders problematisch: Der vom Hersteller nicht autorisierte </w:t>
      </w:r>
      <w:r w:rsidR="00D42EC4">
        <w:rPr>
          <w:spacing w:val="-2"/>
        </w:rPr>
        <w:sym w:font="Symbol" w:char="F0DE"/>
      </w:r>
      <w:r w:rsidR="00D42EC4">
        <w:rPr>
          <w:spacing w:val="-2"/>
        </w:rPr>
        <w:t xml:space="preserve"> </w:t>
      </w:r>
      <w:r w:rsidRPr="00E73F6F">
        <w:t xml:space="preserve">Export aus dem Ursprungsland (A) </w:t>
      </w:r>
      <w:r w:rsidR="00DD4E52">
        <w:t>in einen Markt mit einem höheren</w:t>
      </w:r>
      <w:r w:rsidRPr="00E73F6F">
        <w:t xml:space="preserve"> Preisniveau (C) und höheren Gewinnmargen (vgl. Abb. 1).</w:t>
      </w:r>
    </w:p>
    <w:p w14:paraId="3C8C3476" w14:textId="77777777" w:rsidR="00FF7799" w:rsidRPr="00E73F6F" w:rsidRDefault="00FF7799" w:rsidP="00862DBA">
      <w:pPr>
        <w:spacing w:before="10"/>
        <w:rPr>
          <w:sz w:val="24"/>
          <w:szCs w:val="24"/>
        </w:rPr>
      </w:pPr>
    </w:p>
    <w:p w14:paraId="69C566C9" w14:textId="77777777" w:rsidR="00FF7799" w:rsidRPr="00AB3FAA" w:rsidRDefault="00FF7799" w:rsidP="008941AC">
      <w:pPr>
        <w:pStyle w:val="BeschriftungTab"/>
        <w:rPr>
          <w:i/>
          <w:iCs/>
          <w:color w:val="FF0000"/>
          <w:spacing w:val="-2"/>
        </w:rPr>
      </w:pPr>
      <w:r w:rsidRPr="00AB3FAA">
        <w:rPr>
          <w:i/>
          <w:iCs/>
        </w:rPr>
        <w:t>Abb.</w:t>
      </w:r>
      <w:r w:rsidRPr="00AB3FAA">
        <w:rPr>
          <w:i/>
          <w:iCs/>
          <w:spacing w:val="-2"/>
        </w:rPr>
        <w:t xml:space="preserve"> </w:t>
      </w:r>
      <w:r w:rsidRPr="00AB3FAA">
        <w:rPr>
          <w:i/>
          <w:iCs/>
        </w:rPr>
        <w:t>1:</w:t>
      </w:r>
      <w:r w:rsidRPr="00AB3FAA">
        <w:rPr>
          <w:i/>
          <w:iCs/>
          <w:spacing w:val="-2"/>
        </w:rPr>
        <w:t xml:space="preserve"> </w:t>
      </w:r>
      <w:r w:rsidR="00107A50" w:rsidRPr="00AB3FAA">
        <w:rPr>
          <w:i/>
          <w:iCs/>
        </w:rPr>
        <w:t>Struktur eines grauen</w:t>
      </w:r>
      <w:r w:rsidRPr="00AB3FAA">
        <w:rPr>
          <w:i/>
          <w:iCs/>
          <w:spacing w:val="-1"/>
        </w:rPr>
        <w:t xml:space="preserve"> </w:t>
      </w:r>
      <w:r w:rsidR="00107A50" w:rsidRPr="00AB3FAA">
        <w:rPr>
          <w:i/>
          <w:iCs/>
          <w:spacing w:val="-2"/>
        </w:rPr>
        <w:t>Marktes</w:t>
      </w:r>
      <w:r w:rsidR="008941AC" w:rsidRPr="00AB3FAA">
        <w:rPr>
          <w:i/>
          <w:iCs/>
          <w:spacing w:val="-2"/>
        </w:rPr>
        <w:t xml:space="preserve"> </w:t>
      </w:r>
    </w:p>
    <w:p w14:paraId="550517A4" w14:textId="77777777" w:rsidR="00107A50" w:rsidRPr="00E73F6F" w:rsidRDefault="00107A50" w:rsidP="008941AC">
      <w:pPr>
        <w:pStyle w:val="BeschriftungTab"/>
      </w:pPr>
      <w:r>
        <w:rPr>
          <w:noProof/>
        </w:rPr>
        <w:drawing>
          <wp:inline distT="0" distB="0" distL="0" distR="0" wp14:anchorId="4FAF4DCE" wp14:editId="1348C89B">
            <wp:extent cx="5771620" cy="2571750"/>
            <wp:effectExtent l="0" t="0" r="635"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78151" cy="2574660"/>
                    </a:xfrm>
                    <a:prstGeom prst="rect">
                      <a:avLst/>
                    </a:prstGeom>
                    <a:noFill/>
                  </pic:spPr>
                </pic:pic>
              </a:graphicData>
            </a:graphic>
          </wp:inline>
        </w:drawing>
      </w:r>
    </w:p>
    <w:p w14:paraId="3F68DAA0" w14:textId="77777777" w:rsidR="00FF7799" w:rsidRPr="00E73F6F" w:rsidRDefault="00FF7799" w:rsidP="008941AC">
      <w:pPr>
        <w:pStyle w:val="Quellen"/>
        <w:rPr>
          <w:spacing w:val="-2"/>
        </w:rPr>
      </w:pPr>
      <w:r w:rsidRPr="00E73F6F">
        <w:rPr>
          <w:spacing w:val="-2"/>
        </w:rPr>
        <w:t>Quelle:</w:t>
      </w:r>
      <w:r w:rsidR="002479FD">
        <w:tab/>
        <w:t>Jahrmann</w:t>
      </w:r>
      <w:r w:rsidRPr="00E73F6F">
        <w:rPr>
          <w:spacing w:val="-2"/>
        </w:rPr>
        <w:t xml:space="preserve"> </w:t>
      </w:r>
      <w:r w:rsidR="002479FD">
        <w:t>(2004</w:t>
      </w:r>
      <w:r w:rsidRPr="00E73F6F">
        <w:t>,</w:t>
      </w:r>
      <w:r w:rsidR="002479FD">
        <w:rPr>
          <w:spacing w:val="-2"/>
        </w:rPr>
        <w:t xml:space="preserve"> S.258</w:t>
      </w:r>
      <w:r w:rsidRPr="00E73F6F">
        <w:rPr>
          <w:spacing w:val="-2"/>
        </w:rPr>
        <w:t>)</w:t>
      </w:r>
      <w:r w:rsidR="002479FD">
        <w:rPr>
          <w:spacing w:val="-2"/>
        </w:rPr>
        <w:t>, geringfügig modifiziert</w:t>
      </w:r>
      <w:r w:rsidRPr="00E73F6F">
        <w:rPr>
          <w:spacing w:val="-2"/>
        </w:rPr>
        <w:t>.</w:t>
      </w:r>
    </w:p>
    <w:p w14:paraId="3498031E" w14:textId="77777777" w:rsidR="00FF7799" w:rsidRPr="00E73F6F" w:rsidRDefault="00FF7799" w:rsidP="00862DBA">
      <w:pPr>
        <w:tabs>
          <w:tab w:val="left" w:pos="1380"/>
        </w:tabs>
        <w:spacing w:before="21"/>
        <w:jc w:val="both"/>
        <w:rPr>
          <w:spacing w:val="-2"/>
          <w:sz w:val="24"/>
          <w:szCs w:val="24"/>
        </w:rPr>
      </w:pPr>
    </w:p>
    <w:p w14:paraId="46BC6B51" w14:textId="77777777" w:rsidR="00FF7799" w:rsidRPr="00E73F6F" w:rsidRDefault="00FF7799" w:rsidP="00862DBA">
      <w:pPr>
        <w:tabs>
          <w:tab w:val="left" w:pos="1380"/>
        </w:tabs>
        <w:spacing w:before="21"/>
        <w:jc w:val="both"/>
        <w:rPr>
          <w:sz w:val="24"/>
          <w:szCs w:val="24"/>
        </w:rPr>
      </w:pPr>
      <w:r w:rsidRPr="00E73F6F">
        <w:rPr>
          <w:rStyle w:val="StandardTextZchn1"/>
        </w:rPr>
        <w:t>Begünstigt werden „graue Märkte“ weiterhin durch Angebotsengpässe in den autorisierten Märkten. Sie erwachsen erstens aus der Unfähigkeit von Herstellern bzw. autorisierten Vertriebspartnern, auf unvorhergesehene Nachfrageschwankungen flexibel zu reagieren. Zweitens kann</w:t>
      </w:r>
      <w:r w:rsidRPr="00E73F6F">
        <w:rPr>
          <w:spacing w:val="-4"/>
          <w:sz w:val="24"/>
          <w:szCs w:val="24"/>
        </w:rPr>
        <w:t xml:space="preserve"> </w:t>
      </w:r>
      <w:r w:rsidRPr="00E73F6F">
        <w:rPr>
          <w:sz w:val="24"/>
          <w:szCs w:val="24"/>
        </w:rPr>
        <w:t>Verknappung</w:t>
      </w:r>
      <w:r w:rsidRPr="00E73F6F">
        <w:rPr>
          <w:spacing w:val="-4"/>
          <w:sz w:val="24"/>
          <w:szCs w:val="24"/>
        </w:rPr>
        <w:t xml:space="preserve"> </w:t>
      </w:r>
      <w:r w:rsidRPr="00E73F6F">
        <w:rPr>
          <w:sz w:val="24"/>
          <w:szCs w:val="24"/>
        </w:rPr>
        <w:t>auch gewollt sein, etwa durch …</w:t>
      </w:r>
    </w:p>
    <w:p w14:paraId="456DDEF6" w14:textId="77777777" w:rsidR="00FF7799" w:rsidRPr="00E73F6F" w:rsidRDefault="00FF7799" w:rsidP="00F62D25">
      <w:pPr>
        <w:pStyle w:val="StandardTextAufzhlung"/>
        <w:ind w:left="426"/>
      </w:pPr>
      <w:r w:rsidRPr="00E73F6F">
        <w:t>politisch</w:t>
      </w:r>
      <w:r w:rsidRPr="00E73F6F">
        <w:rPr>
          <w:spacing w:val="-7"/>
        </w:rPr>
        <w:t xml:space="preserve"> </w:t>
      </w:r>
      <w:r w:rsidRPr="00E73F6F">
        <w:t>motivierte</w:t>
      </w:r>
      <w:r w:rsidRPr="00E73F6F">
        <w:rPr>
          <w:spacing w:val="-9"/>
        </w:rPr>
        <w:t xml:space="preserve"> </w:t>
      </w:r>
      <w:r w:rsidRPr="00E73F6F">
        <w:t>Einfuhrbeschränkungen</w:t>
      </w:r>
      <w:r w:rsidRPr="00E73F6F">
        <w:rPr>
          <w:spacing w:val="-7"/>
        </w:rPr>
        <w:t xml:space="preserve"> </w:t>
      </w:r>
      <w:r w:rsidRPr="00E73F6F">
        <w:t>(z.B.</w:t>
      </w:r>
      <w:r w:rsidRPr="00E73F6F">
        <w:rPr>
          <w:spacing w:val="-7"/>
        </w:rPr>
        <w:t xml:space="preserve"> </w:t>
      </w:r>
      <w:r w:rsidRPr="00E73F6F">
        <w:t>für</w:t>
      </w:r>
      <w:r w:rsidRPr="00E73F6F">
        <w:rPr>
          <w:spacing w:val="-8"/>
        </w:rPr>
        <w:t xml:space="preserve"> </w:t>
      </w:r>
      <w:r w:rsidRPr="00E73F6F">
        <w:t xml:space="preserve">genmanipuliertes </w:t>
      </w:r>
      <w:r w:rsidRPr="00E73F6F">
        <w:rPr>
          <w:spacing w:val="-2"/>
        </w:rPr>
        <w:t>Saatgut),</w:t>
      </w:r>
    </w:p>
    <w:p w14:paraId="230F69B9" w14:textId="77777777" w:rsidR="00FF7799" w:rsidRPr="00E73F6F" w:rsidRDefault="00FF7799" w:rsidP="00F62D25">
      <w:pPr>
        <w:pStyle w:val="StandardTextAufzhlung"/>
        <w:ind w:left="426"/>
      </w:pPr>
      <w:r w:rsidRPr="00E73F6F">
        <w:t>unternehmensstrategisch</w:t>
      </w:r>
      <w:r w:rsidRPr="00E73F6F">
        <w:rPr>
          <w:spacing w:val="-6"/>
        </w:rPr>
        <w:t xml:space="preserve"> </w:t>
      </w:r>
      <w:r w:rsidRPr="00E73F6F">
        <w:t>motivierte</w:t>
      </w:r>
      <w:r w:rsidRPr="00E73F6F">
        <w:rPr>
          <w:spacing w:val="-7"/>
        </w:rPr>
        <w:t xml:space="preserve"> </w:t>
      </w:r>
      <w:r w:rsidRPr="00E73F6F">
        <w:t>Einfuhrbeschränkungen</w:t>
      </w:r>
      <w:r w:rsidRPr="00E73F6F">
        <w:rPr>
          <w:spacing w:val="-8"/>
        </w:rPr>
        <w:t xml:space="preserve"> </w:t>
      </w:r>
      <w:r w:rsidRPr="00E73F6F">
        <w:t>(z.B.</w:t>
      </w:r>
      <w:r w:rsidRPr="00E73F6F">
        <w:rPr>
          <w:spacing w:val="-7"/>
        </w:rPr>
        <w:t xml:space="preserve"> </w:t>
      </w:r>
      <w:r w:rsidRPr="00E73F6F">
        <w:t>zur Sicherung der Exklusivität des Angebots).</w:t>
      </w:r>
    </w:p>
    <w:p w14:paraId="21579655" w14:textId="77777777" w:rsidR="00FF7799" w:rsidRPr="00E73F6F" w:rsidRDefault="00FF7799" w:rsidP="008B184E">
      <w:pPr>
        <w:pStyle w:val="StandardText"/>
      </w:pPr>
      <w:r w:rsidRPr="00E73F6F">
        <w:t xml:space="preserve">Nicht nur Automobile werden „grau“ gehandelt, sondern alle Arten von hochwertigen (Luxus-)Artikeln. Schmuck, Designer-Kleidung oder Parfüm etc. billiger einkaufen zu können als zuhause: Dieses Motiv ist Motor eines regelrechten Konsumtourismus, der durch die Angebote der „Billigflieger“ neue Schubkraft erhalten hat. Bevorzugte Ziele solcher Einkaufstrips sind neben anderen London, Mailand und New York. Aber auch hochwertige Dienstleistungen wie Zahnarztbesuche oder Schönheitsoperationen nahmen bis zum </w:t>
      </w:r>
      <w:r w:rsidRPr="00E73F6F">
        <w:rPr>
          <w:i/>
        </w:rPr>
        <w:t>EU</w:t>
      </w:r>
      <w:r w:rsidRPr="00E73F6F">
        <w:t>-Beitritt dieser Länder immer mehr Westeuropäer zum Anlass, eine (Urlaubs-)Reise</w:t>
      </w:r>
      <w:r w:rsidRPr="00E73F6F">
        <w:rPr>
          <w:spacing w:val="-1"/>
        </w:rPr>
        <w:t xml:space="preserve"> </w:t>
      </w:r>
      <w:r w:rsidRPr="00E73F6F">
        <w:t>ins</w:t>
      </w:r>
      <w:r w:rsidRPr="00E73F6F">
        <w:rPr>
          <w:spacing w:val="-1"/>
        </w:rPr>
        <w:t xml:space="preserve"> </w:t>
      </w:r>
      <w:r w:rsidRPr="00E73F6F">
        <w:t>osteuropäische</w:t>
      </w:r>
      <w:r w:rsidRPr="00E73F6F">
        <w:rPr>
          <w:spacing w:val="-1"/>
        </w:rPr>
        <w:t xml:space="preserve"> </w:t>
      </w:r>
      <w:r w:rsidRPr="00E73F6F">
        <w:t>Ausland zu unternehmen. Aufsehen erregte</w:t>
      </w:r>
      <w:r w:rsidRPr="00E73F6F">
        <w:rPr>
          <w:spacing w:val="-1"/>
        </w:rPr>
        <w:t xml:space="preserve"> </w:t>
      </w:r>
      <w:r w:rsidRPr="00E73F6F">
        <w:t>in diesem</w:t>
      </w:r>
      <w:r w:rsidRPr="00E73F6F">
        <w:rPr>
          <w:spacing w:val="-11"/>
        </w:rPr>
        <w:t xml:space="preserve"> </w:t>
      </w:r>
      <w:r w:rsidRPr="00E73F6F">
        <w:t>Zusammenhang</w:t>
      </w:r>
      <w:r w:rsidRPr="00E73F6F">
        <w:rPr>
          <w:spacing w:val="-9"/>
        </w:rPr>
        <w:t xml:space="preserve"> </w:t>
      </w:r>
      <w:r w:rsidRPr="00E73F6F">
        <w:t>vor</w:t>
      </w:r>
      <w:r w:rsidRPr="00E73F6F">
        <w:rPr>
          <w:spacing w:val="-10"/>
        </w:rPr>
        <w:t xml:space="preserve"> </w:t>
      </w:r>
      <w:r w:rsidRPr="00E73F6F">
        <w:t>einiger</w:t>
      </w:r>
      <w:r w:rsidRPr="00E73F6F">
        <w:rPr>
          <w:spacing w:val="-10"/>
        </w:rPr>
        <w:t xml:space="preserve"> </w:t>
      </w:r>
      <w:r w:rsidRPr="00E73F6F">
        <w:t>Zeit</w:t>
      </w:r>
      <w:r w:rsidRPr="00E73F6F">
        <w:rPr>
          <w:spacing w:val="-10"/>
        </w:rPr>
        <w:t xml:space="preserve"> </w:t>
      </w:r>
      <w:r w:rsidRPr="00E73F6F">
        <w:t>die</w:t>
      </w:r>
      <w:r w:rsidRPr="00E73F6F">
        <w:rPr>
          <w:spacing w:val="-11"/>
        </w:rPr>
        <w:t xml:space="preserve"> </w:t>
      </w:r>
      <w:r w:rsidRPr="00E73F6F">
        <w:t>Bürgermeisterin</w:t>
      </w:r>
      <w:r w:rsidRPr="00E73F6F">
        <w:rPr>
          <w:spacing w:val="-9"/>
        </w:rPr>
        <w:t xml:space="preserve"> </w:t>
      </w:r>
      <w:r w:rsidRPr="00E73F6F">
        <w:t>einer</w:t>
      </w:r>
      <w:r w:rsidRPr="00E73F6F">
        <w:rPr>
          <w:spacing w:val="-10"/>
        </w:rPr>
        <w:t xml:space="preserve"> </w:t>
      </w:r>
      <w:r w:rsidRPr="00E73F6F">
        <w:lastRenderedPageBreak/>
        <w:t>Stadt</w:t>
      </w:r>
      <w:r w:rsidRPr="00E73F6F">
        <w:rPr>
          <w:spacing w:val="-10"/>
        </w:rPr>
        <w:t xml:space="preserve"> </w:t>
      </w:r>
      <w:r w:rsidRPr="00E73F6F">
        <w:t>in</w:t>
      </w:r>
      <w:r w:rsidRPr="00E73F6F">
        <w:rPr>
          <w:spacing w:val="-9"/>
        </w:rPr>
        <w:t xml:space="preserve"> </w:t>
      </w:r>
      <w:r w:rsidRPr="00E73F6F">
        <w:t>Hessen, die sich in Polen einer Schönheitsoperation unterzogen und den Weg dorthin im Dienstwagen zurückgelegt hatte.</w:t>
      </w:r>
    </w:p>
    <w:p w14:paraId="382EF03B" w14:textId="77777777" w:rsidR="00FF7799" w:rsidRPr="00E73F6F" w:rsidRDefault="00FF7799" w:rsidP="008B184E">
      <w:pPr>
        <w:pStyle w:val="StandardText"/>
      </w:pPr>
      <w:r w:rsidRPr="00E73F6F">
        <w:t>Bei</w:t>
      </w:r>
      <w:r w:rsidRPr="00E73F6F">
        <w:rPr>
          <w:spacing w:val="-12"/>
        </w:rPr>
        <w:t xml:space="preserve"> </w:t>
      </w:r>
      <w:r w:rsidRPr="00E73F6F">
        <w:t>preiswerteren</w:t>
      </w:r>
      <w:r w:rsidRPr="00E73F6F">
        <w:rPr>
          <w:spacing w:val="-11"/>
        </w:rPr>
        <w:t xml:space="preserve"> </w:t>
      </w:r>
      <w:r w:rsidRPr="00E73F6F">
        <w:t>Waren</w:t>
      </w:r>
      <w:r w:rsidRPr="00E73F6F">
        <w:rPr>
          <w:spacing w:val="-11"/>
        </w:rPr>
        <w:t xml:space="preserve"> </w:t>
      </w:r>
      <w:r w:rsidRPr="00E73F6F">
        <w:t>beschränkt</w:t>
      </w:r>
      <w:r w:rsidRPr="00E73F6F">
        <w:rPr>
          <w:spacing w:val="-11"/>
        </w:rPr>
        <w:t xml:space="preserve"> </w:t>
      </w:r>
      <w:r w:rsidRPr="00E73F6F">
        <w:t>sich</w:t>
      </w:r>
      <w:r w:rsidRPr="00E73F6F">
        <w:rPr>
          <w:spacing w:val="-12"/>
        </w:rPr>
        <w:t xml:space="preserve"> </w:t>
      </w:r>
      <w:r w:rsidRPr="00E73F6F">
        <w:t>der</w:t>
      </w:r>
      <w:r w:rsidRPr="00E73F6F">
        <w:rPr>
          <w:spacing w:val="-11"/>
        </w:rPr>
        <w:t xml:space="preserve"> </w:t>
      </w:r>
      <w:r w:rsidRPr="00E73F6F">
        <w:t>„Arbitrage-Tourismus“</w:t>
      </w:r>
      <w:r w:rsidRPr="00E73F6F">
        <w:rPr>
          <w:spacing w:val="-11"/>
        </w:rPr>
        <w:t xml:space="preserve"> </w:t>
      </w:r>
      <w:r w:rsidRPr="00E73F6F">
        <w:t>auf</w:t>
      </w:r>
      <w:r w:rsidRPr="00E73F6F">
        <w:rPr>
          <w:spacing w:val="-11"/>
        </w:rPr>
        <w:t xml:space="preserve"> </w:t>
      </w:r>
      <w:r w:rsidRPr="00E73F6F">
        <w:t>Regionen in Grenznähe. So ist es für viele Deutsche, die in der Lausitz, der Sächsischen Schweiz</w:t>
      </w:r>
      <w:r w:rsidRPr="00E73F6F">
        <w:rPr>
          <w:spacing w:val="-3"/>
        </w:rPr>
        <w:t xml:space="preserve"> </w:t>
      </w:r>
      <w:r w:rsidRPr="00E73F6F">
        <w:t>oder</w:t>
      </w:r>
      <w:r w:rsidRPr="00E73F6F">
        <w:rPr>
          <w:spacing w:val="-3"/>
        </w:rPr>
        <w:t xml:space="preserve"> </w:t>
      </w:r>
      <w:r w:rsidRPr="00E73F6F">
        <w:t>im</w:t>
      </w:r>
      <w:r w:rsidRPr="00E73F6F">
        <w:rPr>
          <w:spacing w:val="-3"/>
        </w:rPr>
        <w:t xml:space="preserve"> </w:t>
      </w:r>
      <w:r w:rsidRPr="00E73F6F">
        <w:t>Oder-Bruch</w:t>
      </w:r>
      <w:r w:rsidRPr="00E73F6F">
        <w:rPr>
          <w:spacing w:val="-4"/>
        </w:rPr>
        <w:t xml:space="preserve"> </w:t>
      </w:r>
      <w:r w:rsidRPr="00E73F6F">
        <w:t>leben,</w:t>
      </w:r>
      <w:r w:rsidRPr="00E73F6F">
        <w:rPr>
          <w:spacing w:val="-3"/>
        </w:rPr>
        <w:t xml:space="preserve"> </w:t>
      </w:r>
      <w:r w:rsidRPr="00E73F6F">
        <w:t>seit</w:t>
      </w:r>
      <w:r w:rsidRPr="00E73F6F">
        <w:rPr>
          <w:spacing w:val="-5"/>
        </w:rPr>
        <w:t xml:space="preserve"> </w:t>
      </w:r>
      <w:r w:rsidRPr="00E73F6F">
        <w:t>langer</w:t>
      </w:r>
      <w:r w:rsidRPr="00E73F6F">
        <w:rPr>
          <w:spacing w:val="-3"/>
        </w:rPr>
        <w:t xml:space="preserve"> </w:t>
      </w:r>
      <w:r w:rsidRPr="00E73F6F">
        <w:t>Zeit</w:t>
      </w:r>
      <w:r w:rsidRPr="00E73F6F">
        <w:rPr>
          <w:spacing w:val="-5"/>
        </w:rPr>
        <w:t xml:space="preserve"> </w:t>
      </w:r>
      <w:r w:rsidRPr="00E73F6F">
        <w:t>gang</w:t>
      </w:r>
      <w:r w:rsidRPr="00E73F6F">
        <w:rPr>
          <w:spacing w:val="-4"/>
        </w:rPr>
        <w:t xml:space="preserve"> </w:t>
      </w:r>
      <w:r w:rsidRPr="00E73F6F">
        <w:t>und</w:t>
      </w:r>
      <w:r w:rsidRPr="00E73F6F">
        <w:rPr>
          <w:spacing w:val="-4"/>
        </w:rPr>
        <w:t xml:space="preserve"> </w:t>
      </w:r>
      <w:r w:rsidRPr="00E73F6F">
        <w:t>gäbe,</w:t>
      </w:r>
      <w:r w:rsidRPr="00E73F6F">
        <w:rPr>
          <w:spacing w:val="-5"/>
        </w:rPr>
        <w:t xml:space="preserve"> </w:t>
      </w:r>
      <w:r w:rsidRPr="00E73F6F">
        <w:t>in</w:t>
      </w:r>
      <w:r w:rsidRPr="00E73F6F">
        <w:rPr>
          <w:spacing w:val="-2"/>
        </w:rPr>
        <w:t xml:space="preserve"> </w:t>
      </w:r>
      <w:r w:rsidRPr="00E73F6F">
        <w:t>Tschechien oder Polen billig zu tanken, Essen zu gehen oder Lebensmittel einzukaufen. Ähnlich</w:t>
      </w:r>
      <w:r w:rsidRPr="00E73F6F">
        <w:rPr>
          <w:spacing w:val="-5"/>
        </w:rPr>
        <w:t xml:space="preserve"> </w:t>
      </w:r>
      <w:r w:rsidRPr="00E73F6F">
        <w:t>verhalten</w:t>
      </w:r>
      <w:r w:rsidRPr="00E73F6F">
        <w:rPr>
          <w:spacing w:val="-3"/>
        </w:rPr>
        <w:t xml:space="preserve"> </w:t>
      </w:r>
      <w:r w:rsidRPr="00E73F6F">
        <w:t>sich</w:t>
      </w:r>
      <w:r w:rsidRPr="00E73F6F">
        <w:rPr>
          <w:spacing w:val="-5"/>
        </w:rPr>
        <w:t xml:space="preserve"> </w:t>
      </w:r>
      <w:r w:rsidRPr="00E73F6F">
        <w:t>viele</w:t>
      </w:r>
      <w:r w:rsidRPr="00E73F6F">
        <w:rPr>
          <w:spacing w:val="-5"/>
        </w:rPr>
        <w:t xml:space="preserve"> </w:t>
      </w:r>
      <w:r w:rsidRPr="00E73F6F">
        <w:t>Österreicher,</w:t>
      </w:r>
      <w:r w:rsidRPr="00E73F6F">
        <w:rPr>
          <w:spacing w:val="-4"/>
        </w:rPr>
        <w:t xml:space="preserve"> </w:t>
      </w:r>
      <w:r w:rsidRPr="00E73F6F">
        <w:t>deren</w:t>
      </w:r>
      <w:r w:rsidRPr="00E73F6F">
        <w:rPr>
          <w:spacing w:val="-3"/>
        </w:rPr>
        <w:t xml:space="preserve"> </w:t>
      </w:r>
      <w:r w:rsidRPr="00E73F6F">
        <w:t>Wohngebiete</w:t>
      </w:r>
      <w:r w:rsidRPr="00E73F6F">
        <w:rPr>
          <w:spacing w:val="-5"/>
        </w:rPr>
        <w:t xml:space="preserve"> </w:t>
      </w:r>
      <w:r w:rsidRPr="00E73F6F">
        <w:t>an</w:t>
      </w:r>
      <w:r w:rsidRPr="00E73F6F">
        <w:rPr>
          <w:spacing w:val="-3"/>
        </w:rPr>
        <w:t xml:space="preserve"> </w:t>
      </w:r>
      <w:r w:rsidRPr="00E73F6F">
        <w:t>Tschechien</w:t>
      </w:r>
      <w:r w:rsidRPr="00E73F6F">
        <w:rPr>
          <w:spacing w:val="-3"/>
        </w:rPr>
        <w:t xml:space="preserve"> </w:t>
      </w:r>
      <w:r w:rsidRPr="00E73F6F">
        <w:t>oder Ungarn angrenzten.</w:t>
      </w:r>
    </w:p>
    <w:p w14:paraId="7BC2C77E" w14:textId="77777777" w:rsidR="00FF7799" w:rsidRPr="00E73F6F" w:rsidRDefault="00FF7799" w:rsidP="008B184E">
      <w:pPr>
        <w:pStyle w:val="StandardText"/>
      </w:pPr>
      <w:r w:rsidRPr="00E73F6F">
        <w:t>Die Konsequenzen dieses Phänomens sind ausgesprochen vielgestaltig. Während die Konsumenten davon zuerst</w:t>
      </w:r>
      <w:r w:rsidRPr="00E73F6F">
        <w:rPr>
          <w:spacing w:val="-1"/>
        </w:rPr>
        <w:t xml:space="preserve"> </w:t>
      </w:r>
      <w:r w:rsidRPr="00E73F6F">
        <w:t>und die Hersteller nicht selten profitieren, beklagt der autorisierte Handel vor allem Nachteile: Umsatzverlust, verstärkter Preiswettbewerb und Verlust von Kundenbindung.</w:t>
      </w:r>
    </w:p>
    <w:p w14:paraId="7A6C3896" w14:textId="77777777" w:rsidR="00FF7799" w:rsidRPr="00E73F6F" w:rsidRDefault="003C3DC5" w:rsidP="008B184E">
      <w:pPr>
        <w:pStyle w:val="StandardText"/>
      </w:pPr>
      <w:r>
        <w:t xml:space="preserve">Obwohl </w:t>
      </w:r>
      <w:r w:rsidR="00FF7799" w:rsidRPr="00E73F6F">
        <w:t xml:space="preserve">der Begriff „Grauer Markt“ </w:t>
      </w:r>
      <w:r>
        <w:t xml:space="preserve">es suggeriert: Es </w:t>
      </w:r>
      <w:r w:rsidR="00FF7799" w:rsidRPr="00E73F6F">
        <w:t xml:space="preserve">ist nicht verboten, Produkte im </w:t>
      </w:r>
      <w:r w:rsidR="00FF7799" w:rsidRPr="00E73F6F">
        <w:rPr>
          <w:i/>
        </w:rPr>
        <w:t>EU</w:t>
      </w:r>
      <w:r w:rsidR="00FF7799" w:rsidRPr="00E73F6F">
        <w:t>-Ausland zu kaufen und dann z.B. nach Deutschland einzuführen. Anders verhält es sich, wenn dabei der Gemeinsame Markt verlassen wird. Gegen derartige Re-Importe können europäische Hersteller mithilfe der Zollbehörde vorgehen (vgl. Wernicke 2001, S.25).</w:t>
      </w:r>
    </w:p>
    <w:p w14:paraId="24C3D099" w14:textId="77777777" w:rsidR="00FF7799" w:rsidRPr="00E73F6F" w:rsidRDefault="00FF7799" w:rsidP="001E5B67">
      <w:pPr>
        <w:pStyle w:val="StandardTextkursiv"/>
      </w:pPr>
    </w:p>
    <w:p w14:paraId="07264C09" w14:textId="77777777" w:rsidR="00FF7799" w:rsidRPr="0026427E" w:rsidRDefault="00FF7799" w:rsidP="001E5B67">
      <w:pPr>
        <w:pStyle w:val="StandardTextkursiv"/>
        <w:rPr>
          <w:i w:val="0"/>
        </w:rPr>
      </w:pPr>
      <w:r w:rsidRPr="0026427E">
        <w:rPr>
          <w:i w:val="0"/>
        </w:rPr>
        <w:t>2 Einflussfaktoren</w:t>
      </w:r>
    </w:p>
    <w:p w14:paraId="633FAF90" w14:textId="77777777" w:rsidR="00FF7799" w:rsidRPr="00107A50" w:rsidRDefault="00FF7799" w:rsidP="00107A50">
      <w:pPr>
        <w:spacing w:before="119"/>
        <w:jc w:val="both"/>
        <w:rPr>
          <w:sz w:val="24"/>
          <w:szCs w:val="24"/>
        </w:rPr>
      </w:pPr>
      <w:r w:rsidRPr="00E73F6F">
        <w:rPr>
          <w:sz w:val="24"/>
          <w:szCs w:val="24"/>
        </w:rPr>
        <w:t>Macht des Handels: Bei der „Verhandlungs-Arbitrage“ nutzt der Handel seine Nachfragemacht,</w:t>
      </w:r>
      <w:r w:rsidRPr="00E73F6F">
        <w:rPr>
          <w:spacing w:val="-4"/>
          <w:sz w:val="24"/>
          <w:szCs w:val="24"/>
        </w:rPr>
        <w:t xml:space="preserve"> </w:t>
      </w:r>
      <w:r w:rsidRPr="00E73F6F">
        <w:rPr>
          <w:sz w:val="24"/>
          <w:szCs w:val="24"/>
        </w:rPr>
        <w:t>um</w:t>
      </w:r>
      <w:r w:rsidRPr="00E73F6F">
        <w:rPr>
          <w:spacing w:val="-5"/>
          <w:sz w:val="24"/>
          <w:szCs w:val="24"/>
        </w:rPr>
        <w:t xml:space="preserve"> </w:t>
      </w:r>
      <w:r w:rsidRPr="00E73F6F">
        <w:rPr>
          <w:sz w:val="24"/>
          <w:szCs w:val="24"/>
        </w:rPr>
        <w:t>Konditionen</w:t>
      </w:r>
      <w:r w:rsidRPr="00E73F6F">
        <w:rPr>
          <w:spacing w:val="-5"/>
          <w:sz w:val="24"/>
          <w:szCs w:val="24"/>
        </w:rPr>
        <w:t xml:space="preserve"> </w:t>
      </w:r>
      <w:r w:rsidRPr="00E73F6F">
        <w:rPr>
          <w:sz w:val="24"/>
          <w:szCs w:val="24"/>
        </w:rPr>
        <w:t>und</w:t>
      </w:r>
      <w:r w:rsidRPr="00E73F6F">
        <w:rPr>
          <w:spacing w:val="-5"/>
          <w:sz w:val="24"/>
          <w:szCs w:val="24"/>
        </w:rPr>
        <w:t xml:space="preserve"> </w:t>
      </w:r>
      <w:r w:rsidRPr="00E73F6F">
        <w:rPr>
          <w:sz w:val="24"/>
          <w:szCs w:val="24"/>
        </w:rPr>
        <w:t>Preise</w:t>
      </w:r>
      <w:r w:rsidRPr="00E73F6F">
        <w:rPr>
          <w:spacing w:val="-5"/>
          <w:sz w:val="24"/>
          <w:szCs w:val="24"/>
        </w:rPr>
        <w:t xml:space="preserve"> </w:t>
      </w:r>
      <w:r w:rsidRPr="00E73F6F">
        <w:rPr>
          <w:sz w:val="24"/>
          <w:szCs w:val="24"/>
        </w:rPr>
        <w:t>europaweit</w:t>
      </w:r>
      <w:r w:rsidRPr="00E73F6F">
        <w:rPr>
          <w:spacing w:val="-4"/>
          <w:sz w:val="24"/>
          <w:szCs w:val="24"/>
        </w:rPr>
        <w:t xml:space="preserve"> </w:t>
      </w:r>
      <w:r w:rsidRPr="00E73F6F">
        <w:rPr>
          <w:sz w:val="24"/>
          <w:szCs w:val="24"/>
        </w:rPr>
        <w:t>möglichst</w:t>
      </w:r>
      <w:r w:rsidRPr="00E73F6F">
        <w:rPr>
          <w:spacing w:val="-9"/>
          <w:sz w:val="24"/>
          <w:szCs w:val="24"/>
        </w:rPr>
        <w:t xml:space="preserve"> </w:t>
      </w:r>
      <w:r w:rsidRPr="00E73F6F">
        <w:rPr>
          <w:sz w:val="24"/>
          <w:szCs w:val="24"/>
        </w:rPr>
        <w:t>auf</w:t>
      </w:r>
      <w:r w:rsidRPr="00E73F6F">
        <w:rPr>
          <w:spacing w:val="-4"/>
          <w:sz w:val="24"/>
          <w:szCs w:val="24"/>
        </w:rPr>
        <w:t xml:space="preserve"> </w:t>
      </w:r>
      <w:r w:rsidRPr="00E73F6F">
        <w:rPr>
          <w:sz w:val="24"/>
          <w:szCs w:val="24"/>
        </w:rPr>
        <w:t>niedrigem Niveau</w:t>
      </w:r>
      <w:r w:rsidRPr="00E73F6F">
        <w:rPr>
          <w:spacing w:val="-1"/>
          <w:sz w:val="24"/>
          <w:szCs w:val="24"/>
        </w:rPr>
        <w:t xml:space="preserve"> </w:t>
      </w:r>
      <w:r w:rsidRPr="00E73F6F">
        <w:rPr>
          <w:sz w:val="24"/>
          <w:szCs w:val="24"/>
        </w:rPr>
        <w:t>auszuhandeln</w:t>
      </w:r>
      <w:r w:rsidRPr="00E73F6F">
        <w:rPr>
          <w:spacing w:val="-1"/>
          <w:sz w:val="24"/>
          <w:szCs w:val="24"/>
        </w:rPr>
        <w:t xml:space="preserve"> </w:t>
      </w:r>
      <w:r w:rsidRPr="00E73F6F">
        <w:rPr>
          <w:sz w:val="24"/>
          <w:szCs w:val="24"/>
        </w:rPr>
        <w:t>(d.h.</w:t>
      </w:r>
      <w:r w:rsidRPr="00E73F6F">
        <w:rPr>
          <w:spacing w:val="-3"/>
          <w:sz w:val="24"/>
          <w:szCs w:val="24"/>
        </w:rPr>
        <w:t xml:space="preserve"> </w:t>
      </w:r>
      <w:r w:rsidRPr="00E73F6F">
        <w:rPr>
          <w:sz w:val="24"/>
          <w:szCs w:val="24"/>
        </w:rPr>
        <w:t>nach</w:t>
      </w:r>
      <w:r w:rsidRPr="00E73F6F">
        <w:rPr>
          <w:spacing w:val="-3"/>
          <w:sz w:val="24"/>
          <w:szCs w:val="24"/>
        </w:rPr>
        <w:t xml:space="preserve"> </w:t>
      </w:r>
      <w:r w:rsidRPr="00E73F6F">
        <w:rPr>
          <w:sz w:val="24"/>
          <w:szCs w:val="24"/>
        </w:rPr>
        <w:t>dem</w:t>
      </w:r>
      <w:r w:rsidRPr="00E73F6F">
        <w:rPr>
          <w:spacing w:val="-3"/>
          <w:sz w:val="24"/>
          <w:szCs w:val="24"/>
        </w:rPr>
        <w:t xml:space="preserve"> </w:t>
      </w:r>
      <w:r w:rsidRPr="00E73F6F">
        <w:rPr>
          <w:sz w:val="24"/>
          <w:szCs w:val="24"/>
        </w:rPr>
        <w:t>Prinzip</w:t>
      </w:r>
      <w:r w:rsidRPr="00E73F6F">
        <w:rPr>
          <w:spacing w:val="-3"/>
          <w:sz w:val="24"/>
          <w:szCs w:val="24"/>
        </w:rPr>
        <w:t xml:space="preserve"> </w:t>
      </w:r>
      <w:r w:rsidRPr="00E73F6F">
        <w:rPr>
          <w:sz w:val="24"/>
          <w:szCs w:val="24"/>
        </w:rPr>
        <w:t>der Meistbegünstigung).</w:t>
      </w:r>
      <w:r w:rsidRPr="00E73F6F">
        <w:rPr>
          <w:spacing w:val="-1"/>
          <w:sz w:val="24"/>
          <w:szCs w:val="24"/>
        </w:rPr>
        <w:t xml:space="preserve"> </w:t>
      </w:r>
      <w:r w:rsidRPr="00E73F6F">
        <w:rPr>
          <w:sz w:val="24"/>
          <w:szCs w:val="24"/>
        </w:rPr>
        <w:t>Dabei</w:t>
      </w:r>
      <w:r w:rsidRPr="00E73F6F">
        <w:rPr>
          <w:spacing w:val="-1"/>
          <w:sz w:val="24"/>
          <w:szCs w:val="24"/>
        </w:rPr>
        <w:t xml:space="preserve"> </w:t>
      </w:r>
      <w:r w:rsidRPr="00E73F6F">
        <w:rPr>
          <w:sz w:val="24"/>
          <w:szCs w:val="24"/>
        </w:rPr>
        <w:t>wird versucht, aus dem Wirrwarr der Herstellerkonditionen „Rosinen zu picken“: Wer bspw.</w:t>
      </w:r>
      <w:r w:rsidRPr="00E73F6F">
        <w:rPr>
          <w:spacing w:val="10"/>
          <w:sz w:val="24"/>
          <w:szCs w:val="24"/>
        </w:rPr>
        <w:t xml:space="preserve"> </w:t>
      </w:r>
      <w:r w:rsidRPr="00E73F6F">
        <w:rPr>
          <w:sz w:val="24"/>
          <w:szCs w:val="24"/>
        </w:rPr>
        <w:t>4%</w:t>
      </w:r>
      <w:r w:rsidRPr="00E73F6F">
        <w:rPr>
          <w:spacing w:val="12"/>
          <w:sz w:val="24"/>
          <w:szCs w:val="24"/>
        </w:rPr>
        <w:t xml:space="preserve"> </w:t>
      </w:r>
      <w:r w:rsidRPr="00E73F6F">
        <w:rPr>
          <w:sz w:val="24"/>
          <w:szCs w:val="24"/>
        </w:rPr>
        <w:t>Skonto</w:t>
      </w:r>
      <w:r w:rsidRPr="00E73F6F">
        <w:rPr>
          <w:spacing w:val="12"/>
          <w:sz w:val="24"/>
          <w:szCs w:val="24"/>
        </w:rPr>
        <w:t xml:space="preserve"> </w:t>
      </w:r>
      <w:r w:rsidRPr="00E73F6F">
        <w:rPr>
          <w:sz w:val="24"/>
          <w:szCs w:val="24"/>
        </w:rPr>
        <w:t>in</w:t>
      </w:r>
      <w:r w:rsidRPr="00E73F6F">
        <w:rPr>
          <w:spacing w:val="12"/>
          <w:sz w:val="24"/>
          <w:szCs w:val="24"/>
        </w:rPr>
        <w:t xml:space="preserve"> </w:t>
      </w:r>
      <w:r w:rsidRPr="00E73F6F">
        <w:rPr>
          <w:sz w:val="24"/>
          <w:szCs w:val="24"/>
        </w:rPr>
        <w:t>Spanien,</w:t>
      </w:r>
      <w:r w:rsidRPr="00E73F6F">
        <w:rPr>
          <w:spacing w:val="11"/>
          <w:sz w:val="24"/>
          <w:szCs w:val="24"/>
        </w:rPr>
        <w:t xml:space="preserve"> </w:t>
      </w:r>
      <w:r w:rsidRPr="00E73F6F">
        <w:rPr>
          <w:sz w:val="24"/>
          <w:szCs w:val="24"/>
        </w:rPr>
        <w:t>2%</w:t>
      </w:r>
      <w:r w:rsidRPr="00E73F6F">
        <w:rPr>
          <w:spacing w:val="12"/>
          <w:sz w:val="24"/>
          <w:szCs w:val="24"/>
        </w:rPr>
        <w:t xml:space="preserve"> </w:t>
      </w:r>
      <w:r w:rsidRPr="00E73F6F">
        <w:rPr>
          <w:sz w:val="24"/>
          <w:szCs w:val="24"/>
        </w:rPr>
        <w:t>in</w:t>
      </w:r>
      <w:r w:rsidRPr="00E73F6F">
        <w:rPr>
          <w:spacing w:val="12"/>
          <w:sz w:val="24"/>
          <w:szCs w:val="24"/>
        </w:rPr>
        <w:t xml:space="preserve"> </w:t>
      </w:r>
      <w:r w:rsidRPr="00E73F6F">
        <w:rPr>
          <w:sz w:val="24"/>
          <w:szCs w:val="24"/>
        </w:rPr>
        <w:t>Deutschland</w:t>
      </w:r>
      <w:r w:rsidRPr="00E73F6F">
        <w:rPr>
          <w:spacing w:val="12"/>
          <w:sz w:val="24"/>
          <w:szCs w:val="24"/>
        </w:rPr>
        <w:t xml:space="preserve"> </w:t>
      </w:r>
      <w:r w:rsidRPr="00E73F6F">
        <w:rPr>
          <w:sz w:val="24"/>
          <w:szCs w:val="24"/>
        </w:rPr>
        <w:t>oder</w:t>
      </w:r>
      <w:r w:rsidRPr="00E73F6F">
        <w:rPr>
          <w:spacing w:val="12"/>
          <w:sz w:val="24"/>
          <w:szCs w:val="24"/>
        </w:rPr>
        <w:t xml:space="preserve"> </w:t>
      </w:r>
      <w:r w:rsidRPr="00E73F6F">
        <w:rPr>
          <w:sz w:val="24"/>
          <w:szCs w:val="24"/>
        </w:rPr>
        <w:t>3,5%</w:t>
      </w:r>
      <w:r w:rsidRPr="00E73F6F">
        <w:rPr>
          <w:spacing w:val="12"/>
          <w:sz w:val="24"/>
          <w:szCs w:val="24"/>
        </w:rPr>
        <w:t xml:space="preserve"> </w:t>
      </w:r>
      <w:r w:rsidRPr="00E73F6F">
        <w:rPr>
          <w:sz w:val="24"/>
          <w:szCs w:val="24"/>
        </w:rPr>
        <w:t>in</w:t>
      </w:r>
      <w:r w:rsidRPr="00E73F6F">
        <w:rPr>
          <w:spacing w:val="12"/>
          <w:sz w:val="24"/>
          <w:szCs w:val="24"/>
        </w:rPr>
        <w:t xml:space="preserve"> </w:t>
      </w:r>
      <w:r w:rsidRPr="00E73F6F">
        <w:rPr>
          <w:sz w:val="24"/>
          <w:szCs w:val="24"/>
        </w:rPr>
        <w:t>Italien</w:t>
      </w:r>
      <w:r w:rsidRPr="00E73F6F">
        <w:rPr>
          <w:spacing w:val="12"/>
          <w:sz w:val="24"/>
          <w:szCs w:val="24"/>
        </w:rPr>
        <w:t xml:space="preserve"> </w:t>
      </w:r>
      <w:r w:rsidRPr="00E73F6F">
        <w:rPr>
          <w:spacing w:val="-2"/>
          <w:sz w:val="24"/>
          <w:szCs w:val="24"/>
        </w:rPr>
        <w:t>einräumt,</w:t>
      </w:r>
      <w:r w:rsidR="00107A50">
        <w:rPr>
          <w:spacing w:val="-2"/>
          <w:sz w:val="24"/>
          <w:szCs w:val="24"/>
        </w:rPr>
        <w:t xml:space="preserve"> </w:t>
      </w:r>
      <w:r w:rsidRPr="00E73F6F">
        <w:t xml:space="preserve">wird durch eine einkaufsstarke Handelsgruppe vermutlich gezwungen werden, in ganz Europa den spanischen Satz von 4% zu gewähren. Für Verhandlungs- Arbitrage ist das deutsch-österreichische Geschäft der Rewe ein klassisches Beispiel“ (Leach 1999, S.56). Der dadurch zusätzlich „angeheizte“ Preiswettbewerb provoziert Konflikte mit dem Hersteller, der natürlich in jedem Land das Preispremium abschöpfen möchte. Da große Handelsketten im Distributionskanal seit langem schon machtpolitisch überlegen sind, müssen die Hersteller gewöhnlich akzeptieren, dass die Absatzmittler ihre eigenen preispolitischen Ziele verfolgen und dabei häufig die Preisdifferenzierung der Hersteller konterkarieren. Weiterhin betreiben Handelsunternehmen, wie </w:t>
      </w:r>
      <w:r w:rsidRPr="00E73F6F">
        <w:rPr>
          <w:i/>
        </w:rPr>
        <w:t xml:space="preserve">Spar/Intermarché </w:t>
      </w:r>
      <w:r w:rsidRPr="00E73F6F">
        <w:t>in den 1990er Jahren, physische Arbitrage (d.h. sie nutzen Preisspielräume, indem sie Ware über die Grenze bewegen). Marktmächtige Händler versuchen, den niedrigsten Preis für ein Produkt herauszufinden, zu dem damit dann das ganze europäische Handelsnetz beliefert wird.</w:t>
      </w:r>
    </w:p>
    <w:p w14:paraId="1D3F0D4B" w14:textId="77777777" w:rsidR="00FF7799" w:rsidRPr="00E73F6F" w:rsidRDefault="00FF7799" w:rsidP="008B184E">
      <w:pPr>
        <w:pStyle w:val="StandardText"/>
      </w:pPr>
      <w:r w:rsidRPr="00E73F6F">
        <w:t>Produktgestaltung: Je nach dem Grad der internationalen Differenzierung können einzelne</w:t>
      </w:r>
      <w:r w:rsidRPr="00E73F6F">
        <w:rPr>
          <w:spacing w:val="-7"/>
        </w:rPr>
        <w:t xml:space="preserve"> </w:t>
      </w:r>
      <w:r w:rsidRPr="00E73F6F">
        <w:t>Produkte</w:t>
      </w:r>
      <w:r w:rsidRPr="00E73F6F">
        <w:rPr>
          <w:spacing w:val="-7"/>
        </w:rPr>
        <w:t xml:space="preserve"> </w:t>
      </w:r>
      <w:r w:rsidRPr="00E73F6F">
        <w:t>unterschiedlich</w:t>
      </w:r>
      <w:r w:rsidRPr="00E73F6F">
        <w:rPr>
          <w:spacing w:val="-8"/>
        </w:rPr>
        <w:t xml:space="preserve"> </w:t>
      </w:r>
      <w:r w:rsidRPr="00E73F6F">
        <w:t>stark</w:t>
      </w:r>
      <w:r w:rsidRPr="00E73F6F">
        <w:rPr>
          <w:spacing w:val="-4"/>
        </w:rPr>
        <w:t xml:space="preserve"> </w:t>
      </w:r>
      <w:r w:rsidRPr="00E73F6F">
        <w:t>von</w:t>
      </w:r>
      <w:r w:rsidRPr="00E73F6F">
        <w:rPr>
          <w:spacing w:val="-5"/>
        </w:rPr>
        <w:t xml:space="preserve"> </w:t>
      </w:r>
      <w:r w:rsidRPr="00E73F6F">
        <w:t>Arbitrage</w:t>
      </w:r>
      <w:r w:rsidRPr="00E73F6F">
        <w:rPr>
          <w:spacing w:val="-6"/>
        </w:rPr>
        <w:t xml:space="preserve"> </w:t>
      </w:r>
      <w:r w:rsidRPr="00E73F6F">
        <w:t>betroffen</w:t>
      </w:r>
      <w:r w:rsidRPr="00E73F6F">
        <w:rPr>
          <w:spacing w:val="-5"/>
        </w:rPr>
        <w:t xml:space="preserve"> </w:t>
      </w:r>
      <w:r w:rsidRPr="00E73F6F">
        <w:t>sein</w:t>
      </w:r>
      <w:r w:rsidRPr="00E73F6F">
        <w:rPr>
          <w:spacing w:val="-6"/>
        </w:rPr>
        <w:t xml:space="preserve"> </w:t>
      </w:r>
      <w:r w:rsidRPr="00E73F6F">
        <w:t>(vgl.</w:t>
      </w:r>
      <w:r w:rsidRPr="00E73F6F">
        <w:rPr>
          <w:spacing w:val="-6"/>
        </w:rPr>
        <w:t xml:space="preserve"> </w:t>
      </w:r>
      <w:r w:rsidRPr="00E73F6F">
        <w:t>Abb.</w:t>
      </w:r>
      <w:r w:rsidRPr="00E73F6F">
        <w:rPr>
          <w:spacing w:val="-7"/>
        </w:rPr>
        <w:t xml:space="preserve"> </w:t>
      </w:r>
      <w:r w:rsidRPr="00E73F6F">
        <w:rPr>
          <w:spacing w:val="-5"/>
        </w:rPr>
        <w:t xml:space="preserve">2). </w:t>
      </w:r>
      <w:r w:rsidRPr="00E73F6F">
        <w:t>„Zwillinge“ sind identische Produkte, deren Verpackung in unterschiedlichen Sprachen</w:t>
      </w:r>
      <w:r w:rsidRPr="00E73F6F">
        <w:rPr>
          <w:spacing w:val="-1"/>
        </w:rPr>
        <w:t xml:space="preserve"> </w:t>
      </w:r>
      <w:r w:rsidRPr="00E73F6F">
        <w:t>beschriftet ist.</w:t>
      </w:r>
      <w:r w:rsidRPr="00E73F6F">
        <w:rPr>
          <w:spacing w:val="-1"/>
        </w:rPr>
        <w:t xml:space="preserve"> </w:t>
      </w:r>
      <w:r w:rsidRPr="00E73F6F">
        <w:t>Sie</w:t>
      </w:r>
      <w:r w:rsidRPr="00E73F6F">
        <w:rPr>
          <w:spacing w:val="-2"/>
        </w:rPr>
        <w:t xml:space="preserve"> </w:t>
      </w:r>
      <w:r w:rsidRPr="00E73F6F">
        <w:t>vor</w:t>
      </w:r>
      <w:r w:rsidRPr="00E73F6F">
        <w:rPr>
          <w:spacing w:val="-2"/>
        </w:rPr>
        <w:t xml:space="preserve"> </w:t>
      </w:r>
      <w:r w:rsidRPr="00E73F6F">
        <w:t>allem</w:t>
      </w:r>
      <w:r w:rsidRPr="00E73F6F">
        <w:rPr>
          <w:spacing w:val="-1"/>
        </w:rPr>
        <w:t xml:space="preserve"> </w:t>
      </w:r>
      <w:r w:rsidRPr="00E73F6F">
        <w:t>eignen sich für</w:t>
      </w:r>
      <w:r w:rsidRPr="00E73F6F">
        <w:rPr>
          <w:spacing w:val="-2"/>
        </w:rPr>
        <w:t xml:space="preserve"> </w:t>
      </w:r>
      <w:r w:rsidRPr="00E73F6F">
        <w:t>den Arbitrage-Handel, weil man sie leicht von einem Markt in einen anderen transferieren kann. Ein höheres Risiko geht der Handel bei der physischen Arbitrage von „Brüdern“ ein. Diese identischen oder ähnlichen Produkte sind nur in der Sprache des ursprünglichen Verkaufslandes</w:t>
      </w:r>
      <w:r w:rsidRPr="00E73F6F">
        <w:rPr>
          <w:spacing w:val="-1"/>
        </w:rPr>
        <w:t xml:space="preserve"> </w:t>
      </w:r>
      <w:r w:rsidRPr="00E73F6F">
        <w:t>bedruckt, was</w:t>
      </w:r>
      <w:r w:rsidRPr="00E73F6F">
        <w:rPr>
          <w:spacing w:val="-1"/>
        </w:rPr>
        <w:t xml:space="preserve"> </w:t>
      </w:r>
      <w:r w:rsidRPr="00E73F6F">
        <w:t>in</w:t>
      </w:r>
      <w:r w:rsidRPr="00E73F6F">
        <w:rPr>
          <w:spacing w:val="-4"/>
        </w:rPr>
        <w:t xml:space="preserve"> </w:t>
      </w:r>
      <w:r w:rsidRPr="00E73F6F">
        <w:t>Zweit- oder</w:t>
      </w:r>
      <w:r w:rsidRPr="00E73F6F">
        <w:rPr>
          <w:spacing w:val="-3"/>
        </w:rPr>
        <w:t xml:space="preserve"> </w:t>
      </w:r>
      <w:r w:rsidRPr="00E73F6F">
        <w:t>Drittmärkten</w:t>
      </w:r>
      <w:r w:rsidRPr="00E73F6F">
        <w:rPr>
          <w:spacing w:val="-2"/>
        </w:rPr>
        <w:t xml:space="preserve"> </w:t>
      </w:r>
      <w:r w:rsidRPr="00E73F6F">
        <w:t>für</w:t>
      </w:r>
      <w:r w:rsidRPr="00E73F6F">
        <w:rPr>
          <w:spacing w:val="-1"/>
        </w:rPr>
        <w:t xml:space="preserve"> </w:t>
      </w:r>
      <w:r w:rsidRPr="00E73F6F">
        <w:t xml:space="preserve">Verwirrung sorgen </w:t>
      </w:r>
      <w:r w:rsidRPr="00E73F6F">
        <w:rPr>
          <w:spacing w:val="-2"/>
        </w:rPr>
        <w:t>kann.</w:t>
      </w:r>
    </w:p>
    <w:p w14:paraId="16EDB1E4" w14:textId="77777777" w:rsidR="00FF7799" w:rsidRPr="00E73F6F" w:rsidRDefault="00FF7799" w:rsidP="00862DBA">
      <w:pPr>
        <w:spacing w:before="4"/>
        <w:rPr>
          <w:sz w:val="24"/>
          <w:szCs w:val="24"/>
        </w:rPr>
      </w:pPr>
    </w:p>
    <w:p w14:paraId="37CE41C8" w14:textId="77777777" w:rsidR="00FF7799" w:rsidRPr="00AB3FAA" w:rsidRDefault="00FF7799" w:rsidP="008941AC">
      <w:pPr>
        <w:pStyle w:val="BeschriftungTab"/>
        <w:rPr>
          <w:i/>
          <w:iCs/>
          <w:spacing w:val="-2"/>
        </w:rPr>
      </w:pPr>
      <w:r w:rsidRPr="00AB3FAA">
        <w:rPr>
          <w:i/>
          <w:iCs/>
        </w:rPr>
        <w:t>Abb.</w:t>
      </w:r>
      <w:r w:rsidRPr="00AB3FAA">
        <w:rPr>
          <w:i/>
          <w:iCs/>
          <w:spacing w:val="-4"/>
        </w:rPr>
        <w:t xml:space="preserve"> </w:t>
      </w:r>
      <w:r w:rsidRPr="00AB3FAA">
        <w:rPr>
          <w:i/>
          <w:iCs/>
        </w:rPr>
        <w:t>2:</w:t>
      </w:r>
      <w:r w:rsidRPr="00AB3FAA">
        <w:rPr>
          <w:i/>
          <w:iCs/>
          <w:spacing w:val="-4"/>
        </w:rPr>
        <w:t xml:space="preserve"> </w:t>
      </w:r>
      <w:r w:rsidR="002479FD" w:rsidRPr="00AB3FAA">
        <w:rPr>
          <w:i/>
          <w:iCs/>
        </w:rPr>
        <w:t xml:space="preserve">Eignung </w:t>
      </w:r>
      <w:r w:rsidRPr="00AB3FAA">
        <w:rPr>
          <w:i/>
          <w:iCs/>
        </w:rPr>
        <w:t>unterschiedlicher</w:t>
      </w:r>
      <w:r w:rsidRPr="00AB3FAA">
        <w:rPr>
          <w:i/>
          <w:iCs/>
          <w:spacing w:val="-2"/>
        </w:rPr>
        <w:t xml:space="preserve"> </w:t>
      </w:r>
      <w:r w:rsidRPr="00AB3FAA">
        <w:rPr>
          <w:i/>
          <w:iCs/>
        </w:rPr>
        <w:t>Produkttypen</w:t>
      </w:r>
      <w:r w:rsidRPr="00AB3FAA">
        <w:rPr>
          <w:i/>
          <w:iCs/>
          <w:spacing w:val="-1"/>
        </w:rPr>
        <w:t xml:space="preserve"> </w:t>
      </w:r>
      <w:r w:rsidRPr="00AB3FAA">
        <w:rPr>
          <w:i/>
          <w:iCs/>
        </w:rPr>
        <w:t>für</w:t>
      </w:r>
      <w:r w:rsidRPr="00AB3FAA">
        <w:rPr>
          <w:i/>
          <w:iCs/>
          <w:spacing w:val="-1"/>
        </w:rPr>
        <w:t xml:space="preserve"> </w:t>
      </w:r>
      <w:r w:rsidRPr="00AB3FAA">
        <w:rPr>
          <w:i/>
          <w:iCs/>
          <w:spacing w:val="-2"/>
        </w:rPr>
        <w:t>Arbitrage</w:t>
      </w:r>
      <w:r w:rsidR="008941AC" w:rsidRPr="00AB3FAA">
        <w:rPr>
          <w:i/>
          <w:iCs/>
          <w:spacing w:val="-2"/>
        </w:rPr>
        <w:t xml:space="preserve"> </w:t>
      </w:r>
    </w:p>
    <w:p w14:paraId="7EBE7A35" w14:textId="77777777" w:rsidR="003C3DC5" w:rsidRDefault="003C3DC5" w:rsidP="008941AC">
      <w:pPr>
        <w:pStyle w:val="BeschriftungTab"/>
        <w:rPr>
          <w:spacing w:val="-2"/>
        </w:rPr>
      </w:pPr>
    </w:p>
    <w:p w14:paraId="6C633A50" w14:textId="77777777" w:rsidR="004E4D6E" w:rsidRDefault="004E4D6E" w:rsidP="008941AC">
      <w:pPr>
        <w:pStyle w:val="Quellen"/>
        <w:rPr>
          <w:spacing w:val="-2"/>
        </w:rPr>
      </w:pPr>
      <w:r>
        <w:rPr>
          <w:noProof/>
          <w:spacing w:val="-2"/>
        </w:rPr>
        <w:lastRenderedPageBreak/>
        <w:drawing>
          <wp:inline distT="0" distB="0" distL="0" distR="0" wp14:anchorId="6A44A3F2" wp14:editId="6652593F">
            <wp:extent cx="5705475" cy="3934942"/>
            <wp:effectExtent l="0" t="0" r="0" b="889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13874" cy="3940735"/>
                    </a:xfrm>
                    <a:prstGeom prst="rect">
                      <a:avLst/>
                    </a:prstGeom>
                    <a:noFill/>
                  </pic:spPr>
                </pic:pic>
              </a:graphicData>
            </a:graphic>
          </wp:inline>
        </w:drawing>
      </w:r>
    </w:p>
    <w:p w14:paraId="35C10108" w14:textId="77777777" w:rsidR="00FF7799" w:rsidRPr="00E73F6F" w:rsidRDefault="00FF7799" w:rsidP="008941AC">
      <w:pPr>
        <w:pStyle w:val="Quellen"/>
      </w:pPr>
      <w:r w:rsidRPr="00E73F6F">
        <w:rPr>
          <w:spacing w:val="-2"/>
        </w:rPr>
        <w:t>Quelle:</w:t>
      </w:r>
      <w:r w:rsidRPr="00E73F6F">
        <w:tab/>
        <w:t>eigene</w:t>
      </w:r>
      <w:r w:rsidRPr="00E73F6F">
        <w:rPr>
          <w:spacing w:val="-3"/>
        </w:rPr>
        <w:t xml:space="preserve"> </w:t>
      </w:r>
      <w:r w:rsidRPr="00E73F6F">
        <w:t>Darstellung auf</w:t>
      </w:r>
      <w:r w:rsidRPr="00E73F6F">
        <w:rPr>
          <w:spacing w:val="-1"/>
        </w:rPr>
        <w:t xml:space="preserve"> </w:t>
      </w:r>
      <w:r w:rsidRPr="00E73F6F">
        <w:t>Basis</w:t>
      </w:r>
      <w:r w:rsidRPr="00E73F6F">
        <w:rPr>
          <w:spacing w:val="-2"/>
        </w:rPr>
        <w:t xml:space="preserve"> </w:t>
      </w:r>
      <w:r w:rsidRPr="00E73F6F">
        <w:t>von</w:t>
      </w:r>
      <w:r w:rsidRPr="00E73F6F">
        <w:rPr>
          <w:spacing w:val="-1"/>
        </w:rPr>
        <w:t xml:space="preserve"> </w:t>
      </w:r>
      <w:r w:rsidRPr="00E73F6F">
        <w:t>Leach</w:t>
      </w:r>
      <w:r w:rsidRPr="00E73F6F">
        <w:rPr>
          <w:spacing w:val="-1"/>
        </w:rPr>
        <w:t xml:space="preserve"> </w:t>
      </w:r>
      <w:r w:rsidRPr="00E73F6F">
        <w:t xml:space="preserve">(1999, </w:t>
      </w:r>
      <w:r w:rsidRPr="00E73F6F">
        <w:rPr>
          <w:spacing w:val="-2"/>
        </w:rPr>
        <w:t>S.56).</w:t>
      </w:r>
    </w:p>
    <w:p w14:paraId="48514E06" w14:textId="77777777" w:rsidR="003D63C0" w:rsidRDefault="003D63C0" w:rsidP="00862DBA">
      <w:pPr>
        <w:spacing w:before="90"/>
        <w:jc w:val="both"/>
        <w:rPr>
          <w:sz w:val="24"/>
          <w:szCs w:val="24"/>
        </w:rPr>
      </w:pPr>
    </w:p>
    <w:p w14:paraId="722B05E8" w14:textId="77777777" w:rsidR="00FF7799" w:rsidRPr="00E73F6F" w:rsidRDefault="00FF7799" w:rsidP="00862DBA">
      <w:pPr>
        <w:spacing w:before="90"/>
        <w:jc w:val="both"/>
        <w:rPr>
          <w:rStyle w:val="StandardTextZchn1"/>
        </w:rPr>
      </w:pPr>
      <w:r w:rsidRPr="00E73F6F">
        <w:rPr>
          <w:sz w:val="24"/>
          <w:szCs w:val="24"/>
        </w:rPr>
        <w:t xml:space="preserve">Entschärfen </w:t>
      </w:r>
      <w:r w:rsidRPr="00E73F6F">
        <w:rPr>
          <w:rStyle w:val="StandardTextZchn1"/>
        </w:rPr>
        <w:t>lässt sich dieses Problem mithilfe von Aufklebern, die in der Landessprache beschriftet sind. Leclerc verfolgt einen gänzlich anderen Ansatz. Mit dem Slogan: „Wir bringen Euch die besten Preise aus ganz Europa“ versuchten die Franzosen, das Arbitrage-Geschäft zur PR-Maßnahme umzumünzen. Allerdings sind die meisten Verbraucher risikoavers. Ein in fremder Sprache bedrucktes Produkt stellt für sie selbst dann einen Unsicherheitsfaktor dar, wenn der Beipackzettel Inhaltsstoffe, Gebrauchsanweisung etc. in der Muttersprache nennt; denn dieser wird gewöhnlich nicht gelesen. Für „Cousins“ lohnt sich Arbitrage nur bei einem hohen Preisvorteil, da diese Produkte auch noch unterschiedlich aussehen. Als Beispiel nennt Leach (1999, S.56) ein Mundwasser, das in Deutschland rot und in Griechenland grün gefärbt angeboten wird.</w:t>
      </w:r>
    </w:p>
    <w:p w14:paraId="778E8B4A" w14:textId="77777777" w:rsidR="00FF7799" w:rsidRPr="00E73F6F" w:rsidRDefault="00FF7799" w:rsidP="008B184E">
      <w:pPr>
        <w:pStyle w:val="StandardText"/>
      </w:pPr>
    </w:p>
    <w:p w14:paraId="32829962" w14:textId="77777777" w:rsidR="00FF7799" w:rsidRPr="0026427E" w:rsidRDefault="00FF7799" w:rsidP="008B184E">
      <w:pPr>
        <w:pStyle w:val="StandardTextkursiv"/>
        <w:rPr>
          <w:i w:val="0"/>
        </w:rPr>
      </w:pPr>
      <w:r w:rsidRPr="0026427E">
        <w:rPr>
          <w:i w:val="0"/>
        </w:rPr>
        <w:t>3 Gegenmaßnahmen</w:t>
      </w:r>
    </w:p>
    <w:p w14:paraId="5743160C" w14:textId="66252639" w:rsidR="00FF7799" w:rsidRPr="00E73F6F" w:rsidRDefault="00FF7799" w:rsidP="00862DBA">
      <w:pPr>
        <w:spacing w:before="119"/>
        <w:jc w:val="both"/>
        <w:rPr>
          <w:i/>
          <w:sz w:val="24"/>
          <w:szCs w:val="24"/>
        </w:rPr>
      </w:pPr>
      <w:r w:rsidRPr="00E73F6F">
        <w:rPr>
          <w:sz w:val="24"/>
          <w:szCs w:val="24"/>
        </w:rPr>
        <w:t>Arbitrage bedroht nicht nur die Gewinnmarge der Anbieter, sondern auch das Preisvertrauen</w:t>
      </w:r>
      <w:r w:rsidRPr="00E73F6F">
        <w:rPr>
          <w:spacing w:val="-2"/>
          <w:sz w:val="24"/>
          <w:szCs w:val="24"/>
        </w:rPr>
        <w:t xml:space="preserve"> </w:t>
      </w:r>
      <w:r w:rsidRPr="00E73F6F">
        <w:rPr>
          <w:sz w:val="24"/>
          <w:szCs w:val="24"/>
        </w:rPr>
        <w:t>der</w:t>
      </w:r>
      <w:r w:rsidRPr="00E73F6F">
        <w:rPr>
          <w:spacing w:val="-3"/>
          <w:sz w:val="24"/>
          <w:szCs w:val="24"/>
        </w:rPr>
        <w:t xml:space="preserve"> </w:t>
      </w:r>
      <w:r w:rsidRPr="00E73F6F">
        <w:rPr>
          <w:sz w:val="24"/>
          <w:szCs w:val="24"/>
        </w:rPr>
        <w:t>Kunden</w:t>
      </w:r>
      <w:r w:rsidRPr="00E73F6F">
        <w:rPr>
          <w:spacing w:val="-2"/>
          <w:sz w:val="24"/>
          <w:szCs w:val="24"/>
        </w:rPr>
        <w:t xml:space="preserve"> </w:t>
      </w:r>
      <w:r w:rsidRPr="00E73F6F">
        <w:rPr>
          <w:rStyle w:val="StandardTextZchn1"/>
        </w:rPr>
        <w:t xml:space="preserve">insgesamt sowie die Preiszufriedenheit derjenigen, die nicht davon profitieren. Da die Arbitrage-Strategie nur dann reizvoll ist, wenn der Preisunterschied einen – von Produkt zu Produkt variierenden – Schwellenwert übersteigt, bietet es sich </w:t>
      </w:r>
      <w:r w:rsidR="003C3DC5">
        <w:rPr>
          <w:rStyle w:val="StandardTextZchn1"/>
        </w:rPr>
        <w:t xml:space="preserve">an, einen länderübergreifenden </w:t>
      </w:r>
      <w:r w:rsidRPr="00E73F6F">
        <w:rPr>
          <w:rStyle w:val="StandardTextZchn1"/>
        </w:rPr>
        <w:t xml:space="preserve">Preiskorridor zu definieren. Dazu wird in Ländern mit einem niedrigen Preisniveau der Produktpreis angehoben, während man ihn in Ländern mit </w:t>
      </w:r>
      <w:r w:rsidR="00F62D25" w:rsidRPr="00E73F6F">
        <w:rPr>
          <w:rStyle w:val="StandardTextZchn1"/>
        </w:rPr>
        <w:t>einem hohen Preisniveau</w:t>
      </w:r>
      <w:r w:rsidRPr="00E73F6F">
        <w:rPr>
          <w:rStyle w:val="StandardTextZchn1"/>
        </w:rPr>
        <w:t xml:space="preserve"> entsprechend senkt (vgl. Abb</w:t>
      </w:r>
      <w:r w:rsidRPr="00E73F6F">
        <w:rPr>
          <w:sz w:val="24"/>
          <w:szCs w:val="24"/>
        </w:rPr>
        <w:t>. 3)</w:t>
      </w:r>
      <w:r w:rsidRPr="00E73F6F">
        <w:rPr>
          <w:i/>
          <w:sz w:val="24"/>
          <w:szCs w:val="24"/>
        </w:rPr>
        <w:t>.</w:t>
      </w:r>
    </w:p>
    <w:p w14:paraId="43B1B535" w14:textId="77777777" w:rsidR="008941AC" w:rsidRPr="00E73F6F" w:rsidRDefault="008941AC" w:rsidP="008941AC">
      <w:pPr>
        <w:pStyle w:val="StandardText"/>
      </w:pPr>
    </w:p>
    <w:p w14:paraId="13818CD8" w14:textId="5F1D4649" w:rsidR="003D63C0" w:rsidRPr="00AB3FAA" w:rsidRDefault="00FF7799" w:rsidP="008941AC">
      <w:pPr>
        <w:pStyle w:val="BeschriftungTab"/>
        <w:rPr>
          <w:i/>
          <w:iCs/>
        </w:rPr>
      </w:pPr>
      <w:r w:rsidRPr="00AB3FAA">
        <w:rPr>
          <w:i/>
          <w:iCs/>
        </w:rPr>
        <w:t>Abb. 3: Portfolio</w:t>
      </w:r>
      <w:r w:rsidR="00C76DC3">
        <w:rPr>
          <w:i/>
          <w:iCs/>
        </w:rPr>
        <w:t xml:space="preserve"> wichtiger</w:t>
      </w:r>
      <w:r w:rsidR="00C76DC3" w:rsidRPr="00C76DC3">
        <w:rPr>
          <w:i/>
          <w:iCs/>
        </w:rPr>
        <w:t xml:space="preserve"> </w:t>
      </w:r>
      <w:r w:rsidR="00C76DC3" w:rsidRPr="00AB3FAA">
        <w:rPr>
          <w:i/>
          <w:iCs/>
        </w:rPr>
        <w:t>Preisstrategi</w:t>
      </w:r>
      <w:r w:rsidR="00C76DC3">
        <w:rPr>
          <w:i/>
          <w:iCs/>
        </w:rPr>
        <w:t>en</w:t>
      </w:r>
    </w:p>
    <w:p w14:paraId="6C050518" w14:textId="77777777" w:rsidR="003D63C0" w:rsidRDefault="003D63C0" w:rsidP="008941AC">
      <w:pPr>
        <w:pStyle w:val="BeschriftungTab"/>
      </w:pPr>
    </w:p>
    <w:p w14:paraId="17A166A1" w14:textId="77777777" w:rsidR="00FF7799" w:rsidRDefault="003D63C0" w:rsidP="008941AC">
      <w:pPr>
        <w:pStyle w:val="BeschriftungTab"/>
        <w:rPr>
          <w:color w:val="FF0000"/>
        </w:rPr>
      </w:pPr>
      <w:r>
        <w:rPr>
          <w:noProof/>
        </w:rPr>
        <w:lastRenderedPageBreak/>
        <w:drawing>
          <wp:inline distT="0" distB="0" distL="0" distR="0" wp14:anchorId="0036BA08" wp14:editId="4E8B66D9">
            <wp:extent cx="5683250" cy="5107807"/>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95731" cy="5119024"/>
                    </a:xfrm>
                    <a:prstGeom prst="rect">
                      <a:avLst/>
                    </a:prstGeom>
                    <a:noFill/>
                  </pic:spPr>
                </pic:pic>
              </a:graphicData>
            </a:graphic>
          </wp:inline>
        </w:drawing>
      </w:r>
    </w:p>
    <w:p w14:paraId="25EADA2C" w14:textId="77777777" w:rsidR="00FF7799" w:rsidRPr="00E73F6F" w:rsidRDefault="00FF7799" w:rsidP="008941AC">
      <w:pPr>
        <w:pStyle w:val="Quellen"/>
      </w:pPr>
      <w:r w:rsidRPr="00E73F6F">
        <w:rPr>
          <w:spacing w:val="-2"/>
        </w:rPr>
        <w:t>Quelle:</w:t>
      </w:r>
      <w:r w:rsidRPr="00E73F6F">
        <w:tab/>
        <w:t>Sander</w:t>
      </w:r>
      <w:r w:rsidRPr="00E73F6F">
        <w:rPr>
          <w:spacing w:val="-1"/>
        </w:rPr>
        <w:t xml:space="preserve"> </w:t>
      </w:r>
      <w:r w:rsidRPr="00E73F6F">
        <w:t>(1997,</w:t>
      </w:r>
      <w:r w:rsidRPr="00E73F6F">
        <w:rPr>
          <w:spacing w:val="-1"/>
        </w:rPr>
        <w:t xml:space="preserve"> </w:t>
      </w:r>
      <w:r w:rsidRPr="00E73F6F">
        <w:rPr>
          <w:spacing w:val="-2"/>
        </w:rPr>
        <w:t>S.89).</w:t>
      </w:r>
    </w:p>
    <w:p w14:paraId="3DC09FDA" w14:textId="77777777" w:rsidR="00FF7799" w:rsidRPr="00E73F6F" w:rsidRDefault="00FF7799" w:rsidP="00862DBA">
      <w:pPr>
        <w:spacing w:before="10"/>
        <w:rPr>
          <w:sz w:val="24"/>
          <w:szCs w:val="24"/>
        </w:rPr>
      </w:pPr>
    </w:p>
    <w:p w14:paraId="21C14E2E" w14:textId="77777777" w:rsidR="00FF7799" w:rsidRPr="00E73F6F" w:rsidRDefault="00FF7799" w:rsidP="008B184E">
      <w:pPr>
        <w:pStyle w:val="StandardText"/>
      </w:pPr>
      <w:r w:rsidRPr="00E73F6F">
        <w:t>Entspricht</w:t>
      </w:r>
      <w:r w:rsidRPr="00E73F6F">
        <w:rPr>
          <w:spacing w:val="-12"/>
        </w:rPr>
        <w:t xml:space="preserve"> </w:t>
      </w:r>
      <w:r w:rsidRPr="00E73F6F">
        <w:t>der</w:t>
      </w:r>
      <w:r w:rsidRPr="00E73F6F">
        <w:rPr>
          <w:spacing w:val="-11"/>
        </w:rPr>
        <w:t xml:space="preserve"> </w:t>
      </w:r>
      <w:r w:rsidRPr="00E73F6F">
        <w:t>verbleibende</w:t>
      </w:r>
      <w:r w:rsidRPr="00E73F6F">
        <w:rPr>
          <w:spacing w:val="-11"/>
        </w:rPr>
        <w:t xml:space="preserve"> </w:t>
      </w:r>
      <w:r w:rsidRPr="00E73F6F">
        <w:t>„Spielraum“</w:t>
      </w:r>
      <w:r w:rsidRPr="00E73F6F">
        <w:rPr>
          <w:spacing w:val="-11"/>
        </w:rPr>
        <w:t xml:space="preserve"> </w:t>
      </w:r>
      <w:r w:rsidRPr="00E73F6F">
        <w:t>jenen</w:t>
      </w:r>
      <w:r w:rsidRPr="00E73F6F">
        <w:rPr>
          <w:spacing w:val="-9"/>
        </w:rPr>
        <w:t xml:space="preserve"> </w:t>
      </w:r>
      <w:r w:rsidRPr="00E73F6F">
        <w:t>Kosten,</w:t>
      </w:r>
      <w:r w:rsidRPr="00E73F6F">
        <w:rPr>
          <w:spacing w:val="-12"/>
        </w:rPr>
        <w:t xml:space="preserve"> </w:t>
      </w:r>
      <w:r w:rsidRPr="00E73F6F">
        <w:t>die</w:t>
      </w:r>
      <w:r w:rsidRPr="00E73F6F">
        <w:rPr>
          <w:spacing w:val="-10"/>
        </w:rPr>
        <w:t xml:space="preserve"> </w:t>
      </w:r>
      <w:r w:rsidRPr="00E73F6F">
        <w:t>ein</w:t>
      </w:r>
      <w:r w:rsidRPr="00E73F6F">
        <w:rPr>
          <w:spacing w:val="-11"/>
        </w:rPr>
        <w:t xml:space="preserve"> </w:t>
      </w:r>
      <w:r w:rsidRPr="00E73F6F">
        <w:t>Arbitrageur</w:t>
      </w:r>
      <w:r w:rsidRPr="00E73F6F">
        <w:rPr>
          <w:spacing w:val="-10"/>
        </w:rPr>
        <w:t xml:space="preserve"> </w:t>
      </w:r>
      <w:r w:rsidRPr="00E73F6F">
        <w:t>z.B.</w:t>
      </w:r>
      <w:r w:rsidRPr="00E73F6F">
        <w:rPr>
          <w:spacing w:val="-10"/>
        </w:rPr>
        <w:t xml:space="preserve"> </w:t>
      </w:r>
      <w:r w:rsidRPr="00E73F6F">
        <w:t>für den</w:t>
      </w:r>
      <w:r w:rsidRPr="00E73F6F">
        <w:rPr>
          <w:spacing w:val="13"/>
        </w:rPr>
        <w:t xml:space="preserve"> </w:t>
      </w:r>
      <w:r w:rsidRPr="00E73F6F">
        <w:t>Transport</w:t>
      </w:r>
      <w:r w:rsidRPr="00E73F6F">
        <w:rPr>
          <w:spacing w:val="12"/>
        </w:rPr>
        <w:t xml:space="preserve"> </w:t>
      </w:r>
      <w:r w:rsidRPr="00E73F6F">
        <w:t>der</w:t>
      </w:r>
      <w:r w:rsidRPr="00E73F6F">
        <w:rPr>
          <w:spacing w:val="13"/>
        </w:rPr>
        <w:t xml:space="preserve"> </w:t>
      </w:r>
      <w:r w:rsidRPr="00E73F6F">
        <w:t>Ware</w:t>
      </w:r>
      <w:r w:rsidRPr="00E73F6F">
        <w:rPr>
          <w:spacing w:val="12"/>
        </w:rPr>
        <w:t xml:space="preserve"> </w:t>
      </w:r>
      <w:r w:rsidRPr="00E73F6F">
        <w:t>und</w:t>
      </w:r>
      <w:r w:rsidRPr="00E73F6F">
        <w:rPr>
          <w:spacing w:val="12"/>
        </w:rPr>
        <w:t xml:space="preserve"> </w:t>
      </w:r>
      <w:r w:rsidRPr="00E73F6F">
        <w:t>das</w:t>
      </w:r>
      <w:r w:rsidRPr="00E73F6F">
        <w:rPr>
          <w:spacing w:val="11"/>
        </w:rPr>
        <w:t xml:space="preserve"> </w:t>
      </w:r>
      <w:r w:rsidRPr="00E73F6F">
        <w:t>Verkaufsrisiko</w:t>
      </w:r>
      <w:r w:rsidRPr="00E73F6F">
        <w:rPr>
          <w:spacing w:val="14"/>
        </w:rPr>
        <w:t xml:space="preserve"> </w:t>
      </w:r>
      <w:r w:rsidRPr="00E73F6F">
        <w:t>zu</w:t>
      </w:r>
      <w:r w:rsidRPr="00E73F6F">
        <w:rPr>
          <w:spacing w:val="14"/>
        </w:rPr>
        <w:t xml:space="preserve"> </w:t>
      </w:r>
      <w:r w:rsidRPr="00E73F6F">
        <w:t>tragen</w:t>
      </w:r>
      <w:r w:rsidRPr="00E73F6F">
        <w:rPr>
          <w:spacing w:val="12"/>
        </w:rPr>
        <w:t xml:space="preserve"> </w:t>
      </w:r>
      <w:r w:rsidRPr="00E73F6F">
        <w:t>hätte,</w:t>
      </w:r>
      <w:r w:rsidRPr="00E73F6F">
        <w:rPr>
          <w:spacing w:val="11"/>
        </w:rPr>
        <w:t xml:space="preserve"> </w:t>
      </w:r>
      <w:r w:rsidRPr="00E73F6F">
        <w:t>dann</w:t>
      </w:r>
      <w:r w:rsidRPr="00E73F6F">
        <w:rPr>
          <w:spacing w:val="14"/>
        </w:rPr>
        <w:t xml:space="preserve"> </w:t>
      </w:r>
      <w:r w:rsidRPr="00E73F6F">
        <w:t>lohnt</w:t>
      </w:r>
      <w:r w:rsidRPr="00E73F6F">
        <w:rPr>
          <w:spacing w:val="14"/>
        </w:rPr>
        <w:t xml:space="preserve"> </w:t>
      </w:r>
      <w:r w:rsidRPr="00E73F6F">
        <w:rPr>
          <w:spacing w:val="-4"/>
        </w:rPr>
        <w:t>sich</w:t>
      </w:r>
      <w:r w:rsidR="008941AC" w:rsidRPr="00E73F6F">
        <w:rPr>
          <w:spacing w:val="-4"/>
        </w:rPr>
        <w:t xml:space="preserve"> </w:t>
      </w:r>
      <w:r w:rsidRPr="00E73F6F">
        <w:t>„grauer</w:t>
      </w:r>
      <w:r w:rsidRPr="00E73F6F">
        <w:rPr>
          <w:spacing w:val="-1"/>
        </w:rPr>
        <w:t xml:space="preserve"> </w:t>
      </w:r>
      <w:r w:rsidRPr="00E73F6F">
        <w:t>Import“</w:t>
      </w:r>
      <w:r w:rsidRPr="00E73F6F">
        <w:rPr>
          <w:spacing w:val="-3"/>
        </w:rPr>
        <w:t xml:space="preserve"> </w:t>
      </w:r>
      <w:r w:rsidRPr="00E73F6F">
        <w:t>nicht mehr,</w:t>
      </w:r>
      <w:r w:rsidRPr="00E73F6F">
        <w:rPr>
          <w:spacing w:val="-2"/>
        </w:rPr>
        <w:t xml:space="preserve"> </w:t>
      </w:r>
      <w:r w:rsidRPr="00E73F6F">
        <w:t>und</w:t>
      </w:r>
      <w:r w:rsidRPr="00E73F6F">
        <w:rPr>
          <w:spacing w:val="-4"/>
        </w:rPr>
        <w:t xml:space="preserve"> </w:t>
      </w:r>
      <w:r w:rsidRPr="00E73F6F">
        <w:t>der</w:t>
      </w:r>
      <w:r w:rsidRPr="00E73F6F">
        <w:rPr>
          <w:spacing w:val="-1"/>
        </w:rPr>
        <w:t xml:space="preserve"> </w:t>
      </w:r>
      <w:r w:rsidRPr="00E73F6F">
        <w:t>Hersteller</w:t>
      </w:r>
      <w:r w:rsidRPr="00E73F6F">
        <w:rPr>
          <w:spacing w:val="-1"/>
        </w:rPr>
        <w:t xml:space="preserve"> </w:t>
      </w:r>
      <w:r w:rsidRPr="00E73F6F">
        <w:t>bewahrt</w:t>
      </w:r>
      <w:r w:rsidRPr="00E73F6F">
        <w:rPr>
          <w:spacing w:val="-3"/>
        </w:rPr>
        <w:t xml:space="preserve"> </w:t>
      </w:r>
      <w:r w:rsidRPr="00E73F6F">
        <w:t>dennoch</w:t>
      </w:r>
      <w:r w:rsidRPr="00E73F6F">
        <w:rPr>
          <w:spacing w:val="-2"/>
        </w:rPr>
        <w:t xml:space="preserve"> </w:t>
      </w:r>
      <w:r w:rsidRPr="00E73F6F">
        <w:t>die</w:t>
      </w:r>
      <w:r w:rsidRPr="00E73F6F">
        <w:rPr>
          <w:spacing w:val="-1"/>
        </w:rPr>
        <w:t xml:space="preserve"> </w:t>
      </w:r>
      <w:r w:rsidRPr="00E73F6F">
        <w:t>Möglichkeit, innerhalb der vom Preiskorridor vorgegebenen Grenzen regionale Preisdifferenzierung zu betreiben (vgl. Simon et al. 1999, S.934).</w:t>
      </w:r>
    </w:p>
    <w:p w14:paraId="0FE10857" w14:textId="77777777" w:rsidR="00FF7799" w:rsidRPr="00684099" w:rsidRDefault="00FF7799" w:rsidP="008B184E">
      <w:pPr>
        <w:pStyle w:val="StandardText"/>
        <w:rPr>
          <w:sz w:val="22"/>
          <w:szCs w:val="22"/>
        </w:rPr>
      </w:pPr>
      <w:r w:rsidRPr="00684099">
        <w:rPr>
          <w:b/>
          <w:i/>
          <w:sz w:val="22"/>
          <w:szCs w:val="22"/>
        </w:rPr>
        <w:t>Literatur:</w:t>
      </w:r>
      <w:r w:rsidRPr="00684099">
        <w:rPr>
          <w:b/>
          <w:spacing w:val="-7"/>
          <w:sz w:val="22"/>
          <w:szCs w:val="22"/>
        </w:rPr>
        <w:t xml:space="preserve"> </w:t>
      </w:r>
      <w:r w:rsidRPr="00684099">
        <w:rPr>
          <w:sz w:val="22"/>
          <w:szCs w:val="22"/>
        </w:rPr>
        <w:t>Backhaus,</w:t>
      </w:r>
      <w:r w:rsidRPr="00684099">
        <w:rPr>
          <w:spacing w:val="-9"/>
          <w:sz w:val="22"/>
          <w:szCs w:val="22"/>
        </w:rPr>
        <w:t xml:space="preserve"> </w:t>
      </w:r>
      <w:r w:rsidRPr="00684099">
        <w:rPr>
          <w:sz w:val="22"/>
          <w:szCs w:val="22"/>
        </w:rPr>
        <w:t>K.;</w:t>
      </w:r>
      <w:r w:rsidRPr="00684099">
        <w:rPr>
          <w:spacing w:val="-8"/>
          <w:sz w:val="22"/>
          <w:szCs w:val="22"/>
        </w:rPr>
        <w:t xml:space="preserve"> </w:t>
      </w:r>
      <w:r w:rsidRPr="00684099">
        <w:rPr>
          <w:sz w:val="22"/>
          <w:szCs w:val="22"/>
        </w:rPr>
        <w:t>Büschken,</w:t>
      </w:r>
      <w:r w:rsidRPr="00684099">
        <w:rPr>
          <w:spacing w:val="-7"/>
          <w:sz w:val="22"/>
          <w:szCs w:val="22"/>
        </w:rPr>
        <w:t xml:space="preserve"> </w:t>
      </w:r>
      <w:r w:rsidRPr="00684099">
        <w:rPr>
          <w:sz w:val="22"/>
          <w:szCs w:val="22"/>
        </w:rPr>
        <w:t>J.;</w:t>
      </w:r>
      <w:r w:rsidRPr="00684099">
        <w:rPr>
          <w:spacing w:val="-8"/>
          <w:sz w:val="22"/>
          <w:szCs w:val="22"/>
        </w:rPr>
        <w:t xml:space="preserve"> </w:t>
      </w:r>
      <w:r w:rsidRPr="00684099">
        <w:rPr>
          <w:sz w:val="22"/>
          <w:szCs w:val="22"/>
        </w:rPr>
        <w:t>Voeth,</w:t>
      </w:r>
      <w:r w:rsidRPr="00684099">
        <w:rPr>
          <w:spacing w:val="-7"/>
          <w:sz w:val="22"/>
          <w:szCs w:val="22"/>
        </w:rPr>
        <w:t xml:space="preserve"> </w:t>
      </w:r>
      <w:r w:rsidRPr="00684099">
        <w:rPr>
          <w:sz w:val="22"/>
          <w:szCs w:val="22"/>
        </w:rPr>
        <w:t>M.</w:t>
      </w:r>
      <w:r w:rsidRPr="00684099">
        <w:rPr>
          <w:spacing w:val="-4"/>
          <w:sz w:val="22"/>
          <w:szCs w:val="22"/>
        </w:rPr>
        <w:t xml:space="preserve"> </w:t>
      </w:r>
      <w:r w:rsidRPr="00684099">
        <w:rPr>
          <w:sz w:val="22"/>
          <w:szCs w:val="22"/>
        </w:rPr>
        <w:t>(2002)</w:t>
      </w:r>
      <w:r w:rsidR="003D63C0" w:rsidRPr="00684099">
        <w:rPr>
          <w:sz w:val="22"/>
          <w:szCs w:val="22"/>
        </w:rPr>
        <w:t>:</w:t>
      </w:r>
      <w:r w:rsidRPr="00684099">
        <w:rPr>
          <w:spacing w:val="-8"/>
          <w:sz w:val="22"/>
          <w:szCs w:val="22"/>
        </w:rPr>
        <w:t xml:space="preserve"> </w:t>
      </w:r>
      <w:r w:rsidRPr="00684099">
        <w:rPr>
          <w:sz w:val="22"/>
          <w:szCs w:val="22"/>
        </w:rPr>
        <w:t>Internationales</w:t>
      </w:r>
      <w:r w:rsidRPr="00684099">
        <w:rPr>
          <w:spacing w:val="-8"/>
          <w:sz w:val="22"/>
          <w:szCs w:val="22"/>
        </w:rPr>
        <w:t xml:space="preserve"> </w:t>
      </w:r>
      <w:r w:rsidRPr="00684099">
        <w:rPr>
          <w:sz w:val="22"/>
          <w:szCs w:val="22"/>
        </w:rPr>
        <w:t>Marketing,</w:t>
      </w:r>
      <w:r w:rsidRPr="00684099">
        <w:rPr>
          <w:spacing w:val="-6"/>
          <w:sz w:val="22"/>
          <w:szCs w:val="22"/>
        </w:rPr>
        <w:t xml:space="preserve"> </w:t>
      </w:r>
      <w:r w:rsidRPr="00684099">
        <w:rPr>
          <w:sz w:val="22"/>
          <w:szCs w:val="22"/>
        </w:rPr>
        <w:t>4.</w:t>
      </w:r>
      <w:r w:rsidR="00107A50" w:rsidRPr="00684099">
        <w:rPr>
          <w:sz w:val="22"/>
          <w:szCs w:val="22"/>
        </w:rPr>
        <w:t xml:space="preserve"> </w:t>
      </w:r>
      <w:r w:rsidRPr="00684099">
        <w:rPr>
          <w:sz w:val="22"/>
          <w:szCs w:val="22"/>
        </w:rPr>
        <w:t>Aufl.,</w:t>
      </w:r>
      <w:r w:rsidRPr="00684099">
        <w:rPr>
          <w:spacing w:val="40"/>
          <w:sz w:val="22"/>
          <w:szCs w:val="22"/>
        </w:rPr>
        <w:t xml:space="preserve"> </w:t>
      </w:r>
      <w:r w:rsidRPr="00684099">
        <w:rPr>
          <w:sz w:val="22"/>
          <w:szCs w:val="22"/>
        </w:rPr>
        <w:t>Stuttgart: Schäffer-Poeschel.</w:t>
      </w:r>
      <w:r w:rsidRPr="00684099">
        <w:rPr>
          <w:spacing w:val="40"/>
          <w:sz w:val="22"/>
          <w:szCs w:val="22"/>
        </w:rPr>
        <w:t xml:space="preserve"> </w:t>
      </w:r>
      <w:r w:rsidR="00107A50" w:rsidRPr="00684099">
        <w:rPr>
          <w:sz w:val="22"/>
          <w:szCs w:val="22"/>
        </w:rPr>
        <w:t>Jahrmann, F.-U.</w:t>
      </w:r>
      <w:r w:rsidR="00107A50" w:rsidRPr="00684099">
        <w:rPr>
          <w:spacing w:val="40"/>
          <w:sz w:val="22"/>
          <w:szCs w:val="22"/>
        </w:rPr>
        <w:t xml:space="preserve"> </w:t>
      </w:r>
      <w:r w:rsidR="00107A50" w:rsidRPr="00684099">
        <w:rPr>
          <w:sz w:val="22"/>
          <w:szCs w:val="22"/>
        </w:rPr>
        <w:t>(2004): Außenhandel, Ludwigshafen: Kiehl.</w:t>
      </w:r>
      <w:r w:rsidR="00107A50" w:rsidRPr="00684099">
        <w:rPr>
          <w:spacing w:val="40"/>
          <w:sz w:val="22"/>
          <w:szCs w:val="22"/>
        </w:rPr>
        <w:t xml:space="preserve"> </w:t>
      </w:r>
      <w:r w:rsidRPr="00684099">
        <w:rPr>
          <w:sz w:val="22"/>
          <w:szCs w:val="22"/>
        </w:rPr>
        <w:t>Leach, B. (1999): Arbitrageure setzen den Hebel an,</w:t>
      </w:r>
      <w:r w:rsidRPr="00684099">
        <w:rPr>
          <w:spacing w:val="40"/>
          <w:sz w:val="22"/>
          <w:szCs w:val="22"/>
        </w:rPr>
        <w:t xml:space="preserve"> </w:t>
      </w:r>
      <w:r w:rsidRPr="00684099">
        <w:rPr>
          <w:sz w:val="22"/>
          <w:szCs w:val="22"/>
        </w:rPr>
        <w:t>Lebensmittelzeitung,</w:t>
      </w:r>
      <w:r w:rsidRPr="00684099">
        <w:rPr>
          <w:spacing w:val="-4"/>
          <w:sz w:val="22"/>
          <w:szCs w:val="22"/>
        </w:rPr>
        <w:t xml:space="preserve"> </w:t>
      </w:r>
      <w:r w:rsidRPr="00684099">
        <w:rPr>
          <w:sz w:val="22"/>
          <w:szCs w:val="22"/>
        </w:rPr>
        <w:t>51(38):</w:t>
      </w:r>
      <w:r w:rsidRPr="00684099">
        <w:rPr>
          <w:spacing w:val="-1"/>
          <w:sz w:val="22"/>
          <w:szCs w:val="22"/>
        </w:rPr>
        <w:t xml:space="preserve"> </w:t>
      </w:r>
      <w:r w:rsidRPr="00684099">
        <w:rPr>
          <w:sz w:val="22"/>
          <w:szCs w:val="22"/>
        </w:rPr>
        <w:t>56-58.</w:t>
      </w:r>
      <w:r w:rsidRPr="00684099">
        <w:rPr>
          <w:spacing w:val="40"/>
          <w:sz w:val="22"/>
          <w:szCs w:val="22"/>
        </w:rPr>
        <w:t xml:space="preserve"> </w:t>
      </w:r>
      <w:r w:rsidRPr="00684099">
        <w:rPr>
          <w:sz w:val="22"/>
          <w:szCs w:val="22"/>
        </w:rPr>
        <w:t>Lutz,</w:t>
      </w:r>
      <w:r w:rsidRPr="00684099">
        <w:rPr>
          <w:spacing w:val="-4"/>
          <w:sz w:val="22"/>
          <w:szCs w:val="22"/>
        </w:rPr>
        <w:t xml:space="preserve"> </w:t>
      </w:r>
      <w:r w:rsidRPr="00684099">
        <w:rPr>
          <w:sz w:val="22"/>
          <w:szCs w:val="22"/>
        </w:rPr>
        <w:t>U.;</w:t>
      </w:r>
      <w:r w:rsidRPr="00684099">
        <w:rPr>
          <w:spacing w:val="-3"/>
          <w:sz w:val="22"/>
          <w:szCs w:val="22"/>
        </w:rPr>
        <w:t xml:space="preserve"> </w:t>
      </w:r>
      <w:r w:rsidRPr="00684099">
        <w:rPr>
          <w:sz w:val="22"/>
          <w:szCs w:val="22"/>
        </w:rPr>
        <w:t>Berndt,</w:t>
      </w:r>
      <w:r w:rsidRPr="00684099">
        <w:rPr>
          <w:spacing w:val="-1"/>
          <w:sz w:val="22"/>
          <w:szCs w:val="22"/>
        </w:rPr>
        <w:t xml:space="preserve"> </w:t>
      </w:r>
      <w:r w:rsidRPr="00684099">
        <w:rPr>
          <w:sz w:val="22"/>
          <w:szCs w:val="22"/>
        </w:rPr>
        <w:t>T. (1995):</w:t>
      </w:r>
      <w:r w:rsidRPr="00684099">
        <w:rPr>
          <w:spacing w:val="-1"/>
          <w:sz w:val="22"/>
          <w:szCs w:val="22"/>
        </w:rPr>
        <w:t xml:space="preserve"> </w:t>
      </w:r>
      <w:r w:rsidRPr="00684099">
        <w:rPr>
          <w:sz w:val="22"/>
          <w:szCs w:val="22"/>
        </w:rPr>
        <w:t>Parallelimporte</w:t>
      </w:r>
      <w:r w:rsidRPr="00684099">
        <w:rPr>
          <w:spacing w:val="-4"/>
          <w:sz w:val="22"/>
          <w:szCs w:val="22"/>
        </w:rPr>
        <w:t xml:space="preserve"> </w:t>
      </w:r>
      <w:r w:rsidRPr="00684099">
        <w:rPr>
          <w:sz w:val="22"/>
          <w:szCs w:val="22"/>
        </w:rPr>
        <w:t>und</w:t>
      </w:r>
      <w:r w:rsidRPr="00684099">
        <w:rPr>
          <w:spacing w:val="-3"/>
          <w:sz w:val="22"/>
          <w:szCs w:val="22"/>
        </w:rPr>
        <w:t xml:space="preserve"> </w:t>
      </w:r>
      <w:r w:rsidRPr="00684099">
        <w:rPr>
          <w:sz w:val="22"/>
          <w:szCs w:val="22"/>
        </w:rPr>
        <w:t>graue</w:t>
      </w:r>
      <w:r w:rsidRPr="00684099">
        <w:rPr>
          <w:spacing w:val="40"/>
          <w:sz w:val="22"/>
          <w:szCs w:val="22"/>
        </w:rPr>
        <w:t xml:space="preserve"> </w:t>
      </w:r>
      <w:r w:rsidRPr="00684099">
        <w:rPr>
          <w:sz w:val="22"/>
          <w:szCs w:val="22"/>
        </w:rPr>
        <w:t>Märkte, Marktforschung &amp; Management, 39(3): 107-111.</w:t>
      </w:r>
      <w:r w:rsidRPr="00684099">
        <w:rPr>
          <w:spacing w:val="40"/>
          <w:sz w:val="22"/>
          <w:szCs w:val="22"/>
        </w:rPr>
        <w:t xml:space="preserve"> </w:t>
      </w:r>
      <w:r w:rsidRPr="00684099">
        <w:rPr>
          <w:sz w:val="22"/>
          <w:szCs w:val="22"/>
        </w:rPr>
        <w:t>Sander, M. (1997):</w:t>
      </w:r>
      <w:r w:rsidRPr="00684099">
        <w:rPr>
          <w:spacing w:val="40"/>
          <w:sz w:val="22"/>
          <w:szCs w:val="22"/>
        </w:rPr>
        <w:t xml:space="preserve"> </w:t>
      </w:r>
      <w:r w:rsidRPr="00684099">
        <w:rPr>
          <w:sz w:val="22"/>
          <w:szCs w:val="22"/>
        </w:rPr>
        <w:t>Internationales Preismanagement, Heidelberg: Physica.</w:t>
      </w:r>
      <w:r w:rsidRPr="00684099">
        <w:rPr>
          <w:spacing w:val="40"/>
          <w:sz w:val="22"/>
          <w:szCs w:val="22"/>
        </w:rPr>
        <w:t xml:space="preserve"> </w:t>
      </w:r>
      <w:r w:rsidRPr="00684099">
        <w:rPr>
          <w:sz w:val="22"/>
          <w:szCs w:val="22"/>
        </w:rPr>
        <w:t>Simon, H.; Wiese, C. (1995):</w:t>
      </w:r>
      <w:r w:rsidRPr="00684099">
        <w:rPr>
          <w:spacing w:val="40"/>
          <w:sz w:val="22"/>
          <w:szCs w:val="22"/>
        </w:rPr>
        <w:t xml:space="preserve"> </w:t>
      </w:r>
      <w:r w:rsidRPr="00684099">
        <w:rPr>
          <w:sz w:val="22"/>
          <w:szCs w:val="22"/>
        </w:rPr>
        <w:t>Internationale Preispolitik, in: Hermanns, A.; Wißmeier, U.K. (Hrsg.), Internationales</w:t>
      </w:r>
      <w:r w:rsidRPr="00684099">
        <w:rPr>
          <w:spacing w:val="40"/>
          <w:sz w:val="22"/>
          <w:szCs w:val="22"/>
        </w:rPr>
        <w:t xml:space="preserve"> </w:t>
      </w:r>
      <w:r w:rsidRPr="00684099">
        <w:rPr>
          <w:sz w:val="22"/>
          <w:szCs w:val="22"/>
        </w:rPr>
        <w:t>Marketing-Management, 245-269, München: Vahlen.</w:t>
      </w:r>
      <w:r w:rsidRPr="00684099">
        <w:rPr>
          <w:spacing w:val="40"/>
          <w:sz w:val="22"/>
          <w:szCs w:val="22"/>
        </w:rPr>
        <w:t xml:space="preserve"> </w:t>
      </w:r>
      <w:r w:rsidRPr="00684099">
        <w:rPr>
          <w:sz w:val="22"/>
          <w:szCs w:val="22"/>
        </w:rPr>
        <w:t>Simon, H.; Kalka, R.; Lauszus, D.</w:t>
      </w:r>
      <w:r w:rsidRPr="00684099">
        <w:rPr>
          <w:spacing w:val="40"/>
          <w:sz w:val="22"/>
          <w:szCs w:val="22"/>
        </w:rPr>
        <w:t xml:space="preserve"> </w:t>
      </w:r>
      <w:r w:rsidRPr="00684099">
        <w:rPr>
          <w:sz w:val="22"/>
          <w:szCs w:val="22"/>
        </w:rPr>
        <w:t>(1999): Der Euro. Neuausrichtung der Preispolitik im Spannungsfeld „Hersteller-Handel“,</w:t>
      </w:r>
      <w:r w:rsidRPr="00684099">
        <w:rPr>
          <w:spacing w:val="40"/>
          <w:sz w:val="22"/>
          <w:szCs w:val="22"/>
        </w:rPr>
        <w:t xml:space="preserve"> </w:t>
      </w:r>
      <w:r w:rsidRPr="00684099">
        <w:rPr>
          <w:sz w:val="22"/>
          <w:szCs w:val="22"/>
        </w:rPr>
        <w:t>in:</w:t>
      </w:r>
      <w:r w:rsidRPr="00684099">
        <w:rPr>
          <w:spacing w:val="-8"/>
          <w:sz w:val="22"/>
          <w:szCs w:val="22"/>
        </w:rPr>
        <w:t xml:space="preserve"> </w:t>
      </w:r>
      <w:r w:rsidRPr="00684099">
        <w:rPr>
          <w:sz w:val="22"/>
          <w:szCs w:val="22"/>
        </w:rPr>
        <w:t>Beisheim,</w:t>
      </w:r>
      <w:r w:rsidRPr="00684099">
        <w:rPr>
          <w:spacing w:val="-7"/>
          <w:sz w:val="22"/>
          <w:szCs w:val="22"/>
        </w:rPr>
        <w:t xml:space="preserve"> </w:t>
      </w:r>
      <w:r w:rsidRPr="00684099">
        <w:rPr>
          <w:sz w:val="22"/>
          <w:szCs w:val="22"/>
        </w:rPr>
        <w:t>O.</w:t>
      </w:r>
      <w:r w:rsidRPr="00684099">
        <w:rPr>
          <w:spacing w:val="-7"/>
          <w:sz w:val="22"/>
          <w:szCs w:val="22"/>
        </w:rPr>
        <w:t xml:space="preserve"> </w:t>
      </w:r>
      <w:r w:rsidRPr="00684099">
        <w:rPr>
          <w:sz w:val="22"/>
          <w:szCs w:val="22"/>
        </w:rPr>
        <w:t>(Hrsg.),</w:t>
      </w:r>
      <w:r w:rsidRPr="00684099">
        <w:rPr>
          <w:spacing w:val="-7"/>
          <w:sz w:val="22"/>
          <w:szCs w:val="22"/>
        </w:rPr>
        <w:t xml:space="preserve"> </w:t>
      </w:r>
      <w:r w:rsidRPr="00684099">
        <w:rPr>
          <w:sz w:val="22"/>
          <w:szCs w:val="22"/>
        </w:rPr>
        <w:t>Distribution</w:t>
      </w:r>
      <w:r w:rsidRPr="00684099">
        <w:rPr>
          <w:spacing w:val="-7"/>
          <w:sz w:val="22"/>
          <w:szCs w:val="22"/>
        </w:rPr>
        <w:t xml:space="preserve"> </w:t>
      </w:r>
      <w:r w:rsidRPr="00684099">
        <w:rPr>
          <w:sz w:val="22"/>
          <w:szCs w:val="22"/>
        </w:rPr>
        <w:t>im</w:t>
      </w:r>
      <w:r w:rsidRPr="00684099">
        <w:rPr>
          <w:spacing w:val="-5"/>
          <w:sz w:val="22"/>
          <w:szCs w:val="22"/>
        </w:rPr>
        <w:t xml:space="preserve"> </w:t>
      </w:r>
      <w:r w:rsidRPr="00684099">
        <w:rPr>
          <w:sz w:val="22"/>
          <w:szCs w:val="22"/>
        </w:rPr>
        <w:t>Aufbruch,</w:t>
      </w:r>
      <w:r w:rsidRPr="00684099">
        <w:rPr>
          <w:spacing w:val="-9"/>
          <w:sz w:val="22"/>
          <w:szCs w:val="22"/>
        </w:rPr>
        <w:t xml:space="preserve"> </w:t>
      </w:r>
      <w:r w:rsidRPr="00684099">
        <w:rPr>
          <w:sz w:val="22"/>
          <w:szCs w:val="22"/>
        </w:rPr>
        <w:t>927-939,</w:t>
      </w:r>
      <w:r w:rsidRPr="00684099">
        <w:rPr>
          <w:spacing w:val="-8"/>
          <w:sz w:val="22"/>
          <w:szCs w:val="22"/>
        </w:rPr>
        <w:t xml:space="preserve"> </w:t>
      </w:r>
      <w:r w:rsidRPr="00684099">
        <w:rPr>
          <w:sz w:val="22"/>
          <w:szCs w:val="22"/>
        </w:rPr>
        <w:t>München:</w:t>
      </w:r>
      <w:r w:rsidRPr="00684099">
        <w:rPr>
          <w:spacing w:val="-5"/>
          <w:sz w:val="22"/>
          <w:szCs w:val="22"/>
        </w:rPr>
        <w:t xml:space="preserve"> </w:t>
      </w:r>
      <w:r w:rsidRPr="00684099">
        <w:rPr>
          <w:sz w:val="22"/>
          <w:szCs w:val="22"/>
        </w:rPr>
        <w:t>Vahlen.</w:t>
      </w:r>
      <w:r w:rsidRPr="00684099">
        <w:rPr>
          <w:spacing w:val="65"/>
          <w:sz w:val="22"/>
          <w:szCs w:val="22"/>
        </w:rPr>
        <w:t xml:space="preserve"> </w:t>
      </w:r>
      <w:r w:rsidRPr="00684099">
        <w:rPr>
          <w:spacing w:val="-2"/>
          <w:sz w:val="22"/>
          <w:szCs w:val="22"/>
        </w:rPr>
        <w:t>Wernicke,</w:t>
      </w:r>
      <w:r w:rsidRPr="00684099">
        <w:rPr>
          <w:sz w:val="22"/>
          <w:szCs w:val="22"/>
        </w:rPr>
        <w:t xml:space="preserve"> C.</w:t>
      </w:r>
      <w:r w:rsidRPr="00684099">
        <w:rPr>
          <w:spacing w:val="-10"/>
          <w:sz w:val="22"/>
          <w:szCs w:val="22"/>
        </w:rPr>
        <w:t xml:space="preserve"> </w:t>
      </w:r>
      <w:r w:rsidRPr="00684099">
        <w:rPr>
          <w:sz w:val="22"/>
          <w:szCs w:val="22"/>
        </w:rPr>
        <w:t>(2001):</w:t>
      </w:r>
      <w:r w:rsidRPr="00684099">
        <w:rPr>
          <w:spacing w:val="-10"/>
          <w:sz w:val="22"/>
          <w:szCs w:val="22"/>
        </w:rPr>
        <w:t xml:space="preserve"> </w:t>
      </w:r>
      <w:r w:rsidRPr="00684099">
        <w:rPr>
          <w:sz w:val="22"/>
          <w:szCs w:val="22"/>
        </w:rPr>
        <w:t>Zur</w:t>
      </w:r>
      <w:r w:rsidRPr="00684099">
        <w:rPr>
          <w:spacing w:val="-10"/>
          <w:sz w:val="22"/>
          <w:szCs w:val="22"/>
        </w:rPr>
        <w:t xml:space="preserve"> </w:t>
      </w:r>
      <w:r w:rsidRPr="00684099">
        <w:rPr>
          <w:sz w:val="22"/>
          <w:szCs w:val="22"/>
        </w:rPr>
        <w:t>Kasse,</w:t>
      </w:r>
      <w:r w:rsidRPr="00684099">
        <w:rPr>
          <w:spacing w:val="-10"/>
          <w:sz w:val="22"/>
          <w:szCs w:val="22"/>
        </w:rPr>
        <w:t xml:space="preserve"> </w:t>
      </w:r>
      <w:r w:rsidRPr="00684099">
        <w:rPr>
          <w:sz w:val="22"/>
          <w:szCs w:val="22"/>
        </w:rPr>
        <w:t>bitte!</w:t>
      </w:r>
      <w:r w:rsidRPr="00684099">
        <w:rPr>
          <w:spacing w:val="-9"/>
          <w:sz w:val="22"/>
          <w:szCs w:val="22"/>
        </w:rPr>
        <w:t xml:space="preserve"> </w:t>
      </w:r>
      <w:r w:rsidRPr="00684099">
        <w:rPr>
          <w:sz w:val="22"/>
          <w:szCs w:val="22"/>
        </w:rPr>
        <w:t>In</w:t>
      </w:r>
      <w:r w:rsidRPr="00684099">
        <w:rPr>
          <w:spacing w:val="-8"/>
          <w:sz w:val="22"/>
          <w:szCs w:val="22"/>
        </w:rPr>
        <w:t xml:space="preserve"> </w:t>
      </w:r>
      <w:r w:rsidRPr="00684099">
        <w:rPr>
          <w:sz w:val="22"/>
          <w:szCs w:val="22"/>
        </w:rPr>
        <w:t>Europa</w:t>
      </w:r>
      <w:r w:rsidRPr="00684099">
        <w:rPr>
          <w:spacing w:val="-9"/>
          <w:sz w:val="22"/>
          <w:szCs w:val="22"/>
        </w:rPr>
        <w:t xml:space="preserve"> </w:t>
      </w:r>
      <w:r w:rsidRPr="00684099">
        <w:rPr>
          <w:sz w:val="22"/>
          <w:szCs w:val="22"/>
        </w:rPr>
        <w:t>sind</w:t>
      </w:r>
      <w:r w:rsidRPr="00684099">
        <w:rPr>
          <w:spacing w:val="-8"/>
          <w:sz w:val="22"/>
          <w:szCs w:val="22"/>
        </w:rPr>
        <w:t xml:space="preserve"> </w:t>
      </w:r>
      <w:r w:rsidRPr="00684099">
        <w:rPr>
          <w:sz w:val="22"/>
          <w:szCs w:val="22"/>
        </w:rPr>
        <w:t>die</w:t>
      </w:r>
      <w:r w:rsidRPr="00684099">
        <w:rPr>
          <w:spacing w:val="-8"/>
          <w:sz w:val="22"/>
          <w:szCs w:val="22"/>
        </w:rPr>
        <w:t xml:space="preserve"> </w:t>
      </w:r>
      <w:r w:rsidRPr="00684099">
        <w:rPr>
          <w:sz w:val="22"/>
          <w:szCs w:val="22"/>
        </w:rPr>
        <w:t>Preisunterschiede</w:t>
      </w:r>
      <w:r w:rsidRPr="00684099">
        <w:rPr>
          <w:spacing w:val="-8"/>
          <w:sz w:val="22"/>
          <w:szCs w:val="22"/>
        </w:rPr>
        <w:t xml:space="preserve"> </w:t>
      </w:r>
      <w:r w:rsidRPr="00684099">
        <w:rPr>
          <w:sz w:val="22"/>
          <w:szCs w:val="22"/>
        </w:rPr>
        <w:t>riesig,</w:t>
      </w:r>
      <w:r w:rsidRPr="00684099">
        <w:rPr>
          <w:spacing w:val="-4"/>
          <w:sz w:val="22"/>
          <w:szCs w:val="22"/>
        </w:rPr>
        <w:t xml:space="preserve"> </w:t>
      </w:r>
      <w:r w:rsidRPr="00684099">
        <w:rPr>
          <w:sz w:val="22"/>
          <w:szCs w:val="22"/>
        </w:rPr>
        <w:t>Die</w:t>
      </w:r>
      <w:r w:rsidRPr="00684099">
        <w:rPr>
          <w:spacing w:val="-10"/>
          <w:sz w:val="22"/>
          <w:szCs w:val="22"/>
        </w:rPr>
        <w:t xml:space="preserve"> </w:t>
      </w:r>
      <w:r w:rsidRPr="00684099">
        <w:rPr>
          <w:sz w:val="22"/>
          <w:szCs w:val="22"/>
        </w:rPr>
        <w:t>Zeit,</w:t>
      </w:r>
      <w:r w:rsidRPr="00684099">
        <w:rPr>
          <w:spacing w:val="-9"/>
          <w:sz w:val="22"/>
          <w:szCs w:val="22"/>
        </w:rPr>
        <w:t xml:space="preserve"> </w:t>
      </w:r>
      <w:r w:rsidRPr="00684099">
        <w:rPr>
          <w:sz w:val="22"/>
          <w:szCs w:val="22"/>
        </w:rPr>
        <w:t>54(19):</w:t>
      </w:r>
      <w:r w:rsidRPr="00684099">
        <w:rPr>
          <w:spacing w:val="-8"/>
          <w:sz w:val="22"/>
          <w:szCs w:val="22"/>
        </w:rPr>
        <w:t xml:space="preserve"> </w:t>
      </w:r>
      <w:r w:rsidRPr="00684099">
        <w:rPr>
          <w:spacing w:val="-5"/>
          <w:sz w:val="22"/>
          <w:szCs w:val="22"/>
        </w:rPr>
        <w:t>25.</w:t>
      </w:r>
    </w:p>
    <w:p w14:paraId="4709ABF9" w14:textId="77777777" w:rsidR="00FF7799" w:rsidRPr="00E73F6F" w:rsidRDefault="00FF7799" w:rsidP="008B184E">
      <w:pPr>
        <w:pStyle w:val="StandardText"/>
      </w:pPr>
    </w:p>
    <w:p w14:paraId="59175C67" w14:textId="77777777" w:rsidR="00FF7799" w:rsidRPr="00E73F6F" w:rsidRDefault="00FF7799" w:rsidP="00902C45">
      <w:pPr>
        <w:pStyle w:val="berschrift1"/>
      </w:pPr>
      <w:r w:rsidRPr="00CF3D78">
        <w:rPr>
          <w:color w:val="2F5496" w:themeColor="accent5" w:themeShade="BF"/>
        </w:rPr>
        <w:t>Area Studies</w:t>
      </w:r>
      <w:r w:rsidRPr="00E73F6F">
        <w:t xml:space="preserve"> </w:t>
      </w:r>
      <w:r w:rsidRPr="00E73F6F">
        <w:rPr>
          <w:szCs w:val="24"/>
        </w:rPr>
        <w:t>→</w:t>
      </w:r>
      <w:r w:rsidRPr="00E73F6F">
        <w:rPr>
          <w:b w:val="0"/>
        </w:rPr>
        <w:t xml:space="preserve"> Regionalwissenschaften</w:t>
      </w:r>
    </w:p>
    <w:p w14:paraId="7040B94D" w14:textId="77777777" w:rsidR="00FF7799" w:rsidRPr="00CF3D78" w:rsidRDefault="00FF7799" w:rsidP="00902C45">
      <w:pPr>
        <w:pStyle w:val="berschrift1"/>
        <w:rPr>
          <w:color w:val="2F5496" w:themeColor="accent5" w:themeShade="BF"/>
        </w:rPr>
      </w:pPr>
      <w:r w:rsidRPr="00CF3D78">
        <w:rPr>
          <w:color w:val="2F5496" w:themeColor="accent5" w:themeShade="BF"/>
        </w:rPr>
        <w:lastRenderedPageBreak/>
        <w:t>Assimilation</w:t>
      </w:r>
    </w:p>
    <w:p w14:paraId="7E11AFA9" w14:textId="77777777" w:rsidR="00FF7799" w:rsidRPr="00E73F6F" w:rsidRDefault="00FF7799" w:rsidP="008B184E">
      <w:pPr>
        <w:pStyle w:val="StandardText"/>
      </w:pPr>
      <w:r w:rsidRPr="00E73F6F">
        <w:t>Anpassung an bzw. Verschmelzung mit der sozialen Umwelt</w:t>
      </w:r>
    </w:p>
    <w:p w14:paraId="078CEDCB" w14:textId="77777777" w:rsidR="00FF7799" w:rsidRPr="00E73F6F" w:rsidRDefault="00FF7799" w:rsidP="00862DBA">
      <w:pPr>
        <w:spacing w:before="58"/>
        <w:jc w:val="both"/>
        <w:rPr>
          <w:sz w:val="24"/>
          <w:szCs w:val="24"/>
        </w:rPr>
      </w:pPr>
    </w:p>
    <w:p w14:paraId="448B40EA" w14:textId="77777777" w:rsidR="00FF7799" w:rsidRPr="00CF3D78" w:rsidRDefault="00FF7799" w:rsidP="00902C45">
      <w:pPr>
        <w:pStyle w:val="berschrift1"/>
        <w:rPr>
          <w:color w:val="2F5496" w:themeColor="accent5" w:themeShade="BF"/>
        </w:rPr>
      </w:pPr>
      <w:r w:rsidRPr="00CF3D78">
        <w:rPr>
          <w:color w:val="2F5496" w:themeColor="accent5" w:themeShade="BF"/>
        </w:rPr>
        <w:t>Attitude to Saving Scale</w:t>
      </w:r>
    </w:p>
    <w:p w14:paraId="2D462561" w14:textId="77777777" w:rsidR="00FF7799" w:rsidRPr="00E73F6F" w:rsidRDefault="00E47B03" w:rsidP="008B184E">
      <w:pPr>
        <w:pStyle w:val="StandardText"/>
      </w:pPr>
      <w:r>
        <w:t xml:space="preserve">ermittelt die individuelle Sparbereitschaft. Die </w:t>
      </w:r>
      <w:r w:rsidRPr="00E73F6F">
        <w:t>Attitude</w:t>
      </w:r>
      <w:r w:rsidRPr="00E47B03">
        <w:t xml:space="preserve"> </w:t>
      </w:r>
      <w:r w:rsidRPr="00E73F6F">
        <w:t>to</w:t>
      </w:r>
      <w:r w:rsidRPr="00E47B03">
        <w:t xml:space="preserve"> </w:t>
      </w:r>
      <w:r w:rsidRPr="00E73F6F">
        <w:t>Saving</w:t>
      </w:r>
      <w:r w:rsidRPr="00E47B03">
        <w:t xml:space="preserve"> Scale</w:t>
      </w:r>
      <w:r>
        <w:t xml:space="preserve"> </w:t>
      </w:r>
      <w:r w:rsidR="00FF7799" w:rsidRPr="00E73F6F">
        <w:t>besteht aus sieben Aussagen (z.B. „Ich lege regelmäßig Geld für die Zukunft beiseite“), zu denen die Befragten Stellung nehmen können (0 = „stimme überhaupt nicht zu“ bis 6 = „stimme stark zu“).</w:t>
      </w:r>
    </w:p>
    <w:p w14:paraId="7714C1F1" w14:textId="77777777" w:rsidR="00FF7799" w:rsidRPr="00684099" w:rsidRDefault="00FF7799" w:rsidP="008B184E">
      <w:pPr>
        <w:pStyle w:val="StandardText"/>
        <w:rPr>
          <w:sz w:val="22"/>
          <w:szCs w:val="22"/>
          <w:lang w:val="en-US"/>
        </w:rPr>
      </w:pPr>
      <w:r w:rsidRPr="00684099">
        <w:rPr>
          <w:b/>
          <w:i/>
          <w:sz w:val="22"/>
          <w:szCs w:val="22"/>
          <w:lang w:val="en-US"/>
        </w:rPr>
        <w:t>Literatur:</w:t>
      </w:r>
      <w:r w:rsidRPr="00684099">
        <w:rPr>
          <w:b/>
          <w:sz w:val="22"/>
          <w:szCs w:val="22"/>
          <w:lang w:val="en-US"/>
        </w:rPr>
        <w:t xml:space="preserve"> </w:t>
      </w:r>
      <w:r w:rsidRPr="00684099">
        <w:rPr>
          <w:sz w:val="22"/>
          <w:szCs w:val="22"/>
          <w:lang w:val="en-US"/>
        </w:rPr>
        <w:t>Yamauchi, K.T.; Templer, D.J. (1982): The Development of a Money Attitude</w:t>
      </w:r>
      <w:r w:rsidRPr="00684099">
        <w:rPr>
          <w:spacing w:val="40"/>
          <w:sz w:val="22"/>
          <w:szCs w:val="22"/>
          <w:lang w:val="en-US"/>
        </w:rPr>
        <w:t xml:space="preserve"> </w:t>
      </w:r>
      <w:r w:rsidRPr="00684099">
        <w:rPr>
          <w:sz w:val="22"/>
          <w:szCs w:val="22"/>
          <w:lang w:val="en-US"/>
        </w:rPr>
        <w:t>Scale, Journal of Personality Assessment, 46(5): 522-528.</w:t>
      </w:r>
    </w:p>
    <w:p w14:paraId="7261343B" w14:textId="77777777" w:rsidR="00FF7799" w:rsidRPr="00E73F6F" w:rsidRDefault="00FF7799" w:rsidP="00902C45">
      <w:pPr>
        <w:pStyle w:val="berschrift1"/>
      </w:pPr>
      <w:r w:rsidRPr="00CF3D78">
        <w:rPr>
          <w:color w:val="2F5496" w:themeColor="accent5" w:themeShade="BF"/>
        </w:rPr>
        <w:t xml:space="preserve">Attributdominanz </w:t>
      </w:r>
      <w:r w:rsidRPr="00E73F6F">
        <w:rPr>
          <w:b w:val="0"/>
        </w:rPr>
        <w:t>→ Country</w:t>
      </w:r>
      <w:r w:rsidRPr="00E73F6F">
        <w:rPr>
          <w:b w:val="0"/>
          <w:spacing w:val="-3"/>
        </w:rPr>
        <w:t xml:space="preserve"> </w:t>
      </w:r>
      <w:r w:rsidRPr="00E73F6F">
        <w:rPr>
          <w:b w:val="0"/>
        </w:rPr>
        <w:t>of</w:t>
      </w:r>
      <w:r w:rsidRPr="00E73F6F">
        <w:rPr>
          <w:b w:val="0"/>
          <w:spacing w:val="-5"/>
        </w:rPr>
        <w:t xml:space="preserve"> </w:t>
      </w:r>
      <w:r w:rsidRPr="00E73F6F">
        <w:rPr>
          <w:b w:val="0"/>
        </w:rPr>
        <w:t>Origin</w:t>
      </w:r>
    </w:p>
    <w:p w14:paraId="161DBB0A" w14:textId="77777777" w:rsidR="00FF7799" w:rsidRPr="00E73F6F" w:rsidRDefault="00FF7799" w:rsidP="00902C45">
      <w:pPr>
        <w:pStyle w:val="berschrift1"/>
      </w:pPr>
      <w:r w:rsidRPr="00CF3D78">
        <w:rPr>
          <w:color w:val="2F5496" w:themeColor="accent5" w:themeShade="BF"/>
        </w:rPr>
        <w:t>Attributionsfehler, fundamentaler</w:t>
      </w:r>
      <w:r w:rsidRPr="00E73F6F">
        <w:t xml:space="preserve"> </w:t>
      </w:r>
      <w:r w:rsidRPr="00E73F6F">
        <w:rPr>
          <w:b w:val="0"/>
        </w:rPr>
        <w:sym w:font="Symbol" w:char="F0AE"/>
      </w:r>
      <w:r w:rsidRPr="00E73F6F">
        <w:rPr>
          <w:b w:val="0"/>
        </w:rPr>
        <w:t xml:space="preserve"> Auswirkungen der Landeskultur</w:t>
      </w:r>
      <w:r w:rsidRPr="00E73F6F">
        <w:t xml:space="preserve"> </w:t>
      </w:r>
    </w:p>
    <w:p w14:paraId="0D9D2F00" w14:textId="77777777" w:rsidR="00FF7799" w:rsidRPr="00CF3D78" w:rsidRDefault="00FF7799" w:rsidP="00902C45">
      <w:pPr>
        <w:pStyle w:val="berschrift1"/>
        <w:rPr>
          <w:color w:val="2F5496" w:themeColor="accent5" w:themeShade="BF"/>
        </w:rPr>
      </w:pPr>
      <w:r w:rsidRPr="00CF3D78">
        <w:rPr>
          <w:color w:val="2F5496" w:themeColor="accent5" w:themeShade="BF"/>
        </w:rPr>
        <w:t>Attributionstheorien</w:t>
      </w:r>
    </w:p>
    <w:p w14:paraId="6220C799" w14:textId="77777777" w:rsidR="00FF7799" w:rsidRPr="00E73F6F" w:rsidRDefault="00FF7799" w:rsidP="008B184E">
      <w:pPr>
        <w:pStyle w:val="StandardText"/>
      </w:pPr>
      <w:r w:rsidRPr="00E73F6F">
        <w:t>erklären die Art und Weise, wie Laien in Alltagssituationen Ursachenanalyse betreiben.</w:t>
      </w:r>
      <w:r w:rsidRPr="00E73F6F">
        <w:rPr>
          <w:spacing w:val="-9"/>
        </w:rPr>
        <w:t xml:space="preserve"> </w:t>
      </w:r>
      <w:r w:rsidRPr="00E73F6F">
        <w:t>Wenn</w:t>
      </w:r>
      <w:r w:rsidRPr="00E73F6F">
        <w:rPr>
          <w:spacing w:val="-9"/>
        </w:rPr>
        <w:t xml:space="preserve"> </w:t>
      </w:r>
      <w:r w:rsidRPr="00E73F6F">
        <w:t>bspw.</w:t>
      </w:r>
      <w:r w:rsidRPr="00E73F6F">
        <w:rPr>
          <w:spacing w:val="-9"/>
        </w:rPr>
        <w:t xml:space="preserve"> </w:t>
      </w:r>
      <w:r w:rsidRPr="00E73F6F">
        <w:t>das</w:t>
      </w:r>
      <w:r w:rsidRPr="00E73F6F">
        <w:rPr>
          <w:spacing w:val="-8"/>
        </w:rPr>
        <w:t xml:space="preserve"> </w:t>
      </w:r>
      <w:r w:rsidRPr="00E73F6F">
        <w:t>Verhalten</w:t>
      </w:r>
      <w:r w:rsidRPr="00E73F6F">
        <w:rPr>
          <w:spacing w:val="-7"/>
        </w:rPr>
        <w:t xml:space="preserve"> </w:t>
      </w:r>
      <w:r w:rsidRPr="00E73F6F">
        <w:t>einer</w:t>
      </w:r>
      <w:r w:rsidRPr="00E73F6F">
        <w:rPr>
          <w:spacing w:val="-10"/>
        </w:rPr>
        <w:t xml:space="preserve"> </w:t>
      </w:r>
      <w:r w:rsidRPr="00E73F6F">
        <w:t>anderen</w:t>
      </w:r>
      <w:r w:rsidRPr="00E73F6F">
        <w:rPr>
          <w:spacing w:val="-9"/>
        </w:rPr>
        <w:t xml:space="preserve"> </w:t>
      </w:r>
      <w:r w:rsidRPr="00E73F6F">
        <w:t>Person</w:t>
      </w:r>
      <w:r w:rsidRPr="00E73F6F">
        <w:rPr>
          <w:spacing w:val="-9"/>
        </w:rPr>
        <w:t xml:space="preserve"> </w:t>
      </w:r>
      <w:r w:rsidRPr="00E73F6F">
        <w:t>nicht</w:t>
      </w:r>
      <w:r w:rsidRPr="00E73F6F">
        <w:rPr>
          <w:spacing w:val="-10"/>
        </w:rPr>
        <w:t xml:space="preserve"> </w:t>
      </w:r>
      <w:r w:rsidRPr="00E73F6F">
        <w:t>den</w:t>
      </w:r>
      <w:r w:rsidRPr="00E73F6F">
        <w:rPr>
          <w:spacing w:val="-7"/>
        </w:rPr>
        <w:t xml:space="preserve"> </w:t>
      </w:r>
      <w:r w:rsidRPr="00E73F6F">
        <w:t>eigenen</w:t>
      </w:r>
      <w:r w:rsidRPr="00E73F6F">
        <w:rPr>
          <w:spacing w:val="-9"/>
        </w:rPr>
        <w:t xml:space="preserve"> </w:t>
      </w:r>
      <w:r w:rsidRPr="00E73F6F">
        <w:t xml:space="preserve">bzw. allgemeinen Erwartungen entspricht, unterstellen Menschen gemäß der Theorie der korrespondierenden Schlussfolgerungen eine entsprechende „Disposition“ (= </w:t>
      </w:r>
      <w:r w:rsidR="008941AC" w:rsidRPr="00E73F6F">
        <w:t>zugrunde</w:t>
      </w:r>
      <w:r w:rsidR="008941AC" w:rsidRPr="00E73F6F">
        <w:rPr>
          <w:spacing w:val="-9"/>
        </w:rPr>
        <w:t>liegende</w:t>
      </w:r>
      <w:r w:rsidRPr="00E73F6F">
        <w:rPr>
          <w:spacing w:val="-9"/>
        </w:rPr>
        <w:t xml:space="preserve"> </w:t>
      </w:r>
      <w:r w:rsidRPr="00E73F6F">
        <w:t>stabile</w:t>
      </w:r>
      <w:r w:rsidRPr="00E73F6F">
        <w:rPr>
          <w:spacing w:val="-9"/>
        </w:rPr>
        <w:t xml:space="preserve"> </w:t>
      </w:r>
      <w:r w:rsidRPr="00E73F6F">
        <w:t>Persönlichkeitseigenschaft</w:t>
      </w:r>
      <w:r w:rsidRPr="00E73F6F">
        <w:rPr>
          <w:spacing w:val="-11"/>
        </w:rPr>
        <w:t xml:space="preserve"> </w:t>
      </w:r>
      <w:r w:rsidRPr="00E73F6F">
        <w:t>der</w:t>
      </w:r>
      <w:r w:rsidRPr="00E73F6F">
        <w:rPr>
          <w:spacing w:val="-9"/>
        </w:rPr>
        <w:t xml:space="preserve"> </w:t>
      </w:r>
      <w:r w:rsidRPr="00E73F6F">
        <w:t>handelnden</w:t>
      </w:r>
      <w:r w:rsidRPr="00E73F6F">
        <w:rPr>
          <w:spacing w:val="-8"/>
        </w:rPr>
        <w:t xml:space="preserve"> </w:t>
      </w:r>
      <w:r w:rsidRPr="00E73F6F">
        <w:t>Person).</w:t>
      </w:r>
      <w:r w:rsidRPr="00E73F6F">
        <w:rPr>
          <w:spacing w:val="-8"/>
        </w:rPr>
        <w:t xml:space="preserve"> </w:t>
      </w:r>
      <w:r w:rsidRPr="00E73F6F">
        <w:t>Aus dem</w:t>
      </w:r>
      <w:r w:rsidRPr="00E73F6F">
        <w:rPr>
          <w:spacing w:val="-2"/>
        </w:rPr>
        <w:t xml:space="preserve"> </w:t>
      </w:r>
      <w:r w:rsidRPr="00E73F6F">
        <w:t>nationalen</w:t>
      </w:r>
      <w:r w:rsidRPr="00E73F6F">
        <w:rPr>
          <w:spacing w:val="-2"/>
        </w:rPr>
        <w:t xml:space="preserve"> </w:t>
      </w:r>
      <w:r w:rsidRPr="00E73F6F">
        <w:t>bzw. kulturellen</w:t>
      </w:r>
      <w:r w:rsidRPr="00E73F6F">
        <w:rPr>
          <w:spacing w:val="-2"/>
        </w:rPr>
        <w:t xml:space="preserve"> </w:t>
      </w:r>
      <w:r w:rsidRPr="00E73F6F">
        <w:t>Hintergrund</w:t>
      </w:r>
      <w:r w:rsidRPr="00E73F6F">
        <w:rPr>
          <w:spacing w:val="-2"/>
        </w:rPr>
        <w:t xml:space="preserve"> </w:t>
      </w:r>
      <w:r w:rsidRPr="00E73F6F">
        <w:t>von</w:t>
      </w:r>
      <w:r w:rsidRPr="00E73F6F">
        <w:rPr>
          <w:spacing w:val="-2"/>
        </w:rPr>
        <w:t xml:space="preserve"> </w:t>
      </w:r>
      <w:r w:rsidRPr="00E73F6F">
        <w:t>Akteuren lassen</w:t>
      </w:r>
      <w:r w:rsidRPr="00E73F6F">
        <w:rPr>
          <w:spacing w:val="-2"/>
        </w:rPr>
        <w:t xml:space="preserve"> </w:t>
      </w:r>
      <w:r w:rsidRPr="00E73F6F">
        <w:t>sich zahlreiche derartige</w:t>
      </w:r>
      <w:r w:rsidRPr="00E73F6F">
        <w:rPr>
          <w:spacing w:val="-11"/>
        </w:rPr>
        <w:t xml:space="preserve"> </w:t>
      </w:r>
      <w:r w:rsidRPr="00E73F6F">
        <w:t>Erwartungen</w:t>
      </w:r>
      <w:r w:rsidRPr="00E73F6F">
        <w:rPr>
          <w:spacing w:val="-9"/>
        </w:rPr>
        <w:t xml:space="preserve"> </w:t>
      </w:r>
      <w:r w:rsidRPr="00E73F6F">
        <w:t>ableiten</w:t>
      </w:r>
      <w:r w:rsidRPr="00E73F6F">
        <w:rPr>
          <w:spacing w:val="-9"/>
        </w:rPr>
        <w:t xml:space="preserve"> </w:t>
      </w:r>
      <w:r w:rsidRPr="00E73F6F">
        <w:t>und</w:t>
      </w:r>
      <w:r w:rsidRPr="00E73F6F">
        <w:rPr>
          <w:spacing w:val="-9"/>
        </w:rPr>
        <w:t xml:space="preserve"> </w:t>
      </w:r>
      <w:r w:rsidRPr="00E73F6F">
        <w:t>für</w:t>
      </w:r>
      <w:r w:rsidRPr="00E73F6F">
        <w:rPr>
          <w:spacing w:val="-11"/>
        </w:rPr>
        <w:t xml:space="preserve"> </w:t>
      </w:r>
      <w:r w:rsidRPr="00E73F6F">
        <w:t>diese</w:t>
      </w:r>
      <w:r w:rsidRPr="00E73F6F">
        <w:rPr>
          <w:spacing w:val="-11"/>
        </w:rPr>
        <w:t xml:space="preserve"> </w:t>
      </w:r>
      <w:r w:rsidRPr="00E73F6F">
        <w:t>Art</w:t>
      </w:r>
      <w:r w:rsidRPr="00E73F6F">
        <w:rPr>
          <w:spacing w:val="-10"/>
        </w:rPr>
        <w:t xml:space="preserve"> </w:t>
      </w:r>
      <w:r w:rsidRPr="00E73F6F">
        <w:t>von</w:t>
      </w:r>
      <w:r w:rsidRPr="00E73F6F">
        <w:rPr>
          <w:spacing w:val="-11"/>
        </w:rPr>
        <w:t xml:space="preserve"> </w:t>
      </w:r>
      <w:r w:rsidRPr="00E73F6F">
        <w:t>naiver</w:t>
      </w:r>
      <w:r w:rsidRPr="00E73F6F">
        <w:rPr>
          <w:spacing w:val="-10"/>
        </w:rPr>
        <w:t xml:space="preserve"> </w:t>
      </w:r>
      <w:r w:rsidRPr="00E73F6F">
        <w:t>Kausalanalyse</w:t>
      </w:r>
      <w:r w:rsidRPr="00E73F6F">
        <w:rPr>
          <w:spacing w:val="-11"/>
        </w:rPr>
        <w:t xml:space="preserve"> </w:t>
      </w:r>
      <w:r w:rsidRPr="00E73F6F">
        <w:t>nutzen. Angenommen, ein finnischer und ein italienischer Manager geben sich durch Redefluss,</w:t>
      </w:r>
      <w:r w:rsidRPr="00E73F6F">
        <w:rPr>
          <w:spacing w:val="-2"/>
        </w:rPr>
        <w:t xml:space="preserve"> </w:t>
      </w:r>
      <w:r w:rsidRPr="00E73F6F">
        <w:t>Gestik</w:t>
      </w:r>
      <w:r w:rsidRPr="00E73F6F">
        <w:rPr>
          <w:spacing w:val="-1"/>
        </w:rPr>
        <w:t xml:space="preserve"> </w:t>
      </w:r>
      <w:r w:rsidRPr="00E73F6F">
        <w:t>etc.</w:t>
      </w:r>
      <w:r w:rsidRPr="00E73F6F">
        <w:rPr>
          <w:spacing w:val="-3"/>
        </w:rPr>
        <w:t xml:space="preserve"> </w:t>
      </w:r>
      <w:r w:rsidRPr="00E73F6F">
        <w:t>gleichermaßen</w:t>
      </w:r>
      <w:r w:rsidRPr="00E73F6F">
        <w:rPr>
          <w:spacing w:val="-2"/>
        </w:rPr>
        <w:t xml:space="preserve"> </w:t>
      </w:r>
      <w:r w:rsidRPr="00E73F6F">
        <w:t>extravertiert.</w:t>
      </w:r>
      <w:r w:rsidRPr="00E73F6F">
        <w:rPr>
          <w:spacing w:val="-4"/>
        </w:rPr>
        <w:t xml:space="preserve"> </w:t>
      </w:r>
      <w:r w:rsidRPr="00E73F6F">
        <w:t>Da</w:t>
      </w:r>
      <w:r w:rsidRPr="00E73F6F">
        <w:rPr>
          <w:spacing w:val="-6"/>
        </w:rPr>
        <w:t xml:space="preserve"> </w:t>
      </w:r>
      <w:r w:rsidRPr="00E73F6F">
        <w:t>dieser</w:t>
      </w:r>
      <w:r w:rsidRPr="00E73F6F">
        <w:rPr>
          <w:spacing w:val="-3"/>
        </w:rPr>
        <w:t xml:space="preserve"> </w:t>
      </w:r>
      <w:r w:rsidRPr="00E73F6F">
        <w:t>Kommunikationsstil nicht dem</w:t>
      </w:r>
      <w:r w:rsidRPr="00E73F6F">
        <w:rPr>
          <w:spacing w:val="-1"/>
        </w:rPr>
        <w:t xml:space="preserve"> </w:t>
      </w:r>
      <w:r w:rsidRPr="00E73F6F">
        <w:t>Stereotyp „Finne“</w:t>
      </w:r>
      <w:r w:rsidRPr="00E73F6F">
        <w:rPr>
          <w:spacing w:val="-1"/>
        </w:rPr>
        <w:t xml:space="preserve"> </w:t>
      </w:r>
      <w:r w:rsidRPr="00E73F6F">
        <w:t>entspricht und</w:t>
      </w:r>
      <w:r w:rsidRPr="00E73F6F">
        <w:rPr>
          <w:spacing w:val="-2"/>
        </w:rPr>
        <w:t xml:space="preserve"> </w:t>
      </w:r>
      <w:r w:rsidRPr="00E73F6F">
        <w:t>insofern erklärungsbedürftig ist, wird man</w:t>
      </w:r>
      <w:r w:rsidRPr="00E73F6F">
        <w:rPr>
          <w:spacing w:val="-12"/>
        </w:rPr>
        <w:t xml:space="preserve"> </w:t>
      </w:r>
      <w:r w:rsidRPr="00E73F6F">
        <w:t>im</w:t>
      </w:r>
      <w:r w:rsidRPr="00E73F6F">
        <w:rPr>
          <w:spacing w:val="-11"/>
        </w:rPr>
        <w:t xml:space="preserve"> </w:t>
      </w:r>
      <w:r w:rsidRPr="00E73F6F">
        <w:t>Falle</w:t>
      </w:r>
      <w:r w:rsidRPr="00E73F6F">
        <w:rPr>
          <w:spacing w:val="-11"/>
        </w:rPr>
        <w:t xml:space="preserve"> </w:t>
      </w:r>
      <w:r w:rsidRPr="00E73F6F">
        <w:t>des</w:t>
      </w:r>
      <w:r w:rsidRPr="00E73F6F">
        <w:rPr>
          <w:spacing w:val="-11"/>
        </w:rPr>
        <w:t xml:space="preserve"> </w:t>
      </w:r>
      <w:r w:rsidRPr="00E73F6F">
        <w:t>Finnen</w:t>
      </w:r>
      <w:r w:rsidRPr="00E73F6F">
        <w:rPr>
          <w:spacing w:val="-12"/>
        </w:rPr>
        <w:t xml:space="preserve"> </w:t>
      </w:r>
      <w:r w:rsidRPr="00E73F6F">
        <w:t>das</w:t>
      </w:r>
      <w:r w:rsidRPr="00E73F6F">
        <w:rPr>
          <w:spacing w:val="-11"/>
        </w:rPr>
        <w:t xml:space="preserve"> </w:t>
      </w:r>
      <w:r w:rsidRPr="00E73F6F">
        <w:t>überdurchschnittliche</w:t>
      </w:r>
      <w:r w:rsidRPr="00E73F6F">
        <w:rPr>
          <w:spacing w:val="-11"/>
        </w:rPr>
        <w:t xml:space="preserve"> </w:t>
      </w:r>
      <w:r w:rsidRPr="00E73F6F">
        <w:t>Mitteilungsbedürfnis</w:t>
      </w:r>
      <w:r w:rsidRPr="00E73F6F">
        <w:rPr>
          <w:spacing w:val="-11"/>
        </w:rPr>
        <w:t xml:space="preserve"> </w:t>
      </w:r>
      <w:r w:rsidRPr="00E73F6F">
        <w:t>eher</w:t>
      </w:r>
      <w:r w:rsidRPr="00E73F6F">
        <w:rPr>
          <w:spacing w:val="-12"/>
        </w:rPr>
        <w:t xml:space="preserve"> </w:t>
      </w:r>
      <w:r w:rsidRPr="00E73F6F">
        <w:t>einer individuellen Disposition zuschreiben als bei einem Italiener.</w:t>
      </w:r>
    </w:p>
    <w:p w14:paraId="1E96260E" w14:textId="087C5EFD" w:rsidR="00FF7799" w:rsidRPr="00E73F6F" w:rsidRDefault="00FF7799" w:rsidP="008B184E">
      <w:pPr>
        <w:pStyle w:val="StandardText"/>
      </w:pPr>
      <w:r w:rsidRPr="00E73F6F">
        <w:t>Kulturfremde Interaktionspartner denken, fühlen und handeln jeweils entsprechend</w:t>
      </w:r>
      <w:r w:rsidRPr="00E73F6F">
        <w:rPr>
          <w:spacing w:val="-10"/>
        </w:rPr>
        <w:t xml:space="preserve"> </w:t>
      </w:r>
      <w:r w:rsidRPr="00E73F6F">
        <w:t>ihrer</w:t>
      </w:r>
      <w:r w:rsidRPr="00E73F6F">
        <w:rPr>
          <w:spacing w:val="-10"/>
        </w:rPr>
        <w:t xml:space="preserve"> </w:t>
      </w:r>
      <w:r w:rsidRPr="00E73F6F">
        <w:t>kulturspezifischen</w:t>
      </w:r>
      <w:r w:rsidRPr="00E73F6F">
        <w:rPr>
          <w:spacing w:val="-9"/>
        </w:rPr>
        <w:t xml:space="preserve"> </w:t>
      </w:r>
      <w:r w:rsidRPr="00E73F6F">
        <w:t>Sozialisation</w:t>
      </w:r>
      <w:r w:rsidRPr="00E73F6F">
        <w:rPr>
          <w:spacing w:val="-9"/>
        </w:rPr>
        <w:t xml:space="preserve"> </w:t>
      </w:r>
      <w:r w:rsidRPr="00E73F6F">
        <w:t>und</w:t>
      </w:r>
      <w:r w:rsidRPr="00E73F6F">
        <w:rPr>
          <w:spacing w:val="-11"/>
        </w:rPr>
        <w:t xml:space="preserve"> </w:t>
      </w:r>
      <w:r w:rsidRPr="00E73F6F">
        <w:t>damit</w:t>
      </w:r>
      <w:r w:rsidRPr="00E73F6F">
        <w:rPr>
          <w:spacing w:val="-10"/>
        </w:rPr>
        <w:t xml:space="preserve"> </w:t>
      </w:r>
      <w:r w:rsidRPr="00E73F6F">
        <w:t>nicht</w:t>
      </w:r>
      <w:r w:rsidRPr="00E73F6F">
        <w:rPr>
          <w:spacing w:val="-12"/>
        </w:rPr>
        <w:t xml:space="preserve"> </w:t>
      </w:r>
      <w:r w:rsidRPr="00E73F6F">
        <w:t>immer</w:t>
      </w:r>
      <w:r w:rsidRPr="00E73F6F">
        <w:rPr>
          <w:spacing w:val="-9"/>
        </w:rPr>
        <w:t xml:space="preserve"> </w:t>
      </w:r>
      <w:r w:rsidRPr="00E73F6F">
        <w:t>in</w:t>
      </w:r>
      <w:r w:rsidRPr="00E73F6F">
        <w:rPr>
          <w:spacing w:val="-9"/>
        </w:rPr>
        <w:t xml:space="preserve"> </w:t>
      </w:r>
      <w:r w:rsidRPr="00E73F6F">
        <w:t>einer Art und Weise, die in einem anderen soziokulturellen Kontext als üblich bzw. angemessen</w:t>
      </w:r>
      <w:r w:rsidRPr="00E73F6F">
        <w:rPr>
          <w:spacing w:val="-2"/>
        </w:rPr>
        <w:t xml:space="preserve"> </w:t>
      </w:r>
      <w:r w:rsidRPr="00E73F6F">
        <w:t>gilt.</w:t>
      </w:r>
      <w:r w:rsidRPr="00E73F6F">
        <w:rPr>
          <w:spacing w:val="-4"/>
        </w:rPr>
        <w:t xml:space="preserve"> </w:t>
      </w:r>
      <w:r w:rsidRPr="00E73F6F">
        <w:t>Folglich</w:t>
      </w:r>
      <w:r w:rsidRPr="00E73F6F">
        <w:rPr>
          <w:spacing w:val="-2"/>
        </w:rPr>
        <w:t xml:space="preserve"> </w:t>
      </w:r>
      <w:r w:rsidRPr="00E73F6F">
        <w:t>entwickeln</w:t>
      </w:r>
      <w:r w:rsidRPr="00E73F6F">
        <w:rPr>
          <w:spacing w:val="-1"/>
        </w:rPr>
        <w:t xml:space="preserve"> </w:t>
      </w:r>
      <w:r w:rsidRPr="00E73F6F">
        <w:t>sich</w:t>
      </w:r>
      <w:r w:rsidRPr="00E73F6F">
        <w:rPr>
          <w:spacing w:val="-2"/>
        </w:rPr>
        <w:t xml:space="preserve"> </w:t>
      </w:r>
      <w:r w:rsidRPr="00E73F6F">
        <w:t>im</w:t>
      </w:r>
      <w:r w:rsidRPr="00E73F6F">
        <w:rPr>
          <w:spacing w:val="-5"/>
        </w:rPr>
        <w:t xml:space="preserve"> </w:t>
      </w:r>
      <w:r w:rsidRPr="00E73F6F">
        <w:t>interkulturellen</w:t>
      </w:r>
      <w:r w:rsidRPr="00E73F6F">
        <w:rPr>
          <w:spacing w:val="-4"/>
        </w:rPr>
        <w:t xml:space="preserve"> </w:t>
      </w:r>
      <w:r w:rsidRPr="00E73F6F">
        <w:t>Kontakt</w:t>
      </w:r>
      <w:r w:rsidRPr="00E73F6F">
        <w:rPr>
          <w:spacing w:val="-2"/>
        </w:rPr>
        <w:t xml:space="preserve"> </w:t>
      </w:r>
      <w:r w:rsidRPr="00E73F6F">
        <w:t>regelmäßig erklärungsbedürftige</w:t>
      </w:r>
      <w:r w:rsidRPr="00E73F6F">
        <w:rPr>
          <w:spacing w:val="30"/>
        </w:rPr>
        <w:t xml:space="preserve"> </w:t>
      </w:r>
      <w:r w:rsidRPr="00E73F6F">
        <w:t>Situationen.</w:t>
      </w:r>
      <w:r w:rsidRPr="00E73F6F">
        <w:rPr>
          <w:spacing w:val="33"/>
        </w:rPr>
        <w:t xml:space="preserve"> </w:t>
      </w:r>
      <w:r w:rsidRPr="00E73F6F">
        <w:t>Wer „erklärungsbedürftiges“,</w:t>
      </w:r>
      <w:r w:rsidRPr="00E73F6F">
        <w:rPr>
          <w:spacing w:val="34"/>
        </w:rPr>
        <w:t xml:space="preserve"> </w:t>
      </w:r>
      <w:r w:rsidRPr="00E73F6F">
        <w:rPr>
          <w:spacing w:val="-2"/>
        </w:rPr>
        <w:t xml:space="preserve">womöglich </w:t>
      </w:r>
      <w:r w:rsidRPr="00E73F6F">
        <w:t>„störendes“ oder „verletzendes“ Verhalten eines fremdkulturellen Interaktionspartners</w:t>
      </w:r>
      <w:r w:rsidRPr="00E73F6F">
        <w:rPr>
          <w:spacing w:val="-3"/>
        </w:rPr>
        <w:t xml:space="preserve"> </w:t>
      </w:r>
      <w:r w:rsidRPr="00E73F6F">
        <w:t>(z.B.</w:t>
      </w:r>
      <w:r w:rsidRPr="00E73F6F">
        <w:rPr>
          <w:spacing w:val="1"/>
        </w:rPr>
        <w:t xml:space="preserve"> </w:t>
      </w:r>
      <w:r w:rsidRPr="00E73F6F">
        <w:t>Unpünktlichkeit)</w:t>
      </w:r>
      <w:r w:rsidRPr="00E73F6F">
        <w:rPr>
          <w:spacing w:val="-1"/>
        </w:rPr>
        <w:t xml:space="preserve"> </w:t>
      </w:r>
      <w:r w:rsidRPr="00E73F6F">
        <w:t>mit</w:t>
      </w:r>
      <w:r w:rsidRPr="00E73F6F">
        <w:rPr>
          <w:spacing w:val="1"/>
        </w:rPr>
        <w:t xml:space="preserve"> </w:t>
      </w:r>
      <w:r w:rsidRPr="00E73F6F">
        <w:t xml:space="preserve">dessen </w:t>
      </w:r>
      <w:r w:rsidR="001E3F72">
        <w:sym w:font="Symbol" w:char="F0DE"/>
      </w:r>
      <w:r w:rsidR="001E3F72">
        <w:t xml:space="preserve"> </w:t>
      </w:r>
      <w:r w:rsidRPr="00E73F6F">
        <w:t xml:space="preserve">Kulturstandards </w:t>
      </w:r>
      <w:r w:rsidRPr="00E73F6F">
        <w:rPr>
          <w:spacing w:val="-2"/>
        </w:rPr>
        <w:t xml:space="preserve">begründet </w:t>
      </w:r>
      <w:r w:rsidRPr="00E73F6F">
        <w:t>(=</w:t>
      </w:r>
      <w:r w:rsidRPr="00E73F6F">
        <w:rPr>
          <w:spacing w:val="-1"/>
        </w:rPr>
        <w:t xml:space="preserve"> </w:t>
      </w:r>
      <w:r w:rsidRPr="00E73F6F">
        <w:t>isomorphe</w:t>
      </w:r>
      <w:r w:rsidRPr="00E73F6F">
        <w:rPr>
          <w:spacing w:val="-1"/>
        </w:rPr>
        <w:t xml:space="preserve"> </w:t>
      </w:r>
      <w:r w:rsidRPr="00E73F6F">
        <w:t>Attribution),</w:t>
      </w:r>
      <w:r w:rsidRPr="00E73F6F">
        <w:rPr>
          <w:spacing w:val="-3"/>
        </w:rPr>
        <w:t xml:space="preserve"> </w:t>
      </w:r>
      <w:r w:rsidRPr="00E73F6F">
        <w:t>kann darauf</w:t>
      </w:r>
      <w:r w:rsidRPr="00E73F6F">
        <w:rPr>
          <w:spacing w:val="-1"/>
        </w:rPr>
        <w:t xml:space="preserve"> </w:t>
      </w:r>
      <w:r w:rsidRPr="00E73F6F">
        <w:t>angemessen reagieren und</w:t>
      </w:r>
      <w:r w:rsidRPr="00E73F6F">
        <w:rPr>
          <w:spacing w:val="-4"/>
        </w:rPr>
        <w:t xml:space="preserve"> </w:t>
      </w:r>
      <w:r w:rsidRPr="00E73F6F">
        <w:t>mithin</w:t>
      </w:r>
      <w:r w:rsidRPr="00E73F6F">
        <w:rPr>
          <w:spacing w:val="-2"/>
        </w:rPr>
        <w:t xml:space="preserve"> </w:t>
      </w:r>
      <w:r w:rsidRPr="00E73F6F">
        <w:t>effektiv interagieren.</w:t>
      </w:r>
      <w:r w:rsidRPr="00E73F6F">
        <w:rPr>
          <w:spacing w:val="-2"/>
        </w:rPr>
        <w:t xml:space="preserve"> </w:t>
      </w:r>
      <w:r w:rsidRPr="00E73F6F">
        <w:t>Bei</w:t>
      </w:r>
      <w:r w:rsidRPr="00E73F6F">
        <w:rPr>
          <w:spacing w:val="-1"/>
        </w:rPr>
        <w:t xml:space="preserve"> </w:t>
      </w:r>
      <w:r w:rsidRPr="00E73F6F">
        <w:t>einer</w:t>
      </w:r>
      <w:r w:rsidRPr="00E73F6F">
        <w:rPr>
          <w:spacing w:val="-2"/>
        </w:rPr>
        <w:t xml:space="preserve"> </w:t>
      </w:r>
      <w:r w:rsidRPr="00E73F6F">
        <w:t>Personenattribution</w:t>
      </w:r>
      <w:r w:rsidRPr="00E73F6F">
        <w:rPr>
          <w:spacing w:val="-2"/>
        </w:rPr>
        <w:t xml:space="preserve"> </w:t>
      </w:r>
      <w:r w:rsidRPr="00E73F6F">
        <w:t>hingegen schreibt</w:t>
      </w:r>
      <w:r w:rsidRPr="00E73F6F">
        <w:rPr>
          <w:spacing w:val="-2"/>
        </w:rPr>
        <w:t xml:space="preserve"> </w:t>
      </w:r>
      <w:r w:rsidRPr="00E73F6F">
        <w:t>man</w:t>
      </w:r>
      <w:r w:rsidRPr="00E73F6F">
        <w:rPr>
          <w:spacing w:val="-2"/>
        </w:rPr>
        <w:t xml:space="preserve"> </w:t>
      </w:r>
      <w:r w:rsidRPr="00E73F6F">
        <w:t>ungewöhnliche bzw. als störend empfundene Verhaltensweisen des Interaktionspartners (z.B. Schweigsamkeit) diesem individuell zu, so dass mit größerer Wahrscheinlichkeit Verstimmungen und Konflikte die Folge sind. Scheinbares Desinteresse am Verhandlungsgegenstand</w:t>
      </w:r>
      <w:r w:rsidRPr="00E73F6F">
        <w:rPr>
          <w:spacing w:val="-12"/>
        </w:rPr>
        <w:t xml:space="preserve"> </w:t>
      </w:r>
      <w:r w:rsidRPr="00E73F6F">
        <w:t>in</w:t>
      </w:r>
      <w:r w:rsidRPr="00E73F6F">
        <w:rPr>
          <w:spacing w:val="-11"/>
        </w:rPr>
        <w:t xml:space="preserve"> </w:t>
      </w:r>
      <w:r w:rsidRPr="00E73F6F">
        <w:t>der</w:t>
      </w:r>
      <w:r w:rsidRPr="00E73F6F">
        <w:rPr>
          <w:spacing w:val="-11"/>
        </w:rPr>
        <w:t xml:space="preserve"> </w:t>
      </w:r>
      <w:r w:rsidRPr="00E73F6F">
        <w:t>Frühphase</w:t>
      </w:r>
      <w:r w:rsidRPr="00E73F6F">
        <w:rPr>
          <w:spacing w:val="-11"/>
        </w:rPr>
        <w:t xml:space="preserve"> </w:t>
      </w:r>
      <w:r w:rsidRPr="00E73F6F">
        <w:t>einer</w:t>
      </w:r>
      <w:r w:rsidRPr="00E73F6F">
        <w:rPr>
          <w:spacing w:val="-12"/>
        </w:rPr>
        <w:t xml:space="preserve"> </w:t>
      </w:r>
      <w:r w:rsidRPr="00E73F6F">
        <w:t>Verhandlung</w:t>
      </w:r>
      <w:r w:rsidRPr="00E73F6F">
        <w:rPr>
          <w:spacing w:val="-10"/>
        </w:rPr>
        <w:t xml:space="preserve"> </w:t>
      </w:r>
      <w:r w:rsidRPr="00E73F6F">
        <w:t>etwa</w:t>
      </w:r>
      <w:r w:rsidRPr="00E73F6F">
        <w:rPr>
          <w:spacing w:val="-11"/>
        </w:rPr>
        <w:t xml:space="preserve"> </w:t>
      </w:r>
      <w:r w:rsidRPr="00E73F6F">
        <w:t>erscheint</w:t>
      </w:r>
      <w:r w:rsidRPr="00E73F6F">
        <w:rPr>
          <w:spacing w:val="-11"/>
        </w:rPr>
        <w:t xml:space="preserve"> </w:t>
      </w:r>
      <w:r w:rsidRPr="00E73F6F">
        <w:t xml:space="preserve">unter dieser Bedingung als persönlich zu verantwortende Unfreundlichkeit oder als sachlich begründetes Desinteresse am Verhandlungsgegenstand (z.B. Gründung eines </w:t>
      </w:r>
      <w:r w:rsidR="00AA49CE">
        <w:sym w:font="Symbol" w:char="F0DE"/>
      </w:r>
      <w:r w:rsidR="00AA49CE">
        <w:t xml:space="preserve"> </w:t>
      </w:r>
      <w:r w:rsidRPr="00E73F6F">
        <w:t>Joint Ventures) und nicht, wie im Falle der isomorphen Attribution, als Ausdruck einer kulturbedingt andersartigen Auffassung über den „normalen“ Ablauf von Verhandlungen. So lautet in den stärker beziehungsorientierten kollektivistischen Gesellschaften in der Frühphase von Verhandlungen das vorrangige Ziel: Die Beteiligten sollen sich kennenlernen und eine persönliche Beziehung begründen, die für den weiteren erfolgreichen Verlauf der Geschäftsbeziehung als unabdingbar angesehen wird. Angehörige von aufgabenorientierten</w:t>
      </w:r>
      <w:r w:rsidRPr="00E73F6F">
        <w:rPr>
          <w:spacing w:val="-7"/>
        </w:rPr>
        <w:t xml:space="preserve"> </w:t>
      </w:r>
      <w:r w:rsidRPr="00E73F6F">
        <w:t>individualistischen</w:t>
      </w:r>
      <w:r w:rsidRPr="00E73F6F">
        <w:rPr>
          <w:spacing w:val="-4"/>
        </w:rPr>
        <w:t xml:space="preserve"> </w:t>
      </w:r>
      <w:r w:rsidRPr="00E73F6F">
        <w:t>Gesellschaften</w:t>
      </w:r>
      <w:r w:rsidRPr="00E73F6F">
        <w:rPr>
          <w:spacing w:val="-4"/>
        </w:rPr>
        <w:t xml:space="preserve"> </w:t>
      </w:r>
      <w:r w:rsidRPr="00E73F6F">
        <w:t>verfolgen</w:t>
      </w:r>
      <w:r w:rsidRPr="00E73F6F">
        <w:rPr>
          <w:spacing w:val="-4"/>
        </w:rPr>
        <w:t xml:space="preserve"> </w:t>
      </w:r>
      <w:r w:rsidRPr="00E73F6F">
        <w:t>aber</w:t>
      </w:r>
      <w:r w:rsidRPr="00E73F6F">
        <w:rPr>
          <w:spacing w:val="-5"/>
        </w:rPr>
        <w:t xml:space="preserve"> </w:t>
      </w:r>
      <w:r w:rsidRPr="00E73F6F">
        <w:t>bereits</w:t>
      </w:r>
      <w:r w:rsidRPr="00E73F6F">
        <w:rPr>
          <w:spacing w:val="-5"/>
        </w:rPr>
        <w:t xml:space="preserve"> </w:t>
      </w:r>
      <w:r w:rsidRPr="00E73F6F">
        <w:t>das Verhandlungsziel, möglichst schnell einen vorteilhaften Abschluss erzielen.</w:t>
      </w:r>
    </w:p>
    <w:p w14:paraId="013EA907" w14:textId="77777777" w:rsidR="00FF7799" w:rsidRPr="00684099" w:rsidRDefault="00FF7799" w:rsidP="008B184E">
      <w:pPr>
        <w:pStyle w:val="StandardText"/>
        <w:rPr>
          <w:sz w:val="22"/>
          <w:szCs w:val="22"/>
          <w:lang w:val="en-US"/>
        </w:rPr>
      </w:pPr>
      <w:r w:rsidRPr="00684099">
        <w:rPr>
          <w:b/>
          <w:i/>
          <w:sz w:val="22"/>
          <w:szCs w:val="22"/>
          <w:lang w:val="en-US"/>
        </w:rPr>
        <w:lastRenderedPageBreak/>
        <w:t>Literatur:</w:t>
      </w:r>
      <w:r w:rsidRPr="00684099">
        <w:rPr>
          <w:b/>
          <w:spacing w:val="-2"/>
          <w:sz w:val="22"/>
          <w:szCs w:val="22"/>
          <w:lang w:val="en-US"/>
        </w:rPr>
        <w:t xml:space="preserve"> </w:t>
      </w:r>
      <w:r w:rsidRPr="00684099">
        <w:rPr>
          <w:sz w:val="22"/>
          <w:szCs w:val="22"/>
          <w:lang w:val="en-US"/>
        </w:rPr>
        <w:t>Fletcher, G.J.O.;</w:t>
      </w:r>
      <w:r w:rsidRPr="00684099">
        <w:rPr>
          <w:spacing w:val="-2"/>
          <w:sz w:val="22"/>
          <w:szCs w:val="22"/>
          <w:lang w:val="en-US"/>
        </w:rPr>
        <w:t xml:space="preserve"> </w:t>
      </w:r>
      <w:r w:rsidRPr="00684099">
        <w:rPr>
          <w:sz w:val="22"/>
          <w:szCs w:val="22"/>
          <w:lang w:val="en-US"/>
        </w:rPr>
        <w:t>Ward, C.</w:t>
      </w:r>
      <w:r w:rsidRPr="00684099">
        <w:rPr>
          <w:spacing w:val="4"/>
          <w:sz w:val="22"/>
          <w:szCs w:val="22"/>
          <w:lang w:val="en-US"/>
        </w:rPr>
        <w:t xml:space="preserve"> </w:t>
      </w:r>
      <w:r w:rsidRPr="00684099">
        <w:rPr>
          <w:sz w:val="22"/>
          <w:szCs w:val="22"/>
          <w:lang w:val="en-US"/>
        </w:rPr>
        <w:t>(1988):</w:t>
      </w:r>
      <w:r w:rsidRPr="00684099">
        <w:rPr>
          <w:spacing w:val="2"/>
          <w:sz w:val="22"/>
          <w:szCs w:val="22"/>
          <w:lang w:val="en-US"/>
        </w:rPr>
        <w:t xml:space="preserve"> </w:t>
      </w:r>
      <w:r w:rsidRPr="00684099">
        <w:rPr>
          <w:sz w:val="22"/>
          <w:szCs w:val="22"/>
          <w:lang w:val="en-US"/>
        </w:rPr>
        <w:t>Attribution</w:t>
      </w:r>
      <w:r w:rsidRPr="00684099">
        <w:rPr>
          <w:spacing w:val="1"/>
          <w:sz w:val="22"/>
          <w:szCs w:val="22"/>
          <w:lang w:val="en-US"/>
        </w:rPr>
        <w:t xml:space="preserve"> </w:t>
      </w:r>
      <w:r w:rsidRPr="00684099">
        <w:rPr>
          <w:sz w:val="22"/>
          <w:szCs w:val="22"/>
          <w:lang w:val="en-US"/>
        </w:rPr>
        <w:t>Theory and</w:t>
      </w:r>
      <w:r w:rsidRPr="00684099">
        <w:rPr>
          <w:spacing w:val="1"/>
          <w:sz w:val="22"/>
          <w:szCs w:val="22"/>
          <w:lang w:val="en-US"/>
        </w:rPr>
        <w:t xml:space="preserve"> </w:t>
      </w:r>
      <w:r w:rsidRPr="00684099">
        <w:rPr>
          <w:sz w:val="22"/>
          <w:szCs w:val="22"/>
          <w:lang w:val="en-US"/>
        </w:rPr>
        <w:t>Processes, in:</w:t>
      </w:r>
      <w:r w:rsidRPr="00684099">
        <w:rPr>
          <w:spacing w:val="1"/>
          <w:sz w:val="22"/>
          <w:szCs w:val="22"/>
          <w:lang w:val="en-US"/>
        </w:rPr>
        <w:t xml:space="preserve"> </w:t>
      </w:r>
      <w:r w:rsidRPr="00684099">
        <w:rPr>
          <w:spacing w:val="-2"/>
          <w:sz w:val="22"/>
          <w:szCs w:val="22"/>
          <w:lang w:val="en-US"/>
        </w:rPr>
        <w:t>Bond,</w:t>
      </w:r>
      <w:r w:rsidRPr="00684099">
        <w:rPr>
          <w:sz w:val="22"/>
          <w:szCs w:val="22"/>
          <w:lang w:val="en-US"/>
        </w:rPr>
        <w:t xml:space="preserve"> M.H.</w:t>
      </w:r>
      <w:r w:rsidRPr="00684099">
        <w:rPr>
          <w:spacing w:val="-9"/>
          <w:sz w:val="22"/>
          <w:szCs w:val="22"/>
          <w:lang w:val="en-US"/>
        </w:rPr>
        <w:t xml:space="preserve"> </w:t>
      </w:r>
      <w:r w:rsidRPr="00684099">
        <w:rPr>
          <w:sz w:val="22"/>
          <w:szCs w:val="22"/>
          <w:lang w:val="en-US"/>
        </w:rPr>
        <w:t>(Ed.),</w:t>
      </w:r>
      <w:r w:rsidRPr="00684099">
        <w:rPr>
          <w:spacing w:val="-9"/>
          <w:sz w:val="22"/>
          <w:szCs w:val="22"/>
          <w:lang w:val="en-US"/>
        </w:rPr>
        <w:t xml:space="preserve"> </w:t>
      </w:r>
      <w:r w:rsidRPr="00684099">
        <w:rPr>
          <w:sz w:val="22"/>
          <w:szCs w:val="22"/>
          <w:lang w:val="en-US"/>
        </w:rPr>
        <w:t>The</w:t>
      </w:r>
      <w:r w:rsidRPr="00684099">
        <w:rPr>
          <w:spacing w:val="-9"/>
          <w:sz w:val="22"/>
          <w:szCs w:val="22"/>
          <w:lang w:val="en-US"/>
        </w:rPr>
        <w:t xml:space="preserve"> </w:t>
      </w:r>
      <w:r w:rsidRPr="00684099">
        <w:rPr>
          <w:sz w:val="22"/>
          <w:szCs w:val="22"/>
          <w:lang w:val="en-US"/>
        </w:rPr>
        <w:t>Cross-Cultural</w:t>
      </w:r>
      <w:r w:rsidRPr="00684099">
        <w:rPr>
          <w:spacing w:val="-9"/>
          <w:sz w:val="22"/>
          <w:szCs w:val="22"/>
          <w:lang w:val="en-US"/>
        </w:rPr>
        <w:t xml:space="preserve"> </w:t>
      </w:r>
      <w:r w:rsidRPr="00684099">
        <w:rPr>
          <w:sz w:val="22"/>
          <w:szCs w:val="22"/>
          <w:lang w:val="en-US"/>
        </w:rPr>
        <w:t>Challenge</w:t>
      </w:r>
      <w:r w:rsidRPr="00684099">
        <w:rPr>
          <w:spacing w:val="-9"/>
          <w:sz w:val="22"/>
          <w:szCs w:val="22"/>
          <w:lang w:val="en-US"/>
        </w:rPr>
        <w:t xml:space="preserve"> </w:t>
      </w:r>
      <w:r w:rsidRPr="00684099">
        <w:rPr>
          <w:sz w:val="22"/>
          <w:szCs w:val="22"/>
          <w:lang w:val="en-US"/>
        </w:rPr>
        <w:t>to</w:t>
      </w:r>
      <w:r w:rsidRPr="00684099">
        <w:rPr>
          <w:spacing w:val="-9"/>
          <w:sz w:val="22"/>
          <w:szCs w:val="22"/>
          <w:lang w:val="en-US"/>
        </w:rPr>
        <w:t xml:space="preserve"> </w:t>
      </w:r>
      <w:r w:rsidRPr="00684099">
        <w:rPr>
          <w:sz w:val="22"/>
          <w:szCs w:val="22"/>
          <w:lang w:val="en-US"/>
        </w:rPr>
        <w:t>Social</w:t>
      </w:r>
      <w:r w:rsidRPr="00684099">
        <w:rPr>
          <w:spacing w:val="-9"/>
          <w:sz w:val="22"/>
          <w:szCs w:val="22"/>
          <w:lang w:val="en-US"/>
        </w:rPr>
        <w:t xml:space="preserve"> </w:t>
      </w:r>
      <w:r w:rsidRPr="00684099">
        <w:rPr>
          <w:sz w:val="22"/>
          <w:szCs w:val="22"/>
          <w:lang w:val="en-US"/>
        </w:rPr>
        <w:t>Psychology,</w:t>
      </w:r>
      <w:r w:rsidRPr="00684099">
        <w:rPr>
          <w:spacing w:val="-9"/>
          <w:sz w:val="22"/>
          <w:szCs w:val="22"/>
          <w:lang w:val="en-US"/>
        </w:rPr>
        <w:t xml:space="preserve"> </w:t>
      </w:r>
      <w:r w:rsidRPr="00684099">
        <w:rPr>
          <w:sz w:val="22"/>
          <w:szCs w:val="22"/>
          <w:lang w:val="en-US"/>
        </w:rPr>
        <w:t>230-244,</w:t>
      </w:r>
      <w:r w:rsidRPr="00684099">
        <w:rPr>
          <w:spacing w:val="-9"/>
          <w:sz w:val="22"/>
          <w:szCs w:val="22"/>
          <w:lang w:val="en-US"/>
        </w:rPr>
        <w:t xml:space="preserve"> </w:t>
      </w:r>
      <w:r w:rsidRPr="00684099">
        <w:rPr>
          <w:sz w:val="22"/>
          <w:szCs w:val="22"/>
          <w:lang w:val="en-US"/>
        </w:rPr>
        <w:t>Beverly</w:t>
      </w:r>
      <w:r w:rsidRPr="00684099">
        <w:rPr>
          <w:spacing w:val="-9"/>
          <w:sz w:val="22"/>
          <w:szCs w:val="22"/>
          <w:lang w:val="en-US"/>
        </w:rPr>
        <w:t xml:space="preserve"> </w:t>
      </w:r>
      <w:r w:rsidRPr="00684099">
        <w:rPr>
          <w:sz w:val="22"/>
          <w:szCs w:val="22"/>
          <w:lang w:val="en-US"/>
        </w:rPr>
        <w:t>Hills/CA.</w:t>
      </w:r>
      <w:r w:rsidRPr="00684099">
        <w:rPr>
          <w:spacing w:val="40"/>
          <w:sz w:val="22"/>
          <w:szCs w:val="22"/>
          <w:lang w:val="en-US"/>
        </w:rPr>
        <w:t xml:space="preserve"> </w:t>
      </w:r>
      <w:r w:rsidRPr="00684099">
        <w:rPr>
          <w:sz w:val="22"/>
          <w:szCs w:val="22"/>
          <w:lang w:val="en-US"/>
        </w:rPr>
        <w:t>Semin, G.R.; Zwier, S.M. (1996): Social Cognition, in: Berry, J.W.; Segall, M.H.;</w:t>
      </w:r>
      <w:r w:rsidRPr="00684099">
        <w:rPr>
          <w:spacing w:val="40"/>
          <w:sz w:val="22"/>
          <w:szCs w:val="22"/>
          <w:lang w:val="en-US"/>
        </w:rPr>
        <w:t xml:space="preserve"> </w:t>
      </w:r>
      <w:r w:rsidRPr="00684099">
        <w:rPr>
          <w:sz w:val="22"/>
          <w:szCs w:val="22"/>
          <w:lang w:val="en-US"/>
        </w:rPr>
        <w:t>Kagitçibasi,</w:t>
      </w:r>
      <w:r w:rsidRPr="00684099">
        <w:rPr>
          <w:spacing w:val="-2"/>
          <w:sz w:val="22"/>
          <w:szCs w:val="22"/>
          <w:lang w:val="en-US"/>
        </w:rPr>
        <w:t xml:space="preserve"> </w:t>
      </w:r>
      <w:r w:rsidRPr="00684099">
        <w:rPr>
          <w:sz w:val="22"/>
          <w:szCs w:val="22"/>
          <w:lang w:val="en-US"/>
        </w:rPr>
        <w:t>C.</w:t>
      </w:r>
      <w:r w:rsidRPr="00684099">
        <w:rPr>
          <w:spacing w:val="-2"/>
          <w:sz w:val="22"/>
          <w:szCs w:val="22"/>
          <w:lang w:val="en-US"/>
        </w:rPr>
        <w:t xml:space="preserve"> </w:t>
      </w:r>
      <w:r w:rsidRPr="00684099">
        <w:rPr>
          <w:sz w:val="22"/>
          <w:szCs w:val="22"/>
          <w:lang w:val="en-US"/>
        </w:rPr>
        <w:t>(Eds.),</w:t>
      </w:r>
      <w:r w:rsidRPr="00684099">
        <w:rPr>
          <w:spacing w:val="-2"/>
          <w:sz w:val="22"/>
          <w:szCs w:val="22"/>
          <w:lang w:val="en-US"/>
        </w:rPr>
        <w:t xml:space="preserve"> </w:t>
      </w:r>
      <w:r w:rsidRPr="00684099">
        <w:rPr>
          <w:sz w:val="22"/>
          <w:szCs w:val="22"/>
          <w:lang w:val="en-US"/>
        </w:rPr>
        <w:t>Handbook</w:t>
      </w:r>
      <w:r w:rsidRPr="00684099">
        <w:rPr>
          <w:spacing w:val="-4"/>
          <w:sz w:val="22"/>
          <w:szCs w:val="22"/>
          <w:lang w:val="en-US"/>
        </w:rPr>
        <w:t xml:space="preserve"> </w:t>
      </w:r>
      <w:r w:rsidRPr="00684099">
        <w:rPr>
          <w:sz w:val="22"/>
          <w:szCs w:val="22"/>
          <w:lang w:val="en-US"/>
        </w:rPr>
        <w:t>of</w:t>
      </w:r>
      <w:r w:rsidRPr="00684099">
        <w:rPr>
          <w:spacing w:val="-6"/>
          <w:sz w:val="22"/>
          <w:szCs w:val="22"/>
          <w:lang w:val="en-US"/>
        </w:rPr>
        <w:t xml:space="preserve"> </w:t>
      </w:r>
      <w:r w:rsidRPr="00684099">
        <w:rPr>
          <w:sz w:val="22"/>
          <w:szCs w:val="22"/>
          <w:lang w:val="en-US"/>
        </w:rPr>
        <w:t>Cross-Cultural</w:t>
      </w:r>
      <w:r w:rsidRPr="00684099">
        <w:rPr>
          <w:spacing w:val="-2"/>
          <w:sz w:val="22"/>
          <w:szCs w:val="22"/>
          <w:lang w:val="en-US"/>
        </w:rPr>
        <w:t xml:space="preserve"> </w:t>
      </w:r>
      <w:r w:rsidRPr="00684099">
        <w:rPr>
          <w:sz w:val="22"/>
          <w:szCs w:val="22"/>
          <w:lang w:val="en-US"/>
        </w:rPr>
        <w:t>Psychology,</w:t>
      </w:r>
      <w:r w:rsidRPr="00684099">
        <w:rPr>
          <w:spacing w:val="-2"/>
          <w:sz w:val="22"/>
          <w:szCs w:val="22"/>
          <w:lang w:val="en-US"/>
        </w:rPr>
        <w:t xml:space="preserve"> </w:t>
      </w:r>
      <w:r w:rsidRPr="00684099">
        <w:rPr>
          <w:sz w:val="22"/>
          <w:szCs w:val="22"/>
          <w:lang w:val="en-US"/>
        </w:rPr>
        <w:t>Vol.3:</w:t>
      </w:r>
      <w:r w:rsidRPr="00684099">
        <w:rPr>
          <w:spacing w:val="-2"/>
          <w:sz w:val="22"/>
          <w:szCs w:val="22"/>
          <w:lang w:val="en-US"/>
        </w:rPr>
        <w:t xml:space="preserve"> </w:t>
      </w:r>
      <w:r w:rsidRPr="00684099">
        <w:rPr>
          <w:sz w:val="22"/>
          <w:szCs w:val="22"/>
          <w:lang w:val="en-US"/>
        </w:rPr>
        <w:t>Social</w:t>
      </w:r>
      <w:r w:rsidRPr="00684099">
        <w:rPr>
          <w:spacing w:val="-4"/>
          <w:sz w:val="22"/>
          <w:szCs w:val="22"/>
          <w:lang w:val="en-US"/>
        </w:rPr>
        <w:t xml:space="preserve"> </w:t>
      </w:r>
      <w:r w:rsidRPr="00684099">
        <w:rPr>
          <w:sz w:val="22"/>
          <w:szCs w:val="22"/>
          <w:lang w:val="en-US"/>
        </w:rPr>
        <w:t>Behavior</w:t>
      </w:r>
      <w:r w:rsidRPr="00684099">
        <w:rPr>
          <w:spacing w:val="-4"/>
          <w:sz w:val="22"/>
          <w:szCs w:val="22"/>
          <w:lang w:val="en-US"/>
        </w:rPr>
        <w:t xml:space="preserve"> </w:t>
      </w:r>
      <w:r w:rsidRPr="00684099">
        <w:rPr>
          <w:sz w:val="22"/>
          <w:szCs w:val="22"/>
          <w:lang w:val="en-US"/>
        </w:rPr>
        <w:t>and</w:t>
      </w:r>
      <w:r w:rsidRPr="00684099">
        <w:rPr>
          <w:spacing w:val="40"/>
          <w:sz w:val="22"/>
          <w:szCs w:val="22"/>
          <w:lang w:val="en-US"/>
        </w:rPr>
        <w:t xml:space="preserve"> </w:t>
      </w:r>
      <w:r w:rsidRPr="00684099">
        <w:rPr>
          <w:sz w:val="22"/>
          <w:szCs w:val="22"/>
          <w:lang w:val="en-US"/>
        </w:rPr>
        <w:t>Applications, 2nd Ed., 51-75, Boston/MA.</w:t>
      </w:r>
    </w:p>
    <w:p w14:paraId="5BE71F06" w14:textId="77777777" w:rsidR="00FF7799" w:rsidRPr="00E35FFF" w:rsidRDefault="00FF7799" w:rsidP="008B184E">
      <w:pPr>
        <w:pStyle w:val="StandardText"/>
        <w:rPr>
          <w:lang w:val="en-US"/>
        </w:rPr>
      </w:pPr>
    </w:p>
    <w:p w14:paraId="4C9E0CD6" w14:textId="77777777" w:rsidR="00FF7799" w:rsidRPr="00CF3D78" w:rsidRDefault="00FF7799" w:rsidP="00902C45">
      <w:pPr>
        <w:pStyle w:val="berschrift1"/>
        <w:rPr>
          <w:color w:val="2F5496" w:themeColor="accent5" w:themeShade="BF"/>
        </w:rPr>
      </w:pPr>
      <w:r w:rsidRPr="00CF3D78">
        <w:rPr>
          <w:color w:val="2F5496" w:themeColor="accent5" w:themeShade="BF"/>
        </w:rPr>
        <w:t>Auskunftsbereitschaft</w:t>
      </w:r>
    </w:p>
    <w:p w14:paraId="665F4302" w14:textId="77777777" w:rsidR="00FF7799" w:rsidRPr="00E73F6F" w:rsidRDefault="00FF7799" w:rsidP="008B184E">
      <w:pPr>
        <w:pStyle w:val="StandardText"/>
      </w:pPr>
      <w:r w:rsidRPr="00E73F6F">
        <w:t xml:space="preserve">von Probanden variiert international </w:t>
      </w:r>
      <w:r w:rsidR="0026427E">
        <w:t xml:space="preserve">und </w:t>
      </w:r>
      <w:r w:rsidRPr="00E73F6F">
        <w:t xml:space="preserve">interkulturell. So verweigern Deutsche weitaus häufiger als spanische oder italienische Personen die Teilnahme an einer Befragung, was gravierende Validitätsprobleme </w:t>
      </w:r>
      <w:r w:rsidR="0026427E">
        <w:t xml:space="preserve">von internationalen Studien </w:t>
      </w:r>
      <w:r w:rsidRPr="00E73F6F">
        <w:t>zur Folge hat. Grob lassen sich zwei Formen des Nicht-Antwortens unterscheiden. Bestimmte Probanden verweigern</w:t>
      </w:r>
      <w:r w:rsidRPr="00E73F6F">
        <w:rPr>
          <w:spacing w:val="-7"/>
        </w:rPr>
        <w:t xml:space="preserve"> </w:t>
      </w:r>
      <w:r w:rsidRPr="00E73F6F">
        <w:t>grundsätzlich</w:t>
      </w:r>
      <w:r w:rsidRPr="00E73F6F">
        <w:rPr>
          <w:spacing w:val="-7"/>
        </w:rPr>
        <w:t xml:space="preserve"> </w:t>
      </w:r>
      <w:r w:rsidRPr="00E73F6F">
        <w:t>jegliche</w:t>
      </w:r>
      <w:r w:rsidRPr="00E73F6F">
        <w:rPr>
          <w:spacing w:val="-8"/>
        </w:rPr>
        <w:t xml:space="preserve"> </w:t>
      </w:r>
      <w:r w:rsidRPr="00E73F6F">
        <w:t>Art</w:t>
      </w:r>
      <w:r w:rsidRPr="00E73F6F">
        <w:rPr>
          <w:spacing w:val="-6"/>
        </w:rPr>
        <w:t xml:space="preserve"> </w:t>
      </w:r>
      <w:r w:rsidRPr="00E73F6F">
        <w:t>von</w:t>
      </w:r>
      <w:r w:rsidRPr="00E73F6F">
        <w:rPr>
          <w:spacing w:val="-7"/>
        </w:rPr>
        <w:t xml:space="preserve"> </w:t>
      </w:r>
      <w:r w:rsidRPr="00E73F6F">
        <w:t>Auskunft.</w:t>
      </w:r>
      <w:r w:rsidRPr="00E73F6F">
        <w:rPr>
          <w:spacing w:val="-5"/>
        </w:rPr>
        <w:t xml:space="preserve"> </w:t>
      </w:r>
      <w:r w:rsidRPr="00E73F6F">
        <w:t>Andere</w:t>
      </w:r>
      <w:r w:rsidRPr="00E73F6F">
        <w:rPr>
          <w:spacing w:val="-7"/>
        </w:rPr>
        <w:t xml:space="preserve"> </w:t>
      </w:r>
      <w:r w:rsidRPr="00E73F6F">
        <w:t>wiederum</w:t>
      </w:r>
      <w:r w:rsidRPr="00E73F6F">
        <w:rPr>
          <w:spacing w:val="-7"/>
        </w:rPr>
        <w:t xml:space="preserve"> </w:t>
      </w:r>
      <w:r w:rsidRPr="00E73F6F">
        <w:t>fallen</w:t>
      </w:r>
      <w:r w:rsidRPr="00E73F6F">
        <w:rPr>
          <w:spacing w:val="-5"/>
        </w:rPr>
        <w:t xml:space="preserve"> </w:t>
      </w:r>
      <w:r w:rsidRPr="00E73F6F">
        <w:t>aus, weil es dem Forscher bzw. Interviewer nicht gelingt, mit ihnen Kontakt aufzunehmen. Vom Non-Response-Problem abzugrenzen ist folgender Sachverhalt: Einzelne Items eines ansonsten ausgefüllten Fragebogens bleiben unbeantwortet, weil die Auskunftsperson sie versehentlich oder willentlich übersprungen hat bzw. nicht beantworten konnte.</w:t>
      </w:r>
    </w:p>
    <w:p w14:paraId="6F9A98B0" w14:textId="77777777" w:rsidR="00FF7799" w:rsidRPr="00E73F6F" w:rsidRDefault="00FF7799" w:rsidP="008B184E">
      <w:pPr>
        <w:pStyle w:val="StandardText"/>
      </w:pPr>
      <w:r w:rsidRPr="00E73F6F">
        <w:t>Mit welcher Non-Response-Rate man im Einzelfall rechnen muss, hängt von der Relevanz des Themas, der Länge der Befragung, der Art der Organisation der Untersuchung sowie der Befragungsmethode ab. Auch eignen sich persönliche, telefonische,</w:t>
      </w:r>
      <w:r w:rsidRPr="00E73F6F">
        <w:rPr>
          <w:spacing w:val="15"/>
        </w:rPr>
        <w:t xml:space="preserve"> </w:t>
      </w:r>
      <w:r w:rsidRPr="00E73F6F">
        <w:t>postalische</w:t>
      </w:r>
      <w:r w:rsidRPr="00E73F6F">
        <w:rPr>
          <w:spacing w:val="15"/>
        </w:rPr>
        <w:t xml:space="preserve"> </w:t>
      </w:r>
      <w:r w:rsidRPr="00E73F6F">
        <w:t>und</w:t>
      </w:r>
      <w:r w:rsidRPr="00E73F6F">
        <w:rPr>
          <w:spacing w:val="22"/>
        </w:rPr>
        <w:t xml:space="preserve"> </w:t>
      </w:r>
      <w:r w:rsidRPr="00E73F6F">
        <w:t>elektronische</w:t>
      </w:r>
      <w:r w:rsidRPr="00E73F6F">
        <w:rPr>
          <w:spacing w:val="17"/>
        </w:rPr>
        <w:t xml:space="preserve"> </w:t>
      </w:r>
      <w:r w:rsidRPr="00E73F6F">
        <w:t>Befragungen</w:t>
      </w:r>
      <w:r w:rsidRPr="00E73F6F">
        <w:rPr>
          <w:spacing w:val="17"/>
        </w:rPr>
        <w:t xml:space="preserve"> </w:t>
      </w:r>
      <w:r w:rsidRPr="00E73F6F">
        <w:t>nicht</w:t>
      </w:r>
      <w:r w:rsidRPr="00E73F6F">
        <w:rPr>
          <w:spacing w:val="16"/>
        </w:rPr>
        <w:t xml:space="preserve"> </w:t>
      </w:r>
      <w:r w:rsidRPr="00E73F6F">
        <w:t>für</w:t>
      </w:r>
      <w:r w:rsidRPr="00E73F6F">
        <w:rPr>
          <w:spacing w:val="16"/>
        </w:rPr>
        <w:t xml:space="preserve"> </w:t>
      </w:r>
      <w:r w:rsidRPr="00E73F6F">
        <w:t>jedes</w:t>
      </w:r>
      <w:r w:rsidRPr="00E73F6F">
        <w:rPr>
          <w:spacing w:val="18"/>
        </w:rPr>
        <w:t xml:space="preserve"> </w:t>
      </w:r>
      <w:r w:rsidRPr="00E73F6F">
        <w:t>Land</w:t>
      </w:r>
      <w:r w:rsidRPr="00E73F6F">
        <w:rPr>
          <w:spacing w:val="19"/>
        </w:rPr>
        <w:t xml:space="preserve"> </w:t>
      </w:r>
      <w:r w:rsidRPr="00E73F6F">
        <w:rPr>
          <w:spacing w:val="-5"/>
        </w:rPr>
        <w:t>in</w:t>
      </w:r>
      <w:r w:rsidRPr="00E73F6F">
        <w:t xml:space="preserve"> gleichem Maße. Bei einer persönlichen Befragung muss man in Russland, den Niederlanden und Litauen erfahrungsgemäß mit einer besonders hohen Verweigerungsquote rechnen, während vor allem Bulgaren und Slowenen, aber auch Japaner im unmittelbaren Kontakt vergleichsweise auskunftsbereit sind. Dort, wie auch in Österreich, sind aber auffallend viele potenzielle Auskunftspersonen physisch nicht erreichbar. In diesen Ländern fällt es somit schwerer als anderswo, eine unverzerrte Stichprobe zu ziehen. Bei schriftlichen Befragungen kann in skandinavischen Ländern mit einer signifikant höheren Auskunftsbereitschaft gerechnet werden als in Deutschland.</w:t>
      </w:r>
    </w:p>
    <w:p w14:paraId="18E08689" w14:textId="77777777" w:rsidR="00FF7799" w:rsidRPr="00684099" w:rsidRDefault="00FF7799" w:rsidP="008B184E">
      <w:pPr>
        <w:pStyle w:val="StandardText"/>
        <w:rPr>
          <w:sz w:val="22"/>
          <w:szCs w:val="22"/>
        </w:rPr>
      </w:pPr>
      <w:r w:rsidRPr="00684099">
        <w:rPr>
          <w:b/>
          <w:i/>
          <w:sz w:val="22"/>
          <w:szCs w:val="22"/>
          <w:lang w:val="en-US"/>
        </w:rPr>
        <w:t>Literatur:</w:t>
      </w:r>
      <w:r w:rsidRPr="00684099">
        <w:rPr>
          <w:b/>
          <w:sz w:val="22"/>
          <w:szCs w:val="22"/>
          <w:lang w:val="en-US"/>
        </w:rPr>
        <w:t xml:space="preserve"> </w:t>
      </w:r>
      <w:r w:rsidRPr="00684099">
        <w:rPr>
          <w:sz w:val="22"/>
          <w:szCs w:val="22"/>
          <w:lang w:val="en-US"/>
        </w:rPr>
        <w:t>Albaum, G.S.; Duerr, E.; Strandskov, J. (2008): International Marketing and</w:t>
      </w:r>
      <w:r w:rsidRPr="00684099">
        <w:rPr>
          <w:spacing w:val="40"/>
          <w:sz w:val="22"/>
          <w:szCs w:val="22"/>
          <w:lang w:val="en-US"/>
        </w:rPr>
        <w:t xml:space="preserve"> </w:t>
      </w:r>
      <w:r w:rsidRPr="00684099">
        <w:rPr>
          <w:sz w:val="22"/>
          <w:szCs w:val="22"/>
          <w:lang w:val="en-US"/>
        </w:rPr>
        <w:t>Export</w:t>
      </w:r>
      <w:r w:rsidRPr="00684099">
        <w:rPr>
          <w:spacing w:val="-9"/>
          <w:sz w:val="22"/>
          <w:szCs w:val="22"/>
          <w:lang w:val="en-US"/>
        </w:rPr>
        <w:t xml:space="preserve"> </w:t>
      </w:r>
      <w:r w:rsidRPr="00684099">
        <w:rPr>
          <w:sz w:val="22"/>
          <w:szCs w:val="22"/>
          <w:lang w:val="en-US"/>
        </w:rPr>
        <w:t>Management,</w:t>
      </w:r>
      <w:r w:rsidRPr="00684099">
        <w:rPr>
          <w:spacing w:val="-10"/>
          <w:sz w:val="22"/>
          <w:szCs w:val="22"/>
          <w:lang w:val="en-US"/>
        </w:rPr>
        <w:t xml:space="preserve"> </w:t>
      </w:r>
      <w:r w:rsidRPr="00684099">
        <w:rPr>
          <w:sz w:val="22"/>
          <w:szCs w:val="22"/>
          <w:lang w:val="en-US"/>
        </w:rPr>
        <w:t>6th</w:t>
      </w:r>
      <w:r w:rsidRPr="00684099">
        <w:rPr>
          <w:spacing w:val="-9"/>
          <w:sz w:val="22"/>
          <w:szCs w:val="22"/>
          <w:lang w:val="en-US"/>
        </w:rPr>
        <w:t xml:space="preserve"> </w:t>
      </w:r>
      <w:r w:rsidRPr="00684099">
        <w:rPr>
          <w:sz w:val="22"/>
          <w:szCs w:val="22"/>
          <w:lang w:val="en-US"/>
        </w:rPr>
        <w:t>Ed.,</w:t>
      </w:r>
      <w:r w:rsidRPr="00684099">
        <w:rPr>
          <w:spacing w:val="-9"/>
          <w:sz w:val="22"/>
          <w:szCs w:val="22"/>
          <w:lang w:val="en-US"/>
        </w:rPr>
        <w:t xml:space="preserve"> </w:t>
      </w:r>
      <w:r w:rsidRPr="00684099">
        <w:rPr>
          <w:sz w:val="22"/>
          <w:szCs w:val="22"/>
          <w:lang w:val="en-US"/>
        </w:rPr>
        <w:t>Harlow:</w:t>
      </w:r>
      <w:r w:rsidRPr="00684099">
        <w:rPr>
          <w:spacing w:val="-10"/>
          <w:sz w:val="22"/>
          <w:szCs w:val="22"/>
          <w:lang w:val="en-US"/>
        </w:rPr>
        <w:t xml:space="preserve"> </w:t>
      </w:r>
      <w:r w:rsidRPr="00684099">
        <w:rPr>
          <w:sz w:val="22"/>
          <w:szCs w:val="22"/>
          <w:lang w:val="en-US"/>
        </w:rPr>
        <w:t>Prentice</w:t>
      </w:r>
      <w:r w:rsidRPr="00684099">
        <w:rPr>
          <w:spacing w:val="-9"/>
          <w:sz w:val="22"/>
          <w:szCs w:val="22"/>
          <w:lang w:val="en-US"/>
        </w:rPr>
        <w:t xml:space="preserve"> </w:t>
      </w:r>
      <w:r w:rsidRPr="00684099">
        <w:rPr>
          <w:sz w:val="22"/>
          <w:szCs w:val="22"/>
          <w:lang w:val="en-US"/>
        </w:rPr>
        <w:t>Hall.</w:t>
      </w:r>
      <w:r w:rsidRPr="00684099">
        <w:rPr>
          <w:spacing w:val="40"/>
          <w:sz w:val="22"/>
          <w:szCs w:val="22"/>
          <w:lang w:val="en-US"/>
        </w:rPr>
        <w:t xml:space="preserve"> </w:t>
      </w:r>
      <w:r w:rsidRPr="00684099">
        <w:rPr>
          <w:sz w:val="22"/>
          <w:szCs w:val="22"/>
          <w:lang w:val="en-US"/>
        </w:rPr>
        <w:t>Couper,</w:t>
      </w:r>
      <w:r w:rsidRPr="00684099">
        <w:rPr>
          <w:spacing w:val="-9"/>
          <w:sz w:val="22"/>
          <w:szCs w:val="22"/>
          <w:lang w:val="en-US"/>
        </w:rPr>
        <w:t xml:space="preserve"> </w:t>
      </w:r>
      <w:r w:rsidRPr="00684099">
        <w:rPr>
          <w:sz w:val="22"/>
          <w:szCs w:val="22"/>
          <w:lang w:val="en-US"/>
        </w:rPr>
        <w:t>M.P.;</w:t>
      </w:r>
      <w:r w:rsidRPr="00684099">
        <w:rPr>
          <w:spacing w:val="-10"/>
          <w:sz w:val="22"/>
          <w:szCs w:val="22"/>
          <w:lang w:val="en-US"/>
        </w:rPr>
        <w:t xml:space="preserve"> </w:t>
      </w:r>
      <w:r w:rsidRPr="00684099">
        <w:rPr>
          <w:sz w:val="22"/>
          <w:szCs w:val="22"/>
          <w:lang w:val="en-US"/>
        </w:rPr>
        <w:t>De</w:t>
      </w:r>
      <w:r w:rsidRPr="00684099">
        <w:rPr>
          <w:spacing w:val="-9"/>
          <w:sz w:val="22"/>
          <w:szCs w:val="22"/>
          <w:lang w:val="en-US"/>
        </w:rPr>
        <w:t xml:space="preserve"> </w:t>
      </w:r>
      <w:r w:rsidRPr="00684099">
        <w:rPr>
          <w:sz w:val="22"/>
          <w:szCs w:val="22"/>
          <w:lang w:val="en-US"/>
        </w:rPr>
        <w:t>Leeuw,</w:t>
      </w:r>
      <w:r w:rsidRPr="00684099">
        <w:rPr>
          <w:spacing w:val="-9"/>
          <w:sz w:val="22"/>
          <w:szCs w:val="22"/>
          <w:lang w:val="en-US"/>
        </w:rPr>
        <w:t xml:space="preserve"> </w:t>
      </w:r>
      <w:r w:rsidRPr="00684099">
        <w:rPr>
          <w:sz w:val="22"/>
          <w:szCs w:val="22"/>
          <w:lang w:val="en-US"/>
        </w:rPr>
        <w:t>E.D.</w:t>
      </w:r>
      <w:r w:rsidRPr="00684099">
        <w:rPr>
          <w:spacing w:val="-9"/>
          <w:sz w:val="22"/>
          <w:szCs w:val="22"/>
          <w:lang w:val="en-US"/>
        </w:rPr>
        <w:t xml:space="preserve"> </w:t>
      </w:r>
      <w:r w:rsidRPr="00684099">
        <w:rPr>
          <w:sz w:val="22"/>
          <w:szCs w:val="22"/>
          <w:lang w:val="en-US"/>
        </w:rPr>
        <w:t>(2003):</w:t>
      </w:r>
      <w:r w:rsidRPr="00684099">
        <w:rPr>
          <w:spacing w:val="40"/>
          <w:sz w:val="22"/>
          <w:szCs w:val="22"/>
          <w:lang w:val="en-US"/>
        </w:rPr>
        <w:t xml:space="preserve"> </w:t>
      </w:r>
      <w:r w:rsidRPr="00684099">
        <w:rPr>
          <w:sz w:val="22"/>
          <w:szCs w:val="22"/>
          <w:lang w:val="en-US"/>
        </w:rPr>
        <w:t>Nonresponse in Cross-Cultural and Cross-National Surveys, in: Harkness, J.A.; Van de</w:t>
      </w:r>
      <w:r w:rsidRPr="00684099">
        <w:rPr>
          <w:spacing w:val="40"/>
          <w:sz w:val="22"/>
          <w:szCs w:val="22"/>
          <w:lang w:val="en-US"/>
        </w:rPr>
        <w:t xml:space="preserve"> </w:t>
      </w:r>
      <w:r w:rsidRPr="00684099">
        <w:rPr>
          <w:sz w:val="22"/>
          <w:szCs w:val="22"/>
          <w:lang w:val="en-US"/>
        </w:rPr>
        <w:t>Vijver, F.J.R.; Mohler, P.P. (Eds.), Cross-Cultural Survey Methods, 157-177, Hoboken/NJ:</w:t>
      </w:r>
      <w:r w:rsidRPr="00684099">
        <w:rPr>
          <w:spacing w:val="40"/>
          <w:sz w:val="22"/>
          <w:szCs w:val="22"/>
          <w:lang w:val="en-US"/>
        </w:rPr>
        <w:t xml:space="preserve"> </w:t>
      </w:r>
      <w:r w:rsidRPr="00684099">
        <w:rPr>
          <w:sz w:val="22"/>
          <w:szCs w:val="22"/>
          <w:lang w:val="en-US"/>
        </w:rPr>
        <w:t>Wiley.</w:t>
      </w:r>
      <w:r w:rsidRPr="00684099">
        <w:rPr>
          <w:spacing w:val="40"/>
          <w:sz w:val="22"/>
          <w:szCs w:val="22"/>
          <w:lang w:val="en-US"/>
        </w:rPr>
        <w:t xml:space="preserve"> </w:t>
      </w:r>
      <w:r w:rsidRPr="00684099">
        <w:rPr>
          <w:sz w:val="22"/>
          <w:szCs w:val="22"/>
          <w:lang w:val="en-US"/>
        </w:rPr>
        <w:t>Groves,</w:t>
      </w:r>
      <w:r w:rsidRPr="00684099">
        <w:rPr>
          <w:spacing w:val="-4"/>
          <w:sz w:val="22"/>
          <w:szCs w:val="22"/>
          <w:lang w:val="en-US"/>
        </w:rPr>
        <w:t xml:space="preserve"> </w:t>
      </w:r>
      <w:r w:rsidRPr="00684099">
        <w:rPr>
          <w:sz w:val="22"/>
          <w:szCs w:val="22"/>
          <w:lang w:val="en-US"/>
        </w:rPr>
        <w:t>R.M.;</w:t>
      </w:r>
      <w:r w:rsidRPr="00684099">
        <w:rPr>
          <w:spacing w:val="-3"/>
          <w:sz w:val="22"/>
          <w:szCs w:val="22"/>
          <w:lang w:val="en-US"/>
        </w:rPr>
        <w:t xml:space="preserve"> </w:t>
      </w:r>
      <w:r w:rsidRPr="00684099">
        <w:rPr>
          <w:sz w:val="22"/>
          <w:szCs w:val="22"/>
          <w:lang w:val="en-US"/>
        </w:rPr>
        <w:t>Couper,</w:t>
      </w:r>
      <w:r w:rsidRPr="00684099">
        <w:rPr>
          <w:spacing w:val="-4"/>
          <w:sz w:val="22"/>
          <w:szCs w:val="22"/>
          <w:lang w:val="en-US"/>
        </w:rPr>
        <w:t xml:space="preserve"> </w:t>
      </w:r>
      <w:r w:rsidRPr="00684099">
        <w:rPr>
          <w:sz w:val="22"/>
          <w:szCs w:val="22"/>
          <w:lang w:val="en-US"/>
        </w:rPr>
        <w:t>M.P.</w:t>
      </w:r>
      <w:r w:rsidRPr="00684099">
        <w:rPr>
          <w:spacing w:val="-4"/>
          <w:sz w:val="22"/>
          <w:szCs w:val="22"/>
          <w:lang w:val="en-US"/>
        </w:rPr>
        <w:t xml:space="preserve"> </w:t>
      </w:r>
      <w:r w:rsidRPr="00684099">
        <w:rPr>
          <w:sz w:val="22"/>
          <w:szCs w:val="22"/>
          <w:lang w:val="en-US"/>
        </w:rPr>
        <w:t>(1998):</w:t>
      </w:r>
      <w:r w:rsidRPr="00684099">
        <w:rPr>
          <w:spacing w:val="-1"/>
          <w:sz w:val="22"/>
          <w:szCs w:val="22"/>
          <w:lang w:val="en-US"/>
        </w:rPr>
        <w:t xml:space="preserve"> </w:t>
      </w:r>
      <w:r w:rsidRPr="00684099">
        <w:rPr>
          <w:sz w:val="22"/>
          <w:szCs w:val="22"/>
          <w:lang w:val="en-US"/>
        </w:rPr>
        <w:t>Nonresponse</w:t>
      </w:r>
      <w:r w:rsidRPr="00684099">
        <w:rPr>
          <w:spacing w:val="-4"/>
          <w:sz w:val="22"/>
          <w:szCs w:val="22"/>
          <w:lang w:val="en-US"/>
        </w:rPr>
        <w:t xml:space="preserve"> </w:t>
      </w:r>
      <w:r w:rsidRPr="00684099">
        <w:rPr>
          <w:sz w:val="22"/>
          <w:szCs w:val="22"/>
          <w:lang w:val="en-US"/>
        </w:rPr>
        <w:t>in</w:t>
      </w:r>
      <w:r w:rsidRPr="00684099">
        <w:rPr>
          <w:spacing w:val="-1"/>
          <w:sz w:val="22"/>
          <w:szCs w:val="22"/>
          <w:lang w:val="en-US"/>
        </w:rPr>
        <w:t xml:space="preserve"> </w:t>
      </w:r>
      <w:r w:rsidRPr="00684099">
        <w:rPr>
          <w:sz w:val="22"/>
          <w:szCs w:val="22"/>
          <w:lang w:val="en-US"/>
        </w:rPr>
        <w:t>Household Interview</w:t>
      </w:r>
      <w:r w:rsidRPr="00684099">
        <w:rPr>
          <w:spacing w:val="-5"/>
          <w:sz w:val="22"/>
          <w:szCs w:val="22"/>
          <w:lang w:val="en-US"/>
        </w:rPr>
        <w:t xml:space="preserve"> </w:t>
      </w:r>
      <w:r w:rsidRPr="00684099">
        <w:rPr>
          <w:sz w:val="22"/>
          <w:szCs w:val="22"/>
          <w:lang w:val="en-US"/>
        </w:rPr>
        <w:t>Surveys,</w:t>
      </w:r>
      <w:r w:rsidRPr="00684099">
        <w:rPr>
          <w:spacing w:val="40"/>
          <w:sz w:val="22"/>
          <w:szCs w:val="22"/>
          <w:lang w:val="en-US"/>
        </w:rPr>
        <w:t xml:space="preserve"> </w:t>
      </w:r>
      <w:r w:rsidRPr="00684099">
        <w:rPr>
          <w:sz w:val="22"/>
          <w:szCs w:val="22"/>
          <w:lang w:val="en-US"/>
        </w:rPr>
        <w:t>New</w:t>
      </w:r>
      <w:r w:rsidRPr="00684099">
        <w:rPr>
          <w:spacing w:val="-5"/>
          <w:sz w:val="22"/>
          <w:szCs w:val="22"/>
          <w:lang w:val="en-US"/>
        </w:rPr>
        <w:t xml:space="preserve"> </w:t>
      </w:r>
      <w:r w:rsidRPr="00684099">
        <w:rPr>
          <w:sz w:val="22"/>
          <w:szCs w:val="22"/>
          <w:lang w:val="en-US"/>
        </w:rPr>
        <w:t>York:</w:t>
      </w:r>
      <w:r w:rsidRPr="00684099">
        <w:rPr>
          <w:spacing w:val="-3"/>
          <w:sz w:val="22"/>
          <w:szCs w:val="22"/>
          <w:lang w:val="en-US"/>
        </w:rPr>
        <w:t xml:space="preserve"> </w:t>
      </w:r>
      <w:r w:rsidRPr="00684099">
        <w:rPr>
          <w:sz w:val="22"/>
          <w:szCs w:val="22"/>
          <w:lang w:val="en-US"/>
        </w:rPr>
        <w:t>Wiley.</w:t>
      </w:r>
      <w:r w:rsidRPr="00684099">
        <w:rPr>
          <w:spacing w:val="40"/>
          <w:sz w:val="22"/>
          <w:szCs w:val="22"/>
          <w:lang w:val="en-US"/>
        </w:rPr>
        <w:t xml:space="preserve"> </w:t>
      </w:r>
      <w:r w:rsidRPr="00684099">
        <w:rPr>
          <w:sz w:val="22"/>
          <w:szCs w:val="22"/>
        </w:rPr>
        <w:t>Leiblein,</w:t>
      </w:r>
      <w:r w:rsidRPr="00684099">
        <w:rPr>
          <w:spacing w:val="-4"/>
          <w:sz w:val="22"/>
          <w:szCs w:val="22"/>
        </w:rPr>
        <w:t xml:space="preserve"> </w:t>
      </w:r>
      <w:r w:rsidRPr="00684099">
        <w:rPr>
          <w:sz w:val="22"/>
          <w:szCs w:val="22"/>
        </w:rPr>
        <w:t>A.;</w:t>
      </w:r>
      <w:r w:rsidRPr="00684099">
        <w:rPr>
          <w:spacing w:val="-5"/>
          <w:sz w:val="22"/>
          <w:szCs w:val="22"/>
        </w:rPr>
        <w:t xml:space="preserve"> </w:t>
      </w:r>
      <w:r w:rsidRPr="00684099">
        <w:rPr>
          <w:sz w:val="22"/>
          <w:szCs w:val="22"/>
        </w:rPr>
        <w:t>Oglesby,</w:t>
      </w:r>
      <w:r w:rsidRPr="00684099">
        <w:rPr>
          <w:spacing w:val="-6"/>
          <w:sz w:val="22"/>
          <w:szCs w:val="22"/>
        </w:rPr>
        <w:t xml:space="preserve"> </w:t>
      </w:r>
      <w:r w:rsidRPr="00684099">
        <w:rPr>
          <w:sz w:val="22"/>
          <w:szCs w:val="22"/>
        </w:rPr>
        <w:t>S.</w:t>
      </w:r>
      <w:r w:rsidRPr="00684099">
        <w:rPr>
          <w:spacing w:val="-3"/>
          <w:sz w:val="22"/>
          <w:szCs w:val="22"/>
        </w:rPr>
        <w:t xml:space="preserve"> </w:t>
      </w:r>
      <w:r w:rsidRPr="00684099">
        <w:rPr>
          <w:sz w:val="22"/>
          <w:szCs w:val="22"/>
        </w:rPr>
        <w:t>(1993):</w:t>
      </w:r>
      <w:r w:rsidRPr="00684099">
        <w:rPr>
          <w:spacing w:val="-3"/>
          <w:sz w:val="22"/>
          <w:szCs w:val="22"/>
        </w:rPr>
        <w:t xml:space="preserve"> </w:t>
      </w:r>
      <w:r w:rsidRPr="00684099">
        <w:rPr>
          <w:sz w:val="22"/>
          <w:szCs w:val="22"/>
        </w:rPr>
        <w:t>Akzeptanz</w:t>
      </w:r>
      <w:r w:rsidRPr="00684099">
        <w:rPr>
          <w:spacing w:val="-6"/>
          <w:sz w:val="22"/>
          <w:szCs w:val="22"/>
        </w:rPr>
        <w:t xml:space="preserve"> </w:t>
      </w:r>
      <w:r w:rsidRPr="00684099">
        <w:rPr>
          <w:sz w:val="22"/>
          <w:szCs w:val="22"/>
        </w:rPr>
        <w:t>von</w:t>
      </w:r>
      <w:r w:rsidRPr="00684099">
        <w:rPr>
          <w:spacing w:val="-3"/>
          <w:sz w:val="22"/>
          <w:szCs w:val="22"/>
        </w:rPr>
        <w:t xml:space="preserve"> </w:t>
      </w:r>
      <w:r w:rsidRPr="00684099">
        <w:rPr>
          <w:sz w:val="22"/>
          <w:szCs w:val="22"/>
        </w:rPr>
        <w:t>Umfragen.</w:t>
      </w:r>
      <w:r w:rsidRPr="00684099">
        <w:rPr>
          <w:spacing w:val="-6"/>
          <w:sz w:val="22"/>
          <w:szCs w:val="22"/>
        </w:rPr>
        <w:t xml:space="preserve"> </w:t>
      </w:r>
      <w:r w:rsidRPr="00684099">
        <w:rPr>
          <w:sz w:val="22"/>
          <w:szCs w:val="22"/>
        </w:rPr>
        <w:t>Vier</w:t>
      </w:r>
      <w:r w:rsidRPr="00684099">
        <w:rPr>
          <w:spacing w:val="-7"/>
          <w:sz w:val="22"/>
          <w:szCs w:val="22"/>
        </w:rPr>
        <w:t xml:space="preserve"> </w:t>
      </w:r>
      <w:r w:rsidRPr="00684099">
        <w:rPr>
          <w:sz w:val="22"/>
          <w:szCs w:val="22"/>
        </w:rPr>
        <w:t>Länder</w:t>
      </w:r>
      <w:r w:rsidRPr="00684099">
        <w:rPr>
          <w:spacing w:val="40"/>
          <w:sz w:val="22"/>
          <w:szCs w:val="22"/>
        </w:rPr>
        <w:t xml:space="preserve"> </w:t>
      </w:r>
      <w:r w:rsidRPr="00684099">
        <w:rPr>
          <w:sz w:val="22"/>
          <w:szCs w:val="22"/>
        </w:rPr>
        <w:t>im Vergleich, Planung &amp; Analyse, 20(1): 47-54.</w:t>
      </w:r>
    </w:p>
    <w:p w14:paraId="7895ED23" w14:textId="77777777" w:rsidR="00FF7799" w:rsidRPr="00E73F6F" w:rsidRDefault="00FF7799" w:rsidP="008B184E">
      <w:pPr>
        <w:pStyle w:val="StandardText"/>
      </w:pPr>
    </w:p>
    <w:p w14:paraId="2AB760D6" w14:textId="77777777" w:rsidR="00FF7799" w:rsidRPr="00CF3D78" w:rsidRDefault="00FF7799" w:rsidP="00F91246">
      <w:pPr>
        <w:pStyle w:val="berschrift1"/>
        <w:rPr>
          <w:color w:val="2F5496" w:themeColor="accent5" w:themeShade="BF"/>
        </w:rPr>
      </w:pPr>
      <w:r w:rsidRPr="00CF3D78">
        <w:rPr>
          <w:color w:val="2F5496" w:themeColor="accent5" w:themeShade="BF"/>
        </w:rPr>
        <w:t>Ausländerzentralregister</w:t>
      </w:r>
    </w:p>
    <w:p w14:paraId="580AB4CD" w14:textId="77777777" w:rsidR="00FF7799" w:rsidRPr="00E73F6F" w:rsidRDefault="00FF7799" w:rsidP="005A6636">
      <w:pPr>
        <w:pStyle w:val="StandardText"/>
      </w:pPr>
      <w:r w:rsidRPr="00E73F6F">
        <w:t>erfasst und dokumentiert Informationen über Menschen, die ohne deutschen Pass in der Bundesrepublik Deutschland leben.</w:t>
      </w:r>
    </w:p>
    <w:p w14:paraId="2DC70C1E" w14:textId="77777777" w:rsidR="00FF7799" w:rsidRPr="00E73F6F" w:rsidRDefault="00FF7799" w:rsidP="005A6636">
      <w:pPr>
        <w:pStyle w:val="StandardText"/>
      </w:pPr>
    </w:p>
    <w:p w14:paraId="4828A71A" w14:textId="77777777" w:rsidR="00FF7799" w:rsidRPr="00CF3D78" w:rsidRDefault="00FF7799" w:rsidP="00902C45">
      <w:pPr>
        <w:pStyle w:val="berschrift1"/>
        <w:rPr>
          <w:color w:val="2F5496" w:themeColor="accent5" w:themeShade="BF"/>
        </w:rPr>
      </w:pPr>
      <w:r w:rsidRPr="00CF3D78">
        <w:rPr>
          <w:color w:val="2F5496" w:themeColor="accent5" w:themeShade="BF"/>
        </w:rPr>
        <w:t xml:space="preserve">Auslandsentsendung </w:t>
      </w:r>
    </w:p>
    <w:p w14:paraId="5A9F5FDE" w14:textId="77777777" w:rsidR="00FF7799" w:rsidRDefault="00FF7799" w:rsidP="004B091C">
      <w:pPr>
        <w:pStyle w:val="StandardText"/>
      </w:pPr>
      <w:r w:rsidRPr="00E73F6F">
        <w:rPr>
          <w:bCs/>
        </w:rPr>
        <w:t xml:space="preserve">zeitlich befristete, auf Weisung eines inländischen Arbeitgebers ausgeübte Tätigkeit für das entsendende Unternehmen im Ausland. </w:t>
      </w:r>
      <w:r w:rsidRPr="00E73F6F">
        <w:t xml:space="preserve">Angesichts der immer weiter voranschreitenden Globalisierung der Weltwirtschaft sind Auslandsentsendungen mehr denn je ein wichtiger Bestandteil der Personalpolitik international tätiger Unternehmen. In Befragungen geben fast 75% von ihnen an, dass die Zahl der langfristigen Auslandsentsendungen in den nächsten zwei Jahren </w:t>
      </w:r>
      <w:r w:rsidRPr="00E73F6F">
        <w:lastRenderedPageBreak/>
        <w:t>stabil bleiben oder sogar zunehmen wird. Die Kosten einer Auslandsentsendung hängen nicht zuletzt von den Lebenshaltungskosten am jeweiligen Standort ab.</w:t>
      </w:r>
    </w:p>
    <w:p w14:paraId="2F2DB62B" w14:textId="77777777" w:rsidR="000A361D" w:rsidRDefault="000A361D" w:rsidP="004B091C">
      <w:pPr>
        <w:pStyle w:val="StandardText"/>
      </w:pPr>
    </w:p>
    <w:p w14:paraId="07B26664" w14:textId="77777777" w:rsidR="000A361D" w:rsidRPr="00E73F6F" w:rsidRDefault="000A361D" w:rsidP="004B091C">
      <w:pPr>
        <w:pStyle w:val="StandardText"/>
        <w:rPr>
          <w:bCs/>
        </w:rPr>
      </w:pPr>
      <w:r>
        <w:rPr>
          <w:bCs/>
          <w:noProof/>
        </w:rPr>
        <w:drawing>
          <wp:inline distT="0" distB="0" distL="0" distR="0" wp14:anchorId="54F57789" wp14:editId="67F7AFCA">
            <wp:extent cx="4761230" cy="1329055"/>
            <wp:effectExtent l="0" t="0" r="1270" b="4445"/>
            <wp:docPr id="55" name="Grafik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61230" cy="1329055"/>
                    </a:xfrm>
                    <a:prstGeom prst="rect">
                      <a:avLst/>
                    </a:prstGeom>
                    <a:noFill/>
                  </pic:spPr>
                </pic:pic>
              </a:graphicData>
            </a:graphic>
          </wp:inline>
        </w:drawing>
      </w:r>
    </w:p>
    <w:p w14:paraId="620ECAD7" w14:textId="77777777" w:rsidR="00FF7799" w:rsidRPr="00E73F6F" w:rsidRDefault="00FF7799" w:rsidP="004B091C">
      <w:pPr>
        <w:pStyle w:val="StandardText"/>
      </w:pPr>
      <w:r w:rsidRPr="00E73F6F">
        <w:t xml:space="preserve">Die Zulagen, die Expatriates (d.h. Auslandsentsandte) erhalten, orientieren sich u.a. an den </w:t>
      </w:r>
      <w:r w:rsidRPr="00E73F6F">
        <w:rPr>
          <w:rFonts w:ascii="Cambria Math" w:hAnsi="Cambria Math" w:cs="Cambria Math"/>
        </w:rPr>
        <w:t>⇒</w:t>
      </w:r>
      <w:r w:rsidRPr="00E73F6F">
        <w:t xml:space="preserve"> Lebenshaltungskosten an dem Bestimmungsort. Die </w:t>
      </w:r>
      <w:r w:rsidRPr="00684099">
        <w:t>Mercer-</w:t>
      </w:r>
      <w:r w:rsidRPr="00E73F6F">
        <w:t xml:space="preserve">Studie „Cost of Living“ ermittelt jährlich die Lebenshaltungskosten an den wichtigsten Standorten – zuletzt in 207 Großstädten auf den fünf Kontinenten. Ermittelt wird ein Warenkorb, bestehend aus mehr als 200 Produkten und Dienstleistungen (bspw. die Kosten für Miete, öffentliche Verkehrsmittel, Kleidung, Lebensmittel, Lebensmittel, Freizeitangebote). Das weltweit tätige Beratungsunternehmen </w:t>
      </w:r>
      <w:r w:rsidRPr="00E73F6F">
        <w:rPr>
          <w:i/>
        </w:rPr>
        <w:t>Mercer</w:t>
      </w:r>
      <w:r w:rsidRPr="00E73F6F">
        <w:t xml:space="preserve"> (</w:t>
      </w:r>
      <w:hyperlink r:id="rId16" w:history="1">
        <w:r w:rsidRPr="00E73F6F">
          <w:rPr>
            <w:rStyle w:val="Hyperlink"/>
            <w:szCs w:val="24"/>
          </w:rPr>
          <w:t>www.mercer.com</w:t>
        </w:r>
      </w:hyperlink>
      <w:r w:rsidRPr="00E73F6F">
        <w:t>) ist in Deutschland mit über 600 Mitarbeitern u.a. an den Standorten Berlin, Düsseldorf, Frankfurt, Hamburg, Leipzig, München und Stuttgart vertreten (</w:t>
      </w:r>
      <w:hyperlink r:id="rId17" w:history="1">
        <w:r w:rsidRPr="00E73F6F">
          <w:rPr>
            <w:rStyle w:val="Hyperlink"/>
            <w:szCs w:val="24"/>
          </w:rPr>
          <w:t>www.mercer.de</w:t>
        </w:r>
      </w:hyperlink>
      <w:r w:rsidRPr="00E73F6F">
        <w:t>). Die Schwerpunkte der Geschäftstätigkeit liegen in der Beratung von Unternehmen rund um betriebliche Altersversorgung, Vergütung, Human Capital-Strategie, M&amp;A und Investments sowie Pensions-Administration.</w:t>
      </w:r>
    </w:p>
    <w:p w14:paraId="6C888301" w14:textId="77777777" w:rsidR="00FF7799" w:rsidRPr="00E73F6F" w:rsidRDefault="00FF7799" w:rsidP="004B091C">
      <w:pPr>
        <w:pStyle w:val="StandardText"/>
      </w:pPr>
      <w:r w:rsidRPr="00E73F6F">
        <w:t>Zum dritten Mal in Folge erwies sich die angolanische Hauptstadt Luanda als die weltweit teuerste Stadt für Auslandsentsendungen. Insbesondere die Kosten für importierte Waren sowie sicheren und angemessenen Wohnraum sind in der ansonsten eher günstigen Stadt enorm (6.000€ Monatsmiete für ein Apartment mit zwei Schlafräumen, unmöbliert, in „angemessener Nachbarschaft“). Auf Platz zwei folgt Hong Kong. Mit Zürich (3), Genf (5) und Bern (9) zählen gleich drei Schweizer Städte zu den Top-10 der teuersten Standorte. Komplettiert wird diese Liste von vier ost- bzw. südostasiatischen Städten - Singapur (4), Shanghai (6), Peking (7) und Seoul (8) – sowie einer zweiten afrikanischen Stadt: N’Djamena im Tschad (10). Die weltweit günstigste Stadt im Ranking ist Bischkek in Kirgisistan.</w:t>
      </w:r>
    </w:p>
    <w:p w14:paraId="4C16A297" w14:textId="77777777" w:rsidR="00FF7799" w:rsidRPr="00E73F6F" w:rsidRDefault="00FF7799" w:rsidP="004B091C">
      <w:pPr>
        <w:pStyle w:val="StandardText"/>
      </w:pPr>
      <w:r w:rsidRPr="00E73F6F">
        <w:t>Viele westeuropäische Städte schneiden infolge von Währungsverlusten gegenüber dem US-Dollar wesentlich günstiger ab als in den Vorjahren. München (87) ist um 32 Plätze gefallen, Frankfurt (98) um 39 und Berlin (106) um 38 Plätze. Düsseldorf rutscht von 73 auf 114, Hamburg von 76 auf 124. Es folgen Stuttgart (139) und Nürnberg (169), die damit um 48 bzw. 40 Plätze fallen. Die günstigste deutsche Stadt Leipzig tauscht Rang 141 mit Rang 172. Aber auch in anderen Ländern führten Währungseffekte dazu, dass Städte weit im Ranking nach unten gerutscht sind. So sind Moskau (50) und St. Petersburg (152) um 41 bzw. 117 Plätze gefallen, da der Rubel nicht zuletzt aufgrund der Sanktionen stark an Wert verloren hat. Darüber hinaus sind auch die Ölpreise momentan recht niedrig.“</w:t>
      </w:r>
    </w:p>
    <w:p w14:paraId="1B6863FB" w14:textId="77777777" w:rsidR="00FF7799" w:rsidRPr="00E73F6F" w:rsidRDefault="00FF7799" w:rsidP="00862DBA">
      <w:pPr>
        <w:widowControl/>
        <w:autoSpaceDE/>
        <w:autoSpaceDN/>
        <w:jc w:val="both"/>
        <w:rPr>
          <w:sz w:val="24"/>
          <w:szCs w:val="24"/>
        </w:rPr>
      </w:pPr>
    </w:p>
    <w:p w14:paraId="0ED067F5" w14:textId="77777777" w:rsidR="00FF7799" w:rsidRPr="00037FAC" w:rsidRDefault="00FF7799" w:rsidP="00145AF4">
      <w:pPr>
        <w:pStyle w:val="BeschriftungTab"/>
        <w:rPr>
          <w:i/>
          <w:iCs/>
        </w:rPr>
      </w:pPr>
      <w:r w:rsidRPr="00037FAC">
        <w:rPr>
          <w:i/>
          <w:iCs/>
        </w:rPr>
        <w:t>Tab. 1: Platzierung deutscher Städte im Cost of Living-Ranking</w:t>
      </w:r>
    </w:p>
    <w:tbl>
      <w:tblPr>
        <w:tblStyle w:val="Tabellenraster"/>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020"/>
        <w:gridCol w:w="3021"/>
        <w:gridCol w:w="3021"/>
      </w:tblGrid>
      <w:tr w:rsidR="00FF7799" w:rsidRPr="00E73F6F" w14:paraId="4F9E66B5" w14:textId="77777777" w:rsidTr="008941AC">
        <w:trPr>
          <w:tblHeader/>
        </w:trPr>
        <w:tc>
          <w:tcPr>
            <w:tcW w:w="3020" w:type="dxa"/>
            <w:shd w:val="clear" w:color="auto" w:fill="FFC000" w:themeFill="accent4"/>
            <w:vAlign w:val="center"/>
          </w:tcPr>
          <w:p w14:paraId="6C30D853" w14:textId="77777777" w:rsidR="00FF7799" w:rsidRPr="00E73F6F" w:rsidRDefault="00FF7799" w:rsidP="002B059E">
            <w:pPr>
              <w:widowControl/>
              <w:autoSpaceDE/>
              <w:autoSpaceDN/>
              <w:spacing w:before="120" w:after="120"/>
              <w:jc w:val="both"/>
              <w:rPr>
                <w:b/>
                <w:sz w:val="24"/>
                <w:szCs w:val="24"/>
              </w:rPr>
            </w:pPr>
            <w:r w:rsidRPr="00E73F6F">
              <w:rPr>
                <w:b/>
                <w:sz w:val="24"/>
                <w:szCs w:val="24"/>
              </w:rPr>
              <w:t>Rang (2014)</w:t>
            </w:r>
          </w:p>
        </w:tc>
        <w:tc>
          <w:tcPr>
            <w:tcW w:w="3021" w:type="dxa"/>
            <w:shd w:val="clear" w:color="auto" w:fill="FFC000" w:themeFill="accent4"/>
            <w:vAlign w:val="center"/>
          </w:tcPr>
          <w:p w14:paraId="28E7DC71" w14:textId="77777777" w:rsidR="00FF7799" w:rsidRPr="00E73F6F" w:rsidRDefault="00FF7799" w:rsidP="002B059E">
            <w:pPr>
              <w:widowControl/>
              <w:autoSpaceDE/>
              <w:autoSpaceDN/>
              <w:spacing w:before="120" w:after="120"/>
              <w:jc w:val="both"/>
              <w:rPr>
                <w:b/>
                <w:sz w:val="24"/>
                <w:szCs w:val="24"/>
              </w:rPr>
            </w:pPr>
            <w:r w:rsidRPr="00E73F6F">
              <w:rPr>
                <w:b/>
                <w:sz w:val="24"/>
                <w:szCs w:val="24"/>
              </w:rPr>
              <w:t>Rang (2015)</w:t>
            </w:r>
          </w:p>
        </w:tc>
        <w:tc>
          <w:tcPr>
            <w:tcW w:w="3021" w:type="dxa"/>
            <w:shd w:val="clear" w:color="auto" w:fill="FFC000" w:themeFill="accent4"/>
            <w:vAlign w:val="center"/>
          </w:tcPr>
          <w:p w14:paraId="6200B14B" w14:textId="77777777" w:rsidR="00FF7799" w:rsidRPr="00E73F6F" w:rsidRDefault="00FF7799" w:rsidP="002B059E">
            <w:pPr>
              <w:widowControl/>
              <w:autoSpaceDE/>
              <w:autoSpaceDN/>
              <w:spacing w:before="120" w:after="120"/>
              <w:jc w:val="both"/>
              <w:rPr>
                <w:b/>
                <w:sz w:val="24"/>
                <w:szCs w:val="24"/>
              </w:rPr>
            </w:pPr>
            <w:r w:rsidRPr="00E73F6F">
              <w:rPr>
                <w:b/>
                <w:sz w:val="24"/>
                <w:szCs w:val="24"/>
              </w:rPr>
              <w:t>Stadt</w:t>
            </w:r>
          </w:p>
        </w:tc>
      </w:tr>
      <w:tr w:rsidR="00FF7799" w:rsidRPr="00E73F6F" w14:paraId="60A650A6" w14:textId="77777777" w:rsidTr="00E67645">
        <w:tc>
          <w:tcPr>
            <w:tcW w:w="3020" w:type="dxa"/>
            <w:vAlign w:val="center"/>
          </w:tcPr>
          <w:p w14:paraId="0AD70D24" w14:textId="77777777" w:rsidR="00FF7799" w:rsidRPr="00E73F6F" w:rsidRDefault="00FF7799" w:rsidP="008941AC">
            <w:pPr>
              <w:pStyle w:val="StandardText"/>
            </w:pPr>
            <w:r w:rsidRPr="00E73F6F">
              <w:t>55</w:t>
            </w:r>
          </w:p>
        </w:tc>
        <w:tc>
          <w:tcPr>
            <w:tcW w:w="3021" w:type="dxa"/>
            <w:vAlign w:val="center"/>
          </w:tcPr>
          <w:p w14:paraId="771FDA51" w14:textId="77777777" w:rsidR="00FF7799" w:rsidRPr="00E73F6F" w:rsidRDefault="00FF7799" w:rsidP="008941AC">
            <w:pPr>
              <w:pStyle w:val="StandardText"/>
            </w:pPr>
            <w:r w:rsidRPr="00E73F6F">
              <w:t>87</w:t>
            </w:r>
          </w:p>
        </w:tc>
        <w:tc>
          <w:tcPr>
            <w:tcW w:w="3021" w:type="dxa"/>
            <w:vAlign w:val="center"/>
          </w:tcPr>
          <w:p w14:paraId="1C075721" w14:textId="77777777" w:rsidR="00FF7799" w:rsidRPr="00E73F6F" w:rsidRDefault="00FF7799" w:rsidP="008941AC">
            <w:pPr>
              <w:pStyle w:val="StandardText"/>
            </w:pPr>
            <w:r w:rsidRPr="00E73F6F">
              <w:t>München</w:t>
            </w:r>
          </w:p>
        </w:tc>
      </w:tr>
      <w:tr w:rsidR="00FF7799" w:rsidRPr="00E73F6F" w14:paraId="7614888D" w14:textId="77777777" w:rsidTr="00E67645">
        <w:tc>
          <w:tcPr>
            <w:tcW w:w="3020" w:type="dxa"/>
            <w:vAlign w:val="center"/>
          </w:tcPr>
          <w:p w14:paraId="6770CAF7" w14:textId="77777777" w:rsidR="00FF7799" w:rsidRPr="00E73F6F" w:rsidRDefault="00FF7799" w:rsidP="008941AC">
            <w:pPr>
              <w:pStyle w:val="StandardText"/>
            </w:pPr>
            <w:r w:rsidRPr="00E73F6F">
              <w:t>59</w:t>
            </w:r>
          </w:p>
        </w:tc>
        <w:tc>
          <w:tcPr>
            <w:tcW w:w="3021" w:type="dxa"/>
            <w:vAlign w:val="center"/>
          </w:tcPr>
          <w:p w14:paraId="6D275DB0" w14:textId="77777777" w:rsidR="00FF7799" w:rsidRPr="00E73F6F" w:rsidRDefault="00FF7799" w:rsidP="008941AC">
            <w:pPr>
              <w:pStyle w:val="StandardText"/>
            </w:pPr>
            <w:r w:rsidRPr="00E73F6F">
              <w:t>98</w:t>
            </w:r>
          </w:p>
        </w:tc>
        <w:tc>
          <w:tcPr>
            <w:tcW w:w="3021" w:type="dxa"/>
            <w:vAlign w:val="center"/>
          </w:tcPr>
          <w:p w14:paraId="1A4221B9" w14:textId="77777777" w:rsidR="00FF7799" w:rsidRPr="00E73F6F" w:rsidRDefault="00FF7799" w:rsidP="008941AC">
            <w:pPr>
              <w:pStyle w:val="StandardText"/>
            </w:pPr>
            <w:r w:rsidRPr="00E73F6F">
              <w:t>Frankfurt</w:t>
            </w:r>
          </w:p>
        </w:tc>
      </w:tr>
      <w:tr w:rsidR="00FF7799" w:rsidRPr="00E73F6F" w14:paraId="3A4B6F61" w14:textId="77777777" w:rsidTr="00E67645">
        <w:tc>
          <w:tcPr>
            <w:tcW w:w="3020" w:type="dxa"/>
            <w:vAlign w:val="center"/>
          </w:tcPr>
          <w:p w14:paraId="0CC77AF8" w14:textId="77777777" w:rsidR="00FF7799" w:rsidRPr="00E73F6F" w:rsidRDefault="00FF7799" w:rsidP="008941AC">
            <w:pPr>
              <w:pStyle w:val="StandardText"/>
            </w:pPr>
            <w:r w:rsidRPr="00E73F6F">
              <w:t>68</w:t>
            </w:r>
          </w:p>
        </w:tc>
        <w:tc>
          <w:tcPr>
            <w:tcW w:w="3021" w:type="dxa"/>
            <w:vAlign w:val="center"/>
          </w:tcPr>
          <w:p w14:paraId="5BC52561" w14:textId="77777777" w:rsidR="00FF7799" w:rsidRPr="00E73F6F" w:rsidRDefault="00FF7799" w:rsidP="008941AC">
            <w:pPr>
              <w:pStyle w:val="StandardText"/>
            </w:pPr>
            <w:r w:rsidRPr="00E73F6F">
              <w:t>106</w:t>
            </w:r>
          </w:p>
        </w:tc>
        <w:tc>
          <w:tcPr>
            <w:tcW w:w="3021" w:type="dxa"/>
            <w:vAlign w:val="center"/>
          </w:tcPr>
          <w:p w14:paraId="3537D74D" w14:textId="77777777" w:rsidR="00FF7799" w:rsidRPr="00E73F6F" w:rsidRDefault="00FF7799" w:rsidP="008941AC">
            <w:pPr>
              <w:pStyle w:val="StandardText"/>
            </w:pPr>
            <w:r w:rsidRPr="00E73F6F">
              <w:t>Berlin</w:t>
            </w:r>
          </w:p>
        </w:tc>
      </w:tr>
      <w:tr w:rsidR="00FF7799" w:rsidRPr="00E73F6F" w14:paraId="0492185F" w14:textId="77777777" w:rsidTr="00E67645">
        <w:tc>
          <w:tcPr>
            <w:tcW w:w="3020" w:type="dxa"/>
            <w:vAlign w:val="center"/>
          </w:tcPr>
          <w:p w14:paraId="7AFC9DDF" w14:textId="77777777" w:rsidR="00FF7799" w:rsidRPr="00E73F6F" w:rsidRDefault="00FF7799" w:rsidP="008941AC">
            <w:pPr>
              <w:pStyle w:val="StandardText"/>
            </w:pPr>
            <w:r w:rsidRPr="00E73F6F">
              <w:lastRenderedPageBreak/>
              <w:t>73</w:t>
            </w:r>
          </w:p>
        </w:tc>
        <w:tc>
          <w:tcPr>
            <w:tcW w:w="3021" w:type="dxa"/>
            <w:vAlign w:val="center"/>
          </w:tcPr>
          <w:p w14:paraId="484178B6" w14:textId="77777777" w:rsidR="00FF7799" w:rsidRPr="00E73F6F" w:rsidRDefault="00FF7799" w:rsidP="008941AC">
            <w:pPr>
              <w:pStyle w:val="StandardText"/>
            </w:pPr>
            <w:r w:rsidRPr="00E73F6F">
              <w:t>114</w:t>
            </w:r>
          </w:p>
        </w:tc>
        <w:tc>
          <w:tcPr>
            <w:tcW w:w="3021" w:type="dxa"/>
          </w:tcPr>
          <w:p w14:paraId="12C0ABF9" w14:textId="77777777" w:rsidR="00FF7799" w:rsidRPr="00E73F6F" w:rsidRDefault="00FF7799" w:rsidP="008941AC">
            <w:pPr>
              <w:pStyle w:val="StandardText"/>
            </w:pPr>
            <w:r w:rsidRPr="00E73F6F">
              <w:t>Düsseldorf</w:t>
            </w:r>
          </w:p>
        </w:tc>
      </w:tr>
      <w:tr w:rsidR="00FF7799" w:rsidRPr="00E73F6F" w14:paraId="3E7A5DCA" w14:textId="77777777" w:rsidTr="00E67645">
        <w:tc>
          <w:tcPr>
            <w:tcW w:w="3020" w:type="dxa"/>
            <w:vAlign w:val="center"/>
          </w:tcPr>
          <w:p w14:paraId="73BDAEBA" w14:textId="77777777" w:rsidR="00FF7799" w:rsidRPr="00E73F6F" w:rsidRDefault="00FF7799" w:rsidP="008941AC">
            <w:pPr>
              <w:pStyle w:val="StandardText"/>
            </w:pPr>
            <w:r w:rsidRPr="00E73F6F">
              <w:t>76</w:t>
            </w:r>
          </w:p>
        </w:tc>
        <w:tc>
          <w:tcPr>
            <w:tcW w:w="3021" w:type="dxa"/>
            <w:vAlign w:val="center"/>
          </w:tcPr>
          <w:p w14:paraId="4EE51AF1" w14:textId="77777777" w:rsidR="00FF7799" w:rsidRPr="00E73F6F" w:rsidRDefault="00FF7799" w:rsidP="008941AC">
            <w:pPr>
              <w:pStyle w:val="StandardText"/>
            </w:pPr>
            <w:r w:rsidRPr="00E73F6F">
              <w:t>124</w:t>
            </w:r>
          </w:p>
        </w:tc>
        <w:tc>
          <w:tcPr>
            <w:tcW w:w="3021" w:type="dxa"/>
            <w:vAlign w:val="center"/>
          </w:tcPr>
          <w:p w14:paraId="464775AE" w14:textId="77777777" w:rsidR="00FF7799" w:rsidRPr="00E73F6F" w:rsidRDefault="00FF7799" w:rsidP="008941AC">
            <w:pPr>
              <w:pStyle w:val="StandardText"/>
            </w:pPr>
            <w:r w:rsidRPr="00E73F6F">
              <w:t>Hamburg</w:t>
            </w:r>
          </w:p>
        </w:tc>
      </w:tr>
      <w:tr w:rsidR="00FF7799" w:rsidRPr="00E73F6F" w14:paraId="4658D33D" w14:textId="77777777" w:rsidTr="00E67645">
        <w:tc>
          <w:tcPr>
            <w:tcW w:w="3020" w:type="dxa"/>
            <w:vAlign w:val="center"/>
          </w:tcPr>
          <w:p w14:paraId="776CF675" w14:textId="77777777" w:rsidR="00FF7799" w:rsidRPr="00E73F6F" w:rsidRDefault="00FF7799" w:rsidP="008941AC">
            <w:pPr>
              <w:pStyle w:val="StandardText"/>
            </w:pPr>
            <w:r w:rsidRPr="00E73F6F">
              <w:t>91</w:t>
            </w:r>
          </w:p>
        </w:tc>
        <w:tc>
          <w:tcPr>
            <w:tcW w:w="3021" w:type="dxa"/>
            <w:vAlign w:val="center"/>
          </w:tcPr>
          <w:p w14:paraId="2A37CBCF" w14:textId="77777777" w:rsidR="00FF7799" w:rsidRPr="00E73F6F" w:rsidRDefault="00FF7799" w:rsidP="008941AC">
            <w:pPr>
              <w:pStyle w:val="StandardText"/>
            </w:pPr>
            <w:r w:rsidRPr="00E73F6F">
              <w:t>139</w:t>
            </w:r>
          </w:p>
        </w:tc>
        <w:tc>
          <w:tcPr>
            <w:tcW w:w="3021" w:type="dxa"/>
            <w:vAlign w:val="center"/>
          </w:tcPr>
          <w:p w14:paraId="39928DDB" w14:textId="77777777" w:rsidR="00FF7799" w:rsidRPr="00E73F6F" w:rsidRDefault="00FF7799" w:rsidP="008941AC">
            <w:pPr>
              <w:pStyle w:val="StandardText"/>
            </w:pPr>
            <w:r w:rsidRPr="00E73F6F">
              <w:t>Stuttgart</w:t>
            </w:r>
          </w:p>
        </w:tc>
      </w:tr>
      <w:tr w:rsidR="00FF7799" w:rsidRPr="00E73F6F" w14:paraId="34AB288C" w14:textId="77777777" w:rsidTr="00E67645">
        <w:tc>
          <w:tcPr>
            <w:tcW w:w="3020" w:type="dxa"/>
            <w:vAlign w:val="center"/>
          </w:tcPr>
          <w:p w14:paraId="58ACAC57" w14:textId="77777777" w:rsidR="00FF7799" w:rsidRPr="00E73F6F" w:rsidRDefault="00FF7799" w:rsidP="008941AC">
            <w:pPr>
              <w:pStyle w:val="StandardText"/>
            </w:pPr>
            <w:r w:rsidRPr="00E73F6F">
              <w:t>129</w:t>
            </w:r>
          </w:p>
        </w:tc>
        <w:tc>
          <w:tcPr>
            <w:tcW w:w="3021" w:type="dxa"/>
            <w:vAlign w:val="center"/>
          </w:tcPr>
          <w:p w14:paraId="735C75FF" w14:textId="77777777" w:rsidR="00FF7799" w:rsidRPr="00E73F6F" w:rsidRDefault="00FF7799" w:rsidP="008941AC">
            <w:pPr>
              <w:pStyle w:val="StandardText"/>
            </w:pPr>
            <w:r w:rsidRPr="00E73F6F">
              <w:t>169</w:t>
            </w:r>
          </w:p>
        </w:tc>
        <w:tc>
          <w:tcPr>
            <w:tcW w:w="3021" w:type="dxa"/>
            <w:vAlign w:val="center"/>
          </w:tcPr>
          <w:p w14:paraId="3D27A329" w14:textId="77777777" w:rsidR="00FF7799" w:rsidRPr="00E73F6F" w:rsidRDefault="00FF7799" w:rsidP="008941AC">
            <w:pPr>
              <w:pStyle w:val="StandardText"/>
            </w:pPr>
            <w:r w:rsidRPr="00E73F6F">
              <w:t>Nürnberg</w:t>
            </w:r>
          </w:p>
        </w:tc>
      </w:tr>
      <w:tr w:rsidR="00FF7799" w:rsidRPr="00E73F6F" w14:paraId="29A5C03E" w14:textId="77777777" w:rsidTr="00E67645">
        <w:tc>
          <w:tcPr>
            <w:tcW w:w="3020" w:type="dxa"/>
            <w:vAlign w:val="center"/>
          </w:tcPr>
          <w:p w14:paraId="253F55BB" w14:textId="77777777" w:rsidR="00FF7799" w:rsidRPr="00E73F6F" w:rsidRDefault="00FF7799" w:rsidP="008941AC">
            <w:pPr>
              <w:pStyle w:val="StandardText"/>
            </w:pPr>
            <w:r w:rsidRPr="00E73F6F">
              <w:t>141</w:t>
            </w:r>
          </w:p>
        </w:tc>
        <w:tc>
          <w:tcPr>
            <w:tcW w:w="3021" w:type="dxa"/>
            <w:vAlign w:val="center"/>
          </w:tcPr>
          <w:p w14:paraId="09C8BCBB" w14:textId="77777777" w:rsidR="00FF7799" w:rsidRPr="00E73F6F" w:rsidRDefault="00FF7799" w:rsidP="008941AC">
            <w:pPr>
              <w:pStyle w:val="StandardText"/>
            </w:pPr>
            <w:r w:rsidRPr="00E73F6F">
              <w:t>172</w:t>
            </w:r>
          </w:p>
        </w:tc>
        <w:tc>
          <w:tcPr>
            <w:tcW w:w="3021" w:type="dxa"/>
            <w:vAlign w:val="center"/>
          </w:tcPr>
          <w:p w14:paraId="74FD0495" w14:textId="77777777" w:rsidR="00FF7799" w:rsidRPr="00E73F6F" w:rsidRDefault="00FF7799" w:rsidP="008941AC">
            <w:pPr>
              <w:pStyle w:val="StandardText"/>
            </w:pPr>
            <w:r w:rsidRPr="00E73F6F">
              <w:t>Leipzig</w:t>
            </w:r>
          </w:p>
        </w:tc>
      </w:tr>
    </w:tbl>
    <w:p w14:paraId="56CCC498" w14:textId="77777777" w:rsidR="00FF7799" w:rsidRPr="00E73F6F" w:rsidRDefault="00FF7799" w:rsidP="002B059E">
      <w:pPr>
        <w:pStyle w:val="Quellen"/>
      </w:pPr>
      <w:r w:rsidRPr="00E73F6F">
        <w:t>Quelle: Mercer-Studie (2015)</w:t>
      </w:r>
      <w:r w:rsidR="00B00B4D">
        <w:t>.</w:t>
      </w:r>
    </w:p>
    <w:p w14:paraId="089ECC4B" w14:textId="77777777" w:rsidR="00FF7799" w:rsidRDefault="00FF7799" w:rsidP="004B091C">
      <w:pPr>
        <w:pStyle w:val="Quellen"/>
      </w:pPr>
    </w:p>
    <w:p w14:paraId="4F102140" w14:textId="77777777" w:rsidR="00B83089" w:rsidRPr="00BB1DD7" w:rsidRDefault="00B83089" w:rsidP="00B83089">
      <w:pPr>
        <w:spacing w:after="20"/>
        <w:jc w:val="both"/>
        <w:rPr>
          <w:sz w:val="24"/>
          <w:szCs w:val="24"/>
          <w:lang w:bidi="en-US"/>
        </w:rPr>
      </w:pPr>
      <w:r w:rsidRPr="00BB1DD7">
        <w:rPr>
          <w:sz w:val="24"/>
          <w:szCs w:val="24"/>
          <w:lang w:bidi="en-US"/>
        </w:rPr>
        <w:t>Frauen werden nicht nur im Vergleich zu ihren männlichen Kollegen, sondern auch gemessen an dem Anteil, den sie an Führungspositionen haben, auffällig selten entsandt (vgl. Stroh et al. 2000). Erklärbar ist dies insofern, als insb. jüngere Frauen in maskulinen, Machtdistanz akzeptierenden Kul</w:t>
      </w:r>
      <w:r w:rsidRPr="00BB1DD7">
        <w:rPr>
          <w:sz w:val="24"/>
          <w:szCs w:val="24"/>
          <w:lang w:bidi="en-US"/>
        </w:rPr>
        <w:softHyphen/>
        <w:t>turen (z.B. in Japan, Kolumbien, Saudi Arabien) nicht als Verhandlungspartner akzeptiert werden (vgl. Chen 2004). Unverständlich ist diese Ungleichbehandlung aber gleichwohl. Denn es hat sich gezeigt, dass weibliche Führungskräfte an einer Entsendung interessiert sind und dafür aufgrund geschlechtsspezifischer Fähigkeiten (soziale Kompetenz) auch in besonderem Maße geeignet sind (vgl. Domsch/Lieberum 2004; Hartl 2004; Westwood/Leung 1994).</w:t>
      </w:r>
    </w:p>
    <w:p w14:paraId="38D88372" w14:textId="77777777" w:rsidR="00B83089" w:rsidRPr="00BB1DD7" w:rsidRDefault="00B83089" w:rsidP="00B83089">
      <w:pPr>
        <w:tabs>
          <w:tab w:val="right" w:pos="8222"/>
        </w:tabs>
        <w:jc w:val="both"/>
        <w:rPr>
          <w:sz w:val="26"/>
          <w:szCs w:val="20"/>
          <w:lang w:eastAsia="de-DE"/>
        </w:rPr>
      </w:pPr>
    </w:p>
    <w:p w14:paraId="6537752B" w14:textId="77777777" w:rsidR="00B83089" w:rsidRDefault="00B83089" w:rsidP="00B83089">
      <w:pPr>
        <w:jc w:val="both"/>
        <w:rPr>
          <w:sz w:val="24"/>
          <w:szCs w:val="24"/>
          <w:lang w:bidi="en-US"/>
        </w:rPr>
      </w:pPr>
      <w:r w:rsidRPr="00BB1DD7">
        <w:rPr>
          <w:sz w:val="24"/>
          <w:szCs w:val="24"/>
          <w:lang w:bidi="en-US"/>
        </w:rPr>
        <w:t>Ein nicht geringer Teil dieser Entsendungen scheitert jedoch (vgl. Gelbrich 2008, S.255). Konsequenzen eines vorzeitigen Endes sind im Regelfall ein Karriereknick des Mitarbeiters (vgl. Stahl 1999, S.688) und finanzielle Einbußen des Unternehmens sowie Image-Erosion und Verlust an Goodwill (vgl. Bennet et al. 2000, S.239). Erklären lässt sich die hohe Scheiterquote u.a. damit, dass die meisten Unternehmen Mitarbeiter vorrangig aufgrund ihrer fachlichen Qualifikation für einen Auslandseinsatz auswählen (vgl. Anderson 2005, S.579). Darüber wird häufig die Schlüsselqualifikation „interkulturelle Kompetenz“ vernachlässigt</w:t>
      </w:r>
      <w:r>
        <w:rPr>
          <w:sz w:val="24"/>
          <w:szCs w:val="24"/>
          <w:lang w:bidi="en-US"/>
        </w:rPr>
        <w:t xml:space="preserve"> (</w:t>
      </w:r>
      <w:r>
        <w:rPr>
          <w:sz w:val="24"/>
          <w:szCs w:val="24"/>
          <w:lang w:bidi="en-US"/>
        </w:rPr>
        <w:sym w:font="Symbol" w:char="F0DE"/>
      </w:r>
      <w:r>
        <w:rPr>
          <w:sz w:val="24"/>
          <w:szCs w:val="24"/>
          <w:lang w:bidi="en-US"/>
        </w:rPr>
        <w:t xml:space="preserve"> Kompetenz, interkulturelle)</w:t>
      </w:r>
      <w:r w:rsidRPr="00BB1DD7">
        <w:rPr>
          <w:sz w:val="24"/>
          <w:szCs w:val="24"/>
          <w:lang w:bidi="en-US"/>
        </w:rPr>
        <w:t>. Vor allem bei längeren Auslandseinsätzen ist für Beziehungsqualität und Entsendungserfolg maßgeblich (vgl. Yuelu et al. 2003, S.277).</w:t>
      </w:r>
    </w:p>
    <w:p w14:paraId="1B96DAC6" w14:textId="77777777" w:rsidR="00300814" w:rsidRPr="00BB1DD7" w:rsidRDefault="00300814" w:rsidP="00B83089">
      <w:pPr>
        <w:jc w:val="both"/>
        <w:rPr>
          <w:sz w:val="24"/>
          <w:szCs w:val="24"/>
          <w:lang w:bidi="en-US"/>
        </w:rPr>
      </w:pPr>
    </w:p>
    <w:p w14:paraId="0553A3D7" w14:textId="77777777" w:rsidR="00300814" w:rsidRDefault="00300814" w:rsidP="00CF3D78">
      <w:pPr>
        <w:spacing w:after="120"/>
        <w:rPr>
          <w:iCs/>
        </w:rPr>
      </w:pPr>
      <w:r w:rsidRPr="00B00B4D">
        <w:rPr>
          <w:u w:val="single"/>
          <w:lang w:val="en-US"/>
        </w:rPr>
        <w:t>Literatur:</w:t>
      </w:r>
      <w:r w:rsidRPr="00300814">
        <w:rPr>
          <w:lang w:val="en-US"/>
        </w:rPr>
        <w:t xml:space="preserve"> </w:t>
      </w:r>
      <w:r w:rsidRPr="00300814">
        <w:rPr>
          <w:bCs/>
          <w:lang w:val="en-US"/>
        </w:rPr>
        <w:t xml:space="preserve">Anderson, B. (2005): </w:t>
      </w:r>
      <w:r w:rsidRPr="00300814">
        <w:rPr>
          <w:lang w:val="en-US"/>
        </w:rPr>
        <w:t xml:space="preserve">Expatriate Selection. Good Management or Good Luck? International Journal of Human Resource Management, 16(4): 567-583.  </w:t>
      </w:r>
      <w:r w:rsidRPr="00300814">
        <w:rPr>
          <w:bCs/>
          <w:lang w:val="en-US"/>
        </w:rPr>
        <w:t xml:space="preserve">Bennet, R.; Aston, A.; Colquhoun, T. (2000): </w:t>
      </w:r>
      <w:r w:rsidRPr="00300814">
        <w:rPr>
          <w:lang w:val="en-US"/>
        </w:rPr>
        <w:t xml:space="preserve">Cross-Cultural Training. A Critical Step in Ensuring the Success of International Assignments, Human Resource Management, 39(2/3): 239-250.    </w:t>
      </w:r>
      <w:r w:rsidRPr="008702EF">
        <w:rPr>
          <w:lang w:val="en-US"/>
        </w:rPr>
        <w:t xml:space="preserve">Chen, M. (2004): Asian Management Systems. Chinese, Japanese and Korean Styles of Business, London: Routledge.  </w:t>
      </w:r>
      <w:r w:rsidRPr="00300814">
        <w:t>Domsch, U.; Lieberum, U. (2004): Auslandseinsatz weiblicher Füh</w:t>
      </w:r>
      <w:r w:rsidRPr="00300814">
        <w:softHyphen/>
        <w:t xml:space="preserve">rungskräfte, in: Krell, G. (Hrsg.), Chancengleichheit durch Personalpolitik, 231-242, Wiesbaden: Gabler.   </w:t>
      </w:r>
      <w:r w:rsidRPr="00300814">
        <w:rPr>
          <w:lang w:val="en-US"/>
        </w:rPr>
        <w:t xml:space="preserve">Gelbrich, K. (2008): A Contingency Model of Cross-Cultural Adjustment, Die Unternehmung, 62(3): 255-273.    Hartl, K. (2004): The Expatriate Career Transition and Women Managers’ Experiences, Women in Management Review, 19(1): 40-51.   </w:t>
      </w:r>
      <w:r w:rsidRPr="00300814">
        <w:rPr>
          <w:bCs/>
        </w:rPr>
        <w:t xml:space="preserve">Stahl, G.K. (1999): </w:t>
      </w:r>
      <w:r w:rsidRPr="00300814">
        <w:t xml:space="preserve">Deutsche Führungskräfte im Auslandseinsatz. Probleme und Problemlöseerfolge in Japan und in den USA, Die Betriebswirtschaft, 59(5): 687-703.   </w:t>
      </w:r>
      <w:r w:rsidRPr="00300814">
        <w:rPr>
          <w:lang w:val="en-US"/>
        </w:rPr>
        <w:t xml:space="preserve">Stroh, L.K.; Varma, A.; Valy-Durbin, S.J. (2000): Why are Women Left at Home. Are they Unwilling to Go on International Assignment? Journal of World Business, 53 (3): 241-255.   Westwood, R.; Leung, S. (1994): The Female Expatriate Manager Experience. Coping with Gender and Culture, International Studies of Management and Organization, 24(3): 64-85.   </w:t>
      </w:r>
      <w:r w:rsidRPr="00300814">
        <w:rPr>
          <w:iCs/>
          <w:lang w:val="en-US"/>
        </w:rPr>
        <w:t xml:space="preserve">Yuelu, H.; Rayner, C.; Zhuang, L. (2003): Does Intercultural Competence Matter in Intercultural Business Relationship Development? </w:t>
      </w:r>
      <w:r w:rsidRPr="008702EF">
        <w:rPr>
          <w:iCs/>
        </w:rPr>
        <w:t>International Journal of Logistics, 6(4): 277-288.</w:t>
      </w:r>
    </w:p>
    <w:p w14:paraId="74C134A3" w14:textId="77777777" w:rsidR="008D49C6" w:rsidRPr="008702EF" w:rsidRDefault="008D49C6" w:rsidP="00300814">
      <w:pPr>
        <w:spacing w:after="120"/>
        <w:ind w:left="426" w:hanging="426"/>
      </w:pPr>
    </w:p>
    <w:p w14:paraId="330D40A2" w14:textId="77777777" w:rsidR="00FF7799" w:rsidRPr="00E73F6F" w:rsidRDefault="00FF7799" w:rsidP="00902C45">
      <w:pPr>
        <w:pStyle w:val="berschrift1"/>
      </w:pPr>
      <w:r w:rsidRPr="00CF3D78">
        <w:rPr>
          <w:color w:val="2F5496" w:themeColor="accent5" w:themeShade="BF"/>
        </w:rPr>
        <w:t>Auslandsmarketing</w:t>
      </w:r>
      <w:r w:rsidRPr="00E73F6F">
        <w:t xml:space="preserve"> </w:t>
      </w:r>
      <w:r w:rsidRPr="00E73F6F">
        <w:rPr>
          <w:b w:val="0"/>
        </w:rPr>
        <w:t>→ Exportmarketing</w:t>
      </w:r>
    </w:p>
    <w:p w14:paraId="1E756497" w14:textId="77777777" w:rsidR="00FF7799" w:rsidRPr="00CF3D78" w:rsidRDefault="00FF7799" w:rsidP="00902C45">
      <w:pPr>
        <w:pStyle w:val="berschrift1"/>
        <w:rPr>
          <w:color w:val="2F5496" w:themeColor="accent5" w:themeShade="BF"/>
        </w:rPr>
      </w:pPr>
      <w:r w:rsidRPr="00CF3D78">
        <w:rPr>
          <w:color w:val="2F5496" w:themeColor="accent5" w:themeShade="BF"/>
        </w:rPr>
        <w:lastRenderedPageBreak/>
        <w:t>Auslandsmarktforschung</w:t>
      </w:r>
    </w:p>
    <w:p w14:paraId="18A0B140" w14:textId="77777777" w:rsidR="00FF7799" w:rsidRDefault="00FF7799" w:rsidP="007A39A7">
      <w:pPr>
        <w:pStyle w:val="StandardText"/>
      </w:pPr>
      <w:r w:rsidRPr="00E73F6F">
        <w:t>soll primär landeskundliche und wirtschaftsgeographische Informationen über ausländische Märkte beschaffen und aufbereiten (vgl. z.B. Hüttner/Schwarting 2002, S.424ff.; Stahr/Backes 1992). Denn aufgrund einer Vielzahl von Erschwernissen (z.B. Sprachbarriere, geographische und kulturelle Distanz, Mentalität, Unterschiede in Rechtsauffassung und Rechtspflege) zählt der Informationsmangel zu den zentralen Problemen internationaler Unternehmenstätigkeit (</w:t>
      </w:r>
      <w:r w:rsidRPr="00E73F6F">
        <w:rPr>
          <w:rFonts w:ascii="Cambria Math" w:hAnsi="Cambria Math" w:cs="Cambria Math"/>
        </w:rPr>
        <w:t>⇒</w:t>
      </w:r>
      <w:r w:rsidRPr="00E73F6F">
        <w:t xml:space="preserve"> Distanz,</w:t>
      </w:r>
      <w:r w:rsidRPr="00E73F6F">
        <w:rPr>
          <w:spacing w:val="40"/>
        </w:rPr>
        <w:t xml:space="preserve"> </w:t>
      </w:r>
      <w:r w:rsidRPr="00E73F6F">
        <w:t>kulturelle). Vor allem klein- und mittelständische Unternehmen beklagen dies regelmäßig</w:t>
      </w:r>
      <w:r w:rsidRPr="00E73F6F">
        <w:rPr>
          <w:spacing w:val="-2"/>
        </w:rPr>
        <w:t xml:space="preserve"> </w:t>
      </w:r>
      <w:r w:rsidRPr="00E73F6F">
        <w:t>(vgl.</w:t>
      </w:r>
      <w:r w:rsidRPr="00E73F6F">
        <w:rPr>
          <w:spacing w:val="-2"/>
        </w:rPr>
        <w:t xml:space="preserve"> </w:t>
      </w:r>
      <w:r w:rsidRPr="00E73F6F">
        <w:t>von</w:t>
      </w:r>
      <w:r w:rsidRPr="00E73F6F">
        <w:rPr>
          <w:spacing w:val="-2"/>
        </w:rPr>
        <w:t xml:space="preserve"> </w:t>
      </w:r>
      <w:r w:rsidRPr="00E73F6F">
        <w:t>Behr</w:t>
      </w:r>
      <w:r w:rsidRPr="00E73F6F">
        <w:rPr>
          <w:spacing w:val="-3"/>
        </w:rPr>
        <w:t xml:space="preserve"> </w:t>
      </w:r>
      <w:r w:rsidRPr="00E73F6F">
        <w:t>2004).</w:t>
      </w:r>
      <w:r w:rsidRPr="00E73F6F">
        <w:rPr>
          <w:spacing w:val="-4"/>
        </w:rPr>
        <w:t xml:space="preserve"> </w:t>
      </w:r>
      <w:r w:rsidRPr="00E73F6F">
        <w:t>Neben</w:t>
      </w:r>
      <w:r w:rsidRPr="00E73F6F">
        <w:rPr>
          <w:spacing w:val="-2"/>
        </w:rPr>
        <w:t xml:space="preserve"> </w:t>
      </w:r>
      <w:r w:rsidRPr="00E73F6F">
        <w:t>der</w:t>
      </w:r>
      <w:r w:rsidRPr="00E73F6F">
        <w:rPr>
          <w:spacing w:val="-3"/>
        </w:rPr>
        <w:t xml:space="preserve"> </w:t>
      </w:r>
      <w:r w:rsidRPr="00E73F6F">
        <w:t>Auslandsmarktforschung</w:t>
      </w:r>
      <w:r w:rsidRPr="00E73F6F">
        <w:rPr>
          <w:spacing w:val="-2"/>
        </w:rPr>
        <w:t xml:space="preserve"> </w:t>
      </w:r>
      <w:r w:rsidRPr="00E73F6F">
        <w:t>sind</w:t>
      </w:r>
      <w:r w:rsidRPr="00E73F6F">
        <w:rPr>
          <w:spacing w:val="-3"/>
        </w:rPr>
        <w:t xml:space="preserve"> </w:t>
      </w:r>
      <w:r w:rsidRPr="00E73F6F">
        <w:t>die</w:t>
      </w:r>
      <w:r w:rsidRPr="00E73F6F">
        <w:rPr>
          <w:spacing w:val="-2"/>
        </w:rPr>
        <w:t xml:space="preserve"> </w:t>
      </w:r>
      <w:r w:rsidRPr="00E73F6F">
        <w:rPr>
          <w:rFonts w:ascii="Cambria Math" w:hAnsi="Cambria Math" w:cs="Cambria Math"/>
        </w:rPr>
        <w:t>⇒</w:t>
      </w:r>
      <w:r w:rsidRPr="00E73F6F">
        <w:t xml:space="preserve"> Internationale</w:t>
      </w:r>
      <w:r w:rsidRPr="00E73F6F">
        <w:rPr>
          <w:spacing w:val="-1"/>
        </w:rPr>
        <w:t xml:space="preserve"> </w:t>
      </w:r>
      <w:r w:rsidRPr="00E73F6F">
        <w:t>Marktforschung (vgl. Bauer</w:t>
      </w:r>
      <w:r w:rsidRPr="00E73F6F">
        <w:rPr>
          <w:spacing w:val="-1"/>
        </w:rPr>
        <w:t xml:space="preserve"> </w:t>
      </w:r>
      <w:r w:rsidRPr="00E73F6F">
        <w:t>2009)</w:t>
      </w:r>
      <w:r w:rsidRPr="00E73F6F">
        <w:rPr>
          <w:spacing w:val="-1"/>
        </w:rPr>
        <w:t xml:space="preserve"> </w:t>
      </w:r>
      <w:r w:rsidRPr="00E73F6F">
        <w:t>sowie</w:t>
      </w:r>
      <w:r w:rsidRPr="00E73F6F">
        <w:rPr>
          <w:spacing w:val="-1"/>
        </w:rPr>
        <w:t xml:space="preserve"> </w:t>
      </w:r>
      <w:r w:rsidRPr="00E73F6F">
        <w:t>die</w:t>
      </w:r>
      <w:r w:rsidRPr="00E73F6F">
        <w:rPr>
          <w:spacing w:val="-1"/>
        </w:rPr>
        <w:t xml:space="preserve"> </w:t>
      </w:r>
      <w:r w:rsidRPr="00E73F6F">
        <w:t>Interkulturelle</w:t>
      </w:r>
      <w:r w:rsidRPr="00E73F6F">
        <w:rPr>
          <w:spacing w:val="-1"/>
        </w:rPr>
        <w:t xml:space="preserve"> </w:t>
      </w:r>
      <w:r w:rsidRPr="00E73F6F">
        <w:t>Markt- und Marketingforschung bedeutsam.</w:t>
      </w:r>
    </w:p>
    <w:p w14:paraId="67BCA729" w14:textId="77777777" w:rsidR="00684099" w:rsidRPr="00E73F6F" w:rsidRDefault="00684099" w:rsidP="007A39A7">
      <w:pPr>
        <w:pStyle w:val="StandardText"/>
      </w:pPr>
    </w:p>
    <w:p w14:paraId="4B65B19A" w14:textId="77777777" w:rsidR="00FF7799" w:rsidRPr="0026427E" w:rsidRDefault="00FF7799" w:rsidP="007A39A7">
      <w:pPr>
        <w:pStyle w:val="StandardTextkursiv"/>
        <w:rPr>
          <w:i w:val="0"/>
        </w:rPr>
      </w:pPr>
      <w:r w:rsidRPr="0026427E">
        <w:rPr>
          <w:i w:val="0"/>
        </w:rPr>
        <w:t>1 Primärstatistische Auslandsmarktforschung</w:t>
      </w:r>
    </w:p>
    <w:p w14:paraId="175B3564" w14:textId="77777777" w:rsidR="00FF7799" w:rsidRDefault="00FF7799" w:rsidP="007A39A7">
      <w:pPr>
        <w:pStyle w:val="StandardText"/>
        <w:rPr>
          <w:szCs w:val="24"/>
        </w:rPr>
      </w:pPr>
      <w:r w:rsidRPr="00E73F6F">
        <w:rPr>
          <w:szCs w:val="24"/>
        </w:rPr>
        <w:t>Diese Unternehmensfunktion erhebt und verarbeitet zum einen die üblichen Marktinformationen (z.B. Dichte und Leistungsfähigkeit des Distributionsnetzes, Verfügbarkeit von Absatzmittlern, Lebenszyklen von Kunden und Produkten, Produktnormen, verfügbares Einkommen, Messe- und Ausstellungswesen, wettbewerbsrechtliche Vorgaben, etwa den Verbraucherschutz bet</w:t>
      </w:r>
      <w:r w:rsidR="00B00B4D">
        <w:rPr>
          <w:szCs w:val="24"/>
        </w:rPr>
        <w:t xml:space="preserve">reffend). Zum anderen sind die </w:t>
      </w:r>
      <w:r w:rsidR="00B00B4D">
        <w:rPr>
          <w:szCs w:val="24"/>
        </w:rPr>
        <w:sym w:font="Symbol" w:char="F0DE"/>
      </w:r>
      <w:r w:rsidRPr="00E73F6F">
        <w:rPr>
          <w:szCs w:val="24"/>
        </w:rPr>
        <w:t xml:space="preserve"> anthropologischen, geographischen, klimatischen, kulturellen, politischen und rechtlichen Gegebenheiten der verschiedenen Ländermärkte Gegenstand der Auslandsmarktforschung. Allerdings sind nur wenige Marktforschungsinstitute in der Lage, weltweit Marktforschung zu betreiben. Zu den Agenturen, deren globale Infrastruktur dies zulässt, zählt auch die deutsche </w:t>
      </w:r>
      <w:r w:rsidRPr="00E73F6F">
        <w:rPr>
          <w:i/>
          <w:szCs w:val="24"/>
        </w:rPr>
        <w:t>GfK</w:t>
      </w:r>
      <w:r w:rsidRPr="00E73F6F">
        <w:rPr>
          <w:szCs w:val="24"/>
        </w:rPr>
        <w:t>-Gruppe (vgl. Tab. 1).</w:t>
      </w:r>
    </w:p>
    <w:p w14:paraId="211C0C01" w14:textId="77777777" w:rsidR="00684099" w:rsidRPr="00037FAC" w:rsidRDefault="00684099" w:rsidP="007A39A7">
      <w:pPr>
        <w:pStyle w:val="StandardText"/>
        <w:rPr>
          <w:i/>
          <w:iCs/>
          <w:szCs w:val="24"/>
        </w:rPr>
      </w:pPr>
    </w:p>
    <w:p w14:paraId="4C055190" w14:textId="77777777" w:rsidR="00FF7799" w:rsidRPr="00037FAC" w:rsidRDefault="00FF7799" w:rsidP="007A39A7">
      <w:pPr>
        <w:pStyle w:val="BeschriftungTab"/>
        <w:rPr>
          <w:i/>
          <w:iCs/>
        </w:rPr>
      </w:pPr>
      <w:r w:rsidRPr="00037FAC">
        <w:rPr>
          <w:i/>
          <w:iCs/>
        </w:rPr>
        <w:t>Tab. 1: Global Top</w:t>
      </w:r>
      <w:r w:rsidRPr="00037FAC">
        <w:rPr>
          <w:i/>
          <w:iCs/>
          <w:spacing w:val="-1"/>
        </w:rPr>
        <w:t xml:space="preserve"> </w:t>
      </w:r>
      <w:r w:rsidRPr="00037FAC">
        <w:rPr>
          <w:i/>
          <w:iCs/>
        </w:rPr>
        <w:t>25</w:t>
      </w:r>
      <w:r w:rsidRPr="00037FAC">
        <w:rPr>
          <w:i/>
          <w:iCs/>
          <w:spacing w:val="-1"/>
        </w:rPr>
        <w:t xml:space="preserve"> </w:t>
      </w:r>
      <w:r w:rsidRPr="00037FAC">
        <w:rPr>
          <w:i/>
          <w:iCs/>
        </w:rPr>
        <w:t>der Marktforschungsagenturen</w:t>
      </w:r>
    </w:p>
    <w:tbl>
      <w:tblPr>
        <w:tblStyle w:val="TableNormal"/>
        <w:tblW w:w="0" w:type="auto"/>
        <w:tblLayout w:type="fixed"/>
        <w:tblLook w:val="01E0" w:firstRow="1" w:lastRow="1" w:firstColumn="1" w:lastColumn="1" w:noHBand="0" w:noVBand="0"/>
      </w:tblPr>
      <w:tblGrid>
        <w:gridCol w:w="2694"/>
        <w:gridCol w:w="1478"/>
        <w:gridCol w:w="1640"/>
        <w:gridCol w:w="3260"/>
      </w:tblGrid>
      <w:tr w:rsidR="00FF7799" w:rsidRPr="00E73F6F" w14:paraId="6819DCBA" w14:textId="77777777" w:rsidTr="008941AC">
        <w:trPr>
          <w:trHeight w:val="755"/>
          <w:tblHeader/>
        </w:trPr>
        <w:tc>
          <w:tcPr>
            <w:tcW w:w="2694" w:type="dxa"/>
            <w:tcBorders>
              <w:top w:val="single" w:sz="4" w:space="0" w:color="000000"/>
              <w:bottom w:val="single" w:sz="4" w:space="0" w:color="000000"/>
            </w:tcBorders>
            <w:shd w:val="clear" w:color="auto" w:fill="FFC000"/>
          </w:tcPr>
          <w:p w14:paraId="0316DAEE" w14:textId="77777777" w:rsidR="00FF7799" w:rsidRPr="00E73F6F" w:rsidRDefault="00FF7799" w:rsidP="007A39A7">
            <w:pPr>
              <w:pStyle w:val="StandardText"/>
              <w:rPr>
                <w:b/>
                <w:lang w:val="de-DE"/>
              </w:rPr>
            </w:pPr>
            <w:r w:rsidRPr="00E73F6F">
              <w:rPr>
                <w:b/>
                <w:lang w:val="de-DE"/>
              </w:rPr>
              <w:t>Agentur</w:t>
            </w:r>
          </w:p>
        </w:tc>
        <w:tc>
          <w:tcPr>
            <w:tcW w:w="1478" w:type="dxa"/>
            <w:tcBorders>
              <w:top w:val="single" w:sz="4" w:space="0" w:color="000000"/>
              <w:bottom w:val="single" w:sz="4" w:space="0" w:color="000000"/>
            </w:tcBorders>
            <w:shd w:val="clear" w:color="auto" w:fill="FFC000"/>
          </w:tcPr>
          <w:p w14:paraId="1ED9993B" w14:textId="77777777" w:rsidR="00FF7799" w:rsidRPr="00E73F6F" w:rsidRDefault="00FF7799" w:rsidP="007A39A7">
            <w:pPr>
              <w:pStyle w:val="StandardText"/>
              <w:jc w:val="center"/>
              <w:rPr>
                <w:b/>
                <w:lang w:val="de-DE"/>
              </w:rPr>
            </w:pPr>
            <w:r w:rsidRPr="00E73F6F">
              <w:rPr>
                <w:b/>
                <w:lang w:val="de-DE"/>
              </w:rPr>
              <w:t>Sitz</w:t>
            </w:r>
          </w:p>
        </w:tc>
        <w:tc>
          <w:tcPr>
            <w:tcW w:w="1640" w:type="dxa"/>
            <w:tcBorders>
              <w:top w:val="single" w:sz="4" w:space="0" w:color="000000"/>
              <w:bottom w:val="single" w:sz="4" w:space="0" w:color="000000"/>
            </w:tcBorders>
            <w:shd w:val="clear" w:color="auto" w:fill="FFC000"/>
          </w:tcPr>
          <w:p w14:paraId="1CD82BD4" w14:textId="77777777" w:rsidR="00FF7799" w:rsidRPr="00E73F6F" w:rsidRDefault="008941AC" w:rsidP="008941AC">
            <w:pPr>
              <w:pStyle w:val="StandardText"/>
              <w:jc w:val="center"/>
              <w:rPr>
                <w:b/>
                <w:lang w:val="de-DE"/>
              </w:rPr>
            </w:pPr>
            <w:r w:rsidRPr="00E73F6F">
              <w:rPr>
                <w:b/>
                <w:spacing w:val="-2"/>
                <w:lang w:val="de-DE"/>
              </w:rPr>
              <w:t>Vollzeit-</w:t>
            </w:r>
            <w:r w:rsidRPr="00E73F6F">
              <w:rPr>
                <w:b/>
                <w:spacing w:val="-2"/>
                <w:lang w:val="de-DE"/>
              </w:rPr>
              <w:br/>
            </w:r>
            <w:r w:rsidR="00FF7799" w:rsidRPr="00E73F6F">
              <w:rPr>
                <w:b/>
                <w:spacing w:val="-2"/>
                <w:lang w:val="de-DE"/>
              </w:rPr>
              <w:t>beschäftigte</w:t>
            </w:r>
          </w:p>
        </w:tc>
        <w:tc>
          <w:tcPr>
            <w:tcW w:w="3260" w:type="dxa"/>
            <w:tcBorders>
              <w:top w:val="single" w:sz="4" w:space="0" w:color="000000"/>
              <w:bottom w:val="single" w:sz="4" w:space="0" w:color="000000"/>
            </w:tcBorders>
            <w:shd w:val="clear" w:color="auto" w:fill="FFC000"/>
          </w:tcPr>
          <w:p w14:paraId="2C1621C2" w14:textId="77777777" w:rsidR="00FF7799" w:rsidRPr="00E73F6F" w:rsidRDefault="00FF7799" w:rsidP="008941AC">
            <w:pPr>
              <w:pStyle w:val="StandardText"/>
              <w:jc w:val="center"/>
              <w:rPr>
                <w:b/>
                <w:i/>
                <w:lang w:val="de-DE"/>
              </w:rPr>
            </w:pPr>
            <w:r w:rsidRPr="00E73F6F">
              <w:rPr>
                <w:b/>
                <w:lang w:val="de-DE"/>
              </w:rPr>
              <w:t xml:space="preserve">Einkünfte durch </w:t>
            </w:r>
            <w:r w:rsidR="008941AC" w:rsidRPr="00E73F6F">
              <w:rPr>
                <w:b/>
                <w:lang w:val="de-DE"/>
              </w:rPr>
              <w:br/>
            </w:r>
            <w:r w:rsidRPr="00E73F6F">
              <w:rPr>
                <w:b/>
                <w:lang w:val="de-DE"/>
              </w:rPr>
              <w:t>weltweite</w:t>
            </w:r>
            <w:r w:rsidRPr="00E73F6F">
              <w:rPr>
                <w:b/>
                <w:spacing w:val="-10"/>
                <w:lang w:val="de-DE"/>
              </w:rPr>
              <w:t xml:space="preserve"> </w:t>
            </w:r>
            <w:r w:rsidRPr="00E73F6F">
              <w:rPr>
                <w:b/>
                <w:lang w:val="de-DE"/>
              </w:rPr>
              <w:t>Marktforschung</w:t>
            </w:r>
            <w:r w:rsidR="008941AC" w:rsidRPr="00E73F6F">
              <w:rPr>
                <w:b/>
                <w:lang w:val="de-DE"/>
              </w:rPr>
              <w:br/>
            </w:r>
            <w:r w:rsidRPr="00E73F6F">
              <w:rPr>
                <w:b/>
                <w:i/>
                <w:lang w:val="de-DE"/>
              </w:rPr>
              <w:t>(in</w:t>
            </w:r>
            <w:r w:rsidRPr="00E73F6F">
              <w:rPr>
                <w:b/>
                <w:i/>
                <w:spacing w:val="-5"/>
                <w:lang w:val="de-DE"/>
              </w:rPr>
              <w:t xml:space="preserve"> </w:t>
            </w:r>
            <w:r w:rsidRPr="00E73F6F">
              <w:rPr>
                <w:b/>
                <w:i/>
                <w:lang w:val="de-DE"/>
              </w:rPr>
              <w:t>Mio.</w:t>
            </w:r>
            <w:r w:rsidRPr="00E73F6F">
              <w:rPr>
                <w:b/>
                <w:i/>
                <w:spacing w:val="-3"/>
                <w:lang w:val="de-DE"/>
              </w:rPr>
              <w:t xml:space="preserve"> </w:t>
            </w:r>
            <w:r w:rsidRPr="00E73F6F">
              <w:rPr>
                <w:b/>
                <w:i/>
                <w:spacing w:val="-5"/>
                <w:lang w:val="de-DE"/>
              </w:rPr>
              <w:t>$)</w:t>
            </w:r>
          </w:p>
        </w:tc>
      </w:tr>
      <w:tr w:rsidR="00FF7799" w:rsidRPr="00E73F6F" w14:paraId="67A288B5" w14:textId="77777777" w:rsidTr="008941AC">
        <w:trPr>
          <w:trHeight w:val="311"/>
        </w:trPr>
        <w:tc>
          <w:tcPr>
            <w:tcW w:w="2694" w:type="dxa"/>
            <w:tcBorders>
              <w:top w:val="single" w:sz="4" w:space="0" w:color="000000"/>
              <w:bottom w:val="single" w:sz="4" w:space="0" w:color="000000"/>
            </w:tcBorders>
          </w:tcPr>
          <w:p w14:paraId="4335AFD3" w14:textId="77777777" w:rsidR="00FF7799" w:rsidRPr="00E73F6F" w:rsidRDefault="00FF7799" w:rsidP="008941AC">
            <w:pPr>
              <w:pStyle w:val="StandardText"/>
              <w:jc w:val="left"/>
              <w:rPr>
                <w:i/>
                <w:lang w:val="de-DE"/>
              </w:rPr>
            </w:pPr>
            <w:r w:rsidRPr="00E73F6F">
              <w:rPr>
                <w:i/>
                <w:lang w:val="de-DE"/>
              </w:rPr>
              <w:t>The</w:t>
            </w:r>
            <w:r w:rsidRPr="00E73F6F">
              <w:rPr>
                <w:i/>
                <w:spacing w:val="-5"/>
                <w:lang w:val="de-DE"/>
              </w:rPr>
              <w:t xml:space="preserve"> </w:t>
            </w:r>
            <w:r w:rsidRPr="00E73F6F">
              <w:rPr>
                <w:i/>
                <w:lang w:val="de-DE"/>
              </w:rPr>
              <w:t xml:space="preserve">Nielsen </w:t>
            </w:r>
            <w:r w:rsidRPr="00E73F6F">
              <w:rPr>
                <w:i/>
                <w:spacing w:val="-2"/>
                <w:lang w:val="de-DE"/>
              </w:rPr>
              <w:t>Company</w:t>
            </w:r>
          </w:p>
        </w:tc>
        <w:tc>
          <w:tcPr>
            <w:tcW w:w="1478" w:type="dxa"/>
            <w:tcBorders>
              <w:top w:val="single" w:sz="4" w:space="0" w:color="000000"/>
              <w:bottom w:val="single" w:sz="4" w:space="0" w:color="000000"/>
            </w:tcBorders>
          </w:tcPr>
          <w:p w14:paraId="7DA70CD6" w14:textId="77777777" w:rsidR="00FF7799" w:rsidRPr="00E73F6F" w:rsidRDefault="00FF7799" w:rsidP="007A39A7">
            <w:pPr>
              <w:pStyle w:val="StandardText"/>
              <w:jc w:val="center"/>
              <w:rPr>
                <w:lang w:val="de-DE"/>
              </w:rPr>
            </w:pPr>
            <w:r w:rsidRPr="00E73F6F">
              <w:rPr>
                <w:spacing w:val="-5"/>
                <w:lang w:val="de-DE"/>
              </w:rPr>
              <w:t>USA</w:t>
            </w:r>
          </w:p>
        </w:tc>
        <w:tc>
          <w:tcPr>
            <w:tcW w:w="1640" w:type="dxa"/>
            <w:tcBorders>
              <w:top w:val="single" w:sz="4" w:space="0" w:color="000000"/>
              <w:bottom w:val="single" w:sz="4" w:space="0" w:color="000000"/>
            </w:tcBorders>
          </w:tcPr>
          <w:p w14:paraId="0CA4701F" w14:textId="77777777" w:rsidR="00FF7799" w:rsidRPr="00E73F6F" w:rsidRDefault="00FF7799" w:rsidP="007A39A7">
            <w:pPr>
              <w:pStyle w:val="StandardText"/>
              <w:jc w:val="center"/>
              <w:rPr>
                <w:lang w:val="de-DE"/>
              </w:rPr>
            </w:pPr>
            <w:r w:rsidRPr="00E73F6F">
              <w:rPr>
                <w:spacing w:val="-2"/>
                <w:lang w:val="de-DE"/>
              </w:rPr>
              <w:t>34.516</w:t>
            </w:r>
          </w:p>
        </w:tc>
        <w:tc>
          <w:tcPr>
            <w:tcW w:w="3260" w:type="dxa"/>
            <w:tcBorders>
              <w:top w:val="single" w:sz="4" w:space="0" w:color="000000"/>
              <w:bottom w:val="single" w:sz="4" w:space="0" w:color="000000"/>
            </w:tcBorders>
          </w:tcPr>
          <w:p w14:paraId="1B6E0AD7" w14:textId="77777777" w:rsidR="00FF7799" w:rsidRPr="00E73F6F" w:rsidRDefault="00FF7799" w:rsidP="007A39A7">
            <w:pPr>
              <w:pStyle w:val="StandardText"/>
              <w:jc w:val="center"/>
              <w:rPr>
                <w:lang w:val="de-DE"/>
              </w:rPr>
            </w:pPr>
            <w:r w:rsidRPr="00E73F6F">
              <w:rPr>
                <w:spacing w:val="-2"/>
                <w:lang w:val="de-DE"/>
              </w:rPr>
              <w:t>4.575,0</w:t>
            </w:r>
          </w:p>
        </w:tc>
      </w:tr>
      <w:tr w:rsidR="00FF7799" w:rsidRPr="00E73F6F" w14:paraId="5D217707" w14:textId="77777777" w:rsidTr="008941AC">
        <w:trPr>
          <w:trHeight w:val="313"/>
        </w:trPr>
        <w:tc>
          <w:tcPr>
            <w:tcW w:w="2694" w:type="dxa"/>
            <w:tcBorders>
              <w:top w:val="single" w:sz="4" w:space="0" w:color="000000"/>
              <w:bottom w:val="single" w:sz="4" w:space="0" w:color="000000"/>
            </w:tcBorders>
          </w:tcPr>
          <w:p w14:paraId="61638735" w14:textId="77777777" w:rsidR="00FF7799" w:rsidRPr="00E73F6F" w:rsidRDefault="00FF7799" w:rsidP="008941AC">
            <w:pPr>
              <w:pStyle w:val="StandardText"/>
              <w:jc w:val="left"/>
              <w:rPr>
                <w:i/>
                <w:lang w:val="de-DE"/>
              </w:rPr>
            </w:pPr>
            <w:r w:rsidRPr="00E73F6F">
              <w:rPr>
                <w:i/>
                <w:lang w:val="de-DE"/>
              </w:rPr>
              <w:t>The</w:t>
            </w:r>
            <w:r w:rsidRPr="00E73F6F">
              <w:rPr>
                <w:i/>
                <w:spacing w:val="-7"/>
                <w:lang w:val="de-DE"/>
              </w:rPr>
              <w:t xml:space="preserve"> </w:t>
            </w:r>
            <w:r w:rsidRPr="00E73F6F">
              <w:rPr>
                <w:i/>
                <w:lang w:val="de-DE"/>
              </w:rPr>
              <w:t xml:space="preserve">Kantar </w:t>
            </w:r>
            <w:r w:rsidRPr="00E73F6F">
              <w:rPr>
                <w:i/>
                <w:spacing w:val="-2"/>
                <w:lang w:val="de-DE"/>
              </w:rPr>
              <w:t>Group</w:t>
            </w:r>
          </w:p>
        </w:tc>
        <w:tc>
          <w:tcPr>
            <w:tcW w:w="1478" w:type="dxa"/>
            <w:tcBorders>
              <w:top w:val="single" w:sz="4" w:space="0" w:color="000000"/>
              <w:bottom w:val="single" w:sz="4" w:space="0" w:color="000000"/>
            </w:tcBorders>
          </w:tcPr>
          <w:p w14:paraId="4246D4F8" w14:textId="77777777" w:rsidR="00FF7799" w:rsidRPr="00E73F6F" w:rsidRDefault="00FF7799" w:rsidP="007A39A7">
            <w:pPr>
              <w:pStyle w:val="StandardText"/>
              <w:jc w:val="center"/>
              <w:rPr>
                <w:lang w:val="de-DE"/>
              </w:rPr>
            </w:pPr>
            <w:r w:rsidRPr="00E73F6F">
              <w:rPr>
                <w:spacing w:val="-5"/>
                <w:lang w:val="de-DE"/>
              </w:rPr>
              <w:t>GB</w:t>
            </w:r>
          </w:p>
        </w:tc>
        <w:tc>
          <w:tcPr>
            <w:tcW w:w="1640" w:type="dxa"/>
            <w:tcBorders>
              <w:top w:val="single" w:sz="4" w:space="0" w:color="000000"/>
              <w:bottom w:val="single" w:sz="4" w:space="0" w:color="000000"/>
            </w:tcBorders>
          </w:tcPr>
          <w:p w14:paraId="32650A55" w14:textId="77777777" w:rsidR="00FF7799" w:rsidRPr="00E73F6F" w:rsidRDefault="00FF7799" w:rsidP="007A39A7">
            <w:pPr>
              <w:pStyle w:val="StandardText"/>
              <w:jc w:val="center"/>
              <w:rPr>
                <w:lang w:val="de-DE"/>
              </w:rPr>
            </w:pPr>
            <w:r w:rsidRPr="00E73F6F">
              <w:rPr>
                <w:spacing w:val="-2"/>
                <w:lang w:val="de-DE"/>
              </w:rPr>
              <w:t>21.510</w:t>
            </w:r>
          </w:p>
        </w:tc>
        <w:tc>
          <w:tcPr>
            <w:tcW w:w="3260" w:type="dxa"/>
            <w:tcBorders>
              <w:top w:val="single" w:sz="4" w:space="0" w:color="000000"/>
              <w:bottom w:val="single" w:sz="4" w:space="0" w:color="000000"/>
            </w:tcBorders>
          </w:tcPr>
          <w:p w14:paraId="694A295B" w14:textId="77777777" w:rsidR="00FF7799" w:rsidRPr="00E73F6F" w:rsidRDefault="00FF7799" w:rsidP="007A39A7">
            <w:pPr>
              <w:pStyle w:val="StandardText"/>
              <w:jc w:val="center"/>
              <w:rPr>
                <w:lang w:val="de-DE"/>
              </w:rPr>
            </w:pPr>
            <w:r w:rsidRPr="00E73F6F">
              <w:rPr>
                <w:spacing w:val="-2"/>
                <w:lang w:val="de-DE"/>
              </w:rPr>
              <w:t>3.615,1</w:t>
            </w:r>
          </w:p>
        </w:tc>
      </w:tr>
      <w:tr w:rsidR="00FF7799" w:rsidRPr="00E73F6F" w14:paraId="4A22328D" w14:textId="77777777" w:rsidTr="008941AC">
        <w:trPr>
          <w:trHeight w:val="311"/>
        </w:trPr>
        <w:tc>
          <w:tcPr>
            <w:tcW w:w="2694" w:type="dxa"/>
            <w:tcBorders>
              <w:top w:val="single" w:sz="4" w:space="0" w:color="000000"/>
              <w:bottom w:val="single" w:sz="4" w:space="0" w:color="000000"/>
            </w:tcBorders>
          </w:tcPr>
          <w:p w14:paraId="67E021C1" w14:textId="77777777" w:rsidR="00FF7799" w:rsidRPr="00E73F6F" w:rsidRDefault="00FF7799" w:rsidP="008941AC">
            <w:pPr>
              <w:pStyle w:val="StandardText"/>
              <w:jc w:val="left"/>
              <w:rPr>
                <w:i/>
                <w:lang w:val="de-DE"/>
              </w:rPr>
            </w:pPr>
            <w:r w:rsidRPr="00E73F6F">
              <w:rPr>
                <w:i/>
                <w:lang w:val="de-DE"/>
              </w:rPr>
              <w:t>IMS</w:t>
            </w:r>
            <w:r w:rsidRPr="00E73F6F">
              <w:rPr>
                <w:i/>
                <w:spacing w:val="-5"/>
                <w:lang w:val="de-DE"/>
              </w:rPr>
              <w:t xml:space="preserve"> </w:t>
            </w:r>
            <w:r w:rsidRPr="00E73F6F">
              <w:rPr>
                <w:i/>
                <w:lang w:val="de-DE"/>
              </w:rPr>
              <w:t>Health</w:t>
            </w:r>
            <w:r w:rsidRPr="00E73F6F">
              <w:rPr>
                <w:i/>
                <w:spacing w:val="-3"/>
                <w:lang w:val="de-DE"/>
              </w:rPr>
              <w:t xml:space="preserve"> </w:t>
            </w:r>
            <w:r w:rsidRPr="00E73F6F">
              <w:rPr>
                <w:i/>
                <w:lang w:val="de-DE"/>
              </w:rPr>
              <w:t>Inc.</w:t>
            </w:r>
          </w:p>
        </w:tc>
        <w:tc>
          <w:tcPr>
            <w:tcW w:w="1478" w:type="dxa"/>
            <w:tcBorders>
              <w:top w:val="single" w:sz="4" w:space="0" w:color="000000"/>
              <w:bottom w:val="single" w:sz="4" w:space="0" w:color="000000"/>
            </w:tcBorders>
          </w:tcPr>
          <w:p w14:paraId="1C7BDDA1" w14:textId="77777777" w:rsidR="00FF7799" w:rsidRPr="00E73F6F" w:rsidRDefault="00FF7799" w:rsidP="007A39A7">
            <w:pPr>
              <w:pStyle w:val="StandardText"/>
              <w:jc w:val="center"/>
              <w:rPr>
                <w:lang w:val="de-DE"/>
              </w:rPr>
            </w:pPr>
            <w:r w:rsidRPr="00E73F6F">
              <w:rPr>
                <w:spacing w:val="-5"/>
                <w:lang w:val="de-DE"/>
              </w:rPr>
              <w:t>USA</w:t>
            </w:r>
          </w:p>
        </w:tc>
        <w:tc>
          <w:tcPr>
            <w:tcW w:w="1640" w:type="dxa"/>
            <w:tcBorders>
              <w:top w:val="single" w:sz="4" w:space="0" w:color="000000"/>
              <w:bottom w:val="single" w:sz="4" w:space="0" w:color="000000"/>
            </w:tcBorders>
          </w:tcPr>
          <w:p w14:paraId="56F22E45" w14:textId="77777777" w:rsidR="00FF7799" w:rsidRPr="00E73F6F" w:rsidRDefault="00FF7799" w:rsidP="007A39A7">
            <w:pPr>
              <w:pStyle w:val="StandardText"/>
              <w:jc w:val="center"/>
              <w:rPr>
                <w:lang w:val="de-DE"/>
              </w:rPr>
            </w:pPr>
            <w:r w:rsidRPr="00E73F6F">
              <w:rPr>
                <w:spacing w:val="-2"/>
                <w:lang w:val="de-DE"/>
              </w:rPr>
              <w:t>7.500</w:t>
            </w:r>
          </w:p>
        </w:tc>
        <w:tc>
          <w:tcPr>
            <w:tcW w:w="3260" w:type="dxa"/>
            <w:tcBorders>
              <w:top w:val="single" w:sz="4" w:space="0" w:color="000000"/>
              <w:bottom w:val="single" w:sz="4" w:space="0" w:color="000000"/>
            </w:tcBorders>
          </w:tcPr>
          <w:p w14:paraId="23E60388" w14:textId="77777777" w:rsidR="00FF7799" w:rsidRPr="00E73F6F" w:rsidRDefault="00FF7799" w:rsidP="007A39A7">
            <w:pPr>
              <w:pStyle w:val="StandardText"/>
              <w:jc w:val="center"/>
              <w:rPr>
                <w:lang w:val="de-DE"/>
              </w:rPr>
            </w:pPr>
            <w:r w:rsidRPr="00E73F6F">
              <w:rPr>
                <w:spacing w:val="-2"/>
                <w:lang w:val="de-DE"/>
              </w:rPr>
              <w:t>2.329,5</w:t>
            </w:r>
          </w:p>
        </w:tc>
      </w:tr>
      <w:tr w:rsidR="00FF7799" w:rsidRPr="00E73F6F" w14:paraId="7861CFE7" w14:textId="77777777" w:rsidTr="008941AC">
        <w:trPr>
          <w:trHeight w:val="311"/>
        </w:trPr>
        <w:tc>
          <w:tcPr>
            <w:tcW w:w="2694" w:type="dxa"/>
            <w:tcBorders>
              <w:top w:val="single" w:sz="4" w:space="0" w:color="000000"/>
              <w:bottom w:val="single" w:sz="4" w:space="0" w:color="000000"/>
            </w:tcBorders>
          </w:tcPr>
          <w:p w14:paraId="1CFA2344" w14:textId="77777777" w:rsidR="00FF7799" w:rsidRPr="00E73F6F" w:rsidRDefault="00FF7799" w:rsidP="008941AC">
            <w:pPr>
              <w:pStyle w:val="StandardText"/>
              <w:jc w:val="left"/>
              <w:rPr>
                <w:i/>
                <w:lang w:val="de-DE"/>
              </w:rPr>
            </w:pPr>
            <w:r w:rsidRPr="00E73F6F">
              <w:rPr>
                <w:i/>
                <w:lang w:val="de-DE"/>
              </w:rPr>
              <w:t>GfK</w:t>
            </w:r>
            <w:r w:rsidRPr="00E73F6F">
              <w:rPr>
                <w:i/>
                <w:spacing w:val="-2"/>
                <w:lang w:val="de-DE"/>
              </w:rPr>
              <w:t xml:space="preserve"> </w:t>
            </w:r>
            <w:r w:rsidRPr="00E73F6F">
              <w:rPr>
                <w:i/>
                <w:spacing w:val="-5"/>
                <w:lang w:val="de-DE"/>
              </w:rPr>
              <w:t>SE</w:t>
            </w:r>
          </w:p>
        </w:tc>
        <w:tc>
          <w:tcPr>
            <w:tcW w:w="1478" w:type="dxa"/>
            <w:tcBorders>
              <w:top w:val="single" w:sz="4" w:space="0" w:color="000000"/>
              <w:bottom w:val="single" w:sz="4" w:space="0" w:color="000000"/>
            </w:tcBorders>
          </w:tcPr>
          <w:p w14:paraId="4327AB97" w14:textId="77777777" w:rsidR="00FF7799" w:rsidRPr="00E73F6F" w:rsidRDefault="00FF7799" w:rsidP="007A39A7">
            <w:pPr>
              <w:pStyle w:val="StandardText"/>
              <w:jc w:val="center"/>
              <w:rPr>
                <w:lang w:val="de-DE"/>
              </w:rPr>
            </w:pPr>
            <w:r w:rsidRPr="00E73F6F">
              <w:rPr>
                <w:spacing w:val="-2"/>
                <w:lang w:val="de-DE"/>
              </w:rPr>
              <w:t>Deutschland</w:t>
            </w:r>
          </w:p>
        </w:tc>
        <w:tc>
          <w:tcPr>
            <w:tcW w:w="1640" w:type="dxa"/>
            <w:tcBorders>
              <w:top w:val="single" w:sz="4" w:space="0" w:color="000000"/>
              <w:bottom w:val="single" w:sz="4" w:space="0" w:color="000000"/>
            </w:tcBorders>
          </w:tcPr>
          <w:p w14:paraId="63EE890F" w14:textId="77777777" w:rsidR="00FF7799" w:rsidRPr="00E73F6F" w:rsidRDefault="00FF7799" w:rsidP="007A39A7">
            <w:pPr>
              <w:pStyle w:val="StandardText"/>
              <w:jc w:val="center"/>
              <w:rPr>
                <w:lang w:val="de-DE"/>
              </w:rPr>
            </w:pPr>
            <w:r w:rsidRPr="00E73F6F">
              <w:rPr>
                <w:spacing w:val="-2"/>
                <w:lang w:val="de-DE"/>
              </w:rPr>
              <w:t>9.692</w:t>
            </w:r>
          </w:p>
        </w:tc>
        <w:tc>
          <w:tcPr>
            <w:tcW w:w="3260" w:type="dxa"/>
            <w:tcBorders>
              <w:top w:val="single" w:sz="4" w:space="0" w:color="000000"/>
              <w:bottom w:val="single" w:sz="4" w:space="0" w:color="000000"/>
            </w:tcBorders>
          </w:tcPr>
          <w:p w14:paraId="510CF00C" w14:textId="77777777" w:rsidR="00FF7799" w:rsidRPr="00E73F6F" w:rsidRDefault="00FF7799" w:rsidP="007A39A7">
            <w:pPr>
              <w:pStyle w:val="StandardText"/>
              <w:jc w:val="center"/>
              <w:rPr>
                <w:lang w:val="de-DE"/>
              </w:rPr>
            </w:pPr>
            <w:r w:rsidRPr="00E73F6F">
              <w:rPr>
                <w:spacing w:val="-2"/>
                <w:lang w:val="de-DE"/>
              </w:rPr>
              <w:t>1.797,2</w:t>
            </w:r>
          </w:p>
        </w:tc>
      </w:tr>
      <w:tr w:rsidR="00FF7799" w:rsidRPr="00E73F6F" w14:paraId="77F1628E" w14:textId="77777777" w:rsidTr="008941AC">
        <w:trPr>
          <w:trHeight w:val="312"/>
        </w:trPr>
        <w:tc>
          <w:tcPr>
            <w:tcW w:w="2694" w:type="dxa"/>
            <w:tcBorders>
              <w:top w:val="single" w:sz="4" w:space="0" w:color="000000"/>
              <w:bottom w:val="single" w:sz="4" w:space="0" w:color="000000"/>
            </w:tcBorders>
          </w:tcPr>
          <w:p w14:paraId="5B71BF10" w14:textId="77777777" w:rsidR="00FF7799" w:rsidRPr="00E73F6F" w:rsidRDefault="00FF7799" w:rsidP="008941AC">
            <w:pPr>
              <w:pStyle w:val="StandardText"/>
              <w:jc w:val="left"/>
              <w:rPr>
                <w:i/>
                <w:lang w:val="de-DE"/>
              </w:rPr>
            </w:pPr>
            <w:r w:rsidRPr="00E73F6F">
              <w:rPr>
                <w:i/>
                <w:lang w:val="de-DE"/>
              </w:rPr>
              <w:t>Ipsos</w:t>
            </w:r>
            <w:r w:rsidRPr="00E73F6F">
              <w:rPr>
                <w:i/>
                <w:spacing w:val="-5"/>
                <w:lang w:val="de-DE"/>
              </w:rPr>
              <w:t xml:space="preserve"> </w:t>
            </w:r>
            <w:r w:rsidRPr="00E73F6F">
              <w:rPr>
                <w:i/>
                <w:lang w:val="de-DE"/>
              </w:rPr>
              <w:t>Group S.A.</w:t>
            </w:r>
          </w:p>
        </w:tc>
        <w:tc>
          <w:tcPr>
            <w:tcW w:w="1478" w:type="dxa"/>
            <w:tcBorders>
              <w:top w:val="single" w:sz="4" w:space="0" w:color="000000"/>
              <w:bottom w:val="single" w:sz="4" w:space="0" w:color="000000"/>
            </w:tcBorders>
          </w:tcPr>
          <w:p w14:paraId="35BBA340" w14:textId="77777777" w:rsidR="00FF7799" w:rsidRPr="00E73F6F" w:rsidRDefault="00FF7799" w:rsidP="007A39A7">
            <w:pPr>
              <w:pStyle w:val="StandardText"/>
              <w:jc w:val="center"/>
              <w:rPr>
                <w:lang w:val="de-DE"/>
              </w:rPr>
            </w:pPr>
            <w:r w:rsidRPr="00E73F6F">
              <w:rPr>
                <w:spacing w:val="-2"/>
                <w:lang w:val="de-DE"/>
              </w:rPr>
              <w:t>Frankreich</w:t>
            </w:r>
          </w:p>
        </w:tc>
        <w:tc>
          <w:tcPr>
            <w:tcW w:w="1640" w:type="dxa"/>
            <w:tcBorders>
              <w:top w:val="single" w:sz="4" w:space="0" w:color="000000"/>
              <w:bottom w:val="single" w:sz="4" w:space="0" w:color="000000"/>
            </w:tcBorders>
          </w:tcPr>
          <w:p w14:paraId="7A72B14D" w14:textId="77777777" w:rsidR="00FF7799" w:rsidRPr="00E73F6F" w:rsidRDefault="00FF7799" w:rsidP="007A39A7">
            <w:pPr>
              <w:pStyle w:val="StandardText"/>
              <w:jc w:val="center"/>
              <w:rPr>
                <w:lang w:val="de-DE"/>
              </w:rPr>
            </w:pPr>
            <w:r w:rsidRPr="00E73F6F">
              <w:rPr>
                <w:spacing w:val="-2"/>
                <w:lang w:val="de-DE"/>
              </w:rPr>
              <w:t>9.094</w:t>
            </w:r>
          </w:p>
        </w:tc>
        <w:tc>
          <w:tcPr>
            <w:tcW w:w="3260" w:type="dxa"/>
            <w:tcBorders>
              <w:top w:val="single" w:sz="4" w:space="0" w:color="000000"/>
              <w:bottom w:val="single" w:sz="4" w:space="0" w:color="000000"/>
            </w:tcBorders>
          </w:tcPr>
          <w:p w14:paraId="1D08DC1F" w14:textId="77777777" w:rsidR="00FF7799" w:rsidRPr="00E73F6F" w:rsidRDefault="00FF7799" w:rsidP="007A39A7">
            <w:pPr>
              <w:pStyle w:val="StandardText"/>
              <w:jc w:val="center"/>
              <w:rPr>
                <w:lang w:val="de-DE"/>
              </w:rPr>
            </w:pPr>
            <w:r w:rsidRPr="00E73F6F">
              <w:rPr>
                <w:spacing w:val="-2"/>
                <w:lang w:val="de-DE"/>
              </w:rPr>
              <w:t>1.442,1</w:t>
            </w:r>
          </w:p>
        </w:tc>
      </w:tr>
      <w:tr w:rsidR="00FF7799" w:rsidRPr="00E73F6F" w14:paraId="5E17E109" w14:textId="77777777" w:rsidTr="008941AC">
        <w:trPr>
          <w:trHeight w:val="311"/>
        </w:trPr>
        <w:tc>
          <w:tcPr>
            <w:tcW w:w="2694" w:type="dxa"/>
            <w:tcBorders>
              <w:top w:val="single" w:sz="4" w:space="0" w:color="000000"/>
              <w:bottom w:val="single" w:sz="4" w:space="0" w:color="000000"/>
            </w:tcBorders>
          </w:tcPr>
          <w:p w14:paraId="025EE4DD" w14:textId="77777777" w:rsidR="00FF7799" w:rsidRPr="00E73F6F" w:rsidRDefault="00FF7799" w:rsidP="008941AC">
            <w:pPr>
              <w:pStyle w:val="StandardText"/>
              <w:jc w:val="left"/>
              <w:rPr>
                <w:i/>
                <w:lang w:val="de-DE"/>
              </w:rPr>
            </w:pPr>
            <w:r w:rsidRPr="00E73F6F">
              <w:rPr>
                <w:i/>
                <w:spacing w:val="-2"/>
                <w:lang w:val="de-DE"/>
              </w:rPr>
              <w:t>Synovate</w:t>
            </w:r>
          </w:p>
        </w:tc>
        <w:tc>
          <w:tcPr>
            <w:tcW w:w="1478" w:type="dxa"/>
            <w:tcBorders>
              <w:top w:val="single" w:sz="4" w:space="0" w:color="000000"/>
              <w:bottom w:val="single" w:sz="4" w:space="0" w:color="000000"/>
            </w:tcBorders>
          </w:tcPr>
          <w:p w14:paraId="0D7EAEC1" w14:textId="77777777" w:rsidR="00FF7799" w:rsidRPr="00E73F6F" w:rsidRDefault="00FF7799" w:rsidP="007A39A7">
            <w:pPr>
              <w:pStyle w:val="StandardText"/>
              <w:jc w:val="center"/>
              <w:rPr>
                <w:lang w:val="de-DE"/>
              </w:rPr>
            </w:pPr>
            <w:r w:rsidRPr="00E73F6F">
              <w:rPr>
                <w:spacing w:val="-2"/>
                <w:lang w:val="de-DE"/>
              </w:rPr>
              <w:t>Großbritannien</w:t>
            </w:r>
          </w:p>
        </w:tc>
        <w:tc>
          <w:tcPr>
            <w:tcW w:w="1640" w:type="dxa"/>
            <w:tcBorders>
              <w:top w:val="single" w:sz="4" w:space="0" w:color="000000"/>
              <w:bottom w:val="single" w:sz="4" w:space="0" w:color="000000"/>
            </w:tcBorders>
          </w:tcPr>
          <w:p w14:paraId="5002EBFF" w14:textId="77777777" w:rsidR="00FF7799" w:rsidRPr="00E73F6F" w:rsidRDefault="00FF7799" w:rsidP="007A39A7">
            <w:pPr>
              <w:pStyle w:val="StandardText"/>
              <w:jc w:val="center"/>
              <w:rPr>
                <w:lang w:val="de-DE"/>
              </w:rPr>
            </w:pPr>
            <w:r w:rsidRPr="00E73F6F">
              <w:rPr>
                <w:spacing w:val="-2"/>
                <w:lang w:val="de-DE"/>
              </w:rPr>
              <w:t>6.746</w:t>
            </w:r>
          </w:p>
        </w:tc>
        <w:tc>
          <w:tcPr>
            <w:tcW w:w="3260" w:type="dxa"/>
            <w:tcBorders>
              <w:top w:val="single" w:sz="4" w:space="0" w:color="000000"/>
              <w:bottom w:val="single" w:sz="4" w:space="0" w:color="000000"/>
            </w:tcBorders>
          </w:tcPr>
          <w:p w14:paraId="1B2463DD" w14:textId="77777777" w:rsidR="00FF7799" w:rsidRPr="00E73F6F" w:rsidRDefault="00FF7799" w:rsidP="007A39A7">
            <w:pPr>
              <w:pStyle w:val="StandardText"/>
              <w:jc w:val="center"/>
              <w:rPr>
                <w:lang w:val="de-DE"/>
              </w:rPr>
            </w:pPr>
            <w:r w:rsidRPr="00E73F6F">
              <w:rPr>
                <w:spacing w:val="-2"/>
                <w:lang w:val="de-DE"/>
              </w:rPr>
              <w:t>961,0</w:t>
            </w:r>
          </w:p>
        </w:tc>
      </w:tr>
      <w:tr w:rsidR="00FF7799" w:rsidRPr="00E73F6F" w14:paraId="09C6B339" w14:textId="77777777" w:rsidTr="008941AC">
        <w:trPr>
          <w:trHeight w:val="311"/>
        </w:trPr>
        <w:tc>
          <w:tcPr>
            <w:tcW w:w="2694" w:type="dxa"/>
            <w:tcBorders>
              <w:top w:val="single" w:sz="4" w:space="0" w:color="000000"/>
              <w:bottom w:val="single" w:sz="4" w:space="0" w:color="000000"/>
            </w:tcBorders>
          </w:tcPr>
          <w:p w14:paraId="5521089C" w14:textId="77777777" w:rsidR="00FF7799" w:rsidRPr="00E73F6F" w:rsidRDefault="00FF7799" w:rsidP="008941AC">
            <w:pPr>
              <w:pStyle w:val="StandardText"/>
              <w:jc w:val="left"/>
              <w:rPr>
                <w:i/>
                <w:lang w:val="de-DE"/>
              </w:rPr>
            </w:pPr>
            <w:r w:rsidRPr="00E73F6F">
              <w:rPr>
                <w:i/>
                <w:spacing w:val="-5"/>
                <w:lang w:val="de-DE"/>
              </w:rPr>
              <w:t>IRI</w:t>
            </w:r>
          </w:p>
        </w:tc>
        <w:tc>
          <w:tcPr>
            <w:tcW w:w="1478" w:type="dxa"/>
            <w:tcBorders>
              <w:top w:val="single" w:sz="4" w:space="0" w:color="000000"/>
              <w:bottom w:val="single" w:sz="4" w:space="0" w:color="000000"/>
            </w:tcBorders>
          </w:tcPr>
          <w:p w14:paraId="6F54298D" w14:textId="77777777" w:rsidR="00FF7799" w:rsidRPr="00E73F6F" w:rsidRDefault="00FF7799" w:rsidP="007A39A7">
            <w:pPr>
              <w:pStyle w:val="StandardText"/>
              <w:jc w:val="center"/>
              <w:rPr>
                <w:lang w:val="de-DE"/>
              </w:rPr>
            </w:pPr>
            <w:r w:rsidRPr="00E73F6F">
              <w:rPr>
                <w:spacing w:val="-5"/>
                <w:lang w:val="de-DE"/>
              </w:rPr>
              <w:t>USA</w:t>
            </w:r>
          </w:p>
        </w:tc>
        <w:tc>
          <w:tcPr>
            <w:tcW w:w="1640" w:type="dxa"/>
            <w:tcBorders>
              <w:top w:val="single" w:sz="4" w:space="0" w:color="000000"/>
              <w:bottom w:val="single" w:sz="4" w:space="0" w:color="000000"/>
            </w:tcBorders>
          </w:tcPr>
          <w:p w14:paraId="0ACB011C" w14:textId="77777777" w:rsidR="00FF7799" w:rsidRPr="00E73F6F" w:rsidRDefault="00FF7799" w:rsidP="007A39A7">
            <w:pPr>
              <w:pStyle w:val="StandardText"/>
              <w:jc w:val="center"/>
              <w:rPr>
                <w:lang w:val="de-DE"/>
              </w:rPr>
            </w:pPr>
            <w:r w:rsidRPr="00E73F6F">
              <w:rPr>
                <w:spacing w:val="-2"/>
                <w:lang w:val="de-DE"/>
              </w:rPr>
              <w:t>3.600</w:t>
            </w:r>
          </w:p>
        </w:tc>
        <w:tc>
          <w:tcPr>
            <w:tcW w:w="3260" w:type="dxa"/>
            <w:tcBorders>
              <w:top w:val="single" w:sz="4" w:space="0" w:color="000000"/>
              <w:bottom w:val="single" w:sz="4" w:space="0" w:color="000000"/>
            </w:tcBorders>
          </w:tcPr>
          <w:p w14:paraId="28F63E74" w14:textId="77777777" w:rsidR="00FF7799" w:rsidRPr="00E73F6F" w:rsidRDefault="00FF7799" w:rsidP="007A39A7">
            <w:pPr>
              <w:pStyle w:val="StandardText"/>
              <w:jc w:val="center"/>
              <w:rPr>
                <w:lang w:val="de-DE"/>
              </w:rPr>
            </w:pPr>
            <w:r w:rsidRPr="00E73F6F">
              <w:rPr>
                <w:spacing w:val="-2"/>
                <w:lang w:val="de-DE"/>
              </w:rPr>
              <w:t>725,0</w:t>
            </w:r>
          </w:p>
        </w:tc>
      </w:tr>
      <w:tr w:rsidR="00FF7799" w:rsidRPr="00E73F6F" w14:paraId="3DBA61CF" w14:textId="77777777" w:rsidTr="008941AC">
        <w:trPr>
          <w:trHeight w:val="311"/>
        </w:trPr>
        <w:tc>
          <w:tcPr>
            <w:tcW w:w="2694" w:type="dxa"/>
            <w:tcBorders>
              <w:top w:val="single" w:sz="4" w:space="0" w:color="000000"/>
              <w:bottom w:val="single" w:sz="4" w:space="0" w:color="000000"/>
            </w:tcBorders>
          </w:tcPr>
          <w:p w14:paraId="26D64556" w14:textId="77777777" w:rsidR="00FF7799" w:rsidRPr="00E73F6F" w:rsidRDefault="00FF7799" w:rsidP="008941AC">
            <w:pPr>
              <w:pStyle w:val="StandardText"/>
              <w:jc w:val="left"/>
              <w:rPr>
                <w:i/>
                <w:lang w:val="de-DE"/>
              </w:rPr>
            </w:pPr>
            <w:r w:rsidRPr="00E73F6F">
              <w:rPr>
                <w:i/>
                <w:lang w:val="de-DE"/>
              </w:rPr>
              <w:t>Westat</w:t>
            </w:r>
            <w:r w:rsidRPr="00E73F6F">
              <w:rPr>
                <w:i/>
                <w:spacing w:val="-3"/>
                <w:lang w:val="de-DE"/>
              </w:rPr>
              <w:t xml:space="preserve"> </w:t>
            </w:r>
            <w:r w:rsidRPr="00E73F6F">
              <w:rPr>
                <w:i/>
                <w:lang w:val="de-DE"/>
              </w:rPr>
              <w:t>Inc.</w:t>
            </w:r>
          </w:p>
        </w:tc>
        <w:tc>
          <w:tcPr>
            <w:tcW w:w="1478" w:type="dxa"/>
            <w:tcBorders>
              <w:top w:val="single" w:sz="4" w:space="0" w:color="000000"/>
              <w:bottom w:val="single" w:sz="4" w:space="0" w:color="000000"/>
            </w:tcBorders>
          </w:tcPr>
          <w:p w14:paraId="052EAD7E" w14:textId="77777777" w:rsidR="00FF7799" w:rsidRPr="00E73F6F" w:rsidRDefault="00FF7799" w:rsidP="007A39A7">
            <w:pPr>
              <w:pStyle w:val="StandardText"/>
              <w:jc w:val="center"/>
              <w:rPr>
                <w:lang w:val="de-DE"/>
              </w:rPr>
            </w:pPr>
            <w:r w:rsidRPr="00E73F6F">
              <w:rPr>
                <w:spacing w:val="-5"/>
                <w:lang w:val="de-DE"/>
              </w:rPr>
              <w:t>USA</w:t>
            </w:r>
          </w:p>
        </w:tc>
        <w:tc>
          <w:tcPr>
            <w:tcW w:w="1640" w:type="dxa"/>
            <w:tcBorders>
              <w:top w:val="single" w:sz="4" w:space="0" w:color="000000"/>
              <w:bottom w:val="single" w:sz="4" w:space="0" w:color="000000"/>
            </w:tcBorders>
          </w:tcPr>
          <w:p w14:paraId="6AC2658E" w14:textId="77777777" w:rsidR="00FF7799" w:rsidRPr="00E73F6F" w:rsidRDefault="00FF7799" w:rsidP="007A39A7">
            <w:pPr>
              <w:pStyle w:val="StandardText"/>
              <w:jc w:val="center"/>
              <w:rPr>
                <w:lang w:val="de-DE"/>
              </w:rPr>
            </w:pPr>
            <w:r w:rsidRPr="00E73F6F">
              <w:rPr>
                <w:spacing w:val="-2"/>
                <w:lang w:val="de-DE"/>
              </w:rPr>
              <w:t>1.998</w:t>
            </w:r>
          </w:p>
        </w:tc>
        <w:tc>
          <w:tcPr>
            <w:tcW w:w="3260" w:type="dxa"/>
            <w:tcBorders>
              <w:top w:val="single" w:sz="4" w:space="0" w:color="000000"/>
              <w:bottom w:val="single" w:sz="4" w:space="0" w:color="000000"/>
            </w:tcBorders>
          </w:tcPr>
          <w:p w14:paraId="3EBEEDED" w14:textId="77777777" w:rsidR="00FF7799" w:rsidRPr="00E73F6F" w:rsidRDefault="00FF7799" w:rsidP="007A39A7">
            <w:pPr>
              <w:pStyle w:val="StandardText"/>
              <w:jc w:val="center"/>
              <w:rPr>
                <w:lang w:val="de-DE"/>
              </w:rPr>
            </w:pPr>
            <w:r w:rsidRPr="00E73F6F">
              <w:rPr>
                <w:spacing w:val="-2"/>
                <w:lang w:val="de-DE"/>
              </w:rPr>
              <w:t>469,5</w:t>
            </w:r>
          </w:p>
        </w:tc>
      </w:tr>
      <w:tr w:rsidR="00FF7799" w:rsidRPr="00E73F6F" w14:paraId="78CE9D93" w14:textId="77777777" w:rsidTr="008941AC">
        <w:trPr>
          <w:trHeight w:val="311"/>
        </w:trPr>
        <w:tc>
          <w:tcPr>
            <w:tcW w:w="2694" w:type="dxa"/>
            <w:tcBorders>
              <w:top w:val="single" w:sz="4" w:space="0" w:color="000000"/>
              <w:bottom w:val="single" w:sz="4" w:space="0" w:color="000000"/>
            </w:tcBorders>
          </w:tcPr>
          <w:p w14:paraId="32470B55" w14:textId="77777777" w:rsidR="00FF7799" w:rsidRPr="00E73F6F" w:rsidRDefault="00FF7799" w:rsidP="008941AC">
            <w:pPr>
              <w:pStyle w:val="StandardText"/>
              <w:jc w:val="left"/>
              <w:rPr>
                <w:i/>
                <w:lang w:val="de-DE"/>
              </w:rPr>
            </w:pPr>
            <w:r w:rsidRPr="00E73F6F">
              <w:rPr>
                <w:i/>
                <w:lang w:val="de-DE"/>
              </w:rPr>
              <w:t>Arbitron</w:t>
            </w:r>
            <w:r w:rsidRPr="00E73F6F">
              <w:rPr>
                <w:i/>
                <w:spacing w:val="-6"/>
                <w:lang w:val="de-DE"/>
              </w:rPr>
              <w:t xml:space="preserve"> </w:t>
            </w:r>
            <w:r w:rsidRPr="00E73F6F">
              <w:rPr>
                <w:i/>
                <w:lang w:val="de-DE"/>
              </w:rPr>
              <w:t>Inc.</w:t>
            </w:r>
          </w:p>
        </w:tc>
        <w:tc>
          <w:tcPr>
            <w:tcW w:w="1478" w:type="dxa"/>
            <w:tcBorders>
              <w:top w:val="single" w:sz="4" w:space="0" w:color="000000"/>
              <w:bottom w:val="single" w:sz="4" w:space="0" w:color="000000"/>
            </w:tcBorders>
          </w:tcPr>
          <w:p w14:paraId="6A8A7A24" w14:textId="77777777" w:rsidR="00FF7799" w:rsidRPr="00E73F6F" w:rsidRDefault="00FF7799" w:rsidP="007A39A7">
            <w:pPr>
              <w:pStyle w:val="StandardText"/>
              <w:jc w:val="center"/>
              <w:rPr>
                <w:lang w:val="de-DE"/>
              </w:rPr>
            </w:pPr>
            <w:r w:rsidRPr="00E73F6F">
              <w:rPr>
                <w:spacing w:val="-5"/>
                <w:lang w:val="de-DE"/>
              </w:rPr>
              <w:t>USA</w:t>
            </w:r>
          </w:p>
        </w:tc>
        <w:tc>
          <w:tcPr>
            <w:tcW w:w="1640" w:type="dxa"/>
            <w:tcBorders>
              <w:top w:val="single" w:sz="4" w:space="0" w:color="000000"/>
              <w:bottom w:val="single" w:sz="4" w:space="0" w:color="000000"/>
            </w:tcBorders>
          </w:tcPr>
          <w:p w14:paraId="5D7CB51B" w14:textId="77777777" w:rsidR="00FF7799" w:rsidRPr="00E73F6F" w:rsidRDefault="00FF7799" w:rsidP="007A39A7">
            <w:pPr>
              <w:pStyle w:val="StandardText"/>
              <w:jc w:val="center"/>
              <w:rPr>
                <w:lang w:val="de-DE"/>
              </w:rPr>
            </w:pPr>
            <w:r w:rsidRPr="00E73F6F">
              <w:rPr>
                <w:spacing w:val="-2"/>
                <w:lang w:val="de-DE"/>
              </w:rPr>
              <w:t>1.116</w:t>
            </w:r>
          </w:p>
        </w:tc>
        <w:tc>
          <w:tcPr>
            <w:tcW w:w="3260" w:type="dxa"/>
            <w:tcBorders>
              <w:top w:val="single" w:sz="4" w:space="0" w:color="000000"/>
              <w:bottom w:val="single" w:sz="4" w:space="0" w:color="000000"/>
            </w:tcBorders>
          </w:tcPr>
          <w:p w14:paraId="143CBA95" w14:textId="77777777" w:rsidR="00FF7799" w:rsidRPr="00E73F6F" w:rsidRDefault="00FF7799" w:rsidP="007A39A7">
            <w:pPr>
              <w:pStyle w:val="StandardText"/>
              <w:jc w:val="center"/>
              <w:rPr>
                <w:lang w:val="de-DE"/>
              </w:rPr>
            </w:pPr>
            <w:r w:rsidRPr="00E73F6F">
              <w:rPr>
                <w:spacing w:val="-2"/>
                <w:lang w:val="de-DE"/>
              </w:rPr>
              <w:t>368,8</w:t>
            </w:r>
          </w:p>
        </w:tc>
      </w:tr>
      <w:tr w:rsidR="00FF7799" w:rsidRPr="00E73F6F" w14:paraId="304027BF" w14:textId="77777777" w:rsidTr="008941AC">
        <w:trPr>
          <w:trHeight w:val="311"/>
        </w:trPr>
        <w:tc>
          <w:tcPr>
            <w:tcW w:w="2694" w:type="dxa"/>
            <w:tcBorders>
              <w:top w:val="single" w:sz="4" w:space="0" w:color="000000"/>
              <w:bottom w:val="single" w:sz="4" w:space="0" w:color="000000"/>
            </w:tcBorders>
          </w:tcPr>
          <w:p w14:paraId="297FFA21" w14:textId="77777777" w:rsidR="00FF7799" w:rsidRPr="00E73F6F" w:rsidRDefault="00FF7799" w:rsidP="008941AC">
            <w:pPr>
              <w:pStyle w:val="StandardText"/>
              <w:jc w:val="left"/>
              <w:rPr>
                <w:i/>
                <w:lang w:val="de-DE"/>
              </w:rPr>
            </w:pPr>
            <w:r w:rsidRPr="00E73F6F">
              <w:rPr>
                <w:i/>
                <w:lang w:val="de-DE"/>
              </w:rPr>
              <w:t>INTAGE Inc.</w:t>
            </w:r>
          </w:p>
        </w:tc>
        <w:tc>
          <w:tcPr>
            <w:tcW w:w="1478" w:type="dxa"/>
            <w:tcBorders>
              <w:top w:val="single" w:sz="4" w:space="0" w:color="000000"/>
              <w:bottom w:val="single" w:sz="4" w:space="0" w:color="000000"/>
            </w:tcBorders>
          </w:tcPr>
          <w:p w14:paraId="2DAB82DB" w14:textId="77777777" w:rsidR="00FF7799" w:rsidRPr="00E73F6F" w:rsidRDefault="00FF7799" w:rsidP="007A39A7">
            <w:pPr>
              <w:pStyle w:val="StandardText"/>
              <w:jc w:val="center"/>
              <w:rPr>
                <w:lang w:val="de-DE"/>
              </w:rPr>
            </w:pPr>
            <w:r w:rsidRPr="00E73F6F">
              <w:rPr>
                <w:spacing w:val="-2"/>
                <w:lang w:val="de-DE"/>
              </w:rPr>
              <w:t>Japan</w:t>
            </w:r>
          </w:p>
        </w:tc>
        <w:tc>
          <w:tcPr>
            <w:tcW w:w="1640" w:type="dxa"/>
            <w:tcBorders>
              <w:top w:val="single" w:sz="4" w:space="0" w:color="000000"/>
              <w:bottom w:val="single" w:sz="4" w:space="0" w:color="000000"/>
            </w:tcBorders>
          </w:tcPr>
          <w:p w14:paraId="27C7CE3F" w14:textId="77777777" w:rsidR="00FF7799" w:rsidRPr="00E73F6F" w:rsidRDefault="00FF7799" w:rsidP="007A39A7">
            <w:pPr>
              <w:pStyle w:val="StandardText"/>
              <w:jc w:val="center"/>
              <w:rPr>
                <w:lang w:val="de-DE"/>
              </w:rPr>
            </w:pPr>
            <w:r w:rsidRPr="00E73F6F">
              <w:rPr>
                <w:spacing w:val="-2"/>
                <w:lang w:val="de-DE"/>
              </w:rPr>
              <w:t>1.779</w:t>
            </w:r>
          </w:p>
        </w:tc>
        <w:tc>
          <w:tcPr>
            <w:tcW w:w="3260" w:type="dxa"/>
            <w:tcBorders>
              <w:top w:val="single" w:sz="4" w:space="0" w:color="000000"/>
              <w:bottom w:val="single" w:sz="4" w:space="0" w:color="000000"/>
            </w:tcBorders>
          </w:tcPr>
          <w:p w14:paraId="374013B0" w14:textId="77777777" w:rsidR="00FF7799" w:rsidRPr="00E73F6F" w:rsidRDefault="00FF7799" w:rsidP="007A39A7">
            <w:pPr>
              <w:pStyle w:val="StandardText"/>
              <w:jc w:val="center"/>
              <w:rPr>
                <w:lang w:val="de-DE"/>
              </w:rPr>
            </w:pPr>
            <w:r w:rsidRPr="00E73F6F">
              <w:rPr>
                <w:spacing w:val="-2"/>
                <w:lang w:val="de-DE"/>
              </w:rPr>
              <w:t>332,2</w:t>
            </w:r>
          </w:p>
        </w:tc>
      </w:tr>
      <w:tr w:rsidR="00FF7799" w:rsidRPr="00E73F6F" w14:paraId="3C379F7B" w14:textId="77777777" w:rsidTr="008941AC">
        <w:trPr>
          <w:trHeight w:val="311"/>
        </w:trPr>
        <w:tc>
          <w:tcPr>
            <w:tcW w:w="2694" w:type="dxa"/>
            <w:tcBorders>
              <w:top w:val="single" w:sz="4" w:space="0" w:color="000000"/>
              <w:bottom w:val="single" w:sz="4" w:space="0" w:color="000000"/>
            </w:tcBorders>
          </w:tcPr>
          <w:p w14:paraId="284197F0" w14:textId="77777777" w:rsidR="00FF7799" w:rsidRPr="00E35FFF" w:rsidRDefault="00FF7799" w:rsidP="008941AC">
            <w:pPr>
              <w:pStyle w:val="StandardText"/>
              <w:jc w:val="left"/>
              <w:rPr>
                <w:i/>
              </w:rPr>
            </w:pPr>
            <w:r w:rsidRPr="00E35FFF">
              <w:rPr>
                <w:i/>
              </w:rPr>
              <w:t>J.D.</w:t>
            </w:r>
            <w:r w:rsidRPr="00E35FFF">
              <w:rPr>
                <w:i/>
                <w:spacing w:val="-5"/>
              </w:rPr>
              <w:t xml:space="preserve"> </w:t>
            </w:r>
            <w:r w:rsidRPr="00E35FFF">
              <w:rPr>
                <w:i/>
              </w:rPr>
              <w:t>Power and</w:t>
            </w:r>
            <w:r w:rsidRPr="00E35FFF">
              <w:rPr>
                <w:i/>
                <w:spacing w:val="-1"/>
              </w:rPr>
              <w:t xml:space="preserve"> </w:t>
            </w:r>
            <w:r w:rsidRPr="00E35FFF">
              <w:rPr>
                <w:i/>
                <w:spacing w:val="-2"/>
              </w:rPr>
              <w:t>Associates</w:t>
            </w:r>
          </w:p>
        </w:tc>
        <w:tc>
          <w:tcPr>
            <w:tcW w:w="1478" w:type="dxa"/>
            <w:tcBorders>
              <w:top w:val="single" w:sz="4" w:space="0" w:color="000000"/>
              <w:bottom w:val="single" w:sz="4" w:space="0" w:color="000000"/>
            </w:tcBorders>
          </w:tcPr>
          <w:p w14:paraId="776EABF3" w14:textId="77777777" w:rsidR="00FF7799" w:rsidRPr="00E73F6F" w:rsidRDefault="00FF7799" w:rsidP="007A39A7">
            <w:pPr>
              <w:pStyle w:val="StandardText"/>
              <w:jc w:val="center"/>
              <w:rPr>
                <w:lang w:val="de-DE"/>
              </w:rPr>
            </w:pPr>
            <w:r w:rsidRPr="00E73F6F">
              <w:rPr>
                <w:spacing w:val="-5"/>
                <w:lang w:val="de-DE"/>
              </w:rPr>
              <w:t>USA</w:t>
            </w:r>
          </w:p>
        </w:tc>
        <w:tc>
          <w:tcPr>
            <w:tcW w:w="1640" w:type="dxa"/>
            <w:tcBorders>
              <w:top w:val="single" w:sz="4" w:space="0" w:color="000000"/>
              <w:bottom w:val="single" w:sz="4" w:space="0" w:color="000000"/>
            </w:tcBorders>
          </w:tcPr>
          <w:p w14:paraId="6BC77A57" w14:textId="77777777" w:rsidR="00FF7799" w:rsidRPr="00E73F6F" w:rsidRDefault="00FF7799" w:rsidP="007A39A7">
            <w:pPr>
              <w:pStyle w:val="StandardText"/>
              <w:jc w:val="center"/>
              <w:rPr>
                <w:lang w:val="de-DE"/>
              </w:rPr>
            </w:pPr>
            <w:r w:rsidRPr="00E73F6F">
              <w:rPr>
                <w:spacing w:val="-5"/>
                <w:lang w:val="de-DE"/>
              </w:rPr>
              <w:t>850</w:t>
            </w:r>
          </w:p>
        </w:tc>
        <w:tc>
          <w:tcPr>
            <w:tcW w:w="3260" w:type="dxa"/>
            <w:tcBorders>
              <w:top w:val="single" w:sz="4" w:space="0" w:color="000000"/>
              <w:bottom w:val="single" w:sz="4" w:space="0" w:color="000000"/>
            </w:tcBorders>
          </w:tcPr>
          <w:p w14:paraId="5EAD5F8D" w14:textId="77777777" w:rsidR="00FF7799" w:rsidRPr="00E73F6F" w:rsidRDefault="00FF7799" w:rsidP="007A39A7">
            <w:pPr>
              <w:pStyle w:val="StandardText"/>
              <w:jc w:val="center"/>
              <w:rPr>
                <w:lang w:val="de-DE"/>
              </w:rPr>
            </w:pPr>
            <w:r w:rsidRPr="00E73F6F">
              <w:rPr>
                <w:spacing w:val="-2"/>
                <w:lang w:val="de-DE"/>
              </w:rPr>
              <w:t>272,2</w:t>
            </w:r>
          </w:p>
        </w:tc>
      </w:tr>
      <w:tr w:rsidR="00FF7799" w:rsidRPr="00E73F6F" w14:paraId="3E57FA17" w14:textId="77777777" w:rsidTr="008941AC">
        <w:trPr>
          <w:trHeight w:val="314"/>
        </w:trPr>
        <w:tc>
          <w:tcPr>
            <w:tcW w:w="2694" w:type="dxa"/>
            <w:tcBorders>
              <w:top w:val="single" w:sz="4" w:space="0" w:color="000000"/>
              <w:bottom w:val="single" w:sz="4" w:space="0" w:color="000000"/>
            </w:tcBorders>
          </w:tcPr>
          <w:p w14:paraId="3CEE03CE" w14:textId="77777777" w:rsidR="00FF7799" w:rsidRPr="00E73F6F" w:rsidRDefault="00FF7799" w:rsidP="008941AC">
            <w:pPr>
              <w:pStyle w:val="StandardText"/>
              <w:jc w:val="left"/>
              <w:rPr>
                <w:i/>
                <w:lang w:val="de-DE"/>
              </w:rPr>
            </w:pPr>
            <w:r w:rsidRPr="00E73F6F">
              <w:rPr>
                <w:i/>
                <w:lang w:val="de-DE"/>
              </w:rPr>
              <w:t>Maritz</w:t>
            </w:r>
            <w:r w:rsidRPr="00E73F6F">
              <w:rPr>
                <w:i/>
                <w:spacing w:val="-6"/>
                <w:lang w:val="de-DE"/>
              </w:rPr>
              <w:t xml:space="preserve"> </w:t>
            </w:r>
            <w:r w:rsidRPr="00E73F6F">
              <w:rPr>
                <w:i/>
                <w:spacing w:val="-2"/>
                <w:lang w:val="de-DE"/>
              </w:rPr>
              <w:t>Research</w:t>
            </w:r>
          </w:p>
        </w:tc>
        <w:tc>
          <w:tcPr>
            <w:tcW w:w="1478" w:type="dxa"/>
            <w:tcBorders>
              <w:top w:val="single" w:sz="4" w:space="0" w:color="000000"/>
              <w:bottom w:val="single" w:sz="4" w:space="0" w:color="000000"/>
            </w:tcBorders>
          </w:tcPr>
          <w:p w14:paraId="1214D2AD" w14:textId="77777777" w:rsidR="00FF7799" w:rsidRPr="00E73F6F" w:rsidRDefault="00FF7799" w:rsidP="007A39A7">
            <w:pPr>
              <w:pStyle w:val="StandardText"/>
              <w:jc w:val="center"/>
              <w:rPr>
                <w:lang w:val="de-DE"/>
              </w:rPr>
            </w:pPr>
            <w:r w:rsidRPr="00E73F6F">
              <w:rPr>
                <w:spacing w:val="-5"/>
                <w:lang w:val="de-DE"/>
              </w:rPr>
              <w:t>USA</w:t>
            </w:r>
          </w:p>
        </w:tc>
        <w:tc>
          <w:tcPr>
            <w:tcW w:w="1640" w:type="dxa"/>
            <w:tcBorders>
              <w:top w:val="single" w:sz="4" w:space="0" w:color="000000"/>
              <w:bottom w:val="single" w:sz="4" w:space="0" w:color="000000"/>
            </w:tcBorders>
          </w:tcPr>
          <w:p w14:paraId="43E2EC59" w14:textId="77777777" w:rsidR="00FF7799" w:rsidRPr="00E73F6F" w:rsidRDefault="00FF7799" w:rsidP="007A39A7">
            <w:pPr>
              <w:pStyle w:val="StandardText"/>
              <w:jc w:val="center"/>
              <w:rPr>
                <w:lang w:val="de-DE"/>
              </w:rPr>
            </w:pPr>
            <w:r w:rsidRPr="00E73F6F">
              <w:rPr>
                <w:spacing w:val="-5"/>
                <w:lang w:val="de-DE"/>
              </w:rPr>
              <w:t>756</w:t>
            </w:r>
          </w:p>
        </w:tc>
        <w:tc>
          <w:tcPr>
            <w:tcW w:w="3260" w:type="dxa"/>
            <w:tcBorders>
              <w:top w:val="single" w:sz="4" w:space="0" w:color="000000"/>
              <w:bottom w:val="single" w:sz="4" w:space="0" w:color="000000"/>
            </w:tcBorders>
          </w:tcPr>
          <w:p w14:paraId="7391E054" w14:textId="77777777" w:rsidR="00FF7799" w:rsidRPr="00E73F6F" w:rsidRDefault="00FF7799" w:rsidP="007A39A7">
            <w:pPr>
              <w:pStyle w:val="StandardText"/>
              <w:jc w:val="center"/>
              <w:rPr>
                <w:lang w:val="de-DE"/>
              </w:rPr>
            </w:pPr>
            <w:r w:rsidRPr="00E73F6F">
              <w:rPr>
                <w:spacing w:val="-2"/>
                <w:lang w:val="de-DE"/>
              </w:rPr>
              <w:t>230,7</w:t>
            </w:r>
          </w:p>
        </w:tc>
      </w:tr>
      <w:tr w:rsidR="00FF7799" w:rsidRPr="00E73F6F" w14:paraId="51044023" w14:textId="77777777" w:rsidTr="008941AC">
        <w:trPr>
          <w:trHeight w:val="312"/>
        </w:trPr>
        <w:tc>
          <w:tcPr>
            <w:tcW w:w="2694" w:type="dxa"/>
            <w:tcBorders>
              <w:top w:val="single" w:sz="4" w:space="0" w:color="000000"/>
              <w:bottom w:val="single" w:sz="4" w:space="0" w:color="000000"/>
            </w:tcBorders>
          </w:tcPr>
          <w:p w14:paraId="50221CB2" w14:textId="77777777" w:rsidR="00FF7799" w:rsidRPr="00E73F6F" w:rsidRDefault="00FF7799" w:rsidP="008941AC">
            <w:pPr>
              <w:pStyle w:val="StandardText"/>
              <w:jc w:val="left"/>
              <w:rPr>
                <w:i/>
                <w:lang w:val="de-DE"/>
              </w:rPr>
            </w:pPr>
            <w:r w:rsidRPr="00E73F6F">
              <w:rPr>
                <w:i/>
                <w:lang w:val="de-DE"/>
              </w:rPr>
              <w:t>Opinion</w:t>
            </w:r>
            <w:r w:rsidRPr="00E73F6F">
              <w:rPr>
                <w:i/>
                <w:spacing w:val="-7"/>
                <w:lang w:val="de-DE"/>
              </w:rPr>
              <w:t xml:space="preserve"> </w:t>
            </w:r>
            <w:r w:rsidRPr="00E73F6F">
              <w:rPr>
                <w:i/>
                <w:lang w:val="de-DE"/>
              </w:rPr>
              <w:t>Research</w:t>
            </w:r>
            <w:r w:rsidRPr="00E73F6F">
              <w:rPr>
                <w:i/>
                <w:spacing w:val="-6"/>
                <w:lang w:val="de-DE"/>
              </w:rPr>
              <w:t xml:space="preserve"> </w:t>
            </w:r>
            <w:r w:rsidRPr="00E73F6F">
              <w:rPr>
                <w:i/>
                <w:spacing w:val="-2"/>
                <w:lang w:val="de-DE"/>
              </w:rPr>
              <w:t>Corp.</w:t>
            </w:r>
          </w:p>
        </w:tc>
        <w:tc>
          <w:tcPr>
            <w:tcW w:w="1478" w:type="dxa"/>
            <w:tcBorders>
              <w:top w:val="single" w:sz="4" w:space="0" w:color="000000"/>
              <w:bottom w:val="single" w:sz="4" w:space="0" w:color="000000"/>
            </w:tcBorders>
          </w:tcPr>
          <w:p w14:paraId="47B3B86C" w14:textId="77777777" w:rsidR="00FF7799" w:rsidRPr="00E73F6F" w:rsidRDefault="00FF7799" w:rsidP="007A39A7">
            <w:pPr>
              <w:pStyle w:val="StandardText"/>
              <w:jc w:val="center"/>
              <w:rPr>
                <w:lang w:val="de-DE"/>
              </w:rPr>
            </w:pPr>
            <w:r w:rsidRPr="00E73F6F">
              <w:rPr>
                <w:spacing w:val="-5"/>
                <w:lang w:val="de-DE"/>
              </w:rPr>
              <w:t>USA</w:t>
            </w:r>
          </w:p>
        </w:tc>
        <w:tc>
          <w:tcPr>
            <w:tcW w:w="1640" w:type="dxa"/>
            <w:tcBorders>
              <w:top w:val="single" w:sz="4" w:space="0" w:color="000000"/>
              <w:bottom w:val="single" w:sz="4" w:space="0" w:color="000000"/>
            </w:tcBorders>
          </w:tcPr>
          <w:p w14:paraId="54B6E651" w14:textId="77777777" w:rsidR="00FF7799" w:rsidRPr="00E73F6F" w:rsidRDefault="00FF7799" w:rsidP="007A39A7">
            <w:pPr>
              <w:pStyle w:val="StandardText"/>
              <w:jc w:val="center"/>
              <w:rPr>
                <w:lang w:val="de-DE"/>
              </w:rPr>
            </w:pPr>
            <w:r w:rsidRPr="00E73F6F">
              <w:rPr>
                <w:spacing w:val="-5"/>
                <w:lang w:val="de-DE"/>
              </w:rPr>
              <w:t>485</w:t>
            </w:r>
          </w:p>
        </w:tc>
        <w:tc>
          <w:tcPr>
            <w:tcW w:w="3260" w:type="dxa"/>
            <w:tcBorders>
              <w:top w:val="single" w:sz="4" w:space="0" w:color="000000"/>
              <w:bottom w:val="single" w:sz="4" w:space="0" w:color="000000"/>
            </w:tcBorders>
          </w:tcPr>
          <w:p w14:paraId="07AE9E86" w14:textId="77777777" w:rsidR="00FF7799" w:rsidRPr="00E73F6F" w:rsidRDefault="00FF7799" w:rsidP="007A39A7">
            <w:pPr>
              <w:pStyle w:val="StandardText"/>
              <w:jc w:val="center"/>
              <w:rPr>
                <w:lang w:val="de-DE"/>
              </w:rPr>
            </w:pPr>
            <w:r w:rsidRPr="00E73F6F">
              <w:rPr>
                <w:spacing w:val="-2"/>
                <w:lang w:val="de-DE"/>
              </w:rPr>
              <w:t>227,7</w:t>
            </w:r>
          </w:p>
        </w:tc>
      </w:tr>
      <w:tr w:rsidR="00FF7799" w:rsidRPr="00E73F6F" w14:paraId="572EC995" w14:textId="77777777" w:rsidTr="008941AC">
        <w:trPr>
          <w:trHeight w:val="311"/>
        </w:trPr>
        <w:tc>
          <w:tcPr>
            <w:tcW w:w="2694" w:type="dxa"/>
            <w:tcBorders>
              <w:top w:val="single" w:sz="4" w:space="0" w:color="000000"/>
              <w:bottom w:val="single" w:sz="4" w:space="0" w:color="000000"/>
            </w:tcBorders>
          </w:tcPr>
          <w:p w14:paraId="2B1D672B" w14:textId="77777777" w:rsidR="00FF7799" w:rsidRPr="00E73F6F" w:rsidRDefault="00FF7799" w:rsidP="008941AC">
            <w:pPr>
              <w:pStyle w:val="StandardText"/>
              <w:jc w:val="left"/>
              <w:rPr>
                <w:i/>
                <w:lang w:val="de-DE"/>
              </w:rPr>
            </w:pPr>
            <w:r w:rsidRPr="00E73F6F">
              <w:rPr>
                <w:i/>
                <w:lang w:val="de-DE"/>
              </w:rPr>
              <w:t>The</w:t>
            </w:r>
            <w:r w:rsidRPr="00E73F6F">
              <w:rPr>
                <w:i/>
                <w:spacing w:val="-5"/>
                <w:lang w:val="de-DE"/>
              </w:rPr>
              <w:t xml:space="preserve"> </w:t>
            </w:r>
            <w:r w:rsidRPr="00E73F6F">
              <w:rPr>
                <w:i/>
                <w:lang w:val="de-DE"/>
              </w:rPr>
              <w:t>NPD Group</w:t>
            </w:r>
            <w:r w:rsidRPr="00E73F6F">
              <w:rPr>
                <w:i/>
                <w:spacing w:val="-3"/>
                <w:lang w:val="de-DE"/>
              </w:rPr>
              <w:t xml:space="preserve"> </w:t>
            </w:r>
            <w:r w:rsidRPr="00E73F6F">
              <w:rPr>
                <w:i/>
                <w:lang w:val="de-DE"/>
              </w:rPr>
              <w:t>Inc.</w:t>
            </w:r>
          </w:p>
        </w:tc>
        <w:tc>
          <w:tcPr>
            <w:tcW w:w="1478" w:type="dxa"/>
            <w:tcBorders>
              <w:top w:val="single" w:sz="4" w:space="0" w:color="000000"/>
              <w:bottom w:val="single" w:sz="4" w:space="0" w:color="000000"/>
            </w:tcBorders>
          </w:tcPr>
          <w:p w14:paraId="220B980B" w14:textId="77777777" w:rsidR="00FF7799" w:rsidRPr="00E73F6F" w:rsidRDefault="00FF7799" w:rsidP="007A39A7">
            <w:pPr>
              <w:pStyle w:val="StandardText"/>
              <w:jc w:val="center"/>
              <w:rPr>
                <w:lang w:val="de-DE"/>
              </w:rPr>
            </w:pPr>
            <w:r w:rsidRPr="00E73F6F">
              <w:rPr>
                <w:spacing w:val="-5"/>
                <w:lang w:val="de-DE"/>
              </w:rPr>
              <w:t>USA</w:t>
            </w:r>
          </w:p>
        </w:tc>
        <w:tc>
          <w:tcPr>
            <w:tcW w:w="1640" w:type="dxa"/>
            <w:tcBorders>
              <w:top w:val="single" w:sz="4" w:space="0" w:color="000000"/>
              <w:bottom w:val="single" w:sz="4" w:space="0" w:color="000000"/>
            </w:tcBorders>
          </w:tcPr>
          <w:p w14:paraId="31D4930C" w14:textId="77777777" w:rsidR="00FF7799" w:rsidRPr="00E73F6F" w:rsidRDefault="00FF7799" w:rsidP="007A39A7">
            <w:pPr>
              <w:pStyle w:val="StandardText"/>
              <w:jc w:val="center"/>
              <w:rPr>
                <w:lang w:val="de-DE"/>
              </w:rPr>
            </w:pPr>
            <w:r w:rsidRPr="00E73F6F">
              <w:rPr>
                <w:spacing w:val="-2"/>
                <w:lang w:val="de-DE"/>
              </w:rPr>
              <w:t>1.090</w:t>
            </w:r>
          </w:p>
        </w:tc>
        <w:tc>
          <w:tcPr>
            <w:tcW w:w="3260" w:type="dxa"/>
            <w:tcBorders>
              <w:top w:val="single" w:sz="4" w:space="0" w:color="000000"/>
              <w:bottom w:val="single" w:sz="4" w:space="0" w:color="000000"/>
            </w:tcBorders>
          </w:tcPr>
          <w:p w14:paraId="4319FDEA" w14:textId="77777777" w:rsidR="00FF7799" w:rsidRPr="00E73F6F" w:rsidRDefault="00FF7799" w:rsidP="007A39A7">
            <w:pPr>
              <w:pStyle w:val="StandardText"/>
              <w:jc w:val="center"/>
              <w:rPr>
                <w:lang w:val="de-DE"/>
              </w:rPr>
            </w:pPr>
            <w:r w:rsidRPr="00E73F6F">
              <w:rPr>
                <w:spacing w:val="-2"/>
                <w:lang w:val="de-DE"/>
              </w:rPr>
              <w:t>226,1</w:t>
            </w:r>
          </w:p>
        </w:tc>
      </w:tr>
      <w:tr w:rsidR="00FF7799" w:rsidRPr="00E73F6F" w14:paraId="4F0DA2B7" w14:textId="77777777" w:rsidTr="008941AC">
        <w:trPr>
          <w:trHeight w:val="311"/>
        </w:trPr>
        <w:tc>
          <w:tcPr>
            <w:tcW w:w="2694" w:type="dxa"/>
            <w:tcBorders>
              <w:top w:val="single" w:sz="4" w:space="0" w:color="000000"/>
              <w:bottom w:val="single" w:sz="4" w:space="0" w:color="000000"/>
            </w:tcBorders>
          </w:tcPr>
          <w:p w14:paraId="38F82F39" w14:textId="77777777" w:rsidR="00FF7799" w:rsidRPr="00E73F6F" w:rsidRDefault="00FF7799" w:rsidP="008941AC">
            <w:pPr>
              <w:pStyle w:val="StandardText"/>
              <w:jc w:val="left"/>
              <w:rPr>
                <w:i/>
                <w:lang w:val="de-DE"/>
              </w:rPr>
            </w:pPr>
            <w:r w:rsidRPr="00E73F6F">
              <w:rPr>
                <w:i/>
                <w:lang w:val="de-DE"/>
              </w:rPr>
              <w:lastRenderedPageBreak/>
              <w:t>Harris</w:t>
            </w:r>
            <w:r w:rsidRPr="00E73F6F">
              <w:rPr>
                <w:i/>
                <w:spacing w:val="-8"/>
                <w:lang w:val="de-DE"/>
              </w:rPr>
              <w:t xml:space="preserve"> </w:t>
            </w:r>
            <w:r w:rsidRPr="00E73F6F">
              <w:rPr>
                <w:i/>
                <w:lang w:val="de-DE"/>
              </w:rPr>
              <w:t>Interactive Inc.</w:t>
            </w:r>
          </w:p>
        </w:tc>
        <w:tc>
          <w:tcPr>
            <w:tcW w:w="1478" w:type="dxa"/>
            <w:tcBorders>
              <w:top w:val="single" w:sz="4" w:space="0" w:color="000000"/>
              <w:bottom w:val="single" w:sz="4" w:space="0" w:color="000000"/>
            </w:tcBorders>
          </w:tcPr>
          <w:p w14:paraId="24386C3C" w14:textId="77777777" w:rsidR="00FF7799" w:rsidRPr="00E73F6F" w:rsidRDefault="00FF7799" w:rsidP="007A39A7">
            <w:pPr>
              <w:pStyle w:val="StandardText"/>
              <w:jc w:val="center"/>
              <w:rPr>
                <w:lang w:val="de-DE"/>
              </w:rPr>
            </w:pPr>
            <w:r w:rsidRPr="00E73F6F">
              <w:rPr>
                <w:spacing w:val="-5"/>
                <w:lang w:val="de-DE"/>
              </w:rPr>
              <w:t>USA</w:t>
            </w:r>
          </w:p>
        </w:tc>
        <w:tc>
          <w:tcPr>
            <w:tcW w:w="1640" w:type="dxa"/>
            <w:tcBorders>
              <w:top w:val="single" w:sz="4" w:space="0" w:color="000000"/>
              <w:bottom w:val="single" w:sz="4" w:space="0" w:color="000000"/>
            </w:tcBorders>
          </w:tcPr>
          <w:p w14:paraId="239CFB10" w14:textId="77777777" w:rsidR="00FF7799" w:rsidRPr="00E73F6F" w:rsidRDefault="00FF7799" w:rsidP="007A39A7">
            <w:pPr>
              <w:pStyle w:val="StandardText"/>
              <w:jc w:val="center"/>
              <w:rPr>
                <w:lang w:val="de-DE"/>
              </w:rPr>
            </w:pPr>
            <w:r w:rsidRPr="00E73F6F">
              <w:rPr>
                <w:spacing w:val="-5"/>
                <w:lang w:val="de-DE"/>
              </w:rPr>
              <w:t>899</w:t>
            </w:r>
          </w:p>
        </w:tc>
        <w:tc>
          <w:tcPr>
            <w:tcW w:w="3260" w:type="dxa"/>
            <w:tcBorders>
              <w:top w:val="single" w:sz="4" w:space="0" w:color="000000"/>
              <w:bottom w:val="single" w:sz="4" w:space="0" w:color="000000"/>
            </w:tcBorders>
          </w:tcPr>
          <w:p w14:paraId="5858504E" w14:textId="77777777" w:rsidR="00FF7799" w:rsidRPr="00E73F6F" w:rsidRDefault="00FF7799" w:rsidP="007A39A7">
            <w:pPr>
              <w:pStyle w:val="StandardText"/>
              <w:jc w:val="center"/>
              <w:rPr>
                <w:lang w:val="de-DE"/>
              </w:rPr>
            </w:pPr>
            <w:r w:rsidRPr="00E73F6F">
              <w:rPr>
                <w:spacing w:val="-2"/>
                <w:lang w:val="de-DE"/>
              </w:rPr>
              <w:t>221,8</w:t>
            </w:r>
          </w:p>
        </w:tc>
      </w:tr>
      <w:tr w:rsidR="00FF7799" w:rsidRPr="00E73F6F" w14:paraId="7F5247BD" w14:textId="77777777" w:rsidTr="008941AC">
        <w:trPr>
          <w:trHeight w:val="311"/>
        </w:trPr>
        <w:tc>
          <w:tcPr>
            <w:tcW w:w="2694" w:type="dxa"/>
            <w:tcBorders>
              <w:top w:val="single" w:sz="4" w:space="0" w:color="000000"/>
              <w:bottom w:val="single" w:sz="4" w:space="0" w:color="000000"/>
            </w:tcBorders>
          </w:tcPr>
          <w:p w14:paraId="59283346" w14:textId="77777777" w:rsidR="00FF7799" w:rsidRPr="00E73F6F" w:rsidRDefault="00FF7799" w:rsidP="008941AC">
            <w:pPr>
              <w:pStyle w:val="StandardText"/>
              <w:jc w:val="left"/>
              <w:rPr>
                <w:i/>
                <w:lang w:val="de-DE"/>
              </w:rPr>
            </w:pPr>
            <w:r w:rsidRPr="00E73F6F">
              <w:rPr>
                <w:i/>
                <w:lang w:val="de-DE"/>
              </w:rPr>
              <w:t>Video</w:t>
            </w:r>
            <w:r w:rsidRPr="00E73F6F">
              <w:rPr>
                <w:i/>
                <w:spacing w:val="-7"/>
                <w:lang w:val="de-DE"/>
              </w:rPr>
              <w:t xml:space="preserve"> </w:t>
            </w:r>
            <w:r w:rsidRPr="00E73F6F">
              <w:rPr>
                <w:i/>
                <w:lang w:val="de-DE"/>
              </w:rPr>
              <w:t>Research</w:t>
            </w:r>
            <w:r w:rsidRPr="00E73F6F">
              <w:rPr>
                <w:i/>
                <w:spacing w:val="-2"/>
                <w:lang w:val="de-DE"/>
              </w:rPr>
              <w:t xml:space="preserve"> </w:t>
            </w:r>
            <w:r w:rsidRPr="00E73F6F">
              <w:rPr>
                <w:i/>
                <w:lang w:val="de-DE"/>
              </w:rPr>
              <w:t>Ltd.</w:t>
            </w:r>
          </w:p>
        </w:tc>
        <w:tc>
          <w:tcPr>
            <w:tcW w:w="1478" w:type="dxa"/>
            <w:tcBorders>
              <w:top w:val="single" w:sz="4" w:space="0" w:color="000000"/>
              <w:bottom w:val="single" w:sz="4" w:space="0" w:color="000000"/>
            </w:tcBorders>
          </w:tcPr>
          <w:p w14:paraId="7643FABD" w14:textId="77777777" w:rsidR="00FF7799" w:rsidRPr="00E73F6F" w:rsidRDefault="00FF7799" w:rsidP="007A39A7">
            <w:pPr>
              <w:pStyle w:val="StandardText"/>
              <w:jc w:val="center"/>
              <w:rPr>
                <w:lang w:val="de-DE"/>
              </w:rPr>
            </w:pPr>
            <w:r w:rsidRPr="00E73F6F">
              <w:rPr>
                <w:spacing w:val="-2"/>
                <w:lang w:val="de-DE"/>
              </w:rPr>
              <w:t>Japan</w:t>
            </w:r>
          </w:p>
        </w:tc>
        <w:tc>
          <w:tcPr>
            <w:tcW w:w="1640" w:type="dxa"/>
            <w:tcBorders>
              <w:top w:val="single" w:sz="4" w:space="0" w:color="000000"/>
              <w:bottom w:val="single" w:sz="4" w:space="0" w:color="000000"/>
            </w:tcBorders>
          </w:tcPr>
          <w:p w14:paraId="28F71D99" w14:textId="77777777" w:rsidR="00FF7799" w:rsidRPr="00E73F6F" w:rsidRDefault="00FF7799" w:rsidP="007A39A7">
            <w:pPr>
              <w:pStyle w:val="StandardText"/>
              <w:jc w:val="center"/>
              <w:rPr>
                <w:lang w:val="de-DE"/>
              </w:rPr>
            </w:pPr>
            <w:r w:rsidRPr="00E73F6F">
              <w:rPr>
                <w:spacing w:val="-5"/>
                <w:lang w:val="de-DE"/>
              </w:rPr>
              <w:t>393</w:t>
            </w:r>
          </w:p>
        </w:tc>
        <w:tc>
          <w:tcPr>
            <w:tcW w:w="3260" w:type="dxa"/>
            <w:tcBorders>
              <w:top w:val="single" w:sz="4" w:space="0" w:color="000000"/>
              <w:bottom w:val="single" w:sz="4" w:space="0" w:color="000000"/>
            </w:tcBorders>
          </w:tcPr>
          <w:p w14:paraId="2B3730A7" w14:textId="77777777" w:rsidR="00FF7799" w:rsidRPr="00E73F6F" w:rsidRDefault="00FF7799" w:rsidP="007A39A7">
            <w:pPr>
              <w:pStyle w:val="StandardText"/>
              <w:jc w:val="center"/>
              <w:rPr>
                <w:lang w:val="de-DE"/>
              </w:rPr>
            </w:pPr>
            <w:r w:rsidRPr="00E73F6F">
              <w:rPr>
                <w:spacing w:val="-2"/>
                <w:lang w:val="de-DE"/>
              </w:rPr>
              <w:t>188,3</w:t>
            </w:r>
          </w:p>
        </w:tc>
      </w:tr>
      <w:tr w:rsidR="00FF7799" w:rsidRPr="00E73F6F" w14:paraId="569BB181" w14:textId="77777777" w:rsidTr="008941AC">
        <w:trPr>
          <w:trHeight w:val="311"/>
        </w:trPr>
        <w:tc>
          <w:tcPr>
            <w:tcW w:w="2694" w:type="dxa"/>
            <w:tcBorders>
              <w:top w:val="single" w:sz="4" w:space="0" w:color="000000"/>
              <w:bottom w:val="single" w:sz="4" w:space="0" w:color="000000"/>
            </w:tcBorders>
          </w:tcPr>
          <w:p w14:paraId="12970C08" w14:textId="77777777" w:rsidR="00FF7799" w:rsidRPr="00E73F6F" w:rsidRDefault="00FF7799" w:rsidP="008941AC">
            <w:pPr>
              <w:pStyle w:val="StandardText"/>
              <w:jc w:val="left"/>
              <w:rPr>
                <w:i/>
                <w:lang w:val="de-DE"/>
              </w:rPr>
            </w:pPr>
            <w:r w:rsidRPr="00E73F6F">
              <w:rPr>
                <w:i/>
                <w:lang w:val="de-DE"/>
              </w:rPr>
              <w:t xml:space="preserve">IBOPE </w:t>
            </w:r>
            <w:r w:rsidRPr="00E73F6F">
              <w:rPr>
                <w:i/>
                <w:spacing w:val="-2"/>
                <w:lang w:val="de-DE"/>
              </w:rPr>
              <w:t>Group</w:t>
            </w:r>
          </w:p>
        </w:tc>
        <w:tc>
          <w:tcPr>
            <w:tcW w:w="1478" w:type="dxa"/>
            <w:tcBorders>
              <w:top w:val="single" w:sz="4" w:space="0" w:color="000000"/>
              <w:bottom w:val="single" w:sz="4" w:space="0" w:color="000000"/>
            </w:tcBorders>
          </w:tcPr>
          <w:p w14:paraId="47B557D0" w14:textId="77777777" w:rsidR="00FF7799" w:rsidRPr="00E73F6F" w:rsidRDefault="00FF7799" w:rsidP="007A39A7">
            <w:pPr>
              <w:pStyle w:val="StandardText"/>
              <w:jc w:val="center"/>
              <w:rPr>
                <w:lang w:val="de-DE"/>
              </w:rPr>
            </w:pPr>
            <w:r w:rsidRPr="00E73F6F">
              <w:rPr>
                <w:spacing w:val="-2"/>
                <w:lang w:val="de-DE"/>
              </w:rPr>
              <w:t>Brasilien</w:t>
            </w:r>
          </w:p>
        </w:tc>
        <w:tc>
          <w:tcPr>
            <w:tcW w:w="1640" w:type="dxa"/>
            <w:tcBorders>
              <w:top w:val="single" w:sz="4" w:space="0" w:color="000000"/>
              <w:bottom w:val="single" w:sz="4" w:space="0" w:color="000000"/>
            </w:tcBorders>
          </w:tcPr>
          <w:p w14:paraId="12F6964A" w14:textId="77777777" w:rsidR="00FF7799" w:rsidRPr="00E73F6F" w:rsidRDefault="00FF7799" w:rsidP="007A39A7">
            <w:pPr>
              <w:pStyle w:val="StandardText"/>
              <w:jc w:val="center"/>
              <w:rPr>
                <w:lang w:val="de-DE"/>
              </w:rPr>
            </w:pPr>
            <w:r w:rsidRPr="00E73F6F">
              <w:rPr>
                <w:spacing w:val="-2"/>
                <w:lang w:val="de-DE"/>
              </w:rPr>
              <w:t>1.884</w:t>
            </w:r>
          </w:p>
        </w:tc>
        <w:tc>
          <w:tcPr>
            <w:tcW w:w="3260" w:type="dxa"/>
            <w:tcBorders>
              <w:top w:val="single" w:sz="4" w:space="0" w:color="000000"/>
              <w:bottom w:val="single" w:sz="4" w:space="0" w:color="000000"/>
            </w:tcBorders>
          </w:tcPr>
          <w:p w14:paraId="18F0528D" w14:textId="77777777" w:rsidR="00FF7799" w:rsidRPr="00E73F6F" w:rsidRDefault="00FF7799" w:rsidP="007A39A7">
            <w:pPr>
              <w:pStyle w:val="StandardText"/>
              <w:jc w:val="center"/>
              <w:rPr>
                <w:lang w:val="de-DE"/>
              </w:rPr>
            </w:pPr>
            <w:r w:rsidRPr="00E73F6F">
              <w:rPr>
                <w:spacing w:val="-2"/>
                <w:lang w:val="de-DE"/>
              </w:rPr>
              <w:t>158,9</w:t>
            </w:r>
          </w:p>
        </w:tc>
      </w:tr>
      <w:tr w:rsidR="00FF7799" w:rsidRPr="00E73F6F" w14:paraId="20E6EE3D" w14:textId="77777777" w:rsidTr="008941AC">
        <w:trPr>
          <w:trHeight w:val="311"/>
        </w:trPr>
        <w:tc>
          <w:tcPr>
            <w:tcW w:w="2694" w:type="dxa"/>
            <w:tcBorders>
              <w:top w:val="single" w:sz="4" w:space="0" w:color="000000"/>
              <w:bottom w:val="single" w:sz="4" w:space="0" w:color="000000"/>
            </w:tcBorders>
          </w:tcPr>
          <w:p w14:paraId="2DF58A3D" w14:textId="77777777" w:rsidR="00FF7799" w:rsidRPr="00E73F6F" w:rsidRDefault="00FF7799" w:rsidP="008941AC">
            <w:pPr>
              <w:pStyle w:val="StandardText"/>
              <w:jc w:val="left"/>
              <w:rPr>
                <w:i/>
                <w:lang w:val="de-DE"/>
              </w:rPr>
            </w:pPr>
            <w:r w:rsidRPr="00E73F6F">
              <w:rPr>
                <w:i/>
                <w:lang w:val="de-DE"/>
              </w:rPr>
              <w:t>comScore</w:t>
            </w:r>
            <w:r w:rsidRPr="00E73F6F">
              <w:rPr>
                <w:i/>
                <w:spacing w:val="-7"/>
                <w:lang w:val="de-DE"/>
              </w:rPr>
              <w:t xml:space="preserve"> </w:t>
            </w:r>
            <w:r w:rsidRPr="00E73F6F">
              <w:rPr>
                <w:i/>
                <w:lang w:val="de-DE"/>
              </w:rPr>
              <w:t>Inc.</w:t>
            </w:r>
          </w:p>
        </w:tc>
        <w:tc>
          <w:tcPr>
            <w:tcW w:w="1478" w:type="dxa"/>
            <w:tcBorders>
              <w:top w:val="single" w:sz="4" w:space="0" w:color="000000"/>
              <w:bottom w:val="single" w:sz="4" w:space="0" w:color="000000"/>
            </w:tcBorders>
          </w:tcPr>
          <w:p w14:paraId="3FC520F9" w14:textId="77777777" w:rsidR="00FF7799" w:rsidRPr="00E73F6F" w:rsidRDefault="00FF7799" w:rsidP="007A39A7">
            <w:pPr>
              <w:pStyle w:val="StandardText"/>
              <w:jc w:val="center"/>
              <w:rPr>
                <w:lang w:val="de-DE"/>
              </w:rPr>
            </w:pPr>
            <w:r w:rsidRPr="00E73F6F">
              <w:rPr>
                <w:spacing w:val="-5"/>
                <w:lang w:val="de-DE"/>
              </w:rPr>
              <w:t>USA</w:t>
            </w:r>
          </w:p>
        </w:tc>
        <w:tc>
          <w:tcPr>
            <w:tcW w:w="1640" w:type="dxa"/>
            <w:tcBorders>
              <w:top w:val="single" w:sz="4" w:space="0" w:color="000000"/>
              <w:bottom w:val="single" w:sz="4" w:space="0" w:color="000000"/>
            </w:tcBorders>
          </w:tcPr>
          <w:p w14:paraId="088ECFFF" w14:textId="77777777" w:rsidR="00FF7799" w:rsidRPr="00E73F6F" w:rsidRDefault="00FF7799" w:rsidP="007A39A7">
            <w:pPr>
              <w:pStyle w:val="StandardText"/>
              <w:jc w:val="center"/>
              <w:rPr>
                <w:lang w:val="de-DE"/>
              </w:rPr>
            </w:pPr>
            <w:r w:rsidRPr="00E73F6F">
              <w:rPr>
                <w:spacing w:val="-5"/>
                <w:lang w:val="de-DE"/>
              </w:rPr>
              <w:t>581</w:t>
            </w:r>
          </w:p>
        </w:tc>
        <w:tc>
          <w:tcPr>
            <w:tcW w:w="3260" w:type="dxa"/>
            <w:tcBorders>
              <w:top w:val="single" w:sz="4" w:space="0" w:color="000000"/>
              <w:bottom w:val="single" w:sz="4" w:space="0" w:color="000000"/>
            </w:tcBorders>
          </w:tcPr>
          <w:p w14:paraId="69CE0D73" w14:textId="77777777" w:rsidR="00FF7799" w:rsidRPr="00E73F6F" w:rsidRDefault="00FF7799" w:rsidP="007A39A7">
            <w:pPr>
              <w:pStyle w:val="StandardText"/>
              <w:jc w:val="center"/>
              <w:rPr>
                <w:lang w:val="de-DE"/>
              </w:rPr>
            </w:pPr>
            <w:r w:rsidRPr="00E73F6F">
              <w:rPr>
                <w:spacing w:val="-2"/>
                <w:lang w:val="de-DE"/>
              </w:rPr>
              <w:t>117,4</w:t>
            </w:r>
          </w:p>
        </w:tc>
      </w:tr>
      <w:tr w:rsidR="00FF7799" w:rsidRPr="00E73F6F" w14:paraId="38BB8FDF" w14:textId="77777777" w:rsidTr="008941AC">
        <w:trPr>
          <w:trHeight w:val="311"/>
        </w:trPr>
        <w:tc>
          <w:tcPr>
            <w:tcW w:w="2694" w:type="dxa"/>
            <w:tcBorders>
              <w:top w:val="single" w:sz="4" w:space="0" w:color="000000"/>
              <w:bottom w:val="single" w:sz="4" w:space="0" w:color="000000"/>
            </w:tcBorders>
          </w:tcPr>
          <w:p w14:paraId="564E5E7E" w14:textId="77777777" w:rsidR="00FF7799" w:rsidRPr="00E73F6F" w:rsidRDefault="00FF7799" w:rsidP="00E47B03">
            <w:pPr>
              <w:pStyle w:val="StandardText"/>
              <w:jc w:val="left"/>
              <w:rPr>
                <w:i/>
                <w:lang w:val="de-DE"/>
              </w:rPr>
            </w:pPr>
            <w:r w:rsidRPr="00E73F6F">
              <w:rPr>
                <w:i/>
                <w:lang w:val="de-DE"/>
              </w:rPr>
              <w:t>Cello</w:t>
            </w:r>
            <w:r w:rsidRPr="00E73F6F">
              <w:rPr>
                <w:i/>
                <w:spacing w:val="-3"/>
                <w:lang w:val="de-DE"/>
              </w:rPr>
              <w:t xml:space="preserve"> </w:t>
            </w:r>
            <w:r w:rsidRPr="00E73F6F">
              <w:rPr>
                <w:i/>
                <w:lang w:val="de-DE"/>
              </w:rPr>
              <w:t>Research</w:t>
            </w:r>
            <w:r w:rsidRPr="00E73F6F">
              <w:rPr>
                <w:i/>
                <w:spacing w:val="-3"/>
                <w:lang w:val="de-DE"/>
              </w:rPr>
              <w:t xml:space="preserve"> </w:t>
            </w:r>
            <w:r w:rsidRPr="00E73F6F">
              <w:rPr>
                <w:i/>
                <w:lang w:val="de-DE"/>
              </w:rPr>
              <w:t>&amp;</w:t>
            </w:r>
            <w:r w:rsidRPr="00E73F6F">
              <w:rPr>
                <w:i/>
                <w:spacing w:val="-6"/>
                <w:lang w:val="de-DE"/>
              </w:rPr>
              <w:t xml:space="preserve"> </w:t>
            </w:r>
            <w:r w:rsidR="008941AC" w:rsidRPr="00E73F6F">
              <w:rPr>
                <w:i/>
                <w:spacing w:val="-6"/>
                <w:lang w:val="de-DE"/>
              </w:rPr>
              <w:br/>
            </w:r>
            <w:r w:rsidRPr="00E73F6F">
              <w:rPr>
                <w:i/>
                <w:spacing w:val="-2"/>
                <w:lang w:val="de-DE"/>
              </w:rPr>
              <w:t>Consulting</w:t>
            </w:r>
          </w:p>
        </w:tc>
        <w:tc>
          <w:tcPr>
            <w:tcW w:w="1478" w:type="dxa"/>
            <w:tcBorders>
              <w:top w:val="single" w:sz="4" w:space="0" w:color="000000"/>
              <w:bottom w:val="single" w:sz="4" w:space="0" w:color="000000"/>
            </w:tcBorders>
          </w:tcPr>
          <w:p w14:paraId="178BFACB" w14:textId="77777777" w:rsidR="00FF7799" w:rsidRPr="00E73F6F" w:rsidRDefault="00FF7799" w:rsidP="007A39A7">
            <w:pPr>
              <w:pStyle w:val="StandardText"/>
              <w:jc w:val="center"/>
              <w:rPr>
                <w:lang w:val="de-DE"/>
              </w:rPr>
            </w:pPr>
            <w:r w:rsidRPr="00E73F6F">
              <w:rPr>
                <w:spacing w:val="-2"/>
                <w:lang w:val="de-DE"/>
              </w:rPr>
              <w:t>Großbritannien</w:t>
            </w:r>
          </w:p>
        </w:tc>
        <w:tc>
          <w:tcPr>
            <w:tcW w:w="1640" w:type="dxa"/>
            <w:tcBorders>
              <w:top w:val="single" w:sz="4" w:space="0" w:color="000000"/>
              <w:bottom w:val="single" w:sz="4" w:space="0" w:color="000000"/>
            </w:tcBorders>
          </w:tcPr>
          <w:p w14:paraId="7020EA40" w14:textId="77777777" w:rsidR="00FF7799" w:rsidRPr="00E73F6F" w:rsidRDefault="00FF7799" w:rsidP="007A39A7">
            <w:pPr>
              <w:pStyle w:val="StandardText"/>
              <w:jc w:val="center"/>
              <w:rPr>
                <w:lang w:val="de-DE"/>
              </w:rPr>
            </w:pPr>
            <w:r w:rsidRPr="00E73F6F">
              <w:rPr>
                <w:spacing w:val="-5"/>
                <w:lang w:val="de-DE"/>
              </w:rPr>
              <w:t>451</w:t>
            </w:r>
          </w:p>
        </w:tc>
        <w:tc>
          <w:tcPr>
            <w:tcW w:w="3260" w:type="dxa"/>
            <w:tcBorders>
              <w:top w:val="single" w:sz="4" w:space="0" w:color="000000"/>
              <w:bottom w:val="single" w:sz="4" w:space="0" w:color="000000"/>
            </w:tcBorders>
          </w:tcPr>
          <w:p w14:paraId="39C79568" w14:textId="77777777" w:rsidR="00FF7799" w:rsidRPr="00E73F6F" w:rsidRDefault="00FF7799" w:rsidP="007A39A7">
            <w:pPr>
              <w:pStyle w:val="StandardText"/>
              <w:jc w:val="center"/>
              <w:rPr>
                <w:lang w:val="de-DE"/>
              </w:rPr>
            </w:pPr>
            <w:r w:rsidRPr="00E73F6F">
              <w:rPr>
                <w:lang w:val="de-DE"/>
              </w:rPr>
              <w:t>98,8</w:t>
            </w:r>
          </w:p>
        </w:tc>
      </w:tr>
      <w:tr w:rsidR="00FF7799" w:rsidRPr="00E47B03" w14:paraId="2370E1C5" w14:textId="77777777" w:rsidTr="008941AC">
        <w:trPr>
          <w:trHeight w:val="311"/>
        </w:trPr>
        <w:tc>
          <w:tcPr>
            <w:tcW w:w="2694" w:type="dxa"/>
            <w:tcBorders>
              <w:top w:val="single" w:sz="4" w:space="0" w:color="000000"/>
              <w:bottom w:val="single" w:sz="4" w:space="0" w:color="000000"/>
            </w:tcBorders>
          </w:tcPr>
          <w:p w14:paraId="0E8B36BB" w14:textId="77777777" w:rsidR="00E47B03" w:rsidRDefault="00FF7799" w:rsidP="008941AC">
            <w:pPr>
              <w:pStyle w:val="StandardText"/>
              <w:jc w:val="left"/>
              <w:rPr>
                <w:i/>
                <w:lang w:val="de-DE"/>
              </w:rPr>
            </w:pPr>
            <w:r w:rsidRPr="00E73F6F">
              <w:rPr>
                <w:i/>
                <w:lang w:val="de-DE"/>
              </w:rPr>
              <w:t>Market</w:t>
            </w:r>
            <w:r w:rsidRPr="00E47B03">
              <w:rPr>
                <w:i/>
                <w:lang w:val="de-DE"/>
              </w:rPr>
              <w:t xml:space="preserve"> </w:t>
            </w:r>
            <w:r w:rsidRPr="00E73F6F">
              <w:rPr>
                <w:i/>
                <w:lang w:val="de-DE"/>
              </w:rPr>
              <w:t>Strategies</w:t>
            </w:r>
          </w:p>
          <w:p w14:paraId="0DBF59CF" w14:textId="77777777" w:rsidR="00FF7799" w:rsidRPr="00E73F6F" w:rsidRDefault="00FF7799" w:rsidP="008941AC">
            <w:pPr>
              <w:pStyle w:val="StandardText"/>
              <w:jc w:val="left"/>
              <w:rPr>
                <w:i/>
                <w:lang w:val="de-DE"/>
              </w:rPr>
            </w:pPr>
            <w:r w:rsidRPr="00E47B03">
              <w:rPr>
                <w:i/>
                <w:lang w:val="de-DE"/>
              </w:rPr>
              <w:t xml:space="preserve"> International</w:t>
            </w:r>
          </w:p>
        </w:tc>
        <w:tc>
          <w:tcPr>
            <w:tcW w:w="1478" w:type="dxa"/>
            <w:tcBorders>
              <w:top w:val="single" w:sz="4" w:space="0" w:color="000000"/>
              <w:bottom w:val="single" w:sz="4" w:space="0" w:color="000000"/>
            </w:tcBorders>
          </w:tcPr>
          <w:p w14:paraId="00E524AF" w14:textId="77777777" w:rsidR="00FF7799" w:rsidRPr="00E47B03" w:rsidRDefault="00FF7799" w:rsidP="007A39A7">
            <w:pPr>
              <w:pStyle w:val="StandardText"/>
              <w:jc w:val="center"/>
              <w:rPr>
                <w:i/>
                <w:lang w:val="de-DE"/>
              </w:rPr>
            </w:pPr>
            <w:r w:rsidRPr="00E47B03">
              <w:rPr>
                <w:i/>
                <w:lang w:val="de-DE"/>
              </w:rPr>
              <w:t>USA</w:t>
            </w:r>
          </w:p>
        </w:tc>
        <w:tc>
          <w:tcPr>
            <w:tcW w:w="1640" w:type="dxa"/>
            <w:tcBorders>
              <w:top w:val="single" w:sz="4" w:space="0" w:color="000000"/>
              <w:bottom w:val="single" w:sz="4" w:space="0" w:color="000000"/>
            </w:tcBorders>
          </w:tcPr>
          <w:p w14:paraId="71BCEFD0" w14:textId="77777777" w:rsidR="00FF7799" w:rsidRPr="00E47B03" w:rsidRDefault="00FF7799" w:rsidP="007A39A7">
            <w:pPr>
              <w:pStyle w:val="StandardText"/>
              <w:jc w:val="center"/>
              <w:rPr>
                <w:i/>
                <w:lang w:val="de-DE"/>
              </w:rPr>
            </w:pPr>
            <w:r w:rsidRPr="00E47B03">
              <w:rPr>
                <w:i/>
                <w:lang w:val="de-DE"/>
              </w:rPr>
              <w:t>307</w:t>
            </w:r>
          </w:p>
        </w:tc>
        <w:tc>
          <w:tcPr>
            <w:tcW w:w="3260" w:type="dxa"/>
            <w:tcBorders>
              <w:top w:val="single" w:sz="4" w:space="0" w:color="000000"/>
              <w:bottom w:val="single" w:sz="4" w:space="0" w:color="000000"/>
            </w:tcBorders>
          </w:tcPr>
          <w:p w14:paraId="7848FF23" w14:textId="77777777" w:rsidR="00FF7799" w:rsidRPr="00E47B03" w:rsidRDefault="00FF7799" w:rsidP="007A39A7">
            <w:pPr>
              <w:pStyle w:val="StandardText"/>
              <w:jc w:val="center"/>
              <w:rPr>
                <w:i/>
                <w:lang w:val="de-DE"/>
              </w:rPr>
            </w:pPr>
            <w:r w:rsidRPr="00E47B03">
              <w:rPr>
                <w:i/>
                <w:lang w:val="de-DE"/>
              </w:rPr>
              <w:t>92,2</w:t>
            </w:r>
          </w:p>
        </w:tc>
      </w:tr>
      <w:tr w:rsidR="00FF7799" w:rsidRPr="00E47B03" w14:paraId="4EBBCACB" w14:textId="77777777" w:rsidTr="008941AC">
        <w:trPr>
          <w:trHeight w:val="312"/>
        </w:trPr>
        <w:tc>
          <w:tcPr>
            <w:tcW w:w="2694" w:type="dxa"/>
            <w:tcBorders>
              <w:top w:val="single" w:sz="4" w:space="0" w:color="000000"/>
              <w:bottom w:val="single" w:sz="4" w:space="0" w:color="000000"/>
            </w:tcBorders>
          </w:tcPr>
          <w:p w14:paraId="3C920661" w14:textId="77777777" w:rsidR="00E47B03" w:rsidRPr="00E47B03" w:rsidRDefault="00FF7799" w:rsidP="008941AC">
            <w:pPr>
              <w:pStyle w:val="StandardText"/>
              <w:jc w:val="left"/>
              <w:rPr>
                <w:i/>
                <w:lang w:val="de-DE"/>
              </w:rPr>
            </w:pPr>
            <w:r w:rsidRPr="00E73F6F">
              <w:rPr>
                <w:i/>
                <w:lang w:val="de-DE"/>
              </w:rPr>
              <w:t>Lieberman</w:t>
            </w:r>
            <w:r w:rsidRPr="00E47B03">
              <w:rPr>
                <w:i/>
                <w:lang w:val="de-DE"/>
              </w:rPr>
              <w:t xml:space="preserve"> </w:t>
            </w:r>
            <w:r w:rsidRPr="00E73F6F">
              <w:rPr>
                <w:i/>
                <w:lang w:val="de-DE"/>
              </w:rPr>
              <w:t>Research</w:t>
            </w:r>
            <w:r w:rsidRPr="00E47B03">
              <w:rPr>
                <w:i/>
                <w:lang w:val="de-DE"/>
              </w:rPr>
              <w:t xml:space="preserve"> </w:t>
            </w:r>
          </w:p>
          <w:p w14:paraId="490B797A" w14:textId="77777777" w:rsidR="00FF7799" w:rsidRPr="00E73F6F" w:rsidRDefault="00FF7799" w:rsidP="008941AC">
            <w:pPr>
              <w:pStyle w:val="StandardText"/>
              <w:jc w:val="left"/>
              <w:rPr>
                <w:i/>
                <w:lang w:val="de-DE"/>
              </w:rPr>
            </w:pPr>
            <w:r w:rsidRPr="00E47B03">
              <w:rPr>
                <w:i/>
                <w:lang w:val="de-DE"/>
              </w:rPr>
              <w:t>Worldwide</w:t>
            </w:r>
          </w:p>
        </w:tc>
        <w:tc>
          <w:tcPr>
            <w:tcW w:w="1478" w:type="dxa"/>
            <w:tcBorders>
              <w:top w:val="single" w:sz="4" w:space="0" w:color="000000"/>
              <w:bottom w:val="single" w:sz="4" w:space="0" w:color="000000"/>
            </w:tcBorders>
          </w:tcPr>
          <w:p w14:paraId="584006AD" w14:textId="77777777" w:rsidR="00FF7799" w:rsidRPr="00E47B03" w:rsidRDefault="00FF7799" w:rsidP="007A39A7">
            <w:pPr>
              <w:pStyle w:val="StandardText"/>
              <w:jc w:val="center"/>
              <w:rPr>
                <w:i/>
                <w:lang w:val="de-DE"/>
              </w:rPr>
            </w:pPr>
            <w:r w:rsidRPr="00E47B03">
              <w:rPr>
                <w:i/>
                <w:lang w:val="de-DE"/>
              </w:rPr>
              <w:t>USA</w:t>
            </w:r>
          </w:p>
        </w:tc>
        <w:tc>
          <w:tcPr>
            <w:tcW w:w="1640" w:type="dxa"/>
            <w:tcBorders>
              <w:top w:val="single" w:sz="4" w:space="0" w:color="000000"/>
              <w:bottom w:val="single" w:sz="4" w:space="0" w:color="000000"/>
            </w:tcBorders>
          </w:tcPr>
          <w:p w14:paraId="2B4CEE05" w14:textId="77777777" w:rsidR="00FF7799" w:rsidRPr="00E47B03" w:rsidRDefault="00FF7799" w:rsidP="007A39A7">
            <w:pPr>
              <w:pStyle w:val="StandardText"/>
              <w:jc w:val="center"/>
              <w:rPr>
                <w:i/>
                <w:lang w:val="de-DE"/>
              </w:rPr>
            </w:pPr>
            <w:r w:rsidRPr="00E47B03">
              <w:rPr>
                <w:i/>
                <w:lang w:val="de-DE"/>
              </w:rPr>
              <w:t>324</w:t>
            </w:r>
          </w:p>
        </w:tc>
        <w:tc>
          <w:tcPr>
            <w:tcW w:w="3260" w:type="dxa"/>
            <w:tcBorders>
              <w:top w:val="single" w:sz="4" w:space="0" w:color="000000"/>
              <w:bottom w:val="single" w:sz="4" w:space="0" w:color="000000"/>
            </w:tcBorders>
          </w:tcPr>
          <w:p w14:paraId="4154011F" w14:textId="77777777" w:rsidR="00FF7799" w:rsidRPr="00E47B03" w:rsidRDefault="00FF7799" w:rsidP="007A39A7">
            <w:pPr>
              <w:pStyle w:val="StandardText"/>
              <w:jc w:val="center"/>
              <w:rPr>
                <w:i/>
                <w:lang w:val="de-DE"/>
              </w:rPr>
            </w:pPr>
            <w:r w:rsidRPr="00E47B03">
              <w:rPr>
                <w:i/>
                <w:lang w:val="de-DE"/>
              </w:rPr>
              <w:t>90,1</w:t>
            </w:r>
          </w:p>
        </w:tc>
      </w:tr>
      <w:tr w:rsidR="00FF7799" w:rsidRPr="00E47B03" w14:paraId="164F71B1" w14:textId="77777777" w:rsidTr="008941AC">
        <w:trPr>
          <w:trHeight w:val="313"/>
        </w:trPr>
        <w:tc>
          <w:tcPr>
            <w:tcW w:w="2694" w:type="dxa"/>
            <w:tcBorders>
              <w:top w:val="single" w:sz="4" w:space="0" w:color="000000"/>
              <w:bottom w:val="single" w:sz="4" w:space="0" w:color="000000"/>
            </w:tcBorders>
          </w:tcPr>
          <w:p w14:paraId="155FA0FF" w14:textId="77777777" w:rsidR="00FF7799" w:rsidRPr="00E73F6F" w:rsidRDefault="00FF7799" w:rsidP="008941AC">
            <w:pPr>
              <w:pStyle w:val="StandardText"/>
              <w:jc w:val="left"/>
              <w:rPr>
                <w:i/>
                <w:lang w:val="de-DE"/>
              </w:rPr>
            </w:pPr>
            <w:r w:rsidRPr="00E47B03">
              <w:rPr>
                <w:i/>
                <w:lang w:val="de-DE"/>
              </w:rPr>
              <w:t>Mediametrie</w:t>
            </w:r>
          </w:p>
        </w:tc>
        <w:tc>
          <w:tcPr>
            <w:tcW w:w="1478" w:type="dxa"/>
            <w:tcBorders>
              <w:top w:val="single" w:sz="4" w:space="0" w:color="000000"/>
              <w:bottom w:val="single" w:sz="4" w:space="0" w:color="000000"/>
            </w:tcBorders>
          </w:tcPr>
          <w:p w14:paraId="10B0028C" w14:textId="77777777" w:rsidR="00FF7799" w:rsidRPr="00E47B03" w:rsidRDefault="00FF7799" w:rsidP="007A39A7">
            <w:pPr>
              <w:pStyle w:val="StandardText"/>
              <w:jc w:val="center"/>
              <w:rPr>
                <w:i/>
                <w:lang w:val="de-DE"/>
              </w:rPr>
            </w:pPr>
            <w:r w:rsidRPr="00E47B03">
              <w:rPr>
                <w:i/>
                <w:lang w:val="de-DE"/>
              </w:rPr>
              <w:t>Frankreich</w:t>
            </w:r>
          </w:p>
        </w:tc>
        <w:tc>
          <w:tcPr>
            <w:tcW w:w="1640" w:type="dxa"/>
            <w:tcBorders>
              <w:top w:val="single" w:sz="4" w:space="0" w:color="000000"/>
              <w:bottom w:val="single" w:sz="4" w:space="0" w:color="000000"/>
            </w:tcBorders>
          </w:tcPr>
          <w:p w14:paraId="4B5E7945" w14:textId="77777777" w:rsidR="00FF7799" w:rsidRPr="00E47B03" w:rsidRDefault="00FF7799" w:rsidP="007A39A7">
            <w:pPr>
              <w:pStyle w:val="StandardText"/>
              <w:jc w:val="center"/>
              <w:rPr>
                <w:i/>
                <w:lang w:val="de-DE"/>
              </w:rPr>
            </w:pPr>
            <w:r w:rsidRPr="00E47B03">
              <w:rPr>
                <w:i/>
                <w:lang w:val="de-DE"/>
              </w:rPr>
              <w:t>515</w:t>
            </w:r>
          </w:p>
        </w:tc>
        <w:tc>
          <w:tcPr>
            <w:tcW w:w="3260" w:type="dxa"/>
            <w:tcBorders>
              <w:top w:val="single" w:sz="4" w:space="0" w:color="000000"/>
              <w:bottom w:val="single" w:sz="4" w:space="0" w:color="000000"/>
            </w:tcBorders>
          </w:tcPr>
          <w:p w14:paraId="025F1FB1" w14:textId="77777777" w:rsidR="00FF7799" w:rsidRPr="00E47B03" w:rsidRDefault="00FF7799" w:rsidP="007A39A7">
            <w:pPr>
              <w:pStyle w:val="StandardText"/>
              <w:jc w:val="center"/>
              <w:rPr>
                <w:i/>
                <w:lang w:val="de-DE"/>
              </w:rPr>
            </w:pPr>
            <w:r w:rsidRPr="00E47B03">
              <w:rPr>
                <w:i/>
                <w:lang w:val="de-DE"/>
              </w:rPr>
              <w:t>85,4</w:t>
            </w:r>
          </w:p>
        </w:tc>
      </w:tr>
      <w:tr w:rsidR="00FF7799" w:rsidRPr="00E73F6F" w14:paraId="55F3E98B" w14:textId="77777777" w:rsidTr="008941AC">
        <w:trPr>
          <w:trHeight w:val="311"/>
        </w:trPr>
        <w:tc>
          <w:tcPr>
            <w:tcW w:w="2694" w:type="dxa"/>
            <w:tcBorders>
              <w:top w:val="single" w:sz="4" w:space="0" w:color="000000"/>
              <w:bottom w:val="single" w:sz="4" w:space="0" w:color="000000"/>
            </w:tcBorders>
          </w:tcPr>
          <w:p w14:paraId="00C9431D" w14:textId="77777777" w:rsidR="00FF7799" w:rsidRPr="00E73F6F" w:rsidRDefault="00FF7799" w:rsidP="008941AC">
            <w:pPr>
              <w:pStyle w:val="StandardText"/>
              <w:jc w:val="left"/>
              <w:rPr>
                <w:i/>
                <w:lang w:val="de-DE"/>
              </w:rPr>
            </w:pPr>
            <w:r w:rsidRPr="00E73F6F">
              <w:rPr>
                <w:i/>
                <w:lang w:val="de-DE"/>
              </w:rPr>
              <w:t>BVA</w:t>
            </w:r>
            <w:r w:rsidRPr="00E73F6F">
              <w:rPr>
                <w:i/>
                <w:spacing w:val="1"/>
                <w:lang w:val="de-DE"/>
              </w:rPr>
              <w:t xml:space="preserve"> </w:t>
            </w:r>
            <w:r w:rsidRPr="00E73F6F">
              <w:rPr>
                <w:i/>
                <w:spacing w:val="-2"/>
                <w:lang w:val="de-DE"/>
              </w:rPr>
              <w:t>Group</w:t>
            </w:r>
          </w:p>
        </w:tc>
        <w:tc>
          <w:tcPr>
            <w:tcW w:w="1478" w:type="dxa"/>
            <w:tcBorders>
              <w:top w:val="single" w:sz="4" w:space="0" w:color="000000"/>
              <w:bottom w:val="single" w:sz="4" w:space="0" w:color="000000"/>
            </w:tcBorders>
          </w:tcPr>
          <w:p w14:paraId="44204F4E" w14:textId="77777777" w:rsidR="00FF7799" w:rsidRPr="00E73F6F" w:rsidRDefault="00FF7799" w:rsidP="007A39A7">
            <w:pPr>
              <w:pStyle w:val="StandardText"/>
              <w:jc w:val="center"/>
              <w:rPr>
                <w:lang w:val="de-DE"/>
              </w:rPr>
            </w:pPr>
            <w:r w:rsidRPr="00E73F6F">
              <w:rPr>
                <w:spacing w:val="-2"/>
                <w:lang w:val="de-DE"/>
              </w:rPr>
              <w:t>Frankreich</w:t>
            </w:r>
          </w:p>
        </w:tc>
        <w:tc>
          <w:tcPr>
            <w:tcW w:w="1640" w:type="dxa"/>
            <w:tcBorders>
              <w:top w:val="single" w:sz="4" w:space="0" w:color="000000"/>
              <w:bottom w:val="single" w:sz="4" w:space="0" w:color="000000"/>
            </w:tcBorders>
          </w:tcPr>
          <w:p w14:paraId="268F3DC7" w14:textId="77777777" w:rsidR="00FF7799" w:rsidRPr="00E73F6F" w:rsidRDefault="00FF7799" w:rsidP="007A39A7">
            <w:pPr>
              <w:pStyle w:val="StandardText"/>
              <w:jc w:val="center"/>
              <w:rPr>
                <w:lang w:val="de-DE"/>
              </w:rPr>
            </w:pPr>
            <w:r w:rsidRPr="00E73F6F">
              <w:rPr>
                <w:spacing w:val="-5"/>
                <w:lang w:val="de-DE"/>
              </w:rPr>
              <w:t>742</w:t>
            </w:r>
          </w:p>
        </w:tc>
        <w:tc>
          <w:tcPr>
            <w:tcW w:w="3260" w:type="dxa"/>
            <w:tcBorders>
              <w:top w:val="single" w:sz="4" w:space="0" w:color="000000"/>
              <w:bottom w:val="single" w:sz="4" w:space="0" w:color="000000"/>
            </w:tcBorders>
          </w:tcPr>
          <w:p w14:paraId="6041C373" w14:textId="77777777" w:rsidR="00FF7799" w:rsidRPr="00E73F6F" w:rsidRDefault="00FF7799" w:rsidP="007A39A7">
            <w:pPr>
              <w:pStyle w:val="StandardText"/>
              <w:jc w:val="center"/>
              <w:rPr>
                <w:lang w:val="de-DE"/>
              </w:rPr>
            </w:pPr>
            <w:r w:rsidRPr="00E73F6F">
              <w:rPr>
                <w:lang w:val="de-DE"/>
              </w:rPr>
              <w:t>83,9</w:t>
            </w:r>
          </w:p>
        </w:tc>
      </w:tr>
      <w:tr w:rsidR="00FF7799" w:rsidRPr="00E73F6F" w14:paraId="6AF55443" w14:textId="77777777" w:rsidTr="008941AC">
        <w:trPr>
          <w:trHeight w:val="311"/>
        </w:trPr>
        <w:tc>
          <w:tcPr>
            <w:tcW w:w="2694" w:type="dxa"/>
            <w:tcBorders>
              <w:top w:val="single" w:sz="4" w:space="0" w:color="000000"/>
              <w:bottom w:val="single" w:sz="4" w:space="0" w:color="000000"/>
            </w:tcBorders>
          </w:tcPr>
          <w:p w14:paraId="09536060" w14:textId="77777777" w:rsidR="00FF7799" w:rsidRPr="00E73F6F" w:rsidRDefault="00FF7799" w:rsidP="008941AC">
            <w:pPr>
              <w:pStyle w:val="StandardText"/>
              <w:jc w:val="left"/>
              <w:rPr>
                <w:i/>
                <w:lang w:val="de-DE"/>
              </w:rPr>
            </w:pPr>
            <w:r w:rsidRPr="00E73F6F">
              <w:rPr>
                <w:i/>
                <w:lang w:val="de-DE"/>
              </w:rPr>
              <w:t>You</w:t>
            </w:r>
            <w:r w:rsidRPr="00E73F6F">
              <w:rPr>
                <w:i/>
                <w:spacing w:val="-5"/>
                <w:lang w:val="de-DE"/>
              </w:rPr>
              <w:t xml:space="preserve"> </w:t>
            </w:r>
            <w:r w:rsidRPr="00E73F6F">
              <w:rPr>
                <w:i/>
                <w:lang w:val="de-DE"/>
              </w:rPr>
              <w:t>Gov</w:t>
            </w:r>
            <w:r w:rsidRPr="00E73F6F">
              <w:rPr>
                <w:i/>
                <w:spacing w:val="-1"/>
                <w:lang w:val="de-DE"/>
              </w:rPr>
              <w:t xml:space="preserve"> </w:t>
            </w:r>
            <w:r w:rsidRPr="00E73F6F">
              <w:rPr>
                <w:i/>
                <w:lang w:val="de-DE"/>
              </w:rPr>
              <w:t>Plc.</w:t>
            </w:r>
          </w:p>
        </w:tc>
        <w:tc>
          <w:tcPr>
            <w:tcW w:w="1478" w:type="dxa"/>
            <w:tcBorders>
              <w:top w:val="single" w:sz="4" w:space="0" w:color="000000"/>
              <w:bottom w:val="single" w:sz="4" w:space="0" w:color="000000"/>
            </w:tcBorders>
          </w:tcPr>
          <w:p w14:paraId="5EA50569" w14:textId="77777777" w:rsidR="00FF7799" w:rsidRPr="00E73F6F" w:rsidRDefault="00FF7799" w:rsidP="007A39A7">
            <w:pPr>
              <w:pStyle w:val="StandardText"/>
              <w:jc w:val="center"/>
              <w:rPr>
                <w:lang w:val="de-DE"/>
              </w:rPr>
            </w:pPr>
            <w:r w:rsidRPr="00E73F6F">
              <w:rPr>
                <w:spacing w:val="-2"/>
                <w:lang w:val="de-DE"/>
              </w:rPr>
              <w:t>Großbritannien</w:t>
            </w:r>
          </w:p>
        </w:tc>
        <w:tc>
          <w:tcPr>
            <w:tcW w:w="1640" w:type="dxa"/>
            <w:tcBorders>
              <w:top w:val="single" w:sz="4" w:space="0" w:color="000000"/>
              <w:bottom w:val="single" w:sz="4" w:space="0" w:color="000000"/>
            </w:tcBorders>
          </w:tcPr>
          <w:p w14:paraId="7BCD725F" w14:textId="77777777" w:rsidR="00FF7799" w:rsidRPr="00E73F6F" w:rsidRDefault="00FF7799" w:rsidP="007A39A7">
            <w:pPr>
              <w:pStyle w:val="StandardText"/>
              <w:jc w:val="center"/>
              <w:rPr>
                <w:lang w:val="de-DE"/>
              </w:rPr>
            </w:pPr>
            <w:r w:rsidRPr="00E73F6F">
              <w:rPr>
                <w:spacing w:val="-5"/>
                <w:lang w:val="de-DE"/>
              </w:rPr>
              <w:t>474</w:t>
            </w:r>
          </w:p>
        </w:tc>
        <w:tc>
          <w:tcPr>
            <w:tcW w:w="3260" w:type="dxa"/>
            <w:tcBorders>
              <w:top w:val="single" w:sz="4" w:space="0" w:color="000000"/>
              <w:bottom w:val="single" w:sz="4" w:space="0" w:color="000000"/>
            </w:tcBorders>
          </w:tcPr>
          <w:p w14:paraId="13A98F90" w14:textId="77777777" w:rsidR="00FF7799" w:rsidRPr="00E73F6F" w:rsidRDefault="00FF7799" w:rsidP="007A39A7">
            <w:pPr>
              <w:pStyle w:val="StandardText"/>
              <w:jc w:val="center"/>
              <w:rPr>
                <w:lang w:val="de-DE"/>
              </w:rPr>
            </w:pPr>
            <w:r w:rsidRPr="00E73F6F">
              <w:rPr>
                <w:lang w:val="de-DE"/>
              </w:rPr>
              <w:t>82,9</w:t>
            </w:r>
          </w:p>
        </w:tc>
      </w:tr>
      <w:tr w:rsidR="00FF7799" w:rsidRPr="00E73F6F" w14:paraId="6745369B" w14:textId="77777777" w:rsidTr="008941AC">
        <w:trPr>
          <w:trHeight w:val="311"/>
        </w:trPr>
        <w:tc>
          <w:tcPr>
            <w:tcW w:w="2694" w:type="dxa"/>
            <w:tcBorders>
              <w:top w:val="single" w:sz="4" w:space="0" w:color="000000"/>
              <w:bottom w:val="single" w:sz="4" w:space="0" w:color="000000"/>
            </w:tcBorders>
          </w:tcPr>
          <w:p w14:paraId="60AE7D15" w14:textId="77777777" w:rsidR="00FF7799" w:rsidRPr="00E73F6F" w:rsidRDefault="00FF7799" w:rsidP="008941AC">
            <w:pPr>
              <w:pStyle w:val="StandardText"/>
              <w:jc w:val="left"/>
              <w:rPr>
                <w:i/>
                <w:lang w:val="de-DE"/>
              </w:rPr>
            </w:pPr>
            <w:r w:rsidRPr="00E73F6F">
              <w:rPr>
                <w:i/>
                <w:lang w:val="de-DE"/>
              </w:rPr>
              <w:t>Dentsu</w:t>
            </w:r>
            <w:r w:rsidRPr="00E73F6F">
              <w:rPr>
                <w:i/>
                <w:spacing w:val="-8"/>
                <w:lang w:val="de-DE"/>
              </w:rPr>
              <w:t xml:space="preserve"> </w:t>
            </w:r>
            <w:r w:rsidRPr="00E73F6F">
              <w:rPr>
                <w:i/>
                <w:lang w:val="de-DE"/>
              </w:rPr>
              <w:t>Research</w:t>
            </w:r>
            <w:r w:rsidRPr="00E73F6F">
              <w:rPr>
                <w:i/>
                <w:spacing w:val="-6"/>
                <w:lang w:val="de-DE"/>
              </w:rPr>
              <w:t xml:space="preserve"> </w:t>
            </w:r>
            <w:r w:rsidRPr="00E73F6F">
              <w:rPr>
                <w:i/>
                <w:lang w:val="de-DE"/>
              </w:rPr>
              <w:t>Inc.</w:t>
            </w:r>
          </w:p>
        </w:tc>
        <w:tc>
          <w:tcPr>
            <w:tcW w:w="1478" w:type="dxa"/>
            <w:tcBorders>
              <w:top w:val="single" w:sz="4" w:space="0" w:color="000000"/>
              <w:bottom w:val="single" w:sz="4" w:space="0" w:color="000000"/>
            </w:tcBorders>
          </w:tcPr>
          <w:p w14:paraId="21017A74" w14:textId="77777777" w:rsidR="00FF7799" w:rsidRPr="00E73F6F" w:rsidRDefault="00FF7799" w:rsidP="007A39A7">
            <w:pPr>
              <w:pStyle w:val="StandardText"/>
              <w:jc w:val="center"/>
              <w:rPr>
                <w:lang w:val="de-DE"/>
              </w:rPr>
            </w:pPr>
            <w:r w:rsidRPr="00E73F6F">
              <w:rPr>
                <w:spacing w:val="-2"/>
                <w:lang w:val="de-DE"/>
              </w:rPr>
              <w:t>Japan</w:t>
            </w:r>
          </w:p>
        </w:tc>
        <w:tc>
          <w:tcPr>
            <w:tcW w:w="1640" w:type="dxa"/>
            <w:tcBorders>
              <w:top w:val="single" w:sz="4" w:space="0" w:color="000000"/>
              <w:bottom w:val="single" w:sz="4" w:space="0" w:color="000000"/>
            </w:tcBorders>
          </w:tcPr>
          <w:p w14:paraId="50C3763A" w14:textId="77777777" w:rsidR="00FF7799" w:rsidRPr="00E73F6F" w:rsidRDefault="00FF7799" w:rsidP="007A39A7">
            <w:pPr>
              <w:pStyle w:val="StandardText"/>
              <w:jc w:val="center"/>
              <w:rPr>
                <w:lang w:val="de-DE"/>
              </w:rPr>
            </w:pPr>
            <w:r w:rsidRPr="00E73F6F">
              <w:rPr>
                <w:spacing w:val="-5"/>
                <w:lang w:val="de-DE"/>
              </w:rPr>
              <w:t>163</w:t>
            </w:r>
          </w:p>
        </w:tc>
        <w:tc>
          <w:tcPr>
            <w:tcW w:w="3260" w:type="dxa"/>
            <w:tcBorders>
              <w:top w:val="single" w:sz="4" w:space="0" w:color="000000"/>
              <w:bottom w:val="single" w:sz="4" w:space="0" w:color="000000"/>
            </w:tcBorders>
          </w:tcPr>
          <w:p w14:paraId="759B70D9" w14:textId="77777777" w:rsidR="00FF7799" w:rsidRPr="00E73F6F" w:rsidRDefault="00FF7799" w:rsidP="007A39A7">
            <w:pPr>
              <w:pStyle w:val="StandardText"/>
              <w:jc w:val="center"/>
              <w:rPr>
                <w:lang w:val="de-DE"/>
              </w:rPr>
            </w:pPr>
            <w:r w:rsidRPr="00E73F6F">
              <w:rPr>
                <w:lang w:val="de-DE"/>
              </w:rPr>
              <w:t>68,2</w:t>
            </w:r>
          </w:p>
        </w:tc>
      </w:tr>
    </w:tbl>
    <w:p w14:paraId="654CC939" w14:textId="77777777" w:rsidR="00FF7799" w:rsidRPr="00E35FFF" w:rsidRDefault="00FF7799" w:rsidP="007A39A7">
      <w:pPr>
        <w:pStyle w:val="Quellen"/>
        <w:rPr>
          <w:spacing w:val="-2"/>
          <w:lang w:val="en-US"/>
        </w:rPr>
      </w:pPr>
      <w:r w:rsidRPr="00E35FFF">
        <w:rPr>
          <w:spacing w:val="-2"/>
          <w:lang w:val="en-US"/>
        </w:rPr>
        <w:t>Quelle:</w:t>
      </w:r>
      <w:r w:rsidRPr="00E35FFF">
        <w:rPr>
          <w:lang w:val="en-US"/>
        </w:rPr>
        <w:tab/>
        <w:t>Honomichl</w:t>
      </w:r>
      <w:r w:rsidRPr="00E35FFF">
        <w:rPr>
          <w:spacing w:val="-2"/>
          <w:lang w:val="en-US"/>
        </w:rPr>
        <w:t xml:space="preserve"> </w:t>
      </w:r>
      <w:r w:rsidRPr="00E35FFF">
        <w:rPr>
          <w:lang w:val="en-US"/>
        </w:rPr>
        <w:t>Global Top</w:t>
      </w:r>
      <w:r w:rsidRPr="00E35FFF">
        <w:rPr>
          <w:spacing w:val="-2"/>
          <w:lang w:val="en-US"/>
        </w:rPr>
        <w:t xml:space="preserve"> </w:t>
      </w:r>
      <w:r w:rsidRPr="00E35FFF">
        <w:rPr>
          <w:lang w:val="en-US"/>
        </w:rPr>
        <w:t>25</w:t>
      </w:r>
      <w:r w:rsidRPr="00E35FFF">
        <w:rPr>
          <w:spacing w:val="-3"/>
          <w:lang w:val="en-US"/>
        </w:rPr>
        <w:t xml:space="preserve"> </w:t>
      </w:r>
      <w:r w:rsidRPr="00E35FFF">
        <w:rPr>
          <w:lang w:val="en-US"/>
        </w:rPr>
        <w:t>(o.V.</w:t>
      </w:r>
      <w:r w:rsidRPr="00E35FFF">
        <w:rPr>
          <w:spacing w:val="2"/>
          <w:lang w:val="en-US"/>
        </w:rPr>
        <w:t xml:space="preserve"> </w:t>
      </w:r>
      <w:r w:rsidRPr="00E35FFF">
        <w:rPr>
          <w:spacing w:val="-2"/>
          <w:lang w:val="en-US"/>
        </w:rPr>
        <w:t>2008).</w:t>
      </w:r>
    </w:p>
    <w:p w14:paraId="4DD085A5" w14:textId="77777777" w:rsidR="00FF7799" w:rsidRPr="0026427E" w:rsidRDefault="00FF7799" w:rsidP="007A39A7">
      <w:pPr>
        <w:pStyle w:val="Quellen"/>
        <w:rPr>
          <w:lang w:val="en-US"/>
        </w:rPr>
      </w:pPr>
    </w:p>
    <w:p w14:paraId="53A3E108" w14:textId="77777777" w:rsidR="00FF7799" w:rsidRPr="0026427E" w:rsidRDefault="00FF7799" w:rsidP="007A39A7">
      <w:pPr>
        <w:pStyle w:val="StandardTextkursiv"/>
        <w:rPr>
          <w:i w:val="0"/>
        </w:rPr>
      </w:pPr>
      <w:r w:rsidRPr="0026427E">
        <w:rPr>
          <w:i w:val="0"/>
        </w:rPr>
        <w:t>2 Sekundärstatistische Auslandsmarktforschung</w:t>
      </w:r>
    </w:p>
    <w:p w14:paraId="50FCE4CB" w14:textId="77777777" w:rsidR="00FF7799" w:rsidRPr="00684099" w:rsidRDefault="00FF7799" w:rsidP="007A39A7">
      <w:pPr>
        <w:pStyle w:val="StandardText"/>
      </w:pPr>
      <w:r w:rsidRPr="00684099">
        <w:t>Aufgrund</w:t>
      </w:r>
      <w:r w:rsidRPr="00684099">
        <w:rPr>
          <w:spacing w:val="-12"/>
        </w:rPr>
        <w:t xml:space="preserve"> </w:t>
      </w:r>
      <w:r w:rsidRPr="00684099">
        <w:t>der</w:t>
      </w:r>
      <w:r w:rsidRPr="00684099">
        <w:rPr>
          <w:spacing w:val="-11"/>
        </w:rPr>
        <w:t xml:space="preserve"> </w:t>
      </w:r>
      <w:r w:rsidRPr="00684099">
        <w:t>überproportionalen</w:t>
      </w:r>
      <w:r w:rsidRPr="00684099">
        <w:rPr>
          <w:spacing w:val="-11"/>
        </w:rPr>
        <w:t xml:space="preserve"> </w:t>
      </w:r>
      <w:r w:rsidRPr="00684099">
        <w:t>Komplexität</w:t>
      </w:r>
      <w:r w:rsidRPr="00684099">
        <w:rPr>
          <w:spacing w:val="-11"/>
        </w:rPr>
        <w:t xml:space="preserve"> </w:t>
      </w:r>
      <w:r w:rsidRPr="00684099">
        <w:t>der</w:t>
      </w:r>
      <w:r w:rsidRPr="00684099">
        <w:rPr>
          <w:spacing w:val="-12"/>
        </w:rPr>
        <w:t xml:space="preserve"> </w:t>
      </w:r>
      <w:r w:rsidRPr="00684099">
        <w:t>Beschaffung</w:t>
      </w:r>
      <w:r w:rsidRPr="00684099">
        <w:rPr>
          <w:spacing w:val="-11"/>
        </w:rPr>
        <w:t xml:space="preserve"> </w:t>
      </w:r>
      <w:r w:rsidRPr="00684099">
        <w:t>von</w:t>
      </w:r>
      <w:r w:rsidRPr="00684099">
        <w:rPr>
          <w:spacing w:val="-11"/>
        </w:rPr>
        <w:t xml:space="preserve"> </w:t>
      </w:r>
      <w:r w:rsidRPr="00684099">
        <w:t xml:space="preserve">Informationen über ausländische Märkte und des damit verbundenen Kompetenz- und Kostenproblems ist allerdings im Regelfall die Sekundärmarktforschung (bzw. Desk Research) für die Auslandsmarktforschung weitaus bedeutsamer als die </w:t>
      </w:r>
      <w:r w:rsidRPr="00684099">
        <w:rPr>
          <w:spacing w:val="-2"/>
        </w:rPr>
        <w:t>Primärmarktforschung.</w:t>
      </w:r>
    </w:p>
    <w:p w14:paraId="10E22760" w14:textId="77777777" w:rsidR="00FF7799" w:rsidRPr="00684099" w:rsidRDefault="00FF7799" w:rsidP="007A39A7">
      <w:pPr>
        <w:pStyle w:val="StandardText"/>
      </w:pPr>
      <w:r w:rsidRPr="00684099">
        <w:t>Informationsquellen: Zu den nationalen Institutionen, die regelmäßig einschlägig bedeutsame Berichte veröffentlichen, zählen u.a. der Deutsche Industrie- und Handelstag (DIHK) sowie die Deutsche Bundesbank und das Statistische Bundesamt. Aus einzelwirtschaftlicher Sicht aber sind die mehr als 4.000 Publikationen</w:t>
      </w:r>
      <w:r w:rsidRPr="00684099">
        <w:rPr>
          <w:spacing w:val="-12"/>
        </w:rPr>
        <w:t xml:space="preserve"> </w:t>
      </w:r>
      <w:r w:rsidRPr="00684099">
        <w:t>der</w:t>
      </w:r>
      <w:r w:rsidRPr="00684099">
        <w:rPr>
          <w:spacing w:val="-11"/>
        </w:rPr>
        <w:t xml:space="preserve"> </w:t>
      </w:r>
      <w:r w:rsidRPr="00684099">
        <w:t>Bundesstelle</w:t>
      </w:r>
      <w:r w:rsidRPr="00684099">
        <w:rPr>
          <w:spacing w:val="-11"/>
        </w:rPr>
        <w:t xml:space="preserve"> </w:t>
      </w:r>
      <w:r w:rsidRPr="00684099">
        <w:t>für</w:t>
      </w:r>
      <w:r w:rsidRPr="00684099">
        <w:rPr>
          <w:spacing w:val="-11"/>
        </w:rPr>
        <w:t xml:space="preserve"> </w:t>
      </w:r>
      <w:r w:rsidRPr="00684099">
        <w:t>Außenhandelsinformation</w:t>
      </w:r>
      <w:r w:rsidRPr="00684099">
        <w:rPr>
          <w:spacing w:val="-12"/>
        </w:rPr>
        <w:t xml:space="preserve"> </w:t>
      </w:r>
      <w:r w:rsidRPr="00684099">
        <w:t>(bfai)</w:t>
      </w:r>
      <w:r w:rsidRPr="00684099">
        <w:rPr>
          <w:spacing w:val="-11"/>
        </w:rPr>
        <w:t xml:space="preserve"> </w:t>
      </w:r>
      <w:r w:rsidRPr="00684099">
        <w:t>eine</w:t>
      </w:r>
      <w:r w:rsidRPr="00684099">
        <w:rPr>
          <w:spacing w:val="-11"/>
        </w:rPr>
        <w:t xml:space="preserve"> </w:t>
      </w:r>
      <w:r w:rsidRPr="00684099">
        <w:t>besonders ergiebige Informationsquelle. Während die bfai detaillierte Marktinformationen zur Verfügung stellt, liegt das Augenmerk der DIHK-Publikationen bei dem Themenkomplex „Außenhandel und Wettbewerbsfähigkeit“.</w:t>
      </w:r>
    </w:p>
    <w:p w14:paraId="4F0D495E" w14:textId="77777777" w:rsidR="00FF7799" w:rsidRPr="00684099" w:rsidRDefault="00FF7799" w:rsidP="007A39A7">
      <w:pPr>
        <w:pStyle w:val="StandardText"/>
      </w:pPr>
      <w:r w:rsidRPr="00684099">
        <w:t>Von den zahlreichen internationalen Institutionen, auf deren Datenmaterial die Auslandsmarktforschung rekurrieren kann, seien hier nur EUROSTAT, die Organisation for Economic Co-operation and Development (OECD), die United Nations</w:t>
      </w:r>
      <w:r w:rsidRPr="00684099">
        <w:rPr>
          <w:spacing w:val="-7"/>
        </w:rPr>
        <w:t xml:space="preserve"> </w:t>
      </w:r>
      <w:r w:rsidRPr="00684099">
        <w:t>Conference</w:t>
      </w:r>
      <w:r w:rsidRPr="00684099">
        <w:rPr>
          <w:spacing w:val="-7"/>
        </w:rPr>
        <w:t xml:space="preserve"> </w:t>
      </w:r>
      <w:r w:rsidRPr="00684099">
        <w:t>on</w:t>
      </w:r>
      <w:r w:rsidRPr="00684099">
        <w:rPr>
          <w:spacing w:val="-7"/>
        </w:rPr>
        <w:t xml:space="preserve"> </w:t>
      </w:r>
      <w:r w:rsidRPr="00684099">
        <w:t>Trade</w:t>
      </w:r>
      <w:r w:rsidRPr="00684099">
        <w:rPr>
          <w:spacing w:val="-7"/>
        </w:rPr>
        <w:t xml:space="preserve"> </w:t>
      </w:r>
      <w:r w:rsidRPr="00684099">
        <w:t>and</w:t>
      </w:r>
      <w:r w:rsidRPr="00684099">
        <w:rPr>
          <w:spacing w:val="-8"/>
        </w:rPr>
        <w:t xml:space="preserve"> </w:t>
      </w:r>
      <w:r w:rsidRPr="00684099">
        <w:t>Development</w:t>
      </w:r>
      <w:r w:rsidRPr="00684099">
        <w:rPr>
          <w:spacing w:val="-4"/>
        </w:rPr>
        <w:t xml:space="preserve"> </w:t>
      </w:r>
      <w:r w:rsidRPr="00684099">
        <w:t>(UNCTAD),</w:t>
      </w:r>
      <w:r w:rsidRPr="00684099">
        <w:rPr>
          <w:spacing w:val="-7"/>
        </w:rPr>
        <w:t xml:space="preserve"> </w:t>
      </w:r>
      <w:r w:rsidRPr="00684099">
        <w:t>die</w:t>
      </w:r>
      <w:r w:rsidRPr="00684099">
        <w:rPr>
          <w:spacing w:val="-7"/>
        </w:rPr>
        <w:t xml:space="preserve"> </w:t>
      </w:r>
      <w:r w:rsidRPr="00684099">
        <w:t>Weltbank</w:t>
      </w:r>
      <w:r w:rsidRPr="00684099">
        <w:rPr>
          <w:spacing w:val="-7"/>
        </w:rPr>
        <w:t xml:space="preserve"> </w:t>
      </w:r>
      <w:r w:rsidRPr="00684099">
        <w:t>und</w:t>
      </w:r>
      <w:r w:rsidRPr="00684099">
        <w:rPr>
          <w:spacing w:val="-7"/>
        </w:rPr>
        <w:t xml:space="preserve"> </w:t>
      </w:r>
      <w:r w:rsidRPr="00684099">
        <w:t>die World Trade Organization (WTO) genannt.</w:t>
      </w:r>
    </w:p>
    <w:p w14:paraId="4BC47D87" w14:textId="77777777" w:rsidR="00FF7799" w:rsidRPr="00684099" w:rsidRDefault="00FF7799" w:rsidP="007A39A7">
      <w:pPr>
        <w:pStyle w:val="StandardText"/>
      </w:pPr>
      <w:r w:rsidRPr="00684099">
        <w:t>Sekundärmarktforschung kann unternehmensintern (z.B. durch Auswertung von Auslandsumsatzstatistiken oder Berichten von Auslandsvertretern) wie auch unternehmensextern betrieben werden (z.B. Außenhandelsstatistik; Bundesagentur für Außenwirtschaft; Ländervereine). Hinzu kommen die Informationsangebote wissenschaftlicher Institutionen, Fachverbände sowie privater Dienste. So kann ein Getränkehersteller dem Japan Statistical Yearbook entneh</w:t>
      </w:r>
      <w:r w:rsidRPr="00684099">
        <w:lastRenderedPageBreak/>
        <w:t>men,</w:t>
      </w:r>
      <w:r w:rsidRPr="00684099">
        <w:rPr>
          <w:spacing w:val="-5"/>
        </w:rPr>
        <w:t xml:space="preserve"> </w:t>
      </w:r>
      <w:r w:rsidRPr="00684099">
        <w:t>dass</w:t>
      </w:r>
      <w:r w:rsidRPr="00684099">
        <w:rPr>
          <w:spacing w:val="-4"/>
        </w:rPr>
        <w:t xml:space="preserve"> </w:t>
      </w:r>
      <w:r w:rsidRPr="00684099">
        <w:t>der</w:t>
      </w:r>
      <w:r w:rsidRPr="00684099">
        <w:rPr>
          <w:spacing w:val="-3"/>
        </w:rPr>
        <w:t xml:space="preserve"> </w:t>
      </w:r>
      <w:r w:rsidRPr="00684099">
        <w:t>durchschnittliche</w:t>
      </w:r>
      <w:r w:rsidRPr="00684099">
        <w:rPr>
          <w:spacing w:val="-4"/>
        </w:rPr>
        <w:t xml:space="preserve"> </w:t>
      </w:r>
      <w:r w:rsidRPr="00684099">
        <w:t>japanische</w:t>
      </w:r>
      <w:r w:rsidRPr="00684099">
        <w:rPr>
          <w:spacing w:val="-4"/>
        </w:rPr>
        <w:t xml:space="preserve"> </w:t>
      </w:r>
      <w:r w:rsidRPr="00684099">
        <w:t>Haushalt</w:t>
      </w:r>
      <w:r w:rsidRPr="00684099">
        <w:rPr>
          <w:spacing w:val="-3"/>
        </w:rPr>
        <w:t xml:space="preserve"> </w:t>
      </w:r>
      <w:r w:rsidRPr="00684099">
        <w:t>in</w:t>
      </w:r>
      <w:r w:rsidRPr="00684099">
        <w:rPr>
          <w:spacing w:val="-2"/>
        </w:rPr>
        <w:t xml:space="preserve"> </w:t>
      </w:r>
      <w:r w:rsidRPr="00684099">
        <w:t>der</w:t>
      </w:r>
      <w:r w:rsidRPr="00684099">
        <w:rPr>
          <w:spacing w:val="-5"/>
        </w:rPr>
        <w:t xml:space="preserve"> </w:t>
      </w:r>
      <w:r w:rsidRPr="00684099">
        <w:t>Warenkategorie Getränke am meisten für Bier (jährlich 190 €), für Säfte und Softdrinks (= 83 €) sowie für Kaffee und Kakao (= 63 €) aufwendet (und nicht für Tee).</w:t>
      </w:r>
    </w:p>
    <w:p w14:paraId="4C1090D7" w14:textId="77777777" w:rsidR="00FF7799" w:rsidRPr="00684099" w:rsidRDefault="00FF7799" w:rsidP="007A39A7">
      <w:pPr>
        <w:pStyle w:val="StandardText"/>
      </w:pPr>
      <w:r w:rsidRPr="00684099">
        <w:t>Probleme der Sekundärmarktforschung: Allerdings konfrontiert die Beschaffung von</w:t>
      </w:r>
      <w:r w:rsidRPr="00684099">
        <w:rPr>
          <w:spacing w:val="-6"/>
        </w:rPr>
        <w:t xml:space="preserve"> </w:t>
      </w:r>
      <w:r w:rsidRPr="00684099">
        <w:t>Informationen</w:t>
      </w:r>
      <w:r w:rsidRPr="00684099">
        <w:rPr>
          <w:spacing w:val="-4"/>
        </w:rPr>
        <w:t xml:space="preserve"> </w:t>
      </w:r>
      <w:r w:rsidRPr="00684099">
        <w:t>aus</w:t>
      </w:r>
      <w:r w:rsidRPr="00684099">
        <w:rPr>
          <w:spacing w:val="-5"/>
        </w:rPr>
        <w:t xml:space="preserve"> </w:t>
      </w:r>
      <w:r w:rsidRPr="00684099">
        <w:t>unternehmensexternen</w:t>
      </w:r>
      <w:r w:rsidRPr="00684099">
        <w:rPr>
          <w:spacing w:val="-4"/>
        </w:rPr>
        <w:t xml:space="preserve"> </w:t>
      </w:r>
      <w:r w:rsidRPr="00684099">
        <w:t>Quellen</w:t>
      </w:r>
      <w:r w:rsidRPr="00684099">
        <w:rPr>
          <w:spacing w:val="-4"/>
        </w:rPr>
        <w:t xml:space="preserve"> </w:t>
      </w:r>
      <w:r w:rsidRPr="00684099">
        <w:t>die</w:t>
      </w:r>
      <w:r w:rsidRPr="00684099">
        <w:rPr>
          <w:spacing w:val="-5"/>
        </w:rPr>
        <w:t xml:space="preserve"> </w:t>
      </w:r>
      <w:r w:rsidRPr="00684099">
        <w:t>Unternehmen</w:t>
      </w:r>
      <w:r w:rsidRPr="00684099">
        <w:rPr>
          <w:spacing w:val="-4"/>
        </w:rPr>
        <w:t xml:space="preserve"> </w:t>
      </w:r>
      <w:r w:rsidRPr="00684099">
        <w:t>mit</w:t>
      </w:r>
      <w:r w:rsidRPr="00684099">
        <w:rPr>
          <w:spacing w:val="-5"/>
        </w:rPr>
        <w:t xml:space="preserve"> </w:t>
      </w:r>
      <w:r w:rsidRPr="00684099">
        <w:t>einer Reihe von Problemen.</w:t>
      </w:r>
    </w:p>
    <w:p w14:paraId="3291580E" w14:textId="77777777" w:rsidR="00FF7799" w:rsidRPr="00684099" w:rsidRDefault="00FF7799" w:rsidP="00CF3D78">
      <w:pPr>
        <w:pStyle w:val="StandardTextAufzhlung"/>
        <w:ind w:left="426"/>
      </w:pPr>
      <w:r w:rsidRPr="00684099">
        <w:t>Erhältlichkeit: Häufig sind Sekundärinformationen</w:t>
      </w:r>
      <w:r w:rsidRPr="00684099">
        <w:rPr>
          <w:spacing w:val="-2"/>
        </w:rPr>
        <w:t xml:space="preserve"> </w:t>
      </w:r>
      <w:r w:rsidRPr="00684099">
        <w:t>nicht</w:t>
      </w:r>
      <w:r w:rsidRPr="00684099">
        <w:rPr>
          <w:spacing w:val="-3"/>
        </w:rPr>
        <w:t xml:space="preserve"> </w:t>
      </w:r>
      <w:r w:rsidRPr="00684099">
        <w:t>in</w:t>
      </w:r>
      <w:r w:rsidRPr="00684099">
        <w:rPr>
          <w:spacing w:val="-2"/>
        </w:rPr>
        <w:t xml:space="preserve"> </w:t>
      </w:r>
      <w:r w:rsidRPr="00684099">
        <w:t>dem</w:t>
      </w:r>
      <w:r w:rsidRPr="00684099">
        <w:rPr>
          <w:spacing w:val="-2"/>
        </w:rPr>
        <w:t xml:space="preserve"> </w:t>
      </w:r>
      <w:r w:rsidRPr="00684099">
        <w:t>gewünschten Umfang oder der erforderlichen Detailliertheit erhältlich. Zwar bieten die Statistischen Ämter der meisten Industrieländer (EUROSTAT; Statistisches Bundesamt) eine Vielzahl makro-ökonomischer Daten an. Von diesen Indikatoren (z.B. durchschnittliches Pro-Kopf-Einkommen) können häufig jedoch keine Rückschlüsse auf marketing-spezifische Größen (wie einzelhandelsrelevante Kaufkraft) gezogen werden.</w:t>
      </w:r>
    </w:p>
    <w:p w14:paraId="0CEBE3A9" w14:textId="77777777" w:rsidR="00FF7799" w:rsidRPr="00684099" w:rsidRDefault="00FF7799" w:rsidP="00CF3D78">
      <w:pPr>
        <w:pStyle w:val="StandardTextAufzhlung"/>
        <w:ind w:left="426"/>
      </w:pPr>
      <w:r w:rsidRPr="00684099">
        <w:t>Qualität: Weiterhin kann unzureichende Aktualität der Daten die Qualität internationaler Sekundärinformationen beeinträchtigen. In dynamischen Märkten verlieren Informationen im Extremfall bereits in der Zeitspanne von der</w:t>
      </w:r>
      <w:r w:rsidRPr="00684099">
        <w:rPr>
          <w:spacing w:val="-11"/>
        </w:rPr>
        <w:t xml:space="preserve"> </w:t>
      </w:r>
      <w:r w:rsidRPr="00684099">
        <w:t>Datenerhebung</w:t>
      </w:r>
      <w:r w:rsidRPr="00684099">
        <w:rPr>
          <w:spacing w:val="-10"/>
        </w:rPr>
        <w:t xml:space="preserve"> </w:t>
      </w:r>
      <w:r w:rsidRPr="00684099">
        <w:t>bis</w:t>
      </w:r>
      <w:r w:rsidRPr="00684099">
        <w:rPr>
          <w:spacing w:val="-11"/>
        </w:rPr>
        <w:t xml:space="preserve"> </w:t>
      </w:r>
      <w:r w:rsidRPr="00684099">
        <w:t>zur</w:t>
      </w:r>
      <w:r w:rsidRPr="00684099">
        <w:rPr>
          <w:spacing w:val="-11"/>
        </w:rPr>
        <w:t xml:space="preserve"> </w:t>
      </w:r>
      <w:r w:rsidRPr="00684099">
        <w:t>Veröffentlichung</w:t>
      </w:r>
      <w:r w:rsidRPr="00684099">
        <w:rPr>
          <w:spacing w:val="-10"/>
        </w:rPr>
        <w:t xml:space="preserve"> </w:t>
      </w:r>
      <w:r w:rsidRPr="00684099">
        <w:t>in</w:t>
      </w:r>
      <w:r w:rsidRPr="00684099">
        <w:rPr>
          <w:spacing w:val="-10"/>
        </w:rPr>
        <w:t xml:space="preserve"> </w:t>
      </w:r>
      <w:r w:rsidRPr="00684099">
        <w:t>Printmedien</w:t>
      </w:r>
      <w:r w:rsidRPr="00684099">
        <w:rPr>
          <w:spacing w:val="-10"/>
        </w:rPr>
        <w:t xml:space="preserve"> </w:t>
      </w:r>
      <w:r w:rsidRPr="00684099">
        <w:t>ihre</w:t>
      </w:r>
      <w:r w:rsidRPr="00684099">
        <w:rPr>
          <w:spacing w:val="-12"/>
        </w:rPr>
        <w:t xml:space="preserve"> </w:t>
      </w:r>
      <w:r w:rsidRPr="00684099">
        <w:t>Aussagekraft. Durch die verstärkte Nutzung „schneller“, d.h. im Regelfall elektronischer Medien</w:t>
      </w:r>
      <w:r w:rsidRPr="00684099">
        <w:rPr>
          <w:spacing w:val="-8"/>
        </w:rPr>
        <w:t xml:space="preserve"> </w:t>
      </w:r>
      <w:r w:rsidRPr="00684099">
        <w:t>(anstelle</w:t>
      </w:r>
      <w:r w:rsidRPr="00684099">
        <w:rPr>
          <w:spacing w:val="-9"/>
        </w:rPr>
        <w:t xml:space="preserve"> </w:t>
      </w:r>
      <w:r w:rsidRPr="00684099">
        <w:t>„langsamer“</w:t>
      </w:r>
      <w:r w:rsidRPr="00684099">
        <w:rPr>
          <w:spacing w:val="-9"/>
        </w:rPr>
        <w:t xml:space="preserve"> </w:t>
      </w:r>
      <w:r w:rsidRPr="00684099">
        <w:t>traditioneller</w:t>
      </w:r>
      <w:r w:rsidRPr="00684099">
        <w:rPr>
          <w:spacing w:val="-9"/>
        </w:rPr>
        <w:t xml:space="preserve"> </w:t>
      </w:r>
      <w:r w:rsidRPr="00684099">
        <w:t>Printmedien)</w:t>
      </w:r>
      <w:r w:rsidRPr="00684099">
        <w:rPr>
          <w:spacing w:val="-11"/>
        </w:rPr>
        <w:t xml:space="preserve"> </w:t>
      </w:r>
      <w:r w:rsidRPr="00684099">
        <w:t>kann</w:t>
      </w:r>
      <w:r w:rsidRPr="00684099">
        <w:rPr>
          <w:spacing w:val="-10"/>
        </w:rPr>
        <w:t xml:space="preserve"> </w:t>
      </w:r>
      <w:r w:rsidRPr="00684099">
        <w:t>dieses</w:t>
      </w:r>
      <w:r w:rsidRPr="00684099">
        <w:rPr>
          <w:spacing w:val="-9"/>
        </w:rPr>
        <w:t xml:space="preserve"> </w:t>
      </w:r>
      <w:r w:rsidRPr="00684099">
        <w:t>Problem teilweise gelöst werden.</w:t>
      </w:r>
    </w:p>
    <w:p w14:paraId="50898450" w14:textId="77777777" w:rsidR="00FF7799" w:rsidRPr="00684099" w:rsidRDefault="00FF7799" w:rsidP="00CF3D78">
      <w:pPr>
        <w:pStyle w:val="StandardTextAufzhlung"/>
        <w:ind w:left="426"/>
      </w:pPr>
      <w:r w:rsidRPr="00684099">
        <w:t>Äquivalenz: Vor allem aber beeinträchtigt das Äquivalenz-Problem die Möglichkeiten der Sekundärforschung. Amtliche Statistiken lassen sich oftmals schon alleine deshalb nicht länderübergreifend vergleichen, weil sie verschiedenartig</w:t>
      </w:r>
      <w:r w:rsidRPr="00684099">
        <w:rPr>
          <w:spacing w:val="-7"/>
        </w:rPr>
        <w:t xml:space="preserve"> </w:t>
      </w:r>
      <w:r w:rsidRPr="00684099">
        <w:t>aufbereitet</w:t>
      </w:r>
      <w:r w:rsidRPr="00684099">
        <w:rPr>
          <w:spacing w:val="-6"/>
        </w:rPr>
        <w:t xml:space="preserve"> </w:t>
      </w:r>
      <w:r w:rsidRPr="00684099">
        <w:t>werden.</w:t>
      </w:r>
      <w:r w:rsidRPr="00684099">
        <w:rPr>
          <w:spacing w:val="-6"/>
        </w:rPr>
        <w:t xml:space="preserve"> </w:t>
      </w:r>
      <w:r w:rsidRPr="00684099">
        <w:t>Selbst</w:t>
      </w:r>
      <w:r w:rsidRPr="00684099">
        <w:rPr>
          <w:spacing w:val="-9"/>
        </w:rPr>
        <w:t xml:space="preserve"> </w:t>
      </w:r>
      <w:r w:rsidRPr="00684099">
        <w:t>innerhalb</w:t>
      </w:r>
      <w:r w:rsidRPr="00684099">
        <w:rPr>
          <w:spacing w:val="-7"/>
        </w:rPr>
        <w:t xml:space="preserve"> </w:t>
      </w:r>
      <w:r w:rsidRPr="00684099">
        <w:t>der</w:t>
      </w:r>
      <w:r w:rsidRPr="00684099">
        <w:rPr>
          <w:spacing w:val="-6"/>
        </w:rPr>
        <w:t xml:space="preserve"> </w:t>
      </w:r>
      <w:r w:rsidRPr="00684099">
        <w:t>Europäischen</w:t>
      </w:r>
      <w:r w:rsidRPr="00684099">
        <w:rPr>
          <w:spacing w:val="-5"/>
        </w:rPr>
        <w:t xml:space="preserve"> </w:t>
      </w:r>
      <w:r w:rsidRPr="00684099">
        <w:t>Union erheben und kategorisieren die Statistischen Ämter Daten nach unterschiedlichen Standards. So gilt das Bildungsniveau zwar allgemein als valider Maßstab des sozialen Status, wird aber innerhalb der Gemeinschaft unterschiedlich</w:t>
      </w:r>
      <w:r w:rsidRPr="00684099">
        <w:rPr>
          <w:spacing w:val="-10"/>
        </w:rPr>
        <w:t xml:space="preserve"> </w:t>
      </w:r>
      <w:r w:rsidRPr="00684099">
        <w:t>definiert</w:t>
      </w:r>
      <w:r w:rsidRPr="00684099">
        <w:rPr>
          <w:spacing w:val="-10"/>
        </w:rPr>
        <w:t xml:space="preserve"> </w:t>
      </w:r>
      <w:r w:rsidRPr="00684099">
        <w:t>(z.B.</w:t>
      </w:r>
      <w:r w:rsidRPr="00684099">
        <w:rPr>
          <w:spacing w:val="-10"/>
        </w:rPr>
        <w:t xml:space="preserve"> </w:t>
      </w:r>
      <w:r w:rsidRPr="00684099">
        <w:t>Dauer</w:t>
      </w:r>
      <w:r w:rsidRPr="00684099">
        <w:rPr>
          <w:spacing w:val="-10"/>
        </w:rPr>
        <w:t xml:space="preserve"> </w:t>
      </w:r>
      <w:r w:rsidRPr="00684099">
        <w:t>der</w:t>
      </w:r>
      <w:r w:rsidRPr="00684099">
        <w:rPr>
          <w:spacing w:val="-10"/>
        </w:rPr>
        <w:t xml:space="preserve"> </w:t>
      </w:r>
      <w:r w:rsidRPr="00684099">
        <w:t>Schulausbildung,</w:t>
      </w:r>
      <w:r w:rsidRPr="00684099">
        <w:rPr>
          <w:spacing w:val="-10"/>
        </w:rPr>
        <w:t xml:space="preserve"> </w:t>
      </w:r>
      <w:r w:rsidRPr="00684099">
        <w:t>Art</w:t>
      </w:r>
      <w:r w:rsidRPr="00684099">
        <w:rPr>
          <w:spacing w:val="-10"/>
        </w:rPr>
        <w:t xml:space="preserve"> </w:t>
      </w:r>
      <w:r w:rsidRPr="00684099">
        <w:t>des</w:t>
      </w:r>
      <w:r w:rsidRPr="00684099">
        <w:rPr>
          <w:spacing w:val="-12"/>
        </w:rPr>
        <w:t xml:space="preserve"> </w:t>
      </w:r>
      <w:r w:rsidRPr="00684099">
        <w:t>Schul-</w:t>
      </w:r>
      <w:r w:rsidRPr="00684099">
        <w:rPr>
          <w:spacing w:val="-11"/>
        </w:rPr>
        <w:t xml:space="preserve"> </w:t>
      </w:r>
      <w:r w:rsidRPr="00684099">
        <w:t>bzw. Hochschulabschlusses). Hinsichtlich des Familienstatus wiederum kennen streng</w:t>
      </w:r>
      <w:r w:rsidRPr="00684099">
        <w:rPr>
          <w:spacing w:val="-12"/>
        </w:rPr>
        <w:t xml:space="preserve"> </w:t>
      </w:r>
      <w:r w:rsidRPr="00684099">
        <w:t>katholische</w:t>
      </w:r>
      <w:r w:rsidRPr="00684099">
        <w:rPr>
          <w:spacing w:val="-11"/>
        </w:rPr>
        <w:t xml:space="preserve"> </w:t>
      </w:r>
      <w:r w:rsidRPr="00684099">
        <w:t>Länder</w:t>
      </w:r>
      <w:r w:rsidRPr="00684099">
        <w:rPr>
          <w:spacing w:val="-11"/>
        </w:rPr>
        <w:t xml:space="preserve"> </w:t>
      </w:r>
      <w:r w:rsidRPr="00684099">
        <w:t>wie</w:t>
      </w:r>
      <w:r w:rsidRPr="00684099">
        <w:rPr>
          <w:spacing w:val="-11"/>
        </w:rPr>
        <w:t xml:space="preserve"> </w:t>
      </w:r>
      <w:r w:rsidRPr="00684099">
        <w:t>Irland</w:t>
      </w:r>
      <w:r w:rsidRPr="00684099">
        <w:rPr>
          <w:spacing w:val="-12"/>
        </w:rPr>
        <w:t xml:space="preserve"> </w:t>
      </w:r>
      <w:r w:rsidRPr="00684099">
        <w:t>nur</w:t>
      </w:r>
      <w:r w:rsidRPr="00684099">
        <w:rPr>
          <w:spacing w:val="-11"/>
        </w:rPr>
        <w:t xml:space="preserve"> </w:t>
      </w:r>
      <w:r w:rsidRPr="00684099">
        <w:t>drei</w:t>
      </w:r>
      <w:r w:rsidRPr="00684099">
        <w:rPr>
          <w:spacing w:val="-11"/>
        </w:rPr>
        <w:t xml:space="preserve"> </w:t>
      </w:r>
      <w:r w:rsidRPr="00684099">
        <w:t>Kategorien:</w:t>
      </w:r>
      <w:r w:rsidRPr="00684099">
        <w:rPr>
          <w:spacing w:val="-11"/>
        </w:rPr>
        <w:t xml:space="preserve"> </w:t>
      </w:r>
      <w:r w:rsidRPr="00684099">
        <w:t>ledig,</w:t>
      </w:r>
      <w:r w:rsidRPr="00684099">
        <w:rPr>
          <w:spacing w:val="-12"/>
        </w:rPr>
        <w:t xml:space="preserve"> </w:t>
      </w:r>
      <w:r w:rsidRPr="00684099">
        <w:t>verheiratet</w:t>
      </w:r>
      <w:r w:rsidRPr="00684099">
        <w:rPr>
          <w:spacing w:val="-11"/>
        </w:rPr>
        <w:t xml:space="preserve"> </w:t>
      </w:r>
      <w:r w:rsidRPr="00684099">
        <w:t>und verwitwet. Der Status „geschieden“ wird dort aus ideologischen Gründen ignoriert.</w:t>
      </w:r>
      <w:r w:rsidRPr="00684099">
        <w:rPr>
          <w:spacing w:val="-11"/>
        </w:rPr>
        <w:t xml:space="preserve"> </w:t>
      </w:r>
      <w:r w:rsidRPr="00684099">
        <w:t>Auch</w:t>
      </w:r>
      <w:r w:rsidRPr="00684099">
        <w:rPr>
          <w:spacing w:val="-11"/>
        </w:rPr>
        <w:t xml:space="preserve"> </w:t>
      </w:r>
      <w:r w:rsidRPr="00684099">
        <w:t>die</w:t>
      </w:r>
      <w:r w:rsidRPr="00684099">
        <w:rPr>
          <w:spacing w:val="-11"/>
        </w:rPr>
        <w:t xml:space="preserve"> </w:t>
      </w:r>
      <w:r w:rsidRPr="00684099">
        <w:t>Variable</w:t>
      </w:r>
      <w:r w:rsidRPr="00684099">
        <w:rPr>
          <w:spacing w:val="-11"/>
        </w:rPr>
        <w:t xml:space="preserve"> </w:t>
      </w:r>
      <w:r w:rsidRPr="00684099">
        <w:t>„soziale</w:t>
      </w:r>
      <w:r w:rsidRPr="00684099">
        <w:rPr>
          <w:spacing w:val="-11"/>
        </w:rPr>
        <w:t xml:space="preserve"> </w:t>
      </w:r>
      <w:r w:rsidRPr="00684099">
        <w:t>Klasse“</w:t>
      </w:r>
      <w:r w:rsidRPr="00684099">
        <w:rPr>
          <w:spacing w:val="-11"/>
        </w:rPr>
        <w:t xml:space="preserve"> </w:t>
      </w:r>
      <w:r w:rsidRPr="00684099">
        <w:t>wird</w:t>
      </w:r>
      <w:r w:rsidRPr="00684099">
        <w:rPr>
          <w:spacing w:val="-10"/>
        </w:rPr>
        <w:t xml:space="preserve"> </w:t>
      </w:r>
      <w:r w:rsidRPr="00684099">
        <w:t>innerhalb</w:t>
      </w:r>
      <w:r w:rsidRPr="00684099">
        <w:rPr>
          <w:spacing w:val="-11"/>
        </w:rPr>
        <w:t xml:space="preserve"> </w:t>
      </w:r>
      <w:r w:rsidRPr="00684099">
        <w:t>der</w:t>
      </w:r>
      <w:r w:rsidRPr="00684099">
        <w:rPr>
          <w:spacing w:val="-11"/>
        </w:rPr>
        <w:t xml:space="preserve"> </w:t>
      </w:r>
      <w:r w:rsidRPr="00684099">
        <w:t>Gemeinschaft unterschiedlich beurteilt: teils anhand des Berufs, des Bildungsniveaus oder des Vermögens.</w:t>
      </w:r>
    </w:p>
    <w:p w14:paraId="46A5DA90" w14:textId="77777777" w:rsidR="00FF7799" w:rsidRPr="00684099" w:rsidRDefault="00FF7799" w:rsidP="005A6636">
      <w:pPr>
        <w:pStyle w:val="StandardText"/>
        <w:rPr>
          <w:sz w:val="22"/>
          <w:szCs w:val="22"/>
        </w:rPr>
      </w:pPr>
      <w:r w:rsidRPr="00684099">
        <w:rPr>
          <w:b/>
          <w:i/>
          <w:sz w:val="22"/>
          <w:szCs w:val="22"/>
        </w:rPr>
        <w:t>Literatur:</w:t>
      </w:r>
      <w:r w:rsidRPr="00684099">
        <w:rPr>
          <w:b/>
          <w:sz w:val="22"/>
          <w:szCs w:val="22"/>
        </w:rPr>
        <w:t xml:space="preserve"> </w:t>
      </w:r>
      <w:r w:rsidRPr="00684099">
        <w:rPr>
          <w:sz w:val="22"/>
          <w:szCs w:val="22"/>
        </w:rPr>
        <w:t>Bauer, E. (2009): Internationale Marketingforschung, München: Oldenbourg.</w:t>
      </w:r>
      <w:r w:rsidRPr="00684099">
        <w:rPr>
          <w:spacing w:val="40"/>
          <w:sz w:val="22"/>
          <w:szCs w:val="22"/>
        </w:rPr>
        <w:t xml:space="preserve"> </w:t>
      </w:r>
      <w:r w:rsidRPr="00684099">
        <w:rPr>
          <w:sz w:val="22"/>
          <w:szCs w:val="22"/>
        </w:rPr>
        <w:t>Hüttner, M.; Schwarting, U. (2002): Grundzüge der Marktforschung, 7.Aufl., München:</w:t>
      </w:r>
      <w:r w:rsidRPr="00684099">
        <w:rPr>
          <w:spacing w:val="40"/>
          <w:sz w:val="22"/>
          <w:szCs w:val="22"/>
        </w:rPr>
        <w:t xml:space="preserve"> </w:t>
      </w:r>
      <w:r w:rsidRPr="00684099">
        <w:rPr>
          <w:sz w:val="22"/>
          <w:szCs w:val="22"/>
        </w:rPr>
        <w:t>Oldenbourg.</w:t>
      </w:r>
      <w:r w:rsidRPr="00684099">
        <w:rPr>
          <w:spacing w:val="40"/>
          <w:sz w:val="22"/>
          <w:szCs w:val="22"/>
        </w:rPr>
        <w:t xml:space="preserve"> </w:t>
      </w:r>
      <w:r w:rsidRPr="00684099">
        <w:rPr>
          <w:sz w:val="22"/>
          <w:szCs w:val="22"/>
        </w:rPr>
        <w:t>Müller,</w:t>
      </w:r>
      <w:r w:rsidRPr="00684099">
        <w:rPr>
          <w:spacing w:val="-8"/>
          <w:sz w:val="22"/>
          <w:szCs w:val="22"/>
        </w:rPr>
        <w:t xml:space="preserve"> </w:t>
      </w:r>
      <w:r w:rsidRPr="00684099">
        <w:rPr>
          <w:sz w:val="22"/>
          <w:szCs w:val="22"/>
        </w:rPr>
        <w:t>S.;</w:t>
      </w:r>
      <w:r w:rsidRPr="00684099">
        <w:rPr>
          <w:spacing w:val="-8"/>
          <w:sz w:val="22"/>
          <w:szCs w:val="22"/>
        </w:rPr>
        <w:t xml:space="preserve"> </w:t>
      </w:r>
      <w:r w:rsidRPr="00684099">
        <w:rPr>
          <w:sz w:val="22"/>
          <w:szCs w:val="22"/>
        </w:rPr>
        <w:t>Gelbrich,</w:t>
      </w:r>
      <w:r w:rsidRPr="00684099">
        <w:rPr>
          <w:spacing w:val="-7"/>
          <w:sz w:val="22"/>
          <w:szCs w:val="22"/>
        </w:rPr>
        <w:t xml:space="preserve"> </w:t>
      </w:r>
      <w:r w:rsidRPr="00684099">
        <w:rPr>
          <w:sz w:val="22"/>
          <w:szCs w:val="22"/>
        </w:rPr>
        <w:t>K.</w:t>
      </w:r>
      <w:r w:rsidRPr="00684099">
        <w:rPr>
          <w:spacing w:val="-8"/>
          <w:sz w:val="22"/>
          <w:szCs w:val="22"/>
        </w:rPr>
        <w:t xml:space="preserve"> </w:t>
      </w:r>
      <w:r w:rsidRPr="00684099">
        <w:rPr>
          <w:sz w:val="22"/>
          <w:szCs w:val="22"/>
        </w:rPr>
        <w:t>(2014):</w:t>
      </w:r>
      <w:r w:rsidRPr="00684099">
        <w:rPr>
          <w:spacing w:val="-6"/>
          <w:sz w:val="22"/>
          <w:szCs w:val="22"/>
        </w:rPr>
        <w:t xml:space="preserve"> </w:t>
      </w:r>
      <w:r w:rsidRPr="00684099">
        <w:rPr>
          <w:sz w:val="22"/>
          <w:szCs w:val="22"/>
        </w:rPr>
        <w:t>Interkulturelles</w:t>
      </w:r>
      <w:r w:rsidRPr="00684099">
        <w:rPr>
          <w:spacing w:val="-9"/>
          <w:sz w:val="22"/>
          <w:szCs w:val="22"/>
        </w:rPr>
        <w:t xml:space="preserve"> </w:t>
      </w:r>
      <w:r w:rsidRPr="00684099">
        <w:rPr>
          <w:sz w:val="22"/>
          <w:szCs w:val="22"/>
        </w:rPr>
        <w:t>Marketing,</w:t>
      </w:r>
      <w:r w:rsidRPr="00684099">
        <w:rPr>
          <w:spacing w:val="-7"/>
          <w:sz w:val="22"/>
          <w:szCs w:val="22"/>
        </w:rPr>
        <w:t xml:space="preserve"> </w:t>
      </w:r>
      <w:r w:rsidRPr="00684099">
        <w:rPr>
          <w:sz w:val="22"/>
          <w:szCs w:val="22"/>
        </w:rPr>
        <w:t>2.Aufl.,</w:t>
      </w:r>
      <w:r w:rsidRPr="00684099">
        <w:rPr>
          <w:spacing w:val="-8"/>
          <w:sz w:val="22"/>
          <w:szCs w:val="22"/>
        </w:rPr>
        <w:t xml:space="preserve"> </w:t>
      </w:r>
      <w:r w:rsidRPr="00684099">
        <w:rPr>
          <w:sz w:val="22"/>
          <w:szCs w:val="22"/>
        </w:rPr>
        <w:t>München:</w:t>
      </w:r>
      <w:r w:rsidRPr="00684099">
        <w:rPr>
          <w:spacing w:val="40"/>
          <w:sz w:val="22"/>
          <w:szCs w:val="22"/>
        </w:rPr>
        <w:t xml:space="preserve"> </w:t>
      </w:r>
      <w:r w:rsidRPr="00684099">
        <w:rPr>
          <w:sz w:val="22"/>
          <w:szCs w:val="22"/>
        </w:rPr>
        <w:t>Vahlen.</w:t>
      </w:r>
      <w:r w:rsidRPr="00684099">
        <w:rPr>
          <w:spacing w:val="40"/>
          <w:sz w:val="22"/>
          <w:szCs w:val="22"/>
        </w:rPr>
        <w:t xml:space="preserve"> </w:t>
      </w:r>
      <w:r w:rsidRPr="00684099">
        <w:rPr>
          <w:sz w:val="22"/>
          <w:szCs w:val="22"/>
        </w:rPr>
        <w:t>Stahr, G.; Backes, S. (1992): Informationsbeschaffung im In- und Ausland, in:</w:t>
      </w:r>
      <w:r w:rsidRPr="00684099">
        <w:rPr>
          <w:spacing w:val="40"/>
          <w:sz w:val="22"/>
          <w:szCs w:val="22"/>
        </w:rPr>
        <w:t xml:space="preserve"> </w:t>
      </w:r>
      <w:r w:rsidRPr="00684099">
        <w:rPr>
          <w:sz w:val="22"/>
          <w:szCs w:val="22"/>
        </w:rPr>
        <w:t>Kumar,</w:t>
      </w:r>
      <w:r w:rsidRPr="00684099">
        <w:rPr>
          <w:spacing w:val="-7"/>
          <w:sz w:val="22"/>
          <w:szCs w:val="22"/>
        </w:rPr>
        <w:t xml:space="preserve"> </w:t>
      </w:r>
      <w:r w:rsidRPr="00684099">
        <w:rPr>
          <w:sz w:val="22"/>
          <w:szCs w:val="22"/>
        </w:rPr>
        <w:t>B.N.;</w:t>
      </w:r>
      <w:r w:rsidRPr="00684099">
        <w:rPr>
          <w:spacing w:val="-7"/>
          <w:sz w:val="22"/>
          <w:szCs w:val="22"/>
        </w:rPr>
        <w:t xml:space="preserve"> </w:t>
      </w:r>
      <w:r w:rsidRPr="00684099">
        <w:rPr>
          <w:sz w:val="22"/>
          <w:szCs w:val="22"/>
        </w:rPr>
        <w:t>Haussmann,</w:t>
      </w:r>
      <w:r w:rsidRPr="00684099">
        <w:rPr>
          <w:spacing w:val="-5"/>
          <w:sz w:val="22"/>
          <w:szCs w:val="22"/>
        </w:rPr>
        <w:t xml:space="preserve"> </w:t>
      </w:r>
      <w:r w:rsidRPr="00684099">
        <w:rPr>
          <w:sz w:val="22"/>
          <w:szCs w:val="22"/>
        </w:rPr>
        <w:t>H.</w:t>
      </w:r>
      <w:r w:rsidRPr="00684099">
        <w:rPr>
          <w:spacing w:val="-7"/>
          <w:sz w:val="22"/>
          <w:szCs w:val="22"/>
        </w:rPr>
        <w:t xml:space="preserve"> </w:t>
      </w:r>
      <w:r w:rsidRPr="00684099">
        <w:rPr>
          <w:sz w:val="22"/>
          <w:szCs w:val="22"/>
        </w:rPr>
        <w:t>(Hrsg.),</w:t>
      </w:r>
      <w:r w:rsidRPr="00684099">
        <w:rPr>
          <w:spacing w:val="-5"/>
          <w:sz w:val="22"/>
          <w:szCs w:val="22"/>
        </w:rPr>
        <w:t xml:space="preserve"> </w:t>
      </w:r>
      <w:r w:rsidRPr="00684099">
        <w:rPr>
          <w:sz w:val="22"/>
          <w:szCs w:val="22"/>
        </w:rPr>
        <w:t>Handbuch</w:t>
      </w:r>
      <w:r w:rsidRPr="00684099">
        <w:rPr>
          <w:spacing w:val="-9"/>
          <w:sz w:val="22"/>
          <w:szCs w:val="22"/>
        </w:rPr>
        <w:t xml:space="preserve"> </w:t>
      </w:r>
      <w:r w:rsidRPr="00684099">
        <w:rPr>
          <w:sz w:val="22"/>
          <w:szCs w:val="22"/>
        </w:rPr>
        <w:t>der</w:t>
      </w:r>
      <w:r w:rsidRPr="00684099">
        <w:rPr>
          <w:spacing w:val="-6"/>
          <w:sz w:val="22"/>
          <w:szCs w:val="22"/>
        </w:rPr>
        <w:t xml:space="preserve"> </w:t>
      </w:r>
      <w:r w:rsidRPr="00684099">
        <w:rPr>
          <w:sz w:val="22"/>
          <w:szCs w:val="22"/>
        </w:rPr>
        <w:t>Internationalen</w:t>
      </w:r>
      <w:r w:rsidRPr="00684099">
        <w:rPr>
          <w:spacing w:val="-4"/>
          <w:sz w:val="22"/>
          <w:szCs w:val="22"/>
        </w:rPr>
        <w:t xml:space="preserve"> </w:t>
      </w:r>
      <w:r w:rsidRPr="00684099">
        <w:rPr>
          <w:sz w:val="22"/>
          <w:szCs w:val="22"/>
        </w:rPr>
        <w:t>Unternehmenstätigkeit,</w:t>
      </w:r>
      <w:r w:rsidRPr="00684099">
        <w:rPr>
          <w:spacing w:val="40"/>
          <w:sz w:val="22"/>
          <w:szCs w:val="22"/>
        </w:rPr>
        <w:t xml:space="preserve"> </w:t>
      </w:r>
      <w:r w:rsidRPr="00684099">
        <w:rPr>
          <w:sz w:val="22"/>
          <w:szCs w:val="22"/>
        </w:rPr>
        <w:t>385-401,</w:t>
      </w:r>
      <w:r w:rsidRPr="00684099">
        <w:rPr>
          <w:spacing w:val="-2"/>
          <w:sz w:val="22"/>
          <w:szCs w:val="22"/>
        </w:rPr>
        <w:t xml:space="preserve"> </w:t>
      </w:r>
      <w:r w:rsidRPr="00684099">
        <w:rPr>
          <w:sz w:val="22"/>
          <w:szCs w:val="22"/>
        </w:rPr>
        <w:t>München:</w:t>
      </w:r>
      <w:r w:rsidRPr="00684099">
        <w:rPr>
          <w:spacing w:val="-2"/>
          <w:sz w:val="22"/>
          <w:szCs w:val="22"/>
        </w:rPr>
        <w:t xml:space="preserve"> </w:t>
      </w:r>
      <w:r w:rsidRPr="00684099">
        <w:rPr>
          <w:sz w:val="22"/>
          <w:szCs w:val="22"/>
        </w:rPr>
        <w:t>Beck.</w:t>
      </w:r>
      <w:r w:rsidRPr="00684099">
        <w:rPr>
          <w:spacing w:val="40"/>
          <w:sz w:val="22"/>
          <w:szCs w:val="22"/>
        </w:rPr>
        <w:t xml:space="preserve"> </w:t>
      </w:r>
      <w:r w:rsidRPr="00684099">
        <w:rPr>
          <w:sz w:val="22"/>
          <w:szCs w:val="22"/>
        </w:rPr>
        <w:t>von Behr,</w:t>
      </w:r>
      <w:r w:rsidRPr="00684099">
        <w:rPr>
          <w:spacing w:val="-2"/>
          <w:sz w:val="22"/>
          <w:szCs w:val="22"/>
        </w:rPr>
        <w:t xml:space="preserve"> </w:t>
      </w:r>
      <w:r w:rsidRPr="00684099">
        <w:rPr>
          <w:sz w:val="22"/>
          <w:szCs w:val="22"/>
        </w:rPr>
        <w:t>M. (2004): Internationalisierung kleiner</w:t>
      </w:r>
      <w:r w:rsidRPr="00684099">
        <w:rPr>
          <w:spacing w:val="-3"/>
          <w:sz w:val="22"/>
          <w:szCs w:val="22"/>
        </w:rPr>
        <w:t xml:space="preserve"> </w:t>
      </w:r>
      <w:r w:rsidRPr="00684099">
        <w:rPr>
          <w:sz w:val="22"/>
          <w:szCs w:val="22"/>
        </w:rPr>
        <w:t>und mittlerer</w:t>
      </w:r>
      <w:r w:rsidRPr="00684099">
        <w:rPr>
          <w:spacing w:val="40"/>
          <w:sz w:val="22"/>
          <w:szCs w:val="22"/>
        </w:rPr>
        <w:t xml:space="preserve"> </w:t>
      </w:r>
      <w:r w:rsidRPr="00684099">
        <w:rPr>
          <w:sz w:val="22"/>
          <w:szCs w:val="22"/>
        </w:rPr>
        <w:t>Unternehmen. Neue Entwicklungen bei Arbeitsorganisation und Wissensmanagement,</w:t>
      </w:r>
      <w:r w:rsidRPr="00684099">
        <w:rPr>
          <w:spacing w:val="40"/>
          <w:sz w:val="22"/>
          <w:szCs w:val="22"/>
        </w:rPr>
        <w:t xml:space="preserve"> </w:t>
      </w:r>
      <w:r w:rsidRPr="00684099">
        <w:rPr>
          <w:sz w:val="22"/>
          <w:szCs w:val="22"/>
        </w:rPr>
        <w:t>Frankfurt/Main:</w:t>
      </w:r>
      <w:r w:rsidRPr="00684099">
        <w:rPr>
          <w:spacing w:val="-3"/>
          <w:sz w:val="22"/>
          <w:szCs w:val="22"/>
        </w:rPr>
        <w:t xml:space="preserve"> </w:t>
      </w:r>
      <w:r w:rsidRPr="00684099">
        <w:rPr>
          <w:sz w:val="22"/>
          <w:szCs w:val="22"/>
        </w:rPr>
        <w:t>Campus.</w:t>
      </w:r>
    </w:p>
    <w:p w14:paraId="63BE968F" w14:textId="77777777" w:rsidR="00FF7799" w:rsidRPr="00E73F6F" w:rsidRDefault="00FF7799" w:rsidP="005A6636">
      <w:pPr>
        <w:pStyle w:val="StandardText"/>
        <w:rPr>
          <w:szCs w:val="24"/>
        </w:rPr>
      </w:pPr>
    </w:p>
    <w:p w14:paraId="21A2DA65" w14:textId="77777777" w:rsidR="00FF7799" w:rsidRPr="00E73F6F" w:rsidRDefault="00FF7799" w:rsidP="00F91246">
      <w:pPr>
        <w:pStyle w:val="berschrift1"/>
      </w:pPr>
      <w:r w:rsidRPr="00CF3D78">
        <w:rPr>
          <w:color w:val="2F5496" w:themeColor="accent5" w:themeShade="BF"/>
        </w:rPr>
        <w:t xml:space="preserve">Außenwert </w:t>
      </w:r>
      <w:r w:rsidRPr="00E73F6F">
        <w:rPr>
          <w:b w:val="0"/>
        </w:rPr>
        <w:t>→</w:t>
      </w:r>
      <w:r w:rsidRPr="00E73F6F">
        <w:rPr>
          <w:b w:val="0"/>
          <w:spacing w:val="-3"/>
        </w:rPr>
        <w:t xml:space="preserve"> </w:t>
      </w:r>
      <w:r w:rsidRPr="00E73F6F">
        <w:rPr>
          <w:b w:val="0"/>
        </w:rPr>
        <w:t>Wechselkurs</w:t>
      </w:r>
    </w:p>
    <w:p w14:paraId="7FA1247D" w14:textId="77777777" w:rsidR="00FF7799" w:rsidRPr="00CF3D78" w:rsidRDefault="00FF7799" w:rsidP="00F91246">
      <w:pPr>
        <w:pStyle w:val="berschrift1"/>
        <w:rPr>
          <w:color w:val="2F5496" w:themeColor="accent5" w:themeShade="BF"/>
        </w:rPr>
      </w:pPr>
      <w:r w:rsidRPr="00CF3D78">
        <w:rPr>
          <w:color w:val="2F5496" w:themeColor="accent5" w:themeShade="BF"/>
        </w:rPr>
        <w:t>Auswirkungen der Landeskultur auf das Arbeits- und Sozialleben</w:t>
      </w:r>
    </w:p>
    <w:p w14:paraId="6401BA68" w14:textId="77777777" w:rsidR="00FF7799" w:rsidRPr="0026427E" w:rsidRDefault="00FF7799" w:rsidP="005A6636">
      <w:pPr>
        <w:pStyle w:val="StandardTextkursiv"/>
        <w:rPr>
          <w:i w:val="0"/>
        </w:rPr>
      </w:pPr>
      <w:r w:rsidRPr="0026427E">
        <w:rPr>
          <w:i w:val="0"/>
        </w:rPr>
        <w:t>1 Überblick</w:t>
      </w:r>
    </w:p>
    <w:p w14:paraId="3159104F" w14:textId="77777777" w:rsidR="00FF7799" w:rsidRPr="00E73F6F" w:rsidRDefault="00FF7799" w:rsidP="005A6636">
      <w:pPr>
        <w:pStyle w:val="StandardText"/>
      </w:pPr>
      <w:r w:rsidRPr="00E73F6F">
        <w:t>Ob eine Gesellschaft sich an individualistischen oder an kollektivistischen Werten orientiert, ob die soziale Unterschicht die bestehende Machtdistanz zu „den oberen Zehntausend“ akzeptiert, ob feminine oder</w:t>
      </w:r>
      <w:r w:rsidR="00684099">
        <w:t xml:space="preserve"> maskuline Werte die Norm sind</w:t>
      </w:r>
      <w:r w:rsidR="0026427E">
        <w:t xml:space="preserve"> oder </w:t>
      </w:r>
      <w:r w:rsidRPr="00E73F6F">
        <w:t xml:space="preserve">ob Ungewissheitsvermeidung Vorrang hat vor der Aufgeschlossenheit für Neues: Dies alles wirkt sich auf die unterschiedlichsten Lebens- und Arbeitsbereiche aus (vgl. </w:t>
      </w:r>
      <w:r w:rsidRPr="00E73F6F">
        <w:fldChar w:fldCharType="begin"/>
      </w:r>
      <w:r w:rsidRPr="00E73F6F">
        <w:instrText xml:space="preserve"> REF _Ref413256618 \h  \* MERGEFORMAT </w:instrText>
      </w:r>
      <w:r w:rsidRPr="00E73F6F">
        <w:fldChar w:fldCharType="separate"/>
      </w:r>
      <w:r w:rsidRPr="00E73F6F">
        <w:t xml:space="preserve">Tab. </w:t>
      </w:r>
      <w:r w:rsidRPr="00E73F6F">
        <w:fldChar w:fldCharType="end"/>
      </w:r>
      <w:r w:rsidRPr="00E73F6F">
        <w:t>1).</w:t>
      </w:r>
    </w:p>
    <w:p w14:paraId="40D36916" w14:textId="77777777" w:rsidR="00FF7799" w:rsidRPr="00E73F6F" w:rsidRDefault="00FF7799" w:rsidP="005A6636">
      <w:pPr>
        <w:pStyle w:val="StandardText"/>
      </w:pPr>
      <w:bookmarkStart w:id="0" w:name="_Ref34036045"/>
    </w:p>
    <w:p w14:paraId="0973484A" w14:textId="77777777" w:rsidR="00FF7799" w:rsidRPr="00037FAC" w:rsidRDefault="00FF7799" w:rsidP="005A6636">
      <w:pPr>
        <w:pStyle w:val="BeschriftungTab"/>
        <w:rPr>
          <w:i/>
          <w:iCs/>
        </w:rPr>
      </w:pPr>
      <w:bookmarkStart w:id="1" w:name="_Ref413256618"/>
      <w:bookmarkEnd w:id="0"/>
      <w:r w:rsidRPr="00037FAC">
        <w:rPr>
          <w:i/>
          <w:iCs/>
        </w:rPr>
        <w:lastRenderedPageBreak/>
        <w:t xml:space="preserve">Tab. </w:t>
      </w:r>
      <w:bookmarkEnd w:id="1"/>
      <w:r w:rsidRPr="00037FAC">
        <w:rPr>
          <w:i/>
          <w:iCs/>
        </w:rPr>
        <w:t>1: Ausgewählte Konsequenzen der Landeskultur</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73"/>
        <w:gridCol w:w="3100"/>
        <w:gridCol w:w="3694"/>
      </w:tblGrid>
      <w:tr w:rsidR="00FF7799" w:rsidRPr="00E73F6F" w14:paraId="515072DE" w14:textId="77777777" w:rsidTr="008941AC">
        <w:trPr>
          <w:trHeight w:val="188"/>
          <w:tblHeader/>
        </w:trPr>
        <w:tc>
          <w:tcPr>
            <w:tcW w:w="2273" w:type="dxa"/>
            <w:tcBorders>
              <w:top w:val="single" w:sz="4" w:space="0" w:color="auto"/>
              <w:left w:val="nil"/>
              <w:bottom w:val="nil"/>
              <w:right w:val="nil"/>
            </w:tcBorders>
            <w:shd w:val="clear" w:color="auto" w:fill="FFC000"/>
          </w:tcPr>
          <w:p w14:paraId="26A8E373" w14:textId="77777777" w:rsidR="00FF7799" w:rsidRPr="00E73F6F" w:rsidRDefault="00FF7799" w:rsidP="00F91246">
            <w:pPr>
              <w:widowControl/>
              <w:autoSpaceDE/>
              <w:autoSpaceDN/>
              <w:spacing w:before="60" w:after="60"/>
              <w:jc w:val="center"/>
              <w:rPr>
                <w:sz w:val="24"/>
                <w:szCs w:val="24"/>
                <w:lang w:eastAsia="de-DE"/>
              </w:rPr>
            </w:pPr>
          </w:p>
        </w:tc>
        <w:tc>
          <w:tcPr>
            <w:tcW w:w="6794" w:type="dxa"/>
            <w:gridSpan w:val="2"/>
            <w:tcBorders>
              <w:top w:val="single" w:sz="4" w:space="0" w:color="auto"/>
              <w:left w:val="nil"/>
              <w:bottom w:val="nil"/>
              <w:right w:val="nil"/>
            </w:tcBorders>
            <w:shd w:val="clear" w:color="auto" w:fill="FFC000"/>
          </w:tcPr>
          <w:p w14:paraId="382A7ED5" w14:textId="77777777" w:rsidR="00FF7799" w:rsidRPr="00E73F6F" w:rsidRDefault="00FF7799" w:rsidP="00F91246">
            <w:pPr>
              <w:widowControl/>
              <w:autoSpaceDE/>
              <w:autoSpaceDN/>
              <w:spacing w:before="60" w:after="60"/>
              <w:jc w:val="center"/>
              <w:rPr>
                <w:b/>
                <w:sz w:val="24"/>
                <w:szCs w:val="24"/>
                <w:lang w:eastAsia="de-DE"/>
              </w:rPr>
            </w:pPr>
            <w:r w:rsidRPr="00E73F6F">
              <w:rPr>
                <w:b/>
                <w:sz w:val="24"/>
                <w:szCs w:val="24"/>
                <w:lang w:eastAsia="de-DE"/>
              </w:rPr>
              <w:t>Konsequenzen für das ...</w:t>
            </w:r>
          </w:p>
        </w:tc>
      </w:tr>
      <w:tr w:rsidR="00FF7799" w:rsidRPr="00E73F6F" w14:paraId="43E8147E" w14:textId="77777777" w:rsidTr="008941AC">
        <w:trPr>
          <w:trHeight w:val="188"/>
          <w:tblHeader/>
        </w:trPr>
        <w:tc>
          <w:tcPr>
            <w:tcW w:w="2273" w:type="dxa"/>
            <w:tcBorders>
              <w:top w:val="nil"/>
              <w:left w:val="nil"/>
              <w:bottom w:val="single" w:sz="4" w:space="0" w:color="auto"/>
              <w:right w:val="nil"/>
            </w:tcBorders>
            <w:shd w:val="clear" w:color="auto" w:fill="FFC000"/>
          </w:tcPr>
          <w:p w14:paraId="16537F0D" w14:textId="77777777" w:rsidR="00FF7799" w:rsidRPr="00E73F6F" w:rsidRDefault="00FF7799" w:rsidP="00F91246">
            <w:pPr>
              <w:widowControl/>
              <w:autoSpaceDE/>
              <w:autoSpaceDN/>
              <w:spacing w:before="60" w:after="60"/>
              <w:jc w:val="center"/>
              <w:rPr>
                <w:sz w:val="24"/>
                <w:szCs w:val="24"/>
                <w:lang w:eastAsia="de-DE"/>
              </w:rPr>
            </w:pPr>
          </w:p>
        </w:tc>
        <w:tc>
          <w:tcPr>
            <w:tcW w:w="3100" w:type="dxa"/>
            <w:tcBorders>
              <w:top w:val="nil"/>
              <w:left w:val="nil"/>
              <w:bottom w:val="single" w:sz="4" w:space="0" w:color="auto"/>
              <w:right w:val="nil"/>
            </w:tcBorders>
            <w:shd w:val="clear" w:color="auto" w:fill="FFC000"/>
          </w:tcPr>
          <w:p w14:paraId="1C3DC561" w14:textId="77777777" w:rsidR="00FF7799" w:rsidRPr="00E73F6F" w:rsidRDefault="00FF7799" w:rsidP="00F91246">
            <w:pPr>
              <w:widowControl/>
              <w:autoSpaceDE/>
              <w:autoSpaceDN/>
              <w:spacing w:before="60" w:after="60"/>
              <w:jc w:val="center"/>
              <w:rPr>
                <w:b/>
                <w:sz w:val="24"/>
                <w:szCs w:val="24"/>
                <w:lang w:eastAsia="de-DE"/>
              </w:rPr>
            </w:pPr>
            <w:r w:rsidRPr="00E73F6F">
              <w:rPr>
                <w:b/>
                <w:sz w:val="24"/>
                <w:szCs w:val="24"/>
                <w:lang w:eastAsia="de-DE"/>
              </w:rPr>
              <w:t>Arbeitsleben</w:t>
            </w:r>
          </w:p>
        </w:tc>
        <w:tc>
          <w:tcPr>
            <w:tcW w:w="3694" w:type="dxa"/>
            <w:tcBorders>
              <w:top w:val="nil"/>
              <w:left w:val="nil"/>
              <w:bottom w:val="single" w:sz="4" w:space="0" w:color="auto"/>
              <w:right w:val="nil"/>
            </w:tcBorders>
            <w:shd w:val="clear" w:color="auto" w:fill="FFC000"/>
          </w:tcPr>
          <w:p w14:paraId="08C9E1CC" w14:textId="77777777" w:rsidR="00FF7799" w:rsidRPr="00E73F6F" w:rsidRDefault="00FF7799" w:rsidP="00F91246">
            <w:pPr>
              <w:widowControl/>
              <w:autoSpaceDE/>
              <w:autoSpaceDN/>
              <w:spacing w:before="60" w:after="60"/>
              <w:jc w:val="center"/>
              <w:rPr>
                <w:b/>
                <w:sz w:val="24"/>
                <w:szCs w:val="24"/>
                <w:lang w:eastAsia="de-DE"/>
              </w:rPr>
            </w:pPr>
            <w:r w:rsidRPr="00E73F6F">
              <w:rPr>
                <w:b/>
                <w:sz w:val="24"/>
                <w:szCs w:val="24"/>
                <w:lang w:eastAsia="de-DE"/>
              </w:rPr>
              <w:t>Sozialleben</w:t>
            </w:r>
          </w:p>
        </w:tc>
      </w:tr>
      <w:tr w:rsidR="00FF7799" w:rsidRPr="00E73F6F" w14:paraId="441EB9BB" w14:textId="77777777" w:rsidTr="008941AC">
        <w:trPr>
          <w:trHeight w:val="878"/>
        </w:trPr>
        <w:tc>
          <w:tcPr>
            <w:tcW w:w="2273" w:type="dxa"/>
            <w:tcBorders>
              <w:top w:val="single" w:sz="4" w:space="0" w:color="auto"/>
              <w:left w:val="nil"/>
              <w:bottom w:val="single" w:sz="4" w:space="0" w:color="auto"/>
              <w:right w:val="nil"/>
            </w:tcBorders>
            <w:shd w:val="clear" w:color="auto" w:fill="FFF2CC" w:themeFill="accent4" w:themeFillTint="33"/>
            <w:vAlign w:val="center"/>
          </w:tcPr>
          <w:p w14:paraId="39670742"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Individualismus</w:t>
            </w:r>
          </w:p>
          <w:p w14:paraId="408E2E84"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vs.</w:t>
            </w:r>
          </w:p>
          <w:p w14:paraId="299B58FE"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Kollektivismus</w:t>
            </w:r>
          </w:p>
        </w:tc>
        <w:tc>
          <w:tcPr>
            <w:tcW w:w="3100" w:type="dxa"/>
            <w:tcBorders>
              <w:top w:val="single" w:sz="4" w:space="0" w:color="auto"/>
              <w:left w:val="nil"/>
              <w:bottom w:val="single" w:sz="4" w:space="0" w:color="auto"/>
              <w:right w:val="nil"/>
            </w:tcBorders>
          </w:tcPr>
          <w:p w14:paraId="47B1D659"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Grundverständnis von Transaktionen</w:t>
            </w:r>
          </w:p>
          <w:p w14:paraId="0C78F884" w14:textId="77777777" w:rsidR="00FF7799" w:rsidRPr="00E73F6F" w:rsidRDefault="00FF7799">
            <w:pPr>
              <w:pStyle w:val="Listenabsatz"/>
              <w:widowControl/>
              <w:numPr>
                <w:ilvl w:val="0"/>
                <w:numId w:val="8"/>
              </w:numPr>
              <w:autoSpaceDE/>
              <w:autoSpaceDN/>
              <w:spacing w:before="20" w:after="20"/>
              <w:ind w:left="344" w:hanging="284"/>
              <w:jc w:val="left"/>
              <w:rPr>
                <w:sz w:val="24"/>
                <w:szCs w:val="24"/>
                <w:lang w:eastAsia="de-DE"/>
              </w:rPr>
            </w:pPr>
            <w:r w:rsidRPr="00E73F6F">
              <w:rPr>
                <w:sz w:val="24"/>
                <w:szCs w:val="24"/>
                <w:lang w:eastAsia="de-DE"/>
              </w:rPr>
              <w:t>Konfliktbereitschaft</w:t>
            </w:r>
          </w:p>
          <w:p w14:paraId="17E28DD0" w14:textId="77777777" w:rsidR="00FF7799" w:rsidRPr="00E73F6F" w:rsidRDefault="00FF7799">
            <w:pPr>
              <w:pStyle w:val="Listenabsatz"/>
              <w:widowControl/>
              <w:numPr>
                <w:ilvl w:val="0"/>
                <w:numId w:val="8"/>
              </w:numPr>
              <w:autoSpaceDE/>
              <w:autoSpaceDN/>
              <w:spacing w:before="20" w:after="20"/>
              <w:ind w:left="344" w:hanging="284"/>
              <w:jc w:val="left"/>
              <w:rPr>
                <w:sz w:val="24"/>
                <w:szCs w:val="24"/>
                <w:lang w:eastAsia="de-DE"/>
              </w:rPr>
            </w:pPr>
            <w:r w:rsidRPr="00E73F6F">
              <w:rPr>
                <w:sz w:val="24"/>
                <w:szCs w:val="24"/>
                <w:lang w:eastAsia="de-DE"/>
              </w:rPr>
              <w:t>Vertrauen</w:t>
            </w:r>
          </w:p>
          <w:p w14:paraId="69671E54" w14:textId="77777777" w:rsidR="00FF7799" w:rsidRPr="00E73F6F" w:rsidRDefault="00FF7799">
            <w:pPr>
              <w:pStyle w:val="Listenabsatz"/>
              <w:widowControl/>
              <w:numPr>
                <w:ilvl w:val="0"/>
                <w:numId w:val="8"/>
              </w:numPr>
              <w:autoSpaceDE/>
              <w:autoSpaceDN/>
              <w:spacing w:before="20" w:after="20"/>
              <w:ind w:left="344" w:hanging="284"/>
              <w:jc w:val="left"/>
              <w:rPr>
                <w:sz w:val="24"/>
                <w:szCs w:val="24"/>
                <w:lang w:eastAsia="de-DE"/>
              </w:rPr>
            </w:pPr>
            <w:r w:rsidRPr="00E73F6F">
              <w:rPr>
                <w:sz w:val="24"/>
                <w:szCs w:val="24"/>
                <w:lang w:eastAsia="de-DE"/>
              </w:rPr>
              <w:t>Rechte &amp; Pflichten</w:t>
            </w:r>
          </w:p>
          <w:p w14:paraId="34037E71" w14:textId="77777777" w:rsidR="00FF7799" w:rsidRPr="00E73F6F" w:rsidRDefault="00FF7799">
            <w:pPr>
              <w:pStyle w:val="Listenabsatz"/>
              <w:widowControl/>
              <w:numPr>
                <w:ilvl w:val="0"/>
                <w:numId w:val="8"/>
              </w:numPr>
              <w:autoSpaceDE/>
              <w:autoSpaceDN/>
              <w:spacing w:before="20" w:after="20"/>
              <w:ind w:left="344" w:hanging="284"/>
              <w:jc w:val="left"/>
              <w:rPr>
                <w:sz w:val="24"/>
                <w:szCs w:val="24"/>
                <w:lang w:eastAsia="de-DE"/>
              </w:rPr>
            </w:pPr>
            <w:r w:rsidRPr="00E73F6F">
              <w:rPr>
                <w:sz w:val="24"/>
                <w:szCs w:val="24"/>
                <w:lang w:eastAsia="de-DE"/>
              </w:rPr>
              <w:t>Innovation &amp; Imitation</w:t>
            </w:r>
          </w:p>
        </w:tc>
        <w:tc>
          <w:tcPr>
            <w:tcW w:w="3694" w:type="dxa"/>
            <w:tcBorders>
              <w:top w:val="single" w:sz="4" w:space="0" w:color="auto"/>
              <w:left w:val="nil"/>
              <w:bottom w:val="single" w:sz="4" w:space="0" w:color="auto"/>
              <w:right w:val="nil"/>
            </w:tcBorders>
          </w:tcPr>
          <w:p w14:paraId="05168D8C"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Leistungsmotivation</w:t>
            </w:r>
          </w:p>
          <w:p w14:paraId="4D40D4D4"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Selbstbild</w:t>
            </w:r>
          </w:p>
          <w:p w14:paraId="4B319FDB"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Soziale Bedürfnisse</w:t>
            </w:r>
          </w:p>
          <w:p w14:paraId="49CE8267"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Kausalitätsbedürfnis</w:t>
            </w:r>
          </w:p>
          <w:p w14:paraId="126D8E33"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Konformitätsdruck</w:t>
            </w:r>
          </w:p>
          <w:p w14:paraId="0FF4F9C5"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Verteilungsgerechtigkeit</w:t>
            </w:r>
          </w:p>
        </w:tc>
      </w:tr>
      <w:tr w:rsidR="00FF7799" w:rsidRPr="00E73F6F" w14:paraId="58942805" w14:textId="77777777" w:rsidTr="008941AC">
        <w:trPr>
          <w:trHeight w:val="554"/>
        </w:trPr>
        <w:tc>
          <w:tcPr>
            <w:tcW w:w="2273" w:type="dxa"/>
            <w:tcBorders>
              <w:top w:val="single" w:sz="4" w:space="0" w:color="auto"/>
              <w:left w:val="nil"/>
              <w:bottom w:val="single" w:sz="4" w:space="0" w:color="auto"/>
              <w:right w:val="nil"/>
            </w:tcBorders>
            <w:shd w:val="clear" w:color="auto" w:fill="FFF2CC" w:themeFill="accent4" w:themeFillTint="33"/>
            <w:vAlign w:val="center"/>
          </w:tcPr>
          <w:p w14:paraId="69C8197E"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Akzeptanz</w:t>
            </w:r>
          </w:p>
          <w:p w14:paraId="3C86D974"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von</w:t>
            </w:r>
          </w:p>
          <w:p w14:paraId="1C511973"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Machtdistanz</w:t>
            </w:r>
          </w:p>
        </w:tc>
        <w:tc>
          <w:tcPr>
            <w:tcW w:w="3100" w:type="dxa"/>
            <w:tcBorders>
              <w:top w:val="single" w:sz="4" w:space="0" w:color="auto"/>
              <w:left w:val="nil"/>
              <w:bottom w:val="single" w:sz="4" w:space="0" w:color="auto"/>
              <w:right w:val="nil"/>
            </w:tcBorders>
          </w:tcPr>
          <w:p w14:paraId="6E4A103D"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Führungsstil</w:t>
            </w:r>
          </w:p>
          <w:p w14:paraId="2A5DEE98"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Korpsgeist</w:t>
            </w:r>
          </w:p>
          <w:p w14:paraId="70970F90"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Elitebildung</w:t>
            </w:r>
          </w:p>
          <w:p w14:paraId="6E3CF90D"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Korruptionsbereitschaft</w:t>
            </w:r>
          </w:p>
        </w:tc>
        <w:tc>
          <w:tcPr>
            <w:tcW w:w="3694" w:type="dxa"/>
            <w:tcBorders>
              <w:top w:val="single" w:sz="4" w:space="0" w:color="auto"/>
              <w:left w:val="nil"/>
              <w:bottom w:val="single" w:sz="4" w:space="0" w:color="auto"/>
              <w:right w:val="nil"/>
            </w:tcBorders>
          </w:tcPr>
          <w:p w14:paraId="342B5DBC"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Privilegien, Statussymbole</w:t>
            </w:r>
          </w:p>
          <w:p w14:paraId="7EB7D26E"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Gehorsam &amp; Kritik</w:t>
            </w:r>
          </w:p>
          <w:p w14:paraId="6D10BDB2"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Einkommensgefälle</w:t>
            </w:r>
          </w:p>
          <w:p w14:paraId="364A39B2"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Wohlstandniveau</w:t>
            </w:r>
          </w:p>
        </w:tc>
      </w:tr>
      <w:tr w:rsidR="00FF7799" w:rsidRPr="00E73F6F" w14:paraId="1F2D7290" w14:textId="77777777" w:rsidTr="008941AC">
        <w:trPr>
          <w:trHeight w:val="693"/>
        </w:trPr>
        <w:tc>
          <w:tcPr>
            <w:tcW w:w="2273" w:type="dxa"/>
            <w:tcBorders>
              <w:top w:val="single" w:sz="4" w:space="0" w:color="auto"/>
              <w:left w:val="nil"/>
              <w:bottom w:val="single" w:sz="4" w:space="0" w:color="auto"/>
              <w:right w:val="nil"/>
            </w:tcBorders>
            <w:shd w:val="clear" w:color="auto" w:fill="FFF2CC" w:themeFill="accent4" w:themeFillTint="33"/>
            <w:vAlign w:val="center"/>
          </w:tcPr>
          <w:p w14:paraId="46D03729"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Vermeidung</w:t>
            </w:r>
          </w:p>
          <w:p w14:paraId="3CE0F696"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von</w:t>
            </w:r>
          </w:p>
          <w:p w14:paraId="1D60B867"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Ungewissheit</w:t>
            </w:r>
          </w:p>
        </w:tc>
        <w:tc>
          <w:tcPr>
            <w:tcW w:w="3100" w:type="dxa"/>
            <w:tcBorders>
              <w:top w:val="single" w:sz="4" w:space="0" w:color="auto"/>
              <w:left w:val="nil"/>
              <w:bottom w:val="single" w:sz="4" w:space="0" w:color="auto"/>
              <w:right w:val="nil"/>
            </w:tcBorders>
          </w:tcPr>
          <w:p w14:paraId="228F0E14"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Eindeutigkeit &amp; Fristigkeit von Unternehmenszielen</w:t>
            </w:r>
          </w:p>
          <w:p w14:paraId="651BD3C1"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Normen &amp; Gesetze</w:t>
            </w:r>
          </w:p>
          <w:p w14:paraId="77977FAE"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Innovation</w:t>
            </w:r>
          </w:p>
        </w:tc>
        <w:tc>
          <w:tcPr>
            <w:tcW w:w="3694" w:type="dxa"/>
            <w:tcBorders>
              <w:top w:val="single" w:sz="4" w:space="0" w:color="auto"/>
              <w:left w:val="nil"/>
              <w:bottom w:val="single" w:sz="4" w:space="0" w:color="auto"/>
              <w:right w:val="nil"/>
            </w:tcBorders>
          </w:tcPr>
          <w:p w14:paraId="0A0A3DFC"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Fremdenfeindlichkeit</w:t>
            </w:r>
          </w:p>
          <w:p w14:paraId="45F8A51E"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Ambiguitätstoleranz</w:t>
            </w:r>
          </w:p>
          <w:p w14:paraId="6EE34F0E"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Geschenke</w:t>
            </w:r>
          </w:p>
          <w:p w14:paraId="215CC027"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Marken &amp; Qualitätssignale</w:t>
            </w:r>
          </w:p>
          <w:p w14:paraId="7E445994"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Zeitwahrnehmung</w:t>
            </w:r>
          </w:p>
        </w:tc>
      </w:tr>
      <w:tr w:rsidR="00FF7799" w:rsidRPr="00E73F6F" w14:paraId="5BF24635" w14:textId="77777777" w:rsidTr="008941AC">
        <w:trPr>
          <w:trHeight w:val="544"/>
        </w:trPr>
        <w:tc>
          <w:tcPr>
            <w:tcW w:w="2273" w:type="dxa"/>
            <w:tcBorders>
              <w:top w:val="single" w:sz="4" w:space="0" w:color="auto"/>
              <w:left w:val="nil"/>
              <w:bottom w:val="single" w:sz="4" w:space="0" w:color="auto"/>
              <w:right w:val="nil"/>
            </w:tcBorders>
            <w:shd w:val="clear" w:color="auto" w:fill="FFF2CC" w:themeFill="accent4" w:themeFillTint="33"/>
            <w:vAlign w:val="center"/>
          </w:tcPr>
          <w:p w14:paraId="2D90B217"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Maskulinität</w:t>
            </w:r>
          </w:p>
          <w:p w14:paraId="230CE38A"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vs.</w:t>
            </w:r>
          </w:p>
          <w:p w14:paraId="4081EE0A"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Feminität</w:t>
            </w:r>
          </w:p>
        </w:tc>
        <w:tc>
          <w:tcPr>
            <w:tcW w:w="3100" w:type="dxa"/>
            <w:tcBorders>
              <w:top w:val="single" w:sz="4" w:space="0" w:color="auto"/>
              <w:left w:val="nil"/>
              <w:bottom w:val="single" w:sz="4" w:space="0" w:color="auto"/>
              <w:right w:val="nil"/>
            </w:tcBorders>
          </w:tcPr>
          <w:p w14:paraId="5395C55B"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Karrierechancen</w:t>
            </w:r>
          </w:p>
          <w:p w14:paraId="33C11817"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 xml:space="preserve">Konfliktlösung </w:t>
            </w:r>
          </w:p>
          <w:p w14:paraId="11C5F0A4"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Vereinbarkeit von Beruf &amp; Familie</w:t>
            </w:r>
          </w:p>
        </w:tc>
        <w:tc>
          <w:tcPr>
            <w:tcW w:w="3694" w:type="dxa"/>
            <w:tcBorders>
              <w:top w:val="single" w:sz="4" w:space="0" w:color="auto"/>
              <w:left w:val="nil"/>
              <w:bottom w:val="single" w:sz="4" w:space="0" w:color="auto"/>
              <w:right w:val="nil"/>
            </w:tcBorders>
          </w:tcPr>
          <w:p w14:paraId="71AD8596"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Sozialsystem</w:t>
            </w:r>
          </w:p>
          <w:p w14:paraId="28EACCAC"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Gesamtgesellschaftlicher Konsens (Rentensystem)</w:t>
            </w:r>
          </w:p>
          <w:p w14:paraId="52BA9BA7"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Entwicklungshilfe</w:t>
            </w:r>
          </w:p>
        </w:tc>
      </w:tr>
      <w:tr w:rsidR="00FF7799" w:rsidRPr="00E73F6F" w14:paraId="7ABA95E9" w14:textId="77777777" w:rsidTr="008941AC">
        <w:trPr>
          <w:trHeight w:val="1174"/>
        </w:trPr>
        <w:tc>
          <w:tcPr>
            <w:tcW w:w="2273" w:type="dxa"/>
            <w:tcBorders>
              <w:top w:val="single" w:sz="4" w:space="0" w:color="auto"/>
              <w:left w:val="nil"/>
              <w:bottom w:val="single" w:sz="4" w:space="0" w:color="auto"/>
              <w:right w:val="nil"/>
            </w:tcBorders>
            <w:shd w:val="clear" w:color="auto" w:fill="FFF2CC" w:themeFill="accent4" w:themeFillTint="33"/>
            <w:vAlign w:val="center"/>
          </w:tcPr>
          <w:p w14:paraId="787C58B6"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Pragmatische</w:t>
            </w:r>
          </w:p>
          <w:p w14:paraId="556428D0"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vs. normative Orientierung</w:t>
            </w:r>
          </w:p>
          <w:p w14:paraId="7E7EA693" w14:textId="77777777" w:rsidR="00FF7799" w:rsidRPr="00E73F6F" w:rsidRDefault="00FF7799" w:rsidP="00F91246">
            <w:pPr>
              <w:widowControl/>
              <w:autoSpaceDE/>
              <w:autoSpaceDN/>
              <w:spacing w:before="20" w:after="20"/>
              <w:jc w:val="center"/>
              <w:rPr>
                <w:sz w:val="24"/>
                <w:szCs w:val="24"/>
                <w:lang w:eastAsia="de-DE"/>
              </w:rPr>
            </w:pPr>
          </w:p>
          <w:p w14:paraId="5BC94EA3"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 xml:space="preserve"> (Kurzfrist- vs.</w:t>
            </w:r>
          </w:p>
          <w:p w14:paraId="54DA9928"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Langfristorientierung)</w:t>
            </w:r>
          </w:p>
        </w:tc>
        <w:tc>
          <w:tcPr>
            <w:tcW w:w="3100" w:type="dxa"/>
            <w:tcBorders>
              <w:top w:val="single" w:sz="4" w:space="0" w:color="auto"/>
              <w:left w:val="nil"/>
              <w:bottom w:val="single" w:sz="4" w:space="0" w:color="auto"/>
              <w:right w:val="nil"/>
            </w:tcBorders>
          </w:tcPr>
          <w:p w14:paraId="61327A7B"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Leistung vs. Rechtschaffenheit</w:t>
            </w:r>
          </w:p>
          <w:p w14:paraId="6891B08D"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Kurzfristige vs. langfristige Renditeziele</w:t>
            </w:r>
          </w:p>
          <w:p w14:paraId="382EF255" w14:textId="77777777" w:rsidR="0000202D"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 xml:space="preserve">Aufgaben- vs. Beziehungsorientierung </w:t>
            </w:r>
          </w:p>
          <w:p w14:paraId="7C1369F0" w14:textId="5657A538" w:rsidR="00FF7799" w:rsidRPr="00E73F6F" w:rsidRDefault="00FF7799" w:rsidP="0000202D">
            <w:pPr>
              <w:pStyle w:val="Listenabsatz"/>
              <w:widowControl/>
              <w:autoSpaceDE/>
              <w:autoSpaceDN/>
              <w:spacing w:before="60" w:after="20"/>
              <w:ind w:left="344" w:firstLine="0"/>
              <w:jc w:val="left"/>
              <w:rPr>
                <w:sz w:val="24"/>
                <w:szCs w:val="24"/>
                <w:lang w:eastAsia="de-DE"/>
              </w:rPr>
            </w:pPr>
            <w:r w:rsidRPr="00E73F6F">
              <w:rPr>
                <w:sz w:val="24"/>
                <w:szCs w:val="24"/>
                <w:lang w:eastAsia="de-DE"/>
              </w:rPr>
              <w:t>(</w:t>
            </w:r>
            <w:r w:rsidR="009A7494">
              <w:sym w:font="Symbol" w:char="F0DE"/>
            </w:r>
            <w:r w:rsidR="009A7494">
              <w:t xml:space="preserve"> </w:t>
            </w:r>
            <w:r w:rsidRPr="00E73F6F">
              <w:rPr>
                <w:sz w:val="24"/>
                <w:szCs w:val="24"/>
                <w:lang w:eastAsia="de-DE"/>
              </w:rPr>
              <w:t>Guanxi)</w:t>
            </w:r>
          </w:p>
          <w:p w14:paraId="0FD40BD5"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Denkstil (analytisch vs. synthetisch)</w:t>
            </w:r>
          </w:p>
          <w:p w14:paraId="54D6B6BB"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Stellenwert von Freizeit</w:t>
            </w:r>
          </w:p>
        </w:tc>
        <w:tc>
          <w:tcPr>
            <w:tcW w:w="3694" w:type="dxa"/>
            <w:tcBorders>
              <w:top w:val="single" w:sz="4" w:space="0" w:color="auto"/>
              <w:left w:val="nil"/>
              <w:bottom w:val="single" w:sz="4" w:space="0" w:color="auto"/>
              <w:right w:val="nil"/>
            </w:tcBorders>
          </w:tcPr>
          <w:p w14:paraId="4C2D014B"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Konsumorientierung vs. Sparsamkeit</w:t>
            </w:r>
          </w:p>
          <w:p w14:paraId="75978085"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Sozialer Status</w:t>
            </w:r>
          </w:p>
          <w:p w14:paraId="502A6C32"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Moral vs. Pragmatismus</w:t>
            </w:r>
          </w:p>
          <w:p w14:paraId="06859A00"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Geschlechterrollen</w:t>
            </w:r>
          </w:p>
          <w:p w14:paraId="4E71B1B0"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Jugend vs. Alter</w:t>
            </w:r>
          </w:p>
        </w:tc>
      </w:tr>
      <w:tr w:rsidR="00FF7799" w:rsidRPr="00E73F6F" w14:paraId="45C6CCF9" w14:textId="77777777" w:rsidTr="008941AC">
        <w:trPr>
          <w:trHeight w:val="799"/>
        </w:trPr>
        <w:tc>
          <w:tcPr>
            <w:tcW w:w="2273" w:type="dxa"/>
            <w:tcBorders>
              <w:top w:val="single" w:sz="4" w:space="0" w:color="auto"/>
              <w:left w:val="nil"/>
              <w:bottom w:val="single" w:sz="4" w:space="0" w:color="auto"/>
              <w:right w:val="nil"/>
            </w:tcBorders>
            <w:shd w:val="clear" w:color="auto" w:fill="FFF2CC" w:themeFill="accent4" w:themeFillTint="33"/>
            <w:vAlign w:val="center"/>
          </w:tcPr>
          <w:p w14:paraId="6315F7D7"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Genussorientierung</w:t>
            </w:r>
          </w:p>
          <w:p w14:paraId="5CD1D808"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vs.</w:t>
            </w:r>
          </w:p>
          <w:p w14:paraId="79599E71" w14:textId="77777777" w:rsidR="00FF7799" w:rsidRPr="00E73F6F" w:rsidRDefault="00FF7799" w:rsidP="00F91246">
            <w:pPr>
              <w:widowControl/>
              <w:autoSpaceDE/>
              <w:autoSpaceDN/>
              <w:spacing w:before="20" w:after="20"/>
              <w:jc w:val="center"/>
              <w:rPr>
                <w:sz w:val="24"/>
                <w:szCs w:val="24"/>
                <w:lang w:eastAsia="de-DE"/>
              </w:rPr>
            </w:pPr>
            <w:r w:rsidRPr="00E73F6F">
              <w:rPr>
                <w:sz w:val="24"/>
                <w:szCs w:val="24"/>
                <w:lang w:eastAsia="de-DE"/>
              </w:rPr>
              <w:t>Selbstbeherrschung</w:t>
            </w:r>
          </w:p>
        </w:tc>
        <w:tc>
          <w:tcPr>
            <w:tcW w:w="3100" w:type="dxa"/>
            <w:tcBorders>
              <w:top w:val="single" w:sz="4" w:space="0" w:color="auto"/>
              <w:left w:val="nil"/>
              <w:bottom w:val="single" w:sz="4" w:space="0" w:color="auto"/>
              <w:right w:val="nil"/>
            </w:tcBorders>
          </w:tcPr>
          <w:p w14:paraId="7E2058B2"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Internetnutzung</w:t>
            </w:r>
          </w:p>
        </w:tc>
        <w:tc>
          <w:tcPr>
            <w:tcW w:w="3694" w:type="dxa"/>
            <w:tcBorders>
              <w:top w:val="single" w:sz="4" w:space="0" w:color="auto"/>
              <w:left w:val="nil"/>
              <w:bottom w:val="single" w:sz="4" w:space="0" w:color="auto"/>
              <w:right w:val="nil"/>
            </w:tcBorders>
          </w:tcPr>
          <w:p w14:paraId="39F7AA69"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Lebensglück</w:t>
            </w:r>
          </w:p>
          <w:p w14:paraId="6D5160D3"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Geschlechterrolle</w:t>
            </w:r>
          </w:p>
          <w:p w14:paraId="65FC60F5"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Freizeit &amp; Freunde</w:t>
            </w:r>
          </w:p>
          <w:p w14:paraId="1E207CD5"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Selbstwirksamkeit</w:t>
            </w:r>
          </w:p>
          <w:p w14:paraId="5F61CB72" w14:textId="77777777" w:rsidR="00FF7799" w:rsidRPr="00E73F6F" w:rsidRDefault="00FF7799">
            <w:pPr>
              <w:pStyle w:val="Listenabsatz"/>
              <w:widowControl/>
              <w:numPr>
                <w:ilvl w:val="0"/>
                <w:numId w:val="8"/>
              </w:numPr>
              <w:autoSpaceDE/>
              <w:autoSpaceDN/>
              <w:spacing w:before="60" w:after="20"/>
              <w:ind w:left="344" w:hanging="284"/>
              <w:jc w:val="left"/>
              <w:rPr>
                <w:sz w:val="24"/>
                <w:szCs w:val="24"/>
                <w:lang w:eastAsia="de-DE"/>
              </w:rPr>
            </w:pPr>
            <w:r w:rsidRPr="00E73F6F">
              <w:rPr>
                <w:sz w:val="24"/>
                <w:szCs w:val="24"/>
                <w:lang w:eastAsia="de-DE"/>
              </w:rPr>
              <w:t>Persönlichkeitsstruktur</w:t>
            </w:r>
          </w:p>
        </w:tc>
      </w:tr>
    </w:tbl>
    <w:p w14:paraId="76B25042" w14:textId="77777777" w:rsidR="00FF7799" w:rsidRPr="00E73F6F" w:rsidRDefault="00FF7799" w:rsidP="005A6636">
      <w:pPr>
        <w:pStyle w:val="Quellen"/>
      </w:pPr>
      <w:r w:rsidRPr="00E73F6F">
        <w:t>Quelle: Hofstede et al. (2010); Müller/Gelbrich (2004, S.114).</w:t>
      </w:r>
    </w:p>
    <w:p w14:paraId="31BDF215" w14:textId="77777777" w:rsidR="00FF7799" w:rsidRPr="00E73F6F" w:rsidRDefault="00FF7799" w:rsidP="00862DBA">
      <w:pPr>
        <w:widowControl/>
        <w:autoSpaceDE/>
        <w:autoSpaceDN/>
        <w:jc w:val="both"/>
        <w:rPr>
          <w:sz w:val="24"/>
          <w:szCs w:val="24"/>
          <w:lang w:eastAsia="de-DE"/>
        </w:rPr>
      </w:pPr>
    </w:p>
    <w:p w14:paraId="5EFCDE14" w14:textId="77777777" w:rsidR="00FF7799" w:rsidRPr="0026427E" w:rsidRDefault="00FF7799" w:rsidP="005A6636">
      <w:pPr>
        <w:pStyle w:val="StandardTextkursiv"/>
        <w:rPr>
          <w:i w:val="0"/>
        </w:rPr>
      </w:pPr>
      <w:r w:rsidRPr="0026427E">
        <w:rPr>
          <w:i w:val="0"/>
        </w:rPr>
        <w:t>2 Auswirkungen von Individualismus &amp; Kollektivismus</w:t>
      </w:r>
    </w:p>
    <w:p w14:paraId="25E085ED" w14:textId="77777777" w:rsidR="00FF7799" w:rsidRPr="0026427E" w:rsidRDefault="00FF7799" w:rsidP="005A6636">
      <w:pPr>
        <w:pStyle w:val="StandardTextkursiv"/>
        <w:rPr>
          <w:i w:val="0"/>
        </w:rPr>
      </w:pPr>
      <w:r w:rsidRPr="0026427E">
        <w:rPr>
          <w:i w:val="0"/>
        </w:rPr>
        <w:lastRenderedPageBreak/>
        <w:t>2.1 Bedeutung für das soziale Leben</w:t>
      </w:r>
    </w:p>
    <w:p w14:paraId="317E94B7" w14:textId="77777777" w:rsidR="00FF7799" w:rsidRPr="00E73F6F" w:rsidRDefault="00FF7799" w:rsidP="005A6636">
      <w:pPr>
        <w:pStyle w:val="StandardTextkursiv"/>
      </w:pPr>
      <w:r w:rsidRPr="00E73F6F">
        <w:t>Soziales Umfeld</w:t>
      </w:r>
    </w:p>
    <w:p w14:paraId="601BEC1F" w14:textId="77777777" w:rsidR="00FF7799" w:rsidRPr="00E73F6F" w:rsidRDefault="00FF7799" w:rsidP="005A6636">
      <w:pPr>
        <w:pStyle w:val="StandardText"/>
      </w:pPr>
      <w:r w:rsidRPr="00E73F6F">
        <w:t xml:space="preserve">Wer individualistisch sozialisiert wurde, unterhält mit großer Wahrscheinlichkeit eher locker geknüpfte soziale Beziehungen. Individualisten sind auf sich selbst bzw. ihr engeres familiäres Umfeld fixiert und achten weniger auf ihr weiteres soziales Umfeld. Kollektivistische Gesellschaften hingegen integrieren den Einzelnen von Kindheit an stärker in diverse soziale Gruppen, deren Ziele den Interessen des Einzelnen übergeordnet sind. Denn dort schuldet das Individuum der Gemeinschaft, die ihm Sicherheit und Schutz gewährt, Loyalität (vgl. Hofstede 2001, S.231). </w:t>
      </w:r>
    </w:p>
    <w:p w14:paraId="2A3E5195" w14:textId="77777777" w:rsidR="00FF7799" w:rsidRPr="00E73F6F" w:rsidRDefault="00FF7799" w:rsidP="005A6636">
      <w:pPr>
        <w:pStyle w:val="StandardText"/>
      </w:pPr>
    </w:p>
    <w:tbl>
      <w:tblPr>
        <w:tblW w:w="9139" w:type="dxa"/>
        <w:tblInd w:w="70" w:type="dxa"/>
        <w:tblBorders>
          <w:top w:val="single" w:sz="4" w:space="0" w:color="auto"/>
          <w:left w:val="single" w:sz="4" w:space="0" w:color="auto"/>
          <w:bottom w:val="single" w:sz="4" w:space="0" w:color="auto"/>
          <w:right w:val="single" w:sz="4" w:space="0" w:color="auto"/>
        </w:tblBorders>
        <w:tblLayout w:type="fixed"/>
        <w:tblCellMar>
          <w:left w:w="85" w:type="dxa"/>
          <w:right w:w="85" w:type="dxa"/>
        </w:tblCellMar>
        <w:tblLook w:val="0000" w:firstRow="0" w:lastRow="0" w:firstColumn="0" w:lastColumn="0" w:noHBand="0" w:noVBand="0"/>
      </w:tblPr>
      <w:tblGrid>
        <w:gridCol w:w="9139"/>
      </w:tblGrid>
      <w:tr w:rsidR="00FF7799" w:rsidRPr="00E73F6F" w14:paraId="473D3D7D" w14:textId="77777777" w:rsidTr="0026427E">
        <w:tc>
          <w:tcPr>
            <w:tcW w:w="9139" w:type="dxa"/>
            <w:shd w:val="clear" w:color="auto" w:fill="DEEAF6" w:themeFill="accent1" w:themeFillTint="33"/>
          </w:tcPr>
          <w:p w14:paraId="33CC7F52" w14:textId="77777777" w:rsidR="00FF7799" w:rsidRPr="00E73F6F" w:rsidRDefault="00FF7799" w:rsidP="00E47B03">
            <w:pPr>
              <w:pStyle w:val="Standardklein"/>
              <w:spacing w:before="120" w:after="120"/>
              <w:jc w:val="center"/>
              <w:rPr>
                <w:b/>
              </w:rPr>
            </w:pPr>
            <w:r w:rsidRPr="00E73F6F">
              <w:rPr>
                <w:b/>
              </w:rPr>
              <w:t>Gold fürs Vaterland</w:t>
            </w:r>
          </w:p>
        </w:tc>
      </w:tr>
      <w:tr w:rsidR="00FF7799" w:rsidRPr="00E73F6F" w14:paraId="4BA6679F" w14:textId="77777777" w:rsidTr="0026427E">
        <w:tc>
          <w:tcPr>
            <w:tcW w:w="9139" w:type="dxa"/>
            <w:shd w:val="clear" w:color="auto" w:fill="DEEAF6" w:themeFill="accent1" w:themeFillTint="33"/>
          </w:tcPr>
          <w:p w14:paraId="136CAFF1" w14:textId="77777777" w:rsidR="00FF7799" w:rsidRPr="00E73F6F" w:rsidRDefault="00FF7799" w:rsidP="008941AC">
            <w:pPr>
              <w:pStyle w:val="Standardklein"/>
              <w:spacing w:before="120" w:after="120"/>
            </w:pPr>
            <w:r w:rsidRPr="00E73F6F">
              <w:t>1998 litt Südkorea unter Währungsverfall und Devisenmangel. Im Rahmen der Aktion „Gemeinsinn“ gaben mehrere zehntausend Südkoreaner innerhalb kurzer Zeit mehrere Tonnen Goldschmuck (Ohrringe, Armreifen, Ketten) an Sammelstellen ab. Denn sie sahen sich moralisch verpflichtet, die finanzielle Lage ihres Landes zu verbessern. Die gespendeten Goldstücke wurden eingeschmolzen und gegen Dollar verkauft.</w:t>
            </w:r>
          </w:p>
        </w:tc>
      </w:tr>
    </w:tbl>
    <w:p w14:paraId="49E22C02" w14:textId="77777777" w:rsidR="00684099" w:rsidRDefault="00684099" w:rsidP="005A6636">
      <w:pPr>
        <w:pStyle w:val="StandardText"/>
      </w:pPr>
    </w:p>
    <w:p w14:paraId="04BF1C20" w14:textId="77777777" w:rsidR="00FF7799" w:rsidRPr="00E73F6F" w:rsidRDefault="00FF7799" w:rsidP="005A6636">
      <w:pPr>
        <w:pStyle w:val="StandardText"/>
      </w:pPr>
      <w:r w:rsidRPr="00E73F6F">
        <w:t>Triandis et al. (1990) haben eingehend untersucht, welche sonstige Faktoren mit diesem Konstrukt kor</w:t>
      </w:r>
      <w:r w:rsidRPr="00E73F6F">
        <w:softHyphen/>
        <w:t>re</w:t>
      </w:r>
      <w:r w:rsidRPr="00E73F6F">
        <w:softHyphen/>
        <w:t>lieren. Demzufolge sind Angehörige kollektivistischer Kulturen traditionalistischer und eher bereit, Machtdistanz zu akzeptieren, als Angehörige individualistischer Kulturen. Weiterhin legen sie Wert auf „In Group-Harmonie“ und soziale Nähe, bei gleichzeitig scharfer Unterscheidung zwischen ‘in group‘ und ‘out group‘. Aufgrund ihres hohen Ausmaßes nicht nur an sozialer Verbundenheit und Orientierung, sondern auch an sozialer Kontrolle ist die Kriminalitätsrate in solchen Gesellschaften auffällig gering. Auch lassen sich dort weniger soziopathische Phänomene beobachten (z.B. Suizid, Kindesmissbrauch, Scheidung).</w:t>
      </w:r>
    </w:p>
    <w:p w14:paraId="32A6B179" w14:textId="77777777" w:rsidR="00FF7799" w:rsidRPr="00E73F6F" w:rsidRDefault="00FF7799" w:rsidP="00862DBA">
      <w:pPr>
        <w:widowControl/>
        <w:autoSpaceDE/>
        <w:autoSpaceDN/>
        <w:jc w:val="both"/>
        <w:rPr>
          <w:sz w:val="24"/>
          <w:szCs w:val="24"/>
          <w:lang w:eastAsia="de-DE"/>
        </w:rPr>
      </w:pPr>
    </w:p>
    <w:p w14:paraId="3FF32B20" w14:textId="77777777" w:rsidR="00FF7799" w:rsidRPr="00E73F6F" w:rsidRDefault="00FF7799" w:rsidP="005A6636">
      <w:pPr>
        <w:pStyle w:val="StandardTextkursiv"/>
      </w:pPr>
      <w:r w:rsidRPr="00E73F6F">
        <w:t>Selbstbild</w:t>
      </w:r>
    </w:p>
    <w:p w14:paraId="6ECA3EFE" w14:textId="77777777" w:rsidR="00FF7799" w:rsidRPr="00E73F6F" w:rsidRDefault="00FF7799" w:rsidP="005A6636">
      <w:pPr>
        <w:pStyle w:val="StandardText"/>
      </w:pPr>
      <w:r w:rsidRPr="00E73F6F">
        <w:t>Koreaner, als charakteristische Vertreter der kollektivistischen Kultur, besitzen ein starkes Gruppengefühl. Dies erklärt, warum selbst Einzelkinder von „unserer Mutter“, alleinlebende Erwachsene von „unserer Wohnung“ und Frauen von „unserem Ehemann“ sprechen. Was uns aufgrund unseres individualistischen Menschenbildes paradox erscheinen mag, hat mit einer besonderen Art von Selbstverständnis zu tun. Darin schließen Koreaner andere, imaginäre Personen ein, ohne diese jedoch explizit zu benennen (vgl. Triandis 1989b).</w:t>
      </w:r>
    </w:p>
    <w:p w14:paraId="5FDF8457" w14:textId="77777777" w:rsidR="00FF7799" w:rsidRPr="00E73F6F" w:rsidRDefault="00FF7799" w:rsidP="005A6636">
      <w:pPr>
        <w:pStyle w:val="StandardText"/>
      </w:pPr>
      <w:r w:rsidRPr="00E73F6F">
        <w:t>Angehörige individualistischer Kulturen tendieren zu einer positiven Selbstwahrnehmung und Selbstdarstellung</w:t>
      </w:r>
      <w:r w:rsidR="0000202D">
        <w:t xml:space="preserve"> (</w:t>
      </w:r>
      <w:r w:rsidR="0000202D">
        <w:sym w:font="Symbol" w:char="F0DE"/>
      </w:r>
      <w:r w:rsidR="0000202D">
        <w:t xml:space="preserve"> Selbstbild)</w:t>
      </w:r>
      <w:r w:rsidRPr="00E73F6F">
        <w:t>. Sie nehmen sich als mehr oder minder autonom bzw. unabhängig wahr und werden deshalb als ‘selfdependent‘ bezeichnet. Ganz anders die Mehrzahl der Angehörigen östlicher und mehr noch mittel- sowie südamerikanischer Gesellschaften: Sie neigen zu Interdependenz. Dies bedeutet, dass sie, idealtypisch vereinfacht, …</w:t>
      </w:r>
    </w:p>
    <w:p w14:paraId="1CE4F75E" w14:textId="77777777" w:rsidR="00FF7799" w:rsidRPr="00E73F6F" w:rsidRDefault="00FF7799" w:rsidP="005A6636">
      <w:pPr>
        <w:pStyle w:val="StandardTextAufzhlung"/>
      </w:pPr>
      <w:r w:rsidRPr="00E73F6F">
        <w:t xml:space="preserve">ihr „Ich“ dem „Wir“ unterordnen, </w:t>
      </w:r>
    </w:p>
    <w:p w14:paraId="16F28AFF" w14:textId="77777777" w:rsidR="00FF7799" w:rsidRPr="00E73F6F" w:rsidRDefault="00FF7799" w:rsidP="005A6636">
      <w:pPr>
        <w:pStyle w:val="StandardTextAufzhlung"/>
        <w:rPr>
          <w:bCs/>
          <w:iCs/>
          <w:szCs w:val="24"/>
        </w:rPr>
      </w:pPr>
      <w:r w:rsidRPr="00E73F6F">
        <w:rPr>
          <w:bCs/>
          <w:iCs/>
          <w:szCs w:val="24"/>
        </w:rPr>
        <w:t>Gleichheit vor persönliche Freiheit stellen und</w:t>
      </w:r>
    </w:p>
    <w:p w14:paraId="71CB14CD" w14:textId="77777777" w:rsidR="00FF7799" w:rsidRPr="00E73F6F" w:rsidRDefault="00FF7799" w:rsidP="005A6636">
      <w:pPr>
        <w:pStyle w:val="StandardTextAufzhlung"/>
        <w:rPr>
          <w:bCs/>
          <w:iCs/>
          <w:szCs w:val="24"/>
        </w:rPr>
      </w:pPr>
      <w:r w:rsidRPr="00E73F6F">
        <w:rPr>
          <w:bCs/>
          <w:iCs/>
          <w:szCs w:val="24"/>
        </w:rPr>
        <w:t>den gesellschaftlichen Konsens suchen – auch zu Lasten (individueller) Selbstverwirklichung (vgl. Triandis 1994a, S.167ff.).</w:t>
      </w:r>
    </w:p>
    <w:p w14:paraId="16E9F735" w14:textId="77777777" w:rsidR="00FF7799" w:rsidRDefault="00FF7799" w:rsidP="005A6636">
      <w:pPr>
        <w:pStyle w:val="StandardTextAufzhlung"/>
        <w:numPr>
          <w:ilvl w:val="0"/>
          <w:numId w:val="0"/>
        </w:numPr>
        <w:ind w:left="284" w:hanging="284"/>
        <w:rPr>
          <w:bCs/>
          <w:iCs/>
          <w:szCs w:val="24"/>
        </w:rPr>
      </w:pPr>
    </w:p>
    <w:p w14:paraId="28BD741D" w14:textId="77777777" w:rsidR="0000202D" w:rsidRPr="00E73F6F" w:rsidRDefault="0000202D" w:rsidP="005A6636">
      <w:pPr>
        <w:pStyle w:val="StandardTextAufzhlung"/>
        <w:numPr>
          <w:ilvl w:val="0"/>
          <w:numId w:val="0"/>
        </w:numPr>
        <w:ind w:left="284" w:hanging="284"/>
        <w:rPr>
          <w:bCs/>
          <w:iCs/>
          <w:szCs w:val="24"/>
        </w:rPr>
      </w:pPr>
    </w:p>
    <w:tbl>
      <w:tblPr>
        <w:tblW w:w="9087" w:type="dxa"/>
        <w:tblInd w:w="70" w:type="dxa"/>
        <w:tblBorders>
          <w:top w:val="single" w:sz="4" w:space="0" w:color="auto"/>
          <w:left w:val="single" w:sz="4" w:space="0" w:color="auto"/>
          <w:bottom w:val="single" w:sz="4" w:space="0" w:color="auto"/>
          <w:right w:val="single" w:sz="4" w:space="0" w:color="auto"/>
        </w:tblBorders>
        <w:tblLayout w:type="fixed"/>
        <w:tblCellMar>
          <w:left w:w="85" w:type="dxa"/>
          <w:right w:w="85" w:type="dxa"/>
        </w:tblCellMar>
        <w:tblLook w:val="0000" w:firstRow="0" w:lastRow="0" w:firstColumn="0" w:lastColumn="0" w:noHBand="0" w:noVBand="0"/>
      </w:tblPr>
      <w:tblGrid>
        <w:gridCol w:w="9087"/>
      </w:tblGrid>
      <w:tr w:rsidR="00FF7799" w:rsidRPr="00E73F6F" w14:paraId="608747F5" w14:textId="77777777" w:rsidTr="00E47B03">
        <w:tc>
          <w:tcPr>
            <w:tcW w:w="9087" w:type="dxa"/>
            <w:shd w:val="clear" w:color="auto" w:fill="DEEAF6" w:themeFill="accent1" w:themeFillTint="33"/>
          </w:tcPr>
          <w:p w14:paraId="071C376F" w14:textId="77777777" w:rsidR="00FF7799" w:rsidRPr="00E73F6F" w:rsidRDefault="00FF7799" w:rsidP="00E47B03">
            <w:pPr>
              <w:pStyle w:val="Standardklein"/>
              <w:spacing w:before="120" w:after="120"/>
              <w:jc w:val="center"/>
              <w:rPr>
                <w:b/>
              </w:rPr>
            </w:pPr>
            <w:r w:rsidRPr="00E73F6F">
              <w:rPr>
                <w:b/>
              </w:rPr>
              <w:t>Walkman vs. Ghettoblaster</w:t>
            </w:r>
          </w:p>
        </w:tc>
      </w:tr>
      <w:tr w:rsidR="00FF7799" w:rsidRPr="00E73F6F" w14:paraId="1FBBFFAE" w14:textId="77777777" w:rsidTr="00E47B03">
        <w:tc>
          <w:tcPr>
            <w:tcW w:w="9087" w:type="dxa"/>
            <w:shd w:val="clear" w:color="auto" w:fill="DEEAF6" w:themeFill="accent1" w:themeFillTint="33"/>
          </w:tcPr>
          <w:p w14:paraId="40E06968" w14:textId="77777777" w:rsidR="0089503B" w:rsidRPr="00E73F6F" w:rsidRDefault="00FF7799" w:rsidP="0089503B">
            <w:pPr>
              <w:pStyle w:val="Standardklein"/>
              <w:spacing w:before="120" w:after="120"/>
            </w:pPr>
            <w:r w:rsidRPr="00E73F6F">
              <w:lastRenderedPageBreak/>
              <w:t xml:space="preserve">„In Japan wohnen auf einen Quadratkilometer bewohnbarer Fläche 1.098 Menschen, in Großbritannien 502, in Deutschland 246 und in den USA 57. Deshalb sind zwischenmenschliche Beziehungen in Japan anders strukturiert als in den westlichen Nationen. Das »intime Privatleben«, wie man in Deutschland sagen würde, ist in Japan ein unbekannter Begriff. Dass die räumliche Enge zur Rücksichtnahme auf Mitbewohner und Nachbarn zwingt, beeinflusst nicht zuletzt die Entwicklung von Produkten der Unterhaltungselektronik. Der Trend zur Miniaturisierung entspricht der räumlichen Enge. Wo wenig Platz ist, sind keine großen Geräte gefragt, sondern kleine, mit den gleichen Funktionen. Ein zweiter Trend sind Kompaktheit und Portabilität der Produkte. Den anderen durch das persönliche Musikerlebnis nicht stören zu wollen, ist eine ganz wesentliche Voraussetzung zur Entwicklung des Walkmans gewesen. Ein entgegengesetzter Trend, Musik einfach nach draußen zu lassen, entstand in den USA und zeigte sich im Erfolg der größeren Radiorecorder, auch Ghettoblaster genannt“ </w:t>
            </w:r>
          </w:p>
          <w:p w14:paraId="7C3887BB" w14:textId="77777777" w:rsidR="00FF7799" w:rsidRPr="00E73F6F" w:rsidRDefault="00FF7799" w:rsidP="00E47B03">
            <w:pPr>
              <w:pStyle w:val="Standardklein"/>
              <w:spacing w:before="120" w:after="120"/>
              <w:jc w:val="right"/>
            </w:pPr>
            <w:r w:rsidRPr="00E73F6F">
              <w:t xml:space="preserve">Zimmermann </w:t>
            </w:r>
            <w:r w:rsidR="00E47B03">
              <w:t>(1992, S.228)</w:t>
            </w:r>
          </w:p>
        </w:tc>
      </w:tr>
    </w:tbl>
    <w:p w14:paraId="0A4C7BAC" w14:textId="77777777" w:rsidR="00E47B03" w:rsidRDefault="00E47B03" w:rsidP="00C376EC">
      <w:pPr>
        <w:pStyle w:val="StandardText"/>
        <w:rPr>
          <w:rStyle w:val="StandardTextZchn1"/>
        </w:rPr>
      </w:pPr>
    </w:p>
    <w:p w14:paraId="33313792" w14:textId="77777777" w:rsidR="00FF7799" w:rsidRPr="00E73F6F" w:rsidRDefault="00FF7799" w:rsidP="00C376EC">
      <w:pPr>
        <w:pStyle w:val="StandardText"/>
        <w:rPr>
          <w:szCs w:val="24"/>
        </w:rPr>
      </w:pPr>
      <w:r w:rsidRPr="00E73F6F">
        <w:rPr>
          <w:rStyle w:val="StandardTextZchn1"/>
        </w:rPr>
        <w:t>Welche Erlebnisse haben ihnen in der jüngeren und in der weiter zurückliegenden Vergangenheit am meisten Befriedigung bereitetet? Amerikanische und koreanische Studenten beantworteten diese Frage weitgehend gleichsinnig: Sie alle empfanden Ereignisse, die Selbstachtung, selbstbestimmtes und kompetentes Handeln sowie Nähe zu anderen Menschen ermöglichen, als befriedigend. Popularität, Machtausübung, Geld und Luxus spielten demgegenüber eine untergeordnete Rolle. Einen, allerdings entscheidenden Unterschied gab es dennoch: Während Amerikaner vor allem dann Glück empfinden, wenn ein Ereignis ihre Selbstachtung stärkt, lässt bei Koreanern menschliche Nähe dieses Gefühl aufkommen (vgl. Sheldon et al</w:t>
      </w:r>
      <w:r w:rsidRPr="00E73F6F">
        <w:rPr>
          <w:szCs w:val="24"/>
        </w:rPr>
        <w:t>. 2001).</w:t>
      </w:r>
    </w:p>
    <w:p w14:paraId="022DBDD3" w14:textId="77777777" w:rsidR="00FF7799" w:rsidRPr="00E73F6F" w:rsidRDefault="00FF7799" w:rsidP="00862DBA">
      <w:pPr>
        <w:widowControl/>
        <w:autoSpaceDE/>
        <w:autoSpaceDN/>
        <w:jc w:val="both"/>
        <w:rPr>
          <w:sz w:val="24"/>
          <w:szCs w:val="24"/>
          <w:lang w:eastAsia="de-DE"/>
        </w:rPr>
      </w:pPr>
    </w:p>
    <w:p w14:paraId="2FD7FCB4" w14:textId="77777777" w:rsidR="00FF7799" w:rsidRPr="00E73F6F" w:rsidRDefault="00FF7799" w:rsidP="005A6636">
      <w:pPr>
        <w:pStyle w:val="StandardTextkursiv"/>
      </w:pPr>
      <w:r w:rsidRPr="00E73F6F">
        <w:t>Ursache &amp; Wirkung</w:t>
      </w:r>
    </w:p>
    <w:p w14:paraId="0C064FF3" w14:textId="77777777" w:rsidR="00FF7799" w:rsidRPr="00E73F6F" w:rsidRDefault="00FF7799" w:rsidP="00C376EC">
      <w:pPr>
        <w:pStyle w:val="StandardText"/>
      </w:pPr>
      <w:r w:rsidRPr="00E73F6F">
        <w:t>Das Kausalitätsbedürfnis, das viele Menschen veranlasst, die Welt als ein Gefüge von Ursache/Wirkungs-Beziehungen wahrzunehmen, variiert gleichfalls interkulturell (vgl. Nisbett 2003, S.111ff.). Während Kinder im individualistischen Kulturraum schon frühzeitig ermutigt werden, warum, weshalb, wozu zu fragen, erziehen kollektivistische Gesellschaften ihre Mitglieder vorrangig dazu, Ereignisse zu registrieren („dass“ etwas so ist, wie es ist). Der wohl bedeutendste Unterschied betrifft den fundamentalen Attributionsfehler. Damit ist die Neigung gemeint, Ereignisse (z.B. Abschneiden in einer Klausur) vorzugsweise anhand von …</w:t>
      </w:r>
    </w:p>
    <w:p w14:paraId="6935DD7D" w14:textId="77777777" w:rsidR="00FF7799" w:rsidRPr="00E73F6F" w:rsidRDefault="00FF7799" w:rsidP="00F62D25">
      <w:pPr>
        <w:pStyle w:val="StandardTextAufzhlung"/>
        <w:ind w:left="426"/>
      </w:pPr>
      <w:r w:rsidRPr="00E73F6F">
        <w:t xml:space="preserve">Persönlichkeitsmerkmalen der handelnden Personen (z.B. Intelligenz) zu erklären und weniger mit </w:t>
      </w:r>
    </w:p>
    <w:p w14:paraId="527EF7CD" w14:textId="77777777" w:rsidR="00FF7799" w:rsidRPr="00E73F6F" w:rsidRDefault="00FF7799" w:rsidP="00F62D25">
      <w:pPr>
        <w:pStyle w:val="StandardTextAufzhlung"/>
        <w:ind w:left="426"/>
      </w:pPr>
      <w:r w:rsidRPr="00E73F6F">
        <w:t xml:space="preserve">situativen Variablen, welche die Kontextbedingungen des Ereignisses beschreiben (z.B. Zeitdruck). </w:t>
      </w:r>
    </w:p>
    <w:p w14:paraId="6BF542D2" w14:textId="77777777" w:rsidR="00FF7799" w:rsidRPr="00E73F6F" w:rsidRDefault="00FF7799" w:rsidP="00C376EC">
      <w:pPr>
        <w:pStyle w:val="StandardText"/>
      </w:pPr>
      <w:r w:rsidRPr="00E73F6F">
        <w:t>Für diese Anomalie der Informationsverarbeitung scheinen Angehörige individualistischer Gesellschaften besonders anfällig zu sein (vgl. Smith et al. 2006, S.115). Denn für sie sind Selbstschutz und Selbstwertgefühl existenziell. Auch haben Individualisten gelernt, Ereignisse primär mit Personen und weniger mit den Umständen dieser Ereignisse in Verbindung zu bringen (vgl. Kitayama et al. 2003).</w:t>
      </w:r>
    </w:p>
    <w:p w14:paraId="3B1159D7" w14:textId="77777777" w:rsidR="00FF7799" w:rsidRPr="00E73F6F" w:rsidRDefault="00FF7799" w:rsidP="00862DBA">
      <w:pPr>
        <w:spacing w:before="119"/>
        <w:jc w:val="both"/>
        <w:rPr>
          <w:sz w:val="24"/>
          <w:szCs w:val="24"/>
        </w:rPr>
      </w:pPr>
    </w:p>
    <w:p w14:paraId="23B06825" w14:textId="77777777" w:rsidR="00FF7799" w:rsidRPr="00E73F6F" w:rsidRDefault="00FF7799" w:rsidP="005A6636">
      <w:pPr>
        <w:pStyle w:val="StandardTextkursiv"/>
      </w:pPr>
      <w:r w:rsidRPr="00E73F6F">
        <w:t>Konformität</w:t>
      </w:r>
    </w:p>
    <w:p w14:paraId="41982184" w14:textId="77777777" w:rsidR="00FF7799" w:rsidRPr="00E73F6F" w:rsidRDefault="00FF7799" w:rsidP="00862DBA">
      <w:pPr>
        <w:spacing w:before="119"/>
        <w:jc w:val="both"/>
        <w:rPr>
          <w:sz w:val="24"/>
          <w:szCs w:val="24"/>
        </w:rPr>
      </w:pPr>
      <w:r w:rsidRPr="00E73F6F">
        <w:rPr>
          <w:sz w:val="24"/>
          <w:szCs w:val="24"/>
        </w:rPr>
        <w:t xml:space="preserve">In kollektivistischen Gesellschaften ist der Konformitätsdruck, d.h. der Zwang, sich normgerecht zu verhalten, stärker als in individualistischen Gesellschaften. Wie Gürhan-Canli/Maheswaran (2000) im Zuge einer Studie zum </w:t>
      </w:r>
      <w:r w:rsidR="0000202D">
        <w:rPr>
          <w:sz w:val="24"/>
          <w:szCs w:val="24"/>
        </w:rPr>
        <w:sym w:font="Symbol" w:char="F0DE"/>
      </w:r>
      <w:r w:rsidR="0000202D">
        <w:rPr>
          <w:sz w:val="24"/>
          <w:szCs w:val="24"/>
        </w:rPr>
        <w:t xml:space="preserve"> </w:t>
      </w:r>
      <w:r w:rsidRPr="00E73F6F">
        <w:rPr>
          <w:sz w:val="24"/>
          <w:szCs w:val="24"/>
        </w:rPr>
        <w:t>Herkunftslandeffekt nachweisen konnten, ziehen Japaner Produkte „Made in Nippon“ grundsätzlich vor, unabhängig von ihrer objektiven Qualität, während US-Amerikaner (= Individualisten) heimische Erzeugnisse zumeist nur dann besser bewerten als ausländische Konkurrenzprodukte, wenn sie „Made in USA“ tatsächlich für qualitativ überlegen halten</w:t>
      </w:r>
      <w:r w:rsidR="0000202D">
        <w:rPr>
          <w:sz w:val="24"/>
          <w:szCs w:val="24"/>
        </w:rPr>
        <w:t xml:space="preserve"> (</w:t>
      </w:r>
      <w:r w:rsidR="0000202D">
        <w:rPr>
          <w:sz w:val="24"/>
          <w:szCs w:val="24"/>
        </w:rPr>
        <w:sym w:font="Symbol" w:char="F0DE"/>
      </w:r>
      <w:r w:rsidR="0000202D">
        <w:rPr>
          <w:sz w:val="24"/>
          <w:szCs w:val="24"/>
        </w:rPr>
        <w:t xml:space="preserve"> Country of Origin; </w:t>
      </w:r>
      <w:r w:rsidR="0000202D">
        <w:rPr>
          <w:sz w:val="24"/>
          <w:szCs w:val="24"/>
        </w:rPr>
        <w:sym w:font="Symbol" w:char="F0DE"/>
      </w:r>
      <w:r w:rsidR="0000202D">
        <w:rPr>
          <w:sz w:val="24"/>
          <w:szCs w:val="24"/>
        </w:rPr>
        <w:t xml:space="preserve"> Made in …)</w:t>
      </w:r>
      <w:r w:rsidRPr="00E73F6F">
        <w:rPr>
          <w:sz w:val="24"/>
          <w:szCs w:val="24"/>
        </w:rPr>
        <w:t xml:space="preserve">. </w:t>
      </w:r>
    </w:p>
    <w:p w14:paraId="044AA923" w14:textId="77777777" w:rsidR="00FF7799" w:rsidRPr="00E73F6F" w:rsidRDefault="00FF7799" w:rsidP="00862DBA">
      <w:pPr>
        <w:widowControl/>
        <w:autoSpaceDE/>
        <w:autoSpaceDN/>
        <w:jc w:val="both"/>
        <w:rPr>
          <w:sz w:val="24"/>
          <w:szCs w:val="24"/>
          <w:lang w:eastAsia="de-DE"/>
        </w:rPr>
      </w:pPr>
    </w:p>
    <w:p w14:paraId="3F475192" w14:textId="77777777" w:rsidR="00FF7799" w:rsidRPr="00E47B03" w:rsidRDefault="00FF7799" w:rsidP="005A6636">
      <w:pPr>
        <w:pStyle w:val="StandardTextkursiv"/>
        <w:rPr>
          <w:i w:val="0"/>
        </w:rPr>
      </w:pPr>
      <w:r w:rsidRPr="00E47B03">
        <w:rPr>
          <w:i w:val="0"/>
        </w:rPr>
        <w:lastRenderedPageBreak/>
        <w:t>2.2 Bedeutung für das Arbeitsleben</w:t>
      </w:r>
    </w:p>
    <w:p w14:paraId="2E112E2C" w14:textId="77777777" w:rsidR="00FF7799" w:rsidRPr="00E73F6F" w:rsidRDefault="00FF7799" w:rsidP="005A6636">
      <w:pPr>
        <w:pStyle w:val="StandardTextkursiv"/>
      </w:pPr>
      <w:r w:rsidRPr="00E73F6F">
        <w:t>Verantwortung &amp; Entlohnung</w:t>
      </w:r>
    </w:p>
    <w:p w14:paraId="6425298B" w14:textId="77777777" w:rsidR="00FF7799" w:rsidRPr="00E73F6F" w:rsidRDefault="00FF7799" w:rsidP="00C376EC">
      <w:pPr>
        <w:pStyle w:val="StandardText"/>
      </w:pPr>
      <w:r w:rsidRPr="00E73F6F">
        <w:t xml:space="preserve">Mehr noch als andere individualistische Gesellschaften betonen jene westlichen Nationen, in denen sich die Pioniermentalität erhalten hat (USA, Kanada, Australien), Werte wie persönliche Freiheit und individuelle Verantwortung (vgl. Triandis 1989a). Im Wirtschafts- und Berufsleben begünstigen diese Werte das Streben nach Autonomie, die Verantwortlichkeit des Einzelnen und die Akzeptanz einer individuellen, leistungsbezogenen Entlohnung. Die sog. Nettowert-Bewegung ist ein extremes Symptom dieses individualistisch-konkurrenzorientierten Selbstverständnisses. </w:t>
      </w:r>
    </w:p>
    <w:p w14:paraId="00B7B85B" w14:textId="77777777" w:rsidR="00FF7799" w:rsidRPr="00E73F6F" w:rsidRDefault="00FF7799" w:rsidP="00862DBA">
      <w:pPr>
        <w:spacing w:before="119"/>
        <w:jc w:val="both"/>
        <w:rPr>
          <w:sz w:val="24"/>
          <w:szCs w:val="24"/>
        </w:rPr>
      </w:pPr>
    </w:p>
    <w:tbl>
      <w:tblPr>
        <w:tblStyle w:val="Tabellenraster"/>
        <w:tblW w:w="0" w:type="auto"/>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ook w:val="04A0" w:firstRow="1" w:lastRow="0" w:firstColumn="1" w:lastColumn="0" w:noHBand="0" w:noVBand="1"/>
      </w:tblPr>
      <w:tblGrid>
        <w:gridCol w:w="9062"/>
      </w:tblGrid>
      <w:tr w:rsidR="00FF7799" w:rsidRPr="00E73F6F" w14:paraId="54C80F63" w14:textId="77777777" w:rsidTr="00E47B03">
        <w:tc>
          <w:tcPr>
            <w:tcW w:w="9062" w:type="dxa"/>
            <w:shd w:val="clear" w:color="auto" w:fill="DEEAF6" w:themeFill="accent1" w:themeFillTint="33"/>
          </w:tcPr>
          <w:p w14:paraId="23281C07" w14:textId="77777777" w:rsidR="00FF7799" w:rsidRPr="00E73F6F" w:rsidRDefault="00FF7799" w:rsidP="00E47B03">
            <w:pPr>
              <w:pStyle w:val="Standardklein"/>
              <w:spacing w:before="120" w:after="120"/>
              <w:jc w:val="center"/>
              <w:rPr>
                <w:b/>
              </w:rPr>
            </w:pPr>
            <w:r w:rsidRPr="00E73F6F">
              <w:rPr>
                <w:b/>
              </w:rPr>
              <w:t>Nettowert</w:t>
            </w:r>
          </w:p>
        </w:tc>
      </w:tr>
      <w:tr w:rsidR="00FF7799" w:rsidRPr="00E73F6F" w14:paraId="2682ADB0" w14:textId="77777777" w:rsidTr="00E47B03">
        <w:tc>
          <w:tcPr>
            <w:tcW w:w="9062" w:type="dxa"/>
            <w:shd w:val="clear" w:color="auto" w:fill="DEEAF6" w:themeFill="accent1" w:themeFillTint="33"/>
          </w:tcPr>
          <w:p w14:paraId="1A031BF3" w14:textId="77777777" w:rsidR="0089503B" w:rsidRPr="00E73F6F" w:rsidRDefault="00FF7799" w:rsidP="0089503B">
            <w:pPr>
              <w:pStyle w:val="Standardklein"/>
              <w:spacing w:before="120" w:after="120"/>
            </w:pPr>
            <w:r w:rsidRPr="00E73F6F">
              <w:t xml:space="preserve">„Die Userin Princess91879 ist 16.432 US-$ wert. 8.209 US-$ liegen auf ihrem Konto (46 US-$ weniger als im Mai), 12.208 US-$ hat Princess in ihre Altersvorsorge investiert, und der Wert ihres Autos liegt bei 2.765 US-$. Davon abzuziehen ist ein Bildungskredit in Höhe von 6.750 US-$. Im Vergleich zum Vormonat hat sich ihr Vermögen um knapp 8% verringert. Seit Februar 2008 hält Princess ihre Finanzen auf der Webseite </w:t>
            </w:r>
            <w:hyperlink r:id="rId18" w:history="1">
              <w:r w:rsidRPr="00E73F6F">
                <w:t>www.networthiq.com</w:t>
              </w:r>
            </w:hyperlink>
            <w:r w:rsidRPr="00E73F6F">
              <w:t xml:space="preserve"> fest. Der Nettowert ergibt sich aus sämtlichen Vermögenswerten abzüglich der Schulden und Verbindlichkeiten. Dieser wird dann in Form von Ranglisten dargestellt, die sich in Altersgruppe, Beruf, Schulbildung und Land filtern lassen. Das Hobby teilt Princess mit vielen anderen Amerikanern, die sich auf solchen Seiten eine Art Wettbewerb liefern, wer schneller zu Reichtum gelangt.“ </w:t>
            </w:r>
          </w:p>
          <w:p w14:paraId="0454064F" w14:textId="77777777" w:rsidR="00FF7799" w:rsidRPr="00E73F6F" w:rsidRDefault="00FF7799" w:rsidP="00E47B03">
            <w:pPr>
              <w:pStyle w:val="Standardklein"/>
              <w:spacing w:before="120" w:after="120"/>
              <w:jc w:val="right"/>
            </w:pPr>
            <w:r w:rsidRPr="00E73F6F">
              <w:t xml:space="preserve">Mattheis </w:t>
            </w:r>
            <w:r w:rsidR="00E47B03">
              <w:t>(</w:t>
            </w:r>
            <w:r w:rsidRPr="00E73F6F">
              <w:t>2010, S.21)</w:t>
            </w:r>
          </w:p>
        </w:tc>
      </w:tr>
    </w:tbl>
    <w:p w14:paraId="7E4DFA1F" w14:textId="77777777" w:rsidR="0000202D" w:rsidRDefault="0000202D" w:rsidP="00C376EC">
      <w:pPr>
        <w:pStyle w:val="StandardText"/>
      </w:pPr>
    </w:p>
    <w:p w14:paraId="10817884" w14:textId="77777777" w:rsidR="00FF7799" w:rsidRPr="00E73F6F" w:rsidRDefault="00FF7799" w:rsidP="00C376EC">
      <w:pPr>
        <w:pStyle w:val="StandardText"/>
      </w:pPr>
      <w:r w:rsidRPr="00E73F6F">
        <w:t xml:space="preserve">Für das angelsächsische Staats- und Gesellschaftsverständnis ist die mythologische Figur des </w:t>
      </w:r>
      <w:r w:rsidRPr="00E73F6F">
        <w:rPr>
          <w:i/>
        </w:rPr>
        <w:t>Leviathan</w:t>
      </w:r>
      <w:r w:rsidRPr="00E73F6F">
        <w:t xml:space="preserve"> bedeutsam – jenes unbezwingbare Ungeheuer, das </w:t>
      </w:r>
      <w:r w:rsidRPr="00E73F6F">
        <w:rPr>
          <w:i/>
        </w:rPr>
        <w:t>T. Hobbes</w:t>
      </w:r>
      <w:r w:rsidRPr="00E73F6F">
        <w:t xml:space="preserve"> als Sinnbild für den machtversessenen, allgegenwärtigen Staat genutzt hat.</w:t>
      </w:r>
    </w:p>
    <w:p w14:paraId="51F9202A" w14:textId="77777777" w:rsidR="00FF7799" w:rsidRPr="00E73F6F" w:rsidRDefault="00FF7799" w:rsidP="00862DBA">
      <w:pPr>
        <w:spacing w:before="119"/>
        <w:jc w:val="both"/>
        <w:rPr>
          <w:sz w:val="24"/>
          <w:szCs w:val="24"/>
        </w:rPr>
      </w:pPr>
    </w:p>
    <w:tbl>
      <w:tblPr>
        <w:tblW w:w="8945" w:type="dxa"/>
        <w:tblInd w:w="-5" w:type="dxa"/>
        <w:tblBorders>
          <w:top w:val="single" w:sz="4" w:space="0" w:color="auto"/>
          <w:left w:val="single" w:sz="4" w:space="0" w:color="auto"/>
          <w:bottom w:val="single" w:sz="4" w:space="0" w:color="auto"/>
          <w:right w:val="single" w:sz="4" w:space="0" w:color="auto"/>
        </w:tblBorders>
        <w:tblLayout w:type="fixed"/>
        <w:tblCellMar>
          <w:left w:w="85" w:type="dxa"/>
          <w:right w:w="85" w:type="dxa"/>
        </w:tblCellMar>
        <w:tblLook w:val="0000" w:firstRow="0" w:lastRow="0" w:firstColumn="0" w:lastColumn="0" w:noHBand="0" w:noVBand="0"/>
      </w:tblPr>
      <w:tblGrid>
        <w:gridCol w:w="8945"/>
      </w:tblGrid>
      <w:tr w:rsidR="00FF7799" w:rsidRPr="00E73F6F" w14:paraId="759155A7" w14:textId="77777777" w:rsidTr="00E47B03">
        <w:tc>
          <w:tcPr>
            <w:tcW w:w="8945" w:type="dxa"/>
            <w:shd w:val="clear" w:color="auto" w:fill="DEEAF6" w:themeFill="accent1" w:themeFillTint="33"/>
          </w:tcPr>
          <w:p w14:paraId="5D53DEA5" w14:textId="77777777" w:rsidR="00FF7799" w:rsidRPr="00E73F6F" w:rsidRDefault="00FF7799" w:rsidP="00E47B03">
            <w:pPr>
              <w:pStyle w:val="Standardklein"/>
              <w:spacing w:before="120" w:after="120"/>
              <w:jc w:val="center"/>
              <w:rPr>
                <w:b/>
              </w:rPr>
            </w:pPr>
            <w:r w:rsidRPr="00E73F6F">
              <w:rPr>
                <w:b/>
              </w:rPr>
              <w:t>Amerikas Psyche</w:t>
            </w:r>
          </w:p>
        </w:tc>
      </w:tr>
      <w:tr w:rsidR="00FF7799" w:rsidRPr="00E73F6F" w14:paraId="61E9E7AD" w14:textId="77777777" w:rsidTr="00E47B03">
        <w:tc>
          <w:tcPr>
            <w:tcW w:w="8945" w:type="dxa"/>
            <w:shd w:val="clear" w:color="auto" w:fill="DEEAF6" w:themeFill="accent1" w:themeFillTint="33"/>
          </w:tcPr>
          <w:p w14:paraId="638FCF38" w14:textId="77777777" w:rsidR="00E47B03" w:rsidRDefault="00FF7799" w:rsidP="0089503B">
            <w:pPr>
              <w:pStyle w:val="Standardklein"/>
              <w:spacing w:before="120" w:after="120"/>
            </w:pPr>
            <w:r w:rsidRPr="00E73F6F">
              <w:t xml:space="preserve">„Nur die amerikanische Psyche erklärt, warum Obamas Versuch, diesen Missstand (50 Mio. Amerikaner ohne Krankenversicherung) endlich zu beseitigen, von den Menschen nicht angenommen wird. Die USA wurden gegründet aus einem antistaatlichen Impuls heraus: Die Steuergesetze der fernen britischen Kolonialregierung wurden als Übergriff verstanden, als Eingriff in die individuellen Freiheitsrechte. Die Angst vor dem staatlichen Leviathan sitzt seither tief im kollektiven Unterbewusstsein der Nation.“ </w:t>
            </w:r>
          </w:p>
          <w:p w14:paraId="1F0D7262" w14:textId="77777777" w:rsidR="00FF7799" w:rsidRPr="00E73F6F" w:rsidRDefault="00FF7799" w:rsidP="00E47B03">
            <w:pPr>
              <w:pStyle w:val="Standardklein"/>
              <w:spacing w:before="120" w:after="120"/>
              <w:jc w:val="right"/>
            </w:pPr>
            <w:r w:rsidRPr="00E73F6F">
              <w:t xml:space="preserve">Klüver </w:t>
            </w:r>
            <w:r w:rsidR="00E47B03">
              <w:t>(</w:t>
            </w:r>
            <w:r w:rsidRPr="00E73F6F">
              <w:t>2012, S.4)</w:t>
            </w:r>
          </w:p>
        </w:tc>
      </w:tr>
    </w:tbl>
    <w:p w14:paraId="6569BC06" w14:textId="77777777" w:rsidR="00FF7799" w:rsidRPr="00E73F6F" w:rsidRDefault="00FF7799" w:rsidP="00C376EC">
      <w:pPr>
        <w:pStyle w:val="StandardText"/>
      </w:pPr>
      <w:r w:rsidRPr="00E73F6F">
        <w:t>Kollektivistische Gesellschaften hingegen räumen Solidarität und Gruppenorientierung Vorrang ein, nicht zuletzt bei der Gestaltung von Entlohnungssystemen (vgl. Newman/Nollen 1996, S.758). Bis in die jüngere Vergangenheit hinein wurden Lohnzahlungen in Japan nicht als Honorierung der Arbeitsleistung des einzelnen Mitarbeiters betrachtet, sondern als Ausdruck der Fürsorgepflicht des Arbeitgebers.</w:t>
      </w:r>
    </w:p>
    <w:p w14:paraId="245F2CC4" w14:textId="77777777" w:rsidR="00FF7799" w:rsidRPr="00E73F6F" w:rsidRDefault="00FF7799" w:rsidP="00862DBA">
      <w:pPr>
        <w:spacing w:before="119"/>
        <w:jc w:val="both"/>
        <w:rPr>
          <w:sz w:val="24"/>
          <w:szCs w:val="24"/>
        </w:rPr>
      </w:pPr>
    </w:p>
    <w:tbl>
      <w:tblPr>
        <w:tblW w:w="5000" w:type="pct"/>
        <w:tblBorders>
          <w:top w:val="single" w:sz="4" w:space="0" w:color="auto"/>
          <w:left w:val="single" w:sz="4" w:space="0" w:color="auto"/>
          <w:bottom w:val="single" w:sz="4" w:space="0" w:color="auto"/>
          <w:right w:val="single" w:sz="4" w:space="0" w:color="auto"/>
        </w:tblBorders>
        <w:tblCellMar>
          <w:left w:w="85" w:type="dxa"/>
          <w:right w:w="85" w:type="dxa"/>
        </w:tblCellMar>
        <w:tblLook w:val="0000" w:firstRow="0" w:lastRow="0" w:firstColumn="0" w:lastColumn="0" w:noHBand="0" w:noVBand="0"/>
      </w:tblPr>
      <w:tblGrid>
        <w:gridCol w:w="9062"/>
      </w:tblGrid>
      <w:tr w:rsidR="00FF7799" w:rsidRPr="00E73F6F" w14:paraId="5F427005" w14:textId="77777777" w:rsidTr="00E47B03">
        <w:tc>
          <w:tcPr>
            <w:tcW w:w="5000" w:type="pct"/>
            <w:shd w:val="clear" w:color="auto" w:fill="DEEAF6" w:themeFill="accent1" w:themeFillTint="33"/>
          </w:tcPr>
          <w:p w14:paraId="724514F8" w14:textId="77777777" w:rsidR="00FF7799" w:rsidRPr="00E73F6F" w:rsidRDefault="00FF7799" w:rsidP="0000202D">
            <w:pPr>
              <w:pStyle w:val="Standardklein"/>
              <w:spacing w:before="120" w:after="120"/>
              <w:jc w:val="center"/>
              <w:rPr>
                <w:b/>
              </w:rPr>
            </w:pPr>
            <w:r w:rsidRPr="00E73F6F">
              <w:rPr>
                <w:b/>
              </w:rPr>
              <w:t>Verbundenheit &amp; tief empfundenen Zugehörigkeit</w:t>
            </w:r>
          </w:p>
        </w:tc>
      </w:tr>
      <w:tr w:rsidR="00FF7799" w:rsidRPr="00E73F6F" w14:paraId="4E7CE8A3" w14:textId="77777777" w:rsidTr="00E47B03">
        <w:tc>
          <w:tcPr>
            <w:tcW w:w="5000" w:type="pct"/>
            <w:shd w:val="clear" w:color="auto" w:fill="DEEAF6" w:themeFill="accent1" w:themeFillTint="33"/>
          </w:tcPr>
          <w:p w14:paraId="12D04876" w14:textId="77777777" w:rsidR="00FF7799" w:rsidRPr="00E73F6F" w:rsidRDefault="00FF7799" w:rsidP="0089503B">
            <w:pPr>
              <w:pStyle w:val="Standardklein"/>
              <w:spacing w:before="120" w:after="120"/>
            </w:pPr>
            <w:r w:rsidRPr="00E73F6F">
              <w:t xml:space="preserve">Amae beschreibt die wechselseitige Abhängigkeit zweier Erwachsener, von denen der eine die Rolle „Schutzbefohlener ohne Eigenverantwortung“ und der andere die Rolle „verantwortlicher Beschützer“ innehat. Aufgabe von 'ie' ist es, das Bedürfnis nach Verbundenheit und tief empfundener Zugehörigkeit zu befriedigen. Unternehmen waren in der traditionellen japanischen Gesellschaft ‘ie‘. Metaphorisch ausgedrückt fiel dabei den Arbeitnehmern die Rolle der Familienmitglieder und dem Arbeitgeber die Rolle des Familienoberhauptes zu. Innerhalb </w:t>
            </w:r>
            <w:r w:rsidRPr="00E73F6F">
              <w:lastRenderedPageBreak/>
              <w:t>dieses Familienverbands wird vom Familienoberhaupt Sorge und Pflichtgefühl gegenüber den Mitgliedern erwartet, auch wenn diese manchmal Ärger bereiten. Es ist ein Verhältnis wie zwischen Vater und Sohn (vgl. Sethi et al. 1984).</w:t>
            </w:r>
          </w:p>
          <w:p w14:paraId="5B7885C5" w14:textId="77777777" w:rsidR="006B46AB" w:rsidRDefault="00FF7799" w:rsidP="0089503B">
            <w:pPr>
              <w:pStyle w:val="Standardklein"/>
              <w:spacing w:before="120" w:after="120"/>
            </w:pPr>
            <w:r w:rsidRPr="00E73F6F">
              <w:t xml:space="preserve">Diese Wertvorstellungen sind auch bei der Einführung neuer Mitarbeiter zu beachten. „Dem deutschen Präsidenten der japanischen Niederlassung eines großen deutschen Chemiekonzerns fiel auf, dass zwei von ihm neu eingestellte Mitarbeiter auch nach einigen Monaten der Firmenzugehörigkeit von ihren japanischen Kollegen und Untergebenen nicht recht angenommen wurden. Obwohl die Neuen nichts sagten, war ihnen deutlich anzusehen, dass sie sich isoliert fühlten, und der Präsident hatte den Eindruck, auch ihre Leistung leide darunter. Er wandte sich deshalb an den japanischen Personalleiter und war konsterniert, als dieser ihn schüchtern belehrte, er der Präsident, habe es versäumt, die neuen Mitarbeiter offiziell in die Firma aufzunehmen. Die neuen Mitarbeiter erwarteten, dass sie in einer Einführungszeremonie in Anwesenheit aller willkommen geheißen und den anderen vorgestellt würden. Sonst fühlten sie sich vom Familienkreis ausgeschlossen. Der Präsident holte die Zeremonie nach und konnte alsbald die Integration der neuen Mitarbeiter in ihre Gruppe feststellen.“ </w:t>
            </w:r>
          </w:p>
          <w:p w14:paraId="39B0CB88" w14:textId="77777777" w:rsidR="00FF7799" w:rsidRPr="00E73F6F" w:rsidRDefault="00FF7799" w:rsidP="006B46AB">
            <w:pPr>
              <w:pStyle w:val="Standardklein"/>
              <w:spacing w:before="120" w:after="120"/>
              <w:jc w:val="right"/>
            </w:pPr>
            <w:r w:rsidRPr="00E73F6F">
              <w:t xml:space="preserve">Kumar </w:t>
            </w:r>
            <w:r w:rsidR="006B46AB">
              <w:t>(</w:t>
            </w:r>
            <w:r w:rsidRPr="00E73F6F">
              <w:t>1988, S.427)</w:t>
            </w:r>
          </w:p>
        </w:tc>
      </w:tr>
    </w:tbl>
    <w:p w14:paraId="28F592F4" w14:textId="77777777" w:rsidR="00FF7799" w:rsidRPr="00E73F6F" w:rsidRDefault="00FF7799" w:rsidP="00862DBA">
      <w:pPr>
        <w:spacing w:before="119"/>
        <w:jc w:val="both"/>
        <w:rPr>
          <w:sz w:val="24"/>
          <w:szCs w:val="24"/>
        </w:rPr>
      </w:pPr>
    </w:p>
    <w:p w14:paraId="70135708" w14:textId="77777777" w:rsidR="00FF7799" w:rsidRPr="00E73F6F" w:rsidRDefault="00FF7799" w:rsidP="005A6636">
      <w:pPr>
        <w:pStyle w:val="StandardTextkursiv"/>
      </w:pPr>
      <w:r w:rsidRPr="00E73F6F">
        <w:t xml:space="preserve">Funktion von Verhandlungen </w:t>
      </w:r>
    </w:p>
    <w:p w14:paraId="30FEB72F" w14:textId="77777777" w:rsidR="00FF7799" w:rsidRPr="00E73F6F" w:rsidRDefault="00FF7799" w:rsidP="00862DBA">
      <w:pPr>
        <w:spacing w:before="119"/>
        <w:jc w:val="both"/>
        <w:rPr>
          <w:sz w:val="24"/>
          <w:szCs w:val="24"/>
        </w:rPr>
      </w:pPr>
      <w:r w:rsidRPr="00E73F6F">
        <w:rPr>
          <w:sz w:val="24"/>
          <w:szCs w:val="24"/>
        </w:rPr>
        <w:t>Individualisten neigen dazu, Lizenzverträge, Kaufakte und andere ökonomische Transaktionen als tendenziell singulären, wertfreien Tauschvorgang anzusehen, der keine langfristige Beziehung begründet. Von deren Deal-Focus ist der Relationship-Focus der Kollektivisten abzugrenzen. Entsprechend ihrer Gemeinschaftsorientierung erachten sie es gerade als Sinn und Ziel von langwierigen Gesprächen bzw. Verhandlungen, die solchen Vorhaben gewöhnlich vorangehen, eine tragfähige soziale Beziehung zwischen den Beteiligten und damit eine dauerhafte Geschäftsgrundlage zu schaffen (vgl. Metcalf et al. 2006; Gesteland 2005).</w:t>
      </w:r>
    </w:p>
    <w:p w14:paraId="36C6417E" w14:textId="77777777" w:rsidR="00FF7799" w:rsidRPr="00E73F6F" w:rsidRDefault="00FF7799" w:rsidP="00862DBA">
      <w:pPr>
        <w:spacing w:before="119"/>
        <w:jc w:val="both"/>
        <w:rPr>
          <w:sz w:val="24"/>
          <w:szCs w:val="24"/>
        </w:rPr>
      </w:pPr>
    </w:p>
    <w:p w14:paraId="6ECB5A2F" w14:textId="77777777" w:rsidR="00FF7799" w:rsidRPr="00E73F6F" w:rsidRDefault="00FF7799" w:rsidP="005A6636">
      <w:pPr>
        <w:pStyle w:val="StandardTextkursiv"/>
      </w:pPr>
      <w:r w:rsidRPr="00E73F6F">
        <w:t>Konfliktmanagement</w:t>
      </w:r>
    </w:p>
    <w:p w14:paraId="0A4FADFF" w14:textId="77777777" w:rsidR="00FF7799" w:rsidRPr="00E73F6F" w:rsidRDefault="00FF7799" w:rsidP="00862DBA">
      <w:pPr>
        <w:spacing w:before="119"/>
        <w:jc w:val="both"/>
        <w:rPr>
          <w:sz w:val="24"/>
          <w:szCs w:val="24"/>
        </w:rPr>
      </w:pPr>
      <w:r w:rsidRPr="00E73F6F">
        <w:rPr>
          <w:sz w:val="24"/>
          <w:szCs w:val="24"/>
        </w:rPr>
        <w:t>In Gemeinschaftsunternehmen, Auslandsniederlassungen und generell bei interkulturellen Begegnungen treffen Menschen, die Selbstbestimmung und Entscheidungsfreiheit für erstrebenswert halten, auf andere, die sich vorrangig als Mitglieder einer Gruppe fühlen. Dies führt fast zwangsläufig zu Konflikten, wobei sich kulturbedingt unterschiedliche Konfliktmanagementstile beobachten lassen. So präferieren Angehörige des individualistischen Kulturkreises eine legalistische Herangehensweise, während Kollektivismus mit Kompromissorientierung einhergeht (vgl. Wang et al. 2005).</w:t>
      </w:r>
    </w:p>
    <w:p w14:paraId="2DD2B8EC" w14:textId="77777777" w:rsidR="00FF7799" w:rsidRPr="00E73F6F" w:rsidRDefault="00FF7799" w:rsidP="00862DBA">
      <w:pPr>
        <w:spacing w:before="119"/>
        <w:jc w:val="both"/>
        <w:rPr>
          <w:sz w:val="24"/>
          <w:szCs w:val="24"/>
        </w:rPr>
      </w:pPr>
    </w:p>
    <w:p w14:paraId="080D12CD" w14:textId="77777777" w:rsidR="00FF7799" w:rsidRPr="00E73F6F" w:rsidRDefault="00FF7799" w:rsidP="005A6636">
      <w:pPr>
        <w:pStyle w:val="StandardTextkursiv"/>
      </w:pPr>
      <w:r w:rsidRPr="00E73F6F">
        <w:t>Vertrauen</w:t>
      </w:r>
    </w:p>
    <w:p w14:paraId="7896E683" w14:textId="77777777" w:rsidR="00FF7799" w:rsidRPr="00E73F6F" w:rsidRDefault="00FF7799" w:rsidP="00862DBA">
      <w:pPr>
        <w:spacing w:before="119"/>
        <w:jc w:val="both"/>
        <w:rPr>
          <w:sz w:val="24"/>
          <w:szCs w:val="24"/>
        </w:rPr>
      </w:pPr>
      <w:r w:rsidRPr="00E73F6F">
        <w:rPr>
          <w:sz w:val="24"/>
          <w:szCs w:val="24"/>
        </w:rPr>
        <w:t xml:space="preserve">Gegenseitiges Vertrauen und Solidarität begründen das „soziale Kapital“ einer Gesellschaft. Organisationen aller Art sind nur funktionstüchtig, wenn zwischen den Mitgliedern ein Mindestmaß an Vertrauen herrscht. Deutsche Unternehmen sind nach Fukuyama (1995a) flexibler und weniger hierarchisch strukturiert als andere, weil deutsche Angestellte und Arbeiter ihrem Management prinzipiell vertrauen. Huff/Kelley (2005) wiederum berichten, dass Kundenorientierung und vertrauensvolle Beziehungen eher für US-amerikanische Manager charakteristisch sind als für Manager asiatischer Herkunft. </w:t>
      </w:r>
    </w:p>
    <w:p w14:paraId="50161797" w14:textId="77777777" w:rsidR="00FF7799" w:rsidRPr="00E73F6F" w:rsidRDefault="00FF7799" w:rsidP="00862DBA">
      <w:pPr>
        <w:widowControl/>
        <w:autoSpaceDE/>
        <w:autoSpaceDN/>
        <w:jc w:val="both"/>
        <w:rPr>
          <w:sz w:val="24"/>
          <w:szCs w:val="24"/>
          <w:lang w:eastAsia="de-DE"/>
        </w:rPr>
      </w:pPr>
    </w:p>
    <w:p w14:paraId="7A93DA30" w14:textId="77777777" w:rsidR="00FF7799" w:rsidRPr="006B46AB" w:rsidRDefault="00FF7799" w:rsidP="005A6636">
      <w:pPr>
        <w:pStyle w:val="StandardTextkursiv"/>
        <w:rPr>
          <w:i w:val="0"/>
        </w:rPr>
      </w:pPr>
      <w:r w:rsidRPr="006B46AB">
        <w:rPr>
          <w:i w:val="0"/>
        </w:rPr>
        <w:t>3 Auswirkungen der Akzeptanz von Machtdistanz</w:t>
      </w:r>
    </w:p>
    <w:p w14:paraId="15265794" w14:textId="77777777" w:rsidR="00FF7799" w:rsidRPr="006B46AB" w:rsidRDefault="00FF7799" w:rsidP="005A6636">
      <w:pPr>
        <w:pStyle w:val="StandardTextkursiv"/>
        <w:rPr>
          <w:i w:val="0"/>
        </w:rPr>
      </w:pPr>
      <w:r w:rsidRPr="006B46AB">
        <w:rPr>
          <w:i w:val="0"/>
        </w:rPr>
        <w:t xml:space="preserve">3.1 Bedeutung für das soziale Leben </w:t>
      </w:r>
    </w:p>
    <w:p w14:paraId="7AFA9138" w14:textId="77777777" w:rsidR="00FF7799" w:rsidRPr="00E73F6F" w:rsidRDefault="00FF7799" w:rsidP="005A6636">
      <w:pPr>
        <w:pStyle w:val="StandardTextkursiv"/>
      </w:pPr>
      <w:r w:rsidRPr="00E73F6F">
        <w:t xml:space="preserve">Unterordnung &amp; Gehorsam </w:t>
      </w:r>
    </w:p>
    <w:p w14:paraId="79A203FB" w14:textId="77777777" w:rsidR="00FF7799" w:rsidRPr="00E73F6F" w:rsidRDefault="00FF7799" w:rsidP="00862DBA">
      <w:pPr>
        <w:spacing w:before="119"/>
        <w:jc w:val="both"/>
        <w:rPr>
          <w:sz w:val="24"/>
          <w:szCs w:val="24"/>
        </w:rPr>
      </w:pPr>
      <w:r w:rsidRPr="00E73F6F">
        <w:rPr>
          <w:sz w:val="24"/>
          <w:szCs w:val="24"/>
        </w:rPr>
        <w:t xml:space="preserve">Vier der fünf konfuzianischen Kardinaltugenden (vgl. Müller/Gelbrich 2014, S.138) regeln in </w:t>
      </w:r>
      <w:r w:rsidRPr="00E73F6F">
        <w:rPr>
          <w:sz w:val="24"/>
          <w:szCs w:val="24"/>
        </w:rPr>
        <w:lastRenderedPageBreak/>
        <w:t>Ostasien das Verhältnis von Personen unterschiedlicher hierarchischer Stellung und Macht. Dabei gilt der soziale Status der Beteiligten als unverrückbar und Loyalität gegenüber dem Höhergestellten als unabdingbar. Chinesen werden schon in frühestem Kindesalter zu Unterordnung und Gehorsam angehalten. Vor allem haben sie zu lernen, ältere und sozial höher gestellte Personen bzw. Institutionen (z.B. Eltern, staatliche Würdenträger) als Respektspersonen zu behandeln. Nicht mit dem traditionellen chinesischen Menschenbild vereinbar sind offene Kritik, Widerspruch oder Eigeninitiative (vgl. Rothlauf 2009, S.460ff.; Huang 2008</w:t>
      </w:r>
      <w:r w:rsidR="00E6655D">
        <w:rPr>
          <w:sz w:val="24"/>
          <w:szCs w:val="24"/>
        </w:rPr>
        <w:t xml:space="preserve">; </w:t>
      </w:r>
      <w:r w:rsidR="00E6655D">
        <w:rPr>
          <w:sz w:val="24"/>
          <w:szCs w:val="24"/>
        </w:rPr>
        <w:sym w:font="Symbol" w:char="F0DE"/>
      </w:r>
      <w:r w:rsidR="00E6655D">
        <w:rPr>
          <w:sz w:val="24"/>
          <w:szCs w:val="24"/>
        </w:rPr>
        <w:t xml:space="preserve"> Training, interkulturelles</w:t>
      </w:r>
      <w:r w:rsidRPr="00E73F6F">
        <w:rPr>
          <w:sz w:val="24"/>
          <w:szCs w:val="24"/>
        </w:rPr>
        <w:t>).</w:t>
      </w:r>
    </w:p>
    <w:p w14:paraId="577FB117" w14:textId="77777777" w:rsidR="00FF7799" w:rsidRPr="00E73F6F" w:rsidRDefault="00FF7799" w:rsidP="00862DBA">
      <w:pPr>
        <w:spacing w:before="119"/>
        <w:jc w:val="both"/>
        <w:rPr>
          <w:sz w:val="24"/>
          <w:szCs w:val="24"/>
        </w:rPr>
      </w:pPr>
    </w:p>
    <w:p w14:paraId="58B99167" w14:textId="77777777" w:rsidR="00FF7799" w:rsidRPr="00E73F6F" w:rsidRDefault="00FF7799" w:rsidP="005A6636">
      <w:pPr>
        <w:pStyle w:val="StandardTextkursiv"/>
      </w:pPr>
      <w:r w:rsidRPr="00E73F6F">
        <w:t xml:space="preserve">Elitebildung </w:t>
      </w:r>
    </w:p>
    <w:p w14:paraId="620BF249" w14:textId="77777777" w:rsidR="00FF7799" w:rsidRPr="00E73F6F" w:rsidRDefault="00FF7799" w:rsidP="003B4617">
      <w:pPr>
        <w:pStyle w:val="StandardText"/>
      </w:pPr>
      <w:r w:rsidRPr="00E73F6F">
        <w:t>Der für ein westliches Industrieland ungewöhnlich hohe PDI-Wert Frankreichs (= 68) lässt sich u.a. mit dem ungleichen Zugang der verschiedenen sozialen Schichten zu Bildung und Einfluss erklären. Denn bis in die Gegenwart hinein waren die Führungspositionen in Politik und Wirtschaft des Landes weitgehend den Absolventen der École Nationale d'Administration (ENA) vorbehalten.</w:t>
      </w:r>
    </w:p>
    <w:p w14:paraId="7F5ABA80" w14:textId="77777777" w:rsidR="00FF7799" w:rsidRPr="00E73F6F" w:rsidRDefault="00FF7799" w:rsidP="00862DBA">
      <w:pPr>
        <w:widowControl/>
        <w:autoSpaceDE/>
        <w:autoSpaceDN/>
        <w:jc w:val="both"/>
        <w:rPr>
          <w:sz w:val="24"/>
          <w:szCs w:val="24"/>
          <w:lang w:eastAsia="de-DE"/>
        </w:rPr>
      </w:pPr>
    </w:p>
    <w:tbl>
      <w:tblPr>
        <w:tblW w:w="5000" w:type="pct"/>
        <w:tblBorders>
          <w:top w:val="single" w:sz="4" w:space="0" w:color="auto"/>
          <w:left w:val="single" w:sz="4" w:space="0" w:color="auto"/>
          <w:bottom w:val="single" w:sz="4" w:space="0" w:color="auto"/>
          <w:right w:val="single" w:sz="4" w:space="0" w:color="auto"/>
        </w:tblBorders>
        <w:tblCellMar>
          <w:left w:w="85" w:type="dxa"/>
          <w:right w:w="85" w:type="dxa"/>
        </w:tblCellMar>
        <w:tblLook w:val="0000" w:firstRow="0" w:lastRow="0" w:firstColumn="0" w:lastColumn="0" w:noHBand="0" w:noVBand="0"/>
      </w:tblPr>
      <w:tblGrid>
        <w:gridCol w:w="9062"/>
      </w:tblGrid>
      <w:tr w:rsidR="00FF7799" w:rsidRPr="00E73F6F" w14:paraId="7A660024" w14:textId="77777777" w:rsidTr="006B46AB">
        <w:tc>
          <w:tcPr>
            <w:tcW w:w="5000" w:type="pct"/>
            <w:shd w:val="clear" w:color="auto" w:fill="DEEAF6" w:themeFill="accent1" w:themeFillTint="33"/>
          </w:tcPr>
          <w:p w14:paraId="56B1B47D" w14:textId="77777777" w:rsidR="00FF7799" w:rsidRPr="00E73F6F" w:rsidRDefault="00FF7799" w:rsidP="006B46AB">
            <w:pPr>
              <w:pStyle w:val="Standardklein"/>
              <w:spacing w:before="120" w:after="120"/>
              <w:jc w:val="center"/>
              <w:rPr>
                <w:b/>
              </w:rPr>
            </w:pPr>
            <w:r w:rsidRPr="00E73F6F">
              <w:rPr>
                <w:b/>
              </w:rPr>
              <w:t>Enarchen</w:t>
            </w:r>
          </w:p>
        </w:tc>
      </w:tr>
      <w:tr w:rsidR="00FF7799" w:rsidRPr="00E73F6F" w14:paraId="0417AC40" w14:textId="77777777" w:rsidTr="006B46AB">
        <w:tc>
          <w:tcPr>
            <w:tcW w:w="5000" w:type="pct"/>
            <w:shd w:val="clear" w:color="auto" w:fill="DEEAF6" w:themeFill="accent1" w:themeFillTint="33"/>
          </w:tcPr>
          <w:p w14:paraId="36205206" w14:textId="77777777" w:rsidR="0089503B" w:rsidRPr="00E73F6F" w:rsidRDefault="00FF7799" w:rsidP="0089503B">
            <w:pPr>
              <w:pStyle w:val="Standardklein"/>
              <w:spacing w:before="120" w:after="120"/>
            </w:pPr>
            <w:r w:rsidRPr="00E73F6F">
              <w:t xml:space="preserve">„Irland hat die IRA, Spanien die ETA, Italien die Mafia, und Frankreich hat die ENA. Im französischen Wahlkampf musste die École Nationale d'Administration als Sündenbock für alles herhalten, was in Frankreich schief läuft. Der boshafte Vergleich der Absolventen der französischen Eliteschmiede mit Gangstern und Terroristen verhallte jedoch fast ungehört. Zu oft wurde in den letzten Jahren vor Wahlen die Abschaffung dieser Institution gefordert. Traditionell bestimmen die Absolventen der 1945 als Verwaltungshochschule konzipierten ENA die Geschicke des Landes: J. Chirac, A. Juppé, L. Jospin und P. Séguin. Nur das »richtige« Diplom ist die Eintrittskarte zu hohen Ämtern. Auch an der Spitze von weit über 50% der großen französischen Unternehmen (Renault, Peugeot-Citroen) sitzen ENA-Absolventen. In Deutschland hingegen wird ein Drittel der Großunternehmen von Autodidakten geführt, die ihre Karriere oft als Lehrlinge begonnen haben. Der innerbetriebliche Aufstieg zum Manager ist in Frankreich eher selten, die Wirtschaft rekrutiert ihre Führungskräfte meist aus dem Staatspersonal. Da fachliche Kompetenz kaum gefragt ist, bringt ein Enarch andere Qualitäten ins Spiel: sein Adressbuch und Kontakte zu ehemaligen Kommilitonen, die an den Schaltstellen der Macht sitzen. Der Streit um die ENA entzündet sich deshalb nicht an Ausbildungsinhalten oder dem strengen Selektionsritus, sondern am Geist, den die Schule repräsentiert. Ausgerechnet Frankreich, das stolz republikanische Bildungsideale verkündet, hat ein statisches Modell geschaffen, das die Eliten von Generation zu Generation reproduziert. Die rund 5.400 Enarchen haben einen Esprit de Corps entwickelt. Trotz unterschiedlicher politischer Couleur unterscheiden sie sich in Diktion und Denkschemata nur wenig. In den Augen der Bevölkerung bilden sie eine unantastbare Kaste, deren Mitglieder gerne unter sich bleiben.“ </w:t>
            </w:r>
          </w:p>
          <w:p w14:paraId="10F78E38" w14:textId="77777777" w:rsidR="00FF7799" w:rsidRPr="00E73F6F" w:rsidRDefault="00FF7799" w:rsidP="006B46AB">
            <w:pPr>
              <w:pStyle w:val="Standardklein"/>
              <w:spacing w:before="120" w:after="120"/>
              <w:jc w:val="right"/>
            </w:pPr>
            <w:r w:rsidRPr="00E73F6F">
              <w:t xml:space="preserve">Tratner </w:t>
            </w:r>
            <w:r w:rsidR="006B46AB">
              <w:t>(</w:t>
            </w:r>
            <w:r w:rsidRPr="00E73F6F">
              <w:t>1997, S.13)</w:t>
            </w:r>
          </w:p>
        </w:tc>
      </w:tr>
    </w:tbl>
    <w:p w14:paraId="1B37C5AE" w14:textId="77777777" w:rsidR="00FF7799" w:rsidRPr="00E73F6F" w:rsidRDefault="00FF7799" w:rsidP="00862DBA">
      <w:pPr>
        <w:spacing w:before="119"/>
        <w:jc w:val="both"/>
        <w:rPr>
          <w:sz w:val="24"/>
          <w:szCs w:val="24"/>
        </w:rPr>
      </w:pPr>
    </w:p>
    <w:p w14:paraId="45A7610D" w14:textId="77777777" w:rsidR="00FF7799" w:rsidRDefault="00FF7799" w:rsidP="003B4617">
      <w:pPr>
        <w:pStyle w:val="StandardText"/>
      </w:pPr>
      <w:r w:rsidRPr="00E73F6F">
        <w:t>Den Erstsemestern der Eliteschulen wird Machtdistanz durch ‘bizutage‘ demonstriert. Sinn dieses Initiationsrituals ist es, den Neulingen Korpsgeist zu vermitteln und das Gefühl, etwas Besonderes zu sein. Letztlich besteht das Ziel im Aufbau einer sozialen Elite sowie dem Erhalt von Hierarchie, Befehl und Gehorsam (vgl. Larguèze 1995).</w:t>
      </w:r>
    </w:p>
    <w:p w14:paraId="41431C72" w14:textId="77777777" w:rsidR="006B46AB" w:rsidRPr="00E73F6F" w:rsidRDefault="006B46AB" w:rsidP="003B4617">
      <w:pPr>
        <w:pStyle w:val="StandardText"/>
      </w:pPr>
    </w:p>
    <w:p w14:paraId="46A70A65" w14:textId="77777777" w:rsidR="00FF7799" w:rsidRPr="00E73F6F" w:rsidRDefault="00FF7799" w:rsidP="00862DBA">
      <w:pPr>
        <w:widowControl/>
        <w:autoSpaceDE/>
        <w:autoSpaceDN/>
        <w:jc w:val="both"/>
        <w:rPr>
          <w:sz w:val="24"/>
          <w:szCs w:val="24"/>
          <w:lang w:eastAsia="de-DE"/>
        </w:rPr>
      </w:pPr>
    </w:p>
    <w:tbl>
      <w:tblPr>
        <w:tblW w:w="5000" w:type="pct"/>
        <w:tblBorders>
          <w:top w:val="single" w:sz="4" w:space="0" w:color="auto"/>
          <w:left w:val="single" w:sz="4" w:space="0" w:color="auto"/>
          <w:bottom w:val="single" w:sz="4" w:space="0" w:color="auto"/>
          <w:right w:val="single" w:sz="4" w:space="0" w:color="auto"/>
        </w:tblBorders>
        <w:tblCellMar>
          <w:left w:w="85" w:type="dxa"/>
          <w:right w:w="85" w:type="dxa"/>
        </w:tblCellMar>
        <w:tblLook w:val="0000" w:firstRow="0" w:lastRow="0" w:firstColumn="0" w:lastColumn="0" w:noHBand="0" w:noVBand="0"/>
      </w:tblPr>
      <w:tblGrid>
        <w:gridCol w:w="9062"/>
      </w:tblGrid>
      <w:tr w:rsidR="00FF7799" w:rsidRPr="00E73F6F" w14:paraId="5CC3DE82" w14:textId="77777777" w:rsidTr="006B46AB">
        <w:trPr>
          <w:trHeight w:val="299"/>
        </w:trPr>
        <w:tc>
          <w:tcPr>
            <w:tcW w:w="5000" w:type="pct"/>
            <w:shd w:val="clear" w:color="auto" w:fill="DEEAF6" w:themeFill="accent1" w:themeFillTint="33"/>
          </w:tcPr>
          <w:p w14:paraId="11469B63" w14:textId="77777777" w:rsidR="00FF7799" w:rsidRPr="00E73F6F" w:rsidRDefault="00FF7799" w:rsidP="006B46AB">
            <w:pPr>
              <w:pStyle w:val="Standardklein"/>
              <w:spacing w:before="120" w:after="120"/>
              <w:jc w:val="center"/>
              <w:rPr>
                <w:b/>
              </w:rPr>
            </w:pPr>
            <w:r w:rsidRPr="00E73F6F">
              <w:rPr>
                <w:b/>
              </w:rPr>
              <w:t>Bizutage: Tour der Leiden</w:t>
            </w:r>
          </w:p>
        </w:tc>
      </w:tr>
      <w:tr w:rsidR="00FF7799" w:rsidRPr="00E73F6F" w14:paraId="63611E3B" w14:textId="77777777" w:rsidTr="006B46AB">
        <w:tc>
          <w:tcPr>
            <w:tcW w:w="5000" w:type="pct"/>
            <w:shd w:val="clear" w:color="auto" w:fill="DEEAF6" w:themeFill="accent1" w:themeFillTint="33"/>
          </w:tcPr>
          <w:p w14:paraId="613C0E3F" w14:textId="77777777" w:rsidR="0089503B" w:rsidRPr="00E73F6F" w:rsidRDefault="00FF7799" w:rsidP="0089503B">
            <w:pPr>
              <w:pStyle w:val="Standardklein"/>
              <w:spacing w:before="120" w:after="120"/>
            </w:pPr>
            <w:r w:rsidRPr="00E73F6F">
              <w:t xml:space="preserve">„Zu den eher harmlosen Bräuchen gehört es, die Erstsemester im Gänsemarsch halbnackt und gefedert durch die Stadt zu treiben. Der ehemalige Staatspräsident G. d'Estaing sagt im Rückblick, er habe sich als gefederte Ente köstlich amüsiert. In vielen Bildungsanstalten wird heute noch für die ‘bizuts‘ ein Mix aus Tierfutter, Kot und Lebertran gebraut. Besonders berüchtigt ist die wichtigste Ingenieur-Hochschule Arts et Métiers, wo die </w:t>
            </w:r>
            <w:r w:rsidRPr="00E73F6F">
              <w:lastRenderedPageBreak/>
              <w:t xml:space="preserve">Erniedrigungs-Tour fast zwei Monate dauert. Wer sich den Schikanen nicht unterwirft, wird nicht in die Gemeinschaft aufgenommen. Die meisten lassen sich in der Hoffnung darauf ein, dass sich dies später einmal auszahlen wird.“ </w:t>
            </w:r>
          </w:p>
          <w:p w14:paraId="57FB6BBD" w14:textId="77777777" w:rsidR="00FF7799" w:rsidRPr="00E73F6F" w:rsidRDefault="00FF7799" w:rsidP="006B46AB">
            <w:pPr>
              <w:pStyle w:val="Standardklein"/>
              <w:spacing w:before="120" w:after="120"/>
              <w:jc w:val="right"/>
            </w:pPr>
            <w:r w:rsidRPr="00E73F6F">
              <w:t xml:space="preserve">o.V. </w:t>
            </w:r>
            <w:r w:rsidR="006B46AB">
              <w:t>(</w:t>
            </w:r>
            <w:r w:rsidRPr="00E73F6F">
              <w:t>1997, S.12)</w:t>
            </w:r>
          </w:p>
        </w:tc>
      </w:tr>
    </w:tbl>
    <w:p w14:paraId="1FD19ED8" w14:textId="77777777" w:rsidR="00FF7799" w:rsidRPr="00E73F6F" w:rsidRDefault="00FF7799" w:rsidP="00862DBA">
      <w:pPr>
        <w:widowControl/>
        <w:autoSpaceDE/>
        <w:autoSpaceDN/>
        <w:jc w:val="both"/>
        <w:rPr>
          <w:sz w:val="24"/>
          <w:szCs w:val="24"/>
          <w:lang w:eastAsia="de-DE"/>
        </w:rPr>
      </w:pPr>
    </w:p>
    <w:p w14:paraId="47C77D0A" w14:textId="77777777" w:rsidR="00FF7799" w:rsidRPr="006B46AB" w:rsidRDefault="00FF7799" w:rsidP="005A6636">
      <w:pPr>
        <w:pStyle w:val="StandardTextkursiv"/>
        <w:rPr>
          <w:i w:val="0"/>
        </w:rPr>
      </w:pPr>
      <w:r w:rsidRPr="006B46AB">
        <w:rPr>
          <w:i w:val="0"/>
        </w:rPr>
        <w:t>3.2 Bedeutung für das Arbeitsleben</w:t>
      </w:r>
    </w:p>
    <w:p w14:paraId="4B14C7CB" w14:textId="77777777" w:rsidR="00FF7799" w:rsidRPr="00E73F6F" w:rsidRDefault="00FF7799" w:rsidP="005A6636">
      <w:pPr>
        <w:pStyle w:val="StandardTextkursiv"/>
      </w:pPr>
      <w:r w:rsidRPr="00E73F6F">
        <w:t xml:space="preserve">Einkommensgefälle </w:t>
      </w:r>
    </w:p>
    <w:p w14:paraId="77418472" w14:textId="77777777" w:rsidR="00FF7799" w:rsidRPr="00E73F6F" w:rsidRDefault="00FF7799" w:rsidP="00862DBA">
      <w:pPr>
        <w:spacing w:before="119"/>
        <w:jc w:val="both"/>
        <w:rPr>
          <w:rStyle w:val="StandardTextZchn1"/>
        </w:rPr>
      </w:pPr>
      <w:r w:rsidRPr="00E73F6F">
        <w:rPr>
          <w:sz w:val="24"/>
          <w:szCs w:val="24"/>
        </w:rPr>
        <w:t xml:space="preserve">Anders als </w:t>
      </w:r>
      <w:r w:rsidRPr="00E73F6F">
        <w:rPr>
          <w:rStyle w:val="StandardTextZchn1"/>
        </w:rPr>
        <w:t>Nicht-Europäer (z.B. Panama: PDI = 95, Malaysia = 104) lehnen Europäer (z.B. Österreich: PDI = 11, Dänemark = 18, Schweiz = 34, Deutschland = 35) Machtdistanz im Regelfall ab. Aber auch innerhalb Europäischen Union herrscht Ungleichheit, sogar mit wachsender Tendenz, wie sich am Beispiel des Einkommensgefälles nachweisen lässt. Diese Form von Ungleichheit wird üblicherweise mithilfe des Gini-Koeffizienten quantifiziert. Bei …</w:t>
      </w:r>
    </w:p>
    <w:p w14:paraId="2782F11E" w14:textId="77777777" w:rsidR="00FF7799" w:rsidRPr="00E73F6F" w:rsidRDefault="00FF7799" w:rsidP="00F62D25">
      <w:pPr>
        <w:pStyle w:val="StandardTextAufzhlung"/>
        <w:ind w:left="426"/>
      </w:pPr>
      <w:r w:rsidRPr="00E73F6F">
        <w:t xml:space="preserve">vollkommener Gleichverteilung (d.h. alle Mitglieder einer Gesellschaft verdienen gleich viel) beträgt dieses Konzentrationsmaß „Null“ und bei </w:t>
      </w:r>
    </w:p>
    <w:p w14:paraId="6568CE5C" w14:textId="77777777" w:rsidR="00FF7799" w:rsidRPr="00E73F6F" w:rsidRDefault="00FF7799" w:rsidP="00F62D25">
      <w:pPr>
        <w:pStyle w:val="StandardTextAufzhlung"/>
        <w:ind w:left="426"/>
      </w:pPr>
      <w:r w:rsidRPr="00E73F6F">
        <w:t xml:space="preserve">vollkommener Ungleichverteilung bzw. maximaler Konzentration (d.h. ein Mitglied verdient alles, die übrigen nichts) „Eins“ (vgl. Gini 1921). </w:t>
      </w:r>
    </w:p>
    <w:p w14:paraId="00C17DB0" w14:textId="77777777" w:rsidR="00FF7799" w:rsidRPr="00E73F6F" w:rsidRDefault="00FF7799" w:rsidP="00862DBA">
      <w:pPr>
        <w:spacing w:before="119"/>
        <w:jc w:val="both"/>
        <w:rPr>
          <w:sz w:val="24"/>
          <w:szCs w:val="24"/>
        </w:rPr>
      </w:pPr>
      <w:r w:rsidRPr="00E73F6F">
        <w:rPr>
          <w:sz w:val="24"/>
          <w:szCs w:val="24"/>
        </w:rPr>
        <w:t xml:space="preserve">In den </w:t>
      </w:r>
      <w:r w:rsidRPr="00E73F6F">
        <w:rPr>
          <w:rStyle w:val="StandardTextZchn1"/>
        </w:rPr>
        <w:t>1980er-Jahren war Schweden das Land mit der gleichmäßigsten Einkommensverteilung (G = 0,20), während in Griechenland vergleichsweise starke Unterschiede bestanden (G = 0,34). Mehr als 20 Jahre später wies der Human Development Report 2008 der Vereinten Nationen Norwegen und Dänemark als die Länder mit den geringsten (G = 0,25) und Großbritannien sowie Italien als die Länder mit den größten Einkommensunterschieden innerhalb der Union</w:t>
      </w:r>
      <w:r w:rsidRPr="00E73F6F">
        <w:rPr>
          <w:sz w:val="24"/>
          <w:szCs w:val="24"/>
        </w:rPr>
        <w:t xml:space="preserve"> aus (G = 0,36). Spitzenreiter der OECD-Rangskala aber waren Mexiko, Türkei und USA (vgl. Abb. 1): Dort herrscht besonders große Ungleichheit (vgl. Kuhr 2011).</w:t>
      </w:r>
    </w:p>
    <w:p w14:paraId="19FF6962" w14:textId="77777777" w:rsidR="00FF7799" w:rsidRPr="00E73F6F" w:rsidRDefault="00FF7799" w:rsidP="00862DBA">
      <w:pPr>
        <w:widowControl/>
        <w:autoSpaceDE/>
        <w:autoSpaceDN/>
        <w:jc w:val="both"/>
        <w:rPr>
          <w:sz w:val="24"/>
          <w:szCs w:val="24"/>
          <w:lang w:eastAsia="de-DE"/>
        </w:rPr>
      </w:pPr>
    </w:p>
    <w:p w14:paraId="767AA107" w14:textId="77777777" w:rsidR="00FF7799" w:rsidRPr="00C76DC3" w:rsidRDefault="00FF7799" w:rsidP="003B4617">
      <w:pPr>
        <w:pStyle w:val="BeschriftungTab"/>
        <w:rPr>
          <w:i/>
          <w:iCs/>
        </w:rPr>
      </w:pPr>
      <w:r w:rsidRPr="00C76DC3">
        <w:rPr>
          <w:i/>
          <w:iCs/>
        </w:rPr>
        <w:t>Abb. 1: Entwicklung des Gini-Koeffizienten (1985-2008)</w:t>
      </w:r>
    </w:p>
    <w:p w14:paraId="5980795F" w14:textId="77777777" w:rsidR="0022698D" w:rsidRDefault="0022698D" w:rsidP="003B4617">
      <w:pPr>
        <w:pStyle w:val="BeschriftungTab"/>
      </w:pPr>
    </w:p>
    <w:p w14:paraId="30BD226E" w14:textId="77777777" w:rsidR="0022698D" w:rsidRPr="00E73F6F" w:rsidRDefault="0022698D" w:rsidP="003B4617">
      <w:pPr>
        <w:pStyle w:val="BeschriftungTab"/>
      </w:pPr>
      <w:r>
        <w:rPr>
          <w:noProof/>
        </w:rPr>
        <w:lastRenderedPageBreak/>
        <w:drawing>
          <wp:inline distT="0" distB="0" distL="0" distR="0" wp14:anchorId="241FBD3D" wp14:editId="70AB935E">
            <wp:extent cx="5652770" cy="4023654"/>
            <wp:effectExtent l="0" t="0" r="5080" b="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66167" cy="4033190"/>
                    </a:xfrm>
                    <a:prstGeom prst="rect">
                      <a:avLst/>
                    </a:prstGeom>
                    <a:noFill/>
                  </pic:spPr>
                </pic:pic>
              </a:graphicData>
            </a:graphic>
          </wp:inline>
        </w:drawing>
      </w:r>
    </w:p>
    <w:p w14:paraId="62DEA588" w14:textId="77777777" w:rsidR="00FF7799" w:rsidRPr="00E73F6F" w:rsidRDefault="00FF7799" w:rsidP="0067602F">
      <w:pPr>
        <w:pStyle w:val="Quellen"/>
      </w:pPr>
      <w:r w:rsidRPr="00E73F6F">
        <w:t>Quelle: OECD.</w:t>
      </w:r>
    </w:p>
    <w:p w14:paraId="12814EDE" w14:textId="77777777" w:rsidR="00FF7799" w:rsidRPr="00E73F6F" w:rsidRDefault="00FF7799" w:rsidP="00862DBA">
      <w:pPr>
        <w:widowControl/>
        <w:autoSpaceDE/>
        <w:autoSpaceDN/>
        <w:jc w:val="both"/>
        <w:rPr>
          <w:sz w:val="24"/>
          <w:szCs w:val="24"/>
          <w:lang w:eastAsia="de-DE"/>
        </w:rPr>
      </w:pPr>
    </w:p>
    <w:p w14:paraId="05BB42D0" w14:textId="77777777" w:rsidR="00FF7799" w:rsidRPr="00E73F6F" w:rsidRDefault="00FF7799" w:rsidP="005A6636">
      <w:pPr>
        <w:pStyle w:val="StandardTextkursiv"/>
      </w:pPr>
      <w:r w:rsidRPr="00E73F6F">
        <w:t>Entscheidungsfindung &amp; Führungsstil</w:t>
      </w:r>
    </w:p>
    <w:p w14:paraId="7BFEE6D2" w14:textId="77777777" w:rsidR="00FF7799" w:rsidRDefault="00FF7799" w:rsidP="00862DBA">
      <w:pPr>
        <w:spacing w:before="119"/>
        <w:jc w:val="both"/>
        <w:rPr>
          <w:sz w:val="24"/>
          <w:szCs w:val="24"/>
        </w:rPr>
      </w:pPr>
      <w:r w:rsidRPr="00E73F6F">
        <w:rPr>
          <w:sz w:val="24"/>
          <w:szCs w:val="24"/>
        </w:rPr>
        <w:t xml:space="preserve">In Gesellschaften, die Machtungleichgewichte akzeptieren, werden Entscheidungsprozesse zentralisiert, und Mitarbeiter </w:t>
      </w:r>
      <w:r w:rsidRPr="00E73F6F">
        <w:rPr>
          <w:rStyle w:val="StandardTextZchn1"/>
        </w:rPr>
        <w:t xml:space="preserve">von ihren Vorgesetzten nicht konsultiert, wenn Entscheidungen zu treffen sind. Darüber hinaus reflektiert die Art der Beziehung zwischen Vorgesetzten und Untergebenen das Ausmaß an gesellschaftlich akzeptierter Machtdistanz: Haben Mitarbeiter relativ ungehinderten Zugang zu ihrem Vorgesetzten, wie in Dänemark bzw. Israel, oder schirmen ihn diverse Vorzimmer, persönliche Referenten und andere Insignien der Macht ab? In Guatemala, Panama und anderen machtdistanten Ländern gehen Vorgesetzte und Untergebene davon aus, dass sie „von Natur aus“ mit ungleichen Rechten und Pflichten ausgestattet sind. Dieses </w:t>
      </w:r>
      <w:r w:rsidR="00D22D27">
        <w:rPr>
          <w:rStyle w:val="StandardTextZchn1"/>
        </w:rPr>
        <w:sym w:font="Symbol" w:char="F0DE"/>
      </w:r>
      <w:r w:rsidRPr="00E73F6F">
        <w:rPr>
          <w:rStyle w:val="StandardTextZchn1"/>
        </w:rPr>
        <w:t>Weltbild korrespondiert mit dem autokratischen Führungsstil. Schweden hingegen akzeptieren Machtdistanz nicht. Abhängigkeit verstehen sie als wechselseitige Abhängigkeit und nicht als Macht des einen über den anderen. Entsprechend erwarten schwedische Mitarbeiter einen partizipativen Führungsstil (vgl. Holmberg/Åkerblom 2008, S.50ff.). Sie wollen an der Entscheidungsfindung</w:t>
      </w:r>
      <w:r w:rsidRPr="00E73F6F">
        <w:rPr>
          <w:sz w:val="24"/>
          <w:szCs w:val="24"/>
        </w:rPr>
        <w:t xml:space="preserve"> beteiligt werden. </w:t>
      </w:r>
      <w:r w:rsidR="0000202D">
        <w:rPr>
          <w:sz w:val="24"/>
          <w:szCs w:val="24"/>
        </w:rPr>
        <w:t xml:space="preserve"> </w:t>
      </w:r>
    </w:p>
    <w:p w14:paraId="7CEA0E81" w14:textId="77777777" w:rsidR="0000202D" w:rsidRPr="00E73F6F" w:rsidRDefault="0000202D" w:rsidP="00862DBA">
      <w:pPr>
        <w:spacing w:before="119"/>
        <w:jc w:val="both"/>
        <w:rPr>
          <w:sz w:val="24"/>
          <w:szCs w:val="24"/>
        </w:rPr>
      </w:pPr>
    </w:p>
    <w:p w14:paraId="3A3B73C2" w14:textId="77777777" w:rsidR="00FF7799" w:rsidRPr="00E73F6F" w:rsidRDefault="00FF7799" w:rsidP="00862DBA">
      <w:pPr>
        <w:widowControl/>
        <w:autoSpaceDE/>
        <w:autoSpaceDN/>
        <w:jc w:val="both"/>
        <w:rPr>
          <w:sz w:val="24"/>
          <w:szCs w:val="24"/>
          <w:lang w:eastAsia="de-DE"/>
        </w:rPr>
      </w:pPr>
    </w:p>
    <w:tbl>
      <w:tblPr>
        <w:tblW w:w="4994" w:type="pct"/>
        <w:tblInd w:w="5" w:type="dxa"/>
        <w:tblBorders>
          <w:top w:val="single" w:sz="4" w:space="0" w:color="auto"/>
          <w:left w:val="single" w:sz="4" w:space="0" w:color="auto"/>
          <w:bottom w:val="single" w:sz="4" w:space="0" w:color="auto"/>
          <w:right w:val="single" w:sz="4" w:space="0" w:color="auto"/>
        </w:tblBorders>
        <w:tblCellMar>
          <w:left w:w="85" w:type="dxa"/>
          <w:right w:w="85" w:type="dxa"/>
        </w:tblCellMar>
        <w:tblLook w:val="0000" w:firstRow="0" w:lastRow="0" w:firstColumn="0" w:lastColumn="0" w:noHBand="0" w:noVBand="0"/>
      </w:tblPr>
      <w:tblGrid>
        <w:gridCol w:w="9051"/>
      </w:tblGrid>
      <w:tr w:rsidR="00FF7799" w:rsidRPr="00E73F6F" w14:paraId="1B210569" w14:textId="77777777" w:rsidTr="0000202D">
        <w:trPr>
          <w:trHeight w:val="161"/>
        </w:trPr>
        <w:tc>
          <w:tcPr>
            <w:tcW w:w="5000" w:type="pct"/>
            <w:shd w:val="clear" w:color="auto" w:fill="DEEAF6" w:themeFill="accent1" w:themeFillTint="33"/>
          </w:tcPr>
          <w:p w14:paraId="15D4ADEC" w14:textId="77777777" w:rsidR="00FF7799" w:rsidRPr="00E73F6F" w:rsidRDefault="00FF7799" w:rsidP="0000202D">
            <w:pPr>
              <w:pStyle w:val="Standardklein"/>
              <w:spacing w:before="120" w:after="120"/>
              <w:jc w:val="center"/>
              <w:rPr>
                <w:b/>
              </w:rPr>
            </w:pPr>
            <w:r w:rsidRPr="00E73F6F">
              <w:rPr>
                <w:b/>
              </w:rPr>
              <w:t>Herr Gomez &amp; Herr Palmblad</w:t>
            </w:r>
          </w:p>
        </w:tc>
      </w:tr>
      <w:tr w:rsidR="00FF7799" w:rsidRPr="00E73F6F" w14:paraId="19B87596" w14:textId="77777777" w:rsidTr="0000202D">
        <w:trPr>
          <w:trHeight w:val="1555"/>
        </w:trPr>
        <w:tc>
          <w:tcPr>
            <w:tcW w:w="5000" w:type="pct"/>
            <w:shd w:val="clear" w:color="auto" w:fill="DEEAF6" w:themeFill="accent1" w:themeFillTint="33"/>
          </w:tcPr>
          <w:p w14:paraId="5CD95C58" w14:textId="77777777" w:rsidR="00FF7799" w:rsidRPr="00E73F6F" w:rsidRDefault="00FF7799" w:rsidP="00D22D27">
            <w:pPr>
              <w:pStyle w:val="Standardklein"/>
              <w:spacing w:before="120" w:after="120"/>
            </w:pPr>
            <w:r w:rsidRPr="00E73F6F">
              <w:t xml:space="preserve">„Herr Gomez arbeitet für ein südamerikanisches Unternehmen. Als Führungskraft ist er seinen Mitarbeitern hierarchisch deutlich übergeordnet und fällt die wichtigsten Entscheidungen selbst. Seine Mitarbeiter erwarten von ihm klare Anweisungen. Privilegien und Statussymbole unterstrichen (hohes Einkommen, Auto, Clubmitgliedschaft, ...) unterstreichen seine hervorgehobene Position. Seit kurzem hat G einen neuen Vorgesetzten, Herrn Palmblad aus Schweden. Er stimmt sich in vielen Fragen mit ihm ab und lässt ihn verhältnismäßig wenig spüren, dass er sein Vorgesetzter ist. G ist darüber zwar etwas verunsichert, führt aber die Offenheit seines Vorgesetzten im Wesentlichen auf die eigenen Leistungen zurück und ist mit sich sehr zufrieden. Auch nach </w:t>
            </w:r>
            <w:r w:rsidRPr="00E73F6F">
              <w:lastRenderedPageBreak/>
              <w:t>außen hin kann G seine starke Rolle im Unternehmen immer wieder demonstrieren. Denn sein neuer Vorgesetzter bleibt bei gemeinsamen Auftritten eher im Hintergrund. Allerdings wundert sich G darüber, dass P bei wichtigen Entscheidungen auch die Meinung von Herrn Fernandez, einem hierarchisch nachgeordneten Mitarbeiter von G, einholt. G überlegt, wie er damit umgehen soll, dass dadurch seine eigene Position den Mitarbeitern gegenüber untergraben wird. Auch F scheint nicht recht zu wissen, wie er sich angesichts dieser neuen Mitsprachemöglichkeit verhalten soll. Einerseits genießt er seine neue Bedeutung, andererseits fragt er sich, inwieweit er Ps Ve</w:t>
            </w:r>
            <w:r w:rsidR="00D22D27">
              <w:t>rhalten als Schwäche sehen muss</w:t>
            </w:r>
            <w:r w:rsidRPr="00E73F6F">
              <w:t xml:space="preserve">“ </w:t>
            </w:r>
            <w:r w:rsidR="00D22D27">
              <w:t>(</w:t>
            </w:r>
            <w:r w:rsidR="00D22D27" w:rsidRPr="00E73F6F">
              <w:t>Dreyer 2000, S.212)</w:t>
            </w:r>
            <w:r w:rsidR="00D22D27">
              <w:t>.</w:t>
            </w:r>
          </w:p>
        </w:tc>
      </w:tr>
    </w:tbl>
    <w:p w14:paraId="5483B842" w14:textId="77777777" w:rsidR="00FF7799" w:rsidRPr="00E73F6F" w:rsidRDefault="00FF7799" w:rsidP="00862DBA">
      <w:pPr>
        <w:spacing w:before="119"/>
        <w:jc w:val="both"/>
        <w:rPr>
          <w:sz w:val="24"/>
          <w:szCs w:val="24"/>
        </w:rPr>
      </w:pPr>
    </w:p>
    <w:p w14:paraId="5C40A1BA" w14:textId="77777777" w:rsidR="00FF7799" w:rsidRPr="00E73F6F" w:rsidRDefault="00FF7799" w:rsidP="005A6636">
      <w:pPr>
        <w:pStyle w:val="StandardTextkursiv"/>
      </w:pPr>
      <w:r w:rsidRPr="00E73F6F">
        <w:t>Funktion des Managements</w:t>
      </w:r>
    </w:p>
    <w:p w14:paraId="36895009" w14:textId="77777777" w:rsidR="00FF7799" w:rsidRPr="00E73F6F" w:rsidRDefault="00FF7799" w:rsidP="00862DBA">
      <w:pPr>
        <w:spacing w:before="119"/>
        <w:jc w:val="both"/>
        <w:rPr>
          <w:sz w:val="24"/>
          <w:szCs w:val="24"/>
        </w:rPr>
      </w:pPr>
      <w:r w:rsidRPr="00E73F6F">
        <w:rPr>
          <w:sz w:val="24"/>
          <w:szCs w:val="24"/>
        </w:rPr>
        <w:t>Entsprechend der vergleichsweise starken hierarchischen Verfassung französischer Unternehmen trägt dort das mittlere Management weniger Verantwortung als etwa in deutschen Unternehmen. Dass Entscheidungen in französischen Unternehmen üblicherweise auf einer deutlich höheren Ebene gefällt werden als in der deutschen Wirtschaft, haben u.a. die Verhandlungen über einen Kooperationsvertrag zwischen Dresdner Bank und BNP im Jahre 1993 offenbart. Während „BNP-Präsident R. Thomas sämtliche Entscheidungen alleine treffen konnte, hatte auf deutscher Seite ein Dutzend Vorstandsmitglieder ein Wörtchen mitzureden. Aus französischer Sicht wirkt dies unseriös, da nicht ganz klar ist, wer Macht- und Entscheidungsbefugnisse innerhalb des Vorstandes hat“ (Loth 2002, S.666).</w:t>
      </w:r>
    </w:p>
    <w:p w14:paraId="4CD03F96" w14:textId="77777777" w:rsidR="00FF7799" w:rsidRPr="00E73F6F" w:rsidRDefault="00FF7799" w:rsidP="00862DBA">
      <w:pPr>
        <w:widowControl/>
        <w:autoSpaceDE/>
        <w:autoSpaceDN/>
        <w:jc w:val="both"/>
        <w:rPr>
          <w:sz w:val="24"/>
          <w:szCs w:val="24"/>
          <w:lang w:eastAsia="de-DE"/>
        </w:rPr>
      </w:pPr>
    </w:p>
    <w:p w14:paraId="6C2440EB" w14:textId="77777777" w:rsidR="00FF7799" w:rsidRPr="00E73F6F" w:rsidRDefault="00FF7799" w:rsidP="00862DBA">
      <w:pPr>
        <w:widowControl/>
        <w:autoSpaceDE/>
        <w:autoSpaceDN/>
        <w:jc w:val="both"/>
        <w:rPr>
          <w:sz w:val="24"/>
          <w:szCs w:val="24"/>
          <w:lang w:eastAsia="de-DE"/>
        </w:rPr>
      </w:pPr>
    </w:p>
    <w:p w14:paraId="45DB78FF" w14:textId="77777777" w:rsidR="00FF7799" w:rsidRPr="0000202D" w:rsidRDefault="00FF7799" w:rsidP="005A6636">
      <w:pPr>
        <w:pStyle w:val="StandardTextkursiv"/>
        <w:rPr>
          <w:i w:val="0"/>
        </w:rPr>
      </w:pPr>
      <w:r w:rsidRPr="0000202D">
        <w:rPr>
          <w:i w:val="0"/>
        </w:rPr>
        <w:t>4 Auswirkungen der Tendenz zur Ungewissheitsvermeidung</w:t>
      </w:r>
    </w:p>
    <w:p w14:paraId="0FBDB1C5" w14:textId="77777777" w:rsidR="00FF7799" w:rsidRPr="0000202D" w:rsidRDefault="00FF7799" w:rsidP="005A6636">
      <w:pPr>
        <w:pStyle w:val="StandardTextkursiv"/>
        <w:rPr>
          <w:i w:val="0"/>
        </w:rPr>
      </w:pPr>
      <w:r w:rsidRPr="0000202D">
        <w:rPr>
          <w:i w:val="0"/>
        </w:rPr>
        <w:t>4.1 Bedeutung für das soziale Leben</w:t>
      </w:r>
    </w:p>
    <w:p w14:paraId="7B5991F4" w14:textId="77777777" w:rsidR="00FF7799" w:rsidRPr="00E73F6F" w:rsidRDefault="00FF7799" w:rsidP="005A6636">
      <w:pPr>
        <w:pStyle w:val="StandardTextkursiv"/>
      </w:pPr>
      <w:r w:rsidRPr="00E73F6F">
        <w:t xml:space="preserve">Fremdenfeindlichkeit </w:t>
      </w:r>
    </w:p>
    <w:p w14:paraId="3641311B" w14:textId="77777777" w:rsidR="00FF7799" w:rsidRPr="00E73F6F" w:rsidRDefault="00FF7799" w:rsidP="00862DBA">
      <w:pPr>
        <w:spacing w:before="119"/>
        <w:jc w:val="both"/>
        <w:rPr>
          <w:sz w:val="24"/>
          <w:szCs w:val="24"/>
        </w:rPr>
      </w:pPr>
      <w:r w:rsidRPr="00E73F6F">
        <w:rPr>
          <w:sz w:val="24"/>
          <w:szCs w:val="24"/>
        </w:rPr>
        <w:t>Mehr noch als die Bewohner Guatemalas (UAI = 101) und Uruguays (UAI = 100) neigen Griechen (UAI = 112) sowie Portugiesen (UAI = 104) dazu, Neuerungen abzulehnen und Andersartigkeit als Gefahr zu empfinden. Diese Disposition kann u.a. als Fremdenfeindlichkeit zu Tage treten. Wie der Eurobarometer 2000 aufzeigte, äußerten in diesem Jahr neben Deutschen vor allem Griechen und Portugiesen Vorbehalte gegen Angehörige einer anderen Nationalität, einer anderen Rasse oder eines anderen Glaubensbekenntnisses (vgl. Moschner 2000). Den Auskunftspersonen war u.a. folgende Frage gestellt worden: „Sollen alle Ausländer, auch diejenigen, die hier geboren wurden, in das Land ihrer Herkunft zurückgesandt werden?“</w:t>
      </w:r>
    </w:p>
    <w:p w14:paraId="7E05AF33" w14:textId="77777777" w:rsidR="00FF7799" w:rsidRPr="00E73F6F" w:rsidRDefault="00FF7799" w:rsidP="00862DBA">
      <w:pPr>
        <w:spacing w:before="119"/>
        <w:jc w:val="both"/>
        <w:rPr>
          <w:sz w:val="24"/>
          <w:szCs w:val="24"/>
        </w:rPr>
      </w:pPr>
    </w:p>
    <w:p w14:paraId="3B1F21ED" w14:textId="77777777" w:rsidR="00FF7799" w:rsidRPr="00E73F6F" w:rsidRDefault="00FF7799" w:rsidP="005A6636">
      <w:pPr>
        <w:pStyle w:val="StandardTextkursiv"/>
      </w:pPr>
      <w:r w:rsidRPr="00E73F6F">
        <w:t xml:space="preserve">Sicherheitsbedürfnis </w:t>
      </w:r>
    </w:p>
    <w:p w14:paraId="3465583E" w14:textId="77777777" w:rsidR="00FF7799" w:rsidRPr="00E35FFF" w:rsidRDefault="00FF7799" w:rsidP="00862DBA">
      <w:pPr>
        <w:spacing w:before="119"/>
        <w:jc w:val="both"/>
        <w:rPr>
          <w:sz w:val="24"/>
          <w:szCs w:val="24"/>
          <w:lang w:val="en-US"/>
        </w:rPr>
      </w:pPr>
      <w:r w:rsidRPr="00E73F6F">
        <w:rPr>
          <w:sz w:val="24"/>
          <w:szCs w:val="24"/>
        </w:rPr>
        <w:t xml:space="preserve">Ungewissheitsmeidende Gesellschaften verbrauchen mehr Antibiotika als andere. </w:t>
      </w:r>
      <w:r w:rsidRPr="00E35FFF">
        <w:rPr>
          <w:sz w:val="24"/>
          <w:szCs w:val="24"/>
          <w:lang w:val="en-US"/>
        </w:rPr>
        <w:t>Erklären lässt sich dies mit deren kulturbedingt hohem Sicherheitsbedürfnis. „Although many infections are self-limiting diseases and it is often good practice to ‘wait and see‘, in cultures with a high avoidance of uncertainty, physicians might feel the inner urge ’to do something’ and to fulfill the expected role of the expert who always has a solution” (Deschepper et al. 2008, S.123).</w:t>
      </w:r>
    </w:p>
    <w:p w14:paraId="2EF6FF84" w14:textId="77777777" w:rsidR="00FF7799" w:rsidRPr="00E35FFF" w:rsidRDefault="00FF7799" w:rsidP="00862DBA">
      <w:pPr>
        <w:spacing w:before="119"/>
        <w:jc w:val="both"/>
        <w:rPr>
          <w:sz w:val="24"/>
          <w:szCs w:val="24"/>
          <w:lang w:val="en-US"/>
        </w:rPr>
      </w:pPr>
    </w:p>
    <w:p w14:paraId="54B53F3F" w14:textId="77777777" w:rsidR="00FF7799" w:rsidRPr="00E73F6F" w:rsidRDefault="00FF7799" w:rsidP="005A6636">
      <w:pPr>
        <w:pStyle w:val="StandardTextkursiv"/>
      </w:pPr>
      <w:r w:rsidRPr="00E73F6F">
        <w:t>Perfektionismus</w:t>
      </w:r>
    </w:p>
    <w:p w14:paraId="48483AFD" w14:textId="77777777" w:rsidR="00FF7799" w:rsidRPr="00E73F6F" w:rsidRDefault="00FF7799" w:rsidP="00862DBA">
      <w:pPr>
        <w:spacing w:before="119"/>
        <w:jc w:val="both"/>
        <w:rPr>
          <w:sz w:val="24"/>
          <w:szCs w:val="24"/>
        </w:rPr>
      </w:pPr>
      <w:r w:rsidRPr="00E73F6F">
        <w:rPr>
          <w:sz w:val="24"/>
          <w:szCs w:val="24"/>
        </w:rPr>
        <w:t xml:space="preserve">Angehörige von unsicherheitsaversen Gesellschaften besitzen eine geringe Ambiguitätstoleranz (vgl. Hofstede 2001, S.146ff.). Dies führt bspw. dazu, dass in Deutschland und ähnlichen Ländern „Bedenkenträger“ großen Einfluss haben, im Gegensatz zu den Vereinigten Staaten, die kulturbedingt eher handlungsorientiert sind (‘can do‘). „Dort stehen die Ingenieure und Naturwissenschaftler noch heute im Mittelpunkt der kulturellen Identitätsproduktion“ (Naumann 2001, S.3). Wie allen Unsicherheitsmeidern ist den nach dem Grundsätzlichen und Absoluten </w:t>
      </w:r>
      <w:r w:rsidRPr="00E73F6F">
        <w:rPr>
          <w:sz w:val="24"/>
          <w:szCs w:val="24"/>
        </w:rPr>
        <w:lastRenderedPageBreak/>
        <w:t xml:space="preserve">strebenden Deutschen der angelsächsische Pragmatismus, die Bereitschaft, auch 90%-Lösungen zu akzeptieren, suspekt. </w:t>
      </w:r>
    </w:p>
    <w:p w14:paraId="160BD35B" w14:textId="77777777" w:rsidR="00FF7799" w:rsidRPr="00E73F6F" w:rsidRDefault="00FF7799" w:rsidP="00862DBA">
      <w:pPr>
        <w:widowControl/>
        <w:autoSpaceDE/>
        <w:autoSpaceDN/>
        <w:jc w:val="both"/>
        <w:rPr>
          <w:sz w:val="24"/>
          <w:szCs w:val="24"/>
          <w:lang w:eastAsia="de-DE"/>
        </w:rPr>
      </w:pPr>
    </w:p>
    <w:p w14:paraId="5EB7FC8F" w14:textId="77777777" w:rsidR="00FF7799" w:rsidRPr="00E73F6F" w:rsidRDefault="00FF7799" w:rsidP="005A6636">
      <w:pPr>
        <w:pStyle w:val="StandardTextkursiv"/>
      </w:pPr>
      <w:r w:rsidRPr="00E73F6F">
        <w:t xml:space="preserve">Geschenke </w:t>
      </w:r>
    </w:p>
    <w:p w14:paraId="5360E41F" w14:textId="77777777" w:rsidR="00FF7799" w:rsidRPr="00E73F6F" w:rsidRDefault="00FF7799" w:rsidP="00862DBA">
      <w:pPr>
        <w:spacing w:before="119"/>
        <w:jc w:val="both"/>
        <w:rPr>
          <w:sz w:val="24"/>
          <w:szCs w:val="24"/>
        </w:rPr>
      </w:pPr>
      <w:r w:rsidRPr="00E73F6F">
        <w:rPr>
          <w:sz w:val="24"/>
          <w:szCs w:val="24"/>
        </w:rPr>
        <w:t>Japan zählt zusammen mit Südkorea zu jenen Ländern, in denen eine starke Tendenz zur Ungewissheitsvermeidung mit einer kollektivistischen Gesellschaftsstruktur einhergeht. Folglich legen diese Gesellschaften großen Wert auf die Stabilität sozialer Beziehungen, weshalb sie sich zu regelrechten „Schenk-Kulturen“ entwickelt haben</w:t>
      </w:r>
      <w:r w:rsidR="00F32C7B">
        <w:rPr>
          <w:sz w:val="24"/>
          <w:szCs w:val="24"/>
        </w:rPr>
        <w:t xml:space="preserve"> (</w:t>
      </w:r>
      <w:r w:rsidR="00F32C7B">
        <w:rPr>
          <w:sz w:val="24"/>
          <w:szCs w:val="24"/>
        </w:rPr>
        <w:sym w:font="Symbol" w:char="F0DE"/>
      </w:r>
      <w:r w:rsidR="00F32C7B">
        <w:rPr>
          <w:sz w:val="24"/>
          <w:szCs w:val="24"/>
        </w:rPr>
        <w:t xml:space="preserve"> Geschenk)</w:t>
      </w:r>
      <w:r w:rsidRPr="00E73F6F">
        <w:rPr>
          <w:sz w:val="24"/>
          <w:szCs w:val="24"/>
        </w:rPr>
        <w:t xml:space="preserve">. „Geschenke erhalten die Freundschaft.“ Überträgt man das deutsche Sprichwort auf den konfuzianischen Kulturkreis, dann müsste es heißen: Geschenke festigen zum einen Beziehungen und bestätigen zum anderen die bestehende soziale Hierarchie bzw. signalisieren diese durch eine ausgeklügelte Symbolsprache (vgl. Müller/Gelbrich 2014, S.183f.). </w:t>
      </w:r>
    </w:p>
    <w:p w14:paraId="471C61DD" w14:textId="77777777" w:rsidR="00FF7799" w:rsidRPr="00E73F6F" w:rsidRDefault="00FF7799" w:rsidP="00862DBA">
      <w:pPr>
        <w:spacing w:before="119"/>
        <w:jc w:val="both"/>
        <w:rPr>
          <w:sz w:val="24"/>
          <w:szCs w:val="24"/>
        </w:rPr>
      </w:pPr>
    </w:p>
    <w:p w14:paraId="26E324A4" w14:textId="77777777" w:rsidR="00FF7799" w:rsidRPr="00684099" w:rsidRDefault="00FF7799" w:rsidP="0000202D">
      <w:pPr>
        <w:pStyle w:val="StandardTextkursiv"/>
        <w:pBdr>
          <w:top w:val="single" w:sz="4" w:space="1" w:color="auto"/>
          <w:left w:val="single" w:sz="4" w:space="4" w:color="auto"/>
          <w:bottom w:val="single" w:sz="4" w:space="1" w:color="auto"/>
          <w:right w:val="single" w:sz="4" w:space="4" w:color="auto"/>
        </w:pBdr>
        <w:shd w:val="clear" w:color="auto" w:fill="DEEAF6" w:themeFill="accent1" w:themeFillTint="33"/>
        <w:jc w:val="center"/>
        <w:rPr>
          <w:b/>
          <w:i w:val="0"/>
          <w:sz w:val="20"/>
        </w:rPr>
      </w:pPr>
      <w:r w:rsidRPr="00684099">
        <w:rPr>
          <w:b/>
          <w:i w:val="0"/>
          <w:sz w:val="20"/>
        </w:rPr>
        <w:t>Teure Geschenke</w:t>
      </w:r>
    </w:p>
    <w:p w14:paraId="73017ABF" w14:textId="77777777" w:rsidR="00F32C7B" w:rsidRPr="00684099" w:rsidRDefault="00FF7799" w:rsidP="0000202D">
      <w:pPr>
        <w:pBdr>
          <w:top w:val="single" w:sz="4" w:space="1" w:color="auto"/>
          <w:left w:val="single" w:sz="4" w:space="4" w:color="auto"/>
          <w:bottom w:val="single" w:sz="4" w:space="1" w:color="auto"/>
          <w:right w:val="single" w:sz="4" w:space="4" w:color="auto"/>
        </w:pBdr>
        <w:shd w:val="clear" w:color="auto" w:fill="DEEAF6" w:themeFill="accent1" w:themeFillTint="33"/>
        <w:spacing w:before="119"/>
        <w:jc w:val="both"/>
        <w:rPr>
          <w:sz w:val="20"/>
          <w:szCs w:val="20"/>
        </w:rPr>
      </w:pPr>
      <w:r w:rsidRPr="00684099">
        <w:rPr>
          <w:sz w:val="20"/>
          <w:szCs w:val="20"/>
        </w:rPr>
        <w:t>„Ein wichtiges Ritual des chinesischen Alltags ist die Beziehungspflege. Dazu gehören Geschenke, Aufmerksamkeiten, in rote Kuverts verpacktes Bargeld. [… Die Cousine der Journalistin Fu Daren …] gibt für Geschenke jährlich 40.000 Yuan aus, umgerechnet fast 4.740 Euro, das ist fast die Hälfte ihres Jahresbudgets. Selbst Menschen, die sie nur flüchtig kennt, muss die Cousine 200 Yuan zum Geburtstag schenken. Hat der Chef Geburtstag, müssen es mindestens 1.000 Yuan sein. Und damit nicht genug. Anlässe gibt es unzählige: Hochzeit, Begräbnis, Neujahr, das Kind wird einen Monat alt, kommt auf die Uni oder geht zum Studieren ins Ausland. Und das ist nur das Beziehungsgeflecht der Cousine. Ihr Mann pflegt sein eigenes</w:t>
      </w:r>
      <w:r w:rsidR="00F32C7B" w:rsidRPr="00684099">
        <w:rPr>
          <w:sz w:val="20"/>
          <w:szCs w:val="20"/>
        </w:rPr>
        <w:t>.</w:t>
      </w:r>
      <w:r w:rsidRPr="00684099">
        <w:rPr>
          <w:sz w:val="20"/>
          <w:szCs w:val="20"/>
        </w:rPr>
        <w:t>“</w:t>
      </w:r>
    </w:p>
    <w:p w14:paraId="1ACEE30E" w14:textId="77777777" w:rsidR="00FF7799" w:rsidRPr="00684099" w:rsidRDefault="00F32C7B" w:rsidP="00F32C7B">
      <w:pPr>
        <w:pBdr>
          <w:top w:val="single" w:sz="4" w:space="1" w:color="auto"/>
          <w:left w:val="single" w:sz="4" w:space="4" w:color="auto"/>
          <w:bottom w:val="single" w:sz="4" w:space="1" w:color="auto"/>
          <w:right w:val="single" w:sz="4" w:space="4" w:color="auto"/>
        </w:pBdr>
        <w:shd w:val="clear" w:color="auto" w:fill="DEEAF6" w:themeFill="accent1" w:themeFillTint="33"/>
        <w:spacing w:before="119"/>
        <w:jc w:val="right"/>
        <w:rPr>
          <w:sz w:val="20"/>
          <w:szCs w:val="20"/>
        </w:rPr>
      </w:pPr>
      <w:r w:rsidRPr="00684099">
        <w:rPr>
          <w:sz w:val="20"/>
          <w:szCs w:val="20"/>
        </w:rPr>
        <w:t xml:space="preserve"> </w:t>
      </w:r>
      <w:r w:rsidR="00FF7799" w:rsidRPr="00684099">
        <w:rPr>
          <w:sz w:val="20"/>
          <w:szCs w:val="20"/>
        </w:rPr>
        <w:t xml:space="preserve">Köckritz </w:t>
      </w:r>
      <w:r w:rsidRPr="00684099">
        <w:rPr>
          <w:sz w:val="20"/>
          <w:szCs w:val="20"/>
        </w:rPr>
        <w:t>(</w:t>
      </w:r>
      <w:r w:rsidR="00FF7799" w:rsidRPr="00684099">
        <w:rPr>
          <w:sz w:val="20"/>
          <w:szCs w:val="20"/>
        </w:rPr>
        <w:t>2014, S.10).</w:t>
      </w:r>
    </w:p>
    <w:p w14:paraId="0DE958B2" w14:textId="77777777" w:rsidR="00FF7799" w:rsidRPr="00E73F6F" w:rsidRDefault="00FF7799" w:rsidP="00862DBA">
      <w:pPr>
        <w:widowControl/>
        <w:autoSpaceDE/>
        <w:autoSpaceDN/>
        <w:jc w:val="both"/>
        <w:rPr>
          <w:sz w:val="24"/>
          <w:szCs w:val="24"/>
          <w:lang w:eastAsia="de-DE"/>
        </w:rPr>
      </w:pPr>
    </w:p>
    <w:p w14:paraId="4BFC5884" w14:textId="77777777" w:rsidR="00FF7799" w:rsidRPr="00F32C7B" w:rsidRDefault="00FF7799" w:rsidP="005A6636">
      <w:pPr>
        <w:pStyle w:val="StandardTextkursiv"/>
        <w:rPr>
          <w:i w:val="0"/>
        </w:rPr>
      </w:pPr>
      <w:r w:rsidRPr="00F32C7B">
        <w:rPr>
          <w:i w:val="0"/>
        </w:rPr>
        <w:t>4.2 Bedeutung für das Arbeitsleben</w:t>
      </w:r>
    </w:p>
    <w:p w14:paraId="2ADC8E1B" w14:textId="77777777" w:rsidR="00FF7799" w:rsidRPr="00E73F6F" w:rsidRDefault="00FF7799" w:rsidP="005A6636">
      <w:pPr>
        <w:pStyle w:val="StandardTextkursiv"/>
      </w:pPr>
      <w:r w:rsidRPr="00E73F6F">
        <w:t xml:space="preserve">Risikobereitschaft </w:t>
      </w:r>
    </w:p>
    <w:p w14:paraId="6A446697" w14:textId="77777777" w:rsidR="00FF7799" w:rsidRPr="00E73F6F" w:rsidRDefault="00FF7799" w:rsidP="00862DBA">
      <w:pPr>
        <w:spacing w:before="119"/>
        <w:jc w:val="both"/>
        <w:rPr>
          <w:sz w:val="24"/>
          <w:szCs w:val="24"/>
        </w:rPr>
      </w:pPr>
      <w:r w:rsidRPr="00E73F6F">
        <w:rPr>
          <w:sz w:val="24"/>
          <w:szCs w:val="24"/>
        </w:rPr>
        <w:t>Gemäß der DIFA-Studie „Investmentkultur in Europa“ (2005) entscheiden britische institutionelle Immobilienanleger (UAI = 35) stärker renditeorientiert, während ihre deutschen Kollegen (UAI = 65) vor allem sicherheitsorientiert und daher weniger bestrebt sind, möglichst kurzfristig ihre Rendite zu maximieren.</w:t>
      </w:r>
    </w:p>
    <w:p w14:paraId="5D20A551" w14:textId="77777777" w:rsidR="00FF7799" w:rsidRPr="00E73F6F" w:rsidRDefault="00FF7799" w:rsidP="00862DBA">
      <w:pPr>
        <w:spacing w:before="119"/>
        <w:jc w:val="both"/>
        <w:rPr>
          <w:sz w:val="24"/>
          <w:szCs w:val="24"/>
        </w:rPr>
      </w:pPr>
    </w:p>
    <w:p w14:paraId="4872F4EF" w14:textId="77777777" w:rsidR="00FF7799" w:rsidRPr="00E73F6F" w:rsidRDefault="00FF7799" w:rsidP="005A6636">
      <w:pPr>
        <w:pStyle w:val="StandardTextkursiv"/>
      </w:pPr>
      <w:r w:rsidRPr="00E73F6F">
        <w:t xml:space="preserve">Planung &amp; Unternehmensführung </w:t>
      </w:r>
    </w:p>
    <w:p w14:paraId="7D2B4CDD" w14:textId="77777777" w:rsidR="00FF7799" w:rsidRPr="00E73F6F" w:rsidRDefault="00FF7799" w:rsidP="00862DBA">
      <w:pPr>
        <w:spacing w:before="119"/>
        <w:jc w:val="both"/>
        <w:rPr>
          <w:sz w:val="24"/>
          <w:szCs w:val="24"/>
        </w:rPr>
      </w:pPr>
      <w:r w:rsidRPr="00E73F6F">
        <w:rPr>
          <w:sz w:val="24"/>
          <w:szCs w:val="24"/>
        </w:rPr>
        <w:t xml:space="preserve">Unternehmen, Manager etc., die sich durch neuartige, unsichere Situationen eher bedroht als herausgefordert fühlen, haben einen hohen Struktur-, Organisations- und Regelungsbedarf. Unsicherheitsmeider sind „Wahrheitssucher“ und ziehen eindeutige Gesetze mehrdeutigen impliziten Regeln vor. Nach Ansicht von Hofstede/Bond (1988) hat sich dieser Zusammenhang ab Mitte des 20. Jahrhunderts für die unsicherheitsaversen mitteleuropäischen Länder zunehmend als Nachteil erwiesen. Denn das, was für Naturwissenschaftler das analytische Denkvermögen ist, sei für Geisteswissenschaftler die Synthese. Manager, Politiker etc. müssten nicht unbedingt wissen, was „wahr“ oder „richtig“ ist, sondern was „funktioniert“. Das Management ostasiatischer Unternehmen praktiziere diesen synthetischen Denkstil. Darüber hinaus verfüge es über die Fähigkeit, Menschen mit unterschiedlichen Denkstilen auf ein gemeinsames Ziel hin auszurichten (vgl. Reber 1993, Sp.1902). </w:t>
      </w:r>
    </w:p>
    <w:p w14:paraId="0130A48A" w14:textId="77777777" w:rsidR="00FF7799" w:rsidRPr="00E73F6F" w:rsidRDefault="00FF7799" w:rsidP="00862DBA">
      <w:pPr>
        <w:spacing w:before="119"/>
        <w:jc w:val="both"/>
        <w:rPr>
          <w:sz w:val="24"/>
          <w:szCs w:val="24"/>
        </w:rPr>
      </w:pPr>
    </w:p>
    <w:p w14:paraId="4224E520" w14:textId="77777777" w:rsidR="00FF7799" w:rsidRPr="00E73F6F" w:rsidRDefault="00FF7799" w:rsidP="005A6636">
      <w:pPr>
        <w:pStyle w:val="StandardTextkursiv"/>
      </w:pPr>
      <w:r w:rsidRPr="00E73F6F">
        <w:t xml:space="preserve">Unternehmensgründung </w:t>
      </w:r>
    </w:p>
    <w:p w14:paraId="1C76CFCD" w14:textId="77777777" w:rsidR="00FF7799" w:rsidRPr="00E73F6F" w:rsidRDefault="00FF7799" w:rsidP="0067602F">
      <w:pPr>
        <w:pStyle w:val="StandardText"/>
      </w:pPr>
      <w:r w:rsidRPr="00E73F6F">
        <w:t xml:space="preserve">Unsicherheitsmeidende Gesellschaften, Unternehmen etc. sind im Allgemeinen bestrebt, undurchsichtige bzw. mehrdeutige Situationen bzw. Ereignisse zu vermeiden oder zu umgehen, </w:t>
      </w:r>
      <w:r w:rsidRPr="00E73F6F">
        <w:lastRenderedPageBreak/>
        <w:t xml:space="preserve">indem sie eine Vielzahl von Normen, Gesetzen, Grundsätzen, Leitlinien etc. einführen. Gesellschaften, die Unsicherheitsvermeidung mit Kollektivismus verbinden, dokumentieren diese Regeln zumeist nicht schriftlich, sondern kommunizieren sie vorzugsweise implizit (vgl. Hofstede 1993, S.149). Die hohe Dichte impliziter und expliziter Regeln sorgt dafür, dass in solchen Ländern wenig Spielraum für unternehmerisches Handeln besteht und die Gründung eines Unternehmens sehr risikoreich erscheint (vgl. Abb. 2). </w:t>
      </w:r>
    </w:p>
    <w:p w14:paraId="150E9BE1" w14:textId="77777777" w:rsidR="00184324" w:rsidRPr="00E73F6F" w:rsidRDefault="00184324" w:rsidP="0067602F">
      <w:pPr>
        <w:pStyle w:val="StandardText"/>
      </w:pPr>
    </w:p>
    <w:p w14:paraId="6C7EC740" w14:textId="77777777" w:rsidR="00FF7799" w:rsidRPr="00C76DC3" w:rsidRDefault="00FF7799" w:rsidP="0067602F">
      <w:pPr>
        <w:pStyle w:val="BeschriftungTab"/>
        <w:rPr>
          <w:i/>
          <w:iCs/>
        </w:rPr>
      </w:pPr>
      <w:r w:rsidRPr="00C76DC3">
        <w:rPr>
          <w:i/>
          <w:iCs/>
        </w:rPr>
        <w:t>Abb. 2: Zusammenhang zwischen Ungewissheitsvermeidung und Entrepreneurship</w:t>
      </w:r>
    </w:p>
    <w:p w14:paraId="56AECB26" w14:textId="77777777" w:rsidR="0022698D" w:rsidRPr="00E73F6F" w:rsidRDefault="0022698D" w:rsidP="0067602F">
      <w:pPr>
        <w:pStyle w:val="BeschriftungTab"/>
      </w:pPr>
      <w:r>
        <w:rPr>
          <w:noProof/>
        </w:rPr>
        <w:drawing>
          <wp:inline distT="0" distB="0" distL="0" distR="0" wp14:anchorId="01415E8F" wp14:editId="43D54C85">
            <wp:extent cx="6449695" cy="5483056"/>
            <wp:effectExtent l="0" t="0" r="0" b="381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456277" cy="5488651"/>
                    </a:xfrm>
                    <a:prstGeom prst="rect">
                      <a:avLst/>
                    </a:prstGeom>
                    <a:noFill/>
                  </pic:spPr>
                </pic:pic>
              </a:graphicData>
            </a:graphic>
          </wp:inline>
        </w:drawing>
      </w:r>
    </w:p>
    <w:p w14:paraId="0AB45609" w14:textId="77777777" w:rsidR="00FF7799" w:rsidRPr="00E35FFF" w:rsidRDefault="00FF7799" w:rsidP="0067602F">
      <w:pPr>
        <w:pStyle w:val="Quellen"/>
        <w:rPr>
          <w:lang w:val="en-US"/>
        </w:rPr>
      </w:pPr>
      <w:r w:rsidRPr="00E35FFF">
        <w:rPr>
          <w:lang w:val="en-US"/>
        </w:rPr>
        <w:t>Quelle: Global Entrepreneurship Monitot 2000; iwd 27(22): 6.</w:t>
      </w:r>
    </w:p>
    <w:p w14:paraId="435559F5" w14:textId="77777777" w:rsidR="00FF7799" w:rsidRPr="00E35FFF" w:rsidRDefault="00FF7799" w:rsidP="00862DBA">
      <w:pPr>
        <w:widowControl/>
        <w:autoSpaceDE/>
        <w:autoSpaceDN/>
        <w:jc w:val="both"/>
        <w:rPr>
          <w:sz w:val="24"/>
          <w:szCs w:val="24"/>
          <w:lang w:val="en-US" w:eastAsia="de-DE"/>
        </w:rPr>
      </w:pPr>
    </w:p>
    <w:p w14:paraId="3C68D8CE" w14:textId="77777777" w:rsidR="00FF7799" w:rsidRPr="00E73F6F" w:rsidRDefault="00FF7799" w:rsidP="005A6636">
      <w:pPr>
        <w:pStyle w:val="StandardTextkursiv"/>
      </w:pPr>
      <w:r w:rsidRPr="00E73F6F">
        <w:t>Innovation</w:t>
      </w:r>
    </w:p>
    <w:p w14:paraId="1D5237A5" w14:textId="77777777" w:rsidR="00FF7799" w:rsidRPr="00E73F6F" w:rsidRDefault="00FF7799" w:rsidP="0067602F">
      <w:pPr>
        <w:pStyle w:val="StandardText"/>
      </w:pPr>
      <w:r w:rsidRPr="00E73F6F">
        <w:t xml:space="preserve">Zahlreiche Studien sprechen dafür, dass Ungewissheitstolerante überdurchschnittlich innovativ sind (vgl. Sully de Luque/Javidan 2004, S.606ff.; Shane 1995, 1993, 1992). Erklären lässt sich dies u.a. damit, dass es diesem Typus vergleichsweise </w:t>
      </w:r>
      <w:r w:rsidR="00184324" w:rsidRPr="00E73F6F">
        <w:t>leichtfällt</w:t>
      </w:r>
      <w:r w:rsidRPr="00E73F6F">
        <w:t xml:space="preserve">, abweichende bzw. ausgefallene Ideen und Verhaltensweisen zu tolerieren. Ungewissheitsmeider hingegen vertrauen auf Expertenwissen, was ihre Innovationsbereitschaft hemmen kann. Vor allem Basisinnovationen </w:t>
      </w:r>
      <w:r w:rsidRPr="00E73F6F">
        <w:lastRenderedPageBreak/>
        <w:t xml:space="preserve">sind davon betroffen. Denn, indem sie das bisherige Leben wesentlich verändern, sorgten Buchdruck, Dampfmaschine, Personal Computer oder Solarzelle – um nur einige der revolutionären Erfindungen zu nennen – zunächst primär für Unsicherheit. Deshalb lehnen Angehörige von Unsicherheit meidenden Kulturen Basisinnovationen anfangs häufig ab (vgl. Schmid 1996, S.258f.). </w:t>
      </w:r>
    </w:p>
    <w:p w14:paraId="762D827D" w14:textId="77777777" w:rsidR="00FF7799" w:rsidRPr="00E73F6F" w:rsidRDefault="00FF7799" w:rsidP="0067602F">
      <w:pPr>
        <w:pStyle w:val="StandardText"/>
      </w:pPr>
      <w:r w:rsidRPr="00E73F6F">
        <w:t xml:space="preserve">Dies musste in ihrer Frühphase auch die später so erfolgreiche deutsche Automobilwirtschaft erfahren. Zwar entwickelte G. Daimler bereits 1883 den schnelllaufenden, nicht-stationären Verbrennungsmotor. Aber das damals in Deutschland vorherrschende restriktive Verständnis von öffentlicher Ordnung sorgte dafür, dass diese Basisinnovation erst sehr viel später zu einem marktfähigen Produkt weiterentwickelt werden konnte. Die Behörden, die G. Daimlers Gesuch, mit einer einfachen Autodroschke auf den Straßen Cannstatts Fahrversuche machen zu dürfen, ablehnten, begründeten dies folgendermaßen: Dies seien lediglich „ausgefallene Ideen eines spinnerten Teufels, der mit einem Petroleum-Karren alle Welt in Gefahr bringen werde.“ Deshalb blieb dem schwäbischen Tüftler nichts </w:t>
      </w:r>
      <w:r w:rsidR="00184324" w:rsidRPr="00E73F6F">
        <w:t>Anderes</w:t>
      </w:r>
      <w:r w:rsidRPr="00E73F6F">
        <w:t xml:space="preserve"> übrig, als international tätig zu werden. Noch vor der Gründung des ersten eigenen Unternehmens vergab G. Daimler 1886 eine Lizenz zur Fertigung seines Motors nach Frankreich, später nach Großbritannien wie auch in die Vereinigten Staaten.</w:t>
      </w:r>
    </w:p>
    <w:p w14:paraId="4AF3F58A" w14:textId="77777777" w:rsidR="00FF7799" w:rsidRPr="00E73F6F" w:rsidRDefault="00FF7799" w:rsidP="0067602F">
      <w:pPr>
        <w:pStyle w:val="StandardText"/>
      </w:pPr>
    </w:p>
    <w:p w14:paraId="0C1F79FD" w14:textId="77777777" w:rsidR="00FF7799" w:rsidRPr="00E73F6F" w:rsidRDefault="00FF7799" w:rsidP="005A6636">
      <w:pPr>
        <w:pStyle w:val="StandardTextkursiv"/>
      </w:pPr>
      <w:r w:rsidRPr="00E73F6F">
        <w:t>Erfolgsgeschichte eines spinnerten Teufels</w:t>
      </w:r>
    </w:p>
    <w:p w14:paraId="2E97A3FF" w14:textId="77777777" w:rsidR="00FF7799" w:rsidRPr="00E73F6F" w:rsidRDefault="00FF7799" w:rsidP="00862DBA">
      <w:pPr>
        <w:spacing w:before="119"/>
        <w:jc w:val="both"/>
        <w:rPr>
          <w:sz w:val="24"/>
          <w:szCs w:val="24"/>
        </w:rPr>
      </w:pPr>
      <w:r w:rsidRPr="00E73F6F">
        <w:rPr>
          <w:sz w:val="24"/>
          <w:szCs w:val="24"/>
        </w:rPr>
        <w:t>„Während in der Folgezeit diese Erfindung in Deutschland in erster Linie als Antrieb für Boote einen Absatzmarkt fand, stieg Frankreich aufgrund einer regelrechten Begeisterung für Automobile und den Motorsport gegen Ende des 19. Jahrhunderts zur führenden Nation des Kraftfahrzeugbaus auf. Erst diese und in geringerem Maße auch die in den Vereinigten Staaten erzielten Erfolge lenkten das Interesse in Deutschland auf die Nutzung des Motors als Antrieb für Straßenfahrzeuge. Wohl nur aufgrund der damals noch geringen Innovationsgeschwindigkeit dürfte es der deutschen Industrie gelungen sein, in der Folgezeit Anschluss an die führenden Industrienationen zu finden“ (Oesterle 1997, S.3).</w:t>
      </w:r>
    </w:p>
    <w:p w14:paraId="0A7B3340" w14:textId="77777777" w:rsidR="00FF7799" w:rsidRDefault="00FF7799" w:rsidP="00862DBA">
      <w:pPr>
        <w:widowControl/>
        <w:autoSpaceDE/>
        <w:autoSpaceDN/>
        <w:jc w:val="both"/>
        <w:rPr>
          <w:sz w:val="24"/>
          <w:szCs w:val="24"/>
          <w:lang w:eastAsia="de-DE"/>
        </w:rPr>
      </w:pPr>
    </w:p>
    <w:p w14:paraId="3369C7E9" w14:textId="77777777" w:rsidR="0022698D" w:rsidRPr="00E73F6F" w:rsidRDefault="0022698D" w:rsidP="00862DBA">
      <w:pPr>
        <w:widowControl/>
        <w:autoSpaceDE/>
        <w:autoSpaceDN/>
        <w:jc w:val="both"/>
        <w:rPr>
          <w:sz w:val="24"/>
          <w:szCs w:val="24"/>
          <w:lang w:eastAsia="de-DE"/>
        </w:rPr>
      </w:pPr>
    </w:p>
    <w:p w14:paraId="7C270F2E" w14:textId="77777777" w:rsidR="00FF7799" w:rsidRPr="00E73F6F" w:rsidRDefault="00FF7799" w:rsidP="0067602F">
      <w:pPr>
        <w:pStyle w:val="BeschriftungTab"/>
      </w:pPr>
      <w:r w:rsidRPr="00E73F6F">
        <w:t>Tab. 2: Einfluss der Tendenz zur Ungewissheitsvermeidung auf die Gesellschaft</w:t>
      </w:r>
    </w:p>
    <w:tbl>
      <w:tblPr>
        <w:tblW w:w="5000" w:type="pct"/>
        <w:tblBorders>
          <w:top w:val="single" w:sz="4" w:space="0" w:color="auto"/>
          <w:bottom w:val="single" w:sz="4" w:space="0" w:color="auto"/>
          <w:insideH w:val="single" w:sz="4" w:space="0" w:color="auto"/>
        </w:tblBorders>
        <w:tblCellMar>
          <w:left w:w="56" w:type="dxa"/>
          <w:right w:w="56" w:type="dxa"/>
        </w:tblCellMar>
        <w:tblLook w:val="0000" w:firstRow="0" w:lastRow="0" w:firstColumn="0" w:lastColumn="0" w:noHBand="0" w:noVBand="0"/>
      </w:tblPr>
      <w:tblGrid>
        <w:gridCol w:w="4529"/>
        <w:gridCol w:w="16"/>
        <w:gridCol w:w="4527"/>
      </w:tblGrid>
      <w:tr w:rsidR="00FF7799" w:rsidRPr="00E73F6F" w14:paraId="4D11E7F4" w14:textId="77777777" w:rsidTr="00184324">
        <w:trPr>
          <w:trHeight w:val="488"/>
          <w:tblHeader/>
        </w:trPr>
        <w:tc>
          <w:tcPr>
            <w:tcW w:w="2505" w:type="pct"/>
            <w:gridSpan w:val="2"/>
            <w:tcBorders>
              <w:left w:val="nil"/>
              <w:bottom w:val="single" w:sz="4" w:space="0" w:color="auto"/>
            </w:tcBorders>
            <w:shd w:val="clear" w:color="auto" w:fill="FFC000" w:themeFill="accent4"/>
          </w:tcPr>
          <w:p w14:paraId="017E5A3D" w14:textId="77777777" w:rsidR="00FF7799" w:rsidRPr="00E73F6F" w:rsidRDefault="00FF7799" w:rsidP="00E17A9C">
            <w:pPr>
              <w:pStyle w:val="StandardText"/>
              <w:spacing w:after="120"/>
              <w:jc w:val="center"/>
              <w:rPr>
                <w:b/>
              </w:rPr>
            </w:pPr>
            <w:r w:rsidRPr="00E73F6F">
              <w:rPr>
                <w:b/>
                <w:noProof/>
              </w:rPr>
              <w:t>Gesellschaften,</w:t>
            </w:r>
            <w:r w:rsidRPr="00E73F6F">
              <w:rPr>
                <w:b/>
                <w:noProof/>
              </w:rPr>
              <w:br/>
              <w:t>die</w:t>
            </w:r>
            <w:r w:rsidRPr="00E73F6F">
              <w:rPr>
                <w:b/>
              </w:rPr>
              <w:t xml:space="preserve"> Ungewissheit akzeptieren</w:t>
            </w:r>
          </w:p>
        </w:tc>
        <w:tc>
          <w:tcPr>
            <w:tcW w:w="2495" w:type="pct"/>
            <w:tcBorders>
              <w:bottom w:val="single" w:sz="4" w:space="0" w:color="auto"/>
              <w:right w:val="nil"/>
            </w:tcBorders>
            <w:shd w:val="clear" w:color="auto" w:fill="FFC000" w:themeFill="accent4"/>
          </w:tcPr>
          <w:p w14:paraId="675899D1" w14:textId="77777777" w:rsidR="00FF7799" w:rsidRPr="00E73F6F" w:rsidRDefault="00FF7799" w:rsidP="00E17A9C">
            <w:pPr>
              <w:pStyle w:val="StandardText"/>
              <w:spacing w:after="120"/>
              <w:jc w:val="center"/>
              <w:rPr>
                <w:b/>
              </w:rPr>
            </w:pPr>
            <w:r w:rsidRPr="00E73F6F">
              <w:rPr>
                <w:b/>
                <w:noProof/>
              </w:rPr>
              <w:t xml:space="preserve">Gesellschaften, </w:t>
            </w:r>
            <w:r w:rsidRPr="00E73F6F">
              <w:rPr>
                <w:b/>
                <w:noProof/>
              </w:rPr>
              <w:br/>
              <w:t xml:space="preserve">die </w:t>
            </w:r>
            <w:r w:rsidRPr="00E73F6F">
              <w:rPr>
                <w:b/>
              </w:rPr>
              <w:t>Ungewissheit vermeiden</w:t>
            </w:r>
          </w:p>
        </w:tc>
      </w:tr>
      <w:tr w:rsidR="00FF7799" w:rsidRPr="00E73F6F" w14:paraId="65E3BBCB" w14:textId="77777777" w:rsidTr="0067602F">
        <w:trPr>
          <w:trHeight w:val="311"/>
        </w:trPr>
        <w:tc>
          <w:tcPr>
            <w:tcW w:w="5000" w:type="pct"/>
            <w:gridSpan w:val="3"/>
            <w:tcBorders>
              <w:left w:val="nil"/>
              <w:bottom w:val="nil"/>
              <w:right w:val="nil"/>
            </w:tcBorders>
          </w:tcPr>
          <w:p w14:paraId="42FC58B4" w14:textId="77777777" w:rsidR="00FF7799" w:rsidRPr="00E73F6F" w:rsidRDefault="00FF7799" w:rsidP="00E17A9C">
            <w:pPr>
              <w:pStyle w:val="StandardText"/>
              <w:spacing w:after="120"/>
              <w:jc w:val="center"/>
            </w:pPr>
            <w:r w:rsidRPr="00E73F6F">
              <w:rPr>
                <w:b/>
                <w:noProof/>
              </w:rPr>
              <w:t>Familienleben</w:t>
            </w:r>
          </w:p>
        </w:tc>
      </w:tr>
      <w:tr w:rsidR="00FF7799" w:rsidRPr="00E73F6F" w14:paraId="13E0DA52" w14:textId="77777777" w:rsidTr="0067602F">
        <w:trPr>
          <w:trHeight w:val="1702"/>
        </w:trPr>
        <w:tc>
          <w:tcPr>
            <w:tcW w:w="2505" w:type="pct"/>
            <w:gridSpan w:val="2"/>
            <w:tcBorders>
              <w:top w:val="nil"/>
              <w:left w:val="nil"/>
              <w:bottom w:val="single" w:sz="4" w:space="0" w:color="auto"/>
            </w:tcBorders>
          </w:tcPr>
          <w:p w14:paraId="6CA842BF" w14:textId="77777777" w:rsidR="00FF7799" w:rsidRPr="00E73F6F" w:rsidRDefault="00FF7799" w:rsidP="00F62D25">
            <w:pPr>
              <w:pStyle w:val="StandardTextAufzhlung"/>
              <w:ind w:left="366"/>
              <w:jc w:val="left"/>
            </w:pPr>
            <w:r w:rsidRPr="00E73F6F">
              <w:t>Lockere Verhaltensregeln für Kinder</w:t>
            </w:r>
          </w:p>
          <w:p w14:paraId="0E1577BA" w14:textId="77777777" w:rsidR="00FF7799" w:rsidRPr="00E73F6F" w:rsidRDefault="00FF7799" w:rsidP="00F62D25">
            <w:pPr>
              <w:pStyle w:val="StandardTextAufzhlung"/>
              <w:ind w:left="366"/>
              <w:jc w:val="left"/>
            </w:pPr>
            <w:r w:rsidRPr="00E73F6F">
              <w:t>„Gut und Böse, sauber und schmutzig, richtig und falsch“ sind relativ</w:t>
            </w:r>
          </w:p>
          <w:p w14:paraId="689EC20E" w14:textId="77777777" w:rsidR="00FF7799" w:rsidRPr="00E73F6F" w:rsidRDefault="00FF7799" w:rsidP="00F62D25">
            <w:pPr>
              <w:pStyle w:val="StandardTextAufzhlung"/>
              <w:ind w:left="366"/>
              <w:jc w:val="left"/>
            </w:pPr>
            <w:r w:rsidRPr="00E73F6F">
              <w:t>Abweichungen von der Norm sind interessant</w:t>
            </w:r>
          </w:p>
          <w:p w14:paraId="2D8788BA" w14:textId="77777777" w:rsidR="00FF7799" w:rsidRPr="00E73F6F" w:rsidRDefault="00FF7799" w:rsidP="00F62D25">
            <w:pPr>
              <w:pStyle w:val="StandardTextAufzhlung"/>
              <w:ind w:left="366"/>
              <w:jc w:val="left"/>
            </w:pPr>
            <w:r w:rsidRPr="00E73F6F">
              <w:t>Gelassenheit, Bequemlichkeit, Entspannung, optimistische Grundhaltung</w:t>
            </w:r>
          </w:p>
          <w:p w14:paraId="439501CA" w14:textId="77777777" w:rsidR="00FF7799" w:rsidRPr="00E73F6F" w:rsidRDefault="00FF7799" w:rsidP="00F62D25">
            <w:pPr>
              <w:pStyle w:val="StandardTextAufzhlung"/>
              <w:ind w:left="366"/>
              <w:jc w:val="left"/>
            </w:pPr>
            <w:r w:rsidRPr="00E73F6F">
              <w:t>Was nicht verboten ist, ist erlaubt</w:t>
            </w:r>
          </w:p>
        </w:tc>
        <w:tc>
          <w:tcPr>
            <w:tcW w:w="2495" w:type="pct"/>
            <w:tcBorders>
              <w:top w:val="nil"/>
              <w:bottom w:val="single" w:sz="4" w:space="0" w:color="auto"/>
              <w:right w:val="nil"/>
            </w:tcBorders>
          </w:tcPr>
          <w:p w14:paraId="46728164" w14:textId="77777777" w:rsidR="00FF7799" w:rsidRPr="00E73F6F" w:rsidRDefault="00FF7799" w:rsidP="00F62D25">
            <w:pPr>
              <w:pStyle w:val="StandardTextAufzhlung"/>
              <w:ind w:left="357"/>
              <w:jc w:val="left"/>
            </w:pPr>
            <w:r w:rsidRPr="00E73F6F">
              <w:t>Strenge Verhaltensregeln für Kinder</w:t>
            </w:r>
          </w:p>
          <w:p w14:paraId="31DABF75" w14:textId="77777777" w:rsidR="00FF7799" w:rsidRPr="00E73F6F" w:rsidRDefault="00FF7799" w:rsidP="00F62D25">
            <w:pPr>
              <w:pStyle w:val="StandardTextAufzhlung"/>
              <w:ind w:left="357"/>
              <w:jc w:val="left"/>
            </w:pPr>
            <w:r w:rsidRPr="00E73F6F">
              <w:t>„Gut und Böse, sauber und schmutzig, richtig und falsch“ sind eindeutig definiert</w:t>
            </w:r>
          </w:p>
          <w:p w14:paraId="2FEFB516" w14:textId="77777777" w:rsidR="00FF7799" w:rsidRPr="00E73F6F" w:rsidRDefault="00FF7799" w:rsidP="00F62D25">
            <w:pPr>
              <w:pStyle w:val="StandardTextAufzhlung"/>
              <w:ind w:left="357"/>
              <w:jc w:val="left"/>
            </w:pPr>
            <w:r w:rsidRPr="00E73F6F">
              <w:t>Abweichungen von der Norm sind gefährlich</w:t>
            </w:r>
          </w:p>
          <w:p w14:paraId="1A02CEB5" w14:textId="77777777" w:rsidR="00FF7799" w:rsidRPr="00E73F6F" w:rsidRDefault="00FF7799" w:rsidP="00F62D25">
            <w:pPr>
              <w:pStyle w:val="StandardTextAufzhlung"/>
              <w:ind w:left="357"/>
              <w:jc w:val="left"/>
            </w:pPr>
            <w:r w:rsidRPr="00E73F6F">
              <w:t>Ängste, Sorgen, Stress, pessimistische Grundhaltung</w:t>
            </w:r>
          </w:p>
          <w:p w14:paraId="78C0B4B1" w14:textId="77777777" w:rsidR="00FF7799" w:rsidRPr="00E73F6F" w:rsidRDefault="00FF7799" w:rsidP="00F62D25">
            <w:pPr>
              <w:pStyle w:val="StandardTextAufzhlung"/>
              <w:ind w:left="357"/>
              <w:jc w:val="left"/>
            </w:pPr>
            <w:r w:rsidRPr="00E73F6F">
              <w:t xml:space="preserve"> Was nicht erlaubt ist, ist verboten</w:t>
            </w:r>
          </w:p>
        </w:tc>
      </w:tr>
      <w:tr w:rsidR="00FF7799" w:rsidRPr="00E73F6F" w14:paraId="6E6670A5" w14:textId="77777777" w:rsidTr="0067602F">
        <w:trPr>
          <w:trHeight w:val="311"/>
        </w:trPr>
        <w:tc>
          <w:tcPr>
            <w:tcW w:w="5000" w:type="pct"/>
            <w:gridSpan w:val="3"/>
            <w:tcBorders>
              <w:left w:val="nil"/>
              <w:bottom w:val="nil"/>
              <w:right w:val="nil"/>
            </w:tcBorders>
          </w:tcPr>
          <w:p w14:paraId="62E1CF00" w14:textId="77777777" w:rsidR="00F62D25" w:rsidRDefault="00F62D25" w:rsidP="00F62D25">
            <w:pPr>
              <w:pStyle w:val="StandardTextAufzhlung"/>
              <w:numPr>
                <w:ilvl w:val="0"/>
                <w:numId w:val="0"/>
              </w:numPr>
              <w:ind w:left="1920"/>
              <w:jc w:val="center"/>
              <w:rPr>
                <w:noProof/>
              </w:rPr>
            </w:pPr>
          </w:p>
          <w:p w14:paraId="3424448C" w14:textId="46DE33D3" w:rsidR="00FF7799" w:rsidRPr="00F62D25" w:rsidRDefault="00F62D25" w:rsidP="00F62D25">
            <w:pPr>
              <w:pStyle w:val="StandardTextAufzhlung"/>
              <w:numPr>
                <w:ilvl w:val="0"/>
                <w:numId w:val="0"/>
              </w:numPr>
              <w:ind w:left="1920"/>
              <w:rPr>
                <w:b/>
                <w:bCs/>
              </w:rPr>
            </w:pPr>
            <w:r>
              <w:rPr>
                <w:noProof/>
              </w:rPr>
              <w:t xml:space="preserve">                                       </w:t>
            </w:r>
            <w:r w:rsidR="00FF7799" w:rsidRPr="00F62D25">
              <w:rPr>
                <w:b/>
                <w:bCs/>
                <w:noProof/>
              </w:rPr>
              <w:t>Schule</w:t>
            </w:r>
          </w:p>
        </w:tc>
      </w:tr>
      <w:tr w:rsidR="00FF7799" w:rsidRPr="00E73F6F" w14:paraId="1BD1D694" w14:textId="77777777" w:rsidTr="0067602F">
        <w:trPr>
          <w:trHeight w:val="1551"/>
        </w:trPr>
        <w:tc>
          <w:tcPr>
            <w:tcW w:w="2505" w:type="pct"/>
            <w:gridSpan w:val="2"/>
            <w:tcBorders>
              <w:top w:val="nil"/>
              <w:left w:val="nil"/>
              <w:bottom w:val="single" w:sz="4" w:space="0" w:color="auto"/>
            </w:tcBorders>
          </w:tcPr>
          <w:p w14:paraId="6AFC5636" w14:textId="77777777" w:rsidR="00FF7799" w:rsidRPr="00E73F6F" w:rsidRDefault="00FF7799" w:rsidP="00F62D25">
            <w:pPr>
              <w:pStyle w:val="StandardTextAufzhlung"/>
              <w:ind w:left="366"/>
              <w:jc w:val="left"/>
            </w:pPr>
            <w:r w:rsidRPr="00E73F6F">
              <w:lastRenderedPageBreak/>
              <w:t>Unstrukturierte Lernsituationen</w:t>
            </w:r>
          </w:p>
          <w:p w14:paraId="6D844196" w14:textId="77777777" w:rsidR="00FF7799" w:rsidRPr="00E73F6F" w:rsidRDefault="00FF7799" w:rsidP="00F62D25">
            <w:pPr>
              <w:pStyle w:val="StandardTextAufzhlung"/>
              <w:ind w:left="366"/>
              <w:jc w:val="left"/>
            </w:pPr>
            <w:r w:rsidRPr="00E73F6F">
              <w:t>Vage Zeit- und Zielvorgaben</w:t>
            </w:r>
          </w:p>
          <w:p w14:paraId="05D50DF5" w14:textId="77777777" w:rsidR="00FF7799" w:rsidRPr="00E73F6F" w:rsidRDefault="00FF7799" w:rsidP="00F62D25">
            <w:pPr>
              <w:pStyle w:val="StandardTextAufzhlung"/>
              <w:ind w:left="366"/>
              <w:jc w:val="left"/>
            </w:pPr>
            <w:r w:rsidRPr="00E73F6F">
              <w:t>Allgemeine Aufgabenstellung</w:t>
            </w:r>
          </w:p>
          <w:p w14:paraId="59852A39" w14:textId="4E0F358E" w:rsidR="00FF7799" w:rsidRPr="00E73F6F" w:rsidRDefault="00FF7799" w:rsidP="00F62D25">
            <w:pPr>
              <w:pStyle w:val="StandardTextAufzhlung"/>
              <w:ind w:left="366"/>
              <w:jc w:val="left"/>
            </w:pPr>
            <w:r w:rsidRPr="00E73F6F">
              <w:t>Einfache, unwissenschaftliche Sprache</w:t>
            </w:r>
          </w:p>
          <w:p w14:paraId="64B1ABB7" w14:textId="77777777" w:rsidR="00FF7799" w:rsidRPr="00E73F6F" w:rsidRDefault="00FF7799" w:rsidP="00F62D25">
            <w:pPr>
              <w:pStyle w:val="StandardTextAufzhlung"/>
              <w:ind w:left="366"/>
              <w:jc w:val="left"/>
            </w:pPr>
            <w:r w:rsidRPr="00E73F6F">
              <w:t xml:space="preserve">Lehrer können Wissenslücken haben </w:t>
            </w:r>
          </w:p>
        </w:tc>
        <w:tc>
          <w:tcPr>
            <w:tcW w:w="2495" w:type="pct"/>
            <w:tcBorders>
              <w:top w:val="nil"/>
              <w:bottom w:val="single" w:sz="4" w:space="0" w:color="auto"/>
              <w:right w:val="nil"/>
            </w:tcBorders>
          </w:tcPr>
          <w:p w14:paraId="0F15719C" w14:textId="77777777" w:rsidR="00FF7799" w:rsidRPr="00E73F6F" w:rsidRDefault="00FF7799" w:rsidP="00F62D25">
            <w:pPr>
              <w:pStyle w:val="StandardTextAufzhlung"/>
              <w:ind w:left="366"/>
              <w:jc w:val="left"/>
            </w:pPr>
            <w:r w:rsidRPr="00E73F6F">
              <w:t>Strukturierte Lernsituationen</w:t>
            </w:r>
          </w:p>
          <w:p w14:paraId="44B43740" w14:textId="77777777" w:rsidR="00FF7799" w:rsidRPr="00E73F6F" w:rsidRDefault="00FF7799" w:rsidP="00F62D25">
            <w:pPr>
              <w:pStyle w:val="StandardTextAufzhlung"/>
              <w:ind w:left="366"/>
              <w:jc w:val="left"/>
            </w:pPr>
            <w:r w:rsidRPr="00E73F6F">
              <w:t>Präzise Zeit- und Zielvorgaben</w:t>
            </w:r>
          </w:p>
          <w:p w14:paraId="50B87A53" w14:textId="77777777" w:rsidR="00FF7799" w:rsidRPr="00E73F6F" w:rsidRDefault="00FF7799" w:rsidP="00F62D25">
            <w:pPr>
              <w:pStyle w:val="StandardTextAufzhlung"/>
              <w:ind w:left="366"/>
              <w:jc w:val="left"/>
            </w:pPr>
            <w:r w:rsidRPr="00E73F6F">
              <w:t>Detaillierte Aufgabenstellung</w:t>
            </w:r>
          </w:p>
          <w:p w14:paraId="5039A774" w14:textId="02E5B4C1" w:rsidR="00FF7799" w:rsidRPr="00E73F6F" w:rsidRDefault="00FF7799" w:rsidP="00F62D25">
            <w:pPr>
              <w:pStyle w:val="StandardTextAufzhlung"/>
              <w:ind w:left="366"/>
              <w:jc w:val="left"/>
            </w:pPr>
            <w:r w:rsidRPr="00E73F6F">
              <w:t>Komplizierte, wissenschaftliche Sprache</w:t>
            </w:r>
          </w:p>
          <w:p w14:paraId="4ED9FD28" w14:textId="77777777" w:rsidR="00FF7799" w:rsidRPr="00E73F6F" w:rsidRDefault="00FF7799" w:rsidP="00F62D25">
            <w:pPr>
              <w:pStyle w:val="StandardTextAufzhlung"/>
              <w:ind w:left="366"/>
              <w:jc w:val="left"/>
            </w:pPr>
            <w:r w:rsidRPr="00E73F6F">
              <w:t>Lehrer müssen alles wissen müssen</w:t>
            </w:r>
          </w:p>
        </w:tc>
      </w:tr>
      <w:tr w:rsidR="00FF7799" w:rsidRPr="00E73F6F" w14:paraId="12009286" w14:textId="77777777" w:rsidTr="0067602F">
        <w:trPr>
          <w:trHeight w:val="311"/>
        </w:trPr>
        <w:tc>
          <w:tcPr>
            <w:tcW w:w="5000" w:type="pct"/>
            <w:gridSpan w:val="3"/>
            <w:tcBorders>
              <w:left w:val="nil"/>
              <w:bottom w:val="nil"/>
              <w:right w:val="nil"/>
            </w:tcBorders>
          </w:tcPr>
          <w:p w14:paraId="5C21A695" w14:textId="77777777" w:rsidR="00FF7799" w:rsidRPr="00E73F6F" w:rsidRDefault="00FF7799" w:rsidP="00E17A9C">
            <w:pPr>
              <w:pStyle w:val="StandardText"/>
              <w:spacing w:after="120"/>
              <w:jc w:val="center"/>
              <w:rPr>
                <w:noProof/>
              </w:rPr>
            </w:pPr>
            <w:r w:rsidRPr="00E73F6F">
              <w:rPr>
                <w:b/>
                <w:noProof/>
              </w:rPr>
              <w:t>Arbeitsleben</w:t>
            </w:r>
          </w:p>
        </w:tc>
      </w:tr>
      <w:tr w:rsidR="00FF7799" w:rsidRPr="00E73F6F" w14:paraId="3078F6BD" w14:textId="77777777" w:rsidTr="0067602F">
        <w:trPr>
          <w:trHeight w:val="2649"/>
        </w:trPr>
        <w:tc>
          <w:tcPr>
            <w:tcW w:w="2505" w:type="pct"/>
            <w:gridSpan w:val="2"/>
            <w:tcBorders>
              <w:top w:val="nil"/>
              <w:left w:val="nil"/>
              <w:bottom w:val="single" w:sz="4" w:space="0" w:color="auto"/>
            </w:tcBorders>
          </w:tcPr>
          <w:p w14:paraId="3B01E3D7" w14:textId="77777777" w:rsidR="00FF7799" w:rsidRPr="00E73F6F" w:rsidRDefault="00FF7799" w:rsidP="00F62D25">
            <w:pPr>
              <w:pStyle w:val="StandardTextAufzhlung"/>
              <w:ind w:left="366"/>
              <w:jc w:val="left"/>
            </w:pPr>
            <w:r w:rsidRPr="00E73F6F">
              <w:t>Abneigung gegenüber Vorschriften und Regelungen</w:t>
            </w:r>
          </w:p>
          <w:p w14:paraId="528E7BAE" w14:textId="77777777" w:rsidR="00FF7799" w:rsidRPr="00E73F6F" w:rsidRDefault="00FF7799" w:rsidP="00F62D25">
            <w:pPr>
              <w:pStyle w:val="StandardTextAufzhlung"/>
              <w:ind w:left="366"/>
              <w:jc w:val="left"/>
            </w:pPr>
          </w:p>
          <w:p w14:paraId="3F2BB47A" w14:textId="77777777" w:rsidR="00FF7799" w:rsidRPr="00E73F6F" w:rsidRDefault="00FF7799" w:rsidP="00F62D25">
            <w:pPr>
              <w:pStyle w:val="StandardTextAufzhlung"/>
              <w:ind w:left="366"/>
              <w:jc w:val="left"/>
            </w:pPr>
            <w:r w:rsidRPr="00E73F6F">
              <w:t>Flache Hierarchien und geringe</w:t>
            </w:r>
            <w:r w:rsidRPr="00E73F6F">
              <w:br/>
              <w:t>Statusunterschiede</w:t>
            </w:r>
          </w:p>
          <w:p w14:paraId="0AB7863D" w14:textId="77777777" w:rsidR="00FF7799" w:rsidRPr="00E73F6F" w:rsidRDefault="00FF7799" w:rsidP="00F62D25">
            <w:pPr>
              <w:pStyle w:val="StandardTextAufzhlung"/>
              <w:ind w:left="366"/>
              <w:jc w:val="left"/>
            </w:pPr>
            <w:r w:rsidRPr="00E73F6F">
              <w:t>Generalisten und gesunder Menschenverstand werden anerkannt</w:t>
            </w:r>
          </w:p>
          <w:p w14:paraId="3DA58470" w14:textId="77777777" w:rsidR="00FF7799" w:rsidRPr="00E73F6F" w:rsidRDefault="00FF7799" w:rsidP="00F62D25">
            <w:pPr>
              <w:pStyle w:val="StandardTextAufzhlung"/>
              <w:ind w:left="366"/>
              <w:jc w:val="left"/>
            </w:pPr>
            <w:r w:rsidRPr="00E73F6F">
              <w:t>Spontane vertikale und horizontale Kommunikation</w:t>
            </w:r>
          </w:p>
          <w:p w14:paraId="11D691F6" w14:textId="77777777" w:rsidR="00FF7799" w:rsidRPr="00E73F6F" w:rsidRDefault="00FF7799" w:rsidP="00F62D25">
            <w:pPr>
              <w:pStyle w:val="StandardTextAufzhlung"/>
              <w:ind w:left="366"/>
              <w:jc w:val="left"/>
            </w:pPr>
            <w:r w:rsidRPr="00E73F6F">
              <w:t>Flexible Arbeitsgestaltung</w:t>
            </w:r>
          </w:p>
          <w:p w14:paraId="6FAA329A" w14:textId="77777777" w:rsidR="00FF7799" w:rsidRPr="00E73F6F" w:rsidRDefault="00FF7799" w:rsidP="00F62D25">
            <w:pPr>
              <w:pStyle w:val="StandardTextAufzhlung"/>
              <w:ind w:left="366"/>
              <w:jc w:val="left"/>
            </w:pPr>
            <w:r w:rsidRPr="00E73F6F">
              <w:t xml:space="preserve">Verträge regeln nur Rahmenbedingungen (Einzelheiten werden nachverhandelt) </w:t>
            </w:r>
          </w:p>
          <w:p w14:paraId="6F642C89" w14:textId="77777777" w:rsidR="00FF7799" w:rsidRPr="00E73F6F" w:rsidRDefault="00FF7799" w:rsidP="00F62D25">
            <w:pPr>
              <w:pStyle w:val="StandardTextAufzhlung"/>
              <w:ind w:left="366"/>
              <w:jc w:val="left"/>
            </w:pPr>
            <w:r w:rsidRPr="00E73F6F">
              <w:t>Innovationsbereitschaft</w:t>
            </w:r>
          </w:p>
        </w:tc>
        <w:tc>
          <w:tcPr>
            <w:tcW w:w="2495" w:type="pct"/>
            <w:tcBorders>
              <w:top w:val="nil"/>
              <w:bottom w:val="single" w:sz="4" w:space="0" w:color="auto"/>
              <w:right w:val="nil"/>
            </w:tcBorders>
          </w:tcPr>
          <w:p w14:paraId="710D87DE" w14:textId="77777777" w:rsidR="00FF7799" w:rsidRPr="00E73F6F" w:rsidRDefault="00FF7799" w:rsidP="00F62D25">
            <w:pPr>
              <w:pStyle w:val="StandardTextAufzhlung"/>
              <w:ind w:left="366"/>
              <w:jc w:val="left"/>
            </w:pPr>
            <w:r w:rsidRPr="00E73F6F">
              <w:t>Bedürfnis nach detaillierten Vorschriften und Regeln</w:t>
            </w:r>
          </w:p>
          <w:p w14:paraId="2F22327B" w14:textId="77777777" w:rsidR="00FF7799" w:rsidRPr="00E73F6F" w:rsidRDefault="00FF7799" w:rsidP="00F62D25">
            <w:pPr>
              <w:pStyle w:val="StandardTextAufzhlung"/>
              <w:ind w:left="366"/>
              <w:jc w:val="left"/>
            </w:pPr>
            <w:r w:rsidRPr="00E73F6F">
              <w:t>Starre Hierarchien und ausgeprägtes</w:t>
            </w:r>
            <w:r w:rsidRPr="00E73F6F">
              <w:br/>
              <w:t>Statusdenken</w:t>
            </w:r>
          </w:p>
          <w:p w14:paraId="4DF762A3" w14:textId="77777777" w:rsidR="00FF7799" w:rsidRPr="00E73F6F" w:rsidRDefault="00FF7799" w:rsidP="00F62D25">
            <w:pPr>
              <w:pStyle w:val="StandardTextAufzhlung"/>
              <w:ind w:left="366"/>
              <w:jc w:val="left"/>
            </w:pPr>
            <w:r w:rsidRPr="00E73F6F">
              <w:t>Experten- und Spezialwissen werden anerkannt</w:t>
            </w:r>
          </w:p>
          <w:p w14:paraId="268FEBC5" w14:textId="77777777" w:rsidR="00FF7799" w:rsidRPr="00E73F6F" w:rsidRDefault="00FF7799" w:rsidP="00F62D25">
            <w:pPr>
              <w:pStyle w:val="StandardTextAufzhlung"/>
              <w:ind w:left="366"/>
              <w:jc w:val="left"/>
            </w:pPr>
          </w:p>
          <w:p w14:paraId="7A54B543" w14:textId="77777777" w:rsidR="00FF7799" w:rsidRPr="00E73F6F" w:rsidRDefault="00FF7799" w:rsidP="00F62D25">
            <w:pPr>
              <w:pStyle w:val="StandardTextAufzhlung"/>
              <w:ind w:left="366"/>
              <w:jc w:val="left"/>
            </w:pPr>
            <w:r w:rsidRPr="00E73F6F">
              <w:t>Formalisierte Kommunikation („Dienstweg“)</w:t>
            </w:r>
          </w:p>
          <w:p w14:paraId="1EBABD3C" w14:textId="77777777" w:rsidR="00FF7799" w:rsidRPr="00E73F6F" w:rsidRDefault="00FF7799" w:rsidP="00F62D25">
            <w:pPr>
              <w:pStyle w:val="StandardTextAufzhlung"/>
              <w:ind w:left="366"/>
              <w:jc w:val="left"/>
            </w:pPr>
            <w:r w:rsidRPr="00E73F6F">
              <w:t>Formalisierung und Standardisierung</w:t>
            </w:r>
          </w:p>
          <w:p w14:paraId="7CFA5DDE" w14:textId="77777777" w:rsidR="00FF7799" w:rsidRPr="00E73F6F" w:rsidRDefault="00FF7799" w:rsidP="00F62D25">
            <w:pPr>
              <w:pStyle w:val="StandardTextAufzhlung"/>
              <w:ind w:left="366"/>
              <w:jc w:val="left"/>
            </w:pPr>
            <w:r w:rsidRPr="00E73F6F">
              <w:t>Verbindliche und detaillierte Verträge, die alle Eventualitäten berücksichtigen</w:t>
            </w:r>
          </w:p>
          <w:p w14:paraId="2BEFFAE5" w14:textId="77777777" w:rsidR="00FF7799" w:rsidRPr="00E73F6F" w:rsidRDefault="00FF7799" w:rsidP="00F62D25">
            <w:pPr>
              <w:pStyle w:val="StandardTextAufzhlung"/>
              <w:ind w:left="366"/>
              <w:jc w:val="left"/>
            </w:pPr>
            <w:r w:rsidRPr="00E73F6F">
              <w:t>Widerstand gegen Veränderungen</w:t>
            </w:r>
          </w:p>
        </w:tc>
      </w:tr>
      <w:tr w:rsidR="00FF7799" w:rsidRPr="00E73F6F" w14:paraId="797F6156" w14:textId="77777777" w:rsidTr="0067602F">
        <w:trPr>
          <w:trHeight w:val="148"/>
        </w:trPr>
        <w:tc>
          <w:tcPr>
            <w:tcW w:w="5000" w:type="pct"/>
            <w:gridSpan w:val="3"/>
            <w:tcBorders>
              <w:left w:val="nil"/>
              <w:bottom w:val="nil"/>
              <w:right w:val="nil"/>
            </w:tcBorders>
          </w:tcPr>
          <w:p w14:paraId="2B9E7871" w14:textId="77777777" w:rsidR="00FF7799" w:rsidRPr="00E73F6F" w:rsidRDefault="00FF7799" w:rsidP="00E17A9C">
            <w:pPr>
              <w:pStyle w:val="StandardText"/>
              <w:spacing w:after="120"/>
              <w:jc w:val="center"/>
            </w:pPr>
            <w:r w:rsidRPr="00E73F6F">
              <w:rPr>
                <w:b/>
                <w:noProof/>
              </w:rPr>
              <w:t>Staat &amp; Gesellschaft</w:t>
            </w:r>
          </w:p>
        </w:tc>
      </w:tr>
      <w:tr w:rsidR="00FF7799" w:rsidRPr="00E73F6F" w14:paraId="0D59C8F3" w14:textId="77777777" w:rsidTr="0067602F">
        <w:trPr>
          <w:trHeight w:val="1269"/>
        </w:trPr>
        <w:tc>
          <w:tcPr>
            <w:tcW w:w="2496" w:type="pct"/>
            <w:tcBorders>
              <w:top w:val="nil"/>
              <w:left w:val="nil"/>
              <w:bottom w:val="single" w:sz="4" w:space="0" w:color="auto"/>
            </w:tcBorders>
          </w:tcPr>
          <w:p w14:paraId="26C61BBA" w14:textId="77777777" w:rsidR="00FF7799" w:rsidRPr="00E73F6F" w:rsidRDefault="00FF7799" w:rsidP="00F62D25">
            <w:pPr>
              <w:pStyle w:val="StandardTextAufzhlung"/>
              <w:ind w:left="366"/>
              <w:jc w:val="left"/>
            </w:pPr>
            <w:r w:rsidRPr="00E73F6F">
              <w:t>Offenheit für „Fremdes“</w:t>
            </w:r>
          </w:p>
          <w:p w14:paraId="19226F3C" w14:textId="77777777" w:rsidR="00FF7799" w:rsidRPr="00E73F6F" w:rsidRDefault="00FF7799" w:rsidP="00F62D25">
            <w:pPr>
              <w:pStyle w:val="StandardTextAufzhlung"/>
              <w:ind w:left="366"/>
              <w:jc w:val="left"/>
            </w:pPr>
            <w:r w:rsidRPr="00E73F6F">
              <w:t>Meinungspluralismus bei religiösen und philosophischen Fragen</w:t>
            </w:r>
          </w:p>
          <w:p w14:paraId="59122145" w14:textId="77777777" w:rsidR="00FF7799" w:rsidRPr="00E73F6F" w:rsidRDefault="00FF7799" w:rsidP="00F62D25">
            <w:pPr>
              <w:pStyle w:val="StandardTextAufzhlung"/>
              <w:ind w:left="366"/>
              <w:jc w:val="left"/>
            </w:pPr>
            <w:r w:rsidRPr="00E73F6F">
              <w:t>Wenige, allgemeine Gesetze; so wenige Regeln wie möglich</w:t>
            </w:r>
          </w:p>
          <w:p w14:paraId="2793310E" w14:textId="77777777" w:rsidR="00FF7799" w:rsidRPr="00E73F6F" w:rsidRDefault="00FF7799" w:rsidP="00F62D25">
            <w:pPr>
              <w:pStyle w:val="StandardTextAufzhlung"/>
              <w:ind w:left="366"/>
              <w:jc w:val="left"/>
            </w:pPr>
            <w:r w:rsidRPr="00E73F6F">
              <w:t>Liberalismus</w:t>
            </w:r>
          </w:p>
          <w:p w14:paraId="54CDA985" w14:textId="77777777" w:rsidR="00FF7799" w:rsidRPr="00E73F6F" w:rsidRDefault="00FF7799" w:rsidP="00F62D25">
            <w:pPr>
              <w:pStyle w:val="StandardTextAufzhlung"/>
              <w:ind w:left="366"/>
              <w:jc w:val="left"/>
            </w:pPr>
            <w:r w:rsidRPr="00E73F6F">
              <w:t>Akzeptanz unstrukturierter Situationen und unbekannter Risiken</w:t>
            </w:r>
          </w:p>
          <w:p w14:paraId="70ED3F6F" w14:textId="77777777" w:rsidR="00FF7799" w:rsidRPr="00E73F6F" w:rsidRDefault="00FF7799" w:rsidP="00F62D25">
            <w:pPr>
              <w:pStyle w:val="StandardTextAufzhlung"/>
              <w:ind w:left="366"/>
              <w:jc w:val="left"/>
            </w:pPr>
            <w:r w:rsidRPr="00E73F6F">
              <w:t>Toleranz, Meinungsvielfalt</w:t>
            </w:r>
          </w:p>
          <w:p w14:paraId="58A789A5" w14:textId="77777777" w:rsidR="00FF7799" w:rsidRPr="00E73F6F" w:rsidRDefault="00FF7799" w:rsidP="00F62D25">
            <w:pPr>
              <w:pStyle w:val="StandardTextAufzhlung"/>
              <w:ind w:left="366"/>
              <w:jc w:val="left"/>
            </w:pPr>
            <w:r w:rsidRPr="00E73F6F">
              <w:t>Contenance, Haltung bewahren</w:t>
            </w:r>
          </w:p>
        </w:tc>
        <w:tc>
          <w:tcPr>
            <w:tcW w:w="2504" w:type="pct"/>
            <w:gridSpan w:val="2"/>
            <w:tcBorders>
              <w:top w:val="nil"/>
              <w:bottom w:val="single" w:sz="4" w:space="0" w:color="auto"/>
              <w:right w:val="nil"/>
            </w:tcBorders>
          </w:tcPr>
          <w:p w14:paraId="2E5876C1" w14:textId="77777777" w:rsidR="00FF7799" w:rsidRPr="00E73F6F" w:rsidRDefault="00FF7799" w:rsidP="00F62D25">
            <w:pPr>
              <w:pStyle w:val="StandardTextAufzhlung"/>
              <w:ind w:left="366"/>
              <w:jc w:val="left"/>
            </w:pPr>
            <w:r w:rsidRPr="00E73F6F">
              <w:t>Nationalismus, Xenophobie</w:t>
            </w:r>
          </w:p>
          <w:p w14:paraId="12D08E9A" w14:textId="77777777" w:rsidR="00FF7799" w:rsidRPr="00E73F6F" w:rsidRDefault="00FF7799" w:rsidP="00F62D25">
            <w:pPr>
              <w:pStyle w:val="StandardTextAufzhlung"/>
              <w:ind w:left="366"/>
              <w:jc w:val="left"/>
            </w:pPr>
            <w:r w:rsidRPr="00E73F6F">
              <w:t>Glaube an eine absolute Wahrheit, vermittelt durch Religion und Philosophie</w:t>
            </w:r>
          </w:p>
          <w:p w14:paraId="65FB5E2B" w14:textId="77777777" w:rsidR="00FF7799" w:rsidRPr="00E73F6F" w:rsidRDefault="00FF7799" w:rsidP="00F62D25">
            <w:pPr>
              <w:pStyle w:val="StandardTextAufzhlung"/>
              <w:ind w:left="366"/>
              <w:jc w:val="left"/>
            </w:pPr>
            <w:r w:rsidRPr="00E73F6F">
              <w:t>Viele, exakte Gesetze; ausgeprägtes Bedürfnis nach Richtlinien</w:t>
            </w:r>
          </w:p>
          <w:p w14:paraId="7758889C" w14:textId="77777777" w:rsidR="00FF7799" w:rsidRPr="00E73F6F" w:rsidRDefault="00FF7799" w:rsidP="00F62D25">
            <w:pPr>
              <w:pStyle w:val="StandardTextAufzhlung"/>
              <w:ind w:left="366"/>
              <w:jc w:val="left"/>
            </w:pPr>
            <w:r w:rsidRPr="00E73F6F">
              <w:t>Konservatismus</w:t>
            </w:r>
          </w:p>
          <w:p w14:paraId="1A7DC594" w14:textId="77777777" w:rsidR="00FF7799" w:rsidRPr="00E73F6F" w:rsidRDefault="00FF7799" w:rsidP="00F62D25">
            <w:pPr>
              <w:pStyle w:val="StandardTextAufzhlung"/>
              <w:ind w:left="366"/>
              <w:jc w:val="left"/>
            </w:pPr>
            <w:r w:rsidRPr="00E73F6F">
              <w:t>Akzeptanz bekannter Risiken und Angst vor ungewissen Risiken</w:t>
            </w:r>
          </w:p>
          <w:p w14:paraId="661190CF" w14:textId="77777777" w:rsidR="00FF7799" w:rsidRPr="00E73F6F" w:rsidRDefault="00FF7799" w:rsidP="00F62D25">
            <w:pPr>
              <w:pStyle w:val="StandardTextAufzhlung"/>
              <w:ind w:left="366"/>
              <w:jc w:val="left"/>
            </w:pPr>
            <w:r w:rsidRPr="00E73F6F">
              <w:t>Dogmatismus</w:t>
            </w:r>
          </w:p>
          <w:p w14:paraId="4AED516E" w14:textId="77777777" w:rsidR="00FF7799" w:rsidRPr="00E73F6F" w:rsidRDefault="00FF7799" w:rsidP="00F62D25">
            <w:pPr>
              <w:pStyle w:val="StandardTextAufzhlung"/>
              <w:ind w:left="366"/>
              <w:jc w:val="left"/>
            </w:pPr>
            <w:r w:rsidRPr="00E73F6F">
              <w:t>Emotionalität (Wut, Enttäuschung)</w:t>
            </w:r>
          </w:p>
        </w:tc>
      </w:tr>
      <w:tr w:rsidR="00FF7799" w:rsidRPr="00E73F6F" w14:paraId="40A0C3DE" w14:textId="77777777" w:rsidTr="0067602F">
        <w:trPr>
          <w:trHeight w:val="313"/>
        </w:trPr>
        <w:tc>
          <w:tcPr>
            <w:tcW w:w="5000" w:type="pct"/>
            <w:gridSpan w:val="3"/>
            <w:tcBorders>
              <w:left w:val="nil"/>
              <w:bottom w:val="nil"/>
              <w:right w:val="nil"/>
            </w:tcBorders>
          </w:tcPr>
          <w:p w14:paraId="487EB98A" w14:textId="77777777" w:rsidR="00FF7799" w:rsidRPr="00E73F6F" w:rsidRDefault="00FF7799" w:rsidP="00E17A9C">
            <w:pPr>
              <w:pStyle w:val="StandardText"/>
              <w:spacing w:after="120"/>
              <w:jc w:val="center"/>
              <w:rPr>
                <w:b/>
                <w:noProof/>
              </w:rPr>
            </w:pPr>
            <w:r w:rsidRPr="00E73F6F">
              <w:rPr>
                <w:b/>
                <w:noProof/>
              </w:rPr>
              <w:t>Prototypen</w:t>
            </w:r>
          </w:p>
        </w:tc>
      </w:tr>
      <w:tr w:rsidR="00FF7799" w:rsidRPr="00E73F6F" w14:paraId="499B4731" w14:textId="77777777" w:rsidTr="0067602F">
        <w:trPr>
          <w:trHeight w:val="313"/>
        </w:trPr>
        <w:tc>
          <w:tcPr>
            <w:tcW w:w="2496" w:type="pct"/>
            <w:tcBorders>
              <w:top w:val="nil"/>
              <w:left w:val="nil"/>
            </w:tcBorders>
          </w:tcPr>
          <w:p w14:paraId="7286E23A" w14:textId="77777777" w:rsidR="00FF7799" w:rsidRPr="00E73F6F" w:rsidRDefault="00FF7799" w:rsidP="00F62D25">
            <w:pPr>
              <w:pStyle w:val="StandardTextAufzhlung"/>
              <w:ind w:left="366"/>
              <w:jc w:val="left"/>
            </w:pPr>
            <w:r w:rsidRPr="00E73F6F">
              <w:rPr>
                <w:color w:val="000000"/>
              </w:rPr>
              <w:t xml:space="preserve">Dänemark, Jamaica, Singapur </w:t>
            </w:r>
          </w:p>
        </w:tc>
        <w:tc>
          <w:tcPr>
            <w:tcW w:w="2504" w:type="pct"/>
            <w:gridSpan w:val="2"/>
            <w:tcBorders>
              <w:top w:val="nil"/>
              <w:right w:val="nil"/>
            </w:tcBorders>
          </w:tcPr>
          <w:p w14:paraId="3BA1CF52" w14:textId="77777777" w:rsidR="00FF7799" w:rsidRPr="00E73F6F" w:rsidRDefault="00FF7799" w:rsidP="00F62D25">
            <w:pPr>
              <w:pStyle w:val="StandardTextAufzhlung"/>
              <w:ind w:left="366"/>
              <w:jc w:val="left"/>
            </w:pPr>
            <w:r w:rsidRPr="00E73F6F">
              <w:rPr>
                <w:color w:val="000000"/>
              </w:rPr>
              <w:t xml:space="preserve">Griechenland, Guatemala, Portugal </w:t>
            </w:r>
          </w:p>
        </w:tc>
      </w:tr>
    </w:tbl>
    <w:p w14:paraId="65070ACD" w14:textId="77777777" w:rsidR="00FF7799" w:rsidRPr="00E73F6F" w:rsidRDefault="00FF7799" w:rsidP="00E17A9C">
      <w:pPr>
        <w:pStyle w:val="Quellen"/>
      </w:pPr>
      <w:r w:rsidRPr="00E73F6F">
        <w:t>Quellen:</w:t>
      </w:r>
      <w:r w:rsidRPr="00E73F6F">
        <w:tab/>
        <w:t>auf der Basis von Hofstede (1997; 1991) und Weidmann (1995, S.46).</w:t>
      </w:r>
    </w:p>
    <w:p w14:paraId="5A3638CE" w14:textId="77777777" w:rsidR="00FF7799" w:rsidRPr="00E73F6F" w:rsidRDefault="00FF7799" w:rsidP="00862DBA">
      <w:pPr>
        <w:widowControl/>
        <w:autoSpaceDE/>
        <w:autoSpaceDN/>
        <w:jc w:val="both"/>
        <w:rPr>
          <w:sz w:val="24"/>
          <w:szCs w:val="24"/>
          <w:lang w:eastAsia="de-DE"/>
        </w:rPr>
      </w:pPr>
    </w:p>
    <w:p w14:paraId="6D2E2AF9" w14:textId="77777777" w:rsidR="00FF7799" w:rsidRPr="0022698D" w:rsidRDefault="00FF7799" w:rsidP="005A6636">
      <w:pPr>
        <w:pStyle w:val="StandardTextkursiv"/>
        <w:rPr>
          <w:i w:val="0"/>
        </w:rPr>
      </w:pPr>
      <w:r w:rsidRPr="0022698D">
        <w:rPr>
          <w:i w:val="0"/>
        </w:rPr>
        <w:t>5 Auswirkungen von Feminität vs. Maskulinität</w:t>
      </w:r>
    </w:p>
    <w:p w14:paraId="1F338121" w14:textId="77777777" w:rsidR="00FF7799" w:rsidRPr="0022698D" w:rsidRDefault="00FF7799" w:rsidP="005A6636">
      <w:pPr>
        <w:pStyle w:val="StandardTextkursiv"/>
        <w:rPr>
          <w:i w:val="0"/>
        </w:rPr>
      </w:pPr>
      <w:r w:rsidRPr="0022698D">
        <w:rPr>
          <w:i w:val="0"/>
        </w:rPr>
        <w:t>5.1 Bedeutung für das soziale Leben</w:t>
      </w:r>
    </w:p>
    <w:p w14:paraId="15ED8D68" w14:textId="77777777" w:rsidR="00FF7799" w:rsidRPr="00E73F6F" w:rsidRDefault="00FF7799" w:rsidP="005A6636">
      <w:pPr>
        <w:pStyle w:val="StandardTextkursiv"/>
      </w:pPr>
      <w:r w:rsidRPr="00E73F6F">
        <w:t>Transferleistungen</w:t>
      </w:r>
    </w:p>
    <w:p w14:paraId="55568E05" w14:textId="77777777" w:rsidR="00FF7799" w:rsidRPr="00E73F6F" w:rsidRDefault="00FF7799" w:rsidP="005A6636">
      <w:pPr>
        <w:pStyle w:val="StandardText"/>
      </w:pPr>
      <w:r w:rsidRPr="00E73F6F">
        <w:t xml:space="preserve">Feminine Gesellschaften wenden mehr als andere für die Finanzierung ihres Sozialsystems auf. 2007 machten die sog. Bruttosozialleistungen Schwedens 37,1% und die Dänemarks 32,2% des jeweiligen Bruttoinlandsprodukts aus. Daran gemessen spannen maskuline Gesellschaften wie die USA (= 17,4%), Irland (= 17,8%) oder Japan (= 19,1%) nur ein weitmaschiges „soziales </w:t>
      </w:r>
      <w:r w:rsidRPr="00E73F6F">
        <w:lastRenderedPageBreak/>
        <w:t>Netz“ auf, bestehend aus Renten und Pensionen, Gesundheitsversorgung, Arbeitslosengeld, Sozialhilfe, Fortzahlungen im Krankheitsfall, Familienförderung etc.</w:t>
      </w:r>
    </w:p>
    <w:p w14:paraId="74933B57" w14:textId="77777777" w:rsidR="00FF7799" w:rsidRPr="00E73F6F" w:rsidRDefault="00FF7799" w:rsidP="005A6636">
      <w:pPr>
        <w:pStyle w:val="StandardText"/>
      </w:pPr>
    </w:p>
    <w:p w14:paraId="4F587D87" w14:textId="77777777" w:rsidR="00FF7799" w:rsidRPr="00E73F6F" w:rsidRDefault="00FF7799" w:rsidP="005A6636">
      <w:pPr>
        <w:pStyle w:val="StandardTextkursiv"/>
      </w:pPr>
      <w:r w:rsidRPr="00E73F6F">
        <w:t>Entwicklungshilfe</w:t>
      </w:r>
    </w:p>
    <w:p w14:paraId="10D486E0" w14:textId="77777777" w:rsidR="00FF7799" w:rsidRPr="00E73F6F" w:rsidRDefault="00FF7799" w:rsidP="005A6636">
      <w:pPr>
        <w:pStyle w:val="StandardText"/>
      </w:pPr>
      <w:r w:rsidRPr="00E73F6F">
        <w:t>Die zumeist westlichen Geberländer leisteten 2011 insgesamt 134 Mrd. $ Entwicklungshilfe (aus öffentlichen Kassen) an Länder der Dritten Welt. So beeindruckend diese Summe auch erscheinen mag: Lediglich Länder mit einer femininen Kultur erreichten bzw. überschritten die international vereinbarte Zielmarke von 0,7% des BIP: Schweden = 1,02%, Norwegen = 1,00%, Dänemark = 0,86% und Niederlande 0,75%. Maskuline Gesellschaften wie Japan (= 0,18%), Italien (= 0,19), USA (= 0,20), Österreich (= 0,27%), Deutschland (= 0,39%) und die Schweiz (= 0,46%) waren im Vergleich dazu weit weniger bereit, notleidende Länder auf diese Weise zu unterstützen.</w:t>
      </w:r>
    </w:p>
    <w:p w14:paraId="44470941" w14:textId="77777777" w:rsidR="00FF7799" w:rsidRPr="00E73F6F" w:rsidRDefault="00FF7799" w:rsidP="005A6636">
      <w:pPr>
        <w:pStyle w:val="StandardText"/>
      </w:pPr>
    </w:p>
    <w:p w14:paraId="743AE032" w14:textId="77777777" w:rsidR="00FF7799" w:rsidRPr="00E73F6F" w:rsidRDefault="00FF7799" w:rsidP="005A6636">
      <w:pPr>
        <w:pStyle w:val="StandardTextkursiv"/>
      </w:pPr>
      <w:r w:rsidRPr="00E73F6F">
        <w:t>Kinderrechte</w:t>
      </w:r>
    </w:p>
    <w:p w14:paraId="11B7D959" w14:textId="77777777" w:rsidR="00FF7799" w:rsidRPr="00E73F6F" w:rsidRDefault="00FF7799" w:rsidP="005A6636">
      <w:pPr>
        <w:pStyle w:val="StandardText"/>
      </w:pPr>
      <w:r w:rsidRPr="00E73F6F">
        <w:t>Wie sehr das gesellschaftliche Leben in Nordeuropa von femininen Werten geprägt ist, belegen zahllose Beispiele: So schuf Schweden 1979 als erstes Land nicht nur das Züchtigungsrecht der Lehrer ab, sondern untersagte es auch den Eltern gesetzlich, ihre Kinder zu schlagen. Wenig später folgten Norwegen, Dänemark und Finnland. Bislang haben erst 24 Länder entsprechende Gesetze verabschiedet – Österreich Schritt für Schritt zwischen 1975 und 1989, Deutschland im Jahr 2000.</w:t>
      </w:r>
    </w:p>
    <w:p w14:paraId="5519F67C" w14:textId="77777777" w:rsidR="00FF7799" w:rsidRPr="00E73F6F" w:rsidRDefault="00FF7799" w:rsidP="00862DBA">
      <w:pPr>
        <w:widowControl/>
        <w:autoSpaceDE/>
        <w:autoSpaceDN/>
        <w:jc w:val="both"/>
        <w:rPr>
          <w:sz w:val="24"/>
          <w:szCs w:val="24"/>
          <w:lang w:eastAsia="de-DE"/>
        </w:rPr>
      </w:pPr>
    </w:p>
    <w:p w14:paraId="6011D401" w14:textId="77777777" w:rsidR="00FF7799" w:rsidRPr="00E73F6F" w:rsidRDefault="00FF7799" w:rsidP="005A6636">
      <w:pPr>
        <w:pStyle w:val="StandardTextkursiv"/>
      </w:pPr>
      <w:r w:rsidRPr="00E73F6F">
        <w:t>Akkord von Wassenaar</w:t>
      </w:r>
    </w:p>
    <w:p w14:paraId="26FF05DA" w14:textId="77777777" w:rsidR="00FF7799" w:rsidRPr="00E73F6F" w:rsidRDefault="00FF7799" w:rsidP="00862DBA">
      <w:pPr>
        <w:spacing w:before="119"/>
        <w:jc w:val="both"/>
        <w:rPr>
          <w:sz w:val="24"/>
          <w:szCs w:val="24"/>
        </w:rPr>
      </w:pPr>
      <w:r w:rsidRPr="00E73F6F">
        <w:rPr>
          <w:rStyle w:val="StandardTextZchn1"/>
        </w:rPr>
        <w:t>Im Verlauf der späten 1990er-Jahre gelang es den Niederlanden (MAS = 14), ihren ausufernden Sozialstaat</w:t>
      </w:r>
      <w:r w:rsidRPr="00E73F6F">
        <w:rPr>
          <w:sz w:val="24"/>
          <w:szCs w:val="24"/>
        </w:rPr>
        <w:t xml:space="preserve"> zu reformieren und die sog. Maastricht-Kriterien zu erfüllen, ohne dadurch den sprichwörtlichen gesamtgesellschaftlichen Konsens zu gefährden. Als eine Dekade zuvor die Arbeitslosenquote ein Rekordniveau (= 12%) erreicht hatte und jeder sechste Berufstätige als chronisch Kranker bis zu seiner Pensionierung eine Invalidenrente bezog, entwickelten Arbeitgeberverband, Gewerkschaften und Regierung gemeinsam einen Lösungsansatz. In einer Zeit, als in Deutschland die Gewerkschaften noch um Arbeitszeitverkürzung bei vollem Lohnausgleich kämpften, sah der </w:t>
      </w:r>
      <w:r w:rsidR="0022698D">
        <w:rPr>
          <w:sz w:val="24"/>
          <w:szCs w:val="24"/>
        </w:rPr>
        <w:sym w:font="Symbol" w:char="F0DE"/>
      </w:r>
      <w:r w:rsidR="0022698D">
        <w:rPr>
          <w:sz w:val="24"/>
          <w:szCs w:val="24"/>
        </w:rPr>
        <w:t xml:space="preserve"> </w:t>
      </w:r>
      <w:r w:rsidRPr="00E73F6F">
        <w:rPr>
          <w:sz w:val="24"/>
          <w:szCs w:val="24"/>
        </w:rPr>
        <w:t xml:space="preserve">„Akkord von Wassenaar“ u.a. Lohnstopp sowie regelmäßige Überprüfung der Arbeitsunfähigkeit vor. Das Rentensystem wurde nach dem sog. Cappuccino-Prinzip reformiert: Sinnbildlich bezahlt „der Staat“ den allen frei zugänglichen Kaffee, Arbeitgeber und Arbeitnehmer steuern gemeinsam die Sahne bei – und wer sich noch etwas Kakaopulver darüber streuen möchte, muss dafür selbst aufkommen. Auf die Finanzierung der Renten übertragen bedeutet dies: Alle Rentenempfänger erhalten eine Basiszahlung in Höhe von 70% des Mindestlohns. Diese wird durch vertraglich vereinbarte Leistungen von Pensionsfonds aufgestockt. Das dritte Element ist die private Zusatzversicherung. </w:t>
      </w:r>
    </w:p>
    <w:p w14:paraId="20904DB8" w14:textId="77777777" w:rsidR="00FF7799" w:rsidRPr="00E73F6F" w:rsidRDefault="00FF7799" w:rsidP="00862DBA">
      <w:pPr>
        <w:widowControl/>
        <w:autoSpaceDE/>
        <w:autoSpaceDN/>
        <w:jc w:val="both"/>
        <w:rPr>
          <w:sz w:val="24"/>
          <w:szCs w:val="24"/>
          <w:lang w:eastAsia="de-DE"/>
        </w:rPr>
      </w:pPr>
    </w:p>
    <w:p w14:paraId="5B02574C" w14:textId="77777777" w:rsidR="00FF7799" w:rsidRPr="00037FAC" w:rsidRDefault="00FF7799" w:rsidP="00E17A9C">
      <w:pPr>
        <w:pStyle w:val="BeschriftungTab"/>
        <w:rPr>
          <w:i/>
          <w:iCs/>
        </w:rPr>
      </w:pPr>
      <w:r w:rsidRPr="00037FAC">
        <w:rPr>
          <w:i/>
          <w:iCs/>
        </w:rPr>
        <w:t>Tab. 3: Einfluss von Maskulinität &amp; Feminität auf die Gesellschaft</w:t>
      </w:r>
    </w:p>
    <w:tbl>
      <w:tblPr>
        <w:tblW w:w="5000" w:type="pct"/>
        <w:tblBorders>
          <w:top w:val="single" w:sz="4" w:space="0" w:color="auto"/>
          <w:bottom w:val="single" w:sz="4" w:space="0" w:color="auto"/>
          <w:insideH w:val="single" w:sz="4" w:space="0" w:color="auto"/>
        </w:tblBorders>
        <w:tblCellMar>
          <w:left w:w="56" w:type="dxa"/>
          <w:right w:w="56" w:type="dxa"/>
        </w:tblCellMar>
        <w:tblLook w:val="0000" w:firstRow="0" w:lastRow="0" w:firstColumn="0" w:lastColumn="0" w:noHBand="0" w:noVBand="0"/>
      </w:tblPr>
      <w:tblGrid>
        <w:gridCol w:w="4536"/>
        <w:gridCol w:w="4536"/>
      </w:tblGrid>
      <w:tr w:rsidR="00FF7799" w:rsidRPr="00E73F6F" w14:paraId="06AAC917" w14:textId="77777777" w:rsidTr="00184324">
        <w:trPr>
          <w:trHeight w:val="307"/>
          <w:tblHeader/>
        </w:trPr>
        <w:tc>
          <w:tcPr>
            <w:tcW w:w="2500" w:type="pct"/>
            <w:tcBorders>
              <w:bottom w:val="single" w:sz="4" w:space="0" w:color="auto"/>
            </w:tcBorders>
            <w:shd w:val="clear" w:color="auto" w:fill="FFC000" w:themeFill="accent4"/>
          </w:tcPr>
          <w:p w14:paraId="03DBD515" w14:textId="77777777" w:rsidR="00FF7799" w:rsidRPr="00E73F6F" w:rsidRDefault="00FF7799" w:rsidP="00E17A9C">
            <w:pPr>
              <w:pStyle w:val="StandardText"/>
              <w:spacing w:line="360" w:lineRule="auto"/>
              <w:jc w:val="center"/>
              <w:rPr>
                <w:b/>
              </w:rPr>
            </w:pPr>
            <w:r w:rsidRPr="00E73F6F">
              <w:rPr>
                <w:b/>
              </w:rPr>
              <w:t>Feminine Gesellschaften</w:t>
            </w:r>
          </w:p>
        </w:tc>
        <w:tc>
          <w:tcPr>
            <w:tcW w:w="2500" w:type="pct"/>
            <w:tcBorders>
              <w:bottom w:val="single" w:sz="4" w:space="0" w:color="auto"/>
            </w:tcBorders>
            <w:shd w:val="clear" w:color="auto" w:fill="FFC000" w:themeFill="accent4"/>
          </w:tcPr>
          <w:p w14:paraId="238A2B45" w14:textId="77777777" w:rsidR="00FF7799" w:rsidRPr="00E73F6F" w:rsidRDefault="00FF7799" w:rsidP="00E17A9C">
            <w:pPr>
              <w:pStyle w:val="StandardText"/>
              <w:spacing w:line="360" w:lineRule="auto"/>
              <w:jc w:val="center"/>
              <w:rPr>
                <w:b/>
              </w:rPr>
            </w:pPr>
            <w:r w:rsidRPr="00E73F6F">
              <w:rPr>
                <w:b/>
              </w:rPr>
              <w:t>Maskuline Gesellschaften</w:t>
            </w:r>
          </w:p>
        </w:tc>
      </w:tr>
      <w:tr w:rsidR="00FF7799" w:rsidRPr="00E73F6F" w14:paraId="20806DFB" w14:textId="77777777" w:rsidTr="00C376EC">
        <w:trPr>
          <w:trHeight w:val="307"/>
        </w:trPr>
        <w:tc>
          <w:tcPr>
            <w:tcW w:w="5000" w:type="pct"/>
            <w:gridSpan w:val="2"/>
            <w:tcBorders>
              <w:bottom w:val="nil"/>
            </w:tcBorders>
          </w:tcPr>
          <w:p w14:paraId="60F134B8" w14:textId="77777777" w:rsidR="00FF7799" w:rsidRPr="00E73F6F" w:rsidRDefault="00FF7799" w:rsidP="00E17A9C">
            <w:pPr>
              <w:pStyle w:val="StandardText"/>
              <w:spacing w:line="360" w:lineRule="auto"/>
              <w:jc w:val="center"/>
              <w:rPr>
                <w:b/>
              </w:rPr>
            </w:pPr>
            <w:r w:rsidRPr="00E73F6F">
              <w:rPr>
                <w:b/>
              </w:rPr>
              <w:t>Familienleben</w:t>
            </w:r>
          </w:p>
        </w:tc>
      </w:tr>
      <w:tr w:rsidR="00FF7799" w:rsidRPr="00E73F6F" w14:paraId="2502AFBE" w14:textId="77777777" w:rsidTr="00184324">
        <w:trPr>
          <w:trHeight w:val="584"/>
        </w:trPr>
        <w:tc>
          <w:tcPr>
            <w:tcW w:w="2500" w:type="pct"/>
            <w:tcBorders>
              <w:top w:val="nil"/>
              <w:bottom w:val="single" w:sz="4" w:space="0" w:color="auto"/>
            </w:tcBorders>
          </w:tcPr>
          <w:p w14:paraId="7A0808AD" w14:textId="77777777" w:rsidR="00FF7799" w:rsidRPr="00E73F6F" w:rsidRDefault="00FF7799" w:rsidP="00F62D25">
            <w:pPr>
              <w:pStyle w:val="StandardTextAufzhlung"/>
              <w:ind w:left="366"/>
              <w:jc w:val="left"/>
            </w:pPr>
            <w:r w:rsidRPr="00E73F6F">
              <w:t>Ausgewogene Rollenverteilung zwischen Vater und Mutter</w:t>
            </w:r>
          </w:p>
          <w:p w14:paraId="2141D487" w14:textId="77777777" w:rsidR="00FF7799" w:rsidRPr="00E73F6F" w:rsidRDefault="00FF7799" w:rsidP="00F62D25">
            <w:pPr>
              <w:pStyle w:val="StandardTextAufzhlung"/>
              <w:ind w:left="366"/>
              <w:jc w:val="left"/>
            </w:pPr>
            <w:r w:rsidRPr="00E73F6F">
              <w:t>Männer müssen sich nicht behaupten</w:t>
            </w:r>
          </w:p>
          <w:p w14:paraId="7583064C" w14:textId="77777777" w:rsidR="00FF7799" w:rsidRPr="00E73F6F" w:rsidRDefault="00FF7799" w:rsidP="00F62D25">
            <w:pPr>
              <w:pStyle w:val="StandardTextAufzhlung"/>
              <w:ind w:left="366"/>
              <w:jc w:val="left"/>
            </w:pPr>
            <w:r w:rsidRPr="00E73F6F">
              <w:lastRenderedPageBreak/>
              <w:t>Männer können auch Aufgaben in Erziehung und Pflege übernehmen</w:t>
            </w:r>
          </w:p>
          <w:p w14:paraId="3E9587D9" w14:textId="77777777" w:rsidR="00FF7799" w:rsidRPr="00E73F6F" w:rsidRDefault="00FF7799" w:rsidP="00F62D25">
            <w:pPr>
              <w:pStyle w:val="StandardTextAufzhlung"/>
              <w:ind w:left="366"/>
              <w:jc w:val="left"/>
            </w:pPr>
            <w:r w:rsidRPr="00E73F6F">
              <w:t>Die Geschlechter ergänzen sich</w:t>
            </w:r>
          </w:p>
          <w:p w14:paraId="09895B97" w14:textId="77777777" w:rsidR="00FF7799" w:rsidRPr="00E73F6F" w:rsidRDefault="00FF7799" w:rsidP="00F62D25">
            <w:pPr>
              <w:pStyle w:val="StandardTextAufzhlung"/>
              <w:ind w:left="366"/>
              <w:jc w:val="left"/>
            </w:pPr>
            <w:r w:rsidRPr="00E73F6F">
              <w:t>Lebensqualität, zwischenmenschliche Beziehungen und Ökologie sind wichtig</w:t>
            </w:r>
          </w:p>
          <w:p w14:paraId="758B5577" w14:textId="77777777" w:rsidR="00FF7799" w:rsidRPr="00E73F6F" w:rsidRDefault="00FF7799" w:rsidP="00F62D25">
            <w:pPr>
              <w:pStyle w:val="StandardTextAufzhlung"/>
              <w:ind w:left="366"/>
              <w:jc w:val="left"/>
            </w:pPr>
            <w:r w:rsidRPr="00E73F6F">
              <w:t>Konflikte werden durch Kompromisse und Vereinbarungen gelöst</w:t>
            </w:r>
          </w:p>
          <w:p w14:paraId="7D5ABD79" w14:textId="77777777" w:rsidR="00FF7799" w:rsidRPr="00E73F6F" w:rsidRDefault="00FF7799" w:rsidP="00F62D25">
            <w:pPr>
              <w:pStyle w:val="StandardTextAufzhlung"/>
              <w:ind w:left="366"/>
              <w:jc w:val="left"/>
            </w:pPr>
            <w:r w:rsidRPr="00E73F6F">
              <w:t xml:space="preserve">Erstrebenswert sind Bescheidenheit und Zusammenleben </w:t>
            </w:r>
          </w:p>
        </w:tc>
        <w:tc>
          <w:tcPr>
            <w:tcW w:w="2500" w:type="pct"/>
            <w:tcBorders>
              <w:top w:val="nil"/>
              <w:bottom w:val="single" w:sz="4" w:space="0" w:color="auto"/>
            </w:tcBorders>
          </w:tcPr>
          <w:p w14:paraId="1D23C5EB" w14:textId="77777777" w:rsidR="00FF7799" w:rsidRPr="00E73F6F" w:rsidRDefault="00FF7799" w:rsidP="00F62D25">
            <w:pPr>
              <w:pStyle w:val="StandardTextAufzhlung"/>
              <w:ind w:left="366"/>
              <w:jc w:val="left"/>
            </w:pPr>
            <w:r w:rsidRPr="00E73F6F">
              <w:lastRenderedPageBreak/>
              <w:t>Väter verkörpern die Faktenwelt und Mütter die Gefühlswelt</w:t>
            </w:r>
          </w:p>
          <w:p w14:paraId="006C7EB3" w14:textId="77777777" w:rsidR="00FF7799" w:rsidRPr="00E73F6F" w:rsidRDefault="00FF7799" w:rsidP="00F62D25">
            <w:pPr>
              <w:pStyle w:val="StandardTextAufzhlung"/>
              <w:ind w:left="366"/>
              <w:jc w:val="left"/>
            </w:pPr>
            <w:r w:rsidRPr="00E73F6F">
              <w:t>Männer müssen sich ständig beweisen</w:t>
            </w:r>
          </w:p>
          <w:p w14:paraId="5D454097" w14:textId="77777777" w:rsidR="00FF7799" w:rsidRPr="00E73F6F" w:rsidRDefault="00FF7799" w:rsidP="00F62D25">
            <w:pPr>
              <w:pStyle w:val="StandardTextAufzhlung"/>
              <w:ind w:left="366"/>
              <w:jc w:val="left"/>
            </w:pPr>
            <w:r w:rsidRPr="00E73F6F">
              <w:lastRenderedPageBreak/>
              <w:t>Frauen sind für Erziehung und Pflege zuständig</w:t>
            </w:r>
          </w:p>
          <w:p w14:paraId="44CBB719" w14:textId="77777777" w:rsidR="00FF7799" w:rsidRPr="00E73F6F" w:rsidRDefault="00FF7799" w:rsidP="00F62D25">
            <w:pPr>
              <w:pStyle w:val="StandardTextAufzhlung"/>
              <w:ind w:left="366"/>
              <w:jc w:val="left"/>
            </w:pPr>
          </w:p>
          <w:p w14:paraId="563C2202" w14:textId="77777777" w:rsidR="00FF7799" w:rsidRPr="00E73F6F" w:rsidRDefault="00FF7799" w:rsidP="00F62D25">
            <w:pPr>
              <w:pStyle w:val="StandardTextAufzhlung"/>
              <w:ind w:left="366"/>
              <w:jc w:val="left"/>
            </w:pPr>
            <w:r w:rsidRPr="00E73F6F">
              <w:t>Vorrangstellung des Mannes</w:t>
            </w:r>
          </w:p>
          <w:p w14:paraId="5BF17E17" w14:textId="77777777" w:rsidR="00FF7799" w:rsidRPr="00E73F6F" w:rsidRDefault="00FF7799" w:rsidP="00F62D25">
            <w:pPr>
              <w:pStyle w:val="StandardTextAufzhlung"/>
              <w:ind w:left="366"/>
              <w:jc w:val="left"/>
            </w:pPr>
            <w:r w:rsidRPr="00E73F6F">
              <w:t>Materieller Wohlstand, Geld und</w:t>
            </w:r>
            <w:r w:rsidRPr="00E73F6F">
              <w:br/>
              <w:t>Objektwelt sind wichtig</w:t>
            </w:r>
          </w:p>
          <w:p w14:paraId="5A7F309D" w14:textId="77777777" w:rsidR="00FF7799" w:rsidRPr="00E73F6F" w:rsidRDefault="00FF7799" w:rsidP="00F62D25">
            <w:pPr>
              <w:pStyle w:val="StandardTextAufzhlung"/>
              <w:ind w:left="366"/>
              <w:jc w:val="left"/>
            </w:pPr>
            <w:r w:rsidRPr="00E73F6F">
              <w:t>Konflikte werden ausgefochten (es gibt Sieger und Verlierer)</w:t>
            </w:r>
          </w:p>
          <w:p w14:paraId="5C78E554" w14:textId="77777777" w:rsidR="00FF7799" w:rsidRPr="00E73F6F" w:rsidRDefault="00FF7799" w:rsidP="00F62D25">
            <w:pPr>
              <w:pStyle w:val="StandardTextAufzhlung"/>
              <w:ind w:left="366"/>
              <w:jc w:val="left"/>
            </w:pPr>
            <w:r w:rsidRPr="00E73F6F">
              <w:t xml:space="preserve">Erstrebenswert sind Eigenschaften wie Unabhängigkeit und Stolz </w:t>
            </w:r>
          </w:p>
        </w:tc>
      </w:tr>
      <w:tr w:rsidR="00FF7799" w:rsidRPr="00E73F6F" w14:paraId="34B9D755" w14:textId="77777777" w:rsidTr="00C376EC">
        <w:trPr>
          <w:trHeight w:val="307"/>
        </w:trPr>
        <w:tc>
          <w:tcPr>
            <w:tcW w:w="5000" w:type="pct"/>
            <w:gridSpan w:val="2"/>
            <w:tcBorders>
              <w:bottom w:val="nil"/>
            </w:tcBorders>
          </w:tcPr>
          <w:p w14:paraId="731CD8E6" w14:textId="77777777" w:rsidR="00FF7799" w:rsidRPr="00E73F6F" w:rsidRDefault="00FF7799" w:rsidP="00C376EC">
            <w:pPr>
              <w:pStyle w:val="StandardText"/>
              <w:spacing w:line="360" w:lineRule="auto"/>
              <w:jc w:val="center"/>
            </w:pPr>
            <w:r w:rsidRPr="00E73F6F">
              <w:rPr>
                <w:b/>
              </w:rPr>
              <w:lastRenderedPageBreak/>
              <w:t>Schule</w:t>
            </w:r>
          </w:p>
        </w:tc>
      </w:tr>
      <w:tr w:rsidR="00FF7799" w:rsidRPr="00E73F6F" w14:paraId="664C418A" w14:textId="77777777" w:rsidTr="00C376EC">
        <w:trPr>
          <w:trHeight w:val="848"/>
        </w:trPr>
        <w:tc>
          <w:tcPr>
            <w:tcW w:w="2500" w:type="pct"/>
            <w:tcBorders>
              <w:top w:val="nil"/>
              <w:bottom w:val="single" w:sz="4" w:space="0" w:color="auto"/>
            </w:tcBorders>
          </w:tcPr>
          <w:p w14:paraId="5886A162" w14:textId="77777777" w:rsidR="00FF7799" w:rsidRPr="00E73F6F" w:rsidRDefault="00FF7799" w:rsidP="00F62D25">
            <w:pPr>
              <w:pStyle w:val="StandardTextAufzhlung"/>
              <w:ind w:left="366"/>
            </w:pPr>
            <w:r w:rsidRPr="00E73F6F">
              <w:t xml:space="preserve">Maßstab ist der Durchschnittsschüler </w:t>
            </w:r>
          </w:p>
          <w:p w14:paraId="3FEA0DB5" w14:textId="77777777" w:rsidR="00FF7799" w:rsidRPr="00E73F6F" w:rsidRDefault="00FF7799" w:rsidP="00F62D25">
            <w:pPr>
              <w:pStyle w:val="StandardTextAufzhlung"/>
              <w:ind w:left="366"/>
            </w:pPr>
            <w:r w:rsidRPr="00E73F6F">
              <w:t xml:space="preserve">Belohnt wird Anpassung </w:t>
            </w:r>
          </w:p>
          <w:p w14:paraId="111CC22E" w14:textId="77777777" w:rsidR="00FF7799" w:rsidRPr="00E73F6F" w:rsidRDefault="00FF7799" w:rsidP="00F62D25">
            <w:pPr>
              <w:pStyle w:val="StandardTextAufzhlung"/>
              <w:ind w:left="366"/>
            </w:pPr>
            <w:r w:rsidRPr="00E73F6F">
              <w:t>Versagen ist menschlich</w:t>
            </w:r>
          </w:p>
        </w:tc>
        <w:tc>
          <w:tcPr>
            <w:tcW w:w="2500" w:type="pct"/>
            <w:tcBorders>
              <w:top w:val="nil"/>
              <w:bottom w:val="single" w:sz="4" w:space="0" w:color="auto"/>
            </w:tcBorders>
          </w:tcPr>
          <w:p w14:paraId="175227FE" w14:textId="77777777" w:rsidR="00FF7799" w:rsidRPr="00E73F6F" w:rsidRDefault="00FF7799" w:rsidP="00F62D25">
            <w:pPr>
              <w:pStyle w:val="StandardTextAufzhlung"/>
              <w:ind w:left="366"/>
            </w:pPr>
            <w:r w:rsidRPr="00E73F6F">
              <w:t xml:space="preserve">Maßstab ist der beste Schüler </w:t>
            </w:r>
          </w:p>
          <w:p w14:paraId="45D5077A" w14:textId="77777777" w:rsidR="00FF7799" w:rsidRPr="00E73F6F" w:rsidRDefault="00FF7799" w:rsidP="00F62D25">
            <w:pPr>
              <w:pStyle w:val="StandardTextAufzhlung"/>
              <w:ind w:left="366"/>
            </w:pPr>
            <w:r w:rsidRPr="00E73F6F">
              <w:t>Belohnt werden besondere Leistungen</w:t>
            </w:r>
          </w:p>
          <w:p w14:paraId="188CA2BF" w14:textId="77777777" w:rsidR="00FF7799" w:rsidRPr="00E73F6F" w:rsidRDefault="00FF7799" w:rsidP="00F62D25">
            <w:pPr>
              <w:pStyle w:val="StandardTextAufzhlung"/>
              <w:ind w:left="366"/>
            </w:pPr>
            <w:r w:rsidRPr="00E73F6F">
              <w:t>Versagen ist unverzeihlich</w:t>
            </w:r>
          </w:p>
        </w:tc>
      </w:tr>
      <w:tr w:rsidR="00FF7799" w:rsidRPr="00E73F6F" w14:paraId="12901938" w14:textId="77777777" w:rsidTr="00C376EC">
        <w:trPr>
          <w:trHeight w:val="263"/>
        </w:trPr>
        <w:tc>
          <w:tcPr>
            <w:tcW w:w="5000" w:type="pct"/>
            <w:gridSpan w:val="2"/>
            <w:tcBorders>
              <w:bottom w:val="nil"/>
            </w:tcBorders>
          </w:tcPr>
          <w:p w14:paraId="167B4844" w14:textId="77777777" w:rsidR="00FF7799" w:rsidRPr="00E73F6F" w:rsidRDefault="00FF7799" w:rsidP="00F62D25">
            <w:pPr>
              <w:pStyle w:val="StandardText"/>
              <w:spacing w:line="360" w:lineRule="auto"/>
              <w:ind w:left="366"/>
              <w:jc w:val="center"/>
              <w:rPr>
                <w:noProof/>
              </w:rPr>
            </w:pPr>
            <w:r w:rsidRPr="00E73F6F">
              <w:rPr>
                <w:b/>
              </w:rPr>
              <w:t>Arbeitsleben</w:t>
            </w:r>
          </w:p>
        </w:tc>
      </w:tr>
      <w:tr w:rsidR="00FF7799" w:rsidRPr="00E73F6F" w14:paraId="26794607" w14:textId="77777777" w:rsidTr="00C376EC">
        <w:trPr>
          <w:trHeight w:val="2005"/>
        </w:trPr>
        <w:tc>
          <w:tcPr>
            <w:tcW w:w="2500" w:type="pct"/>
            <w:tcBorders>
              <w:top w:val="nil"/>
              <w:bottom w:val="single" w:sz="4" w:space="0" w:color="auto"/>
            </w:tcBorders>
          </w:tcPr>
          <w:p w14:paraId="3D243BE1" w14:textId="77777777" w:rsidR="00FF7799" w:rsidRPr="00E73F6F" w:rsidRDefault="00FF7799" w:rsidP="00F62D25">
            <w:pPr>
              <w:pStyle w:val="StandardTextAufzhlung"/>
              <w:ind w:left="366"/>
              <w:jc w:val="left"/>
            </w:pPr>
            <w:r w:rsidRPr="00E73F6F">
              <w:t xml:space="preserve">Selbstbewusstes Verhalten wirkt lächerlich </w:t>
            </w:r>
          </w:p>
          <w:p w14:paraId="321A0BF8" w14:textId="77777777" w:rsidR="00FF7799" w:rsidRPr="00E73F6F" w:rsidRDefault="00FF7799" w:rsidP="00F62D25">
            <w:pPr>
              <w:pStyle w:val="StandardTextAufzhlung"/>
              <w:ind w:left="366"/>
              <w:jc w:val="left"/>
            </w:pPr>
            <w:r w:rsidRPr="00E73F6F">
              <w:t>Anpassungsbereitschaft</w:t>
            </w:r>
          </w:p>
          <w:p w14:paraId="2C49EBC8" w14:textId="77777777" w:rsidR="00FF7799" w:rsidRPr="00E73F6F" w:rsidRDefault="00FF7799" w:rsidP="00F62D25">
            <w:pPr>
              <w:pStyle w:val="StandardTextAufzhlung"/>
              <w:ind w:left="366"/>
              <w:jc w:val="left"/>
            </w:pPr>
            <w:r w:rsidRPr="00E73F6F">
              <w:t>Understatement</w:t>
            </w:r>
          </w:p>
          <w:p w14:paraId="2AE72476" w14:textId="77777777" w:rsidR="00FF7799" w:rsidRPr="00E73F6F" w:rsidRDefault="00FF7799" w:rsidP="00F62D25">
            <w:pPr>
              <w:pStyle w:val="StandardTextAufzhlung"/>
              <w:ind w:left="366"/>
              <w:jc w:val="left"/>
            </w:pPr>
            <w:r w:rsidRPr="00E73F6F">
              <w:t>Lebensqualität erstrebenswert</w:t>
            </w:r>
          </w:p>
          <w:p w14:paraId="006E7D51" w14:textId="77777777" w:rsidR="00FF7799" w:rsidRPr="00E73F6F" w:rsidRDefault="00FF7799" w:rsidP="00F62D25">
            <w:pPr>
              <w:pStyle w:val="StandardTextAufzhlung"/>
              <w:ind w:left="366"/>
              <w:jc w:val="left"/>
            </w:pPr>
            <w:r w:rsidRPr="00E73F6F">
              <w:t>Einfühlungsvermögen</w:t>
            </w:r>
          </w:p>
          <w:p w14:paraId="29CA339D" w14:textId="77777777" w:rsidR="00FF7799" w:rsidRPr="00E73F6F" w:rsidRDefault="00FF7799" w:rsidP="00F62D25">
            <w:pPr>
              <w:pStyle w:val="StandardTextAufzhlung"/>
              <w:ind w:left="366"/>
              <w:jc w:val="left"/>
            </w:pPr>
            <w:r w:rsidRPr="00E73F6F">
              <w:t>Arbeiten, um zu leben</w:t>
            </w:r>
          </w:p>
          <w:p w14:paraId="4D2AE7CD" w14:textId="77777777" w:rsidR="00FF7799" w:rsidRPr="00E73F6F" w:rsidRDefault="00FF7799" w:rsidP="00F62D25">
            <w:pPr>
              <w:pStyle w:val="StandardTextAufzhlung"/>
              <w:ind w:left="366"/>
              <w:jc w:val="left"/>
            </w:pPr>
            <w:r w:rsidRPr="00E73F6F">
              <w:t>Kooperation und Kompromiss</w:t>
            </w:r>
          </w:p>
          <w:p w14:paraId="020B79AF" w14:textId="77777777" w:rsidR="00FF7799" w:rsidRPr="00E73F6F" w:rsidRDefault="00FF7799" w:rsidP="00F62D25">
            <w:pPr>
              <w:pStyle w:val="StandardTextAufzhlung"/>
              <w:ind w:left="366"/>
              <w:jc w:val="left"/>
            </w:pPr>
            <w:r w:rsidRPr="00E73F6F">
              <w:t>Intuitive Problemlösung</w:t>
            </w:r>
          </w:p>
        </w:tc>
        <w:tc>
          <w:tcPr>
            <w:tcW w:w="2500" w:type="pct"/>
            <w:tcBorders>
              <w:top w:val="nil"/>
              <w:bottom w:val="single" w:sz="4" w:space="0" w:color="auto"/>
            </w:tcBorders>
          </w:tcPr>
          <w:p w14:paraId="0D47CE0C" w14:textId="77777777" w:rsidR="00FF7799" w:rsidRPr="00E73F6F" w:rsidRDefault="00FF7799" w:rsidP="00F62D25">
            <w:pPr>
              <w:pStyle w:val="StandardTextAufzhlung"/>
              <w:ind w:left="366"/>
              <w:jc w:val="left"/>
            </w:pPr>
            <w:r w:rsidRPr="00E73F6F">
              <w:t>Selbstbewusstes Verhalten ist sozial erwünscht</w:t>
            </w:r>
          </w:p>
          <w:p w14:paraId="16B860EE" w14:textId="77777777" w:rsidR="00FF7799" w:rsidRPr="00E73F6F" w:rsidRDefault="00FF7799" w:rsidP="00F62D25">
            <w:pPr>
              <w:pStyle w:val="StandardTextAufzhlung"/>
              <w:ind w:left="366"/>
              <w:jc w:val="left"/>
            </w:pPr>
            <w:r w:rsidRPr="00E73F6F">
              <w:t xml:space="preserve">Durchsetzungsvermögen </w:t>
            </w:r>
          </w:p>
          <w:p w14:paraId="3A6B4845" w14:textId="77777777" w:rsidR="00FF7799" w:rsidRPr="00E73F6F" w:rsidRDefault="00FF7799" w:rsidP="00F62D25">
            <w:pPr>
              <w:pStyle w:val="StandardTextAufzhlung"/>
              <w:ind w:left="366"/>
              <w:jc w:val="left"/>
            </w:pPr>
            <w:r w:rsidRPr="00E73F6F">
              <w:t>Imponiergehabe</w:t>
            </w:r>
          </w:p>
          <w:p w14:paraId="40C0440A" w14:textId="77777777" w:rsidR="00FF7799" w:rsidRPr="00E73F6F" w:rsidRDefault="00FF7799" w:rsidP="00F62D25">
            <w:pPr>
              <w:pStyle w:val="StandardTextAufzhlung"/>
              <w:ind w:left="366"/>
              <w:jc w:val="left"/>
            </w:pPr>
            <w:r w:rsidRPr="00E73F6F">
              <w:t xml:space="preserve">Karriere erstrebenswert </w:t>
            </w:r>
          </w:p>
          <w:p w14:paraId="2AFF0202" w14:textId="77777777" w:rsidR="00FF7799" w:rsidRPr="00E73F6F" w:rsidRDefault="00FF7799" w:rsidP="00F62D25">
            <w:pPr>
              <w:pStyle w:val="StandardTextAufzhlung"/>
              <w:ind w:left="366"/>
              <w:jc w:val="left"/>
            </w:pPr>
            <w:r w:rsidRPr="00E73F6F">
              <w:t>Leistungsorientierung</w:t>
            </w:r>
          </w:p>
          <w:p w14:paraId="13FCE06B" w14:textId="77777777" w:rsidR="00FF7799" w:rsidRPr="00E73F6F" w:rsidRDefault="00FF7799" w:rsidP="00F62D25">
            <w:pPr>
              <w:pStyle w:val="StandardTextAufzhlung"/>
              <w:ind w:left="366"/>
              <w:jc w:val="left"/>
            </w:pPr>
            <w:r w:rsidRPr="00E73F6F">
              <w:t>Leben, um zu arbeiten</w:t>
            </w:r>
          </w:p>
          <w:p w14:paraId="673A2C9B" w14:textId="77777777" w:rsidR="00FF7799" w:rsidRPr="00E73F6F" w:rsidRDefault="00FF7799" w:rsidP="00F62D25">
            <w:pPr>
              <w:pStyle w:val="StandardTextAufzhlung"/>
              <w:ind w:left="366"/>
              <w:jc w:val="left"/>
            </w:pPr>
            <w:r w:rsidRPr="00E73F6F">
              <w:t>Wettbewerb und Konflikt</w:t>
            </w:r>
          </w:p>
          <w:p w14:paraId="3DCE17F1" w14:textId="77777777" w:rsidR="00FF7799" w:rsidRPr="00E73F6F" w:rsidRDefault="00FF7799" w:rsidP="00F62D25">
            <w:pPr>
              <w:pStyle w:val="StandardTextAufzhlung"/>
              <w:ind w:left="366"/>
              <w:jc w:val="left"/>
            </w:pPr>
            <w:r w:rsidRPr="00E73F6F">
              <w:t>Analytische Problemlösung</w:t>
            </w:r>
          </w:p>
        </w:tc>
      </w:tr>
      <w:tr w:rsidR="00FF7799" w:rsidRPr="00E73F6F" w14:paraId="7623D16D" w14:textId="77777777" w:rsidTr="00C376EC">
        <w:trPr>
          <w:trHeight w:val="263"/>
        </w:trPr>
        <w:tc>
          <w:tcPr>
            <w:tcW w:w="5000" w:type="pct"/>
            <w:gridSpan w:val="2"/>
            <w:tcBorders>
              <w:bottom w:val="nil"/>
            </w:tcBorders>
          </w:tcPr>
          <w:p w14:paraId="15804D57" w14:textId="77777777" w:rsidR="00FF7799" w:rsidRPr="00E73F6F" w:rsidRDefault="00FF7799" w:rsidP="00F62D25">
            <w:pPr>
              <w:pStyle w:val="StandardText"/>
              <w:spacing w:line="360" w:lineRule="auto"/>
              <w:ind w:left="366"/>
              <w:jc w:val="center"/>
              <w:rPr>
                <w:b/>
              </w:rPr>
            </w:pPr>
            <w:r w:rsidRPr="00E73F6F">
              <w:rPr>
                <w:b/>
              </w:rPr>
              <w:t>Staat &amp; Gesellschaft</w:t>
            </w:r>
          </w:p>
        </w:tc>
      </w:tr>
      <w:tr w:rsidR="00FF7799" w:rsidRPr="00E73F6F" w14:paraId="20FE9D3F" w14:textId="77777777" w:rsidTr="00C376EC">
        <w:trPr>
          <w:trHeight w:val="2005"/>
        </w:trPr>
        <w:tc>
          <w:tcPr>
            <w:tcW w:w="2500" w:type="pct"/>
            <w:tcBorders>
              <w:top w:val="nil"/>
              <w:bottom w:val="single" w:sz="4" w:space="0" w:color="auto"/>
            </w:tcBorders>
          </w:tcPr>
          <w:p w14:paraId="57264619" w14:textId="77777777" w:rsidR="00FF7799" w:rsidRPr="00E73F6F" w:rsidRDefault="00FF7799" w:rsidP="00F62D25">
            <w:pPr>
              <w:pStyle w:val="StandardTextAufzhlung"/>
              <w:ind w:left="366"/>
              <w:jc w:val="left"/>
            </w:pPr>
            <w:r w:rsidRPr="00E73F6F">
              <w:t>Solidaritätsprinzip</w:t>
            </w:r>
          </w:p>
          <w:p w14:paraId="725BFE87" w14:textId="77777777" w:rsidR="00FF7799" w:rsidRPr="00E73F6F" w:rsidRDefault="00FF7799" w:rsidP="00F62D25">
            <w:pPr>
              <w:pStyle w:val="StandardTextAufzhlung"/>
              <w:ind w:left="366"/>
              <w:jc w:val="left"/>
            </w:pPr>
            <w:r w:rsidRPr="00E73F6F">
              <w:t>Wohlfahrtsstaat als Ideal</w:t>
            </w:r>
          </w:p>
          <w:p w14:paraId="4E406BE4" w14:textId="77777777" w:rsidR="00FF7799" w:rsidRPr="00E73F6F" w:rsidRDefault="00FF7799" w:rsidP="00F62D25">
            <w:pPr>
              <w:pStyle w:val="StandardTextAufzhlung"/>
              <w:ind w:left="366"/>
              <w:jc w:val="left"/>
            </w:pPr>
            <w:r w:rsidRPr="00E73F6F">
              <w:t>Schutz und Obhut für andere sind wichtig</w:t>
            </w:r>
          </w:p>
          <w:p w14:paraId="1877E492" w14:textId="77777777" w:rsidR="00FF7799" w:rsidRPr="00E73F6F" w:rsidRDefault="00FF7799" w:rsidP="00F62D25">
            <w:pPr>
              <w:pStyle w:val="StandardTextAufzhlung"/>
              <w:ind w:left="366"/>
              <w:jc w:val="left"/>
            </w:pPr>
            <w:r w:rsidRPr="00E73F6F">
              <w:t>Unterstützung der Schwachen</w:t>
            </w:r>
          </w:p>
          <w:p w14:paraId="4A88673E" w14:textId="77777777" w:rsidR="00FF7799" w:rsidRPr="00E73F6F" w:rsidRDefault="00FF7799" w:rsidP="00F62D25">
            <w:pPr>
              <w:pStyle w:val="StandardTextAufzhlung"/>
              <w:ind w:left="366"/>
              <w:jc w:val="left"/>
            </w:pPr>
            <w:r w:rsidRPr="00E73F6F">
              <w:t>Sympathie für den Unterlegenen</w:t>
            </w:r>
          </w:p>
          <w:p w14:paraId="6DED83D2" w14:textId="77777777" w:rsidR="00FF7799" w:rsidRPr="00E73F6F" w:rsidRDefault="00FF7799" w:rsidP="00F62D25">
            <w:pPr>
              <w:pStyle w:val="StandardTextAufzhlung"/>
              <w:ind w:left="366"/>
              <w:jc w:val="left"/>
            </w:pPr>
            <w:r w:rsidRPr="00E73F6F">
              <w:t>Androgynes Menschenbild als Ideal</w:t>
            </w:r>
          </w:p>
          <w:p w14:paraId="4BE7085F" w14:textId="77777777" w:rsidR="00FF7799" w:rsidRPr="00E73F6F" w:rsidRDefault="00FF7799" w:rsidP="00F62D25">
            <w:pPr>
              <w:pStyle w:val="StandardTextAufzhlung"/>
              <w:ind w:left="366"/>
              <w:jc w:val="left"/>
            </w:pPr>
            <w:r w:rsidRPr="00E73F6F">
              <w:t>Permissive, tolerante Gesellschaftsform</w:t>
            </w:r>
          </w:p>
          <w:p w14:paraId="793912BA" w14:textId="77777777" w:rsidR="00FF7799" w:rsidRPr="00E73F6F" w:rsidRDefault="00FF7799" w:rsidP="00F62D25">
            <w:pPr>
              <w:pStyle w:val="StandardTextAufzhlung"/>
              <w:ind w:left="366"/>
              <w:jc w:val="left"/>
            </w:pPr>
            <w:r w:rsidRPr="00E73F6F">
              <w:t>Klein und langsam sind wünschenswert</w:t>
            </w:r>
          </w:p>
        </w:tc>
        <w:tc>
          <w:tcPr>
            <w:tcW w:w="2500" w:type="pct"/>
            <w:tcBorders>
              <w:top w:val="nil"/>
              <w:bottom w:val="single" w:sz="4" w:space="0" w:color="auto"/>
            </w:tcBorders>
          </w:tcPr>
          <w:p w14:paraId="1D907131" w14:textId="77777777" w:rsidR="00FF7799" w:rsidRPr="00E73F6F" w:rsidRDefault="00FF7799" w:rsidP="00F62D25">
            <w:pPr>
              <w:pStyle w:val="StandardTextAufzhlung"/>
              <w:ind w:left="366"/>
              <w:jc w:val="left"/>
            </w:pPr>
            <w:r w:rsidRPr="00E73F6F">
              <w:t>Konkurrenzprinzip</w:t>
            </w:r>
          </w:p>
          <w:p w14:paraId="495335F3" w14:textId="77777777" w:rsidR="00FF7799" w:rsidRPr="00E73F6F" w:rsidRDefault="00FF7799" w:rsidP="00F62D25">
            <w:pPr>
              <w:pStyle w:val="StandardTextAufzhlung"/>
              <w:ind w:left="366"/>
              <w:jc w:val="left"/>
            </w:pPr>
            <w:r w:rsidRPr="00E73F6F">
              <w:t>Leistungsgesellschaft als Ideal</w:t>
            </w:r>
          </w:p>
          <w:p w14:paraId="18497A41" w14:textId="77777777" w:rsidR="00FF7799" w:rsidRPr="00E73F6F" w:rsidRDefault="00FF7799" w:rsidP="00F62D25">
            <w:pPr>
              <w:pStyle w:val="StandardTextAufzhlung"/>
              <w:ind w:left="366"/>
              <w:jc w:val="left"/>
            </w:pPr>
            <w:r w:rsidRPr="00E73F6F">
              <w:t>Materieller Erfolg und Fortschritt sind wichtig</w:t>
            </w:r>
          </w:p>
          <w:p w14:paraId="55E3D452" w14:textId="77777777" w:rsidR="00FF7799" w:rsidRPr="00E73F6F" w:rsidRDefault="00FF7799" w:rsidP="00F62D25">
            <w:pPr>
              <w:pStyle w:val="StandardTextAufzhlung"/>
              <w:ind w:left="366"/>
              <w:jc w:val="left"/>
            </w:pPr>
            <w:r w:rsidRPr="00E73F6F">
              <w:t>Belohnung der Starken</w:t>
            </w:r>
          </w:p>
          <w:p w14:paraId="20553D49" w14:textId="77777777" w:rsidR="00FF7799" w:rsidRPr="00E73F6F" w:rsidRDefault="00FF7799" w:rsidP="00F62D25">
            <w:pPr>
              <w:pStyle w:val="StandardTextAufzhlung"/>
              <w:ind w:left="366"/>
              <w:jc w:val="left"/>
            </w:pPr>
            <w:r w:rsidRPr="00E73F6F">
              <w:t>Bewunderung für den Sieger</w:t>
            </w:r>
          </w:p>
          <w:p w14:paraId="011CD7CA" w14:textId="77777777" w:rsidR="00FF7799" w:rsidRPr="00E73F6F" w:rsidRDefault="00FF7799" w:rsidP="00F62D25">
            <w:pPr>
              <w:pStyle w:val="StandardTextAufzhlung"/>
              <w:ind w:left="366"/>
              <w:jc w:val="left"/>
            </w:pPr>
            <w:r w:rsidRPr="00E73F6F">
              <w:t>Demonstrative Männlichkeit als Ideal</w:t>
            </w:r>
          </w:p>
          <w:p w14:paraId="4A8F11AF" w14:textId="77777777" w:rsidR="00FF7799" w:rsidRPr="00E73F6F" w:rsidRDefault="00FF7799" w:rsidP="00F62D25">
            <w:pPr>
              <w:pStyle w:val="StandardTextAufzhlung"/>
              <w:ind w:left="366"/>
              <w:jc w:val="left"/>
            </w:pPr>
            <w:r w:rsidRPr="00E73F6F">
              <w:t>Repressive, intolerante Gesellschaftsform</w:t>
            </w:r>
          </w:p>
          <w:p w14:paraId="6DA65458" w14:textId="77777777" w:rsidR="00FF7799" w:rsidRPr="00E73F6F" w:rsidRDefault="00FF7799" w:rsidP="00F62D25">
            <w:pPr>
              <w:pStyle w:val="StandardTextAufzhlung"/>
              <w:ind w:left="366"/>
              <w:jc w:val="left"/>
            </w:pPr>
            <w:r w:rsidRPr="00E73F6F">
              <w:t>Groß und schnell sind wünschenswert</w:t>
            </w:r>
          </w:p>
        </w:tc>
      </w:tr>
      <w:tr w:rsidR="00FF7799" w:rsidRPr="00E73F6F" w14:paraId="4180CCC0" w14:textId="77777777" w:rsidTr="00C376EC">
        <w:trPr>
          <w:trHeight w:val="541"/>
        </w:trPr>
        <w:tc>
          <w:tcPr>
            <w:tcW w:w="5000" w:type="pct"/>
            <w:gridSpan w:val="2"/>
            <w:tcBorders>
              <w:bottom w:val="nil"/>
            </w:tcBorders>
          </w:tcPr>
          <w:p w14:paraId="62E3354E" w14:textId="77777777" w:rsidR="00FF7799" w:rsidRPr="00E73F6F" w:rsidRDefault="00FF7799" w:rsidP="00C376EC">
            <w:pPr>
              <w:pStyle w:val="StandardText"/>
              <w:spacing w:line="360" w:lineRule="auto"/>
              <w:jc w:val="center"/>
              <w:rPr>
                <w:b/>
              </w:rPr>
            </w:pPr>
            <w:r w:rsidRPr="00E73F6F">
              <w:rPr>
                <w:b/>
              </w:rPr>
              <w:t>Prototypen</w:t>
            </w:r>
          </w:p>
        </w:tc>
      </w:tr>
      <w:tr w:rsidR="00FF7799" w:rsidRPr="00E73F6F" w14:paraId="13C5EFBD" w14:textId="77777777" w:rsidTr="00C376EC">
        <w:trPr>
          <w:trHeight w:val="541"/>
        </w:trPr>
        <w:tc>
          <w:tcPr>
            <w:tcW w:w="2500" w:type="pct"/>
            <w:tcBorders>
              <w:top w:val="nil"/>
            </w:tcBorders>
          </w:tcPr>
          <w:p w14:paraId="053BAC4F" w14:textId="77777777" w:rsidR="00FF7799" w:rsidRPr="00E73F6F" w:rsidRDefault="00FF7799" w:rsidP="00F62D25">
            <w:pPr>
              <w:pStyle w:val="StandardTextAufzhlung"/>
              <w:ind w:left="366"/>
              <w:jc w:val="left"/>
              <w:rPr>
                <w:bCs/>
              </w:rPr>
            </w:pPr>
            <w:r w:rsidRPr="00E73F6F">
              <w:rPr>
                <w:bCs/>
                <w:color w:val="000000"/>
              </w:rPr>
              <w:t xml:space="preserve">Dänemark, Niederlande, Norwegen, Schweden </w:t>
            </w:r>
          </w:p>
        </w:tc>
        <w:tc>
          <w:tcPr>
            <w:tcW w:w="2500" w:type="pct"/>
            <w:tcBorders>
              <w:top w:val="nil"/>
            </w:tcBorders>
          </w:tcPr>
          <w:p w14:paraId="5D4DFBE9" w14:textId="77777777" w:rsidR="00FF7799" w:rsidRPr="00E73F6F" w:rsidRDefault="00FF7799" w:rsidP="00F62D25">
            <w:pPr>
              <w:pStyle w:val="StandardTextAufzhlung"/>
              <w:ind w:left="366"/>
              <w:jc w:val="left"/>
              <w:rPr>
                <w:bCs/>
              </w:rPr>
            </w:pPr>
            <w:r w:rsidRPr="00E73F6F">
              <w:rPr>
                <w:bCs/>
                <w:color w:val="000000"/>
              </w:rPr>
              <w:t xml:space="preserve">Italien, Japan, Österreich, Schweiz, Venezuela </w:t>
            </w:r>
          </w:p>
        </w:tc>
      </w:tr>
    </w:tbl>
    <w:p w14:paraId="2B8AF430" w14:textId="77777777" w:rsidR="00FF7799" w:rsidRPr="00E73F6F" w:rsidRDefault="00684099" w:rsidP="00E17A9C">
      <w:pPr>
        <w:pStyle w:val="Quellen"/>
      </w:pPr>
      <w:r>
        <w:t xml:space="preserve">Quellen: </w:t>
      </w:r>
      <w:r w:rsidR="00FF7799" w:rsidRPr="00E73F6F">
        <w:t>Weidmann (1995, S.46); Hofstede (1997, 1991); ergänzt und modifiziert.</w:t>
      </w:r>
    </w:p>
    <w:p w14:paraId="0CC696B4" w14:textId="77777777" w:rsidR="00FF7799" w:rsidRPr="00E73F6F" w:rsidRDefault="00FF7799" w:rsidP="00862DBA">
      <w:pPr>
        <w:widowControl/>
        <w:autoSpaceDE/>
        <w:autoSpaceDN/>
        <w:jc w:val="both"/>
        <w:rPr>
          <w:b/>
          <w:sz w:val="24"/>
          <w:szCs w:val="24"/>
          <w:lang w:bidi="en-US"/>
        </w:rPr>
      </w:pPr>
    </w:p>
    <w:p w14:paraId="399032E2" w14:textId="77777777" w:rsidR="00FF7799" w:rsidRPr="0022698D" w:rsidRDefault="00FF7799" w:rsidP="005A6636">
      <w:pPr>
        <w:pStyle w:val="StandardTextkursiv"/>
        <w:rPr>
          <w:i w:val="0"/>
        </w:rPr>
      </w:pPr>
      <w:r w:rsidRPr="0022698D">
        <w:rPr>
          <w:i w:val="0"/>
        </w:rPr>
        <w:t>5.2 Bedeutung für das Arbeitsleben</w:t>
      </w:r>
    </w:p>
    <w:p w14:paraId="6BFCEA7B" w14:textId="77777777" w:rsidR="00FF7799" w:rsidRPr="00E73F6F" w:rsidRDefault="00FF7799" w:rsidP="005A6636">
      <w:pPr>
        <w:pStyle w:val="StandardTextkursiv"/>
      </w:pPr>
      <w:r w:rsidRPr="00E73F6F">
        <w:t>Vereinbarkeit von Familie &amp; Beruf</w:t>
      </w:r>
    </w:p>
    <w:p w14:paraId="60BC5D7A" w14:textId="77777777" w:rsidR="00FF7799" w:rsidRDefault="00FF7799" w:rsidP="005A6636">
      <w:pPr>
        <w:pStyle w:val="StandardText"/>
      </w:pPr>
      <w:r w:rsidRPr="00E73F6F">
        <w:lastRenderedPageBreak/>
        <w:t xml:space="preserve">Diekmann/Plünnecke (2009) gehen davon aus, dass Politik dann familienfreundlich ist, wenn sie es den Menschen ermöglicht, Familien- und Berufsleben miteinander in Einklang zu bringen. Als Indikatoren dieses Konstrukts dienen Geburtenrate, Beschäftigungsrate von Frauen, Quantität und Qualität der Kinderbetreuung in öffentlichen oder privaten Einrichtungen, Gleichstellung von Mann und Frau etc. Gemessen an dem vom Institut der deutschen Wirtschaft auf dieser Basis entwickelten „Familienfreundlichkeitsindex“ gelingt es den femininen Gesellschaften Skandinaviens wesentlich besser als den maskulinen Gesellschaften Mittel- und Südeuropas, die dafür erforderlichen gesetzlichen Voraussetzungen und sonstigen Rahmenbedingungen (z.B. Infrastruktur) zu schaffen). </w:t>
      </w:r>
    </w:p>
    <w:p w14:paraId="355B07A2" w14:textId="77777777" w:rsidR="004B24AB" w:rsidRPr="00E73F6F" w:rsidRDefault="004B24AB" w:rsidP="005A6636">
      <w:pPr>
        <w:pStyle w:val="StandardText"/>
      </w:pPr>
    </w:p>
    <w:p w14:paraId="0040A46D" w14:textId="77777777" w:rsidR="00FF7799" w:rsidRPr="00E73F6F" w:rsidRDefault="00FF7799" w:rsidP="005A6636">
      <w:pPr>
        <w:pStyle w:val="StandardTextkursiv"/>
      </w:pPr>
      <w:r w:rsidRPr="00E73F6F">
        <w:t>Vertrauen &amp; Kontrolle</w:t>
      </w:r>
    </w:p>
    <w:p w14:paraId="4AF0A384" w14:textId="77777777" w:rsidR="00FF7799" w:rsidRPr="00E73F6F" w:rsidRDefault="00FF7799" w:rsidP="005A6636">
      <w:pPr>
        <w:pStyle w:val="StandardText"/>
      </w:pPr>
      <w:r w:rsidRPr="00E73F6F">
        <w:t xml:space="preserve">Vertrauen ist geeignet, die Transaktionskosten zu senken (bspw. Kontrollkosten). </w:t>
      </w:r>
      <w:r w:rsidRPr="00E35FFF">
        <w:rPr>
          <w:lang w:val="en-US"/>
        </w:rPr>
        <w:t xml:space="preserve">„Our findings indicate that perceived trustworthiness reduces transaction costs and is correlated with greater information sharing in supplier-buyer relationships” (Dyer/Chu 2003, S.57). </w:t>
      </w:r>
      <w:r w:rsidRPr="00E73F6F">
        <w:t>Feminine Werte wie Solidarität, Kooperation oder Hilfsbereitschaft sind besser als maskuline Werte (Wettbewerb, Durchsetzungsfähigkeit, Erfolg) geeignet, Vertrauen zu schaffen (vgl. Schumann et al. 2010; Doney et al. 1998).</w:t>
      </w:r>
    </w:p>
    <w:p w14:paraId="0CBDE875" w14:textId="77777777" w:rsidR="00FF7799" w:rsidRPr="00E73F6F" w:rsidRDefault="00FF7799" w:rsidP="00862DBA">
      <w:pPr>
        <w:spacing w:before="119"/>
        <w:jc w:val="both"/>
        <w:rPr>
          <w:sz w:val="24"/>
          <w:szCs w:val="24"/>
        </w:rPr>
      </w:pPr>
    </w:p>
    <w:p w14:paraId="6C8B88C6" w14:textId="77777777" w:rsidR="00FF7799" w:rsidRPr="00E73F6F" w:rsidRDefault="00FF7799" w:rsidP="004B24AB">
      <w:pPr>
        <w:pStyle w:val="Standardklein"/>
        <w:pBdr>
          <w:top w:val="single" w:sz="4" w:space="1" w:color="auto"/>
          <w:left w:val="single" w:sz="4" w:space="4" w:color="auto"/>
          <w:bottom w:val="single" w:sz="4" w:space="1" w:color="auto"/>
          <w:right w:val="single" w:sz="4" w:space="4" w:color="auto"/>
        </w:pBdr>
        <w:shd w:val="clear" w:color="auto" w:fill="DEEAF6" w:themeFill="accent1" w:themeFillTint="33"/>
        <w:spacing w:before="120" w:after="120"/>
        <w:jc w:val="center"/>
        <w:rPr>
          <w:b/>
        </w:rPr>
      </w:pPr>
      <w:r w:rsidRPr="00E73F6F">
        <w:rPr>
          <w:b/>
        </w:rPr>
        <w:t>Schwedens Kultur des Vertrauens</w:t>
      </w:r>
    </w:p>
    <w:p w14:paraId="400AFD94" w14:textId="77777777" w:rsidR="00184324" w:rsidRPr="00E73F6F" w:rsidRDefault="00FF7799" w:rsidP="004B24AB">
      <w:pPr>
        <w:pStyle w:val="Standardklein"/>
        <w:pBdr>
          <w:top w:val="single" w:sz="4" w:space="1" w:color="auto"/>
          <w:left w:val="single" w:sz="4" w:space="4" w:color="auto"/>
          <w:bottom w:val="single" w:sz="4" w:space="1" w:color="auto"/>
          <w:right w:val="single" w:sz="4" w:space="4" w:color="auto"/>
        </w:pBdr>
        <w:shd w:val="clear" w:color="auto" w:fill="DEEAF6" w:themeFill="accent1" w:themeFillTint="33"/>
        <w:spacing w:before="120" w:after="120"/>
      </w:pPr>
      <w:r w:rsidRPr="00E73F6F">
        <w:t>„Warum hat gerade Vattenfall so große Probleme mit seiner Sicherheitskultur? Schweden ist nicht die Ukraine. Und schwedische Autos gelten als besonders sicher. Was läuft falsch? »Das kann ich euch Deutschen erklären«, sagt L. Höglund. Der Ingenieur war einst hochrangiger Manager bei Vattenfall, Konstruktionschef beim Bau des Atomkraftwerks Forsmark. Heute ist er der schärfste Kritiker. »Ihr Deutschen sagt immer: Vertrauen ist gut, Kontrolle ist besser. Das würde kein Schwede sagen.« In Schweden gibt es eine Kultur des Vertrauens. In vielen Bereichen sind die Skandinavier darum ein Vorbild. Bei der Energieerzeugung bedeutet das jedoch: Für die Kontrolle von Vattenfall ist Vattenfall zuständig. Kontrolle ist den Schweden unangenehm. Eine „hinterfragende Haltung“ gegenüber Kollegen ist nicht erwünscht. »Schweden glauben, dass Vertrauen besser ist«, sagt Höglund. »Ist es auch. Aber nicht im Kernkraftwerk«.“</w:t>
      </w:r>
    </w:p>
    <w:p w14:paraId="00AEF51B" w14:textId="77777777" w:rsidR="00FF7799" w:rsidRPr="00E73F6F" w:rsidRDefault="00FF7799" w:rsidP="004B24AB">
      <w:pPr>
        <w:pStyle w:val="Standardklein"/>
        <w:pBdr>
          <w:top w:val="single" w:sz="4" w:space="1" w:color="auto"/>
          <w:left w:val="single" w:sz="4" w:space="4" w:color="auto"/>
          <w:bottom w:val="single" w:sz="4" w:space="1" w:color="auto"/>
          <w:right w:val="single" w:sz="4" w:space="4" w:color="auto"/>
        </w:pBdr>
        <w:shd w:val="clear" w:color="auto" w:fill="DEEAF6" w:themeFill="accent1" w:themeFillTint="33"/>
        <w:spacing w:before="120" w:after="120"/>
        <w:jc w:val="right"/>
      </w:pPr>
      <w:r w:rsidRPr="00E73F6F">
        <w:t xml:space="preserve">Wüllenweber </w:t>
      </w:r>
      <w:r w:rsidR="004B24AB">
        <w:t>(</w:t>
      </w:r>
      <w:r w:rsidRPr="00E73F6F">
        <w:t>2009, S.50)</w:t>
      </w:r>
    </w:p>
    <w:p w14:paraId="52FDB438" w14:textId="77777777" w:rsidR="00FF7799" w:rsidRPr="00E73F6F" w:rsidRDefault="00FF7799" w:rsidP="004B24AB">
      <w:pPr>
        <w:spacing w:before="119"/>
        <w:jc w:val="right"/>
        <w:rPr>
          <w:sz w:val="24"/>
          <w:szCs w:val="24"/>
        </w:rPr>
      </w:pPr>
    </w:p>
    <w:p w14:paraId="69F7B703" w14:textId="77777777" w:rsidR="00FF7799" w:rsidRPr="00E73F6F" w:rsidRDefault="00FF7799" w:rsidP="005A6636">
      <w:pPr>
        <w:pStyle w:val="StandardTextkursiv"/>
      </w:pPr>
      <w:r w:rsidRPr="00E73F6F">
        <w:t>Einzel- vs. Gruppenentscheidungen</w:t>
      </w:r>
    </w:p>
    <w:p w14:paraId="5F34DE42" w14:textId="77777777" w:rsidR="00FF7799" w:rsidRPr="00E73F6F" w:rsidRDefault="00FF7799" w:rsidP="005A6636">
      <w:pPr>
        <w:pStyle w:val="StandardText"/>
      </w:pPr>
      <w:r w:rsidRPr="00E73F6F">
        <w:t xml:space="preserve">Entscheidungen werden nicht zuletzt davon beeinflusst, ob sie von Einzelpersonen gefällt werden oder von Gruppen. Zwar finden sich auch Hinweise darauf, dass die Gruppendynamik moderierend wirkt und gemäßigte Entscheidungen begünstigt. Die Mehrzahl der Studien unterstützt allerdings die ‘group polarization hypothesis‘ (vgl. Cason/Mui 1997). Ihr zufolge neigen Gruppen dazu, extremere Positionen zu vertreten, als es dem Durschnitt der Einzelmeinungen entspräche. Die einschlägige kulturvergleichende Forschung hat aufgezeigt, dass Angehörige kollektivistischer Gesellschaften für den Polarisierungseffekt unabhängig von ihrer Geschlechtszugehörigkeit überdurchschnittlich anfällig sind, während dies in individualistischen Gesellschaften nur für männliche Versuchsteilnehmer gilt (vgl. Kim/Park 2010). Angehörige maskuliner Gesellschaften wiederum sind von der Überlegenheit von Individualentscheidungen überzeugt (vgl. Emrich et al. 2004, S.347). </w:t>
      </w:r>
    </w:p>
    <w:p w14:paraId="0A3F6099" w14:textId="77777777" w:rsidR="00FF7799" w:rsidRPr="00EA5DE3" w:rsidRDefault="00FF7799" w:rsidP="005A6636">
      <w:pPr>
        <w:pStyle w:val="StandardText"/>
        <w:rPr>
          <w:sz w:val="22"/>
          <w:szCs w:val="22"/>
        </w:rPr>
      </w:pPr>
      <w:r w:rsidRPr="00EA5DE3">
        <w:rPr>
          <w:b/>
          <w:i/>
          <w:sz w:val="22"/>
          <w:szCs w:val="22"/>
          <w:lang w:val="en-US"/>
        </w:rPr>
        <w:t>Literatur:</w:t>
      </w:r>
      <w:r w:rsidRPr="00EA5DE3">
        <w:rPr>
          <w:sz w:val="22"/>
          <w:szCs w:val="22"/>
          <w:lang w:val="en-US"/>
        </w:rPr>
        <w:t xml:space="preserve"> Cason, T.N.; Mui, V.L. (1997): A Laborartory Study of Group Polarisation in the Team Dictator Game, The Economic Journal, 107(444): 1465-1483. Dickmann, M.; Harris, H. (2005): Developing Career Capital for Global Careers. The Role of International Assignments, Journal of World Business, 40(4): 398-408. Deschepper, R.; Grigoryan, L.; Lundborg, L.S.; Hofstede, G.; Cohen, J.; Van Der Kelen, G.; Deliens, L.; Haaijer-Ruskamp, F.M. (2008): Are Cultural Dimensions Relevant for Explaining Cross-National Differences in Antibiotic Use in Europe? BMC Health Service Research, 8(1): 123. </w:t>
      </w:r>
      <w:r w:rsidRPr="00EA5DE3">
        <w:rPr>
          <w:sz w:val="22"/>
          <w:szCs w:val="22"/>
          <w:lang w:val="en-US"/>
        </w:rPr>
        <w:lastRenderedPageBreak/>
        <w:t xml:space="preserve">Doney, P.M.; Cannon, J.P.; Mullen, M.R. (1998): Understanding the Influence of National Culture on the Development of Trust, Academy of Management Review, 23(3): 601-620. </w:t>
      </w:r>
      <w:r w:rsidRPr="00EA5DE3">
        <w:rPr>
          <w:sz w:val="22"/>
          <w:szCs w:val="22"/>
        </w:rPr>
        <w:t xml:space="preserve">Dreyer, P. (2000): Kulturen prägen die Persönlichkeit, in: Böning, U. (Hrsg.), Interkulturelle Business-Kompetenz, 211-233, Frankfurt/Main: Frankfurter Allgemeine Buch. </w:t>
      </w:r>
      <w:r w:rsidRPr="00EA5DE3">
        <w:rPr>
          <w:sz w:val="22"/>
          <w:szCs w:val="22"/>
          <w:lang w:val="en-US"/>
        </w:rPr>
        <w:t xml:space="preserve">Dyer, J.H.; Chu, W. (2003): The Role of Trustworthiness in Reducing Transaction Costs and Improving Performance. Empirical Evidence from the United States, Japan, and Korea, Organization Science, 14(1): 57-68. Emrich, C.G.; Denmark, F.L.; Den Hartog, D.N. (2004): Cross-Cultural Differences in Gender Egalitarianism. Implications for Societies, Organizations, and Leaders, in: House, R.J.; Hanges, P.J.; Javidan, M.; Dorfman, P.W.; Gupta, V. (Eds.), Culture, Leadership, and Organizations. The GLOBE Study of 62 Societies, 343-394, Thousand Oaks/CA: Sage. Gini, C. (1921): Measurement of Inequality of Incomes, Economic Journal, 31(March): 124-126. Holmberg, I.; Åkerblom, S. (2008): “Primus Inter Pares”. Leadership and Culture in Sweden, in: Chhokar, J.S.; Brodbeck, F.C.; House, R.J. (Eds.), Culture and Leadership across the World, 33-74, New York: Lawrence Erlebaum. </w:t>
      </w:r>
      <w:r w:rsidRPr="00EA5DE3">
        <w:rPr>
          <w:sz w:val="22"/>
          <w:szCs w:val="22"/>
        </w:rPr>
        <w:t xml:space="preserve">Huang, N. (2008): Wie Chinesen denken. Denkphilosophie, Welt- und Menschenbilder in China. München: Oldenbourg. Köckritz, A. (2014): Mail aus Peking, Die Zeit, 69(11): 10. Kuhr, D. (2011): Die Kluft zwischen Arm und Reich wächst schneller, Süddeutsche Zeitung, 67(281): 20. Largueze, B. (1995): Le But du Rituel. Bizutage et Parenté Scolaire, Dialogue, 127: 63-73. Loth, D. (2002): Landeskultur und Management am Beispiel von Frankreich und Deutschland, Wirtschaftswissenschaftliches Studium, 31(11): 664-667. Moschner, M. (2000): Fremdenfeindlichkeit als Schwerpunkt im Eurobarometer 53, Zentralarchiv für Empirische Sozialforschung an der Universität zu Köln, 47(Nov.): 69-72. Müller, S.; Gelbrich, K. (2014): Interkulturelle Kommunikation, München: Vahlen. Oesterle, M.-J. (1997): Technologie auf der Flucht, Blick durch die Wirtschaft, 40(170): 3. Reber, G. (1993): Internationalisierung der Betriebswirtschaftslehre, in: Wittmann, W.; Kern, W.; Köhler, R.; Küpper, H.-U.; von Wysocki, K. (Hrsg.), Handwörterbuch der Betriebswirtschaft, 1899-1915, 5. Aufl., Stuttgart: Schäffer-Poeschel. Rothlauf, J. (2012): Interkulturelles Management, 4. Aufl., München: Oldenbourg. </w:t>
      </w:r>
      <w:r w:rsidRPr="00EA5DE3">
        <w:rPr>
          <w:sz w:val="22"/>
          <w:szCs w:val="22"/>
          <w:lang w:val="en-US"/>
        </w:rPr>
        <w:t xml:space="preserve">Schmid, S. (1996): Multikulturalität in der internationalen Unternehmung, Wiesbaden: Gabler. Schumann, J.H.; von Wangenheim, F.; Stringfellow, A.; Yang, Z.; Blazevic, V.; Praxmarer, S.; Shainesh, G.; Komor, M.; Shannon, R.M.; Jiménez, F.R. (2010a): Cross-Cultural Differences in the Effect of Received Word-of-Mouth Referral in Relational Service Exchange, Journal of International Marketing, 18(3): 62-80. Schumann, J.H.; von Wangenheim, F.V.; Stringfellow, A.; Yang, Z.; Praxmarer, S.; Jimenez, F.R.; Komor, M. (2010b): Drivers of Trust in Relational Service Exchange. Understanding the Importance of Cross-Cultural Differences, Journal of Service Research, 13(4): 453-468. </w:t>
      </w:r>
      <w:r w:rsidRPr="00EA5DE3">
        <w:rPr>
          <w:sz w:val="22"/>
          <w:szCs w:val="22"/>
        </w:rPr>
        <w:t xml:space="preserve">Tratner, A. (1997): ENA, mene, muh. Die französische Kaderschmiede und die Krise des Bildungssystems, Süddeutsche Zeitung, 53(121): 13. </w:t>
      </w:r>
      <w:r w:rsidRPr="00EA5DE3">
        <w:rPr>
          <w:sz w:val="22"/>
          <w:szCs w:val="22"/>
          <w:lang w:val="en-US"/>
        </w:rPr>
        <w:t xml:space="preserve">Shane, S. (1992): Why Do Some Societies Invent More than Others? Journal of Business Venturing, 7(1): 29-46. Shane, S. (1993): Cultural Influences on National Rates of Innovation, Journal of Business Venturing, 8(1): 59-73. Shane, S. (1995): Uncertainty Avoidance and the Preference for Innovation Championing Roles, Journal of International Business Studies, 26(1): 47-68. Sully de Luque, M.; Javidan, M. (2004): Uncertainty Avoidance, in: House, R.; Hanges, P.J.; Javidan, M.; Dorfman, P.W.; Gupta, V. (Eds.), Culture, Leadership, and Organizations.The GLOBE Study of 62 Societies, 602-653, Thousand Oaks/CA: Sage. </w:t>
      </w:r>
      <w:r w:rsidRPr="00EA5DE3">
        <w:rPr>
          <w:sz w:val="22"/>
          <w:szCs w:val="22"/>
        </w:rPr>
        <w:t>Wüllenweber, W. (2009): Störfall, Ausfall, Vattenfall, Stern, 62(3): 46-50.</w:t>
      </w:r>
    </w:p>
    <w:p w14:paraId="3C698029" w14:textId="77777777" w:rsidR="00184324" w:rsidRPr="004B24AB" w:rsidRDefault="00184324" w:rsidP="005A6636">
      <w:pPr>
        <w:pStyle w:val="StandardText"/>
      </w:pPr>
    </w:p>
    <w:p w14:paraId="36666FAD" w14:textId="77777777" w:rsidR="00FF7799" w:rsidRPr="00E73F6F" w:rsidRDefault="00FF7799" w:rsidP="00F91246">
      <w:pPr>
        <w:pStyle w:val="berschrift1"/>
      </w:pPr>
      <w:r w:rsidRPr="00CF3D78">
        <w:rPr>
          <w:color w:val="2F5496" w:themeColor="accent5" w:themeShade="BF"/>
        </w:rPr>
        <w:t>Autonomie</w:t>
      </w:r>
      <w:r w:rsidRPr="00E73F6F">
        <w:rPr>
          <w:spacing w:val="-2"/>
        </w:rPr>
        <w:t xml:space="preserve"> </w:t>
      </w:r>
      <w:r w:rsidRPr="00E73F6F">
        <w:rPr>
          <w:b w:val="0"/>
        </w:rPr>
        <w:t>→</w:t>
      </w:r>
      <w:r w:rsidRPr="00E73F6F">
        <w:rPr>
          <w:b w:val="0"/>
          <w:spacing w:val="-4"/>
        </w:rPr>
        <w:t xml:space="preserve"> </w:t>
      </w:r>
      <w:r w:rsidRPr="00E73F6F">
        <w:rPr>
          <w:b w:val="0"/>
        </w:rPr>
        <w:t>Kulturdimensionen nach Schwartz</w:t>
      </w:r>
    </w:p>
    <w:p w14:paraId="12D6FDF7" w14:textId="77777777" w:rsidR="00FF7799" w:rsidRPr="00E73F6F" w:rsidRDefault="00FF7799" w:rsidP="00F91246">
      <w:pPr>
        <w:pStyle w:val="berschrift1"/>
      </w:pPr>
      <w:r w:rsidRPr="00CF3D78">
        <w:rPr>
          <w:color w:val="2F5496" w:themeColor="accent5" w:themeShade="BF"/>
        </w:rPr>
        <w:t>Autoritarismus</w:t>
      </w:r>
      <w:r w:rsidRPr="00E73F6F">
        <w:t xml:space="preserve"> </w:t>
      </w:r>
      <w:r w:rsidRPr="00E73F6F">
        <w:rPr>
          <w:b w:val="0"/>
        </w:rPr>
        <w:t>→ Religiosität</w:t>
      </w:r>
    </w:p>
    <w:p w14:paraId="5CD9B675" w14:textId="77777777" w:rsidR="00FF7799" w:rsidRPr="00CF3D78" w:rsidRDefault="00FF7799" w:rsidP="005B116F">
      <w:pPr>
        <w:pStyle w:val="berschrift1"/>
        <w:rPr>
          <w:color w:val="2F5496" w:themeColor="accent5" w:themeShade="BF"/>
        </w:rPr>
      </w:pPr>
      <w:r w:rsidRPr="00CF3D78">
        <w:rPr>
          <w:color w:val="2F5496" w:themeColor="accent5" w:themeShade="BF"/>
        </w:rPr>
        <w:t>Autostereotyp</w:t>
      </w:r>
    </w:p>
    <w:p w14:paraId="27399C85" w14:textId="77777777" w:rsidR="00FF7799" w:rsidRPr="00E73F6F" w:rsidRDefault="00FF7799" w:rsidP="00862DBA">
      <w:pPr>
        <w:spacing w:before="58"/>
        <w:jc w:val="both"/>
        <w:rPr>
          <w:sz w:val="24"/>
          <w:szCs w:val="24"/>
        </w:rPr>
      </w:pPr>
      <w:r w:rsidRPr="00E73F6F">
        <w:rPr>
          <w:sz w:val="24"/>
          <w:szCs w:val="24"/>
        </w:rPr>
        <w:t>stereotypes Selbstbild. Im Gegensatz dazu wird das stereotype Fremdbild als Heterostereotyp bezeichnet. Während das Heterostereotyp häufig die negativen Anteile</w:t>
      </w:r>
      <w:r w:rsidRPr="00E73F6F">
        <w:rPr>
          <w:spacing w:val="-8"/>
          <w:sz w:val="24"/>
          <w:szCs w:val="24"/>
        </w:rPr>
        <w:t xml:space="preserve"> </w:t>
      </w:r>
      <w:r w:rsidRPr="00E73F6F">
        <w:rPr>
          <w:sz w:val="24"/>
          <w:szCs w:val="24"/>
        </w:rPr>
        <w:t>von</w:t>
      </w:r>
      <w:r w:rsidRPr="00E73F6F">
        <w:rPr>
          <w:spacing w:val="-7"/>
          <w:sz w:val="24"/>
          <w:szCs w:val="24"/>
        </w:rPr>
        <w:t xml:space="preserve"> </w:t>
      </w:r>
      <w:r w:rsidRPr="00E73F6F">
        <w:rPr>
          <w:sz w:val="24"/>
          <w:szCs w:val="24"/>
        </w:rPr>
        <w:t>Stereotypen</w:t>
      </w:r>
      <w:r w:rsidRPr="00E73F6F">
        <w:rPr>
          <w:spacing w:val="-7"/>
          <w:sz w:val="24"/>
          <w:szCs w:val="24"/>
        </w:rPr>
        <w:t xml:space="preserve"> </w:t>
      </w:r>
      <w:r w:rsidRPr="00E73F6F">
        <w:rPr>
          <w:sz w:val="24"/>
          <w:szCs w:val="24"/>
        </w:rPr>
        <w:t>aktualisiert</w:t>
      </w:r>
      <w:r w:rsidRPr="00E73F6F">
        <w:rPr>
          <w:spacing w:val="-5"/>
          <w:sz w:val="24"/>
          <w:szCs w:val="24"/>
        </w:rPr>
        <w:t xml:space="preserve"> </w:t>
      </w:r>
      <w:r w:rsidRPr="00E73F6F">
        <w:rPr>
          <w:sz w:val="24"/>
          <w:szCs w:val="24"/>
        </w:rPr>
        <w:t>(bspw.</w:t>
      </w:r>
      <w:r w:rsidRPr="00E73F6F">
        <w:rPr>
          <w:spacing w:val="-7"/>
          <w:sz w:val="24"/>
          <w:szCs w:val="24"/>
        </w:rPr>
        <w:t xml:space="preserve"> </w:t>
      </w:r>
      <w:r w:rsidRPr="00E73F6F">
        <w:rPr>
          <w:sz w:val="24"/>
          <w:szCs w:val="24"/>
        </w:rPr>
        <w:t>Länderstereotype</w:t>
      </w:r>
      <w:r w:rsidRPr="00E73F6F">
        <w:rPr>
          <w:spacing w:val="-8"/>
          <w:sz w:val="24"/>
          <w:szCs w:val="24"/>
        </w:rPr>
        <w:t xml:space="preserve"> </w:t>
      </w:r>
      <w:r w:rsidRPr="00E73F6F">
        <w:rPr>
          <w:sz w:val="24"/>
          <w:szCs w:val="24"/>
        </w:rPr>
        <w:t>wie</w:t>
      </w:r>
      <w:r w:rsidRPr="00E73F6F">
        <w:rPr>
          <w:spacing w:val="-8"/>
          <w:sz w:val="24"/>
          <w:szCs w:val="24"/>
        </w:rPr>
        <w:t xml:space="preserve"> </w:t>
      </w:r>
      <w:r w:rsidRPr="00E73F6F">
        <w:rPr>
          <w:sz w:val="24"/>
          <w:szCs w:val="24"/>
        </w:rPr>
        <w:t>„Der</w:t>
      </w:r>
      <w:r w:rsidRPr="00E73F6F">
        <w:rPr>
          <w:spacing w:val="-8"/>
          <w:sz w:val="24"/>
          <w:szCs w:val="24"/>
        </w:rPr>
        <w:t xml:space="preserve"> </w:t>
      </w:r>
      <w:r w:rsidRPr="00E73F6F">
        <w:rPr>
          <w:sz w:val="24"/>
          <w:szCs w:val="24"/>
        </w:rPr>
        <w:t>Pole“;</w:t>
      </w:r>
      <w:r w:rsidRPr="00E73F6F">
        <w:rPr>
          <w:spacing w:val="-7"/>
          <w:sz w:val="24"/>
          <w:szCs w:val="24"/>
        </w:rPr>
        <w:t xml:space="preserve"> </w:t>
      </w:r>
      <w:r w:rsidRPr="00E73F6F">
        <w:rPr>
          <w:sz w:val="24"/>
          <w:szCs w:val="24"/>
        </w:rPr>
        <w:t xml:space="preserve">vgl. Orlowski 1996), rückt das Autostereotyp eher die positiven Facetten in den Vordergrund. Zum </w:t>
      </w:r>
      <w:r w:rsidRPr="00E73F6F">
        <w:rPr>
          <w:rFonts w:ascii="Cambria Math" w:hAnsi="Cambria Math" w:cs="Cambria Math"/>
          <w:sz w:val="24"/>
          <w:szCs w:val="24"/>
        </w:rPr>
        <w:t>⇒</w:t>
      </w:r>
      <w:r w:rsidRPr="00E73F6F">
        <w:rPr>
          <w:sz w:val="24"/>
          <w:szCs w:val="24"/>
        </w:rPr>
        <w:t xml:space="preserve"> Nationalcharakter „der Deutschen“ zählen Ernsthaftigkeit, Tiefsinnigkeit etc. (vgl. Florack 2001). Im Heterostereotyp wandelt sich </w:t>
      </w:r>
      <w:r w:rsidRPr="00E73F6F">
        <w:rPr>
          <w:sz w:val="24"/>
          <w:szCs w:val="24"/>
        </w:rPr>
        <w:lastRenderedPageBreak/>
        <w:t>Ernsthaftigkeit</w:t>
      </w:r>
      <w:r w:rsidRPr="00E73F6F">
        <w:rPr>
          <w:spacing w:val="-6"/>
          <w:sz w:val="24"/>
          <w:szCs w:val="24"/>
        </w:rPr>
        <w:t xml:space="preserve"> </w:t>
      </w:r>
      <w:r w:rsidRPr="00E73F6F">
        <w:rPr>
          <w:sz w:val="24"/>
          <w:szCs w:val="24"/>
        </w:rPr>
        <w:t>zur</w:t>
      </w:r>
      <w:r w:rsidRPr="00E73F6F">
        <w:rPr>
          <w:spacing w:val="-6"/>
          <w:sz w:val="24"/>
          <w:szCs w:val="24"/>
        </w:rPr>
        <w:t xml:space="preserve"> </w:t>
      </w:r>
      <w:r w:rsidRPr="00E73F6F">
        <w:rPr>
          <w:sz w:val="24"/>
          <w:szCs w:val="24"/>
        </w:rPr>
        <w:t>Humorlosigkeit</w:t>
      </w:r>
      <w:r w:rsidRPr="00E73F6F">
        <w:rPr>
          <w:spacing w:val="-4"/>
          <w:sz w:val="24"/>
          <w:szCs w:val="24"/>
        </w:rPr>
        <w:t xml:space="preserve"> </w:t>
      </w:r>
      <w:r w:rsidRPr="00E73F6F">
        <w:rPr>
          <w:sz w:val="24"/>
          <w:szCs w:val="24"/>
        </w:rPr>
        <w:t>und</w:t>
      </w:r>
      <w:r w:rsidRPr="00E73F6F">
        <w:rPr>
          <w:spacing w:val="-2"/>
          <w:sz w:val="24"/>
          <w:szCs w:val="24"/>
        </w:rPr>
        <w:t xml:space="preserve"> </w:t>
      </w:r>
      <w:r w:rsidRPr="00E73F6F">
        <w:rPr>
          <w:sz w:val="24"/>
          <w:szCs w:val="24"/>
        </w:rPr>
        <w:t>im</w:t>
      </w:r>
      <w:r w:rsidRPr="00E73F6F">
        <w:rPr>
          <w:spacing w:val="-4"/>
          <w:sz w:val="24"/>
          <w:szCs w:val="24"/>
        </w:rPr>
        <w:t xml:space="preserve"> </w:t>
      </w:r>
      <w:r w:rsidRPr="00E73F6F">
        <w:rPr>
          <w:sz w:val="24"/>
          <w:szCs w:val="24"/>
        </w:rPr>
        <w:t>Autostereotyp</w:t>
      </w:r>
      <w:r w:rsidRPr="00E73F6F">
        <w:rPr>
          <w:spacing w:val="-4"/>
          <w:sz w:val="24"/>
          <w:szCs w:val="24"/>
        </w:rPr>
        <w:t xml:space="preserve"> </w:t>
      </w:r>
      <w:r w:rsidRPr="00E73F6F">
        <w:rPr>
          <w:sz w:val="24"/>
          <w:szCs w:val="24"/>
        </w:rPr>
        <w:t>zur</w:t>
      </w:r>
      <w:r w:rsidRPr="00E73F6F">
        <w:rPr>
          <w:spacing w:val="-6"/>
          <w:sz w:val="24"/>
          <w:szCs w:val="24"/>
        </w:rPr>
        <w:t xml:space="preserve"> </w:t>
      </w:r>
      <w:r w:rsidRPr="00E73F6F">
        <w:rPr>
          <w:sz w:val="24"/>
          <w:szCs w:val="24"/>
        </w:rPr>
        <w:t>Verlässlichkeit.</w:t>
      </w:r>
      <w:r w:rsidRPr="00E73F6F">
        <w:rPr>
          <w:spacing w:val="-6"/>
          <w:sz w:val="24"/>
          <w:szCs w:val="24"/>
        </w:rPr>
        <w:t xml:space="preserve"> </w:t>
      </w:r>
      <w:r w:rsidRPr="00E73F6F">
        <w:rPr>
          <w:sz w:val="24"/>
          <w:szCs w:val="24"/>
        </w:rPr>
        <w:t>Das Autostereotyp einer ethnischen Gruppe besteht aus einer Auflistung von identitätsstiftenden Eigenschaften, welche eine Ethnie bzw. ein Volk sich selbst zuschreiben. Indem man diese als Persönlichkeitseigenschaften begreift, wird suggeriert, dass es sich um stabile Eigenschaften handelt.</w:t>
      </w:r>
    </w:p>
    <w:p w14:paraId="68365103" w14:textId="77777777" w:rsidR="00FF7799" w:rsidRPr="00E73F6F" w:rsidRDefault="00FF7799" w:rsidP="004B24AB">
      <w:pPr>
        <w:spacing w:before="92"/>
        <w:rPr>
          <w:spacing w:val="-2"/>
          <w:sz w:val="24"/>
          <w:szCs w:val="24"/>
        </w:rPr>
      </w:pPr>
      <w:r w:rsidRPr="00EA5DE3">
        <w:rPr>
          <w:b/>
          <w:i/>
        </w:rPr>
        <w:t>Literatur:</w:t>
      </w:r>
      <w:r w:rsidRPr="00EA5DE3">
        <w:rPr>
          <w:b/>
        </w:rPr>
        <w:t xml:space="preserve"> </w:t>
      </w:r>
      <w:r w:rsidRPr="00EA5DE3">
        <w:rPr>
          <w:i/>
        </w:rPr>
        <w:t xml:space="preserve">Florack, R. </w:t>
      </w:r>
      <w:r w:rsidRPr="00EA5DE3">
        <w:t>(2001): Tiefsinnige Deutsche, frivole Franzosen. Nationale</w:t>
      </w:r>
      <w:r w:rsidRPr="00EA5DE3">
        <w:rPr>
          <w:spacing w:val="40"/>
        </w:rPr>
        <w:t xml:space="preserve"> </w:t>
      </w:r>
      <w:r w:rsidRPr="00EA5DE3">
        <w:t>Stereotype</w:t>
      </w:r>
      <w:r w:rsidRPr="00EA5DE3">
        <w:rPr>
          <w:spacing w:val="-10"/>
        </w:rPr>
        <w:t xml:space="preserve"> </w:t>
      </w:r>
      <w:r w:rsidRPr="00EA5DE3">
        <w:t>in</w:t>
      </w:r>
      <w:r w:rsidRPr="00EA5DE3">
        <w:rPr>
          <w:spacing w:val="-10"/>
        </w:rPr>
        <w:t xml:space="preserve"> </w:t>
      </w:r>
      <w:r w:rsidRPr="00EA5DE3">
        <w:t>deutscher</w:t>
      </w:r>
      <w:r w:rsidRPr="00EA5DE3">
        <w:rPr>
          <w:spacing w:val="-10"/>
        </w:rPr>
        <w:t xml:space="preserve"> </w:t>
      </w:r>
      <w:r w:rsidRPr="00EA5DE3">
        <w:t>und</w:t>
      </w:r>
      <w:r w:rsidRPr="00EA5DE3">
        <w:rPr>
          <w:spacing w:val="-10"/>
        </w:rPr>
        <w:t xml:space="preserve"> </w:t>
      </w:r>
      <w:r w:rsidRPr="00EA5DE3">
        <w:t>französischer</w:t>
      </w:r>
      <w:r w:rsidRPr="00EA5DE3">
        <w:rPr>
          <w:spacing w:val="-10"/>
        </w:rPr>
        <w:t xml:space="preserve"> </w:t>
      </w:r>
      <w:r w:rsidRPr="00EA5DE3">
        <w:t>Literatur,</w:t>
      </w:r>
      <w:r w:rsidRPr="00EA5DE3">
        <w:rPr>
          <w:spacing w:val="-10"/>
        </w:rPr>
        <w:t xml:space="preserve"> </w:t>
      </w:r>
      <w:r w:rsidRPr="00EA5DE3">
        <w:t>Stuttgart:</w:t>
      </w:r>
      <w:r w:rsidRPr="00EA5DE3">
        <w:rPr>
          <w:spacing w:val="-10"/>
        </w:rPr>
        <w:t xml:space="preserve"> </w:t>
      </w:r>
      <w:r w:rsidRPr="00EA5DE3">
        <w:t>Metzler.</w:t>
      </w:r>
      <w:r w:rsidRPr="00EA5DE3">
        <w:rPr>
          <w:spacing w:val="40"/>
        </w:rPr>
        <w:t xml:space="preserve"> </w:t>
      </w:r>
      <w:r w:rsidRPr="00EA5DE3">
        <w:rPr>
          <w:i/>
        </w:rPr>
        <w:t>Orlowski,</w:t>
      </w:r>
      <w:r w:rsidRPr="00EA5DE3">
        <w:rPr>
          <w:i/>
          <w:spacing w:val="-9"/>
        </w:rPr>
        <w:t xml:space="preserve"> </w:t>
      </w:r>
      <w:r w:rsidRPr="00EA5DE3">
        <w:rPr>
          <w:i/>
        </w:rPr>
        <w:t>H</w:t>
      </w:r>
      <w:r w:rsidRPr="00EA5DE3">
        <w:t>.</w:t>
      </w:r>
      <w:r w:rsidRPr="00EA5DE3">
        <w:rPr>
          <w:spacing w:val="-9"/>
        </w:rPr>
        <w:t xml:space="preserve"> </w:t>
      </w:r>
      <w:r w:rsidRPr="00EA5DE3">
        <w:t>(1996):</w:t>
      </w:r>
      <w:r w:rsidRPr="00EA5DE3">
        <w:rPr>
          <w:spacing w:val="40"/>
        </w:rPr>
        <w:t xml:space="preserve"> </w:t>
      </w:r>
      <w:r w:rsidRPr="00EA5DE3">
        <w:rPr>
          <w:spacing w:val="-2"/>
        </w:rPr>
        <w:t>Polnische</w:t>
      </w:r>
      <w:r w:rsidRPr="00EA5DE3">
        <w:rPr>
          <w:spacing w:val="-3"/>
        </w:rPr>
        <w:t xml:space="preserve"> </w:t>
      </w:r>
      <w:r w:rsidRPr="00EA5DE3">
        <w:rPr>
          <w:spacing w:val="-2"/>
        </w:rPr>
        <w:t>Wirtschaft. Zum</w:t>
      </w:r>
      <w:r w:rsidRPr="00EA5DE3">
        <w:rPr>
          <w:spacing w:val="-5"/>
        </w:rPr>
        <w:t xml:space="preserve"> </w:t>
      </w:r>
      <w:r w:rsidRPr="00EA5DE3">
        <w:rPr>
          <w:spacing w:val="-2"/>
        </w:rPr>
        <w:t>deutschen</w:t>
      </w:r>
      <w:r w:rsidRPr="00EA5DE3">
        <w:rPr>
          <w:spacing w:val="-3"/>
        </w:rPr>
        <w:t xml:space="preserve"> </w:t>
      </w:r>
      <w:r w:rsidRPr="00EA5DE3">
        <w:rPr>
          <w:spacing w:val="-2"/>
        </w:rPr>
        <w:t>Polendiskurs</w:t>
      </w:r>
      <w:r w:rsidRPr="00EA5DE3">
        <w:rPr>
          <w:spacing w:val="-1"/>
        </w:rPr>
        <w:t xml:space="preserve"> </w:t>
      </w:r>
      <w:r w:rsidRPr="00EA5DE3">
        <w:rPr>
          <w:spacing w:val="-2"/>
        </w:rPr>
        <w:t>in der</w:t>
      </w:r>
      <w:r w:rsidRPr="00EA5DE3">
        <w:rPr>
          <w:spacing w:val="1"/>
        </w:rPr>
        <w:t xml:space="preserve"> </w:t>
      </w:r>
      <w:r w:rsidRPr="00EA5DE3">
        <w:rPr>
          <w:spacing w:val="-2"/>
        </w:rPr>
        <w:t>Neuzeit,</w:t>
      </w:r>
      <w:r w:rsidRPr="00EA5DE3">
        <w:rPr>
          <w:spacing w:val="-3"/>
        </w:rPr>
        <w:t xml:space="preserve"> </w:t>
      </w:r>
      <w:r w:rsidRPr="00EA5DE3">
        <w:rPr>
          <w:spacing w:val="-2"/>
        </w:rPr>
        <w:t>Wiesbaden:</w:t>
      </w:r>
      <w:r w:rsidRPr="00EA5DE3">
        <w:rPr>
          <w:spacing w:val="-3"/>
        </w:rPr>
        <w:t xml:space="preserve"> </w:t>
      </w:r>
      <w:r w:rsidRPr="00EA5DE3">
        <w:rPr>
          <w:spacing w:val="-2"/>
        </w:rPr>
        <w:t>Harrassowitz</w:t>
      </w:r>
      <w:r w:rsidRPr="00E73F6F">
        <w:rPr>
          <w:spacing w:val="-2"/>
          <w:sz w:val="24"/>
          <w:szCs w:val="24"/>
        </w:rPr>
        <w:t>.</w:t>
      </w:r>
    </w:p>
    <w:p w14:paraId="06CED0DC" w14:textId="77777777" w:rsidR="00177529" w:rsidRPr="00E73F6F" w:rsidRDefault="00177529" w:rsidP="004B24AB">
      <w:pPr>
        <w:spacing w:before="92"/>
        <w:rPr>
          <w:sz w:val="24"/>
          <w:szCs w:val="24"/>
        </w:rPr>
      </w:pPr>
    </w:p>
    <w:p w14:paraId="472F498F" w14:textId="77777777" w:rsidR="00FF7799" w:rsidRPr="00E73F6F" w:rsidRDefault="00FF7799" w:rsidP="005B116F">
      <w:pPr>
        <w:pStyle w:val="berschrift1"/>
      </w:pPr>
      <w:r w:rsidRPr="00CF3D78">
        <w:rPr>
          <w:color w:val="2F5496" w:themeColor="accent5" w:themeShade="BF"/>
        </w:rPr>
        <w:t>AZR</w:t>
      </w:r>
      <w:r w:rsidRPr="00E73F6F">
        <w:rPr>
          <w:spacing w:val="-2"/>
        </w:rPr>
        <w:t xml:space="preserve"> </w:t>
      </w:r>
      <w:r w:rsidRPr="00E73F6F">
        <w:rPr>
          <w:b w:val="0"/>
        </w:rPr>
        <w:t>→ Ausländerzentralregister</w:t>
      </w:r>
    </w:p>
    <w:p w14:paraId="7C25D148" w14:textId="77777777" w:rsidR="00FF7799" w:rsidRPr="00CF3D78" w:rsidRDefault="00FF7799" w:rsidP="00862DBA">
      <w:pPr>
        <w:pStyle w:val="berschrift1"/>
        <w:jc w:val="both"/>
        <w:rPr>
          <w:color w:val="2F5496" w:themeColor="accent5" w:themeShade="BF"/>
        </w:rPr>
      </w:pPr>
      <w:r w:rsidRPr="00CF3D78">
        <w:rPr>
          <w:color w:val="2F5496" w:themeColor="accent5" w:themeShade="BF"/>
        </w:rPr>
        <w:t>BaFá BaFá</w:t>
      </w:r>
    </w:p>
    <w:p w14:paraId="51DAAB4B" w14:textId="77777777" w:rsidR="00FF7799" w:rsidRPr="00EA5DE3" w:rsidRDefault="00FF7799" w:rsidP="003F7F32">
      <w:pPr>
        <w:pStyle w:val="StandardText"/>
      </w:pPr>
      <w:r w:rsidRPr="00EA5DE3">
        <w:t>allgemeines, d.h. kulturunspezifisches interkulturelles Training. BaFá BaFá bedient</w:t>
      </w:r>
      <w:r w:rsidRPr="00EA5DE3">
        <w:rPr>
          <w:spacing w:val="-5"/>
        </w:rPr>
        <w:t xml:space="preserve"> </w:t>
      </w:r>
      <w:r w:rsidRPr="00EA5DE3">
        <w:t>sich</w:t>
      </w:r>
      <w:r w:rsidRPr="00EA5DE3">
        <w:rPr>
          <w:spacing w:val="-4"/>
        </w:rPr>
        <w:t xml:space="preserve"> </w:t>
      </w:r>
      <w:r w:rsidRPr="00EA5DE3">
        <w:t>der</w:t>
      </w:r>
      <w:r w:rsidRPr="00EA5DE3">
        <w:rPr>
          <w:spacing w:val="-5"/>
        </w:rPr>
        <w:t xml:space="preserve"> </w:t>
      </w:r>
      <w:r w:rsidRPr="00EA5DE3">
        <w:t>Simulationsmethode</w:t>
      </w:r>
      <w:r w:rsidRPr="00EA5DE3">
        <w:rPr>
          <w:spacing w:val="-4"/>
        </w:rPr>
        <w:t xml:space="preserve"> </w:t>
      </w:r>
      <w:r w:rsidRPr="00EA5DE3">
        <w:t>und</w:t>
      </w:r>
      <w:r w:rsidRPr="00EA5DE3">
        <w:rPr>
          <w:spacing w:val="-4"/>
        </w:rPr>
        <w:t xml:space="preserve"> </w:t>
      </w:r>
      <w:r w:rsidRPr="00EA5DE3">
        <w:t>verfolgt</w:t>
      </w:r>
      <w:r w:rsidRPr="00EA5DE3">
        <w:rPr>
          <w:spacing w:val="-7"/>
        </w:rPr>
        <w:t xml:space="preserve"> </w:t>
      </w:r>
      <w:r w:rsidRPr="00EA5DE3">
        <w:t>das</w:t>
      </w:r>
      <w:r w:rsidRPr="00EA5DE3">
        <w:rPr>
          <w:spacing w:val="-6"/>
        </w:rPr>
        <w:t xml:space="preserve"> </w:t>
      </w:r>
      <w:r w:rsidRPr="00EA5DE3">
        <w:t>übergeordnete</w:t>
      </w:r>
      <w:r w:rsidRPr="00EA5DE3">
        <w:rPr>
          <w:spacing w:val="-6"/>
        </w:rPr>
        <w:t xml:space="preserve"> </w:t>
      </w:r>
      <w:r w:rsidRPr="00EA5DE3">
        <w:t>Lernziel,</w:t>
      </w:r>
      <w:r w:rsidRPr="00EA5DE3">
        <w:rPr>
          <w:spacing w:val="-5"/>
        </w:rPr>
        <w:t xml:space="preserve"> </w:t>
      </w:r>
      <w:r w:rsidRPr="00EA5DE3">
        <w:t>die interkulturelle Sensitivität zu fördern (vgl. Pruegger/Rogers 1994). Ursprünglich für die Zwecke der US-Navy entwickelt, wurde BaFá BaFá später bspw. auch Bestandteil des Programms, das die Bosch-Gruppe zur Vorbereitung ihrer Entsandten auf Auslandseinsätze entwickelt hat.</w:t>
      </w:r>
    </w:p>
    <w:p w14:paraId="534E9774" w14:textId="7AE7ACE3" w:rsidR="00FF7799" w:rsidRPr="00CF3D78" w:rsidRDefault="00FF7799" w:rsidP="00CF3D78">
      <w:pPr>
        <w:pStyle w:val="StandardText"/>
      </w:pPr>
      <w:r w:rsidRPr="00EA5DE3">
        <w:t>Um die kulturbedingte Relativität von Normen, Werten und Verhaltensstandards unmittelbar und so realistisch wie möglich erleben zu können, werden die Kursteilnehmer</w:t>
      </w:r>
      <w:r w:rsidRPr="00EA5DE3">
        <w:rPr>
          <w:spacing w:val="-12"/>
        </w:rPr>
        <w:t xml:space="preserve"> </w:t>
      </w:r>
      <w:r w:rsidRPr="00EA5DE3">
        <w:t>einer</w:t>
      </w:r>
      <w:r w:rsidRPr="00EA5DE3">
        <w:rPr>
          <w:spacing w:val="-11"/>
        </w:rPr>
        <w:t xml:space="preserve"> </w:t>
      </w:r>
      <w:r w:rsidRPr="00EA5DE3">
        <w:t>von</w:t>
      </w:r>
      <w:r w:rsidRPr="00EA5DE3">
        <w:rPr>
          <w:spacing w:val="-11"/>
        </w:rPr>
        <w:t xml:space="preserve"> </w:t>
      </w:r>
      <w:r w:rsidRPr="00EA5DE3">
        <w:t>zwei</w:t>
      </w:r>
      <w:r w:rsidRPr="00EA5DE3">
        <w:rPr>
          <w:spacing w:val="-11"/>
        </w:rPr>
        <w:t xml:space="preserve"> </w:t>
      </w:r>
      <w:r w:rsidRPr="00EA5DE3">
        <w:t>fiktiven</w:t>
      </w:r>
      <w:r w:rsidRPr="00EA5DE3">
        <w:rPr>
          <w:spacing w:val="-12"/>
        </w:rPr>
        <w:t xml:space="preserve"> </w:t>
      </w:r>
      <w:r w:rsidRPr="00EA5DE3">
        <w:t>Kulturen</w:t>
      </w:r>
      <w:r w:rsidRPr="00EA5DE3">
        <w:rPr>
          <w:spacing w:val="-11"/>
        </w:rPr>
        <w:t xml:space="preserve"> </w:t>
      </w:r>
      <w:r w:rsidRPr="00EA5DE3">
        <w:t>zugeteilt</w:t>
      </w:r>
      <w:r w:rsidRPr="00EA5DE3">
        <w:rPr>
          <w:spacing w:val="-11"/>
        </w:rPr>
        <w:t xml:space="preserve"> </w:t>
      </w:r>
      <w:r w:rsidRPr="00EA5DE3">
        <w:t>(vgl.</w:t>
      </w:r>
      <w:r w:rsidRPr="00EA5DE3">
        <w:rPr>
          <w:spacing w:val="-11"/>
        </w:rPr>
        <w:t xml:space="preserve"> </w:t>
      </w:r>
      <w:r w:rsidRPr="00EA5DE3">
        <w:t>Shirts</w:t>
      </w:r>
      <w:r w:rsidRPr="00EA5DE3">
        <w:rPr>
          <w:spacing w:val="-12"/>
        </w:rPr>
        <w:t xml:space="preserve"> </w:t>
      </w:r>
      <w:r w:rsidRPr="00EA5DE3">
        <w:t>1995;</w:t>
      </w:r>
      <w:r w:rsidRPr="00EA5DE3">
        <w:rPr>
          <w:spacing w:val="-11"/>
        </w:rPr>
        <w:t xml:space="preserve"> </w:t>
      </w:r>
      <w:r w:rsidRPr="00EA5DE3">
        <w:t>1977). Kultur Alpha simuliert eine patriarchalisch (oder matriarchalisch) geprägte Gesellschaft, deren Mitglieder freundlich und warmherzig miteinander umgehen. Hierbei hilft eine Sprache,</w:t>
      </w:r>
      <w:r w:rsidRPr="00EA5DE3">
        <w:rPr>
          <w:spacing w:val="-2"/>
        </w:rPr>
        <w:t xml:space="preserve"> </w:t>
      </w:r>
      <w:r w:rsidRPr="00EA5DE3">
        <w:t>die alle beherrschen. Wichtig sind</w:t>
      </w:r>
      <w:r w:rsidRPr="00EA5DE3">
        <w:rPr>
          <w:spacing w:val="-1"/>
        </w:rPr>
        <w:t xml:space="preserve"> </w:t>
      </w:r>
      <w:r w:rsidRPr="00EA5DE3">
        <w:t>Freundschaften,</w:t>
      </w:r>
      <w:r w:rsidRPr="00EA5DE3">
        <w:rPr>
          <w:spacing w:val="-2"/>
        </w:rPr>
        <w:t xml:space="preserve"> </w:t>
      </w:r>
      <w:r w:rsidRPr="00EA5DE3">
        <w:t>die durch ein bestimmtes Ritual bekräftigt werden. In der Kultur Beta dreht sich hingegen</w:t>
      </w:r>
      <w:r w:rsidRPr="00EA5DE3">
        <w:rPr>
          <w:spacing w:val="-6"/>
        </w:rPr>
        <w:t xml:space="preserve"> </w:t>
      </w:r>
      <w:r w:rsidRPr="00EA5DE3">
        <w:t>alles</w:t>
      </w:r>
      <w:r w:rsidRPr="00EA5DE3">
        <w:rPr>
          <w:spacing w:val="-5"/>
        </w:rPr>
        <w:t xml:space="preserve"> </w:t>
      </w:r>
      <w:r w:rsidRPr="00EA5DE3">
        <w:t>um</w:t>
      </w:r>
      <w:r w:rsidRPr="00EA5DE3">
        <w:rPr>
          <w:spacing w:val="-7"/>
        </w:rPr>
        <w:t xml:space="preserve"> </w:t>
      </w:r>
      <w:r w:rsidRPr="00EA5DE3">
        <w:t>das</w:t>
      </w:r>
      <w:r w:rsidRPr="00EA5DE3">
        <w:rPr>
          <w:spacing w:val="-5"/>
        </w:rPr>
        <w:t xml:space="preserve"> </w:t>
      </w:r>
      <w:r w:rsidRPr="00EA5DE3">
        <w:t>Sammeln</w:t>
      </w:r>
      <w:r w:rsidRPr="00EA5DE3">
        <w:rPr>
          <w:spacing w:val="-5"/>
        </w:rPr>
        <w:t xml:space="preserve"> </w:t>
      </w:r>
      <w:r w:rsidRPr="00EA5DE3">
        <w:t>von</w:t>
      </w:r>
      <w:r w:rsidRPr="00EA5DE3">
        <w:rPr>
          <w:spacing w:val="-6"/>
        </w:rPr>
        <w:t xml:space="preserve"> </w:t>
      </w:r>
      <w:r w:rsidRPr="00EA5DE3">
        <w:t>„Punkten“.</w:t>
      </w:r>
      <w:r w:rsidRPr="00EA5DE3">
        <w:rPr>
          <w:spacing w:val="-6"/>
        </w:rPr>
        <w:t xml:space="preserve"> </w:t>
      </w:r>
      <w:r w:rsidRPr="00EA5DE3">
        <w:t>Sie</w:t>
      </w:r>
      <w:r w:rsidRPr="00EA5DE3">
        <w:rPr>
          <w:spacing w:val="-7"/>
        </w:rPr>
        <w:t xml:space="preserve"> </w:t>
      </w:r>
      <w:r w:rsidRPr="00EA5DE3">
        <w:t>können</w:t>
      </w:r>
      <w:r w:rsidRPr="00EA5DE3">
        <w:rPr>
          <w:spacing w:val="-6"/>
        </w:rPr>
        <w:t xml:space="preserve"> </w:t>
      </w:r>
      <w:r w:rsidRPr="00EA5DE3">
        <w:t>nur</w:t>
      </w:r>
      <w:r w:rsidRPr="00EA5DE3">
        <w:rPr>
          <w:spacing w:val="-7"/>
        </w:rPr>
        <w:t xml:space="preserve"> </w:t>
      </w:r>
      <w:r w:rsidRPr="00EA5DE3">
        <w:t>durch</w:t>
      </w:r>
      <w:r w:rsidRPr="00EA5DE3">
        <w:rPr>
          <w:spacing w:val="-3"/>
        </w:rPr>
        <w:t xml:space="preserve"> </w:t>
      </w:r>
      <w:r w:rsidRPr="00EA5DE3">
        <w:t>den</w:t>
      </w:r>
      <w:r w:rsidRPr="00EA5DE3">
        <w:rPr>
          <w:spacing w:val="-6"/>
        </w:rPr>
        <w:t xml:space="preserve"> </w:t>
      </w:r>
      <w:r w:rsidRPr="00EA5DE3">
        <w:t>Handel mit</w:t>
      </w:r>
      <w:r w:rsidRPr="00EA5DE3">
        <w:rPr>
          <w:spacing w:val="61"/>
        </w:rPr>
        <w:t xml:space="preserve"> </w:t>
      </w:r>
      <w:r w:rsidRPr="00EA5DE3">
        <w:t>anderen</w:t>
      </w:r>
      <w:r w:rsidRPr="00EA5DE3">
        <w:rPr>
          <w:spacing w:val="60"/>
        </w:rPr>
        <w:t xml:space="preserve"> </w:t>
      </w:r>
      <w:r w:rsidRPr="00EA5DE3">
        <w:t>gewonnen</w:t>
      </w:r>
      <w:r w:rsidRPr="00EA5DE3">
        <w:rPr>
          <w:spacing w:val="62"/>
        </w:rPr>
        <w:t xml:space="preserve"> </w:t>
      </w:r>
      <w:r w:rsidRPr="00EA5DE3">
        <w:t>werden.</w:t>
      </w:r>
      <w:r w:rsidRPr="00EA5DE3">
        <w:rPr>
          <w:spacing w:val="59"/>
        </w:rPr>
        <w:t xml:space="preserve"> </w:t>
      </w:r>
      <w:r w:rsidRPr="00EA5DE3">
        <w:t>Eine</w:t>
      </w:r>
      <w:r w:rsidRPr="00EA5DE3">
        <w:rPr>
          <w:spacing w:val="58"/>
        </w:rPr>
        <w:t xml:space="preserve"> </w:t>
      </w:r>
      <w:r w:rsidRPr="00EA5DE3">
        <w:t>künstliche,</w:t>
      </w:r>
      <w:r w:rsidRPr="00EA5DE3">
        <w:rPr>
          <w:spacing w:val="62"/>
        </w:rPr>
        <w:t xml:space="preserve"> </w:t>
      </w:r>
      <w:r w:rsidRPr="00EA5DE3">
        <w:t>mit</w:t>
      </w:r>
      <w:r w:rsidRPr="00EA5DE3">
        <w:rPr>
          <w:spacing w:val="60"/>
        </w:rPr>
        <w:t xml:space="preserve"> </w:t>
      </w:r>
      <w:r w:rsidRPr="00EA5DE3">
        <w:t>Tierlauten</w:t>
      </w:r>
      <w:r w:rsidR="001C7C30">
        <w:rPr>
          <w:spacing w:val="62"/>
        </w:rPr>
        <w:t xml:space="preserve"> </w:t>
      </w:r>
      <w:r w:rsidRPr="00EA5DE3">
        <w:rPr>
          <w:spacing w:val="-2"/>
        </w:rPr>
        <w:t>durchsetzte</w:t>
      </w:r>
      <w:r w:rsidR="006E735E">
        <w:rPr>
          <w:szCs w:val="24"/>
        </w:rPr>
        <w:t xml:space="preserve"> </w:t>
      </w:r>
      <w:r w:rsidRPr="00EA5DE3">
        <w:rPr>
          <w:szCs w:val="24"/>
        </w:rPr>
        <w:t>Sprache“</w:t>
      </w:r>
      <w:r w:rsidRPr="00EA5DE3">
        <w:rPr>
          <w:spacing w:val="-2"/>
          <w:szCs w:val="24"/>
        </w:rPr>
        <w:t xml:space="preserve"> </w:t>
      </w:r>
      <w:r w:rsidRPr="00EA5DE3">
        <w:rPr>
          <w:szCs w:val="24"/>
        </w:rPr>
        <w:t>dient</w:t>
      </w:r>
      <w:r w:rsidRPr="00EA5DE3">
        <w:rPr>
          <w:spacing w:val="-2"/>
          <w:szCs w:val="24"/>
        </w:rPr>
        <w:t xml:space="preserve"> </w:t>
      </w:r>
      <w:r w:rsidRPr="00EA5DE3">
        <w:rPr>
          <w:szCs w:val="24"/>
        </w:rPr>
        <w:t xml:space="preserve">der </w:t>
      </w:r>
      <w:r w:rsidRPr="00EA5DE3">
        <w:rPr>
          <w:spacing w:val="-2"/>
          <w:szCs w:val="24"/>
        </w:rPr>
        <w:t>Verständigung.</w:t>
      </w:r>
    </w:p>
    <w:p w14:paraId="09151389" w14:textId="7E6A7E23" w:rsidR="00FF7799" w:rsidRPr="00EA5DE3" w:rsidRDefault="00FF7799" w:rsidP="003F7F32">
      <w:pPr>
        <w:pStyle w:val="StandardText"/>
      </w:pPr>
      <w:r w:rsidRPr="00EA5DE3">
        <w:rPr>
          <w:szCs w:val="24"/>
        </w:rPr>
        <w:t>Zunächst</w:t>
      </w:r>
      <w:r w:rsidRPr="00EA5DE3">
        <w:rPr>
          <w:spacing w:val="10"/>
          <w:szCs w:val="24"/>
        </w:rPr>
        <w:t xml:space="preserve"> </w:t>
      </w:r>
      <w:r w:rsidRPr="00EA5DE3">
        <w:rPr>
          <w:szCs w:val="24"/>
        </w:rPr>
        <w:t>lernen</w:t>
      </w:r>
      <w:r w:rsidRPr="00EA5DE3">
        <w:rPr>
          <w:spacing w:val="11"/>
          <w:szCs w:val="24"/>
        </w:rPr>
        <w:t xml:space="preserve"> </w:t>
      </w:r>
      <w:r w:rsidRPr="00EA5DE3">
        <w:rPr>
          <w:szCs w:val="24"/>
        </w:rPr>
        <w:t>die</w:t>
      </w:r>
      <w:r w:rsidRPr="00EA5DE3">
        <w:rPr>
          <w:spacing w:val="12"/>
          <w:szCs w:val="24"/>
        </w:rPr>
        <w:t xml:space="preserve"> </w:t>
      </w:r>
      <w:r w:rsidRPr="00EA5DE3">
        <w:rPr>
          <w:szCs w:val="24"/>
        </w:rPr>
        <w:t>Trainingsteilnehmer,</w:t>
      </w:r>
      <w:r w:rsidRPr="00EA5DE3">
        <w:rPr>
          <w:spacing w:val="13"/>
          <w:szCs w:val="24"/>
        </w:rPr>
        <w:t xml:space="preserve"> </w:t>
      </w:r>
      <w:r w:rsidRPr="00EA5DE3">
        <w:rPr>
          <w:szCs w:val="24"/>
        </w:rPr>
        <w:t>sich</w:t>
      </w:r>
      <w:r w:rsidRPr="00EA5DE3">
        <w:rPr>
          <w:spacing w:val="13"/>
          <w:szCs w:val="24"/>
        </w:rPr>
        <w:t xml:space="preserve"> </w:t>
      </w:r>
      <w:r w:rsidRPr="00EA5DE3">
        <w:rPr>
          <w:szCs w:val="24"/>
        </w:rPr>
        <w:t>entsprechend</w:t>
      </w:r>
      <w:r w:rsidRPr="00EA5DE3">
        <w:rPr>
          <w:spacing w:val="13"/>
          <w:szCs w:val="24"/>
        </w:rPr>
        <w:t xml:space="preserve"> </w:t>
      </w:r>
      <w:r w:rsidRPr="00EA5DE3">
        <w:rPr>
          <w:szCs w:val="24"/>
        </w:rPr>
        <w:t>den</w:t>
      </w:r>
      <w:r w:rsidRPr="00EA5DE3">
        <w:rPr>
          <w:spacing w:val="14"/>
          <w:szCs w:val="24"/>
        </w:rPr>
        <w:t xml:space="preserve"> </w:t>
      </w:r>
      <w:r w:rsidR="001E3F72">
        <w:sym w:font="Symbol" w:char="F0DE"/>
      </w:r>
      <w:r w:rsidR="001E3F72">
        <w:t xml:space="preserve"> </w:t>
      </w:r>
      <w:r w:rsidRPr="00EA5DE3">
        <w:rPr>
          <w:spacing w:val="-2"/>
          <w:szCs w:val="24"/>
        </w:rPr>
        <w:t xml:space="preserve">Kulturstandards </w:t>
      </w:r>
      <w:r w:rsidRPr="00EA5DE3">
        <w:t>„ihrer Kultur“ (Alpha oder Beta) zu verhalten. Wie begrüßt man jemanden? Wie ruft</w:t>
      </w:r>
      <w:r w:rsidRPr="00EA5DE3">
        <w:rPr>
          <w:spacing w:val="-12"/>
        </w:rPr>
        <w:t xml:space="preserve"> </w:t>
      </w:r>
      <w:r w:rsidRPr="00EA5DE3">
        <w:t>man</w:t>
      </w:r>
      <w:r w:rsidRPr="00EA5DE3">
        <w:rPr>
          <w:spacing w:val="-11"/>
        </w:rPr>
        <w:t xml:space="preserve"> </w:t>
      </w:r>
      <w:r w:rsidRPr="00EA5DE3">
        <w:t>um</w:t>
      </w:r>
      <w:r w:rsidRPr="00EA5DE3">
        <w:rPr>
          <w:spacing w:val="-11"/>
        </w:rPr>
        <w:t xml:space="preserve"> </w:t>
      </w:r>
      <w:r w:rsidRPr="00EA5DE3">
        <w:t>Hilfe?</w:t>
      </w:r>
      <w:r w:rsidRPr="00EA5DE3">
        <w:rPr>
          <w:spacing w:val="-11"/>
        </w:rPr>
        <w:t xml:space="preserve"> </w:t>
      </w:r>
      <w:r w:rsidRPr="00EA5DE3">
        <w:t>Was</w:t>
      </w:r>
      <w:r w:rsidRPr="00EA5DE3">
        <w:rPr>
          <w:spacing w:val="-12"/>
        </w:rPr>
        <w:t xml:space="preserve"> </w:t>
      </w:r>
      <w:r w:rsidRPr="00EA5DE3">
        <w:t>tut</w:t>
      </w:r>
      <w:r w:rsidRPr="00EA5DE3">
        <w:rPr>
          <w:spacing w:val="-11"/>
        </w:rPr>
        <w:t xml:space="preserve"> </w:t>
      </w:r>
      <w:r w:rsidRPr="00EA5DE3">
        <w:t>man,</w:t>
      </w:r>
      <w:r w:rsidRPr="00EA5DE3">
        <w:rPr>
          <w:spacing w:val="-11"/>
        </w:rPr>
        <w:t xml:space="preserve"> </w:t>
      </w:r>
      <w:r w:rsidRPr="00EA5DE3">
        <w:t>um</w:t>
      </w:r>
      <w:r w:rsidRPr="00EA5DE3">
        <w:rPr>
          <w:spacing w:val="-11"/>
        </w:rPr>
        <w:t xml:space="preserve"> </w:t>
      </w:r>
      <w:r w:rsidRPr="00EA5DE3">
        <w:t>zu</w:t>
      </w:r>
      <w:r w:rsidRPr="00EA5DE3">
        <w:rPr>
          <w:spacing w:val="-12"/>
        </w:rPr>
        <w:t xml:space="preserve"> </w:t>
      </w:r>
      <w:r w:rsidRPr="00EA5DE3">
        <w:t>helfen?</w:t>
      </w:r>
      <w:r w:rsidRPr="00EA5DE3">
        <w:rPr>
          <w:spacing w:val="-11"/>
        </w:rPr>
        <w:t xml:space="preserve"> </w:t>
      </w:r>
      <w:r w:rsidRPr="00EA5DE3">
        <w:t>Wie</w:t>
      </w:r>
      <w:r w:rsidRPr="00EA5DE3">
        <w:rPr>
          <w:spacing w:val="-11"/>
        </w:rPr>
        <w:t xml:space="preserve"> </w:t>
      </w:r>
      <w:r w:rsidRPr="00EA5DE3">
        <w:t>zeigt</w:t>
      </w:r>
      <w:r w:rsidRPr="00EA5DE3">
        <w:rPr>
          <w:spacing w:val="-11"/>
        </w:rPr>
        <w:t xml:space="preserve"> </w:t>
      </w:r>
      <w:r w:rsidRPr="00EA5DE3">
        <w:t>man</w:t>
      </w:r>
      <w:r w:rsidRPr="00EA5DE3">
        <w:rPr>
          <w:spacing w:val="-12"/>
        </w:rPr>
        <w:t xml:space="preserve"> </w:t>
      </w:r>
      <w:r w:rsidRPr="00EA5DE3">
        <w:t>Unsicherheit,</w:t>
      </w:r>
      <w:r w:rsidRPr="00EA5DE3">
        <w:rPr>
          <w:spacing w:val="-11"/>
        </w:rPr>
        <w:t xml:space="preserve"> </w:t>
      </w:r>
      <w:r w:rsidRPr="00EA5DE3">
        <w:t xml:space="preserve">Angst (vor Fremden), </w:t>
      </w:r>
      <w:r w:rsidRPr="00EA5DE3">
        <w:rPr>
          <w:rStyle w:val="StandardTextZchn1"/>
        </w:rPr>
        <w:t>Ablehnung? Wie äußert man Freude, Zuneigung, Liebe? Nach welchen Regeln funktioniert meine Kultur? Wie gehen wir miteinander um? Ist meine Kultur friedlich oder kriegerisch? Will meine Kultur herrschen</w:t>
      </w:r>
      <w:r w:rsidRPr="00EA5DE3">
        <w:t>,</w:t>
      </w:r>
      <w:r w:rsidRPr="00EA5DE3">
        <w:rPr>
          <w:spacing w:val="-5"/>
        </w:rPr>
        <w:t xml:space="preserve"> </w:t>
      </w:r>
      <w:r w:rsidRPr="00EA5DE3">
        <w:t>beobachten oder</w:t>
      </w:r>
      <w:r w:rsidRPr="00EA5DE3">
        <w:rPr>
          <w:spacing w:val="-2"/>
        </w:rPr>
        <w:t xml:space="preserve"> </w:t>
      </w:r>
      <w:r w:rsidRPr="00EA5DE3">
        <w:t>sich</w:t>
      </w:r>
      <w:r w:rsidRPr="00EA5DE3">
        <w:rPr>
          <w:spacing w:val="-1"/>
        </w:rPr>
        <w:t xml:space="preserve"> </w:t>
      </w:r>
      <w:r w:rsidRPr="00EA5DE3">
        <w:t>anpassen?</w:t>
      </w:r>
      <w:r w:rsidRPr="00EA5DE3">
        <w:rPr>
          <w:spacing w:val="-3"/>
        </w:rPr>
        <w:t xml:space="preserve"> </w:t>
      </w:r>
      <w:r w:rsidRPr="00EA5DE3">
        <w:t>Sodann</w:t>
      </w:r>
      <w:r w:rsidRPr="00EA5DE3">
        <w:rPr>
          <w:spacing w:val="-3"/>
        </w:rPr>
        <w:t xml:space="preserve"> </w:t>
      </w:r>
      <w:r w:rsidRPr="00EA5DE3">
        <w:t>begegnen</w:t>
      </w:r>
      <w:r w:rsidRPr="00EA5DE3">
        <w:rPr>
          <w:spacing w:val="-3"/>
        </w:rPr>
        <w:t xml:space="preserve"> </w:t>
      </w:r>
      <w:r w:rsidRPr="00EA5DE3">
        <w:t>die</w:t>
      </w:r>
      <w:r w:rsidRPr="00EA5DE3">
        <w:rPr>
          <w:spacing w:val="-2"/>
        </w:rPr>
        <w:t xml:space="preserve"> </w:t>
      </w:r>
      <w:r w:rsidRPr="00EA5DE3">
        <w:t>Trainees</w:t>
      </w:r>
      <w:r w:rsidRPr="00EA5DE3">
        <w:rPr>
          <w:spacing w:val="-2"/>
        </w:rPr>
        <w:t xml:space="preserve"> </w:t>
      </w:r>
      <w:r w:rsidRPr="00EA5DE3">
        <w:t>den</w:t>
      </w:r>
      <w:r w:rsidRPr="00EA5DE3">
        <w:rPr>
          <w:spacing w:val="-1"/>
        </w:rPr>
        <w:t xml:space="preserve"> </w:t>
      </w:r>
      <w:r w:rsidRPr="00EA5DE3">
        <w:t>Angehörigen</w:t>
      </w:r>
      <w:r w:rsidRPr="00EA5DE3">
        <w:rPr>
          <w:spacing w:val="-1"/>
        </w:rPr>
        <w:t xml:space="preserve"> </w:t>
      </w:r>
      <w:r w:rsidRPr="00EA5DE3">
        <w:t>der</w:t>
      </w:r>
      <w:r w:rsidRPr="00EA5DE3">
        <w:rPr>
          <w:spacing w:val="-2"/>
        </w:rPr>
        <w:t xml:space="preserve"> </w:t>
      </w:r>
      <w:r w:rsidRPr="00EA5DE3">
        <w:t>fremden Kultur.</w:t>
      </w:r>
      <w:r w:rsidRPr="00EA5DE3">
        <w:rPr>
          <w:spacing w:val="-6"/>
        </w:rPr>
        <w:t xml:space="preserve"> </w:t>
      </w:r>
      <w:r w:rsidRPr="00EA5DE3">
        <w:t>Im</w:t>
      </w:r>
      <w:r w:rsidRPr="00EA5DE3">
        <w:rPr>
          <w:spacing w:val="-5"/>
        </w:rPr>
        <w:t xml:space="preserve"> </w:t>
      </w:r>
      <w:r w:rsidRPr="00EA5DE3">
        <w:t>anschließenden</w:t>
      </w:r>
      <w:r w:rsidRPr="00EA5DE3">
        <w:rPr>
          <w:spacing w:val="-3"/>
        </w:rPr>
        <w:t xml:space="preserve"> </w:t>
      </w:r>
      <w:r w:rsidRPr="00EA5DE3">
        <w:t>Debriefing</w:t>
      </w:r>
      <w:r w:rsidRPr="00EA5DE3">
        <w:rPr>
          <w:spacing w:val="-5"/>
        </w:rPr>
        <w:t xml:space="preserve"> </w:t>
      </w:r>
      <w:r w:rsidRPr="00EA5DE3">
        <w:t>erfahren</w:t>
      </w:r>
      <w:r w:rsidRPr="00EA5DE3">
        <w:rPr>
          <w:spacing w:val="-5"/>
        </w:rPr>
        <w:t xml:space="preserve"> </w:t>
      </w:r>
      <w:r w:rsidRPr="00EA5DE3">
        <w:t>die</w:t>
      </w:r>
      <w:r w:rsidRPr="00EA5DE3">
        <w:rPr>
          <w:spacing w:val="-4"/>
        </w:rPr>
        <w:t xml:space="preserve"> </w:t>
      </w:r>
      <w:r w:rsidRPr="00EA5DE3">
        <w:t>Akteure,</w:t>
      </w:r>
      <w:r w:rsidRPr="00EA5DE3">
        <w:rPr>
          <w:spacing w:val="-6"/>
        </w:rPr>
        <w:t xml:space="preserve"> </w:t>
      </w:r>
      <w:r w:rsidRPr="00EA5DE3">
        <w:t>nach</w:t>
      </w:r>
      <w:r w:rsidRPr="00EA5DE3">
        <w:rPr>
          <w:spacing w:val="-3"/>
        </w:rPr>
        <w:t xml:space="preserve"> </w:t>
      </w:r>
      <w:r w:rsidRPr="00EA5DE3">
        <w:t>welchen</w:t>
      </w:r>
      <w:r w:rsidRPr="00EA5DE3">
        <w:rPr>
          <w:spacing w:val="-3"/>
        </w:rPr>
        <w:t xml:space="preserve"> </w:t>
      </w:r>
      <w:r w:rsidRPr="00EA5DE3">
        <w:t>Regeln sich die „Fremden“ zu verhalten hatten. Durch strukturierte Selbsterfahrung soll die</w:t>
      </w:r>
      <w:r w:rsidRPr="00EA5DE3">
        <w:rPr>
          <w:spacing w:val="-12"/>
        </w:rPr>
        <w:t xml:space="preserve"> </w:t>
      </w:r>
      <w:r w:rsidRPr="00EA5DE3">
        <w:t>Sensibilität</w:t>
      </w:r>
      <w:r w:rsidRPr="00EA5DE3">
        <w:rPr>
          <w:spacing w:val="-11"/>
        </w:rPr>
        <w:t xml:space="preserve"> </w:t>
      </w:r>
      <w:r w:rsidRPr="00EA5DE3">
        <w:t>gefördert</w:t>
      </w:r>
      <w:r w:rsidRPr="00EA5DE3">
        <w:rPr>
          <w:spacing w:val="-11"/>
        </w:rPr>
        <w:t xml:space="preserve"> </w:t>
      </w:r>
      <w:r w:rsidRPr="00EA5DE3">
        <w:t>werden.</w:t>
      </w:r>
      <w:r w:rsidRPr="00EA5DE3">
        <w:rPr>
          <w:spacing w:val="-11"/>
        </w:rPr>
        <w:t xml:space="preserve"> </w:t>
      </w:r>
      <w:r w:rsidRPr="00EA5DE3">
        <w:t>Wie</w:t>
      </w:r>
      <w:r w:rsidRPr="00EA5DE3">
        <w:rPr>
          <w:spacing w:val="-12"/>
        </w:rPr>
        <w:t xml:space="preserve"> </w:t>
      </w:r>
      <w:r w:rsidRPr="00EA5DE3">
        <w:t>reagiere</w:t>
      </w:r>
      <w:r w:rsidRPr="00EA5DE3">
        <w:rPr>
          <w:spacing w:val="-11"/>
        </w:rPr>
        <w:t xml:space="preserve"> </w:t>
      </w:r>
      <w:r w:rsidRPr="00EA5DE3">
        <w:t>ich</w:t>
      </w:r>
      <w:r w:rsidRPr="00EA5DE3">
        <w:rPr>
          <w:spacing w:val="-11"/>
        </w:rPr>
        <w:t xml:space="preserve"> </w:t>
      </w:r>
      <w:r w:rsidRPr="00EA5DE3">
        <w:t>auf</w:t>
      </w:r>
      <w:r w:rsidRPr="00EA5DE3">
        <w:rPr>
          <w:spacing w:val="-11"/>
        </w:rPr>
        <w:t xml:space="preserve"> </w:t>
      </w:r>
      <w:r w:rsidRPr="00EA5DE3">
        <w:t>Neues,</w:t>
      </w:r>
      <w:r w:rsidRPr="00EA5DE3">
        <w:rPr>
          <w:spacing w:val="-12"/>
        </w:rPr>
        <w:t xml:space="preserve"> </w:t>
      </w:r>
      <w:r w:rsidRPr="00EA5DE3">
        <w:t>wie</w:t>
      </w:r>
      <w:r w:rsidRPr="00EA5DE3">
        <w:rPr>
          <w:spacing w:val="-11"/>
        </w:rPr>
        <w:t xml:space="preserve"> </w:t>
      </w:r>
      <w:r w:rsidRPr="00EA5DE3">
        <w:t>auf</w:t>
      </w:r>
      <w:r w:rsidRPr="00EA5DE3">
        <w:rPr>
          <w:spacing w:val="-11"/>
        </w:rPr>
        <w:t xml:space="preserve"> </w:t>
      </w:r>
      <w:r w:rsidRPr="00EA5DE3">
        <w:t>Zustimmung und wie auf Ablehnung?</w:t>
      </w:r>
    </w:p>
    <w:p w14:paraId="089B32CF" w14:textId="77777777" w:rsidR="00FF7799" w:rsidRPr="00EA5DE3" w:rsidRDefault="00FF7799" w:rsidP="004B24AB">
      <w:pPr>
        <w:pStyle w:val="StandardText"/>
        <w:rPr>
          <w:sz w:val="22"/>
          <w:szCs w:val="22"/>
          <w:lang w:val="en-US"/>
        </w:rPr>
      </w:pPr>
      <w:r w:rsidRPr="00EA5DE3">
        <w:rPr>
          <w:b/>
          <w:i/>
          <w:sz w:val="22"/>
          <w:szCs w:val="22"/>
          <w:lang w:val="en-US"/>
        </w:rPr>
        <w:t>Literatur:</w:t>
      </w:r>
      <w:r w:rsidRPr="00EA5DE3">
        <w:rPr>
          <w:b/>
          <w:sz w:val="22"/>
          <w:szCs w:val="22"/>
          <w:lang w:val="en-US"/>
        </w:rPr>
        <w:t xml:space="preserve"> </w:t>
      </w:r>
      <w:r w:rsidRPr="00EA5DE3">
        <w:rPr>
          <w:sz w:val="22"/>
          <w:szCs w:val="22"/>
          <w:lang w:val="en-US"/>
        </w:rPr>
        <w:t>Pruegger, V.J.; Rogers, T.B. (1994): Cross-Cultural Sensitivity Training.</w:t>
      </w:r>
      <w:r w:rsidRPr="00EA5DE3">
        <w:rPr>
          <w:spacing w:val="40"/>
          <w:sz w:val="22"/>
          <w:szCs w:val="22"/>
          <w:lang w:val="en-US"/>
        </w:rPr>
        <w:t xml:space="preserve"> </w:t>
      </w:r>
      <w:r w:rsidRPr="00EA5DE3">
        <w:rPr>
          <w:sz w:val="22"/>
          <w:szCs w:val="22"/>
          <w:lang w:val="en-US"/>
        </w:rPr>
        <w:t>Methods and Assessment, International Journal of Intercultural Relations, 18(3): 369-387.</w:t>
      </w:r>
      <w:r w:rsidRPr="00EA5DE3">
        <w:rPr>
          <w:spacing w:val="40"/>
          <w:sz w:val="22"/>
          <w:szCs w:val="22"/>
          <w:lang w:val="en-US"/>
        </w:rPr>
        <w:t xml:space="preserve"> </w:t>
      </w:r>
      <w:r w:rsidRPr="00EA5DE3">
        <w:rPr>
          <w:sz w:val="22"/>
          <w:szCs w:val="22"/>
          <w:lang w:val="en-US"/>
        </w:rPr>
        <w:t>Shirts,</w:t>
      </w:r>
      <w:r w:rsidRPr="00EA5DE3">
        <w:rPr>
          <w:spacing w:val="-4"/>
          <w:sz w:val="22"/>
          <w:szCs w:val="22"/>
          <w:lang w:val="en-US"/>
        </w:rPr>
        <w:t xml:space="preserve"> </w:t>
      </w:r>
      <w:r w:rsidRPr="00EA5DE3">
        <w:rPr>
          <w:sz w:val="22"/>
          <w:szCs w:val="22"/>
          <w:lang w:val="en-US"/>
        </w:rPr>
        <w:t>R.G.</w:t>
      </w:r>
      <w:r w:rsidRPr="00EA5DE3">
        <w:rPr>
          <w:spacing w:val="-3"/>
          <w:sz w:val="22"/>
          <w:szCs w:val="22"/>
          <w:lang w:val="en-US"/>
        </w:rPr>
        <w:t xml:space="preserve"> </w:t>
      </w:r>
      <w:r w:rsidRPr="00EA5DE3">
        <w:rPr>
          <w:sz w:val="22"/>
          <w:szCs w:val="22"/>
          <w:lang w:val="en-US"/>
        </w:rPr>
        <w:t>(1977):</w:t>
      </w:r>
      <w:r w:rsidRPr="00EA5DE3">
        <w:rPr>
          <w:spacing w:val="-3"/>
          <w:sz w:val="22"/>
          <w:szCs w:val="22"/>
          <w:lang w:val="en-US"/>
        </w:rPr>
        <w:t xml:space="preserve"> </w:t>
      </w:r>
      <w:r w:rsidRPr="00EA5DE3">
        <w:rPr>
          <w:sz w:val="22"/>
          <w:szCs w:val="22"/>
          <w:lang w:val="en-US"/>
        </w:rPr>
        <w:t>Bafá</w:t>
      </w:r>
      <w:r w:rsidRPr="00EA5DE3">
        <w:rPr>
          <w:spacing w:val="-4"/>
          <w:sz w:val="22"/>
          <w:szCs w:val="22"/>
          <w:lang w:val="en-US"/>
        </w:rPr>
        <w:t xml:space="preserve"> </w:t>
      </w:r>
      <w:r w:rsidRPr="00EA5DE3">
        <w:rPr>
          <w:sz w:val="22"/>
          <w:szCs w:val="22"/>
          <w:lang w:val="en-US"/>
        </w:rPr>
        <w:t>Bafá.</w:t>
      </w:r>
      <w:r w:rsidRPr="00EA5DE3">
        <w:rPr>
          <w:spacing w:val="-2"/>
          <w:sz w:val="22"/>
          <w:szCs w:val="22"/>
          <w:lang w:val="en-US"/>
        </w:rPr>
        <w:t xml:space="preserve"> </w:t>
      </w:r>
      <w:r w:rsidRPr="00EA5DE3">
        <w:rPr>
          <w:sz w:val="22"/>
          <w:szCs w:val="22"/>
          <w:lang w:val="en-US"/>
        </w:rPr>
        <w:t>A</w:t>
      </w:r>
      <w:r w:rsidRPr="00EA5DE3">
        <w:rPr>
          <w:spacing w:val="-7"/>
          <w:sz w:val="22"/>
          <w:szCs w:val="22"/>
          <w:lang w:val="en-US"/>
        </w:rPr>
        <w:t xml:space="preserve"> </w:t>
      </w:r>
      <w:r w:rsidRPr="00EA5DE3">
        <w:rPr>
          <w:sz w:val="22"/>
          <w:szCs w:val="22"/>
          <w:lang w:val="en-US"/>
        </w:rPr>
        <w:t>Cross</w:t>
      </w:r>
      <w:r w:rsidRPr="00EA5DE3">
        <w:rPr>
          <w:spacing w:val="-3"/>
          <w:sz w:val="22"/>
          <w:szCs w:val="22"/>
          <w:lang w:val="en-US"/>
        </w:rPr>
        <w:t xml:space="preserve"> </w:t>
      </w:r>
      <w:r w:rsidRPr="00EA5DE3">
        <w:rPr>
          <w:sz w:val="22"/>
          <w:szCs w:val="22"/>
          <w:lang w:val="en-US"/>
        </w:rPr>
        <w:t>Culture</w:t>
      </w:r>
      <w:r w:rsidRPr="00EA5DE3">
        <w:rPr>
          <w:spacing w:val="-4"/>
          <w:sz w:val="22"/>
          <w:szCs w:val="22"/>
          <w:lang w:val="en-US"/>
        </w:rPr>
        <w:t xml:space="preserve"> </w:t>
      </w:r>
      <w:r w:rsidRPr="00EA5DE3">
        <w:rPr>
          <w:sz w:val="22"/>
          <w:szCs w:val="22"/>
          <w:lang w:val="en-US"/>
        </w:rPr>
        <w:t>Simulation,</w:t>
      </w:r>
      <w:r w:rsidRPr="00EA5DE3">
        <w:rPr>
          <w:spacing w:val="-4"/>
          <w:sz w:val="22"/>
          <w:szCs w:val="22"/>
          <w:lang w:val="en-US"/>
        </w:rPr>
        <w:t xml:space="preserve"> </w:t>
      </w:r>
      <w:r w:rsidRPr="00EA5DE3">
        <w:rPr>
          <w:sz w:val="22"/>
          <w:szCs w:val="22"/>
          <w:lang w:val="en-US"/>
        </w:rPr>
        <w:t>Del</w:t>
      </w:r>
      <w:r w:rsidRPr="00EA5DE3">
        <w:rPr>
          <w:spacing w:val="-3"/>
          <w:sz w:val="22"/>
          <w:szCs w:val="22"/>
          <w:lang w:val="en-US"/>
        </w:rPr>
        <w:t xml:space="preserve"> </w:t>
      </w:r>
      <w:r w:rsidRPr="00EA5DE3">
        <w:rPr>
          <w:sz w:val="22"/>
          <w:szCs w:val="22"/>
          <w:lang w:val="en-US"/>
        </w:rPr>
        <w:t>Mar/CA:</w:t>
      </w:r>
      <w:r w:rsidRPr="00EA5DE3">
        <w:rPr>
          <w:spacing w:val="-2"/>
          <w:sz w:val="22"/>
          <w:szCs w:val="22"/>
          <w:lang w:val="en-US"/>
        </w:rPr>
        <w:t xml:space="preserve"> </w:t>
      </w:r>
      <w:r w:rsidRPr="00EA5DE3">
        <w:rPr>
          <w:sz w:val="22"/>
          <w:szCs w:val="22"/>
          <w:lang w:val="en-US"/>
        </w:rPr>
        <w:t>Simile</w:t>
      </w:r>
      <w:r w:rsidRPr="00EA5DE3">
        <w:rPr>
          <w:spacing w:val="-4"/>
          <w:sz w:val="22"/>
          <w:szCs w:val="22"/>
          <w:lang w:val="en-US"/>
        </w:rPr>
        <w:t xml:space="preserve"> </w:t>
      </w:r>
      <w:r w:rsidRPr="00EA5DE3">
        <w:rPr>
          <w:sz w:val="22"/>
          <w:szCs w:val="22"/>
          <w:lang w:val="en-US"/>
        </w:rPr>
        <w:t>II.</w:t>
      </w:r>
      <w:r w:rsidRPr="00EA5DE3">
        <w:rPr>
          <w:spacing w:val="79"/>
          <w:sz w:val="22"/>
          <w:szCs w:val="22"/>
          <w:lang w:val="en-US"/>
        </w:rPr>
        <w:t xml:space="preserve"> </w:t>
      </w:r>
      <w:r w:rsidR="004B24AB" w:rsidRPr="00EA5DE3">
        <w:rPr>
          <w:sz w:val="22"/>
          <w:szCs w:val="22"/>
          <w:lang w:val="en-US"/>
        </w:rPr>
        <w:t xml:space="preserve">Shirts, </w:t>
      </w:r>
      <w:r w:rsidRPr="00EA5DE3">
        <w:rPr>
          <w:sz w:val="22"/>
          <w:szCs w:val="22"/>
          <w:lang w:val="en-US"/>
        </w:rPr>
        <w:t>R.G. (1995): Beyond Ethnocentrism. Promoting Cross-Cultural Understanding with BaFá</w:t>
      </w:r>
      <w:r w:rsidRPr="00EA5DE3">
        <w:rPr>
          <w:spacing w:val="40"/>
          <w:sz w:val="22"/>
          <w:szCs w:val="22"/>
          <w:lang w:val="en-US"/>
        </w:rPr>
        <w:t xml:space="preserve"> </w:t>
      </w:r>
      <w:r w:rsidRPr="00EA5DE3">
        <w:rPr>
          <w:sz w:val="22"/>
          <w:szCs w:val="22"/>
          <w:lang w:val="en-US"/>
        </w:rPr>
        <w:t>BaFá, in: Fowler, S.M.; Mumford, M.G. (Eds.), Intercultural Sourcebook. Cross-Cultural</w:t>
      </w:r>
      <w:r w:rsidRPr="00EA5DE3">
        <w:rPr>
          <w:spacing w:val="40"/>
          <w:sz w:val="22"/>
          <w:szCs w:val="22"/>
          <w:lang w:val="en-US"/>
        </w:rPr>
        <w:t xml:space="preserve"> </w:t>
      </w:r>
      <w:r w:rsidRPr="00EA5DE3">
        <w:rPr>
          <w:sz w:val="22"/>
          <w:szCs w:val="22"/>
          <w:lang w:val="en-US"/>
        </w:rPr>
        <w:t>Training Method, Vol.1, 93-100, Yarmouth/ME: Intercultural Press.</w:t>
      </w:r>
    </w:p>
    <w:p w14:paraId="44F8DFFA" w14:textId="77777777" w:rsidR="00FF7799" w:rsidRPr="004B24AB" w:rsidRDefault="00FF7799" w:rsidP="00862DBA">
      <w:pPr>
        <w:jc w:val="both"/>
        <w:rPr>
          <w:sz w:val="24"/>
          <w:szCs w:val="24"/>
          <w:lang w:val="en-US"/>
        </w:rPr>
      </w:pPr>
    </w:p>
    <w:p w14:paraId="1AB55D2E" w14:textId="77777777" w:rsidR="00FF7799" w:rsidRPr="00E35FFF" w:rsidRDefault="00FF7799" w:rsidP="00A248A6">
      <w:pPr>
        <w:pStyle w:val="berschrift1"/>
        <w:rPr>
          <w:lang w:val="en-US"/>
        </w:rPr>
      </w:pPr>
      <w:r w:rsidRPr="008E049F">
        <w:rPr>
          <w:color w:val="2F5496" w:themeColor="accent5" w:themeShade="BF"/>
        </w:rPr>
        <w:t>Bartering</w:t>
      </w:r>
      <w:r w:rsidRPr="00E35FFF">
        <w:rPr>
          <w:lang w:val="en-US"/>
        </w:rPr>
        <w:t xml:space="preserve"> </w:t>
      </w:r>
      <w:r w:rsidRPr="00E35FFF">
        <w:rPr>
          <w:b w:val="0"/>
          <w:szCs w:val="24"/>
          <w:lang w:val="en-US"/>
        </w:rPr>
        <w:t xml:space="preserve">→ </w:t>
      </w:r>
      <w:r w:rsidRPr="00E35FFF">
        <w:rPr>
          <w:b w:val="0"/>
          <w:lang w:val="en-US"/>
        </w:rPr>
        <w:t>Kompensationsgeschäfte</w:t>
      </w:r>
      <w:r w:rsidRPr="00E35FFF">
        <w:rPr>
          <w:lang w:val="en-US"/>
        </w:rPr>
        <w:t xml:space="preserve"> </w:t>
      </w:r>
    </w:p>
    <w:p w14:paraId="3AC45BA5" w14:textId="77777777" w:rsidR="00FF7799" w:rsidRPr="008E049F" w:rsidRDefault="00FF7799" w:rsidP="00A248A6">
      <w:pPr>
        <w:pStyle w:val="berschrift1"/>
        <w:rPr>
          <w:color w:val="2F5496" w:themeColor="accent5" w:themeShade="BF"/>
        </w:rPr>
      </w:pPr>
      <w:r w:rsidRPr="008E049F">
        <w:rPr>
          <w:color w:val="2F5496" w:themeColor="accent5" w:themeShade="BF"/>
        </w:rPr>
        <w:t>Bedürfnis</w:t>
      </w:r>
    </w:p>
    <w:p w14:paraId="19FC89AF" w14:textId="77777777" w:rsidR="00FF7799" w:rsidRPr="00E73F6F" w:rsidRDefault="00FF7799" w:rsidP="003F7F32">
      <w:pPr>
        <w:pStyle w:val="StandardText"/>
      </w:pPr>
      <w:r w:rsidRPr="00E73F6F">
        <w:t>Verlangen, einen objektiv gegeben und/oder subjektiv empfundenen Mangelzustand zu beheben bzw. zu beenden. Hunger, Durst, Wärme, Schlaf, Sexualität</w:t>
      </w:r>
      <w:r w:rsidRPr="00E73F6F">
        <w:rPr>
          <w:spacing w:val="-7"/>
        </w:rPr>
        <w:t xml:space="preserve"> </w:t>
      </w:r>
      <w:r w:rsidRPr="00E73F6F">
        <w:t>und</w:t>
      </w:r>
      <w:r w:rsidRPr="00E73F6F">
        <w:rPr>
          <w:spacing w:val="-4"/>
        </w:rPr>
        <w:t xml:space="preserve"> </w:t>
      </w:r>
      <w:r w:rsidRPr="00E73F6F">
        <w:t>andere</w:t>
      </w:r>
      <w:r w:rsidRPr="00E73F6F">
        <w:rPr>
          <w:spacing w:val="-6"/>
        </w:rPr>
        <w:t xml:space="preserve"> </w:t>
      </w:r>
      <w:r w:rsidRPr="00E73F6F">
        <w:t>primäre</w:t>
      </w:r>
      <w:r w:rsidRPr="00E73F6F">
        <w:rPr>
          <w:spacing w:val="-6"/>
        </w:rPr>
        <w:t xml:space="preserve"> </w:t>
      </w:r>
      <w:r w:rsidRPr="00E73F6F">
        <w:t>Bedürfnisse</w:t>
      </w:r>
      <w:r w:rsidRPr="00E73F6F">
        <w:rPr>
          <w:spacing w:val="-6"/>
        </w:rPr>
        <w:t xml:space="preserve"> </w:t>
      </w:r>
      <w:r w:rsidRPr="00E73F6F">
        <w:t>dienen</w:t>
      </w:r>
      <w:r w:rsidRPr="00E73F6F">
        <w:rPr>
          <w:spacing w:val="-6"/>
        </w:rPr>
        <w:t xml:space="preserve"> </w:t>
      </w:r>
      <w:r w:rsidRPr="00E73F6F">
        <w:t>der</w:t>
      </w:r>
      <w:r w:rsidRPr="00E73F6F">
        <w:rPr>
          <w:spacing w:val="-5"/>
        </w:rPr>
        <w:t xml:space="preserve"> </w:t>
      </w:r>
      <w:r w:rsidRPr="00E73F6F">
        <w:t>Sicherung</w:t>
      </w:r>
      <w:r w:rsidRPr="00E73F6F">
        <w:rPr>
          <w:spacing w:val="-6"/>
        </w:rPr>
        <w:t xml:space="preserve"> </w:t>
      </w:r>
      <w:r w:rsidRPr="00E73F6F">
        <w:t>der</w:t>
      </w:r>
      <w:r w:rsidRPr="00E73F6F">
        <w:rPr>
          <w:spacing w:val="-5"/>
        </w:rPr>
        <w:t xml:space="preserve"> </w:t>
      </w:r>
      <w:r w:rsidRPr="00E73F6F">
        <w:t xml:space="preserve">individuellen Existenz und der Arterhaltung (d.h. der materiellen </w:t>
      </w:r>
      <w:r w:rsidRPr="00E73F6F">
        <w:lastRenderedPageBreak/>
        <w:t>Existenz). Die sekundären Bedürfnisse</w:t>
      </w:r>
      <w:r w:rsidRPr="00E73F6F">
        <w:rPr>
          <w:spacing w:val="-6"/>
        </w:rPr>
        <w:t xml:space="preserve"> </w:t>
      </w:r>
      <w:r w:rsidRPr="00E73F6F">
        <w:t>(z.B.</w:t>
      </w:r>
      <w:r w:rsidRPr="00E73F6F">
        <w:rPr>
          <w:spacing w:val="-5"/>
        </w:rPr>
        <w:t xml:space="preserve"> </w:t>
      </w:r>
      <w:r w:rsidRPr="00E73F6F">
        <w:t>Streben</w:t>
      </w:r>
      <w:r w:rsidRPr="00E73F6F">
        <w:rPr>
          <w:spacing w:val="-6"/>
        </w:rPr>
        <w:t xml:space="preserve"> </w:t>
      </w:r>
      <w:r w:rsidRPr="00E73F6F">
        <w:t>nach</w:t>
      </w:r>
      <w:r w:rsidRPr="00E73F6F">
        <w:rPr>
          <w:spacing w:val="-6"/>
        </w:rPr>
        <w:t xml:space="preserve"> </w:t>
      </w:r>
      <w:r w:rsidRPr="00E73F6F">
        <w:t>Anerkennung</w:t>
      </w:r>
      <w:r w:rsidRPr="00E73F6F">
        <w:rPr>
          <w:spacing w:val="-6"/>
        </w:rPr>
        <w:t xml:space="preserve"> </w:t>
      </w:r>
      <w:r w:rsidRPr="00E73F6F">
        <w:t>und</w:t>
      </w:r>
      <w:r w:rsidRPr="00E73F6F">
        <w:rPr>
          <w:spacing w:val="-6"/>
        </w:rPr>
        <w:t xml:space="preserve"> </w:t>
      </w:r>
      <w:r w:rsidRPr="00E73F6F">
        <w:t>Selbstverwirklichung)</w:t>
      </w:r>
      <w:r w:rsidRPr="00E73F6F">
        <w:rPr>
          <w:spacing w:val="-7"/>
        </w:rPr>
        <w:t xml:space="preserve"> </w:t>
      </w:r>
      <w:r w:rsidRPr="00E73F6F">
        <w:t>gestalten das menschliche Miteinander, d.h. die soziale Existenz.</w:t>
      </w:r>
    </w:p>
    <w:p w14:paraId="083AAFA8" w14:textId="77777777" w:rsidR="00FF7799" w:rsidRPr="00E73F6F" w:rsidRDefault="00FF7799" w:rsidP="003F7F32">
      <w:pPr>
        <w:pStyle w:val="StandardText"/>
      </w:pPr>
      <w:r w:rsidRPr="00E73F6F">
        <w:t>Mit seiner populären, wissenschaftlich aber höchst umstrittenen Bedürfnispyramide unterstellt Maslow (1954), dass höherrangige Bedürfnisse (z.B. Selbstverwirklichung) erst dann aktiviert werden, wenn die auf der darunterliegenden</w:t>
      </w:r>
      <w:r w:rsidRPr="00E73F6F">
        <w:rPr>
          <w:spacing w:val="-12"/>
        </w:rPr>
        <w:t xml:space="preserve"> </w:t>
      </w:r>
      <w:r w:rsidRPr="00E73F6F">
        <w:t>Ebene</w:t>
      </w:r>
      <w:r w:rsidRPr="00E73F6F">
        <w:rPr>
          <w:spacing w:val="-11"/>
        </w:rPr>
        <w:t xml:space="preserve"> </w:t>
      </w:r>
      <w:r w:rsidRPr="00E73F6F">
        <w:t>angesiedelten</w:t>
      </w:r>
      <w:r w:rsidRPr="00E73F6F">
        <w:rPr>
          <w:spacing w:val="-11"/>
        </w:rPr>
        <w:t xml:space="preserve"> </w:t>
      </w:r>
      <w:r w:rsidRPr="00E73F6F">
        <w:t>Bedürfnisse</w:t>
      </w:r>
      <w:r w:rsidRPr="00E73F6F">
        <w:rPr>
          <w:spacing w:val="-11"/>
        </w:rPr>
        <w:t xml:space="preserve"> </w:t>
      </w:r>
      <w:r w:rsidRPr="00E73F6F">
        <w:t>(z.B.</w:t>
      </w:r>
      <w:r w:rsidRPr="00E73F6F">
        <w:rPr>
          <w:spacing w:val="-12"/>
        </w:rPr>
        <w:t xml:space="preserve"> </w:t>
      </w:r>
      <w:r w:rsidRPr="00E73F6F">
        <w:t>Hunger,</w:t>
      </w:r>
      <w:r w:rsidRPr="00E73F6F">
        <w:rPr>
          <w:spacing w:val="-11"/>
        </w:rPr>
        <w:t xml:space="preserve"> </w:t>
      </w:r>
      <w:r w:rsidRPr="00E73F6F">
        <w:t>Durst)</w:t>
      </w:r>
      <w:r w:rsidRPr="00E73F6F">
        <w:rPr>
          <w:spacing w:val="-11"/>
        </w:rPr>
        <w:t xml:space="preserve"> </w:t>
      </w:r>
      <w:r w:rsidRPr="00E73F6F">
        <w:t>erfüllt</w:t>
      </w:r>
      <w:r w:rsidRPr="00E73F6F">
        <w:rPr>
          <w:spacing w:val="-11"/>
        </w:rPr>
        <w:t xml:space="preserve"> </w:t>
      </w:r>
      <w:r w:rsidRPr="00E73F6F">
        <w:t>sind.</w:t>
      </w:r>
      <w:r w:rsidRPr="00E73F6F">
        <w:rPr>
          <w:spacing w:val="-12"/>
        </w:rPr>
        <w:t xml:space="preserve"> </w:t>
      </w:r>
      <w:r w:rsidRPr="00E73F6F">
        <w:t>Diese Automatik</w:t>
      </w:r>
      <w:r w:rsidRPr="00E73F6F">
        <w:rPr>
          <w:spacing w:val="-12"/>
        </w:rPr>
        <w:t xml:space="preserve"> </w:t>
      </w:r>
      <w:r w:rsidRPr="00E73F6F">
        <w:t>der</w:t>
      </w:r>
      <w:r w:rsidRPr="00E73F6F">
        <w:rPr>
          <w:spacing w:val="-11"/>
        </w:rPr>
        <w:t xml:space="preserve"> </w:t>
      </w:r>
      <w:r w:rsidRPr="00E73F6F">
        <w:t>Bedürfnisaktivierung</w:t>
      </w:r>
      <w:r w:rsidRPr="00E73F6F">
        <w:rPr>
          <w:spacing w:val="-11"/>
        </w:rPr>
        <w:t xml:space="preserve"> </w:t>
      </w:r>
      <w:r w:rsidRPr="00E73F6F">
        <w:t>wurde</w:t>
      </w:r>
      <w:r w:rsidRPr="00E73F6F">
        <w:rPr>
          <w:spacing w:val="-11"/>
        </w:rPr>
        <w:t xml:space="preserve"> </w:t>
      </w:r>
      <w:r w:rsidRPr="00E73F6F">
        <w:t>wiederholt</w:t>
      </w:r>
      <w:r w:rsidRPr="00E73F6F">
        <w:rPr>
          <w:spacing w:val="-12"/>
        </w:rPr>
        <w:t xml:space="preserve"> </w:t>
      </w:r>
      <w:r w:rsidRPr="00E73F6F">
        <w:t>und</w:t>
      </w:r>
      <w:r w:rsidRPr="00E73F6F">
        <w:rPr>
          <w:spacing w:val="-11"/>
        </w:rPr>
        <w:t xml:space="preserve"> </w:t>
      </w:r>
      <w:r w:rsidRPr="00E73F6F">
        <w:t>grundsätzlich</w:t>
      </w:r>
      <w:r w:rsidRPr="00E73F6F">
        <w:rPr>
          <w:spacing w:val="-11"/>
        </w:rPr>
        <w:t xml:space="preserve"> </w:t>
      </w:r>
      <w:r w:rsidRPr="00E73F6F">
        <w:t>kritisiert. Aus kulturvergleichender Sicht stellt sich die Frage nach der Universalität der Bedürfnispyramide. Ist sie aus diesem Blickwinkel auch insofern zu relativieren, als bestimmte Bedürfnisse so sehr mit bestimmten</w:t>
      </w:r>
      <w:r w:rsidRPr="00E73F6F">
        <w:rPr>
          <w:spacing w:val="40"/>
        </w:rPr>
        <w:t xml:space="preserve"> </w:t>
      </w:r>
      <w:r w:rsidRPr="00E73F6F">
        <w:t>Landeskulturen korrespondieren,</w:t>
      </w:r>
      <w:r w:rsidRPr="00E73F6F">
        <w:rPr>
          <w:spacing w:val="-6"/>
        </w:rPr>
        <w:t xml:space="preserve"> </w:t>
      </w:r>
      <w:r w:rsidRPr="00E73F6F">
        <w:t>dass</w:t>
      </w:r>
      <w:r w:rsidRPr="00E73F6F">
        <w:rPr>
          <w:spacing w:val="-8"/>
        </w:rPr>
        <w:t xml:space="preserve"> </w:t>
      </w:r>
      <w:r w:rsidRPr="00E73F6F">
        <w:t>sie</w:t>
      </w:r>
      <w:r w:rsidRPr="00E73F6F">
        <w:rPr>
          <w:spacing w:val="-7"/>
        </w:rPr>
        <w:t xml:space="preserve"> </w:t>
      </w:r>
      <w:r w:rsidRPr="00E73F6F">
        <w:t>jederzeit</w:t>
      </w:r>
      <w:r w:rsidRPr="00E73F6F">
        <w:rPr>
          <w:spacing w:val="-6"/>
        </w:rPr>
        <w:t xml:space="preserve"> </w:t>
      </w:r>
      <w:r w:rsidRPr="00E73F6F">
        <w:t>relevant</w:t>
      </w:r>
      <w:r w:rsidRPr="00E73F6F">
        <w:rPr>
          <w:spacing w:val="-6"/>
        </w:rPr>
        <w:t xml:space="preserve"> </w:t>
      </w:r>
      <w:r w:rsidRPr="00E73F6F">
        <w:t>sind.</w:t>
      </w:r>
      <w:r w:rsidRPr="00E73F6F">
        <w:rPr>
          <w:spacing w:val="-6"/>
        </w:rPr>
        <w:t xml:space="preserve"> </w:t>
      </w:r>
      <w:r w:rsidRPr="00E73F6F">
        <w:t>So</w:t>
      </w:r>
      <w:r w:rsidRPr="00E73F6F">
        <w:rPr>
          <w:spacing w:val="-6"/>
        </w:rPr>
        <w:t xml:space="preserve"> </w:t>
      </w:r>
      <w:r w:rsidRPr="00E73F6F">
        <w:t>könnte</w:t>
      </w:r>
      <w:r w:rsidRPr="00E73F6F">
        <w:rPr>
          <w:spacing w:val="-7"/>
        </w:rPr>
        <w:t xml:space="preserve"> </w:t>
      </w:r>
      <w:r w:rsidRPr="00E73F6F">
        <w:t>für</w:t>
      </w:r>
      <w:r w:rsidRPr="00E73F6F">
        <w:rPr>
          <w:spacing w:val="-7"/>
        </w:rPr>
        <w:t xml:space="preserve"> </w:t>
      </w:r>
      <w:r w:rsidRPr="00E73F6F">
        <w:t>Gesellschaften,</w:t>
      </w:r>
      <w:r w:rsidRPr="00E73F6F">
        <w:rPr>
          <w:spacing w:val="-6"/>
        </w:rPr>
        <w:t xml:space="preserve"> </w:t>
      </w:r>
      <w:r w:rsidRPr="00E73F6F">
        <w:t xml:space="preserve">die Machtdistanz akzeptieren, das </w:t>
      </w:r>
      <w:r w:rsidR="004B24AB">
        <w:t>Motiv „Geltungsdrang“ (vgl. Tab. 1</w:t>
      </w:r>
      <w:r w:rsidRPr="00E73F6F">
        <w:t>) grundsätzlich bedeutsam sein und nicht nur als Durchgangsstation auf dem Weg zur Spitze der Bedürfnispyramide, d.h. zum Bedürfnis „Selbstverwirklichung“.</w:t>
      </w:r>
    </w:p>
    <w:p w14:paraId="4E717288" w14:textId="77777777" w:rsidR="00177529" w:rsidRPr="00E73F6F" w:rsidRDefault="00177529" w:rsidP="003F7F32">
      <w:pPr>
        <w:pStyle w:val="StandardText"/>
      </w:pPr>
    </w:p>
    <w:p w14:paraId="7143B594" w14:textId="77777777" w:rsidR="00FF7799" w:rsidRPr="00037FAC" w:rsidRDefault="00FF7799" w:rsidP="003F7F32">
      <w:pPr>
        <w:pStyle w:val="BeschriftungTab"/>
        <w:rPr>
          <w:i/>
          <w:iCs/>
          <w:szCs w:val="24"/>
        </w:rPr>
      </w:pPr>
      <w:r w:rsidRPr="00037FAC">
        <w:rPr>
          <w:i/>
          <w:iCs/>
        </w:rPr>
        <w:t>Tab. 1: Zusammenhang zwischen der Bedürfnishierarchie von Maslow und</w:t>
      </w:r>
      <w:r w:rsidR="00177529" w:rsidRPr="00037FAC">
        <w:rPr>
          <w:i/>
          <w:iCs/>
        </w:rPr>
        <w:br/>
      </w:r>
      <w:r w:rsidRPr="00037FAC">
        <w:rPr>
          <w:i/>
          <w:iCs/>
        </w:rPr>
        <w:t>den Kulturdimensionen von Hofstede</w:t>
      </w:r>
    </w:p>
    <w:tbl>
      <w:tblPr>
        <w:tblStyle w:val="TableNormal"/>
        <w:tblW w:w="9072" w:type="dxa"/>
        <w:tblInd w:w="-15" w:type="dxa"/>
        <w:tblBorders>
          <w:top w:val="single" w:sz="4" w:space="0" w:color="auto"/>
          <w:bottom w:val="single" w:sz="4" w:space="0" w:color="auto"/>
          <w:insideH w:val="single" w:sz="4" w:space="0" w:color="auto"/>
        </w:tblBorders>
        <w:tblLayout w:type="fixed"/>
        <w:tblLook w:val="01E0" w:firstRow="1" w:lastRow="1" w:firstColumn="1" w:lastColumn="1" w:noHBand="0" w:noVBand="0"/>
      </w:tblPr>
      <w:tblGrid>
        <w:gridCol w:w="1291"/>
        <w:gridCol w:w="1945"/>
        <w:gridCol w:w="1945"/>
        <w:gridCol w:w="1945"/>
        <w:gridCol w:w="1946"/>
      </w:tblGrid>
      <w:tr w:rsidR="00FF7799" w:rsidRPr="00E73F6F" w14:paraId="0F17FD13" w14:textId="77777777" w:rsidTr="00CA75A3">
        <w:trPr>
          <w:trHeight w:val="1114"/>
          <w:tblHeader/>
        </w:trPr>
        <w:tc>
          <w:tcPr>
            <w:tcW w:w="1291" w:type="dxa"/>
            <w:shd w:val="clear" w:color="auto" w:fill="FFC000"/>
          </w:tcPr>
          <w:p w14:paraId="4D99D75D" w14:textId="77777777" w:rsidR="00FF7799" w:rsidRPr="00E73F6F" w:rsidRDefault="00FF7799" w:rsidP="003F7F32">
            <w:pPr>
              <w:pStyle w:val="StandardText"/>
              <w:spacing w:after="120"/>
              <w:jc w:val="center"/>
              <w:rPr>
                <w:b/>
                <w:lang w:val="de-DE"/>
              </w:rPr>
            </w:pPr>
            <w:r w:rsidRPr="00E73F6F">
              <w:rPr>
                <w:b/>
                <w:lang w:val="de-DE"/>
              </w:rPr>
              <w:t>Bedürfnis</w:t>
            </w:r>
          </w:p>
        </w:tc>
        <w:tc>
          <w:tcPr>
            <w:tcW w:w="1945" w:type="dxa"/>
            <w:shd w:val="clear" w:color="auto" w:fill="FFC000"/>
          </w:tcPr>
          <w:p w14:paraId="21E7FA81" w14:textId="77777777" w:rsidR="00FF7799" w:rsidRPr="00E73F6F" w:rsidRDefault="00FF7799" w:rsidP="003F7F32">
            <w:pPr>
              <w:pStyle w:val="StandardText"/>
              <w:spacing w:after="120"/>
              <w:jc w:val="center"/>
              <w:rPr>
                <w:b/>
                <w:lang w:val="de-DE"/>
              </w:rPr>
            </w:pPr>
            <w:r w:rsidRPr="00E73F6F">
              <w:rPr>
                <w:b/>
                <w:lang w:val="de-DE"/>
              </w:rPr>
              <w:t>Kulturdimension (prototypische Länder)</w:t>
            </w:r>
          </w:p>
        </w:tc>
        <w:tc>
          <w:tcPr>
            <w:tcW w:w="1945" w:type="dxa"/>
            <w:shd w:val="clear" w:color="auto" w:fill="FFC000"/>
          </w:tcPr>
          <w:p w14:paraId="5B81FA08" w14:textId="77777777" w:rsidR="00FF7799" w:rsidRPr="00E73F6F" w:rsidRDefault="00FF7799" w:rsidP="003F7F32">
            <w:pPr>
              <w:pStyle w:val="StandardText"/>
              <w:spacing w:after="120"/>
              <w:jc w:val="center"/>
              <w:rPr>
                <w:b/>
                <w:lang w:val="de-DE"/>
              </w:rPr>
            </w:pPr>
            <w:r w:rsidRPr="00E73F6F">
              <w:rPr>
                <w:b/>
                <w:lang w:val="de-DE"/>
              </w:rPr>
              <w:t>Konsumrelevante</w:t>
            </w:r>
            <w:r w:rsidRPr="00E73F6F">
              <w:rPr>
                <w:b/>
                <w:lang w:val="de-DE"/>
              </w:rPr>
              <w:br/>
              <w:t>Strebungen</w:t>
            </w:r>
          </w:p>
        </w:tc>
        <w:tc>
          <w:tcPr>
            <w:tcW w:w="1945" w:type="dxa"/>
            <w:shd w:val="clear" w:color="auto" w:fill="FFC000"/>
          </w:tcPr>
          <w:p w14:paraId="2461F693" w14:textId="77777777" w:rsidR="00FF7799" w:rsidRPr="00E73F6F" w:rsidRDefault="00FF7799" w:rsidP="003F7F32">
            <w:pPr>
              <w:pStyle w:val="StandardText"/>
              <w:spacing w:after="120"/>
              <w:jc w:val="center"/>
              <w:rPr>
                <w:b/>
                <w:lang w:val="de-DE"/>
              </w:rPr>
            </w:pPr>
            <w:r w:rsidRPr="00E73F6F">
              <w:rPr>
                <w:b/>
                <w:lang w:val="de-DE"/>
              </w:rPr>
              <w:t>Verhalten bzw. Leistung mit Marketingbezug</w:t>
            </w:r>
          </w:p>
        </w:tc>
        <w:tc>
          <w:tcPr>
            <w:tcW w:w="1946" w:type="dxa"/>
            <w:shd w:val="clear" w:color="auto" w:fill="FFC000"/>
          </w:tcPr>
          <w:p w14:paraId="5D3D2DEE" w14:textId="77777777" w:rsidR="00FF7799" w:rsidRPr="00E73F6F" w:rsidRDefault="00FF7799" w:rsidP="003F7F32">
            <w:pPr>
              <w:pStyle w:val="StandardText"/>
              <w:spacing w:after="120"/>
              <w:jc w:val="center"/>
              <w:rPr>
                <w:b/>
                <w:lang w:val="de-DE"/>
              </w:rPr>
            </w:pPr>
            <w:r w:rsidRPr="00E73F6F">
              <w:rPr>
                <w:b/>
                <w:lang w:val="de-DE"/>
              </w:rPr>
              <w:t>Präferenzbildende Faktoren</w:t>
            </w:r>
          </w:p>
        </w:tc>
      </w:tr>
      <w:tr w:rsidR="00FF7799" w:rsidRPr="00E73F6F" w14:paraId="35266D35" w14:textId="77777777" w:rsidTr="00F3160E">
        <w:trPr>
          <w:trHeight w:val="2169"/>
        </w:trPr>
        <w:tc>
          <w:tcPr>
            <w:tcW w:w="1291" w:type="dxa"/>
            <w:shd w:val="clear" w:color="auto" w:fill="FFF2CC" w:themeFill="accent4" w:themeFillTint="33"/>
          </w:tcPr>
          <w:p w14:paraId="26546DD0" w14:textId="77777777" w:rsidR="00FF7799" w:rsidRPr="00E73F6F" w:rsidRDefault="00177529" w:rsidP="003F7F32">
            <w:pPr>
              <w:pStyle w:val="StandardText"/>
              <w:jc w:val="left"/>
              <w:rPr>
                <w:lang w:val="de-DE"/>
              </w:rPr>
            </w:pPr>
            <w:r w:rsidRPr="00E73F6F">
              <w:rPr>
                <w:lang w:val="de-DE"/>
              </w:rPr>
              <w:t>Selbst</w:t>
            </w:r>
            <w:r w:rsidR="00FF7799" w:rsidRPr="00E73F6F">
              <w:rPr>
                <w:lang w:val="de-DE"/>
              </w:rPr>
              <w:t>verwirklichun</w:t>
            </w:r>
            <w:r w:rsidR="00FF7799" w:rsidRPr="00E73F6F">
              <w:rPr>
                <w:spacing w:val="-10"/>
                <w:lang w:val="de-DE"/>
              </w:rPr>
              <w:t>g</w:t>
            </w:r>
          </w:p>
        </w:tc>
        <w:tc>
          <w:tcPr>
            <w:tcW w:w="1945" w:type="dxa"/>
          </w:tcPr>
          <w:p w14:paraId="100588FA" w14:textId="77777777" w:rsidR="00FF7799" w:rsidRPr="00E73F6F" w:rsidRDefault="00FF7799" w:rsidP="003F7F32">
            <w:pPr>
              <w:pStyle w:val="StandardText"/>
              <w:jc w:val="left"/>
              <w:rPr>
                <w:lang w:val="de-DE"/>
              </w:rPr>
            </w:pPr>
            <w:r w:rsidRPr="00E73F6F">
              <w:rPr>
                <w:lang w:val="de-DE"/>
              </w:rPr>
              <w:t>Individualismus (z.B.</w:t>
            </w:r>
            <w:r w:rsidRPr="00E73F6F">
              <w:rPr>
                <w:spacing w:val="-6"/>
                <w:lang w:val="de-DE"/>
              </w:rPr>
              <w:t xml:space="preserve"> </w:t>
            </w:r>
            <w:r w:rsidRPr="00E73F6F">
              <w:rPr>
                <w:lang w:val="de-DE"/>
              </w:rPr>
              <w:t>Australien,</w:t>
            </w:r>
            <w:r w:rsidRPr="00E73F6F">
              <w:rPr>
                <w:spacing w:val="40"/>
                <w:lang w:val="de-DE"/>
              </w:rPr>
              <w:t xml:space="preserve"> </w:t>
            </w:r>
            <w:r w:rsidRPr="00E73F6F">
              <w:rPr>
                <w:lang w:val="de-DE"/>
              </w:rPr>
              <w:t>Großbritannien,</w:t>
            </w:r>
            <w:r w:rsidRPr="00E73F6F">
              <w:rPr>
                <w:spacing w:val="40"/>
                <w:lang w:val="de-DE"/>
              </w:rPr>
              <w:t xml:space="preserve"> </w:t>
            </w:r>
            <w:r w:rsidRPr="00E73F6F">
              <w:rPr>
                <w:lang w:val="de-DE"/>
              </w:rPr>
              <w:t>Kanada,</w:t>
            </w:r>
            <w:r w:rsidRPr="00E73F6F">
              <w:rPr>
                <w:spacing w:val="-9"/>
                <w:lang w:val="de-DE"/>
              </w:rPr>
              <w:t xml:space="preserve"> </w:t>
            </w:r>
            <w:r w:rsidRPr="00E73F6F">
              <w:rPr>
                <w:lang w:val="de-DE"/>
              </w:rPr>
              <w:t>Neuseeland,</w:t>
            </w:r>
            <w:r w:rsidRPr="00E73F6F">
              <w:rPr>
                <w:spacing w:val="40"/>
                <w:lang w:val="de-DE"/>
              </w:rPr>
              <w:t xml:space="preserve"> </w:t>
            </w:r>
            <w:r w:rsidRPr="00E73F6F">
              <w:rPr>
                <w:lang w:val="de-DE"/>
              </w:rPr>
              <w:t>Niederlande,</w:t>
            </w:r>
            <w:r w:rsidRPr="00E73F6F">
              <w:rPr>
                <w:spacing w:val="-6"/>
                <w:lang w:val="de-DE"/>
              </w:rPr>
              <w:t xml:space="preserve"> </w:t>
            </w:r>
            <w:r w:rsidRPr="00E73F6F">
              <w:rPr>
                <w:lang w:val="de-DE"/>
              </w:rPr>
              <w:t>USA)</w:t>
            </w:r>
          </w:p>
        </w:tc>
        <w:tc>
          <w:tcPr>
            <w:tcW w:w="1945" w:type="dxa"/>
          </w:tcPr>
          <w:p w14:paraId="3F648C14" w14:textId="77777777" w:rsidR="00FF7799" w:rsidRPr="00E73F6F" w:rsidRDefault="00FF7799" w:rsidP="003F7F32">
            <w:pPr>
              <w:pStyle w:val="StandardTextAufzhlung"/>
              <w:jc w:val="left"/>
              <w:rPr>
                <w:lang w:val="de-DE"/>
              </w:rPr>
            </w:pPr>
            <w:r w:rsidRPr="00E73F6F">
              <w:rPr>
                <w:lang w:val="de-DE"/>
              </w:rPr>
              <w:t>Erleben</w:t>
            </w:r>
          </w:p>
          <w:p w14:paraId="0F5EAA05" w14:textId="77777777" w:rsidR="00FF7799" w:rsidRPr="00E73F6F" w:rsidRDefault="00FF7799" w:rsidP="003F7F32">
            <w:pPr>
              <w:pStyle w:val="StandardTextAufzhlung"/>
              <w:jc w:val="left"/>
              <w:rPr>
                <w:lang w:val="de-DE"/>
              </w:rPr>
            </w:pPr>
            <w:r w:rsidRPr="00E73F6F">
              <w:rPr>
                <w:lang w:val="de-DE"/>
              </w:rPr>
              <w:t>Genuss</w:t>
            </w:r>
          </w:p>
          <w:p w14:paraId="3DAD319F" w14:textId="77777777" w:rsidR="00FF7799" w:rsidRPr="00E73F6F" w:rsidRDefault="00FF7799" w:rsidP="003F7F32">
            <w:pPr>
              <w:pStyle w:val="StandardTextAufzhlung"/>
              <w:jc w:val="left"/>
              <w:rPr>
                <w:lang w:val="de-DE"/>
              </w:rPr>
            </w:pPr>
            <w:r w:rsidRPr="00E73F6F">
              <w:rPr>
                <w:lang w:val="de-DE"/>
              </w:rPr>
              <w:t>Freude am</w:t>
            </w:r>
            <w:r w:rsidRPr="00E73F6F">
              <w:rPr>
                <w:spacing w:val="-3"/>
                <w:lang w:val="de-DE"/>
              </w:rPr>
              <w:t xml:space="preserve"> </w:t>
            </w:r>
            <w:r w:rsidRPr="00E73F6F">
              <w:rPr>
                <w:lang w:val="de-DE"/>
              </w:rPr>
              <w:t>Können</w:t>
            </w:r>
          </w:p>
          <w:p w14:paraId="38557641" w14:textId="77777777" w:rsidR="00FF7799" w:rsidRPr="00E73F6F" w:rsidRDefault="00FF7799" w:rsidP="003F7F32">
            <w:pPr>
              <w:pStyle w:val="StandardTextAufzhlung"/>
              <w:jc w:val="left"/>
              <w:rPr>
                <w:lang w:val="de-DE"/>
              </w:rPr>
            </w:pPr>
            <w:r w:rsidRPr="00E73F6F">
              <w:rPr>
                <w:lang w:val="de-DE"/>
              </w:rPr>
              <w:t>Spa</w:t>
            </w:r>
            <w:r w:rsidRPr="00E73F6F">
              <w:rPr>
                <w:lang w:val="de-DE"/>
              </w:rPr>
              <w:lastRenderedPageBreak/>
              <w:t>ß</w:t>
            </w:r>
            <w:r w:rsidRPr="00E73F6F">
              <w:rPr>
                <w:spacing w:val="-9"/>
                <w:lang w:val="de-DE"/>
              </w:rPr>
              <w:t xml:space="preserve"> </w:t>
            </w:r>
            <w:r w:rsidRPr="00E73F6F">
              <w:rPr>
                <w:lang w:val="de-DE"/>
              </w:rPr>
              <w:t>an</w:t>
            </w:r>
            <w:r w:rsidRPr="00E73F6F">
              <w:rPr>
                <w:spacing w:val="-8"/>
                <w:lang w:val="de-DE"/>
              </w:rPr>
              <w:t xml:space="preserve"> </w:t>
            </w:r>
            <w:r w:rsidRPr="00E73F6F">
              <w:rPr>
                <w:lang w:val="de-DE"/>
              </w:rPr>
              <w:t>der</w:t>
            </w:r>
            <w:r w:rsidRPr="00E73F6F">
              <w:rPr>
                <w:spacing w:val="40"/>
                <w:lang w:val="de-DE"/>
              </w:rPr>
              <w:t xml:space="preserve"> </w:t>
            </w:r>
            <w:r w:rsidRPr="00E73F6F">
              <w:rPr>
                <w:lang w:val="de-DE"/>
              </w:rPr>
              <w:t>Technik</w:t>
            </w:r>
          </w:p>
        </w:tc>
        <w:tc>
          <w:tcPr>
            <w:tcW w:w="1945" w:type="dxa"/>
          </w:tcPr>
          <w:p w14:paraId="41A67F1E" w14:textId="77777777" w:rsidR="00FF7799" w:rsidRPr="00E73F6F" w:rsidRDefault="00FF7799" w:rsidP="003F7F32">
            <w:pPr>
              <w:pStyle w:val="StandardTextAufzhlung"/>
              <w:jc w:val="left"/>
              <w:rPr>
                <w:lang w:val="de-DE"/>
              </w:rPr>
            </w:pPr>
            <w:r w:rsidRPr="00E73F6F">
              <w:rPr>
                <w:lang w:val="de-DE"/>
              </w:rPr>
              <w:lastRenderedPageBreak/>
              <w:t>Alternative</w:t>
            </w:r>
            <w:r w:rsidRPr="00E73F6F">
              <w:rPr>
                <w:spacing w:val="40"/>
                <w:lang w:val="de-DE"/>
              </w:rPr>
              <w:t xml:space="preserve"> </w:t>
            </w:r>
            <w:r w:rsidRPr="00E73F6F">
              <w:rPr>
                <w:lang w:val="de-DE"/>
              </w:rPr>
              <w:t>Lebensweise</w:t>
            </w:r>
          </w:p>
          <w:p w14:paraId="2B678422" w14:textId="77777777" w:rsidR="00FF7799" w:rsidRPr="00E73F6F" w:rsidRDefault="00FF7799" w:rsidP="003F7F32">
            <w:pPr>
              <w:pStyle w:val="StandardTextAufzhlung"/>
              <w:jc w:val="left"/>
              <w:rPr>
                <w:lang w:val="de-DE"/>
              </w:rPr>
            </w:pPr>
            <w:r w:rsidRPr="00E73F6F">
              <w:rPr>
                <w:lang w:val="de-DE"/>
              </w:rPr>
              <w:t>Do it</w:t>
            </w:r>
            <w:r w:rsidRPr="00E73F6F">
              <w:rPr>
                <w:spacing w:val="-1"/>
                <w:lang w:val="de-DE"/>
              </w:rPr>
              <w:t xml:space="preserve"> </w:t>
            </w:r>
            <w:r w:rsidRPr="00E73F6F">
              <w:rPr>
                <w:lang w:val="de-DE"/>
              </w:rPr>
              <w:t>Your</w:t>
            </w:r>
            <w:r w:rsidRPr="00E73F6F">
              <w:rPr>
                <w:lang w:val="de-DE"/>
              </w:rPr>
              <w:lastRenderedPageBreak/>
              <w:t>self</w:t>
            </w:r>
          </w:p>
          <w:p w14:paraId="3D44C4D9" w14:textId="77777777" w:rsidR="00FF7799" w:rsidRPr="00E73F6F" w:rsidRDefault="00FF7799" w:rsidP="003F7F32">
            <w:pPr>
              <w:pStyle w:val="StandardTextAufzhlung"/>
              <w:jc w:val="left"/>
              <w:rPr>
                <w:lang w:val="de-DE"/>
              </w:rPr>
            </w:pPr>
            <w:r w:rsidRPr="00E73F6F">
              <w:rPr>
                <w:lang w:val="de-DE"/>
              </w:rPr>
              <w:t>Hobbies</w:t>
            </w:r>
            <w:r w:rsidRPr="00E73F6F">
              <w:rPr>
                <w:spacing w:val="-9"/>
                <w:lang w:val="de-DE"/>
              </w:rPr>
              <w:t xml:space="preserve"> </w:t>
            </w:r>
            <w:r w:rsidRPr="00E73F6F">
              <w:rPr>
                <w:lang w:val="de-DE"/>
              </w:rPr>
              <w:t>(Lesen,</w:t>
            </w:r>
            <w:r w:rsidRPr="00E73F6F">
              <w:rPr>
                <w:spacing w:val="40"/>
                <w:lang w:val="de-DE"/>
              </w:rPr>
              <w:t xml:space="preserve"> </w:t>
            </w:r>
            <w:r w:rsidRPr="00E73F6F">
              <w:rPr>
                <w:lang w:val="de-DE"/>
              </w:rPr>
              <w:t>Malen,</w:t>
            </w:r>
            <w:r w:rsidRPr="00E73F6F">
              <w:rPr>
                <w:spacing w:val="-9"/>
                <w:lang w:val="de-DE"/>
              </w:rPr>
              <w:t xml:space="preserve"> </w:t>
            </w:r>
            <w:r w:rsidRPr="00E73F6F">
              <w:rPr>
                <w:lang w:val="de-DE"/>
              </w:rPr>
              <w:t>Basteln)</w:t>
            </w:r>
          </w:p>
          <w:p w14:paraId="12409107" w14:textId="77777777" w:rsidR="00FF7799" w:rsidRPr="00E73F6F" w:rsidRDefault="00FF7799" w:rsidP="003F7F32">
            <w:pPr>
              <w:pStyle w:val="StandardTextAufzhlung"/>
              <w:jc w:val="left"/>
              <w:rPr>
                <w:lang w:val="de-DE"/>
              </w:rPr>
            </w:pPr>
            <w:r w:rsidRPr="00E73F6F">
              <w:rPr>
                <w:lang w:val="de-DE"/>
              </w:rPr>
              <w:t>Haus,</w:t>
            </w:r>
            <w:r w:rsidRPr="00E73F6F">
              <w:rPr>
                <w:spacing w:val="-4"/>
                <w:lang w:val="de-DE"/>
              </w:rPr>
              <w:t xml:space="preserve"> </w:t>
            </w:r>
            <w:r w:rsidRPr="00E73F6F">
              <w:rPr>
                <w:lang w:val="de-DE"/>
              </w:rPr>
              <w:t>Auto</w:t>
            </w:r>
            <w:r w:rsidRPr="00E73F6F">
              <w:rPr>
                <w:spacing w:val="40"/>
                <w:lang w:val="de-DE"/>
              </w:rPr>
              <w:t xml:space="preserve"> </w:t>
            </w:r>
            <w:r w:rsidRPr="00E73F6F">
              <w:rPr>
                <w:lang w:val="de-DE"/>
              </w:rPr>
              <w:t>(Repar</w:t>
            </w:r>
            <w:r w:rsidRPr="00E73F6F">
              <w:rPr>
                <w:lang w:val="de-DE"/>
              </w:rPr>
              <w:lastRenderedPageBreak/>
              <w:t>aturen)</w:t>
            </w:r>
          </w:p>
          <w:p w14:paraId="52086500" w14:textId="77777777" w:rsidR="00FF7799" w:rsidRPr="00E73F6F" w:rsidRDefault="00FF7799" w:rsidP="003F7F32">
            <w:pPr>
              <w:pStyle w:val="StandardTextAufzhlung"/>
              <w:jc w:val="left"/>
              <w:rPr>
                <w:lang w:val="de-DE"/>
              </w:rPr>
            </w:pPr>
            <w:r w:rsidRPr="00E73F6F">
              <w:rPr>
                <w:lang w:val="de-DE"/>
              </w:rPr>
              <w:t>Freizeit-</w:t>
            </w:r>
            <w:r w:rsidRPr="00E73F6F">
              <w:rPr>
                <w:spacing w:val="-6"/>
                <w:lang w:val="de-DE"/>
              </w:rPr>
              <w:t xml:space="preserve"> </w:t>
            </w:r>
            <w:r w:rsidRPr="00E73F6F">
              <w:rPr>
                <w:lang w:val="de-DE"/>
              </w:rPr>
              <w:t>und</w:t>
            </w:r>
            <w:r w:rsidRPr="00E73F6F">
              <w:rPr>
                <w:spacing w:val="40"/>
                <w:lang w:val="de-DE"/>
              </w:rPr>
              <w:t xml:space="preserve"> </w:t>
            </w:r>
            <w:r w:rsidRPr="00E73F6F">
              <w:rPr>
                <w:lang w:val="de-DE"/>
              </w:rPr>
              <w:t>Leistungssport</w:t>
            </w:r>
          </w:p>
          <w:p w14:paraId="27179854" w14:textId="77777777" w:rsidR="00FF7799" w:rsidRPr="00E73F6F" w:rsidRDefault="00FF7799" w:rsidP="003F7F32">
            <w:pPr>
              <w:pStyle w:val="StandardTextAufzhlung"/>
              <w:jc w:val="left"/>
              <w:rPr>
                <w:lang w:val="de-DE"/>
              </w:rPr>
            </w:pPr>
            <w:r w:rsidRPr="00E73F6F">
              <w:rPr>
                <w:lang w:val="de-DE"/>
              </w:rPr>
              <w:t>Sammeln</w:t>
            </w:r>
            <w:r w:rsidRPr="00E73F6F">
              <w:rPr>
                <w:spacing w:val="-7"/>
                <w:lang w:val="de-DE"/>
              </w:rPr>
              <w:t xml:space="preserve"> </w:t>
            </w:r>
            <w:r w:rsidRPr="00E73F6F">
              <w:rPr>
                <w:lang w:val="de-DE"/>
              </w:rPr>
              <w:t>von</w:t>
            </w:r>
            <w:r w:rsidRPr="00E73F6F">
              <w:rPr>
                <w:spacing w:val="40"/>
                <w:lang w:val="de-DE"/>
              </w:rPr>
              <w:t xml:space="preserve"> </w:t>
            </w:r>
            <w:r w:rsidRPr="00E73F6F">
              <w:rPr>
                <w:spacing w:val="-4"/>
                <w:lang w:val="de-DE"/>
              </w:rPr>
              <w:t>Kun</w:t>
            </w:r>
            <w:r w:rsidRPr="00E73F6F">
              <w:rPr>
                <w:spacing w:val="-4"/>
                <w:lang w:val="de-DE"/>
              </w:rPr>
              <w:lastRenderedPageBreak/>
              <w:t>st</w:t>
            </w:r>
          </w:p>
          <w:p w14:paraId="4F3B9480" w14:textId="77777777" w:rsidR="00FF7799" w:rsidRPr="00E73F6F" w:rsidRDefault="00FF7799" w:rsidP="001E3EB9">
            <w:pPr>
              <w:pStyle w:val="StandardTextAufzhlung"/>
              <w:jc w:val="left"/>
              <w:rPr>
                <w:lang w:val="de-DE"/>
              </w:rPr>
            </w:pPr>
            <w:r w:rsidRPr="00E73F6F">
              <w:rPr>
                <w:lang w:val="de-DE"/>
              </w:rPr>
              <w:t>(Weiter)Bildung</w:t>
            </w:r>
          </w:p>
        </w:tc>
        <w:tc>
          <w:tcPr>
            <w:tcW w:w="1946" w:type="dxa"/>
          </w:tcPr>
          <w:p w14:paraId="3BBCBF01" w14:textId="77777777" w:rsidR="00FF7799" w:rsidRPr="00E73F6F" w:rsidRDefault="00FF7799" w:rsidP="003F7F32">
            <w:pPr>
              <w:pStyle w:val="StandardTextAufzhlung"/>
              <w:jc w:val="left"/>
              <w:rPr>
                <w:lang w:val="de-DE"/>
              </w:rPr>
            </w:pPr>
            <w:r w:rsidRPr="00E73F6F">
              <w:rPr>
                <w:lang w:val="de-DE"/>
              </w:rPr>
              <w:lastRenderedPageBreak/>
              <w:t>Wertebasierte</w:t>
            </w:r>
            <w:r w:rsidRPr="00E73F6F">
              <w:rPr>
                <w:spacing w:val="40"/>
                <w:lang w:val="de-DE"/>
              </w:rPr>
              <w:t xml:space="preserve"> </w:t>
            </w:r>
            <w:r w:rsidRPr="00E73F6F">
              <w:rPr>
                <w:lang w:val="de-DE"/>
              </w:rPr>
              <w:t>Lebensführung</w:t>
            </w:r>
          </w:p>
          <w:p w14:paraId="52F84E4C" w14:textId="77777777" w:rsidR="00FF7799" w:rsidRPr="00E73F6F" w:rsidRDefault="00FF7799" w:rsidP="003F7F32">
            <w:pPr>
              <w:pStyle w:val="StandardTextAufzhlung"/>
              <w:jc w:val="left"/>
              <w:rPr>
                <w:lang w:val="de-DE"/>
              </w:rPr>
            </w:pPr>
            <w:r w:rsidRPr="00E73F6F">
              <w:rPr>
                <w:lang w:val="de-DE"/>
              </w:rPr>
              <w:t>Hedo</w:t>
            </w:r>
            <w:r w:rsidRPr="00E73F6F">
              <w:rPr>
                <w:lang w:val="de-DE"/>
              </w:rPr>
              <w:lastRenderedPageBreak/>
              <w:t>nismus</w:t>
            </w:r>
          </w:p>
          <w:p w14:paraId="1AE097A6" w14:textId="77777777" w:rsidR="00FF7799" w:rsidRPr="00E73F6F" w:rsidRDefault="00FF7799" w:rsidP="003F7F32">
            <w:pPr>
              <w:pStyle w:val="StandardTextAufzhlung"/>
              <w:jc w:val="left"/>
              <w:rPr>
                <w:lang w:val="de-DE"/>
              </w:rPr>
            </w:pPr>
            <w:r w:rsidRPr="00E73F6F">
              <w:rPr>
                <w:lang w:val="de-DE"/>
              </w:rPr>
              <w:t>Leistungsstreben</w:t>
            </w:r>
          </w:p>
        </w:tc>
      </w:tr>
      <w:tr w:rsidR="00FF7799" w:rsidRPr="00E73F6F" w14:paraId="04C100F8" w14:textId="77777777" w:rsidTr="00F3160E">
        <w:trPr>
          <w:trHeight w:val="2311"/>
        </w:trPr>
        <w:tc>
          <w:tcPr>
            <w:tcW w:w="1291" w:type="dxa"/>
            <w:shd w:val="clear" w:color="auto" w:fill="FFF2CC" w:themeFill="accent4" w:themeFillTint="33"/>
          </w:tcPr>
          <w:p w14:paraId="1E38630C" w14:textId="77777777" w:rsidR="00FF7799" w:rsidRPr="00E73F6F" w:rsidRDefault="00FF7799" w:rsidP="003F7F32">
            <w:pPr>
              <w:pStyle w:val="StandardText"/>
              <w:jc w:val="left"/>
              <w:rPr>
                <w:lang w:val="de-DE"/>
              </w:rPr>
            </w:pPr>
            <w:r w:rsidRPr="00E73F6F">
              <w:rPr>
                <w:lang w:val="de-DE"/>
              </w:rPr>
              <w:lastRenderedPageBreak/>
              <w:t>Geltungs-dran</w:t>
            </w:r>
            <w:r w:rsidRPr="00E73F6F">
              <w:rPr>
                <w:spacing w:val="-10"/>
                <w:lang w:val="de-DE"/>
              </w:rPr>
              <w:t>g</w:t>
            </w:r>
          </w:p>
        </w:tc>
        <w:tc>
          <w:tcPr>
            <w:tcW w:w="1945" w:type="dxa"/>
          </w:tcPr>
          <w:p w14:paraId="743C8033" w14:textId="77777777" w:rsidR="00FF7799" w:rsidRPr="00E73F6F" w:rsidRDefault="00FF7799" w:rsidP="001E3EB9">
            <w:pPr>
              <w:pStyle w:val="StandardText"/>
              <w:jc w:val="left"/>
              <w:rPr>
                <w:lang w:val="de-DE"/>
              </w:rPr>
            </w:pPr>
            <w:r w:rsidRPr="00E73F6F">
              <w:rPr>
                <w:lang w:val="de-DE"/>
              </w:rPr>
              <w:t>Akzeptanz</w:t>
            </w:r>
            <w:r w:rsidRPr="00E73F6F">
              <w:rPr>
                <w:spacing w:val="-9"/>
                <w:lang w:val="de-DE"/>
              </w:rPr>
              <w:t xml:space="preserve"> </w:t>
            </w:r>
            <w:r w:rsidRPr="00E73F6F">
              <w:rPr>
                <w:lang w:val="de-DE"/>
              </w:rPr>
              <w:t>von</w:t>
            </w:r>
            <w:r w:rsidRPr="00E73F6F">
              <w:rPr>
                <w:spacing w:val="40"/>
                <w:lang w:val="de-DE"/>
              </w:rPr>
              <w:t xml:space="preserve"> </w:t>
            </w:r>
            <w:r w:rsidRPr="00E73F6F">
              <w:rPr>
                <w:lang w:val="de-DE"/>
              </w:rPr>
              <w:t>Machtdistanz (z.B. Guatemala,</w:t>
            </w:r>
            <w:r w:rsidRPr="00E73F6F">
              <w:rPr>
                <w:spacing w:val="40"/>
                <w:lang w:val="de-DE"/>
              </w:rPr>
              <w:t xml:space="preserve"> </w:t>
            </w:r>
            <w:r w:rsidRPr="00E73F6F">
              <w:rPr>
                <w:lang w:val="de-DE"/>
              </w:rPr>
              <w:t>Malaysia,</w:t>
            </w:r>
            <w:r w:rsidRPr="00E73F6F">
              <w:rPr>
                <w:spacing w:val="-9"/>
                <w:lang w:val="de-DE"/>
              </w:rPr>
              <w:t xml:space="preserve"> </w:t>
            </w:r>
            <w:r w:rsidRPr="00E73F6F">
              <w:rPr>
                <w:lang w:val="de-DE"/>
              </w:rPr>
              <w:t>Mexiko, Panama,</w:t>
            </w:r>
            <w:r w:rsidRPr="00E73F6F">
              <w:rPr>
                <w:spacing w:val="-4"/>
                <w:lang w:val="de-DE"/>
              </w:rPr>
              <w:t xml:space="preserve"> </w:t>
            </w:r>
            <w:r w:rsidRPr="00E73F6F">
              <w:rPr>
                <w:lang w:val="de-DE"/>
              </w:rPr>
              <w:t>Philippinen,</w:t>
            </w:r>
            <w:r w:rsidRPr="00E73F6F">
              <w:rPr>
                <w:spacing w:val="40"/>
                <w:lang w:val="de-DE"/>
              </w:rPr>
              <w:t xml:space="preserve"> </w:t>
            </w:r>
            <w:r w:rsidRPr="00E73F6F">
              <w:rPr>
                <w:lang w:val="de-DE"/>
              </w:rPr>
              <w:t>Venezuela)</w:t>
            </w:r>
          </w:p>
        </w:tc>
        <w:tc>
          <w:tcPr>
            <w:tcW w:w="1945" w:type="dxa"/>
          </w:tcPr>
          <w:p w14:paraId="500F113F" w14:textId="77777777" w:rsidR="00FF7799" w:rsidRPr="00E73F6F" w:rsidRDefault="00FF7799" w:rsidP="003F7F32">
            <w:pPr>
              <w:pStyle w:val="StandardTextAufzhlung"/>
              <w:jc w:val="left"/>
              <w:rPr>
                <w:lang w:val="de-DE"/>
              </w:rPr>
            </w:pPr>
            <w:r w:rsidRPr="00E73F6F">
              <w:rPr>
                <w:lang w:val="de-DE"/>
              </w:rPr>
              <w:t>Anerkennung</w:t>
            </w:r>
          </w:p>
          <w:p w14:paraId="6D158D4D" w14:textId="77777777" w:rsidR="00FF7799" w:rsidRPr="00E73F6F" w:rsidRDefault="00FF7799" w:rsidP="003F7F32">
            <w:pPr>
              <w:pStyle w:val="StandardTextAufzhlung"/>
              <w:jc w:val="left"/>
              <w:rPr>
                <w:lang w:val="de-DE"/>
              </w:rPr>
            </w:pPr>
            <w:r w:rsidRPr="00E73F6F">
              <w:rPr>
                <w:lang w:val="de-DE"/>
              </w:rPr>
              <w:t>Prestige</w:t>
            </w:r>
          </w:p>
          <w:p w14:paraId="6EDAC6FE" w14:textId="77777777" w:rsidR="00FF7799" w:rsidRPr="00E73F6F" w:rsidRDefault="00FF7799" w:rsidP="003F7F32">
            <w:pPr>
              <w:pStyle w:val="StandardTextAufzhlung"/>
              <w:jc w:val="left"/>
              <w:rPr>
                <w:lang w:val="de-DE"/>
              </w:rPr>
            </w:pPr>
            <w:r w:rsidRPr="00E73F6F">
              <w:rPr>
                <w:spacing w:val="-4"/>
                <w:lang w:val="de-DE"/>
              </w:rPr>
              <w:t>Ruhm</w:t>
            </w:r>
          </w:p>
        </w:tc>
        <w:tc>
          <w:tcPr>
            <w:tcW w:w="1945" w:type="dxa"/>
          </w:tcPr>
          <w:p w14:paraId="5A110093" w14:textId="77777777" w:rsidR="00FF7799" w:rsidRPr="00E73F6F" w:rsidRDefault="00FF7799" w:rsidP="003F7F32">
            <w:pPr>
              <w:pStyle w:val="StandardTextAufzhlung"/>
              <w:jc w:val="left"/>
              <w:rPr>
                <w:lang w:val="de-DE"/>
              </w:rPr>
            </w:pPr>
            <w:r w:rsidRPr="00E73F6F">
              <w:rPr>
                <w:lang w:val="de-DE"/>
              </w:rPr>
              <w:t>Luxuslokale</w:t>
            </w:r>
          </w:p>
          <w:p w14:paraId="594FDC72" w14:textId="77777777" w:rsidR="00FF7799" w:rsidRPr="00E73F6F" w:rsidRDefault="00FF7799" w:rsidP="003F7F32">
            <w:pPr>
              <w:pStyle w:val="StandardTextAufzhlung"/>
              <w:jc w:val="left"/>
              <w:rPr>
                <w:lang w:val="de-DE"/>
              </w:rPr>
            </w:pPr>
            <w:r w:rsidRPr="00E73F6F">
              <w:rPr>
                <w:lang w:val="de-DE"/>
              </w:rPr>
              <w:t>Nobelautos</w:t>
            </w:r>
          </w:p>
          <w:p w14:paraId="67C8E178" w14:textId="77777777" w:rsidR="00FF7799" w:rsidRPr="00E73F6F" w:rsidRDefault="00FF7799" w:rsidP="003F7F32">
            <w:pPr>
              <w:pStyle w:val="StandardTextAufzhlung"/>
              <w:jc w:val="left"/>
              <w:rPr>
                <w:lang w:val="de-DE"/>
              </w:rPr>
            </w:pPr>
            <w:r w:rsidRPr="00E73F6F">
              <w:rPr>
                <w:lang w:val="de-DE"/>
              </w:rPr>
              <w:t>Edle Geträ</w:t>
            </w:r>
            <w:r w:rsidRPr="00E73F6F">
              <w:rPr>
                <w:lang w:val="de-DE"/>
              </w:rPr>
              <w:lastRenderedPageBreak/>
              <w:t>nke</w:t>
            </w:r>
          </w:p>
          <w:p w14:paraId="207EB38E" w14:textId="77777777" w:rsidR="00FF7799" w:rsidRPr="00E73F6F" w:rsidRDefault="00FF7799" w:rsidP="003F7F32">
            <w:pPr>
              <w:pStyle w:val="StandardTextAufzhlung"/>
              <w:jc w:val="left"/>
              <w:rPr>
                <w:lang w:val="de-DE"/>
              </w:rPr>
            </w:pPr>
            <w:r w:rsidRPr="00E73F6F">
              <w:rPr>
                <w:lang w:val="de-DE"/>
              </w:rPr>
              <w:t>Exklusive</w:t>
            </w:r>
            <w:r w:rsidRPr="00E73F6F">
              <w:rPr>
                <w:spacing w:val="40"/>
                <w:lang w:val="de-DE"/>
              </w:rPr>
              <w:t xml:space="preserve"> </w:t>
            </w:r>
            <w:r w:rsidRPr="00E73F6F">
              <w:rPr>
                <w:lang w:val="de-DE"/>
              </w:rPr>
              <w:t>Kleidung</w:t>
            </w:r>
          </w:p>
          <w:p w14:paraId="37BB04D6" w14:textId="77777777" w:rsidR="00FF7799" w:rsidRPr="00E73F6F" w:rsidRDefault="00FF7799" w:rsidP="003F7F32">
            <w:pPr>
              <w:pStyle w:val="StandardTextAufzhlung"/>
              <w:jc w:val="left"/>
              <w:rPr>
                <w:lang w:val="de-DE"/>
              </w:rPr>
            </w:pPr>
            <w:r w:rsidRPr="00E73F6F">
              <w:rPr>
                <w:lang w:val="de-DE"/>
              </w:rPr>
              <w:t>Zweitwohnung</w:t>
            </w:r>
          </w:p>
          <w:p w14:paraId="1CB54CB4" w14:textId="77777777" w:rsidR="00FF7799" w:rsidRPr="00E73F6F" w:rsidRDefault="00FF7799" w:rsidP="003F7F32">
            <w:pPr>
              <w:pStyle w:val="StandardTextAufzhlung"/>
              <w:jc w:val="left"/>
              <w:rPr>
                <w:lang w:val="de-DE"/>
              </w:rPr>
            </w:pPr>
            <w:r w:rsidRPr="00E73F6F">
              <w:rPr>
                <w:lang w:val="de-DE"/>
              </w:rPr>
              <w:t>Exotische</w:t>
            </w:r>
            <w:r w:rsidRPr="00E73F6F">
              <w:rPr>
                <w:spacing w:val="40"/>
                <w:lang w:val="de-DE"/>
              </w:rPr>
              <w:t xml:space="preserve"> </w:t>
            </w:r>
            <w:r w:rsidRPr="00E73F6F">
              <w:rPr>
                <w:lang w:val="de-DE"/>
              </w:rPr>
              <w:t>Reisez</w:t>
            </w:r>
            <w:r w:rsidRPr="00E73F6F">
              <w:rPr>
                <w:lang w:val="de-DE"/>
              </w:rPr>
              <w:lastRenderedPageBreak/>
              <w:t>iele</w:t>
            </w:r>
          </w:p>
        </w:tc>
        <w:tc>
          <w:tcPr>
            <w:tcW w:w="1946" w:type="dxa"/>
          </w:tcPr>
          <w:p w14:paraId="724C4963" w14:textId="77777777" w:rsidR="00FF7799" w:rsidRPr="00E73F6F" w:rsidRDefault="00FF7799" w:rsidP="003F7F32">
            <w:pPr>
              <w:pStyle w:val="StandardTextAufzhlung"/>
              <w:jc w:val="left"/>
              <w:rPr>
                <w:lang w:val="de-DE"/>
              </w:rPr>
            </w:pPr>
            <w:r w:rsidRPr="00E73F6F">
              <w:rPr>
                <w:lang w:val="de-DE"/>
              </w:rPr>
              <w:lastRenderedPageBreak/>
              <w:t>Demonstration</w:t>
            </w:r>
            <w:r w:rsidRPr="00E73F6F">
              <w:rPr>
                <w:spacing w:val="-7"/>
                <w:lang w:val="de-DE"/>
              </w:rPr>
              <w:t xml:space="preserve"> </w:t>
            </w:r>
            <w:r w:rsidRPr="00E73F6F">
              <w:rPr>
                <w:lang w:val="de-DE"/>
              </w:rPr>
              <w:t>von</w:t>
            </w:r>
            <w:r w:rsidRPr="00E73F6F">
              <w:rPr>
                <w:spacing w:val="40"/>
                <w:lang w:val="de-DE"/>
              </w:rPr>
              <w:t xml:space="preserve"> </w:t>
            </w:r>
            <w:r w:rsidRPr="00E73F6F">
              <w:rPr>
                <w:lang w:val="de-DE"/>
              </w:rPr>
              <w:t>Wohlstand</w:t>
            </w:r>
          </w:p>
          <w:p w14:paraId="73A85D6A" w14:textId="77777777" w:rsidR="00FF7799" w:rsidRPr="00E73F6F" w:rsidRDefault="00FF7799" w:rsidP="003F7F32">
            <w:pPr>
              <w:pStyle w:val="StandardTextAufzhlung"/>
              <w:jc w:val="left"/>
              <w:rPr>
                <w:lang w:val="de-DE"/>
              </w:rPr>
            </w:pPr>
            <w:r w:rsidRPr="00E73F6F">
              <w:rPr>
                <w:lang w:val="de-DE"/>
              </w:rPr>
              <w:t>Leitb</w:t>
            </w:r>
            <w:r w:rsidRPr="00E73F6F">
              <w:rPr>
                <w:lang w:val="de-DE"/>
              </w:rPr>
              <w:lastRenderedPageBreak/>
              <w:t>ilder</w:t>
            </w:r>
          </w:p>
          <w:p w14:paraId="1D148E7E" w14:textId="77777777" w:rsidR="00FF7799" w:rsidRPr="00E73F6F" w:rsidRDefault="00FF7799" w:rsidP="003F7F32">
            <w:pPr>
              <w:pStyle w:val="StandardTextAufzhlung"/>
              <w:jc w:val="left"/>
              <w:rPr>
                <w:lang w:val="de-DE"/>
              </w:rPr>
            </w:pPr>
            <w:r w:rsidRPr="00E73F6F">
              <w:rPr>
                <w:lang w:val="de-DE"/>
              </w:rPr>
              <w:t>Elitärer</w:t>
            </w:r>
            <w:r w:rsidRPr="00E73F6F">
              <w:rPr>
                <w:spacing w:val="-4"/>
                <w:lang w:val="de-DE"/>
              </w:rPr>
              <w:t xml:space="preserve"> </w:t>
            </w:r>
            <w:r w:rsidRPr="00E73F6F">
              <w:rPr>
                <w:lang w:val="de-DE"/>
              </w:rPr>
              <w:t>Anspruch</w:t>
            </w:r>
          </w:p>
          <w:p w14:paraId="38AB294D" w14:textId="77777777" w:rsidR="00FF7799" w:rsidRPr="00E73F6F" w:rsidRDefault="00FF7799" w:rsidP="003F7F32">
            <w:pPr>
              <w:pStyle w:val="StandardTextAufzhlung"/>
              <w:jc w:val="left"/>
              <w:rPr>
                <w:lang w:val="de-DE"/>
              </w:rPr>
            </w:pPr>
            <w:r w:rsidRPr="00E73F6F">
              <w:rPr>
                <w:lang w:val="de-DE"/>
              </w:rPr>
              <w:t>Exklusive</w:t>
            </w:r>
            <w:r w:rsidRPr="00E73F6F">
              <w:rPr>
                <w:spacing w:val="-6"/>
                <w:lang w:val="de-DE"/>
              </w:rPr>
              <w:t xml:space="preserve"> </w:t>
            </w:r>
            <w:r w:rsidRPr="00E73F6F">
              <w:rPr>
                <w:lang w:val="de-DE"/>
              </w:rPr>
              <w:t>Clubs</w:t>
            </w:r>
          </w:p>
          <w:p w14:paraId="195C4B49" w14:textId="77777777" w:rsidR="00FF7799" w:rsidRPr="00E73F6F" w:rsidRDefault="00FF7799" w:rsidP="003F7F32">
            <w:pPr>
              <w:pStyle w:val="StandardTextAufzhlung"/>
              <w:jc w:val="left"/>
              <w:rPr>
                <w:lang w:val="de-DE"/>
              </w:rPr>
            </w:pPr>
            <w:r w:rsidRPr="00E73F6F">
              <w:rPr>
                <w:lang w:val="de-DE"/>
              </w:rPr>
              <w:t>Statussymbo</w:t>
            </w:r>
            <w:r w:rsidRPr="00E73F6F">
              <w:rPr>
                <w:lang w:val="de-DE"/>
              </w:rPr>
              <w:lastRenderedPageBreak/>
              <w:t>le</w:t>
            </w:r>
          </w:p>
        </w:tc>
      </w:tr>
      <w:tr w:rsidR="00FF7799" w:rsidRPr="00E73F6F" w14:paraId="12889D6E" w14:textId="77777777" w:rsidTr="00F3160E">
        <w:trPr>
          <w:trHeight w:val="552"/>
        </w:trPr>
        <w:tc>
          <w:tcPr>
            <w:tcW w:w="1291" w:type="dxa"/>
            <w:shd w:val="clear" w:color="auto" w:fill="FFF2CC" w:themeFill="accent4" w:themeFillTint="33"/>
          </w:tcPr>
          <w:p w14:paraId="7B4EEE93" w14:textId="77777777" w:rsidR="00FF7799" w:rsidRPr="00E73F6F" w:rsidRDefault="00FF7799" w:rsidP="003F7F32">
            <w:pPr>
              <w:pStyle w:val="StandardText"/>
              <w:jc w:val="left"/>
              <w:rPr>
                <w:lang w:val="de-DE"/>
              </w:rPr>
            </w:pPr>
            <w:r w:rsidRPr="00E73F6F">
              <w:rPr>
                <w:lang w:val="de-DE"/>
              </w:rPr>
              <w:lastRenderedPageBreak/>
              <w:t>Soziale</w:t>
            </w:r>
            <w:r w:rsidRPr="00E73F6F">
              <w:rPr>
                <w:spacing w:val="40"/>
                <w:lang w:val="de-DE"/>
              </w:rPr>
              <w:t xml:space="preserve"> </w:t>
            </w:r>
            <w:r w:rsidRPr="00E73F6F">
              <w:rPr>
                <w:lang w:val="de-DE"/>
              </w:rPr>
              <w:t>Bedürfnisse</w:t>
            </w:r>
          </w:p>
        </w:tc>
        <w:tc>
          <w:tcPr>
            <w:tcW w:w="1945" w:type="dxa"/>
          </w:tcPr>
          <w:p w14:paraId="1E237E5B" w14:textId="77777777" w:rsidR="00FF7799" w:rsidRPr="00E73F6F" w:rsidRDefault="00FF7799" w:rsidP="003F7F32">
            <w:pPr>
              <w:pStyle w:val="StandardText"/>
              <w:jc w:val="left"/>
              <w:rPr>
                <w:lang w:val="de-DE"/>
              </w:rPr>
            </w:pPr>
            <w:r w:rsidRPr="00E73F6F">
              <w:rPr>
                <w:lang w:val="de-DE"/>
              </w:rPr>
              <w:t>Feminität</w:t>
            </w:r>
          </w:p>
          <w:p w14:paraId="52B333C3" w14:textId="77777777" w:rsidR="00FF7799" w:rsidRPr="00E73F6F" w:rsidRDefault="00FF7799" w:rsidP="003F7F32">
            <w:pPr>
              <w:pStyle w:val="StandardText"/>
              <w:jc w:val="left"/>
              <w:rPr>
                <w:lang w:val="de-DE"/>
              </w:rPr>
            </w:pPr>
            <w:r w:rsidRPr="00E73F6F">
              <w:rPr>
                <w:lang w:val="de-DE"/>
              </w:rPr>
              <w:t>(z.B.</w:t>
            </w:r>
            <w:r w:rsidRPr="00E73F6F">
              <w:rPr>
                <w:spacing w:val="-9"/>
                <w:lang w:val="de-DE"/>
              </w:rPr>
              <w:t xml:space="preserve"> </w:t>
            </w:r>
            <w:r w:rsidRPr="00E73F6F">
              <w:rPr>
                <w:lang w:val="de-DE"/>
              </w:rPr>
              <w:t>Costa</w:t>
            </w:r>
            <w:r w:rsidRPr="00E73F6F">
              <w:rPr>
                <w:spacing w:val="-8"/>
                <w:lang w:val="de-DE"/>
              </w:rPr>
              <w:t xml:space="preserve"> </w:t>
            </w:r>
            <w:r w:rsidRPr="00E73F6F">
              <w:rPr>
                <w:lang w:val="de-DE"/>
              </w:rPr>
              <w:t>Rica,</w:t>
            </w:r>
            <w:r w:rsidRPr="00E73F6F">
              <w:rPr>
                <w:spacing w:val="40"/>
                <w:lang w:val="de-DE"/>
              </w:rPr>
              <w:t xml:space="preserve"> </w:t>
            </w:r>
            <w:r w:rsidRPr="00E73F6F">
              <w:rPr>
                <w:lang w:val="de-DE"/>
              </w:rPr>
              <w:t>Dänemark,</w:t>
            </w:r>
            <w:r w:rsidRPr="00E73F6F">
              <w:rPr>
                <w:spacing w:val="40"/>
                <w:lang w:val="de-DE"/>
              </w:rPr>
              <w:t xml:space="preserve"> </w:t>
            </w:r>
            <w:r w:rsidRPr="00E73F6F">
              <w:rPr>
                <w:lang w:val="de-DE"/>
              </w:rPr>
              <w:t>Niederlande,</w:t>
            </w:r>
            <w:r w:rsidRPr="00E73F6F">
              <w:rPr>
                <w:spacing w:val="40"/>
                <w:lang w:val="de-DE"/>
              </w:rPr>
              <w:t xml:space="preserve"> </w:t>
            </w:r>
            <w:r w:rsidRPr="00E73F6F">
              <w:rPr>
                <w:lang w:val="de-DE"/>
              </w:rPr>
              <w:t>Norwegen,</w:t>
            </w:r>
            <w:r w:rsidRPr="00E73F6F">
              <w:rPr>
                <w:spacing w:val="40"/>
                <w:lang w:val="de-DE"/>
              </w:rPr>
              <w:t xml:space="preserve"> </w:t>
            </w:r>
            <w:r w:rsidRPr="00E73F6F">
              <w:rPr>
                <w:lang w:val="de-DE"/>
              </w:rPr>
              <w:t>Schweden)</w:t>
            </w:r>
          </w:p>
        </w:tc>
        <w:tc>
          <w:tcPr>
            <w:tcW w:w="1945" w:type="dxa"/>
          </w:tcPr>
          <w:p w14:paraId="3FD59D5A" w14:textId="77777777" w:rsidR="00FF7799" w:rsidRPr="00E73F6F" w:rsidRDefault="00FF7799" w:rsidP="003F7F32">
            <w:pPr>
              <w:pStyle w:val="StandardTextAufzhlung"/>
              <w:jc w:val="left"/>
              <w:rPr>
                <w:lang w:val="de-DE"/>
              </w:rPr>
            </w:pPr>
            <w:r w:rsidRPr="00E73F6F">
              <w:rPr>
                <w:lang w:val="de-DE"/>
              </w:rPr>
              <w:t>Liebe, Zuneigung</w:t>
            </w:r>
          </w:p>
          <w:p w14:paraId="0102538D" w14:textId="77777777" w:rsidR="00FF7799" w:rsidRPr="00E73F6F" w:rsidRDefault="00FF7799" w:rsidP="003F7F32">
            <w:pPr>
              <w:pStyle w:val="StandardTextAufzhlung"/>
              <w:jc w:val="left"/>
              <w:rPr>
                <w:lang w:val="de-DE"/>
              </w:rPr>
            </w:pPr>
            <w:r w:rsidRPr="00E73F6F">
              <w:rPr>
                <w:lang w:val="de-DE"/>
              </w:rPr>
              <w:t>Geselligkeit</w:t>
            </w:r>
          </w:p>
          <w:p w14:paraId="514BF122" w14:textId="77777777" w:rsidR="00FF7799" w:rsidRPr="00E73F6F" w:rsidRDefault="00FF7799" w:rsidP="003F7F32">
            <w:pPr>
              <w:pStyle w:val="StandardTextAufzhlung"/>
              <w:jc w:val="left"/>
              <w:rPr>
                <w:lang w:val="de-DE"/>
              </w:rPr>
            </w:pPr>
            <w:r w:rsidRPr="00E73F6F">
              <w:rPr>
                <w:lang w:val="de-DE"/>
              </w:rPr>
              <w:t>Nächstenlie</w:t>
            </w:r>
            <w:r w:rsidRPr="00E73F6F">
              <w:rPr>
                <w:lang w:val="de-DE"/>
              </w:rPr>
              <w:lastRenderedPageBreak/>
              <w:t>be</w:t>
            </w:r>
          </w:p>
          <w:p w14:paraId="696E85EF" w14:textId="77777777" w:rsidR="00FF7799" w:rsidRPr="00E73F6F" w:rsidRDefault="00FF7799" w:rsidP="003F7F32">
            <w:pPr>
              <w:pStyle w:val="StandardTextAufzhlung"/>
              <w:jc w:val="left"/>
              <w:rPr>
                <w:lang w:val="de-DE"/>
              </w:rPr>
            </w:pPr>
            <w:r w:rsidRPr="00E73F6F">
              <w:rPr>
                <w:lang w:val="de-DE"/>
              </w:rPr>
              <w:t>Soziales</w:t>
            </w:r>
            <w:r w:rsidRPr="00E73F6F">
              <w:rPr>
                <w:spacing w:val="40"/>
                <w:lang w:val="de-DE"/>
              </w:rPr>
              <w:t xml:space="preserve"> </w:t>
            </w:r>
            <w:r w:rsidRPr="00E73F6F">
              <w:rPr>
                <w:lang w:val="de-DE"/>
              </w:rPr>
              <w:t>Engagement</w:t>
            </w:r>
          </w:p>
        </w:tc>
        <w:tc>
          <w:tcPr>
            <w:tcW w:w="1945" w:type="dxa"/>
          </w:tcPr>
          <w:p w14:paraId="50150C4C" w14:textId="77777777" w:rsidR="00FF7799" w:rsidRPr="00E73F6F" w:rsidRDefault="00FF7799" w:rsidP="003F7F32">
            <w:pPr>
              <w:pStyle w:val="StandardTextAufzhlung"/>
              <w:jc w:val="left"/>
              <w:rPr>
                <w:lang w:val="de-DE"/>
              </w:rPr>
            </w:pPr>
            <w:r w:rsidRPr="00E73F6F">
              <w:rPr>
                <w:lang w:val="de-DE"/>
              </w:rPr>
              <w:lastRenderedPageBreak/>
              <w:t>Nachbarschafts</w:t>
            </w:r>
            <w:r w:rsidRPr="00E73F6F">
              <w:rPr>
                <w:spacing w:val="40"/>
                <w:lang w:val="de-DE"/>
              </w:rPr>
              <w:t xml:space="preserve"> </w:t>
            </w:r>
            <w:r w:rsidRPr="00E73F6F">
              <w:rPr>
                <w:lang w:val="de-DE"/>
              </w:rPr>
              <w:t>laden</w:t>
            </w:r>
          </w:p>
          <w:p w14:paraId="52859DB8" w14:textId="77777777" w:rsidR="00FF7799" w:rsidRPr="00E73F6F" w:rsidRDefault="00FF7799" w:rsidP="003F7F32">
            <w:pPr>
              <w:pStyle w:val="StandardTextAufzhlung"/>
              <w:jc w:val="left"/>
              <w:rPr>
                <w:lang w:val="de-DE"/>
              </w:rPr>
            </w:pPr>
            <w:r w:rsidRPr="00E73F6F">
              <w:rPr>
                <w:lang w:val="de-DE"/>
              </w:rPr>
              <w:t>Care Sharing</w:t>
            </w:r>
          </w:p>
          <w:p w14:paraId="6B007B13" w14:textId="77777777" w:rsidR="00FF7799" w:rsidRPr="00E73F6F" w:rsidRDefault="00FF7799" w:rsidP="003F7F32">
            <w:pPr>
              <w:pStyle w:val="StandardTextAufzhlung"/>
              <w:jc w:val="left"/>
              <w:rPr>
                <w:lang w:val="de-DE"/>
              </w:rPr>
            </w:pPr>
            <w:r w:rsidRPr="00E73F6F">
              <w:rPr>
                <w:lang w:val="de-DE"/>
              </w:rPr>
              <w:t>Hoteller</w:t>
            </w:r>
            <w:r w:rsidRPr="00E73F6F">
              <w:rPr>
                <w:lang w:val="de-DE"/>
              </w:rPr>
              <w:lastRenderedPageBreak/>
              <w:t>ie</w:t>
            </w:r>
          </w:p>
          <w:p w14:paraId="0C7E82F0" w14:textId="77777777" w:rsidR="00FF7799" w:rsidRPr="00E73F6F" w:rsidRDefault="00FF7799" w:rsidP="003F7F32">
            <w:pPr>
              <w:pStyle w:val="StandardTextAufzhlung"/>
              <w:jc w:val="left"/>
              <w:rPr>
                <w:lang w:val="de-DE"/>
              </w:rPr>
            </w:pPr>
            <w:r w:rsidRPr="00E73F6F">
              <w:rPr>
                <w:lang w:val="de-DE"/>
              </w:rPr>
              <w:t>Spenden</w:t>
            </w:r>
          </w:p>
        </w:tc>
        <w:tc>
          <w:tcPr>
            <w:tcW w:w="1946" w:type="dxa"/>
          </w:tcPr>
          <w:p w14:paraId="6C71EE8D" w14:textId="77777777" w:rsidR="00FF7799" w:rsidRPr="00E73F6F" w:rsidRDefault="00FF7799" w:rsidP="003F7F32">
            <w:pPr>
              <w:pStyle w:val="StandardTextAufzhlung"/>
              <w:jc w:val="left"/>
              <w:rPr>
                <w:lang w:val="de-DE"/>
              </w:rPr>
            </w:pPr>
            <w:r w:rsidRPr="00E73F6F">
              <w:rPr>
                <w:lang w:val="de-DE"/>
              </w:rPr>
              <w:lastRenderedPageBreak/>
              <w:t>Persönlicher</w:t>
            </w:r>
            <w:r w:rsidRPr="00E73F6F">
              <w:rPr>
                <w:spacing w:val="40"/>
                <w:lang w:val="de-DE"/>
              </w:rPr>
              <w:t xml:space="preserve"> </w:t>
            </w:r>
            <w:r w:rsidRPr="00E73F6F">
              <w:rPr>
                <w:lang w:val="de-DE"/>
              </w:rPr>
              <w:t>Kontakt</w:t>
            </w:r>
          </w:p>
          <w:p w14:paraId="69D98E5B" w14:textId="77777777" w:rsidR="00FF7799" w:rsidRPr="00E73F6F" w:rsidRDefault="00FF7799" w:rsidP="003F7F32">
            <w:pPr>
              <w:pStyle w:val="StandardTextAufzhlung"/>
              <w:jc w:val="left"/>
              <w:rPr>
                <w:lang w:val="de-DE"/>
              </w:rPr>
            </w:pPr>
            <w:r w:rsidRPr="00E73F6F">
              <w:rPr>
                <w:lang w:val="de-DE"/>
              </w:rPr>
              <w:t>Clubgedanke</w:t>
            </w:r>
          </w:p>
          <w:p w14:paraId="5A373211" w14:textId="77777777" w:rsidR="00FF7799" w:rsidRPr="00E73F6F" w:rsidRDefault="00FF7799" w:rsidP="003F7F32">
            <w:pPr>
              <w:pStyle w:val="StandardTextAufzhlung"/>
              <w:jc w:val="left"/>
              <w:rPr>
                <w:lang w:val="de-DE"/>
              </w:rPr>
            </w:pPr>
            <w:r w:rsidRPr="00E73F6F">
              <w:rPr>
                <w:lang w:val="de-DE"/>
              </w:rPr>
              <w:t>Gratifik</w:t>
            </w:r>
            <w:r w:rsidRPr="00E73F6F">
              <w:rPr>
                <w:lang w:val="de-DE"/>
              </w:rPr>
              <w:lastRenderedPageBreak/>
              <w:t>ations-</w:t>
            </w:r>
            <w:r w:rsidRPr="00E73F6F">
              <w:rPr>
                <w:spacing w:val="40"/>
                <w:lang w:val="de-DE"/>
              </w:rPr>
              <w:t xml:space="preserve"> </w:t>
            </w:r>
            <w:r w:rsidRPr="00E73F6F">
              <w:rPr>
                <w:lang w:val="de-DE"/>
              </w:rPr>
              <w:t>prinzip</w:t>
            </w:r>
          </w:p>
        </w:tc>
      </w:tr>
      <w:tr w:rsidR="00FF7799" w:rsidRPr="00E73F6F" w14:paraId="4C6FBC2B" w14:textId="77777777" w:rsidTr="00F3160E">
        <w:trPr>
          <w:trHeight w:val="2527"/>
        </w:trPr>
        <w:tc>
          <w:tcPr>
            <w:tcW w:w="1291" w:type="dxa"/>
            <w:shd w:val="clear" w:color="auto" w:fill="FFF2CC" w:themeFill="accent4" w:themeFillTint="33"/>
          </w:tcPr>
          <w:p w14:paraId="1E0C43FA" w14:textId="77777777" w:rsidR="00FF7799" w:rsidRPr="00E73F6F" w:rsidRDefault="00FF7799" w:rsidP="003F7F32">
            <w:pPr>
              <w:pStyle w:val="StandardText"/>
              <w:jc w:val="left"/>
              <w:rPr>
                <w:lang w:val="de-DE"/>
              </w:rPr>
            </w:pPr>
            <w:r w:rsidRPr="00E73F6F">
              <w:rPr>
                <w:lang w:val="de-DE"/>
              </w:rPr>
              <w:lastRenderedPageBreak/>
              <w:t>Sicherheit</w:t>
            </w:r>
          </w:p>
        </w:tc>
        <w:tc>
          <w:tcPr>
            <w:tcW w:w="1945" w:type="dxa"/>
          </w:tcPr>
          <w:p w14:paraId="57989E71" w14:textId="77777777" w:rsidR="00FF7799" w:rsidRPr="00E73F6F" w:rsidRDefault="00FF7799" w:rsidP="003F7F32">
            <w:pPr>
              <w:pStyle w:val="StandardText"/>
              <w:jc w:val="left"/>
              <w:rPr>
                <w:lang w:val="de-DE"/>
              </w:rPr>
            </w:pPr>
            <w:r w:rsidRPr="00E73F6F">
              <w:rPr>
                <w:lang w:val="de-DE"/>
              </w:rPr>
              <w:t>Starke</w:t>
            </w:r>
            <w:r w:rsidRPr="00E73F6F">
              <w:rPr>
                <w:spacing w:val="-9"/>
                <w:lang w:val="de-DE"/>
              </w:rPr>
              <w:t xml:space="preserve"> </w:t>
            </w:r>
            <w:r w:rsidRPr="00E73F6F">
              <w:rPr>
                <w:lang w:val="de-DE"/>
              </w:rPr>
              <w:t>Tendenz</w:t>
            </w:r>
            <w:r w:rsidRPr="00E73F6F">
              <w:rPr>
                <w:spacing w:val="-8"/>
                <w:lang w:val="de-DE"/>
              </w:rPr>
              <w:t xml:space="preserve"> </w:t>
            </w:r>
            <w:r w:rsidRPr="00E73F6F">
              <w:rPr>
                <w:lang w:val="de-DE"/>
              </w:rPr>
              <w:t>zur</w:t>
            </w:r>
            <w:r w:rsidRPr="00E73F6F">
              <w:rPr>
                <w:spacing w:val="40"/>
                <w:lang w:val="de-DE"/>
              </w:rPr>
              <w:t xml:space="preserve"> </w:t>
            </w:r>
            <w:r w:rsidRPr="00E73F6F">
              <w:rPr>
                <w:lang w:val="de-DE"/>
              </w:rPr>
              <w:t>Ungewissheits-</w:t>
            </w:r>
            <w:r w:rsidRPr="00E73F6F">
              <w:rPr>
                <w:spacing w:val="40"/>
                <w:lang w:val="de-DE"/>
              </w:rPr>
              <w:t xml:space="preserve"> </w:t>
            </w:r>
            <w:r w:rsidRPr="00E73F6F">
              <w:rPr>
                <w:lang w:val="de-DE"/>
              </w:rPr>
              <w:t>vermeidung</w:t>
            </w:r>
          </w:p>
          <w:p w14:paraId="15033FFA" w14:textId="77777777" w:rsidR="00FF7799" w:rsidRPr="00E73F6F" w:rsidRDefault="00FF7799" w:rsidP="003F7F32">
            <w:pPr>
              <w:pStyle w:val="StandardText"/>
              <w:jc w:val="left"/>
              <w:rPr>
                <w:lang w:val="de-DE"/>
              </w:rPr>
            </w:pPr>
            <w:r w:rsidRPr="00E73F6F">
              <w:rPr>
                <w:lang w:val="de-DE"/>
              </w:rPr>
              <w:t>(z.B.</w:t>
            </w:r>
            <w:r w:rsidRPr="00E73F6F">
              <w:rPr>
                <w:spacing w:val="-6"/>
                <w:lang w:val="de-DE"/>
              </w:rPr>
              <w:t xml:space="preserve"> </w:t>
            </w:r>
            <w:r w:rsidRPr="00E73F6F">
              <w:rPr>
                <w:lang w:val="de-DE"/>
              </w:rPr>
              <w:t>Belgien,</w:t>
            </w:r>
            <w:r w:rsidRPr="00E73F6F">
              <w:rPr>
                <w:spacing w:val="40"/>
                <w:lang w:val="de-DE"/>
              </w:rPr>
              <w:t xml:space="preserve"> </w:t>
            </w:r>
            <w:r w:rsidRPr="00E73F6F">
              <w:rPr>
                <w:lang w:val="de-DE"/>
              </w:rPr>
              <w:t>Griechenland,</w:t>
            </w:r>
            <w:r w:rsidRPr="00E73F6F">
              <w:rPr>
                <w:spacing w:val="40"/>
                <w:lang w:val="de-DE"/>
              </w:rPr>
              <w:t xml:space="preserve"> </w:t>
            </w:r>
            <w:r w:rsidRPr="00E73F6F">
              <w:rPr>
                <w:lang w:val="de-DE"/>
              </w:rPr>
              <w:t>Guatemala,</w:t>
            </w:r>
            <w:r w:rsidRPr="00E73F6F">
              <w:rPr>
                <w:spacing w:val="-4"/>
                <w:lang w:val="de-DE"/>
              </w:rPr>
              <w:t xml:space="preserve"> </w:t>
            </w:r>
            <w:r w:rsidRPr="00E73F6F">
              <w:rPr>
                <w:lang w:val="de-DE"/>
              </w:rPr>
              <w:t>Japan,</w:t>
            </w:r>
            <w:r w:rsidRPr="00E73F6F">
              <w:rPr>
                <w:spacing w:val="40"/>
                <w:lang w:val="de-DE"/>
              </w:rPr>
              <w:t xml:space="preserve"> </w:t>
            </w:r>
            <w:r w:rsidRPr="00E73F6F">
              <w:rPr>
                <w:lang w:val="de-DE"/>
              </w:rPr>
              <w:t>Portugal,</w:t>
            </w:r>
            <w:r w:rsidRPr="00E73F6F">
              <w:rPr>
                <w:spacing w:val="-4"/>
                <w:lang w:val="de-DE"/>
              </w:rPr>
              <w:t xml:space="preserve"> </w:t>
            </w:r>
            <w:r w:rsidRPr="00E73F6F">
              <w:rPr>
                <w:lang w:val="de-DE"/>
              </w:rPr>
              <w:t>Salvador,</w:t>
            </w:r>
            <w:r w:rsidRPr="00E73F6F">
              <w:rPr>
                <w:spacing w:val="40"/>
                <w:lang w:val="de-DE"/>
              </w:rPr>
              <w:t xml:space="preserve"> </w:t>
            </w:r>
            <w:r w:rsidRPr="00E73F6F">
              <w:rPr>
                <w:lang w:val="de-DE"/>
              </w:rPr>
              <w:t>Uruguay)</w:t>
            </w:r>
          </w:p>
        </w:tc>
        <w:tc>
          <w:tcPr>
            <w:tcW w:w="1945" w:type="dxa"/>
          </w:tcPr>
          <w:p w14:paraId="38BA1504" w14:textId="77777777" w:rsidR="00FF7799" w:rsidRPr="00E73F6F" w:rsidRDefault="00FF7799" w:rsidP="0061246F">
            <w:pPr>
              <w:pStyle w:val="StandardTextAufzhlung"/>
              <w:jc w:val="left"/>
              <w:rPr>
                <w:lang w:val="de-DE"/>
              </w:rPr>
            </w:pPr>
            <w:r w:rsidRPr="00E73F6F">
              <w:rPr>
                <w:lang w:val="de-DE"/>
              </w:rPr>
              <w:t>Schutz</w:t>
            </w:r>
            <w:r w:rsidRPr="00E73F6F">
              <w:rPr>
                <w:spacing w:val="-4"/>
                <w:lang w:val="de-DE"/>
              </w:rPr>
              <w:t xml:space="preserve"> </w:t>
            </w:r>
            <w:r w:rsidRPr="00E73F6F">
              <w:rPr>
                <w:spacing w:val="-5"/>
                <w:lang w:val="de-DE"/>
              </w:rPr>
              <w:t xml:space="preserve">von </w:t>
            </w:r>
            <w:r w:rsidRPr="00E73F6F">
              <w:rPr>
                <w:lang w:val="de-DE"/>
              </w:rPr>
              <w:t xml:space="preserve">Gesundheit, Hab und </w:t>
            </w:r>
            <w:r w:rsidRPr="00E73F6F">
              <w:rPr>
                <w:spacing w:val="-5"/>
                <w:lang w:val="de-DE"/>
              </w:rPr>
              <w:t>G</w:t>
            </w:r>
            <w:r w:rsidRPr="00E73F6F">
              <w:rPr>
                <w:spacing w:val="-5"/>
                <w:lang w:val="de-DE"/>
              </w:rPr>
              <w:lastRenderedPageBreak/>
              <w:t xml:space="preserve">ut, </w:t>
            </w:r>
            <w:r w:rsidRPr="00E73F6F">
              <w:rPr>
                <w:lang w:val="de-DE"/>
              </w:rPr>
              <w:t>Umwelt</w:t>
            </w:r>
          </w:p>
          <w:p w14:paraId="55C500F6" w14:textId="77777777" w:rsidR="00FF7799" w:rsidRPr="00E73F6F" w:rsidRDefault="00FF7799" w:rsidP="00CA75A3">
            <w:pPr>
              <w:pStyle w:val="StandardTextAufzhlung"/>
              <w:jc w:val="left"/>
              <w:rPr>
                <w:lang w:val="de-DE"/>
              </w:rPr>
            </w:pPr>
            <w:r w:rsidRPr="00E73F6F">
              <w:rPr>
                <w:lang w:val="de-DE"/>
              </w:rPr>
              <w:t>Absicherung</w:t>
            </w:r>
            <w:r w:rsidRPr="00E73F6F">
              <w:rPr>
                <w:spacing w:val="40"/>
                <w:lang w:val="de-DE"/>
              </w:rPr>
              <w:t xml:space="preserve"> </w:t>
            </w:r>
            <w:r w:rsidRPr="00E73F6F">
              <w:rPr>
                <w:lang w:val="de-DE"/>
              </w:rPr>
              <w:t>gegen Versor-gungsengpässe, K</w:t>
            </w:r>
            <w:r w:rsidRPr="00E73F6F">
              <w:rPr>
                <w:lang w:val="de-DE"/>
              </w:rPr>
              <w:lastRenderedPageBreak/>
              <w:t>aufrisiken, Unwissenheit, Krankheit, Arbeitslosigk</w:t>
            </w:r>
            <w:r w:rsidRPr="00E73F6F">
              <w:rPr>
                <w:lang w:val="de-DE"/>
              </w:rPr>
              <w:lastRenderedPageBreak/>
              <w:t>eit, Pflegebedürf-</w:t>
            </w:r>
            <w:r w:rsidRPr="00E73F6F">
              <w:rPr>
                <w:spacing w:val="40"/>
                <w:lang w:val="de-DE"/>
              </w:rPr>
              <w:t xml:space="preserve"> </w:t>
            </w:r>
            <w:r w:rsidRPr="00E73F6F">
              <w:rPr>
                <w:lang w:val="de-DE"/>
              </w:rPr>
              <w:t>tigkeit</w:t>
            </w:r>
          </w:p>
        </w:tc>
        <w:tc>
          <w:tcPr>
            <w:tcW w:w="1945" w:type="dxa"/>
          </w:tcPr>
          <w:p w14:paraId="01C2B44A" w14:textId="77777777" w:rsidR="00FF7799" w:rsidRPr="00E73F6F" w:rsidRDefault="00FF7799" w:rsidP="003F7F32">
            <w:pPr>
              <w:pStyle w:val="StandardTextAufzhlung"/>
              <w:jc w:val="left"/>
              <w:rPr>
                <w:lang w:val="de-DE"/>
              </w:rPr>
            </w:pPr>
            <w:r w:rsidRPr="00E73F6F">
              <w:rPr>
                <w:lang w:val="de-DE"/>
              </w:rPr>
              <w:lastRenderedPageBreak/>
              <w:t>Biokost</w:t>
            </w:r>
          </w:p>
          <w:p w14:paraId="258B22F9" w14:textId="77777777" w:rsidR="00FF7799" w:rsidRPr="00E73F6F" w:rsidRDefault="00FF7799" w:rsidP="003F7F32">
            <w:pPr>
              <w:pStyle w:val="StandardTextAufzhlung"/>
              <w:jc w:val="left"/>
              <w:rPr>
                <w:lang w:val="de-DE"/>
              </w:rPr>
            </w:pPr>
            <w:r w:rsidRPr="00E73F6F">
              <w:rPr>
                <w:lang w:val="de-DE"/>
              </w:rPr>
              <w:t>Naturbelassene</w:t>
            </w:r>
            <w:r w:rsidRPr="00E73F6F">
              <w:rPr>
                <w:spacing w:val="40"/>
                <w:lang w:val="de-DE"/>
              </w:rPr>
              <w:t xml:space="preserve"> </w:t>
            </w:r>
            <w:r w:rsidRPr="00E73F6F">
              <w:rPr>
                <w:lang w:val="de-DE"/>
              </w:rPr>
              <w:t>Lebens</w:t>
            </w:r>
            <w:r w:rsidRPr="00E73F6F">
              <w:rPr>
                <w:lang w:val="de-DE"/>
              </w:rPr>
              <w:lastRenderedPageBreak/>
              <w:t>mittel</w:t>
            </w:r>
          </w:p>
          <w:p w14:paraId="65C964C0" w14:textId="77777777" w:rsidR="00FF7799" w:rsidRPr="00E73F6F" w:rsidRDefault="00FF7799" w:rsidP="003F7F32">
            <w:pPr>
              <w:pStyle w:val="StandardTextAufzhlung"/>
              <w:jc w:val="left"/>
              <w:rPr>
                <w:lang w:val="de-DE"/>
              </w:rPr>
            </w:pPr>
            <w:r w:rsidRPr="00E73F6F">
              <w:rPr>
                <w:lang w:val="de-DE"/>
              </w:rPr>
              <w:t>Kranken-/</w:t>
            </w:r>
            <w:r w:rsidRPr="00E73F6F">
              <w:rPr>
                <w:spacing w:val="40"/>
                <w:lang w:val="de-DE"/>
              </w:rPr>
              <w:t xml:space="preserve"> </w:t>
            </w:r>
            <w:r w:rsidRPr="00E73F6F">
              <w:rPr>
                <w:lang w:val="de-DE"/>
              </w:rPr>
              <w:t>Lebens-</w:t>
            </w:r>
            <w:r w:rsidRPr="00E73F6F">
              <w:rPr>
                <w:spacing w:val="40"/>
                <w:lang w:val="de-DE"/>
              </w:rPr>
              <w:t xml:space="preserve"> </w:t>
            </w:r>
            <w:r w:rsidRPr="00E73F6F">
              <w:rPr>
                <w:lang w:val="de-DE"/>
              </w:rPr>
              <w:t>versicherungen</w:t>
            </w:r>
          </w:p>
          <w:p w14:paraId="7A2B16BA" w14:textId="77777777" w:rsidR="00FF7799" w:rsidRPr="00E73F6F" w:rsidRDefault="00FF7799" w:rsidP="003F7F32">
            <w:pPr>
              <w:pStyle w:val="StandardTextAufzhlung"/>
              <w:jc w:val="left"/>
              <w:rPr>
                <w:lang w:val="de-DE"/>
              </w:rPr>
            </w:pPr>
            <w:r w:rsidRPr="00E73F6F">
              <w:rPr>
                <w:lang w:val="de-DE"/>
              </w:rPr>
              <w:t>Sanatorien</w:t>
            </w:r>
            <w:r w:rsidRPr="00E73F6F">
              <w:rPr>
                <w:spacing w:val="-7"/>
                <w:lang w:val="de-DE"/>
              </w:rPr>
              <w:t xml:space="preserve"> </w:t>
            </w:r>
            <w:r w:rsidRPr="00E73F6F">
              <w:rPr>
                <w:lang w:val="de-DE"/>
              </w:rPr>
              <w:t>/</w:t>
            </w:r>
            <w:r w:rsidRPr="00E73F6F">
              <w:rPr>
                <w:spacing w:val="40"/>
                <w:lang w:val="de-DE"/>
              </w:rPr>
              <w:t xml:space="preserve"> </w:t>
            </w:r>
            <w:r w:rsidRPr="00E73F6F">
              <w:rPr>
                <w:lang w:val="de-DE"/>
              </w:rPr>
              <w:lastRenderedPageBreak/>
              <w:t>Altenheime</w:t>
            </w:r>
          </w:p>
          <w:p w14:paraId="6213DCDF" w14:textId="77777777" w:rsidR="00FF7799" w:rsidRPr="00E73F6F" w:rsidRDefault="00FF7799" w:rsidP="003F7F32">
            <w:pPr>
              <w:pStyle w:val="StandardTextAufzhlung"/>
              <w:jc w:val="left"/>
              <w:rPr>
                <w:lang w:val="de-DE"/>
              </w:rPr>
            </w:pPr>
            <w:r w:rsidRPr="00E73F6F">
              <w:rPr>
                <w:lang w:val="de-DE"/>
              </w:rPr>
              <w:t>Sicherheits-</w:t>
            </w:r>
            <w:r w:rsidRPr="00E73F6F">
              <w:rPr>
                <w:spacing w:val="40"/>
                <w:lang w:val="de-DE"/>
              </w:rPr>
              <w:t xml:space="preserve"> </w:t>
            </w:r>
            <w:r w:rsidRPr="00E73F6F">
              <w:rPr>
                <w:lang w:val="de-DE"/>
              </w:rPr>
              <w:t>dienste</w:t>
            </w:r>
          </w:p>
          <w:p w14:paraId="2F0D483B" w14:textId="77777777" w:rsidR="00FF7799" w:rsidRPr="00E73F6F" w:rsidRDefault="00FF7799" w:rsidP="003F7F32">
            <w:pPr>
              <w:pStyle w:val="StandardTextAufzhlung"/>
              <w:jc w:val="left"/>
              <w:rPr>
                <w:lang w:val="de-DE"/>
              </w:rPr>
            </w:pPr>
            <w:r w:rsidRPr="00E73F6F">
              <w:rPr>
                <w:lang w:val="de-DE"/>
              </w:rPr>
              <w:t>Finanzberatung</w:t>
            </w:r>
          </w:p>
          <w:p w14:paraId="2B98C485" w14:textId="77777777" w:rsidR="00FF7799" w:rsidRPr="00E73F6F" w:rsidRDefault="00FF7799" w:rsidP="003F7F32">
            <w:pPr>
              <w:pStyle w:val="StandardTextAufzhlung"/>
              <w:jc w:val="left"/>
              <w:rPr>
                <w:lang w:val="de-DE"/>
              </w:rPr>
            </w:pPr>
            <w:r w:rsidRPr="00E73F6F">
              <w:rPr>
                <w:lang w:val="de-DE"/>
              </w:rPr>
              <w:t>Mark</w:t>
            </w:r>
            <w:r w:rsidRPr="00E73F6F">
              <w:rPr>
                <w:lang w:val="de-DE"/>
              </w:rPr>
              <w:lastRenderedPageBreak/>
              <w:t>enartikel</w:t>
            </w:r>
          </w:p>
          <w:p w14:paraId="1EB7E7ED" w14:textId="77777777" w:rsidR="00FF7799" w:rsidRPr="00E73F6F" w:rsidRDefault="00FF7799" w:rsidP="003F7F32">
            <w:pPr>
              <w:pStyle w:val="StandardTextAufzhlung"/>
              <w:jc w:val="left"/>
              <w:rPr>
                <w:lang w:val="de-DE"/>
              </w:rPr>
            </w:pPr>
            <w:r w:rsidRPr="00E73F6F">
              <w:rPr>
                <w:lang w:val="de-DE"/>
              </w:rPr>
              <w:t>Katalysatoren</w:t>
            </w:r>
          </w:p>
          <w:p w14:paraId="10493F20" w14:textId="77777777" w:rsidR="00FF7799" w:rsidRPr="00E73F6F" w:rsidRDefault="00FF7799" w:rsidP="003F7F32">
            <w:pPr>
              <w:pStyle w:val="StandardTextAufzhlung"/>
              <w:jc w:val="left"/>
              <w:rPr>
                <w:lang w:val="de-DE"/>
              </w:rPr>
            </w:pPr>
            <w:r w:rsidRPr="00E73F6F">
              <w:rPr>
                <w:lang w:val="de-DE"/>
              </w:rPr>
              <w:t>Bleifreies</w:t>
            </w:r>
            <w:r w:rsidRPr="00E73F6F">
              <w:rPr>
                <w:spacing w:val="40"/>
                <w:lang w:val="de-DE"/>
              </w:rPr>
              <w:t xml:space="preserve"> </w:t>
            </w:r>
            <w:r w:rsidRPr="00E73F6F">
              <w:rPr>
                <w:lang w:val="de-DE"/>
              </w:rPr>
              <w:t>Benzin</w:t>
            </w:r>
          </w:p>
        </w:tc>
        <w:tc>
          <w:tcPr>
            <w:tcW w:w="1946" w:type="dxa"/>
          </w:tcPr>
          <w:p w14:paraId="650761CD" w14:textId="77777777" w:rsidR="00FF7799" w:rsidRPr="00E73F6F" w:rsidRDefault="00FF7799" w:rsidP="003F7F32">
            <w:pPr>
              <w:pStyle w:val="StandardTextAufzhlung"/>
              <w:jc w:val="left"/>
              <w:rPr>
                <w:lang w:val="de-DE"/>
              </w:rPr>
            </w:pPr>
            <w:r w:rsidRPr="00E73F6F">
              <w:rPr>
                <w:lang w:val="de-DE"/>
              </w:rPr>
              <w:lastRenderedPageBreak/>
              <w:t>Qualität</w:t>
            </w:r>
          </w:p>
          <w:p w14:paraId="673FD1A2" w14:textId="77777777" w:rsidR="00FF7799" w:rsidRPr="00E73F6F" w:rsidRDefault="00FF7799" w:rsidP="003F7F32">
            <w:pPr>
              <w:pStyle w:val="StandardTextAufzhlung"/>
              <w:jc w:val="left"/>
              <w:rPr>
                <w:lang w:val="de-DE"/>
              </w:rPr>
            </w:pPr>
            <w:r w:rsidRPr="00E73F6F">
              <w:rPr>
                <w:lang w:val="de-DE"/>
              </w:rPr>
              <w:t>Produkt-erfahrung</w:t>
            </w:r>
          </w:p>
          <w:p w14:paraId="165A1DBA" w14:textId="77777777" w:rsidR="00FF7799" w:rsidRPr="00E73F6F" w:rsidRDefault="00FF7799" w:rsidP="003F7F32">
            <w:pPr>
              <w:pStyle w:val="StandardTextAufzhlung"/>
              <w:jc w:val="left"/>
              <w:rPr>
                <w:lang w:val="de-DE"/>
              </w:rPr>
            </w:pPr>
            <w:r w:rsidRPr="00E73F6F">
              <w:rPr>
                <w:lang w:val="de-DE"/>
              </w:rPr>
              <w:t>Pe</w:t>
            </w:r>
            <w:r w:rsidRPr="00E73F6F">
              <w:rPr>
                <w:lang w:val="de-DE"/>
              </w:rPr>
              <w:lastRenderedPageBreak/>
              <w:t>rsönliche</w:t>
            </w:r>
            <w:r w:rsidRPr="00E73F6F">
              <w:rPr>
                <w:spacing w:val="40"/>
                <w:lang w:val="de-DE"/>
              </w:rPr>
              <w:t xml:space="preserve"> </w:t>
            </w:r>
            <w:r w:rsidRPr="00E73F6F">
              <w:rPr>
                <w:lang w:val="de-DE"/>
              </w:rPr>
              <w:t>Bindungen</w:t>
            </w:r>
          </w:p>
          <w:p w14:paraId="1A33354D" w14:textId="77777777" w:rsidR="00FF7799" w:rsidRPr="00E73F6F" w:rsidRDefault="00FF7799" w:rsidP="003F7F32">
            <w:pPr>
              <w:pStyle w:val="StandardTextAufzhlung"/>
              <w:jc w:val="left"/>
              <w:rPr>
                <w:lang w:val="de-DE"/>
              </w:rPr>
            </w:pPr>
            <w:r w:rsidRPr="00E73F6F">
              <w:rPr>
                <w:lang w:val="de-DE"/>
              </w:rPr>
              <w:t>Autoritäts-beweise</w:t>
            </w:r>
          </w:p>
          <w:p w14:paraId="39907E73" w14:textId="77777777" w:rsidR="00FF7799" w:rsidRPr="00E73F6F" w:rsidRDefault="00FF7799" w:rsidP="003F7F32">
            <w:pPr>
              <w:pStyle w:val="StandardTextAufzhlung"/>
              <w:jc w:val="left"/>
              <w:rPr>
                <w:lang w:val="de-DE"/>
              </w:rPr>
            </w:pPr>
            <w:r w:rsidRPr="00E73F6F">
              <w:rPr>
                <w:lang w:val="de-DE"/>
              </w:rPr>
              <w:t>Referenzkun</w:t>
            </w:r>
            <w:r w:rsidRPr="00E73F6F">
              <w:rPr>
                <w:lang w:val="de-DE"/>
              </w:rPr>
              <w:lastRenderedPageBreak/>
              <w:t>den</w:t>
            </w:r>
          </w:p>
          <w:p w14:paraId="774FD372" w14:textId="77777777" w:rsidR="00FF7799" w:rsidRPr="00E73F6F" w:rsidRDefault="00FF7799" w:rsidP="003F7F32">
            <w:pPr>
              <w:pStyle w:val="StandardTextAufzhlung"/>
              <w:jc w:val="left"/>
              <w:rPr>
                <w:lang w:val="de-DE"/>
              </w:rPr>
            </w:pPr>
            <w:r w:rsidRPr="00E73F6F">
              <w:rPr>
                <w:lang w:val="de-DE"/>
              </w:rPr>
              <w:t>Risikoteilung</w:t>
            </w:r>
            <w:r w:rsidRPr="00E73F6F">
              <w:rPr>
                <w:spacing w:val="40"/>
                <w:lang w:val="de-DE"/>
              </w:rPr>
              <w:t xml:space="preserve"> </w:t>
            </w:r>
            <w:r w:rsidRPr="00E73F6F">
              <w:rPr>
                <w:lang w:val="de-DE"/>
              </w:rPr>
              <w:t>(z.B.</w:t>
            </w:r>
            <w:r w:rsidRPr="00E73F6F">
              <w:rPr>
                <w:spacing w:val="-9"/>
                <w:lang w:val="de-DE"/>
              </w:rPr>
              <w:t xml:space="preserve"> </w:t>
            </w:r>
            <w:r w:rsidRPr="00E73F6F">
              <w:rPr>
                <w:lang w:val="de-DE"/>
              </w:rPr>
              <w:t>Lieferanten-</w:t>
            </w:r>
            <w:r w:rsidRPr="00E73F6F">
              <w:rPr>
                <w:spacing w:val="40"/>
                <w:lang w:val="de-DE"/>
              </w:rPr>
              <w:t xml:space="preserve"> </w:t>
            </w:r>
            <w:r w:rsidRPr="00E73F6F">
              <w:rPr>
                <w:lang w:val="de-DE"/>
              </w:rPr>
              <w:t>splitting)</w:t>
            </w:r>
          </w:p>
        </w:tc>
      </w:tr>
      <w:tr w:rsidR="00FF7799" w:rsidRPr="00E73F6F" w14:paraId="32CC4F07" w14:textId="77777777" w:rsidTr="00F3160E">
        <w:trPr>
          <w:trHeight w:val="884"/>
        </w:trPr>
        <w:tc>
          <w:tcPr>
            <w:tcW w:w="1291" w:type="dxa"/>
            <w:shd w:val="clear" w:color="auto" w:fill="FFF2CC" w:themeFill="accent4" w:themeFillTint="33"/>
          </w:tcPr>
          <w:p w14:paraId="75928BEB" w14:textId="77777777" w:rsidR="00FF7799" w:rsidRPr="00E73F6F" w:rsidRDefault="00FF7799" w:rsidP="003F7F32">
            <w:pPr>
              <w:pStyle w:val="StandardText"/>
              <w:jc w:val="left"/>
              <w:rPr>
                <w:lang w:val="de-DE"/>
              </w:rPr>
            </w:pPr>
            <w:r w:rsidRPr="00E73F6F">
              <w:rPr>
                <w:lang w:val="de-DE"/>
              </w:rPr>
              <w:lastRenderedPageBreak/>
              <w:t>Fundamen-tale</w:t>
            </w:r>
            <w:r w:rsidRPr="00E73F6F">
              <w:rPr>
                <w:spacing w:val="40"/>
                <w:lang w:val="de-DE"/>
              </w:rPr>
              <w:t xml:space="preserve"> </w:t>
            </w:r>
            <w:r w:rsidRPr="00E73F6F">
              <w:rPr>
                <w:lang w:val="de-DE"/>
              </w:rPr>
              <w:t>physio-logische Bedürfnisse</w:t>
            </w:r>
          </w:p>
        </w:tc>
        <w:tc>
          <w:tcPr>
            <w:tcW w:w="1945" w:type="dxa"/>
          </w:tcPr>
          <w:p w14:paraId="120EAF75" w14:textId="77777777" w:rsidR="00FF7799" w:rsidRPr="00E73F6F" w:rsidRDefault="00FF7799" w:rsidP="003F7F32">
            <w:pPr>
              <w:pStyle w:val="StandardText"/>
              <w:jc w:val="left"/>
              <w:rPr>
                <w:lang w:val="de-DE"/>
              </w:rPr>
            </w:pPr>
            <w:r w:rsidRPr="00E73F6F">
              <w:rPr>
                <w:lang w:val="de-DE"/>
              </w:rPr>
              <w:t>Alle</w:t>
            </w:r>
            <w:r w:rsidRPr="00E73F6F">
              <w:rPr>
                <w:spacing w:val="-9"/>
                <w:lang w:val="de-DE"/>
              </w:rPr>
              <w:t xml:space="preserve"> </w:t>
            </w:r>
            <w:r w:rsidRPr="00E73F6F">
              <w:rPr>
                <w:lang w:val="de-DE"/>
              </w:rPr>
              <w:t>Landeskulturen</w:t>
            </w:r>
          </w:p>
        </w:tc>
        <w:tc>
          <w:tcPr>
            <w:tcW w:w="1945" w:type="dxa"/>
          </w:tcPr>
          <w:p w14:paraId="586DE35C" w14:textId="77777777" w:rsidR="00FF7799" w:rsidRPr="00E73F6F" w:rsidRDefault="00FF7799" w:rsidP="003F7F32">
            <w:pPr>
              <w:pStyle w:val="StandardTextAufzhlung"/>
              <w:jc w:val="left"/>
              <w:rPr>
                <w:lang w:val="de-DE"/>
              </w:rPr>
            </w:pPr>
            <w:r w:rsidRPr="00E73F6F">
              <w:rPr>
                <w:lang w:val="de-DE"/>
              </w:rPr>
              <w:t>Sicherung</w:t>
            </w:r>
            <w:r w:rsidRPr="00E73F6F">
              <w:rPr>
                <w:spacing w:val="-6"/>
                <w:lang w:val="de-DE"/>
              </w:rPr>
              <w:t xml:space="preserve"> </w:t>
            </w:r>
            <w:r w:rsidRPr="00E73F6F">
              <w:rPr>
                <w:lang w:val="de-DE"/>
              </w:rPr>
              <w:lastRenderedPageBreak/>
              <w:t>der</w:t>
            </w:r>
            <w:r w:rsidRPr="00E73F6F">
              <w:rPr>
                <w:spacing w:val="40"/>
                <w:lang w:val="de-DE"/>
              </w:rPr>
              <w:t xml:space="preserve"> </w:t>
            </w:r>
            <w:r w:rsidRPr="00E73F6F">
              <w:rPr>
                <w:lang w:val="de-DE"/>
              </w:rPr>
              <w:t>Daseinsgrund-lage</w:t>
            </w:r>
          </w:p>
        </w:tc>
        <w:tc>
          <w:tcPr>
            <w:tcW w:w="1945" w:type="dxa"/>
          </w:tcPr>
          <w:p w14:paraId="0AB821AF" w14:textId="77777777" w:rsidR="00FF7799" w:rsidRPr="00E73F6F" w:rsidRDefault="00FF7799" w:rsidP="003F7F32">
            <w:pPr>
              <w:pStyle w:val="StandardTextAufzhlung"/>
              <w:jc w:val="left"/>
              <w:rPr>
                <w:lang w:val="de-DE"/>
              </w:rPr>
            </w:pPr>
            <w:r w:rsidRPr="00E73F6F">
              <w:rPr>
                <w:lang w:val="de-DE"/>
              </w:rPr>
              <w:lastRenderedPageBreak/>
              <w:t>Essen, Tri</w:t>
            </w:r>
            <w:r w:rsidRPr="00E73F6F">
              <w:rPr>
                <w:lang w:val="de-DE"/>
              </w:rPr>
              <w:lastRenderedPageBreak/>
              <w:t>nken</w:t>
            </w:r>
          </w:p>
          <w:p w14:paraId="54F0E135" w14:textId="77777777" w:rsidR="00FF7799" w:rsidRPr="00E73F6F" w:rsidRDefault="00FF7799" w:rsidP="003F7F32">
            <w:pPr>
              <w:pStyle w:val="StandardTextAufzhlung"/>
              <w:jc w:val="left"/>
              <w:rPr>
                <w:lang w:val="de-DE"/>
              </w:rPr>
            </w:pPr>
            <w:r w:rsidRPr="00E73F6F">
              <w:rPr>
                <w:lang w:val="de-DE"/>
              </w:rPr>
              <w:t>Kleidung</w:t>
            </w:r>
          </w:p>
          <w:p w14:paraId="37FC95A8" w14:textId="77777777" w:rsidR="00FF7799" w:rsidRPr="00E73F6F" w:rsidRDefault="00FF7799" w:rsidP="003F7F32">
            <w:pPr>
              <w:pStyle w:val="StandardTextAufzhlung"/>
              <w:jc w:val="left"/>
              <w:rPr>
                <w:lang w:val="de-DE"/>
              </w:rPr>
            </w:pPr>
            <w:r w:rsidRPr="00E73F6F">
              <w:rPr>
                <w:lang w:val="de-DE"/>
              </w:rPr>
              <w:t>Wohnung</w:t>
            </w:r>
          </w:p>
          <w:p w14:paraId="70061AFB" w14:textId="77777777" w:rsidR="00FF7799" w:rsidRPr="00E73F6F" w:rsidRDefault="00FF7799" w:rsidP="003F7F32">
            <w:pPr>
              <w:pStyle w:val="StandardTextAufzhlung"/>
              <w:jc w:val="left"/>
              <w:rPr>
                <w:lang w:val="de-DE"/>
              </w:rPr>
            </w:pPr>
            <w:r w:rsidRPr="00E73F6F">
              <w:rPr>
                <w:lang w:val="de-DE"/>
              </w:rPr>
              <w:t>Möbel</w:t>
            </w:r>
          </w:p>
          <w:p w14:paraId="3545FDEE" w14:textId="77777777" w:rsidR="00FF7799" w:rsidRPr="00E73F6F" w:rsidRDefault="00FF7799" w:rsidP="003F7F32">
            <w:pPr>
              <w:pStyle w:val="StandardTextAufzhlung"/>
              <w:jc w:val="left"/>
              <w:rPr>
                <w:lang w:val="de-DE"/>
              </w:rPr>
            </w:pPr>
            <w:r w:rsidRPr="00E73F6F">
              <w:rPr>
                <w:spacing w:val="-4"/>
                <w:lang w:val="de-DE"/>
              </w:rPr>
              <w:t>Auto</w:t>
            </w:r>
          </w:p>
        </w:tc>
        <w:tc>
          <w:tcPr>
            <w:tcW w:w="1946" w:type="dxa"/>
          </w:tcPr>
          <w:p w14:paraId="592B58EB" w14:textId="77777777" w:rsidR="00FF7799" w:rsidRPr="00E73F6F" w:rsidRDefault="00FF7799" w:rsidP="003F7F32">
            <w:pPr>
              <w:pStyle w:val="StandardTextAufzhlung"/>
              <w:jc w:val="left"/>
              <w:rPr>
                <w:lang w:val="de-DE"/>
              </w:rPr>
            </w:pPr>
            <w:r w:rsidRPr="00E73F6F">
              <w:rPr>
                <w:lang w:val="de-DE"/>
              </w:rPr>
              <w:lastRenderedPageBreak/>
              <w:t>Preiswürd</w:t>
            </w:r>
            <w:r w:rsidRPr="00E73F6F">
              <w:rPr>
                <w:lang w:val="de-DE"/>
              </w:rPr>
              <w:lastRenderedPageBreak/>
              <w:t>igkeit</w:t>
            </w:r>
          </w:p>
          <w:p w14:paraId="6EFF17D2" w14:textId="77777777" w:rsidR="00FF7799" w:rsidRPr="00E73F6F" w:rsidRDefault="00FF7799" w:rsidP="003F7F32">
            <w:pPr>
              <w:pStyle w:val="StandardTextAufzhlung"/>
              <w:jc w:val="left"/>
              <w:rPr>
                <w:lang w:val="de-DE"/>
              </w:rPr>
            </w:pPr>
            <w:r w:rsidRPr="00E73F6F">
              <w:rPr>
                <w:lang w:val="de-DE"/>
              </w:rPr>
              <w:t>Bequemlichkeit</w:t>
            </w:r>
          </w:p>
          <w:p w14:paraId="4B41B512" w14:textId="77777777" w:rsidR="00FF7799" w:rsidRPr="00E73F6F" w:rsidRDefault="00FF7799" w:rsidP="003F7F32">
            <w:pPr>
              <w:pStyle w:val="StandardTextAufzhlung"/>
              <w:jc w:val="left"/>
              <w:rPr>
                <w:lang w:val="de-DE"/>
              </w:rPr>
            </w:pPr>
            <w:r w:rsidRPr="00E73F6F">
              <w:rPr>
                <w:lang w:val="de-DE"/>
              </w:rPr>
              <w:t>Kundennähe</w:t>
            </w:r>
          </w:p>
        </w:tc>
      </w:tr>
    </w:tbl>
    <w:p w14:paraId="63009110" w14:textId="77777777" w:rsidR="00FF7799" w:rsidRPr="00E73F6F" w:rsidRDefault="00FF7799" w:rsidP="003F7F32">
      <w:pPr>
        <w:pStyle w:val="Quellen"/>
      </w:pPr>
      <w:r w:rsidRPr="00E73F6F">
        <w:rPr>
          <w:spacing w:val="-2"/>
        </w:rPr>
        <w:lastRenderedPageBreak/>
        <w:t>Quelle:</w:t>
      </w:r>
      <w:r w:rsidRPr="00E73F6F">
        <w:tab/>
        <w:t>Dichtl</w:t>
      </w:r>
      <w:r w:rsidRPr="00E73F6F">
        <w:rPr>
          <w:spacing w:val="-1"/>
        </w:rPr>
        <w:t xml:space="preserve"> </w:t>
      </w:r>
      <w:r w:rsidRPr="00E73F6F">
        <w:t>(1991,</w:t>
      </w:r>
      <w:r w:rsidRPr="00E73F6F">
        <w:rPr>
          <w:spacing w:val="-2"/>
        </w:rPr>
        <w:t xml:space="preserve"> </w:t>
      </w:r>
      <w:r w:rsidRPr="00E73F6F">
        <w:t xml:space="preserve">S.68f.); </w:t>
      </w:r>
      <w:r w:rsidRPr="00E73F6F">
        <w:rPr>
          <w:spacing w:val="-2"/>
        </w:rPr>
        <w:t>erweitert.</w:t>
      </w:r>
    </w:p>
    <w:p w14:paraId="27CA04A1" w14:textId="77777777" w:rsidR="00EA5DE3" w:rsidRDefault="00EA5DE3" w:rsidP="003F7F32">
      <w:pPr>
        <w:pStyle w:val="StandardText"/>
        <w:rPr>
          <w:b/>
          <w:i/>
          <w:sz w:val="22"/>
          <w:szCs w:val="22"/>
        </w:rPr>
      </w:pPr>
    </w:p>
    <w:p w14:paraId="0C206AF6" w14:textId="77777777" w:rsidR="00FF7799" w:rsidRPr="00EA5DE3" w:rsidRDefault="00FF7799" w:rsidP="003F7F32">
      <w:pPr>
        <w:pStyle w:val="StandardText"/>
        <w:rPr>
          <w:sz w:val="22"/>
          <w:szCs w:val="22"/>
          <w:lang w:val="en-US"/>
        </w:rPr>
      </w:pPr>
      <w:r w:rsidRPr="00EA5DE3">
        <w:rPr>
          <w:b/>
          <w:i/>
          <w:sz w:val="22"/>
          <w:szCs w:val="22"/>
        </w:rPr>
        <w:t>Literatur:</w:t>
      </w:r>
      <w:r w:rsidRPr="00EA5DE3">
        <w:rPr>
          <w:b/>
          <w:spacing w:val="-8"/>
          <w:sz w:val="22"/>
          <w:szCs w:val="22"/>
        </w:rPr>
        <w:t xml:space="preserve"> </w:t>
      </w:r>
      <w:r w:rsidRPr="00EA5DE3">
        <w:rPr>
          <w:sz w:val="22"/>
          <w:szCs w:val="22"/>
        </w:rPr>
        <w:t>Dichtl,</w:t>
      </w:r>
      <w:r w:rsidRPr="00EA5DE3">
        <w:rPr>
          <w:spacing w:val="-6"/>
          <w:sz w:val="22"/>
          <w:szCs w:val="22"/>
        </w:rPr>
        <w:t xml:space="preserve"> </w:t>
      </w:r>
      <w:r w:rsidRPr="00EA5DE3">
        <w:rPr>
          <w:sz w:val="22"/>
          <w:szCs w:val="22"/>
        </w:rPr>
        <w:t>E.</w:t>
      </w:r>
      <w:r w:rsidRPr="00EA5DE3">
        <w:rPr>
          <w:spacing w:val="-2"/>
          <w:sz w:val="22"/>
          <w:szCs w:val="22"/>
        </w:rPr>
        <w:t xml:space="preserve"> </w:t>
      </w:r>
      <w:r w:rsidRPr="00EA5DE3">
        <w:rPr>
          <w:sz w:val="22"/>
          <w:szCs w:val="22"/>
        </w:rPr>
        <w:t>(1991):</w:t>
      </w:r>
      <w:r w:rsidRPr="00EA5DE3">
        <w:rPr>
          <w:spacing w:val="-3"/>
          <w:sz w:val="22"/>
          <w:szCs w:val="22"/>
        </w:rPr>
        <w:t xml:space="preserve"> </w:t>
      </w:r>
      <w:r w:rsidRPr="00EA5DE3">
        <w:rPr>
          <w:sz w:val="22"/>
          <w:szCs w:val="22"/>
        </w:rPr>
        <w:t>Der</w:t>
      </w:r>
      <w:r w:rsidRPr="00EA5DE3">
        <w:rPr>
          <w:spacing w:val="-5"/>
          <w:sz w:val="22"/>
          <w:szCs w:val="22"/>
        </w:rPr>
        <w:t xml:space="preserve"> </w:t>
      </w:r>
      <w:r w:rsidRPr="00EA5DE3">
        <w:rPr>
          <w:sz w:val="22"/>
          <w:szCs w:val="22"/>
        </w:rPr>
        <w:t>Weg</w:t>
      </w:r>
      <w:r w:rsidRPr="00EA5DE3">
        <w:rPr>
          <w:spacing w:val="-3"/>
          <w:sz w:val="22"/>
          <w:szCs w:val="22"/>
        </w:rPr>
        <w:t xml:space="preserve"> </w:t>
      </w:r>
      <w:r w:rsidRPr="00EA5DE3">
        <w:rPr>
          <w:sz w:val="22"/>
          <w:szCs w:val="22"/>
        </w:rPr>
        <w:t>zum</w:t>
      </w:r>
      <w:r w:rsidRPr="00EA5DE3">
        <w:rPr>
          <w:spacing w:val="-6"/>
          <w:sz w:val="22"/>
          <w:szCs w:val="22"/>
        </w:rPr>
        <w:t xml:space="preserve"> </w:t>
      </w:r>
      <w:r w:rsidRPr="00EA5DE3">
        <w:rPr>
          <w:sz w:val="22"/>
          <w:szCs w:val="22"/>
        </w:rPr>
        <w:t>Käufer,</w:t>
      </w:r>
      <w:r w:rsidRPr="00EA5DE3">
        <w:rPr>
          <w:spacing w:val="-6"/>
          <w:sz w:val="22"/>
          <w:szCs w:val="22"/>
        </w:rPr>
        <w:t xml:space="preserve"> </w:t>
      </w:r>
      <w:r w:rsidRPr="00EA5DE3">
        <w:rPr>
          <w:sz w:val="22"/>
          <w:szCs w:val="22"/>
        </w:rPr>
        <w:t>2.Aufl.,</w:t>
      </w:r>
      <w:r w:rsidRPr="00EA5DE3">
        <w:rPr>
          <w:spacing w:val="-5"/>
          <w:sz w:val="22"/>
          <w:szCs w:val="22"/>
        </w:rPr>
        <w:t xml:space="preserve"> </w:t>
      </w:r>
      <w:r w:rsidRPr="00EA5DE3">
        <w:rPr>
          <w:sz w:val="22"/>
          <w:szCs w:val="22"/>
        </w:rPr>
        <w:t>München:</w:t>
      </w:r>
      <w:r w:rsidRPr="00EA5DE3">
        <w:rPr>
          <w:spacing w:val="-3"/>
          <w:sz w:val="22"/>
          <w:szCs w:val="22"/>
        </w:rPr>
        <w:t xml:space="preserve"> </w:t>
      </w:r>
      <w:r w:rsidRPr="00EA5DE3">
        <w:rPr>
          <w:sz w:val="22"/>
          <w:szCs w:val="22"/>
        </w:rPr>
        <w:t>DTV.</w:t>
      </w:r>
      <w:r w:rsidRPr="00EA5DE3">
        <w:rPr>
          <w:spacing w:val="71"/>
          <w:sz w:val="22"/>
          <w:szCs w:val="22"/>
        </w:rPr>
        <w:t xml:space="preserve"> </w:t>
      </w:r>
      <w:r w:rsidRPr="00EA5DE3">
        <w:rPr>
          <w:spacing w:val="-2"/>
          <w:sz w:val="22"/>
          <w:szCs w:val="22"/>
          <w:lang w:val="en-US"/>
        </w:rPr>
        <w:t>Maslow,</w:t>
      </w:r>
    </w:p>
    <w:p w14:paraId="52B40402" w14:textId="77777777" w:rsidR="00FF7799" w:rsidRPr="00EA5DE3" w:rsidRDefault="00FF7799" w:rsidP="00862DBA">
      <w:pPr>
        <w:spacing w:before="1"/>
        <w:jc w:val="both"/>
        <w:rPr>
          <w:lang w:val="en-US"/>
        </w:rPr>
      </w:pPr>
      <w:r w:rsidRPr="00EA5DE3">
        <w:rPr>
          <w:lang w:val="en-US"/>
        </w:rPr>
        <w:t>A.H.</w:t>
      </w:r>
      <w:r w:rsidRPr="00EA5DE3">
        <w:rPr>
          <w:spacing w:val="-6"/>
          <w:lang w:val="en-US"/>
        </w:rPr>
        <w:t xml:space="preserve"> </w:t>
      </w:r>
      <w:r w:rsidRPr="00EA5DE3">
        <w:rPr>
          <w:lang w:val="en-US"/>
        </w:rPr>
        <w:t>(1954):</w:t>
      </w:r>
      <w:r w:rsidRPr="00EA5DE3">
        <w:rPr>
          <w:spacing w:val="-7"/>
          <w:lang w:val="en-US"/>
        </w:rPr>
        <w:t xml:space="preserve"> </w:t>
      </w:r>
      <w:r w:rsidRPr="00EA5DE3">
        <w:rPr>
          <w:lang w:val="en-US"/>
        </w:rPr>
        <w:t>Motivation</w:t>
      </w:r>
      <w:r w:rsidRPr="00EA5DE3">
        <w:rPr>
          <w:spacing w:val="-7"/>
          <w:lang w:val="en-US"/>
        </w:rPr>
        <w:t xml:space="preserve"> </w:t>
      </w:r>
      <w:r w:rsidRPr="00EA5DE3">
        <w:rPr>
          <w:lang w:val="en-US"/>
        </w:rPr>
        <w:t>and</w:t>
      </w:r>
      <w:r w:rsidRPr="00EA5DE3">
        <w:rPr>
          <w:spacing w:val="-6"/>
          <w:lang w:val="en-US"/>
        </w:rPr>
        <w:t xml:space="preserve"> </w:t>
      </w:r>
      <w:r w:rsidRPr="00EA5DE3">
        <w:rPr>
          <w:lang w:val="en-US"/>
        </w:rPr>
        <w:t>Personality,</w:t>
      </w:r>
      <w:r w:rsidRPr="00EA5DE3">
        <w:rPr>
          <w:spacing w:val="-3"/>
          <w:lang w:val="en-US"/>
        </w:rPr>
        <w:t xml:space="preserve"> </w:t>
      </w:r>
      <w:r w:rsidRPr="00EA5DE3">
        <w:rPr>
          <w:lang w:val="en-US"/>
        </w:rPr>
        <w:t>New</w:t>
      </w:r>
      <w:r w:rsidRPr="00EA5DE3">
        <w:rPr>
          <w:spacing w:val="-7"/>
          <w:lang w:val="en-US"/>
        </w:rPr>
        <w:t xml:space="preserve"> </w:t>
      </w:r>
      <w:r w:rsidRPr="00EA5DE3">
        <w:rPr>
          <w:lang w:val="en-US"/>
        </w:rPr>
        <w:t>York:</w:t>
      </w:r>
      <w:r w:rsidRPr="00EA5DE3">
        <w:rPr>
          <w:spacing w:val="-7"/>
          <w:lang w:val="en-US"/>
        </w:rPr>
        <w:t xml:space="preserve"> </w:t>
      </w:r>
      <w:r w:rsidRPr="00EA5DE3">
        <w:rPr>
          <w:spacing w:val="-2"/>
          <w:lang w:val="en-US"/>
        </w:rPr>
        <w:t>Harper.</w:t>
      </w:r>
    </w:p>
    <w:p w14:paraId="5F0A93BF" w14:textId="77777777" w:rsidR="00FF7799" w:rsidRPr="00E35FFF" w:rsidRDefault="00FF7799" w:rsidP="003F7F32">
      <w:pPr>
        <w:pStyle w:val="StandardText"/>
        <w:rPr>
          <w:lang w:val="en-US"/>
        </w:rPr>
      </w:pPr>
    </w:p>
    <w:p w14:paraId="33D2EA1E" w14:textId="77777777" w:rsidR="00FF7799" w:rsidRPr="008E049F" w:rsidRDefault="00FF7799" w:rsidP="00A248A6">
      <w:pPr>
        <w:pStyle w:val="berschrift1"/>
        <w:rPr>
          <w:color w:val="2F5496" w:themeColor="accent5" w:themeShade="BF"/>
        </w:rPr>
      </w:pPr>
      <w:r w:rsidRPr="008E049F">
        <w:rPr>
          <w:color w:val="2F5496" w:themeColor="accent5" w:themeShade="BF"/>
        </w:rPr>
        <w:t>Begrüßung &amp; Small Talk</w:t>
      </w:r>
    </w:p>
    <w:p w14:paraId="3D6C51AC" w14:textId="77777777" w:rsidR="00FF7799" w:rsidRPr="00E73F6F" w:rsidRDefault="00FF7799" w:rsidP="001E3EB9">
      <w:pPr>
        <w:pStyle w:val="StandardText"/>
      </w:pPr>
      <w:r w:rsidRPr="00E73F6F">
        <w:t>wichtige, bisweilen entscheidende erste Phase des zwischenmenschlichen Kontakts und der Kommunikation.</w:t>
      </w:r>
    </w:p>
    <w:p w14:paraId="7F8605FA" w14:textId="77777777" w:rsidR="00FF7799" w:rsidRPr="00E73F6F" w:rsidRDefault="00FF7799" w:rsidP="00862DBA">
      <w:pPr>
        <w:spacing w:before="1"/>
        <w:rPr>
          <w:sz w:val="24"/>
          <w:szCs w:val="24"/>
        </w:rPr>
      </w:pPr>
    </w:p>
    <w:p w14:paraId="53A0477F" w14:textId="77777777" w:rsidR="00FF7799" w:rsidRPr="004B24AB" w:rsidRDefault="00FF7799" w:rsidP="00EC4358">
      <w:pPr>
        <w:pStyle w:val="StandardTextkursiv"/>
        <w:rPr>
          <w:i w:val="0"/>
        </w:rPr>
      </w:pPr>
      <w:r w:rsidRPr="004B24AB">
        <w:rPr>
          <w:i w:val="0"/>
        </w:rPr>
        <w:t>1 Begrüßungsrituale</w:t>
      </w:r>
    </w:p>
    <w:p w14:paraId="46E3C0C2" w14:textId="77777777" w:rsidR="00FF7799" w:rsidRPr="00E73F6F" w:rsidRDefault="00FF7799" w:rsidP="00EC4358">
      <w:pPr>
        <w:pStyle w:val="StandardText"/>
      </w:pPr>
      <w:r w:rsidRPr="00E73F6F">
        <w:t xml:space="preserve">Weltweit haben sich die unterschiedlichsten Begrüßungsrituale entwickelt. So wirkt der bei uns übliche Handschlag im traditionellen Japan deplatziert. Dort entspricht es der Landessitte, sich </w:t>
      </w:r>
      <w:r w:rsidRPr="00E73F6F">
        <w:lastRenderedPageBreak/>
        <w:t>mit einer Verbeugung zu begrüßen, wobei die Tiefe der Verbeugung dem eigenen sozialen Status und dem des zu Begrüßenden angepasst wird. Je höhergestellter dieser ist und je geringer der eigene soziale Rang,</w:t>
      </w:r>
      <w:r w:rsidRPr="00E73F6F">
        <w:rPr>
          <w:spacing w:val="-2"/>
        </w:rPr>
        <w:t xml:space="preserve"> </w:t>
      </w:r>
      <w:r w:rsidRPr="00E73F6F">
        <w:t>umso</w:t>
      </w:r>
      <w:r w:rsidRPr="00E73F6F">
        <w:rPr>
          <w:spacing w:val="-2"/>
        </w:rPr>
        <w:t xml:space="preserve"> </w:t>
      </w:r>
      <w:r w:rsidRPr="00E73F6F">
        <w:t>tiefer</w:t>
      </w:r>
      <w:r w:rsidRPr="00E73F6F">
        <w:rPr>
          <w:spacing w:val="-2"/>
        </w:rPr>
        <w:t xml:space="preserve"> </w:t>
      </w:r>
      <w:r w:rsidRPr="00E73F6F">
        <w:t>die</w:t>
      </w:r>
      <w:r w:rsidRPr="00E73F6F">
        <w:rPr>
          <w:spacing w:val="-2"/>
        </w:rPr>
        <w:t xml:space="preserve"> </w:t>
      </w:r>
      <w:r w:rsidRPr="00E73F6F">
        <w:t>Verbeugung.</w:t>
      </w:r>
      <w:r w:rsidRPr="00E73F6F">
        <w:rPr>
          <w:spacing w:val="-2"/>
        </w:rPr>
        <w:t xml:space="preserve"> </w:t>
      </w:r>
      <w:r w:rsidRPr="00E73F6F">
        <w:t>Auch</w:t>
      </w:r>
      <w:r w:rsidRPr="00E73F6F">
        <w:rPr>
          <w:spacing w:val="-1"/>
        </w:rPr>
        <w:t xml:space="preserve"> </w:t>
      </w:r>
      <w:r w:rsidRPr="00E73F6F">
        <w:t>sollten</w:t>
      </w:r>
      <w:r w:rsidRPr="00E73F6F">
        <w:rPr>
          <w:spacing w:val="-4"/>
        </w:rPr>
        <w:t xml:space="preserve"> </w:t>
      </w:r>
      <w:r w:rsidRPr="00E73F6F">
        <w:t>dabei</w:t>
      </w:r>
      <w:r w:rsidRPr="00E73F6F">
        <w:rPr>
          <w:spacing w:val="-2"/>
        </w:rPr>
        <w:t xml:space="preserve"> </w:t>
      </w:r>
      <w:r w:rsidRPr="00E73F6F">
        <w:t>die</w:t>
      </w:r>
      <w:r w:rsidRPr="00E73F6F">
        <w:rPr>
          <w:spacing w:val="-2"/>
        </w:rPr>
        <w:t xml:space="preserve"> </w:t>
      </w:r>
      <w:r w:rsidRPr="00E73F6F">
        <w:t>Augen</w:t>
      </w:r>
      <w:r w:rsidRPr="00E73F6F">
        <w:rPr>
          <w:spacing w:val="-3"/>
        </w:rPr>
        <w:t xml:space="preserve"> </w:t>
      </w:r>
      <w:r w:rsidRPr="00E73F6F">
        <w:t>gesenkt</w:t>
      </w:r>
      <w:r w:rsidRPr="00E73F6F">
        <w:rPr>
          <w:spacing w:val="-2"/>
        </w:rPr>
        <w:t xml:space="preserve"> </w:t>
      </w:r>
      <w:r w:rsidRPr="00E73F6F">
        <w:t>und</w:t>
      </w:r>
      <w:r w:rsidRPr="00E73F6F">
        <w:rPr>
          <w:spacing w:val="-3"/>
        </w:rPr>
        <w:t xml:space="preserve"> </w:t>
      </w:r>
      <w:r w:rsidRPr="00E73F6F">
        <w:t>die Arme nahe am Körper gehalten werden. Im Geschäftsleben allerdings kann man davon</w:t>
      </w:r>
      <w:r w:rsidRPr="00E73F6F">
        <w:rPr>
          <w:spacing w:val="-2"/>
        </w:rPr>
        <w:t xml:space="preserve"> </w:t>
      </w:r>
      <w:r w:rsidRPr="00E73F6F">
        <w:t>ausgehen,</w:t>
      </w:r>
      <w:r w:rsidRPr="00E73F6F">
        <w:rPr>
          <w:spacing w:val="-5"/>
        </w:rPr>
        <w:t xml:space="preserve"> </w:t>
      </w:r>
      <w:r w:rsidRPr="00E73F6F">
        <w:t>dass</w:t>
      </w:r>
      <w:r w:rsidRPr="00E73F6F">
        <w:rPr>
          <w:spacing w:val="-4"/>
        </w:rPr>
        <w:t xml:space="preserve"> </w:t>
      </w:r>
      <w:r w:rsidRPr="00E73F6F">
        <w:t>japanische</w:t>
      </w:r>
      <w:r w:rsidRPr="00E73F6F">
        <w:rPr>
          <w:spacing w:val="-6"/>
        </w:rPr>
        <w:t xml:space="preserve"> </w:t>
      </w:r>
      <w:r w:rsidRPr="00E73F6F">
        <w:t>Manager</w:t>
      </w:r>
      <w:r w:rsidRPr="00E73F6F">
        <w:rPr>
          <w:spacing w:val="-3"/>
        </w:rPr>
        <w:t xml:space="preserve"> </w:t>
      </w:r>
      <w:r w:rsidRPr="00E73F6F">
        <w:t>als</w:t>
      </w:r>
      <w:r w:rsidRPr="00E73F6F">
        <w:rPr>
          <w:spacing w:val="-3"/>
        </w:rPr>
        <w:t xml:space="preserve"> </w:t>
      </w:r>
      <w:r w:rsidRPr="00E73F6F">
        <w:t>Reverenz</w:t>
      </w:r>
      <w:r w:rsidRPr="00E73F6F">
        <w:rPr>
          <w:spacing w:val="-4"/>
        </w:rPr>
        <w:t xml:space="preserve"> </w:t>
      </w:r>
      <w:r w:rsidRPr="00E73F6F">
        <w:t>an</w:t>
      </w:r>
      <w:r w:rsidRPr="00E73F6F">
        <w:rPr>
          <w:spacing w:val="-4"/>
        </w:rPr>
        <w:t xml:space="preserve"> </w:t>
      </w:r>
      <w:r w:rsidRPr="00E73F6F">
        <w:t>den</w:t>
      </w:r>
      <w:r w:rsidRPr="00E73F6F">
        <w:rPr>
          <w:spacing w:val="-2"/>
        </w:rPr>
        <w:t xml:space="preserve"> </w:t>
      </w:r>
      <w:r w:rsidRPr="00E73F6F">
        <w:t>Gast</w:t>
      </w:r>
      <w:r w:rsidRPr="00E73F6F">
        <w:rPr>
          <w:spacing w:val="-3"/>
        </w:rPr>
        <w:t xml:space="preserve"> </w:t>
      </w:r>
      <w:r w:rsidRPr="00E73F6F">
        <w:t>die</w:t>
      </w:r>
      <w:r w:rsidRPr="00E73F6F">
        <w:rPr>
          <w:spacing w:val="-3"/>
        </w:rPr>
        <w:t xml:space="preserve"> </w:t>
      </w:r>
      <w:r w:rsidRPr="00E73F6F">
        <w:t>westliche Gepflogenheit übernehmen und den 'gajin' mit einem (leichten!) Händedruck begrüßen. Für viele andere Länder gilt Ähnliches. Auch in Russland wurde das Händeschütteln als Form der Begrüßung Fremder insb. im Geschäftsleben übernommen; es ist dort immer aber auch Ausdruck eines distanzierten Verhältnisses. In die landestypischen herzlicheren Begrüßungsrituale, etwa Umarmen</w:t>
      </w:r>
      <w:r w:rsidRPr="00E73F6F">
        <w:rPr>
          <w:spacing w:val="-2"/>
        </w:rPr>
        <w:t xml:space="preserve"> </w:t>
      </w:r>
      <w:r w:rsidRPr="00E73F6F">
        <w:t>und</w:t>
      </w:r>
      <w:r w:rsidRPr="00E73F6F">
        <w:rPr>
          <w:spacing w:val="-2"/>
        </w:rPr>
        <w:t xml:space="preserve"> </w:t>
      </w:r>
      <w:r w:rsidRPr="00E73F6F">
        <w:t>auf</w:t>
      </w:r>
      <w:r w:rsidRPr="00E73F6F">
        <w:rPr>
          <w:spacing w:val="-3"/>
        </w:rPr>
        <w:t xml:space="preserve"> </w:t>
      </w:r>
      <w:r w:rsidRPr="00E73F6F">
        <w:t>die</w:t>
      </w:r>
      <w:r w:rsidRPr="00E73F6F">
        <w:rPr>
          <w:spacing w:val="-4"/>
        </w:rPr>
        <w:t xml:space="preserve"> </w:t>
      </w:r>
      <w:r w:rsidRPr="00E73F6F">
        <w:t>Schulter</w:t>
      </w:r>
      <w:r w:rsidRPr="00E73F6F">
        <w:rPr>
          <w:spacing w:val="-1"/>
        </w:rPr>
        <w:t xml:space="preserve"> </w:t>
      </w:r>
      <w:r w:rsidRPr="00E73F6F">
        <w:t>klopfen</w:t>
      </w:r>
      <w:r w:rsidRPr="00E73F6F">
        <w:rPr>
          <w:spacing w:val="-2"/>
        </w:rPr>
        <w:t xml:space="preserve"> </w:t>
      </w:r>
      <w:r w:rsidRPr="00E73F6F">
        <w:t>sowie</w:t>
      </w:r>
      <w:r w:rsidRPr="00E73F6F">
        <w:rPr>
          <w:spacing w:val="2"/>
        </w:rPr>
        <w:t xml:space="preserve"> </w:t>
      </w:r>
      <w:r w:rsidRPr="00E73F6F">
        <w:t>Wangenkuss,</w:t>
      </w:r>
      <w:r w:rsidRPr="00E73F6F">
        <w:rPr>
          <w:spacing w:val="-3"/>
        </w:rPr>
        <w:t xml:space="preserve"> </w:t>
      </w:r>
      <w:r w:rsidRPr="00E73F6F">
        <w:t>wird</w:t>
      </w:r>
      <w:r w:rsidRPr="00E73F6F">
        <w:rPr>
          <w:spacing w:val="-2"/>
        </w:rPr>
        <w:t xml:space="preserve"> </w:t>
      </w:r>
      <w:r w:rsidRPr="00E73F6F">
        <w:t xml:space="preserve">der </w:t>
      </w:r>
      <w:r w:rsidRPr="00E73F6F">
        <w:rPr>
          <w:spacing w:val="-2"/>
        </w:rPr>
        <w:t>ausländische</w:t>
      </w:r>
    </w:p>
    <w:p w14:paraId="2A66A25A" w14:textId="77777777" w:rsidR="00FF7799" w:rsidRPr="00E73F6F" w:rsidRDefault="00FF7799" w:rsidP="00EC4358">
      <w:pPr>
        <w:pStyle w:val="StandardText"/>
      </w:pPr>
      <w:r w:rsidRPr="00E73F6F">
        <w:t>Gast frühesten dann einbezogen, wenn sich nach einer gewissen Zeit die</w:t>
      </w:r>
      <w:r w:rsidRPr="00E73F6F">
        <w:rPr>
          <w:spacing w:val="-11"/>
        </w:rPr>
        <w:t xml:space="preserve"> </w:t>
      </w:r>
      <w:r w:rsidRPr="00E73F6F">
        <w:t>Geschäftsbeziehung</w:t>
      </w:r>
      <w:r w:rsidRPr="00E73F6F">
        <w:rPr>
          <w:spacing w:val="-11"/>
        </w:rPr>
        <w:t xml:space="preserve"> </w:t>
      </w:r>
      <w:r w:rsidRPr="00E73F6F">
        <w:t>in</w:t>
      </w:r>
      <w:r w:rsidRPr="00E73F6F">
        <w:rPr>
          <w:spacing w:val="-9"/>
        </w:rPr>
        <w:t xml:space="preserve"> </w:t>
      </w:r>
      <w:r w:rsidRPr="00E73F6F">
        <w:t>eine</w:t>
      </w:r>
      <w:r w:rsidRPr="00E73F6F">
        <w:rPr>
          <w:spacing w:val="-11"/>
        </w:rPr>
        <w:t xml:space="preserve"> </w:t>
      </w:r>
      <w:r w:rsidRPr="00E73F6F">
        <w:t>soziale</w:t>
      </w:r>
      <w:r w:rsidRPr="00E73F6F">
        <w:rPr>
          <w:spacing w:val="-11"/>
        </w:rPr>
        <w:t xml:space="preserve"> </w:t>
      </w:r>
      <w:r w:rsidRPr="00E73F6F">
        <w:t>Beziehung</w:t>
      </w:r>
      <w:r w:rsidRPr="00E73F6F">
        <w:rPr>
          <w:spacing w:val="-9"/>
        </w:rPr>
        <w:t xml:space="preserve"> </w:t>
      </w:r>
      <w:r w:rsidRPr="00E73F6F">
        <w:t>gewandelt</w:t>
      </w:r>
      <w:r w:rsidRPr="00E73F6F">
        <w:rPr>
          <w:spacing w:val="-11"/>
        </w:rPr>
        <w:t xml:space="preserve"> </w:t>
      </w:r>
      <w:r w:rsidRPr="00E73F6F">
        <w:t>hat.</w:t>
      </w:r>
      <w:r w:rsidRPr="00E73F6F">
        <w:rPr>
          <w:spacing w:val="-9"/>
        </w:rPr>
        <w:t xml:space="preserve"> </w:t>
      </w:r>
      <w:r w:rsidRPr="00E73F6F">
        <w:t>Wie</w:t>
      </w:r>
      <w:r w:rsidRPr="00E73F6F">
        <w:rPr>
          <w:spacing w:val="-11"/>
        </w:rPr>
        <w:t xml:space="preserve"> </w:t>
      </w:r>
      <w:r w:rsidRPr="00E73F6F">
        <w:t>viele</w:t>
      </w:r>
      <w:r w:rsidRPr="00E73F6F">
        <w:rPr>
          <w:spacing w:val="-11"/>
        </w:rPr>
        <w:t xml:space="preserve"> </w:t>
      </w:r>
      <w:r w:rsidRPr="00E73F6F">
        <w:t>andere Länder,</w:t>
      </w:r>
      <w:r w:rsidRPr="00E73F6F">
        <w:rPr>
          <w:spacing w:val="-12"/>
        </w:rPr>
        <w:t xml:space="preserve"> </w:t>
      </w:r>
      <w:r w:rsidRPr="00E73F6F">
        <w:t>so</w:t>
      </w:r>
      <w:r w:rsidRPr="00E73F6F">
        <w:rPr>
          <w:spacing w:val="-11"/>
        </w:rPr>
        <w:t xml:space="preserve"> </w:t>
      </w:r>
      <w:r w:rsidRPr="00E73F6F">
        <w:t>kennt</w:t>
      </w:r>
      <w:r w:rsidRPr="00E73F6F">
        <w:rPr>
          <w:spacing w:val="-11"/>
        </w:rPr>
        <w:t xml:space="preserve"> </w:t>
      </w:r>
      <w:r w:rsidRPr="00E73F6F">
        <w:t>auch</w:t>
      </w:r>
      <w:r w:rsidRPr="00E73F6F">
        <w:rPr>
          <w:spacing w:val="-11"/>
        </w:rPr>
        <w:t xml:space="preserve"> </w:t>
      </w:r>
      <w:r w:rsidRPr="00E73F6F">
        <w:t>Chile</w:t>
      </w:r>
      <w:r w:rsidRPr="00E73F6F">
        <w:rPr>
          <w:spacing w:val="-12"/>
        </w:rPr>
        <w:t xml:space="preserve"> </w:t>
      </w:r>
      <w:r w:rsidRPr="00E73F6F">
        <w:t>ein</w:t>
      </w:r>
      <w:r w:rsidRPr="00E73F6F">
        <w:rPr>
          <w:spacing w:val="-11"/>
        </w:rPr>
        <w:t xml:space="preserve"> </w:t>
      </w:r>
      <w:r w:rsidRPr="00E73F6F">
        <w:t>geschlechtsspezifisches</w:t>
      </w:r>
      <w:r w:rsidRPr="00E73F6F">
        <w:rPr>
          <w:spacing w:val="-11"/>
        </w:rPr>
        <w:t xml:space="preserve"> </w:t>
      </w:r>
      <w:r w:rsidRPr="00E73F6F">
        <w:t>Begrüßungsritual:</w:t>
      </w:r>
      <w:r w:rsidRPr="00E73F6F">
        <w:rPr>
          <w:spacing w:val="-11"/>
        </w:rPr>
        <w:t xml:space="preserve"> </w:t>
      </w:r>
      <w:r w:rsidRPr="00E73F6F">
        <w:t>Männer werden gewöhnlich mit einem kräftigen Händedruck begrüßt und Frauen mit einem (!) angedeuteten Wangenkuss (rechte Wange).</w:t>
      </w:r>
    </w:p>
    <w:p w14:paraId="3E6F224C" w14:textId="77777777" w:rsidR="00FF7799" w:rsidRPr="00E73F6F" w:rsidRDefault="00FF7799" w:rsidP="00EC4358">
      <w:pPr>
        <w:pStyle w:val="StandardText"/>
      </w:pPr>
      <w:r w:rsidRPr="00E73F6F">
        <w:t>Nicht</w:t>
      </w:r>
      <w:r w:rsidRPr="00E73F6F">
        <w:rPr>
          <w:spacing w:val="-5"/>
        </w:rPr>
        <w:t xml:space="preserve"> </w:t>
      </w:r>
      <w:r w:rsidRPr="00E73F6F">
        <w:t>minder</w:t>
      </w:r>
      <w:r w:rsidRPr="00E73F6F">
        <w:rPr>
          <w:spacing w:val="-6"/>
        </w:rPr>
        <w:t xml:space="preserve"> </w:t>
      </w:r>
      <w:r w:rsidRPr="00E73F6F">
        <w:t>kulturspezifisch</w:t>
      </w:r>
      <w:r w:rsidRPr="00E73F6F">
        <w:rPr>
          <w:spacing w:val="-6"/>
        </w:rPr>
        <w:t xml:space="preserve"> </w:t>
      </w:r>
      <w:r w:rsidRPr="00E73F6F">
        <w:t>sind</w:t>
      </w:r>
      <w:r w:rsidRPr="00E73F6F">
        <w:rPr>
          <w:spacing w:val="-6"/>
        </w:rPr>
        <w:t xml:space="preserve"> </w:t>
      </w:r>
      <w:r w:rsidRPr="00E73F6F">
        <w:t>die</w:t>
      </w:r>
      <w:r w:rsidRPr="00E73F6F">
        <w:rPr>
          <w:spacing w:val="-5"/>
        </w:rPr>
        <w:t xml:space="preserve"> </w:t>
      </w:r>
      <w:r w:rsidRPr="00E73F6F">
        <w:t>verbalen</w:t>
      </w:r>
      <w:r w:rsidRPr="00E73F6F">
        <w:rPr>
          <w:spacing w:val="-4"/>
        </w:rPr>
        <w:t xml:space="preserve"> </w:t>
      </w:r>
      <w:r w:rsidRPr="00E73F6F">
        <w:t>Begrüßungsrituale.</w:t>
      </w:r>
      <w:r w:rsidRPr="00E73F6F">
        <w:rPr>
          <w:spacing w:val="-6"/>
        </w:rPr>
        <w:t xml:space="preserve"> </w:t>
      </w:r>
      <w:r w:rsidRPr="00E73F6F">
        <w:t>Während</w:t>
      </w:r>
      <w:r w:rsidRPr="00E73F6F">
        <w:rPr>
          <w:spacing w:val="-4"/>
        </w:rPr>
        <w:t xml:space="preserve"> </w:t>
      </w:r>
      <w:r w:rsidRPr="00E73F6F">
        <w:t>man sich im westlichen</w:t>
      </w:r>
      <w:r w:rsidRPr="00E73F6F">
        <w:rPr>
          <w:spacing w:val="40"/>
        </w:rPr>
        <w:t xml:space="preserve"> </w:t>
      </w:r>
      <w:r w:rsidRPr="00E73F6F">
        <w:t>Kulturraum in vielen</w:t>
      </w:r>
      <w:r w:rsidRPr="00E73F6F">
        <w:rPr>
          <w:spacing w:val="40"/>
        </w:rPr>
        <w:t xml:space="preserve"> </w:t>
      </w:r>
      <w:r w:rsidRPr="00E73F6F">
        <w:t>Sprachen häufig mit „Wie geht es?“ begrüßt,</w:t>
      </w:r>
      <w:r w:rsidRPr="00E73F6F">
        <w:rPr>
          <w:spacing w:val="-5"/>
        </w:rPr>
        <w:t xml:space="preserve"> </w:t>
      </w:r>
      <w:r w:rsidRPr="00E73F6F">
        <w:t>lautet</w:t>
      </w:r>
      <w:r w:rsidRPr="00E73F6F">
        <w:rPr>
          <w:spacing w:val="-5"/>
        </w:rPr>
        <w:t xml:space="preserve"> </w:t>
      </w:r>
      <w:r w:rsidRPr="00E73F6F">
        <w:t>in</w:t>
      </w:r>
      <w:r w:rsidRPr="00E73F6F">
        <w:rPr>
          <w:spacing w:val="-4"/>
        </w:rPr>
        <w:t xml:space="preserve"> </w:t>
      </w:r>
      <w:r w:rsidRPr="00E73F6F">
        <w:t>China</w:t>
      </w:r>
      <w:r w:rsidRPr="00E73F6F">
        <w:rPr>
          <w:spacing w:val="-4"/>
        </w:rPr>
        <w:t xml:space="preserve"> </w:t>
      </w:r>
      <w:r w:rsidRPr="00E73F6F">
        <w:t>die</w:t>
      </w:r>
      <w:r w:rsidRPr="00E73F6F">
        <w:rPr>
          <w:spacing w:val="-3"/>
        </w:rPr>
        <w:t xml:space="preserve"> </w:t>
      </w:r>
      <w:r w:rsidRPr="00E73F6F">
        <w:t>häufigste</w:t>
      </w:r>
      <w:r w:rsidRPr="00E73F6F">
        <w:rPr>
          <w:spacing w:val="-4"/>
        </w:rPr>
        <w:t xml:space="preserve"> </w:t>
      </w:r>
      <w:r w:rsidRPr="00E73F6F">
        <w:t>Grußformel</w:t>
      </w:r>
      <w:r w:rsidRPr="00E73F6F">
        <w:rPr>
          <w:spacing w:val="-3"/>
        </w:rPr>
        <w:t xml:space="preserve"> </w:t>
      </w:r>
      <w:r w:rsidRPr="00E73F6F">
        <w:t>„Hast</w:t>
      </w:r>
      <w:r w:rsidRPr="00E73F6F">
        <w:rPr>
          <w:spacing w:val="-3"/>
        </w:rPr>
        <w:t xml:space="preserve"> </w:t>
      </w:r>
      <w:r w:rsidRPr="00E73F6F">
        <w:t>Du</w:t>
      </w:r>
      <w:r w:rsidRPr="00E73F6F">
        <w:rPr>
          <w:spacing w:val="-2"/>
        </w:rPr>
        <w:t xml:space="preserve"> </w:t>
      </w:r>
      <w:r w:rsidRPr="00E73F6F">
        <w:t>schon</w:t>
      </w:r>
      <w:r w:rsidRPr="00E73F6F">
        <w:rPr>
          <w:spacing w:val="-4"/>
        </w:rPr>
        <w:t xml:space="preserve"> </w:t>
      </w:r>
      <w:r w:rsidRPr="00E73F6F">
        <w:t>gegessen?“.</w:t>
      </w:r>
      <w:r w:rsidRPr="00E73F6F">
        <w:rPr>
          <w:spacing w:val="-3"/>
        </w:rPr>
        <w:t xml:space="preserve"> </w:t>
      </w:r>
      <w:r w:rsidRPr="00E73F6F">
        <w:t>Da das „Reich der Mitte“ über viele Jahrhunderte immer wieder von verheerenden Hungersnöten heimgesucht wurde, die sich tief ins kollektive Bewusstsein eingegraben haben, ist der tiefere Sinn dieser Begrüßungsformel ebenso leicht nachvollziehbar wie die außerordentliche Bedeutung, welche Tafelfreuden noch heute in der chinesischen Gesellschaft haben.</w:t>
      </w:r>
    </w:p>
    <w:p w14:paraId="4883A203" w14:textId="77777777" w:rsidR="00FF7799" w:rsidRPr="00E73F6F" w:rsidRDefault="00FF7799" w:rsidP="00EC4358">
      <w:pPr>
        <w:pStyle w:val="StandardText"/>
      </w:pPr>
    </w:p>
    <w:p w14:paraId="7CEB3636" w14:textId="77777777" w:rsidR="00FF7799" w:rsidRPr="004B24AB" w:rsidRDefault="00FF7799" w:rsidP="00EC4358">
      <w:pPr>
        <w:pStyle w:val="StandardTextkursiv"/>
        <w:rPr>
          <w:i w:val="0"/>
        </w:rPr>
      </w:pPr>
      <w:r w:rsidRPr="004B24AB">
        <w:rPr>
          <w:i w:val="0"/>
        </w:rPr>
        <w:t>2 Gesprächsthemen</w:t>
      </w:r>
    </w:p>
    <w:p w14:paraId="668BAFC0" w14:textId="77777777" w:rsidR="00FF7799" w:rsidRPr="00E73F6F" w:rsidRDefault="00FF7799" w:rsidP="00EC4358">
      <w:pPr>
        <w:pStyle w:val="StandardText"/>
      </w:pPr>
      <w:r w:rsidRPr="00E73F6F">
        <w:t>Für den Small Talk eignen sich manche Gesprächsthemen mehr und andere weniger (vgl. Tab.</w:t>
      </w:r>
      <w:r w:rsidR="004B24AB">
        <w:t xml:space="preserve"> 1</w:t>
      </w:r>
      <w:r w:rsidRPr="00E73F6F">
        <w:t>). Als Regel lässt sich formulieren, dass Ereignisse und Sachverhalte,</w:t>
      </w:r>
      <w:r w:rsidRPr="00E73F6F">
        <w:rPr>
          <w:spacing w:val="-9"/>
        </w:rPr>
        <w:t xml:space="preserve"> </w:t>
      </w:r>
      <w:r w:rsidRPr="00E73F6F">
        <w:t>welche</w:t>
      </w:r>
      <w:r w:rsidRPr="00E73F6F">
        <w:rPr>
          <w:spacing w:val="-10"/>
        </w:rPr>
        <w:t xml:space="preserve"> </w:t>
      </w:r>
      <w:r w:rsidRPr="00E73F6F">
        <w:t>für</w:t>
      </w:r>
      <w:r w:rsidRPr="00E73F6F">
        <w:rPr>
          <w:spacing w:val="-11"/>
        </w:rPr>
        <w:t xml:space="preserve"> </w:t>
      </w:r>
      <w:r w:rsidRPr="00E73F6F">
        <w:t>die</w:t>
      </w:r>
      <w:r w:rsidRPr="00E73F6F">
        <w:rPr>
          <w:spacing w:val="-10"/>
        </w:rPr>
        <w:t xml:space="preserve"> </w:t>
      </w:r>
      <w:r w:rsidRPr="00E73F6F">
        <w:t>nationale</w:t>
      </w:r>
      <w:r w:rsidRPr="00E73F6F">
        <w:rPr>
          <w:spacing w:val="-10"/>
        </w:rPr>
        <w:t xml:space="preserve"> </w:t>
      </w:r>
      <w:r w:rsidRPr="00E73F6F">
        <w:t>bzw.</w:t>
      </w:r>
      <w:r w:rsidRPr="00E73F6F">
        <w:rPr>
          <w:spacing w:val="-9"/>
        </w:rPr>
        <w:t xml:space="preserve"> </w:t>
      </w:r>
      <w:r w:rsidRPr="00E73F6F">
        <w:t>kulturelle</w:t>
      </w:r>
      <w:r w:rsidRPr="00E73F6F">
        <w:rPr>
          <w:spacing w:val="-10"/>
        </w:rPr>
        <w:t xml:space="preserve"> </w:t>
      </w:r>
      <w:r w:rsidRPr="00E73F6F">
        <w:t>Identität</w:t>
      </w:r>
      <w:r w:rsidRPr="00E73F6F">
        <w:rPr>
          <w:spacing w:val="-9"/>
        </w:rPr>
        <w:t xml:space="preserve"> </w:t>
      </w:r>
      <w:r w:rsidRPr="00E73F6F">
        <w:t>bedeutsam</w:t>
      </w:r>
      <w:r w:rsidRPr="00E73F6F">
        <w:rPr>
          <w:spacing w:val="-10"/>
        </w:rPr>
        <w:t xml:space="preserve"> </w:t>
      </w:r>
      <w:r w:rsidRPr="00E73F6F">
        <w:t>sind,</w:t>
      </w:r>
      <w:r w:rsidRPr="00E73F6F">
        <w:rPr>
          <w:spacing w:val="-9"/>
        </w:rPr>
        <w:t xml:space="preserve"> </w:t>
      </w:r>
      <w:r w:rsidRPr="00E73F6F">
        <w:t>im Regelfall Gegenstand eines unverbindlichen Gesprächs sein können, während nationale bzw. kulturelle Traumata gemieden werden sollten.</w:t>
      </w:r>
    </w:p>
    <w:p w14:paraId="17E23597" w14:textId="77777777" w:rsidR="00FF7799" w:rsidRPr="00E73F6F" w:rsidRDefault="00FF7799" w:rsidP="00EC4358">
      <w:pPr>
        <w:pStyle w:val="StandardText"/>
      </w:pPr>
    </w:p>
    <w:p w14:paraId="5C2E975A" w14:textId="3DAADBB2" w:rsidR="00FF7799" w:rsidRPr="00037FAC" w:rsidRDefault="00FF7799" w:rsidP="00EC4358">
      <w:pPr>
        <w:pStyle w:val="BeschriftungTab"/>
        <w:rPr>
          <w:i/>
          <w:iCs/>
        </w:rPr>
      </w:pPr>
      <w:r w:rsidRPr="00037FAC">
        <w:rPr>
          <w:i/>
          <w:iCs/>
        </w:rPr>
        <w:t>Tab. 1: Worüber</w:t>
      </w:r>
      <w:r w:rsidRPr="00037FAC">
        <w:rPr>
          <w:i/>
          <w:iCs/>
          <w:spacing w:val="-1"/>
        </w:rPr>
        <w:t xml:space="preserve"> </w:t>
      </w:r>
      <w:r w:rsidRPr="00037FAC">
        <w:rPr>
          <w:i/>
          <w:iCs/>
        </w:rPr>
        <w:t>man</w:t>
      </w:r>
      <w:r w:rsidRPr="00037FAC">
        <w:rPr>
          <w:i/>
          <w:iCs/>
          <w:spacing w:val="-2"/>
        </w:rPr>
        <w:t xml:space="preserve"> </w:t>
      </w:r>
      <w:r w:rsidRPr="00037FAC">
        <w:rPr>
          <w:i/>
          <w:iCs/>
        </w:rPr>
        <w:t>spricht</w:t>
      </w:r>
      <w:r w:rsidRPr="00037FAC">
        <w:rPr>
          <w:i/>
          <w:iCs/>
          <w:spacing w:val="-3"/>
        </w:rPr>
        <w:t xml:space="preserve"> </w:t>
      </w:r>
      <w:r w:rsidR="00037FAC">
        <w:rPr>
          <w:i/>
          <w:iCs/>
        </w:rPr>
        <w:t>&amp;</w:t>
      </w:r>
      <w:r w:rsidRPr="00037FAC">
        <w:rPr>
          <w:i/>
          <w:iCs/>
        </w:rPr>
        <w:t xml:space="preserve"> worüber</w:t>
      </w:r>
      <w:r w:rsidRPr="00037FAC">
        <w:rPr>
          <w:i/>
          <w:iCs/>
          <w:spacing w:val="-1"/>
        </w:rPr>
        <w:t xml:space="preserve"> </w:t>
      </w:r>
      <w:r w:rsidRPr="00037FAC">
        <w:rPr>
          <w:i/>
          <w:iCs/>
        </w:rPr>
        <w:t xml:space="preserve">man </w:t>
      </w:r>
      <w:r w:rsidRPr="00037FAC">
        <w:rPr>
          <w:i/>
          <w:iCs/>
          <w:spacing w:val="-2"/>
        </w:rPr>
        <w:t>schweigt</w:t>
      </w:r>
    </w:p>
    <w:tbl>
      <w:tblPr>
        <w:tblStyle w:val="TableNormal"/>
        <w:tblW w:w="0" w:type="auto"/>
        <w:tblLayout w:type="fixed"/>
        <w:tblLook w:val="01E0" w:firstRow="1" w:lastRow="1" w:firstColumn="1" w:lastColumn="1" w:noHBand="0" w:noVBand="0"/>
      </w:tblPr>
      <w:tblGrid>
        <w:gridCol w:w="1843"/>
        <w:gridCol w:w="3614"/>
        <w:gridCol w:w="3615"/>
      </w:tblGrid>
      <w:tr w:rsidR="00FF7799" w:rsidRPr="00E73F6F" w14:paraId="20883A0F" w14:textId="77777777" w:rsidTr="00177529">
        <w:trPr>
          <w:trHeight w:val="441"/>
          <w:tblHeader/>
        </w:trPr>
        <w:tc>
          <w:tcPr>
            <w:tcW w:w="1843" w:type="dxa"/>
            <w:tcBorders>
              <w:top w:val="single" w:sz="4" w:space="0" w:color="000000"/>
              <w:bottom w:val="single" w:sz="4" w:space="0" w:color="000000"/>
            </w:tcBorders>
            <w:shd w:val="clear" w:color="auto" w:fill="FFC000"/>
          </w:tcPr>
          <w:p w14:paraId="02714C10" w14:textId="77777777" w:rsidR="00FF7799" w:rsidRPr="00E73F6F" w:rsidRDefault="00FF7799" w:rsidP="00862DBA">
            <w:pPr>
              <w:rPr>
                <w:sz w:val="24"/>
                <w:szCs w:val="24"/>
                <w:lang w:val="de-DE"/>
              </w:rPr>
            </w:pPr>
          </w:p>
        </w:tc>
        <w:tc>
          <w:tcPr>
            <w:tcW w:w="3614" w:type="dxa"/>
            <w:tcBorders>
              <w:top w:val="single" w:sz="4" w:space="0" w:color="000000"/>
              <w:bottom w:val="single" w:sz="4" w:space="0" w:color="000000"/>
            </w:tcBorders>
            <w:shd w:val="clear" w:color="auto" w:fill="FFC000"/>
          </w:tcPr>
          <w:p w14:paraId="4F7FB8A9" w14:textId="77777777" w:rsidR="00FF7799" w:rsidRPr="00E73F6F" w:rsidRDefault="00FF7799" w:rsidP="00862DBA">
            <w:pPr>
              <w:spacing w:before="58"/>
              <w:rPr>
                <w:b/>
                <w:sz w:val="24"/>
                <w:szCs w:val="24"/>
                <w:lang w:val="de-DE"/>
              </w:rPr>
            </w:pPr>
            <w:r w:rsidRPr="00E73F6F">
              <w:rPr>
                <w:b/>
                <w:spacing w:val="-2"/>
                <w:sz w:val="24"/>
                <w:szCs w:val="24"/>
                <w:lang w:val="de-DE"/>
              </w:rPr>
              <w:t>Geeignete</w:t>
            </w:r>
            <w:r w:rsidRPr="00E73F6F">
              <w:rPr>
                <w:b/>
                <w:spacing w:val="40"/>
                <w:sz w:val="24"/>
                <w:szCs w:val="24"/>
                <w:lang w:val="de-DE"/>
              </w:rPr>
              <w:t xml:space="preserve"> </w:t>
            </w:r>
            <w:r w:rsidRPr="00E73F6F">
              <w:rPr>
                <w:b/>
                <w:spacing w:val="-2"/>
                <w:sz w:val="24"/>
                <w:szCs w:val="24"/>
                <w:lang w:val="de-DE"/>
              </w:rPr>
              <w:t>Gesprächsthemen</w:t>
            </w:r>
          </w:p>
        </w:tc>
        <w:tc>
          <w:tcPr>
            <w:tcW w:w="3615" w:type="dxa"/>
            <w:tcBorders>
              <w:top w:val="single" w:sz="4" w:space="0" w:color="000000"/>
              <w:bottom w:val="single" w:sz="4" w:space="0" w:color="000000"/>
            </w:tcBorders>
            <w:shd w:val="clear" w:color="auto" w:fill="FFC000"/>
          </w:tcPr>
          <w:p w14:paraId="71DC03BC" w14:textId="77777777" w:rsidR="00FF7799" w:rsidRPr="00E73F6F" w:rsidRDefault="00FF7799" w:rsidP="00862DBA">
            <w:pPr>
              <w:spacing w:before="58"/>
              <w:rPr>
                <w:b/>
                <w:sz w:val="24"/>
                <w:szCs w:val="24"/>
                <w:lang w:val="de-DE"/>
              </w:rPr>
            </w:pPr>
            <w:r w:rsidRPr="00E73F6F">
              <w:rPr>
                <w:b/>
                <w:spacing w:val="-2"/>
                <w:sz w:val="24"/>
                <w:szCs w:val="24"/>
                <w:lang w:val="de-DE"/>
              </w:rPr>
              <w:t>Ungeeignete</w:t>
            </w:r>
            <w:r w:rsidRPr="00E73F6F">
              <w:rPr>
                <w:b/>
                <w:spacing w:val="40"/>
                <w:sz w:val="24"/>
                <w:szCs w:val="24"/>
                <w:lang w:val="de-DE"/>
              </w:rPr>
              <w:t xml:space="preserve"> </w:t>
            </w:r>
            <w:r w:rsidRPr="00E73F6F">
              <w:rPr>
                <w:b/>
                <w:spacing w:val="-2"/>
                <w:sz w:val="24"/>
                <w:szCs w:val="24"/>
                <w:lang w:val="de-DE"/>
              </w:rPr>
              <w:t>Gesprächsthemen</w:t>
            </w:r>
          </w:p>
        </w:tc>
      </w:tr>
      <w:tr w:rsidR="00FF7799" w:rsidRPr="00E73F6F" w14:paraId="72DE39E8" w14:textId="77777777" w:rsidTr="00F3160E">
        <w:trPr>
          <w:trHeight w:val="280"/>
        </w:trPr>
        <w:tc>
          <w:tcPr>
            <w:tcW w:w="1843" w:type="dxa"/>
            <w:tcBorders>
              <w:top w:val="single" w:sz="4" w:space="0" w:color="000000"/>
              <w:bottom w:val="single" w:sz="4" w:space="0" w:color="000000"/>
            </w:tcBorders>
            <w:shd w:val="clear" w:color="auto" w:fill="FFF2CC" w:themeFill="accent4" w:themeFillTint="33"/>
          </w:tcPr>
          <w:p w14:paraId="2528278B" w14:textId="77777777" w:rsidR="00FF7799" w:rsidRPr="00E73F6F" w:rsidRDefault="00FF7799" w:rsidP="00862DBA">
            <w:pPr>
              <w:spacing w:before="58"/>
              <w:rPr>
                <w:sz w:val="24"/>
                <w:szCs w:val="24"/>
                <w:lang w:val="de-DE"/>
              </w:rPr>
            </w:pPr>
            <w:r w:rsidRPr="00E73F6F">
              <w:rPr>
                <w:spacing w:val="-2"/>
                <w:sz w:val="24"/>
                <w:szCs w:val="24"/>
                <w:lang w:val="de-DE"/>
              </w:rPr>
              <w:t>Frankreich</w:t>
            </w:r>
          </w:p>
        </w:tc>
        <w:tc>
          <w:tcPr>
            <w:tcW w:w="3614" w:type="dxa"/>
            <w:tcBorders>
              <w:top w:val="single" w:sz="4" w:space="0" w:color="000000"/>
              <w:bottom w:val="single" w:sz="4" w:space="0" w:color="000000"/>
            </w:tcBorders>
          </w:tcPr>
          <w:p w14:paraId="1081CE06" w14:textId="77777777" w:rsidR="00FF7799" w:rsidRPr="00E73F6F" w:rsidRDefault="00FF7799" w:rsidP="00862DBA">
            <w:pPr>
              <w:spacing w:before="58"/>
              <w:rPr>
                <w:sz w:val="24"/>
                <w:szCs w:val="24"/>
                <w:lang w:val="de-DE"/>
              </w:rPr>
            </w:pPr>
            <w:r w:rsidRPr="00E73F6F">
              <w:rPr>
                <w:sz w:val="24"/>
                <w:szCs w:val="24"/>
                <w:lang w:val="de-DE"/>
              </w:rPr>
              <w:t>Musik,</w:t>
            </w:r>
            <w:r w:rsidRPr="00E73F6F">
              <w:rPr>
                <w:spacing w:val="-4"/>
                <w:sz w:val="24"/>
                <w:szCs w:val="24"/>
                <w:lang w:val="de-DE"/>
              </w:rPr>
              <w:t xml:space="preserve"> </w:t>
            </w:r>
            <w:r w:rsidRPr="00E73F6F">
              <w:rPr>
                <w:sz w:val="24"/>
                <w:szCs w:val="24"/>
                <w:lang w:val="de-DE"/>
              </w:rPr>
              <w:t>Sport,</w:t>
            </w:r>
            <w:r w:rsidRPr="00E73F6F">
              <w:rPr>
                <w:spacing w:val="-4"/>
                <w:sz w:val="24"/>
                <w:szCs w:val="24"/>
                <w:lang w:val="de-DE"/>
              </w:rPr>
              <w:t xml:space="preserve"> </w:t>
            </w:r>
            <w:r w:rsidRPr="00E73F6F">
              <w:rPr>
                <w:sz w:val="24"/>
                <w:szCs w:val="24"/>
                <w:lang w:val="de-DE"/>
              </w:rPr>
              <w:t>Bücher,</w:t>
            </w:r>
            <w:r w:rsidRPr="00E73F6F">
              <w:rPr>
                <w:spacing w:val="-3"/>
                <w:sz w:val="24"/>
                <w:szCs w:val="24"/>
                <w:lang w:val="de-DE"/>
              </w:rPr>
              <w:t xml:space="preserve"> </w:t>
            </w:r>
            <w:r w:rsidRPr="00E73F6F">
              <w:rPr>
                <w:spacing w:val="-2"/>
                <w:sz w:val="24"/>
                <w:szCs w:val="24"/>
                <w:lang w:val="de-DE"/>
              </w:rPr>
              <w:t>Theater</w:t>
            </w:r>
          </w:p>
        </w:tc>
        <w:tc>
          <w:tcPr>
            <w:tcW w:w="3615" w:type="dxa"/>
            <w:tcBorders>
              <w:top w:val="single" w:sz="4" w:space="0" w:color="000000"/>
              <w:bottom w:val="single" w:sz="4" w:space="0" w:color="000000"/>
            </w:tcBorders>
          </w:tcPr>
          <w:p w14:paraId="5EC97D71" w14:textId="77777777" w:rsidR="00FF7799" w:rsidRPr="00E73F6F" w:rsidRDefault="00FF7799" w:rsidP="00862DBA">
            <w:pPr>
              <w:spacing w:before="58"/>
              <w:rPr>
                <w:sz w:val="24"/>
                <w:szCs w:val="24"/>
                <w:lang w:val="de-DE"/>
              </w:rPr>
            </w:pPr>
            <w:r w:rsidRPr="00E73F6F">
              <w:rPr>
                <w:sz w:val="24"/>
                <w:szCs w:val="24"/>
                <w:lang w:val="de-DE"/>
              </w:rPr>
              <w:t>Preise,</w:t>
            </w:r>
            <w:r w:rsidRPr="00E73F6F">
              <w:rPr>
                <w:spacing w:val="-4"/>
                <w:sz w:val="24"/>
                <w:szCs w:val="24"/>
                <w:lang w:val="de-DE"/>
              </w:rPr>
              <w:t xml:space="preserve"> </w:t>
            </w:r>
            <w:r w:rsidRPr="00E73F6F">
              <w:rPr>
                <w:sz w:val="24"/>
                <w:szCs w:val="24"/>
                <w:lang w:val="de-DE"/>
              </w:rPr>
              <w:t>Arbeit,</w:t>
            </w:r>
            <w:r w:rsidRPr="00E73F6F">
              <w:rPr>
                <w:spacing w:val="-3"/>
                <w:sz w:val="24"/>
                <w:szCs w:val="24"/>
                <w:lang w:val="de-DE"/>
              </w:rPr>
              <w:t xml:space="preserve"> </w:t>
            </w:r>
            <w:r w:rsidRPr="00E73F6F">
              <w:rPr>
                <w:sz w:val="24"/>
                <w:szCs w:val="24"/>
                <w:lang w:val="de-DE"/>
              </w:rPr>
              <w:t>Alter,</w:t>
            </w:r>
            <w:r w:rsidRPr="00E73F6F">
              <w:rPr>
                <w:spacing w:val="-2"/>
                <w:sz w:val="24"/>
                <w:szCs w:val="24"/>
                <w:lang w:val="de-DE"/>
              </w:rPr>
              <w:t xml:space="preserve"> Einkommen</w:t>
            </w:r>
          </w:p>
        </w:tc>
      </w:tr>
      <w:tr w:rsidR="00FF7799" w:rsidRPr="00E73F6F" w14:paraId="0FCE3437" w14:textId="77777777" w:rsidTr="00F3160E">
        <w:trPr>
          <w:trHeight w:val="280"/>
        </w:trPr>
        <w:tc>
          <w:tcPr>
            <w:tcW w:w="1843" w:type="dxa"/>
            <w:tcBorders>
              <w:top w:val="single" w:sz="4" w:space="0" w:color="000000"/>
              <w:bottom w:val="single" w:sz="4" w:space="0" w:color="000000"/>
            </w:tcBorders>
            <w:shd w:val="clear" w:color="auto" w:fill="FFF2CC" w:themeFill="accent4" w:themeFillTint="33"/>
          </w:tcPr>
          <w:p w14:paraId="52605BA9" w14:textId="77777777" w:rsidR="00FF7799" w:rsidRPr="00E73F6F" w:rsidRDefault="00FF7799" w:rsidP="00862DBA">
            <w:pPr>
              <w:spacing w:before="58"/>
              <w:rPr>
                <w:sz w:val="24"/>
                <w:szCs w:val="24"/>
                <w:lang w:val="de-DE"/>
              </w:rPr>
            </w:pPr>
            <w:r w:rsidRPr="00E73F6F">
              <w:rPr>
                <w:spacing w:val="-2"/>
                <w:sz w:val="24"/>
                <w:szCs w:val="24"/>
                <w:lang w:val="de-DE"/>
              </w:rPr>
              <w:t>Großbritannien</w:t>
            </w:r>
          </w:p>
        </w:tc>
        <w:tc>
          <w:tcPr>
            <w:tcW w:w="3614" w:type="dxa"/>
            <w:tcBorders>
              <w:top w:val="single" w:sz="4" w:space="0" w:color="000000"/>
              <w:bottom w:val="single" w:sz="4" w:space="0" w:color="000000"/>
            </w:tcBorders>
          </w:tcPr>
          <w:p w14:paraId="55A94F44" w14:textId="77777777" w:rsidR="00FF7799" w:rsidRPr="00E73F6F" w:rsidRDefault="00FF7799" w:rsidP="00862DBA">
            <w:pPr>
              <w:spacing w:before="58"/>
              <w:rPr>
                <w:sz w:val="24"/>
                <w:szCs w:val="24"/>
                <w:lang w:val="de-DE"/>
              </w:rPr>
            </w:pPr>
            <w:r w:rsidRPr="00E73F6F">
              <w:rPr>
                <w:sz w:val="24"/>
                <w:szCs w:val="24"/>
                <w:lang w:val="de-DE"/>
              </w:rPr>
              <w:t>Geschichte,</w:t>
            </w:r>
            <w:r w:rsidRPr="00E73F6F">
              <w:rPr>
                <w:spacing w:val="-7"/>
                <w:sz w:val="24"/>
                <w:szCs w:val="24"/>
                <w:lang w:val="de-DE"/>
              </w:rPr>
              <w:t xml:space="preserve"> </w:t>
            </w:r>
            <w:r w:rsidRPr="00E73F6F">
              <w:rPr>
                <w:sz w:val="24"/>
                <w:szCs w:val="24"/>
                <w:lang w:val="de-DE"/>
              </w:rPr>
              <w:t>Architektur,</w:t>
            </w:r>
            <w:r w:rsidRPr="00E73F6F">
              <w:rPr>
                <w:spacing w:val="-6"/>
                <w:sz w:val="24"/>
                <w:szCs w:val="24"/>
                <w:lang w:val="de-DE"/>
              </w:rPr>
              <w:t xml:space="preserve"> </w:t>
            </w:r>
            <w:r w:rsidRPr="00E73F6F">
              <w:rPr>
                <w:spacing w:val="-2"/>
                <w:sz w:val="24"/>
                <w:szCs w:val="24"/>
                <w:lang w:val="de-DE"/>
              </w:rPr>
              <w:t>Gartenarbeit</w:t>
            </w:r>
          </w:p>
        </w:tc>
        <w:tc>
          <w:tcPr>
            <w:tcW w:w="3615" w:type="dxa"/>
            <w:tcBorders>
              <w:top w:val="single" w:sz="4" w:space="0" w:color="000000"/>
              <w:bottom w:val="single" w:sz="4" w:space="0" w:color="000000"/>
            </w:tcBorders>
          </w:tcPr>
          <w:p w14:paraId="5B52BA9E" w14:textId="77777777" w:rsidR="00FF7799" w:rsidRPr="00E73F6F" w:rsidRDefault="00FF7799" w:rsidP="00862DBA">
            <w:pPr>
              <w:spacing w:before="58"/>
              <w:rPr>
                <w:sz w:val="24"/>
                <w:szCs w:val="24"/>
                <w:lang w:val="de-DE"/>
              </w:rPr>
            </w:pPr>
            <w:r w:rsidRPr="00E73F6F">
              <w:rPr>
                <w:sz w:val="24"/>
                <w:szCs w:val="24"/>
                <w:lang w:val="de-DE"/>
              </w:rPr>
              <w:t>Politik,</w:t>
            </w:r>
            <w:r w:rsidRPr="00E73F6F">
              <w:rPr>
                <w:spacing w:val="-4"/>
                <w:sz w:val="24"/>
                <w:szCs w:val="24"/>
                <w:lang w:val="de-DE"/>
              </w:rPr>
              <w:t xml:space="preserve"> </w:t>
            </w:r>
            <w:r w:rsidRPr="00E73F6F">
              <w:rPr>
                <w:sz w:val="24"/>
                <w:szCs w:val="24"/>
                <w:lang w:val="de-DE"/>
              </w:rPr>
              <w:t>Geld,</w:t>
            </w:r>
            <w:r w:rsidRPr="00E73F6F">
              <w:rPr>
                <w:spacing w:val="-5"/>
                <w:sz w:val="24"/>
                <w:szCs w:val="24"/>
                <w:lang w:val="de-DE"/>
              </w:rPr>
              <w:t xml:space="preserve"> </w:t>
            </w:r>
            <w:r w:rsidRPr="00E73F6F">
              <w:rPr>
                <w:spacing w:val="-2"/>
                <w:sz w:val="24"/>
                <w:szCs w:val="24"/>
                <w:lang w:val="de-DE"/>
              </w:rPr>
              <w:t>Preise</w:t>
            </w:r>
          </w:p>
        </w:tc>
      </w:tr>
      <w:tr w:rsidR="00FF7799" w:rsidRPr="00E73F6F" w14:paraId="44103148" w14:textId="77777777" w:rsidTr="00F3160E">
        <w:trPr>
          <w:trHeight w:val="443"/>
        </w:trPr>
        <w:tc>
          <w:tcPr>
            <w:tcW w:w="1843" w:type="dxa"/>
            <w:tcBorders>
              <w:top w:val="single" w:sz="4" w:space="0" w:color="000000"/>
              <w:bottom w:val="single" w:sz="4" w:space="0" w:color="000000"/>
            </w:tcBorders>
            <w:shd w:val="clear" w:color="auto" w:fill="FFF2CC" w:themeFill="accent4" w:themeFillTint="33"/>
          </w:tcPr>
          <w:p w14:paraId="74B5DC46" w14:textId="77777777" w:rsidR="00FF7799" w:rsidRPr="00E73F6F" w:rsidRDefault="00FF7799" w:rsidP="00862DBA">
            <w:pPr>
              <w:spacing w:before="61"/>
              <w:rPr>
                <w:sz w:val="24"/>
                <w:szCs w:val="24"/>
                <w:lang w:val="de-DE"/>
              </w:rPr>
            </w:pPr>
            <w:r w:rsidRPr="00E73F6F">
              <w:rPr>
                <w:spacing w:val="-2"/>
                <w:sz w:val="24"/>
                <w:szCs w:val="24"/>
                <w:lang w:val="de-DE"/>
              </w:rPr>
              <w:t>Japan</w:t>
            </w:r>
          </w:p>
        </w:tc>
        <w:tc>
          <w:tcPr>
            <w:tcW w:w="3614" w:type="dxa"/>
            <w:tcBorders>
              <w:top w:val="single" w:sz="4" w:space="0" w:color="000000"/>
              <w:bottom w:val="single" w:sz="4" w:space="0" w:color="000000"/>
            </w:tcBorders>
          </w:tcPr>
          <w:p w14:paraId="7FD04F67" w14:textId="77777777" w:rsidR="00FF7799" w:rsidRPr="00E73F6F" w:rsidRDefault="00FF7799" w:rsidP="00862DBA">
            <w:pPr>
              <w:spacing w:before="61"/>
              <w:rPr>
                <w:sz w:val="24"/>
                <w:szCs w:val="24"/>
                <w:lang w:val="de-DE"/>
              </w:rPr>
            </w:pPr>
            <w:r w:rsidRPr="00E73F6F">
              <w:rPr>
                <w:sz w:val="24"/>
                <w:szCs w:val="24"/>
                <w:lang w:val="de-DE"/>
              </w:rPr>
              <w:t>Geschichte,</w:t>
            </w:r>
            <w:r w:rsidRPr="00E73F6F">
              <w:rPr>
                <w:spacing w:val="-5"/>
                <w:sz w:val="24"/>
                <w:szCs w:val="24"/>
                <w:lang w:val="de-DE"/>
              </w:rPr>
              <w:t xml:space="preserve"> </w:t>
            </w:r>
            <w:r w:rsidRPr="00E73F6F">
              <w:rPr>
                <w:sz w:val="24"/>
                <w:szCs w:val="24"/>
                <w:lang w:val="de-DE"/>
              </w:rPr>
              <w:t>Kultur,</w:t>
            </w:r>
            <w:r w:rsidRPr="00E73F6F">
              <w:rPr>
                <w:spacing w:val="-5"/>
                <w:sz w:val="24"/>
                <w:szCs w:val="24"/>
                <w:lang w:val="de-DE"/>
              </w:rPr>
              <w:t xml:space="preserve"> </w:t>
            </w:r>
            <w:r w:rsidRPr="00E73F6F">
              <w:rPr>
                <w:spacing w:val="-4"/>
                <w:sz w:val="24"/>
                <w:szCs w:val="24"/>
                <w:lang w:val="de-DE"/>
              </w:rPr>
              <w:t>Kunst</w:t>
            </w:r>
          </w:p>
        </w:tc>
        <w:tc>
          <w:tcPr>
            <w:tcW w:w="3615" w:type="dxa"/>
            <w:tcBorders>
              <w:top w:val="single" w:sz="4" w:space="0" w:color="000000"/>
              <w:bottom w:val="single" w:sz="4" w:space="0" w:color="000000"/>
            </w:tcBorders>
          </w:tcPr>
          <w:p w14:paraId="75832ADC" w14:textId="77777777" w:rsidR="00FF7799" w:rsidRPr="00E73F6F" w:rsidRDefault="00FF7799" w:rsidP="00862DBA">
            <w:pPr>
              <w:spacing w:before="61"/>
              <w:rPr>
                <w:sz w:val="24"/>
                <w:szCs w:val="24"/>
                <w:lang w:val="de-DE"/>
              </w:rPr>
            </w:pPr>
            <w:r w:rsidRPr="00E73F6F">
              <w:rPr>
                <w:sz w:val="24"/>
                <w:szCs w:val="24"/>
                <w:lang w:val="de-DE"/>
              </w:rPr>
              <w:t>2.</w:t>
            </w:r>
            <w:r w:rsidRPr="00E73F6F">
              <w:rPr>
                <w:spacing w:val="-9"/>
                <w:sz w:val="24"/>
                <w:szCs w:val="24"/>
                <w:lang w:val="de-DE"/>
              </w:rPr>
              <w:t xml:space="preserve"> </w:t>
            </w:r>
            <w:r w:rsidRPr="00E73F6F">
              <w:rPr>
                <w:sz w:val="24"/>
                <w:szCs w:val="24"/>
                <w:lang w:val="de-DE"/>
              </w:rPr>
              <w:t>Weltkrieg,</w:t>
            </w:r>
            <w:r w:rsidRPr="00E73F6F">
              <w:rPr>
                <w:spacing w:val="-9"/>
                <w:sz w:val="24"/>
                <w:szCs w:val="24"/>
                <w:lang w:val="de-DE"/>
              </w:rPr>
              <w:t xml:space="preserve"> </w:t>
            </w:r>
            <w:r w:rsidRPr="00E73F6F">
              <w:rPr>
                <w:sz w:val="24"/>
                <w:szCs w:val="24"/>
                <w:lang w:val="de-DE"/>
              </w:rPr>
              <w:t>protektionistische</w:t>
            </w:r>
            <w:r w:rsidRPr="00E73F6F">
              <w:rPr>
                <w:spacing w:val="40"/>
                <w:sz w:val="24"/>
                <w:szCs w:val="24"/>
                <w:lang w:val="de-DE"/>
              </w:rPr>
              <w:t xml:space="preserve"> </w:t>
            </w:r>
            <w:r w:rsidRPr="00E73F6F">
              <w:rPr>
                <w:spacing w:val="-2"/>
                <w:sz w:val="24"/>
                <w:szCs w:val="24"/>
                <w:lang w:val="de-DE"/>
              </w:rPr>
              <w:t>Regierungspolitik</w:t>
            </w:r>
          </w:p>
        </w:tc>
      </w:tr>
      <w:tr w:rsidR="00FF7799" w:rsidRPr="00E73F6F" w14:paraId="021FAD90" w14:textId="77777777" w:rsidTr="00F3160E">
        <w:trPr>
          <w:trHeight w:val="441"/>
        </w:trPr>
        <w:tc>
          <w:tcPr>
            <w:tcW w:w="1843" w:type="dxa"/>
            <w:tcBorders>
              <w:top w:val="single" w:sz="4" w:space="0" w:color="000000"/>
              <w:bottom w:val="single" w:sz="4" w:space="0" w:color="000000"/>
            </w:tcBorders>
            <w:shd w:val="clear" w:color="auto" w:fill="FFF2CC" w:themeFill="accent4" w:themeFillTint="33"/>
          </w:tcPr>
          <w:p w14:paraId="3C3F7EA2" w14:textId="77777777" w:rsidR="00FF7799" w:rsidRPr="00E73F6F" w:rsidRDefault="00FF7799" w:rsidP="00862DBA">
            <w:pPr>
              <w:spacing w:before="58"/>
              <w:rPr>
                <w:sz w:val="24"/>
                <w:szCs w:val="24"/>
                <w:lang w:val="de-DE"/>
              </w:rPr>
            </w:pPr>
            <w:r w:rsidRPr="00E73F6F">
              <w:rPr>
                <w:spacing w:val="-2"/>
                <w:sz w:val="24"/>
                <w:szCs w:val="24"/>
                <w:lang w:val="de-DE"/>
              </w:rPr>
              <w:t>Mexiko</w:t>
            </w:r>
          </w:p>
        </w:tc>
        <w:tc>
          <w:tcPr>
            <w:tcW w:w="3614" w:type="dxa"/>
            <w:tcBorders>
              <w:top w:val="single" w:sz="4" w:space="0" w:color="000000"/>
              <w:bottom w:val="single" w:sz="4" w:space="0" w:color="000000"/>
            </w:tcBorders>
          </w:tcPr>
          <w:p w14:paraId="6AE9E0C5" w14:textId="77777777" w:rsidR="00FF7799" w:rsidRPr="00E73F6F" w:rsidRDefault="00FF7799" w:rsidP="00862DBA">
            <w:pPr>
              <w:spacing w:before="58"/>
              <w:rPr>
                <w:sz w:val="24"/>
                <w:szCs w:val="24"/>
                <w:lang w:val="de-DE"/>
              </w:rPr>
            </w:pPr>
            <w:r w:rsidRPr="00E73F6F">
              <w:rPr>
                <w:sz w:val="24"/>
                <w:szCs w:val="24"/>
                <w:lang w:val="de-DE"/>
              </w:rPr>
              <w:t>Familie,</w:t>
            </w:r>
            <w:r w:rsidRPr="00E73F6F">
              <w:rPr>
                <w:spacing w:val="-5"/>
                <w:sz w:val="24"/>
                <w:szCs w:val="24"/>
                <w:lang w:val="de-DE"/>
              </w:rPr>
              <w:t xml:space="preserve"> </w:t>
            </w:r>
            <w:r w:rsidRPr="00E73F6F">
              <w:rPr>
                <w:sz w:val="24"/>
                <w:szCs w:val="24"/>
                <w:lang w:val="de-DE"/>
              </w:rPr>
              <w:t>soziales</w:t>
            </w:r>
            <w:r w:rsidRPr="00E73F6F">
              <w:rPr>
                <w:spacing w:val="-5"/>
                <w:sz w:val="24"/>
                <w:szCs w:val="24"/>
                <w:lang w:val="de-DE"/>
              </w:rPr>
              <w:t xml:space="preserve"> </w:t>
            </w:r>
            <w:r w:rsidRPr="00E73F6F">
              <w:rPr>
                <w:spacing w:val="-2"/>
                <w:sz w:val="24"/>
                <w:szCs w:val="24"/>
                <w:lang w:val="de-DE"/>
              </w:rPr>
              <w:t>Umfeld</w:t>
            </w:r>
          </w:p>
        </w:tc>
        <w:tc>
          <w:tcPr>
            <w:tcW w:w="3615" w:type="dxa"/>
            <w:tcBorders>
              <w:top w:val="single" w:sz="4" w:space="0" w:color="000000"/>
              <w:bottom w:val="single" w:sz="4" w:space="0" w:color="000000"/>
            </w:tcBorders>
          </w:tcPr>
          <w:p w14:paraId="2960D031" w14:textId="77777777" w:rsidR="00FF7799" w:rsidRPr="00E73F6F" w:rsidRDefault="00FF7799" w:rsidP="00862DBA">
            <w:pPr>
              <w:spacing w:before="58"/>
              <w:rPr>
                <w:sz w:val="24"/>
                <w:szCs w:val="24"/>
                <w:lang w:val="de-DE"/>
              </w:rPr>
            </w:pPr>
            <w:r w:rsidRPr="00E73F6F">
              <w:rPr>
                <w:sz w:val="24"/>
                <w:szCs w:val="24"/>
                <w:lang w:val="de-DE"/>
              </w:rPr>
              <w:t>Politik, Steuern oder Inflations-</w:t>
            </w:r>
            <w:r w:rsidRPr="00E73F6F">
              <w:rPr>
                <w:spacing w:val="40"/>
                <w:sz w:val="24"/>
                <w:szCs w:val="24"/>
                <w:lang w:val="de-DE"/>
              </w:rPr>
              <w:t xml:space="preserve"> </w:t>
            </w:r>
            <w:r w:rsidRPr="00E73F6F">
              <w:rPr>
                <w:sz w:val="24"/>
                <w:szCs w:val="24"/>
                <w:lang w:val="de-DE"/>
              </w:rPr>
              <w:t>probleme,</w:t>
            </w:r>
            <w:r w:rsidRPr="00E73F6F">
              <w:rPr>
                <w:spacing w:val="-1"/>
                <w:sz w:val="24"/>
                <w:szCs w:val="24"/>
                <w:lang w:val="de-DE"/>
              </w:rPr>
              <w:t xml:space="preserve"> </w:t>
            </w:r>
            <w:r w:rsidRPr="00E73F6F">
              <w:rPr>
                <w:sz w:val="24"/>
                <w:szCs w:val="24"/>
                <w:lang w:val="de-DE"/>
              </w:rPr>
              <w:t>Gewalt</w:t>
            </w:r>
            <w:r w:rsidRPr="00E73F6F">
              <w:rPr>
                <w:spacing w:val="-4"/>
                <w:sz w:val="24"/>
                <w:szCs w:val="24"/>
                <w:lang w:val="de-DE"/>
              </w:rPr>
              <w:t xml:space="preserve"> </w:t>
            </w:r>
            <w:r w:rsidRPr="00E73F6F">
              <w:rPr>
                <w:sz w:val="24"/>
                <w:szCs w:val="24"/>
                <w:lang w:val="de-DE"/>
              </w:rPr>
              <w:t>an</w:t>
            </w:r>
            <w:r w:rsidRPr="00E73F6F">
              <w:rPr>
                <w:spacing w:val="-2"/>
                <w:sz w:val="24"/>
                <w:szCs w:val="24"/>
                <w:lang w:val="de-DE"/>
              </w:rPr>
              <w:t xml:space="preserve"> </w:t>
            </w:r>
            <w:r w:rsidRPr="00E73F6F">
              <w:rPr>
                <w:sz w:val="24"/>
                <w:szCs w:val="24"/>
                <w:lang w:val="de-DE"/>
              </w:rPr>
              <w:t>der</w:t>
            </w:r>
            <w:r w:rsidRPr="00E73F6F">
              <w:rPr>
                <w:spacing w:val="-4"/>
                <w:sz w:val="24"/>
                <w:szCs w:val="24"/>
                <w:lang w:val="de-DE"/>
              </w:rPr>
              <w:t xml:space="preserve"> </w:t>
            </w:r>
            <w:r w:rsidRPr="00E73F6F">
              <w:rPr>
                <w:spacing w:val="-2"/>
                <w:sz w:val="24"/>
                <w:szCs w:val="24"/>
                <w:lang w:val="de-DE"/>
              </w:rPr>
              <w:t>Grenze</w:t>
            </w:r>
          </w:p>
        </w:tc>
      </w:tr>
      <w:tr w:rsidR="00FF7799" w:rsidRPr="00E73F6F" w14:paraId="1CBB62FF" w14:textId="77777777" w:rsidTr="00F3160E">
        <w:trPr>
          <w:trHeight w:val="441"/>
        </w:trPr>
        <w:tc>
          <w:tcPr>
            <w:tcW w:w="1843" w:type="dxa"/>
            <w:tcBorders>
              <w:top w:val="single" w:sz="4" w:space="0" w:color="000000"/>
              <w:bottom w:val="single" w:sz="4" w:space="0" w:color="000000"/>
            </w:tcBorders>
            <w:shd w:val="clear" w:color="auto" w:fill="FFF2CC" w:themeFill="accent4" w:themeFillTint="33"/>
          </w:tcPr>
          <w:p w14:paraId="145224EA" w14:textId="77777777" w:rsidR="00FF7799" w:rsidRPr="00E73F6F" w:rsidRDefault="00FF7799" w:rsidP="00862DBA">
            <w:pPr>
              <w:spacing w:before="58"/>
              <w:rPr>
                <w:sz w:val="24"/>
                <w:szCs w:val="24"/>
                <w:lang w:val="de-DE"/>
              </w:rPr>
            </w:pPr>
            <w:r w:rsidRPr="00E73F6F">
              <w:rPr>
                <w:sz w:val="24"/>
                <w:szCs w:val="24"/>
                <w:lang w:val="de-DE"/>
              </w:rPr>
              <w:t>Saudi</w:t>
            </w:r>
            <w:r w:rsidRPr="00E73F6F">
              <w:rPr>
                <w:spacing w:val="-5"/>
                <w:sz w:val="24"/>
                <w:szCs w:val="24"/>
                <w:lang w:val="de-DE"/>
              </w:rPr>
              <w:t xml:space="preserve"> </w:t>
            </w:r>
            <w:r w:rsidRPr="00E73F6F">
              <w:rPr>
                <w:spacing w:val="-2"/>
                <w:sz w:val="24"/>
                <w:szCs w:val="24"/>
                <w:lang w:val="de-DE"/>
              </w:rPr>
              <w:t>Arabien</w:t>
            </w:r>
          </w:p>
        </w:tc>
        <w:tc>
          <w:tcPr>
            <w:tcW w:w="3614" w:type="dxa"/>
            <w:tcBorders>
              <w:top w:val="single" w:sz="4" w:space="0" w:color="000000"/>
              <w:bottom w:val="single" w:sz="4" w:space="0" w:color="000000"/>
            </w:tcBorders>
          </w:tcPr>
          <w:p w14:paraId="2E5ECFF2" w14:textId="77777777" w:rsidR="00FF7799" w:rsidRPr="00E73F6F" w:rsidRDefault="00FF7799" w:rsidP="00862DBA">
            <w:pPr>
              <w:spacing w:before="58"/>
              <w:rPr>
                <w:sz w:val="24"/>
                <w:szCs w:val="24"/>
                <w:lang w:val="de-DE"/>
              </w:rPr>
            </w:pPr>
            <w:r w:rsidRPr="00E73F6F">
              <w:rPr>
                <w:sz w:val="24"/>
                <w:szCs w:val="24"/>
                <w:lang w:val="de-DE"/>
              </w:rPr>
              <w:t>Arabische</w:t>
            </w:r>
            <w:r w:rsidRPr="00E73F6F">
              <w:rPr>
                <w:spacing w:val="-9"/>
                <w:sz w:val="24"/>
                <w:szCs w:val="24"/>
                <w:lang w:val="de-DE"/>
              </w:rPr>
              <w:t xml:space="preserve"> </w:t>
            </w:r>
            <w:r w:rsidRPr="00E73F6F">
              <w:rPr>
                <w:sz w:val="24"/>
                <w:szCs w:val="24"/>
                <w:lang w:val="de-DE"/>
              </w:rPr>
              <w:t>Sprichwörter,</w:t>
            </w:r>
            <w:r w:rsidRPr="00E73F6F">
              <w:rPr>
                <w:spacing w:val="-9"/>
                <w:sz w:val="24"/>
                <w:szCs w:val="24"/>
                <w:lang w:val="de-DE"/>
              </w:rPr>
              <w:t xml:space="preserve"> </w:t>
            </w:r>
            <w:r w:rsidRPr="00E73F6F">
              <w:rPr>
                <w:sz w:val="24"/>
                <w:szCs w:val="24"/>
                <w:lang w:val="de-DE"/>
              </w:rPr>
              <w:t>Falkenjagd,</w:t>
            </w:r>
            <w:r w:rsidRPr="00E73F6F">
              <w:rPr>
                <w:spacing w:val="40"/>
                <w:sz w:val="24"/>
                <w:szCs w:val="24"/>
                <w:lang w:val="de-DE"/>
              </w:rPr>
              <w:t xml:space="preserve"> </w:t>
            </w:r>
            <w:r w:rsidRPr="00E73F6F">
              <w:rPr>
                <w:sz w:val="24"/>
                <w:szCs w:val="24"/>
                <w:lang w:val="de-DE"/>
              </w:rPr>
              <w:t>Kamelrennen,</w:t>
            </w:r>
            <w:r w:rsidRPr="00E73F6F">
              <w:rPr>
                <w:spacing w:val="-2"/>
                <w:sz w:val="24"/>
                <w:szCs w:val="24"/>
                <w:lang w:val="de-DE"/>
              </w:rPr>
              <w:t xml:space="preserve"> </w:t>
            </w:r>
            <w:r w:rsidRPr="00E73F6F">
              <w:rPr>
                <w:sz w:val="24"/>
                <w:szCs w:val="24"/>
                <w:lang w:val="de-DE"/>
              </w:rPr>
              <w:t>Fußball</w:t>
            </w:r>
          </w:p>
        </w:tc>
        <w:tc>
          <w:tcPr>
            <w:tcW w:w="3615" w:type="dxa"/>
            <w:tcBorders>
              <w:top w:val="single" w:sz="4" w:space="0" w:color="000000"/>
              <w:bottom w:val="single" w:sz="4" w:space="0" w:color="000000"/>
            </w:tcBorders>
          </w:tcPr>
          <w:p w14:paraId="065C4478" w14:textId="77777777" w:rsidR="00FF7799" w:rsidRPr="00E73F6F" w:rsidRDefault="00FF7799" w:rsidP="00862DBA">
            <w:pPr>
              <w:spacing w:before="58"/>
              <w:rPr>
                <w:sz w:val="24"/>
                <w:szCs w:val="24"/>
                <w:lang w:val="de-DE"/>
              </w:rPr>
            </w:pPr>
            <w:r w:rsidRPr="00E73F6F">
              <w:rPr>
                <w:sz w:val="24"/>
                <w:szCs w:val="24"/>
                <w:lang w:val="de-DE"/>
              </w:rPr>
              <w:t>Familie,</w:t>
            </w:r>
            <w:r w:rsidRPr="00E73F6F">
              <w:rPr>
                <w:spacing w:val="-5"/>
                <w:sz w:val="24"/>
                <w:szCs w:val="24"/>
                <w:lang w:val="de-DE"/>
              </w:rPr>
              <w:t xml:space="preserve"> </w:t>
            </w:r>
            <w:r w:rsidRPr="00E73F6F">
              <w:rPr>
                <w:sz w:val="24"/>
                <w:szCs w:val="24"/>
                <w:lang w:val="de-DE"/>
              </w:rPr>
              <w:t>Politik,</w:t>
            </w:r>
            <w:r w:rsidRPr="00E73F6F">
              <w:rPr>
                <w:spacing w:val="-4"/>
                <w:sz w:val="24"/>
                <w:szCs w:val="24"/>
                <w:lang w:val="de-DE"/>
              </w:rPr>
              <w:t xml:space="preserve"> </w:t>
            </w:r>
            <w:r w:rsidRPr="00E73F6F">
              <w:rPr>
                <w:spacing w:val="-2"/>
                <w:sz w:val="24"/>
                <w:szCs w:val="24"/>
                <w:lang w:val="de-DE"/>
              </w:rPr>
              <w:t>Religion</w:t>
            </w:r>
          </w:p>
        </w:tc>
      </w:tr>
      <w:tr w:rsidR="00FF7799" w:rsidRPr="00E73F6F" w14:paraId="336DA1C3" w14:textId="77777777" w:rsidTr="00F3160E">
        <w:trPr>
          <w:trHeight w:val="443"/>
        </w:trPr>
        <w:tc>
          <w:tcPr>
            <w:tcW w:w="1843" w:type="dxa"/>
            <w:tcBorders>
              <w:top w:val="single" w:sz="4" w:space="0" w:color="000000"/>
              <w:bottom w:val="single" w:sz="4" w:space="0" w:color="000000"/>
            </w:tcBorders>
            <w:shd w:val="clear" w:color="auto" w:fill="FFF2CC" w:themeFill="accent4" w:themeFillTint="33"/>
          </w:tcPr>
          <w:p w14:paraId="5BD19B57" w14:textId="77777777" w:rsidR="00FF7799" w:rsidRPr="00E73F6F" w:rsidRDefault="00FF7799" w:rsidP="004B24AB">
            <w:pPr>
              <w:spacing w:before="58"/>
              <w:rPr>
                <w:sz w:val="24"/>
                <w:szCs w:val="24"/>
                <w:lang w:val="de-DE"/>
              </w:rPr>
            </w:pPr>
            <w:r w:rsidRPr="004B24AB">
              <w:rPr>
                <w:sz w:val="24"/>
                <w:szCs w:val="24"/>
                <w:lang w:val="de-DE"/>
              </w:rPr>
              <w:t>Vietnam</w:t>
            </w:r>
          </w:p>
        </w:tc>
        <w:tc>
          <w:tcPr>
            <w:tcW w:w="3614" w:type="dxa"/>
            <w:tcBorders>
              <w:top w:val="single" w:sz="4" w:space="0" w:color="000000"/>
              <w:bottom w:val="single" w:sz="4" w:space="0" w:color="000000"/>
            </w:tcBorders>
          </w:tcPr>
          <w:p w14:paraId="1341361E" w14:textId="77777777" w:rsidR="004B24AB" w:rsidRPr="004B24AB" w:rsidRDefault="00FF7799" w:rsidP="004B24AB">
            <w:pPr>
              <w:spacing w:before="58"/>
              <w:rPr>
                <w:sz w:val="24"/>
                <w:szCs w:val="24"/>
                <w:lang w:val="de-DE"/>
              </w:rPr>
            </w:pPr>
            <w:r w:rsidRPr="00E73F6F">
              <w:rPr>
                <w:sz w:val="24"/>
                <w:szCs w:val="24"/>
                <w:lang w:val="de-DE"/>
              </w:rPr>
              <w:t>Musik,</w:t>
            </w:r>
            <w:r w:rsidRPr="004B24AB">
              <w:rPr>
                <w:sz w:val="24"/>
                <w:szCs w:val="24"/>
                <w:lang w:val="de-DE"/>
              </w:rPr>
              <w:t xml:space="preserve"> </w:t>
            </w:r>
            <w:r w:rsidRPr="00E73F6F">
              <w:rPr>
                <w:sz w:val="24"/>
                <w:szCs w:val="24"/>
                <w:lang w:val="de-DE"/>
              </w:rPr>
              <w:t>Literatur,</w:t>
            </w:r>
            <w:r w:rsidRPr="004B24AB">
              <w:rPr>
                <w:sz w:val="24"/>
                <w:szCs w:val="24"/>
                <w:lang w:val="de-DE"/>
              </w:rPr>
              <w:t xml:space="preserve"> </w:t>
            </w:r>
            <w:r w:rsidRPr="00E73F6F">
              <w:rPr>
                <w:sz w:val="24"/>
                <w:szCs w:val="24"/>
                <w:lang w:val="de-DE"/>
              </w:rPr>
              <w:t>Fußball,</w:t>
            </w:r>
            <w:r w:rsidRPr="004B24AB">
              <w:rPr>
                <w:sz w:val="24"/>
                <w:szCs w:val="24"/>
                <w:lang w:val="de-DE"/>
              </w:rPr>
              <w:t xml:space="preserve"> </w:t>
            </w:r>
            <w:r w:rsidRPr="00E73F6F">
              <w:rPr>
                <w:sz w:val="24"/>
                <w:szCs w:val="24"/>
                <w:lang w:val="de-DE"/>
              </w:rPr>
              <w:t>eigene</w:t>
            </w:r>
            <w:r w:rsidRPr="004B24AB">
              <w:rPr>
                <w:sz w:val="24"/>
                <w:szCs w:val="24"/>
                <w:lang w:val="de-DE"/>
              </w:rPr>
              <w:t xml:space="preserve"> </w:t>
            </w:r>
          </w:p>
          <w:p w14:paraId="47C5EAC0" w14:textId="77777777" w:rsidR="00FF7799" w:rsidRPr="00E73F6F" w:rsidRDefault="00FF7799" w:rsidP="004B24AB">
            <w:pPr>
              <w:spacing w:before="58"/>
              <w:rPr>
                <w:sz w:val="24"/>
                <w:szCs w:val="24"/>
                <w:lang w:val="de-DE"/>
              </w:rPr>
            </w:pPr>
            <w:r w:rsidRPr="00E73F6F">
              <w:rPr>
                <w:sz w:val="24"/>
                <w:szCs w:val="24"/>
                <w:lang w:val="de-DE"/>
              </w:rPr>
              <w:t>Familie</w:t>
            </w:r>
          </w:p>
        </w:tc>
        <w:tc>
          <w:tcPr>
            <w:tcW w:w="3615" w:type="dxa"/>
            <w:tcBorders>
              <w:top w:val="single" w:sz="4" w:space="0" w:color="000000"/>
              <w:bottom w:val="single" w:sz="4" w:space="0" w:color="000000"/>
            </w:tcBorders>
          </w:tcPr>
          <w:p w14:paraId="0ECB9707" w14:textId="77777777" w:rsidR="00FF7799" w:rsidRPr="00E73F6F" w:rsidRDefault="00FF7799" w:rsidP="004B24AB">
            <w:pPr>
              <w:spacing w:before="58"/>
              <w:rPr>
                <w:sz w:val="24"/>
                <w:szCs w:val="24"/>
                <w:lang w:val="de-DE"/>
              </w:rPr>
            </w:pPr>
            <w:r w:rsidRPr="004B24AB">
              <w:rPr>
                <w:sz w:val="24"/>
                <w:szCs w:val="24"/>
                <w:lang w:val="de-DE"/>
              </w:rPr>
              <w:t xml:space="preserve">Kommunismus, „Vietnamkrieg“, </w:t>
            </w:r>
            <w:r w:rsidRPr="00E73F6F">
              <w:rPr>
                <w:sz w:val="24"/>
                <w:szCs w:val="24"/>
                <w:lang w:val="de-DE"/>
              </w:rPr>
              <w:t>aktuelle</w:t>
            </w:r>
            <w:r w:rsidRPr="004B24AB">
              <w:rPr>
                <w:sz w:val="24"/>
                <w:szCs w:val="24"/>
                <w:lang w:val="de-DE"/>
              </w:rPr>
              <w:t xml:space="preserve"> </w:t>
            </w:r>
            <w:r w:rsidRPr="00E73F6F">
              <w:rPr>
                <w:sz w:val="24"/>
                <w:szCs w:val="24"/>
                <w:lang w:val="de-DE"/>
              </w:rPr>
              <w:t>Politik</w:t>
            </w:r>
          </w:p>
        </w:tc>
      </w:tr>
    </w:tbl>
    <w:p w14:paraId="0FE394DA" w14:textId="77777777" w:rsidR="00FF7799" w:rsidRPr="00E35FFF" w:rsidRDefault="00FF7799" w:rsidP="00EC4358">
      <w:pPr>
        <w:pStyle w:val="Quellen"/>
        <w:rPr>
          <w:spacing w:val="-2"/>
          <w:lang w:val="en-US"/>
        </w:rPr>
      </w:pPr>
      <w:r w:rsidRPr="00E35FFF">
        <w:rPr>
          <w:spacing w:val="-2"/>
          <w:lang w:val="en-US"/>
        </w:rPr>
        <w:t>Quelle:</w:t>
      </w:r>
      <w:r w:rsidRPr="00E35FFF">
        <w:rPr>
          <w:lang w:val="en-US"/>
        </w:rPr>
        <w:tab/>
        <w:t>Chaney/Martin</w:t>
      </w:r>
      <w:r w:rsidRPr="00E35FFF">
        <w:rPr>
          <w:spacing w:val="-3"/>
          <w:lang w:val="en-US"/>
        </w:rPr>
        <w:t xml:space="preserve"> </w:t>
      </w:r>
      <w:r w:rsidRPr="00E35FFF">
        <w:rPr>
          <w:lang w:val="en-US"/>
        </w:rPr>
        <w:t>(1995, S.102);</w:t>
      </w:r>
      <w:r w:rsidRPr="00E35FFF">
        <w:rPr>
          <w:spacing w:val="-3"/>
          <w:lang w:val="en-US"/>
        </w:rPr>
        <w:t xml:space="preserve"> </w:t>
      </w:r>
      <w:r w:rsidRPr="00E35FFF">
        <w:rPr>
          <w:lang w:val="en-US"/>
        </w:rPr>
        <w:t>in:</w:t>
      </w:r>
      <w:r w:rsidRPr="00E35FFF">
        <w:rPr>
          <w:spacing w:val="-1"/>
          <w:lang w:val="en-US"/>
        </w:rPr>
        <w:t xml:space="preserve"> </w:t>
      </w:r>
      <w:r w:rsidRPr="00E35FFF">
        <w:rPr>
          <w:lang w:val="en-US"/>
        </w:rPr>
        <w:t>Rothlauf</w:t>
      </w:r>
      <w:r w:rsidRPr="00E35FFF">
        <w:rPr>
          <w:spacing w:val="-2"/>
          <w:lang w:val="en-US"/>
        </w:rPr>
        <w:t xml:space="preserve"> </w:t>
      </w:r>
      <w:r w:rsidRPr="00E35FFF">
        <w:rPr>
          <w:lang w:val="en-US"/>
        </w:rPr>
        <w:t>(2009,</w:t>
      </w:r>
      <w:r w:rsidRPr="00E35FFF">
        <w:rPr>
          <w:spacing w:val="-2"/>
          <w:lang w:val="en-US"/>
        </w:rPr>
        <w:t xml:space="preserve"> S.182).</w:t>
      </w:r>
    </w:p>
    <w:p w14:paraId="28D22EF6" w14:textId="77777777" w:rsidR="00FF7799" w:rsidRPr="00E35FFF" w:rsidRDefault="00FF7799" w:rsidP="00EC4358">
      <w:pPr>
        <w:pStyle w:val="Quellen"/>
        <w:rPr>
          <w:lang w:val="en-US"/>
        </w:rPr>
      </w:pPr>
    </w:p>
    <w:p w14:paraId="22605CF3" w14:textId="77777777" w:rsidR="00FF7799" w:rsidRPr="00EA5DE3" w:rsidRDefault="00FF7799" w:rsidP="00EC4358">
      <w:pPr>
        <w:pStyle w:val="StandardText"/>
        <w:rPr>
          <w:sz w:val="22"/>
          <w:szCs w:val="22"/>
        </w:rPr>
      </w:pPr>
      <w:r w:rsidRPr="00EA5DE3">
        <w:rPr>
          <w:b/>
          <w:i/>
          <w:sz w:val="22"/>
          <w:szCs w:val="22"/>
          <w:lang w:val="en-US"/>
        </w:rPr>
        <w:t>Literatur:</w:t>
      </w:r>
      <w:r w:rsidRPr="00EA5DE3">
        <w:rPr>
          <w:i/>
          <w:spacing w:val="-5"/>
          <w:sz w:val="22"/>
          <w:szCs w:val="22"/>
          <w:lang w:val="en-US"/>
        </w:rPr>
        <w:t xml:space="preserve"> </w:t>
      </w:r>
      <w:r w:rsidRPr="00EA5DE3">
        <w:rPr>
          <w:sz w:val="22"/>
          <w:szCs w:val="22"/>
          <w:lang w:val="en-US"/>
        </w:rPr>
        <w:t>Chaney</w:t>
      </w:r>
      <w:r w:rsidRPr="00EA5DE3">
        <w:rPr>
          <w:spacing w:val="-2"/>
          <w:sz w:val="22"/>
          <w:szCs w:val="22"/>
          <w:lang w:val="en-US"/>
        </w:rPr>
        <w:t xml:space="preserve"> </w:t>
      </w:r>
      <w:r w:rsidRPr="00EA5DE3">
        <w:rPr>
          <w:sz w:val="22"/>
          <w:szCs w:val="22"/>
          <w:lang w:val="en-US"/>
        </w:rPr>
        <w:t>L.H.;</w:t>
      </w:r>
      <w:r w:rsidRPr="00EA5DE3">
        <w:rPr>
          <w:spacing w:val="-4"/>
          <w:sz w:val="22"/>
          <w:szCs w:val="22"/>
          <w:lang w:val="en-US"/>
        </w:rPr>
        <w:t xml:space="preserve"> </w:t>
      </w:r>
      <w:r w:rsidRPr="00EA5DE3">
        <w:rPr>
          <w:sz w:val="22"/>
          <w:szCs w:val="22"/>
          <w:lang w:val="en-US"/>
        </w:rPr>
        <w:t>Martin,</w:t>
      </w:r>
      <w:r w:rsidRPr="00EA5DE3">
        <w:rPr>
          <w:spacing w:val="-5"/>
          <w:sz w:val="22"/>
          <w:szCs w:val="22"/>
          <w:lang w:val="en-US"/>
        </w:rPr>
        <w:t xml:space="preserve"> </w:t>
      </w:r>
      <w:r w:rsidRPr="00EA5DE3">
        <w:rPr>
          <w:sz w:val="22"/>
          <w:szCs w:val="22"/>
          <w:lang w:val="en-US"/>
        </w:rPr>
        <w:t>J.S.</w:t>
      </w:r>
      <w:r w:rsidRPr="00EA5DE3">
        <w:rPr>
          <w:spacing w:val="-2"/>
          <w:sz w:val="22"/>
          <w:szCs w:val="22"/>
          <w:lang w:val="en-US"/>
        </w:rPr>
        <w:t xml:space="preserve"> </w:t>
      </w:r>
      <w:r w:rsidRPr="00EA5DE3">
        <w:rPr>
          <w:sz w:val="22"/>
          <w:szCs w:val="22"/>
          <w:lang w:val="en-US"/>
        </w:rPr>
        <w:t>(2009):</w:t>
      </w:r>
      <w:r w:rsidRPr="00EA5DE3">
        <w:rPr>
          <w:spacing w:val="-2"/>
          <w:sz w:val="22"/>
          <w:szCs w:val="22"/>
          <w:lang w:val="en-US"/>
        </w:rPr>
        <w:t xml:space="preserve"> </w:t>
      </w:r>
      <w:r w:rsidRPr="00EA5DE3">
        <w:rPr>
          <w:sz w:val="22"/>
          <w:szCs w:val="22"/>
          <w:lang w:val="en-US"/>
        </w:rPr>
        <w:t>Intercultural</w:t>
      </w:r>
      <w:r w:rsidRPr="00EA5DE3">
        <w:rPr>
          <w:spacing w:val="-2"/>
          <w:sz w:val="22"/>
          <w:szCs w:val="22"/>
          <w:lang w:val="en-US"/>
        </w:rPr>
        <w:t xml:space="preserve"> </w:t>
      </w:r>
      <w:r w:rsidRPr="00EA5DE3">
        <w:rPr>
          <w:sz w:val="22"/>
          <w:szCs w:val="22"/>
          <w:lang w:val="en-US"/>
        </w:rPr>
        <w:t>Business</w:t>
      </w:r>
      <w:r w:rsidRPr="00EA5DE3">
        <w:rPr>
          <w:spacing w:val="-5"/>
          <w:sz w:val="22"/>
          <w:szCs w:val="22"/>
          <w:lang w:val="en-US"/>
        </w:rPr>
        <w:t xml:space="preserve"> </w:t>
      </w:r>
      <w:r w:rsidRPr="00EA5DE3">
        <w:rPr>
          <w:sz w:val="22"/>
          <w:szCs w:val="22"/>
          <w:lang w:val="en-US"/>
        </w:rPr>
        <w:t>Communication,</w:t>
      </w:r>
      <w:r w:rsidRPr="00EA5DE3">
        <w:rPr>
          <w:spacing w:val="-5"/>
          <w:sz w:val="22"/>
          <w:szCs w:val="22"/>
          <w:lang w:val="en-US"/>
        </w:rPr>
        <w:t xml:space="preserve"> </w:t>
      </w:r>
      <w:r w:rsidRPr="00EA5DE3">
        <w:rPr>
          <w:sz w:val="22"/>
          <w:szCs w:val="22"/>
          <w:lang w:val="en-US"/>
        </w:rPr>
        <w:t>Upper</w:t>
      </w:r>
      <w:r w:rsidRPr="00EA5DE3">
        <w:rPr>
          <w:spacing w:val="40"/>
          <w:sz w:val="22"/>
          <w:szCs w:val="22"/>
          <w:lang w:val="en-US"/>
        </w:rPr>
        <w:t xml:space="preserve"> </w:t>
      </w:r>
      <w:r w:rsidRPr="00EA5DE3">
        <w:rPr>
          <w:sz w:val="22"/>
          <w:szCs w:val="22"/>
          <w:lang w:val="en-US"/>
        </w:rPr>
        <w:t>Saddle</w:t>
      </w:r>
      <w:r w:rsidRPr="00EA5DE3">
        <w:rPr>
          <w:spacing w:val="-2"/>
          <w:sz w:val="22"/>
          <w:szCs w:val="22"/>
          <w:lang w:val="en-US"/>
        </w:rPr>
        <w:t xml:space="preserve"> </w:t>
      </w:r>
      <w:r w:rsidRPr="00EA5DE3">
        <w:rPr>
          <w:sz w:val="22"/>
          <w:szCs w:val="22"/>
          <w:lang w:val="en-US"/>
        </w:rPr>
        <w:t>River/NJ: Prentice</w:t>
      </w:r>
      <w:r w:rsidRPr="00EA5DE3">
        <w:rPr>
          <w:spacing w:val="-2"/>
          <w:sz w:val="22"/>
          <w:szCs w:val="22"/>
          <w:lang w:val="en-US"/>
        </w:rPr>
        <w:t xml:space="preserve"> </w:t>
      </w:r>
      <w:r w:rsidRPr="00EA5DE3">
        <w:rPr>
          <w:sz w:val="22"/>
          <w:szCs w:val="22"/>
          <w:lang w:val="en-US"/>
        </w:rPr>
        <w:t>Hall (2003,</w:t>
      </w:r>
      <w:r w:rsidRPr="00EA5DE3">
        <w:rPr>
          <w:spacing w:val="-2"/>
          <w:sz w:val="22"/>
          <w:szCs w:val="22"/>
          <w:lang w:val="en-US"/>
        </w:rPr>
        <w:t xml:space="preserve"> </w:t>
      </w:r>
      <w:r w:rsidRPr="00EA5DE3">
        <w:rPr>
          <w:sz w:val="22"/>
          <w:szCs w:val="22"/>
          <w:lang w:val="en-US"/>
        </w:rPr>
        <w:t>3rd</w:t>
      </w:r>
      <w:r w:rsidRPr="00EA5DE3">
        <w:rPr>
          <w:spacing w:val="-2"/>
          <w:sz w:val="22"/>
          <w:szCs w:val="22"/>
          <w:lang w:val="en-US"/>
        </w:rPr>
        <w:t xml:space="preserve"> </w:t>
      </w:r>
      <w:r w:rsidRPr="00EA5DE3">
        <w:rPr>
          <w:sz w:val="22"/>
          <w:szCs w:val="22"/>
          <w:lang w:val="en-US"/>
        </w:rPr>
        <w:t>Ed.), S.102.</w:t>
      </w:r>
      <w:r w:rsidRPr="00EA5DE3">
        <w:rPr>
          <w:spacing w:val="40"/>
          <w:sz w:val="22"/>
          <w:szCs w:val="22"/>
          <w:lang w:val="en-US"/>
        </w:rPr>
        <w:t xml:space="preserve"> </w:t>
      </w:r>
      <w:r w:rsidRPr="00EA5DE3">
        <w:rPr>
          <w:sz w:val="22"/>
          <w:szCs w:val="22"/>
        </w:rPr>
        <w:t>Rothlauf,</w:t>
      </w:r>
      <w:r w:rsidRPr="00EA5DE3">
        <w:rPr>
          <w:spacing w:val="-2"/>
          <w:sz w:val="22"/>
          <w:szCs w:val="22"/>
        </w:rPr>
        <w:t xml:space="preserve"> </w:t>
      </w:r>
      <w:r w:rsidRPr="00EA5DE3">
        <w:rPr>
          <w:sz w:val="22"/>
          <w:szCs w:val="22"/>
        </w:rPr>
        <w:t>J. (2009):</w:t>
      </w:r>
      <w:r w:rsidRPr="00EA5DE3">
        <w:rPr>
          <w:spacing w:val="-2"/>
          <w:sz w:val="22"/>
          <w:szCs w:val="22"/>
        </w:rPr>
        <w:t xml:space="preserve"> </w:t>
      </w:r>
      <w:r w:rsidRPr="00EA5DE3">
        <w:rPr>
          <w:sz w:val="22"/>
          <w:szCs w:val="22"/>
        </w:rPr>
        <w:t>Interkulturelles</w:t>
      </w:r>
      <w:r w:rsidRPr="00EA5DE3">
        <w:rPr>
          <w:spacing w:val="40"/>
          <w:sz w:val="22"/>
          <w:szCs w:val="22"/>
        </w:rPr>
        <w:t xml:space="preserve"> </w:t>
      </w:r>
      <w:r w:rsidRPr="00EA5DE3">
        <w:rPr>
          <w:sz w:val="22"/>
          <w:szCs w:val="22"/>
        </w:rPr>
        <w:t>Management, 3.Aufl., München: Oldenbourg.</w:t>
      </w:r>
    </w:p>
    <w:p w14:paraId="65DA97FD" w14:textId="77777777" w:rsidR="00FF7799" w:rsidRPr="00EA5DE3" w:rsidRDefault="00FF7799" w:rsidP="00EC4358">
      <w:pPr>
        <w:pStyle w:val="StandardText"/>
        <w:rPr>
          <w:sz w:val="22"/>
          <w:szCs w:val="22"/>
        </w:rPr>
      </w:pPr>
    </w:p>
    <w:p w14:paraId="42B85440" w14:textId="77777777" w:rsidR="00CF3D78" w:rsidRPr="008E049F" w:rsidRDefault="00CF3D78" w:rsidP="008E049F">
      <w:pPr>
        <w:pStyle w:val="berschrift1"/>
        <w:rPr>
          <w:color w:val="2F5496" w:themeColor="accent5" w:themeShade="BF"/>
        </w:rPr>
      </w:pPr>
      <w:r w:rsidRPr="008E049F">
        <w:rPr>
          <w:color w:val="2F5496" w:themeColor="accent5" w:themeShade="BF"/>
        </w:rPr>
        <w:t xml:space="preserve">Beeinflussungsstrategien </w:t>
      </w:r>
    </w:p>
    <w:p w14:paraId="3485007B" w14:textId="77777777" w:rsidR="00CF3D78" w:rsidRPr="007F69DA" w:rsidRDefault="00CF3D78">
      <w:pPr>
        <w:pStyle w:val="Punkt"/>
        <w:numPr>
          <w:ilvl w:val="0"/>
          <w:numId w:val="69"/>
        </w:numPr>
        <w:spacing w:before="240" w:after="60" w:line="360" w:lineRule="auto"/>
        <w:ind w:left="-284" w:rightChars="70" w:right="154" w:firstLine="284"/>
        <w:rPr>
          <w:sz w:val="22"/>
          <w:szCs w:val="22"/>
        </w:rPr>
      </w:pPr>
      <w:r w:rsidRPr="007F69DA">
        <w:rPr>
          <w:sz w:val="22"/>
          <w:szCs w:val="22"/>
        </w:rPr>
        <w:t xml:space="preserve"> Überblick</w:t>
      </w:r>
    </w:p>
    <w:p w14:paraId="6D70315E" w14:textId="77777777" w:rsidR="00CF3D78" w:rsidRPr="007F69DA" w:rsidRDefault="00CF3D78" w:rsidP="00CF3D78">
      <w:pPr>
        <w:spacing w:before="180" w:after="180" w:line="240" w:lineRule="atLeast"/>
        <w:jc w:val="both"/>
        <w:rPr>
          <w:szCs w:val="24"/>
          <w:lang w:eastAsia="de-DE"/>
        </w:rPr>
      </w:pPr>
      <w:r w:rsidRPr="007F69DA">
        <w:rPr>
          <w:szCs w:val="24"/>
          <w:lang w:eastAsia="de-DE"/>
        </w:rPr>
        <w:t xml:space="preserve">Die Reziprozitätsstrategie ist eine der sechs Basisstrategien der Beeinflussung, die Cialdini (2001) ausführlich beschrieben hat (vgl. Tab. 1). Diese Beeinflussungsstrategien sprechen weltweit wirksame soziale Bedürfnisse an, z.B. den Wunsch nach Bestätigung und Anerkennung (‘social proof‘) oder das dissonanztheoretisch begründbare Streben nach Konsistenz: nach „in sich widerspruchsfreiem Denken und Handeln“ (‘consistency‘). Aber wie stark Menschen diese Bedürfnisse im Einzelfall verspüren bzw. ihnen folgen, hängt vom Wertesystem der Kultur ab, in der sie aufgewachsen sind. </w:t>
      </w:r>
    </w:p>
    <w:p w14:paraId="0422D651" w14:textId="77777777" w:rsidR="00CF3D78" w:rsidRPr="007F69DA" w:rsidRDefault="00CF3D78" w:rsidP="00CF3D78">
      <w:pPr>
        <w:pStyle w:val="Beschriftung"/>
        <w:spacing w:before="240" w:after="60"/>
        <w:ind w:left="284" w:rightChars="826" w:right="1817"/>
        <w:rPr>
          <w:sz w:val="22"/>
          <w:szCs w:val="22"/>
        </w:rPr>
      </w:pPr>
      <w:r w:rsidRPr="007F69DA">
        <w:rPr>
          <w:sz w:val="22"/>
          <w:szCs w:val="22"/>
        </w:rPr>
        <w:t>Tab. 1: Grundlegende Beeinflussungsstrategien nach Cialdini</w:t>
      </w:r>
    </w:p>
    <w:tbl>
      <w:tblPr>
        <w:tblW w:w="9078" w:type="dxa"/>
        <w:tblInd w:w="70" w:type="dxa"/>
        <w:tblBorders>
          <w:top w:val="single" w:sz="4" w:space="0" w:color="auto"/>
          <w:left w:val="single" w:sz="4" w:space="0" w:color="auto"/>
          <w:bottom w:val="single" w:sz="4" w:space="0" w:color="auto"/>
          <w:right w:val="single" w:sz="4" w:space="0" w:color="auto"/>
          <w:insideH w:val="single" w:sz="4" w:space="0" w:color="auto"/>
        </w:tblBorders>
        <w:tblLayout w:type="fixed"/>
        <w:tblCellMar>
          <w:left w:w="70" w:type="dxa"/>
          <w:right w:w="70" w:type="dxa"/>
        </w:tblCellMar>
        <w:tblLook w:val="0000" w:firstRow="0" w:lastRow="0" w:firstColumn="0" w:lastColumn="0" w:noHBand="0" w:noVBand="0"/>
      </w:tblPr>
      <w:tblGrid>
        <w:gridCol w:w="4034"/>
        <w:gridCol w:w="5044"/>
      </w:tblGrid>
      <w:tr w:rsidR="00CF3D78" w:rsidRPr="007F69DA" w14:paraId="780FE2F7" w14:textId="77777777" w:rsidTr="00037FAC">
        <w:trPr>
          <w:trHeight w:val="600"/>
        </w:trPr>
        <w:tc>
          <w:tcPr>
            <w:tcW w:w="4034" w:type="dxa"/>
            <w:shd w:val="clear" w:color="auto" w:fill="FFC000" w:themeFill="accent4"/>
          </w:tcPr>
          <w:p w14:paraId="47849BF2" w14:textId="77777777" w:rsidR="00CF3D78" w:rsidRPr="007F69DA" w:rsidRDefault="00CF3D78" w:rsidP="00F46ACB">
            <w:pPr>
              <w:pStyle w:val="TabelleBuch"/>
              <w:spacing w:before="240"/>
              <w:ind w:left="284" w:rightChars="921" w:right="2026"/>
              <w:jc w:val="left"/>
              <w:rPr>
                <w:rFonts w:ascii="Times New Roman" w:hAnsi="Times New Roman"/>
                <w:b/>
                <w:bCs w:val="0"/>
                <w:szCs w:val="22"/>
              </w:rPr>
            </w:pPr>
            <w:r w:rsidRPr="007F69DA">
              <w:rPr>
                <w:rFonts w:ascii="Times New Roman" w:hAnsi="Times New Roman"/>
                <w:b/>
                <w:bCs w:val="0"/>
                <w:szCs w:val="22"/>
              </w:rPr>
              <w:t>Strategie</w:t>
            </w:r>
          </w:p>
        </w:tc>
        <w:tc>
          <w:tcPr>
            <w:tcW w:w="5044" w:type="dxa"/>
            <w:shd w:val="clear" w:color="auto" w:fill="FFC000" w:themeFill="accent4"/>
          </w:tcPr>
          <w:p w14:paraId="455F676F" w14:textId="77777777" w:rsidR="00CF3D78" w:rsidRPr="007F69DA" w:rsidRDefault="00CF3D78" w:rsidP="00F46ACB">
            <w:pPr>
              <w:pStyle w:val="TabelleBuch"/>
              <w:spacing w:before="240"/>
              <w:ind w:left="284" w:rightChars="921" w:right="2026"/>
              <w:jc w:val="center"/>
              <w:rPr>
                <w:rFonts w:ascii="Times New Roman" w:hAnsi="Times New Roman"/>
                <w:b/>
                <w:bCs w:val="0"/>
                <w:szCs w:val="22"/>
              </w:rPr>
            </w:pPr>
            <w:r w:rsidRPr="007F69DA">
              <w:rPr>
                <w:rFonts w:ascii="Times New Roman" w:hAnsi="Times New Roman"/>
                <w:b/>
                <w:bCs w:val="0"/>
                <w:szCs w:val="22"/>
              </w:rPr>
              <w:t>Charakteristikum</w:t>
            </w:r>
          </w:p>
        </w:tc>
      </w:tr>
      <w:tr w:rsidR="00CF3D78" w:rsidRPr="007F69DA" w14:paraId="6207C3CE" w14:textId="77777777" w:rsidTr="00037FAC">
        <w:trPr>
          <w:trHeight w:val="876"/>
        </w:trPr>
        <w:tc>
          <w:tcPr>
            <w:tcW w:w="4034" w:type="dxa"/>
            <w:shd w:val="clear" w:color="auto" w:fill="FFF2CC" w:themeFill="accent4" w:themeFillTint="33"/>
          </w:tcPr>
          <w:p w14:paraId="14830F2D" w14:textId="77777777" w:rsidR="00CF3D78" w:rsidRPr="007F69DA" w:rsidRDefault="00CF3D78" w:rsidP="00F46ACB">
            <w:pPr>
              <w:pStyle w:val="TabelleBuch"/>
              <w:spacing w:before="240"/>
              <w:ind w:left="284" w:right="-851"/>
              <w:rPr>
                <w:rFonts w:ascii="Times New Roman" w:hAnsi="Times New Roman"/>
                <w:szCs w:val="22"/>
              </w:rPr>
            </w:pPr>
            <w:r w:rsidRPr="007F69DA">
              <w:rPr>
                <w:rFonts w:ascii="Times New Roman" w:hAnsi="Times New Roman"/>
                <w:szCs w:val="22"/>
              </w:rPr>
              <w:t>Reziprozität (‘reciprocity‘)</w:t>
            </w:r>
          </w:p>
        </w:tc>
        <w:tc>
          <w:tcPr>
            <w:tcW w:w="5044" w:type="dxa"/>
          </w:tcPr>
          <w:p w14:paraId="02E9E521" w14:textId="77777777" w:rsidR="00CF3D78" w:rsidRPr="007F69DA" w:rsidRDefault="00CF3D78" w:rsidP="00F46ACB">
            <w:pPr>
              <w:pStyle w:val="TabelleBuch"/>
              <w:spacing w:before="240"/>
              <w:ind w:left="-70" w:rightChars="557" w:right="1225"/>
              <w:rPr>
                <w:rFonts w:ascii="Times New Roman" w:hAnsi="Times New Roman"/>
                <w:szCs w:val="22"/>
              </w:rPr>
            </w:pPr>
            <w:r w:rsidRPr="007F69DA">
              <w:rPr>
                <w:rFonts w:ascii="Times New Roman" w:hAnsi="Times New Roman"/>
                <w:szCs w:val="22"/>
              </w:rPr>
              <w:t>Menschen vergelten Gleiches mit Gleichem.</w:t>
            </w:r>
          </w:p>
        </w:tc>
      </w:tr>
      <w:tr w:rsidR="00CF3D78" w:rsidRPr="007F69DA" w14:paraId="062ED9BD" w14:textId="77777777" w:rsidTr="00037FAC">
        <w:trPr>
          <w:trHeight w:val="2031"/>
        </w:trPr>
        <w:tc>
          <w:tcPr>
            <w:tcW w:w="4034" w:type="dxa"/>
            <w:shd w:val="clear" w:color="auto" w:fill="FFF2CC" w:themeFill="accent4" w:themeFillTint="33"/>
          </w:tcPr>
          <w:p w14:paraId="5EEFA51B" w14:textId="77777777" w:rsidR="00CF3D78" w:rsidRPr="007F69DA" w:rsidRDefault="00CF3D78" w:rsidP="00F46ACB">
            <w:pPr>
              <w:pStyle w:val="TabelleBuch"/>
              <w:tabs>
                <w:tab w:val="left" w:pos="2148"/>
              </w:tabs>
              <w:spacing w:before="240"/>
              <w:ind w:left="284" w:right="-851"/>
              <w:rPr>
                <w:rFonts w:ascii="Times New Roman" w:hAnsi="Times New Roman"/>
                <w:szCs w:val="22"/>
              </w:rPr>
            </w:pPr>
            <w:r w:rsidRPr="007F69DA">
              <w:rPr>
                <w:rFonts w:ascii="Times New Roman" w:hAnsi="Times New Roman"/>
                <w:szCs w:val="22"/>
              </w:rPr>
              <w:t>Konsistenz (‘consistency‘)</w:t>
            </w:r>
          </w:p>
        </w:tc>
        <w:tc>
          <w:tcPr>
            <w:tcW w:w="5044" w:type="dxa"/>
          </w:tcPr>
          <w:p w14:paraId="2A9DE389" w14:textId="77777777" w:rsidR="00CF3D78" w:rsidRPr="007F69DA" w:rsidRDefault="00CF3D78" w:rsidP="00F46ACB">
            <w:pPr>
              <w:pStyle w:val="TabelleBuch"/>
              <w:spacing w:before="240"/>
              <w:ind w:left="-70" w:rightChars="248" w:right="546"/>
              <w:rPr>
                <w:rFonts w:ascii="Times New Roman" w:hAnsi="Times New Roman"/>
                <w:szCs w:val="22"/>
              </w:rPr>
            </w:pPr>
            <w:r w:rsidRPr="007F69DA">
              <w:rPr>
                <w:rFonts w:ascii="Times New Roman" w:hAnsi="Times New Roman"/>
                <w:szCs w:val="22"/>
              </w:rPr>
              <w:t xml:space="preserve">Menschen möchten in ihren Äußerungen und Einstellungen konsistent erscheinen. Wer bspw. einer Aussage A zustimmt, ist folglich geneigt, auch der Aussage B zuzustimmen, wenn diese konsistent zu A ist. </w:t>
            </w:r>
          </w:p>
        </w:tc>
      </w:tr>
      <w:tr w:rsidR="00CF3D78" w:rsidRPr="007F69DA" w14:paraId="185E09B1" w14:textId="77777777" w:rsidTr="00037FAC">
        <w:trPr>
          <w:trHeight w:val="1186"/>
        </w:trPr>
        <w:tc>
          <w:tcPr>
            <w:tcW w:w="4034" w:type="dxa"/>
            <w:shd w:val="clear" w:color="auto" w:fill="FFF2CC" w:themeFill="accent4" w:themeFillTint="33"/>
          </w:tcPr>
          <w:p w14:paraId="4E63C867" w14:textId="77777777" w:rsidR="00CF3D78" w:rsidRPr="007F69DA" w:rsidRDefault="00CF3D78" w:rsidP="00F46ACB">
            <w:pPr>
              <w:pStyle w:val="TabelleBuch"/>
              <w:spacing w:before="240"/>
              <w:ind w:left="284" w:right="-851"/>
              <w:rPr>
                <w:rFonts w:ascii="Times New Roman" w:hAnsi="Times New Roman"/>
                <w:szCs w:val="22"/>
              </w:rPr>
            </w:pPr>
            <w:r w:rsidRPr="007F69DA">
              <w:rPr>
                <w:rFonts w:ascii="Times New Roman" w:hAnsi="Times New Roman"/>
                <w:szCs w:val="22"/>
              </w:rPr>
              <w:t>Soziale Bewährtheit (‘social proof‘)</w:t>
            </w:r>
          </w:p>
        </w:tc>
        <w:tc>
          <w:tcPr>
            <w:tcW w:w="5044" w:type="dxa"/>
          </w:tcPr>
          <w:p w14:paraId="650BFFB7" w14:textId="77777777" w:rsidR="00CF3D78" w:rsidRPr="007F69DA" w:rsidRDefault="00CF3D78" w:rsidP="00F46ACB">
            <w:pPr>
              <w:pStyle w:val="TabelleBuch"/>
              <w:tabs>
                <w:tab w:val="left" w:pos="3757"/>
                <w:tab w:val="left" w:pos="3899"/>
                <w:tab w:val="left" w:pos="3980"/>
              </w:tabs>
              <w:spacing w:before="240"/>
              <w:ind w:left="-70" w:rightChars="-30" w:right="-66"/>
              <w:rPr>
                <w:rFonts w:ascii="Times New Roman" w:hAnsi="Times New Roman"/>
                <w:szCs w:val="22"/>
              </w:rPr>
            </w:pPr>
            <w:r w:rsidRPr="007F69DA">
              <w:rPr>
                <w:rFonts w:ascii="Times New Roman" w:hAnsi="Times New Roman"/>
                <w:szCs w:val="22"/>
              </w:rPr>
              <w:t>Menschen orientieren sich am Verhalten anderer Menschen, um sicherzugehen, dass ihr Verhalten „in Ordnung“ ist.</w:t>
            </w:r>
          </w:p>
        </w:tc>
      </w:tr>
      <w:tr w:rsidR="00CF3D78" w:rsidRPr="007F69DA" w14:paraId="65A831CB" w14:textId="77777777" w:rsidTr="00037FAC">
        <w:trPr>
          <w:trHeight w:val="876"/>
        </w:trPr>
        <w:tc>
          <w:tcPr>
            <w:tcW w:w="4034" w:type="dxa"/>
            <w:shd w:val="clear" w:color="auto" w:fill="FFF2CC" w:themeFill="accent4" w:themeFillTint="33"/>
          </w:tcPr>
          <w:p w14:paraId="6AA68897" w14:textId="77777777" w:rsidR="00CF3D78" w:rsidRPr="007F69DA" w:rsidRDefault="00CF3D78" w:rsidP="00F46ACB">
            <w:pPr>
              <w:pStyle w:val="TabelleBuch"/>
              <w:spacing w:before="240"/>
              <w:ind w:left="284" w:right="-851"/>
              <w:rPr>
                <w:rFonts w:ascii="Times New Roman" w:hAnsi="Times New Roman"/>
                <w:szCs w:val="22"/>
              </w:rPr>
            </w:pPr>
            <w:r w:rsidRPr="007F69DA">
              <w:rPr>
                <w:rFonts w:ascii="Times New Roman" w:hAnsi="Times New Roman"/>
                <w:szCs w:val="22"/>
              </w:rPr>
              <w:t>Beliebtheit (‘liking‘)</w:t>
            </w:r>
          </w:p>
        </w:tc>
        <w:tc>
          <w:tcPr>
            <w:tcW w:w="5044" w:type="dxa"/>
          </w:tcPr>
          <w:p w14:paraId="11D2F907" w14:textId="77777777" w:rsidR="00CF3D78" w:rsidRPr="007F69DA" w:rsidRDefault="00CF3D78" w:rsidP="00F46ACB">
            <w:pPr>
              <w:pStyle w:val="TabelleBuch"/>
              <w:tabs>
                <w:tab w:val="left" w:pos="3757"/>
                <w:tab w:val="left" w:pos="3899"/>
                <w:tab w:val="left" w:pos="3980"/>
              </w:tabs>
              <w:spacing w:before="240"/>
              <w:ind w:left="-70" w:rightChars="-30" w:right="-66"/>
              <w:rPr>
                <w:rFonts w:ascii="Times New Roman" w:hAnsi="Times New Roman"/>
                <w:szCs w:val="22"/>
              </w:rPr>
            </w:pPr>
            <w:r w:rsidRPr="007F69DA">
              <w:rPr>
                <w:rFonts w:ascii="Times New Roman" w:hAnsi="Times New Roman"/>
                <w:szCs w:val="22"/>
              </w:rPr>
              <w:t>Menschen, die man mag, schlägt man ungern etwas ab.</w:t>
            </w:r>
          </w:p>
        </w:tc>
      </w:tr>
      <w:tr w:rsidR="00CF3D78" w:rsidRPr="007F69DA" w14:paraId="1D2FB3FC" w14:textId="77777777" w:rsidTr="00037FAC">
        <w:trPr>
          <w:trHeight w:val="876"/>
        </w:trPr>
        <w:tc>
          <w:tcPr>
            <w:tcW w:w="4034" w:type="dxa"/>
            <w:shd w:val="clear" w:color="auto" w:fill="FFF2CC" w:themeFill="accent4" w:themeFillTint="33"/>
          </w:tcPr>
          <w:p w14:paraId="008B380E" w14:textId="77777777" w:rsidR="00CF3D78" w:rsidRPr="007F69DA" w:rsidRDefault="00CF3D78" w:rsidP="00F46ACB">
            <w:pPr>
              <w:pStyle w:val="TabelleBuch"/>
              <w:spacing w:before="240"/>
              <w:ind w:left="284" w:right="-851"/>
              <w:rPr>
                <w:rFonts w:ascii="Times New Roman" w:hAnsi="Times New Roman"/>
                <w:szCs w:val="22"/>
              </w:rPr>
            </w:pPr>
            <w:r w:rsidRPr="007F69DA">
              <w:rPr>
                <w:rFonts w:ascii="Times New Roman" w:hAnsi="Times New Roman"/>
                <w:szCs w:val="22"/>
              </w:rPr>
              <w:t>Autorität (‘authority‘)</w:t>
            </w:r>
          </w:p>
        </w:tc>
        <w:tc>
          <w:tcPr>
            <w:tcW w:w="5044" w:type="dxa"/>
          </w:tcPr>
          <w:p w14:paraId="77F2157F" w14:textId="77777777" w:rsidR="00CF3D78" w:rsidRPr="007F69DA" w:rsidRDefault="00CF3D78" w:rsidP="00F46ACB">
            <w:pPr>
              <w:pStyle w:val="TabelleBuch"/>
              <w:tabs>
                <w:tab w:val="left" w:pos="3757"/>
                <w:tab w:val="left" w:pos="3899"/>
                <w:tab w:val="left" w:pos="3980"/>
              </w:tabs>
              <w:spacing w:before="240"/>
              <w:ind w:left="-70" w:rightChars="-30" w:right="-66"/>
              <w:rPr>
                <w:rFonts w:ascii="Times New Roman" w:hAnsi="Times New Roman"/>
                <w:szCs w:val="22"/>
              </w:rPr>
            </w:pPr>
            <w:r w:rsidRPr="007F69DA">
              <w:rPr>
                <w:rFonts w:ascii="Times New Roman" w:hAnsi="Times New Roman"/>
                <w:szCs w:val="22"/>
              </w:rPr>
              <w:t>Menschen neigen dazu, Personen, die Autorität ausstrahlen, zu gehorchen.</w:t>
            </w:r>
          </w:p>
        </w:tc>
      </w:tr>
      <w:tr w:rsidR="00CF3D78" w:rsidRPr="007F69DA" w14:paraId="64131C25" w14:textId="77777777" w:rsidTr="00037FAC">
        <w:trPr>
          <w:trHeight w:val="1169"/>
        </w:trPr>
        <w:tc>
          <w:tcPr>
            <w:tcW w:w="4034" w:type="dxa"/>
            <w:shd w:val="clear" w:color="auto" w:fill="FFF2CC" w:themeFill="accent4" w:themeFillTint="33"/>
          </w:tcPr>
          <w:p w14:paraId="4A187987" w14:textId="77777777" w:rsidR="00CF3D78" w:rsidRPr="007F69DA" w:rsidRDefault="00CF3D78" w:rsidP="00F46ACB">
            <w:pPr>
              <w:pStyle w:val="TabelleBuch"/>
              <w:spacing w:before="240"/>
              <w:ind w:left="284" w:right="-851"/>
              <w:rPr>
                <w:rFonts w:ascii="Times New Roman" w:hAnsi="Times New Roman"/>
                <w:szCs w:val="22"/>
              </w:rPr>
            </w:pPr>
            <w:r w:rsidRPr="007F69DA">
              <w:rPr>
                <w:rFonts w:ascii="Times New Roman" w:hAnsi="Times New Roman"/>
                <w:szCs w:val="22"/>
              </w:rPr>
              <w:t>Knappheit (‘scarcity‘)</w:t>
            </w:r>
          </w:p>
        </w:tc>
        <w:tc>
          <w:tcPr>
            <w:tcW w:w="5044" w:type="dxa"/>
          </w:tcPr>
          <w:p w14:paraId="27FB059D" w14:textId="77777777" w:rsidR="00CF3D78" w:rsidRPr="007F69DA" w:rsidRDefault="00CF3D78" w:rsidP="00F46ACB">
            <w:pPr>
              <w:pStyle w:val="TabelleBuch"/>
              <w:tabs>
                <w:tab w:val="left" w:pos="3757"/>
                <w:tab w:val="left" w:pos="3899"/>
                <w:tab w:val="left" w:pos="3980"/>
              </w:tabs>
              <w:spacing w:before="240"/>
              <w:ind w:left="-70" w:rightChars="-30" w:right="-66"/>
              <w:rPr>
                <w:rFonts w:ascii="Times New Roman" w:hAnsi="Times New Roman"/>
                <w:szCs w:val="22"/>
              </w:rPr>
            </w:pPr>
            <w:r w:rsidRPr="007F69DA">
              <w:rPr>
                <w:rFonts w:ascii="Times New Roman" w:hAnsi="Times New Roman"/>
                <w:szCs w:val="22"/>
              </w:rPr>
              <w:t>Menschen empfinden Dinge, Informationen und Menschen, die schwer zugänglich sind, als besonders wertvoll.</w:t>
            </w:r>
          </w:p>
        </w:tc>
      </w:tr>
    </w:tbl>
    <w:p w14:paraId="4C2B958D" w14:textId="77777777" w:rsidR="00CF3D78" w:rsidRPr="007F69DA" w:rsidRDefault="00CF3D78" w:rsidP="00CF3D78">
      <w:pPr>
        <w:pStyle w:val="Punkt"/>
        <w:numPr>
          <w:ilvl w:val="0"/>
          <w:numId w:val="0"/>
        </w:numPr>
        <w:spacing w:before="60"/>
        <w:ind w:left="284" w:right="-851"/>
        <w:rPr>
          <w:sz w:val="22"/>
          <w:szCs w:val="22"/>
        </w:rPr>
      </w:pPr>
    </w:p>
    <w:p w14:paraId="3F152175" w14:textId="77777777" w:rsidR="00CF3D78" w:rsidRPr="007F69DA" w:rsidRDefault="00CF3D78" w:rsidP="00CF3D78">
      <w:pPr>
        <w:pStyle w:val="Punkt"/>
        <w:numPr>
          <w:ilvl w:val="0"/>
          <w:numId w:val="0"/>
        </w:numPr>
        <w:spacing w:before="60"/>
        <w:ind w:left="284" w:right="-851"/>
        <w:rPr>
          <w:b/>
          <w:sz w:val="22"/>
          <w:szCs w:val="22"/>
        </w:rPr>
      </w:pPr>
    </w:p>
    <w:p w14:paraId="28B15A2D" w14:textId="77777777" w:rsidR="00CF3D78" w:rsidRPr="007F69DA" w:rsidRDefault="00CF3D78">
      <w:pPr>
        <w:pStyle w:val="Punkt"/>
        <w:numPr>
          <w:ilvl w:val="0"/>
          <w:numId w:val="69"/>
        </w:numPr>
        <w:spacing w:before="240" w:after="60" w:line="360" w:lineRule="auto"/>
        <w:ind w:left="-284" w:rightChars="70" w:right="154" w:firstLine="284"/>
        <w:rPr>
          <w:sz w:val="24"/>
          <w:szCs w:val="24"/>
        </w:rPr>
      </w:pPr>
      <w:r w:rsidRPr="007F69DA">
        <w:rPr>
          <w:sz w:val="24"/>
          <w:szCs w:val="24"/>
        </w:rPr>
        <w:t xml:space="preserve"> Eignung der Basisstrategien für die Zwecke der Kommunikationspolitik</w:t>
      </w:r>
    </w:p>
    <w:p w14:paraId="36DD2D91" w14:textId="77777777" w:rsidR="00CF3D78" w:rsidRPr="006E735E" w:rsidRDefault="00CF3D78" w:rsidP="00CF3D78">
      <w:pPr>
        <w:spacing w:before="180" w:after="180" w:line="240" w:lineRule="atLeast"/>
        <w:jc w:val="both"/>
        <w:rPr>
          <w:i/>
          <w:iCs/>
          <w:szCs w:val="24"/>
          <w:lang w:eastAsia="de-DE"/>
        </w:rPr>
      </w:pPr>
      <w:r w:rsidRPr="006E735E">
        <w:rPr>
          <w:i/>
          <w:iCs/>
          <w:szCs w:val="24"/>
          <w:lang w:eastAsia="de-DE"/>
        </w:rPr>
        <w:t xml:space="preserve">Reziprozität </w:t>
      </w:r>
    </w:p>
    <w:p w14:paraId="5E29D683" w14:textId="77777777" w:rsidR="00CF3D78" w:rsidRPr="007F69DA" w:rsidRDefault="00CF3D78" w:rsidP="00CF3D78">
      <w:pPr>
        <w:spacing w:before="180" w:after="180" w:line="240" w:lineRule="atLeast"/>
        <w:jc w:val="both"/>
        <w:rPr>
          <w:szCs w:val="24"/>
          <w:lang w:eastAsia="de-DE"/>
        </w:rPr>
      </w:pPr>
      <w:r w:rsidRPr="007F69DA">
        <w:rPr>
          <w:szCs w:val="24"/>
          <w:lang w:eastAsia="de-DE"/>
        </w:rPr>
        <w:t>Wenn Marlboro (deutsche) Journalisten zur Abenteuer-Tour nach Amerika einlädt und diese daraufhin „unaufgefordert“ positiv über das Unternehmen berichten, dann war die Beeinflussungsstrategie, welche das Unternehmen damit verfolgt, offensichtlich erfolgreich: der Appell an die Reziprozitäts-Norm.</w:t>
      </w:r>
    </w:p>
    <w:p w14:paraId="06173A55" w14:textId="77777777" w:rsidR="00CF3D78" w:rsidRPr="007F69DA" w:rsidRDefault="00CF3D78" w:rsidP="00CF3D78">
      <w:pPr>
        <w:spacing w:before="240" w:after="60"/>
        <w:ind w:left="284" w:rightChars="921" w:right="2026"/>
      </w:pPr>
    </w:p>
    <w:p w14:paraId="44258115" w14:textId="77777777" w:rsidR="00CF3D78" w:rsidRPr="007F69DA" w:rsidRDefault="00CF3D78" w:rsidP="00CF3D78">
      <w:pPr>
        <w:shd w:val="clear" w:color="auto" w:fill="DEEAF6" w:themeFill="accent1" w:themeFillTint="33"/>
        <w:spacing w:before="180" w:after="180" w:line="240" w:lineRule="atLeast"/>
        <w:jc w:val="center"/>
        <w:rPr>
          <w:b/>
          <w:szCs w:val="24"/>
          <w:lang w:eastAsia="de-DE"/>
        </w:rPr>
      </w:pPr>
      <w:r w:rsidRPr="007F69DA">
        <w:rPr>
          <w:b/>
          <w:szCs w:val="24"/>
          <w:lang w:eastAsia="de-DE"/>
        </w:rPr>
        <w:t>Wie Du mir, so ich Dir</w:t>
      </w:r>
    </w:p>
    <w:p w14:paraId="6DD5D0ED" w14:textId="77777777" w:rsidR="00CF3D78" w:rsidRPr="007F69DA" w:rsidRDefault="00CF3D78" w:rsidP="00CF3D78">
      <w:pPr>
        <w:shd w:val="clear" w:color="auto" w:fill="DEEAF6" w:themeFill="accent1" w:themeFillTint="33"/>
        <w:spacing w:before="180" w:after="180" w:line="240" w:lineRule="atLeast"/>
        <w:jc w:val="both"/>
        <w:rPr>
          <w:szCs w:val="24"/>
          <w:lang w:eastAsia="de-DE"/>
        </w:rPr>
      </w:pPr>
      <w:r w:rsidRPr="007F69DA">
        <w:rPr>
          <w:szCs w:val="24"/>
          <w:lang w:eastAsia="de-DE"/>
        </w:rPr>
        <w:t>„Die Zelte im Camp sind aufgeschlagen, das Essen ist fertig und das Lagerfeuer vorbereitet. Das und den großen Rest der fünf atemberaubenden Tage am Colorado-Ufer haben die Macher vom Freiburger Reiseunternehmen Adventure Tours perfekt organisiert. Ihr Geschäftsführer, W. Fleischer, erdachte für den Zigaretten-Multi Phillip Morris 1984 das Marlboro Abenteuer Team. Er fand in der Nähe des Arches Nationalparks und des Mountainbiker-Eldorados Moab einen idealen Platz zum Reiten, Raften, Klettern, Enduro- und Jeep-Fahren. ... Und doch schlottern uns die Knie, als wir in luftiger Höhe dem schaurig-schönen Moment entgegenfiebern. Am baumelnden Seil wartet ein grandioser Blick auf die rotgefärbten, bizarren Sandsteingebilde. Es wird ein einmaliges Erlebnis. Normalerweise darf man an den Felsbögen im Arches Nationalpark nicht klettern“ (Reichelt 1999, S.61).</w:t>
      </w:r>
    </w:p>
    <w:p w14:paraId="3EBD0D2F" w14:textId="77777777" w:rsidR="00CF3D78" w:rsidRPr="007F69DA" w:rsidRDefault="00CF3D78" w:rsidP="00CF3D78">
      <w:pPr>
        <w:tabs>
          <w:tab w:val="left" w:pos="9639"/>
          <w:tab w:val="left" w:pos="9922"/>
        </w:tabs>
        <w:spacing w:before="240" w:after="60" w:line="360" w:lineRule="auto"/>
        <w:ind w:left="284" w:rightChars="70" w:right="154"/>
      </w:pPr>
    </w:p>
    <w:p w14:paraId="75AF8BED" w14:textId="77777777" w:rsidR="00CF3D78" w:rsidRPr="007F69DA" w:rsidRDefault="00CF3D78" w:rsidP="00CF3D78">
      <w:pPr>
        <w:spacing w:before="180" w:after="180" w:line="240" w:lineRule="atLeast"/>
        <w:jc w:val="both"/>
        <w:rPr>
          <w:szCs w:val="24"/>
          <w:lang w:eastAsia="de-DE"/>
        </w:rPr>
      </w:pPr>
      <w:r w:rsidRPr="007F69DA">
        <w:rPr>
          <w:szCs w:val="24"/>
          <w:lang w:eastAsia="de-DE"/>
        </w:rPr>
        <w:t xml:space="preserve">Gutes mit Gutem zu vergelten: Dies entspricht einer generellen menschlichen Norm. Wie verbindlich sie ist, hängt allerdings von der Stärke der sozialen Bande innerhalb einer Gemeinschaft ab. In kollektivistischen Gesellschaften, wo der Ausschluss aus der sozialen Gemeinschaft eine besonders gravierende Sanktion ist, spielt Reziprozität eine wichtigere Rolle als in individualistischen Kulturen. Dort ist es eher üblich, selbstbezogen zu leben. </w:t>
      </w:r>
    </w:p>
    <w:p w14:paraId="6A980AB7" w14:textId="77777777" w:rsidR="00CF3D78" w:rsidRPr="007F69DA" w:rsidRDefault="00CF3D78" w:rsidP="00CF3D78">
      <w:pPr>
        <w:spacing w:before="180" w:after="180" w:line="240" w:lineRule="atLeast"/>
        <w:jc w:val="both"/>
        <w:rPr>
          <w:szCs w:val="24"/>
          <w:lang w:eastAsia="de-DE"/>
        </w:rPr>
      </w:pPr>
    </w:p>
    <w:p w14:paraId="65E005FD" w14:textId="77777777" w:rsidR="00CF3D78" w:rsidRPr="006E735E" w:rsidRDefault="00CF3D78" w:rsidP="00CF3D78">
      <w:pPr>
        <w:spacing w:before="180" w:after="180" w:line="240" w:lineRule="atLeast"/>
        <w:jc w:val="both"/>
        <w:rPr>
          <w:i/>
          <w:iCs/>
          <w:szCs w:val="24"/>
          <w:lang w:eastAsia="de-DE"/>
        </w:rPr>
      </w:pPr>
      <w:r w:rsidRPr="006E735E">
        <w:rPr>
          <w:i/>
          <w:iCs/>
          <w:szCs w:val="24"/>
          <w:lang w:eastAsia="de-DE"/>
        </w:rPr>
        <w:t>Konsistenz</w:t>
      </w:r>
    </w:p>
    <w:p w14:paraId="5E52B03F" w14:textId="77777777" w:rsidR="00CF3D78" w:rsidRPr="007F69DA" w:rsidRDefault="00CF3D78" w:rsidP="00CF3D78">
      <w:pPr>
        <w:spacing w:before="180" w:after="180" w:line="240" w:lineRule="atLeast"/>
        <w:jc w:val="both"/>
        <w:rPr>
          <w:szCs w:val="24"/>
          <w:lang w:eastAsia="de-DE"/>
        </w:rPr>
      </w:pPr>
      <w:r w:rsidRPr="007F69DA">
        <w:rPr>
          <w:szCs w:val="24"/>
          <w:lang w:eastAsia="de-DE"/>
        </w:rPr>
        <w:t>Das Streben nach Konsistenz – d.h. nach in sich stimmigem Denken und Handeln – lässt sich mit der Theorie der kognitiven Dissonanz erklären (vgl. Festinger 1957). Demnach sind Menschen bestrebt, ihr Einstellungs- und Verhaltenssystem im Gleichgewicht zu halten. Wer andere beeinflussen möchte, kann das Konsistenzbedürfnis für seine Zwecke nutzen, bspw. mithilfe der „Foot-in-the-Door-Technik“. Gelingt es, Menschen zu einer bestimmten Handlung zu bewegen, so fä</w:t>
      </w:r>
      <w:r>
        <w:rPr>
          <w:szCs w:val="24"/>
          <w:lang w:eastAsia="de-DE"/>
        </w:rPr>
        <w:t>llt es vergleichsweise leicht, ihn</w:t>
      </w:r>
      <w:r w:rsidRPr="007F69DA">
        <w:rPr>
          <w:szCs w:val="24"/>
          <w:lang w:eastAsia="de-DE"/>
        </w:rPr>
        <w:t>en eine zweite Handlung abzuverlangen, falls diese konsistent zur ersten ist. Dabei wird die Zielperson zunächst dazu veranlasst, etwas zu tun, was nur ein geringes Involvement erfordert (z.B. einen kleinen Geldbetrag spenden, seine prinzipielle Bereitschaft zum Blutspenden erklären). Später wird dann das eigentliche und mit mehr Aufwand verbundene Anliegen vorgetragen (d.h. einen größeren Geldbetrag spenden, tatsächlich Blut spenden; vgl. Ferguson et al. 2007).</w:t>
      </w:r>
    </w:p>
    <w:p w14:paraId="25404BF6" w14:textId="77777777" w:rsidR="00CF3D78" w:rsidRPr="007F69DA" w:rsidRDefault="00CF3D78" w:rsidP="00CF3D78">
      <w:pPr>
        <w:ind w:right="-851"/>
      </w:pPr>
    </w:p>
    <w:p w14:paraId="2EAEE580" w14:textId="77777777" w:rsidR="00CF3D78" w:rsidRPr="007F69DA" w:rsidRDefault="00CF3D78" w:rsidP="00CF3D78">
      <w:pPr>
        <w:spacing w:before="180" w:after="180" w:line="240" w:lineRule="atLeast"/>
        <w:jc w:val="both"/>
        <w:rPr>
          <w:szCs w:val="24"/>
          <w:lang w:eastAsia="de-DE"/>
        </w:rPr>
      </w:pPr>
      <w:r w:rsidRPr="007F69DA">
        <w:rPr>
          <w:szCs w:val="24"/>
          <w:lang w:eastAsia="de-DE"/>
        </w:rPr>
        <w:t xml:space="preserve">Diese Beeinflussungsstrategie verspricht vor allem in einem kulturellem Umfeld Erfolg, in dem starker Konsistenzdruck herrscht, und sie verfängt weniger in Gesellschaften, in denen Ambiguitätstoleranz die Norm ist (d.h. die Akzeptanz von Mehrdeutigem). Nach Hofstede (1994, S.125) sind dies Länder mit einer schwach ausgeprägten Tendenz zur Ungewissheitsvermeidung. Die dort lebenden Menschen sind mehr als andere neugierig auf Andersartiges und bereit, widersprüchliche Sachverhalte nebeneinander stehen zu lassen, ohne dies als unangenehm zu empfinden bzw. eine Erklärung dafür suchen zu müssen. Inder bspw. zeichnen sich zumeist durch eine ausgeprägte Ambiguitätstoleranz aus. Erklären lässt sich dies mit ihrem religiösen Erfahrungshintergrund: Während die großen monotheistischen Religionen Recht und Unrecht vergleichsweise eindeutig vorgeben (z.B. im Alten und im Neuen Testament oder im Koran), kennt der Hinduismus keine ultimative religiöse Autorität (vgl. von Glasenapp 2011). </w:t>
      </w:r>
    </w:p>
    <w:p w14:paraId="06A71DC5" w14:textId="77777777" w:rsidR="00CF3D78" w:rsidRDefault="00CF3D78" w:rsidP="00CF3D78">
      <w:pPr>
        <w:spacing w:before="180" w:after="180" w:line="240" w:lineRule="atLeast"/>
        <w:jc w:val="both"/>
        <w:rPr>
          <w:szCs w:val="24"/>
          <w:lang w:eastAsia="de-DE"/>
        </w:rPr>
      </w:pPr>
    </w:p>
    <w:p w14:paraId="542DBFDE" w14:textId="77777777" w:rsidR="00CF3D78" w:rsidRPr="006E735E" w:rsidRDefault="00CF3D78" w:rsidP="00CF3D78">
      <w:pPr>
        <w:spacing w:before="180" w:after="180" w:line="240" w:lineRule="atLeast"/>
        <w:jc w:val="both"/>
        <w:rPr>
          <w:i/>
          <w:iCs/>
          <w:szCs w:val="24"/>
          <w:lang w:eastAsia="de-DE"/>
        </w:rPr>
      </w:pPr>
      <w:r w:rsidRPr="006E735E">
        <w:rPr>
          <w:i/>
          <w:iCs/>
          <w:szCs w:val="24"/>
          <w:lang w:eastAsia="de-DE"/>
        </w:rPr>
        <w:t xml:space="preserve">Soziale Bewährtheit </w:t>
      </w:r>
    </w:p>
    <w:p w14:paraId="7A26956A" w14:textId="77777777" w:rsidR="00CF3D78" w:rsidRPr="007F69DA" w:rsidRDefault="00CF3D78" w:rsidP="00CF3D78">
      <w:pPr>
        <w:spacing w:before="180" w:after="180" w:line="240" w:lineRule="atLeast"/>
        <w:jc w:val="both"/>
        <w:rPr>
          <w:szCs w:val="24"/>
          <w:lang w:eastAsia="de-DE"/>
        </w:rPr>
      </w:pPr>
      <w:r w:rsidRPr="007F69DA">
        <w:rPr>
          <w:szCs w:val="24"/>
          <w:lang w:eastAsia="de-DE"/>
        </w:rPr>
        <w:t>In den beziehungsorientierten kollektivistischen Kulturen bestehen starke soziale Bande zwischen den Menschen (</w:t>
      </w:r>
      <w:r w:rsidRPr="007F69DA">
        <w:rPr>
          <w:rFonts w:ascii="Cambria Math" w:hAnsi="Cambria Math" w:cs="Cambria Math"/>
          <w:szCs w:val="24"/>
          <w:lang w:eastAsia="de-DE"/>
        </w:rPr>
        <w:t>⇒</w:t>
      </w:r>
      <w:r w:rsidRPr="007F69DA">
        <w:rPr>
          <w:szCs w:val="24"/>
          <w:lang w:eastAsia="de-DE"/>
        </w:rPr>
        <w:t xml:space="preserve"> Beziehungskultur). Überzeugungskraft besitzen dort vor allem Informationen, welche die öffentliche Meinung bzw. Mehrheitsmeinung widerspiegeln (z.B. Testergebnisse unabhängiger Verbraucherinstitute). Denn sie ermöglichen ‘social proof‘: die Validierung eigener Ansichten und Über</w:t>
      </w:r>
      <w:r w:rsidRPr="007F69DA">
        <w:rPr>
          <w:szCs w:val="24"/>
          <w:lang w:eastAsia="de-DE"/>
        </w:rPr>
        <w:lastRenderedPageBreak/>
        <w:t xml:space="preserve">zeugungen an den Ansichten und Überzeugungen relevanter Bezugsgruppen. Unmittelbar produktbezogene Informationen sind demgegenüber weniger bedeutsam. Umgekehrt verhält es sich mit Angehörigen individualistischer Kulturen, die mehr als andere ein starkes </w:t>
      </w:r>
      <w:r w:rsidRPr="007F69DA">
        <w:rPr>
          <w:rFonts w:ascii="Cambria Math" w:hAnsi="Cambria Math" w:cs="Cambria Math"/>
          <w:szCs w:val="24"/>
          <w:lang w:eastAsia="de-DE"/>
        </w:rPr>
        <w:t>⇒</w:t>
      </w:r>
      <w:r w:rsidRPr="007F69DA">
        <w:rPr>
          <w:szCs w:val="24"/>
          <w:lang w:eastAsia="de-DE"/>
        </w:rPr>
        <w:t xml:space="preserve"> Bedürfnis nach Einzigartigkeit haben und sich daher weniger an der öffentlichen Meinung orientieren (vgl. Aaker/Maheswaran 1997). Wer dort andere überzeugen möchte, sollte unmittelbar mit den Vorteilen argumentieren, die sich aus einer bestimmten Handlung ergeben, oder auf alternative Beeinflussungstechniken zurückgreifen (z.B. Knappheit). </w:t>
      </w:r>
    </w:p>
    <w:p w14:paraId="353F07AF" w14:textId="77777777" w:rsidR="00CF3D78" w:rsidRPr="007F69DA" w:rsidRDefault="00CF3D78" w:rsidP="00CF3D78">
      <w:pPr>
        <w:spacing w:line="360" w:lineRule="auto"/>
        <w:ind w:right="-851"/>
      </w:pPr>
    </w:p>
    <w:p w14:paraId="4E1687EF" w14:textId="77777777" w:rsidR="00CF3D78" w:rsidRPr="006E735E" w:rsidRDefault="00CF3D78" w:rsidP="00CF3D78">
      <w:pPr>
        <w:spacing w:before="180" w:after="180" w:line="240" w:lineRule="atLeast"/>
        <w:jc w:val="both"/>
        <w:rPr>
          <w:i/>
          <w:iCs/>
          <w:szCs w:val="24"/>
          <w:lang w:eastAsia="de-DE"/>
        </w:rPr>
      </w:pPr>
      <w:r w:rsidRPr="006E735E">
        <w:rPr>
          <w:i/>
          <w:iCs/>
          <w:szCs w:val="24"/>
          <w:lang w:eastAsia="de-DE"/>
        </w:rPr>
        <w:t xml:space="preserve">Beliebtheit </w:t>
      </w:r>
    </w:p>
    <w:p w14:paraId="5169C0FA" w14:textId="77777777" w:rsidR="00CF3D78" w:rsidRDefault="00CF3D78" w:rsidP="00CF3D78">
      <w:pPr>
        <w:spacing w:before="180" w:after="180" w:line="240" w:lineRule="atLeast"/>
        <w:jc w:val="both"/>
        <w:rPr>
          <w:szCs w:val="24"/>
          <w:lang w:eastAsia="de-DE"/>
        </w:rPr>
      </w:pPr>
      <w:r w:rsidRPr="007F69DA">
        <w:rPr>
          <w:szCs w:val="24"/>
          <w:lang w:eastAsia="de-DE"/>
        </w:rPr>
        <w:t>Es ist schwer, sympathischen Menschen einen Wunsch abzuschlagen. Folglich setzen Unternehmen alles daran, sympathisch zu erscheinen. Häufig lassen sie Sympathieträger für sich werben. Für die Liking-Strategie eignen sich globale), regionale wie auch nationale Sympathieträger. Zur Erfolgsgeschichte von HARIBO etwa trug die von 1991 bis 2014 andauernde Werbepartnerschaft des deutschen Süßwarenherstellers mit dem Entertainer T. Gottschalk wesentlich bei (vgl. Abb. 1). Der Einsatz prominenter Sympathieträger als „Botschafter des guten Willens“ wird auch als Celebrity-Werbung bezeichnet.</w:t>
      </w:r>
    </w:p>
    <w:p w14:paraId="611D18E6" w14:textId="77777777" w:rsidR="00CF3D78" w:rsidRPr="007F69DA" w:rsidRDefault="00CF3D78" w:rsidP="00CF3D78">
      <w:pPr>
        <w:spacing w:before="180" w:after="180" w:line="240" w:lineRule="atLeast"/>
        <w:jc w:val="both"/>
        <w:rPr>
          <w:szCs w:val="24"/>
          <w:lang w:eastAsia="de-DE"/>
        </w:rPr>
      </w:pPr>
    </w:p>
    <w:p w14:paraId="345126D7" w14:textId="77777777" w:rsidR="00CF3D78" w:rsidRPr="007F69DA" w:rsidRDefault="00CF3D78" w:rsidP="00CF3D78">
      <w:pPr>
        <w:spacing w:before="240" w:after="60"/>
        <w:ind w:left="284" w:rightChars="921" w:right="2026"/>
        <w:jc w:val="center"/>
        <w:rPr>
          <w:i/>
        </w:rPr>
      </w:pPr>
      <w:r w:rsidRPr="007F69DA">
        <w:rPr>
          <w:i/>
        </w:rPr>
        <w:t>Abb. 1: Celebrity-Werbung als Umsetzung der Liking-Strategie</w:t>
      </w:r>
    </w:p>
    <w:p w14:paraId="284BE68A" w14:textId="77777777" w:rsidR="00CF3D78" w:rsidRPr="007F69DA" w:rsidRDefault="00CF3D78" w:rsidP="00CF3D78">
      <w:pPr>
        <w:spacing w:before="240" w:after="60"/>
        <w:ind w:left="284" w:rightChars="921" w:right="2026"/>
      </w:pPr>
      <w:r w:rsidRPr="007F69DA">
        <w:rPr>
          <w:noProof/>
          <w:lang w:eastAsia="de-DE"/>
        </w:rPr>
        <w:drawing>
          <wp:inline distT="0" distB="0" distL="0" distR="0" wp14:anchorId="17C599B5" wp14:editId="12A68228">
            <wp:extent cx="3639820" cy="5462270"/>
            <wp:effectExtent l="0" t="0" r="0" b="508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39820" cy="5462270"/>
                    </a:xfrm>
                    <a:prstGeom prst="rect">
                      <a:avLst/>
                    </a:prstGeom>
                    <a:noFill/>
                  </pic:spPr>
                </pic:pic>
              </a:graphicData>
            </a:graphic>
          </wp:inline>
        </w:drawing>
      </w:r>
    </w:p>
    <w:p w14:paraId="02D80D36" w14:textId="77777777" w:rsidR="00CF3D78" w:rsidRPr="007F69DA" w:rsidRDefault="00CF3D78" w:rsidP="00CF3D78">
      <w:pPr>
        <w:spacing w:before="240" w:after="60"/>
        <w:ind w:left="284" w:rightChars="921" w:right="2026"/>
        <w:rPr>
          <w:lang w:val="en-US"/>
        </w:rPr>
      </w:pPr>
      <w:r w:rsidRPr="007F69DA">
        <w:rPr>
          <w:lang w:val="en-US"/>
        </w:rPr>
        <w:lastRenderedPageBreak/>
        <w:t>Quelle: obs/HARIBO &amp; Co. KG.</w:t>
      </w:r>
    </w:p>
    <w:p w14:paraId="515C2CF9" w14:textId="77777777" w:rsidR="006E735E" w:rsidRDefault="006E735E" w:rsidP="00CF3D78">
      <w:pPr>
        <w:spacing w:before="180" w:after="180" w:line="240" w:lineRule="atLeast"/>
        <w:jc w:val="both"/>
        <w:rPr>
          <w:szCs w:val="24"/>
          <w:lang w:eastAsia="de-DE"/>
        </w:rPr>
      </w:pPr>
    </w:p>
    <w:p w14:paraId="357F7243" w14:textId="24E07102" w:rsidR="00CF3D78" w:rsidRPr="006E735E" w:rsidRDefault="00CF3D78" w:rsidP="00CF3D78">
      <w:pPr>
        <w:spacing w:before="180" w:after="180" w:line="240" w:lineRule="atLeast"/>
        <w:jc w:val="both"/>
        <w:rPr>
          <w:i/>
          <w:iCs/>
          <w:szCs w:val="24"/>
          <w:lang w:eastAsia="de-DE"/>
        </w:rPr>
      </w:pPr>
      <w:r w:rsidRPr="006E735E">
        <w:rPr>
          <w:i/>
          <w:iCs/>
          <w:szCs w:val="24"/>
          <w:lang w:eastAsia="de-DE"/>
        </w:rPr>
        <w:t xml:space="preserve">Autorität </w:t>
      </w:r>
    </w:p>
    <w:p w14:paraId="754F3D2B" w14:textId="77777777" w:rsidR="00CF3D78" w:rsidRPr="007F69DA" w:rsidRDefault="00CF3D78" w:rsidP="00CF3D78">
      <w:pPr>
        <w:spacing w:before="180" w:after="180" w:line="240" w:lineRule="atLeast"/>
        <w:jc w:val="both"/>
        <w:rPr>
          <w:szCs w:val="24"/>
          <w:lang w:eastAsia="de-DE"/>
        </w:rPr>
      </w:pPr>
      <w:r w:rsidRPr="007F69DA">
        <w:rPr>
          <w:szCs w:val="24"/>
          <w:lang w:eastAsia="de-DE"/>
        </w:rPr>
        <w:t xml:space="preserve">Wer sich auf Vorbilder beruft, um andere zu beeinflussen, kann vor allem dort auf Erfolg hoffen, wo Autorität vorbehaltlos anerkannt wird. Dies ist hauptsächlich in Gesellschaften, die Machtdistanz akzeptieren, der Fall. Ein einflussreicher Politiker, Schauspieler oder eine sonstige Person des öffentlichen Lebens, die sich für die Belange eines Unternehmens einsetzt, können in autoritätsaffinen Märkten mehr Goodwill schaffen als ganzseitige Zeitungsanzeigen oder Fernsehspots zur besten Sendezeit. </w:t>
      </w:r>
    </w:p>
    <w:p w14:paraId="7BEAA0BD" w14:textId="77777777" w:rsidR="00CF3D78" w:rsidRPr="007F69DA" w:rsidRDefault="00CF3D78" w:rsidP="00CF3D78">
      <w:pPr>
        <w:spacing w:before="180" w:after="180" w:line="240" w:lineRule="atLeast"/>
        <w:jc w:val="both"/>
        <w:rPr>
          <w:szCs w:val="24"/>
          <w:lang w:eastAsia="de-DE"/>
        </w:rPr>
      </w:pPr>
    </w:p>
    <w:p w14:paraId="73257841" w14:textId="77777777" w:rsidR="00CF3D78" w:rsidRPr="006E735E" w:rsidRDefault="00CF3D78" w:rsidP="00CF3D78">
      <w:pPr>
        <w:spacing w:before="180" w:after="180" w:line="240" w:lineRule="atLeast"/>
        <w:jc w:val="both"/>
        <w:rPr>
          <w:i/>
          <w:iCs/>
          <w:szCs w:val="24"/>
          <w:lang w:eastAsia="de-DE"/>
        </w:rPr>
      </w:pPr>
      <w:r w:rsidRPr="006E735E">
        <w:rPr>
          <w:i/>
          <w:iCs/>
          <w:szCs w:val="24"/>
          <w:lang w:eastAsia="de-DE"/>
        </w:rPr>
        <w:t>Knappheit</w:t>
      </w:r>
    </w:p>
    <w:p w14:paraId="7F8350B8" w14:textId="77777777" w:rsidR="00CF3D78" w:rsidRPr="007F69DA" w:rsidRDefault="00CF3D78" w:rsidP="00CF3D78">
      <w:pPr>
        <w:spacing w:before="180" w:after="180" w:line="240" w:lineRule="atLeast"/>
        <w:jc w:val="both"/>
        <w:rPr>
          <w:szCs w:val="24"/>
          <w:lang w:eastAsia="de-DE"/>
        </w:rPr>
      </w:pPr>
      <w:r w:rsidRPr="007F69DA">
        <w:rPr>
          <w:szCs w:val="24"/>
          <w:lang w:eastAsia="de-DE"/>
        </w:rPr>
        <w:t xml:space="preserve">Was schwer erhältlich ist, erscheint uns wertvoll. Unternehmen nutzen das Scarcity-Prinzip u.a. in der Distributionspolitik, indem sie ihre Angebote exklusiv – d.h. nicht überall – vertreiben. Verknappung ist auch das Ziel, wenn </w:t>
      </w:r>
      <w:r w:rsidRPr="007F69DA">
        <w:rPr>
          <w:szCs w:val="24"/>
          <w:lang w:eastAsia="de-DE"/>
        </w:rPr>
        <w:sym w:font="Symbol" w:char="F0DE"/>
      </w:r>
      <w:r w:rsidRPr="007F69DA">
        <w:rPr>
          <w:szCs w:val="24"/>
          <w:lang w:eastAsia="de-DE"/>
        </w:rPr>
        <w:t xml:space="preserve"> Verkaufsförderungsaktionen oder andere Marketingmaßnahmen zeitlich begrenzt werden. </w:t>
      </w:r>
    </w:p>
    <w:p w14:paraId="6BBC8D77" w14:textId="77777777" w:rsidR="00CF3D78" w:rsidRPr="007F69DA" w:rsidRDefault="00CF3D78">
      <w:pPr>
        <w:pStyle w:val="Listenabsatz"/>
        <w:widowControl/>
        <w:numPr>
          <w:ilvl w:val="0"/>
          <w:numId w:val="67"/>
        </w:numPr>
        <w:autoSpaceDE/>
        <w:autoSpaceDN/>
        <w:spacing w:before="240" w:after="60"/>
        <w:ind w:left="567" w:rightChars="70" w:right="154" w:hanging="283"/>
        <w:contextualSpacing/>
      </w:pPr>
      <w:r w:rsidRPr="007F69DA">
        <w:rPr>
          <w:iCs/>
        </w:rPr>
        <w:t>Ferrero</w:t>
      </w:r>
      <w:r w:rsidRPr="007F69DA">
        <w:t xml:space="preserve"> etwa verfolgt die Knappheitsstrategie, wenn es Jahr für Jahr kundtut, dass </w:t>
      </w:r>
      <w:r w:rsidRPr="007F69DA">
        <w:rPr>
          <w:iCs/>
        </w:rPr>
        <w:t>Mon Chéri</w:t>
      </w:r>
      <w:r w:rsidRPr="007F69DA">
        <w:t xml:space="preserve"> nur in den Wintermonaten erhältlich ist.</w:t>
      </w:r>
    </w:p>
    <w:p w14:paraId="3B8BFA5A" w14:textId="77777777" w:rsidR="00CF3D78" w:rsidRPr="007F69DA" w:rsidRDefault="00CF3D78">
      <w:pPr>
        <w:pStyle w:val="Listenabsatz"/>
        <w:widowControl/>
        <w:numPr>
          <w:ilvl w:val="0"/>
          <w:numId w:val="67"/>
        </w:numPr>
        <w:autoSpaceDE/>
        <w:autoSpaceDN/>
        <w:spacing w:before="240" w:after="60"/>
        <w:ind w:left="567" w:rightChars="70" w:right="154" w:hanging="283"/>
        <w:contextualSpacing/>
      </w:pPr>
      <w:r w:rsidRPr="007F69DA">
        <w:rPr>
          <w:iCs/>
        </w:rPr>
        <w:t>Tchibo</w:t>
      </w:r>
      <w:r w:rsidRPr="007F69DA">
        <w:t xml:space="preserve"> hat Verknappung sogar zum zentralen Geschäftsprinzip erkoren. Die verschiedenen Artikel seines zum Hauptsortiment ausgebauten Nebensortiments (z.B. Haushaltwaren, Kleidung etc.) sind jeweils nur für kurze Zeit erhältlich. Die gezielte Verknappung trägt wesentlich zu ihrer Attraktivität </w:t>
      </w:r>
      <w:r>
        <w:t>bei und provoziert Impulskäufe.</w:t>
      </w:r>
    </w:p>
    <w:p w14:paraId="04102CBC" w14:textId="77777777" w:rsidR="00CF3D78" w:rsidRPr="007F69DA" w:rsidRDefault="00CF3D78" w:rsidP="00CF3D78">
      <w:pPr>
        <w:spacing w:before="180" w:after="180" w:line="240" w:lineRule="atLeast"/>
        <w:jc w:val="both"/>
        <w:rPr>
          <w:szCs w:val="24"/>
          <w:lang w:eastAsia="de-DE"/>
        </w:rPr>
      </w:pPr>
      <w:r w:rsidRPr="007F69DA">
        <w:rPr>
          <w:szCs w:val="24"/>
          <w:lang w:eastAsia="de-DE"/>
        </w:rPr>
        <w:t>Scarcity bedeutet, dass viele Personen um ein knappes Gut konkurrieren. Deshalb verspricht diese Beeinflussungsstrategie in maskulinen Kulturen mehr Erfolg als in femininen Gesellschaften, in denen Rivalität eher unerwünscht ist.</w:t>
      </w:r>
    </w:p>
    <w:p w14:paraId="7B90DA32" w14:textId="77777777" w:rsidR="00CF3D78" w:rsidRPr="007F69DA" w:rsidRDefault="00CF3D78" w:rsidP="00CF3D78">
      <w:pPr>
        <w:pStyle w:val="Literatur"/>
        <w:spacing w:line="240" w:lineRule="auto"/>
        <w:ind w:left="0" w:firstLine="0"/>
        <w:rPr>
          <w:rFonts w:eastAsiaTheme="minorHAnsi" w:cstheme="minorBidi"/>
          <w:sz w:val="22"/>
          <w:szCs w:val="22"/>
          <w:lang w:eastAsia="en-US"/>
        </w:rPr>
      </w:pPr>
      <w:r w:rsidRPr="007F69DA">
        <w:rPr>
          <w:rFonts w:eastAsiaTheme="minorHAnsi" w:cstheme="minorBidi"/>
          <w:i/>
          <w:noProof/>
          <w:sz w:val="22"/>
          <w:szCs w:val="22"/>
          <w:u w:val="single"/>
          <w:lang w:val="en-US" w:eastAsia="en-US"/>
        </w:rPr>
        <w:t>Literatur:</w:t>
      </w:r>
      <w:r w:rsidRPr="007F69DA">
        <w:rPr>
          <w:rFonts w:eastAsiaTheme="minorHAnsi" w:cstheme="minorBidi"/>
          <w:i/>
          <w:noProof/>
          <w:sz w:val="22"/>
          <w:szCs w:val="22"/>
          <w:lang w:val="en-US" w:eastAsia="en-US"/>
        </w:rPr>
        <w:t xml:space="preserve"> </w:t>
      </w:r>
      <w:r w:rsidRPr="007F69DA">
        <w:rPr>
          <w:rFonts w:eastAsiaTheme="minorHAnsi" w:cstheme="minorBidi"/>
          <w:sz w:val="22"/>
          <w:szCs w:val="22"/>
          <w:lang w:val="en-US" w:eastAsia="en-US"/>
        </w:rPr>
        <w:t xml:space="preserve">Aaker, J.L.; Maheswaran, D. (1997): The Effect of Cultural Orientation on Persuasion, Journal of Consumer Research, 24(4): 315-328.   Cialdini, R.B. (2001): Influence. Science and Practice, 4th Ed., Boston/MA: Allyn &amp; Bacon.    Ferguson, E.; France, C.R.; Abraham, C.; Ditto, B.; Sheeran, P. (2007): Improving Blood Donor Recruitment and Retention. Integrating Theoretical Advances from Social and Behavioral Science Research Agendas, Transfusion, 47(11): 1999-2010.   Festinger, L. (1957): A Theory of Cognitive Dissonance, Stanford/CA: Stanford University Press.   </w:t>
      </w:r>
      <w:r w:rsidRPr="007F69DA">
        <w:rPr>
          <w:rFonts w:eastAsiaTheme="minorHAnsi" w:cstheme="minorBidi"/>
          <w:sz w:val="22"/>
          <w:szCs w:val="22"/>
          <w:lang w:eastAsia="en-US"/>
        </w:rPr>
        <w:t xml:space="preserve">Hofstede, G. (1984): Cultures’ Consequences, Newbury Park/CA: Sage.   Reichelt, I. (1997): Möchtegern-Cowboys von Colorado, Sächsische Zeitung, 52(10): 61.   von Glasenapp, H. (2011): Die fünf Weltreligionen. Brahmanismus, Buddhismus, chinesischer Universismus, Christentum, Islam, 11. Aufl., München: Diederichs. </w:t>
      </w:r>
    </w:p>
    <w:p w14:paraId="7F0FAF50" w14:textId="77777777" w:rsidR="00CF3D78" w:rsidRPr="007F69DA" w:rsidRDefault="00CF3D78" w:rsidP="00CF3D78">
      <w:pPr>
        <w:spacing w:before="180" w:after="180" w:line="240" w:lineRule="atLeast"/>
        <w:jc w:val="both"/>
        <w:rPr>
          <w:b/>
          <w:color w:val="2E74B5"/>
        </w:rPr>
      </w:pPr>
    </w:p>
    <w:p w14:paraId="0E05AA37" w14:textId="77777777" w:rsidR="00FF7799" w:rsidRPr="00E73F6F" w:rsidRDefault="00FF7799" w:rsidP="005A7326">
      <w:pPr>
        <w:pStyle w:val="berschrift1"/>
      </w:pPr>
      <w:r w:rsidRPr="008E049F">
        <w:rPr>
          <w:color w:val="2F5496" w:themeColor="accent5" w:themeShade="BF"/>
        </w:rPr>
        <w:t>Benefit-Segmentierung</w:t>
      </w:r>
      <w:r w:rsidRPr="00E73F6F">
        <w:rPr>
          <w:b w:val="0"/>
          <w:spacing w:val="-14"/>
        </w:rPr>
        <w:t xml:space="preserve"> </w:t>
      </w:r>
      <w:r w:rsidRPr="00E73F6F">
        <w:rPr>
          <w:b w:val="0"/>
        </w:rPr>
        <w:t>→</w:t>
      </w:r>
      <w:r w:rsidRPr="00E73F6F">
        <w:rPr>
          <w:b w:val="0"/>
          <w:spacing w:val="-8"/>
        </w:rPr>
        <w:t xml:space="preserve"> </w:t>
      </w:r>
      <w:r w:rsidRPr="00E73F6F">
        <w:rPr>
          <w:b w:val="0"/>
        </w:rPr>
        <w:t>Zielgruppen</w:t>
      </w:r>
    </w:p>
    <w:p w14:paraId="0A5FC9A3" w14:textId="77777777" w:rsidR="00FF7799" w:rsidRPr="008E049F" w:rsidRDefault="00FF7799" w:rsidP="005A7326">
      <w:pPr>
        <w:pStyle w:val="berschrift1"/>
        <w:rPr>
          <w:color w:val="2F5496" w:themeColor="accent5" w:themeShade="BF"/>
        </w:rPr>
      </w:pPr>
      <w:r w:rsidRPr="008E049F">
        <w:rPr>
          <w:color w:val="2F5496" w:themeColor="accent5" w:themeShade="BF"/>
        </w:rPr>
        <w:t>Bereitschaft zum Kauf ausländischer Produkte</w:t>
      </w:r>
    </w:p>
    <w:p w14:paraId="17C73AE6" w14:textId="77777777" w:rsidR="00FF7799" w:rsidRPr="00E73F6F" w:rsidRDefault="00FF7799" w:rsidP="00EC4358">
      <w:pPr>
        <w:pStyle w:val="StandardText"/>
      </w:pPr>
      <w:r w:rsidRPr="00E73F6F">
        <w:t xml:space="preserve">ist einerseits abhängig von der wahrgenommenen Produktqualität, andererseits aber auch und bisweilen vor allem von Einstellungen wie </w:t>
      </w:r>
      <w:r w:rsidR="004B24AB">
        <w:sym w:font="Symbol" w:char="F0DE"/>
      </w:r>
      <w:r w:rsidR="004B24AB">
        <w:t xml:space="preserve"> </w:t>
      </w:r>
      <w:r w:rsidRPr="00E73F6F">
        <w:t xml:space="preserve">Animosität, </w:t>
      </w:r>
      <w:r w:rsidR="004B24AB">
        <w:sym w:font="Symbol" w:char="F0DE"/>
      </w:r>
      <w:r w:rsidR="004B24AB">
        <w:t xml:space="preserve"> </w:t>
      </w:r>
      <w:r w:rsidRPr="00E73F6F">
        <w:t>Ethnozentrismus</w:t>
      </w:r>
      <w:r w:rsidRPr="00E73F6F">
        <w:rPr>
          <w:spacing w:val="57"/>
        </w:rPr>
        <w:t xml:space="preserve"> </w:t>
      </w:r>
      <w:r w:rsidRPr="00E73F6F">
        <w:t>oder</w:t>
      </w:r>
      <w:r w:rsidRPr="00E73F6F">
        <w:rPr>
          <w:spacing w:val="58"/>
        </w:rPr>
        <w:t xml:space="preserve"> </w:t>
      </w:r>
      <w:r w:rsidR="004B24AB">
        <w:rPr>
          <w:spacing w:val="58"/>
        </w:rPr>
        <w:sym w:font="Symbol" w:char="F0DE"/>
      </w:r>
      <w:r w:rsidRPr="00E73F6F">
        <w:t>Xenophobie.</w:t>
      </w:r>
      <w:r w:rsidRPr="00E73F6F">
        <w:rPr>
          <w:spacing w:val="61"/>
        </w:rPr>
        <w:t xml:space="preserve"> </w:t>
      </w:r>
      <w:r w:rsidRPr="00E73F6F">
        <w:t>Einige</w:t>
      </w:r>
      <w:r w:rsidRPr="00E73F6F">
        <w:rPr>
          <w:spacing w:val="57"/>
        </w:rPr>
        <w:t xml:space="preserve"> </w:t>
      </w:r>
      <w:r w:rsidRPr="00E73F6F">
        <w:t>primärstatistische</w:t>
      </w:r>
      <w:r w:rsidRPr="00E73F6F">
        <w:rPr>
          <w:spacing w:val="60"/>
        </w:rPr>
        <w:t xml:space="preserve"> </w:t>
      </w:r>
      <w:r w:rsidRPr="00E73F6F">
        <w:t>Studien</w:t>
      </w:r>
      <w:r w:rsidRPr="00E73F6F">
        <w:rPr>
          <w:spacing w:val="59"/>
        </w:rPr>
        <w:t xml:space="preserve"> </w:t>
      </w:r>
      <w:r w:rsidRPr="00E73F6F">
        <w:t>der</w:t>
      </w:r>
      <w:r w:rsidRPr="00E73F6F">
        <w:rPr>
          <w:spacing w:val="68"/>
        </w:rPr>
        <w:t xml:space="preserve"> </w:t>
      </w:r>
      <w:r w:rsidR="004B24AB">
        <w:rPr>
          <w:spacing w:val="-10"/>
        </w:rPr>
        <w:sym w:font="Symbol" w:char="F0DE"/>
      </w:r>
      <w:r w:rsidRPr="00E73F6F">
        <w:rPr>
          <w:spacing w:val="-10"/>
        </w:rPr>
        <w:t xml:space="preserve"> </w:t>
      </w:r>
      <w:r w:rsidRPr="00E73F6F">
        <w:t>Country of Origin-Forschung lassen vermuten: Je mehr sich Exportland und Importland unterscheiden (d.h. je größer die wahrgenommene psychische und kulturelle Distanz zwischen beiden), desto weniger vorteilhaft erscheinen Angehörige des einen</w:t>
      </w:r>
      <w:r w:rsidRPr="00E73F6F">
        <w:rPr>
          <w:spacing w:val="-1"/>
        </w:rPr>
        <w:t xml:space="preserve"> </w:t>
      </w:r>
      <w:r w:rsidRPr="00E73F6F">
        <w:t>Landes Produkte, die aus dem</w:t>
      </w:r>
      <w:r w:rsidRPr="00E73F6F">
        <w:rPr>
          <w:spacing w:val="-1"/>
        </w:rPr>
        <w:t xml:space="preserve"> </w:t>
      </w:r>
      <w:r w:rsidRPr="00E73F6F">
        <w:t>anderen</w:t>
      </w:r>
      <w:r w:rsidRPr="00E73F6F">
        <w:rPr>
          <w:spacing w:val="-1"/>
        </w:rPr>
        <w:t xml:space="preserve"> </w:t>
      </w:r>
      <w:r w:rsidRPr="00E73F6F">
        <w:t>Land</w:t>
      </w:r>
      <w:r w:rsidRPr="00E73F6F">
        <w:rPr>
          <w:spacing w:val="-1"/>
        </w:rPr>
        <w:t xml:space="preserve"> </w:t>
      </w:r>
      <w:r w:rsidRPr="00E73F6F">
        <w:t>stammen, und desto geringer ist die Kaufbereitschaft (</w:t>
      </w:r>
      <w:r w:rsidRPr="00E73F6F">
        <w:rPr>
          <w:rFonts w:ascii="Cambria Math" w:hAnsi="Cambria Math" w:cs="Cambria Math"/>
        </w:rPr>
        <w:t>⇒</w:t>
      </w:r>
      <w:r w:rsidRPr="00E73F6F">
        <w:t xml:space="preserve"> Distanz, kulturelle). Eine bedeutsame intervenierende Variable ist </w:t>
      </w:r>
      <w:r w:rsidRPr="00E73F6F">
        <w:lastRenderedPageBreak/>
        <w:t>dabei der ökonomische Entwicklungsstand: Amerikanischen Probanden bspw. erscheinen wirtschaftlich schwächere Länder auch kulturell distanter als wirtschaftlich starke Länder.</w:t>
      </w:r>
    </w:p>
    <w:p w14:paraId="512B445F" w14:textId="77777777" w:rsidR="00177529" w:rsidRPr="00E73F6F" w:rsidRDefault="00177529" w:rsidP="00EC4358">
      <w:pPr>
        <w:pStyle w:val="StandardText"/>
      </w:pPr>
    </w:p>
    <w:p w14:paraId="03EAE0E8" w14:textId="77777777" w:rsidR="00FF7799" w:rsidRPr="008E049F" w:rsidRDefault="00FF7799" w:rsidP="005A7326">
      <w:pPr>
        <w:pStyle w:val="berschrift1"/>
        <w:rPr>
          <w:color w:val="2F5496" w:themeColor="accent5" w:themeShade="BF"/>
        </w:rPr>
      </w:pPr>
      <w:r w:rsidRPr="008E049F">
        <w:rPr>
          <w:color w:val="2F5496" w:themeColor="accent5" w:themeShade="BF"/>
        </w:rPr>
        <w:t>Beschwerde</w:t>
      </w:r>
    </w:p>
    <w:p w14:paraId="64C2E970" w14:textId="77777777" w:rsidR="00FF7799" w:rsidRPr="00E73F6F" w:rsidRDefault="00FF7799" w:rsidP="00EC4358">
      <w:pPr>
        <w:pStyle w:val="StandardText"/>
      </w:pPr>
      <w:r w:rsidRPr="00E73F6F">
        <w:t>gegenüber dem Anbieter einer Leistung artikulierte Unzufriedenheit mit dem Prozess bzw. dem Ergebnis der Leistungserbringung. Befragungen in China, Thailand, den USA, Norwegen und Venezuela ergaben, dass Konsumenten aus wirtschaftlich entwickelteren Ländern gegenüber Beschwerden vergleichsweise positiv eingestellt sind. So berichten Hernandez et al. (1991), dass US- amerikanische</w:t>
      </w:r>
      <w:r w:rsidRPr="00E73F6F">
        <w:rPr>
          <w:spacing w:val="-12"/>
        </w:rPr>
        <w:t xml:space="preserve"> </w:t>
      </w:r>
      <w:r w:rsidRPr="00E73F6F">
        <w:t>Käufer</w:t>
      </w:r>
      <w:r w:rsidRPr="00E73F6F">
        <w:rPr>
          <w:spacing w:val="-10"/>
        </w:rPr>
        <w:t xml:space="preserve"> </w:t>
      </w:r>
      <w:r w:rsidRPr="00E73F6F">
        <w:t>eines</w:t>
      </w:r>
      <w:r w:rsidRPr="00E73F6F">
        <w:rPr>
          <w:spacing w:val="-12"/>
        </w:rPr>
        <w:t xml:space="preserve"> </w:t>
      </w:r>
      <w:r w:rsidRPr="00E73F6F">
        <w:t>fehlerhaften</w:t>
      </w:r>
      <w:r w:rsidRPr="00E73F6F">
        <w:rPr>
          <w:spacing w:val="-9"/>
        </w:rPr>
        <w:t xml:space="preserve"> </w:t>
      </w:r>
      <w:r w:rsidRPr="00E73F6F">
        <w:t>Videorecorders</w:t>
      </w:r>
      <w:r w:rsidRPr="00E73F6F">
        <w:rPr>
          <w:spacing w:val="-12"/>
        </w:rPr>
        <w:t xml:space="preserve"> </w:t>
      </w:r>
      <w:r w:rsidRPr="00E73F6F">
        <w:t>sich</w:t>
      </w:r>
      <w:r w:rsidRPr="00E73F6F">
        <w:rPr>
          <w:spacing w:val="-9"/>
        </w:rPr>
        <w:t xml:space="preserve"> </w:t>
      </w:r>
      <w:r w:rsidRPr="00E73F6F">
        <w:t>häufiger</w:t>
      </w:r>
      <w:r w:rsidRPr="00E73F6F">
        <w:rPr>
          <w:spacing w:val="-11"/>
        </w:rPr>
        <w:t xml:space="preserve"> </w:t>
      </w:r>
      <w:r w:rsidRPr="00E73F6F">
        <w:t>beschweren als in einem vergleichbaren Fall puertoricanische Käufer. Die Autoren machten hierfür primär objektive Gründe verantwortlich. Da damals viele Puerto Ricaner ihren Videorecorder in den USA kauften, sei es ihnen aufgrund der großen räumlichen Distanz schwer gefallen, sich zu beschweren. Villareal-Camacho (1983) hingegen begründete ihren Befund, dass Mexikaner seltener Beschwerde führen als US-Amerikaner, mit kulturspezifischer Ursachenattribution. Demzufolge haben Mexikaner primär den Leistungsprozess vor Augen und sind geneigt,</w:t>
      </w:r>
      <w:r w:rsidRPr="00E73F6F">
        <w:rPr>
          <w:spacing w:val="-12"/>
        </w:rPr>
        <w:t xml:space="preserve"> </w:t>
      </w:r>
      <w:r w:rsidRPr="00E73F6F">
        <w:t>etwaige</w:t>
      </w:r>
      <w:r w:rsidRPr="00E73F6F">
        <w:rPr>
          <w:spacing w:val="-11"/>
        </w:rPr>
        <w:t xml:space="preserve"> </w:t>
      </w:r>
      <w:r w:rsidRPr="00E73F6F">
        <w:t>Mängel</w:t>
      </w:r>
      <w:r w:rsidRPr="00E73F6F">
        <w:rPr>
          <w:spacing w:val="-11"/>
        </w:rPr>
        <w:t xml:space="preserve"> </w:t>
      </w:r>
      <w:r w:rsidRPr="00E73F6F">
        <w:t>durch</w:t>
      </w:r>
      <w:r w:rsidRPr="00E73F6F">
        <w:rPr>
          <w:spacing w:val="-11"/>
        </w:rPr>
        <w:t xml:space="preserve"> </w:t>
      </w:r>
      <w:r w:rsidRPr="00E73F6F">
        <w:t>eine</w:t>
      </w:r>
      <w:r w:rsidRPr="00E73F6F">
        <w:rPr>
          <w:spacing w:val="-11"/>
        </w:rPr>
        <w:t xml:space="preserve"> </w:t>
      </w:r>
      <w:r w:rsidRPr="00E73F6F">
        <w:t>variable,</w:t>
      </w:r>
      <w:r w:rsidRPr="00E73F6F">
        <w:rPr>
          <w:spacing w:val="-11"/>
        </w:rPr>
        <w:t xml:space="preserve"> </w:t>
      </w:r>
      <w:r w:rsidRPr="00E73F6F">
        <w:t>situative</w:t>
      </w:r>
      <w:r w:rsidRPr="00E73F6F">
        <w:rPr>
          <w:spacing w:val="-12"/>
        </w:rPr>
        <w:t xml:space="preserve"> </w:t>
      </w:r>
      <w:r w:rsidRPr="00E73F6F">
        <w:t>Erklärung</w:t>
      </w:r>
      <w:r w:rsidRPr="00E73F6F">
        <w:rPr>
          <w:spacing w:val="-10"/>
        </w:rPr>
        <w:t xml:space="preserve"> </w:t>
      </w:r>
      <w:r w:rsidRPr="00E73F6F">
        <w:t>zu</w:t>
      </w:r>
      <w:r w:rsidRPr="00E73F6F">
        <w:rPr>
          <w:spacing w:val="-11"/>
        </w:rPr>
        <w:t xml:space="preserve"> </w:t>
      </w:r>
      <w:r w:rsidRPr="00E73F6F">
        <w:t>entschuldigen, während US-Amerikaner auf das Leistungsergebnis, d.h. das fehlerhafte Produkt fokussieren und eher stabil attribuieren. Die meisten Studien, welche den westlichen und den konfuzianischen Kulturraum vergleichen, kommen zu dem Ergebnis, dass die Bewohner des ostasiatischen</w:t>
      </w:r>
      <w:r w:rsidRPr="00E73F6F">
        <w:rPr>
          <w:spacing w:val="40"/>
        </w:rPr>
        <w:t xml:space="preserve"> </w:t>
      </w:r>
      <w:r w:rsidRPr="00E73F6F">
        <w:t>Kulturraumes (China, Japan, Singapur etc.) sich mit geringerer Wahrscheinlichkeit beschweren als westlich sozialisierte Käufer. Erklärt wird dies zum einen mit dem besonderen</w:t>
      </w:r>
      <w:r w:rsidRPr="00E73F6F">
        <w:rPr>
          <w:spacing w:val="40"/>
        </w:rPr>
        <w:t xml:space="preserve"> </w:t>
      </w:r>
      <w:r w:rsidRPr="00E73F6F">
        <w:t>Bedürfnis der</w:t>
      </w:r>
      <w:r w:rsidRPr="00E73F6F">
        <w:rPr>
          <w:spacing w:val="40"/>
        </w:rPr>
        <w:t xml:space="preserve"> </w:t>
      </w:r>
      <w:r w:rsidRPr="00E73F6F">
        <w:t>konfuzianisch geprägten</w:t>
      </w:r>
      <w:r w:rsidRPr="00E73F6F">
        <w:rPr>
          <w:spacing w:val="40"/>
        </w:rPr>
        <w:t xml:space="preserve"> </w:t>
      </w:r>
      <w:r w:rsidRPr="00E73F6F">
        <w:t>Gesellschaften nach</w:t>
      </w:r>
      <w:r w:rsidRPr="00E73F6F">
        <w:rPr>
          <w:spacing w:val="40"/>
        </w:rPr>
        <w:t xml:space="preserve"> </w:t>
      </w:r>
      <w:r w:rsidRPr="00E73F6F">
        <w:t>Harmonie. Zum anderen geht man</w:t>
      </w:r>
      <w:r w:rsidRPr="00E73F6F">
        <w:rPr>
          <w:spacing w:val="-12"/>
        </w:rPr>
        <w:t xml:space="preserve"> </w:t>
      </w:r>
      <w:r w:rsidRPr="00E73F6F">
        <w:t>davon</w:t>
      </w:r>
      <w:r w:rsidRPr="00E73F6F">
        <w:rPr>
          <w:spacing w:val="-10"/>
        </w:rPr>
        <w:t xml:space="preserve"> </w:t>
      </w:r>
      <w:r w:rsidRPr="00E73F6F">
        <w:t>aus,</w:t>
      </w:r>
      <w:r w:rsidRPr="00E73F6F">
        <w:rPr>
          <w:spacing w:val="-11"/>
        </w:rPr>
        <w:t xml:space="preserve"> </w:t>
      </w:r>
      <w:r w:rsidRPr="00E73F6F">
        <w:t>dass</w:t>
      </w:r>
      <w:r w:rsidRPr="00E73F6F">
        <w:rPr>
          <w:spacing w:val="-12"/>
        </w:rPr>
        <w:t xml:space="preserve"> </w:t>
      </w:r>
      <w:r w:rsidRPr="00E73F6F">
        <w:t>Angehörige</w:t>
      </w:r>
      <w:r w:rsidRPr="00E73F6F">
        <w:rPr>
          <w:spacing w:val="19"/>
        </w:rPr>
        <w:t xml:space="preserve"> </w:t>
      </w:r>
      <w:r w:rsidRPr="00E73F6F">
        <w:t>kollektivistischer</w:t>
      </w:r>
      <w:r w:rsidRPr="00E73F6F">
        <w:rPr>
          <w:spacing w:val="23"/>
        </w:rPr>
        <w:t xml:space="preserve"> </w:t>
      </w:r>
      <w:r w:rsidRPr="00E73F6F">
        <w:t>Kulturen,</w:t>
      </w:r>
      <w:r w:rsidRPr="00E73F6F">
        <w:rPr>
          <w:spacing w:val="-11"/>
        </w:rPr>
        <w:t xml:space="preserve"> </w:t>
      </w:r>
      <w:r w:rsidRPr="00E73F6F">
        <w:t>generell</w:t>
      </w:r>
      <w:r w:rsidRPr="00E73F6F">
        <w:rPr>
          <w:spacing w:val="-11"/>
        </w:rPr>
        <w:t xml:space="preserve"> </w:t>
      </w:r>
      <w:r w:rsidRPr="00E73F6F">
        <w:t>loyaler</w:t>
      </w:r>
      <w:r w:rsidRPr="00E73F6F">
        <w:rPr>
          <w:spacing w:val="-12"/>
        </w:rPr>
        <w:t xml:space="preserve"> </w:t>
      </w:r>
      <w:r w:rsidRPr="00E73F6F">
        <w:t>sind als Individualisten,</w:t>
      </w:r>
      <w:r w:rsidRPr="00E73F6F">
        <w:rPr>
          <w:spacing w:val="40"/>
        </w:rPr>
        <w:t xml:space="preserve"> </w:t>
      </w:r>
      <w:r w:rsidRPr="00E73F6F">
        <w:t>auch „ihrem“ Unternehmen gegenüber. Selbst wenn sie schlechte</w:t>
      </w:r>
      <w:r w:rsidRPr="00E73F6F">
        <w:rPr>
          <w:spacing w:val="-11"/>
        </w:rPr>
        <w:t xml:space="preserve"> </w:t>
      </w:r>
      <w:r w:rsidRPr="00E73F6F">
        <w:t>Erfahrungen</w:t>
      </w:r>
      <w:r w:rsidRPr="00E73F6F">
        <w:rPr>
          <w:spacing w:val="-11"/>
        </w:rPr>
        <w:t xml:space="preserve"> </w:t>
      </w:r>
      <w:r w:rsidRPr="00E73F6F">
        <w:t>gemacht</w:t>
      </w:r>
      <w:r w:rsidRPr="00E73F6F">
        <w:rPr>
          <w:spacing w:val="-10"/>
        </w:rPr>
        <w:t xml:space="preserve"> </w:t>
      </w:r>
      <w:r w:rsidRPr="00E73F6F">
        <w:t>haben,</w:t>
      </w:r>
      <w:r w:rsidRPr="00E73F6F">
        <w:rPr>
          <w:spacing w:val="-10"/>
        </w:rPr>
        <w:t xml:space="preserve"> </w:t>
      </w:r>
      <w:r w:rsidRPr="00E73F6F">
        <w:t>ist</w:t>
      </w:r>
      <w:r w:rsidRPr="00E73F6F">
        <w:rPr>
          <w:spacing w:val="-10"/>
        </w:rPr>
        <w:t xml:space="preserve"> </w:t>
      </w:r>
      <w:r w:rsidRPr="00E73F6F">
        <w:t>es</w:t>
      </w:r>
      <w:r w:rsidRPr="00E73F6F">
        <w:rPr>
          <w:spacing w:val="-11"/>
        </w:rPr>
        <w:t xml:space="preserve"> </w:t>
      </w:r>
      <w:r w:rsidRPr="00E73F6F">
        <w:t>wenig</w:t>
      </w:r>
      <w:r w:rsidRPr="00E73F6F">
        <w:rPr>
          <w:spacing w:val="-9"/>
        </w:rPr>
        <w:t xml:space="preserve"> </w:t>
      </w:r>
      <w:r w:rsidRPr="00E73F6F">
        <w:t>wahrscheinlich,</w:t>
      </w:r>
      <w:r w:rsidRPr="00E73F6F">
        <w:rPr>
          <w:spacing w:val="-12"/>
        </w:rPr>
        <w:t xml:space="preserve"> </w:t>
      </w:r>
      <w:r w:rsidRPr="00E73F6F">
        <w:t>dass</w:t>
      </w:r>
      <w:r w:rsidRPr="00E73F6F">
        <w:rPr>
          <w:spacing w:val="-10"/>
        </w:rPr>
        <w:t xml:space="preserve"> </w:t>
      </w:r>
      <w:r w:rsidRPr="00E73F6F">
        <w:t>sich</w:t>
      </w:r>
      <w:r w:rsidRPr="00E73F6F">
        <w:rPr>
          <w:spacing w:val="-9"/>
        </w:rPr>
        <w:t xml:space="preserve"> </w:t>
      </w:r>
      <w:r w:rsidRPr="00E73F6F">
        <w:t>diese Kunden</w:t>
      </w:r>
      <w:r w:rsidRPr="00E73F6F">
        <w:rPr>
          <w:spacing w:val="-12"/>
        </w:rPr>
        <w:t xml:space="preserve"> </w:t>
      </w:r>
      <w:r w:rsidRPr="00E73F6F">
        <w:t>beschweren</w:t>
      </w:r>
      <w:r w:rsidRPr="00E73F6F">
        <w:rPr>
          <w:spacing w:val="-11"/>
        </w:rPr>
        <w:t xml:space="preserve"> </w:t>
      </w:r>
      <w:r w:rsidRPr="00E73F6F">
        <w:t>(vgl.</w:t>
      </w:r>
      <w:r w:rsidRPr="00E73F6F">
        <w:rPr>
          <w:spacing w:val="-11"/>
        </w:rPr>
        <w:t xml:space="preserve"> </w:t>
      </w:r>
      <w:r w:rsidRPr="00E73F6F">
        <w:t>z.B.</w:t>
      </w:r>
      <w:r w:rsidRPr="00E73F6F">
        <w:rPr>
          <w:spacing w:val="-11"/>
        </w:rPr>
        <w:t xml:space="preserve"> </w:t>
      </w:r>
      <w:r w:rsidRPr="00E73F6F">
        <w:t>Lowe/Corkindale</w:t>
      </w:r>
      <w:r w:rsidRPr="00E73F6F">
        <w:rPr>
          <w:spacing w:val="-12"/>
        </w:rPr>
        <w:t xml:space="preserve"> </w:t>
      </w:r>
      <w:r w:rsidRPr="00E73F6F">
        <w:t>1998;</w:t>
      </w:r>
      <w:r w:rsidRPr="00E73F6F">
        <w:rPr>
          <w:spacing w:val="-11"/>
        </w:rPr>
        <w:t xml:space="preserve"> </w:t>
      </w:r>
      <w:r w:rsidRPr="00E73F6F">
        <w:t>Watkins/Liu</w:t>
      </w:r>
      <w:r w:rsidRPr="00E73F6F">
        <w:rPr>
          <w:spacing w:val="-11"/>
        </w:rPr>
        <w:t xml:space="preserve"> </w:t>
      </w:r>
      <w:r w:rsidRPr="00E73F6F">
        <w:t>1996;</w:t>
      </w:r>
      <w:r w:rsidRPr="00E73F6F">
        <w:rPr>
          <w:spacing w:val="-11"/>
        </w:rPr>
        <w:t xml:space="preserve"> </w:t>
      </w:r>
      <w:r w:rsidRPr="00E73F6F">
        <w:t xml:space="preserve">Thorelli </w:t>
      </w:r>
      <w:r w:rsidRPr="00E73F6F">
        <w:rPr>
          <w:spacing w:val="-2"/>
        </w:rPr>
        <w:t>1983).</w:t>
      </w:r>
    </w:p>
    <w:p w14:paraId="248260A1" w14:textId="77777777" w:rsidR="00FF7799" w:rsidRDefault="00FF7799" w:rsidP="00EC4358">
      <w:pPr>
        <w:pStyle w:val="StandardText"/>
      </w:pPr>
      <w:r w:rsidRPr="00E73F6F">
        <w:t>Freilich neigen „Kollektivisten“ dann verstärkt dazu, in ihrer In-Group über das kritische Ereignis zu berichten und negative Mund-zu-Mund-Propaganda zu betreiben. Dies wiederum führt dazu, dass in diesem Kulturraum persönlich übermittelte Negativinformationen nachhaltig Beachtung finden. Hat man sich allerdings schließlich dazu entschlossen, ein Produkt, den Hersteller oder den Händler</w:t>
      </w:r>
      <w:r w:rsidRPr="00E73F6F">
        <w:rPr>
          <w:spacing w:val="-2"/>
        </w:rPr>
        <w:t xml:space="preserve"> </w:t>
      </w:r>
      <w:r w:rsidRPr="00E73F6F">
        <w:t>zu</w:t>
      </w:r>
      <w:r w:rsidRPr="00E73F6F">
        <w:rPr>
          <w:spacing w:val="-2"/>
        </w:rPr>
        <w:t xml:space="preserve"> </w:t>
      </w:r>
      <w:r w:rsidRPr="00E73F6F">
        <w:t>wechseln,</w:t>
      </w:r>
      <w:r w:rsidRPr="00E73F6F">
        <w:rPr>
          <w:spacing w:val="-2"/>
        </w:rPr>
        <w:t xml:space="preserve"> </w:t>
      </w:r>
      <w:r w:rsidRPr="00E73F6F">
        <w:t>so ist</w:t>
      </w:r>
      <w:r w:rsidRPr="00E73F6F">
        <w:rPr>
          <w:spacing w:val="-3"/>
        </w:rPr>
        <w:t xml:space="preserve"> </w:t>
      </w:r>
      <w:r w:rsidRPr="00E73F6F">
        <w:t>die</w:t>
      </w:r>
      <w:r w:rsidRPr="00E73F6F">
        <w:rPr>
          <w:spacing w:val="-3"/>
        </w:rPr>
        <w:t xml:space="preserve"> </w:t>
      </w:r>
      <w:r w:rsidRPr="00E73F6F">
        <w:t>Abwanderung</w:t>
      </w:r>
      <w:r w:rsidRPr="00E73F6F">
        <w:rPr>
          <w:spacing w:val="-2"/>
        </w:rPr>
        <w:t xml:space="preserve"> </w:t>
      </w:r>
      <w:r w:rsidRPr="00E73F6F">
        <w:t>im</w:t>
      </w:r>
      <w:r w:rsidRPr="00E73F6F">
        <w:rPr>
          <w:spacing w:val="-2"/>
        </w:rPr>
        <w:t xml:space="preserve"> </w:t>
      </w:r>
      <w:r w:rsidRPr="00E73F6F">
        <w:t>Regelfall</w:t>
      </w:r>
      <w:r w:rsidRPr="00E73F6F">
        <w:rPr>
          <w:spacing w:val="-2"/>
        </w:rPr>
        <w:t xml:space="preserve"> </w:t>
      </w:r>
      <w:r w:rsidRPr="00E73F6F">
        <w:t>endgültig.</w:t>
      </w:r>
      <w:r w:rsidRPr="00E73F6F">
        <w:rPr>
          <w:spacing w:val="-2"/>
        </w:rPr>
        <w:t xml:space="preserve"> </w:t>
      </w:r>
      <w:r w:rsidRPr="00E73F6F">
        <w:t>Umso</w:t>
      </w:r>
      <w:r w:rsidRPr="00E73F6F">
        <w:rPr>
          <w:spacing w:val="-2"/>
        </w:rPr>
        <w:t xml:space="preserve"> </w:t>
      </w:r>
      <w:r w:rsidRPr="00E73F6F">
        <w:rPr>
          <w:spacing w:val="-4"/>
        </w:rPr>
        <w:t xml:space="preserve">mehr </w:t>
      </w:r>
      <w:r w:rsidRPr="00E73F6F">
        <w:t>bedarf</w:t>
      </w:r>
      <w:r w:rsidRPr="00E73F6F">
        <w:rPr>
          <w:spacing w:val="-4"/>
        </w:rPr>
        <w:t xml:space="preserve"> </w:t>
      </w:r>
      <w:r w:rsidRPr="00E73F6F">
        <w:t>es</w:t>
      </w:r>
      <w:r w:rsidRPr="00E73F6F">
        <w:rPr>
          <w:spacing w:val="-4"/>
        </w:rPr>
        <w:t xml:space="preserve"> </w:t>
      </w:r>
      <w:r w:rsidRPr="00E73F6F">
        <w:t>in</w:t>
      </w:r>
      <w:r w:rsidRPr="00E73F6F">
        <w:rPr>
          <w:spacing w:val="-5"/>
        </w:rPr>
        <w:t xml:space="preserve"> </w:t>
      </w:r>
      <w:r w:rsidRPr="00E73F6F">
        <w:t>diesen</w:t>
      </w:r>
      <w:r w:rsidRPr="00E73F6F">
        <w:rPr>
          <w:spacing w:val="-3"/>
        </w:rPr>
        <w:t xml:space="preserve"> </w:t>
      </w:r>
      <w:r w:rsidRPr="00E73F6F">
        <w:t>Ländern</w:t>
      </w:r>
      <w:r w:rsidRPr="00E73F6F">
        <w:rPr>
          <w:spacing w:val="-5"/>
        </w:rPr>
        <w:t xml:space="preserve"> </w:t>
      </w:r>
      <w:r w:rsidRPr="00E73F6F">
        <w:t>eines</w:t>
      </w:r>
      <w:r w:rsidRPr="00E73F6F">
        <w:rPr>
          <w:spacing w:val="-7"/>
        </w:rPr>
        <w:t xml:space="preserve"> </w:t>
      </w:r>
      <w:r w:rsidRPr="00E73F6F">
        <w:t>kulturadäquaten</w:t>
      </w:r>
      <w:r w:rsidRPr="00E73F6F">
        <w:rPr>
          <w:spacing w:val="-3"/>
        </w:rPr>
        <w:t xml:space="preserve"> </w:t>
      </w:r>
      <w:r w:rsidRPr="00E73F6F">
        <w:t>Beschwerdemanagements</w:t>
      </w:r>
      <w:r w:rsidRPr="00E73F6F">
        <w:rPr>
          <w:spacing w:val="-4"/>
        </w:rPr>
        <w:t xml:space="preserve"> </w:t>
      </w:r>
      <w:r w:rsidRPr="00E73F6F">
        <w:t>(vgl. z.B. Wegmann 2001). Dabei ist zu bedenken, dass die generelle Einstellung der Konsumenten sowie deren konkretes Beschwerdeverhalten maßgeblich davon abhängen, ob sie das Unternehmen als Teil ihrer In-Group betrachten und damit als</w:t>
      </w:r>
      <w:r w:rsidRPr="00E73F6F">
        <w:rPr>
          <w:spacing w:val="-8"/>
        </w:rPr>
        <w:t xml:space="preserve"> </w:t>
      </w:r>
      <w:r w:rsidRPr="00E73F6F">
        <w:t>von</w:t>
      </w:r>
      <w:r w:rsidRPr="00E73F6F">
        <w:rPr>
          <w:spacing w:val="-9"/>
        </w:rPr>
        <w:t xml:space="preserve"> </w:t>
      </w:r>
      <w:r w:rsidRPr="00E73F6F">
        <w:t>vornherein</w:t>
      </w:r>
      <w:r w:rsidRPr="00E73F6F">
        <w:rPr>
          <w:spacing w:val="-7"/>
        </w:rPr>
        <w:t xml:space="preserve"> </w:t>
      </w:r>
      <w:r w:rsidRPr="00E73F6F">
        <w:t>vertrauenswürdig.</w:t>
      </w:r>
      <w:r w:rsidRPr="00E73F6F">
        <w:rPr>
          <w:spacing w:val="-9"/>
        </w:rPr>
        <w:t xml:space="preserve"> </w:t>
      </w:r>
      <w:r w:rsidRPr="00E73F6F">
        <w:t>Nur</w:t>
      </w:r>
      <w:r w:rsidRPr="00E73F6F">
        <w:rPr>
          <w:spacing w:val="-10"/>
        </w:rPr>
        <w:t xml:space="preserve"> </w:t>
      </w:r>
      <w:r w:rsidRPr="00E73F6F">
        <w:t>dann</w:t>
      </w:r>
      <w:r w:rsidRPr="00E73F6F">
        <w:rPr>
          <w:spacing w:val="-9"/>
        </w:rPr>
        <w:t xml:space="preserve"> </w:t>
      </w:r>
      <w:r w:rsidRPr="00E73F6F">
        <w:t>gehen</w:t>
      </w:r>
      <w:r w:rsidRPr="00E73F6F">
        <w:rPr>
          <w:spacing w:val="-9"/>
        </w:rPr>
        <w:t xml:space="preserve"> </w:t>
      </w:r>
      <w:r w:rsidRPr="00E73F6F">
        <w:t>kollektivistisch</w:t>
      </w:r>
      <w:r w:rsidRPr="00E73F6F">
        <w:rPr>
          <w:spacing w:val="-7"/>
        </w:rPr>
        <w:t xml:space="preserve"> </w:t>
      </w:r>
      <w:r w:rsidRPr="00E73F6F">
        <w:t>sozialisierte Kunden davon aus, dass sich das Unternehmen auch für ihr Wohlergehen interessiert. Angesichts</w:t>
      </w:r>
      <w:r w:rsidRPr="00E73F6F">
        <w:rPr>
          <w:spacing w:val="-3"/>
        </w:rPr>
        <w:t xml:space="preserve"> </w:t>
      </w:r>
      <w:r w:rsidRPr="00E73F6F">
        <w:t>der</w:t>
      </w:r>
      <w:r w:rsidRPr="00E73F6F">
        <w:rPr>
          <w:spacing w:val="-1"/>
        </w:rPr>
        <w:t xml:space="preserve"> </w:t>
      </w:r>
      <w:r w:rsidRPr="00E73F6F">
        <w:t>dort</w:t>
      </w:r>
      <w:r w:rsidRPr="00E73F6F">
        <w:rPr>
          <w:spacing w:val="-3"/>
        </w:rPr>
        <w:t xml:space="preserve"> </w:t>
      </w:r>
      <w:r w:rsidRPr="00E73F6F">
        <w:t>weitgehenden</w:t>
      </w:r>
      <w:r w:rsidRPr="00E73F6F">
        <w:rPr>
          <w:spacing w:val="-2"/>
        </w:rPr>
        <w:t xml:space="preserve"> </w:t>
      </w:r>
      <w:r w:rsidRPr="00E73F6F">
        <w:t>Irreversibilität einer</w:t>
      </w:r>
      <w:r w:rsidRPr="00E73F6F">
        <w:rPr>
          <w:spacing w:val="-1"/>
        </w:rPr>
        <w:t xml:space="preserve"> </w:t>
      </w:r>
      <w:r w:rsidRPr="00E73F6F">
        <w:t>Abwanderung ist in diesen Ländern das in westlichen Industrienationen übliche reaktive Beschwerde-management ungeeignet. Dort müssen Unternehmen erstens antizipativ agieren, um möglichst</w:t>
      </w:r>
      <w:r w:rsidRPr="00E73F6F">
        <w:rPr>
          <w:spacing w:val="-1"/>
        </w:rPr>
        <w:t xml:space="preserve"> </w:t>
      </w:r>
      <w:r w:rsidRPr="00E73F6F">
        <w:t>frühzeitig in die „Erfahrungskette“ des Käufers einzugreifen, und zweitens mehr Beziehungs- als Beschwerdemanagement betreiben: Nicht das fehlerhafte Produkt darf im Mittelpunkt der Bemühungen stehen, sondern die dadurch beschädigte zwischenmenschliche Beziehung.</w:t>
      </w:r>
    </w:p>
    <w:p w14:paraId="38C1CC64" w14:textId="77777777" w:rsidR="00FF7799" w:rsidRPr="00EA5DE3" w:rsidRDefault="00EA5DE3" w:rsidP="00EC4358">
      <w:pPr>
        <w:pStyle w:val="StandardText"/>
        <w:rPr>
          <w:sz w:val="22"/>
          <w:szCs w:val="22"/>
        </w:rPr>
      </w:pPr>
      <w:r>
        <w:rPr>
          <w:b/>
          <w:i/>
          <w:sz w:val="22"/>
          <w:szCs w:val="22"/>
          <w:lang w:val="en-US"/>
        </w:rPr>
        <w:t>L</w:t>
      </w:r>
      <w:r w:rsidR="00FF7799" w:rsidRPr="00EA5DE3">
        <w:rPr>
          <w:b/>
          <w:i/>
          <w:sz w:val="22"/>
          <w:szCs w:val="22"/>
          <w:lang w:val="en-US"/>
        </w:rPr>
        <w:t>iteratur:</w:t>
      </w:r>
      <w:r w:rsidR="00FF7799" w:rsidRPr="00EA5DE3">
        <w:rPr>
          <w:b/>
          <w:sz w:val="22"/>
          <w:szCs w:val="22"/>
          <w:lang w:val="en-US"/>
        </w:rPr>
        <w:t xml:space="preserve"> </w:t>
      </w:r>
      <w:r w:rsidR="00FF7799" w:rsidRPr="00EA5DE3">
        <w:rPr>
          <w:sz w:val="22"/>
          <w:szCs w:val="22"/>
          <w:lang w:val="en-US"/>
        </w:rPr>
        <w:t>Hernandez, S.A.; Strahle, W.; Garcia, H.L.; Sorenson, R.C. (1991): A Cross-</w:t>
      </w:r>
      <w:r w:rsidR="00FF7799" w:rsidRPr="00EA5DE3">
        <w:rPr>
          <w:spacing w:val="40"/>
          <w:sz w:val="22"/>
          <w:szCs w:val="22"/>
          <w:lang w:val="en-US"/>
        </w:rPr>
        <w:t xml:space="preserve"> </w:t>
      </w:r>
      <w:r w:rsidR="00FF7799" w:rsidRPr="00EA5DE3">
        <w:rPr>
          <w:sz w:val="22"/>
          <w:szCs w:val="22"/>
          <w:lang w:val="en-US"/>
        </w:rPr>
        <w:t>Cultural Study of Consumer Complaining Behavior. VCR Owners in the U.S. and Puerto</w:t>
      </w:r>
      <w:r w:rsidR="00FF7799" w:rsidRPr="00EA5DE3">
        <w:rPr>
          <w:spacing w:val="40"/>
          <w:sz w:val="22"/>
          <w:szCs w:val="22"/>
          <w:lang w:val="en-US"/>
        </w:rPr>
        <w:t xml:space="preserve"> </w:t>
      </w:r>
      <w:r w:rsidR="00FF7799" w:rsidRPr="00EA5DE3">
        <w:rPr>
          <w:sz w:val="22"/>
          <w:szCs w:val="22"/>
          <w:lang w:val="en-US"/>
        </w:rPr>
        <w:t>Rico, Journal of Consumer Policy, 14(1): 35-36.</w:t>
      </w:r>
      <w:r w:rsidR="00FF7799" w:rsidRPr="00EA5DE3">
        <w:rPr>
          <w:spacing w:val="40"/>
          <w:sz w:val="22"/>
          <w:szCs w:val="22"/>
          <w:lang w:val="en-US"/>
        </w:rPr>
        <w:t xml:space="preserve"> </w:t>
      </w:r>
      <w:r w:rsidR="00FF7799" w:rsidRPr="00EA5DE3">
        <w:rPr>
          <w:sz w:val="22"/>
          <w:szCs w:val="22"/>
          <w:lang w:val="en-US"/>
        </w:rPr>
        <w:t>Lowe, A.C.; Corkindale, D.R. (1998):</w:t>
      </w:r>
      <w:r w:rsidR="00FF7799" w:rsidRPr="00EA5DE3">
        <w:rPr>
          <w:spacing w:val="40"/>
          <w:sz w:val="22"/>
          <w:szCs w:val="22"/>
          <w:lang w:val="en-US"/>
        </w:rPr>
        <w:t xml:space="preserve"> </w:t>
      </w:r>
      <w:r w:rsidR="00FF7799" w:rsidRPr="00EA5DE3">
        <w:rPr>
          <w:sz w:val="22"/>
          <w:szCs w:val="22"/>
          <w:lang w:val="en-US"/>
        </w:rPr>
        <w:t>Differences in “Cultural Values” and Their Effects on Responses to Marketing Stimuli,</w:t>
      </w:r>
      <w:r w:rsidR="00FF7799" w:rsidRPr="00EA5DE3">
        <w:rPr>
          <w:spacing w:val="40"/>
          <w:sz w:val="22"/>
          <w:szCs w:val="22"/>
          <w:lang w:val="en-US"/>
        </w:rPr>
        <w:t xml:space="preserve"> </w:t>
      </w:r>
      <w:r w:rsidR="00FF7799" w:rsidRPr="00EA5DE3">
        <w:rPr>
          <w:sz w:val="22"/>
          <w:szCs w:val="22"/>
          <w:lang w:val="en-US"/>
        </w:rPr>
        <w:t>European</w:t>
      </w:r>
      <w:r w:rsidR="00FF7799" w:rsidRPr="00EA5DE3">
        <w:rPr>
          <w:spacing w:val="-9"/>
          <w:sz w:val="22"/>
          <w:szCs w:val="22"/>
          <w:lang w:val="en-US"/>
        </w:rPr>
        <w:t xml:space="preserve"> </w:t>
      </w:r>
      <w:r w:rsidR="00FF7799" w:rsidRPr="00EA5DE3">
        <w:rPr>
          <w:sz w:val="22"/>
          <w:szCs w:val="22"/>
          <w:lang w:val="en-US"/>
        </w:rPr>
        <w:t>Journal</w:t>
      </w:r>
      <w:r w:rsidR="00FF7799" w:rsidRPr="00EA5DE3">
        <w:rPr>
          <w:spacing w:val="-10"/>
          <w:sz w:val="22"/>
          <w:szCs w:val="22"/>
          <w:lang w:val="en-US"/>
        </w:rPr>
        <w:t xml:space="preserve"> </w:t>
      </w:r>
      <w:r w:rsidR="00FF7799" w:rsidRPr="00EA5DE3">
        <w:rPr>
          <w:sz w:val="22"/>
          <w:szCs w:val="22"/>
          <w:lang w:val="en-US"/>
        </w:rPr>
        <w:t>of</w:t>
      </w:r>
      <w:r w:rsidR="00FF7799" w:rsidRPr="00EA5DE3">
        <w:rPr>
          <w:spacing w:val="-10"/>
          <w:sz w:val="22"/>
          <w:szCs w:val="22"/>
          <w:lang w:val="en-US"/>
        </w:rPr>
        <w:t xml:space="preserve"> </w:t>
      </w:r>
      <w:r w:rsidR="00FF7799" w:rsidRPr="00EA5DE3">
        <w:rPr>
          <w:sz w:val="22"/>
          <w:szCs w:val="22"/>
          <w:lang w:val="en-US"/>
        </w:rPr>
        <w:t>Marketing,</w:t>
      </w:r>
      <w:r w:rsidR="00FF7799" w:rsidRPr="00EA5DE3">
        <w:rPr>
          <w:spacing w:val="-8"/>
          <w:sz w:val="22"/>
          <w:szCs w:val="22"/>
          <w:lang w:val="en-US"/>
        </w:rPr>
        <w:t xml:space="preserve"> </w:t>
      </w:r>
      <w:r w:rsidR="00FF7799" w:rsidRPr="00EA5DE3">
        <w:rPr>
          <w:sz w:val="22"/>
          <w:szCs w:val="22"/>
          <w:lang w:val="en-US"/>
        </w:rPr>
        <w:t>32(9/10):</w:t>
      </w:r>
      <w:r w:rsidR="00FF7799" w:rsidRPr="00EA5DE3">
        <w:rPr>
          <w:spacing w:val="-8"/>
          <w:sz w:val="22"/>
          <w:szCs w:val="22"/>
          <w:lang w:val="en-US"/>
        </w:rPr>
        <w:t xml:space="preserve"> </w:t>
      </w:r>
      <w:r w:rsidR="00FF7799" w:rsidRPr="00EA5DE3">
        <w:rPr>
          <w:sz w:val="22"/>
          <w:szCs w:val="22"/>
          <w:lang w:val="en-US"/>
        </w:rPr>
        <w:t>843-867.</w:t>
      </w:r>
      <w:r w:rsidR="00FF7799" w:rsidRPr="00EA5DE3">
        <w:rPr>
          <w:spacing w:val="40"/>
          <w:sz w:val="22"/>
          <w:szCs w:val="22"/>
          <w:lang w:val="en-US"/>
        </w:rPr>
        <w:t xml:space="preserve"> </w:t>
      </w:r>
      <w:r w:rsidR="00FF7799" w:rsidRPr="00EA5DE3">
        <w:rPr>
          <w:sz w:val="22"/>
          <w:szCs w:val="22"/>
          <w:lang w:val="en-US"/>
        </w:rPr>
        <w:t>Thorelli,</w:t>
      </w:r>
      <w:r w:rsidR="00FF7799" w:rsidRPr="00EA5DE3">
        <w:rPr>
          <w:spacing w:val="-8"/>
          <w:sz w:val="22"/>
          <w:szCs w:val="22"/>
          <w:lang w:val="en-US"/>
        </w:rPr>
        <w:t xml:space="preserve"> </w:t>
      </w:r>
      <w:r w:rsidR="00FF7799" w:rsidRPr="00EA5DE3">
        <w:rPr>
          <w:sz w:val="22"/>
          <w:szCs w:val="22"/>
          <w:lang w:val="en-US"/>
        </w:rPr>
        <w:t>H.B.</w:t>
      </w:r>
      <w:r w:rsidR="00FF7799" w:rsidRPr="00EA5DE3">
        <w:rPr>
          <w:spacing w:val="-8"/>
          <w:sz w:val="22"/>
          <w:szCs w:val="22"/>
          <w:lang w:val="en-US"/>
        </w:rPr>
        <w:t xml:space="preserve"> </w:t>
      </w:r>
      <w:r w:rsidR="00FF7799" w:rsidRPr="00EA5DE3">
        <w:rPr>
          <w:sz w:val="22"/>
          <w:szCs w:val="22"/>
          <w:lang w:val="en-US"/>
        </w:rPr>
        <w:t>(1983):</w:t>
      </w:r>
      <w:r w:rsidR="00FF7799" w:rsidRPr="00EA5DE3">
        <w:rPr>
          <w:spacing w:val="-10"/>
          <w:sz w:val="22"/>
          <w:szCs w:val="22"/>
          <w:lang w:val="en-US"/>
        </w:rPr>
        <w:t xml:space="preserve"> </w:t>
      </w:r>
      <w:r w:rsidR="00FF7799" w:rsidRPr="00EA5DE3">
        <w:rPr>
          <w:sz w:val="22"/>
          <w:szCs w:val="22"/>
          <w:lang w:val="en-US"/>
        </w:rPr>
        <w:t>China.</w:t>
      </w:r>
      <w:r w:rsidR="00FF7799" w:rsidRPr="00EA5DE3">
        <w:rPr>
          <w:spacing w:val="-10"/>
          <w:sz w:val="22"/>
          <w:szCs w:val="22"/>
          <w:lang w:val="en-US"/>
        </w:rPr>
        <w:t xml:space="preserve"> </w:t>
      </w:r>
      <w:r w:rsidR="00FF7799" w:rsidRPr="00EA5DE3">
        <w:rPr>
          <w:sz w:val="22"/>
          <w:szCs w:val="22"/>
          <w:lang w:val="en-US"/>
        </w:rPr>
        <w:t>Consumer</w:t>
      </w:r>
      <w:r w:rsidR="00FF7799" w:rsidRPr="00EA5DE3">
        <w:rPr>
          <w:spacing w:val="40"/>
          <w:sz w:val="22"/>
          <w:szCs w:val="22"/>
          <w:lang w:val="en-US"/>
        </w:rPr>
        <w:t xml:space="preserve"> </w:t>
      </w:r>
      <w:r w:rsidR="00FF7799" w:rsidRPr="00EA5DE3">
        <w:rPr>
          <w:sz w:val="22"/>
          <w:szCs w:val="22"/>
          <w:lang w:val="en-US"/>
        </w:rPr>
        <w:t>Voice</w:t>
      </w:r>
      <w:r w:rsidR="00FF7799" w:rsidRPr="00EA5DE3">
        <w:rPr>
          <w:spacing w:val="-6"/>
          <w:sz w:val="22"/>
          <w:szCs w:val="22"/>
          <w:lang w:val="en-US"/>
        </w:rPr>
        <w:t xml:space="preserve"> </w:t>
      </w:r>
      <w:r w:rsidR="00FF7799" w:rsidRPr="00EA5DE3">
        <w:rPr>
          <w:sz w:val="22"/>
          <w:szCs w:val="22"/>
          <w:lang w:val="en-US"/>
        </w:rPr>
        <w:t>and</w:t>
      </w:r>
      <w:r w:rsidR="00FF7799" w:rsidRPr="00EA5DE3">
        <w:rPr>
          <w:spacing w:val="-5"/>
          <w:sz w:val="22"/>
          <w:szCs w:val="22"/>
          <w:lang w:val="en-US"/>
        </w:rPr>
        <w:t xml:space="preserve"> </w:t>
      </w:r>
      <w:r w:rsidR="00FF7799" w:rsidRPr="00EA5DE3">
        <w:rPr>
          <w:sz w:val="22"/>
          <w:szCs w:val="22"/>
          <w:lang w:val="en-US"/>
        </w:rPr>
        <w:t>Exit,</w:t>
      </w:r>
      <w:r w:rsidR="00FF7799" w:rsidRPr="00EA5DE3">
        <w:rPr>
          <w:spacing w:val="-6"/>
          <w:sz w:val="22"/>
          <w:szCs w:val="22"/>
          <w:lang w:val="en-US"/>
        </w:rPr>
        <w:t xml:space="preserve"> </w:t>
      </w:r>
      <w:r w:rsidR="00FF7799" w:rsidRPr="00EA5DE3">
        <w:rPr>
          <w:sz w:val="22"/>
          <w:szCs w:val="22"/>
          <w:lang w:val="en-US"/>
        </w:rPr>
        <w:t>in:</w:t>
      </w:r>
      <w:r w:rsidR="00FF7799" w:rsidRPr="00EA5DE3">
        <w:rPr>
          <w:spacing w:val="-6"/>
          <w:sz w:val="22"/>
          <w:szCs w:val="22"/>
          <w:lang w:val="en-US"/>
        </w:rPr>
        <w:t xml:space="preserve"> </w:t>
      </w:r>
      <w:r w:rsidR="00FF7799" w:rsidRPr="00EA5DE3">
        <w:rPr>
          <w:sz w:val="22"/>
          <w:szCs w:val="22"/>
          <w:lang w:val="en-US"/>
        </w:rPr>
        <w:t>Hunt,</w:t>
      </w:r>
      <w:r w:rsidR="00FF7799" w:rsidRPr="00EA5DE3">
        <w:rPr>
          <w:spacing w:val="-5"/>
          <w:sz w:val="22"/>
          <w:szCs w:val="22"/>
          <w:lang w:val="en-US"/>
        </w:rPr>
        <w:t xml:space="preserve"> </w:t>
      </w:r>
      <w:r w:rsidR="00FF7799" w:rsidRPr="00EA5DE3">
        <w:rPr>
          <w:sz w:val="22"/>
          <w:szCs w:val="22"/>
          <w:lang w:val="en-US"/>
        </w:rPr>
        <w:t>H.K.,</w:t>
      </w:r>
      <w:r w:rsidR="00FF7799" w:rsidRPr="00EA5DE3">
        <w:rPr>
          <w:spacing w:val="-5"/>
          <w:sz w:val="22"/>
          <w:szCs w:val="22"/>
          <w:lang w:val="en-US"/>
        </w:rPr>
        <w:t xml:space="preserve"> </w:t>
      </w:r>
      <w:r w:rsidR="00FF7799" w:rsidRPr="00EA5DE3">
        <w:rPr>
          <w:sz w:val="22"/>
          <w:szCs w:val="22"/>
          <w:lang w:val="en-US"/>
        </w:rPr>
        <w:t>Day,</w:t>
      </w:r>
      <w:r w:rsidR="00FF7799" w:rsidRPr="00EA5DE3">
        <w:rPr>
          <w:spacing w:val="-6"/>
          <w:sz w:val="22"/>
          <w:szCs w:val="22"/>
          <w:lang w:val="en-US"/>
        </w:rPr>
        <w:t xml:space="preserve"> </w:t>
      </w:r>
      <w:r w:rsidR="00FF7799" w:rsidRPr="00EA5DE3">
        <w:rPr>
          <w:sz w:val="22"/>
          <w:szCs w:val="22"/>
          <w:lang w:val="en-US"/>
        </w:rPr>
        <w:t>R.L.</w:t>
      </w:r>
      <w:r w:rsidR="00FF7799" w:rsidRPr="00EA5DE3">
        <w:rPr>
          <w:spacing w:val="-6"/>
          <w:sz w:val="22"/>
          <w:szCs w:val="22"/>
          <w:lang w:val="en-US"/>
        </w:rPr>
        <w:t xml:space="preserve"> </w:t>
      </w:r>
      <w:r w:rsidR="00FF7799" w:rsidRPr="00EA5DE3">
        <w:rPr>
          <w:sz w:val="22"/>
          <w:szCs w:val="22"/>
          <w:lang w:val="en-US"/>
        </w:rPr>
        <w:t>(Eds.),</w:t>
      </w:r>
      <w:r w:rsidR="00FF7799" w:rsidRPr="00EA5DE3">
        <w:rPr>
          <w:spacing w:val="-4"/>
          <w:sz w:val="22"/>
          <w:szCs w:val="22"/>
          <w:lang w:val="en-US"/>
        </w:rPr>
        <w:t xml:space="preserve"> </w:t>
      </w:r>
      <w:r w:rsidR="00FF7799" w:rsidRPr="00EA5DE3">
        <w:rPr>
          <w:sz w:val="22"/>
          <w:szCs w:val="22"/>
          <w:lang w:val="en-US"/>
        </w:rPr>
        <w:t>Consumer</w:t>
      </w:r>
      <w:r w:rsidR="00FF7799" w:rsidRPr="00EA5DE3">
        <w:rPr>
          <w:spacing w:val="-5"/>
          <w:sz w:val="22"/>
          <w:szCs w:val="22"/>
          <w:lang w:val="en-US"/>
        </w:rPr>
        <w:t xml:space="preserve"> </w:t>
      </w:r>
      <w:r w:rsidR="00FF7799" w:rsidRPr="00EA5DE3">
        <w:rPr>
          <w:sz w:val="22"/>
          <w:szCs w:val="22"/>
          <w:lang w:val="en-US"/>
        </w:rPr>
        <w:t>Satisfaction,</w:t>
      </w:r>
      <w:r w:rsidR="00FF7799" w:rsidRPr="00EA5DE3">
        <w:rPr>
          <w:spacing w:val="-5"/>
          <w:sz w:val="22"/>
          <w:szCs w:val="22"/>
          <w:lang w:val="en-US"/>
        </w:rPr>
        <w:t xml:space="preserve"> </w:t>
      </w:r>
      <w:r w:rsidR="00FF7799" w:rsidRPr="00EA5DE3">
        <w:rPr>
          <w:sz w:val="22"/>
          <w:szCs w:val="22"/>
          <w:lang w:val="en-US"/>
        </w:rPr>
        <w:t>Dissatisfaction</w:t>
      </w:r>
      <w:r w:rsidR="00FF7799" w:rsidRPr="00EA5DE3">
        <w:rPr>
          <w:spacing w:val="-6"/>
          <w:sz w:val="22"/>
          <w:szCs w:val="22"/>
          <w:lang w:val="en-US"/>
        </w:rPr>
        <w:t xml:space="preserve"> </w:t>
      </w:r>
      <w:r w:rsidR="00FF7799" w:rsidRPr="00EA5DE3">
        <w:rPr>
          <w:sz w:val="22"/>
          <w:szCs w:val="22"/>
          <w:lang w:val="en-US"/>
        </w:rPr>
        <w:t>and</w:t>
      </w:r>
      <w:r w:rsidR="00FF7799" w:rsidRPr="00EA5DE3">
        <w:rPr>
          <w:spacing w:val="40"/>
          <w:sz w:val="22"/>
          <w:szCs w:val="22"/>
          <w:lang w:val="en-US"/>
        </w:rPr>
        <w:t xml:space="preserve"> </w:t>
      </w:r>
      <w:r w:rsidR="00FF7799" w:rsidRPr="00EA5DE3">
        <w:rPr>
          <w:sz w:val="22"/>
          <w:szCs w:val="22"/>
          <w:lang w:val="en-US"/>
        </w:rPr>
        <w:t>Complaining Behavior, Vol.6, 25-37, Bloomington/IN: Indiana University.</w:t>
      </w:r>
      <w:r w:rsidR="00FF7799" w:rsidRPr="00EA5DE3">
        <w:rPr>
          <w:spacing w:val="40"/>
          <w:sz w:val="22"/>
          <w:szCs w:val="22"/>
          <w:lang w:val="en-US"/>
        </w:rPr>
        <w:t xml:space="preserve"> </w:t>
      </w:r>
      <w:r w:rsidR="00FF7799" w:rsidRPr="00EA5DE3">
        <w:rPr>
          <w:sz w:val="22"/>
          <w:szCs w:val="22"/>
          <w:lang w:val="en-US"/>
        </w:rPr>
        <w:t>Villarreal-</w:t>
      </w:r>
      <w:r w:rsidR="00FF7799" w:rsidRPr="00EA5DE3">
        <w:rPr>
          <w:spacing w:val="40"/>
          <w:sz w:val="22"/>
          <w:szCs w:val="22"/>
          <w:lang w:val="en-US"/>
        </w:rPr>
        <w:t xml:space="preserve"> </w:t>
      </w:r>
      <w:r w:rsidR="00FF7799" w:rsidRPr="00EA5DE3">
        <w:rPr>
          <w:sz w:val="22"/>
          <w:szCs w:val="22"/>
          <w:lang w:val="en-US"/>
        </w:rPr>
        <w:t>Camacho, A. (1983): Consumer Complaining Behavior. A Cross-Cultural Comparison, in:</w:t>
      </w:r>
      <w:r w:rsidR="00FF7799" w:rsidRPr="00EA5DE3">
        <w:rPr>
          <w:spacing w:val="40"/>
          <w:sz w:val="22"/>
          <w:szCs w:val="22"/>
          <w:lang w:val="en-US"/>
        </w:rPr>
        <w:t xml:space="preserve"> </w:t>
      </w:r>
      <w:r w:rsidR="00FF7799" w:rsidRPr="00EA5DE3">
        <w:rPr>
          <w:sz w:val="22"/>
          <w:szCs w:val="22"/>
          <w:lang w:val="en-US"/>
        </w:rPr>
        <w:lastRenderedPageBreak/>
        <w:t>Murphy, P.E. et al. (Eds.), American Marketing Association Educators Conference</w:t>
      </w:r>
      <w:r w:rsidR="00FF7799" w:rsidRPr="00EA5DE3">
        <w:rPr>
          <w:spacing w:val="40"/>
          <w:sz w:val="22"/>
          <w:szCs w:val="22"/>
          <w:lang w:val="en-US"/>
        </w:rPr>
        <w:t xml:space="preserve"> </w:t>
      </w:r>
      <w:r w:rsidR="00FF7799" w:rsidRPr="00EA5DE3">
        <w:rPr>
          <w:sz w:val="22"/>
          <w:szCs w:val="22"/>
          <w:lang w:val="en-US"/>
        </w:rPr>
        <w:t>Proceedings, 68-73, Chicago/MA: AMA. Watkins, H.S.; Liu, R. (1996): Collectivism,</w:t>
      </w:r>
      <w:r w:rsidR="00FF7799" w:rsidRPr="00EA5DE3">
        <w:rPr>
          <w:spacing w:val="40"/>
          <w:sz w:val="22"/>
          <w:szCs w:val="22"/>
          <w:lang w:val="en-US"/>
        </w:rPr>
        <w:t xml:space="preserve"> </w:t>
      </w:r>
      <w:r w:rsidR="00FF7799" w:rsidRPr="00EA5DE3">
        <w:rPr>
          <w:sz w:val="22"/>
          <w:szCs w:val="22"/>
          <w:lang w:val="en-US"/>
        </w:rPr>
        <w:t>Individualism and In-Group Membership. Implications for Consumer Complaining</w:t>
      </w:r>
      <w:r w:rsidR="00FF7799" w:rsidRPr="00EA5DE3">
        <w:rPr>
          <w:spacing w:val="40"/>
          <w:sz w:val="22"/>
          <w:szCs w:val="22"/>
          <w:lang w:val="en-US"/>
        </w:rPr>
        <w:t xml:space="preserve"> </w:t>
      </w:r>
      <w:r w:rsidR="00FF7799" w:rsidRPr="00EA5DE3">
        <w:rPr>
          <w:sz w:val="22"/>
          <w:szCs w:val="22"/>
          <w:lang w:val="en-US"/>
        </w:rPr>
        <w:t>Behaviors in Multicultural Contexts, Journal of International Consumer Marketing, 8(3/4):</w:t>
      </w:r>
      <w:r w:rsidR="00FF7799" w:rsidRPr="00EA5DE3">
        <w:rPr>
          <w:spacing w:val="40"/>
          <w:sz w:val="22"/>
          <w:szCs w:val="22"/>
          <w:lang w:val="en-US"/>
        </w:rPr>
        <w:t xml:space="preserve"> </w:t>
      </w:r>
      <w:r w:rsidR="00FF7799" w:rsidRPr="00EA5DE3">
        <w:rPr>
          <w:sz w:val="22"/>
          <w:szCs w:val="22"/>
          <w:lang w:val="en-US"/>
        </w:rPr>
        <w:t>69-96.</w:t>
      </w:r>
      <w:r w:rsidR="00FF7799" w:rsidRPr="00EA5DE3">
        <w:rPr>
          <w:spacing w:val="74"/>
          <w:sz w:val="22"/>
          <w:szCs w:val="22"/>
          <w:lang w:val="en-US"/>
        </w:rPr>
        <w:t xml:space="preserve"> </w:t>
      </w:r>
      <w:r w:rsidR="00FF7799" w:rsidRPr="00EA5DE3">
        <w:rPr>
          <w:sz w:val="22"/>
          <w:szCs w:val="22"/>
        </w:rPr>
        <w:t>Wegmann,</w:t>
      </w:r>
      <w:r w:rsidR="00FF7799" w:rsidRPr="00EA5DE3">
        <w:rPr>
          <w:spacing w:val="-4"/>
          <w:sz w:val="22"/>
          <w:szCs w:val="22"/>
        </w:rPr>
        <w:t xml:space="preserve"> </w:t>
      </w:r>
      <w:r w:rsidR="00FF7799" w:rsidRPr="00EA5DE3">
        <w:rPr>
          <w:sz w:val="22"/>
          <w:szCs w:val="22"/>
        </w:rPr>
        <w:t>C.</w:t>
      </w:r>
      <w:r w:rsidR="00FF7799" w:rsidRPr="00EA5DE3">
        <w:rPr>
          <w:spacing w:val="-1"/>
          <w:sz w:val="22"/>
          <w:szCs w:val="22"/>
        </w:rPr>
        <w:t xml:space="preserve"> </w:t>
      </w:r>
      <w:r w:rsidR="00FF7799" w:rsidRPr="00EA5DE3">
        <w:rPr>
          <w:sz w:val="22"/>
          <w:szCs w:val="22"/>
        </w:rPr>
        <w:t>(2001):</w:t>
      </w:r>
      <w:r w:rsidR="00FF7799" w:rsidRPr="00EA5DE3">
        <w:rPr>
          <w:spacing w:val="-2"/>
          <w:sz w:val="22"/>
          <w:szCs w:val="22"/>
        </w:rPr>
        <w:t xml:space="preserve"> </w:t>
      </w:r>
      <w:r w:rsidR="00FF7799" w:rsidRPr="00EA5DE3">
        <w:rPr>
          <w:sz w:val="22"/>
          <w:szCs w:val="22"/>
        </w:rPr>
        <w:t>Internationales</w:t>
      </w:r>
      <w:r w:rsidR="00FF7799" w:rsidRPr="00EA5DE3">
        <w:rPr>
          <w:spacing w:val="-2"/>
          <w:sz w:val="22"/>
          <w:szCs w:val="22"/>
        </w:rPr>
        <w:t xml:space="preserve"> </w:t>
      </w:r>
      <w:r w:rsidR="00FF7799" w:rsidRPr="00EA5DE3">
        <w:rPr>
          <w:sz w:val="22"/>
          <w:szCs w:val="22"/>
        </w:rPr>
        <w:t>Beschwerdemanagement,</w:t>
      </w:r>
      <w:r w:rsidR="00FF7799" w:rsidRPr="00EA5DE3">
        <w:rPr>
          <w:spacing w:val="-4"/>
          <w:sz w:val="22"/>
          <w:szCs w:val="22"/>
        </w:rPr>
        <w:t xml:space="preserve"> </w:t>
      </w:r>
      <w:r w:rsidR="00FF7799" w:rsidRPr="00EA5DE3">
        <w:rPr>
          <w:sz w:val="22"/>
          <w:szCs w:val="22"/>
        </w:rPr>
        <w:t>Wiesbaden:</w:t>
      </w:r>
      <w:r w:rsidR="00FF7799" w:rsidRPr="00EA5DE3">
        <w:rPr>
          <w:spacing w:val="-3"/>
          <w:sz w:val="22"/>
          <w:szCs w:val="22"/>
        </w:rPr>
        <w:t xml:space="preserve"> </w:t>
      </w:r>
      <w:r w:rsidR="00FF7799" w:rsidRPr="00EA5DE3">
        <w:rPr>
          <w:sz w:val="22"/>
          <w:szCs w:val="22"/>
        </w:rPr>
        <w:t>Gabler.</w:t>
      </w:r>
    </w:p>
    <w:p w14:paraId="7DCAF23D" w14:textId="77777777" w:rsidR="00FF7799" w:rsidRPr="00EA5DE3" w:rsidRDefault="00FF7799" w:rsidP="00EC4358">
      <w:pPr>
        <w:pStyle w:val="StandardText"/>
        <w:rPr>
          <w:sz w:val="22"/>
          <w:szCs w:val="22"/>
        </w:rPr>
      </w:pPr>
    </w:p>
    <w:p w14:paraId="6DBC0D29" w14:textId="77777777" w:rsidR="00FF7799" w:rsidRPr="008E049F" w:rsidRDefault="00FF7799" w:rsidP="005A7326">
      <w:pPr>
        <w:pStyle w:val="berschrift1"/>
        <w:rPr>
          <w:color w:val="2F5496" w:themeColor="accent5" w:themeShade="BF"/>
        </w:rPr>
      </w:pPr>
      <w:r w:rsidRPr="008E049F">
        <w:rPr>
          <w:color w:val="2F5496" w:themeColor="accent5" w:themeShade="BF"/>
        </w:rPr>
        <w:t>Beschwerdekultur</w:t>
      </w:r>
    </w:p>
    <w:p w14:paraId="6251D999" w14:textId="77777777" w:rsidR="00FF7799" w:rsidRPr="00E73F6F" w:rsidRDefault="00FF7799" w:rsidP="00F85CA4">
      <w:pPr>
        <w:pStyle w:val="StandardTextAufzhlung"/>
        <w:numPr>
          <w:ilvl w:val="0"/>
          <w:numId w:val="0"/>
        </w:numPr>
        <w:ind w:left="284" w:hanging="284"/>
      </w:pPr>
      <w:r w:rsidRPr="00E73F6F">
        <w:t>ist</w:t>
      </w:r>
      <w:r w:rsidRPr="00E73F6F">
        <w:rPr>
          <w:spacing w:val="-2"/>
        </w:rPr>
        <w:t xml:space="preserve"> </w:t>
      </w:r>
      <w:r w:rsidRPr="00E73F6F">
        <w:t>dann</w:t>
      </w:r>
      <w:r w:rsidRPr="00E73F6F">
        <w:rPr>
          <w:spacing w:val="-2"/>
        </w:rPr>
        <w:t xml:space="preserve"> </w:t>
      </w:r>
      <w:r w:rsidRPr="00E73F6F">
        <w:t>gegeben,</w:t>
      </w:r>
      <w:r w:rsidRPr="00E73F6F">
        <w:rPr>
          <w:spacing w:val="-2"/>
        </w:rPr>
        <w:t xml:space="preserve"> </w:t>
      </w:r>
      <w:r w:rsidRPr="00E73F6F">
        <w:t>wenn</w:t>
      </w:r>
      <w:r w:rsidRPr="00E73F6F">
        <w:rPr>
          <w:spacing w:val="-2"/>
        </w:rPr>
        <w:t xml:space="preserve"> </w:t>
      </w:r>
      <w:r w:rsidRPr="00E73F6F">
        <w:t>das</w:t>
      </w:r>
      <w:r w:rsidRPr="00E73F6F">
        <w:rPr>
          <w:spacing w:val="-3"/>
        </w:rPr>
        <w:t xml:space="preserve"> </w:t>
      </w:r>
      <w:r w:rsidRPr="00E73F6F">
        <w:t>Unternehmen</w:t>
      </w:r>
      <w:r w:rsidRPr="00E73F6F">
        <w:rPr>
          <w:spacing w:val="-1"/>
        </w:rPr>
        <w:t xml:space="preserve"> </w:t>
      </w:r>
      <w:r w:rsidRPr="00E73F6F">
        <w:rPr>
          <w:spacing w:val="-10"/>
        </w:rPr>
        <w:t>…</w:t>
      </w:r>
    </w:p>
    <w:p w14:paraId="7915BE96" w14:textId="77777777" w:rsidR="00FF7799" w:rsidRPr="00E73F6F" w:rsidRDefault="00FF7799" w:rsidP="008E049F">
      <w:pPr>
        <w:pStyle w:val="StandardTextAufzhlung"/>
        <w:ind w:left="426"/>
      </w:pPr>
      <w:r w:rsidRPr="00E73F6F">
        <w:t>es seinen Kunden strukturell erleichtert, sich zu beschweren (z.B. indem es eine Beschwerdehotline anbietet),</w:t>
      </w:r>
    </w:p>
    <w:p w14:paraId="523D71EF" w14:textId="77777777" w:rsidR="00FF7799" w:rsidRPr="00E73F6F" w:rsidRDefault="00FF7799" w:rsidP="008E049F">
      <w:pPr>
        <w:pStyle w:val="StandardTextAufzhlung"/>
        <w:ind w:left="426"/>
      </w:pPr>
      <w:r w:rsidRPr="00E73F6F">
        <w:t>dem</w:t>
      </w:r>
      <w:r w:rsidRPr="00E73F6F">
        <w:rPr>
          <w:spacing w:val="-3"/>
        </w:rPr>
        <w:t xml:space="preserve"> </w:t>
      </w:r>
      <w:r w:rsidRPr="00E73F6F">
        <w:t>Beschwerdeführer</w:t>
      </w:r>
      <w:r w:rsidRPr="00E73F6F">
        <w:rPr>
          <w:spacing w:val="-1"/>
        </w:rPr>
        <w:t xml:space="preserve"> </w:t>
      </w:r>
      <w:r w:rsidRPr="00E73F6F">
        <w:t>aufmerksam</w:t>
      </w:r>
      <w:r w:rsidRPr="00E73F6F">
        <w:rPr>
          <w:spacing w:val="-2"/>
        </w:rPr>
        <w:t xml:space="preserve"> </w:t>
      </w:r>
      <w:r w:rsidRPr="00E73F6F">
        <w:t>zuhört</w:t>
      </w:r>
      <w:r w:rsidRPr="00E73F6F">
        <w:rPr>
          <w:spacing w:val="-2"/>
        </w:rPr>
        <w:t xml:space="preserve"> </w:t>
      </w:r>
      <w:r w:rsidRPr="00E73F6F">
        <w:t>(z.B.</w:t>
      </w:r>
      <w:r w:rsidRPr="00E73F6F">
        <w:rPr>
          <w:spacing w:val="-3"/>
        </w:rPr>
        <w:t xml:space="preserve"> </w:t>
      </w:r>
      <w:r w:rsidRPr="00E73F6F">
        <w:t xml:space="preserve">interessiert </w:t>
      </w:r>
      <w:r w:rsidRPr="00E73F6F">
        <w:rPr>
          <w:spacing w:val="-2"/>
        </w:rPr>
        <w:t>nachfragt),</w:t>
      </w:r>
    </w:p>
    <w:p w14:paraId="1A48B7F7" w14:textId="77777777" w:rsidR="00FF7799" w:rsidRPr="00E73F6F" w:rsidRDefault="00FF7799" w:rsidP="008E049F">
      <w:pPr>
        <w:pStyle w:val="StandardTextAufzhlung"/>
        <w:ind w:left="426"/>
      </w:pPr>
      <w:r w:rsidRPr="00E73F6F">
        <w:t>sich</w:t>
      </w:r>
      <w:r w:rsidRPr="00E73F6F">
        <w:rPr>
          <w:spacing w:val="20"/>
        </w:rPr>
        <w:t xml:space="preserve"> </w:t>
      </w:r>
      <w:r w:rsidRPr="00E73F6F">
        <w:t>gegebenenfalls entschuldigt (z.B. indem der Mitarbeiter, welcher die Beschwerde entgegennimmt, sein Bedauern ausdrückt),</w:t>
      </w:r>
    </w:p>
    <w:p w14:paraId="72C645E9" w14:textId="77777777" w:rsidR="00FF7799" w:rsidRPr="00E73F6F" w:rsidRDefault="00FF7799" w:rsidP="008E049F">
      <w:pPr>
        <w:pStyle w:val="StandardTextAufzhlung"/>
        <w:ind w:left="426"/>
      </w:pPr>
      <w:r w:rsidRPr="00E73F6F">
        <w:t>eine</w:t>
      </w:r>
      <w:r w:rsidRPr="00E73F6F">
        <w:rPr>
          <w:spacing w:val="40"/>
        </w:rPr>
        <w:t xml:space="preserve"> </w:t>
      </w:r>
      <w:r w:rsidRPr="00E73F6F">
        <w:t>angemessene</w:t>
      </w:r>
      <w:r w:rsidRPr="00E73F6F">
        <w:rPr>
          <w:spacing w:val="40"/>
        </w:rPr>
        <w:t xml:space="preserve"> </w:t>
      </w:r>
      <w:r w:rsidRPr="00E73F6F">
        <w:t>Kompensation</w:t>
      </w:r>
      <w:r w:rsidRPr="00E73F6F">
        <w:rPr>
          <w:spacing w:val="40"/>
        </w:rPr>
        <w:t xml:space="preserve"> </w:t>
      </w:r>
      <w:r w:rsidRPr="00E73F6F">
        <w:t>anbietet</w:t>
      </w:r>
      <w:r w:rsidRPr="00E73F6F">
        <w:rPr>
          <w:spacing w:val="40"/>
        </w:rPr>
        <w:t xml:space="preserve"> </w:t>
      </w:r>
      <w:r w:rsidRPr="00E73F6F">
        <w:t>(z.B.</w:t>
      </w:r>
      <w:r w:rsidRPr="00E73F6F">
        <w:rPr>
          <w:spacing w:val="40"/>
        </w:rPr>
        <w:t xml:space="preserve"> </w:t>
      </w:r>
      <w:r w:rsidRPr="00E73F6F">
        <w:t>einen</w:t>
      </w:r>
      <w:r w:rsidRPr="00E73F6F">
        <w:rPr>
          <w:spacing w:val="40"/>
        </w:rPr>
        <w:t xml:space="preserve"> </w:t>
      </w:r>
      <w:r w:rsidRPr="00E73F6F">
        <w:t>Nachlass</w:t>
      </w:r>
      <w:r w:rsidRPr="00E73F6F">
        <w:rPr>
          <w:spacing w:val="40"/>
        </w:rPr>
        <w:t xml:space="preserve"> </w:t>
      </w:r>
      <w:r w:rsidRPr="00E73F6F">
        <w:t>auf</w:t>
      </w:r>
      <w:r w:rsidRPr="00E73F6F">
        <w:rPr>
          <w:spacing w:val="40"/>
        </w:rPr>
        <w:t xml:space="preserve"> </w:t>
      </w:r>
      <w:r w:rsidRPr="00E73F6F">
        <w:t xml:space="preserve">die </w:t>
      </w:r>
      <w:r w:rsidRPr="00E73F6F">
        <w:rPr>
          <w:spacing w:val="-2"/>
        </w:rPr>
        <w:t>Rechnung),</w:t>
      </w:r>
    </w:p>
    <w:p w14:paraId="3B74EAEA" w14:textId="77777777" w:rsidR="00FF7799" w:rsidRPr="00E73F6F" w:rsidRDefault="00FF7799" w:rsidP="008E049F">
      <w:pPr>
        <w:pStyle w:val="StandardTextAufzhlung"/>
        <w:ind w:left="426"/>
      </w:pPr>
      <w:r w:rsidRPr="00E73F6F">
        <w:t>die</w:t>
      </w:r>
      <w:r w:rsidRPr="00E73F6F">
        <w:rPr>
          <w:spacing w:val="-2"/>
        </w:rPr>
        <w:t xml:space="preserve"> </w:t>
      </w:r>
      <w:r w:rsidRPr="00E73F6F">
        <w:t>Ursache</w:t>
      </w:r>
      <w:r w:rsidRPr="00E73F6F">
        <w:rPr>
          <w:spacing w:val="-2"/>
        </w:rPr>
        <w:t xml:space="preserve"> </w:t>
      </w:r>
      <w:r w:rsidRPr="00E73F6F">
        <w:t>für</w:t>
      </w:r>
      <w:r w:rsidRPr="00E73F6F">
        <w:rPr>
          <w:spacing w:val="-1"/>
        </w:rPr>
        <w:t xml:space="preserve"> </w:t>
      </w:r>
      <w:r w:rsidRPr="00E73F6F">
        <w:t>den Fehler</w:t>
      </w:r>
      <w:r w:rsidRPr="00E73F6F">
        <w:rPr>
          <w:spacing w:val="-1"/>
        </w:rPr>
        <w:t xml:space="preserve"> </w:t>
      </w:r>
      <w:r w:rsidRPr="00E73F6F">
        <w:t>erklärt</w:t>
      </w:r>
      <w:r w:rsidRPr="00E73F6F">
        <w:rPr>
          <w:spacing w:val="-3"/>
        </w:rPr>
        <w:t xml:space="preserve"> </w:t>
      </w:r>
      <w:r w:rsidRPr="00E73F6F">
        <w:t>(z.B.</w:t>
      </w:r>
      <w:r w:rsidRPr="00E73F6F">
        <w:rPr>
          <w:spacing w:val="-1"/>
        </w:rPr>
        <w:t xml:space="preserve"> </w:t>
      </w:r>
      <w:r w:rsidRPr="00E73F6F">
        <w:t>unglückliche</w:t>
      </w:r>
      <w:r w:rsidRPr="00E73F6F">
        <w:rPr>
          <w:spacing w:val="-2"/>
        </w:rPr>
        <w:t xml:space="preserve"> Umstände),</w:t>
      </w:r>
    </w:p>
    <w:p w14:paraId="0F64E2CF" w14:textId="77777777" w:rsidR="00FF7799" w:rsidRPr="00E73F6F" w:rsidRDefault="00FF7799" w:rsidP="008E049F">
      <w:pPr>
        <w:pStyle w:val="StandardTextAufzhlung"/>
        <w:ind w:left="426"/>
      </w:pPr>
      <w:r w:rsidRPr="00E73F6F">
        <w:t>schnell</w:t>
      </w:r>
      <w:r w:rsidRPr="00E73F6F">
        <w:rPr>
          <w:spacing w:val="-2"/>
        </w:rPr>
        <w:t xml:space="preserve"> </w:t>
      </w:r>
      <w:r w:rsidRPr="00E73F6F">
        <w:t>reagiert</w:t>
      </w:r>
      <w:r w:rsidRPr="00E73F6F">
        <w:rPr>
          <w:spacing w:val="-2"/>
        </w:rPr>
        <w:t xml:space="preserve"> </w:t>
      </w:r>
      <w:r w:rsidRPr="00E73F6F">
        <w:t>(z.B.</w:t>
      </w:r>
      <w:r w:rsidRPr="00E73F6F">
        <w:rPr>
          <w:spacing w:val="-3"/>
        </w:rPr>
        <w:t xml:space="preserve"> </w:t>
      </w:r>
      <w:r w:rsidRPr="00E73F6F">
        <w:t>umgehend</w:t>
      </w:r>
      <w:r w:rsidRPr="00E73F6F">
        <w:rPr>
          <w:spacing w:val="-1"/>
        </w:rPr>
        <w:t xml:space="preserve"> </w:t>
      </w:r>
      <w:r w:rsidRPr="00E73F6F">
        <w:t>auf</w:t>
      </w:r>
      <w:r w:rsidRPr="00E73F6F">
        <w:rPr>
          <w:spacing w:val="-1"/>
        </w:rPr>
        <w:t xml:space="preserve"> </w:t>
      </w:r>
      <w:r w:rsidRPr="00E73F6F">
        <w:t>Facebook</w:t>
      </w:r>
      <w:r w:rsidRPr="00E73F6F">
        <w:rPr>
          <w:spacing w:val="-1"/>
        </w:rPr>
        <w:t xml:space="preserve"> </w:t>
      </w:r>
      <w:r w:rsidRPr="00E73F6F">
        <w:t>sofort</w:t>
      </w:r>
      <w:r w:rsidRPr="00E73F6F">
        <w:rPr>
          <w:spacing w:val="-3"/>
        </w:rPr>
        <w:t xml:space="preserve"> </w:t>
      </w:r>
      <w:r w:rsidRPr="00E73F6F">
        <w:t>eine</w:t>
      </w:r>
      <w:r w:rsidRPr="00E73F6F">
        <w:rPr>
          <w:spacing w:val="-3"/>
        </w:rPr>
        <w:t xml:space="preserve"> </w:t>
      </w:r>
      <w:r w:rsidRPr="00E73F6F">
        <w:t>Antwort</w:t>
      </w:r>
      <w:r w:rsidRPr="00E73F6F">
        <w:rPr>
          <w:spacing w:val="-3"/>
        </w:rPr>
        <w:t xml:space="preserve"> </w:t>
      </w:r>
      <w:r w:rsidRPr="00E73F6F">
        <w:rPr>
          <w:spacing w:val="-2"/>
        </w:rPr>
        <w:t>postet).</w:t>
      </w:r>
    </w:p>
    <w:p w14:paraId="2C5DE3D6" w14:textId="77777777" w:rsidR="00FF7799" w:rsidRPr="00E73F6F" w:rsidRDefault="00FF7799" w:rsidP="00862DBA">
      <w:pPr>
        <w:spacing w:before="11"/>
        <w:rPr>
          <w:sz w:val="24"/>
          <w:szCs w:val="24"/>
        </w:rPr>
      </w:pPr>
    </w:p>
    <w:p w14:paraId="28FA4AE8" w14:textId="77777777" w:rsidR="00FF7799" w:rsidRPr="00EA5DE3" w:rsidRDefault="00FF7799" w:rsidP="00E26480">
      <w:pPr>
        <w:pStyle w:val="StandardText"/>
        <w:rPr>
          <w:sz w:val="22"/>
          <w:szCs w:val="22"/>
          <w:lang w:val="en-US"/>
        </w:rPr>
      </w:pPr>
      <w:r w:rsidRPr="00EA5DE3">
        <w:rPr>
          <w:b/>
          <w:i/>
          <w:sz w:val="22"/>
          <w:szCs w:val="22"/>
          <w:lang w:val="en-US"/>
        </w:rPr>
        <w:t>Literatur:</w:t>
      </w:r>
      <w:r w:rsidRPr="00EA5DE3">
        <w:rPr>
          <w:b/>
          <w:sz w:val="22"/>
          <w:szCs w:val="22"/>
          <w:lang w:val="en-US"/>
        </w:rPr>
        <w:t xml:space="preserve"> </w:t>
      </w:r>
      <w:r w:rsidRPr="00EA5DE3">
        <w:rPr>
          <w:sz w:val="22"/>
          <w:szCs w:val="22"/>
          <w:lang w:val="en-US"/>
        </w:rPr>
        <w:t>Gelbrich, K.;</w:t>
      </w:r>
      <w:r w:rsidRPr="00EA5DE3">
        <w:rPr>
          <w:spacing w:val="-1"/>
          <w:sz w:val="22"/>
          <w:szCs w:val="22"/>
          <w:lang w:val="en-US"/>
        </w:rPr>
        <w:t xml:space="preserve"> </w:t>
      </w:r>
      <w:r w:rsidRPr="00EA5DE3">
        <w:rPr>
          <w:sz w:val="22"/>
          <w:szCs w:val="22"/>
          <w:lang w:val="en-US"/>
        </w:rPr>
        <w:t>Roschk, H. (2011): A</w:t>
      </w:r>
      <w:r w:rsidRPr="00EA5DE3">
        <w:rPr>
          <w:spacing w:val="-1"/>
          <w:sz w:val="22"/>
          <w:szCs w:val="22"/>
          <w:lang w:val="en-US"/>
        </w:rPr>
        <w:t xml:space="preserve"> </w:t>
      </w:r>
      <w:r w:rsidRPr="00EA5DE3">
        <w:rPr>
          <w:sz w:val="22"/>
          <w:szCs w:val="22"/>
          <w:lang w:val="en-US"/>
        </w:rPr>
        <w:t>Meta-Analysis of Organizational Complaint</w:t>
      </w:r>
      <w:r w:rsidRPr="00EA5DE3">
        <w:rPr>
          <w:spacing w:val="40"/>
          <w:sz w:val="22"/>
          <w:szCs w:val="22"/>
          <w:lang w:val="en-US"/>
        </w:rPr>
        <w:t xml:space="preserve"> </w:t>
      </w:r>
      <w:r w:rsidRPr="00EA5DE3">
        <w:rPr>
          <w:sz w:val="22"/>
          <w:szCs w:val="22"/>
          <w:lang w:val="en-US"/>
        </w:rPr>
        <w:t>Handling</w:t>
      </w:r>
      <w:r w:rsidRPr="00EA5DE3">
        <w:rPr>
          <w:spacing w:val="-3"/>
          <w:sz w:val="22"/>
          <w:szCs w:val="22"/>
          <w:lang w:val="en-US"/>
        </w:rPr>
        <w:t xml:space="preserve"> </w:t>
      </w:r>
      <w:r w:rsidRPr="00EA5DE3">
        <w:rPr>
          <w:sz w:val="22"/>
          <w:szCs w:val="22"/>
          <w:lang w:val="en-US"/>
        </w:rPr>
        <w:t>and</w:t>
      </w:r>
      <w:r w:rsidRPr="00EA5DE3">
        <w:rPr>
          <w:spacing w:val="-3"/>
          <w:sz w:val="22"/>
          <w:szCs w:val="22"/>
          <w:lang w:val="en-US"/>
        </w:rPr>
        <w:t xml:space="preserve"> </w:t>
      </w:r>
      <w:r w:rsidRPr="00EA5DE3">
        <w:rPr>
          <w:sz w:val="22"/>
          <w:szCs w:val="22"/>
          <w:lang w:val="en-US"/>
        </w:rPr>
        <w:t>Customer</w:t>
      </w:r>
      <w:r w:rsidRPr="00EA5DE3">
        <w:rPr>
          <w:spacing w:val="-5"/>
          <w:sz w:val="22"/>
          <w:szCs w:val="22"/>
          <w:lang w:val="en-US"/>
        </w:rPr>
        <w:t xml:space="preserve"> </w:t>
      </w:r>
      <w:r w:rsidRPr="00EA5DE3">
        <w:rPr>
          <w:sz w:val="22"/>
          <w:szCs w:val="22"/>
          <w:lang w:val="en-US"/>
        </w:rPr>
        <w:t>Responses,</w:t>
      </w:r>
      <w:r w:rsidRPr="00EA5DE3">
        <w:rPr>
          <w:spacing w:val="-1"/>
          <w:sz w:val="22"/>
          <w:szCs w:val="22"/>
          <w:lang w:val="en-US"/>
        </w:rPr>
        <w:t xml:space="preserve"> </w:t>
      </w:r>
      <w:r w:rsidRPr="00EA5DE3">
        <w:rPr>
          <w:sz w:val="22"/>
          <w:szCs w:val="22"/>
          <w:lang w:val="en-US"/>
        </w:rPr>
        <w:t>Journal</w:t>
      </w:r>
      <w:r w:rsidRPr="00EA5DE3">
        <w:rPr>
          <w:spacing w:val="-3"/>
          <w:sz w:val="22"/>
          <w:szCs w:val="22"/>
          <w:lang w:val="en-US"/>
        </w:rPr>
        <w:t xml:space="preserve"> </w:t>
      </w:r>
      <w:r w:rsidRPr="00EA5DE3">
        <w:rPr>
          <w:sz w:val="22"/>
          <w:szCs w:val="22"/>
          <w:lang w:val="en-US"/>
        </w:rPr>
        <w:t>of</w:t>
      </w:r>
      <w:r w:rsidRPr="00EA5DE3">
        <w:rPr>
          <w:spacing w:val="-3"/>
          <w:sz w:val="22"/>
          <w:szCs w:val="22"/>
          <w:lang w:val="en-US"/>
        </w:rPr>
        <w:t xml:space="preserve"> </w:t>
      </w:r>
      <w:r w:rsidRPr="00EA5DE3">
        <w:rPr>
          <w:sz w:val="22"/>
          <w:szCs w:val="22"/>
          <w:lang w:val="en-US"/>
        </w:rPr>
        <w:t>Service</w:t>
      </w:r>
      <w:r w:rsidRPr="00EA5DE3">
        <w:rPr>
          <w:spacing w:val="-4"/>
          <w:sz w:val="22"/>
          <w:szCs w:val="22"/>
          <w:lang w:val="en-US"/>
        </w:rPr>
        <w:t xml:space="preserve"> </w:t>
      </w:r>
      <w:r w:rsidRPr="00EA5DE3">
        <w:rPr>
          <w:sz w:val="22"/>
          <w:szCs w:val="22"/>
          <w:lang w:val="en-US"/>
        </w:rPr>
        <w:t>Research, 14(1):</w:t>
      </w:r>
      <w:r w:rsidRPr="00EA5DE3">
        <w:rPr>
          <w:spacing w:val="-3"/>
          <w:sz w:val="22"/>
          <w:szCs w:val="22"/>
          <w:lang w:val="en-US"/>
        </w:rPr>
        <w:t xml:space="preserve"> </w:t>
      </w:r>
      <w:r w:rsidRPr="00EA5DE3">
        <w:rPr>
          <w:sz w:val="22"/>
          <w:szCs w:val="22"/>
          <w:lang w:val="en-US"/>
        </w:rPr>
        <w:t>24-43.</w:t>
      </w:r>
      <w:r w:rsidRPr="00EA5DE3">
        <w:rPr>
          <w:spacing w:val="80"/>
          <w:sz w:val="22"/>
          <w:szCs w:val="22"/>
          <w:lang w:val="en-US"/>
        </w:rPr>
        <w:t xml:space="preserve"> </w:t>
      </w:r>
      <w:r w:rsidRPr="00EA5DE3">
        <w:rPr>
          <w:sz w:val="22"/>
          <w:szCs w:val="22"/>
          <w:lang w:val="en-US"/>
        </w:rPr>
        <w:t>Orsingher,</w:t>
      </w:r>
      <w:r w:rsidRPr="00EA5DE3">
        <w:rPr>
          <w:spacing w:val="40"/>
          <w:sz w:val="22"/>
          <w:szCs w:val="22"/>
          <w:lang w:val="en-US"/>
        </w:rPr>
        <w:t xml:space="preserve"> </w:t>
      </w:r>
      <w:r w:rsidRPr="00EA5DE3">
        <w:rPr>
          <w:sz w:val="22"/>
          <w:szCs w:val="22"/>
          <w:lang w:val="en-US"/>
        </w:rPr>
        <w:t>C.; Valentini, S.; de Angelis, M. (2010): A Meta-Analysis of Satisfaction with Complaint</w:t>
      </w:r>
      <w:r w:rsidRPr="00EA5DE3">
        <w:rPr>
          <w:spacing w:val="40"/>
          <w:sz w:val="22"/>
          <w:szCs w:val="22"/>
          <w:lang w:val="en-US"/>
        </w:rPr>
        <w:t xml:space="preserve"> </w:t>
      </w:r>
      <w:r w:rsidRPr="00EA5DE3">
        <w:rPr>
          <w:sz w:val="22"/>
          <w:szCs w:val="22"/>
          <w:lang w:val="en-US"/>
        </w:rPr>
        <w:t>Handling in Services, Journal of the Academy of Marketing Science, 38(2): 169-186.</w:t>
      </w:r>
    </w:p>
    <w:p w14:paraId="251868AB" w14:textId="77777777" w:rsidR="00FF7799" w:rsidRPr="004B24AB" w:rsidRDefault="00FF7799" w:rsidP="00E26480">
      <w:pPr>
        <w:pStyle w:val="StandardText"/>
        <w:rPr>
          <w:lang w:val="en-US"/>
        </w:rPr>
      </w:pPr>
    </w:p>
    <w:p w14:paraId="509E3FF3" w14:textId="77777777" w:rsidR="008E049F" w:rsidRPr="007F69DA" w:rsidRDefault="008E049F" w:rsidP="008E049F">
      <w:pPr>
        <w:pStyle w:val="berschrift2"/>
        <w:ind w:left="576" w:hanging="576"/>
        <w:rPr>
          <w:bCs w:val="0"/>
          <w:iCs/>
          <w:color w:val="2E74B5"/>
          <w:szCs w:val="22"/>
        </w:rPr>
      </w:pPr>
      <w:r w:rsidRPr="008E049F">
        <w:rPr>
          <w:color w:val="2F5496" w:themeColor="accent5" w:themeShade="BF"/>
          <w:sz w:val="24"/>
          <w:szCs w:val="22"/>
        </w:rPr>
        <w:t>Bewusstsein, kulturelles</w:t>
      </w:r>
      <w:r w:rsidRPr="007F69DA">
        <w:rPr>
          <w:bCs w:val="0"/>
          <w:color w:val="2E74B5"/>
          <w:szCs w:val="22"/>
        </w:rPr>
        <w:t xml:space="preserve"> </w:t>
      </w:r>
      <w:r w:rsidRPr="00544326">
        <w:rPr>
          <w:b w:val="0"/>
          <w:sz w:val="22"/>
        </w:rPr>
        <w:sym w:font="Symbol" w:char="F0AE"/>
      </w:r>
      <w:r w:rsidRPr="00544326">
        <w:rPr>
          <w:b w:val="0"/>
          <w:sz w:val="22"/>
        </w:rPr>
        <w:t xml:space="preserve"> Kompetenz, interkulturelle</w:t>
      </w:r>
    </w:p>
    <w:p w14:paraId="34743F6A" w14:textId="77777777" w:rsidR="00FF7799" w:rsidRPr="008E049F" w:rsidRDefault="00FF7799" w:rsidP="00862DBA">
      <w:pPr>
        <w:pStyle w:val="berschrift1"/>
        <w:spacing w:before="91"/>
        <w:rPr>
          <w:color w:val="2F5496" w:themeColor="accent5" w:themeShade="BF"/>
        </w:rPr>
      </w:pPr>
      <w:r w:rsidRPr="008E049F">
        <w:rPr>
          <w:color w:val="2F5496" w:themeColor="accent5" w:themeShade="BF"/>
        </w:rPr>
        <w:t>Beziehungskultur</w:t>
      </w:r>
    </w:p>
    <w:p w14:paraId="6AB1906F" w14:textId="77777777" w:rsidR="00FF7799" w:rsidRPr="00E73F6F" w:rsidRDefault="00FF7799" w:rsidP="00F85CA4">
      <w:pPr>
        <w:pStyle w:val="StandardText"/>
      </w:pPr>
      <w:r w:rsidRPr="00E73F6F">
        <w:t>zeichnet sich dadurch aus, dass in diesen Gesellschaften auch im Geschäftsleben gute persönliche Beziehungen unerlässlich sind. Während in stärker aufgabenorientierten</w:t>
      </w:r>
      <w:r w:rsidRPr="00E73F6F">
        <w:rPr>
          <w:spacing w:val="40"/>
        </w:rPr>
        <w:t xml:space="preserve"> </w:t>
      </w:r>
      <w:r w:rsidRPr="00E73F6F">
        <w:t>Gesellschaften, wie den westlichen Industrienationen, gute persönliche Beziehungen eher als mögliches Ergebnis stabiler und wechselseitig befriedigender Geschäftskontakte angesehen werden, sind sie bspw. im afrikanischen, im arabischen und im konfuzianisch geprägten ostasiatischen Kulturkreis</w:t>
      </w:r>
      <w:r w:rsidRPr="00E73F6F">
        <w:rPr>
          <w:spacing w:val="-10"/>
        </w:rPr>
        <w:t xml:space="preserve"> </w:t>
      </w:r>
      <w:r w:rsidRPr="00E73F6F">
        <w:t>eine</w:t>
      </w:r>
      <w:r w:rsidRPr="00E73F6F">
        <w:rPr>
          <w:spacing w:val="-10"/>
        </w:rPr>
        <w:t xml:space="preserve"> </w:t>
      </w:r>
      <w:r w:rsidRPr="00E73F6F">
        <w:t>unerlässliche</w:t>
      </w:r>
      <w:r w:rsidRPr="00E73F6F">
        <w:rPr>
          <w:spacing w:val="-9"/>
        </w:rPr>
        <w:t xml:space="preserve"> </w:t>
      </w:r>
      <w:r w:rsidRPr="00E73F6F">
        <w:t>Voraussetzung</w:t>
      </w:r>
      <w:r w:rsidRPr="00E73F6F">
        <w:rPr>
          <w:spacing w:val="-8"/>
        </w:rPr>
        <w:t xml:space="preserve"> </w:t>
      </w:r>
      <w:r w:rsidRPr="00E73F6F">
        <w:t>von</w:t>
      </w:r>
      <w:r w:rsidRPr="00E73F6F">
        <w:rPr>
          <w:spacing w:val="-11"/>
        </w:rPr>
        <w:t xml:space="preserve"> </w:t>
      </w:r>
      <w:r w:rsidRPr="00E73F6F">
        <w:t>Geschäftsbeziehungen.</w:t>
      </w:r>
      <w:r w:rsidRPr="00E73F6F">
        <w:rPr>
          <w:spacing w:val="-10"/>
        </w:rPr>
        <w:t xml:space="preserve"> </w:t>
      </w:r>
      <w:r w:rsidRPr="00E73F6F">
        <w:t>Deshalb ist</w:t>
      </w:r>
      <w:r w:rsidRPr="00E73F6F">
        <w:rPr>
          <w:spacing w:val="-4"/>
        </w:rPr>
        <w:t xml:space="preserve"> </w:t>
      </w:r>
      <w:r w:rsidRPr="00E73F6F">
        <w:t>dort</w:t>
      </w:r>
      <w:r w:rsidRPr="00E73F6F">
        <w:rPr>
          <w:spacing w:val="-4"/>
        </w:rPr>
        <w:t xml:space="preserve"> </w:t>
      </w:r>
      <w:r w:rsidRPr="00E73F6F">
        <w:t>ein</w:t>
      </w:r>
      <w:r w:rsidRPr="00E73F6F">
        <w:rPr>
          <w:spacing w:val="-5"/>
        </w:rPr>
        <w:t xml:space="preserve"> </w:t>
      </w:r>
      <w:r w:rsidRPr="00E73F6F">
        <w:t>von</w:t>
      </w:r>
      <w:r w:rsidRPr="00E73F6F">
        <w:rPr>
          <w:spacing w:val="-3"/>
        </w:rPr>
        <w:t xml:space="preserve"> </w:t>
      </w:r>
      <w:r w:rsidRPr="00E73F6F">
        <w:t>Kulturfremden</w:t>
      </w:r>
      <w:r w:rsidRPr="00E73F6F">
        <w:rPr>
          <w:spacing w:val="-5"/>
        </w:rPr>
        <w:t xml:space="preserve"> </w:t>
      </w:r>
      <w:r w:rsidRPr="00E73F6F">
        <w:t>häufig</w:t>
      </w:r>
      <w:r w:rsidRPr="00E73F6F">
        <w:rPr>
          <w:spacing w:val="-5"/>
        </w:rPr>
        <w:t xml:space="preserve"> </w:t>
      </w:r>
      <w:r w:rsidRPr="00E73F6F">
        <w:t>als</w:t>
      </w:r>
      <w:r w:rsidRPr="00E73F6F">
        <w:rPr>
          <w:spacing w:val="-4"/>
        </w:rPr>
        <w:t xml:space="preserve"> </w:t>
      </w:r>
      <w:r w:rsidRPr="00E73F6F">
        <w:t>übermäßig</w:t>
      </w:r>
      <w:r w:rsidRPr="00E73F6F">
        <w:rPr>
          <w:spacing w:val="-3"/>
        </w:rPr>
        <w:t xml:space="preserve"> </w:t>
      </w:r>
      <w:r w:rsidRPr="00E73F6F">
        <w:t>lang</w:t>
      </w:r>
      <w:r w:rsidRPr="00E73F6F">
        <w:rPr>
          <w:spacing w:val="-5"/>
        </w:rPr>
        <w:t xml:space="preserve"> </w:t>
      </w:r>
      <w:r w:rsidRPr="00E73F6F">
        <w:t>und</w:t>
      </w:r>
      <w:r w:rsidRPr="00E73F6F">
        <w:rPr>
          <w:spacing w:val="-5"/>
        </w:rPr>
        <w:t xml:space="preserve"> </w:t>
      </w:r>
      <w:r w:rsidRPr="00E73F6F">
        <w:t>letztlich</w:t>
      </w:r>
      <w:r w:rsidRPr="00E73F6F">
        <w:rPr>
          <w:spacing w:val="-3"/>
        </w:rPr>
        <w:t xml:space="preserve"> </w:t>
      </w:r>
      <w:r w:rsidRPr="00E73F6F">
        <w:t>überflüssig angesehenes 'warming up' üblich, in dessen Verlauf potenzielle Geschäftspartner ihre Beziehungstauglichkeit unter Beweis stellen müssen. Weiterhin sind in Beziehungskulturen persönliche Empfehlungen wichtiger als formelle Zeugnisse oder Zertifikate.</w:t>
      </w:r>
    </w:p>
    <w:p w14:paraId="38FEE4BE" w14:textId="77777777" w:rsidR="00FF7799" w:rsidRPr="00E73F6F" w:rsidRDefault="00FF7799" w:rsidP="00F85CA4">
      <w:pPr>
        <w:pStyle w:val="StandardText"/>
      </w:pPr>
    </w:p>
    <w:p w14:paraId="259A0E83" w14:textId="77777777" w:rsidR="00FF7799" w:rsidRPr="004B24AB" w:rsidRDefault="00FF7799" w:rsidP="005A7326">
      <w:pPr>
        <w:pStyle w:val="berschrift1"/>
        <w:rPr>
          <w:b w:val="0"/>
        </w:rPr>
      </w:pPr>
      <w:r w:rsidRPr="008E049F">
        <w:rPr>
          <w:color w:val="2F5496" w:themeColor="accent5" w:themeShade="BF"/>
        </w:rPr>
        <w:t>Big Mac-Parität</w:t>
      </w:r>
      <w:r w:rsidRPr="00E73F6F">
        <w:t xml:space="preserve"> →</w:t>
      </w:r>
      <w:r w:rsidRPr="00E73F6F">
        <w:rPr>
          <w:spacing w:val="-4"/>
        </w:rPr>
        <w:t xml:space="preserve"> </w:t>
      </w:r>
      <w:r w:rsidRPr="004B24AB">
        <w:rPr>
          <w:b w:val="0"/>
        </w:rPr>
        <w:t>Wechselkurs,</w:t>
      </w:r>
      <w:r w:rsidRPr="004B24AB">
        <w:rPr>
          <w:b w:val="0"/>
          <w:spacing w:val="-5"/>
        </w:rPr>
        <w:t xml:space="preserve"> </w:t>
      </w:r>
      <w:r w:rsidRPr="004B24AB">
        <w:rPr>
          <w:b w:val="0"/>
        </w:rPr>
        <w:t>realer</w:t>
      </w:r>
    </w:p>
    <w:p w14:paraId="222B87FD" w14:textId="77777777" w:rsidR="00FF7799" w:rsidRPr="008E049F" w:rsidRDefault="00FF7799" w:rsidP="003166E3">
      <w:pPr>
        <w:pStyle w:val="berschrift1"/>
        <w:rPr>
          <w:color w:val="2F5496" w:themeColor="accent5" w:themeShade="BF"/>
        </w:rPr>
      </w:pPr>
      <w:r w:rsidRPr="008E049F">
        <w:rPr>
          <w:color w:val="2F5496" w:themeColor="accent5" w:themeShade="BF"/>
        </w:rPr>
        <w:t>Born Globals</w:t>
      </w:r>
    </w:p>
    <w:p w14:paraId="7B0CCAED" w14:textId="77777777" w:rsidR="00FF7799" w:rsidRPr="00EA5DE3" w:rsidRDefault="00FF7799" w:rsidP="00F85CA4">
      <w:pPr>
        <w:pStyle w:val="StandardText"/>
      </w:pPr>
      <w:r w:rsidRPr="00EA5DE3">
        <w:t>weisen</w:t>
      </w:r>
      <w:r w:rsidRPr="00EA5DE3">
        <w:rPr>
          <w:spacing w:val="-1"/>
        </w:rPr>
        <w:t xml:space="preserve"> </w:t>
      </w:r>
      <w:r w:rsidRPr="00EA5DE3">
        <w:t>gemäß</w:t>
      </w:r>
      <w:r w:rsidRPr="00EA5DE3">
        <w:rPr>
          <w:spacing w:val="-2"/>
        </w:rPr>
        <w:t xml:space="preserve"> </w:t>
      </w:r>
      <w:r w:rsidRPr="00EA5DE3">
        <w:t>einer</w:t>
      </w:r>
      <w:r w:rsidRPr="00EA5DE3">
        <w:rPr>
          <w:spacing w:val="-1"/>
        </w:rPr>
        <w:t xml:space="preserve"> </w:t>
      </w:r>
      <w:r w:rsidRPr="00EA5DE3">
        <w:t>McKinsey-Studie</w:t>
      </w:r>
      <w:r w:rsidRPr="00EA5DE3">
        <w:rPr>
          <w:spacing w:val="-1"/>
        </w:rPr>
        <w:t xml:space="preserve"> </w:t>
      </w:r>
      <w:r w:rsidRPr="00EA5DE3">
        <w:t>folgende</w:t>
      </w:r>
      <w:r w:rsidRPr="00EA5DE3">
        <w:rPr>
          <w:spacing w:val="-2"/>
        </w:rPr>
        <w:t xml:space="preserve"> </w:t>
      </w:r>
      <w:r w:rsidRPr="00EA5DE3">
        <w:t>Merkmale</w:t>
      </w:r>
      <w:r w:rsidRPr="00EA5DE3">
        <w:rPr>
          <w:spacing w:val="-2"/>
        </w:rPr>
        <w:t xml:space="preserve"> </w:t>
      </w:r>
      <w:r w:rsidRPr="00EA5DE3">
        <w:t>auf:</w:t>
      </w:r>
      <w:r w:rsidRPr="00EA5DE3">
        <w:rPr>
          <w:spacing w:val="-3"/>
        </w:rPr>
        <w:t xml:space="preserve"> </w:t>
      </w:r>
      <w:r w:rsidRPr="00EA5DE3">
        <w:t>Sie</w:t>
      </w:r>
      <w:r w:rsidRPr="00EA5DE3">
        <w:rPr>
          <w:spacing w:val="-1"/>
        </w:rPr>
        <w:t xml:space="preserve"> </w:t>
      </w:r>
      <w:r w:rsidRPr="00EA5DE3">
        <w:rPr>
          <w:spacing w:val="-10"/>
        </w:rPr>
        <w:t>…</w:t>
      </w:r>
    </w:p>
    <w:p w14:paraId="34D1D405" w14:textId="77777777" w:rsidR="00FF7799" w:rsidRPr="00E73F6F" w:rsidRDefault="00FF7799" w:rsidP="008E049F">
      <w:pPr>
        <w:pStyle w:val="StandardTextAufzhlung"/>
        <w:ind w:left="426"/>
      </w:pPr>
      <w:r w:rsidRPr="00E73F6F">
        <w:t>orientieren sich bei ihrer Internationalisierung nicht an „psychisch nahen L</w:t>
      </w:r>
      <w:r w:rsidR="004B24AB">
        <w:t>ändern“, sondern am Weltmarkt (</w:t>
      </w:r>
      <w:r w:rsidR="004B24AB">
        <w:sym w:font="Symbol" w:char="F0DE"/>
      </w:r>
      <w:r w:rsidRPr="00E73F6F">
        <w:t xml:space="preserve"> Distanzforschung),</w:t>
      </w:r>
    </w:p>
    <w:p w14:paraId="70BF8946" w14:textId="77777777" w:rsidR="00FF7799" w:rsidRPr="00E73F6F" w:rsidRDefault="00FF7799" w:rsidP="008E049F">
      <w:pPr>
        <w:pStyle w:val="StandardTextAufzhlung"/>
        <w:ind w:left="426"/>
      </w:pPr>
      <w:r w:rsidRPr="00E73F6F">
        <w:t>exportieren bereits</w:t>
      </w:r>
      <w:r w:rsidRPr="00E73F6F">
        <w:rPr>
          <w:spacing w:val="-1"/>
        </w:rPr>
        <w:t xml:space="preserve"> </w:t>
      </w:r>
      <w:r w:rsidRPr="00E73F6F">
        <w:t>innerhalb der</w:t>
      </w:r>
      <w:r w:rsidRPr="00E73F6F">
        <w:rPr>
          <w:spacing w:val="-3"/>
        </w:rPr>
        <w:t xml:space="preserve"> </w:t>
      </w:r>
      <w:r w:rsidRPr="00E73F6F">
        <w:t>ersten zwei Jahre</w:t>
      </w:r>
      <w:r w:rsidRPr="00E73F6F">
        <w:rPr>
          <w:spacing w:val="-1"/>
        </w:rPr>
        <w:t xml:space="preserve"> </w:t>
      </w:r>
      <w:r w:rsidRPr="00E73F6F">
        <w:t xml:space="preserve">nach ihrer Gründung ein oder mehrere Produkte, gewöhnlich mindestens ein Viertel der gesamten </w:t>
      </w:r>
      <w:r w:rsidRPr="00E73F6F">
        <w:rPr>
          <w:spacing w:val="-2"/>
        </w:rPr>
        <w:t>Produktion,</w:t>
      </w:r>
    </w:p>
    <w:p w14:paraId="7F022AE0" w14:textId="77777777" w:rsidR="00FF7799" w:rsidRPr="00E73F6F" w:rsidRDefault="00FF7799" w:rsidP="008E049F">
      <w:pPr>
        <w:pStyle w:val="StandardTextAufzhlung"/>
        <w:ind w:left="426"/>
      </w:pPr>
      <w:r w:rsidRPr="00E73F6F">
        <w:t>erwirtschaften</w:t>
      </w:r>
      <w:r w:rsidRPr="00E73F6F">
        <w:rPr>
          <w:spacing w:val="-1"/>
        </w:rPr>
        <w:t xml:space="preserve"> </w:t>
      </w:r>
      <w:r w:rsidRPr="00E73F6F">
        <w:t>einen Umsatz</w:t>
      </w:r>
      <w:r w:rsidRPr="00E73F6F">
        <w:rPr>
          <w:spacing w:val="-2"/>
        </w:rPr>
        <w:t xml:space="preserve"> </w:t>
      </w:r>
      <w:r w:rsidRPr="00E73F6F">
        <w:t>von</w:t>
      </w:r>
      <w:r w:rsidRPr="00E73F6F">
        <w:rPr>
          <w:spacing w:val="-2"/>
        </w:rPr>
        <w:t xml:space="preserve"> </w:t>
      </w:r>
      <w:r w:rsidRPr="00E73F6F">
        <w:t>maximal</w:t>
      </w:r>
      <w:r w:rsidRPr="00E73F6F">
        <w:rPr>
          <w:spacing w:val="-1"/>
        </w:rPr>
        <w:t xml:space="preserve"> </w:t>
      </w:r>
      <w:r w:rsidRPr="00E73F6F">
        <w:t>100</w:t>
      </w:r>
      <w:r w:rsidRPr="00E73F6F">
        <w:rPr>
          <w:spacing w:val="-2"/>
        </w:rPr>
        <w:t xml:space="preserve"> </w:t>
      </w:r>
      <w:r w:rsidRPr="00E73F6F">
        <w:t>Mio.</w:t>
      </w:r>
      <w:r w:rsidRPr="00E73F6F">
        <w:rPr>
          <w:spacing w:val="-4"/>
        </w:rPr>
        <w:t xml:space="preserve"> </w:t>
      </w:r>
      <w:r w:rsidRPr="00E73F6F">
        <w:t xml:space="preserve">$ pro </w:t>
      </w:r>
      <w:r w:rsidRPr="00E73F6F">
        <w:rPr>
          <w:spacing w:val="-4"/>
        </w:rPr>
        <w:t>Jahr,</w:t>
      </w:r>
    </w:p>
    <w:p w14:paraId="1133DBAC" w14:textId="77777777" w:rsidR="00FF7799" w:rsidRPr="00E73F6F" w:rsidRDefault="00FF7799" w:rsidP="008E049F">
      <w:pPr>
        <w:pStyle w:val="StandardTextAufzhlung"/>
        <w:ind w:left="426"/>
      </w:pPr>
      <w:r w:rsidRPr="00E73F6F">
        <w:lastRenderedPageBreak/>
        <w:t>werden</w:t>
      </w:r>
      <w:r w:rsidRPr="00E73F6F">
        <w:rPr>
          <w:spacing w:val="-3"/>
        </w:rPr>
        <w:t xml:space="preserve"> </w:t>
      </w:r>
      <w:r w:rsidRPr="00E73F6F">
        <w:t>von</w:t>
      </w:r>
      <w:r w:rsidRPr="00E73F6F">
        <w:rPr>
          <w:spacing w:val="-2"/>
        </w:rPr>
        <w:t xml:space="preserve"> </w:t>
      </w:r>
      <w:r w:rsidRPr="00E73F6F">
        <w:t>„aktiven</w:t>
      </w:r>
      <w:r w:rsidRPr="00E73F6F">
        <w:rPr>
          <w:spacing w:val="-2"/>
        </w:rPr>
        <w:t xml:space="preserve"> </w:t>
      </w:r>
      <w:r w:rsidRPr="00E73F6F">
        <w:t>Unternehmern“</w:t>
      </w:r>
      <w:r w:rsidRPr="00E73F6F">
        <w:rPr>
          <w:spacing w:val="-3"/>
        </w:rPr>
        <w:t xml:space="preserve"> </w:t>
      </w:r>
      <w:r w:rsidRPr="00E73F6F">
        <w:rPr>
          <w:spacing w:val="-2"/>
        </w:rPr>
        <w:t>geleitet,</w:t>
      </w:r>
    </w:p>
    <w:p w14:paraId="0D7F188C" w14:textId="77777777" w:rsidR="00FF7799" w:rsidRPr="00E73F6F" w:rsidRDefault="00FF7799" w:rsidP="008E049F">
      <w:pPr>
        <w:pStyle w:val="StandardTextAufzhlung"/>
        <w:ind w:left="426"/>
      </w:pPr>
      <w:r w:rsidRPr="00E73F6F">
        <w:t xml:space="preserve">verdanken ihre Entstehung nicht selten einer innovativen Produkt- oder Prozesstechnologie, die es ihnen erlaubt, neuartige Geschäftsfelder zu </w:t>
      </w:r>
      <w:r w:rsidRPr="00E73F6F">
        <w:rPr>
          <w:spacing w:val="-2"/>
        </w:rPr>
        <w:t>besetzen,</w:t>
      </w:r>
    </w:p>
    <w:p w14:paraId="5FDD7C23" w14:textId="77777777" w:rsidR="00FF7799" w:rsidRPr="00E73F6F" w:rsidRDefault="00FF7799" w:rsidP="008E049F">
      <w:pPr>
        <w:pStyle w:val="StandardTextAufzhlung"/>
        <w:ind w:left="426"/>
      </w:pPr>
      <w:r w:rsidRPr="00E73F6F">
        <w:t>stellen überwiegend Produkte für</w:t>
      </w:r>
      <w:r w:rsidRPr="00E73F6F">
        <w:rPr>
          <w:spacing w:val="-1"/>
        </w:rPr>
        <w:t xml:space="preserve"> </w:t>
      </w:r>
      <w:r w:rsidRPr="00E73F6F">
        <w:t xml:space="preserve">den industriellen Gebrauch her, denen sie bspw. durch Service den entscheidenden „Mehrwert“ verschaffen (Value </w:t>
      </w:r>
      <w:r w:rsidRPr="00E73F6F">
        <w:rPr>
          <w:spacing w:val="-2"/>
        </w:rPr>
        <w:t>Added-Strategie).</w:t>
      </w:r>
    </w:p>
    <w:p w14:paraId="4EF03D48" w14:textId="77777777" w:rsidR="00EA5DE3" w:rsidRDefault="00EA5DE3" w:rsidP="008E049F">
      <w:pPr>
        <w:pStyle w:val="StandardText"/>
        <w:ind w:left="426"/>
      </w:pPr>
    </w:p>
    <w:p w14:paraId="716BC294" w14:textId="77777777" w:rsidR="00FF7799" w:rsidRPr="00E73F6F" w:rsidRDefault="00FF7799" w:rsidP="00F85CA4">
      <w:pPr>
        <w:pStyle w:val="StandardText"/>
      </w:pPr>
      <w:r w:rsidRPr="00E73F6F">
        <w:t xml:space="preserve">Den Born Globals vergleichbar sind jene deutschen KMU, für die </w:t>
      </w:r>
      <w:r w:rsidRPr="00EA5DE3">
        <w:t>H. Simon</w:t>
      </w:r>
      <w:r w:rsidRPr="00E73F6F">
        <w:rPr>
          <w:i/>
        </w:rPr>
        <w:t xml:space="preserve"> </w:t>
      </w:r>
      <w:r w:rsidRPr="00E73F6F">
        <w:t>den Begriff der Hidden Champions geprägt hat. Auch sie betrachten den Weltmarkt, den sie mit qualitativ hochwertigen (zumeist innovativen) Produkten kundennah bearbeiten, als ihren Markt. Das Management ist visionär, gibt eindeutige Ziele vor („Marktführerschaft“), die konsequent umgesetzt werden, pflegt einen partizipativen Führungsstil und verfügt über Mitarbeiter, die sich mit de</w:t>
      </w:r>
      <w:r w:rsidR="004B24AB">
        <w:t xml:space="preserve">m Unternehmen identifizieren. </w:t>
      </w:r>
      <w:r w:rsidRPr="00E73F6F">
        <w:t>Kundennähe gewährleisten sie dadurch, dass sie selbst in den Zielmärkten präsent sind, z.B. in Gestalt von Vertriebs- bzw. Serviceniederlassungen.</w:t>
      </w:r>
      <w:r w:rsidRPr="00E73F6F">
        <w:rPr>
          <w:spacing w:val="-12"/>
        </w:rPr>
        <w:t xml:space="preserve"> </w:t>
      </w:r>
      <w:r w:rsidRPr="00E73F6F">
        <w:t>Zu</w:t>
      </w:r>
      <w:r w:rsidRPr="00E73F6F">
        <w:rPr>
          <w:spacing w:val="-11"/>
        </w:rPr>
        <w:t xml:space="preserve"> </w:t>
      </w:r>
      <w:r w:rsidRPr="00E73F6F">
        <w:t>diesem</w:t>
      </w:r>
      <w:r w:rsidRPr="00E73F6F">
        <w:rPr>
          <w:spacing w:val="-11"/>
        </w:rPr>
        <w:t xml:space="preserve"> </w:t>
      </w:r>
      <w:r w:rsidRPr="00E73F6F">
        <w:t>Zweck</w:t>
      </w:r>
      <w:r w:rsidRPr="00E73F6F">
        <w:rPr>
          <w:spacing w:val="-11"/>
        </w:rPr>
        <w:t xml:space="preserve"> </w:t>
      </w:r>
      <w:r w:rsidRPr="00E73F6F">
        <w:t>errichtete</w:t>
      </w:r>
      <w:r w:rsidRPr="00E73F6F">
        <w:rPr>
          <w:spacing w:val="-12"/>
        </w:rPr>
        <w:t xml:space="preserve"> </w:t>
      </w:r>
      <w:r w:rsidRPr="00E73F6F">
        <w:t>Produktionsstätten</w:t>
      </w:r>
      <w:r w:rsidRPr="00E73F6F">
        <w:rPr>
          <w:spacing w:val="-11"/>
        </w:rPr>
        <w:t xml:space="preserve"> </w:t>
      </w:r>
      <w:r w:rsidRPr="00E73F6F">
        <w:t>werden</w:t>
      </w:r>
      <w:r w:rsidRPr="00E73F6F">
        <w:rPr>
          <w:spacing w:val="-11"/>
        </w:rPr>
        <w:t xml:space="preserve"> </w:t>
      </w:r>
      <w:r w:rsidRPr="00E73F6F">
        <w:t>in Eigenregie geführt. Bemerkenswert ist weiterhin, dass dieser Unternehmenstyp durchschnittlich knapp zehn Niederlassungen im Ausland betreibt, eine für die zumeist mittelständisch geprägten Unternehmen außergewöhnlich große Zahl. Trotz (oder wegen?) ihrer „Aversion“ gegenüber einer Zusammenarbeit mit anderen Unternehmen (z.B. in Form einer Strategischen Allianz) ist es ihnen gelungen, im jeweiligen Segment Weltmarktführer zu werden.</w:t>
      </w:r>
    </w:p>
    <w:p w14:paraId="4E149649" w14:textId="77777777" w:rsidR="00FF7799" w:rsidRPr="00EA5DE3" w:rsidRDefault="00FF7799" w:rsidP="00F85CA4">
      <w:pPr>
        <w:pStyle w:val="StandardText"/>
        <w:rPr>
          <w:spacing w:val="-4"/>
          <w:sz w:val="22"/>
          <w:szCs w:val="22"/>
        </w:rPr>
      </w:pPr>
      <w:r w:rsidRPr="00EA5DE3">
        <w:rPr>
          <w:b/>
          <w:i/>
          <w:sz w:val="22"/>
          <w:szCs w:val="22"/>
          <w:lang w:val="en-US"/>
        </w:rPr>
        <w:t>Literatur:</w:t>
      </w:r>
      <w:r w:rsidRPr="00EA5DE3">
        <w:rPr>
          <w:b/>
          <w:i/>
          <w:spacing w:val="-8"/>
          <w:sz w:val="22"/>
          <w:szCs w:val="22"/>
          <w:lang w:val="en-US"/>
        </w:rPr>
        <w:t xml:space="preserve"> </w:t>
      </w:r>
      <w:r w:rsidRPr="00EA5DE3">
        <w:rPr>
          <w:sz w:val="22"/>
          <w:szCs w:val="22"/>
          <w:lang w:val="en-US"/>
        </w:rPr>
        <w:t>Cavusgil,</w:t>
      </w:r>
      <w:r w:rsidRPr="00EA5DE3">
        <w:rPr>
          <w:spacing w:val="-8"/>
          <w:sz w:val="22"/>
          <w:szCs w:val="22"/>
          <w:lang w:val="en-US"/>
        </w:rPr>
        <w:t xml:space="preserve"> </w:t>
      </w:r>
      <w:r w:rsidRPr="00EA5DE3">
        <w:rPr>
          <w:sz w:val="22"/>
          <w:szCs w:val="22"/>
          <w:lang w:val="en-US"/>
        </w:rPr>
        <w:t>S.T.;</w:t>
      </w:r>
      <w:r w:rsidRPr="00EA5DE3">
        <w:rPr>
          <w:spacing w:val="-10"/>
          <w:sz w:val="22"/>
          <w:szCs w:val="22"/>
          <w:lang w:val="en-US"/>
        </w:rPr>
        <w:t xml:space="preserve"> </w:t>
      </w:r>
      <w:r w:rsidRPr="00EA5DE3">
        <w:rPr>
          <w:sz w:val="22"/>
          <w:szCs w:val="22"/>
          <w:lang w:val="en-US"/>
        </w:rPr>
        <w:t>Knight,</w:t>
      </w:r>
      <w:r w:rsidRPr="00EA5DE3">
        <w:rPr>
          <w:spacing w:val="-6"/>
          <w:sz w:val="22"/>
          <w:szCs w:val="22"/>
          <w:lang w:val="en-US"/>
        </w:rPr>
        <w:t xml:space="preserve"> </w:t>
      </w:r>
      <w:r w:rsidRPr="00EA5DE3">
        <w:rPr>
          <w:sz w:val="22"/>
          <w:szCs w:val="22"/>
          <w:lang w:val="en-US"/>
        </w:rPr>
        <w:t>G.</w:t>
      </w:r>
      <w:r w:rsidRPr="00EA5DE3">
        <w:rPr>
          <w:spacing w:val="-5"/>
          <w:sz w:val="22"/>
          <w:szCs w:val="22"/>
          <w:lang w:val="en-US"/>
        </w:rPr>
        <w:t xml:space="preserve"> </w:t>
      </w:r>
      <w:r w:rsidRPr="00EA5DE3">
        <w:rPr>
          <w:sz w:val="22"/>
          <w:szCs w:val="22"/>
          <w:lang w:val="en-US"/>
        </w:rPr>
        <w:t>(2015):</w:t>
      </w:r>
      <w:r w:rsidRPr="00EA5DE3">
        <w:rPr>
          <w:spacing w:val="-8"/>
          <w:sz w:val="22"/>
          <w:szCs w:val="22"/>
          <w:lang w:val="en-US"/>
        </w:rPr>
        <w:t xml:space="preserve"> </w:t>
      </w:r>
      <w:r w:rsidRPr="00EA5DE3">
        <w:rPr>
          <w:sz w:val="22"/>
          <w:szCs w:val="22"/>
          <w:lang w:val="en-US"/>
        </w:rPr>
        <w:t>The</w:t>
      </w:r>
      <w:r w:rsidRPr="00EA5DE3">
        <w:rPr>
          <w:spacing w:val="-6"/>
          <w:sz w:val="22"/>
          <w:szCs w:val="22"/>
          <w:lang w:val="en-US"/>
        </w:rPr>
        <w:t xml:space="preserve"> </w:t>
      </w:r>
      <w:r w:rsidRPr="00EA5DE3">
        <w:rPr>
          <w:sz w:val="22"/>
          <w:szCs w:val="22"/>
          <w:lang w:val="en-US"/>
        </w:rPr>
        <w:t>Born</w:t>
      </w:r>
      <w:r w:rsidRPr="00EA5DE3">
        <w:rPr>
          <w:spacing w:val="-6"/>
          <w:sz w:val="22"/>
          <w:szCs w:val="22"/>
          <w:lang w:val="en-US"/>
        </w:rPr>
        <w:t xml:space="preserve"> </w:t>
      </w:r>
      <w:r w:rsidRPr="00EA5DE3">
        <w:rPr>
          <w:sz w:val="22"/>
          <w:szCs w:val="22"/>
          <w:lang w:val="en-US"/>
        </w:rPr>
        <w:t>Global</w:t>
      </w:r>
      <w:r w:rsidRPr="00EA5DE3">
        <w:rPr>
          <w:spacing w:val="-8"/>
          <w:sz w:val="22"/>
          <w:szCs w:val="22"/>
          <w:lang w:val="en-US"/>
        </w:rPr>
        <w:t xml:space="preserve"> </w:t>
      </w:r>
      <w:r w:rsidRPr="00EA5DE3">
        <w:rPr>
          <w:sz w:val="22"/>
          <w:szCs w:val="22"/>
          <w:lang w:val="en-US"/>
        </w:rPr>
        <w:t>Firm.</w:t>
      </w:r>
      <w:r w:rsidRPr="00EA5DE3">
        <w:rPr>
          <w:spacing w:val="-9"/>
          <w:sz w:val="22"/>
          <w:szCs w:val="22"/>
          <w:lang w:val="en-US"/>
        </w:rPr>
        <w:t xml:space="preserve"> </w:t>
      </w:r>
      <w:r w:rsidRPr="00EA5DE3">
        <w:rPr>
          <w:sz w:val="22"/>
          <w:szCs w:val="22"/>
          <w:lang w:val="en-US"/>
        </w:rPr>
        <w:t>An</w:t>
      </w:r>
      <w:r w:rsidRPr="00EA5DE3">
        <w:rPr>
          <w:spacing w:val="-8"/>
          <w:sz w:val="22"/>
          <w:szCs w:val="22"/>
          <w:lang w:val="en-US"/>
        </w:rPr>
        <w:t xml:space="preserve"> </w:t>
      </w:r>
      <w:r w:rsidRPr="00EA5DE3">
        <w:rPr>
          <w:sz w:val="22"/>
          <w:szCs w:val="22"/>
          <w:lang w:val="en-US"/>
        </w:rPr>
        <w:t>Entrepreneurial</w:t>
      </w:r>
      <w:r w:rsidRPr="00EA5DE3">
        <w:rPr>
          <w:spacing w:val="-8"/>
          <w:sz w:val="22"/>
          <w:szCs w:val="22"/>
          <w:lang w:val="en-US"/>
        </w:rPr>
        <w:t xml:space="preserve"> </w:t>
      </w:r>
      <w:r w:rsidRPr="00EA5DE3">
        <w:rPr>
          <w:sz w:val="22"/>
          <w:szCs w:val="22"/>
          <w:lang w:val="en-US"/>
        </w:rPr>
        <w:t>and</w:t>
      </w:r>
      <w:r w:rsidRPr="00EA5DE3">
        <w:rPr>
          <w:spacing w:val="40"/>
          <w:sz w:val="22"/>
          <w:szCs w:val="22"/>
          <w:lang w:val="en-US"/>
        </w:rPr>
        <w:t xml:space="preserve"> </w:t>
      </w:r>
      <w:r w:rsidRPr="00EA5DE3">
        <w:rPr>
          <w:sz w:val="22"/>
          <w:szCs w:val="22"/>
          <w:lang w:val="en-US"/>
        </w:rPr>
        <w:t>Capabilities Perspective on Early and Rapid Internationalization, Journal of International</w:t>
      </w:r>
      <w:r w:rsidRPr="00EA5DE3">
        <w:rPr>
          <w:spacing w:val="40"/>
          <w:sz w:val="22"/>
          <w:szCs w:val="22"/>
          <w:lang w:val="en-US"/>
        </w:rPr>
        <w:t xml:space="preserve"> </w:t>
      </w:r>
      <w:r w:rsidRPr="00EA5DE3">
        <w:rPr>
          <w:sz w:val="22"/>
          <w:szCs w:val="22"/>
          <w:lang w:val="en-US"/>
        </w:rPr>
        <w:t>Business Studies, 46(1): 3-16.</w:t>
      </w:r>
      <w:r w:rsidRPr="00EA5DE3">
        <w:rPr>
          <w:spacing w:val="40"/>
          <w:sz w:val="22"/>
          <w:szCs w:val="22"/>
          <w:lang w:val="en-US"/>
        </w:rPr>
        <w:t xml:space="preserve"> </w:t>
      </w:r>
      <w:r w:rsidRPr="00EA5DE3">
        <w:rPr>
          <w:sz w:val="22"/>
          <w:szCs w:val="22"/>
          <w:lang w:val="en-US"/>
        </w:rPr>
        <w:t>Knight, G.A.; Cavusgil, S.T. (1995): The Born Global Firm.</w:t>
      </w:r>
      <w:r w:rsidRPr="00EA5DE3">
        <w:rPr>
          <w:spacing w:val="40"/>
          <w:sz w:val="22"/>
          <w:szCs w:val="22"/>
          <w:lang w:val="en-US"/>
        </w:rPr>
        <w:t xml:space="preserve"> </w:t>
      </w:r>
      <w:r w:rsidRPr="00EA5DE3">
        <w:rPr>
          <w:sz w:val="22"/>
          <w:szCs w:val="22"/>
          <w:lang w:val="en-US"/>
        </w:rPr>
        <w:t>A</w:t>
      </w:r>
      <w:r w:rsidRPr="00EA5DE3">
        <w:rPr>
          <w:spacing w:val="-5"/>
          <w:sz w:val="22"/>
          <w:szCs w:val="22"/>
          <w:lang w:val="en-US"/>
        </w:rPr>
        <w:t xml:space="preserve"> </w:t>
      </w:r>
      <w:r w:rsidRPr="00EA5DE3">
        <w:rPr>
          <w:sz w:val="22"/>
          <w:szCs w:val="22"/>
          <w:lang w:val="en-US"/>
        </w:rPr>
        <w:t>Challenge</w:t>
      </w:r>
      <w:r w:rsidRPr="00EA5DE3">
        <w:rPr>
          <w:spacing w:val="-6"/>
          <w:sz w:val="22"/>
          <w:szCs w:val="22"/>
          <w:lang w:val="en-US"/>
        </w:rPr>
        <w:t xml:space="preserve"> </w:t>
      </w:r>
      <w:r w:rsidRPr="00EA5DE3">
        <w:rPr>
          <w:sz w:val="22"/>
          <w:szCs w:val="22"/>
          <w:lang w:val="en-US"/>
        </w:rPr>
        <w:t>to</w:t>
      </w:r>
      <w:r w:rsidRPr="00EA5DE3">
        <w:rPr>
          <w:spacing w:val="-6"/>
          <w:sz w:val="22"/>
          <w:szCs w:val="22"/>
          <w:lang w:val="en-US"/>
        </w:rPr>
        <w:t xml:space="preserve"> </w:t>
      </w:r>
      <w:r w:rsidRPr="00EA5DE3">
        <w:rPr>
          <w:sz w:val="22"/>
          <w:szCs w:val="22"/>
          <w:lang w:val="en-US"/>
        </w:rPr>
        <w:t>Traditional</w:t>
      </w:r>
      <w:r w:rsidRPr="00EA5DE3">
        <w:rPr>
          <w:spacing w:val="-4"/>
          <w:sz w:val="22"/>
          <w:szCs w:val="22"/>
          <w:lang w:val="en-US"/>
        </w:rPr>
        <w:t xml:space="preserve"> </w:t>
      </w:r>
      <w:r w:rsidRPr="00EA5DE3">
        <w:rPr>
          <w:sz w:val="22"/>
          <w:szCs w:val="22"/>
          <w:lang w:val="en-US"/>
        </w:rPr>
        <w:t>Internationalization</w:t>
      </w:r>
      <w:r w:rsidRPr="00EA5DE3">
        <w:rPr>
          <w:spacing w:val="-4"/>
          <w:sz w:val="22"/>
          <w:szCs w:val="22"/>
          <w:lang w:val="en-US"/>
        </w:rPr>
        <w:t xml:space="preserve"> </w:t>
      </w:r>
      <w:r w:rsidRPr="00EA5DE3">
        <w:rPr>
          <w:sz w:val="22"/>
          <w:szCs w:val="22"/>
          <w:lang w:val="en-US"/>
        </w:rPr>
        <w:t>Theory,</w:t>
      </w:r>
      <w:r w:rsidRPr="00EA5DE3">
        <w:rPr>
          <w:spacing w:val="-5"/>
          <w:sz w:val="22"/>
          <w:szCs w:val="22"/>
          <w:lang w:val="en-US"/>
        </w:rPr>
        <w:t xml:space="preserve"> </w:t>
      </w:r>
      <w:r w:rsidRPr="00EA5DE3">
        <w:rPr>
          <w:sz w:val="22"/>
          <w:szCs w:val="22"/>
          <w:lang w:val="en-US"/>
        </w:rPr>
        <w:t>in:</w:t>
      </w:r>
      <w:r w:rsidRPr="00EA5DE3">
        <w:rPr>
          <w:spacing w:val="-6"/>
          <w:sz w:val="22"/>
          <w:szCs w:val="22"/>
          <w:lang w:val="en-US"/>
        </w:rPr>
        <w:t xml:space="preserve"> </w:t>
      </w:r>
      <w:r w:rsidRPr="00EA5DE3">
        <w:rPr>
          <w:sz w:val="22"/>
          <w:szCs w:val="22"/>
          <w:lang w:val="en-US"/>
        </w:rPr>
        <w:t>Madsen,</w:t>
      </w:r>
      <w:r w:rsidRPr="00EA5DE3">
        <w:rPr>
          <w:spacing w:val="-5"/>
          <w:sz w:val="22"/>
          <w:szCs w:val="22"/>
          <w:lang w:val="en-US"/>
        </w:rPr>
        <w:t xml:space="preserve"> </w:t>
      </w:r>
      <w:r w:rsidRPr="00EA5DE3">
        <w:rPr>
          <w:sz w:val="22"/>
          <w:szCs w:val="22"/>
          <w:lang w:val="en-US"/>
        </w:rPr>
        <w:t>T.K.</w:t>
      </w:r>
      <w:r w:rsidRPr="00EA5DE3">
        <w:rPr>
          <w:spacing w:val="-5"/>
          <w:sz w:val="22"/>
          <w:szCs w:val="22"/>
          <w:lang w:val="en-US"/>
        </w:rPr>
        <w:t xml:space="preserve"> </w:t>
      </w:r>
      <w:r w:rsidRPr="00EA5DE3">
        <w:rPr>
          <w:sz w:val="22"/>
          <w:szCs w:val="22"/>
          <w:lang w:val="en-US"/>
        </w:rPr>
        <w:t>(Ed.), Proceedings</w:t>
      </w:r>
      <w:r w:rsidRPr="00EA5DE3">
        <w:rPr>
          <w:spacing w:val="40"/>
          <w:sz w:val="22"/>
          <w:szCs w:val="22"/>
          <w:lang w:val="en-US"/>
        </w:rPr>
        <w:t xml:space="preserve"> </w:t>
      </w:r>
      <w:r w:rsidRPr="00EA5DE3">
        <w:rPr>
          <w:sz w:val="22"/>
          <w:szCs w:val="22"/>
          <w:lang w:val="en-US"/>
        </w:rPr>
        <w:t>of the Third Symposium of the Consortium for International Marketing-Research, Odense</w:t>
      </w:r>
      <w:r w:rsidRPr="00EA5DE3">
        <w:rPr>
          <w:spacing w:val="40"/>
          <w:sz w:val="22"/>
          <w:szCs w:val="22"/>
          <w:lang w:val="en-US"/>
        </w:rPr>
        <w:t xml:space="preserve"> </w:t>
      </w:r>
      <w:r w:rsidRPr="00EA5DE3">
        <w:rPr>
          <w:sz w:val="22"/>
          <w:szCs w:val="22"/>
          <w:lang w:val="en-US"/>
        </w:rPr>
        <w:t>University, 138-164, Odense.</w:t>
      </w:r>
      <w:r w:rsidRPr="00EA5DE3">
        <w:rPr>
          <w:spacing w:val="40"/>
          <w:sz w:val="22"/>
          <w:szCs w:val="22"/>
          <w:lang w:val="en-US"/>
        </w:rPr>
        <w:t xml:space="preserve"> </w:t>
      </w:r>
      <w:r w:rsidRPr="00EA5DE3">
        <w:rPr>
          <w:sz w:val="22"/>
          <w:szCs w:val="22"/>
          <w:lang w:val="en-US"/>
        </w:rPr>
        <w:t>Moen, Ø. (2002): The Born Globals. A New Generation of</w:t>
      </w:r>
      <w:r w:rsidRPr="00EA5DE3">
        <w:rPr>
          <w:spacing w:val="40"/>
          <w:sz w:val="22"/>
          <w:szCs w:val="22"/>
          <w:lang w:val="en-US"/>
        </w:rPr>
        <w:t xml:space="preserve"> </w:t>
      </w:r>
      <w:r w:rsidRPr="00EA5DE3">
        <w:rPr>
          <w:sz w:val="22"/>
          <w:szCs w:val="22"/>
          <w:lang w:val="en-US"/>
        </w:rPr>
        <w:t>Small European Exporters, International Marketing Review, 19(2): 156-175.</w:t>
      </w:r>
      <w:r w:rsidRPr="00EA5DE3">
        <w:rPr>
          <w:spacing w:val="40"/>
          <w:sz w:val="22"/>
          <w:szCs w:val="22"/>
          <w:lang w:val="en-US"/>
        </w:rPr>
        <w:t xml:space="preserve"> </w:t>
      </w:r>
      <w:r w:rsidRPr="00EA5DE3">
        <w:rPr>
          <w:sz w:val="22"/>
          <w:szCs w:val="22"/>
        </w:rPr>
        <w:t>Simon, H.</w:t>
      </w:r>
      <w:r w:rsidRPr="00EA5DE3">
        <w:rPr>
          <w:spacing w:val="40"/>
          <w:sz w:val="22"/>
          <w:szCs w:val="22"/>
        </w:rPr>
        <w:t xml:space="preserve"> </w:t>
      </w:r>
      <w:r w:rsidRPr="00EA5DE3">
        <w:rPr>
          <w:sz w:val="22"/>
          <w:szCs w:val="22"/>
        </w:rPr>
        <w:t>(1996): Die heimlichen Gewinner. Hidden Champions. Erfolgsstrategien unbekannter</w:t>
      </w:r>
      <w:r w:rsidRPr="00EA5DE3">
        <w:rPr>
          <w:spacing w:val="40"/>
          <w:sz w:val="22"/>
          <w:szCs w:val="22"/>
        </w:rPr>
        <w:t xml:space="preserve"> </w:t>
      </w:r>
      <w:r w:rsidRPr="00EA5DE3">
        <w:rPr>
          <w:sz w:val="22"/>
          <w:szCs w:val="22"/>
        </w:rPr>
        <w:t>Weltmarktführer, Frankfurt/Main: Campus. Simon, H. (2012): Hidden Champions -</w:t>
      </w:r>
      <w:r w:rsidRPr="00EA5DE3">
        <w:rPr>
          <w:spacing w:val="40"/>
          <w:sz w:val="22"/>
          <w:szCs w:val="22"/>
        </w:rPr>
        <w:t xml:space="preserve"> </w:t>
      </w:r>
      <w:r w:rsidRPr="00EA5DE3">
        <w:rPr>
          <w:sz w:val="22"/>
          <w:szCs w:val="22"/>
        </w:rPr>
        <w:t>Aufbruch nach Globalia. Die Erfolgsstrategien unbekannter Weltmarktführer,</w:t>
      </w:r>
      <w:r w:rsidRPr="00EA5DE3">
        <w:rPr>
          <w:spacing w:val="40"/>
          <w:sz w:val="22"/>
          <w:szCs w:val="22"/>
        </w:rPr>
        <w:t xml:space="preserve"> </w:t>
      </w:r>
      <w:r w:rsidRPr="00EA5DE3">
        <w:rPr>
          <w:sz w:val="22"/>
          <w:szCs w:val="22"/>
        </w:rPr>
        <w:t>Frankfurt/Main: Campus.</w:t>
      </w:r>
      <w:r w:rsidR="00193869" w:rsidRPr="00EA5DE3">
        <w:rPr>
          <w:sz w:val="22"/>
          <w:szCs w:val="22"/>
        </w:rPr>
        <w:t xml:space="preserve"> </w:t>
      </w:r>
      <w:r w:rsidRPr="00EA5DE3">
        <w:rPr>
          <w:spacing w:val="40"/>
          <w:sz w:val="22"/>
          <w:szCs w:val="22"/>
        </w:rPr>
        <w:t xml:space="preserve"> </w:t>
      </w:r>
      <w:r w:rsidRPr="00EA5DE3">
        <w:rPr>
          <w:sz w:val="22"/>
          <w:szCs w:val="22"/>
        </w:rPr>
        <w:t>Rennie, M.W. (1993): Born Global, McKinsey Quarterly, 4: 45-</w:t>
      </w:r>
      <w:r w:rsidRPr="00EA5DE3">
        <w:rPr>
          <w:spacing w:val="40"/>
          <w:sz w:val="22"/>
          <w:szCs w:val="22"/>
        </w:rPr>
        <w:t xml:space="preserve"> </w:t>
      </w:r>
      <w:r w:rsidRPr="00EA5DE3">
        <w:rPr>
          <w:spacing w:val="-4"/>
          <w:sz w:val="22"/>
          <w:szCs w:val="22"/>
        </w:rPr>
        <w:t>52.</w:t>
      </w:r>
    </w:p>
    <w:p w14:paraId="06D6455E" w14:textId="77777777" w:rsidR="003A0418" w:rsidRPr="00EA5DE3" w:rsidRDefault="003A0418" w:rsidP="00F85CA4">
      <w:pPr>
        <w:pStyle w:val="StandardText"/>
        <w:rPr>
          <w:spacing w:val="-4"/>
          <w:sz w:val="22"/>
          <w:szCs w:val="22"/>
        </w:rPr>
      </w:pPr>
    </w:p>
    <w:p w14:paraId="652FC844" w14:textId="77777777" w:rsidR="00FF7799" w:rsidRPr="00E73F6F" w:rsidRDefault="00FF7799" w:rsidP="003166E3">
      <w:pPr>
        <w:pStyle w:val="berschrift1"/>
      </w:pPr>
      <w:r w:rsidRPr="008E049F">
        <w:rPr>
          <w:color w:val="2F5496" w:themeColor="accent5" w:themeShade="BF"/>
        </w:rPr>
        <w:t>Branchenkultur</w:t>
      </w:r>
      <w:r w:rsidRPr="00E73F6F">
        <w:t xml:space="preserve"> </w:t>
      </w:r>
      <w:r w:rsidRPr="00E73F6F">
        <w:rPr>
          <w:b w:val="0"/>
        </w:rPr>
        <w:t>→ Interkulturelles Management</w:t>
      </w:r>
    </w:p>
    <w:p w14:paraId="7522BD7B" w14:textId="77777777" w:rsidR="00FF7799" w:rsidRPr="00E73F6F" w:rsidRDefault="00FF7799" w:rsidP="003166E3">
      <w:pPr>
        <w:pStyle w:val="berschrift1"/>
      </w:pPr>
      <w:r w:rsidRPr="008E049F">
        <w:rPr>
          <w:color w:val="2F5496" w:themeColor="accent5" w:themeShade="BF"/>
        </w:rPr>
        <w:t>Bribe Payers Index</w:t>
      </w:r>
      <w:r w:rsidRPr="00E73F6F">
        <w:rPr>
          <w:spacing w:val="-12"/>
        </w:rPr>
        <w:t xml:space="preserve"> </w:t>
      </w:r>
      <w:r w:rsidRPr="00E73F6F">
        <w:rPr>
          <w:b w:val="0"/>
        </w:rPr>
        <w:t>→</w:t>
      </w:r>
      <w:r w:rsidRPr="00E73F6F">
        <w:rPr>
          <w:b w:val="0"/>
          <w:spacing w:val="-1"/>
        </w:rPr>
        <w:t xml:space="preserve"> </w:t>
      </w:r>
      <w:r w:rsidRPr="00E73F6F">
        <w:rPr>
          <w:b w:val="0"/>
          <w:spacing w:val="-2"/>
        </w:rPr>
        <w:t>Korruption</w:t>
      </w:r>
    </w:p>
    <w:p w14:paraId="50CBFD49" w14:textId="77777777" w:rsidR="00FF7799" w:rsidRPr="008E049F" w:rsidRDefault="00FF7799" w:rsidP="003166E3">
      <w:pPr>
        <w:pStyle w:val="berschrift1"/>
        <w:rPr>
          <w:color w:val="2F5496" w:themeColor="accent5" w:themeShade="BF"/>
        </w:rPr>
      </w:pPr>
      <w:r w:rsidRPr="008E049F">
        <w:rPr>
          <w:color w:val="2F5496" w:themeColor="accent5" w:themeShade="BF"/>
        </w:rPr>
        <w:t>Buddhismus</w:t>
      </w:r>
    </w:p>
    <w:p w14:paraId="3CC0BF0C" w14:textId="77777777" w:rsidR="00FF7799" w:rsidRPr="00193869" w:rsidRDefault="00FF7799" w:rsidP="00F85CA4">
      <w:pPr>
        <w:pStyle w:val="StandardTextkursiv"/>
        <w:rPr>
          <w:i w:val="0"/>
        </w:rPr>
      </w:pPr>
      <w:r w:rsidRPr="00193869">
        <w:rPr>
          <w:i w:val="0"/>
        </w:rPr>
        <w:t>1 Geschichte</w:t>
      </w:r>
    </w:p>
    <w:p w14:paraId="496E0DEB" w14:textId="77777777" w:rsidR="00FF7799" w:rsidRPr="00E73F6F" w:rsidRDefault="00FF7799" w:rsidP="0061246F">
      <w:pPr>
        <w:pStyle w:val="StandardText"/>
      </w:pPr>
      <w:r w:rsidRPr="00E73F6F">
        <w:t>Der nach Buddha benannte Buddhismus wird bisweilen eher als</w:t>
      </w:r>
      <w:r w:rsidR="00193869">
        <w:t xml:space="preserve"> </w:t>
      </w:r>
      <w:r w:rsidRPr="00E73F6F">
        <w:t>Philosophie denn als (Welt-)Religion eingestuft. Im Sanskrit bedeutet dieser Ehrentitel „der Erwachte, der Erleuchtete“. Gegenstand der Erleuchtung von Gautama Siddhartha (560-480 v. Chr.) war die Erkenntnis, dass alles Daseinshaltige Illusion ist. Alles Lebendige ist vom Leid geprägt, das durch die Begierde entsteht.</w:t>
      </w:r>
    </w:p>
    <w:p w14:paraId="1E18D30E" w14:textId="77777777" w:rsidR="00FF7799" w:rsidRPr="00E73F6F" w:rsidRDefault="00FF7799" w:rsidP="0061246F">
      <w:pPr>
        <w:pStyle w:val="StandardText"/>
      </w:pPr>
      <w:r w:rsidRPr="00E73F6F">
        <w:t xml:space="preserve">Der Buddhismus war eine Reformbewegung und richtete sich anfänglich gegen das auf dem indischen Subkontinent etablierte Kastensystem sowie die dadurch zementierte Vorherrschaft der Brahmanen. Während das Christentum eher in Wahr/Falsch-Kategorien denkt („Deine Rede sei ja, ja und nein, nein – was darüber ist, ist vom Übel.“), fordert der Buddhismus Toleranz und Anpassungsfähigkeit (vgl. Mutz 1996, S.8). Deshalb bekämpfte er weder den Brahmanismus noch andere Lehren, die er als missionierende Weltreligion in ganz Asien vorfand. Sie alle </w:t>
      </w:r>
      <w:r w:rsidRPr="00E73F6F">
        <w:lastRenderedPageBreak/>
        <w:t>wurden als bedingt gültige Ausdrucksweisen transzendenter Erfahrung bzw. als Vorstufen einer umfassenden Wahrheit akzeptiert. Da sich dieser Lehre zufolge seit Ewigkeit alles zyklisch wiederholt, hat es schon vor Buddha Welterleuchter gegeben; und auch nach ihm wird es immer wieder neue Buddhas geben.</w:t>
      </w:r>
    </w:p>
    <w:p w14:paraId="39657C08" w14:textId="77777777" w:rsidR="00FF7799" w:rsidRPr="00E73F6F" w:rsidRDefault="00FF7799" w:rsidP="0061246F">
      <w:pPr>
        <w:pStyle w:val="StandardText"/>
      </w:pPr>
      <w:r w:rsidRPr="00E73F6F">
        <w:t xml:space="preserve">Der Buddhismus hat andere Lehren bzw. Religionen nicht nur toleriert, sondern sich mit ihnen vermischt. So </w:t>
      </w:r>
      <w:r w:rsidR="00193869">
        <w:t xml:space="preserve">ging aus der Begegnung mit dem </w:t>
      </w:r>
      <w:r w:rsidR="00193869">
        <w:sym w:font="Symbol" w:char="F0DE"/>
      </w:r>
      <w:r w:rsidRPr="00E73F6F">
        <w:t xml:space="preserve"> Animismus der Volksbuddhismus der Vietnamesen hervor, für den u.a. ein ambivalentes Verhältnis zum Jenseits charakteristisch ist. Einerseits überzeugt davon, dass es negative Folgen haben kann, die Riten nicht zu befolgen, die Gebete nicht zu sprechen oder die Opfergaben zu verweigern, erscheint es den Vietnamesen andererseits fraglich, ob sie damit real das bewirken können, was sie spirituell bezwecken.</w:t>
      </w:r>
    </w:p>
    <w:p w14:paraId="0553FE60" w14:textId="77777777" w:rsidR="00FF7799" w:rsidRDefault="00FF7799" w:rsidP="0061246F">
      <w:pPr>
        <w:pStyle w:val="StandardText"/>
      </w:pPr>
      <w:r w:rsidRPr="00E73F6F">
        <w:t xml:space="preserve">In Südkorea wiederum gingen Buddhismus und </w:t>
      </w:r>
      <w:r w:rsidR="00193869">
        <w:sym w:font="Symbol" w:char="F0DE"/>
      </w:r>
      <w:r w:rsidRPr="00E73F6F">
        <w:t xml:space="preserve"> Konfuzianismus eine enge Verbindung ein. Während dort die Lehren des Konfuzius die diesseitige Lebensführung „regeln“, ist Buddha für das Verhältnis zum Jenseits „zuständig“. In den übrigen ostasiatischen Ländern (südliche Khmer-Regionen Vietnams, Thailand, Laos, Burma und Kambodscha)</w:t>
      </w:r>
      <w:r w:rsidR="00193869">
        <w:t xml:space="preserve"> sowie den muslimisch geprägten </w:t>
      </w:r>
      <w:r w:rsidRPr="00E73F6F">
        <w:t>südostasiatischen Ländern (Indonesien und Malaysia) wird der orthodoxe Hinayana-Buddhismus praktiziert. Dessen bedeutendste Strömung (Theravada) verknüpft eine religiöse Lebensweise (und die damit einhergehenden, tendenziell leistungsfeindlichen Normen) mit konfuzianischen Ordnungsvorstellungen. Je nachdem, welche Lehre die Oberhand gewinnt, kann sich die jeweilige Symbiose hemmend oder förderlich auf das politische bzw. wirtschaftliche Handeln auswirken.</w:t>
      </w:r>
    </w:p>
    <w:p w14:paraId="02525696" w14:textId="77777777" w:rsidR="00193869" w:rsidRPr="00E73F6F" w:rsidRDefault="00193869" w:rsidP="0061246F">
      <w:pPr>
        <w:pStyle w:val="StandardText"/>
      </w:pPr>
    </w:p>
    <w:p w14:paraId="2BD06454" w14:textId="77777777" w:rsidR="00193869" w:rsidRDefault="00193869" w:rsidP="00193869">
      <w:pPr>
        <w:pStyle w:val="StandardText"/>
        <w:pBdr>
          <w:top w:val="single" w:sz="4" w:space="1" w:color="auto"/>
          <w:left w:val="single" w:sz="4" w:space="4" w:color="auto"/>
          <w:bottom w:val="single" w:sz="4" w:space="1" w:color="auto"/>
          <w:right w:val="single" w:sz="4" w:space="4" w:color="auto"/>
        </w:pBdr>
        <w:shd w:val="clear" w:color="auto" w:fill="DEEAF6" w:themeFill="accent1" w:themeFillTint="33"/>
      </w:pPr>
    </w:p>
    <w:p w14:paraId="74A5A7F5" w14:textId="77777777" w:rsidR="00193869" w:rsidRPr="00EA5DE3" w:rsidRDefault="00193869" w:rsidP="00193869">
      <w:pPr>
        <w:pStyle w:val="StandardText"/>
        <w:pBdr>
          <w:top w:val="single" w:sz="4" w:space="1" w:color="auto"/>
          <w:left w:val="single" w:sz="4" w:space="4" w:color="auto"/>
          <w:bottom w:val="single" w:sz="4" w:space="1" w:color="auto"/>
          <w:right w:val="single" w:sz="4" w:space="4" w:color="auto"/>
        </w:pBdr>
        <w:shd w:val="clear" w:color="auto" w:fill="DEEAF6" w:themeFill="accent1" w:themeFillTint="33"/>
        <w:jc w:val="center"/>
        <w:rPr>
          <w:sz w:val="20"/>
        </w:rPr>
      </w:pPr>
      <w:r w:rsidRPr="00EA5DE3">
        <w:rPr>
          <w:sz w:val="20"/>
        </w:rPr>
        <w:t>Religiöser Pluralismus</w:t>
      </w:r>
    </w:p>
    <w:p w14:paraId="122950C0" w14:textId="77777777" w:rsidR="00193869" w:rsidRPr="00EA5DE3" w:rsidRDefault="00FF7799" w:rsidP="00193869">
      <w:pPr>
        <w:pStyle w:val="StandardText"/>
        <w:pBdr>
          <w:top w:val="single" w:sz="4" w:space="1" w:color="auto"/>
          <w:left w:val="single" w:sz="4" w:space="4" w:color="auto"/>
          <w:bottom w:val="single" w:sz="4" w:space="1" w:color="auto"/>
          <w:right w:val="single" w:sz="4" w:space="4" w:color="auto"/>
        </w:pBdr>
        <w:shd w:val="clear" w:color="auto" w:fill="DEEAF6" w:themeFill="accent1" w:themeFillTint="33"/>
        <w:rPr>
          <w:sz w:val="20"/>
        </w:rPr>
      </w:pPr>
      <w:r w:rsidRPr="00EA5DE3">
        <w:rPr>
          <w:sz w:val="20"/>
        </w:rPr>
        <w:t>„In Japan bekennt sich die Hälfte der Personen, die sich selbst als Buddhisten bezeichnen, zugleich zum Shintoismus, und ein großer Teil der Bevölkerung ist in seinem täglichen Verhalten durch die Lehren des Konfuzius beeinflusst. Aber auch die buddhistische Lehre selbst gewann eine spezifisch japanische Ausprägung. Gemäß der japanischen Spielart, dem Mahajana-Buddhismus, erlangt der Einzelne Erlösung durch die Gnade Buddhas. Charakteristisch sind Offenheit gegenüber den im Diesseits zu bewältigenden Aufgaben. Dieser Zug wird im Zen-Buddhismus durch dessen Weltfreudigkeit, in den Amida-Schulen durch den relativ leichten Erlösungsweg des Nichiren-Buddhismus betont. Von daher gibt es auch eine positive Einstellung zur Arbeit und zur Einkommenserzielung</w:t>
      </w:r>
      <w:r w:rsidR="00193869" w:rsidRPr="00EA5DE3">
        <w:rPr>
          <w:sz w:val="20"/>
        </w:rPr>
        <w:t>.</w:t>
      </w:r>
      <w:r w:rsidRPr="00EA5DE3">
        <w:rPr>
          <w:sz w:val="20"/>
        </w:rPr>
        <w:t xml:space="preserve">“ </w:t>
      </w:r>
    </w:p>
    <w:p w14:paraId="560B9B35" w14:textId="77777777" w:rsidR="00FF7799" w:rsidRPr="00EA5DE3" w:rsidRDefault="00FF7799" w:rsidP="00193869">
      <w:pPr>
        <w:pStyle w:val="StandardText"/>
        <w:pBdr>
          <w:top w:val="single" w:sz="4" w:space="1" w:color="auto"/>
          <w:left w:val="single" w:sz="4" w:space="4" w:color="auto"/>
          <w:bottom w:val="single" w:sz="4" w:space="1" w:color="auto"/>
          <w:right w:val="single" w:sz="4" w:space="4" w:color="auto"/>
        </w:pBdr>
        <w:shd w:val="clear" w:color="auto" w:fill="DEEAF6" w:themeFill="accent1" w:themeFillTint="33"/>
        <w:jc w:val="right"/>
        <w:rPr>
          <w:sz w:val="20"/>
        </w:rPr>
      </w:pPr>
      <w:r w:rsidRPr="00EA5DE3">
        <w:rPr>
          <w:sz w:val="20"/>
        </w:rPr>
        <w:t xml:space="preserve">Dülfer </w:t>
      </w:r>
      <w:r w:rsidR="00193869" w:rsidRPr="00EA5DE3">
        <w:rPr>
          <w:sz w:val="20"/>
        </w:rPr>
        <w:t>(1996, S.304f.)</w:t>
      </w:r>
    </w:p>
    <w:p w14:paraId="164E28B5" w14:textId="77777777" w:rsidR="00FF7799" w:rsidRPr="00EA5DE3" w:rsidRDefault="00FF7799" w:rsidP="00193869">
      <w:pPr>
        <w:pStyle w:val="StandardText"/>
        <w:jc w:val="right"/>
        <w:rPr>
          <w:sz w:val="20"/>
        </w:rPr>
      </w:pPr>
    </w:p>
    <w:p w14:paraId="4F7C632C" w14:textId="77777777" w:rsidR="00FF7799" w:rsidRPr="00193869" w:rsidRDefault="00FF7799" w:rsidP="0061246F">
      <w:pPr>
        <w:pStyle w:val="StandardTextkursiv"/>
        <w:rPr>
          <w:i w:val="0"/>
        </w:rPr>
      </w:pPr>
      <w:r w:rsidRPr="00193869">
        <w:rPr>
          <w:i w:val="0"/>
        </w:rPr>
        <w:t>2 Glaubensbekenntnis</w:t>
      </w:r>
      <w:r w:rsidRPr="00193869">
        <w:rPr>
          <w:i w:val="0"/>
          <w:spacing w:val="-2"/>
        </w:rPr>
        <w:t xml:space="preserve"> </w:t>
      </w:r>
      <w:r w:rsidRPr="00193869">
        <w:rPr>
          <w:i w:val="0"/>
        </w:rPr>
        <w:t>und</w:t>
      </w:r>
      <w:r w:rsidRPr="00193869">
        <w:rPr>
          <w:i w:val="0"/>
          <w:spacing w:val="-1"/>
        </w:rPr>
        <w:t xml:space="preserve"> </w:t>
      </w:r>
      <w:r w:rsidRPr="00193869">
        <w:rPr>
          <w:i w:val="0"/>
          <w:spacing w:val="-2"/>
        </w:rPr>
        <w:t>Symbol</w:t>
      </w:r>
    </w:p>
    <w:p w14:paraId="71F56A65" w14:textId="77777777" w:rsidR="00FF7799" w:rsidRPr="00E73F6F" w:rsidRDefault="00FF7799" w:rsidP="0061246F">
      <w:pPr>
        <w:pStyle w:val="StandardText"/>
      </w:pPr>
      <w:r w:rsidRPr="00E73F6F">
        <w:t xml:space="preserve">Folgender Auszug aus den Reden </w:t>
      </w:r>
      <w:r w:rsidRPr="00E73F6F">
        <w:rPr>
          <w:i/>
        </w:rPr>
        <w:t xml:space="preserve">Buddhas </w:t>
      </w:r>
      <w:r w:rsidRPr="00E73F6F">
        <w:t>verdeutlicht, warum die Verneinung der</w:t>
      </w:r>
      <w:r w:rsidRPr="00E73F6F">
        <w:rPr>
          <w:spacing w:val="-12"/>
        </w:rPr>
        <w:t xml:space="preserve"> </w:t>
      </w:r>
      <w:r w:rsidRPr="00E73F6F">
        <w:t>Welt</w:t>
      </w:r>
      <w:r w:rsidRPr="00E73F6F">
        <w:rPr>
          <w:spacing w:val="-11"/>
        </w:rPr>
        <w:t xml:space="preserve"> </w:t>
      </w:r>
      <w:r w:rsidRPr="00E73F6F">
        <w:t>charakteristisch</w:t>
      </w:r>
      <w:r w:rsidRPr="00E73F6F">
        <w:rPr>
          <w:spacing w:val="-11"/>
        </w:rPr>
        <w:t xml:space="preserve"> </w:t>
      </w:r>
      <w:r w:rsidRPr="00E73F6F">
        <w:t>für</w:t>
      </w:r>
      <w:r w:rsidRPr="00E73F6F">
        <w:rPr>
          <w:spacing w:val="-11"/>
        </w:rPr>
        <w:t xml:space="preserve"> </w:t>
      </w:r>
      <w:r w:rsidRPr="00E73F6F">
        <w:t>diese</w:t>
      </w:r>
      <w:r w:rsidRPr="00E73F6F">
        <w:rPr>
          <w:spacing w:val="-12"/>
        </w:rPr>
        <w:t xml:space="preserve"> </w:t>
      </w:r>
      <w:r w:rsidRPr="00E73F6F">
        <w:t>Lehre</w:t>
      </w:r>
      <w:r w:rsidRPr="00E73F6F">
        <w:rPr>
          <w:spacing w:val="-11"/>
        </w:rPr>
        <w:t xml:space="preserve"> </w:t>
      </w:r>
      <w:r w:rsidRPr="00E73F6F">
        <w:t>ist:</w:t>
      </w:r>
      <w:r w:rsidRPr="00E73F6F">
        <w:rPr>
          <w:spacing w:val="-11"/>
        </w:rPr>
        <w:t xml:space="preserve"> </w:t>
      </w:r>
      <w:r w:rsidRPr="00E73F6F">
        <w:t>„Die</w:t>
      </w:r>
      <w:r w:rsidRPr="00E73F6F">
        <w:rPr>
          <w:spacing w:val="-11"/>
        </w:rPr>
        <w:t xml:space="preserve"> </w:t>
      </w:r>
      <w:r w:rsidRPr="00E73F6F">
        <w:t>Geburt</w:t>
      </w:r>
      <w:r w:rsidRPr="00E73F6F">
        <w:rPr>
          <w:spacing w:val="-12"/>
        </w:rPr>
        <w:t xml:space="preserve"> </w:t>
      </w:r>
      <w:r w:rsidRPr="00E73F6F">
        <w:t>ist</w:t>
      </w:r>
      <w:r w:rsidRPr="00E73F6F">
        <w:rPr>
          <w:spacing w:val="-11"/>
        </w:rPr>
        <w:t xml:space="preserve"> </w:t>
      </w:r>
      <w:r w:rsidRPr="00E73F6F">
        <w:t>schmerzhaft,</w:t>
      </w:r>
      <w:r w:rsidRPr="00E73F6F">
        <w:rPr>
          <w:spacing w:val="-11"/>
        </w:rPr>
        <w:t xml:space="preserve"> </w:t>
      </w:r>
      <w:r w:rsidRPr="00E73F6F">
        <w:t>das</w:t>
      </w:r>
      <w:r w:rsidRPr="00E73F6F">
        <w:rPr>
          <w:spacing w:val="-11"/>
        </w:rPr>
        <w:t xml:space="preserve"> </w:t>
      </w:r>
      <w:r w:rsidRPr="00E73F6F">
        <w:t>Alter ist schmerzhaft, die Krankheit ist schmerzhaft, der Tod ist schmerzhaft, Leiden, Klagen,</w:t>
      </w:r>
      <w:r w:rsidRPr="00E73F6F">
        <w:rPr>
          <w:spacing w:val="-12"/>
        </w:rPr>
        <w:t xml:space="preserve"> </w:t>
      </w:r>
      <w:r w:rsidRPr="00E73F6F">
        <w:t>Niedergeschlagenheit</w:t>
      </w:r>
      <w:r w:rsidRPr="00E73F6F">
        <w:rPr>
          <w:spacing w:val="-11"/>
        </w:rPr>
        <w:t xml:space="preserve"> </w:t>
      </w:r>
      <w:r w:rsidRPr="00E73F6F">
        <w:t>und</w:t>
      </w:r>
      <w:r w:rsidRPr="00E73F6F">
        <w:rPr>
          <w:spacing w:val="-11"/>
        </w:rPr>
        <w:t xml:space="preserve"> </w:t>
      </w:r>
      <w:r w:rsidRPr="00E73F6F">
        <w:t>Verzweiflung</w:t>
      </w:r>
      <w:r w:rsidRPr="00E73F6F">
        <w:rPr>
          <w:spacing w:val="-11"/>
        </w:rPr>
        <w:t xml:space="preserve"> </w:t>
      </w:r>
      <w:r w:rsidRPr="00E73F6F">
        <w:t>sind</w:t>
      </w:r>
      <w:r w:rsidRPr="00E73F6F">
        <w:rPr>
          <w:spacing w:val="-12"/>
        </w:rPr>
        <w:t xml:space="preserve"> </w:t>
      </w:r>
      <w:r w:rsidRPr="00E73F6F">
        <w:t>schmerzhaft.</w:t>
      </w:r>
      <w:r w:rsidRPr="00E73F6F">
        <w:rPr>
          <w:spacing w:val="-11"/>
        </w:rPr>
        <w:t xml:space="preserve"> </w:t>
      </w:r>
      <w:r w:rsidRPr="00E73F6F">
        <w:t>Die</w:t>
      </w:r>
      <w:r w:rsidRPr="00E73F6F">
        <w:rPr>
          <w:spacing w:val="-11"/>
        </w:rPr>
        <w:t xml:space="preserve"> </w:t>
      </w:r>
      <w:r w:rsidRPr="00E73F6F">
        <w:t>Berührung mit unangenehmen Dingen ist schmerzhaft, mit Unlieben vereint und von Lieben getrennt sein, ist schmerzhaft. Kurz, das Festklammern am Dasein ist schmerzhaft.“</w:t>
      </w:r>
      <w:r w:rsidRPr="00E73F6F">
        <w:rPr>
          <w:spacing w:val="-8"/>
        </w:rPr>
        <w:t xml:space="preserve"> </w:t>
      </w:r>
      <w:r w:rsidRPr="00E73F6F">
        <w:t>Das</w:t>
      </w:r>
      <w:r w:rsidRPr="00E73F6F">
        <w:rPr>
          <w:spacing w:val="-8"/>
        </w:rPr>
        <w:t xml:space="preserve"> </w:t>
      </w:r>
      <w:r w:rsidRPr="00E73F6F">
        <w:t>von</w:t>
      </w:r>
      <w:r w:rsidRPr="00E73F6F">
        <w:rPr>
          <w:spacing w:val="-7"/>
        </w:rPr>
        <w:t xml:space="preserve"> </w:t>
      </w:r>
      <w:r w:rsidRPr="00E73F6F">
        <w:t>Buddha</w:t>
      </w:r>
      <w:r w:rsidRPr="00E73F6F">
        <w:rPr>
          <w:spacing w:val="-8"/>
        </w:rPr>
        <w:t xml:space="preserve"> </w:t>
      </w:r>
      <w:r w:rsidRPr="00E73F6F">
        <w:t>in</w:t>
      </w:r>
      <w:r w:rsidRPr="00E73F6F">
        <w:rPr>
          <w:spacing w:val="-11"/>
        </w:rPr>
        <w:t xml:space="preserve"> </w:t>
      </w:r>
      <w:r w:rsidRPr="00E73F6F">
        <w:t>Gang</w:t>
      </w:r>
      <w:r w:rsidRPr="00E73F6F">
        <w:rPr>
          <w:spacing w:val="-7"/>
        </w:rPr>
        <w:t xml:space="preserve"> </w:t>
      </w:r>
      <w:r w:rsidRPr="00E73F6F">
        <w:t>gesetzte</w:t>
      </w:r>
      <w:r w:rsidRPr="00E73F6F">
        <w:rPr>
          <w:spacing w:val="-8"/>
        </w:rPr>
        <w:t xml:space="preserve"> </w:t>
      </w:r>
      <w:r w:rsidRPr="00E73F6F">
        <w:t>„Rad</w:t>
      </w:r>
      <w:r w:rsidRPr="00E73F6F">
        <w:rPr>
          <w:spacing w:val="-7"/>
        </w:rPr>
        <w:t xml:space="preserve"> </w:t>
      </w:r>
      <w:r w:rsidRPr="00E73F6F">
        <w:t>der</w:t>
      </w:r>
      <w:r w:rsidRPr="00E73F6F">
        <w:rPr>
          <w:spacing w:val="-8"/>
        </w:rPr>
        <w:t xml:space="preserve"> </w:t>
      </w:r>
      <w:r w:rsidRPr="00E73F6F">
        <w:t>Lehre“</w:t>
      </w:r>
      <w:r w:rsidRPr="00E73F6F">
        <w:rPr>
          <w:spacing w:val="-8"/>
        </w:rPr>
        <w:t xml:space="preserve"> </w:t>
      </w:r>
      <w:r w:rsidRPr="00E73F6F">
        <w:t>symbolisiert</w:t>
      </w:r>
      <w:r w:rsidRPr="00E73F6F">
        <w:rPr>
          <w:spacing w:val="-7"/>
        </w:rPr>
        <w:t xml:space="preserve"> </w:t>
      </w:r>
      <w:r w:rsidRPr="00E73F6F">
        <w:t>mit seinen acht Speichen den edlen achtteiligen Pfad (vgl. Abb. 1):</w:t>
      </w:r>
    </w:p>
    <w:p w14:paraId="6EFF959B" w14:textId="77777777" w:rsidR="00FF7799" w:rsidRPr="00E73F6F" w:rsidRDefault="00FF7799" w:rsidP="00862DBA">
      <w:pPr>
        <w:spacing w:before="10"/>
        <w:rPr>
          <w:sz w:val="24"/>
          <w:szCs w:val="24"/>
        </w:rPr>
      </w:pPr>
    </w:p>
    <w:p w14:paraId="5E1B5152" w14:textId="77777777" w:rsidR="00FF7799" w:rsidRPr="00C76DC3" w:rsidRDefault="00FF7799" w:rsidP="0061246F">
      <w:pPr>
        <w:pStyle w:val="BeschriftungTab"/>
        <w:rPr>
          <w:i/>
          <w:iCs/>
        </w:rPr>
      </w:pPr>
      <w:r w:rsidRPr="00C76DC3">
        <w:rPr>
          <w:i/>
          <w:iCs/>
          <w:noProof/>
        </w:rPr>
        <w:lastRenderedPageBreak/>
        <mc:AlternateContent>
          <mc:Choice Requires="wpg">
            <w:drawing>
              <wp:anchor distT="0" distB="0" distL="0" distR="0" simplePos="0" relativeHeight="252024832" behindDoc="1" locked="0" layoutInCell="1" allowOverlap="1" wp14:anchorId="68E56979" wp14:editId="440C467C">
                <wp:simplePos x="0" y="0"/>
                <wp:positionH relativeFrom="page">
                  <wp:posOffset>2009093</wp:posOffset>
                </wp:positionH>
                <wp:positionV relativeFrom="paragraph">
                  <wp:posOffset>346351</wp:posOffset>
                </wp:positionV>
                <wp:extent cx="3692525" cy="1828164"/>
                <wp:effectExtent l="0" t="0" r="0" b="0"/>
                <wp:wrapTopAndBottom/>
                <wp:docPr id="2296764" name="Group 3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92525" cy="1828164"/>
                          <a:chOff x="0" y="0"/>
                          <a:chExt cx="3692525" cy="1828164"/>
                        </a:xfrm>
                      </wpg:grpSpPr>
                      <pic:pic xmlns:pic="http://schemas.openxmlformats.org/drawingml/2006/picture">
                        <pic:nvPicPr>
                          <pic:cNvPr id="2296765" name="Image 357"/>
                          <pic:cNvPicPr/>
                        </pic:nvPicPr>
                        <pic:blipFill>
                          <a:blip r:embed="rId22" cstate="print"/>
                          <a:stretch>
                            <a:fillRect/>
                          </a:stretch>
                        </pic:blipFill>
                        <pic:spPr>
                          <a:xfrm>
                            <a:off x="989435" y="29766"/>
                            <a:ext cx="1694442" cy="1685844"/>
                          </a:xfrm>
                          <a:prstGeom prst="rect">
                            <a:avLst/>
                          </a:prstGeom>
                        </pic:spPr>
                      </pic:pic>
                      <wps:wsp>
                        <wps:cNvPr id="2296766" name="Graphic 358"/>
                        <wps:cNvSpPr/>
                        <wps:spPr>
                          <a:xfrm>
                            <a:off x="0" y="0"/>
                            <a:ext cx="3692525" cy="1828164"/>
                          </a:xfrm>
                          <a:custGeom>
                            <a:avLst/>
                            <a:gdLst/>
                            <a:ahLst/>
                            <a:cxnLst/>
                            <a:rect l="l" t="t" r="r" b="b"/>
                            <a:pathLst>
                              <a:path w="3692525" h="1828164">
                                <a:moveTo>
                                  <a:pt x="6083" y="6223"/>
                                </a:moveTo>
                                <a:lnTo>
                                  <a:pt x="0" y="6223"/>
                                </a:lnTo>
                                <a:lnTo>
                                  <a:pt x="0" y="1821561"/>
                                </a:lnTo>
                                <a:lnTo>
                                  <a:pt x="0" y="1827657"/>
                                </a:lnTo>
                                <a:lnTo>
                                  <a:pt x="6083" y="1827657"/>
                                </a:lnTo>
                                <a:lnTo>
                                  <a:pt x="6083" y="1821561"/>
                                </a:lnTo>
                                <a:lnTo>
                                  <a:pt x="6083" y="6223"/>
                                </a:lnTo>
                                <a:close/>
                              </a:path>
                              <a:path w="3692525" h="1828164">
                                <a:moveTo>
                                  <a:pt x="6083" y="0"/>
                                </a:moveTo>
                                <a:lnTo>
                                  <a:pt x="0" y="0"/>
                                </a:lnTo>
                                <a:lnTo>
                                  <a:pt x="0" y="6096"/>
                                </a:lnTo>
                                <a:lnTo>
                                  <a:pt x="6083" y="6096"/>
                                </a:lnTo>
                                <a:lnTo>
                                  <a:pt x="6083" y="0"/>
                                </a:lnTo>
                                <a:close/>
                              </a:path>
                              <a:path w="3692525" h="1828164">
                                <a:moveTo>
                                  <a:pt x="3685921" y="1821561"/>
                                </a:moveTo>
                                <a:lnTo>
                                  <a:pt x="6096" y="1821561"/>
                                </a:lnTo>
                                <a:lnTo>
                                  <a:pt x="6096" y="1827657"/>
                                </a:lnTo>
                                <a:lnTo>
                                  <a:pt x="3685921" y="1827657"/>
                                </a:lnTo>
                                <a:lnTo>
                                  <a:pt x="3685921" y="1821561"/>
                                </a:lnTo>
                                <a:close/>
                              </a:path>
                              <a:path w="3692525" h="1828164">
                                <a:moveTo>
                                  <a:pt x="3685921" y="0"/>
                                </a:moveTo>
                                <a:lnTo>
                                  <a:pt x="6096" y="0"/>
                                </a:lnTo>
                                <a:lnTo>
                                  <a:pt x="6096" y="6096"/>
                                </a:lnTo>
                                <a:lnTo>
                                  <a:pt x="3685921" y="6096"/>
                                </a:lnTo>
                                <a:lnTo>
                                  <a:pt x="3685921" y="0"/>
                                </a:lnTo>
                                <a:close/>
                              </a:path>
                              <a:path w="3692525" h="1828164">
                                <a:moveTo>
                                  <a:pt x="3692093" y="6223"/>
                                </a:moveTo>
                                <a:lnTo>
                                  <a:pt x="3685997" y="6223"/>
                                </a:lnTo>
                                <a:lnTo>
                                  <a:pt x="3685997" y="1821561"/>
                                </a:lnTo>
                                <a:lnTo>
                                  <a:pt x="3685997" y="1827657"/>
                                </a:lnTo>
                                <a:lnTo>
                                  <a:pt x="3692093" y="1827657"/>
                                </a:lnTo>
                                <a:lnTo>
                                  <a:pt x="3692093" y="1821561"/>
                                </a:lnTo>
                                <a:lnTo>
                                  <a:pt x="3692093" y="6223"/>
                                </a:lnTo>
                                <a:close/>
                              </a:path>
                              <a:path w="3692525" h="1828164">
                                <a:moveTo>
                                  <a:pt x="3692093" y="0"/>
                                </a:moveTo>
                                <a:lnTo>
                                  <a:pt x="3685997" y="0"/>
                                </a:lnTo>
                                <a:lnTo>
                                  <a:pt x="3685997" y="6096"/>
                                </a:lnTo>
                                <a:lnTo>
                                  <a:pt x="3692093" y="6096"/>
                                </a:lnTo>
                                <a:lnTo>
                                  <a:pt x="369209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DFB1F93" id="Group 356" o:spid="_x0000_s1026" style="position:absolute;margin-left:158.2pt;margin-top:27.25pt;width:290.75pt;height:143.95pt;z-index:-251291648;mso-wrap-distance-left:0;mso-wrap-distance-right:0;mso-position-horizontal-relative:page" coordsize="36925,182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57" o:spid="_x0000_s1027" type="#_x0000_t75" style="position:absolute;left:9894;top:297;width:16944;height:168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">
                  <v:imagedata r:id="rId23" o:title=""/>
                </v:shape>
                <v:shape id="Graphic 358" o:spid="_x0000_s1028" style="position:absolute;width:36925;height:18281;visibility:visible;mso-wrap-style:square;v-text-anchor:top" coordsize="3692525,1828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" path="m6083,6223l,6223,,1821561r,6096l6083,1827657r,-6096l6083,6223xem6083,l,,,6096r6083,l6083,xem3685921,1821561r-3679825,l6096,1827657r3679825,l3685921,1821561xem3685921,l6096,r,6096l3685921,6096r,-6096xem3692093,6223r-6096,l3685997,1821561r,6096l3692093,1827657r,-6096l3692093,6223xem3692093,r-6096,l3685997,6096r6096,l3692093,xe" fillcolor="black" stroked="f">
                  <v:path arrowok="t"/>
                </v:shape>
                <w10:wrap type="topAndBottom" anchorx="page"/>
              </v:group>
            </w:pict>
          </mc:Fallback>
        </mc:AlternateContent>
      </w:r>
      <w:r w:rsidRPr="00C76DC3">
        <w:rPr>
          <w:i/>
          <w:iCs/>
        </w:rPr>
        <w:t>Abb. 1: Rad</w:t>
      </w:r>
      <w:r w:rsidRPr="00C76DC3">
        <w:rPr>
          <w:i/>
          <w:iCs/>
          <w:spacing w:val="-3"/>
        </w:rPr>
        <w:t xml:space="preserve"> </w:t>
      </w:r>
      <w:r w:rsidRPr="00C76DC3">
        <w:rPr>
          <w:i/>
          <w:iCs/>
        </w:rPr>
        <w:t>der</w:t>
      </w:r>
      <w:r w:rsidRPr="00C76DC3">
        <w:rPr>
          <w:i/>
          <w:iCs/>
          <w:spacing w:val="1"/>
        </w:rPr>
        <w:t xml:space="preserve"> </w:t>
      </w:r>
      <w:r w:rsidRPr="00C76DC3">
        <w:rPr>
          <w:i/>
          <w:iCs/>
          <w:spacing w:val="-2"/>
        </w:rPr>
        <w:t>Lehre</w:t>
      </w:r>
    </w:p>
    <w:p w14:paraId="590B93EC" w14:textId="77777777" w:rsidR="00FF7799" w:rsidRPr="00E73F6F" w:rsidRDefault="00FF7799" w:rsidP="00862DBA">
      <w:pPr>
        <w:spacing w:before="4"/>
        <w:rPr>
          <w:i/>
          <w:sz w:val="24"/>
          <w:szCs w:val="24"/>
        </w:rPr>
      </w:pPr>
    </w:p>
    <w:p w14:paraId="2C36BC79" w14:textId="77777777" w:rsidR="00FF7799" w:rsidRPr="00193869" w:rsidRDefault="00FF7799" w:rsidP="00862DBA">
      <w:pPr>
        <w:spacing w:before="2"/>
        <w:rPr>
          <w:b/>
          <w:i/>
          <w:sz w:val="24"/>
          <w:szCs w:val="24"/>
        </w:rPr>
      </w:pPr>
    </w:p>
    <w:p w14:paraId="4AE92B79" w14:textId="77777777" w:rsidR="00FF7799" w:rsidRPr="00EA5DE3" w:rsidRDefault="00FF7799" w:rsidP="0061246F">
      <w:pPr>
        <w:pStyle w:val="StandardTextkursiv"/>
        <w:rPr>
          <w:b/>
          <w:i w:val="0"/>
        </w:rPr>
      </w:pPr>
      <w:r w:rsidRPr="00EA5DE3">
        <w:rPr>
          <w:b/>
          <w:i w:val="0"/>
        </w:rPr>
        <w:t>3 Grundzüge</w:t>
      </w:r>
      <w:r w:rsidRPr="00EA5DE3">
        <w:rPr>
          <w:b/>
          <w:i w:val="0"/>
          <w:spacing w:val="-3"/>
        </w:rPr>
        <w:t xml:space="preserve"> </w:t>
      </w:r>
      <w:r w:rsidRPr="00EA5DE3">
        <w:rPr>
          <w:b/>
          <w:i w:val="0"/>
        </w:rPr>
        <w:t>der</w:t>
      </w:r>
      <w:r w:rsidRPr="00EA5DE3">
        <w:rPr>
          <w:b/>
          <w:i w:val="0"/>
          <w:spacing w:val="1"/>
        </w:rPr>
        <w:t xml:space="preserve"> </w:t>
      </w:r>
      <w:r w:rsidRPr="00EA5DE3">
        <w:rPr>
          <w:b/>
          <w:i w:val="0"/>
          <w:spacing w:val="-2"/>
        </w:rPr>
        <w:t>Lehre</w:t>
      </w:r>
    </w:p>
    <w:p w14:paraId="6E359FAA" w14:textId="77777777" w:rsidR="00FF7799" w:rsidRPr="00E73F6F" w:rsidRDefault="00FF7799" w:rsidP="0061246F">
      <w:pPr>
        <w:pStyle w:val="StandardText"/>
      </w:pPr>
      <w:r w:rsidRPr="00E73F6F">
        <w:t>Wesentlich</w:t>
      </w:r>
      <w:r w:rsidRPr="00E73F6F">
        <w:rPr>
          <w:spacing w:val="12"/>
        </w:rPr>
        <w:t xml:space="preserve"> </w:t>
      </w:r>
      <w:r w:rsidRPr="00E73F6F">
        <w:t>für</w:t>
      </w:r>
      <w:r w:rsidRPr="00E73F6F">
        <w:rPr>
          <w:spacing w:val="9"/>
        </w:rPr>
        <w:t xml:space="preserve"> </w:t>
      </w:r>
      <w:r w:rsidRPr="00E73F6F">
        <w:t>den</w:t>
      </w:r>
      <w:r w:rsidRPr="00E73F6F">
        <w:rPr>
          <w:spacing w:val="13"/>
        </w:rPr>
        <w:t xml:space="preserve"> </w:t>
      </w:r>
      <w:r w:rsidRPr="00E73F6F">
        <w:t>Buddhismus</w:t>
      </w:r>
      <w:r w:rsidRPr="00E73F6F">
        <w:rPr>
          <w:spacing w:val="8"/>
        </w:rPr>
        <w:t xml:space="preserve"> </w:t>
      </w:r>
      <w:r w:rsidRPr="00E73F6F">
        <w:t>sind</w:t>
      </w:r>
      <w:r w:rsidRPr="00E73F6F">
        <w:rPr>
          <w:spacing w:val="12"/>
        </w:rPr>
        <w:t xml:space="preserve"> </w:t>
      </w:r>
      <w:r w:rsidRPr="00E73F6F">
        <w:t>die</w:t>
      </w:r>
      <w:r w:rsidRPr="00E73F6F">
        <w:rPr>
          <w:spacing w:val="15"/>
        </w:rPr>
        <w:t xml:space="preserve"> </w:t>
      </w:r>
      <w:r w:rsidRPr="00E73F6F">
        <w:t>vier</w:t>
      </w:r>
      <w:r w:rsidRPr="00E73F6F">
        <w:rPr>
          <w:spacing w:val="11"/>
        </w:rPr>
        <w:t xml:space="preserve"> </w:t>
      </w:r>
      <w:r w:rsidRPr="00E73F6F">
        <w:t>edlen</w:t>
      </w:r>
      <w:r w:rsidRPr="00E73F6F">
        <w:rPr>
          <w:spacing w:val="12"/>
        </w:rPr>
        <w:t xml:space="preserve"> </w:t>
      </w:r>
      <w:r w:rsidRPr="00E73F6F">
        <w:t>Wahrheiten:</w:t>
      </w:r>
      <w:r w:rsidRPr="00E73F6F">
        <w:rPr>
          <w:spacing w:val="10"/>
        </w:rPr>
        <w:t xml:space="preserve"> </w:t>
      </w:r>
      <w:r w:rsidRPr="00E73F6F">
        <w:t>das</w:t>
      </w:r>
      <w:r w:rsidRPr="00E73F6F">
        <w:rPr>
          <w:spacing w:val="11"/>
        </w:rPr>
        <w:t xml:space="preserve"> </w:t>
      </w:r>
      <w:r w:rsidRPr="00E73F6F">
        <w:t>Leiden,</w:t>
      </w:r>
      <w:r w:rsidRPr="00E73F6F">
        <w:rPr>
          <w:spacing w:val="10"/>
        </w:rPr>
        <w:t xml:space="preserve"> </w:t>
      </w:r>
      <w:r w:rsidRPr="00E73F6F">
        <w:rPr>
          <w:spacing w:val="-5"/>
        </w:rPr>
        <w:t>die</w:t>
      </w:r>
      <w:r w:rsidR="00193869">
        <w:t xml:space="preserve"> </w:t>
      </w:r>
      <w:r w:rsidRPr="00E73F6F">
        <w:t>Entstehung</w:t>
      </w:r>
      <w:r w:rsidRPr="00E73F6F">
        <w:rPr>
          <w:spacing w:val="-12"/>
        </w:rPr>
        <w:t xml:space="preserve"> </w:t>
      </w:r>
      <w:r w:rsidRPr="00E73F6F">
        <w:t>des</w:t>
      </w:r>
      <w:r w:rsidRPr="00E73F6F">
        <w:rPr>
          <w:spacing w:val="-11"/>
        </w:rPr>
        <w:t xml:space="preserve"> </w:t>
      </w:r>
      <w:r w:rsidRPr="00E73F6F">
        <w:t>Leidens,</w:t>
      </w:r>
      <w:r w:rsidRPr="00E73F6F">
        <w:rPr>
          <w:spacing w:val="-11"/>
        </w:rPr>
        <w:t xml:space="preserve"> </w:t>
      </w:r>
      <w:r w:rsidRPr="00E73F6F">
        <w:t>die</w:t>
      </w:r>
      <w:r w:rsidRPr="00E73F6F">
        <w:rPr>
          <w:spacing w:val="-11"/>
        </w:rPr>
        <w:t xml:space="preserve"> </w:t>
      </w:r>
      <w:r w:rsidRPr="00E73F6F">
        <w:t>Vernichtung</w:t>
      </w:r>
      <w:r w:rsidRPr="00E73F6F">
        <w:rPr>
          <w:spacing w:val="-12"/>
        </w:rPr>
        <w:t xml:space="preserve"> </w:t>
      </w:r>
      <w:r w:rsidRPr="00E73F6F">
        <w:t>des</w:t>
      </w:r>
      <w:r w:rsidRPr="00E73F6F">
        <w:rPr>
          <w:spacing w:val="-11"/>
        </w:rPr>
        <w:t xml:space="preserve"> </w:t>
      </w:r>
      <w:r w:rsidRPr="00E73F6F">
        <w:t>Leidens</w:t>
      </w:r>
      <w:r w:rsidRPr="00E73F6F">
        <w:rPr>
          <w:spacing w:val="-11"/>
        </w:rPr>
        <w:t xml:space="preserve"> </w:t>
      </w:r>
      <w:r w:rsidRPr="00E73F6F">
        <w:t>und</w:t>
      </w:r>
      <w:r w:rsidRPr="00E73F6F">
        <w:rPr>
          <w:spacing w:val="-11"/>
        </w:rPr>
        <w:t xml:space="preserve"> </w:t>
      </w:r>
      <w:r w:rsidRPr="00E73F6F">
        <w:t>der</w:t>
      </w:r>
      <w:r w:rsidRPr="00E73F6F">
        <w:rPr>
          <w:spacing w:val="-12"/>
        </w:rPr>
        <w:t xml:space="preserve"> </w:t>
      </w:r>
      <w:r w:rsidRPr="00E73F6F">
        <w:t>edle,</w:t>
      </w:r>
      <w:r w:rsidRPr="00E73F6F">
        <w:rPr>
          <w:spacing w:val="-11"/>
        </w:rPr>
        <w:t xml:space="preserve"> </w:t>
      </w:r>
      <w:r w:rsidRPr="00E73F6F">
        <w:t>achtteilige</w:t>
      </w:r>
      <w:r w:rsidRPr="00E73F6F">
        <w:rPr>
          <w:spacing w:val="-11"/>
        </w:rPr>
        <w:t xml:space="preserve"> </w:t>
      </w:r>
      <w:r w:rsidRPr="00E73F6F">
        <w:t>Pfad der Wahrheit. Durch rechtes Denken, rechtes Entschließen, rechtes Wort, rechte Tat, rechtes Sich Versenken etc. führt dieser Pfad zur Überwindung des Leidens.</w:t>
      </w:r>
    </w:p>
    <w:p w14:paraId="1A3B2D61" w14:textId="77777777" w:rsidR="00FF7799" w:rsidRPr="00E73F6F" w:rsidRDefault="00FF7799" w:rsidP="0061246F">
      <w:pPr>
        <w:pStyle w:val="StandardText"/>
      </w:pPr>
      <w:r w:rsidRPr="00E73F6F">
        <w:t>Gemäß der buddhistischen Lehre ist der Einzelne in einem Kreislauf (= sansara) von</w:t>
      </w:r>
      <w:r w:rsidRPr="00E73F6F">
        <w:rPr>
          <w:spacing w:val="-12"/>
        </w:rPr>
        <w:t xml:space="preserve"> </w:t>
      </w:r>
      <w:r w:rsidRPr="00E73F6F">
        <w:t>Geburt,</w:t>
      </w:r>
      <w:r w:rsidRPr="00E73F6F">
        <w:rPr>
          <w:spacing w:val="-11"/>
        </w:rPr>
        <w:t xml:space="preserve"> </w:t>
      </w:r>
      <w:r w:rsidRPr="00E73F6F">
        <w:t>Tod</w:t>
      </w:r>
      <w:r w:rsidRPr="00E73F6F">
        <w:rPr>
          <w:spacing w:val="-10"/>
        </w:rPr>
        <w:t xml:space="preserve"> </w:t>
      </w:r>
      <w:r w:rsidRPr="00E73F6F">
        <w:t>und</w:t>
      </w:r>
      <w:r w:rsidRPr="00E73F6F">
        <w:rPr>
          <w:spacing w:val="-11"/>
        </w:rPr>
        <w:t xml:space="preserve"> </w:t>
      </w:r>
      <w:r w:rsidRPr="00E73F6F">
        <w:t>Wiedergeburt</w:t>
      </w:r>
      <w:r w:rsidRPr="00E73F6F">
        <w:rPr>
          <w:spacing w:val="-11"/>
        </w:rPr>
        <w:t xml:space="preserve"> </w:t>
      </w:r>
      <w:r w:rsidRPr="00E73F6F">
        <w:t>gefangen.</w:t>
      </w:r>
      <w:r w:rsidRPr="00E73F6F">
        <w:rPr>
          <w:spacing w:val="-11"/>
        </w:rPr>
        <w:t xml:space="preserve"> </w:t>
      </w:r>
      <w:r w:rsidRPr="00E73F6F">
        <w:t>Daraus</w:t>
      </w:r>
      <w:r w:rsidRPr="00E73F6F">
        <w:rPr>
          <w:spacing w:val="-12"/>
        </w:rPr>
        <w:t xml:space="preserve"> </w:t>
      </w:r>
      <w:r w:rsidRPr="00E73F6F">
        <w:t>kann</w:t>
      </w:r>
      <w:r w:rsidRPr="00E73F6F">
        <w:rPr>
          <w:spacing w:val="-10"/>
        </w:rPr>
        <w:t xml:space="preserve"> </w:t>
      </w:r>
      <w:r w:rsidRPr="00E73F6F">
        <w:t>er</w:t>
      </w:r>
      <w:r w:rsidRPr="00E73F6F">
        <w:rPr>
          <w:spacing w:val="-12"/>
        </w:rPr>
        <w:t xml:space="preserve"> </w:t>
      </w:r>
      <w:r w:rsidRPr="00E73F6F">
        <w:t>sich</w:t>
      </w:r>
      <w:r w:rsidRPr="00E73F6F">
        <w:rPr>
          <w:spacing w:val="-10"/>
        </w:rPr>
        <w:t xml:space="preserve"> </w:t>
      </w:r>
      <w:r w:rsidRPr="00E73F6F">
        <w:t>nur</w:t>
      </w:r>
      <w:r w:rsidRPr="00E73F6F">
        <w:rPr>
          <w:spacing w:val="-11"/>
        </w:rPr>
        <w:t xml:space="preserve"> </w:t>
      </w:r>
      <w:r w:rsidRPr="00E73F6F">
        <w:t>befreien</w:t>
      </w:r>
      <w:r w:rsidRPr="00E73F6F">
        <w:rPr>
          <w:spacing w:val="-12"/>
        </w:rPr>
        <w:t xml:space="preserve"> </w:t>
      </w:r>
      <w:r w:rsidRPr="00E73F6F">
        <w:t>und ins Nirvana gelangen,</w:t>
      </w:r>
      <w:r w:rsidRPr="00E73F6F">
        <w:rPr>
          <w:spacing w:val="-1"/>
        </w:rPr>
        <w:t xml:space="preserve"> </w:t>
      </w:r>
      <w:r w:rsidRPr="00E73F6F">
        <w:t>wenn</w:t>
      </w:r>
      <w:r w:rsidRPr="00E73F6F">
        <w:rPr>
          <w:spacing w:val="-1"/>
        </w:rPr>
        <w:t xml:space="preserve"> </w:t>
      </w:r>
      <w:r w:rsidRPr="00E73F6F">
        <w:t>er die Flamme des Karma zum</w:t>
      </w:r>
      <w:r w:rsidRPr="00E73F6F">
        <w:rPr>
          <w:spacing w:val="-1"/>
        </w:rPr>
        <w:t xml:space="preserve"> </w:t>
      </w:r>
      <w:r w:rsidRPr="00E73F6F">
        <w:t>Erlöschen</w:t>
      </w:r>
      <w:r w:rsidRPr="00E73F6F">
        <w:rPr>
          <w:spacing w:val="-1"/>
        </w:rPr>
        <w:t xml:space="preserve"> </w:t>
      </w:r>
      <w:r w:rsidRPr="00E73F6F">
        <w:t>bringt:</w:t>
      </w:r>
      <w:r w:rsidRPr="00E73F6F">
        <w:rPr>
          <w:spacing w:val="-2"/>
        </w:rPr>
        <w:t xml:space="preserve"> </w:t>
      </w:r>
      <w:r w:rsidRPr="00E73F6F">
        <w:t xml:space="preserve">d.h. das Leiden überwindet. Um den „Durst nach dem Dasein“, die Lebensgier zu löschen, muss der Gläubige den Pfad der Wahrheit beschreiten. Am Ende dieses Weges steht das Verlöschen der Seele (atman) im Nirvana. Mittler ist dabei </w:t>
      </w:r>
      <w:r w:rsidRPr="00E73F6F">
        <w:rPr>
          <w:spacing w:val="-2"/>
        </w:rPr>
        <w:t>Bodhisattva.</w:t>
      </w:r>
    </w:p>
    <w:p w14:paraId="6B489603" w14:textId="77777777" w:rsidR="00FF7799" w:rsidRPr="00E73F6F" w:rsidRDefault="00FF7799" w:rsidP="0061246F">
      <w:pPr>
        <w:pStyle w:val="StandardText"/>
      </w:pPr>
      <w:r w:rsidRPr="00E73F6F">
        <w:t>Zur</w:t>
      </w:r>
      <w:r w:rsidRPr="00E73F6F">
        <w:rPr>
          <w:spacing w:val="-5"/>
        </w:rPr>
        <w:t xml:space="preserve"> </w:t>
      </w:r>
      <w:r w:rsidRPr="00E73F6F">
        <w:t>Selbsterlösung,</w:t>
      </w:r>
      <w:r w:rsidRPr="00E73F6F">
        <w:rPr>
          <w:spacing w:val="-7"/>
        </w:rPr>
        <w:t xml:space="preserve"> </w:t>
      </w:r>
      <w:r w:rsidRPr="00E73F6F">
        <w:t>dem</w:t>
      </w:r>
      <w:r w:rsidRPr="00E73F6F">
        <w:rPr>
          <w:spacing w:val="-6"/>
        </w:rPr>
        <w:t xml:space="preserve"> </w:t>
      </w:r>
      <w:r w:rsidRPr="00E73F6F">
        <w:t>zentralen</w:t>
      </w:r>
      <w:r w:rsidRPr="00E73F6F">
        <w:rPr>
          <w:spacing w:val="-4"/>
        </w:rPr>
        <w:t xml:space="preserve"> </w:t>
      </w:r>
      <w:r w:rsidRPr="00E73F6F">
        <w:t>Ziel</w:t>
      </w:r>
      <w:r w:rsidRPr="00E73F6F">
        <w:rPr>
          <w:spacing w:val="-7"/>
        </w:rPr>
        <w:t xml:space="preserve"> </w:t>
      </w:r>
      <w:r w:rsidRPr="00E73F6F">
        <w:t>der</w:t>
      </w:r>
      <w:r w:rsidRPr="00E73F6F">
        <w:rPr>
          <w:spacing w:val="-8"/>
        </w:rPr>
        <w:t xml:space="preserve"> </w:t>
      </w:r>
      <w:r w:rsidRPr="00E73F6F">
        <w:t>buddhistischen</w:t>
      </w:r>
      <w:r w:rsidRPr="00E73F6F">
        <w:rPr>
          <w:spacing w:val="-7"/>
        </w:rPr>
        <w:t xml:space="preserve"> </w:t>
      </w:r>
      <w:r w:rsidRPr="00E73F6F">
        <w:t>Ethik,</w:t>
      </w:r>
      <w:r w:rsidRPr="00E73F6F">
        <w:rPr>
          <w:spacing w:val="-5"/>
        </w:rPr>
        <w:t xml:space="preserve"> </w:t>
      </w:r>
      <w:r w:rsidRPr="00E73F6F">
        <w:t>führen</w:t>
      </w:r>
      <w:r w:rsidRPr="00E73F6F">
        <w:rPr>
          <w:spacing w:val="-7"/>
        </w:rPr>
        <w:t xml:space="preserve"> </w:t>
      </w:r>
      <w:r w:rsidRPr="00E73F6F">
        <w:t>weiterhin Gewaltlosigkeit, mitleidige Liebe und Enthaltsamkeit. Nach seinem Tod verliert der Mensch zwar seine Gestalt. Die karmischen Kräfte der „fünf Gruppen des Ergreifens“ (Körper, Empfindung, Wahrnehmung, Willensgestaltung und Bewusstsein),</w:t>
      </w:r>
      <w:r w:rsidRPr="00E73F6F">
        <w:rPr>
          <w:spacing w:val="-1"/>
        </w:rPr>
        <w:t xml:space="preserve"> </w:t>
      </w:r>
      <w:r w:rsidRPr="00E73F6F">
        <w:t>aus</w:t>
      </w:r>
      <w:r w:rsidRPr="00E73F6F">
        <w:rPr>
          <w:spacing w:val="-4"/>
        </w:rPr>
        <w:t xml:space="preserve"> </w:t>
      </w:r>
      <w:r w:rsidRPr="00E73F6F">
        <w:t>denen</w:t>
      </w:r>
      <w:r w:rsidRPr="00E73F6F">
        <w:rPr>
          <w:spacing w:val="-3"/>
        </w:rPr>
        <w:t xml:space="preserve"> </w:t>
      </w:r>
      <w:r w:rsidRPr="00E73F6F">
        <w:t>der</w:t>
      </w:r>
      <w:r w:rsidRPr="00E73F6F">
        <w:rPr>
          <w:spacing w:val="-2"/>
        </w:rPr>
        <w:t xml:space="preserve"> </w:t>
      </w:r>
      <w:r w:rsidRPr="00E73F6F">
        <w:t>Einzelne</w:t>
      </w:r>
      <w:r w:rsidRPr="00E73F6F">
        <w:rPr>
          <w:spacing w:val="-2"/>
        </w:rPr>
        <w:t xml:space="preserve"> </w:t>
      </w:r>
      <w:r w:rsidRPr="00E73F6F">
        <w:t>besteht,</w:t>
      </w:r>
      <w:r w:rsidRPr="00E73F6F">
        <w:rPr>
          <w:spacing w:val="-1"/>
        </w:rPr>
        <w:t xml:space="preserve"> </w:t>
      </w:r>
      <w:r w:rsidRPr="00E73F6F">
        <w:t>formen</w:t>
      </w:r>
      <w:r w:rsidRPr="00E73F6F">
        <w:rPr>
          <w:spacing w:val="-1"/>
        </w:rPr>
        <w:t xml:space="preserve"> </w:t>
      </w:r>
      <w:r w:rsidRPr="00E73F6F">
        <w:t>aber</w:t>
      </w:r>
      <w:r w:rsidRPr="00E73F6F">
        <w:rPr>
          <w:spacing w:val="-2"/>
        </w:rPr>
        <w:t xml:space="preserve"> </w:t>
      </w:r>
      <w:r w:rsidRPr="00E73F6F">
        <w:t>ein</w:t>
      </w:r>
      <w:r w:rsidRPr="00E73F6F">
        <w:rPr>
          <w:spacing w:val="-3"/>
        </w:rPr>
        <w:t xml:space="preserve"> </w:t>
      </w:r>
      <w:r w:rsidRPr="00E73F6F">
        <w:t>neues</w:t>
      </w:r>
      <w:r w:rsidRPr="00E73F6F">
        <w:rPr>
          <w:spacing w:val="-2"/>
        </w:rPr>
        <w:t xml:space="preserve"> </w:t>
      </w:r>
      <w:r w:rsidRPr="00E73F6F">
        <w:t>Individuum. Dabei</w:t>
      </w:r>
      <w:r w:rsidRPr="00E73F6F">
        <w:rPr>
          <w:spacing w:val="-12"/>
        </w:rPr>
        <w:t xml:space="preserve"> </w:t>
      </w:r>
      <w:r w:rsidRPr="00E73F6F">
        <w:t>sind</w:t>
      </w:r>
      <w:r w:rsidRPr="00E73F6F">
        <w:rPr>
          <w:spacing w:val="-11"/>
        </w:rPr>
        <w:t xml:space="preserve"> </w:t>
      </w:r>
      <w:r w:rsidRPr="00E73F6F">
        <w:t>sechs</w:t>
      </w:r>
      <w:r w:rsidRPr="00E73F6F">
        <w:rPr>
          <w:spacing w:val="-11"/>
        </w:rPr>
        <w:t xml:space="preserve"> </w:t>
      </w:r>
      <w:r w:rsidRPr="00E73F6F">
        <w:t>Wesensarten</w:t>
      </w:r>
      <w:r w:rsidRPr="00E73F6F">
        <w:rPr>
          <w:spacing w:val="-9"/>
        </w:rPr>
        <w:t xml:space="preserve"> </w:t>
      </w:r>
      <w:r w:rsidRPr="00E73F6F">
        <w:t>denkbar</w:t>
      </w:r>
      <w:r w:rsidRPr="00E73F6F">
        <w:rPr>
          <w:spacing w:val="-10"/>
        </w:rPr>
        <w:t xml:space="preserve"> </w:t>
      </w:r>
      <w:r w:rsidRPr="00E73F6F">
        <w:t>(z.B.</w:t>
      </w:r>
      <w:r w:rsidRPr="00E73F6F">
        <w:rPr>
          <w:spacing w:val="-12"/>
        </w:rPr>
        <w:t xml:space="preserve"> </w:t>
      </w:r>
      <w:r w:rsidRPr="00E73F6F">
        <w:t>Mensch,</w:t>
      </w:r>
      <w:r w:rsidRPr="00E73F6F">
        <w:rPr>
          <w:spacing w:val="-11"/>
        </w:rPr>
        <w:t xml:space="preserve"> </w:t>
      </w:r>
      <w:r w:rsidRPr="00E73F6F">
        <w:t>himmlisches</w:t>
      </w:r>
      <w:r w:rsidRPr="00E73F6F">
        <w:rPr>
          <w:spacing w:val="-11"/>
        </w:rPr>
        <w:t xml:space="preserve"> </w:t>
      </w:r>
      <w:r w:rsidRPr="00E73F6F">
        <w:t>Wesen,</w:t>
      </w:r>
      <w:r w:rsidRPr="00E73F6F">
        <w:rPr>
          <w:spacing w:val="-10"/>
        </w:rPr>
        <w:t xml:space="preserve"> </w:t>
      </w:r>
      <w:r w:rsidRPr="00E73F6F">
        <w:t>Dämon oder Tier). Je nachdem, welcher Art die Taten waren, die im vorangegangenen Leben</w:t>
      </w:r>
      <w:r w:rsidRPr="00E73F6F">
        <w:rPr>
          <w:spacing w:val="-7"/>
        </w:rPr>
        <w:t xml:space="preserve"> </w:t>
      </w:r>
      <w:r w:rsidRPr="00E73F6F">
        <w:t>begangen</w:t>
      </w:r>
      <w:r w:rsidRPr="00E73F6F">
        <w:rPr>
          <w:spacing w:val="-7"/>
        </w:rPr>
        <w:t xml:space="preserve"> </w:t>
      </w:r>
      <w:r w:rsidRPr="00E73F6F">
        <w:t>wurden,</w:t>
      </w:r>
      <w:r w:rsidRPr="00E73F6F">
        <w:rPr>
          <w:spacing w:val="-9"/>
        </w:rPr>
        <w:t xml:space="preserve"> </w:t>
      </w:r>
      <w:r w:rsidRPr="00E73F6F">
        <w:t>ist</w:t>
      </w:r>
      <w:r w:rsidRPr="00E73F6F">
        <w:rPr>
          <w:spacing w:val="-6"/>
        </w:rPr>
        <w:t xml:space="preserve"> </w:t>
      </w:r>
      <w:r w:rsidRPr="00E73F6F">
        <w:t>jedoch</w:t>
      </w:r>
      <w:r w:rsidRPr="00E73F6F">
        <w:rPr>
          <w:spacing w:val="-6"/>
        </w:rPr>
        <w:t xml:space="preserve"> </w:t>
      </w:r>
      <w:r w:rsidRPr="00E73F6F">
        <w:t>auch</w:t>
      </w:r>
      <w:r w:rsidRPr="00E73F6F">
        <w:rPr>
          <w:spacing w:val="-9"/>
        </w:rPr>
        <w:t xml:space="preserve"> </w:t>
      </w:r>
      <w:r w:rsidRPr="00E73F6F">
        <w:t>die</w:t>
      </w:r>
      <w:r w:rsidRPr="00E73F6F">
        <w:rPr>
          <w:spacing w:val="-11"/>
        </w:rPr>
        <w:t xml:space="preserve"> </w:t>
      </w:r>
      <w:r w:rsidRPr="00E73F6F">
        <w:t>neue</w:t>
      </w:r>
      <w:r w:rsidRPr="00E73F6F">
        <w:rPr>
          <w:spacing w:val="-8"/>
        </w:rPr>
        <w:t xml:space="preserve"> </w:t>
      </w:r>
      <w:r w:rsidRPr="00E73F6F">
        <w:t>Existenz</w:t>
      </w:r>
      <w:r w:rsidRPr="00E73F6F">
        <w:rPr>
          <w:spacing w:val="-11"/>
        </w:rPr>
        <w:t xml:space="preserve"> </w:t>
      </w:r>
      <w:r w:rsidRPr="00E73F6F">
        <w:t>vom</w:t>
      </w:r>
      <w:r w:rsidRPr="00E73F6F">
        <w:rPr>
          <w:spacing w:val="-9"/>
        </w:rPr>
        <w:t xml:space="preserve"> </w:t>
      </w:r>
      <w:r w:rsidRPr="00E73F6F">
        <w:t>Leid</w:t>
      </w:r>
      <w:r w:rsidRPr="00E73F6F">
        <w:rPr>
          <w:spacing w:val="-7"/>
        </w:rPr>
        <w:t xml:space="preserve"> </w:t>
      </w:r>
      <w:r w:rsidRPr="00E73F6F">
        <w:t>geprägt</w:t>
      </w:r>
      <w:r w:rsidRPr="00E73F6F">
        <w:rPr>
          <w:spacing w:val="-7"/>
        </w:rPr>
        <w:t xml:space="preserve"> </w:t>
      </w:r>
      <w:r w:rsidRPr="00E73F6F">
        <w:t>(vgl. Pye 1995, S.175f.).</w:t>
      </w:r>
    </w:p>
    <w:p w14:paraId="5AAFDEA2" w14:textId="77777777" w:rsidR="00FF7799" w:rsidRPr="00E73F6F" w:rsidRDefault="00FF7799" w:rsidP="0061246F">
      <w:pPr>
        <w:pStyle w:val="StandardText"/>
      </w:pPr>
      <w:r w:rsidRPr="00E73F6F">
        <w:t>Der Religionsstifter hat diverse Regeln für den Umgang mit den übrigen Lebewesen aufgestellt. Sie sind, wie das Gebot des Nichtverletzens, Teil der buddhistischen Ethik: weder Mensch noch Tier ein Leid zufügen und ihnen mitfühlend begegnen. Hinter diesen Geboten stehen allerdings weder Naturverehrung</w:t>
      </w:r>
      <w:r w:rsidRPr="00E73F6F">
        <w:rPr>
          <w:spacing w:val="-6"/>
        </w:rPr>
        <w:t xml:space="preserve"> </w:t>
      </w:r>
      <w:r w:rsidRPr="00E73F6F">
        <w:t>noch</w:t>
      </w:r>
      <w:r w:rsidRPr="00E73F6F">
        <w:rPr>
          <w:spacing w:val="-6"/>
        </w:rPr>
        <w:t xml:space="preserve"> </w:t>
      </w:r>
      <w:r w:rsidRPr="00E73F6F">
        <w:t>das</w:t>
      </w:r>
      <w:r w:rsidRPr="00E73F6F">
        <w:rPr>
          <w:spacing w:val="-7"/>
        </w:rPr>
        <w:t xml:space="preserve"> </w:t>
      </w:r>
      <w:r w:rsidRPr="00E73F6F">
        <w:t>Ziel,</w:t>
      </w:r>
      <w:r w:rsidRPr="00E73F6F">
        <w:rPr>
          <w:spacing w:val="-6"/>
        </w:rPr>
        <w:t xml:space="preserve"> </w:t>
      </w:r>
      <w:r w:rsidRPr="00E73F6F">
        <w:t>die</w:t>
      </w:r>
      <w:r w:rsidRPr="00E73F6F">
        <w:rPr>
          <w:spacing w:val="-7"/>
        </w:rPr>
        <w:t xml:space="preserve"> </w:t>
      </w:r>
      <w:r w:rsidRPr="00E73F6F">
        <w:t>Natur</w:t>
      </w:r>
      <w:r w:rsidRPr="00E73F6F">
        <w:rPr>
          <w:spacing w:val="-7"/>
        </w:rPr>
        <w:t xml:space="preserve"> </w:t>
      </w:r>
      <w:r w:rsidRPr="00E73F6F">
        <w:t>zu</w:t>
      </w:r>
      <w:r w:rsidRPr="00E73F6F">
        <w:rPr>
          <w:spacing w:val="-6"/>
        </w:rPr>
        <w:t xml:space="preserve"> </w:t>
      </w:r>
      <w:r w:rsidRPr="00E73F6F">
        <w:t>erhalten.</w:t>
      </w:r>
      <w:r w:rsidRPr="00E73F6F">
        <w:rPr>
          <w:spacing w:val="-6"/>
        </w:rPr>
        <w:t xml:space="preserve"> </w:t>
      </w:r>
      <w:r w:rsidRPr="00E73F6F">
        <w:t>Denn</w:t>
      </w:r>
      <w:r w:rsidRPr="00E73F6F">
        <w:rPr>
          <w:spacing w:val="-6"/>
        </w:rPr>
        <w:t xml:space="preserve"> </w:t>
      </w:r>
      <w:r w:rsidRPr="00E73F6F">
        <w:t>die</w:t>
      </w:r>
      <w:r w:rsidRPr="00E73F6F">
        <w:rPr>
          <w:spacing w:val="-5"/>
        </w:rPr>
        <w:t xml:space="preserve"> </w:t>
      </w:r>
      <w:r w:rsidRPr="00E73F6F">
        <w:t>Natur</w:t>
      </w:r>
      <w:r w:rsidRPr="00E73F6F">
        <w:rPr>
          <w:spacing w:val="-4"/>
        </w:rPr>
        <w:t xml:space="preserve"> </w:t>
      </w:r>
      <w:r w:rsidRPr="00E73F6F">
        <w:t>gilt</w:t>
      </w:r>
      <w:r w:rsidRPr="00E73F6F">
        <w:rPr>
          <w:spacing w:val="-4"/>
        </w:rPr>
        <w:t xml:space="preserve"> </w:t>
      </w:r>
      <w:r w:rsidRPr="00E73F6F">
        <w:t>seit</w:t>
      </w:r>
      <w:r w:rsidRPr="00E73F6F">
        <w:rPr>
          <w:spacing w:val="-6"/>
        </w:rPr>
        <w:t xml:space="preserve"> </w:t>
      </w:r>
      <w:r w:rsidRPr="00E73F6F">
        <w:t>jeher teils</w:t>
      </w:r>
      <w:r w:rsidRPr="00E73F6F">
        <w:rPr>
          <w:spacing w:val="-1"/>
        </w:rPr>
        <w:t xml:space="preserve"> </w:t>
      </w:r>
      <w:r w:rsidRPr="00E73F6F">
        <w:t>mehr</w:t>
      </w:r>
      <w:r w:rsidRPr="00E73F6F">
        <w:rPr>
          <w:spacing w:val="-1"/>
        </w:rPr>
        <w:t xml:space="preserve"> </w:t>
      </w:r>
      <w:r w:rsidRPr="00E73F6F">
        <w:t>(=</w:t>
      </w:r>
      <w:r w:rsidRPr="00E73F6F">
        <w:rPr>
          <w:spacing w:val="-1"/>
        </w:rPr>
        <w:t xml:space="preserve"> </w:t>
      </w:r>
      <w:r w:rsidRPr="00E73F6F">
        <w:t>indischer</w:t>
      </w:r>
      <w:r w:rsidRPr="00E73F6F">
        <w:rPr>
          <w:spacing w:val="-1"/>
        </w:rPr>
        <w:t xml:space="preserve"> </w:t>
      </w:r>
      <w:r w:rsidRPr="00E73F6F">
        <w:t>Buddhismus), teils</w:t>
      </w:r>
      <w:r w:rsidRPr="00E73F6F">
        <w:rPr>
          <w:spacing w:val="-1"/>
        </w:rPr>
        <w:t xml:space="preserve"> </w:t>
      </w:r>
      <w:r w:rsidRPr="00E73F6F">
        <w:t>weniger</w:t>
      </w:r>
      <w:r w:rsidRPr="00E73F6F">
        <w:rPr>
          <w:spacing w:val="-1"/>
        </w:rPr>
        <w:t xml:space="preserve"> </w:t>
      </w:r>
      <w:r w:rsidRPr="00E73F6F">
        <w:t>(=</w:t>
      </w:r>
      <w:r w:rsidRPr="00E73F6F">
        <w:rPr>
          <w:spacing w:val="-4"/>
        </w:rPr>
        <w:t xml:space="preserve"> </w:t>
      </w:r>
      <w:r w:rsidRPr="00E73F6F">
        <w:t>ostasiatischer</w:t>
      </w:r>
      <w:r w:rsidRPr="00E73F6F">
        <w:rPr>
          <w:spacing w:val="-1"/>
        </w:rPr>
        <w:t xml:space="preserve"> </w:t>
      </w:r>
      <w:r w:rsidRPr="00E73F6F">
        <w:t>Buddhismus) als etwas eher Feindseliges, Leidvolles. Auch für das Nichttöten von Tieren ist nicht der Wunsch der Arterhaltung maßgeblich, sondern Mitleid gegenüber dem Individuum, Angst vor den karmischen Folgen der Tat für den Schlächter sowie Furcht</w:t>
      </w:r>
      <w:r w:rsidRPr="00E73F6F">
        <w:rPr>
          <w:spacing w:val="-6"/>
        </w:rPr>
        <w:t xml:space="preserve"> </w:t>
      </w:r>
      <w:r w:rsidRPr="00E73F6F">
        <w:t>vor</w:t>
      </w:r>
      <w:r w:rsidRPr="00E73F6F">
        <w:rPr>
          <w:spacing w:val="-4"/>
        </w:rPr>
        <w:t xml:space="preserve"> </w:t>
      </w:r>
      <w:r w:rsidRPr="00E73F6F">
        <w:t>„moralischer</w:t>
      </w:r>
      <w:r w:rsidRPr="00E73F6F">
        <w:rPr>
          <w:spacing w:val="-4"/>
        </w:rPr>
        <w:t xml:space="preserve"> </w:t>
      </w:r>
      <w:r w:rsidRPr="00E73F6F">
        <w:t>und</w:t>
      </w:r>
      <w:r w:rsidRPr="00E73F6F">
        <w:rPr>
          <w:spacing w:val="-4"/>
        </w:rPr>
        <w:t xml:space="preserve"> </w:t>
      </w:r>
      <w:r w:rsidRPr="00E73F6F">
        <w:t>sinnlicher</w:t>
      </w:r>
      <w:r w:rsidRPr="00E73F6F">
        <w:rPr>
          <w:spacing w:val="-4"/>
        </w:rPr>
        <w:t xml:space="preserve"> </w:t>
      </w:r>
      <w:r w:rsidRPr="00E73F6F">
        <w:t>Abstumpfung</w:t>
      </w:r>
      <w:r w:rsidRPr="00E73F6F">
        <w:rPr>
          <w:spacing w:val="-6"/>
        </w:rPr>
        <w:t xml:space="preserve"> </w:t>
      </w:r>
      <w:r w:rsidRPr="00E73F6F">
        <w:t>des</w:t>
      </w:r>
      <w:r w:rsidRPr="00E73F6F">
        <w:rPr>
          <w:spacing w:val="-5"/>
        </w:rPr>
        <w:t xml:space="preserve"> </w:t>
      </w:r>
      <w:r w:rsidRPr="00E73F6F">
        <w:t>Täters“</w:t>
      </w:r>
      <w:r w:rsidRPr="00E73F6F">
        <w:rPr>
          <w:spacing w:val="-5"/>
        </w:rPr>
        <w:t xml:space="preserve"> </w:t>
      </w:r>
      <w:r w:rsidRPr="00E73F6F">
        <w:t>(Pye</w:t>
      </w:r>
      <w:r w:rsidRPr="00E73F6F">
        <w:rPr>
          <w:spacing w:val="-2"/>
        </w:rPr>
        <w:t xml:space="preserve"> </w:t>
      </w:r>
      <w:r w:rsidRPr="00E73F6F">
        <w:t>et</w:t>
      </w:r>
      <w:r w:rsidRPr="00E73F6F">
        <w:rPr>
          <w:spacing w:val="-4"/>
        </w:rPr>
        <w:t xml:space="preserve"> </w:t>
      </w:r>
      <w:r w:rsidRPr="00E73F6F">
        <w:t>al.</w:t>
      </w:r>
      <w:r w:rsidRPr="00E73F6F">
        <w:rPr>
          <w:spacing w:val="-4"/>
        </w:rPr>
        <w:t xml:space="preserve"> </w:t>
      </w:r>
      <w:r w:rsidRPr="00E73F6F">
        <w:t xml:space="preserve">1997, </w:t>
      </w:r>
      <w:r w:rsidRPr="00E73F6F">
        <w:rPr>
          <w:spacing w:val="-2"/>
        </w:rPr>
        <w:t>S.3).</w:t>
      </w:r>
    </w:p>
    <w:p w14:paraId="27FCDC46" w14:textId="77777777" w:rsidR="00FF7799" w:rsidRPr="00E73F6F" w:rsidRDefault="00FF7799" w:rsidP="0061246F">
      <w:pPr>
        <w:pStyle w:val="StandardText"/>
      </w:pPr>
      <w:r w:rsidRPr="00E73F6F">
        <w:t>Letztlich</w:t>
      </w:r>
      <w:r w:rsidRPr="00E73F6F">
        <w:rPr>
          <w:spacing w:val="-10"/>
        </w:rPr>
        <w:t xml:space="preserve"> </w:t>
      </w:r>
      <w:r w:rsidRPr="00E73F6F">
        <w:t>beruhen</w:t>
      </w:r>
      <w:r w:rsidRPr="00E73F6F">
        <w:rPr>
          <w:spacing w:val="-12"/>
        </w:rPr>
        <w:t xml:space="preserve"> </w:t>
      </w:r>
      <w:r w:rsidRPr="00E73F6F">
        <w:t>die</w:t>
      </w:r>
      <w:r w:rsidRPr="00E73F6F">
        <w:rPr>
          <w:spacing w:val="-11"/>
        </w:rPr>
        <w:t xml:space="preserve"> </w:t>
      </w:r>
      <w:r w:rsidRPr="00E73F6F">
        <w:t>idealisierenden</w:t>
      </w:r>
      <w:r w:rsidRPr="00E73F6F">
        <w:rPr>
          <w:spacing w:val="-9"/>
        </w:rPr>
        <w:t xml:space="preserve"> </w:t>
      </w:r>
      <w:r w:rsidRPr="00E73F6F">
        <w:t>Vorstellungen,</w:t>
      </w:r>
      <w:r w:rsidRPr="00E73F6F">
        <w:rPr>
          <w:spacing w:val="-11"/>
        </w:rPr>
        <w:t xml:space="preserve"> </w:t>
      </w:r>
      <w:r w:rsidRPr="00E73F6F">
        <w:t>welche</w:t>
      </w:r>
      <w:r w:rsidRPr="00E73F6F">
        <w:rPr>
          <w:spacing w:val="-12"/>
        </w:rPr>
        <w:t xml:space="preserve"> </w:t>
      </w:r>
      <w:r w:rsidRPr="00E73F6F">
        <w:t>sich</w:t>
      </w:r>
      <w:r w:rsidRPr="00E73F6F">
        <w:rPr>
          <w:spacing w:val="-11"/>
        </w:rPr>
        <w:t xml:space="preserve"> </w:t>
      </w:r>
      <w:r w:rsidRPr="00E73F6F">
        <w:t>viele</w:t>
      </w:r>
      <w:r w:rsidRPr="00E73F6F">
        <w:rPr>
          <w:spacing w:val="-11"/>
        </w:rPr>
        <w:t xml:space="preserve"> </w:t>
      </w:r>
      <w:r w:rsidRPr="00E73F6F">
        <w:t>Angehörige des westlichen Kulturraumes in Bezug auf den Umgang des Buddhismus mit der Umwelt machen, auf einem Missverständnis. Tatsächlich war für den frühen Buddhismus die Verneinung der Welt charakteristisch. Die Natur und mit ihr der Mensch wurden als Sphäre des Leidens und der Vergänglichkeit betrachtet, geschaffen</w:t>
      </w:r>
      <w:r w:rsidRPr="00E73F6F">
        <w:rPr>
          <w:spacing w:val="-5"/>
        </w:rPr>
        <w:t xml:space="preserve"> </w:t>
      </w:r>
      <w:r w:rsidRPr="00E73F6F">
        <w:t>durch</w:t>
      </w:r>
      <w:r w:rsidRPr="00E73F6F">
        <w:rPr>
          <w:spacing w:val="-5"/>
        </w:rPr>
        <w:t xml:space="preserve"> </w:t>
      </w:r>
      <w:r w:rsidRPr="00E73F6F">
        <w:t>„Gier</w:t>
      </w:r>
      <w:r w:rsidRPr="00E73F6F">
        <w:rPr>
          <w:spacing w:val="-6"/>
        </w:rPr>
        <w:t xml:space="preserve"> </w:t>
      </w:r>
      <w:r w:rsidRPr="00E73F6F">
        <w:t>und</w:t>
      </w:r>
      <w:r w:rsidRPr="00E73F6F">
        <w:rPr>
          <w:spacing w:val="-5"/>
        </w:rPr>
        <w:t xml:space="preserve"> </w:t>
      </w:r>
      <w:r w:rsidRPr="00E73F6F">
        <w:t>Verblendung“</w:t>
      </w:r>
      <w:r w:rsidRPr="00E73F6F">
        <w:rPr>
          <w:spacing w:val="-6"/>
        </w:rPr>
        <w:t xml:space="preserve"> </w:t>
      </w:r>
      <w:r w:rsidRPr="00E73F6F">
        <w:t>(Pye</w:t>
      </w:r>
      <w:r w:rsidRPr="00E73F6F">
        <w:rPr>
          <w:spacing w:val="-5"/>
        </w:rPr>
        <w:t xml:space="preserve"> </w:t>
      </w:r>
      <w:r w:rsidRPr="00E73F6F">
        <w:t>et</w:t>
      </w:r>
      <w:r w:rsidRPr="00E73F6F">
        <w:rPr>
          <w:spacing w:val="-7"/>
        </w:rPr>
        <w:t xml:space="preserve"> </w:t>
      </w:r>
      <w:r w:rsidRPr="00E73F6F">
        <w:t>al.</w:t>
      </w:r>
      <w:r w:rsidRPr="00E73F6F">
        <w:rPr>
          <w:spacing w:val="-7"/>
        </w:rPr>
        <w:t xml:space="preserve"> </w:t>
      </w:r>
      <w:r w:rsidRPr="00E73F6F">
        <w:t>1997,</w:t>
      </w:r>
      <w:r w:rsidRPr="00E73F6F">
        <w:rPr>
          <w:spacing w:val="-5"/>
        </w:rPr>
        <w:t xml:space="preserve"> </w:t>
      </w:r>
      <w:r w:rsidRPr="00E73F6F">
        <w:t>S.3).</w:t>
      </w:r>
      <w:r w:rsidRPr="00E73F6F">
        <w:rPr>
          <w:spacing w:val="-7"/>
        </w:rPr>
        <w:t xml:space="preserve"> </w:t>
      </w:r>
      <w:r w:rsidRPr="00E73F6F">
        <w:t>Deshalb</w:t>
      </w:r>
      <w:r w:rsidRPr="00E73F6F">
        <w:rPr>
          <w:spacing w:val="-6"/>
        </w:rPr>
        <w:t xml:space="preserve"> </w:t>
      </w:r>
      <w:r w:rsidRPr="00E73F6F">
        <w:t>gelte</w:t>
      </w:r>
      <w:r w:rsidRPr="00E73F6F">
        <w:rPr>
          <w:spacing w:val="-6"/>
        </w:rPr>
        <w:t xml:space="preserve"> </w:t>
      </w:r>
      <w:r w:rsidRPr="00E73F6F">
        <w:t>es, die</w:t>
      </w:r>
      <w:r w:rsidRPr="00E73F6F">
        <w:rPr>
          <w:spacing w:val="-7"/>
        </w:rPr>
        <w:t xml:space="preserve"> </w:t>
      </w:r>
      <w:r w:rsidRPr="00E73F6F">
        <w:t>Natur</w:t>
      </w:r>
      <w:r w:rsidRPr="00E73F6F">
        <w:rPr>
          <w:spacing w:val="-7"/>
        </w:rPr>
        <w:t xml:space="preserve"> </w:t>
      </w:r>
      <w:r w:rsidRPr="00E73F6F">
        <w:t>zu</w:t>
      </w:r>
      <w:r w:rsidRPr="00E73F6F">
        <w:rPr>
          <w:spacing w:val="-6"/>
        </w:rPr>
        <w:t xml:space="preserve"> </w:t>
      </w:r>
      <w:r w:rsidRPr="00E73F6F">
        <w:t>überwinden</w:t>
      </w:r>
      <w:r w:rsidRPr="00E73F6F">
        <w:rPr>
          <w:spacing w:val="-8"/>
        </w:rPr>
        <w:t xml:space="preserve"> </w:t>
      </w:r>
      <w:r w:rsidRPr="00E73F6F">
        <w:t>und</w:t>
      </w:r>
      <w:r w:rsidRPr="00E73F6F">
        <w:rPr>
          <w:spacing w:val="-8"/>
        </w:rPr>
        <w:t xml:space="preserve"> </w:t>
      </w:r>
      <w:r w:rsidRPr="00E73F6F">
        <w:t>nicht,</w:t>
      </w:r>
      <w:r w:rsidRPr="00E73F6F">
        <w:rPr>
          <w:spacing w:val="-6"/>
        </w:rPr>
        <w:t xml:space="preserve"> </w:t>
      </w:r>
      <w:r w:rsidRPr="00E73F6F">
        <w:t>mit</w:t>
      </w:r>
      <w:r w:rsidRPr="00E73F6F">
        <w:rPr>
          <w:spacing w:val="-6"/>
        </w:rPr>
        <w:t xml:space="preserve"> </w:t>
      </w:r>
      <w:r w:rsidRPr="00E73F6F">
        <w:t>ihr</w:t>
      </w:r>
      <w:r w:rsidRPr="00E73F6F">
        <w:rPr>
          <w:spacing w:val="-7"/>
        </w:rPr>
        <w:t xml:space="preserve"> </w:t>
      </w:r>
      <w:r w:rsidRPr="00E73F6F">
        <w:t>im</w:t>
      </w:r>
      <w:r w:rsidRPr="00E73F6F">
        <w:rPr>
          <w:spacing w:val="-10"/>
        </w:rPr>
        <w:t xml:space="preserve"> </w:t>
      </w:r>
      <w:r w:rsidRPr="00E73F6F">
        <w:t>Einklang</w:t>
      </w:r>
      <w:r w:rsidRPr="00E73F6F">
        <w:rPr>
          <w:spacing w:val="-6"/>
        </w:rPr>
        <w:t xml:space="preserve"> </w:t>
      </w:r>
      <w:r w:rsidRPr="00E73F6F">
        <w:t>zu</w:t>
      </w:r>
      <w:r w:rsidRPr="00E73F6F">
        <w:rPr>
          <w:spacing w:val="-8"/>
        </w:rPr>
        <w:t xml:space="preserve"> </w:t>
      </w:r>
      <w:r w:rsidRPr="00E73F6F">
        <w:t>leben.</w:t>
      </w:r>
      <w:r w:rsidRPr="00E73F6F">
        <w:rPr>
          <w:spacing w:val="-8"/>
        </w:rPr>
        <w:t xml:space="preserve"> </w:t>
      </w:r>
      <w:r w:rsidRPr="00E73F6F">
        <w:t>Wie</w:t>
      </w:r>
      <w:r w:rsidRPr="00E73F6F">
        <w:rPr>
          <w:spacing w:val="-7"/>
        </w:rPr>
        <w:t xml:space="preserve"> </w:t>
      </w:r>
      <w:r w:rsidRPr="00E73F6F">
        <w:t>der</w:t>
      </w:r>
      <w:r w:rsidRPr="00E73F6F">
        <w:rPr>
          <w:spacing w:val="-7"/>
        </w:rPr>
        <w:t xml:space="preserve"> </w:t>
      </w:r>
      <w:r w:rsidRPr="00E73F6F">
        <w:lastRenderedPageBreak/>
        <w:t>einzelne Buddhist danach strebt, im Nirvana aufzugehen, so ist auf der kosmischen Ebene das höchste Ziel das Verlöschen des Universums.</w:t>
      </w:r>
    </w:p>
    <w:p w14:paraId="2A9B20BA" w14:textId="77777777" w:rsidR="00FF7799" w:rsidRPr="00193869" w:rsidRDefault="00FF7799" w:rsidP="0061246F">
      <w:pPr>
        <w:pStyle w:val="StandardText"/>
      </w:pPr>
    </w:p>
    <w:p w14:paraId="1C435B5C" w14:textId="77777777" w:rsidR="00FF7799" w:rsidRPr="00193869" w:rsidRDefault="00FF7799" w:rsidP="0061246F">
      <w:pPr>
        <w:pStyle w:val="StandardTextkursiv"/>
        <w:rPr>
          <w:i w:val="0"/>
        </w:rPr>
      </w:pPr>
      <w:r w:rsidRPr="00193869">
        <w:rPr>
          <w:i w:val="0"/>
        </w:rPr>
        <w:t>4 Ökonomisch</w:t>
      </w:r>
      <w:r w:rsidRPr="00193869">
        <w:rPr>
          <w:i w:val="0"/>
          <w:spacing w:val="-1"/>
        </w:rPr>
        <w:t xml:space="preserve"> </w:t>
      </w:r>
      <w:r w:rsidRPr="00193869">
        <w:rPr>
          <w:i w:val="0"/>
        </w:rPr>
        <w:t>relevante</w:t>
      </w:r>
      <w:r w:rsidRPr="00193869">
        <w:rPr>
          <w:i w:val="0"/>
          <w:spacing w:val="-1"/>
        </w:rPr>
        <w:t xml:space="preserve"> </w:t>
      </w:r>
      <w:r w:rsidRPr="00193869">
        <w:rPr>
          <w:i w:val="0"/>
        </w:rPr>
        <w:t>Verhaltensvorschriften</w:t>
      </w:r>
    </w:p>
    <w:p w14:paraId="5F149F74" w14:textId="77777777" w:rsidR="00FF7799" w:rsidRPr="00E73F6F" w:rsidRDefault="00FF7799" w:rsidP="0061246F">
      <w:pPr>
        <w:pStyle w:val="StandardText"/>
      </w:pPr>
      <w:r w:rsidRPr="00E73F6F">
        <w:t>Angesichts</w:t>
      </w:r>
      <w:r w:rsidRPr="00E73F6F">
        <w:rPr>
          <w:spacing w:val="-12"/>
        </w:rPr>
        <w:t xml:space="preserve"> </w:t>
      </w:r>
      <w:r w:rsidRPr="00E73F6F">
        <w:t>ihrer</w:t>
      </w:r>
      <w:r w:rsidRPr="00E73F6F">
        <w:rPr>
          <w:spacing w:val="-11"/>
        </w:rPr>
        <w:t xml:space="preserve"> </w:t>
      </w:r>
      <w:r w:rsidRPr="00E73F6F">
        <w:t>Vielfalt,</w:t>
      </w:r>
      <w:r w:rsidRPr="00E73F6F">
        <w:rPr>
          <w:spacing w:val="-11"/>
        </w:rPr>
        <w:t xml:space="preserve"> </w:t>
      </w:r>
      <w:r w:rsidRPr="00E73F6F">
        <w:t>die</w:t>
      </w:r>
      <w:r w:rsidRPr="00E73F6F">
        <w:rPr>
          <w:spacing w:val="-11"/>
        </w:rPr>
        <w:t xml:space="preserve"> </w:t>
      </w:r>
      <w:r w:rsidRPr="00E73F6F">
        <w:t>aus</w:t>
      </w:r>
      <w:r w:rsidRPr="00E73F6F">
        <w:rPr>
          <w:spacing w:val="-12"/>
        </w:rPr>
        <w:t xml:space="preserve"> </w:t>
      </w:r>
      <w:r w:rsidRPr="00E73F6F">
        <w:t>regionaler</w:t>
      </w:r>
      <w:r w:rsidRPr="00E73F6F">
        <w:rPr>
          <w:spacing w:val="-11"/>
        </w:rPr>
        <w:t xml:space="preserve"> </w:t>
      </w:r>
      <w:r w:rsidRPr="00E73F6F">
        <w:t>Differenzierung</w:t>
      </w:r>
      <w:r w:rsidRPr="00E73F6F">
        <w:rPr>
          <w:spacing w:val="-11"/>
        </w:rPr>
        <w:t xml:space="preserve"> </w:t>
      </w:r>
      <w:r w:rsidRPr="00E73F6F">
        <w:t>und</w:t>
      </w:r>
      <w:r w:rsidRPr="00E73F6F">
        <w:rPr>
          <w:spacing w:val="-11"/>
        </w:rPr>
        <w:t xml:space="preserve"> </w:t>
      </w:r>
      <w:r w:rsidRPr="00E73F6F">
        <w:t>symbiotischer Verbindung mit anderen Religionen bzw. Lehren erwächst, sind konkrete Einflüsse</w:t>
      </w:r>
      <w:r w:rsidRPr="00E73F6F">
        <w:rPr>
          <w:spacing w:val="-11"/>
        </w:rPr>
        <w:t xml:space="preserve"> </w:t>
      </w:r>
      <w:r w:rsidRPr="00E73F6F">
        <w:t>der</w:t>
      </w:r>
      <w:r w:rsidRPr="00E73F6F">
        <w:rPr>
          <w:spacing w:val="-12"/>
        </w:rPr>
        <w:t xml:space="preserve"> </w:t>
      </w:r>
      <w:r w:rsidRPr="00E73F6F">
        <w:t>buddhistischen</w:t>
      </w:r>
      <w:r w:rsidRPr="00E73F6F">
        <w:rPr>
          <w:spacing w:val="-10"/>
        </w:rPr>
        <w:t xml:space="preserve"> </w:t>
      </w:r>
      <w:r w:rsidRPr="00E73F6F">
        <w:t>Lehre</w:t>
      </w:r>
      <w:r w:rsidRPr="00E73F6F">
        <w:rPr>
          <w:spacing w:val="-8"/>
        </w:rPr>
        <w:t xml:space="preserve"> </w:t>
      </w:r>
      <w:r w:rsidRPr="00E73F6F">
        <w:t>auf</w:t>
      </w:r>
      <w:r w:rsidRPr="00E73F6F">
        <w:rPr>
          <w:spacing w:val="-10"/>
        </w:rPr>
        <w:t xml:space="preserve"> </w:t>
      </w:r>
      <w:r w:rsidRPr="00E73F6F">
        <w:t>das</w:t>
      </w:r>
      <w:r w:rsidRPr="00E73F6F">
        <w:rPr>
          <w:spacing w:val="-11"/>
        </w:rPr>
        <w:t xml:space="preserve"> </w:t>
      </w:r>
      <w:r w:rsidRPr="00E73F6F">
        <w:t>soziale</w:t>
      </w:r>
      <w:r w:rsidRPr="00E73F6F">
        <w:rPr>
          <w:spacing w:val="-11"/>
        </w:rPr>
        <w:t xml:space="preserve"> </w:t>
      </w:r>
      <w:r w:rsidRPr="00E73F6F">
        <w:t>Leben</w:t>
      </w:r>
      <w:r w:rsidRPr="00E73F6F">
        <w:rPr>
          <w:spacing w:val="-11"/>
        </w:rPr>
        <w:t xml:space="preserve"> </w:t>
      </w:r>
      <w:r w:rsidRPr="00E73F6F">
        <w:t>und</w:t>
      </w:r>
      <w:r w:rsidRPr="00E73F6F">
        <w:rPr>
          <w:spacing w:val="-11"/>
        </w:rPr>
        <w:t xml:space="preserve"> </w:t>
      </w:r>
      <w:r w:rsidRPr="00E73F6F">
        <w:t>das</w:t>
      </w:r>
      <w:r w:rsidRPr="00E73F6F">
        <w:rPr>
          <w:spacing w:val="-11"/>
        </w:rPr>
        <w:t xml:space="preserve"> </w:t>
      </w:r>
      <w:r w:rsidRPr="00E73F6F">
        <w:t>Arbeitsleben</w:t>
      </w:r>
      <w:r w:rsidRPr="00E73F6F">
        <w:rPr>
          <w:spacing w:val="-11"/>
        </w:rPr>
        <w:t xml:space="preserve"> </w:t>
      </w:r>
      <w:r w:rsidRPr="00E73F6F">
        <w:t>nur begrenzt</w:t>
      </w:r>
      <w:r w:rsidRPr="00E73F6F">
        <w:rPr>
          <w:spacing w:val="31"/>
        </w:rPr>
        <w:t xml:space="preserve"> </w:t>
      </w:r>
      <w:r w:rsidRPr="00E73F6F">
        <w:t>nachweisbar.</w:t>
      </w:r>
      <w:r w:rsidRPr="00E73F6F">
        <w:rPr>
          <w:spacing w:val="31"/>
        </w:rPr>
        <w:t xml:space="preserve"> </w:t>
      </w:r>
      <w:r w:rsidRPr="00E73F6F">
        <w:t>Anders</w:t>
      </w:r>
      <w:r w:rsidRPr="00E73F6F">
        <w:rPr>
          <w:spacing w:val="31"/>
        </w:rPr>
        <w:t xml:space="preserve"> </w:t>
      </w:r>
      <w:r w:rsidRPr="00E73F6F">
        <w:t>als</w:t>
      </w:r>
      <w:r w:rsidRPr="00E73F6F">
        <w:rPr>
          <w:spacing w:val="30"/>
        </w:rPr>
        <w:t xml:space="preserve"> </w:t>
      </w:r>
      <w:r w:rsidRPr="00E73F6F">
        <w:t>bisweilen</w:t>
      </w:r>
      <w:r w:rsidRPr="00E73F6F">
        <w:rPr>
          <w:spacing w:val="31"/>
        </w:rPr>
        <w:t xml:space="preserve"> </w:t>
      </w:r>
      <w:r w:rsidRPr="00E73F6F">
        <w:t>unterstellt</w:t>
      </w:r>
      <w:r w:rsidRPr="00E73F6F">
        <w:rPr>
          <w:spacing w:val="32"/>
        </w:rPr>
        <w:t xml:space="preserve"> </w:t>
      </w:r>
      <w:r w:rsidRPr="00E73F6F">
        <w:t>wird,</w:t>
      </w:r>
      <w:r w:rsidRPr="00E73F6F">
        <w:rPr>
          <w:spacing w:val="31"/>
        </w:rPr>
        <w:t xml:space="preserve"> </w:t>
      </w:r>
      <w:r w:rsidRPr="00E73F6F">
        <w:t>ist</w:t>
      </w:r>
      <w:r w:rsidRPr="00E73F6F">
        <w:rPr>
          <w:spacing w:val="29"/>
        </w:rPr>
        <w:t xml:space="preserve"> </w:t>
      </w:r>
      <w:r w:rsidRPr="00E73F6F">
        <w:t>es</w:t>
      </w:r>
      <w:r w:rsidRPr="00E73F6F">
        <w:rPr>
          <w:spacing w:val="30"/>
        </w:rPr>
        <w:t xml:space="preserve"> </w:t>
      </w:r>
      <w:r w:rsidRPr="00E73F6F">
        <w:t>bspw.</w:t>
      </w:r>
      <w:r w:rsidRPr="00E73F6F">
        <w:rPr>
          <w:spacing w:val="31"/>
        </w:rPr>
        <w:t xml:space="preserve"> </w:t>
      </w:r>
      <w:r w:rsidRPr="00E73F6F">
        <w:rPr>
          <w:spacing w:val="-5"/>
        </w:rPr>
        <w:t>dem</w:t>
      </w:r>
      <w:r w:rsidR="003A0418" w:rsidRPr="00E73F6F">
        <w:rPr>
          <w:spacing w:val="-5"/>
        </w:rPr>
        <w:t xml:space="preserve"> </w:t>
      </w:r>
      <w:r w:rsidRPr="00E73F6F">
        <w:t>weltlich</w:t>
      </w:r>
      <w:r w:rsidRPr="00E73F6F">
        <w:rPr>
          <w:spacing w:val="-5"/>
        </w:rPr>
        <w:t xml:space="preserve"> </w:t>
      </w:r>
      <w:r w:rsidRPr="00E73F6F">
        <w:t>lebenden</w:t>
      </w:r>
      <w:r w:rsidRPr="00E73F6F">
        <w:rPr>
          <w:spacing w:val="-5"/>
        </w:rPr>
        <w:t xml:space="preserve"> </w:t>
      </w:r>
      <w:r w:rsidRPr="00E73F6F">
        <w:t>Buddhisten</w:t>
      </w:r>
      <w:r w:rsidRPr="00E73F6F">
        <w:rPr>
          <w:spacing w:val="-6"/>
        </w:rPr>
        <w:t xml:space="preserve"> </w:t>
      </w:r>
      <w:r w:rsidRPr="00E73F6F">
        <w:t>nicht</w:t>
      </w:r>
      <w:r w:rsidRPr="00E73F6F">
        <w:rPr>
          <w:spacing w:val="-6"/>
        </w:rPr>
        <w:t xml:space="preserve"> </w:t>
      </w:r>
      <w:r w:rsidRPr="00E73F6F">
        <w:t>verboten,</w:t>
      </w:r>
      <w:r w:rsidRPr="00E73F6F">
        <w:rPr>
          <w:spacing w:val="-8"/>
        </w:rPr>
        <w:t xml:space="preserve"> </w:t>
      </w:r>
      <w:r w:rsidRPr="00E73F6F">
        <w:t>größeren</w:t>
      </w:r>
      <w:r w:rsidRPr="00E73F6F">
        <w:rPr>
          <w:spacing w:val="-5"/>
        </w:rPr>
        <w:t xml:space="preserve"> </w:t>
      </w:r>
      <w:r w:rsidRPr="00E73F6F">
        <w:t>Besitz</w:t>
      </w:r>
      <w:r w:rsidRPr="00E73F6F">
        <w:rPr>
          <w:spacing w:val="-7"/>
        </w:rPr>
        <w:t xml:space="preserve"> </w:t>
      </w:r>
      <w:r w:rsidRPr="00E73F6F">
        <w:t>zu</w:t>
      </w:r>
      <w:r w:rsidRPr="00E73F6F">
        <w:rPr>
          <w:spacing w:val="-5"/>
        </w:rPr>
        <w:t xml:space="preserve"> </w:t>
      </w:r>
      <w:r w:rsidRPr="00E73F6F">
        <w:t>erwerben,</w:t>
      </w:r>
      <w:r w:rsidRPr="00E73F6F">
        <w:rPr>
          <w:spacing w:val="-6"/>
        </w:rPr>
        <w:t xml:space="preserve"> </w:t>
      </w:r>
      <w:r w:rsidRPr="00E73F6F">
        <w:t>sofern er anderen davon abgibt. Als</w:t>
      </w:r>
      <w:r w:rsidRPr="00E73F6F">
        <w:rPr>
          <w:spacing w:val="-1"/>
        </w:rPr>
        <w:t xml:space="preserve"> </w:t>
      </w:r>
      <w:r w:rsidRPr="00E73F6F">
        <w:t>Voraussetzung für</w:t>
      </w:r>
      <w:r w:rsidRPr="00E73F6F">
        <w:rPr>
          <w:spacing w:val="-1"/>
        </w:rPr>
        <w:t xml:space="preserve"> </w:t>
      </w:r>
      <w:r w:rsidRPr="00E73F6F">
        <w:t xml:space="preserve">die in diesen Gesellschaften sehr bedeutsame Spendenfähigkeit ist wirtschaftlicher Erfolg sogar durchaus erwünscht; denn Spenden sichern den Lebensunterhalt der zahllosen Tempel und </w:t>
      </w:r>
      <w:r w:rsidRPr="00E73F6F">
        <w:rPr>
          <w:spacing w:val="-2"/>
        </w:rPr>
        <w:t>Mönche.</w:t>
      </w:r>
    </w:p>
    <w:p w14:paraId="35360679" w14:textId="77777777" w:rsidR="00FF7799" w:rsidRPr="00E73F6F" w:rsidRDefault="00FF7799" w:rsidP="0061246F">
      <w:pPr>
        <w:pStyle w:val="StandardText"/>
      </w:pPr>
      <w:r w:rsidRPr="00E73F6F">
        <w:t>Wirtschaftliche</w:t>
      </w:r>
      <w:r w:rsidRPr="00E73F6F">
        <w:rPr>
          <w:spacing w:val="-11"/>
        </w:rPr>
        <w:t xml:space="preserve"> </w:t>
      </w:r>
      <w:r w:rsidRPr="00E73F6F">
        <w:t>Transaktionen</w:t>
      </w:r>
      <w:r w:rsidRPr="00E73F6F">
        <w:rPr>
          <w:spacing w:val="-7"/>
        </w:rPr>
        <w:t xml:space="preserve"> </w:t>
      </w:r>
      <w:r w:rsidRPr="00E73F6F">
        <w:t>werden</w:t>
      </w:r>
      <w:r w:rsidRPr="00E73F6F">
        <w:rPr>
          <w:spacing w:val="-9"/>
        </w:rPr>
        <w:t xml:space="preserve"> </w:t>
      </w:r>
      <w:r w:rsidRPr="00E73F6F">
        <w:t>bisweilen</w:t>
      </w:r>
      <w:r w:rsidRPr="00E73F6F">
        <w:rPr>
          <w:spacing w:val="-9"/>
        </w:rPr>
        <w:t xml:space="preserve"> </w:t>
      </w:r>
      <w:r w:rsidRPr="00E73F6F">
        <w:t>auf</w:t>
      </w:r>
      <w:r w:rsidRPr="00E73F6F">
        <w:rPr>
          <w:spacing w:val="-10"/>
        </w:rPr>
        <w:t xml:space="preserve"> </w:t>
      </w:r>
      <w:r w:rsidRPr="00E73F6F">
        <w:t>eine</w:t>
      </w:r>
      <w:r w:rsidRPr="00E73F6F">
        <w:rPr>
          <w:spacing w:val="-11"/>
        </w:rPr>
        <w:t xml:space="preserve"> </w:t>
      </w:r>
      <w:r w:rsidRPr="00E73F6F">
        <w:t>aus</w:t>
      </w:r>
      <w:r w:rsidRPr="00E73F6F">
        <w:rPr>
          <w:spacing w:val="-11"/>
        </w:rPr>
        <w:t xml:space="preserve"> </w:t>
      </w:r>
      <w:r w:rsidRPr="00E73F6F">
        <w:t>westlicher</w:t>
      </w:r>
      <w:r w:rsidRPr="00E73F6F">
        <w:rPr>
          <w:spacing w:val="-10"/>
        </w:rPr>
        <w:t xml:space="preserve"> </w:t>
      </w:r>
      <w:r w:rsidRPr="00E73F6F">
        <w:t>Sicht</w:t>
      </w:r>
      <w:r w:rsidRPr="00E73F6F">
        <w:rPr>
          <w:spacing w:val="-10"/>
        </w:rPr>
        <w:t xml:space="preserve"> </w:t>
      </w:r>
      <w:r w:rsidRPr="00E73F6F">
        <w:t>naiv anmutende Weise mit religiösen Praktiken verknüpft: Religion als eine Art Rückversicherung. Man bezahlt („opfert“) für ein bevorstehendes Geschäft und erwartet als Gegenleistung einen Gewinn bringenden Verlauf. Durch die unmittelbare Verbindung mit Verehrung und Opfergabe gestaltet sich jedes wirtschaftliche, politische oder auch soziale Handeln als eine Art religiöses Verpflichtungsverhältnis mit teilweise gravierenden Folgen (vgl. Mutz 1996, S.8f.). So kann die Überzeugung, dass die Götter einem Vorhaben zugestimmt haben, ungerechtfertigter Zuversicht Vorschub leisten. Scheitert das Projekt dennoch, dann werden gewöhnlich situative Störeinflüsse dafür verantwortlich gemacht, nicht aber das Individuum, das sich ja des göttlichen Wohlwollens versichert hatte.</w:t>
      </w:r>
    </w:p>
    <w:p w14:paraId="74A327EC" w14:textId="77777777" w:rsidR="00FF7799" w:rsidRPr="00E73F6F" w:rsidRDefault="00FF7799" w:rsidP="0061246F">
      <w:pPr>
        <w:pStyle w:val="StandardText"/>
      </w:pPr>
      <w:r w:rsidRPr="00E73F6F">
        <w:t xml:space="preserve">Zum Umgang der Menschen untereinander gab </w:t>
      </w:r>
      <w:r w:rsidRPr="00E73F6F">
        <w:rPr>
          <w:i/>
        </w:rPr>
        <w:t>Buddha</w:t>
      </w:r>
      <w:r w:rsidRPr="00E73F6F">
        <w:t>, in Anknüpfung an einen Brahmanischen</w:t>
      </w:r>
      <w:r w:rsidRPr="00E73F6F">
        <w:rPr>
          <w:spacing w:val="-5"/>
        </w:rPr>
        <w:t xml:space="preserve"> </w:t>
      </w:r>
      <w:r w:rsidRPr="00E73F6F">
        <w:t>Gebetsritus,</w:t>
      </w:r>
      <w:r w:rsidRPr="00E73F6F">
        <w:rPr>
          <w:spacing w:val="-6"/>
        </w:rPr>
        <w:t xml:space="preserve"> </w:t>
      </w:r>
      <w:r w:rsidRPr="00E73F6F">
        <w:t>eine</w:t>
      </w:r>
      <w:r w:rsidRPr="00E73F6F">
        <w:rPr>
          <w:spacing w:val="-9"/>
        </w:rPr>
        <w:t xml:space="preserve"> </w:t>
      </w:r>
      <w:r w:rsidRPr="00E73F6F">
        <w:t>„sechsfache</w:t>
      </w:r>
      <w:r w:rsidRPr="00E73F6F">
        <w:rPr>
          <w:spacing w:val="-7"/>
        </w:rPr>
        <w:t xml:space="preserve"> </w:t>
      </w:r>
      <w:r w:rsidRPr="00E73F6F">
        <w:t>Erläuterung“.</w:t>
      </w:r>
      <w:r w:rsidRPr="00E73F6F">
        <w:rPr>
          <w:spacing w:val="-6"/>
        </w:rPr>
        <w:t xml:space="preserve"> </w:t>
      </w:r>
      <w:r w:rsidRPr="00E73F6F">
        <w:t>Neben</w:t>
      </w:r>
      <w:r w:rsidRPr="00E73F6F">
        <w:rPr>
          <w:spacing w:val="-8"/>
        </w:rPr>
        <w:t xml:space="preserve"> </w:t>
      </w:r>
      <w:r w:rsidRPr="00E73F6F">
        <w:t>der</w:t>
      </w:r>
      <w:r w:rsidRPr="00E73F6F">
        <w:rPr>
          <w:spacing w:val="-6"/>
        </w:rPr>
        <w:t xml:space="preserve"> </w:t>
      </w:r>
      <w:r w:rsidRPr="00E73F6F">
        <w:t>Lehre</w:t>
      </w:r>
      <w:r w:rsidRPr="00E73F6F">
        <w:rPr>
          <w:spacing w:val="-7"/>
        </w:rPr>
        <w:t xml:space="preserve"> </w:t>
      </w:r>
      <w:r w:rsidRPr="00E73F6F">
        <w:t>über die Beziehung von Lehrern und Schülern ist für das Management vor allem die Lehre</w:t>
      </w:r>
      <w:r w:rsidRPr="00E73F6F">
        <w:rPr>
          <w:spacing w:val="-7"/>
        </w:rPr>
        <w:t xml:space="preserve"> </w:t>
      </w:r>
      <w:r w:rsidRPr="00E73F6F">
        <w:t>über</w:t>
      </w:r>
      <w:r w:rsidRPr="00E73F6F">
        <w:rPr>
          <w:spacing w:val="-8"/>
        </w:rPr>
        <w:t xml:space="preserve"> </w:t>
      </w:r>
      <w:r w:rsidRPr="00E73F6F">
        <w:t>die</w:t>
      </w:r>
      <w:r w:rsidRPr="00E73F6F">
        <w:rPr>
          <w:spacing w:val="-7"/>
        </w:rPr>
        <w:t xml:space="preserve"> </w:t>
      </w:r>
      <w:r w:rsidRPr="00E73F6F">
        <w:t>hierarchischen</w:t>
      </w:r>
      <w:r w:rsidRPr="00E73F6F">
        <w:rPr>
          <w:spacing w:val="-5"/>
        </w:rPr>
        <w:t xml:space="preserve"> </w:t>
      </w:r>
      <w:r w:rsidRPr="00E73F6F">
        <w:t>Beziehungen</w:t>
      </w:r>
      <w:r w:rsidRPr="00E73F6F">
        <w:rPr>
          <w:spacing w:val="-5"/>
        </w:rPr>
        <w:t xml:space="preserve"> </w:t>
      </w:r>
      <w:r w:rsidRPr="00E73F6F">
        <w:t>(zwischen</w:t>
      </w:r>
      <w:r w:rsidRPr="00E73F6F">
        <w:rPr>
          <w:spacing w:val="-5"/>
        </w:rPr>
        <w:t xml:space="preserve"> </w:t>
      </w:r>
      <w:r w:rsidRPr="00E73F6F">
        <w:t>Herr</w:t>
      </w:r>
      <w:r w:rsidRPr="00E73F6F">
        <w:rPr>
          <w:spacing w:val="-6"/>
        </w:rPr>
        <w:t xml:space="preserve"> </w:t>
      </w:r>
      <w:r w:rsidRPr="00E73F6F">
        <w:t>und</w:t>
      </w:r>
      <w:r w:rsidRPr="00E73F6F">
        <w:rPr>
          <w:spacing w:val="-7"/>
        </w:rPr>
        <w:t xml:space="preserve"> </w:t>
      </w:r>
      <w:r w:rsidRPr="00E73F6F">
        <w:t>Knecht,</w:t>
      </w:r>
      <w:r w:rsidRPr="00E73F6F">
        <w:rPr>
          <w:spacing w:val="-6"/>
        </w:rPr>
        <w:t xml:space="preserve"> </w:t>
      </w:r>
      <w:r w:rsidRPr="00E73F6F">
        <w:t>zwischen König und Volk) bedeutsam. Sie ähnelt den entsprechenden konfuzianischen Thesen.</w:t>
      </w:r>
      <w:r w:rsidRPr="00E73F6F">
        <w:rPr>
          <w:spacing w:val="-5"/>
        </w:rPr>
        <w:t xml:space="preserve"> </w:t>
      </w:r>
      <w:r w:rsidRPr="00E73F6F">
        <w:t>Demnach</w:t>
      </w:r>
      <w:r w:rsidRPr="00E73F6F">
        <w:rPr>
          <w:spacing w:val="-4"/>
        </w:rPr>
        <w:t xml:space="preserve"> </w:t>
      </w:r>
      <w:r w:rsidRPr="00E73F6F">
        <w:t>hat</w:t>
      </w:r>
      <w:r w:rsidRPr="00E73F6F">
        <w:rPr>
          <w:spacing w:val="-5"/>
        </w:rPr>
        <w:t xml:space="preserve"> </w:t>
      </w:r>
      <w:r w:rsidRPr="00E73F6F">
        <w:t>der</w:t>
      </w:r>
      <w:r w:rsidRPr="00E73F6F">
        <w:rPr>
          <w:spacing w:val="-5"/>
        </w:rPr>
        <w:t xml:space="preserve"> </w:t>
      </w:r>
      <w:r w:rsidRPr="00E73F6F">
        <w:t>Untergebene</w:t>
      </w:r>
      <w:r w:rsidRPr="00E73F6F">
        <w:rPr>
          <w:spacing w:val="-6"/>
        </w:rPr>
        <w:t xml:space="preserve"> </w:t>
      </w:r>
      <w:r w:rsidRPr="00E73F6F">
        <w:t>u.a.</w:t>
      </w:r>
      <w:r w:rsidRPr="00E73F6F">
        <w:rPr>
          <w:spacing w:val="-7"/>
        </w:rPr>
        <w:t xml:space="preserve"> </w:t>
      </w:r>
      <w:r w:rsidRPr="00E73F6F">
        <w:t>die</w:t>
      </w:r>
      <w:r w:rsidRPr="00E73F6F">
        <w:rPr>
          <w:spacing w:val="-6"/>
        </w:rPr>
        <w:t xml:space="preserve"> </w:t>
      </w:r>
      <w:r w:rsidRPr="00E73F6F">
        <w:t>Pflicht,</w:t>
      </w:r>
      <w:r w:rsidRPr="00E73F6F">
        <w:rPr>
          <w:spacing w:val="-5"/>
        </w:rPr>
        <w:t xml:space="preserve"> </w:t>
      </w:r>
      <w:r w:rsidRPr="00E73F6F">
        <w:t>ihm</w:t>
      </w:r>
      <w:r w:rsidRPr="00E73F6F">
        <w:rPr>
          <w:spacing w:val="-6"/>
        </w:rPr>
        <w:t xml:space="preserve"> </w:t>
      </w:r>
      <w:r w:rsidRPr="00E73F6F">
        <w:t>übertragene</w:t>
      </w:r>
      <w:r w:rsidRPr="00E73F6F">
        <w:rPr>
          <w:spacing w:val="-6"/>
        </w:rPr>
        <w:t xml:space="preserve"> </w:t>
      </w:r>
      <w:r w:rsidRPr="00E73F6F">
        <w:t>Aufgaben zu</w:t>
      </w:r>
      <w:r w:rsidRPr="00E73F6F">
        <w:rPr>
          <w:spacing w:val="-10"/>
        </w:rPr>
        <w:t xml:space="preserve"> </w:t>
      </w:r>
      <w:r w:rsidRPr="00E73F6F">
        <w:t>erfüllen</w:t>
      </w:r>
      <w:r w:rsidRPr="00E73F6F">
        <w:rPr>
          <w:spacing w:val="-10"/>
        </w:rPr>
        <w:t xml:space="preserve"> </w:t>
      </w:r>
      <w:r w:rsidRPr="00E73F6F">
        <w:t>und</w:t>
      </w:r>
      <w:r w:rsidRPr="00E73F6F">
        <w:rPr>
          <w:spacing w:val="-10"/>
        </w:rPr>
        <w:t xml:space="preserve"> </w:t>
      </w:r>
      <w:r w:rsidRPr="00E73F6F">
        <w:t>Kollegen</w:t>
      </w:r>
      <w:r w:rsidRPr="00E73F6F">
        <w:rPr>
          <w:spacing w:val="-10"/>
        </w:rPr>
        <w:t xml:space="preserve"> </w:t>
      </w:r>
      <w:r w:rsidRPr="00E73F6F">
        <w:t>zu</w:t>
      </w:r>
      <w:r w:rsidRPr="00E73F6F">
        <w:rPr>
          <w:spacing w:val="-10"/>
        </w:rPr>
        <w:t xml:space="preserve"> </w:t>
      </w:r>
      <w:r w:rsidRPr="00E73F6F">
        <w:t>helfen.</w:t>
      </w:r>
      <w:r w:rsidRPr="00E73F6F">
        <w:rPr>
          <w:spacing w:val="-10"/>
        </w:rPr>
        <w:t xml:space="preserve"> </w:t>
      </w:r>
      <w:r w:rsidRPr="00E73F6F">
        <w:t>Hierarchisch</w:t>
      </w:r>
      <w:r w:rsidRPr="00E73F6F">
        <w:rPr>
          <w:spacing w:val="-10"/>
        </w:rPr>
        <w:t xml:space="preserve"> </w:t>
      </w:r>
      <w:r w:rsidRPr="00E73F6F">
        <w:t>Höherstehende</w:t>
      </w:r>
      <w:r w:rsidRPr="00E73F6F">
        <w:rPr>
          <w:spacing w:val="-11"/>
        </w:rPr>
        <w:t xml:space="preserve"> </w:t>
      </w:r>
      <w:r w:rsidRPr="00E73F6F">
        <w:t>wiederum</w:t>
      </w:r>
      <w:r w:rsidRPr="00E73F6F">
        <w:rPr>
          <w:spacing w:val="-11"/>
        </w:rPr>
        <w:t xml:space="preserve"> </w:t>
      </w:r>
      <w:r w:rsidRPr="00E73F6F">
        <w:t>sind</w:t>
      </w:r>
      <w:r w:rsidRPr="00E73F6F">
        <w:rPr>
          <w:spacing w:val="-10"/>
        </w:rPr>
        <w:t xml:space="preserve"> </w:t>
      </w:r>
      <w:r w:rsidRPr="00E73F6F">
        <w:t>zu Fürsorge und kooperativem Führungsstil verpflichtet. Entscheidungen werden angesichts einer als äußerst komplex wahrgenommenen Realität überwiegend intuitiv gefällt.</w:t>
      </w:r>
    </w:p>
    <w:p w14:paraId="323F6C04" w14:textId="77777777" w:rsidR="003A0418" w:rsidRPr="00E73F6F" w:rsidRDefault="003A0418" w:rsidP="0061246F">
      <w:pPr>
        <w:pStyle w:val="StandardText"/>
      </w:pPr>
    </w:p>
    <w:p w14:paraId="461FA2DB" w14:textId="77777777" w:rsidR="00FF7799" w:rsidRPr="00EA5DE3" w:rsidRDefault="00FF7799" w:rsidP="0061246F">
      <w:pPr>
        <w:pStyle w:val="StandardText"/>
        <w:rPr>
          <w:sz w:val="22"/>
          <w:szCs w:val="22"/>
        </w:rPr>
      </w:pPr>
      <w:r w:rsidRPr="00EA5DE3">
        <w:rPr>
          <w:b/>
          <w:i/>
          <w:sz w:val="22"/>
          <w:szCs w:val="22"/>
        </w:rPr>
        <w:t>Literatur:</w:t>
      </w:r>
      <w:r w:rsidRPr="00EA5DE3">
        <w:rPr>
          <w:b/>
          <w:sz w:val="22"/>
          <w:szCs w:val="22"/>
        </w:rPr>
        <w:t xml:space="preserve"> </w:t>
      </w:r>
      <w:r w:rsidRPr="00EA5DE3">
        <w:rPr>
          <w:sz w:val="22"/>
          <w:szCs w:val="22"/>
        </w:rPr>
        <w:t>Dülfer, E. (1996): Internationales Management in unterschiedlichen</w:t>
      </w:r>
      <w:r w:rsidRPr="00EA5DE3">
        <w:rPr>
          <w:spacing w:val="40"/>
          <w:sz w:val="22"/>
          <w:szCs w:val="22"/>
        </w:rPr>
        <w:t xml:space="preserve"> </w:t>
      </w:r>
      <w:r w:rsidRPr="00EA5DE3">
        <w:rPr>
          <w:sz w:val="22"/>
          <w:szCs w:val="22"/>
        </w:rPr>
        <w:t>Kulturbereichen,</w:t>
      </w:r>
      <w:r w:rsidRPr="00EA5DE3">
        <w:rPr>
          <w:spacing w:val="-10"/>
          <w:sz w:val="22"/>
          <w:szCs w:val="22"/>
        </w:rPr>
        <w:t xml:space="preserve"> </w:t>
      </w:r>
      <w:r w:rsidRPr="00EA5DE3">
        <w:rPr>
          <w:sz w:val="22"/>
          <w:szCs w:val="22"/>
        </w:rPr>
        <w:t>4.</w:t>
      </w:r>
      <w:r w:rsidRPr="00EA5DE3">
        <w:rPr>
          <w:spacing w:val="-10"/>
          <w:sz w:val="22"/>
          <w:szCs w:val="22"/>
        </w:rPr>
        <w:t xml:space="preserve"> </w:t>
      </w:r>
      <w:r w:rsidRPr="00EA5DE3">
        <w:rPr>
          <w:sz w:val="22"/>
          <w:szCs w:val="22"/>
        </w:rPr>
        <w:t>Aufl.,</w:t>
      </w:r>
      <w:r w:rsidRPr="00EA5DE3">
        <w:rPr>
          <w:spacing w:val="-10"/>
          <w:sz w:val="22"/>
          <w:szCs w:val="22"/>
        </w:rPr>
        <w:t xml:space="preserve"> </w:t>
      </w:r>
      <w:r w:rsidRPr="00EA5DE3">
        <w:rPr>
          <w:sz w:val="22"/>
          <w:szCs w:val="22"/>
        </w:rPr>
        <w:t>München:</w:t>
      </w:r>
      <w:r w:rsidRPr="00EA5DE3">
        <w:rPr>
          <w:spacing w:val="-10"/>
          <w:sz w:val="22"/>
          <w:szCs w:val="22"/>
        </w:rPr>
        <w:t xml:space="preserve"> </w:t>
      </w:r>
      <w:r w:rsidRPr="00EA5DE3">
        <w:rPr>
          <w:sz w:val="22"/>
          <w:szCs w:val="22"/>
        </w:rPr>
        <w:t>Oldenbourg.</w:t>
      </w:r>
      <w:r w:rsidRPr="00EA5DE3">
        <w:rPr>
          <w:spacing w:val="18"/>
          <w:sz w:val="22"/>
          <w:szCs w:val="22"/>
        </w:rPr>
        <w:t xml:space="preserve"> </w:t>
      </w:r>
      <w:r w:rsidR="001C1AD9">
        <w:rPr>
          <w:spacing w:val="18"/>
          <w:sz w:val="22"/>
          <w:szCs w:val="22"/>
        </w:rPr>
        <w:t xml:space="preserve">  </w:t>
      </w:r>
      <w:r w:rsidR="001C1AD9" w:rsidRPr="001C1AD9">
        <w:rPr>
          <w:sz w:val="22"/>
          <w:szCs w:val="22"/>
        </w:rPr>
        <w:t xml:space="preserve">Gelbrich, K. Müller, S. (2023): </w:t>
      </w:r>
      <w:r w:rsidR="001C1AD9">
        <w:rPr>
          <w:sz w:val="22"/>
          <w:szCs w:val="22"/>
        </w:rPr>
        <w:t>Interreligiöses Marketing, S. 69</w:t>
      </w:r>
      <w:r w:rsidR="001C1AD9" w:rsidRPr="001C1AD9">
        <w:rPr>
          <w:sz w:val="22"/>
          <w:szCs w:val="22"/>
        </w:rPr>
        <w:t xml:space="preserve">ff., Berlin: de Gruyter. </w:t>
      </w:r>
      <w:r w:rsidRPr="00EA5DE3">
        <w:rPr>
          <w:sz w:val="22"/>
          <w:szCs w:val="22"/>
        </w:rPr>
        <w:t>Mutz,</w:t>
      </w:r>
      <w:r w:rsidRPr="00EA5DE3">
        <w:rPr>
          <w:spacing w:val="-8"/>
          <w:sz w:val="22"/>
          <w:szCs w:val="22"/>
        </w:rPr>
        <w:t xml:space="preserve"> </w:t>
      </w:r>
      <w:r w:rsidRPr="00EA5DE3">
        <w:rPr>
          <w:sz w:val="22"/>
          <w:szCs w:val="22"/>
        </w:rPr>
        <w:t>G.</w:t>
      </w:r>
      <w:r w:rsidRPr="00EA5DE3">
        <w:rPr>
          <w:spacing w:val="-10"/>
          <w:sz w:val="22"/>
          <w:szCs w:val="22"/>
        </w:rPr>
        <w:t xml:space="preserve"> </w:t>
      </w:r>
      <w:r w:rsidRPr="00EA5DE3">
        <w:rPr>
          <w:sz w:val="22"/>
          <w:szCs w:val="22"/>
        </w:rPr>
        <w:t>(1996):</w:t>
      </w:r>
      <w:r w:rsidRPr="00EA5DE3">
        <w:rPr>
          <w:spacing w:val="-10"/>
          <w:sz w:val="22"/>
          <w:szCs w:val="22"/>
        </w:rPr>
        <w:t xml:space="preserve"> </w:t>
      </w:r>
      <w:r w:rsidRPr="00EA5DE3">
        <w:rPr>
          <w:sz w:val="22"/>
          <w:szCs w:val="22"/>
        </w:rPr>
        <w:t>Vietnam</w:t>
      </w:r>
      <w:r w:rsidRPr="00EA5DE3">
        <w:rPr>
          <w:spacing w:val="-9"/>
          <w:sz w:val="22"/>
          <w:szCs w:val="22"/>
        </w:rPr>
        <w:t xml:space="preserve"> </w:t>
      </w:r>
      <w:r w:rsidRPr="00EA5DE3">
        <w:rPr>
          <w:sz w:val="22"/>
          <w:szCs w:val="22"/>
        </w:rPr>
        <w:t>an</w:t>
      </w:r>
      <w:r w:rsidRPr="00EA5DE3">
        <w:rPr>
          <w:spacing w:val="-10"/>
          <w:sz w:val="22"/>
          <w:szCs w:val="22"/>
        </w:rPr>
        <w:t xml:space="preserve"> </w:t>
      </w:r>
      <w:r w:rsidRPr="00EA5DE3">
        <w:rPr>
          <w:sz w:val="22"/>
          <w:szCs w:val="22"/>
        </w:rPr>
        <w:t>der</w:t>
      </w:r>
      <w:r w:rsidRPr="00EA5DE3">
        <w:rPr>
          <w:spacing w:val="-10"/>
          <w:sz w:val="22"/>
          <w:szCs w:val="22"/>
        </w:rPr>
        <w:t xml:space="preserve"> </w:t>
      </w:r>
      <w:r w:rsidRPr="00EA5DE3">
        <w:rPr>
          <w:sz w:val="22"/>
          <w:szCs w:val="22"/>
        </w:rPr>
        <w:t>Schwelle</w:t>
      </w:r>
      <w:r w:rsidRPr="00EA5DE3">
        <w:rPr>
          <w:spacing w:val="40"/>
          <w:sz w:val="22"/>
          <w:szCs w:val="22"/>
        </w:rPr>
        <w:t xml:space="preserve"> </w:t>
      </w:r>
      <w:r w:rsidRPr="00EA5DE3">
        <w:rPr>
          <w:sz w:val="22"/>
          <w:szCs w:val="22"/>
        </w:rPr>
        <w:t>zum asiatisch-pazifischen Jahrhundert, Aus Politik und Zeitgeschichte, 46(B30/31): 3-11.</w:t>
      </w:r>
      <w:r w:rsidRPr="00EA5DE3">
        <w:rPr>
          <w:spacing w:val="40"/>
          <w:sz w:val="22"/>
          <w:szCs w:val="22"/>
        </w:rPr>
        <w:t xml:space="preserve"> </w:t>
      </w:r>
      <w:r w:rsidRPr="00EA5DE3">
        <w:rPr>
          <w:sz w:val="22"/>
          <w:szCs w:val="22"/>
        </w:rPr>
        <w:t>Pye, M. (1995): Buddhismus, in: Drehsen, V.; Häring, H.; Kuschel, K.-J.; Siemers, H.</w:t>
      </w:r>
      <w:r w:rsidRPr="00EA5DE3">
        <w:rPr>
          <w:spacing w:val="40"/>
          <w:sz w:val="22"/>
          <w:szCs w:val="22"/>
        </w:rPr>
        <w:t xml:space="preserve"> </w:t>
      </w:r>
      <w:r w:rsidRPr="00EA5DE3">
        <w:rPr>
          <w:sz w:val="22"/>
          <w:szCs w:val="22"/>
        </w:rPr>
        <w:t>(Hrsg.),</w:t>
      </w:r>
      <w:r w:rsidRPr="00EA5DE3">
        <w:rPr>
          <w:spacing w:val="-10"/>
          <w:sz w:val="22"/>
          <w:szCs w:val="22"/>
        </w:rPr>
        <w:t xml:space="preserve"> </w:t>
      </w:r>
      <w:r w:rsidRPr="00EA5DE3">
        <w:rPr>
          <w:sz w:val="22"/>
          <w:szCs w:val="22"/>
        </w:rPr>
        <w:t>Wörterbuch</w:t>
      </w:r>
      <w:r w:rsidRPr="00EA5DE3">
        <w:rPr>
          <w:spacing w:val="-10"/>
          <w:sz w:val="22"/>
          <w:szCs w:val="22"/>
        </w:rPr>
        <w:t xml:space="preserve"> </w:t>
      </w:r>
      <w:r w:rsidRPr="00EA5DE3">
        <w:rPr>
          <w:sz w:val="22"/>
          <w:szCs w:val="22"/>
        </w:rPr>
        <w:t>des</w:t>
      </w:r>
      <w:r w:rsidRPr="00EA5DE3">
        <w:rPr>
          <w:spacing w:val="-10"/>
          <w:sz w:val="22"/>
          <w:szCs w:val="22"/>
        </w:rPr>
        <w:t xml:space="preserve"> </w:t>
      </w:r>
      <w:r w:rsidRPr="00EA5DE3">
        <w:rPr>
          <w:sz w:val="22"/>
          <w:szCs w:val="22"/>
        </w:rPr>
        <w:t>Christentums,</w:t>
      </w:r>
      <w:r w:rsidRPr="00EA5DE3">
        <w:rPr>
          <w:spacing w:val="-10"/>
          <w:sz w:val="22"/>
          <w:szCs w:val="22"/>
        </w:rPr>
        <w:t xml:space="preserve"> </w:t>
      </w:r>
      <w:r w:rsidRPr="00EA5DE3">
        <w:rPr>
          <w:sz w:val="22"/>
          <w:szCs w:val="22"/>
        </w:rPr>
        <w:t>175-177,</w:t>
      </w:r>
      <w:r w:rsidRPr="00EA5DE3">
        <w:rPr>
          <w:spacing w:val="-11"/>
          <w:sz w:val="22"/>
          <w:szCs w:val="22"/>
        </w:rPr>
        <w:t xml:space="preserve"> </w:t>
      </w:r>
      <w:r w:rsidRPr="00EA5DE3">
        <w:rPr>
          <w:sz w:val="22"/>
          <w:szCs w:val="22"/>
        </w:rPr>
        <w:t>München:</w:t>
      </w:r>
      <w:r w:rsidRPr="00EA5DE3">
        <w:rPr>
          <w:spacing w:val="-11"/>
          <w:sz w:val="22"/>
          <w:szCs w:val="22"/>
        </w:rPr>
        <w:t xml:space="preserve"> </w:t>
      </w:r>
      <w:r w:rsidRPr="00EA5DE3">
        <w:rPr>
          <w:sz w:val="22"/>
          <w:szCs w:val="22"/>
        </w:rPr>
        <w:t>Orbis.</w:t>
      </w:r>
      <w:r w:rsidRPr="00EA5DE3">
        <w:rPr>
          <w:spacing w:val="4"/>
          <w:sz w:val="22"/>
          <w:szCs w:val="22"/>
        </w:rPr>
        <w:t xml:space="preserve"> </w:t>
      </w:r>
      <w:r w:rsidRPr="00EA5DE3">
        <w:rPr>
          <w:sz w:val="22"/>
          <w:szCs w:val="22"/>
        </w:rPr>
        <w:t>Pye,</w:t>
      </w:r>
      <w:r w:rsidRPr="00EA5DE3">
        <w:rPr>
          <w:spacing w:val="-10"/>
          <w:sz w:val="22"/>
          <w:szCs w:val="22"/>
        </w:rPr>
        <w:t xml:space="preserve"> </w:t>
      </w:r>
      <w:r w:rsidRPr="00EA5DE3">
        <w:rPr>
          <w:sz w:val="22"/>
          <w:szCs w:val="22"/>
        </w:rPr>
        <w:t>M.;</w:t>
      </w:r>
      <w:r w:rsidRPr="00EA5DE3">
        <w:rPr>
          <w:spacing w:val="-10"/>
          <w:sz w:val="22"/>
          <w:szCs w:val="22"/>
        </w:rPr>
        <w:t xml:space="preserve"> </w:t>
      </w:r>
      <w:r w:rsidRPr="00EA5DE3">
        <w:rPr>
          <w:sz w:val="22"/>
          <w:szCs w:val="22"/>
        </w:rPr>
        <w:t>Kleine,</w:t>
      </w:r>
      <w:r w:rsidRPr="00EA5DE3">
        <w:rPr>
          <w:spacing w:val="-11"/>
          <w:sz w:val="22"/>
          <w:szCs w:val="22"/>
        </w:rPr>
        <w:t xml:space="preserve"> </w:t>
      </w:r>
      <w:r w:rsidRPr="00EA5DE3">
        <w:rPr>
          <w:sz w:val="22"/>
          <w:szCs w:val="22"/>
        </w:rPr>
        <w:t>C.;</w:t>
      </w:r>
      <w:r w:rsidRPr="00EA5DE3">
        <w:rPr>
          <w:spacing w:val="-10"/>
          <w:sz w:val="22"/>
          <w:szCs w:val="22"/>
        </w:rPr>
        <w:t xml:space="preserve"> </w:t>
      </w:r>
      <w:r w:rsidRPr="00EA5DE3">
        <w:rPr>
          <w:sz w:val="22"/>
          <w:szCs w:val="22"/>
        </w:rPr>
        <w:t>Dech, M. (1997): Ökologie</w:t>
      </w:r>
      <w:r w:rsidRPr="00EA5DE3">
        <w:rPr>
          <w:spacing w:val="-2"/>
          <w:sz w:val="22"/>
          <w:szCs w:val="22"/>
        </w:rPr>
        <w:t xml:space="preserve"> </w:t>
      </w:r>
      <w:r w:rsidRPr="00EA5DE3">
        <w:rPr>
          <w:sz w:val="22"/>
          <w:szCs w:val="22"/>
        </w:rPr>
        <w:t>und</w:t>
      </w:r>
      <w:r w:rsidRPr="00EA5DE3">
        <w:rPr>
          <w:spacing w:val="-2"/>
          <w:sz w:val="22"/>
          <w:szCs w:val="22"/>
        </w:rPr>
        <w:t xml:space="preserve"> </w:t>
      </w:r>
      <w:r w:rsidRPr="00EA5DE3">
        <w:rPr>
          <w:sz w:val="22"/>
          <w:szCs w:val="22"/>
        </w:rPr>
        <w:t>Religionen.</w:t>
      </w:r>
      <w:r w:rsidRPr="00EA5DE3">
        <w:rPr>
          <w:spacing w:val="-2"/>
          <w:sz w:val="22"/>
          <w:szCs w:val="22"/>
        </w:rPr>
        <w:t xml:space="preserve"> </w:t>
      </w:r>
      <w:r w:rsidRPr="00EA5DE3">
        <w:rPr>
          <w:sz w:val="22"/>
          <w:szCs w:val="22"/>
        </w:rPr>
        <w:t>Eine religionswissenschaftliche Darstellung, Marburg</w:t>
      </w:r>
      <w:r w:rsidRPr="00EA5DE3">
        <w:rPr>
          <w:spacing w:val="40"/>
          <w:sz w:val="22"/>
          <w:szCs w:val="22"/>
        </w:rPr>
        <w:t xml:space="preserve"> </w:t>
      </w:r>
      <w:r w:rsidRPr="00EA5DE3">
        <w:rPr>
          <w:sz w:val="22"/>
          <w:szCs w:val="22"/>
        </w:rPr>
        <w:t>Journal</w:t>
      </w:r>
      <w:r w:rsidRPr="00EA5DE3">
        <w:rPr>
          <w:spacing w:val="-3"/>
          <w:sz w:val="22"/>
          <w:szCs w:val="22"/>
        </w:rPr>
        <w:t xml:space="preserve"> </w:t>
      </w:r>
      <w:r w:rsidRPr="00EA5DE3">
        <w:rPr>
          <w:sz w:val="22"/>
          <w:szCs w:val="22"/>
        </w:rPr>
        <w:t>of</w:t>
      </w:r>
      <w:r w:rsidRPr="00EA5DE3">
        <w:rPr>
          <w:spacing w:val="-5"/>
          <w:sz w:val="22"/>
          <w:szCs w:val="22"/>
        </w:rPr>
        <w:t xml:space="preserve"> </w:t>
      </w:r>
      <w:r w:rsidRPr="00EA5DE3">
        <w:rPr>
          <w:sz w:val="22"/>
          <w:szCs w:val="22"/>
        </w:rPr>
        <w:t>Religion,</w:t>
      </w:r>
      <w:r w:rsidRPr="00EA5DE3">
        <w:rPr>
          <w:spacing w:val="-4"/>
          <w:sz w:val="22"/>
          <w:szCs w:val="22"/>
        </w:rPr>
        <w:t xml:space="preserve"> </w:t>
      </w:r>
      <w:r w:rsidRPr="00EA5DE3">
        <w:rPr>
          <w:sz w:val="22"/>
          <w:szCs w:val="22"/>
        </w:rPr>
        <w:t>2(1):</w:t>
      </w:r>
      <w:r w:rsidRPr="00EA5DE3">
        <w:rPr>
          <w:spacing w:val="-3"/>
          <w:sz w:val="22"/>
          <w:szCs w:val="22"/>
        </w:rPr>
        <w:t xml:space="preserve"> </w:t>
      </w:r>
      <w:r w:rsidRPr="00EA5DE3">
        <w:rPr>
          <w:sz w:val="22"/>
          <w:szCs w:val="22"/>
        </w:rPr>
        <w:t>1-4.</w:t>
      </w:r>
      <w:r w:rsidRPr="00EA5DE3">
        <w:rPr>
          <w:spacing w:val="35"/>
          <w:sz w:val="22"/>
          <w:szCs w:val="22"/>
        </w:rPr>
        <w:t xml:space="preserve"> </w:t>
      </w:r>
      <w:r w:rsidRPr="00EA5DE3">
        <w:rPr>
          <w:sz w:val="22"/>
          <w:szCs w:val="22"/>
        </w:rPr>
        <w:t>von</w:t>
      </w:r>
      <w:r w:rsidRPr="00EA5DE3">
        <w:rPr>
          <w:spacing w:val="-3"/>
          <w:sz w:val="22"/>
          <w:szCs w:val="22"/>
        </w:rPr>
        <w:t xml:space="preserve"> </w:t>
      </w:r>
      <w:r w:rsidRPr="00EA5DE3">
        <w:rPr>
          <w:sz w:val="22"/>
          <w:szCs w:val="22"/>
        </w:rPr>
        <w:t>Glasenapp,</w:t>
      </w:r>
      <w:r w:rsidRPr="00EA5DE3">
        <w:rPr>
          <w:spacing w:val="-4"/>
          <w:sz w:val="22"/>
          <w:szCs w:val="22"/>
        </w:rPr>
        <w:t xml:space="preserve"> </w:t>
      </w:r>
      <w:r w:rsidRPr="00EA5DE3">
        <w:rPr>
          <w:sz w:val="22"/>
          <w:szCs w:val="22"/>
        </w:rPr>
        <w:t>H. (2011):</w:t>
      </w:r>
      <w:r w:rsidRPr="00EA5DE3">
        <w:rPr>
          <w:spacing w:val="-1"/>
          <w:sz w:val="22"/>
          <w:szCs w:val="22"/>
        </w:rPr>
        <w:t xml:space="preserve"> </w:t>
      </w:r>
      <w:r w:rsidRPr="00EA5DE3">
        <w:rPr>
          <w:sz w:val="22"/>
          <w:szCs w:val="22"/>
        </w:rPr>
        <w:t>Die</w:t>
      </w:r>
      <w:r w:rsidRPr="00EA5DE3">
        <w:rPr>
          <w:spacing w:val="-4"/>
          <w:sz w:val="22"/>
          <w:szCs w:val="22"/>
        </w:rPr>
        <w:t xml:space="preserve"> </w:t>
      </w:r>
      <w:r w:rsidRPr="00EA5DE3">
        <w:rPr>
          <w:sz w:val="22"/>
          <w:szCs w:val="22"/>
        </w:rPr>
        <w:t>fünf</w:t>
      </w:r>
      <w:r w:rsidRPr="00EA5DE3">
        <w:rPr>
          <w:spacing w:val="-3"/>
          <w:sz w:val="22"/>
          <w:szCs w:val="22"/>
        </w:rPr>
        <w:t xml:space="preserve"> </w:t>
      </w:r>
      <w:r w:rsidRPr="00EA5DE3">
        <w:rPr>
          <w:sz w:val="22"/>
          <w:szCs w:val="22"/>
        </w:rPr>
        <w:t>Weltreligionen,</w:t>
      </w:r>
      <w:r w:rsidRPr="00EA5DE3">
        <w:rPr>
          <w:spacing w:val="-4"/>
          <w:sz w:val="22"/>
          <w:szCs w:val="22"/>
        </w:rPr>
        <w:t xml:space="preserve"> </w:t>
      </w:r>
      <w:r w:rsidRPr="00EA5DE3">
        <w:rPr>
          <w:sz w:val="22"/>
          <w:szCs w:val="22"/>
        </w:rPr>
        <w:t>5.</w:t>
      </w:r>
      <w:r w:rsidRPr="00EA5DE3">
        <w:rPr>
          <w:spacing w:val="-4"/>
          <w:sz w:val="22"/>
          <w:szCs w:val="22"/>
        </w:rPr>
        <w:t xml:space="preserve"> </w:t>
      </w:r>
      <w:r w:rsidRPr="00EA5DE3">
        <w:rPr>
          <w:sz w:val="22"/>
          <w:szCs w:val="22"/>
        </w:rPr>
        <w:t>Aufl.,</w:t>
      </w:r>
      <w:r w:rsidRPr="00EA5DE3">
        <w:rPr>
          <w:spacing w:val="40"/>
          <w:sz w:val="22"/>
          <w:szCs w:val="22"/>
        </w:rPr>
        <w:t xml:space="preserve"> </w:t>
      </w:r>
      <w:r w:rsidRPr="00EA5DE3">
        <w:rPr>
          <w:sz w:val="22"/>
          <w:szCs w:val="22"/>
        </w:rPr>
        <w:t>74 – 141, München: Hugendubel (Diederichs Gelbe Reihe).</w:t>
      </w:r>
    </w:p>
    <w:p w14:paraId="46B77763" w14:textId="77777777" w:rsidR="00FF7799" w:rsidRPr="00E73F6F" w:rsidRDefault="00FF7799" w:rsidP="00862DBA">
      <w:pPr>
        <w:spacing w:before="10"/>
        <w:rPr>
          <w:sz w:val="24"/>
          <w:szCs w:val="24"/>
        </w:rPr>
      </w:pPr>
    </w:p>
    <w:p w14:paraId="076BE3EA" w14:textId="77777777" w:rsidR="00FF7799" w:rsidRPr="00E73F6F" w:rsidRDefault="00FF7799" w:rsidP="00DA1E27">
      <w:pPr>
        <w:pStyle w:val="berschrift1"/>
      </w:pPr>
      <w:r w:rsidRPr="008E049F">
        <w:rPr>
          <w:color w:val="2F5496" w:themeColor="accent5" w:themeShade="BF"/>
        </w:rPr>
        <w:t xml:space="preserve">Calvinismus </w:t>
      </w:r>
      <w:r w:rsidRPr="00E73F6F">
        <w:rPr>
          <w:b w:val="0"/>
        </w:rPr>
        <w:t>→</w:t>
      </w:r>
      <w:r w:rsidRPr="00E73F6F">
        <w:rPr>
          <w:b w:val="0"/>
          <w:spacing w:val="-3"/>
        </w:rPr>
        <w:t xml:space="preserve"> </w:t>
      </w:r>
      <w:r w:rsidRPr="00E73F6F">
        <w:rPr>
          <w:b w:val="0"/>
          <w:spacing w:val="-2"/>
        </w:rPr>
        <w:t xml:space="preserve">Konfessionen, </w:t>
      </w:r>
      <w:r w:rsidRPr="00E73F6F">
        <w:rPr>
          <w:b w:val="0"/>
        </w:rPr>
        <w:t>christliche</w:t>
      </w:r>
    </w:p>
    <w:p w14:paraId="51133E68" w14:textId="77777777" w:rsidR="00FF7799" w:rsidRPr="00E73F6F" w:rsidRDefault="00FF7799" w:rsidP="00DA1E27">
      <w:pPr>
        <w:pStyle w:val="berschrift1"/>
      </w:pPr>
      <w:r w:rsidRPr="008E049F">
        <w:rPr>
          <w:color w:val="2F5496" w:themeColor="accent5" w:themeShade="BF"/>
        </w:rPr>
        <w:t>Christliche Konfessionen</w:t>
      </w:r>
      <w:r w:rsidRPr="00E73F6F">
        <w:rPr>
          <w:spacing w:val="-2"/>
        </w:rPr>
        <w:t xml:space="preserve"> </w:t>
      </w:r>
      <w:r w:rsidRPr="00E73F6F">
        <w:rPr>
          <w:b w:val="0"/>
        </w:rPr>
        <w:t>→</w:t>
      </w:r>
      <w:r w:rsidRPr="00E73F6F">
        <w:rPr>
          <w:b w:val="0"/>
          <w:spacing w:val="-3"/>
        </w:rPr>
        <w:t xml:space="preserve"> </w:t>
      </w:r>
      <w:r w:rsidRPr="00E73F6F">
        <w:rPr>
          <w:b w:val="0"/>
          <w:spacing w:val="-2"/>
        </w:rPr>
        <w:t xml:space="preserve">Konfessionen, </w:t>
      </w:r>
      <w:r w:rsidRPr="00E73F6F">
        <w:rPr>
          <w:b w:val="0"/>
        </w:rPr>
        <w:t>christliche</w:t>
      </w:r>
    </w:p>
    <w:p w14:paraId="6A4DF0AC" w14:textId="77777777" w:rsidR="00FF7799" w:rsidRPr="008E049F" w:rsidRDefault="00FF7799" w:rsidP="00DA1E27">
      <w:pPr>
        <w:pStyle w:val="berschrift1"/>
        <w:rPr>
          <w:color w:val="2F5496" w:themeColor="accent5" w:themeShade="BF"/>
        </w:rPr>
      </w:pPr>
      <w:r w:rsidRPr="008E049F">
        <w:rPr>
          <w:color w:val="2F5496" w:themeColor="accent5" w:themeShade="BF"/>
        </w:rPr>
        <w:t>Chronemik</w:t>
      </w:r>
    </w:p>
    <w:p w14:paraId="4B16EEF8" w14:textId="77777777" w:rsidR="00FF7799" w:rsidRPr="00E73F6F" w:rsidRDefault="00FF7799" w:rsidP="0061246F">
      <w:pPr>
        <w:pStyle w:val="StandardText"/>
      </w:pPr>
      <w:r w:rsidRPr="00E73F6F">
        <w:lastRenderedPageBreak/>
        <w:t>befasst sich mit der zeitlichen Dimension der nonverbalen Kommunikation. Zum Feld</w:t>
      </w:r>
      <w:r w:rsidRPr="00E73F6F">
        <w:rPr>
          <w:spacing w:val="-2"/>
        </w:rPr>
        <w:t xml:space="preserve"> </w:t>
      </w:r>
      <w:r w:rsidRPr="00E73F6F">
        <w:t>der</w:t>
      </w:r>
      <w:r w:rsidRPr="00E73F6F">
        <w:rPr>
          <w:spacing w:val="-1"/>
        </w:rPr>
        <w:t xml:space="preserve"> </w:t>
      </w:r>
      <w:r w:rsidRPr="00E73F6F">
        <w:t>Chronemik</w:t>
      </w:r>
      <w:r w:rsidRPr="00E73F6F">
        <w:rPr>
          <w:spacing w:val="-2"/>
        </w:rPr>
        <w:t xml:space="preserve"> </w:t>
      </w:r>
      <w:r w:rsidRPr="00E73F6F">
        <w:t>zählt</w:t>
      </w:r>
      <w:r w:rsidRPr="00E73F6F">
        <w:rPr>
          <w:spacing w:val="-3"/>
        </w:rPr>
        <w:t xml:space="preserve"> </w:t>
      </w:r>
      <w:r w:rsidRPr="00E73F6F">
        <w:t>u.a.</w:t>
      </w:r>
      <w:r w:rsidRPr="00E73F6F">
        <w:rPr>
          <w:spacing w:val="-3"/>
        </w:rPr>
        <w:t xml:space="preserve"> </w:t>
      </w:r>
      <w:r w:rsidRPr="00E73F6F">
        <w:t>die</w:t>
      </w:r>
      <w:r w:rsidRPr="00E73F6F">
        <w:rPr>
          <w:spacing w:val="-3"/>
        </w:rPr>
        <w:t xml:space="preserve"> </w:t>
      </w:r>
      <w:r w:rsidRPr="00E73F6F">
        <w:t>kulturspezifische</w:t>
      </w:r>
      <w:r w:rsidRPr="00E73F6F">
        <w:rPr>
          <w:spacing w:val="-1"/>
        </w:rPr>
        <w:t xml:space="preserve"> </w:t>
      </w:r>
      <w:r w:rsidRPr="00E73F6F">
        <w:t>Auffassung bezüglich dessen, was pünktlich, dringlich etc. ist (vgl. Hall 1963). Für die interkulturelle Kommunikationspolitik</w:t>
      </w:r>
      <w:r w:rsidRPr="00E73F6F">
        <w:rPr>
          <w:spacing w:val="-5"/>
        </w:rPr>
        <w:t xml:space="preserve"> </w:t>
      </w:r>
      <w:r w:rsidRPr="00E73F6F">
        <w:t>sind</w:t>
      </w:r>
      <w:r w:rsidRPr="00E73F6F">
        <w:rPr>
          <w:spacing w:val="-9"/>
        </w:rPr>
        <w:t xml:space="preserve"> </w:t>
      </w:r>
      <w:r w:rsidRPr="00E73F6F">
        <w:t>die</w:t>
      </w:r>
      <w:r w:rsidRPr="00E73F6F">
        <w:rPr>
          <w:spacing w:val="-11"/>
        </w:rPr>
        <w:t xml:space="preserve"> </w:t>
      </w:r>
      <w:r w:rsidRPr="00E73F6F">
        <w:t>Befunde</w:t>
      </w:r>
      <w:r w:rsidRPr="00E73F6F">
        <w:rPr>
          <w:spacing w:val="-11"/>
        </w:rPr>
        <w:t xml:space="preserve"> </w:t>
      </w:r>
      <w:r w:rsidRPr="00E73F6F">
        <w:t>der</w:t>
      </w:r>
      <w:r w:rsidRPr="00E73F6F">
        <w:rPr>
          <w:spacing w:val="-8"/>
        </w:rPr>
        <w:t xml:space="preserve"> </w:t>
      </w:r>
      <w:r w:rsidRPr="00E73F6F">
        <w:t>Chronemik</w:t>
      </w:r>
      <w:r w:rsidRPr="00E73F6F">
        <w:rPr>
          <w:spacing w:val="-4"/>
        </w:rPr>
        <w:t xml:space="preserve"> </w:t>
      </w:r>
      <w:r w:rsidRPr="00E73F6F">
        <w:t>insofern</w:t>
      </w:r>
      <w:r w:rsidRPr="00E73F6F">
        <w:rPr>
          <w:spacing w:val="-11"/>
        </w:rPr>
        <w:t xml:space="preserve"> </w:t>
      </w:r>
      <w:r w:rsidRPr="00E73F6F">
        <w:t>von</w:t>
      </w:r>
      <w:r w:rsidRPr="00E73F6F">
        <w:rPr>
          <w:spacing w:val="-9"/>
        </w:rPr>
        <w:t xml:space="preserve"> </w:t>
      </w:r>
      <w:r w:rsidRPr="00E73F6F">
        <w:t>Bedeutung, als kontextorientierte Kulturen (HC) wie die japanische oder die französische Kultur kurze Werbespots (15 Sekunden) bevorzugen, während in kontextunabhängigen Kulturen (LC) aufgrund der geringen Kontextorientierung längere Werbespots (30 Sekunden) die Regel sind (z.B. in angelsächsischen Medien). Erklären lässt sich dieser Unterschied damit, dass Angehörige von HC-Kulturen</w:t>
      </w:r>
      <w:r w:rsidRPr="00E73F6F">
        <w:rPr>
          <w:spacing w:val="52"/>
        </w:rPr>
        <w:t xml:space="preserve"> </w:t>
      </w:r>
      <w:r w:rsidRPr="00E73F6F">
        <w:t>darin</w:t>
      </w:r>
      <w:r w:rsidRPr="00E73F6F">
        <w:rPr>
          <w:spacing w:val="56"/>
        </w:rPr>
        <w:t xml:space="preserve"> </w:t>
      </w:r>
      <w:r w:rsidRPr="00E73F6F">
        <w:t>geübt</w:t>
      </w:r>
      <w:r w:rsidRPr="00E73F6F">
        <w:rPr>
          <w:spacing w:val="57"/>
        </w:rPr>
        <w:t xml:space="preserve"> </w:t>
      </w:r>
      <w:r w:rsidRPr="00E73F6F">
        <w:t>sind,</w:t>
      </w:r>
      <w:r w:rsidRPr="00E73F6F">
        <w:rPr>
          <w:spacing w:val="57"/>
        </w:rPr>
        <w:t xml:space="preserve"> </w:t>
      </w:r>
      <w:r w:rsidRPr="00E73F6F">
        <w:t>Informationen</w:t>
      </w:r>
      <w:r w:rsidRPr="00E73F6F">
        <w:rPr>
          <w:spacing w:val="55"/>
        </w:rPr>
        <w:t xml:space="preserve"> </w:t>
      </w:r>
      <w:r w:rsidRPr="00E73F6F">
        <w:t>auch</w:t>
      </w:r>
      <w:r w:rsidRPr="00E73F6F">
        <w:rPr>
          <w:spacing w:val="60"/>
        </w:rPr>
        <w:t xml:space="preserve"> </w:t>
      </w:r>
      <w:r w:rsidRPr="00E73F6F">
        <w:t>dem</w:t>
      </w:r>
      <w:r w:rsidRPr="00E73F6F">
        <w:rPr>
          <w:spacing w:val="56"/>
        </w:rPr>
        <w:t xml:space="preserve"> </w:t>
      </w:r>
      <w:r w:rsidRPr="00E73F6F">
        <w:t>Kontext</w:t>
      </w:r>
      <w:r w:rsidRPr="00E73F6F">
        <w:rPr>
          <w:spacing w:val="54"/>
        </w:rPr>
        <w:t xml:space="preserve"> </w:t>
      </w:r>
      <w:r w:rsidRPr="00E73F6F">
        <w:t>einer</w:t>
      </w:r>
      <w:r w:rsidRPr="00E73F6F">
        <w:rPr>
          <w:spacing w:val="57"/>
        </w:rPr>
        <w:t xml:space="preserve"> </w:t>
      </w:r>
      <w:r w:rsidRPr="00E73F6F">
        <w:rPr>
          <w:spacing w:val="-2"/>
        </w:rPr>
        <w:t>(Werbe-</w:t>
      </w:r>
      <w:r w:rsidRPr="00E73F6F">
        <w:t>)Botschaft</w:t>
      </w:r>
      <w:r w:rsidRPr="00E73F6F">
        <w:rPr>
          <w:spacing w:val="-2"/>
        </w:rPr>
        <w:t xml:space="preserve"> </w:t>
      </w:r>
      <w:r w:rsidRPr="00E73F6F">
        <w:t>zu</w:t>
      </w:r>
      <w:r w:rsidRPr="00E73F6F">
        <w:rPr>
          <w:spacing w:val="-1"/>
        </w:rPr>
        <w:t xml:space="preserve"> </w:t>
      </w:r>
      <w:r w:rsidRPr="00E73F6F">
        <w:t>entnehmen,</w:t>
      </w:r>
      <w:r w:rsidRPr="00E73F6F">
        <w:rPr>
          <w:spacing w:val="-4"/>
        </w:rPr>
        <w:t xml:space="preserve"> </w:t>
      </w:r>
      <w:r w:rsidRPr="00E73F6F">
        <w:t>weshalb</w:t>
      </w:r>
      <w:r w:rsidRPr="00E73F6F">
        <w:rPr>
          <w:spacing w:val="-1"/>
        </w:rPr>
        <w:t xml:space="preserve"> </w:t>
      </w:r>
      <w:r w:rsidRPr="00E73F6F">
        <w:t>diese</w:t>
      </w:r>
      <w:r w:rsidRPr="00E73F6F">
        <w:rPr>
          <w:spacing w:val="-2"/>
        </w:rPr>
        <w:t xml:space="preserve"> </w:t>
      </w:r>
      <w:r w:rsidRPr="00E73F6F">
        <w:t>c.p.</w:t>
      </w:r>
      <w:r w:rsidRPr="00E73F6F">
        <w:rPr>
          <w:spacing w:val="-2"/>
        </w:rPr>
        <w:t xml:space="preserve"> </w:t>
      </w:r>
      <w:r w:rsidRPr="00E73F6F">
        <w:t>kürzer</w:t>
      </w:r>
      <w:r w:rsidRPr="00E73F6F">
        <w:rPr>
          <w:spacing w:val="3"/>
        </w:rPr>
        <w:t xml:space="preserve"> </w:t>
      </w:r>
      <w:r w:rsidRPr="00E73F6F">
        <w:t>gehalten</w:t>
      </w:r>
      <w:r w:rsidRPr="00E73F6F">
        <w:rPr>
          <w:spacing w:val="-3"/>
        </w:rPr>
        <w:t xml:space="preserve"> </w:t>
      </w:r>
      <w:r w:rsidRPr="00E73F6F">
        <w:t xml:space="preserve">werden </w:t>
      </w:r>
      <w:r w:rsidRPr="00E73F6F">
        <w:rPr>
          <w:spacing w:val="-2"/>
        </w:rPr>
        <w:t>kann</w:t>
      </w:r>
      <w:r w:rsidR="00193869">
        <w:rPr>
          <w:spacing w:val="-2"/>
        </w:rPr>
        <w:t xml:space="preserve"> (</w:t>
      </w:r>
      <w:r w:rsidR="00193869">
        <w:rPr>
          <w:spacing w:val="-2"/>
        </w:rPr>
        <w:sym w:font="Symbol" w:char="F0DE"/>
      </w:r>
      <w:r w:rsidR="00193869">
        <w:rPr>
          <w:spacing w:val="-2"/>
        </w:rPr>
        <w:t xml:space="preserve"> Direktheit der Kommunikation)</w:t>
      </w:r>
      <w:r w:rsidRPr="00E73F6F">
        <w:rPr>
          <w:spacing w:val="-2"/>
        </w:rPr>
        <w:t>.</w:t>
      </w:r>
    </w:p>
    <w:p w14:paraId="49DA7CEE" w14:textId="77777777" w:rsidR="00FF7799" w:rsidRPr="00EA5DE3" w:rsidRDefault="00FF7799" w:rsidP="0061246F">
      <w:pPr>
        <w:pStyle w:val="StandardText"/>
        <w:rPr>
          <w:sz w:val="22"/>
          <w:szCs w:val="22"/>
          <w:lang w:val="en-US"/>
        </w:rPr>
      </w:pPr>
      <w:r w:rsidRPr="00EA5DE3">
        <w:rPr>
          <w:b/>
          <w:i/>
          <w:spacing w:val="-2"/>
          <w:sz w:val="22"/>
          <w:szCs w:val="22"/>
          <w:lang w:val="en-US"/>
        </w:rPr>
        <w:t>Literatur:</w:t>
      </w:r>
      <w:r w:rsidRPr="00EA5DE3">
        <w:rPr>
          <w:i/>
          <w:spacing w:val="-3"/>
          <w:sz w:val="22"/>
          <w:szCs w:val="22"/>
          <w:lang w:val="en-US"/>
        </w:rPr>
        <w:t xml:space="preserve"> </w:t>
      </w:r>
      <w:r w:rsidRPr="00EA5DE3">
        <w:rPr>
          <w:spacing w:val="-2"/>
          <w:sz w:val="22"/>
          <w:szCs w:val="22"/>
          <w:lang w:val="en-US"/>
        </w:rPr>
        <w:t>Hall,</w:t>
      </w:r>
      <w:r w:rsidRPr="00EA5DE3">
        <w:rPr>
          <w:spacing w:val="2"/>
          <w:sz w:val="22"/>
          <w:szCs w:val="22"/>
          <w:lang w:val="en-US"/>
        </w:rPr>
        <w:t xml:space="preserve"> </w:t>
      </w:r>
      <w:r w:rsidRPr="00EA5DE3">
        <w:rPr>
          <w:spacing w:val="-2"/>
          <w:sz w:val="22"/>
          <w:szCs w:val="22"/>
          <w:lang w:val="en-US"/>
        </w:rPr>
        <w:t>E.T.</w:t>
      </w:r>
      <w:r w:rsidRPr="00EA5DE3">
        <w:rPr>
          <w:spacing w:val="-1"/>
          <w:sz w:val="22"/>
          <w:szCs w:val="22"/>
          <w:lang w:val="en-US"/>
        </w:rPr>
        <w:t xml:space="preserve"> </w:t>
      </w:r>
      <w:r w:rsidRPr="00EA5DE3">
        <w:rPr>
          <w:spacing w:val="-2"/>
          <w:sz w:val="22"/>
          <w:szCs w:val="22"/>
          <w:lang w:val="en-US"/>
        </w:rPr>
        <w:t>(1963):</w:t>
      </w:r>
      <w:r w:rsidRPr="00EA5DE3">
        <w:rPr>
          <w:spacing w:val="-1"/>
          <w:sz w:val="22"/>
          <w:szCs w:val="22"/>
          <w:lang w:val="en-US"/>
        </w:rPr>
        <w:t xml:space="preserve"> </w:t>
      </w:r>
      <w:r w:rsidRPr="00EA5DE3">
        <w:rPr>
          <w:spacing w:val="-2"/>
          <w:sz w:val="22"/>
          <w:szCs w:val="22"/>
          <w:lang w:val="en-US"/>
        </w:rPr>
        <w:t>Proxemics. The</w:t>
      </w:r>
      <w:r w:rsidRPr="00EA5DE3">
        <w:rPr>
          <w:spacing w:val="2"/>
          <w:sz w:val="22"/>
          <w:szCs w:val="22"/>
          <w:lang w:val="en-US"/>
        </w:rPr>
        <w:t xml:space="preserve"> </w:t>
      </w:r>
      <w:r w:rsidRPr="00EA5DE3">
        <w:rPr>
          <w:spacing w:val="-2"/>
          <w:sz w:val="22"/>
          <w:szCs w:val="22"/>
          <w:lang w:val="en-US"/>
        </w:rPr>
        <w:t>Study</w:t>
      </w:r>
      <w:r w:rsidRPr="00EA5DE3">
        <w:rPr>
          <w:spacing w:val="-1"/>
          <w:sz w:val="22"/>
          <w:szCs w:val="22"/>
          <w:lang w:val="en-US"/>
        </w:rPr>
        <w:t xml:space="preserve"> </w:t>
      </w:r>
      <w:r w:rsidRPr="00EA5DE3">
        <w:rPr>
          <w:spacing w:val="-2"/>
          <w:sz w:val="22"/>
          <w:szCs w:val="22"/>
          <w:lang w:val="en-US"/>
        </w:rPr>
        <w:t>of</w:t>
      </w:r>
      <w:r w:rsidRPr="00EA5DE3">
        <w:rPr>
          <w:spacing w:val="-4"/>
          <w:sz w:val="22"/>
          <w:szCs w:val="22"/>
          <w:lang w:val="en-US"/>
        </w:rPr>
        <w:t xml:space="preserve"> </w:t>
      </w:r>
      <w:r w:rsidRPr="00EA5DE3">
        <w:rPr>
          <w:spacing w:val="-2"/>
          <w:sz w:val="22"/>
          <w:szCs w:val="22"/>
          <w:lang w:val="en-US"/>
        </w:rPr>
        <w:t>Man‘s Spatial</w:t>
      </w:r>
      <w:r w:rsidRPr="00EA5DE3">
        <w:rPr>
          <w:spacing w:val="-1"/>
          <w:sz w:val="22"/>
          <w:szCs w:val="22"/>
          <w:lang w:val="en-US"/>
        </w:rPr>
        <w:t xml:space="preserve"> </w:t>
      </w:r>
      <w:r w:rsidRPr="00EA5DE3">
        <w:rPr>
          <w:spacing w:val="-2"/>
          <w:sz w:val="22"/>
          <w:szCs w:val="22"/>
          <w:lang w:val="en-US"/>
        </w:rPr>
        <w:t>Relations, in:</w:t>
      </w:r>
      <w:r w:rsidRPr="00EA5DE3">
        <w:rPr>
          <w:sz w:val="22"/>
          <w:szCs w:val="22"/>
          <w:lang w:val="en-US"/>
        </w:rPr>
        <w:t xml:space="preserve"> </w:t>
      </w:r>
      <w:r w:rsidRPr="00EA5DE3">
        <w:rPr>
          <w:spacing w:val="-2"/>
          <w:sz w:val="22"/>
          <w:szCs w:val="22"/>
          <w:lang w:val="en-US"/>
        </w:rPr>
        <w:t>Galdston,</w:t>
      </w:r>
      <w:r w:rsidR="00740A8C" w:rsidRPr="00EA5DE3">
        <w:rPr>
          <w:spacing w:val="-2"/>
          <w:sz w:val="22"/>
          <w:szCs w:val="22"/>
          <w:lang w:val="en-US"/>
        </w:rPr>
        <w:t xml:space="preserve"> </w:t>
      </w:r>
      <w:r w:rsidRPr="00EA5DE3">
        <w:rPr>
          <w:sz w:val="22"/>
          <w:szCs w:val="22"/>
          <w:lang w:val="en-US"/>
        </w:rPr>
        <w:t>J. (Ed.), Man’s Image in Medicine and Anthropology, 422-445, New York: International</w:t>
      </w:r>
      <w:r w:rsidRPr="00EA5DE3">
        <w:rPr>
          <w:spacing w:val="40"/>
          <w:sz w:val="22"/>
          <w:szCs w:val="22"/>
          <w:lang w:val="en-US"/>
        </w:rPr>
        <w:t xml:space="preserve"> </w:t>
      </w:r>
      <w:r w:rsidRPr="00EA5DE3">
        <w:rPr>
          <w:sz w:val="22"/>
          <w:szCs w:val="22"/>
          <w:lang w:val="en-US"/>
        </w:rPr>
        <w:t>University Press.</w:t>
      </w:r>
      <w:r w:rsidRPr="00EA5DE3">
        <w:rPr>
          <w:spacing w:val="40"/>
          <w:sz w:val="22"/>
          <w:szCs w:val="22"/>
          <w:lang w:val="en-US"/>
        </w:rPr>
        <w:t xml:space="preserve"> </w:t>
      </w:r>
      <w:r w:rsidRPr="00EA5DE3">
        <w:rPr>
          <w:sz w:val="22"/>
          <w:szCs w:val="22"/>
          <w:lang w:val="en-US"/>
        </w:rPr>
        <w:t>Zandpour, F.; Chang, C.; Catalano, J. (1992): Stories, Symbols and</w:t>
      </w:r>
      <w:r w:rsidRPr="00EA5DE3">
        <w:rPr>
          <w:spacing w:val="40"/>
          <w:sz w:val="22"/>
          <w:szCs w:val="22"/>
          <w:lang w:val="en-US"/>
        </w:rPr>
        <w:t xml:space="preserve"> </w:t>
      </w:r>
      <w:r w:rsidRPr="00EA5DE3">
        <w:rPr>
          <w:sz w:val="22"/>
          <w:szCs w:val="22"/>
          <w:lang w:val="en-US"/>
        </w:rPr>
        <w:t>Straight Talk. A Comparative Analysis of French, Taiwanese and US TV Commercials,</w:t>
      </w:r>
      <w:r w:rsidRPr="00EA5DE3">
        <w:rPr>
          <w:spacing w:val="40"/>
          <w:sz w:val="22"/>
          <w:szCs w:val="22"/>
          <w:lang w:val="en-US"/>
        </w:rPr>
        <w:t xml:space="preserve"> </w:t>
      </w:r>
      <w:r w:rsidRPr="00EA5DE3">
        <w:rPr>
          <w:sz w:val="22"/>
          <w:szCs w:val="22"/>
          <w:lang w:val="en-US"/>
        </w:rPr>
        <w:t>Journal of Advertising Research, 32(1): 25-38.</w:t>
      </w:r>
    </w:p>
    <w:p w14:paraId="5DF79252" w14:textId="77777777" w:rsidR="00FF7799" w:rsidRPr="00E73F6F" w:rsidRDefault="00FF7799" w:rsidP="00DA1E27">
      <w:pPr>
        <w:pStyle w:val="berschrift1"/>
      </w:pPr>
      <w:r w:rsidRPr="00BD6882">
        <w:rPr>
          <w:color w:val="2F5496" w:themeColor="accent5" w:themeShade="BF"/>
        </w:rPr>
        <w:t xml:space="preserve">Chronologie </w:t>
      </w:r>
      <w:r w:rsidRPr="00E73F6F">
        <w:rPr>
          <w:b w:val="0"/>
        </w:rPr>
        <w:t>→</w:t>
      </w:r>
      <w:r w:rsidRPr="00E73F6F">
        <w:rPr>
          <w:b w:val="0"/>
          <w:spacing w:val="-3"/>
        </w:rPr>
        <w:t xml:space="preserve"> </w:t>
      </w:r>
      <w:r w:rsidRPr="00E73F6F">
        <w:rPr>
          <w:b w:val="0"/>
        </w:rPr>
        <w:t>Determinismus</w:t>
      </w:r>
    </w:p>
    <w:p w14:paraId="7DB54826" w14:textId="77777777" w:rsidR="00FF7799" w:rsidRPr="00E73F6F" w:rsidRDefault="00FF7799" w:rsidP="00DA1E27">
      <w:pPr>
        <w:pStyle w:val="berschrift1"/>
      </w:pPr>
      <w:r w:rsidRPr="00BD6882">
        <w:rPr>
          <w:color w:val="2F5496" w:themeColor="accent5" w:themeShade="BF"/>
        </w:rPr>
        <w:t>Civilizations</w:t>
      </w:r>
      <w:r w:rsidRPr="00F40DE8">
        <w:rPr>
          <w:color w:val="2F5496" w:themeColor="accent5" w:themeShade="BF"/>
        </w:rPr>
        <w:t xml:space="preserve"> </w:t>
      </w:r>
      <w:r w:rsidRPr="00E73F6F">
        <w:rPr>
          <w:b w:val="0"/>
        </w:rPr>
        <w:t>→ Geographisch-konfessionelle Segmentierung</w:t>
      </w:r>
    </w:p>
    <w:p w14:paraId="2E9DDD61" w14:textId="77777777" w:rsidR="00FF7799" w:rsidRPr="00BD6882" w:rsidRDefault="00FF7799" w:rsidP="00DA1E27">
      <w:pPr>
        <w:pStyle w:val="berschrift1"/>
        <w:rPr>
          <w:color w:val="2F5496" w:themeColor="accent5" w:themeShade="BF"/>
        </w:rPr>
      </w:pPr>
      <w:r w:rsidRPr="00BD6882">
        <w:rPr>
          <w:color w:val="2F5496" w:themeColor="accent5" w:themeShade="BF"/>
        </w:rPr>
        <w:t>Code Law</w:t>
      </w:r>
    </w:p>
    <w:p w14:paraId="7942AA93" w14:textId="77777777" w:rsidR="00FF7799" w:rsidRPr="00E73F6F" w:rsidRDefault="00FF7799" w:rsidP="0061246F">
      <w:pPr>
        <w:pStyle w:val="StandardText"/>
      </w:pPr>
      <w:r w:rsidRPr="00E73F6F">
        <w:t xml:space="preserve">Rechtssystem, das sich anders als das angelsächsische </w:t>
      </w:r>
      <w:r w:rsidR="00193869">
        <w:sym w:font="Symbol" w:char="F0DE"/>
      </w:r>
      <w:r w:rsidRPr="00E73F6F">
        <w:t xml:space="preserve"> Common Law primär an abstrakten Rechtsgrundsätzen orientiert und deshalb als legalistisch und rechtssystematisch beschrieben wird. Dieses im Zuge der napoleonischen Kriege in Kontinentaleuropa verbreitete </w:t>
      </w:r>
      <w:r w:rsidR="00193869">
        <w:sym w:font="Symbol" w:char="F0DE"/>
      </w:r>
      <w:r w:rsidRPr="00E73F6F">
        <w:t xml:space="preserve"> Rechtssystem schreibt die Grundsätze bürgerlichen Rechts, welche weitgehend dem Römischen Recht entstammen, fort. Hierzu zählt insb. ‘in dubio pro reo‘: Dieser Rechtsgrundsatz billigt dem Angeklagten (bzw. mutmaßlichen Täter) den gleichen Anspruch auf Gerechtigkeit zu wie dem Opfer und den staatlichen Institutionen (als Sachwalter des Rechtsanspruchs der Gemeinschaft). „Im Zweifel für den Angeklagten“ war ein Meilenstein des europäischen Wegs zu einem Rechtsverständnis, das auf Vergeltung verzichtet und Strafe in den Dienst der Resozialisierung stellt. Wie groß diese zivilisatorische Leistung ist, verdeutlicht der Vergleich mit der US-amerikanischen Rechtspflege. Die dort üblichen und als legitim angesehenen aggressiv-suggestiven Verhörtechniken haben überproportional viele Fehlurteile zur Folge und dienen oft eher dem Ziel, einen Schuldigen zu finden, als zu prüfen, ob der bzw. die Verdächtige schuldig ist.</w:t>
      </w:r>
    </w:p>
    <w:p w14:paraId="0D96CF87" w14:textId="77777777" w:rsidR="00740A8C" w:rsidRPr="00E73F6F" w:rsidRDefault="00740A8C" w:rsidP="0061246F">
      <w:pPr>
        <w:pStyle w:val="StandardText"/>
      </w:pPr>
    </w:p>
    <w:p w14:paraId="6DA426E9" w14:textId="77777777" w:rsidR="00FF7799" w:rsidRPr="00BD6882" w:rsidRDefault="00FF7799" w:rsidP="00886964">
      <w:pPr>
        <w:pStyle w:val="berschrift1"/>
        <w:rPr>
          <w:color w:val="2F5496" w:themeColor="accent5" w:themeShade="BF"/>
        </w:rPr>
      </w:pPr>
      <w:bookmarkStart w:id="2" w:name="_Toc332807252"/>
      <w:bookmarkStart w:id="3" w:name="_Toc358882933"/>
      <w:r w:rsidRPr="00BD6882">
        <w:rPr>
          <w:color w:val="2F5496" w:themeColor="accent5" w:themeShade="BF"/>
        </w:rPr>
        <w:t>Common Law</w:t>
      </w:r>
      <w:bookmarkEnd w:id="2"/>
      <w:bookmarkEnd w:id="3"/>
    </w:p>
    <w:p w14:paraId="4D75B3AD" w14:textId="77777777" w:rsidR="00FF7799" w:rsidRPr="00E73F6F" w:rsidRDefault="00FF7799" w:rsidP="0061246F">
      <w:pPr>
        <w:pStyle w:val="StandardText"/>
      </w:pPr>
      <w:r w:rsidRPr="00E73F6F">
        <w:t xml:space="preserve">eines von zwei </w:t>
      </w:r>
      <w:r w:rsidR="00193869">
        <w:sym w:font="Symbol" w:char="F0DE"/>
      </w:r>
      <w:r w:rsidRPr="00E73F6F">
        <w:t xml:space="preserve"> Rechtssystemen, die sich in der westlichen Hemisphäre herausgebildet haben. Anders als die Rechtssysteme, die sich auf das göttliche Recht berufen und Sozialstrafen vorziehen, verhängen beide hauptsächlich Freiheitsstrafen. Im Gegensatz zum kontinentaleuropäischen </w:t>
      </w:r>
      <w:r w:rsidR="00193869">
        <w:sym w:font="Symbol" w:char="F0DE"/>
      </w:r>
      <w:r w:rsidRPr="00E73F6F">
        <w:t xml:space="preserve"> Code Law ist das angelsächsische Common Law ein überwiegend durch Fallsammlungen (d.h. frühere Entscheidungen höherer Gerichte) dokumentiertes Gewohnheitsrecht. Es wurde nur zum geringen Teil kodifiziert (d.h. in einem systematischen Gesetzestext dokumentiert) und entspricht dem Pragmatismus, welcher der angelsächsischen Welt nachgesagt wird. </w:t>
      </w:r>
    </w:p>
    <w:p w14:paraId="377AD794" w14:textId="77777777" w:rsidR="00FF7799" w:rsidRPr="00312CF9" w:rsidRDefault="00FF7799" w:rsidP="00886964">
      <w:pPr>
        <w:pStyle w:val="berschrift1"/>
        <w:rPr>
          <w:color w:val="2F5496" w:themeColor="accent5" w:themeShade="BF"/>
        </w:rPr>
      </w:pPr>
      <w:r w:rsidRPr="00312CF9">
        <w:rPr>
          <w:color w:val="2F5496" w:themeColor="accent5" w:themeShade="BF"/>
        </w:rPr>
        <w:t>Comparative Marketing</w:t>
      </w:r>
    </w:p>
    <w:p w14:paraId="7EAD1989" w14:textId="77777777" w:rsidR="00FF7799" w:rsidRPr="00E73F6F" w:rsidRDefault="00FF7799" w:rsidP="0061246F">
      <w:pPr>
        <w:pStyle w:val="StandardText"/>
      </w:pPr>
      <w:r w:rsidRPr="00E73F6F">
        <w:lastRenderedPageBreak/>
        <w:t>Forschungsstrategie,</w:t>
      </w:r>
      <w:r w:rsidRPr="00E73F6F">
        <w:rPr>
          <w:spacing w:val="-11"/>
        </w:rPr>
        <w:t xml:space="preserve"> </w:t>
      </w:r>
      <w:r w:rsidRPr="00E73F6F">
        <w:t>deren</w:t>
      </w:r>
      <w:r w:rsidRPr="00E73F6F">
        <w:rPr>
          <w:spacing w:val="-11"/>
        </w:rPr>
        <w:t xml:space="preserve"> </w:t>
      </w:r>
      <w:r w:rsidRPr="00E73F6F">
        <w:t>Ziel</w:t>
      </w:r>
      <w:r w:rsidRPr="00E73F6F">
        <w:rPr>
          <w:spacing w:val="-11"/>
        </w:rPr>
        <w:t xml:space="preserve"> </w:t>
      </w:r>
      <w:r w:rsidRPr="00E73F6F">
        <w:t>darin</w:t>
      </w:r>
      <w:r w:rsidRPr="00E73F6F">
        <w:rPr>
          <w:spacing w:val="-6"/>
        </w:rPr>
        <w:t xml:space="preserve"> </w:t>
      </w:r>
      <w:r w:rsidRPr="00E73F6F">
        <w:t>besteht,</w:t>
      </w:r>
      <w:r w:rsidRPr="00E73F6F">
        <w:rPr>
          <w:spacing w:val="-9"/>
        </w:rPr>
        <w:t xml:space="preserve"> </w:t>
      </w:r>
      <w:r w:rsidRPr="00E73F6F">
        <w:t>Unterschiede</w:t>
      </w:r>
      <w:r w:rsidRPr="00E73F6F">
        <w:rPr>
          <w:spacing w:val="-10"/>
        </w:rPr>
        <w:t xml:space="preserve"> </w:t>
      </w:r>
      <w:r w:rsidRPr="00E73F6F">
        <w:t>und</w:t>
      </w:r>
      <w:r w:rsidRPr="00E73F6F">
        <w:rPr>
          <w:spacing w:val="-11"/>
        </w:rPr>
        <w:t xml:space="preserve"> </w:t>
      </w:r>
      <w:r w:rsidRPr="00E73F6F">
        <w:t>Gemeinsamkeiten von</w:t>
      </w:r>
      <w:r w:rsidRPr="00E73F6F">
        <w:rPr>
          <w:spacing w:val="-1"/>
        </w:rPr>
        <w:t xml:space="preserve"> </w:t>
      </w:r>
      <w:r w:rsidRPr="00E73F6F">
        <w:t>Marketing-Philosophien und</w:t>
      </w:r>
      <w:r w:rsidRPr="00E73F6F">
        <w:rPr>
          <w:spacing w:val="-3"/>
        </w:rPr>
        <w:t xml:space="preserve"> </w:t>
      </w:r>
      <w:r w:rsidRPr="00E73F6F">
        <w:t>Marketing-Methoden</w:t>
      </w:r>
      <w:r w:rsidRPr="00E73F6F">
        <w:rPr>
          <w:spacing w:val="-1"/>
        </w:rPr>
        <w:t xml:space="preserve"> </w:t>
      </w:r>
      <w:r w:rsidRPr="00E73F6F">
        <w:t>in verschiedenen Ländern bzw. Kulturen zu analysieren und zu erklären (vgl. Boddewyn 1981, S.62). Nicht zuletzt</w:t>
      </w:r>
      <w:r w:rsidRPr="00E73F6F">
        <w:rPr>
          <w:spacing w:val="-1"/>
        </w:rPr>
        <w:t xml:space="preserve"> </w:t>
      </w:r>
      <w:r w:rsidRPr="00E73F6F">
        <w:t>aber</w:t>
      </w:r>
      <w:r w:rsidRPr="00E73F6F">
        <w:rPr>
          <w:spacing w:val="-2"/>
        </w:rPr>
        <w:t xml:space="preserve"> </w:t>
      </w:r>
      <w:r w:rsidRPr="00E73F6F">
        <w:t>erfüllt</w:t>
      </w:r>
      <w:r w:rsidRPr="00E73F6F">
        <w:rPr>
          <w:spacing w:val="-1"/>
        </w:rPr>
        <w:t xml:space="preserve"> </w:t>
      </w:r>
      <w:r w:rsidRPr="00E73F6F">
        <w:t>sie</w:t>
      </w:r>
      <w:r w:rsidRPr="00E73F6F">
        <w:rPr>
          <w:spacing w:val="-2"/>
        </w:rPr>
        <w:t xml:space="preserve"> </w:t>
      </w:r>
      <w:r w:rsidRPr="00E73F6F">
        <w:t>eine</w:t>
      </w:r>
      <w:r w:rsidRPr="00E73F6F">
        <w:rPr>
          <w:spacing w:val="-2"/>
        </w:rPr>
        <w:t xml:space="preserve"> </w:t>
      </w:r>
      <w:r w:rsidRPr="00E73F6F">
        <w:t>meta-theoretische</w:t>
      </w:r>
      <w:r w:rsidRPr="00E73F6F">
        <w:rPr>
          <w:spacing w:val="-2"/>
        </w:rPr>
        <w:t xml:space="preserve"> </w:t>
      </w:r>
      <w:r w:rsidRPr="00E73F6F">
        <w:t>Schlüsselfunktion.</w:t>
      </w:r>
      <w:r w:rsidRPr="00E73F6F">
        <w:rPr>
          <w:spacing w:val="-1"/>
        </w:rPr>
        <w:t xml:space="preserve"> </w:t>
      </w:r>
      <w:r w:rsidRPr="00E73F6F">
        <w:t>Hauptsächlich</w:t>
      </w:r>
      <w:r w:rsidRPr="00E73F6F">
        <w:rPr>
          <w:spacing w:val="-1"/>
        </w:rPr>
        <w:t xml:space="preserve"> </w:t>
      </w:r>
      <w:r w:rsidRPr="00E73F6F">
        <w:t>in den 1980er-Jahren griffen einige</w:t>
      </w:r>
      <w:r w:rsidRPr="00E73F6F">
        <w:rPr>
          <w:spacing w:val="-1"/>
        </w:rPr>
        <w:t xml:space="preserve"> </w:t>
      </w:r>
      <w:r w:rsidRPr="00E73F6F">
        <w:t>Wissenschaftler (z.B. Etemad 1982; Jaffe 1980) das von Bartels (1964) entworfene 'model for comparative analysis' auf und entwickelten diesen Ansatz weiter.</w:t>
      </w:r>
    </w:p>
    <w:p w14:paraId="51B995A1" w14:textId="77777777" w:rsidR="00FF7799" w:rsidRPr="00E73F6F" w:rsidRDefault="00FF7799" w:rsidP="0061246F">
      <w:pPr>
        <w:pStyle w:val="StandardText"/>
        <w:rPr>
          <w:spacing w:val="-5"/>
          <w:szCs w:val="24"/>
        </w:rPr>
      </w:pPr>
      <w:r w:rsidRPr="00E73F6F">
        <w:t>Schwerpunktmäßig bearbeiteten die daran beteiligten Forscher dabei drei Themenbereiche: Der Nachweis universell gültiger Grundsätze des Marketing (durch den systematischen Vergleich nationaler Marketing-Systeme) dient dem Ziel,</w:t>
      </w:r>
      <w:r w:rsidRPr="00E73F6F">
        <w:rPr>
          <w:spacing w:val="-12"/>
        </w:rPr>
        <w:t xml:space="preserve"> </w:t>
      </w:r>
      <w:r w:rsidRPr="00E73F6F">
        <w:t>eine</w:t>
      </w:r>
      <w:r w:rsidRPr="00E73F6F">
        <w:rPr>
          <w:spacing w:val="-11"/>
        </w:rPr>
        <w:t xml:space="preserve"> </w:t>
      </w:r>
      <w:r w:rsidRPr="00E73F6F">
        <w:t>umfassende</w:t>
      </w:r>
      <w:r w:rsidRPr="00E73F6F">
        <w:rPr>
          <w:spacing w:val="-11"/>
        </w:rPr>
        <w:t xml:space="preserve"> </w:t>
      </w:r>
      <w:r w:rsidRPr="00E73F6F">
        <w:t>Marketing-Theorie</w:t>
      </w:r>
      <w:r w:rsidRPr="00E73F6F">
        <w:rPr>
          <w:spacing w:val="-11"/>
        </w:rPr>
        <w:t xml:space="preserve"> </w:t>
      </w:r>
      <w:r w:rsidRPr="00E73F6F">
        <w:t>zu</w:t>
      </w:r>
      <w:r w:rsidRPr="00E73F6F">
        <w:rPr>
          <w:spacing w:val="-12"/>
        </w:rPr>
        <w:t xml:space="preserve"> </w:t>
      </w:r>
      <w:r w:rsidRPr="00E73F6F">
        <w:t>entwickeln</w:t>
      </w:r>
      <w:r w:rsidRPr="00E73F6F">
        <w:rPr>
          <w:spacing w:val="-11"/>
        </w:rPr>
        <w:t xml:space="preserve"> </w:t>
      </w:r>
      <w:r w:rsidRPr="00E73F6F">
        <w:t>(vgl.</w:t>
      </w:r>
      <w:r w:rsidRPr="00E73F6F">
        <w:rPr>
          <w:spacing w:val="-11"/>
        </w:rPr>
        <w:t xml:space="preserve"> </w:t>
      </w:r>
      <w:r w:rsidRPr="00E73F6F">
        <w:t>Bartels</w:t>
      </w:r>
      <w:r w:rsidRPr="00E73F6F">
        <w:rPr>
          <w:spacing w:val="-11"/>
        </w:rPr>
        <w:t xml:space="preserve"> </w:t>
      </w:r>
      <w:r w:rsidRPr="00E73F6F">
        <w:t>1968).</w:t>
      </w:r>
      <w:r w:rsidRPr="00E73F6F">
        <w:rPr>
          <w:spacing w:val="-11"/>
        </w:rPr>
        <w:t xml:space="preserve"> </w:t>
      </w:r>
      <w:r w:rsidRPr="00E73F6F">
        <w:t xml:space="preserve">Hinzu kommen Studien zum International Marketing-Management (vgl. Adler 1986) sowie kulturvergleichende Untersuchungen und das Anliegen, diesen Forschungsansatz zu validieren (vgl. Barksdale/Anderson 1982). </w:t>
      </w:r>
      <w:r w:rsidRPr="00E73F6F">
        <w:rPr>
          <w:szCs w:val="24"/>
        </w:rPr>
        <w:t>Hierbei</w:t>
      </w:r>
      <w:r w:rsidRPr="00E73F6F">
        <w:rPr>
          <w:spacing w:val="-2"/>
          <w:szCs w:val="24"/>
        </w:rPr>
        <w:t xml:space="preserve"> </w:t>
      </w:r>
      <w:r w:rsidRPr="00E73F6F">
        <w:rPr>
          <w:szCs w:val="24"/>
        </w:rPr>
        <w:t>sind</w:t>
      </w:r>
      <w:r w:rsidRPr="00E73F6F">
        <w:rPr>
          <w:spacing w:val="-3"/>
          <w:szCs w:val="24"/>
        </w:rPr>
        <w:t xml:space="preserve"> </w:t>
      </w:r>
      <w:r w:rsidRPr="00E73F6F">
        <w:rPr>
          <w:szCs w:val="24"/>
        </w:rPr>
        <w:t>verschiedene</w:t>
      </w:r>
      <w:r w:rsidRPr="00E73F6F">
        <w:rPr>
          <w:spacing w:val="-2"/>
          <w:szCs w:val="24"/>
        </w:rPr>
        <w:t xml:space="preserve"> </w:t>
      </w:r>
      <w:r w:rsidRPr="00E73F6F">
        <w:rPr>
          <w:szCs w:val="24"/>
        </w:rPr>
        <w:t>Forschungsstrategien zu</w:t>
      </w:r>
      <w:r w:rsidRPr="00E73F6F">
        <w:rPr>
          <w:spacing w:val="-3"/>
          <w:szCs w:val="24"/>
        </w:rPr>
        <w:t xml:space="preserve"> </w:t>
      </w:r>
      <w:r w:rsidRPr="00E73F6F">
        <w:rPr>
          <w:szCs w:val="24"/>
        </w:rPr>
        <w:t>unterscheiden (vgl.</w:t>
      </w:r>
      <w:r w:rsidRPr="00E73F6F">
        <w:rPr>
          <w:spacing w:val="-4"/>
          <w:szCs w:val="24"/>
        </w:rPr>
        <w:t xml:space="preserve"> </w:t>
      </w:r>
      <w:r w:rsidRPr="00E73F6F">
        <w:rPr>
          <w:szCs w:val="24"/>
        </w:rPr>
        <w:t>Abb.</w:t>
      </w:r>
      <w:r w:rsidRPr="00E73F6F">
        <w:rPr>
          <w:spacing w:val="-1"/>
          <w:szCs w:val="24"/>
        </w:rPr>
        <w:t xml:space="preserve"> </w:t>
      </w:r>
      <w:r w:rsidRPr="00E73F6F">
        <w:rPr>
          <w:spacing w:val="-5"/>
          <w:szCs w:val="24"/>
        </w:rPr>
        <w:t>1):</w:t>
      </w:r>
    </w:p>
    <w:p w14:paraId="57AE1AE0" w14:textId="77777777" w:rsidR="00740A8C" w:rsidRPr="00E73F6F" w:rsidRDefault="00740A8C" w:rsidP="0061246F">
      <w:pPr>
        <w:pStyle w:val="StandardText"/>
        <w:rPr>
          <w:szCs w:val="24"/>
        </w:rPr>
      </w:pPr>
    </w:p>
    <w:p w14:paraId="4D49F7F7" w14:textId="77777777" w:rsidR="00FF7799" w:rsidRPr="00C76DC3" w:rsidRDefault="00FF7799" w:rsidP="00A42AF5">
      <w:pPr>
        <w:pStyle w:val="BeschriftungTab"/>
        <w:rPr>
          <w:i/>
          <w:iCs/>
          <w:spacing w:val="-2"/>
        </w:rPr>
      </w:pPr>
      <w:r w:rsidRPr="00C76DC3">
        <w:rPr>
          <w:i/>
          <w:iCs/>
        </w:rPr>
        <w:t>Abb.</w:t>
      </w:r>
      <w:r w:rsidRPr="00C76DC3">
        <w:rPr>
          <w:i/>
          <w:iCs/>
          <w:spacing w:val="-2"/>
        </w:rPr>
        <w:t xml:space="preserve"> </w:t>
      </w:r>
      <w:r w:rsidRPr="00C76DC3">
        <w:rPr>
          <w:i/>
          <w:iCs/>
        </w:rPr>
        <w:t>1:</w:t>
      </w:r>
      <w:r w:rsidRPr="00C76DC3">
        <w:rPr>
          <w:i/>
          <w:iCs/>
          <w:spacing w:val="-2"/>
        </w:rPr>
        <w:t xml:space="preserve"> </w:t>
      </w:r>
      <w:r w:rsidRPr="00C76DC3">
        <w:rPr>
          <w:i/>
          <w:iCs/>
        </w:rPr>
        <w:t>Forschungsstrategien</w:t>
      </w:r>
      <w:r w:rsidRPr="00C76DC3">
        <w:rPr>
          <w:i/>
          <w:iCs/>
          <w:spacing w:val="-2"/>
        </w:rPr>
        <w:t xml:space="preserve"> </w:t>
      </w:r>
      <w:r w:rsidRPr="00C76DC3">
        <w:rPr>
          <w:i/>
          <w:iCs/>
        </w:rPr>
        <w:t>im</w:t>
      </w:r>
      <w:r w:rsidRPr="00C76DC3">
        <w:rPr>
          <w:i/>
          <w:iCs/>
          <w:spacing w:val="-2"/>
        </w:rPr>
        <w:t xml:space="preserve"> Überblick</w:t>
      </w:r>
    </w:p>
    <w:p w14:paraId="29BA8A7C" w14:textId="77777777" w:rsidR="004E4D6E" w:rsidRDefault="004E4D6E" w:rsidP="00A42AF5">
      <w:pPr>
        <w:pStyle w:val="BeschriftungTab"/>
        <w:rPr>
          <w:spacing w:val="-2"/>
        </w:rPr>
      </w:pPr>
      <w:r>
        <w:rPr>
          <w:noProof/>
          <w:spacing w:val="-2"/>
        </w:rPr>
        <w:drawing>
          <wp:inline distT="0" distB="0" distL="0" distR="0" wp14:anchorId="25F8E2BB" wp14:editId="581EF80C">
            <wp:extent cx="5561238" cy="3067050"/>
            <wp:effectExtent l="0" t="0" r="1905"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565498" cy="3069400"/>
                    </a:xfrm>
                    <a:prstGeom prst="rect">
                      <a:avLst/>
                    </a:prstGeom>
                    <a:noFill/>
                  </pic:spPr>
                </pic:pic>
              </a:graphicData>
            </a:graphic>
          </wp:inline>
        </w:drawing>
      </w:r>
    </w:p>
    <w:p w14:paraId="745F8305" w14:textId="77777777" w:rsidR="005251EC" w:rsidRPr="00E73F6F" w:rsidRDefault="005251EC" w:rsidP="00A42AF5">
      <w:pPr>
        <w:pStyle w:val="BeschriftungTab"/>
      </w:pPr>
    </w:p>
    <w:p w14:paraId="0F325E11" w14:textId="77777777" w:rsidR="00FF7799" w:rsidRPr="00E73F6F" w:rsidRDefault="00FF7799" w:rsidP="0067540C">
      <w:pPr>
        <w:pStyle w:val="StandardText"/>
      </w:pPr>
      <w:r w:rsidRPr="00E73F6F">
        <w:t>Der</w:t>
      </w:r>
      <w:r w:rsidRPr="00E73F6F">
        <w:rPr>
          <w:spacing w:val="-2"/>
        </w:rPr>
        <w:t xml:space="preserve"> </w:t>
      </w:r>
      <w:r w:rsidRPr="00E73F6F">
        <w:t>Cross</w:t>
      </w:r>
      <w:r w:rsidRPr="00E73F6F">
        <w:rPr>
          <w:spacing w:val="-3"/>
        </w:rPr>
        <w:t xml:space="preserve"> </w:t>
      </w:r>
      <w:r w:rsidRPr="00E73F6F">
        <w:t>National-Ansatz</w:t>
      </w:r>
      <w:r w:rsidRPr="00E73F6F">
        <w:rPr>
          <w:spacing w:val="-2"/>
        </w:rPr>
        <w:t xml:space="preserve"> </w:t>
      </w:r>
      <w:r w:rsidRPr="00E73F6F">
        <w:t>verfolgt</w:t>
      </w:r>
      <w:r w:rsidRPr="00E73F6F">
        <w:rPr>
          <w:spacing w:val="-4"/>
        </w:rPr>
        <w:t xml:space="preserve"> </w:t>
      </w:r>
      <w:r w:rsidRPr="00E73F6F">
        <w:t>das</w:t>
      </w:r>
      <w:r w:rsidRPr="00E73F6F">
        <w:rPr>
          <w:spacing w:val="-2"/>
        </w:rPr>
        <w:t xml:space="preserve"> </w:t>
      </w:r>
      <w:r w:rsidRPr="00E73F6F">
        <w:t>Ziel,</w:t>
      </w:r>
      <w:r w:rsidRPr="00E73F6F">
        <w:rPr>
          <w:spacing w:val="-3"/>
        </w:rPr>
        <w:t xml:space="preserve"> </w:t>
      </w:r>
      <w:r w:rsidRPr="00E73F6F">
        <w:t>Unterschiede</w:t>
      </w:r>
      <w:r w:rsidRPr="00E73F6F">
        <w:rPr>
          <w:spacing w:val="-5"/>
        </w:rPr>
        <w:t xml:space="preserve"> </w:t>
      </w:r>
      <w:r w:rsidRPr="00E73F6F">
        <w:t>und</w:t>
      </w:r>
      <w:r w:rsidRPr="00E73F6F">
        <w:rPr>
          <w:spacing w:val="-3"/>
        </w:rPr>
        <w:t xml:space="preserve"> </w:t>
      </w:r>
      <w:r w:rsidRPr="00E73F6F">
        <w:t>Gemeinsamkeiten zwischen Ländern aufzudecken, indem man Objekte, Institutionen oder Sachverhalte in verschiedenen Ländern vergleicht (z.B. Indikatoren der Wettbewerbsfähigkeit, Bilanzkennziffern vgl. Abb. 2). Schmid (1996, S.233) spricht in diesem Zusammenhang auch von Vergleichender Länderforschung.</w:t>
      </w:r>
    </w:p>
    <w:p w14:paraId="1A4F6069" w14:textId="77777777" w:rsidR="00FF7799" w:rsidRPr="00E73F6F" w:rsidRDefault="00FF7799" w:rsidP="00862DBA">
      <w:pPr>
        <w:jc w:val="both"/>
        <w:rPr>
          <w:sz w:val="24"/>
          <w:szCs w:val="24"/>
        </w:rPr>
      </w:pPr>
    </w:p>
    <w:p w14:paraId="72325264" w14:textId="77777777" w:rsidR="00FF7799" w:rsidRPr="00C76DC3" w:rsidRDefault="00FF7799" w:rsidP="0067540C">
      <w:pPr>
        <w:pStyle w:val="BeschriftungTab"/>
        <w:rPr>
          <w:i/>
          <w:iCs/>
        </w:rPr>
      </w:pPr>
      <w:r w:rsidRPr="00C76DC3">
        <w:rPr>
          <w:i/>
          <w:iCs/>
        </w:rPr>
        <w:t xml:space="preserve">Abb. 2: Zahl der Übernachtungen von in- und ausländischen Touristen </w:t>
      </w:r>
      <w:r w:rsidRPr="00C76DC3">
        <w:rPr>
          <w:i/>
          <w:iCs/>
        </w:rPr>
        <w:br/>
        <w:t xml:space="preserve">im Länder- und Zeitvergleich </w:t>
      </w:r>
    </w:p>
    <w:p w14:paraId="0F8FB3A7" w14:textId="77777777" w:rsidR="004E4D6E" w:rsidRDefault="004E4D6E" w:rsidP="0067540C">
      <w:pPr>
        <w:pStyle w:val="BeschriftungTab"/>
        <w:rPr>
          <w:color w:val="FF0000"/>
        </w:rPr>
      </w:pPr>
      <w:r>
        <w:rPr>
          <w:noProof/>
          <w:color w:val="FF0000"/>
        </w:rPr>
        <w:lastRenderedPageBreak/>
        <w:drawing>
          <wp:inline distT="0" distB="0" distL="0" distR="0" wp14:anchorId="371ED594" wp14:editId="34F453DA">
            <wp:extent cx="4761230" cy="3291840"/>
            <wp:effectExtent l="0" t="0" r="1270" b="381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61230" cy="3291840"/>
                    </a:xfrm>
                    <a:prstGeom prst="rect">
                      <a:avLst/>
                    </a:prstGeom>
                    <a:noFill/>
                  </pic:spPr>
                </pic:pic>
              </a:graphicData>
            </a:graphic>
          </wp:inline>
        </w:drawing>
      </w:r>
    </w:p>
    <w:p w14:paraId="16EBC1BF" w14:textId="77777777" w:rsidR="00FF7799" w:rsidRPr="00E73F6F" w:rsidRDefault="00FF7799" w:rsidP="005251EC">
      <w:pPr>
        <w:pStyle w:val="BeschriftungTab"/>
        <w:jc w:val="left"/>
      </w:pPr>
      <w:r w:rsidRPr="00E73F6F">
        <w:rPr>
          <w:spacing w:val="-2"/>
        </w:rPr>
        <w:t>Quelle:</w:t>
      </w:r>
      <w:r w:rsidR="004E4D6E">
        <w:t xml:space="preserve"> eigene Darstellung </w:t>
      </w:r>
      <w:r w:rsidRPr="00E73F6F">
        <w:t>auf</w:t>
      </w:r>
      <w:r w:rsidRPr="00E73F6F">
        <w:rPr>
          <w:spacing w:val="-4"/>
        </w:rPr>
        <w:t xml:space="preserve"> </w:t>
      </w:r>
      <w:r w:rsidRPr="00E73F6F">
        <w:t>Basis</w:t>
      </w:r>
      <w:r w:rsidRPr="00E73F6F">
        <w:rPr>
          <w:spacing w:val="-2"/>
        </w:rPr>
        <w:t xml:space="preserve"> </w:t>
      </w:r>
      <w:r w:rsidR="004E4D6E">
        <w:t xml:space="preserve">des </w:t>
      </w:r>
      <w:r w:rsidRPr="00E73F6F">
        <w:t>Eurostat</w:t>
      </w:r>
      <w:r w:rsidRPr="00E73F6F">
        <w:rPr>
          <w:spacing w:val="-1"/>
        </w:rPr>
        <w:t xml:space="preserve"> </w:t>
      </w:r>
      <w:r w:rsidRPr="00E73F6F">
        <w:t>Jahrbuch</w:t>
      </w:r>
      <w:r w:rsidR="004E4D6E">
        <w:t>es</w:t>
      </w:r>
      <w:r w:rsidRPr="00E73F6F">
        <w:rPr>
          <w:spacing w:val="-2"/>
        </w:rPr>
        <w:t xml:space="preserve"> </w:t>
      </w:r>
      <w:r w:rsidRPr="00E73F6F">
        <w:t xml:space="preserve">(2002, </w:t>
      </w:r>
      <w:r w:rsidRPr="00E73F6F">
        <w:rPr>
          <w:spacing w:val="-2"/>
        </w:rPr>
        <w:t>S.304).</w:t>
      </w:r>
    </w:p>
    <w:p w14:paraId="6D747914" w14:textId="77777777" w:rsidR="00740A8C" w:rsidRPr="00E73F6F" w:rsidRDefault="00740A8C" w:rsidP="005251EC">
      <w:pPr>
        <w:pStyle w:val="StandardText"/>
        <w:jc w:val="left"/>
      </w:pPr>
    </w:p>
    <w:p w14:paraId="2855D30D" w14:textId="77777777" w:rsidR="00FF7799" w:rsidRPr="00E73F6F" w:rsidRDefault="00FF7799" w:rsidP="0067540C">
      <w:pPr>
        <w:pStyle w:val="StandardText"/>
      </w:pPr>
      <w:r w:rsidRPr="00E73F6F">
        <w:t>Vertreter des Cross Cultural-Ansatzes gehen davon aus, dass zahlreiche Einstellungen</w:t>
      </w:r>
      <w:r w:rsidRPr="00E73F6F">
        <w:rPr>
          <w:spacing w:val="-12"/>
        </w:rPr>
        <w:t xml:space="preserve"> </w:t>
      </w:r>
      <w:r w:rsidRPr="00E73F6F">
        <w:t>(z.B.</w:t>
      </w:r>
      <w:r w:rsidRPr="00E73F6F">
        <w:rPr>
          <w:spacing w:val="-11"/>
        </w:rPr>
        <w:t xml:space="preserve"> </w:t>
      </w:r>
      <w:r w:rsidRPr="00E73F6F">
        <w:t>Risikobereitschaft)</w:t>
      </w:r>
      <w:r w:rsidRPr="00E73F6F">
        <w:rPr>
          <w:spacing w:val="-11"/>
        </w:rPr>
        <w:t xml:space="preserve"> </w:t>
      </w:r>
      <w:r w:rsidRPr="00E73F6F">
        <w:t>und</w:t>
      </w:r>
      <w:r w:rsidRPr="00E73F6F">
        <w:rPr>
          <w:spacing w:val="-11"/>
        </w:rPr>
        <w:t xml:space="preserve"> </w:t>
      </w:r>
      <w:r w:rsidRPr="00E73F6F">
        <w:t>Verhaltensweisen</w:t>
      </w:r>
      <w:r w:rsidRPr="00E73F6F">
        <w:rPr>
          <w:spacing w:val="-11"/>
        </w:rPr>
        <w:t xml:space="preserve"> </w:t>
      </w:r>
      <w:r w:rsidRPr="00E73F6F">
        <w:t>(z.B.</w:t>
      </w:r>
      <w:r w:rsidRPr="00E73F6F">
        <w:rPr>
          <w:spacing w:val="-11"/>
        </w:rPr>
        <w:t xml:space="preserve"> </w:t>
      </w:r>
      <w:r w:rsidRPr="00E73F6F">
        <w:t>Aufteilung</w:t>
      </w:r>
      <w:r w:rsidRPr="00E73F6F">
        <w:rPr>
          <w:spacing w:val="-11"/>
        </w:rPr>
        <w:t xml:space="preserve"> </w:t>
      </w:r>
      <w:r w:rsidRPr="00E73F6F">
        <w:t>des Haushaltsbudgets) der Bewohner unterschiedlicher Länder im Regelfall nicht zufällig auftreten, sondern kulturell geprägt sind. So wird in Ländern, die zu Ungewissheitsvermeidung tendieren, Risikoaversion verbreiteter sein als in Gesellschaften,</w:t>
      </w:r>
      <w:r w:rsidRPr="00E73F6F">
        <w:rPr>
          <w:spacing w:val="-5"/>
        </w:rPr>
        <w:t xml:space="preserve"> </w:t>
      </w:r>
      <w:r w:rsidRPr="00E73F6F">
        <w:t>die,</w:t>
      </w:r>
      <w:r w:rsidRPr="00E73F6F">
        <w:rPr>
          <w:spacing w:val="-5"/>
        </w:rPr>
        <w:t xml:space="preserve"> </w:t>
      </w:r>
      <w:r w:rsidRPr="00E73F6F">
        <w:t>kulturbedingt,</w:t>
      </w:r>
      <w:r w:rsidRPr="00E73F6F">
        <w:rPr>
          <w:spacing w:val="-5"/>
        </w:rPr>
        <w:t xml:space="preserve"> </w:t>
      </w:r>
      <w:r w:rsidRPr="00E73F6F">
        <w:t>Ungewissheit</w:t>
      </w:r>
      <w:r w:rsidRPr="00E73F6F">
        <w:rPr>
          <w:spacing w:val="-7"/>
        </w:rPr>
        <w:t xml:space="preserve"> </w:t>
      </w:r>
      <w:r w:rsidRPr="00E73F6F">
        <w:t>tolerieren.</w:t>
      </w:r>
      <w:r w:rsidRPr="00E73F6F">
        <w:rPr>
          <w:spacing w:val="-7"/>
        </w:rPr>
        <w:t xml:space="preserve"> </w:t>
      </w:r>
      <w:r w:rsidRPr="00E73F6F">
        <w:t>Derartige</w:t>
      </w:r>
      <w:r w:rsidRPr="00E73F6F">
        <w:rPr>
          <w:spacing w:val="-6"/>
        </w:rPr>
        <w:t xml:space="preserve"> </w:t>
      </w:r>
      <w:r w:rsidRPr="00E73F6F">
        <w:t>Variationen sind prinzipiell analysierbar und können bis zu einem bestimmten Grad vorhergesagt werden.</w:t>
      </w:r>
    </w:p>
    <w:p w14:paraId="7F8E6B04" w14:textId="77777777" w:rsidR="00FF7799" w:rsidRPr="00E73F6F" w:rsidRDefault="00FF7799" w:rsidP="0067540C">
      <w:pPr>
        <w:pStyle w:val="StandardText"/>
      </w:pPr>
      <w:r w:rsidRPr="00E73F6F">
        <w:t>Die Vergleichende Landeskulturforschung widmet sich explizit den kulturellen Besonderheiten</w:t>
      </w:r>
      <w:r w:rsidRPr="00E73F6F">
        <w:rPr>
          <w:spacing w:val="-12"/>
        </w:rPr>
        <w:t xml:space="preserve"> </w:t>
      </w:r>
      <w:r w:rsidRPr="00E73F6F">
        <w:t>eines</w:t>
      </w:r>
      <w:r w:rsidRPr="00E73F6F">
        <w:rPr>
          <w:spacing w:val="-11"/>
        </w:rPr>
        <w:t xml:space="preserve"> </w:t>
      </w:r>
      <w:r w:rsidRPr="00E73F6F">
        <w:t>Landes,</w:t>
      </w:r>
      <w:r w:rsidRPr="00E73F6F">
        <w:rPr>
          <w:spacing w:val="-10"/>
        </w:rPr>
        <w:t xml:space="preserve"> </w:t>
      </w:r>
      <w:r w:rsidRPr="00E73F6F">
        <w:t>einer</w:t>
      </w:r>
      <w:r w:rsidRPr="00E73F6F">
        <w:rPr>
          <w:spacing w:val="-11"/>
        </w:rPr>
        <w:t xml:space="preserve"> </w:t>
      </w:r>
      <w:r w:rsidRPr="00E73F6F">
        <w:t>Gesellschaft</w:t>
      </w:r>
      <w:r w:rsidRPr="00E73F6F">
        <w:rPr>
          <w:spacing w:val="-11"/>
        </w:rPr>
        <w:t xml:space="preserve"> </w:t>
      </w:r>
      <w:r w:rsidRPr="00E73F6F">
        <w:t>oder</w:t>
      </w:r>
      <w:r w:rsidRPr="00E73F6F">
        <w:rPr>
          <w:spacing w:val="-11"/>
        </w:rPr>
        <w:t xml:space="preserve"> </w:t>
      </w:r>
      <w:r w:rsidRPr="00E73F6F">
        <w:t>eines</w:t>
      </w:r>
      <w:r w:rsidRPr="00E73F6F">
        <w:rPr>
          <w:spacing w:val="-12"/>
        </w:rPr>
        <w:t xml:space="preserve"> </w:t>
      </w:r>
      <w:r w:rsidRPr="00E73F6F">
        <w:t>räumlich</w:t>
      </w:r>
      <w:r w:rsidRPr="00E73F6F">
        <w:rPr>
          <w:spacing w:val="-9"/>
        </w:rPr>
        <w:t xml:space="preserve"> </w:t>
      </w:r>
      <w:r w:rsidRPr="00E73F6F">
        <w:t xml:space="preserve">abgegrenzten Gebietes. Vertreter des kulturübergreifenden Ansatzes analysieren den Einfluss von Kultur auf die in der Länderforschung festgestellten Unterschiede und Gemeinsamkeiten. Im Mittelpunkt dieser Arbeiten steht das Ziel, anhand des Vergleichs nationaler Marketing-Systeme und Verhaltensweisen herauszufinden, welche Sachverhalte universell und welche spezifisch für eine bestimmte Kultur </w:t>
      </w:r>
      <w:r w:rsidRPr="00E73F6F">
        <w:rPr>
          <w:spacing w:val="-2"/>
        </w:rPr>
        <w:t>sind.</w:t>
      </w:r>
    </w:p>
    <w:p w14:paraId="15AC7BBB" w14:textId="77777777" w:rsidR="00FF7799" w:rsidRPr="00E73F6F" w:rsidRDefault="00FF7799" w:rsidP="0067540C">
      <w:pPr>
        <w:pStyle w:val="StandardText"/>
      </w:pPr>
      <w:r w:rsidRPr="00E73F6F">
        <w:t>Der Inter National-Ansatz lässt sich analog dazu folgendermaßen umschreiben: Analysiert werden die Wirkungsweise der Marketing-Instrumente in verschiedenen rechtlichen und wirtschaftlichen Systemen sowie deren Rückwirkung auf die Marketing-Instrumente.</w:t>
      </w:r>
    </w:p>
    <w:p w14:paraId="15137167" w14:textId="77777777" w:rsidR="00FF7799" w:rsidRPr="00E73F6F" w:rsidRDefault="00FF7799" w:rsidP="0067540C">
      <w:pPr>
        <w:pStyle w:val="StandardText"/>
      </w:pPr>
      <w:r w:rsidRPr="00E73F6F">
        <w:t>Der Inter Cultural-Ansatz befasst sich vorzugsweise mit der Interaktion von Kulturen im weitesten Sinne (vgl. z.B. Bergemann/Sourisseaux 2003). Konkret steht dabei häufig die Analyse von interkulturellen Geschäftsbeziehungen im Mittelpunkt der Arbeit (vgl. z.B. Hendon et al. 1996; Mauritz 1996). Beliebte Forschungsthemen sind u.a. …</w:t>
      </w:r>
    </w:p>
    <w:p w14:paraId="25F2464D" w14:textId="77777777" w:rsidR="00FF7799" w:rsidRPr="00E73F6F" w:rsidRDefault="00FF7799" w:rsidP="00312CF9">
      <w:pPr>
        <w:pStyle w:val="StandardTextAufzhlung"/>
        <w:ind w:left="426"/>
      </w:pPr>
      <w:r w:rsidRPr="00E73F6F">
        <w:t>die</w:t>
      </w:r>
      <w:r w:rsidRPr="00E73F6F">
        <w:rPr>
          <w:spacing w:val="-5"/>
        </w:rPr>
        <w:t xml:space="preserve"> </w:t>
      </w:r>
      <w:r w:rsidRPr="00E73F6F">
        <w:t>Ausgestaltung</w:t>
      </w:r>
      <w:r w:rsidRPr="00E73F6F">
        <w:rPr>
          <w:spacing w:val="-5"/>
        </w:rPr>
        <w:t xml:space="preserve"> </w:t>
      </w:r>
      <w:r w:rsidRPr="00E73F6F">
        <w:t>internationaler</w:t>
      </w:r>
      <w:r w:rsidRPr="00E73F6F">
        <w:rPr>
          <w:spacing w:val="-7"/>
        </w:rPr>
        <w:t xml:space="preserve"> </w:t>
      </w:r>
      <w:r w:rsidR="00AA49CE">
        <w:rPr>
          <w:spacing w:val="-7"/>
        </w:rPr>
        <w:sym w:font="Symbol" w:char="F0DE"/>
      </w:r>
      <w:r w:rsidR="00AA49CE">
        <w:rPr>
          <w:spacing w:val="-7"/>
        </w:rPr>
        <w:t xml:space="preserve"> </w:t>
      </w:r>
      <w:r w:rsidRPr="00E73F6F">
        <w:t>Joint</w:t>
      </w:r>
      <w:r w:rsidRPr="00E73F6F">
        <w:rPr>
          <w:spacing w:val="-5"/>
        </w:rPr>
        <w:t xml:space="preserve"> </w:t>
      </w:r>
      <w:r w:rsidRPr="00E73F6F">
        <w:t>Ventures</w:t>
      </w:r>
      <w:r w:rsidRPr="00E73F6F">
        <w:rPr>
          <w:spacing w:val="-5"/>
        </w:rPr>
        <w:t xml:space="preserve"> </w:t>
      </w:r>
      <w:r w:rsidRPr="00E73F6F">
        <w:t>(z.B.</w:t>
      </w:r>
      <w:r w:rsidRPr="00E73F6F">
        <w:rPr>
          <w:spacing w:val="-6"/>
        </w:rPr>
        <w:t xml:space="preserve"> </w:t>
      </w:r>
      <w:r w:rsidRPr="00E73F6F">
        <w:t>Perlitz</w:t>
      </w:r>
      <w:r w:rsidRPr="00E73F6F">
        <w:rPr>
          <w:spacing w:val="-5"/>
        </w:rPr>
        <w:t xml:space="preserve"> </w:t>
      </w:r>
      <w:r w:rsidRPr="00E73F6F">
        <w:t>2002, S.545ff.; Peill-Schoeller 1994) bzw. internationaler strategischer Allianzen (z.B. Stüdlein 1997),</w:t>
      </w:r>
    </w:p>
    <w:p w14:paraId="5A7FAF32" w14:textId="77777777" w:rsidR="00FF7799" w:rsidRPr="00E73F6F" w:rsidRDefault="00FF7799" w:rsidP="00312CF9">
      <w:pPr>
        <w:pStyle w:val="StandardTextAufzhlung"/>
        <w:ind w:left="426"/>
      </w:pPr>
      <w:r w:rsidRPr="00E73F6F">
        <w:t>Gründung</w:t>
      </w:r>
      <w:r w:rsidRPr="00E73F6F">
        <w:rPr>
          <w:spacing w:val="-8"/>
        </w:rPr>
        <w:t xml:space="preserve"> </w:t>
      </w:r>
      <w:r w:rsidRPr="00E73F6F">
        <w:t>ausländischer</w:t>
      </w:r>
      <w:r w:rsidRPr="00E73F6F">
        <w:rPr>
          <w:spacing w:val="-9"/>
        </w:rPr>
        <w:t xml:space="preserve"> </w:t>
      </w:r>
      <w:r w:rsidRPr="00E73F6F">
        <w:t>Tochtergesellschaften</w:t>
      </w:r>
      <w:r w:rsidRPr="00E73F6F">
        <w:rPr>
          <w:spacing w:val="-8"/>
        </w:rPr>
        <w:t xml:space="preserve"> </w:t>
      </w:r>
      <w:r w:rsidRPr="00E73F6F">
        <w:t>bzw.</w:t>
      </w:r>
      <w:r w:rsidRPr="00E73F6F">
        <w:rPr>
          <w:spacing w:val="-9"/>
        </w:rPr>
        <w:t xml:space="preserve"> </w:t>
      </w:r>
      <w:r w:rsidRPr="00E73F6F">
        <w:t>Niederlassungen (z.B. Meckel 2002),</w:t>
      </w:r>
    </w:p>
    <w:p w14:paraId="6F70E5FB" w14:textId="77777777" w:rsidR="00FF7799" w:rsidRPr="00E73F6F" w:rsidRDefault="00FF7799" w:rsidP="00312CF9">
      <w:pPr>
        <w:pStyle w:val="StandardTextAufzhlung"/>
        <w:ind w:left="426"/>
      </w:pPr>
      <w:r w:rsidRPr="00E73F6F">
        <w:t>Akquisition</w:t>
      </w:r>
      <w:r w:rsidRPr="00E73F6F">
        <w:rPr>
          <w:spacing w:val="-6"/>
        </w:rPr>
        <w:t xml:space="preserve"> </w:t>
      </w:r>
      <w:r w:rsidRPr="00E73F6F">
        <w:t>ausländischer</w:t>
      </w:r>
      <w:r w:rsidRPr="00E73F6F">
        <w:rPr>
          <w:spacing w:val="-7"/>
        </w:rPr>
        <w:t xml:space="preserve"> </w:t>
      </w:r>
      <w:r w:rsidRPr="00E73F6F">
        <w:t>Unternehmen</w:t>
      </w:r>
      <w:r w:rsidRPr="00E73F6F">
        <w:rPr>
          <w:spacing w:val="-6"/>
        </w:rPr>
        <w:t xml:space="preserve"> </w:t>
      </w:r>
      <w:r w:rsidRPr="00E73F6F">
        <w:t>(z.B.</w:t>
      </w:r>
      <w:r w:rsidRPr="00E73F6F">
        <w:rPr>
          <w:spacing w:val="-7"/>
        </w:rPr>
        <w:t xml:space="preserve"> </w:t>
      </w:r>
      <w:r w:rsidRPr="00E73F6F">
        <w:t>Haussmann</w:t>
      </w:r>
      <w:r w:rsidRPr="00E73F6F">
        <w:rPr>
          <w:spacing w:val="-8"/>
        </w:rPr>
        <w:t xml:space="preserve"> </w:t>
      </w:r>
      <w:r w:rsidRPr="00E73F6F">
        <w:t>2002; Forstmann 1994),</w:t>
      </w:r>
    </w:p>
    <w:p w14:paraId="5933BFB3" w14:textId="77777777" w:rsidR="00FF7799" w:rsidRPr="00E73F6F" w:rsidRDefault="00FF7799" w:rsidP="00312CF9">
      <w:pPr>
        <w:pStyle w:val="StandardTextAufzhlung"/>
        <w:ind w:left="426"/>
      </w:pPr>
      <w:r w:rsidRPr="00E73F6F">
        <w:t>Bildung</w:t>
      </w:r>
      <w:r w:rsidRPr="00E73F6F">
        <w:rPr>
          <w:spacing w:val="-6"/>
        </w:rPr>
        <w:t xml:space="preserve"> </w:t>
      </w:r>
      <w:r w:rsidRPr="00E73F6F">
        <w:t>internationaler</w:t>
      </w:r>
      <w:r w:rsidRPr="00E73F6F">
        <w:rPr>
          <w:spacing w:val="-5"/>
        </w:rPr>
        <w:t xml:space="preserve"> </w:t>
      </w:r>
      <w:r w:rsidRPr="00E73F6F">
        <w:t>Teams</w:t>
      </w:r>
      <w:r w:rsidRPr="00E73F6F">
        <w:rPr>
          <w:spacing w:val="-5"/>
        </w:rPr>
        <w:t xml:space="preserve"> </w:t>
      </w:r>
      <w:r w:rsidRPr="00E73F6F">
        <w:t>bzw.</w:t>
      </w:r>
      <w:r w:rsidRPr="00E73F6F">
        <w:rPr>
          <w:spacing w:val="-5"/>
        </w:rPr>
        <w:t xml:space="preserve"> </w:t>
      </w:r>
      <w:r w:rsidRPr="00E73F6F">
        <w:t>Führung</w:t>
      </w:r>
      <w:r w:rsidRPr="00E73F6F">
        <w:rPr>
          <w:spacing w:val="-6"/>
        </w:rPr>
        <w:t xml:space="preserve"> </w:t>
      </w:r>
      <w:r w:rsidRPr="00E73F6F">
        <w:t>von</w:t>
      </w:r>
      <w:r w:rsidRPr="00E73F6F">
        <w:rPr>
          <w:spacing w:val="-4"/>
        </w:rPr>
        <w:t xml:space="preserve"> </w:t>
      </w:r>
      <w:r w:rsidRPr="00E73F6F">
        <w:t>Mitarbeitern</w:t>
      </w:r>
      <w:r w:rsidRPr="00E73F6F">
        <w:rPr>
          <w:spacing w:val="-4"/>
        </w:rPr>
        <w:t xml:space="preserve"> </w:t>
      </w:r>
      <w:r w:rsidRPr="00E73F6F">
        <w:t>aus verschiedenen Kulturen (z.B. Lichtenberger 1992) oder</w:t>
      </w:r>
    </w:p>
    <w:p w14:paraId="314E1710" w14:textId="77777777" w:rsidR="00FF7799" w:rsidRPr="00E73F6F" w:rsidRDefault="00FF7799" w:rsidP="00312CF9">
      <w:pPr>
        <w:pStyle w:val="StandardTextAufzhlung"/>
        <w:ind w:left="426"/>
      </w:pPr>
      <w:r w:rsidRPr="00E73F6F">
        <w:t>sonstige Formen der interkulturellen Zusammenarbeit bzw. Kooperation,</w:t>
      </w:r>
      <w:r w:rsidRPr="00E73F6F">
        <w:rPr>
          <w:spacing w:val="-6"/>
        </w:rPr>
        <w:t xml:space="preserve"> </w:t>
      </w:r>
      <w:r w:rsidRPr="00E73F6F">
        <w:t>welche</w:t>
      </w:r>
      <w:r w:rsidRPr="00E73F6F">
        <w:rPr>
          <w:spacing w:val="-6"/>
        </w:rPr>
        <w:t xml:space="preserve"> </w:t>
      </w:r>
      <w:r w:rsidRPr="00E73F6F">
        <w:t>der</w:t>
      </w:r>
      <w:r w:rsidRPr="00E73F6F">
        <w:rPr>
          <w:spacing w:val="-5"/>
        </w:rPr>
        <w:t xml:space="preserve"> </w:t>
      </w:r>
      <w:r w:rsidRPr="00E73F6F">
        <w:t>Markterschließung</w:t>
      </w:r>
      <w:r w:rsidRPr="00E73F6F">
        <w:rPr>
          <w:spacing w:val="-4"/>
        </w:rPr>
        <w:t xml:space="preserve"> </w:t>
      </w:r>
      <w:r w:rsidRPr="00E73F6F">
        <w:t>(vgl.</w:t>
      </w:r>
      <w:r w:rsidRPr="00E73F6F">
        <w:rPr>
          <w:spacing w:val="-5"/>
        </w:rPr>
        <w:t xml:space="preserve"> </w:t>
      </w:r>
      <w:r w:rsidRPr="00E73F6F">
        <w:t>z.B.</w:t>
      </w:r>
      <w:r w:rsidRPr="00E73F6F">
        <w:rPr>
          <w:spacing w:val="-6"/>
        </w:rPr>
        <w:t xml:space="preserve"> </w:t>
      </w:r>
      <w:r w:rsidRPr="00E73F6F">
        <w:t>Fischer</w:t>
      </w:r>
      <w:r w:rsidRPr="00E73F6F">
        <w:rPr>
          <w:spacing w:val="-5"/>
        </w:rPr>
        <w:t xml:space="preserve"> </w:t>
      </w:r>
      <w:r w:rsidRPr="00E73F6F">
        <w:t>1996) dienen, wie ein Export- oder Lizenzabkommen.</w:t>
      </w:r>
    </w:p>
    <w:p w14:paraId="1BD77CE8" w14:textId="77777777" w:rsidR="00FF7799" w:rsidRPr="00E73F6F" w:rsidRDefault="00FF7799" w:rsidP="0067540C">
      <w:pPr>
        <w:pStyle w:val="StandardText"/>
      </w:pPr>
      <w:r w:rsidRPr="00E73F6F">
        <w:lastRenderedPageBreak/>
        <w:t>Im Einzelnen werden dabei die Antezedenzen und Konsequenzen der Interaktion von Unternehmern, Führungskräften, Käufern, Verkäufern oder Anteilseignern untersucht, sofern diese über einen unterschiedlichen kulturellen Hintergrund verfügen und sich damit durch kulturell geprägte Eigenheiten voneinander unterscheiden. Abhängige Variablen sind dabei Risikobereitschaft, Kauf- bzw. Preisbereitschaft,</w:t>
      </w:r>
      <w:r w:rsidRPr="00E73F6F">
        <w:rPr>
          <w:spacing w:val="72"/>
        </w:rPr>
        <w:t xml:space="preserve"> </w:t>
      </w:r>
      <w:r w:rsidRPr="00E73F6F">
        <w:t>Konfliktverhalten,</w:t>
      </w:r>
      <w:r w:rsidRPr="00E73F6F">
        <w:rPr>
          <w:spacing w:val="73"/>
        </w:rPr>
        <w:t xml:space="preserve"> </w:t>
      </w:r>
      <w:r w:rsidRPr="00E73F6F">
        <w:t>Vorurteile,</w:t>
      </w:r>
      <w:r w:rsidRPr="00E73F6F">
        <w:rPr>
          <w:spacing w:val="71"/>
        </w:rPr>
        <w:t xml:space="preserve"> </w:t>
      </w:r>
      <w:r w:rsidRPr="00E73F6F">
        <w:t>Gesprächstechniken,</w:t>
      </w:r>
      <w:r w:rsidRPr="00E73F6F">
        <w:rPr>
          <w:spacing w:val="72"/>
        </w:rPr>
        <w:t xml:space="preserve"> </w:t>
      </w:r>
      <w:r w:rsidRPr="00E73F6F">
        <w:rPr>
          <w:spacing w:val="-2"/>
        </w:rPr>
        <w:t xml:space="preserve">Rituale, </w:t>
      </w:r>
      <w:r w:rsidRPr="00E73F6F">
        <w:t>Interpretation von Symbolen etc. Gegenstand des interkulturellen Ansatzes sind überdies Analysen, die der Konsumentenforschung zuzurechnen sind (vgl. Mennicken</w:t>
      </w:r>
      <w:r w:rsidRPr="00E73F6F">
        <w:rPr>
          <w:spacing w:val="-12"/>
        </w:rPr>
        <w:t xml:space="preserve"> </w:t>
      </w:r>
      <w:r w:rsidRPr="00E73F6F">
        <w:t>2000;</w:t>
      </w:r>
      <w:r w:rsidRPr="00E73F6F">
        <w:rPr>
          <w:spacing w:val="-11"/>
        </w:rPr>
        <w:t xml:space="preserve"> </w:t>
      </w:r>
      <w:r w:rsidR="001C1AD9">
        <w:t>U</w:t>
      </w:r>
      <w:r w:rsidRPr="00E73F6F">
        <w:t>sunier</w:t>
      </w:r>
      <w:r w:rsidRPr="00E73F6F">
        <w:rPr>
          <w:spacing w:val="-11"/>
        </w:rPr>
        <w:t xml:space="preserve"> </w:t>
      </w:r>
      <w:r w:rsidRPr="00E73F6F">
        <w:t>1996):</w:t>
      </w:r>
      <w:r w:rsidRPr="00E73F6F">
        <w:rPr>
          <w:spacing w:val="-11"/>
        </w:rPr>
        <w:t xml:space="preserve"> </w:t>
      </w:r>
      <w:r w:rsidRPr="00E73F6F">
        <w:t>Wie</w:t>
      </w:r>
      <w:r w:rsidRPr="00E73F6F">
        <w:rPr>
          <w:spacing w:val="-12"/>
        </w:rPr>
        <w:t xml:space="preserve"> </w:t>
      </w:r>
      <w:r w:rsidRPr="00E73F6F">
        <w:t>reagieren</w:t>
      </w:r>
      <w:r w:rsidRPr="00E73F6F">
        <w:rPr>
          <w:spacing w:val="-11"/>
        </w:rPr>
        <w:t xml:space="preserve"> </w:t>
      </w:r>
      <w:r w:rsidRPr="00E73F6F">
        <w:t>Verbraucher,</w:t>
      </w:r>
      <w:r w:rsidRPr="00E73F6F">
        <w:rPr>
          <w:spacing w:val="-11"/>
        </w:rPr>
        <w:t xml:space="preserve"> </w:t>
      </w:r>
      <w:r w:rsidRPr="00E73F6F">
        <w:t>die</w:t>
      </w:r>
      <w:r w:rsidRPr="00E73F6F">
        <w:rPr>
          <w:spacing w:val="-11"/>
        </w:rPr>
        <w:t xml:space="preserve"> </w:t>
      </w:r>
      <w:r w:rsidRPr="00E73F6F">
        <w:t>einer</w:t>
      </w:r>
      <w:r w:rsidRPr="00E73F6F">
        <w:rPr>
          <w:spacing w:val="-12"/>
        </w:rPr>
        <w:t xml:space="preserve"> </w:t>
      </w:r>
      <w:r w:rsidRPr="00E73F6F">
        <w:t>bestimmten Kultur angehören, auf Produkte (bzw. sonstige Artefakte) einer anderen Kultur? Die</w:t>
      </w:r>
      <w:r w:rsidRPr="00E73F6F">
        <w:rPr>
          <w:spacing w:val="-1"/>
        </w:rPr>
        <w:t xml:space="preserve"> </w:t>
      </w:r>
      <w:r w:rsidR="005251EC">
        <w:sym w:font="Symbol" w:char="F0DE"/>
      </w:r>
      <w:r w:rsidR="005251EC">
        <w:t xml:space="preserve"> </w:t>
      </w:r>
      <w:r w:rsidRPr="00E73F6F">
        <w:t>Country of</w:t>
      </w:r>
      <w:r w:rsidRPr="00E73F6F">
        <w:rPr>
          <w:spacing w:val="-1"/>
        </w:rPr>
        <w:t xml:space="preserve"> </w:t>
      </w:r>
      <w:r w:rsidR="005251EC">
        <w:t>Origin-Forschung</w:t>
      </w:r>
      <w:r w:rsidRPr="00E73F6F">
        <w:rPr>
          <w:spacing w:val="-1"/>
        </w:rPr>
        <w:t xml:space="preserve"> </w:t>
      </w:r>
      <w:r w:rsidRPr="00E73F6F">
        <w:t>bspw.</w:t>
      </w:r>
      <w:r w:rsidRPr="00E73F6F">
        <w:rPr>
          <w:spacing w:val="-3"/>
        </w:rPr>
        <w:t xml:space="preserve"> </w:t>
      </w:r>
      <w:r w:rsidRPr="00E73F6F">
        <w:t>untersucht, ob</w:t>
      </w:r>
      <w:r w:rsidRPr="00E73F6F">
        <w:rPr>
          <w:spacing w:val="-2"/>
        </w:rPr>
        <w:t xml:space="preserve"> </w:t>
      </w:r>
      <w:r w:rsidRPr="00E73F6F">
        <w:t>die</w:t>
      </w:r>
      <w:r w:rsidRPr="00E73F6F">
        <w:rPr>
          <w:spacing w:val="-1"/>
        </w:rPr>
        <w:t xml:space="preserve"> </w:t>
      </w:r>
      <w:r w:rsidRPr="00E73F6F">
        <w:t>Wahrscheinlichkeit, dass Konsumenten ein bestimmtes Produkt kaufen, von dessen Herkunftsland beeinflusst wird.</w:t>
      </w:r>
    </w:p>
    <w:p w14:paraId="34DF9DAF" w14:textId="77777777" w:rsidR="00FF7799" w:rsidRPr="00EA5DE3" w:rsidRDefault="00FF7799" w:rsidP="0067540C">
      <w:pPr>
        <w:pStyle w:val="StandardText"/>
        <w:rPr>
          <w:spacing w:val="-2"/>
          <w:sz w:val="22"/>
          <w:szCs w:val="22"/>
        </w:rPr>
      </w:pPr>
      <w:r w:rsidRPr="00EA5DE3">
        <w:rPr>
          <w:b/>
          <w:i/>
          <w:sz w:val="22"/>
          <w:szCs w:val="22"/>
          <w:lang w:val="en-US"/>
        </w:rPr>
        <w:t>Literatur:</w:t>
      </w:r>
      <w:r w:rsidRPr="00EA5DE3">
        <w:rPr>
          <w:b/>
          <w:sz w:val="22"/>
          <w:szCs w:val="22"/>
          <w:lang w:val="en-US"/>
        </w:rPr>
        <w:t xml:space="preserve"> </w:t>
      </w:r>
      <w:r w:rsidRPr="00EA5DE3">
        <w:rPr>
          <w:sz w:val="22"/>
          <w:szCs w:val="22"/>
          <w:lang w:val="en-US"/>
        </w:rPr>
        <w:t>Adler, N.J. (1986): From the Atlantic to the Pacific Century. Cross Cultural</w:t>
      </w:r>
      <w:r w:rsidRPr="00EA5DE3">
        <w:rPr>
          <w:spacing w:val="40"/>
          <w:sz w:val="22"/>
          <w:szCs w:val="22"/>
          <w:lang w:val="en-US"/>
        </w:rPr>
        <w:t xml:space="preserve"> </w:t>
      </w:r>
      <w:r w:rsidRPr="00EA5DE3">
        <w:rPr>
          <w:sz w:val="22"/>
          <w:szCs w:val="22"/>
          <w:lang w:val="en-US"/>
        </w:rPr>
        <w:t>Management Reviewed, Journal of Management, 12(2): 295-318.</w:t>
      </w:r>
      <w:r w:rsidRPr="00EA5DE3">
        <w:rPr>
          <w:spacing w:val="40"/>
          <w:sz w:val="22"/>
          <w:szCs w:val="22"/>
          <w:lang w:val="en-US"/>
        </w:rPr>
        <w:t xml:space="preserve"> </w:t>
      </w:r>
      <w:r w:rsidRPr="00EA5DE3">
        <w:rPr>
          <w:sz w:val="22"/>
          <w:szCs w:val="22"/>
          <w:lang w:val="en-US"/>
        </w:rPr>
        <w:t>Barksdale, H.C.;</w:t>
      </w:r>
      <w:r w:rsidRPr="00EA5DE3">
        <w:rPr>
          <w:spacing w:val="40"/>
          <w:sz w:val="22"/>
          <w:szCs w:val="22"/>
          <w:lang w:val="en-US"/>
        </w:rPr>
        <w:t xml:space="preserve"> </w:t>
      </w:r>
      <w:r w:rsidRPr="00EA5DE3">
        <w:rPr>
          <w:sz w:val="22"/>
          <w:szCs w:val="22"/>
          <w:lang w:val="en-US"/>
        </w:rPr>
        <w:t>Anderson, L.M. (1982): Comparative Marketing. A Review of the Literature, Journal of</w:t>
      </w:r>
      <w:r w:rsidRPr="00EA5DE3">
        <w:rPr>
          <w:spacing w:val="40"/>
          <w:sz w:val="22"/>
          <w:szCs w:val="22"/>
          <w:lang w:val="en-US"/>
        </w:rPr>
        <w:t xml:space="preserve"> </w:t>
      </w:r>
      <w:r w:rsidRPr="00EA5DE3">
        <w:rPr>
          <w:sz w:val="22"/>
          <w:szCs w:val="22"/>
          <w:lang w:val="en-US"/>
        </w:rPr>
        <w:t>Macromarketing, 2(1): 57-62.</w:t>
      </w:r>
      <w:r w:rsidRPr="00EA5DE3">
        <w:rPr>
          <w:spacing w:val="40"/>
          <w:sz w:val="22"/>
          <w:szCs w:val="22"/>
          <w:lang w:val="en-US"/>
        </w:rPr>
        <w:t xml:space="preserve"> </w:t>
      </w:r>
      <w:r w:rsidRPr="00EA5DE3">
        <w:rPr>
          <w:sz w:val="22"/>
          <w:szCs w:val="22"/>
          <w:lang w:val="en-US"/>
        </w:rPr>
        <w:t>Bartels, R. (1964): A Methodological Framework for</w:t>
      </w:r>
      <w:r w:rsidRPr="00EA5DE3">
        <w:rPr>
          <w:spacing w:val="40"/>
          <w:sz w:val="22"/>
          <w:szCs w:val="22"/>
          <w:lang w:val="en-US"/>
        </w:rPr>
        <w:t xml:space="preserve"> </w:t>
      </w:r>
      <w:r w:rsidRPr="00EA5DE3">
        <w:rPr>
          <w:sz w:val="22"/>
          <w:szCs w:val="22"/>
          <w:lang w:val="en-US"/>
        </w:rPr>
        <w:t>Comparative Marketing Study, in: Geyser, S.A. (Ed.), Toward Scientific Marketing,</w:t>
      </w:r>
      <w:r w:rsidRPr="00EA5DE3">
        <w:rPr>
          <w:spacing w:val="40"/>
          <w:sz w:val="22"/>
          <w:szCs w:val="22"/>
          <w:lang w:val="en-US"/>
        </w:rPr>
        <w:t xml:space="preserve"> </w:t>
      </w:r>
      <w:r w:rsidRPr="00EA5DE3">
        <w:rPr>
          <w:sz w:val="22"/>
          <w:szCs w:val="22"/>
          <w:lang w:val="en-US"/>
        </w:rPr>
        <w:t>Proceedings of the Winter Conference of the American Marketing Association, 383-390,</w:t>
      </w:r>
      <w:r w:rsidRPr="00EA5DE3">
        <w:rPr>
          <w:spacing w:val="40"/>
          <w:sz w:val="22"/>
          <w:szCs w:val="22"/>
          <w:lang w:val="en-US"/>
        </w:rPr>
        <w:t xml:space="preserve"> </w:t>
      </w:r>
      <w:r w:rsidRPr="00EA5DE3">
        <w:rPr>
          <w:sz w:val="22"/>
          <w:szCs w:val="22"/>
          <w:lang w:val="en-US"/>
        </w:rPr>
        <w:t>Chicago.</w:t>
      </w:r>
      <w:r w:rsidRPr="00EA5DE3">
        <w:rPr>
          <w:spacing w:val="40"/>
          <w:sz w:val="22"/>
          <w:szCs w:val="22"/>
          <w:lang w:val="en-US"/>
        </w:rPr>
        <w:t xml:space="preserve"> </w:t>
      </w:r>
      <w:r w:rsidRPr="00EA5DE3">
        <w:rPr>
          <w:sz w:val="22"/>
          <w:szCs w:val="22"/>
          <w:lang w:val="en-US"/>
        </w:rPr>
        <w:t>Bartels,</w:t>
      </w:r>
      <w:r w:rsidRPr="00EA5DE3">
        <w:rPr>
          <w:spacing w:val="-9"/>
          <w:sz w:val="22"/>
          <w:szCs w:val="22"/>
          <w:lang w:val="en-US"/>
        </w:rPr>
        <w:t xml:space="preserve"> </w:t>
      </w:r>
      <w:r w:rsidRPr="00EA5DE3">
        <w:rPr>
          <w:sz w:val="22"/>
          <w:szCs w:val="22"/>
          <w:lang w:val="en-US"/>
        </w:rPr>
        <w:t>R.</w:t>
      </w:r>
      <w:r w:rsidRPr="00EA5DE3">
        <w:rPr>
          <w:spacing w:val="-6"/>
          <w:sz w:val="22"/>
          <w:szCs w:val="22"/>
          <w:lang w:val="en-US"/>
        </w:rPr>
        <w:t xml:space="preserve"> </w:t>
      </w:r>
      <w:r w:rsidRPr="00EA5DE3">
        <w:rPr>
          <w:sz w:val="22"/>
          <w:szCs w:val="22"/>
          <w:lang w:val="en-US"/>
        </w:rPr>
        <w:t>(1968):</w:t>
      </w:r>
      <w:r w:rsidRPr="00EA5DE3">
        <w:rPr>
          <w:spacing w:val="-7"/>
          <w:sz w:val="22"/>
          <w:szCs w:val="22"/>
          <w:lang w:val="en-US"/>
        </w:rPr>
        <w:t xml:space="preserve"> </w:t>
      </w:r>
      <w:r w:rsidRPr="00EA5DE3">
        <w:rPr>
          <w:sz w:val="22"/>
          <w:szCs w:val="22"/>
          <w:lang w:val="en-US"/>
        </w:rPr>
        <w:t>Are</w:t>
      </w:r>
      <w:r w:rsidRPr="00EA5DE3">
        <w:rPr>
          <w:spacing w:val="-7"/>
          <w:sz w:val="22"/>
          <w:szCs w:val="22"/>
          <w:lang w:val="en-US"/>
        </w:rPr>
        <w:t xml:space="preserve"> </w:t>
      </w:r>
      <w:r w:rsidRPr="00EA5DE3">
        <w:rPr>
          <w:sz w:val="22"/>
          <w:szCs w:val="22"/>
          <w:lang w:val="en-US"/>
        </w:rPr>
        <w:t>Domestic</w:t>
      </w:r>
      <w:r w:rsidRPr="00EA5DE3">
        <w:rPr>
          <w:spacing w:val="-7"/>
          <w:sz w:val="22"/>
          <w:szCs w:val="22"/>
          <w:lang w:val="en-US"/>
        </w:rPr>
        <w:t xml:space="preserve"> </w:t>
      </w:r>
      <w:r w:rsidRPr="00EA5DE3">
        <w:rPr>
          <w:sz w:val="22"/>
          <w:szCs w:val="22"/>
          <w:lang w:val="en-US"/>
        </w:rPr>
        <w:t>and</w:t>
      </w:r>
      <w:r w:rsidRPr="00EA5DE3">
        <w:rPr>
          <w:spacing w:val="-7"/>
          <w:sz w:val="22"/>
          <w:szCs w:val="22"/>
          <w:lang w:val="en-US"/>
        </w:rPr>
        <w:t xml:space="preserve"> </w:t>
      </w:r>
      <w:r w:rsidRPr="00EA5DE3">
        <w:rPr>
          <w:sz w:val="22"/>
          <w:szCs w:val="22"/>
          <w:lang w:val="en-US"/>
        </w:rPr>
        <w:t>International</w:t>
      </w:r>
      <w:r w:rsidRPr="00EA5DE3">
        <w:rPr>
          <w:spacing w:val="-7"/>
          <w:sz w:val="22"/>
          <w:szCs w:val="22"/>
          <w:lang w:val="en-US"/>
        </w:rPr>
        <w:t xml:space="preserve"> </w:t>
      </w:r>
      <w:r w:rsidRPr="00EA5DE3">
        <w:rPr>
          <w:sz w:val="22"/>
          <w:szCs w:val="22"/>
          <w:lang w:val="en-US"/>
        </w:rPr>
        <w:t>Marketing</w:t>
      </w:r>
      <w:r w:rsidRPr="00EA5DE3">
        <w:rPr>
          <w:spacing w:val="-7"/>
          <w:sz w:val="22"/>
          <w:szCs w:val="22"/>
          <w:lang w:val="en-US"/>
        </w:rPr>
        <w:t xml:space="preserve"> </w:t>
      </w:r>
      <w:r w:rsidRPr="00EA5DE3">
        <w:rPr>
          <w:sz w:val="22"/>
          <w:szCs w:val="22"/>
          <w:lang w:val="en-US"/>
        </w:rPr>
        <w:t>Dissimilar?</w:t>
      </w:r>
      <w:r w:rsidRPr="00EA5DE3">
        <w:rPr>
          <w:spacing w:val="-4"/>
          <w:sz w:val="22"/>
          <w:szCs w:val="22"/>
          <w:lang w:val="en-US"/>
        </w:rPr>
        <w:t xml:space="preserve"> </w:t>
      </w:r>
      <w:r w:rsidRPr="00EA5DE3">
        <w:rPr>
          <w:sz w:val="22"/>
          <w:szCs w:val="22"/>
          <w:lang w:val="en-US"/>
        </w:rPr>
        <w:t>Journal</w:t>
      </w:r>
      <w:r w:rsidRPr="00EA5DE3">
        <w:rPr>
          <w:spacing w:val="40"/>
          <w:sz w:val="22"/>
          <w:szCs w:val="22"/>
          <w:lang w:val="en-US"/>
        </w:rPr>
        <w:t xml:space="preserve"> </w:t>
      </w:r>
      <w:r w:rsidRPr="00EA5DE3">
        <w:rPr>
          <w:sz w:val="22"/>
          <w:szCs w:val="22"/>
          <w:lang w:val="en-US"/>
        </w:rPr>
        <w:t>of Marketing, 32(3): 55-61.</w:t>
      </w:r>
      <w:r w:rsidRPr="00EA5DE3">
        <w:rPr>
          <w:spacing w:val="40"/>
          <w:sz w:val="22"/>
          <w:szCs w:val="22"/>
          <w:lang w:val="en-US"/>
        </w:rPr>
        <w:t xml:space="preserve"> </w:t>
      </w:r>
      <w:r w:rsidRPr="00EA5DE3">
        <w:rPr>
          <w:sz w:val="22"/>
          <w:szCs w:val="22"/>
        </w:rPr>
        <w:t>Bergemann, N.; Sourisseaux, A.L.J. (Hrsg.) (2003):</w:t>
      </w:r>
      <w:r w:rsidRPr="00EA5DE3">
        <w:rPr>
          <w:spacing w:val="40"/>
          <w:sz w:val="22"/>
          <w:szCs w:val="22"/>
        </w:rPr>
        <w:t xml:space="preserve"> </w:t>
      </w:r>
      <w:r w:rsidRPr="00EA5DE3">
        <w:rPr>
          <w:sz w:val="22"/>
          <w:szCs w:val="22"/>
        </w:rPr>
        <w:t>Interkulturelles Management, 3. Aufl., Berlin: Springer.</w:t>
      </w:r>
      <w:r w:rsidRPr="00EA5DE3">
        <w:rPr>
          <w:spacing w:val="40"/>
          <w:sz w:val="22"/>
          <w:szCs w:val="22"/>
        </w:rPr>
        <w:t xml:space="preserve"> </w:t>
      </w:r>
      <w:r w:rsidRPr="00EA5DE3">
        <w:rPr>
          <w:sz w:val="22"/>
          <w:szCs w:val="22"/>
          <w:lang w:val="en-US"/>
        </w:rPr>
        <w:t>Boddewyn, J.J. (1981):</w:t>
      </w:r>
      <w:r w:rsidRPr="00EA5DE3">
        <w:rPr>
          <w:spacing w:val="40"/>
          <w:sz w:val="22"/>
          <w:szCs w:val="22"/>
          <w:lang w:val="en-US"/>
        </w:rPr>
        <w:t xml:space="preserve"> </w:t>
      </w:r>
      <w:r w:rsidRPr="00EA5DE3">
        <w:rPr>
          <w:sz w:val="22"/>
          <w:szCs w:val="22"/>
          <w:lang w:val="en-US"/>
        </w:rPr>
        <w:t>Comparative Marketing: The First Twenty-Five Years, Journal of International Business</w:t>
      </w:r>
      <w:r w:rsidRPr="00EA5DE3">
        <w:rPr>
          <w:spacing w:val="40"/>
          <w:sz w:val="22"/>
          <w:szCs w:val="22"/>
          <w:lang w:val="en-US"/>
        </w:rPr>
        <w:t xml:space="preserve"> </w:t>
      </w:r>
      <w:r w:rsidRPr="00EA5DE3">
        <w:rPr>
          <w:sz w:val="22"/>
          <w:szCs w:val="22"/>
          <w:lang w:val="en-US"/>
        </w:rPr>
        <w:t>Studies, 12(1): 61-79.</w:t>
      </w:r>
      <w:r w:rsidRPr="00EA5DE3">
        <w:rPr>
          <w:spacing w:val="40"/>
          <w:sz w:val="22"/>
          <w:szCs w:val="22"/>
          <w:lang w:val="en-US"/>
        </w:rPr>
        <w:t xml:space="preserve"> </w:t>
      </w:r>
      <w:r w:rsidRPr="00EA5DE3">
        <w:rPr>
          <w:sz w:val="22"/>
          <w:szCs w:val="22"/>
          <w:lang w:val="en-US"/>
        </w:rPr>
        <w:t>Etemad, H. (1982): Toward a Generalized Model for Comparative</w:t>
      </w:r>
      <w:r w:rsidRPr="00EA5DE3">
        <w:rPr>
          <w:spacing w:val="40"/>
          <w:sz w:val="22"/>
          <w:szCs w:val="22"/>
          <w:lang w:val="en-US"/>
        </w:rPr>
        <w:t xml:space="preserve"> </w:t>
      </w:r>
      <w:r w:rsidRPr="00EA5DE3">
        <w:rPr>
          <w:sz w:val="22"/>
          <w:szCs w:val="22"/>
          <w:lang w:val="en-US"/>
        </w:rPr>
        <w:t>Marketing,</w:t>
      </w:r>
      <w:r w:rsidRPr="00EA5DE3">
        <w:rPr>
          <w:spacing w:val="-5"/>
          <w:sz w:val="22"/>
          <w:szCs w:val="22"/>
          <w:lang w:val="en-US"/>
        </w:rPr>
        <w:t xml:space="preserve"> </w:t>
      </w:r>
      <w:r w:rsidRPr="00EA5DE3">
        <w:rPr>
          <w:sz w:val="22"/>
          <w:szCs w:val="22"/>
          <w:lang w:val="en-US"/>
        </w:rPr>
        <w:t>Report</w:t>
      </w:r>
      <w:r w:rsidRPr="00EA5DE3">
        <w:rPr>
          <w:spacing w:val="-5"/>
          <w:sz w:val="22"/>
          <w:szCs w:val="22"/>
          <w:lang w:val="en-US"/>
        </w:rPr>
        <w:t xml:space="preserve"> </w:t>
      </w:r>
      <w:r w:rsidRPr="00EA5DE3">
        <w:rPr>
          <w:sz w:val="22"/>
          <w:szCs w:val="22"/>
          <w:lang w:val="en-US"/>
        </w:rPr>
        <w:t>of</w:t>
      </w:r>
      <w:r w:rsidRPr="00EA5DE3">
        <w:rPr>
          <w:spacing w:val="-4"/>
          <w:sz w:val="22"/>
          <w:szCs w:val="22"/>
          <w:lang w:val="en-US"/>
        </w:rPr>
        <w:t xml:space="preserve"> </w:t>
      </w:r>
      <w:r w:rsidRPr="00EA5DE3">
        <w:rPr>
          <w:sz w:val="22"/>
          <w:szCs w:val="22"/>
          <w:lang w:val="en-US"/>
        </w:rPr>
        <w:t>the</w:t>
      </w:r>
      <w:r w:rsidRPr="00EA5DE3">
        <w:rPr>
          <w:spacing w:val="-5"/>
          <w:sz w:val="22"/>
          <w:szCs w:val="22"/>
          <w:lang w:val="en-US"/>
        </w:rPr>
        <w:t xml:space="preserve"> </w:t>
      </w:r>
      <w:r w:rsidRPr="00EA5DE3">
        <w:rPr>
          <w:sz w:val="22"/>
          <w:szCs w:val="22"/>
          <w:lang w:val="en-US"/>
        </w:rPr>
        <w:t>Conference</w:t>
      </w:r>
      <w:r w:rsidRPr="00EA5DE3">
        <w:rPr>
          <w:spacing w:val="-7"/>
          <w:sz w:val="22"/>
          <w:szCs w:val="22"/>
          <w:lang w:val="en-US"/>
        </w:rPr>
        <w:t xml:space="preserve"> </w:t>
      </w:r>
      <w:r w:rsidRPr="00EA5DE3">
        <w:rPr>
          <w:sz w:val="22"/>
          <w:szCs w:val="22"/>
          <w:lang w:val="en-US"/>
        </w:rPr>
        <w:t>on</w:t>
      </w:r>
      <w:r w:rsidRPr="00EA5DE3">
        <w:rPr>
          <w:spacing w:val="-4"/>
          <w:sz w:val="22"/>
          <w:szCs w:val="22"/>
          <w:lang w:val="en-US"/>
        </w:rPr>
        <w:t xml:space="preserve"> </w:t>
      </w:r>
      <w:r w:rsidRPr="00EA5DE3">
        <w:rPr>
          <w:sz w:val="22"/>
          <w:szCs w:val="22"/>
          <w:lang w:val="en-US"/>
        </w:rPr>
        <w:t>“International</w:t>
      </w:r>
      <w:r w:rsidRPr="00EA5DE3">
        <w:rPr>
          <w:spacing w:val="-7"/>
          <w:sz w:val="22"/>
          <w:szCs w:val="22"/>
          <w:lang w:val="en-US"/>
        </w:rPr>
        <w:t xml:space="preserve"> </w:t>
      </w:r>
      <w:r w:rsidRPr="00EA5DE3">
        <w:rPr>
          <w:sz w:val="22"/>
          <w:szCs w:val="22"/>
          <w:lang w:val="en-US"/>
        </w:rPr>
        <w:t>Marketing</w:t>
      </w:r>
      <w:r w:rsidRPr="00EA5DE3">
        <w:rPr>
          <w:spacing w:val="-4"/>
          <w:sz w:val="22"/>
          <w:szCs w:val="22"/>
          <w:lang w:val="en-US"/>
        </w:rPr>
        <w:t xml:space="preserve"> </w:t>
      </w:r>
      <w:r w:rsidRPr="00EA5DE3">
        <w:rPr>
          <w:sz w:val="22"/>
          <w:szCs w:val="22"/>
          <w:lang w:val="en-US"/>
        </w:rPr>
        <w:t>in</w:t>
      </w:r>
      <w:r w:rsidRPr="00EA5DE3">
        <w:rPr>
          <w:spacing w:val="-5"/>
          <w:sz w:val="22"/>
          <w:szCs w:val="22"/>
          <w:lang w:val="en-US"/>
        </w:rPr>
        <w:t xml:space="preserve"> </w:t>
      </w:r>
      <w:r w:rsidRPr="00EA5DE3">
        <w:rPr>
          <w:sz w:val="22"/>
          <w:szCs w:val="22"/>
          <w:lang w:val="en-US"/>
        </w:rPr>
        <w:t>the</w:t>
      </w:r>
      <w:r w:rsidRPr="00EA5DE3">
        <w:rPr>
          <w:spacing w:val="-5"/>
          <w:sz w:val="22"/>
          <w:szCs w:val="22"/>
          <w:lang w:val="en-US"/>
        </w:rPr>
        <w:t xml:space="preserve"> </w:t>
      </w:r>
      <w:r w:rsidRPr="00EA5DE3">
        <w:rPr>
          <w:sz w:val="22"/>
          <w:szCs w:val="22"/>
          <w:lang w:val="en-US"/>
        </w:rPr>
        <w:t>1980´s</w:t>
      </w:r>
      <w:r w:rsidRPr="00EA5DE3">
        <w:rPr>
          <w:spacing w:val="-6"/>
          <w:sz w:val="22"/>
          <w:szCs w:val="22"/>
          <w:lang w:val="en-US"/>
        </w:rPr>
        <w:t xml:space="preserve"> </w:t>
      </w:r>
      <w:r w:rsidRPr="00EA5DE3">
        <w:rPr>
          <w:sz w:val="22"/>
          <w:szCs w:val="22"/>
          <w:lang w:val="en-US"/>
        </w:rPr>
        <w:t>and</w:t>
      </w:r>
      <w:r w:rsidRPr="00EA5DE3">
        <w:rPr>
          <w:spacing w:val="-4"/>
          <w:sz w:val="22"/>
          <w:szCs w:val="22"/>
          <w:lang w:val="en-US"/>
        </w:rPr>
        <w:t xml:space="preserve"> </w:t>
      </w:r>
      <w:r w:rsidRPr="00EA5DE3">
        <w:rPr>
          <w:sz w:val="22"/>
          <w:szCs w:val="22"/>
          <w:lang w:val="en-US"/>
        </w:rPr>
        <w:t>Beyond,</w:t>
      </w:r>
      <w:r w:rsidRPr="00EA5DE3">
        <w:rPr>
          <w:spacing w:val="40"/>
          <w:sz w:val="22"/>
          <w:szCs w:val="22"/>
          <w:lang w:val="en-US"/>
        </w:rPr>
        <w:t xml:space="preserve"> </w:t>
      </w:r>
      <w:r w:rsidRPr="00EA5DE3">
        <w:rPr>
          <w:sz w:val="22"/>
          <w:szCs w:val="22"/>
          <w:lang w:val="en-US"/>
        </w:rPr>
        <w:t>Problems</w:t>
      </w:r>
      <w:r w:rsidRPr="00EA5DE3">
        <w:rPr>
          <w:spacing w:val="-2"/>
          <w:sz w:val="22"/>
          <w:szCs w:val="22"/>
          <w:lang w:val="en-US"/>
        </w:rPr>
        <w:t xml:space="preserve"> </w:t>
      </w:r>
      <w:r w:rsidRPr="00EA5DE3">
        <w:rPr>
          <w:sz w:val="22"/>
          <w:szCs w:val="22"/>
          <w:lang w:val="en-US"/>
        </w:rPr>
        <w:t>and</w:t>
      </w:r>
      <w:r w:rsidRPr="00EA5DE3">
        <w:rPr>
          <w:spacing w:val="-1"/>
          <w:sz w:val="22"/>
          <w:szCs w:val="22"/>
          <w:lang w:val="en-US"/>
        </w:rPr>
        <w:t xml:space="preserve"> </w:t>
      </w:r>
      <w:r w:rsidRPr="00EA5DE3">
        <w:rPr>
          <w:sz w:val="22"/>
          <w:szCs w:val="22"/>
          <w:lang w:val="en-US"/>
        </w:rPr>
        <w:t>Challenges”,</w:t>
      </w:r>
      <w:r w:rsidRPr="00EA5DE3">
        <w:rPr>
          <w:spacing w:val="-1"/>
          <w:sz w:val="22"/>
          <w:szCs w:val="22"/>
          <w:lang w:val="en-US"/>
        </w:rPr>
        <w:t xml:space="preserve"> </w:t>
      </w:r>
      <w:r w:rsidRPr="00EA5DE3">
        <w:rPr>
          <w:sz w:val="22"/>
          <w:szCs w:val="22"/>
          <w:lang w:val="en-US"/>
        </w:rPr>
        <w:t>The</w:t>
      </w:r>
      <w:r w:rsidRPr="00EA5DE3">
        <w:rPr>
          <w:spacing w:val="-1"/>
          <w:sz w:val="22"/>
          <w:szCs w:val="22"/>
          <w:lang w:val="en-US"/>
        </w:rPr>
        <w:t xml:space="preserve"> </w:t>
      </w:r>
      <w:r w:rsidRPr="00EA5DE3">
        <w:rPr>
          <w:sz w:val="22"/>
          <w:szCs w:val="22"/>
          <w:lang w:val="en-US"/>
        </w:rPr>
        <w:t>Netherlands</w:t>
      </w:r>
      <w:r w:rsidRPr="00EA5DE3">
        <w:rPr>
          <w:spacing w:val="-2"/>
          <w:sz w:val="22"/>
          <w:szCs w:val="22"/>
          <w:lang w:val="en-US"/>
        </w:rPr>
        <w:t xml:space="preserve"> </w:t>
      </w:r>
      <w:r w:rsidRPr="00EA5DE3">
        <w:rPr>
          <w:sz w:val="22"/>
          <w:szCs w:val="22"/>
          <w:lang w:val="en-US"/>
        </w:rPr>
        <w:t>School</w:t>
      </w:r>
      <w:r w:rsidRPr="00EA5DE3">
        <w:rPr>
          <w:spacing w:val="-3"/>
          <w:sz w:val="22"/>
          <w:szCs w:val="22"/>
          <w:lang w:val="en-US"/>
        </w:rPr>
        <w:t xml:space="preserve"> </w:t>
      </w:r>
      <w:r w:rsidRPr="00EA5DE3">
        <w:rPr>
          <w:sz w:val="22"/>
          <w:szCs w:val="22"/>
          <w:lang w:val="en-US"/>
        </w:rPr>
        <w:t>of</w:t>
      </w:r>
      <w:r w:rsidRPr="00EA5DE3">
        <w:rPr>
          <w:spacing w:val="-3"/>
          <w:sz w:val="22"/>
          <w:szCs w:val="22"/>
          <w:lang w:val="en-US"/>
        </w:rPr>
        <w:t xml:space="preserve"> </w:t>
      </w:r>
      <w:r w:rsidRPr="00EA5DE3">
        <w:rPr>
          <w:sz w:val="22"/>
          <w:szCs w:val="22"/>
          <w:lang w:val="en-US"/>
        </w:rPr>
        <w:t>Business,</w:t>
      </w:r>
      <w:r w:rsidRPr="00EA5DE3">
        <w:rPr>
          <w:spacing w:val="-1"/>
          <w:sz w:val="22"/>
          <w:szCs w:val="22"/>
          <w:lang w:val="en-US"/>
        </w:rPr>
        <w:t xml:space="preserve"> </w:t>
      </w:r>
      <w:r w:rsidRPr="00EA5DE3">
        <w:rPr>
          <w:sz w:val="22"/>
          <w:szCs w:val="22"/>
          <w:lang w:val="en-US"/>
        </w:rPr>
        <w:t>Nijenrode</w:t>
      </w:r>
      <w:r w:rsidRPr="00EA5DE3">
        <w:rPr>
          <w:spacing w:val="-3"/>
          <w:sz w:val="22"/>
          <w:szCs w:val="22"/>
          <w:lang w:val="en-US"/>
        </w:rPr>
        <w:t xml:space="preserve"> </w:t>
      </w:r>
      <w:r w:rsidRPr="00EA5DE3">
        <w:rPr>
          <w:sz w:val="22"/>
          <w:szCs w:val="22"/>
          <w:lang w:val="en-US"/>
        </w:rPr>
        <w:t>1982.</w:t>
      </w:r>
      <w:r w:rsidRPr="00EA5DE3">
        <w:rPr>
          <w:spacing w:val="80"/>
          <w:sz w:val="22"/>
          <w:szCs w:val="22"/>
          <w:lang w:val="en-US"/>
        </w:rPr>
        <w:t xml:space="preserve"> </w:t>
      </w:r>
      <w:r w:rsidRPr="00EA5DE3">
        <w:rPr>
          <w:sz w:val="22"/>
          <w:szCs w:val="22"/>
        </w:rPr>
        <w:t>Fischer, M. (1996): Interkulturelle Herausforderungen im Frankreichgeschäft, Wiesbaden: DUV.</w:t>
      </w:r>
      <w:r w:rsidRPr="00EA5DE3">
        <w:rPr>
          <w:spacing w:val="40"/>
          <w:sz w:val="22"/>
          <w:szCs w:val="22"/>
        </w:rPr>
        <w:t xml:space="preserve"> </w:t>
      </w:r>
      <w:r w:rsidRPr="00EA5DE3">
        <w:rPr>
          <w:sz w:val="22"/>
          <w:szCs w:val="22"/>
        </w:rPr>
        <w:t>Forstmann, S. (1994): Kulturelle Unterschiede bei grenzüberschreitenden Akquisitionen,</w:t>
      </w:r>
      <w:r w:rsidRPr="00EA5DE3">
        <w:rPr>
          <w:spacing w:val="40"/>
          <w:sz w:val="22"/>
          <w:szCs w:val="22"/>
        </w:rPr>
        <w:t xml:space="preserve"> </w:t>
      </w:r>
      <w:r w:rsidRPr="00EA5DE3">
        <w:rPr>
          <w:sz w:val="22"/>
          <w:szCs w:val="22"/>
        </w:rPr>
        <w:t>Konstanz: Universitätsverlag Konstanz. Haussmann, H. (2002): Kulturelle</w:t>
      </w:r>
      <w:r w:rsidRPr="00EA5DE3">
        <w:rPr>
          <w:spacing w:val="40"/>
          <w:sz w:val="22"/>
          <w:szCs w:val="22"/>
        </w:rPr>
        <w:t xml:space="preserve"> </w:t>
      </w:r>
      <w:r w:rsidRPr="00EA5DE3">
        <w:rPr>
          <w:sz w:val="22"/>
          <w:szCs w:val="22"/>
        </w:rPr>
        <w:t>Integrationsprobleme bei internationalen Merger &amp; Acquisitions, in: Macharzina, K.;</w:t>
      </w:r>
      <w:r w:rsidRPr="00EA5DE3">
        <w:rPr>
          <w:spacing w:val="40"/>
          <w:sz w:val="22"/>
          <w:szCs w:val="22"/>
        </w:rPr>
        <w:t xml:space="preserve"> </w:t>
      </w:r>
      <w:r w:rsidRPr="00EA5DE3">
        <w:rPr>
          <w:sz w:val="22"/>
          <w:szCs w:val="22"/>
        </w:rPr>
        <w:t xml:space="preserve">Oesterle, M.-J. (Hrsg.), Handbuch Internationales Management, 2. </w:t>
      </w:r>
      <w:r w:rsidRPr="00EA5DE3">
        <w:rPr>
          <w:sz w:val="22"/>
          <w:szCs w:val="22"/>
          <w:lang w:val="en-US"/>
        </w:rPr>
        <w:t>Aufl., 909-922,</w:t>
      </w:r>
      <w:r w:rsidRPr="00EA5DE3">
        <w:rPr>
          <w:spacing w:val="40"/>
          <w:sz w:val="22"/>
          <w:szCs w:val="22"/>
          <w:lang w:val="en-US"/>
        </w:rPr>
        <w:t xml:space="preserve"> </w:t>
      </w:r>
      <w:r w:rsidRPr="00EA5DE3">
        <w:rPr>
          <w:sz w:val="22"/>
          <w:szCs w:val="22"/>
          <w:lang w:val="en-US"/>
        </w:rPr>
        <w:t>Wiesbaden: Gabler:</w:t>
      </w:r>
      <w:r w:rsidRPr="00EA5DE3">
        <w:rPr>
          <w:spacing w:val="40"/>
          <w:sz w:val="22"/>
          <w:szCs w:val="22"/>
          <w:lang w:val="en-US"/>
        </w:rPr>
        <w:t xml:space="preserve"> </w:t>
      </w:r>
      <w:r w:rsidRPr="00EA5DE3">
        <w:rPr>
          <w:sz w:val="22"/>
          <w:szCs w:val="22"/>
          <w:lang w:val="en-US"/>
        </w:rPr>
        <w:t>Hendon, D.; Hendon, R.; Herbig, P. (1996): Cross-Cultural Business</w:t>
      </w:r>
      <w:r w:rsidRPr="00EA5DE3">
        <w:rPr>
          <w:spacing w:val="40"/>
          <w:sz w:val="22"/>
          <w:szCs w:val="22"/>
          <w:lang w:val="en-US"/>
        </w:rPr>
        <w:t xml:space="preserve"> </w:t>
      </w:r>
      <w:r w:rsidRPr="00EA5DE3">
        <w:rPr>
          <w:sz w:val="22"/>
          <w:szCs w:val="22"/>
          <w:lang w:val="en-US"/>
        </w:rPr>
        <w:t>Negotiations, London/UK:</w:t>
      </w:r>
      <w:r w:rsidRPr="00EA5DE3">
        <w:rPr>
          <w:spacing w:val="-2"/>
          <w:sz w:val="22"/>
          <w:szCs w:val="22"/>
          <w:lang w:val="en-US"/>
        </w:rPr>
        <w:t xml:space="preserve"> </w:t>
      </w:r>
      <w:r w:rsidRPr="00EA5DE3">
        <w:rPr>
          <w:sz w:val="22"/>
          <w:szCs w:val="22"/>
          <w:lang w:val="en-US"/>
        </w:rPr>
        <w:t>Oxford University Press.</w:t>
      </w:r>
      <w:r w:rsidRPr="00EA5DE3">
        <w:rPr>
          <w:spacing w:val="40"/>
          <w:sz w:val="22"/>
          <w:szCs w:val="22"/>
          <w:lang w:val="en-US"/>
        </w:rPr>
        <w:t xml:space="preserve"> </w:t>
      </w:r>
      <w:r w:rsidRPr="00EA5DE3">
        <w:rPr>
          <w:sz w:val="22"/>
          <w:szCs w:val="22"/>
          <w:lang w:val="en-US"/>
        </w:rPr>
        <w:t>Jaffe, E.D. (1980):</w:t>
      </w:r>
      <w:r w:rsidRPr="00EA5DE3">
        <w:rPr>
          <w:spacing w:val="-2"/>
          <w:sz w:val="22"/>
          <w:szCs w:val="22"/>
          <w:lang w:val="en-US"/>
        </w:rPr>
        <w:t xml:space="preserve"> </w:t>
      </w:r>
      <w:r w:rsidRPr="00EA5DE3">
        <w:rPr>
          <w:sz w:val="22"/>
          <w:szCs w:val="22"/>
          <w:lang w:val="en-US"/>
        </w:rPr>
        <w:t>Are Domestic</w:t>
      </w:r>
      <w:r w:rsidRPr="00EA5DE3">
        <w:rPr>
          <w:spacing w:val="-2"/>
          <w:sz w:val="22"/>
          <w:szCs w:val="22"/>
          <w:lang w:val="en-US"/>
        </w:rPr>
        <w:t xml:space="preserve"> </w:t>
      </w:r>
      <w:r w:rsidRPr="00EA5DE3">
        <w:rPr>
          <w:sz w:val="22"/>
          <w:szCs w:val="22"/>
          <w:lang w:val="en-US"/>
        </w:rPr>
        <w:t>and</w:t>
      </w:r>
      <w:r w:rsidRPr="00EA5DE3">
        <w:rPr>
          <w:spacing w:val="40"/>
          <w:sz w:val="22"/>
          <w:szCs w:val="22"/>
          <w:lang w:val="en-US"/>
        </w:rPr>
        <w:t xml:space="preserve"> </w:t>
      </w:r>
      <w:r w:rsidRPr="00EA5DE3">
        <w:rPr>
          <w:sz w:val="22"/>
          <w:szCs w:val="22"/>
          <w:lang w:val="en-US"/>
        </w:rPr>
        <w:t>International Marketing Dissimilar? An Assessment, Management Internationale Review,</w:t>
      </w:r>
      <w:r w:rsidRPr="00EA5DE3">
        <w:rPr>
          <w:spacing w:val="40"/>
          <w:sz w:val="22"/>
          <w:szCs w:val="22"/>
          <w:lang w:val="en-US"/>
        </w:rPr>
        <w:t xml:space="preserve"> </w:t>
      </w:r>
      <w:r w:rsidRPr="00EA5DE3">
        <w:rPr>
          <w:sz w:val="22"/>
          <w:szCs w:val="22"/>
          <w:lang w:val="en-US"/>
        </w:rPr>
        <w:t>20(3): 83-86.</w:t>
      </w:r>
      <w:r w:rsidRPr="00EA5DE3">
        <w:rPr>
          <w:spacing w:val="40"/>
          <w:sz w:val="22"/>
          <w:szCs w:val="22"/>
          <w:lang w:val="en-US"/>
        </w:rPr>
        <w:t xml:space="preserve"> </w:t>
      </w:r>
      <w:r w:rsidRPr="00EA5DE3">
        <w:rPr>
          <w:sz w:val="22"/>
          <w:szCs w:val="22"/>
        </w:rPr>
        <w:t>Lichtenberg, B. (1992): Interkulturelle Mitarbeiterführung, Stuttgart: M&amp;P</w:t>
      </w:r>
      <w:r w:rsidRPr="00EA5DE3">
        <w:rPr>
          <w:spacing w:val="40"/>
          <w:sz w:val="22"/>
          <w:szCs w:val="22"/>
        </w:rPr>
        <w:t xml:space="preserve"> </w:t>
      </w:r>
      <w:r w:rsidRPr="00EA5DE3">
        <w:rPr>
          <w:sz w:val="22"/>
          <w:szCs w:val="22"/>
        </w:rPr>
        <w:t>Verlag für Wissenschaft und Forschung.</w:t>
      </w:r>
      <w:r w:rsidRPr="00EA5DE3">
        <w:rPr>
          <w:spacing w:val="40"/>
          <w:sz w:val="22"/>
          <w:szCs w:val="22"/>
        </w:rPr>
        <w:t xml:space="preserve"> </w:t>
      </w:r>
      <w:r w:rsidRPr="00EA5DE3">
        <w:rPr>
          <w:sz w:val="22"/>
          <w:szCs w:val="22"/>
        </w:rPr>
        <w:t>Mauritz, H. (1996): Interkulturelle</w:t>
      </w:r>
      <w:r w:rsidRPr="00EA5DE3">
        <w:rPr>
          <w:spacing w:val="40"/>
          <w:sz w:val="22"/>
          <w:szCs w:val="22"/>
        </w:rPr>
        <w:t xml:space="preserve"> </w:t>
      </w:r>
      <w:r w:rsidRPr="00EA5DE3">
        <w:rPr>
          <w:sz w:val="22"/>
          <w:szCs w:val="22"/>
        </w:rPr>
        <w:t>Geschäftsbeziehungen, Wiesbaden: DUV.</w:t>
      </w:r>
      <w:r w:rsidRPr="00EA5DE3">
        <w:rPr>
          <w:spacing w:val="40"/>
          <w:sz w:val="22"/>
          <w:szCs w:val="22"/>
        </w:rPr>
        <w:t xml:space="preserve"> </w:t>
      </w:r>
      <w:r w:rsidRPr="00EA5DE3">
        <w:rPr>
          <w:sz w:val="22"/>
          <w:szCs w:val="22"/>
        </w:rPr>
        <w:t>Meckl, R. (2002): Probleme der Gründung von</w:t>
      </w:r>
      <w:r w:rsidRPr="00EA5DE3">
        <w:rPr>
          <w:spacing w:val="40"/>
          <w:sz w:val="22"/>
          <w:szCs w:val="22"/>
        </w:rPr>
        <w:t xml:space="preserve"> </w:t>
      </w:r>
      <w:r w:rsidRPr="00EA5DE3">
        <w:rPr>
          <w:sz w:val="22"/>
          <w:szCs w:val="22"/>
        </w:rPr>
        <w:t>Auslandsgesellschaften, in Macharzina, K.; Oesterle, M.-J. (Hrsg.), Handbuch</w:t>
      </w:r>
      <w:r w:rsidRPr="00EA5DE3">
        <w:rPr>
          <w:spacing w:val="40"/>
          <w:sz w:val="22"/>
          <w:szCs w:val="22"/>
        </w:rPr>
        <w:t xml:space="preserve"> </w:t>
      </w:r>
      <w:r w:rsidRPr="00EA5DE3">
        <w:rPr>
          <w:sz w:val="22"/>
          <w:szCs w:val="22"/>
        </w:rPr>
        <w:t>Internationales</w:t>
      </w:r>
      <w:r w:rsidRPr="00EA5DE3">
        <w:rPr>
          <w:spacing w:val="-8"/>
          <w:sz w:val="22"/>
          <w:szCs w:val="22"/>
        </w:rPr>
        <w:t xml:space="preserve"> </w:t>
      </w:r>
      <w:r w:rsidRPr="00EA5DE3">
        <w:rPr>
          <w:sz w:val="22"/>
          <w:szCs w:val="22"/>
        </w:rPr>
        <w:t>Management,</w:t>
      </w:r>
      <w:r w:rsidRPr="00EA5DE3">
        <w:rPr>
          <w:spacing w:val="-4"/>
          <w:sz w:val="22"/>
          <w:szCs w:val="22"/>
        </w:rPr>
        <w:t xml:space="preserve"> </w:t>
      </w:r>
      <w:r w:rsidRPr="00EA5DE3">
        <w:rPr>
          <w:sz w:val="22"/>
          <w:szCs w:val="22"/>
        </w:rPr>
        <w:t>653-676,</w:t>
      </w:r>
      <w:r w:rsidRPr="00EA5DE3">
        <w:rPr>
          <w:spacing w:val="-5"/>
          <w:sz w:val="22"/>
          <w:szCs w:val="22"/>
        </w:rPr>
        <w:t xml:space="preserve"> </w:t>
      </w:r>
      <w:r w:rsidRPr="00EA5DE3">
        <w:rPr>
          <w:sz w:val="22"/>
          <w:szCs w:val="22"/>
        </w:rPr>
        <w:t>2.</w:t>
      </w:r>
      <w:r w:rsidRPr="00EA5DE3">
        <w:rPr>
          <w:spacing w:val="-4"/>
          <w:sz w:val="22"/>
          <w:szCs w:val="22"/>
        </w:rPr>
        <w:t xml:space="preserve"> </w:t>
      </w:r>
      <w:r w:rsidRPr="00EA5DE3">
        <w:rPr>
          <w:sz w:val="22"/>
          <w:szCs w:val="22"/>
        </w:rPr>
        <w:t>Aufl.,</w:t>
      </w:r>
      <w:r w:rsidRPr="00EA5DE3">
        <w:rPr>
          <w:spacing w:val="-7"/>
          <w:sz w:val="22"/>
          <w:szCs w:val="22"/>
        </w:rPr>
        <w:t xml:space="preserve"> </w:t>
      </w:r>
      <w:r w:rsidRPr="00EA5DE3">
        <w:rPr>
          <w:sz w:val="22"/>
          <w:szCs w:val="22"/>
        </w:rPr>
        <w:t>Wiesbaden:</w:t>
      </w:r>
      <w:r w:rsidRPr="00EA5DE3">
        <w:rPr>
          <w:spacing w:val="-4"/>
          <w:sz w:val="22"/>
          <w:szCs w:val="22"/>
        </w:rPr>
        <w:t xml:space="preserve"> </w:t>
      </w:r>
      <w:r w:rsidRPr="00EA5DE3">
        <w:rPr>
          <w:sz w:val="22"/>
          <w:szCs w:val="22"/>
        </w:rPr>
        <w:t>Gabler.</w:t>
      </w:r>
      <w:r w:rsidRPr="00EA5DE3">
        <w:rPr>
          <w:spacing w:val="40"/>
          <w:sz w:val="22"/>
          <w:szCs w:val="22"/>
        </w:rPr>
        <w:t xml:space="preserve"> </w:t>
      </w:r>
      <w:r w:rsidRPr="00EA5DE3">
        <w:rPr>
          <w:sz w:val="22"/>
          <w:szCs w:val="22"/>
        </w:rPr>
        <w:t>Mennicken,</w:t>
      </w:r>
      <w:r w:rsidRPr="00EA5DE3">
        <w:rPr>
          <w:spacing w:val="-7"/>
          <w:sz w:val="22"/>
          <w:szCs w:val="22"/>
        </w:rPr>
        <w:t xml:space="preserve"> </w:t>
      </w:r>
      <w:r w:rsidRPr="00EA5DE3">
        <w:rPr>
          <w:sz w:val="22"/>
          <w:szCs w:val="22"/>
        </w:rPr>
        <w:t>C.</w:t>
      </w:r>
      <w:r w:rsidRPr="00EA5DE3">
        <w:rPr>
          <w:spacing w:val="-6"/>
          <w:sz w:val="22"/>
          <w:szCs w:val="22"/>
        </w:rPr>
        <w:t xml:space="preserve"> </w:t>
      </w:r>
      <w:r w:rsidRPr="00EA5DE3">
        <w:rPr>
          <w:sz w:val="22"/>
          <w:szCs w:val="22"/>
        </w:rPr>
        <w:t>(2000):</w:t>
      </w:r>
      <w:r w:rsidRPr="00EA5DE3">
        <w:rPr>
          <w:spacing w:val="40"/>
          <w:sz w:val="22"/>
          <w:szCs w:val="22"/>
        </w:rPr>
        <w:t xml:space="preserve"> </w:t>
      </w:r>
      <w:r w:rsidRPr="00EA5DE3">
        <w:rPr>
          <w:sz w:val="22"/>
          <w:szCs w:val="22"/>
        </w:rPr>
        <w:t>Interkulturelles Marketing, Wiesbaden: DUV.</w:t>
      </w:r>
      <w:r w:rsidRPr="00EA5DE3">
        <w:rPr>
          <w:spacing w:val="40"/>
          <w:sz w:val="22"/>
          <w:szCs w:val="22"/>
        </w:rPr>
        <w:t xml:space="preserve"> </w:t>
      </w:r>
      <w:r w:rsidRPr="00EA5DE3">
        <w:rPr>
          <w:sz w:val="22"/>
          <w:szCs w:val="22"/>
        </w:rPr>
        <w:t>Peill-Schoeller, P. (1994): Interkulturelles</w:t>
      </w:r>
      <w:r w:rsidRPr="00EA5DE3">
        <w:rPr>
          <w:spacing w:val="40"/>
          <w:sz w:val="22"/>
          <w:szCs w:val="22"/>
        </w:rPr>
        <w:t xml:space="preserve"> </w:t>
      </w:r>
      <w:r w:rsidRPr="00EA5DE3">
        <w:rPr>
          <w:sz w:val="22"/>
          <w:szCs w:val="22"/>
        </w:rPr>
        <w:t>Management. Synergien in Joint Ventures zwischen China und deutschsprachigen Ländern,</w:t>
      </w:r>
      <w:r w:rsidRPr="00EA5DE3">
        <w:rPr>
          <w:spacing w:val="40"/>
          <w:sz w:val="22"/>
          <w:szCs w:val="22"/>
        </w:rPr>
        <w:t xml:space="preserve"> </w:t>
      </w:r>
      <w:r w:rsidRPr="00EA5DE3">
        <w:rPr>
          <w:sz w:val="22"/>
          <w:szCs w:val="22"/>
        </w:rPr>
        <w:t>Berlin: Springer.</w:t>
      </w:r>
      <w:r w:rsidRPr="00EA5DE3">
        <w:rPr>
          <w:spacing w:val="40"/>
          <w:sz w:val="22"/>
          <w:szCs w:val="22"/>
        </w:rPr>
        <w:t xml:space="preserve"> </w:t>
      </w:r>
      <w:r w:rsidRPr="00EA5DE3">
        <w:rPr>
          <w:sz w:val="22"/>
          <w:szCs w:val="22"/>
        </w:rPr>
        <w:t>Perlitz, M. (2002): Spektrum kooperativer Internationalisierungsformen,</w:t>
      </w:r>
      <w:r w:rsidRPr="00EA5DE3">
        <w:rPr>
          <w:spacing w:val="40"/>
          <w:sz w:val="22"/>
          <w:szCs w:val="22"/>
        </w:rPr>
        <w:t xml:space="preserve"> </w:t>
      </w:r>
      <w:r w:rsidRPr="00EA5DE3">
        <w:rPr>
          <w:sz w:val="22"/>
          <w:szCs w:val="22"/>
        </w:rPr>
        <w:t>in:</w:t>
      </w:r>
      <w:r w:rsidRPr="00EA5DE3">
        <w:rPr>
          <w:spacing w:val="-4"/>
          <w:sz w:val="22"/>
          <w:szCs w:val="22"/>
        </w:rPr>
        <w:t xml:space="preserve"> </w:t>
      </w:r>
      <w:r w:rsidRPr="00EA5DE3">
        <w:rPr>
          <w:sz w:val="22"/>
          <w:szCs w:val="22"/>
        </w:rPr>
        <w:t>Macharzina,</w:t>
      </w:r>
      <w:r w:rsidRPr="00EA5DE3">
        <w:rPr>
          <w:spacing w:val="-7"/>
          <w:sz w:val="22"/>
          <w:szCs w:val="22"/>
        </w:rPr>
        <w:t xml:space="preserve"> </w:t>
      </w:r>
      <w:r w:rsidRPr="00EA5DE3">
        <w:rPr>
          <w:sz w:val="22"/>
          <w:szCs w:val="22"/>
        </w:rPr>
        <w:t>K.;</w:t>
      </w:r>
      <w:r w:rsidRPr="00EA5DE3">
        <w:rPr>
          <w:spacing w:val="-4"/>
          <w:sz w:val="22"/>
          <w:szCs w:val="22"/>
        </w:rPr>
        <w:t xml:space="preserve"> </w:t>
      </w:r>
      <w:r w:rsidRPr="00EA5DE3">
        <w:rPr>
          <w:sz w:val="22"/>
          <w:szCs w:val="22"/>
        </w:rPr>
        <w:t>Oesterle,</w:t>
      </w:r>
      <w:r w:rsidRPr="00EA5DE3">
        <w:rPr>
          <w:spacing w:val="-7"/>
          <w:sz w:val="22"/>
          <w:szCs w:val="22"/>
        </w:rPr>
        <w:t xml:space="preserve"> </w:t>
      </w:r>
      <w:r w:rsidRPr="00EA5DE3">
        <w:rPr>
          <w:sz w:val="22"/>
          <w:szCs w:val="22"/>
        </w:rPr>
        <w:t>M.-J.</w:t>
      </w:r>
      <w:r w:rsidRPr="00EA5DE3">
        <w:rPr>
          <w:spacing w:val="-5"/>
          <w:sz w:val="22"/>
          <w:szCs w:val="22"/>
        </w:rPr>
        <w:t xml:space="preserve"> </w:t>
      </w:r>
      <w:r w:rsidRPr="00EA5DE3">
        <w:rPr>
          <w:sz w:val="22"/>
          <w:szCs w:val="22"/>
        </w:rPr>
        <w:t>(Hrsg.),</w:t>
      </w:r>
      <w:r w:rsidRPr="00EA5DE3">
        <w:rPr>
          <w:spacing w:val="-4"/>
          <w:sz w:val="22"/>
          <w:szCs w:val="22"/>
        </w:rPr>
        <w:t xml:space="preserve"> </w:t>
      </w:r>
      <w:r w:rsidRPr="00EA5DE3">
        <w:rPr>
          <w:sz w:val="22"/>
          <w:szCs w:val="22"/>
        </w:rPr>
        <w:t>Handbuch</w:t>
      </w:r>
      <w:r w:rsidRPr="00EA5DE3">
        <w:rPr>
          <w:spacing w:val="-4"/>
          <w:sz w:val="22"/>
          <w:szCs w:val="22"/>
        </w:rPr>
        <w:t xml:space="preserve"> </w:t>
      </w:r>
      <w:r w:rsidRPr="00EA5DE3">
        <w:rPr>
          <w:sz w:val="22"/>
          <w:szCs w:val="22"/>
        </w:rPr>
        <w:t>Internationales</w:t>
      </w:r>
      <w:r w:rsidRPr="00EA5DE3">
        <w:rPr>
          <w:spacing w:val="-5"/>
          <w:sz w:val="22"/>
          <w:szCs w:val="22"/>
        </w:rPr>
        <w:t xml:space="preserve"> </w:t>
      </w:r>
      <w:r w:rsidRPr="00EA5DE3">
        <w:rPr>
          <w:sz w:val="22"/>
          <w:szCs w:val="22"/>
        </w:rPr>
        <w:t>Management,</w:t>
      </w:r>
      <w:r w:rsidRPr="00EA5DE3">
        <w:rPr>
          <w:spacing w:val="-4"/>
          <w:sz w:val="22"/>
          <w:szCs w:val="22"/>
        </w:rPr>
        <w:t xml:space="preserve"> </w:t>
      </w:r>
      <w:r w:rsidRPr="00EA5DE3">
        <w:rPr>
          <w:sz w:val="22"/>
          <w:szCs w:val="22"/>
        </w:rPr>
        <w:t>2.Aufl.,</w:t>
      </w:r>
      <w:r w:rsidRPr="00EA5DE3">
        <w:rPr>
          <w:spacing w:val="40"/>
          <w:sz w:val="22"/>
          <w:szCs w:val="22"/>
        </w:rPr>
        <w:t xml:space="preserve"> </w:t>
      </w:r>
      <w:r w:rsidRPr="00EA5DE3">
        <w:rPr>
          <w:sz w:val="22"/>
          <w:szCs w:val="22"/>
        </w:rPr>
        <w:t>533-549, Wiesbaden: Gabler.</w:t>
      </w:r>
      <w:r w:rsidRPr="00EA5DE3">
        <w:rPr>
          <w:spacing w:val="40"/>
          <w:sz w:val="22"/>
          <w:szCs w:val="22"/>
        </w:rPr>
        <w:t xml:space="preserve"> </w:t>
      </w:r>
      <w:r w:rsidRPr="00EA5DE3">
        <w:rPr>
          <w:sz w:val="22"/>
          <w:szCs w:val="22"/>
        </w:rPr>
        <w:t>Schmid, S. (1996): Multikulturalität in der internationalen</w:t>
      </w:r>
      <w:r w:rsidRPr="00EA5DE3">
        <w:rPr>
          <w:spacing w:val="40"/>
          <w:sz w:val="22"/>
          <w:szCs w:val="22"/>
        </w:rPr>
        <w:t xml:space="preserve"> </w:t>
      </w:r>
      <w:r w:rsidRPr="00EA5DE3">
        <w:rPr>
          <w:sz w:val="22"/>
          <w:szCs w:val="22"/>
        </w:rPr>
        <w:t>Unternehmung, Wiesbaden: Gabler. Stüdlein, Y. (1997): Management von</w:t>
      </w:r>
      <w:r w:rsidRPr="00EA5DE3">
        <w:rPr>
          <w:spacing w:val="40"/>
          <w:sz w:val="22"/>
          <w:szCs w:val="22"/>
        </w:rPr>
        <w:t xml:space="preserve"> </w:t>
      </w:r>
      <w:r w:rsidRPr="00EA5DE3">
        <w:rPr>
          <w:sz w:val="22"/>
          <w:szCs w:val="22"/>
        </w:rPr>
        <w:t>Kulturunter-schieden. Phasenkonzepte für</w:t>
      </w:r>
      <w:r w:rsidRPr="00EA5DE3">
        <w:rPr>
          <w:spacing w:val="-2"/>
          <w:sz w:val="22"/>
          <w:szCs w:val="22"/>
        </w:rPr>
        <w:t xml:space="preserve"> </w:t>
      </w:r>
      <w:r w:rsidRPr="00EA5DE3">
        <w:rPr>
          <w:sz w:val="22"/>
          <w:szCs w:val="22"/>
        </w:rPr>
        <w:t>internationale strategische Allianzen, Wiesbaden:</w:t>
      </w:r>
      <w:r w:rsidRPr="00EA5DE3">
        <w:rPr>
          <w:spacing w:val="40"/>
          <w:sz w:val="22"/>
          <w:szCs w:val="22"/>
        </w:rPr>
        <w:t xml:space="preserve"> </w:t>
      </w:r>
      <w:r w:rsidRPr="00EA5DE3">
        <w:rPr>
          <w:sz w:val="22"/>
          <w:szCs w:val="22"/>
        </w:rPr>
        <w:t>DUV.</w:t>
      </w:r>
      <w:r w:rsidRPr="00EA5DE3">
        <w:rPr>
          <w:spacing w:val="40"/>
          <w:sz w:val="22"/>
          <w:szCs w:val="22"/>
        </w:rPr>
        <w:t xml:space="preserve"> </w:t>
      </w:r>
      <w:r w:rsidRPr="00EA5DE3">
        <w:rPr>
          <w:sz w:val="22"/>
          <w:szCs w:val="22"/>
        </w:rPr>
        <w:t>Usunier, J.-C. (1996): Marketing across Cultures, 2nd Ed., Hemel Hempstead:</w:t>
      </w:r>
      <w:r w:rsidRPr="00EA5DE3">
        <w:rPr>
          <w:spacing w:val="40"/>
          <w:sz w:val="22"/>
          <w:szCs w:val="22"/>
        </w:rPr>
        <w:t xml:space="preserve"> </w:t>
      </w:r>
      <w:r w:rsidRPr="00EA5DE3">
        <w:rPr>
          <w:spacing w:val="-2"/>
          <w:sz w:val="22"/>
          <w:szCs w:val="22"/>
        </w:rPr>
        <w:t>Prentice-Hall.</w:t>
      </w:r>
    </w:p>
    <w:p w14:paraId="01B10E68" w14:textId="77777777" w:rsidR="00FF7799" w:rsidRPr="00E73F6F" w:rsidRDefault="00FF7799" w:rsidP="00740A8C">
      <w:pPr>
        <w:pStyle w:val="StandardText"/>
      </w:pPr>
    </w:p>
    <w:p w14:paraId="2761BAF6" w14:textId="77777777" w:rsidR="00312CF9" w:rsidRPr="00312CF9" w:rsidRDefault="00312CF9" w:rsidP="00312CF9">
      <w:pPr>
        <w:pStyle w:val="berschrift1"/>
        <w:rPr>
          <w:color w:val="2F5496" w:themeColor="accent5" w:themeShade="BF"/>
        </w:rPr>
      </w:pPr>
      <w:r w:rsidRPr="00312CF9">
        <w:rPr>
          <w:color w:val="2F5496" w:themeColor="accent5" w:themeShade="BF"/>
        </w:rPr>
        <w:t xml:space="preserve">Conjoint Measurement </w:t>
      </w:r>
    </w:p>
    <w:p w14:paraId="6B4E2C0F" w14:textId="77777777" w:rsidR="00312CF9" w:rsidRPr="007F69DA" w:rsidRDefault="00312CF9" w:rsidP="00312CF9">
      <w:pPr>
        <w:spacing w:before="180" w:after="180" w:line="240" w:lineRule="atLeast"/>
        <w:jc w:val="both"/>
        <w:rPr>
          <w:szCs w:val="24"/>
          <w:lang w:eastAsia="de-DE"/>
        </w:rPr>
      </w:pPr>
      <w:r w:rsidRPr="007F69DA">
        <w:rPr>
          <w:szCs w:val="24"/>
          <w:lang w:eastAsia="de-DE"/>
        </w:rPr>
        <w:t xml:space="preserve">Kombination aus </w:t>
      </w:r>
      <w:r w:rsidRPr="007F69DA">
        <w:rPr>
          <w:bCs/>
          <w:szCs w:val="24"/>
          <w:lang w:eastAsia="de-DE"/>
        </w:rPr>
        <w:t>Erhebung</w:t>
      </w:r>
      <w:r w:rsidRPr="00312CF9">
        <w:rPr>
          <w:b/>
          <w:bCs/>
          <w:color w:val="2F5496" w:themeColor="accent5" w:themeShade="BF"/>
          <w:sz w:val="24"/>
        </w:rPr>
        <w:t>s</w:t>
      </w:r>
      <w:r w:rsidRPr="007F69DA">
        <w:rPr>
          <w:bCs/>
          <w:szCs w:val="24"/>
          <w:lang w:eastAsia="de-DE"/>
        </w:rPr>
        <w:t>-</w:t>
      </w:r>
      <w:r w:rsidRPr="007F69DA">
        <w:rPr>
          <w:szCs w:val="24"/>
          <w:lang w:eastAsia="de-DE"/>
        </w:rPr>
        <w:t xml:space="preserve"> und multivariatem </w:t>
      </w:r>
      <w:r w:rsidRPr="007F69DA">
        <w:rPr>
          <w:bCs/>
          <w:szCs w:val="24"/>
          <w:lang w:eastAsia="de-DE"/>
        </w:rPr>
        <w:t>Auswertungsverfahren</w:t>
      </w:r>
      <w:r w:rsidRPr="007F69DA">
        <w:rPr>
          <w:szCs w:val="24"/>
          <w:lang w:eastAsia="de-DE"/>
        </w:rPr>
        <w:t xml:space="preserve">. Dazu ist ein Produkt (bzw. eine Dienstleistung) virtuell zunächst in jene Bestandteile zu zerlegen, welche dem Käufer prinzipiell einen Nutzen bieten können (z.B. Marke, Material, Farbe, Funktion, Preis). Diese Merkmale wiederum haben verschiedene Ausprägungen (z.B. Farbe = rot, blau, gelb). Dem Probanden werden dann die zu beurteilenden Objekte vorgelegt, die jeweils verschiedene Kombinationen der Merkmale darstellen. Dies kann mit Hilfe von Bildern oder verbalen Beschreibungen geschehen (z.B. „rotes Polo-Sweatshirt aus Baumwolle von </w:t>
      </w:r>
      <w:r w:rsidRPr="007F69DA">
        <w:rPr>
          <w:iCs/>
          <w:szCs w:val="24"/>
          <w:lang w:eastAsia="de-DE"/>
        </w:rPr>
        <w:t>Lacoste</w:t>
      </w:r>
      <w:r w:rsidRPr="007F69DA">
        <w:rPr>
          <w:szCs w:val="24"/>
          <w:lang w:eastAsia="de-DE"/>
        </w:rPr>
        <w:t xml:space="preserve">“). Die Auskunftsperson bringt die Optionen entsprechend ihren Präferenzen (z.B. „Würden Sie dieses Produkt kaufen?“) in eine Rangfolge oder bewertet jeden Stimulus einzeln anhand </w:t>
      </w:r>
      <w:r w:rsidRPr="007F69DA">
        <w:rPr>
          <w:szCs w:val="24"/>
          <w:lang w:eastAsia="de-DE"/>
        </w:rPr>
        <w:lastRenderedPageBreak/>
        <w:t xml:space="preserve">einer Rating-Skala. Basierend auf diesen Globalurteilen lassen sich die Beiträge der einzelnen Merkmale und Merkmalsausprägungen zum Gesamtnutzen des Produkts ermitteln. Eine </w:t>
      </w:r>
      <w:r w:rsidRPr="007F69DA">
        <w:rPr>
          <w:bCs/>
          <w:szCs w:val="24"/>
          <w:lang w:eastAsia="de-DE"/>
        </w:rPr>
        <w:t>nachgeschaltete Clusteranalyse</w:t>
      </w:r>
      <w:r w:rsidRPr="007F69DA">
        <w:rPr>
          <w:szCs w:val="24"/>
          <w:lang w:eastAsia="de-DE"/>
        </w:rPr>
        <w:t xml:space="preserve"> erlaubt es, Menschen mit ähnlicher Präferenzstruktur zu transnationalen Zielgruppen zusammenzufassen.</w:t>
      </w:r>
    </w:p>
    <w:p w14:paraId="30FD1A3C" w14:textId="77777777" w:rsidR="00312CF9" w:rsidRPr="007F69DA" w:rsidRDefault="00312CF9" w:rsidP="00312CF9">
      <w:pPr>
        <w:pStyle w:val="Literatur"/>
        <w:numPr>
          <w:ilvl w:val="0"/>
          <w:numId w:val="0"/>
        </w:numPr>
        <w:spacing w:line="240" w:lineRule="auto"/>
        <w:rPr>
          <w:rFonts w:eastAsiaTheme="minorHAnsi" w:cstheme="minorBidi"/>
          <w:sz w:val="22"/>
          <w:szCs w:val="22"/>
          <w:lang w:val="en-US" w:eastAsia="en-US"/>
        </w:rPr>
      </w:pPr>
      <w:r w:rsidRPr="00312CF9">
        <w:rPr>
          <w:rFonts w:eastAsiaTheme="minorHAnsi" w:cstheme="minorBidi"/>
          <w:b/>
          <w:bCs w:val="0"/>
          <w:i/>
          <w:noProof/>
          <w:sz w:val="22"/>
          <w:szCs w:val="22"/>
          <w:lang w:eastAsia="en-US"/>
        </w:rPr>
        <w:t>Literatur:</w:t>
      </w:r>
      <w:r w:rsidRPr="00312CF9">
        <w:rPr>
          <w:rFonts w:eastAsiaTheme="minorHAnsi" w:cstheme="minorBidi"/>
          <w:b/>
          <w:bCs w:val="0"/>
          <w:noProof/>
          <w:sz w:val="22"/>
          <w:szCs w:val="22"/>
          <w:lang w:eastAsia="en-US"/>
        </w:rPr>
        <w:t xml:space="preserve"> </w:t>
      </w:r>
      <w:r w:rsidRPr="007F69DA">
        <w:rPr>
          <w:rFonts w:eastAsiaTheme="minorHAnsi" w:cstheme="minorBidi"/>
          <w:sz w:val="22"/>
          <w:szCs w:val="22"/>
          <w:lang w:eastAsia="en-US"/>
        </w:rPr>
        <w:t xml:space="preserve">Backhaus, K., Erichson, B., Gensler, S., Weiber, R., &amp; Weiber, T. (2023): Multivariate Analysemethoden, 17. </w:t>
      </w:r>
      <w:r w:rsidRPr="007F69DA">
        <w:rPr>
          <w:rFonts w:eastAsiaTheme="minorHAnsi" w:cstheme="minorBidi"/>
          <w:sz w:val="22"/>
          <w:szCs w:val="22"/>
          <w:lang w:val="en-US" w:eastAsia="en-US"/>
        </w:rPr>
        <w:t>Aufl., Berlin: Springer.</w:t>
      </w:r>
    </w:p>
    <w:p w14:paraId="0082585E" w14:textId="77777777" w:rsidR="00FF7799" w:rsidRPr="00312CF9" w:rsidRDefault="00FF7799" w:rsidP="0074120C">
      <w:pPr>
        <w:pStyle w:val="berschrift1"/>
        <w:rPr>
          <w:color w:val="2F5496" w:themeColor="accent5" w:themeShade="BF"/>
        </w:rPr>
      </w:pPr>
      <w:r w:rsidRPr="00312CF9">
        <w:rPr>
          <w:color w:val="2F5496" w:themeColor="accent5" w:themeShade="BF"/>
        </w:rPr>
        <w:t>Corona &amp; Landeskultur</w:t>
      </w:r>
    </w:p>
    <w:p w14:paraId="2384C48D" w14:textId="01908730" w:rsidR="00FF7799" w:rsidRPr="00EA5DE3" w:rsidRDefault="00FF7799" w:rsidP="0067540C">
      <w:pPr>
        <w:pStyle w:val="StandardText"/>
      </w:pPr>
      <w:r w:rsidRPr="00EA5DE3">
        <w:t>Großbritannien</w:t>
      </w:r>
      <w:r w:rsidRPr="00EA5DE3">
        <w:rPr>
          <w:spacing w:val="-3"/>
        </w:rPr>
        <w:t xml:space="preserve"> </w:t>
      </w:r>
      <w:r w:rsidRPr="00EA5DE3">
        <w:t>beklagt laut</w:t>
      </w:r>
      <w:r w:rsidRPr="00EA5DE3">
        <w:rPr>
          <w:spacing w:val="-1"/>
        </w:rPr>
        <w:t xml:space="preserve"> </w:t>
      </w:r>
      <w:r w:rsidRPr="00EA5DE3">
        <w:t>Johns</w:t>
      </w:r>
      <w:r w:rsidRPr="00EA5DE3">
        <w:rPr>
          <w:spacing w:val="-2"/>
        </w:rPr>
        <w:t xml:space="preserve"> </w:t>
      </w:r>
      <w:r w:rsidRPr="00EA5DE3">
        <w:t>Hopkins</w:t>
      </w:r>
      <w:r w:rsidRPr="00EA5DE3">
        <w:rPr>
          <w:spacing w:val="-2"/>
        </w:rPr>
        <w:t xml:space="preserve"> </w:t>
      </w:r>
      <w:r w:rsidRPr="00EA5DE3">
        <w:t>University</w:t>
      </w:r>
      <w:r w:rsidRPr="00EA5DE3">
        <w:rPr>
          <w:spacing w:val="-1"/>
        </w:rPr>
        <w:t xml:space="preserve"> </w:t>
      </w:r>
      <w:r w:rsidRPr="00EA5DE3">
        <w:t>79,03</w:t>
      </w:r>
      <w:r w:rsidRPr="00EA5DE3">
        <w:rPr>
          <w:spacing w:val="-1"/>
        </w:rPr>
        <w:t xml:space="preserve"> </w:t>
      </w:r>
      <w:r w:rsidRPr="00EA5DE3">
        <w:t>Corona-Tote</w:t>
      </w:r>
      <w:r w:rsidRPr="00EA5DE3">
        <w:rPr>
          <w:spacing w:val="-1"/>
        </w:rPr>
        <w:t xml:space="preserve"> </w:t>
      </w:r>
      <w:r w:rsidRPr="00EA5DE3">
        <w:rPr>
          <w:spacing w:val="-5"/>
        </w:rPr>
        <w:t xml:space="preserve">pro </w:t>
      </w:r>
      <w:r w:rsidRPr="00EA5DE3">
        <w:t>100.000</w:t>
      </w:r>
      <w:r w:rsidRPr="00EA5DE3">
        <w:rPr>
          <w:spacing w:val="-3"/>
        </w:rPr>
        <w:t xml:space="preserve"> </w:t>
      </w:r>
      <w:r w:rsidRPr="00EA5DE3">
        <w:t>Einwohner,</w:t>
      </w:r>
      <w:r w:rsidRPr="00EA5DE3">
        <w:rPr>
          <w:spacing w:val="-2"/>
        </w:rPr>
        <w:t xml:space="preserve"> </w:t>
      </w:r>
      <w:r w:rsidRPr="00EA5DE3">
        <w:t>die</w:t>
      </w:r>
      <w:r w:rsidRPr="00EA5DE3">
        <w:rPr>
          <w:spacing w:val="-1"/>
        </w:rPr>
        <w:t xml:space="preserve"> </w:t>
      </w:r>
      <w:r w:rsidRPr="00EA5DE3">
        <w:t>USA</w:t>
      </w:r>
      <w:r w:rsidRPr="00EA5DE3">
        <w:rPr>
          <w:spacing w:val="-2"/>
        </w:rPr>
        <w:t xml:space="preserve"> </w:t>
      </w:r>
      <w:r w:rsidRPr="00EA5DE3">
        <w:t>76,12,</w:t>
      </w:r>
      <w:r w:rsidRPr="00EA5DE3">
        <w:rPr>
          <w:spacing w:val="-1"/>
        </w:rPr>
        <w:t xml:space="preserve"> </w:t>
      </w:r>
      <w:r w:rsidRPr="00EA5DE3">
        <w:t>Deutschland</w:t>
      </w:r>
      <w:r w:rsidRPr="00EA5DE3">
        <w:rPr>
          <w:spacing w:val="-1"/>
        </w:rPr>
        <w:t xml:space="preserve"> </w:t>
      </w:r>
      <w:r w:rsidRPr="00EA5DE3">
        <w:t>15,85,</w:t>
      </w:r>
      <w:r w:rsidRPr="00EA5DE3">
        <w:rPr>
          <w:spacing w:val="-3"/>
        </w:rPr>
        <w:t xml:space="preserve"> </w:t>
      </w:r>
      <w:r w:rsidRPr="00EA5DE3">
        <w:t>Japan</w:t>
      </w:r>
      <w:r w:rsidRPr="00EA5DE3">
        <w:rPr>
          <w:spacing w:val="-3"/>
        </w:rPr>
        <w:t xml:space="preserve"> </w:t>
      </w:r>
      <w:r w:rsidRPr="00EA5DE3">
        <w:t>1,50,</w:t>
      </w:r>
      <w:r w:rsidRPr="00EA5DE3">
        <w:rPr>
          <w:spacing w:val="-1"/>
        </w:rPr>
        <w:t xml:space="preserve"> </w:t>
      </w:r>
      <w:r w:rsidRPr="00EA5DE3">
        <w:rPr>
          <w:spacing w:val="-2"/>
        </w:rPr>
        <w:t xml:space="preserve">Südkorea </w:t>
      </w:r>
      <w:r w:rsidRPr="00EA5DE3">
        <w:t>0,96, China 0,34 und Taiwan 0,03 (Stand 18.11.2020). Wie kann man diese eklatanten Unterschiede erklären? Wie kann man erklären, dass in diesem Zusammenhang relativ gesehen bislang ca. 2500</w:t>
      </w:r>
      <w:r w:rsidR="00376BBF">
        <w:t>-m</w:t>
      </w:r>
      <w:r w:rsidRPr="00EA5DE3">
        <w:t>al mehr Amerikaner gestorben</w:t>
      </w:r>
      <w:r w:rsidRPr="00EA5DE3">
        <w:rPr>
          <w:spacing w:val="-4"/>
        </w:rPr>
        <w:t xml:space="preserve"> </w:t>
      </w:r>
      <w:r w:rsidRPr="00EA5DE3">
        <w:t>sind</w:t>
      </w:r>
      <w:r w:rsidRPr="00EA5DE3">
        <w:rPr>
          <w:spacing w:val="-3"/>
        </w:rPr>
        <w:t xml:space="preserve"> </w:t>
      </w:r>
      <w:r w:rsidRPr="00EA5DE3">
        <w:t>als</w:t>
      </w:r>
      <w:r w:rsidRPr="00EA5DE3">
        <w:rPr>
          <w:spacing w:val="-4"/>
        </w:rPr>
        <w:t xml:space="preserve"> </w:t>
      </w:r>
      <w:r w:rsidRPr="00EA5DE3">
        <w:t>Taiwanesen?</w:t>
      </w:r>
      <w:r w:rsidRPr="00EA5DE3">
        <w:rPr>
          <w:spacing w:val="-4"/>
        </w:rPr>
        <w:t xml:space="preserve"> </w:t>
      </w:r>
      <w:r w:rsidRPr="00EA5DE3">
        <w:t>Spielt</w:t>
      </w:r>
      <w:r w:rsidRPr="00EA5DE3">
        <w:rPr>
          <w:spacing w:val="-4"/>
        </w:rPr>
        <w:t xml:space="preserve"> </w:t>
      </w:r>
      <w:r w:rsidRPr="00EA5DE3">
        <w:t>der</w:t>
      </w:r>
      <w:r w:rsidRPr="00EA5DE3">
        <w:rPr>
          <w:spacing w:val="-4"/>
        </w:rPr>
        <w:t xml:space="preserve"> </w:t>
      </w:r>
      <w:r w:rsidRPr="00EA5DE3">
        <w:t>Umstand</w:t>
      </w:r>
      <w:r w:rsidRPr="00EA5DE3">
        <w:rPr>
          <w:spacing w:val="-3"/>
        </w:rPr>
        <w:t xml:space="preserve"> </w:t>
      </w:r>
      <w:r w:rsidRPr="00EA5DE3">
        <w:t>eine</w:t>
      </w:r>
      <w:r w:rsidRPr="00EA5DE3">
        <w:rPr>
          <w:spacing w:val="-4"/>
        </w:rPr>
        <w:t xml:space="preserve"> </w:t>
      </w:r>
      <w:r w:rsidRPr="00EA5DE3">
        <w:t>wichtige</w:t>
      </w:r>
      <w:r w:rsidRPr="00EA5DE3">
        <w:rPr>
          <w:spacing w:val="-6"/>
        </w:rPr>
        <w:t xml:space="preserve"> </w:t>
      </w:r>
      <w:r w:rsidRPr="00EA5DE3">
        <w:t>Rolle,</w:t>
      </w:r>
      <w:r w:rsidRPr="00EA5DE3">
        <w:rPr>
          <w:spacing w:val="-4"/>
        </w:rPr>
        <w:t xml:space="preserve"> </w:t>
      </w:r>
      <w:r w:rsidRPr="00EA5DE3">
        <w:t>dass manche dieser Länder eine Insel sind und andere an mehr oder weniger Nachbarstaaten angrenzen (z.B. Deutschland an neun)? Eher nicht. Zwar sind Taiwan</w:t>
      </w:r>
      <w:r w:rsidRPr="00EA5DE3">
        <w:rPr>
          <w:spacing w:val="-3"/>
        </w:rPr>
        <w:t xml:space="preserve"> </w:t>
      </w:r>
      <w:r w:rsidRPr="00EA5DE3">
        <w:t>und</w:t>
      </w:r>
      <w:r w:rsidRPr="00EA5DE3">
        <w:rPr>
          <w:spacing w:val="-3"/>
        </w:rPr>
        <w:t xml:space="preserve"> </w:t>
      </w:r>
      <w:r w:rsidRPr="00EA5DE3">
        <w:t>Japan</w:t>
      </w:r>
      <w:r w:rsidRPr="00EA5DE3">
        <w:rPr>
          <w:spacing w:val="-5"/>
        </w:rPr>
        <w:t xml:space="preserve"> </w:t>
      </w:r>
      <w:r w:rsidRPr="00EA5DE3">
        <w:t>Inseln,</w:t>
      </w:r>
      <w:r w:rsidRPr="00EA5DE3">
        <w:rPr>
          <w:spacing w:val="-6"/>
        </w:rPr>
        <w:t xml:space="preserve"> </w:t>
      </w:r>
      <w:r w:rsidRPr="00EA5DE3">
        <w:t>aber</w:t>
      </w:r>
      <w:r w:rsidRPr="00EA5DE3">
        <w:rPr>
          <w:spacing w:val="-4"/>
        </w:rPr>
        <w:t xml:space="preserve"> </w:t>
      </w:r>
      <w:r w:rsidRPr="00EA5DE3">
        <w:t>Großbritannien</w:t>
      </w:r>
      <w:r w:rsidRPr="00EA5DE3">
        <w:rPr>
          <w:spacing w:val="-3"/>
        </w:rPr>
        <w:t xml:space="preserve"> </w:t>
      </w:r>
      <w:r w:rsidRPr="00EA5DE3">
        <w:t>auch.</w:t>
      </w:r>
      <w:r w:rsidRPr="00EA5DE3">
        <w:rPr>
          <w:spacing w:val="-4"/>
        </w:rPr>
        <w:t xml:space="preserve"> </w:t>
      </w:r>
      <w:r w:rsidRPr="00EA5DE3">
        <w:t>Die</w:t>
      </w:r>
      <w:r w:rsidRPr="00EA5DE3">
        <w:rPr>
          <w:spacing w:val="-5"/>
        </w:rPr>
        <w:t xml:space="preserve"> </w:t>
      </w:r>
      <w:r w:rsidRPr="00EA5DE3">
        <w:t>USA</w:t>
      </w:r>
      <w:r w:rsidRPr="00EA5DE3">
        <w:rPr>
          <w:spacing w:val="-4"/>
        </w:rPr>
        <w:t xml:space="preserve"> </w:t>
      </w:r>
      <w:r w:rsidRPr="00EA5DE3">
        <w:t>wiederum</w:t>
      </w:r>
      <w:r w:rsidRPr="00EA5DE3">
        <w:rPr>
          <w:spacing w:val="-5"/>
        </w:rPr>
        <w:t xml:space="preserve"> </w:t>
      </w:r>
      <w:r w:rsidRPr="00EA5DE3">
        <w:t>haben nur zwei Nachbarstaaten.</w:t>
      </w:r>
    </w:p>
    <w:p w14:paraId="37751AC0" w14:textId="77777777" w:rsidR="00FF7799" w:rsidRPr="00EA5DE3" w:rsidRDefault="00FF7799" w:rsidP="0067540C">
      <w:pPr>
        <w:pStyle w:val="StandardText"/>
      </w:pPr>
      <w:r w:rsidRPr="00EA5DE3">
        <w:t>Aber natürlich fällt auf, dass die Corona-Hotspots in den individualistischen Ländern angelsächsischer Prägung liegen, während die kollektivistischen ostasiatischen Länder konfuzianischer Prägung mit geringen Fallzahlen glänzen. Möglicherweise</w:t>
      </w:r>
      <w:r w:rsidRPr="00EA5DE3">
        <w:rPr>
          <w:spacing w:val="-5"/>
        </w:rPr>
        <w:t xml:space="preserve"> </w:t>
      </w:r>
      <w:r w:rsidRPr="00EA5DE3">
        <w:t>ist</w:t>
      </w:r>
      <w:r w:rsidRPr="00EA5DE3">
        <w:rPr>
          <w:spacing w:val="-4"/>
        </w:rPr>
        <w:t xml:space="preserve"> </w:t>
      </w:r>
      <w:r w:rsidRPr="00EA5DE3">
        <w:t>somit</w:t>
      </w:r>
      <w:r w:rsidRPr="00EA5DE3">
        <w:rPr>
          <w:spacing w:val="-4"/>
        </w:rPr>
        <w:t xml:space="preserve"> </w:t>
      </w:r>
      <w:r w:rsidRPr="00EA5DE3">
        <w:t>das</w:t>
      </w:r>
      <w:r w:rsidRPr="00EA5DE3">
        <w:rPr>
          <w:spacing w:val="-7"/>
        </w:rPr>
        <w:t xml:space="preserve"> </w:t>
      </w:r>
      <w:r w:rsidRPr="00EA5DE3">
        <w:t>kulturspezifische</w:t>
      </w:r>
      <w:r w:rsidRPr="00EA5DE3">
        <w:rPr>
          <w:spacing w:val="-5"/>
        </w:rPr>
        <w:t xml:space="preserve"> </w:t>
      </w:r>
      <w:r w:rsidRPr="00EA5DE3">
        <w:t>Sozialverhalten</w:t>
      </w:r>
      <w:r w:rsidRPr="00EA5DE3">
        <w:rPr>
          <w:spacing w:val="-5"/>
        </w:rPr>
        <w:t xml:space="preserve"> </w:t>
      </w:r>
      <w:r w:rsidRPr="00EA5DE3">
        <w:t>der</w:t>
      </w:r>
      <w:r w:rsidRPr="00EA5DE3">
        <w:rPr>
          <w:spacing w:val="-6"/>
        </w:rPr>
        <w:t xml:space="preserve"> </w:t>
      </w:r>
      <w:r w:rsidRPr="00EA5DE3">
        <w:t>entscheidende Treiber (bspw. distanzierte vs. körpernahe Grußrituale). Wichtiger noch aber dürfte das „soziale Kapital“ sein. Japaner, Taiwanesen und Südkoreaner</w:t>
      </w:r>
      <w:r w:rsidRPr="00EA5DE3">
        <w:rPr>
          <w:spacing w:val="40"/>
        </w:rPr>
        <w:t xml:space="preserve"> </w:t>
      </w:r>
      <w:r w:rsidRPr="00EA5DE3">
        <w:t>vertrauen ihren Regierungen, was diese in die Lage versetzte, schnell und entschlossen zu handeln. Unterschiedlich waren jedoch Art und Ausmaß der sozialen Kontrollen und Sanktionen. Während China, Taiwan und Südkorea technische</w:t>
      </w:r>
      <w:r w:rsidRPr="00EA5DE3">
        <w:rPr>
          <w:spacing w:val="-3"/>
        </w:rPr>
        <w:t xml:space="preserve"> </w:t>
      </w:r>
      <w:r w:rsidRPr="00EA5DE3">
        <w:t>Kontrollmöglichkeiten</w:t>
      </w:r>
      <w:r w:rsidRPr="00EA5DE3">
        <w:rPr>
          <w:spacing w:val="-3"/>
        </w:rPr>
        <w:t xml:space="preserve"> </w:t>
      </w:r>
      <w:r w:rsidRPr="00EA5DE3">
        <w:t>vorbehaltlos</w:t>
      </w:r>
      <w:r w:rsidRPr="00EA5DE3">
        <w:rPr>
          <w:spacing w:val="-2"/>
        </w:rPr>
        <w:t xml:space="preserve"> </w:t>
      </w:r>
      <w:r w:rsidRPr="00EA5DE3">
        <w:t>einsetzten</w:t>
      </w:r>
      <w:r w:rsidRPr="00EA5DE3">
        <w:rPr>
          <w:spacing w:val="-3"/>
        </w:rPr>
        <w:t xml:space="preserve"> </w:t>
      </w:r>
      <w:r w:rsidRPr="00EA5DE3">
        <w:t>und</w:t>
      </w:r>
      <w:r w:rsidRPr="00EA5DE3">
        <w:rPr>
          <w:spacing w:val="-1"/>
        </w:rPr>
        <w:t xml:space="preserve"> </w:t>
      </w:r>
      <w:r w:rsidRPr="00EA5DE3">
        <w:t>scharfe –</w:t>
      </w:r>
      <w:r w:rsidRPr="00EA5DE3">
        <w:rPr>
          <w:spacing w:val="-1"/>
        </w:rPr>
        <w:t xml:space="preserve"> </w:t>
      </w:r>
      <w:r w:rsidRPr="00EA5DE3">
        <w:t>auch</w:t>
      </w:r>
      <w:r w:rsidRPr="00EA5DE3">
        <w:rPr>
          <w:spacing w:val="-3"/>
        </w:rPr>
        <w:t xml:space="preserve"> </w:t>
      </w:r>
      <w:r w:rsidRPr="00EA5DE3">
        <w:t>und gerade soziale – Sanktionen verfügt haben, konnte sich Japan darauf verlassen, dass es genügt, seine Bürger um Vorsicht und Zurückhaltung zu bitten. Diese Kombination – Vertrauen der Bürger und entschlossenes Regierungshandeln – könnte auch das bislang gute Abschneiden von Australien und Neuseeland erklären, trotz deren angelsächsischem Individualismus.</w:t>
      </w:r>
    </w:p>
    <w:p w14:paraId="22901407" w14:textId="77777777" w:rsidR="00FF7799" w:rsidRPr="00EA5DE3" w:rsidRDefault="00FF7799" w:rsidP="0067540C">
      <w:pPr>
        <w:pStyle w:val="StandardText"/>
      </w:pPr>
      <w:r w:rsidRPr="00EA5DE3">
        <w:t>Wie aber kann man den sog. Corona-Graben, der die Schweiz entlang der Sprachgrenze durchzieht, erklären? Die Romandie, die französischsprachige Schweiz, verzeichnet drei- bis viermal mehr Infizierte und Tote als die deutschsprachige Westschweiz, und die italienischsprachige Schweiz sogar sechsmal</w:t>
      </w:r>
      <w:r w:rsidRPr="00EA5DE3">
        <w:rPr>
          <w:spacing w:val="-3"/>
        </w:rPr>
        <w:t xml:space="preserve"> </w:t>
      </w:r>
      <w:r w:rsidRPr="00EA5DE3">
        <w:t>mehr.</w:t>
      </w:r>
      <w:r w:rsidRPr="00EA5DE3">
        <w:rPr>
          <w:spacing w:val="-2"/>
        </w:rPr>
        <w:t xml:space="preserve"> </w:t>
      </w:r>
      <w:r w:rsidRPr="00EA5DE3">
        <w:t>Ist</w:t>
      </w:r>
      <w:r w:rsidRPr="00EA5DE3">
        <w:rPr>
          <w:spacing w:val="-3"/>
        </w:rPr>
        <w:t xml:space="preserve"> </w:t>
      </w:r>
      <w:r w:rsidRPr="00EA5DE3">
        <w:t>die</w:t>
      </w:r>
      <w:r w:rsidRPr="00EA5DE3">
        <w:rPr>
          <w:spacing w:val="-3"/>
        </w:rPr>
        <w:t xml:space="preserve"> </w:t>
      </w:r>
      <w:r w:rsidRPr="00EA5DE3">
        <w:t>Nähe</w:t>
      </w:r>
      <w:r w:rsidRPr="00EA5DE3">
        <w:rPr>
          <w:spacing w:val="-4"/>
        </w:rPr>
        <w:t xml:space="preserve"> </w:t>
      </w:r>
      <w:r w:rsidRPr="00EA5DE3">
        <w:t>zu</w:t>
      </w:r>
      <w:r w:rsidRPr="00EA5DE3">
        <w:rPr>
          <w:spacing w:val="-2"/>
        </w:rPr>
        <w:t xml:space="preserve"> </w:t>
      </w:r>
      <w:r w:rsidRPr="00EA5DE3">
        <w:t>Frankreich</w:t>
      </w:r>
      <w:r w:rsidRPr="00EA5DE3">
        <w:rPr>
          <w:spacing w:val="-5"/>
        </w:rPr>
        <w:t xml:space="preserve"> </w:t>
      </w:r>
      <w:r w:rsidRPr="00EA5DE3">
        <w:t>bzw.</w:t>
      </w:r>
      <w:r w:rsidRPr="00EA5DE3">
        <w:rPr>
          <w:spacing w:val="-3"/>
        </w:rPr>
        <w:t xml:space="preserve"> </w:t>
      </w:r>
      <w:r w:rsidRPr="00EA5DE3">
        <w:t>Italien</w:t>
      </w:r>
      <w:r w:rsidRPr="00EA5DE3">
        <w:rPr>
          <w:spacing w:val="-5"/>
        </w:rPr>
        <w:t xml:space="preserve"> </w:t>
      </w:r>
      <w:r w:rsidRPr="00EA5DE3">
        <w:t>der</w:t>
      </w:r>
      <w:r w:rsidRPr="00EA5DE3">
        <w:rPr>
          <w:spacing w:val="-3"/>
        </w:rPr>
        <w:t xml:space="preserve"> </w:t>
      </w:r>
      <w:r w:rsidRPr="00EA5DE3">
        <w:t>entscheidende</w:t>
      </w:r>
      <w:r w:rsidRPr="00EA5DE3">
        <w:rPr>
          <w:spacing w:val="-4"/>
        </w:rPr>
        <w:t xml:space="preserve"> </w:t>
      </w:r>
      <w:r w:rsidRPr="00EA5DE3">
        <w:t>Grund? Oder auch hier das Sozialverhalten? Folgt man O. Keiser, Epidemiologin an der Universität Genf, dann macht nicht die Sprache oder die Sprachgrenze den Unterschied, sondern wie sich die Leute bewegen und miteinander interagieren. Auf eine andere Spur lenken die Daten des Politikgeografen M. Hermann (Zürich), der regelmäßig die Einstellungen der Schweizer rund um Corona</w:t>
      </w:r>
      <w:r w:rsidRPr="00EA5DE3">
        <w:rPr>
          <w:spacing w:val="40"/>
        </w:rPr>
        <w:t xml:space="preserve"> </w:t>
      </w:r>
      <w:r w:rsidRPr="00EA5DE3">
        <w:t>erfragt. Demnach sind sich die Romands immer sicherer als die</w:t>
      </w:r>
      <w:r w:rsidRPr="00EA5DE3">
        <w:rPr>
          <w:spacing w:val="40"/>
        </w:rPr>
        <w:t xml:space="preserve"> </w:t>
      </w:r>
      <w:r w:rsidRPr="00EA5DE3">
        <w:t xml:space="preserve">Deutschschweizer gewesen, dass sie sich genügend vor dem </w:t>
      </w:r>
      <w:hyperlink r:id="rId26">
        <w:r w:rsidRPr="00EA5DE3">
          <w:t>Virus</w:t>
        </w:r>
      </w:hyperlink>
      <w:r w:rsidRPr="00EA5DE3">
        <w:t xml:space="preserve"> schützen.</w:t>
      </w:r>
    </w:p>
    <w:p w14:paraId="0C5D0B4A" w14:textId="77777777" w:rsidR="00FF7799" w:rsidRPr="00EA5DE3" w:rsidRDefault="00FF7799" w:rsidP="0067540C">
      <w:pPr>
        <w:pStyle w:val="StandardText"/>
      </w:pPr>
      <w:r w:rsidRPr="00EA5DE3">
        <w:t>Erneut</w:t>
      </w:r>
      <w:r w:rsidRPr="00EA5DE3">
        <w:rPr>
          <w:spacing w:val="-5"/>
        </w:rPr>
        <w:t xml:space="preserve"> </w:t>
      </w:r>
      <w:r w:rsidRPr="00EA5DE3">
        <w:t>könnte</w:t>
      </w:r>
      <w:r w:rsidRPr="00EA5DE3">
        <w:rPr>
          <w:spacing w:val="-4"/>
        </w:rPr>
        <w:t xml:space="preserve"> </w:t>
      </w:r>
      <w:r w:rsidRPr="00EA5DE3">
        <w:t>somit</w:t>
      </w:r>
      <w:r w:rsidRPr="00EA5DE3">
        <w:rPr>
          <w:spacing w:val="-4"/>
        </w:rPr>
        <w:t xml:space="preserve"> </w:t>
      </w:r>
      <w:r w:rsidRPr="00EA5DE3">
        <w:t>Vertrauen</w:t>
      </w:r>
      <w:r w:rsidRPr="00EA5DE3">
        <w:rPr>
          <w:spacing w:val="-5"/>
        </w:rPr>
        <w:t xml:space="preserve"> </w:t>
      </w:r>
      <w:r w:rsidRPr="00EA5DE3">
        <w:t>die</w:t>
      </w:r>
      <w:r w:rsidRPr="00EA5DE3">
        <w:rPr>
          <w:spacing w:val="-5"/>
        </w:rPr>
        <w:t xml:space="preserve"> </w:t>
      </w:r>
      <w:r w:rsidRPr="00EA5DE3">
        <w:t>maßgebliche</w:t>
      </w:r>
      <w:r w:rsidRPr="00EA5DE3">
        <w:rPr>
          <w:spacing w:val="-5"/>
        </w:rPr>
        <w:t xml:space="preserve"> </w:t>
      </w:r>
      <w:r w:rsidRPr="00EA5DE3">
        <w:t>Variable</w:t>
      </w:r>
      <w:r w:rsidRPr="00EA5DE3">
        <w:rPr>
          <w:spacing w:val="-4"/>
        </w:rPr>
        <w:t xml:space="preserve"> </w:t>
      </w:r>
      <w:r w:rsidRPr="00EA5DE3">
        <w:t>sein,</w:t>
      </w:r>
      <w:r w:rsidRPr="00EA5DE3">
        <w:rPr>
          <w:spacing w:val="-4"/>
        </w:rPr>
        <w:t xml:space="preserve"> </w:t>
      </w:r>
      <w:r w:rsidRPr="00EA5DE3">
        <w:t>in</w:t>
      </w:r>
      <w:r w:rsidRPr="00EA5DE3">
        <w:rPr>
          <w:spacing w:val="-5"/>
        </w:rPr>
        <w:t xml:space="preserve"> </w:t>
      </w:r>
      <w:r w:rsidRPr="00EA5DE3">
        <w:t>diesem</w:t>
      </w:r>
      <w:r w:rsidRPr="00EA5DE3">
        <w:rPr>
          <w:spacing w:val="-5"/>
        </w:rPr>
        <w:t xml:space="preserve"> </w:t>
      </w:r>
      <w:r w:rsidRPr="00EA5DE3">
        <w:t>Fall allerdings Selbstüberschätzung – unberechtigtes Vertrauen in sich selbst.</w:t>
      </w:r>
    </w:p>
    <w:p w14:paraId="6886D8F1" w14:textId="77777777" w:rsidR="00FF7799" w:rsidRPr="00EA5DE3" w:rsidRDefault="00FF7799" w:rsidP="0067540C">
      <w:pPr>
        <w:pStyle w:val="StandardText"/>
      </w:pPr>
      <w:r w:rsidRPr="00EA5DE3">
        <w:t>Ein Forscherteam um L.C. Windsor wollte wissen, ob zwischen femininen Werten</w:t>
      </w:r>
      <w:r w:rsidRPr="00EA5DE3">
        <w:rPr>
          <w:spacing w:val="-4"/>
        </w:rPr>
        <w:t xml:space="preserve"> </w:t>
      </w:r>
      <w:r w:rsidRPr="00EA5DE3">
        <w:t>und</w:t>
      </w:r>
      <w:r w:rsidRPr="00EA5DE3">
        <w:rPr>
          <w:spacing w:val="-5"/>
        </w:rPr>
        <w:t xml:space="preserve"> </w:t>
      </w:r>
      <w:r w:rsidRPr="00EA5DE3">
        <w:t>dem</w:t>
      </w:r>
      <w:r w:rsidRPr="00EA5DE3">
        <w:rPr>
          <w:spacing w:val="-5"/>
        </w:rPr>
        <w:t xml:space="preserve"> </w:t>
      </w:r>
      <w:r w:rsidRPr="00EA5DE3">
        <w:t>Umgang</w:t>
      </w:r>
      <w:r w:rsidRPr="00EA5DE3">
        <w:rPr>
          <w:spacing w:val="-4"/>
        </w:rPr>
        <w:t xml:space="preserve"> </w:t>
      </w:r>
      <w:r w:rsidRPr="00EA5DE3">
        <w:t>mit</w:t>
      </w:r>
      <w:r w:rsidRPr="00EA5DE3">
        <w:rPr>
          <w:spacing w:val="-6"/>
        </w:rPr>
        <w:t xml:space="preserve"> </w:t>
      </w:r>
      <w:r w:rsidRPr="00EA5DE3">
        <w:t>der</w:t>
      </w:r>
      <w:r w:rsidRPr="00EA5DE3">
        <w:rPr>
          <w:spacing w:val="-6"/>
        </w:rPr>
        <w:t xml:space="preserve"> </w:t>
      </w:r>
      <w:r w:rsidRPr="00EA5DE3">
        <w:t>Pandemie</w:t>
      </w:r>
      <w:r w:rsidRPr="00EA5DE3">
        <w:rPr>
          <w:spacing w:val="-4"/>
        </w:rPr>
        <w:t xml:space="preserve"> </w:t>
      </w:r>
      <w:r w:rsidRPr="00EA5DE3">
        <w:t>ein</w:t>
      </w:r>
      <w:r w:rsidRPr="00EA5DE3">
        <w:rPr>
          <w:spacing w:val="-4"/>
        </w:rPr>
        <w:t xml:space="preserve"> </w:t>
      </w:r>
      <w:r w:rsidRPr="00EA5DE3">
        <w:t>systematischer</w:t>
      </w:r>
      <w:r w:rsidRPr="00EA5DE3">
        <w:rPr>
          <w:spacing w:val="-4"/>
        </w:rPr>
        <w:t xml:space="preserve"> </w:t>
      </w:r>
      <w:r w:rsidRPr="00EA5DE3">
        <w:t>Zusammenhang besteht. Dazu prüften sie drei Hypothesen:</w:t>
      </w:r>
    </w:p>
    <w:p w14:paraId="183D8532" w14:textId="77777777" w:rsidR="00FF7799" w:rsidRPr="00EA5DE3" w:rsidRDefault="00FF7799">
      <w:pPr>
        <w:pStyle w:val="StandardText"/>
        <w:numPr>
          <w:ilvl w:val="0"/>
          <w:numId w:val="10"/>
        </w:numPr>
        <w:ind w:left="284" w:hanging="284"/>
      </w:pPr>
      <w:r w:rsidRPr="00EA5DE3">
        <w:t>Länder, die von weiblichen Regierungschefs geführt werden (z.B. Deutschland,</w:t>
      </w:r>
      <w:r w:rsidRPr="00EA5DE3">
        <w:rPr>
          <w:spacing w:val="-7"/>
        </w:rPr>
        <w:t xml:space="preserve"> </w:t>
      </w:r>
      <w:r w:rsidRPr="00EA5DE3">
        <w:t>Neuseeland),</w:t>
      </w:r>
      <w:r w:rsidRPr="00EA5DE3">
        <w:rPr>
          <w:spacing w:val="-5"/>
        </w:rPr>
        <w:t xml:space="preserve"> </w:t>
      </w:r>
      <w:r w:rsidRPr="00EA5DE3">
        <w:t>müssen</w:t>
      </w:r>
      <w:r w:rsidRPr="00EA5DE3">
        <w:rPr>
          <w:spacing w:val="-4"/>
        </w:rPr>
        <w:t xml:space="preserve"> </w:t>
      </w:r>
      <w:r w:rsidRPr="00EA5DE3">
        <w:t>weniger</w:t>
      </w:r>
      <w:r w:rsidRPr="00EA5DE3">
        <w:rPr>
          <w:spacing w:val="-7"/>
        </w:rPr>
        <w:t xml:space="preserve"> </w:t>
      </w:r>
      <w:r w:rsidRPr="00EA5DE3">
        <w:t>Todesfälle</w:t>
      </w:r>
      <w:r w:rsidRPr="00EA5DE3">
        <w:rPr>
          <w:spacing w:val="-6"/>
        </w:rPr>
        <w:t xml:space="preserve"> </w:t>
      </w:r>
      <w:r w:rsidRPr="00EA5DE3">
        <w:t>im</w:t>
      </w:r>
      <w:r w:rsidRPr="00EA5DE3">
        <w:rPr>
          <w:spacing w:val="-5"/>
        </w:rPr>
        <w:t xml:space="preserve"> </w:t>
      </w:r>
      <w:r w:rsidRPr="00EA5DE3">
        <w:t>Zusammenhang</w:t>
      </w:r>
      <w:r w:rsidRPr="00EA5DE3">
        <w:rPr>
          <w:spacing w:val="-6"/>
        </w:rPr>
        <w:t xml:space="preserve"> </w:t>
      </w:r>
      <w:r w:rsidRPr="00EA5DE3">
        <w:t>mit Covid-19 beklagen als Länder mit einem männlichen Regierungschef (z.B. Serbien, Ungarn).</w:t>
      </w:r>
    </w:p>
    <w:p w14:paraId="0B2B9B5F" w14:textId="77777777" w:rsidR="00FF7799" w:rsidRPr="00EA5DE3" w:rsidRDefault="00FF7799">
      <w:pPr>
        <w:pStyle w:val="StandardText"/>
        <w:numPr>
          <w:ilvl w:val="0"/>
          <w:numId w:val="10"/>
        </w:numPr>
        <w:ind w:left="284" w:hanging="284"/>
      </w:pPr>
      <w:r w:rsidRPr="00EA5DE3">
        <w:lastRenderedPageBreak/>
        <w:t>Länder,</w:t>
      </w:r>
      <w:r w:rsidRPr="00EA5DE3">
        <w:rPr>
          <w:spacing w:val="-5"/>
        </w:rPr>
        <w:t xml:space="preserve"> </w:t>
      </w:r>
      <w:r w:rsidRPr="00EA5DE3">
        <w:t>deren</w:t>
      </w:r>
      <w:r w:rsidRPr="00EA5DE3">
        <w:rPr>
          <w:spacing w:val="-3"/>
        </w:rPr>
        <w:t xml:space="preserve"> </w:t>
      </w:r>
      <w:r w:rsidRPr="00EA5DE3">
        <w:t>Landeskultur</w:t>
      </w:r>
      <w:r w:rsidRPr="00EA5DE3">
        <w:rPr>
          <w:spacing w:val="-5"/>
        </w:rPr>
        <w:t xml:space="preserve"> </w:t>
      </w:r>
      <w:r w:rsidRPr="00EA5DE3">
        <w:t>deutlich</w:t>
      </w:r>
      <w:r w:rsidRPr="00EA5DE3">
        <w:rPr>
          <w:spacing w:val="-3"/>
        </w:rPr>
        <w:t xml:space="preserve"> </w:t>
      </w:r>
      <w:r w:rsidRPr="00EA5DE3">
        <w:t>feminin</w:t>
      </w:r>
      <w:r w:rsidRPr="00EA5DE3">
        <w:rPr>
          <w:spacing w:val="-4"/>
        </w:rPr>
        <w:t xml:space="preserve"> </w:t>
      </w:r>
      <w:r w:rsidRPr="00EA5DE3">
        <w:t>geprägt</w:t>
      </w:r>
      <w:r w:rsidRPr="00EA5DE3">
        <w:rPr>
          <w:spacing w:val="-5"/>
        </w:rPr>
        <w:t xml:space="preserve"> </w:t>
      </w:r>
      <w:r w:rsidRPr="00EA5DE3">
        <w:t>ist,</w:t>
      </w:r>
      <w:r w:rsidRPr="00EA5DE3">
        <w:rPr>
          <w:spacing w:val="-5"/>
        </w:rPr>
        <w:t xml:space="preserve"> </w:t>
      </w:r>
      <w:r w:rsidRPr="00EA5DE3">
        <w:t>langfristorientiert, eher genussorientiert, machtdistant, ungewissheitstolerant und eher kollektivistisch,</w:t>
      </w:r>
      <w:r w:rsidRPr="00EA5DE3">
        <w:rPr>
          <w:spacing w:val="-4"/>
        </w:rPr>
        <w:t xml:space="preserve"> </w:t>
      </w:r>
      <w:r w:rsidRPr="00EA5DE3">
        <w:t>müssen</w:t>
      </w:r>
      <w:r w:rsidRPr="00EA5DE3">
        <w:rPr>
          <w:spacing w:val="-3"/>
        </w:rPr>
        <w:t xml:space="preserve"> </w:t>
      </w:r>
      <w:r w:rsidRPr="00EA5DE3">
        <w:t>weniger</w:t>
      </w:r>
      <w:r w:rsidRPr="00EA5DE3">
        <w:rPr>
          <w:spacing w:val="-6"/>
        </w:rPr>
        <w:t xml:space="preserve"> </w:t>
      </w:r>
      <w:r w:rsidRPr="00EA5DE3">
        <w:t>Todesfälle</w:t>
      </w:r>
      <w:r w:rsidRPr="00EA5DE3">
        <w:rPr>
          <w:spacing w:val="-5"/>
        </w:rPr>
        <w:t xml:space="preserve"> </w:t>
      </w:r>
      <w:r w:rsidRPr="00EA5DE3">
        <w:t>im</w:t>
      </w:r>
      <w:r w:rsidRPr="00EA5DE3">
        <w:rPr>
          <w:spacing w:val="-4"/>
        </w:rPr>
        <w:t xml:space="preserve"> </w:t>
      </w:r>
      <w:r w:rsidRPr="00EA5DE3">
        <w:t>Zusammenhang</w:t>
      </w:r>
      <w:r w:rsidRPr="00EA5DE3">
        <w:rPr>
          <w:spacing w:val="-3"/>
        </w:rPr>
        <w:t xml:space="preserve"> </w:t>
      </w:r>
      <w:r w:rsidRPr="00EA5DE3">
        <w:t>mit</w:t>
      </w:r>
      <w:r w:rsidRPr="00EA5DE3">
        <w:rPr>
          <w:spacing w:val="-4"/>
        </w:rPr>
        <w:t xml:space="preserve"> </w:t>
      </w:r>
      <w:r w:rsidRPr="00EA5DE3">
        <w:t>Covid-19 beklagen als Länder mit einem gegensätzlichen Kulturprofil.</w:t>
      </w:r>
    </w:p>
    <w:p w14:paraId="22F43493" w14:textId="77777777" w:rsidR="00FF7799" w:rsidRDefault="00FF7799">
      <w:pPr>
        <w:pStyle w:val="StandardText"/>
        <w:numPr>
          <w:ilvl w:val="0"/>
          <w:numId w:val="10"/>
        </w:numPr>
        <w:ind w:left="284" w:hanging="284"/>
      </w:pPr>
      <w:r w:rsidRPr="00EA5DE3">
        <w:t xml:space="preserve">Weibliche Führung verstärkt (moderiert) die positiven Auswirkungen einer femininen, langfristorientierten etc. Landeskultur auf die Pandemiebekämpfung. </w:t>
      </w:r>
    </w:p>
    <w:p w14:paraId="6FB92266" w14:textId="77777777" w:rsidR="00F40DE8" w:rsidRPr="00EA5DE3" w:rsidRDefault="00F40DE8" w:rsidP="00F40DE8">
      <w:pPr>
        <w:pStyle w:val="StandardText"/>
        <w:ind w:left="284"/>
      </w:pPr>
    </w:p>
    <w:p w14:paraId="0D91B390" w14:textId="77777777" w:rsidR="00FF7799" w:rsidRPr="00EA5DE3" w:rsidRDefault="00FF7799" w:rsidP="0067540C">
      <w:pPr>
        <w:pStyle w:val="StandardText"/>
      </w:pPr>
      <w:r w:rsidRPr="00EA5DE3">
        <w:t>Während die Hypothesen 2 und 3 empirisch bestätigt werden konnten, ergab die Überprüfung von Hypothese 1 nur eine schwache, statistisch nicht signifikante Tendenz.</w:t>
      </w:r>
      <w:r w:rsidRPr="00EA5DE3">
        <w:rPr>
          <w:spacing w:val="-6"/>
        </w:rPr>
        <w:t xml:space="preserve"> </w:t>
      </w:r>
      <w:r w:rsidRPr="00EA5DE3">
        <w:t>Letzteres</w:t>
      </w:r>
      <w:r w:rsidRPr="00EA5DE3">
        <w:rPr>
          <w:spacing w:val="-6"/>
        </w:rPr>
        <w:t xml:space="preserve"> </w:t>
      </w:r>
      <w:r w:rsidRPr="00EA5DE3">
        <w:t>könnte</w:t>
      </w:r>
      <w:r w:rsidRPr="00EA5DE3">
        <w:rPr>
          <w:spacing w:val="-6"/>
        </w:rPr>
        <w:t xml:space="preserve"> </w:t>
      </w:r>
      <w:r w:rsidRPr="00EA5DE3">
        <w:t>mit</w:t>
      </w:r>
      <w:r w:rsidRPr="00EA5DE3">
        <w:rPr>
          <w:spacing w:val="-6"/>
        </w:rPr>
        <w:t xml:space="preserve"> </w:t>
      </w:r>
      <w:r w:rsidRPr="00EA5DE3">
        <w:t>Operationalisierungsproblemen</w:t>
      </w:r>
      <w:r w:rsidRPr="00EA5DE3">
        <w:rPr>
          <w:spacing w:val="-6"/>
        </w:rPr>
        <w:t xml:space="preserve"> </w:t>
      </w:r>
      <w:r w:rsidRPr="00EA5DE3">
        <w:t>zusammenhängen. Wie</w:t>
      </w:r>
      <w:r w:rsidRPr="00EA5DE3">
        <w:rPr>
          <w:spacing w:val="-2"/>
        </w:rPr>
        <w:t xml:space="preserve"> </w:t>
      </w:r>
      <w:r w:rsidRPr="00EA5DE3">
        <w:t>etwa</w:t>
      </w:r>
      <w:r w:rsidRPr="00EA5DE3">
        <w:rPr>
          <w:spacing w:val="-2"/>
        </w:rPr>
        <w:t xml:space="preserve"> </w:t>
      </w:r>
      <w:r w:rsidRPr="00EA5DE3">
        <w:t>das</w:t>
      </w:r>
      <w:r w:rsidRPr="00EA5DE3">
        <w:rPr>
          <w:spacing w:val="-1"/>
        </w:rPr>
        <w:t xml:space="preserve"> </w:t>
      </w:r>
      <w:r w:rsidRPr="00EA5DE3">
        <w:t>Beispiel</w:t>
      </w:r>
      <w:r w:rsidRPr="00EA5DE3">
        <w:rPr>
          <w:spacing w:val="-1"/>
        </w:rPr>
        <w:t xml:space="preserve"> </w:t>
      </w:r>
      <w:r w:rsidRPr="00EA5DE3">
        <w:t>Deutschland zeigt,</w:t>
      </w:r>
      <w:r w:rsidRPr="00EA5DE3">
        <w:rPr>
          <w:spacing w:val="-1"/>
        </w:rPr>
        <w:t xml:space="preserve"> </w:t>
      </w:r>
      <w:r w:rsidRPr="00EA5DE3">
        <w:t>ist</w:t>
      </w:r>
      <w:r w:rsidRPr="00EA5DE3">
        <w:rPr>
          <w:spacing w:val="-3"/>
        </w:rPr>
        <w:t xml:space="preserve"> </w:t>
      </w:r>
      <w:r w:rsidRPr="00EA5DE3">
        <w:t>das</w:t>
      </w:r>
      <w:r w:rsidRPr="00EA5DE3">
        <w:rPr>
          <w:spacing w:val="-1"/>
        </w:rPr>
        <w:t xml:space="preserve"> </w:t>
      </w:r>
      <w:r w:rsidRPr="00EA5DE3">
        <w:t>Geschlecht</w:t>
      </w:r>
      <w:r w:rsidRPr="00EA5DE3">
        <w:rPr>
          <w:spacing w:val="-1"/>
        </w:rPr>
        <w:t xml:space="preserve"> </w:t>
      </w:r>
      <w:r w:rsidRPr="00EA5DE3">
        <w:t>des</w:t>
      </w:r>
      <w:r w:rsidRPr="00EA5DE3">
        <w:rPr>
          <w:spacing w:val="-1"/>
        </w:rPr>
        <w:t xml:space="preserve"> </w:t>
      </w:r>
      <w:r w:rsidRPr="00EA5DE3">
        <w:t>Regierungschefs (Chefin) kein verlässlicher Indikator der Variable „weibliche/männliche Führung“. A. Merkel bspw. konnte lediglich versuchen, durch Argumente zu überzeugen – entscheidungsbefugt waren in den meisten Problemfeldern (etwa Schulschließung)</w:t>
      </w:r>
      <w:r w:rsidRPr="00EA5DE3">
        <w:rPr>
          <w:spacing w:val="-7"/>
        </w:rPr>
        <w:t xml:space="preserve"> </w:t>
      </w:r>
      <w:r w:rsidRPr="00EA5DE3">
        <w:t>jedoch</w:t>
      </w:r>
      <w:r w:rsidRPr="00EA5DE3">
        <w:rPr>
          <w:spacing w:val="-4"/>
        </w:rPr>
        <w:t xml:space="preserve"> </w:t>
      </w:r>
      <w:r w:rsidRPr="00EA5DE3">
        <w:t>die</w:t>
      </w:r>
      <w:r w:rsidRPr="00EA5DE3">
        <w:rPr>
          <w:spacing w:val="-5"/>
        </w:rPr>
        <w:t xml:space="preserve"> </w:t>
      </w:r>
      <w:r w:rsidRPr="00EA5DE3">
        <w:t>zumeist</w:t>
      </w:r>
      <w:r w:rsidRPr="00EA5DE3">
        <w:rPr>
          <w:spacing w:val="-5"/>
        </w:rPr>
        <w:t xml:space="preserve"> </w:t>
      </w:r>
      <w:r w:rsidRPr="00EA5DE3">
        <w:t>männlichen</w:t>
      </w:r>
      <w:r w:rsidRPr="00EA5DE3">
        <w:rPr>
          <w:spacing w:val="-6"/>
        </w:rPr>
        <w:t xml:space="preserve"> </w:t>
      </w:r>
      <w:r w:rsidRPr="00EA5DE3">
        <w:t>Ministerpräsidenten</w:t>
      </w:r>
      <w:r w:rsidRPr="00EA5DE3">
        <w:rPr>
          <w:spacing w:val="-4"/>
        </w:rPr>
        <w:t xml:space="preserve"> </w:t>
      </w:r>
      <w:r w:rsidRPr="00EA5DE3">
        <w:t>der</w:t>
      </w:r>
      <w:r w:rsidRPr="00EA5DE3">
        <w:rPr>
          <w:spacing w:val="-5"/>
        </w:rPr>
        <w:t xml:space="preserve"> </w:t>
      </w:r>
      <w:r w:rsidRPr="00EA5DE3">
        <w:t>Länder. Und diese haben häufig anders entschieden, als das Bundeskanzleramt in seinen Beschlussvorlagen vorgeschlagen hat.</w:t>
      </w:r>
    </w:p>
    <w:p w14:paraId="29A24BB8" w14:textId="77777777" w:rsidR="00FF7799" w:rsidRPr="00EA5DE3" w:rsidRDefault="00FF7799" w:rsidP="0067540C">
      <w:pPr>
        <w:pStyle w:val="StandardText"/>
        <w:rPr>
          <w:sz w:val="22"/>
          <w:szCs w:val="22"/>
          <w:lang w:val="en-US"/>
        </w:rPr>
      </w:pPr>
      <w:r w:rsidRPr="00EA5DE3">
        <w:rPr>
          <w:b/>
          <w:i/>
          <w:sz w:val="22"/>
          <w:szCs w:val="22"/>
        </w:rPr>
        <w:t>Literatur:</w:t>
      </w:r>
      <w:r w:rsidRPr="00EA5DE3">
        <w:rPr>
          <w:sz w:val="22"/>
          <w:szCs w:val="22"/>
        </w:rPr>
        <w:t xml:space="preserve"> Daum, M. (2020): Der Todesküsschen-Faktor, ZEIT Online (20.11.2020)</w:t>
      </w:r>
      <w:r w:rsidRPr="00EA5DE3">
        <w:rPr>
          <w:spacing w:val="40"/>
          <w:sz w:val="22"/>
          <w:szCs w:val="22"/>
        </w:rPr>
        <w:t xml:space="preserve"> </w:t>
      </w:r>
      <w:r w:rsidRPr="00EA5DE3">
        <w:rPr>
          <w:sz w:val="22"/>
          <w:szCs w:val="22"/>
        </w:rPr>
        <w:t>Peters, K.G.; Zand, B.: Wie Ostasien die Coronakrise meistert,</w:t>
      </w:r>
      <w:r w:rsidRPr="00EA5DE3">
        <w:rPr>
          <w:spacing w:val="40"/>
          <w:sz w:val="22"/>
          <w:szCs w:val="22"/>
        </w:rPr>
        <w:t xml:space="preserve"> </w:t>
      </w:r>
      <w:hyperlink r:id="rId27">
        <w:r w:rsidRPr="00EA5DE3">
          <w:rPr>
            <w:spacing w:val="-2"/>
            <w:sz w:val="22"/>
            <w:szCs w:val="22"/>
          </w:rPr>
          <w:t>www.spiegel.de/politik/ausland/corona-pandemie-wie-ostasien-die-krise-meistert-a-</w:t>
        </w:r>
      </w:hyperlink>
      <w:r w:rsidRPr="00EA5DE3">
        <w:rPr>
          <w:spacing w:val="40"/>
          <w:sz w:val="22"/>
          <w:szCs w:val="22"/>
        </w:rPr>
        <w:t xml:space="preserve"> </w:t>
      </w:r>
      <w:hyperlink r:id="rId28">
        <w:r w:rsidRPr="00EA5DE3">
          <w:rPr>
            <w:sz w:val="22"/>
            <w:szCs w:val="22"/>
          </w:rPr>
          <w:t>c2e5dc80-2154-4140-a8ae-7571e929f7a6</w:t>
        </w:r>
      </w:hyperlink>
      <w:r w:rsidRPr="00EA5DE3">
        <w:rPr>
          <w:spacing w:val="-2"/>
          <w:sz w:val="22"/>
          <w:szCs w:val="22"/>
        </w:rPr>
        <w:t xml:space="preserve"> </w:t>
      </w:r>
      <w:r w:rsidRPr="00EA5DE3">
        <w:rPr>
          <w:sz w:val="22"/>
          <w:szCs w:val="22"/>
        </w:rPr>
        <w:t>(20.11.2020).</w:t>
      </w:r>
      <w:r w:rsidRPr="00EA5DE3">
        <w:rPr>
          <w:spacing w:val="67"/>
          <w:sz w:val="22"/>
          <w:szCs w:val="22"/>
        </w:rPr>
        <w:t xml:space="preserve"> </w:t>
      </w:r>
      <w:r w:rsidRPr="00EA5DE3">
        <w:rPr>
          <w:sz w:val="22"/>
          <w:szCs w:val="22"/>
        </w:rPr>
        <w:t>Windsor,</w:t>
      </w:r>
      <w:r w:rsidRPr="00EA5DE3">
        <w:rPr>
          <w:spacing w:val="-7"/>
          <w:sz w:val="22"/>
          <w:szCs w:val="22"/>
        </w:rPr>
        <w:t xml:space="preserve"> </w:t>
      </w:r>
      <w:r w:rsidRPr="00EA5DE3">
        <w:rPr>
          <w:sz w:val="22"/>
          <w:szCs w:val="22"/>
        </w:rPr>
        <w:t>L.C.;</w:t>
      </w:r>
      <w:r w:rsidRPr="00EA5DE3">
        <w:rPr>
          <w:spacing w:val="-6"/>
          <w:sz w:val="22"/>
          <w:szCs w:val="22"/>
        </w:rPr>
        <w:t xml:space="preserve"> </w:t>
      </w:r>
      <w:r w:rsidRPr="00EA5DE3">
        <w:rPr>
          <w:sz w:val="22"/>
          <w:szCs w:val="22"/>
        </w:rPr>
        <w:t>Reinhardt,</w:t>
      </w:r>
      <w:r w:rsidRPr="00EA5DE3">
        <w:rPr>
          <w:spacing w:val="-4"/>
          <w:sz w:val="22"/>
          <w:szCs w:val="22"/>
        </w:rPr>
        <w:t xml:space="preserve"> </w:t>
      </w:r>
      <w:r w:rsidRPr="00EA5DE3">
        <w:rPr>
          <w:sz w:val="22"/>
          <w:szCs w:val="22"/>
        </w:rPr>
        <w:t>Y.G.;</w:t>
      </w:r>
      <w:r w:rsidRPr="00EA5DE3">
        <w:rPr>
          <w:spacing w:val="40"/>
          <w:sz w:val="22"/>
          <w:szCs w:val="22"/>
        </w:rPr>
        <w:t xml:space="preserve"> </w:t>
      </w:r>
      <w:r w:rsidRPr="00EA5DE3">
        <w:rPr>
          <w:sz w:val="22"/>
          <w:szCs w:val="22"/>
        </w:rPr>
        <w:t xml:space="preserve">Windsor, A.J.; Ostergard, R.; Allen, S.; Burns, C. et al. </w:t>
      </w:r>
      <w:r w:rsidRPr="00EA5DE3">
        <w:rPr>
          <w:sz w:val="22"/>
          <w:szCs w:val="22"/>
          <w:lang w:val="en-US"/>
        </w:rPr>
        <w:t>(2020): Gender in the Time of</w:t>
      </w:r>
      <w:r w:rsidRPr="00EA5DE3">
        <w:rPr>
          <w:spacing w:val="40"/>
          <w:sz w:val="22"/>
          <w:szCs w:val="22"/>
          <w:lang w:val="en-US"/>
        </w:rPr>
        <w:t xml:space="preserve"> </w:t>
      </w:r>
      <w:r w:rsidRPr="00EA5DE3">
        <w:rPr>
          <w:sz w:val="22"/>
          <w:szCs w:val="22"/>
          <w:lang w:val="en-US"/>
        </w:rPr>
        <w:t>COVID-19: Evaluating national leadership and COVID-19 fatalities, PLoSONE</w:t>
      </w:r>
      <w:r w:rsidRPr="00EA5DE3">
        <w:rPr>
          <w:spacing w:val="40"/>
          <w:sz w:val="22"/>
          <w:szCs w:val="22"/>
          <w:lang w:val="en-US"/>
        </w:rPr>
        <w:t xml:space="preserve"> </w:t>
      </w:r>
      <w:r w:rsidRPr="00EA5DE3">
        <w:rPr>
          <w:sz w:val="22"/>
          <w:szCs w:val="22"/>
          <w:lang w:val="en-US"/>
        </w:rPr>
        <w:t>15(12):e0244531.</w:t>
      </w:r>
      <w:r w:rsidRPr="00EA5DE3">
        <w:rPr>
          <w:spacing w:val="-5"/>
          <w:sz w:val="22"/>
          <w:szCs w:val="22"/>
          <w:lang w:val="en-US"/>
        </w:rPr>
        <w:t xml:space="preserve"> </w:t>
      </w:r>
      <w:r w:rsidRPr="00EA5DE3">
        <w:rPr>
          <w:sz w:val="22"/>
          <w:szCs w:val="22"/>
          <w:lang w:val="en-US"/>
        </w:rPr>
        <w:t>https://doi.org/10.1371/journal.pone.0244531.</w:t>
      </w:r>
    </w:p>
    <w:p w14:paraId="523F925B" w14:textId="77777777" w:rsidR="00FF7799" w:rsidRPr="00EA5DE3" w:rsidRDefault="00FF7799" w:rsidP="0067540C">
      <w:pPr>
        <w:pStyle w:val="StandardText"/>
        <w:rPr>
          <w:sz w:val="22"/>
          <w:szCs w:val="22"/>
          <w:lang w:val="en-US"/>
        </w:rPr>
      </w:pPr>
    </w:p>
    <w:p w14:paraId="43898D79" w14:textId="77777777" w:rsidR="00312CF9" w:rsidRDefault="00312CF9" w:rsidP="00312CF9">
      <w:pPr>
        <w:pStyle w:val="berschrift2"/>
        <w:ind w:left="576" w:hanging="576"/>
        <w:rPr>
          <w:rFonts w:eastAsiaTheme="minorHAnsi" w:cstheme="minorBidi"/>
          <w:b w:val="0"/>
          <w:bCs w:val="0"/>
          <w:sz w:val="22"/>
          <w:szCs w:val="22"/>
        </w:rPr>
      </w:pPr>
      <w:r w:rsidRPr="00312CF9">
        <w:rPr>
          <w:color w:val="2F5496" w:themeColor="accent5" w:themeShade="BF"/>
          <w:sz w:val="24"/>
          <w:szCs w:val="22"/>
        </w:rPr>
        <w:t>Corporate Citizenship</w:t>
      </w:r>
      <w:r w:rsidRPr="007F69DA">
        <w:rPr>
          <w:bCs w:val="0"/>
          <w:color w:val="2E74B5"/>
          <w:szCs w:val="22"/>
        </w:rPr>
        <w:t xml:space="preserve"> </w:t>
      </w:r>
      <w:r w:rsidRPr="007F69DA">
        <w:rPr>
          <w:rFonts w:eastAsiaTheme="minorHAnsi" w:cstheme="minorBidi"/>
          <w:b w:val="0"/>
          <w:bCs w:val="0"/>
          <w:sz w:val="22"/>
          <w:szCs w:val="22"/>
        </w:rPr>
        <w:sym w:font="Symbol" w:char="F0AE"/>
      </w:r>
      <w:r w:rsidRPr="007F69DA">
        <w:rPr>
          <w:rFonts w:eastAsiaTheme="minorHAnsi" w:cstheme="minorBidi"/>
          <w:b w:val="0"/>
          <w:bCs w:val="0"/>
          <w:sz w:val="22"/>
          <w:szCs w:val="22"/>
        </w:rPr>
        <w:t xml:space="preserve"> Public Relations</w:t>
      </w:r>
    </w:p>
    <w:p w14:paraId="01DDA640" w14:textId="77777777" w:rsidR="002A501D" w:rsidRPr="007F69DA" w:rsidRDefault="002A501D" w:rsidP="00312CF9">
      <w:pPr>
        <w:pStyle w:val="berschrift2"/>
        <w:ind w:left="576" w:hanging="576"/>
        <w:rPr>
          <w:rFonts w:eastAsiaTheme="minorHAnsi" w:cstheme="minorBidi"/>
          <w:b w:val="0"/>
          <w:bCs w:val="0"/>
          <w:iCs/>
          <w:sz w:val="22"/>
          <w:szCs w:val="22"/>
        </w:rPr>
      </w:pPr>
    </w:p>
    <w:p w14:paraId="6CE52E16" w14:textId="77777777" w:rsidR="00312CF9" w:rsidRDefault="00312CF9" w:rsidP="00312CF9">
      <w:pPr>
        <w:pStyle w:val="berschrift2"/>
        <w:ind w:left="576" w:hanging="576"/>
        <w:rPr>
          <w:rFonts w:eastAsiaTheme="minorHAnsi" w:cstheme="minorBidi"/>
          <w:b w:val="0"/>
          <w:bCs w:val="0"/>
          <w:sz w:val="22"/>
          <w:szCs w:val="22"/>
          <w:lang w:val="en-US"/>
        </w:rPr>
      </w:pPr>
      <w:r w:rsidRPr="00312CF9">
        <w:rPr>
          <w:color w:val="2F5496" w:themeColor="accent5" w:themeShade="BF"/>
          <w:sz w:val="24"/>
          <w:szCs w:val="22"/>
        </w:rPr>
        <w:t>Corporate Governance</w:t>
      </w:r>
      <w:r w:rsidRPr="007F69DA">
        <w:rPr>
          <w:bCs w:val="0"/>
          <w:color w:val="2E74B5"/>
          <w:szCs w:val="22"/>
          <w:lang w:val="en-US"/>
        </w:rPr>
        <w:t xml:space="preserve"> </w:t>
      </w:r>
      <w:r w:rsidRPr="007F69DA">
        <w:rPr>
          <w:rFonts w:eastAsiaTheme="minorHAnsi" w:cstheme="minorBidi"/>
          <w:b w:val="0"/>
          <w:bCs w:val="0"/>
          <w:sz w:val="22"/>
          <w:szCs w:val="22"/>
        </w:rPr>
        <w:sym w:font="Symbol" w:char="F0AE"/>
      </w:r>
      <w:r w:rsidRPr="007F69DA">
        <w:rPr>
          <w:rFonts w:eastAsiaTheme="minorHAnsi" w:cstheme="minorBidi"/>
          <w:b w:val="0"/>
          <w:bCs w:val="0"/>
          <w:sz w:val="22"/>
          <w:szCs w:val="22"/>
          <w:lang w:val="en-US"/>
        </w:rPr>
        <w:t xml:space="preserve"> Public Relations </w:t>
      </w:r>
    </w:p>
    <w:p w14:paraId="32B0ED54" w14:textId="77777777" w:rsidR="002A501D" w:rsidRPr="007F69DA" w:rsidRDefault="002A501D" w:rsidP="00312CF9">
      <w:pPr>
        <w:pStyle w:val="berschrift2"/>
        <w:ind w:left="576" w:hanging="576"/>
        <w:rPr>
          <w:rFonts w:eastAsiaTheme="minorHAnsi" w:cstheme="minorBidi"/>
          <w:b w:val="0"/>
          <w:bCs w:val="0"/>
          <w:iCs/>
          <w:sz w:val="22"/>
          <w:szCs w:val="22"/>
          <w:lang w:val="en-US"/>
        </w:rPr>
      </w:pPr>
    </w:p>
    <w:p w14:paraId="16959E0C" w14:textId="77777777" w:rsidR="00312CF9" w:rsidRDefault="00312CF9" w:rsidP="00312CF9">
      <w:pPr>
        <w:pStyle w:val="berschrift2"/>
        <w:ind w:left="576" w:hanging="576"/>
        <w:rPr>
          <w:rFonts w:eastAsiaTheme="minorHAnsi" w:cstheme="minorBidi"/>
          <w:b w:val="0"/>
          <w:bCs w:val="0"/>
          <w:sz w:val="22"/>
          <w:szCs w:val="22"/>
          <w:lang w:val="en-US"/>
        </w:rPr>
      </w:pPr>
      <w:r w:rsidRPr="00312CF9">
        <w:rPr>
          <w:color w:val="2F5496" w:themeColor="accent5" w:themeShade="BF"/>
          <w:sz w:val="24"/>
          <w:szCs w:val="22"/>
        </w:rPr>
        <w:t>Corporate Reputation</w:t>
      </w:r>
      <w:r w:rsidRPr="007F69DA">
        <w:rPr>
          <w:bCs w:val="0"/>
          <w:color w:val="2E74B5"/>
          <w:szCs w:val="22"/>
          <w:lang w:val="en-US"/>
        </w:rPr>
        <w:t xml:space="preserve"> </w:t>
      </w:r>
      <w:r w:rsidRPr="007F69DA">
        <w:rPr>
          <w:rFonts w:eastAsiaTheme="minorHAnsi" w:cstheme="minorBidi"/>
          <w:b w:val="0"/>
          <w:bCs w:val="0"/>
          <w:sz w:val="22"/>
          <w:szCs w:val="22"/>
        </w:rPr>
        <w:sym w:font="Symbol" w:char="F0AE"/>
      </w:r>
      <w:r w:rsidRPr="007F69DA">
        <w:rPr>
          <w:rFonts w:eastAsiaTheme="minorHAnsi" w:cstheme="minorBidi"/>
          <w:b w:val="0"/>
          <w:bCs w:val="0"/>
          <w:sz w:val="22"/>
          <w:szCs w:val="22"/>
          <w:lang w:val="en-US"/>
        </w:rPr>
        <w:t xml:space="preserve"> Public Relations </w:t>
      </w:r>
    </w:p>
    <w:p w14:paraId="765196F5" w14:textId="77777777" w:rsidR="002A501D" w:rsidRPr="007F69DA" w:rsidRDefault="002A501D" w:rsidP="00312CF9">
      <w:pPr>
        <w:pStyle w:val="berschrift2"/>
        <w:ind w:left="576" w:hanging="576"/>
        <w:rPr>
          <w:rFonts w:eastAsiaTheme="minorHAnsi" w:cstheme="minorBidi"/>
          <w:b w:val="0"/>
          <w:bCs w:val="0"/>
          <w:iCs/>
          <w:sz w:val="22"/>
          <w:szCs w:val="22"/>
          <w:lang w:val="en-US"/>
        </w:rPr>
      </w:pPr>
    </w:p>
    <w:p w14:paraId="0CA91BFA" w14:textId="77777777" w:rsidR="00312CF9" w:rsidRPr="007F69DA" w:rsidRDefault="00312CF9" w:rsidP="00312CF9">
      <w:pPr>
        <w:pStyle w:val="berschrift2"/>
        <w:ind w:left="576" w:hanging="576"/>
        <w:rPr>
          <w:bCs w:val="0"/>
          <w:iCs/>
          <w:color w:val="2E74B5"/>
          <w:szCs w:val="22"/>
          <w:lang w:val="en-US"/>
        </w:rPr>
      </w:pPr>
      <w:r w:rsidRPr="00312CF9">
        <w:rPr>
          <w:color w:val="2F5496" w:themeColor="accent5" w:themeShade="BF"/>
          <w:sz w:val="24"/>
          <w:szCs w:val="22"/>
        </w:rPr>
        <w:t>Corporate Social Responsibility</w:t>
      </w:r>
      <w:r w:rsidRPr="007F69DA">
        <w:rPr>
          <w:bCs w:val="0"/>
          <w:color w:val="2E74B5"/>
          <w:szCs w:val="22"/>
          <w:lang w:val="en-US"/>
        </w:rPr>
        <w:t xml:space="preserve"> </w:t>
      </w:r>
      <w:r w:rsidRPr="007F69DA">
        <w:rPr>
          <w:rFonts w:eastAsiaTheme="minorHAnsi" w:cstheme="minorBidi"/>
          <w:b w:val="0"/>
          <w:bCs w:val="0"/>
          <w:sz w:val="22"/>
          <w:szCs w:val="22"/>
        </w:rPr>
        <w:sym w:font="Symbol" w:char="F0AE"/>
      </w:r>
      <w:r w:rsidRPr="007F69DA">
        <w:rPr>
          <w:rFonts w:eastAsiaTheme="minorHAnsi" w:cstheme="minorBidi"/>
          <w:b w:val="0"/>
          <w:bCs w:val="0"/>
          <w:sz w:val="22"/>
          <w:szCs w:val="22"/>
          <w:lang w:val="en-US"/>
        </w:rPr>
        <w:t xml:space="preserve"> Public Relations</w:t>
      </w:r>
      <w:r w:rsidRPr="007F69DA">
        <w:rPr>
          <w:sz w:val="22"/>
          <w:lang w:val="en-US"/>
        </w:rPr>
        <w:t xml:space="preserve"> </w:t>
      </w:r>
    </w:p>
    <w:p w14:paraId="6BDE95F5" w14:textId="77777777" w:rsidR="00FF7799" w:rsidRPr="00E35FFF" w:rsidRDefault="00FF7799" w:rsidP="0074120C">
      <w:pPr>
        <w:pStyle w:val="berschrift1"/>
        <w:rPr>
          <w:lang w:val="en-US"/>
        </w:rPr>
      </w:pPr>
      <w:r w:rsidRPr="00312CF9">
        <w:rPr>
          <w:color w:val="2F5496" w:themeColor="accent5" w:themeShade="BF"/>
        </w:rPr>
        <w:t>Corruption Perception Index</w:t>
      </w:r>
      <w:r w:rsidRPr="00E35FFF">
        <w:rPr>
          <w:spacing w:val="-13"/>
          <w:lang w:val="en-US"/>
        </w:rPr>
        <w:t xml:space="preserve"> </w:t>
      </w:r>
      <w:r w:rsidRPr="00E35FFF">
        <w:rPr>
          <w:b w:val="0"/>
          <w:lang w:val="en-US"/>
        </w:rPr>
        <w:t>→</w:t>
      </w:r>
      <w:r w:rsidRPr="00E35FFF">
        <w:rPr>
          <w:b w:val="0"/>
          <w:spacing w:val="-2"/>
          <w:lang w:val="en-US"/>
        </w:rPr>
        <w:t xml:space="preserve"> Korruption</w:t>
      </w:r>
    </w:p>
    <w:p w14:paraId="552BBD3B" w14:textId="77777777" w:rsidR="00FF7799" w:rsidRPr="00E35FFF" w:rsidRDefault="00FF7799" w:rsidP="0074120C">
      <w:pPr>
        <w:pStyle w:val="berschrift1"/>
        <w:rPr>
          <w:lang w:val="en-US"/>
        </w:rPr>
      </w:pPr>
      <w:r w:rsidRPr="00312CF9">
        <w:rPr>
          <w:color w:val="2F5496" w:themeColor="accent5" w:themeShade="BF"/>
        </w:rPr>
        <w:t>Counterfeiting Intelligence Bureau</w:t>
      </w:r>
    </w:p>
    <w:p w14:paraId="0A076990" w14:textId="77777777" w:rsidR="00FF7799" w:rsidRPr="00EA5DE3" w:rsidRDefault="00FF7799" w:rsidP="001212D2">
      <w:pPr>
        <w:pStyle w:val="StandardText"/>
      </w:pPr>
      <w:r w:rsidRPr="00EA5DE3">
        <w:t>1985</w:t>
      </w:r>
      <w:r w:rsidRPr="00EA5DE3">
        <w:rPr>
          <w:spacing w:val="-12"/>
        </w:rPr>
        <w:t xml:space="preserve"> </w:t>
      </w:r>
      <w:r w:rsidRPr="00EA5DE3">
        <w:t>von</w:t>
      </w:r>
      <w:r w:rsidRPr="00EA5DE3">
        <w:rPr>
          <w:spacing w:val="-11"/>
        </w:rPr>
        <w:t xml:space="preserve"> </w:t>
      </w:r>
      <w:r w:rsidRPr="00EA5DE3">
        <w:t>der</w:t>
      </w:r>
      <w:r w:rsidRPr="00EA5DE3">
        <w:rPr>
          <w:spacing w:val="-11"/>
        </w:rPr>
        <w:t xml:space="preserve"> </w:t>
      </w:r>
      <w:r w:rsidRPr="00EA5DE3">
        <w:t>Internationalen</w:t>
      </w:r>
      <w:r w:rsidRPr="00EA5DE3">
        <w:rPr>
          <w:spacing w:val="-11"/>
        </w:rPr>
        <w:t xml:space="preserve"> </w:t>
      </w:r>
      <w:r w:rsidRPr="00EA5DE3">
        <w:t>Handelskammer</w:t>
      </w:r>
      <w:r w:rsidRPr="00EA5DE3">
        <w:rPr>
          <w:spacing w:val="-11"/>
        </w:rPr>
        <w:t xml:space="preserve"> </w:t>
      </w:r>
      <w:r w:rsidRPr="00EA5DE3">
        <w:t>(ICC)</w:t>
      </w:r>
      <w:r w:rsidRPr="00EA5DE3">
        <w:rPr>
          <w:spacing w:val="-9"/>
        </w:rPr>
        <w:t xml:space="preserve"> </w:t>
      </w:r>
      <w:r w:rsidRPr="00EA5DE3">
        <w:t>in</w:t>
      </w:r>
      <w:r w:rsidRPr="00EA5DE3">
        <w:rPr>
          <w:spacing w:val="-11"/>
        </w:rPr>
        <w:t xml:space="preserve"> </w:t>
      </w:r>
      <w:r w:rsidRPr="00EA5DE3">
        <w:t>London</w:t>
      </w:r>
      <w:r w:rsidRPr="00EA5DE3">
        <w:rPr>
          <w:spacing w:val="-12"/>
        </w:rPr>
        <w:t xml:space="preserve"> </w:t>
      </w:r>
      <w:r w:rsidRPr="00EA5DE3">
        <w:t>gegründet,</w:t>
      </w:r>
      <w:r w:rsidRPr="00EA5DE3">
        <w:rPr>
          <w:spacing w:val="-11"/>
        </w:rPr>
        <w:t xml:space="preserve"> </w:t>
      </w:r>
      <w:r w:rsidRPr="00EA5DE3">
        <w:t>verfügt das</w:t>
      </w:r>
      <w:r w:rsidRPr="00EA5DE3">
        <w:rPr>
          <w:spacing w:val="-3"/>
        </w:rPr>
        <w:t xml:space="preserve"> </w:t>
      </w:r>
      <w:r w:rsidRPr="00EA5DE3">
        <w:t>CIB</w:t>
      </w:r>
      <w:r w:rsidRPr="00EA5DE3">
        <w:rPr>
          <w:spacing w:val="-2"/>
        </w:rPr>
        <w:t xml:space="preserve"> </w:t>
      </w:r>
      <w:r w:rsidRPr="00EA5DE3">
        <w:t>über</w:t>
      </w:r>
      <w:r w:rsidRPr="00EA5DE3">
        <w:rPr>
          <w:spacing w:val="-3"/>
        </w:rPr>
        <w:t xml:space="preserve"> </w:t>
      </w:r>
      <w:r w:rsidRPr="00EA5DE3">
        <w:t>ein</w:t>
      </w:r>
      <w:r w:rsidRPr="00EA5DE3">
        <w:rPr>
          <w:spacing w:val="-2"/>
        </w:rPr>
        <w:t xml:space="preserve"> </w:t>
      </w:r>
      <w:r w:rsidRPr="00EA5DE3">
        <w:t>weltweites</w:t>
      </w:r>
      <w:r w:rsidRPr="00EA5DE3">
        <w:rPr>
          <w:spacing w:val="-3"/>
        </w:rPr>
        <w:t xml:space="preserve"> </w:t>
      </w:r>
      <w:r w:rsidRPr="00EA5DE3">
        <w:t>Netzwerk</w:t>
      </w:r>
      <w:r w:rsidRPr="00EA5DE3">
        <w:rPr>
          <w:spacing w:val="-2"/>
        </w:rPr>
        <w:t xml:space="preserve"> </w:t>
      </w:r>
      <w:r w:rsidRPr="00EA5DE3">
        <w:t>von</w:t>
      </w:r>
      <w:r w:rsidRPr="00EA5DE3">
        <w:rPr>
          <w:spacing w:val="-4"/>
        </w:rPr>
        <w:t xml:space="preserve"> </w:t>
      </w:r>
      <w:r w:rsidRPr="00EA5DE3">
        <w:t>57</w:t>
      </w:r>
      <w:r w:rsidRPr="00EA5DE3">
        <w:rPr>
          <w:spacing w:val="-4"/>
        </w:rPr>
        <w:t xml:space="preserve"> </w:t>
      </w:r>
      <w:r w:rsidRPr="00EA5DE3">
        <w:t>internationalen</w:t>
      </w:r>
      <w:r w:rsidRPr="00EA5DE3">
        <w:rPr>
          <w:spacing w:val="-2"/>
        </w:rPr>
        <w:t xml:space="preserve"> </w:t>
      </w:r>
      <w:r w:rsidRPr="00EA5DE3">
        <w:t>Komitees.</w:t>
      </w:r>
      <w:r w:rsidRPr="00EA5DE3">
        <w:rPr>
          <w:spacing w:val="-3"/>
        </w:rPr>
        <w:t xml:space="preserve"> </w:t>
      </w:r>
      <w:r w:rsidRPr="00EA5DE3">
        <w:t>Dies</w:t>
      </w:r>
      <w:r w:rsidRPr="00EA5DE3">
        <w:rPr>
          <w:spacing w:val="-3"/>
        </w:rPr>
        <w:t xml:space="preserve"> </w:t>
      </w:r>
      <w:r w:rsidRPr="00EA5DE3">
        <w:t>und mannigfaltige</w:t>
      </w:r>
      <w:r w:rsidRPr="00EA5DE3">
        <w:rPr>
          <w:spacing w:val="-8"/>
        </w:rPr>
        <w:t xml:space="preserve"> </w:t>
      </w:r>
      <w:r w:rsidRPr="00EA5DE3">
        <w:t>internationale</w:t>
      </w:r>
      <w:r w:rsidRPr="00EA5DE3">
        <w:rPr>
          <w:spacing w:val="-8"/>
        </w:rPr>
        <w:t xml:space="preserve"> </w:t>
      </w:r>
      <w:r w:rsidRPr="00EA5DE3">
        <w:t>Kontakte</w:t>
      </w:r>
      <w:r w:rsidRPr="00EA5DE3">
        <w:rPr>
          <w:spacing w:val="-8"/>
        </w:rPr>
        <w:t xml:space="preserve"> </w:t>
      </w:r>
      <w:r w:rsidRPr="00EA5DE3">
        <w:t>versetzen</w:t>
      </w:r>
      <w:r w:rsidRPr="00EA5DE3">
        <w:rPr>
          <w:spacing w:val="-9"/>
        </w:rPr>
        <w:t xml:space="preserve"> </w:t>
      </w:r>
      <w:r w:rsidRPr="00EA5DE3">
        <w:t>das</w:t>
      </w:r>
      <w:r w:rsidRPr="00EA5DE3">
        <w:rPr>
          <w:spacing w:val="-8"/>
        </w:rPr>
        <w:t xml:space="preserve"> </w:t>
      </w:r>
      <w:r w:rsidRPr="00EA5DE3">
        <w:t>CIB</w:t>
      </w:r>
      <w:r w:rsidRPr="00EA5DE3">
        <w:rPr>
          <w:spacing w:val="-10"/>
        </w:rPr>
        <w:t xml:space="preserve"> </w:t>
      </w:r>
      <w:r w:rsidRPr="00EA5DE3">
        <w:t>in</w:t>
      </w:r>
      <w:r w:rsidRPr="00EA5DE3">
        <w:rPr>
          <w:spacing w:val="-9"/>
        </w:rPr>
        <w:t xml:space="preserve"> </w:t>
      </w:r>
      <w:r w:rsidRPr="00EA5DE3">
        <w:t>die</w:t>
      </w:r>
      <w:r w:rsidRPr="00EA5DE3">
        <w:rPr>
          <w:spacing w:val="-10"/>
        </w:rPr>
        <w:t xml:space="preserve"> </w:t>
      </w:r>
      <w:r w:rsidRPr="00EA5DE3">
        <w:t>Lage,</w:t>
      </w:r>
      <w:r w:rsidRPr="00EA5DE3">
        <w:rPr>
          <w:spacing w:val="-7"/>
        </w:rPr>
        <w:t xml:space="preserve"> </w:t>
      </w:r>
      <w:r w:rsidRPr="00EA5DE3">
        <w:t>weltweit</w:t>
      </w:r>
      <w:r w:rsidRPr="00EA5DE3">
        <w:rPr>
          <w:spacing w:val="-7"/>
        </w:rPr>
        <w:t xml:space="preserve"> </w:t>
      </w:r>
      <w:r w:rsidRPr="00EA5DE3">
        <w:t>den Produkt-</w:t>
      </w:r>
      <w:r w:rsidRPr="00EA5DE3">
        <w:rPr>
          <w:spacing w:val="-12"/>
        </w:rPr>
        <w:t xml:space="preserve"> </w:t>
      </w:r>
      <w:r w:rsidRPr="00EA5DE3">
        <w:t>und</w:t>
      </w:r>
      <w:r w:rsidRPr="00EA5DE3">
        <w:rPr>
          <w:spacing w:val="-11"/>
        </w:rPr>
        <w:t xml:space="preserve"> </w:t>
      </w:r>
      <w:r w:rsidRPr="00EA5DE3">
        <w:t>Markenpiraten</w:t>
      </w:r>
      <w:r w:rsidRPr="00EA5DE3">
        <w:rPr>
          <w:spacing w:val="-11"/>
        </w:rPr>
        <w:t xml:space="preserve"> </w:t>
      </w:r>
      <w:r w:rsidRPr="00EA5DE3">
        <w:t>nachzuspüren</w:t>
      </w:r>
      <w:r w:rsidRPr="00EA5DE3">
        <w:rPr>
          <w:spacing w:val="-11"/>
        </w:rPr>
        <w:t xml:space="preserve"> </w:t>
      </w:r>
      <w:r w:rsidR="005251EC" w:rsidRPr="00EA5DE3">
        <w:t>(</w:t>
      </w:r>
      <w:r w:rsidR="005251EC" w:rsidRPr="00EA5DE3">
        <w:sym w:font="Symbol" w:char="F0DE"/>
      </w:r>
      <w:r w:rsidR="005251EC" w:rsidRPr="00EA5DE3">
        <w:t xml:space="preserve"> </w:t>
      </w:r>
      <w:r w:rsidRPr="00EA5DE3">
        <w:rPr>
          <w:spacing w:val="-12"/>
        </w:rPr>
        <w:t xml:space="preserve"> </w:t>
      </w:r>
      <w:r w:rsidRPr="00EA5DE3">
        <w:t>Marken-</w:t>
      </w:r>
      <w:r w:rsidRPr="00EA5DE3">
        <w:rPr>
          <w:spacing w:val="-11"/>
        </w:rPr>
        <w:t xml:space="preserve"> </w:t>
      </w:r>
      <w:r w:rsidRPr="00EA5DE3">
        <w:t>und</w:t>
      </w:r>
      <w:r w:rsidRPr="00EA5DE3">
        <w:rPr>
          <w:spacing w:val="-11"/>
        </w:rPr>
        <w:t xml:space="preserve"> </w:t>
      </w:r>
      <w:r w:rsidRPr="00EA5DE3">
        <w:t>Produktpiraterie).</w:t>
      </w:r>
      <w:r w:rsidRPr="00EA5DE3">
        <w:rPr>
          <w:spacing w:val="-11"/>
        </w:rPr>
        <w:t xml:space="preserve"> </w:t>
      </w:r>
      <w:r w:rsidRPr="00EA5DE3">
        <w:t>Die dabei</w:t>
      </w:r>
      <w:r w:rsidRPr="00EA5DE3">
        <w:rPr>
          <w:spacing w:val="-12"/>
        </w:rPr>
        <w:t xml:space="preserve"> </w:t>
      </w:r>
      <w:r w:rsidRPr="00EA5DE3">
        <w:t>gewonnenen</w:t>
      </w:r>
      <w:r w:rsidRPr="00EA5DE3">
        <w:rPr>
          <w:spacing w:val="-11"/>
        </w:rPr>
        <w:t xml:space="preserve"> </w:t>
      </w:r>
      <w:r w:rsidRPr="00EA5DE3">
        <w:t>Erkenntnisse</w:t>
      </w:r>
      <w:r w:rsidRPr="00EA5DE3">
        <w:rPr>
          <w:spacing w:val="-11"/>
        </w:rPr>
        <w:t xml:space="preserve"> </w:t>
      </w:r>
      <w:r w:rsidRPr="00EA5DE3">
        <w:t>werden</w:t>
      </w:r>
      <w:r w:rsidRPr="00EA5DE3">
        <w:rPr>
          <w:spacing w:val="-11"/>
        </w:rPr>
        <w:t xml:space="preserve"> </w:t>
      </w:r>
      <w:r w:rsidRPr="00EA5DE3">
        <w:t>in</w:t>
      </w:r>
      <w:r w:rsidRPr="00EA5DE3">
        <w:rPr>
          <w:spacing w:val="-12"/>
        </w:rPr>
        <w:t xml:space="preserve"> </w:t>
      </w:r>
      <w:r w:rsidRPr="00EA5DE3">
        <w:t>einer</w:t>
      </w:r>
      <w:r w:rsidRPr="00EA5DE3">
        <w:rPr>
          <w:spacing w:val="-11"/>
        </w:rPr>
        <w:t xml:space="preserve"> </w:t>
      </w:r>
      <w:r w:rsidRPr="00EA5DE3">
        <w:t>speziellen</w:t>
      </w:r>
      <w:r w:rsidRPr="00EA5DE3">
        <w:rPr>
          <w:spacing w:val="-11"/>
        </w:rPr>
        <w:t xml:space="preserve"> </w:t>
      </w:r>
      <w:r w:rsidRPr="00EA5DE3">
        <w:t>Datenbank</w:t>
      </w:r>
      <w:r w:rsidRPr="00EA5DE3">
        <w:rPr>
          <w:spacing w:val="-11"/>
        </w:rPr>
        <w:t xml:space="preserve"> </w:t>
      </w:r>
      <w:r w:rsidRPr="00EA5DE3">
        <w:t>gespeichert. Weiterhin lässt das CIB Kataloge von Piratenware erstellen und berät internationale</w:t>
      </w:r>
      <w:r w:rsidRPr="00EA5DE3">
        <w:rPr>
          <w:spacing w:val="-3"/>
        </w:rPr>
        <w:t xml:space="preserve"> </w:t>
      </w:r>
      <w:r w:rsidRPr="00EA5DE3">
        <w:t>Organisationen</w:t>
      </w:r>
      <w:r w:rsidRPr="00EA5DE3">
        <w:rPr>
          <w:spacing w:val="-3"/>
        </w:rPr>
        <w:t xml:space="preserve"> </w:t>
      </w:r>
      <w:r w:rsidRPr="00EA5DE3">
        <w:t>(z.B.</w:t>
      </w:r>
      <w:r w:rsidRPr="00EA5DE3">
        <w:rPr>
          <w:spacing w:val="-3"/>
        </w:rPr>
        <w:t xml:space="preserve"> </w:t>
      </w:r>
      <w:r w:rsidRPr="00EA5DE3">
        <w:t>die</w:t>
      </w:r>
      <w:r w:rsidRPr="00EA5DE3">
        <w:rPr>
          <w:spacing w:val="-1"/>
        </w:rPr>
        <w:t xml:space="preserve"> </w:t>
      </w:r>
      <w:r w:rsidRPr="00EA5DE3">
        <w:t>Weltorganisation</w:t>
      </w:r>
      <w:r w:rsidRPr="00EA5DE3">
        <w:rPr>
          <w:spacing w:val="-3"/>
        </w:rPr>
        <w:t xml:space="preserve"> </w:t>
      </w:r>
      <w:r w:rsidRPr="00EA5DE3">
        <w:t>für</w:t>
      </w:r>
      <w:r w:rsidRPr="00EA5DE3">
        <w:rPr>
          <w:spacing w:val="-3"/>
        </w:rPr>
        <w:t xml:space="preserve"> </w:t>
      </w:r>
      <w:r w:rsidRPr="00EA5DE3">
        <w:t>geistiges</w:t>
      </w:r>
      <w:r w:rsidRPr="00EA5DE3">
        <w:rPr>
          <w:spacing w:val="-3"/>
        </w:rPr>
        <w:t xml:space="preserve"> </w:t>
      </w:r>
      <w:r w:rsidRPr="00EA5DE3">
        <w:t>Eigentum</w:t>
      </w:r>
      <w:r w:rsidRPr="00EA5DE3">
        <w:rPr>
          <w:spacing w:val="-3"/>
        </w:rPr>
        <w:t xml:space="preserve"> </w:t>
      </w:r>
      <w:r w:rsidRPr="00EA5DE3">
        <w:t>– WIPO oder den Rat für Zusammenarbeit auf dem Gebiet des Zollwesens – RZZ). Dachverband ist die Global Anti-Counterfeiting Group (GACG). Durch Lobbyarbeit in Brüssel und auf nationaler Ebene will man das Bewusstsein der politisch Verantwortlichen für die Problematik schärfen.</w:t>
      </w:r>
    </w:p>
    <w:p w14:paraId="596966B8" w14:textId="77777777" w:rsidR="00FF7799" w:rsidRPr="00E73F6F" w:rsidRDefault="00FF7799" w:rsidP="001212D2">
      <w:pPr>
        <w:pStyle w:val="StandardText"/>
      </w:pPr>
    </w:p>
    <w:p w14:paraId="3B967D88" w14:textId="77777777" w:rsidR="00FF7799" w:rsidRPr="00312CF9" w:rsidRDefault="00FF7799" w:rsidP="00312CF9">
      <w:pPr>
        <w:pStyle w:val="berschrift1"/>
        <w:rPr>
          <w:color w:val="2F5496" w:themeColor="accent5" w:themeShade="BF"/>
        </w:rPr>
      </w:pPr>
      <w:r w:rsidRPr="00312CF9">
        <w:rPr>
          <w:color w:val="2F5496" w:themeColor="accent5" w:themeShade="BF"/>
        </w:rPr>
        <w:t>Country of Origin</w:t>
      </w:r>
    </w:p>
    <w:p w14:paraId="175A9856" w14:textId="77777777" w:rsidR="005251EC" w:rsidRDefault="00FF7799" w:rsidP="001212D2">
      <w:pPr>
        <w:pStyle w:val="StandardText"/>
      </w:pPr>
      <w:r w:rsidRPr="00E73F6F">
        <w:lastRenderedPageBreak/>
        <w:t xml:space="preserve">Land, in dem ein Produkt (überwiegend) hergestellt wurde. Die Country-of- Origin-Forschung untersucht den Einfluss des Herkunftslandes eines Produkts auf Kaufwahrscheinlichkeit, Zahlungsbereitschaft </w:t>
      </w:r>
      <w:r w:rsidR="005251EC">
        <w:t xml:space="preserve">etc. </w:t>
      </w:r>
    </w:p>
    <w:p w14:paraId="0992CB20" w14:textId="77777777" w:rsidR="005251EC" w:rsidRDefault="005251EC" w:rsidP="001212D2">
      <w:pPr>
        <w:pStyle w:val="StandardText"/>
      </w:pPr>
    </w:p>
    <w:p w14:paraId="5F8740B9" w14:textId="77777777" w:rsidR="005251EC" w:rsidRPr="00EA5DE3" w:rsidRDefault="00EA5DE3" w:rsidP="001212D2">
      <w:pPr>
        <w:pStyle w:val="StandardText"/>
      </w:pPr>
      <w:r w:rsidRPr="00EA5DE3">
        <w:t xml:space="preserve">1 </w:t>
      </w:r>
      <w:r w:rsidR="005251EC" w:rsidRPr="00EA5DE3">
        <w:t>Made in Country-Index</w:t>
      </w:r>
    </w:p>
    <w:p w14:paraId="62CAD897" w14:textId="77777777" w:rsidR="00FF7799" w:rsidRDefault="005251EC" w:rsidP="001212D2">
      <w:pPr>
        <w:pStyle w:val="StandardText"/>
      </w:pPr>
      <w:r>
        <w:t>Gemäß dem Made in Country-</w:t>
      </w:r>
      <w:r w:rsidR="00FF7799" w:rsidRPr="00E73F6F">
        <w:t>Index, den das Statistikportal Statista in Zusammenarbeit mit dem Marktforschungsunternehmen Dalia Research 2017 auf der Basis der Auskünfte von etwa 43.000 Verbrauchern in 52 Ländern erstellt hat, vertrauen die Konsumenten dem „Made in Germany" am meisten, gefolgt von „Made im Switzerland“ und „Made in EU“. Die angelsächsischen Länder folgen auf den Plätzen 4 (= Großbritannien), 6 (= Kanada) und 8 (= USA). Die spezifische Stärke der deutschen Wirtschaft sind gemäß dieser Studie „Qualität" und „Sicherheitsstandards", während schweizerische Unternehmen bei den Kategorien „Statussymbol" und „Authentizität" punkten, Italien bei „Design", Japan bei „Spitzentechnologie" und China bei „Preis-/Leistungsverhältnis".</w:t>
      </w:r>
    </w:p>
    <w:p w14:paraId="1AA4C95A" w14:textId="77777777" w:rsidR="00C76DC3" w:rsidRPr="00E73F6F" w:rsidRDefault="00C76DC3" w:rsidP="001212D2">
      <w:pPr>
        <w:pStyle w:val="StandardText"/>
      </w:pPr>
    </w:p>
    <w:p w14:paraId="1AE3FB77" w14:textId="77777777" w:rsidR="00FF7799" w:rsidRPr="00C76DC3" w:rsidRDefault="00FF7799" w:rsidP="001212D2">
      <w:pPr>
        <w:pStyle w:val="BeschriftungTab"/>
        <w:rPr>
          <w:i/>
          <w:iCs/>
          <w:color w:val="000000" w:themeColor="text1"/>
          <w:lang w:val="en-US"/>
        </w:rPr>
      </w:pPr>
      <w:r w:rsidRPr="00C76DC3">
        <w:rPr>
          <w:i/>
          <w:iCs/>
          <w:lang w:val="en-US"/>
        </w:rPr>
        <w:t xml:space="preserve">Abb. 1: </w:t>
      </w:r>
      <w:r w:rsidR="005251EC" w:rsidRPr="00C76DC3">
        <w:rPr>
          <w:i/>
          <w:iCs/>
          <w:color w:val="000000" w:themeColor="text1"/>
          <w:lang w:val="en-US"/>
        </w:rPr>
        <w:t>Rangliste des Made in Country-Index</w:t>
      </w:r>
    </w:p>
    <w:p w14:paraId="3732B935" w14:textId="77777777" w:rsidR="00FF7799" w:rsidRPr="00E73F6F" w:rsidRDefault="00FF7799" w:rsidP="00740A8C">
      <w:pPr>
        <w:spacing w:before="1"/>
        <w:jc w:val="center"/>
        <w:rPr>
          <w:sz w:val="24"/>
          <w:szCs w:val="24"/>
        </w:rPr>
      </w:pPr>
      <w:r w:rsidRPr="00E73F6F">
        <w:rPr>
          <w:noProof/>
          <w:sz w:val="24"/>
          <w:szCs w:val="24"/>
          <w:lang w:eastAsia="de-DE"/>
        </w:rPr>
        <w:drawing>
          <wp:inline distT="0" distB="0" distL="0" distR="0" wp14:anchorId="1C4197CE" wp14:editId="1B6989DD">
            <wp:extent cx="5753819" cy="5671489"/>
            <wp:effectExtent l="0" t="0" r="0" b="5715"/>
            <wp:docPr id="2296489" name="Image 6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2" name="Image 632"/>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794828" cy="5711911"/>
                    </a:xfrm>
                    <a:prstGeom prst="rect">
                      <a:avLst/>
                    </a:prstGeom>
                  </pic:spPr>
                </pic:pic>
              </a:graphicData>
            </a:graphic>
          </wp:inline>
        </w:drawing>
      </w:r>
    </w:p>
    <w:p w14:paraId="2FF7E9D7" w14:textId="77777777" w:rsidR="00FF7799" w:rsidRPr="00E73F6F" w:rsidRDefault="005251EC" w:rsidP="00B7163B">
      <w:pPr>
        <w:pStyle w:val="Quellen"/>
      </w:pPr>
      <w:r>
        <w:lastRenderedPageBreak/>
        <w:t xml:space="preserve">Legende: </w:t>
      </w:r>
      <w:r w:rsidR="00FF7799" w:rsidRPr="00E73F6F">
        <w:t>1 = Deutschland, 2 = Schweiz, 3 = Europäische Union, 4 = Großbritannien, 5 = Schweden, 6 = Kanada, 7 = Italien, 8 = Japan, 8 = Frankreich, 8 = USA, 11 = Finnland, 11 = Norwegen, 3 = Niederlande, 14 = Australien, 15 = Neuseeland, 20 = Spanien, 30 = Argentinien, 42 = Indien, 49 = China</w:t>
      </w:r>
    </w:p>
    <w:p w14:paraId="54D2B0CD" w14:textId="77777777" w:rsidR="00EA5DE3" w:rsidRDefault="00EA5DE3" w:rsidP="001212D2">
      <w:pPr>
        <w:pStyle w:val="StandardText"/>
      </w:pPr>
    </w:p>
    <w:p w14:paraId="31D57E31" w14:textId="77777777" w:rsidR="00FF7799" w:rsidRPr="00E73F6F" w:rsidRDefault="00FF7799" w:rsidP="001212D2">
      <w:pPr>
        <w:pStyle w:val="StandardText"/>
      </w:pPr>
      <w:r w:rsidRPr="00E73F6F">
        <w:t>Unter</w:t>
      </w:r>
      <w:r w:rsidRPr="00E73F6F">
        <w:rPr>
          <w:spacing w:val="-2"/>
        </w:rPr>
        <w:t xml:space="preserve"> </w:t>
      </w:r>
      <w:r w:rsidRPr="00E73F6F">
        <w:t>bestimmten</w:t>
      </w:r>
      <w:r w:rsidRPr="00E73F6F">
        <w:rPr>
          <w:spacing w:val="-1"/>
        </w:rPr>
        <w:t xml:space="preserve"> </w:t>
      </w:r>
      <w:r w:rsidRPr="00E73F6F">
        <w:t>Bedingungen</w:t>
      </w:r>
      <w:r w:rsidRPr="00E73F6F">
        <w:rPr>
          <w:spacing w:val="-1"/>
        </w:rPr>
        <w:t xml:space="preserve"> </w:t>
      </w:r>
      <w:r w:rsidRPr="00E73F6F">
        <w:t>(z.B.</w:t>
      </w:r>
      <w:r w:rsidRPr="00E73F6F">
        <w:rPr>
          <w:spacing w:val="-1"/>
        </w:rPr>
        <w:t xml:space="preserve"> </w:t>
      </w:r>
      <w:r w:rsidRPr="00E73F6F">
        <w:t>Zeitdruck,</w:t>
      </w:r>
      <w:r w:rsidRPr="00E73F6F">
        <w:rPr>
          <w:spacing w:val="-1"/>
        </w:rPr>
        <w:t xml:space="preserve"> </w:t>
      </w:r>
      <w:r w:rsidRPr="00E73F6F">
        <w:t xml:space="preserve">geringes </w:t>
      </w:r>
      <w:r w:rsidRPr="00E73F6F">
        <w:rPr>
          <w:rFonts w:ascii="Cambria Math" w:hAnsi="Cambria Math" w:cs="Cambria Math"/>
        </w:rPr>
        <w:t>⇒</w:t>
      </w:r>
      <w:r w:rsidRPr="00E73F6F">
        <w:t xml:space="preserve"> Involvement)</w:t>
      </w:r>
      <w:r w:rsidRPr="00E73F6F">
        <w:rPr>
          <w:spacing w:val="-1"/>
        </w:rPr>
        <w:t xml:space="preserve"> </w:t>
      </w:r>
      <w:r w:rsidRPr="00E73F6F">
        <w:t>ziehen Käufer das Herkunftsland eines Produkts als ‘information chunk‘ heran: Anstatt viele einzelne Informationen zu</w:t>
      </w:r>
      <w:r w:rsidRPr="00E73F6F">
        <w:rPr>
          <w:spacing w:val="-2"/>
        </w:rPr>
        <w:t xml:space="preserve"> </w:t>
      </w:r>
      <w:r w:rsidRPr="00E73F6F">
        <w:t>verarbeiten, beurteilen sie ein Produkt, indem sie auf ein abstraktes Schema zurückgreifen, dem ein generelles, zumeist wertendes Urteil</w:t>
      </w:r>
      <w:r w:rsidRPr="00E73F6F">
        <w:rPr>
          <w:spacing w:val="-10"/>
        </w:rPr>
        <w:t xml:space="preserve"> </w:t>
      </w:r>
      <w:r w:rsidRPr="00E73F6F">
        <w:t>über</w:t>
      </w:r>
      <w:r w:rsidRPr="00E73F6F">
        <w:rPr>
          <w:spacing w:val="-10"/>
        </w:rPr>
        <w:t xml:space="preserve"> </w:t>
      </w:r>
      <w:r w:rsidRPr="00E73F6F">
        <w:t>ein</w:t>
      </w:r>
      <w:r w:rsidRPr="00E73F6F">
        <w:rPr>
          <w:spacing w:val="-9"/>
        </w:rPr>
        <w:t xml:space="preserve"> </w:t>
      </w:r>
      <w:r w:rsidRPr="00E73F6F">
        <w:t>Land</w:t>
      </w:r>
      <w:r w:rsidRPr="00E73F6F">
        <w:rPr>
          <w:spacing w:val="-9"/>
        </w:rPr>
        <w:t xml:space="preserve"> </w:t>
      </w:r>
      <w:r w:rsidRPr="00E73F6F">
        <w:t>zugrunde</w:t>
      </w:r>
      <w:r w:rsidRPr="00E73F6F">
        <w:rPr>
          <w:spacing w:val="-11"/>
        </w:rPr>
        <w:t xml:space="preserve"> </w:t>
      </w:r>
      <w:r w:rsidRPr="00E73F6F">
        <w:t>liegt.</w:t>
      </w:r>
      <w:r w:rsidRPr="00E73F6F">
        <w:rPr>
          <w:spacing w:val="-9"/>
        </w:rPr>
        <w:t xml:space="preserve"> </w:t>
      </w:r>
      <w:r w:rsidRPr="00E73F6F">
        <w:t>Dieses</w:t>
      </w:r>
      <w:r w:rsidRPr="00E73F6F">
        <w:rPr>
          <w:spacing w:val="-11"/>
        </w:rPr>
        <w:t xml:space="preserve"> </w:t>
      </w:r>
      <w:r w:rsidRPr="00E73F6F">
        <w:t>Schema,</w:t>
      </w:r>
      <w:r w:rsidRPr="00E73F6F">
        <w:rPr>
          <w:spacing w:val="-10"/>
        </w:rPr>
        <w:t xml:space="preserve"> </w:t>
      </w:r>
      <w:r w:rsidRPr="00E73F6F">
        <w:t>das</w:t>
      </w:r>
      <w:r w:rsidRPr="00E73F6F">
        <w:rPr>
          <w:spacing w:val="-11"/>
        </w:rPr>
        <w:t xml:space="preserve"> </w:t>
      </w:r>
      <w:r w:rsidRPr="00E73F6F">
        <w:t>Länderstereotyp,</w:t>
      </w:r>
      <w:r w:rsidRPr="00E73F6F">
        <w:rPr>
          <w:spacing w:val="-10"/>
        </w:rPr>
        <w:t xml:space="preserve"> </w:t>
      </w:r>
      <w:r w:rsidRPr="00E73F6F">
        <w:t>wird</w:t>
      </w:r>
      <w:r w:rsidRPr="00E73F6F">
        <w:rPr>
          <w:spacing w:val="-9"/>
        </w:rPr>
        <w:t xml:space="preserve"> </w:t>
      </w:r>
      <w:r w:rsidRPr="00E73F6F">
        <w:t>auf die von dort stammenden Produkte übertragen (z.B. Autos aus Deutschland = zuverlässig, Mode aus Italien = chic). Dabei lassen sich zwei prinzipiell unterschiedliche „Pfade“ der Beeinflussung des Gesamturteils unterscheiden: direkter vs. indirekter Pfad der Beeinflussung.</w:t>
      </w:r>
    </w:p>
    <w:p w14:paraId="6656EFD8" w14:textId="77777777" w:rsidR="00740A8C" w:rsidRPr="00E73F6F" w:rsidRDefault="00740A8C" w:rsidP="001212D2">
      <w:pPr>
        <w:pStyle w:val="StandardText"/>
      </w:pPr>
    </w:p>
    <w:p w14:paraId="303C2DB3" w14:textId="77777777" w:rsidR="00FF7799" w:rsidRPr="00EA5DE3" w:rsidRDefault="00EA5DE3" w:rsidP="001212D2">
      <w:pPr>
        <w:pStyle w:val="StandardTextkursiv"/>
        <w:rPr>
          <w:i w:val="0"/>
        </w:rPr>
      </w:pPr>
      <w:r w:rsidRPr="00EA5DE3">
        <w:rPr>
          <w:i w:val="0"/>
        </w:rPr>
        <w:t xml:space="preserve">2 </w:t>
      </w:r>
      <w:r w:rsidR="00FF7799" w:rsidRPr="00EA5DE3">
        <w:rPr>
          <w:i w:val="0"/>
        </w:rPr>
        <w:t>Attributdominanz</w:t>
      </w:r>
    </w:p>
    <w:p w14:paraId="0FB20C04" w14:textId="77777777" w:rsidR="00FF7799" w:rsidRPr="00E73F6F" w:rsidRDefault="00FF7799" w:rsidP="001212D2">
      <w:pPr>
        <w:pStyle w:val="StandardText"/>
      </w:pPr>
      <w:r w:rsidRPr="00E73F6F">
        <w:t>Sind Konsumenten mit dem zu beurteilenden Produkt (Automobil, Fernsehgerät etc.)</w:t>
      </w:r>
      <w:r w:rsidRPr="00E73F6F">
        <w:rPr>
          <w:spacing w:val="-7"/>
        </w:rPr>
        <w:t xml:space="preserve"> </w:t>
      </w:r>
      <w:r w:rsidRPr="00E73F6F">
        <w:t>vertraut,</w:t>
      </w:r>
      <w:r w:rsidRPr="00E73F6F">
        <w:rPr>
          <w:spacing w:val="-12"/>
        </w:rPr>
        <w:t xml:space="preserve"> </w:t>
      </w:r>
      <w:r w:rsidRPr="00E73F6F">
        <w:t>dann</w:t>
      </w:r>
      <w:r w:rsidRPr="00E73F6F">
        <w:rPr>
          <w:spacing w:val="-8"/>
        </w:rPr>
        <w:t xml:space="preserve"> </w:t>
      </w:r>
      <w:r w:rsidRPr="00E73F6F">
        <w:t>neigen</w:t>
      </w:r>
      <w:r w:rsidRPr="00E73F6F">
        <w:rPr>
          <w:spacing w:val="-7"/>
        </w:rPr>
        <w:t xml:space="preserve"> </w:t>
      </w:r>
      <w:r w:rsidRPr="00E73F6F">
        <w:t>sie</w:t>
      </w:r>
      <w:r w:rsidRPr="00E73F6F">
        <w:rPr>
          <w:spacing w:val="-11"/>
        </w:rPr>
        <w:t xml:space="preserve"> </w:t>
      </w:r>
      <w:r w:rsidRPr="00E73F6F">
        <w:t>dazu,</w:t>
      </w:r>
      <w:r w:rsidRPr="00E73F6F">
        <w:rPr>
          <w:spacing w:val="-10"/>
        </w:rPr>
        <w:t xml:space="preserve"> </w:t>
      </w:r>
      <w:r w:rsidRPr="00E73F6F">
        <w:t>die</w:t>
      </w:r>
      <w:r w:rsidRPr="00E73F6F">
        <w:rPr>
          <w:spacing w:val="-8"/>
        </w:rPr>
        <w:t xml:space="preserve"> </w:t>
      </w:r>
      <w:r w:rsidRPr="00E73F6F">
        <w:t>Information</w:t>
      </w:r>
      <w:r w:rsidRPr="00E73F6F">
        <w:rPr>
          <w:spacing w:val="-9"/>
        </w:rPr>
        <w:t xml:space="preserve"> </w:t>
      </w:r>
      <w:r w:rsidRPr="00E73F6F">
        <w:t>„Herkunftsland“</w:t>
      </w:r>
      <w:r w:rsidRPr="00E73F6F">
        <w:rPr>
          <w:spacing w:val="-8"/>
        </w:rPr>
        <w:t xml:space="preserve"> </w:t>
      </w:r>
      <w:r w:rsidRPr="00E73F6F">
        <w:t>als</w:t>
      </w:r>
      <w:r w:rsidRPr="00E73F6F">
        <w:rPr>
          <w:spacing w:val="-8"/>
        </w:rPr>
        <w:t xml:space="preserve"> </w:t>
      </w:r>
      <w:r w:rsidRPr="00E73F6F">
        <w:t xml:space="preserve">Summary Construct zu nutzen (vgl. Han 1989). Dieses fasst eine Reihe von Einzelinformationen zusammen und beeinflusst das Gesamturteil direkt (vgl. </w:t>
      </w:r>
      <w:r w:rsidRPr="00E73F6F">
        <w:rPr>
          <w:spacing w:val="-2"/>
        </w:rPr>
        <w:t>Abb. 2).</w:t>
      </w:r>
    </w:p>
    <w:p w14:paraId="3C839CB7" w14:textId="77777777" w:rsidR="00FF7799" w:rsidRPr="00E73F6F" w:rsidRDefault="00FF7799" w:rsidP="001212D2">
      <w:pPr>
        <w:pStyle w:val="StandardText"/>
      </w:pPr>
    </w:p>
    <w:p w14:paraId="201FF937" w14:textId="77777777" w:rsidR="00FF7799" w:rsidRPr="00C76DC3" w:rsidRDefault="00FF7799" w:rsidP="001212D2">
      <w:pPr>
        <w:pStyle w:val="BeschriftungTab"/>
        <w:rPr>
          <w:i/>
          <w:iCs/>
          <w:spacing w:val="-2"/>
        </w:rPr>
      </w:pPr>
      <w:r w:rsidRPr="00C76DC3">
        <w:rPr>
          <w:i/>
          <w:iCs/>
        </w:rPr>
        <w:t>Abb. 2: Wirkungsweise</w:t>
      </w:r>
      <w:r w:rsidRPr="00C76DC3">
        <w:rPr>
          <w:i/>
          <w:iCs/>
          <w:spacing w:val="-1"/>
        </w:rPr>
        <w:t xml:space="preserve"> </w:t>
      </w:r>
      <w:r w:rsidRPr="00C76DC3">
        <w:rPr>
          <w:i/>
          <w:iCs/>
        </w:rPr>
        <w:t>des Country</w:t>
      </w:r>
      <w:r w:rsidRPr="00C76DC3">
        <w:rPr>
          <w:i/>
          <w:iCs/>
          <w:spacing w:val="-1"/>
        </w:rPr>
        <w:t xml:space="preserve"> </w:t>
      </w:r>
      <w:r w:rsidRPr="00C76DC3">
        <w:rPr>
          <w:i/>
          <w:iCs/>
        </w:rPr>
        <w:t>of</w:t>
      </w:r>
      <w:r w:rsidRPr="00C76DC3">
        <w:rPr>
          <w:i/>
          <w:iCs/>
          <w:spacing w:val="-2"/>
        </w:rPr>
        <w:t xml:space="preserve"> Origin</w:t>
      </w:r>
    </w:p>
    <w:p w14:paraId="05A87991" w14:textId="33191909" w:rsidR="00FF7799" w:rsidRPr="00E73F6F" w:rsidRDefault="00FA012A" w:rsidP="00862DBA">
      <w:pPr>
        <w:spacing w:before="5"/>
        <w:rPr>
          <w:i/>
          <w:sz w:val="24"/>
          <w:szCs w:val="24"/>
        </w:rPr>
      </w:pPr>
      <w:r>
        <w:rPr>
          <w:i/>
          <w:noProof/>
          <w:sz w:val="24"/>
          <w:szCs w:val="24"/>
          <w:lang w:eastAsia="de-DE"/>
        </w:rPr>
        <w:drawing>
          <wp:inline distT="0" distB="0" distL="0" distR="0" wp14:anchorId="7E263B6A" wp14:editId="64E234A0">
            <wp:extent cx="5667375" cy="2833688"/>
            <wp:effectExtent l="0" t="0" r="0" b="5080"/>
            <wp:docPr id="2296485" name="Grafik 2296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672778" cy="2836389"/>
                    </a:xfrm>
                    <a:prstGeom prst="rect">
                      <a:avLst/>
                    </a:prstGeom>
                    <a:noFill/>
                  </pic:spPr>
                </pic:pic>
              </a:graphicData>
            </a:graphic>
          </wp:inline>
        </w:drawing>
      </w:r>
    </w:p>
    <w:p w14:paraId="2B4C6733" w14:textId="77777777" w:rsidR="005D1E16" w:rsidRDefault="005D1E16" w:rsidP="001212D2">
      <w:pPr>
        <w:pStyle w:val="StandardTextkursiv"/>
        <w:rPr>
          <w:i w:val="0"/>
        </w:rPr>
      </w:pPr>
    </w:p>
    <w:p w14:paraId="2D1FD9DC" w14:textId="77777777" w:rsidR="00FF7799" w:rsidRPr="00EA5DE3" w:rsidRDefault="00EA5DE3" w:rsidP="001212D2">
      <w:pPr>
        <w:pStyle w:val="StandardTextkursiv"/>
        <w:rPr>
          <w:i w:val="0"/>
        </w:rPr>
      </w:pPr>
      <w:r w:rsidRPr="00EA5DE3">
        <w:rPr>
          <w:i w:val="0"/>
        </w:rPr>
        <w:t xml:space="preserve">3 </w:t>
      </w:r>
      <w:r w:rsidR="00FF7799" w:rsidRPr="00EA5DE3">
        <w:rPr>
          <w:i w:val="0"/>
        </w:rPr>
        <w:t>Irradiation</w:t>
      </w:r>
    </w:p>
    <w:p w14:paraId="39F58797" w14:textId="77777777" w:rsidR="00FF7799" w:rsidRPr="00E73F6F" w:rsidRDefault="00FF7799" w:rsidP="001212D2">
      <w:pPr>
        <w:pStyle w:val="StandardText"/>
      </w:pPr>
      <w:r w:rsidRPr="00E73F6F">
        <w:t>Ganz anders verhalten sich Käufer, denen es an den für eine kompetente Kaufentscheidung</w:t>
      </w:r>
      <w:r w:rsidRPr="00E73F6F">
        <w:rPr>
          <w:spacing w:val="-3"/>
        </w:rPr>
        <w:t xml:space="preserve"> </w:t>
      </w:r>
      <w:r w:rsidRPr="00E73F6F">
        <w:t>relevanten</w:t>
      </w:r>
      <w:r w:rsidRPr="00E73F6F">
        <w:rPr>
          <w:spacing w:val="-3"/>
        </w:rPr>
        <w:t xml:space="preserve"> </w:t>
      </w:r>
      <w:r w:rsidRPr="00E73F6F">
        <w:t>Produktinformationen</w:t>
      </w:r>
      <w:r w:rsidRPr="00E73F6F">
        <w:rPr>
          <w:spacing w:val="-3"/>
        </w:rPr>
        <w:t xml:space="preserve"> </w:t>
      </w:r>
      <w:r w:rsidRPr="00E73F6F">
        <w:t>mangelt</w:t>
      </w:r>
      <w:r w:rsidRPr="00E73F6F">
        <w:rPr>
          <w:spacing w:val="-6"/>
        </w:rPr>
        <w:t xml:space="preserve"> </w:t>
      </w:r>
      <w:r w:rsidRPr="00E73F6F">
        <w:t>oder</w:t>
      </w:r>
      <w:r w:rsidRPr="00E73F6F">
        <w:rPr>
          <w:spacing w:val="-6"/>
        </w:rPr>
        <w:t xml:space="preserve"> </w:t>
      </w:r>
      <w:r w:rsidRPr="00E73F6F">
        <w:t>die</w:t>
      </w:r>
      <w:r w:rsidRPr="00E73F6F">
        <w:rPr>
          <w:spacing w:val="-4"/>
        </w:rPr>
        <w:t xml:space="preserve"> </w:t>
      </w:r>
      <w:r w:rsidRPr="00E73F6F">
        <w:t>aus</w:t>
      </w:r>
      <w:r w:rsidRPr="00E73F6F">
        <w:rPr>
          <w:spacing w:val="-4"/>
        </w:rPr>
        <w:t xml:space="preserve"> </w:t>
      </w:r>
      <w:r w:rsidRPr="00E73F6F">
        <w:t>anderen Gründen (z.B. Unfähigkeit bzw. Unwilligkeit zu einer elaborierten Kaufentscheidung)</w:t>
      </w:r>
      <w:r w:rsidRPr="00E73F6F">
        <w:rPr>
          <w:spacing w:val="-7"/>
        </w:rPr>
        <w:t xml:space="preserve"> </w:t>
      </w:r>
      <w:r w:rsidRPr="00E73F6F">
        <w:t>keine</w:t>
      </w:r>
      <w:r w:rsidRPr="00E73F6F">
        <w:rPr>
          <w:spacing w:val="-3"/>
        </w:rPr>
        <w:t xml:space="preserve"> </w:t>
      </w:r>
      <w:r w:rsidRPr="00E73F6F">
        <w:t>weiteren Informationen</w:t>
      </w:r>
      <w:r w:rsidRPr="00E73F6F">
        <w:rPr>
          <w:spacing w:val="-4"/>
        </w:rPr>
        <w:t xml:space="preserve"> </w:t>
      </w:r>
      <w:r w:rsidRPr="00E73F6F">
        <w:t>beschaffen</w:t>
      </w:r>
      <w:r w:rsidRPr="00E73F6F">
        <w:rPr>
          <w:spacing w:val="-4"/>
        </w:rPr>
        <w:t xml:space="preserve"> </w:t>
      </w:r>
      <w:r w:rsidRPr="00E73F6F">
        <w:t>wollen</w:t>
      </w:r>
      <w:r w:rsidRPr="00E73F6F">
        <w:rPr>
          <w:spacing w:val="-4"/>
        </w:rPr>
        <w:t xml:space="preserve"> </w:t>
      </w:r>
      <w:r w:rsidRPr="00E73F6F">
        <w:t>oder können. Solche Käufer begnügen sich vermutlich mit den ihnen vorliegenden Informationen und schließen vom „Herkunftsland“ (z.B. China) auf andere Produktattribute</w:t>
      </w:r>
      <w:r w:rsidRPr="00E73F6F">
        <w:rPr>
          <w:spacing w:val="-1"/>
        </w:rPr>
        <w:t xml:space="preserve"> </w:t>
      </w:r>
      <w:r w:rsidRPr="00E73F6F">
        <w:t>(z.B.</w:t>
      </w:r>
      <w:r w:rsidRPr="00E73F6F">
        <w:rPr>
          <w:spacing w:val="-3"/>
        </w:rPr>
        <w:t xml:space="preserve"> </w:t>
      </w:r>
      <w:r w:rsidRPr="00E73F6F">
        <w:t>billig). In diesem Fall ist der</w:t>
      </w:r>
      <w:r w:rsidRPr="00E73F6F">
        <w:rPr>
          <w:spacing w:val="-1"/>
        </w:rPr>
        <w:t xml:space="preserve"> </w:t>
      </w:r>
      <w:r w:rsidRPr="00E73F6F">
        <w:t>CoO</w:t>
      </w:r>
      <w:r w:rsidRPr="00E73F6F">
        <w:rPr>
          <w:spacing w:val="-1"/>
        </w:rPr>
        <w:t xml:space="preserve"> </w:t>
      </w:r>
      <w:r w:rsidRPr="00E73F6F">
        <w:t>also ein Halo-Effekt, der das Gesamturteil indirekt beeinflusst.</w:t>
      </w:r>
    </w:p>
    <w:p w14:paraId="1B5F8E50" w14:textId="77777777" w:rsidR="005E50F8" w:rsidRPr="00E73F6F" w:rsidRDefault="005E50F8" w:rsidP="001212D2">
      <w:pPr>
        <w:pStyle w:val="StandardText"/>
      </w:pPr>
    </w:p>
    <w:p w14:paraId="3BE36077" w14:textId="77777777" w:rsidR="00FF7799" w:rsidRDefault="00EA5DE3" w:rsidP="001212D2">
      <w:pPr>
        <w:pStyle w:val="StandardTextkursiv"/>
        <w:rPr>
          <w:i w:val="0"/>
        </w:rPr>
      </w:pPr>
      <w:r w:rsidRPr="00EA5DE3">
        <w:rPr>
          <w:i w:val="0"/>
        </w:rPr>
        <w:lastRenderedPageBreak/>
        <w:t xml:space="preserve">4 </w:t>
      </w:r>
      <w:r w:rsidR="00FF7799" w:rsidRPr="00EA5DE3">
        <w:rPr>
          <w:i w:val="0"/>
        </w:rPr>
        <w:t>Ausgewählte</w:t>
      </w:r>
      <w:r w:rsidR="00FF7799" w:rsidRPr="00EA5DE3">
        <w:rPr>
          <w:i w:val="0"/>
          <w:spacing w:val="-3"/>
        </w:rPr>
        <w:t xml:space="preserve"> </w:t>
      </w:r>
      <w:r w:rsidR="00FF7799" w:rsidRPr="00EA5DE3">
        <w:rPr>
          <w:i w:val="0"/>
        </w:rPr>
        <w:t>Befunde</w:t>
      </w:r>
    </w:p>
    <w:p w14:paraId="1D619391" w14:textId="77777777" w:rsidR="00F40DE8" w:rsidRPr="00EA5DE3" w:rsidRDefault="00F40DE8" w:rsidP="001212D2">
      <w:pPr>
        <w:pStyle w:val="StandardTextkursiv"/>
        <w:rPr>
          <w:i w:val="0"/>
        </w:rPr>
      </w:pPr>
    </w:p>
    <w:p w14:paraId="6C8362E4" w14:textId="77777777" w:rsidR="00F40DE8" w:rsidRPr="00E73F6F" w:rsidRDefault="00FF7799" w:rsidP="00F40DE8">
      <w:pPr>
        <w:pStyle w:val="StandardTextAufzhlung"/>
        <w:numPr>
          <w:ilvl w:val="0"/>
          <w:numId w:val="0"/>
        </w:numPr>
      </w:pPr>
      <w:r w:rsidRPr="00E73F6F">
        <w:t>Weinkäufer verlassen sich bei ihrer Kaufentscheidung mehr auf externe Qualitätssignale (CoO und Marke) als auf interne Qualitätssignale, d.h. ihr Geschmackserlebnis</w:t>
      </w:r>
      <w:r w:rsidRPr="00E73F6F">
        <w:rPr>
          <w:spacing w:val="61"/>
        </w:rPr>
        <w:t xml:space="preserve"> </w:t>
      </w:r>
      <w:r w:rsidRPr="00E73F6F">
        <w:t>bei</w:t>
      </w:r>
      <w:r w:rsidRPr="00E73F6F">
        <w:rPr>
          <w:spacing w:val="62"/>
        </w:rPr>
        <w:t xml:space="preserve"> </w:t>
      </w:r>
      <w:r w:rsidRPr="00E73F6F">
        <w:t>der</w:t>
      </w:r>
      <w:r w:rsidRPr="00E73F6F">
        <w:rPr>
          <w:spacing w:val="61"/>
        </w:rPr>
        <w:t xml:space="preserve"> </w:t>
      </w:r>
      <w:r w:rsidRPr="00E73F6F">
        <w:t>Verkostung</w:t>
      </w:r>
      <w:r w:rsidRPr="00E73F6F">
        <w:rPr>
          <w:spacing w:val="62"/>
        </w:rPr>
        <w:t xml:space="preserve"> </w:t>
      </w:r>
      <w:r w:rsidRPr="00E73F6F">
        <w:t>(vgl. Veale/Quester</w:t>
      </w:r>
      <w:r w:rsidRPr="00E73F6F">
        <w:rPr>
          <w:spacing w:val="61"/>
        </w:rPr>
        <w:t xml:space="preserve"> </w:t>
      </w:r>
      <w:r w:rsidRPr="00E73F6F">
        <w:t xml:space="preserve">2009). </w:t>
      </w:r>
      <w:r w:rsidR="00F40DE8" w:rsidRPr="00E73F6F">
        <w:t>Luxuserzeugnisse</w:t>
      </w:r>
      <w:r w:rsidR="00F40DE8" w:rsidRPr="00E73F6F">
        <w:rPr>
          <w:spacing w:val="-12"/>
        </w:rPr>
        <w:t xml:space="preserve"> </w:t>
      </w:r>
      <w:r w:rsidR="00F40DE8" w:rsidRPr="00E73F6F">
        <w:t>profitieren</w:t>
      </w:r>
      <w:r w:rsidR="00F40DE8" w:rsidRPr="00E73F6F">
        <w:rPr>
          <w:spacing w:val="-11"/>
        </w:rPr>
        <w:t xml:space="preserve"> </w:t>
      </w:r>
      <w:r w:rsidR="00F40DE8" w:rsidRPr="00E73F6F">
        <w:t>zwar</w:t>
      </w:r>
      <w:r w:rsidR="00F40DE8" w:rsidRPr="00E73F6F">
        <w:rPr>
          <w:spacing w:val="-11"/>
        </w:rPr>
        <w:t xml:space="preserve"> </w:t>
      </w:r>
      <w:r w:rsidR="00F40DE8" w:rsidRPr="00E73F6F">
        <w:t>vorrangig</w:t>
      </w:r>
      <w:r w:rsidR="00F40DE8" w:rsidRPr="00E73F6F">
        <w:rPr>
          <w:spacing w:val="-11"/>
        </w:rPr>
        <w:t xml:space="preserve"> </w:t>
      </w:r>
      <w:r w:rsidR="00F40DE8" w:rsidRPr="00E73F6F">
        <w:t>von</w:t>
      </w:r>
      <w:r w:rsidR="00F40DE8" w:rsidRPr="00E73F6F">
        <w:rPr>
          <w:spacing w:val="-12"/>
        </w:rPr>
        <w:t xml:space="preserve"> </w:t>
      </w:r>
      <w:r w:rsidR="00F40DE8" w:rsidRPr="00E73F6F">
        <w:t>einer</w:t>
      </w:r>
      <w:r w:rsidR="00F40DE8" w:rsidRPr="00E73F6F">
        <w:rPr>
          <w:spacing w:val="-11"/>
        </w:rPr>
        <w:t xml:space="preserve"> </w:t>
      </w:r>
      <w:r w:rsidR="00F40DE8" w:rsidRPr="00E73F6F">
        <w:t>starken</w:t>
      </w:r>
      <w:r w:rsidR="00F40DE8" w:rsidRPr="00E73F6F">
        <w:rPr>
          <w:spacing w:val="-11"/>
        </w:rPr>
        <w:t xml:space="preserve"> </w:t>
      </w:r>
      <w:r w:rsidR="00F40DE8" w:rsidRPr="00E73F6F">
        <w:t>Marke,</w:t>
      </w:r>
      <w:r w:rsidR="00F40DE8" w:rsidRPr="00E73F6F">
        <w:rPr>
          <w:spacing w:val="-11"/>
        </w:rPr>
        <w:t xml:space="preserve"> </w:t>
      </w:r>
      <w:r w:rsidR="00F40DE8" w:rsidRPr="00E73F6F">
        <w:t>aber</w:t>
      </w:r>
      <w:r w:rsidR="00F40DE8" w:rsidRPr="00E73F6F">
        <w:rPr>
          <w:spacing w:val="-12"/>
        </w:rPr>
        <w:t xml:space="preserve"> </w:t>
      </w:r>
      <w:r w:rsidR="00F40DE8" w:rsidRPr="00E73F6F">
        <w:t>auch</w:t>
      </w:r>
      <w:r w:rsidR="00F40DE8" w:rsidRPr="00E73F6F">
        <w:rPr>
          <w:spacing w:val="-11"/>
        </w:rPr>
        <w:t xml:space="preserve"> </w:t>
      </w:r>
      <w:r w:rsidR="00F40DE8" w:rsidRPr="00E73F6F">
        <w:t>von einem positiven CoO (vgl. Godey et al. 2012). Käufer von High Involvement- Produkten und hedonistischen Produkten werden überproportional stark vom CoO-Effekt beeinflusst (vgl. Barbarossa et al. 2018).</w:t>
      </w:r>
    </w:p>
    <w:p w14:paraId="1CF8810F" w14:textId="0775C542" w:rsidR="00FF7799" w:rsidRPr="00E73F6F" w:rsidRDefault="00FF7799" w:rsidP="00F40DE8">
      <w:pPr>
        <w:pStyle w:val="StandardTextAufzhlung"/>
        <w:numPr>
          <w:ilvl w:val="0"/>
          <w:numId w:val="0"/>
        </w:numPr>
        <w:ind w:left="1560"/>
      </w:pPr>
    </w:p>
    <w:p w14:paraId="219BD274" w14:textId="77777777" w:rsidR="00FF7799" w:rsidRPr="00EA5DE3" w:rsidRDefault="00FF7799" w:rsidP="001212D2">
      <w:pPr>
        <w:pStyle w:val="StandardText"/>
        <w:rPr>
          <w:sz w:val="22"/>
          <w:szCs w:val="22"/>
          <w:lang w:val="en-US"/>
        </w:rPr>
      </w:pPr>
      <w:r w:rsidRPr="00EA5DE3">
        <w:rPr>
          <w:b/>
          <w:i/>
          <w:sz w:val="22"/>
          <w:szCs w:val="22"/>
          <w:lang w:val="en-US"/>
        </w:rPr>
        <w:t>Literatur:</w:t>
      </w:r>
      <w:r w:rsidRPr="00EA5DE3">
        <w:rPr>
          <w:b/>
          <w:sz w:val="22"/>
          <w:szCs w:val="22"/>
          <w:lang w:val="en-US"/>
        </w:rPr>
        <w:t xml:space="preserve"> </w:t>
      </w:r>
      <w:r w:rsidRPr="00EA5DE3">
        <w:rPr>
          <w:sz w:val="22"/>
          <w:szCs w:val="22"/>
          <w:lang w:val="en-US"/>
        </w:rPr>
        <w:t>Barbarossa, C.; De Pelsmacker, P.; Moons, I. (2018): Effects of Country-of-</w:t>
      </w:r>
      <w:r w:rsidRPr="00EA5DE3">
        <w:rPr>
          <w:spacing w:val="40"/>
          <w:sz w:val="22"/>
          <w:szCs w:val="22"/>
          <w:lang w:val="en-US"/>
        </w:rPr>
        <w:t xml:space="preserve"> </w:t>
      </w:r>
      <w:r w:rsidRPr="00EA5DE3">
        <w:rPr>
          <w:sz w:val="22"/>
          <w:szCs w:val="22"/>
          <w:lang w:val="en-US"/>
        </w:rPr>
        <w:t>Origin</w:t>
      </w:r>
      <w:r w:rsidRPr="00EA5DE3">
        <w:rPr>
          <w:spacing w:val="-10"/>
          <w:sz w:val="22"/>
          <w:szCs w:val="22"/>
          <w:lang w:val="en-US"/>
        </w:rPr>
        <w:t xml:space="preserve"> </w:t>
      </w:r>
      <w:r w:rsidRPr="00EA5DE3">
        <w:rPr>
          <w:sz w:val="22"/>
          <w:szCs w:val="22"/>
          <w:lang w:val="en-US"/>
        </w:rPr>
        <w:t>Stereotypes</w:t>
      </w:r>
      <w:r w:rsidRPr="00EA5DE3">
        <w:rPr>
          <w:spacing w:val="-10"/>
          <w:sz w:val="22"/>
          <w:szCs w:val="22"/>
          <w:lang w:val="en-US"/>
        </w:rPr>
        <w:t xml:space="preserve"> </w:t>
      </w:r>
      <w:r w:rsidRPr="00EA5DE3">
        <w:rPr>
          <w:sz w:val="22"/>
          <w:szCs w:val="22"/>
          <w:lang w:val="en-US"/>
        </w:rPr>
        <w:t>on</w:t>
      </w:r>
      <w:r w:rsidRPr="00EA5DE3">
        <w:rPr>
          <w:spacing w:val="-10"/>
          <w:sz w:val="22"/>
          <w:szCs w:val="22"/>
          <w:lang w:val="en-US"/>
        </w:rPr>
        <w:t xml:space="preserve"> </w:t>
      </w:r>
      <w:r w:rsidRPr="00EA5DE3">
        <w:rPr>
          <w:sz w:val="22"/>
          <w:szCs w:val="22"/>
          <w:lang w:val="en-US"/>
        </w:rPr>
        <w:t>Consumer</w:t>
      </w:r>
      <w:r w:rsidRPr="00EA5DE3">
        <w:rPr>
          <w:spacing w:val="-10"/>
          <w:sz w:val="22"/>
          <w:szCs w:val="22"/>
          <w:lang w:val="en-US"/>
        </w:rPr>
        <w:t xml:space="preserve"> </w:t>
      </w:r>
      <w:r w:rsidRPr="00EA5DE3">
        <w:rPr>
          <w:sz w:val="22"/>
          <w:szCs w:val="22"/>
          <w:lang w:val="en-US"/>
        </w:rPr>
        <w:t>Responses</w:t>
      </w:r>
      <w:r w:rsidRPr="00EA5DE3">
        <w:rPr>
          <w:spacing w:val="-10"/>
          <w:sz w:val="22"/>
          <w:szCs w:val="22"/>
          <w:lang w:val="en-US"/>
        </w:rPr>
        <w:t xml:space="preserve"> </w:t>
      </w:r>
      <w:r w:rsidRPr="00EA5DE3">
        <w:rPr>
          <w:sz w:val="22"/>
          <w:szCs w:val="22"/>
          <w:lang w:val="en-US"/>
        </w:rPr>
        <w:t>to</w:t>
      </w:r>
      <w:r w:rsidRPr="00EA5DE3">
        <w:rPr>
          <w:spacing w:val="-10"/>
          <w:sz w:val="22"/>
          <w:szCs w:val="22"/>
          <w:lang w:val="en-US"/>
        </w:rPr>
        <w:t xml:space="preserve"> </w:t>
      </w:r>
      <w:r w:rsidRPr="00EA5DE3">
        <w:rPr>
          <w:sz w:val="22"/>
          <w:szCs w:val="22"/>
          <w:lang w:val="en-US"/>
        </w:rPr>
        <w:t>Product-Harm</w:t>
      </w:r>
      <w:r w:rsidRPr="00EA5DE3">
        <w:rPr>
          <w:spacing w:val="-10"/>
          <w:sz w:val="22"/>
          <w:szCs w:val="22"/>
          <w:lang w:val="en-US"/>
        </w:rPr>
        <w:t xml:space="preserve"> </w:t>
      </w:r>
      <w:r w:rsidRPr="00EA5DE3">
        <w:rPr>
          <w:sz w:val="22"/>
          <w:szCs w:val="22"/>
          <w:lang w:val="en-US"/>
        </w:rPr>
        <w:t>Crises,</w:t>
      </w:r>
      <w:r w:rsidRPr="00EA5DE3">
        <w:rPr>
          <w:spacing w:val="-10"/>
          <w:sz w:val="22"/>
          <w:szCs w:val="22"/>
          <w:lang w:val="en-US"/>
        </w:rPr>
        <w:t xml:space="preserve"> </w:t>
      </w:r>
      <w:r w:rsidRPr="00EA5DE3">
        <w:rPr>
          <w:sz w:val="22"/>
          <w:szCs w:val="22"/>
          <w:lang w:val="en-US"/>
        </w:rPr>
        <w:t>International</w:t>
      </w:r>
      <w:r w:rsidRPr="00EA5DE3">
        <w:rPr>
          <w:spacing w:val="-10"/>
          <w:sz w:val="22"/>
          <w:szCs w:val="22"/>
          <w:lang w:val="en-US"/>
        </w:rPr>
        <w:t xml:space="preserve"> </w:t>
      </w:r>
      <w:r w:rsidRPr="00EA5DE3">
        <w:rPr>
          <w:sz w:val="22"/>
          <w:szCs w:val="22"/>
          <w:lang w:val="en-US"/>
        </w:rPr>
        <w:t>Marketing</w:t>
      </w:r>
      <w:r w:rsidRPr="00EA5DE3">
        <w:rPr>
          <w:spacing w:val="40"/>
          <w:sz w:val="22"/>
          <w:szCs w:val="22"/>
          <w:lang w:val="en-US"/>
        </w:rPr>
        <w:t xml:space="preserve"> </w:t>
      </w:r>
      <w:r w:rsidRPr="00EA5DE3">
        <w:rPr>
          <w:sz w:val="22"/>
          <w:szCs w:val="22"/>
          <w:lang w:val="en-US"/>
        </w:rPr>
        <w:t>Review, 35(3): 362-389.</w:t>
      </w:r>
      <w:r w:rsidRPr="00EA5DE3">
        <w:rPr>
          <w:spacing w:val="80"/>
          <w:sz w:val="22"/>
          <w:szCs w:val="22"/>
          <w:lang w:val="en-US"/>
        </w:rPr>
        <w:t xml:space="preserve"> </w:t>
      </w:r>
      <w:r w:rsidRPr="00EA5DE3">
        <w:rPr>
          <w:sz w:val="22"/>
          <w:szCs w:val="22"/>
          <w:lang w:val="en-US"/>
        </w:rPr>
        <w:t>Godey, B.; Pederzoli, D.; Aiello, G.; Donvito, R.; Chan, P.; Oh,</w:t>
      </w:r>
      <w:r w:rsidRPr="00EA5DE3">
        <w:rPr>
          <w:spacing w:val="40"/>
          <w:sz w:val="22"/>
          <w:szCs w:val="22"/>
          <w:lang w:val="en-US"/>
        </w:rPr>
        <w:t xml:space="preserve"> </w:t>
      </w:r>
      <w:r w:rsidRPr="00EA5DE3">
        <w:rPr>
          <w:sz w:val="22"/>
          <w:szCs w:val="22"/>
          <w:lang w:val="en-US"/>
        </w:rPr>
        <w:t>H.; ... &amp; Weitz, B. (2012): Brand and Country-of-Origin Effect on Consumers' Decision to</w:t>
      </w:r>
      <w:r w:rsidRPr="00EA5DE3">
        <w:rPr>
          <w:spacing w:val="40"/>
          <w:sz w:val="22"/>
          <w:szCs w:val="22"/>
          <w:lang w:val="en-US"/>
        </w:rPr>
        <w:t xml:space="preserve"> </w:t>
      </w:r>
      <w:r w:rsidRPr="00EA5DE3">
        <w:rPr>
          <w:sz w:val="22"/>
          <w:szCs w:val="22"/>
          <w:lang w:val="en-US"/>
        </w:rPr>
        <w:t>Purchase Luxury Products, Journal of Business Research, 65(10): 1461-1470.</w:t>
      </w:r>
      <w:r w:rsidRPr="00EA5DE3">
        <w:rPr>
          <w:spacing w:val="40"/>
          <w:sz w:val="22"/>
          <w:szCs w:val="22"/>
          <w:lang w:val="en-US"/>
        </w:rPr>
        <w:t xml:space="preserve"> </w:t>
      </w:r>
      <w:r w:rsidRPr="00EA5DE3">
        <w:rPr>
          <w:sz w:val="22"/>
          <w:szCs w:val="22"/>
          <w:lang w:val="en-US"/>
        </w:rPr>
        <w:t>Han, C.M.</w:t>
      </w:r>
      <w:r w:rsidRPr="00EA5DE3">
        <w:rPr>
          <w:spacing w:val="40"/>
          <w:sz w:val="22"/>
          <w:szCs w:val="22"/>
          <w:lang w:val="en-US"/>
        </w:rPr>
        <w:t xml:space="preserve"> </w:t>
      </w:r>
      <w:r w:rsidRPr="00EA5DE3">
        <w:rPr>
          <w:sz w:val="22"/>
          <w:szCs w:val="22"/>
          <w:lang w:val="en-US"/>
        </w:rPr>
        <w:t>(1989): Country Image. Halo or Summary Construct? Journal of Marketing Research,</w:t>
      </w:r>
      <w:r w:rsidRPr="00EA5DE3">
        <w:rPr>
          <w:spacing w:val="40"/>
          <w:sz w:val="22"/>
          <w:szCs w:val="22"/>
          <w:lang w:val="en-US"/>
        </w:rPr>
        <w:t xml:space="preserve"> </w:t>
      </w:r>
      <w:r w:rsidRPr="00EA5DE3">
        <w:rPr>
          <w:sz w:val="22"/>
          <w:szCs w:val="22"/>
          <w:lang w:val="en-US"/>
        </w:rPr>
        <w:t>26(May): 222-229.</w:t>
      </w:r>
      <w:r w:rsidRPr="00EA5DE3">
        <w:rPr>
          <w:spacing w:val="40"/>
          <w:sz w:val="22"/>
          <w:szCs w:val="22"/>
          <w:lang w:val="en-US"/>
        </w:rPr>
        <w:t xml:space="preserve"> </w:t>
      </w:r>
      <w:r w:rsidRPr="00EA5DE3">
        <w:rPr>
          <w:sz w:val="22"/>
          <w:szCs w:val="22"/>
          <w:lang w:val="en-US"/>
        </w:rPr>
        <w:t>Veale, R.; Quester, P. (2009): Do Consumer Expectations Match</w:t>
      </w:r>
      <w:r w:rsidRPr="00EA5DE3">
        <w:rPr>
          <w:spacing w:val="40"/>
          <w:sz w:val="22"/>
          <w:szCs w:val="22"/>
          <w:lang w:val="en-US"/>
        </w:rPr>
        <w:t xml:space="preserve"> </w:t>
      </w:r>
      <w:r w:rsidRPr="00EA5DE3">
        <w:rPr>
          <w:sz w:val="22"/>
          <w:szCs w:val="22"/>
          <w:lang w:val="en-US"/>
        </w:rPr>
        <w:t>Experience? Predicting the Influence of Price and Country of Origin on Perceptions of</w:t>
      </w:r>
      <w:r w:rsidRPr="00EA5DE3">
        <w:rPr>
          <w:spacing w:val="40"/>
          <w:sz w:val="22"/>
          <w:szCs w:val="22"/>
          <w:lang w:val="en-US"/>
        </w:rPr>
        <w:t xml:space="preserve"> </w:t>
      </w:r>
      <w:r w:rsidRPr="00EA5DE3">
        <w:rPr>
          <w:sz w:val="22"/>
          <w:szCs w:val="22"/>
          <w:lang w:val="en-US"/>
        </w:rPr>
        <w:t>Product Quality, International Business Review, 18(2): 134-144.</w:t>
      </w:r>
    </w:p>
    <w:p w14:paraId="71E58108" w14:textId="77777777" w:rsidR="00FF7799" w:rsidRPr="00312CF9" w:rsidRDefault="00FF7799" w:rsidP="0074120C">
      <w:pPr>
        <w:pStyle w:val="berschrift1"/>
        <w:rPr>
          <w:color w:val="2F5496" w:themeColor="accent5" w:themeShade="BF"/>
        </w:rPr>
      </w:pPr>
      <w:r w:rsidRPr="00312CF9">
        <w:rPr>
          <w:color w:val="2F5496" w:themeColor="accent5" w:themeShade="BF"/>
        </w:rPr>
        <w:t>Country of Origin-Bias</w:t>
      </w:r>
    </w:p>
    <w:p w14:paraId="0C940865" w14:textId="77777777" w:rsidR="00FF7799" w:rsidRPr="00E73F6F" w:rsidRDefault="00FF7799" w:rsidP="001212D2">
      <w:pPr>
        <w:pStyle w:val="StandardText"/>
      </w:pPr>
      <w:r w:rsidRPr="00E73F6F">
        <w:t xml:space="preserve">systematische </w:t>
      </w:r>
      <w:r w:rsidR="009278E0">
        <w:t>Wahrnehmungs- und</w:t>
      </w:r>
      <w:r w:rsidR="009278E0" w:rsidRPr="00E73F6F">
        <w:t xml:space="preserve"> </w:t>
      </w:r>
      <w:r w:rsidRPr="00E73F6F">
        <w:t>Urteilsverzerrung</w:t>
      </w:r>
      <w:r w:rsidR="00BF578F">
        <w:t xml:space="preserve"> (‘bias‘)</w:t>
      </w:r>
      <w:r w:rsidRPr="00E73F6F">
        <w:t xml:space="preserve">, die </w:t>
      </w:r>
      <w:r w:rsidR="00BF578F">
        <w:t>sich als grundsätzliche</w:t>
      </w:r>
      <w:r w:rsidRPr="00E73F6F">
        <w:t xml:space="preserve"> Bevorzugung </w:t>
      </w:r>
      <w:r w:rsidR="00BF578F">
        <w:t>inländischer Erzeugnisse manifestiert</w:t>
      </w:r>
      <w:r w:rsidRPr="00E73F6F">
        <w:t>. Dieser zunächst für Gebrauchs- und Verbrauchsgüter nachgewiesene Effekt beeinflusst auch auf irrationale Weise die Zusammensetzung von Aktienportfolios</w:t>
      </w:r>
      <w:r w:rsidRPr="00E73F6F">
        <w:rPr>
          <w:spacing w:val="-1"/>
        </w:rPr>
        <w:t xml:space="preserve"> </w:t>
      </w:r>
      <w:r w:rsidRPr="00E73F6F">
        <w:t>(</w:t>
      </w:r>
      <w:r w:rsidRPr="00E73F6F">
        <w:rPr>
          <w:rFonts w:ascii="Cambria Math" w:hAnsi="Cambria Math" w:cs="Cambria Math"/>
        </w:rPr>
        <w:t>⇒</w:t>
      </w:r>
      <w:r w:rsidRPr="00E73F6F">
        <w:t xml:space="preserve"> Home Bias). In seiner generalisierten Form führt der</w:t>
      </w:r>
      <w:r w:rsidRPr="00E73F6F">
        <w:rPr>
          <w:spacing w:val="-2"/>
        </w:rPr>
        <w:t xml:space="preserve"> </w:t>
      </w:r>
      <w:r w:rsidRPr="00E73F6F">
        <w:t>Country of Origin-Bias dazu, dass auch Angebote, die aus einem Land stammen, welches dem eigenen Heimatland kulturell ähnlich ist, Angeboten aus kulturell unähnlichen Ländern vorgezogen werden (</w:t>
      </w:r>
      <w:r w:rsidRPr="00E73F6F">
        <w:rPr>
          <w:rFonts w:ascii="Cambria Math" w:hAnsi="Cambria Math" w:cs="Cambria Math"/>
        </w:rPr>
        <w:t>⇒</w:t>
      </w:r>
      <w:r w:rsidRPr="00E73F6F">
        <w:t xml:space="preserve"> Distanz, kulturelle).</w:t>
      </w:r>
    </w:p>
    <w:p w14:paraId="2612C12B" w14:textId="77777777" w:rsidR="00FF7799" w:rsidRPr="00BF578F" w:rsidRDefault="00FF7799" w:rsidP="001212D2">
      <w:pPr>
        <w:pStyle w:val="StandardText"/>
        <w:rPr>
          <w:sz w:val="22"/>
          <w:szCs w:val="22"/>
          <w:lang w:val="en-US"/>
        </w:rPr>
      </w:pPr>
      <w:r w:rsidRPr="00EA5DE3">
        <w:rPr>
          <w:b/>
          <w:i/>
          <w:sz w:val="22"/>
          <w:szCs w:val="22"/>
          <w:lang w:val="en-US"/>
        </w:rPr>
        <w:t>Literatur:</w:t>
      </w:r>
      <w:r w:rsidRPr="00BF578F">
        <w:rPr>
          <w:i/>
          <w:spacing w:val="-9"/>
          <w:sz w:val="22"/>
          <w:szCs w:val="22"/>
          <w:lang w:val="en-US"/>
        </w:rPr>
        <w:t xml:space="preserve"> </w:t>
      </w:r>
      <w:r w:rsidRPr="00BF578F">
        <w:rPr>
          <w:sz w:val="22"/>
          <w:szCs w:val="22"/>
          <w:lang w:val="en-US"/>
        </w:rPr>
        <w:t>Elliot,</w:t>
      </w:r>
      <w:r w:rsidRPr="00BF578F">
        <w:rPr>
          <w:spacing w:val="-7"/>
          <w:sz w:val="22"/>
          <w:szCs w:val="22"/>
          <w:lang w:val="en-US"/>
        </w:rPr>
        <w:t xml:space="preserve"> </w:t>
      </w:r>
      <w:r w:rsidRPr="00BF578F">
        <w:rPr>
          <w:sz w:val="22"/>
          <w:szCs w:val="22"/>
          <w:lang w:val="en-US"/>
        </w:rPr>
        <w:t>G.R.;</w:t>
      </w:r>
      <w:r w:rsidRPr="00BF578F">
        <w:rPr>
          <w:spacing w:val="-10"/>
          <w:sz w:val="22"/>
          <w:szCs w:val="22"/>
          <w:lang w:val="en-US"/>
        </w:rPr>
        <w:t xml:space="preserve"> </w:t>
      </w:r>
      <w:r w:rsidRPr="00BF578F">
        <w:rPr>
          <w:sz w:val="22"/>
          <w:szCs w:val="22"/>
          <w:lang w:val="en-US"/>
        </w:rPr>
        <w:t>Cameron,</w:t>
      </w:r>
      <w:r w:rsidRPr="00BF578F">
        <w:rPr>
          <w:spacing w:val="-8"/>
          <w:sz w:val="22"/>
          <w:szCs w:val="22"/>
          <w:lang w:val="en-US"/>
        </w:rPr>
        <w:t xml:space="preserve"> </w:t>
      </w:r>
      <w:r w:rsidRPr="00BF578F">
        <w:rPr>
          <w:sz w:val="22"/>
          <w:szCs w:val="22"/>
          <w:lang w:val="en-US"/>
        </w:rPr>
        <w:t>R.C.</w:t>
      </w:r>
      <w:r w:rsidRPr="00BF578F">
        <w:rPr>
          <w:spacing w:val="-5"/>
          <w:sz w:val="22"/>
          <w:szCs w:val="22"/>
          <w:lang w:val="en-US"/>
        </w:rPr>
        <w:t xml:space="preserve"> </w:t>
      </w:r>
      <w:r w:rsidRPr="00BF578F">
        <w:rPr>
          <w:sz w:val="22"/>
          <w:szCs w:val="22"/>
          <w:lang w:val="en-US"/>
        </w:rPr>
        <w:t>(1994):</w:t>
      </w:r>
      <w:r w:rsidRPr="00BF578F">
        <w:rPr>
          <w:spacing w:val="-8"/>
          <w:sz w:val="22"/>
          <w:szCs w:val="22"/>
          <w:lang w:val="en-US"/>
        </w:rPr>
        <w:t xml:space="preserve"> </w:t>
      </w:r>
      <w:r w:rsidRPr="00BF578F">
        <w:rPr>
          <w:sz w:val="22"/>
          <w:szCs w:val="22"/>
          <w:lang w:val="en-US"/>
        </w:rPr>
        <w:t>Consumer</w:t>
      </w:r>
      <w:r w:rsidRPr="00BF578F">
        <w:rPr>
          <w:spacing w:val="-7"/>
          <w:sz w:val="22"/>
          <w:szCs w:val="22"/>
          <w:lang w:val="en-US"/>
        </w:rPr>
        <w:t xml:space="preserve"> </w:t>
      </w:r>
      <w:r w:rsidRPr="00BF578F">
        <w:rPr>
          <w:sz w:val="22"/>
          <w:szCs w:val="22"/>
          <w:lang w:val="en-US"/>
        </w:rPr>
        <w:t>Perception</w:t>
      </w:r>
      <w:r w:rsidRPr="00BF578F">
        <w:rPr>
          <w:spacing w:val="-8"/>
          <w:sz w:val="22"/>
          <w:szCs w:val="22"/>
          <w:lang w:val="en-US"/>
        </w:rPr>
        <w:t xml:space="preserve"> </w:t>
      </w:r>
      <w:r w:rsidRPr="00BF578F">
        <w:rPr>
          <w:sz w:val="22"/>
          <w:szCs w:val="22"/>
          <w:lang w:val="en-US"/>
        </w:rPr>
        <w:t>of</w:t>
      </w:r>
      <w:r w:rsidRPr="00BF578F">
        <w:rPr>
          <w:spacing w:val="-7"/>
          <w:sz w:val="22"/>
          <w:szCs w:val="22"/>
          <w:lang w:val="en-US"/>
        </w:rPr>
        <w:t xml:space="preserve"> </w:t>
      </w:r>
      <w:r w:rsidRPr="00BF578F">
        <w:rPr>
          <w:sz w:val="22"/>
          <w:szCs w:val="22"/>
          <w:lang w:val="en-US"/>
        </w:rPr>
        <w:t>Product</w:t>
      </w:r>
      <w:r w:rsidRPr="00BF578F">
        <w:rPr>
          <w:spacing w:val="-8"/>
          <w:sz w:val="22"/>
          <w:szCs w:val="22"/>
          <w:lang w:val="en-US"/>
        </w:rPr>
        <w:t xml:space="preserve"> </w:t>
      </w:r>
      <w:r w:rsidRPr="00BF578F">
        <w:rPr>
          <w:sz w:val="22"/>
          <w:szCs w:val="22"/>
          <w:lang w:val="en-US"/>
        </w:rPr>
        <w:t>Quality</w:t>
      </w:r>
      <w:r w:rsidRPr="00BF578F">
        <w:rPr>
          <w:spacing w:val="-7"/>
          <w:sz w:val="22"/>
          <w:szCs w:val="22"/>
          <w:lang w:val="en-US"/>
        </w:rPr>
        <w:t xml:space="preserve"> </w:t>
      </w:r>
      <w:r w:rsidRPr="00BF578F">
        <w:rPr>
          <w:sz w:val="22"/>
          <w:szCs w:val="22"/>
          <w:lang w:val="en-US"/>
        </w:rPr>
        <w:t>and</w:t>
      </w:r>
      <w:r w:rsidRPr="00BF578F">
        <w:rPr>
          <w:spacing w:val="40"/>
          <w:sz w:val="22"/>
          <w:szCs w:val="22"/>
          <w:lang w:val="en-US"/>
        </w:rPr>
        <w:t xml:space="preserve"> </w:t>
      </w:r>
      <w:r w:rsidRPr="00BF578F">
        <w:rPr>
          <w:sz w:val="22"/>
          <w:szCs w:val="22"/>
          <w:lang w:val="en-US"/>
        </w:rPr>
        <w:t>the</w:t>
      </w:r>
      <w:r w:rsidRPr="00BF578F">
        <w:rPr>
          <w:spacing w:val="-6"/>
          <w:sz w:val="22"/>
          <w:szCs w:val="22"/>
          <w:lang w:val="en-US"/>
        </w:rPr>
        <w:t xml:space="preserve"> </w:t>
      </w:r>
      <w:r w:rsidRPr="00BF578F">
        <w:rPr>
          <w:sz w:val="22"/>
          <w:szCs w:val="22"/>
          <w:lang w:val="en-US"/>
        </w:rPr>
        <w:t>Country-of-Origin</w:t>
      </w:r>
      <w:r w:rsidRPr="00BF578F">
        <w:rPr>
          <w:spacing w:val="-6"/>
          <w:sz w:val="22"/>
          <w:szCs w:val="22"/>
          <w:lang w:val="en-US"/>
        </w:rPr>
        <w:t xml:space="preserve"> </w:t>
      </w:r>
      <w:r w:rsidRPr="00BF578F">
        <w:rPr>
          <w:sz w:val="22"/>
          <w:szCs w:val="22"/>
          <w:lang w:val="en-US"/>
        </w:rPr>
        <w:t>Effect,</w:t>
      </w:r>
      <w:r w:rsidRPr="00BF578F">
        <w:rPr>
          <w:spacing w:val="-6"/>
          <w:sz w:val="22"/>
          <w:szCs w:val="22"/>
          <w:lang w:val="en-US"/>
        </w:rPr>
        <w:t xml:space="preserve"> </w:t>
      </w:r>
      <w:r w:rsidRPr="00BF578F">
        <w:rPr>
          <w:sz w:val="22"/>
          <w:szCs w:val="22"/>
          <w:lang w:val="en-US"/>
        </w:rPr>
        <w:t>Journal</w:t>
      </w:r>
      <w:r w:rsidRPr="00BF578F">
        <w:rPr>
          <w:spacing w:val="-6"/>
          <w:sz w:val="22"/>
          <w:szCs w:val="22"/>
          <w:lang w:val="en-US"/>
        </w:rPr>
        <w:t xml:space="preserve"> </w:t>
      </w:r>
      <w:r w:rsidRPr="00BF578F">
        <w:rPr>
          <w:sz w:val="22"/>
          <w:szCs w:val="22"/>
          <w:lang w:val="en-US"/>
        </w:rPr>
        <w:t>of</w:t>
      </w:r>
      <w:r w:rsidRPr="00BF578F">
        <w:rPr>
          <w:spacing w:val="-6"/>
          <w:sz w:val="22"/>
          <w:szCs w:val="22"/>
          <w:lang w:val="en-US"/>
        </w:rPr>
        <w:t xml:space="preserve"> </w:t>
      </w:r>
      <w:r w:rsidRPr="00BF578F">
        <w:rPr>
          <w:sz w:val="22"/>
          <w:szCs w:val="22"/>
          <w:lang w:val="en-US"/>
        </w:rPr>
        <w:t>International</w:t>
      </w:r>
      <w:r w:rsidRPr="00BF578F">
        <w:rPr>
          <w:spacing w:val="-6"/>
          <w:sz w:val="22"/>
          <w:szCs w:val="22"/>
          <w:lang w:val="en-US"/>
        </w:rPr>
        <w:t xml:space="preserve"> </w:t>
      </w:r>
      <w:r w:rsidRPr="00BF578F">
        <w:rPr>
          <w:sz w:val="22"/>
          <w:szCs w:val="22"/>
          <w:lang w:val="en-US"/>
        </w:rPr>
        <w:t>Marketing,</w:t>
      </w:r>
      <w:r w:rsidRPr="00BF578F">
        <w:rPr>
          <w:spacing w:val="-6"/>
          <w:sz w:val="22"/>
          <w:szCs w:val="22"/>
          <w:lang w:val="en-US"/>
        </w:rPr>
        <w:t xml:space="preserve"> </w:t>
      </w:r>
      <w:r w:rsidRPr="00BF578F">
        <w:rPr>
          <w:sz w:val="22"/>
          <w:szCs w:val="22"/>
          <w:lang w:val="en-US"/>
        </w:rPr>
        <w:t>2(2):</w:t>
      </w:r>
      <w:r w:rsidRPr="00BF578F">
        <w:rPr>
          <w:spacing w:val="-3"/>
          <w:sz w:val="22"/>
          <w:szCs w:val="22"/>
          <w:lang w:val="en-US"/>
        </w:rPr>
        <w:t xml:space="preserve"> </w:t>
      </w:r>
      <w:r w:rsidRPr="00BF578F">
        <w:rPr>
          <w:sz w:val="22"/>
          <w:szCs w:val="22"/>
          <w:lang w:val="en-US"/>
        </w:rPr>
        <w:t>49-62.</w:t>
      </w:r>
      <w:r w:rsidRPr="00BF578F">
        <w:rPr>
          <w:spacing w:val="40"/>
          <w:sz w:val="22"/>
          <w:szCs w:val="22"/>
          <w:lang w:val="en-US"/>
        </w:rPr>
        <w:t xml:space="preserve"> </w:t>
      </w:r>
      <w:r w:rsidR="00BF578F">
        <w:rPr>
          <w:spacing w:val="40"/>
          <w:sz w:val="22"/>
          <w:szCs w:val="22"/>
          <w:lang w:val="en-US"/>
        </w:rPr>
        <w:t xml:space="preserve"> </w:t>
      </w:r>
      <w:r w:rsidRPr="00BF578F">
        <w:rPr>
          <w:sz w:val="22"/>
          <w:szCs w:val="22"/>
          <w:lang w:val="en-US"/>
        </w:rPr>
        <w:t>Watson,</w:t>
      </w:r>
      <w:r w:rsidRPr="00BF578F">
        <w:rPr>
          <w:spacing w:val="-6"/>
          <w:sz w:val="22"/>
          <w:szCs w:val="22"/>
          <w:lang w:val="en-US"/>
        </w:rPr>
        <w:t xml:space="preserve"> </w:t>
      </w:r>
      <w:r w:rsidRPr="00BF578F">
        <w:rPr>
          <w:sz w:val="22"/>
          <w:szCs w:val="22"/>
          <w:lang w:val="en-US"/>
        </w:rPr>
        <w:t>J.J.;</w:t>
      </w:r>
      <w:r w:rsidRPr="00BF578F">
        <w:rPr>
          <w:spacing w:val="40"/>
          <w:sz w:val="22"/>
          <w:szCs w:val="22"/>
          <w:lang w:val="en-US"/>
        </w:rPr>
        <w:t xml:space="preserve"> </w:t>
      </w:r>
      <w:r w:rsidRPr="00BF578F">
        <w:rPr>
          <w:sz w:val="22"/>
          <w:szCs w:val="22"/>
          <w:lang w:val="en-US"/>
        </w:rPr>
        <w:t>Wright, K. (2000): Consumer Ethnocentrism and Attitudes toward Domestic and Foreign</w:t>
      </w:r>
      <w:r w:rsidRPr="00BF578F">
        <w:rPr>
          <w:spacing w:val="40"/>
          <w:sz w:val="22"/>
          <w:szCs w:val="22"/>
          <w:lang w:val="en-US"/>
        </w:rPr>
        <w:t xml:space="preserve"> </w:t>
      </w:r>
      <w:r w:rsidRPr="00BF578F">
        <w:rPr>
          <w:sz w:val="22"/>
          <w:szCs w:val="22"/>
          <w:lang w:val="en-US"/>
        </w:rPr>
        <w:t>Products, European Journal of Marketing, 34(9/10): 1149-1160.</w:t>
      </w:r>
    </w:p>
    <w:p w14:paraId="3889441F" w14:textId="77777777" w:rsidR="005E50F8" w:rsidRPr="00E35FFF" w:rsidRDefault="005E50F8" w:rsidP="001212D2">
      <w:pPr>
        <w:pStyle w:val="StandardText"/>
        <w:rPr>
          <w:lang w:val="en-US"/>
        </w:rPr>
      </w:pPr>
    </w:p>
    <w:p w14:paraId="05072744" w14:textId="77777777" w:rsidR="00FF7799" w:rsidRPr="00E35FFF" w:rsidRDefault="00FF7799" w:rsidP="0074120C">
      <w:pPr>
        <w:pStyle w:val="berschrift1"/>
        <w:rPr>
          <w:lang w:val="en-US"/>
        </w:rPr>
      </w:pPr>
      <w:r w:rsidRPr="00312CF9">
        <w:rPr>
          <w:color w:val="2F5496" w:themeColor="accent5" w:themeShade="BF"/>
        </w:rPr>
        <w:t>Cross Cultural-Ansatz</w:t>
      </w:r>
      <w:r w:rsidRPr="00E35FFF">
        <w:rPr>
          <w:spacing w:val="-9"/>
          <w:lang w:val="en-US"/>
        </w:rPr>
        <w:t xml:space="preserve"> </w:t>
      </w:r>
      <w:r w:rsidRPr="00E35FFF">
        <w:rPr>
          <w:b w:val="0"/>
          <w:lang w:val="en-US"/>
        </w:rPr>
        <w:t>→</w:t>
      </w:r>
      <w:r w:rsidRPr="00E35FFF">
        <w:rPr>
          <w:b w:val="0"/>
          <w:spacing w:val="-4"/>
          <w:lang w:val="en-US"/>
        </w:rPr>
        <w:t xml:space="preserve"> </w:t>
      </w:r>
      <w:r w:rsidRPr="00E35FFF">
        <w:rPr>
          <w:b w:val="0"/>
          <w:lang w:val="en-US"/>
        </w:rPr>
        <w:t>Comparative</w:t>
      </w:r>
      <w:r w:rsidRPr="00E35FFF">
        <w:rPr>
          <w:b w:val="0"/>
          <w:spacing w:val="-4"/>
          <w:lang w:val="en-US"/>
        </w:rPr>
        <w:t xml:space="preserve"> </w:t>
      </w:r>
      <w:r w:rsidRPr="00E35FFF">
        <w:rPr>
          <w:b w:val="0"/>
          <w:spacing w:val="-2"/>
          <w:lang w:val="en-US"/>
        </w:rPr>
        <w:t>Marketing</w:t>
      </w:r>
    </w:p>
    <w:p w14:paraId="7E7A128C" w14:textId="77777777" w:rsidR="00FF7799" w:rsidRPr="00312CF9" w:rsidRDefault="00FF7799" w:rsidP="0074120C">
      <w:pPr>
        <w:pStyle w:val="berschrift1"/>
        <w:rPr>
          <w:color w:val="2F5496" w:themeColor="accent5" w:themeShade="BF"/>
        </w:rPr>
      </w:pPr>
      <w:r w:rsidRPr="00312CF9">
        <w:rPr>
          <w:color w:val="2F5496" w:themeColor="accent5" w:themeShade="BF"/>
        </w:rPr>
        <w:t>Cultural Bias</w:t>
      </w:r>
    </w:p>
    <w:p w14:paraId="2C268391" w14:textId="77777777" w:rsidR="00FF7799" w:rsidRPr="00E73F6F" w:rsidRDefault="009278E0" w:rsidP="001212D2">
      <w:pPr>
        <w:pStyle w:val="StandardText"/>
      </w:pPr>
      <w:r>
        <w:t>systematische Wahrnehmungs- und</w:t>
      </w:r>
      <w:r w:rsidR="00FF7799" w:rsidRPr="00E73F6F">
        <w:t xml:space="preserve"> Urteilsverzerrung, ausgelöst durch die kulturelle Herkunft der wahrnehmenden bzw. urteilenden Person und die damit verbundenen Überzeugungen und Werte.</w:t>
      </w:r>
    </w:p>
    <w:p w14:paraId="5C920B25" w14:textId="77777777" w:rsidR="00FF7799" w:rsidRPr="00BF578F" w:rsidRDefault="00FF7799" w:rsidP="001212D2">
      <w:pPr>
        <w:pStyle w:val="StandardText"/>
      </w:pPr>
      <w:r w:rsidRPr="00E73F6F">
        <w:t>Auf</w:t>
      </w:r>
      <w:r w:rsidRPr="00E73F6F">
        <w:rPr>
          <w:spacing w:val="-2"/>
        </w:rPr>
        <w:t xml:space="preserve"> </w:t>
      </w:r>
      <w:r w:rsidRPr="00E73F6F">
        <w:t>„kulturelle</w:t>
      </w:r>
      <w:r w:rsidRPr="00E73F6F">
        <w:rPr>
          <w:spacing w:val="-2"/>
        </w:rPr>
        <w:t xml:space="preserve"> </w:t>
      </w:r>
      <w:r w:rsidRPr="00E73F6F">
        <w:t>Voreingenommenheit“</w:t>
      </w:r>
      <w:r w:rsidRPr="00E73F6F">
        <w:rPr>
          <w:spacing w:val="-2"/>
        </w:rPr>
        <w:t xml:space="preserve"> </w:t>
      </w:r>
      <w:r w:rsidRPr="00E73F6F">
        <w:t>lässt</w:t>
      </w:r>
      <w:r w:rsidRPr="00E73F6F">
        <w:rPr>
          <w:spacing w:val="-2"/>
        </w:rPr>
        <w:t xml:space="preserve"> </w:t>
      </w:r>
      <w:r w:rsidRPr="00E73F6F">
        <w:t>sich</w:t>
      </w:r>
      <w:r w:rsidRPr="00E73F6F">
        <w:rPr>
          <w:spacing w:val="-3"/>
        </w:rPr>
        <w:t xml:space="preserve"> </w:t>
      </w:r>
      <w:r w:rsidRPr="00E73F6F">
        <w:t>u.a.</w:t>
      </w:r>
      <w:r w:rsidRPr="00E73F6F">
        <w:rPr>
          <w:spacing w:val="-3"/>
        </w:rPr>
        <w:t xml:space="preserve"> </w:t>
      </w:r>
      <w:r w:rsidRPr="00E73F6F">
        <w:t>zurückführen,</w:t>
      </w:r>
      <w:r w:rsidRPr="00E73F6F">
        <w:rPr>
          <w:spacing w:val="-6"/>
        </w:rPr>
        <w:t xml:space="preserve"> </w:t>
      </w:r>
      <w:r w:rsidRPr="00E73F6F">
        <w:t>dass nicht selten Forschungsinteressen und Methoden von der Landeskultur</w:t>
      </w:r>
      <w:r w:rsidRPr="00E73F6F">
        <w:rPr>
          <w:spacing w:val="40"/>
        </w:rPr>
        <w:t xml:space="preserve"> </w:t>
      </w:r>
      <w:r w:rsidRPr="00E73F6F">
        <w:t>der beteiligten Wissenschaftler beeinflusst sind. Ursachen und Konsequenzen individueller</w:t>
      </w:r>
      <w:r w:rsidRPr="00E73F6F">
        <w:rPr>
          <w:spacing w:val="40"/>
        </w:rPr>
        <w:t xml:space="preserve"> </w:t>
      </w:r>
      <w:r w:rsidRPr="00E73F6F">
        <w:t>Leistungsmotivation sind hauptsächlich im</w:t>
      </w:r>
      <w:r w:rsidRPr="00E73F6F">
        <w:rPr>
          <w:spacing w:val="40"/>
        </w:rPr>
        <w:t xml:space="preserve"> </w:t>
      </w:r>
      <w:r w:rsidRPr="00BF578F">
        <w:t>individualistischen Kulturraum Gegenstand der Forschung, während im kollektivistischen Kulturraum Leistung vorzugsweise mit Blick auf das Wohl der Gruppe bzw. der Gesellschaft analysiert wird. Bekannt wurde der Vorwurf des ‘cultural bias‘ hauptsächlich anlässlich der</w:t>
      </w:r>
      <w:r w:rsidRPr="00BF578F">
        <w:rPr>
          <w:spacing w:val="-2"/>
        </w:rPr>
        <w:t xml:space="preserve"> </w:t>
      </w:r>
      <w:r w:rsidRPr="00BF578F">
        <w:t>Diskussion</w:t>
      </w:r>
      <w:r w:rsidRPr="00BF578F">
        <w:rPr>
          <w:spacing w:val="-2"/>
        </w:rPr>
        <w:t xml:space="preserve"> </w:t>
      </w:r>
      <w:r w:rsidRPr="00BF578F">
        <w:t>über</w:t>
      </w:r>
      <w:r w:rsidRPr="00BF578F">
        <w:rPr>
          <w:spacing w:val="-1"/>
        </w:rPr>
        <w:t xml:space="preserve"> </w:t>
      </w:r>
      <w:r w:rsidRPr="00BF578F">
        <w:t>die</w:t>
      </w:r>
      <w:r w:rsidRPr="00BF578F">
        <w:rPr>
          <w:spacing w:val="-1"/>
        </w:rPr>
        <w:t xml:space="preserve"> </w:t>
      </w:r>
      <w:r w:rsidRPr="00BF578F">
        <w:t>Validität der Hofstede- Kulturdimensionen</w:t>
      </w:r>
      <w:r w:rsidR="007F2875">
        <w:t xml:space="preserve"> (</w:t>
      </w:r>
      <w:r w:rsidR="007F2875">
        <w:sym w:font="Symbol" w:char="F0DE"/>
      </w:r>
      <w:r w:rsidR="007F2875">
        <w:t xml:space="preserve"> Kulturdimensione</w:t>
      </w:r>
      <w:r w:rsidRPr="00BF578F">
        <w:t>.</w:t>
      </w:r>
      <w:r w:rsidRPr="00BF578F">
        <w:rPr>
          <w:spacing w:val="-12"/>
        </w:rPr>
        <w:t xml:space="preserve"> </w:t>
      </w:r>
      <w:r w:rsidRPr="00BF578F">
        <w:t>Da</w:t>
      </w:r>
      <w:r w:rsidRPr="00BF578F">
        <w:rPr>
          <w:spacing w:val="-11"/>
        </w:rPr>
        <w:t xml:space="preserve"> </w:t>
      </w:r>
      <w:r w:rsidRPr="00BF578F">
        <w:t>es</w:t>
      </w:r>
      <w:r w:rsidRPr="00BF578F">
        <w:rPr>
          <w:spacing w:val="-11"/>
        </w:rPr>
        <w:t xml:space="preserve"> </w:t>
      </w:r>
      <w:r w:rsidRPr="00BF578F">
        <w:t>amerikanische,</w:t>
      </w:r>
      <w:r w:rsidRPr="00BF578F">
        <w:rPr>
          <w:spacing w:val="-11"/>
        </w:rPr>
        <w:t xml:space="preserve"> </w:t>
      </w:r>
      <w:r w:rsidRPr="00BF578F">
        <w:t>britische,</w:t>
      </w:r>
      <w:r w:rsidRPr="00BF578F">
        <w:rPr>
          <w:spacing w:val="-12"/>
        </w:rPr>
        <w:t xml:space="preserve"> </w:t>
      </w:r>
      <w:r w:rsidRPr="00BF578F">
        <w:t>französische,</w:t>
      </w:r>
      <w:r w:rsidRPr="00BF578F">
        <w:rPr>
          <w:spacing w:val="-11"/>
        </w:rPr>
        <w:t xml:space="preserve"> </w:t>
      </w:r>
      <w:r w:rsidRPr="00BF578F">
        <w:t xml:space="preserve">holländische und norwegische Wissenschaftler waren, welche den </w:t>
      </w:r>
      <w:r w:rsidR="005E50F8" w:rsidRPr="00BF578F">
        <w:t>zugrundeliegenden</w:t>
      </w:r>
      <w:r w:rsidRPr="00BF578F">
        <w:t xml:space="preserve"> Fragebogen</w:t>
      </w:r>
      <w:r w:rsidRPr="00BF578F">
        <w:rPr>
          <w:spacing w:val="4"/>
        </w:rPr>
        <w:t xml:space="preserve"> </w:t>
      </w:r>
      <w:r w:rsidRPr="00BF578F">
        <w:t>der</w:t>
      </w:r>
      <w:r w:rsidRPr="00BF578F">
        <w:rPr>
          <w:spacing w:val="10"/>
        </w:rPr>
        <w:t xml:space="preserve"> </w:t>
      </w:r>
      <w:r w:rsidRPr="00BF578F">
        <w:t>IBM-Studie</w:t>
      </w:r>
      <w:r w:rsidRPr="00BF578F">
        <w:rPr>
          <w:spacing w:val="9"/>
        </w:rPr>
        <w:t xml:space="preserve"> </w:t>
      </w:r>
      <w:r w:rsidRPr="00BF578F">
        <w:t>mit</w:t>
      </w:r>
      <w:r w:rsidRPr="00BF578F">
        <w:rPr>
          <w:spacing w:val="7"/>
        </w:rPr>
        <w:t xml:space="preserve"> </w:t>
      </w:r>
      <w:r w:rsidRPr="00BF578F">
        <w:t>Blick</w:t>
      </w:r>
      <w:r w:rsidRPr="00BF578F">
        <w:rPr>
          <w:spacing w:val="10"/>
        </w:rPr>
        <w:t xml:space="preserve"> </w:t>
      </w:r>
      <w:r w:rsidRPr="00BF578F">
        <w:t>auf</w:t>
      </w:r>
      <w:r w:rsidRPr="00BF578F">
        <w:rPr>
          <w:spacing w:val="9"/>
        </w:rPr>
        <w:t xml:space="preserve"> </w:t>
      </w:r>
      <w:r w:rsidRPr="00BF578F">
        <w:t>westliche</w:t>
      </w:r>
      <w:r w:rsidRPr="00BF578F">
        <w:rPr>
          <w:spacing w:val="8"/>
        </w:rPr>
        <w:t xml:space="preserve"> </w:t>
      </w:r>
      <w:r w:rsidRPr="00BF578F">
        <w:t>Werte</w:t>
      </w:r>
      <w:r w:rsidRPr="00BF578F">
        <w:rPr>
          <w:spacing w:val="8"/>
        </w:rPr>
        <w:t xml:space="preserve"> </w:t>
      </w:r>
      <w:r w:rsidRPr="00BF578F">
        <w:t>entwickelt</w:t>
      </w:r>
      <w:r w:rsidRPr="00BF578F">
        <w:rPr>
          <w:spacing w:val="10"/>
        </w:rPr>
        <w:t xml:space="preserve"> </w:t>
      </w:r>
      <w:r w:rsidRPr="00BF578F">
        <w:rPr>
          <w:spacing w:val="-2"/>
        </w:rPr>
        <w:t xml:space="preserve">haben, </w:t>
      </w:r>
      <w:r w:rsidRPr="00BF578F">
        <w:t xml:space="preserve">könne nur für den westlichen Kulturraum von der externen Validität des 4D- </w:t>
      </w:r>
      <w:r w:rsidRPr="00BF578F">
        <w:lastRenderedPageBreak/>
        <w:t>Modells (d.h. des Ursprungskonzepts der vier Kulturdimensionen) ausgegangen werden. Auf Basis der Chinese Value Survey (CVS) haben deshalb Hofstede &amp; Bond eine als „Konfuzianische Dynamik“ bezeichnete fünfte</w:t>
      </w:r>
      <w:r w:rsidRPr="00BF578F">
        <w:rPr>
          <w:spacing w:val="-12"/>
        </w:rPr>
        <w:t xml:space="preserve"> </w:t>
      </w:r>
      <w:r w:rsidRPr="00BF578F">
        <w:t>Kulturdimension</w:t>
      </w:r>
      <w:r w:rsidRPr="00BF578F">
        <w:rPr>
          <w:spacing w:val="-11"/>
        </w:rPr>
        <w:t xml:space="preserve"> </w:t>
      </w:r>
      <w:r w:rsidRPr="00BF578F">
        <w:t>entwickelt,</w:t>
      </w:r>
      <w:r w:rsidRPr="00BF578F">
        <w:rPr>
          <w:spacing w:val="-11"/>
        </w:rPr>
        <w:t xml:space="preserve"> </w:t>
      </w:r>
      <w:r w:rsidRPr="00BF578F">
        <w:t>welche</w:t>
      </w:r>
      <w:r w:rsidRPr="00BF578F">
        <w:rPr>
          <w:spacing w:val="-11"/>
        </w:rPr>
        <w:t xml:space="preserve"> </w:t>
      </w:r>
      <w:r w:rsidRPr="00BF578F">
        <w:t>sog.</w:t>
      </w:r>
      <w:r w:rsidRPr="00BF578F">
        <w:rPr>
          <w:spacing w:val="-12"/>
        </w:rPr>
        <w:t xml:space="preserve"> </w:t>
      </w:r>
      <w:r w:rsidRPr="00BF578F">
        <w:t>asiatische</w:t>
      </w:r>
      <w:r w:rsidRPr="00BF578F">
        <w:rPr>
          <w:spacing w:val="-11"/>
        </w:rPr>
        <w:t xml:space="preserve"> </w:t>
      </w:r>
      <w:r w:rsidRPr="00BF578F">
        <w:t>Werte</w:t>
      </w:r>
      <w:r w:rsidRPr="00BF578F">
        <w:rPr>
          <w:spacing w:val="-11"/>
        </w:rPr>
        <w:t xml:space="preserve"> </w:t>
      </w:r>
      <w:r w:rsidRPr="00BF578F">
        <w:t>abbildet</w:t>
      </w:r>
      <w:r w:rsidRPr="00BF578F">
        <w:rPr>
          <w:spacing w:val="-11"/>
        </w:rPr>
        <w:t xml:space="preserve"> </w:t>
      </w:r>
      <w:r w:rsidRPr="00BF578F">
        <w:t>(z.B. tugendhaftes Verhalten, Bewahrung der bestehenden sozialen Ordnung).</w:t>
      </w:r>
    </w:p>
    <w:p w14:paraId="69C2707E" w14:textId="77777777" w:rsidR="00FF7799" w:rsidRPr="00BF578F" w:rsidRDefault="00FF7799" w:rsidP="001212D2">
      <w:pPr>
        <w:pStyle w:val="StandardText"/>
      </w:pPr>
      <w:r w:rsidRPr="00E73F6F">
        <w:t>Mit Cultural Bias sind häufig auch Artefakte gemeint: Verzerrung von (empirischen)</w:t>
      </w:r>
      <w:r w:rsidRPr="00E73F6F">
        <w:rPr>
          <w:spacing w:val="-5"/>
        </w:rPr>
        <w:t xml:space="preserve"> </w:t>
      </w:r>
      <w:r w:rsidRPr="00E73F6F">
        <w:t>Befunden</w:t>
      </w:r>
      <w:r w:rsidRPr="00E73F6F">
        <w:rPr>
          <w:spacing w:val="-4"/>
        </w:rPr>
        <w:t xml:space="preserve"> </w:t>
      </w:r>
      <w:r w:rsidRPr="00E73F6F">
        <w:t>aufgrund</w:t>
      </w:r>
      <w:r w:rsidRPr="00E73F6F">
        <w:rPr>
          <w:spacing w:val="-6"/>
        </w:rPr>
        <w:t xml:space="preserve"> </w:t>
      </w:r>
      <w:r w:rsidRPr="00E73F6F">
        <w:t>des</w:t>
      </w:r>
      <w:r w:rsidRPr="00E73F6F">
        <w:rPr>
          <w:spacing w:val="-8"/>
        </w:rPr>
        <w:t xml:space="preserve"> </w:t>
      </w:r>
      <w:r w:rsidRPr="00E73F6F">
        <w:t>unkontrollierten</w:t>
      </w:r>
      <w:r w:rsidRPr="00E73F6F">
        <w:rPr>
          <w:spacing w:val="-6"/>
        </w:rPr>
        <w:t xml:space="preserve"> </w:t>
      </w:r>
      <w:r w:rsidRPr="00E73F6F">
        <w:t>Einflusses</w:t>
      </w:r>
      <w:r w:rsidRPr="00E73F6F">
        <w:rPr>
          <w:spacing w:val="-5"/>
        </w:rPr>
        <w:t xml:space="preserve"> </w:t>
      </w:r>
      <w:r w:rsidR="00BF578F">
        <w:t>kulturspezi</w:t>
      </w:r>
      <w:r w:rsidRPr="00E73F6F">
        <w:t xml:space="preserve">fischer intervenierender Variablen (z.B. unterschiedliche </w:t>
      </w:r>
      <w:r w:rsidR="00BF578F">
        <w:sym w:font="Symbol" w:char="F0DE"/>
      </w:r>
      <w:r w:rsidR="00BF578F">
        <w:t xml:space="preserve"> </w:t>
      </w:r>
      <w:r w:rsidR="00BF578F">
        <w:rPr>
          <w:spacing w:val="-2"/>
        </w:rPr>
        <w:t>Auskunfts</w:t>
      </w:r>
      <w:r w:rsidRPr="00E73F6F">
        <w:rPr>
          <w:spacing w:val="-2"/>
        </w:rPr>
        <w:t>bereitschaft).</w:t>
      </w:r>
      <w:r w:rsidR="00BF578F">
        <w:t xml:space="preserve"> Auch </w:t>
      </w:r>
      <w:r w:rsidRPr="00E73F6F">
        <w:t>den</w:t>
      </w:r>
      <w:r w:rsidRPr="00E73F6F">
        <w:rPr>
          <w:spacing w:val="-11"/>
        </w:rPr>
        <w:t xml:space="preserve"> </w:t>
      </w:r>
      <w:r w:rsidRPr="00E73F6F">
        <w:t>meisten</w:t>
      </w:r>
      <w:r w:rsidRPr="00E73F6F">
        <w:rPr>
          <w:spacing w:val="-11"/>
        </w:rPr>
        <w:t xml:space="preserve"> </w:t>
      </w:r>
      <w:r w:rsidRPr="00E73F6F">
        <w:t>Intelligenz-</w:t>
      </w:r>
      <w:r w:rsidRPr="00E73F6F">
        <w:rPr>
          <w:spacing w:val="-12"/>
        </w:rPr>
        <w:t xml:space="preserve"> </w:t>
      </w:r>
      <w:r w:rsidRPr="00E73F6F">
        <w:t>und</w:t>
      </w:r>
      <w:r w:rsidRPr="00E73F6F">
        <w:rPr>
          <w:spacing w:val="-11"/>
        </w:rPr>
        <w:t xml:space="preserve"> </w:t>
      </w:r>
      <w:r w:rsidRPr="00E73F6F">
        <w:t>Persönlichkeitstests</w:t>
      </w:r>
      <w:r w:rsidRPr="00E73F6F">
        <w:rPr>
          <w:spacing w:val="-11"/>
        </w:rPr>
        <w:t xml:space="preserve"> </w:t>
      </w:r>
      <w:r w:rsidR="00BF578F">
        <w:rPr>
          <w:spacing w:val="-11"/>
        </w:rPr>
        <w:t xml:space="preserve">wird ein Cultural Bias </w:t>
      </w:r>
      <w:r w:rsidR="00BF578F">
        <w:t xml:space="preserve">vorgeworfen; denn sie </w:t>
      </w:r>
      <w:r w:rsidRPr="00E73F6F">
        <w:t>be</w:t>
      </w:r>
      <w:r w:rsidR="00BF578F">
        <w:t>nachteiligten Angehörige nicht-</w:t>
      </w:r>
      <w:r w:rsidRPr="00E73F6F">
        <w:t xml:space="preserve">westlicher Kulturen. Abhilfe versprechen Culture Free- bzw. Culture Fair </w:t>
      </w:r>
      <w:r w:rsidRPr="00E73F6F">
        <w:rPr>
          <w:spacing w:val="-2"/>
        </w:rPr>
        <w:t>Intelligence-Tests.</w:t>
      </w:r>
    </w:p>
    <w:p w14:paraId="63627ABF" w14:textId="77777777" w:rsidR="00FF7799" w:rsidRDefault="00FF7799" w:rsidP="00BF578F">
      <w:pPr>
        <w:pStyle w:val="StandardText"/>
        <w:rPr>
          <w:sz w:val="22"/>
          <w:szCs w:val="22"/>
          <w:lang w:val="en-US"/>
        </w:rPr>
      </w:pPr>
      <w:r w:rsidRPr="00EA5DE3">
        <w:rPr>
          <w:b/>
          <w:i/>
          <w:sz w:val="22"/>
          <w:szCs w:val="22"/>
        </w:rPr>
        <w:t>Literatur:</w:t>
      </w:r>
      <w:r w:rsidRPr="00BF578F">
        <w:rPr>
          <w:b/>
          <w:i/>
          <w:spacing w:val="-5"/>
          <w:sz w:val="22"/>
          <w:szCs w:val="22"/>
        </w:rPr>
        <w:t xml:space="preserve"> </w:t>
      </w:r>
      <w:r w:rsidRPr="00BF578F">
        <w:rPr>
          <w:sz w:val="22"/>
          <w:szCs w:val="22"/>
        </w:rPr>
        <w:t>Dreesmann,</w:t>
      </w:r>
      <w:r w:rsidRPr="00BF578F">
        <w:rPr>
          <w:spacing w:val="-5"/>
          <w:sz w:val="22"/>
          <w:szCs w:val="22"/>
        </w:rPr>
        <w:t xml:space="preserve"> </w:t>
      </w:r>
      <w:r w:rsidRPr="00BF578F">
        <w:rPr>
          <w:sz w:val="22"/>
          <w:szCs w:val="22"/>
        </w:rPr>
        <w:t>H.</w:t>
      </w:r>
      <w:r w:rsidRPr="00BF578F">
        <w:rPr>
          <w:spacing w:val="-1"/>
          <w:sz w:val="22"/>
          <w:szCs w:val="22"/>
        </w:rPr>
        <w:t xml:space="preserve"> </w:t>
      </w:r>
      <w:r w:rsidRPr="00BF578F">
        <w:rPr>
          <w:sz w:val="22"/>
          <w:szCs w:val="22"/>
        </w:rPr>
        <w:t>(2003):</w:t>
      </w:r>
      <w:r w:rsidRPr="00BF578F">
        <w:rPr>
          <w:spacing w:val="-4"/>
          <w:sz w:val="22"/>
          <w:szCs w:val="22"/>
        </w:rPr>
        <w:t xml:space="preserve"> </w:t>
      </w:r>
      <w:r w:rsidRPr="00BF578F">
        <w:rPr>
          <w:sz w:val="22"/>
          <w:szCs w:val="22"/>
        </w:rPr>
        <w:t>Motivation</w:t>
      </w:r>
      <w:r w:rsidRPr="00BF578F">
        <w:rPr>
          <w:spacing w:val="-4"/>
          <w:sz w:val="22"/>
          <w:szCs w:val="22"/>
        </w:rPr>
        <w:t xml:space="preserve"> </w:t>
      </w:r>
      <w:r w:rsidRPr="00BF578F">
        <w:rPr>
          <w:sz w:val="22"/>
          <w:szCs w:val="22"/>
        </w:rPr>
        <w:t>im</w:t>
      </w:r>
      <w:r w:rsidRPr="00BF578F">
        <w:rPr>
          <w:spacing w:val="-5"/>
          <w:sz w:val="22"/>
          <w:szCs w:val="22"/>
        </w:rPr>
        <w:t xml:space="preserve"> </w:t>
      </w:r>
      <w:r w:rsidRPr="00BF578F">
        <w:rPr>
          <w:sz w:val="22"/>
          <w:szCs w:val="22"/>
        </w:rPr>
        <w:t>interkulturellen</w:t>
      </w:r>
      <w:r w:rsidRPr="00BF578F">
        <w:rPr>
          <w:spacing w:val="-4"/>
          <w:sz w:val="22"/>
          <w:szCs w:val="22"/>
        </w:rPr>
        <w:t xml:space="preserve"> </w:t>
      </w:r>
      <w:r w:rsidRPr="00BF578F">
        <w:rPr>
          <w:sz w:val="22"/>
          <w:szCs w:val="22"/>
        </w:rPr>
        <w:t>Kontext,</w:t>
      </w:r>
      <w:r w:rsidRPr="00BF578F">
        <w:rPr>
          <w:spacing w:val="-5"/>
          <w:sz w:val="22"/>
          <w:szCs w:val="22"/>
        </w:rPr>
        <w:t xml:space="preserve"> </w:t>
      </w:r>
      <w:r w:rsidRPr="00BF578F">
        <w:rPr>
          <w:sz w:val="22"/>
          <w:szCs w:val="22"/>
        </w:rPr>
        <w:t>in:</w:t>
      </w:r>
      <w:r w:rsidRPr="00BF578F">
        <w:rPr>
          <w:spacing w:val="-2"/>
          <w:sz w:val="22"/>
          <w:szCs w:val="22"/>
        </w:rPr>
        <w:t xml:space="preserve"> </w:t>
      </w:r>
      <w:r w:rsidRPr="00BF578F">
        <w:rPr>
          <w:sz w:val="22"/>
          <w:szCs w:val="22"/>
        </w:rPr>
        <w:t>Bergemann,</w:t>
      </w:r>
      <w:r w:rsidRPr="00BF578F">
        <w:rPr>
          <w:spacing w:val="40"/>
          <w:sz w:val="22"/>
          <w:szCs w:val="22"/>
        </w:rPr>
        <w:t xml:space="preserve"> </w:t>
      </w:r>
      <w:r w:rsidRPr="00BF578F">
        <w:rPr>
          <w:sz w:val="22"/>
          <w:szCs w:val="22"/>
        </w:rPr>
        <w:t xml:space="preserve">N.; Sourisseaux, A.L.J. (Hrsg.), Interkulturelles Management, 3. </w:t>
      </w:r>
      <w:r w:rsidRPr="00BF578F">
        <w:rPr>
          <w:sz w:val="22"/>
          <w:szCs w:val="22"/>
          <w:lang w:val="en-US"/>
        </w:rPr>
        <w:t>Aufl., 137-163,</w:t>
      </w:r>
      <w:r w:rsidRPr="00BF578F">
        <w:rPr>
          <w:spacing w:val="40"/>
          <w:sz w:val="22"/>
          <w:szCs w:val="22"/>
          <w:lang w:val="en-US"/>
        </w:rPr>
        <w:t xml:space="preserve"> </w:t>
      </w:r>
      <w:r w:rsidRPr="00BF578F">
        <w:rPr>
          <w:sz w:val="22"/>
          <w:szCs w:val="22"/>
          <w:lang w:val="en-US"/>
        </w:rPr>
        <w:t>Heidelberg: Springer.</w:t>
      </w:r>
      <w:r w:rsidRPr="00BF578F">
        <w:rPr>
          <w:spacing w:val="40"/>
          <w:sz w:val="22"/>
          <w:szCs w:val="22"/>
          <w:lang w:val="en-US"/>
        </w:rPr>
        <w:t xml:space="preserve"> </w:t>
      </w:r>
      <w:r w:rsidR="00BF578F" w:rsidRPr="00BF578F">
        <w:rPr>
          <w:spacing w:val="40"/>
          <w:sz w:val="22"/>
          <w:szCs w:val="22"/>
          <w:lang w:val="en-US"/>
        </w:rPr>
        <w:t xml:space="preserve"> </w:t>
      </w:r>
      <w:r w:rsidRPr="00BF578F">
        <w:rPr>
          <w:sz w:val="22"/>
          <w:szCs w:val="22"/>
          <w:lang w:val="en-US"/>
        </w:rPr>
        <w:t>Hofstede, G. (2001): Cultures Consequences. Comparing Values,</w:t>
      </w:r>
      <w:r w:rsidRPr="00BF578F">
        <w:rPr>
          <w:spacing w:val="40"/>
          <w:sz w:val="22"/>
          <w:szCs w:val="22"/>
          <w:lang w:val="en-US"/>
        </w:rPr>
        <w:t xml:space="preserve"> </w:t>
      </w:r>
      <w:r w:rsidRPr="00BF578F">
        <w:rPr>
          <w:sz w:val="22"/>
          <w:szCs w:val="22"/>
          <w:lang w:val="en-US"/>
        </w:rPr>
        <w:t>Behaviors, Institutions, and Organizations across Nations, 2nd Ed., Thousand Oaks/CA:</w:t>
      </w:r>
      <w:r w:rsidRPr="00BF578F">
        <w:rPr>
          <w:spacing w:val="40"/>
          <w:sz w:val="22"/>
          <w:szCs w:val="22"/>
          <w:lang w:val="en-US"/>
        </w:rPr>
        <w:t xml:space="preserve"> </w:t>
      </w:r>
      <w:r w:rsidRPr="00BF578F">
        <w:rPr>
          <w:sz w:val="22"/>
          <w:szCs w:val="22"/>
          <w:lang w:val="en-US"/>
        </w:rPr>
        <w:t>Sage.</w:t>
      </w:r>
      <w:r w:rsidR="00BF578F">
        <w:rPr>
          <w:sz w:val="22"/>
          <w:szCs w:val="22"/>
          <w:lang w:val="en-US"/>
        </w:rPr>
        <w:t xml:space="preserve"> </w:t>
      </w:r>
      <w:r w:rsidRPr="00BF578F">
        <w:rPr>
          <w:spacing w:val="40"/>
          <w:sz w:val="22"/>
          <w:szCs w:val="22"/>
          <w:lang w:val="en-US"/>
        </w:rPr>
        <w:t xml:space="preserve"> </w:t>
      </w:r>
      <w:r w:rsidRPr="00BF578F">
        <w:rPr>
          <w:sz w:val="22"/>
          <w:szCs w:val="22"/>
          <w:lang w:val="en-US"/>
        </w:rPr>
        <w:t>Hofstede, G.; Bond, M.H. (1988): The Confucius Connection. From Cultural Roots</w:t>
      </w:r>
      <w:r w:rsidRPr="00BF578F">
        <w:rPr>
          <w:spacing w:val="40"/>
          <w:sz w:val="22"/>
          <w:szCs w:val="22"/>
          <w:lang w:val="en-US"/>
        </w:rPr>
        <w:t xml:space="preserve"> </w:t>
      </w:r>
      <w:r w:rsidRPr="00BF578F">
        <w:rPr>
          <w:sz w:val="22"/>
          <w:szCs w:val="22"/>
          <w:lang w:val="en-US"/>
        </w:rPr>
        <w:t>to Economic Growth, Organizational Dynamics, 16(4): 5-21.</w:t>
      </w:r>
      <w:r w:rsidRPr="00BF578F">
        <w:rPr>
          <w:spacing w:val="80"/>
          <w:sz w:val="22"/>
          <w:szCs w:val="22"/>
          <w:lang w:val="en-US"/>
        </w:rPr>
        <w:t xml:space="preserve"> </w:t>
      </w:r>
      <w:r w:rsidR="00BF578F">
        <w:rPr>
          <w:spacing w:val="80"/>
          <w:sz w:val="22"/>
          <w:szCs w:val="22"/>
          <w:lang w:val="en-US"/>
        </w:rPr>
        <w:t xml:space="preserve"> </w:t>
      </w:r>
      <w:r w:rsidRPr="00BF578F">
        <w:rPr>
          <w:sz w:val="22"/>
          <w:szCs w:val="22"/>
          <w:lang w:val="en-US"/>
        </w:rPr>
        <w:t>Nenty, H.J.; Dinero, T.E. (1981): A Cross-cultural Analysis of the Fairness of the Cattell Culture Fair Intelligence</w:t>
      </w:r>
      <w:r w:rsidRPr="00BF578F">
        <w:rPr>
          <w:spacing w:val="40"/>
          <w:sz w:val="22"/>
          <w:szCs w:val="22"/>
          <w:lang w:val="en-US"/>
        </w:rPr>
        <w:t xml:space="preserve"> </w:t>
      </w:r>
      <w:r w:rsidRPr="00BF578F">
        <w:rPr>
          <w:sz w:val="22"/>
          <w:szCs w:val="22"/>
          <w:lang w:val="en-US"/>
        </w:rPr>
        <w:t>Test Using the Rasch Model, Applied Psychological Measurement, 5(3): 355-368.</w:t>
      </w:r>
    </w:p>
    <w:p w14:paraId="741C4B48" w14:textId="77777777" w:rsidR="002A501D" w:rsidRPr="00BF578F" w:rsidRDefault="002A501D" w:rsidP="00BF578F">
      <w:pPr>
        <w:pStyle w:val="StandardText"/>
        <w:rPr>
          <w:sz w:val="22"/>
          <w:szCs w:val="22"/>
          <w:lang w:val="en-US"/>
        </w:rPr>
      </w:pPr>
    </w:p>
    <w:p w14:paraId="300E74AE" w14:textId="77777777" w:rsidR="00312CF9" w:rsidRDefault="00312CF9" w:rsidP="00312CF9">
      <w:pPr>
        <w:pStyle w:val="berschrift2"/>
        <w:ind w:left="576" w:hanging="576"/>
        <w:rPr>
          <w:rFonts w:eastAsiaTheme="minorHAnsi" w:cstheme="minorBidi"/>
          <w:b w:val="0"/>
          <w:bCs w:val="0"/>
          <w:iCs/>
          <w:sz w:val="22"/>
          <w:szCs w:val="22"/>
          <w:lang w:val="en-US"/>
        </w:rPr>
      </w:pPr>
      <w:r w:rsidRPr="00312CF9">
        <w:rPr>
          <w:color w:val="2F5496" w:themeColor="accent5" w:themeShade="BF"/>
          <w:sz w:val="24"/>
          <w:szCs w:val="22"/>
        </w:rPr>
        <w:t xml:space="preserve">Cultural Due Diligence </w:t>
      </w:r>
      <w:r w:rsidRPr="007F69DA">
        <w:rPr>
          <w:rFonts w:eastAsiaTheme="minorHAnsi" w:cstheme="minorBidi"/>
          <w:b w:val="0"/>
          <w:bCs w:val="0"/>
          <w:sz w:val="22"/>
          <w:szCs w:val="22"/>
        </w:rPr>
        <w:sym w:font="Symbol" w:char="F0AE"/>
      </w:r>
      <w:r w:rsidRPr="007F69DA">
        <w:rPr>
          <w:rFonts w:eastAsiaTheme="minorHAnsi" w:cstheme="minorBidi"/>
          <w:b w:val="0"/>
          <w:bCs w:val="0"/>
          <w:sz w:val="22"/>
          <w:szCs w:val="22"/>
          <w:lang w:val="en-US"/>
        </w:rPr>
        <w:t xml:space="preserve"> Kulturintegration</w:t>
      </w:r>
    </w:p>
    <w:p w14:paraId="6640820E" w14:textId="77777777" w:rsidR="00FF7799" w:rsidRPr="00E73F6F" w:rsidRDefault="00FF7799" w:rsidP="0074120C">
      <w:pPr>
        <w:pStyle w:val="berschrift1"/>
        <w:rPr>
          <w:lang w:eastAsia="de-DE"/>
        </w:rPr>
      </w:pPr>
      <w:r w:rsidRPr="00312CF9">
        <w:rPr>
          <w:color w:val="2F5496" w:themeColor="accent5" w:themeShade="BF"/>
        </w:rPr>
        <w:t>Culture Free/Bound-These</w:t>
      </w:r>
      <w:r w:rsidRPr="00E73F6F">
        <w:rPr>
          <w:kern w:val="32"/>
        </w:rPr>
        <w:t xml:space="preserve"> </w:t>
      </w:r>
      <w:r w:rsidRPr="00E73F6F">
        <w:rPr>
          <w:b w:val="0"/>
          <w:kern w:val="32"/>
        </w:rPr>
        <w:t xml:space="preserve">→ </w:t>
      </w:r>
      <w:r w:rsidRPr="00E73F6F">
        <w:rPr>
          <w:b w:val="0"/>
          <w:lang w:eastAsia="de-DE"/>
        </w:rPr>
        <w:t>Kulturismus/Universalismus-Debatte</w:t>
      </w:r>
    </w:p>
    <w:p w14:paraId="2260ED21" w14:textId="77777777" w:rsidR="00312CF9" w:rsidRPr="00312CF9" w:rsidRDefault="00312CF9" w:rsidP="00312CF9">
      <w:pPr>
        <w:pStyle w:val="berschrift2"/>
        <w:ind w:left="576" w:hanging="576"/>
        <w:rPr>
          <w:color w:val="2F5496" w:themeColor="accent5" w:themeShade="BF"/>
          <w:sz w:val="24"/>
          <w:szCs w:val="22"/>
        </w:rPr>
      </w:pPr>
      <w:r w:rsidRPr="00312CF9">
        <w:rPr>
          <w:color w:val="2F5496" w:themeColor="accent5" w:themeShade="BF"/>
          <w:sz w:val="24"/>
          <w:szCs w:val="22"/>
        </w:rPr>
        <w:t xml:space="preserve">Cultural Universal </w:t>
      </w:r>
    </w:p>
    <w:p w14:paraId="7B75D11E" w14:textId="77777777" w:rsidR="00312CF9" w:rsidRPr="008136E2" w:rsidRDefault="00312CF9" w:rsidP="00312CF9">
      <w:r w:rsidRPr="008136E2">
        <w:t>kulturelle Phänome</w:t>
      </w:r>
      <w:r w:rsidRPr="004E30D6">
        <w:t xml:space="preserve">ne (z.B. Humor, </w:t>
      </w:r>
      <w:r w:rsidRPr="008136E2">
        <w:t>Musik, Rituale</w:t>
      </w:r>
      <w:r w:rsidRPr="004E30D6">
        <w:t xml:space="preserve">, </w:t>
      </w:r>
      <w:r w:rsidRPr="008136E2">
        <w:t>Sprache</w:t>
      </w:r>
      <w:r w:rsidRPr="004E30D6">
        <w:t>)</w:t>
      </w:r>
      <w:r w:rsidRPr="008136E2">
        <w:t>,</w:t>
      </w:r>
      <w:r w:rsidRPr="004E30D6">
        <w:t xml:space="preserve"> </w:t>
      </w:r>
      <w:r w:rsidRPr="008136E2">
        <w:t>d</w:t>
      </w:r>
      <w:r w:rsidRPr="004E30D6">
        <w:t>ie</w:t>
      </w:r>
      <w:r w:rsidRPr="008136E2">
        <w:t xml:space="preserve"> in allen bekannten Gesellschaften vorkomm</w:t>
      </w:r>
      <w:r w:rsidRPr="004E30D6">
        <w:t>en</w:t>
      </w:r>
      <w:r w:rsidRPr="008136E2">
        <w:t xml:space="preserve">, </w:t>
      </w:r>
      <w:r w:rsidRPr="004E30D6">
        <w:t xml:space="preserve">wenn auch häufig in </w:t>
      </w:r>
      <w:r w:rsidRPr="008136E2">
        <w:t>untersch</w:t>
      </w:r>
      <w:r w:rsidRPr="004E30D6">
        <w:t xml:space="preserve">iedlicher Modalität und/oder Intensität </w:t>
      </w:r>
      <w:r w:rsidRPr="00401ADC">
        <w:t xml:space="preserve">(vgl. </w:t>
      </w:r>
      <w:r w:rsidRPr="008136E2">
        <w:t xml:space="preserve">Murdock </w:t>
      </w:r>
      <w:r w:rsidRPr="00401ADC">
        <w:t>1</w:t>
      </w:r>
      <w:r w:rsidRPr="008136E2">
        <w:t>9</w:t>
      </w:r>
      <w:r w:rsidRPr="00401ADC">
        <w:t>68).</w:t>
      </w:r>
      <w:r w:rsidRPr="008136E2">
        <w:t xml:space="preserve"> </w:t>
      </w:r>
      <w:r w:rsidRPr="00401ADC">
        <w:t>„C</w:t>
      </w:r>
      <w:r w:rsidRPr="008136E2">
        <w:t>ultural universal</w:t>
      </w:r>
      <w:r w:rsidRPr="00401ADC">
        <w:t>s“ sind universal</w:t>
      </w:r>
      <w:r w:rsidRPr="008136E2">
        <w:t xml:space="preserve">, weil </w:t>
      </w:r>
      <w:r w:rsidRPr="00401ADC">
        <w:t xml:space="preserve">sie </w:t>
      </w:r>
      <w:r w:rsidRPr="008136E2">
        <w:t>grundlegende menschliche Bedürfnisse oder soziale Funktionen erfüll</w:t>
      </w:r>
      <w:r w:rsidRPr="00401ADC">
        <w:t>en (z.B. Kommunikation)</w:t>
      </w:r>
      <w:r w:rsidRPr="008136E2">
        <w:t>.</w:t>
      </w:r>
      <w:r w:rsidRPr="00401ADC">
        <w:t xml:space="preserve"> Im Falle des </w:t>
      </w:r>
      <w:r w:rsidRPr="008136E2">
        <w:t>Humor</w:t>
      </w:r>
      <w:r w:rsidRPr="00401ADC">
        <w:t>s</w:t>
      </w:r>
      <w:r w:rsidRPr="008136E2">
        <w:t xml:space="preserve"> </w:t>
      </w:r>
      <w:r w:rsidRPr="00401ADC">
        <w:t xml:space="preserve">bspw. ist es das Bedürfnis, zu lachen und </w:t>
      </w:r>
      <w:r w:rsidRPr="008136E2">
        <w:t xml:space="preserve">Freude </w:t>
      </w:r>
      <w:r w:rsidRPr="00401ADC">
        <w:t>zu empfinden (vgl. Weinberger et al. 2012). Allerdings wirkt Humor kulturspezifisch:</w:t>
      </w:r>
      <w:r w:rsidRPr="008136E2">
        <w:t xml:space="preserve"> Was in einem Land </w:t>
      </w:r>
      <w:r w:rsidRPr="00401ADC">
        <w:t xml:space="preserve">zum Lachen ist (z.B. </w:t>
      </w:r>
      <w:r w:rsidRPr="008136E2">
        <w:t>Ironie, oder Tabubruch</w:t>
      </w:r>
      <w:r w:rsidRPr="00401ADC">
        <w:t xml:space="preserve">), wird anderswo nicht als witzig, sondern </w:t>
      </w:r>
      <w:r w:rsidRPr="008136E2">
        <w:t>als beleidigend</w:t>
      </w:r>
      <w:r w:rsidRPr="00401ADC">
        <w:t xml:space="preserve"> empfunden</w:t>
      </w:r>
      <w:r w:rsidRPr="008136E2">
        <w:t>.</w:t>
      </w:r>
      <w:r w:rsidRPr="00401ADC">
        <w:t xml:space="preserve"> </w:t>
      </w:r>
      <w:r w:rsidRPr="008136E2">
        <w:t xml:space="preserve">Während </w:t>
      </w:r>
      <w:r w:rsidRPr="00401ADC">
        <w:t xml:space="preserve">das </w:t>
      </w:r>
      <w:r w:rsidRPr="008136E2">
        <w:t>westliche</w:t>
      </w:r>
      <w:r w:rsidRPr="00401ADC">
        <w:t xml:space="preserve"> Humorverständnis häufig auf </w:t>
      </w:r>
      <w:r w:rsidRPr="008136E2">
        <w:t>direkte, explizite Witze</w:t>
      </w:r>
      <w:r w:rsidRPr="00401ADC">
        <w:t xml:space="preserve"> setzt</w:t>
      </w:r>
      <w:r w:rsidRPr="008136E2">
        <w:t xml:space="preserve">, </w:t>
      </w:r>
      <w:r w:rsidRPr="00401ADC">
        <w:t xml:space="preserve">ist im </w:t>
      </w:r>
      <w:r w:rsidRPr="008136E2">
        <w:t>asiatisch</w:t>
      </w:r>
      <w:r w:rsidRPr="00401ADC">
        <w:t xml:space="preserve">-kollektivistischen </w:t>
      </w:r>
      <w:r w:rsidRPr="008136E2">
        <w:t>Kultur</w:t>
      </w:r>
      <w:r w:rsidRPr="00401ADC">
        <w:t xml:space="preserve">raum ein eher </w:t>
      </w:r>
      <w:r w:rsidRPr="008136E2">
        <w:t>subtiler, kontextabhängige</w:t>
      </w:r>
      <w:r w:rsidRPr="00401ADC">
        <w:t xml:space="preserve">r </w:t>
      </w:r>
      <w:r w:rsidRPr="008136E2">
        <w:t>Humor</w:t>
      </w:r>
      <w:r w:rsidRPr="00401ADC">
        <w:t xml:space="preserve"> weit verbreitet (vgl. Hall 1976)</w:t>
      </w:r>
      <w:r w:rsidRPr="008136E2">
        <w:t>.</w:t>
      </w:r>
    </w:p>
    <w:p w14:paraId="71E46CB3" w14:textId="77777777" w:rsidR="00312CF9" w:rsidRDefault="00312CF9" w:rsidP="00312CF9">
      <w:pPr>
        <w:rPr>
          <w:bCs/>
          <w:i/>
          <w:noProof/>
          <w:u w:val="single"/>
          <w:lang w:val="en-US"/>
        </w:rPr>
      </w:pPr>
    </w:p>
    <w:p w14:paraId="0198CE5D" w14:textId="109BDBA7" w:rsidR="00312CF9" w:rsidRPr="008136E2" w:rsidRDefault="00312CF9" w:rsidP="00312CF9">
      <w:r w:rsidRPr="002A501D">
        <w:rPr>
          <w:b/>
          <w:i/>
          <w:noProof/>
          <w:lang w:val="en-US"/>
        </w:rPr>
        <w:t>Literatur:</w:t>
      </w:r>
      <w:r w:rsidRPr="00401ADC">
        <w:rPr>
          <w:bCs/>
          <w:i/>
          <w:noProof/>
          <w:lang w:val="en-US"/>
        </w:rPr>
        <w:t xml:space="preserve"> </w:t>
      </w:r>
      <w:r w:rsidRPr="008136E2">
        <w:t>Apte, M</w:t>
      </w:r>
      <w:r w:rsidRPr="00401ADC">
        <w:t>.</w:t>
      </w:r>
      <w:r w:rsidRPr="008136E2">
        <w:t xml:space="preserve"> L. (1985)</w:t>
      </w:r>
      <w:r w:rsidRPr="00401ADC">
        <w:t>:</w:t>
      </w:r>
      <w:r w:rsidRPr="008136E2">
        <w:t xml:space="preserve"> Humor and Laughter: An Anthropological Approach. Ithaca, NY: Cornell University Press.   Hall, E. T. (1976): Beyond Culture. New York: Anchor Books.   Martin, R. A. (2007): The Psychology of Humor: An Integrative Approach</w:t>
      </w:r>
      <w:r>
        <w:t>,</w:t>
      </w:r>
      <w:r w:rsidRPr="008136E2">
        <w:t xml:space="preserve"> Burlington</w:t>
      </w:r>
      <w:r>
        <w:t>/</w:t>
      </w:r>
      <w:r w:rsidRPr="008136E2">
        <w:t>MA: Elsevier.   Murdock, G. P. (1968)</w:t>
      </w:r>
      <w:r>
        <w:t>:</w:t>
      </w:r>
      <w:r w:rsidRPr="008136E2">
        <w:t xml:space="preserve"> The </w:t>
      </w:r>
      <w:r>
        <w:t>C</w:t>
      </w:r>
      <w:r w:rsidRPr="008136E2">
        <w:t xml:space="preserve">ommon </w:t>
      </w:r>
      <w:r>
        <w:t>D</w:t>
      </w:r>
      <w:r w:rsidRPr="008136E2">
        <w:t xml:space="preserve">enominator of </w:t>
      </w:r>
      <w:r>
        <w:t>C</w:t>
      </w:r>
      <w:r w:rsidRPr="008136E2">
        <w:t xml:space="preserve">ultures, </w:t>
      </w:r>
      <w:r>
        <w:t xml:space="preserve">in: </w:t>
      </w:r>
      <w:r w:rsidRPr="008136E2">
        <w:t xml:space="preserve">Washburn, S. L.; Jay, P. C. (Eds.), Perspectives on </w:t>
      </w:r>
      <w:r>
        <w:t>H</w:t>
      </w:r>
      <w:r w:rsidRPr="008136E2">
        <w:t xml:space="preserve">uman </w:t>
      </w:r>
      <w:r>
        <w:t>E</w:t>
      </w:r>
      <w:r w:rsidRPr="008136E2">
        <w:t xml:space="preserve">volution, </w:t>
      </w:r>
      <w:r>
        <w:t xml:space="preserve">230-245, </w:t>
      </w:r>
      <w:r w:rsidRPr="008136E2">
        <w:t>New York</w:t>
      </w:r>
      <w:r>
        <w:t xml:space="preserve">: </w:t>
      </w:r>
      <w:r w:rsidRPr="008136E2">
        <w:t>Holt, Rinehart and Winston</w:t>
      </w:r>
      <w:r>
        <w:t xml:space="preserve">.   </w:t>
      </w:r>
      <w:r w:rsidRPr="008136E2">
        <w:t>Weinberger, M</w:t>
      </w:r>
      <w:r>
        <w:t xml:space="preserve">. </w:t>
      </w:r>
      <w:r w:rsidRPr="008136E2">
        <w:t>G.; Gulas, C. S.; Weinberger, M. F. (2012): The Role of Culture in Advertising Humor, in: Gulas, C. S. &amp; Weinberger, M. G. (Eds.), Humor in Advertising: Theoretical and Practical Perspectives, 107–132, New York: Sharpe.</w:t>
      </w:r>
    </w:p>
    <w:p w14:paraId="2A287AF9" w14:textId="77777777" w:rsidR="00312CF9" w:rsidRPr="008136E2" w:rsidRDefault="00312CF9" w:rsidP="00312CF9">
      <w:pPr>
        <w:rPr>
          <w:lang w:val="en-US"/>
        </w:rPr>
      </w:pPr>
    </w:p>
    <w:p w14:paraId="53CA46A0" w14:textId="77777777" w:rsidR="00FF7799" w:rsidRPr="00E73F6F" w:rsidRDefault="00FF7799" w:rsidP="0074120C">
      <w:pPr>
        <w:pStyle w:val="berschrift1"/>
      </w:pPr>
      <w:r w:rsidRPr="00312CF9">
        <w:rPr>
          <w:color w:val="2F5496" w:themeColor="accent5" w:themeShade="BF"/>
        </w:rPr>
        <w:t xml:space="preserve">Daoismus </w:t>
      </w:r>
      <w:r w:rsidRPr="00E73F6F">
        <w:rPr>
          <w:b w:val="0"/>
        </w:rPr>
        <w:t>→</w:t>
      </w:r>
      <w:r w:rsidRPr="00E73F6F">
        <w:rPr>
          <w:b w:val="0"/>
          <w:spacing w:val="-1"/>
        </w:rPr>
        <w:t xml:space="preserve"> </w:t>
      </w:r>
      <w:r w:rsidRPr="00E73F6F">
        <w:rPr>
          <w:b w:val="0"/>
          <w:spacing w:val="-2"/>
        </w:rPr>
        <w:t>Taoismus</w:t>
      </w:r>
    </w:p>
    <w:p w14:paraId="6913EEA6" w14:textId="77777777" w:rsidR="00312CF9" w:rsidRPr="007F69DA" w:rsidRDefault="00312CF9" w:rsidP="00312CF9">
      <w:pPr>
        <w:pStyle w:val="berschrift2"/>
        <w:ind w:left="576" w:hanging="576"/>
        <w:rPr>
          <w:bCs w:val="0"/>
          <w:iCs/>
          <w:color w:val="2E74B5"/>
          <w:szCs w:val="22"/>
          <w:lang w:val="en-US"/>
        </w:rPr>
      </w:pPr>
      <w:r w:rsidRPr="00312CF9">
        <w:rPr>
          <w:color w:val="2F5496" w:themeColor="accent5" w:themeShade="BF"/>
          <w:sz w:val="24"/>
          <w:szCs w:val="22"/>
        </w:rPr>
        <w:t xml:space="preserve">Dekulturation </w:t>
      </w:r>
      <w:r w:rsidRPr="007F69DA">
        <w:rPr>
          <w:rFonts w:eastAsiaTheme="minorHAnsi" w:cstheme="minorBidi"/>
          <w:b w:val="0"/>
          <w:bCs w:val="0"/>
          <w:sz w:val="22"/>
          <w:szCs w:val="22"/>
        </w:rPr>
        <w:sym w:font="Symbol" w:char="F0AE"/>
      </w:r>
      <w:r w:rsidRPr="007F69DA">
        <w:rPr>
          <w:rFonts w:eastAsiaTheme="minorHAnsi" w:cstheme="minorBidi"/>
          <w:b w:val="0"/>
          <w:bCs w:val="0"/>
          <w:sz w:val="22"/>
          <w:szCs w:val="22"/>
          <w:lang w:val="en-US"/>
        </w:rPr>
        <w:t xml:space="preserve"> Kulturintegration</w:t>
      </w:r>
    </w:p>
    <w:p w14:paraId="1204456A" w14:textId="77777777" w:rsidR="00FF7799" w:rsidRPr="00312CF9" w:rsidRDefault="00FF7799" w:rsidP="0074120C">
      <w:pPr>
        <w:pStyle w:val="berschrift1"/>
        <w:rPr>
          <w:color w:val="2F5496" w:themeColor="accent5" w:themeShade="BF"/>
        </w:rPr>
      </w:pPr>
      <w:r w:rsidRPr="00312CF9">
        <w:rPr>
          <w:color w:val="2F5496" w:themeColor="accent5" w:themeShade="BF"/>
        </w:rPr>
        <w:t>Determinismus</w:t>
      </w:r>
    </w:p>
    <w:p w14:paraId="48E7AC74" w14:textId="77777777" w:rsidR="00FF7799" w:rsidRPr="00E73F6F" w:rsidRDefault="00FF7799" w:rsidP="0093424B">
      <w:pPr>
        <w:pStyle w:val="StandardText"/>
      </w:pPr>
      <w:r w:rsidRPr="00E73F6F">
        <w:t>Lehrmeinung, die davon</w:t>
      </w:r>
      <w:r w:rsidR="00BF578F">
        <w:t xml:space="preserve"> ausgeht, dass Ergebnisse </w:t>
      </w:r>
      <w:r w:rsidRPr="00E73F6F">
        <w:t>menschliche nicht zufällig (= allgemeiner Determinismus) oder aufgrund freier Willensentscheidungen (= persönlicher Determinismus) zustande kommen, sondern vorbestimmt und berechenbar sind (z.B. weil sie Naturgesetzen oder anderen Gesetzmäßigkeiten unterliegen; vgl. Honderich 1995).</w:t>
      </w:r>
    </w:p>
    <w:p w14:paraId="7ACFB9C6" w14:textId="77777777" w:rsidR="00FF7799" w:rsidRPr="00E73F6F" w:rsidRDefault="00FF7799" w:rsidP="00862DBA">
      <w:pPr>
        <w:rPr>
          <w:sz w:val="24"/>
          <w:szCs w:val="24"/>
        </w:rPr>
      </w:pPr>
    </w:p>
    <w:p w14:paraId="0E16E6C1" w14:textId="77777777" w:rsidR="00FF7799" w:rsidRPr="00400C35" w:rsidRDefault="00FF7799" w:rsidP="005E6288">
      <w:pPr>
        <w:pStyle w:val="StandardTextkursiv"/>
        <w:rPr>
          <w:i w:val="0"/>
        </w:rPr>
      </w:pPr>
      <w:r w:rsidRPr="00400C35">
        <w:rPr>
          <w:i w:val="0"/>
        </w:rPr>
        <w:lastRenderedPageBreak/>
        <w:t>1 Chronologischer</w:t>
      </w:r>
      <w:r w:rsidRPr="00400C35">
        <w:rPr>
          <w:i w:val="0"/>
          <w:spacing w:val="-4"/>
        </w:rPr>
        <w:t xml:space="preserve"> </w:t>
      </w:r>
      <w:r w:rsidRPr="00400C35">
        <w:rPr>
          <w:i w:val="0"/>
          <w:spacing w:val="-2"/>
        </w:rPr>
        <w:t>Determinismus</w:t>
      </w:r>
    </w:p>
    <w:p w14:paraId="1F9F3D7A" w14:textId="77777777" w:rsidR="00FF7799" w:rsidRPr="00E73F6F" w:rsidRDefault="00FF7799" w:rsidP="0093424B">
      <w:pPr>
        <w:pStyle w:val="StandardText"/>
      </w:pPr>
      <w:r w:rsidRPr="00E73F6F">
        <w:t>Um die Internationalisierung der Unternehmenstätigkeit erklären zu können, wurde ein chronologischer Determinismus vorgeschlagen. In Gestalt verschiedener Phasenmodelle unterstellt er einen gesetzmäßigen Verlauf des ‘go international‘ (vgl. Yip et al.</w:t>
      </w:r>
      <w:r w:rsidRPr="00E73F6F">
        <w:rPr>
          <w:spacing w:val="-2"/>
        </w:rPr>
        <w:t xml:space="preserve"> </w:t>
      </w:r>
      <w:r w:rsidRPr="00E73F6F">
        <w:t>2000). Ausschlaggebend war</w:t>
      </w:r>
      <w:r w:rsidRPr="00E73F6F">
        <w:rPr>
          <w:spacing w:val="-1"/>
        </w:rPr>
        <w:t xml:space="preserve"> </w:t>
      </w:r>
      <w:r w:rsidRPr="00E73F6F">
        <w:t>die Beobachtung, dass bestimmte Phänomene der Internationalisierung der Unternehmenstätigkeit nicht zufällig auftreten. Strukturiert man die dabei zu fällenden Entscheidungen u.a. hinsichtlich Fristigkeit, Umfang, Kapitalbindung oder Risiko und in bringt sie in eine sachlogisch und zeitlich strukturierte Abfolge, dann lassen sich Muster erkennen, sog Pfade der Internationalisierung. Diese normativen Modelle bilden die Vorstufe einer empirisch überprüfbaren Theorie der Internationalisierung.</w:t>
      </w:r>
    </w:p>
    <w:p w14:paraId="3B06301C" w14:textId="77777777" w:rsidR="00FF7799" w:rsidRDefault="00FF7799" w:rsidP="0093424B">
      <w:pPr>
        <w:pStyle w:val="StandardText"/>
      </w:pPr>
      <w:r w:rsidRPr="00E73F6F">
        <w:t>Die</w:t>
      </w:r>
      <w:r w:rsidRPr="00E73F6F">
        <w:rPr>
          <w:spacing w:val="-12"/>
        </w:rPr>
        <w:t xml:space="preserve"> </w:t>
      </w:r>
      <w:r w:rsidRPr="00E73F6F">
        <w:t>bekanntesten</w:t>
      </w:r>
      <w:r w:rsidRPr="00E73F6F">
        <w:rPr>
          <w:spacing w:val="-11"/>
        </w:rPr>
        <w:t xml:space="preserve"> </w:t>
      </w:r>
      <w:r w:rsidRPr="00E73F6F">
        <w:t>Phasenmodelle</w:t>
      </w:r>
      <w:r w:rsidRPr="00E73F6F">
        <w:rPr>
          <w:spacing w:val="-11"/>
        </w:rPr>
        <w:t xml:space="preserve"> </w:t>
      </w:r>
      <w:r w:rsidRPr="00E73F6F">
        <w:t>lassen</w:t>
      </w:r>
      <w:r w:rsidRPr="00E73F6F">
        <w:rPr>
          <w:spacing w:val="-10"/>
        </w:rPr>
        <w:t xml:space="preserve"> </w:t>
      </w:r>
      <w:r w:rsidRPr="00E73F6F">
        <w:t>sich,</w:t>
      </w:r>
      <w:r w:rsidRPr="00E73F6F">
        <w:rPr>
          <w:spacing w:val="-10"/>
        </w:rPr>
        <w:t xml:space="preserve"> </w:t>
      </w:r>
      <w:r w:rsidRPr="00E73F6F">
        <w:t>wie</w:t>
      </w:r>
      <w:r w:rsidRPr="00E73F6F">
        <w:rPr>
          <w:spacing w:val="-12"/>
        </w:rPr>
        <w:t xml:space="preserve"> </w:t>
      </w:r>
      <w:r w:rsidRPr="00E73F6F">
        <w:t>in</w:t>
      </w:r>
      <w:r w:rsidRPr="00E73F6F">
        <w:rPr>
          <w:spacing w:val="-10"/>
        </w:rPr>
        <w:t xml:space="preserve"> </w:t>
      </w:r>
      <w:r w:rsidRPr="00E73F6F">
        <w:t>Abb.</w:t>
      </w:r>
      <w:r w:rsidRPr="00E73F6F">
        <w:rPr>
          <w:spacing w:val="-12"/>
        </w:rPr>
        <w:t xml:space="preserve"> </w:t>
      </w:r>
      <w:r w:rsidRPr="00E73F6F">
        <w:t>1</w:t>
      </w:r>
      <w:r w:rsidRPr="00E73F6F">
        <w:rPr>
          <w:spacing w:val="-11"/>
        </w:rPr>
        <w:t xml:space="preserve"> </w:t>
      </w:r>
      <w:r w:rsidRPr="00E73F6F">
        <w:t>dargestellt,</w:t>
      </w:r>
      <w:r w:rsidRPr="00E73F6F">
        <w:rPr>
          <w:spacing w:val="-9"/>
        </w:rPr>
        <w:t xml:space="preserve"> </w:t>
      </w:r>
      <w:r w:rsidRPr="00E73F6F">
        <w:t>einer</w:t>
      </w:r>
      <w:r w:rsidRPr="00E73F6F">
        <w:rPr>
          <w:spacing w:val="-10"/>
        </w:rPr>
        <w:t xml:space="preserve"> </w:t>
      </w:r>
      <w:r w:rsidR="00400C35">
        <w:t>Meta-</w:t>
      </w:r>
      <w:r w:rsidRPr="00E73F6F">
        <w:t>Struktur unterordnen. Der dadurch ermöglichte Vergleich zeigt, dass trotz der sprachlich-konzeptionellen Heterogenität dieser Modelle weitgehende Übereinstimmung hinsichtlich Struktur und Abfolge der einzelnen Phasen der Internationalisierung besteht.</w:t>
      </w:r>
    </w:p>
    <w:p w14:paraId="77708440" w14:textId="77777777" w:rsidR="00400C35" w:rsidRPr="00E73F6F" w:rsidRDefault="00400C35" w:rsidP="0093424B">
      <w:pPr>
        <w:pStyle w:val="StandardText"/>
      </w:pPr>
    </w:p>
    <w:p w14:paraId="328E8289" w14:textId="766313B2" w:rsidR="00FF7799" w:rsidRPr="00C76DC3" w:rsidRDefault="00FF7799" w:rsidP="00A82151">
      <w:pPr>
        <w:pStyle w:val="BeschriftungTab"/>
        <w:rPr>
          <w:i/>
          <w:iCs/>
        </w:rPr>
      </w:pPr>
      <w:r w:rsidRPr="00C76DC3">
        <w:rPr>
          <w:i/>
          <w:iCs/>
        </w:rPr>
        <w:t>Abb.</w:t>
      </w:r>
      <w:r w:rsidRPr="00C76DC3">
        <w:rPr>
          <w:i/>
          <w:iCs/>
          <w:spacing w:val="-4"/>
        </w:rPr>
        <w:t xml:space="preserve"> </w:t>
      </w:r>
      <w:r w:rsidRPr="00C76DC3">
        <w:rPr>
          <w:i/>
          <w:iCs/>
        </w:rPr>
        <w:t>1:</w:t>
      </w:r>
      <w:r w:rsidRPr="00C76DC3">
        <w:rPr>
          <w:i/>
          <w:iCs/>
          <w:spacing w:val="-1"/>
        </w:rPr>
        <w:t xml:space="preserve"> </w:t>
      </w:r>
      <w:r w:rsidRPr="00C76DC3">
        <w:rPr>
          <w:i/>
          <w:iCs/>
        </w:rPr>
        <w:t>Etappen der</w:t>
      </w:r>
      <w:r w:rsidRPr="00C76DC3">
        <w:rPr>
          <w:i/>
          <w:iCs/>
          <w:spacing w:val="-1"/>
        </w:rPr>
        <w:t xml:space="preserve"> </w:t>
      </w:r>
      <w:r w:rsidR="00400C35" w:rsidRPr="00C76DC3">
        <w:rPr>
          <w:i/>
          <w:iCs/>
        </w:rPr>
        <w:t>Internationalisierung</w:t>
      </w:r>
    </w:p>
    <w:p w14:paraId="2032A234" w14:textId="77777777" w:rsidR="00400C35" w:rsidRPr="00E73F6F" w:rsidRDefault="0016185B" w:rsidP="00A82151">
      <w:pPr>
        <w:pStyle w:val="BeschriftungTab"/>
      </w:pPr>
      <w:r>
        <w:rPr>
          <w:noProof/>
        </w:rPr>
        <w:drawing>
          <wp:inline distT="0" distB="0" distL="0" distR="0" wp14:anchorId="06D15B5F" wp14:editId="49335789">
            <wp:extent cx="5652883" cy="4371975"/>
            <wp:effectExtent l="0" t="0" r="5080" b="0"/>
            <wp:docPr id="87" name="Grafik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662983" cy="4379787"/>
                    </a:xfrm>
                    <a:prstGeom prst="rect">
                      <a:avLst/>
                    </a:prstGeom>
                    <a:noFill/>
                  </pic:spPr>
                </pic:pic>
              </a:graphicData>
            </a:graphic>
          </wp:inline>
        </w:drawing>
      </w:r>
    </w:p>
    <w:p w14:paraId="518575F6" w14:textId="77777777" w:rsidR="00FF7799" w:rsidRPr="00E73F6F" w:rsidRDefault="00FF7799" w:rsidP="00A82151">
      <w:pPr>
        <w:pStyle w:val="Quellen"/>
      </w:pPr>
      <w:r w:rsidRPr="00E73F6F">
        <w:t>Quelle:</w:t>
      </w:r>
      <w:r w:rsidRPr="00E73F6F">
        <w:rPr>
          <w:spacing w:val="-2"/>
        </w:rPr>
        <w:t xml:space="preserve"> </w:t>
      </w:r>
      <w:r w:rsidRPr="00E73F6F">
        <w:t>Yip</w:t>
      </w:r>
      <w:r w:rsidRPr="00E73F6F">
        <w:rPr>
          <w:spacing w:val="-1"/>
        </w:rPr>
        <w:t xml:space="preserve"> </w:t>
      </w:r>
      <w:r w:rsidRPr="00E73F6F">
        <w:t>et</w:t>
      </w:r>
      <w:r w:rsidRPr="00E73F6F">
        <w:rPr>
          <w:spacing w:val="-1"/>
        </w:rPr>
        <w:t xml:space="preserve"> </w:t>
      </w:r>
      <w:r w:rsidRPr="00E73F6F">
        <w:t>al. (2000,</w:t>
      </w:r>
      <w:r w:rsidRPr="00E73F6F">
        <w:rPr>
          <w:spacing w:val="-2"/>
        </w:rPr>
        <w:t xml:space="preserve"> S.13).</w:t>
      </w:r>
    </w:p>
    <w:p w14:paraId="080B4CBE" w14:textId="77777777" w:rsidR="00FF7799" w:rsidRPr="00E73F6F" w:rsidRDefault="00FF7799" w:rsidP="00862DBA">
      <w:pPr>
        <w:rPr>
          <w:sz w:val="24"/>
          <w:szCs w:val="24"/>
        </w:rPr>
      </w:pPr>
    </w:p>
    <w:p w14:paraId="348BB77E" w14:textId="77777777" w:rsidR="00FF7799" w:rsidRPr="00254753" w:rsidRDefault="00FF7799" w:rsidP="005E6288">
      <w:pPr>
        <w:pStyle w:val="StandardTextkursiv"/>
        <w:rPr>
          <w:i w:val="0"/>
        </w:rPr>
      </w:pPr>
      <w:r w:rsidRPr="00254753">
        <w:rPr>
          <w:i w:val="0"/>
        </w:rPr>
        <w:t>2 Genetischer</w:t>
      </w:r>
      <w:r w:rsidRPr="00254753">
        <w:rPr>
          <w:i w:val="0"/>
          <w:spacing w:val="-6"/>
        </w:rPr>
        <w:t xml:space="preserve"> </w:t>
      </w:r>
      <w:r w:rsidRPr="00254753">
        <w:rPr>
          <w:i w:val="0"/>
          <w:spacing w:val="-2"/>
        </w:rPr>
        <w:t>Determinismus</w:t>
      </w:r>
    </w:p>
    <w:p w14:paraId="6F0B2587" w14:textId="77777777" w:rsidR="00FF7799" w:rsidRPr="00E73F6F" w:rsidRDefault="00FF7799" w:rsidP="00A82151">
      <w:pPr>
        <w:pStyle w:val="StandardText"/>
      </w:pPr>
      <w:r w:rsidRPr="00E73F6F">
        <w:t>Der genetische (bzw. biologische) Determinismus besagt, dass menschliches Verhalten durch die genetische Ausstattung der Menschen festgelegt ist (d.h.</w:t>
      </w:r>
      <w:r w:rsidR="009278E0">
        <w:t xml:space="preserve"> keinen Freiheitsgrad besitzt). </w:t>
      </w:r>
      <w:r w:rsidRPr="00E73F6F">
        <w:t>Aufgrund</w:t>
      </w:r>
      <w:r w:rsidRPr="00E73F6F">
        <w:rPr>
          <w:spacing w:val="-2"/>
        </w:rPr>
        <w:t xml:space="preserve"> </w:t>
      </w:r>
      <w:r w:rsidRPr="00E73F6F">
        <w:t>der</w:t>
      </w:r>
      <w:r w:rsidRPr="00E73F6F">
        <w:rPr>
          <w:spacing w:val="-1"/>
        </w:rPr>
        <w:t xml:space="preserve"> </w:t>
      </w:r>
      <w:r w:rsidRPr="00E73F6F">
        <w:t>möglichen Vermengung der</w:t>
      </w:r>
      <w:r w:rsidRPr="00E73F6F">
        <w:rPr>
          <w:spacing w:val="-1"/>
        </w:rPr>
        <w:t xml:space="preserve"> </w:t>
      </w:r>
      <w:r w:rsidRPr="00E73F6F">
        <w:t>deterministischen mit der</w:t>
      </w:r>
      <w:r w:rsidRPr="00E73F6F">
        <w:rPr>
          <w:spacing w:val="-1"/>
        </w:rPr>
        <w:t xml:space="preserve"> </w:t>
      </w:r>
      <w:r w:rsidRPr="00E73F6F">
        <w:t>rassistischen Weltsicht</w:t>
      </w:r>
      <w:r w:rsidRPr="00E73F6F">
        <w:rPr>
          <w:spacing w:val="65"/>
          <w:w w:val="150"/>
        </w:rPr>
        <w:t xml:space="preserve"> </w:t>
      </w:r>
      <w:r w:rsidRPr="00E73F6F">
        <w:t>(</w:t>
      </w:r>
      <w:r w:rsidR="00254753">
        <w:sym w:font="Symbol" w:char="F0DE"/>
      </w:r>
      <w:r w:rsidR="00254753">
        <w:t xml:space="preserve"> </w:t>
      </w:r>
      <w:r w:rsidRPr="00E73F6F">
        <w:lastRenderedPageBreak/>
        <w:t>Rassismus)</w:t>
      </w:r>
      <w:r w:rsidRPr="00E73F6F">
        <w:rPr>
          <w:spacing w:val="64"/>
          <w:w w:val="150"/>
        </w:rPr>
        <w:t xml:space="preserve"> </w:t>
      </w:r>
      <w:r w:rsidRPr="00E73F6F">
        <w:t>entfaltete</w:t>
      </w:r>
      <w:r w:rsidRPr="00E73F6F">
        <w:rPr>
          <w:spacing w:val="65"/>
          <w:w w:val="150"/>
        </w:rPr>
        <w:t xml:space="preserve"> </w:t>
      </w:r>
      <w:r w:rsidRPr="00E73F6F">
        <w:t>sich</w:t>
      </w:r>
      <w:r w:rsidRPr="00E73F6F">
        <w:rPr>
          <w:spacing w:val="66"/>
          <w:w w:val="150"/>
        </w:rPr>
        <w:t xml:space="preserve"> </w:t>
      </w:r>
      <w:r w:rsidRPr="00E73F6F">
        <w:t>ein</w:t>
      </w:r>
      <w:r w:rsidRPr="00E73F6F">
        <w:rPr>
          <w:spacing w:val="66"/>
          <w:w w:val="150"/>
        </w:rPr>
        <w:t xml:space="preserve"> </w:t>
      </w:r>
      <w:r w:rsidRPr="00E73F6F">
        <w:t>höchst</w:t>
      </w:r>
      <w:r w:rsidRPr="00E73F6F">
        <w:rPr>
          <w:spacing w:val="62"/>
          <w:w w:val="150"/>
        </w:rPr>
        <w:t xml:space="preserve"> </w:t>
      </w:r>
      <w:r w:rsidRPr="00E73F6F">
        <w:t>kontrovers</w:t>
      </w:r>
      <w:r w:rsidRPr="00E73F6F">
        <w:rPr>
          <w:spacing w:val="65"/>
          <w:w w:val="150"/>
        </w:rPr>
        <w:t xml:space="preserve"> </w:t>
      </w:r>
      <w:r w:rsidRPr="00E73F6F">
        <w:rPr>
          <w:spacing w:val="-2"/>
        </w:rPr>
        <w:t xml:space="preserve">geführter </w:t>
      </w:r>
      <w:r w:rsidRPr="00E73F6F">
        <w:t>„Gendiskurs“</w:t>
      </w:r>
      <w:r w:rsidRPr="00E73F6F">
        <w:rPr>
          <w:spacing w:val="80"/>
        </w:rPr>
        <w:t xml:space="preserve"> </w:t>
      </w:r>
      <w:r w:rsidRPr="00E73F6F">
        <w:t>(Lemke</w:t>
      </w:r>
      <w:r w:rsidRPr="00E73F6F">
        <w:rPr>
          <w:spacing w:val="80"/>
        </w:rPr>
        <w:t xml:space="preserve"> </w:t>
      </w:r>
      <w:r w:rsidRPr="00E73F6F">
        <w:t>2011),</w:t>
      </w:r>
      <w:r w:rsidRPr="00E73F6F">
        <w:rPr>
          <w:spacing w:val="80"/>
        </w:rPr>
        <w:t xml:space="preserve"> </w:t>
      </w:r>
      <w:r w:rsidRPr="00E73F6F">
        <w:t>dessen</w:t>
      </w:r>
      <w:r w:rsidRPr="00E73F6F">
        <w:rPr>
          <w:spacing w:val="80"/>
          <w:w w:val="150"/>
        </w:rPr>
        <w:t xml:space="preserve"> </w:t>
      </w:r>
      <w:r w:rsidRPr="00E73F6F">
        <w:t>konträre</w:t>
      </w:r>
      <w:r w:rsidRPr="00E73F6F">
        <w:rPr>
          <w:spacing w:val="80"/>
        </w:rPr>
        <w:t xml:space="preserve"> </w:t>
      </w:r>
      <w:r w:rsidRPr="00E73F6F">
        <w:t>Positionen</w:t>
      </w:r>
      <w:r w:rsidRPr="00E73F6F">
        <w:rPr>
          <w:spacing w:val="80"/>
        </w:rPr>
        <w:t xml:space="preserve"> </w:t>
      </w:r>
      <w:r w:rsidRPr="00E73F6F">
        <w:t>u.a.</w:t>
      </w:r>
      <w:r w:rsidRPr="00E73F6F">
        <w:rPr>
          <w:spacing w:val="80"/>
        </w:rPr>
        <w:t xml:space="preserve"> </w:t>
      </w:r>
      <w:r w:rsidRPr="00E73F6F">
        <w:t>folgende</w:t>
      </w:r>
      <w:r w:rsidRPr="00E73F6F">
        <w:rPr>
          <w:spacing w:val="80"/>
        </w:rPr>
        <w:t xml:space="preserve"> </w:t>
      </w:r>
      <w:r w:rsidRPr="00E73F6F">
        <w:t>Wissenschaftler markieren:</w:t>
      </w:r>
    </w:p>
    <w:p w14:paraId="19AB9432" w14:textId="77777777" w:rsidR="00FF7799" w:rsidRPr="00E73F6F" w:rsidRDefault="00FF7799" w:rsidP="008A2FFC">
      <w:pPr>
        <w:pStyle w:val="StandardTextAufzhlung"/>
        <w:ind w:left="426"/>
      </w:pPr>
      <w:r w:rsidRPr="00E73F6F">
        <w:t>Bartens</w:t>
      </w:r>
      <w:r w:rsidRPr="00E73F6F">
        <w:rPr>
          <w:spacing w:val="-2"/>
        </w:rPr>
        <w:t xml:space="preserve"> </w:t>
      </w:r>
      <w:r w:rsidRPr="00E73F6F">
        <w:t>(1999)</w:t>
      </w:r>
      <w:r w:rsidRPr="00E73F6F">
        <w:rPr>
          <w:spacing w:val="-1"/>
        </w:rPr>
        <w:t xml:space="preserve"> </w:t>
      </w:r>
      <w:r w:rsidRPr="00E73F6F">
        <w:t>mit</w:t>
      </w:r>
      <w:r w:rsidRPr="00E73F6F">
        <w:rPr>
          <w:spacing w:val="-3"/>
        </w:rPr>
        <w:t xml:space="preserve"> </w:t>
      </w:r>
      <w:r w:rsidRPr="00E73F6F">
        <w:t>seiner</w:t>
      </w:r>
      <w:r w:rsidRPr="00E73F6F">
        <w:rPr>
          <w:spacing w:val="-1"/>
        </w:rPr>
        <w:t xml:space="preserve"> </w:t>
      </w:r>
      <w:r w:rsidRPr="00E73F6F">
        <w:t>Warnung</w:t>
      </w:r>
      <w:r w:rsidRPr="00E73F6F">
        <w:rPr>
          <w:spacing w:val="-1"/>
        </w:rPr>
        <w:t xml:space="preserve"> </w:t>
      </w:r>
      <w:r w:rsidRPr="00E73F6F">
        <w:t>vor</w:t>
      </w:r>
      <w:r w:rsidRPr="00E73F6F">
        <w:rPr>
          <w:spacing w:val="-3"/>
        </w:rPr>
        <w:t xml:space="preserve"> </w:t>
      </w:r>
      <w:r w:rsidRPr="00E73F6F">
        <w:t>der</w:t>
      </w:r>
      <w:r w:rsidRPr="00E73F6F">
        <w:rPr>
          <w:spacing w:val="-1"/>
        </w:rPr>
        <w:t xml:space="preserve"> </w:t>
      </w:r>
      <w:r w:rsidRPr="00E73F6F">
        <w:t>„Tyrannei</w:t>
      </w:r>
      <w:r w:rsidRPr="00E73F6F">
        <w:rPr>
          <w:spacing w:val="-3"/>
        </w:rPr>
        <w:t xml:space="preserve"> </w:t>
      </w:r>
      <w:r w:rsidRPr="00E73F6F">
        <w:t xml:space="preserve">der </w:t>
      </w:r>
      <w:r w:rsidRPr="00E73F6F">
        <w:rPr>
          <w:spacing w:val="-2"/>
        </w:rPr>
        <w:t>Gene“,</w:t>
      </w:r>
    </w:p>
    <w:p w14:paraId="66610838" w14:textId="77777777" w:rsidR="00FF7799" w:rsidRPr="00E73F6F" w:rsidRDefault="00FF7799" w:rsidP="008A2FFC">
      <w:pPr>
        <w:pStyle w:val="StandardTextAufzhlung"/>
        <w:ind w:left="426"/>
      </w:pPr>
      <w:r w:rsidRPr="00E73F6F">
        <w:t>Markl</w:t>
      </w:r>
      <w:r w:rsidRPr="00E73F6F">
        <w:rPr>
          <w:spacing w:val="80"/>
          <w:w w:val="150"/>
        </w:rPr>
        <w:t xml:space="preserve"> </w:t>
      </w:r>
      <w:r w:rsidRPr="00E73F6F">
        <w:t>(1998)</w:t>
      </w:r>
      <w:r w:rsidRPr="00E73F6F">
        <w:rPr>
          <w:spacing w:val="80"/>
          <w:w w:val="150"/>
        </w:rPr>
        <w:t xml:space="preserve"> </w:t>
      </w:r>
      <w:r w:rsidRPr="00E73F6F">
        <w:t>mit</w:t>
      </w:r>
      <w:r w:rsidRPr="00E73F6F">
        <w:rPr>
          <w:spacing w:val="80"/>
          <w:w w:val="150"/>
        </w:rPr>
        <w:t xml:space="preserve"> </w:t>
      </w:r>
      <w:r w:rsidRPr="00E73F6F">
        <w:t>seinem</w:t>
      </w:r>
      <w:r w:rsidRPr="00E73F6F">
        <w:rPr>
          <w:spacing w:val="80"/>
          <w:w w:val="150"/>
        </w:rPr>
        <w:t xml:space="preserve"> </w:t>
      </w:r>
      <w:r w:rsidRPr="00E73F6F">
        <w:t>Vertrauen</w:t>
      </w:r>
      <w:r w:rsidRPr="00E73F6F">
        <w:rPr>
          <w:spacing w:val="80"/>
          <w:w w:val="150"/>
        </w:rPr>
        <w:t xml:space="preserve"> </w:t>
      </w:r>
      <w:r w:rsidRPr="00E73F6F">
        <w:t>in</w:t>
      </w:r>
      <w:r w:rsidRPr="00E73F6F">
        <w:rPr>
          <w:spacing w:val="80"/>
          <w:w w:val="150"/>
        </w:rPr>
        <w:t xml:space="preserve"> </w:t>
      </w:r>
      <w:r w:rsidRPr="00E73F6F">
        <w:t>den</w:t>
      </w:r>
      <w:r w:rsidRPr="00E73F6F">
        <w:rPr>
          <w:spacing w:val="80"/>
          <w:w w:val="150"/>
        </w:rPr>
        <w:t xml:space="preserve"> </w:t>
      </w:r>
      <w:r w:rsidRPr="00E73F6F">
        <w:t>naturwissenschaftlich- technologischen Fortschritt und</w:t>
      </w:r>
    </w:p>
    <w:p w14:paraId="3385462E" w14:textId="77777777" w:rsidR="00FF7799" w:rsidRPr="00E73F6F" w:rsidRDefault="00FF7799" w:rsidP="008A2FFC">
      <w:pPr>
        <w:pStyle w:val="StandardTextAufzhlung"/>
        <w:ind w:left="426"/>
      </w:pPr>
      <w:r w:rsidRPr="00E73F6F">
        <w:t>Wilson (1998) mit seiner Hoffnung auf die dadurch mögliche „neue Einheit des Wissens“.</w:t>
      </w:r>
    </w:p>
    <w:p w14:paraId="1AE21387" w14:textId="77777777" w:rsidR="00FF7799" w:rsidRPr="00E73F6F" w:rsidRDefault="00FF7799" w:rsidP="00A82151">
      <w:pPr>
        <w:pStyle w:val="StandardText"/>
      </w:pPr>
      <w:r w:rsidRPr="00E73F6F">
        <w:t>Wenn auch die Kritiker des „Traums“ (bzw. Albtraums) der Lesbarkeit der Gene die</w:t>
      </w:r>
      <w:r w:rsidRPr="00E73F6F">
        <w:rPr>
          <w:spacing w:val="36"/>
        </w:rPr>
        <w:t xml:space="preserve"> </w:t>
      </w:r>
      <w:r w:rsidRPr="00E73F6F">
        <w:t>Oberhand</w:t>
      </w:r>
      <w:r w:rsidRPr="00E73F6F">
        <w:rPr>
          <w:spacing w:val="35"/>
        </w:rPr>
        <w:t xml:space="preserve"> </w:t>
      </w:r>
      <w:r w:rsidRPr="00E73F6F">
        <w:t>gewonnen</w:t>
      </w:r>
      <w:r w:rsidRPr="00E73F6F">
        <w:rPr>
          <w:spacing w:val="36"/>
        </w:rPr>
        <w:t xml:space="preserve"> </w:t>
      </w:r>
      <w:r w:rsidRPr="00E73F6F">
        <w:t>haben</w:t>
      </w:r>
      <w:r w:rsidRPr="00E73F6F">
        <w:rPr>
          <w:spacing w:val="34"/>
        </w:rPr>
        <w:t xml:space="preserve"> </w:t>
      </w:r>
      <w:r w:rsidRPr="00E73F6F">
        <w:t>(vgl.</w:t>
      </w:r>
      <w:r w:rsidRPr="00E73F6F">
        <w:rPr>
          <w:spacing w:val="36"/>
        </w:rPr>
        <w:t xml:space="preserve"> </w:t>
      </w:r>
      <w:r w:rsidRPr="00E73F6F">
        <w:t>Keller</w:t>
      </w:r>
      <w:r w:rsidRPr="00E73F6F">
        <w:rPr>
          <w:spacing w:val="35"/>
        </w:rPr>
        <w:t xml:space="preserve"> </w:t>
      </w:r>
      <w:r w:rsidRPr="00E73F6F">
        <w:t>2001),</w:t>
      </w:r>
      <w:r w:rsidRPr="00E73F6F">
        <w:rPr>
          <w:spacing w:val="35"/>
        </w:rPr>
        <w:t xml:space="preserve"> </w:t>
      </w:r>
      <w:r w:rsidRPr="00E73F6F">
        <w:t>ist</w:t>
      </w:r>
      <w:r w:rsidRPr="00E73F6F">
        <w:rPr>
          <w:spacing w:val="35"/>
        </w:rPr>
        <w:t xml:space="preserve"> </w:t>
      </w:r>
      <w:r w:rsidRPr="00E73F6F">
        <w:t>doch</w:t>
      </w:r>
      <w:r w:rsidRPr="00E73F6F">
        <w:rPr>
          <w:spacing w:val="35"/>
        </w:rPr>
        <w:t xml:space="preserve"> </w:t>
      </w:r>
      <w:r w:rsidRPr="00E73F6F">
        <w:t>unbestritten,</w:t>
      </w:r>
      <w:r w:rsidRPr="00E73F6F">
        <w:rPr>
          <w:spacing w:val="35"/>
        </w:rPr>
        <w:t xml:space="preserve"> </w:t>
      </w:r>
      <w:r w:rsidRPr="00E73F6F">
        <w:rPr>
          <w:spacing w:val="-4"/>
        </w:rPr>
        <w:t>dass</w:t>
      </w:r>
      <w:r w:rsidR="005E50F8" w:rsidRPr="00E73F6F">
        <w:rPr>
          <w:spacing w:val="-4"/>
        </w:rPr>
        <w:t xml:space="preserve"> </w:t>
      </w:r>
      <w:r w:rsidRPr="00E73F6F">
        <w:t>interindividuelle und interkulturelle Unterschiede in der genetischen Ausstattung bestehen und diese nicht bedeutungslos sein können.</w:t>
      </w:r>
    </w:p>
    <w:p w14:paraId="6E13DA16" w14:textId="77777777" w:rsidR="00FF7799" w:rsidRPr="00E73F6F" w:rsidRDefault="00FF7799" w:rsidP="00A82151">
      <w:pPr>
        <w:pStyle w:val="StandardText"/>
      </w:pPr>
      <w:r w:rsidRPr="00E73F6F">
        <w:t>Immer mehr Genetiker, Verhaltensforscher und Evolutionspsychologen versuchen, kulturelle Phänomene biowissenschaftlich zu begründen und so die zwischen den Völkern bestehenden Verwandtschaftsbeziehungen zu objektivieren:</w:t>
      </w:r>
      <w:r w:rsidRPr="00E73F6F">
        <w:rPr>
          <w:spacing w:val="-12"/>
        </w:rPr>
        <w:t xml:space="preserve"> </w:t>
      </w:r>
      <w:r w:rsidRPr="00E73F6F">
        <w:t>als</w:t>
      </w:r>
      <w:r w:rsidRPr="00E73F6F">
        <w:rPr>
          <w:spacing w:val="-11"/>
        </w:rPr>
        <w:t xml:space="preserve"> </w:t>
      </w:r>
      <w:r w:rsidRPr="00E73F6F">
        <w:t>Funktion</w:t>
      </w:r>
      <w:r w:rsidRPr="00E73F6F">
        <w:rPr>
          <w:spacing w:val="-11"/>
        </w:rPr>
        <w:t xml:space="preserve"> </w:t>
      </w:r>
      <w:r w:rsidRPr="00E73F6F">
        <w:t>ihrer</w:t>
      </w:r>
      <w:r w:rsidRPr="00E73F6F">
        <w:rPr>
          <w:spacing w:val="-11"/>
        </w:rPr>
        <w:t xml:space="preserve"> </w:t>
      </w:r>
      <w:r w:rsidRPr="00E73F6F">
        <w:t>genetischen</w:t>
      </w:r>
      <w:r w:rsidRPr="00E73F6F">
        <w:rPr>
          <w:spacing w:val="-12"/>
        </w:rPr>
        <w:t xml:space="preserve"> </w:t>
      </w:r>
      <w:r w:rsidRPr="00E73F6F">
        <w:t>Distanz.</w:t>
      </w:r>
      <w:r w:rsidRPr="00E73F6F">
        <w:rPr>
          <w:spacing w:val="-11"/>
        </w:rPr>
        <w:t xml:space="preserve"> </w:t>
      </w:r>
      <w:r w:rsidRPr="00E73F6F">
        <w:t>Tatsächlich</w:t>
      </w:r>
      <w:r w:rsidRPr="00E73F6F">
        <w:rPr>
          <w:spacing w:val="-11"/>
        </w:rPr>
        <w:t xml:space="preserve"> </w:t>
      </w:r>
      <w:r w:rsidRPr="00E73F6F">
        <w:t>konnte</w:t>
      </w:r>
      <w:r w:rsidRPr="00E73F6F">
        <w:rPr>
          <w:spacing w:val="-11"/>
        </w:rPr>
        <w:t xml:space="preserve"> </w:t>
      </w:r>
      <w:r w:rsidRPr="00E73F6F">
        <w:t>mit</w:t>
      </w:r>
      <w:r w:rsidRPr="00E73F6F">
        <w:rPr>
          <w:spacing w:val="-11"/>
        </w:rPr>
        <w:t xml:space="preserve"> </w:t>
      </w:r>
      <w:r w:rsidRPr="00E73F6F">
        <w:t>Hilfe der DNA-Analyse ein für die kulturvergleichenden Wissenschaften bedeutsamer Historikerstreit</w:t>
      </w:r>
      <w:r w:rsidRPr="00E73F6F">
        <w:rPr>
          <w:spacing w:val="-2"/>
        </w:rPr>
        <w:t xml:space="preserve"> </w:t>
      </w:r>
      <w:r w:rsidRPr="00E73F6F">
        <w:t>beigelegt werden.</w:t>
      </w:r>
      <w:r w:rsidRPr="00E73F6F">
        <w:rPr>
          <w:spacing w:val="-1"/>
        </w:rPr>
        <w:t xml:space="preserve"> </w:t>
      </w:r>
      <w:r w:rsidRPr="00E73F6F">
        <w:t>Er</w:t>
      </w:r>
      <w:r w:rsidRPr="00E73F6F">
        <w:rPr>
          <w:spacing w:val="-2"/>
        </w:rPr>
        <w:t xml:space="preserve"> </w:t>
      </w:r>
      <w:r w:rsidRPr="00E73F6F">
        <w:t>bezog</w:t>
      </w:r>
      <w:r w:rsidRPr="00E73F6F">
        <w:rPr>
          <w:spacing w:val="-1"/>
        </w:rPr>
        <w:t xml:space="preserve"> </w:t>
      </w:r>
      <w:r w:rsidRPr="00E73F6F">
        <w:t>sich</w:t>
      </w:r>
      <w:r w:rsidRPr="00E73F6F">
        <w:rPr>
          <w:spacing w:val="-1"/>
        </w:rPr>
        <w:t xml:space="preserve"> </w:t>
      </w:r>
      <w:r w:rsidRPr="00E73F6F">
        <w:t>auf</w:t>
      </w:r>
      <w:r w:rsidRPr="00E73F6F">
        <w:rPr>
          <w:spacing w:val="-2"/>
        </w:rPr>
        <w:t xml:space="preserve"> </w:t>
      </w:r>
      <w:r w:rsidRPr="00E73F6F">
        <w:t>die</w:t>
      </w:r>
      <w:r w:rsidRPr="00E73F6F">
        <w:rPr>
          <w:spacing w:val="-2"/>
        </w:rPr>
        <w:t xml:space="preserve"> </w:t>
      </w:r>
      <w:r w:rsidRPr="00E73F6F">
        <w:t>These,</w:t>
      </w:r>
      <w:r w:rsidRPr="00E73F6F">
        <w:rPr>
          <w:spacing w:val="-2"/>
        </w:rPr>
        <w:t xml:space="preserve"> </w:t>
      </w:r>
      <w:r w:rsidRPr="00E73F6F">
        <w:t>dass</w:t>
      </w:r>
      <w:r w:rsidRPr="00E73F6F">
        <w:rPr>
          <w:spacing w:val="-1"/>
        </w:rPr>
        <w:t xml:space="preserve"> </w:t>
      </w:r>
      <w:r w:rsidRPr="00E73F6F">
        <w:t>die</w:t>
      </w:r>
      <w:r w:rsidRPr="00E73F6F">
        <w:rPr>
          <w:spacing w:val="-2"/>
        </w:rPr>
        <w:t xml:space="preserve"> </w:t>
      </w:r>
      <w:r w:rsidRPr="00E73F6F">
        <w:t>Briten</w:t>
      </w:r>
      <w:r w:rsidRPr="00E73F6F">
        <w:rPr>
          <w:spacing w:val="-1"/>
        </w:rPr>
        <w:t xml:space="preserve"> </w:t>
      </w:r>
      <w:r w:rsidRPr="00E73F6F">
        <w:t>ein Amalgam</w:t>
      </w:r>
      <w:r w:rsidRPr="00E73F6F">
        <w:rPr>
          <w:spacing w:val="-2"/>
        </w:rPr>
        <w:t xml:space="preserve"> </w:t>
      </w:r>
      <w:r w:rsidRPr="00E73F6F">
        <w:t>wiederholter</w:t>
      </w:r>
      <w:r w:rsidRPr="00E73F6F">
        <w:rPr>
          <w:spacing w:val="-3"/>
        </w:rPr>
        <w:t xml:space="preserve"> </w:t>
      </w:r>
      <w:r w:rsidRPr="00E73F6F">
        <w:t>Immigrationsbewegungen</w:t>
      </w:r>
      <w:r w:rsidRPr="00E73F6F">
        <w:rPr>
          <w:spacing w:val="-3"/>
        </w:rPr>
        <w:t xml:space="preserve"> </w:t>
      </w:r>
      <w:r w:rsidRPr="00E73F6F">
        <w:t>und</w:t>
      </w:r>
      <w:r w:rsidRPr="00E73F6F">
        <w:rPr>
          <w:spacing w:val="-3"/>
        </w:rPr>
        <w:t xml:space="preserve"> </w:t>
      </w:r>
      <w:r w:rsidRPr="00E73F6F">
        <w:t>Völkerwanderungen</w:t>
      </w:r>
      <w:r w:rsidRPr="00E73F6F">
        <w:rPr>
          <w:spacing w:val="-3"/>
        </w:rPr>
        <w:t xml:space="preserve"> </w:t>
      </w:r>
      <w:r w:rsidRPr="00E73F6F">
        <w:t>seien. Auf die Kelten, welche im letzten vorchristlichen Jahrtausend die aus Kontinentaleuropa (niederländisch Friesland) in der Eiszeit eingewanderten Steinzeitmenschen</w:t>
      </w:r>
      <w:r w:rsidRPr="00E73F6F">
        <w:rPr>
          <w:spacing w:val="-3"/>
        </w:rPr>
        <w:t xml:space="preserve"> </w:t>
      </w:r>
      <w:r w:rsidRPr="00E73F6F">
        <w:t>verdrängten,</w:t>
      </w:r>
      <w:r w:rsidRPr="00E73F6F">
        <w:rPr>
          <w:spacing w:val="-4"/>
        </w:rPr>
        <w:t xml:space="preserve"> </w:t>
      </w:r>
      <w:r w:rsidRPr="00E73F6F">
        <w:t>folgten</w:t>
      </w:r>
      <w:r w:rsidRPr="00E73F6F">
        <w:rPr>
          <w:spacing w:val="-3"/>
        </w:rPr>
        <w:t xml:space="preserve"> </w:t>
      </w:r>
      <w:r w:rsidRPr="00E73F6F">
        <w:t>die</w:t>
      </w:r>
      <w:r w:rsidRPr="00E73F6F">
        <w:rPr>
          <w:spacing w:val="-7"/>
        </w:rPr>
        <w:t xml:space="preserve"> </w:t>
      </w:r>
      <w:r w:rsidRPr="00E73F6F">
        <w:t>Römer</w:t>
      </w:r>
      <w:r w:rsidRPr="00E73F6F">
        <w:rPr>
          <w:spacing w:val="-4"/>
        </w:rPr>
        <w:t xml:space="preserve"> </w:t>
      </w:r>
      <w:r w:rsidRPr="00E73F6F">
        <w:t>(43-410</w:t>
      </w:r>
      <w:r w:rsidRPr="00E73F6F">
        <w:rPr>
          <w:spacing w:val="-5"/>
        </w:rPr>
        <w:t xml:space="preserve"> </w:t>
      </w:r>
      <w:r w:rsidRPr="00E73F6F">
        <w:t>n.Chr.),</w:t>
      </w:r>
      <w:r w:rsidRPr="00E73F6F">
        <w:rPr>
          <w:spacing w:val="-4"/>
        </w:rPr>
        <w:t xml:space="preserve"> </w:t>
      </w:r>
      <w:r w:rsidRPr="00E73F6F">
        <w:t>die</w:t>
      </w:r>
      <w:r w:rsidRPr="00E73F6F">
        <w:rPr>
          <w:spacing w:val="-4"/>
        </w:rPr>
        <w:t xml:space="preserve"> </w:t>
      </w:r>
      <w:r w:rsidRPr="00E73F6F">
        <w:t>wiederum den Angelsachsen weichen mussten (400-800 n.Chr.). Schließlich nahmen 1066 die Normannen die Insel in Besitz.</w:t>
      </w:r>
    </w:p>
    <w:p w14:paraId="0AA2791A" w14:textId="77777777" w:rsidR="00FF7799" w:rsidRDefault="00FF7799" w:rsidP="00A82151">
      <w:pPr>
        <w:pStyle w:val="StandardText"/>
      </w:pPr>
      <w:r w:rsidRPr="00E73F6F">
        <w:t xml:space="preserve">Die DNA-Analyse (z.B. des </w:t>
      </w:r>
      <w:r w:rsidRPr="00254753">
        <w:t>Cheddar Man)</w:t>
      </w:r>
      <w:r w:rsidRPr="00E73F6F">
        <w:rPr>
          <w:i/>
        </w:rPr>
        <w:t xml:space="preserve"> </w:t>
      </w:r>
      <w:r w:rsidRPr="00E73F6F">
        <w:t>zeigte indessen, dass</w:t>
      </w:r>
      <w:r w:rsidRPr="00E73F6F">
        <w:rPr>
          <w:spacing w:val="-1"/>
        </w:rPr>
        <w:t xml:space="preserve"> </w:t>
      </w:r>
      <w:r w:rsidRPr="00E73F6F">
        <w:t>die „friesischen Gene“ sich in vielen Engländern über 60 Generationen hinweg, d.h. bis ins 21. Jahrhundert</w:t>
      </w:r>
      <w:r w:rsidRPr="00E73F6F">
        <w:rPr>
          <w:spacing w:val="-5"/>
        </w:rPr>
        <w:t xml:space="preserve"> </w:t>
      </w:r>
      <w:r w:rsidRPr="00E73F6F">
        <w:t>hinein,</w:t>
      </w:r>
      <w:r w:rsidRPr="00E73F6F">
        <w:rPr>
          <w:spacing w:val="-3"/>
        </w:rPr>
        <w:t xml:space="preserve"> </w:t>
      </w:r>
      <w:r w:rsidRPr="00E73F6F">
        <w:t>weitgehend</w:t>
      </w:r>
      <w:r w:rsidRPr="00E73F6F">
        <w:rPr>
          <w:spacing w:val="-2"/>
        </w:rPr>
        <w:t xml:space="preserve"> </w:t>
      </w:r>
      <w:r w:rsidRPr="00E73F6F">
        <w:t>unverändert</w:t>
      </w:r>
      <w:r w:rsidRPr="00E73F6F">
        <w:rPr>
          <w:spacing w:val="-5"/>
        </w:rPr>
        <w:t xml:space="preserve"> </w:t>
      </w:r>
      <w:r w:rsidRPr="00E73F6F">
        <w:t>erhalten</w:t>
      </w:r>
      <w:r w:rsidRPr="00E73F6F">
        <w:rPr>
          <w:spacing w:val="-4"/>
        </w:rPr>
        <w:t xml:space="preserve"> </w:t>
      </w:r>
      <w:r w:rsidRPr="00E73F6F">
        <w:t>haben</w:t>
      </w:r>
      <w:r w:rsidRPr="00E73F6F">
        <w:rPr>
          <w:spacing w:val="-4"/>
        </w:rPr>
        <w:t xml:space="preserve"> </w:t>
      </w:r>
      <w:r w:rsidRPr="00E73F6F">
        <w:t>(vgl.</w:t>
      </w:r>
      <w:r w:rsidRPr="00E73F6F">
        <w:rPr>
          <w:spacing w:val="-2"/>
        </w:rPr>
        <w:t xml:space="preserve"> </w:t>
      </w:r>
      <w:r w:rsidRPr="00E73F6F">
        <w:t>Abb.</w:t>
      </w:r>
      <w:r w:rsidRPr="00E73F6F">
        <w:rPr>
          <w:spacing w:val="-5"/>
        </w:rPr>
        <w:t xml:space="preserve"> </w:t>
      </w:r>
      <w:r w:rsidRPr="00E73F6F">
        <w:t>2).</w:t>
      </w:r>
      <w:r w:rsidRPr="00E73F6F">
        <w:rPr>
          <w:spacing w:val="-5"/>
        </w:rPr>
        <w:t xml:space="preserve"> </w:t>
      </w:r>
      <w:r w:rsidRPr="00E73F6F">
        <w:t>Mit</w:t>
      </w:r>
      <w:r w:rsidRPr="00E73F6F">
        <w:rPr>
          <w:spacing w:val="-5"/>
        </w:rPr>
        <w:t xml:space="preserve"> </w:t>
      </w:r>
      <w:r w:rsidRPr="00E73F6F">
        <w:t>den nächsten Nachbarn, den Walisern, gibt es hingegen kaum genetische Berührungspunkte. Während zwischen ihnen und den Engländern eine große genetische Distanz besteht, ist die genetische Distanz zwischen Engländern und Friesen wie auch die zwischen Engländern und Dänen gering. Genetisch gesehen sind</w:t>
      </w:r>
      <w:r w:rsidRPr="00E73F6F">
        <w:rPr>
          <w:spacing w:val="-9"/>
        </w:rPr>
        <w:t xml:space="preserve"> </w:t>
      </w:r>
      <w:r w:rsidRPr="00E73F6F">
        <w:t>„die</w:t>
      </w:r>
      <w:r w:rsidRPr="00E73F6F">
        <w:rPr>
          <w:spacing w:val="-9"/>
        </w:rPr>
        <w:t xml:space="preserve"> </w:t>
      </w:r>
      <w:r w:rsidRPr="00E73F6F">
        <w:t>Briten“</w:t>
      </w:r>
      <w:r w:rsidRPr="00E73F6F">
        <w:rPr>
          <w:spacing w:val="-10"/>
        </w:rPr>
        <w:t xml:space="preserve"> </w:t>
      </w:r>
      <w:r w:rsidRPr="00E73F6F">
        <w:t>somit</w:t>
      </w:r>
      <w:r w:rsidRPr="00E73F6F">
        <w:rPr>
          <w:spacing w:val="-9"/>
        </w:rPr>
        <w:t xml:space="preserve"> </w:t>
      </w:r>
      <w:r w:rsidRPr="00E73F6F">
        <w:t>eine</w:t>
      </w:r>
      <w:r w:rsidRPr="00E73F6F">
        <w:rPr>
          <w:spacing w:val="-10"/>
        </w:rPr>
        <w:t xml:space="preserve"> </w:t>
      </w:r>
      <w:r w:rsidRPr="00E73F6F">
        <w:t>Fiktion.</w:t>
      </w:r>
      <w:r w:rsidRPr="00E73F6F">
        <w:rPr>
          <w:spacing w:val="-9"/>
        </w:rPr>
        <w:t xml:space="preserve"> </w:t>
      </w:r>
      <w:r w:rsidRPr="00E73F6F">
        <w:t>Vielmehr</w:t>
      </w:r>
      <w:r w:rsidRPr="00E73F6F">
        <w:rPr>
          <w:spacing w:val="-9"/>
        </w:rPr>
        <w:t xml:space="preserve"> </w:t>
      </w:r>
      <w:r w:rsidRPr="00E73F6F">
        <w:t>haben</w:t>
      </w:r>
      <w:r w:rsidRPr="00E73F6F">
        <w:rPr>
          <w:spacing w:val="-9"/>
        </w:rPr>
        <w:t xml:space="preserve"> </w:t>
      </w:r>
      <w:r w:rsidRPr="00E73F6F">
        <w:t>sich</w:t>
      </w:r>
      <w:r w:rsidRPr="00E73F6F">
        <w:rPr>
          <w:spacing w:val="-9"/>
        </w:rPr>
        <w:t xml:space="preserve"> </w:t>
      </w:r>
      <w:r w:rsidRPr="00E73F6F">
        <w:t>auf</w:t>
      </w:r>
      <w:r w:rsidRPr="00E73F6F">
        <w:rPr>
          <w:spacing w:val="-11"/>
        </w:rPr>
        <w:t xml:space="preserve"> </w:t>
      </w:r>
      <w:r w:rsidRPr="00E73F6F">
        <w:t>den</w:t>
      </w:r>
      <w:r w:rsidRPr="00E73F6F">
        <w:rPr>
          <w:spacing w:val="-9"/>
        </w:rPr>
        <w:t xml:space="preserve"> </w:t>
      </w:r>
      <w:r w:rsidRPr="00E73F6F">
        <w:t>britischen</w:t>
      </w:r>
      <w:r w:rsidRPr="00E73F6F">
        <w:rPr>
          <w:spacing w:val="-9"/>
        </w:rPr>
        <w:t xml:space="preserve"> </w:t>
      </w:r>
      <w:r w:rsidRPr="00E73F6F">
        <w:t>Inseln eindeutig unterscheidbare Ethnien erhalten.</w:t>
      </w:r>
    </w:p>
    <w:p w14:paraId="160C9EB5" w14:textId="77777777" w:rsidR="00254753" w:rsidRPr="00E73F6F" w:rsidRDefault="00254753" w:rsidP="00A82151">
      <w:pPr>
        <w:pStyle w:val="StandardText"/>
      </w:pPr>
    </w:p>
    <w:p w14:paraId="7D314B6F" w14:textId="77777777" w:rsidR="00FF7799" w:rsidRPr="00C76DC3" w:rsidRDefault="00FF7799" w:rsidP="00A82151">
      <w:pPr>
        <w:pStyle w:val="BeschriftungTab"/>
        <w:rPr>
          <w:i/>
          <w:iCs/>
        </w:rPr>
      </w:pPr>
      <w:r w:rsidRPr="00C76DC3">
        <w:rPr>
          <w:i/>
          <w:iCs/>
        </w:rPr>
        <w:t>Abb.</w:t>
      </w:r>
      <w:r w:rsidRPr="00C76DC3">
        <w:rPr>
          <w:i/>
          <w:iCs/>
          <w:spacing w:val="-3"/>
        </w:rPr>
        <w:t xml:space="preserve"> </w:t>
      </w:r>
      <w:r w:rsidRPr="00C76DC3">
        <w:rPr>
          <w:i/>
          <w:iCs/>
        </w:rPr>
        <w:t>2:</w:t>
      </w:r>
      <w:r w:rsidRPr="00C76DC3">
        <w:rPr>
          <w:i/>
          <w:iCs/>
          <w:spacing w:val="-2"/>
        </w:rPr>
        <w:t xml:space="preserve"> </w:t>
      </w:r>
      <w:r w:rsidRPr="00C76DC3">
        <w:rPr>
          <w:i/>
          <w:iCs/>
        </w:rPr>
        <w:t>Mit</w:t>
      </w:r>
      <w:r w:rsidRPr="00C76DC3">
        <w:rPr>
          <w:i/>
          <w:iCs/>
          <w:spacing w:val="-3"/>
        </w:rPr>
        <w:t xml:space="preserve"> </w:t>
      </w:r>
      <w:r w:rsidRPr="00C76DC3">
        <w:rPr>
          <w:i/>
          <w:iCs/>
        </w:rPr>
        <w:t>Hilfe</w:t>
      </w:r>
      <w:r w:rsidRPr="00C76DC3">
        <w:rPr>
          <w:i/>
          <w:iCs/>
          <w:spacing w:val="-1"/>
        </w:rPr>
        <w:t xml:space="preserve"> </w:t>
      </w:r>
      <w:r w:rsidRPr="00C76DC3">
        <w:rPr>
          <w:i/>
          <w:iCs/>
        </w:rPr>
        <w:t>einer DNA-Analyse</w:t>
      </w:r>
      <w:r w:rsidRPr="00C76DC3">
        <w:rPr>
          <w:i/>
          <w:iCs/>
          <w:spacing w:val="-2"/>
        </w:rPr>
        <w:t xml:space="preserve"> </w:t>
      </w:r>
      <w:r w:rsidRPr="00C76DC3">
        <w:rPr>
          <w:i/>
          <w:iCs/>
        </w:rPr>
        <w:t xml:space="preserve">erstellter genetischer </w:t>
      </w:r>
      <w:r w:rsidRPr="00C76DC3">
        <w:rPr>
          <w:i/>
          <w:iCs/>
          <w:spacing w:val="-2"/>
        </w:rPr>
        <w:t>Stammbaum</w:t>
      </w:r>
    </w:p>
    <w:p w14:paraId="6727DEAD" w14:textId="77777777" w:rsidR="00FF7799" w:rsidRPr="00E73F6F" w:rsidRDefault="00FF7799" w:rsidP="00862DBA">
      <w:pPr>
        <w:spacing w:before="9"/>
        <w:rPr>
          <w:i/>
          <w:sz w:val="24"/>
          <w:szCs w:val="24"/>
        </w:rPr>
      </w:pPr>
    </w:p>
    <w:p w14:paraId="7F968EB3" w14:textId="77777777" w:rsidR="00FF7799" w:rsidRPr="00E73F6F" w:rsidRDefault="00FF7799" w:rsidP="00862DBA">
      <w:pPr>
        <w:spacing w:before="9"/>
        <w:rPr>
          <w:i/>
          <w:sz w:val="24"/>
          <w:szCs w:val="24"/>
        </w:rPr>
      </w:pPr>
      <w:r w:rsidRPr="00E73F6F">
        <w:rPr>
          <w:noProof/>
          <w:sz w:val="24"/>
          <w:szCs w:val="24"/>
          <w:lang w:eastAsia="de-DE"/>
        </w:rPr>
        <w:lastRenderedPageBreak/>
        <mc:AlternateContent>
          <mc:Choice Requires="wpg">
            <w:drawing>
              <wp:inline distT="0" distB="0" distL="0" distR="0" wp14:anchorId="4238EAC4" wp14:editId="1C932C49">
                <wp:extent cx="5396865" cy="7477125"/>
                <wp:effectExtent l="0" t="0" r="13335" b="9525"/>
                <wp:docPr id="2296427" name="Group 7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96865" cy="7477125"/>
                          <a:chOff x="0" y="0"/>
                          <a:chExt cx="3403600" cy="4710430"/>
                        </a:xfrm>
                      </wpg:grpSpPr>
                      <pic:pic xmlns:pic="http://schemas.openxmlformats.org/drawingml/2006/picture">
                        <pic:nvPicPr>
                          <pic:cNvPr id="2296428" name="Image 720"/>
                          <pic:cNvPicPr/>
                        </pic:nvPicPr>
                        <pic:blipFill>
                          <a:blip r:embed="rId32" cstate="print"/>
                          <a:stretch>
                            <a:fillRect/>
                          </a:stretch>
                        </pic:blipFill>
                        <pic:spPr>
                          <a:xfrm>
                            <a:off x="210827" y="343989"/>
                            <a:ext cx="3026417" cy="4195816"/>
                          </a:xfrm>
                          <a:prstGeom prst="rect">
                            <a:avLst/>
                          </a:prstGeom>
                        </pic:spPr>
                      </pic:pic>
                      <wps:wsp>
                        <wps:cNvPr id="2296429" name="Textbox 721"/>
                        <wps:cNvSpPr txBox="1"/>
                        <wps:spPr>
                          <a:xfrm>
                            <a:off x="3477" y="3477"/>
                            <a:ext cx="3396615" cy="4703445"/>
                          </a:xfrm>
                          <a:prstGeom prst="rect">
                            <a:avLst/>
                          </a:prstGeom>
                          <a:ln w="6955">
                            <a:solidFill>
                              <a:srgbClr val="000000"/>
                            </a:solidFill>
                            <a:prstDash val="solid"/>
                          </a:ln>
                        </wps:spPr>
                        <wps:txbx>
                          <w:txbxContent>
                            <w:p w14:paraId="0AA46B62" w14:textId="77777777" w:rsidR="00E17A2B" w:rsidRDefault="00E17A2B" w:rsidP="0074120C">
                              <w:pPr>
                                <w:spacing w:before="128"/>
                                <w:ind w:left="1446"/>
                                <w:jc w:val="center"/>
                                <w:rPr>
                                  <w:sz w:val="17"/>
                                </w:rPr>
                              </w:pPr>
                              <w:r>
                                <w:rPr>
                                  <w:sz w:val="17"/>
                                </w:rPr>
                                <w:t>Genetische</w:t>
                              </w:r>
                              <w:r>
                                <w:rPr>
                                  <w:spacing w:val="19"/>
                                  <w:sz w:val="17"/>
                                </w:rPr>
                                <w:t xml:space="preserve"> </w:t>
                              </w:r>
                              <w:r>
                                <w:rPr>
                                  <w:spacing w:val="-2"/>
                                  <w:sz w:val="17"/>
                                </w:rPr>
                                <w:t>Distanz</w:t>
                              </w:r>
                            </w:p>
                          </w:txbxContent>
                        </wps:txbx>
                        <wps:bodyPr wrap="square" lIns="0" tIns="0" rIns="0" bIns="0" rtlCol="0">
                          <a:noAutofit/>
                        </wps:bodyPr>
                      </wps:wsp>
                    </wpg:wgp>
                  </a:graphicData>
                </a:graphic>
              </wp:inline>
            </w:drawing>
          </mc:Choice>
          <mc:Fallback>
            <w:pict>
              <v:group w14:anchorId="4238EAC4" id="Group 719" o:spid="_x0000_s1026" style="width:424.95pt;height:588.75pt;mso-position-horizontal-relative:char;mso-position-vertical-relative:line" coordsize="34036,471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20" o:spid="_x0000_s1027" type="#_x0000_t75" style="position:absolute;left:2108;top:3439;width:30264;height:419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">
                  <v:imagedata r:id="rId33" o:title=""/>
                </v:shape>
                <v:shapetype id="_x0000_t202" coordsize="21600,21600" o:spt="202" path="m,l,21600r21600,l21600,xe">
                  <v:stroke joinstyle="miter"/>
                  <v:path gradientshapeok="t" o:connecttype="rect"/>
                </v:shapetype>
                <v:shape id="Textbox 721" o:spid="_x0000_s1028" type="#_x0000_t202" style="position:absolute;left:34;top:34;width:33966;height:47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" filled="f" strokeweight=".19319mm">
                  <v:textbox inset="0,0,0,0">
                    <w:txbxContent>
                      <w:p w14:paraId="0AA46B62" w14:textId="77777777" w:rsidR="00E17A2B" w:rsidRDefault="00E17A2B" w:rsidP="0074120C">
                        <w:pPr>
                          <w:spacing w:before="128"/>
                          <w:ind w:left="1446"/>
                          <w:jc w:val="center"/>
                          <w:rPr>
                            <w:sz w:val="17"/>
                          </w:rPr>
                        </w:pPr>
                        <w:r>
                          <w:rPr>
                            <w:sz w:val="17"/>
                          </w:rPr>
                          <w:t>Genetische</w:t>
                        </w:r>
                        <w:r>
                          <w:rPr>
                            <w:spacing w:val="19"/>
                            <w:sz w:val="17"/>
                          </w:rPr>
                          <w:t xml:space="preserve"> </w:t>
                        </w:r>
                        <w:r>
                          <w:rPr>
                            <w:spacing w:val="-2"/>
                            <w:sz w:val="17"/>
                          </w:rPr>
                          <w:t>Distanz</w:t>
                        </w:r>
                      </w:p>
                    </w:txbxContent>
                  </v:textbox>
                </v:shape>
                <w10:anchorlock/>
              </v:group>
            </w:pict>
          </mc:Fallback>
        </mc:AlternateContent>
      </w:r>
    </w:p>
    <w:p w14:paraId="4DED72E5" w14:textId="77777777" w:rsidR="00FF7799" w:rsidRPr="00E73F6F" w:rsidRDefault="00FF7799" w:rsidP="00500190">
      <w:pPr>
        <w:pStyle w:val="Quellen"/>
      </w:pPr>
      <w:r w:rsidRPr="00E73F6F">
        <w:t>Quelle:</w:t>
      </w:r>
      <w:r w:rsidRPr="00E73F6F">
        <w:rPr>
          <w:spacing w:val="-4"/>
        </w:rPr>
        <w:t xml:space="preserve"> </w:t>
      </w:r>
      <w:r w:rsidRPr="00E73F6F">
        <w:t>Asendorpf</w:t>
      </w:r>
      <w:r w:rsidRPr="00E73F6F">
        <w:rPr>
          <w:spacing w:val="-1"/>
        </w:rPr>
        <w:t xml:space="preserve"> </w:t>
      </w:r>
      <w:r w:rsidRPr="00E73F6F">
        <w:t>(2004,</w:t>
      </w:r>
      <w:r w:rsidRPr="00E73F6F">
        <w:rPr>
          <w:spacing w:val="-1"/>
        </w:rPr>
        <w:t xml:space="preserve"> </w:t>
      </w:r>
      <w:r w:rsidRPr="00E73F6F">
        <w:t>S.428), auf</w:t>
      </w:r>
      <w:r w:rsidRPr="00E73F6F">
        <w:rPr>
          <w:spacing w:val="-3"/>
        </w:rPr>
        <w:t xml:space="preserve"> </w:t>
      </w:r>
      <w:r w:rsidRPr="00E73F6F">
        <w:t>der</w:t>
      </w:r>
      <w:r w:rsidRPr="00E73F6F">
        <w:rPr>
          <w:spacing w:val="-2"/>
        </w:rPr>
        <w:t xml:space="preserve"> </w:t>
      </w:r>
      <w:r w:rsidRPr="00E73F6F">
        <w:t>Basis</w:t>
      </w:r>
      <w:r w:rsidRPr="00E73F6F">
        <w:rPr>
          <w:spacing w:val="-2"/>
        </w:rPr>
        <w:t xml:space="preserve"> </w:t>
      </w:r>
      <w:r w:rsidRPr="00E73F6F">
        <w:t>von</w:t>
      </w:r>
      <w:r w:rsidRPr="00E73F6F">
        <w:rPr>
          <w:spacing w:val="-1"/>
        </w:rPr>
        <w:t xml:space="preserve"> </w:t>
      </w:r>
      <w:r w:rsidRPr="00E73F6F">
        <w:t>Cavalli-Sforza</w:t>
      </w:r>
      <w:r w:rsidRPr="00E73F6F">
        <w:rPr>
          <w:spacing w:val="-3"/>
        </w:rPr>
        <w:t xml:space="preserve"> </w:t>
      </w:r>
      <w:r w:rsidRPr="00E73F6F">
        <w:t>et</w:t>
      </w:r>
      <w:r w:rsidRPr="00E73F6F">
        <w:rPr>
          <w:spacing w:val="-1"/>
        </w:rPr>
        <w:t xml:space="preserve"> </w:t>
      </w:r>
      <w:r w:rsidRPr="00E73F6F">
        <w:t>al.</w:t>
      </w:r>
      <w:r w:rsidRPr="00E73F6F">
        <w:rPr>
          <w:spacing w:val="-2"/>
        </w:rPr>
        <w:t xml:space="preserve"> (1994).</w:t>
      </w:r>
    </w:p>
    <w:p w14:paraId="295D9D6D" w14:textId="77777777" w:rsidR="00FF7799" w:rsidRPr="00E73F6F" w:rsidRDefault="00FF7799" w:rsidP="00862DBA">
      <w:pPr>
        <w:rPr>
          <w:sz w:val="24"/>
          <w:szCs w:val="24"/>
        </w:rPr>
      </w:pPr>
    </w:p>
    <w:p w14:paraId="076D1719" w14:textId="77777777" w:rsidR="00FF7799" w:rsidRPr="00E73F6F" w:rsidRDefault="00FF7799" w:rsidP="009278E0">
      <w:pPr>
        <w:spacing w:before="1"/>
        <w:jc w:val="both"/>
        <w:rPr>
          <w:sz w:val="24"/>
          <w:szCs w:val="24"/>
        </w:rPr>
      </w:pPr>
      <w:r w:rsidRPr="00E73F6F">
        <w:rPr>
          <w:sz w:val="24"/>
          <w:szCs w:val="24"/>
        </w:rPr>
        <w:t>Die Molekulargenetik ermöglichte es auch, die Zeit des Exodus der Menschheit aus</w:t>
      </w:r>
      <w:r w:rsidRPr="00E73F6F">
        <w:rPr>
          <w:spacing w:val="-11"/>
          <w:sz w:val="24"/>
          <w:szCs w:val="24"/>
        </w:rPr>
        <w:t xml:space="preserve"> </w:t>
      </w:r>
      <w:r w:rsidRPr="00E73F6F">
        <w:rPr>
          <w:sz w:val="24"/>
          <w:szCs w:val="24"/>
        </w:rPr>
        <w:t>Ostafrika</w:t>
      </w:r>
      <w:r w:rsidRPr="00E73F6F">
        <w:rPr>
          <w:spacing w:val="-11"/>
          <w:sz w:val="24"/>
          <w:szCs w:val="24"/>
        </w:rPr>
        <w:t xml:space="preserve"> </w:t>
      </w:r>
      <w:r w:rsidRPr="00E73F6F">
        <w:rPr>
          <w:sz w:val="24"/>
          <w:szCs w:val="24"/>
        </w:rPr>
        <w:t>vor</w:t>
      </w:r>
      <w:r w:rsidRPr="00E73F6F">
        <w:rPr>
          <w:spacing w:val="-11"/>
          <w:sz w:val="24"/>
          <w:szCs w:val="24"/>
        </w:rPr>
        <w:t xml:space="preserve"> </w:t>
      </w:r>
      <w:r w:rsidRPr="00E73F6F">
        <w:rPr>
          <w:sz w:val="24"/>
          <w:szCs w:val="24"/>
        </w:rPr>
        <w:t>ca.</w:t>
      </w:r>
      <w:r w:rsidRPr="00E73F6F">
        <w:rPr>
          <w:spacing w:val="-11"/>
          <w:sz w:val="24"/>
          <w:szCs w:val="24"/>
        </w:rPr>
        <w:t xml:space="preserve"> </w:t>
      </w:r>
      <w:r w:rsidRPr="00E73F6F">
        <w:rPr>
          <w:sz w:val="24"/>
          <w:szCs w:val="24"/>
        </w:rPr>
        <w:t>150.000</w:t>
      </w:r>
      <w:r w:rsidRPr="00E73F6F">
        <w:rPr>
          <w:spacing w:val="-10"/>
          <w:sz w:val="24"/>
          <w:szCs w:val="24"/>
        </w:rPr>
        <w:t xml:space="preserve"> </w:t>
      </w:r>
      <w:r w:rsidRPr="00E73F6F">
        <w:rPr>
          <w:sz w:val="24"/>
          <w:szCs w:val="24"/>
        </w:rPr>
        <w:t>Jahren</w:t>
      </w:r>
      <w:r w:rsidRPr="00E73F6F">
        <w:rPr>
          <w:spacing w:val="-10"/>
          <w:sz w:val="24"/>
          <w:szCs w:val="24"/>
        </w:rPr>
        <w:t xml:space="preserve"> </w:t>
      </w:r>
      <w:r w:rsidRPr="00E73F6F">
        <w:rPr>
          <w:sz w:val="24"/>
          <w:szCs w:val="24"/>
        </w:rPr>
        <w:t>nachzuvollziehen.</w:t>
      </w:r>
      <w:r w:rsidRPr="00E73F6F">
        <w:rPr>
          <w:spacing w:val="-11"/>
          <w:sz w:val="24"/>
          <w:szCs w:val="24"/>
        </w:rPr>
        <w:t xml:space="preserve"> </w:t>
      </w:r>
      <w:r w:rsidRPr="00E73F6F">
        <w:rPr>
          <w:sz w:val="24"/>
          <w:szCs w:val="24"/>
        </w:rPr>
        <w:t>Gemäß</w:t>
      </w:r>
      <w:r w:rsidRPr="00E73F6F">
        <w:rPr>
          <w:spacing w:val="-11"/>
          <w:sz w:val="24"/>
          <w:szCs w:val="24"/>
        </w:rPr>
        <w:t xml:space="preserve"> </w:t>
      </w:r>
      <w:r w:rsidRPr="00E73F6F">
        <w:rPr>
          <w:sz w:val="24"/>
          <w:szCs w:val="24"/>
        </w:rPr>
        <w:t>der</w:t>
      </w:r>
      <w:r w:rsidRPr="00E73F6F">
        <w:rPr>
          <w:spacing w:val="-11"/>
          <w:sz w:val="24"/>
          <w:szCs w:val="24"/>
        </w:rPr>
        <w:t xml:space="preserve"> </w:t>
      </w:r>
      <w:r w:rsidRPr="00E73F6F">
        <w:rPr>
          <w:sz w:val="24"/>
          <w:szCs w:val="24"/>
        </w:rPr>
        <w:t>„Out</w:t>
      </w:r>
      <w:r w:rsidRPr="00E73F6F">
        <w:rPr>
          <w:spacing w:val="-11"/>
          <w:sz w:val="24"/>
          <w:szCs w:val="24"/>
        </w:rPr>
        <w:t xml:space="preserve"> </w:t>
      </w:r>
      <w:r w:rsidRPr="00E73F6F">
        <w:rPr>
          <w:sz w:val="24"/>
          <w:szCs w:val="24"/>
        </w:rPr>
        <w:t>of</w:t>
      </w:r>
      <w:r w:rsidRPr="00E73F6F">
        <w:rPr>
          <w:spacing w:val="-8"/>
          <w:sz w:val="24"/>
          <w:szCs w:val="24"/>
        </w:rPr>
        <w:t xml:space="preserve"> </w:t>
      </w:r>
      <w:r w:rsidRPr="00E73F6F">
        <w:rPr>
          <w:sz w:val="24"/>
          <w:szCs w:val="24"/>
        </w:rPr>
        <w:t>Africa- Hypothese“</w:t>
      </w:r>
      <w:r w:rsidRPr="00E73F6F">
        <w:rPr>
          <w:spacing w:val="-1"/>
          <w:sz w:val="24"/>
          <w:szCs w:val="24"/>
        </w:rPr>
        <w:t xml:space="preserve"> </w:t>
      </w:r>
      <w:r w:rsidRPr="00E73F6F">
        <w:rPr>
          <w:sz w:val="24"/>
          <w:szCs w:val="24"/>
        </w:rPr>
        <w:t>sind</w:t>
      </w:r>
      <w:r w:rsidRPr="00E73F6F">
        <w:rPr>
          <w:spacing w:val="-2"/>
          <w:sz w:val="24"/>
          <w:szCs w:val="24"/>
        </w:rPr>
        <w:t xml:space="preserve"> </w:t>
      </w:r>
      <w:r w:rsidRPr="00E73F6F">
        <w:rPr>
          <w:sz w:val="24"/>
          <w:szCs w:val="24"/>
        </w:rPr>
        <w:t>alle</w:t>
      </w:r>
      <w:r w:rsidRPr="00E73F6F">
        <w:rPr>
          <w:spacing w:val="-1"/>
          <w:sz w:val="24"/>
          <w:szCs w:val="24"/>
        </w:rPr>
        <w:t xml:space="preserve"> </w:t>
      </w:r>
      <w:r w:rsidRPr="00E73F6F">
        <w:rPr>
          <w:sz w:val="24"/>
          <w:szCs w:val="24"/>
        </w:rPr>
        <w:t>heute</w:t>
      </w:r>
      <w:r w:rsidRPr="00E73F6F">
        <w:rPr>
          <w:spacing w:val="-2"/>
          <w:sz w:val="24"/>
          <w:szCs w:val="24"/>
        </w:rPr>
        <w:t xml:space="preserve"> </w:t>
      </w:r>
      <w:r w:rsidRPr="00E73F6F">
        <w:rPr>
          <w:sz w:val="24"/>
          <w:szCs w:val="24"/>
        </w:rPr>
        <w:t>lebenden</w:t>
      </w:r>
      <w:r w:rsidRPr="00E73F6F">
        <w:rPr>
          <w:spacing w:val="-1"/>
          <w:sz w:val="24"/>
          <w:szCs w:val="24"/>
        </w:rPr>
        <w:t xml:space="preserve"> </w:t>
      </w:r>
      <w:r w:rsidRPr="00E73F6F">
        <w:rPr>
          <w:sz w:val="24"/>
          <w:szCs w:val="24"/>
        </w:rPr>
        <w:t>Menschen</w:t>
      </w:r>
      <w:r w:rsidRPr="00E73F6F">
        <w:rPr>
          <w:spacing w:val="-1"/>
          <w:sz w:val="24"/>
          <w:szCs w:val="24"/>
        </w:rPr>
        <w:t xml:space="preserve"> </w:t>
      </w:r>
      <w:r w:rsidRPr="00E73F6F">
        <w:rPr>
          <w:sz w:val="24"/>
          <w:szCs w:val="24"/>
        </w:rPr>
        <w:t>weit</w:t>
      </w:r>
      <w:r w:rsidRPr="00E73F6F">
        <w:rPr>
          <w:spacing w:val="-1"/>
          <w:sz w:val="24"/>
          <w:szCs w:val="24"/>
        </w:rPr>
        <w:t xml:space="preserve"> </w:t>
      </w:r>
      <w:r w:rsidRPr="00E73F6F">
        <w:rPr>
          <w:sz w:val="24"/>
          <w:szCs w:val="24"/>
        </w:rPr>
        <w:t>enger</w:t>
      </w:r>
      <w:r w:rsidRPr="00E73F6F">
        <w:rPr>
          <w:spacing w:val="-1"/>
          <w:sz w:val="24"/>
          <w:szCs w:val="24"/>
        </w:rPr>
        <w:t xml:space="preserve"> </w:t>
      </w:r>
      <w:r w:rsidRPr="00E73F6F">
        <w:rPr>
          <w:sz w:val="24"/>
          <w:szCs w:val="24"/>
        </w:rPr>
        <w:t>miteinander</w:t>
      </w:r>
      <w:r w:rsidRPr="00E73F6F">
        <w:rPr>
          <w:spacing w:val="-3"/>
          <w:sz w:val="24"/>
          <w:szCs w:val="24"/>
        </w:rPr>
        <w:t xml:space="preserve"> </w:t>
      </w:r>
      <w:r w:rsidRPr="00E73F6F">
        <w:rPr>
          <w:sz w:val="24"/>
          <w:szCs w:val="24"/>
        </w:rPr>
        <w:t>verwandt, als es aufgrund der phänomenologischen Vielfalt – d.h. des äußeren Erscheinungsbildes – den Anschein hat. Die nur mit modernsten Methoden nachweisbaren</w:t>
      </w:r>
      <w:r w:rsidRPr="00E73F6F">
        <w:rPr>
          <w:spacing w:val="11"/>
          <w:sz w:val="24"/>
          <w:szCs w:val="24"/>
        </w:rPr>
        <w:t xml:space="preserve"> </w:t>
      </w:r>
      <w:r w:rsidRPr="00E73F6F">
        <w:rPr>
          <w:sz w:val="24"/>
          <w:szCs w:val="24"/>
        </w:rPr>
        <w:t>genetischen</w:t>
      </w:r>
      <w:r w:rsidRPr="00E73F6F">
        <w:rPr>
          <w:spacing w:val="12"/>
          <w:sz w:val="24"/>
          <w:szCs w:val="24"/>
        </w:rPr>
        <w:t xml:space="preserve"> </w:t>
      </w:r>
      <w:r w:rsidRPr="00E73F6F">
        <w:rPr>
          <w:sz w:val="24"/>
          <w:szCs w:val="24"/>
        </w:rPr>
        <w:t>Unterschiede</w:t>
      </w:r>
      <w:r w:rsidRPr="00E73F6F">
        <w:rPr>
          <w:spacing w:val="9"/>
          <w:sz w:val="24"/>
          <w:szCs w:val="24"/>
        </w:rPr>
        <w:t xml:space="preserve"> </w:t>
      </w:r>
      <w:r w:rsidRPr="00E73F6F">
        <w:rPr>
          <w:sz w:val="24"/>
          <w:szCs w:val="24"/>
        </w:rPr>
        <w:t>sind</w:t>
      </w:r>
      <w:r w:rsidRPr="00E73F6F">
        <w:rPr>
          <w:spacing w:val="10"/>
          <w:sz w:val="24"/>
          <w:szCs w:val="24"/>
        </w:rPr>
        <w:t xml:space="preserve"> </w:t>
      </w:r>
      <w:r w:rsidRPr="00E73F6F">
        <w:rPr>
          <w:sz w:val="24"/>
          <w:szCs w:val="24"/>
        </w:rPr>
        <w:t>derart</w:t>
      </w:r>
      <w:r w:rsidRPr="00E73F6F">
        <w:rPr>
          <w:spacing w:val="11"/>
          <w:sz w:val="24"/>
          <w:szCs w:val="24"/>
        </w:rPr>
        <w:t xml:space="preserve"> </w:t>
      </w:r>
      <w:r w:rsidRPr="00E73F6F">
        <w:rPr>
          <w:sz w:val="24"/>
          <w:szCs w:val="24"/>
        </w:rPr>
        <w:t>gering,</w:t>
      </w:r>
      <w:r w:rsidRPr="00E73F6F">
        <w:rPr>
          <w:spacing w:val="9"/>
          <w:sz w:val="24"/>
          <w:szCs w:val="24"/>
        </w:rPr>
        <w:t xml:space="preserve"> </w:t>
      </w:r>
      <w:r w:rsidRPr="00E73F6F">
        <w:rPr>
          <w:sz w:val="24"/>
          <w:szCs w:val="24"/>
        </w:rPr>
        <w:t>dass</w:t>
      </w:r>
      <w:r w:rsidRPr="00E73F6F">
        <w:rPr>
          <w:spacing w:val="9"/>
          <w:sz w:val="24"/>
          <w:szCs w:val="24"/>
        </w:rPr>
        <w:t xml:space="preserve"> </w:t>
      </w:r>
      <w:r w:rsidRPr="00E73F6F">
        <w:rPr>
          <w:sz w:val="24"/>
          <w:szCs w:val="24"/>
        </w:rPr>
        <w:t>sich</w:t>
      </w:r>
      <w:r w:rsidRPr="00E73F6F">
        <w:rPr>
          <w:spacing w:val="12"/>
          <w:sz w:val="24"/>
          <w:szCs w:val="24"/>
        </w:rPr>
        <w:t xml:space="preserve"> </w:t>
      </w:r>
      <w:r w:rsidRPr="00E73F6F">
        <w:rPr>
          <w:sz w:val="24"/>
          <w:szCs w:val="24"/>
        </w:rPr>
        <w:t>jede</w:t>
      </w:r>
      <w:r w:rsidRPr="00E73F6F">
        <w:rPr>
          <w:spacing w:val="10"/>
          <w:sz w:val="24"/>
          <w:szCs w:val="24"/>
        </w:rPr>
        <w:t xml:space="preserve"> </w:t>
      </w:r>
      <w:r w:rsidRPr="00E73F6F">
        <w:rPr>
          <w:spacing w:val="-4"/>
          <w:sz w:val="24"/>
          <w:szCs w:val="24"/>
        </w:rPr>
        <w:t>Form</w:t>
      </w:r>
      <w:r w:rsidR="009278E0">
        <w:rPr>
          <w:sz w:val="24"/>
          <w:szCs w:val="24"/>
        </w:rPr>
        <w:t xml:space="preserve"> </w:t>
      </w:r>
      <w:r w:rsidRPr="00E73F6F">
        <w:rPr>
          <w:sz w:val="24"/>
          <w:szCs w:val="24"/>
        </w:rPr>
        <w:t xml:space="preserve">von Rassismus nicht nur aus moralischen Gründen, sondern gerade auch aus wissenschaftlicher </w:t>
      </w:r>
      <w:r w:rsidRPr="00E73F6F">
        <w:rPr>
          <w:sz w:val="24"/>
          <w:szCs w:val="24"/>
        </w:rPr>
        <w:lastRenderedPageBreak/>
        <w:t>Sicht verbietet.</w:t>
      </w:r>
    </w:p>
    <w:p w14:paraId="7F1BCBE8" w14:textId="77777777" w:rsidR="00FF7799" w:rsidRPr="00E73F6F" w:rsidRDefault="00FF7799" w:rsidP="00862DBA">
      <w:pPr>
        <w:rPr>
          <w:sz w:val="24"/>
          <w:szCs w:val="24"/>
        </w:rPr>
      </w:pPr>
    </w:p>
    <w:p w14:paraId="686A7B77" w14:textId="77777777" w:rsidR="00FF7799" w:rsidRPr="00254753" w:rsidRDefault="00FF7799" w:rsidP="005E6288">
      <w:pPr>
        <w:pStyle w:val="StandardTextkursiv"/>
        <w:rPr>
          <w:i w:val="0"/>
        </w:rPr>
      </w:pPr>
      <w:r w:rsidRPr="00254753">
        <w:rPr>
          <w:i w:val="0"/>
        </w:rPr>
        <w:t>3 Geographischer</w:t>
      </w:r>
      <w:r w:rsidRPr="00254753">
        <w:rPr>
          <w:i w:val="0"/>
          <w:spacing w:val="-2"/>
        </w:rPr>
        <w:t xml:space="preserve"> Determinismus</w:t>
      </w:r>
    </w:p>
    <w:p w14:paraId="580F6B8E" w14:textId="77777777" w:rsidR="00FF7799" w:rsidRPr="00E73F6F" w:rsidRDefault="00FF7799" w:rsidP="00500190">
      <w:pPr>
        <w:pStyle w:val="StandardText"/>
      </w:pPr>
      <w:r w:rsidRPr="00E73F6F">
        <w:t>Gemäß der Geodeterminismus-Theorie der Armutsforschung verursachen hauptsächlich geographisch bedingte Faktoren (z.B. mangelnder direkter Zugang zu einem Meer) die Armut eines Landes (vgl. Budke 2005). Tatsächlich müssen die sog. ‘landlocked countries‘ einen Gutteil ihrer</w:t>
      </w:r>
      <w:r w:rsidRPr="00E73F6F">
        <w:rPr>
          <w:spacing w:val="-1"/>
        </w:rPr>
        <w:t xml:space="preserve"> </w:t>
      </w:r>
      <w:r w:rsidRPr="00E73F6F">
        <w:t>Exporterlöse dafür aufwenden, um diesen Nachteil zu kompensieren.</w:t>
      </w:r>
    </w:p>
    <w:p w14:paraId="629E12EE" w14:textId="77777777" w:rsidR="00FF7799" w:rsidRPr="00254753" w:rsidRDefault="00FF7799" w:rsidP="00862DBA">
      <w:pPr>
        <w:rPr>
          <w:sz w:val="24"/>
          <w:szCs w:val="24"/>
        </w:rPr>
      </w:pPr>
    </w:p>
    <w:p w14:paraId="65492753" w14:textId="77777777" w:rsidR="00FF7799" w:rsidRPr="00254753" w:rsidRDefault="00FF7799" w:rsidP="005E6288">
      <w:pPr>
        <w:pStyle w:val="StandardTextkursiv"/>
        <w:rPr>
          <w:i w:val="0"/>
        </w:rPr>
      </w:pPr>
      <w:r w:rsidRPr="00254753">
        <w:rPr>
          <w:i w:val="0"/>
        </w:rPr>
        <w:t>4 Kultureller Determinismus</w:t>
      </w:r>
    </w:p>
    <w:p w14:paraId="42768673" w14:textId="77777777" w:rsidR="00FF7799" w:rsidRPr="00E73F6F" w:rsidRDefault="00FF7799" w:rsidP="00500190">
      <w:pPr>
        <w:pStyle w:val="StandardText"/>
        <w:rPr>
          <w:szCs w:val="24"/>
        </w:rPr>
      </w:pPr>
      <w:r w:rsidRPr="00E73F6F">
        <w:t xml:space="preserve">Diese Richtung rekurriert auf die Arbeit der Anthropologin </w:t>
      </w:r>
      <w:r w:rsidRPr="00254753">
        <w:t>M. Mead.</w:t>
      </w:r>
      <w:r w:rsidRPr="00E73F6F">
        <w:t xml:space="preserve"> Ihre Basisthese</w:t>
      </w:r>
      <w:r w:rsidRPr="00E73F6F">
        <w:rPr>
          <w:spacing w:val="-3"/>
        </w:rPr>
        <w:t xml:space="preserve"> </w:t>
      </w:r>
      <w:r w:rsidRPr="00E73F6F">
        <w:t>lautet:</w:t>
      </w:r>
      <w:r w:rsidRPr="00E73F6F">
        <w:rPr>
          <w:spacing w:val="-1"/>
        </w:rPr>
        <w:t xml:space="preserve"> </w:t>
      </w:r>
      <w:r w:rsidRPr="00E73F6F">
        <w:t>Die</w:t>
      </w:r>
      <w:r w:rsidRPr="00E73F6F">
        <w:rPr>
          <w:spacing w:val="-2"/>
        </w:rPr>
        <w:t xml:space="preserve"> </w:t>
      </w:r>
      <w:r w:rsidRPr="00E73F6F">
        <w:t>menschliche</w:t>
      </w:r>
      <w:r w:rsidRPr="00E73F6F">
        <w:rPr>
          <w:spacing w:val="-2"/>
        </w:rPr>
        <w:t xml:space="preserve"> </w:t>
      </w:r>
      <w:r w:rsidRPr="00E73F6F">
        <w:t>Natur,</w:t>
      </w:r>
      <w:r w:rsidRPr="00E73F6F">
        <w:rPr>
          <w:spacing w:val="-1"/>
        </w:rPr>
        <w:t xml:space="preserve"> </w:t>
      </w:r>
      <w:r w:rsidRPr="00E73F6F">
        <w:t>als</w:t>
      </w:r>
      <w:r w:rsidRPr="00E73F6F">
        <w:rPr>
          <w:spacing w:val="-4"/>
        </w:rPr>
        <w:t xml:space="preserve"> </w:t>
      </w:r>
      <w:r w:rsidRPr="00E73F6F">
        <w:t>das</w:t>
      </w:r>
      <w:r w:rsidRPr="00E73F6F">
        <w:rPr>
          <w:spacing w:val="-2"/>
        </w:rPr>
        <w:t xml:space="preserve"> </w:t>
      </w:r>
      <w:r w:rsidRPr="00E73F6F">
        <w:t>„Roheste</w:t>
      </w:r>
      <w:r w:rsidRPr="00E73F6F">
        <w:rPr>
          <w:spacing w:val="-2"/>
        </w:rPr>
        <w:t xml:space="preserve"> </w:t>
      </w:r>
      <w:r w:rsidRPr="00E73F6F">
        <w:t>aller</w:t>
      </w:r>
      <w:r w:rsidRPr="00E73F6F">
        <w:rPr>
          <w:spacing w:val="-2"/>
        </w:rPr>
        <w:t xml:space="preserve"> </w:t>
      </w:r>
      <w:r w:rsidRPr="00E73F6F">
        <w:t>Rohmaterialien“, erhält erst unter dem sozialisierenden Einfluss der jeweiligen Kultur ihre eigentliche</w:t>
      </w:r>
      <w:r w:rsidRPr="00E73F6F">
        <w:rPr>
          <w:spacing w:val="-12"/>
        </w:rPr>
        <w:t xml:space="preserve"> </w:t>
      </w:r>
      <w:r w:rsidRPr="00E73F6F">
        <w:t>bzw.</w:t>
      </w:r>
      <w:r w:rsidRPr="00E73F6F">
        <w:rPr>
          <w:spacing w:val="-11"/>
        </w:rPr>
        <w:t xml:space="preserve"> </w:t>
      </w:r>
      <w:r w:rsidRPr="00E73F6F">
        <w:t>letzte</w:t>
      </w:r>
      <w:r w:rsidRPr="00E73F6F">
        <w:rPr>
          <w:spacing w:val="-11"/>
        </w:rPr>
        <w:t xml:space="preserve"> </w:t>
      </w:r>
      <w:r w:rsidRPr="00E73F6F">
        <w:t>Form</w:t>
      </w:r>
      <w:r w:rsidRPr="00E73F6F">
        <w:rPr>
          <w:spacing w:val="-11"/>
        </w:rPr>
        <w:t xml:space="preserve"> </w:t>
      </w:r>
      <w:r w:rsidRPr="00E73F6F">
        <w:t>(vgl.</w:t>
      </w:r>
      <w:r w:rsidRPr="00E73F6F">
        <w:rPr>
          <w:spacing w:val="-12"/>
        </w:rPr>
        <w:t xml:space="preserve"> </w:t>
      </w:r>
      <w:r w:rsidRPr="00E73F6F">
        <w:t>Mead</w:t>
      </w:r>
      <w:r w:rsidRPr="00E73F6F">
        <w:rPr>
          <w:spacing w:val="-11"/>
        </w:rPr>
        <w:t xml:space="preserve"> </w:t>
      </w:r>
      <w:r w:rsidRPr="00E73F6F">
        <w:t>1928).</w:t>
      </w:r>
      <w:r w:rsidRPr="00E73F6F">
        <w:rPr>
          <w:spacing w:val="-11"/>
        </w:rPr>
        <w:t xml:space="preserve"> </w:t>
      </w:r>
      <w:r w:rsidRPr="00E73F6F">
        <w:t>Dabei</w:t>
      </w:r>
      <w:r w:rsidRPr="00E73F6F">
        <w:rPr>
          <w:spacing w:val="-11"/>
        </w:rPr>
        <w:t xml:space="preserve"> </w:t>
      </w:r>
      <w:r w:rsidRPr="00E73F6F">
        <w:t>spielten</w:t>
      </w:r>
      <w:r w:rsidRPr="00E73F6F">
        <w:rPr>
          <w:spacing w:val="-12"/>
        </w:rPr>
        <w:t xml:space="preserve"> </w:t>
      </w:r>
      <w:r w:rsidRPr="00E73F6F">
        <w:t>genetische</w:t>
      </w:r>
      <w:r w:rsidRPr="00E73F6F">
        <w:rPr>
          <w:spacing w:val="-11"/>
        </w:rPr>
        <w:t xml:space="preserve"> </w:t>
      </w:r>
      <w:r w:rsidRPr="00E73F6F">
        <w:t>Faktoren, die im Mittelpunkt des biologischen Determinismus stehen, eine untergeordnete Rolle. Entscheidend ist das kulturelle Umfeld, in das ein Mensch hineingeboren wird.</w:t>
      </w:r>
      <w:r w:rsidRPr="00E73F6F">
        <w:rPr>
          <w:spacing w:val="-11"/>
        </w:rPr>
        <w:t xml:space="preserve"> </w:t>
      </w:r>
      <w:r w:rsidRPr="00E73F6F">
        <w:t>Es</w:t>
      </w:r>
      <w:r w:rsidRPr="00E73F6F">
        <w:rPr>
          <w:spacing w:val="-11"/>
        </w:rPr>
        <w:t xml:space="preserve"> </w:t>
      </w:r>
      <w:r w:rsidRPr="00E73F6F">
        <w:t>determiniert</w:t>
      </w:r>
      <w:r w:rsidRPr="00E73F6F">
        <w:rPr>
          <w:spacing w:val="-11"/>
        </w:rPr>
        <w:t xml:space="preserve"> </w:t>
      </w:r>
      <w:r w:rsidRPr="00E73F6F">
        <w:t>sein</w:t>
      </w:r>
      <w:r w:rsidRPr="00E73F6F">
        <w:rPr>
          <w:spacing w:val="-10"/>
        </w:rPr>
        <w:t xml:space="preserve"> </w:t>
      </w:r>
      <w:r w:rsidRPr="00E73F6F">
        <w:t>Emotions-,</w:t>
      </w:r>
      <w:r w:rsidRPr="00E73F6F">
        <w:rPr>
          <w:spacing w:val="-11"/>
        </w:rPr>
        <w:t xml:space="preserve"> </w:t>
      </w:r>
      <w:r w:rsidRPr="00E73F6F">
        <w:t>Kognitions-</w:t>
      </w:r>
      <w:r w:rsidRPr="00E73F6F">
        <w:rPr>
          <w:spacing w:val="-12"/>
        </w:rPr>
        <w:t xml:space="preserve"> </w:t>
      </w:r>
      <w:r w:rsidRPr="00E73F6F">
        <w:t>und</w:t>
      </w:r>
      <w:r w:rsidRPr="00E73F6F">
        <w:rPr>
          <w:spacing w:val="-9"/>
        </w:rPr>
        <w:t xml:space="preserve"> </w:t>
      </w:r>
      <w:r w:rsidRPr="00E73F6F">
        <w:t>Verhaltensrepertoire.</w:t>
      </w:r>
      <w:r w:rsidRPr="00E73F6F">
        <w:rPr>
          <w:spacing w:val="-11"/>
        </w:rPr>
        <w:t xml:space="preserve"> </w:t>
      </w:r>
      <w:r w:rsidRPr="00E73F6F">
        <w:t>In</w:t>
      </w:r>
      <w:r w:rsidRPr="00E73F6F">
        <w:rPr>
          <w:spacing w:val="-10"/>
        </w:rPr>
        <w:t xml:space="preserve"> </w:t>
      </w:r>
      <w:r w:rsidRPr="00E73F6F">
        <w:t>der psychologischen Literatur wurde</w:t>
      </w:r>
      <w:r w:rsidRPr="00E73F6F">
        <w:rPr>
          <w:spacing w:val="-4"/>
        </w:rPr>
        <w:t xml:space="preserve"> </w:t>
      </w:r>
      <w:r w:rsidRPr="00E73F6F">
        <w:t>eine</w:t>
      </w:r>
      <w:r w:rsidRPr="00E73F6F">
        <w:rPr>
          <w:spacing w:val="-1"/>
        </w:rPr>
        <w:t xml:space="preserve"> </w:t>
      </w:r>
      <w:r w:rsidRPr="00E73F6F">
        <w:t>vergleichbare</w:t>
      </w:r>
      <w:r w:rsidRPr="00E73F6F">
        <w:rPr>
          <w:spacing w:val="-1"/>
        </w:rPr>
        <w:t xml:space="preserve"> </w:t>
      </w:r>
      <w:r w:rsidRPr="00E73F6F">
        <w:t>Grundsatzdiskussion mit den Begriffen</w:t>
      </w:r>
      <w:r w:rsidRPr="00E73F6F">
        <w:rPr>
          <w:spacing w:val="12"/>
        </w:rPr>
        <w:t xml:space="preserve"> </w:t>
      </w:r>
      <w:r w:rsidRPr="00E73F6F">
        <w:t>„Nativismus“</w:t>
      </w:r>
      <w:r w:rsidRPr="00E73F6F">
        <w:rPr>
          <w:spacing w:val="9"/>
        </w:rPr>
        <w:t xml:space="preserve"> </w:t>
      </w:r>
      <w:r w:rsidRPr="00E73F6F">
        <w:t>(z.B.</w:t>
      </w:r>
      <w:r w:rsidRPr="00E73F6F">
        <w:rPr>
          <w:spacing w:val="13"/>
        </w:rPr>
        <w:t xml:space="preserve"> </w:t>
      </w:r>
      <w:r w:rsidRPr="00E73F6F">
        <w:t>Raum-</w:t>
      </w:r>
      <w:r w:rsidRPr="00E73F6F">
        <w:rPr>
          <w:spacing w:val="13"/>
        </w:rPr>
        <w:t xml:space="preserve"> </w:t>
      </w:r>
      <w:r w:rsidRPr="00E73F6F">
        <w:t>und</w:t>
      </w:r>
      <w:r w:rsidRPr="00E73F6F">
        <w:rPr>
          <w:spacing w:val="11"/>
        </w:rPr>
        <w:t xml:space="preserve"> </w:t>
      </w:r>
      <w:r w:rsidRPr="00E73F6F">
        <w:t>Zeitvorstellungen</w:t>
      </w:r>
      <w:r w:rsidRPr="00E73F6F">
        <w:rPr>
          <w:spacing w:val="13"/>
        </w:rPr>
        <w:t xml:space="preserve"> </w:t>
      </w:r>
      <w:r w:rsidRPr="00E73F6F">
        <w:t>sind</w:t>
      </w:r>
      <w:r w:rsidRPr="00E73F6F">
        <w:rPr>
          <w:spacing w:val="14"/>
        </w:rPr>
        <w:t xml:space="preserve"> </w:t>
      </w:r>
      <w:r w:rsidRPr="00E73F6F">
        <w:t>angeboren)</w:t>
      </w:r>
      <w:r w:rsidRPr="00E73F6F">
        <w:rPr>
          <w:spacing w:val="10"/>
        </w:rPr>
        <w:t xml:space="preserve"> </w:t>
      </w:r>
      <w:r w:rsidRPr="00E73F6F">
        <w:rPr>
          <w:spacing w:val="-5"/>
        </w:rPr>
        <w:t xml:space="preserve">und </w:t>
      </w:r>
      <w:r w:rsidRPr="00E73F6F">
        <w:rPr>
          <w:szCs w:val="24"/>
        </w:rPr>
        <w:t xml:space="preserve">„Empirismus“ (z.B. Raum- Zeitvorstellungen sind erlernt) belegt (vgl. Kalkofen </w:t>
      </w:r>
      <w:r w:rsidRPr="00E73F6F">
        <w:rPr>
          <w:spacing w:val="-2"/>
          <w:szCs w:val="24"/>
        </w:rPr>
        <w:t>1992).</w:t>
      </w:r>
    </w:p>
    <w:p w14:paraId="5810C7D0" w14:textId="77777777" w:rsidR="00FF7799" w:rsidRPr="00035E56" w:rsidRDefault="00FF7799" w:rsidP="00500190">
      <w:pPr>
        <w:pStyle w:val="StandardText"/>
        <w:rPr>
          <w:szCs w:val="24"/>
        </w:rPr>
      </w:pPr>
      <w:r w:rsidRPr="00035E56">
        <w:rPr>
          <w:szCs w:val="24"/>
        </w:rPr>
        <w:t>Die, wie man später allerdings erkennen musste, voreingenommenen und selektiven Beobachtungen von Mead (1928) in Samoa trugen viel zur naiven Idealisierung</w:t>
      </w:r>
      <w:r w:rsidRPr="00035E56">
        <w:rPr>
          <w:spacing w:val="-6"/>
          <w:szCs w:val="24"/>
        </w:rPr>
        <w:t xml:space="preserve"> </w:t>
      </w:r>
      <w:r w:rsidRPr="00035E56">
        <w:rPr>
          <w:szCs w:val="24"/>
        </w:rPr>
        <w:t>von</w:t>
      </w:r>
      <w:r w:rsidRPr="00035E56">
        <w:rPr>
          <w:spacing w:val="-3"/>
          <w:szCs w:val="24"/>
        </w:rPr>
        <w:t xml:space="preserve"> </w:t>
      </w:r>
      <w:r w:rsidRPr="00035E56">
        <w:rPr>
          <w:szCs w:val="24"/>
        </w:rPr>
        <w:t>Polynesien</w:t>
      </w:r>
      <w:r w:rsidRPr="00035E56">
        <w:rPr>
          <w:spacing w:val="-3"/>
          <w:szCs w:val="24"/>
        </w:rPr>
        <w:t xml:space="preserve"> </w:t>
      </w:r>
      <w:r w:rsidRPr="00035E56">
        <w:rPr>
          <w:szCs w:val="24"/>
        </w:rPr>
        <w:t>durch</w:t>
      </w:r>
      <w:r w:rsidRPr="00035E56">
        <w:rPr>
          <w:spacing w:val="-3"/>
          <w:szCs w:val="24"/>
        </w:rPr>
        <w:t xml:space="preserve"> </w:t>
      </w:r>
      <w:r w:rsidRPr="00035E56">
        <w:rPr>
          <w:szCs w:val="24"/>
        </w:rPr>
        <w:t>die</w:t>
      </w:r>
      <w:r w:rsidRPr="00035E56">
        <w:rPr>
          <w:spacing w:val="-2"/>
          <w:szCs w:val="24"/>
        </w:rPr>
        <w:t xml:space="preserve"> </w:t>
      </w:r>
      <w:r w:rsidRPr="00035E56">
        <w:rPr>
          <w:szCs w:val="24"/>
        </w:rPr>
        <w:t>westliche</w:t>
      </w:r>
      <w:r w:rsidRPr="00035E56">
        <w:rPr>
          <w:spacing w:val="-5"/>
          <w:szCs w:val="24"/>
        </w:rPr>
        <w:t xml:space="preserve"> </w:t>
      </w:r>
      <w:r w:rsidRPr="00035E56">
        <w:rPr>
          <w:szCs w:val="24"/>
        </w:rPr>
        <w:t>Welt</w:t>
      </w:r>
      <w:r w:rsidRPr="00035E56">
        <w:rPr>
          <w:spacing w:val="-4"/>
          <w:szCs w:val="24"/>
        </w:rPr>
        <w:t xml:space="preserve"> </w:t>
      </w:r>
      <w:r w:rsidRPr="00035E56">
        <w:rPr>
          <w:szCs w:val="24"/>
        </w:rPr>
        <w:t>und</w:t>
      </w:r>
      <w:r w:rsidRPr="00035E56">
        <w:rPr>
          <w:spacing w:val="-3"/>
          <w:szCs w:val="24"/>
        </w:rPr>
        <w:t xml:space="preserve"> </w:t>
      </w:r>
      <w:r w:rsidRPr="00035E56">
        <w:rPr>
          <w:szCs w:val="24"/>
        </w:rPr>
        <w:t>zum</w:t>
      </w:r>
      <w:r w:rsidRPr="00035E56">
        <w:rPr>
          <w:spacing w:val="-5"/>
          <w:szCs w:val="24"/>
        </w:rPr>
        <w:t xml:space="preserve"> </w:t>
      </w:r>
      <w:r w:rsidRPr="00035E56">
        <w:rPr>
          <w:szCs w:val="24"/>
        </w:rPr>
        <w:t>Mythos</w:t>
      </w:r>
      <w:r w:rsidRPr="00035E56">
        <w:rPr>
          <w:spacing w:val="-5"/>
          <w:szCs w:val="24"/>
        </w:rPr>
        <w:t xml:space="preserve"> </w:t>
      </w:r>
      <w:r w:rsidRPr="00035E56">
        <w:rPr>
          <w:szCs w:val="24"/>
        </w:rPr>
        <w:t>„Südsee“ bei. Dass in Samoa die Jugendlichen, anders als im westlichen Kulturkreis, frei von</w:t>
      </w:r>
      <w:r w:rsidRPr="00035E56">
        <w:rPr>
          <w:spacing w:val="-12"/>
          <w:szCs w:val="24"/>
        </w:rPr>
        <w:t xml:space="preserve"> </w:t>
      </w:r>
      <w:r w:rsidRPr="00035E56">
        <w:rPr>
          <w:szCs w:val="24"/>
        </w:rPr>
        <w:t>emotionalen</w:t>
      </w:r>
      <w:r w:rsidRPr="00035E56">
        <w:rPr>
          <w:spacing w:val="-11"/>
          <w:szCs w:val="24"/>
        </w:rPr>
        <w:t xml:space="preserve"> </w:t>
      </w:r>
      <w:r w:rsidRPr="00035E56">
        <w:rPr>
          <w:szCs w:val="24"/>
        </w:rPr>
        <w:t>Konflikten</w:t>
      </w:r>
      <w:r w:rsidRPr="00035E56">
        <w:rPr>
          <w:spacing w:val="-11"/>
          <w:szCs w:val="24"/>
        </w:rPr>
        <w:t xml:space="preserve"> </w:t>
      </w:r>
      <w:r w:rsidRPr="00035E56">
        <w:rPr>
          <w:szCs w:val="24"/>
        </w:rPr>
        <w:t>und</w:t>
      </w:r>
      <w:r w:rsidRPr="00035E56">
        <w:rPr>
          <w:spacing w:val="-11"/>
          <w:szCs w:val="24"/>
        </w:rPr>
        <w:t xml:space="preserve"> </w:t>
      </w:r>
      <w:r w:rsidRPr="00035E56">
        <w:rPr>
          <w:szCs w:val="24"/>
        </w:rPr>
        <w:t>sonstigen</w:t>
      </w:r>
      <w:r w:rsidRPr="00035E56">
        <w:rPr>
          <w:spacing w:val="-12"/>
          <w:szCs w:val="24"/>
        </w:rPr>
        <w:t xml:space="preserve"> </w:t>
      </w:r>
      <w:r w:rsidRPr="00035E56">
        <w:rPr>
          <w:szCs w:val="24"/>
        </w:rPr>
        <w:t>Belastungen</w:t>
      </w:r>
      <w:r w:rsidRPr="00035E56">
        <w:rPr>
          <w:spacing w:val="-11"/>
          <w:szCs w:val="24"/>
        </w:rPr>
        <w:t xml:space="preserve"> </w:t>
      </w:r>
      <w:r w:rsidRPr="00035E56">
        <w:rPr>
          <w:szCs w:val="24"/>
        </w:rPr>
        <w:t>heranwachsen,</w:t>
      </w:r>
      <w:r w:rsidRPr="00035E56">
        <w:rPr>
          <w:spacing w:val="-11"/>
          <w:szCs w:val="24"/>
        </w:rPr>
        <w:t xml:space="preserve"> </w:t>
      </w:r>
      <w:r w:rsidRPr="00035E56">
        <w:rPr>
          <w:szCs w:val="24"/>
        </w:rPr>
        <w:t>erwies</w:t>
      </w:r>
      <w:r w:rsidRPr="00035E56">
        <w:rPr>
          <w:spacing w:val="-11"/>
          <w:szCs w:val="24"/>
        </w:rPr>
        <w:t xml:space="preserve"> </w:t>
      </w:r>
      <w:r w:rsidRPr="00035E56">
        <w:rPr>
          <w:szCs w:val="24"/>
        </w:rPr>
        <w:t>sich im Nachhinein als reines Wunschdenken der Feldforscherin. Tatsächlich sind in dem vermeintlichen „sozialen Paradies“ Ehrgeiz, Wettbewerb und selbst Schwerstkriminalität (Raub, Mord und Vergewaltigung) nicht seltener als anderswo</w:t>
      </w:r>
      <w:r w:rsidRPr="00035E56">
        <w:rPr>
          <w:spacing w:val="-8"/>
          <w:szCs w:val="24"/>
        </w:rPr>
        <w:t xml:space="preserve"> </w:t>
      </w:r>
      <w:r w:rsidRPr="00035E56">
        <w:rPr>
          <w:szCs w:val="24"/>
        </w:rPr>
        <w:t>(vgl.</w:t>
      </w:r>
      <w:r w:rsidRPr="00035E56">
        <w:rPr>
          <w:spacing w:val="-10"/>
          <w:szCs w:val="24"/>
        </w:rPr>
        <w:t xml:space="preserve"> </w:t>
      </w:r>
      <w:r w:rsidRPr="00035E56">
        <w:rPr>
          <w:szCs w:val="24"/>
        </w:rPr>
        <w:t>Freeman</w:t>
      </w:r>
      <w:r w:rsidRPr="00035E56">
        <w:rPr>
          <w:spacing w:val="-8"/>
          <w:szCs w:val="24"/>
        </w:rPr>
        <w:t xml:space="preserve"> </w:t>
      </w:r>
      <w:r w:rsidRPr="00035E56">
        <w:rPr>
          <w:szCs w:val="24"/>
        </w:rPr>
        <w:t>1983).</w:t>
      </w:r>
      <w:r w:rsidRPr="00035E56">
        <w:rPr>
          <w:spacing w:val="-8"/>
          <w:szCs w:val="24"/>
        </w:rPr>
        <w:t xml:space="preserve"> </w:t>
      </w:r>
      <w:r w:rsidRPr="00035E56">
        <w:rPr>
          <w:szCs w:val="24"/>
        </w:rPr>
        <w:t>„Samoanische</w:t>
      </w:r>
      <w:r w:rsidRPr="00035E56">
        <w:rPr>
          <w:spacing w:val="-9"/>
          <w:szCs w:val="24"/>
        </w:rPr>
        <w:t xml:space="preserve"> </w:t>
      </w:r>
      <w:r w:rsidRPr="00035E56">
        <w:rPr>
          <w:szCs w:val="24"/>
        </w:rPr>
        <w:t>Kinder</w:t>
      </w:r>
      <w:r w:rsidRPr="00035E56">
        <w:rPr>
          <w:spacing w:val="-9"/>
          <w:szCs w:val="24"/>
        </w:rPr>
        <w:t xml:space="preserve"> </w:t>
      </w:r>
      <w:r w:rsidRPr="00035E56">
        <w:rPr>
          <w:szCs w:val="24"/>
        </w:rPr>
        <w:t>und</w:t>
      </w:r>
      <w:r w:rsidRPr="00035E56">
        <w:rPr>
          <w:spacing w:val="-10"/>
          <w:szCs w:val="24"/>
        </w:rPr>
        <w:t xml:space="preserve"> </w:t>
      </w:r>
      <w:r w:rsidRPr="00035E56">
        <w:rPr>
          <w:szCs w:val="24"/>
        </w:rPr>
        <w:t>Jugendliche</w:t>
      </w:r>
      <w:r w:rsidRPr="00035E56">
        <w:rPr>
          <w:spacing w:val="-6"/>
          <w:szCs w:val="24"/>
        </w:rPr>
        <w:t xml:space="preserve"> </w:t>
      </w:r>
      <w:r w:rsidRPr="00035E56">
        <w:rPr>
          <w:szCs w:val="24"/>
        </w:rPr>
        <w:t>ebenso</w:t>
      </w:r>
      <w:r w:rsidRPr="00035E56">
        <w:rPr>
          <w:spacing w:val="-8"/>
          <w:szCs w:val="24"/>
        </w:rPr>
        <w:t xml:space="preserve"> </w:t>
      </w:r>
      <w:r w:rsidRPr="00035E56">
        <w:rPr>
          <w:szCs w:val="24"/>
        </w:rPr>
        <w:t>wie Erwachsene sind in ein strenges Autoritätssystem eingespannt, das zu schweren psychischen</w:t>
      </w:r>
      <w:r w:rsidRPr="00035E56">
        <w:rPr>
          <w:spacing w:val="-2"/>
          <w:szCs w:val="24"/>
        </w:rPr>
        <w:t xml:space="preserve"> </w:t>
      </w:r>
      <w:r w:rsidRPr="00035E56">
        <w:rPr>
          <w:szCs w:val="24"/>
        </w:rPr>
        <w:t>Belastungen</w:t>
      </w:r>
      <w:r w:rsidRPr="00035E56">
        <w:rPr>
          <w:spacing w:val="-2"/>
          <w:szCs w:val="24"/>
        </w:rPr>
        <w:t xml:space="preserve"> </w:t>
      </w:r>
      <w:r w:rsidRPr="00035E56">
        <w:rPr>
          <w:szCs w:val="24"/>
        </w:rPr>
        <w:t>führt.</w:t>
      </w:r>
      <w:r w:rsidRPr="00035E56">
        <w:rPr>
          <w:spacing w:val="-2"/>
          <w:szCs w:val="24"/>
        </w:rPr>
        <w:t xml:space="preserve"> </w:t>
      </w:r>
      <w:r w:rsidRPr="00035E56">
        <w:rPr>
          <w:szCs w:val="24"/>
        </w:rPr>
        <w:t>Hysterische</w:t>
      </w:r>
      <w:r w:rsidRPr="00035E56">
        <w:rPr>
          <w:spacing w:val="-2"/>
          <w:szCs w:val="24"/>
        </w:rPr>
        <w:t xml:space="preserve"> </w:t>
      </w:r>
      <w:r w:rsidRPr="00035E56">
        <w:rPr>
          <w:szCs w:val="24"/>
        </w:rPr>
        <w:t>Reaktionen,</w:t>
      </w:r>
      <w:r w:rsidRPr="00035E56">
        <w:rPr>
          <w:spacing w:val="-2"/>
          <w:szCs w:val="24"/>
        </w:rPr>
        <w:t xml:space="preserve"> </w:t>
      </w:r>
      <w:r w:rsidRPr="00035E56">
        <w:rPr>
          <w:szCs w:val="24"/>
        </w:rPr>
        <w:t>Selbsttötungsdelikte</w:t>
      </w:r>
      <w:r w:rsidRPr="00035E56">
        <w:rPr>
          <w:spacing w:val="-2"/>
          <w:szCs w:val="24"/>
        </w:rPr>
        <w:t xml:space="preserve"> </w:t>
      </w:r>
      <w:r w:rsidRPr="00035E56">
        <w:rPr>
          <w:szCs w:val="24"/>
        </w:rPr>
        <w:t>und Formen extremer Eifersucht sind häufig anzutreffen. Freie Liebe, die M. Mead beobachtet haben will, ist nicht nur verpönt. Vielmehr wird der Kult weiblicher Unberührbarkeit in einem Ausmaß betrieben, wie es bisher in keiner anderen Kultur beobachtet wurde“ (Thomas 1991, S.35).</w:t>
      </w:r>
    </w:p>
    <w:p w14:paraId="16CE4ED5" w14:textId="77777777" w:rsidR="00FF7799" w:rsidRPr="00E73F6F" w:rsidRDefault="00FF7799" w:rsidP="00862DBA">
      <w:pPr>
        <w:rPr>
          <w:sz w:val="24"/>
          <w:szCs w:val="24"/>
        </w:rPr>
      </w:pPr>
    </w:p>
    <w:p w14:paraId="03B2F3CF" w14:textId="77777777" w:rsidR="00FF7799" w:rsidRPr="00254753" w:rsidRDefault="00FF7799" w:rsidP="005E6288">
      <w:pPr>
        <w:pStyle w:val="StandardTextkursiv"/>
        <w:rPr>
          <w:i w:val="0"/>
        </w:rPr>
      </w:pPr>
      <w:r w:rsidRPr="00254753">
        <w:rPr>
          <w:i w:val="0"/>
        </w:rPr>
        <w:t xml:space="preserve">5 Linguistischer Determinismus </w:t>
      </w:r>
      <w:r w:rsidR="009278E0" w:rsidRPr="009278E0">
        <w:rPr>
          <w:i w:val="0"/>
        </w:rPr>
        <w:t>(vgl.</w:t>
      </w:r>
      <w:r w:rsidRPr="009278E0">
        <w:rPr>
          <w:i w:val="0"/>
        </w:rPr>
        <w:t xml:space="preserve"> Sapir</w:t>
      </w:r>
      <w:r w:rsidRPr="00254753">
        <w:rPr>
          <w:i w:val="0"/>
        </w:rPr>
        <w:t>-Whorf-These</w:t>
      </w:r>
      <w:r w:rsidR="009278E0">
        <w:rPr>
          <w:i w:val="0"/>
        </w:rPr>
        <w:t>)</w:t>
      </w:r>
    </w:p>
    <w:p w14:paraId="0340090C" w14:textId="77777777" w:rsidR="00FF7799" w:rsidRPr="00254753" w:rsidRDefault="00FF7799" w:rsidP="004A4857">
      <w:pPr>
        <w:pStyle w:val="StandardTextkursiv"/>
        <w:rPr>
          <w:i w:val="0"/>
        </w:rPr>
      </w:pPr>
      <w:r w:rsidRPr="00254753">
        <w:rPr>
          <w:i w:val="0"/>
        </w:rPr>
        <w:t>6 Technologischer Determinismus</w:t>
      </w:r>
    </w:p>
    <w:p w14:paraId="4AA7B15A" w14:textId="77777777" w:rsidR="00FF7799" w:rsidRDefault="00FF7799" w:rsidP="00500190">
      <w:pPr>
        <w:pStyle w:val="StandardText"/>
      </w:pPr>
      <w:r w:rsidRPr="00254753">
        <w:t>Nationalökonomen wie N. Kontratieff und, auf dessen Arbeit aufbauend, J. Schumpeter,</w:t>
      </w:r>
      <w:r w:rsidRPr="00254753">
        <w:rPr>
          <w:spacing w:val="-2"/>
        </w:rPr>
        <w:t xml:space="preserve"> </w:t>
      </w:r>
      <w:r w:rsidRPr="00254753">
        <w:t>haben</w:t>
      </w:r>
      <w:r w:rsidRPr="00254753">
        <w:rPr>
          <w:spacing w:val="-3"/>
        </w:rPr>
        <w:t xml:space="preserve"> </w:t>
      </w:r>
      <w:r w:rsidRPr="00254753">
        <w:t>den</w:t>
      </w:r>
      <w:r w:rsidRPr="00254753">
        <w:rPr>
          <w:spacing w:val="-3"/>
        </w:rPr>
        <w:t xml:space="preserve"> </w:t>
      </w:r>
      <w:r w:rsidRPr="00254753">
        <w:t>ungleichmäßigen Verlauf zahlreicher weltwirtschaftlicher Phänomene (insb. Wirtschaftswachstum) als regelhaft beschrieben und versucht, deren Zyklizität mit Hilfe der „Theorie der langen Wellen“ zu erklären: Demnach lösen das Wirksamwerden und schließlich die Erschöpfung von Basisinnovationen (z.B. Webstuhl, Dampfmaschine, Telefon, elektronische Datenverarbeitung) am Markt die charakteristischen wellenförmigen Phasen ökonomischen Auf- und Abschwungs aus. Da diese auf der weltwirtschaftlichen Ebene angesiedelten Phänomene mit einer durchschnittlichen Dauer von 50 bis 60 Jahren weit länger ausfallen als Konjunkturzyklen (= volkswirtschaftliche Ebene) und Produktlebenszyklen (= betriebswirtschaftliche Ebene), spricht man auch</w:t>
      </w:r>
      <w:r w:rsidR="00254753">
        <w:t xml:space="preserve"> von Langen Wellen</w:t>
      </w:r>
      <w:r w:rsidRPr="00254753">
        <w:t>.</w:t>
      </w:r>
    </w:p>
    <w:p w14:paraId="1E4BB90B" w14:textId="77777777" w:rsidR="00254753" w:rsidRPr="00254753" w:rsidRDefault="00254753" w:rsidP="00500190">
      <w:pPr>
        <w:pStyle w:val="StandardText"/>
      </w:pPr>
    </w:p>
    <w:p w14:paraId="5A06A254" w14:textId="77777777" w:rsidR="00FF7799" w:rsidRPr="00E73F6F" w:rsidRDefault="00FF7799" w:rsidP="00500190">
      <w:pPr>
        <w:pStyle w:val="StandardText"/>
      </w:pPr>
      <w:r w:rsidRPr="00E73F6F">
        <w:t>Schwachpunkte der</w:t>
      </w:r>
      <w:r w:rsidRPr="00E73F6F">
        <w:rPr>
          <w:spacing w:val="-1"/>
        </w:rPr>
        <w:t xml:space="preserve"> </w:t>
      </w:r>
      <w:r w:rsidRPr="00E73F6F">
        <w:t>Theorie</w:t>
      </w:r>
      <w:r w:rsidRPr="00E73F6F">
        <w:rPr>
          <w:spacing w:val="-2"/>
        </w:rPr>
        <w:t xml:space="preserve"> </w:t>
      </w:r>
      <w:r w:rsidRPr="00E73F6F">
        <w:t>der</w:t>
      </w:r>
      <w:r w:rsidRPr="00E73F6F">
        <w:rPr>
          <w:spacing w:val="-3"/>
        </w:rPr>
        <w:t xml:space="preserve"> </w:t>
      </w:r>
      <w:r w:rsidRPr="00E73F6F">
        <w:t>Langen Wellen</w:t>
      </w:r>
      <w:r w:rsidRPr="00E73F6F">
        <w:rPr>
          <w:spacing w:val="-1"/>
        </w:rPr>
        <w:t xml:space="preserve"> </w:t>
      </w:r>
      <w:r w:rsidRPr="00E73F6F">
        <w:t>sind</w:t>
      </w:r>
      <w:r w:rsidRPr="00E73F6F">
        <w:rPr>
          <w:spacing w:val="-2"/>
        </w:rPr>
        <w:t xml:space="preserve"> </w:t>
      </w:r>
      <w:r w:rsidRPr="00E73F6F">
        <w:t>nach</w:t>
      </w:r>
      <w:r w:rsidRPr="00E73F6F">
        <w:rPr>
          <w:spacing w:val="-1"/>
        </w:rPr>
        <w:t xml:space="preserve"> </w:t>
      </w:r>
      <w:r w:rsidRPr="00E73F6F">
        <w:t>Heß</w:t>
      </w:r>
      <w:r w:rsidRPr="00E73F6F">
        <w:rPr>
          <w:spacing w:val="-2"/>
        </w:rPr>
        <w:t xml:space="preserve"> </w:t>
      </w:r>
      <w:r w:rsidRPr="00E73F6F">
        <w:t>(2006)</w:t>
      </w:r>
      <w:r w:rsidRPr="00E73F6F">
        <w:rPr>
          <w:spacing w:val="-1"/>
        </w:rPr>
        <w:t xml:space="preserve"> </w:t>
      </w:r>
      <w:r w:rsidRPr="00E73F6F">
        <w:rPr>
          <w:spacing w:val="-10"/>
        </w:rPr>
        <w:t>…</w:t>
      </w:r>
    </w:p>
    <w:p w14:paraId="4B8E475B" w14:textId="77777777" w:rsidR="00FF7799" w:rsidRPr="00E73F6F" w:rsidRDefault="00FF7799" w:rsidP="008A2FFC">
      <w:pPr>
        <w:pStyle w:val="StandardTextAufzhlung"/>
        <w:ind w:left="426"/>
      </w:pPr>
      <w:r w:rsidRPr="00E73F6F">
        <w:lastRenderedPageBreak/>
        <w:t>die Annahme</w:t>
      </w:r>
      <w:r w:rsidRPr="00E73F6F">
        <w:rPr>
          <w:spacing w:val="-2"/>
        </w:rPr>
        <w:t xml:space="preserve"> </w:t>
      </w:r>
      <w:r w:rsidRPr="00E73F6F">
        <w:t>der Zyklizität (d.h.</w:t>
      </w:r>
      <w:r w:rsidRPr="00E73F6F">
        <w:rPr>
          <w:spacing w:val="-1"/>
        </w:rPr>
        <w:t xml:space="preserve"> </w:t>
      </w:r>
      <w:r w:rsidRPr="00E73F6F">
        <w:t>wellenförmiger,</w:t>
      </w:r>
      <w:r w:rsidRPr="00E73F6F">
        <w:rPr>
          <w:spacing w:val="-1"/>
        </w:rPr>
        <w:t xml:space="preserve"> </w:t>
      </w:r>
      <w:r w:rsidRPr="00E73F6F">
        <w:t>gleichförmiger</w:t>
      </w:r>
      <w:r w:rsidRPr="00E73F6F">
        <w:rPr>
          <w:spacing w:val="-2"/>
        </w:rPr>
        <w:t xml:space="preserve"> </w:t>
      </w:r>
      <w:r w:rsidRPr="00E73F6F">
        <w:t>Verlauf von Aufschwung- und Abschwungphasen),</w:t>
      </w:r>
    </w:p>
    <w:p w14:paraId="2C545BE8" w14:textId="77777777" w:rsidR="00FF7799" w:rsidRPr="00E73F6F" w:rsidRDefault="00FF7799" w:rsidP="008A2FFC">
      <w:pPr>
        <w:pStyle w:val="StandardTextAufzhlung"/>
        <w:ind w:left="426"/>
      </w:pPr>
      <w:r w:rsidRPr="00E73F6F">
        <w:t>die</w:t>
      </w:r>
      <w:r w:rsidRPr="00E73F6F">
        <w:rPr>
          <w:spacing w:val="-2"/>
        </w:rPr>
        <w:t xml:space="preserve"> </w:t>
      </w:r>
      <w:r w:rsidRPr="00E73F6F">
        <w:t>Festlegung</w:t>
      </w:r>
      <w:r w:rsidRPr="00E73F6F">
        <w:rPr>
          <w:spacing w:val="-2"/>
        </w:rPr>
        <w:t xml:space="preserve"> </w:t>
      </w:r>
      <w:r w:rsidRPr="00E73F6F">
        <w:t>der</w:t>
      </w:r>
      <w:r w:rsidRPr="00E73F6F">
        <w:rPr>
          <w:spacing w:val="-1"/>
        </w:rPr>
        <w:t xml:space="preserve"> </w:t>
      </w:r>
      <w:r w:rsidRPr="00E73F6F">
        <w:t>Dauer</w:t>
      </w:r>
      <w:r w:rsidRPr="00E73F6F">
        <w:rPr>
          <w:spacing w:val="-4"/>
        </w:rPr>
        <w:t xml:space="preserve"> </w:t>
      </w:r>
      <w:r w:rsidRPr="00E73F6F">
        <w:t>der</w:t>
      </w:r>
      <w:r w:rsidRPr="00E73F6F">
        <w:rPr>
          <w:spacing w:val="-1"/>
        </w:rPr>
        <w:t xml:space="preserve"> </w:t>
      </w:r>
      <w:r w:rsidRPr="00E73F6F">
        <w:t>Wellen (50</w:t>
      </w:r>
      <w:r w:rsidRPr="00E73F6F">
        <w:rPr>
          <w:spacing w:val="-1"/>
        </w:rPr>
        <w:t xml:space="preserve"> </w:t>
      </w:r>
      <w:r w:rsidRPr="00E73F6F">
        <w:t>bis</w:t>
      </w:r>
      <w:r w:rsidRPr="00E73F6F">
        <w:rPr>
          <w:spacing w:val="-1"/>
        </w:rPr>
        <w:t xml:space="preserve"> </w:t>
      </w:r>
      <w:r w:rsidRPr="00E73F6F">
        <w:t>60 Jahre)</w:t>
      </w:r>
      <w:r w:rsidRPr="00E73F6F">
        <w:rPr>
          <w:spacing w:val="-1"/>
        </w:rPr>
        <w:t xml:space="preserve"> </w:t>
      </w:r>
      <w:r w:rsidRPr="00E73F6F">
        <w:rPr>
          <w:spacing w:val="-5"/>
        </w:rPr>
        <w:t>und</w:t>
      </w:r>
    </w:p>
    <w:p w14:paraId="3B5691B2" w14:textId="77777777" w:rsidR="00FF7799" w:rsidRPr="00E73F6F" w:rsidRDefault="004A28F6" w:rsidP="008A2FFC">
      <w:pPr>
        <w:pStyle w:val="StandardTextAufzhlung"/>
        <w:ind w:left="426"/>
      </w:pPr>
      <w:r w:rsidRPr="00E73F6F">
        <w:t>der</w:t>
      </w:r>
      <w:r w:rsidR="00FF7799" w:rsidRPr="00E73F6F">
        <w:t xml:space="preserve"> technologische Determinismus, welchen diese Theorie impliziert: wirtschaftlicher Wandel als eine Funktion der Mächtigkeit von </w:t>
      </w:r>
      <w:r w:rsidR="00FF7799" w:rsidRPr="00E73F6F">
        <w:rPr>
          <w:spacing w:val="-2"/>
        </w:rPr>
        <w:t>Basisinnovationen</w:t>
      </w:r>
    </w:p>
    <w:p w14:paraId="03203F45" w14:textId="77777777" w:rsidR="00FF7799" w:rsidRPr="00E73F6F" w:rsidRDefault="00FF7799" w:rsidP="00862DBA">
      <w:pPr>
        <w:rPr>
          <w:sz w:val="24"/>
          <w:szCs w:val="24"/>
        </w:rPr>
      </w:pPr>
    </w:p>
    <w:p w14:paraId="0727F93C" w14:textId="77777777" w:rsidR="00FF7799" w:rsidRPr="006B69DC" w:rsidRDefault="00FF7799" w:rsidP="00500190">
      <w:pPr>
        <w:pStyle w:val="StandardTextkursiv"/>
        <w:rPr>
          <w:i w:val="0"/>
        </w:rPr>
      </w:pPr>
      <w:r w:rsidRPr="006B69DC">
        <w:rPr>
          <w:i w:val="0"/>
        </w:rPr>
        <w:t>7</w:t>
      </w:r>
      <w:r w:rsidRPr="006B69DC">
        <w:rPr>
          <w:i w:val="0"/>
          <w:spacing w:val="44"/>
        </w:rPr>
        <w:t xml:space="preserve"> </w:t>
      </w:r>
      <w:r w:rsidRPr="006B69DC">
        <w:rPr>
          <w:i w:val="0"/>
        </w:rPr>
        <w:t>Theologischer Determinismus</w:t>
      </w:r>
    </w:p>
    <w:p w14:paraId="23912AFF" w14:textId="77777777" w:rsidR="00FF7799" w:rsidRPr="00E73F6F" w:rsidRDefault="00FF7799" w:rsidP="005567BA">
      <w:pPr>
        <w:pStyle w:val="StandardText"/>
      </w:pPr>
      <w:r w:rsidRPr="00E73F6F">
        <w:t>Der von den theistischen Religionen vertretene theologische Determinismus versteht die Vorbestimmtheit der menschlichen Existenz Konsequenz der Allwissenheit und Allmacht Gottes.</w:t>
      </w:r>
    </w:p>
    <w:p w14:paraId="132B4BF3" w14:textId="77777777" w:rsidR="00FF7799" w:rsidRPr="006B69DC" w:rsidRDefault="00FF7799" w:rsidP="005567BA">
      <w:pPr>
        <w:pStyle w:val="StandardText"/>
        <w:rPr>
          <w:sz w:val="22"/>
          <w:szCs w:val="22"/>
          <w:lang w:val="en-US"/>
        </w:rPr>
      </w:pPr>
      <w:r w:rsidRPr="00035E56">
        <w:rPr>
          <w:b/>
          <w:i/>
          <w:sz w:val="22"/>
          <w:szCs w:val="22"/>
        </w:rPr>
        <w:t>Literatur:</w:t>
      </w:r>
      <w:r w:rsidRPr="006B69DC">
        <w:rPr>
          <w:b/>
          <w:i/>
          <w:spacing w:val="-10"/>
          <w:sz w:val="22"/>
          <w:szCs w:val="22"/>
        </w:rPr>
        <w:t xml:space="preserve"> </w:t>
      </w:r>
      <w:r w:rsidRPr="006B69DC">
        <w:rPr>
          <w:sz w:val="22"/>
          <w:szCs w:val="22"/>
        </w:rPr>
        <w:t>Asendorpf,</w:t>
      </w:r>
      <w:r w:rsidRPr="006B69DC">
        <w:rPr>
          <w:spacing w:val="-10"/>
          <w:sz w:val="22"/>
          <w:szCs w:val="22"/>
        </w:rPr>
        <w:t xml:space="preserve"> </w:t>
      </w:r>
      <w:r w:rsidRPr="006B69DC">
        <w:rPr>
          <w:sz w:val="22"/>
          <w:szCs w:val="22"/>
        </w:rPr>
        <w:t>J.B.</w:t>
      </w:r>
      <w:r w:rsidRPr="006B69DC">
        <w:rPr>
          <w:spacing w:val="-6"/>
          <w:sz w:val="22"/>
          <w:szCs w:val="22"/>
        </w:rPr>
        <w:t xml:space="preserve"> </w:t>
      </w:r>
      <w:r w:rsidRPr="006B69DC">
        <w:rPr>
          <w:sz w:val="22"/>
          <w:szCs w:val="22"/>
        </w:rPr>
        <w:t>(2004):</w:t>
      </w:r>
      <w:r w:rsidRPr="006B69DC">
        <w:rPr>
          <w:spacing w:val="-6"/>
          <w:sz w:val="22"/>
          <w:szCs w:val="22"/>
        </w:rPr>
        <w:t xml:space="preserve"> </w:t>
      </w:r>
      <w:r w:rsidRPr="006B69DC">
        <w:rPr>
          <w:sz w:val="22"/>
          <w:szCs w:val="22"/>
        </w:rPr>
        <w:t>Psychologie</w:t>
      </w:r>
      <w:r w:rsidRPr="006B69DC">
        <w:rPr>
          <w:spacing w:val="-9"/>
          <w:sz w:val="22"/>
          <w:szCs w:val="22"/>
        </w:rPr>
        <w:t xml:space="preserve"> </w:t>
      </w:r>
      <w:r w:rsidRPr="006B69DC">
        <w:rPr>
          <w:sz w:val="22"/>
          <w:szCs w:val="22"/>
        </w:rPr>
        <w:t>der</w:t>
      </w:r>
      <w:r w:rsidRPr="006B69DC">
        <w:rPr>
          <w:spacing w:val="-8"/>
          <w:sz w:val="22"/>
          <w:szCs w:val="22"/>
        </w:rPr>
        <w:t xml:space="preserve"> </w:t>
      </w:r>
      <w:r w:rsidRPr="006B69DC">
        <w:rPr>
          <w:sz w:val="22"/>
          <w:szCs w:val="22"/>
        </w:rPr>
        <w:t>Persönlichkeit,</w:t>
      </w:r>
      <w:r w:rsidRPr="006B69DC">
        <w:rPr>
          <w:spacing w:val="-7"/>
          <w:sz w:val="22"/>
          <w:szCs w:val="22"/>
        </w:rPr>
        <w:t xml:space="preserve"> </w:t>
      </w:r>
      <w:r w:rsidRPr="006B69DC">
        <w:rPr>
          <w:sz w:val="22"/>
          <w:szCs w:val="22"/>
        </w:rPr>
        <w:t>3.Aufl.,</w:t>
      </w:r>
      <w:r w:rsidRPr="006B69DC">
        <w:rPr>
          <w:spacing w:val="-10"/>
          <w:sz w:val="22"/>
          <w:szCs w:val="22"/>
        </w:rPr>
        <w:t xml:space="preserve"> </w:t>
      </w:r>
      <w:r w:rsidRPr="006B69DC">
        <w:rPr>
          <w:sz w:val="22"/>
          <w:szCs w:val="22"/>
        </w:rPr>
        <w:t>Berlin:</w:t>
      </w:r>
      <w:r w:rsidRPr="006B69DC">
        <w:rPr>
          <w:spacing w:val="-7"/>
          <w:sz w:val="22"/>
          <w:szCs w:val="22"/>
        </w:rPr>
        <w:t xml:space="preserve"> </w:t>
      </w:r>
      <w:r w:rsidRPr="006B69DC">
        <w:rPr>
          <w:sz w:val="22"/>
          <w:szCs w:val="22"/>
        </w:rPr>
        <w:t>Springer.</w:t>
      </w:r>
      <w:r w:rsidRPr="006B69DC">
        <w:rPr>
          <w:spacing w:val="40"/>
          <w:sz w:val="22"/>
          <w:szCs w:val="22"/>
        </w:rPr>
        <w:t xml:space="preserve"> </w:t>
      </w:r>
      <w:r w:rsidRPr="006B69DC">
        <w:rPr>
          <w:sz w:val="22"/>
          <w:szCs w:val="22"/>
        </w:rPr>
        <w:t>Bartens, W. (1999): Die Tyrannei der Gene. Wie die Gentechnik unser Denken verändert,</w:t>
      </w:r>
      <w:r w:rsidRPr="006B69DC">
        <w:rPr>
          <w:spacing w:val="40"/>
          <w:sz w:val="22"/>
          <w:szCs w:val="22"/>
        </w:rPr>
        <w:t xml:space="preserve"> </w:t>
      </w:r>
      <w:r w:rsidRPr="006B69DC">
        <w:rPr>
          <w:sz w:val="22"/>
          <w:szCs w:val="22"/>
        </w:rPr>
        <w:t>München: Blessing.</w:t>
      </w:r>
      <w:r w:rsidRPr="006B69DC">
        <w:rPr>
          <w:spacing w:val="40"/>
          <w:sz w:val="22"/>
          <w:szCs w:val="22"/>
        </w:rPr>
        <w:t xml:space="preserve"> </w:t>
      </w:r>
      <w:r w:rsidRPr="006B69DC">
        <w:rPr>
          <w:sz w:val="22"/>
          <w:szCs w:val="22"/>
          <w:lang w:val="en-US"/>
        </w:rPr>
        <w:t>Cavalli-Sforza,</w:t>
      </w:r>
      <w:r w:rsidRPr="006B69DC">
        <w:rPr>
          <w:spacing w:val="-1"/>
          <w:sz w:val="22"/>
          <w:szCs w:val="22"/>
          <w:lang w:val="en-US"/>
        </w:rPr>
        <w:t xml:space="preserve"> </w:t>
      </w:r>
      <w:r w:rsidRPr="006B69DC">
        <w:rPr>
          <w:sz w:val="22"/>
          <w:szCs w:val="22"/>
          <w:lang w:val="en-US"/>
        </w:rPr>
        <w:t>L.L.; Menozzi, P.; Piazza, A. (1994): The History and</w:t>
      </w:r>
      <w:r w:rsidRPr="006B69DC">
        <w:rPr>
          <w:spacing w:val="40"/>
          <w:sz w:val="22"/>
          <w:szCs w:val="22"/>
          <w:lang w:val="en-US"/>
        </w:rPr>
        <w:t xml:space="preserve"> </w:t>
      </w:r>
      <w:r w:rsidRPr="006B69DC">
        <w:rPr>
          <w:sz w:val="22"/>
          <w:szCs w:val="22"/>
          <w:lang w:val="en-US"/>
        </w:rPr>
        <w:t>Geography of Human Genes, Princeton/NJ: Princeton University Press.</w:t>
      </w:r>
      <w:r w:rsidRPr="006B69DC">
        <w:rPr>
          <w:spacing w:val="40"/>
          <w:sz w:val="22"/>
          <w:szCs w:val="22"/>
          <w:lang w:val="en-US"/>
        </w:rPr>
        <w:t xml:space="preserve"> </w:t>
      </w:r>
      <w:r w:rsidRPr="006B69DC">
        <w:rPr>
          <w:sz w:val="22"/>
          <w:szCs w:val="22"/>
        </w:rPr>
        <w:t>Budke, A. (2005):</w:t>
      </w:r>
      <w:r w:rsidRPr="006B69DC">
        <w:rPr>
          <w:spacing w:val="40"/>
          <w:sz w:val="22"/>
          <w:szCs w:val="22"/>
        </w:rPr>
        <w:t xml:space="preserve"> </w:t>
      </w:r>
      <w:r w:rsidRPr="006B69DC">
        <w:rPr>
          <w:sz w:val="22"/>
          <w:szCs w:val="22"/>
        </w:rPr>
        <w:t>Warum herrscht Armut in Äthiopien? Praxis Geographie, 35(7-8): 40-43.</w:t>
      </w:r>
      <w:r w:rsidRPr="006B69DC">
        <w:rPr>
          <w:spacing w:val="40"/>
          <w:sz w:val="22"/>
          <w:szCs w:val="22"/>
        </w:rPr>
        <w:t xml:space="preserve"> </w:t>
      </w:r>
      <w:r w:rsidRPr="006B69DC">
        <w:rPr>
          <w:sz w:val="22"/>
          <w:szCs w:val="22"/>
        </w:rPr>
        <w:t>Freeman, D.</w:t>
      </w:r>
      <w:r w:rsidRPr="006B69DC">
        <w:rPr>
          <w:spacing w:val="40"/>
          <w:sz w:val="22"/>
          <w:szCs w:val="22"/>
        </w:rPr>
        <w:t xml:space="preserve"> </w:t>
      </w:r>
      <w:r w:rsidRPr="006B69DC">
        <w:rPr>
          <w:sz w:val="22"/>
          <w:szCs w:val="22"/>
        </w:rPr>
        <w:t>(1983):</w:t>
      </w:r>
      <w:r w:rsidRPr="006B69DC">
        <w:rPr>
          <w:spacing w:val="-10"/>
          <w:sz w:val="22"/>
          <w:szCs w:val="22"/>
        </w:rPr>
        <w:t xml:space="preserve"> </w:t>
      </w:r>
      <w:r w:rsidRPr="006B69DC">
        <w:rPr>
          <w:sz w:val="22"/>
          <w:szCs w:val="22"/>
        </w:rPr>
        <w:t>Margaret</w:t>
      </w:r>
      <w:r w:rsidRPr="006B69DC">
        <w:rPr>
          <w:spacing w:val="-10"/>
          <w:sz w:val="22"/>
          <w:szCs w:val="22"/>
        </w:rPr>
        <w:t xml:space="preserve"> </w:t>
      </w:r>
      <w:r w:rsidRPr="006B69DC">
        <w:rPr>
          <w:sz w:val="22"/>
          <w:szCs w:val="22"/>
        </w:rPr>
        <w:t>Mead</w:t>
      </w:r>
      <w:r w:rsidRPr="006B69DC">
        <w:rPr>
          <w:spacing w:val="-10"/>
          <w:sz w:val="22"/>
          <w:szCs w:val="22"/>
        </w:rPr>
        <w:t xml:space="preserve"> </w:t>
      </w:r>
      <w:r w:rsidRPr="006B69DC">
        <w:rPr>
          <w:sz w:val="22"/>
          <w:szCs w:val="22"/>
        </w:rPr>
        <w:t>and</w:t>
      </w:r>
      <w:r w:rsidRPr="006B69DC">
        <w:rPr>
          <w:spacing w:val="-8"/>
          <w:sz w:val="22"/>
          <w:szCs w:val="22"/>
        </w:rPr>
        <w:t xml:space="preserve"> </w:t>
      </w:r>
      <w:r w:rsidRPr="006B69DC">
        <w:rPr>
          <w:sz w:val="22"/>
          <w:szCs w:val="22"/>
        </w:rPr>
        <w:t>Samoa.</w:t>
      </w:r>
      <w:r w:rsidRPr="006B69DC">
        <w:rPr>
          <w:spacing w:val="-9"/>
          <w:sz w:val="22"/>
          <w:szCs w:val="22"/>
        </w:rPr>
        <w:t xml:space="preserve"> </w:t>
      </w:r>
      <w:r w:rsidRPr="006B69DC">
        <w:rPr>
          <w:sz w:val="22"/>
          <w:szCs w:val="22"/>
          <w:lang w:val="en-US"/>
        </w:rPr>
        <w:t>The</w:t>
      </w:r>
      <w:r w:rsidRPr="006B69DC">
        <w:rPr>
          <w:spacing w:val="-10"/>
          <w:sz w:val="22"/>
          <w:szCs w:val="22"/>
          <w:lang w:val="en-US"/>
        </w:rPr>
        <w:t xml:space="preserve"> </w:t>
      </w:r>
      <w:r w:rsidRPr="006B69DC">
        <w:rPr>
          <w:sz w:val="22"/>
          <w:szCs w:val="22"/>
          <w:lang w:val="en-US"/>
        </w:rPr>
        <w:t>Making</w:t>
      </w:r>
      <w:r w:rsidRPr="006B69DC">
        <w:rPr>
          <w:spacing w:val="-10"/>
          <w:sz w:val="22"/>
          <w:szCs w:val="22"/>
          <w:lang w:val="en-US"/>
        </w:rPr>
        <w:t xml:space="preserve"> </w:t>
      </w:r>
      <w:r w:rsidRPr="006B69DC">
        <w:rPr>
          <w:sz w:val="22"/>
          <w:szCs w:val="22"/>
          <w:lang w:val="en-US"/>
        </w:rPr>
        <w:t>and</w:t>
      </w:r>
      <w:r w:rsidRPr="006B69DC">
        <w:rPr>
          <w:spacing w:val="-8"/>
          <w:sz w:val="22"/>
          <w:szCs w:val="22"/>
          <w:lang w:val="en-US"/>
        </w:rPr>
        <w:t xml:space="preserve"> </w:t>
      </w:r>
      <w:r w:rsidRPr="006B69DC">
        <w:rPr>
          <w:sz w:val="22"/>
          <w:szCs w:val="22"/>
          <w:lang w:val="en-US"/>
        </w:rPr>
        <w:t>Unmaking</w:t>
      </w:r>
      <w:r w:rsidRPr="006B69DC">
        <w:rPr>
          <w:spacing w:val="-10"/>
          <w:sz w:val="22"/>
          <w:szCs w:val="22"/>
          <w:lang w:val="en-US"/>
        </w:rPr>
        <w:t xml:space="preserve"> </w:t>
      </w:r>
      <w:r w:rsidRPr="006B69DC">
        <w:rPr>
          <w:sz w:val="22"/>
          <w:szCs w:val="22"/>
          <w:lang w:val="en-US"/>
        </w:rPr>
        <w:t>of</w:t>
      </w:r>
      <w:r w:rsidRPr="006B69DC">
        <w:rPr>
          <w:spacing w:val="-10"/>
          <w:sz w:val="22"/>
          <w:szCs w:val="22"/>
          <w:lang w:val="en-US"/>
        </w:rPr>
        <w:t xml:space="preserve"> </w:t>
      </w:r>
      <w:r w:rsidRPr="006B69DC">
        <w:rPr>
          <w:sz w:val="22"/>
          <w:szCs w:val="22"/>
          <w:lang w:val="en-US"/>
        </w:rPr>
        <w:t>an</w:t>
      </w:r>
      <w:r w:rsidRPr="006B69DC">
        <w:rPr>
          <w:spacing w:val="-8"/>
          <w:sz w:val="22"/>
          <w:szCs w:val="22"/>
          <w:lang w:val="en-US"/>
        </w:rPr>
        <w:t xml:space="preserve"> </w:t>
      </w:r>
      <w:r w:rsidRPr="006B69DC">
        <w:rPr>
          <w:sz w:val="22"/>
          <w:szCs w:val="22"/>
          <w:lang w:val="en-US"/>
        </w:rPr>
        <w:t>Anthropological</w:t>
      </w:r>
      <w:r w:rsidRPr="006B69DC">
        <w:rPr>
          <w:spacing w:val="-10"/>
          <w:sz w:val="22"/>
          <w:szCs w:val="22"/>
          <w:lang w:val="en-US"/>
        </w:rPr>
        <w:t xml:space="preserve"> </w:t>
      </w:r>
      <w:r w:rsidR="006B69DC" w:rsidRPr="006B69DC">
        <w:rPr>
          <w:sz w:val="22"/>
          <w:szCs w:val="22"/>
          <w:lang w:val="en-US"/>
        </w:rPr>
        <w:t xml:space="preserve">Myth, </w:t>
      </w:r>
      <w:r w:rsidRPr="006B69DC">
        <w:rPr>
          <w:sz w:val="22"/>
          <w:szCs w:val="22"/>
          <w:lang w:val="en-US"/>
        </w:rPr>
        <w:t>Cambridge/MA:</w:t>
      </w:r>
      <w:r w:rsidRPr="006B69DC">
        <w:rPr>
          <w:spacing w:val="-4"/>
          <w:sz w:val="22"/>
          <w:szCs w:val="22"/>
          <w:lang w:val="en-US"/>
        </w:rPr>
        <w:t xml:space="preserve"> </w:t>
      </w:r>
      <w:r w:rsidRPr="006B69DC">
        <w:rPr>
          <w:sz w:val="22"/>
          <w:szCs w:val="22"/>
          <w:lang w:val="en-US"/>
        </w:rPr>
        <w:t>Harvard</w:t>
      </w:r>
      <w:r w:rsidRPr="006B69DC">
        <w:rPr>
          <w:spacing w:val="-4"/>
          <w:sz w:val="22"/>
          <w:szCs w:val="22"/>
          <w:lang w:val="en-US"/>
        </w:rPr>
        <w:t xml:space="preserve"> </w:t>
      </w:r>
      <w:r w:rsidRPr="006B69DC">
        <w:rPr>
          <w:sz w:val="22"/>
          <w:szCs w:val="22"/>
          <w:lang w:val="en-US"/>
        </w:rPr>
        <w:t>University</w:t>
      </w:r>
      <w:r w:rsidRPr="006B69DC">
        <w:rPr>
          <w:spacing w:val="-6"/>
          <w:sz w:val="22"/>
          <w:szCs w:val="22"/>
          <w:lang w:val="en-US"/>
        </w:rPr>
        <w:t xml:space="preserve"> </w:t>
      </w:r>
      <w:r w:rsidRPr="006B69DC">
        <w:rPr>
          <w:sz w:val="22"/>
          <w:szCs w:val="22"/>
          <w:lang w:val="en-US"/>
        </w:rPr>
        <w:t>Press.</w:t>
      </w:r>
      <w:r w:rsidRPr="006B69DC">
        <w:rPr>
          <w:spacing w:val="40"/>
          <w:sz w:val="22"/>
          <w:szCs w:val="22"/>
          <w:lang w:val="en-US"/>
        </w:rPr>
        <w:t xml:space="preserve"> </w:t>
      </w:r>
      <w:r w:rsidRPr="006B69DC">
        <w:rPr>
          <w:sz w:val="22"/>
          <w:szCs w:val="22"/>
        </w:rPr>
        <w:t>Heß,</w:t>
      </w:r>
      <w:r w:rsidRPr="006B69DC">
        <w:rPr>
          <w:spacing w:val="-5"/>
          <w:sz w:val="22"/>
          <w:szCs w:val="22"/>
        </w:rPr>
        <w:t xml:space="preserve"> </w:t>
      </w:r>
      <w:r w:rsidRPr="006B69DC">
        <w:rPr>
          <w:sz w:val="22"/>
          <w:szCs w:val="22"/>
        </w:rPr>
        <w:t>M.</w:t>
      </w:r>
      <w:r w:rsidRPr="006B69DC">
        <w:rPr>
          <w:spacing w:val="-2"/>
          <w:sz w:val="22"/>
          <w:szCs w:val="22"/>
        </w:rPr>
        <w:t xml:space="preserve"> </w:t>
      </w:r>
      <w:r w:rsidRPr="006B69DC">
        <w:rPr>
          <w:sz w:val="22"/>
          <w:szCs w:val="22"/>
        </w:rPr>
        <w:t>(2006):</w:t>
      </w:r>
      <w:r w:rsidRPr="006B69DC">
        <w:rPr>
          <w:spacing w:val="-2"/>
          <w:sz w:val="22"/>
          <w:szCs w:val="22"/>
        </w:rPr>
        <w:t xml:space="preserve"> </w:t>
      </w:r>
      <w:r w:rsidRPr="006B69DC">
        <w:rPr>
          <w:sz w:val="22"/>
          <w:szCs w:val="22"/>
        </w:rPr>
        <w:t>Wirtschaftliche</w:t>
      </w:r>
      <w:r w:rsidRPr="006B69DC">
        <w:rPr>
          <w:spacing w:val="-5"/>
          <w:sz w:val="22"/>
          <w:szCs w:val="22"/>
        </w:rPr>
        <w:t xml:space="preserve"> </w:t>
      </w:r>
      <w:r w:rsidRPr="006B69DC">
        <w:rPr>
          <w:sz w:val="22"/>
          <w:szCs w:val="22"/>
        </w:rPr>
        <w:t>Aktivitäten</w:t>
      </w:r>
      <w:r w:rsidRPr="006B69DC">
        <w:rPr>
          <w:spacing w:val="-4"/>
          <w:sz w:val="22"/>
          <w:szCs w:val="22"/>
        </w:rPr>
        <w:t xml:space="preserve"> </w:t>
      </w:r>
      <w:r w:rsidRPr="006B69DC">
        <w:rPr>
          <w:sz w:val="22"/>
          <w:szCs w:val="22"/>
        </w:rPr>
        <w:t>im</w:t>
      </w:r>
      <w:r w:rsidRPr="006B69DC">
        <w:rPr>
          <w:spacing w:val="40"/>
          <w:sz w:val="22"/>
          <w:szCs w:val="22"/>
        </w:rPr>
        <w:t xml:space="preserve"> </w:t>
      </w:r>
      <w:r w:rsidRPr="006B69DC">
        <w:rPr>
          <w:sz w:val="22"/>
          <w:szCs w:val="22"/>
        </w:rPr>
        <w:t>Wandel, in: Haas, H.-D., Neumair, S.-M. (Hrsg.), Internationale Wirtschaft.</w:t>
      </w:r>
      <w:r w:rsidRPr="006B69DC">
        <w:rPr>
          <w:spacing w:val="40"/>
          <w:sz w:val="22"/>
          <w:szCs w:val="22"/>
        </w:rPr>
        <w:t xml:space="preserve"> </w:t>
      </w:r>
      <w:r w:rsidRPr="006B69DC">
        <w:rPr>
          <w:sz w:val="22"/>
          <w:szCs w:val="22"/>
        </w:rPr>
        <w:t>Rahmenbedingungen, Akteure, räumliche Prozesse, 17-40, München: Oldenbourg.</w:t>
      </w:r>
      <w:r w:rsidRPr="006B69DC">
        <w:rPr>
          <w:spacing w:val="40"/>
          <w:sz w:val="22"/>
          <w:szCs w:val="22"/>
        </w:rPr>
        <w:t xml:space="preserve"> </w:t>
      </w:r>
      <w:r w:rsidRPr="006B69DC">
        <w:rPr>
          <w:sz w:val="22"/>
          <w:szCs w:val="22"/>
        </w:rPr>
        <w:t>Honderich, T. (1995): Wie frei sind wir? Das Determinismus-Problem, Stuttgart: Reclam.</w:t>
      </w:r>
      <w:r w:rsidRPr="006B69DC">
        <w:rPr>
          <w:spacing w:val="40"/>
          <w:sz w:val="22"/>
          <w:szCs w:val="22"/>
        </w:rPr>
        <w:t xml:space="preserve"> </w:t>
      </w:r>
      <w:r w:rsidRPr="006B69DC">
        <w:rPr>
          <w:sz w:val="22"/>
          <w:szCs w:val="22"/>
        </w:rPr>
        <w:t>Keller,</w:t>
      </w:r>
      <w:r w:rsidRPr="006B69DC">
        <w:rPr>
          <w:spacing w:val="-6"/>
          <w:sz w:val="22"/>
          <w:szCs w:val="22"/>
        </w:rPr>
        <w:t xml:space="preserve"> </w:t>
      </w:r>
      <w:r w:rsidRPr="006B69DC">
        <w:rPr>
          <w:sz w:val="22"/>
          <w:szCs w:val="22"/>
        </w:rPr>
        <w:t>E.F.</w:t>
      </w:r>
      <w:r w:rsidRPr="006B69DC">
        <w:rPr>
          <w:spacing w:val="-6"/>
          <w:sz w:val="22"/>
          <w:szCs w:val="22"/>
        </w:rPr>
        <w:t xml:space="preserve"> </w:t>
      </w:r>
      <w:r w:rsidRPr="006B69DC">
        <w:rPr>
          <w:sz w:val="22"/>
          <w:szCs w:val="22"/>
        </w:rPr>
        <w:t>(2001):</w:t>
      </w:r>
      <w:r w:rsidRPr="006B69DC">
        <w:rPr>
          <w:spacing w:val="-6"/>
          <w:sz w:val="22"/>
          <w:szCs w:val="22"/>
        </w:rPr>
        <w:t xml:space="preserve"> </w:t>
      </w:r>
      <w:r w:rsidRPr="006B69DC">
        <w:rPr>
          <w:sz w:val="22"/>
          <w:szCs w:val="22"/>
        </w:rPr>
        <w:t>Das</w:t>
      </w:r>
      <w:r w:rsidRPr="006B69DC">
        <w:rPr>
          <w:spacing w:val="-7"/>
          <w:sz w:val="22"/>
          <w:szCs w:val="22"/>
        </w:rPr>
        <w:t xml:space="preserve"> </w:t>
      </w:r>
      <w:r w:rsidRPr="006B69DC">
        <w:rPr>
          <w:sz w:val="22"/>
          <w:szCs w:val="22"/>
        </w:rPr>
        <w:t>Jahrhundert</w:t>
      </w:r>
      <w:r w:rsidRPr="006B69DC">
        <w:rPr>
          <w:spacing w:val="-6"/>
          <w:sz w:val="22"/>
          <w:szCs w:val="22"/>
        </w:rPr>
        <w:t xml:space="preserve"> </w:t>
      </w:r>
      <w:r w:rsidRPr="006B69DC">
        <w:rPr>
          <w:sz w:val="22"/>
          <w:szCs w:val="22"/>
        </w:rPr>
        <w:t>des</w:t>
      </w:r>
      <w:r w:rsidRPr="006B69DC">
        <w:rPr>
          <w:spacing w:val="-7"/>
          <w:sz w:val="22"/>
          <w:szCs w:val="22"/>
        </w:rPr>
        <w:t xml:space="preserve"> </w:t>
      </w:r>
      <w:r w:rsidRPr="006B69DC">
        <w:rPr>
          <w:sz w:val="22"/>
          <w:szCs w:val="22"/>
        </w:rPr>
        <w:t>Gens,</w:t>
      </w:r>
      <w:r w:rsidRPr="006B69DC">
        <w:rPr>
          <w:spacing w:val="-6"/>
          <w:sz w:val="22"/>
          <w:szCs w:val="22"/>
        </w:rPr>
        <w:t xml:space="preserve"> </w:t>
      </w:r>
      <w:r w:rsidRPr="006B69DC">
        <w:rPr>
          <w:sz w:val="22"/>
          <w:szCs w:val="22"/>
        </w:rPr>
        <w:t>Frankfurt/Main:</w:t>
      </w:r>
      <w:r w:rsidRPr="006B69DC">
        <w:rPr>
          <w:spacing w:val="-6"/>
          <w:sz w:val="22"/>
          <w:szCs w:val="22"/>
        </w:rPr>
        <w:t xml:space="preserve"> </w:t>
      </w:r>
      <w:r w:rsidRPr="006B69DC">
        <w:rPr>
          <w:sz w:val="22"/>
          <w:szCs w:val="22"/>
        </w:rPr>
        <w:t>Campus.</w:t>
      </w:r>
      <w:r w:rsidRPr="006B69DC">
        <w:rPr>
          <w:spacing w:val="40"/>
          <w:sz w:val="22"/>
          <w:szCs w:val="22"/>
        </w:rPr>
        <w:t xml:space="preserve"> </w:t>
      </w:r>
      <w:r w:rsidRPr="006B69DC">
        <w:rPr>
          <w:sz w:val="22"/>
          <w:szCs w:val="22"/>
        </w:rPr>
        <w:t>Lemke,</w:t>
      </w:r>
      <w:r w:rsidRPr="006B69DC">
        <w:rPr>
          <w:spacing w:val="-6"/>
          <w:sz w:val="22"/>
          <w:szCs w:val="22"/>
        </w:rPr>
        <w:t xml:space="preserve"> </w:t>
      </w:r>
      <w:r w:rsidRPr="006B69DC">
        <w:rPr>
          <w:sz w:val="22"/>
          <w:szCs w:val="22"/>
        </w:rPr>
        <w:t>T.</w:t>
      </w:r>
      <w:r w:rsidRPr="006B69DC">
        <w:rPr>
          <w:spacing w:val="-6"/>
          <w:sz w:val="22"/>
          <w:szCs w:val="22"/>
        </w:rPr>
        <w:t xml:space="preserve"> </w:t>
      </w:r>
      <w:r w:rsidRPr="006B69DC">
        <w:rPr>
          <w:sz w:val="22"/>
          <w:szCs w:val="22"/>
        </w:rPr>
        <w:t>(2011):</w:t>
      </w:r>
      <w:r w:rsidRPr="006B69DC">
        <w:rPr>
          <w:spacing w:val="40"/>
          <w:sz w:val="22"/>
          <w:szCs w:val="22"/>
        </w:rPr>
        <w:t xml:space="preserve"> </w:t>
      </w:r>
      <w:r w:rsidRPr="006B69DC">
        <w:rPr>
          <w:sz w:val="22"/>
          <w:szCs w:val="22"/>
        </w:rPr>
        <w:t>Mutationen des Gendiskurses. Der genetische Determinismus nach dem</w:t>
      </w:r>
      <w:r w:rsidRPr="006B69DC">
        <w:rPr>
          <w:spacing w:val="40"/>
          <w:sz w:val="22"/>
          <w:szCs w:val="22"/>
        </w:rPr>
        <w:t xml:space="preserve"> </w:t>
      </w:r>
      <w:r w:rsidRPr="006B69DC">
        <w:rPr>
          <w:sz w:val="22"/>
          <w:szCs w:val="22"/>
        </w:rPr>
        <w:t xml:space="preserve">Humangenomprojekt, </w:t>
      </w:r>
      <w:hyperlink r:id="rId34">
        <w:r w:rsidRPr="006B69DC">
          <w:rPr>
            <w:sz w:val="22"/>
            <w:szCs w:val="22"/>
            <w:u w:val="single"/>
          </w:rPr>
          <w:t>http://www.blue-genes.de/textarchiv/LEMKE.PDF</w:t>
        </w:r>
      </w:hyperlink>
      <w:r w:rsidRPr="006B69DC">
        <w:rPr>
          <w:sz w:val="22"/>
          <w:szCs w:val="22"/>
        </w:rPr>
        <w:t xml:space="preserve"> (11.06.2011).</w:t>
      </w:r>
      <w:r w:rsidRPr="006B69DC">
        <w:rPr>
          <w:spacing w:val="40"/>
          <w:sz w:val="22"/>
          <w:szCs w:val="22"/>
        </w:rPr>
        <w:t xml:space="preserve"> </w:t>
      </w:r>
      <w:r w:rsidRPr="006B69DC">
        <w:rPr>
          <w:sz w:val="22"/>
          <w:szCs w:val="22"/>
        </w:rPr>
        <w:t>Markl,</w:t>
      </w:r>
      <w:r w:rsidRPr="006B69DC">
        <w:rPr>
          <w:spacing w:val="-4"/>
          <w:sz w:val="22"/>
          <w:szCs w:val="22"/>
        </w:rPr>
        <w:t xml:space="preserve"> </w:t>
      </w:r>
      <w:r w:rsidRPr="006B69DC">
        <w:rPr>
          <w:sz w:val="22"/>
          <w:szCs w:val="22"/>
        </w:rPr>
        <w:t>H.</w:t>
      </w:r>
      <w:r w:rsidRPr="006B69DC">
        <w:rPr>
          <w:spacing w:val="-3"/>
          <w:sz w:val="22"/>
          <w:szCs w:val="22"/>
        </w:rPr>
        <w:t xml:space="preserve"> </w:t>
      </w:r>
      <w:r w:rsidRPr="006B69DC">
        <w:rPr>
          <w:sz w:val="22"/>
          <w:szCs w:val="22"/>
        </w:rPr>
        <w:t>(1998):</w:t>
      </w:r>
      <w:r w:rsidRPr="006B69DC">
        <w:rPr>
          <w:spacing w:val="-5"/>
          <w:sz w:val="22"/>
          <w:szCs w:val="22"/>
        </w:rPr>
        <w:t xml:space="preserve"> </w:t>
      </w:r>
      <w:r w:rsidRPr="006B69DC">
        <w:rPr>
          <w:sz w:val="22"/>
          <w:szCs w:val="22"/>
        </w:rPr>
        <w:t>Wissenschaft</w:t>
      </w:r>
      <w:r w:rsidRPr="006B69DC">
        <w:rPr>
          <w:spacing w:val="-6"/>
          <w:sz w:val="22"/>
          <w:szCs w:val="22"/>
        </w:rPr>
        <w:t xml:space="preserve"> </w:t>
      </w:r>
      <w:r w:rsidRPr="006B69DC">
        <w:rPr>
          <w:sz w:val="22"/>
          <w:szCs w:val="22"/>
        </w:rPr>
        <w:t>gegen</w:t>
      </w:r>
      <w:r w:rsidRPr="006B69DC">
        <w:rPr>
          <w:spacing w:val="-5"/>
          <w:sz w:val="22"/>
          <w:szCs w:val="22"/>
        </w:rPr>
        <w:t xml:space="preserve"> </w:t>
      </w:r>
      <w:r w:rsidRPr="006B69DC">
        <w:rPr>
          <w:sz w:val="22"/>
          <w:szCs w:val="22"/>
        </w:rPr>
        <w:t>Zukunftsangst,</w:t>
      </w:r>
      <w:r w:rsidRPr="006B69DC">
        <w:rPr>
          <w:spacing w:val="-6"/>
          <w:sz w:val="22"/>
          <w:szCs w:val="22"/>
        </w:rPr>
        <w:t xml:space="preserve"> </w:t>
      </w:r>
      <w:r w:rsidRPr="006B69DC">
        <w:rPr>
          <w:sz w:val="22"/>
          <w:szCs w:val="22"/>
        </w:rPr>
        <w:t>München: Hanser.</w:t>
      </w:r>
      <w:r w:rsidRPr="006B69DC">
        <w:rPr>
          <w:spacing w:val="40"/>
          <w:sz w:val="22"/>
          <w:szCs w:val="22"/>
        </w:rPr>
        <w:t xml:space="preserve"> </w:t>
      </w:r>
      <w:r w:rsidRPr="006B69DC">
        <w:rPr>
          <w:sz w:val="22"/>
          <w:szCs w:val="22"/>
        </w:rPr>
        <w:t>Mead,</w:t>
      </w:r>
      <w:r w:rsidRPr="006B69DC">
        <w:rPr>
          <w:spacing w:val="-4"/>
          <w:sz w:val="22"/>
          <w:szCs w:val="22"/>
        </w:rPr>
        <w:t xml:space="preserve"> </w:t>
      </w:r>
      <w:r w:rsidRPr="006B69DC">
        <w:rPr>
          <w:sz w:val="22"/>
          <w:szCs w:val="22"/>
        </w:rPr>
        <w:t>M.</w:t>
      </w:r>
      <w:r w:rsidRPr="006B69DC">
        <w:rPr>
          <w:spacing w:val="-3"/>
          <w:sz w:val="22"/>
          <w:szCs w:val="22"/>
        </w:rPr>
        <w:t xml:space="preserve"> </w:t>
      </w:r>
      <w:r w:rsidRPr="006B69DC">
        <w:rPr>
          <w:sz w:val="22"/>
          <w:szCs w:val="22"/>
        </w:rPr>
        <w:t>(1928):</w:t>
      </w:r>
      <w:r w:rsidRPr="006B69DC">
        <w:rPr>
          <w:spacing w:val="40"/>
          <w:sz w:val="22"/>
          <w:szCs w:val="22"/>
        </w:rPr>
        <w:t xml:space="preserve"> </w:t>
      </w:r>
      <w:r w:rsidRPr="006B69DC">
        <w:rPr>
          <w:sz w:val="22"/>
          <w:szCs w:val="22"/>
        </w:rPr>
        <w:t>Coming of Age in Samoa, New York: Morrow.</w:t>
      </w:r>
      <w:r w:rsidRPr="006B69DC">
        <w:rPr>
          <w:spacing w:val="40"/>
          <w:sz w:val="22"/>
          <w:szCs w:val="22"/>
        </w:rPr>
        <w:t xml:space="preserve"> </w:t>
      </w:r>
      <w:r w:rsidRPr="006B69DC">
        <w:rPr>
          <w:sz w:val="22"/>
          <w:szCs w:val="22"/>
        </w:rPr>
        <w:t>Thomas, A. (1991): Grundriss der</w:t>
      </w:r>
      <w:r w:rsidRPr="006B69DC">
        <w:rPr>
          <w:spacing w:val="40"/>
          <w:sz w:val="22"/>
          <w:szCs w:val="22"/>
        </w:rPr>
        <w:t xml:space="preserve"> </w:t>
      </w:r>
      <w:r w:rsidRPr="006B69DC">
        <w:rPr>
          <w:sz w:val="22"/>
          <w:szCs w:val="22"/>
        </w:rPr>
        <w:t>Sozialpsychologie.</w:t>
      </w:r>
      <w:r w:rsidRPr="006B69DC">
        <w:rPr>
          <w:spacing w:val="-11"/>
          <w:sz w:val="22"/>
          <w:szCs w:val="22"/>
        </w:rPr>
        <w:t xml:space="preserve"> </w:t>
      </w:r>
      <w:r w:rsidRPr="006B69DC">
        <w:rPr>
          <w:sz w:val="22"/>
          <w:szCs w:val="22"/>
        </w:rPr>
        <w:t>Bd.1:</w:t>
      </w:r>
      <w:r w:rsidRPr="006B69DC">
        <w:rPr>
          <w:spacing w:val="-10"/>
          <w:sz w:val="22"/>
          <w:szCs w:val="22"/>
        </w:rPr>
        <w:t xml:space="preserve"> </w:t>
      </w:r>
      <w:r w:rsidRPr="006B69DC">
        <w:rPr>
          <w:sz w:val="22"/>
          <w:szCs w:val="22"/>
        </w:rPr>
        <w:t>Grundlegende</w:t>
      </w:r>
      <w:r w:rsidRPr="006B69DC">
        <w:rPr>
          <w:spacing w:val="-10"/>
          <w:sz w:val="22"/>
          <w:szCs w:val="22"/>
        </w:rPr>
        <w:t xml:space="preserve"> </w:t>
      </w:r>
      <w:r w:rsidRPr="006B69DC">
        <w:rPr>
          <w:sz w:val="22"/>
          <w:szCs w:val="22"/>
        </w:rPr>
        <w:t>Begriffe</w:t>
      </w:r>
      <w:r w:rsidRPr="006B69DC">
        <w:rPr>
          <w:spacing w:val="-10"/>
          <w:sz w:val="22"/>
          <w:szCs w:val="22"/>
        </w:rPr>
        <w:t xml:space="preserve"> </w:t>
      </w:r>
      <w:r w:rsidRPr="006B69DC">
        <w:rPr>
          <w:sz w:val="22"/>
          <w:szCs w:val="22"/>
        </w:rPr>
        <w:t>und</w:t>
      </w:r>
      <w:r w:rsidRPr="006B69DC">
        <w:rPr>
          <w:spacing w:val="-10"/>
          <w:sz w:val="22"/>
          <w:szCs w:val="22"/>
        </w:rPr>
        <w:t xml:space="preserve"> </w:t>
      </w:r>
      <w:r w:rsidRPr="006B69DC">
        <w:rPr>
          <w:sz w:val="22"/>
          <w:szCs w:val="22"/>
        </w:rPr>
        <w:t>Prozesse,</w:t>
      </w:r>
      <w:r w:rsidRPr="006B69DC">
        <w:rPr>
          <w:spacing w:val="-10"/>
          <w:sz w:val="22"/>
          <w:szCs w:val="22"/>
        </w:rPr>
        <w:t xml:space="preserve"> </w:t>
      </w:r>
      <w:r w:rsidRPr="006B69DC">
        <w:rPr>
          <w:sz w:val="22"/>
          <w:szCs w:val="22"/>
        </w:rPr>
        <w:t>Göttingen:</w:t>
      </w:r>
      <w:r w:rsidRPr="006B69DC">
        <w:rPr>
          <w:spacing w:val="-11"/>
          <w:sz w:val="22"/>
          <w:szCs w:val="22"/>
        </w:rPr>
        <w:t xml:space="preserve"> </w:t>
      </w:r>
      <w:r w:rsidRPr="006B69DC">
        <w:rPr>
          <w:sz w:val="22"/>
          <w:szCs w:val="22"/>
        </w:rPr>
        <w:t>Hogrefe.</w:t>
      </w:r>
      <w:r w:rsidRPr="006B69DC">
        <w:rPr>
          <w:spacing w:val="45"/>
          <w:sz w:val="22"/>
          <w:szCs w:val="22"/>
        </w:rPr>
        <w:t xml:space="preserve"> </w:t>
      </w:r>
      <w:r w:rsidRPr="006B69DC">
        <w:rPr>
          <w:sz w:val="22"/>
          <w:szCs w:val="22"/>
        </w:rPr>
        <w:t>Wilson, E.O.</w:t>
      </w:r>
      <w:r w:rsidRPr="006B69DC">
        <w:rPr>
          <w:spacing w:val="-6"/>
          <w:sz w:val="22"/>
          <w:szCs w:val="22"/>
        </w:rPr>
        <w:t xml:space="preserve"> </w:t>
      </w:r>
      <w:r w:rsidRPr="006B69DC">
        <w:rPr>
          <w:sz w:val="22"/>
          <w:szCs w:val="22"/>
        </w:rPr>
        <w:t>(1998):</w:t>
      </w:r>
      <w:r w:rsidRPr="006B69DC">
        <w:rPr>
          <w:spacing w:val="-5"/>
          <w:sz w:val="22"/>
          <w:szCs w:val="22"/>
        </w:rPr>
        <w:t xml:space="preserve"> </w:t>
      </w:r>
      <w:r w:rsidRPr="006B69DC">
        <w:rPr>
          <w:sz w:val="22"/>
          <w:szCs w:val="22"/>
        </w:rPr>
        <w:t>Die</w:t>
      </w:r>
      <w:r w:rsidRPr="006B69DC">
        <w:rPr>
          <w:spacing w:val="-8"/>
          <w:sz w:val="22"/>
          <w:szCs w:val="22"/>
        </w:rPr>
        <w:t xml:space="preserve"> </w:t>
      </w:r>
      <w:r w:rsidRPr="006B69DC">
        <w:rPr>
          <w:sz w:val="22"/>
          <w:szCs w:val="22"/>
        </w:rPr>
        <w:t>Einheit</w:t>
      </w:r>
      <w:r w:rsidRPr="006B69DC">
        <w:rPr>
          <w:spacing w:val="-8"/>
          <w:sz w:val="22"/>
          <w:szCs w:val="22"/>
        </w:rPr>
        <w:t xml:space="preserve"> </w:t>
      </w:r>
      <w:r w:rsidRPr="006B69DC">
        <w:rPr>
          <w:sz w:val="22"/>
          <w:szCs w:val="22"/>
        </w:rPr>
        <w:t>des</w:t>
      </w:r>
      <w:r w:rsidRPr="006B69DC">
        <w:rPr>
          <w:spacing w:val="-7"/>
          <w:sz w:val="22"/>
          <w:szCs w:val="22"/>
        </w:rPr>
        <w:t xml:space="preserve"> </w:t>
      </w:r>
      <w:r w:rsidRPr="006B69DC">
        <w:rPr>
          <w:sz w:val="22"/>
          <w:szCs w:val="22"/>
        </w:rPr>
        <w:t>Wissens,</w:t>
      </w:r>
      <w:r w:rsidRPr="006B69DC">
        <w:rPr>
          <w:spacing w:val="-6"/>
          <w:sz w:val="22"/>
          <w:szCs w:val="22"/>
        </w:rPr>
        <w:t xml:space="preserve"> </w:t>
      </w:r>
      <w:r w:rsidRPr="006B69DC">
        <w:rPr>
          <w:sz w:val="22"/>
          <w:szCs w:val="22"/>
        </w:rPr>
        <w:t>Berlin:</w:t>
      </w:r>
      <w:r w:rsidRPr="006B69DC">
        <w:rPr>
          <w:spacing w:val="-6"/>
          <w:sz w:val="22"/>
          <w:szCs w:val="22"/>
        </w:rPr>
        <w:t xml:space="preserve"> </w:t>
      </w:r>
      <w:r w:rsidRPr="006B69DC">
        <w:rPr>
          <w:sz w:val="22"/>
          <w:szCs w:val="22"/>
        </w:rPr>
        <w:t>Siedler.</w:t>
      </w:r>
      <w:r w:rsidRPr="006B69DC">
        <w:rPr>
          <w:spacing w:val="40"/>
          <w:sz w:val="22"/>
          <w:szCs w:val="22"/>
        </w:rPr>
        <w:t xml:space="preserve"> </w:t>
      </w:r>
      <w:r w:rsidRPr="006B69DC">
        <w:rPr>
          <w:sz w:val="22"/>
          <w:szCs w:val="22"/>
        </w:rPr>
        <w:t>Yip,</w:t>
      </w:r>
      <w:r w:rsidRPr="006B69DC">
        <w:rPr>
          <w:spacing w:val="-6"/>
          <w:sz w:val="22"/>
          <w:szCs w:val="22"/>
        </w:rPr>
        <w:t xml:space="preserve"> </w:t>
      </w:r>
      <w:r w:rsidRPr="006B69DC">
        <w:rPr>
          <w:sz w:val="22"/>
          <w:szCs w:val="22"/>
        </w:rPr>
        <w:t>G.</w:t>
      </w:r>
      <w:r w:rsidR="006B69DC">
        <w:rPr>
          <w:sz w:val="22"/>
          <w:szCs w:val="22"/>
        </w:rPr>
        <w:t xml:space="preserve"> </w:t>
      </w:r>
      <w:r w:rsidRPr="006B69DC">
        <w:rPr>
          <w:sz w:val="22"/>
          <w:szCs w:val="22"/>
        </w:rPr>
        <w:t>S.,</w:t>
      </w:r>
      <w:r w:rsidRPr="006B69DC">
        <w:rPr>
          <w:spacing w:val="-6"/>
          <w:sz w:val="22"/>
          <w:szCs w:val="22"/>
        </w:rPr>
        <w:t xml:space="preserve"> </w:t>
      </w:r>
      <w:r w:rsidRPr="006B69DC">
        <w:rPr>
          <w:sz w:val="22"/>
          <w:szCs w:val="22"/>
        </w:rPr>
        <w:t>Biscarri,</w:t>
      </w:r>
      <w:r w:rsidRPr="006B69DC">
        <w:rPr>
          <w:spacing w:val="-8"/>
          <w:sz w:val="22"/>
          <w:szCs w:val="22"/>
        </w:rPr>
        <w:t xml:space="preserve"> </w:t>
      </w:r>
      <w:r w:rsidRPr="006B69DC">
        <w:rPr>
          <w:sz w:val="22"/>
          <w:szCs w:val="22"/>
        </w:rPr>
        <w:t>J.G.</w:t>
      </w:r>
      <w:r w:rsidRPr="006B69DC">
        <w:rPr>
          <w:spacing w:val="-4"/>
          <w:sz w:val="22"/>
          <w:szCs w:val="22"/>
        </w:rPr>
        <w:t xml:space="preserve"> </w:t>
      </w:r>
      <w:r w:rsidRPr="006B69DC">
        <w:rPr>
          <w:sz w:val="22"/>
          <w:szCs w:val="22"/>
        </w:rPr>
        <w:t>et</w:t>
      </w:r>
      <w:r w:rsidRPr="006B69DC">
        <w:rPr>
          <w:spacing w:val="-8"/>
          <w:sz w:val="22"/>
          <w:szCs w:val="22"/>
        </w:rPr>
        <w:t xml:space="preserve"> </w:t>
      </w:r>
      <w:r w:rsidRPr="006B69DC">
        <w:rPr>
          <w:sz w:val="22"/>
          <w:szCs w:val="22"/>
        </w:rPr>
        <w:t>al.</w:t>
      </w:r>
      <w:r w:rsidRPr="006B69DC">
        <w:rPr>
          <w:spacing w:val="-6"/>
          <w:sz w:val="22"/>
          <w:szCs w:val="22"/>
        </w:rPr>
        <w:t xml:space="preserve"> </w:t>
      </w:r>
      <w:r w:rsidRPr="006B69DC">
        <w:rPr>
          <w:sz w:val="22"/>
          <w:szCs w:val="22"/>
          <w:lang w:val="en-US"/>
        </w:rPr>
        <w:t>(2000):</w:t>
      </w:r>
      <w:r w:rsidRPr="006B69DC">
        <w:rPr>
          <w:spacing w:val="40"/>
          <w:sz w:val="22"/>
          <w:szCs w:val="22"/>
          <w:lang w:val="en-US"/>
        </w:rPr>
        <w:t xml:space="preserve"> </w:t>
      </w:r>
      <w:r w:rsidRPr="006B69DC">
        <w:rPr>
          <w:sz w:val="22"/>
          <w:szCs w:val="22"/>
          <w:lang w:val="en-US"/>
        </w:rPr>
        <w:t>The</w:t>
      </w:r>
      <w:r w:rsidRPr="006B69DC">
        <w:rPr>
          <w:spacing w:val="-4"/>
          <w:sz w:val="22"/>
          <w:szCs w:val="22"/>
          <w:lang w:val="en-US"/>
        </w:rPr>
        <w:t xml:space="preserve"> </w:t>
      </w:r>
      <w:r w:rsidRPr="006B69DC">
        <w:rPr>
          <w:sz w:val="22"/>
          <w:szCs w:val="22"/>
          <w:lang w:val="en-US"/>
        </w:rPr>
        <w:t>Role</w:t>
      </w:r>
      <w:r w:rsidRPr="006B69DC">
        <w:rPr>
          <w:spacing w:val="-4"/>
          <w:sz w:val="22"/>
          <w:szCs w:val="22"/>
          <w:lang w:val="en-US"/>
        </w:rPr>
        <w:t xml:space="preserve"> </w:t>
      </w:r>
      <w:r w:rsidRPr="006B69DC">
        <w:rPr>
          <w:sz w:val="22"/>
          <w:szCs w:val="22"/>
          <w:lang w:val="en-US"/>
        </w:rPr>
        <w:t>of</w:t>
      </w:r>
      <w:r w:rsidRPr="006B69DC">
        <w:rPr>
          <w:spacing w:val="-3"/>
          <w:sz w:val="22"/>
          <w:szCs w:val="22"/>
          <w:lang w:val="en-US"/>
        </w:rPr>
        <w:t xml:space="preserve"> </w:t>
      </w:r>
      <w:r w:rsidRPr="006B69DC">
        <w:rPr>
          <w:sz w:val="22"/>
          <w:szCs w:val="22"/>
          <w:lang w:val="en-US"/>
        </w:rPr>
        <w:t>the</w:t>
      </w:r>
      <w:r w:rsidRPr="006B69DC">
        <w:rPr>
          <w:spacing w:val="-4"/>
          <w:sz w:val="22"/>
          <w:szCs w:val="22"/>
          <w:lang w:val="en-US"/>
        </w:rPr>
        <w:t xml:space="preserve"> </w:t>
      </w:r>
      <w:r w:rsidRPr="006B69DC">
        <w:rPr>
          <w:sz w:val="22"/>
          <w:szCs w:val="22"/>
          <w:lang w:val="en-US"/>
        </w:rPr>
        <w:t>Internationalization</w:t>
      </w:r>
      <w:r w:rsidRPr="006B69DC">
        <w:rPr>
          <w:spacing w:val="-2"/>
          <w:sz w:val="22"/>
          <w:szCs w:val="22"/>
          <w:lang w:val="en-US"/>
        </w:rPr>
        <w:t xml:space="preserve"> </w:t>
      </w:r>
      <w:r w:rsidRPr="006B69DC">
        <w:rPr>
          <w:sz w:val="22"/>
          <w:szCs w:val="22"/>
          <w:lang w:val="en-US"/>
        </w:rPr>
        <w:t>Process</w:t>
      </w:r>
      <w:r w:rsidRPr="006B69DC">
        <w:rPr>
          <w:spacing w:val="-5"/>
          <w:sz w:val="22"/>
          <w:szCs w:val="22"/>
          <w:lang w:val="en-US"/>
        </w:rPr>
        <w:t xml:space="preserve"> </w:t>
      </w:r>
      <w:r w:rsidRPr="006B69DC">
        <w:rPr>
          <w:sz w:val="22"/>
          <w:szCs w:val="22"/>
          <w:lang w:val="en-US"/>
        </w:rPr>
        <w:t>in</w:t>
      </w:r>
      <w:r w:rsidRPr="006B69DC">
        <w:rPr>
          <w:spacing w:val="-3"/>
          <w:sz w:val="22"/>
          <w:szCs w:val="22"/>
          <w:lang w:val="en-US"/>
        </w:rPr>
        <w:t xml:space="preserve"> </w:t>
      </w:r>
      <w:r w:rsidRPr="006B69DC">
        <w:rPr>
          <w:sz w:val="22"/>
          <w:szCs w:val="22"/>
          <w:lang w:val="en-US"/>
        </w:rPr>
        <w:t>the</w:t>
      </w:r>
      <w:r w:rsidRPr="006B69DC">
        <w:rPr>
          <w:spacing w:val="-2"/>
          <w:sz w:val="22"/>
          <w:szCs w:val="22"/>
          <w:lang w:val="en-US"/>
        </w:rPr>
        <w:t xml:space="preserve"> </w:t>
      </w:r>
      <w:r w:rsidRPr="006B69DC">
        <w:rPr>
          <w:sz w:val="22"/>
          <w:szCs w:val="22"/>
          <w:lang w:val="en-US"/>
        </w:rPr>
        <w:t>Performance</w:t>
      </w:r>
      <w:r w:rsidRPr="006B69DC">
        <w:rPr>
          <w:spacing w:val="-4"/>
          <w:sz w:val="22"/>
          <w:szCs w:val="22"/>
          <w:lang w:val="en-US"/>
        </w:rPr>
        <w:t xml:space="preserve"> </w:t>
      </w:r>
      <w:r w:rsidRPr="006B69DC">
        <w:rPr>
          <w:sz w:val="22"/>
          <w:szCs w:val="22"/>
          <w:lang w:val="en-US"/>
        </w:rPr>
        <w:t>of Newly</w:t>
      </w:r>
      <w:r w:rsidRPr="006B69DC">
        <w:rPr>
          <w:spacing w:val="-2"/>
          <w:sz w:val="22"/>
          <w:szCs w:val="22"/>
          <w:lang w:val="en-US"/>
        </w:rPr>
        <w:t xml:space="preserve"> </w:t>
      </w:r>
      <w:r w:rsidRPr="006B69DC">
        <w:rPr>
          <w:sz w:val="22"/>
          <w:szCs w:val="22"/>
          <w:lang w:val="en-US"/>
        </w:rPr>
        <w:t>Internationalizing</w:t>
      </w:r>
      <w:r w:rsidRPr="006B69DC">
        <w:rPr>
          <w:spacing w:val="40"/>
          <w:sz w:val="22"/>
          <w:szCs w:val="22"/>
          <w:lang w:val="en-US"/>
        </w:rPr>
        <w:t xml:space="preserve"> </w:t>
      </w:r>
      <w:r w:rsidRPr="006B69DC">
        <w:rPr>
          <w:sz w:val="22"/>
          <w:szCs w:val="22"/>
          <w:lang w:val="en-US"/>
        </w:rPr>
        <w:t>Firms, Journal of International Marketing, 8(3): 10-35.</w:t>
      </w:r>
    </w:p>
    <w:p w14:paraId="013D26EA" w14:textId="3711AB1D" w:rsidR="0029103A" w:rsidRPr="00312CF9" w:rsidRDefault="0029103A" w:rsidP="00312CF9">
      <w:pPr>
        <w:pStyle w:val="berschrift1"/>
        <w:rPr>
          <w:color w:val="2F5496" w:themeColor="accent5" w:themeShade="BF"/>
        </w:rPr>
      </w:pPr>
      <w:r w:rsidRPr="00312CF9">
        <w:rPr>
          <w:color w:val="2F5496" w:themeColor="accent5" w:themeShade="BF"/>
        </w:rPr>
        <w:t xml:space="preserve">Dienstleistungen </w:t>
      </w:r>
    </w:p>
    <w:p w14:paraId="220A9928" w14:textId="77777777" w:rsidR="0029103A" w:rsidRPr="007F69DA" w:rsidRDefault="0029103A" w:rsidP="0029103A">
      <w:pPr>
        <w:rPr>
          <w:szCs w:val="24"/>
          <w:lang w:bidi="en-US"/>
        </w:rPr>
      </w:pPr>
      <w:r w:rsidRPr="007F69DA">
        <w:rPr>
          <w:szCs w:val="24"/>
          <w:lang w:bidi="en-US"/>
        </w:rPr>
        <w:t>tragen in den hochentwickelten, arbeitsteiligen Volkswirtschaften einen ständig wachsenden Anteil zur gesamtwirtschaftlichen Leistung bei (u.a. Finanzdienstleistungen, Programmierungs- und Kommunikationsdienstleistungen sowie Transport und Tourismus). 2023 waren in Deutschland mehr als drei Viertel aller Erwerbstätigen im Dienstleistungssektor tätig (= 34,6 Mio.). Zur Bruttowertschöpfung der deutschen Volkswirtschaft trug der Bereich "Handel, Gastgewerbe und Verkehr" 2024 rund 641 Mrd. € bei.</w:t>
      </w:r>
    </w:p>
    <w:p w14:paraId="0BA24537" w14:textId="77777777" w:rsidR="0029103A" w:rsidRPr="007F69DA" w:rsidRDefault="0029103A" w:rsidP="0029103A">
      <w:pPr>
        <w:rPr>
          <w:szCs w:val="24"/>
          <w:lang w:bidi="en-US"/>
        </w:rPr>
      </w:pPr>
    </w:p>
    <w:p w14:paraId="6B45F800" w14:textId="51B1EBAD" w:rsidR="0029103A" w:rsidRPr="007F69DA" w:rsidRDefault="0029103A" w:rsidP="0029103A">
      <w:pPr>
        <w:rPr>
          <w:szCs w:val="24"/>
          <w:lang w:bidi="en-US"/>
        </w:rPr>
      </w:pPr>
      <w:r w:rsidRPr="007F69DA">
        <w:rPr>
          <w:szCs w:val="24"/>
          <w:lang w:bidi="en-US"/>
        </w:rPr>
        <w:t>Bei den sog. produktionsnahen Dienstleistungen (z.B. Transportdienstleistungen) sorgte insb. der durch den zunehmend globalen Wettbewerb ausgelöste Strukturwandel des Produzierenden Gewerbes (Konzentration auf Kernkompetenzen, Outsourcing von Leistungen, die nicht in diesen Bereich fallen) für vermehrte Nachfrage. Hinzu kommt ein wachsendes, durch Fortschritte der webbasierten Technologien ermöglichtes Angebot an innovativen Services (z.B. wissensintensive Dienstleistungen). Der private Konsum unterlag in der jüngeren Vergangenheit gleichfalls einem drastischen Strukturwandel. Treiber dieser Entwicklung sind die Alterung der Gesellschaft, der vermehrte Anteil an Ein- und Zwei-Personenhaushalten sowie der überproportionale Einkommenszuwachs der wohlhabenden sozialen Schicht. Hinzu kommen partielle Sättigungserscheinungen im Konsumgüterkonsum (vgl. Dapp/Heymann 2013; Ehmer 2009).</w:t>
      </w:r>
    </w:p>
    <w:p w14:paraId="76481637" w14:textId="77777777" w:rsidR="0029103A" w:rsidRPr="007F69DA" w:rsidRDefault="0029103A" w:rsidP="0029103A">
      <w:pPr>
        <w:rPr>
          <w:szCs w:val="24"/>
          <w:lang w:bidi="en-US"/>
        </w:rPr>
      </w:pPr>
    </w:p>
    <w:p w14:paraId="4689281A" w14:textId="77777777" w:rsidR="0029103A" w:rsidRPr="007F69DA" w:rsidRDefault="0029103A" w:rsidP="0029103A">
      <w:pPr>
        <w:rPr>
          <w:szCs w:val="24"/>
          <w:lang w:bidi="en-US"/>
        </w:rPr>
      </w:pPr>
      <w:r w:rsidRPr="007F69DA">
        <w:rPr>
          <w:szCs w:val="24"/>
          <w:lang w:bidi="en-US"/>
        </w:rPr>
        <w:t xml:space="preserve">In der Literatur finden sich zahlreiche Vorschläge, die prinzipiell unbegrenzte Fülle an Dienstleistungen zu systematisieren (für einen Überblick vgl. Corsten/Gössinger 2007). So wird zwischen Dienstleistungen, die Zeit „sparen“ (z.B. Steuerberatung), und solchen, die Zeit „kosten“ (z.B. Musical), unterschieden oder zwischen Dienstleistungen, die vor dem Kauf (z.B. Kaskoversicherung), während des Kaufs (z.B. Verpackungsservice) oder nach dem Kauf (z.B. Wartung) erworben bzw. konsumiert werden. Neben diesen eindimensionalen Typologien wurden auch zweidimensionale Systematisierungen </w:t>
      </w:r>
      <w:r w:rsidRPr="007F69DA">
        <w:rPr>
          <w:szCs w:val="24"/>
          <w:lang w:bidi="en-US"/>
        </w:rPr>
        <w:lastRenderedPageBreak/>
        <w:t>vorgeschlagen. Backhaus/Voeth (2014) bspw. kombinieren die Kriterien „Zeitpunkt der Leistungserbringung“ und „Produktnähe“ (vgl. Tab. 1).</w:t>
      </w:r>
    </w:p>
    <w:p w14:paraId="16D44B7C" w14:textId="77777777" w:rsidR="0029103A" w:rsidRPr="007F69DA" w:rsidRDefault="0029103A" w:rsidP="0029103A">
      <w:pPr>
        <w:rPr>
          <w:szCs w:val="24"/>
        </w:rPr>
      </w:pPr>
    </w:p>
    <w:p w14:paraId="696085F2" w14:textId="77777777" w:rsidR="0029103A" w:rsidRPr="00544326" w:rsidRDefault="0029103A" w:rsidP="0029103A">
      <w:pPr>
        <w:pStyle w:val="Beschriftung"/>
        <w:rPr>
          <w:szCs w:val="24"/>
        </w:rPr>
      </w:pPr>
      <w:r w:rsidRPr="00544326">
        <w:rPr>
          <w:szCs w:val="24"/>
        </w:rPr>
        <w:t>Tab. 1: Dienstleistungstypologie</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88"/>
        <w:gridCol w:w="1784"/>
        <w:gridCol w:w="1793"/>
        <w:gridCol w:w="1819"/>
        <w:gridCol w:w="1513"/>
      </w:tblGrid>
      <w:tr w:rsidR="0029103A" w:rsidRPr="007F69DA" w14:paraId="7C476116" w14:textId="77777777" w:rsidTr="00F46ACB">
        <w:tc>
          <w:tcPr>
            <w:tcW w:w="1488" w:type="dxa"/>
            <w:vMerge w:val="restart"/>
            <w:tcBorders>
              <w:tl2br w:val="single" w:sz="4" w:space="0" w:color="auto"/>
            </w:tcBorders>
            <w:shd w:val="clear" w:color="auto" w:fill="DEEAF6" w:themeFill="accent1" w:themeFillTint="33"/>
          </w:tcPr>
          <w:p w14:paraId="36FF9411" w14:textId="77777777" w:rsidR="0029103A" w:rsidRPr="007F69DA" w:rsidRDefault="0029103A" w:rsidP="00F46ACB">
            <w:pPr>
              <w:pStyle w:val="TabelleBuch"/>
              <w:spacing w:line="240" w:lineRule="auto"/>
              <w:jc w:val="right"/>
              <w:rPr>
                <w:rFonts w:ascii="Times New Roman" w:hAnsi="Times New Roman"/>
                <w:b/>
              </w:rPr>
            </w:pPr>
            <w:r w:rsidRPr="007F69DA">
              <w:rPr>
                <w:rFonts w:ascii="Times New Roman" w:hAnsi="Times New Roman"/>
                <w:b/>
              </w:rPr>
              <w:t>Produkt-</w:t>
            </w:r>
            <w:r w:rsidRPr="007F69DA">
              <w:rPr>
                <w:rFonts w:ascii="Times New Roman" w:hAnsi="Times New Roman"/>
                <w:b/>
              </w:rPr>
              <w:br/>
              <w:t>nähe</w:t>
            </w:r>
          </w:p>
          <w:p w14:paraId="05E03362" w14:textId="77777777" w:rsidR="0029103A" w:rsidRPr="007F69DA" w:rsidRDefault="0029103A" w:rsidP="00F46ACB">
            <w:pPr>
              <w:pStyle w:val="TabelleBuch"/>
              <w:jc w:val="left"/>
              <w:rPr>
                <w:rFonts w:ascii="Times New Roman" w:hAnsi="Times New Roman"/>
              </w:rPr>
            </w:pPr>
          </w:p>
          <w:p w14:paraId="051FFCF7" w14:textId="77777777" w:rsidR="0029103A" w:rsidRPr="007F69DA" w:rsidRDefault="0029103A" w:rsidP="00F46ACB">
            <w:pPr>
              <w:pStyle w:val="TabelleBuch"/>
              <w:jc w:val="left"/>
              <w:rPr>
                <w:rFonts w:ascii="Times New Roman" w:hAnsi="Times New Roman"/>
                <w:b/>
              </w:rPr>
            </w:pPr>
            <w:r w:rsidRPr="007F69DA">
              <w:rPr>
                <w:rFonts w:ascii="Times New Roman" w:hAnsi="Times New Roman"/>
                <w:b/>
              </w:rPr>
              <w:t>Zeit-</w:t>
            </w:r>
            <w:r w:rsidRPr="007F69DA">
              <w:rPr>
                <w:rFonts w:ascii="Times New Roman" w:hAnsi="Times New Roman"/>
                <w:b/>
              </w:rPr>
              <w:br/>
              <w:t xml:space="preserve">punkt </w:t>
            </w:r>
          </w:p>
        </w:tc>
        <w:tc>
          <w:tcPr>
            <w:tcW w:w="3577" w:type="dxa"/>
            <w:gridSpan w:val="2"/>
            <w:shd w:val="clear" w:color="auto" w:fill="FFC000" w:themeFill="accent4"/>
          </w:tcPr>
          <w:p w14:paraId="37383259" w14:textId="77777777" w:rsidR="0029103A" w:rsidRPr="007F69DA" w:rsidRDefault="0029103A" w:rsidP="00F46ACB">
            <w:pPr>
              <w:pStyle w:val="TabelleBuch"/>
              <w:jc w:val="center"/>
              <w:rPr>
                <w:rFonts w:ascii="Times New Roman" w:hAnsi="Times New Roman"/>
                <w:b/>
              </w:rPr>
            </w:pPr>
            <w:r w:rsidRPr="007F69DA">
              <w:rPr>
                <w:rFonts w:ascii="Times New Roman" w:hAnsi="Times New Roman"/>
                <w:b/>
              </w:rPr>
              <w:t>Produktnahe Dienstleistungen</w:t>
            </w:r>
          </w:p>
        </w:tc>
        <w:tc>
          <w:tcPr>
            <w:tcW w:w="3332" w:type="dxa"/>
            <w:gridSpan w:val="2"/>
            <w:shd w:val="clear" w:color="auto" w:fill="FFC000" w:themeFill="accent4"/>
          </w:tcPr>
          <w:p w14:paraId="01F05707" w14:textId="77777777" w:rsidR="0029103A" w:rsidRPr="007F69DA" w:rsidRDefault="0029103A" w:rsidP="00F46ACB">
            <w:pPr>
              <w:pStyle w:val="TabelleBuch"/>
              <w:jc w:val="center"/>
              <w:rPr>
                <w:rFonts w:ascii="Times New Roman" w:hAnsi="Times New Roman"/>
                <w:b/>
              </w:rPr>
            </w:pPr>
            <w:r w:rsidRPr="007F69DA">
              <w:rPr>
                <w:rFonts w:ascii="Times New Roman" w:hAnsi="Times New Roman"/>
                <w:b/>
              </w:rPr>
              <w:t>Produktferne Dienstleistungen</w:t>
            </w:r>
          </w:p>
        </w:tc>
      </w:tr>
      <w:tr w:rsidR="0029103A" w:rsidRPr="007F69DA" w14:paraId="7EA9C219" w14:textId="77777777" w:rsidTr="00F46ACB">
        <w:tc>
          <w:tcPr>
            <w:tcW w:w="1488" w:type="dxa"/>
            <w:vMerge/>
            <w:tcBorders>
              <w:tl2br w:val="single" w:sz="4" w:space="0" w:color="auto"/>
            </w:tcBorders>
            <w:shd w:val="clear" w:color="auto" w:fill="DEEAF6" w:themeFill="accent1" w:themeFillTint="33"/>
          </w:tcPr>
          <w:p w14:paraId="59647604" w14:textId="77777777" w:rsidR="0029103A" w:rsidRPr="007F69DA" w:rsidRDefault="0029103A" w:rsidP="00F46ACB">
            <w:pPr>
              <w:pStyle w:val="TabelleBuch"/>
              <w:rPr>
                <w:rFonts w:ascii="Times New Roman" w:hAnsi="Times New Roman"/>
              </w:rPr>
            </w:pPr>
          </w:p>
        </w:tc>
        <w:tc>
          <w:tcPr>
            <w:tcW w:w="3577" w:type="dxa"/>
            <w:gridSpan w:val="2"/>
            <w:tcBorders>
              <w:bottom w:val="single" w:sz="4" w:space="0" w:color="auto"/>
            </w:tcBorders>
            <w:shd w:val="clear" w:color="auto" w:fill="FFE599" w:themeFill="accent4" w:themeFillTint="66"/>
          </w:tcPr>
          <w:p w14:paraId="7E104CF1" w14:textId="77777777" w:rsidR="0029103A" w:rsidRPr="007F69DA" w:rsidRDefault="0029103A" w:rsidP="00F46ACB">
            <w:pPr>
              <w:pStyle w:val="TabelleBuch"/>
              <w:jc w:val="center"/>
              <w:rPr>
                <w:rFonts w:ascii="Times New Roman" w:hAnsi="Times New Roman"/>
              </w:rPr>
            </w:pPr>
            <w:r w:rsidRPr="007F69DA">
              <w:rPr>
                <w:rFonts w:ascii="Times New Roman" w:hAnsi="Times New Roman"/>
              </w:rPr>
              <w:t>Güterart</w:t>
            </w:r>
          </w:p>
        </w:tc>
        <w:tc>
          <w:tcPr>
            <w:tcW w:w="3332" w:type="dxa"/>
            <w:gridSpan w:val="2"/>
            <w:tcBorders>
              <w:bottom w:val="single" w:sz="4" w:space="0" w:color="auto"/>
            </w:tcBorders>
            <w:shd w:val="clear" w:color="auto" w:fill="FFE599" w:themeFill="accent4" w:themeFillTint="66"/>
          </w:tcPr>
          <w:p w14:paraId="5264C36B" w14:textId="77777777" w:rsidR="0029103A" w:rsidRPr="007F69DA" w:rsidRDefault="0029103A" w:rsidP="00F46ACB">
            <w:pPr>
              <w:pStyle w:val="TabelleBuch"/>
              <w:jc w:val="center"/>
              <w:rPr>
                <w:rFonts w:ascii="Times New Roman" w:hAnsi="Times New Roman"/>
              </w:rPr>
            </w:pPr>
            <w:r w:rsidRPr="007F69DA">
              <w:rPr>
                <w:rFonts w:ascii="Times New Roman" w:hAnsi="Times New Roman"/>
              </w:rPr>
              <w:t>Güterart</w:t>
            </w:r>
          </w:p>
        </w:tc>
      </w:tr>
      <w:tr w:rsidR="0029103A" w:rsidRPr="007F69DA" w14:paraId="37BD7EB6" w14:textId="77777777" w:rsidTr="00F46ACB">
        <w:tc>
          <w:tcPr>
            <w:tcW w:w="1488" w:type="dxa"/>
            <w:vMerge/>
            <w:tcBorders>
              <w:tl2br w:val="single" w:sz="4" w:space="0" w:color="auto"/>
            </w:tcBorders>
            <w:shd w:val="clear" w:color="auto" w:fill="DEEAF6" w:themeFill="accent1" w:themeFillTint="33"/>
          </w:tcPr>
          <w:p w14:paraId="51883E4E" w14:textId="77777777" w:rsidR="0029103A" w:rsidRPr="007F69DA" w:rsidRDefault="0029103A" w:rsidP="00F46ACB">
            <w:pPr>
              <w:pStyle w:val="TabelleBuch"/>
              <w:rPr>
                <w:rFonts w:ascii="Times New Roman" w:hAnsi="Times New Roman"/>
              </w:rPr>
            </w:pPr>
          </w:p>
        </w:tc>
        <w:tc>
          <w:tcPr>
            <w:tcW w:w="1784" w:type="dxa"/>
            <w:tcBorders>
              <w:right w:val="nil"/>
            </w:tcBorders>
            <w:shd w:val="clear" w:color="auto" w:fill="FFF2CC" w:themeFill="accent4" w:themeFillTint="33"/>
          </w:tcPr>
          <w:p w14:paraId="72CB0EAC" w14:textId="77777777" w:rsidR="0029103A" w:rsidRPr="007F69DA" w:rsidRDefault="0029103A" w:rsidP="00F46ACB">
            <w:pPr>
              <w:pStyle w:val="TabelleBuch"/>
              <w:spacing w:before="240"/>
              <w:jc w:val="center"/>
              <w:rPr>
                <w:rFonts w:ascii="Times New Roman" w:hAnsi="Times New Roman"/>
              </w:rPr>
            </w:pPr>
            <w:r w:rsidRPr="007F69DA">
              <w:rPr>
                <w:rFonts w:ascii="Times New Roman" w:hAnsi="Times New Roman"/>
              </w:rPr>
              <w:t>Konsumgüter</w:t>
            </w:r>
          </w:p>
        </w:tc>
        <w:tc>
          <w:tcPr>
            <w:tcW w:w="1793" w:type="dxa"/>
            <w:tcBorders>
              <w:left w:val="nil"/>
            </w:tcBorders>
            <w:shd w:val="clear" w:color="auto" w:fill="FFF2CC" w:themeFill="accent4" w:themeFillTint="33"/>
          </w:tcPr>
          <w:p w14:paraId="72FEE29A" w14:textId="77777777" w:rsidR="0029103A" w:rsidRPr="007F69DA" w:rsidRDefault="0029103A" w:rsidP="00F46ACB">
            <w:pPr>
              <w:pStyle w:val="TabelleBuch"/>
              <w:spacing w:before="240"/>
              <w:jc w:val="center"/>
              <w:rPr>
                <w:rFonts w:ascii="Times New Roman" w:hAnsi="Times New Roman"/>
              </w:rPr>
            </w:pPr>
            <w:r w:rsidRPr="007F69DA">
              <w:rPr>
                <w:rFonts w:ascii="Times New Roman" w:hAnsi="Times New Roman"/>
              </w:rPr>
              <w:t>Industriegüter</w:t>
            </w:r>
          </w:p>
        </w:tc>
        <w:tc>
          <w:tcPr>
            <w:tcW w:w="1819" w:type="dxa"/>
            <w:tcBorders>
              <w:right w:val="nil"/>
            </w:tcBorders>
            <w:shd w:val="clear" w:color="auto" w:fill="FFF2CC" w:themeFill="accent4" w:themeFillTint="33"/>
          </w:tcPr>
          <w:p w14:paraId="3748338B" w14:textId="77777777" w:rsidR="0029103A" w:rsidRPr="007F69DA" w:rsidRDefault="0029103A" w:rsidP="00F46ACB">
            <w:pPr>
              <w:pStyle w:val="TabelleBuch"/>
              <w:spacing w:before="240"/>
              <w:jc w:val="center"/>
              <w:rPr>
                <w:rFonts w:ascii="Times New Roman" w:hAnsi="Times New Roman"/>
              </w:rPr>
            </w:pPr>
            <w:r w:rsidRPr="007F69DA">
              <w:rPr>
                <w:rFonts w:ascii="Times New Roman" w:hAnsi="Times New Roman"/>
              </w:rPr>
              <w:t>Konsumgüter</w:t>
            </w:r>
          </w:p>
        </w:tc>
        <w:tc>
          <w:tcPr>
            <w:tcW w:w="1513" w:type="dxa"/>
            <w:tcBorders>
              <w:left w:val="nil"/>
            </w:tcBorders>
            <w:shd w:val="clear" w:color="auto" w:fill="FFF2CC" w:themeFill="accent4" w:themeFillTint="33"/>
          </w:tcPr>
          <w:p w14:paraId="67EE303D" w14:textId="77777777" w:rsidR="0029103A" w:rsidRPr="007F69DA" w:rsidRDefault="0029103A" w:rsidP="00F46ACB">
            <w:pPr>
              <w:pStyle w:val="TabelleBuch"/>
              <w:spacing w:before="240"/>
              <w:jc w:val="center"/>
              <w:rPr>
                <w:rFonts w:ascii="Times New Roman" w:hAnsi="Times New Roman"/>
                <w:lang w:val="da-DK"/>
              </w:rPr>
            </w:pPr>
            <w:r w:rsidRPr="007F69DA">
              <w:rPr>
                <w:rFonts w:ascii="Times New Roman" w:hAnsi="Times New Roman"/>
                <w:lang w:val="da-DK"/>
              </w:rPr>
              <w:t>Industriegüter</w:t>
            </w:r>
          </w:p>
        </w:tc>
      </w:tr>
      <w:tr w:rsidR="0029103A" w:rsidRPr="007F69DA" w14:paraId="4031CBC2" w14:textId="77777777" w:rsidTr="00F46ACB">
        <w:tc>
          <w:tcPr>
            <w:tcW w:w="1488" w:type="dxa"/>
            <w:shd w:val="clear" w:color="auto" w:fill="DEEAF6" w:themeFill="accent1" w:themeFillTint="33"/>
          </w:tcPr>
          <w:p w14:paraId="7BB2CAD4" w14:textId="77777777" w:rsidR="0029103A" w:rsidRPr="007F69DA" w:rsidRDefault="0029103A" w:rsidP="00F46ACB">
            <w:pPr>
              <w:pStyle w:val="TabelleBuch"/>
              <w:rPr>
                <w:rFonts w:ascii="Times New Roman" w:hAnsi="Times New Roman"/>
                <w:lang w:val="da-DK"/>
              </w:rPr>
            </w:pPr>
            <w:r w:rsidRPr="007F69DA">
              <w:rPr>
                <w:rFonts w:ascii="Times New Roman" w:hAnsi="Times New Roman"/>
                <w:lang w:val="da-DK"/>
              </w:rPr>
              <w:t>... im Vorfeld des Kaufs</w:t>
            </w:r>
          </w:p>
        </w:tc>
        <w:tc>
          <w:tcPr>
            <w:tcW w:w="1784" w:type="dxa"/>
            <w:tcBorders>
              <w:right w:val="nil"/>
            </w:tcBorders>
          </w:tcPr>
          <w:p w14:paraId="151C287F"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Beratung</w:t>
            </w:r>
          </w:p>
          <w:p w14:paraId="744A3ED0"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Katalog etc.</w:t>
            </w:r>
          </w:p>
        </w:tc>
        <w:tc>
          <w:tcPr>
            <w:tcW w:w="1793" w:type="dxa"/>
            <w:tcBorders>
              <w:left w:val="nil"/>
            </w:tcBorders>
          </w:tcPr>
          <w:p w14:paraId="5F58B7FB"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Angebots-erstellung</w:t>
            </w:r>
          </w:p>
          <w:p w14:paraId="6997134A"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Demon-stration</w:t>
            </w:r>
          </w:p>
          <w:p w14:paraId="63CBE86E"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Referenz-anlage</w:t>
            </w:r>
          </w:p>
        </w:tc>
        <w:tc>
          <w:tcPr>
            <w:tcW w:w="1819" w:type="dxa"/>
            <w:tcBorders>
              <w:right w:val="nil"/>
            </w:tcBorders>
          </w:tcPr>
          <w:p w14:paraId="20A0A90B"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Kinderhort</w:t>
            </w:r>
          </w:p>
          <w:p w14:paraId="4E81BFBF"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Parkraum</w:t>
            </w:r>
          </w:p>
        </w:tc>
        <w:tc>
          <w:tcPr>
            <w:tcW w:w="1513" w:type="dxa"/>
            <w:tcBorders>
              <w:left w:val="nil"/>
            </w:tcBorders>
          </w:tcPr>
          <w:p w14:paraId="62A5D76E"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Vorträge</w:t>
            </w:r>
          </w:p>
          <w:p w14:paraId="0F467706"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Problem-analyse</w:t>
            </w:r>
          </w:p>
          <w:p w14:paraId="1D50CF6A"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Beratung</w:t>
            </w:r>
          </w:p>
        </w:tc>
      </w:tr>
      <w:tr w:rsidR="0029103A" w:rsidRPr="007F69DA" w14:paraId="64F67D1B" w14:textId="77777777" w:rsidTr="00F46ACB">
        <w:tc>
          <w:tcPr>
            <w:tcW w:w="1488" w:type="dxa"/>
            <w:shd w:val="clear" w:color="auto" w:fill="DEEAF6" w:themeFill="accent1" w:themeFillTint="33"/>
          </w:tcPr>
          <w:p w14:paraId="5162986F" w14:textId="77777777" w:rsidR="0029103A" w:rsidRPr="007F69DA" w:rsidRDefault="0029103A" w:rsidP="00F46ACB">
            <w:pPr>
              <w:pStyle w:val="TabelleBuch"/>
              <w:rPr>
                <w:rFonts w:ascii="Times New Roman" w:hAnsi="Times New Roman"/>
                <w:lang w:val="da-DK"/>
              </w:rPr>
            </w:pPr>
            <w:r w:rsidRPr="007F69DA">
              <w:rPr>
                <w:rFonts w:ascii="Times New Roman" w:hAnsi="Times New Roman"/>
                <w:lang w:val="da-DK"/>
              </w:rPr>
              <w:t>... mit dem Kauf</w:t>
            </w:r>
          </w:p>
        </w:tc>
        <w:tc>
          <w:tcPr>
            <w:tcW w:w="1784" w:type="dxa"/>
            <w:tcBorders>
              <w:right w:val="nil"/>
            </w:tcBorders>
          </w:tcPr>
          <w:p w14:paraId="4E7EB4B0"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Lieferung zur Probe</w:t>
            </w:r>
          </w:p>
          <w:p w14:paraId="6DE6A006"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Gebrauchs-anweisung</w:t>
            </w:r>
          </w:p>
          <w:p w14:paraId="4395E916"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Installation zur Probe</w:t>
            </w:r>
          </w:p>
        </w:tc>
        <w:tc>
          <w:tcPr>
            <w:tcW w:w="1793" w:type="dxa"/>
            <w:tcBorders>
              <w:left w:val="nil"/>
            </w:tcBorders>
          </w:tcPr>
          <w:p w14:paraId="691BC1D6"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Montage</w:t>
            </w:r>
          </w:p>
          <w:p w14:paraId="68E82E91"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Schulung</w:t>
            </w:r>
          </w:p>
        </w:tc>
        <w:tc>
          <w:tcPr>
            <w:tcW w:w="1819" w:type="dxa"/>
            <w:tcBorders>
              <w:right w:val="nil"/>
            </w:tcBorders>
          </w:tcPr>
          <w:p w14:paraId="2E4F6C3C"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Zusatz-geschenke</w:t>
            </w:r>
          </w:p>
          <w:p w14:paraId="37F8016E"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Verpackungs-service</w:t>
            </w:r>
          </w:p>
          <w:p w14:paraId="405BA550"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Lieferservice</w:t>
            </w:r>
          </w:p>
        </w:tc>
        <w:tc>
          <w:tcPr>
            <w:tcW w:w="1513" w:type="dxa"/>
            <w:tcBorders>
              <w:left w:val="nil"/>
            </w:tcBorders>
          </w:tcPr>
          <w:p w14:paraId="16E1CB6D"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Finan-zierung</w:t>
            </w:r>
          </w:p>
          <w:p w14:paraId="6F45D482"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Kompen-sations-geschäfte</w:t>
            </w:r>
          </w:p>
        </w:tc>
      </w:tr>
      <w:tr w:rsidR="0029103A" w:rsidRPr="007F69DA" w14:paraId="51265DA1" w14:textId="77777777" w:rsidTr="00F46ACB">
        <w:tc>
          <w:tcPr>
            <w:tcW w:w="1488" w:type="dxa"/>
            <w:shd w:val="clear" w:color="auto" w:fill="DEEAF6" w:themeFill="accent1" w:themeFillTint="33"/>
          </w:tcPr>
          <w:p w14:paraId="5F2A54A4" w14:textId="77777777" w:rsidR="0029103A" w:rsidRPr="007F69DA" w:rsidRDefault="0029103A" w:rsidP="00F46ACB">
            <w:pPr>
              <w:pStyle w:val="TabelleBuch"/>
              <w:rPr>
                <w:rFonts w:ascii="Times New Roman" w:hAnsi="Times New Roman"/>
                <w:lang w:val="da-DK"/>
              </w:rPr>
            </w:pPr>
            <w:r w:rsidRPr="007F69DA">
              <w:rPr>
                <w:rFonts w:ascii="Times New Roman" w:hAnsi="Times New Roman"/>
                <w:lang w:val="da-DK"/>
              </w:rPr>
              <w:t>... nach dem Kauf</w:t>
            </w:r>
          </w:p>
        </w:tc>
        <w:tc>
          <w:tcPr>
            <w:tcW w:w="1784" w:type="dxa"/>
            <w:tcBorders>
              <w:right w:val="nil"/>
            </w:tcBorders>
          </w:tcPr>
          <w:p w14:paraId="75FDFDA1"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Kunden-dienst</w:t>
            </w:r>
          </w:p>
          <w:p w14:paraId="2BF7F277"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Ersatzteil-dienst</w:t>
            </w:r>
          </w:p>
        </w:tc>
        <w:tc>
          <w:tcPr>
            <w:tcW w:w="1793" w:type="dxa"/>
            <w:tcBorders>
              <w:left w:val="nil"/>
            </w:tcBorders>
          </w:tcPr>
          <w:p w14:paraId="621D8523"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Reparatur-service</w:t>
            </w:r>
          </w:p>
          <w:p w14:paraId="21897B9D"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Ersatzteil-service</w:t>
            </w:r>
          </w:p>
        </w:tc>
        <w:tc>
          <w:tcPr>
            <w:tcW w:w="1819" w:type="dxa"/>
            <w:tcBorders>
              <w:right w:val="nil"/>
            </w:tcBorders>
          </w:tcPr>
          <w:p w14:paraId="3257FF17"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Kundenclubs/Kundenkarten</w:t>
            </w:r>
          </w:p>
          <w:p w14:paraId="74E1F303"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Kunden-zeitschrift</w:t>
            </w:r>
          </w:p>
        </w:tc>
        <w:tc>
          <w:tcPr>
            <w:tcW w:w="1513" w:type="dxa"/>
            <w:tcBorders>
              <w:left w:val="nil"/>
            </w:tcBorders>
          </w:tcPr>
          <w:p w14:paraId="1B34BC3E" w14:textId="77777777" w:rsidR="0029103A" w:rsidRPr="007F69DA" w:rsidRDefault="0029103A">
            <w:pPr>
              <w:pStyle w:val="TabelleBuch"/>
              <w:numPr>
                <w:ilvl w:val="0"/>
                <w:numId w:val="26"/>
              </w:numPr>
              <w:tabs>
                <w:tab w:val="clear" w:pos="720"/>
              </w:tabs>
              <w:spacing w:before="0" w:after="0" w:line="240" w:lineRule="auto"/>
              <w:ind w:left="301" w:hanging="301"/>
              <w:rPr>
                <w:rFonts w:ascii="Times New Roman" w:hAnsi="Times New Roman"/>
                <w:lang w:val="da-DK"/>
              </w:rPr>
            </w:pPr>
            <w:r w:rsidRPr="007F69DA">
              <w:rPr>
                <w:rFonts w:ascii="Times New Roman" w:hAnsi="Times New Roman"/>
                <w:lang w:val="da-DK"/>
              </w:rPr>
              <w:t>Mitarbei-terschulun-gen</w:t>
            </w:r>
          </w:p>
        </w:tc>
      </w:tr>
    </w:tbl>
    <w:p w14:paraId="47E2D1CA" w14:textId="77777777" w:rsidR="0029103A" w:rsidRPr="007F69DA" w:rsidRDefault="0029103A" w:rsidP="0029103A">
      <w:pPr>
        <w:pStyle w:val="Quelle"/>
        <w:rPr>
          <w:sz w:val="20"/>
          <w:lang w:val="fr-FR"/>
        </w:rPr>
      </w:pPr>
      <w:r w:rsidRPr="007F69DA">
        <w:rPr>
          <w:sz w:val="20"/>
          <w:lang w:val="fr-FR"/>
        </w:rPr>
        <w:t>Quelle:</w:t>
      </w:r>
      <w:r w:rsidRPr="007F69DA">
        <w:rPr>
          <w:sz w:val="20"/>
          <w:lang w:val="fr-FR"/>
        </w:rPr>
        <w:tab/>
        <w:t>Backhaus/Voeth (2014).</w:t>
      </w:r>
    </w:p>
    <w:p w14:paraId="6397063A" w14:textId="77777777" w:rsidR="0029103A" w:rsidRPr="007F69DA" w:rsidRDefault="0029103A" w:rsidP="0029103A"/>
    <w:p w14:paraId="33D6C2BA" w14:textId="77777777" w:rsidR="0029103A" w:rsidRPr="007F69DA" w:rsidRDefault="0029103A" w:rsidP="0029103A">
      <w:pPr>
        <w:rPr>
          <w:szCs w:val="24"/>
          <w:lang w:bidi="en-US"/>
        </w:rPr>
      </w:pPr>
      <w:r w:rsidRPr="007F69DA">
        <w:rPr>
          <w:szCs w:val="24"/>
          <w:lang w:bidi="en-US"/>
        </w:rPr>
        <w:t xml:space="preserve">Gemäß dieser Systematisierung erfüllen Dienstleistungen eine komplementäre Funktion: Sie ergänzen Produkte, und zwar sowohl zeitlich (d.h. vor oder nach dem Kauf des Produktes) als auch inhaltlich-räumlich (d.h. haben einen engen oder weiteren Bezug zum Produkt). Diese Sichtweise ist sinnvoll. Denn viele Produkte sind austauschbar bzw. werden von den Kunden als austauschbar erlebt. Um ein Alleinstellungsmerkmal, d.h. einen USP zu kreieren, verfolgen deshalb viele Unternehmen die Value Added-Strategie. In deren Mittelpunkt stehen zusätzliche, das Produkt ergänzende Dienstleistungen (z.B. Einpackservice, Reparaturversicherung), welche dem Kunden einen Zusatznutzen und dem Anbieter einen Wettbewerbsvorteil verschaffen sollen. </w:t>
      </w:r>
    </w:p>
    <w:p w14:paraId="50F92360" w14:textId="77777777" w:rsidR="0029103A" w:rsidRPr="007F69DA" w:rsidRDefault="0029103A" w:rsidP="0029103A">
      <w:pPr>
        <w:rPr>
          <w:szCs w:val="24"/>
          <w:lang w:bidi="en-US"/>
        </w:rPr>
      </w:pPr>
    </w:p>
    <w:p w14:paraId="30DE155D" w14:textId="7C810F6D" w:rsidR="0029103A" w:rsidRPr="002A501D" w:rsidRDefault="0029103A" w:rsidP="002A501D">
      <w:pPr>
        <w:pStyle w:val="Literatur"/>
        <w:numPr>
          <w:ilvl w:val="0"/>
          <w:numId w:val="0"/>
        </w:numPr>
        <w:spacing w:line="240" w:lineRule="auto"/>
        <w:rPr>
          <w:sz w:val="22"/>
          <w:szCs w:val="22"/>
        </w:rPr>
      </w:pPr>
      <w:r w:rsidRPr="002A501D">
        <w:rPr>
          <w:b/>
          <w:bCs w:val="0"/>
          <w:i/>
          <w:sz w:val="22"/>
          <w:szCs w:val="22"/>
        </w:rPr>
        <w:t>Literatur:</w:t>
      </w:r>
      <w:r w:rsidRPr="00544326">
        <w:rPr>
          <w:i/>
          <w:sz w:val="22"/>
          <w:szCs w:val="22"/>
        </w:rPr>
        <w:t xml:space="preserve"> </w:t>
      </w:r>
      <w:r w:rsidRPr="007F69DA">
        <w:rPr>
          <w:sz w:val="22"/>
          <w:szCs w:val="22"/>
        </w:rPr>
        <w:t>Backhaus, K.; Voeth, M. (2014): Industriegütermarketing, 10. Aufl., München: Vahlen.   Corsten, H.; Gössinger, R. (2007): Dienstleistungsmanagement, 5. Aufl., München: Oldenbourg.   Dapp, T.F.; Heymann, E. (2013): Dienstleistungen 2013, Frankfurt/Main: Deutsche Bank Research.   Ehmer, P. (2009): Dienstleistungen im Strukturwandel, Frankfurt/Main: Deutsche Bank Research.</w:t>
      </w:r>
    </w:p>
    <w:p w14:paraId="420BF2EC" w14:textId="77777777" w:rsidR="00FF7799" w:rsidRPr="00E73F6F" w:rsidRDefault="00FF7799" w:rsidP="0074120C">
      <w:pPr>
        <w:pStyle w:val="berschrift1"/>
        <w:rPr>
          <w:spacing w:val="-2"/>
        </w:rPr>
      </w:pPr>
      <w:r w:rsidRPr="0093236A">
        <w:rPr>
          <w:color w:val="2F5496" w:themeColor="accent5" w:themeShade="BF"/>
        </w:rPr>
        <w:t>Diffusität</w:t>
      </w:r>
      <w:r w:rsidRPr="00E73F6F">
        <w:rPr>
          <w:spacing w:val="-3"/>
        </w:rPr>
        <w:t xml:space="preserve"> </w:t>
      </w:r>
      <w:r w:rsidRPr="00E73F6F">
        <w:rPr>
          <w:b w:val="0"/>
          <w:szCs w:val="24"/>
        </w:rPr>
        <w:t xml:space="preserve">→ </w:t>
      </w:r>
      <w:r w:rsidRPr="00E73F6F">
        <w:rPr>
          <w:b w:val="0"/>
        </w:rPr>
        <w:t>Kulturdimensionen</w:t>
      </w:r>
      <w:r w:rsidRPr="00E73F6F">
        <w:rPr>
          <w:b w:val="0"/>
          <w:spacing w:val="-2"/>
        </w:rPr>
        <w:t xml:space="preserve"> </w:t>
      </w:r>
      <w:r w:rsidRPr="00E73F6F">
        <w:rPr>
          <w:b w:val="0"/>
        </w:rPr>
        <w:t>nach</w:t>
      </w:r>
      <w:r w:rsidRPr="00E73F6F">
        <w:rPr>
          <w:b w:val="0"/>
          <w:spacing w:val="-2"/>
        </w:rPr>
        <w:t xml:space="preserve"> Trompenaars</w:t>
      </w:r>
    </w:p>
    <w:p w14:paraId="5F7329AA" w14:textId="77777777" w:rsidR="00FF7799" w:rsidRPr="007745DA" w:rsidRDefault="00FF7799" w:rsidP="0074120C">
      <w:pPr>
        <w:pStyle w:val="berschrift1"/>
        <w:rPr>
          <w:color w:val="2F5496" w:themeColor="accent5" w:themeShade="BF"/>
        </w:rPr>
      </w:pPr>
      <w:r w:rsidRPr="007745DA">
        <w:rPr>
          <w:color w:val="2F5496" w:themeColor="accent5" w:themeShade="BF"/>
        </w:rPr>
        <w:t>DIHT-Studie</w:t>
      </w:r>
    </w:p>
    <w:p w14:paraId="6012481B" w14:textId="77777777" w:rsidR="00FF7799" w:rsidRDefault="00035E56" w:rsidP="005567BA">
      <w:pPr>
        <w:pStyle w:val="StandardText"/>
      </w:pPr>
      <w:r>
        <w:t>ermittel</w:t>
      </w:r>
      <w:r w:rsidR="00FF7799" w:rsidRPr="00E73F6F">
        <w:t>te den Erfolg bzw. Misserfolg deutscher Exportunternehmen in Abhängigkeit von der Absatzregion (gemäß Selbstauskunft von 4.000 Mitgliedsfirmen des Deutschen Industrie- und Handelskammertages).</w:t>
      </w:r>
    </w:p>
    <w:p w14:paraId="38651C7C" w14:textId="77777777" w:rsidR="006B69DC" w:rsidRPr="00E73F6F" w:rsidRDefault="006B69DC" w:rsidP="005567BA">
      <w:pPr>
        <w:pStyle w:val="StandardText"/>
      </w:pPr>
    </w:p>
    <w:p w14:paraId="1A02915F" w14:textId="77777777" w:rsidR="00FF7799" w:rsidRPr="00C76DC3" w:rsidRDefault="00FF7799" w:rsidP="005567BA">
      <w:pPr>
        <w:pStyle w:val="BeschriftungTab"/>
        <w:rPr>
          <w:i/>
          <w:iCs/>
        </w:rPr>
      </w:pPr>
      <w:r w:rsidRPr="00C76DC3">
        <w:rPr>
          <w:i/>
          <w:iCs/>
        </w:rPr>
        <w:t xml:space="preserve">Abb. 1: </w:t>
      </w:r>
      <w:r w:rsidR="006B69DC" w:rsidRPr="00C76DC3">
        <w:rPr>
          <w:i/>
          <w:iCs/>
        </w:rPr>
        <w:t>Erfolg und Misserfolg deutscher Exportunternehmen</w:t>
      </w:r>
    </w:p>
    <w:p w14:paraId="6F8FB88F" w14:textId="77777777" w:rsidR="00746E18" w:rsidRDefault="00746E18" w:rsidP="005567BA">
      <w:pPr>
        <w:pStyle w:val="BeschriftungTab"/>
      </w:pPr>
      <w:r>
        <w:rPr>
          <w:noProof/>
        </w:rPr>
        <w:lastRenderedPageBreak/>
        <w:drawing>
          <wp:inline distT="0" distB="0" distL="0" distR="0" wp14:anchorId="5516A025" wp14:editId="600A8B0C">
            <wp:extent cx="5799176" cy="3371850"/>
            <wp:effectExtent l="0" t="0" r="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803089" cy="3374125"/>
                    </a:xfrm>
                    <a:prstGeom prst="rect">
                      <a:avLst/>
                    </a:prstGeom>
                    <a:noFill/>
                  </pic:spPr>
                </pic:pic>
              </a:graphicData>
            </a:graphic>
          </wp:inline>
        </w:drawing>
      </w:r>
    </w:p>
    <w:p w14:paraId="77A837FD" w14:textId="77777777" w:rsidR="00FF7799" w:rsidRPr="00E73F6F" w:rsidRDefault="00FF7799" w:rsidP="00AE299F">
      <w:pPr>
        <w:pStyle w:val="Quellen"/>
      </w:pPr>
      <w:r w:rsidRPr="00E73F6F">
        <w:t>Quelle: DIHT (2008).</w:t>
      </w:r>
    </w:p>
    <w:p w14:paraId="0B78D070" w14:textId="77777777" w:rsidR="00FF7799" w:rsidRPr="00E73F6F" w:rsidRDefault="00FF7799" w:rsidP="005567BA">
      <w:pPr>
        <w:pStyle w:val="Quellen"/>
      </w:pPr>
    </w:p>
    <w:p w14:paraId="34E0FEFA" w14:textId="77777777" w:rsidR="00FF7799" w:rsidRPr="007745DA" w:rsidRDefault="00FF7799" w:rsidP="0074120C">
      <w:pPr>
        <w:pStyle w:val="berschrift1"/>
        <w:rPr>
          <w:color w:val="2F5496" w:themeColor="accent5" w:themeShade="BF"/>
        </w:rPr>
      </w:pPr>
      <w:r w:rsidRPr="007745DA">
        <w:rPr>
          <w:color w:val="2F5496" w:themeColor="accent5" w:themeShade="BF"/>
        </w:rPr>
        <w:t>Direktheit der Kommunikation</w:t>
      </w:r>
    </w:p>
    <w:p w14:paraId="36A28FB1" w14:textId="77777777" w:rsidR="00FF7799" w:rsidRPr="00E73F6F" w:rsidRDefault="00FF7799" w:rsidP="00AE299F">
      <w:pPr>
        <w:pStyle w:val="StandardText"/>
      </w:pPr>
      <w:r w:rsidRPr="00E73F6F">
        <w:t>Angehörige verschiedener Kulturen unterscheiden sich in ihrer Direktheit, wenn sie untereinander und mit Fremden kommunizieren (vgl. Triandis 1994, S.184; Hall/Hall 1990) Hauptsächlich in kollektivistischen Kulturen, wie dem lateinamerikanischen, dem asiatischen oder dem arabischen Raum, kommt der impliziten Kommunikation (‘silent language‘) eine viel höhere Bedeutung zu als dies in unseren Breiten üblich ist. Dabei erschließt sich die Bedeutung einer Botschaft</w:t>
      </w:r>
      <w:r w:rsidRPr="00E73F6F">
        <w:rPr>
          <w:spacing w:val="-11"/>
        </w:rPr>
        <w:t xml:space="preserve"> </w:t>
      </w:r>
      <w:r w:rsidRPr="00E73F6F">
        <w:t>größtenteils</w:t>
      </w:r>
      <w:r w:rsidRPr="00E73F6F">
        <w:rPr>
          <w:spacing w:val="-9"/>
        </w:rPr>
        <w:t xml:space="preserve"> </w:t>
      </w:r>
      <w:r w:rsidRPr="00E73F6F">
        <w:t>aus</w:t>
      </w:r>
      <w:r w:rsidRPr="00E73F6F">
        <w:rPr>
          <w:spacing w:val="-12"/>
        </w:rPr>
        <w:t xml:space="preserve"> </w:t>
      </w:r>
      <w:r w:rsidRPr="00E73F6F">
        <w:t>deren</w:t>
      </w:r>
      <w:r w:rsidRPr="00E73F6F">
        <w:rPr>
          <w:spacing w:val="-10"/>
        </w:rPr>
        <w:t xml:space="preserve"> </w:t>
      </w:r>
      <w:r w:rsidRPr="00E73F6F">
        <w:t>Kontext</w:t>
      </w:r>
      <w:r w:rsidRPr="00E73F6F">
        <w:rPr>
          <w:spacing w:val="-12"/>
        </w:rPr>
        <w:t xml:space="preserve"> </w:t>
      </w:r>
      <w:r w:rsidRPr="00E73F6F">
        <w:t>und</w:t>
      </w:r>
      <w:r w:rsidRPr="00E73F6F">
        <w:rPr>
          <w:spacing w:val="-8"/>
        </w:rPr>
        <w:t xml:space="preserve"> </w:t>
      </w:r>
      <w:r w:rsidRPr="00E73F6F">
        <w:t>weniger</w:t>
      </w:r>
      <w:r w:rsidRPr="00E73F6F">
        <w:rPr>
          <w:spacing w:val="-10"/>
        </w:rPr>
        <w:t xml:space="preserve"> </w:t>
      </w:r>
      <w:r w:rsidRPr="00E73F6F">
        <w:t>aus</w:t>
      </w:r>
      <w:r w:rsidRPr="00E73F6F">
        <w:rPr>
          <w:spacing w:val="-12"/>
        </w:rPr>
        <w:t xml:space="preserve"> </w:t>
      </w:r>
      <w:r w:rsidRPr="00E73F6F">
        <w:t>dem</w:t>
      </w:r>
      <w:r w:rsidRPr="00E73F6F">
        <w:rPr>
          <w:spacing w:val="-10"/>
        </w:rPr>
        <w:t xml:space="preserve"> </w:t>
      </w:r>
      <w:r w:rsidRPr="00E73F6F">
        <w:t>gesprochenen</w:t>
      </w:r>
      <w:r w:rsidRPr="00E73F6F">
        <w:rPr>
          <w:spacing w:val="-9"/>
        </w:rPr>
        <w:t xml:space="preserve"> </w:t>
      </w:r>
      <w:r w:rsidRPr="00E73F6F">
        <w:t>Wort (vgl. Knapp 2003, S.109ff.). Vielmehr noch wird in diesen Kulturräumen eine formelle</w:t>
      </w:r>
      <w:r w:rsidRPr="00E73F6F">
        <w:rPr>
          <w:spacing w:val="-11"/>
        </w:rPr>
        <w:t xml:space="preserve"> </w:t>
      </w:r>
      <w:r w:rsidRPr="00E73F6F">
        <w:t>Sprache</w:t>
      </w:r>
      <w:r w:rsidRPr="00E73F6F">
        <w:rPr>
          <w:spacing w:val="-11"/>
        </w:rPr>
        <w:t xml:space="preserve"> </w:t>
      </w:r>
      <w:r w:rsidRPr="00E73F6F">
        <w:t>als</w:t>
      </w:r>
      <w:r w:rsidRPr="00E73F6F">
        <w:rPr>
          <w:spacing w:val="-10"/>
        </w:rPr>
        <w:t xml:space="preserve"> </w:t>
      </w:r>
      <w:r w:rsidRPr="00E73F6F">
        <w:t>tendenziell</w:t>
      </w:r>
      <w:r w:rsidRPr="00E73F6F">
        <w:rPr>
          <w:spacing w:val="-12"/>
        </w:rPr>
        <w:t xml:space="preserve"> </w:t>
      </w:r>
      <w:r w:rsidRPr="00E73F6F">
        <w:t>unangenehm</w:t>
      </w:r>
      <w:r w:rsidRPr="00E73F6F">
        <w:rPr>
          <w:spacing w:val="-10"/>
        </w:rPr>
        <w:t xml:space="preserve"> </w:t>
      </w:r>
      <w:r w:rsidRPr="00E73F6F">
        <w:t>empfunden.</w:t>
      </w:r>
      <w:r w:rsidRPr="00E73F6F">
        <w:rPr>
          <w:spacing w:val="-10"/>
        </w:rPr>
        <w:t xml:space="preserve"> </w:t>
      </w:r>
      <w:r w:rsidRPr="00E73F6F">
        <w:t>Unter</w:t>
      </w:r>
      <w:r w:rsidRPr="00E73F6F">
        <w:rPr>
          <w:spacing w:val="-10"/>
        </w:rPr>
        <w:t xml:space="preserve"> </w:t>
      </w:r>
      <w:r w:rsidRPr="00E73F6F">
        <w:t>dem</w:t>
      </w:r>
      <w:r w:rsidRPr="00E73F6F">
        <w:rPr>
          <w:spacing w:val="-11"/>
        </w:rPr>
        <w:t xml:space="preserve"> </w:t>
      </w:r>
      <w:r w:rsidRPr="00E73F6F">
        <w:t>Kontext</w:t>
      </w:r>
      <w:r w:rsidRPr="00E73F6F">
        <w:rPr>
          <w:spacing w:val="-10"/>
        </w:rPr>
        <w:t xml:space="preserve"> </w:t>
      </w:r>
      <w:r w:rsidRPr="00E73F6F">
        <w:t>sind jene Informationen zu verstehen, die eine Botschaft „umgeben“ und die in der Kommunikation zumeist unbewusst mitgeliefert werden (vgl. Hall 1976, S.102). So signalisiert ein scheinbar eindeutiges „Nein“ eine andere Bedeutung (= Semantik), wenn es durch einen freudigen</w:t>
      </w:r>
      <w:r w:rsidRPr="00E73F6F">
        <w:rPr>
          <w:spacing w:val="80"/>
        </w:rPr>
        <w:t xml:space="preserve"> </w:t>
      </w:r>
      <w:r w:rsidRPr="00E73F6F">
        <w:t>Gesichtsausdruck (= Kontext) entkräftet oder gar ins Gegenteil gekehrt wird. Die kontextabhängige Kommunikation wird hauptsächlich in kollektivistischen Kulturen gepflegt, weshalb sie häufig auch als High Context-Kulturen bezeichnet werden.</w:t>
      </w:r>
    </w:p>
    <w:p w14:paraId="156F4F19" w14:textId="77777777" w:rsidR="00FF7799" w:rsidRPr="00E73F6F" w:rsidRDefault="00FF7799" w:rsidP="00AE299F">
      <w:pPr>
        <w:pStyle w:val="StandardText"/>
      </w:pPr>
      <w:r w:rsidRPr="00E73F6F">
        <w:t>Low Context-Kulturen präferieren hingegen den expliziten Ausdruck, d.h. die verbale Form der Kommunikation. Sie sind in der Regel individualistisch. In den deutschsprachigen</w:t>
      </w:r>
      <w:r w:rsidRPr="00E73F6F">
        <w:rPr>
          <w:spacing w:val="-12"/>
        </w:rPr>
        <w:t xml:space="preserve"> </w:t>
      </w:r>
      <w:r w:rsidRPr="00E73F6F">
        <w:t>Ländern</w:t>
      </w:r>
      <w:r w:rsidRPr="00E73F6F">
        <w:rPr>
          <w:spacing w:val="-9"/>
        </w:rPr>
        <w:t xml:space="preserve"> </w:t>
      </w:r>
      <w:r w:rsidRPr="00E73F6F">
        <w:t>etwa</w:t>
      </w:r>
      <w:r w:rsidRPr="00E73F6F">
        <w:rPr>
          <w:spacing w:val="-12"/>
        </w:rPr>
        <w:t xml:space="preserve"> </w:t>
      </w:r>
      <w:r w:rsidRPr="00E73F6F">
        <w:t>oder</w:t>
      </w:r>
      <w:r w:rsidRPr="00E73F6F">
        <w:rPr>
          <w:spacing w:val="-9"/>
        </w:rPr>
        <w:t xml:space="preserve"> </w:t>
      </w:r>
      <w:r w:rsidRPr="00E73F6F">
        <w:t>in</w:t>
      </w:r>
      <w:r w:rsidRPr="00E73F6F">
        <w:rPr>
          <w:spacing w:val="-11"/>
        </w:rPr>
        <w:t xml:space="preserve"> </w:t>
      </w:r>
      <w:r w:rsidRPr="00E73F6F">
        <w:t>Skandinavien</w:t>
      </w:r>
      <w:r w:rsidRPr="00E73F6F">
        <w:rPr>
          <w:spacing w:val="-12"/>
        </w:rPr>
        <w:t xml:space="preserve"> </w:t>
      </w:r>
      <w:r w:rsidRPr="00E73F6F">
        <w:t>bzw.</w:t>
      </w:r>
      <w:r w:rsidRPr="00E73F6F">
        <w:rPr>
          <w:spacing w:val="-11"/>
        </w:rPr>
        <w:t xml:space="preserve"> </w:t>
      </w:r>
      <w:r w:rsidRPr="00E73F6F">
        <w:t>den</w:t>
      </w:r>
      <w:r w:rsidRPr="00E73F6F">
        <w:rPr>
          <w:spacing w:val="-9"/>
        </w:rPr>
        <w:t xml:space="preserve"> </w:t>
      </w:r>
      <w:r w:rsidRPr="00E73F6F">
        <w:t>USA</w:t>
      </w:r>
      <w:r w:rsidRPr="00E73F6F">
        <w:rPr>
          <w:spacing w:val="-11"/>
        </w:rPr>
        <w:t xml:space="preserve"> </w:t>
      </w:r>
      <w:r w:rsidRPr="00E73F6F">
        <w:t>tauschen</w:t>
      </w:r>
      <w:r w:rsidRPr="00E73F6F">
        <w:rPr>
          <w:spacing w:val="-11"/>
        </w:rPr>
        <w:t xml:space="preserve"> </w:t>
      </w:r>
      <w:r w:rsidRPr="00E73F6F">
        <w:t>die Menschen Informationen vorzugsweise direkt aus. Der Kontext einer Botschaft spielt eine vergleichsweise geringe Rolle. Sofern kein besonderes Vertrauensverhältnis besteht, sind hier viele explizite Hintergrundinformationen notwendig, um miteinander kommunizieren und interagieren zu können. Zurückführen lässt sich dies darauf, dass Vertreter individualistischer Kulturen weniger dazu neigen, sich mit „dem Anderen“ intensiv auseinander zu setzen.</w:t>
      </w:r>
    </w:p>
    <w:p w14:paraId="6A3A24BB" w14:textId="77777777" w:rsidR="00FF7799" w:rsidRPr="00E73F6F" w:rsidRDefault="00FF7799" w:rsidP="00AE299F">
      <w:pPr>
        <w:pStyle w:val="StandardText"/>
      </w:pPr>
      <w:r w:rsidRPr="00E73F6F">
        <w:t>In</w:t>
      </w:r>
      <w:r w:rsidRPr="00E73F6F">
        <w:rPr>
          <w:spacing w:val="-10"/>
        </w:rPr>
        <w:t xml:space="preserve"> </w:t>
      </w:r>
      <w:r w:rsidRPr="00E73F6F">
        <w:t>High</w:t>
      </w:r>
      <w:r w:rsidRPr="00E73F6F">
        <w:rPr>
          <w:spacing w:val="-10"/>
        </w:rPr>
        <w:t xml:space="preserve"> </w:t>
      </w:r>
      <w:r w:rsidRPr="00E73F6F">
        <w:t>Context-Kulturen</w:t>
      </w:r>
      <w:r w:rsidRPr="00E73F6F">
        <w:rPr>
          <w:spacing w:val="-12"/>
        </w:rPr>
        <w:t xml:space="preserve"> </w:t>
      </w:r>
      <w:r w:rsidRPr="00E73F6F">
        <w:t>hingegen</w:t>
      </w:r>
      <w:r w:rsidRPr="00E73F6F">
        <w:rPr>
          <w:spacing w:val="-9"/>
        </w:rPr>
        <w:t xml:space="preserve"> </w:t>
      </w:r>
      <w:r w:rsidRPr="00E73F6F">
        <w:t>ist</w:t>
      </w:r>
      <w:r w:rsidRPr="00E73F6F">
        <w:rPr>
          <w:spacing w:val="-11"/>
        </w:rPr>
        <w:t xml:space="preserve"> </w:t>
      </w:r>
      <w:r w:rsidRPr="00E73F6F">
        <w:t>der</w:t>
      </w:r>
      <w:r w:rsidRPr="00E73F6F">
        <w:rPr>
          <w:spacing w:val="-11"/>
        </w:rPr>
        <w:t xml:space="preserve"> </w:t>
      </w:r>
      <w:r w:rsidRPr="00E73F6F">
        <w:t>Stellenwert</w:t>
      </w:r>
      <w:r w:rsidRPr="00E73F6F">
        <w:rPr>
          <w:spacing w:val="-11"/>
        </w:rPr>
        <w:t xml:space="preserve"> </w:t>
      </w:r>
      <w:r w:rsidRPr="00E73F6F">
        <w:t>von</w:t>
      </w:r>
      <w:r w:rsidRPr="00E73F6F">
        <w:rPr>
          <w:spacing w:val="-10"/>
        </w:rPr>
        <w:t xml:space="preserve"> </w:t>
      </w:r>
      <w:r w:rsidRPr="00E73F6F">
        <w:t>zwischenmenschlichen Beziehungen groß. Diese sind in der Regel dauerhaft und verlässlich, weshalb Verträge vielfach mündlich abgeschlossen werden. Anstelle formeller Verpflichtung</w:t>
      </w:r>
      <w:r w:rsidRPr="00E73F6F">
        <w:rPr>
          <w:spacing w:val="43"/>
        </w:rPr>
        <w:t xml:space="preserve"> </w:t>
      </w:r>
      <w:r w:rsidRPr="00E73F6F">
        <w:t>sorgen</w:t>
      </w:r>
      <w:r w:rsidRPr="00E73F6F">
        <w:rPr>
          <w:spacing w:val="45"/>
        </w:rPr>
        <w:t xml:space="preserve"> </w:t>
      </w:r>
      <w:r w:rsidRPr="00E73F6F">
        <w:t>hier</w:t>
      </w:r>
      <w:r w:rsidRPr="00E73F6F">
        <w:rPr>
          <w:spacing w:val="44"/>
        </w:rPr>
        <w:t xml:space="preserve"> </w:t>
      </w:r>
      <w:r w:rsidRPr="00E73F6F">
        <w:t>soziale</w:t>
      </w:r>
      <w:r w:rsidRPr="00E73F6F">
        <w:rPr>
          <w:spacing w:val="47"/>
        </w:rPr>
        <w:t xml:space="preserve"> </w:t>
      </w:r>
      <w:r w:rsidRPr="00E73F6F">
        <w:t>Kontrollmechanismen</w:t>
      </w:r>
      <w:r w:rsidRPr="00E73F6F">
        <w:rPr>
          <w:spacing w:val="45"/>
        </w:rPr>
        <w:t xml:space="preserve"> </w:t>
      </w:r>
      <w:r w:rsidRPr="00E73F6F">
        <w:t>dafür,</w:t>
      </w:r>
      <w:r w:rsidRPr="00E73F6F">
        <w:rPr>
          <w:spacing w:val="44"/>
        </w:rPr>
        <w:t xml:space="preserve"> </w:t>
      </w:r>
      <w:r w:rsidRPr="00E73F6F">
        <w:t>dass</w:t>
      </w:r>
      <w:r w:rsidRPr="00E73F6F">
        <w:rPr>
          <w:spacing w:val="46"/>
        </w:rPr>
        <w:t xml:space="preserve"> </w:t>
      </w:r>
      <w:r w:rsidRPr="00E73F6F">
        <w:rPr>
          <w:spacing w:val="-2"/>
        </w:rPr>
        <w:t>Pflichten</w:t>
      </w:r>
      <w:r w:rsidR="004A28F6" w:rsidRPr="00E73F6F">
        <w:rPr>
          <w:spacing w:val="-2"/>
        </w:rPr>
        <w:t xml:space="preserve"> </w:t>
      </w:r>
      <w:r w:rsidRPr="00E73F6F">
        <w:t xml:space="preserve">erfüllt werden. Wer diese Norm verletzt, wird sozial geächtet. </w:t>
      </w:r>
      <w:r w:rsidRPr="00E73F6F">
        <w:lastRenderedPageBreak/>
        <w:t>Weit weniger machtvoll</w:t>
      </w:r>
      <w:r w:rsidRPr="00E73F6F">
        <w:rPr>
          <w:spacing w:val="-1"/>
        </w:rPr>
        <w:t xml:space="preserve"> </w:t>
      </w:r>
      <w:r w:rsidRPr="00E73F6F">
        <w:t>ist</w:t>
      </w:r>
      <w:r w:rsidRPr="00E73F6F">
        <w:rPr>
          <w:spacing w:val="-4"/>
        </w:rPr>
        <w:t xml:space="preserve"> </w:t>
      </w:r>
      <w:r w:rsidRPr="00E73F6F">
        <w:t>dieser</w:t>
      </w:r>
      <w:r w:rsidRPr="00E73F6F">
        <w:rPr>
          <w:spacing w:val="-2"/>
        </w:rPr>
        <w:t xml:space="preserve"> </w:t>
      </w:r>
      <w:r w:rsidRPr="00E73F6F">
        <w:t>Sanktionsmechanismus</w:t>
      </w:r>
      <w:r w:rsidRPr="00E73F6F">
        <w:rPr>
          <w:spacing w:val="-2"/>
        </w:rPr>
        <w:t xml:space="preserve"> </w:t>
      </w:r>
      <w:r w:rsidRPr="00E73F6F">
        <w:t>in</w:t>
      </w:r>
      <w:r w:rsidRPr="00E73F6F">
        <w:rPr>
          <w:spacing w:val="-1"/>
        </w:rPr>
        <w:t xml:space="preserve"> </w:t>
      </w:r>
      <w:r w:rsidRPr="00E73F6F">
        <w:t>westlichen</w:t>
      </w:r>
      <w:r w:rsidRPr="00E73F6F">
        <w:rPr>
          <w:spacing w:val="-1"/>
        </w:rPr>
        <w:t xml:space="preserve"> </w:t>
      </w:r>
      <w:r w:rsidRPr="00E73F6F">
        <w:t>Low</w:t>
      </w:r>
      <w:r w:rsidRPr="00E73F6F">
        <w:rPr>
          <w:spacing w:val="-2"/>
        </w:rPr>
        <w:t xml:space="preserve"> </w:t>
      </w:r>
      <w:r w:rsidRPr="00E73F6F">
        <w:t>Context-Kulturen, weshalb sich hier kompensatorisch komplexe Rechtssysteme entwickelt haben (vgl. Kim et al. 1998, S.511).</w:t>
      </w:r>
    </w:p>
    <w:p w14:paraId="53A0120B" w14:textId="77777777" w:rsidR="00FF7799" w:rsidRPr="00E73F6F" w:rsidRDefault="00FF7799" w:rsidP="00AE299F">
      <w:pPr>
        <w:pStyle w:val="StandardText"/>
      </w:pPr>
      <w:r w:rsidRPr="00E73F6F">
        <w:t xml:space="preserve">Im Hinblick auf das Geschäftsleben bezeichnet u.a. Tinsley (1998, S.318) die </w:t>
      </w:r>
      <w:r w:rsidR="007F2875">
        <w:sym w:font="Symbol" w:char="F0DE"/>
      </w:r>
      <w:r w:rsidR="007F2875">
        <w:t xml:space="preserve">  </w:t>
      </w:r>
      <w:r w:rsidRPr="007F2875">
        <w:t>Kulturdimension</w:t>
      </w:r>
      <w:r w:rsidRPr="007F2875">
        <w:rPr>
          <w:spacing w:val="-12"/>
        </w:rPr>
        <w:t xml:space="preserve"> </w:t>
      </w:r>
      <w:r w:rsidRPr="007F2875">
        <w:t>„High</w:t>
      </w:r>
      <w:r w:rsidRPr="007F2875">
        <w:rPr>
          <w:spacing w:val="-11"/>
        </w:rPr>
        <w:t xml:space="preserve"> </w:t>
      </w:r>
      <w:r w:rsidRPr="007F2875">
        <w:t>vs.</w:t>
      </w:r>
      <w:r w:rsidRPr="007F2875">
        <w:rPr>
          <w:spacing w:val="-8"/>
        </w:rPr>
        <w:t xml:space="preserve"> </w:t>
      </w:r>
      <w:r w:rsidRPr="007F2875">
        <w:t>Low</w:t>
      </w:r>
      <w:r w:rsidRPr="007F2875">
        <w:rPr>
          <w:spacing w:val="-12"/>
        </w:rPr>
        <w:t xml:space="preserve"> </w:t>
      </w:r>
      <w:r w:rsidRPr="007F2875">
        <w:t>Context“</w:t>
      </w:r>
      <w:r w:rsidRPr="007F2875">
        <w:rPr>
          <w:spacing w:val="-11"/>
        </w:rPr>
        <w:t xml:space="preserve"> </w:t>
      </w:r>
      <w:r w:rsidRPr="007F2875">
        <w:t>auch</w:t>
      </w:r>
      <w:r w:rsidRPr="007F2875">
        <w:rPr>
          <w:spacing w:val="-9"/>
        </w:rPr>
        <w:t xml:space="preserve"> </w:t>
      </w:r>
      <w:r w:rsidRPr="007F2875">
        <w:t>als</w:t>
      </w:r>
      <w:r w:rsidRPr="007F2875">
        <w:rPr>
          <w:spacing w:val="-10"/>
        </w:rPr>
        <w:t xml:space="preserve"> </w:t>
      </w:r>
      <w:r w:rsidRPr="007F2875">
        <w:t>‘explicit</w:t>
      </w:r>
      <w:r w:rsidRPr="007F2875">
        <w:rPr>
          <w:spacing w:val="-12"/>
        </w:rPr>
        <w:t xml:space="preserve"> </w:t>
      </w:r>
      <w:r w:rsidRPr="007F2875">
        <w:t>contracting‘.</w:t>
      </w:r>
      <w:r w:rsidRPr="007F2875">
        <w:rPr>
          <w:spacing w:val="-11"/>
        </w:rPr>
        <w:t xml:space="preserve"> </w:t>
      </w:r>
      <w:r w:rsidRPr="00E73F6F">
        <w:t>Während etwa deutsche</w:t>
      </w:r>
      <w:r w:rsidRPr="00E73F6F">
        <w:rPr>
          <w:spacing w:val="-1"/>
        </w:rPr>
        <w:t xml:space="preserve"> </w:t>
      </w:r>
      <w:r w:rsidRPr="00E73F6F">
        <w:t>und amerikanische</w:t>
      </w:r>
      <w:r w:rsidRPr="00E73F6F">
        <w:rPr>
          <w:spacing w:val="-1"/>
        </w:rPr>
        <w:t xml:space="preserve"> </w:t>
      </w:r>
      <w:r w:rsidRPr="00E73F6F">
        <w:t>Manager</w:t>
      </w:r>
      <w:r w:rsidRPr="00E73F6F">
        <w:rPr>
          <w:spacing w:val="-1"/>
        </w:rPr>
        <w:t xml:space="preserve"> </w:t>
      </w:r>
      <w:r w:rsidRPr="00E73F6F">
        <w:t>großen Wert auf</w:t>
      </w:r>
      <w:r w:rsidRPr="00E73F6F">
        <w:rPr>
          <w:spacing w:val="-1"/>
        </w:rPr>
        <w:t xml:space="preserve"> </w:t>
      </w:r>
      <w:r w:rsidRPr="00E73F6F">
        <w:t>explizite Regeln und Gesetze legen, sind für ihre kollektivistisch geprägten japanischen Kollegen Verträge primär deshalb bedeutsam, weil die Vertragspartner mit ihrer Hilfe eine moralische Verpflichtung eingehen und eine Beziehung begründen. Weniger wichtig</w:t>
      </w:r>
      <w:r w:rsidRPr="00E73F6F">
        <w:rPr>
          <w:spacing w:val="-2"/>
        </w:rPr>
        <w:t xml:space="preserve"> </w:t>
      </w:r>
      <w:r w:rsidRPr="00E73F6F">
        <w:t>ist</w:t>
      </w:r>
      <w:r w:rsidRPr="00E73F6F">
        <w:rPr>
          <w:spacing w:val="-3"/>
        </w:rPr>
        <w:t xml:space="preserve"> </w:t>
      </w:r>
      <w:r w:rsidRPr="00E73F6F">
        <w:t>dabei</w:t>
      </w:r>
      <w:r w:rsidRPr="00E73F6F">
        <w:rPr>
          <w:spacing w:val="-3"/>
        </w:rPr>
        <w:t xml:space="preserve"> </w:t>
      </w:r>
      <w:r w:rsidRPr="00E73F6F">
        <w:t>akribische</w:t>
      </w:r>
      <w:r w:rsidRPr="00E73F6F">
        <w:rPr>
          <w:spacing w:val="-1"/>
        </w:rPr>
        <w:t xml:space="preserve"> </w:t>
      </w:r>
      <w:r w:rsidRPr="00E73F6F">
        <w:t>Auflistung</w:t>
      </w:r>
      <w:r w:rsidRPr="00E73F6F">
        <w:rPr>
          <w:spacing w:val="-4"/>
        </w:rPr>
        <w:t xml:space="preserve"> </w:t>
      </w:r>
      <w:r w:rsidRPr="00E73F6F">
        <w:t>der</w:t>
      </w:r>
      <w:r w:rsidRPr="00E73F6F">
        <w:rPr>
          <w:spacing w:val="-1"/>
        </w:rPr>
        <w:t xml:space="preserve"> </w:t>
      </w:r>
      <w:r w:rsidRPr="00E73F6F">
        <w:t>Details</w:t>
      </w:r>
      <w:r w:rsidRPr="00E73F6F">
        <w:rPr>
          <w:spacing w:val="-3"/>
        </w:rPr>
        <w:t xml:space="preserve"> </w:t>
      </w:r>
      <w:r w:rsidRPr="00E73F6F">
        <w:t>der</w:t>
      </w:r>
      <w:r w:rsidRPr="00E73F6F">
        <w:rPr>
          <w:spacing w:val="-1"/>
        </w:rPr>
        <w:t xml:space="preserve"> </w:t>
      </w:r>
      <w:r w:rsidRPr="00E73F6F">
        <w:t>künftigen</w:t>
      </w:r>
      <w:r w:rsidRPr="00E73F6F">
        <w:rPr>
          <w:spacing w:val="-2"/>
        </w:rPr>
        <w:t xml:space="preserve"> </w:t>
      </w:r>
      <w:r w:rsidRPr="00E73F6F">
        <w:t>Zusammenarbeit (vgl.</w:t>
      </w:r>
      <w:r w:rsidRPr="00E73F6F">
        <w:rPr>
          <w:spacing w:val="-12"/>
        </w:rPr>
        <w:t xml:space="preserve"> </w:t>
      </w:r>
      <w:r w:rsidRPr="00E73F6F">
        <w:t>Tinsley</w:t>
      </w:r>
      <w:r w:rsidRPr="00E73F6F">
        <w:rPr>
          <w:spacing w:val="-11"/>
        </w:rPr>
        <w:t xml:space="preserve"> </w:t>
      </w:r>
      <w:r w:rsidRPr="00E73F6F">
        <w:t>2001,</w:t>
      </w:r>
      <w:r w:rsidRPr="00E73F6F">
        <w:rPr>
          <w:spacing w:val="-11"/>
        </w:rPr>
        <w:t xml:space="preserve"> </w:t>
      </w:r>
      <w:r w:rsidRPr="00E73F6F">
        <w:t>S.321).</w:t>
      </w:r>
      <w:r w:rsidRPr="00E73F6F">
        <w:rPr>
          <w:spacing w:val="-11"/>
        </w:rPr>
        <w:t xml:space="preserve"> </w:t>
      </w:r>
      <w:r w:rsidRPr="00E73F6F">
        <w:t>Insofern</w:t>
      </w:r>
      <w:r w:rsidRPr="00E73F6F">
        <w:rPr>
          <w:spacing w:val="-12"/>
        </w:rPr>
        <w:t xml:space="preserve"> </w:t>
      </w:r>
      <w:r w:rsidRPr="00E73F6F">
        <w:t>ist</w:t>
      </w:r>
      <w:r w:rsidRPr="00E73F6F">
        <w:rPr>
          <w:spacing w:val="-11"/>
        </w:rPr>
        <w:t xml:space="preserve"> </w:t>
      </w:r>
      <w:r w:rsidRPr="00E73F6F">
        <w:t>es</w:t>
      </w:r>
      <w:r w:rsidRPr="00E73F6F">
        <w:rPr>
          <w:spacing w:val="-11"/>
        </w:rPr>
        <w:t xml:space="preserve"> </w:t>
      </w:r>
      <w:r w:rsidRPr="00E73F6F">
        <w:t>nicht</w:t>
      </w:r>
      <w:r w:rsidRPr="00E73F6F">
        <w:rPr>
          <w:spacing w:val="-11"/>
        </w:rPr>
        <w:t xml:space="preserve"> </w:t>
      </w:r>
      <w:r w:rsidRPr="00E73F6F">
        <w:t>verwunderlich,</w:t>
      </w:r>
      <w:r w:rsidRPr="00E73F6F">
        <w:rPr>
          <w:spacing w:val="-12"/>
        </w:rPr>
        <w:t xml:space="preserve"> </w:t>
      </w:r>
      <w:r w:rsidRPr="00E73F6F">
        <w:t>dass</w:t>
      </w:r>
      <w:r w:rsidRPr="00E73F6F">
        <w:rPr>
          <w:spacing w:val="-11"/>
        </w:rPr>
        <w:t xml:space="preserve"> </w:t>
      </w:r>
      <w:r w:rsidRPr="00E73F6F">
        <w:t>im</w:t>
      </w:r>
      <w:r w:rsidRPr="00E73F6F">
        <w:rPr>
          <w:spacing w:val="-11"/>
        </w:rPr>
        <w:t xml:space="preserve"> </w:t>
      </w:r>
      <w:r w:rsidRPr="00E73F6F">
        <w:t>Konfliktfall Angehörige von Low Context-Kulturen sich vorzugsweise auf allgemein anerkannte Vereinbarungen, explizite Verträge und Gesetze berufen (vgl. Tinsley/Brett 2001).</w:t>
      </w:r>
    </w:p>
    <w:p w14:paraId="3EE1105B" w14:textId="77777777" w:rsidR="00FF7799" w:rsidRPr="00E73F6F" w:rsidRDefault="00FF7799" w:rsidP="00AE299F">
      <w:pPr>
        <w:pStyle w:val="StandardText"/>
      </w:pPr>
    </w:p>
    <w:p w14:paraId="5B3D3D29" w14:textId="77777777" w:rsidR="00FF7799" w:rsidRPr="00037FAC" w:rsidRDefault="00FF7799" w:rsidP="00AE299F">
      <w:pPr>
        <w:pStyle w:val="BeschriftungTab"/>
        <w:rPr>
          <w:i/>
          <w:iCs/>
        </w:rPr>
      </w:pPr>
      <w:r w:rsidRPr="00037FAC">
        <w:rPr>
          <w:i/>
          <w:iCs/>
        </w:rPr>
        <w:t>Tab. 1: Konsequenzen</w:t>
      </w:r>
      <w:r w:rsidRPr="00037FAC">
        <w:rPr>
          <w:i/>
          <w:iCs/>
          <w:spacing w:val="-1"/>
        </w:rPr>
        <w:t xml:space="preserve"> </w:t>
      </w:r>
      <w:r w:rsidRPr="00037FAC">
        <w:rPr>
          <w:i/>
          <w:iCs/>
        </w:rPr>
        <w:t>der</w:t>
      </w:r>
      <w:r w:rsidRPr="00037FAC">
        <w:rPr>
          <w:i/>
          <w:iCs/>
          <w:spacing w:val="-1"/>
        </w:rPr>
        <w:t xml:space="preserve"> </w:t>
      </w:r>
      <w:r w:rsidRPr="00037FAC">
        <w:rPr>
          <w:i/>
          <w:iCs/>
        </w:rPr>
        <w:t>Direktheit</w:t>
      </w:r>
      <w:r w:rsidRPr="00037FAC">
        <w:rPr>
          <w:i/>
          <w:iCs/>
          <w:spacing w:val="-3"/>
        </w:rPr>
        <w:t xml:space="preserve"> </w:t>
      </w:r>
      <w:r w:rsidRPr="00037FAC">
        <w:rPr>
          <w:i/>
          <w:iCs/>
        </w:rPr>
        <w:t>in</w:t>
      </w:r>
      <w:r w:rsidRPr="00037FAC">
        <w:rPr>
          <w:i/>
          <w:iCs/>
          <w:spacing w:val="-2"/>
        </w:rPr>
        <w:t xml:space="preserve"> </w:t>
      </w:r>
      <w:r w:rsidRPr="00037FAC">
        <w:rPr>
          <w:i/>
          <w:iCs/>
        </w:rPr>
        <w:t>der</w:t>
      </w:r>
      <w:r w:rsidRPr="00037FAC">
        <w:rPr>
          <w:i/>
          <w:iCs/>
          <w:spacing w:val="-2"/>
        </w:rPr>
        <w:t xml:space="preserve"> </w:t>
      </w:r>
      <w:r w:rsidRPr="00037FAC">
        <w:rPr>
          <w:i/>
          <w:iCs/>
        </w:rPr>
        <w:t>Kommunikation für</w:t>
      </w:r>
      <w:r w:rsidRPr="00037FAC">
        <w:rPr>
          <w:i/>
          <w:iCs/>
          <w:spacing w:val="-4"/>
        </w:rPr>
        <w:t xml:space="preserve"> </w:t>
      </w:r>
      <w:r w:rsidRPr="00037FAC">
        <w:rPr>
          <w:i/>
          <w:iCs/>
        </w:rPr>
        <w:t>das</w:t>
      </w:r>
      <w:r w:rsidRPr="00037FAC">
        <w:rPr>
          <w:i/>
          <w:iCs/>
          <w:spacing w:val="-1"/>
        </w:rPr>
        <w:t xml:space="preserve"> </w:t>
      </w:r>
      <w:r w:rsidRPr="00037FAC">
        <w:rPr>
          <w:i/>
          <w:iCs/>
          <w:spacing w:val="-2"/>
        </w:rPr>
        <w:t>Arbeitsleben</w:t>
      </w:r>
    </w:p>
    <w:tbl>
      <w:tblPr>
        <w:tblStyle w:val="TableNormal"/>
        <w:tblW w:w="0" w:type="auto"/>
        <w:tblBorders>
          <w:top w:val="single" w:sz="4" w:space="0" w:color="000000"/>
          <w:bottom w:val="single" w:sz="4" w:space="0" w:color="000000"/>
          <w:insideH w:val="single" w:sz="4" w:space="0" w:color="000000"/>
        </w:tblBorders>
        <w:tblLayout w:type="fixed"/>
        <w:tblLook w:val="01E0" w:firstRow="1" w:lastRow="1" w:firstColumn="1" w:lastColumn="1" w:noHBand="0" w:noVBand="0"/>
      </w:tblPr>
      <w:tblGrid>
        <w:gridCol w:w="4536"/>
        <w:gridCol w:w="4536"/>
      </w:tblGrid>
      <w:tr w:rsidR="00FF7799" w:rsidRPr="00E73F6F" w14:paraId="776BA182" w14:textId="77777777" w:rsidTr="004A28F6">
        <w:trPr>
          <w:trHeight w:val="407"/>
          <w:tblHeader/>
        </w:trPr>
        <w:tc>
          <w:tcPr>
            <w:tcW w:w="4536" w:type="dxa"/>
            <w:shd w:val="clear" w:color="auto" w:fill="FFC000"/>
          </w:tcPr>
          <w:p w14:paraId="57604062" w14:textId="77777777" w:rsidR="00FF7799" w:rsidRPr="00E73F6F" w:rsidRDefault="00FF7799" w:rsidP="001B0511">
            <w:pPr>
              <w:pStyle w:val="StandardText"/>
              <w:spacing w:after="120"/>
              <w:jc w:val="center"/>
              <w:rPr>
                <w:b/>
                <w:lang w:val="de-DE"/>
              </w:rPr>
            </w:pPr>
            <w:r w:rsidRPr="00E73F6F">
              <w:rPr>
                <w:b/>
                <w:lang w:val="de-DE"/>
              </w:rPr>
              <w:t xml:space="preserve">Präferenz für </w:t>
            </w:r>
            <w:r w:rsidRPr="00E73F6F">
              <w:rPr>
                <w:b/>
                <w:lang w:val="de-DE"/>
              </w:rPr>
              <w:br/>
              <w:t>direkte Kommunikation</w:t>
            </w:r>
          </w:p>
        </w:tc>
        <w:tc>
          <w:tcPr>
            <w:tcW w:w="4536" w:type="dxa"/>
            <w:shd w:val="clear" w:color="auto" w:fill="FFC000"/>
          </w:tcPr>
          <w:p w14:paraId="2292DE6C" w14:textId="77777777" w:rsidR="00FF7799" w:rsidRPr="00E73F6F" w:rsidRDefault="00FF7799" w:rsidP="001B0511">
            <w:pPr>
              <w:pStyle w:val="StandardText"/>
              <w:spacing w:after="120"/>
              <w:jc w:val="center"/>
              <w:rPr>
                <w:b/>
                <w:lang w:val="de-DE"/>
              </w:rPr>
            </w:pPr>
            <w:r w:rsidRPr="00E73F6F">
              <w:rPr>
                <w:b/>
                <w:lang w:val="de-DE"/>
              </w:rPr>
              <w:t>Präferenz</w:t>
            </w:r>
            <w:r w:rsidRPr="00E73F6F">
              <w:rPr>
                <w:b/>
                <w:spacing w:val="-5"/>
                <w:lang w:val="de-DE"/>
              </w:rPr>
              <w:t xml:space="preserve"> </w:t>
            </w:r>
            <w:r w:rsidRPr="00E73F6F">
              <w:rPr>
                <w:b/>
                <w:lang w:val="de-DE"/>
              </w:rPr>
              <w:t>für</w:t>
            </w:r>
            <w:r w:rsidRPr="00E73F6F">
              <w:rPr>
                <w:b/>
                <w:spacing w:val="-7"/>
                <w:lang w:val="de-DE"/>
              </w:rPr>
              <w:t xml:space="preserve"> </w:t>
            </w:r>
            <w:r w:rsidRPr="00E73F6F">
              <w:rPr>
                <w:b/>
                <w:spacing w:val="-7"/>
                <w:lang w:val="de-DE"/>
              </w:rPr>
              <w:br/>
            </w:r>
            <w:r w:rsidRPr="00E73F6F">
              <w:rPr>
                <w:b/>
                <w:lang w:val="de-DE"/>
              </w:rPr>
              <w:t xml:space="preserve">indirekte </w:t>
            </w:r>
            <w:r w:rsidRPr="00E73F6F">
              <w:rPr>
                <w:b/>
                <w:spacing w:val="-2"/>
                <w:lang w:val="de-DE"/>
              </w:rPr>
              <w:t>Kommunikation</w:t>
            </w:r>
          </w:p>
        </w:tc>
      </w:tr>
      <w:tr w:rsidR="00FF7799" w:rsidRPr="00E73F6F" w14:paraId="27C5AA38" w14:textId="77777777" w:rsidTr="008408CC">
        <w:trPr>
          <w:trHeight w:val="375"/>
        </w:trPr>
        <w:tc>
          <w:tcPr>
            <w:tcW w:w="4536" w:type="dxa"/>
          </w:tcPr>
          <w:p w14:paraId="771FF4FB" w14:textId="77777777" w:rsidR="00FF7799" w:rsidRPr="00E73F6F" w:rsidRDefault="00FF7799" w:rsidP="00F40DE8">
            <w:pPr>
              <w:pStyle w:val="StandardTextAufzhlung"/>
              <w:ind w:left="426"/>
              <w:jc w:val="left"/>
              <w:rPr>
                <w:lang w:val="de-DE"/>
              </w:rPr>
            </w:pPr>
            <w:r w:rsidRPr="00E73F6F">
              <w:rPr>
                <w:lang w:val="de-DE"/>
              </w:rPr>
              <w:t>Zwischenmenschliche</w:t>
            </w:r>
            <w:r w:rsidRPr="00E73F6F">
              <w:rPr>
                <w:spacing w:val="73"/>
                <w:lang w:val="de-DE"/>
              </w:rPr>
              <w:t xml:space="preserve"> </w:t>
            </w:r>
            <w:r w:rsidRPr="00E73F6F">
              <w:rPr>
                <w:lang w:val="de-DE"/>
              </w:rPr>
              <w:t>Beziehungen</w:t>
            </w:r>
            <w:r w:rsidRPr="00E73F6F">
              <w:rPr>
                <w:spacing w:val="73"/>
                <w:lang w:val="de-DE"/>
              </w:rPr>
              <w:t xml:space="preserve"> </w:t>
            </w:r>
            <w:r w:rsidRPr="00E73F6F">
              <w:rPr>
                <w:lang w:val="de-DE"/>
              </w:rPr>
              <w:t>sind</w:t>
            </w:r>
            <w:r w:rsidRPr="00E73F6F">
              <w:rPr>
                <w:spacing w:val="40"/>
                <w:lang w:val="de-DE"/>
              </w:rPr>
              <w:t xml:space="preserve"> </w:t>
            </w:r>
            <w:r w:rsidRPr="00E73F6F">
              <w:rPr>
                <w:lang w:val="de-DE"/>
              </w:rPr>
              <w:t>kurzlebig und lose</w:t>
            </w:r>
          </w:p>
        </w:tc>
        <w:tc>
          <w:tcPr>
            <w:tcW w:w="4536" w:type="dxa"/>
          </w:tcPr>
          <w:p w14:paraId="20062BA9" w14:textId="77777777" w:rsidR="00FF7799" w:rsidRPr="00E73F6F" w:rsidRDefault="00FF7799" w:rsidP="00F40DE8">
            <w:pPr>
              <w:pStyle w:val="StandardTextAufzhlung"/>
              <w:ind w:left="426"/>
              <w:jc w:val="left"/>
              <w:rPr>
                <w:lang w:val="de-DE"/>
              </w:rPr>
            </w:pPr>
            <w:r w:rsidRPr="00E73F6F">
              <w:rPr>
                <w:lang w:val="de-DE"/>
              </w:rPr>
              <w:t>Zwischenmen</w:t>
            </w:r>
            <w:r w:rsidR="00C22CE3">
              <w:rPr>
                <w:lang w:val="de-DE"/>
              </w:rPr>
              <w:t>schliche Beziehungen sind lang</w:t>
            </w:r>
            <w:r w:rsidRPr="00E73F6F">
              <w:rPr>
                <w:lang w:val="de-DE"/>
              </w:rPr>
              <w:t>lebig und tief</w:t>
            </w:r>
          </w:p>
        </w:tc>
      </w:tr>
      <w:tr w:rsidR="00FF7799" w:rsidRPr="00E73F6F" w14:paraId="70B6DCB7" w14:textId="77777777" w:rsidTr="008408CC">
        <w:trPr>
          <w:trHeight w:val="372"/>
        </w:trPr>
        <w:tc>
          <w:tcPr>
            <w:tcW w:w="4536" w:type="dxa"/>
          </w:tcPr>
          <w:p w14:paraId="651FE62E" w14:textId="77777777" w:rsidR="00FF7799" w:rsidRPr="00E73F6F" w:rsidRDefault="00FF7799" w:rsidP="00F40DE8">
            <w:pPr>
              <w:pStyle w:val="StandardTextAufzhlung"/>
              <w:ind w:left="426"/>
              <w:jc w:val="left"/>
              <w:rPr>
                <w:lang w:val="de-DE"/>
              </w:rPr>
            </w:pPr>
            <w:r w:rsidRPr="00E73F6F">
              <w:rPr>
                <w:lang w:val="de-DE"/>
              </w:rPr>
              <w:t>Kommunikation</w:t>
            </w:r>
            <w:r w:rsidRPr="00E73F6F">
              <w:rPr>
                <w:spacing w:val="-4"/>
                <w:lang w:val="de-DE"/>
              </w:rPr>
              <w:t xml:space="preserve"> </w:t>
            </w:r>
            <w:r w:rsidRPr="00E73F6F">
              <w:rPr>
                <w:lang w:val="de-DE"/>
              </w:rPr>
              <w:t>ist</w:t>
            </w:r>
            <w:r w:rsidRPr="00E73F6F">
              <w:rPr>
                <w:spacing w:val="-4"/>
                <w:lang w:val="de-DE"/>
              </w:rPr>
              <w:t xml:space="preserve"> </w:t>
            </w:r>
            <w:r w:rsidRPr="00E73F6F">
              <w:rPr>
                <w:lang w:val="de-DE"/>
              </w:rPr>
              <w:t>sehr</w:t>
            </w:r>
            <w:r w:rsidRPr="00E73F6F">
              <w:rPr>
                <w:spacing w:val="-4"/>
                <w:lang w:val="de-DE"/>
              </w:rPr>
              <w:t xml:space="preserve"> </w:t>
            </w:r>
            <w:r w:rsidRPr="00E73F6F">
              <w:rPr>
                <w:spacing w:val="-2"/>
                <w:lang w:val="de-DE"/>
              </w:rPr>
              <w:t>explizit</w:t>
            </w:r>
          </w:p>
        </w:tc>
        <w:tc>
          <w:tcPr>
            <w:tcW w:w="4536" w:type="dxa"/>
          </w:tcPr>
          <w:p w14:paraId="13CE69A0" w14:textId="77777777" w:rsidR="00FF7799" w:rsidRPr="00E73F6F" w:rsidRDefault="00FF7799" w:rsidP="00F40DE8">
            <w:pPr>
              <w:pStyle w:val="StandardTextAufzhlung"/>
              <w:ind w:left="426"/>
              <w:jc w:val="left"/>
              <w:rPr>
                <w:lang w:val="de-DE"/>
              </w:rPr>
            </w:pPr>
            <w:r w:rsidRPr="00E73F6F">
              <w:rPr>
                <w:lang w:val="de-DE"/>
              </w:rPr>
              <w:t>In Alltagssituationen wird rasch und zügig kommuniziert</w:t>
            </w:r>
          </w:p>
        </w:tc>
      </w:tr>
      <w:tr w:rsidR="00FF7799" w:rsidRPr="00E73F6F" w14:paraId="6876D3DA" w14:textId="77777777" w:rsidTr="008408CC">
        <w:trPr>
          <w:trHeight w:val="372"/>
        </w:trPr>
        <w:tc>
          <w:tcPr>
            <w:tcW w:w="4536" w:type="dxa"/>
          </w:tcPr>
          <w:p w14:paraId="323E3E29" w14:textId="77777777" w:rsidR="00FF7799" w:rsidRPr="00E73F6F" w:rsidRDefault="00FF7799" w:rsidP="00F40DE8">
            <w:pPr>
              <w:pStyle w:val="StandardTextAufzhlung"/>
              <w:ind w:left="426"/>
              <w:jc w:val="left"/>
              <w:rPr>
                <w:lang w:val="de-DE"/>
              </w:rPr>
            </w:pPr>
            <w:r w:rsidRPr="00E73F6F">
              <w:rPr>
                <w:lang w:val="de-DE"/>
              </w:rPr>
              <w:t>Verantwortlichkeit</w:t>
            </w:r>
            <w:r w:rsidRPr="00E73F6F">
              <w:rPr>
                <w:spacing w:val="37"/>
                <w:lang w:val="de-DE"/>
              </w:rPr>
              <w:t xml:space="preserve"> </w:t>
            </w:r>
            <w:r w:rsidRPr="00E73F6F">
              <w:rPr>
                <w:lang w:val="de-DE"/>
              </w:rPr>
              <w:t>liegt</w:t>
            </w:r>
            <w:r w:rsidRPr="00E73F6F">
              <w:rPr>
                <w:spacing w:val="37"/>
                <w:lang w:val="de-DE"/>
              </w:rPr>
              <w:t xml:space="preserve"> </w:t>
            </w:r>
            <w:r w:rsidRPr="00E73F6F">
              <w:rPr>
                <w:lang w:val="de-DE"/>
              </w:rPr>
              <w:t>oft</w:t>
            </w:r>
            <w:r w:rsidRPr="00E73F6F">
              <w:rPr>
                <w:spacing w:val="37"/>
                <w:lang w:val="de-DE"/>
              </w:rPr>
              <w:t xml:space="preserve"> </w:t>
            </w:r>
            <w:r w:rsidRPr="00E73F6F">
              <w:rPr>
                <w:lang w:val="de-DE"/>
              </w:rPr>
              <w:t>im</w:t>
            </w:r>
            <w:r w:rsidRPr="00E73F6F">
              <w:rPr>
                <w:spacing w:val="37"/>
                <w:lang w:val="de-DE"/>
              </w:rPr>
              <w:t xml:space="preserve"> </w:t>
            </w:r>
            <w:r w:rsidRPr="00E73F6F">
              <w:rPr>
                <w:lang w:val="de-DE"/>
              </w:rPr>
              <w:t>(bürokratischen)</w:t>
            </w:r>
            <w:r w:rsidRPr="00E73F6F">
              <w:rPr>
                <w:spacing w:val="-6"/>
                <w:lang w:val="de-DE"/>
              </w:rPr>
              <w:t xml:space="preserve"> </w:t>
            </w:r>
            <w:r w:rsidRPr="00E73F6F">
              <w:rPr>
                <w:lang w:val="de-DE"/>
              </w:rPr>
              <w:t>System</w:t>
            </w:r>
          </w:p>
        </w:tc>
        <w:tc>
          <w:tcPr>
            <w:tcW w:w="4536" w:type="dxa"/>
          </w:tcPr>
          <w:p w14:paraId="18E3711B" w14:textId="77777777" w:rsidR="00FF7799" w:rsidRPr="00E73F6F" w:rsidRDefault="00FF7799" w:rsidP="00F40DE8">
            <w:pPr>
              <w:pStyle w:val="StandardTextAufzhlung"/>
              <w:ind w:left="426"/>
              <w:rPr>
                <w:lang w:val="de-DE"/>
              </w:rPr>
            </w:pPr>
            <w:r w:rsidRPr="00E73F6F">
              <w:rPr>
                <w:lang w:val="de-DE"/>
              </w:rPr>
              <w:t>Vorgesetzte fühlen</w:t>
            </w:r>
            <w:r w:rsidRPr="00E73F6F">
              <w:rPr>
                <w:lang w:val="de-DE"/>
              </w:rPr>
              <w:tab/>
              <w:t>sich</w:t>
            </w:r>
            <w:r w:rsidRPr="00E73F6F">
              <w:rPr>
                <w:lang w:val="de-DE"/>
              </w:rPr>
              <w:tab/>
              <w:t>persönlich verantwortlich für ihre Mitarbeiter</w:t>
            </w:r>
          </w:p>
        </w:tc>
      </w:tr>
      <w:tr w:rsidR="00FF7799" w:rsidRPr="00E73F6F" w14:paraId="495EE581" w14:textId="77777777" w:rsidTr="008408CC">
        <w:trPr>
          <w:trHeight w:val="372"/>
        </w:trPr>
        <w:tc>
          <w:tcPr>
            <w:tcW w:w="4536" w:type="dxa"/>
          </w:tcPr>
          <w:p w14:paraId="31AA3121" w14:textId="77777777" w:rsidR="00FF7799" w:rsidRPr="00E73F6F" w:rsidRDefault="00FF7799" w:rsidP="00F40DE8">
            <w:pPr>
              <w:pStyle w:val="StandardTextAufzhlung"/>
              <w:ind w:left="426"/>
              <w:jc w:val="left"/>
              <w:rPr>
                <w:lang w:val="de-DE"/>
              </w:rPr>
            </w:pPr>
            <w:r w:rsidRPr="00E73F6F">
              <w:rPr>
                <w:lang w:val="de-DE"/>
              </w:rPr>
              <w:t>Vereinbarungen</w:t>
            </w:r>
            <w:r w:rsidRPr="00E73F6F">
              <w:rPr>
                <w:spacing w:val="80"/>
                <w:lang w:val="de-DE"/>
              </w:rPr>
              <w:t xml:space="preserve"> </w:t>
            </w:r>
            <w:r w:rsidRPr="00E73F6F">
              <w:rPr>
                <w:lang w:val="de-DE"/>
              </w:rPr>
              <w:t>und</w:t>
            </w:r>
            <w:r w:rsidRPr="00E73F6F">
              <w:rPr>
                <w:spacing w:val="80"/>
                <w:lang w:val="de-DE"/>
              </w:rPr>
              <w:t xml:space="preserve"> </w:t>
            </w:r>
            <w:r w:rsidRPr="00E73F6F">
              <w:rPr>
                <w:lang w:val="de-DE"/>
              </w:rPr>
              <w:t>Verträge</w:t>
            </w:r>
            <w:r w:rsidRPr="00E73F6F">
              <w:rPr>
                <w:spacing w:val="80"/>
                <w:lang w:val="de-DE"/>
              </w:rPr>
              <w:t xml:space="preserve"> </w:t>
            </w:r>
            <w:r w:rsidRPr="00E73F6F">
              <w:rPr>
                <w:lang w:val="de-DE"/>
              </w:rPr>
              <w:t>werden</w:t>
            </w:r>
            <w:r w:rsidRPr="00E73F6F">
              <w:rPr>
                <w:spacing w:val="40"/>
                <w:lang w:val="de-DE"/>
              </w:rPr>
              <w:t xml:space="preserve"> </w:t>
            </w:r>
            <w:r w:rsidRPr="00E73F6F">
              <w:rPr>
                <w:lang w:val="de-DE"/>
              </w:rPr>
              <w:t>vorzugsweise schriftlich geschlossen</w:t>
            </w:r>
          </w:p>
        </w:tc>
        <w:tc>
          <w:tcPr>
            <w:tcW w:w="4536" w:type="dxa"/>
          </w:tcPr>
          <w:p w14:paraId="692B9E25" w14:textId="77777777" w:rsidR="00FF7799" w:rsidRPr="00E73F6F" w:rsidRDefault="00FF7799" w:rsidP="00F40DE8">
            <w:pPr>
              <w:pStyle w:val="StandardTextAufzhlung"/>
              <w:ind w:left="426"/>
              <w:jc w:val="left"/>
              <w:rPr>
                <w:lang w:val="de-DE"/>
              </w:rPr>
            </w:pPr>
            <w:r w:rsidRPr="00E73F6F">
              <w:rPr>
                <w:lang w:val="de-DE"/>
              </w:rPr>
              <w:t>Vereinbarungen</w:t>
            </w:r>
            <w:r w:rsidRPr="00E73F6F">
              <w:rPr>
                <w:lang w:val="de-DE"/>
              </w:rPr>
              <w:tab/>
              <w:t>und</w:t>
            </w:r>
            <w:r w:rsidRPr="00E73F6F">
              <w:rPr>
                <w:lang w:val="de-DE"/>
              </w:rPr>
              <w:tab/>
              <w:t>Verträge werden vorzugsweise mündlich geschlossen</w:t>
            </w:r>
          </w:p>
        </w:tc>
      </w:tr>
      <w:tr w:rsidR="00FF7799" w:rsidRPr="00E73F6F" w14:paraId="42851AFA" w14:textId="77777777" w:rsidTr="008408CC">
        <w:trPr>
          <w:trHeight w:val="371"/>
        </w:trPr>
        <w:tc>
          <w:tcPr>
            <w:tcW w:w="4536" w:type="dxa"/>
          </w:tcPr>
          <w:p w14:paraId="58976D90" w14:textId="77777777" w:rsidR="00FF7799" w:rsidRPr="00E73F6F" w:rsidRDefault="00FF7799" w:rsidP="00F40DE8">
            <w:pPr>
              <w:pStyle w:val="StandardTextAufzhlung"/>
              <w:ind w:left="426"/>
              <w:jc w:val="left"/>
              <w:rPr>
                <w:lang w:val="de-DE"/>
              </w:rPr>
            </w:pPr>
            <w:r w:rsidRPr="00E73F6F">
              <w:rPr>
                <w:lang w:val="de-DE"/>
              </w:rPr>
              <w:t>Keine</w:t>
            </w:r>
            <w:r w:rsidRPr="00E73F6F">
              <w:rPr>
                <w:spacing w:val="5"/>
                <w:lang w:val="de-DE"/>
              </w:rPr>
              <w:t xml:space="preserve"> </w:t>
            </w:r>
            <w:r w:rsidRPr="00E73F6F">
              <w:rPr>
                <w:lang w:val="de-DE"/>
              </w:rPr>
              <w:t>strikte</w:t>
            </w:r>
            <w:r w:rsidRPr="00E73F6F">
              <w:rPr>
                <w:spacing w:val="7"/>
                <w:lang w:val="de-DE"/>
              </w:rPr>
              <w:t xml:space="preserve"> </w:t>
            </w:r>
            <w:r w:rsidRPr="00E73F6F">
              <w:rPr>
                <w:lang w:val="de-DE"/>
              </w:rPr>
              <w:t>Trennung</w:t>
            </w:r>
            <w:r w:rsidRPr="00E73F6F">
              <w:rPr>
                <w:spacing w:val="6"/>
                <w:lang w:val="de-DE"/>
              </w:rPr>
              <w:t xml:space="preserve"> </w:t>
            </w:r>
            <w:r w:rsidRPr="00E73F6F">
              <w:rPr>
                <w:lang w:val="de-DE"/>
              </w:rPr>
              <w:t>zwischen</w:t>
            </w:r>
            <w:r w:rsidRPr="00E73F6F">
              <w:rPr>
                <w:spacing w:val="5"/>
                <w:lang w:val="de-DE"/>
              </w:rPr>
              <w:t xml:space="preserve"> </w:t>
            </w:r>
            <w:r w:rsidRPr="00E73F6F">
              <w:rPr>
                <w:lang w:val="de-DE"/>
              </w:rPr>
              <w:t>„in“-</w:t>
            </w:r>
            <w:r w:rsidRPr="00E73F6F">
              <w:rPr>
                <w:spacing w:val="5"/>
                <w:lang w:val="de-DE"/>
              </w:rPr>
              <w:t xml:space="preserve"> </w:t>
            </w:r>
            <w:r w:rsidRPr="00E73F6F">
              <w:rPr>
                <w:spacing w:val="-5"/>
                <w:lang w:val="de-DE"/>
              </w:rPr>
              <w:t xml:space="preserve">und </w:t>
            </w:r>
            <w:r w:rsidRPr="00E73F6F">
              <w:rPr>
                <w:spacing w:val="-2"/>
                <w:lang w:val="de-DE"/>
              </w:rPr>
              <w:t>„out-group“</w:t>
            </w:r>
          </w:p>
        </w:tc>
        <w:tc>
          <w:tcPr>
            <w:tcW w:w="4536" w:type="dxa"/>
          </w:tcPr>
          <w:p w14:paraId="44531623" w14:textId="3FFB605E" w:rsidR="00FF7799" w:rsidRPr="00E73F6F" w:rsidRDefault="00FF7799" w:rsidP="00F40DE8">
            <w:pPr>
              <w:pStyle w:val="StandardTextAufzhlung"/>
              <w:ind w:left="426"/>
              <w:jc w:val="left"/>
              <w:rPr>
                <w:lang w:val="de-DE"/>
              </w:rPr>
            </w:pPr>
            <w:r w:rsidRPr="00E73F6F">
              <w:rPr>
                <w:lang w:val="de-DE"/>
              </w:rPr>
              <w:t>Eindeutige Trennung zwischen „in“- und „out-group“</w:t>
            </w:r>
          </w:p>
        </w:tc>
      </w:tr>
      <w:tr w:rsidR="00FF7799" w:rsidRPr="00E73F6F" w14:paraId="1E061857" w14:textId="77777777" w:rsidTr="008408CC">
        <w:trPr>
          <w:trHeight w:val="401"/>
        </w:trPr>
        <w:tc>
          <w:tcPr>
            <w:tcW w:w="4536" w:type="dxa"/>
          </w:tcPr>
          <w:p w14:paraId="0768AFA2" w14:textId="77777777" w:rsidR="00FF7799" w:rsidRPr="00E73F6F" w:rsidRDefault="00FF7799" w:rsidP="00F40DE8">
            <w:pPr>
              <w:pStyle w:val="StandardTextAufzhlung"/>
              <w:ind w:left="426"/>
              <w:jc w:val="left"/>
              <w:rPr>
                <w:lang w:val="de-DE"/>
              </w:rPr>
            </w:pPr>
            <w:r w:rsidRPr="00E73F6F">
              <w:rPr>
                <w:lang w:val="de-DE"/>
              </w:rPr>
              <w:t>Orientierung</w:t>
            </w:r>
            <w:r w:rsidRPr="00E73F6F">
              <w:rPr>
                <w:spacing w:val="29"/>
                <w:lang w:val="de-DE"/>
              </w:rPr>
              <w:t xml:space="preserve"> </w:t>
            </w:r>
            <w:r w:rsidRPr="00E73F6F">
              <w:rPr>
                <w:lang w:val="de-DE"/>
              </w:rPr>
              <w:t>im</w:t>
            </w:r>
            <w:r w:rsidRPr="00E73F6F">
              <w:rPr>
                <w:spacing w:val="28"/>
                <w:lang w:val="de-DE"/>
              </w:rPr>
              <w:t xml:space="preserve"> </w:t>
            </w:r>
            <w:r w:rsidRPr="00E73F6F">
              <w:rPr>
                <w:lang w:val="de-DE"/>
              </w:rPr>
              <w:t>Konfliktfall</w:t>
            </w:r>
            <w:r w:rsidRPr="00E73F6F">
              <w:rPr>
                <w:spacing w:val="28"/>
                <w:lang w:val="de-DE"/>
              </w:rPr>
              <w:t xml:space="preserve"> </w:t>
            </w:r>
            <w:r w:rsidRPr="00E73F6F">
              <w:rPr>
                <w:lang w:val="de-DE"/>
              </w:rPr>
              <w:t>an</w:t>
            </w:r>
            <w:r w:rsidRPr="00E73F6F">
              <w:rPr>
                <w:spacing w:val="30"/>
                <w:lang w:val="de-DE"/>
              </w:rPr>
              <w:t xml:space="preserve"> </w:t>
            </w:r>
            <w:r w:rsidRPr="00E73F6F">
              <w:rPr>
                <w:lang w:val="de-DE"/>
              </w:rPr>
              <w:t>Gesetzen</w:t>
            </w:r>
            <w:r w:rsidRPr="00E73F6F">
              <w:rPr>
                <w:spacing w:val="40"/>
                <w:lang w:val="de-DE"/>
              </w:rPr>
              <w:t xml:space="preserve"> </w:t>
            </w:r>
            <w:r w:rsidRPr="00E73F6F">
              <w:rPr>
                <w:lang w:val="de-DE"/>
              </w:rPr>
              <w:t>und</w:t>
            </w:r>
            <w:r w:rsidRPr="00E73F6F">
              <w:rPr>
                <w:spacing w:val="-6"/>
                <w:lang w:val="de-DE"/>
              </w:rPr>
              <w:t xml:space="preserve"> </w:t>
            </w:r>
            <w:r w:rsidRPr="00E73F6F">
              <w:rPr>
                <w:lang w:val="de-DE"/>
              </w:rPr>
              <w:t>Verträgen</w:t>
            </w:r>
          </w:p>
        </w:tc>
        <w:tc>
          <w:tcPr>
            <w:tcW w:w="4536" w:type="dxa"/>
          </w:tcPr>
          <w:p w14:paraId="56267FEA" w14:textId="77777777" w:rsidR="00FF7799" w:rsidRPr="00E73F6F" w:rsidRDefault="00FF7799" w:rsidP="00F40DE8">
            <w:pPr>
              <w:pStyle w:val="StandardTextAufzhlung"/>
              <w:ind w:left="426"/>
              <w:jc w:val="left"/>
              <w:rPr>
                <w:lang w:val="de-DE"/>
              </w:rPr>
            </w:pPr>
            <w:r w:rsidRPr="00E73F6F">
              <w:rPr>
                <w:lang w:val="de-DE"/>
              </w:rPr>
              <w:t>Orientierung im Konfliktfall an zwischen- menschlichen Beziehungen</w:t>
            </w:r>
          </w:p>
        </w:tc>
      </w:tr>
    </w:tbl>
    <w:p w14:paraId="6AE07D65" w14:textId="77777777" w:rsidR="00FF7799" w:rsidRPr="00E73F6F" w:rsidRDefault="00FF7799" w:rsidP="00862DBA">
      <w:pPr>
        <w:spacing w:before="4"/>
        <w:rPr>
          <w:i/>
          <w:sz w:val="24"/>
          <w:szCs w:val="24"/>
        </w:rPr>
      </w:pPr>
    </w:p>
    <w:p w14:paraId="413789F2" w14:textId="77777777" w:rsidR="00FF7799" w:rsidRPr="00C22CE3" w:rsidRDefault="00FF7799" w:rsidP="008408CC">
      <w:pPr>
        <w:pStyle w:val="StandardText"/>
        <w:rPr>
          <w:sz w:val="22"/>
          <w:szCs w:val="22"/>
          <w:lang w:val="en-US"/>
        </w:rPr>
      </w:pPr>
      <w:r w:rsidRPr="00035E56">
        <w:rPr>
          <w:b/>
          <w:i/>
          <w:sz w:val="22"/>
          <w:szCs w:val="22"/>
          <w:lang w:val="en-US"/>
        </w:rPr>
        <w:t>Literatur:</w:t>
      </w:r>
      <w:r w:rsidRPr="00C22CE3">
        <w:rPr>
          <w:i/>
          <w:sz w:val="22"/>
          <w:szCs w:val="22"/>
          <w:lang w:val="en-US"/>
        </w:rPr>
        <w:t xml:space="preserve"> </w:t>
      </w:r>
      <w:r w:rsidRPr="00C22CE3">
        <w:rPr>
          <w:sz w:val="22"/>
          <w:szCs w:val="22"/>
          <w:lang w:val="en-US"/>
        </w:rPr>
        <w:t>Hall, E.T. (1976): Beyond</w:t>
      </w:r>
      <w:r w:rsidRPr="00C22CE3">
        <w:rPr>
          <w:spacing w:val="-1"/>
          <w:sz w:val="22"/>
          <w:szCs w:val="22"/>
          <w:lang w:val="en-US"/>
        </w:rPr>
        <w:t xml:space="preserve"> </w:t>
      </w:r>
      <w:r w:rsidRPr="00C22CE3">
        <w:rPr>
          <w:sz w:val="22"/>
          <w:szCs w:val="22"/>
          <w:lang w:val="en-US"/>
        </w:rPr>
        <w:t>Culture, Garden City/NY: Anchor Press.</w:t>
      </w:r>
      <w:r w:rsidRPr="00C22CE3">
        <w:rPr>
          <w:spacing w:val="40"/>
          <w:sz w:val="22"/>
          <w:szCs w:val="22"/>
          <w:lang w:val="en-US"/>
        </w:rPr>
        <w:t xml:space="preserve"> </w:t>
      </w:r>
      <w:r w:rsidRPr="00C22CE3">
        <w:rPr>
          <w:sz w:val="22"/>
          <w:szCs w:val="22"/>
          <w:lang w:val="en-US"/>
        </w:rPr>
        <w:t>Hall,</w:t>
      </w:r>
      <w:r w:rsidRPr="00C22CE3">
        <w:rPr>
          <w:spacing w:val="-1"/>
          <w:sz w:val="22"/>
          <w:szCs w:val="22"/>
          <w:lang w:val="en-US"/>
        </w:rPr>
        <w:t xml:space="preserve"> </w:t>
      </w:r>
      <w:r w:rsidRPr="00C22CE3">
        <w:rPr>
          <w:sz w:val="22"/>
          <w:szCs w:val="22"/>
          <w:lang w:val="en-US"/>
        </w:rPr>
        <w:t>E.T.;</w:t>
      </w:r>
      <w:r w:rsidRPr="00C22CE3">
        <w:rPr>
          <w:spacing w:val="40"/>
          <w:sz w:val="22"/>
          <w:szCs w:val="22"/>
          <w:lang w:val="en-US"/>
        </w:rPr>
        <w:t xml:space="preserve"> </w:t>
      </w:r>
      <w:r w:rsidRPr="00C22CE3">
        <w:rPr>
          <w:sz w:val="22"/>
          <w:szCs w:val="22"/>
          <w:lang w:val="en-US"/>
        </w:rPr>
        <w:t>Hall, M.R. (1990): Understanding Cultural Differences, Yarmouth/ME: Intercultural Press.</w:t>
      </w:r>
      <w:r w:rsidRPr="00C22CE3">
        <w:rPr>
          <w:spacing w:val="40"/>
          <w:sz w:val="22"/>
          <w:szCs w:val="22"/>
          <w:lang w:val="en-US"/>
        </w:rPr>
        <w:t xml:space="preserve"> </w:t>
      </w:r>
      <w:r w:rsidRPr="00C22CE3">
        <w:rPr>
          <w:sz w:val="22"/>
          <w:szCs w:val="22"/>
          <w:lang w:val="en-US"/>
        </w:rPr>
        <w:t>Kim, D.; Pan, Y.; Park, H.S. (1998): High- versus Low-Context Culture. A Comparison of</w:t>
      </w:r>
      <w:r w:rsidRPr="00C22CE3">
        <w:rPr>
          <w:spacing w:val="40"/>
          <w:sz w:val="22"/>
          <w:szCs w:val="22"/>
          <w:lang w:val="en-US"/>
        </w:rPr>
        <w:t xml:space="preserve"> </w:t>
      </w:r>
      <w:r w:rsidRPr="00C22CE3">
        <w:rPr>
          <w:sz w:val="22"/>
          <w:szCs w:val="22"/>
          <w:lang w:val="en-US"/>
        </w:rPr>
        <w:t>Chinese,</w:t>
      </w:r>
      <w:r w:rsidRPr="00C22CE3">
        <w:rPr>
          <w:spacing w:val="-7"/>
          <w:sz w:val="22"/>
          <w:szCs w:val="22"/>
          <w:lang w:val="en-US"/>
        </w:rPr>
        <w:t xml:space="preserve"> </w:t>
      </w:r>
      <w:r w:rsidRPr="00C22CE3">
        <w:rPr>
          <w:sz w:val="22"/>
          <w:szCs w:val="22"/>
          <w:lang w:val="en-US"/>
        </w:rPr>
        <w:t>Korean,</w:t>
      </w:r>
      <w:r w:rsidRPr="00C22CE3">
        <w:rPr>
          <w:spacing w:val="-7"/>
          <w:sz w:val="22"/>
          <w:szCs w:val="22"/>
          <w:lang w:val="en-US"/>
        </w:rPr>
        <w:t xml:space="preserve"> </w:t>
      </w:r>
      <w:r w:rsidRPr="00C22CE3">
        <w:rPr>
          <w:sz w:val="22"/>
          <w:szCs w:val="22"/>
          <w:lang w:val="en-US"/>
        </w:rPr>
        <w:t>and</w:t>
      </w:r>
      <w:r w:rsidRPr="00C22CE3">
        <w:rPr>
          <w:spacing w:val="-4"/>
          <w:sz w:val="22"/>
          <w:szCs w:val="22"/>
          <w:lang w:val="en-US"/>
        </w:rPr>
        <w:t xml:space="preserve"> </w:t>
      </w:r>
      <w:r w:rsidRPr="00C22CE3">
        <w:rPr>
          <w:sz w:val="22"/>
          <w:szCs w:val="22"/>
          <w:lang w:val="en-US"/>
        </w:rPr>
        <w:t>American</w:t>
      </w:r>
      <w:r w:rsidRPr="00C22CE3">
        <w:rPr>
          <w:spacing w:val="-6"/>
          <w:sz w:val="22"/>
          <w:szCs w:val="22"/>
          <w:lang w:val="en-US"/>
        </w:rPr>
        <w:t xml:space="preserve"> </w:t>
      </w:r>
      <w:r w:rsidRPr="00C22CE3">
        <w:rPr>
          <w:sz w:val="22"/>
          <w:szCs w:val="22"/>
          <w:lang w:val="en-US"/>
        </w:rPr>
        <w:t>Cultures,</w:t>
      </w:r>
      <w:r w:rsidRPr="00C22CE3">
        <w:rPr>
          <w:spacing w:val="-2"/>
          <w:sz w:val="22"/>
          <w:szCs w:val="22"/>
          <w:lang w:val="en-US"/>
        </w:rPr>
        <w:t xml:space="preserve"> </w:t>
      </w:r>
      <w:r w:rsidRPr="00C22CE3">
        <w:rPr>
          <w:sz w:val="22"/>
          <w:szCs w:val="22"/>
          <w:lang w:val="en-US"/>
        </w:rPr>
        <w:t>Psychology</w:t>
      </w:r>
      <w:r w:rsidRPr="00C22CE3">
        <w:rPr>
          <w:spacing w:val="-4"/>
          <w:sz w:val="22"/>
          <w:szCs w:val="22"/>
          <w:lang w:val="en-US"/>
        </w:rPr>
        <w:t xml:space="preserve"> </w:t>
      </w:r>
      <w:r w:rsidRPr="00C22CE3">
        <w:rPr>
          <w:sz w:val="22"/>
          <w:szCs w:val="22"/>
          <w:lang w:val="en-US"/>
        </w:rPr>
        <w:t>&amp;</w:t>
      </w:r>
      <w:r w:rsidRPr="00C22CE3">
        <w:rPr>
          <w:spacing w:val="-8"/>
          <w:sz w:val="22"/>
          <w:szCs w:val="22"/>
          <w:lang w:val="en-US"/>
        </w:rPr>
        <w:t xml:space="preserve"> </w:t>
      </w:r>
      <w:r w:rsidRPr="00C22CE3">
        <w:rPr>
          <w:sz w:val="22"/>
          <w:szCs w:val="22"/>
          <w:lang w:val="en-US"/>
        </w:rPr>
        <w:t>Marketing,</w:t>
      </w:r>
      <w:r w:rsidRPr="00C22CE3">
        <w:rPr>
          <w:spacing w:val="-5"/>
          <w:sz w:val="22"/>
          <w:szCs w:val="22"/>
          <w:lang w:val="en-US"/>
        </w:rPr>
        <w:t xml:space="preserve"> </w:t>
      </w:r>
      <w:r w:rsidRPr="00C22CE3">
        <w:rPr>
          <w:sz w:val="22"/>
          <w:szCs w:val="22"/>
          <w:lang w:val="en-US"/>
        </w:rPr>
        <w:t>15(6):</w:t>
      </w:r>
      <w:r w:rsidRPr="00C22CE3">
        <w:rPr>
          <w:spacing w:val="-7"/>
          <w:sz w:val="22"/>
          <w:szCs w:val="22"/>
          <w:lang w:val="en-US"/>
        </w:rPr>
        <w:t xml:space="preserve"> </w:t>
      </w:r>
      <w:r w:rsidRPr="00C22CE3">
        <w:rPr>
          <w:sz w:val="22"/>
          <w:szCs w:val="22"/>
          <w:lang w:val="en-US"/>
        </w:rPr>
        <w:t>507-521.</w:t>
      </w:r>
      <w:r w:rsidRPr="00C22CE3">
        <w:rPr>
          <w:spacing w:val="-7"/>
          <w:sz w:val="22"/>
          <w:szCs w:val="22"/>
          <w:lang w:val="en-US"/>
        </w:rPr>
        <w:t xml:space="preserve"> </w:t>
      </w:r>
      <w:r w:rsidRPr="00C22CE3">
        <w:rPr>
          <w:sz w:val="22"/>
          <w:szCs w:val="22"/>
        </w:rPr>
        <w:t>Knapp, K. (2003): Interpersonale und interkulturelle Kommunikation, in: Bergemann, N.;</w:t>
      </w:r>
      <w:r w:rsidRPr="00C22CE3">
        <w:rPr>
          <w:spacing w:val="40"/>
          <w:sz w:val="22"/>
          <w:szCs w:val="22"/>
        </w:rPr>
        <w:t xml:space="preserve"> </w:t>
      </w:r>
      <w:r w:rsidRPr="00C22CE3">
        <w:rPr>
          <w:sz w:val="22"/>
          <w:szCs w:val="22"/>
        </w:rPr>
        <w:t>Sourisseaux, A.L.J. (Hrsg.), Interkulturelles Management, 3.Aufl., 109-135, Berlin:</w:t>
      </w:r>
      <w:r w:rsidRPr="00C22CE3">
        <w:rPr>
          <w:spacing w:val="40"/>
          <w:sz w:val="22"/>
          <w:szCs w:val="22"/>
        </w:rPr>
        <w:t xml:space="preserve"> </w:t>
      </w:r>
      <w:r w:rsidRPr="00C22CE3">
        <w:rPr>
          <w:sz w:val="22"/>
          <w:szCs w:val="22"/>
        </w:rPr>
        <w:t>Springer.</w:t>
      </w:r>
      <w:r w:rsidRPr="00C22CE3">
        <w:rPr>
          <w:spacing w:val="40"/>
          <w:sz w:val="22"/>
          <w:szCs w:val="22"/>
        </w:rPr>
        <w:t xml:space="preserve"> </w:t>
      </w:r>
      <w:r w:rsidRPr="00C22CE3">
        <w:rPr>
          <w:sz w:val="22"/>
          <w:szCs w:val="22"/>
          <w:lang w:val="en-US"/>
        </w:rPr>
        <w:t>Tinsley, C.H. (1998): Models of Conflict Resolution in Japanese, German and</w:t>
      </w:r>
      <w:r w:rsidRPr="00C22CE3">
        <w:rPr>
          <w:spacing w:val="40"/>
          <w:sz w:val="22"/>
          <w:szCs w:val="22"/>
          <w:lang w:val="en-US"/>
        </w:rPr>
        <w:t xml:space="preserve"> </w:t>
      </w:r>
      <w:r w:rsidRPr="00C22CE3">
        <w:rPr>
          <w:sz w:val="22"/>
          <w:szCs w:val="22"/>
          <w:lang w:val="en-US"/>
        </w:rPr>
        <w:t>American Cultures, Journal of Applied Psychology, 83(2) 316-323.</w:t>
      </w:r>
      <w:r w:rsidRPr="00C22CE3">
        <w:rPr>
          <w:spacing w:val="40"/>
          <w:sz w:val="22"/>
          <w:szCs w:val="22"/>
          <w:lang w:val="en-US"/>
        </w:rPr>
        <w:t xml:space="preserve"> </w:t>
      </w:r>
      <w:r w:rsidRPr="00C22CE3">
        <w:rPr>
          <w:sz w:val="22"/>
          <w:szCs w:val="22"/>
          <w:lang w:val="en-US"/>
        </w:rPr>
        <w:t>Tinsley, C.H. (2001):</w:t>
      </w:r>
      <w:r w:rsidRPr="00C22CE3">
        <w:rPr>
          <w:spacing w:val="40"/>
          <w:sz w:val="22"/>
          <w:szCs w:val="22"/>
          <w:lang w:val="en-US"/>
        </w:rPr>
        <w:t xml:space="preserve"> </w:t>
      </w:r>
      <w:r w:rsidRPr="00C22CE3">
        <w:rPr>
          <w:sz w:val="22"/>
          <w:szCs w:val="22"/>
          <w:lang w:val="en-US"/>
        </w:rPr>
        <w:t>How</w:t>
      </w:r>
      <w:r w:rsidRPr="00C22CE3">
        <w:rPr>
          <w:spacing w:val="-6"/>
          <w:sz w:val="22"/>
          <w:szCs w:val="22"/>
          <w:lang w:val="en-US"/>
        </w:rPr>
        <w:t xml:space="preserve"> </w:t>
      </w:r>
      <w:r w:rsidRPr="00C22CE3">
        <w:rPr>
          <w:sz w:val="22"/>
          <w:szCs w:val="22"/>
          <w:lang w:val="en-US"/>
        </w:rPr>
        <w:t>Negotiators</w:t>
      </w:r>
      <w:r w:rsidRPr="00C22CE3">
        <w:rPr>
          <w:spacing w:val="-5"/>
          <w:sz w:val="22"/>
          <w:szCs w:val="22"/>
          <w:lang w:val="en-US"/>
        </w:rPr>
        <w:t xml:space="preserve"> </w:t>
      </w:r>
      <w:r w:rsidRPr="00C22CE3">
        <w:rPr>
          <w:sz w:val="22"/>
          <w:szCs w:val="22"/>
          <w:lang w:val="en-US"/>
        </w:rPr>
        <w:t>Get</w:t>
      </w:r>
      <w:r w:rsidRPr="00C22CE3">
        <w:rPr>
          <w:spacing w:val="-4"/>
          <w:sz w:val="22"/>
          <w:szCs w:val="22"/>
          <w:lang w:val="en-US"/>
        </w:rPr>
        <w:t xml:space="preserve"> </w:t>
      </w:r>
      <w:r w:rsidRPr="00C22CE3">
        <w:rPr>
          <w:sz w:val="22"/>
          <w:szCs w:val="22"/>
          <w:lang w:val="en-US"/>
        </w:rPr>
        <w:t>to</w:t>
      </w:r>
      <w:r w:rsidRPr="00C22CE3">
        <w:rPr>
          <w:spacing w:val="-4"/>
          <w:sz w:val="22"/>
          <w:szCs w:val="22"/>
          <w:lang w:val="en-US"/>
        </w:rPr>
        <w:t xml:space="preserve"> </w:t>
      </w:r>
      <w:r w:rsidRPr="00C22CE3">
        <w:rPr>
          <w:sz w:val="22"/>
          <w:szCs w:val="22"/>
          <w:lang w:val="en-US"/>
        </w:rPr>
        <w:t>Yes.</w:t>
      </w:r>
      <w:r w:rsidRPr="00C22CE3">
        <w:rPr>
          <w:spacing w:val="-5"/>
          <w:sz w:val="22"/>
          <w:szCs w:val="22"/>
          <w:lang w:val="en-US"/>
        </w:rPr>
        <w:t xml:space="preserve"> </w:t>
      </w:r>
      <w:r w:rsidRPr="00C22CE3">
        <w:rPr>
          <w:sz w:val="22"/>
          <w:szCs w:val="22"/>
          <w:lang w:val="en-US"/>
        </w:rPr>
        <w:t>Predicting</w:t>
      </w:r>
      <w:r w:rsidRPr="00C22CE3">
        <w:rPr>
          <w:spacing w:val="-6"/>
          <w:sz w:val="22"/>
          <w:szCs w:val="22"/>
          <w:lang w:val="en-US"/>
        </w:rPr>
        <w:t xml:space="preserve"> </w:t>
      </w:r>
      <w:r w:rsidRPr="00C22CE3">
        <w:rPr>
          <w:sz w:val="22"/>
          <w:szCs w:val="22"/>
          <w:lang w:val="en-US"/>
        </w:rPr>
        <w:t>the</w:t>
      </w:r>
      <w:r w:rsidRPr="00C22CE3">
        <w:rPr>
          <w:spacing w:val="-7"/>
          <w:sz w:val="22"/>
          <w:szCs w:val="22"/>
          <w:lang w:val="en-US"/>
        </w:rPr>
        <w:t xml:space="preserve"> </w:t>
      </w:r>
      <w:r w:rsidRPr="00C22CE3">
        <w:rPr>
          <w:sz w:val="22"/>
          <w:szCs w:val="22"/>
          <w:lang w:val="en-US"/>
        </w:rPr>
        <w:t>Constellation</w:t>
      </w:r>
      <w:r w:rsidRPr="00C22CE3">
        <w:rPr>
          <w:spacing w:val="-7"/>
          <w:sz w:val="22"/>
          <w:szCs w:val="22"/>
          <w:lang w:val="en-US"/>
        </w:rPr>
        <w:t xml:space="preserve"> </w:t>
      </w:r>
      <w:r w:rsidRPr="00C22CE3">
        <w:rPr>
          <w:sz w:val="22"/>
          <w:szCs w:val="22"/>
          <w:lang w:val="en-US"/>
        </w:rPr>
        <w:t>of</w:t>
      </w:r>
      <w:r w:rsidRPr="00C22CE3">
        <w:rPr>
          <w:spacing w:val="-6"/>
          <w:sz w:val="22"/>
          <w:szCs w:val="22"/>
          <w:lang w:val="en-US"/>
        </w:rPr>
        <w:t xml:space="preserve"> </w:t>
      </w:r>
      <w:r w:rsidRPr="00C22CE3">
        <w:rPr>
          <w:sz w:val="22"/>
          <w:szCs w:val="22"/>
          <w:lang w:val="en-US"/>
        </w:rPr>
        <w:t>Strategies</w:t>
      </w:r>
      <w:r w:rsidRPr="00C22CE3">
        <w:rPr>
          <w:spacing w:val="-2"/>
          <w:sz w:val="22"/>
          <w:szCs w:val="22"/>
          <w:lang w:val="en-US"/>
        </w:rPr>
        <w:t xml:space="preserve"> </w:t>
      </w:r>
      <w:r w:rsidRPr="00C22CE3">
        <w:rPr>
          <w:sz w:val="22"/>
          <w:szCs w:val="22"/>
          <w:lang w:val="en-US"/>
        </w:rPr>
        <w:t>Used</w:t>
      </w:r>
      <w:r w:rsidRPr="00C22CE3">
        <w:rPr>
          <w:spacing w:val="-4"/>
          <w:sz w:val="22"/>
          <w:szCs w:val="22"/>
          <w:lang w:val="en-US"/>
        </w:rPr>
        <w:t xml:space="preserve"> </w:t>
      </w:r>
      <w:r w:rsidRPr="00C22CE3">
        <w:rPr>
          <w:sz w:val="22"/>
          <w:szCs w:val="22"/>
          <w:lang w:val="en-US"/>
        </w:rPr>
        <w:t>across</w:t>
      </w:r>
      <w:r w:rsidRPr="00C22CE3">
        <w:rPr>
          <w:spacing w:val="-7"/>
          <w:sz w:val="22"/>
          <w:szCs w:val="22"/>
          <w:lang w:val="en-US"/>
        </w:rPr>
        <w:t xml:space="preserve"> </w:t>
      </w:r>
      <w:r w:rsidRPr="00C22CE3">
        <w:rPr>
          <w:sz w:val="22"/>
          <w:szCs w:val="22"/>
          <w:lang w:val="en-US"/>
        </w:rPr>
        <w:t>Cultures</w:t>
      </w:r>
      <w:r w:rsidRPr="00C22CE3">
        <w:rPr>
          <w:spacing w:val="40"/>
          <w:sz w:val="22"/>
          <w:szCs w:val="22"/>
          <w:lang w:val="en-US"/>
        </w:rPr>
        <w:t xml:space="preserve"> </w:t>
      </w:r>
      <w:r w:rsidRPr="00C22CE3">
        <w:rPr>
          <w:sz w:val="22"/>
          <w:szCs w:val="22"/>
          <w:lang w:val="en-US"/>
        </w:rPr>
        <w:t>to</w:t>
      </w:r>
      <w:r w:rsidRPr="00C22CE3">
        <w:rPr>
          <w:spacing w:val="-1"/>
          <w:sz w:val="22"/>
          <w:szCs w:val="22"/>
          <w:lang w:val="en-US"/>
        </w:rPr>
        <w:t xml:space="preserve"> </w:t>
      </w:r>
      <w:r w:rsidRPr="00C22CE3">
        <w:rPr>
          <w:sz w:val="22"/>
          <w:szCs w:val="22"/>
          <w:lang w:val="en-US"/>
        </w:rPr>
        <w:t>Negotiate</w:t>
      </w:r>
      <w:r w:rsidRPr="00C22CE3">
        <w:rPr>
          <w:spacing w:val="-1"/>
          <w:sz w:val="22"/>
          <w:szCs w:val="22"/>
          <w:lang w:val="en-US"/>
        </w:rPr>
        <w:t xml:space="preserve"> </w:t>
      </w:r>
      <w:r w:rsidRPr="00C22CE3">
        <w:rPr>
          <w:sz w:val="22"/>
          <w:szCs w:val="22"/>
          <w:lang w:val="en-US"/>
        </w:rPr>
        <w:t>Conflict, Journal</w:t>
      </w:r>
      <w:r w:rsidRPr="00C22CE3">
        <w:rPr>
          <w:spacing w:val="-1"/>
          <w:sz w:val="22"/>
          <w:szCs w:val="22"/>
          <w:lang w:val="en-US"/>
        </w:rPr>
        <w:t xml:space="preserve"> </w:t>
      </w:r>
      <w:r w:rsidRPr="00C22CE3">
        <w:rPr>
          <w:sz w:val="22"/>
          <w:szCs w:val="22"/>
          <w:lang w:val="en-US"/>
        </w:rPr>
        <w:t>of</w:t>
      </w:r>
      <w:r w:rsidRPr="00C22CE3">
        <w:rPr>
          <w:spacing w:val="-3"/>
          <w:sz w:val="22"/>
          <w:szCs w:val="22"/>
          <w:lang w:val="en-US"/>
        </w:rPr>
        <w:t xml:space="preserve"> </w:t>
      </w:r>
      <w:r w:rsidRPr="00C22CE3">
        <w:rPr>
          <w:sz w:val="22"/>
          <w:szCs w:val="22"/>
          <w:lang w:val="en-US"/>
        </w:rPr>
        <w:t>Applied Psychology, 86(4):</w:t>
      </w:r>
      <w:r w:rsidRPr="00C22CE3">
        <w:rPr>
          <w:spacing w:val="-3"/>
          <w:sz w:val="22"/>
          <w:szCs w:val="22"/>
          <w:lang w:val="en-US"/>
        </w:rPr>
        <w:t xml:space="preserve"> </w:t>
      </w:r>
      <w:r w:rsidRPr="00C22CE3">
        <w:rPr>
          <w:sz w:val="22"/>
          <w:szCs w:val="22"/>
          <w:lang w:val="en-US"/>
        </w:rPr>
        <w:t>583-593.</w:t>
      </w:r>
      <w:r w:rsidRPr="00C22CE3">
        <w:rPr>
          <w:spacing w:val="79"/>
          <w:sz w:val="22"/>
          <w:szCs w:val="22"/>
          <w:lang w:val="en-US"/>
        </w:rPr>
        <w:t xml:space="preserve"> </w:t>
      </w:r>
      <w:r w:rsidRPr="00C22CE3">
        <w:rPr>
          <w:sz w:val="22"/>
          <w:szCs w:val="22"/>
          <w:lang w:val="en-US"/>
        </w:rPr>
        <w:t>Tinsley,</w:t>
      </w:r>
      <w:r w:rsidRPr="00C22CE3">
        <w:rPr>
          <w:spacing w:val="-1"/>
          <w:sz w:val="22"/>
          <w:szCs w:val="22"/>
          <w:lang w:val="en-US"/>
        </w:rPr>
        <w:t xml:space="preserve"> </w:t>
      </w:r>
      <w:r w:rsidRPr="00C22CE3">
        <w:rPr>
          <w:sz w:val="22"/>
          <w:szCs w:val="22"/>
          <w:lang w:val="en-US"/>
        </w:rPr>
        <w:t>C.H.;</w:t>
      </w:r>
      <w:r w:rsidRPr="00C22CE3">
        <w:rPr>
          <w:spacing w:val="-3"/>
          <w:sz w:val="22"/>
          <w:szCs w:val="22"/>
          <w:lang w:val="en-US"/>
        </w:rPr>
        <w:t xml:space="preserve"> </w:t>
      </w:r>
      <w:r w:rsidRPr="00C22CE3">
        <w:rPr>
          <w:sz w:val="22"/>
          <w:szCs w:val="22"/>
          <w:lang w:val="en-US"/>
        </w:rPr>
        <w:t>Brett J.M. (2001): Managing Workplace Conflict in the United States and Hong Kong,</w:t>
      </w:r>
      <w:r w:rsidRPr="00C22CE3">
        <w:rPr>
          <w:spacing w:val="40"/>
          <w:sz w:val="22"/>
          <w:szCs w:val="22"/>
          <w:lang w:val="en-US"/>
        </w:rPr>
        <w:t xml:space="preserve"> </w:t>
      </w:r>
      <w:r w:rsidRPr="00C22CE3">
        <w:rPr>
          <w:sz w:val="22"/>
          <w:szCs w:val="22"/>
          <w:lang w:val="en-US"/>
        </w:rPr>
        <w:t>Organizational Behavior &amp; Human Decision Processes, 85(2): 360-381.</w:t>
      </w:r>
      <w:r w:rsidRPr="00C22CE3">
        <w:rPr>
          <w:spacing w:val="40"/>
          <w:sz w:val="22"/>
          <w:szCs w:val="22"/>
          <w:lang w:val="en-US"/>
        </w:rPr>
        <w:t xml:space="preserve"> </w:t>
      </w:r>
      <w:r w:rsidRPr="00C22CE3">
        <w:rPr>
          <w:sz w:val="22"/>
          <w:szCs w:val="22"/>
          <w:lang w:val="en-US"/>
        </w:rPr>
        <w:t>Triandis, H.C.</w:t>
      </w:r>
      <w:r w:rsidRPr="00C22CE3">
        <w:rPr>
          <w:spacing w:val="40"/>
          <w:sz w:val="22"/>
          <w:szCs w:val="22"/>
          <w:lang w:val="en-US"/>
        </w:rPr>
        <w:t xml:space="preserve"> </w:t>
      </w:r>
      <w:r w:rsidRPr="00C22CE3">
        <w:rPr>
          <w:sz w:val="22"/>
          <w:szCs w:val="22"/>
          <w:lang w:val="en-US"/>
        </w:rPr>
        <w:t>(1994): Culture and Social Behavior, New York: McGraw-Hill.</w:t>
      </w:r>
    </w:p>
    <w:p w14:paraId="0AB3E54E" w14:textId="77777777" w:rsidR="00FF7799" w:rsidRPr="00C22CE3" w:rsidRDefault="00FF7799" w:rsidP="00862DBA">
      <w:pPr>
        <w:jc w:val="both"/>
        <w:rPr>
          <w:i/>
          <w:lang w:val="en-US"/>
        </w:rPr>
      </w:pPr>
    </w:p>
    <w:p w14:paraId="32709364" w14:textId="77777777" w:rsidR="00FF7799" w:rsidRPr="00E73F6F" w:rsidRDefault="00FF7799" w:rsidP="00862DBA">
      <w:pPr>
        <w:spacing w:before="91"/>
        <w:rPr>
          <w:sz w:val="24"/>
          <w:szCs w:val="24"/>
        </w:rPr>
      </w:pPr>
      <w:r w:rsidRPr="007745DA">
        <w:rPr>
          <w:b/>
          <w:bCs/>
          <w:color w:val="2F5496" w:themeColor="accent5" w:themeShade="BF"/>
          <w:sz w:val="24"/>
        </w:rPr>
        <w:t>Distanz, genetische</w:t>
      </w:r>
      <w:r w:rsidRPr="00E73F6F">
        <w:rPr>
          <w:b/>
          <w:spacing w:val="-7"/>
          <w:sz w:val="24"/>
          <w:szCs w:val="24"/>
        </w:rPr>
        <w:t xml:space="preserve"> </w:t>
      </w:r>
      <w:r w:rsidRPr="00E73F6F">
        <w:rPr>
          <w:b/>
          <w:szCs w:val="24"/>
        </w:rPr>
        <w:t>→</w:t>
      </w:r>
      <w:r w:rsidRPr="00E73F6F">
        <w:rPr>
          <w:spacing w:val="-3"/>
          <w:sz w:val="24"/>
          <w:szCs w:val="24"/>
        </w:rPr>
        <w:t xml:space="preserve"> </w:t>
      </w:r>
      <w:r w:rsidRPr="00E73F6F">
        <w:rPr>
          <w:sz w:val="24"/>
          <w:szCs w:val="24"/>
        </w:rPr>
        <w:t>Determinismus,</w:t>
      </w:r>
      <w:r w:rsidRPr="00E73F6F">
        <w:rPr>
          <w:spacing w:val="-3"/>
          <w:sz w:val="24"/>
          <w:szCs w:val="24"/>
        </w:rPr>
        <w:t xml:space="preserve"> </w:t>
      </w:r>
      <w:r w:rsidRPr="00E73F6F">
        <w:rPr>
          <w:spacing w:val="-2"/>
          <w:sz w:val="24"/>
          <w:szCs w:val="24"/>
        </w:rPr>
        <w:t>genetischer</w:t>
      </w:r>
    </w:p>
    <w:p w14:paraId="23D323B2" w14:textId="77777777" w:rsidR="00FF7799" w:rsidRPr="007745DA" w:rsidRDefault="00FF7799" w:rsidP="00C03491">
      <w:pPr>
        <w:pStyle w:val="berschrift1"/>
        <w:rPr>
          <w:color w:val="2F5496" w:themeColor="accent5" w:themeShade="BF"/>
        </w:rPr>
      </w:pPr>
      <w:r w:rsidRPr="007745DA">
        <w:rPr>
          <w:color w:val="2F5496" w:themeColor="accent5" w:themeShade="BF"/>
        </w:rPr>
        <w:t>Distanz, kulturelle</w:t>
      </w:r>
    </w:p>
    <w:p w14:paraId="760D1843" w14:textId="77777777" w:rsidR="00FF7799" w:rsidRPr="00E73F6F" w:rsidRDefault="00FF7799" w:rsidP="00862DBA">
      <w:pPr>
        <w:spacing w:before="115"/>
        <w:jc w:val="both"/>
        <w:rPr>
          <w:spacing w:val="-2"/>
          <w:sz w:val="24"/>
          <w:szCs w:val="24"/>
        </w:rPr>
      </w:pPr>
      <w:r w:rsidRPr="00E73F6F">
        <w:rPr>
          <w:sz w:val="24"/>
          <w:szCs w:val="24"/>
        </w:rPr>
        <w:t xml:space="preserve">Konstrukt, </w:t>
      </w:r>
      <w:r w:rsidRPr="00E73F6F">
        <w:rPr>
          <w:rStyle w:val="StandardTextZchn1"/>
        </w:rPr>
        <w:t>welches den sozio-kulturellen Unterschied zwischen zwei Ländern erfasst (</w:t>
      </w:r>
      <w:r w:rsidRPr="00E73F6F">
        <w:rPr>
          <w:rStyle w:val="StandardTextZchn1"/>
          <w:rFonts w:ascii="Cambria Math" w:hAnsi="Cambria Math" w:cs="Cambria Math"/>
        </w:rPr>
        <w:t>⇒</w:t>
      </w:r>
      <w:r w:rsidRPr="00E73F6F">
        <w:rPr>
          <w:rStyle w:val="StandardTextZchn1"/>
        </w:rPr>
        <w:t xml:space="preserve"> Konstrukt). Zu den Operationalisierungen zählt u.a. der Vorschlag von Kim &amp; Hwang, kulturelle </w:t>
      </w:r>
      <w:r w:rsidRPr="00E73F6F">
        <w:rPr>
          <w:rStyle w:val="StandardTextZchn1"/>
        </w:rPr>
        <w:lastRenderedPageBreak/>
        <w:t>Distanz mit Hilfe des Indikators „Location Unfamiliarity“ zu ermittelten: Die befragten Manager sollten unmittelbar angeben, welche Unterschiede sie zwischen Heimat- und Gastlandmarkt in Bezug auf Landeskultur, politisches System und wirtschaftliche Bedingungen wahrnehmen. Bas</w:t>
      </w:r>
      <w:r w:rsidR="00C22CE3">
        <w:rPr>
          <w:rStyle w:val="StandardTextZchn1"/>
        </w:rPr>
        <w:t>anez et al. schlugen vor, die in der</w:t>
      </w:r>
      <w:r w:rsidRPr="00E73F6F">
        <w:rPr>
          <w:rStyle w:val="StandardTextZchn1"/>
        </w:rPr>
        <w:t xml:space="preserve"> World Values-Survey 1990/1991 erfassten Länder nach Maßgabe der dort genannten Kriterien jeweils in eine Rangfolge zu bringen. Da diese Studie 43 Länder berücksichtigt, beträgt die größtmögliche kulturelle Distanz (je Variable) 41. Denn zwischen dem jeweils erstplazierten (= 1. Rang) und dem letztplazierten Land (= 43. Rang) können allenfalls 41 Länder rangieren. Die kulturelle Distanz ist gleich 0, wenn kein Land zwischen zwei anderen liegt. Den Nutzen dieses Ansatzes demonstrierte R. Inglehart am Beispiel von sechs Variablen („Wichtigkeit von Arbeit, Familie, Freunde, Freizeit, Politik und Religion für das eigene Leben“). Die kulturelle Distanz der USA zu den Vergleichsländern berechnet sich demnach wie folgt: Weil bei den sechs betrachteten Kriterien im Durchschnitt 3,3 Länder zwischen den USA und Kanada lagen, beträgt die kulturelle Distanz zwischen beiden 3,3 (vgl. Abb.</w:t>
      </w:r>
      <w:r w:rsidR="005D1E16">
        <w:rPr>
          <w:rStyle w:val="StandardTextZchn1"/>
        </w:rPr>
        <w:t xml:space="preserve"> 1</w:t>
      </w:r>
      <w:r w:rsidRPr="00E73F6F">
        <w:rPr>
          <w:rStyle w:val="StandardTextZchn1"/>
        </w:rPr>
        <w:t>). Hingegen fielen die Angaben von Chinesen und Amerikanern derart unterschiedlich aus, dass durchschnittlich nahezu</w:t>
      </w:r>
      <w:r w:rsidRPr="00E73F6F">
        <w:rPr>
          <w:sz w:val="24"/>
          <w:szCs w:val="24"/>
        </w:rPr>
        <w:t xml:space="preserve"> 24 Länder zwischen diesen beiden platziert waren (= </w:t>
      </w:r>
      <w:r w:rsidRPr="00E73F6F">
        <w:rPr>
          <w:spacing w:val="-2"/>
          <w:sz w:val="24"/>
          <w:szCs w:val="24"/>
        </w:rPr>
        <w:t>23,8).</w:t>
      </w:r>
    </w:p>
    <w:p w14:paraId="6F68AFCF" w14:textId="77777777" w:rsidR="004A28F6" w:rsidRPr="00E73F6F" w:rsidRDefault="004A28F6" w:rsidP="00862DBA">
      <w:pPr>
        <w:spacing w:before="115"/>
        <w:jc w:val="both"/>
        <w:rPr>
          <w:sz w:val="24"/>
          <w:szCs w:val="24"/>
        </w:rPr>
      </w:pPr>
    </w:p>
    <w:p w14:paraId="1E2D8094" w14:textId="77777777" w:rsidR="00FF7799" w:rsidRPr="00C76DC3" w:rsidRDefault="00FF7799" w:rsidP="00EF3983">
      <w:pPr>
        <w:pStyle w:val="BeschriftungTab"/>
        <w:rPr>
          <w:i/>
          <w:iCs/>
          <w:spacing w:val="-2"/>
        </w:rPr>
      </w:pPr>
      <w:r w:rsidRPr="00C76DC3">
        <w:rPr>
          <w:i/>
          <w:iCs/>
        </w:rPr>
        <w:t>Abb.</w:t>
      </w:r>
      <w:r w:rsidRPr="00C76DC3">
        <w:rPr>
          <w:i/>
          <w:iCs/>
          <w:spacing w:val="-3"/>
        </w:rPr>
        <w:t xml:space="preserve"> </w:t>
      </w:r>
      <w:r w:rsidRPr="00C76DC3">
        <w:rPr>
          <w:i/>
          <w:iCs/>
        </w:rPr>
        <w:t>1: Kulturelle</w:t>
      </w:r>
      <w:r w:rsidRPr="00C76DC3">
        <w:rPr>
          <w:i/>
          <w:iCs/>
          <w:spacing w:val="-2"/>
        </w:rPr>
        <w:t xml:space="preserve"> </w:t>
      </w:r>
      <w:r w:rsidRPr="00C76DC3">
        <w:rPr>
          <w:i/>
          <w:iCs/>
        </w:rPr>
        <w:t>Distanz</w:t>
      </w:r>
      <w:r w:rsidRPr="00C76DC3">
        <w:rPr>
          <w:i/>
          <w:iCs/>
          <w:spacing w:val="-4"/>
        </w:rPr>
        <w:t xml:space="preserve"> </w:t>
      </w:r>
      <w:r w:rsidRPr="00C76DC3">
        <w:rPr>
          <w:i/>
          <w:iCs/>
        </w:rPr>
        <w:t>der</w:t>
      </w:r>
      <w:r w:rsidRPr="00C76DC3">
        <w:rPr>
          <w:i/>
          <w:iCs/>
          <w:spacing w:val="-1"/>
        </w:rPr>
        <w:t xml:space="preserve"> </w:t>
      </w:r>
      <w:r w:rsidRPr="00C76DC3">
        <w:rPr>
          <w:i/>
          <w:iCs/>
        </w:rPr>
        <w:t>USA</w:t>
      </w:r>
      <w:r w:rsidRPr="00C76DC3">
        <w:rPr>
          <w:i/>
          <w:iCs/>
          <w:spacing w:val="-1"/>
        </w:rPr>
        <w:t xml:space="preserve"> </w:t>
      </w:r>
      <w:r w:rsidRPr="00C76DC3">
        <w:rPr>
          <w:i/>
          <w:iCs/>
        </w:rPr>
        <w:t>zu</w:t>
      </w:r>
      <w:r w:rsidRPr="00C76DC3">
        <w:rPr>
          <w:i/>
          <w:iCs/>
          <w:spacing w:val="-1"/>
        </w:rPr>
        <w:t xml:space="preserve"> </w:t>
      </w:r>
      <w:r w:rsidRPr="00C76DC3">
        <w:rPr>
          <w:i/>
          <w:iCs/>
        </w:rPr>
        <w:t>ausgewählten</w:t>
      </w:r>
      <w:r w:rsidRPr="00C76DC3">
        <w:rPr>
          <w:i/>
          <w:iCs/>
          <w:spacing w:val="-1"/>
        </w:rPr>
        <w:t xml:space="preserve"> </w:t>
      </w:r>
      <w:r w:rsidRPr="00C76DC3">
        <w:rPr>
          <w:i/>
          <w:iCs/>
          <w:spacing w:val="-2"/>
        </w:rPr>
        <w:t>Ländern</w:t>
      </w:r>
    </w:p>
    <w:p w14:paraId="52AA624A" w14:textId="77777777" w:rsidR="00746E18" w:rsidRDefault="00746E18" w:rsidP="00EF3983">
      <w:pPr>
        <w:pStyle w:val="BeschriftungTab"/>
        <w:rPr>
          <w:spacing w:val="-2"/>
        </w:rPr>
      </w:pPr>
      <w:r>
        <w:rPr>
          <w:noProof/>
          <w:spacing w:val="-2"/>
        </w:rPr>
        <w:drawing>
          <wp:inline distT="0" distB="0" distL="0" distR="0" wp14:anchorId="0F8542E0" wp14:editId="066333FD">
            <wp:extent cx="5757695" cy="2381250"/>
            <wp:effectExtent l="0" t="0" r="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77322" cy="2389367"/>
                    </a:xfrm>
                    <a:prstGeom prst="rect">
                      <a:avLst/>
                    </a:prstGeom>
                    <a:noFill/>
                  </pic:spPr>
                </pic:pic>
              </a:graphicData>
            </a:graphic>
          </wp:inline>
        </w:drawing>
      </w:r>
    </w:p>
    <w:p w14:paraId="6D899762" w14:textId="77777777" w:rsidR="00FF7799" w:rsidRPr="00E73F6F" w:rsidRDefault="00FF7799" w:rsidP="00EF3983">
      <w:pPr>
        <w:pStyle w:val="Quellen"/>
      </w:pPr>
      <w:r w:rsidRPr="00E73F6F">
        <w:rPr>
          <w:spacing w:val="-2"/>
        </w:rPr>
        <w:t>Quelle:</w:t>
      </w:r>
      <w:r w:rsidRPr="00E73F6F">
        <w:t xml:space="preserve"> Inglehart</w:t>
      </w:r>
      <w:r w:rsidRPr="00E73F6F">
        <w:rPr>
          <w:spacing w:val="-7"/>
        </w:rPr>
        <w:t xml:space="preserve"> </w:t>
      </w:r>
      <w:r w:rsidRPr="00E73F6F">
        <w:t>(1998,</w:t>
      </w:r>
      <w:r w:rsidRPr="00E73F6F">
        <w:rPr>
          <w:spacing w:val="-8"/>
        </w:rPr>
        <w:t xml:space="preserve"> </w:t>
      </w:r>
      <w:r w:rsidRPr="00E73F6F">
        <w:t>S.139);</w:t>
      </w:r>
      <w:r w:rsidRPr="00E73F6F">
        <w:rPr>
          <w:spacing w:val="-6"/>
        </w:rPr>
        <w:t xml:space="preserve"> </w:t>
      </w:r>
      <w:r w:rsidRPr="00E73F6F">
        <w:t>eigene</w:t>
      </w:r>
      <w:r w:rsidRPr="00E73F6F">
        <w:rPr>
          <w:spacing w:val="-5"/>
        </w:rPr>
        <w:t xml:space="preserve"> </w:t>
      </w:r>
      <w:r w:rsidRPr="00E73F6F">
        <w:rPr>
          <w:spacing w:val="-2"/>
        </w:rPr>
        <w:t>Darstellung.</w:t>
      </w:r>
    </w:p>
    <w:p w14:paraId="52817706" w14:textId="77777777" w:rsidR="00C22CE3" w:rsidRDefault="00C22CE3" w:rsidP="00EF3983">
      <w:pPr>
        <w:pStyle w:val="StandardText"/>
      </w:pPr>
    </w:p>
    <w:p w14:paraId="4BBFF4B9" w14:textId="77777777" w:rsidR="00FF7799" w:rsidRPr="00035E56" w:rsidRDefault="00FF7799" w:rsidP="00EF3983">
      <w:pPr>
        <w:pStyle w:val="StandardText"/>
      </w:pPr>
      <w:r w:rsidRPr="00035E56">
        <w:t>Der Kogut-/Singh-Index beruht auf den Hofstede-Kulturdimensionen</w:t>
      </w:r>
      <w:r w:rsidR="007F2875">
        <w:t xml:space="preserve"> (</w:t>
      </w:r>
      <w:r w:rsidR="007F2875">
        <w:sym w:font="Symbol" w:char="F0DE"/>
      </w:r>
      <w:r w:rsidR="007F2875">
        <w:t xml:space="preserve"> Kulturdimension)</w:t>
      </w:r>
      <w:r w:rsidRPr="00035E56">
        <w:t xml:space="preserve">. Berechnet </w:t>
      </w:r>
      <w:r w:rsidRPr="00035E56">
        <w:rPr>
          <w:position w:val="1"/>
        </w:rPr>
        <w:t>wird der Unterschied zwischen zwei Ländern (CD</w:t>
      </w:r>
      <w:r w:rsidRPr="00035E56">
        <w:t>ju</w:t>
      </w:r>
      <w:r w:rsidRPr="00035E56">
        <w:rPr>
          <w:position w:val="1"/>
        </w:rPr>
        <w:t xml:space="preserve">) </w:t>
      </w:r>
      <w:r w:rsidR="004A28F6" w:rsidRPr="00035E56">
        <w:rPr>
          <w:position w:val="1"/>
        </w:rPr>
        <w:t>nachfolgender</w:t>
      </w:r>
      <w:r w:rsidRPr="00035E56">
        <w:rPr>
          <w:position w:val="1"/>
        </w:rPr>
        <w:t xml:space="preserve"> Formel:</w:t>
      </w:r>
    </w:p>
    <w:p w14:paraId="1E1C4B5B" w14:textId="77777777" w:rsidR="00FF7799" w:rsidRPr="00E73F6F" w:rsidRDefault="00FF7799" w:rsidP="00EF3983">
      <w:pPr>
        <w:pStyle w:val="StandardText"/>
      </w:pPr>
    </w:p>
    <w:tbl>
      <w:tblPr>
        <w:tblW w:w="5000" w:type="pct"/>
        <w:tblBorders>
          <w:top w:val="single" w:sz="4" w:space="0" w:color="auto"/>
          <w:left w:val="single" w:sz="4" w:space="0" w:color="auto"/>
          <w:bottom w:val="single" w:sz="4" w:space="0" w:color="auto"/>
          <w:right w:val="single" w:sz="4" w:space="0" w:color="auto"/>
        </w:tblBorders>
        <w:tblCellMar>
          <w:left w:w="85" w:type="dxa"/>
          <w:right w:w="85" w:type="dxa"/>
        </w:tblCellMar>
        <w:tblLook w:val="0000" w:firstRow="0" w:lastRow="0" w:firstColumn="0" w:lastColumn="0" w:noHBand="0" w:noVBand="0"/>
      </w:tblPr>
      <w:tblGrid>
        <w:gridCol w:w="9062"/>
      </w:tblGrid>
      <w:tr w:rsidR="00FF7799" w:rsidRPr="00E73F6F" w14:paraId="0DBEC643" w14:textId="77777777" w:rsidTr="00C22CE3">
        <w:trPr>
          <w:trHeight w:val="1635"/>
        </w:trPr>
        <w:tc>
          <w:tcPr>
            <w:tcW w:w="5000" w:type="pct"/>
            <w:shd w:val="clear" w:color="auto" w:fill="DEEAF6" w:themeFill="accent1" w:themeFillTint="33"/>
          </w:tcPr>
          <w:p w14:paraId="3E8395FC" w14:textId="77777777" w:rsidR="00FF7799" w:rsidRPr="00E73F6F" w:rsidRDefault="00FF7799" w:rsidP="00862DBA">
            <w:pPr>
              <w:widowControl/>
              <w:autoSpaceDE/>
              <w:autoSpaceDN/>
              <w:jc w:val="center"/>
              <w:rPr>
                <w:sz w:val="24"/>
                <w:szCs w:val="24"/>
                <w:lang w:eastAsia="de-DE"/>
              </w:rPr>
            </w:pPr>
          </w:p>
          <w:p w14:paraId="591DB9AA" w14:textId="77777777" w:rsidR="00FF7799" w:rsidRPr="00E73F6F" w:rsidRDefault="00FF7799" w:rsidP="00862DBA">
            <w:pPr>
              <w:widowControl/>
              <w:autoSpaceDE/>
              <w:autoSpaceDN/>
              <w:jc w:val="center"/>
              <w:rPr>
                <w:sz w:val="24"/>
                <w:szCs w:val="24"/>
                <w:lang w:eastAsia="de-DE"/>
              </w:rPr>
            </w:pPr>
            <w:r w:rsidRPr="00E73F6F">
              <w:rPr>
                <w:position w:val="-24"/>
                <w:sz w:val="24"/>
                <w:szCs w:val="24"/>
                <w:lang w:eastAsia="de-DE"/>
              </w:rPr>
              <w:object w:dxaOrig="2180" w:dyaOrig="999" w14:anchorId="26CE359F">
                <v:shape id="_x0000_i1025" type="#_x0000_t75" style="width:108.35pt;height:50.65pt" o:ole="">
                  <v:imagedata r:id="rId37" o:title=""/>
                </v:shape>
                <o:OLEObject Type="Embed" ProgID="Equation.3" ShapeID="_x0000_i1025" DrawAspect="Content" ObjectID="_1832503124" r:id="rId38"/>
              </w:object>
            </w:r>
            <w:r w:rsidRPr="00E73F6F">
              <w:rPr>
                <w:position w:val="-10"/>
                <w:sz w:val="24"/>
                <w:szCs w:val="24"/>
                <w:lang w:eastAsia="de-DE"/>
              </w:rPr>
              <w:object w:dxaOrig="180" w:dyaOrig="340" w14:anchorId="4FEBDDE4">
                <v:shape id="_x0000_i1026" type="#_x0000_t75" style="width:7.1pt;height:14.25pt" o:ole="">
                  <v:imagedata r:id="rId39" o:title=""/>
                </v:shape>
                <o:OLEObject Type="Embed" ProgID="Equation.3" ShapeID="_x0000_i1026" DrawAspect="Content" ObjectID="_1832503125" r:id="rId40"/>
              </w:object>
            </w:r>
          </w:p>
          <w:p w14:paraId="646895C8" w14:textId="77777777" w:rsidR="00FF7799" w:rsidRPr="00E73F6F" w:rsidRDefault="00FF7799" w:rsidP="00862DBA">
            <w:pPr>
              <w:widowControl/>
              <w:autoSpaceDE/>
              <w:autoSpaceDN/>
              <w:jc w:val="both"/>
              <w:rPr>
                <w:bCs/>
                <w:sz w:val="24"/>
                <w:szCs w:val="24"/>
                <w:lang w:eastAsia="de-DE"/>
              </w:rPr>
            </w:pPr>
          </w:p>
          <w:p w14:paraId="1B47107F" w14:textId="77777777" w:rsidR="00FF7799" w:rsidRPr="00E73F6F" w:rsidRDefault="00FF7799" w:rsidP="00862DBA">
            <w:pPr>
              <w:widowControl/>
              <w:autoSpaceDE/>
              <w:autoSpaceDN/>
              <w:jc w:val="both"/>
              <w:rPr>
                <w:bCs/>
                <w:sz w:val="24"/>
                <w:szCs w:val="24"/>
                <w:lang w:eastAsia="de-DE"/>
              </w:rPr>
            </w:pPr>
            <w:r w:rsidRPr="00E73F6F">
              <w:rPr>
                <w:bCs/>
                <w:sz w:val="24"/>
                <w:szCs w:val="24"/>
                <w:lang w:eastAsia="de-DE"/>
              </w:rPr>
              <w:t>CD</w:t>
            </w:r>
            <w:r w:rsidRPr="00E73F6F">
              <w:rPr>
                <w:bCs/>
                <w:sz w:val="24"/>
                <w:szCs w:val="24"/>
                <w:vertAlign w:val="subscript"/>
                <w:lang w:eastAsia="de-DE"/>
              </w:rPr>
              <w:t>AB</w:t>
            </w:r>
            <w:r w:rsidRPr="00E73F6F">
              <w:rPr>
                <w:bCs/>
                <w:sz w:val="24"/>
                <w:szCs w:val="24"/>
                <w:lang w:eastAsia="de-DE"/>
              </w:rPr>
              <w:tab/>
              <w:t>= Kulturelle Distanz zwischen Kultur A und Kultur B</w:t>
            </w:r>
          </w:p>
          <w:p w14:paraId="10508EC3" w14:textId="77777777" w:rsidR="00FF7799" w:rsidRPr="00E73F6F" w:rsidRDefault="00FF7799" w:rsidP="00862DBA">
            <w:pPr>
              <w:widowControl/>
              <w:autoSpaceDE/>
              <w:autoSpaceDN/>
              <w:jc w:val="both"/>
              <w:rPr>
                <w:bCs/>
                <w:sz w:val="24"/>
                <w:szCs w:val="24"/>
                <w:lang w:eastAsia="de-DE"/>
              </w:rPr>
            </w:pPr>
            <w:r w:rsidRPr="00E73F6F">
              <w:rPr>
                <w:bCs/>
                <w:sz w:val="24"/>
                <w:szCs w:val="24"/>
                <w:lang w:eastAsia="de-DE"/>
              </w:rPr>
              <w:t>I</w:t>
            </w:r>
            <w:r w:rsidRPr="00E73F6F">
              <w:rPr>
                <w:bCs/>
                <w:sz w:val="24"/>
                <w:szCs w:val="24"/>
                <w:vertAlign w:val="subscript"/>
                <w:lang w:eastAsia="de-DE"/>
              </w:rPr>
              <w:t>iA</w:t>
            </w:r>
            <w:r w:rsidRPr="00E73F6F">
              <w:rPr>
                <w:bCs/>
                <w:sz w:val="24"/>
                <w:szCs w:val="24"/>
                <w:lang w:eastAsia="de-DE"/>
              </w:rPr>
              <w:tab/>
              <w:t xml:space="preserve">= Index der i-ten Kulturdimension (nach </w:t>
            </w:r>
            <w:r w:rsidRPr="00E73F6F">
              <w:rPr>
                <w:bCs/>
                <w:i/>
                <w:sz w:val="24"/>
                <w:szCs w:val="24"/>
                <w:lang w:eastAsia="de-DE"/>
              </w:rPr>
              <w:t>Hofstede) i</w:t>
            </w:r>
            <w:r w:rsidRPr="00E73F6F">
              <w:rPr>
                <w:bCs/>
                <w:sz w:val="24"/>
                <w:szCs w:val="24"/>
                <w:lang w:eastAsia="de-DE"/>
              </w:rPr>
              <w:t>n Kultur A</w:t>
            </w:r>
          </w:p>
          <w:p w14:paraId="7D819246" w14:textId="77777777" w:rsidR="00FF7799" w:rsidRPr="00E73F6F" w:rsidRDefault="00FF7799" w:rsidP="00862DBA">
            <w:pPr>
              <w:widowControl/>
              <w:autoSpaceDE/>
              <w:autoSpaceDN/>
              <w:jc w:val="both"/>
              <w:rPr>
                <w:bCs/>
                <w:sz w:val="24"/>
                <w:szCs w:val="24"/>
                <w:lang w:eastAsia="de-DE"/>
              </w:rPr>
            </w:pPr>
            <w:r w:rsidRPr="00E73F6F">
              <w:rPr>
                <w:bCs/>
                <w:sz w:val="24"/>
                <w:szCs w:val="24"/>
                <w:lang w:eastAsia="de-DE"/>
              </w:rPr>
              <w:t>I</w:t>
            </w:r>
            <w:r w:rsidRPr="00E73F6F">
              <w:rPr>
                <w:bCs/>
                <w:sz w:val="24"/>
                <w:szCs w:val="24"/>
                <w:vertAlign w:val="subscript"/>
                <w:lang w:eastAsia="de-DE"/>
              </w:rPr>
              <w:t>iB</w:t>
            </w:r>
            <w:r w:rsidRPr="00E73F6F">
              <w:rPr>
                <w:bCs/>
                <w:sz w:val="24"/>
                <w:szCs w:val="24"/>
                <w:lang w:eastAsia="de-DE"/>
              </w:rPr>
              <w:tab/>
              <w:t xml:space="preserve">= Index der i-ten Kulturdimension (nach </w:t>
            </w:r>
            <w:r w:rsidRPr="00E73F6F">
              <w:rPr>
                <w:bCs/>
                <w:i/>
                <w:sz w:val="24"/>
                <w:szCs w:val="24"/>
                <w:lang w:eastAsia="de-DE"/>
              </w:rPr>
              <w:t xml:space="preserve">Hofstede) </w:t>
            </w:r>
            <w:r w:rsidRPr="00E73F6F">
              <w:rPr>
                <w:bCs/>
                <w:sz w:val="24"/>
                <w:szCs w:val="24"/>
                <w:lang w:eastAsia="de-DE"/>
              </w:rPr>
              <w:t>in Kultur B</w:t>
            </w:r>
          </w:p>
          <w:p w14:paraId="6ED5738C" w14:textId="77777777" w:rsidR="00FF7799" w:rsidRPr="00E73F6F" w:rsidRDefault="00FF7799" w:rsidP="00862DBA">
            <w:pPr>
              <w:widowControl/>
              <w:autoSpaceDE/>
              <w:autoSpaceDN/>
              <w:spacing w:after="40"/>
              <w:jc w:val="both"/>
              <w:rPr>
                <w:bCs/>
                <w:sz w:val="24"/>
                <w:szCs w:val="24"/>
                <w:lang w:eastAsia="de-DE"/>
              </w:rPr>
            </w:pPr>
            <w:r w:rsidRPr="00E73F6F">
              <w:rPr>
                <w:bCs/>
                <w:sz w:val="24"/>
                <w:szCs w:val="24"/>
                <w:lang w:eastAsia="de-DE"/>
              </w:rPr>
              <w:sym w:font="Symbol" w:char="F073"/>
            </w:r>
            <w:r w:rsidRPr="00E73F6F">
              <w:rPr>
                <w:bCs/>
                <w:sz w:val="24"/>
                <w:szCs w:val="24"/>
                <w:vertAlign w:val="subscript"/>
                <w:lang w:eastAsia="de-DE"/>
              </w:rPr>
              <w:t>i</w:t>
            </w:r>
            <w:r w:rsidRPr="00E73F6F">
              <w:rPr>
                <w:bCs/>
                <w:sz w:val="24"/>
                <w:szCs w:val="24"/>
                <w:vertAlign w:val="superscript"/>
                <w:lang w:eastAsia="de-DE"/>
              </w:rPr>
              <w:t>2</w:t>
            </w:r>
            <w:r w:rsidRPr="00E73F6F">
              <w:rPr>
                <w:bCs/>
                <w:sz w:val="24"/>
                <w:szCs w:val="24"/>
                <w:lang w:eastAsia="de-DE"/>
              </w:rPr>
              <w:tab/>
              <w:t>= Varianz des Indices der i-ten Kulturdimension</w:t>
            </w:r>
          </w:p>
        </w:tc>
      </w:tr>
    </w:tbl>
    <w:p w14:paraId="6AC8AA51" w14:textId="77777777" w:rsidR="00FF7799" w:rsidRPr="00E73F6F" w:rsidRDefault="00FF7799" w:rsidP="00862DBA">
      <w:pPr>
        <w:spacing w:before="92" w:line="254" w:lineRule="auto"/>
        <w:jc w:val="both"/>
        <w:rPr>
          <w:sz w:val="24"/>
          <w:szCs w:val="24"/>
        </w:rPr>
      </w:pPr>
    </w:p>
    <w:p w14:paraId="2F3AC52F" w14:textId="77777777" w:rsidR="00FF7799" w:rsidRPr="00E73F6F" w:rsidRDefault="00FF7799" w:rsidP="00EF3983">
      <w:pPr>
        <w:pStyle w:val="StandardText"/>
      </w:pPr>
      <w:r w:rsidRPr="00E73F6F">
        <w:lastRenderedPageBreak/>
        <w:t>Für jede Dimension wird die Differenz zwischen den entsprechenden Indices beider Kulturen gebildet, diese quadriert und durch die Varianz der jeweiligen Kulturdimension</w:t>
      </w:r>
      <w:r w:rsidRPr="00E73F6F">
        <w:rPr>
          <w:spacing w:val="-8"/>
        </w:rPr>
        <w:t xml:space="preserve"> </w:t>
      </w:r>
      <w:r w:rsidRPr="00E73F6F">
        <w:t>geteilt.</w:t>
      </w:r>
      <w:r w:rsidRPr="00E73F6F">
        <w:rPr>
          <w:spacing w:val="-7"/>
        </w:rPr>
        <w:t xml:space="preserve"> </w:t>
      </w:r>
      <w:r w:rsidRPr="00E73F6F">
        <w:t>Die</w:t>
      </w:r>
      <w:r w:rsidRPr="00E73F6F">
        <w:rPr>
          <w:spacing w:val="-9"/>
        </w:rPr>
        <w:t xml:space="preserve"> </w:t>
      </w:r>
      <w:r w:rsidRPr="00E73F6F">
        <w:t>resultierenden</w:t>
      </w:r>
      <w:r w:rsidRPr="00E73F6F">
        <w:rPr>
          <w:spacing w:val="-6"/>
        </w:rPr>
        <w:t xml:space="preserve"> </w:t>
      </w:r>
      <w:r w:rsidRPr="00E73F6F">
        <w:t>Quotienten</w:t>
      </w:r>
      <w:r w:rsidRPr="00E73F6F">
        <w:rPr>
          <w:spacing w:val="-8"/>
        </w:rPr>
        <w:t xml:space="preserve"> </w:t>
      </w:r>
      <w:r w:rsidRPr="00E73F6F">
        <w:t>aller</w:t>
      </w:r>
      <w:r w:rsidRPr="00E73F6F">
        <w:rPr>
          <w:spacing w:val="-7"/>
        </w:rPr>
        <w:t xml:space="preserve"> </w:t>
      </w:r>
      <w:r w:rsidRPr="00E73F6F">
        <w:t>Dimensionen</w:t>
      </w:r>
      <w:r w:rsidRPr="00E73F6F">
        <w:rPr>
          <w:spacing w:val="-8"/>
        </w:rPr>
        <w:t xml:space="preserve"> </w:t>
      </w:r>
      <w:r w:rsidRPr="00E73F6F">
        <w:t>werden addiert und durch vier geteilt.</w:t>
      </w:r>
    </w:p>
    <w:p w14:paraId="7CAB7B4E" w14:textId="77777777" w:rsidR="00FF7799" w:rsidRPr="00E73F6F" w:rsidRDefault="00FF7799" w:rsidP="00EF3983">
      <w:pPr>
        <w:pStyle w:val="StandardText"/>
        <w:rPr>
          <w:spacing w:val="-2"/>
        </w:rPr>
      </w:pPr>
      <w:r w:rsidRPr="00E73F6F">
        <w:t xml:space="preserve">Abb. 2 zeigt die </w:t>
      </w:r>
      <w:r w:rsidRPr="00C22CE3">
        <w:t>Kogut-/Singh</w:t>
      </w:r>
      <w:r w:rsidRPr="00E73F6F">
        <w:t xml:space="preserve">-Indices der kulturellen Distanz zwischen Deutschland und allen 80 anderen </w:t>
      </w:r>
      <w:r w:rsidRPr="00C22CE3">
        <w:t>Kulturen bzw. Ländern, für welche die Hofstede-Daten</w:t>
      </w:r>
      <w:r w:rsidRPr="00C22CE3">
        <w:rPr>
          <w:spacing w:val="-12"/>
        </w:rPr>
        <w:t xml:space="preserve"> </w:t>
      </w:r>
      <w:r w:rsidRPr="00C22CE3">
        <w:t>im</w:t>
      </w:r>
      <w:r w:rsidRPr="00C22CE3">
        <w:rPr>
          <w:spacing w:val="-11"/>
        </w:rPr>
        <w:t xml:space="preserve"> </w:t>
      </w:r>
      <w:r w:rsidRPr="00C22CE3">
        <w:t>Original</w:t>
      </w:r>
      <w:r w:rsidRPr="00C22CE3">
        <w:rPr>
          <w:spacing w:val="-11"/>
        </w:rPr>
        <w:t xml:space="preserve"> </w:t>
      </w:r>
      <w:r w:rsidRPr="00C22CE3">
        <w:t>vorliegen</w:t>
      </w:r>
      <w:r w:rsidRPr="00C22CE3">
        <w:rPr>
          <w:spacing w:val="-11"/>
        </w:rPr>
        <w:t xml:space="preserve"> </w:t>
      </w:r>
      <w:r w:rsidRPr="00C22CE3">
        <w:t>oder</w:t>
      </w:r>
      <w:r w:rsidRPr="00C22CE3">
        <w:rPr>
          <w:spacing w:val="-12"/>
        </w:rPr>
        <w:t xml:space="preserve"> </w:t>
      </w:r>
      <w:r w:rsidRPr="00C22CE3">
        <w:t>im</w:t>
      </w:r>
      <w:r w:rsidRPr="00C22CE3">
        <w:rPr>
          <w:spacing w:val="-11"/>
        </w:rPr>
        <w:t xml:space="preserve"> </w:t>
      </w:r>
      <w:r w:rsidRPr="00C22CE3">
        <w:t>Nachhinein</w:t>
      </w:r>
      <w:r w:rsidRPr="00C22CE3">
        <w:rPr>
          <w:spacing w:val="-11"/>
        </w:rPr>
        <w:t xml:space="preserve"> </w:t>
      </w:r>
      <w:r w:rsidRPr="00C22CE3">
        <w:t>ermittelt</w:t>
      </w:r>
      <w:r w:rsidRPr="00C22CE3">
        <w:rPr>
          <w:spacing w:val="-11"/>
        </w:rPr>
        <w:t xml:space="preserve"> </w:t>
      </w:r>
      <w:r w:rsidRPr="00C22CE3">
        <w:t>bzw.</w:t>
      </w:r>
      <w:r w:rsidRPr="00C22CE3">
        <w:rPr>
          <w:spacing w:val="-11"/>
        </w:rPr>
        <w:t xml:space="preserve"> </w:t>
      </w:r>
      <w:r w:rsidRPr="00C22CE3">
        <w:t>geschätzt wurden. Die Schweiz und Italien sind uns demnach äußerst „nahe“, während Deutsche und Guatemalteken sich kulturell</w:t>
      </w:r>
      <w:r w:rsidRPr="00E73F6F">
        <w:t xml:space="preserve"> fremd sind. Bemerkenswerterweise sind</w:t>
      </w:r>
      <w:r w:rsidRPr="00E73F6F">
        <w:rPr>
          <w:spacing w:val="-6"/>
        </w:rPr>
        <w:t xml:space="preserve"> </w:t>
      </w:r>
      <w:r w:rsidRPr="00E73F6F">
        <w:t>die</w:t>
      </w:r>
      <w:r w:rsidRPr="00E73F6F">
        <w:rPr>
          <w:spacing w:val="-6"/>
        </w:rPr>
        <w:t xml:space="preserve"> </w:t>
      </w:r>
      <w:r w:rsidRPr="00E73F6F">
        <w:t>Niederlande</w:t>
      </w:r>
      <w:r w:rsidRPr="00E73F6F">
        <w:rPr>
          <w:spacing w:val="-6"/>
        </w:rPr>
        <w:t xml:space="preserve"> </w:t>
      </w:r>
      <w:r w:rsidRPr="00E73F6F">
        <w:t>von</w:t>
      </w:r>
      <w:r w:rsidRPr="00E73F6F">
        <w:rPr>
          <w:spacing w:val="-4"/>
        </w:rPr>
        <w:t xml:space="preserve"> </w:t>
      </w:r>
      <w:r w:rsidRPr="00E73F6F">
        <w:t>Deutschland</w:t>
      </w:r>
      <w:r w:rsidRPr="00E73F6F">
        <w:rPr>
          <w:spacing w:val="-7"/>
        </w:rPr>
        <w:t xml:space="preserve"> </w:t>
      </w:r>
      <w:r w:rsidRPr="00E73F6F">
        <w:t>kulturell</w:t>
      </w:r>
      <w:r w:rsidRPr="00E73F6F">
        <w:rPr>
          <w:spacing w:val="-5"/>
        </w:rPr>
        <w:t xml:space="preserve"> </w:t>
      </w:r>
      <w:r w:rsidRPr="00E73F6F">
        <w:t>so</w:t>
      </w:r>
      <w:r w:rsidRPr="00E73F6F">
        <w:rPr>
          <w:spacing w:val="-4"/>
        </w:rPr>
        <w:t xml:space="preserve"> </w:t>
      </w:r>
      <w:r w:rsidRPr="00E73F6F">
        <w:t>weit</w:t>
      </w:r>
      <w:r w:rsidRPr="00E73F6F">
        <w:rPr>
          <w:spacing w:val="-5"/>
        </w:rPr>
        <w:t xml:space="preserve"> </w:t>
      </w:r>
      <w:r w:rsidRPr="00E73F6F">
        <w:t>entfernt</w:t>
      </w:r>
      <w:r w:rsidRPr="00E73F6F">
        <w:rPr>
          <w:spacing w:val="-5"/>
        </w:rPr>
        <w:t xml:space="preserve"> </w:t>
      </w:r>
      <w:r w:rsidRPr="00E73F6F">
        <w:t>wie</w:t>
      </w:r>
      <w:r w:rsidRPr="00E73F6F">
        <w:rPr>
          <w:spacing w:val="-8"/>
        </w:rPr>
        <w:t xml:space="preserve"> </w:t>
      </w:r>
      <w:r w:rsidRPr="00E73F6F">
        <w:t>Thailand</w:t>
      </w:r>
      <w:r w:rsidRPr="00E73F6F">
        <w:rPr>
          <w:spacing w:val="-4"/>
        </w:rPr>
        <w:t xml:space="preserve"> </w:t>
      </w:r>
      <w:r w:rsidRPr="00E73F6F">
        <w:t xml:space="preserve">oder Sierra Leone. Und der Iran liegt uns erstaunlicherweise erheblich näher als </w:t>
      </w:r>
      <w:r w:rsidRPr="00E73F6F">
        <w:rPr>
          <w:spacing w:val="-2"/>
        </w:rPr>
        <w:t>Schweden.</w:t>
      </w:r>
    </w:p>
    <w:p w14:paraId="59A65A5E" w14:textId="77777777" w:rsidR="004A28F6" w:rsidRPr="00C76DC3" w:rsidRDefault="004A28F6" w:rsidP="00EF3983">
      <w:pPr>
        <w:pStyle w:val="StandardText"/>
        <w:rPr>
          <w:i/>
          <w:iCs/>
        </w:rPr>
      </w:pPr>
    </w:p>
    <w:p w14:paraId="5DE5ABE0" w14:textId="77777777" w:rsidR="00FF7799" w:rsidRPr="00C76DC3" w:rsidRDefault="00FF7799" w:rsidP="00EF3983">
      <w:pPr>
        <w:pStyle w:val="BeschriftungTab"/>
        <w:rPr>
          <w:i/>
          <w:iCs/>
          <w:spacing w:val="-2"/>
        </w:rPr>
      </w:pPr>
      <w:r w:rsidRPr="00C76DC3">
        <w:rPr>
          <w:i/>
          <w:iCs/>
        </w:rPr>
        <w:t>Abb.</w:t>
      </w:r>
      <w:r w:rsidRPr="00C76DC3">
        <w:rPr>
          <w:i/>
          <w:iCs/>
          <w:spacing w:val="-4"/>
        </w:rPr>
        <w:t xml:space="preserve"> </w:t>
      </w:r>
      <w:r w:rsidRPr="00C76DC3">
        <w:rPr>
          <w:i/>
          <w:iCs/>
        </w:rPr>
        <w:t>2:</w:t>
      </w:r>
      <w:r w:rsidRPr="00C76DC3">
        <w:rPr>
          <w:i/>
          <w:iCs/>
          <w:spacing w:val="-1"/>
        </w:rPr>
        <w:t xml:space="preserve"> </w:t>
      </w:r>
      <w:r w:rsidRPr="00C76DC3">
        <w:rPr>
          <w:i/>
          <w:iCs/>
        </w:rPr>
        <w:t>Kulturelle</w:t>
      </w:r>
      <w:r w:rsidRPr="00C76DC3">
        <w:rPr>
          <w:i/>
          <w:iCs/>
          <w:spacing w:val="-3"/>
        </w:rPr>
        <w:t xml:space="preserve"> </w:t>
      </w:r>
      <w:r w:rsidRPr="00C76DC3">
        <w:rPr>
          <w:i/>
          <w:iCs/>
        </w:rPr>
        <w:t>Distanz</w:t>
      </w:r>
      <w:r w:rsidRPr="00C76DC3">
        <w:rPr>
          <w:i/>
          <w:iCs/>
          <w:spacing w:val="-4"/>
        </w:rPr>
        <w:t xml:space="preserve"> </w:t>
      </w:r>
      <w:r w:rsidRPr="00C76DC3">
        <w:rPr>
          <w:i/>
          <w:iCs/>
        </w:rPr>
        <w:t>zwischen Deutschland</w:t>
      </w:r>
      <w:r w:rsidRPr="00C76DC3">
        <w:rPr>
          <w:i/>
          <w:iCs/>
          <w:spacing w:val="-3"/>
        </w:rPr>
        <w:t xml:space="preserve"> </w:t>
      </w:r>
      <w:r w:rsidRPr="00C76DC3">
        <w:rPr>
          <w:i/>
          <w:iCs/>
        </w:rPr>
        <w:t>und</w:t>
      </w:r>
      <w:r w:rsidRPr="00C76DC3">
        <w:rPr>
          <w:i/>
          <w:iCs/>
          <w:spacing w:val="-2"/>
        </w:rPr>
        <w:t xml:space="preserve"> </w:t>
      </w:r>
      <w:r w:rsidRPr="00C76DC3">
        <w:rPr>
          <w:i/>
          <w:iCs/>
        </w:rPr>
        <w:t xml:space="preserve">anderen </w:t>
      </w:r>
      <w:r w:rsidRPr="00C76DC3">
        <w:rPr>
          <w:i/>
          <w:iCs/>
          <w:spacing w:val="-2"/>
        </w:rPr>
        <w:t>Ländern</w:t>
      </w:r>
    </w:p>
    <w:p w14:paraId="4EFFA783" w14:textId="77777777" w:rsidR="00C22CE3" w:rsidRPr="00E73F6F" w:rsidRDefault="00C22CE3" w:rsidP="00EF3983">
      <w:pPr>
        <w:pStyle w:val="BeschriftungTab"/>
      </w:pPr>
      <w:r>
        <w:rPr>
          <w:noProof/>
        </w:rPr>
        <w:lastRenderedPageBreak/>
        <w:drawing>
          <wp:inline distT="0" distB="0" distL="0" distR="0" wp14:anchorId="26AC5875" wp14:editId="3CCA582C">
            <wp:extent cx="6261100" cy="8394700"/>
            <wp:effectExtent l="0" t="0" r="6350" b="635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261100" cy="8394700"/>
                    </a:xfrm>
                    <a:prstGeom prst="rect">
                      <a:avLst/>
                    </a:prstGeom>
                    <a:noFill/>
                  </pic:spPr>
                </pic:pic>
              </a:graphicData>
            </a:graphic>
          </wp:inline>
        </w:drawing>
      </w:r>
    </w:p>
    <w:p w14:paraId="40CA1F16" w14:textId="77777777" w:rsidR="00FF7799" w:rsidRPr="00E73F6F" w:rsidRDefault="00FF7799" w:rsidP="00862DBA">
      <w:pPr>
        <w:spacing w:before="1"/>
        <w:rPr>
          <w:i/>
          <w:sz w:val="24"/>
          <w:szCs w:val="24"/>
        </w:rPr>
      </w:pPr>
    </w:p>
    <w:p w14:paraId="2517684F" w14:textId="77777777" w:rsidR="00FF7799" w:rsidRPr="00E73F6F" w:rsidRDefault="00FF7799" w:rsidP="00862DBA">
      <w:pPr>
        <w:rPr>
          <w:i/>
          <w:sz w:val="24"/>
          <w:szCs w:val="24"/>
        </w:rPr>
      </w:pPr>
    </w:p>
    <w:p w14:paraId="0E0965F6" w14:textId="77777777" w:rsidR="00FF7799" w:rsidRPr="00E73F6F" w:rsidRDefault="00FF7799" w:rsidP="00EF3983">
      <w:pPr>
        <w:pStyle w:val="StandardText"/>
      </w:pPr>
      <w:r w:rsidRPr="00E73F6F">
        <w:lastRenderedPageBreak/>
        <w:t>Mit</w:t>
      </w:r>
      <w:r w:rsidRPr="00E73F6F">
        <w:rPr>
          <w:spacing w:val="-9"/>
        </w:rPr>
        <w:t xml:space="preserve"> </w:t>
      </w:r>
      <w:r w:rsidRPr="00E73F6F">
        <w:t>Hilfe</w:t>
      </w:r>
      <w:r w:rsidRPr="00E73F6F">
        <w:rPr>
          <w:spacing w:val="-9"/>
        </w:rPr>
        <w:t xml:space="preserve"> </w:t>
      </w:r>
      <w:r w:rsidRPr="00E73F6F">
        <w:t>des</w:t>
      </w:r>
      <w:r w:rsidRPr="00E73F6F">
        <w:rPr>
          <w:spacing w:val="-9"/>
        </w:rPr>
        <w:t xml:space="preserve"> </w:t>
      </w:r>
      <w:r w:rsidRPr="00E73F6F">
        <w:rPr>
          <w:rFonts w:ascii="Cambria Math" w:hAnsi="Cambria Math" w:cs="Cambria Math"/>
        </w:rPr>
        <w:t>⇒</w:t>
      </w:r>
      <w:r w:rsidRPr="00E73F6F">
        <w:rPr>
          <w:spacing w:val="-3"/>
        </w:rPr>
        <w:t xml:space="preserve"> </w:t>
      </w:r>
      <w:r w:rsidRPr="00E73F6F">
        <w:t>Konstrukts</w:t>
      </w:r>
      <w:r w:rsidRPr="00E73F6F">
        <w:rPr>
          <w:spacing w:val="-9"/>
        </w:rPr>
        <w:t xml:space="preserve"> </w:t>
      </w:r>
      <w:r w:rsidRPr="00E73F6F">
        <w:t>der</w:t>
      </w:r>
      <w:r w:rsidRPr="00E73F6F">
        <w:rPr>
          <w:spacing w:val="-9"/>
        </w:rPr>
        <w:t xml:space="preserve"> </w:t>
      </w:r>
      <w:r w:rsidRPr="00E73F6F">
        <w:t>kulturellen</w:t>
      </w:r>
      <w:r w:rsidRPr="00E73F6F">
        <w:rPr>
          <w:spacing w:val="-8"/>
        </w:rPr>
        <w:t xml:space="preserve"> </w:t>
      </w:r>
      <w:r w:rsidRPr="00E73F6F">
        <w:t>Distanz</w:t>
      </w:r>
      <w:r w:rsidRPr="00E73F6F">
        <w:rPr>
          <w:spacing w:val="-10"/>
        </w:rPr>
        <w:t xml:space="preserve"> </w:t>
      </w:r>
      <w:r w:rsidRPr="00E73F6F">
        <w:t>kann</w:t>
      </w:r>
      <w:r w:rsidRPr="00E73F6F">
        <w:rPr>
          <w:spacing w:val="-8"/>
        </w:rPr>
        <w:t xml:space="preserve"> </w:t>
      </w:r>
      <w:r w:rsidRPr="00E73F6F">
        <w:t>man</w:t>
      </w:r>
      <w:r w:rsidRPr="00E73F6F">
        <w:rPr>
          <w:spacing w:val="-8"/>
        </w:rPr>
        <w:t xml:space="preserve"> </w:t>
      </w:r>
      <w:r w:rsidRPr="00E73F6F">
        <w:t>u.a.</w:t>
      </w:r>
      <w:r w:rsidRPr="00E73F6F">
        <w:rPr>
          <w:spacing w:val="-9"/>
        </w:rPr>
        <w:t xml:space="preserve"> </w:t>
      </w:r>
      <w:r w:rsidRPr="00E73F6F">
        <w:t>erklären,</w:t>
      </w:r>
      <w:r w:rsidRPr="00E73F6F">
        <w:rPr>
          <w:spacing w:val="-9"/>
        </w:rPr>
        <w:t xml:space="preserve"> </w:t>
      </w:r>
      <w:r w:rsidRPr="00E73F6F">
        <w:t>warum Konsumenten eines Landes Produkte aus bestimmten Ländern bevorzugen, obwohl die Qualität der Angebote aus anderen Ländern vergleichbar oder sogar objektiv besser ist. Auch die Bereitschaft, Innovationen aus einem fremden Land zu adoptieren, hängt nicht zuletzt von der kulturellen Distanz ab: Neue Produkte werden in sog. ‘lag markets‘,</w:t>
      </w:r>
      <w:r w:rsidRPr="00E73F6F">
        <w:rPr>
          <w:spacing w:val="-2"/>
        </w:rPr>
        <w:t xml:space="preserve"> </w:t>
      </w:r>
      <w:r w:rsidRPr="00E73F6F">
        <w:t>d.h.</w:t>
      </w:r>
      <w:r w:rsidRPr="00E73F6F">
        <w:rPr>
          <w:spacing w:val="-1"/>
        </w:rPr>
        <w:t xml:space="preserve"> </w:t>
      </w:r>
      <w:r w:rsidRPr="00E73F6F">
        <w:t>in Ländern, in denen diese Produkte noch nicht erhältlich sind, deren Kultur aber der des ‘lead markets‘ stark ähnelt, vergleichsweise</w:t>
      </w:r>
      <w:r w:rsidRPr="00E73F6F">
        <w:rPr>
          <w:spacing w:val="31"/>
        </w:rPr>
        <w:t xml:space="preserve"> </w:t>
      </w:r>
      <w:r w:rsidRPr="00E73F6F">
        <w:t>schnell</w:t>
      </w:r>
      <w:r w:rsidRPr="00E73F6F">
        <w:rPr>
          <w:spacing w:val="33"/>
        </w:rPr>
        <w:t xml:space="preserve"> </w:t>
      </w:r>
      <w:r w:rsidRPr="00E73F6F">
        <w:t>akzeptiert</w:t>
      </w:r>
      <w:r w:rsidRPr="00646384">
        <w:t>.</w:t>
      </w:r>
      <w:r w:rsidRPr="00646384">
        <w:rPr>
          <w:spacing w:val="36"/>
        </w:rPr>
        <w:t xml:space="preserve"> </w:t>
      </w:r>
      <w:r w:rsidRPr="00646384">
        <w:t>Ganesh</w:t>
      </w:r>
      <w:r w:rsidRPr="00646384">
        <w:rPr>
          <w:spacing w:val="31"/>
        </w:rPr>
        <w:t xml:space="preserve"> </w:t>
      </w:r>
      <w:r w:rsidRPr="00646384">
        <w:t>et</w:t>
      </w:r>
      <w:r w:rsidRPr="00646384">
        <w:rPr>
          <w:spacing w:val="33"/>
        </w:rPr>
        <w:t xml:space="preserve"> </w:t>
      </w:r>
      <w:r w:rsidRPr="00646384">
        <w:t>al.</w:t>
      </w:r>
      <w:r w:rsidRPr="00646384">
        <w:rPr>
          <w:spacing w:val="32"/>
        </w:rPr>
        <w:t xml:space="preserve"> </w:t>
      </w:r>
      <w:r w:rsidRPr="00646384">
        <w:t>wiesen</w:t>
      </w:r>
      <w:r w:rsidRPr="00646384">
        <w:rPr>
          <w:spacing w:val="34"/>
        </w:rPr>
        <w:t xml:space="preserve"> </w:t>
      </w:r>
      <w:r w:rsidRPr="00646384">
        <w:t>dies</w:t>
      </w:r>
      <w:r w:rsidRPr="00646384">
        <w:rPr>
          <w:spacing w:val="32"/>
        </w:rPr>
        <w:t xml:space="preserve"> </w:t>
      </w:r>
      <w:r w:rsidRPr="00646384">
        <w:t>am</w:t>
      </w:r>
      <w:r w:rsidRPr="00646384">
        <w:rPr>
          <w:spacing w:val="32"/>
        </w:rPr>
        <w:t xml:space="preserve"> </w:t>
      </w:r>
      <w:r w:rsidRPr="00646384">
        <w:t>Beispiel</w:t>
      </w:r>
      <w:r w:rsidRPr="00646384">
        <w:rPr>
          <w:spacing w:val="33"/>
        </w:rPr>
        <w:t xml:space="preserve"> </w:t>
      </w:r>
      <w:r w:rsidRPr="00646384">
        <w:rPr>
          <w:spacing w:val="-5"/>
        </w:rPr>
        <w:t xml:space="preserve">der </w:t>
      </w:r>
      <w:r w:rsidRPr="00646384">
        <w:t>Verkaufszahlen von vier langlebigen Konsumgütern (Mikrowelle,</w:t>
      </w:r>
      <w:r w:rsidRPr="00E73F6F">
        <w:t xml:space="preserve"> Mobiltelefon, PC, Videorecorder) in verschiedenen europäischen Ländern nach. Sie ermittelten einen</w:t>
      </w:r>
      <w:r w:rsidRPr="00E73F6F">
        <w:rPr>
          <w:spacing w:val="-1"/>
        </w:rPr>
        <w:t xml:space="preserve"> </w:t>
      </w:r>
      <w:r w:rsidRPr="00E73F6F">
        <w:t>signifikanten</w:t>
      </w:r>
      <w:r w:rsidRPr="00E73F6F">
        <w:rPr>
          <w:spacing w:val="-1"/>
        </w:rPr>
        <w:t xml:space="preserve"> </w:t>
      </w:r>
      <w:r w:rsidRPr="00E73F6F">
        <w:t>Zusammenhang</w:t>
      </w:r>
      <w:r w:rsidRPr="00E73F6F">
        <w:rPr>
          <w:spacing w:val="-3"/>
        </w:rPr>
        <w:t xml:space="preserve"> </w:t>
      </w:r>
      <w:r w:rsidRPr="00E73F6F">
        <w:t>zwischen</w:t>
      </w:r>
      <w:r w:rsidRPr="00E73F6F">
        <w:rPr>
          <w:spacing w:val="-1"/>
        </w:rPr>
        <w:t xml:space="preserve"> </w:t>
      </w:r>
      <w:r w:rsidRPr="00E73F6F">
        <w:t>Distanz</w:t>
      </w:r>
      <w:r w:rsidRPr="00E73F6F">
        <w:rPr>
          <w:spacing w:val="-5"/>
        </w:rPr>
        <w:t xml:space="preserve"> </w:t>
      </w:r>
      <w:r w:rsidRPr="00E73F6F">
        <w:t>und „Lerneffekt“</w:t>
      </w:r>
      <w:r w:rsidRPr="00E73F6F">
        <w:rPr>
          <w:spacing w:val="-1"/>
        </w:rPr>
        <w:t xml:space="preserve"> </w:t>
      </w:r>
      <w:r w:rsidRPr="00E73F6F">
        <w:t>–</w:t>
      </w:r>
      <w:r w:rsidRPr="00E73F6F">
        <w:rPr>
          <w:spacing w:val="-3"/>
        </w:rPr>
        <w:t xml:space="preserve"> </w:t>
      </w:r>
      <w:r w:rsidRPr="00E73F6F">
        <w:t>d.h.</w:t>
      </w:r>
      <w:r w:rsidRPr="00E73F6F">
        <w:rPr>
          <w:spacing w:val="-3"/>
        </w:rPr>
        <w:t xml:space="preserve"> </w:t>
      </w:r>
      <w:r w:rsidRPr="00E73F6F">
        <w:t>der Geschwindigkeit, mit der ein ‘lag market‘ eine Innovation akzeptiert. Begründen lässt sich dies damit, dass Marktteilnehmer mit den Bewohnern eines kulturell ähnlichen Landes vergleichsweise intensiv kommunizieren, was den Lerneffekt verstärkt</w:t>
      </w:r>
      <w:r w:rsidRPr="00E73F6F">
        <w:rPr>
          <w:spacing w:val="-7"/>
        </w:rPr>
        <w:t xml:space="preserve"> </w:t>
      </w:r>
      <w:r w:rsidRPr="00E73F6F">
        <w:t>und</w:t>
      </w:r>
      <w:r w:rsidRPr="00E73F6F">
        <w:rPr>
          <w:spacing w:val="31"/>
        </w:rPr>
        <w:t xml:space="preserve"> </w:t>
      </w:r>
      <w:r w:rsidRPr="00E73F6F">
        <w:t>die</w:t>
      </w:r>
      <w:r w:rsidRPr="00E73F6F">
        <w:rPr>
          <w:spacing w:val="-8"/>
        </w:rPr>
        <w:t xml:space="preserve"> </w:t>
      </w:r>
      <w:r w:rsidRPr="00E73F6F">
        <w:t>Adoptionsrate</w:t>
      </w:r>
      <w:r w:rsidRPr="00E73F6F">
        <w:rPr>
          <w:spacing w:val="-7"/>
        </w:rPr>
        <w:t xml:space="preserve"> </w:t>
      </w:r>
      <w:r w:rsidRPr="00E73F6F">
        <w:t>steigert</w:t>
      </w:r>
      <w:r w:rsidRPr="00E73F6F">
        <w:rPr>
          <w:spacing w:val="-7"/>
        </w:rPr>
        <w:t xml:space="preserve"> </w:t>
      </w:r>
      <w:r w:rsidRPr="00E73F6F">
        <w:t>bzw.</w:t>
      </w:r>
      <w:r w:rsidRPr="00E73F6F">
        <w:rPr>
          <w:spacing w:val="-7"/>
        </w:rPr>
        <w:t xml:space="preserve"> </w:t>
      </w:r>
      <w:r w:rsidRPr="00E73F6F">
        <w:t>den</w:t>
      </w:r>
      <w:r w:rsidRPr="00E73F6F">
        <w:rPr>
          <w:spacing w:val="-7"/>
        </w:rPr>
        <w:t xml:space="preserve"> </w:t>
      </w:r>
      <w:r w:rsidRPr="00E73F6F">
        <w:t>Diffusionsprozess</w:t>
      </w:r>
      <w:r w:rsidRPr="00E73F6F">
        <w:rPr>
          <w:spacing w:val="-7"/>
        </w:rPr>
        <w:t xml:space="preserve"> </w:t>
      </w:r>
      <w:r w:rsidRPr="00E73F6F">
        <w:t>beschleunigt. Denkbar ist allerdings auch, dass die Verhaltensmuster bzw. Lebensstile der Konsumenten dieser beiden Kulturen teilweise übereinstimmen, so dass dort Innovationen ohne größere kulturspezifische Anpassungen - und damit relativ schnell - eingeführt werden können.</w:t>
      </w:r>
    </w:p>
    <w:p w14:paraId="199937E1" w14:textId="77777777" w:rsidR="00FF7799" w:rsidRPr="00646384" w:rsidRDefault="00FF7799" w:rsidP="00EF3983">
      <w:pPr>
        <w:pStyle w:val="StandardText"/>
        <w:rPr>
          <w:sz w:val="22"/>
          <w:szCs w:val="22"/>
          <w:lang w:val="en-US"/>
        </w:rPr>
      </w:pPr>
      <w:r w:rsidRPr="00646384">
        <w:rPr>
          <w:b/>
          <w:i/>
          <w:sz w:val="22"/>
          <w:szCs w:val="22"/>
          <w:lang w:val="en-US"/>
        </w:rPr>
        <w:t>Literatur:</w:t>
      </w:r>
      <w:r w:rsidRPr="00646384">
        <w:rPr>
          <w:i/>
          <w:sz w:val="22"/>
          <w:szCs w:val="22"/>
          <w:lang w:val="en-US"/>
        </w:rPr>
        <w:t xml:space="preserve"> </w:t>
      </w:r>
      <w:r w:rsidRPr="00646384">
        <w:rPr>
          <w:sz w:val="22"/>
          <w:szCs w:val="22"/>
          <w:lang w:val="en-US"/>
        </w:rPr>
        <w:t>Basanez, M.; Inglehart, R.; Moreno, A. (1997): Human Beliefs and Values. A</w:t>
      </w:r>
      <w:r w:rsidRPr="00646384">
        <w:rPr>
          <w:spacing w:val="40"/>
          <w:sz w:val="22"/>
          <w:szCs w:val="22"/>
          <w:lang w:val="en-US"/>
        </w:rPr>
        <w:t xml:space="preserve"> </w:t>
      </w:r>
      <w:r w:rsidRPr="00646384">
        <w:rPr>
          <w:sz w:val="22"/>
          <w:szCs w:val="22"/>
          <w:lang w:val="en-US"/>
        </w:rPr>
        <w:t>Cross-Cultural Sourcebook, Ann Arbor/MI.</w:t>
      </w:r>
      <w:r w:rsidRPr="00646384">
        <w:rPr>
          <w:spacing w:val="40"/>
          <w:sz w:val="22"/>
          <w:szCs w:val="22"/>
          <w:lang w:val="en-US"/>
        </w:rPr>
        <w:t xml:space="preserve"> </w:t>
      </w:r>
      <w:r w:rsidR="00646384">
        <w:rPr>
          <w:spacing w:val="40"/>
          <w:sz w:val="22"/>
          <w:szCs w:val="22"/>
          <w:lang w:val="en-US"/>
        </w:rPr>
        <w:t xml:space="preserve">  </w:t>
      </w:r>
      <w:r w:rsidRPr="00646384">
        <w:rPr>
          <w:sz w:val="22"/>
          <w:szCs w:val="22"/>
          <w:lang w:val="en-US"/>
        </w:rPr>
        <w:t>Ganesh, J.; Kumar, V.; Subramaniam, V.</w:t>
      </w:r>
      <w:r w:rsidRPr="00646384">
        <w:rPr>
          <w:spacing w:val="40"/>
          <w:sz w:val="22"/>
          <w:szCs w:val="22"/>
          <w:lang w:val="en-US"/>
        </w:rPr>
        <w:t xml:space="preserve"> </w:t>
      </w:r>
      <w:r w:rsidRPr="00646384">
        <w:rPr>
          <w:sz w:val="22"/>
          <w:szCs w:val="22"/>
          <w:lang w:val="en-US"/>
        </w:rPr>
        <w:t>(1997): Learning Effect in Multinational Diffusion of Consumer Durables, Journal of the</w:t>
      </w:r>
      <w:r w:rsidRPr="00646384">
        <w:rPr>
          <w:spacing w:val="40"/>
          <w:sz w:val="22"/>
          <w:szCs w:val="22"/>
          <w:lang w:val="en-US"/>
        </w:rPr>
        <w:t xml:space="preserve"> </w:t>
      </w:r>
      <w:r w:rsidRPr="00646384">
        <w:rPr>
          <w:sz w:val="22"/>
          <w:szCs w:val="22"/>
          <w:lang w:val="en-US"/>
        </w:rPr>
        <w:t>Academy</w:t>
      </w:r>
      <w:r w:rsidRPr="00646384">
        <w:rPr>
          <w:spacing w:val="-4"/>
          <w:sz w:val="22"/>
          <w:szCs w:val="22"/>
          <w:lang w:val="en-US"/>
        </w:rPr>
        <w:t xml:space="preserve"> </w:t>
      </w:r>
      <w:r w:rsidRPr="00646384">
        <w:rPr>
          <w:sz w:val="22"/>
          <w:szCs w:val="22"/>
          <w:lang w:val="en-US"/>
        </w:rPr>
        <w:t>of</w:t>
      </w:r>
      <w:r w:rsidRPr="00646384">
        <w:rPr>
          <w:spacing w:val="-6"/>
          <w:sz w:val="22"/>
          <w:szCs w:val="22"/>
          <w:lang w:val="en-US"/>
        </w:rPr>
        <w:t xml:space="preserve"> </w:t>
      </w:r>
      <w:r w:rsidRPr="00646384">
        <w:rPr>
          <w:sz w:val="22"/>
          <w:szCs w:val="22"/>
          <w:lang w:val="en-US"/>
        </w:rPr>
        <w:t>Marketing</w:t>
      </w:r>
      <w:r w:rsidRPr="00646384">
        <w:rPr>
          <w:spacing w:val="-4"/>
          <w:sz w:val="22"/>
          <w:szCs w:val="22"/>
          <w:lang w:val="en-US"/>
        </w:rPr>
        <w:t xml:space="preserve"> </w:t>
      </w:r>
      <w:r w:rsidRPr="00646384">
        <w:rPr>
          <w:sz w:val="22"/>
          <w:szCs w:val="22"/>
          <w:lang w:val="en-US"/>
        </w:rPr>
        <w:t>Science,</w:t>
      </w:r>
      <w:r w:rsidRPr="00646384">
        <w:rPr>
          <w:spacing w:val="-5"/>
          <w:sz w:val="22"/>
          <w:szCs w:val="22"/>
          <w:lang w:val="en-US"/>
        </w:rPr>
        <w:t xml:space="preserve"> </w:t>
      </w:r>
      <w:r w:rsidRPr="00646384">
        <w:rPr>
          <w:sz w:val="22"/>
          <w:szCs w:val="22"/>
          <w:lang w:val="en-US"/>
        </w:rPr>
        <w:t>25(2):</w:t>
      </w:r>
      <w:r w:rsidRPr="00646384">
        <w:rPr>
          <w:spacing w:val="-3"/>
          <w:sz w:val="22"/>
          <w:szCs w:val="22"/>
          <w:lang w:val="en-US"/>
        </w:rPr>
        <w:t xml:space="preserve"> </w:t>
      </w:r>
      <w:r w:rsidRPr="00646384">
        <w:rPr>
          <w:sz w:val="22"/>
          <w:szCs w:val="22"/>
          <w:lang w:val="en-US"/>
        </w:rPr>
        <w:t>214-228.</w:t>
      </w:r>
      <w:r w:rsidRPr="00646384">
        <w:rPr>
          <w:spacing w:val="40"/>
          <w:sz w:val="22"/>
          <w:szCs w:val="22"/>
          <w:lang w:val="en-US"/>
        </w:rPr>
        <w:t xml:space="preserve"> </w:t>
      </w:r>
      <w:r w:rsidRPr="00646384">
        <w:rPr>
          <w:sz w:val="22"/>
          <w:szCs w:val="22"/>
          <w:lang w:val="en-US"/>
        </w:rPr>
        <w:t>Inglehart,</w:t>
      </w:r>
      <w:r w:rsidRPr="00646384">
        <w:rPr>
          <w:spacing w:val="-2"/>
          <w:sz w:val="22"/>
          <w:szCs w:val="22"/>
          <w:lang w:val="en-US"/>
        </w:rPr>
        <w:t xml:space="preserve"> </w:t>
      </w:r>
      <w:r w:rsidRPr="00646384">
        <w:rPr>
          <w:sz w:val="22"/>
          <w:szCs w:val="22"/>
          <w:lang w:val="en-US"/>
        </w:rPr>
        <w:t>R.</w:t>
      </w:r>
      <w:r w:rsidRPr="00646384">
        <w:rPr>
          <w:spacing w:val="-1"/>
          <w:sz w:val="22"/>
          <w:szCs w:val="22"/>
          <w:lang w:val="en-US"/>
        </w:rPr>
        <w:t xml:space="preserve"> </w:t>
      </w:r>
      <w:r w:rsidRPr="00646384">
        <w:rPr>
          <w:sz w:val="22"/>
          <w:szCs w:val="22"/>
          <w:lang w:val="en-US"/>
        </w:rPr>
        <w:t>(1998):</w:t>
      </w:r>
      <w:r w:rsidRPr="00646384">
        <w:rPr>
          <w:spacing w:val="-4"/>
          <w:sz w:val="22"/>
          <w:szCs w:val="22"/>
          <w:lang w:val="en-US"/>
        </w:rPr>
        <w:t xml:space="preserve"> </w:t>
      </w:r>
      <w:r w:rsidRPr="00646384">
        <w:rPr>
          <w:sz w:val="22"/>
          <w:szCs w:val="22"/>
          <w:lang w:val="en-US"/>
        </w:rPr>
        <w:t>Modernisierung</w:t>
      </w:r>
      <w:r w:rsidRPr="00646384">
        <w:rPr>
          <w:spacing w:val="-4"/>
          <w:sz w:val="22"/>
          <w:szCs w:val="22"/>
          <w:lang w:val="en-US"/>
        </w:rPr>
        <w:t xml:space="preserve"> </w:t>
      </w:r>
      <w:r w:rsidRPr="00646384">
        <w:rPr>
          <w:sz w:val="22"/>
          <w:szCs w:val="22"/>
          <w:lang w:val="en-US"/>
        </w:rPr>
        <w:t>und</w:t>
      </w:r>
      <w:r w:rsidRPr="00646384">
        <w:rPr>
          <w:spacing w:val="40"/>
          <w:sz w:val="22"/>
          <w:szCs w:val="22"/>
          <w:lang w:val="en-US"/>
        </w:rPr>
        <w:t xml:space="preserve"> </w:t>
      </w:r>
      <w:r w:rsidRPr="00646384">
        <w:rPr>
          <w:sz w:val="22"/>
          <w:szCs w:val="22"/>
          <w:lang w:val="en-US"/>
        </w:rPr>
        <w:t>Postmodernisierung, Frankfurt/Main: Campus.</w:t>
      </w:r>
      <w:r w:rsidRPr="00646384">
        <w:rPr>
          <w:spacing w:val="40"/>
          <w:sz w:val="22"/>
          <w:szCs w:val="22"/>
          <w:lang w:val="en-US"/>
        </w:rPr>
        <w:t xml:space="preserve"> </w:t>
      </w:r>
      <w:r w:rsidRPr="00646384">
        <w:rPr>
          <w:sz w:val="22"/>
          <w:szCs w:val="22"/>
          <w:lang w:val="en-US"/>
        </w:rPr>
        <w:t>Kim, W.C.; Hwang, P. (1992): Global</w:t>
      </w:r>
      <w:r w:rsidRPr="00646384">
        <w:rPr>
          <w:spacing w:val="40"/>
          <w:sz w:val="22"/>
          <w:szCs w:val="22"/>
          <w:lang w:val="en-US"/>
        </w:rPr>
        <w:t xml:space="preserve"> </w:t>
      </w:r>
      <w:r w:rsidRPr="00646384">
        <w:rPr>
          <w:sz w:val="22"/>
          <w:szCs w:val="22"/>
          <w:lang w:val="en-US"/>
        </w:rPr>
        <w:t>Strategy and Multinationals Entry</w:t>
      </w:r>
      <w:r w:rsidRPr="00646384">
        <w:rPr>
          <w:spacing w:val="-1"/>
          <w:sz w:val="22"/>
          <w:szCs w:val="22"/>
          <w:lang w:val="en-US"/>
        </w:rPr>
        <w:t xml:space="preserve"> </w:t>
      </w:r>
      <w:r w:rsidRPr="00646384">
        <w:rPr>
          <w:sz w:val="22"/>
          <w:szCs w:val="22"/>
          <w:lang w:val="en-US"/>
        </w:rPr>
        <w:t>Mode</w:t>
      </w:r>
      <w:r w:rsidRPr="00646384">
        <w:rPr>
          <w:spacing w:val="-1"/>
          <w:sz w:val="22"/>
          <w:szCs w:val="22"/>
          <w:lang w:val="en-US"/>
        </w:rPr>
        <w:t xml:space="preserve"> </w:t>
      </w:r>
      <w:r w:rsidRPr="00646384">
        <w:rPr>
          <w:sz w:val="22"/>
          <w:szCs w:val="22"/>
          <w:lang w:val="en-US"/>
        </w:rPr>
        <w:t>Choice,</w:t>
      </w:r>
      <w:r w:rsidRPr="00646384">
        <w:rPr>
          <w:spacing w:val="40"/>
          <w:sz w:val="22"/>
          <w:szCs w:val="22"/>
          <w:lang w:val="en-US"/>
        </w:rPr>
        <w:t xml:space="preserve"> </w:t>
      </w:r>
      <w:r w:rsidRPr="00646384">
        <w:rPr>
          <w:sz w:val="22"/>
          <w:szCs w:val="22"/>
          <w:lang w:val="en-US"/>
        </w:rPr>
        <w:t>Journal</w:t>
      </w:r>
      <w:r w:rsidRPr="00646384">
        <w:rPr>
          <w:spacing w:val="-1"/>
          <w:sz w:val="22"/>
          <w:szCs w:val="22"/>
          <w:lang w:val="en-US"/>
        </w:rPr>
        <w:t xml:space="preserve"> </w:t>
      </w:r>
      <w:r w:rsidRPr="00646384">
        <w:rPr>
          <w:sz w:val="22"/>
          <w:szCs w:val="22"/>
          <w:lang w:val="en-US"/>
        </w:rPr>
        <w:t>of International</w:t>
      </w:r>
      <w:r w:rsidRPr="00646384">
        <w:rPr>
          <w:spacing w:val="-1"/>
          <w:sz w:val="22"/>
          <w:szCs w:val="22"/>
          <w:lang w:val="en-US"/>
        </w:rPr>
        <w:t xml:space="preserve"> </w:t>
      </w:r>
      <w:r w:rsidRPr="00646384">
        <w:rPr>
          <w:sz w:val="22"/>
          <w:szCs w:val="22"/>
          <w:lang w:val="en-US"/>
        </w:rPr>
        <w:t>Business Studies,</w:t>
      </w:r>
      <w:r w:rsidRPr="00646384">
        <w:rPr>
          <w:spacing w:val="40"/>
          <w:sz w:val="22"/>
          <w:szCs w:val="22"/>
          <w:lang w:val="en-US"/>
        </w:rPr>
        <w:t xml:space="preserve"> </w:t>
      </w:r>
      <w:r w:rsidRPr="00646384">
        <w:rPr>
          <w:sz w:val="22"/>
          <w:szCs w:val="22"/>
          <w:lang w:val="en-US"/>
        </w:rPr>
        <w:t>23(1):</w:t>
      </w:r>
      <w:r w:rsidRPr="00646384">
        <w:rPr>
          <w:spacing w:val="-2"/>
          <w:sz w:val="22"/>
          <w:szCs w:val="22"/>
          <w:lang w:val="en-US"/>
        </w:rPr>
        <w:t xml:space="preserve"> </w:t>
      </w:r>
      <w:r w:rsidRPr="00646384">
        <w:rPr>
          <w:sz w:val="22"/>
          <w:szCs w:val="22"/>
          <w:lang w:val="en-US"/>
        </w:rPr>
        <w:t>29-53.</w:t>
      </w:r>
      <w:r w:rsidRPr="00646384">
        <w:rPr>
          <w:spacing w:val="79"/>
          <w:sz w:val="22"/>
          <w:szCs w:val="22"/>
          <w:lang w:val="en-US"/>
        </w:rPr>
        <w:t xml:space="preserve"> </w:t>
      </w:r>
      <w:r w:rsidRPr="00646384">
        <w:rPr>
          <w:sz w:val="22"/>
          <w:szCs w:val="22"/>
          <w:lang w:val="en-US"/>
        </w:rPr>
        <w:t>Kogut,</w:t>
      </w:r>
      <w:r w:rsidRPr="00646384">
        <w:rPr>
          <w:spacing w:val="-1"/>
          <w:sz w:val="22"/>
          <w:szCs w:val="22"/>
          <w:lang w:val="en-US"/>
        </w:rPr>
        <w:t xml:space="preserve"> </w:t>
      </w:r>
      <w:r w:rsidRPr="00646384">
        <w:rPr>
          <w:sz w:val="22"/>
          <w:szCs w:val="22"/>
          <w:lang w:val="en-US"/>
        </w:rPr>
        <w:t>B.;</w:t>
      </w:r>
      <w:r w:rsidRPr="00646384">
        <w:rPr>
          <w:spacing w:val="-2"/>
          <w:sz w:val="22"/>
          <w:szCs w:val="22"/>
          <w:lang w:val="en-US"/>
        </w:rPr>
        <w:t xml:space="preserve"> </w:t>
      </w:r>
      <w:r w:rsidRPr="00646384">
        <w:rPr>
          <w:sz w:val="22"/>
          <w:szCs w:val="22"/>
          <w:lang w:val="en-US"/>
        </w:rPr>
        <w:t>Singh,</w:t>
      </w:r>
      <w:r w:rsidRPr="00646384">
        <w:rPr>
          <w:spacing w:val="-1"/>
          <w:sz w:val="22"/>
          <w:szCs w:val="22"/>
          <w:lang w:val="en-US"/>
        </w:rPr>
        <w:t xml:space="preserve"> </w:t>
      </w:r>
      <w:r w:rsidRPr="00646384">
        <w:rPr>
          <w:sz w:val="22"/>
          <w:szCs w:val="22"/>
          <w:lang w:val="en-US"/>
        </w:rPr>
        <w:t>H. (1988):</w:t>
      </w:r>
      <w:r w:rsidRPr="00646384">
        <w:rPr>
          <w:spacing w:val="-2"/>
          <w:sz w:val="22"/>
          <w:szCs w:val="22"/>
          <w:lang w:val="en-US"/>
        </w:rPr>
        <w:t xml:space="preserve"> </w:t>
      </w:r>
      <w:r w:rsidRPr="00646384">
        <w:rPr>
          <w:sz w:val="22"/>
          <w:szCs w:val="22"/>
          <w:lang w:val="en-US"/>
        </w:rPr>
        <w:t>The</w:t>
      </w:r>
      <w:r w:rsidRPr="00646384">
        <w:rPr>
          <w:spacing w:val="-1"/>
          <w:sz w:val="22"/>
          <w:szCs w:val="22"/>
          <w:lang w:val="en-US"/>
        </w:rPr>
        <w:t xml:space="preserve"> </w:t>
      </w:r>
      <w:r w:rsidRPr="00646384">
        <w:rPr>
          <w:sz w:val="22"/>
          <w:szCs w:val="22"/>
          <w:lang w:val="en-US"/>
        </w:rPr>
        <w:t>Effect</w:t>
      </w:r>
      <w:r w:rsidRPr="00646384">
        <w:rPr>
          <w:spacing w:val="-1"/>
          <w:sz w:val="22"/>
          <w:szCs w:val="22"/>
          <w:lang w:val="en-US"/>
        </w:rPr>
        <w:t xml:space="preserve"> </w:t>
      </w:r>
      <w:r w:rsidRPr="00646384">
        <w:rPr>
          <w:sz w:val="22"/>
          <w:szCs w:val="22"/>
          <w:lang w:val="en-US"/>
        </w:rPr>
        <w:t>of</w:t>
      </w:r>
      <w:r w:rsidRPr="00646384">
        <w:rPr>
          <w:spacing w:val="-2"/>
          <w:sz w:val="22"/>
          <w:szCs w:val="22"/>
          <w:lang w:val="en-US"/>
        </w:rPr>
        <w:t xml:space="preserve"> </w:t>
      </w:r>
      <w:r w:rsidRPr="00646384">
        <w:rPr>
          <w:sz w:val="22"/>
          <w:szCs w:val="22"/>
          <w:lang w:val="en-US"/>
        </w:rPr>
        <w:t>National</w:t>
      </w:r>
      <w:r w:rsidRPr="00646384">
        <w:rPr>
          <w:spacing w:val="-1"/>
          <w:sz w:val="22"/>
          <w:szCs w:val="22"/>
          <w:lang w:val="en-US"/>
        </w:rPr>
        <w:t xml:space="preserve"> </w:t>
      </w:r>
      <w:r w:rsidRPr="00646384">
        <w:rPr>
          <w:sz w:val="22"/>
          <w:szCs w:val="22"/>
          <w:lang w:val="en-US"/>
        </w:rPr>
        <w:t>Culture</w:t>
      </w:r>
      <w:r w:rsidRPr="00646384">
        <w:rPr>
          <w:spacing w:val="-3"/>
          <w:sz w:val="22"/>
          <w:szCs w:val="22"/>
          <w:lang w:val="en-US"/>
        </w:rPr>
        <w:t xml:space="preserve"> </w:t>
      </w:r>
      <w:r w:rsidRPr="00646384">
        <w:rPr>
          <w:sz w:val="22"/>
          <w:szCs w:val="22"/>
          <w:lang w:val="en-US"/>
        </w:rPr>
        <w:t>on</w:t>
      </w:r>
      <w:r w:rsidRPr="00646384">
        <w:rPr>
          <w:spacing w:val="-2"/>
          <w:sz w:val="22"/>
          <w:szCs w:val="22"/>
          <w:lang w:val="en-US"/>
        </w:rPr>
        <w:t xml:space="preserve"> </w:t>
      </w:r>
      <w:r w:rsidRPr="00646384">
        <w:rPr>
          <w:sz w:val="22"/>
          <w:szCs w:val="22"/>
          <w:lang w:val="en-US"/>
        </w:rPr>
        <w:t>the</w:t>
      </w:r>
      <w:r w:rsidRPr="00646384">
        <w:rPr>
          <w:spacing w:val="-1"/>
          <w:sz w:val="22"/>
          <w:szCs w:val="22"/>
          <w:lang w:val="en-US"/>
        </w:rPr>
        <w:t xml:space="preserve"> </w:t>
      </w:r>
      <w:r w:rsidRPr="00646384">
        <w:rPr>
          <w:sz w:val="22"/>
          <w:szCs w:val="22"/>
          <w:lang w:val="en-US"/>
        </w:rPr>
        <w:t>Choice</w:t>
      </w:r>
      <w:r w:rsidRPr="00646384">
        <w:rPr>
          <w:spacing w:val="-3"/>
          <w:sz w:val="22"/>
          <w:szCs w:val="22"/>
          <w:lang w:val="en-US"/>
        </w:rPr>
        <w:t xml:space="preserve"> </w:t>
      </w:r>
      <w:r w:rsidRPr="00646384">
        <w:rPr>
          <w:sz w:val="22"/>
          <w:szCs w:val="22"/>
          <w:lang w:val="en-US"/>
        </w:rPr>
        <w:t>of</w:t>
      </w:r>
      <w:r w:rsidRPr="00646384">
        <w:rPr>
          <w:spacing w:val="40"/>
          <w:sz w:val="22"/>
          <w:szCs w:val="22"/>
          <w:lang w:val="en-US"/>
        </w:rPr>
        <w:t xml:space="preserve"> </w:t>
      </w:r>
      <w:r w:rsidRPr="00646384">
        <w:rPr>
          <w:sz w:val="22"/>
          <w:szCs w:val="22"/>
          <w:lang w:val="en-US"/>
        </w:rPr>
        <w:t>Entry Mode, Journal of International Business Studies, 19(3): .411-432.</w:t>
      </w:r>
    </w:p>
    <w:p w14:paraId="26017E58" w14:textId="77777777" w:rsidR="00FF7799" w:rsidRPr="00646384" w:rsidRDefault="00FF7799" w:rsidP="00EF3983">
      <w:pPr>
        <w:pStyle w:val="StandardText"/>
        <w:rPr>
          <w:sz w:val="22"/>
          <w:szCs w:val="22"/>
          <w:lang w:val="en-US"/>
        </w:rPr>
      </w:pPr>
    </w:p>
    <w:p w14:paraId="70B41B8D" w14:textId="77777777" w:rsidR="008A2FFC" w:rsidRPr="007F69DA" w:rsidRDefault="008A2FFC" w:rsidP="008A2FFC">
      <w:pPr>
        <w:keepNext/>
        <w:keepLines/>
        <w:spacing w:before="240"/>
        <w:jc w:val="both"/>
        <w:outlineLvl w:val="1"/>
        <w:rPr>
          <w:b/>
          <w:color w:val="2E74B5"/>
        </w:rPr>
      </w:pPr>
      <w:r w:rsidRPr="007F69DA">
        <w:rPr>
          <w:b/>
          <w:color w:val="2E74B5"/>
        </w:rPr>
        <w:t>Distanz, psychische</w:t>
      </w:r>
    </w:p>
    <w:p w14:paraId="4891E662" w14:textId="77777777" w:rsidR="008A2FFC" w:rsidRPr="007F69DA" w:rsidRDefault="008A2FFC" w:rsidP="008A2FFC">
      <w:pPr>
        <w:jc w:val="both"/>
        <w:rPr>
          <w:szCs w:val="24"/>
          <w:lang w:bidi="en-US"/>
        </w:rPr>
      </w:pPr>
      <w:r w:rsidRPr="007F69DA">
        <w:rPr>
          <w:szCs w:val="24"/>
          <w:lang w:bidi="en-US"/>
        </w:rPr>
        <w:t xml:space="preserve">Konstrukt, welches die </w:t>
      </w:r>
      <w:r w:rsidRPr="007F69DA">
        <w:rPr>
          <w:bCs/>
          <w:szCs w:val="24"/>
          <w:lang w:bidi="en-US"/>
        </w:rPr>
        <w:t>wahrgenommene Fremdartigkeit</w:t>
      </w:r>
      <w:r w:rsidRPr="007F69DA">
        <w:rPr>
          <w:szCs w:val="24"/>
          <w:lang w:bidi="en-US"/>
        </w:rPr>
        <w:t xml:space="preserve"> anderer Kulturen im Vergleich zur Kultur des Herkunftslandes der urteilenden Person repräsentier. Während die gängigen Maße der kulturellen Distanz zwei Kulturen (A und B) miteinander vergleichen, indem sie Werte, die </w:t>
      </w:r>
      <w:r w:rsidRPr="007F69DA">
        <w:rPr>
          <w:bCs/>
          <w:szCs w:val="24"/>
          <w:lang w:bidi="en-US"/>
        </w:rPr>
        <w:t xml:space="preserve">in beiden Ländern </w:t>
      </w:r>
      <w:r w:rsidRPr="007F69DA">
        <w:rPr>
          <w:szCs w:val="24"/>
          <w:lang w:bidi="en-US"/>
        </w:rPr>
        <w:t>per Selbsteinschätzung erhoben wurden, miteinander verrechnen (</w:t>
      </w:r>
      <w:r w:rsidRPr="007F69DA">
        <w:rPr>
          <w:szCs w:val="24"/>
          <w:lang w:bidi="en-US"/>
        </w:rPr>
        <w:sym w:font="Symbol" w:char="F0DE"/>
      </w:r>
      <w:r w:rsidRPr="007F69DA">
        <w:rPr>
          <w:szCs w:val="24"/>
          <w:lang w:bidi="en-US"/>
        </w:rPr>
        <w:t xml:space="preserve"> Distanz, kulturelle), beurteilen im Falle der psychischen Distanz nur Angehörige </w:t>
      </w:r>
      <w:r w:rsidRPr="007F69DA">
        <w:rPr>
          <w:bCs/>
          <w:szCs w:val="24"/>
          <w:lang w:bidi="en-US"/>
        </w:rPr>
        <w:t xml:space="preserve">einer Kultur </w:t>
      </w:r>
      <w:r w:rsidRPr="007F69DA">
        <w:rPr>
          <w:szCs w:val="24"/>
          <w:lang w:bidi="en-US"/>
        </w:rPr>
        <w:t xml:space="preserve">deren gefühlte (Un-)Ähnlichkeit mit einer anderen Kultur. Das Herkunftsland fungiert somit als Ankerpunkt des Urteils über das fremde Land. Abb. 1 verdeutlicht die Konsequenzen des unterschiedlichen </w:t>
      </w:r>
      <w:r w:rsidRPr="007F69DA">
        <w:rPr>
          <w:bCs/>
          <w:szCs w:val="24"/>
          <w:lang w:bidi="en-US"/>
        </w:rPr>
        <w:t>‘locus of judgement‘</w:t>
      </w:r>
      <w:r w:rsidRPr="007F69DA">
        <w:rPr>
          <w:szCs w:val="24"/>
          <w:lang w:bidi="en-US"/>
        </w:rPr>
        <w:t xml:space="preserve">. Der variierende Bezugspunkt sorgt dafür, dass zwei Kulturen kulturell und psychisch unterschiedlich weit voneinander entfernt liegen können. Auch weichen beide Werte gleichermaßen zum Teil erheblich von der objektiven Entfernung </w:t>
      </w:r>
      <w:r w:rsidRPr="007F69DA">
        <w:rPr>
          <w:bCs/>
          <w:szCs w:val="24"/>
          <w:lang w:bidi="en-US"/>
        </w:rPr>
        <w:t>ab</w:t>
      </w:r>
      <w:r w:rsidRPr="007F69DA">
        <w:rPr>
          <w:szCs w:val="24"/>
          <w:lang w:bidi="en-US"/>
        </w:rPr>
        <w:t xml:space="preserve">, d.h. von der </w:t>
      </w:r>
      <w:r w:rsidRPr="007F69DA">
        <w:rPr>
          <w:bCs/>
          <w:szCs w:val="24"/>
          <w:lang w:bidi="en-US"/>
        </w:rPr>
        <w:t xml:space="preserve">geographischen Distanz </w:t>
      </w:r>
      <w:r w:rsidRPr="007F69DA">
        <w:rPr>
          <w:szCs w:val="24"/>
          <w:lang w:bidi="en-US"/>
        </w:rPr>
        <w:t>(vgl. Kornmeier 2002).</w:t>
      </w:r>
    </w:p>
    <w:p w14:paraId="204028AD" w14:textId="77777777" w:rsidR="008A2FFC" w:rsidRPr="007F69DA" w:rsidRDefault="008A2FFC" w:rsidP="008A2FFC">
      <w:pPr>
        <w:spacing w:line="360" w:lineRule="auto"/>
        <w:jc w:val="both"/>
        <w:rPr>
          <w:szCs w:val="24"/>
          <w:lang w:bidi="en-US"/>
        </w:rPr>
      </w:pPr>
    </w:p>
    <w:p w14:paraId="58653DFA" w14:textId="77777777" w:rsidR="008A2FFC" w:rsidRPr="00C76DC3" w:rsidRDefault="008A2FFC" w:rsidP="008A2FFC">
      <w:pPr>
        <w:spacing w:after="120" w:line="360" w:lineRule="auto"/>
        <w:jc w:val="center"/>
        <w:rPr>
          <w:i/>
          <w:szCs w:val="20"/>
          <w:lang w:eastAsia="de-DE"/>
        </w:rPr>
      </w:pPr>
      <w:bookmarkStart w:id="4" w:name="_Ref47000335"/>
      <w:r w:rsidRPr="00C76DC3">
        <w:rPr>
          <w:i/>
          <w:szCs w:val="20"/>
          <w:lang w:eastAsia="de-DE"/>
        </w:rPr>
        <w:t>Abb.</w:t>
      </w:r>
      <w:bookmarkEnd w:id="4"/>
      <w:r w:rsidRPr="00C76DC3">
        <w:rPr>
          <w:i/>
          <w:szCs w:val="20"/>
          <w:lang w:eastAsia="de-DE"/>
        </w:rPr>
        <w:t xml:space="preserve"> 1: Kulturelle &amp; psychische Distanz im Vergleich</w:t>
      </w:r>
    </w:p>
    <w:p w14:paraId="3F078473" w14:textId="77777777" w:rsidR="008A2FFC" w:rsidRPr="007F69DA" w:rsidRDefault="008A2FFC" w:rsidP="008A2FFC">
      <w:pPr>
        <w:spacing w:line="360" w:lineRule="auto"/>
        <w:jc w:val="both"/>
        <w:rPr>
          <w:szCs w:val="24"/>
          <w:lang w:bidi="en-US"/>
        </w:rPr>
      </w:pPr>
      <w:r w:rsidRPr="007F69DA">
        <w:rPr>
          <w:noProof/>
          <w:szCs w:val="24"/>
          <w:lang w:eastAsia="de-DE"/>
        </w:rPr>
        <w:lastRenderedPageBreak/>
        <w:drawing>
          <wp:inline distT="0" distB="0" distL="0" distR="0" wp14:anchorId="337AC5CF" wp14:editId="08035511">
            <wp:extent cx="5845293" cy="4352925"/>
            <wp:effectExtent l="0" t="0" r="3175" b="0"/>
            <wp:docPr id="1484900008" name="Grafik 14849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849381" cy="4355969"/>
                    </a:xfrm>
                    <a:prstGeom prst="rect">
                      <a:avLst/>
                    </a:prstGeom>
                    <a:noFill/>
                  </pic:spPr>
                </pic:pic>
              </a:graphicData>
            </a:graphic>
          </wp:inline>
        </w:drawing>
      </w:r>
    </w:p>
    <w:p w14:paraId="1E710772" w14:textId="77777777" w:rsidR="008A2FFC" w:rsidRPr="007F69DA" w:rsidRDefault="008A2FFC" w:rsidP="008A2FFC">
      <w:pPr>
        <w:spacing w:line="360" w:lineRule="auto"/>
        <w:jc w:val="both"/>
        <w:rPr>
          <w:bCs/>
          <w:szCs w:val="24"/>
          <w:lang w:bidi="en-US"/>
        </w:rPr>
      </w:pPr>
    </w:p>
    <w:p w14:paraId="713767D1" w14:textId="77777777" w:rsidR="008A2FFC" w:rsidRPr="007F69DA" w:rsidRDefault="008A2FFC" w:rsidP="007745DA">
      <w:pPr>
        <w:pStyle w:val="Literatur"/>
        <w:numPr>
          <w:ilvl w:val="0"/>
          <w:numId w:val="0"/>
        </w:numPr>
        <w:spacing w:line="240" w:lineRule="auto"/>
        <w:rPr>
          <w:sz w:val="24"/>
          <w:szCs w:val="24"/>
          <w:lang w:bidi="en-US"/>
        </w:rPr>
      </w:pPr>
      <w:r w:rsidRPr="007F69DA">
        <w:rPr>
          <w:sz w:val="24"/>
          <w:szCs w:val="24"/>
          <w:lang w:bidi="en-US"/>
        </w:rPr>
        <w:t xml:space="preserve">Da „psychische Distanz“, anders als „kulturelle Distanz“ kein reziprokes, sondern ein unilaterales Maß ist, werden unterschiedliche Werte gemessen, je nachdem, ob Angehörige von Kultur A oder Angehörige von Kultur B die psychische Distanz zwischen A und B beurteilen. </w:t>
      </w:r>
    </w:p>
    <w:p w14:paraId="7596C119" w14:textId="77777777" w:rsidR="008A2FFC" w:rsidRPr="007F69DA" w:rsidRDefault="008A2FFC" w:rsidP="007745DA">
      <w:pPr>
        <w:pStyle w:val="Literatur"/>
        <w:numPr>
          <w:ilvl w:val="0"/>
          <w:numId w:val="0"/>
        </w:numPr>
        <w:spacing w:line="240" w:lineRule="auto"/>
        <w:rPr>
          <w:sz w:val="22"/>
          <w:szCs w:val="22"/>
        </w:rPr>
      </w:pPr>
    </w:p>
    <w:p w14:paraId="2258B403" w14:textId="77777777" w:rsidR="00FF7799" w:rsidRPr="007745DA" w:rsidRDefault="00FF7799" w:rsidP="00F066E4">
      <w:pPr>
        <w:pStyle w:val="berschrift1"/>
        <w:rPr>
          <w:color w:val="2F5496" w:themeColor="accent5" w:themeShade="BF"/>
        </w:rPr>
      </w:pPr>
      <w:r w:rsidRPr="007745DA">
        <w:rPr>
          <w:color w:val="2F5496" w:themeColor="accent5" w:themeShade="BF"/>
        </w:rPr>
        <w:t>Distanzforschung</w:t>
      </w:r>
    </w:p>
    <w:p w14:paraId="3FFE99DA" w14:textId="77777777" w:rsidR="00FF7799" w:rsidRPr="00E73F6F" w:rsidRDefault="00FF7799" w:rsidP="00EC6BDF">
      <w:pPr>
        <w:pStyle w:val="StandardText"/>
      </w:pPr>
      <w:r w:rsidRPr="00E73F6F">
        <w:t>untersucht den Einfluss der geographischen bzw. der kulturellen bzw. der psychischen Distanz auf das Verhalten von Interaktionspartnern. So hat sich gezeigt,</w:t>
      </w:r>
      <w:r w:rsidRPr="00E73F6F">
        <w:rPr>
          <w:spacing w:val="-2"/>
        </w:rPr>
        <w:t xml:space="preserve"> </w:t>
      </w:r>
      <w:r w:rsidRPr="00E73F6F">
        <w:t>dass</w:t>
      </w:r>
      <w:r w:rsidRPr="00E73F6F">
        <w:rPr>
          <w:spacing w:val="-4"/>
        </w:rPr>
        <w:t xml:space="preserve"> </w:t>
      </w:r>
      <w:r w:rsidRPr="00E73F6F">
        <w:t>der</w:t>
      </w:r>
      <w:r w:rsidRPr="00E73F6F">
        <w:rPr>
          <w:spacing w:val="-5"/>
        </w:rPr>
        <w:t xml:space="preserve"> </w:t>
      </w:r>
      <w:r w:rsidRPr="00E73F6F">
        <w:t>gesamte</w:t>
      </w:r>
      <w:r w:rsidRPr="00E73F6F">
        <w:rPr>
          <w:spacing w:val="-4"/>
        </w:rPr>
        <w:t xml:space="preserve"> </w:t>
      </w:r>
      <w:r w:rsidRPr="00E73F6F">
        <w:t>Handel</w:t>
      </w:r>
      <w:r w:rsidRPr="00E73F6F">
        <w:rPr>
          <w:spacing w:val="-3"/>
        </w:rPr>
        <w:t xml:space="preserve"> </w:t>
      </w:r>
      <w:r w:rsidRPr="00E73F6F">
        <w:t>zwischen</w:t>
      </w:r>
      <w:r w:rsidRPr="00E73F6F">
        <w:rPr>
          <w:spacing w:val="-2"/>
        </w:rPr>
        <w:t xml:space="preserve"> </w:t>
      </w:r>
      <w:r w:rsidRPr="00E73F6F">
        <w:t>zwei</w:t>
      </w:r>
      <w:r w:rsidRPr="00E73F6F">
        <w:rPr>
          <w:spacing w:val="-3"/>
        </w:rPr>
        <w:t xml:space="preserve"> </w:t>
      </w:r>
      <w:r w:rsidRPr="00E73F6F">
        <w:t>Volkswirtschaften,</w:t>
      </w:r>
      <w:r w:rsidRPr="00E73F6F">
        <w:rPr>
          <w:spacing w:val="-3"/>
        </w:rPr>
        <w:t xml:space="preserve"> </w:t>
      </w:r>
      <w:r w:rsidRPr="00E73F6F">
        <w:t>die</w:t>
      </w:r>
      <w:r w:rsidRPr="00E73F6F">
        <w:rPr>
          <w:spacing w:val="-3"/>
        </w:rPr>
        <w:t xml:space="preserve"> </w:t>
      </w:r>
      <w:r w:rsidRPr="00E73F6F">
        <w:t>5.000</w:t>
      </w:r>
      <w:r w:rsidRPr="00E73F6F">
        <w:rPr>
          <w:spacing w:val="-4"/>
        </w:rPr>
        <w:t xml:space="preserve"> </w:t>
      </w:r>
      <w:r w:rsidRPr="00E73F6F">
        <w:t>km voneinander entfernt sind, lediglich ein Fünftel dessen ausmacht, „was erwartet werden könnte, wenn diese Länder nur durch 1.000 km getrennt wären […]. Ein Unternehmen wird wahrscheinlich ein zehnmal größeres Geschäft in einem Land erreichen, das ehemals Kolonie des eigenen Landes war, als mit einem anderen Land,</w:t>
      </w:r>
      <w:r w:rsidRPr="00E73F6F">
        <w:rPr>
          <w:spacing w:val="-11"/>
        </w:rPr>
        <w:t xml:space="preserve"> </w:t>
      </w:r>
      <w:r w:rsidRPr="00E73F6F">
        <w:t>zu</w:t>
      </w:r>
      <w:r w:rsidRPr="00E73F6F">
        <w:rPr>
          <w:spacing w:val="-10"/>
        </w:rPr>
        <w:t xml:space="preserve"> </w:t>
      </w:r>
      <w:r w:rsidRPr="00E73F6F">
        <w:t>dem</w:t>
      </w:r>
      <w:r w:rsidRPr="00E73F6F">
        <w:rPr>
          <w:spacing w:val="-10"/>
        </w:rPr>
        <w:t xml:space="preserve"> </w:t>
      </w:r>
      <w:r w:rsidRPr="00E73F6F">
        <w:t>es</w:t>
      </w:r>
      <w:r w:rsidRPr="00E73F6F">
        <w:rPr>
          <w:spacing w:val="-10"/>
        </w:rPr>
        <w:t xml:space="preserve"> </w:t>
      </w:r>
      <w:r w:rsidRPr="00E73F6F">
        <w:t>keine</w:t>
      </w:r>
      <w:r w:rsidRPr="00E73F6F">
        <w:rPr>
          <w:spacing w:val="-10"/>
        </w:rPr>
        <w:t xml:space="preserve"> </w:t>
      </w:r>
      <w:r w:rsidRPr="00E73F6F">
        <w:t>solche</w:t>
      </w:r>
      <w:r w:rsidRPr="00E73F6F">
        <w:rPr>
          <w:spacing w:val="-10"/>
        </w:rPr>
        <w:t xml:space="preserve"> </w:t>
      </w:r>
      <w:r w:rsidRPr="00E73F6F">
        <w:t>Bindung</w:t>
      </w:r>
      <w:r w:rsidRPr="00E73F6F">
        <w:rPr>
          <w:spacing w:val="-10"/>
        </w:rPr>
        <w:t xml:space="preserve"> </w:t>
      </w:r>
      <w:r w:rsidRPr="00E73F6F">
        <w:t>gibt.</w:t>
      </w:r>
      <w:r w:rsidRPr="00E73F6F">
        <w:rPr>
          <w:spacing w:val="-11"/>
        </w:rPr>
        <w:t xml:space="preserve"> </w:t>
      </w:r>
      <w:r w:rsidRPr="00E73F6F">
        <w:t>Eine</w:t>
      </w:r>
      <w:r w:rsidRPr="00E73F6F">
        <w:rPr>
          <w:spacing w:val="-10"/>
        </w:rPr>
        <w:t xml:space="preserve"> </w:t>
      </w:r>
      <w:r w:rsidRPr="00E73F6F">
        <w:t>einheitliche</w:t>
      </w:r>
      <w:r w:rsidRPr="00E73F6F">
        <w:rPr>
          <w:spacing w:val="-10"/>
        </w:rPr>
        <w:t xml:space="preserve"> </w:t>
      </w:r>
      <w:r w:rsidRPr="00E73F6F">
        <w:t>Währung</w:t>
      </w:r>
      <w:r w:rsidRPr="00E73F6F">
        <w:rPr>
          <w:spacing w:val="-10"/>
        </w:rPr>
        <w:t xml:space="preserve"> </w:t>
      </w:r>
      <w:r w:rsidRPr="00E73F6F">
        <w:t>steigert</w:t>
      </w:r>
      <w:r w:rsidRPr="00E73F6F">
        <w:rPr>
          <w:spacing w:val="-11"/>
        </w:rPr>
        <w:t xml:space="preserve"> </w:t>
      </w:r>
      <w:r w:rsidRPr="00E73F6F">
        <w:t>das gemeinsame</w:t>
      </w:r>
      <w:r w:rsidRPr="00E73F6F">
        <w:rPr>
          <w:spacing w:val="-12"/>
        </w:rPr>
        <w:t xml:space="preserve"> </w:t>
      </w:r>
      <w:r w:rsidRPr="00E73F6F">
        <w:t>Handelsvolumen</w:t>
      </w:r>
      <w:r w:rsidRPr="00E73F6F">
        <w:rPr>
          <w:spacing w:val="-11"/>
        </w:rPr>
        <w:t xml:space="preserve"> </w:t>
      </w:r>
      <w:r w:rsidRPr="00E73F6F">
        <w:t>um</w:t>
      </w:r>
      <w:r w:rsidRPr="00E73F6F">
        <w:rPr>
          <w:spacing w:val="-11"/>
        </w:rPr>
        <w:t xml:space="preserve"> </w:t>
      </w:r>
      <w:r w:rsidRPr="00E73F6F">
        <w:t>340%</w:t>
      </w:r>
      <w:r w:rsidRPr="00E73F6F">
        <w:rPr>
          <w:spacing w:val="-11"/>
        </w:rPr>
        <w:t xml:space="preserve"> </w:t>
      </w:r>
      <w:r w:rsidRPr="00E73F6F">
        <w:t>und</w:t>
      </w:r>
      <w:r w:rsidRPr="00E73F6F">
        <w:rPr>
          <w:spacing w:val="-12"/>
        </w:rPr>
        <w:t xml:space="preserve"> </w:t>
      </w:r>
      <w:r w:rsidRPr="00E73F6F">
        <w:t>die</w:t>
      </w:r>
      <w:r w:rsidRPr="00E73F6F">
        <w:rPr>
          <w:spacing w:val="-11"/>
        </w:rPr>
        <w:t xml:space="preserve"> </w:t>
      </w:r>
      <w:r w:rsidRPr="00E73F6F">
        <w:t>Mitgliedschaft</w:t>
      </w:r>
      <w:r w:rsidRPr="00E73F6F">
        <w:rPr>
          <w:spacing w:val="-11"/>
        </w:rPr>
        <w:t xml:space="preserve"> </w:t>
      </w:r>
      <w:r w:rsidRPr="00E73F6F">
        <w:t>in</w:t>
      </w:r>
      <w:r w:rsidRPr="00E73F6F">
        <w:rPr>
          <w:spacing w:val="-11"/>
        </w:rPr>
        <w:t xml:space="preserve"> </w:t>
      </w:r>
      <w:r w:rsidRPr="00E73F6F">
        <w:t>einer</w:t>
      </w:r>
      <w:r w:rsidRPr="00E73F6F">
        <w:rPr>
          <w:spacing w:val="-12"/>
        </w:rPr>
        <w:t xml:space="preserve"> </w:t>
      </w:r>
      <w:r w:rsidRPr="00E73F6F">
        <w:t>regionalen Wirtschaftsgemeinschaft um 330%“ (Ghemawat 2002, S.83).</w:t>
      </w:r>
    </w:p>
    <w:p w14:paraId="256113F8" w14:textId="77777777" w:rsidR="004A28F6" w:rsidRPr="00E73F6F" w:rsidRDefault="004A28F6" w:rsidP="00EC6BDF">
      <w:pPr>
        <w:pStyle w:val="StandardText"/>
      </w:pPr>
    </w:p>
    <w:p w14:paraId="1847C76B" w14:textId="77777777" w:rsidR="00FF7799" w:rsidRPr="00037FAC" w:rsidRDefault="00FF7799" w:rsidP="00EC6BDF">
      <w:pPr>
        <w:pStyle w:val="BeschriftungTab"/>
        <w:rPr>
          <w:i/>
          <w:iCs/>
        </w:rPr>
      </w:pPr>
      <w:r w:rsidRPr="00037FAC">
        <w:rPr>
          <w:i/>
          <w:iCs/>
        </w:rPr>
        <w:t>Tab.</w:t>
      </w:r>
      <w:r w:rsidRPr="00037FAC">
        <w:rPr>
          <w:i/>
          <w:iCs/>
          <w:spacing w:val="-1"/>
        </w:rPr>
        <w:t xml:space="preserve"> </w:t>
      </w:r>
      <w:r w:rsidRPr="00037FAC">
        <w:rPr>
          <w:i/>
          <w:iCs/>
        </w:rPr>
        <w:t>1:</w:t>
      </w:r>
      <w:r w:rsidRPr="00037FAC">
        <w:rPr>
          <w:i/>
          <w:iCs/>
          <w:spacing w:val="-3"/>
        </w:rPr>
        <w:t xml:space="preserve"> </w:t>
      </w:r>
      <w:r w:rsidRPr="00037FAC">
        <w:rPr>
          <w:i/>
          <w:iCs/>
        </w:rPr>
        <w:t>Ökonomische</w:t>
      </w:r>
      <w:r w:rsidRPr="00037FAC">
        <w:rPr>
          <w:i/>
          <w:iCs/>
          <w:spacing w:val="-1"/>
        </w:rPr>
        <w:t xml:space="preserve"> </w:t>
      </w:r>
      <w:r w:rsidRPr="00037FAC">
        <w:rPr>
          <w:i/>
          <w:iCs/>
        </w:rPr>
        <w:t>Effekte</w:t>
      </w:r>
      <w:r w:rsidRPr="00037FAC">
        <w:rPr>
          <w:i/>
          <w:iCs/>
          <w:spacing w:val="-1"/>
        </w:rPr>
        <w:t xml:space="preserve"> </w:t>
      </w:r>
      <w:r w:rsidRPr="00037FAC">
        <w:rPr>
          <w:i/>
          <w:iCs/>
        </w:rPr>
        <w:t>von</w:t>
      </w:r>
      <w:r w:rsidRPr="00037FAC">
        <w:rPr>
          <w:i/>
          <w:iCs/>
          <w:spacing w:val="-4"/>
        </w:rPr>
        <w:t xml:space="preserve"> </w:t>
      </w:r>
      <w:r w:rsidRPr="00037FAC">
        <w:rPr>
          <w:i/>
          <w:iCs/>
          <w:spacing w:val="-2"/>
        </w:rPr>
        <w:t>Distanz</w:t>
      </w:r>
    </w:p>
    <w:tbl>
      <w:tblPr>
        <w:tblStyle w:val="TableNormal"/>
        <w:tblW w:w="5000" w:type="pct"/>
        <w:tblBorders>
          <w:top w:val="single" w:sz="4" w:space="0" w:color="000000"/>
          <w:bottom w:val="single" w:sz="4" w:space="0" w:color="000000"/>
          <w:insideH w:val="single" w:sz="4" w:space="0" w:color="000000"/>
        </w:tblBorders>
        <w:tblLook w:val="01E0" w:firstRow="1" w:lastRow="1" w:firstColumn="1" w:lastColumn="1" w:noHBand="0" w:noVBand="0"/>
      </w:tblPr>
      <w:tblGrid>
        <w:gridCol w:w="5472"/>
        <w:gridCol w:w="3600"/>
      </w:tblGrid>
      <w:tr w:rsidR="00FF7799" w:rsidRPr="00E73F6F" w14:paraId="3AD00A28" w14:textId="77777777" w:rsidTr="004A28F6">
        <w:trPr>
          <w:trHeight w:val="727"/>
          <w:tblHeader/>
        </w:trPr>
        <w:tc>
          <w:tcPr>
            <w:tcW w:w="3016" w:type="pct"/>
            <w:shd w:val="clear" w:color="auto" w:fill="FFC000"/>
          </w:tcPr>
          <w:p w14:paraId="14BA21CD" w14:textId="77777777" w:rsidR="00FF7799" w:rsidRPr="00E73F6F" w:rsidRDefault="00FF7799" w:rsidP="00EC6BDF">
            <w:pPr>
              <w:pStyle w:val="StandardText"/>
              <w:spacing w:after="120"/>
              <w:jc w:val="center"/>
              <w:rPr>
                <w:b/>
                <w:lang w:val="de-DE"/>
              </w:rPr>
            </w:pPr>
            <w:r w:rsidRPr="00E73F6F">
              <w:rPr>
                <w:b/>
                <w:lang w:val="de-DE"/>
              </w:rPr>
              <w:t>Art</w:t>
            </w:r>
            <w:r w:rsidRPr="00E73F6F">
              <w:rPr>
                <w:b/>
                <w:spacing w:val="-4"/>
                <w:lang w:val="de-DE"/>
              </w:rPr>
              <w:t xml:space="preserve"> </w:t>
            </w:r>
            <w:r w:rsidRPr="00E73F6F">
              <w:rPr>
                <w:b/>
                <w:lang w:val="de-DE"/>
              </w:rPr>
              <w:t xml:space="preserve">der </w:t>
            </w:r>
            <w:r w:rsidRPr="00E73F6F">
              <w:rPr>
                <w:b/>
                <w:spacing w:val="-2"/>
                <w:lang w:val="de-DE"/>
              </w:rPr>
              <w:t>Distanz</w:t>
            </w:r>
          </w:p>
        </w:tc>
        <w:tc>
          <w:tcPr>
            <w:tcW w:w="1984" w:type="pct"/>
            <w:shd w:val="clear" w:color="auto" w:fill="FFC000"/>
          </w:tcPr>
          <w:p w14:paraId="43AF655A" w14:textId="77777777" w:rsidR="00FF7799" w:rsidRPr="00E73F6F" w:rsidRDefault="00FF7799" w:rsidP="00EC6BDF">
            <w:pPr>
              <w:pStyle w:val="StandardText"/>
              <w:spacing w:after="120"/>
              <w:jc w:val="center"/>
              <w:rPr>
                <w:b/>
                <w:spacing w:val="80"/>
                <w:lang w:val="de-DE"/>
              </w:rPr>
            </w:pPr>
            <w:r w:rsidRPr="00E73F6F">
              <w:rPr>
                <w:b/>
                <w:lang w:val="de-DE"/>
              </w:rPr>
              <w:t>Veränderung</w:t>
            </w:r>
            <w:r w:rsidRPr="00E73F6F">
              <w:rPr>
                <w:b/>
                <w:spacing w:val="-10"/>
                <w:lang w:val="de-DE"/>
              </w:rPr>
              <w:t xml:space="preserve"> </w:t>
            </w:r>
            <w:r w:rsidRPr="00E73F6F">
              <w:rPr>
                <w:b/>
                <w:lang w:val="de-DE"/>
              </w:rPr>
              <w:t>des</w:t>
            </w:r>
            <w:r w:rsidRPr="00E73F6F">
              <w:rPr>
                <w:b/>
                <w:spacing w:val="40"/>
                <w:lang w:val="de-DE"/>
              </w:rPr>
              <w:t xml:space="preserve"> </w:t>
            </w:r>
            <w:r w:rsidRPr="00E73F6F">
              <w:rPr>
                <w:b/>
                <w:spacing w:val="-2"/>
                <w:lang w:val="de-DE"/>
              </w:rPr>
              <w:t>Außenhandels</w:t>
            </w:r>
            <w:r w:rsidRPr="00E73F6F">
              <w:rPr>
                <w:b/>
                <w:spacing w:val="80"/>
                <w:lang w:val="de-DE"/>
              </w:rPr>
              <w:t xml:space="preserve"> </w:t>
            </w:r>
            <w:r w:rsidRPr="00E73F6F">
              <w:rPr>
                <w:b/>
                <w:spacing w:val="80"/>
                <w:lang w:val="de-DE"/>
              </w:rPr>
              <w:br/>
            </w:r>
            <w:r w:rsidRPr="00E73F6F">
              <w:rPr>
                <w:i/>
                <w:lang w:val="de-DE"/>
              </w:rPr>
              <w:t>(in</w:t>
            </w:r>
            <w:r w:rsidRPr="00E73F6F">
              <w:rPr>
                <w:i/>
                <w:spacing w:val="-3"/>
                <w:lang w:val="de-DE"/>
              </w:rPr>
              <w:t xml:space="preserve"> </w:t>
            </w:r>
            <w:r w:rsidRPr="00E73F6F">
              <w:rPr>
                <w:i/>
                <w:lang w:val="de-DE"/>
              </w:rPr>
              <w:t>%)</w:t>
            </w:r>
          </w:p>
        </w:tc>
      </w:tr>
      <w:tr w:rsidR="00FF7799" w:rsidRPr="00E73F6F" w14:paraId="177A6060" w14:textId="77777777" w:rsidTr="004A28F6">
        <w:trPr>
          <w:trHeight w:val="525"/>
        </w:trPr>
        <w:tc>
          <w:tcPr>
            <w:tcW w:w="3016" w:type="pct"/>
          </w:tcPr>
          <w:p w14:paraId="5A227FEA" w14:textId="77777777" w:rsidR="00FF7799" w:rsidRPr="00E73F6F" w:rsidRDefault="00FF7799" w:rsidP="007F7E3C">
            <w:pPr>
              <w:pStyle w:val="StandardText"/>
              <w:jc w:val="left"/>
              <w:rPr>
                <w:lang w:val="de-DE"/>
              </w:rPr>
            </w:pPr>
            <w:r w:rsidRPr="00E73F6F">
              <w:rPr>
                <w:lang w:val="de-DE"/>
              </w:rPr>
              <w:t>Einkommensniveau:</w:t>
            </w:r>
            <w:r w:rsidRPr="00E73F6F">
              <w:rPr>
                <w:spacing w:val="80"/>
                <w:lang w:val="de-DE"/>
              </w:rPr>
              <w:t xml:space="preserve"> </w:t>
            </w:r>
            <w:r w:rsidRPr="00E73F6F">
              <w:rPr>
                <w:lang w:val="de-DE"/>
              </w:rPr>
              <w:t>Bruttoinlandsprodukt</w:t>
            </w:r>
            <w:r w:rsidRPr="00E73F6F">
              <w:rPr>
                <w:spacing w:val="80"/>
                <w:lang w:val="de-DE"/>
              </w:rPr>
              <w:t xml:space="preserve"> </w:t>
            </w:r>
            <w:r w:rsidRPr="00E73F6F">
              <w:rPr>
                <w:lang w:val="de-DE"/>
              </w:rPr>
              <w:t>pro</w:t>
            </w:r>
            <w:r w:rsidRPr="00E73F6F">
              <w:rPr>
                <w:spacing w:val="80"/>
                <w:lang w:val="de-DE"/>
              </w:rPr>
              <w:t xml:space="preserve"> </w:t>
            </w:r>
            <w:r w:rsidRPr="00E73F6F">
              <w:rPr>
                <w:lang w:val="de-DE"/>
              </w:rPr>
              <w:t>Kopf</w:t>
            </w:r>
            <w:r w:rsidRPr="00E73F6F">
              <w:rPr>
                <w:spacing w:val="80"/>
                <w:lang w:val="de-DE"/>
              </w:rPr>
              <w:t xml:space="preserve"> </w:t>
            </w:r>
            <w:r w:rsidRPr="00E73F6F">
              <w:rPr>
                <w:lang w:val="de-DE"/>
              </w:rPr>
              <w:t>(je</w:t>
            </w:r>
            <w:r w:rsidRPr="00E73F6F">
              <w:rPr>
                <w:spacing w:val="80"/>
                <w:lang w:val="de-DE"/>
              </w:rPr>
              <w:t xml:space="preserve"> </w:t>
            </w:r>
            <w:r w:rsidRPr="00E73F6F">
              <w:rPr>
                <w:lang w:val="de-DE"/>
              </w:rPr>
              <w:t>1%</w:t>
            </w:r>
            <w:r w:rsidRPr="00E73F6F">
              <w:rPr>
                <w:spacing w:val="40"/>
                <w:lang w:val="de-DE"/>
              </w:rPr>
              <w:t xml:space="preserve"> </w:t>
            </w:r>
            <w:r w:rsidRPr="00E73F6F">
              <w:rPr>
                <w:spacing w:val="-2"/>
                <w:lang w:val="de-DE"/>
              </w:rPr>
              <w:t>Zunahme)</w:t>
            </w:r>
          </w:p>
        </w:tc>
        <w:tc>
          <w:tcPr>
            <w:tcW w:w="1984" w:type="pct"/>
          </w:tcPr>
          <w:p w14:paraId="7892169C" w14:textId="77777777" w:rsidR="00FF7799" w:rsidRPr="00E73F6F" w:rsidRDefault="00FF7799" w:rsidP="00EC6BDF">
            <w:pPr>
              <w:pStyle w:val="StandardText"/>
              <w:jc w:val="center"/>
              <w:rPr>
                <w:lang w:val="de-DE"/>
              </w:rPr>
            </w:pPr>
            <w:r w:rsidRPr="00E73F6F">
              <w:rPr>
                <w:lang w:val="de-DE"/>
              </w:rPr>
              <w:t>+</w:t>
            </w:r>
            <w:r w:rsidRPr="00E73F6F">
              <w:rPr>
                <w:spacing w:val="1"/>
                <w:lang w:val="de-DE"/>
              </w:rPr>
              <w:t xml:space="preserve"> </w:t>
            </w:r>
            <w:r w:rsidRPr="00E73F6F">
              <w:rPr>
                <w:spacing w:val="-5"/>
                <w:lang w:val="de-DE"/>
              </w:rPr>
              <w:t>0,7</w:t>
            </w:r>
          </w:p>
        </w:tc>
      </w:tr>
      <w:tr w:rsidR="00FF7799" w:rsidRPr="00E73F6F" w14:paraId="488CC3EC" w14:textId="77777777" w:rsidTr="004A28F6">
        <w:trPr>
          <w:trHeight w:val="321"/>
        </w:trPr>
        <w:tc>
          <w:tcPr>
            <w:tcW w:w="3016" w:type="pct"/>
          </w:tcPr>
          <w:p w14:paraId="4CD00689" w14:textId="77777777" w:rsidR="00FF7799" w:rsidRPr="00E73F6F" w:rsidRDefault="00FF7799" w:rsidP="007F7E3C">
            <w:pPr>
              <w:pStyle w:val="StandardText"/>
              <w:jc w:val="left"/>
              <w:rPr>
                <w:lang w:val="de-DE"/>
              </w:rPr>
            </w:pPr>
            <w:r w:rsidRPr="00E73F6F">
              <w:rPr>
                <w:spacing w:val="-2"/>
                <w:lang w:val="de-DE"/>
              </w:rPr>
              <w:lastRenderedPageBreak/>
              <w:t>Wirtschaftskraft:</w:t>
            </w:r>
            <w:r w:rsidRPr="00E73F6F">
              <w:rPr>
                <w:spacing w:val="10"/>
                <w:lang w:val="de-DE"/>
              </w:rPr>
              <w:t xml:space="preserve"> </w:t>
            </w:r>
            <w:r w:rsidRPr="00E73F6F">
              <w:rPr>
                <w:spacing w:val="-2"/>
                <w:lang w:val="de-DE"/>
              </w:rPr>
              <w:t>Bruttoinlandsprodukt</w:t>
            </w:r>
            <w:r w:rsidRPr="00E73F6F">
              <w:rPr>
                <w:spacing w:val="13"/>
                <w:lang w:val="de-DE"/>
              </w:rPr>
              <w:t xml:space="preserve"> </w:t>
            </w:r>
            <w:r w:rsidRPr="00E73F6F">
              <w:rPr>
                <w:spacing w:val="-2"/>
                <w:lang w:val="de-DE"/>
              </w:rPr>
              <w:t>(je</w:t>
            </w:r>
            <w:r w:rsidRPr="00E73F6F">
              <w:rPr>
                <w:spacing w:val="9"/>
                <w:lang w:val="de-DE"/>
              </w:rPr>
              <w:t xml:space="preserve"> </w:t>
            </w:r>
            <w:r w:rsidRPr="00E73F6F">
              <w:rPr>
                <w:spacing w:val="-2"/>
                <w:lang w:val="de-DE"/>
              </w:rPr>
              <w:t>1%</w:t>
            </w:r>
            <w:r w:rsidRPr="00E73F6F">
              <w:rPr>
                <w:spacing w:val="10"/>
                <w:lang w:val="de-DE"/>
              </w:rPr>
              <w:t xml:space="preserve"> </w:t>
            </w:r>
            <w:r w:rsidRPr="00E73F6F">
              <w:rPr>
                <w:spacing w:val="-2"/>
                <w:lang w:val="de-DE"/>
              </w:rPr>
              <w:t>Zunahme)</w:t>
            </w:r>
          </w:p>
        </w:tc>
        <w:tc>
          <w:tcPr>
            <w:tcW w:w="1984" w:type="pct"/>
          </w:tcPr>
          <w:p w14:paraId="6397906E" w14:textId="77777777" w:rsidR="00FF7799" w:rsidRPr="00E73F6F" w:rsidRDefault="00FF7799" w:rsidP="00EC6BDF">
            <w:pPr>
              <w:pStyle w:val="StandardText"/>
              <w:jc w:val="center"/>
              <w:rPr>
                <w:lang w:val="de-DE"/>
              </w:rPr>
            </w:pPr>
            <w:r w:rsidRPr="00E73F6F">
              <w:rPr>
                <w:lang w:val="de-DE"/>
              </w:rPr>
              <w:t>+</w:t>
            </w:r>
            <w:r w:rsidRPr="00E73F6F">
              <w:rPr>
                <w:spacing w:val="1"/>
                <w:lang w:val="de-DE"/>
              </w:rPr>
              <w:t xml:space="preserve"> </w:t>
            </w:r>
            <w:r w:rsidRPr="00E73F6F">
              <w:rPr>
                <w:spacing w:val="-5"/>
                <w:lang w:val="de-DE"/>
              </w:rPr>
              <w:t>0,8</w:t>
            </w:r>
          </w:p>
        </w:tc>
      </w:tr>
      <w:tr w:rsidR="00FF7799" w:rsidRPr="00E73F6F" w14:paraId="1441921E" w14:textId="77777777" w:rsidTr="004A28F6">
        <w:trPr>
          <w:trHeight w:val="323"/>
        </w:trPr>
        <w:tc>
          <w:tcPr>
            <w:tcW w:w="3016" w:type="pct"/>
          </w:tcPr>
          <w:p w14:paraId="5B450727" w14:textId="77777777" w:rsidR="00FF7799" w:rsidRPr="00E73F6F" w:rsidRDefault="00FF7799" w:rsidP="007F7E3C">
            <w:pPr>
              <w:pStyle w:val="StandardText"/>
              <w:jc w:val="left"/>
              <w:rPr>
                <w:lang w:val="de-DE"/>
              </w:rPr>
            </w:pPr>
            <w:r w:rsidRPr="00E73F6F">
              <w:rPr>
                <w:lang w:val="de-DE"/>
              </w:rPr>
              <w:t>Geografische</w:t>
            </w:r>
            <w:r w:rsidRPr="00E73F6F">
              <w:rPr>
                <w:spacing w:val="-6"/>
                <w:lang w:val="de-DE"/>
              </w:rPr>
              <w:t xml:space="preserve"> </w:t>
            </w:r>
            <w:r w:rsidRPr="00E73F6F">
              <w:rPr>
                <w:lang w:val="de-DE"/>
              </w:rPr>
              <w:t>Entfernung</w:t>
            </w:r>
            <w:r w:rsidRPr="00E73F6F">
              <w:rPr>
                <w:spacing w:val="-6"/>
                <w:lang w:val="de-DE"/>
              </w:rPr>
              <w:t xml:space="preserve"> </w:t>
            </w:r>
            <w:r w:rsidRPr="00E73F6F">
              <w:rPr>
                <w:lang w:val="de-DE"/>
              </w:rPr>
              <w:t>(je</w:t>
            </w:r>
            <w:r w:rsidRPr="00E73F6F">
              <w:rPr>
                <w:spacing w:val="-8"/>
                <w:lang w:val="de-DE"/>
              </w:rPr>
              <w:t xml:space="preserve"> </w:t>
            </w:r>
            <w:r w:rsidRPr="00E73F6F">
              <w:rPr>
                <w:lang w:val="de-DE"/>
              </w:rPr>
              <w:t>1%</w:t>
            </w:r>
            <w:r w:rsidRPr="00E73F6F">
              <w:rPr>
                <w:spacing w:val="-5"/>
                <w:lang w:val="de-DE"/>
              </w:rPr>
              <w:t xml:space="preserve"> </w:t>
            </w:r>
            <w:r w:rsidRPr="00E73F6F">
              <w:rPr>
                <w:spacing w:val="-2"/>
                <w:lang w:val="de-DE"/>
              </w:rPr>
              <w:t>Zunahme)</w:t>
            </w:r>
          </w:p>
        </w:tc>
        <w:tc>
          <w:tcPr>
            <w:tcW w:w="1984" w:type="pct"/>
          </w:tcPr>
          <w:p w14:paraId="02305BE2" w14:textId="77777777" w:rsidR="00FF7799" w:rsidRPr="00E73F6F" w:rsidRDefault="00FF7799" w:rsidP="00EC6BDF">
            <w:pPr>
              <w:pStyle w:val="StandardText"/>
              <w:jc w:val="center"/>
              <w:rPr>
                <w:lang w:val="de-DE"/>
              </w:rPr>
            </w:pPr>
            <w:r w:rsidRPr="00E73F6F">
              <w:rPr>
                <w:lang w:val="de-DE"/>
              </w:rPr>
              <w:t xml:space="preserve">- </w:t>
            </w:r>
            <w:r w:rsidRPr="00E73F6F">
              <w:rPr>
                <w:spacing w:val="-5"/>
                <w:lang w:val="de-DE"/>
              </w:rPr>
              <w:t>1,1</w:t>
            </w:r>
          </w:p>
        </w:tc>
      </w:tr>
      <w:tr w:rsidR="00FF7799" w:rsidRPr="00E73F6F" w14:paraId="51CEFFA7" w14:textId="77777777" w:rsidTr="004A28F6">
        <w:trPr>
          <w:trHeight w:val="321"/>
        </w:trPr>
        <w:tc>
          <w:tcPr>
            <w:tcW w:w="3016" w:type="pct"/>
          </w:tcPr>
          <w:p w14:paraId="328F5867" w14:textId="77777777" w:rsidR="00FF7799" w:rsidRPr="00E73F6F" w:rsidRDefault="00FF7799" w:rsidP="007F7E3C">
            <w:pPr>
              <w:pStyle w:val="StandardText"/>
              <w:jc w:val="left"/>
              <w:rPr>
                <w:lang w:val="de-DE"/>
              </w:rPr>
            </w:pPr>
            <w:r w:rsidRPr="00E73F6F">
              <w:rPr>
                <w:lang w:val="de-DE"/>
              </w:rPr>
              <w:t>Räumliche</w:t>
            </w:r>
            <w:r w:rsidRPr="00E73F6F">
              <w:rPr>
                <w:spacing w:val="-4"/>
                <w:lang w:val="de-DE"/>
              </w:rPr>
              <w:t xml:space="preserve"> </w:t>
            </w:r>
            <w:r w:rsidRPr="00E73F6F">
              <w:rPr>
                <w:lang w:val="de-DE"/>
              </w:rPr>
              <w:t>Größe</w:t>
            </w:r>
            <w:r w:rsidRPr="00E73F6F">
              <w:rPr>
                <w:spacing w:val="-3"/>
                <w:lang w:val="de-DE"/>
              </w:rPr>
              <w:t xml:space="preserve"> </w:t>
            </w:r>
            <w:r w:rsidRPr="00E73F6F">
              <w:rPr>
                <w:lang w:val="de-DE"/>
              </w:rPr>
              <w:t>(je</w:t>
            </w:r>
            <w:r w:rsidRPr="00E73F6F">
              <w:rPr>
                <w:spacing w:val="-6"/>
                <w:lang w:val="de-DE"/>
              </w:rPr>
              <w:t xml:space="preserve"> </w:t>
            </w:r>
            <w:r w:rsidRPr="00E73F6F">
              <w:rPr>
                <w:lang w:val="de-DE"/>
              </w:rPr>
              <w:t>1%</w:t>
            </w:r>
            <w:r w:rsidRPr="00E73F6F">
              <w:rPr>
                <w:spacing w:val="-5"/>
                <w:lang w:val="de-DE"/>
              </w:rPr>
              <w:t xml:space="preserve"> </w:t>
            </w:r>
            <w:r w:rsidRPr="00E73F6F">
              <w:rPr>
                <w:spacing w:val="-2"/>
                <w:lang w:val="de-DE"/>
              </w:rPr>
              <w:t>Zunahme)</w:t>
            </w:r>
          </w:p>
        </w:tc>
        <w:tc>
          <w:tcPr>
            <w:tcW w:w="1984" w:type="pct"/>
          </w:tcPr>
          <w:p w14:paraId="403F272F" w14:textId="77777777" w:rsidR="00FF7799" w:rsidRPr="00E73F6F" w:rsidRDefault="00FF7799" w:rsidP="00EC6BDF">
            <w:pPr>
              <w:pStyle w:val="StandardText"/>
              <w:jc w:val="center"/>
              <w:rPr>
                <w:lang w:val="de-DE"/>
              </w:rPr>
            </w:pPr>
            <w:r w:rsidRPr="00E73F6F">
              <w:rPr>
                <w:lang w:val="de-DE"/>
              </w:rPr>
              <w:t xml:space="preserve">- </w:t>
            </w:r>
            <w:r w:rsidRPr="00E73F6F">
              <w:rPr>
                <w:spacing w:val="-5"/>
                <w:lang w:val="de-DE"/>
              </w:rPr>
              <w:t>0,2</w:t>
            </w:r>
          </w:p>
        </w:tc>
      </w:tr>
      <w:tr w:rsidR="00FF7799" w:rsidRPr="00E73F6F" w14:paraId="7DD55F2B" w14:textId="77777777" w:rsidTr="004A28F6">
        <w:trPr>
          <w:trHeight w:val="323"/>
        </w:trPr>
        <w:tc>
          <w:tcPr>
            <w:tcW w:w="3016" w:type="pct"/>
          </w:tcPr>
          <w:p w14:paraId="0D3291BF" w14:textId="77777777" w:rsidR="00FF7799" w:rsidRPr="00E73F6F" w:rsidRDefault="00FF7799" w:rsidP="007F7E3C">
            <w:pPr>
              <w:pStyle w:val="StandardText"/>
              <w:jc w:val="left"/>
              <w:rPr>
                <w:lang w:val="de-DE"/>
              </w:rPr>
            </w:pPr>
            <w:r w:rsidRPr="00E73F6F">
              <w:rPr>
                <w:lang w:val="de-DE"/>
              </w:rPr>
              <w:t>Zugang</w:t>
            </w:r>
            <w:r w:rsidRPr="00E73F6F">
              <w:rPr>
                <w:spacing w:val="-7"/>
                <w:lang w:val="de-DE"/>
              </w:rPr>
              <w:t xml:space="preserve"> </w:t>
            </w:r>
            <w:r w:rsidRPr="00E73F6F">
              <w:rPr>
                <w:lang w:val="de-DE"/>
              </w:rPr>
              <w:t>zum</w:t>
            </w:r>
            <w:r w:rsidRPr="00E73F6F">
              <w:rPr>
                <w:spacing w:val="-4"/>
                <w:lang w:val="de-DE"/>
              </w:rPr>
              <w:t xml:space="preserve"> Meer</w:t>
            </w:r>
          </w:p>
        </w:tc>
        <w:tc>
          <w:tcPr>
            <w:tcW w:w="1984" w:type="pct"/>
          </w:tcPr>
          <w:p w14:paraId="680E0B53" w14:textId="77777777" w:rsidR="00FF7799" w:rsidRPr="00E73F6F" w:rsidRDefault="00FF7799" w:rsidP="00EC6BDF">
            <w:pPr>
              <w:pStyle w:val="StandardText"/>
              <w:jc w:val="center"/>
              <w:rPr>
                <w:lang w:val="de-DE"/>
              </w:rPr>
            </w:pPr>
            <w:r w:rsidRPr="00E73F6F">
              <w:rPr>
                <w:lang w:val="de-DE"/>
              </w:rPr>
              <w:t>+</w:t>
            </w:r>
            <w:r w:rsidRPr="00E73F6F">
              <w:rPr>
                <w:spacing w:val="1"/>
                <w:lang w:val="de-DE"/>
              </w:rPr>
              <w:t xml:space="preserve"> </w:t>
            </w:r>
            <w:r w:rsidRPr="00E73F6F">
              <w:rPr>
                <w:spacing w:val="-5"/>
                <w:lang w:val="de-DE"/>
              </w:rPr>
              <w:t>50</w:t>
            </w:r>
          </w:p>
        </w:tc>
      </w:tr>
      <w:tr w:rsidR="00FF7799" w:rsidRPr="00E73F6F" w14:paraId="4DFA9465" w14:textId="77777777" w:rsidTr="004A28F6">
        <w:trPr>
          <w:trHeight w:val="323"/>
        </w:trPr>
        <w:tc>
          <w:tcPr>
            <w:tcW w:w="3016" w:type="pct"/>
          </w:tcPr>
          <w:p w14:paraId="7DB0E3A9" w14:textId="77777777" w:rsidR="00FF7799" w:rsidRPr="00E73F6F" w:rsidRDefault="00FF7799" w:rsidP="007F7E3C">
            <w:pPr>
              <w:pStyle w:val="StandardText"/>
              <w:jc w:val="left"/>
              <w:rPr>
                <w:lang w:val="de-DE"/>
              </w:rPr>
            </w:pPr>
            <w:r w:rsidRPr="00E73F6F">
              <w:rPr>
                <w:lang w:val="de-DE"/>
              </w:rPr>
              <w:t>Gemeinsame</w:t>
            </w:r>
            <w:r w:rsidRPr="00E73F6F">
              <w:rPr>
                <w:spacing w:val="-4"/>
                <w:lang w:val="de-DE"/>
              </w:rPr>
              <w:t xml:space="preserve"> </w:t>
            </w:r>
            <w:r w:rsidRPr="00E73F6F">
              <w:rPr>
                <w:spacing w:val="-2"/>
                <w:lang w:val="de-DE"/>
              </w:rPr>
              <w:t>Grenze</w:t>
            </w:r>
          </w:p>
        </w:tc>
        <w:tc>
          <w:tcPr>
            <w:tcW w:w="1984" w:type="pct"/>
          </w:tcPr>
          <w:p w14:paraId="061AD218" w14:textId="77777777" w:rsidR="00FF7799" w:rsidRPr="00E73F6F" w:rsidRDefault="00FF7799" w:rsidP="00EC6BDF">
            <w:pPr>
              <w:pStyle w:val="StandardText"/>
              <w:jc w:val="center"/>
              <w:rPr>
                <w:lang w:val="de-DE"/>
              </w:rPr>
            </w:pPr>
            <w:r w:rsidRPr="00E73F6F">
              <w:rPr>
                <w:lang w:val="de-DE"/>
              </w:rPr>
              <w:t>+</w:t>
            </w:r>
            <w:r w:rsidRPr="00E73F6F">
              <w:rPr>
                <w:spacing w:val="1"/>
                <w:lang w:val="de-DE"/>
              </w:rPr>
              <w:t xml:space="preserve"> </w:t>
            </w:r>
            <w:r w:rsidRPr="00E73F6F">
              <w:rPr>
                <w:spacing w:val="-5"/>
                <w:lang w:val="de-DE"/>
              </w:rPr>
              <w:t>80</w:t>
            </w:r>
          </w:p>
        </w:tc>
      </w:tr>
      <w:tr w:rsidR="00FF7799" w:rsidRPr="00E73F6F" w14:paraId="7577B5B5" w14:textId="77777777" w:rsidTr="004A28F6">
        <w:trPr>
          <w:trHeight w:val="321"/>
        </w:trPr>
        <w:tc>
          <w:tcPr>
            <w:tcW w:w="3016" w:type="pct"/>
          </w:tcPr>
          <w:p w14:paraId="211BD0F1" w14:textId="77777777" w:rsidR="00FF7799" w:rsidRPr="00E73F6F" w:rsidRDefault="00FF7799" w:rsidP="007F7E3C">
            <w:pPr>
              <w:pStyle w:val="StandardText"/>
              <w:jc w:val="left"/>
              <w:rPr>
                <w:lang w:val="de-DE"/>
              </w:rPr>
            </w:pPr>
            <w:r w:rsidRPr="00E73F6F">
              <w:rPr>
                <w:lang w:val="de-DE"/>
              </w:rPr>
              <w:t>Gemeinsame</w:t>
            </w:r>
            <w:r w:rsidRPr="00E73F6F">
              <w:rPr>
                <w:spacing w:val="-4"/>
                <w:lang w:val="de-DE"/>
              </w:rPr>
              <w:t xml:space="preserve"> </w:t>
            </w:r>
            <w:r w:rsidRPr="00E73F6F">
              <w:rPr>
                <w:spacing w:val="-2"/>
                <w:lang w:val="de-DE"/>
              </w:rPr>
              <w:t>Sprache</w:t>
            </w:r>
          </w:p>
        </w:tc>
        <w:tc>
          <w:tcPr>
            <w:tcW w:w="1984" w:type="pct"/>
          </w:tcPr>
          <w:p w14:paraId="432B76C1" w14:textId="77777777" w:rsidR="00FF7799" w:rsidRPr="00E73F6F" w:rsidRDefault="00FF7799" w:rsidP="00EC6BDF">
            <w:pPr>
              <w:pStyle w:val="StandardText"/>
              <w:jc w:val="center"/>
              <w:rPr>
                <w:lang w:val="de-DE"/>
              </w:rPr>
            </w:pPr>
            <w:r w:rsidRPr="00E73F6F">
              <w:rPr>
                <w:lang w:val="de-DE"/>
              </w:rPr>
              <w:t>+</w:t>
            </w:r>
            <w:r w:rsidRPr="00E73F6F">
              <w:rPr>
                <w:spacing w:val="1"/>
                <w:lang w:val="de-DE"/>
              </w:rPr>
              <w:t xml:space="preserve"> </w:t>
            </w:r>
            <w:r w:rsidRPr="00E73F6F">
              <w:rPr>
                <w:spacing w:val="-5"/>
                <w:lang w:val="de-DE"/>
              </w:rPr>
              <w:t>200</w:t>
            </w:r>
          </w:p>
        </w:tc>
      </w:tr>
      <w:tr w:rsidR="00FF7799" w:rsidRPr="00E73F6F" w14:paraId="395F2F4B" w14:textId="77777777" w:rsidTr="004A28F6">
        <w:trPr>
          <w:trHeight w:val="321"/>
        </w:trPr>
        <w:tc>
          <w:tcPr>
            <w:tcW w:w="3016" w:type="pct"/>
          </w:tcPr>
          <w:p w14:paraId="0C82DAAA" w14:textId="77777777" w:rsidR="00FF7799" w:rsidRPr="00E73F6F" w:rsidRDefault="00FF7799" w:rsidP="007F7E3C">
            <w:pPr>
              <w:pStyle w:val="StandardText"/>
              <w:jc w:val="left"/>
              <w:rPr>
                <w:lang w:val="de-DE"/>
              </w:rPr>
            </w:pPr>
            <w:r w:rsidRPr="00E73F6F">
              <w:rPr>
                <w:spacing w:val="-2"/>
                <w:lang w:val="de-DE"/>
              </w:rPr>
              <w:t>Demselben</w:t>
            </w:r>
            <w:r w:rsidRPr="00E73F6F">
              <w:rPr>
                <w:spacing w:val="12"/>
                <w:lang w:val="de-DE"/>
              </w:rPr>
              <w:t xml:space="preserve"> </w:t>
            </w:r>
            <w:r w:rsidRPr="00E73F6F">
              <w:rPr>
                <w:spacing w:val="-2"/>
                <w:lang w:val="de-DE"/>
              </w:rPr>
              <w:t>regionalen</w:t>
            </w:r>
            <w:r w:rsidRPr="00E73F6F">
              <w:rPr>
                <w:spacing w:val="13"/>
                <w:lang w:val="de-DE"/>
              </w:rPr>
              <w:t xml:space="preserve"> </w:t>
            </w:r>
            <w:r w:rsidRPr="00E73F6F">
              <w:rPr>
                <w:spacing w:val="-2"/>
                <w:lang w:val="de-DE"/>
              </w:rPr>
              <w:t>Wirtschaftsblock</w:t>
            </w:r>
            <w:r w:rsidRPr="00E73F6F">
              <w:rPr>
                <w:spacing w:val="11"/>
                <w:lang w:val="de-DE"/>
              </w:rPr>
              <w:t xml:space="preserve"> </w:t>
            </w:r>
            <w:r w:rsidRPr="00E73F6F">
              <w:rPr>
                <w:spacing w:val="-2"/>
                <w:lang w:val="de-DE"/>
              </w:rPr>
              <w:t>angehörig</w:t>
            </w:r>
          </w:p>
        </w:tc>
        <w:tc>
          <w:tcPr>
            <w:tcW w:w="1984" w:type="pct"/>
          </w:tcPr>
          <w:p w14:paraId="130B739E" w14:textId="77777777" w:rsidR="00FF7799" w:rsidRPr="00E73F6F" w:rsidRDefault="00FF7799" w:rsidP="00EC6BDF">
            <w:pPr>
              <w:pStyle w:val="StandardText"/>
              <w:jc w:val="center"/>
              <w:rPr>
                <w:lang w:val="de-DE"/>
              </w:rPr>
            </w:pPr>
            <w:r w:rsidRPr="00E73F6F">
              <w:rPr>
                <w:lang w:val="de-DE"/>
              </w:rPr>
              <w:t>+</w:t>
            </w:r>
            <w:r w:rsidRPr="00E73F6F">
              <w:rPr>
                <w:spacing w:val="1"/>
                <w:lang w:val="de-DE"/>
              </w:rPr>
              <w:t xml:space="preserve"> </w:t>
            </w:r>
            <w:r w:rsidRPr="00E73F6F">
              <w:rPr>
                <w:spacing w:val="-5"/>
                <w:lang w:val="de-DE"/>
              </w:rPr>
              <w:t>330</w:t>
            </w:r>
          </w:p>
        </w:tc>
      </w:tr>
      <w:tr w:rsidR="00FF7799" w:rsidRPr="00E73F6F" w14:paraId="7053070C" w14:textId="77777777" w:rsidTr="004A28F6">
        <w:trPr>
          <w:trHeight w:val="525"/>
        </w:trPr>
        <w:tc>
          <w:tcPr>
            <w:tcW w:w="3016" w:type="pct"/>
          </w:tcPr>
          <w:p w14:paraId="13A6213F" w14:textId="77777777" w:rsidR="00FF7799" w:rsidRPr="00E73F6F" w:rsidRDefault="00FF7799" w:rsidP="007F7E3C">
            <w:pPr>
              <w:pStyle w:val="StandardText"/>
              <w:jc w:val="left"/>
              <w:rPr>
                <w:lang w:val="de-DE"/>
              </w:rPr>
            </w:pPr>
            <w:r w:rsidRPr="00E73F6F">
              <w:rPr>
                <w:lang w:val="de-DE"/>
              </w:rPr>
              <w:t>Verbundenheit</w:t>
            </w:r>
            <w:r w:rsidRPr="00E73F6F">
              <w:rPr>
                <w:spacing w:val="-7"/>
                <w:lang w:val="de-DE"/>
              </w:rPr>
              <w:t xml:space="preserve"> </w:t>
            </w:r>
            <w:r w:rsidRPr="00E73F6F">
              <w:rPr>
                <w:lang w:val="de-DE"/>
              </w:rPr>
              <w:t>aus</w:t>
            </w:r>
            <w:r w:rsidRPr="00E73F6F">
              <w:rPr>
                <w:spacing w:val="-8"/>
                <w:lang w:val="de-DE"/>
              </w:rPr>
              <w:t xml:space="preserve"> </w:t>
            </w:r>
            <w:r w:rsidRPr="00E73F6F">
              <w:rPr>
                <w:lang w:val="de-DE"/>
              </w:rPr>
              <w:t>der</w:t>
            </w:r>
            <w:r w:rsidRPr="00E73F6F">
              <w:rPr>
                <w:spacing w:val="-9"/>
                <w:lang w:val="de-DE"/>
              </w:rPr>
              <w:t xml:space="preserve"> </w:t>
            </w:r>
            <w:r w:rsidRPr="00E73F6F">
              <w:rPr>
                <w:lang w:val="de-DE"/>
              </w:rPr>
              <w:t>Kolonialzeit</w:t>
            </w:r>
            <w:r w:rsidRPr="00E73F6F">
              <w:rPr>
                <w:spacing w:val="-5"/>
                <w:lang w:val="de-DE"/>
              </w:rPr>
              <w:t xml:space="preserve"> </w:t>
            </w:r>
            <w:r w:rsidRPr="00E73F6F">
              <w:rPr>
                <w:lang w:val="de-DE"/>
              </w:rPr>
              <w:t>(Nähe</w:t>
            </w:r>
            <w:r w:rsidRPr="00E73F6F">
              <w:rPr>
                <w:spacing w:val="-8"/>
                <w:lang w:val="de-DE"/>
              </w:rPr>
              <w:t xml:space="preserve"> </w:t>
            </w:r>
            <w:r w:rsidRPr="00E73F6F">
              <w:rPr>
                <w:lang w:val="de-DE"/>
              </w:rPr>
              <w:t>zwischen</w:t>
            </w:r>
            <w:r w:rsidRPr="00E73F6F">
              <w:rPr>
                <w:spacing w:val="-1"/>
                <w:lang w:val="de-DE"/>
              </w:rPr>
              <w:t xml:space="preserve"> </w:t>
            </w:r>
            <w:r w:rsidRPr="00E73F6F">
              <w:rPr>
                <w:lang w:val="de-DE"/>
              </w:rPr>
              <w:t>Ex-Kolonie</w:t>
            </w:r>
            <w:r w:rsidRPr="00E73F6F">
              <w:rPr>
                <w:spacing w:val="40"/>
                <w:lang w:val="de-DE"/>
              </w:rPr>
              <w:t xml:space="preserve"> </w:t>
            </w:r>
            <w:r w:rsidRPr="00E73F6F">
              <w:rPr>
                <w:lang w:val="de-DE"/>
              </w:rPr>
              <w:t>und</w:t>
            </w:r>
            <w:r w:rsidRPr="00E73F6F">
              <w:rPr>
                <w:spacing w:val="-3"/>
                <w:lang w:val="de-DE"/>
              </w:rPr>
              <w:t xml:space="preserve"> </w:t>
            </w:r>
            <w:r w:rsidRPr="00E73F6F">
              <w:rPr>
                <w:lang w:val="de-DE"/>
              </w:rPr>
              <w:t>Kolonialmarkt)</w:t>
            </w:r>
          </w:p>
        </w:tc>
        <w:tc>
          <w:tcPr>
            <w:tcW w:w="1984" w:type="pct"/>
          </w:tcPr>
          <w:p w14:paraId="67562EEC" w14:textId="77777777" w:rsidR="00FF7799" w:rsidRPr="00E73F6F" w:rsidRDefault="00FF7799" w:rsidP="00EC6BDF">
            <w:pPr>
              <w:pStyle w:val="StandardText"/>
              <w:jc w:val="center"/>
              <w:rPr>
                <w:lang w:val="de-DE"/>
              </w:rPr>
            </w:pPr>
            <w:r w:rsidRPr="00E73F6F">
              <w:rPr>
                <w:lang w:val="de-DE"/>
              </w:rPr>
              <w:t>+</w:t>
            </w:r>
            <w:r w:rsidRPr="00E73F6F">
              <w:rPr>
                <w:spacing w:val="1"/>
                <w:lang w:val="de-DE"/>
              </w:rPr>
              <w:t xml:space="preserve"> </w:t>
            </w:r>
            <w:r w:rsidRPr="00E73F6F">
              <w:rPr>
                <w:spacing w:val="-5"/>
                <w:lang w:val="de-DE"/>
              </w:rPr>
              <w:t>900</w:t>
            </w:r>
          </w:p>
        </w:tc>
      </w:tr>
      <w:tr w:rsidR="00FF7799" w:rsidRPr="00E73F6F" w14:paraId="66EFFC27" w14:textId="77777777" w:rsidTr="004A28F6">
        <w:trPr>
          <w:trHeight w:val="323"/>
        </w:trPr>
        <w:tc>
          <w:tcPr>
            <w:tcW w:w="3016" w:type="pct"/>
          </w:tcPr>
          <w:p w14:paraId="3C42461B" w14:textId="77777777" w:rsidR="00FF7799" w:rsidRPr="00E73F6F" w:rsidRDefault="00FF7799" w:rsidP="007F7E3C">
            <w:pPr>
              <w:pStyle w:val="StandardText"/>
              <w:jc w:val="left"/>
              <w:rPr>
                <w:lang w:val="de-DE"/>
              </w:rPr>
            </w:pPr>
            <w:r w:rsidRPr="00E73F6F">
              <w:rPr>
                <w:lang w:val="de-DE"/>
              </w:rPr>
              <w:t>Einst</w:t>
            </w:r>
            <w:r w:rsidRPr="00E73F6F">
              <w:rPr>
                <w:spacing w:val="-9"/>
                <w:lang w:val="de-DE"/>
              </w:rPr>
              <w:t xml:space="preserve"> </w:t>
            </w:r>
            <w:r w:rsidRPr="00E73F6F">
              <w:rPr>
                <w:lang w:val="de-DE"/>
              </w:rPr>
              <w:t>derselben</w:t>
            </w:r>
            <w:r w:rsidRPr="00E73F6F">
              <w:rPr>
                <w:spacing w:val="-8"/>
                <w:lang w:val="de-DE"/>
              </w:rPr>
              <w:t xml:space="preserve"> </w:t>
            </w:r>
            <w:r w:rsidRPr="00E73F6F">
              <w:rPr>
                <w:lang w:val="de-DE"/>
              </w:rPr>
              <w:t>Kolonialmacht</w:t>
            </w:r>
            <w:r w:rsidRPr="00E73F6F">
              <w:rPr>
                <w:spacing w:val="-8"/>
                <w:lang w:val="de-DE"/>
              </w:rPr>
              <w:t xml:space="preserve"> </w:t>
            </w:r>
            <w:r w:rsidRPr="00E73F6F">
              <w:rPr>
                <w:spacing w:val="-2"/>
                <w:lang w:val="de-DE"/>
              </w:rPr>
              <w:t>unterworfen</w:t>
            </w:r>
          </w:p>
        </w:tc>
        <w:tc>
          <w:tcPr>
            <w:tcW w:w="1984" w:type="pct"/>
          </w:tcPr>
          <w:p w14:paraId="55883F44" w14:textId="77777777" w:rsidR="00FF7799" w:rsidRPr="00E73F6F" w:rsidRDefault="00FF7799" w:rsidP="00A315B9">
            <w:pPr>
              <w:pStyle w:val="StandardText"/>
              <w:jc w:val="center"/>
              <w:rPr>
                <w:lang w:val="de-DE"/>
              </w:rPr>
            </w:pPr>
            <w:r w:rsidRPr="00E73F6F">
              <w:rPr>
                <w:lang w:val="de-DE"/>
              </w:rPr>
              <w:t>+</w:t>
            </w:r>
            <w:r w:rsidRPr="00E73F6F">
              <w:rPr>
                <w:spacing w:val="1"/>
                <w:lang w:val="de-DE"/>
              </w:rPr>
              <w:t xml:space="preserve"> </w:t>
            </w:r>
            <w:r w:rsidRPr="00E73F6F">
              <w:rPr>
                <w:spacing w:val="-5"/>
                <w:lang w:val="de-DE"/>
              </w:rPr>
              <w:t>190</w:t>
            </w:r>
          </w:p>
        </w:tc>
      </w:tr>
      <w:tr w:rsidR="00FF7799" w:rsidRPr="00E73F6F" w14:paraId="1B238EDB" w14:textId="77777777" w:rsidTr="004A28F6">
        <w:trPr>
          <w:trHeight w:val="321"/>
        </w:trPr>
        <w:tc>
          <w:tcPr>
            <w:tcW w:w="3016" w:type="pct"/>
          </w:tcPr>
          <w:p w14:paraId="1FA945F4" w14:textId="77777777" w:rsidR="00FF7799" w:rsidRPr="00E73F6F" w:rsidRDefault="00FF7799" w:rsidP="007F7E3C">
            <w:pPr>
              <w:pStyle w:val="StandardText"/>
              <w:jc w:val="left"/>
              <w:rPr>
                <w:lang w:val="de-DE"/>
              </w:rPr>
            </w:pPr>
            <w:r w:rsidRPr="00E73F6F">
              <w:rPr>
                <w:lang w:val="de-DE"/>
              </w:rPr>
              <w:t>Gleiche</w:t>
            </w:r>
            <w:r w:rsidRPr="00E73F6F">
              <w:rPr>
                <w:spacing w:val="-6"/>
                <w:lang w:val="de-DE"/>
              </w:rPr>
              <w:t xml:space="preserve"> </w:t>
            </w:r>
            <w:r w:rsidRPr="00E73F6F">
              <w:rPr>
                <w:spacing w:val="-2"/>
                <w:lang w:val="de-DE"/>
              </w:rPr>
              <w:t>Staatsform</w:t>
            </w:r>
          </w:p>
        </w:tc>
        <w:tc>
          <w:tcPr>
            <w:tcW w:w="1984" w:type="pct"/>
          </w:tcPr>
          <w:p w14:paraId="3BED56B1" w14:textId="77777777" w:rsidR="00FF7799" w:rsidRPr="00E73F6F" w:rsidRDefault="00FF7799" w:rsidP="00A315B9">
            <w:pPr>
              <w:pStyle w:val="StandardText"/>
              <w:jc w:val="center"/>
              <w:rPr>
                <w:lang w:val="de-DE"/>
              </w:rPr>
            </w:pPr>
            <w:r w:rsidRPr="00E73F6F">
              <w:rPr>
                <w:lang w:val="de-DE"/>
              </w:rPr>
              <w:t>+</w:t>
            </w:r>
            <w:r w:rsidRPr="00E73F6F">
              <w:rPr>
                <w:spacing w:val="1"/>
                <w:lang w:val="de-DE"/>
              </w:rPr>
              <w:t xml:space="preserve"> </w:t>
            </w:r>
            <w:r w:rsidRPr="00E73F6F">
              <w:rPr>
                <w:spacing w:val="-5"/>
                <w:lang w:val="de-DE"/>
              </w:rPr>
              <w:t>300</w:t>
            </w:r>
          </w:p>
        </w:tc>
      </w:tr>
      <w:tr w:rsidR="00FF7799" w:rsidRPr="00E73F6F" w14:paraId="184788F1" w14:textId="77777777" w:rsidTr="004A28F6">
        <w:trPr>
          <w:trHeight w:val="323"/>
        </w:trPr>
        <w:tc>
          <w:tcPr>
            <w:tcW w:w="3016" w:type="pct"/>
          </w:tcPr>
          <w:p w14:paraId="3E2C3722" w14:textId="77777777" w:rsidR="00FF7799" w:rsidRPr="00E73F6F" w:rsidRDefault="00FF7799" w:rsidP="007F7E3C">
            <w:pPr>
              <w:pStyle w:val="StandardText"/>
              <w:jc w:val="left"/>
              <w:rPr>
                <w:lang w:val="de-DE"/>
              </w:rPr>
            </w:pPr>
            <w:r w:rsidRPr="00E73F6F">
              <w:rPr>
                <w:lang w:val="de-DE"/>
              </w:rPr>
              <w:t>Gemeinsame</w:t>
            </w:r>
            <w:r w:rsidRPr="00E73F6F">
              <w:rPr>
                <w:spacing w:val="-4"/>
                <w:lang w:val="de-DE"/>
              </w:rPr>
              <w:t xml:space="preserve"> </w:t>
            </w:r>
            <w:r w:rsidRPr="00E73F6F">
              <w:rPr>
                <w:spacing w:val="-2"/>
                <w:lang w:val="de-DE"/>
              </w:rPr>
              <w:t>Währung</w:t>
            </w:r>
          </w:p>
        </w:tc>
        <w:tc>
          <w:tcPr>
            <w:tcW w:w="1984" w:type="pct"/>
          </w:tcPr>
          <w:p w14:paraId="414BE972" w14:textId="77777777" w:rsidR="00FF7799" w:rsidRPr="00E73F6F" w:rsidRDefault="00FF7799" w:rsidP="00A315B9">
            <w:pPr>
              <w:pStyle w:val="StandardText"/>
              <w:jc w:val="center"/>
              <w:rPr>
                <w:lang w:val="de-DE"/>
              </w:rPr>
            </w:pPr>
            <w:r w:rsidRPr="00E73F6F">
              <w:rPr>
                <w:lang w:val="de-DE"/>
              </w:rPr>
              <w:t>+</w:t>
            </w:r>
            <w:r w:rsidRPr="00E73F6F">
              <w:rPr>
                <w:spacing w:val="1"/>
                <w:lang w:val="de-DE"/>
              </w:rPr>
              <w:t xml:space="preserve"> </w:t>
            </w:r>
            <w:r w:rsidRPr="00E73F6F">
              <w:rPr>
                <w:spacing w:val="-5"/>
                <w:lang w:val="de-DE"/>
              </w:rPr>
              <w:t>340</w:t>
            </w:r>
          </w:p>
        </w:tc>
      </w:tr>
    </w:tbl>
    <w:p w14:paraId="0B5D46D1" w14:textId="77777777" w:rsidR="00FF7799" w:rsidRPr="00E73F6F" w:rsidRDefault="00FF7799" w:rsidP="00EC6BDF">
      <w:pPr>
        <w:pStyle w:val="Quellen"/>
      </w:pPr>
      <w:r w:rsidRPr="00E73F6F">
        <w:t>Quelle:</w:t>
      </w:r>
      <w:r w:rsidRPr="00E73F6F">
        <w:rPr>
          <w:spacing w:val="-1"/>
        </w:rPr>
        <w:t xml:space="preserve"> </w:t>
      </w:r>
      <w:r w:rsidRPr="00E73F6F">
        <w:t>Frankel/Rose</w:t>
      </w:r>
      <w:r w:rsidRPr="00E73F6F">
        <w:rPr>
          <w:spacing w:val="-2"/>
        </w:rPr>
        <w:t xml:space="preserve"> </w:t>
      </w:r>
      <w:r w:rsidRPr="00E73F6F">
        <w:t>(2000),</w:t>
      </w:r>
      <w:r w:rsidRPr="00E73F6F">
        <w:rPr>
          <w:spacing w:val="-3"/>
        </w:rPr>
        <w:t xml:space="preserve"> </w:t>
      </w:r>
      <w:r w:rsidRPr="00E73F6F">
        <w:t>in:</w:t>
      </w:r>
      <w:r w:rsidRPr="00E73F6F">
        <w:rPr>
          <w:spacing w:val="-2"/>
        </w:rPr>
        <w:t xml:space="preserve"> </w:t>
      </w:r>
      <w:r w:rsidRPr="00E73F6F">
        <w:t>Ghemawat</w:t>
      </w:r>
      <w:r w:rsidRPr="00E73F6F">
        <w:rPr>
          <w:spacing w:val="-1"/>
        </w:rPr>
        <w:t xml:space="preserve"> </w:t>
      </w:r>
      <w:r w:rsidRPr="00E73F6F">
        <w:t>(2002,</w:t>
      </w:r>
      <w:r w:rsidRPr="00E73F6F">
        <w:rPr>
          <w:spacing w:val="-2"/>
        </w:rPr>
        <w:t xml:space="preserve"> S.83).</w:t>
      </w:r>
    </w:p>
    <w:p w14:paraId="14727B6C" w14:textId="77777777" w:rsidR="00FF7799" w:rsidRPr="00E73F6F" w:rsidRDefault="00FF7799" w:rsidP="007F7E3C">
      <w:pPr>
        <w:pStyle w:val="StandardText"/>
      </w:pPr>
    </w:p>
    <w:p w14:paraId="06F59A41" w14:textId="77777777" w:rsidR="00FF7799" w:rsidRPr="00E73F6F" w:rsidRDefault="00FF7799" w:rsidP="007F7E3C">
      <w:pPr>
        <w:pStyle w:val="StandardText"/>
      </w:pPr>
      <w:r w:rsidRPr="00E73F6F">
        <w:t>Die</w:t>
      </w:r>
      <w:r w:rsidRPr="00E73F6F">
        <w:rPr>
          <w:spacing w:val="-12"/>
        </w:rPr>
        <w:t xml:space="preserve"> </w:t>
      </w:r>
      <w:r w:rsidRPr="00E73F6F">
        <w:t>betriebswirtschaftliche</w:t>
      </w:r>
      <w:r w:rsidRPr="00E73F6F">
        <w:rPr>
          <w:spacing w:val="-11"/>
        </w:rPr>
        <w:t xml:space="preserve"> </w:t>
      </w:r>
      <w:r w:rsidRPr="00E73F6F">
        <w:t>Distanzforschung</w:t>
      </w:r>
      <w:r w:rsidRPr="00E73F6F">
        <w:rPr>
          <w:spacing w:val="-11"/>
        </w:rPr>
        <w:t xml:space="preserve"> </w:t>
      </w:r>
      <w:r w:rsidRPr="00E73F6F">
        <w:t>hat</w:t>
      </w:r>
      <w:r w:rsidRPr="00E73F6F">
        <w:rPr>
          <w:spacing w:val="-11"/>
        </w:rPr>
        <w:t xml:space="preserve"> </w:t>
      </w:r>
      <w:r w:rsidRPr="00E73F6F">
        <w:t>u.a.</w:t>
      </w:r>
      <w:r w:rsidRPr="00E73F6F">
        <w:rPr>
          <w:spacing w:val="-12"/>
        </w:rPr>
        <w:t xml:space="preserve"> </w:t>
      </w:r>
      <w:r w:rsidRPr="00E73F6F">
        <w:t>dargelegt,</w:t>
      </w:r>
      <w:r w:rsidRPr="00E73F6F">
        <w:rPr>
          <w:spacing w:val="-11"/>
        </w:rPr>
        <w:t xml:space="preserve"> </w:t>
      </w:r>
      <w:r w:rsidRPr="00E73F6F">
        <w:t>welche</w:t>
      </w:r>
      <w:r w:rsidRPr="00E73F6F">
        <w:rPr>
          <w:spacing w:val="-11"/>
        </w:rPr>
        <w:t xml:space="preserve"> </w:t>
      </w:r>
      <w:r w:rsidRPr="00E73F6F">
        <w:t>Bedeutung welche Distanzart für welche Branche bzw. welches Produkt hat (vgl. Tab. 2).</w:t>
      </w:r>
    </w:p>
    <w:p w14:paraId="172B760C" w14:textId="77777777" w:rsidR="00FF7799" w:rsidRPr="00037FAC" w:rsidRDefault="00FF7799">
      <w:pPr>
        <w:widowControl/>
        <w:autoSpaceDE/>
        <w:autoSpaceDN/>
        <w:spacing w:after="160" w:line="259" w:lineRule="auto"/>
        <w:rPr>
          <w:i/>
          <w:iCs/>
          <w:sz w:val="24"/>
          <w:szCs w:val="20"/>
          <w:lang w:eastAsia="de-DE"/>
        </w:rPr>
      </w:pPr>
    </w:p>
    <w:p w14:paraId="795C7A4E" w14:textId="77777777" w:rsidR="00FF7799" w:rsidRPr="00037FAC" w:rsidRDefault="00FF7799" w:rsidP="007F7E3C">
      <w:pPr>
        <w:pStyle w:val="BeschriftungTab"/>
        <w:rPr>
          <w:i/>
          <w:iCs/>
        </w:rPr>
      </w:pPr>
      <w:r w:rsidRPr="00037FAC">
        <w:rPr>
          <w:i/>
          <w:iCs/>
        </w:rPr>
        <w:t>Tab.</w:t>
      </w:r>
      <w:r w:rsidRPr="00037FAC">
        <w:rPr>
          <w:i/>
          <w:iCs/>
          <w:spacing w:val="-3"/>
        </w:rPr>
        <w:t xml:space="preserve"> </w:t>
      </w:r>
      <w:r w:rsidRPr="00037FAC">
        <w:rPr>
          <w:i/>
          <w:iCs/>
        </w:rPr>
        <w:t>2:</w:t>
      </w:r>
      <w:r w:rsidRPr="00037FAC">
        <w:rPr>
          <w:i/>
          <w:iCs/>
          <w:spacing w:val="-5"/>
        </w:rPr>
        <w:t xml:space="preserve"> </w:t>
      </w:r>
      <w:r w:rsidRPr="00037FAC">
        <w:rPr>
          <w:i/>
          <w:iCs/>
        </w:rPr>
        <w:t>Ursachen</w:t>
      </w:r>
      <w:r w:rsidRPr="00037FAC">
        <w:rPr>
          <w:i/>
          <w:iCs/>
          <w:spacing w:val="-3"/>
        </w:rPr>
        <w:t xml:space="preserve"> </w:t>
      </w:r>
      <w:r w:rsidRPr="00037FAC">
        <w:rPr>
          <w:i/>
          <w:iCs/>
        </w:rPr>
        <w:t>und</w:t>
      </w:r>
      <w:r w:rsidRPr="00037FAC">
        <w:rPr>
          <w:i/>
          <w:iCs/>
          <w:spacing w:val="-2"/>
        </w:rPr>
        <w:t xml:space="preserve"> </w:t>
      </w:r>
      <w:r w:rsidRPr="00037FAC">
        <w:rPr>
          <w:i/>
          <w:iCs/>
        </w:rPr>
        <w:t>Konsequenzen</w:t>
      </w:r>
      <w:r w:rsidRPr="00037FAC">
        <w:rPr>
          <w:i/>
          <w:iCs/>
          <w:spacing w:val="-2"/>
        </w:rPr>
        <w:t xml:space="preserve"> </w:t>
      </w:r>
      <w:r w:rsidRPr="00037FAC">
        <w:rPr>
          <w:i/>
          <w:iCs/>
        </w:rPr>
        <w:t>verschiedener</w:t>
      </w:r>
      <w:r w:rsidRPr="00037FAC">
        <w:rPr>
          <w:i/>
          <w:iCs/>
          <w:spacing w:val="-2"/>
        </w:rPr>
        <w:t xml:space="preserve"> Distanzkonzepte</w:t>
      </w:r>
    </w:p>
    <w:tbl>
      <w:tblPr>
        <w:tblStyle w:val="TableNormal"/>
        <w:tblW w:w="5000" w:type="pct"/>
        <w:tblBorders>
          <w:top w:val="single" w:sz="4" w:space="0" w:color="000000"/>
          <w:bottom w:val="single" w:sz="4" w:space="0" w:color="000000"/>
          <w:insideH w:val="single" w:sz="4" w:space="0" w:color="000000"/>
        </w:tblBorders>
        <w:tblCellMar>
          <w:left w:w="28" w:type="dxa"/>
          <w:right w:w="28" w:type="dxa"/>
        </w:tblCellMar>
        <w:tblLook w:val="01E0" w:firstRow="1" w:lastRow="1" w:firstColumn="1" w:lastColumn="1" w:noHBand="0" w:noVBand="0"/>
      </w:tblPr>
      <w:tblGrid>
        <w:gridCol w:w="1272"/>
        <w:gridCol w:w="2058"/>
        <w:gridCol w:w="1914"/>
        <w:gridCol w:w="1847"/>
        <w:gridCol w:w="65"/>
        <w:gridCol w:w="1916"/>
      </w:tblGrid>
      <w:tr w:rsidR="00FF7799" w:rsidRPr="00E73F6F" w14:paraId="1D9F4BC8" w14:textId="77777777" w:rsidTr="004A28F6">
        <w:trPr>
          <w:trHeight w:val="652"/>
          <w:tblHeader/>
        </w:trPr>
        <w:tc>
          <w:tcPr>
            <w:tcW w:w="701" w:type="pct"/>
            <w:shd w:val="clear" w:color="auto" w:fill="FFC000"/>
          </w:tcPr>
          <w:p w14:paraId="6BCCFB45" w14:textId="77777777" w:rsidR="00FF7799" w:rsidRPr="00E73F6F" w:rsidRDefault="00FF7799" w:rsidP="004A28F6">
            <w:pPr>
              <w:pStyle w:val="StandardText"/>
              <w:spacing w:after="120"/>
              <w:jc w:val="center"/>
              <w:rPr>
                <w:b/>
                <w:sz w:val="20"/>
                <w:lang w:val="de-DE"/>
              </w:rPr>
            </w:pPr>
          </w:p>
        </w:tc>
        <w:tc>
          <w:tcPr>
            <w:tcW w:w="1134" w:type="pct"/>
            <w:shd w:val="clear" w:color="auto" w:fill="FFC000"/>
          </w:tcPr>
          <w:p w14:paraId="31D06680" w14:textId="77777777" w:rsidR="00FF7799" w:rsidRPr="00E73F6F" w:rsidRDefault="00FF7799" w:rsidP="004A28F6">
            <w:pPr>
              <w:pStyle w:val="StandardText"/>
              <w:spacing w:after="120"/>
              <w:jc w:val="center"/>
              <w:rPr>
                <w:b/>
                <w:sz w:val="20"/>
                <w:lang w:val="de-DE"/>
              </w:rPr>
            </w:pPr>
            <w:r w:rsidRPr="00E73F6F">
              <w:rPr>
                <w:b/>
                <w:sz w:val="20"/>
                <w:lang w:val="de-DE"/>
              </w:rPr>
              <w:t>Kulturelle</w:t>
            </w:r>
            <w:r w:rsidRPr="00E73F6F">
              <w:rPr>
                <w:b/>
                <w:sz w:val="20"/>
                <w:lang w:val="de-DE"/>
              </w:rPr>
              <w:br/>
              <w:t>Distanz</w:t>
            </w:r>
          </w:p>
        </w:tc>
        <w:tc>
          <w:tcPr>
            <w:tcW w:w="1055" w:type="pct"/>
            <w:shd w:val="clear" w:color="auto" w:fill="FFC000"/>
          </w:tcPr>
          <w:p w14:paraId="22F90DA6" w14:textId="77777777" w:rsidR="00FF7799" w:rsidRPr="00E73F6F" w:rsidRDefault="00FF7799" w:rsidP="004A28F6">
            <w:pPr>
              <w:pStyle w:val="StandardText"/>
              <w:spacing w:after="120"/>
              <w:jc w:val="center"/>
              <w:rPr>
                <w:b/>
                <w:sz w:val="20"/>
                <w:lang w:val="de-DE"/>
              </w:rPr>
            </w:pPr>
            <w:r w:rsidRPr="00E73F6F">
              <w:rPr>
                <w:b/>
                <w:sz w:val="20"/>
                <w:lang w:val="de-DE"/>
              </w:rPr>
              <w:t>Politisch-administrative Distanz</w:t>
            </w:r>
          </w:p>
        </w:tc>
        <w:tc>
          <w:tcPr>
            <w:tcW w:w="1054" w:type="pct"/>
            <w:gridSpan w:val="2"/>
            <w:shd w:val="clear" w:color="auto" w:fill="FFC000"/>
          </w:tcPr>
          <w:p w14:paraId="478D6847" w14:textId="77777777" w:rsidR="00FF7799" w:rsidRPr="00E73F6F" w:rsidRDefault="00FF7799" w:rsidP="004A28F6">
            <w:pPr>
              <w:pStyle w:val="StandardText"/>
              <w:spacing w:after="120"/>
              <w:jc w:val="center"/>
              <w:rPr>
                <w:b/>
                <w:sz w:val="20"/>
                <w:lang w:val="de-DE"/>
              </w:rPr>
            </w:pPr>
            <w:r w:rsidRPr="00E73F6F">
              <w:rPr>
                <w:b/>
                <w:sz w:val="20"/>
                <w:lang w:val="de-DE"/>
              </w:rPr>
              <w:t>Geographische</w:t>
            </w:r>
            <w:r w:rsidR="004A28F6" w:rsidRPr="00E73F6F">
              <w:rPr>
                <w:b/>
                <w:sz w:val="20"/>
                <w:lang w:val="de-DE"/>
              </w:rPr>
              <w:br/>
            </w:r>
            <w:r w:rsidRPr="00E73F6F">
              <w:rPr>
                <w:b/>
                <w:sz w:val="20"/>
                <w:lang w:val="de-DE"/>
              </w:rPr>
              <w:t>Distanz</w:t>
            </w:r>
          </w:p>
        </w:tc>
        <w:tc>
          <w:tcPr>
            <w:tcW w:w="1056" w:type="pct"/>
            <w:shd w:val="clear" w:color="auto" w:fill="FFC000"/>
          </w:tcPr>
          <w:p w14:paraId="16E656DE" w14:textId="77777777" w:rsidR="00FF7799" w:rsidRPr="00E73F6F" w:rsidRDefault="00FF7799" w:rsidP="004A28F6">
            <w:pPr>
              <w:pStyle w:val="StandardText"/>
              <w:spacing w:after="120"/>
              <w:jc w:val="center"/>
              <w:rPr>
                <w:b/>
                <w:sz w:val="20"/>
                <w:lang w:val="de-DE"/>
              </w:rPr>
            </w:pPr>
            <w:r w:rsidRPr="00E73F6F">
              <w:rPr>
                <w:b/>
                <w:sz w:val="20"/>
                <w:lang w:val="de-DE"/>
              </w:rPr>
              <w:t>Ökonomische</w:t>
            </w:r>
            <w:r w:rsidRPr="00E73F6F">
              <w:rPr>
                <w:b/>
                <w:sz w:val="20"/>
                <w:lang w:val="de-DE"/>
              </w:rPr>
              <w:br/>
              <w:t>Distanz</w:t>
            </w:r>
          </w:p>
        </w:tc>
      </w:tr>
      <w:tr w:rsidR="00FF7799" w:rsidRPr="00E73F6F" w14:paraId="62F39D22" w14:textId="77777777" w:rsidTr="009278E0">
        <w:trPr>
          <w:trHeight w:val="3077"/>
        </w:trPr>
        <w:tc>
          <w:tcPr>
            <w:tcW w:w="701" w:type="pct"/>
            <w:shd w:val="clear" w:color="auto" w:fill="FFF2CC" w:themeFill="accent4" w:themeFillTint="33"/>
          </w:tcPr>
          <w:p w14:paraId="032AF5ED" w14:textId="77777777" w:rsidR="009278E0" w:rsidRDefault="00035E56" w:rsidP="009278E0">
            <w:pPr>
              <w:pStyle w:val="StandardText"/>
              <w:spacing w:line="120" w:lineRule="exact"/>
              <w:jc w:val="left"/>
              <w:rPr>
                <w:sz w:val="20"/>
                <w:lang w:val="de-DE"/>
              </w:rPr>
            </w:pPr>
            <w:r>
              <w:rPr>
                <w:sz w:val="20"/>
                <w:lang w:val="de-DE"/>
              </w:rPr>
              <w:t>Distanz</w:t>
            </w:r>
            <w:r w:rsidR="009278E0">
              <w:rPr>
                <w:sz w:val="20"/>
                <w:lang w:val="de-DE"/>
              </w:rPr>
              <w:t>-</w:t>
            </w:r>
          </w:p>
          <w:p w14:paraId="22293667" w14:textId="77777777" w:rsidR="00FF7799" w:rsidRPr="00E73F6F" w:rsidRDefault="00FF7799" w:rsidP="009278E0">
            <w:pPr>
              <w:pStyle w:val="StandardText"/>
              <w:spacing w:line="120" w:lineRule="exact"/>
              <w:jc w:val="left"/>
              <w:rPr>
                <w:sz w:val="20"/>
                <w:lang w:val="de-DE"/>
              </w:rPr>
            </w:pPr>
            <w:r w:rsidRPr="00E73F6F">
              <w:rPr>
                <w:sz w:val="20"/>
                <w:lang w:val="de-DE"/>
              </w:rPr>
              <w:t>faktoren</w:t>
            </w:r>
          </w:p>
        </w:tc>
        <w:tc>
          <w:tcPr>
            <w:tcW w:w="1134" w:type="pct"/>
          </w:tcPr>
          <w:p w14:paraId="2218D4D4" w14:textId="77777777" w:rsidR="00FF7799" w:rsidRPr="00E73F6F" w:rsidRDefault="00FF7799" w:rsidP="00F40DE8">
            <w:pPr>
              <w:pStyle w:val="StandardTextAufzhlung"/>
              <w:ind w:left="0"/>
              <w:jc w:val="left"/>
              <w:rPr>
                <w:sz w:val="20"/>
                <w:lang w:val="de-DE"/>
              </w:rPr>
            </w:pPr>
            <w:r w:rsidRPr="00E73F6F">
              <w:rPr>
                <w:sz w:val="20"/>
                <w:lang w:val="de-DE"/>
              </w:rPr>
              <w:t>Verschiedene</w:t>
            </w:r>
            <w:r w:rsidRPr="00E73F6F">
              <w:rPr>
                <w:spacing w:val="40"/>
                <w:sz w:val="20"/>
                <w:lang w:val="de-DE"/>
              </w:rPr>
              <w:t xml:space="preserve"> </w:t>
            </w:r>
            <w:r w:rsidRPr="00E73F6F">
              <w:rPr>
                <w:sz w:val="20"/>
                <w:lang w:val="de-DE"/>
              </w:rPr>
              <w:t>Sprachen</w:t>
            </w:r>
          </w:p>
          <w:p w14:paraId="2DA99778" w14:textId="77777777" w:rsidR="00FF7799" w:rsidRPr="00E73F6F" w:rsidRDefault="00FF7799" w:rsidP="00F40DE8">
            <w:pPr>
              <w:pStyle w:val="StandardTextAufzhlung"/>
              <w:ind w:left="0"/>
              <w:jc w:val="left"/>
              <w:rPr>
                <w:sz w:val="20"/>
                <w:lang w:val="de-DE"/>
              </w:rPr>
            </w:pPr>
            <w:r w:rsidRPr="00E73F6F">
              <w:rPr>
                <w:sz w:val="20"/>
                <w:lang w:val="de-DE"/>
              </w:rPr>
              <w:t>Verschiedene</w:t>
            </w:r>
            <w:r w:rsidRPr="00E73F6F">
              <w:rPr>
                <w:spacing w:val="40"/>
                <w:sz w:val="20"/>
                <w:lang w:val="de-DE"/>
              </w:rPr>
              <w:t xml:space="preserve"> </w:t>
            </w:r>
            <w:r w:rsidR="004A28F6" w:rsidRPr="00E73F6F">
              <w:rPr>
                <w:sz w:val="20"/>
                <w:lang w:val="de-DE"/>
              </w:rPr>
              <w:t>Volksgemein</w:t>
            </w:r>
            <w:r w:rsidRPr="00E73F6F">
              <w:rPr>
                <w:sz w:val="20"/>
                <w:lang w:val="de-DE"/>
              </w:rPr>
              <w:t>schaften;</w:t>
            </w:r>
            <w:r w:rsidRPr="00E73F6F">
              <w:rPr>
                <w:spacing w:val="-7"/>
                <w:sz w:val="20"/>
                <w:lang w:val="de-DE"/>
              </w:rPr>
              <w:t xml:space="preserve"> </w:t>
            </w:r>
            <w:r w:rsidRPr="00E73F6F">
              <w:rPr>
                <w:sz w:val="20"/>
                <w:lang w:val="de-DE"/>
              </w:rPr>
              <w:t>Fehlen</w:t>
            </w:r>
            <w:r w:rsidRPr="00E73F6F">
              <w:rPr>
                <w:spacing w:val="40"/>
                <w:sz w:val="20"/>
                <w:lang w:val="de-DE"/>
              </w:rPr>
              <w:t xml:space="preserve"> </w:t>
            </w:r>
            <w:r w:rsidRPr="00E73F6F">
              <w:rPr>
                <w:sz w:val="20"/>
                <w:lang w:val="de-DE"/>
              </w:rPr>
              <w:t>von</w:t>
            </w:r>
            <w:r w:rsidRPr="00E73F6F">
              <w:rPr>
                <w:spacing w:val="-6"/>
                <w:sz w:val="20"/>
                <w:lang w:val="de-DE"/>
              </w:rPr>
              <w:t xml:space="preserve"> </w:t>
            </w:r>
            <w:r w:rsidRPr="00E73F6F">
              <w:rPr>
                <w:sz w:val="20"/>
                <w:lang w:val="de-DE"/>
              </w:rPr>
              <w:t>ethnischen</w:t>
            </w:r>
            <w:r w:rsidRPr="00E73F6F">
              <w:rPr>
                <w:spacing w:val="40"/>
                <w:sz w:val="20"/>
                <w:lang w:val="de-DE"/>
              </w:rPr>
              <w:t xml:space="preserve"> </w:t>
            </w:r>
            <w:r w:rsidRPr="00E73F6F">
              <w:rPr>
                <w:sz w:val="20"/>
                <w:lang w:val="de-DE"/>
              </w:rPr>
              <w:t>oder</w:t>
            </w:r>
            <w:r w:rsidRPr="00E73F6F">
              <w:rPr>
                <w:spacing w:val="-6"/>
                <w:sz w:val="20"/>
                <w:lang w:val="de-DE"/>
              </w:rPr>
              <w:t xml:space="preserve"> </w:t>
            </w:r>
            <w:r w:rsidRPr="00E73F6F">
              <w:rPr>
                <w:sz w:val="20"/>
                <w:lang w:val="de-DE"/>
              </w:rPr>
              <w:t>sozialen</w:t>
            </w:r>
            <w:r w:rsidRPr="00E73F6F">
              <w:rPr>
                <w:spacing w:val="40"/>
                <w:sz w:val="20"/>
                <w:lang w:val="de-DE"/>
              </w:rPr>
              <w:t xml:space="preserve"> </w:t>
            </w:r>
            <w:r w:rsidRPr="00E73F6F">
              <w:rPr>
                <w:sz w:val="20"/>
                <w:lang w:val="de-DE"/>
              </w:rPr>
              <w:t>Verbindungen</w:t>
            </w:r>
          </w:p>
          <w:p w14:paraId="5E2490E3" w14:textId="77777777" w:rsidR="00FF7799" w:rsidRPr="00E73F6F" w:rsidRDefault="00FF7799" w:rsidP="00F40DE8">
            <w:pPr>
              <w:pStyle w:val="StandardTextAufzhlung"/>
              <w:ind w:left="0"/>
              <w:jc w:val="left"/>
              <w:rPr>
                <w:sz w:val="20"/>
                <w:lang w:val="de-DE"/>
              </w:rPr>
            </w:pPr>
            <w:r w:rsidRPr="00E73F6F">
              <w:rPr>
                <w:sz w:val="20"/>
                <w:lang w:val="de-DE"/>
              </w:rPr>
              <w:t>Verschiedene</w:t>
            </w:r>
            <w:r w:rsidRPr="00E73F6F">
              <w:rPr>
                <w:spacing w:val="40"/>
                <w:sz w:val="20"/>
                <w:lang w:val="de-DE"/>
              </w:rPr>
              <w:t xml:space="preserve"> </w:t>
            </w:r>
            <w:r w:rsidRPr="00E73F6F">
              <w:rPr>
                <w:sz w:val="20"/>
                <w:lang w:val="de-DE"/>
              </w:rPr>
              <w:t>Religionen</w:t>
            </w:r>
          </w:p>
          <w:p w14:paraId="3BD73A71" w14:textId="77777777" w:rsidR="00FF7799" w:rsidRPr="00E73F6F" w:rsidRDefault="00FF7799" w:rsidP="00F40DE8">
            <w:pPr>
              <w:pStyle w:val="StandardTextAufzhlung"/>
              <w:ind w:left="0"/>
              <w:jc w:val="left"/>
              <w:rPr>
                <w:sz w:val="20"/>
                <w:lang w:val="de-DE"/>
              </w:rPr>
            </w:pPr>
            <w:r w:rsidRPr="00E73F6F">
              <w:rPr>
                <w:sz w:val="20"/>
                <w:lang w:val="de-DE"/>
              </w:rPr>
              <w:t>Verschiedene</w:t>
            </w:r>
            <w:r w:rsidRPr="00E73F6F">
              <w:rPr>
                <w:spacing w:val="40"/>
                <w:sz w:val="20"/>
                <w:lang w:val="de-DE"/>
              </w:rPr>
              <w:t xml:space="preserve"> </w:t>
            </w:r>
            <w:r w:rsidRPr="00E73F6F">
              <w:rPr>
                <w:sz w:val="20"/>
                <w:lang w:val="de-DE"/>
              </w:rPr>
              <w:t>soziale</w:t>
            </w:r>
            <w:r w:rsidRPr="00E73F6F">
              <w:rPr>
                <w:spacing w:val="-9"/>
                <w:sz w:val="20"/>
                <w:lang w:val="de-DE"/>
              </w:rPr>
              <w:t xml:space="preserve"> </w:t>
            </w:r>
            <w:r w:rsidRPr="00E73F6F">
              <w:rPr>
                <w:sz w:val="20"/>
                <w:lang w:val="de-DE"/>
              </w:rPr>
              <w:t>Normen</w:t>
            </w:r>
          </w:p>
        </w:tc>
        <w:tc>
          <w:tcPr>
            <w:tcW w:w="1055" w:type="pct"/>
          </w:tcPr>
          <w:p w14:paraId="4AE9E30F" w14:textId="77777777" w:rsidR="00FF7799" w:rsidRPr="00E73F6F" w:rsidRDefault="00FF7799" w:rsidP="00F40DE8">
            <w:pPr>
              <w:pStyle w:val="StandardTextAufzhlung"/>
              <w:ind w:left="0"/>
              <w:jc w:val="left"/>
              <w:rPr>
                <w:sz w:val="20"/>
                <w:lang w:val="de-DE"/>
              </w:rPr>
            </w:pPr>
            <w:r w:rsidRPr="00E73F6F">
              <w:rPr>
                <w:sz w:val="20"/>
                <w:lang w:val="de-DE"/>
              </w:rPr>
              <w:t>Nichts</w:t>
            </w:r>
            <w:r w:rsidRPr="00E73F6F">
              <w:rPr>
                <w:spacing w:val="-5"/>
                <w:sz w:val="20"/>
                <w:lang w:val="de-DE"/>
              </w:rPr>
              <w:t xml:space="preserve"> </w:t>
            </w:r>
            <w:r w:rsidRPr="00E73F6F">
              <w:rPr>
                <w:sz w:val="20"/>
                <w:lang w:val="de-DE"/>
              </w:rPr>
              <w:t>Verbindendes</w:t>
            </w:r>
            <w:r w:rsidRPr="00E73F6F">
              <w:rPr>
                <w:spacing w:val="40"/>
                <w:sz w:val="20"/>
                <w:lang w:val="de-DE"/>
              </w:rPr>
              <w:t xml:space="preserve"> </w:t>
            </w:r>
            <w:r w:rsidRPr="00E73F6F">
              <w:rPr>
                <w:sz w:val="20"/>
                <w:lang w:val="de-DE"/>
              </w:rPr>
              <w:t>aus der Kolonialzeit</w:t>
            </w:r>
          </w:p>
          <w:p w14:paraId="09B88068" w14:textId="77777777" w:rsidR="00FF7799" w:rsidRPr="00E73F6F" w:rsidRDefault="00FF7799" w:rsidP="00F40DE8">
            <w:pPr>
              <w:pStyle w:val="StandardTextAufzhlung"/>
              <w:ind w:left="0"/>
              <w:jc w:val="left"/>
              <w:rPr>
                <w:sz w:val="20"/>
                <w:lang w:val="de-DE"/>
              </w:rPr>
            </w:pPr>
            <w:r w:rsidRPr="00E73F6F">
              <w:rPr>
                <w:sz w:val="20"/>
                <w:lang w:val="de-DE"/>
              </w:rPr>
              <w:t>Keine</w:t>
            </w:r>
            <w:r w:rsidRPr="00E73F6F">
              <w:rPr>
                <w:spacing w:val="-5"/>
                <w:sz w:val="20"/>
                <w:lang w:val="de-DE"/>
              </w:rPr>
              <w:t xml:space="preserve"> </w:t>
            </w:r>
            <w:r w:rsidRPr="00E73F6F">
              <w:rPr>
                <w:sz w:val="20"/>
                <w:lang w:val="de-DE"/>
              </w:rPr>
              <w:t>Zugehörigkeit</w:t>
            </w:r>
            <w:r w:rsidRPr="00E73F6F">
              <w:rPr>
                <w:spacing w:val="40"/>
                <w:sz w:val="20"/>
                <w:lang w:val="de-DE"/>
              </w:rPr>
              <w:t xml:space="preserve"> </w:t>
            </w:r>
            <w:r w:rsidR="004A28F6" w:rsidRPr="00E73F6F">
              <w:rPr>
                <w:sz w:val="20"/>
                <w:lang w:val="de-DE"/>
              </w:rPr>
              <w:t>zu einem gemein</w:t>
            </w:r>
            <w:r w:rsidRPr="00E73F6F">
              <w:rPr>
                <w:sz w:val="20"/>
                <w:lang w:val="de-DE"/>
              </w:rPr>
              <w:t>samen</w:t>
            </w:r>
            <w:r w:rsidRPr="00E73F6F">
              <w:rPr>
                <w:spacing w:val="-4"/>
                <w:sz w:val="20"/>
                <w:lang w:val="de-DE"/>
              </w:rPr>
              <w:t xml:space="preserve"> </w:t>
            </w:r>
            <w:r w:rsidRPr="00E73F6F">
              <w:rPr>
                <w:sz w:val="20"/>
                <w:lang w:val="de-DE"/>
              </w:rPr>
              <w:t>Währungs-</w:t>
            </w:r>
            <w:r w:rsidRPr="00E73F6F">
              <w:rPr>
                <w:spacing w:val="40"/>
                <w:sz w:val="20"/>
                <w:lang w:val="de-DE"/>
              </w:rPr>
              <w:t xml:space="preserve"> </w:t>
            </w:r>
            <w:r w:rsidRPr="00E73F6F">
              <w:rPr>
                <w:sz w:val="20"/>
                <w:lang w:val="de-DE"/>
              </w:rPr>
              <w:t>oder</w:t>
            </w:r>
            <w:r w:rsidRPr="00E73F6F">
              <w:rPr>
                <w:spacing w:val="-6"/>
                <w:sz w:val="20"/>
                <w:lang w:val="de-DE"/>
              </w:rPr>
              <w:t xml:space="preserve"> </w:t>
            </w:r>
            <w:r w:rsidRPr="00E73F6F">
              <w:rPr>
                <w:sz w:val="20"/>
                <w:lang w:val="de-DE"/>
              </w:rPr>
              <w:t>politischen</w:t>
            </w:r>
            <w:r w:rsidRPr="00E73F6F">
              <w:rPr>
                <w:spacing w:val="40"/>
                <w:sz w:val="20"/>
                <w:lang w:val="de-DE"/>
              </w:rPr>
              <w:t xml:space="preserve"> </w:t>
            </w:r>
            <w:r w:rsidRPr="00E73F6F">
              <w:rPr>
                <w:sz w:val="20"/>
                <w:lang w:val="de-DE"/>
              </w:rPr>
              <w:t>Verbund</w:t>
            </w:r>
          </w:p>
          <w:p w14:paraId="0622D3FA" w14:textId="77777777" w:rsidR="00FF7799" w:rsidRPr="00E73F6F" w:rsidRDefault="00FF7799" w:rsidP="00F40DE8">
            <w:pPr>
              <w:pStyle w:val="StandardTextAufzhlung"/>
              <w:ind w:left="0"/>
              <w:jc w:val="left"/>
              <w:rPr>
                <w:sz w:val="20"/>
                <w:lang w:val="de-DE"/>
              </w:rPr>
            </w:pPr>
            <w:r w:rsidRPr="00E73F6F">
              <w:rPr>
                <w:sz w:val="20"/>
                <w:lang w:val="de-DE"/>
              </w:rPr>
              <w:t>Politische</w:t>
            </w:r>
            <w:r w:rsidRPr="00E73F6F">
              <w:rPr>
                <w:spacing w:val="-9"/>
                <w:sz w:val="20"/>
                <w:lang w:val="de-DE"/>
              </w:rPr>
              <w:t xml:space="preserve"> </w:t>
            </w:r>
            <w:r w:rsidR="004A28F6" w:rsidRPr="00E73F6F">
              <w:rPr>
                <w:sz w:val="20"/>
                <w:lang w:val="de-DE"/>
              </w:rPr>
              <w:t>Gegner</w:t>
            </w:r>
            <w:r w:rsidRPr="00E73F6F">
              <w:rPr>
                <w:sz w:val="20"/>
                <w:lang w:val="de-DE"/>
              </w:rPr>
              <w:t>schaft</w:t>
            </w:r>
          </w:p>
          <w:p w14:paraId="012AC829" w14:textId="77777777" w:rsidR="00FF7799" w:rsidRPr="00E73F6F" w:rsidRDefault="00FF7799" w:rsidP="00F40DE8">
            <w:pPr>
              <w:pStyle w:val="StandardTextAufzhlung"/>
              <w:ind w:left="0"/>
              <w:jc w:val="left"/>
              <w:rPr>
                <w:sz w:val="20"/>
                <w:lang w:val="de-DE"/>
              </w:rPr>
            </w:pPr>
            <w:r w:rsidRPr="00E73F6F">
              <w:rPr>
                <w:sz w:val="20"/>
                <w:lang w:val="de-DE"/>
              </w:rPr>
              <w:t>Dirigismus</w:t>
            </w:r>
            <w:r w:rsidRPr="00E73F6F">
              <w:rPr>
                <w:spacing w:val="-9"/>
                <w:sz w:val="20"/>
                <w:lang w:val="de-DE"/>
              </w:rPr>
              <w:t xml:space="preserve"> </w:t>
            </w:r>
            <w:r w:rsidRPr="00E73F6F">
              <w:rPr>
                <w:sz w:val="20"/>
                <w:lang w:val="de-DE"/>
              </w:rPr>
              <w:t>in</w:t>
            </w:r>
            <w:r w:rsidRPr="00E73F6F">
              <w:rPr>
                <w:spacing w:val="-9"/>
                <w:sz w:val="20"/>
                <w:lang w:val="de-DE"/>
              </w:rPr>
              <w:t xml:space="preserve"> </w:t>
            </w:r>
            <w:r w:rsidRPr="00E73F6F">
              <w:rPr>
                <w:sz w:val="20"/>
                <w:lang w:val="de-DE"/>
              </w:rPr>
              <w:t>Staat</w:t>
            </w:r>
            <w:r w:rsidRPr="00E73F6F">
              <w:rPr>
                <w:spacing w:val="40"/>
                <w:sz w:val="20"/>
                <w:lang w:val="de-DE"/>
              </w:rPr>
              <w:t xml:space="preserve"> </w:t>
            </w:r>
            <w:r w:rsidRPr="00E73F6F">
              <w:rPr>
                <w:sz w:val="20"/>
                <w:lang w:val="de-DE"/>
              </w:rPr>
              <w:t>und</w:t>
            </w:r>
            <w:r w:rsidRPr="00E73F6F">
              <w:rPr>
                <w:spacing w:val="-6"/>
                <w:sz w:val="20"/>
                <w:lang w:val="de-DE"/>
              </w:rPr>
              <w:t xml:space="preserve"> </w:t>
            </w:r>
            <w:r w:rsidRPr="00E73F6F">
              <w:rPr>
                <w:sz w:val="20"/>
                <w:lang w:val="de-DE"/>
              </w:rPr>
              <w:t>Wirtschaft</w:t>
            </w:r>
          </w:p>
          <w:p w14:paraId="614D720F" w14:textId="77777777" w:rsidR="00FF7799" w:rsidRPr="00E73F6F" w:rsidRDefault="00FF7799" w:rsidP="00F40DE8">
            <w:pPr>
              <w:pStyle w:val="StandardTextAufzhlung"/>
              <w:ind w:left="0"/>
              <w:jc w:val="left"/>
              <w:rPr>
                <w:sz w:val="20"/>
                <w:lang w:val="de-DE"/>
              </w:rPr>
            </w:pPr>
            <w:r w:rsidRPr="00E73F6F">
              <w:rPr>
                <w:sz w:val="20"/>
                <w:lang w:val="de-DE"/>
              </w:rPr>
              <w:t>Institutionelle</w:t>
            </w:r>
            <w:r w:rsidRPr="00E73F6F">
              <w:rPr>
                <w:spacing w:val="40"/>
                <w:sz w:val="20"/>
                <w:lang w:val="de-DE"/>
              </w:rPr>
              <w:t xml:space="preserve"> </w:t>
            </w:r>
            <w:r w:rsidRPr="00E73F6F">
              <w:rPr>
                <w:sz w:val="20"/>
                <w:lang w:val="de-DE"/>
              </w:rPr>
              <w:t>Schwächen</w:t>
            </w:r>
          </w:p>
        </w:tc>
        <w:tc>
          <w:tcPr>
            <w:tcW w:w="1054" w:type="pct"/>
            <w:gridSpan w:val="2"/>
          </w:tcPr>
          <w:p w14:paraId="731D86E2" w14:textId="77777777" w:rsidR="00FF7799" w:rsidRPr="00E73F6F" w:rsidRDefault="00FF7799" w:rsidP="00F40DE8">
            <w:pPr>
              <w:pStyle w:val="StandardTextAufzhlung"/>
              <w:ind w:left="0"/>
              <w:jc w:val="left"/>
              <w:rPr>
                <w:sz w:val="20"/>
                <w:lang w:val="de-DE"/>
              </w:rPr>
            </w:pPr>
            <w:r w:rsidRPr="00E73F6F">
              <w:rPr>
                <w:sz w:val="20"/>
                <w:lang w:val="de-DE"/>
              </w:rPr>
              <w:t>Räumliche</w:t>
            </w:r>
            <w:r w:rsidRPr="00E73F6F">
              <w:rPr>
                <w:spacing w:val="40"/>
                <w:sz w:val="20"/>
                <w:lang w:val="de-DE"/>
              </w:rPr>
              <w:t xml:space="preserve"> </w:t>
            </w:r>
            <w:r w:rsidRPr="00E73F6F">
              <w:rPr>
                <w:sz w:val="20"/>
                <w:lang w:val="de-DE"/>
              </w:rPr>
              <w:t>Entfernung</w:t>
            </w:r>
          </w:p>
          <w:p w14:paraId="4ECC84CF" w14:textId="77777777" w:rsidR="00FF7799" w:rsidRPr="00E73F6F" w:rsidRDefault="00FF7799" w:rsidP="00F40DE8">
            <w:pPr>
              <w:pStyle w:val="StandardTextAufzhlung"/>
              <w:ind w:left="0"/>
              <w:jc w:val="left"/>
              <w:rPr>
                <w:sz w:val="20"/>
                <w:lang w:val="de-DE"/>
              </w:rPr>
            </w:pPr>
            <w:r w:rsidRPr="00E73F6F">
              <w:rPr>
                <w:sz w:val="20"/>
                <w:lang w:val="de-DE"/>
              </w:rPr>
              <w:t>Keine</w:t>
            </w:r>
            <w:r w:rsidRPr="00E73F6F">
              <w:rPr>
                <w:spacing w:val="-9"/>
                <w:sz w:val="20"/>
                <w:lang w:val="de-DE"/>
              </w:rPr>
              <w:t xml:space="preserve"> </w:t>
            </w:r>
            <w:r w:rsidR="004A28F6" w:rsidRPr="00E73F6F">
              <w:rPr>
                <w:sz w:val="20"/>
                <w:lang w:val="de-DE"/>
              </w:rPr>
              <w:t>gemein</w:t>
            </w:r>
            <w:r w:rsidRPr="00E73F6F">
              <w:rPr>
                <w:sz w:val="20"/>
                <w:lang w:val="de-DE"/>
              </w:rPr>
              <w:t>same</w:t>
            </w:r>
            <w:r w:rsidRPr="00E73F6F">
              <w:rPr>
                <w:spacing w:val="-4"/>
                <w:sz w:val="20"/>
                <w:lang w:val="de-DE"/>
              </w:rPr>
              <w:t xml:space="preserve"> </w:t>
            </w:r>
            <w:r w:rsidRPr="00E73F6F">
              <w:rPr>
                <w:sz w:val="20"/>
                <w:lang w:val="de-DE"/>
              </w:rPr>
              <w:t>Grenze</w:t>
            </w:r>
          </w:p>
          <w:p w14:paraId="170FEB05" w14:textId="77777777" w:rsidR="00FF7799" w:rsidRPr="00E73F6F" w:rsidRDefault="00FF7799" w:rsidP="00F40DE8">
            <w:pPr>
              <w:pStyle w:val="StandardTextAufzhlung"/>
              <w:ind w:left="0"/>
              <w:jc w:val="left"/>
              <w:rPr>
                <w:sz w:val="20"/>
                <w:lang w:val="de-DE"/>
              </w:rPr>
            </w:pPr>
            <w:r w:rsidRPr="00E73F6F">
              <w:rPr>
                <w:sz w:val="20"/>
                <w:lang w:val="de-DE"/>
              </w:rPr>
              <w:t>Kein</w:t>
            </w:r>
            <w:r w:rsidRPr="00E73F6F">
              <w:rPr>
                <w:spacing w:val="-7"/>
                <w:sz w:val="20"/>
                <w:lang w:val="de-DE"/>
              </w:rPr>
              <w:t xml:space="preserve"> </w:t>
            </w:r>
            <w:r w:rsidRPr="00E73F6F">
              <w:rPr>
                <w:sz w:val="20"/>
                <w:lang w:val="de-DE"/>
              </w:rPr>
              <w:t>Zugang</w:t>
            </w:r>
            <w:r w:rsidRPr="00E73F6F">
              <w:rPr>
                <w:spacing w:val="40"/>
                <w:sz w:val="20"/>
                <w:lang w:val="de-DE"/>
              </w:rPr>
              <w:t xml:space="preserve"> </w:t>
            </w:r>
            <w:r w:rsidRPr="00E73F6F">
              <w:rPr>
                <w:sz w:val="20"/>
                <w:lang w:val="de-DE"/>
              </w:rPr>
              <w:t>zum</w:t>
            </w:r>
            <w:r w:rsidRPr="00E73F6F">
              <w:rPr>
                <w:spacing w:val="-6"/>
                <w:sz w:val="20"/>
                <w:lang w:val="de-DE"/>
              </w:rPr>
              <w:t xml:space="preserve"> </w:t>
            </w:r>
            <w:r w:rsidRPr="00E73F6F">
              <w:rPr>
                <w:sz w:val="20"/>
                <w:lang w:val="de-DE"/>
              </w:rPr>
              <w:t>Meer</w:t>
            </w:r>
            <w:r w:rsidRPr="00E73F6F">
              <w:rPr>
                <w:spacing w:val="40"/>
                <w:sz w:val="20"/>
                <w:lang w:val="de-DE"/>
              </w:rPr>
              <w:t xml:space="preserve"> </w:t>
            </w:r>
            <w:r w:rsidRPr="00E73F6F">
              <w:rPr>
                <w:sz w:val="20"/>
                <w:lang w:val="de-DE"/>
              </w:rPr>
              <w:t>Räumliche</w:t>
            </w:r>
            <w:r w:rsidRPr="00E73F6F">
              <w:rPr>
                <w:spacing w:val="40"/>
                <w:sz w:val="20"/>
                <w:lang w:val="de-DE"/>
              </w:rPr>
              <w:t xml:space="preserve"> </w:t>
            </w:r>
            <w:r w:rsidRPr="00E73F6F">
              <w:rPr>
                <w:sz w:val="20"/>
                <w:lang w:val="de-DE"/>
              </w:rPr>
              <w:t>Größe</w:t>
            </w:r>
          </w:p>
          <w:p w14:paraId="58B7CEEB" w14:textId="4640258B" w:rsidR="00FF7799" w:rsidRPr="00E73F6F" w:rsidRDefault="00FF7799" w:rsidP="00F40DE8">
            <w:pPr>
              <w:pStyle w:val="StandardTextAufzhlung"/>
              <w:ind w:left="0"/>
              <w:jc w:val="left"/>
              <w:rPr>
                <w:sz w:val="20"/>
                <w:lang w:val="de-DE"/>
              </w:rPr>
            </w:pPr>
            <w:r w:rsidRPr="00E73F6F">
              <w:rPr>
                <w:sz w:val="20"/>
                <w:lang w:val="de-DE"/>
              </w:rPr>
              <w:t>Schlechte</w:t>
            </w:r>
            <w:r w:rsidRPr="00E73F6F">
              <w:rPr>
                <w:spacing w:val="-4"/>
                <w:sz w:val="20"/>
                <w:lang w:val="de-DE"/>
              </w:rPr>
              <w:t xml:space="preserve"> </w:t>
            </w:r>
            <w:r w:rsidRPr="00E73F6F">
              <w:rPr>
                <w:sz w:val="20"/>
                <w:lang w:val="de-DE"/>
              </w:rPr>
              <w:t>Verkehrs-</w:t>
            </w:r>
            <w:r w:rsidRPr="00E73F6F">
              <w:rPr>
                <w:spacing w:val="-9"/>
                <w:sz w:val="20"/>
                <w:lang w:val="de-DE"/>
              </w:rPr>
              <w:t xml:space="preserve"> </w:t>
            </w:r>
            <w:r w:rsidRPr="00E73F6F">
              <w:rPr>
                <w:sz w:val="20"/>
                <w:lang w:val="de-DE"/>
              </w:rPr>
              <w:t>und</w:t>
            </w:r>
            <w:r w:rsidRPr="00E73F6F">
              <w:rPr>
                <w:spacing w:val="-9"/>
                <w:sz w:val="20"/>
                <w:lang w:val="de-DE"/>
              </w:rPr>
              <w:t xml:space="preserve"> </w:t>
            </w:r>
            <w:r w:rsidRPr="00E73F6F">
              <w:rPr>
                <w:sz w:val="20"/>
                <w:lang w:val="de-DE"/>
              </w:rPr>
              <w:t>Kommunikationsverbindungen</w:t>
            </w:r>
          </w:p>
          <w:p w14:paraId="1E89FEBD" w14:textId="77777777" w:rsidR="00FF7799" w:rsidRPr="00E73F6F" w:rsidRDefault="00FF7799" w:rsidP="00F40DE8">
            <w:pPr>
              <w:pStyle w:val="StandardTextAufzhlung"/>
              <w:ind w:left="0"/>
              <w:jc w:val="left"/>
              <w:rPr>
                <w:sz w:val="20"/>
                <w:lang w:val="de-DE"/>
              </w:rPr>
            </w:pPr>
            <w:r w:rsidRPr="00E73F6F">
              <w:rPr>
                <w:sz w:val="20"/>
                <w:lang w:val="de-DE"/>
              </w:rPr>
              <w:t>Klimatische</w:t>
            </w:r>
            <w:r w:rsidRPr="00E73F6F">
              <w:rPr>
                <w:spacing w:val="40"/>
                <w:sz w:val="20"/>
                <w:lang w:val="de-DE"/>
              </w:rPr>
              <w:t xml:space="preserve"> </w:t>
            </w:r>
            <w:r w:rsidRPr="00E73F6F">
              <w:rPr>
                <w:sz w:val="20"/>
                <w:lang w:val="de-DE"/>
              </w:rPr>
              <w:t>Unterschiede</w:t>
            </w:r>
          </w:p>
        </w:tc>
        <w:tc>
          <w:tcPr>
            <w:tcW w:w="1056" w:type="pct"/>
          </w:tcPr>
          <w:p w14:paraId="2EFE6BAF" w14:textId="127F32F2" w:rsidR="00FF7799" w:rsidRPr="00E73F6F" w:rsidRDefault="00FF7799" w:rsidP="00F40DE8">
            <w:pPr>
              <w:pStyle w:val="StandardTextAufzhlung"/>
              <w:ind w:left="0"/>
              <w:jc w:val="left"/>
              <w:rPr>
                <w:sz w:val="20"/>
                <w:lang w:val="de-DE"/>
              </w:rPr>
            </w:pPr>
            <w:r w:rsidRPr="00E73F6F">
              <w:rPr>
                <w:sz w:val="20"/>
                <w:lang w:val="de-DE"/>
              </w:rPr>
              <w:t>Unterschiedlich</w:t>
            </w:r>
            <w:r w:rsidRPr="00E73F6F">
              <w:rPr>
                <w:spacing w:val="40"/>
                <w:sz w:val="20"/>
                <w:lang w:val="de-DE"/>
              </w:rPr>
              <w:t xml:space="preserve"> </w:t>
            </w:r>
            <w:r w:rsidRPr="00E73F6F">
              <w:rPr>
                <w:spacing w:val="-4"/>
                <w:sz w:val="20"/>
                <w:lang w:val="de-DE"/>
              </w:rPr>
              <w:t>hohe</w:t>
            </w:r>
            <w:r w:rsidRPr="00E73F6F">
              <w:rPr>
                <w:spacing w:val="40"/>
                <w:sz w:val="20"/>
                <w:lang w:val="de-DE"/>
              </w:rPr>
              <w:t xml:space="preserve"> </w:t>
            </w:r>
            <w:r w:rsidRPr="00E73F6F">
              <w:rPr>
                <w:sz w:val="20"/>
                <w:lang w:val="de-DE"/>
              </w:rPr>
              <w:t>Verbrauchereinkommen</w:t>
            </w:r>
          </w:p>
          <w:p w14:paraId="7175D5F0" w14:textId="77777777" w:rsidR="00FF7799" w:rsidRPr="00E73F6F" w:rsidRDefault="00FF7799" w:rsidP="00F40DE8">
            <w:pPr>
              <w:pStyle w:val="StandardTextAufzhlung"/>
              <w:ind w:left="0"/>
              <w:jc w:val="left"/>
              <w:rPr>
                <w:sz w:val="20"/>
                <w:lang w:val="de-DE"/>
              </w:rPr>
            </w:pPr>
            <w:r w:rsidRPr="00E73F6F">
              <w:rPr>
                <w:sz w:val="20"/>
                <w:lang w:val="de-DE"/>
              </w:rPr>
              <w:t>Unterschiede</w:t>
            </w:r>
            <w:r w:rsidRPr="00E73F6F">
              <w:rPr>
                <w:spacing w:val="40"/>
                <w:sz w:val="20"/>
                <w:lang w:val="de-DE"/>
              </w:rPr>
              <w:t xml:space="preserve"> </w:t>
            </w:r>
            <w:r w:rsidRPr="00E73F6F">
              <w:rPr>
                <w:sz w:val="20"/>
                <w:lang w:val="de-DE"/>
              </w:rPr>
              <w:t>hinsichtlich</w:t>
            </w:r>
            <w:r w:rsidRPr="00E73F6F">
              <w:rPr>
                <w:spacing w:val="40"/>
                <w:sz w:val="20"/>
                <w:lang w:val="de-DE"/>
              </w:rPr>
              <w:t xml:space="preserve"> </w:t>
            </w:r>
            <w:r w:rsidRPr="00E73F6F">
              <w:rPr>
                <w:sz w:val="20"/>
                <w:lang w:val="de-DE"/>
              </w:rPr>
              <w:t>Kosten</w:t>
            </w:r>
            <w:r w:rsidRPr="00E73F6F">
              <w:rPr>
                <w:spacing w:val="-4"/>
                <w:sz w:val="20"/>
                <w:lang w:val="de-DE"/>
              </w:rPr>
              <w:t xml:space="preserve"> </w:t>
            </w:r>
            <w:r w:rsidRPr="00E73F6F">
              <w:rPr>
                <w:sz w:val="20"/>
                <w:lang w:val="de-DE"/>
              </w:rPr>
              <w:t>und</w:t>
            </w:r>
            <w:r w:rsidRPr="00E73F6F">
              <w:rPr>
                <w:spacing w:val="40"/>
                <w:sz w:val="20"/>
                <w:lang w:val="de-DE"/>
              </w:rPr>
              <w:t xml:space="preserve"> </w:t>
            </w:r>
            <w:r w:rsidRPr="00E73F6F">
              <w:rPr>
                <w:sz w:val="20"/>
                <w:lang w:val="de-DE"/>
              </w:rPr>
              <w:t>Qualität</w:t>
            </w:r>
            <w:r w:rsidRPr="00E73F6F">
              <w:rPr>
                <w:spacing w:val="-6"/>
                <w:sz w:val="20"/>
                <w:lang w:val="de-DE"/>
              </w:rPr>
              <w:t xml:space="preserve"> </w:t>
            </w:r>
            <w:r w:rsidRPr="00E73F6F">
              <w:rPr>
                <w:sz w:val="20"/>
                <w:lang w:val="de-DE"/>
              </w:rPr>
              <w:t>bei</w:t>
            </w:r>
          </w:p>
          <w:p w14:paraId="509D4F53" w14:textId="77777777" w:rsidR="00FF7799" w:rsidRPr="00E73F6F" w:rsidRDefault="00FF7799">
            <w:pPr>
              <w:pStyle w:val="StandardTextAufzhlung"/>
              <w:numPr>
                <w:ilvl w:val="0"/>
                <w:numId w:val="16"/>
              </w:numPr>
              <w:ind w:left="0" w:hanging="142"/>
              <w:jc w:val="left"/>
              <w:rPr>
                <w:sz w:val="20"/>
                <w:lang w:val="de-DE"/>
              </w:rPr>
            </w:pPr>
            <w:r w:rsidRPr="00E73F6F">
              <w:rPr>
                <w:sz w:val="20"/>
                <w:lang w:val="de-DE"/>
              </w:rPr>
              <w:t>natürlichen</w:t>
            </w:r>
            <w:r w:rsidRPr="00E73F6F">
              <w:rPr>
                <w:spacing w:val="40"/>
                <w:sz w:val="20"/>
                <w:lang w:val="de-DE"/>
              </w:rPr>
              <w:t xml:space="preserve"> </w:t>
            </w:r>
            <w:r w:rsidRPr="00E73F6F">
              <w:rPr>
                <w:sz w:val="20"/>
                <w:lang w:val="de-DE"/>
              </w:rPr>
              <w:t>Ressourcen</w:t>
            </w:r>
          </w:p>
          <w:p w14:paraId="3DF8F5CC" w14:textId="7EDE8DE6" w:rsidR="00FF7799" w:rsidRPr="00E73F6F" w:rsidRDefault="00FF7799">
            <w:pPr>
              <w:pStyle w:val="StandardTextAufzhlung"/>
              <w:numPr>
                <w:ilvl w:val="0"/>
                <w:numId w:val="16"/>
              </w:numPr>
              <w:ind w:left="0" w:hanging="142"/>
              <w:jc w:val="left"/>
              <w:rPr>
                <w:sz w:val="20"/>
                <w:lang w:val="de-DE"/>
              </w:rPr>
            </w:pPr>
            <w:r w:rsidRPr="00E73F6F">
              <w:rPr>
                <w:sz w:val="20"/>
                <w:lang w:val="de-DE"/>
              </w:rPr>
              <w:t>den</w:t>
            </w:r>
            <w:r w:rsidRPr="00E73F6F">
              <w:rPr>
                <w:spacing w:val="-9"/>
                <w:sz w:val="20"/>
                <w:lang w:val="de-DE"/>
              </w:rPr>
              <w:t xml:space="preserve"> </w:t>
            </w:r>
            <w:r w:rsidRPr="00E73F6F">
              <w:rPr>
                <w:sz w:val="20"/>
                <w:lang w:val="de-DE"/>
              </w:rPr>
              <w:t>Kapitalressourcen</w:t>
            </w:r>
          </w:p>
          <w:p w14:paraId="12FA7A5D" w14:textId="77777777" w:rsidR="00FF7799" w:rsidRPr="00E73F6F" w:rsidRDefault="00FF7799">
            <w:pPr>
              <w:pStyle w:val="StandardTextAufzhlung"/>
              <w:numPr>
                <w:ilvl w:val="0"/>
                <w:numId w:val="16"/>
              </w:numPr>
              <w:ind w:left="0" w:hanging="142"/>
              <w:jc w:val="left"/>
              <w:rPr>
                <w:sz w:val="20"/>
                <w:lang w:val="de-DE"/>
              </w:rPr>
            </w:pPr>
            <w:r w:rsidRPr="00E73F6F">
              <w:rPr>
                <w:sz w:val="20"/>
                <w:lang w:val="de-DE"/>
              </w:rPr>
              <w:t>dem</w:t>
            </w:r>
            <w:r w:rsidRPr="00E73F6F">
              <w:rPr>
                <w:spacing w:val="-3"/>
                <w:sz w:val="20"/>
                <w:lang w:val="de-DE"/>
              </w:rPr>
              <w:t xml:space="preserve"> </w:t>
            </w:r>
            <w:r w:rsidRPr="00E73F6F">
              <w:rPr>
                <w:sz w:val="20"/>
                <w:lang w:val="de-DE"/>
              </w:rPr>
              <w:t>Personal</w:t>
            </w:r>
          </w:p>
          <w:p w14:paraId="2E3500CD" w14:textId="77777777" w:rsidR="00FF7799" w:rsidRPr="00E73F6F" w:rsidRDefault="00FF7799">
            <w:pPr>
              <w:pStyle w:val="StandardTextAufzhlung"/>
              <w:numPr>
                <w:ilvl w:val="0"/>
                <w:numId w:val="16"/>
              </w:numPr>
              <w:ind w:left="0" w:hanging="142"/>
              <w:jc w:val="left"/>
              <w:rPr>
                <w:sz w:val="20"/>
                <w:lang w:val="de-DE"/>
              </w:rPr>
            </w:pPr>
            <w:r w:rsidRPr="00E73F6F">
              <w:rPr>
                <w:sz w:val="20"/>
                <w:lang w:val="de-DE"/>
              </w:rPr>
              <w:t>der</w:t>
            </w:r>
            <w:r w:rsidRPr="00E73F6F">
              <w:rPr>
                <w:spacing w:val="-9"/>
                <w:sz w:val="20"/>
                <w:lang w:val="de-DE"/>
              </w:rPr>
              <w:t xml:space="preserve"> </w:t>
            </w:r>
            <w:r w:rsidR="004A28F6" w:rsidRPr="00E73F6F">
              <w:rPr>
                <w:sz w:val="20"/>
                <w:lang w:val="de-DE"/>
              </w:rPr>
              <w:t>Infra</w:t>
            </w:r>
            <w:r w:rsidRPr="00E73F6F">
              <w:rPr>
                <w:sz w:val="20"/>
                <w:lang w:val="de-DE"/>
              </w:rPr>
              <w:t>struktur</w:t>
            </w:r>
          </w:p>
          <w:p w14:paraId="426C8918" w14:textId="77777777" w:rsidR="00FF7799" w:rsidRPr="00E73F6F" w:rsidRDefault="00FF7799">
            <w:pPr>
              <w:pStyle w:val="StandardTextAufzhlung"/>
              <w:numPr>
                <w:ilvl w:val="0"/>
                <w:numId w:val="16"/>
              </w:numPr>
              <w:ind w:left="0" w:hanging="142"/>
              <w:jc w:val="left"/>
              <w:rPr>
                <w:sz w:val="20"/>
                <w:lang w:val="de-DE"/>
              </w:rPr>
            </w:pPr>
            <w:r w:rsidRPr="00E73F6F">
              <w:rPr>
                <w:sz w:val="20"/>
                <w:lang w:val="de-DE"/>
              </w:rPr>
              <w:t>Vorleistungen</w:t>
            </w:r>
          </w:p>
          <w:p w14:paraId="58D448A4" w14:textId="77777777" w:rsidR="00FF7799" w:rsidRPr="00E73F6F" w:rsidRDefault="00FF7799">
            <w:pPr>
              <w:pStyle w:val="StandardTextAufzhlung"/>
              <w:numPr>
                <w:ilvl w:val="0"/>
                <w:numId w:val="16"/>
              </w:numPr>
              <w:ind w:left="0" w:hanging="142"/>
              <w:jc w:val="left"/>
              <w:rPr>
                <w:sz w:val="20"/>
                <w:lang w:val="de-DE"/>
              </w:rPr>
            </w:pPr>
            <w:r w:rsidRPr="00E73F6F">
              <w:rPr>
                <w:sz w:val="20"/>
                <w:lang w:val="de-DE"/>
              </w:rPr>
              <w:t>dem</w:t>
            </w:r>
            <w:r w:rsidRPr="00E73F6F">
              <w:rPr>
                <w:spacing w:val="-7"/>
                <w:sz w:val="20"/>
                <w:lang w:val="de-DE"/>
              </w:rPr>
              <w:t xml:space="preserve"> </w:t>
            </w:r>
            <w:r w:rsidRPr="00E73F6F">
              <w:rPr>
                <w:sz w:val="20"/>
                <w:lang w:val="de-DE"/>
              </w:rPr>
              <w:t>Know</w:t>
            </w:r>
            <w:r w:rsidRPr="00E73F6F">
              <w:rPr>
                <w:spacing w:val="40"/>
                <w:sz w:val="20"/>
                <w:lang w:val="de-DE"/>
              </w:rPr>
              <w:t xml:space="preserve"> </w:t>
            </w:r>
            <w:r w:rsidRPr="00E73F6F">
              <w:rPr>
                <w:spacing w:val="-4"/>
                <w:sz w:val="20"/>
                <w:lang w:val="de-DE"/>
              </w:rPr>
              <w:t>how</w:t>
            </w:r>
          </w:p>
        </w:tc>
      </w:tr>
      <w:tr w:rsidR="00FF7799" w:rsidRPr="00E73F6F" w14:paraId="5F5A6717" w14:textId="77777777" w:rsidTr="009278E0">
        <w:trPr>
          <w:trHeight w:val="2049"/>
        </w:trPr>
        <w:tc>
          <w:tcPr>
            <w:tcW w:w="701" w:type="pct"/>
            <w:shd w:val="clear" w:color="auto" w:fill="FFF2CC" w:themeFill="accent4" w:themeFillTint="33"/>
          </w:tcPr>
          <w:p w14:paraId="36E00E39" w14:textId="77777777" w:rsidR="00FF7799" w:rsidRPr="00E73F6F" w:rsidRDefault="00FF7799" w:rsidP="004A28F6">
            <w:pPr>
              <w:pStyle w:val="StandardText"/>
              <w:jc w:val="left"/>
              <w:rPr>
                <w:sz w:val="20"/>
                <w:lang w:val="de-DE"/>
              </w:rPr>
            </w:pPr>
            <w:r w:rsidRPr="00E73F6F">
              <w:rPr>
                <w:sz w:val="20"/>
                <w:lang w:val="de-DE"/>
              </w:rPr>
              <w:t>Von Distanz betroffene Produkte bzw. Branchen</w:t>
            </w:r>
          </w:p>
        </w:tc>
        <w:tc>
          <w:tcPr>
            <w:tcW w:w="1134" w:type="pct"/>
          </w:tcPr>
          <w:p w14:paraId="4C8E77A0" w14:textId="77777777" w:rsidR="00FF7799" w:rsidRPr="00E73F6F" w:rsidRDefault="00FF7799" w:rsidP="00EA7901">
            <w:pPr>
              <w:pStyle w:val="StandardTextAufzhlung"/>
              <w:ind w:left="408"/>
              <w:jc w:val="left"/>
              <w:rPr>
                <w:sz w:val="20"/>
                <w:lang w:val="de-DE"/>
              </w:rPr>
            </w:pPr>
            <w:r w:rsidRPr="00E73F6F">
              <w:rPr>
                <w:sz w:val="20"/>
                <w:lang w:val="de-DE"/>
              </w:rPr>
              <w:t>Produkte</w:t>
            </w:r>
            <w:r w:rsidRPr="00E73F6F">
              <w:rPr>
                <w:spacing w:val="-4"/>
                <w:sz w:val="20"/>
                <w:lang w:val="de-DE"/>
              </w:rPr>
              <w:t xml:space="preserve"> </w:t>
            </w:r>
            <w:r w:rsidRPr="00E73F6F">
              <w:rPr>
                <w:sz w:val="20"/>
                <w:lang w:val="de-DE"/>
              </w:rPr>
              <w:t>mit</w:t>
            </w:r>
            <w:r w:rsidRPr="00E73F6F">
              <w:rPr>
                <w:spacing w:val="40"/>
                <w:sz w:val="20"/>
                <w:lang w:val="de-DE"/>
              </w:rPr>
              <w:t xml:space="preserve"> </w:t>
            </w:r>
            <w:r w:rsidRPr="00E73F6F">
              <w:rPr>
                <w:sz w:val="20"/>
                <w:lang w:val="de-DE"/>
              </w:rPr>
              <w:t>hohem</w:t>
            </w:r>
            <w:r w:rsidRPr="00E73F6F">
              <w:rPr>
                <w:spacing w:val="40"/>
                <w:sz w:val="20"/>
                <w:lang w:val="de-DE"/>
              </w:rPr>
              <w:t xml:space="preserve"> </w:t>
            </w:r>
            <w:r w:rsidRPr="00E73F6F">
              <w:rPr>
                <w:sz w:val="20"/>
                <w:lang w:val="de-DE"/>
              </w:rPr>
              <w:t>Sprachanteil</w:t>
            </w:r>
            <w:r w:rsidRPr="00E73F6F">
              <w:rPr>
                <w:spacing w:val="40"/>
                <w:sz w:val="20"/>
                <w:lang w:val="de-DE"/>
              </w:rPr>
              <w:t xml:space="preserve"> </w:t>
            </w:r>
            <w:r w:rsidRPr="00E73F6F">
              <w:rPr>
                <w:sz w:val="20"/>
                <w:lang w:val="de-DE"/>
              </w:rPr>
              <w:t>(etwa</w:t>
            </w:r>
            <w:r w:rsidRPr="00E73F6F">
              <w:rPr>
                <w:spacing w:val="-4"/>
                <w:sz w:val="20"/>
                <w:lang w:val="de-DE"/>
              </w:rPr>
              <w:t xml:space="preserve"> </w:t>
            </w:r>
            <w:r w:rsidRPr="00E73F6F">
              <w:rPr>
                <w:sz w:val="20"/>
                <w:lang w:val="de-DE"/>
              </w:rPr>
              <w:t>Fernsehen)</w:t>
            </w:r>
          </w:p>
          <w:p w14:paraId="10900394" w14:textId="77777777" w:rsidR="00FF7799" w:rsidRPr="00E73F6F" w:rsidRDefault="00FF7799" w:rsidP="00EA7901">
            <w:pPr>
              <w:pStyle w:val="StandardTextAufzhlung"/>
              <w:ind w:left="408"/>
              <w:jc w:val="left"/>
              <w:rPr>
                <w:sz w:val="20"/>
                <w:lang w:val="de-DE"/>
              </w:rPr>
            </w:pPr>
            <w:r w:rsidRPr="00E73F6F">
              <w:rPr>
                <w:sz w:val="20"/>
                <w:lang w:val="de-DE"/>
              </w:rPr>
              <w:t>Produkte,</w:t>
            </w:r>
            <w:r w:rsidRPr="00E73F6F">
              <w:rPr>
                <w:spacing w:val="-9"/>
                <w:sz w:val="20"/>
                <w:lang w:val="de-DE"/>
              </w:rPr>
              <w:t xml:space="preserve"> </w:t>
            </w:r>
            <w:r w:rsidRPr="00E73F6F">
              <w:rPr>
                <w:sz w:val="20"/>
                <w:lang w:val="de-DE"/>
              </w:rPr>
              <w:t>welche</w:t>
            </w:r>
            <w:r w:rsidRPr="00E73F6F">
              <w:rPr>
                <w:spacing w:val="40"/>
                <w:sz w:val="20"/>
                <w:lang w:val="de-DE"/>
              </w:rPr>
              <w:t xml:space="preserve"> </w:t>
            </w:r>
            <w:r w:rsidRPr="00E73F6F">
              <w:rPr>
                <w:sz w:val="20"/>
                <w:lang w:val="de-DE"/>
              </w:rPr>
              <w:t>die</w:t>
            </w:r>
            <w:r w:rsidRPr="00E73F6F">
              <w:rPr>
                <w:spacing w:val="-4"/>
                <w:sz w:val="20"/>
                <w:lang w:val="de-DE"/>
              </w:rPr>
              <w:t xml:space="preserve"> </w:t>
            </w:r>
            <w:r w:rsidRPr="00E73F6F">
              <w:rPr>
                <w:sz w:val="20"/>
                <w:lang w:val="de-DE"/>
              </w:rPr>
              <w:t>kulturelle</w:t>
            </w:r>
            <w:r w:rsidRPr="00E73F6F">
              <w:rPr>
                <w:spacing w:val="40"/>
                <w:sz w:val="20"/>
                <w:lang w:val="de-DE"/>
              </w:rPr>
              <w:t xml:space="preserve"> </w:t>
            </w:r>
            <w:r w:rsidRPr="00E73F6F">
              <w:rPr>
                <w:sz w:val="20"/>
                <w:lang w:val="de-DE"/>
              </w:rPr>
              <w:t>oder</w:t>
            </w:r>
            <w:r w:rsidRPr="00E73F6F">
              <w:rPr>
                <w:spacing w:val="-6"/>
                <w:sz w:val="20"/>
                <w:lang w:val="de-DE"/>
              </w:rPr>
              <w:t xml:space="preserve"> </w:t>
            </w:r>
            <w:r w:rsidRPr="00E73F6F">
              <w:rPr>
                <w:sz w:val="20"/>
                <w:lang w:val="de-DE"/>
              </w:rPr>
              <w:t>nationale</w:t>
            </w:r>
            <w:r w:rsidRPr="00E73F6F">
              <w:rPr>
                <w:spacing w:val="40"/>
                <w:sz w:val="20"/>
                <w:lang w:val="de-DE"/>
              </w:rPr>
              <w:t xml:space="preserve"> </w:t>
            </w:r>
            <w:r w:rsidRPr="00E73F6F">
              <w:rPr>
                <w:sz w:val="20"/>
                <w:lang w:val="de-DE"/>
              </w:rPr>
              <w:t>Identität</w:t>
            </w:r>
            <w:r w:rsidRPr="00E73F6F">
              <w:rPr>
                <w:spacing w:val="-6"/>
                <w:sz w:val="20"/>
                <w:lang w:val="de-DE"/>
              </w:rPr>
              <w:t xml:space="preserve"> </w:t>
            </w:r>
            <w:r w:rsidRPr="00E73F6F">
              <w:rPr>
                <w:sz w:val="20"/>
                <w:lang w:val="de-DE"/>
              </w:rPr>
              <w:t>der</w:t>
            </w:r>
            <w:r w:rsidRPr="00E73F6F">
              <w:rPr>
                <w:spacing w:val="40"/>
                <w:sz w:val="20"/>
                <w:lang w:val="de-DE"/>
              </w:rPr>
              <w:t xml:space="preserve"> </w:t>
            </w:r>
            <w:r w:rsidRPr="00E73F6F">
              <w:rPr>
                <w:sz w:val="20"/>
                <w:lang w:val="de-DE"/>
              </w:rPr>
              <w:t>Verbraucher</w:t>
            </w:r>
            <w:r w:rsidRPr="00E73F6F">
              <w:rPr>
                <w:spacing w:val="40"/>
                <w:sz w:val="20"/>
                <w:lang w:val="de-DE"/>
              </w:rPr>
              <w:t xml:space="preserve"> </w:t>
            </w:r>
            <w:r w:rsidRPr="00E73F6F">
              <w:rPr>
                <w:sz w:val="20"/>
                <w:lang w:val="de-DE"/>
              </w:rPr>
              <w:t>berühren</w:t>
            </w:r>
            <w:r w:rsidRPr="00E73F6F">
              <w:rPr>
                <w:spacing w:val="-6"/>
                <w:sz w:val="20"/>
                <w:lang w:val="de-DE"/>
              </w:rPr>
              <w:t xml:space="preserve"> </w:t>
            </w:r>
            <w:r w:rsidRPr="00E73F6F">
              <w:rPr>
                <w:sz w:val="20"/>
                <w:lang w:val="de-DE"/>
              </w:rPr>
              <w:t>(etwa</w:t>
            </w:r>
            <w:r w:rsidRPr="00E73F6F">
              <w:rPr>
                <w:spacing w:val="40"/>
                <w:sz w:val="20"/>
                <w:lang w:val="de-DE"/>
              </w:rPr>
              <w:t xml:space="preserve"> </w:t>
            </w:r>
            <w:r w:rsidRPr="00E73F6F">
              <w:rPr>
                <w:sz w:val="20"/>
                <w:lang w:val="de-DE"/>
              </w:rPr>
              <w:t>Nahrungsmittel)</w:t>
            </w:r>
          </w:p>
        </w:tc>
        <w:tc>
          <w:tcPr>
            <w:tcW w:w="1055" w:type="pct"/>
          </w:tcPr>
          <w:p w14:paraId="7FE5FF0E" w14:textId="77777777" w:rsidR="00FF7799" w:rsidRPr="00E73F6F" w:rsidRDefault="00FF7799" w:rsidP="00EA7901">
            <w:pPr>
              <w:pStyle w:val="StandardTextAufzhlung"/>
              <w:ind w:left="408"/>
              <w:jc w:val="left"/>
              <w:rPr>
                <w:sz w:val="20"/>
                <w:lang w:val="de-DE"/>
              </w:rPr>
            </w:pPr>
            <w:r w:rsidRPr="00E73F6F">
              <w:rPr>
                <w:sz w:val="20"/>
                <w:lang w:val="de-DE"/>
              </w:rPr>
              <w:t>Eingriffe</w:t>
            </w:r>
            <w:r w:rsidRPr="00E73F6F">
              <w:rPr>
                <w:spacing w:val="-9"/>
                <w:sz w:val="20"/>
                <w:lang w:val="de-DE"/>
              </w:rPr>
              <w:t xml:space="preserve"> </w:t>
            </w:r>
            <w:r w:rsidRPr="00E73F6F">
              <w:rPr>
                <w:sz w:val="20"/>
                <w:lang w:val="de-DE"/>
              </w:rPr>
              <w:t>des</w:t>
            </w:r>
            <w:r w:rsidRPr="00E73F6F">
              <w:rPr>
                <w:spacing w:val="-9"/>
                <w:sz w:val="20"/>
                <w:lang w:val="de-DE"/>
              </w:rPr>
              <w:t xml:space="preserve"> </w:t>
            </w:r>
            <w:r w:rsidRPr="00E73F6F">
              <w:rPr>
                <w:sz w:val="20"/>
                <w:lang w:val="de-DE"/>
              </w:rPr>
              <w:t>Staates</w:t>
            </w:r>
            <w:r w:rsidRPr="00E73F6F">
              <w:rPr>
                <w:spacing w:val="40"/>
                <w:sz w:val="20"/>
                <w:lang w:val="de-DE"/>
              </w:rPr>
              <w:t xml:space="preserve"> </w:t>
            </w:r>
            <w:r w:rsidRPr="00E73F6F">
              <w:rPr>
                <w:sz w:val="20"/>
                <w:lang w:val="de-DE"/>
              </w:rPr>
              <w:t>in die Wirtschaft –</w:t>
            </w:r>
            <w:r w:rsidRPr="00E73F6F">
              <w:rPr>
                <w:spacing w:val="40"/>
                <w:sz w:val="20"/>
                <w:lang w:val="de-DE"/>
              </w:rPr>
              <w:t xml:space="preserve"> </w:t>
            </w:r>
            <w:r w:rsidRPr="00E73F6F">
              <w:rPr>
                <w:sz w:val="20"/>
                <w:lang w:val="de-DE"/>
              </w:rPr>
              <w:t>die generell ein</w:t>
            </w:r>
            <w:r w:rsidRPr="00E73F6F">
              <w:rPr>
                <w:spacing w:val="40"/>
                <w:sz w:val="20"/>
                <w:lang w:val="de-DE"/>
              </w:rPr>
              <w:t xml:space="preserve"> </w:t>
            </w:r>
            <w:r w:rsidRPr="00E73F6F">
              <w:rPr>
                <w:sz w:val="20"/>
                <w:lang w:val="de-DE"/>
              </w:rPr>
              <w:t>Fußfassen</w:t>
            </w:r>
            <w:r w:rsidRPr="00E73F6F">
              <w:rPr>
                <w:spacing w:val="-6"/>
                <w:sz w:val="20"/>
                <w:lang w:val="de-DE"/>
              </w:rPr>
              <w:t xml:space="preserve"> </w:t>
            </w:r>
            <w:r w:rsidRPr="00E73F6F">
              <w:rPr>
                <w:sz w:val="20"/>
                <w:lang w:val="de-DE"/>
              </w:rPr>
              <w:t>in</w:t>
            </w:r>
            <w:r w:rsidRPr="00E73F6F">
              <w:rPr>
                <w:spacing w:val="40"/>
                <w:sz w:val="20"/>
                <w:lang w:val="de-DE"/>
              </w:rPr>
              <w:t xml:space="preserve"> </w:t>
            </w:r>
            <w:r w:rsidRPr="00E73F6F">
              <w:rPr>
                <w:sz w:val="20"/>
                <w:lang w:val="de-DE"/>
              </w:rPr>
              <w:t>Auslandsmärkten</w:t>
            </w:r>
            <w:r w:rsidRPr="00E73F6F">
              <w:rPr>
                <w:spacing w:val="40"/>
                <w:sz w:val="20"/>
                <w:lang w:val="de-DE"/>
              </w:rPr>
              <w:t xml:space="preserve"> </w:t>
            </w:r>
            <w:r w:rsidRPr="00E73F6F">
              <w:rPr>
                <w:sz w:val="20"/>
                <w:lang w:val="de-DE"/>
              </w:rPr>
              <w:t>erschweren</w:t>
            </w:r>
            <w:r w:rsidRPr="00E73F6F">
              <w:rPr>
                <w:spacing w:val="-9"/>
                <w:sz w:val="20"/>
                <w:lang w:val="de-DE"/>
              </w:rPr>
              <w:t xml:space="preserve"> </w:t>
            </w:r>
            <w:r w:rsidRPr="00E73F6F">
              <w:rPr>
                <w:sz w:val="20"/>
                <w:lang w:val="de-DE"/>
              </w:rPr>
              <w:t>–</w:t>
            </w:r>
            <w:r w:rsidRPr="00E73F6F">
              <w:rPr>
                <w:spacing w:val="-9"/>
                <w:sz w:val="20"/>
                <w:lang w:val="de-DE"/>
              </w:rPr>
              <w:t xml:space="preserve"> </w:t>
            </w:r>
            <w:r w:rsidRPr="00E73F6F">
              <w:rPr>
                <w:sz w:val="20"/>
                <w:lang w:val="de-DE"/>
              </w:rPr>
              <w:t>gibt</w:t>
            </w:r>
            <w:r w:rsidRPr="00E73F6F">
              <w:rPr>
                <w:spacing w:val="-9"/>
                <w:sz w:val="20"/>
                <w:lang w:val="de-DE"/>
              </w:rPr>
              <w:t xml:space="preserve"> </w:t>
            </w:r>
            <w:r w:rsidRPr="00E73F6F">
              <w:rPr>
                <w:sz w:val="20"/>
                <w:lang w:val="de-DE"/>
              </w:rPr>
              <w:t>es</w:t>
            </w:r>
            <w:r w:rsidRPr="00E73F6F">
              <w:rPr>
                <w:spacing w:val="40"/>
                <w:sz w:val="20"/>
                <w:lang w:val="de-DE"/>
              </w:rPr>
              <w:t xml:space="preserve"> </w:t>
            </w:r>
            <w:r w:rsidR="004A28F6" w:rsidRPr="00E73F6F">
              <w:rPr>
                <w:sz w:val="20"/>
                <w:lang w:val="de-DE"/>
              </w:rPr>
              <w:t>besonders in Branchen, wo Unterneh</w:t>
            </w:r>
            <w:r w:rsidRPr="00E73F6F">
              <w:rPr>
                <w:spacing w:val="-4"/>
                <w:sz w:val="20"/>
                <w:lang w:val="de-DE"/>
              </w:rPr>
              <w:t xml:space="preserve">men </w:t>
            </w:r>
            <w:r w:rsidRPr="00E73F6F">
              <w:rPr>
                <w:sz w:val="20"/>
                <w:lang w:val="de-DE"/>
              </w:rPr>
              <w:t>Grundversorgung</w:t>
            </w:r>
            <w:r w:rsidRPr="00E73F6F">
              <w:rPr>
                <w:spacing w:val="40"/>
                <w:sz w:val="20"/>
                <w:lang w:val="de-DE"/>
              </w:rPr>
              <w:t xml:space="preserve"> </w:t>
            </w:r>
            <w:r w:rsidRPr="00E73F6F">
              <w:rPr>
                <w:sz w:val="20"/>
                <w:lang w:val="de-DE"/>
              </w:rPr>
              <w:lastRenderedPageBreak/>
              <w:t>gewährleisten</w:t>
            </w:r>
            <w:r w:rsidRPr="00E73F6F">
              <w:rPr>
                <w:spacing w:val="40"/>
                <w:sz w:val="20"/>
                <w:lang w:val="de-DE"/>
              </w:rPr>
              <w:t xml:space="preserve"> </w:t>
            </w:r>
            <w:r w:rsidRPr="00E73F6F">
              <w:rPr>
                <w:sz w:val="20"/>
                <w:lang w:val="de-DE"/>
              </w:rPr>
              <w:t>(etwa</w:t>
            </w:r>
            <w:r w:rsidRPr="00E73F6F">
              <w:rPr>
                <w:spacing w:val="-4"/>
                <w:sz w:val="20"/>
                <w:lang w:val="de-DE"/>
              </w:rPr>
              <w:t xml:space="preserve"> </w:t>
            </w:r>
            <w:r w:rsidRPr="00E73F6F">
              <w:rPr>
                <w:sz w:val="20"/>
                <w:lang w:val="de-DE"/>
              </w:rPr>
              <w:t>Strom)</w:t>
            </w:r>
          </w:p>
        </w:tc>
        <w:tc>
          <w:tcPr>
            <w:tcW w:w="1054" w:type="pct"/>
            <w:gridSpan w:val="2"/>
          </w:tcPr>
          <w:p w14:paraId="3576C86D" w14:textId="77777777" w:rsidR="00FF7799" w:rsidRPr="00E73F6F" w:rsidRDefault="00FF7799" w:rsidP="00EA7901">
            <w:pPr>
              <w:pStyle w:val="StandardTextAufzhlung"/>
              <w:ind w:left="408"/>
              <w:jc w:val="left"/>
              <w:rPr>
                <w:sz w:val="20"/>
                <w:lang w:val="de-DE"/>
              </w:rPr>
            </w:pPr>
            <w:r w:rsidRPr="00E73F6F">
              <w:rPr>
                <w:sz w:val="20"/>
                <w:lang w:val="de-DE"/>
              </w:rPr>
              <w:lastRenderedPageBreak/>
              <w:t>Produkte,</w:t>
            </w:r>
            <w:r w:rsidRPr="00E73F6F">
              <w:rPr>
                <w:spacing w:val="-9"/>
                <w:sz w:val="20"/>
                <w:lang w:val="de-DE"/>
              </w:rPr>
              <w:t xml:space="preserve"> </w:t>
            </w:r>
            <w:r w:rsidRPr="00E73F6F">
              <w:rPr>
                <w:sz w:val="20"/>
                <w:lang w:val="de-DE"/>
              </w:rPr>
              <w:t>die</w:t>
            </w:r>
            <w:r w:rsidRPr="00E73F6F">
              <w:rPr>
                <w:spacing w:val="-9"/>
                <w:sz w:val="20"/>
                <w:lang w:val="de-DE"/>
              </w:rPr>
              <w:t xml:space="preserve"> </w:t>
            </w:r>
            <w:r w:rsidRPr="00E73F6F">
              <w:rPr>
                <w:sz w:val="20"/>
                <w:lang w:val="de-DE"/>
              </w:rPr>
              <w:t>im</w:t>
            </w:r>
            <w:r w:rsidRPr="00E73F6F">
              <w:rPr>
                <w:spacing w:val="40"/>
                <w:sz w:val="20"/>
                <w:lang w:val="de-DE"/>
              </w:rPr>
              <w:t xml:space="preserve"> </w:t>
            </w:r>
            <w:r w:rsidRPr="00E73F6F">
              <w:rPr>
                <w:sz w:val="20"/>
                <w:lang w:val="de-DE"/>
              </w:rPr>
              <w:t>Verhältnis</w:t>
            </w:r>
            <w:r w:rsidRPr="00E73F6F">
              <w:rPr>
                <w:spacing w:val="-4"/>
                <w:sz w:val="20"/>
                <w:lang w:val="de-DE"/>
              </w:rPr>
              <w:t xml:space="preserve"> </w:t>
            </w:r>
            <w:r w:rsidRPr="00E73F6F">
              <w:rPr>
                <w:sz w:val="20"/>
                <w:lang w:val="de-DE"/>
              </w:rPr>
              <w:t>zu</w:t>
            </w:r>
            <w:r w:rsidRPr="00E73F6F">
              <w:rPr>
                <w:spacing w:val="40"/>
                <w:sz w:val="20"/>
                <w:lang w:val="de-DE"/>
              </w:rPr>
              <w:t xml:space="preserve"> </w:t>
            </w:r>
            <w:r w:rsidRPr="00E73F6F">
              <w:rPr>
                <w:sz w:val="20"/>
                <w:lang w:val="de-DE"/>
              </w:rPr>
              <w:t>ihrem Gewicht</w:t>
            </w:r>
            <w:r w:rsidRPr="00E73F6F">
              <w:rPr>
                <w:spacing w:val="40"/>
                <w:sz w:val="20"/>
                <w:lang w:val="de-DE"/>
              </w:rPr>
              <w:t xml:space="preserve"> </w:t>
            </w:r>
            <w:r w:rsidRPr="00E73F6F">
              <w:rPr>
                <w:sz w:val="20"/>
                <w:lang w:val="de-DE"/>
              </w:rPr>
              <w:t>wenig Wert –</w:t>
            </w:r>
            <w:r w:rsidRPr="00E73F6F">
              <w:rPr>
                <w:spacing w:val="40"/>
                <w:sz w:val="20"/>
                <w:lang w:val="de-DE"/>
              </w:rPr>
              <w:t xml:space="preserve"> </w:t>
            </w:r>
            <w:r w:rsidRPr="00E73F6F">
              <w:rPr>
                <w:sz w:val="20"/>
                <w:lang w:val="de-DE"/>
              </w:rPr>
              <w:t>also</w:t>
            </w:r>
            <w:r w:rsidRPr="00E73F6F">
              <w:rPr>
                <w:spacing w:val="-6"/>
                <w:sz w:val="20"/>
                <w:lang w:val="de-DE"/>
              </w:rPr>
              <w:t xml:space="preserve"> </w:t>
            </w:r>
            <w:r w:rsidRPr="00E73F6F">
              <w:rPr>
                <w:sz w:val="20"/>
                <w:lang w:val="de-DE"/>
              </w:rPr>
              <w:t>eine</w:t>
            </w:r>
            <w:r w:rsidRPr="00E73F6F">
              <w:rPr>
                <w:spacing w:val="40"/>
                <w:sz w:val="20"/>
                <w:lang w:val="de-DE"/>
              </w:rPr>
              <w:t xml:space="preserve"> </w:t>
            </w:r>
            <w:r w:rsidRPr="00E73F6F">
              <w:rPr>
                <w:sz w:val="20"/>
                <w:lang w:val="de-DE"/>
              </w:rPr>
              <w:t>niedrige</w:t>
            </w:r>
            <w:r w:rsidRPr="00E73F6F">
              <w:rPr>
                <w:spacing w:val="-4"/>
                <w:sz w:val="20"/>
                <w:lang w:val="de-DE"/>
              </w:rPr>
              <w:t xml:space="preserve"> </w:t>
            </w:r>
            <w:r w:rsidRPr="00E73F6F">
              <w:rPr>
                <w:sz w:val="20"/>
                <w:lang w:val="de-DE"/>
              </w:rPr>
              <w:t>„Bulk</w:t>
            </w:r>
            <w:r w:rsidRPr="00E73F6F">
              <w:rPr>
                <w:spacing w:val="40"/>
                <w:sz w:val="20"/>
                <w:lang w:val="de-DE"/>
              </w:rPr>
              <w:t xml:space="preserve"> </w:t>
            </w:r>
            <w:r w:rsidRPr="00E73F6F">
              <w:rPr>
                <w:sz w:val="20"/>
                <w:lang w:val="de-DE"/>
              </w:rPr>
              <w:t>Ratio“</w:t>
            </w:r>
            <w:r w:rsidRPr="00E73F6F">
              <w:rPr>
                <w:spacing w:val="-4"/>
                <w:sz w:val="20"/>
                <w:lang w:val="de-DE"/>
              </w:rPr>
              <w:t xml:space="preserve"> </w:t>
            </w:r>
            <w:r w:rsidRPr="00E73F6F">
              <w:rPr>
                <w:sz w:val="20"/>
                <w:lang w:val="de-DE"/>
              </w:rPr>
              <w:t>–</w:t>
            </w:r>
            <w:r w:rsidRPr="00E73F6F">
              <w:rPr>
                <w:spacing w:val="40"/>
                <w:sz w:val="20"/>
                <w:lang w:val="de-DE"/>
              </w:rPr>
              <w:t xml:space="preserve"> </w:t>
            </w:r>
            <w:r w:rsidRPr="00E73F6F">
              <w:rPr>
                <w:sz w:val="20"/>
                <w:lang w:val="de-DE"/>
              </w:rPr>
              <w:t>besitzen</w:t>
            </w:r>
            <w:r w:rsidRPr="00E73F6F">
              <w:rPr>
                <w:spacing w:val="-6"/>
                <w:sz w:val="20"/>
                <w:lang w:val="de-DE"/>
              </w:rPr>
              <w:t xml:space="preserve"> </w:t>
            </w:r>
            <w:r w:rsidRPr="00E73F6F">
              <w:rPr>
                <w:sz w:val="20"/>
                <w:lang w:val="de-DE"/>
              </w:rPr>
              <w:t>(etwa</w:t>
            </w:r>
            <w:r w:rsidRPr="00E73F6F">
              <w:rPr>
                <w:spacing w:val="40"/>
                <w:sz w:val="20"/>
                <w:lang w:val="de-DE"/>
              </w:rPr>
              <w:t xml:space="preserve"> </w:t>
            </w:r>
            <w:r w:rsidRPr="00E73F6F">
              <w:rPr>
                <w:sz w:val="20"/>
                <w:lang w:val="de-DE"/>
              </w:rPr>
              <w:t>Zement)</w:t>
            </w:r>
          </w:p>
          <w:p w14:paraId="28F3DFAE" w14:textId="77777777" w:rsidR="00FF7799" w:rsidRPr="00E73F6F" w:rsidRDefault="00FF7799" w:rsidP="00EA7901">
            <w:pPr>
              <w:pStyle w:val="StandardTextAufzhlung"/>
              <w:ind w:left="408"/>
              <w:jc w:val="left"/>
              <w:rPr>
                <w:sz w:val="20"/>
                <w:lang w:val="de-DE"/>
              </w:rPr>
            </w:pPr>
            <w:r w:rsidRPr="00E73F6F">
              <w:rPr>
                <w:sz w:val="20"/>
                <w:lang w:val="de-DE"/>
              </w:rPr>
              <w:t>Produkte, die</w:t>
            </w:r>
            <w:r w:rsidRPr="00E73F6F">
              <w:rPr>
                <w:spacing w:val="40"/>
                <w:sz w:val="20"/>
                <w:lang w:val="de-DE"/>
              </w:rPr>
              <w:t xml:space="preserve"> </w:t>
            </w:r>
            <w:r w:rsidRPr="00E73F6F">
              <w:rPr>
                <w:sz w:val="20"/>
                <w:lang w:val="de-DE"/>
              </w:rPr>
              <w:t>zerbrechlich</w:t>
            </w:r>
            <w:r w:rsidRPr="00E73F6F">
              <w:rPr>
                <w:spacing w:val="40"/>
                <w:sz w:val="20"/>
                <w:lang w:val="de-DE"/>
              </w:rPr>
              <w:t xml:space="preserve"> </w:t>
            </w:r>
            <w:r w:rsidRPr="00E73F6F">
              <w:rPr>
                <w:sz w:val="20"/>
                <w:lang w:val="de-DE"/>
              </w:rPr>
              <w:t>oder</w:t>
            </w:r>
            <w:r w:rsidRPr="00E73F6F">
              <w:rPr>
                <w:spacing w:val="-7"/>
                <w:sz w:val="20"/>
                <w:lang w:val="de-DE"/>
              </w:rPr>
              <w:t xml:space="preserve"> </w:t>
            </w:r>
            <w:r w:rsidRPr="00E73F6F">
              <w:rPr>
                <w:sz w:val="20"/>
                <w:lang w:val="de-DE"/>
              </w:rPr>
              <w:t>verderblich</w:t>
            </w:r>
          </w:p>
        </w:tc>
        <w:tc>
          <w:tcPr>
            <w:tcW w:w="1056" w:type="pct"/>
          </w:tcPr>
          <w:p w14:paraId="2ED8E723" w14:textId="77777777" w:rsidR="00FF7799" w:rsidRPr="00E73F6F" w:rsidRDefault="00FF7799" w:rsidP="00EA7901">
            <w:pPr>
              <w:pStyle w:val="StandardTextAufzhlung"/>
              <w:ind w:left="408"/>
              <w:jc w:val="left"/>
              <w:rPr>
                <w:sz w:val="20"/>
                <w:lang w:val="de-DE"/>
              </w:rPr>
            </w:pPr>
            <w:r w:rsidRPr="00E73F6F">
              <w:rPr>
                <w:sz w:val="20"/>
                <w:lang w:val="de-DE"/>
              </w:rPr>
              <w:t>Art</w:t>
            </w:r>
            <w:r w:rsidRPr="00E73F6F">
              <w:rPr>
                <w:spacing w:val="-8"/>
                <w:sz w:val="20"/>
                <w:lang w:val="de-DE"/>
              </w:rPr>
              <w:t xml:space="preserve"> </w:t>
            </w:r>
            <w:r w:rsidRPr="00E73F6F">
              <w:rPr>
                <w:sz w:val="20"/>
                <w:lang w:val="de-DE"/>
              </w:rPr>
              <w:t>der</w:t>
            </w:r>
            <w:r w:rsidRPr="00E73F6F">
              <w:rPr>
                <w:spacing w:val="-8"/>
                <w:sz w:val="20"/>
                <w:lang w:val="de-DE"/>
              </w:rPr>
              <w:t xml:space="preserve"> </w:t>
            </w:r>
            <w:r w:rsidRPr="00E73F6F">
              <w:rPr>
                <w:sz w:val="20"/>
                <w:lang w:val="de-DE"/>
              </w:rPr>
              <w:t>Nachfrage</w:t>
            </w:r>
            <w:r w:rsidRPr="00E73F6F">
              <w:rPr>
                <w:spacing w:val="40"/>
                <w:sz w:val="20"/>
                <w:lang w:val="de-DE"/>
              </w:rPr>
              <w:t xml:space="preserve"> </w:t>
            </w:r>
            <w:r w:rsidRPr="00E73F6F">
              <w:rPr>
                <w:sz w:val="20"/>
                <w:lang w:val="de-DE"/>
              </w:rPr>
              <w:t>variiert mit der</w:t>
            </w:r>
            <w:r w:rsidRPr="00E73F6F">
              <w:rPr>
                <w:spacing w:val="40"/>
                <w:sz w:val="20"/>
                <w:lang w:val="de-DE"/>
              </w:rPr>
              <w:t xml:space="preserve"> </w:t>
            </w:r>
            <w:r w:rsidRPr="00E73F6F">
              <w:rPr>
                <w:sz w:val="20"/>
                <w:lang w:val="de-DE"/>
              </w:rPr>
              <w:t>Höhe</w:t>
            </w:r>
            <w:r w:rsidRPr="00E73F6F">
              <w:rPr>
                <w:spacing w:val="-9"/>
                <w:sz w:val="20"/>
                <w:lang w:val="de-DE"/>
              </w:rPr>
              <w:t xml:space="preserve"> </w:t>
            </w:r>
            <w:r w:rsidRPr="00E73F6F">
              <w:rPr>
                <w:sz w:val="20"/>
                <w:lang w:val="de-DE"/>
              </w:rPr>
              <w:t>der</w:t>
            </w:r>
            <w:r w:rsidRPr="00E73F6F">
              <w:rPr>
                <w:spacing w:val="-9"/>
                <w:sz w:val="20"/>
                <w:lang w:val="de-DE"/>
              </w:rPr>
              <w:t xml:space="preserve"> </w:t>
            </w:r>
            <w:r w:rsidR="004A28F6" w:rsidRPr="00E73F6F">
              <w:rPr>
                <w:sz w:val="20"/>
                <w:lang w:val="de-DE"/>
              </w:rPr>
              <w:t>Einkom</w:t>
            </w:r>
            <w:r w:rsidRPr="00E73F6F">
              <w:rPr>
                <w:sz w:val="20"/>
                <w:lang w:val="de-DE"/>
              </w:rPr>
              <w:t>men (etwa bei</w:t>
            </w:r>
            <w:r w:rsidRPr="00E73F6F">
              <w:rPr>
                <w:spacing w:val="40"/>
                <w:sz w:val="20"/>
                <w:lang w:val="de-DE"/>
              </w:rPr>
              <w:t xml:space="preserve"> </w:t>
            </w:r>
            <w:r w:rsidRPr="00E73F6F">
              <w:rPr>
                <w:sz w:val="20"/>
                <w:lang w:val="de-DE"/>
              </w:rPr>
              <w:t>Autos)</w:t>
            </w:r>
          </w:p>
          <w:p w14:paraId="5227E3C9" w14:textId="77777777" w:rsidR="00FF7799" w:rsidRPr="00E73F6F" w:rsidRDefault="00FF7799" w:rsidP="00EA7901">
            <w:pPr>
              <w:pStyle w:val="StandardTextAufzhlung"/>
              <w:ind w:left="408"/>
              <w:jc w:val="left"/>
              <w:rPr>
                <w:sz w:val="20"/>
                <w:lang w:val="de-DE"/>
              </w:rPr>
            </w:pPr>
            <w:r w:rsidRPr="00E73F6F">
              <w:rPr>
                <w:sz w:val="20"/>
                <w:lang w:val="de-DE"/>
              </w:rPr>
              <w:t>Produkte</w:t>
            </w:r>
            <w:r w:rsidRPr="00E73F6F">
              <w:rPr>
                <w:spacing w:val="-4"/>
                <w:sz w:val="20"/>
                <w:lang w:val="de-DE"/>
              </w:rPr>
              <w:t xml:space="preserve"> </w:t>
            </w:r>
            <w:r w:rsidRPr="00E73F6F">
              <w:rPr>
                <w:sz w:val="20"/>
                <w:lang w:val="de-DE"/>
              </w:rPr>
              <w:t>oder</w:t>
            </w:r>
            <w:r w:rsidRPr="00E73F6F">
              <w:rPr>
                <w:spacing w:val="40"/>
                <w:sz w:val="20"/>
                <w:lang w:val="de-DE"/>
              </w:rPr>
              <w:t xml:space="preserve"> </w:t>
            </w:r>
            <w:r w:rsidRPr="00E73F6F">
              <w:rPr>
                <w:sz w:val="20"/>
                <w:lang w:val="de-DE"/>
              </w:rPr>
              <w:t>Branchen, bei/in</w:t>
            </w:r>
            <w:r w:rsidRPr="00E73F6F">
              <w:rPr>
                <w:spacing w:val="40"/>
                <w:sz w:val="20"/>
                <w:lang w:val="de-DE"/>
              </w:rPr>
              <w:t xml:space="preserve"> </w:t>
            </w:r>
            <w:r w:rsidRPr="00E73F6F">
              <w:rPr>
                <w:sz w:val="20"/>
                <w:lang w:val="de-DE"/>
              </w:rPr>
              <w:t>denen die Effizi-</w:t>
            </w:r>
            <w:r w:rsidRPr="00E73F6F">
              <w:rPr>
                <w:spacing w:val="40"/>
                <w:sz w:val="20"/>
                <w:lang w:val="de-DE"/>
              </w:rPr>
              <w:t xml:space="preserve"> </w:t>
            </w:r>
            <w:r w:rsidRPr="00E73F6F">
              <w:rPr>
                <w:sz w:val="20"/>
                <w:lang w:val="de-DE"/>
              </w:rPr>
              <w:t>enzvorteile</w:t>
            </w:r>
            <w:r w:rsidRPr="00E73F6F">
              <w:rPr>
                <w:spacing w:val="-4"/>
                <w:sz w:val="20"/>
                <w:lang w:val="de-DE"/>
              </w:rPr>
              <w:t xml:space="preserve"> </w:t>
            </w:r>
            <w:r w:rsidRPr="00E73F6F">
              <w:rPr>
                <w:sz w:val="20"/>
                <w:lang w:val="de-DE"/>
              </w:rPr>
              <w:t>einer</w:t>
            </w:r>
            <w:r w:rsidRPr="00E73F6F">
              <w:rPr>
                <w:spacing w:val="40"/>
                <w:sz w:val="20"/>
                <w:lang w:val="de-DE"/>
              </w:rPr>
              <w:t xml:space="preserve"> </w:t>
            </w:r>
            <w:r w:rsidRPr="00E73F6F">
              <w:rPr>
                <w:sz w:val="20"/>
                <w:lang w:val="de-DE"/>
              </w:rPr>
              <w:t>Standardisierung</w:t>
            </w:r>
            <w:r w:rsidRPr="00E73F6F">
              <w:rPr>
                <w:spacing w:val="40"/>
                <w:sz w:val="20"/>
                <w:lang w:val="de-DE"/>
              </w:rPr>
              <w:t xml:space="preserve"> </w:t>
            </w:r>
            <w:r w:rsidRPr="00E73F6F">
              <w:rPr>
                <w:spacing w:val="-4"/>
                <w:sz w:val="20"/>
                <w:lang w:val="de-DE"/>
              </w:rPr>
              <w:lastRenderedPageBreak/>
              <w:t>oder</w:t>
            </w:r>
            <w:r w:rsidRPr="00E73F6F">
              <w:rPr>
                <w:spacing w:val="80"/>
                <w:sz w:val="20"/>
                <w:lang w:val="de-DE"/>
              </w:rPr>
              <w:t xml:space="preserve"> </w:t>
            </w:r>
            <w:r w:rsidRPr="00E73F6F">
              <w:rPr>
                <w:sz w:val="20"/>
                <w:lang w:val="de-DE"/>
              </w:rPr>
              <w:t>Skaleneffekte</w:t>
            </w:r>
            <w:r w:rsidRPr="00E73F6F">
              <w:rPr>
                <w:spacing w:val="-5"/>
                <w:sz w:val="20"/>
                <w:lang w:val="de-DE"/>
              </w:rPr>
              <w:t xml:space="preserve"> </w:t>
            </w:r>
            <w:r w:rsidRPr="00E73F6F">
              <w:rPr>
                <w:sz w:val="20"/>
                <w:lang w:val="de-DE"/>
              </w:rPr>
              <w:t>eine</w:t>
            </w:r>
          </w:p>
        </w:tc>
      </w:tr>
      <w:tr w:rsidR="00FF7799" w:rsidRPr="00E73F6F" w14:paraId="2180C2B6" w14:textId="77777777" w:rsidTr="009278E0">
        <w:trPr>
          <w:trHeight w:val="5059"/>
        </w:trPr>
        <w:tc>
          <w:tcPr>
            <w:tcW w:w="701" w:type="pct"/>
            <w:shd w:val="clear" w:color="auto" w:fill="FFF2CC" w:themeFill="accent4" w:themeFillTint="33"/>
          </w:tcPr>
          <w:p w14:paraId="2A31CBBA" w14:textId="77777777" w:rsidR="00FF7799" w:rsidRPr="00E73F6F" w:rsidRDefault="00FF7799" w:rsidP="004A28F6">
            <w:pPr>
              <w:pStyle w:val="StandardText"/>
              <w:jc w:val="left"/>
              <w:rPr>
                <w:sz w:val="20"/>
                <w:lang w:val="de-DE"/>
              </w:rPr>
            </w:pPr>
          </w:p>
        </w:tc>
        <w:tc>
          <w:tcPr>
            <w:tcW w:w="1134" w:type="pct"/>
          </w:tcPr>
          <w:p w14:paraId="53616766" w14:textId="77777777" w:rsidR="00FF7799" w:rsidRPr="00E73F6F" w:rsidRDefault="00FF7799" w:rsidP="00EA7901">
            <w:pPr>
              <w:pStyle w:val="StandardTextAufzhlung"/>
              <w:ind w:left="513"/>
              <w:jc w:val="left"/>
              <w:rPr>
                <w:sz w:val="20"/>
                <w:lang w:val="de-DE"/>
              </w:rPr>
            </w:pPr>
            <w:r w:rsidRPr="00E73F6F">
              <w:rPr>
                <w:sz w:val="20"/>
                <w:lang w:val="de-DE"/>
              </w:rPr>
              <w:t>Produkte</w:t>
            </w:r>
            <w:r w:rsidRPr="00E73F6F">
              <w:rPr>
                <w:spacing w:val="-4"/>
                <w:sz w:val="20"/>
                <w:lang w:val="de-DE"/>
              </w:rPr>
              <w:t xml:space="preserve"> </w:t>
            </w:r>
            <w:r w:rsidRPr="00E73F6F">
              <w:rPr>
                <w:sz w:val="20"/>
                <w:lang w:val="de-DE"/>
              </w:rPr>
              <w:t>mit</w:t>
            </w:r>
            <w:r w:rsidRPr="00E73F6F">
              <w:rPr>
                <w:spacing w:val="40"/>
                <w:sz w:val="20"/>
                <w:lang w:val="de-DE"/>
              </w:rPr>
              <w:t xml:space="preserve"> </w:t>
            </w:r>
            <w:r w:rsidRPr="00E73F6F">
              <w:rPr>
                <w:sz w:val="20"/>
                <w:lang w:val="de-DE"/>
              </w:rPr>
              <w:t>Merkmalen, die</w:t>
            </w:r>
            <w:r w:rsidRPr="00E73F6F">
              <w:rPr>
                <w:spacing w:val="40"/>
                <w:sz w:val="20"/>
                <w:lang w:val="de-DE"/>
              </w:rPr>
              <w:t xml:space="preserve"> </w:t>
            </w:r>
            <w:r w:rsidRPr="00E73F6F">
              <w:rPr>
                <w:sz w:val="20"/>
                <w:lang w:val="de-DE"/>
              </w:rPr>
              <w:t>landesspezifisch</w:t>
            </w:r>
            <w:r w:rsidRPr="00E73F6F">
              <w:rPr>
                <w:spacing w:val="40"/>
                <w:sz w:val="20"/>
                <w:lang w:val="de-DE"/>
              </w:rPr>
              <w:t xml:space="preserve"> </w:t>
            </w:r>
            <w:r w:rsidRPr="00E73F6F">
              <w:rPr>
                <w:sz w:val="20"/>
                <w:lang w:val="de-DE"/>
              </w:rPr>
              <w:t>angepasst</w:t>
            </w:r>
            <w:r w:rsidRPr="00E73F6F">
              <w:rPr>
                <w:spacing w:val="-9"/>
                <w:sz w:val="20"/>
                <w:lang w:val="de-DE"/>
              </w:rPr>
              <w:t xml:space="preserve"> </w:t>
            </w:r>
            <w:r w:rsidRPr="00E73F6F">
              <w:rPr>
                <w:sz w:val="20"/>
                <w:lang w:val="de-DE"/>
              </w:rPr>
              <w:t>werden</w:t>
            </w:r>
            <w:r w:rsidRPr="00E73F6F">
              <w:rPr>
                <w:spacing w:val="40"/>
                <w:sz w:val="20"/>
                <w:lang w:val="de-DE"/>
              </w:rPr>
              <w:t xml:space="preserve"> </w:t>
            </w:r>
            <w:r w:rsidRPr="00E73F6F">
              <w:rPr>
                <w:sz w:val="20"/>
                <w:lang w:val="de-DE"/>
              </w:rPr>
              <w:t>müssen, etwa in</w:t>
            </w:r>
            <w:r w:rsidRPr="00E73F6F">
              <w:rPr>
                <w:spacing w:val="40"/>
                <w:sz w:val="20"/>
                <w:lang w:val="de-DE"/>
              </w:rPr>
              <w:t xml:space="preserve"> </w:t>
            </w:r>
            <w:r w:rsidRPr="00E73F6F">
              <w:rPr>
                <w:sz w:val="20"/>
                <w:lang w:val="de-DE"/>
              </w:rPr>
              <w:t>Hinblick</w:t>
            </w:r>
            <w:r w:rsidRPr="00E73F6F">
              <w:rPr>
                <w:spacing w:val="-6"/>
                <w:sz w:val="20"/>
                <w:lang w:val="de-DE"/>
              </w:rPr>
              <w:t xml:space="preserve"> </w:t>
            </w:r>
            <w:r w:rsidRPr="00E73F6F">
              <w:rPr>
                <w:sz w:val="20"/>
                <w:lang w:val="de-DE"/>
              </w:rPr>
              <w:t>auf</w:t>
            </w:r>
          </w:p>
          <w:p w14:paraId="5AC8A32C" w14:textId="77777777" w:rsidR="00FF7799" w:rsidRPr="00E73F6F" w:rsidRDefault="00FF7799" w:rsidP="00EA7901">
            <w:pPr>
              <w:pStyle w:val="StandardTextAufzhlung"/>
              <w:ind w:left="513"/>
              <w:jc w:val="left"/>
              <w:rPr>
                <w:sz w:val="20"/>
                <w:lang w:val="de-DE"/>
              </w:rPr>
            </w:pPr>
            <w:r w:rsidRPr="00E73F6F">
              <w:rPr>
                <w:sz w:val="20"/>
                <w:lang w:val="de-DE"/>
              </w:rPr>
              <w:t>Größe</w:t>
            </w:r>
            <w:r w:rsidRPr="00E73F6F">
              <w:rPr>
                <w:spacing w:val="-4"/>
                <w:sz w:val="20"/>
                <w:lang w:val="de-DE"/>
              </w:rPr>
              <w:t xml:space="preserve"> </w:t>
            </w:r>
            <w:r w:rsidRPr="00E73F6F">
              <w:rPr>
                <w:sz w:val="20"/>
                <w:lang w:val="de-DE"/>
              </w:rPr>
              <w:t>(Autos)</w:t>
            </w:r>
          </w:p>
          <w:p w14:paraId="5E28B722" w14:textId="77777777" w:rsidR="00FF7799" w:rsidRPr="00E73F6F" w:rsidRDefault="00FF7799" w:rsidP="00EA7901">
            <w:pPr>
              <w:pStyle w:val="StandardTextAufzhlung"/>
              <w:ind w:left="513"/>
              <w:jc w:val="left"/>
              <w:rPr>
                <w:sz w:val="20"/>
                <w:lang w:val="de-DE"/>
              </w:rPr>
            </w:pPr>
            <w:r w:rsidRPr="00E73F6F">
              <w:rPr>
                <w:sz w:val="20"/>
                <w:lang w:val="de-DE"/>
              </w:rPr>
              <w:t>nationale</w:t>
            </w:r>
            <w:r w:rsidRPr="00E73F6F">
              <w:rPr>
                <w:spacing w:val="40"/>
                <w:sz w:val="20"/>
                <w:lang w:val="de-DE"/>
              </w:rPr>
              <w:t xml:space="preserve"> </w:t>
            </w:r>
            <w:r w:rsidRPr="00E73F6F">
              <w:rPr>
                <w:sz w:val="20"/>
                <w:lang w:val="de-DE"/>
              </w:rPr>
              <w:t>Standards</w:t>
            </w:r>
            <w:r w:rsidRPr="00E73F6F">
              <w:rPr>
                <w:spacing w:val="40"/>
                <w:sz w:val="20"/>
                <w:lang w:val="de-DE"/>
              </w:rPr>
              <w:t xml:space="preserve"> </w:t>
            </w:r>
            <w:r w:rsidRPr="00E73F6F">
              <w:rPr>
                <w:sz w:val="20"/>
                <w:lang w:val="de-DE"/>
              </w:rPr>
              <w:t>(elektrische</w:t>
            </w:r>
            <w:r w:rsidRPr="00E73F6F">
              <w:rPr>
                <w:spacing w:val="40"/>
                <w:sz w:val="20"/>
                <w:lang w:val="de-DE"/>
              </w:rPr>
              <w:t xml:space="preserve"> </w:t>
            </w:r>
            <w:r w:rsidRPr="00E73F6F">
              <w:rPr>
                <w:sz w:val="20"/>
                <w:lang w:val="de-DE"/>
              </w:rPr>
              <w:t>Geräte)</w:t>
            </w:r>
          </w:p>
          <w:p w14:paraId="5B067F9F" w14:textId="77777777" w:rsidR="00FF7799" w:rsidRPr="00E73F6F" w:rsidRDefault="00FF7799" w:rsidP="00EA7901">
            <w:pPr>
              <w:pStyle w:val="StandardTextAufzhlung"/>
              <w:ind w:left="513"/>
              <w:jc w:val="left"/>
              <w:rPr>
                <w:sz w:val="20"/>
                <w:lang w:val="de-DE"/>
              </w:rPr>
            </w:pPr>
            <w:r w:rsidRPr="00E73F6F">
              <w:rPr>
                <w:sz w:val="20"/>
                <w:lang w:val="de-DE"/>
              </w:rPr>
              <w:t>Verpackung</w:t>
            </w:r>
          </w:p>
          <w:p w14:paraId="235AE2A9" w14:textId="571C5B0C" w:rsidR="00FF7799" w:rsidRPr="00E73F6F" w:rsidRDefault="00FF7799" w:rsidP="00EA7901">
            <w:pPr>
              <w:pStyle w:val="StandardTextAufzhlung"/>
              <w:ind w:left="513"/>
              <w:jc w:val="left"/>
              <w:rPr>
                <w:sz w:val="20"/>
                <w:lang w:val="de-DE"/>
              </w:rPr>
            </w:pPr>
            <w:r w:rsidRPr="00E73F6F">
              <w:rPr>
                <w:sz w:val="20"/>
                <w:lang w:val="de-DE"/>
              </w:rPr>
              <w:t>Produkte, die</w:t>
            </w:r>
            <w:r w:rsidRPr="00E73F6F">
              <w:rPr>
                <w:spacing w:val="40"/>
                <w:sz w:val="20"/>
                <w:lang w:val="de-DE"/>
              </w:rPr>
              <w:t xml:space="preserve"> </w:t>
            </w:r>
            <w:r w:rsidRPr="00E73F6F">
              <w:rPr>
                <w:sz w:val="20"/>
                <w:lang w:val="de-DE"/>
              </w:rPr>
              <w:t>Auszeichnungen</w:t>
            </w:r>
            <w:r w:rsidRPr="00E73F6F">
              <w:rPr>
                <w:spacing w:val="40"/>
                <w:sz w:val="20"/>
                <w:lang w:val="de-DE"/>
              </w:rPr>
              <w:t xml:space="preserve"> </w:t>
            </w:r>
            <w:r w:rsidRPr="00E73F6F">
              <w:rPr>
                <w:sz w:val="20"/>
                <w:lang w:val="de-DE"/>
              </w:rPr>
              <w:t>landesspezifische</w:t>
            </w:r>
            <w:r w:rsidRPr="00E73F6F">
              <w:rPr>
                <w:spacing w:val="40"/>
                <w:sz w:val="20"/>
                <w:lang w:val="de-DE"/>
              </w:rPr>
              <w:t xml:space="preserve"> </w:t>
            </w:r>
            <w:r w:rsidRPr="00E73F6F">
              <w:rPr>
                <w:sz w:val="20"/>
                <w:lang w:val="de-DE"/>
              </w:rPr>
              <w:t>r</w:t>
            </w:r>
            <w:r w:rsidRPr="00E73F6F">
              <w:rPr>
                <w:spacing w:val="-6"/>
                <w:sz w:val="20"/>
                <w:lang w:val="de-DE"/>
              </w:rPr>
              <w:t xml:space="preserve"> </w:t>
            </w:r>
            <w:r w:rsidRPr="00E73F6F">
              <w:rPr>
                <w:sz w:val="20"/>
                <w:lang w:val="de-DE"/>
              </w:rPr>
              <w:t>Qualitätsvereinigungen</w:t>
            </w:r>
            <w:r w:rsidRPr="00E73F6F">
              <w:rPr>
                <w:spacing w:val="-7"/>
                <w:sz w:val="20"/>
                <w:lang w:val="de-DE"/>
              </w:rPr>
              <w:t xml:space="preserve"> </w:t>
            </w:r>
            <w:r w:rsidRPr="00E73F6F">
              <w:rPr>
                <w:sz w:val="20"/>
                <w:lang w:val="de-DE"/>
              </w:rPr>
              <w:t>tragen</w:t>
            </w:r>
            <w:r w:rsidRPr="00E73F6F">
              <w:rPr>
                <w:spacing w:val="40"/>
                <w:sz w:val="20"/>
                <w:lang w:val="de-DE"/>
              </w:rPr>
              <w:t xml:space="preserve"> </w:t>
            </w:r>
            <w:r w:rsidRPr="00E73F6F">
              <w:rPr>
                <w:sz w:val="20"/>
                <w:lang w:val="de-DE"/>
              </w:rPr>
              <w:t>(z.B. Wein)</w:t>
            </w:r>
          </w:p>
        </w:tc>
        <w:tc>
          <w:tcPr>
            <w:tcW w:w="1055" w:type="pct"/>
          </w:tcPr>
          <w:p w14:paraId="70B63672" w14:textId="59B326B3" w:rsidR="00FF7799" w:rsidRPr="00E73F6F" w:rsidRDefault="00FF7799" w:rsidP="00EA7901">
            <w:pPr>
              <w:pStyle w:val="StandardTextAufzhlung"/>
              <w:ind w:left="513"/>
              <w:jc w:val="left"/>
              <w:rPr>
                <w:sz w:val="20"/>
                <w:lang w:val="de-DE"/>
              </w:rPr>
            </w:pPr>
            <w:r w:rsidRPr="00E73F6F">
              <w:rPr>
                <w:sz w:val="20"/>
                <w:lang w:val="de-DE"/>
              </w:rPr>
              <w:t>Arzneimittel</w:t>
            </w:r>
            <w:r w:rsidRPr="00E73F6F">
              <w:rPr>
                <w:spacing w:val="-9"/>
                <w:sz w:val="20"/>
                <w:lang w:val="de-DE"/>
              </w:rPr>
              <w:t xml:space="preserve"> </w:t>
            </w:r>
            <w:r w:rsidRPr="00E73F6F">
              <w:rPr>
                <w:sz w:val="20"/>
                <w:lang w:val="de-DE"/>
              </w:rPr>
              <w:t>und</w:t>
            </w:r>
            <w:r w:rsidRPr="00E73F6F">
              <w:rPr>
                <w:spacing w:val="40"/>
                <w:sz w:val="20"/>
                <w:lang w:val="de-DE"/>
              </w:rPr>
              <w:t xml:space="preserve"> </w:t>
            </w:r>
            <w:r w:rsidRPr="00E73F6F">
              <w:rPr>
                <w:sz w:val="20"/>
                <w:lang w:val="de-DE"/>
              </w:rPr>
              <w:t>andere</w:t>
            </w:r>
            <w:r w:rsidRPr="00E73F6F">
              <w:rPr>
                <w:spacing w:val="-9"/>
                <w:sz w:val="20"/>
                <w:lang w:val="de-DE"/>
              </w:rPr>
              <w:t xml:space="preserve"> </w:t>
            </w:r>
            <w:r w:rsidRPr="00E73F6F">
              <w:rPr>
                <w:sz w:val="20"/>
                <w:lang w:val="de-DE"/>
              </w:rPr>
              <w:t>„Notwendigkeiten“</w:t>
            </w:r>
            <w:r w:rsidRPr="00E73F6F">
              <w:rPr>
                <w:spacing w:val="40"/>
                <w:sz w:val="20"/>
                <w:lang w:val="de-DE"/>
              </w:rPr>
              <w:t xml:space="preserve"> </w:t>
            </w:r>
            <w:r w:rsidRPr="00E73F6F">
              <w:rPr>
                <w:sz w:val="20"/>
                <w:lang w:val="de-DE"/>
              </w:rPr>
              <w:t>herstellen</w:t>
            </w:r>
          </w:p>
          <w:p w14:paraId="1953B771" w14:textId="77777777" w:rsidR="00FF7799" w:rsidRPr="00E73F6F" w:rsidRDefault="00FF7799" w:rsidP="00EA7901">
            <w:pPr>
              <w:pStyle w:val="StandardTextAufzhlung"/>
              <w:ind w:left="513"/>
              <w:jc w:val="left"/>
              <w:rPr>
                <w:sz w:val="20"/>
                <w:lang w:val="de-DE"/>
              </w:rPr>
            </w:pPr>
            <w:r w:rsidRPr="00E73F6F">
              <w:rPr>
                <w:sz w:val="20"/>
                <w:lang w:val="de-DE"/>
              </w:rPr>
              <w:t>große</w:t>
            </w:r>
            <w:r w:rsidRPr="00E73F6F">
              <w:rPr>
                <w:spacing w:val="-7"/>
                <w:sz w:val="20"/>
                <w:lang w:val="de-DE"/>
              </w:rPr>
              <w:t xml:space="preserve"> </w:t>
            </w:r>
            <w:r w:rsidRPr="00E73F6F">
              <w:rPr>
                <w:sz w:val="20"/>
                <w:lang w:val="de-DE"/>
              </w:rPr>
              <w:t>Arbeitgeber</w:t>
            </w:r>
            <w:r w:rsidRPr="00E73F6F">
              <w:rPr>
                <w:spacing w:val="40"/>
                <w:sz w:val="20"/>
                <w:lang w:val="de-DE"/>
              </w:rPr>
              <w:t xml:space="preserve"> </w:t>
            </w:r>
            <w:r w:rsidRPr="00E73F6F">
              <w:rPr>
                <w:spacing w:val="-4"/>
                <w:sz w:val="20"/>
                <w:lang w:val="de-DE"/>
              </w:rPr>
              <w:t>sind</w:t>
            </w:r>
            <w:r w:rsidR="004A28F6" w:rsidRPr="00E73F6F">
              <w:rPr>
                <w:spacing w:val="-4"/>
                <w:sz w:val="20"/>
                <w:lang w:val="de-DE"/>
              </w:rPr>
              <w:t xml:space="preserve"> </w:t>
            </w:r>
            <w:r w:rsidRPr="00E73F6F">
              <w:rPr>
                <w:sz w:val="20"/>
                <w:lang w:val="de-DE"/>
              </w:rPr>
              <w:t>als</w:t>
            </w:r>
            <w:r w:rsidRPr="00E73F6F">
              <w:rPr>
                <w:spacing w:val="-4"/>
                <w:sz w:val="20"/>
                <w:lang w:val="de-DE"/>
              </w:rPr>
              <w:t xml:space="preserve"> </w:t>
            </w:r>
            <w:r w:rsidRPr="00E73F6F">
              <w:rPr>
                <w:sz w:val="20"/>
                <w:lang w:val="de-DE"/>
              </w:rPr>
              <w:t>Großdienst-</w:t>
            </w:r>
            <w:r w:rsidRPr="00E73F6F">
              <w:rPr>
                <w:spacing w:val="40"/>
                <w:sz w:val="20"/>
                <w:lang w:val="de-DE"/>
              </w:rPr>
              <w:t xml:space="preserve"> </w:t>
            </w:r>
            <w:r w:rsidRPr="00E73F6F">
              <w:rPr>
                <w:sz w:val="20"/>
                <w:lang w:val="de-DE"/>
              </w:rPr>
              <w:t>leister für den</w:t>
            </w:r>
            <w:r w:rsidRPr="00E73F6F">
              <w:rPr>
                <w:spacing w:val="40"/>
                <w:sz w:val="20"/>
                <w:lang w:val="de-DE"/>
              </w:rPr>
              <w:t xml:space="preserve"> </w:t>
            </w:r>
            <w:r w:rsidRPr="00E73F6F">
              <w:rPr>
                <w:sz w:val="20"/>
                <w:lang w:val="de-DE"/>
              </w:rPr>
              <w:t>Staat</w:t>
            </w:r>
            <w:r w:rsidRPr="00E73F6F">
              <w:rPr>
                <w:spacing w:val="-6"/>
                <w:sz w:val="20"/>
                <w:lang w:val="de-DE"/>
              </w:rPr>
              <w:t xml:space="preserve"> </w:t>
            </w:r>
            <w:r w:rsidRPr="00E73F6F">
              <w:rPr>
                <w:sz w:val="20"/>
                <w:lang w:val="de-DE"/>
              </w:rPr>
              <w:t>arbeiten</w:t>
            </w:r>
            <w:r w:rsidRPr="00E73F6F">
              <w:rPr>
                <w:spacing w:val="40"/>
                <w:sz w:val="20"/>
                <w:lang w:val="de-DE"/>
              </w:rPr>
              <w:t xml:space="preserve"> </w:t>
            </w:r>
            <w:r w:rsidRPr="00E73F6F">
              <w:rPr>
                <w:sz w:val="20"/>
                <w:lang w:val="de-DE"/>
              </w:rPr>
              <w:t>(etwa</w:t>
            </w:r>
            <w:r w:rsidRPr="00E73F6F">
              <w:rPr>
                <w:spacing w:val="-4"/>
                <w:sz w:val="20"/>
                <w:lang w:val="de-DE"/>
              </w:rPr>
              <w:t xml:space="preserve"> </w:t>
            </w:r>
            <w:r w:rsidRPr="00E73F6F">
              <w:rPr>
                <w:sz w:val="20"/>
                <w:lang w:val="de-DE"/>
              </w:rPr>
              <w:t>Massen-</w:t>
            </w:r>
            <w:r w:rsidRPr="00E73F6F">
              <w:rPr>
                <w:spacing w:val="40"/>
                <w:sz w:val="20"/>
                <w:lang w:val="de-DE"/>
              </w:rPr>
              <w:t xml:space="preserve"> </w:t>
            </w:r>
            <w:r w:rsidRPr="00E73F6F">
              <w:rPr>
                <w:sz w:val="20"/>
                <w:lang w:val="de-DE"/>
              </w:rPr>
              <w:t>verkehrsbetriebe)</w:t>
            </w:r>
          </w:p>
          <w:p w14:paraId="3BB11FA0" w14:textId="5F2DC2B3" w:rsidR="00FF7799" w:rsidRPr="00E73F6F" w:rsidRDefault="00FF7799" w:rsidP="00EA7901">
            <w:pPr>
              <w:pStyle w:val="StandardTextAufzhlung"/>
              <w:ind w:left="513"/>
              <w:jc w:val="left"/>
              <w:rPr>
                <w:sz w:val="20"/>
                <w:lang w:val="de-DE"/>
              </w:rPr>
            </w:pPr>
            <w:r w:rsidRPr="00E73F6F">
              <w:rPr>
                <w:sz w:val="20"/>
                <w:lang w:val="de-DE"/>
              </w:rPr>
              <w:t>nationale</w:t>
            </w:r>
            <w:r w:rsidRPr="00E73F6F">
              <w:rPr>
                <w:spacing w:val="-9"/>
                <w:sz w:val="20"/>
                <w:lang w:val="de-DE"/>
              </w:rPr>
              <w:t xml:space="preserve"> </w:t>
            </w:r>
            <w:r w:rsidRPr="00E73F6F">
              <w:rPr>
                <w:sz w:val="20"/>
                <w:lang w:val="de-DE"/>
              </w:rPr>
              <w:t>Vorzeigeunternehmen</w:t>
            </w:r>
            <w:r w:rsidRPr="00E73F6F">
              <w:rPr>
                <w:spacing w:val="40"/>
                <w:sz w:val="20"/>
                <w:lang w:val="de-DE"/>
              </w:rPr>
              <w:t xml:space="preserve"> </w:t>
            </w:r>
            <w:r w:rsidRPr="00E73F6F">
              <w:rPr>
                <w:sz w:val="20"/>
                <w:lang w:val="de-DE"/>
              </w:rPr>
              <w:t>darstellen</w:t>
            </w:r>
            <w:r w:rsidRPr="00E73F6F">
              <w:rPr>
                <w:spacing w:val="-4"/>
                <w:sz w:val="20"/>
                <w:lang w:val="de-DE"/>
              </w:rPr>
              <w:t xml:space="preserve"> </w:t>
            </w:r>
            <w:r w:rsidRPr="00E73F6F">
              <w:rPr>
                <w:sz w:val="20"/>
                <w:lang w:val="de-DE"/>
              </w:rPr>
              <w:t>(etwa</w:t>
            </w:r>
            <w:r w:rsidRPr="00E73F6F">
              <w:rPr>
                <w:spacing w:val="40"/>
                <w:sz w:val="20"/>
                <w:lang w:val="de-DE"/>
              </w:rPr>
              <w:t xml:space="preserve"> </w:t>
            </w:r>
            <w:r w:rsidRPr="00E73F6F">
              <w:rPr>
                <w:sz w:val="20"/>
                <w:lang w:val="de-DE"/>
              </w:rPr>
              <w:t>Luft-</w:t>
            </w:r>
            <w:r w:rsidRPr="00E73F6F">
              <w:rPr>
                <w:spacing w:val="-5"/>
                <w:sz w:val="20"/>
                <w:lang w:val="de-DE"/>
              </w:rPr>
              <w:t xml:space="preserve"> </w:t>
            </w:r>
            <w:r w:rsidRPr="00E73F6F">
              <w:rPr>
                <w:sz w:val="20"/>
                <w:lang w:val="de-DE"/>
              </w:rPr>
              <w:t>und</w:t>
            </w:r>
            <w:r w:rsidRPr="00E73F6F">
              <w:rPr>
                <w:spacing w:val="-5"/>
                <w:sz w:val="20"/>
                <w:lang w:val="de-DE"/>
              </w:rPr>
              <w:t xml:space="preserve"> </w:t>
            </w:r>
            <w:r w:rsidRPr="00E73F6F">
              <w:rPr>
                <w:sz w:val="20"/>
                <w:lang w:val="de-DE"/>
              </w:rPr>
              <w:t>Raumfahrtunterneh</w:t>
            </w:r>
            <w:r w:rsidRPr="00E73F6F">
              <w:rPr>
                <w:spacing w:val="-4"/>
                <w:sz w:val="20"/>
                <w:lang w:val="de-DE"/>
              </w:rPr>
              <w:t>men)</w:t>
            </w:r>
          </w:p>
          <w:p w14:paraId="15171219" w14:textId="1E9FD4CE" w:rsidR="00FF7799" w:rsidRPr="00E73F6F" w:rsidRDefault="00FF7799" w:rsidP="00EA7901">
            <w:pPr>
              <w:pStyle w:val="StandardTextAufzhlung"/>
              <w:ind w:left="513"/>
              <w:jc w:val="left"/>
              <w:rPr>
                <w:sz w:val="20"/>
                <w:lang w:val="de-DE"/>
              </w:rPr>
            </w:pPr>
            <w:r w:rsidRPr="00E73F6F">
              <w:rPr>
                <w:sz w:val="20"/>
                <w:lang w:val="de-DE"/>
              </w:rPr>
              <w:t>besonders</w:t>
            </w:r>
            <w:r w:rsidRPr="00E73F6F">
              <w:rPr>
                <w:spacing w:val="-7"/>
                <w:sz w:val="20"/>
                <w:lang w:val="de-DE"/>
              </w:rPr>
              <w:t xml:space="preserve"> </w:t>
            </w:r>
            <w:r w:rsidRPr="00E73F6F">
              <w:rPr>
                <w:sz w:val="20"/>
                <w:lang w:val="de-DE"/>
              </w:rPr>
              <w:t>wichtig</w:t>
            </w:r>
            <w:r w:rsidRPr="00E73F6F">
              <w:rPr>
                <w:spacing w:val="40"/>
                <w:sz w:val="20"/>
                <w:lang w:val="de-DE"/>
              </w:rPr>
              <w:t xml:space="preserve"> </w:t>
            </w:r>
            <w:r w:rsidRPr="00E73F6F">
              <w:rPr>
                <w:sz w:val="20"/>
                <w:lang w:val="de-DE"/>
              </w:rPr>
              <w:t>für die nationale</w:t>
            </w:r>
            <w:r w:rsidRPr="00E73F6F">
              <w:rPr>
                <w:spacing w:val="40"/>
                <w:sz w:val="20"/>
                <w:lang w:val="de-DE"/>
              </w:rPr>
              <w:t xml:space="preserve"> </w:t>
            </w:r>
            <w:r w:rsidRPr="00E73F6F">
              <w:rPr>
                <w:sz w:val="20"/>
                <w:lang w:val="de-DE"/>
              </w:rPr>
              <w:t>Sicherheit</w:t>
            </w:r>
            <w:r w:rsidRPr="00E73F6F">
              <w:rPr>
                <w:spacing w:val="-6"/>
                <w:sz w:val="20"/>
                <w:lang w:val="de-DE"/>
              </w:rPr>
              <w:t xml:space="preserve"> </w:t>
            </w:r>
            <w:r w:rsidRPr="00E73F6F">
              <w:rPr>
                <w:sz w:val="20"/>
                <w:lang w:val="de-DE"/>
              </w:rPr>
              <w:t>sind</w:t>
            </w:r>
            <w:r w:rsidRPr="00E73F6F">
              <w:rPr>
                <w:spacing w:val="40"/>
                <w:sz w:val="20"/>
                <w:lang w:val="de-DE"/>
              </w:rPr>
              <w:t xml:space="preserve"> </w:t>
            </w:r>
            <w:r w:rsidRPr="00E73F6F">
              <w:rPr>
                <w:sz w:val="20"/>
                <w:lang w:val="de-DE"/>
              </w:rPr>
              <w:t>(etwa</w:t>
            </w:r>
            <w:r w:rsidRPr="00E73F6F">
              <w:rPr>
                <w:spacing w:val="40"/>
                <w:sz w:val="20"/>
                <w:lang w:val="de-DE"/>
              </w:rPr>
              <w:t xml:space="preserve"> </w:t>
            </w:r>
            <w:r w:rsidRPr="00E73F6F">
              <w:rPr>
                <w:sz w:val="20"/>
                <w:lang w:val="de-DE"/>
              </w:rPr>
              <w:t>Telekommunikationsfirmen)</w:t>
            </w:r>
          </w:p>
          <w:p w14:paraId="311DFBCF" w14:textId="77777777" w:rsidR="00FF7799" w:rsidRPr="00E73F6F" w:rsidRDefault="00FF7799" w:rsidP="00EA7901">
            <w:pPr>
              <w:pStyle w:val="StandardTextAufzhlung"/>
              <w:ind w:left="513"/>
              <w:jc w:val="left"/>
              <w:rPr>
                <w:sz w:val="20"/>
                <w:lang w:val="de-DE"/>
              </w:rPr>
            </w:pPr>
            <w:r w:rsidRPr="00E73F6F">
              <w:rPr>
                <w:sz w:val="20"/>
                <w:lang w:val="de-DE"/>
              </w:rPr>
              <w:t>Rohstoffe</w:t>
            </w:r>
            <w:r w:rsidRPr="00E73F6F">
              <w:rPr>
                <w:spacing w:val="40"/>
                <w:sz w:val="20"/>
                <w:lang w:val="de-DE"/>
              </w:rPr>
              <w:t xml:space="preserve"> </w:t>
            </w:r>
            <w:r w:rsidRPr="00E73F6F">
              <w:rPr>
                <w:sz w:val="20"/>
                <w:lang w:val="de-DE"/>
              </w:rPr>
              <w:t>abbauen</w:t>
            </w:r>
            <w:r w:rsidRPr="00E73F6F">
              <w:rPr>
                <w:spacing w:val="-9"/>
                <w:sz w:val="20"/>
                <w:lang w:val="de-DE"/>
              </w:rPr>
              <w:t xml:space="preserve"> </w:t>
            </w:r>
            <w:r w:rsidRPr="00E73F6F">
              <w:rPr>
                <w:sz w:val="20"/>
                <w:lang w:val="de-DE"/>
              </w:rPr>
              <w:t>(etwa</w:t>
            </w:r>
            <w:r w:rsidRPr="00E73F6F">
              <w:rPr>
                <w:spacing w:val="-9"/>
                <w:sz w:val="20"/>
                <w:lang w:val="de-DE"/>
              </w:rPr>
              <w:t xml:space="preserve"> </w:t>
            </w:r>
            <w:r w:rsidRPr="00E73F6F">
              <w:rPr>
                <w:sz w:val="20"/>
                <w:lang w:val="de-DE"/>
              </w:rPr>
              <w:t>in</w:t>
            </w:r>
            <w:r w:rsidRPr="00E73F6F">
              <w:rPr>
                <w:spacing w:val="40"/>
                <w:sz w:val="20"/>
                <w:lang w:val="de-DE"/>
              </w:rPr>
              <w:t xml:space="preserve"> </w:t>
            </w:r>
            <w:r w:rsidRPr="00E73F6F">
              <w:rPr>
                <w:sz w:val="20"/>
                <w:lang w:val="de-DE"/>
              </w:rPr>
              <w:t>der</w:t>
            </w:r>
            <w:r w:rsidRPr="00E73F6F">
              <w:rPr>
                <w:spacing w:val="-6"/>
                <w:sz w:val="20"/>
                <w:lang w:val="de-DE"/>
              </w:rPr>
              <w:t xml:space="preserve"> </w:t>
            </w:r>
            <w:r w:rsidRPr="00E73F6F">
              <w:rPr>
                <w:sz w:val="20"/>
                <w:lang w:val="de-DE"/>
              </w:rPr>
              <w:t>Ölförderung</w:t>
            </w:r>
            <w:r w:rsidRPr="00E73F6F">
              <w:rPr>
                <w:spacing w:val="40"/>
                <w:sz w:val="20"/>
                <w:lang w:val="de-DE"/>
              </w:rPr>
              <w:t xml:space="preserve"> </w:t>
            </w:r>
            <w:r w:rsidRPr="00E73F6F">
              <w:rPr>
                <w:sz w:val="20"/>
                <w:lang w:val="de-DE"/>
              </w:rPr>
              <w:t>und</w:t>
            </w:r>
            <w:r w:rsidRPr="00E73F6F">
              <w:rPr>
                <w:spacing w:val="-9"/>
                <w:sz w:val="20"/>
                <w:lang w:val="de-DE"/>
              </w:rPr>
              <w:t xml:space="preserve"> </w:t>
            </w:r>
            <w:r w:rsidRPr="00E73F6F">
              <w:rPr>
                <w:sz w:val="20"/>
                <w:lang w:val="de-DE"/>
              </w:rPr>
              <w:t>im</w:t>
            </w:r>
            <w:r w:rsidRPr="00E73F6F">
              <w:rPr>
                <w:spacing w:val="-9"/>
                <w:sz w:val="20"/>
                <w:lang w:val="de-DE"/>
              </w:rPr>
              <w:t xml:space="preserve"> </w:t>
            </w:r>
            <w:r w:rsidRPr="00E73F6F">
              <w:rPr>
                <w:sz w:val="20"/>
                <w:lang w:val="de-DE"/>
              </w:rPr>
              <w:t>Bergbau)</w:t>
            </w:r>
          </w:p>
          <w:p w14:paraId="66520CEA" w14:textId="77777777" w:rsidR="00FF7799" w:rsidRPr="00E73F6F" w:rsidRDefault="00FF7799" w:rsidP="00EA7901">
            <w:pPr>
              <w:pStyle w:val="StandardTextAufzhlung"/>
              <w:ind w:left="513"/>
              <w:jc w:val="left"/>
              <w:rPr>
                <w:sz w:val="20"/>
                <w:lang w:val="de-DE"/>
              </w:rPr>
            </w:pPr>
            <w:r w:rsidRPr="00E73F6F">
              <w:rPr>
                <w:sz w:val="20"/>
                <w:lang w:val="de-DE"/>
              </w:rPr>
              <w:t>hohe</w:t>
            </w:r>
            <w:r w:rsidRPr="00E73F6F">
              <w:rPr>
                <w:spacing w:val="-4"/>
                <w:sz w:val="20"/>
                <w:lang w:val="de-DE"/>
              </w:rPr>
              <w:t xml:space="preserve"> </w:t>
            </w:r>
            <w:r w:rsidRPr="00E73F6F">
              <w:rPr>
                <w:sz w:val="20"/>
                <w:lang w:val="de-DE"/>
              </w:rPr>
              <w:t>Vorabin-</w:t>
            </w:r>
            <w:r w:rsidRPr="00E73F6F">
              <w:rPr>
                <w:spacing w:val="40"/>
                <w:sz w:val="20"/>
                <w:lang w:val="de-DE"/>
              </w:rPr>
              <w:t xml:space="preserve"> </w:t>
            </w:r>
            <w:r w:rsidRPr="00E73F6F">
              <w:rPr>
                <w:sz w:val="20"/>
                <w:lang w:val="de-DE"/>
              </w:rPr>
              <w:t>vestitionen</w:t>
            </w:r>
            <w:r w:rsidRPr="00E73F6F">
              <w:rPr>
                <w:spacing w:val="-6"/>
                <w:sz w:val="20"/>
                <w:lang w:val="de-DE"/>
              </w:rPr>
              <w:t xml:space="preserve"> </w:t>
            </w:r>
            <w:r w:rsidRPr="00E73F6F">
              <w:rPr>
                <w:sz w:val="20"/>
                <w:lang w:val="de-DE"/>
              </w:rPr>
              <w:t>tätigen</w:t>
            </w:r>
            <w:r w:rsidRPr="00E73F6F">
              <w:rPr>
                <w:spacing w:val="40"/>
                <w:sz w:val="20"/>
                <w:lang w:val="de-DE"/>
              </w:rPr>
              <w:t xml:space="preserve"> </w:t>
            </w:r>
            <w:r w:rsidRPr="00E73F6F">
              <w:rPr>
                <w:sz w:val="20"/>
                <w:lang w:val="de-DE"/>
              </w:rPr>
              <w:t>müssen</w:t>
            </w:r>
            <w:r w:rsidRPr="00E73F6F">
              <w:rPr>
                <w:spacing w:val="40"/>
                <w:sz w:val="20"/>
                <w:lang w:val="de-DE"/>
              </w:rPr>
              <w:t xml:space="preserve"> </w:t>
            </w:r>
            <w:r w:rsidRPr="00E73F6F">
              <w:rPr>
                <w:sz w:val="20"/>
                <w:lang w:val="de-DE"/>
              </w:rPr>
              <w:t>(Infrastruktur)</w:t>
            </w:r>
          </w:p>
        </w:tc>
        <w:tc>
          <w:tcPr>
            <w:tcW w:w="1018" w:type="pct"/>
          </w:tcPr>
          <w:p w14:paraId="74C6493E" w14:textId="77777777" w:rsidR="00FF7799" w:rsidRPr="00E73F6F" w:rsidRDefault="00FF7799" w:rsidP="00EA7901">
            <w:pPr>
              <w:pStyle w:val="StandardTextAufzhlung"/>
              <w:ind w:left="513"/>
              <w:jc w:val="left"/>
              <w:rPr>
                <w:sz w:val="20"/>
                <w:lang w:val="de-DE"/>
              </w:rPr>
            </w:pPr>
            <w:r w:rsidRPr="00E73F6F">
              <w:rPr>
                <w:sz w:val="20"/>
                <w:lang w:val="de-DE"/>
              </w:rPr>
              <w:t>sind</w:t>
            </w:r>
            <w:r w:rsidRPr="00E73F6F">
              <w:rPr>
                <w:spacing w:val="-6"/>
                <w:sz w:val="20"/>
                <w:lang w:val="de-DE"/>
              </w:rPr>
              <w:t xml:space="preserve"> </w:t>
            </w:r>
            <w:r w:rsidRPr="00E73F6F">
              <w:rPr>
                <w:sz w:val="20"/>
                <w:lang w:val="de-DE"/>
              </w:rPr>
              <w:t>(etwa</w:t>
            </w:r>
            <w:r w:rsidRPr="00E73F6F">
              <w:rPr>
                <w:spacing w:val="40"/>
                <w:sz w:val="20"/>
                <w:lang w:val="de-DE"/>
              </w:rPr>
              <w:t xml:space="preserve"> </w:t>
            </w:r>
            <w:r w:rsidRPr="00E73F6F">
              <w:rPr>
                <w:sz w:val="20"/>
                <w:lang w:val="de-DE"/>
              </w:rPr>
              <w:t>Gläser,</w:t>
            </w:r>
            <w:r w:rsidRPr="00E73F6F">
              <w:rPr>
                <w:spacing w:val="-9"/>
                <w:sz w:val="20"/>
                <w:lang w:val="de-DE"/>
              </w:rPr>
              <w:t xml:space="preserve"> </w:t>
            </w:r>
            <w:r w:rsidRPr="00E73F6F">
              <w:rPr>
                <w:sz w:val="20"/>
                <w:lang w:val="de-DE"/>
              </w:rPr>
              <w:t>Früchte)</w:t>
            </w:r>
          </w:p>
          <w:p w14:paraId="75F4C05D" w14:textId="292FC603" w:rsidR="00FF7799" w:rsidRPr="00E73F6F" w:rsidRDefault="00FF7799" w:rsidP="00EA7901">
            <w:pPr>
              <w:pStyle w:val="StandardTextAufzhlung"/>
              <w:ind w:left="513"/>
              <w:jc w:val="left"/>
              <w:rPr>
                <w:sz w:val="20"/>
                <w:lang w:val="de-DE"/>
              </w:rPr>
            </w:pPr>
            <w:r w:rsidRPr="00E73F6F">
              <w:rPr>
                <w:sz w:val="20"/>
                <w:lang w:val="de-DE"/>
              </w:rPr>
              <w:t>Branchen, bei</w:t>
            </w:r>
            <w:r w:rsidR="004A28F6" w:rsidRPr="00E73F6F">
              <w:rPr>
                <w:spacing w:val="40"/>
                <w:sz w:val="20"/>
                <w:lang w:val="de-DE"/>
              </w:rPr>
              <w:t xml:space="preserve"> </w:t>
            </w:r>
            <w:r w:rsidRPr="00E73F6F">
              <w:rPr>
                <w:sz w:val="20"/>
                <w:lang w:val="de-DE"/>
              </w:rPr>
              <w:t>denen</w:t>
            </w:r>
            <w:r w:rsidRPr="00E73F6F">
              <w:rPr>
                <w:spacing w:val="-6"/>
                <w:sz w:val="20"/>
                <w:lang w:val="de-DE"/>
              </w:rPr>
              <w:t xml:space="preserve"> </w:t>
            </w:r>
            <w:r w:rsidRPr="00E73F6F">
              <w:rPr>
                <w:sz w:val="20"/>
                <w:lang w:val="de-DE"/>
              </w:rPr>
              <w:t>gute</w:t>
            </w:r>
            <w:r w:rsidRPr="00E73F6F">
              <w:rPr>
                <w:spacing w:val="40"/>
                <w:sz w:val="20"/>
                <w:lang w:val="de-DE"/>
              </w:rPr>
              <w:t xml:space="preserve"> </w:t>
            </w:r>
            <w:r w:rsidRPr="00E73F6F">
              <w:rPr>
                <w:sz w:val="20"/>
                <w:lang w:val="de-DE"/>
              </w:rPr>
              <w:t>Kommunikation</w:t>
            </w:r>
            <w:r w:rsidRPr="00E73F6F">
              <w:rPr>
                <w:spacing w:val="40"/>
                <w:sz w:val="20"/>
                <w:lang w:val="de-DE"/>
              </w:rPr>
              <w:t xml:space="preserve"> </w:t>
            </w:r>
            <w:r w:rsidRPr="00E73F6F">
              <w:rPr>
                <w:sz w:val="20"/>
                <w:lang w:val="de-DE"/>
              </w:rPr>
              <w:t>s-möglichkeiten</w:t>
            </w:r>
            <w:r w:rsidRPr="00E73F6F">
              <w:rPr>
                <w:spacing w:val="40"/>
                <w:sz w:val="20"/>
                <w:lang w:val="de-DE"/>
              </w:rPr>
              <w:t xml:space="preserve"> </w:t>
            </w:r>
            <w:r w:rsidRPr="00E73F6F">
              <w:rPr>
                <w:spacing w:val="-4"/>
                <w:sz w:val="20"/>
                <w:lang w:val="de-DE"/>
              </w:rPr>
              <w:t>und</w:t>
            </w:r>
            <w:r w:rsidRPr="00E73F6F">
              <w:rPr>
                <w:spacing w:val="40"/>
                <w:sz w:val="20"/>
                <w:lang w:val="de-DE"/>
              </w:rPr>
              <w:t xml:space="preserve"> </w:t>
            </w:r>
            <w:r w:rsidRPr="00E73F6F">
              <w:rPr>
                <w:sz w:val="20"/>
                <w:lang w:val="de-DE"/>
              </w:rPr>
              <w:t>Verbindungen</w:t>
            </w:r>
            <w:r w:rsidRPr="00E73F6F">
              <w:rPr>
                <w:spacing w:val="40"/>
                <w:sz w:val="20"/>
                <w:lang w:val="de-DE"/>
              </w:rPr>
              <w:t xml:space="preserve"> </w:t>
            </w:r>
            <w:r w:rsidRPr="00E73F6F">
              <w:rPr>
                <w:sz w:val="20"/>
                <w:lang w:val="de-DE"/>
              </w:rPr>
              <w:t>wichtig</w:t>
            </w:r>
            <w:r w:rsidRPr="00E73F6F">
              <w:rPr>
                <w:spacing w:val="-6"/>
                <w:sz w:val="20"/>
                <w:lang w:val="de-DE"/>
              </w:rPr>
              <w:t xml:space="preserve"> </w:t>
            </w:r>
            <w:r w:rsidRPr="00E73F6F">
              <w:rPr>
                <w:sz w:val="20"/>
                <w:lang w:val="de-DE"/>
              </w:rPr>
              <w:t>sind</w:t>
            </w:r>
            <w:r w:rsidRPr="00E73F6F">
              <w:rPr>
                <w:spacing w:val="40"/>
                <w:sz w:val="20"/>
                <w:lang w:val="de-DE"/>
              </w:rPr>
              <w:t xml:space="preserve"> </w:t>
            </w:r>
            <w:r w:rsidRPr="00E73F6F">
              <w:rPr>
                <w:sz w:val="20"/>
                <w:lang w:val="de-DE"/>
              </w:rPr>
              <w:t>(wie bei Finanzdienstleistungen)</w:t>
            </w:r>
          </w:p>
          <w:p w14:paraId="49849EE7" w14:textId="77777777" w:rsidR="00FF7799" w:rsidRPr="00E73F6F" w:rsidRDefault="00FF7799" w:rsidP="00EA7901">
            <w:pPr>
              <w:pStyle w:val="StandardTextAufzhlung"/>
              <w:ind w:left="513"/>
              <w:jc w:val="left"/>
              <w:rPr>
                <w:sz w:val="20"/>
                <w:lang w:val="de-DE"/>
              </w:rPr>
            </w:pPr>
            <w:r w:rsidRPr="00E73F6F">
              <w:rPr>
                <w:sz w:val="20"/>
                <w:lang w:val="de-DE"/>
              </w:rPr>
              <w:t>Branchen, bei</w:t>
            </w:r>
            <w:r w:rsidRPr="00E73F6F">
              <w:rPr>
                <w:spacing w:val="40"/>
                <w:sz w:val="20"/>
                <w:lang w:val="de-DE"/>
              </w:rPr>
              <w:t xml:space="preserve"> </w:t>
            </w:r>
            <w:r w:rsidRPr="00E73F6F">
              <w:rPr>
                <w:sz w:val="20"/>
                <w:lang w:val="de-DE"/>
              </w:rPr>
              <w:t>denen</w:t>
            </w:r>
            <w:r w:rsidRPr="00E73F6F">
              <w:rPr>
                <w:spacing w:val="-6"/>
                <w:sz w:val="20"/>
                <w:lang w:val="de-DE"/>
              </w:rPr>
              <w:t xml:space="preserve"> </w:t>
            </w:r>
            <w:r w:rsidRPr="00E73F6F">
              <w:rPr>
                <w:sz w:val="20"/>
                <w:lang w:val="de-DE"/>
              </w:rPr>
              <w:t>örtliche</w:t>
            </w:r>
            <w:r w:rsidRPr="00E73F6F">
              <w:rPr>
                <w:spacing w:val="40"/>
                <w:sz w:val="20"/>
                <w:lang w:val="de-DE"/>
              </w:rPr>
              <w:t xml:space="preserve"> </w:t>
            </w:r>
            <w:r w:rsidRPr="00E73F6F">
              <w:rPr>
                <w:sz w:val="20"/>
                <w:lang w:val="de-DE"/>
              </w:rPr>
              <w:t>Aufsicht</w:t>
            </w:r>
            <w:r w:rsidRPr="00E73F6F">
              <w:rPr>
                <w:spacing w:val="-6"/>
                <w:sz w:val="20"/>
                <w:lang w:val="de-DE"/>
              </w:rPr>
              <w:t xml:space="preserve"> </w:t>
            </w:r>
            <w:r w:rsidRPr="00E73F6F">
              <w:rPr>
                <w:sz w:val="20"/>
                <w:lang w:val="de-DE"/>
              </w:rPr>
              <w:t>und</w:t>
            </w:r>
            <w:r w:rsidRPr="00E73F6F">
              <w:rPr>
                <w:spacing w:val="40"/>
                <w:sz w:val="20"/>
                <w:lang w:val="de-DE"/>
              </w:rPr>
              <w:t xml:space="preserve"> </w:t>
            </w:r>
            <w:r w:rsidRPr="00E73F6F">
              <w:rPr>
                <w:sz w:val="20"/>
                <w:lang w:val="de-DE"/>
              </w:rPr>
              <w:t>betriebliche</w:t>
            </w:r>
            <w:r w:rsidRPr="00E73F6F">
              <w:rPr>
                <w:spacing w:val="40"/>
                <w:sz w:val="20"/>
                <w:lang w:val="de-DE"/>
              </w:rPr>
              <w:t xml:space="preserve"> </w:t>
            </w:r>
            <w:r w:rsidRPr="00E73F6F">
              <w:rPr>
                <w:sz w:val="20"/>
                <w:lang w:val="de-DE"/>
              </w:rPr>
              <w:t>Anforderungen</w:t>
            </w:r>
            <w:r w:rsidRPr="00E73F6F">
              <w:rPr>
                <w:spacing w:val="40"/>
                <w:sz w:val="20"/>
                <w:lang w:val="de-DE"/>
              </w:rPr>
              <w:t xml:space="preserve"> </w:t>
            </w:r>
            <w:r w:rsidRPr="00E73F6F">
              <w:rPr>
                <w:sz w:val="20"/>
                <w:lang w:val="de-DE"/>
              </w:rPr>
              <w:t>besonders</w:t>
            </w:r>
            <w:r w:rsidRPr="00E73F6F">
              <w:rPr>
                <w:spacing w:val="-9"/>
                <w:sz w:val="20"/>
                <w:lang w:val="de-DE"/>
              </w:rPr>
              <w:t xml:space="preserve"> </w:t>
            </w:r>
            <w:r w:rsidRPr="00E73F6F">
              <w:rPr>
                <w:sz w:val="20"/>
                <w:lang w:val="de-DE"/>
              </w:rPr>
              <w:t>zählen</w:t>
            </w:r>
            <w:r w:rsidRPr="00E73F6F">
              <w:rPr>
                <w:spacing w:val="40"/>
                <w:sz w:val="20"/>
                <w:lang w:val="de-DE"/>
              </w:rPr>
              <w:t xml:space="preserve"> </w:t>
            </w:r>
            <w:r w:rsidRPr="00E73F6F">
              <w:rPr>
                <w:sz w:val="20"/>
                <w:lang w:val="de-DE"/>
              </w:rPr>
              <w:t>(wie bei vielen</w:t>
            </w:r>
            <w:r w:rsidRPr="00E73F6F">
              <w:rPr>
                <w:spacing w:val="40"/>
                <w:sz w:val="20"/>
                <w:lang w:val="de-DE"/>
              </w:rPr>
              <w:t xml:space="preserve"> </w:t>
            </w:r>
            <w:r w:rsidRPr="00E73F6F">
              <w:rPr>
                <w:sz w:val="20"/>
                <w:lang w:val="de-DE"/>
              </w:rPr>
              <w:t>Dienstleistungen</w:t>
            </w:r>
            <w:r w:rsidRPr="00E73F6F">
              <w:rPr>
                <w:w w:val="99"/>
                <w:sz w:val="20"/>
                <w:lang w:val="de-DE"/>
              </w:rPr>
              <w:t>)</w:t>
            </w:r>
          </w:p>
        </w:tc>
        <w:tc>
          <w:tcPr>
            <w:tcW w:w="1092" w:type="pct"/>
            <w:gridSpan w:val="2"/>
          </w:tcPr>
          <w:p w14:paraId="7FD0EC24" w14:textId="77777777" w:rsidR="00FF7799" w:rsidRPr="00E73F6F" w:rsidRDefault="00FF7799" w:rsidP="00EA7901">
            <w:pPr>
              <w:pStyle w:val="StandardTextAufzhlung"/>
              <w:ind w:left="513"/>
              <w:jc w:val="left"/>
              <w:rPr>
                <w:sz w:val="20"/>
                <w:lang w:val="de-DE"/>
              </w:rPr>
            </w:pPr>
            <w:r w:rsidRPr="00E73F6F">
              <w:rPr>
                <w:sz w:val="20"/>
                <w:lang w:val="de-DE"/>
              </w:rPr>
              <w:t>wichtige</w:t>
            </w:r>
            <w:r w:rsidRPr="00E73F6F">
              <w:rPr>
                <w:spacing w:val="-7"/>
                <w:sz w:val="20"/>
                <w:lang w:val="de-DE"/>
              </w:rPr>
              <w:t xml:space="preserve"> </w:t>
            </w:r>
            <w:r w:rsidRPr="00E73F6F">
              <w:rPr>
                <w:sz w:val="20"/>
                <w:lang w:val="de-DE"/>
              </w:rPr>
              <w:t>Rolle</w:t>
            </w:r>
            <w:r w:rsidRPr="00E73F6F">
              <w:rPr>
                <w:spacing w:val="40"/>
                <w:sz w:val="20"/>
                <w:lang w:val="de-DE"/>
              </w:rPr>
              <w:t xml:space="preserve"> </w:t>
            </w:r>
            <w:r w:rsidRPr="00E73F6F">
              <w:rPr>
                <w:sz w:val="20"/>
                <w:lang w:val="de-DE"/>
              </w:rPr>
              <w:t>spielen</w:t>
            </w:r>
            <w:r w:rsidRPr="00E73F6F">
              <w:rPr>
                <w:spacing w:val="-6"/>
                <w:sz w:val="20"/>
                <w:lang w:val="de-DE"/>
              </w:rPr>
              <w:t xml:space="preserve"> </w:t>
            </w:r>
            <w:r w:rsidRPr="00E73F6F">
              <w:rPr>
                <w:sz w:val="20"/>
                <w:lang w:val="de-DE"/>
              </w:rPr>
              <w:t>(etwa</w:t>
            </w:r>
            <w:r w:rsidRPr="00E73F6F">
              <w:rPr>
                <w:spacing w:val="40"/>
                <w:sz w:val="20"/>
                <w:lang w:val="de-DE"/>
              </w:rPr>
              <w:t xml:space="preserve"> </w:t>
            </w:r>
            <w:r w:rsidRPr="00E73F6F">
              <w:rPr>
                <w:sz w:val="20"/>
                <w:lang w:val="de-DE"/>
              </w:rPr>
              <w:t>Mobiltelefon)</w:t>
            </w:r>
          </w:p>
          <w:p w14:paraId="0D001452" w14:textId="77777777" w:rsidR="00FF7799" w:rsidRPr="00E73F6F" w:rsidRDefault="00FF7799" w:rsidP="00EA7901">
            <w:pPr>
              <w:pStyle w:val="StandardTextAufzhlung"/>
              <w:ind w:left="513"/>
              <w:jc w:val="left"/>
              <w:rPr>
                <w:sz w:val="20"/>
                <w:lang w:val="de-DE"/>
              </w:rPr>
            </w:pPr>
            <w:r w:rsidRPr="00E73F6F">
              <w:rPr>
                <w:sz w:val="20"/>
                <w:lang w:val="de-DE"/>
              </w:rPr>
              <w:t>Produkte</w:t>
            </w:r>
            <w:r w:rsidRPr="00E73F6F">
              <w:rPr>
                <w:spacing w:val="-4"/>
                <w:sz w:val="20"/>
                <w:lang w:val="de-DE"/>
              </w:rPr>
              <w:t xml:space="preserve"> </w:t>
            </w:r>
            <w:r w:rsidRPr="00E73F6F">
              <w:rPr>
                <w:sz w:val="20"/>
                <w:lang w:val="de-DE"/>
              </w:rPr>
              <w:t>oder</w:t>
            </w:r>
            <w:r w:rsidRPr="00E73F6F">
              <w:rPr>
                <w:spacing w:val="40"/>
                <w:sz w:val="20"/>
                <w:lang w:val="de-DE"/>
              </w:rPr>
              <w:t xml:space="preserve"> </w:t>
            </w:r>
            <w:r w:rsidRPr="00E73F6F">
              <w:rPr>
                <w:sz w:val="20"/>
                <w:lang w:val="de-DE"/>
              </w:rPr>
              <w:t>Branchen, bei/in</w:t>
            </w:r>
            <w:r w:rsidRPr="00E73F6F">
              <w:rPr>
                <w:spacing w:val="40"/>
                <w:sz w:val="20"/>
                <w:lang w:val="de-DE"/>
              </w:rPr>
              <w:t xml:space="preserve"> </w:t>
            </w:r>
            <w:r w:rsidRPr="00E73F6F">
              <w:rPr>
                <w:sz w:val="20"/>
                <w:lang w:val="de-DE"/>
              </w:rPr>
              <w:t>denen</w:t>
            </w:r>
            <w:r w:rsidRPr="00E73F6F">
              <w:rPr>
                <w:spacing w:val="-6"/>
                <w:sz w:val="20"/>
                <w:lang w:val="de-DE"/>
              </w:rPr>
              <w:t xml:space="preserve"> </w:t>
            </w:r>
            <w:r w:rsidRPr="00E73F6F">
              <w:rPr>
                <w:sz w:val="20"/>
                <w:lang w:val="de-DE"/>
              </w:rPr>
              <w:t>unterschiedliche</w:t>
            </w:r>
            <w:r w:rsidRPr="00E73F6F">
              <w:rPr>
                <w:spacing w:val="-4"/>
                <w:sz w:val="20"/>
                <w:lang w:val="de-DE"/>
              </w:rPr>
              <w:t xml:space="preserve"> </w:t>
            </w:r>
            <w:r w:rsidR="004A28F6" w:rsidRPr="00E73F6F">
              <w:rPr>
                <w:sz w:val="20"/>
                <w:lang w:val="de-DE"/>
              </w:rPr>
              <w:t>Ar</w:t>
            </w:r>
            <w:r w:rsidRPr="00E73F6F">
              <w:rPr>
                <w:sz w:val="20"/>
                <w:lang w:val="de-DE"/>
              </w:rPr>
              <w:t>beits-</w:t>
            </w:r>
            <w:r w:rsidRPr="00E73F6F">
              <w:rPr>
                <w:spacing w:val="-9"/>
                <w:sz w:val="20"/>
                <w:lang w:val="de-DE"/>
              </w:rPr>
              <w:t xml:space="preserve"> </w:t>
            </w:r>
            <w:r w:rsidRPr="00E73F6F">
              <w:rPr>
                <w:sz w:val="20"/>
                <w:lang w:val="de-DE"/>
              </w:rPr>
              <w:t>und</w:t>
            </w:r>
            <w:r w:rsidRPr="00E73F6F">
              <w:rPr>
                <w:spacing w:val="-9"/>
                <w:sz w:val="20"/>
                <w:lang w:val="de-DE"/>
              </w:rPr>
              <w:t xml:space="preserve"> </w:t>
            </w:r>
            <w:r w:rsidRPr="00E73F6F">
              <w:rPr>
                <w:sz w:val="20"/>
                <w:lang w:val="de-DE"/>
              </w:rPr>
              <w:t>sonstige</w:t>
            </w:r>
            <w:r w:rsidRPr="00E73F6F">
              <w:rPr>
                <w:spacing w:val="40"/>
                <w:sz w:val="20"/>
                <w:lang w:val="de-DE"/>
              </w:rPr>
              <w:t xml:space="preserve"> </w:t>
            </w:r>
            <w:r w:rsidRPr="00E73F6F">
              <w:rPr>
                <w:sz w:val="20"/>
                <w:lang w:val="de-DE"/>
              </w:rPr>
              <w:t>Faktorenkosten</w:t>
            </w:r>
            <w:r w:rsidRPr="00E73F6F">
              <w:rPr>
                <w:spacing w:val="80"/>
                <w:sz w:val="20"/>
                <w:lang w:val="de-DE"/>
              </w:rPr>
              <w:t xml:space="preserve"> </w:t>
            </w:r>
            <w:r w:rsidRPr="00E73F6F">
              <w:rPr>
                <w:sz w:val="20"/>
                <w:lang w:val="de-DE"/>
              </w:rPr>
              <w:t>ins</w:t>
            </w:r>
            <w:r w:rsidRPr="00E73F6F">
              <w:rPr>
                <w:spacing w:val="-8"/>
                <w:sz w:val="20"/>
                <w:lang w:val="de-DE"/>
              </w:rPr>
              <w:t xml:space="preserve"> </w:t>
            </w:r>
            <w:r w:rsidRPr="00E73F6F">
              <w:rPr>
                <w:sz w:val="20"/>
                <w:lang w:val="de-DE"/>
              </w:rPr>
              <w:t>Gewicht</w:t>
            </w:r>
            <w:r w:rsidRPr="00E73F6F">
              <w:rPr>
                <w:spacing w:val="-9"/>
                <w:sz w:val="20"/>
                <w:lang w:val="de-DE"/>
              </w:rPr>
              <w:t xml:space="preserve"> </w:t>
            </w:r>
            <w:r w:rsidRPr="00E73F6F">
              <w:rPr>
                <w:sz w:val="20"/>
                <w:lang w:val="de-DE"/>
              </w:rPr>
              <w:t>fallen</w:t>
            </w:r>
            <w:r w:rsidRPr="00E73F6F">
              <w:rPr>
                <w:spacing w:val="40"/>
                <w:sz w:val="20"/>
                <w:lang w:val="de-DE"/>
              </w:rPr>
              <w:t xml:space="preserve"> </w:t>
            </w:r>
            <w:r w:rsidRPr="00E73F6F">
              <w:rPr>
                <w:sz w:val="20"/>
                <w:lang w:val="de-DE"/>
              </w:rPr>
              <w:t>(Beispiel</w:t>
            </w:r>
            <w:r w:rsidRPr="00E73F6F">
              <w:rPr>
                <w:spacing w:val="40"/>
                <w:sz w:val="20"/>
                <w:lang w:val="de-DE"/>
              </w:rPr>
              <w:t xml:space="preserve"> </w:t>
            </w:r>
            <w:r w:rsidRPr="00E73F6F">
              <w:rPr>
                <w:sz w:val="20"/>
                <w:lang w:val="de-DE"/>
              </w:rPr>
              <w:t>Textilien)</w:t>
            </w:r>
          </w:p>
          <w:p w14:paraId="57184F5A" w14:textId="3A93B573" w:rsidR="00FF7799" w:rsidRPr="00E73F6F" w:rsidRDefault="00FF7799" w:rsidP="00EA7901">
            <w:pPr>
              <w:pStyle w:val="StandardTextAufzhlung"/>
              <w:ind w:left="513"/>
              <w:jc w:val="left"/>
              <w:rPr>
                <w:sz w:val="20"/>
                <w:lang w:val="de-DE"/>
              </w:rPr>
            </w:pPr>
            <w:r w:rsidRPr="00E73F6F">
              <w:rPr>
                <w:sz w:val="20"/>
                <w:lang w:val="de-DE"/>
              </w:rPr>
              <w:t>Branchen</w:t>
            </w:r>
            <w:r w:rsidRPr="00E73F6F">
              <w:rPr>
                <w:spacing w:val="-6"/>
                <w:sz w:val="20"/>
                <w:lang w:val="de-DE"/>
              </w:rPr>
              <w:t xml:space="preserve"> </w:t>
            </w:r>
            <w:r w:rsidRPr="00E73F6F">
              <w:rPr>
                <w:sz w:val="20"/>
                <w:lang w:val="de-DE"/>
              </w:rPr>
              <w:t>mit</w:t>
            </w:r>
            <w:r w:rsidRPr="00E73F6F">
              <w:rPr>
                <w:spacing w:val="40"/>
                <w:sz w:val="20"/>
                <w:lang w:val="de-DE"/>
              </w:rPr>
              <w:t xml:space="preserve"> </w:t>
            </w:r>
            <w:r w:rsidRPr="00E73F6F">
              <w:rPr>
                <w:sz w:val="20"/>
                <w:lang w:val="de-DE"/>
              </w:rPr>
              <w:t>unterschiedlichen</w:t>
            </w:r>
            <w:r w:rsidRPr="00E73F6F">
              <w:rPr>
                <w:spacing w:val="40"/>
                <w:sz w:val="20"/>
                <w:lang w:val="de-DE"/>
              </w:rPr>
              <w:t xml:space="preserve"> </w:t>
            </w:r>
            <w:r w:rsidRPr="00E73F6F">
              <w:rPr>
                <w:sz w:val="20"/>
                <w:lang w:val="de-DE"/>
              </w:rPr>
              <w:t>Vertriebssystemen</w:t>
            </w:r>
            <w:r w:rsidRPr="00E73F6F">
              <w:rPr>
                <w:spacing w:val="40"/>
                <w:sz w:val="20"/>
                <w:lang w:val="de-DE"/>
              </w:rPr>
              <w:t xml:space="preserve"> </w:t>
            </w:r>
            <w:r w:rsidRPr="00E73F6F">
              <w:rPr>
                <w:sz w:val="20"/>
                <w:lang w:val="de-DE"/>
              </w:rPr>
              <w:t>oder</w:t>
            </w:r>
            <w:r w:rsidRPr="00E73F6F">
              <w:rPr>
                <w:spacing w:val="-6"/>
                <w:sz w:val="20"/>
                <w:lang w:val="de-DE"/>
              </w:rPr>
              <w:t xml:space="preserve"> </w:t>
            </w:r>
            <w:r w:rsidRPr="00E73F6F">
              <w:rPr>
                <w:sz w:val="20"/>
                <w:lang w:val="de-DE"/>
              </w:rPr>
              <w:t>Geschäftsmodellen</w:t>
            </w:r>
            <w:r w:rsidR="004A28F6" w:rsidRPr="00E73F6F">
              <w:rPr>
                <w:sz w:val="20"/>
                <w:lang w:val="de-DE"/>
              </w:rPr>
              <w:t xml:space="preserve"> </w:t>
            </w:r>
            <w:r w:rsidRPr="00E73F6F">
              <w:rPr>
                <w:sz w:val="20"/>
                <w:lang w:val="de-DE"/>
              </w:rPr>
              <w:t>(Beispiel</w:t>
            </w:r>
            <w:r w:rsidRPr="00E73F6F">
              <w:rPr>
                <w:spacing w:val="40"/>
                <w:sz w:val="20"/>
                <w:lang w:val="de-DE"/>
              </w:rPr>
              <w:t xml:space="preserve"> </w:t>
            </w:r>
            <w:r w:rsidRPr="00E73F6F">
              <w:rPr>
                <w:sz w:val="20"/>
                <w:lang w:val="de-DE"/>
              </w:rPr>
              <w:t>Versicherungen)</w:t>
            </w:r>
          </w:p>
          <w:p w14:paraId="5AA9070F" w14:textId="2009D7DC" w:rsidR="00FF7799" w:rsidRPr="00E73F6F" w:rsidRDefault="00FF7799" w:rsidP="00EA7901">
            <w:pPr>
              <w:pStyle w:val="StandardTextAufzhlung"/>
              <w:ind w:left="513"/>
              <w:jc w:val="left"/>
              <w:rPr>
                <w:sz w:val="20"/>
                <w:lang w:val="de-DE"/>
              </w:rPr>
            </w:pPr>
            <w:r w:rsidRPr="00E73F6F">
              <w:rPr>
                <w:sz w:val="20"/>
                <w:lang w:val="de-DE"/>
              </w:rPr>
              <w:t>Branchen, in</w:t>
            </w:r>
            <w:r w:rsidRPr="00E73F6F">
              <w:rPr>
                <w:spacing w:val="40"/>
                <w:sz w:val="20"/>
                <w:lang w:val="de-DE"/>
              </w:rPr>
              <w:t xml:space="preserve"> </w:t>
            </w:r>
            <w:r w:rsidRPr="00E73F6F">
              <w:rPr>
                <w:sz w:val="20"/>
                <w:lang w:val="de-DE"/>
              </w:rPr>
              <w:t>denen</w:t>
            </w:r>
            <w:r w:rsidRPr="00E73F6F">
              <w:rPr>
                <w:spacing w:val="40"/>
                <w:sz w:val="20"/>
                <w:lang w:val="de-DE"/>
              </w:rPr>
              <w:t xml:space="preserve"> </w:t>
            </w:r>
            <w:r w:rsidRPr="00E73F6F">
              <w:rPr>
                <w:sz w:val="20"/>
                <w:lang w:val="de-DE"/>
              </w:rPr>
              <w:t>Unternehmen</w:t>
            </w:r>
            <w:r w:rsidRPr="00E73F6F">
              <w:rPr>
                <w:spacing w:val="40"/>
                <w:sz w:val="20"/>
                <w:lang w:val="de-DE"/>
              </w:rPr>
              <w:t xml:space="preserve"> </w:t>
            </w:r>
            <w:r w:rsidRPr="00E73F6F">
              <w:rPr>
                <w:sz w:val="20"/>
                <w:lang w:val="de-DE"/>
              </w:rPr>
              <w:t>schnell</w:t>
            </w:r>
            <w:r w:rsidRPr="00E73F6F">
              <w:rPr>
                <w:spacing w:val="-6"/>
                <w:sz w:val="20"/>
                <w:lang w:val="de-DE"/>
              </w:rPr>
              <w:t xml:space="preserve"> </w:t>
            </w:r>
            <w:r w:rsidRPr="00E73F6F">
              <w:rPr>
                <w:sz w:val="20"/>
                <w:lang w:val="de-DE"/>
              </w:rPr>
              <w:t>reagieren</w:t>
            </w:r>
            <w:r w:rsidRPr="00E73F6F">
              <w:rPr>
                <w:spacing w:val="40"/>
                <w:sz w:val="20"/>
                <w:lang w:val="de-DE"/>
              </w:rPr>
              <w:t xml:space="preserve"> </w:t>
            </w:r>
            <w:r w:rsidRPr="00E73F6F">
              <w:rPr>
                <w:sz w:val="20"/>
                <w:lang w:val="de-DE"/>
              </w:rPr>
              <w:t>und</w:t>
            </w:r>
            <w:r w:rsidRPr="00E73F6F">
              <w:rPr>
                <w:spacing w:val="-9"/>
                <w:sz w:val="20"/>
                <w:lang w:val="de-DE"/>
              </w:rPr>
              <w:t xml:space="preserve"> </w:t>
            </w:r>
            <w:r w:rsidRPr="00E73F6F">
              <w:rPr>
                <w:sz w:val="20"/>
                <w:lang w:val="de-DE"/>
              </w:rPr>
              <w:t>agil</w:t>
            </w:r>
            <w:r w:rsidRPr="00E73F6F">
              <w:rPr>
                <w:spacing w:val="-9"/>
                <w:sz w:val="20"/>
                <w:lang w:val="de-DE"/>
              </w:rPr>
              <w:t xml:space="preserve"> </w:t>
            </w:r>
            <w:r w:rsidRPr="00E73F6F">
              <w:rPr>
                <w:sz w:val="20"/>
                <w:lang w:val="de-DE"/>
              </w:rPr>
              <w:t>sein</w:t>
            </w:r>
            <w:r w:rsidRPr="00E73F6F">
              <w:rPr>
                <w:spacing w:val="-9"/>
                <w:sz w:val="20"/>
                <w:lang w:val="de-DE"/>
              </w:rPr>
              <w:t xml:space="preserve"> </w:t>
            </w:r>
            <w:r w:rsidRPr="00E73F6F">
              <w:rPr>
                <w:sz w:val="20"/>
                <w:lang w:val="de-DE"/>
              </w:rPr>
              <w:t>mü</w:t>
            </w:r>
            <w:r w:rsidR="00EA7901">
              <w:rPr>
                <w:sz w:val="20"/>
                <w:lang w:val="de-DE"/>
              </w:rPr>
              <w:t>s</w:t>
            </w:r>
            <w:r w:rsidRPr="00E73F6F">
              <w:rPr>
                <w:sz w:val="20"/>
                <w:lang w:val="de-DE"/>
              </w:rPr>
              <w:t>sen (etwa bei</w:t>
            </w:r>
            <w:r w:rsidRPr="00E73F6F">
              <w:rPr>
                <w:spacing w:val="40"/>
                <w:sz w:val="20"/>
                <w:lang w:val="de-DE"/>
              </w:rPr>
              <w:t xml:space="preserve"> </w:t>
            </w:r>
            <w:r w:rsidRPr="00E73F6F">
              <w:rPr>
                <w:sz w:val="20"/>
                <w:lang w:val="de-DE"/>
              </w:rPr>
              <w:t>Haushaltsgeräten)</w:t>
            </w:r>
          </w:p>
        </w:tc>
      </w:tr>
    </w:tbl>
    <w:p w14:paraId="63BA880C" w14:textId="77777777" w:rsidR="00FF7799" w:rsidRPr="00E73F6F" w:rsidRDefault="00FF7799" w:rsidP="004A28F6">
      <w:pPr>
        <w:pStyle w:val="Quellen"/>
      </w:pPr>
      <w:r w:rsidRPr="00E73F6F">
        <w:t>Quelle:</w:t>
      </w:r>
      <w:r w:rsidRPr="00E73F6F">
        <w:rPr>
          <w:spacing w:val="-1"/>
        </w:rPr>
        <w:t xml:space="preserve"> </w:t>
      </w:r>
      <w:r w:rsidRPr="00E73F6F">
        <w:t>Ghemawat</w:t>
      </w:r>
      <w:r w:rsidRPr="00E73F6F">
        <w:rPr>
          <w:spacing w:val="-1"/>
        </w:rPr>
        <w:t xml:space="preserve"> </w:t>
      </w:r>
      <w:r w:rsidRPr="00E73F6F">
        <w:t>(2002,</w:t>
      </w:r>
      <w:r w:rsidRPr="00E73F6F">
        <w:rPr>
          <w:spacing w:val="-2"/>
        </w:rPr>
        <w:t xml:space="preserve"> </w:t>
      </w:r>
      <w:r w:rsidRPr="00E73F6F">
        <w:t>S.84),</w:t>
      </w:r>
      <w:r w:rsidRPr="00E73F6F">
        <w:rPr>
          <w:spacing w:val="-3"/>
        </w:rPr>
        <w:t xml:space="preserve"> </w:t>
      </w:r>
      <w:r w:rsidRPr="00E73F6F">
        <w:t>eigene</w:t>
      </w:r>
      <w:r w:rsidRPr="00E73F6F">
        <w:rPr>
          <w:spacing w:val="-1"/>
        </w:rPr>
        <w:t xml:space="preserve"> </w:t>
      </w:r>
      <w:r w:rsidRPr="00E73F6F">
        <w:rPr>
          <w:spacing w:val="-2"/>
        </w:rPr>
        <w:t>Übersetzung.</w:t>
      </w:r>
    </w:p>
    <w:p w14:paraId="06021C97" w14:textId="77777777" w:rsidR="00FF7799" w:rsidRPr="00E73F6F" w:rsidRDefault="00FF7799" w:rsidP="004A28F6">
      <w:pPr>
        <w:pStyle w:val="StandardText"/>
      </w:pPr>
    </w:p>
    <w:p w14:paraId="1A0F735F" w14:textId="77777777" w:rsidR="00FF7799" w:rsidRPr="009278E0" w:rsidRDefault="00FF7799" w:rsidP="00D14657">
      <w:pPr>
        <w:pStyle w:val="StandardText"/>
        <w:rPr>
          <w:sz w:val="22"/>
          <w:szCs w:val="22"/>
          <w:lang w:val="en-US"/>
        </w:rPr>
      </w:pPr>
      <w:r w:rsidRPr="009278E0">
        <w:rPr>
          <w:b/>
          <w:i/>
          <w:sz w:val="22"/>
          <w:szCs w:val="22"/>
          <w:lang w:val="en-US"/>
        </w:rPr>
        <w:t>Literatur:</w:t>
      </w:r>
      <w:r w:rsidRPr="00035E56">
        <w:rPr>
          <w:b/>
          <w:spacing w:val="-3"/>
          <w:sz w:val="22"/>
          <w:szCs w:val="22"/>
          <w:lang w:val="en-US"/>
        </w:rPr>
        <w:t xml:space="preserve"> </w:t>
      </w:r>
      <w:r w:rsidRPr="009278E0">
        <w:rPr>
          <w:sz w:val="22"/>
          <w:szCs w:val="22"/>
          <w:lang w:val="en-US"/>
        </w:rPr>
        <w:t>Frankel,</w:t>
      </w:r>
      <w:r w:rsidRPr="009278E0">
        <w:rPr>
          <w:spacing w:val="-3"/>
          <w:sz w:val="22"/>
          <w:szCs w:val="22"/>
          <w:lang w:val="en-US"/>
        </w:rPr>
        <w:t xml:space="preserve"> </w:t>
      </w:r>
      <w:r w:rsidRPr="009278E0">
        <w:rPr>
          <w:sz w:val="22"/>
          <w:szCs w:val="22"/>
          <w:lang w:val="en-US"/>
        </w:rPr>
        <w:t>J.A.</w:t>
      </w:r>
      <w:r w:rsidRPr="009278E0">
        <w:rPr>
          <w:spacing w:val="-1"/>
          <w:sz w:val="22"/>
          <w:szCs w:val="22"/>
          <w:lang w:val="en-US"/>
        </w:rPr>
        <w:t xml:space="preserve"> </w:t>
      </w:r>
      <w:r w:rsidRPr="009278E0">
        <w:rPr>
          <w:sz w:val="22"/>
          <w:szCs w:val="22"/>
          <w:lang w:val="en-US"/>
        </w:rPr>
        <w:t>(2002):</w:t>
      </w:r>
      <w:r w:rsidRPr="009278E0">
        <w:rPr>
          <w:spacing w:val="-1"/>
          <w:sz w:val="22"/>
          <w:szCs w:val="22"/>
          <w:lang w:val="en-US"/>
        </w:rPr>
        <w:t xml:space="preserve"> </w:t>
      </w:r>
      <w:r w:rsidRPr="009278E0">
        <w:rPr>
          <w:sz w:val="22"/>
          <w:szCs w:val="22"/>
          <w:lang w:val="en-US"/>
        </w:rPr>
        <w:t>An</w:t>
      </w:r>
      <w:r w:rsidRPr="009278E0">
        <w:rPr>
          <w:spacing w:val="-2"/>
          <w:sz w:val="22"/>
          <w:szCs w:val="22"/>
          <w:lang w:val="en-US"/>
        </w:rPr>
        <w:t xml:space="preserve"> </w:t>
      </w:r>
      <w:r w:rsidRPr="009278E0">
        <w:rPr>
          <w:sz w:val="22"/>
          <w:szCs w:val="22"/>
          <w:lang w:val="en-US"/>
        </w:rPr>
        <w:t>Estimate</w:t>
      </w:r>
      <w:r w:rsidRPr="009278E0">
        <w:rPr>
          <w:spacing w:val="-5"/>
          <w:sz w:val="22"/>
          <w:szCs w:val="22"/>
          <w:lang w:val="en-US"/>
        </w:rPr>
        <w:t xml:space="preserve"> </w:t>
      </w:r>
      <w:r w:rsidRPr="009278E0">
        <w:rPr>
          <w:sz w:val="22"/>
          <w:szCs w:val="22"/>
          <w:lang w:val="en-US"/>
        </w:rPr>
        <w:t>of</w:t>
      </w:r>
      <w:r w:rsidRPr="009278E0">
        <w:rPr>
          <w:spacing w:val="-4"/>
          <w:sz w:val="22"/>
          <w:szCs w:val="22"/>
          <w:lang w:val="en-US"/>
        </w:rPr>
        <w:t xml:space="preserve"> </w:t>
      </w:r>
      <w:r w:rsidRPr="009278E0">
        <w:rPr>
          <w:sz w:val="22"/>
          <w:szCs w:val="22"/>
          <w:lang w:val="en-US"/>
        </w:rPr>
        <w:t>the</w:t>
      </w:r>
      <w:r w:rsidRPr="009278E0">
        <w:rPr>
          <w:spacing w:val="-3"/>
          <w:sz w:val="22"/>
          <w:szCs w:val="22"/>
          <w:lang w:val="en-US"/>
        </w:rPr>
        <w:t xml:space="preserve"> </w:t>
      </w:r>
      <w:r w:rsidRPr="009278E0">
        <w:rPr>
          <w:sz w:val="22"/>
          <w:szCs w:val="22"/>
          <w:lang w:val="en-US"/>
        </w:rPr>
        <w:t>Effect</w:t>
      </w:r>
      <w:r w:rsidRPr="009278E0">
        <w:rPr>
          <w:spacing w:val="-2"/>
          <w:sz w:val="22"/>
          <w:szCs w:val="22"/>
          <w:lang w:val="en-US"/>
        </w:rPr>
        <w:t xml:space="preserve"> </w:t>
      </w:r>
      <w:r w:rsidRPr="009278E0">
        <w:rPr>
          <w:sz w:val="22"/>
          <w:szCs w:val="22"/>
          <w:lang w:val="en-US"/>
        </w:rPr>
        <w:t>of</w:t>
      </w:r>
      <w:r w:rsidRPr="009278E0">
        <w:rPr>
          <w:spacing w:val="-4"/>
          <w:sz w:val="22"/>
          <w:szCs w:val="22"/>
          <w:lang w:val="en-US"/>
        </w:rPr>
        <w:t xml:space="preserve"> </w:t>
      </w:r>
      <w:r w:rsidRPr="009278E0">
        <w:rPr>
          <w:sz w:val="22"/>
          <w:szCs w:val="22"/>
          <w:lang w:val="en-US"/>
        </w:rPr>
        <w:t>Common</w:t>
      </w:r>
      <w:r w:rsidRPr="009278E0">
        <w:rPr>
          <w:spacing w:val="-4"/>
          <w:sz w:val="22"/>
          <w:szCs w:val="22"/>
          <w:lang w:val="en-US"/>
        </w:rPr>
        <w:t xml:space="preserve"> </w:t>
      </w:r>
      <w:r w:rsidRPr="009278E0">
        <w:rPr>
          <w:sz w:val="22"/>
          <w:szCs w:val="22"/>
          <w:lang w:val="en-US"/>
        </w:rPr>
        <w:t>Currencies</w:t>
      </w:r>
      <w:r w:rsidRPr="009278E0">
        <w:rPr>
          <w:spacing w:val="-6"/>
          <w:sz w:val="22"/>
          <w:szCs w:val="22"/>
          <w:lang w:val="en-US"/>
        </w:rPr>
        <w:t xml:space="preserve"> </w:t>
      </w:r>
      <w:r w:rsidRPr="009278E0">
        <w:rPr>
          <w:sz w:val="22"/>
          <w:szCs w:val="22"/>
          <w:lang w:val="en-US"/>
        </w:rPr>
        <w:t>on</w:t>
      </w:r>
      <w:r w:rsidRPr="009278E0">
        <w:rPr>
          <w:spacing w:val="-2"/>
          <w:sz w:val="22"/>
          <w:szCs w:val="22"/>
          <w:lang w:val="en-US"/>
        </w:rPr>
        <w:t xml:space="preserve"> </w:t>
      </w:r>
      <w:r w:rsidRPr="009278E0">
        <w:rPr>
          <w:sz w:val="22"/>
          <w:szCs w:val="22"/>
          <w:lang w:val="en-US"/>
        </w:rPr>
        <w:t>Trade</w:t>
      </w:r>
      <w:r w:rsidRPr="009278E0">
        <w:rPr>
          <w:spacing w:val="40"/>
          <w:sz w:val="22"/>
          <w:szCs w:val="22"/>
          <w:lang w:val="en-US"/>
        </w:rPr>
        <w:t xml:space="preserve"> </w:t>
      </w:r>
      <w:r w:rsidRPr="009278E0">
        <w:rPr>
          <w:sz w:val="22"/>
          <w:szCs w:val="22"/>
          <w:lang w:val="en-US"/>
        </w:rPr>
        <w:t>and Income,</w:t>
      </w:r>
      <w:r w:rsidRPr="009278E0">
        <w:rPr>
          <w:spacing w:val="-1"/>
          <w:sz w:val="22"/>
          <w:szCs w:val="22"/>
          <w:lang w:val="en-US"/>
        </w:rPr>
        <w:t xml:space="preserve"> </w:t>
      </w:r>
      <w:r w:rsidRPr="009278E0">
        <w:rPr>
          <w:sz w:val="22"/>
          <w:szCs w:val="22"/>
          <w:lang w:val="en-US"/>
        </w:rPr>
        <w:t>The Quarterly Journal</w:t>
      </w:r>
      <w:r w:rsidRPr="009278E0">
        <w:rPr>
          <w:spacing w:val="-2"/>
          <w:sz w:val="22"/>
          <w:szCs w:val="22"/>
          <w:lang w:val="en-US"/>
        </w:rPr>
        <w:t xml:space="preserve"> </w:t>
      </w:r>
      <w:r w:rsidRPr="009278E0">
        <w:rPr>
          <w:sz w:val="22"/>
          <w:szCs w:val="22"/>
          <w:lang w:val="en-US"/>
        </w:rPr>
        <w:t>of</w:t>
      </w:r>
      <w:r w:rsidRPr="009278E0">
        <w:rPr>
          <w:spacing w:val="-4"/>
          <w:sz w:val="22"/>
          <w:szCs w:val="22"/>
          <w:lang w:val="en-US"/>
        </w:rPr>
        <w:t xml:space="preserve"> </w:t>
      </w:r>
      <w:r w:rsidRPr="009278E0">
        <w:rPr>
          <w:sz w:val="22"/>
          <w:szCs w:val="22"/>
          <w:lang w:val="en-US"/>
        </w:rPr>
        <w:t>Economics, 117(2):</w:t>
      </w:r>
      <w:r w:rsidRPr="009278E0">
        <w:rPr>
          <w:spacing w:val="-2"/>
          <w:sz w:val="22"/>
          <w:szCs w:val="22"/>
          <w:lang w:val="en-US"/>
        </w:rPr>
        <w:t xml:space="preserve"> </w:t>
      </w:r>
      <w:r w:rsidRPr="009278E0">
        <w:rPr>
          <w:sz w:val="22"/>
          <w:szCs w:val="22"/>
          <w:lang w:val="en-US"/>
        </w:rPr>
        <w:t>437-466.</w:t>
      </w:r>
      <w:r w:rsidRPr="009278E0">
        <w:rPr>
          <w:spacing w:val="40"/>
          <w:sz w:val="22"/>
          <w:szCs w:val="22"/>
          <w:lang w:val="en-US"/>
        </w:rPr>
        <w:t xml:space="preserve"> </w:t>
      </w:r>
      <w:r w:rsidRPr="009278E0">
        <w:rPr>
          <w:sz w:val="22"/>
          <w:szCs w:val="22"/>
          <w:lang w:val="en-US"/>
        </w:rPr>
        <w:t>Ghemawat,</w:t>
      </w:r>
      <w:r w:rsidRPr="009278E0">
        <w:rPr>
          <w:spacing w:val="-2"/>
          <w:sz w:val="22"/>
          <w:szCs w:val="22"/>
          <w:lang w:val="en-US"/>
        </w:rPr>
        <w:t xml:space="preserve"> </w:t>
      </w:r>
      <w:r w:rsidRPr="009278E0">
        <w:rPr>
          <w:sz w:val="22"/>
          <w:szCs w:val="22"/>
          <w:lang w:val="en-US"/>
        </w:rPr>
        <w:t>P. (2001):</w:t>
      </w:r>
      <w:r w:rsidRPr="009278E0">
        <w:rPr>
          <w:spacing w:val="40"/>
          <w:sz w:val="22"/>
          <w:szCs w:val="22"/>
          <w:lang w:val="en-US"/>
        </w:rPr>
        <w:t xml:space="preserve"> </w:t>
      </w:r>
      <w:r w:rsidRPr="009278E0">
        <w:rPr>
          <w:sz w:val="22"/>
          <w:szCs w:val="22"/>
          <w:lang w:val="en-US"/>
        </w:rPr>
        <w:t>Distance Still Matters, Harvard Business Review, 79(8): 137-145.</w:t>
      </w:r>
      <w:r w:rsidRPr="009278E0">
        <w:rPr>
          <w:spacing w:val="40"/>
          <w:sz w:val="22"/>
          <w:szCs w:val="22"/>
          <w:lang w:val="en-US"/>
        </w:rPr>
        <w:t xml:space="preserve"> </w:t>
      </w:r>
      <w:r w:rsidRPr="009278E0">
        <w:rPr>
          <w:sz w:val="22"/>
          <w:szCs w:val="22"/>
          <w:lang w:val="en-US"/>
        </w:rPr>
        <w:t>Ghemawat, P. (2002):</w:t>
      </w:r>
      <w:r w:rsidRPr="009278E0">
        <w:rPr>
          <w:spacing w:val="40"/>
          <w:sz w:val="22"/>
          <w:szCs w:val="22"/>
          <w:lang w:val="en-US"/>
        </w:rPr>
        <w:t xml:space="preserve"> </w:t>
      </w:r>
      <w:r w:rsidRPr="009278E0">
        <w:rPr>
          <w:sz w:val="22"/>
          <w:szCs w:val="22"/>
          <w:lang w:val="en-US"/>
        </w:rPr>
        <w:t>Globale Expansion. Kein leichter Weg, Harvard Business Manager, 24(2): 82-94. NBER</w:t>
      </w:r>
      <w:r w:rsidRPr="009278E0">
        <w:rPr>
          <w:spacing w:val="40"/>
          <w:sz w:val="22"/>
          <w:szCs w:val="22"/>
          <w:lang w:val="en-US"/>
        </w:rPr>
        <w:t xml:space="preserve"> </w:t>
      </w:r>
      <w:r w:rsidRPr="009278E0">
        <w:rPr>
          <w:sz w:val="22"/>
          <w:szCs w:val="22"/>
          <w:lang w:val="en-US"/>
        </w:rPr>
        <w:t>Working Paper 7857, Cambridge/MA: National Bureau of Economic Research.</w:t>
      </w:r>
    </w:p>
    <w:p w14:paraId="5DC9C4EC" w14:textId="77777777" w:rsidR="004A28F6" w:rsidRPr="00E35FFF" w:rsidRDefault="004A28F6" w:rsidP="00D14657">
      <w:pPr>
        <w:pStyle w:val="StandardText"/>
        <w:rPr>
          <w:lang w:val="en-US"/>
        </w:rPr>
      </w:pPr>
    </w:p>
    <w:p w14:paraId="3F105D2F" w14:textId="77777777" w:rsidR="008A2FFC" w:rsidRPr="007F69DA" w:rsidRDefault="008A2FFC" w:rsidP="008A2FFC">
      <w:pPr>
        <w:keepNext/>
        <w:keepLines/>
        <w:spacing w:before="240"/>
        <w:jc w:val="both"/>
        <w:outlineLvl w:val="1"/>
        <w:rPr>
          <w:b/>
          <w:color w:val="2E74B5"/>
        </w:rPr>
      </w:pPr>
      <w:r w:rsidRPr="007F69DA">
        <w:rPr>
          <w:b/>
          <w:color w:val="2E74B5"/>
        </w:rPr>
        <w:t>Diversity Management</w:t>
      </w:r>
    </w:p>
    <w:p w14:paraId="71D3ACA3" w14:textId="77777777" w:rsidR="008A2FFC" w:rsidRPr="007F69DA" w:rsidRDefault="008A2FFC" w:rsidP="008A2FFC">
      <w:pPr>
        <w:rPr>
          <w:lang w:bidi="en-US"/>
        </w:rPr>
      </w:pPr>
    </w:p>
    <w:p w14:paraId="6092DDE0" w14:textId="77777777" w:rsidR="008A2FFC" w:rsidRPr="007F69DA" w:rsidRDefault="008A2FFC" w:rsidP="008A2FFC">
      <w:pPr>
        <w:rPr>
          <w:lang w:bidi="en-US"/>
        </w:rPr>
      </w:pPr>
      <w:r w:rsidRPr="007F69DA">
        <w:rPr>
          <w:lang w:bidi="en-US"/>
        </w:rPr>
        <w:t>1. Überblick</w:t>
      </w:r>
    </w:p>
    <w:p w14:paraId="7D56D388" w14:textId="77777777" w:rsidR="008A2FFC" w:rsidRPr="007F69DA" w:rsidRDefault="008A2FFC" w:rsidP="008A2FFC">
      <w:pPr>
        <w:jc w:val="both"/>
        <w:rPr>
          <w:szCs w:val="24"/>
          <w:lang w:bidi="en-US"/>
        </w:rPr>
      </w:pPr>
      <w:r w:rsidRPr="007F69DA">
        <w:rPr>
          <w:szCs w:val="24"/>
          <w:lang w:bidi="en-US"/>
        </w:rPr>
        <w:lastRenderedPageBreak/>
        <w:t>Befasst sich als Teilgebiet von Human Ressource-Management (HRM) kultureller Vielfalt bzw. Heterogenität innerhalb des Unternehmensverbundes (vgl. Süß/Kleiner 2006; Wagner/Sepehri 2000). Man kann es deshalb auch als „HRM in kulturell heterogenen Unternehmen“ bezeichnen. Denn Diversity-Management trägt dem Umstand Rechnung, dass Manager im Zuge der Internatio</w:t>
      </w:r>
      <w:r w:rsidRPr="007F69DA">
        <w:rPr>
          <w:szCs w:val="24"/>
          <w:lang w:bidi="en-US"/>
        </w:rPr>
        <w:softHyphen/>
        <w:t>nali</w:t>
      </w:r>
      <w:r w:rsidRPr="007F69DA">
        <w:rPr>
          <w:szCs w:val="24"/>
          <w:lang w:bidi="en-US"/>
        </w:rPr>
        <w:softHyphen/>
        <w:t>sie</w:t>
      </w:r>
      <w:r w:rsidRPr="007F69DA">
        <w:rPr>
          <w:szCs w:val="24"/>
          <w:lang w:bidi="en-US"/>
        </w:rPr>
        <w:softHyphen/>
        <w:t>rung bzw. Glo</w:t>
      </w:r>
      <w:r w:rsidRPr="007F69DA">
        <w:rPr>
          <w:szCs w:val="24"/>
          <w:lang w:bidi="en-US"/>
        </w:rPr>
        <w:softHyphen/>
        <w:t>balisierung der Geschäftstätigkeit ler</w:t>
      </w:r>
      <w:r w:rsidRPr="007F69DA">
        <w:rPr>
          <w:szCs w:val="24"/>
          <w:lang w:bidi="en-US"/>
        </w:rPr>
        <w:softHyphen/>
        <w:t xml:space="preserve">nen müssen, mit den verschiedenen Phänomenen von Diversität und deren Konsequenzen für den Unternehmensalltag umzugehen. </w:t>
      </w:r>
    </w:p>
    <w:p w14:paraId="06FDFD99" w14:textId="77777777" w:rsidR="008A2FFC" w:rsidRPr="007F69DA" w:rsidRDefault="008A2FFC" w:rsidP="008A2FFC">
      <w:pPr>
        <w:jc w:val="both"/>
        <w:rPr>
          <w:szCs w:val="24"/>
          <w:lang w:bidi="en-US"/>
        </w:rPr>
      </w:pPr>
    </w:p>
    <w:p w14:paraId="58F68D5A" w14:textId="77777777" w:rsidR="008A2FFC" w:rsidRPr="007F69DA" w:rsidRDefault="008A2FFC" w:rsidP="008A2FFC">
      <w:pPr>
        <w:jc w:val="both"/>
        <w:rPr>
          <w:szCs w:val="24"/>
          <w:lang w:bidi="en-US"/>
        </w:rPr>
      </w:pPr>
      <w:r w:rsidRPr="007F69DA">
        <w:rPr>
          <w:bCs/>
          <w:szCs w:val="24"/>
          <w:lang w:bidi="en-US"/>
        </w:rPr>
        <w:t>Seit Glazer/Moynihan (1954) mit „Beyond the Melting Pot“ den Mythos der Interkulturalität begründet haben, wird intensiv über die Vor- und Nachteile ethnisch-kultu</w:t>
      </w:r>
      <w:r w:rsidRPr="007F69DA">
        <w:rPr>
          <w:bCs/>
          <w:szCs w:val="24"/>
          <w:lang w:bidi="en-US"/>
        </w:rPr>
        <w:softHyphen/>
        <w:t>reller Vielfalt in den verschiedensten Lebensbereichen diskutiert.</w:t>
      </w:r>
      <w:r w:rsidRPr="007F69DA">
        <w:rPr>
          <w:szCs w:val="24"/>
          <w:lang w:bidi="en-US"/>
        </w:rPr>
        <w:t xml:space="preserve"> </w:t>
      </w:r>
      <w:r w:rsidRPr="007F69DA">
        <w:rPr>
          <w:bCs/>
          <w:szCs w:val="24"/>
          <w:lang w:bidi="en-US"/>
        </w:rPr>
        <w:t xml:space="preserve">Innerhalb des wirtschaftswissenschaftlichen Denkansatzes sind zwei Sichtweisen zu unterscheiden: </w:t>
      </w:r>
    </w:p>
    <w:p w14:paraId="0599AD6F" w14:textId="77777777" w:rsidR="008A2FFC" w:rsidRPr="007F69DA" w:rsidRDefault="008A2FFC">
      <w:pPr>
        <w:widowControl/>
        <w:numPr>
          <w:ilvl w:val="0"/>
          <w:numId w:val="52"/>
        </w:numPr>
        <w:autoSpaceDE/>
        <w:autoSpaceDN/>
        <w:ind w:left="426"/>
        <w:contextualSpacing/>
        <w:jc w:val="both"/>
        <w:rPr>
          <w:bCs/>
          <w:szCs w:val="24"/>
          <w:lang w:bidi="en-US"/>
        </w:rPr>
      </w:pPr>
      <w:r w:rsidRPr="007F69DA">
        <w:rPr>
          <w:bCs/>
          <w:szCs w:val="24"/>
          <w:lang w:bidi="en-US"/>
        </w:rPr>
        <w:t xml:space="preserve">personenbezogene, moralisch-wertende Sicht auf Diversität, welche die Konzepte Fairness und Diskriminierung in den Mittelpunkt der Überlegungen stellt, </w:t>
      </w:r>
    </w:p>
    <w:p w14:paraId="739F38D6" w14:textId="77777777" w:rsidR="008A2FFC" w:rsidRPr="007F69DA" w:rsidRDefault="008A2FFC">
      <w:pPr>
        <w:widowControl/>
        <w:numPr>
          <w:ilvl w:val="0"/>
          <w:numId w:val="52"/>
        </w:numPr>
        <w:autoSpaceDE/>
        <w:autoSpaceDN/>
        <w:ind w:left="426"/>
        <w:contextualSpacing/>
        <w:jc w:val="both"/>
        <w:rPr>
          <w:bCs/>
          <w:szCs w:val="24"/>
          <w:lang w:bidi="en-US"/>
        </w:rPr>
      </w:pPr>
      <w:r w:rsidRPr="007F69DA">
        <w:rPr>
          <w:bCs/>
          <w:szCs w:val="24"/>
          <w:lang w:bidi="en-US"/>
        </w:rPr>
        <w:t>institutionell-strukturelle Perspektive. Sie beschäftigt sich vor allem mit der Frage, ob und in welcher Weise Diversity Management den Markteintritt erleichtert und für Legitimität sorgt.</w:t>
      </w:r>
    </w:p>
    <w:p w14:paraId="3E546ED1" w14:textId="77777777" w:rsidR="008A2FFC" w:rsidRPr="007F69DA" w:rsidRDefault="008A2FFC" w:rsidP="008A2FFC">
      <w:pPr>
        <w:ind w:left="284"/>
        <w:contextualSpacing/>
        <w:jc w:val="both"/>
        <w:rPr>
          <w:bCs/>
          <w:szCs w:val="24"/>
          <w:lang w:bidi="en-US"/>
        </w:rPr>
      </w:pPr>
    </w:p>
    <w:p w14:paraId="482C122E" w14:textId="77777777" w:rsidR="008A2FFC" w:rsidRPr="007F69DA" w:rsidRDefault="008A2FFC" w:rsidP="008A2FFC">
      <w:pPr>
        <w:jc w:val="both"/>
        <w:rPr>
          <w:bCs/>
          <w:szCs w:val="24"/>
          <w:lang w:bidi="en-US"/>
        </w:rPr>
      </w:pPr>
      <w:r w:rsidRPr="007F69DA">
        <w:rPr>
          <w:bCs/>
          <w:szCs w:val="24"/>
          <w:lang w:bidi="en-US"/>
        </w:rPr>
        <w:t>Der generische Ansatz beschränkt sich nicht auf das Management landeskulturell bedingter Variabilität, sondern bezieht auch das Geschlecht, die Hautfarbe, die sexuelle Orientierung, den Grad der formellen Bil</w:t>
      </w:r>
      <w:r w:rsidRPr="007F69DA">
        <w:rPr>
          <w:bCs/>
          <w:szCs w:val="24"/>
          <w:lang w:bidi="en-US"/>
        </w:rPr>
        <w:softHyphen/>
        <w:t>dung oder etwaige Behinderungen in das Diversitäts</w:t>
      </w:r>
      <w:r w:rsidRPr="007F69DA">
        <w:rPr>
          <w:bCs/>
          <w:szCs w:val="24"/>
          <w:lang w:bidi="en-US"/>
        </w:rPr>
        <w:softHyphen/>
        <w:t>kon</w:t>
      </w:r>
      <w:r w:rsidRPr="007F69DA">
        <w:rPr>
          <w:bCs/>
          <w:szCs w:val="24"/>
          <w:lang w:bidi="en-US"/>
        </w:rPr>
        <w:softHyphen/>
        <w:t>zept ein.</w:t>
      </w:r>
    </w:p>
    <w:p w14:paraId="5DC248C6" w14:textId="77777777" w:rsidR="008A2FFC" w:rsidRPr="007F69DA" w:rsidRDefault="008A2FFC" w:rsidP="008A2FFC">
      <w:pPr>
        <w:jc w:val="both"/>
        <w:rPr>
          <w:bCs/>
          <w:szCs w:val="24"/>
          <w:lang w:bidi="en-US"/>
        </w:rPr>
      </w:pPr>
    </w:p>
    <w:p w14:paraId="016EBA83" w14:textId="77777777" w:rsidR="008A2FFC" w:rsidRPr="007F69DA" w:rsidRDefault="008A2FFC" w:rsidP="008A2FFC">
      <w:pPr>
        <w:jc w:val="both"/>
        <w:rPr>
          <w:bCs/>
          <w:szCs w:val="24"/>
          <w:lang w:bidi="en-US"/>
        </w:rPr>
      </w:pPr>
      <w:r w:rsidRPr="007F69DA">
        <w:rPr>
          <w:bCs/>
          <w:szCs w:val="24"/>
          <w:lang w:bidi="en-US"/>
        </w:rPr>
        <w:t>Dies führt zu der Frage: Warum betreiben Unternehmen Diversity Management? Als Konsequenz …</w:t>
      </w:r>
    </w:p>
    <w:p w14:paraId="0FF5DA42" w14:textId="77777777" w:rsidR="008A2FFC" w:rsidRPr="007F69DA" w:rsidRDefault="008A2FFC">
      <w:pPr>
        <w:widowControl/>
        <w:numPr>
          <w:ilvl w:val="0"/>
          <w:numId w:val="53"/>
        </w:numPr>
        <w:autoSpaceDE/>
        <w:autoSpaceDN/>
        <w:ind w:left="426"/>
        <w:contextualSpacing/>
        <w:jc w:val="both"/>
        <w:rPr>
          <w:bCs/>
          <w:szCs w:val="24"/>
          <w:lang w:bidi="en-US"/>
        </w:rPr>
      </w:pPr>
      <w:r w:rsidRPr="007F69DA">
        <w:rPr>
          <w:bCs/>
          <w:szCs w:val="24"/>
          <w:lang w:bidi="en-US"/>
        </w:rPr>
        <w:t xml:space="preserve">moralischer Selbstverpflichtung (bspw. in einem Code of Conduct)? </w:t>
      </w:r>
    </w:p>
    <w:p w14:paraId="65C2BEF6" w14:textId="77777777" w:rsidR="008A2FFC" w:rsidRPr="007F69DA" w:rsidRDefault="008A2FFC">
      <w:pPr>
        <w:widowControl/>
        <w:numPr>
          <w:ilvl w:val="0"/>
          <w:numId w:val="53"/>
        </w:numPr>
        <w:autoSpaceDE/>
        <w:autoSpaceDN/>
        <w:ind w:left="426"/>
        <w:contextualSpacing/>
        <w:jc w:val="both"/>
        <w:rPr>
          <w:bCs/>
          <w:szCs w:val="24"/>
          <w:lang w:bidi="en-US"/>
        </w:rPr>
      </w:pPr>
      <w:r w:rsidRPr="007F69DA">
        <w:rPr>
          <w:bCs/>
          <w:szCs w:val="24"/>
          <w:lang w:bidi="en-US"/>
        </w:rPr>
        <w:t>rechtlicher Vorgaben („Gesetz zur Bekämpfung der Arbeitslosigkeit Schwerbehinderter“)?</w:t>
      </w:r>
    </w:p>
    <w:p w14:paraId="7B24D66B" w14:textId="77777777" w:rsidR="008A2FFC" w:rsidRPr="007F69DA" w:rsidRDefault="008A2FFC">
      <w:pPr>
        <w:widowControl/>
        <w:numPr>
          <w:ilvl w:val="0"/>
          <w:numId w:val="53"/>
        </w:numPr>
        <w:autoSpaceDE/>
        <w:autoSpaceDN/>
        <w:ind w:left="426"/>
        <w:contextualSpacing/>
        <w:jc w:val="both"/>
        <w:rPr>
          <w:bCs/>
          <w:szCs w:val="24"/>
          <w:lang w:bidi="en-US"/>
        </w:rPr>
      </w:pPr>
      <w:r w:rsidRPr="007F69DA">
        <w:rPr>
          <w:bCs/>
          <w:szCs w:val="24"/>
          <w:lang w:bidi="en-US"/>
        </w:rPr>
        <w:t>betriebswirtschaftlichen Effizienzstrebens?</w:t>
      </w:r>
    </w:p>
    <w:p w14:paraId="4F42B05F" w14:textId="77777777" w:rsidR="008A2FFC" w:rsidRPr="007F69DA" w:rsidRDefault="008A2FFC" w:rsidP="008A2FFC">
      <w:pPr>
        <w:jc w:val="both"/>
        <w:rPr>
          <w:bCs/>
          <w:szCs w:val="24"/>
          <w:lang w:bidi="en-US"/>
        </w:rPr>
      </w:pPr>
    </w:p>
    <w:p w14:paraId="4C74FCC2" w14:textId="77777777" w:rsidR="008A2FFC" w:rsidRPr="007F69DA" w:rsidRDefault="008A2FFC" w:rsidP="008A2FFC">
      <w:pPr>
        <w:jc w:val="both"/>
        <w:rPr>
          <w:bCs/>
          <w:szCs w:val="24"/>
          <w:lang w:bidi="en-US"/>
        </w:rPr>
      </w:pPr>
    </w:p>
    <w:p w14:paraId="3F118CEC" w14:textId="77777777" w:rsidR="008A2FFC" w:rsidRPr="007F69DA" w:rsidRDefault="008A2FFC" w:rsidP="008A2FFC">
      <w:pPr>
        <w:jc w:val="both"/>
        <w:rPr>
          <w:szCs w:val="24"/>
          <w:lang w:bidi="en-US"/>
        </w:rPr>
      </w:pPr>
      <w:r w:rsidRPr="007F69DA">
        <w:rPr>
          <w:szCs w:val="24"/>
          <w:lang w:bidi="en-US"/>
        </w:rPr>
        <w:t>Nicht nur Global Player haben Kunden in mehr als 100 Ländern. Auch viele Mittelständler sind in zahlreichen Auslandsmärkten tätig und darauf angewiesen, dass ihre Mitarbeiter angemessen mit Angehörigen fremder Kulturen umgehen können: dass sie über interkulturelle Kompetenz verfügen (</w:t>
      </w:r>
      <w:r w:rsidRPr="007F69DA">
        <w:rPr>
          <w:szCs w:val="24"/>
          <w:lang w:bidi="en-US"/>
        </w:rPr>
        <w:sym w:font="Symbol" w:char="F0DE"/>
      </w:r>
      <w:r w:rsidRPr="007F69DA">
        <w:rPr>
          <w:szCs w:val="24"/>
          <w:lang w:bidi="en-US"/>
        </w:rPr>
        <w:t xml:space="preserve"> Kompetenz, interkulturelle). Denn aufgrund der wachsenden Anzahl und Verflechtung international agierender Unternehmen steigt auch die Zahl der Entsendungen von Fach- und Führungskräften (</w:t>
      </w:r>
      <w:r w:rsidRPr="007F69DA">
        <w:rPr>
          <w:szCs w:val="24"/>
          <w:lang w:bidi="en-US"/>
        </w:rPr>
        <w:sym w:font="Symbol" w:char="F0DE"/>
      </w:r>
      <w:r w:rsidRPr="007F69DA">
        <w:rPr>
          <w:szCs w:val="24"/>
          <w:lang w:bidi="en-US"/>
        </w:rPr>
        <w:t xml:space="preserve"> Auslandsentsendung). Je nach Dauer und Lebensmittelpunkt spricht man von Dienstreise, Abordnung, Delegation oder Versetzung. Mitarbeiter, die ins Ausland delegiert werden, um dort längerfristig für ihren Arbeitgeber tätig zu sein, bezeichnet man als Expatriates (vgl. Moosmüller 2007, S.480). </w:t>
      </w:r>
    </w:p>
    <w:p w14:paraId="1F580989" w14:textId="77777777" w:rsidR="008A2FFC" w:rsidRPr="007F69DA" w:rsidRDefault="008A2FFC" w:rsidP="008A2FFC">
      <w:pPr>
        <w:jc w:val="both"/>
        <w:rPr>
          <w:szCs w:val="24"/>
          <w:lang w:bidi="en-US"/>
        </w:rPr>
      </w:pPr>
    </w:p>
    <w:p w14:paraId="0F729168" w14:textId="77777777" w:rsidR="008A2FFC" w:rsidRPr="007F69DA" w:rsidRDefault="008A2FFC" w:rsidP="008A2FFC">
      <w:pPr>
        <w:jc w:val="both"/>
        <w:rPr>
          <w:bCs/>
          <w:szCs w:val="24"/>
          <w:lang w:bidi="en-US"/>
        </w:rPr>
      </w:pPr>
      <w:r w:rsidRPr="007F69DA">
        <w:rPr>
          <w:bCs/>
          <w:szCs w:val="24"/>
          <w:lang w:bidi="en-US"/>
        </w:rPr>
        <w:t xml:space="preserve">Das ökonomische Motiv beruht auf der Vorstellung, dass kulturell sensible (tolerante etc.) Mitarbeiter weniger Reibungsverluste erzeugen und dadurch den Unternehmenserfolg steigern – etwa dadurch, dass sie dazu beitragen, innerbetrieblicher Konflikte zu vermeiden oder zu entschärfen. Obwohl es hierfür kaum empirische Evidenz gibt, erfreut sich diese These aufgrund ihrer Plausibilität großer Beliebtheit. Ähnliches gilt für die Annahme, dass kulturell heterogen besetzte Arbeitsgruppen weniger anfällig sind für </w:t>
      </w:r>
      <w:r w:rsidRPr="007F69DA">
        <w:rPr>
          <w:bCs/>
          <w:iCs/>
          <w:szCs w:val="24"/>
          <w:lang w:bidi="en-US"/>
        </w:rPr>
        <w:t xml:space="preserve">„Gruppendenken“ </w:t>
      </w:r>
      <w:r w:rsidRPr="007F69DA">
        <w:rPr>
          <w:bCs/>
          <w:szCs w:val="24"/>
          <w:lang w:bidi="en-US"/>
        </w:rPr>
        <w:t>und andere gruppendynamische Effekte, welche die Entscheidungsfindung beeinträchtigen (bspw. wegen des durch Konformitätsdruck bei Gruppenentscheidungen bedingten Realitätsverlustes).</w:t>
      </w:r>
    </w:p>
    <w:p w14:paraId="394104F2" w14:textId="77777777" w:rsidR="008A2FFC" w:rsidRPr="007F69DA" w:rsidRDefault="008A2FFC" w:rsidP="008A2FFC">
      <w:pPr>
        <w:jc w:val="both"/>
        <w:rPr>
          <w:szCs w:val="24"/>
          <w:lang w:bidi="en-US"/>
        </w:rPr>
      </w:pPr>
    </w:p>
    <w:p w14:paraId="0E677A4E" w14:textId="77777777" w:rsidR="008A2FFC" w:rsidRPr="007F69DA" w:rsidRDefault="008A2FFC" w:rsidP="008A2FFC">
      <w:pPr>
        <w:jc w:val="both"/>
        <w:rPr>
          <w:bCs/>
          <w:szCs w:val="24"/>
          <w:lang w:bidi="en-US"/>
        </w:rPr>
      </w:pPr>
      <w:r w:rsidRPr="007F69DA">
        <w:rPr>
          <w:bCs/>
          <w:szCs w:val="24"/>
          <w:lang w:bidi="en-US"/>
        </w:rPr>
        <w:t xml:space="preserve">Mehr als anderswo hat das in den USA besonders ausgeprägte Diskriminierungsverbot die Diversity-Bewegung befördert. In Deutschland entschlossen sich deshalb zunächst vor allem größere Unternehmen, die einen signifikanten Anteil ihres Umsatzes auf dem amerikanischen Markt erzielen (z.B. DaimlerBenz, Deutsche Bank, Kraft Foods), Diversity-Management zu betreiben (vgl. Süß 2008). </w:t>
      </w:r>
    </w:p>
    <w:p w14:paraId="32CBB344" w14:textId="77777777" w:rsidR="008A2FFC" w:rsidRPr="007F69DA" w:rsidRDefault="008A2FFC" w:rsidP="008A2FFC">
      <w:pPr>
        <w:jc w:val="both"/>
        <w:rPr>
          <w:bCs/>
          <w:szCs w:val="24"/>
          <w:lang w:bidi="en-US"/>
        </w:rPr>
      </w:pPr>
    </w:p>
    <w:p w14:paraId="4BA902A2" w14:textId="77777777" w:rsidR="008A2FFC" w:rsidRPr="007F69DA" w:rsidRDefault="008A2FFC" w:rsidP="008A2FFC">
      <w:pPr>
        <w:jc w:val="both"/>
        <w:rPr>
          <w:bCs/>
          <w:szCs w:val="24"/>
          <w:lang w:bidi="en-US"/>
        </w:rPr>
      </w:pPr>
      <w:r w:rsidRPr="007F69DA">
        <w:rPr>
          <w:bCs/>
          <w:szCs w:val="24"/>
          <w:lang w:bidi="en-US"/>
        </w:rPr>
        <w:t>Dies bedeutet u.a., dass entwicklungsfähige Nachwuchsmanager weltweit gesucht und gezielt gefördert werden. Angesichts der Knappheit von ‘high potentials‘ und der strategischen Bedeutung von Human</w:t>
      </w:r>
      <w:r w:rsidRPr="007F69DA">
        <w:rPr>
          <w:bCs/>
          <w:szCs w:val="24"/>
          <w:lang w:bidi="en-US"/>
        </w:rPr>
        <w:softHyphen/>
        <w:t>kapital kann bereits das globale Recruiting dem Unternehmen Wett</w:t>
      </w:r>
      <w:r w:rsidRPr="007F69DA">
        <w:rPr>
          <w:bCs/>
          <w:szCs w:val="24"/>
          <w:lang w:bidi="en-US"/>
        </w:rPr>
        <w:softHyphen/>
      </w:r>
      <w:r w:rsidRPr="007F69DA">
        <w:rPr>
          <w:bCs/>
          <w:szCs w:val="24"/>
          <w:lang w:bidi="en-US"/>
        </w:rPr>
        <w:softHyphen/>
      </w:r>
      <w:r w:rsidRPr="007F69DA">
        <w:rPr>
          <w:bCs/>
          <w:szCs w:val="24"/>
          <w:lang w:bidi="en-US"/>
        </w:rPr>
        <w:softHyphen/>
        <w:t xml:space="preserve">bewerbsvorteile verschaffen. Allerdings genügt dies nicht. Vielmehr zielt Diversity Managemnt darauf, die gesamte Organisation dem Ziel zu verpflichten, die kulturelle (soziale, politische, religiöse etc.) Toleranz der Mitarbeiter zu fördern. So unterstützten die Ford Werke als erstes Großunternehmen in Deutschland eine betriebsinterne Gruppe für homosexuelle Mitarbeiter. Trotz regelmäßiger Erfolgsmeldungen (bei der Deutschen Shell etwa war </w:t>
      </w:r>
      <w:r w:rsidRPr="007F69DA">
        <w:rPr>
          <w:bCs/>
          <w:szCs w:val="24"/>
          <w:lang w:bidi="en-US"/>
        </w:rPr>
        <w:lastRenderedPageBreak/>
        <w:t xml:space="preserve">nach fünf Jahren Managing Diversity der Frauenanteil bei Fach- und Führungskräften von 8 auf 20% gestiegen), fällt es aus wissenschaftlicher Sicht zumeist schwer, eindeutig festzustellen, worin der </w:t>
      </w:r>
      <w:r w:rsidRPr="007F69DA">
        <w:rPr>
          <w:bCs/>
          <w:iCs/>
          <w:szCs w:val="24"/>
          <w:lang w:bidi="en-US"/>
        </w:rPr>
        <w:t>Erfolg</w:t>
      </w:r>
      <w:r w:rsidRPr="007F69DA">
        <w:rPr>
          <w:bCs/>
          <w:szCs w:val="24"/>
          <w:lang w:bidi="en-US"/>
        </w:rPr>
        <w:t xml:space="preserve"> derartiger Maßnahmen besteht. Kann man bspw. einen bestimmten Anteil an Minderheiten auf verschiedenen Hierarchieebenen ‘a priori‘ als Erfolg werten?</w:t>
      </w:r>
    </w:p>
    <w:p w14:paraId="2DD6CCE8" w14:textId="77777777" w:rsidR="008A2FFC" w:rsidRPr="007F69DA" w:rsidRDefault="008A2FFC" w:rsidP="008A2FFC">
      <w:pPr>
        <w:jc w:val="both"/>
        <w:rPr>
          <w:bCs/>
          <w:szCs w:val="24"/>
          <w:lang w:bidi="en-US"/>
        </w:rPr>
      </w:pPr>
    </w:p>
    <w:p w14:paraId="247FA1C5" w14:textId="77777777" w:rsidR="008A2FFC" w:rsidRPr="007F69DA" w:rsidRDefault="008A2FFC" w:rsidP="008A2FFC">
      <w:pPr>
        <w:jc w:val="both"/>
        <w:rPr>
          <w:bCs/>
          <w:szCs w:val="24"/>
          <w:lang w:bidi="en-US"/>
        </w:rPr>
      </w:pPr>
      <w:r w:rsidRPr="007F69DA">
        <w:rPr>
          <w:bCs/>
          <w:szCs w:val="24"/>
          <w:lang w:bidi="en-US"/>
        </w:rPr>
        <w:t>2. Anpassung oder Abgrenzung?</w:t>
      </w:r>
    </w:p>
    <w:p w14:paraId="4F6DD2F7" w14:textId="77777777" w:rsidR="008A2FFC" w:rsidRPr="007F69DA" w:rsidRDefault="008A2FFC" w:rsidP="008A2FFC">
      <w:pPr>
        <w:jc w:val="both"/>
        <w:rPr>
          <w:szCs w:val="24"/>
          <w:lang w:bidi="en-US"/>
        </w:rPr>
      </w:pPr>
      <w:r w:rsidRPr="007F69DA">
        <w:rPr>
          <w:szCs w:val="24"/>
          <w:lang w:bidi="en-US"/>
        </w:rPr>
        <w:t>Wie reagieren Menschen, wenn sie einer fremden Kultur begegnen? Ausgehend von den Antworten auf zwei Schlüsselfragen unterscheidet das bekannte Akkulturationsmodell von Berry (1990) vier Aggregationsstrategien (vgl. Abb. 1)). In begrifflicher Abgrenzung zur Enkulturation, das sich auf die eigene Kultur bezieht, bezeichnet Akkulturation das Hineinwachsen in und die Anpassung an eine fremde Kultur – allerdings nicht als einseitige Anpassung der Minderheitskultur an die Mehrheitskultur (= Assimilation), sondern als wechselseitige Anpassung (vgl. Berry 2005).</w:t>
      </w:r>
    </w:p>
    <w:p w14:paraId="434323C0" w14:textId="77777777" w:rsidR="008A2FFC" w:rsidRPr="007F69DA" w:rsidRDefault="008A2FFC" w:rsidP="008A2FFC">
      <w:pPr>
        <w:spacing w:line="360" w:lineRule="auto"/>
        <w:jc w:val="both"/>
        <w:rPr>
          <w:szCs w:val="24"/>
          <w:lang w:bidi="en-US"/>
        </w:rPr>
      </w:pPr>
    </w:p>
    <w:p w14:paraId="01BF4450" w14:textId="77777777" w:rsidR="008A2FFC" w:rsidRPr="00544326" w:rsidRDefault="008A2FFC" w:rsidP="008A2FFC">
      <w:pPr>
        <w:spacing w:after="120" w:line="360" w:lineRule="auto"/>
        <w:jc w:val="center"/>
        <w:rPr>
          <w:i/>
          <w:szCs w:val="20"/>
          <w:lang w:eastAsia="de-DE"/>
        </w:rPr>
      </w:pPr>
      <w:r w:rsidRPr="00544326">
        <w:rPr>
          <w:i/>
          <w:szCs w:val="20"/>
          <w:lang w:eastAsia="de-DE"/>
        </w:rPr>
        <w:t xml:space="preserve">Abb. 1: Modell der Akkulturation </w:t>
      </w:r>
    </w:p>
    <w:tbl>
      <w:tblPr>
        <w:tblW w:w="905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133"/>
        <w:gridCol w:w="663"/>
        <w:gridCol w:w="1482"/>
        <w:gridCol w:w="2425"/>
        <w:gridCol w:w="2350"/>
      </w:tblGrid>
      <w:tr w:rsidR="008A2FFC" w:rsidRPr="007F69DA" w14:paraId="01E5F33E" w14:textId="77777777" w:rsidTr="00EA7901">
        <w:trPr>
          <w:cantSplit/>
          <w:trHeight w:val="907"/>
        </w:trPr>
        <w:tc>
          <w:tcPr>
            <w:tcW w:w="2133" w:type="dxa"/>
            <w:tcBorders>
              <w:left w:val="single" w:sz="4" w:space="0" w:color="auto"/>
              <w:bottom w:val="nil"/>
              <w:right w:val="nil"/>
            </w:tcBorders>
            <w:shd w:val="clear" w:color="auto" w:fill="FFC000"/>
          </w:tcPr>
          <w:p w14:paraId="21AC5016" w14:textId="77777777" w:rsidR="008A2FFC" w:rsidRPr="007F69DA" w:rsidRDefault="008A2FFC" w:rsidP="00F46ACB">
            <w:pPr>
              <w:spacing w:before="60" w:after="60"/>
              <w:jc w:val="both"/>
              <w:rPr>
                <w:sz w:val="16"/>
                <w:szCs w:val="16"/>
                <w:lang w:bidi="en-US"/>
              </w:rPr>
            </w:pPr>
          </w:p>
        </w:tc>
        <w:tc>
          <w:tcPr>
            <w:tcW w:w="2145" w:type="dxa"/>
            <w:gridSpan w:val="2"/>
            <w:tcBorders>
              <w:left w:val="nil"/>
              <w:bottom w:val="nil"/>
            </w:tcBorders>
            <w:shd w:val="clear" w:color="auto" w:fill="FFC000"/>
          </w:tcPr>
          <w:p w14:paraId="6A89171C" w14:textId="77777777" w:rsidR="008A2FFC" w:rsidRPr="007F69DA" w:rsidRDefault="008A2FFC" w:rsidP="00F46ACB">
            <w:pPr>
              <w:spacing w:before="60" w:after="60"/>
              <w:jc w:val="both"/>
              <w:rPr>
                <w:sz w:val="16"/>
                <w:szCs w:val="16"/>
                <w:lang w:bidi="en-US"/>
              </w:rPr>
            </w:pPr>
          </w:p>
        </w:tc>
        <w:tc>
          <w:tcPr>
            <w:tcW w:w="4775" w:type="dxa"/>
            <w:gridSpan w:val="2"/>
            <w:tcBorders>
              <w:bottom w:val="nil"/>
              <w:right w:val="single" w:sz="4" w:space="0" w:color="auto"/>
            </w:tcBorders>
            <w:shd w:val="clear" w:color="auto" w:fill="FFC000"/>
          </w:tcPr>
          <w:p w14:paraId="28488A14" w14:textId="70C1DF4A" w:rsidR="008A2FFC" w:rsidRPr="007F69DA" w:rsidRDefault="008A2FFC" w:rsidP="00F46ACB">
            <w:pPr>
              <w:spacing w:before="60" w:after="60"/>
              <w:jc w:val="center"/>
              <w:rPr>
                <w:sz w:val="16"/>
                <w:szCs w:val="16"/>
                <w:lang w:bidi="en-US"/>
              </w:rPr>
            </w:pPr>
            <w:r w:rsidRPr="00EA7901">
              <w:rPr>
                <w:sz w:val="20"/>
                <w:szCs w:val="20"/>
                <w:lang w:bidi="en-US"/>
              </w:rPr>
              <w:t>Erachtet es als wertvoll, die eigene kulturelle Identität und die kulturellen</w:t>
            </w:r>
            <w:r w:rsidR="00EA7901">
              <w:rPr>
                <w:sz w:val="20"/>
                <w:szCs w:val="20"/>
                <w:lang w:bidi="en-US"/>
              </w:rPr>
              <w:t xml:space="preserve"> </w:t>
            </w:r>
            <w:r w:rsidRPr="00EA7901">
              <w:rPr>
                <w:sz w:val="20"/>
                <w:szCs w:val="20"/>
                <w:lang w:bidi="en-US"/>
              </w:rPr>
              <w:t>Charakteristika zu wahren</w:t>
            </w:r>
            <w:r w:rsidRPr="007F69DA">
              <w:rPr>
                <w:sz w:val="16"/>
                <w:szCs w:val="16"/>
                <w:lang w:bidi="en-US"/>
              </w:rPr>
              <w:t>.</w:t>
            </w:r>
          </w:p>
        </w:tc>
      </w:tr>
      <w:tr w:rsidR="008A2FFC" w:rsidRPr="007F69DA" w14:paraId="05CD364D" w14:textId="77777777" w:rsidTr="00EA7901">
        <w:trPr>
          <w:trHeight w:val="432"/>
        </w:trPr>
        <w:tc>
          <w:tcPr>
            <w:tcW w:w="2133" w:type="dxa"/>
            <w:tcBorders>
              <w:top w:val="nil"/>
              <w:left w:val="single" w:sz="4" w:space="0" w:color="auto"/>
              <w:bottom w:val="single" w:sz="4" w:space="0" w:color="auto"/>
              <w:right w:val="nil"/>
            </w:tcBorders>
            <w:shd w:val="clear" w:color="auto" w:fill="FFC000"/>
          </w:tcPr>
          <w:p w14:paraId="6DB13A0F" w14:textId="77777777" w:rsidR="008A2FFC" w:rsidRPr="007F69DA" w:rsidRDefault="008A2FFC" w:rsidP="00F46ACB">
            <w:pPr>
              <w:spacing w:before="60" w:after="60"/>
              <w:jc w:val="both"/>
              <w:rPr>
                <w:sz w:val="16"/>
                <w:szCs w:val="16"/>
                <w:lang w:bidi="en-US"/>
              </w:rPr>
            </w:pPr>
          </w:p>
        </w:tc>
        <w:tc>
          <w:tcPr>
            <w:tcW w:w="2145" w:type="dxa"/>
            <w:gridSpan w:val="2"/>
            <w:tcBorders>
              <w:top w:val="nil"/>
              <w:left w:val="nil"/>
              <w:bottom w:val="single" w:sz="4" w:space="0" w:color="auto"/>
            </w:tcBorders>
            <w:shd w:val="clear" w:color="auto" w:fill="FFC000"/>
          </w:tcPr>
          <w:p w14:paraId="430D358E" w14:textId="77777777" w:rsidR="008A2FFC" w:rsidRPr="007F69DA" w:rsidRDefault="008A2FFC" w:rsidP="00F46ACB">
            <w:pPr>
              <w:spacing w:before="60" w:after="60"/>
              <w:jc w:val="both"/>
              <w:rPr>
                <w:sz w:val="16"/>
                <w:szCs w:val="16"/>
                <w:lang w:bidi="en-US"/>
              </w:rPr>
            </w:pPr>
          </w:p>
        </w:tc>
        <w:tc>
          <w:tcPr>
            <w:tcW w:w="2425" w:type="dxa"/>
            <w:tcBorders>
              <w:top w:val="nil"/>
            </w:tcBorders>
            <w:shd w:val="clear" w:color="auto" w:fill="FFC000"/>
          </w:tcPr>
          <w:p w14:paraId="6CCC6CEA" w14:textId="77777777" w:rsidR="008A2FFC" w:rsidRPr="007F69DA" w:rsidRDefault="008A2FFC" w:rsidP="00F46ACB">
            <w:pPr>
              <w:spacing w:before="60" w:after="60"/>
              <w:jc w:val="center"/>
              <w:rPr>
                <w:sz w:val="16"/>
                <w:szCs w:val="16"/>
                <w:lang w:bidi="en-US"/>
              </w:rPr>
            </w:pPr>
            <w:r w:rsidRPr="007F69DA">
              <w:rPr>
                <w:sz w:val="16"/>
                <w:szCs w:val="16"/>
                <w:lang w:bidi="en-US"/>
              </w:rPr>
              <w:t>ja</w:t>
            </w:r>
          </w:p>
        </w:tc>
        <w:tc>
          <w:tcPr>
            <w:tcW w:w="2349" w:type="dxa"/>
            <w:tcBorders>
              <w:top w:val="nil"/>
              <w:right w:val="single" w:sz="4" w:space="0" w:color="auto"/>
            </w:tcBorders>
            <w:shd w:val="clear" w:color="auto" w:fill="FFC000"/>
          </w:tcPr>
          <w:p w14:paraId="797B2F29" w14:textId="77777777" w:rsidR="008A2FFC" w:rsidRPr="007F69DA" w:rsidRDefault="008A2FFC" w:rsidP="00F46ACB">
            <w:pPr>
              <w:spacing w:before="60" w:after="60"/>
              <w:jc w:val="center"/>
              <w:rPr>
                <w:sz w:val="16"/>
                <w:szCs w:val="16"/>
                <w:lang w:bidi="en-US"/>
              </w:rPr>
            </w:pPr>
            <w:r w:rsidRPr="007F69DA">
              <w:rPr>
                <w:sz w:val="16"/>
                <w:szCs w:val="16"/>
                <w:lang w:bidi="en-US"/>
              </w:rPr>
              <w:t>nein</w:t>
            </w:r>
          </w:p>
        </w:tc>
      </w:tr>
      <w:tr w:rsidR="008A2FFC" w:rsidRPr="007F69DA" w14:paraId="27320875" w14:textId="77777777" w:rsidTr="00EA7901">
        <w:trPr>
          <w:cantSplit/>
          <w:trHeight w:val="1071"/>
        </w:trPr>
        <w:tc>
          <w:tcPr>
            <w:tcW w:w="2796" w:type="dxa"/>
            <w:gridSpan w:val="2"/>
            <w:vMerge w:val="restart"/>
            <w:tcBorders>
              <w:left w:val="single" w:sz="4" w:space="0" w:color="auto"/>
              <w:right w:val="nil"/>
            </w:tcBorders>
            <w:shd w:val="clear" w:color="auto" w:fill="FFF2CC" w:themeFill="accent4" w:themeFillTint="33"/>
            <w:vAlign w:val="center"/>
          </w:tcPr>
          <w:p w14:paraId="2CA8EBEF" w14:textId="77777777" w:rsidR="008A2FFC" w:rsidRPr="00EA7901" w:rsidRDefault="008A2FFC" w:rsidP="00F46ACB">
            <w:pPr>
              <w:spacing w:before="60" w:after="60"/>
              <w:rPr>
                <w:sz w:val="20"/>
                <w:szCs w:val="20"/>
                <w:lang w:bidi="en-US"/>
              </w:rPr>
            </w:pPr>
            <w:r w:rsidRPr="00EA7901">
              <w:rPr>
                <w:sz w:val="20"/>
                <w:szCs w:val="20"/>
                <w:lang w:bidi="en-US"/>
              </w:rPr>
              <w:t xml:space="preserve">Erachtet es als wertvoll, Beziehungen zu anderen kulturellen Gruppen zu unterhalten </w:t>
            </w:r>
          </w:p>
        </w:tc>
        <w:tc>
          <w:tcPr>
            <w:tcW w:w="1482" w:type="dxa"/>
            <w:tcBorders>
              <w:left w:val="nil"/>
            </w:tcBorders>
            <w:shd w:val="clear" w:color="auto" w:fill="FFF2CC" w:themeFill="accent4" w:themeFillTint="33"/>
          </w:tcPr>
          <w:p w14:paraId="676FFFFF" w14:textId="77777777" w:rsidR="008A2FFC" w:rsidRPr="007F69DA" w:rsidRDefault="008A2FFC" w:rsidP="00F46ACB">
            <w:pPr>
              <w:spacing w:before="60" w:after="60"/>
              <w:jc w:val="center"/>
              <w:rPr>
                <w:sz w:val="16"/>
                <w:szCs w:val="16"/>
                <w:lang w:bidi="en-US"/>
              </w:rPr>
            </w:pPr>
          </w:p>
          <w:p w14:paraId="4EBCC11D" w14:textId="77777777" w:rsidR="008A2FFC" w:rsidRPr="007F69DA" w:rsidRDefault="008A2FFC" w:rsidP="00F46ACB">
            <w:pPr>
              <w:spacing w:before="60" w:after="60"/>
              <w:jc w:val="center"/>
              <w:rPr>
                <w:sz w:val="16"/>
                <w:szCs w:val="16"/>
                <w:lang w:bidi="en-US"/>
              </w:rPr>
            </w:pPr>
            <w:r w:rsidRPr="007F69DA">
              <w:rPr>
                <w:sz w:val="16"/>
                <w:szCs w:val="16"/>
                <w:lang w:bidi="en-US"/>
              </w:rPr>
              <w:t>ja</w:t>
            </w:r>
          </w:p>
          <w:p w14:paraId="3A494975" w14:textId="77777777" w:rsidR="008A2FFC" w:rsidRPr="007F69DA" w:rsidRDefault="008A2FFC" w:rsidP="00F46ACB">
            <w:pPr>
              <w:spacing w:before="60" w:after="60"/>
              <w:jc w:val="center"/>
              <w:rPr>
                <w:sz w:val="16"/>
                <w:szCs w:val="16"/>
                <w:lang w:bidi="en-US"/>
              </w:rPr>
            </w:pPr>
          </w:p>
        </w:tc>
        <w:tc>
          <w:tcPr>
            <w:tcW w:w="2425" w:type="dxa"/>
            <w:vAlign w:val="center"/>
          </w:tcPr>
          <w:p w14:paraId="2893D1C4" w14:textId="77777777" w:rsidR="008A2FFC" w:rsidRPr="007F69DA" w:rsidRDefault="008A2FFC" w:rsidP="00F46ACB">
            <w:pPr>
              <w:spacing w:before="60" w:after="60"/>
              <w:jc w:val="center"/>
              <w:rPr>
                <w:szCs w:val="24"/>
                <w:lang w:bidi="en-US"/>
              </w:rPr>
            </w:pPr>
            <w:r w:rsidRPr="007F69DA">
              <w:rPr>
                <w:szCs w:val="24"/>
                <w:lang w:bidi="en-US"/>
              </w:rPr>
              <w:t>Integrierer</w:t>
            </w:r>
          </w:p>
        </w:tc>
        <w:tc>
          <w:tcPr>
            <w:tcW w:w="2349" w:type="dxa"/>
            <w:tcBorders>
              <w:right w:val="single" w:sz="4" w:space="0" w:color="auto"/>
            </w:tcBorders>
            <w:vAlign w:val="center"/>
          </w:tcPr>
          <w:p w14:paraId="49E311E3" w14:textId="77777777" w:rsidR="008A2FFC" w:rsidRPr="007F69DA" w:rsidRDefault="008A2FFC" w:rsidP="00F46ACB">
            <w:pPr>
              <w:spacing w:before="60" w:after="60"/>
              <w:jc w:val="center"/>
              <w:rPr>
                <w:szCs w:val="24"/>
                <w:lang w:bidi="en-US"/>
              </w:rPr>
            </w:pPr>
            <w:r w:rsidRPr="007F69DA">
              <w:rPr>
                <w:szCs w:val="24"/>
                <w:lang w:bidi="en-US"/>
              </w:rPr>
              <w:t>Assimilierer</w:t>
            </w:r>
          </w:p>
        </w:tc>
      </w:tr>
      <w:tr w:rsidR="008A2FFC" w:rsidRPr="007F69DA" w14:paraId="033481BB" w14:textId="77777777" w:rsidTr="00EA7901">
        <w:trPr>
          <w:cantSplit/>
          <w:trHeight w:val="197"/>
        </w:trPr>
        <w:tc>
          <w:tcPr>
            <w:tcW w:w="2796" w:type="dxa"/>
            <w:gridSpan w:val="2"/>
            <w:vMerge/>
            <w:tcBorders>
              <w:left w:val="single" w:sz="4" w:space="0" w:color="auto"/>
              <w:right w:val="nil"/>
            </w:tcBorders>
            <w:shd w:val="clear" w:color="auto" w:fill="FFF2CC" w:themeFill="accent4" w:themeFillTint="33"/>
          </w:tcPr>
          <w:p w14:paraId="457B45EC" w14:textId="77777777" w:rsidR="008A2FFC" w:rsidRPr="007F69DA" w:rsidRDefault="008A2FFC" w:rsidP="00F46ACB">
            <w:pPr>
              <w:spacing w:before="60" w:after="60"/>
              <w:jc w:val="both"/>
              <w:rPr>
                <w:sz w:val="16"/>
                <w:szCs w:val="16"/>
                <w:lang w:bidi="en-US"/>
              </w:rPr>
            </w:pPr>
          </w:p>
        </w:tc>
        <w:tc>
          <w:tcPr>
            <w:tcW w:w="1482" w:type="dxa"/>
            <w:tcBorders>
              <w:left w:val="nil"/>
            </w:tcBorders>
            <w:shd w:val="clear" w:color="auto" w:fill="FFF2CC" w:themeFill="accent4" w:themeFillTint="33"/>
          </w:tcPr>
          <w:p w14:paraId="25364B46" w14:textId="77777777" w:rsidR="008A2FFC" w:rsidRPr="007F69DA" w:rsidRDefault="008A2FFC" w:rsidP="00F46ACB">
            <w:pPr>
              <w:spacing w:before="60" w:after="60"/>
              <w:jc w:val="center"/>
              <w:rPr>
                <w:sz w:val="16"/>
                <w:szCs w:val="16"/>
                <w:lang w:bidi="en-US"/>
              </w:rPr>
            </w:pPr>
          </w:p>
          <w:p w14:paraId="2EF27C6B" w14:textId="77777777" w:rsidR="008A2FFC" w:rsidRPr="007F69DA" w:rsidRDefault="008A2FFC" w:rsidP="00F46ACB">
            <w:pPr>
              <w:spacing w:before="60" w:after="60"/>
              <w:jc w:val="center"/>
              <w:rPr>
                <w:sz w:val="16"/>
                <w:szCs w:val="16"/>
                <w:lang w:bidi="en-US"/>
              </w:rPr>
            </w:pPr>
            <w:r w:rsidRPr="007F69DA">
              <w:rPr>
                <w:sz w:val="16"/>
                <w:szCs w:val="16"/>
                <w:lang w:bidi="en-US"/>
              </w:rPr>
              <w:t>nein</w:t>
            </w:r>
          </w:p>
          <w:p w14:paraId="279BF35C" w14:textId="77777777" w:rsidR="008A2FFC" w:rsidRPr="007F69DA" w:rsidRDefault="008A2FFC" w:rsidP="00F46ACB">
            <w:pPr>
              <w:spacing w:before="60" w:after="60"/>
              <w:jc w:val="center"/>
              <w:rPr>
                <w:sz w:val="16"/>
                <w:szCs w:val="16"/>
                <w:lang w:bidi="en-US"/>
              </w:rPr>
            </w:pPr>
          </w:p>
        </w:tc>
        <w:tc>
          <w:tcPr>
            <w:tcW w:w="2425" w:type="dxa"/>
            <w:vAlign w:val="center"/>
          </w:tcPr>
          <w:p w14:paraId="24D3C5C6" w14:textId="77777777" w:rsidR="008A2FFC" w:rsidRPr="007F69DA" w:rsidRDefault="008A2FFC" w:rsidP="00F46ACB">
            <w:pPr>
              <w:spacing w:before="60" w:after="60"/>
              <w:jc w:val="center"/>
              <w:rPr>
                <w:szCs w:val="24"/>
                <w:lang w:bidi="en-US"/>
              </w:rPr>
            </w:pPr>
            <w:r w:rsidRPr="007F69DA">
              <w:rPr>
                <w:szCs w:val="24"/>
                <w:lang w:bidi="en-US"/>
              </w:rPr>
              <w:t xml:space="preserve">Segregierer/ </w:t>
            </w:r>
            <w:r w:rsidRPr="007F69DA">
              <w:rPr>
                <w:szCs w:val="24"/>
                <w:lang w:bidi="en-US"/>
              </w:rPr>
              <w:br/>
              <w:t>Separierer</w:t>
            </w:r>
          </w:p>
        </w:tc>
        <w:tc>
          <w:tcPr>
            <w:tcW w:w="2349" w:type="dxa"/>
            <w:tcBorders>
              <w:right w:val="single" w:sz="4" w:space="0" w:color="auto"/>
            </w:tcBorders>
            <w:vAlign w:val="center"/>
          </w:tcPr>
          <w:p w14:paraId="6B56FCFE" w14:textId="77777777" w:rsidR="008A2FFC" w:rsidRPr="007F69DA" w:rsidRDefault="008A2FFC" w:rsidP="00F46ACB">
            <w:pPr>
              <w:spacing w:before="60" w:after="60"/>
              <w:jc w:val="center"/>
              <w:rPr>
                <w:bCs/>
                <w:szCs w:val="24"/>
                <w:lang w:bidi="en-US"/>
              </w:rPr>
            </w:pPr>
            <w:r w:rsidRPr="007F69DA">
              <w:rPr>
                <w:bCs/>
                <w:szCs w:val="24"/>
                <w:lang w:bidi="en-US"/>
              </w:rPr>
              <w:t>Marginalisierer</w:t>
            </w:r>
          </w:p>
        </w:tc>
      </w:tr>
    </w:tbl>
    <w:p w14:paraId="10619451" w14:textId="77777777" w:rsidR="008A2FFC" w:rsidRPr="007F69DA" w:rsidRDefault="008A2FFC" w:rsidP="008A2FFC">
      <w:pPr>
        <w:spacing w:before="120" w:line="360" w:lineRule="auto"/>
        <w:ind w:left="709" w:hanging="709"/>
        <w:jc w:val="both"/>
        <w:rPr>
          <w:sz w:val="18"/>
          <w:szCs w:val="20"/>
          <w:lang w:eastAsia="de-DE"/>
        </w:rPr>
      </w:pPr>
      <w:r w:rsidRPr="007F69DA">
        <w:rPr>
          <w:sz w:val="18"/>
          <w:szCs w:val="20"/>
          <w:lang w:eastAsia="de-DE"/>
        </w:rPr>
        <w:t>Quelle:</w:t>
      </w:r>
      <w:r w:rsidRPr="007F69DA">
        <w:rPr>
          <w:sz w:val="18"/>
          <w:szCs w:val="20"/>
          <w:lang w:eastAsia="de-DE"/>
        </w:rPr>
        <w:tab/>
        <w:t>eigene Darstellung auf Basis von Berry (1990).</w:t>
      </w:r>
    </w:p>
    <w:p w14:paraId="0A838F72" w14:textId="77777777" w:rsidR="008A2FFC" w:rsidRPr="007F69DA" w:rsidRDefault="008A2FFC" w:rsidP="008A2FFC">
      <w:pPr>
        <w:spacing w:line="360" w:lineRule="auto"/>
        <w:jc w:val="both"/>
        <w:rPr>
          <w:szCs w:val="24"/>
          <w:lang w:bidi="en-US"/>
        </w:rPr>
      </w:pPr>
    </w:p>
    <w:p w14:paraId="7422AC60" w14:textId="77777777" w:rsidR="008A2FFC" w:rsidRPr="007F69DA" w:rsidRDefault="008A2FFC" w:rsidP="008A2FFC">
      <w:pPr>
        <w:jc w:val="both"/>
        <w:rPr>
          <w:szCs w:val="24"/>
          <w:lang w:bidi="en-US"/>
        </w:rPr>
      </w:pPr>
      <w:r w:rsidRPr="007F69DA">
        <w:rPr>
          <w:szCs w:val="24"/>
          <w:lang w:bidi="en-US"/>
        </w:rPr>
        <w:t xml:space="preserve">Segregierer bspw. lehnen fremdartige Kulturen – bzw. deren Angehörige, Artefakte etc. – strikt ab und vermeiden unmittelbare Begegnungen nach Möglichkeit. Dieser Typus hat ein </w:t>
      </w:r>
      <w:r w:rsidRPr="007F69DA">
        <w:rPr>
          <w:szCs w:val="24"/>
          <w:lang w:bidi="en-US"/>
        </w:rPr>
        <w:sym w:font="Symbol" w:char="F0DE"/>
      </w:r>
      <w:r w:rsidRPr="007F69DA">
        <w:rPr>
          <w:szCs w:val="24"/>
          <w:lang w:bidi="en-US"/>
        </w:rPr>
        <w:t xml:space="preserve"> ethnozentrisches </w:t>
      </w:r>
      <w:r w:rsidRPr="007F69DA">
        <w:rPr>
          <w:szCs w:val="24"/>
          <w:lang w:bidi="en-US"/>
        </w:rPr>
        <w:sym w:font="Symbol" w:char="F0DE"/>
      </w:r>
      <w:r w:rsidRPr="007F69DA">
        <w:rPr>
          <w:szCs w:val="24"/>
          <w:lang w:bidi="en-US"/>
        </w:rPr>
        <w:t xml:space="preserve"> Weltbild und zieht sich bei längeren Auslandsaufenthalten überdurchschnittlich häufig in das „goldene Ghetto“ eines Hotels bzw. einer geschlossenen Wohnsiedlung zurück (vgl. Janssens 1995). Für das entsendende Unternehmen „kann dieser Mitarbeitertypus dann von Vorteil sein, wenn es darum geht, die Stammhausphilosophie ohne Rücksicht auf lokale Besonderheiten auch in den Niederlassungen durchzusetzen oder ganz allgemein: Kontrolle auszuüben“ (Gelbrich/Müller 2011, S.1254).</w:t>
      </w:r>
    </w:p>
    <w:p w14:paraId="713BE645" w14:textId="77777777" w:rsidR="008A2FFC" w:rsidRPr="007F69DA" w:rsidRDefault="008A2FFC" w:rsidP="008A2FFC">
      <w:pPr>
        <w:spacing w:line="360" w:lineRule="auto"/>
        <w:jc w:val="both"/>
        <w:rPr>
          <w:szCs w:val="24"/>
          <w:lang w:bidi="en-US"/>
        </w:rPr>
      </w:pPr>
    </w:p>
    <w:p w14:paraId="44C1CBFC" w14:textId="52E0565D" w:rsidR="00043AE9" w:rsidRPr="00035E56" w:rsidRDefault="008A2FFC" w:rsidP="00043AE9">
      <w:pPr>
        <w:spacing w:after="120"/>
      </w:pPr>
      <w:r w:rsidRPr="00EA7901">
        <w:rPr>
          <w:b/>
          <w:bCs/>
          <w:i/>
          <w:u w:val="single"/>
          <w:lang w:val="en-US"/>
        </w:rPr>
        <w:t>Literatur</w:t>
      </w:r>
      <w:r w:rsidRPr="00544326">
        <w:rPr>
          <w:i/>
          <w:lang w:val="en-US"/>
        </w:rPr>
        <w:t>:</w:t>
      </w:r>
      <w:r w:rsidRPr="007F69DA">
        <w:rPr>
          <w:lang w:val="en-US"/>
        </w:rPr>
        <w:t xml:space="preserve"> Berry, J.W. (1990): Psychology of. Acculturation. Understanding Individuals Moving between Cultures, in: Brislin, R. (Ed.), Applied Cross-Cultural Psychology, 232-253, Newbury Park: Sage.   Berry, J.W. (2005): Acculturation. Living Successfully in Two Cultures, International Journal of Intercultural Relations, 29(6): 697-712.</w:t>
      </w:r>
      <w:r w:rsidRPr="007F69DA">
        <w:rPr>
          <w:iCs/>
          <w:lang w:val="en-US"/>
        </w:rPr>
        <w:t xml:space="preserve">    Gelbrich, K.; Müller, S.</w:t>
      </w:r>
      <w:r w:rsidRPr="007F69DA">
        <w:rPr>
          <w:lang w:val="en-US"/>
        </w:rPr>
        <w:t xml:space="preserve"> (2011)</w:t>
      </w:r>
      <w:r w:rsidRPr="007F69DA">
        <w:rPr>
          <w:iCs/>
          <w:lang w:val="en-US"/>
        </w:rPr>
        <w:t xml:space="preserve">: </w:t>
      </w:r>
      <w:r w:rsidRPr="007F69DA">
        <w:rPr>
          <w:lang w:val="en-US"/>
        </w:rPr>
        <w:t xml:space="preserve">Handbuch Internationales Management, München: Oldenbourg.    Glazer, N.; Moynihan, D.P. (1954): Beyond the Melting Pot. The Negroes, Puerto Ricans, Jews, Italians, and Irish of New York City, Cambridge/MA: MIT.    </w:t>
      </w:r>
      <w:r w:rsidRPr="007F69DA">
        <w:rPr>
          <w:bCs/>
        </w:rPr>
        <w:t xml:space="preserve">Moosmüller, A. (2007b): </w:t>
      </w:r>
      <w:r w:rsidRPr="007F69DA">
        <w:t>Lebenswelten von Expatriates, in: Straub, J.; Weidemann, A.; Weidemann, D. (Hrsg.), Handbuch interkulturelle Kommunikation und Kompetenz, 480-487, Stuttgart: Metzler.   Süß, S. (2008): Diversity-Management auf dem Vormarsch. Eine empirische Analyse der deutschen Unternehmenspraxis, Zeitschrift für betriebswirtschaftliche Forschung, 60(6): 406-430.   Süß, S.; Kleiner, M. (2006): Diversity-Management. Konzept, Ver</w:t>
      </w:r>
      <w:r w:rsidRPr="007F69DA">
        <w:softHyphen/>
        <w:t>brei</w:t>
      </w:r>
      <w:r w:rsidRPr="007F69DA">
        <w:softHyphen/>
        <w:t xml:space="preserve">tung, Perspektiven, Wirtschaftswissenschaftliches Studium, 35(10): 560-565.  Wagner, D.; Sepehri, P. (2000): Managing Diversity. Wahrnehmung und Verständnis im internationalen Personalmanagement, Personal, 52(9): 456-461. </w:t>
      </w:r>
      <w:r w:rsidR="00043AE9">
        <w:t xml:space="preserve">  </w:t>
      </w:r>
      <w:r w:rsidR="00043AE9" w:rsidRPr="00035E56">
        <w:t>Wagner, D.; Voigt, P.</w:t>
      </w:r>
      <w:r w:rsidR="00043AE9" w:rsidRPr="00035E56">
        <w:rPr>
          <w:i/>
        </w:rPr>
        <w:t xml:space="preserve"> </w:t>
      </w:r>
      <w:r w:rsidR="00043AE9" w:rsidRPr="00035E56">
        <w:t>(2003): Managing Diversity und internationale</w:t>
      </w:r>
      <w:r w:rsidR="00043AE9" w:rsidRPr="00035E56">
        <w:rPr>
          <w:spacing w:val="40"/>
        </w:rPr>
        <w:t xml:space="preserve"> </w:t>
      </w:r>
      <w:r w:rsidR="00043AE9" w:rsidRPr="00035E56">
        <w:t>Unternehmensführung, Wirtschaftswissenschaftliches Studium, 32(2): 112-115.</w:t>
      </w:r>
    </w:p>
    <w:p w14:paraId="1FDF0D07" w14:textId="77777777" w:rsidR="008A2FFC" w:rsidRDefault="008A2FFC" w:rsidP="008A2FFC">
      <w:pPr>
        <w:spacing w:after="120"/>
      </w:pPr>
    </w:p>
    <w:p w14:paraId="0AC48592" w14:textId="77777777" w:rsidR="00FF7799" w:rsidRPr="00EA7901" w:rsidRDefault="00FF7799" w:rsidP="00EA7901">
      <w:pPr>
        <w:keepNext/>
        <w:keepLines/>
        <w:spacing w:before="240"/>
        <w:jc w:val="both"/>
        <w:outlineLvl w:val="1"/>
        <w:rPr>
          <w:b/>
          <w:color w:val="2E74B5"/>
        </w:rPr>
      </w:pPr>
      <w:bookmarkStart w:id="5" w:name="_Toc56066863"/>
      <w:r w:rsidRPr="00EA7901">
        <w:rPr>
          <w:b/>
          <w:color w:val="2E74B5"/>
        </w:rPr>
        <w:t>Dogmatismus</w:t>
      </w:r>
      <w:bookmarkEnd w:id="5"/>
      <w:r w:rsidRPr="00EA7901">
        <w:rPr>
          <w:b/>
          <w:color w:val="2E74B5"/>
        </w:rPr>
        <w:t xml:space="preserve"> </w:t>
      </w:r>
    </w:p>
    <w:p w14:paraId="3044E777" w14:textId="77777777" w:rsidR="00FF7799" w:rsidRPr="00E73F6F" w:rsidRDefault="00FF7799" w:rsidP="00862DBA">
      <w:pPr>
        <w:spacing w:before="60"/>
        <w:jc w:val="both"/>
        <w:rPr>
          <w:sz w:val="24"/>
          <w:szCs w:val="24"/>
        </w:rPr>
      </w:pPr>
      <w:r w:rsidRPr="00E73F6F">
        <w:rPr>
          <w:sz w:val="24"/>
          <w:szCs w:val="24"/>
        </w:rPr>
        <w:t xml:space="preserve">Intensität, mit der eine Person ihre Meinungen unnachgiebig vertritt und sich gegen Kritik sowie konträre </w:t>
      </w:r>
      <w:r w:rsidRPr="00E73F6F">
        <w:rPr>
          <w:rStyle w:val="StandardTextZchn1"/>
        </w:rPr>
        <w:t>Auffassungen immunisiert. Dogmatiker sind davon überzeugt, dass es bestimmte, unbezweifelbar wahre Aussagen gibt. Sie sind überzufällig häufig konservativ, selbstgerecht, wenig empathisch und wehren neue Informationen eher ablehnend eingestellt. Hinzu kommen Änderungsresistenz (bzw</w:t>
      </w:r>
      <w:r w:rsidRPr="00E73F6F">
        <w:rPr>
          <w:sz w:val="24"/>
          <w:szCs w:val="24"/>
        </w:rPr>
        <w:t>. Rigidität), mangelnde Bereitschaft, ihre grundlegenden Überzeugungen in Frage zu stellen, und ein Hang zu Schwarz/Weiß-Denke</w:t>
      </w:r>
      <w:r w:rsidR="00035E56">
        <w:rPr>
          <w:sz w:val="24"/>
          <w:szCs w:val="24"/>
        </w:rPr>
        <w:t xml:space="preserve">n. Dogmatismus korreliert mit </w:t>
      </w:r>
      <w:r w:rsidR="00035E56">
        <w:rPr>
          <w:sz w:val="24"/>
          <w:szCs w:val="24"/>
        </w:rPr>
        <w:sym w:font="Symbol" w:char="F0DE"/>
      </w:r>
      <w:r w:rsidR="00035E56">
        <w:rPr>
          <w:sz w:val="24"/>
          <w:szCs w:val="24"/>
        </w:rPr>
        <w:t xml:space="preserve"> Ethnozentrismus und  </w:t>
      </w:r>
      <w:r w:rsidR="00035E56">
        <w:rPr>
          <w:sz w:val="24"/>
          <w:szCs w:val="24"/>
        </w:rPr>
        <w:sym w:font="Symbol" w:char="F0DE"/>
      </w:r>
      <w:r w:rsidR="00035E56">
        <w:rPr>
          <w:sz w:val="24"/>
          <w:szCs w:val="24"/>
        </w:rPr>
        <w:t xml:space="preserve"> </w:t>
      </w:r>
      <w:r w:rsidRPr="00E73F6F">
        <w:rPr>
          <w:sz w:val="24"/>
          <w:szCs w:val="24"/>
        </w:rPr>
        <w:t xml:space="preserve">Xenophobie. </w:t>
      </w:r>
    </w:p>
    <w:p w14:paraId="5E708743" w14:textId="77777777" w:rsidR="004A28F6" w:rsidRPr="00E73F6F" w:rsidRDefault="004A28F6" w:rsidP="00862DBA">
      <w:pPr>
        <w:spacing w:before="60"/>
        <w:jc w:val="both"/>
        <w:rPr>
          <w:sz w:val="24"/>
          <w:szCs w:val="24"/>
        </w:rPr>
      </w:pPr>
    </w:p>
    <w:p w14:paraId="1E01F6AD" w14:textId="77777777" w:rsidR="00FF7799" w:rsidRPr="00E73F6F" w:rsidRDefault="00FF7799" w:rsidP="00F066E4">
      <w:pPr>
        <w:pStyle w:val="berschrift1"/>
      </w:pPr>
      <w:r w:rsidRPr="00EA7901">
        <w:rPr>
          <w:bCs w:val="0"/>
          <w:color w:val="2E74B5"/>
          <w:sz w:val="22"/>
        </w:rPr>
        <w:t>Domestic Marketing</w:t>
      </w:r>
      <w:r w:rsidRPr="00E73F6F">
        <w:rPr>
          <w:spacing w:val="-12"/>
        </w:rPr>
        <w:t xml:space="preserve"> </w:t>
      </w:r>
      <w:r w:rsidRPr="00E73F6F">
        <w:rPr>
          <w:b w:val="0"/>
        </w:rPr>
        <w:t>→</w:t>
      </w:r>
      <w:r w:rsidRPr="00E73F6F">
        <w:rPr>
          <w:b w:val="0"/>
          <w:spacing w:val="-5"/>
        </w:rPr>
        <w:t xml:space="preserve"> </w:t>
      </w:r>
      <w:r w:rsidRPr="00E73F6F">
        <w:rPr>
          <w:b w:val="0"/>
        </w:rPr>
        <w:t>Internationales</w:t>
      </w:r>
      <w:r w:rsidRPr="00E73F6F">
        <w:rPr>
          <w:b w:val="0"/>
          <w:spacing w:val="-3"/>
        </w:rPr>
        <w:t xml:space="preserve"> </w:t>
      </w:r>
      <w:r w:rsidRPr="00E73F6F">
        <w:rPr>
          <w:b w:val="0"/>
          <w:spacing w:val="-2"/>
        </w:rPr>
        <w:t>Marketing</w:t>
      </w:r>
    </w:p>
    <w:p w14:paraId="56F5BD91" w14:textId="7D80DB92" w:rsidR="00566582" w:rsidRPr="00EA7901" w:rsidRDefault="00566582" w:rsidP="00566582">
      <w:pPr>
        <w:keepNext/>
        <w:keepLines/>
        <w:spacing w:before="240"/>
        <w:jc w:val="both"/>
        <w:outlineLvl w:val="1"/>
        <w:rPr>
          <w:bCs/>
          <w:spacing w:val="-2"/>
          <w:sz w:val="24"/>
        </w:rPr>
      </w:pPr>
      <w:r w:rsidRPr="00FC6E20">
        <w:rPr>
          <w:b/>
          <w:color w:val="2E74B5"/>
        </w:rPr>
        <w:t>Dorf, globales</w:t>
      </w:r>
      <w:r>
        <w:rPr>
          <w:b/>
          <w:color w:val="2E74B5"/>
        </w:rPr>
        <w:t xml:space="preserve"> </w:t>
      </w:r>
      <w:r w:rsidRPr="00EA7901">
        <w:rPr>
          <w:bCs/>
          <w:spacing w:val="-2"/>
          <w:sz w:val="24"/>
        </w:rPr>
        <w:sym w:font="Symbol" w:char="F0AE"/>
      </w:r>
      <w:r w:rsidRPr="00EA7901">
        <w:rPr>
          <w:bCs/>
          <w:spacing w:val="-2"/>
          <w:sz w:val="24"/>
        </w:rPr>
        <w:t xml:space="preserve"> Marketing, kultursen</w:t>
      </w:r>
      <w:r w:rsidR="00EA7901" w:rsidRPr="00EA7901">
        <w:rPr>
          <w:bCs/>
          <w:spacing w:val="-2"/>
          <w:sz w:val="24"/>
        </w:rPr>
        <w:t>s</w:t>
      </w:r>
      <w:r w:rsidRPr="00EA7901">
        <w:rPr>
          <w:bCs/>
          <w:spacing w:val="-2"/>
          <w:sz w:val="24"/>
        </w:rPr>
        <w:t>ibles</w:t>
      </w:r>
    </w:p>
    <w:p w14:paraId="2C765498" w14:textId="77777777" w:rsidR="00566582" w:rsidRPr="00EA7901" w:rsidRDefault="00566582" w:rsidP="00566582">
      <w:pPr>
        <w:spacing w:after="120"/>
        <w:rPr>
          <w:bCs/>
          <w:spacing w:val="-2"/>
          <w:sz w:val="24"/>
        </w:rPr>
      </w:pPr>
    </w:p>
    <w:p w14:paraId="4C60FC73" w14:textId="77777777" w:rsidR="00FF7799" w:rsidRPr="00E73F6F" w:rsidRDefault="00FF7799" w:rsidP="00F066E4">
      <w:pPr>
        <w:pStyle w:val="berschrift1"/>
      </w:pPr>
      <w:r w:rsidRPr="00EA7901">
        <w:rPr>
          <w:bCs w:val="0"/>
          <w:color w:val="2E74B5"/>
          <w:sz w:val="22"/>
        </w:rPr>
        <w:t>Dual Concern-Modell</w:t>
      </w:r>
      <w:r w:rsidRPr="00E73F6F">
        <w:rPr>
          <w:spacing w:val="-2"/>
        </w:rPr>
        <w:t xml:space="preserve"> </w:t>
      </w:r>
      <w:r w:rsidRPr="00E73F6F">
        <w:rPr>
          <w:b w:val="0"/>
        </w:rPr>
        <w:t>→</w:t>
      </w:r>
      <w:r w:rsidRPr="00E73F6F">
        <w:rPr>
          <w:b w:val="0"/>
          <w:spacing w:val="-4"/>
        </w:rPr>
        <w:t xml:space="preserve"> </w:t>
      </w:r>
      <w:r w:rsidRPr="00E73F6F">
        <w:rPr>
          <w:b w:val="0"/>
          <w:spacing w:val="-2"/>
        </w:rPr>
        <w:t>Konflikte</w:t>
      </w:r>
    </w:p>
    <w:p w14:paraId="3FC1AB0F" w14:textId="77777777" w:rsidR="00FF7799" w:rsidRPr="00E73F6F" w:rsidRDefault="00FF7799" w:rsidP="00F066E4">
      <w:pPr>
        <w:pStyle w:val="berschrift1"/>
      </w:pPr>
      <w:r w:rsidRPr="00EA7901">
        <w:rPr>
          <w:bCs w:val="0"/>
          <w:color w:val="2E74B5"/>
          <w:sz w:val="22"/>
        </w:rPr>
        <w:t>Dumping</w:t>
      </w:r>
    </w:p>
    <w:p w14:paraId="03CC2BC7" w14:textId="77777777" w:rsidR="00FF7799" w:rsidRPr="00035E56" w:rsidRDefault="00FF7799" w:rsidP="00B05D04">
      <w:pPr>
        <w:pStyle w:val="StandardTextkursiv"/>
        <w:rPr>
          <w:i w:val="0"/>
        </w:rPr>
      </w:pPr>
      <w:r w:rsidRPr="00035E56">
        <w:rPr>
          <w:i w:val="0"/>
        </w:rPr>
        <w:t>1 Definition</w:t>
      </w:r>
    </w:p>
    <w:p w14:paraId="4AB83627" w14:textId="77777777" w:rsidR="00FF7799" w:rsidRPr="00035E56" w:rsidRDefault="00FF7799" w:rsidP="00B05D04">
      <w:pPr>
        <w:pStyle w:val="StandardText"/>
      </w:pPr>
      <w:r w:rsidRPr="00035E56">
        <w:t>Dumping</w:t>
      </w:r>
      <w:r w:rsidRPr="00035E56">
        <w:rPr>
          <w:spacing w:val="-2"/>
        </w:rPr>
        <w:t xml:space="preserve"> </w:t>
      </w:r>
      <w:r w:rsidRPr="00035E56">
        <w:t>liegt</w:t>
      </w:r>
      <w:r w:rsidRPr="00035E56">
        <w:rPr>
          <w:spacing w:val="-2"/>
        </w:rPr>
        <w:t xml:space="preserve"> </w:t>
      </w:r>
      <w:r w:rsidRPr="00035E56">
        <w:t>vor,</w:t>
      </w:r>
      <w:r w:rsidRPr="00035E56">
        <w:rPr>
          <w:spacing w:val="-2"/>
        </w:rPr>
        <w:t xml:space="preserve"> </w:t>
      </w:r>
      <w:r w:rsidRPr="00035E56">
        <w:t>„wenn</w:t>
      </w:r>
      <w:r w:rsidRPr="00035E56">
        <w:rPr>
          <w:spacing w:val="-1"/>
        </w:rPr>
        <w:t xml:space="preserve"> </w:t>
      </w:r>
      <w:r w:rsidRPr="00035E56">
        <w:t>der</w:t>
      </w:r>
      <w:r w:rsidRPr="00035E56">
        <w:rPr>
          <w:spacing w:val="-4"/>
        </w:rPr>
        <w:t xml:space="preserve"> </w:t>
      </w:r>
      <w:r w:rsidRPr="00035E56">
        <w:t>Preis</w:t>
      </w:r>
      <w:r w:rsidRPr="00035E56">
        <w:rPr>
          <w:spacing w:val="-2"/>
        </w:rPr>
        <w:t xml:space="preserve"> </w:t>
      </w:r>
      <w:r w:rsidRPr="00035E56">
        <w:t>einer</w:t>
      </w:r>
      <w:r w:rsidRPr="00035E56">
        <w:rPr>
          <w:spacing w:val="-2"/>
        </w:rPr>
        <w:t xml:space="preserve"> </w:t>
      </w:r>
      <w:r w:rsidRPr="00035E56">
        <w:t>Ware</w:t>
      </w:r>
      <w:r w:rsidRPr="00035E56">
        <w:rPr>
          <w:spacing w:val="-3"/>
        </w:rPr>
        <w:t xml:space="preserve"> </w:t>
      </w:r>
      <w:r w:rsidRPr="00035E56">
        <w:t>signifikant</w:t>
      </w:r>
      <w:r w:rsidRPr="00035E56">
        <w:rPr>
          <w:spacing w:val="-2"/>
        </w:rPr>
        <w:t xml:space="preserve"> </w:t>
      </w:r>
      <w:r w:rsidRPr="00035E56">
        <w:t>unterhalb</w:t>
      </w:r>
      <w:r w:rsidRPr="00035E56">
        <w:rPr>
          <w:spacing w:val="-1"/>
        </w:rPr>
        <w:t xml:space="preserve"> </w:t>
      </w:r>
      <w:r w:rsidRPr="00035E56">
        <w:rPr>
          <w:spacing w:val="-2"/>
        </w:rPr>
        <w:t xml:space="preserve">ihres </w:t>
      </w:r>
      <w:r w:rsidRPr="00035E56">
        <w:t>„normalen Wertes“ liegt. Der „normale Wert“ ist der Wert der Ware auf dem Markt ihres Ursprungslandes (vgl. GATT, §1, VI, 1) bzw. „wenn eine Ware zu einem</w:t>
      </w:r>
      <w:r w:rsidRPr="00035E56">
        <w:rPr>
          <w:spacing w:val="-5"/>
        </w:rPr>
        <w:t xml:space="preserve"> </w:t>
      </w:r>
      <w:r w:rsidRPr="00035E56">
        <w:t>geringeren</w:t>
      </w:r>
      <w:r w:rsidRPr="00035E56">
        <w:rPr>
          <w:spacing w:val="-5"/>
        </w:rPr>
        <w:t xml:space="preserve"> </w:t>
      </w:r>
      <w:r w:rsidRPr="00035E56">
        <w:t>Preis</w:t>
      </w:r>
      <w:r w:rsidRPr="00035E56">
        <w:rPr>
          <w:spacing w:val="-4"/>
        </w:rPr>
        <w:t xml:space="preserve"> </w:t>
      </w:r>
      <w:r w:rsidRPr="00035E56">
        <w:t>in</w:t>
      </w:r>
      <w:r w:rsidRPr="00035E56">
        <w:rPr>
          <w:spacing w:val="-5"/>
        </w:rPr>
        <w:t xml:space="preserve"> </w:t>
      </w:r>
      <w:r w:rsidRPr="00035E56">
        <w:t>den</w:t>
      </w:r>
      <w:r w:rsidRPr="00035E56">
        <w:rPr>
          <w:spacing w:val="-5"/>
        </w:rPr>
        <w:t xml:space="preserve"> </w:t>
      </w:r>
      <w:r w:rsidRPr="00035E56">
        <w:t>Geltungsbereich</w:t>
      </w:r>
      <w:r w:rsidRPr="00035E56">
        <w:rPr>
          <w:spacing w:val="-6"/>
        </w:rPr>
        <w:t xml:space="preserve"> </w:t>
      </w:r>
      <w:r w:rsidRPr="00035E56">
        <w:t>der</w:t>
      </w:r>
      <w:r w:rsidRPr="00035E56">
        <w:rPr>
          <w:spacing w:val="-2"/>
        </w:rPr>
        <w:t xml:space="preserve"> </w:t>
      </w:r>
      <w:r w:rsidRPr="00035E56">
        <w:t>Europäischen</w:t>
      </w:r>
      <w:r w:rsidRPr="00035E56">
        <w:rPr>
          <w:spacing w:val="-3"/>
        </w:rPr>
        <w:t xml:space="preserve"> </w:t>
      </w:r>
      <w:r w:rsidRPr="00035E56">
        <w:t xml:space="preserve">Gemeinschaft eingeführt werden soll, als gleichartige Ware im normalen Handelsverkehr des Ausfuhr- bzw. Ursprungslandes zum Kauf angeboten wird“ (vgl. EU-Anti- </w:t>
      </w:r>
      <w:r w:rsidRPr="00035E56">
        <w:rPr>
          <w:spacing w:val="-2"/>
        </w:rPr>
        <w:t>Dumping-Verordnung).</w:t>
      </w:r>
    </w:p>
    <w:p w14:paraId="18024D3D" w14:textId="77777777" w:rsidR="00FF7799" w:rsidRPr="00035E56" w:rsidRDefault="00FF7799" w:rsidP="00B05D04">
      <w:pPr>
        <w:pStyle w:val="StandardText"/>
      </w:pPr>
      <w:r w:rsidRPr="00035E56">
        <w:t>Das Allgemeine Zoll- und Handelsabkommen untersagt diese Variante der internationalen Preis</w:t>
      </w:r>
      <w:r w:rsidR="00035E56">
        <w:t>differenzierung grundsätzlich (</w:t>
      </w:r>
      <w:r w:rsidR="00035E56">
        <w:sym w:font="Symbol" w:char="F0DE"/>
      </w:r>
      <w:r w:rsidR="00035E56">
        <w:t xml:space="preserve"> </w:t>
      </w:r>
      <w:r w:rsidRPr="00035E56">
        <w:t xml:space="preserve"> Preisdifferenzierung). Vermutet bzw. unterstellt ein Importland Dumping, so ist es nicht berechtigt, unmittelbar</w:t>
      </w:r>
      <w:r w:rsidRPr="00035E56">
        <w:rPr>
          <w:spacing w:val="-12"/>
        </w:rPr>
        <w:t xml:space="preserve"> </w:t>
      </w:r>
      <w:r w:rsidRPr="00035E56">
        <w:t>Gegenmaßnahmen</w:t>
      </w:r>
      <w:r w:rsidRPr="00035E56">
        <w:rPr>
          <w:spacing w:val="-11"/>
        </w:rPr>
        <w:t xml:space="preserve"> </w:t>
      </w:r>
      <w:r w:rsidRPr="00035E56">
        <w:t>zu</w:t>
      </w:r>
      <w:r w:rsidRPr="00035E56">
        <w:rPr>
          <w:spacing w:val="-11"/>
        </w:rPr>
        <w:t xml:space="preserve"> </w:t>
      </w:r>
      <w:r w:rsidRPr="00035E56">
        <w:t>ergreifen</w:t>
      </w:r>
      <w:r w:rsidRPr="00035E56">
        <w:rPr>
          <w:spacing w:val="-11"/>
        </w:rPr>
        <w:t xml:space="preserve"> </w:t>
      </w:r>
      <w:r w:rsidRPr="00035E56">
        <w:t>(z.B.</w:t>
      </w:r>
      <w:r w:rsidRPr="00035E56">
        <w:rPr>
          <w:spacing w:val="-12"/>
        </w:rPr>
        <w:t xml:space="preserve"> </w:t>
      </w:r>
      <w:r w:rsidRPr="00035E56">
        <w:t>Anti-Dumping-</w:t>
      </w:r>
      <w:r w:rsidRPr="00035E56">
        <w:rPr>
          <w:spacing w:val="-11"/>
        </w:rPr>
        <w:t xml:space="preserve"> </w:t>
      </w:r>
      <w:r w:rsidRPr="00035E56">
        <w:t>bzw.</w:t>
      </w:r>
      <w:r w:rsidRPr="00035E56">
        <w:rPr>
          <w:spacing w:val="-11"/>
        </w:rPr>
        <w:t xml:space="preserve"> </w:t>
      </w:r>
      <w:r w:rsidRPr="00035E56">
        <w:t>Importzölle erheben). Vielmehr hat es gemäß § VI, Absatz 1 und 2 ein Prüfverfahren anzustrengen. Bestätigt dieses Verfahren den Dumping-Vorwurf, so muss der Exporteur entweder seinen Preis entsprechend erhöhen</w:t>
      </w:r>
      <w:r w:rsidRPr="00035E56">
        <w:rPr>
          <w:spacing w:val="-1"/>
        </w:rPr>
        <w:t xml:space="preserve"> </w:t>
      </w:r>
      <w:r w:rsidRPr="00035E56">
        <w:t>oder einen</w:t>
      </w:r>
      <w:r w:rsidRPr="00035E56">
        <w:rPr>
          <w:spacing w:val="-1"/>
        </w:rPr>
        <w:t xml:space="preserve"> </w:t>
      </w:r>
      <w:r w:rsidRPr="00035E56">
        <w:t>gleichwertigen Anti-Dumping-Zoll hinnehmen.</w:t>
      </w:r>
    </w:p>
    <w:p w14:paraId="2B59D32F" w14:textId="77777777" w:rsidR="00FF7799" w:rsidRPr="00E73F6F" w:rsidRDefault="00FF7799" w:rsidP="00B05D04">
      <w:pPr>
        <w:pStyle w:val="StandardText"/>
      </w:pPr>
    </w:p>
    <w:p w14:paraId="30078A7E" w14:textId="77777777" w:rsidR="00FF7799" w:rsidRPr="00035E56" w:rsidRDefault="00FF7799" w:rsidP="00B05D04">
      <w:pPr>
        <w:pStyle w:val="StandardTextkursiv"/>
        <w:rPr>
          <w:i w:val="0"/>
        </w:rPr>
      </w:pPr>
      <w:r w:rsidRPr="00035E56">
        <w:rPr>
          <w:i w:val="0"/>
        </w:rPr>
        <w:t>2 Erscheinungsformen</w:t>
      </w:r>
    </w:p>
    <w:p w14:paraId="2C58C423" w14:textId="77777777" w:rsidR="00FF7799" w:rsidRPr="00E73F6F" w:rsidRDefault="00FF7799" w:rsidP="00862DBA">
      <w:pPr>
        <w:spacing w:before="122"/>
        <w:jc w:val="both"/>
        <w:rPr>
          <w:sz w:val="24"/>
          <w:szCs w:val="24"/>
        </w:rPr>
      </w:pPr>
      <w:r w:rsidRPr="00E73F6F">
        <w:rPr>
          <w:sz w:val="24"/>
          <w:szCs w:val="24"/>
        </w:rPr>
        <w:t>In der Literatur werden mehrere Varianten der Strategie, auf ausländischen Märkten</w:t>
      </w:r>
      <w:r w:rsidRPr="00E73F6F">
        <w:rPr>
          <w:spacing w:val="-12"/>
          <w:sz w:val="24"/>
          <w:szCs w:val="24"/>
        </w:rPr>
        <w:t xml:space="preserve"> </w:t>
      </w:r>
      <w:r w:rsidRPr="00E73F6F">
        <w:rPr>
          <w:sz w:val="24"/>
          <w:szCs w:val="24"/>
        </w:rPr>
        <w:t>durch</w:t>
      </w:r>
      <w:r w:rsidRPr="00E73F6F">
        <w:rPr>
          <w:spacing w:val="-10"/>
          <w:sz w:val="24"/>
          <w:szCs w:val="24"/>
        </w:rPr>
        <w:t xml:space="preserve"> </w:t>
      </w:r>
      <w:r w:rsidRPr="00E73F6F">
        <w:rPr>
          <w:sz w:val="24"/>
          <w:szCs w:val="24"/>
        </w:rPr>
        <w:t>Dumping</w:t>
      </w:r>
      <w:r w:rsidRPr="00E73F6F">
        <w:rPr>
          <w:spacing w:val="-10"/>
          <w:sz w:val="24"/>
          <w:szCs w:val="24"/>
        </w:rPr>
        <w:t xml:space="preserve"> </w:t>
      </w:r>
      <w:r w:rsidRPr="00E73F6F">
        <w:rPr>
          <w:sz w:val="24"/>
          <w:szCs w:val="24"/>
        </w:rPr>
        <w:t>Marktanteile</w:t>
      </w:r>
      <w:r w:rsidRPr="00E73F6F">
        <w:rPr>
          <w:spacing w:val="-12"/>
          <w:sz w:val="24"/>
          <w:szCs w:val="24"/>
        </w:rPr>
        <w:t xml:space="preserve"> </w:t>
      </w:r>
      <w:r w:rsidRPr="00E73F6F">
        <w:rPr>
          <w:sz w:val="24"/>
          <w:szCs w:val="24"/>
        </w:rPr>
        <w:t>zu</w:t>
      </w:r>
      <w:r w:rsidRPr="00E73F6F">
        <w:rPr>
          <w:spacing w:val="-9"/>
          <w:sz w:val="24"/>
          <w:szCs w:val="24"/>
        </w:rPr>
        <w:t xml:space="preserve"> </w:t>
      </w:r>
      <w:r w:rsidRPr="00E73F6F">
        <w:rPr>
          <w:sz w:val="24"/>
          <w:szCs w:val="24"/>
        </w:rPr>
        <w:t>gewinnen,</w:t>
      </w:r>
      <w:r w:rsidRPr="00E73F6F">
        <w:rPr>
          <w:spacing w:val="-12"/>
          <w:sz w:val="24"/>
          <w:szCs w:val="24"/>
        </w:rPr>
        <w:t xml:space="preserve"> </w:t>
      </w:r>
      <w:r w:rsidRPr="00E73F6F">
        <w:rPr>
          <w:sz w:val="24"/>
          <w:szCs w:val="24"/>
        </w:rPr>
        <w:t>beschrieben</w:t>
      </w:r>
      <w:r w:rsidRPr="00E73F6F">
        <w:rPr>
          <w:spacing w:val="-9"/>
          <w:sz w:val="24"/>
          <w:szCs w:val="24"/>
        </w:rPr>
        <w:t xml:space="preserve"> </w:t>
      </w:r>
      <w:r w:rsidRPr="00E73F6F">
        <w:rPr>
          <w:sz w:val="24"/>
          <w:szCs w:val="24"/>
        </w:rPr>
        <w:t>(vgl.</w:t>
      </w:r>
      <w:r w:rsidRPr="00E73F6F">
        <w:rPr>
          <w:spacing w:val="-10"/>
          <w:sz w:val="24"/>
          <w:szCs w:val="24"/>
        </w:rPr>
        <w:t xml:space="preserve"> </w:t>
      </w:r>
      <w:r w:rsidRPr="00E73F6F">
        <w:rPr>
          <w:sz w:val="24"/>
          <w:szCs w:val="24"/>
        </w:rPr>
        <w:t>Diller</w:t>
      </w:r>
      <w:r w:rsidRPr="00E73F6F">
        <w:rPr>
          <w:spacing w:val="-12"/>
          <w:sz w:val="24"/>
          <w:szCs w:val="24"/>
        </w:rPr>
        <w:t xml:space="preserve"> </w:t>
      </w:r>
      <w:r w:rsidRPr="00E73F6F">
        <w:rPr>
          <w:sz w:val="24"/>
          <w:szCs w:val="24"/>
        </w:rPr>
        <w:t xml:space="preserve">2008, </w:t>
      </w:r>
      <w:r w:rsidRPr="00E73F6F">
        <w:rPr>
          <w:spacing w:val="-2"/>
          <w:sz w:val="24"/>
          <w:szCs w:val="24"/>
        </w:rPr>
        <w:t>S.304f.).</w:t>
      </w:r>
    </w:p>
    <w:p w14:paraId="64694DAD" w14:textId="77777777" w:rsidR="00FF7799" w:rsidRPr="00E73F6F" w:rsidRDefault="00FF7799" w:rsidP="00862DBA">
      <w:pPr>
        <w:spacing w:before="10"/>
        <w:rPr>
          <w:sz w:val="24"/>
          <w:szCs w:val="24"/>
        </w:rPr>
      </w:pPr>
    </w:p>
    <w:p w14:paraId="36D5D352" w14:textId="77777777" w:rsidR="00FF7799" w:rsidRPr="00E73F6F" w:rsidRDefault="00FF7799" w:rsidP="00B05D04">
      <w:pPr>
        <w:pStyle w:val="StandardText"/>
      </w:pPr>
      <w:r w:rsidRPr="00E73F6F">
        <w:t>Vorbedingungen</w:t>
      </w:r>
      <w:r w:rsidRPr="00E73F6F">
        <w:rPr>
          <w:spacing w:val="-4"/>
        </w:rPr>
        <w:t xml:space="preserve"> sind:</w:t>
      </w:r>
    </w:p>
    <w:p w14:paraId="4418B2BA" w14:textId="77777777" w:rsidR="00FF7799" w:rsidRPr="00E73F6F" w:rsidRDefault="00FF7799" w:rsidP="00EA7901">
      <w:pPr>
        <w:pStyle w:val="StandardTextAufzhlung"/>
        <w:ind w:left="426"/>
      </w:pPr>
      <w:r w:rsidRPr="00E73F6F">
        <w:t>Das</w:t>
      </w:r>
      <w:r w:rsidRPr="00E73F6F">
        <w:rPr>
          <w:spacing w:val="-4"/>
        </w:rPr>
        <w:t xml:space="preserve"> </w:t>
      </w:r>
      <w:r w:rsidRPr="00E73F6F">
        <w:t>Unternehmen</w:t>
      </w:r>
      <w:r w:rsidRPr="00E73F6F">
        <w:rPr>
          <w:spacing w:val="-3"/>
        </w:rPr>
        <w:t xml:space="preserve"> </w:t>
      </w:r>
      <w:r w:rsidRPr="00E73F6F">
        <w:t>muss</w:t>
      </w:r>
      <w:r w:rsidRPr="00E73F6F">
        <w:rPr>
          <w:spacing w:val="-5"/>
        </w:rPr>
        <w:t xml:space="preserve"> </w:t>
      </w:r>
      <w:r w:rsidRPr="00E73F6F">
        <w:t>die</w:t>
      </w:r>
      <w:r w:rsidRPr="00E73F6F">
        <w:rPr>
          <w:spacing w:val="-4"/>
        </w:rPr>
        <w:t xml:space="preserve"> </w:t>
      </w:r>
      <w:r w:rsidRPr="00E73F6F">
        <w:t>Preisstellung</w:t>
      </w:r>
      <w:r w:rsidRPr="00E73F6F">
        <w:rPr>
          <w:spacing w:val="-5"/>
        </w:rPr>
        <w:t xml:space="preserve"> </w:t>
      </w:r>
      <w:r w:rsidRPr="00E73F6F">
        <w:t>seiner</w:t>
      </w:r>
      <w:r w:rsidRPr="00E73F6F">
        <w:rPr>
          <w:spacing w:val="-4"/>
        </w:rPr>
        <w:t xml:space="preserve"> </w:t>
      </w:r>
      <w:r w:rsidRPr="00E73F6F">
        <w:t>Produkte</w:t>
      </w:r>
      <w:r w:rsidRPr="00E73F6F">
        <w:rPr>
          <w:spacing w:val="-4"/>
        </w:rPr>
        <w:t xml:space="preserve"> </w:t>
      </w:r>
      <w:r w:rsidRPr="00E73F6F">
        <w:t>auf</w:t>
      </w:r>
      <w:r w:rsidRPr="00E73F6F">
        <w:rPr>
          <w:spacing w:val="-6"/>
        </w:rPr>
        <w:t xml:space="preserve"> </w:t>
      </w:r>
      <w:r w:rsidRPr="00E73F6F">
        <w:t>dem Auslandsmarkt zumindest teilweise kontrollieren können.</w:t>
      </w:r>
    </w:p>
    <w:p w14:paraId="028D5D6B" w14:textId="77777777" w:rsidR="00FF7799" w:rsidRPr="00E73F6F" w:rsidRDefault="00FF7799" w:rsidP="00EA7901">
      <w:pPr>
        <w:pStyle w:val="StandardTextAufzhlung"/>
        <w:ind w:left="426"/>
      </w:pPr>
      <w:r w:rsidRPr="00E73F6F">
        <w:t>Der</w:t>
      </w:r>
      <w:r w:rsidRPr="00E73F6F">
        <w:rPr>
          <w:spacing w:val="-3"/>
        </w:rPr>
        <w:t xml:space="preserve"> </w:t>
      </w:r>
      <w:r w:rsidRPr="00E73F6F">
        <w:t>Arbitrage-Handel</w:t>
      </w:r>
      <w:r w:rsidRPr="00E73F6F">
        <w:rPr>
          <w:spacing w:val="-5"/>
        </w:rPr>
        <w:t xml:space="preserve"> </w:t>
      </w:r>
      <w:r w:rsidRPr="00E73F6F">
        <w:t>darf</w:t>
      </w:r>
      <w:r w:rsidRPr="00E73F6F">
        <w:rPr>
          <w:spacing w:val="-6"/>
        </w:rPr>
        <w:t xml:space="preserve"> </w:t>
      </w:r>
      <w:r w:rsidRPr="00E73F6F">
        <w:t>im</w:t>
      </w:r>
      <w:r w:rsidRPr="00E73F6F">
        <w:rPr>
          <w:spacing w:val="-3"/>
        </w:rPr>
        <w:t xml:space="preserve"> </w:t>
      </w:r>
      <w:r w:rsidRPr="00E73F6F">
        <w:t>konkreten</w:t>
      </w:r>
      <w:r w:rsidRPr="00E73F6F">
        <w:rPr>
          <w:spacing w:val="-3"/>
        </w:rPr>
        <w:t xml:space="preserve"> </w:t>
      </w:r>
      <w:r w:rsidRPr="00E73F6F">
        <w:t>Einzelfall</w:t>
      </w:r>
      <w:r w:rsidRPr="00E73F6F">
        <w:rPr>
          <w:spacing w:val="-3"/>
        </w:rPr>
        <w:t xml:space="preserve"> </w:t>
      </w:r>
      <w:r w:rsidRPr="00E73F6F">
        <w:t>keine</w:t>
      </w:r>
      <w:r w:rsidRPr="00E73F6F">
        <w:rPr>
          <w:spacing w:val="-6"/>
        </w:rPr>
        <w:t xml:space="preserve"> </w:t>
      </w:r>
      <w:r w:rsidRPr="00E73F6F">
        <w:t>allzu</w:t>
      </w:r>
      <w:r w:rsidRPr="00E73F6F">
        <w:rPr>
          <w:spacing w:val="-5"/>
        </w:rPr>
        <w:t xml:space="preserve"> </w:t>
      </w:r>
      <w:r w:rsidRPr="00E73F6F">
        <w:t>große Gefahr darstellen.</w:t>
      </w:r>
    </w:p>
    <w:p w14:paraId="04458F2B" w14:textId="77777777" w:rsidR="00FF7799" w:rsidRPr="00E73F6F" w:rsidRDefault="00FF7799" w:rsidP="00EA7901">
      <w:pPr>
        <w:pStyle w:val="StandardTextAufzhlung"/>
        <w:ind w:left="426"/>
      </w:pPr>
      <w:r w:rsidRPr="00E73F6F">
        <w:t>Auf</w:t>
      </w:r>
      <w:r w:rsidRPr="00E73F6F">
        <w:rPr>
          <w:spacing w:val="-5"/>
        </w:rPr>
        <w:t xml:space="preserve"> </w:t>
      </w:r>
      <w:r w:rsidRPr="00E73F6F">
        <w:t>dem</w:t>
      </w:r>
      <w:r w:rsidRPr="00E73F6F">
        <w:rPr>
          <w:spacing w:val="-3"/>
        </w:rPr>
        <w:t xml:space="preserve"> </w:t>
      </w:r>
      <w:r w:rsidRPr="00E73F6F">
        <w:t>Auslandsmarkt</w:t>
      </w:r>
      <w:r w:rsidRPr="00E73F6F">
        <w:rPr>
          <w:spacing w:val="-3"/>
        </w:rPr>
        <w:t xml:space="preserve"> </w:t>
      </w:r>
      <w:r w:rsidRPr="00E73F6F">
        <w:t>muss</w:t>
      </w:r>
      <w:r w:rsidRPr="00E73F6F">
        <w:rPr>
          <w:spacing w:val="-4"/>
        </w:rPr>
        <w:t xml:space="preserve"> </w:t>
      </w:r>
      <w:r w:rsidRPr="00E73F6F">
        <w:t>eine</w:t>
      </w:r>
      <w:r w:rsidRPr="00E73F6F">
        <w:rPr>
          <w:spacing w:val="-4"/>
        </w:rPr>
        <w:t xml:space="preserve"> </w:t>
      </w:r>
      <w:r w:rsidRPr="00E73F6F">
        <w:t>höhere</w:t>
      </w:r>
      <w:r w:rsidRPr="00E73F6F">
        <w:rPr>
          <w:spacing w:val="-4"/>
        </w:rPr>
        <w:t xml:space="preserve"> </w:t>
      </w:r>
      <w:r w:rsidRPr="00E73F6F">
        <w:t>Preiselastizität</w:t>
      </w:r>
      <w:r w:rsidRPr="00E73F6F">
        <w:rPr>
          <w:spacing w:val="-5"/>
        </w:rPr>
        <w:t xml:space="preserve"> </w:t>
      </w:r>
      <w:r w:rsidRPr="00E73F6F">
        <w:t>bestehen</w:t>
      </w:r>
      <w:r w:rsidRPr="00E73F6F">
        <w:rPr>
          <w:spacing w:val="-4"/>
        </w:rPr>
        <w:t xml:space="preserve"> </w:t>
      </w:r>
      <w:r w:rsidRPr="00E73F6F">
        <w:t>als auf dem Inlandsmarkt.</w:t>
      </w:r>
    </w:p>
    <w:p w14:paraId="7B920810" w14:textId="77777777" w:rsidR="00FF7799" w:rsidRPr="00E73F6F" w:rsidRDefault="00FF7799" w:rsidP="00B05D04">
      <w:pPr>
        <w:pStyle w:val="StandardText"/>
      </w:pPr>
      <w:r w:rsidRPr="00E73F6F">
        <w:t>Folgende</w:t>
      </w:r>
      <w:r w:rsidRPr="00E73F6F">
        <w:rPr>
          <w:spacing w:val="-4"/>
        </w:rPr>
        <w:t xml:space="preserve"> </w:t>
      </w:r>
      <w:r w:rsidRPr="00E73F6F">
        <w:t>Dumpingarten</w:t>
      </w:r>
      <w:r w:rsidRPr="00E73F6F">
        <w:rPr>
          <w:spacing w:val="-1"/>
        </w:rPr>
        <w:t xml:space="preserve"> </w:t>
      </w:r>
      <w:r w:rsidRPr="00E73F6F">
        <w:t>werden</w:t>
      </w:r>
      <w:r w:rsidRPr="00E73F6F">
        <w:rPr>
          <w:spacing w:val="-5"/>
        </w:rPr>
        <w:t xml:space="preserve"> </w:t>
      </w:r>
      <w:r w:rsidRPr="00E73F6F">
        <w:rPr>
          <w:spacing w:val="-2"/>
        </w:rPr>
        <w:t>unterschieden:</w:t>
      </w:r>
    </w:p>
    <w:p w14:paraId="2C4C3B6D" w14:textId="77777777" w:rsidR="00FF7799" w:rsidRPr="00E73F6F" w:rsidRDefault="00FF7799" w:rsidP="00EA7901">
      <w:pPr>
        <w:pStyle w:val="StandardTextAufzhlung"/>
        <w:ind w:left="426"/>
      </w:pPr>
      <w:r w:rsidRPr="00E73F6F">
        <w:lastRenderedPageBreak/>
        <w:t>Aktives Dumping verfolgt das Ziel, dem eigenen Unternehmen schnellen Zutritt zu einem bestimmten Auslandsmarkt zu verschaffen (= Penetration Dumping) oder dort bereits etablierte Wettbewerber zu verdrängen (= Predatory Dumping).</w:t>
      </w:r>
    </w:p>
    <w:p w14:paraId="03908544" w14:textId="77777777" w:rsidR="00FF7799" w:rsidRPr="00E73F6F" w:rsidRDefault="00FF7799" w:rsidP="00EA7901">
      <w:pPr>
        <w:pStyle w:val="StandardTextAufzhlung"/>
        <w:ind w:left="426"/>
      </w:pPr>
      <w:r w:rsidRPr="00E73F6F">
        <w:t>Passives Dumping oder technisches Dumping ist keine bewusste Strategie. Wechselkursänderungen können dafür sorgen, dass ein Unternehmen ohne eigenes</w:t>
      </w:r>
      <w:r w:rsidRPr="00E73F6F">
        <w:rPr>
          <w:spacing w:val="-8"/>
        </w:rPr>
        <w:t xml:space="preserve"> </w:t>
      </w:r>
      <w:r w:rsidRPr="00E73F6F">
        <w:t>Zutun</w:t>
      </w:r>
      <w:r w:rsidRPr="00E73F6F">
        <w:rPr>
          <w:spacing w:val="-9"/>
        </w:rPr>
        <w:t xml:space="preserve"> </w:t>
      </w:r>
      <w:r w:rsidRPr="00E73F6F">
        <w:t>in</w:t>
      </w:r>
      <w:r w:rsidRPr="00E73F6F">
        <w:rPr>
          <w:spacing w:val="-9"/>
        </w:rPr>
        <w:t xml:space="preserve"> </w:t>
      </w:r>
      <w:r w:rsidRPr="00E73F6F">
        <w:t>Verdacht</w:t>
      </w:r>
      <w:r w:rsidRPr="00E73F6F">
        <w:rPr>
          <w:spacing w:val="-10"/>
        </w:rPr>
        <w:t xml:space="preserve"> </w:t>
      </w:r>
      <w:r w:rsidRPr="00E73F6F">
        <w:t>gerät,</w:t>
      </w:r>
      <w:r w:rsidRPr="00E73F6F">
        <w:rPr>
          <w:spacing w:val="-9"/>
        </w:rPr>
        <w:t xml:space="preserve"> </w:t>
      </w:r>
      <w:r w:rsidRPr="00E73F6F">
        <w:t>Dumping</w:t>
      </w:r>
      <w:r w:rsidRPr="00E73F6F">
        <w:rPr>
          <w:spacing w:val="-8"/>
        </w:rPr>
        <w:t xml:space="preserve"> </w:t>
      </w:r>
      <w:r w:rsidRPr="00E73F6F">
        <w:t>zu</w:t>
      </w:r>
      <w:r w:rsidRPr="00E73F6F">
        <w:rPr>
          <w:spacing w:val="-9"/>
        </w:rPr>
        <w:t xml:space="preserve"> </w:t>
      </w:r>
      <w:r w:rsidRPr="00E73F6F">
        <w:t>betreiben.</w:t>
      </w:r>
      <w:r w:rsidRPr="00E73F6F">
        <w:rPr>
          <w:spacing w:val="-4"/>
        </w:rPr>
        <w:t xml:space="preserve"> </w:t>
      </w:r>
      <w:r w:rsidRPr="00E73F6F">
        <w:t>Bruns</w:t>
      </w:r>
      <w:r w:rsidRPr="00E73F6F">
        <w:rPr>
          <w:spacing w:val="-8"/>
        </w:rPr>
        <w:t xml:space="preserve"> </w:t>
      </w:r>
      <w:r w:rsidRPr="00E73F6F">
        <w:t>(2003,</w:t>
      </w:r>
      <w:r w:rsidRPr="00E73F6F">
        <w:rPr>
          <w:spacing w:val="-9"/>
        </w:rPr>
        <w:t xml:space="preserve"> </w:t>
      </w:r>
      <w:r w:rsidRPr="00E73F6F">
        <w:t>S.214f.)</w:t>
      </w:r>
    </w:p>
    <w:p w14:paraId="5A552BD0" w14:textId="77777777" w:rsidR="00FF7799" w:rsidRPr="00E73F6F" w:rsidRDefault="00FF7799" w:rsidP="00EA7901">
      <w:pPr>
        <w:pStyle w:val="StandardTextAufzhlung"/>
        <w:ind w:left="426"/>
      </w:pPr>
      <w:r w:rsidRPr="00E73F6F">
        <w:t>rechnet dies am Beispiel eines deutschen Herstellers, der ein Gut auf dem heimischen Markt zu 100 € anbietet, modellhaft vor. Bei einer Senkung des Euro-Wechselkurses um 18% müsste dieser auf dem amerikanischen Markt den Preis für</w:t>
      </w:r>
      <w:r w:rsidRPr="00E73F6F">
        <w:rPr>
          <w:spacing w:val="-1"/>
        </w:rPr>
        <w:t xml:space="preserve"> </w:t>
      </w:r>
      <w:r w:rsidRPr="00E73F6F">
        <w:t>dieses Gut um 21% erhöhen (oder auf</w:t>
      </w:r>
      <w:r w:rsidRPr="00E73F6F">
        <w:rPr>
          <w:spacing w:val="-1"/>
        </w:rPr>
        <w:t xml:space="preserve"> </w:t>
      </w:r>
      <w:r w:rsidRPr="00E73F6F">
        <w:t>dem deutschen Markt um 9% senken), um den Dumping-Tatbestand nicht zu erfüllen.</w:t>
      </w:r>
    </w:p>
    <w:p w14:paraId="107EA78D" w14:textId="77777777" w:rsidR="00FF7799" w:rsidRPr="00E73F6F" w:rsidRDefault="00FF7799" w:rsidP="00EA7901">
      <w:pPr>
        <w:pStyle w:val="StandardTextAufzhlung"/>
        <w:ind w:left="426"/>
      </w:pPr>
      <w:r w:rsidRPr="00E73F6F">
        <w:t xml:space="preserve">Zyklisches Dumping ist dazu bestimmt Nachfrageschwankungen </w:t>
      </w:r>
      <w:r w:rsidRPr="00E73F6F">
        <w:rPr>
          <w:spacing w:val="-2"/>
        </w:rPr>
        <w:t>auszugleichen.</w:t>
      </w:r>
    </w:p>
    <w:p w14:paraId="65EE8FA8" w14:textId="77777777" w:rsidR="00FF7799" w:rsidRPr="00E73F6F" w:rsidRDefault="00FF7799" w:rsidP="00EA7901">
      <w:pPr>
        <w:pStyle w:val="StandardTextAufzhlung"/>
        <w:ind w:left="426"/>
      </w:pPr>
      <w:r w:rsidRPr="00E73F6F">
        <w:t>Defensives</w:t>
      </w:r>
      <w:r w:rsidRPr="00E73F6F">
        <w:rPr>
          <w:spacing w:val="-6"/>
        </w:rPr>
        <w:t xml:space="preserve"> </w:t>
      </w:r>
      <w:r w:rsidRPr="00E73F6F">
        <w:t>Dumping</w:t>
      </w:r>
      <w:r w:rsidRPr="00E73F6F">
        <w:rPr>
          <w:spacing w:val="-7"/>
        </w:rPr>
        <w:t xml:space="preserve"> </w:t>
      </w:r>
      <w:r w:rsidRPr="00E73F6F">
        <w:t>dient</w:t>
      </w:r>
      <w:r w:rsidRPr="00E73F6F">
        <w:rPr>
          <w:spacing w:val="-7"/>
        </w:rPr>
        <w:t xml:space="preserve"> </w:t>
      </w:r>
      <w:r w:rsidRPr="00E73F6F">
        <w:t>dem</w:t>
      </w:r>
      <w:r w:rsidRPr="00E73F6F">
        <w:rPr>
          <w:spacing w:val="-6"/>
        </w:rPr>
        <w:t xml:space="preserve"> </w:t>
      </w:r>
      <w:r w:rsidRPr="00E73F6F">
        <w:t>Zweck,</w:t>
      </w:r>
      <w:r w:rsidRPr="00E73F6F">
        <w:rPr>
          <w:spacing w:val="-6"/>
        </w:rPr>
        <w:t xml:space="preserve"> </w:t>
      </w:r>
      <w:r w:rsidRPr="00E73F6F">
        <w:t>potentielle</w:t>
      </w:r>
      <w:r w:rsidRPr="00E73F6F">
        <w:rPr>
          <w:spacing w:val="-6"/>
        </w:rPr>
        <w:t xml:space="preserve"> </w:t>
      </w:r>
      <w:r w:rsidRPr="00E73F6F">
        <w:t>Konkurrenten</w:t>
      </w:r>
      <w:r w:rsidRPr="00E73F6F">
        <w:rPr>
          <w:spacing w:val="-4"/>
        </w:rPr>
        <w:t xml:space="preserve"> </w:t>
      </w:r>
      <w:r w:rsidRPr="00E73F6F">
        <w:t>vom</w:t>
      </w:r>
      <w:r w:rsidRPr="00E73F6F">
        <w:rPr>
          <w:spacing w:val="-6"/>
        </w:rPr>
        <w:t xml:space="preserve"> </w:t>
      </w:r>
      <w:r w:rsidRPr="00E73F6F">
        <w:t>Eintritt in einen bestimmten Markt abzuhalten.</w:t>
      </w:r>
    </w:p>
    <w:p w14:paraId="0C0A0C28" w14:textId="77777777" w:rsidR="00FF7799" w:rsidRPr="00035E56" w:rsidRDefault="00FF7799" w:rsidP="00B05D04">
      <w:pPr>
        <w:pStyle w:val="StandardText"/>
        <w:rPr>
          <w:i/>
          <w:sz w:val="22"/>
          <w:szCs w:val="22"/>
        </w:rPr>
      </w:pPr>
      <w:r w:rsidRPr="00EA7901">
        <w:rPr>
          <w:b/>
          <w:i/>
          <w:iCs/>
          <w:sz w:val="22"/>
          <w:szCs w:val="22"/>
        </w:rPr>
        <w:t>Literatur</w:t>
      </w:r>
      <w:r w:rsidRPr="00EA7901">
        <w:rPr>
          <w:i/>
          <w:iCs/>
          <w:sz w:val="22"/>
          <w:szCs w:val="22"/>
        </w:rPr>
        <w:t>:</w:t>
      </w:r>
      <w:r w:rsidRPr="00035E56">
        <w:rPr>
          <w:spacing w:val="1"/>
          <w:sz w:val="22"/>
          <w:szCs w:val="22"/>
        </w:rPr>
        <w:t xml:space="preserve"> </w:t>
      </w:r>
      <w:r w:rsidRPr="00035E56">
        <w:rPr>
          <w:sz w:val="22"/>
          <w:szCs w:val="22"/>
        </w:rPr>
        <w:t>Bruns, J.</w:t>
      </w:r>
      <w:r w:rsidRPr="00035E56">
        <w:rPr>
          <w:spacing w:val="-1"/>
          <w:sz w:val="22"/>
          <w:szCs w:val="22"/>
        </w:rPr>
        <w:t xml:space="preserve"> </w:t>
      </w:r>
      <w:r w:rsidRPr="00035E56">
        <w:rPr>
          <w:sz w:val="22"/>
          <w:szCs w:val="22"/>
        </w:rPr>
        <w:t>(2003):</w:t>
      </w:r>
      <w:r w:rsidRPr="00035E56">
        <w:rPr>
          <w:spacing w:val="3"/>
          <w:sz w:val="22"/>
          <w:szCs w:val="22"/>
        </w:rPr>
        <w:t xml:space="preserve"> </w:t>
      </w:r>
      <w:r w:rsidRPr="00035E56">
        <w:rPr>
          <w:sz w:val="22"/>
          <w:szCs w:val="22"/>
        </w:rPr>
        <w:t>Internationales</w:t>
      </w:r>
      <w:r w:rsidRPr="00035E56">
        <w:rPr>
          <w:spacing w:val="-4"/>
          <w:sz w:val="22"/>
          <w:szCs w:val="22"/>
        </w:rPr>
        <w:t xml:space="preserve"> </w:t>
      </w:r>
      <w:r w:rsidRPr="00035E56">
        <w:rPr>
          <w:sz w:val="22"/>
          <w:szCs w:val="22"/>
        </w:rPr>
        <w:t>Marketing,</w:t>
      </w:r>
      <w:r w:rsidRPr="00035E56">
        <w:rPr>
          <w:spacing w:val="4"/>
          <w:sz w:val="22"/>
          <w:szCs w:val="22"/>
        </w:rPr>
        <w:t xml:space="preserve"> </w:t>
      </w:r>
      <w:r w:rsidRPr="00035E56">
        <w:rPr>
          <w:sz w:val="22"/>
          <w:szCs w:val="22"/>
        </w:rPr>
        <w:t>3.Aufl., Ludwigshafen:</w:t>
      </w:r>
      <w:r w:rsidRPr="00035E56">
        <w:rPr>
          <w:spacing w:val="1"/>
          <w:sz w:val="22"/>
          <w:szCs w:val="22"/>
        </w:rPr>
        <w:t xml:space="preserve"> </w:t>
      </w:r>
      <w:r w:rsidRPr="00035E56">
        <w:rPr>
          <w:sz w:val="22"/>
          <w:szCs w:val="22"/>
        </w:rPr>
        <w:t>Kiehl.</w:t>
      </w:r>
      <w:r w:rsidRPr="00035E56">
        <w:rPr>
          <w:spacing w:val="4"/>
          <w:sz w:val="22"/>
          <w:szCs w:val="22"/>
        </w:rPr>
        <w:t xml:space="preserve"> </w:t>
      </w:r>
      <w:r w:rsidR="009278E0">
        <w:rPr>
          <w:spacing w:val="4"/>
          <w:sz w:val="22"/>
          <w:szCs w:val="22"/>
        </w:rPr>
        <w:t xml:space="preserve"> </w:t>
      </w:r>
      <w:r w:rsidRPr="00035E56">
        <w:rPr>
          <w:sz w:val="22"/>
          <w:szCs w:val="22"/>
        </w:rPr>
        <w:t>Diller, H.</w:t>
      </w:r>
      <w:r w:rsidRPr="00035E56">
        <w:rPr>
          <w:spacing w:val="-6"/>
          <w:sz w:val="22"/>
          <w:szCs w:val="22"/>
        </w:rPr>
        <w:t xml:space="preserve"> </w:t>
      </w:r>
      <w:r w:rsidRPr="00035E56">
        <w:rPr>
          <w:sz w:val="22"/>
          <w:szCs w:val="22"/>
        </w:rPr>
        <w:t>(2008):</w:t>
      </w:r>
      <w:r w:rsidRPr="00035E56">
        <w:rPr>
          <w:spacing w:val="-8"/>
          <w:sz w:val="22"/>
          <w:szCs w:val="22"/>
        </w:rPr>
        <w:t xml:space="preserve"> </w:t>
      </w:r>
      <w:r w:rsidRPr="00035E56">
        <w:rPr>
          <w:sz w:val="22"/>
          <w:szCs w:val="22"/>
        </w:rPr>
        <w:t>Preispolitik,</w:t>
      </w:r>
      <w:r w:rsidRPr="00035E56">
        <w:rPr>
          <w:spacing w:val="-8"/>
          <w:sz w:val="22"/>
          <w:szCs w:val="22"/>
        </w:rPr>
        <w:t xml:space="preserve"> </w:t>
      </w:r>
      <w:r w:rsidRPr="00035E56">
        <w:rPr>
          <w:sz w:val="22"/>
          <w:szCs w:val="22"/>
        </w:rPr>
        <w:t>4.Aufl.,</w:t>
      </w:r>
      <w:r w:rsidRPr="00035E56">
        <w:rPr>
          <w:spacing w:val="-8"/>
          <w:sz w:val="22"/>
          <w:szCs w:val="22"/>
        </w:rPr>
        <w:t xml:space="preserve"> </w:t>
      </w:r>
      <w:r w:rsidRPr="00035E56">
        <w:rPr>
          <w:sz w:val="22"/>
          <w:szCs w:val="22"/>
        </w:rPr>
        <w:t>Stuttgart:</w:t>
      </w:r>
      <w:r w:rsidRPr="00035E56">
        <w:rPr>
          <w:spacing w:val="-7"/>
          <w:sz w:val="22"/>
          <w:szCs w:val="22"/>
        </w:rPr>
        <w:t xml:space="preserve"> </w:t>
      </w:r>
      <w:r w:rsidRPr="00035E56">
        <w:rPr>
          <w:sz w:val="22"/>
          <w:szCs w:val="22"/>
        </w:rPr>
        <w:t>Kohlhammer.</w:t>
      </w:r>
    </w:p>
    <w:p w14:paraId="78811220" w14:textId="77777777" w:rsidR="00FF7799" w:rsidRPr="00E73F6F" w:rsidRDefault="00FF7799" w:rsidP="00B05D04">
      <w:pPr>
        <w:pStyle w:val="StandardText"/>
      </w:pPr>
    </w:p>
    <w:p w14:paraId="0AA14D4A" w14:textId="77777777" w:rsidR="00FF7799" w:rsidRPr="00E73F6F" w:rsidRDefault="00FF7799" w:rsidP="005B595E">
      <w:pPr>
        <w:pStyle w:val="berschrift1"/>
        <w:rPr>
          <w:spacing w:val="-2"/>
        </w:rPr>
      </w:pPr>
      <w:r w:rsidRPr="00EA7901">
        <w:rPr>
          <w:bCs w:val="0"/>
          <w:color w:val="2E74B5"/>
          <w:sz w:val="22"/>
        </w:rPr>
        <w:t>Earnings Management</w:t>
      </w:r>
      <w:r w:rsidRPr="00E73F6F">
        <w:rPr>
          <w:spacing w:val="-4"/>
        </w:rPr>
        <w:t xml:space="preserve"> </w:t>
      </w:r>
      <w:r w:rsidRPr="00E73F6F">
        <w:rPr>
          <w:b w:val="0"/>
        </w:rPr>
        <w:t>→</w:t>
      </w:r>
      <w:r w:rsidRPr="00E73F6F">
        <w:rPr>
          <w:b w:val="0"/>
          <w:spacing w:val="-4"/>
        </w:rPr>
        <w:t xml:space="preserve"> </w:t>
      </w:r>
      <w:r w:rsidRPr="00E73F6F">
        <w:rPr>
          <w:b w:val="0"/>
          <w:spacing w:val="-2"/>
        </w:rPr>
        <w:t>Transferpreise</w:t>
      </w:r>
    </w:p>
    <w:p w14:paraId="691EC681" w14:textId="77777777" w:rsidR="00FF7799" w:rsidRPr="00E73F6F" w:rsidRDefault="00FF7799" w:rsidP="005B595E">
      <w:pPr>
        <w:pStyle w:val="berschrift1"/>
        <w:rPr>
          <w:spacing w:val="-2"/>
        </w:rPr>
      </w:pPr>
      <w:r w:rsidRPr="00EA7901">
        <w:rPr>
          <w:bCs w:val="0"/>
          <w:color w:val="2E74B5"/>
          <w:sz w:val="22"/>
        </w:rPr>
        <w:t>Effektstärke</w:t>
      </w:r>
      <w:r w:rsidRPr="00E73F6F">
        <w:t xml:space="preserve"> </w:t>
      </w:r>
      <w:r w:rsidRPr="00E73F6F">
        <w:rPr>
          <w:b w:val="0"/>
        </w:rPr>
        <w:t>→</w:t>
      </w:r>
      <w:r w:rsidRPr="00E73F6F">
        <w:rPr>
          <w:b w:val="0"/>
          <w:spacing w:val="-4"/>
        </w:rPr>
        <w:t xml:space="preserve"> </w:t>
      </w:r>
      <w:r w:rsidRPr="00E73F6F">
        <w:rPr>
          <w:b w:val="0"/>
          <w:spacing w:val="-2"/>
        </w:rPr>
        <w:t>Meta-Analyse</w:t>
      </w:r>
    </w:p>
    <w:p w14:paraId="5CB22CA9" w14:textId="77777777" w:rsidR="00FF7799" w:rsidRPr="00EA7901" w:rsidRDefault="00FF7799" w:rsidP="005B595E">
      <w:pPr>
        <w:pStyle w:val="berschrift1"/>
        <w:rPr>
          <w:bCs w:val="0"/>
          <w:color w:val="2E74B5"/>
          <w:sz w:val="22"/>
        </w:rPr>
      </w:pPr>
      <w:r w:rsidRPr="00EA7901">
        <w:rPr>
          <w:bCs w:val="0"/>
          <w:color w:val="2E74B5"/>
          <w:sz w:val="22"/>
        </w:rPr>
        <w:t xml:space="preserve">Einkommen, frei verfügbares </w:t>
      </w:r>
    </w:p>
    <w:p w14:paraId="3A683B84" w14:textId="77777777" w:rsidR="00FF7799" w:rsidRPr="00E73F6F" w:rsidRDefault="00FF7799" w:rsidP="00B05D04">
      <w:pPr>
        <w:pStyle w:val="StandardText"/>
      </w:pPr>
      <w:r w:rsidRPr="00E73F6F">
        <w:t>Teil des Haushaltsnettoeinkommens, der nach Abzug aller festen Ausgaben (z.B. Lebensmittel, Miete, Versicherungen, Kleidung, Kredite, Kfz-Kosten etc.) übrigbleibt.</w:t>
      </w:r>
    </w:p>
    <w:p w14:paraId="4BC014EA" w14:textId="77777777" w:rsidR="00FF7799" w:rsidRPr="00E73F6F" w:rsidRDefault="00FF7799" w:rsidP="005B595E">
      <w:pPr>
        <w:pStyle w:val="berschrift1"/>
      </w:pPr>
      <w:r w:rsidRPr="00EA7901">
        <w:rPr>
          <w:bCs w:val="0"/>
          <w:color w:val="2E74B5"/>
          <w:sz w:val="22"/>
        </w:rPr>
        <w:t xml:space="preserve">Elastizität </w:t>
      </w:r>
      <w:r w:rsidRPr="00E73F6F">
        <w:rPr>
          <w:b w:val="0"/>
        </w:rPr>
        <w:t>→</w:t>
      </w:r>
      <w:r w:rsidRPr="00E73F6F">
        <w:rPr>
          <w:b w:val="0"/>
          <w:spacing w:val="-4"/>
        </w:rPr>
        <w:t xml:space="preserve"> </w:t>
      </w:r>
      <w:r w:rsidRPr="00E73F6F">
        <w:rPr>
          <w:b w:val="0"/>
        </w:rPr>
        <w:t>Meta-Analyse</w:t>
      </w:r>
    </w:p>
    <w:p w14:paraId="22EF264F" w14:textId="77777777" w:rsidR="00FF7799" w:rsidRPr="00E73F6F" w:rsidRDefault="00FF7799" w:rsidP="005B595E">
      <w:pPr>
        <w:pStyle w:val="berschrift1"/>
      </w:pPr>
      <w:r w:rsidRPr="00EA7901">
        <w:rPr>
          <w:bCs w:val="0"/>
          <w:color w:val="2E74B5"/>
          <w:sz w:val="22"/>
        </w:rPr>
        <w:t>Emotionale Kompetenz</w:t>
      </w:r>
      <w:r w:rsidRPr="00E73F6F">
        <w:t xml:space="preserve"> </w:t>
      </w:r>
      <w:r w:rsidRPr="00E73F6F">
        <w:rPr>
          <w:b w:val="0"/>
        </w:rPr>
        <w:t>→</w:t>
      </w:r>
      <w:r w:rsidRPr="00E73F6F">
        <w:rPr>
          <w:b w:val="0"/>
          <w:spacing w:val="-4"/>
        </w:rPr>
        <w:t xml:space="preserve"> </w:t>
      </w:r>
      <w:r w:rsidRPr="00E73F6F">
        <w:rPr>
          <w:b w:val="0"/>
        </w:rPr>
        <w:t>Kompetenz, emotionale</w:t>
      </w:r>
    </w:p>
    <w:p w14:paraId="4B9D5B3F" w14:textId="77777777" w:rsidR="00FF7799" w:rsidRPr="00EA7901" w:rsidRDefault="00FF7799" w:rsidP="005B595E">
      <w:pPr>
        <w:pStyle w:val="berschrift1"/>
        <w:rPr>
          <w:bCs w:val="0"/>
          <w:color w:val="2E74B5"/>
          <w:sz w:val="22"/>
        </w:rPr>
      </w:pPr>
      <w:r w:rsidRPr="00EA7901">
        <w:rPr>
          <w:bCs w:val="0"/>
          <w:color w:val="2E74B5"/>
          <w:sz w:val="22"/>
        </w:rPr>
        <w:t>Emotionsregel</w:t>
      </w:r>
    </w:p>
    <w:p w14:paraId="6EC262B7" w14:textId="77777777" w:rsidR="00FF7799" w:rsidRPr="00E73F6F" w:rsidRDefault="00FF7799" w:rsidP="00B05D04">
      <w:pPr>
        <w:pStyle w:val="StandardText"/>
      </w:pPr>
      <w:r w:rsidRPr="00E73F6F">
        <w:t>vom jeweiligen</w:t>
      </w:r>
      <w:r w:rsidRPr="00E73F6F">
        <w:rPr>
          <w:spacing w:val="-1"/>
        </w:rPr>
        <w:t xml:space="preserve"> </w:t>
      </w:r>
      <w:r w:rsidRPr="00E73F6F">
        <w:t>kulturellen Umfeld geprägter Verhaltensstandard,</w:t>
      </w:r>
      <w:r w:rsidRPr="00E73F6F">
        <w:rPr>
          <w:spacing w:val="-1"/>
        </w:rPr>
        <w:t xml:space="preserve"> </w:t>
      </w:r>
      <w:r w:rsidRPr="00E73F6F">
        <w:t>der festlegt,</w:t>
      </w:r>
      <w:r w:rsidRPr="00E73F6F">
        <w:rPr>
          <w:spacing w:val="-1"/>
        </w:rPr>
        <w:t xml:space="preserve"> </w:t>
      </w:r>
      <w:r w:rsidRPr="00E73F6F">
        <w:t>ob und in welcher Weise (z.B. verbal bzw. nonverbal) bestimmte Emotionen (z.B. Wut, Zorn) ausgedrückt werden können bzw. sollen.</w:t>
      </w:r>
    </w:p>
    <w:p w14:paraId="3251F6B9" w14:textId="77777777" w:rsidR="00FF7799" w:rsidRPr="00E73F6F" w:rsidRDefault="00FF7799" w:rsidP="00B05D04">
      <w:pPr>
        <w:pStyle w:val="StandardText"/>
      </w:pPr>
    </w:p>
    <w:p w14:paraId="0D72F4F2" w14:textId="77777777" w:rsidR="00FF7799" w:rsidRPr="00EA7901" w:rsidRDefault="00FF7799" w:rsidP="005B595E">
      <w:pPr>
        <w:pStyle w:val="berschrift1"/>
        <w:rPr>
          <w:bCs w:val="0"/>
          <w:color w:val="2E74B5"/>
          <w:sz w:val="22"/>
        </w:rPr>
      </w:pPr>
      <w:r w:rsidRPr="00EA7901">
        <w:rPr>
          <w:bCs w:val="0"/>
          <w:color w:val="2E74B5"/>
          <w:sz w:val="22"/>
        </w:rPr>
        <w:t>Empirismus</w:t>
      </w:r>
    </w:p>
    <w:p w14:paraId="0E2BA44F" w14:textId="77777777" w:rsidR="00FF7799" w:rsidRPr="00E73F6F" w:rsidRDefault="00FF7799" w:rsidP="002914DB">
      <w:pPr>
        <w:pStyle w:val="StandardText"/>
      </w:pPr>
      <w:r w:rsidRPr="00E73F6F">
        <w:t>(1) im</w:t>
      </w:r>
      <w:r w:rsidRPr="00E73F6F">
        <w:rPr>
          <w:spacing w:val="-9"/>
        </w:rPr>
        <w:t xml:space="preserve"> </w:t>
      </w:r>
      <w:r w:rsidRPr="00E73F6F">
        <w:t>Rahmen</w:t>
      </w:r>
      <w:r w:rsidRPr="00E73F6F">
        <w:rPr>
          <w:spacing w:val="-9"/>
        </w:rPr>
        <w:t xml:space="preserve"> </w:t>
      </w:r>
      <w:r w:rsidRPr="00E73F6F">
        <w:t>der</w:t>
      </w:r>
      <w:r w:rsidRPr="00E73F6F">
        <w:rPr>
          <w:spacing w:val="-7"/>
        </w:rPr>
        <w:t xml:space="preserve"> </w:t>
      </w:r>
      <w:r w:rsidRPr="00E73F6F">
        <w:t>Empirismus/Nativismus-Debatte</w:t>
      </w:r>
      <w:r w:rsidRPr="00E73F6F">
        <w:rPr>
          <w:spacing w:val="-9"/>
        </w:rPr>
        <w:t xml:space="preserve"> </w:t>
      </w:r>
      <w:r w:rsidRPr="00E73F6F">
        <w:t>formulierte</w:t>
      </w:r>
      <w:r w:rsidRPr="00E73F6F">
        <w:rPr>
          <w:spacing w:val="-9"/>
        </w:rPr>
        <w:t xml:space="preserve"> </w:t>
      </w:r>
      <w:r w:rsidRPr="00E73F6F">
        <w:t>Vorstellung,</w:t>
      </w:r>
      <w:r w:rsidRPr="00E73F6F">
        <w:rPr>
          <w:spacing w:val="-9"/>
        </w:rPr>
        <w:t xml:space="preserve"> </w:t>
      </w:r>
      <w:r w:rsidRPr="00E73F6F">
        <w:t>dass grundlegende</w:t>
      </w:r>
      <w:r w:rsidRPr="00E73F6F">
        <w:rPr>
          <w:spacing w:val="40"/>
        </w:rPr>
        <w:t xml:space="preserve"> </w:t>
      </w:r>
      <w:r w:rsidRPr="00E73F6F">
        <w:t>Eigenschaften,</w:t>
      </w:r>
      <w:r w:rsidRPr="00E73F6F">
        <w:rPr>
          <w:spacing w:val="40"/>
        </w:rPr>
        <w:t xml:space="preserve"> </w:t>
      </w:r>
      <w:r w:rsidRPr="00E73F6F">
        <w:t>Fähigkeiten</w:t>
      </w:r>
      <w:r w:rsidRPr="00E73F6F">
        <w:rPr>
          <w:spacing w:val="40"/>
        </w:rPr>
        <w:t xml:space="preserve"> </w:t>
      </w:r>
      <w:r w:rsidRPr="00E73F6F">
        <w:t>etc.</w:t>
      </w:r>
      <w:r w:rsidRPr="00E73F6F">
        <w:rPr>
          <w:spacing w:val="40"/>
        </w:rPr>
        <w:t xml:space="preserve"> </w:t>
      </w:r>
      <w:r w:rsidRPr="00E73F6F">
        <w:t>des</w:t>
      </w:r>
      <w:r w:rsidRPr="00E73F6F">
        <w:rPr>
          <w:spacing w:val="40"/>
        </w:rPr>
        <w:t xml:space="preserve"> </w:t>
      </w:r>
      <w:r w:rsidRPr="00E73F6F">
        <w:t>Menschen</w:t>
      </w:r>
      <w:r w:rsidRPr="00E73F6F">
        <w:rPr>
          <w:spacing w:val="40"/>
        </w:rPr>
        <w:t xml:space="preserve"> </w:t>
      </w:r>
      <w:r w:rsidRPr="00E73F6F">
        <w:t>wie</w:t>
      </w:r>
      <w:r w:rsidRPr="00E73F6F">
        <w:rPr>
          <w:spacing w:val="40"/>
        </w:rPr>
        <w:t xml:space="preserve"> </w:t>
      </w:r>
      <w:r w:rsidRPr="00E73F6F">
        <w:t>die</w:t>
      </w:r>
      <w:r w:rsidRPr="00E73F6F">
        <w:rPr>
          <w:spacing w:val="40"/>
        </w:rPr>
        <w:t xml:space="preserve"> </w:t>
      </w:r>
      <w:r w:rsidR="00035E56">
        <w:t>Raum/</w:t>
      </w:r>
      <w:r w:rsidRPr="00E73F6F">
        <w:t>Zeitvorstellung</w:t>
      </w:r>
      <w:r w:rsidRPr="00E73F6F">
        <w:rPr>
          <w:spacing w:val="28"/>
        </w:rPr>
        <w:t xml:space="preserve"> </w:t>
      </w:r>
      <w:r w:rsidRPr="00E73F6F">
        <w:t>erlernt</w:t>
      </w:r>
      <w:r w:rsidRPr="00E73F6F">
        <w:rPr>
          <w:spacing w:val="32"/>
        </w:rPr>
        <w:t xml:space="preserve"> </w:t>
      </w:r>
      <w:r w:rsidRPr="00E73F6F">
        <w:t>sind.</w:t>
      </w:r>
      <w:r w:rsidRPr="00E73F6F">
        <w:rPr>
          <w:spacing w:val="30"/>
        </w:rPr>
        <w:t xml:space="preserve"> </w:t>
      </w:r>
      <w:r w:rsidRPr="00E73F6F">
        <w:t>Nativisten</w:t>
      </w:r>
      <w:r w:rsidRPr="00E73F6F">
        <w:rPr>
          <w:spacing w:val="28"/>
        </w:rPr>
        <w:t xml:space="preserve"> </w:t>
      </w:r>
      <w:r w:rsidRPr="00E73F6F">
        <w:t>hingegen</w:t>
      </w:r>
      <w:r w:rsidRPr="00E73F6F">
        <w:rPr>
          <w:spacing w:val="28"/>
        </w:rPr>
        <w:t xml:space="preserve"> </w:t>
      </w:r>
      <w:r w:rsidRPr="00E73F6F">
        <w:t>gehen</w:t>
      </w:r>
      <w:r w:rsidRPr="00E73F6F">
        <w:rPr>
          <w:spacing w:val="26"/>
        </w:rPr>
        <w:t xml:space="preserve"> </w:t>
      </w:r>
      <w:r w:rsidRPr="00E73F6F">
        <w:t>davon</w:t>
      </w:r>
      <w:r w:rsidRPr="00E73F6F">
        <w:rPr>
          <w:spacing w:val="31"/>
        </w:rPr>
        <w:t xml:space="preserve"> </w:t>
      </w:r>
      <w:r w:rsidRPr="00E73F6F">
        <w:t>aus,</w:t>
      </w:r>
      <w:r w:rsidRPr="00E73F6F">
        <w:rPr>
          <w:spacing w:val="27"/>
        </w:rPr>
        <w:t xml:space="preserve"> </w:t>
      </w:r>
      <w:r w:rsidRPr="00E73F6F">
        <w:t>dass</w:t>
      </w:r>
      <w:r w:rsidRPr="00E73F6F">
        <w:rPr>
          <w:spacing w:val="29"/>
        </w:rPr>
        <w:t xml:space="preserve"> </w:t>
      </w:r>
      <w:r w:rsidRPr="00E73F6F">
        <w:t>diese Eigenschaften, Fähigkeiten etc. angeboren sind.</w:t>
      </w:r>
    </w:p>
    <w:p w14:paraId="3B4B2D9C" w14:textId="77777777" w:rsidR="00FF7799" w:rsidRPr="00E73F6F" w:rsidRDefault="00035E56" w:rsidP="002914DB">
      <w:pPr>
        <w:pStyle w:val="StandardText"/>
      </w:pPr>
      <w:r>
        <w:t xml:space="preserve">(2) </w:t>
      </w:r>
      <w:r>
        <w:sym w:font="Symbol" w:char="F0DE"/>
      </w:r>
      <w:r>
        <w:t xml:space="preserve"> </w:t>
      </w:r>
      <w:r w:rsidR="00FF7799" w:rsidRPr="00E73F6F">
        <w:rPr>
          <w:spacing w:val="-2"/>
        </w:rPr>
        <w:t>Determinismus</w:t>
      </w:r>
    </w:p>
    <w:p w14:paraId="4E219B61" w14:textId="77777777" w:rsidR="00FF7799" w:rsidRPr="009278E0" w:rsidRDefault="00FF7799" w:rsidP="002914DB">
      <w:pPr>
        <w:pStyle w:val="StandardText"/>
        <w:rPr>
          <w:sz w:val="22"/>
          <w:szCs w:val="22"/>
        </w:rPr>
      </w:pPr>
      <w:r w:rsidRPr="009278E0">
        <w:rPr>
          <w:b/>
          <w:i/>
          <w:sz w:val="22"/>
          <w:szCs w:val="22"/>
        </w:rPr>
        <w:t>Literatur:</w:t>
      </w:r>
      <w:r w:rsidRPr="00035E56">
        <w:rPr>
          <w:b/>
          <w:spacing w:val="21"/>
          <w:sz w:val="22"/>
          <w:szCs w:val="22"/>
        </w:rPr>
        <w:t xml:space="preserve"> </w:t>
      </w:r>
      <w:r w:rsidRPr="009278E0">
        <w:rPr>
          <w:sz w:val="22"/>
          <w:szCs w:val="22"/>
        </w:rPr>
        <w:t>Kalkofen,</w:t>
      </w:r>
      <w:r w:rsidRPr="009278E0">
        <w:rPr>
          <w:spacing w:val="24"/>
          <w:sz w:val="22"/>
          <w:szCs w:val="22"/>
        </w:rPr>
        <w:t xml:space="preserve"> </w:t>
      </w:r>
      <w:r w:rsidRPr="009278E0">
        <w:rPr>
          <w:sz w:val="22"/>
          <w:szCs w:val="22"/>
        </w:rPr>
        <w:t>H.</w:t>
      </w:r>
      <w:r w:rsidRPr="009278E0">
        <w:rPr>
          <w:spacing w:val="23"/>
          <w:sz w:val="22"/>
          <w:szCs w:val="22"/>
        </w:rPr>
        <w:t xml:space="preserve"> </w:t>
      </w:r>
      <w:r w:rsidRPr="009278E0">
        <w:rPr>
          <w:sz w:val="22"/>
          <w:szCs w:val="22"/>
        </w:rPr>
        <w:t>(1992):</w:t>
      </w:r>
      <w:r w:rsidRPr="009278E0">
        <w:rPr>
          <w:spacing w:val="22"/>
          <w:sz w:val="22"/>
          <w:szCs w:val="22"/>
        </w:rPr>
        <w:t xml:space="preserve"> </w:t>
      </w:r>
      <w:r w:rsidRPr="009278E0">
        <w:rPr>
          <w:sz w:val="22"/>
          <w:szCs w:val="22"/>
        </w:rPr>
        <w:t>Anmerkungen</w:t>
      </w:r>
      <w:r w:rsidRPr="009278E0">
        <w:rPr>
          <w:spacing w:val="22"/>
          <w:sz w:val="22"/>
          <w:szCs w:val="22"/>
        </w:rPr>
        <w:t xml:space="preserve"> </w:t>
      </w:r>
      <w:r w:rsidRPr="009278E0">
        <w:rPr>
          <w:sz w:val="22"/>
          <w:szCs w:val="22"/>
        </w:rPr>
        <w:t>zur</w:t>
      </w:r>
      <w:r w:rsidRPr="009278E0">
        <w:rPr>
          <w:spacing w:val="20"/>
          <w:sz w:val="22"/>
          <w:szCs w:val="22"/>
        </w:rPr>
        <w:t xml:space="preserve"> </w:t>
      </w:r>
      <w:r w:rsidRPr="009278E0">
        <w:rPr>
          <w:sz w:val="22"/>
          <w:szCs w:val="22"/>
        </w:rPr>
        <w:t>Empirismus-Nativismus-Kontroverse,</w:t>
      </w:r>
      <w:r w:rsidRPr="009278E0">
        <w:rPr>
          <w:spacing w:val="40"/>
          <w:sz w:val="22"/>
          <w:szCs w:val="22"/>
        </w:rPr>
        <w:t xml:space="preserve"> </w:t>
      </w:r>
      <w:r w:rsidRPr="009278E0">
        <w:rPr>
          <w:sz w:val="22"/>
          <w:szCs w:val="22"/>
        </w:rPr>
        <w:t>Psychologie und Geschichte, 3(3/4): 24-45.</w:t>
      </w:r>
    </w:p>
    <w:p w14:paraId="7A52ACAE" w14:textId="77777777" w:rsidR="00FF7799" w:rsidRPr="009278E0" w:rsidRDefault="00FF7799" w:rsidP="002914DB">
      <w:pPr>
        <w:pStyle w:val="StandardText"/>
        <w:rPr>
          <w:b/>
          <w:sz w:val="22"/>
          <w:szCs w:val="22"/>
        </w:rPr>
      </w:pPr>
    </w:p>
    <w:p w14:paraId="50B78440" w14:textId="77777777" w:rsidR="00FF7799" w:rsidRPr="00EA7901" w:rsidRDefault="00FF7799" w:rsidP="005B595E">
      <w:pPr>
        <w:pStyle w:val="berschrift1"/>
        <w:rPr>
          <w:bCs w:val="0"/>
          <w:color w:val="2E74B5"/>
          <w:sz w:val="22"/>
        </w:rPr>
      </w:pPr>
      <w:r w:rsidRPr="00EA7901">
        <w:rPr>
          <w:bCs w:val="0"/>
          <w:color w:val="2E74B5"/>
          <w:sz w:val="22"/>
        </w:rPr>
        <w:lastRenderedPageBreak/>
        <w:t>Enkulturation</w:t>
      </w:r>
    </w:p>
    <w:p w14:paraId="2B595A9A" w14:textId="1CA315CE" w:rsidR="00FF7799" w:rsidRPr="00E73F6F" w:rsidRDefault="00FF7799" w:rsidP="009E784D">
      <w:pPr>
        <w:pStyle w:val="StandardText"/>
      </w:pPr>
      <w:r w:rsidRPr="00E73F6F">
        <w:t xml:space="preserve">allmähliches, zumeist unmerkliches und unbewusstes Hineinwachsen in die Landeskultur (d.h. Übernahme der kulturspezifischen Normen, Werte, Sitten und Gebräuche etc.). Von der Enkulturation abzugrenzen ist die Akkulturation: Die mehr oder weniger weitgehende Übernahme jener </w:t>
      </w:r>
      <w:r w:rsidR="001E3F72">
        <w:sym w:font="Symbol" w:char="F0DE"/>
      </w:r>
      <w:r w:rsidR="001E3F72">
        <w:t xml:space="preserve"> </w:t>
      </w:r>
      <w:r w:rsidRPr="00E73F6F">
        <w:t>Kulturstandards, Normen und Werten, die für eine Fremdkultur charakteristisch sind.</w:t>
      </w:r>
    </w:p>
    <w:p w14:paraId="1DF58723" w14:textId="77777777" w:rsidR="00FF7799" w:rsidRPr="00035E56" w:rsidRDefault="00FF7799" w:rsidP="009E784D">
      <w:pPr>
        <w:pStyle w:val="StandardText"/>
        <w:rPr>
          <w:sz w:val="22"/>
          <w:szCs w:val="22"/>
          <w:lang w:val="en-US"/>
        </w:rPr>
      </w:pPr>
      <w:r w:rsidRPr="009278E0">
        <w:rPr>
          <w:b/>
          <w:i/>
          <w:sz w:val="22"/>
          <w:szCs w:val="22"/>
          <w:lang w:val="en-US"/>
        </w:rPr>
        <w:t>Literatur</w:t>
      </w:r>
      <w:r w:rsidRPr="009278E0">
        <w:rPr>
          <w:i/>
          <w:sz w:val="22"/>
          <w:szCs w:val="22"/>
          <w:lang w:val="en-US"/>
        </w:rPr>
        <w:t>:</w:t>
      </w:r>
      <w:r w:rsidRPr="00035E56">
        <w:rPr>
          <w:sz w:val="22"/>
          <w:szCs w:val="22"/>
          <w:lang w:val="en-US"/>
        </w:rPr>
        <w:t xml:space="preserve"> Berry, J.W.; Sam, D.L. (1997): Acculturation and Adaptation, in: Berry, J.W.,</w:t>
      </w:r>
      <w:r w:rsidRPr="00035E56">
        <w:rPr>
          <w:spacing w:val="40"/>
          <w:sz w:val="22"/>
          <w:szCs w:val="22"/>
          <w:lang w:val="en-US"/>
        </w:rPr>
        <w:t xml:space="preserve"> </w:t>
      </w:r>
      <w:r w:rsidRPr="00035E56">
        <w:rPr>
          <w:sz w:val="22"/>
          <w:szCs w:val="22"/>
          <w:lang w:val="en-US"/>
        </w:rPr>
        <w:t>Segall, M.H.; Kagitçibasi, C. (Eds.), Handbook of Cross-Cultural Psychology, Social</w:t>
      </w:r>
      <w:r w:rsidRPr="00035E56">
        <w:rPr>
          <w:spacing w:val="40"/>
          <w:sz w:val="22"/>
          <w:szCs w:val="22"/>
          <w:lang w:val="en-US"/>
        </w:rPr>
        <w:t xml:space="preserve"> </w:t>
      </w:r>
      <w:r w:rsidRPr="00035E56">
        <w:rPr>
          <w:sz w:val="22"/>
          <w:szCs w:val="22"/>
          <w:lang w:val="en-US"/>
        </w:rPr>
        <w:t>Behavior and Applications, Vol.3, 291-326, Boston/MA: Allyn &amp; Bacon.</w:t>
      </w:r>
    </w:p>
    <w:p w14:paraId="6F4DFE3D" w14:textId="77777777" w:rsidR="00FF7799" w:rsidRPr="00E35FFF" w:rsidRDefault="00FF7799" w:rsidP="009E784D">
      <w:pPr>
        <w:pStyle w:val="StandardText"/>
        <w:rPr>
          <w:lang w:val="en-US"/>
        </w:rPr>
      </w:pPr>
    </w:p>
    <w:p w14:paraId="1E1F50AA" w14:textId="77777777" w:rsidR="00FF7799" w:rsidRPr="00EA7901" w:rsidRDefault="00FF7799" w:rsidP="005B595E">
      <w:pPr>
        <w:pStyle w:val="berschrift1"/>
        <w:rPr>
          <w:bCs w:val="0"/>
          <w:color w:val="2E74B5"/>
          <w:sz w:val="22"/>
        </w:rPr>
      </w:pPr>
      <w:r w:rsidRPr="00EA7901">
        <w:rPr>
          <w:bCs w:val="0"/>
          <w:color w:val="2E74B5"/>
          <w:sz w:val="22"/>
        </w:rPr>
        <w:t>Entscheidungsfindung von Gruppen</w:t>
      </w:r>
    </w:p>
    <w:p w14:paraId="32664FD1" w14:textId="77777777" w:rsidR="00FF7799" w:rsidRPr="00E73F6F" w:rsidRDefault="00FF7799" w:rsidP="009E784D">
      <w:pPr>
        <w:pStyle w:val="StandardText"/>
      </w:pPr>
      <w:r w:rsidRPr="00E73F6F">
        <w:t>unterliegt im westlich-individualistischen Kulturkreis zumeist dem Mehrheitsprinzip. In den konfuzianisch geprägten Gesellschaften des ostasiatischen Kulturraumes gilt hingegen das Konsensprinzip als idealer Modus der</w:t>
      </w:r>
      <w:r w:rsidRPr="00E73F6F">
        <w:rPr>
          <w:spacing w:val="-5"/>
        </w:rPr>
        <w:t xml:space="preserve"> </w:t>
      </w:r>
      <w:r w:rsidRPr="00E73F6F">
        <w:t>Entscheidungsfindung.</w:t>
      </w:r>
      <w:r w:rsidRPr="00E73F6F">
        <w:rPr>
          <w:spacing w:val="-5"/>
        </w:rPr>
        <w:t xml:space="preserve"> </w:t>
      </w:r>
      <w:r w:rsidRPr="00E73F6F">
        <w:t>Wichtig</w:t>
      </w:r>
      <w:r w:rsidRPr="00E73F6F">
        <w:rPr>
          <w:spacing w:val="-4"/>
        </w:rPr>
        <w:t xml:space="preserve"> </w:t>
      </w:r>
      <w:r w:rsidRPr="00E73F6F">
        <w:t>ist,</w:t>
      </w:r>
      <w:r w:rsidRPr="00E73F6F">
        <w:rPr>
          <w:spacing w:val="-7"/>
        </w:rPr>
        <w:t xml:space="preserve"> </w:t>
      </w:r>
      <w:r w:rsidRPr="00E73F6F">
        <w:t>dass</w:t>
      </w:r>
      <w:r w:rsidRPr="00E73F6F">
        <w:rPr>
          <w:spacing w:val="-6"/>
        </w:rPr>
        <w:t xml:space="preserve"> </w:t>
      </w:r>
      <w:r w:rsidRPr="00E73F6F">
        <w:t>alle</w:t>
      </w:r>
      <w:r w:rsidRPr="00E73F6F">
        <w:rPr>
          <w:spacing w:val="-6"/>
        </w:rPr>
        <w:t xml:space="preserve"> </w:t>
      </w:r>
      <w:r w:rsidRPr="00E73F6F">
        <w:t>Gruppenmitglieder</w:t>
      </w:r>
      <w:r w:rsidRPr="00E73F6F">
        <w:rPr>
          <w:spacing w:val="-5"/>
        </w:rPr>
        <w:t xml:space="preserve"> </w:t>
      </w:r>
      <w:r w:rsidRPr="00E73F6F">
        <w:t>sich</w:t>
      </w:r>
      <w:r w:rsidRPr="00E73F6F">
        <w:rPr>
          <w:spacing w:val="-4"/>
        </w:rPr>
        <w:t xml:space="preserve"> </w:t>
      </w:r>
      <w:r w:rsidRPr="00E73F6F">
        <w:t>mit</w:t>
      </w:r>
      <w:r w:rsidRPr="00E73F6F">
        <w:rPr>
          <w:spacing w:val="-5"/>
        </w:rPr>
        <w:t xml:space="preserve"> </w:t>
      </w:r>
      <w:r w:rsidRPr="00E73F6F">
        <w:t>einer getroffenen Entscheidung identifizieren können (bzw. zumindest bereit sind, etwaige individuelle Bedenken hintan zu stellen). Das im trad</w:t>
      </w:r>
      <w:r w:rsidR="00035E56">
        <w:t xml:space="preserve">itionellen Japan praktizierte </w:t>
      </w:r>
      <w:r w:rsidR="00035E56">
        <w:sym w:font="Symbol" w:char="F0DE"/>
      </w:r>
      <w:r w:rsidR="00035E56">
        <w:t xml:space="preserve"> </w:t>
      </w:r>
      <w:r w:rsidRPr="00E73F6F">
        <w:t>Ringi-Seido-System ist, von außen betrachtet, Prototyp des an scheinbar endlosen Debatten und zahlreichen Kompromissen erkennbaren unermüdlichen</w:t>
      </w:r>
      <w:r w:rsidRPr="00E73F6F">
        <w:rPr>
          <w:spacing w:val="-9"/>
        </w:rPr>
        <w:t xml:space="preserve"> </w:t>
      </w:r>
      <w:r w:rsidRPr="00E73F6F">
        <w:t>Strebens</w:t>
      </w:r>
      <w:r w:rsidRPr="00E73F6F">
        <w:rPr>
          <w:spacing w:val="-8"/>
        </w:rPr>
        <w:t xml:space="preserve"> </w:t>
      </w:r>
      <w:r w:rsidRPr="00E73F6F">
        <w:t>nach</w:t>
      </w:r>
      <w:r w:rsidRPr="00E73F6F">
        <w:rPr>
          <w:spacing w:val="-7"/>
        </w:rPr>
        <w:t xml:space="preserve"> </w:t>
      </w:r>
      <w:r w:rsidRPr="00E73F6F">
        <w:t>der</w:t>
      </w:r>
      <w:r w:rsidRPr="00E73F6F">
        <w:rPr>
          <w:spacing w:val="-10"/>
        </w:rPr>
        <w:t xml:space="preserve"> </w:t>
      </w:r>
      <w:r w:rsidRPr="00E73F6F">
        <w:t>Zustimmung</w:t>
      </w:r>
      <w:r w:rsidRPr="00E73F6F">
        <w:rPr>
          <w:spacing w:val="-7"/>
        </w:rPr>
        <w:t xml:space="preserve"> </w:t>
      </w:r>
      <w:r w:rsidRPr="00E73F6F">
        <w:t>aller</w:t>
      </w:r>
      <w:r w:rsidRPr="00E73F6F">
        <w:rPr>
          <w:spacing w:val="-8"/>
        </w:rPr>
        <w:t xml:space="preserve"> </w:t>
      </w:r>
      <w:r w:rsidRPr="00E73F6F">
        <w:t>Beteiligten.</w:t>
      </w:r>
      <w:r w:rsidRPr="00E73F6F">
        <w:rPr>
          <w:spacing w:val="-7"/>
        </w:rPr>
        <w:t xml:space="preserve"> </w:t>
      </w:r>
      <w:r w:rsidRPr="00E73F6F">
        <w:t>Von</w:t>
      </w:r>
      <w:r w:rsidRPr="00E73F6F">
        <w:rPr>
          <w:spacing w:val="-7"/>
        </w:rPr>
        <w:t xml:space="preserve"> </w:t>
      </w:r>
      <w:r w:rsidRPr="00E73F6F">
        <w:t>dem</w:t>
      </w:r>
      <w:r w:rsidRPr="00E73F6F">
        <w:rPr>
          <w:spacing w:val="-9"/>
        </w:rPr>
        <w:t xml:space="preserve"> </w:t>
      </w:r>
      <w:r w:rsidRPr="00E73F6F">
        <w:t>auch</w:t>
      </w:r>
      <w:r w:rsidRPr="00E73F6F">
        <w:rPr>
          <w:spacing w:val="-7"/>
        </w:rPr>
        <w:t xml:space="preserve"> </w:t>
      </w:r>
      <w:r w:rsidRPr="00E73F6F">
        <w:t>im westlichen Kulturkreis üblichen Kollegialitätsprinzip der Entscheidungsfindung unterscheidet sich das Konsensprinzip insb. durch die Intensität der Suche nach einem Kompromiss. Denn die eigentliche Entscheidung wird beim Kollegialitätsprinzip nach dem Mehrheitsprinzip gefällt. Nach außen vertreten wird</w:t>
      </w:r>
      <w:r w:rsidRPr="00E73F6F">
        <w:rPr>
          <w:spacing w:val="-7"/>
        </w:rPr>
        <w:t xml:space="preserve"> </w:t>
      </w:r>
      <w:r w:rsidRPr="00E73F6F">
        <w:t>die</w:t>
      </w:r>
      <w:r w:rsidRPr="00E73F6F">
        <w:rPr>
          <w:spacing w:val="-8"/>
        </w:rPr>
        <w:t xml:space="preserve"> </w:t>
      </w:r>
      <w:r w:rsidRPr="00E73F6F">
        <w:t>Entscheidung</w:t>
      </w:r>
      <w:r w:rsidRPr="00E73F6F">
        <w:rPr>
          <w:spacing w:val="-9"/>
        </w:rPr>
        <w:t xml:space="preserve"> </w:t>
      </w:r>
      <w:r w:rsidRPr="00E73F6F">
        <w:t>dann</w:t>
      </w:r>
      <w:r w:rsidRPr="00E73F6F">
        <w:rPr>
          <w:spacing w:val="-7"/>
        </w:rPr>
        <w:t xml:space="preserve"> </w:t>
      </w:r>
      <w:r w:rsidRPr="00E73F6F">
        <w:t>gemäß</w:t>
      </w:r>
      <w:r w:rsidRPr="00E73F6F">
        <w:rPr>
          <w:spacing w:val="-9"/>
        </w:rPr>
        <w:t xml:space="preserve"> </w:t>
      </w:r>
      <w:r w:rsidRPr="00E73F6F">
        <w:t>dem</w:t>
      </w:r>
      <w:r w:rsidRPr="00E73F6F">
        <w:rPr>
          <w:spacing w:val="-8"/>
        </w:rPr>
        <w:t xml:space="preserve"> </w:t>
      </w:r>
      <w:r w:rsidRPr="00E73F6F">
        <w:t>Konsensprinzip</w:t>
      </w:r>
      <w:r w:rsidRPr="00E73F6F">
        <w:rPr>
          <w:spacing w:val="-6"/>
        </w:rPr>
        <w:t xml:space="preserve"> </w:t>
      </w:r>
      <w:r w:rsidRPr="00E73F6F">
        <w:t>(d.h.</w:t>
      </w:r>
      <w:r w:rsidRPr="00E73F6F">
        <w:rPr>
          <w:spacing w:val="-7"/>
        </w:rPr>
        <w:t xml:space="preserve"> </w:t>
      </w:r>
      <w:r w:rsidRPr="00E73F6F">
        <w:t>„mit</w:t>
      </w:r>
      <w:r w:rsidRPr="00E73F6F">
        <w:rPr>
          <w:spacing w:val="-10"/>
        </w:rPr>
        <w:t xml:space="preserve"> </w:t>
      </w:r>
      <w:r w:rsidRPr="00E73F6F">
        <w:t>einer</w:t>
      </w:r>
      <w:r w:rsidRPr="00E73F6F">
        <w:rPr>
          <w:spacing w:val="-8"/>
        </w:rPr>
        <w:t xml:space="preserve"> </w:t>
      </w:r>
      <w:r w:rsidRPr="00E73F6F">
        <w:t>Stimme“, ungeachtet individueller Bedenken, Einwände etc.).</w:t>
      </w:r>
    </w:p>
    <w:p w14:paraId="1A10D866" w14:textId="77777777" w:rsidR="00FF7799" w:rsidRPr="00E73F6F" w:rsidRDefault="00FF7799" w:rsidP="009E784D">
      <w:pPr>
        <w:pStyle w:val="StandardText"/>
      </w:pPr>
    </w:p>
    <w:p w14:paraId="62B9D973" w14:textId="77777777" w:rsidR="00566582" w:rsidRPr="007F69DA" w:rsidRDefault="00566582" w:rsidP="00566582">
      <w:pPr>
        <w:keepNext/>
        <w:keepLines/>
        <w:spacing w:before="240"/>
        <w:jc w:val="both"/>
        <w:outlineLvl w:val="1"/>
        <w:rPr>
          <w:b/>
          <w:color w:val="2E74B5"/>
        </w:rPr>
      </w:pPr>
      <w:r w:rsidRPr="007F69DA">
        <w:rPr>
          <w:b/>
          <w:color w:val="2E74B5"/>
        </w:rPr>
        <w:t xml:space="preserve">Entsendung </w:t>
      </w:r>
      <w:r w:rsidRPr="007F69DA">
        <w:rPr>
          <w:szCs w:val="24"/>
        </w:rPr>
        <w:sym w:font="Symbol" w:char="F0AE"/>
      </w:r>
      <w:r w:rsidRPr="007F69DA">
        <w:rPr>
          <w:szCs w:val="24"/>
        </w:rPr>
        <w:t xml:space="preserve"> Auslandsentsendung</w:t>
      </w:r>
    </w:p>
    <w:p w14:paraId="0ED803B8" w14:textId="77777777" w:rsidR="00566582" w:rsidRDefault="00566582" w:rsidP="00566582">
      <w:pPr>
        <w:spacing w:after="120"/>
      </w:pPr>
    </w:p>
    <w:p w14:paraId="134A81DF" w14:textId="77777777" w:rsidR="00FF7799" w:rsidRPr="00E73F6F" w:rsidRDefault="00FF7799" w:rsidP="005B595E">
      <w:pPr>
        <w:pStyle w:val="berschrift1"/>
      </w:pPr>
      <w:r w:rsidRPr="00EA7901">
        <w:rPr>
          <w:bCs w:val="0"/>
          <w:color w:val="2E74B5"/>
          <w:sz w:val="22"/>
        </w:rPr>
        <w:t>Equality- vs. Equity-Prinzip</w:t>
      </w:r>
      <w:r w:rsidRPr="00E73F6F">
        <w:rPr>
          <w:spacing w:val="-4"/>
        </w:rPr>
        <w:t xml:space="preserve"> </w:t>
      </w:r>
      <w:r w:rsidRPr="00E73F6F">
        <w:rPr>
          <w:b w:val="0"/>
        </w:rPr>
        <w:t>→ Verteilungsgerechtigkeit</w:t>
      </w:r>
    </w:p>
    <w:p w14:paraId="2C65000F" w14:textId="77777777" w:rsidR="00FF7799" w:rsidRPr="00E73F6F" w:rsidRDefault="00FF7799" w:rsidP="005B595E">
      <w:pPr>
        <w:pStyle w:val="berschrift1"/>
      </w:pPr>
      <w:r w:rsidRPr="00EA7901">
        <w:rPr>
          <w:bCs w:val="0"/>
          <w:color w:val="2E74B5"/>
          <w:sz w:val="22"/>
        </w:rPr>
        <w:t>Erziehungsstil</w:t>
      </w:r>
      <w:r w:rsidRPr="00E73F6F">
        <w:t xml:space="preserve"> </w:t>
      </w:r>
      <w:r w:rsidRPr="00E73F6F">
        <w:rPr>
          <w:b w:val="0"/>
        </w:rPr>
        <w:t>→</w:t>
      </w:r>
      <w:r w:rsidRPr="00E73F6F">
        <w:rPr>
          <w:b w:val="0"/>
          <w:spacing w:val="-5"/>
        </w:rPr>
        <w:t xml:space="preserve"> </w:t>
      </w:r>
      <w:r w:rsidRPr="00E73F6F">
        <w:rPr>
          <w:b w:val="0"/>
        </w:rPr>
        <w:t>Postmaterialismus-</w:t>
      </w:r>
      <w:r w:rsidRPr="00E73F6F">
        <w:rPr>
          <w:b w:val="0"/>
          <w:spacing w:val="-4"/>
        </w:rPr>
        <w:t>These</w:t>
      </w:r>
    </w:p>
    <w:p w14:paraId="39C01432" w14:textId="77777777" w:rsidR="00FF7799" w:rsidRPr="00E73F6F" w:rsidRDefault="00FF7799" w:rsidP="005B595E">
      <w:pPr>
        <w:pStyle w:val="berschrift1"/>
      </w:pPr>
      <w:r w:rsidRPr="00EA7901">
        <w:rPr>
          <w:bCs w:val="0"/>
          <w:color w:val="2E74B5"/>
          <w:sz w:val="22"/>
        </w:rPr>
        <w:t xml:space="preserve">Erziehungszoll </w:t>
      </w:r>
      <w:r w:rsidRPr="00E73F6F">
        <w:rPr>
          <w:b w:val="0"/>
        </w:rPr>
        <w:t>→</w:t>
      </w:r>
      <w:r w:rsidRPr="00E73F6F">
        <w:rPr>
          <w:b w:val="0"/>
          <w:spacing w:val="-5"/>
        </w:rPr>
        <w:t xml:space="preserve"> </w:t>
      </w:r>
      <w:r w:rsidRPr="00E73F6F">
        <w:rPr>
          <w:b w:val="0"/>
        </w:rPr>
        <w:t>Schutzzoll</w:t>
      </w:r>
    </w:p>
    <w:p w14:paraId="18D3865A" w14:textId="77777777" w:rsidR="00FF7799" w:rsidRPr="00EA7901" w:rsidRDefault="00FF7799" w:rsidP="005B595E">
      <w:pPr>
        <w:pStyle w:val="berschrift1"/>
        <w:rPr>
          <w:bCs w:val="0"/>
          <w:color w:val="2E74B5"/>
          <w:sz w:val="22"/>
        </w:rPr>
      </w:pPr>
      <w:r w:rsidRPr="00EA7901">
        <w:rPr>
          <w:bCs w:val="0"/>
          <w:color w:val="2E74B5"/>
          <w:sz w:val="22"/>
        </w:rPr>
        <w:t>Ethnie</w:t>
      </w:r>
    </w:p>
    <w:p w14:paraId="05D5E96A" w14:textId="77777777" w:rsidR="00FF7799" w:rsidRPr="00E73F6F" w:rsidRDefault="00FF7799" w:rsidP="009E784D">
      <w:pPr>
        <w:pStyle w:val="StandardText"/>
      </w:pPr>
      <w:r w:rsidRPr="00E73F6F">
        <w:t>Menschengruppe</w:t>
      </w:r>
      <w:r w:rsidRPr="00E73F6F">
        <w:rPr>
          <w:spacing w:val="-2"/>
        </w:rPr>
        <w:t xml:space="preserve"> </w:t>
      </w:r>
      <w:r w:rsidRPr="00E73F6F">
        <w:t>mit</w:t>
      </w:r>
      <w:r w:rsidRPr="00E73F6F">
        <w:rPr>
          <w:spacing w:val="-1"/>
        </w:rPr>
        <w:t xml:space="preserve"> </w:t>
      </w:r>
      <w:r w:rsidRPr="00E73F6F">
        <w:t>einheitlicher</w:t>
      </w:r>
      <w:r w:rsidRPr="00E73F6F">
        <w:rPr>
          <w:spacing w:val="-2"/>
        </w:rPr>
        <w:t xml:space="preserve"> </w:t>
      </w:r>
      <w:r w:rsidRPr="00E73F6F">
        <w:t>Kultur.</w:t>
      </w:r>
      <w:r w:rsidRPr="00E73F6F">
        <w:rPr>
          <w:spacing w:val="-2"/>
        </w:rPr>
        <w:t xml:space="preserve"> </w:t>
      </w:r>
      <w:r w:rsidRPr="00E73F6F">
        <w:t>Ethno</w:t>
      </w:r>
      <w:r w:rsidRPr="00E73F6F">
        <w:rPr>
          <w:spacing w:val="-2"/>
        </w:rPr>
        <w:t xml:space="preserve"> </w:t>
      </w:r>
      <w:r w:rsidRPr="00E73F6F">
        <w:t>ist</w:t>
      </w:r>
      <w:r w:rsidRPr="00E73F6F">
        <w:rPr>
          <w:spacing w:val="-1"/>
        </w:rPr>
        <w:t xml:space="preserve"> </w:t>
      </w:r>
      <w:r w:rsidRPr="00E73F6F">
        <w:t>ein Wortbildungselement</w:t>
      </w:r>
      <w:r w:rsidRPr="00E73F6F">
        <w:rPr>
          <w:spacing w:val="-1"/>
        </w:rPr>
        <w:t xml:space="preserve"> </w:t>
      </w:r>
      <w:r w:rsidRPr="00E73F6F">
        <w:t>mit der Bedeutung „Volk, Völker, das Volk, die Völker betreffend“ (gr. 'ethnos' = Volk, Volksstamm).</w:t>
      </w:r>
    </w:p>
    <w:p w14:paraId="7A683C41" w14:textId="77777777" w:rsidR="00FF7799" w:rsidRPr="00E73F6F" w:rsidRDefault="00FF7799" w:rsidP="009E784D">
      <w:pPr>
        <w:pStyle w:val="StandardText"/>
      </w:pPr>
    </w:p>
    <w:p w14:paraId="0BDC8506" w14:textId="77777777" w:rsidR="00FF7799" w:rsidRPr="00E85CE7" w:rsidRDefault="00FF7799" w:rsidP="005B595E">
      <w:pPr>
        <w:pStyle w:val="berschrift1"/>
        <w:rPr>
          <w:bCs w:val="0"/>
          <w:color w:val="2E74B5"/>
          <w:sz w:val="22"/>
        </w:rPr>
      </w:pPr>
      <w:r w:rsidRPr="00E85CE7">
        <w:rPr>
          <w:bCs w:val="0"/>
          <w:color w:val="2E74B5"/>
          <w:sz w:val="22"/>
        </w:rPr>
        <w:t>Ethnographie</w:t>
      </w:r>
    </w:p>
    <w:p w14:paraId="25E7F0F4" w14:textId="77777777" w:rsidR="00FF7799" w:rsidRPr="00E73F6F" w:rsidRDefault="00FF7799" w:rsidP="009E784D">
      <w:pPr>
        <w:pStyle w:val="StandardText"/>
      </w:pPr>
      <w:r w:rsidRPr="00E73F6F">
        <w:t>Methode</w:t>
      </w:r>
      <w:r w:rsidRPr="00E73F6F">
        <w:rPr>
          <w:spacing w:val="-7"/>
        </w:rPr>
        <w:t xml:space="preserve"> </w:t>
      </w:r>
      <w:r w:rsidRPr="00E73F6F">
        <w:t>des</w:t>
      </w:r>
      <w:r w:rsidRPr="00E73F6F">
        <w:rPr>
          <w:spacing w:val="-9"/>
        </w:rPr>
        <w:t xml:space="preserve"> </w:t>
      </w:r>
      <w:r w:rsidRPr="00E73F6F">
        <w:t>objektiv-systematischen</w:t>
      </w:r>
      <w:r w:rsidRPr="00E73F6F">
        <w:rPr>
          <w:spacing w:val="-5"/>
        </w:rPr>
        <w:t xml:space="preserve"> </w:t>
      </w:r>
      <w:r w:rsidRPr="00E73F6F">
        <w:t>Erfassens</w:t>
      </w:r>
      <w:r w:rsidRPr="00E73F6F">
        <w:rPr>
          <w:spacing w:val="-9"/>
        </w:rPr>
        <w:t xml:space="preserve"> </w:t>
      </w:r>
      <w:r w:rsidRPr="00E73F6F">
        <w:t>und</w:t>
      </w:r>
      <w:r w:rsidRPr="00E73F6F">
        <w:rPr>
          <w:spacing w:val="-5"/>
        </w:rPr>
        <w:t xml:space="preserve"> </w:t>
      </w:r>
      <w:r w:rsidRPr="00E73F6F">
        <w:t>Beschreibens</w:t>
      </w:r>
      <w:r w:rsidRPr="00E73F6F">
        <w:rPr>
          <w:spacing w:val="-9"/>
        </w:rPr>
        <w:t xml:space="preserve"> </w:t>
      </w:r>
      <w:r w:rsidRPr="00E73F6F">
        <w:t>von</w:t>
      </w:r>
      <w:r w:rsidRPr="00E73F6F">
        <w:rPr>
          <w:spacing w:val="-5"/>
        </w:rPr>
        <w:t xml:space="preserve"> </w:t>
      </w:r>
      <w:r w:rsidRPr="00E73F6F">
        <w:t>Daten</w:t>
      </w:r>
      <w:r w:rsidRPr="00E73F6F">
        <w:rPr>
          <w:spacing w:val="-8"/>
        </w:rPr>
        <w:t xml:space="preserve"> </w:t>
      </w:r>
      <w:r w:rsidRPr="00E73F6F">
        <w:t xml:space="preserve">über </w:t>
      </w:r>
      <w:r w:rsidRPr="00E73F6F">
        <w:rPr>
          <w:spacing w:val="-2"/>
        </w:rPr>
        <w:t>(Natur-)Völker</w:t>
      </w:r>
    </w:p>
    <w:p w14:paraId="4E1375D7" w14:textId="77777777" w:rsidR="00FF7799" w:rsidRPr="00E73F6F" w:rsidRDefault="00FF7799" w:rsidP="009E784D">
      <w:pPr>
        <w:pStyle w:val="StandardText"/>
      </w:pPr>
    </w:p>
    <w:p w14:paraId="5B9C9198" w14:textId="77777777" w:rsidR="00FF7799" w:rsidRPr="00E85CE7" w:rsidRDefault="00FF7799" w:rsidP="005B595E">
      <w:pPr>
        <w:pStyle w:val="berschrift1"/>
        <w:rPr>
          <w:bCs w:val="0"/>
          <w:color w:val="2E74B5"/>
          <w:sz w:val="22"/>
        </w:rPr>
      </w:pPr>
      <w:r w:rsidRPr="00E85CE7">
        <w:rPr>
          <w:bCs w:val="0"/>
          <w:color w:val="2E74B5"/>
          <w:sz w:val="22"/>
        </w:rPr>
        <w:t xml:space="preserve">Ethnologie </w:t>
      </w:r>
    </w:p>
    <w:p w14:paraId="208A61EA" w14:textId="77777777" w:rsidR="00FF7799" w:rsidRPr="00E73F6F" w:rsidRDefault="00FF7799" w:rsidP="00207394">
      <w:pPr>
        <w:pStyle w:val="StandardText"/>
      </w:pPr>
      <w:r w:rsidRPr="00E73F6F">
        <w:lastRenderedPageBreak/>
        <w:t>auch als Völkerkunde bezeichnete, mit der Kulturanthropologie verwandte interdisziplinäre Wissenschaft. Ethologen untersuchen die psychischen Merkmale (z.B. Sprachen, Sitten, Mythen, Religionen) von „primitiven“ und zunehmend häufiger auch von komplexen Gesellschaften, die sie vergleichend einander gegenüberstellen und erklären.</w:t>
      </w:r>
    </w:p>
    <w:p w14:paraId="77DB24D9" w14:textId="77777777" w:rsidR="00FF7799" w:rsidRPr="00035E56" w:rsidRDefault="00FF7799" w:rsidP="00207394">
      <w:pPr>
        <w:pStyle w:val="StandardText"/>
        <w:rPr>
          <w:noProof/>
          <w:sz w:val="22"/>
          <w:szCs w:val="22"/>
        </w:rPr>
      </w:pPr>
      <w:r w:rsidRPr="009278E0">
        <w:rPr>
          <w:b/>
          <w:bCs/>
          <w:i/>
          <w:sz w:val="22"/>
          <w:szCs w:val="22"/>
        </w:rPr>
        <w:t>Literatur</w:t>
      </w:r>
      <w:r w:rsidRPr="009278E0">
        <w:rPr>
          <w:bCs/>
          <w:i/>
          <w:sz w:val="22"/>
          <w:szCs w:val="22"/>
        </w:rPr>
        <w:t>:</w:t>
      </w:r>
      <w:r w:rsidRPr="00035E56">
        <w:rPr>
          <w:sz w:val="22"/>
          <w:szCs w:val="22"/>
        </w:rPr>
        <w:t xml:space="preserve"> </w:t>
      </w:r>
      <w:r w:rsidRPr="00035E56">
        <w:rPr>
          <w:noProof/>
          <w:sz w:val="22"/>
          <w:szCs w:val="22"/>
        </w:rPr>
        <w:t xml:space="preserve">Heidemann, F. (2019): Ethnologie, 2. Aufl., Göttingen: Vandenhoeck &amp; Ruprecht. </w:t>
      </w:r>
      <w:r w:rsidR="00035E56">
        <w:rPr>
          <w:noProof/>
          <w:sz w:val="22"/>
          <w:szCs w:val="22"/>
        </w:rPr>
        <w:t xml:space="preserve">  </w:t>
      </w:r>
      <w:r w:rsidRPr="00035E56">
        <w:rPr>
          <w:noProof/>
          <w:sz w:val="22"/>
          <w:szCs w:val="22"/>
        </w:rPr>
        <w:t>Kohl, K.H. (2012): Ethnologie. Die Wissenschaft vom kulturell Fremden. eine Einführung, München: Beck.</w:t>
      </w:r>
    </w:p>
    <w:p w14:paraId="2D2186AE" w14:textId="77777777" w:rsidR="00FF7799" w:rsidRPr="00E73F6F" w:rsidRDefault="00FF7799" w:rsidP="00207394">
      <w:pPr>
        <w:pStyle w:val="StandardText"/>
        <w:rPr>
          <w:noProof/>
        </w:rPr>
      </w:pPr>
    </w:p>
    <w:p w14:paraId="7A387FC6" w14:textId="77777777" w:rsidR="00FF7799" w:rsidRPr="00E85CE7" w:rsidRDefault="006A285F" w:rsidP="005B595E">
      <w:pPr>
        <w:pStyle w:val="berschrift1"/>
        <w:rPr>
          <w:bCs w:val="0"/>
          <w:color w:val="2E74B5"/>
          <w:sz w:val="22"/>
        </w:rPr>
      </w:pPr>
      <w:r w:rsidRPr="00E85CE7">
        <w:rPr>
          <w:bCs w:val="0"/>
          <w:color w:val="2E74B5"/>
          <w:sz w:val="22"/>
        </w:rPr>
        <w:t>Ethno-M</w:t>
      </w:r>
      <w:r w:rsidR="00FF7799" w:rsidRPr="00E85CE7">
        <w:rPr>
          <w:bCs w:val="0"/>
          <w:color w:val="2E74B5"/>
          <w:sz w:val="22"/>
        </w:rPr>
        <w:t>arketing</w:t>
      </w:r>
    </w:p>
    <w:p w14:paraId="483CBF79" w14:textId="351159B1" w:rsidR="00566582" w:rsidRPr="00566582" w:rsidRDefault="00FF7799" w:rsidP="00566582">
      <w:pPr>
        <w:pStyle w:val="StandardText"/>
      </w:pPr>
      <w:r w:rsidRPr="00E73F6F">
        <w:t>analysiert die Werte, Einstellungen, Bedürfnisse, Verhaltensweisen etc. von Angehörigen unterschiedlicher Ethnien, die innerhalb eines Landes leben</w:t>
      </w:r>
      <w:r w:rsidR="00566582">
        <w:t xml:space="preserve"> (</w:t>
      </w:r>
      <w:r w:rsidR="00566582">
        <w:sym w:font="Symbol" w:char="F0DE"/>
      </w:r>
      <w:r w:rsidR="00566582">
        <w:t xml:space="preserve"> </w:t>
      </w:r>
      <w:r w:rsidR="00566582" w:rsidRPr="00FC6E20">
        <w:rPr>
          <w:szCs w:val="24"/>
          <w:lang w:val="en-US"/>
        </w:rPr>
        <w:t>Marketing, kultursen</w:t>
      </w:r>
      <w:r w:rsidR="007E67F1">
        <w:rPr>
          <w:szCs w:val="24"/>
          <w:lang w:val="en-US"/>
        </w:rPr>
        <w:t>s</w:t>
      </w:r>
      <w:r w:rsidR="00566582" w:rsidRPr="00FC6E20">
        <w:rPr>
          <w:szCs w:val="24"/>
          <w:lang w:val="en-US"/>
        </w:rPr>
        <w:t>ibles</w:t>
      </w:r>
      <w:r w:rsidR="007E67F1">
        <w:rPr>
          <w:szCs w:val="24"/>
          <w:lang w:val="en-US"/>
        </w:rPr>
        <w:t>)</w:t>
      </w:r>
    </w:p>
    <w:p w14:paraId="5D8A53B5" w14:textId="77777777" w:rsidR="00566582" w:rsidRPr="00FC6E20" w:rsidRDefault="00566582" w:rsidP="00566582">
      <w:pPr>
        <w:spacing w:after="120"/>
        <w:rPr>
          <w:lang w:val="en-US"/>
        </w:rPr>
      </w:pPr>
    </w:p>
    <w:p w14:paraId="3A535308" w14:textId="77777777" w:rsidR="00FF7799" w:rsidRPr="00E73F6F" w:rsidRDefault="00FF7799" w:rsidP="005B595E">
      <w:pPr>
        <w:pStyle w:val="berschrift1"/>
      </w:pPr>
      <w:r w:rsidRPr="00E85CE7">
        <w:rPr>
          <w:bCs w:val="0"/>
          <w:color w:val="2E74B5"/>
          <w:sz w:val="22"/>
        </w:rPr>
        <w:t>Ethnozentris</w:t>
      </w:r>
      <w:r w:rsidRPr="00E85CE7">
        <w:rPr>
          <w:bCs w:val="0"/>
          <w:color w:val="2E74B5"/>
          <w:sz w:val="22"/>
        </w:rPr>
        <w:softHyphen/>
        <w:t>mus</w:t>
      </w:r>
      <w:r w:rsidRPr="00E73F6F">
        <w:t xml:space="preserve"> </w:t>
      </w:r>
    </w:p>
    <w:p w14:paraId="29A520CA" w14:textId="77777777" w:rsidR="00FF7799" w:rsidRPr="00E73F6F" w:rsidRDefault="00FF7799" w:rsidP="00A368A9">
      <w:pPr>
        <w:pStyle w:val="StandardText"/>
      </w:pPr>
      <w:r w:rsidRPr="00E73F6F">
        <w:t xml:space="preserve">Überzeugung, dass das Eigene dem Fremden grundsätzlich überlegen ist. Autoritarismusforscher </w:t>
      </w:r>
      <w:r w:rsidR="00035E56">
        <w:t>(</w:t>
      </w:r>
      <w:r w:rsidR="00035E56">
        <w:sym w:font="Symbol" w:char="F0DE"/>
      </w:r>
      <w:r w:rsidR="00035E56">
        <w:t xml:space="preserve"> Religiosität) </w:t>
      </w:r>
      <w:r w:rsidRPr="00E73F6F">
        <w:t>haben Ethnozentrismus als feindliche Gesinnung der Mehrheit gegenüber der Minderheit beschrieben, ausgelöst u.a. durch mangelndes Selbstbewusstsein. Entwicklungspsychologisch lässt sich Ethnozentrismus als kollektiver Egozentrismus und Narzismus beschreiben: als Konsequenz des tiefreichenden Be</w:t>
      </w:r>
      <w:r w:rsidRPr="00E73F6F">
        <w:softHyphen/>
        <w:t>dürf</w:t>
      </w:r>
      <w:r w:rsidRPr="00E73F6F">
        <w:softHyphen/>
        <w:t>nisses, sich selbst als „einmalig“ und als „Maß aller Dinge“ zu erleben. Operationalisiert wird Ethnozentrismus üblicherweise mit der CETSCALE von Shimp/Sharma (1987): 17 Statements, die alle auf die Erwünschtheit von Importen (volkswirtschaftlich) bzw. den Kauf importierter Güter Bezug nehmen (einzelwirtschaftlich); z.B. “American people should always buy American-made products instead of imports.“ Gegenpol von Ethnozentrismus ist Ethnorelativismus (vgl. Bennett 1993). Darunter versteht man die Bereitschaft, die eigenen soziokulturellen Normen und Überzeugungen prinzipiell in Frage zu stellen und jene der anderen grundsätzlich als gleichwertig anzusehen (vgl. Barmeyer et al. 2016).</w:t>
      </w:r>
    </w:p>
    <w:p w14:paraId="3EE7B8C7" w14:textId="77777777" w:rsidR="00FF7799" w:rsidRPr="00035E56" w:rsidRDefault="00FF7799" w:rsidP="00A368A9">
      <w:pPr>
        <w:pStyle w:val="StandardText"/>
        <w:rPr>
          <w:sz w:val="22"/>
          <w:szCs w:val="22"/>
          <w:lang w:val="en-US"/>
        </w:rPr>
      </w:pPr>
      <w:r w:rsidRPr="009278E0">
        <w:rPr>
          <w:b/>
          <w:i/>
          <w:noProof/>
          <w:sz w:val="22"/>
          <w:szCs w:val="22"/>
        </w:rPr>
        <w:t>Literatur</w:t>
      </w:r>
      <w:r w:rsidRPr="009278E0">
        <w:rPr>
          <w:i/>
          <w:noProof/>
          <w:sz w:val="22"/>
          <w:szCs w:val="22"/>
        </w:rPr>
        <w:t>:</w:t>
      </w:r>
      <w:r w:rsidRPr="00035E56">
        <w:rPr>
          <w:noProof/>
          <w:sz w:val="22"/>
          <w:szCs w:val="22"/>
        </w:rPr>
        <w:t xml:space="preserve"> Barmeyer, C.; Romani, L.; Pilhofer, K. (2016): Welche Impulse liefert interkulturelles Management für Diversity Management? in: Genkova, P.; Ringeisen, T. (Hrsg.), Handbuch Diversity Kompetenz: Bd. 2, Gegenstandsbereiche, 1-22, Berlin: Springer. </w:t>
      </w:r>
      <w:r w:rsidRPr="00035E56">
        <w:rPr>
          <w:noProof/>
          <w:sz w:val="22"/>
          <w:szCs w:val="22"/>
          <w:lang w:val="en-US"/>
        </w:rPr>
        <w:t xml:space="preserve">Bennett, M. (1993): Towards Ethnorelativism. A Developmental Model of Intercultural Sensitivity, in: Paige, M. (Ed.), Education for the Intercultural Experience, 21-71, Yarmouth/ME: Intercultural Press. Shimp, T.A.; Sharma, S. (1987): Consumer Ethnocentrism. Construction and Validation of the CETSCALE, Journal of Marketing Research, 24(3): 280-289. </w:t>
      </w:r>
      <w:r w:rsidR="009278E0">
        <w:rPr>
          <w:noProof/>
          <w:sz w:val="22"/>
          <w:szCs w:val="22"/>
          <w:lang w:val="en-US"/>
        </w:rPr>
        <w:t xml:space="preserve"> </w:t>
      </w:r>
      <w:r w:rsidRPr="00035E56">
        <w:rPr>
          <w:sz w:val="22"/>
          <w:szCs w:val="22"/>
          <w:lang w:val="en-US"/>
        </w:rPr>
        <w:t>Sumner, W.G. (1906): Folkways. A Study of the Sociological Importance of Usages, Manners, Customs Mores, and Morals, New York: Ginn &amp; Co.</w:t>
      </w:r>
    </w:p>
    <w:p w14:paraId="5AA88A80" w14:textId="77777777" w:rsidR="00FF7799" w:rsidRPr="00035E56" w:rsidRDefault="00FF7799" w:rsidP="00A368A9">
      <w:pPr>
        <w:pStyle w:val="StandardText"/>
        <w:rPr>
          <w:noProof/>
          <w:sz w:val="22"/>
          <w:szCs w:val="22"/>
          <w:lang w:val="en-US"/>
        </w:rPr>
      </w:pPr>
    </w:p>
    <w:p w14:paraId="0ED63309" w14:textId="77777777" w:rsidR="00FF7799" w:rsidRPr="00E85CE7" w:rsidRDefault="00FF7799" w:rsidP="005B595E">
      <w:pPr>
        <w:pStyle w:val="berschrift1"/>
        <w:rPr>
          <w:bCs w:val="0"/>
          <w:color w:val="2E74B5"/>
          <w:sz w:val="22"/>
        </w:rPr>
      </w:pPr>
      <w:r w:rsidRPr="00E85CE7">
        <w:rPr>
          <w:bCs w:val="0"/>
          <w:color w:val="2E74B5"/>
          <w:sz w:val="22"/>
        </w:rPr>
        <w:t>Etymologie</w:t>
      </w:r>
    </w:p>
    <w:p w14:paraId="4A708E46" w14:textId="77777777" w:rsidR="00FF7799" w:rsidRPr="00E73F6F" w:rsidRDefault="00FF7799" w:rsidP="00A368A9">
      <w:pPr>
        <w:pStyle w:val="StandardText"/>
      </w:pPr>
      <w:r w:rsidRPr="00E73F6F">
        <w:t xml:space="preserve">sprachwissenschaftliche Disziplin, welche sich mit der Herkunft der Wörter </w:t>
      </w:r>
      <w:r w:rsidRPr="00E73F6F">
        <w:rPr>
          <w:spacing w:val="-2"/>
        </w:rPr>
        <w:t>befasst</w:t>
      </w:r>
    </w:p>
    <w:p w14:paraId="5B0F017F" w14:textId="77777777" w:rsidR="00FF7799" w:rsidRPr="00E73F6F" w:rsidRDefault="00FF7799" w:rsidP="00A368A9">
      <w:pPr>
        <w:pStyle w:val="StandardText"/>
      </w:pPr>
    </w:p>
    <w:p w14:paraId="69B95ED1" w14:textId="77777777" w:rsidR="00FF7799" w:rsidRPr="00E85CE7" w:rsidRDefault="00FF7799" w:rsidP="005B595E">
      <w:pPr>
        <w:pStyle w:val="berschrift1"/>
        <w:rPr>
          <w:bCs w:val="0"/>
          <w:color w:val="2E74B5"/>
          <w:sz w:val="22"/>
        </w:rPr>
      </w:pPr>
      <w:r w:rsidRPr="00E85CE7">
        <w:rPr>
          <w:bCs w:val="0"/>
          <w:color w:val="2E74B5"/>
          <w:sz w:val="22"/>
        </w:rPr>
        <w:t>Eurobarometer</w:t>
      </w:r>
    </w:p>
    <w:p w14:paraId="07777788" w14:textId="77777777" w:rsidR="00FF7799" w:rsidRPr="00035E56" w:rsidRDefault="00FF7799" w:rsidP="00A368A9">
      <w:pPr>
        <w:pStyle w:val="StandardText"/>
      </w:pPr>
      <w:r w:rsidRPr="00035E56">
        <w:t>von der Europäischen Kommission veranlasste regelmäßige Umfrage in den Mitgliedsländern der Europäischen Union zur Akzeptanz der europäischen Idee und der Europäischen Union</w:t>
      </w:r>
    </w:p>
    <w:p w14:paraId="0D315CB3" w14:textId="77777777" w:rsidR="00FF7799" w:rsidRPr="00035E56" w:rsidRDefault="00FF7799" w:rsidP="00A368A9">
      <w:pPr>
        <w:pStyle w:val="StandardText"/>
      </w:pPr>
    </w:p>
    <w:p w14:paraId="39BDECA9" w14:textId="77777777" w:rsidR="00FF7799" w:rsidRPr="00E35FFF" w:rsidRDefault="00FF7799" w:rsidP="005B595E">
      <w:pPr>
        <w:pStyle w:val="berschrift1"/>
        <w:rPr>
          <w:lang w:val="en-US"/>
        </w:rPr>
      </w:pPr>
      <w:r w:rsidRPr="00E85CE7">
        <w:rPr>
          <w:bCs w:val="0"/>
          <w:color w:val="2E74B5"/>
          <w:sz w:val="22"/>
        </w:rPr>
        <w:t>European Value Survey</w:t>
      </w:r>
      <w:r w:rsidRPr="00E35FFF">
        <w:rPr>
          <w:spacing w:val="-13"/>
          <w:lang w:val="en-US"/>
        </w:rPr>
        <w:t xml:space="preserve"> </w:t>
      </w:r>
      <w:r w:rsidRPr="00E35FFF">
        <w:rPr>
          <w:b w:val="0"/>
          <w:lang w:val="en-US"/>
        </w:rPr>
        <w:t>→</w:t>
      </w:r>
      <w:r w:rsidRPr="00E35FFF">
        <w:rPr>
          <w:b w:val="0"/>
          <w:spacing w:val="-1"/>
          <w:lang w:val="en-US"/>
        </w:rPr>
        <w:t xml:space="preserve"> </w:t>
      </w:r>
      <w:r w:rsidRPr="00E35FFF">
        <w:rPr>
          <w:b w:val="0"/>
          <w:lang w:val="en-US"/>
        </w:rPr>
        <w:t>Postmaterialismus-</w:t>
      </w:r>
      <w:r w:rsidRPr="00E35FFF">
        <w:rPr>
          <w:b w:val="0"/>
          <w:spacing w:val="-4"/>
          <w:lang w:val="en-US"/>
        </w:rPr>
        <w:t>These</w:t>
      </w:r>
    </w:p>
    <w:p w14:paraId="462CDA9F" w14:textId="77777777" w:rsidR="00FF7799" w:rsidRPr="00E85CE7" w:rsidRDefault="00FF7799" w:rsidP="005B595E">
      <w:pPr>
        <w:pStyle w:val="berschrift1"/>
        <w:rPr>
          <w:bCs w:val="0"/>
          <w:color w:val="2E74B5"/>
          <w:sz w:val="22"/>
        </w:rPr>
      </w:pPr>
      <w:r w:rsidRPr="00E85CE7">
        <w:rPr>
          <w:bCs w:val="0"/>
          <w:color w:val="2E74B5"/>
          <w:sz w:val="22"/>
        </w:rPr>
        <w:lastRenderedPageBreak/>
        <w:t>Euro-Socio-Styles</w:t>
      </w:r>
    </w:p>
    <w:p w14:paraId="41CBEDB0" w14:textId="77777777" w:rsidR="00FF7799" w:rsidRPr="00E73F6F" w:rsidRDefault="00FF7799" w:rsidP="00A368A9">
      <w:pPr>
        <w:pStyle w:val="StandardText"/>
      </w:pPr>
      <w:r w:rsidRPr="00E73F6F">
        <w:t>Lebensstiltypologie, welche zur internationalen Marktsegmentierung herangezogen</w:t>
      </w:r>
      <w:r w:rsidRPr="00E73F6F">
        <w:rPr>
          <w:spacing w:val="-12"/>
        </w:rPr>
        <w:t xml:space="preserve"> </w:t>
      </w:r>
      <w:r w:rsidRPr="00E73F6F">
        <w:t>wird</w:t>
      </w:r>
      <w:r w:rsidRPr="00E73F6F">
        <w:rPr>
          <w:spacing w:val="-11"/>
        </w:rPr>
        <w:t xml:space="preserve"> </w:t>
      </w:r>
      <w:r w:rsidR="00035E56">
        <w:t>(</w:t>
      </w:r>
      <w:r w:rsidR="00035E56">
        <w:sym w:font="Symbol" w:char="F0DE"/>
      </w:r>
      <w:r w:rsidRPr="00E73F6F">
        <w:rPr>
          <w:spacing w:val="-11"/>
        </w:rPr>
        <w:t xml:space="preserve"> </w:t>
      </w:r>
      <w:r w:rsidRPr="00E73F6F">
        <w:t>Zielgruppen).</w:t>
      </w:r>
      <w:r w:rsidRPr="00E73F6F">
        <w:rPr>
          <w:spacing w:val="-11"/>
        </w:rPr>
        <w:t xml:space="preserve"> </w:t>
      </w:r>
      <w:r w:rsidRPr="00E73F6F">
        <w:t>Anhand</w:t>
      </w:r>
      <w:r w:rsidRPr="00E73F6F">
        <w:rPr>
          <w:spacing w:val="-12"/>
        </w:rPr>
        <w:t xml:space="preserve"> </w:t>
      </w:r>
      <w:r w:rsidRPr="00E73F6F">
        <w:t>dieses</w:t>
      </w:r>
      <w:r w:rsidRPr="00E73F6F">
        <w:rPr>
          <w:spacing w:val="-11"/>
        </w:rPr>
        <w:t xml:space="preserve"> </w:t>
      </w:r>
      <w:r w:rsidRPr="00E73F6F">
        <w:t>mehrdimensionalen</w:t>
      </w:r>
      <w:r w:rsidRPr="00E73F6F">
        <w:rPr>
          <w:spacing w:val="-11"/>
        </w:rPr>
        <w:t xml:space="preserve"> </w:t>
      </w:r>
      <w:r w:rsidRPr="00E73F6F">
        <w:t xml:space="preserve">Ansatzes hat die GfK-Lebensstilforschung acht Konsumententypen nachgewiesen, welche in unterschiedlicher Häufigkeit zunächst (1989) in 15 westeuropäischen Ländern nachgewiesen werden konnten und später (2005) in elf osteuropäischen Ländern. Auf Basis einer übergeordneten Struktur grundlegender und konsumrelevanter </w:t>
      </w:r>
      <w:r w:rsidRPr="00E73F6F">
        <w:rPr>
          <w:spacing w:val="-2"/>
        </w:rPr>
        <w:t>Wertorientierungen („Materialismus / Preisorientierung</w:t>
      </w:r>
      <w:r w:rsidRPr="00E73F6F">
        <w:t xml:space="preserve"> </w:t>
      </w:r>
      <w:r w:rsidRPr="00E73F6F">
        <w:rPr>
          <w:spacing w:val="-4"/>
        </w:rPr>
        <w:t xml:space="preserve">und </w:t>
      </w:r>
      <w:r w:rsidRPr="00E73F6F">
        <w:rPr>
          <w:spacing w:val="-2"/>
        </w:rPr>
        <w:t xml:space="preserve">Postmaterialismus / Qualitätsorientierung“ sowie </w:t>
      </w:r>
      <w:r w:rsidRPr="00E73F6F">
        <w:t>„Hedonismus / Genussorientierung und Puritanismus / Sicherheitsorientierung“ haben</w:t>
      </w:r>
      <w:r w:rsidRPr="00E73F6F">
        <w:rPr>
          <w:spacing w:val="-8"/>
        </w:rPr>
        <w:t xml:space="preserve"> </w:t>
      </w:r>
      <w:r w:rsidRPr="00E73F6F">
        <w:t>die</w:t>
      </w:r>
      <w:r w:rsidRPr="00E73F6F">
        <w:rPr>
          <w:spacing w:val="-9"/>
        </w:rPr>
        <w:t xml:space="preserve"> </w:t>
      </w:r>
      <w:r w:rsidRPr="00E73F6F">
        <w:t>Euro-Socio-Styles</w:t>
      </w:r>
      <w:r w:rsidRPr="00E73F6F">
        <w:rPr>
          <w:spacing w:val="-7"/>
        </w:rPr>
        <w:t xml:space="preserve"> </w:t>
      </w:r>
      <w:r w:rsidRPr="00E73F6F">
        <w:t>aus</w:t>
      </w:r>
      <w:r w:rsidRPr="00E73F6F">
        <w:rPr>
          <w:spacing w:val="-9"/>
        </w:rPr>
        <w:t xml:space="preserve"> </w:t>
      </w:r>
      <w:r w:rsidRPr="00E73F6F">
        <w:t>ihrem</w:t>
      </w:r>
      <w:r w:rsidRPr="00E73F6F">
        <w:rPr>
          <w:spacing w:val="-7"/>
        </w:rPr>
        <w:t xml:space="preserve"> </w:t>
      </w:r>
      <w:r w:rsidRPr="00E73F6F">
        <w:t>jeweiligen</w:t>
      </w:r>
      <w:r w:rsidRPr="00E73F6F">
        <w:rPr>
          <w:spacing w:val="-8"/>
        </w:rPr>
        <w:t xml:space="preserve"> </w:t>
      </w:r>
      <w:r w:rsidR="00D22D27">
        <w:rPr>
          <w:spacing w:val="-8"/>
        </w:rPr>
        <w:sym w:font="Symbol" w:char="F0DE"/>
      </w:r>
      <w:r w:rsidR="00D22D27">
        <w:rPr>
          <w:spacing w:val="-8"/>
        </w:rPr>
        <w:t xml:space="preserve"> </w:t>
      </w:r>
      <w:r w:rsidRPr="00E73F6F">
        <w:t>Weltbild,</w:t>
      </w:r>
      <w:r w:rsidRPr="00E73F6F">
        <w:rPr>
          <w:spacing w:val="-6"/>
        </w:rPr>
        <w:t xml:space="preserve"> </w:t>
      </w:r>
      <w:r w:rsidRPr="00E73F6F">
        <w:t>ihren</w:t>
      </w:r>
      <w:r w:rsidRPr="00E73F6F">
        <w:rPr>
          <w:spacing w:val="-10"/>
        </w:rPr>
        <w:t xml:space="preserve"> </w:t>
      </w:r>
      <w:r w:rsidRPr="00E73F6F">
        <w:t>Überzeugungen (‘beliefs‘) wie auch Kauf- und Konsumgewohnheiten länderübergreifend und unabhängig</w:t>
      </w:r>
      <w:r w:rsidRPr="00E73F6F">
        <w:rPr>
          <w:spacing w:val="-8"/>
        </w:rPr>
        <w:t xml:space="preserve"> </w:t>
      </w:r>
      <w:r w:rsidRPr="00E73F6F">
        <w:t>von</w:t>
      </w:r>
      <w:r w:rsidRPr="00E73F6F">
        <w:rPr>
          <w:spacing w:val="-6"/>
        </w:rPr>
        <w:t xml:space="preserve"> </w:t>
      </w:r>
      <w:r w:rsidRPr="00E73F6F">
        <w:t>Alter,</w:t>
      </w:r>
      <w:r w:rsidRPr="00E73F6F">
        <w:rPr>
          <w:spacing w:val="-9"/>
        </w:rPr>
        <w:t xml:space="preserve"> </w:t>
      </w:r>
      <w:r w:rsidRPr="00E73F6F">
        <w:t>sozialer</w:t>
      </w:r>
      <w:r w:rsidRPr="00E73F6F">
        <w:rPr>
          <w:spacing w:val="-7"/>
        </w:rPr>
        <w:t xml:space="preserve"> </w:t>
      </w:r>
      <w:r w:rsidRPr="00E73F6F">
        <w:t>Schichtung</w:t>
      </w:r>
      <w:r w:rsidRPr="00E73F6F">
        <w:rPr>
          <w:spacing w:val="-6"/>
        </w:rPr>
        <w:t xml:space="preserve"> </w:t>
      </w:r>
      <w:r w:rsidRPr="00E73F6F">
        <w:t>etc.</w:t>
      </w:r>
      <w:r w:rsidRPr="00E73F6F">
        <w:rPr>
          <w:spacing w:val="-7"/>
        </w:rPr>
        <w:t xml:space="preserve"> </w:t>
      </w:r>
      <w:r w:rsidRPr="00E73F6F">
        <w:t>ihren</w:t>
      </w:r>
      <w:r w:rsidRPr="00E73F6F">
        <w:rPr>
          <w:spacing w:val="-6"/>
        </w:rPr>
        <w:t xml:space="preserve"> </w:t>
      </w:r>
      <w:r w:rsidRPr="00E73F6F">
        <w:t>charakteristischen</w:t>
      </w:r>
      <w:r w:rsidRPr="00E73F6F">
        <w:rPr>
          <w:spacing w:val="-6"/>
        </w:rPr>
        <w:t xml:space="preserve"> </w:t>
      </w:r>
      <w:r w:rsidRPr="00E73F6F">
        <w:t xml:space="preserve">Lebensstil </w:t>
      </w:r>
      <w:r w:rsidRPr="00E73F6F">
        <w:rPr>
          <w:spacing w:val="-2"/>
        </w:rPr>
        <w:t>entwickelt.</w:t>
      </w:r>
    </w:p>
    <w:p w14:paraId="476A504E" w14:textId="77777777" w:rsidR="00FF7799" w:rsidRPr="00E73F6F" w:rsidRDefault="00FF7799" w:rsidP="00ED21DF">
      <w:pPr>
        <w:rPr>
          <w:sz w:val="24"/>
          <w:szCs w:val="24"/>
        </w:rPr>
      </w:pPr>
    </w:p>
    <w:p w14:paraId="5497923B" w14:textId="77777777" w:rsidR="00FF7799" w:rsidRPr="00C76DC3" w:rsidRDefault="00FF7799" w:rsidP="009D6AE9">
      <w:pPr>
        <w:pStyle w:val="BeschriftungTab"/>
        <w:rPr>
          <w:i/>
          <w:iCs/>
          <w:spacing w:val="-2"/>
        </w:rPr>
      </w:pPr>
      <w:r w:rsidRPr="00C76DC3">
        <w:rPr>
          <w:i/>
          <w:iCs/>
        </w:rPr>
        <w:t>Abb.</w:t>
      </w:r>
      <w:r w:rsidRPr="00C76DC3">
        <w:rPr>
          <w:i/>
          <w:iCs/>
          <w:spacing w:val="-1"/>
        </w:rPr>
        <w:t xml:space="preserve"> </w:t>
      </w:r>
      <w:r w:rsidRPr="00C76DC3">
        <w:rPr>
          <w:i/>
          <w:iCs/>
        </w:rPr>
        <w:t>1:</w:t>
      </w:r>
      <w:r w:rsidRPr="00C76DC3">
        <w:rPr>
          <w:i/>
          <w:iCs/>
          <w:spacing w:val="-2"/>
        </w:rPr>
        <w:t xml:space="preserve"> </w:t>
      </w:r>
      <w:r w:rsidRPr="00C76DC3">
        <w:rPr>
          <w:i/>
          <w:iCs/>
        </w:rPr>
        <w:t>Landkarte</w:t>
      </w:r>
      <w:r w:rsidRPr="00C76DC3">
        <w:rPr>
          <w:i/>
          <w:iCs/>
          <w:spacing w:val="-2"/>
        </w:rPr>
        <w:t xml:space="preserve"> </w:t>
      </w:r>
      <w:r w:rsidRPr="00C76DC3">
        <w:rPr>
          <w:i/>
          <w:iCs/>
        </w:rPr>
        <w:t>der</w:t>
      </w:r>
      <w:r w:rsidRPr="00C76DC3">
        <w:rPr>
          <w:i/>
          <w:iCs/>
          <w:spacing w:val="2"/>
        </w:rPr>
        <w:t xml:space="preserve"> </w:t>
      </w:r>
      <w:r w:rsidRPr="00C76DC3">
        <w:rPr>
          <w:i/>
          <w:iCs/>
        </w:rPr>
        <w:t>Euro-Socio-</w:t>
      </w:r>
      <w:r w:rsidRPr="00C76DC3">
        <w:rPr>
          <w:i/>
          <w:iCs/>
          <w:spacing w:val="-2"/>
        </w:rPr>
        <w:t>Styles</w:t>
      </w:r>
    </w:p>
    <w:p w14:paraId="55D1CFBA" w14:textId="77777777" w:rsidR="00FF7799" w:rsidRPr="00E73F6F" w:rsidRDefault="00746E18" w:rsidP="00ED21DF">
      <w:pPr>
        <w:jc w:val="center"/>
        <w:rPr>
          <w:i/>
          <w:sz w:val="24"/>
          <w:szCs w:val="24"/>
        </w:rPr>
      </w:pPr>
      <w:r>
        <w:rPr>
          <w:i/>
          <w:noProof/>
          <w:sz w:val="24"/>
          <w:szCs w:val="24"/>
          <w:lang w:eastAsia="de-DE"/>
        </w:rPr>
        <w:drawing>
          <wp:inline distT="0" distB="0" distL="0" distR="0" wp14:anchorId="39A55764" wp14:editId="17167524">
            <wp:extent cx="6044377" cy="4705350"/>
            <wp:effectExtent l="0" t="0" r="0" b="0"/>
            <wp:docPr id="85" name="Grafik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6051289" cy="4710730"/>
                    </a:xfrm>
                    <a:prstGeom prst="rect">
                      <a:avLst/>
                    </a:prstGeom>
                    <a:noFill/>
                  </pic:spPr>
                </pic:pic>
              </a:graphicData>
            </a:graphic>
          </wp:inline>
        </w:drawing>
      </w:r>
    </w:p>
    <w:p w14:paraId="6D1AFACB" w14:textId="77777777" w:rsidR="00FF7799" w:rsidRPr="00E73F6F" w:rsidRDefault="00FF7799" w:rsidP="00E35B4A">
      <w:pPr>
        <w:pStyle w:val="Quellen"/>
      </w:pPr>
      <w:r w:rsidRPr="00E73F6F">
        <w:t>Quelle:</w:t>
      </w:r>
      <w:r w:rsidRPr="00E73F6F">
        <w:rPr>
          <w:spacing w:val="-8"/>
        </w:rPr>
        <w:t xml:space="preserve"> </w:t>
      </w:r>
      <w:r w:rsidRPr="00E73F6F">
        <w:t>GfK-Lebensstilforschung.</w:t>
      </w:r>
    </w:p>
    <w:p w14:paraId="3F1430FC" w14:textId="77777777" w:rsidR="00FF7799" w:rsidRPr="00037FAC" w:rsidRDefault="00FF7799" w:rsidP="00E35B4A">
      <w:pPr>
        <w:pStyle w:val="Quellen"/>
        <w:rPr>
          <w:i/>
          <w:iCs/>
          <w:sz w:val="24"/>
          <w:szCs w:val="24"/>
        </w:rPr>
      </w:pPr>
    </w:p>
    <w:p w14:paraId="04A81B7A" w14:textId="77777777" w:rsidR="00FF7799" w:rsidRPr="00037FAC" w:rsidRDefault="00FF7799" w:rsidP="00E35B4A">
      <w:pPr>
        <w:pStyle w:val="BeschriftungTab"/>
        <w:rPr>
          <w:i/>
          <w:iCs/>
        </w:rPr>
      </w:pPr>
      <w:r w:rsidRPr="00037FAC">
        <w:rPr>
          <w:i/>
          <w:iCs/>
        </w:rPr>
        <w:t>Tab.</w:t>
      </w:r>
      <w:r w:rsidRPr="00037FAC">
        <w:rPr>
          <w:i/>
          <w:iCs/>
          <w:spacing w:val="-2"/>
        </w:rPr>
        <w:t xml:space="preserve"> </w:t>
      </w:r>
      <w:r w:rsidRPr="00037FAC">
        <w:rPr>
          <w:i/>
          <w:iCs/>
        </w:rPr>
        <w:t>1:</w:t>
      </w:r>
      <w:r w:rsidRPr="00037FAC">
        <w:rPr>
          <w:i/>
          <w:iCs/>
          <w:spacing w:val="-2"/>
        </w:rPr>
        <w:t xml:space="preserve"> </w:t>
      </w:r>
      <w:r w:rsidRPr="00037FAC">
        <w:rPr>
          <w:i/>
          <w:iCs/>
        </w:rPr>
        <w:t>Eigenschaften der</w:t>
      </w:r>
      <w:r w:rsidRPr="00037FAC">
        <w:rPr>
          <w:i/>
          <w:iCs/>
          <w:spacing w:val="-1"/>
        </w:rPr>
        <w:t xml:space="preserve"> </w:t>
      </w:r>
      <w:r w:rsidRPr="00037FAC">
        <w:rPr>
          <w:i/>
          <w:iCs/>
        </w:rPr>
        <w:t>Euro</w:t>
      </w:r>
      <w:r w:rsidRPr="00037FAC">
        <w:rPr>
          <w:i/>
          <w:iCs/>
          <w:spacing w:val="-3"/>
        </w:rPr>
        <w:t xml:space="preserve"> </w:t>
      </w:r>
      <w:r w:rsidRPr="00037FAC">
        <w:rPr>
          <w:i/>
          <w:iCs/>
        </w:rPr>
        <w:t>Socio-</w:t>
      </w:r>
      <w:r w:rsidRPr="00037FAC">
        <w:rPr>
          <w:i/>
          <w:iCs/>
          <w:spacing w:val="-2"/>
        </w:rPr>
        <w:t>Styles</w:t>
      </w:r>
    </w:p>
    <w:p w14:paraId="4032C853" w14:textId="77777777" w:rsidR="00FF7799" w:rsidRPr="00E73F6F" w:rsidRDefault="00FF7799" w:rsidP="00862DBA">
      <w:pPr>
        <w:rPr>
          <w:i/>
          <w:sz w:val="24"/>
          <w:szCs w:val="24"/>
        </w:rPr>
      </w:pPr>
    </w:p>
    <w:p w14:paraId="773BEA0C" w14:textId="77777777" w:rsidR="00FF7799" w:rsidRDefault="00F30607" w:rsidP="00862DBA">
      <w:pPr>
        <w:rPr>
          <w:i/>
          <w:sz w:val="24"/>
          <w:szCs w:val="24"/>
        </w:rPr>
      </w:pPr>
      <w:r>
        <w:rPr>
          <w:i/>
          <w:noProof/>
          <w:sz w:val="24"/>
          <w:szCs w:val="24"/>
          <w:lang w:eastAsia="de-DE"/>
        </w:rPr>
        <w:lastRenderedPageBreak/>
        <w:drawing>
          <wp:inline distT="0" distB="0" distL="0" distR="0" wp14:anchorId="5398A970" wp14:editId="22A912D8">
            <wp:extent cx="5656507" cy="4762500"/>
            <wp:effectExtent l="0" t="0" r="1905" b="0"/>
            <wp:docPr id="86" name="Grafik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664258" cy="4769026"/>
                    </a:xfrm>
                    <a:prstGeom prst="rect">
                      <a:avLst/>
                    </a:prstGeom>
                    <a:noFill/>
                  </pic:spPr>
                </pic:pic>
              </a:graphicData>
            </a:graphic>
          </wp:inline>
        </w:drawing>
      </w:r>
    </w:p>
    <w:p w14:paraId="508EBCA7" w14:textId="77777777" w:rsidR="009B3FEE" w:rsidRPr="00E73F6F" w:rsidRDefault="009B3FEE" w:rsidP="00862DBA">
      <w:pPr>
        <w:rPr>
          <w:i/>
          <w:sz w:val="24"/>
          <w:szCs w:val="24"/>
        </w:rPr>
      </w:pPr>
    </w:p>
    <w:p w14:paraId="0EE83AE6" w14:textId="77777777" w:rsidR="00FF7799" w:rsidRPr="00E85CE7" w:rsidRDefault="00FF7799" w:rsidP="00D16D31">
      <w:pPr>
        <w:pStyle w:val="berschrift1"/>
        <w:rPr>
          <w:bCs w:val="0"/>
          <w:color w:val="2E74B5"/>
          <w:sz w:val="22"/>
        </w:rPr>
      </w:pPr>
      <w:r w:rsidRPr="00E85CE7">
        <w:rPr>
          <w:bCs w:val="0"/>
          <w:color w:val="2E74B5"/>
          <w:sz w:val="22"/>
        </w:rPr>
        <w:t>EVL-Modell</w:t>
      </w:r>
    </w:p>
    <w:p w14:paraId="7E283010" w14:textId="77777777" w:rsidR="00FF7799" w:rsidRPr="00E73F6F" w:rsidRDefault="00FF7799" w:rsidP="00E35B4A">
      <w:pPr>
        <w:pStyle w:val="StandardText"/>
      </w:pPr>
      <w:r w:rsidRPr="00E73F6F">
        <w:t>spieltheoretisches Modell, das ursprünglich mit einer soziologisch- politologischen Perspektive entwickelt wurde, um die prinzipiellen Handlungsmöglichkeiten aufzuzeigen, welche Bürger haben, die mit den Handlungen staatlicher Institutionen unzufrieden sind: Exit, voice und loyality. Dieses Modell wurde bald zur Analyse der Reaktionsmöglichkeiten unzufriedener Kunden genutzt.</w:t>
      </w:r>
    </w:p>
    <w:p w14:paraId="66C8E3F3" w14:textId="77777777" w:rsidR="00FF7799" w:rsidRPr="001B1E7E" w:rsidRDefault="00FF7799" w:rsidP="00E35B4A">
      <w:pPr>
        <w:pStyle w:val="StandardText"/>
      </w:pPr>
      <w:r w:rsidRPr="001B1E7E">
        <w:rPr>
          <w:b/>
          <w:i/>
          <w:sz w:val="22"/>
          <w:szCs w:val="22"/>
          <w:lang w:val="en-US"/>
        </w:rPr>
        <w:t>Literatur</w:t>
      </w:r>
      <w:r w:rsidRPr="001B1E7E">
        <w:rPr>
          <w:i/>
          <w:sz w:val="22"/>
          <w:szCs w:val="22"/>
          <w:lang w:val="en-US"/>
        </w:rPr>
        <w:t>:</w:t>
      </w:r>
      <w:r w:rsidRPr="001B1E7E">
        <w:rPr>
          <w:sz w:val="22"/>
          <w:szCs w:val="22"/>
          <w:lang w:val="en-US"/>
        </w:rPr>
        <w:t xml:space="preserve"> Hirschmann, A.O. (1970): Exit, Voice and Loyalty. Responses to Decline in</w:t>
      </w:r>
      <w:r w:rsidRPr="001B1E7E">
        <w:rPr>
          <w:spacing w:val="40"/>
          <w:sz w:val="22"/>
          <w:szCs w:val="22"/>
          <w:lang w:val="en-US"/>
        </w:rPr>
        <w:t xml:space="preserve"> </w:t>
      </w:r>
      <w:r w:rsidRPr="001B1E7E">
        <w:rPr>
          <w:sz w:val="22"/>
          <w:szCs w:val="22"/>
          <w:lang w:val="en-US"/>
        </w:rPr>
        <w:t>Firms, Organizations and States, Cambridge/MA: Ha</w:t>
      </w:r>
      <w:r w:rsidR="001A51DB">
        <w:rPr>
          <w:sz w:val="22"/>
          <w:szCs w:val="22"/>
          <w:lang w:val="en-US"/>
        </w:rPr>
        <w:t xml:space="preserve">rvard University Press.   </w:t>
      </w:r>
      <w:r w:rsidRPr="00F3160E">
        <w:rPr>
          <w:sz w:val="22"/>
          <w:szCs w:val="22"/>
        </w:rPr>
        <w:t>Hirschmann,</w:t>
      </w:r>
      <w:r w:rsidRPr="00F3160E">
        <w:rPr>
          <w:spacing w:val="-4"/>
          <w:sz w:val="22"/>
          <w:szCs w:val="22"/>
        </w:rPr>
        <w:t xml:space="preserve"> </w:t>
      </w:r>
      <w:r w:rsidRPr="00F3160E">
        <w:rPr>
          <w:sz w:val="22"/>
          <w:szCs w:val="22"/>
        </w:rPr>
        <w:t>A.O.</w:t>
      </w:r>
      <w:r w:rsidRPr="00F3160E">
        <w:rPr>
          <w:spacing w:val="-3"/>
          <w:sz w:val="22"/>
          <w:szCs w:val="22"/>
        </w:rPr>
        <w:t xml:space="preserve"> </w:t>
      </w:r>
      <w:r w:rsidRPr="00F3160E">
        <w:rPr>
          <w:sz w:val="22"/>
          <w:szCs w:val="22"/>
        </w:rPr>
        <w:t>(1974):</w:t>
      </w:r>
      <w:r w:rsidRPr="00F3160E">
        <w:rPr>
          <w:spacing w:val="-3"/>
          <w:sz w:val="22"/>
          <w:szCs w:val="22"/>
        </w:rPr>
        <w:t xml:space="preserve"> </w:t>
      </w:r>
      <w:r w:rsidRPr="00F3160E">
        <w:rPr>
          <w:sz w:val="22"/>
          <w:szCs w:val="22"/>
        </w:rPr>
        <w:t>Abwanderung</w:t>
      </w:r>
      <w:r w:rsidRPr="00F3160E">
        <w:rPr>
          <w:spacing w:val="-5"/>
          <w:sz w:val="22"/>
          <w:szCs w:val="22"/>
        </w:rPr>
        <w:t xml:space="preserve"> </w:t>
      </w:r>
      <w:r w:rsidRPr="00F3160E">
        <w:rPr>
          <w:sz w:val="22"/>
          <w:szCs w:val="22"/>
        </w:rPr>
        <w:t>und</w:t>
      </w:r>
      <w:r w:rsidRPr="00F3160E">
        <w:rPr>
          <w:spacing w:val="-5"/>
          <w:sz w:val="22"/>
          <w:szCs w:val="22"/>
        </w:rPr>
        <w:t xml:space="preserve"> </w:t>
      </w:r>
      <w:r w:rsidRPr="00F3160E">
        <w:rPr>
          <w:sz w:val="22"/>
          <w:szCs w:val="22"/>
        </w:rPr>
        <w:t>Widerspruch.</w:t>
      </w:r>
      <w:r w:rsidRPr="00F3160E">
        <w:rPr>
          <w:spacing w:val="-4"/>
          <w:sz w:val="22"/>
          <w:szCs w:val="22"/>
        </w:rPr>
        <w:t xml:space="preserve"> </w:t>
      </w:r>
      <w:r w:rsidRPr="001B1E7E">
        <w:rPr>
          <w:sz w:val="22"/>
          <w:szCs w:val="22"/>
        </w:rPr>
        <w:t>Reaktionen</w:t>
      </w:r>
      <w:r w:rsidRPr="001B1E7E">
        <w:rPr>
          <w:spacing w:val="-5"/>
          <w:sz w:val="22"/>
          <w:szCs w:val="22"/>
        </w:rPr>
        <w:t xml:space="preserve"> </w:t>
      </w:r>
      <w:r w:rsidRPr="001B1E7E">
        <w:rPr>
          <w:sz w:val="22"/>
          <w:szCs w:val="22"/>
        </w:rPr>
        <w:t>auf</w:t>
      </w:r>
      <w:r w:rsidRPr="001B1E7E">
        <w:rPr>
          <w:spacing w:val="-7"/>
          <w:sz w:val="22"/>
          <w:szCs w:val="22"/>
        </w:rPr>
        <w:t xml:space="preserve"> </w:t>
      </w:r>
      <w:r w:rsidRPr="001B1E7E">
        <w:rPr>
          <w:sz w:val="22"/>
          <w:szCs w:val="22"/>
        </w:rPr>
        <w:t>Leistungsabfall</w:t>
      </w:r>
      <w:r w:rsidRPr="001B1E7E">
        <w:rPr>
          <w:spacing w:val="40"/>
          <w:sz w:val="22"/>
          <w:szCs w:val="22"/>
        </w:rPr>
        <w:t xml:space="preserve"> </w:t>
      </w:r>
      <w:r w:rsidRPr="001B1E7E">
        <w:rPr>
          <w:sz w:val="22"/>
          <w:szCs w:val="22"/>
        </w:rPr>
        <w:t>bei Unternehmungen, Organisationen und Staaten. Tübingen: Mohr</w:t>
      </w:r>
      <w:r w:rsidRPr="001B1E7E">
        <w:t>.</w:t>
      </w:r>
    </w:p>
    <w:p w14:paraId="43DDD125" w14:textId="77777777" w:rsidR="00FF7799" w:rsidRPr="00E73F6F" w:rsidRDefault="00FF7799" w:rsidP="00D16D31">
      <w:pPr>
        <w:pStyle w:val="berschrift1"/>
      </w:pPr>
      <w:r w:rsidRPr="00E85CE7">
        <w:rPr>
          <w:bCs w:val="0"/>
          <w:color w:val="2E74B5"/>
          <w:sz w:val="22"/>
        </w:rPr>
        <w:t>Expatriate</w:t>
      </w:r>
      <w:r w:rsidRPr="00E73F6F">
        <w:rPr>
          <w:spacing w:val="-2"/>
        </w:rPr>
        <w:t xml:space="preserve"> </w:t>
      </w:r>
      <w:r w:rsidRPr="00E73F6F">
        <w:rPr>
          <w:b w:val="0"/>
        </w:rPr>
        <w:t>→ Auslandsentsendung</w:t>
      </w:r>
    </w:p>
    <w:p w14:paraId="708BA0DF" w14:textId="77777777" w:rsidR="00F40DE8" w:rsidRPr="00FC6E20" w:rsidRDefault="00F40DE8" w:rsidP="00F40DE8">
      <w:pPr>
        <w:keepNext/>
        <w:keepLines/>
        <w:spacing w:before="240"/>
        <w:jc w:val="both"/>
        <w:outlineLvl w:val="1"/>
        <w:rPr>
          <w:b/>
          <w:color w:val="2E74B5"/>
          <w:lang w:val="en-US"/>
        </w:rPr>
      </w:pPr>
      <w:bookmarkStart w:id="6" w:name="_Toc413251423"/>
      <w:bookmarkStart w:id="7" w:name="_Toc413251489"/>
      <w:r w:rsidRPr="00FC6E20">
        <w:rPr>
          <w:b/>
          <w:color w:val="2E74B5"/>
          <w:lang w:val="en-US"/>
        </w:rPr>
        <w:t xml:space="preserve">Export </w:t>
      </w:r>
    </w:p>
    <w:p w14:paraId="37A783B9" w14:textId="77777777" w:rsidR="00F40DE8" w:rsidRPr="007F69DA" w:rsidRDefault="00F40DE8" w:rsidP="00E85CE7">
      <w:pPr>
        <w:pStyle w:val="Literatur"/>
        <w:numPr>
          <w:ilvl w:val="0"/>
          <w:numId w:val="0"/>
        </w:numPr>
        <w:spacing w:line="240" w:lineRule="auto"/>
        <w:rPr>
          <w:sz w:val="24"/>
          <w:szCs w:val="24"/>
          <w:lang w:bidi="en-US"/>
        </w:rPr>
      </w:pPr>
      <w:r w:rsidRPr="007F69DA">
        <w:rPr>
          <w:sz w:val="24"/>
          <w:szCs w:val="24"/>
          <w:lang w:bidi="en-US"/>
        </w:rPr>
        <w:t>Verkauf von Gütern (Ware und/oder Dienstleistungen) außerhalb des Lan</w:t>
      </w:r>
      <w:r w:rsidRPr="007F69DA">
        <w:rPr>
          <w:sz w:val="24"/>
          <w:szCs w:val="24"/>
          <w:lang w:bidi="en-US"/>
        </w:rPr>
        <w:softHyphen/>
        <w:t>des, in dem sie produziert wurden.</w:t>
      </w:r>
    </w:p>
    <w:p w14:paraId="30751BA9" w14:textId="77777777" w:rsidR="00F40DE8" w:rsidRPr="007F69DA" w:rsidRDefault="00F40DE8" w:rsidP="00E85CE7">
      <w:pPr>
        <w:pStyle w:val="Literatur"/>
        <w:numPr>
          <w:ilvl w:val="0"/>
          <w:numId w:val="0"/>
        </w:numPr>
        <w:spacing w:line="240" w:lineRule="auto"/>
        <w:rPr>
          <w:sz w:val="24"/>
          <w:szCs w:val="24"/>
          <w:lang w:bidi="en-US"/>
        </w:rPr>
      </w:pPr>
      <w:r w:rsidRPr="007F69DA">
        <w:rPr>
          <w:sz w:val="24"/>
          <w:szCs w:val="24"/>
          <w:lang w:bidi="en-US"/>
        </w:rPr>
        <w:t>(1) Der indirekte Export, bei dem inländische Absatzorgane sämtliche Funk</w:t>
      </w:r>
      <w:r w:rsidRPr="007F69DA">
        <w:rPr>
          <w:sz w:val="24"/>
          <w:szCs w:val="24"/>
          <w:lang w:bidi="en-US"/>
        </w:rPr>
        <w:softHyphen/>
        <w:t>tionen, Kosten und Risiken übernehmen, gilt gemeinhin als die einfachste Art des Auslandsgeschäfts. Nicht nur für auslandsunerfahrene klein- und mittelständische Unternehmen (KMU) empfiehlt es sich häufig, spezialisierte Han</w:t>
      </w:r>
      <w:r w:rsidRPr="007F69DA">
        <w:rPr>
          <w:sz w:val="24"/>
          <w:szCs w:val="24"/>
          <w:lang w:bidi="en-US"/>
        </w:rPr>
        <w:softHyphen/>
        <w:t>delshäuser bzw. Absatzmittler einzuschalten und deren Know how zu nutzen. Auch größere Un</w:t>
      </w:r>
      <w:r w:rsidRPr="007F69DA">
        <w:rPr>
          <w:sz w:val="24"/>
          <w:szCs w:val="24"/>
          <w:lang w:bidi="en-US"/>
        </w:rPr>
        <w:softHyphen/>
        <w:t>ter</w:t>
      </w:r>
      <w:r w:rsidRPr="007F69DA">
        <w:rPr>
          <w:sz w:val="24"/>
          <w:szCs w:val="24"/>
          <w:lang w:bidi="en-US"/>
        </w:rPr>
        <w:softHyphen/>
        <w:t xml:space="preserve">nehmen können von der Erfahrung dieser Intermediäre profitieren, z.B. </w:t>
      </w:r>
      <w:r w:rsidRPr="007F69DA">
        <w:rPr>
          <w:sz w:val="24"/>
          <w:szCs w:val="24"/>
          <w:lang w:bidi="en-US"/>
        </w:rPr>
        <w:lastRenderedPageBreak/>
        <w:t xml:space="preserve">dann, wenn sie in bestimmten überseeischen Märkten nur über ein beschränktes Absatzpotential verfügen bzw. dort erste Erfahrungen sammeln möchten. </w:t>
      </w:r>
    </w:p>
    <w:p w14:paraId="17B2F8DD" w14:textId="430460A6" w:rsidR="00F40DE8" w:rsidRDefault="00E85CE7" w:rsidP="00E85CE7">
      <w:pPr>
        <w:pStyle w:val="Literatur"/>
        <w:numPr>
          <w:ilvl w:val="0"/>
          <w:numId w:val="0"/>
        </w:numPr>
        <w:spacing w:line="240" w:lineRule="auto"/>
        <w:rPr>
          <w:sz w:val="24"/>
          <w:szCs w:val="24"/>
          <w:lang w:bidi="en-US"/>
        </w:rPr>
      </w:pPr>
      <w:r>
        <w:rPr>
          <w:sz w:val="24"/>
          <w:szCs w:val="24"/>
          <w:lang w:bidi="en-US"/>
        </w:rPr>
        <w:t xml:space="preserve">(2) </w:t>
      </w:r>
      <w:r w:rsidR="00F40DE8" w:rsidRPr="007F69DA">
        <w:rPr>
          <w:sz w:val="24"/>
          <w:szCs w:val="24"/>
          <w:lang w:bidi="en-US"/>
        </w:rPr>
        <w:t>Von direktem Export spricht man, wenn ein Hersteller ausländische Wie</w:t>
      </w:r>
      <w:r w:rsidR="00F40DE8" w:rsidRPr="007F69DA">
        <w:rPr>
          <w:sz w:val="24"/>
          <w:szCs w:val="24"/>
          <w:lang w:bidi="en-US"/>
        </w:rPr>
        <w:softHyphen/>
        <w:t>der</w:t>
      </w:r>
      <w:r w:rsidR="00F40DE8" w:rsidRPr="007F69DA">
        <w:rPr>
          <w:sz w:val="24"/>
          <w:szCs w:val="24"/>
          <w:lang w:bidi="en-US"/>
        </w:rPr>
        <w:softHyphen/>
        <w:t>verkäufer bzw. Verwender unmittelbar beliefert. Als Vertriebswege stehen u.a. niedergelassene Importeure, Exklusivvertreter oder lizensierte ausländische Vertragshändler zur Verfügung. Zunehmende Beachtung findet die Internatio</w:t>
      </w:r>
      <w:r w:rsidR="00F40DE8" w:rsidRPr="007F69DA">
        <w:rPr>
          <w:sz w:val="24"/>
          <w:szCs w:val="24"/>
          <w:lang w:bidi="en-US"/>
        </w:rPr>
        <w:softHyphen/>
        <w:t>nalisierung von Franchise-Systemen (z.B. Body Shop), was insb. den Transfer von Marketing-Know how ermöglicht (Franchising). Bei beratungs- und wartungsbedürftigen Erzeugnissen (z.B. hochwertige Baumaschinen) ist es ratsam, im Bestim</w:t>
      </w:r>
      <w:r w:rsidR="00F40DE8" w:rsidRPr="007F69DA">
        <w:rPr>
          <w:sz w:val="24"/>
          <w:szCs w:val="24"/>
          <w:lang w:bidi="en-US"/>
        </w:rPr>
        <w:softHyphen/>
        <w:t>mungsland eine Vertriebsorganisation aufzubauen, z.B. mit Hilfe von Han</w:t>
      </w:r>
      <w:r w:rsidR="00F40DE8" w:rsidRPr="007F69DA">
        <w:rPr>
          <w:sz w:val="24"/>
          <w:szCs w:val="24"/>
          <w:lang w:bidi="en-US"/>
        </w:rPr>
        <w:softHyphen/>
        <w:t>delsvertretern oder Reisenden. Deren Aufgabe darf sich allerdings nicht auf Verkauf und Distribution beschränken, sondern muss auch den für den Ver</w:t>
      </w:r>
      <w:r w:rsidR="00F40DE8" w:rsidRPr="007F69DA">
        <w:rPr>
          <w:sz w:val="24"/>
          <w:szCs w:val="24"/>
          <w:lang w:bidi="en-US"/>
        </w:rPr>
        <w:softHyphen/>
        <w:t>kaufserfolg häufig maßgeblichen Kundendienst einschließen (z.B. 24-Stunden-Service).</w:t>
      </w:r>
    </w:p>
    <w:p w14:paraId="4802014A" w14:textId="77777777" w:rsidR="00F40DE8" w:rsidRPr="007F69DA" w:rsidRDefault="00F40DE8" w:rsidP="00E85CE7">
      <w:pPr>
        <w:pStyle w:val="Literatur"/>
        <w:numPr>
          <w:ilvl w:val="0"/>
          <w:numId w:val="0"/>
        </w:numPr>
        <w:spacing w:line="240" w:lineRule="auto"/>
        <w:rPr>
          <w:sz w:val="24"/>
          <w:szCs w:val="24"/>
          <w:lang w:bidi="en-US"/>
        </w:rPr>
      </w:pPr>
    </w:p>
    <w:p w14:paraId="0FF846E8" w14:textId="77777777" w:rsidR="00F40DE8" w:rsidRPr="00544326" w:rsidRDefault="00F40DE8" w:rsidP="00F40DE8">
      <w:pPr>
        <w:pStyle w:val="Beschriftung"/>
        <w:spacing w:after="160"/>
      </w:pPr>
      <w:r w:rsidRPr="00544326">
        <w:t>Abb. 1: Direkter &amp; indirekter Export/Vertrieb</w:t>
      </w:r>
    </w:p>
    <w:p w14:paraId="42C4EFA6" w14:textId="77777777" w:rsidR="00F40DE8" w:rsidRPr="007F69DA" w:rsidRDefault="00F40DE8" w:rsidP="00F40DE8">
      <w:pPr>
        <w:rPr>
          <w:lang w:eastAsia="de-DE"/>
        </w:rPr>
      </w:pPr>
      <w:r w:rsidRPr="007F69DA">
        <w:rPr>
          <w:noProof/>
          <w:lang w:eastAsia="de-DE"/>
        </w:rPr>
        <w:drawing>
          <wp:inline distT="0" distB="0" distL="0" distR="0" wp14:anchorId="18382C95" wp14:editId="3E130E2C">
            <wp:extent cx="4779645" cy="3048000"/>
            <wp:effectExtent l="0" t="0" r="1905" b="0"/>
            <wp:docPr id="227336317" name="Grafik 227336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779645" cy="3048000"/>
                    </a:xfrm>
                    <a:prstGeom prst="rect">
                      <a:avLst/>
                    </a:prstGeom>
                    <a:noFill/>
                  </pic:spPr>
                </pic:pic>
              </a:graphicData>
            </a:graphic>
          </wp:inline>
        </w:drawing>
      </w:r>
    </w:p>
    <w:p w14:paraId="182A8415" w14:textId="77777777" w:rsidR="00F40DE8" w:rsidRPr="007F69DA" w:rsidRDefault="00F40DE8" w:rsidP="00F40DE8">
      <w:pPr>
        <w:pStyle w:val="Quelle"/>
        <w:spacing w:after="140"/>
        <w:rPr>
          <w:lang w:val="fr-FR"/>
        </w:rPr>
      </w:pPr>
      <w:r w:rsidRPr="007F69DA">
        <w:rPr>
          <w:lang w:val="fr-FR"/>
        </w:rPr>
        <w:t>Quelle:</w:t>
      </w:r>
      <w:r w:rsidRPr="007F69DA">
        <w:rPr>
          <w:lang w:val="fr-FR"/>
        </w:rPr>
        <w:tab/>
        <w:t>Backhaus/Voeth (2010, S. 348).</w:t>
      </w:r>
    </w:p>
    <w:p w14:paraId="3219C5C3" w14:textId="0358F352" w:rsidR="00F40DE8" w:rsidRPr="007F69DA" w:rsidRDefault="00F40DE8" w:rsidP="00F40DE8">
      <w:pPr>
        <w:pStyle w:val="Erlaeuterung"/>
        <w:spacing w:after="20"/>
        <w:rPr>
          <w:bCs w:val="0"/>
          <w:sz w:val="24"/>
          <w:szCs w:val="24"/>
          <w:lang w:bidi="en-US"/>
        </w:rPr>
      </w:pPr>
      <w:r w:rsidRPr="007F69DA">
        <w:rPr>
          <w:bCs w:val="0"/>
          <w:sz w:val="24"/>
          <w:szCs w:val="24"/>
          <w:lang w:bidi="en-US"/>
        </w:rPr>
        <w:t>(Der indirekte Export gilt in den Phasenmodellen als erster Schritt des 'go international' (</w:t>
      </w:r>
      <w:r w:rsidRPr="007F69DA">
        <w:rPr>
          <w:bCs w:val="0"/>
          <w:sz w:val="24"/>
          <w:szCs w:val="24"/>
          <w:lang w:bidi="en-US"/>
        </w:rPr>
        <w:sym w:font="Symbol" w:char="F0DE"/>
      </w:r>
      <w:r w:rsidRPr="007F69DA">
        <w:rPr>
          <w:bCs w:val="0"/>
          <w:sz w:val="24"/>
          <w:szCs w:val="24"/>
          <w:lang w:bidi="en-US"/>
        </w:rPr>
        <w:t xml:space="preserve"> Determinismus). Tatsächlich aber beginnen viele Unternehmen ihr Auslandsengagement nicht mit ei</w:t>
      </w:r>
      <w:r w:rsidRPr="007F69DA">
        <w:rPr>
          <w:bCs w:val="0"/>
          <w:sz w:val="24"/>
          <w:szCs w:val="24"/>
          <w:lang w:bidi="en-US"/>
        </w:rPr>
        <w:softHyphen/>
        <w:t xml:space="preserve">ner (indirekten) Exporttätigkeit, sondern unmittelbar mit „fortgeschritteneren“ Stufen der </w:t>
      </w:r>
      <w:r w:rsidRPr="007F69DA">
        <w:rPr>
          <w:bCs w:val="0"/>
          <w:sz w:val="24"/>
          <w:szCs w:val="24"/>
          <w:lang w:bidi="en-US"/>
        </w:rPr>
        <w:sym w:font="Symbol" w:char="F0DE"/>
      </w:r>
      <w:r w:rsidRPr="007F69DA">
        <w:rPr>
          <w:bCs w:val="0"/>
          <w:sz w:val="24"/>
          <w:szCs w:val="24"/>
          <w:lang w:bidi="en-US"/>
        </w:rPr>
        <w:t xml:space="preserve"> Inter</w:t>
      </w:r>
      <w:r w:rsidRPr="007F69DA">
        <w:rPr>
          <w:bCs w:val="0"/>
          <w:sz w:val="24"/>
          <w:szCs w:val="24"/>
          <w:lang w:bidi="en-US"/>
        </w:rPr>
        <w:softHyphen/>
        <w:t>nationalisierung. Hierzu zählen z.B. Lizenzvergabe (</w:t>
      </w:r>
      <w:r w:rsidRPr="007F69DA">
        <w:rPr>
          <w:bCs w:val="0"/>
          <w:sz w:val="24"/>
          <w:szCs w:val="24"/>
          <w:lang w:bidi="en-US"/>
        </w:rPr>
        <w:sym w:font="Symbol" w:char="F0DE"/>
      </w:r>
      <w:r w:rsidRPr="007F69DA">
        <w:rPr>
          <w:bCs w:val="0"/>
          <w:sz w:val="24"/>
          <w:szCs w:val="24"/>
          <w:lang w:bidi="en-US"/>
        </w:rPr>
        <w:t xml:space="preserve"> Lizenzstrategie) oder die Auslandsbeteiligung. Dies lässt sich u.a. lerntheoretisch erklären (Imitationslernen) wie auch mit Blick auf juristische Gegebenheiten, (z.B. tarifäre und nichttarifäre Handels</w:t>
      </w:r>
      <w:r w:rsidRPr="007F69DA">
        <w:rPr>
          <w:bCs w:val="0"/>
          <w:sz w:val="24"/>
          <w:szCs w:val="24"/>
          <w:lang w:bidi="en-US"/>
        </w:rPr>
        <w:softHyphen/>
        <w:t>hemmnisse; technische Normen; Kennzeichnungs-, Etikettierungs-, Ver</w:t>
      </w:r>
      <w:r w:rsidRPr="007F69DA">
        <w:rPr>
          <w:bCs w:val="0"/>
          <w:sz w:val="24"/>
          <w:szCs w:val="24"/>
          <w:lang w:bidi="en-US"/>
        </w:rPr>
        <w:softHyphen/>
        <w:t>packungsvorschriften). Gegen die Exportstrategie sprechen hohe Zölle, ein ungünstiger Wechselkurs der eigenen Währung sowie hohe Transportkosten (in Relation zum Warenwert).</w:t>
      </w:r>
    </w:p>
    <w:p w14:paraId="21C4A328" w14:textId="77777777" w:rsidR="00F40DE8" w:rsidRPr="007F69DA" w:rsidRDefault="00F40DE8" w:rsidP="00F40DE8">
      <w:pPr>
        <w:pStyle w:val="Erlaeuterung"/>
        <w:spacing w:after="20" w:line="240" w:lineRule="auto"/>
        <w:rPr>
          <w:bCs w:val="0"/>
          <w:sz w:val="24"/>
          <w:szCs w:val="24"/>
          <w:lang w:bidi="en-US"/>
        </w:rPr>
      </w:pPr>
    </w:p>
    <w:p w14:paraId="0FB3FCCB" w14:textId="77777777" w:rsidR="00F40DE8" w:rsidRPr="007F69DA" w:rsidRDefault="00F40DE8" w:rsidP="00E85CE7">
      <w:pPr>
        <w:pStyle w:val="Literatur"/>
        <w:numPr>
          <w:ilvl w:val="0"/>
          <w:numId w:val="0"/>
        </w:numPr>
        <w:spacing w:after="20" w:line="240" w:lineRule="auto"/>
        <w:rPr>
          <w:sz w:val="22"/>
          <w:szCs w:val="22"/>
        </w:rPr>
      </w:pPr>
      <w:r w:rsidRPr="00E85CE7">
        <w:rPr>
          <w:b/>
          <w:bCs w:val="0"/>
          <w:i/>
          <w:sz w:val="22"/>
          <w:szCs w:val="22"/>
        </w:rPr>
        <w:t>Literatur:</w:t>
      </w:r>
      <w:r w:rsidRPr="00544326">
        <w:rPr>
          <w:i/>
          <w:sz w:val="22"/>
          <w:szCs w:val="22"/>
        </w:rPr>
        <w:t xml:space="preserve"> </w:t>
      </w:r>
      <w:r w:rsidRPr="007F69DA">
        <w:rPr>
          <w:sz w:val="22"/>
          <w:szCs w:val="22"/>
        </w:rPr>
        <w:t>Backhaus, K.; Voeth, M. (2010): Internationales Marketing, 6. Aufl., Stuttgart: Schäffer-Poeschel.   Berekoven, L. (1985): Internationales Marketing, 2. Aufl., Herne: Verlag Neue Wirtschaftsbriefe.   Kutschker, M. Schmid, S. (2011): Internationales Management, 7. Aufl., München: Oldenbourg.   Moecke, H.-J. (1997): Grundlagen des internationa</w:t>
      </w:r>
      <w:r w:rsidRPr="007F69DA">
        <w:rPr>
          <w:sz w:val="22"/>
          <w:szCs w:val="22"/>
        </w:rPr>
        <w:softHyphen/>
        <w:t>len Handelsrechts, in: Macharzina, K.; Oesterle, M.-J. (Hrsg.), Handbuch Internationales Management, Wiesbaden: Gabler, S.371-395.</w:t>
      </w:r>
    </w:p>
    <w:p w14:paraId="06F5A143" w14:textId="77777777" w:rsidR="00F40DE8" w:rsidRPr="007F69DA" w:rsidRDefault="00F40DE8" w:rsidP="00E85CE7">
      <w:pPr>
        <w:pStyle w:val="Literatur"/>
        <w:numPr>
          <w:ilvl w:val="0"/>
          <w:numId w:val="0"/>
        </w:numPr>
        <w:spacing w:line="240" w:lineRule="auto"/>
        <w:rPr>
          <w:sz w:val="22"/>
          <w:szCs w:val="22"/>
        </w:rPr>
      </w:pPr>
    </w:p>
    <w:p w14:paraId="2FAD598D" w14:textId="77777777" w:rsidR="00FF7799" w:rsidRPr="00E85CE7" w:rsidRDefault="00FF7799" w:rsidP="00E85CE7">
      <w:pPr>
        <w:keepNext/>
        <w:keepLines/>
        <w:spacing w:before="240"/>
        <w:jc w:val="both"/>
        <w:outlineLvl w:val="1"/>
        <w:rPr>
          <w:b/>
          <w:color w:val="2E74B5"/>
          <w:lang w:val="en-US"/>
        </w:rPr>
      </w:pPr>
      <w:r w:rsidRPr="00E85CE7">
        <w:rPr>
          <w:b/>
          <w:color w:val="2E74B5"/>
          <w:lang w:val="en-US"/>
        </w:rPr>
        <w:lastRenderedPageBreak/>
        <w:t>Exportmarketing</w:t>
      </w:r>
      <w:bookmarkEnd w:id="6"/>
      <w:bookmarkEnd w:id="7"/>
    </w:p>
    <w:p w14:paraId="28513949" w14:textId="77777777" w:rsidR="00FF7799" w:rsidRPr="00E73F6F" w:rsidRDefault="00FF7799" w:rsidP="00F20309">
      <w:pPr>
        <w:pStyle w:val="StandardText"/>
      </w:pPr>
      <w:r w:rsidRPr="00E73F6F">
        <w:t>hauptsächlich deskriptiv orientierter V</w:t>
      </w:r>
      <w:r w:rsidR="001B1E7E">
        <w:t xml:space="preserve">orläufer des eher explikativen </w:t>
      </w:r>
      <w:r w:rsidR="001B1E7E">
        <w:sym w:font="Symbol" w:char="F0DE"/>
      </w:r>
      <w:r w:rsidRPr="00E73F6F">
        <w:t xml:space="preserve"> Internatio</w:t>
      </w:r>
      <w:r w:rsidRPr="00E73F6F">
        <w:softHyphen/>
        <w:t xml:space="preserve">nalen Marketing bzw. Interkulturellen Marketing. Gegenstand der auch Auslandsmarketing genannten Spezialisierung des Marketing sind die Besonderheiten von Auslandsmärkten und die Konsequenzen dieser Besonderheiten für den </w:t>
      </w:r>
      <w:r w:rsidR="00D42EC4">
        <w:rPr>
          <w:spacing w:val="-2"/>
        </w:rPr>
        <w:sym w:font="Symbol" w:char="F0DE"/>
      </w:r>
      <w:r w:rsidR="00D42EC4">
        <w:rPr>
          <w:spacing w:val="-2"/>
        </w:rPr>
        <w:t xml:space="preserve"> </w:t>
      </w:r>
      <w:r w:rsidRPr="00E73F6F">
        <w:t xml:space="preserve">Export. Exportmarketing war die lange Zeit von den meisten Unternehmen bevorzugte Markteintrittsstrategie (vgl. z.B. Berekoven 1978; Ringle 1977). Strategische Entscheidungen, mit denen sich das Exportmarketing getroffen befasste, betrafen die Auswahl geeigneter Länder- bzw. Produktmärkte und </w:t>
      </w:r>
      <w:r w:rsidR="00F3160E">
        <w:sym w:font="Symbol" w:char="F0DE"/>
      </w:r>
      <w:r w:rsidR="00F3160E">
        <w:t xml:space="preserve"> </w:t>
      </w:r>
      <w:r w:rsidRPr="00E73F6F">
        <w:t>Zielgruppen. Weiterhin versuchte man zu klären, welche Zeitstruktur des Eintritts in mehrere Auslandsmärkte Erfolg verspricht: sukzessiver oder simultaner Markteintritt (vgl. z.B. Tuncalp 1993; Ammann 1972)? Taktische Entscheidungen dienten der Anpassung des Marketing-Mix an die jeweiligen Anforderungen der unterschiedlichen Auslandsmärkte (vgl. z.B. Turnball 1979).</w:t>
      </w:r>
    </w:p>
    <w:p w14:paraId="4F0F6ECC" w14:textId="77777777" w:rsidR="00FF7799" w:rsidRPr="001B1E7E" w:rsidRDefault="00FF7799" w:rsidP="00F20309">
      <w:pPr>
        <w:pStyle w:val="StandardText"/>
        <w:rPr>
          <w:sz w:val="22"/>
          <w:szCs w:val="22"/>
          <w:lang w:val="en-US"/>
        </w:rPr>
      </w:pPr>
      <w:r w:rsidRPr="001B1E7E">
        <w:rPr>
          <w:b/>
          <w:i/>
          <w:sz w:val="22"/>
          <w:szCs w:val="22"/>
        </w:rPr>
        <w:t>Literatur</w:t>
      </w:r>
      <w:r w:rsidRPr="001B1E7E">
        <w:rPr>
          <w:i/>
          <w:sz w:val="22"/>
          <w:szCs w:val="22"/>
        </w:rPr>
        <w:t>:</w:t>
      </w:r>
      <w:r w:rsidRPr="001B1E7E">
        <w:rPr>
          <w:sz w:val="22"/>
          <w:szCs w:val="22"/>
        </w:rPr>
        <w:t xml:space="preserve"> Ammann, F. (1972): Entwicklung einer Exportmarketing-Konzeption. Dargestellt am Beispiel von Kunststoff-Spritzgiessmaschinen, Winterthur: Schellenberg. </w:t>
      </w:r>
      <w:r w:rsidRPr="001B1E7E">
        <w:rPr>
          <w:bCs/>
          <w:sz w:val="22"/>
          <w:szCs w:val="22"/>
          <w:lang w:eastAsia="en-US"/>
        </w:rPr>
        <w:t>Berekoven, L. (1978): Internationales Marketing, Herne: Verlag Neue Wirtschaftsbriefe.</w:t>
      </w:r>
      <w:r w:rsidRPr="001B1E7E">
        <w:rPr>
          <w:bCs/>
          <w:sz w:val="22"/>
          <w:szCs w:val="22"/>
        </w:rPr>
        <w:t xml:space="preserve"> </w:t>
      </w:r>
      <w:r w:rsidRPr="001B1E7E">
        <w:rPr>
          <w:bCs/>
          <w:sz w:val="22"/>
          <w:szCs w:val="22"/>
          <w:lang w:val="en-US" w:eastAsia="en-US"/>
        </w:rPr>
        <w:t>Ringle, G. (1977): Exportmarketing, Wiesbaden: Gabler.</w:t>
      </w:r>
      <w:r w:rsidRPr="001B1E7E">
        <w:rPr>
          <w:bCs/>
          <w:sz w:val="22"/>
          <w:szCs w:val="22"/>
          <w:lang w:val="en-US"/>
        </w:rPr>
        <w:t xml:space="preserve"> </w:t>
      </w:r>
      <w:r w:rsidRPr="001B1E7E">
        <w:rPr>
          <w:bCs/>
          <w:sz w:val="22"/>
          <w:szCs w:val="22"/>
          <w:lang w:val="en-US" w:eastAsia="en-US"/>
        </w:rPr>
        <w:t xml:space="preserve">Tuncalp, S. (1993): The Automobile Market in Saudi Arabia. Implications for Export Marketing Planning, Marketing Intelligence &amp; Planning, 11(1): 28-36. </w:t>
      </w:r>
      <w:r w:rsidRPr="001B1E7E">
        <w:rPr>
          <w:sz w:val="22"/>
          <w:szCs w:val="22"/>
          <w:lang w:val="en-US"/>
        </w:rPr>
        <w:t>Turnball, P.W. (1979): Roles of Personal Contacts in Industrial Export Marketing, Scandinavian Journal of Management, 16(5): 325-339.</w:t>
      </w:r>
    </w:p>
    <w:p w14:paraId="1E1A7AAD" w14:textId="77777777" w:rsidR="00FF7799" w:rsidRPr="00E35FFF" w:rsidRDefault="00FF7799" w:rsidP="00F20309">
      <w:pPr>
        <w:pStyle w:val="StandardText"/>
        <w:rPr>
          <w:bCs/>
          <w:lang w:val="en-US" w:eastAsia="en-US"/>
        </w:rPr>
      </w:pPr>
    </w:p>
    <w:p w14:paraId="78E10E45" w14:textId="77777777" w:rsidR="00FF7799" w:rsidRPr="00E85CE7" w:rsidRDefault="00FF7799" w:rsidP="00E85CE7">
      <w:pPr>
        <w:keepNext/>
        <w:keepLines/>
        <w:spacing w:before="240"/>
        <w:jc w:val="both"/>
        <w:outlineLvl w:val="1"/>
        <w:rPr>
          <w:b/>
          <w:color w:val="2E74B5"/>
          <w:lang w:val="en-US"/>
        </w:rPr>
      </w:pPr>
      <w:r w:rsidRPr="00E85CE7">
        <w:rPr>
          <w:b/>
          <w:color w:val="2E74B5"/>
          <w:lang w:val="en-US"/>
        </w:rPr>
        <w:t>Exportwirtschaftslehre</w:t>
      </w:r>
    </w:p>
    <w:p w14:paraId="6CED5B95" w14:textId="77777777" w:rsidR="00FF7799" w:rsidRPr="00E73F6F" w:rsidRDefault="00FF7799" w:rsidP="00F20309">
      <w:pPr>
        <w:pStyle w:val="StandardText"/>
      </w:pPr>
      <w:r w:rsidRPr="00E73F6F">
        <w:t>gab Antwort auf die Frage, was ein Unternehmen beachten muss, wenn es ausländische Märkte bearbeitet. Aufgrund der Autarkieideologie des Dritten Reiches war die deutsche Wirtschaft im Nachkriegsdeutschland großenteils im Außenhandel weitgehend unerfahren. Die Exportwirtschaftslehre sah sich deshalb aufgerufen, den damals gewaltigen Nachholbedarf an Export- und Import-Know how zu decken. Neben Länderkunde standen deshalb Themen wie Finanzierung von Exportgeschäften, Risikomanagement, Institutionen des Außenhandels, Zollabwicklung etc. im Mittelpunkt der Exportwirtschaftslehre (vgl. z.B. Henzler 1962).</w:t>
      </w:r>
    </w:p>
    <w:p w14:paraId="68DF6055" w14:textId="77777777" w:rsidR="00FF7799" w:rsidRPr="001B1E7E" w:rsidRDefault="00FF7799" w:rsidP="00F20309">
      <w:pPr>
        <w:pStyle w:val="StandardText"/>
        <w:rPr>
          <w:sz w:val="22"/>
          <w:szCs w:val="22"/>
        </w:rPr>
      </w:pPr>
      <w:r w:rsidRPr="001B1E7E">
        <w:rPr>
          <w:b/>
          <w:i/>
          <w:sz w:val="22"/>
          <w:szCs w:val="22"/>
        </w:rPr>
        <w:t>Literatur</w:t>
      </w:r>
      <w:r w:rsidRPr="001B1E7E">
        <w:rPr>
          <w:i/>
          <w:sz w:val="22"/>
          <w:szCs w:val="22"/>
        </w:rPr>
        <w:t>:</w:t>
      </w:r>
      <w:r w:rsidRPr="001B1E7E">
        <w:rPr>
          <w:sz w:val="22"/>
          <w:szCs w:val="22"/>
        </w:rPr>
        <w:t xml:space="preserve"> Henzler, R. (1962): Betriebswirtschaftslehre des Außenhandels, Wiesbaden: Gabler.</w:t>
      </w:r>
    </w:p>
    <w:p w14:paraId="5C7F8ACC" w14:textId="77777777" w:rsidR="00FF7799" w:rsidRPr="001B1E7E" w:rsidRDefault="00FF7799" w:rsidP="00F20309">
      <w:pPr>
        <w:pStyle w:val="StandardText"/>
        <w:rPr>
          <w:sz w:val="22"/>
          <w:szCs w:val="22"/>
        </w:rPr>
      </w:pPr>
    </w:p>
    <w:p w14:paraId="23FC9FDC" w14:textId="77777777" w:rsidR="00FF7799" w:rsidRPr="00E85CE7" w:rsidRDefault="00FF7799" w:rsidP="00E85CE7">
      <w:pPr>
        <w:keepNext/>
        <w:keepLines/>
        <w:spacing w:before="240"/>
        <w:jc w:val="both"/>
        <w:outlineLvl w:val="1"/>
        <w:rPr>
          <w:b/>
          <w:color w:val="2E74B5"/>
          <w:lang w:val="en-US"/>
        </w:rPr>
      </w:pPr>
      <w:r w:rsidRPr="00E85CE7">
        <w:rPr>
          <w:b/>
          <w:color w:val="2E74B5"/>
          <w:lang w:val="en-US"/>
        </w:rPr>
        <w:t>Fehlschluss, ökologischer</w:t>
      </w:r>
      <w:r w:rsidRPr="00E85CE7">
        <w:rPr>
          <w:b/>
          <w:color w:val="2E74B5"/>
          <w:lang w:val="en-US"/>
        </w:rPr>
        <w:tab/>
      </w:r>
    </w:p>
    <w:p w14:paraId="2D8D760B" w14:textId="77777777" w:rsidR="00FF7799" w:rsidRPr="00E73F6F" w:rsidRDefault="00FF7799" w:rsidP="005522A6">
      <w:pPr>
        <w:pStyle w:val="StandardText"/>
      </w:pPr>
      <w:r w:rsidRPr="00E73F6F">
        <w:t>begeht, wer Beziehungen, die auf der makroökonomischen bzw. der makrosoziologischen Ebene z.B. von Landeskulturen bzw. Unternehmenskulturen zwischen verschiedenen Variablen bestehen, auf die individuelle Ebene überträgt, d.h. auf die Beziehung zwischen einzelnen Personen. Dieser in der englischsprachigen Literatur 'ecological fallacy' genannte Fehler unterläuft häufig dann, wenn Kultur persönlichkeitspsychologisch interpretiert wird: als Modalpersönlichkeit. Beim „umgekehrten ökologischen Fehlschluss“ ('reverse ecological fallacy') überträgt man Befunde, die auf Individualebene gewonnen wurden, unzulässigerweise auf die aggregierte Ebene der (Landes-)Kultur. Als „ökogisch“ werden in diesem Zusammenhang seit W.S. Robinson Daten bezeichnet, die über geografisch abgrenzbare Regionen oder anderweitig definierte Kollektive aggregiert wurden.</w:t>
      </w:r>
    </w:p>
    <w:p w14:paraId="26F6438A" w14:textId="77777777" w:rsidR="00FF7799" w:rsidRPr="001B1E7E" w:rsidRDefault="00FF7799" w:rsidP="005522A6">
      <w:pPr>
        <w:pStyle w:val="StandardText"/>
        <w:rPr>
          <w:noProof/>
          <w:sz w:val="22"/>
          <w:szCs w:val="22"/>
          <w:lang w:val="en-US"/>
        </w:rPr>
      </w:pPr>
      <w:r w:rsidRPr="001B1E7E">
        <w:rPr>
          <w:b/>
          <w:bCs/>
          <w:i/>
          <w:noProof/>
          <w:sz w:val="22"/>
          <w:szCs w:val="22"/>
          <w:lang w:val="en-US"/>
        </w:rPr>
        <w:t>Literatur:</w:t>
      </w:r>
      <w:r w:rsidRPr="001B1E7E">
        <w:rPr>
          <w:noProof/>
          <w:sz w:val="22"/>
          <w:szCs w:val="22"/>
          <w:lang w:val="en-US"/>
        </w:rPr>
        <w:t xml:space="preserve"> Bond, M. H. (2002): Reclaiming the Individual from Hofstedes’s Ecological Analysis. A 20-Year Odyssey, Psychological B</w:t>
      </w:r>
      <w:r w:rsidR="001B1E7E">
        <w:rPr>
          <w:noProof/>
          <w:sz w:val="22"/>
          <w:szCs w:val="22"/>
          <w:lang w:val="en-US"/>
        </w:rPr>
        <w:t xml:space="preserve">ulletin, 128(1): </w:t>
      </w:r>
      <w:r w:rsidRPr="001B1E7E">
        <w:rPr>
          <w:noProof/>
          <w:sz w:val="22"/>
          <w:szCs w:val="22"/>
          <w:lang w:val="en-US"/>
        </w:rPr>
        <w:t xml:space="preserve">73-77. </w:t>
      </w:r>
      <w:r w:rsidR="001B1E7E">
        <w:rPr>
          <w:noProof/>
          <w:sz w:val="22"/>
          <w:szCs w:val="22"/>
          <w:lang w:val="en-US"/>
        </w:rPr>
        <w:t xml:space="preserve"> </w:t>
      </w:r>
      <w:r w:rsidRPr="001B1E7E">
        <w:rPr>
          <w:noProof/>
          <w:sz w:val="22"/>
          <w:szCs w:val="22"/>
          <w:lang w:val="en-US"/>
        </w:rPr>
        <w:t xml:space="preserve">Nasif, E.G.; Al-Daeaj, H.; Ebrahimi, B.; Thibodeaux, M.S. (1991): Methodological Problems in Cross-Cultural Research. An Updated Review, Management International Review, 31(1): 79-91. </w:t>
      </w:r>
      <w:r w:rsidR="001B1E7E">
        <w:rPr>
          <w:noProof/>
          <w:sz w:val="22"/>
          <w:szCs w:val="22"/>
          <w:lang w:val="en-US"/>
        </w:rPr>
        <w:t xml:space="preserve">  </w:t>
      </w:r>
      <w:r w:rsidRPr="001B1E7E">
        <w:rPr>
          <w:noProof/>
          <w:sz w:val="22"/>
          <w:szCs w:val="22"/>
          <w:lang w:val="en-US"/>
        </w:rPr>
        <w:t>Robinson, W.S. (1950): Ecological Correlations and the Behavior of Individuals, American Sociological Review, 15: 351–357.</w:t>
      </w:r>
      <w:r w:rsidR="001B1E7E">
        <w:rPr>
          <w:noProof/>
          <w:sz w:val="22"/>
          <w:szCs w:val="22"/>
          <w:lang w:val="en-US"/>
        </w:rPr>
        <w:t xml:space="preserve">  </w:t>
      </w:r>
      <w:r w:rsidRPr="001B1E7E">
        <w:rPr>
          <w:noProof/>
          <w:sz w:val="22"/>
          <w:szCs w:val="22"/>
          <w:lang w:val="en-US"/>
        </w:rPr>
        <w:t xml:space="preserve"> </w:t>
      </w:r>
      <w:r w:rsidRPr="001B1E7E">
        <w:rPr>
          <w:iCs/>
          <w:noProof/>
          <w:sz w:val="22"/>
          <w:szCs w:val="22"/>
          <w:lang w:val="en-US"/>
        </w:rPr>
        <w:t>Smith, P.B. (2004):</w:t>
      </w:r>
      <w:r w:rsidRPr="001B1E7E">
        <w:rPr>
          <w:noProof/>
          <w:sz w:val="22"/>
          <w:szCs w:val="22"/>
          <w:lang w:val="en-US"/>
        </w:rPr>
        <w:t xml:space="preserve"> Nations, Cultures and Individuals. New Perspectives and Old Dilemmas, Journal of Cross-Cultural Psychology, 35(1):6-12.</w:t>
      </w:r>
    </w:p>
    <w:p w14:paraId="5089B9CF" w14:textId="77777777" w:rsidR="00FF7799" w:rsidRPr="00E35FFF" w:rsidRDefault="00FF7799" w:rsidP="005522A6">
      <w:pPr>
        <w:pStyle w:val="StandardText"/>
        <w:rPr>
          <w:b/>
          <w:lang w:val="en-US"/>
        </w:rPr>
      </w:pPr>
    </w:p>
    <w:p w14:paraId="4EAA0846" w14:textId="77777777" w:rsidR="00FF7799" w:rsidRPr="00E73F6F" w:rsidRDefault="00FF7799" w:rsidP="00D16D31">
      <w:pPr>
        <w:pStyle w:val="berschrift1"/>
      </w:pPr>
      <w:r w:rsidRPr="00E85CE7">
        <w:rPr>
          <w:bCs w:val="0"/>
          <w:color w:val="2E74B5"/>
          <w:sz w:val="22"/>
          <w:lang w:val="en-US"/>
        </w:rPr>
        <w:t>Finanzkompensationsgeschäfte</w:t>
      </w:r>
      <w:r w:rsidRPr="00E73F6F">
        <w:rPr>
          <w:spacing w:val="-8"/>
        </w:rPr>
        <w:t xml:space="preserve"> </w:t>
      </w:r>
      <w:r w:rsidRPr="00E73F6F">
        <w:rPr>
          <w:b w:val="0"/>
        </w:rPr>
        <w:t>→</w:t>
      </w:r>
      <w:r w:rsidRPr="00E73F6F">
        <w:rPr>
          <w:b w:val="0"/>
          <w:spacing w:val="-5"/>
        </w:rPr>
        <w:t xml:space="preserve"> </w:t>
      </w:r>
      <w:r w:rsidRPr="00E73F6F">
        <w:rPr>
          <w:b w:val="0"/>
          <w:spacing w:val="-2"/>
        </w:rPr>
        <w:t>Kompensationsgeschäfte</w:t>
      </w:r>
    </w:p>
    <w:p w14:paraId="20656A42" w14:textId="77777777" w:rsidR="00F40DE8" w:rsidRDefault="00F40DE8" w:rsidP="00F40DE8">
      <w:pPr>
        <w:keepNext/>
        <w:keepLines/>
        <w:spacing w:before="240"/>
        <w:jc w:val="both"/>
        <w:outlineLvl w:val="1"/>
        <w:rPr>
          <w:szCs w:val="24"/>
        </w:rPr>
      </w:pPr>
      <w:r w:rsidRPr="007F69DA">
        <w:rPr>
          <w:b/>
          <w:color w:val="2E74B5"/>
        </w:rPr>
        <w:t xml:space="preserve">Fit, kultureller </w:t>
      </w:r>
      <w:r w:rsidRPr="007F69DA">
        <w:rPr>
          <w:szCs w:val="24"/>
        </w:rPr>
        <w:sym w:font="Symbol" w:char="F0AE"/>
      </w:r>
      <w:r w:rsidRPr="007F69DA">
        <w:rPr>
          <w:szCs w:val="24"/>
        </w:rPr>
        <w:t xml:space="preserve"> Kulturintegration</w:t>
      </w:r>
    </w:p>
    <w:p w14:paraId="6C0C499B" w14:textId="77777777" w:rsidR="00FF7799" w:rsidRPr="00E85CE7" w:rsidRDefault="00FF7799" w:rsidP="000A7608">
      <w:pPr>
        <w:pStyle w:val="berschrift1"/>
        <w:rPr>
          <w:bCs w:val="0"/>
          <w:color w:val="2E74B5"/>
          <w:sz w:val="22"/>
          <w:lang w:val="en-US"/>
        </w:rPr>
      </w:pPr>
      <w:r w:rsidRPr="00E85CE7">
        <w:rPr>
          <w:bCs w:val="0"/>
          <w:color w:val="2E74B5"/>
          <w:sz w:val="22"/>
          <w:lang w:val="en-US"/>
        </w:rPr>
        <w:t>Fluchtkapital</w:t>
      </w:r>
    </w:p>
    <w:p w14:paraId="2E70B9E5" w14:textId="77777777" w:rsidR="00FF7799" w:rsidRPr="00E73F6F" w:rsidRDefault="00FF7799" w:rsidP="00862DBA">
      <w:pPr>
        <w:spacing w:before="84"/>
        <w:jc w:val="both"/>
        <w:rPr>
          <w:sz w:val="24"/>
          <w:szCs w:val="24"/>
        </w:rPr>
      </w:pPr>
      <w:r w:rsidRPr="00E73F6F">
        <w:rPr>
          <w:rStyle w:val="StandardTextZchn1"/>
        </w:rPr>
        <w:t>Vermögenswerte, die ins Ausland transferiert wurden, um politischen Risiken (z.B. Enteignung), drohender Geldentwertung oder anderen unerwünschten Eingriffen (z.B. Besteuerung) zu entgehen</w:t>
      </w:r>
      <w:r w:rsidRPr="00E73F6F">
        <w:rPr>
          <w:sz w:val="24"/>
          <w:szCs w:val="24"/>
        </w:rPr>
        <w:t>.</w:t>
      </w:r>
    </w:p>
    <w:p w14:paraId="35983FF6" w14:textId="77777777" w:rsidR="00FF7799" w:rsidRPr="00E73F6F" w:rsidRDefault="00FF7799" w:rsidP="00E85CE7">
      <w:pPr>
        <w:pStyle w:val="StandardTextAufzhlung"/>
        <w:ind w:left="426"/>
      </w:pPr>
      <w:r w:rsidRPr="00E73F6F">
        <w:t>Hot Money = primär spekulativ orientiertes Fluchtkapital (d.h. vagabundierendes Kapital, das kurzfristige höherrentierliche Anlagemöglichkeiten sucht)</w:t>
      </w:r>
    </w:p>
    <w:p w14:paraId="2CDA9BEE" w14:textId="77777777" w:rsidR="00FF7799" w:rsidRPr="00E73F6F" w:rsidRDefault="00FF7799" w:rsidP="00E85CE7">
      <w:pPr>
        <w:pStyle w:val="StandardTextAufzhlung"/>
        <w:ind w:left="426"/>
      </w:pPr>
      <w:r w:rsidRPr="00E73F6F">
        <w:t>Traditionelles Fluchtkapital = regulär versteuerte Einkünfte, die ins Ausland transferiert werden</w:t>
      </w:r>
    </w:p>
    <w:p w14:paraId="599CD1F3" w14:textId="77777777" w:rsidR="00FF7799" w:rsidRPr="00E73F6F" w:rsidRDefault="00FF7799" w:rsidP="00E85CE7">
      <w:pPr>
        <w:pStyle w:val="StandardTextAufzhlung"/>
        <w:ind w:left="426"/>
      </w:pPr>
      <w:r w:rsidRPr="00E73F6F">
        <w:t xml:space="preserve">Illegales Fluchtkapital = Einkünfte, deren kriminelle Herkunft (z.B. </w:t>
      </w:r>
      <w:r w:rsidR="001E3F06">
        <w:sym w:font="Symbol" w:char="F0DE"/>
      </w:r>
      <w:r w:rsidR="001E3F06">
        <w:t xml:space="preserve"> </w:t>
      </w:r>
      <w:r w:rsidRPr="00E73F6F">
        <w:t>Korruption, Waffen- oder Drogenhandel) verschleiert werden soll.</w:t>
      </w:r>
    </w:p>
    <w:p w14:paraId="702F44F8" w14:textId="77777777" w:rsidR="00FF7799" w:rsidRPr="001B1E7E" w:rsidRDefault="00FF7799" w:rsidP="005522A6">
      <w:pPr>
        <w:pStyle w:val="StandardText"/>
        <w:rPr>
          <w:sz w:val="22"/>
          <w:szCs w:val="22"/>
        </w:rPr>
      </w:pPr>
      <w:r w:rsidRPr="001B1E7E">
        <w:rPr>
          <w:b/>
          <w:i/>
          <w:sz w:val="22"/>
          <w:szCs w:val="22"/>
        </w:rPr>
        <w:t>Literatur:</w:t>
      </w:r>
      <w:r w:rsidRPr="001B1E7E">
        <w:rPr>
          <w:b/>
          <w:spacing w:val="-4"/>
          <w:sz w:val="22"/>
          <w:szCs w:val="22"/>
        </w:rPr>
        <w:t xml:space="preserve"> </w:t>
      </w:r>
      <w:r w:rsidRPr="001B1E7E">
        <w:rPr>
          <w:sz w:val="22"/>
          <w:szCs w:val="22"/>
        </w:rPr>
        <w:t>Schneider,</w:t>
      </w:r>
      <w:r w:rsidRPr="001B1E7E">
        <w:rPr>
          <w:spacing w:val="-4"/>
          <w:sz w:val="22"/>
          <w:szCs w:val="22"/>
        </w:rPr>
        <w:t xml:space="preserve"> </w:t>
      </w:r>
      <w:r w:rsidRPr="001B1E7E">
        <w:rPr>
          <w:sz w:val="22"/>
          <w:szCs w:val="22"/>
        </w:rPr>
        <w:t>F.;</w:t>
      </w:r>
      <w:r w:rsidRPr="001B1E7E">
        <w:rPr>
          <w:spacing w:val="-4"/>
          <w:sz w:val="22"/>
          <w:szCs w:val="22"/>
        </w:rPr>
        <w:t xml:space="preserve"> </w:t>
      </w:r>
      <w:r w:rsidRPr="001B1E7E">
        <w:rPr>
          <w:sz w:val="22"/>
          <w:szCs w:val="22"/>
        </w:rPr>
        <w:t>Dreer,</w:t>
      </w:r>
      <w:r w:rsidRPr="001B1E7E">
        <w:rPr>
          <w:spacing w:val="-4"/>
          <w:sz w:val="22"/>
          <w:szCs w:val="22"/>
        </w:rPr>
        <w:t xml:space="preserve"> </w:t>
      </w:r>
      <w:r w:rsidRPr="001B1E7E">
        <w:rPr>
          <w:sz w:val="22"/>
          <w:szCs w:val="22"/>
        </w:rPr>
        <w:t>E.;</w:t>
      </w:r>
      <w:r w:rsidRPr="001B1E7E">
        <w:rPr>
          <w:spacing w:val="-4"/>
          <w:sz w:val="22"/>
          <w:szCs w:val="22"/>
        </w:rPr>
        <w:t xml:space="preserve"> </w:t>
      </w:r>
      <w:r w:rsidRPr="001B1E7E">
        <w:rPr>
          <w:sz w:val="22"/>
          <w:szCs w:val="22"/>
        </w:rPr>
        <w:t>Riegler,</w:t>
      </w:r>
      <w:r w:rsidRPr="001B1E7E">
        <w:rPr>
          <w:spacing w:val="-1"/>
          <w:sz w:val="22"/>
          <w:szCs w:val="22"/>
        </w:rPr>
        <w:t xml:space="preserve"> </w:t>
      </w:r>
      <w:r w:rsidRPr="001B1E7E">
        <w:rPr>
          <w:sz w:val="22"/>
          <w:szCs w:val="22"/>
        </w:rPr>
        <w:t>W.</w:t>
      </w:r>
      <w:r w:rsidRPr="001B1E7E">
        <w:rPr>
          <w:spacing w:val="-4"/>
          <w:sz w:val="22"/>
          <w:szCs w:val="22"/>
        </w:rPr>
        <w:t xml:space="preserve"> </w:t>
      </w:r>
      <w:r w:rsidRPr="001B1E7E">
        <w:rPr>
          <w:sz w:val="22"/>
          <w:szCs w:val="22"/>
        </w:rPr>
        <w:t>(2006): Geldwäsche.</w:t>
      </w:r>
      <w:r w:rsidRPr="001B1E7E">
        <w:rPr>
          <w:spacing w:val="-4"/>
          <w:sz w:val="22"/>
          <w:szCs w:val="22"/>
        </w:rPr>
        <w:t xml:space="preserve"> </w:t>
      </w:r>
      <w:r w:rsidRPr="001B1E7E">
        <w:rPr>
          <w:sz w:val="22"/>
          <w:szCs w:val="22"/>
        </w:rPr>
        <w:t>Formen,</w:t>
      </w:r>
      <w:r w:rsidRPr="001B1E7E">
        <w:rPr>
          <w:spacing w:val="-4"/>
          <w:sz w:val="22"/>
          <w:szCs w:val="22"/>
        </w:rPr>
        <w:t xml:space="preserve"> </w:t>
      </w:r>
      <w:r w:rsidRPr="001B1E7E">
        <w:rPr>
          <w:sz w:val="22"/>
          <w:szCs w:val="22"/>
        </w:rPr>
        <w:t>Akteure,</w:t>
      </w:r>
      <w:r w:rsidRPr="001B1E7E">
        <w:rPr>
          <w:spacing w:val="40"/>
          <w:sz w:val="22"/>
          <w:szCs w:val="22"/>
        </w:rPr>
        <w:t xml:space="preserve"> </w:t>
      </w:r>
      <w:r w:rsidRPr="001B1E7E">
        <w:rPr>
          <w:sz w:val="22"/>
          <w:szCs w:val="22"/>
        </w:rPr>
        <w:t>Größenordnung. Warum die Politik machtlos ist, Wiesbaden: Gabler.</w:t>
      </w:r>
    </w:p>
    <w:p w14:paraId="6075DB4C" w14:textId="77777777" w:rsidR="00FF7799" w:rsidRPr="00E73F6F" w:rsidRDefault="00FF7799" w:rsidP="005522A6">
      <w:pPr>
        <w:pStyle w:val="StandardText"/>
      </w:pPr>
    </w:p>
    <w:p w14:paraId="246AE088" w14:textId="2E406D76" w:rsidR="00FF7799" w:rsidRPr="00F173A4" w:rsidRDefault="00FF7799" w:rsidP="000A7608">
      <w:pPr>
        <w:pStyle w:val="berschrift1"/>
        <w:rPr>
          <w:bCs w:val="0"/>
          <w:color w:val="2E74B5"/>
          <w:sz w:val="22"/>
          <w:lang w:val="en-US"/>
        </w:rPr>
      </w:pPr>
      <w:r w:rsidRPr="00F173A4">
        <w:rPr>
          <w:bCs w:val="0"/>
          <w:color w:val="2E74B5"/>
          <w:sz w:val="22"/>
          <w:lang w:val="en-US"/>
        </w:rPr>
        <w:t>Foreign Branding</w:t>
      </w:r>
      <w:r w:rsidR="009278E0" w:rsidRPr="00F173A4">
        <w:rPr>
          <w:bCs w:val="0"/>
          <w:color w:val="2E74B5"/>
          <w:sz w:val="22"/>
          <w:lang w:val="en-US"/>
        </w:rPr>
        <w:t xml:space="preserve"> </w:t>
      </w:r>
    </w:p>
    <w:p w14:paraId="333486CA" w14:textId="77777777" w:rsidR="00FF7799" w:rsidRPr="00E73F6F" w:rsidRDefault="00FF7799" w:rsidP="00391CB8">
      <w:pPr>
        <w:pStyle w:val="StandardText"/>
      </w:pPr>
      <w:r w:rsidRPr="00E73F6F">
        <w:t>Markenstrategie,</w:t>
      </w:r>
      <w:r w:rsidRPr="00E73F6F">
        <w:rPr>
          <w:spacing w:val="20"/>
        </w:rPr>
        <w:t xml:space="preserve"> </w:t>
      </w:r>
      <w:r w:rsidRPr="00E73F6F">
        <w:t>welche</w:t>
      </w:r>
      <w:r w:rsidRPr="00E73F6F">
        <w:rPr>
          <w:spacing w:val="19"/>
        </w:rPr>
        <w:t xml:space="preserve"> </w:t>
      </w:r>
      <w:r w:rsidRPr="00E73F6F">
        <w:t>es</w:t>
      </w:r>
      <w:r w:rsidRPr="00E73F6F">
        <w:rPr>
          <w:spacing w:val="20"/>
        </w:rPr>
        <w:t xml:space="preserve"> </w:t>
      </w:r>
      <w:r w:rsidRPr="00E73F6F">
        <w:t>Anbietern</w:t>
      </w:r>
      <w:r w:rsidRPr="00E73F6F">
        <w:rPr>
          <w:spacing w:val="20"/>
        </w:rPr>
        <w:t xml:space="preserve"> </w:t>
      </w:r>
      <w:r w:rsidRPr="00E73F6F">
        <w:t>ermöglicht,</w:t>
      </w:r>
      <w:r w:rsidRPr="00E73F6F">
        <w:rPr>
          <w:spacing w:val="20"/>
        </w:rPr>
        <w:t xml:space="preserve"> </w:t>
      </w:r>
      <w:r w:rsidRPr="00E73F6F">
        <w:t>sich</w:t>
      </w:r>
      <w:r w:rsidRPr="00E73F6F">
        <w:rPr>
          <w:spacing w:val="22"/>
        </w:rPr>
        <w:t xml:space="preserve"> </w:t>
      </w:r>
      <w:r w:rsidRPr="00E73F6F">
        <w:t>eine</w:t>
      </w:r>
      <w:r w:rsidRPr="00E73F6F">
        <w:rPr>
          <w:spacing w:val="19"/>
        </w:rPr>
        <w:t xml:space="preserve"> </w:t>
      </w:r>
      <w:r w:rsidRPr="00E73F6F">
        <w:t>Produktherkunft</w:t>
      </w:r>
      <w:r w:rsidRPr="00E73F6F">
        <w:rPr>
          <w:spacing w:val="21"/>
        </w:rPr>
        <w:t xml:space="preserve"> </w:t>
      </w:r>
      <w:r w:rsidRPr="00E73F6F">
        <w:rPr>
          <w:spacing w:val="-5"/>
        </w:rPr>
        <w:t>zu</w:t>
      </w:r>
      <w:r w:rsidR="001B1E7E">
        <w:t xml:space="preserve"> </w:t>
      </w:r>
      <w:r w:rsidRPr="00E73F6F">
        <w:t>„borgen“, die mehr Markterfolg verspricht als der tatsächliche Produktionsstandort. Es gibt zahlreiche Beispiele dafür, dass Unternehmen aus diesem Grund Markennamen kreieren, die …</w:t>
      </w:r>
    </w:p>
    <w:p w14:paraId="0123D4DE" w14:textId="77777777" w:rsidR="00FF7799" w:rsidRPr="00E73F6F" w:rsidRDefault="00FF7799" w:rsidP="00F173A4">
      <w:pPr>
        <w:pStyle w:val="StandardTextAufzhlung"/>
        <w:ind w:left="426"/>
      </w:pPr>
      <w:r w:rsidRPr="00E73F6F">
        <w:t>französisch</w:t>
      </w:r>
      <w:r w:rsidRPr="00E73F6F">
        <w:rPr>
          <w:spacing w:val="-2"/>
        </w:rPr>
        <w:t xml:space="preserve"> </w:t>
      </w:r>
      <w:r w:rsidRPr="00E73F6F">
        <w:t>(z.B.</w:t>
      </w:r>
      <w:r w:rsidRPr="00E73F6F">
        <w:rPr>
          <w:spacing w:val="-2"/>
        </w:rPr>
        <w:t xml:space="preserve"> </w:t>
      </w:r>
      <w:r w:rsidRPr="00E73F6F">
        <w:t>für</w:t>
      </w:r>
      <w:r w:rsidRPr="00E73F6F">
        <w:rPr>
          <w:spacing w:val="-2"/>
        </w:rPr>
        <w:t xml:space="preserve"> </w:t>
      </w:r>
      <w:r w:rsidRPr="00E73F6F">
        <w:t>Kleidung,</w:t>
      </w:r>
      <w:r w:rsidRPr="00E73F6F">
        <w:rPr>
          <w:spacing w:val="-2"/>
        </w:rPr>
        <w:t xml:space="preserve"> </w:t>
      </w:r>
      <w:r w:rsidRPr="00E73F6F">
        <w:t>Lebensmittel)</w:t>
      </w:r>
      <w:r w:rsidRPr="00E73F6F">
        <w:rPr>
          <w:spacing w:val="-2"/>
        </w:rPr>
        <w:t xml:space="preserve"> </w:t>
      </w:r>
      <w:r w:rsidRPr="00E73F6F">
        <w:rPr>
          <w:spacing w:val="-4"/>
        </w:rPr>
        <w:t>oder</w:t>
      </w:r>
    </w:p>
    <w:p w14:paraId="56AA0830" w14:textId="77777777" w:rsidR="00FF7799" w:rsidRPr="00E73F6F" w:rsidRDefault="00FF7799" w:rsidP="00F173A4">
      <w:pPr>
        <w:pStyle w:val="StandardTextAufzhlung"/>
        <w:ind w:left="426"/>
      </w:pPr>
      <w:r w:rsidRPr="00E73F6F">
        <w:t>italienisch</w:t>
      </w:r>
      <w:r w:rsidRPr="00E73F6F">
        <w:rPr>
          <w:spacing w:val="-2"/>
        </w:rPr>
        <w:t xml:space="preserve"> </w:t>
      </w:r>
      <w:r w:rsidRPr="00E73F6F">
        <w:t>(z.B.</w:t>
      </w:r>
      <w:r w:rsidRPr="00E73F6F">
        <w:rPr>
          <w:spacing w:val="-2"/>
        </w:rPr>
        <w:t xml:space="preserve"> </w:t>
      </w:r>
      <w:r w:rsidRPr="00E73F6F">
        <w:t>für</w:t>
      </w:r>
      <w:r w:rsidRPr="00E73F6F">
        <w:rPr>
          <w:spacing w:val="-4"/>
        </w:rPr>
        <w:t xml:space="preserve"> </w:t>
      </w:r>
      <w:r w:rsidRPr="00E73F6F">
        <w:t>Schuhe,</w:t>
      </w:r>
      <w:r w:rsidRPr="00E73F6F">
        <w:rPr>
          <w:spacing w:val="-2"/>
        </w:rPr>
        <w:t xml:space="preserve"> </w:t>
      </w:r>
      <w:r w:rsidRPr="00E73F6F">
        <w:t>Möbel)</w:t>
      </w:r>
      <w:r w:rsidRPr="00E73F6F">
        <w:rPr>
          <w:spacing w:val="-2"/>
        </w:rPr>
        <w:t xml:space="preserve"> </w:t>
      </w:r>
      <w:r w:rsidRPr="00E73F6F">
        <w:rPr>
          <w:spacing w:val="-4"/>
        </w:rPr>
        <w:t>oder</w:t>
      </w:r>
    </w:p>
    <w:p w14:paraId="5408F47A" w14:textId="77777777" w:rsidR="00FF7799" w:rsidRPr="00E73F6F" w:rsidRDefault="00FF7799" w:rsidP="00F173A4">
      <w:pPr>
        <w:pStyle w:val="StandardTextAufzhlung"/>
        <w:ind w:left="426"/>
      </w:pPr>
      <w:r w:rsidRPr="00E73F6F">
        <w:t>deutsch</w:t>
      </w:r>
      <w:r w:rsidRPr="00E73F6F">
        <w:rPr>
          <w:spacing w:val="1"/>
        </w:rPr>
        <w:t xml:space="preserve"> </w:t>
      </w:r>
      <w:r w:rsidRPr="00E73F6F">
        <w:t>(z.B.</w:t>
      </w:r>
      <w:r w:rsidRPr="00E73F6F">
        <w:rPr>
          <w:spacing w:val="-2"/>
        </w:rPr>
        <w:t xml:space="preserve"> </w:t>
      </w:r>
      <w:r w:rsidRPr="00E73F6F">
        <w:t>für</w:t>
      </w:r>
      <w:r w:rsidRPr="00E73F6F">
        <w:rPr>
          <w:spacing w:val="-2"/>
        </w:rPr>
        <w:t xml:space="preserve"> </w:t>
      </w:r>
      <w:r w:rsidRPr="00E73F6F">
        <w:t>technische</w:t>
      </w:r>
      <w:r w:rsidRPr="00E73F6F">
        <w:rPr>
          <w:spacing w:val="-1"/>
        </w:rPr>
        <w:t xml:space="preserve"> </w:t>
      </w:r>
      <w:r w:rsidRPr="00E73F6F">
        <w:rPr>
          <w:spacing w:val="-2"/>
        </w:rPr>
        <w:t>Produkte)</w:t>
      </w:r>
    </w:p>
    <w:p w14:paraId="7697C5DB" w14:textId="6DE7DD94" w:rsidR="00FF7799" w:rsidRPr="001B1E7E" w:rsidRDefault="00FF7799" w:rsidP="00391CB8">
      <w:pPr>
        <w:pStyle w:val="StandardText"/>
      </w:pPr>
      <w:r w:rsidRPr="001B1E7E">
        <w:t>klingen, obwohl der Unternehmenssitz in einem ganz anderen Land liegt. Mutmaßlich deshalb</w:t>
      </w:r>
      <w:r w:rsidRPr="001B1E7E">
        <w:rPr>
          <w:spacing w:val="-1"/>
        </w:rPr>
        <w:t xml:space="preserve"> </w:t>
      </w:r>
      <w:r w:rsidRPr="001B1E7E">
        <w:t>gaben Beecham &amp;</w:t>
      </w:r>
      <w:r w:rsidRPr="001B1E7E">
        <w:rPr>
          <w:spacing w:val="-1"/>
        </w:rPr>
        <w:t xml:space="preserve"> </w:t>
      </w:r>
      <w:r w:rsidRPr="001B1E7E">
        <w:t>Metcalfe, als sie 1986</w:t>
      </w:r>
      <w:r w:rsidRPr="001B1E7E">
        <w:rPr>
          <w:spacing w:val="-1"/>
        </w:rPr>
        <w:t xml:space="preserve"> </w:t>
      </w:r>
      <w:r w:rsidRPr="001B1E7E">
        <w:t>in London ein Fastfood-Restaurant</w:t>
      </w:r>
      <w:r w:rsidRPr="001B1E7E">
        <w:rPr>
          <w:spacing w:val="76"/>
        </w:rPr>
        <w:t xml:space="preserve"> </w:t>
      </w:r>
      <w:r w:rsidRPr="001B1E7E">
        <w:t>gründeten,</w:t>
      </w:r>
      <w:r w:rsidRPr="001B1E7E">
        <w:rPr>
          <w:spacing w:val="74"/>
        </w:rPr>
        <w:t xml:space="preserve"> </w:t>
      </w:r>
      <w:r w:rsidRPr="001B1E7E">
        <w:t>diesem</w:t>
      </w:r>
      <w:r w:rsidRPr="001B1E7E">
        <w:rPr>
          <w:spacing w:val="75"/>
        </w:rPr>
        <w:t xml:space="preserve"> </w:t>
      </w:r>
      <w:r w:rsidRPr="001B1E7E">
        <w:t>den</w:t>
      </w:r>
      <w:r w:rsidRPr="001B1E7E">
        <w:rPr>
          <w:spacing w:val="77"/>
        </w:rPr>
        <w:t xml:space="preserve"> </w:t>
      </w:r>
      <w:r w:rsidRPr="001B1E7E">
        <w:t>Namen</w:t>
      </w:r>
      <w:r w:rsidRPr="001B1E7E">
        <w:rPr>
          <w:spacing w:val="79"/>
        </w:rPr>
        <w:t xml:space="preserve"> </w:t>
      </w:r>
      <w:r w:rsidRPr="001B1E7E">
        <w:t>Pret</w:t>
      </w:r>
      <w:r w:rsidRPr="001B1E7E">
        <w:rPr>
          <w:spacing w:val="76"/>
        </w:rPr>
        <w:t xml:space="preserve"> </w:t>
      </w:r>
      <w:r w:rsidRPr="001B1E7E">
        <w:t>a</w:t>
      </w:r>
      <w:r w:rsidRPr="001B1E7E">
        <w:rPr>
          <w:spacing w:val="77"/>
        </w:rPr>
        <w:t xml:space="preserve"> </w:t>
      </w:r>
      <w:r w:rsidRPr="001B1E7E">
        <w:t>Manger.</w:t>
      </w:r>
      <w:r w:rsidRPr="001B1E7E">
        <w:rPr>
          <w:spacing w:val="77"/>
        </w:rPr>
        <w:t xml:space="preserve"> </w:t>
      </w:r>
      <w:r w:rsidRPr="001B1E7E">
        <w:rPr>
          <w:spacing w:val="-4"/>
        </w:rPr>
        <w:t>Denn</w:t>
      </w:r>
      <w:r w:rsidRPr="001B1E7E">
        <w:t xml:space="preserve"> „Frankreich“</w:t>
      </w:r>
      <w:r w:rsidRPr="001B1E7E">
        <w:rPr>
          <w:spacing w:val="-10"/>
        </w:rPr>
        <w:t xml:space="preserve"> </w:t>
      </w:r>
      <w:r w:rsidRPr="001B1E7E">
        <w:t>und</w:t>
      </w:r>
      <w:r w:rsidRPr="001B1E7E">
        <w:rPr>
          <w:spacing w:val="-8"/>
        </w:rPr>
        <w:t xml:space="preserve"> </w:t>
      </w:r>
      <w:r w:rsidRPr="001B1E7E">
        <w:t>„gutes</w:t>
      </w:r>
      <w:r w:rsidRPr="001B1E7E">
        <w:rPr>
          <w:spacing w:val="-10"/>
        </w:rPr>
        <w:t xml:space="preserve"> </w:t>
      </w:r>
      <w:r w:rsidRPr="001B1E7E">
        <w:t>Essen“</w:t>
      </w:r>
      <w:r w:rsidRPr="001B1E7E">
        <w:rPr>
          <w:spacing w:val="-10"/>
        </w:rPr>
        <w:t xml:space="preserve"> </w:t>
      </w:r>
      <w:r w:rsidRPr="001B1E7E">
        <w:t>sind</w:t>
      </w:r>
      <w:r w:rsidRPr="001B1E7E">
        <w:rPr>
          <w:spacing w:val="-8"/>
        </w:rPr>
        <w:t xml:space="preserve"> </w:t>
      </w:r>
      <w:r w:rsidRPr="001B1E7E">
        <w:t>eine</w:t>
      </w:r>
      <w:r w:rsidRPr="001B1E7E">
        <w:rPr>
          <w:spacing w:val="-10"/>
        </w:rPr>
        <w:t xml:space="preserve"> </w:t>
      </w:r>
      <w:r w:rsidRPr="001B1E7E">
        <w:t>feste</w:t>
      </w:r>
      <w:r w:rsidRPr="001B1E7E">
        <w:rPr>
          <w:spacing w:val="-10"/>
        </w:rPr>
        <w:t xml:space="preserve"> positive </w:t>
      </w:r>
      <w:r w:rsidRPr="001B1E7E">
        <w:t>Assoziation.</w:t>
      </w:r>
      <w:r w:rsidRPr="001B1E7E">
        <w:rPr>
          <w:spacing w:val="-8"/>
        </w:rPr>
        <w:t xml:space="preserve"> </w:t>
      </w:r>
      <w:r w:rsidRPr="001B1E7E">
        <w:t>Esprit,</w:t>
      </w:r>
      <w:r w:rsidRPr="001B1E7E">
        <w:rPr>
          <w:spacing w:val="-11"/>
        </w:rPr>
        <w:t xml:space="preserve"> </w:t>
      </w:r>
      <w:r w:rsidRPr="001B1E7E">
        <w:t>eine</w:t>
      </w:r>
      <w:r w:rsidRPr="001B1E7E">
        <w:rPr>
          <w:spacing w:val="-9"/>
        </w:rPr>
        <w:t xml:space="preserve"> </w:t>
      </w:r>
      <w:r w:rsidRPr="001B1E7E">
        <w:t>lange</w:t>
      </w:r>
      <w:r w:rsidRPr="001B1E7E">
        <w:rPr>
          <w:spacing w:val="-10"/>
        </w:rPr>
        <w:t xml:space="preserve"> </w:t>
      </w:r>
      <w:r w:rsidRPr="001B1E7E">
        <w:t>Zeit äußerst</w:t>
      </w:r>
      <w:r w:rsidRPr="001B1E7E">
        <w:rPr>
          <w:spacing w:val="-12"/>
        </w:rPr>
        <w:t xml:space="preserve"> </w:t>
      </w:r>
      <w:r w:rsidRPr="001B1E7E">
        <w:t>erfolgreiche</w:t>
      </w:r>
      <w:r w:rsidRPr="001B1E7E">
        <w:rPr>
          <w:spacing w:val="-11"/>
        </w:rPr>
        <w:t xml:space="preserve"> </w:t>
      </w:r>
      <w:r w:rsidRPr="001B1E7E">
        <w:t>Modemarke</w:t>
      </w:r>
      <w:r w:rsidRPr="001B1E7E">
        <w:rPr>
          <w:spacing w:val="-11"/>
        </w:rPr>
        <w:t xml:space="preserve"> </w:t>
      </w:r>
      <w:r w:rsidRPr="001B1E7E">
        <w:t>auf</w:t>
      </w:r>
      <w:r w:rsidRPr="001B1E7E">
        <w:rPr>
          <w:spacing w:val="-11"/>
        </w:rPr>
        <w:t xml:space="preserve"> </w:t>
      </w:r>
      <w:r w:rsidRPr="001B1E7E">
        <w:t>dem</w:t>
      </w:r>
      <w:r w:rsidRPr="001B1E7E">
        <w:rPr>
          <w:spacing w:val="-12"/>
        </w:rPr>
        <w:t xml:space="preserve"> </w:t>
      </w:r>
      <w:r w:rsidRPr="001B1E7E">
        <w:t>europäischen</w:t>
      </w:r>
      <w:r w:rsidRPr="001B1E7E">
        <w:rPr>
          <w:spacing w:val="-11"/>
        </w:rPr>
        <w:t xml:space="preserve"> </w:t>
      </w:r>
      <w:r w:rsidRPr="001B1E7E">
        <w:t>Markt,</w:t>
      </w:r>
      <w:r w:rsidRPr="001B1E7E">
        <w:rPr>
          <w:spacing w:val="-11"/>
        </w:rPr>
        <w:t xml:space="preserve"> </w:t>
      </w:r>
      <w:r w:rsidRPr="001B1E7E">
        <w:t>erblickte</w:t>
      </w:r>
      <w:r w:rsidRPr="001B1E7E">
        <w:rPr>
          <w:spacing w:val="-11"/>
        </w:rPr>
        <w:t xml:space="preserve"> </w:t>
      </w:r>
      <w:r w:rsidRPr="001B1E7E">
        <w:t>1968</w:t>
      </w:r>
      <w:r w:rsidRPr="001B1E7E">
        <w:rPr>
          <w:spacing w:val="-12"/>
        </w:rPr>
        <w:t xml:space="preserve"> </w:t>
      </w:r>
      <w:r w:rsidRPr="001B1E7E">
        <w:t>nicht etwa unter dem Eifelturm das Licht der Welt, sondern in Kalifornien. Heute ist Hong Kong der Unternehmenssitz. Bugatti-Stiefel werden in Garching bei München gefertigt und Bruno Banani-Unterwäsche in Chemnitz.</w:t>
      </w:r>
    </w:p>
    <w:p w14:paraId="378E6516" w14:textId="77777777" w:rsidR="00FF7799" w:rsidRPr="001B1E7E" w:rsidRDefault="00FF7799" w:rsidP="00391CB8">
      <w:pPr>
        <w:pStyle w:val="StandardText"/>
      </w:pPr>
      <w:r w:rsidRPr="001B1E7E">
        <w:t>Neben Reputationsgewinn verschafft diese Markenstrategie Unabhängigkeit von den relativ restriktiven Bestimmungen, welche bei der klassischen</w:t>
      </w:r>
      <w:r w:rsidRPr="001B1E7E">
        <w:rPr>
          <w:spacing w:val="-12"/>
        </w:rPr>
        <w:t xml:space="preserve"> </w:t>
      </w:r>
      <w:r w:rsidRPr="001B1E7E">
        <w:t>Herkunftsangabe</w:t>
      </w:r>
      <w:r w:rsidRPr="001B1E7E">
        <w:rPr>
          <w:spacing w:val="-11"/>
        </w:rPr>
        <w:t xml:space="preserve"> </w:t>
      </w:r>
      <w:r w:rsidRPr="001B1E7E">
        <w:t>(z.B.</w:t>
      </w:r>
      <w:r w:rsidRPr="001B1E7E">
        <w:rPr>
          <w:spacing w:val="-11"/>
        </w:rPr>
        <w:t xml:space="preserve"> </w:t>
      </w:r>
      <w:r w:rsidRPr="001B1E7E">
        <w:t>„Made</w:t>
      </w:r>
      <w:r w:rsidRPr="001B1E7E">
        <w:rPr>
          <w:spacing w:val="-11"/>
        </w:rPr>
        <w:t xml:space="preserve"> </w:t>
      </w:r>
      <w:r w:rsidRPr="001B1E7E">
        <w:t>in</w:t>
      </w:r>
      <w:r w:rsidRPr="001B1E7E">
        <w:rPr>
          <w:spacing w:val="-12"/>
        </w:rPr>
        <w:t xml:space="preserve"> </w:t>
      </w:r>
      <w:r w:rsidRPr="001B1E7E">
        <w:t>…“)</w:t>
      </w:r>
      <w:r w:rsidRPr="001B1E7E">
        <w:rPr>
          <w:spacing w:val="-11"/>
        </w:rPr>
        <w:t xml:space="preserve"> </w:t>
      </w:r>
      <w:r w:rsidRPr="001B1E7E">
        <w:t>zu</w:t>
      </w:r>
      <w:r w:rsidRPr="001B1E7E">
        <w:rPr>
          <w:spacing w:val="-11"/>
        </w:rPr>
        <w:t xml:space="preserve"> </w:t>
      </w:r>
      <w:r w:rsidRPr="001B1E7E">
        <w:t>beachten</w:t>
      </w:r>
      <w:r w:rsidRPr="001B1E7E">
        <w:rPr>
          <w:spacing w:val="-11"/>
        </w:rPr>
        <w:t xml:space="preserve"> </w:t>
      </w:r>
      <w:r w:rsidRPr="001B1E7E">
        <w:t>sind.</w:t>
      </w:r>
      <w:r w:rsidRPr="001B1E7E">
        <w:rPr>
          <w:spacing w:val="-12"/>
        </w:rPr>
        <w:t xml:space="preserve"> </w:t>
      </w:r>
      <w:r w:rsidRPr="001B1E7E">
        <w:t>Handelt</w:t>
      </w:r>
      <w:r w:rsidRPr="001B1E7E">
        <w:rPr>
          <w:spacing w:val="-11"/>
        </w:rPr>
        <w:t xml:space="preserve"> </w:t>
      </w:r>
      <w:r w:rsidRPr="001B1E7E">
        <w:t>es</w:t>
      </w:r>
      <w:r w:rsidRPr="001B1E7E">
        <w:rPr>
          <w:spacing w:val="-11"/>
        </w:rPr>
        <w:t xml:space="preserve"> </w:t>
      </w:r>
      <w:r w:rsidRPr="001B1E7E">
        <w:t>sich um</w:t>
      </w:r>
      <w:r w:rsidRPr="001B1E7E">
        <w:rPr>
          <w:spacing w:val="-12"/>
        </w:rPr>
        <w:t xml:space="preserve"> </w:t>
      </w:r>
      <w:r w:rsidRPr="001B1E7E">
        <w:t>Wortschöpfungen,</w:t>
      </w:r>
      <w:r w:rsidRPr="001B1E7E">
        <w:rPr>
          <w:spacing w:val="-11"/>
        </w:rPr>
        <w:t xml:space="preserve"> </w:t>
      </w:r>
      <w:r w:rsidRPr="001B1E7E">
        <w:t>so</w:t>
      </w:r>
      <w:r w:rsidRPr="001B1E7E">
        <w:rPr>
          <w:spacing w:val="-11"/>
        </w:rPr>
        <w:t xml:space="preserve"> </w:t>
      </w:r>
      <w:r w:rsidRPr="001B1E7E">
        <w:t>ist</w:t>
      </w:r>
      <w:r w:rsidRPr="001B1E7E">
        <w:rPr>
          <w:spacing w:val="-11"/>
        </w:rPr>
        <w:t xml:space="preserve"> </w:t>
      </w:r>
      <w:r w:rsidRPr="001B1E7E">
        <w:t>zu</w:t>
      </w:r>
      <w:r w:rsidRPr="001B1E7E">
        <w:rPr>
          <w:spacing w:val="-12"/>
        </w:rPr>
        <w:t xml:space="preserve"> </w:t>
      </w:r>
      <w:r w:rsidRPr="001B1E7E">
        <w:t>beachten,</w:t>
      </w:r>
      <w:r w:rsidRPr="001B1E7E">
        <w:rPr>
          <w:spacing w:val="-11"/>
        </w:rPr>
        <w:t xml:space="preserve"> </w:t>
      </w:r>
      <w:r w:rsidRPr="001B1E7E">
        <w:t>dass</w:t>
      </w:r>
      <w:r w:rsidRPr="001B1E7E">
        <w:rPr>
          <w:spacing w:val="-11"/>
        </w:rPr>
        <w:t xml:space="preserve"> </w:t>
      </w:r>
      <w:r w:rsidRPr="001B1E7E">
        <w:t>Kunstworte,</w:t>
      </w:r>
      <w:r w:rsidRPr="001B1E7E">
        <w:rPr>
          <w:spacing w:val="-11"/>
        </w:rPr>
        <w:t xml:space="preserve"> </w:t>
      </w:r>
      <w:r w:rsidRPr="001B1E7E">
        <w:t>Akronyme</w:t>
      </w:r>
      <w:r w:rsidRPr="001B1E7E">
        <w:rPr>
          <w:spacing w:val="-12"/>
        </w:rPr>
        <w:t xml:space="preserve"> </w:t>
      </w:r>
      <w:r w:rsidRPr="001B1E7E">
        <w:t>etc.</w:t>
      </w:r>
      <w:r w:rsidRPr="001B1E7E">
        <w:rPr>
          <w:spacing w:val="-11"/>
        </w:rPr>
        <w:t xml:space="preserve"> </w:t>
      </w:r>
      <w:r w:rsidRPr="001B1E7E">
        <w:t>generell schlechter erinnert werden als bedeutungsvolle Begriffe. Im Übrigen gilt die Forderung, dass Markennamen leicht aussprechbar sein sollten, gerade für fremdländisch klingende Produkt- bzw. Unternehmensnamen.</w:t>
      </w:r>
    </w:p>
    <w:p w14:paraId="6CC8C0A6" w14:textId="77777777" w:rsidR="00FF7799" w:rsidRPr="001B1E7E" w:rsidRDefault="00FF7799" w:rsidP="00391CB8">
      <w:pPr>
        <w:pStyle w:val="StandardText"/>
      </w:pPr>
      <w:r w:rsidRPr="001B1E7E">
        <w:t xml:space="preserve">Begünstigt wird Foreign Branding dadurch, dass viele Konsumenten den tatsächlichen CoO eines Produkts nicht kennen bzw. eine falsche Produktherkunft vermuten. Selbst starke Marken sind gegen diese Fehlwahrnehmung nicht immer gefeit (vgl. Balabanis/Diamantopoulos 2011). Dies erleichtert es den Unternehmen, einen vermeintlichen, aus Sicht der Kunden aber attraktiveren Produktionsstandort als den tatsächlichen Standort zu suggerieren. Manche erinnert FB deshalb an irreführende Werbung (z.B. Verlegh/Steenkamp 1999). </w:t>
      </w:r>
    </w:p>
    <w:p w14:paraId="6C93A154" w14:textId="77777777" w:rsidR="00FF7799" w:rsidRPr="001B1E7E" w:rsidRDefault="00FF7799" w:rsidP="00391CB8">
      <w:pPr>
        <w:pStyle w:val="StandardText"/>
      </w:pPr>
      <w:r w:rsidRPr="001B1E7E">
        <w:lastRenderedPageBreak/>
        <w:t>In der Literatur wird das Prinzip der „geborgten“ (Papadopoulos 1993) bzw. „impliziten Produktherkunft“ (Sattler/Völckner 2013) am häufigsten am Beispiel von Häagen Dazs erörtert. Denn anders als es der „nordifzierte“ Kunstname suggeriert, wird dieses Speiseeis nicht in einem skandinavischen Land (Norden → Eis), sondern in Minnesota/USA produziert. Während die tatsächliche Produktherkunft vor allem durch …</w:t>
      </w:r>
    </w:p>
    <w:p w14:paraId="76A10B9F" w14:textId="77777777" w:rsidR="00FF7799" w:rsidRPr="00E73F6F" w:rsidRDefault="00FF7799" w:rsidP="00003B51">
      <w:pPr>
        <w:pStyle w:val="StandardTextAufzhlung"/>
        <w:ind w:left="426"/>
      </w:pPr>
      <w:r w:rsidRPr="00E73F6F">
        <w:t xml:space="preserve">das Herkunftszeichen (z.B. „Made in Switzerland“) oder </w:t>
      </w:r>
    </w:p>
    <w:p w14:paraId="1B47D98F" w14:textId="77777777" w:rsidR="00FF7799" w:rsidRPr="00E73F6F" w:rsidRDefault="00FF7799" w:rsidP="00003B51">
      <w:pPr>
        <w:pStyle w:val="StandardTextAufzhlung"/>
        <w:ind w:left="426"/>
      </w:pPr>
      <w:r w:rsidRPr="00E73F6F">
        <w:t xml:space="preserve">die Integration des Landes in den Markennamen (z.B. Swissair) oder </w:t>
      </w:r>
    </w:p>
    <w:p w14:paraId="2E721419" w14:textId="77777777" w:rsidR="00FF7799" w:rsidRPr="00E73F6F" w:rsidRDefault="00FF7799" w:rsidP="00003B51">
      <w:pPr>
        <w:pStyle w:val="StandardTextAufzhlung"/>
        <w:ind w:left="426"/>
      </w:pPr>
      <w:r w:rsidRPr="00E73F6F">
        <w:t>ein Nationalsymbol (z.B. weißes Kreuz auf rotem Grund beim Schweizer Taschenmesser)</w:t>
      </w:r>
    </w:p>
    <w:p w14:paraId="6979D20E" w14:textId="77777777" w:rsidR="00FF7799" w:rsidRPr="00E73F6F" w:rsidRDefault="00FF7799" w:rsidP="006B13B4">
      <w:pPr>
        <w:pStyle w:val="StandardText"/>
      </w:pPr>
      <w:r w:rsidRPr="00E73F6F">
        <w:t xml:space="preserve">kommuniziert wird, kommen beim FB im Regelfall „weichere“, d.h. urheber- bzw. markenrechtlich nicht angreifbare Signale zum Einsatz. Dabei erhalten Marken – wie </w:t>
      </w:r>
      <w:r w:rsidRPr="00E73F6F">
        <w:rPr>
          <w:i/>
        </w:rPr>
        <w:t>Rheingold</w:t>
      </w:r>
      <w:r w:rsidRPr="00E73F6F">
        <w:t xml:space="preserve"> für ein in den USA gebrautes Bier oder </w:t>
      </w:r>
      <w:r w:rsidRPr="00E73F6F">
        <w:rPr>
          <w:i/>
        </w:rPr>
        <w:t>Finkid</w:t>
      </w:r>
      <w:r w:rsidRPr="00E73F6F">
        <w:t xml:space="preserve"> für in Deutschland gefertigte Kinderkleidung – einen fremdländisch klingenden Namen, um bestimmte, dem Markterfolg dienliche Assoziationen auszulösen (z.B. Bierland Deutschland, Naturparadies Finnland). Eine ähnliche Wirkung versprechen ausländisch anmutende Kunstworte (wie </w:t>
      </w:r>
      <w:r w:rsidRPr="00E73F6F">
        <w:rPr>
          <w:i/>
        </w:rPr>
        <w:t>Häagen Dazs)</w:t>
      </w:r>
      <w:r w:rsidRPr="00E73F6F">
        <w:t xml:space="preserve"> und die Herausstellung landestypischer Besonderheiten (bspw. die Schreibweise). So warb </w:t>
      </w:r>
      <w:r w:rsidRPr="00E73F6F">
        <w:rPr>
          <w:i/>
        </w:rPr>
        <w:t>IKEA</w:t>
      </w:r>
      <w:r w:rsidRPr="00E73F6F">
        <w:t xml:space="preserve"> in USA, wo Umlaute unbekannt sind, bewusst mit dem Slogan „The unböring manifesto“. Auch die mit dem Filmtitel „My Big Fat Gr</w:t>
      </w:r>
      <w:r w:rsidRPr="00E73F6F">
        <w:sym w:font="Symbol" w:char="F053"/>
      </w:r>
      <w:r w:rsidRPr="00E73F6F">
        <w:sym w:font="Symbol" w:char="F053"/>
      </w:r>
      <w:r w:rsidRPr="00E73F6F">
        <w:t>k Wedding“ verfolgte Absicht ist offensichtlich. Immer geht es darum, die wahrgenommene Produktqualität, den wahrgenommenen sozialen Status des Käufers bzw. Verwenders und andere Erfolgskriterien im Interesse des Markeneigners zu beeinflussen (vgl. Zhou et al. 2010).</w:t>
      </w:r>
    </w:p>
    <w:p w14:paraId="017C4E2A" w14:textId="77777777" w:rsidR="00FF7799" w:rsidRPr="00E73F6F" w:rsidRDefault="00FF7799" w:rsidP="006B13B4">
      <w:pPr>
        <w:pStyle w:val="StandardText"/>
      </w:pPr>
    </w:p>
    <w:tbl>
      <w:tblPr>
        <w:tblStyle w:val="Tabellenraster"/>
        <w:tblW w:w="0" w:type="auto"/>
        <w:tblBorders>
          <w:insideH w:val="none" w:sz="0" w:space="0" w:color="auto"/>
        </w:tblBorders>
        <w:tblLook w:val="04A0" w:firstRow="1" w:lastRow="0" w:firstColumn="1" w:lastColumn="0" w:noHBand="0" w:noVBand="1"/>
      </w:tblPr>
      <w:tblGrid>
        <w:gridCol w:w="9062"/>
      </w:tblGrid>
      <w:tr w:rsidR="00FF7799" w:rsidRPr="00E73F6F" w14:paraId="15A0222B" w14:textId="77777777" w:rsidTr="001B1E7E">
        <w:tc>
          <w:tcPr>
            <w:tcW w:w="9062" w:type="dxa"/>
            <w:shd w:val="clear" w:color="auto" w:fill="DEEAF6" w:themeFill="accent1" w:themeFillTint="33"/>
          </w:tcPr>
          <w:p w14:paraId="18CF4407" w14:textId="77777777" w:rsidR="00FF7799" w:rsidRPr="00E73F6F" w:rsidRDefault="00FF7799" w:rsidP="001B1E7E">
            <w:pPr>
              <w:pStyle w:val="Standardklein"/>
              <w:spacing w:before="120" w:after="120"/>
              <w:jc w:val="center"/>
              <w:rPr>
                <w:b/>
              </w:rPr>
            </w:pPr>
            <w:r w:rsidRPr="00E73F6F">
              <w:rPr>
                <w:b/>
              </w:rPr>
              <w:t>Finnische Mode für Kids</w:t>
            </w:r>
          </w:p>
          <w:p w14:paraId="62717ECF" w14:textId="77777777" w:rsidR="004A28F6" w:rsidRPr="00E73F6F" w:rsidRDefault="00FF7799" w:rsidP="00B7163B">
            <w:pPr>
              <w:pStyle w:val="Standardklein"/>
              <w:spacing w:before="120" w:after="120"/>
            </w:pPr>
            <w:r w:rsidRPr="00E73F6F">
              <w:t xml:space="preserve">Finkid ist ein Beispiel dafür, dass ‘foreign branding‘ sich nicht in einer manipulativen Namensgebung erschöpfen muss. Denn in dem Maße, wie die „geborgte Herkunft“ multimodal kommuniziert wird, ist mit einem Intensivierung der Beeinflussungswirkung zu rechnen. „Das Label profitiert vom anhaltenden Outdoor-Boom – und von einem Modemärchen. Obwohl Finkid aus Berlin-Schöneberg kommt, wird die Marke als durch und durch finnisch verkauft. Das fängt beim Werbespruch (»Finnische Mode für Kids«) an und hört bei den Produkten nicht auf: Die tragen Namen wie Tonttu oder Pulpukka, sind mit kleinen finnischen Flaggen verziert und statt einer deutschen Kindergröße (zum Beispiel 98) steht eine skandinavische (90/100) auf dem Etikett. Wer die Bestellhotline anwählt, wird in der Warteschleife erst mal mit einem Finnisch-Sprachkurs beschallt“ </w:t>
            </w:r>
          </w:p>
          <w:p w14:paraId="371AAE5E" w14:textId="77777777" w:rsidR="00FF7799" w:rsidRPr="00E73F6F" w:rsidRDefault="00FF7799" w:rsidP="001B1E7E">
            <w:pPr>
              <w:pStyle w:val="Standardklein"/>
              <w:spacing w:before="120" w:after="120"/>
              <w:jc w:val="right"/>
            </w:pPr>
            <w:r w:rsidRPr="00E73F6F">
              <w:t xml:space="preserve">Mens </w:t>
            </w:r>
            <w:r w:rsidR="001B1E7E">
              <w:t>(2009, S.25)</w:t>
            </w:r>
          </w:p>
        </w:tc>
      </w:tr>
    </w:tbl>
    <w:p w14:paraId="3B4B932E" w14:textId="77777777" w:rsidR="001B1E7E" w:rsidRDefault="001B1E7E" w:rsidP="006B13B4">
      <w:pPr>
        <w:pStyle w:val="StandardText"/>
      </w:pPr>
    </w:p>
    <w:p w14:paraId="5D5A1118" w14:textId="77777777" w:rsidR="00FF7799" w:rsidRPr="00E73F6F" w:rsidRDefault="00FF7799" w:rsidP="006B13B4">
      <w:pPr>
        <w:pStyle w:val="StandardText"/>
      </w:pPr>
      <w:r w:rsidRPr="00E73F6F">
        <w:t xml:space="preserve">Bislang vorliegende empirische Studien (z.B. Leclerc et al. 1994) zeigen, dass im nordamerikanischen Kulturraum ein französisch klingender Markenname ein Produkt hedonistisch erscheinen lässt, falls es sich nicht um ein ausgesprochen utilitaristisches Produkt wie einen Taschenrechner handelt (‘utilitas‘, lat. = Nutzen). Dies ist u.a. deshalb bedeutsam, weil nicht nur Anzeigen, die hedonistische Produkte (Parfüm, Nagellack) bewerben, positiver bewertet werden als Anzeigen für utilitaristische Produkte (Alufolie, Benzin), sondern auch die beworbenen Produkte. </w:t>
      </w:r>
    </w:p>
    <w:p w14:paraId="634EA733" w14:textId="77777777" w:rsidR="00FF7799" w:rsidRPr="00E73F6F" w:rsidRDefault="00FF7799" w:rsidP="006B13B4">
      <w:pPr>
        <w:pStyle w:val="StandardText"/>
      </w:pPr>
      <w:r w:rsidRPr="00E73F6F">
        <w:t xml:space="preserve">Die französische Aussprache des Markennamens sorgt bei hedonistischen Produkten (Parfüm, Nagellack) gleichfalls dafür, dass diese positiver bewertet werden. Auf utilitaristische Erzeugnisse (Alufolie, Benzin) wirkt sich hingegen die deutsche Aussprache günstiger aus (vgl. Melnyk et al. 2012). </w:t>
      </w:r>
    </w:p>
    <w:p w14:paraId="5B71356E" w14:textId="77777777" w:rsidR="00FF7799" w:rsidRPr="00E73F6F" w:rsidRDefault="00FF7799" w:rsidP="006B13B4">
      <w:pPr>
        <w:pStyle w:val="StandardText"/>
      </w:pPr>
      <w:r w:rsidRPr="00E73F6F">
        <w:t>Bemerkenswerterweise wirkt FB stärker als die direkte Herkunftsangabe (= „Made in France“ bzw. „Made in USA“). Werden beide Informationen (Aussprache und Made in) kombiniert, so vermindert dies im Falle Frankreich sogar den Effekt. Drei Jahre später konnten Thakor/Pacheo (1997) in einer Replikationsstudie mit kanadischen Studenten den</w:t>
      </w:r>
      <w:r w:rsidR="009278E0">
        <w:t xml:space="preserve"> zentralen Befund bestätigen: </w:t>
      </w:r>
      <w:r w:rsidRPr="00E73F6F">
        <w:t>FB beeinflusst ‘die Produktbewertung stärker, als dies der CoO vermag.</w:t>
      </w:r>
    </w:p>
    <w:p w14:paraId="211B9800" w14:textId="77777777" w:rsidR="00FF7799" w:rsidRPr="00E73F6F" w:rsidRDefault="00FF7799" w:rsidP="006B13B4">
      <w:pPr>
        <w:pStyle w:val="StandardText"/>
      </w:pPr>
      <w:r w:rsidRPr="00E73F6F">
        <w:lastRenderedPageBreak/>
        <w:t xml:space="preserve">Durch FB können Unternehmen dafür sorgen, dass die </w:t>
      </w:r>
      <w:r w:rsidR="00F3160E">
        <w:sym w:font="Symbol" w:char="F0DE"/>
      </w:r>
      <w:r w:rsidR="00F3160E">
        <w:t xml:space="preserve"> </w:t>
      </w:r>
      <w:r w:rsidRPr="00E73F6F">
        <w:t xml:space="preserve">Zielgruppe Tomatengeschmack intensiver erlebt (vgl. Verlegh et al. 2005), Skiern positive Eigenschaften zuschreibt (vgl. Häubl/Elrod 1999) und vieles andere mehr. Was aber geschieht, wenn Konsumenten den tatsächlichen CoO erfahren und die Diskrepanz zum untergeschobenen CoO offenbar wird? Durch eine Reihe kontrollierter Experimente gelang es Melnyk et al. (2012) nachzuweisen, dass ein solcher Misfit hauptsächlich im Falle hedonistischer Produkte die Kaufabsicht mindert, während utilitaristische Produkte das kleine Betrugsmanöver weitgehend unbeschadet überstehen. Asymmetrisch wirkt sich auch das tatsächliche Herkunftsland auf die Konsumenten aus. Schädlich ist es nur, wenn sich herausstellt, dass ein weniger entwickeltes Land der tatsächliche Produktionsstandort ist, nicht jedoch, wenn ein Industrieland an die Stelle eines anderen Industrielandes tritt. </w:t>
      </w:r>
    </w:p>
    <w:p w14:paraId="3AA30613" w14:textId="77777777" w:rsidR="00FF7799" w:rsidRPr="001B1E7E" w:rsidRDefault="00FF7799" w:rsidP="006B13B4">
      <w:pPr>
        <w:pStyle w:val="StandardText"/>
        <w:rPr>
          <w:sz w:val="22"/>
          <w:szCs w:val="22"/>
          <w:lang w:val="en-US"/>
        </w:rPr>
      </w:pPr>
      <w:r w:rsidRPr="001B1E7E">
        <w:rPr>
          <w:b/>
          <w:i/>
          <w:sz w:val="22"/>
          <w:szCs w:val="22"/>
          <w:lang w:val="en-US"/>
        </w:rPr>
        <w:t>Literatur:</w:t>
      </w:r>
      <w:r w:rsidRPr="001B1E7E">
        <w:rPr>
          <w:i/>
          <w:sz w:val="22"/>
          <w:szCs w:val="22"/>
          <w:lang w:val="en-US"/>
        </w:rPr>
        <w:t xml:space="preserve"> </w:t>
      </w:r>
      <w:r w:rsidRPr="001B1E7E">
        <w:rPr>
          <w:sz w:val="22"/>
          <w:szCs w:val="22"/>
          <w:lang w:val="en-US"/>
        </w:rPr>
        <w:t xml:space="preserve">Balabanis, G.; Diamantopoulos, A. (2011): Gains and Losses from the Misperception of Brand Origin. The Role of Brand Strength and Country-of-Origin Image, Journal of International Marketing, 19(2): 95-116 . Häubl, G.; Elrod, T. (1999): The Impact of Congruity between Brand Name and Country of Production on Consumers' Product Quality Judgments, International Journal of Research in Marketing, 16(3): 199-215. Leclerc, F.; Schmitt, B.H.; Dubé, L. (1994): Foreign Branding and Its Effects on Product Perceptions and Attitudes, Journal of Marketing Research, 31(2): 263-270. Melnyk, V.; Klein, K.; Völckner, F. (2012): The Double-Edged Sword of Foreign Brand Names for Companies from Emerging Countries, Journal of Marketing, 76(6): 21-37. </w:t>
      </w:r>
      <w:r w:rsidRPr="001B1E7E">
        <w:rPr>
          <w:sz w:val="22"/>
          <w:szCs w:val="22"/>
        </w:rPr>
        <w:t xml:space="preserve">Mens, F. (2009): Parkas vom Polarkreis. Die Kindermarke Finkid tut so, als käme sie aus Finnland, Die Zeit, 64(36): 25. </w:t>
      </w:r>
      <w:r w:rsidRPr="001B1E7E">
        <w:rPr>
          <w:sz w:val="22"/>
          <w:szCs w:val="22"/>
          <w:lang w:val="en-US"/>
        </w:rPr>
        <w:t>Papadopoulos, N. (1993): What Product and Country Images Are and Are not, in: Papadopoulos, N.; Heslop, L.A. (Eds.), Product Country Images. Impact and Role in International Marketing, 3-38, New York: International Business Press. Sattler, H.; Völckner, F. (2013): Markenpolitik, 3. Aufl. Stuttgart: Kohlhammer. Thakor, M.V.; Pacheco, B.G. (1997): Foreign Branding and Its Effects on Product Perceptions and Attitudes. A Replication and Extension in a Multicultural Setting, Journal of Marketing Theory &amp; Practice, 5(1): 15-30. Verlegh, P.W.J.; Steenkamp, J.-B.E.M. (1999): A Review and Meta-Analysis of Country-of-Origin Research, Journal of Economic Psychology, 20(5): 521–546. Verlegh, P.W.J; Steenkamp, J.-B.E.M.; Meulenberg, M.T. (2005): Country-of-Origin Effects in Consumer Processing of Advertising Claims, International Journal of Research in Marketing, 22(2): 127-139. Zhou, L.; Yang, Z; Hu, M.K. (2010): Non-Local or Local Brands? A Multi-Level Investigation into Confidence in Brand Origin Identification and its Strategic Implications, Journal of the Academy of Marketing Science, 38(2): 202-218</w:t>
      </w:r>
      <w:r w:rsidR="001B1E7E">
        <w:rPr>
          <w:sz w:val="22"/>
          <w:szCs w:val="22"/>
          <w:lang w:val="en-US"/>
        </w:rPr>
        <w:t>.</w:t>
      </w:r>
    </w:p>
    <w:p w14:paraId="1B2CEB16" w14:textId="77777777" w:rsidR="00FF7799" w:rsidRPr="001B1E7E" w:rsidRDefault="00FF7799" w:rsidP="006B13B4">
      <w:pPr>
        <w:pStyle w:val="StandardText"/>
        <w:rPr>
          <w:sz w:val="22"/>
          <w:szCs w:val="22"/>
          <w:lang w:val="en-US"/>
        </w:rPr>
      </w:pPr>
    </w:p>
    <w:p w14:paraId="254358DA" w14:textId="77777777" w:rsidR="00FF7799" w:rsidRPr="00E73F6F" w:rsidRDefault="00FF7799" w:rsidP="000A7608">
      <w:pPr>
        <w:pStyle w:val="berschrift1"/>
        <w:rPr>
          <w:b w:val="0"/>
        </w:rPr>
      </w:pPr>
      <w:r w:rsidRPr="00003B51">
        <w:rPr>
          <w:bCs w:val="0"/>
          <w:color w:val="2E74B5"/>
          <w:sz w:val="22"/>
          <w:lang w:val="en-US"/>
        </w:rPr>
        <w:t>Frei verfügbares Einkommen</w:t>
      </w:r>
      <w:r w:rsidRPr="00E73F6F">
        <w:rPr>
          <w:bCs w:val="0"/>
        </w:rPr>
        <w:t xml:space="preserve"> </w:t>
      </w:r>
      <w:r w:rsidRPr="00E73F6F">
        <w:rPr>
          <w:b w:val="0"/>
        </w:rPr>
        <w:t>→ Einkommen, frei verfügbares</w:t>
      </w:r>
    </w:p>
    <w:p w14:paraId="23B45CF8" w14:textId="77777777" w:rsidR="00FF7799" w:rsidRPr="00E73F6F" w:rsidRDefault="00FF7799" w:rsidP="000A7608">
      <w:pPr>
        <w:pStyle w:val="berschrift1"/>
      </w:pPr>
      <w:r w:rsidRPr="00003B51">
        <w:rPr>
          <w:bCs w:val="0"/>
          <w:color w:val="2E74B5"/>
          <w:sz w:val="22"/>
          <w:lang w:val="en-US"/>
        </w:rPr>
        <w:t>Frömmigkeit</w:t>
      </w:r>
      <w:r w:rsidRPr="00E73F6F">
        <w:t xml:space="preserve"> </w:t>
      </w:r>
      <w:r w:rsidRPr="00E73F6F">
        <w:rPr>
          <w:b w:val="0"/>
        </w:rPr>
        <w:t>→ Religiosität</w:t>
      </w:r>
    </w:p>
    <w:p w14:paraId="595F4B4B" w14:textId="77777777" w:rsidR="00FF7799" w:rsidRPr="00003B51" w:rsidRDefault="00FF7799" w:rsidP="000A7608">
      <w:pPr>
        <w:pStyle w:val="berschrift1"/>
        <w:rPr>
          <w:bCs w:val="0"/>
          <w:color w:val="2E74B5"/>
          <w:sz w:val="22"/>
          <w:lang w:val="en-US"/>
        </w:rPr>
      </w:pPr>
      <w:r w:rsidRPr="00003B51">
        <w:rPr>
          <w:bCs w:val="0"/>
          <w:color w:val="2E74B5"/>
          <w:sz w:val="22"/>
          <w:lang w:val="en-US"/>
        </w:rPr>
        <w:t xml:space="preserve">Fundamentale Orientierungen </w:t>
      </w:r>
    </w:p>
    <w:p w14:paraId="37D854BD" w14:textId="77777777" w:rsidR="00FF7799" w:rsidRPr="00E73F6F" w:rsidRDefault="00FF7799" w:rsidP="00862DBA">
      <w:pPr>
        <w:rPr>
          <w:sz w:val="24"/>
          <w:szCs w:val="24"/>
        </w:rPr>
      </w:pPr>
      <w:r w:rsidRPr="00E73F6F">
        <w:rPr>
          <w:rStyle w:val="StandardTextZchn1"/>
        </w:rPr>
        <w:t>fünf grundlegenden Orientierungen (bzw. kulturelle Kategorien) von Lebensgemeinschaften, welche Kluckhohn/Strodtbeck (1961) auf Basis einer umfassenden Literaturanalyse beschrieben haben (vgl. Tab.</w:t>
      </w:r>
      <w:r w:rsidR="001B1E7E">
        <w:rPr>
          <w:rStyle w:val="StandardTextZchn1"/>
        </w:rPr>
        <w:t xml:space="preserve"> 1</w:t>
      </w:r>
      <w:r w:rsidRPr="00E73F6F">
        <w:rPr>
          <w:rStyle w:val="StandardTextZchn1"/>
        </w:rPr>
        <w:t>). Diese Orientierungen reflektieren die Grundannahmen über die menschliche Existenz, welche den Kern jeder Kultur und somit die kulturspezifische Form von Weltanschauung ausmachen</w:t>
      </w:r>
      <w:r w:rsidRPr="00E73F6F">
        <w:rPr>
          <w:sz w:val="24"/>
          <w:szCs w:val="24"/>
        </w:rPr>
        <w:t>:</w:t>
      </w:r>
    </w:p>
    <w:p w14:paraId="01379DFF" w14:textId="77777777" w:rsidR="00FF7799" w:rsidRPr="00E73F6F" w:rsidRDefault="00FF7799" w:rsidP="00003B51">
      <w:pPr>
        <w:pStyle w:val="StandardTextAufzhlung"/>
        <w:ind w:left="426"/>
      </w:pPr>
      <w:r w:rsidRPr="00E73F6F">
        <w:t>Wesen der menschlichen Natur ('human nature orientation'),</w:t>
      </w:r>
    </w:p>
    <w:p w14:paraId="4DB4F01D" w14:textId="77777777" w:rsidR="00FF7799" w:rsidRPr="00E73F6F" w:rsidRDefault="00FF7799" w:rsidP="00003B51">
      <w:pPr>
        <w:pStyle w:val="StandardTextAufzhlung"/>
        <w:ind w:left="426"/>
      </w:pPr>
      <w:r w:rsidRPr="00E73F6F">
        <w:t>Beziehung zur Natur ('man-nature orientation'),</w:t>
      </w:r>
    </w:p>
    <w:p w14:paraId="316C7662" w14:textId="77777777" w:rsidR="00FF7799" w:rsidRPr="00E73F6F" w:rsidRDefault="00FF7799" w:rsidP="00003B51">
      <w:pPr>
        <w:pStyle w:val="StandardTextAufzhlung"/>
        <w:ind w:left="426"/>
      </w:pPr>
      <w:r w:rsidRPr="00E73F6F">
        <w:t>Beziehung zu anderen Menschen ('relational orientation'),</w:t>
      </w:r>
    </w:p>
    <w:p w14:paraId="2906577C" w14:textId="77777777" w:rsidR="00FF7799" w:rsidRPr="00E73F6F" w:rsidRDefault="00FF7799" w:rsidP="00003B51">
      <w:pPr>
        <w:pStyle w:val="StandardTextAufzhlung"/>
        <w:ind w:left="426"/>
      </w:pPr>
      <w:r w:rsidRPr="00E73F6F">
        <w:t>Zeitorientierung ('time orientation'),</w:t>
      </w:r>
    </w:p>
    <w:p w14:paraId="7356E744" w14:textId="77777777" w:rsidR="00FF7799" w:rsidRPr="00E73F6F" w:rsidRDefault="00FF7799" w:rsidP="00003B51">
      <w:pPr>
        <w:pStyle w:val="StandardTextAufzhlung"/>
        <w:ind w:left="426"/>
      </w:pPr>
      <w:r w:rsidRPr="00E73F6F">
        <w:t>Tätigkeits- bzw. Sinnorientierung ('activity orientation').</w:t>
      </w:r>
    </w:p>
    <w:p w14:paraId="67F316E2" w14:textId="77777777" w:rsidR="00FF7799" w:rsidRPr="00E73F6F" w:rsidRDefault="00FF7799" w:rsidP="00003B51">
      <w:pPr>
        <w:ind w:left="426"/>
        <w:rPr>
          <w:sz w:val="24"/>
          <w:szCs w:val="24"/>
        </w:rPr>
      </w:pPr>
    </w:p>
    <w:p w14:paraId="73C1CD9D" w14:textId="77777777" w:rsidR="00FF7799" w:rsidRPr="00E73F6F" w:rsidRDefault="00FF7799" w:rsidP="006B13B4">
      <w:pPr>
        <w:pStyle w:val="StandardText"/>
      </w:pPr>
      <w:r w:rsidRPr="00E73F6F">
        <w:lastRenderedPageBreak/>
        <w:t>Die Autoren überprüften ihr Konzept am Beispiel verschiedener Gesellschaften, die im Südwesten der USA leben (sog. Rimrocks). Insofern handelt es sich um eine anthropologisch fundierte intrakulturelle Studie. Später erkannten u.a. Evan (1974) und Trompenaars (1993) das Erkenntnispotenzial dieser anthropologischen Studie für das Interkulturelle Management. Denn auch in der Managementlehre hatte sich die Erkenntnis durchgesetzt, dass derartige „basale Orientierungen für das Verhalten in und von Unternehmungen“ (Kutschker/Schmid 2011, S.704) bedeutsam sind (vgl. auch Adler/Gundersen 2007, S.22ff.).</w:t>
      </w:r>
    </w:p>
    <w:p w14:paraId="6CFA075A" w14:textId="77777777" w:rsidR="00FF7799" w:rsidRPr="00E73F6F" w:rsidRDefault="00FF7799" w:rsidP="00862DBA">
      <w:pPr>
        <w:rPr>
          <w:sz w:val="24"/>
          <w:szCs w:val="24"/>
        </w:rPr>
      </w:pPr>
    </w:p>
    <w:p w14:paraId="4EF909B2" w14:textId="77777777" w:rsidR="00FF7799" w:rsidRPr="00037FAC" w:rsidRDefault="00FF7799" w:rsidP="006B13B4">
      <w:pPr>
        <w:pStyle w:val="BeschriftungTab"/>
        <w:rPr>
          <w:i/>
          <w:iCs/>
        </w:rPr>
      </w:pPr>
      <w:r w:rsidRPr="00037FAC">
        <w:rPr>
          <w:i/>
          <w:iCs/>
        </w:rPr>
        <w:t xml:space="preserve"> Tab. 1: Fundamentale Orientierungen </w:t>
      </w:r>
    </w:p>
    <w:tbl>
      <w:tblPr>
        <w:tblW w:w="914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000" w:firstRow="0" w:lastRow="0" w:firstColumn="0" w:lastColumn="0" w:noHBand="0" w:noVBand="0"/>
      </w:tblPr>
      <w:tblGrid>
        <w:gridCol w:w="1442"/>
        <w:gridCol w:w="1182"/>
        <w:gridCol w:w="1134"/>
        <w:gridCol w:w="1275"/>
        <w:gridCol w:w="1418"/>
        <w:gridCol w:w="1276"/>
        <w:gridCol w:w="1417"/>
      </w:tblGrid>
      <w:tr w:rsidR="00FF7799" w:rsidRPr="00E73F6F" w14:paraId="773601D9" w14:textId="77777777" w:rsidTr="004A28F6">
        <w:trPr>
          <w:tblHeader/>
        </w:trPr>
        <w:tc>
          <w:tcPr>
            <w:tcW w:w="1442" w:type="dxa"/>
            <w:tcBorders>
              <w:top w:val="single" w:sz="4" w:space="0" w:color="auto"/>
              <w:left w:val="nil"/>
              <w:bottom w:val="single" w:sz="4" w:space="0" w:color="auto"/>
              <w:right w:val="single" w:sz="4" w:space="0" w:color="auto"/>
            </w:tcBorders>
            <w:shd w:val="clear" w:color="auto" w:fill="FFC000"/>
            <w:vAlign w:val="center"/>
          </w:tcPr>
          <w:p w14:paraId="42F5D133" w14:textId="77777777" w:rsidR="00FF7799" w:rsidRPr="00E73F6F" w:rsidRDefault="00FF7799" w:rsidP="006B13B4">
            <w:pPr>
              <w:spacing w:before="50" w:after="50"/>
              <w:jc w:val="center"/>
              <w:rPr>
                <w:b/>
                <w:bCs/>
                <w:sz w:val="24"/>
                <w:szCs w:val="24"/>
              </w:rPr>
            </w:pPr>
          </w:p>
        </w:tc>
        <w:tc>
          <w:tcPr>
            <w:tcW w:w="7702" w:type="dxa"/>
            <w:gridSpan w:val="6"/>
            <w:tcBorders>
              <w:top w:val="single" w:sz="4" w:space="0" w:color="auto"/>
              <w:left w:val="single" w:sz="4" w:space="0" w:color="auto"/>
              <w:bottom w:val="single" w:sz="4" w:space="0" w:color="auto"/>
              <w:right w:val="nil"/>
            </w:tcBorders>
            <w:shd w:val="clear" w:color="auto" w:fill="FFC000"/>
            <w:vAlign w:val="center"/>
          </w:tcPr>
          <w:p w14:paraId="6B675BB4" w14:textId="77777777" w:rsidR="00FF7799" w:rsidRPr="00E73F6F" w:rsidRDefault="00FF7799" w:rsidP="006B13B4">
            <w:pPr>
              <w:spacing w:before="120" w:after="120"/>
              <w:jc w:val="center"/>
              <w:rPr>
                <w:b/>
                <w:bCs/>
                <w:sz w:val="24"/>
                <w:szCs w:val="24"/>
              </w:rPr>
            </w:pPr>
            <w:r w:rsidRPr="00E73F6F">
              <w:rPr>
                <w:b/>
                <w:bCs/>
                <w:sz w:val="24"/>
                <w:szCs w:val="24"/>
              </w:rPr>
              <w:t>Ausprägung</w:t>
            </w:r>
          </w:p>
        </w:tc>
      </w:tr>
      <w:tr w:rsidR="00FF7799" w:rsidRPr="00E73F6F" w14:paraId="5C44757A" w14:textId="77777777" w:rsidTr="006B13B4">
        <w:tc>
          <w:tcPr>
            <w:tcW w:w="1442" w:type="dxa"/>
            <w:vMerge w:val="restart"/>
            <w:tcBorders>
              <w:top w:val="single" w:sz="4" w:space="0" w:color="auto"/>
              <w:left w:val="nil"/>
              <w:bottom w:val="single" w:sz="4" w:space="0" w:color="auto"/>
              <w:right w:val="single" w:sz="4" w:space="0" w:color="auto"/>
            </w:tcBorders>
            <w:shd w:val="clear" w:color="auto" w:fill="FFF2CC" w:themeFill="accent4" w:themeFillTint="33"/>
            <w:vAlign w:val="center"/>
          </w:tcPr>
          <w:p w14:paraId="6DF1CC9A" w14:textId="77777777" w:rsidR="00FF7799" w:rsidRPr="00E73F6F" w:rsidRDefault="00FF7799" w:rsidP="006B13B4">
            <w:pPr>
              <w:spacing w:before="50" w:after="50"/>
              <w:rPr>
                <w:b/>
                <w:bCs/>
                <w:sz w:val="24"/>
                <w:szCs w:val="24"/>
              </w:rPr>
            </w:pPr>
            <w:r w:rsidRPr="00E73F6F">
              <w:rPr>
                <w:b/>
                <w:bCs/>
                <w:sz w:val="24"/>
                <w:szCs w:val="24"/>
              </w:rPr>
              <w:t xml:space="preserve">Wesen der </w:t>
            </w:r>
            <w:r w:rsidRPr="00E73F6F">
              <w:rPr>
                <w:b/>
                <w:bCs/>
                <w:sz w:val="24"/>
                <w:szCs w:val="24"/>
              </w:rPr>
              <w:br/>
              <w:t xml:space="preserve">menschlichen </w:t>
            </w:r>
            <w:r w:rsidRPr="00E73F6F">
              <w:rPr>
                <w:b/>
                <w:bCs/>
                <w:sz w:val="24"/>
                <w:szCs w:val="24"/>
              </w:rPr>
              <w:br/>
              <w:t>Natur</w:t>
            </w:r>
          </w:p>
        </w:tc>
        <w:tc>
          <w:tcPr>
            <w:tcW w:w="2316" w:type="dxa"/>
            <w:gridSpan w:val="2"/>
            <w:tcBorders>
              <w:top w:val="single" w:sz="4" w:space="0" w:color="auto"/>
              <w:left w:val="single" w:sz="4" w:space="0" w:color="auto"/>
              <w:bottom w:val="single" w:sz="4" w:space="0" w:color="auto"/>
              <w:right w:val="single" w:sz="4" w:space="0" w:color="auto"/>
            </w:tcBorders>
            <w:vAlign w:val="center"/>
          </w:tcPr>
          <w:p w14:paraId="70432A00" w14:textId="77777777" w:rsidR="00FF7799" w:rsidRPr="00E73F6F" w:rsidRDefault="00FF7799" w:rsidP="006B13B4">
            <w:pPr>
              <w:spacing w:before="50" w:after="50"/>
              <w:jc w:val="center"/>
              <w:rPr>
                <w:sz w:val="24"/>
                <w:szCs w:val="24"/>
              </w:rPr>
            </w:pPr>
            <w:r w:rsidRPr="00E73F6F">
              <w:rPr>
                <w:sz w:val="24"/>
                <w:szCs w:val="24"/>
              </w:rPr>
              <w:t>böse</w:t>
            </w:r>
          </w:p>
        </w:tc>
        <w:tc>
          <w:tcPr>
            <w:tcW w:w="2693" w:type="dxa"/>
            <w:gridSpan w:val="2"/>
            <w:tcBorders>
              <w:top w:val="single" w:sz="4" w:space="0" w:color="auto"/>
              <w:left w:val="single" w:sz="4" w:space="0" w:color="auto"/>
              <w:bottom w:val="single" w:sz="4" w:space="0" w:color="auto"/>
              <w:right w:val="single" w:sz="4" w:space="0" w:color="auto"/>
            </w:tcBorders>
            <w:vAlign w:val="center"/>
          </w:tcPr>
          <w:p w14:paraId="5BAF3E28" w14:textId="77777777" w:rsidR="00FF7799" w:rsidRPr="00E73F6F" w:rsidRDefault="00FF7799" w:rsidP="006B13B4">
            <w:pPr>
              <w:spacing w:before="50" w:after="50"/>
              <w:jc w:val="center"/>
              <w:rPr>
                <w:sz w:val="24"/>
                <w:szCs w:val="24"/>
              </w:rPr>
            </w:pPr>
            <w:r w:rsidRPr="00E73F6F">
              <w:rPr>
                <w:sz w:val="24"/>
                <w:szCs w:val="24"/>
              </w:rPr>
              <w:t>teils gut, teils böse</w:t>
            </w:r>
          </w:p>
        </w:tc>
        <w:tc>
          <w:tcPr>
            <w:tcW w:w="2693" w:type="dxa"/>
            <w:gridSpan w:val="2"/>
            <w:tcBorders>
              <w:top w:val="single" w:sz="4" w:space="0" w:color="auto"/>
              <w:left w:val="single" w:sz="4" w:space="0" w:color="auto"/>
              <w:bottom w:val="single" w:sz="4" w:space="0" w:color="auto"/>
              <w:right w:val="nil"/>
            </w:tcBorders>
            <w:vAlign w:val="center"/>
          </w:tcPr>
          <w:p w14:paraId="6CF05D9E" w14:textId="77777777" w:rsidR="00FF7799" w:rsidRPr="00E73F6F" w:rsidRDefault="00FF7799" w:rsidP="006B13B4">
            <w:pPr>
              <w:spacing w:before="50" w:after="50"/>
              <w:jc w:val="center"/>
              <w:rPr>
                <w:sz w:val="24"/>
                <w:szCs w:val="24"/>
              </w:rPr>
            </w:pPr>
            <w:r w:rsidRPr="00E73F6F">
              <w:rPr>
                <w:sz w:val="24"/>
                <w:szCs w:val="24"/>
              </w:rPr>
              <w:t>gut</w:t>
            </w:r>
          </w:p>
        </w:tc>
      </w:tr>
      <w:tr w:rsidR="00FF7799" w:rsidRPr="00E73F6F" w14:paraId="2D43D463" w14:textId="77777777" w:rsidTr="006B13B4">
        <w:tc>
          <w:tcPr>
            <w:tcW w:w="1442" w:type="dxa"/>
            <w:vMerge/>
            <w:tcBorders>
              <w:top w:val="single" w:sz="4" w:space="0" w:color="auto"/>
              <w:left w:val="nil"/>
              <w:bottom w:val="single" w:sz="4" w:space="0" w:color="auto"/>
              <w:right w:val="single" w:sz="4" w:space="0" w:color="auto"/>
            </w:tcBorders>
            <w:shd w:val="clear" w:color="auto" w:fill="FFF2CC" w:themeFill="accent4" w:themeFillTint="33"/>
            <w:vAlign w:val="center"/>
          </w:tcPr>
          <w:p w14:paraId="495BA58F" w14:textId="77777777" w:rsidR="00FF7799" w:rsidRPr="00E73F6F" w:rsidRDefault="00FF7799" w:rsidP="006B13B4">
            <w:pPr>
              <w:spacing w:before="50" w:after="50"/>
              <w:rPr>
                <w:b/>
                <w:bCs/>
                <w:sz w:val="24"/>
                <w:szCs w:val="24"/>
              </w:rPr>
            </w:pPr>
          </w:p>
        </w:tc>
        <w:tc>
          <w:tcPr>
            <w:tcW w:w="1182" w:type="dxa"/>
            <w:tcBorders>
              <w:top w:val="single" w:sz="4" w:space="0" w:color="auto"/>
              <w:left w:val="single" w:sz="4" w:space="0" w:color="auto"/>
              <w:bottom w:val="single" w:sz="4" w:space="0" w:color="auto"/>
              <w:right w:val="single" w:sz="4" w:space="0" w:color="auto"/>
            </w:tcBorders>
            <w:vAlign w:val="center"/>
          </w:tcPr>
          <w:p w14:paraId="5BEB296D" w14:textId="77777777" w:rsidR="00FF7799" w:rsidRPr="00E73F6F" w:rsidRDefault="00FF7799" w:rsidP="006B13B4">
            <w:pPr>
              <w:spacing w:before="50" w:after="50"/>
              <w:jc w:val="center"/>
              <w:rPr>
                <w:sz w:val="24"/>
                <w:szCs w:val="24"/>
              </w:rPr>
            </w:pPr>
            <w:r w:rsidRPr="00E73F6F">
              <w:rPr>
                <w:sz w:val="24"/>
                <w:szCs w:val="24"/>
              </w:rPr>
              <w:t>veränder</w:t>
            </w:r>
            <w:r w:rsidRPr="00E73F6F">
              <w:rPr>
                <w:sz w:val="24"/>
                <w:szCs w:val="24"/>
              </w:rPr>
              <w:softHyphen/>
              <w:t>lich</w:t>
            </w:r>
          </w:p>
        </w:tc>
        <w:tc>
          <w:tcPr>
            <w:tcW w:w="1134" w:type="dxa"/>
            <w:tcBorders>
              <w:top w:val="single" w:sz="4" w:space="0" w:color="auto"/>
              <w:left w:val="single" w:sz="4" w:space="0" w:color="auto"/>
              <w:bottom w:val="single" w:sz="4" w:space="0" w:color="auto"/>
              <w:right w:val="single" w:sz="4" w:space="0" w:color="auto"/>
            </w:tcBorders>
            <w:vAlign w:val="center"/>
          </w:tcPr>
          <w:p w14:paraId="67A12990" w14:textId="77777777" w:rsidR="00FF7799" w:rsidRPr="00E73F6F" w:rsidRDefault="00FF7799" w:rsidP="006B13B4">
            <w:pPr>
              <w:spacing w:before="50" w:after="50"/>
              <w:jc w:val="center"/>
              <w:rPr>
                <w:sz w:val="24"/>
                <w:szCs w:val="24"/>
              </w:rPr>
            </w:pPr>
            <w:r w:rsidRPr="00E73F6F">
              <w:rPr>
                <w:sz w:val="24"/>
                <w:szCs w:val="24"/>
              </w:rPr>
              <w:t>determi</w:t>
            </w:r>
            <w:r w:rsidRPr="00E73F6F">
              <w:rPr>
                <w:sz w:val="24"/>
                <w:szCs w:val="24"/>
              </w:rPr>
              <w:softHyphen/>
              <w:t>niert</w:t>
            </w:r>
          </w:p>
        </w:tc>
        <w:tc>
          <w:tcPr>
            <w:tcW w:w="1275" w:type="dxa"/>
            <w:tcBorders>
              <w:top w:val="single" w:sz="4" w:space="0" w:color="auto"/>
              <w:left w:val="single" w:sz="4" w:space="0" w:color="auto"/>
              <w:bottom w:val="single" w:sz="4" w:space="0" w:color="auto"/>
              <w:right w:val="single" w:sz="4" w:space="0" w:color="auto"/>
            </w:tcBorders>
            <w:vAlign w:val="center"/>
          </w:tcPr>
          <w:p w14:paraId="2CC479E4" w14:textId="77777777" w:rsidR="00FF7799" w:rsidRPr="00E73F6F" w:rsidRDefault="00FF7799" w:rsidP="006B13B4">
            <w:pPr>
              <w:spacing w:before="50" w:after="50"/>
              <w:jc w:val="center"/>
              <w:rPr>
                <w:sz w:val="24"/>
                <w:szCs w:val="24"/>
              </w:rPr>
            </w:pPr>
            <w:r w:rsidRPr="00E73F6F">
              <w:rPr>
                <w:sz w:val="24"/>
                <w:szCs w:val="24"/>
              </w:rPr>
              <w:t>veränder</w:t>
            </w:r>
            <w:r w:rsidRPr="00E73F6F">
              <w:rPr>
                <w:sz w:val="24"/>
                <w:szCs w:val="24"/>
              </w:rPr>
              <w:softHyphen/>
              <w:t>lich</w:t>
            </w:r>
          </w:p>
        </w:tc>
        <w:tc>
          <w:tcPr>
            <w:tcW w:w="1418" w:type="dxa"/>
            <w:tcBorders>
              <w:top w:val="single" w:sz="4" w:space="0" w:color="auto"/>
              <w:left w:val="single" w:sz="4" w:space="0" w:color="auto"/>
              <w:bottom w:val="single" w:sz="4" w:space="0" w:color="auto"/>
              <w:right w:val="single" w:sz="4" w:space="0" w:color="auto"/>
            </w:tcBorders>
            <w:vAlign w:val="center"/>
          </w:tcPr>
          <w:p w14:paraId="0884EDFB" w14:textId="77777777" w:rsidR="00FF7799" w:rsidRPr="00E73F6F" w:rsidRDefault="00FF7799" w:rsidP="006B13B4">
            <w:pPr>
              <w:spacing w:before="50" w:after="50"/>
              <w:jc w:val="center"/>
              <w:rPr>
                <w:sz w:val="24"/>
                <w:szCs w:val="24"/>
              </w:rPr>
            </w:pPr>
            <w:r w:rsidRPr="00E73F6F">
              <w:rPr>
                <w:sz w:val="24"/>
                <w:szCs w:val="24"/>
              </w:rPr>
              <w:t>determi</w:t>
            </w:r>
            <w:r w:rsidRPr="00E73F6F">
              <w:rPr>
                <w:sz w:val="24"/>
                <w:szCs w:val="24"/>
              </w:rPr>
              <w:softHyphen/>
              <w:t>niert</w:t>
            </w:r>
          </w:p>
        </w:tc>
        <w:tc>
          <w:tcPr>
            <w:tcW w:w="1276" w:type="dxa"/>
            <w:tcBorders>
              <w:top w:val="single" w:sz="4" w:space="0" w:color="auto"/>
              <w:left w:val="single" w:sz="4" w:space="0" w:color="auto"/>
              <w:bottom w:val="single" w:sz="4" w:space="0" w:color="auto"/>
              <w:right w:val="single" w:sz="4" w:space="0" w:color="auto"/>
            </w:tcBorders>
            <w:vAlign w:val="center"/>
          </w:tcPr>
          <w:p w14:paraId="6EAA7AF7" w14:textId="77777777" w:rsidR="00FF7799" w:rsidRPr="00E73F6F" w:rsidRDefault="00FF7799" w:rsidP="006B13B4">
            <w:pPr>
              <w:spacing w:before="50" w:after="50"/>
              <w:jc w:val="center"/>
              <w:rPr>
                <w:sz w:val="24"/>
                <w:szCs w:val="24"/>
              </w:rPr>
            </w:pPr>
            <w:r w:rsidRPr="00E73F6F">
              <w:rPr>
                <w:sz w:val="24"/>
                <w:szCs w:val="24"/>
              </w:rPr>
              <w:t>veränder</w:t>
            </w:r>
            <w:r w:rsidRPr="00E73F6F">
              <w:rPr>
                <w:sz w:val="24"/>
                <w:szCs w:val="24"/>
              </w:rPr>
              <w:softHyphen/>
              <w:t>lich</w:t>
            </w:r>
          </w:p>
        </w:tc>
        <w:tc>
          <w:tcPr>
            <w:tcW w:w="1417" w:type="dxa"/>
            <w:tcBorders>
              <w:top w:val="single" w:sz="4" w:space="0" w:color="auto"/>
              <w:left w:val="single" w:sz="4" w:space="0" w:color="auto"/>
              <w:bottom w:val="single" w:sz="4" w:space="0" w:color="auto"/>
              <w:right w:val="nil"/>
            </w:tcBorders>
            <w:vAlign w:val="center"/>
          </w:tcPr>
          <w:p w14:paraId="1D3C4C32" w14:textId="77777777" w:rsidR="00FF7799" w:rsidRPr="00E73F6F" w:rsidRDefault="00FF7799" w:rsidP="006B13B4">
            <w:pPr>
              <w:spacing w:before="50" w:after="50"/>
              <w:jc w:val="center"/>
              <w:rPr>
                <w:sz w:val="24"/>
                <w:szCs w:val="24"/>
              </w:rPr>
            </w:pPr>
            <w:r w:rsidRPr="00E73F6F">
              <w:rPr>
                <w:sz w:val="24"/>
                <w:szCs w:val="24"/>
              </w:rPr>
              <w:t>determi</w:t>
            </w:r>
            <w:r w:rsidRPr="00E73F6F">
              <w:rPr>
                <w:sz w:val="24"/>
                <w:szCs w:val="24"/>
              </w:rPr>
              <w:softHyphen/>
              <w:t>niert</w:t>
            </w:r>
          </w:p>
        </w:tc>
      </w:tr>
      <w:tr w:rsidR="00FF7799" w:rsidRPr="00E73F6F" w14:paraId="6D914B69" w14:textId="77777777" w:rsidTr="006B13B4">
        <w:tc>
          <w:tcPr>
            <w:tcW w:w="1442" w:type="dxa"/>
            <w:tcBorders>
              <w:top w:val="single" w:sz="4" w:space="0" w:color="auto"/>
              <w:left w:val="nil"/>
              <w:bottom w:val="single" w:sz="4" w:space="0" w:color="auto"/>
              <w:right w:val="single" w:sz="4" w:space="0" w:color="auto"/>
            </w:tcBorders>
            <w:shd w:val="clear" w:color="auto" w:fill="FFF2CC" w:themeFill="accent4" w:themeFillTint="33"/>
            <w:vAlign w:val="center"/>
          </w:tcPr>
          <w:p w14:paraId="1E37929D" w14:textId="77777777" w:rsidR="00FF7799" w:rsidRPr="00E73F6F" w:rsidRDefault="00FF7799" w:rsidP="006B13B4">
            <w:pPr>
              <w:spacing w:before="50" w:after="50"/>
              <w:rPr>
                <w:b/>
                <w:bCs/>
                <w:sz w:val="24"/>
                <w:szCs w:val="24"/>
              </w:rPr>
            </w:pPr>
            <w:r w:rsidRPr="00E73F6F">
              <w:rPr>
                <w:b/>
                <w:bCs/>
                <w:sz w:val="24"/>
                <w:szCs w:val="24"/>
              </w:rPr>
              <w:t>Beziehung</w:t>
            </w:r>
            <w:r w:rsidRPr="00E73F6F">
              <w:rPr>
                <w:b/>
                <w:bCs/>
                <w:sz w:val="24"/>
                <w:szCs w:val="24"/>
              </w:rPr>
              <w:br/>
              <w:t>zur Natur</w:t>
            </w:r>
          </w:p>
        </w:tc>
        <w:tc>
          <w:tcPr>
            <w:tcW w:w="2316" w:type="dxa"/>
            <w:gridSpan w:val="2"/>
            <w:tcBorders>
              <w:top w:val="single" w:sz="4" w:space="0" w:color="auto"/>
              <w:left w:val="single" w:sz="4" w:space="0" w:color="auto"/>
              <w:bottom w:val="single" w:sz="4" w:space="0" w:color="auto"/>
              <w:right w:val="single" w:sz="4" w:space="0" w:color="auto"/>
            </w:tcBorders>
            <w:vAlign w:val="center"/>
          </w:tcPr>
          <w:p w14:paraId="550050CC" w14:textId="77777777" w:rsidR="00FF7799" w:rsidRPr="00E73F6F" w:rsidRDefault="00FF7799" w:rsidP="006B13B4">
            <w:pPr>
              <w:spacing w:before="50" w:after="50"/>
              <w:jc w:val="center"/>
              <w:rPr>
                <w:sz w:val="24"/>
                <w:szCs w:val="24"/>
              </w:rPr>
            </w:pPr>
            <w:r w:rsidRPr="00E73F6F">
              <w:rPr>
                <w:sz w:val="24"/>
                <w:szCs w:val="24"/>
              </w:rPr>
              <w:t>Unterwerfung des Menschen</w:t>
            </w:r>
            <w:r w:rsidRPr="00E73F6F">
              <w:rPr>
                <w:sz w:val="24"/>
                <w:szCs w:val="24"/>
              </w:rPr>
              <w:br/>
              <w:t>unter die Natur</w:t>
            </w:r>
          </w:p>
        </w:tc>
        <w:tc>
          <w:tcPr>
            <w:tcW w:w="2693" w:type="dxa"/>
            <w:gridSpan w:val="2"/>
            <w:tcBorders>
              <w:top w:val="single" w:sz="4" w:space="0" w:color="auto"/>
              <w:left w:val="single" w:sz="4" w:space="0" w:color="auto"/>
              <w:bottom w:val="single" w:sz="4" w:space="0" w:color="auto"/>
              <w:right w:val="single" w:sz="4" w:space="0" w:color="auto"/>
            </w:tcBorders>
            <w:vAlign w:val="center"/>
          </w:tcPr>
          <w:p w14:paraId="0828920E" w14:textId="77777777" w:rsidR="00FF7799" w:rsidRPr="00E73F6F" w:rsidRDefault="00FF7799" w:rsidP="006B13B4">
            <w:pPr>
              <w:spacing w:before="50" w:after="50"/>
              <w:jc w:val="center"/>
              <w:rPr>
                <w:sz w:val="24"/>
                <w:szCs w:val="24"/>
              </w:rPr>
            </w:pPr>
            <w:r w:rsidRPr="00E73F6F">
              <w:rPr>
                <w:sz w:val="24"/>
                <w:szCs w:val="24"/>
              </w:rPr>
              <w:t>Harmonische</w:t>
            </w:r>
            <w:r w:rsidRPr="00E73F6F">
              <w:rPr>
                <w:sz w:val="24"/>
                <w:szCs w:val="24"/>
              </w:rPr>
              <w:br/>
              <w:t>Beziehung</w:t>
            </w:r>
            <w:r w:rsidRPr="00E73F6F">
              <w:rPr>
                <w:sz w:val="24"/>
                <w:szCs w:val="24"/>
              </w:rPr>
              <w:br/>
              <w:t>mit der Natur</w:t>
            </w:r>
          </w:p>
        </w:tc>
        <w:tc>
          <w:tcPr>
            <w:tcW w:w="2693" w:type="dxa"/>
            <w:gridSpan w:val="2"/>
            <w:tcBorders>
              <w:top w:val="single" w:sz="4" w:space="0" w:color="auto"/>
              <w:left w:val="single" w:sz="4" w:space="0" w:color="auto"/>
              <w:bottom w:val="single" w:sz="4" w:space="0" w:color="auto"/>
              <w:right w:val="nil"/>
            </w:tcBorders>
            <w:vAlign w:val="center"/>
          </w:tcPr>
          <w:p w14:paraId="1777E4CD" w14:textId="77777777" w:rsidR="00FF7799" w:rsidRPr="00E73F6F" w:rsidRDefault="00FF7799" w:rsidP="006B13B4">
            <w:pPr>
              <w:spacing w:before="50" w:after="50"/>
              <w:jc w:val="center"/>
              <w:rPr>
                <w:sz w:val="24"/>
                <w:szCs w:val="24"/>
              </w:rPr>
            </w:pPr>
            <w:r w:rsidRPr="00E73F6F">
              <w:rPr>
                <w:sz w:val="24"/>
                <w:szCs w:val="24"/>
              </w:rPr>
              <w:t>Herrschaft des</w:t>
            </w:r>
            <w:r w:rsidRPr="00E73F6F">
              <w:rPr>
                <w:sz w:val="24"/>
                <w:szCs w:val="24"/>
              </w:rPr>
              <w:br/>
              <w:t>Menschen</w:t>
            </w:r>
            <w:r w:rsidRPr="00E73F6F">
              <w:rPr>
                <w:sz w:val="24"/>
                <w:szCs w:val="24"/>
              </w:rPr>
              <w:br/>
              <w:t>über die Natur</w:t>
            </w:r>
          </w:p>
        </w:tc>
      </w:tr>
      <w:tr w:rsidR="00FF7799" w:rsidRPr="00E73F6F" w14:paraId="28EE4A61" w14:textId="77777777" w:rsidTr="006B13B4">
        <w:tc>
          <w:tcPr>
            <w:tcW w:w="1442" w:type="dxa"/>
            <w:vMerge w:val="restart"/>
            <w:tcBorders>
              <w:top w:val="single" w:sz="4" w:space="0" w:color="auto"/>
              <w:left w:val="nil"/>
              <w:bottom w:val="single" w:sz="4" w:space="0" w:color="auto"/>
              <w:right w:val="single" w:sz="4" w:space="0" w:color="auto"/>
            </w:tcBorders>
            <w:shd w:val="clear" w:color="auto" w:fill="FFF2CC" w:themeFill="accent4" w:themeFillTint="33"/>
            <w:vAlign w:val="center"/>
          </w:tcPr>
          <w:p w14:paraId="7A06EB29" w14:textId="77777777" w:rsidR="00FF7799" w:rsidRPr="00E73F6F" w:rsidRDefault="00FF7799" w:rsidP="006B13B4">
            <w:pPr>
              <w:spacing w:before="50" w:after="50"/>
              <w:rPr>
                <w:b/>
                <w:bCs/>
                <w:sz w:val="24"/>
                <w:szCs w:val="24"/>
              </w:rPr>
            </w:pPr>
            <w:r w:rsidRPr="00E73F6F">
              <w:rPr>
                <w:b/>
                <w:bCs/>
                <w:sz w:val="24"/>
                <w:szCs w:val="24"/>
              </w:rPr>
              <w:t xml:space="preserve">Beziehung zu </w:t>
            </w:r>
            <w:r w:rsidRPr="00E73F6F">
              <w:rPr>
                <w:b/>
                <w:bCs/>
                <w:sz w:val="24"/>
                <w:szCs w:val="24"/>
              </w:rPr>
              <w:br/>
              <w:t>anderen Menschen</w:t>
            </w:r>
          </w:p>
        </w:tc>
        <w:tc>
          <w:tcPr>
            <w:tcW w:w="5009" w:type="dxa"/>
            <w:gridSpan w:val="4"/>
            <w:tcBorders>
              <w:top w:val="single" w:sz="4" w:space="0" w:color="auto"/>
              <w:left w:val="single" w:sz="4" w:space="0" w:color="auto"/>
              <w:bottom w:val="single" w:sz="4" w:space="0" w:color="auto"/>
              <w:right w:val="single" w:sz="4" w:space="0" w:color="auto"/>
            </w:tcBorders>
            <w:vAlign w:val="center"/>
          </w:tcPr>
          <w:p w14:paraId="76787303" w14:textId="77777777" w:rsidR="00FF7799" w:rsidRPr="00E73F6F" w:rsidRDefault="00FF7799" w:rsidP="006B13B4">
            <w:pPr>
              <w:spacing w:before="50" w:after="50"/>
              <w:jc w:val="center"/>
              <w:rPr>
                <w:sz w:val="24"/>
                <w:szCs w:val="24"/>
              </w:rPr>
            </w:pPr>
            <w:r w:rsidRPr="00E73F6F">
              <w:rPr>
                <w:sz w:val="24"/>
                <w:szCs w:val="24"/>
              </w:rPr>
              <w:t>kollektivistisch</w:t>
            </w:r>
          </w:p>
        </w:tc>
        <w:tc>
          <w:tcPr>
            <w:tcW w:w="2693" w:type="dxa"/>
            <w:gridSpan w:val="2"/>
            <w:vMerge w:val="restart"/>
            <w:tcBorders>
              <w:top w:val="single" w:sz="4" w:space="0" w:color="auto"/>
              <w:left w:val="single" w:sz="4" w:space="0" w:color="auto"/>
              <w:bottom w:val="single" w:sz="4" w:space="0" w:color="auto"/>
              <w:right w:val="nil"/>
            </w:tcBorders>
            <w:vAlign w:val="center"/>
          </w:tcPr>
          <w:p w14:paraId="05E12252" w14:textId="77777777" w:rsidR="00FF7799" w:rsidRPr="00E73F6F" w:rsidRDefault="00FF7799" w:rsidP="006B13B4">
            <w:pPr>
              <w:spacing w:before="50" w:after="50"/>
              <w:jc w:val="center"/>
              <w:rPr>
                <w:sz w:val="24"/>
                <w:szCs w:val="24"/>
              </w:rPr>
            </w:pPr>
            <w:r w:rsidRPr="00E73F6F">
              <w:rPr>
                <w:sz w:val="24"/>
                <w:szCs w:val="24"/>
              </w:rPr>
              <w:t>individualistisch</w:t>
            </w:r>
          </w:p>
        </w:tc>
      </w:tr>
      <w:tr w:rsidR="00FF7799" w:rsidRPr="00E73F6F" w14:paraId="399BBB0D" w14:textId="77777777" w:rsidTr="006B13B4">
        <w:tc>
          <w:tcPr>
            <w:tcW w:w="1442" w:type="dxa"/>
            <w:vMerge/>
            <w:tcBorders>
              <w:top w:val="single" w:sz="4" w:space="0" w:color="auto"/>
              <w:left w:val="nil"/>
              <w:bottom w:val="single" w:sz="4" w:space="0" w:color="auto"/>
              <w:right w:val="single" w:sz="4" w:space="0" w:color="auto"/>
            </w:tcBorders>
            <w:shd w:val="clear" w:color="auto" w:fill="FFF2CC" w:themeFill="accent4" w:themeFillTint="33"/>
            <w:vAlign w:val="center"/>
          </w:tcPr>
          <w:p w14:paraId="58A8339E" w14:textId="77777777" w:rsidR="00FF7799" w:rsidRPr="00E73F6F" w:rsidRDefault="00FF7799" w:rsidP="006B13B4">
            <w:pPr>
              <w:spacing w:before="50" w:after="50"/>
              <w:rPr>
                <w:b/>
                <w:bCs/>
                <w:sz w:val="24"/>
                <w:szCs w:val="24"/>
              </w:rPr>
            </w:pPr>
          </w:p>
        </w:tc>
        <w:tc>
          <w:tcPr>
            <w:tcW w:w="2316" w:type="dxa"/>
            <w:gridSpan w:val="2"/>
            <w:tcBorders>
              <w:top w:val="single" w:sz="4" w:space="0" w:color="auto"/>
              <w:left w:val="single" w:sz="4" w:space="0" w:color="auto"/>
              <w:bottom w:val="single" w:sz="4" w:space="0" w:color="auto"/>
              <w:right w:val="single" w:sz="4" w:space="0" w:color="auto"/>
            </w:tcBorders>
            <w:vAlign w:val="center"/>
          </w:tcPr>
          <w:p w14:paraId="47D12012" w14:textId="77777777" w:rsidR="00FF7799" w:rsidRPr="00E73F6F" w:rsidRDefault="00FF7799" w:rsidP="006B13B4">
            <w:pPr>
              <w:spacing w:before="50" w:after="50"/>
              <w:jc w:val="center"/>
              <w:rPr>
                <w:sz w:val="24"/>
                <w:szCs w:val="24"/>
              </w:rPr>
            </w:pPr>
            <w:r w:rsidRPr="00E73F6F">
              <w:rPr>
                <w:sz w:val="24"/>
                <w:szCs w:val="24"/>
              </w:rPr>
              <w:t>hierarchisch</w:t>
            </w:r>
          </w:p>
        </w:tc>
        <w:tc>
          <w:tcPr>
            <w:tcW w:w="2693" w:type="dxa"/>
            <w:gridSpan w:val="2"/>
            <w:tcBorders>
              <w:top w:val="single" w:sz="4" w:space="0" w:color="auto"/>
              <w:left w:val="single" w:sz="4" w:space="0" w:color="auto"/>
              <w:bottom w:val="single" w:sz="4" w:space="0" w:color="auto"/>
              <w:right w:val="single" w:sz="4" w:space="0" w:color="auto"/>
            </w:tcBorders>
            <w:vAlign w:val="center"/>
          </w:tcPr>
          <w:p w14:paraId="3CC82D0E" w14:textId="77777777" w:rsidR="00FF7799" w:rsidRPr="00E73F6F" w:rsidRDefault="00FF7799" w:rsidP="006B13B4">
            <w:pPr>
              <w:spacing w:before="50" w:after="50"/>
              <w:jc w:val="center"/>
              <w:rPr>
                <w:sz w:val="24"/>
                <w:szCs w:val="24"/>
              </w:rPr>
            </w:pPr>
            <w:r w:rsidRPr="00E73F6F">
              <w:rPr>
                <w:sz w:val="24"/>
                <w:szCs w:val="24"/>
              </w:rPr>
              <w:t>gleichberechtigt</w:t>
            </w:r>
          </w:p>
        </w:tc>
        <w:tc>
          <w:tcPr>
            <w:tcW w:w="2693" w:type="dxa"/>
            <w:gridSpan w:val="2"/>
            <w:vMerge/>
            <w:tcBorders>
              <w:top w:val="single" w:sz="4" w:space="0" w:color="auto"/>
              <w:left w:val="single" w:sz="4" w:space="0" w:color="auto"/>
              <w:bottom w:val="single" w:sz="4" w:space="0" w:color="auto"/>
              <w:right w:val="nil"/>
            </w:tcBorders>
            <w:vAlign w:val="center"/>
          </w:tcPr>
          <w:p w14:paraId="667535BF" w14:textId="77777777" w:rsidR="00FF7799" w:rsidRPr="00E73F6F" w:rsidRDefault="00FF7799" w:rsidP="006B13B4">
            <w:pPr>
              <w:spacing w:before="50" w:after="50"/>
              <w:jc w:val="center"/>
              <w:rPr>
                <w:sz w:val="24"/>
                <w:szCs w:val="24"/>
              </w:rPr>
            </w:pPr>
          </w:p>
        </w:tc>
      </w:tr>
      <w:tr w:rsidR="00FF7799" w:rsidRPr="00E73F6F" w14:paraId="791AD4D1" w14:textId="77777777" w:rsidTr="006B13B4">
        <w:tc>
          <w:tcPr>
            <w:tcW w:w="1442" w:type="dxa"/>
            <w:tcBorders>
              <w:top w:val="single" w:sz="4" w:space="0" w:color="auto"/>
              <w:left w:val="nil"/>
              <w:bottom w:val="single" w:sz="4" w:space="0" w:color="auto"/>
              <w:right w:val="single" w:sz="4" w:space="0" w:color="auto"/>
            </w:tcBorders>
            <w:shd w:val="clear" w:color="auto" w:fill="FFF2CC" w:themeFill="accent4" w:themeFillTint="33"/>
            <w:vAlign w:val="center"/>
          </w:tcPr>
          <w:p w14:paraId="2663B352" w14:textId="77777777" w:rsidR="00FF7799" w:rsidRPr="00E73F6F" w:rsidRDefault="00FF7799" w:rsidP="006B13B4">
            <w:pPr>
              <w:spacing w:before="50" w:after="50"/>
              <w:rPr>
                <w:b/>
                <w:bCs/>
                <w:sz w:val="24"/>
                <w:szCs w:val="24"/>
              </w:rPr>
            </w:pPr>
            <w:r w:rsidRPr="00E73F6F">
              <w:rPr>
                <w:b/>
                <w:bCs/>
                <w:sz w:val="24"/>
                <w:szCs w:val="24"/>
              </w:rPr>
              <w:t>Zeitorientierung</w:t>
            </w:r>
          </w:p>
        </w:tc>
        <w:tc>
          <w:tcPr>
            <w:tcW w:w="2316" w:type="dxa"/>
            <w:gridSpan w:val="2"/>
            <w:tcBorders>
              <w:top w:val="single" w:sz="4" w:space="0" w:color="auto"/>
              <w:left w:val="single" w:sz="4" w:space="0" w:color="auto"/>
              <w:bottom w:val="single" w:sz="4" w:space="0" w:color="auto"/>
              <w:right w:val="single" w:sz="4" w:space="0" w:color="auto"/>
            </w:tcBorders>
            <w:vAlign w:val="center"/>
          </w:tcPr>
          <w:p w14:paraId="59E32335" w14:textId="77777777" w:rsidR="00FF7799" w:rsidRPr="00E73F6F" w:rsidRDefault="00FF7799" w:rsidP="006B13B4">
            <w:pPr>
              <w:spacing w:before="50" w:after="50"/>
              <w:jc w:val="center"/>
              <w:rPr>
                <w:sz w:val="24"/>
                <w:szCs w:val="24"/>
              </w:rPr>
            </w:pPr>
            <w:r w:rsidRPr="00E73F6F">
              <w:rPr>
                <w:sz w:val="24"/>
                <w:szCs w:val="24"/>
              </w:rPr>
              <w:t>vergangenheits-</w:t>
            </w:r>
            <w:r w:rsidRPr="00E73F6F">
              <w:rPr>
                <w:sz w:val="24"/>
                <w:szCs w:val="24"/>
              </w:rPr>
              <w:br/>
              <w:t>orientiert</w:t>
            </w:r>
          </w:p>
        </w:tc>
        <w:tc>
          <w:tcPr>
            <w:tcW w:w="2693" w:type="dxa"/>
            <w:gridSpan w:val="2"/>
            <w:tcBorders>
              <w:top w:val="single" w:sz="4" w:space="0" w:color="auto"/>
              <w:left w:val="single" w:sz="4" w:space="0" w:color="auto"/>
              <w:bottom w:val="single" w:sz="4" w:space="0" w:color="auto"/>
              <w:right w:val="single" w:sz="4" w:space="0" w:color="auto"/>
            </w:tcBorders>
            <w:vAlign w:val="center"/>
          </w:tcPr>
          <w:p w14:paraId="79CAA0F6" w14:textId="77777777" w:rsidR="00FF7799" w:rsidRPr="00E73F6F" w:rsidRDefault="00FF7799" w:rsidP="006B13B4">
            <w:pPr>
              <w:spacing w:before="50" w:after="50"/>
              <w:jc w:val="center"/>
              <w:rPr>
                <w:sz w:val="24"/>
                <w:szCs w:val="24"/>
              </w:rPr>
            </w:pPr>
            <w:r w:rsidRPr="00E73F6F">
              <w:rPr>
                <w:sz w:val="24"/>
                <w:szCs w:val="24"/>
              </w:rPr>
              <w:t>gegenwarts-</w:t>
            </w:r>
            <w:r w:rsidRPr="00E73F6F">
              <w:rPr>
                <w:sz w:val="24"/>
                <w:szCs w:val="24"/>
              </w:rPr>
              <w:br/>
              <w:t>orientiert</w:t>
            </w:r>
          </w:p>
        </w:tc>
        <w:tc>
          <w:tcPr>
            <w:tcW w:w="2693" w:type="dxa"/>
            <w:gridSpan w:val="2"/>
            <w:tcBorders>
              <w:top w:val="single" w:sz="4" w:space="0" w:color="auto"/>
              <w:left w:val="single" w:sz="4" w:space="0" w:color="auto"/>
              <w:bottom w:val="single" w:sz="4" w:space="0" w:color="auto"/>
              <w:right w:val="nil"/>
            </w:tcBorders>
            <w:vAlign w:val="center"/>
          </w:tcPr>
          <w:p w14:paraId="6D8DEF1B" w14:textId="77777777" w:rsidR="00FF7799" w:rsidRPr="00E73F6F" w:rsidRDefault="00FF7799" w:rsidP="006B13B4">
            <w:pPr>
              <w:spacing w:before="50" w:after="50"/>
              <w:jc w:val="center"/>
              <w:rPr>
                <w:sz w:val="24"/>
                <w:szCs w:val="24"/>
              </w:rPr>
            </w:pPr>
            <w:r w:rsidRPr="00E73F6F">
              <w:rPr>
                <w:sz w:val="24"/>
                <w:szCs w:val="24"/>
              </w:rPr>
              <w:t>zukunfts-</w:t>
            </w:r>
            <w:r w:rsidRPr="00E73F6F">
              <w:rPr>
                <w:sz w:val="24"/>
                <w:szCs w:val="24"/>
              </w:rPr>
              <w:br/>
              <w:t>orientiert</w:t>
            </w:r>
          </w:p>
        </w:tc>
      </w:tr>
      <w:tr w:rsidR="00FF7799" w:rsidRPr="00E73F6F" w14:paraId="21A63B14" w14:textId="77777777" w:rsidTr="006B13B4">
        <w:tc>
          <w:tcPr>
            <w:tcW w:w="1442" w:type="dxa"/>
            <w:tcBorders>
              <w:top w:val="single" w:sz="4" w:space="0" w:color="auto"/>
              <w:left w:val="nil"/>
              <w:bottom w:val="single" w:sz="4" w:space="0" w:color="auto"/>
              <w:right w:val="single" w:sz="4" w:space="0" w:color="auto"/>
            </w:tcBorders>
            <w:shd w:val="clear" w:color="auto" w:fill="FFF2CC" w:themeFill="accent4" w:themeFillTint="33"/>
            <w:vAlign w:val="center"/>
          </w:tcPr>
          <w:p w14:paraId="1563596E" w14:textId="77777777" w:rsidR="00FF7799" w:rsidRPr="00E73F6F" w:rsidRDefault="00FF7799" w:rsidP="006B13B4">
            <w:pPr>
              <w:spacing w:before="50" w:after="50"/>
              <w:rPr>
                <w:b/>
                <w:bCs/>
                <w:sz w:val="24"/>
                <w:szCs w:val="24"/>
              </w:rPr>
            </w:pPr>
            <w:r w:rsidRPr="00E73F6F">
              <w:rPr>
                <w:b/>
                <w:bCs/>
                <w:sz w:val="24"/>
                <w:szCs w:val="24"/>
              </w:rPr>
              <w:t>Tätigkeits- bzw. Sinnorientierung</w:t>
            </w:r>
          </w:p>
        </w:tc>
        <w:tc>
          <w:tcPr>
            <w:tcW w:w="2316" w:type="dxa"/>
            <w:gridSpan w:val="2"/>
            <w:tcBorders>
              <w:top w:val="single" w:sz="4" w:space="0" w:color="auto"/>
              <w:left w:val="single" w:sz="4" w:space="0" w:color="auto"/>
              <w:bottom w:val="single" w:sz="4" w:space="0" w:color="auto"/>
              <w:right w:val="single" w:sz="4" w:space="0" w:color="auto"/>
            </w:tcBorders>
            <w:vAlign w:val="center"/>
          </w:tcPr>
          <w:p w14:paraId="1F6A7C0C" w14:textId="77777777" w:rsidR="00FF7799" w:rsidRPr="00E73F6F" w:rsidRDefault="00FF7799" w:rsidP="006B13B4">
            <w:pPr>
              <w:spacing w:before="50" w:after="50"/>
              <w:jc w:val="center"/>
              <w:rPr>
                <w:sz w:val="24"/>
                <w:szCs w:val="24"/>
              </w:rPr>
            </w:pPr>
            <w:r w:rsidRPr="00E73F6F">
              <w:rPr>
                <w:sz w:val="24"/>
                <w:szCs w:val="24"/>
              </w:rPr>
              <w:t>Sein</w:t>
            </w:r>
          </w:p>
        </w:tc>
        <w:tc>
          <w:tcPr>
            <w:tcW w:w="2693" w:type="dxa"/>
            <w:gridSpan w:val="2"/>
            <w:tcBorders>
              <w:top w:val="single" w:sz="4" w:space="0" w:color="auto"/>
              <w:left w:val="single" w:sz="4" w:space="0" w:color="auto"/>
              <w:bottom w:val="single" w:sz="4" w:space="0" w:color="auto"/>
              <w:right w:val="single" w:sz="4" w:space="0" w:color="auto"/>
            </w:tcBorders>
            <w:vAlign w:val="center"/>
          </w:tcPr>
          <w:p w14:paraId="53259CD8" w14:textId="77777777" w:rsidR="00FF7799" w:rsidRPr="00E73F6F" w:rsidRDefault="00FF7799" w:rsidP="006B13B4">
            <w:pPr>
              <w:spacing w:before="50" w:after="50"/>
              <w:jc w:val="center"/>
              <w:rPr>
                <w:sz w:val="24"/>
                <w:szCs w:val="24"/>
              </w:rPr>
            </w:pPr>
            <w:r w:rsidRPr="00E73F6F">
              <w:rPr>
                <w:sz w:val="24"/>
                <w:szCs w:val="24"/>
              </w:rPr>
              <w:t>Werden</w:t>
            </w:r>
          </w:p>
        </w:tc>
        <w:tc>
          <w:tcPr>
            <w:tcW w:w="2693" w:type="dxa"/>
            <w:gridSpan w:val="2"/>
            <w:tcBorders>
              <w:top w:val="single" w:sz="4" w:space="0" w:color="auto"/>
              <w:left w:val="single" w:sz="4" w:space="0" w:color="auto"/>
              <w:bottom w:val="single" w:sz="4" w:space="0" w:color="auto"/>
              <w:right w:val="nil"/>
            </w:tcBorders>
            <w:vAlign w:val="center"/>
          </w:tcPr>
          <w:p w14:paraId="64FEE50E" w14:textId="77777777" w:rsidR="00FF7799" w:rsidRPr="00E73F6F" w:rsidRDefault="00FF7799" w:rsidP="006B13B4">
            <w:pPr>
              <w:spacing w:before="50" w:after="50"/>
              <w:jc w:val="center"/>
              <w:rPr>
                <w:sz w:val="24"/>
                <w:szCs w:val="24"/>
              </w:rPr>
            </w:pPr>
            <w:r w:rsidRPr="00E73F6F">
              <w:rPr>
                <w:sz w:val="24"/>
                <w:szCs w:val="24"/>
              </w:rPr>
              <w:t>Tun</w:t>
            </w:r>
          </w:p>
        </w:tc>
      </w:tr>
    </w:tbl>
    <w:p w14:paraId="013544D0" w14:textId="77777777" w:rsidR="00FF7799" w:rsidRPr="00E73F6F" w:rsidRDefault="00FF7799" w:rsidP="004A28F6">
      <w:pPr>
        <w:pStyle w:val="Quellen"/>
      </w:pPr>
      <w:r w:rsidRPr="00E73F6F">
        <w:t>Quelle:</w:t>
      </w:r>
      <w:r w:rsidRPr="00E73F6F">
        <w:tab/>
        <w:t xml:space="preserve">Kluckhohn/Strodtbeck (1961, S.12). </w:t>
      </w:r>
    </w:p>
    <w:p w14:paraId="739D8B2B" w14:textId="77777777" w:rsidR="00FF7799" w:rsidRPr="00E73F6F" w:rsidRDefault="00FF7799" w:rsidP="00862DBA">
      <w:pPr>
        <w:rPr>
          <w:sz w:val="24"/>
          <w:szCs w:val="24"/>
        </w:rPr>
      </w:pPr>
    </w:p>
    <w:p w14:paraId="7DF0E5E2" w14:textId="77777777" w:rsidR="00FF7799" w:rsidRPr="001B1E7E" w:rsidRDefault="00FF7799" w:rsidP="006B13B4">
      <w:pPr>
        <w:pStyle w:val="StandardTextkursiv"/>
        <w:rPr>
          <w:i w:val="0"/>
        </w:rPr>
      </w:pPr>
      <w:bookmarkStart w:id="8" w:name="_Toc64356840"/>
      <w:bookmarkStart w:id="9" w:name="_Toc73438039"/>
      <w:bookmarkStart w:id="10" w:name="_Toc75174986"/>
      <w:r w:rsidRPr="001B1E7E">
        <w:rPr>
          <w:i w:val="0"/>
        </w:rPr>
        <w:t>1 Orientierung „Wesen der menschlichen Natur</w:t>
      </w:r>
      <w:bookmarkEnd w:id="8"/>
      <w:bookmarkEnd w:id="9"/>
      <w:bookmarkEnd w:id="10"/>
      <w:r w:rsidRPr="001B1E7E">
        <w:rPr>
          <w:i w:val="0"/>
        </w:rPr>
        <w:t>“</w:t>
      </w:r>
    </w:p>
    <w:p w14:paraId="1DAFFED2" w14:textId="77777777" w:rsidR="00FF7799" w:rsidRPr="00E73F6F" w:rsidRDefault="00FF7799" w:rsidP="00E90FB4">
      <w:pPr>
        <w:pStyle w:val="StandardText"/>
      </w:pPr>
      <w:r w:rsidRPr="00E73F6F">
        <w:t>Gehen die Mitglieder einer Gesellschaft davon aus, dass der Mensch von Geburt an gut oder böse ist? Wird die „Natur“ des Menschen als prinzipiell veränderlich oder determiniert, d.h. durch Erbgut oder „soziale Lage“ vorgegeben angesehen? Ist der Einzelne davon überzeugt, dass er sein Leben selbst gestalten kann, wie es der amerikanische „Vom Tellerwäscher zum Millionär“-Mythos besagt, oder hält er es für vorbestimmt?</w:t>
      </w:r>
      <w:r w:rsidRPr="00E73F6F">
        <w:rPr>
          <w:bCs/>
        </w:rPr>
        <w:t xml:space="preserve"> Vertrauensgesellschaften </w:t>
      </w:r>
      <w:r w:rsidRPr="00E73F6F">
        <w:t xml:space="preserve">beantworten diese Schlüsselfragen menschlicher Existenz grundlegend anders (d.h. optimistischer) als </w:t>
      </w:r>
      <w:r w:rsidRPr="00E73F6F">
        <w:rPr>
          <w:bCs/>
        </w:rPr>
        <w:t>Misstrauensgesellschaften</w:t>
      </w:r>
      <w:r w:rsidRPr="00E73F6F">
        <w:t xml:space="preserve">. Aus den jeweiligen Antworten lässt sich der vorherrschende Managementstil ableiten. Vertrauen die Vorgesetzten ihren Mitarbeitern, so werden sie häufiger Aufgaben delegieren und seltener kontrollieren, wie diese erfüllt wurden (vgl. Kutschker/Schmid 2011, S.705f.). Während dort die Personalpolitik von der Idee der Personalentwicklung geprägt ist, steht in Misstrauensgesellschaften die Strategie der Personalselektion im Vordergrund. Denn beide Gesellschaftstypen haben grundlegend unterschiedliche Einstellungen zur Machbarkeit bzw. Wünschbarkeit von Veränderungen. Auch kann man vorhersagen, dass sog. Lebenshilfeliteratur, d.h. Ratgeber für beruflichen und privaten Erfolg, vorzugsweise dort Anklang finden, wo es der Landeskultur entspricht, von der Veränderlichkeit der Lebensbedingungen überzeugt zu sein. </w:t>
      </w:r>
    </w:p>
    <w:p w14:paraId="03CF918A" w14:textId="77777777" w:rsidR="00FF7799" w:rsidRPr="00E73F6F" w:rsidRDefault="00FF7799" w:rsidP="00E90FB4">
      <w:pPr>
        <w:pStyle w:val="StandardText"/>
      </w:pPr>
    </w:p>
    <w:p w14:paraId="4D0F070A" w14:textId="77777777" w:rsidR="00FF7799" w:rsidRPr="001B1E7E" w:rsidRDefault="00FF7799" w:rsidP="006B13B4">
      <w:pPr>
        <w:pStyle w:val="StandardTextkursiv"/>
        <w:rPr>
          <w:i w:val="0"/>
        </w:rPr>
      </w:pPr>
      <w:bookmarkStart w:id="11" w:name="_Toc64356841"/>
      <w:bookmarkStart w:id="12" w:name="_Toc73438040"/>
      <w:bookmarkStart w:id="13" w:name="_Toc75174987"/>
      <w:r w:rsidRPr="001B1E7E">
        <w:rPr>
          <w:i w:val="0"/>
        </w:rPr>
        <w:t>2 Orientierung „Beziehung zur Natur</w:t>
      </w:r>
      <w:bookmarkEnd w:id="11"/>
      <w:bookmarkEnd w:id="12"/>
      <w:bookmarkEnd w:id="13"/>
      <w:r w:rsidRPr="001B1E7E">
        <w:rPr>
          <w:i w:val="0"/>
        </w:rPr>
        <w:t>“</w:t>
      </w:r>
    </w:p>
    <w:p w14:paraId="548DF568" w14:textId="77777777" w:rsidR="00FF7799" w:rsidRPr="00E73F6F" w:rsidRDefault="00FF7799" w:rsidP="00E90FB4">
      <w:pPr>
        <w:pStyle w:val="StandardText"/>
      </w:pPr>
      <w:r w:rsidRPr="00E73F6F">
        <w:t>Beherrscht der Mensch die Natur, ist er deren Untertan oder lebt er mit ihr harmonisch zusammen? Gehen die Angehörigen einer Kultur davon aus, dass Gott als Schöpfer der Natur die Umweltbedingungen bestimmt? Oder sind sie davon überzeugt, dass der Mensch alle dafür notwendigen Fähigkeiten und Fertigkeiten besitzt und deshalb jeder das erreichen kann, was er erreichen will? Kulturen, die nicht an die Allmacht des Menschen glauben und deshalb versuchen, mit der Natur in Einklang zu leben, lehnen Umweltzerstörung und Klimaveränderung ab. Unternehmensziele werden dort eher vage formuliert und qualitativ umschrieben. Ganz anders verhält es sich in Can Do-Kulturen. Deren Angehörige sind von den eigenen Kräften und Gestaltungsmöglichkeiten überzeugt und streben danach, die Natur zu beherrschen (statt sich ihr anzupassen). In solchen Gesellschaften werden Unternehmensziele weitgehend unabhängig von äußeren Einflüssen und zumeist eindeutig, spezifisch sowie in quantifizierbarer Weise formuliert.</w:t>
      </w:r>
    </w:p>
    <w:p w14:paraId="650C6A66" w14:textId="77777777" w:rsidR="00FF7799" w:rsidRPr="00E73F6F" w:rsidRDefault="00FF7799" w:rsidP="00E90FB4">
      <w:pPr>
        <w:pStyle w:val="StandardText"/>
      </w:pPr>
    </w:p>
    <w:p w14:paraId="285AC02B" w14:textId="77777777" w:rsidR="00FF7799" w:rsidRPr="001B1E7E" w:rsidRDefault="00FF7799" w:rsidP="006B13B4">
      <w:pPr>
        <w:pStyle w:val="StandardTextkursiv"/>
        <w:rPr>
          <w:i w:val="0"/>
        </w:rPr>
      </w:pPr>
      <w:r w:rsidRPr="001B1E7E">
        <w:rPr>
          <w:i w:val="0"/>
        </w:rPr>
        <w:t>3 Orientierung „Beziehung zu anderen Menschen“</w:t>
      </w:r>
    </w:p>
    <w:p w14:paraId="3C8B07CA" w14:textId="77777777" w:rsidR="00FF7799" w:rsidRPr="00E73F6F" w:rsidRDefault="00FF7799" w:rsidP="00E90FB4">
      <w:pPr>
        <w:pStyle w:val="StandardText"/>
      </w:pPr>
      <w:r w:rsidRPr="00E73F6F">
        <w:t xml:space="preserve">Wie gehen Menschen miteinander um? Haben die Interessen des Einzelnen (= individualistisch) oder die der Gruppe bzw. Organisation Priorität (= kollektivistisch)? Falls es sich um eine kollektivistische Kultur handelt: Ist die Gemeinschaft hierarchisch oder egalitär strukturiert? In individualistischen Gesellschaften legen Unternehmen großen Wert auf die Leistungsfähigkeit des Einzelnen. Hingegen sind in kollektivistischen Ländern solche Eigenschaften wichtig, welche helfen, den Einzelnen in das Unternehmen zu integrieren (z.B. soziale Kompetenz, Kooperationsbereitschaft, Vertrauenswürdigkeit). Dort gestaltet sich die Entscheidungsfindung auch komplexer, da zahlreiche Personen daran beteiligt sind, während in individualistisch geführten Unternehmen gewöhnlich einzelne bzw. wenige Personen die wesentlichen Entscheidungen fällen. </w:t>
      </w:r>
    </w:p>
    <w:p w14:paraId="3CB6A5E0" w14:textId="77777777" w:rsidR="00FF7799" w:rsidRPr="00E73F6F" w:rsidRDefault="00FF7799" w:rsidP="00E90FB4">
      <w:pPr>
        <w:pStyle w:val="StandardText"/>
        <w:rPr>
          <w:i/>
          <w:iCs/>
        </w:rPr>
      </w:pPr>
    </w:p>
    <w:p w14:paraId="460665E1" w14:textId="77777777" w:rsidR="00FF7799" w:rsidRPr="001B1E7E" w:rsidRDefault="00FF7799" w:rsidP="006B13B4">
      <w:pPr>
        <w:pStyle w:val="StandardTextkursiv"/>
        <w:rPr>
          <w:i w:val="0"/>
        </w:rPr>
      </w:pPr>
      <w:r w:rsidRPr="001B1E7E">
        <w:rPr>
          <w:i w:val="0"/>
        </w:rPr>
        <w:t>4 Orientierung „Zeitorientierung“</w:t>
      </w:r>
    </w:p>
    <w:p w14:paraId="7E7F4AF7" w14:textId="77777777" w:rsidR="00FF7799" w:rsidRPr="00E73F6F" w:rsidRDefault="00FF7799" w:rsidP="00E90FB4">
      <w:pPr>
        <w:pStyle w:val="StandardText"/>
      </w:pPr>
      <w:r w:rsidRPr="00E73F6F">
        <w:t xml:space="preserve">Orientiert sich eine Gesellschaft primär an der Vergangenheit, an der Gegenwart oder an der Zukunft? In vergangenheitsorientierten Kulturen hat der Einzelne in Einklang mit den identitätsstiftenden Traditionen zu handeln, während Zukunftsorientierung dafür sorgt, dass stärker auf den zu erwartenden wirtschaftlichen Nutzen von Maßnahmen geachtet wird. Für das Rechnungswesen und die Strategische Unternehmensplanung bspw. lassen sich daraus folgende Grundsatzfragen ableiten: </w:t>
      </w:r>
    </w:p>
    <w:p w14:paraId="746BEAF3" w14:textId="77777777" w:rsidR="00FF7799" w:rsidRPr="00E73F6F" w:rsidRDefault="00FF7799" w:rsidP="00003B51">
      <w:pPr>
        <w:pStyle w:val="StandardTextAufzhlung"/>
        <w:ind w:left="426"/>
        <w:rPr>
          <w:i/>
        </w:rPr>
      </w:pPr>
      <w:r w:rsidRPr="00E73F6F">
        <w:t>Werden Entscheidungen vorwiegend auf der Basis von extrapolierten „Vergangenheitsdaten“ gefällt oder anhand von „Zukunftsdaten“, welche z.B. mit der Szenario- oder der Delphi- Technik gewonnen wurden?</w:t>
      </w:r>
    </w:p>
    <w:p w14:paraId="6B216AFB" w14:textId="77777777" w:rsidR="00FF7799" w:rsidRPr="00E73F6F" w:rsidRDefault="00FF7799" w:rsidP="00003B51">
      <w:pPr>
        <w:pStyle w:val="StandardTextAufzhlung"/>
        <w:ind w:left="426"/>
        <w:rPr>
          <w:i/>
        </w:rPr>
      </w:pPr>
      <w:r w:rsidRPr="00E73F6F">
        <w:t>Ist es zulässig, Strategien, welche bislang (d.h. in der Vergangenheit) erfolgreich waren, in Frage zu stellen?</w:t>
      </w:r>
    </w:p>
    <w:p w14:paraId="7C11FF03" w14:textId="77777777" w:rsidR="00FF7799" w:rsidRPr="00E73F6F" w:rsidRDefault="00FF7799" w:rsidP="00003B51">
      <w:pPr>
        <w:pStyle w:val="StandardTextAufzhlung"/>
        <w:ind w:left="426"/>
        <w:rPr>
          <w:i/>
        </w:rPr>
      </w:pPr>
      <w:r w:rsidRPr="00E73F6F">
        <w:t>Orientiert sich die Bezahlung der Mitarbeiter an der Leistung, die sie in der Vergangenheit erbracht haben, oder an noch zu erbringenden, d.h. zukünftigen Leistungen?</w:t>
      </w:r>
    </w:p>
    <w:p w14:paraId="59712294" w14:textId="77777777" w:rsidR="00FF7799" w:rsidRPr="00E73F6F" w:rsidRDefault="00FF7799" w:rsidP="00E90FB4">
      <w:pPr>
        <w:pStyle w:val="StandardText"/>
      </w:pPr>
    </w:p>
    <w:p w14:paraId="644877C8" w14:textId="77777777" w:rsidR="00FF7799" w:rsidRPr="001B1E7E" w:rsidRDefault="00FF7799" w:rsidP="006B13B4">
      <w:pPr>
        <w:pStyle w:val="StandardTextkursiv"/>
        <w:rPr>
          <w:i w:val="0"/>
        </w:rPr>
      </w:pPr>
      <w:bookmarkStart w:id="14" w:name="_Toc64356844"/>
      <w:bookmarkStart w:id="15" w:name="_Toc73438043"/>
      <w:bookmarkStart w:id="16" w:name="_Toc75174990"/>
      <w:r w:rsidRPr="001B1E7E">
        <w:rPr>
          <w:i w:val="0"/>
        </w:rPr>
        <w:t>5 Orientierung „Tätigkeit vs. Sinn</w:t>
      </w:r>
      <w:bookmarkEnd w:id="14"/>
      <w:bookmarkEnd w:id="15"/>
      <w:bookmarkEnd w:id="16"/>
      <w:r w:rsidRPr="001B1E7E">
        <w:rPr>
          <w:i w:val="0"/>
        </w:rPr>
        <w:t>“</w:t>
      </w:r>
    </w:p>
    <w:p w14:paraId="4B2822B3" w14:textId="77777777" w:rsidR="00FF7799" w:rsidRPr="00E73F6F" w:rsidRDefault="00FF7799" w:rsidP="00E90FB4">
      <w:pPr>
        <w:pStyle w:val="StandardText"/>
      </w:pPr>
      <w:r w:rsidRPr="00E73F6F">
        <w:t>Misst eine Gesellschaft dem Sein, dem Werden oder dem Tun größere Bedeutung bei? Mitglieder handlungsorientierter Kulturen gehen davon aus, dass Leistung prinzipiell messbar ist und folglich belohnt (oder bestraft) werden kann. Zu den extrinsischen Anreizen gehören Hygiene-</w:t>
      </w:r>
      <w:r w:rsidRPr="00E73F6F">
        <w:lastRenderedPageBreak/>
        <w:t>Faktoren wie Gehalt, Boni, Beförderung oder Aktienoptionen. Daseinsorientierte Kulturen („sein“) leben hingegen im „Hier und Jetzt“. Ihre Grundthese lautet: Entscheidungen und Maßnahmen lassen sich nur bis zu einem gewissen Grad planen und objektiv bewerten, da sie von vielen exogenen bzw. zufälligen Faktoren abhängen. Anders als die Handlungsorientierten streben die Daseinsorientierten auch nicht primär danach, „viel zu erreichen“, sondern „viel zu erleben“. Da ihrer Auffassung zufolge detaillierte Planung, Zielvorgaben, Soll-/Ist-Vergleiche sowie umfassende Berichts- und Kontrollsysteme häufig nicht realisierbar sind bzw. oft revidiert werden müssen, behindern diese Instrumente die tägliche Arbeit eher, als dass sie Erleichterung verschaffen (vgl. Kutschker/Schmid 2011, S.709f.).</w:t>
      </w:r>
    </w:p>
    <w:p w14:paraId="5DC80E35" w14:textId="77777777" w:rsidR="00FF7799" w:rsidRPr="00E73F6F" w:rsidRDefault="00FF7799" w:rsidP="00862DBA">
      <w:pPr>
        <w:rPr>
          <w:sz w:val="24"/>
          <w:szCs w:val="24"/>
        </w:rPr>
      </w:pPr>
    </w:p>
    <w:p w14:paraId="5ED5F7A5" w14:textId="77777777" w:rsidR="00FF7799" w:rsidRPr="001B1E7E" w:rsidRDefault="00FF7799" w:rsidP="006B13B4">
      <w:pPr>
        <w:pStyle w:val="StandardTextkursiv"/>
        <w:rPr>
          <w:i w:val="0"/>
        </w:rPr>
      </w:pPr>
      <w:r w:rsidRPr="001B1E7E">
        <w:rPr>
          <w:i w:val="0"/>
        </w:rPr>
        <w:t>6 Kritische Würdigung</w:t>
      </w:r>
    </w:p>
    <w:p w14:paraId="518A6076" w14:textId="77777777" w:rsidR="00FF7799" w:rsidRPr="00E73F6F" w:rsidRDefault="001B1E7E" w:rsidP="00E90FB4">
      <w:pPr>
        <w:pStyle w:val="StandardText"/>
      </w:pPr>
      <w:r>
        <w:t xml:space="preserve">Die empirische Basis dieser </w:t>
      </w:r>
      <w:r>
        <w:sym w:font="Symbol" w:char="F0DE"/>
      </w:r>
      <w:r w:rsidR="00FF7799" w:rsidRPr="00E73F6F">
        <w:t xml:space="preserve"> anthropologischen Studie ist schmal. Damit stellt sich die Frage nach der Generalisierbarkeit der Befunde: Welche Schlussfolgerungen können aus der Befragung von Angehörigen von „Eingeborenen-Gemeinschaften der Rimrocks im Südwesten der USA“ (Kutschker/Schmid 2011, S.704) für das Verhalten von Managern, Konsumenten etc. in hochentwickelten Industrienationen gezogen werden? Unstrittig aber ist, dass </w:t>
      </w:r>
      <w:r w:rsidR="00FF7799" w:rsidRPr="00E73F6F">
        <w:rPr>
          <w:i/>
        </w:rPr>
        <w:t>Kluckhohn &amp; Strodtbeck</w:t>
      </w:r>
      <w:r w:rsidR="00FF7799" w:rsidRPr="00E73F6F">
        <w:t xml:space="preserve"> Pionierarbeit geleistet und frühzeitig die grundsätzliche Bedeutung kultureller Orientierungen für das Verhalten aufgezeigt haben.</w:t>
      </w:r>
    </w:p>
    <w:p w14:paraId="44A381CF" w14:textId="77777777" w:rsidR="00FF7799" w:rsidRPr="001B1E7E" w:rsidRDefault="00FF7799" w:rsidP="00E90FB4">
      <w:pPr>
        <w:pStyle w:val="StandardText"/>
        <w:rPr>
          <w:sz w:val="22"/>
          <w:szCs w:val="22"/>
        </w:rPr>
      </w:pPr>
      <w:r w:rsidRPr="001B1E7E">
        <w:rPr>
          <w:b/>
          <w:i/>
          <w:sz w:val="22"/>
          <w:szCs w:val="22"/>
          <w:lang w:val="en-US"/>
        </w:rPr>
        <w:t>Literatur:</w:t>
      </w:r>
      <w:r w:rsidRPr="001B1E7E">
        <w:rPr>
          <w:b/>
          <w:sz w:val="22"/>
          <w:szCs w:val="22"/>
          <w:lang w:val="en-US"/>
        </w:rPr>
        <w:t xml:space="preserve"> </w:t>
      </w:r>
      <w:r w:rsidRPr="001B1E7E">
        <w:rPr>
          <w:sz w:val="22"/>
          <w:szCs w:val="22"/>
          <w:lang w:val="en-US" w:eastAsia="en-US"/>
        </w:rPr>
        <w:t xml:space="preserve">Adler, N.J.; with Gundersen, A. (2008): International Dimensions of Organizational Behavior, 5th Ed., Mason/OH: Thomson South-Western. </w:t>
      </w:r>
      <w:r w:rsidRPr="001B1E7E">
        <w:rPr>
          <w:sz w:val="22"/>
          <w:szCs w:val="22"/>
          <w:lang w:val="en-US"/>
        </w:rPr>
        <w:t xml:space="preserve">Evan, W. (1974): Culture and Organizational Systems, Quarterly Journal of Management Development, 5(4): 1-16. Kluckhohn, F.R.; Strodtbeck, F.L. (1961): Variations in Value Orientations, Evanston/IL: Row, Peterson. </w:t>
      </w:r>
      <w:r w:rsidRPr="001B1E7E">
        <w:rPr>
          <w:sz w:val="22"/>
          <w:szCs w:val="22"/>
        </w:rPr>
        <w:t>Kutschker, M.; Schmid, S. (2011): Internationales Management, 7.Aufl., München: Oldenbourg. Trompenaars, F. (1993): Handbuch globales managen: Wie man kulturelle Unterschiede im Geschäftsleben versteht, Düsseldorf: Econ.</w:t>
      </w:r>
    </w:p>
    <w:p w14:paraId="4FB7AE1A" w14:textId="77777777" w:rsidR="004A28F6" w:rsidRPr="00E73F6F" w:rsidRDefault="004A28F6" w:rsidP="00E90FB4">
      <w:pPr>
        <w:pStyle w:val="StandardText"/>
        <w:rPr>
          <w:lang w:eastAsia="en-US"/>
        </w:rPr>
      </w:pPr>
    </w:p>
    <w:p w14:paraId="549EF55C" w14:textId="77777777" w:rsidR="00FF7799" w:rsidRPr="00003B51" w:rsidRDefault="00FF7799" w:rsidP="005E04A5">
      <w:pPr>
        <w:pStyle w:val="berschrift1"/>
        <w:rPr>
          <w:bCs w:val="0"/>
          <w:color w:val="2E74B5"/>
          <w:sz w:val="22"/>
          <w:lang w:val="en-US"/>
        </w:rPr>
      </w:pPr>
      <w:r w:rsidRPr="00003B51">
        <w:rPr>
          <w:bCs w:val="0"/>
          <w:color w:val="2E74B5"/>
          <w:sz w:val="22"/>
          <w:lang w:val="en-US"/>
        </w:rPr>
        <w:t>Fundamentalismus</w:t>
      </w:r>
    </w:p>
    <w:p w14:paraId="7137A30F" w14:textId="77777777" w:rsidR="00FF7799" w:rsidRPr="001B1E7E" w:rsidRDefault="00FF7799" w:rsidP="00E90FB4">
      <w:pPr>
        <w:pStyle w:val="StandardText"/>
      </w:pPr>
      <w:r w:rsidRPr="001B1E7E">
        <w:t xml:space="preserve">längst überwunden geglaubtes, aber zunehmend wieder bedeutsames </w:t>
      </w:r>
      <w:r w:rsidR="00D22D27">
        <w:sym w:font="Symbol" w:char="F0DE"/>
      </w:r>
      <w:r w:rsidR="00D22D27">
        <w:t xml:space="preserve"> </w:t>
      </w:r>
      <w:r w:rsidRPr="001B1E7E">
        <w:t>Weltbild liefert</w:t>
      </w:r>
      <w:r w:rsidRPr="001B1E7E">
        <w:rPr>
          <w:spacing w:val="-7"/>
        </w:rPr>
        <w:t xml:space="preserve"> </w:t>
      </w:r>
      <w:r w:rsidRPr="001B1E7E">
        <w:t>der</w:t>
      </w:r>
      <w:r w:rsidRPr="001B1E7E">
        <w:rPr>
          <w:spacing w:val="-8"/>
        </w:rPr>
        <w:t xml:space="preserve"> </w:t>
      </w:r>
      <w:r w:rsidRPr="001B1E7E">
        <w:t>Fundamentalismus.</w:t>
      </w:r>
      <w:r w:rsidRPr="001B1E7E">
        <w:rPr>
          <w:spacing w:val="-7"/>
        </w:rPr>
        <w:t xml:space="preserve"> </w:t>
      </w:r>
      <w:r w:rsidRPr="001B1E7E">
        <w:t>Für</w:t>
      </w:r>
      <w:r w:rsidRPr="001B1E7E">
        <w:rPr>
          <w:spacing w:val="-10"/>
        </w:rPr>
        <w:t xml:space="preserve"> </w:t>
      </w:r>
      <w:r w:rsidRPr="001B1E7E">
        <w:t>ihn</w:t>
      </w:r>
      <w:r w:rsidRPr="001B1E7E">
        <w:rPr>
          <w:spacing w:val="-7"/>
        </w:rPr>
        <w:t xml:space="preserve"> </w:t>
      </w:r>
      <w:r w:rsidRPr="001B1E7E">
        <w:t>ist</w:t>
      </w:r>
      <w:r w:rsidRPr="001B1E7E">
        <w:rPr>
          <w:spacing w:val="-7"/>
        </w:rPr>
        <w:t xml:space="preserve"> </w:t>
      </w:r>
      <w:r w:rsidRPr="001B1E7E">
        <w:t>charakteristisch,</w:t>
      </w:r>
      <w:r w:rsidRPr="001B1E7E">
        <w:rPr>
          <w:spacing w:val="-10"/>
        </w:rPr>
        <w:t xml:space="preserve"> </w:t>
      </w:r>
      <w:r w:rsidRPr="001B1E7E">
        <w:t>dass</w:t>
      </w:r>
      <w:r w:rsidRPr="001B1E7E">
        <w:rPr>
          <w:spacing w:val="-9"/>
        </w:rPr>
        <w:t xml:space="preserve"> </w:t>
      </w:r>
      <w:r w:rsidRPr="001B1E7E">
        <w:t>seine</w:t>
      </w:r>
      <w:r w:rsidRPr="001B1E7E">
        <w:rPr>
          <w:spacing w:val="-11"/>
        </w:rPr>
        <w:t xml:space="preserve"> </w:t>
      </w:r>
      <w:r w:rsidRPr="001B1E7E">
        <w:t>Anhänger</w:t>
      </w:r>
      <w:r w:rsidRPr="001B1E7E">
        <w:rPr>
          <w:spacing w:val="-10"/>
        </w:rPr>
        <w:t xml:space="preserve"> </w:t>
      </w:r>
      <w:r w:rsidRPr="001B1E7E">
        <w:t>die eigenen tradierten Normen und Werte (z.B. Ehre) als zweifelsfreie Koordinaten einer unveränderlichen und mit buchstäblich allen Mitteln zu verteidigenden Denk- und Lebensmodells empfinden. Für Fundamentalisten sind Glaube und Wissen, Religion und Politik, Regierung und Regierte etc. nicht zu Trennendes, sondern als Ausdruck einer absoluten und allumfassenden Offenbarung eine untrennbare Einheit. Nicht nur für islamische Fundamentalisten ist ein solches ideologisch-simplifizierendes Weltbild charakteristisch, das sich häufig mit nationalistischem</w:t>
      </w:r>
      <w:r w:rsidRPr="001B1E7E">
        <w:rPr>
          <w:spacing w:val="-12"/>
        </w:rPr>
        <w:t xml:space="preserve"> </w:t>
      </w:r>
      <w:r w:rsidRPr="001B1E7E">
        <w:t>Gedankengut</w:t>
      </w:r>
      <w:r w:rsidRPr="001B1E7E">
        <w:rPr>
          <w:spacing w:val="-11"/>
        </w:rPr>
        <w:t xml:space="preserve"> </w:t>
      </w:r>
      <w:r w:rsidRPr="001B1E7E">
        <w:t>durchsetzt.</w:t>
      </w:r>
      <w:r w:rsidRPr="001B1E7E">
        <w:rPr>
          <w:spacing w:val="-11"/>
        </w:rPr>
        <w:t xml:space="preserve"> </w:t>
      </w:r>
      <w:r w:rsidRPr="001B1E7E">
        <w:t>Auch</w:t>
      </w:r>
      <w:r w:rsidRPr="001B1E7E">
        <w:rPr>
          <w:spacing w:val="-11"/>
        </w:rPr>
        <w:t xml:space="preserve"> </w:t>
      </w:r>
      <w:r w:rsidRPr="001B1E7E">
        <w:t>unter</w:t>
      </w:r>
      <w:r w:rsidRPr="001B1E7E">
        <w:rPr>
          <w:spacing w:val="-12"/>
        </w:rPr>
        <w:t xml:space="preserve"> </w:t>
      </w:r>
      <w:r w:rsidRPr="001B1E7E">
        <w:t>den</w:t>
      </w:r>
      <w:r w:rsidRPr="001B1E7E">
        <w:rPr>
          <w:spacing w:val="-11"/>
        </w:rPr>
        <w:t xml:space="preserve"> </w:t>
      </w:r>
      <w:r w:rsidRPr="001B1E7E">
        <w:t>übrigen</w:t>
      </w:r>
      <w:r w:rsidRPr="001B1E7E">
        <w:rPr>
          <w:spacing w:val="-11"/>
        </w:rPr>
        <w:t xml:space="preserve"> </w:t>
      </w:r>
      <w:r w:rsidRPr="001B1E7E">
        <w:t>Weltreligionen und soziopolitischen Bewegungen finden sich fundamentalistische Strömungen. Zu nennen sind u.a. …</w:t>
      </w:r>
    </w:p>
    <w:p w14:paraId="7E777214" w14:textId="0ADF3411" w:rsidR="00FF7799" w:rsidRPr="001B1E7E" w:rsidRDefault="00FF7799" w:rsidP="00003B51">
      <w:pPr>
        <w:pStyle w:val="StandardTextAufzhlung"/>
        <w:ind w:left="426"/>
      </w:pPr>
      <w:r w:rsidRPr="001B1E7E">
        <w:t>Opu</w:t>
      </w:r>
      <w:r w:rsidR="00003B51">
        <w:t>s</w:t>
      </w:r>
      <w:r w:rsidRPr="001B1E7E">
        <w:rPr>
          <w:spacing w:val="-1"/>
        </w:rPr>
        <w:t xml:space="preserve"> </w:t>
      </w:r>
      <w:r w:rsidRPr="001B1E7E">
        <w:t>Dei</w:t>
      </w:r>
      <w:r w:rsidRPr="001B1E7E">
        <w:rPr>
          <w:spacing w:val="-1"/>
        </w:rPr>
        <w:t xml:space="preserve"> </w:t>
      </w:r>
      <w:r w:rsidRPr="001B1E7E">
        <w:t>(als</w:t>
      </w:r>
      <w:r w:rsidRPr="001B1E7E">
        <w:rPr>
          <w:spacing w:val="-1"/>
        </w:rPr>
        <w:t xml:space="preserve"> </w:t>
      </w:r>
      <w:r w:rsidRPr="001B1E7E">
        <w:t>Beispiel</w:t>
      </w:r>
      <w:r w:rsidRPr="001B1E7E">
        <w:rPr>
          <w:spacing w:val="-2"/>
        </w:rPr>
        <w:t xml:space="preserve"> </w:t>
      </w:r>
      <w:r w:rsidRPr="001B1E7E">
        <w:t>für</w:t>
      </w:r>
      <w:r w:rsidRPr="001B1E7E">
        <w:rPr>
          <w:spacing w:val="-1"/>
        </w:rPr>
        <w:t xml:space="preserve"> </w:t>
      </w:r>
      <w:r w:rsidRPr="001B1E7E">
        <w:t>einen</w:t>
      </w:r>
      <w:r w:rsidRPr="001B1E7E">
        <w:rPr>
          <w:spacing w:val="-3"/>
        </w:rPr>
        <w:t xml:space="preserve"> </w:t>
      </w:r>
      <w:r w:rsidRPr="001B1E7E">
        <w:t>katholischen</w:t>
      </w:r>
      <w:r w:rsidRPr="001B1E7E">
        <w:rPr>
          <w:spacing w:val="-2"/>
        </w:rPr>
        <w:t xml:space="preserve"> Fundamentalismus),</w:t>
      </w:r>
    </w:p>
    <w:p w14:paraId="47605E61" w14:textId="77777777" w:rsidR="00FF7799" w:rsidRPr="001B1E7E" w:rsidRDefault="00FF7799" w:rsidP="00003B51">
      <w:pPr>
        <w:pStyle w:val="StandardTextAufzhlung"/>
        <w:ind w:left="426"/>
      </w:pPr>
      <w:r w:rsidRPr="001B1E7E">
        <w:t>die militante Siedlerbewegung in Israel (als Beispiel für einen jüdischen Fundamentalismus) und</w:t>
      </w:r>
    </w:p>
    <w:p w14:paraId="5711857B" w14:textId="77777777" w:rsidR="00FF7799" w:rsidRPr="001B1E7E" w:rsidRDefault="00FF7799" w:rsidP="00003B51">
      <w:pPr>
        <w:pStyle w:val="StandardTextAufzhlung"/>
        <w:ind w:left="426"/>
      </w:pPr>
      <w:r w:rsidRPr="001B1E7E">
        <w:t xml:space="preserve">die Bharatiya Janata-Partei (als Beispiel für einen hinduistischen </w:t>
      </w:r>
      <w:r w:rsidRPr="001B1E7E">
        <w:rPr>
          <w:spacing w:val="-2"/>
        </w:rPr>
        <w:t>Fundamentalismus).</w:t>
      </w:r>
    </w:p>
    <w:p w14:paraId="563A9C25" w14:textId="77777777" w:rsidR="00FF7799" w:rsidRPr="00E73F6F" w:rsidRDefault="00FF7799" w:rsidP="00E90FB4">
      <w:pPr>
        <w:pStyle w:val="StandardText"/>
      </w:pPr>
    </w:p>
    <w:p w14:paraId="218516D4" w14:textId="77777777" w:rsidR="00FF7799" w:rsidRPr="00E73F6F" w:rsidRDefault="00FF7799" w:rsidP="005E04A5">
      <w:pPr>
        <w:pStyle w:val="berschrift1"/>
      </w:pPr>
      <w:r w:rsidRPr="00003B51">
        <w:rPr>
          <w:bCs w:val="0"/>
          <w:color w:val="2E74B5"/>
          <w:sz w:val="22"/>
          <w:lang w:val="en-US"/>
        </w:rPr>
        <w:t>Fusion</w:t>
      </w:r>
      <w:r w:rsidRPr="00E73F6F">
        <w:t xml:space="preserve"> </w:t>
      </w:r>
      <w:r w:rsidRPr="00E73F6F">
        <w:rPr>
          <w:b w:val="0"/>
        </w:rPr>
        <w:t>→ Third Culture</w:t>
      </w:r>
    </w:p>
    <w:p w14:paraId="09C97F43" w14:textId="77777777" w:rsidR="00FF7799" w:rsidRPr="00E73F6F" w:rsidRDefault="00FF7799" w:rsidP="005E04A5">
      <w:pPr>
        <w:pStyle w:val="berschrift1"/>
      </w:pPr>
      <w:r w:rsidRPr="00003B51">
        <w:rPr>
          <w:bCs w:val="0"/>
          <w:color w:val="2E74B5"/>
          <w:sz w:val="22"/>
          <w:lang w:val="en-US"/>
        </w:rPr>
        <w:t>Geldwäsche</w:t>
      </w:r>
      <w:r w:rsidRPr="00E73F6F">
        <w:rPr>
          <w:spacing w:val="-6"/>
        </w:rPr>
        <w:t xml:space="preserve"> </w:t>
      </w:r>
      <w:r w:rsidRPr="00E73F6F">
        <w:rPr>
          <w:b w:val="0"/>
        </w:rPr>
        <w:t>→</w:t>
      </w:r>
      <w:r w:rsidRPr="00E73F6F">
        <w:rPr>
          <w:b w:val="0"/>
          <w:spacing w:val="-2"/>
        </w:rPr>
        <w:t xml:space="preserve"> Fluchtkapital</w:t>
      </w:r>
    </w:p>
    <w:p w14:paraId="1223E251" w14:textId="77777777" w:rsidR="00FF7799" w:rsidRPr="00E73F6F" w:rsidRDefault="00FF7799" w:rsidP="005E04A5">
      <w:pPr>
        <w:pStyle w:val="berschrift1"/>
        <w:rPr>
          <w:spacing w:val="-2"/>
        </w:rPr>
      </w:pPr>
      <w:r w:rsidRPr="00003B51">
        <w:rPr>
          <w:bCs w:val="0"/>
          <w:color w:val="2E74B5"/>
          <w:sz w:val="22"/>
          <w:lang w:val="en-US"/>
        </w:rPr>
        <w:lastRenderedPageBreak/>
        <w:t xml:space="preserve">Genetik </w:t>
      </w:r>
      <w:r w:rsidRPr="00E73F6F">
        <w:rPr>
          <w:b w:val="0"/>
        </w:rPr>
        <w:t>→</w:t>
      </w:r>
      <w:r w:rsidRPr="00E73F6F">
        <w:rPr>
          <w:b w:val="0"/>
          <w:spacing w:val="-2"/>
        </w:rPr>
        <w:t xml:space="preserve"> Determinismus</w:t>
      </w:r>
    </w:p>
    <w:p w14:paraId="05AE0104" w14:textId="77777777" w:rsidR="00FF7799" w:rsidRPr="00E73F6F" w:rsidRDefault="00FF7799" w:rsidP="005E04A5">
      <w:pPr>
        <w:pStyle w:val="berschrift1"/>
        <w:rPr>
          <w:spacing w:val="-2"/>
        </w:rPr>
      </w:pPr>
      <w:r w:rsidRPr="00003B51">
        <w:rPr>
          <w:bCs w:val="0"/>
          <w:color w:val="2E74B5"/>
          <w:sz w:val="22"/>
          <w:lang w:val="en-US"/>
        </w:rPr>
        <w:t>Geodeterminismus-Theorie</w:t>
      </w:r>
      <w:r w:rsidRPr="00E73F6F">
        <w:t xml:space="preserve"> </w:t>
      </w:r>
      <w:r w:rsidRPr="00E73F6F">
        <w:rPr>
          <w:b w:val="0"/>
        </w:rPr>
        <w:t>→ Determinismus</w:t>
      </w:r>
    </w:p>
    <w:p w14:paraId="5CF45DC4" w14:textId="04296C25" w:rsidR="00FF7799" w:rsidRPr="00003B51" w:rsidRDefault="00FF7799" w:rsidP="005E04A5">
      <w:pPr>
        <w:pStyle w:val="berschrift1"/>
        <w:rPr>
          <w:bCs w:val="0"/>
          <w:color w:val="2E74B5"/>
          <w:sz w:val="22"/>
          <w:lang w:val="en-US"/>
        </w:rPr>
      </w:pPr>
      <w:bookmarkStart w:id="17" w:name="_Toc413520082"/>
      <w:r w:rsidRPr="00003B51">
        <w:rPr>
          <w:bCs w:val="0"/>
          <w:color w:val="2E74B5"/>
          <w:sz w:val="22"/>
          <w:lang w:val="en-US"/>
        </w:rPr>
        <w:t>Geographisch-konfessionelle Segmentierung</w:t>
      </w:r>
      <w:r w:rsidR="00003B51">
        <w:rPr>
          <w:bCs w:val="0"/>
          <w:color w:val="2E74B5"/>
          <w:sz w:val="22"/>
          <w:lang w:val="en-US"/>
        </w:rPr>
        <w:t xml:space="preserve">: (1) </w:t>
      </w:r>
      <w:r w:rsidR="00003B51" w:rsidRPr="00003B51">
        <w:rPr>
          <w:bCs w:val="0"/>
          <w:color w:val="2E74B5"/>
          <w:sz w:val="22"/>
          <w:lang w:val="en-US"/>
        </w:rPr>
        <w:t>D</w:t>
      </w:r>
      <w:r w:rsidRPr="00003B51">
        <w:rPr>
          <w:bCs w:val="0"/>
          <w:color w:val="2E74B5"/>
          <w:sz w:val="22"/>
          <w:lang w:val="en-US"/>
        </w:rPr>
        <w:t>ie Civilizations</w:t>
      </w:r>
      <w:bookmarkEnd w:id="17"/>
    </w:p>
    <w:p w14:paraId="25BE0724" w14:textId="77777777" w:rsidR="00FF7799" w:rsidRPr="00E73F6F" w:rsidRDefault="00FF7799" w:rsidP="00B5011C">
      <w:pPr>
        <w:pStyle w:val="StandardText"/>
      </w:pPr>
      <w:r w:rsidRPr="00E73F6F">
        <w:t>basiert auf J.G. Herders These, wonach Kulturen in sich und gegeneinander abgeschlossene Ganzheiten sind, sowie Spenglers (1918-1922) Kulturkreistheorie. Davon ausgehend beschrieb Huntington (1996; 1993) transnationale Kultur</w:t>
      </w:r>
      <w:r w:rsidRPr="00E73F6F">
        <w:softHyphen/>
        <w:t xml:space="preserve">räume, sog. ‘civilizations‘, mit jeweils spezifischen Werte- und Handlungssystemen: Nicht mehr Nationalstaaten, wie im 19. und 20. Jahrhundert, prägen demnach im 21. Jahrhundert die internationalen Beziehungen, sondern neun Kulturräume (bzw. Zivilisationen): </w:t>
      </w:r>
    </w:p>
    <w:p w14:paraId="0624A8E1" w14:textId="77777777" w:rsidR="00FF7799" w:rsidRPr="00E73F6F" w:rsidRDefault="00FF7799" w:rsidP="00003B51">
      <w:pPr>
        <w:pStyle w:val="StandardTextAufzhlung"/>
        <w:ind w:left="426"/>
      </w:pPr>
      <w:r w:rsidRPr="00E73F6F">
        <w:t>westliche Zivilisation (Westeuropa, Nordamerika, Australien und Neuseeland),</w:t>
      </w:r>
    </w:p>
    <w:p w14:paraId="476F6713" w14:textId="77777777" w:rsidR="00FF7799" w:rsidRPr="00E73F6F" w:rsidRDefault="00FF7799" w:rsidP="00003B51">
      <w:pPr>
        <w:pStyle w:val="StandardTextAufzhlung"/>
        <w:ind w:left="426"/>
      </w:pPr>
      <w:r w:rsidRPr="00E73F6F">
        <w:t>lateinamerikanische Zivilisation,</w:t>
      </w:r>
    </w:p>
    <w:p w14:paraId="17D22B9B" w14:textId="77777777" w:rsidR="00FF7799" w:rsidRPr="00E73F6F" w:rsidRDefault="00FF7799" w:rsidP="00003B51">
      <w:pPr>
        <w:pStyle w:val="StandardTextAufzhlung"/>
        <w:ind w:left="426"/>
      </w:pPr>
      <w:r w:rsidRPr="00E73F6F">
        <w:t>afrikanische Zivilisation der Subsahara,</w:t>
      </w:r>
    </w:p>
    <w:p w14:paraId="74DF9BC4" w14:textId="77777777" w:rsidR="00FF7799" w:rsidRPr="00E73F6F" w:rsidRDefault="00FF7799" w:rsidP="00003B51">
      <w:pPr>
        <w:pStyle w:val="StandardTextAufzhlung"/>
        <w:ind w:left="426"/>
      </w:pPr>
      <w:r w:rsidRPr="00E73F6F">
        <w:t>orthodoxe Zivilisation (Russland sowie große Teile Ost- und Südosteuropas),</w:t>
      </w:r>
    </w:p>
    <w:p w14:paraId="4167B2D4" w14:textId="77777777" w:rsidR="00FF7799" w:rsidRPr="00E73F6F" w:rsidRDefault="00FF7799" w:rsidP="00003B51">
      <w:pPr>
        <w:pStyle w:val="StandardTextAufzhlung"/>
        <w:ind w:left="426"/>
      </w:pPr>
      <w:r w:rsidRPr="00E73F6F">
        <w:t>chinesisch-konfuzianische Zivilisation,</w:t>
      </w:r>
    </w:p>
    <w:p w14:paraId="424435F9" w14:textId="77777777" w:rsidR="00FF7799" w:rsidRPr="00E73F6F" w:rsidRDefault="00FF7799" w:rsidP="00003B51">
      <w:pPr>
        <w:pStyle w:val="StandardTextAufzhlung"/>
        <w:ind w:left="426"/>
      </w:pPr>
      <w:r w:rsidRPr="00E73F6F">
        <w:t>buddhistische Zivilisation (Tibet, Mongolei, Südostasien),</w:t>
      </w:r>
    </w:p>
    <w:p w14:paraId="4DD76BD2" w14:textId="77777777" w:rsidR="00FF7799" w:rsidRPr="00E73F6F" w:rsidRDefault="00FF7799" w:rsidP="00003B51">
      <w:pPr>
        <w:pStyle w:val="StandardTextAufzhlung"/>
        <w:ind w:left="426"/>
      </w:pPr>
      <w:r w:rsidRPr="00E73F6F">
        <w:t>japanische Zivilisation,</w:t>
      </w:r>
    </w:p>
    <w:p w14:paraId="5C503360" w14:textId="77777777" w:rsidR="00FF7799" w:rsidRPr="00E73F6F" w:rsidRDefault="00FF7799" w:rsidP="00003B51">
      <w:pPr>
        <w:pStyle w:val="StandardTextAufzhlung"/>
        <w:ind w:left="426"/>
      </w:pPr>
      <w:r w:rsidRPr="00E73F6F">
        <w:t>hinduistische Zivilisation Indiens,</w:t>
      </w:r>
    </w:p>
    <w:p w14:paraId="0BCFCCC9" w14:textId="77777777" w:rsidR="00FF7799" w:rsidRPr="00E73F6F" w:rsidRDefault="00FF7799" w:rsidP="00003B51">
      <w:pPr>
        <w:pStyle w:val="StandardTextAufzhlung"/>
        <w:ind w:left="426"/>
      </w:pPr>
      <w:r w:rsidRPr="00E73F6F">
        <w:t>islamische Zivilisation (bspw. Indonesien, Pakistan, vorderasiatischer Raum, Nord- und Westafrika sowie Teile von Südosteuropa).</w:t>
      </w:r>
    </w:p>
    <w:p w14:paraId="3DEFE581" w14:textId="77777777" w:rsidR="00FF7799" w:rsidRPr="00E73F6F" w:rsidRDefault="00FF7799" w:rsidP="00862DBA">
      <w:pPr>
        <w:widowControl/>
        <w:autoSpaceDE/>
        <w:autoSpaceDN/>
        <w:jc w:val="both"/>
        <w:rPr>
          <w:sz w:val="24"/>
          <w:szCs w:val="24"/>
          <w:lang w:eastAsia="de-DE"/>
        </w:rPr>
      </w:pPr>
    </w:p>
    <w:p w14:paraId="37445F54" w14:textId="2B8FF489" w:rsidR="00FF7799" w:rsidRPr="00E73F6F" w:rsidRDefault="00FF7799" w:rsidP="00021130">
      <w:pPr>
        <w:pStyle w:val="StandardText"/>
      </w:pPr>
      <w:r w:rsidRPr="00E73F6F">
        <w:t xml:space="preserve">Diese Prognose erlangte weltweit Aufmerksamkeit, weil S.P. Huntington Kulturräume dramatisierend als Akteure eines unausweichlichen Zivilisationskonflikts beschrieb: dem „Kampf der Kulturen“. Spätestens nach dem „islamistisch“ genannten Anschlag vom 11. September schienen die zahlreichen Kritiker der Kulturkampf-These </w:t>
      </w:r>
      <w:r w:rsidR="00003B51" w:rsidRPr="00E73F6F">
        <w:t>widerlegt</w:t>
      </w:r>
      <w:r w:rsidRPr="00E73F6F">
        <w:t xml:space="preserve"> zu sein. Neben anderen hatten, Meyer (2002; 1997), Marks (2000), und Senghaas (1998) die Willkürlichkeit der Klassifizierung der Gesellschaften in „friedfertig“ (z.B. buddhistisch geprägte Gesellschaften) und „blutig“ (islamisch geprägte Gesellschaften) bemängelt. Auch gebe der Politologe, der im Übrigen geschichtswissenschaftlich „unsauber“ argumentiere, ein naives Verständnis vom Wesen einer Ethnie zu erkennen. Und schließlich bleibe er den Nachweis schuldig, dass die – unbestreitbaren – Konflikte zwischen einzelnen Kulturräumen (besser: Regionen) tatsächlich auf unvereinbare Normen und Werte zurückzuführen seien – und nicht etwa auf den Kampf um Wasser- oder Energieressourcen oder auf Verwerfungen, welche aus der Kolonialzeit herrühren.</w:t>
      </w:r>
    </w:p>
    <w:p w14:paraId="5509EEB5" w14:textId="77777777" w:rsidR="00FF7799" w:rsidRDefault="00FF7799" w:rsidP="00021130">
      <w:pPr>
        <w:pStyle w:val="StandardText"/>
        <w:rPr>
          <w:noProof/>
          <w:sz w:val="22"/>
          <w:szCs w:val="22"/>
        </w:rPr>
      </w:pPr>
      <w:r w:rsidRPr="009478EB">
        <w:rPr>
          <w:b/>
          <w:i/>
          <w:noProof/>
          <w:sz w:val="22"/>
          <w:szCs w:val="22"/>
          <w:lang w:val="en-US"/>
        </w:rPr>
        <w:t>Literatur</w:t>
      </w:r>
      <w:r w:rsidRPr="009478EB">
        <w:rPr>
          <w:i/>
          <w:noProof/>
          <w:sz w:val="22"/>
          <w:szCs w:val="22"/>
          <w:lang w:val="en-US"/>
        </w:rPr>
        <w:t>:</w:t>
      </w:r>
      <w:r w:rsidRPr="009478EB">
        <w:rPr>
          <w:noProof/>
          <w:sz w:val="22"/>
          <w:szCs w:val="22"/>
          <w:lang w:val="en-US"/>
        </w:rPr>
        <w:t xml:space="preserve"> Huntington, S.P. (1993): The Clash of Civilizations? Foreign Affairs, 72(3): 22-49. Huntington, S.P. (1996): The Clash of Civilizations and the Remaking of World Order, New York: Simon &amp; Schuster. </w:t>
      </w:r>
      <w:r w:rsidRPr="009478EB">
        <w:rPr>
          <w:iCs/>
          <w:noProof/>
          <w:sz w:val="22"/>
          <w:szCs w:val="22"/>
        </w:rPr>
        <w:t>Huntington, S.P. (1997)</w:t>
      </w:r>
      <w:r w:rsidRPr="009478EB">
        <w:rPr>
          <w:noProof/>
          <w:sz w:val="22"/>
          <w:szCs w:val="22"/>
        </w:rPr>
        <w:t xml:space="preserve">: Kampf der Kulturen. Die Neugestaltung der Weltpolitik im 21. </w:t>
      </w:r>
      <w:r w:rsidRPr="009478EB">
        <w:rPr>
          <w:noProof/>
          <w:sz w:val="22"/>
          <w:szCs w:val="22"/>
          <w:lang w:val="en-US"/>
        </w:rPr>
        <w:t xml:space="preserve">Jahrhundert, 6. Aufl., München: Europaverlag (1. Aufl. = 1996). Marks, R. (2000): The Clash of Civilizations and the Remaking of World Order (Review), Journal of World History, 11(1): 101-104. </w:t>
      </w:r>
      <w:r w:rsidRPr="009478EB">
        <w:rPr>
          <w:iCs/>
          <w:noProof/>
          <w:sz w:val="22"/>
          <w:szCs w:val="22"/>
        </w:rPr>
        <w:t>Meyer, T. (1997)</w:t>
      </w:r>
      <w:r w:rsidRPr="009478EB">
        <w:rPr>
          <w:noProof/>
          <w:sz w:val="22"/>
          <w:szCs w:val="22"/>
        </w:rPr>
        <w:t>: Identitäts-Wahn. Die Politisierung des kulturellen Unterschieds, Berlin: Aufbau. Meyer, T. (2002): Identitätspolitik. Vom Missbrauch kultureller Unterschiede, Frankfurt/Main: Suhrkamp. Senghaas, D. (1998): Zivilisierung wider Willen. Der Konflikt der Kulturen mit sich selbst, Frankfurt/Main: Suhrkamp.</w:t>
      </w:r>
    </w:p>
    <w:p w14:paraId="7BF6FCA4" w14:textId="77777777" w:rsidR="00003B51" w:rsidRPr="009478EB" w:rsidRDefault="00003B51" w:rsidP="00021130">
      <w:pPr>
        <w:pStyle w:val="StandardText"/>
        <w:rPr>
          <w:sz w:val="22"/>
          <w:szCs w:val="22"/>
        </w:rPr>
      </w:pPr>
    </w:p>
    <w:p w14:paraId="0C2DE7ED" w14:textId="13ECF2C0" w:rsidR="00003B51" w:rsidRPr="00003B51" w:rsidRDefault="00003B51" w:rsidP="00003B51">
      <w:pPr>
        <w:pStyle w:val="berschrift1"/>
        <w:rPr>
          <w:bCs w:val="0"/>
          <w:color w:val="2E74B5"/>
          <w:sz w:val="22"/>
          <w:lang w:val="en-US"/>
        </w:rPr>
      </w:pPr>
      <w:bookmarkStart w:id="18" w:name="_Toc413520084"/>
      <w:r w:rsidRPr="00003B51">
        <w:rPr>
          <w:bCs w:val="0"/>
          <w:color w:val="2E74B5"/>
          <w:sz w:val="22"/>
          <w:lang w:val="en-US"/>
        </w:rPr>
        <w:t>Geographische Segmentierung</w:t>
      </w:r>
      <w:bookmarkEnd w:id="18"/>
      <w:r>
        <w:rPr>
          <w:bCs w:val="0"/>
          <w:color w:val="2E74B5"/>
          <w:sz w:val="22"/>
          <w:lang w:val="en-US"/>
        </w:rPr>
        <w:t>: (2) K</w:t>
      </w:r>
      <w:r w:rsidRPr="00003B51">
        <w:rPr>
          <w:bCs w:val="0"/>
          <w:color w:val="2E74B5"/>
          <w:sz w:val="22"/>
          <w:lang w:val="en-US"/>
        </w:rPr>
        <w:t>ritische Würdigung</w:t>
      </w:r>
    </w:p>
    <w:p w14:paraId="58271C94" w14:textId="77777777" w:rsidR="00003B51" w:rsidRPr="00E73F6F" w:rsidRDefault="00003B51" w:rsidP="00003B51">
      <w:pPr>
        <w:widowControl/>
        <w:autoSpaceDE/>
        <w:autoSpaceDN/>
        <w:jc w:val="both"/>
        <w:rPr>
          <w:sz w:val="24"/>
          <w:szCs w:val="24"/>
        </w:rPr>
      </w:pPr>
      <w:r>
        <w:rPr>
          <w:sz w:val="24"/>
          <w:szCs w:val="24"/>
        </w:rPr>
        <w:lastRenderedPageBreak/>
        <w:t>geht davon aus</w:t>
      </w:r>
      <w:r w:rsidRPr="00E73F6F">
        <w:rPr>
          <w:sz w:val="24"/>
          <w:szCs w:val="24"/>
        </w:rPr>
        <w:t xml:space="preserve">, dass aufgrund der geschichtlich, kulturell, sprachlich wie auch konfessionell bedingten Heterogenität wichtiger Regionen eine rein geographische Segmentierung von Ländern zumeist wenig aussagefähig ist. </w:t>
      </w:r>
    </w:p>
    <w:p w14:paraId="6F803D6B" w14:textId="77777777" w:rsidR="00003B51" w:rsidRPr="00E73F6F" w:rsidRDefault="00003B51" w:rsidP="00003B51">
      <w:pPr>
        <w:widowControl/>
        <w:autoSpaceDE/>
        <w:autoSpaceDN/>
        <w:spacing w:line="360" w:lineRule="auto"/>
        <w:jc w:val="both"/>
        <w:rPr>
          <w:bCs/>
          <w:sz w:val="24"/>
          <w:szCs w:val="24"/>
          <w:lang w:eastAsia="de-DE"/>
        </w:rPr>
      </w:pPr>
    </w:p>
    <w:p w14:paraId="25C1220A" w14:textId="77777777" w:rsidR="00003B51" w:rsidRPr="001B1E7E" w:rsidRDefault="00003B51" w:rsidP="00003B51">
      <w:pPr>
        <w:pStyle w:val="StandardTextkursiv"/>
        <w:rPr>
          <w:i w:val="0"/>
        </w:rPr>
      </w:pPr>
      <w:r w:rsidRPr="001B1E7E">
        <w:rPr>
          <w:i w:val="0"/>
        </w:rPr>
        <w:t>1 Vielschichtigkeit Europas</w:t>
      </w:r>
    </w:p>
    <w:p w14:paraId="7D43B052" w14:textId="77777777" w:rsidR="00003B51" w:rsidRPr="00E73F6F" w:rsidRDefault="00003B51" w:rsidP="00003B51">
      <w:pPr>
        <w:pStyle w:val="StandardText"/>
      </w:pPr>
      <w:r w:rsidRPr="00E73F6F">
        <w:t>Als erster hat Herodot (ca. 390-425 v. Chr.), der „Vater der Geschichtsschreibung“, Europa geographisch definiert, wenn auch nur indirekt: „Die Perser sehen Asien mit seinen Völkern als ihr Land an. Europa und das Land der Griechen, meinen sie, liegt vollkommen außerhalb der Grenzen.“ Seine wechselvolle Geschichte sorgte dafür, dass Europa nur sekundär ein geographischer, primär jedoch ein kulturell-historischer Begriff ist, geprägt von der christlich-jüdischen und der griechisch-römischen Tradition. Noch heute stehen …</w:t>
      </w:r>
    </w:p>
    <w:p w14:paraId="28D04010" w14:textId="77777777" w:rsidR="00003B51" w:rsidRPr="00E73F6F" w:rsidRDefault="00003B51" w:rsidP="00003B51">
      <w:pPr>
        <w:pStyle w:val="StandardTextAufzhlung"/>
        <w:ind w:left="426"/>
      </w:pPr>
      <w:r w:rsidRPr="00E73F6F">
        <w:t>Belgien, Frankreich, Ir</w:t>
      </w:r>
      <w:r w:rsidRPr="00E73F6F">
        <w:softHyphen/>
        <w:t xml:space="preserve">land, Italien, Österreich, Polen, Portugal und Spanien mehr oder minder unter dem Einfluss des Katholizismus, </w:t>
      </w:r>
    </w:p>
    <w:p w14:paraId="58366C78" w14:textId="77777777" w:rsidR="00003B51" w:rsidRPr="00E73F6F" w:rsidRDefault="00003B51" w:rsidP="00003B51">
      <w:pPr>
        <w:pStyle w:val="StandardTextAufzhlung"/>
        <w:ind w:left="426"/>
      </w:pPr>
      <w:r w:rsidRPr="00E73F6F">
        <w:t xml:space="preserve">Dänemark, Finnland, Norwegen und Schweden wurden und werden vom evangelischen Glaubensbekenntnis beeinflusst, </w:t>
      </w:r>
    </w:p>
    <w:p w14:paraId="3AEC1C73" w14:textId="77777777" w:rsidR="00003B51" w:rsidRPr="00E73F6F" w:rsidRDefault="00003B51" w:rsidP="00003B51">
      <w:pPr>
        <w:pStyle w:val="StandardTextAufzhlung"/>
        <w:ind w:left="426"/>
      </w:pPr>
      <w:r w:rsidRPr="00E73F6F">
        <w:t xml:space="preserve">Bulgarien, Griechenland, Rumänien und die europäischen Gebiete der ehemaligen UdSSR bilden die Sphäre der katholischen Orthodoxie, während in den </w:t>
      </w:r>
    </w:p>
    <w:p w14:paraId="0F0C2DFD" w14:textId="77777777" w:rsidR="00003B51" w:rsidRPr="00E73F6F" w:rsidRDefault="00003B51" w:rsidP="00003B51">
      <w:pPr>
        <w:pStyle w:val="StandardTextAufzhlung"/>
        <w:ind w:left="426"/>
      </w:pPr>
      <w:r w:rsidRPr="00E73F6F">
        <w:t>Nie</w:t>
      </w:r>
      <w:r w:rsidRPr="00E73F6F">
        <w:softHyphen/>
        <w:t>der</w:t>
      </w:r>
      <w:r w:rsidRPr="00E73F6F">
        <w:softHyphen/>
        <w:t xml:space="preserve">landen sowie der Schweiz die Reformierte Kirche und in Großbritannien die Anglikanische Kirche dominieren. </w:t>
      </w:r>
    </w:p>
    <w:p w14:paraId="614CFDF4" w14:textId="77777777" w:rsidR="00003B51" w:rsidRPr="00E73F6F" w:rsidRDefault="00003B51" w:rsidP="00003B51">
      <w:pPr>
        <w:pStyle w:val="StandardText"/>
      </w:pPr>
      <w:r w:rsidRPr="00E73F6F">
        <w:t xml:space="preserve">Auch sprachwissenschaftlich gesehen überwiegen die Unterschiede. Zwar gehören die Bewohner des europäischen Subkontinents hauptsächlich der indogermanischen Sprachfamilie an. Aber diese unterteilt sich in die Hauptgruppen der germanischen, der romanischen und der slawischen Sprachen (vgl. Schultz 2000, S.18). </w:t>
      </w:r>
    </w:p>
    <w:p w14:paraId="61B75893" w14:textId="77777777" w:rsidR="00003B51" w:rsidRPr="00E73F6F" w:rsidRDefault="00003B51" w:rsidP="00003B51">
      <w:pPr>
        <w:pStyle w:val="StandardText"/>
      </w:pPr>
      <w:r w:rsidRPr="00E73F6F">
        <w:t>Schließlich ist Europa das Ergebnis wiederholter politischer Spaltungen. Der Machtbereich der hellenistischen Stadtstaaten und des Römischen R</w:t>
      </w:r>
      <w:r>
        <w:t xml:space="preserve">eiches wurde zur Grundlage des </w:t>
      </w:r>
      <w:r>
        <w:sym w:font="Symbol" w:char="F0DE"/>
      </w:r>
      <w:r w:rsidRPr="00E73F6F">
        <w:t xml:space="preserve"> ‘mare nostrum‘. Die rund um das Mittelmeer gelegenen Länder (vgl. Abb. 1) bildeten weniger einen durch Meere, Gebirge, Wüsten etc. abgegrenzten Kontinent als eine durch Kultur, Verkehr und Handel sowie ein gemeinsames politisches System verbundene Einheit. Erst der Siegeszug des Islam teilte im 7. Jahrhundert diesen Kulturraum in die uns heute bekannten drei Kontinente: Asien, Afrika und Europa. Unter dem Einfluss von Reformation und Gegenreformation, den napoleonischen Kriegen, des Faschismus und anderer epochaler Ereignisse zerfiel dieses Europa im weiteren Verlauf seiner Geschichte jedoch in …</w:t>
      </w:r>
    </w:p>
    <w:p w14:paraId="51CDDE8F" w14:textId="77777777" w:rsidR="00003B51" w:rsidRPr="00E73F6F" w:rsidRDefault="00003B51" w:rsidP="00003B51">
      <w:pPr>
        <w:pStyle w:val="StandardTextAufzhlung"/>
        <w:ind w:left="426"/>
      </w:pPr>
      <w:r w:rsidRPr="00E73F6F">
        <w:t>das griechisch-römische und das lateinische Europa,</w:t>
      </w:r>
    </w:p>
    <w:p w14:paraId="61E00803" w14:textId="77777777" w:rsidR="00003B51" w:rsidRPr="00E73F6F" w:rsidRDefault="00003B51" w:rsidP="00003B51">
      <w:pPr>
        <w:pStyle w:val="StandardTextAufzhlung"/>
        <w:ind w:left="426"/>
      </w:pPr>
      <w:r w:rsidRPr="00E73F6F">
        <w:t>das lateinisch-katholische und das germanisch-protestantische Europa,</w:t>
      </w:r>
    </w:p>
    <w:p w14:paraId="6AA042CA" w14:textId="77777777" w:rsidR="00003B51" w:rsidRPr="00E73F6F" w:rsidRDefault="00003B51" w:rsidP="00003B51">
      <w:pPr>
        <w:pStyle w:val="StandardTextAufzhlung"/>
        <w:ind w:left="426"/>
      </w:pPr>
      <w:r w:rsidRPr="00E73F6F">
        <w:t>das demokratische und das diktatorische Europa.</w:t>
      </w:r>
    </w:p>
    <w:p w14:paraId="212F2836" w14:textId="77777777" w:rsidR="00003B51" w:rsidRPr="00E73F6F" w:rsidRDefault="00003B51" w:rsidP="00003B51">
      <w:pPr>
        <w:pStyle w:val="StandardText"/>
        <w:ind w:left="426"/>
      </w:pPr>
    </w:p>
    <w:p w14:paraId="29265784" w14:textId="77777777" w:rsidR="00003B51" w:rsidRPr="00C76DC3" w:rsidRDefault="00003B51" w:rsidP="00003B51">
      <w:pPr>
        <w:pStyle w:val="BeschriftungTab"/>
        <w:rPr>
          <w:i/>
          <w:iCs/>
        </w:rPr>
      </w:pPr>
      <w:bookmarkStart w:id="19" w:name="_Ref413523080"/>
      <w:r w:rsidRPr="00C76DC3">
        <w:rPr>
          <w:i/>
          <w:iCs/>
        </w:rPr>
        <w:t xml:space="preserve">Abb. </w:t>
      </w:r>
      <w:bookmarkEnd w:id="19"/>
      <w:r w:rsidRPr="00C76DC3">
        <w:rPr>
          <w:i/>
          <w:iCs/>
        </w:rPr>
        <w:t>1: Mittelmeer: das Binnenmeer des Römischen Reiches</w:t>
      </w:r>
    </w:p>
    <w:p w14:paraId="3EF829C3" w14:textId="77777777" w:rsidR="00003B51" w:rsidRPr="00E73F6F" w:rsidRDefault="00003B51" w:rsidP="00003B51">
      <w:pPr>
        <w:widowControl/>
        <w:autoSpaceDE/>
        <w:autoSpaceDN/>
        <w:spacing w:after="120"/>
        <w:jc w:val="center"/>
        <w:rPr>
          <w:i/>
          <w:sz w:val="24"/>
          <w:szCs w:val="24"/>
          <w:lang w:eastAsia="de-DE"/>
        </w:rPr>
      </w:pPr>
      <w:r w:rsidRPr="00E73F6F">
        <w:rPr>
          <w:i/>
          <w:noProof/>
          <w:sz w:val="24"/>
          <w:szCs w:val="24"/>
          <w:lang w:eastAsia="de-DE"/>
        </w:rPr>
        <w:lastRenderedPageBreak/>
        <w:drawing>
          <wp:inline distT="0" distB="0" distL="0" distR="0" wp14:anchorId="5D9942B7" wp14:editId="5BA15A18">
            <wp:extent cx="5368677" cy="3859260"/>
            <wp:effectExtent l="0" t="0" r="3810" b="8255"/>
            <wp:docPr id="2296180" name="Grafik 2296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399350" cy="3881309"/>
                    </a:xfrm>
                    <a:prstGeom prst="rect">
                      <a:avLst/>
                    </a:prstGeom>
                    <a:noFill/>
                  </pic:spPr>
                </pic:pic>
              </a:graphicData>
            </a:graphic>
          </wp:inline>
        </w:drawing>
      </w:r>
    </w:p>
    <w:p w14:paraId="5166EA44" w14:textId="77777777" w:rsidR="00003B51" w:rsidRPr="00E73F6F" w:rsidRDefault="00003B51" w:rsidP="00003B51">
      <w:pPr>
        <w:widowControl/>
        <w:autoSpaceDE/>
        <w:autoSpaceDN/>
        <w:spacing w:line="264" w:lineRule="auto"/>
        <w:jc w:val="both"/>
        <w:rPr>
          <w:sz w:val="24"/>
          <w:szCs w:val="24"/>
          <w:lang w:eastAsia="de-DE"/>
        </w:rPr>
      </w:pPr>
    </w:p>
    <w:p w14:paraId="74361707" w14:textId="77777777" w:rsidR="00003B51" w:rsidRPr="00E73F6F" w:rsidRDefault="00003B51" w:rsidP="00003B51">
      <w:pPr>
        <w:widowControl/>
        <w:autoSpaceDE/>
        <w:autoSpaceDN/>
        <w:jc w:val="both"/>
        <w:rPr>
          <w:sz w:val="24"/>
          <w:szCs w:val="24"/>
        </w:rPr>
      </w:pPr>
      <w:r w:rsidRPr="00E73F6F">
        <w:rPr>
          <w:sz w:val="24"/>
          <w:szCs w:val="24"/>
        </w:rPr>
        <w:t xml:space="preserve">Dass der </w:t>
      </w:r>
      <w:r w:rsidRPr="00E73F6F">
        <w:rPr>
          <w:rStyle w:val="StandardTextZchn1"/>
        </w:rPr>
        <w:t>Informationswert des Segmentierungskriteriums „geographische Nähe“ begrenzt ist, belegt u.a. die empirische Analyse der von den Bewohnern des Mittelmeerraumes vertretenen Werte. Gemessen an den Hofstede–Kulturdimensionen (vgl. Hofstede et al. 2010) zerfällt der Mittelmeerraum in drei</w:t>
      </w:r>
      <w:r w:rsidRPr="00E73F6F">
        <w:rPr>
          <w:sz w:val="24"/>
          <w:szCs w:val="24"/>
        </w:rPr>
        <w:t xml:space="preserve"> vergleichsweise homogene Untergruppen (vgl. Abb. 2): </w:t>
      </w:r>
    </w:p>
    <w:p w14:paraId="5A1E7010" w14:textId="77777777" w:rsidR="00003B51" w:rsidRPr="00E73F6F" w:rsidRDefault="00003B51" w:rsidP="00003B51">
      <w:pPr>
        <w:pStyle w:val="StandardTextAufzhlung"/>
        <w:ind w:left="426"/>
      </w:pPr>
      <w:r w:rsidRPr="00E73F6F">
        <w:t>Ägypten, Kroatien, Türkei und Serbien,</w:t>
      </w:r>
    </w:p>
    <w:p w14:paraId="5CBDEDDA" w14:textId="77777777" w:rsidR="00003B51" w:rsidRPr="00E73F6F" w:rsidRDefault="00003B51" w:rsidP="00003B51">
      <w:pPr>
        <w:pStyle w:val="StandardTextAufzhlung"/>
        <w:ind w:left="426"/>
      </w:pPr>
      <w:r w:rsidRPr="00E73F6F">
        <w:t>arabische Länder und Libanon,</w:t>
      </w:r>
    </w:p>
    <w:p w14:paraId="7D5AAE71" w14:textId="77777777" w:rsidR="00003B51" w:rsidRPr="00E73F6F" w:rsidRDefault="00003B51" w:rsidP="00003B51">
      <w:pPr>
        <w:pStyle w:val="StandardTextAufzhlung"/>
        <w:ind w:left="426"/>
      </w:pPr>
      <w:r w:rsidRPr="00E73F6F">
        <w:t>Frankreich, Spanien und Italien.</w:t>
      </w:r>
    </w:p>
    <w:p w14:paraId="1AE3149F" w14:textId="77777777" w:rsidR="00003B51" w:rsidRPr="00E73F6F" w:rsidRDefault="00003B51" w:rsidP="00003B51">
      <w:pPr>
        <w:widowControl/>
        <w:autoSpaceDE/>
        <w:autoSpaceDN/>
        <w:ind w:left="426"/>
        <w:jc w:val="both"/>
        <w:rPr>
          <w:sz w:val="24"/>
          <w:szCs w:val="24"/>
        </w:rPr>
      </w:pPr>
    </w:p>
    <w:p w14:paraId="149ADD13" w14:textId="77777777" w:rsidR="00003B51" w:rsidRPr="00E73F6F" w:rsidRDefault="00003B51" w:rsidP="00003B51">
      <w:pPr>
        <w:pStyle w:val="StandardText"/>
        <w:rPr>
          <w:szCs w:val="24"/>
        </w:rPr>
      </w:pPr>
      <w:r w:rsidRPr="00E73F6F">
        <w:rPr>
          <w:szCs w:val="24"/>
        </w:rPr>
        <w:t xml:space="preserve">Hinzu kommen zwei „Außenseiterländer“, die </w:t>
      </w:r>
      <w:r w:rsidRPr="00E73F6F">
        <w:rPr>
          <w:rStyle w:val="StandardTextZchn1"/>
        </w:rPr>
        <w:t>in dieser clusteranalytischen Betrachtung eine teils größere (= Israel) und eine teils geringere (= Griechenland) Sonderrolle spielen. Dies kann man dem Dendrogramm bzw. dem dadurch visualisierten Zuwachs der Fehlerquadratsumme bei der Zusammenfassung der verschiedenen Länder</w:t>
      </w:r>
      <w:r w:rsidRPr="00E73F6F">
        <w:rPr>
          <w:szCs w:val="24"/>
        </w:rPr>
        <w:t xml:space="preserve"> zu homogenen Gruppen entnehmen.</w:t>
      </w:r>
    </w:p>
    <w:p w14:paraId="141FD60E" w14:textId="77777777" w:rsidR="00003B51" w:rsidRPr="00E73F6F" w:rsidRDefault="00003B51" w:rsidP="00003B51">
      <w:pPr>
        <w:pStyle w:val="StandardText"/>
        <w:rPr>
          <w:szCs w:val="24"/>
        </w:rPr>
      </w:pPr>
    </w:p>
    <w:p w14:paraId="24639AC0" w14:textId="77777777" w:rsidR="00003B51" w:rsidRPr="00C76DC3" w:rsidRDefault="00003B51" w:rsidP="00003B51">
      <w:pPr>
        <w:pStyle w:val="BeschriftungTab"/>
        <w:rPr>
          <w:i/>
          <w:iCs/>
        </w:rPr>
      </w:pPr>
      <w:bookmarkStart w:id="20" w:name="_Ref413523042"/>
      <w:r w:rsidRPr="00C76DC3">
        <w:rPr>
          <w:i/>
          <w:iCs/>
        </w:rPr>
        <w:t>Abb.</w:t>
      </w:r>
      <w:bookmarkEnd w:id="20"/>
      <w:r w:rsidRPr="00C76DC3">
        <w:rPr>
          <w:i/>
          <w:iCs/>
        </w:rPr>
        <w:t xml:space="preserve"> 2: Kulturelle Heterogenität des Mittelmeerraumes</w:t>
      </w:r>
    </w:p>
    <w:p w14:paraId="1C346C0D" w14:textId="77777777" w:rsidR="00003B51" w:rsidRPr="00E73F6F" w:rsidRDefault="00003B51" w:rsidP="00003B51">
      <w:pPr>
        <w:widowControl/>
        <w:autoSpaceDE/>
        <w:autoSpaceDN/>
        <w:spacing w:after="120"/>
        <w:jc w:val="center"/>
        <w:rPr>
          <w:i/>
          <w:color w:val="FF0000"/>
          <w:sz w:val="24"/>
          <w:szCs w:val="24"/>
          <w:lang w:eastAsia="de-DE"/>
        </w:rPr>
      </w:pPr>
      <w:r w:rsidRPr="00E73F6F">
        <w:rPr>
          <w:i/>
          <w:noProof/>
          <w:sz w:val="24"/>
          <w:szCs w:val="24"/>
          <w:lang w:eastAsia="de-DE"/>
        </w:rPr>
        <w:lastRenderedPageBreak/>
        <w:drawing>
          <wp:inline distT="0" distB="0" distL="0" distR="0" wp14:anchorId="580A2EF9" wp14:editId="19B8E1A6">
            <wp:extent cx="5788324" cy="3864795"/>
            <wp:effectExtent l="0" t="0" r="3175" b="2540"/>
            <wp:docPr id="2296181" name="Grafik 2296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840786" cy="3899823"/>
                    </a:xfrm>
                    <a:prstGeom prst="rect">
                      <a:avLst/>
                    </a:prstGeom>
                    <a:noFill/>
                  </pic:spPr>
                </pic:pic>
              </a:graphicData>
            </a:graphic>
          </wp:inline>
        </w:drawing>
      </w:r>
    </w:p>
    <w:p w14:paraId="22220052" w14:textId="77777777" w:rsidR="00003B51" w:rsidRPr="00E73F6F" w:rsidRDefault="00003B51" w:rsidP="00003B51">
      <w:pPr>
        <w:pStyle w:val="Quellen"/>
      </w:pPr>
      <w:r w:rsidRPr="00E73F6F">
        <w:t>Quelle:</w:t>
      </w:r>
      <w:r w:rsidRPr="00E73F6F">
        <w:tab/>
        <w:t>eigene Auswertung und Darstellung (empirische Basis: Hofstede-Kulturdimensionen).</w:t>
      </w:r>
    </w:p>
    <w:p w14:paraId="0D731C37" w14:textId="77777777" w:rsidR="00003B51" w:rsidRPr="00E73F6F" w:rsidRDefault="00003B51" w:rsidP="00003B51">
      <w:pPr>
        <w:widowControl/>
        <w:tabs>
          <w:tab w:val="right" w:pos="8222"/>
        </w:tabs>
        <w:autoSpaceDE/>
        <w:autoSpaceDN/>
        <w:spacing w:line="360" w:lineRule="auto"/>
        <w:jc w:val="both"/>
        <w:rPr>
          <w:bCs/>
          <w:sz w:val="24"/>
          <w:szCs w:val="24"/>
          <w:lang w:eastAsia="de-DE"/>
        </w:rPr>
      </w:pPr>
    </w:p>
    <w:p w14:paraId="140E15F7" w14:textId="77777777" w:rsidR="00003B51" w:rsidRPr="001B1E7E" w:rsidRDefault="00003B51" w:rsidP="00003B51">
      <w:pPr>
        <w:pStyle w:val="StandardTextkursiv"/>
        <w:rPr>
          <w:i w:val="0"/>
        </w:rPr>
      </w:pPr>
      <w:r w:rsidRPr="001B1E7E">
        <w:rPr>
          <w:i w:val="0"/>
        </w:rPr>
        <w:t xml:space="preserve">2 Vielschichtigkeit Asiens </w:t>
      </w:r>
    </w:p>
    <w:p w14:paraId="7B6D701B" w14:textId="77777777" w:rsidR="00003B51" w:rsidRPr="00E73F6F" w:rsidRDefault="00003B51" w:rsidP="00003B51">
      <w:pPr>
        <w:pStyle w:val="StandardText"/>
      </w:pPr>
      <w:r w:rsidRPr="00E73F6F">
        <w:t>Die ostasiatischen Länder China, Japan, Korea und Vietnam sowie die ökonomisch bedeutsamen Auslands- und Überseechinesen sind vom Konfuzianismus geprägt. Für die Lebenswirklichkeit der meisten Inder, Nepalesen sowie der in Südostasien lebenden Auslandsinder ist hingegen der Hinduismus maßgeblich. Kambodscha, Laos, Myanmar, Sri Lanka und Thailand wiederum unterliegen vorwiegend buddhistischen Einflüssen, während der Islam in Brunei, Indonesien, Malaysia, Pakistan und den Südphilippinen die grundlegenden Normen und Werte bestimmt. Und das Christentum konnte sich in weiten Teilen der Philippinen behaupten (vgl. Müller/Gelbrich 2014, S.242ff.).</w:t>
      </w:r>
    </w:p>
    <w:p w14:paraId="3072B1AC" w14:textId="77777777" w:rsidR="00003B51" w:rsidRPr="00E73F6F" w:rsidRDefault="00003B51" w:rsidP="00003B51">
      <w:pPr>
        <w:pStyle w:val="StandardText"/>
      </w:pPr>
      <w:r w:rsidRPr="00E73F6F">
        <w:t xml:space="preserve">Am Beispiel des in Ostasien allgegenwärtigen Familienprinzips lässt sich aufzeigen, wie heterogen selbst dieser Kulturraum ist. Zwar dominieren in der gesamten Region paternalistisch geführte Familienunternehmen die Wirtschaft. Sie alle geben Personalismus und Loyalität gegenüber der Familie Vorrang vor anderen Steuerungsinstrumenten. Aber wer der „Familie“ angehört, wird in den einzelnen Ländern höchst unterschiedlich geregelt. </w:t>
      </w:r>
    </w:p>
    <w:p w14:paraId="3B16E2AF" w14:textId="77777777" w:rsidR="00003B51" w:rsidRPr="00E73F6F" w:rsidRDefault="00003B51" w:rsidP="00003B51">
      <w:pPr>
        <w:pStyle w:val="StandardText"/>
      </w:pPr>
      <w:r w:rsidRPr="00E73F6F">
        <w:t>In Korea ist Familienzugehörigkeit Konsequenz von Blutsverwandtschaft. Deshalb sind in einem Chaebol – d.h. einem für Südkorea charakteristischen, netzwerkartig organisierten Mischkonzern – neben „dem Gründer bzw. Eigentümer, zahlreiche weitere Familienmitglieder in verantwortungsvollen Positionen tätig“ (Kutschker/Schmid 2011, S.797).</w:t>
      </w:r>
    </w:p>
    <w:p w14:paraId="78032D2F" w14:textId="77777777" w:rsidR="00003B51" w:rsidRPr="00E73F6F" w:rsidRDefault="00003B51" w:rsidP="00003B51">
      <w:pPr>
        <w:pStyle w:val="StandardText"/>
      </w:pPr>
      <w:r w:rsidRPr="00E73F6F">
        <w:t xml:space="preserve">Auch in Südchina sind Familien groß und eng verflochten. Familienzugehörigkeit ergibt sich dort allerdings nicht nur aufgrund verwandtschaftlicher Beziehungen, sondern auch durch </w:t>
      </w:r>
      <w:r>
        <w:sym w:font="Symbol" w:char="F0DE"/>
      </w:r>
      <w:r>
        <w:t xml:space="preserve"> </w:t>
      </w:r>
      <w:r w:rsidRPr="00E73F6F">
        <w:t>Guanxi. Wer als Externer in einem Family Business Network, d.h. einem im Familienbesitz von Auslandschinesen befindlichen Mischkonzern, eine Führungsposition einnehmen will, muss sich dieses Privileg verdienen: indem er entsprechendem Maße Beziehungskapital in die (Unternehmens-)Familie einbringt.</w:t>
      </w:r>
    </w:p>
    <w:p w14:paraId="2CE96D92" w14:textId="77777777" w:rsidR="00003B51" w:rsidRPr="00E73F6F" w:rsidRDefault="00003B51" w:rsidP="00003B51">
      <w:pPr>
        <w:pStyle w:val="StandardText"/>
      </w:pPr>
      <w:r w:rsidRPr="00E73F6F">
        <w:lastRenderedPageBreak/>
        <w:t>In Japan herrscht hingegen ein abstraktes Verständnis von „Familie“ vor. Nicht die individuelle Herkunftsfamilie, die dort vergleichsweise klein und von geringerer sozioökonomischer Bedeutung ist, beherrscht die Sozialordnung und das Wirtschaftsleben, sondern die Unternehmensfamilie. Sie besteht zunächst aus dem eigenen „Haus“ (d.h. dem arbeitgebenden Unternehmen), aber auch aus dem Keiretsu, dem ein Unternehmen angehört. Hierbei handelt es sich um eine horizontale Verbundgruppe – und Nachfolgeorganisation der nach dem Zweiten Weltkrieg in Verruf geratenen Zaibatsu.</w:t>
      </w:r>
    </w:p>
    <w:p w14:paraId="121D3982" w14:textId="77777777" w:rsidR="00003B51" w:rsidRPr="00E73F6F" w:rsidRDefault="00003B51" w:rsidP="00003B51">
      <w:pPr>
        <w:pStyle w:val="StandardText"/>
      </w:pPr>
      <w:r w:rsidRPr="00E73F6F">
        <w:t xml:space="preserve">Dass die Unternehmen derartigen innerregionalen Unterschieden insb. in ihrer Kommunikationspolitik Rechnung tragen, bestätigen u.a. Moon/Chan (2005). Sie haben 803 Prime Time-TV-Werbespots, von denen 406 in Hong Kong und 397 in Südkorea ausgestrahlt wurden, untersucht. Beide „Tigerstaaten“ gehören dem kollektivistisch-konfuzianischen Kulturraum an, unterscheiden sich jedoch hinsichtlich zweier </w:t>
      </w:r>
      <w:r>
        <w:sym w:font="Symbol" w:char="F0DE"/>
      </w:r>
      <w:r>
        <w:t xml:space="preserve"> </w:t>
      </w:r>
      <w:r w:rsidRPr="00E73F6F">
        <w:t>Kulturdimensionen: der Tendenz der dort lebenden Menschen, Ungewissheit zu vermeiden, und der Ausprägung von Maskulinität-Feminität (vgl. Tab.</w:t>
      </w:r>
      <w:r>
        <w:t xml:space="preserve"> 1</w:t>
      </w:r>
      <w:r w:rsidRPr="00E73F6F">
        <w:t>). Entsprechend der tendenziell femininen Orientierung Südkoreas thematisiert TV-Werbung dort häufiger feminine Werte (z.B. Familie, Höflichkeit) als in Hong Kong. Die in der ehemaligen britischen Kronkolonie ausgestrahlten Spots sprechen verstärkt maskuline Werte an (z.B. Arbeit). Hingegen konnte kein systematischer Einfluss der unterschiedlichen Tendenz, Ungewissheit zu vermeiden, auf die Gestaltung von TV-Spots festgestellt werden.</w:t>
      </w:r>
    </w:p>
    <w:p w14:paraId="0633DDF0" w14:textId="77777777" w:rsidR="00003B51" w:rsidRPr="00E73F6F" w:rsidRDefault="00003B51" w:rsidP="00003B51">
      <w:pPr>
        <w:pStyle w:val="StandardText"/>
      </w:pPr>
    </w:p>
    <w:p w14:paraId="0ED5EC06" w14:textId="77777777" w:rsidR="00003B51" w:rsidRPr="00037FAC" w:rsidRDefault="00003B51" w:rsidP="00003B51">
      <w:pPr>
        <w:pStyle w:val="BeschriftungTab"/>
        <w:rPr>
          <w:i/>
          <w:iCs/>
        </w:rPr>
      </w:pPr>
      <w:r w:rsidRPr="00037FAC">
        <w:rPr>
          <w:i/>
          <w:iCs/>
        </w:rPr>
        <w:t>Tab. 1: Kulturprofil der Tigerstaaten</w:t>
      </w:r>
    </w:p>
    <w:tbl>
      <w:tblPr>
        <w:tblW w:w="0" w:type="auto"/>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384"/>
        <w:gridCol w:w="1582"/>
        <w:gridCol w:w="1513"/>
        <w:gridCol w:w="1610"/>
        <w:gridCol w:w="1469"/>
        <w:gridCol w:w="1446"/>
      </w:tblGrid>
      <w:tr w:rsidR="00003B51" w:rsidRPr="00E73F6F" w14:paraId="5F46E31C" w14:textId="77777777" w:rsidTr="00F46ACB">
        <w:trPr>
          <w:trHeight w:val="1104"/>
          <w:tblHeader/>
        </w:trPr>
        <w:tc>
          <w:tcPr>
            <w:tcW w:w="1384" w:type="dxa"/>
            <w:shd w:val="clear" w:color="auto" w:fill="FFC000"/>
          </w:tcPr>
          <w:p w14:paraId="3FCC5F9F" w14:textId="77777777" w:rsidR="00003B51" w:rsidRPr="00E73F6F" w:rsidRDefault="00003B51" w:rsidP="00F46ACB">
            <w:pPr>
              <w:pStyle w:val="StandardText"/>
              <w:spacing w:after="120"/>
              <w:jc w:val="center"/>
            </w:pPr>
          </w:p>
        </w:tc>
        <w:tc>
          <w:tcPr>
            <w:tcW w:w="1582" w:type="dxa"/>
            <w:shd w:val="clear" w:color="auto" w:fill="FFC000"/>
          </w:tcPr>
          <w:p w14:paraId="1E7D2E81" w14:textId="77777777" w:rsidR="00003B51" w:rsidRPr="00E73F6F" w:rsidRDefault="00003B51" w:rsidP="00F46ACB">
            <w:pPr>
              <w:pStyle w:val="StandardText"/>
              <w:spacing w:after="120"/>
              <w:jc w:val="center"/>
              <w:rPr>
                <w:b/>
              </w:rPr>
            </w:pPr>
            <w:r w:rsidRPr="00E73F6F">
              <w:rPr>
                <w:b/>
              </w:rPr>
              <w:t>Individualismus</w:t>
            </w:r>
          </w:p>
        </w:tc>
        <w:tc>
          <w:tcPr>
            <w:tcW w:w="1513" w:type="dxa"/>
            <w:shd w:val="clear" w:color="auto" w:fill="FFC000"/>
          </w:tcPr>
          <w:p w14:paraId="436DD93D" w14:textId="77777777" w:rsidR="00003B51" w:rsidRPr="00E73F6F" w:rsidRDefault="00003B51" w:rsidP="00F46ACB">
            <w:pPr>
              <w:pStyle w:val="StandardText"/>
              <w:spacing w:after="120"/>
              <w:jc w:val="center"/>
              <w:rPr>
                <w:b/>
              </w:rPr>
            </w:pPr>
            <w:r w:rsidRPr="00E73F6F">
              <w:rPr>
                <w:b/>
              </w:rPr>
              <w:t>Akzeptanz von Machtdistanz</w:t>
            </w:r>
          </w:p>
        </w:tc>
        <w:tc>
          <w:tcPr>
            <w:tcW w:w="1610" w:type="dxa"/>
            <w:shd w:val="clear" w:color="auto" w:fill="FFC000"/>
          </w:tcPr>
          <w:p w14:paraId="6833D2D9" w14:textId="77777777" w:rsidR="00003B51" w:rsidRPr="00E73F6F" w:rsidRDefault="00003B51" w:rsidP="00F46ACB">
            <w:pPr>
              <w:pStyle w:val="StandardText"/>
              <w:spacing w:after="120"/>
              <w:jc w:val="center"/>
              <w:rPr>
                <w:b/>
              </w:rPr>
            </w:pPr>
            <w:r w:rsidRPr="00E73F6F">
              <w:rPr>
                <w:b/>
              </w:rPr>
              <w:t>Tendenz zur Ungewissheitsvermeidung</w:t>
            </w:r>
          </w:p>
        </w:tc>
        <w:tc>
          <w:tcPr>
            <w:tcW w:w="1469" w:type="dxa"/>
            <w:shd w:val="clear" w:color="auto" w:fill="FFC000"/>
          </w:tcPr>
          <w:p w14:paraId="272CB8EF" w14:textId="77777777" w:rsidR="00003B51" w:rsidRPr="00E73F6F" w:rsidRDefault="00003B51" w:rsidP="00F46ACB">
            <w:pPr>
              <w:pStyle w:val="StandardText"/>
              <w:spacing w:after="120"/>
              <w:jc w:val="center"/>
              <w:rPr>
                <w:b/>
              </w:rPr>
            </w:pPr>
            <w:r w:rsidRPr="00E73F6F">
              <w:rPr>
                <w:b/>
              </w:rPr>
              <w:t>Maskulinität</w:t>
            </w:r>
          </w:p>
          <w:p w14:paraId="79BF6417" w14:textId="77777777" w:rsidR="00003B51" w:rsidRPr="00E73F6F" w:rsidRDefault="00003B51" w:rsidP="00F46ACB">
            <w:pPr>
              <w:pStyle w:val="StandardText"/>
              <w:spacing w:after="120"/>
              <w:jc w:val="center"/>
              <w:rPr>
                <w:b/>
              </w:rPr>
            </w:pPr>
          </w:p>
        </w:tc>
        <w:tc>
          <w:tcPr>
            <w:tcW w:w="1446" w:type="dxa"/>
            <w:shd w:val="clear" w:color="auto" w:fill="FFC000"/>
          </w:tcPr>
          <w:p w14:paraId="3E6FBA32" w14:textId="77777777" w:rsidR="00003B51" w:rsidRPr="00E73F6F" w:rsidRDefault="00003B51" w:rsidP="00F46ACB">
            <w:pPr>
              <w:pStyle w:val="StandardText"/>
              <w:spacing w:after="120"/>
              <w:jc w:val="center"/>
              <w:rPr>
                <w:b/>
              </w:rPr>
            </w:pPr>
            <w:r w:rsidRPr="00E73F6F">
              <w:rPr>
                <w:b/>
              </w:rPr>
              <w:t>Langfrist-orientierung</w:t>
            </w:r>
          </w:p>
        </w:tc>
      </w:tr>
      <w:tr w:rsidR="00003B51" w:rsidRPr="00E73F6F" w14:paraId="3CD589A3" w14:textId="77777777" w:rsidTr="00F46ACB">
        <w:tc>
          <w:tcPr>
            <w:tcW w:w="1384" w:type="dxa"/>
            <w:shd w:val="clear" w:color="auto" w:fill="FFF2CC" w:themeFill="accent4" w:themeFillTint="33"/>
          </w:tcPr>
          <w:p w14:paraId="3D8385EF" w14:textId="77777777" w:rsidR="00003B51" w:rsidRPr="00E73F6F" w:rsidRDefault="00003B51" w:rsidP="00F46ACB">
            <w:pPr>
              <w:pStyle w:val="StandardText"/>
            </w:pPr>
            <w:r w:rsidRPr="00E73F6F">
              <w:t>Hongkong</w:t>
            </w:r>
          </w:p>
        </w:tc>
        <w:tc>
          <w:tcPr>
            <w:tcW w:w="1582" w:type="dxa"/>
          </w:tcPr>
          <w:p w14:paraId="79B5F6B7" w14:textId="77777777" w:rsidR="00003B51" w:rsidRPr="00E73F6F" w:rsidRDefault="00003B51" w:rsidP="00F46ACB">
            <w:pPr>
              <w:pStyle w:val="StandardText"/>
              <w:jc w:val="center"/>
            </w:pPr>
            <w:r w:rsidRPr="00E73F6F">
              <w:t>25</w:t>
            </w:r>
          </w:p>
        </w:tc>
        <w:tc>
          <w:tcPr>
            <w:tcW w:w="1513" w:type="dxa"/>
          </w:tcPr>
          <w:p w14:paraId="54C6C2F7" w14:textId="77777777" w:rsidR="00003B51" w:rsidRPr="00E73F6F" w:rsidRDefault="00003B51" w:rsidP="00F46ACB">
            <w:pPr>
              <w:pStyle w:val="StandardText"/>
              <w:jc w:val="center"/>
            </w:pPr>
            <w:r w:rsidRPr="00E73F6F">
              <w:t>68</w:t>
            </w:r>
          </w:p>
        </w:tc>
        <w:tc>
          <w:tcPr>
            <w:tcW w:w="1610" w:type="dxa"/>
          </w:tcPr>
          <w:p w14:paraId="68325A91" w14:textId="77777777" w:rsidR="00003B51" w:rsidRPr="00E73F6F" w:rsidRDefault="00003B51" w:rsidP="00F46ACB">
            <w:pPr>
              <w:pStyle w:val="StandardText"/>
              <w:jc w:val="center"/>
            </w:pPr>
            <w:r w:rsidRPr="00E73F6F">
              <w:t>29</w:t>
            </w:r>
          </w:p>
        </w:tc>
        <w:tc>
          <w:tcPr>
            <w:tcW w:w="1469" w:type="dxa"/>
          </w:tcPr>
          <w:p w14:paraId="6EC94889" w14:textId="77777777" w:rsidR="00003B51" w:rsidRPr="00E73F6F" w:rsidRDefault="00003B51" w:rsidP="00F46ACB">
            <w:pPr>
              <w:pStyle w:val="StandardText"/>
              <w:jc w:val="center"/>
            </w:pPr>
            <w:r w:rsidRPr="00E73F6F">
              <w:t>57</w:t>
            </w:r>
          </w:p>
        </w:tc>
        <w:tc>
          <w:tcPr>
            <w:tcW w:w="1446" w:type="dxa"/>
          </w:tcPr>
          <w:p w14:paraId="3AF0A422" w14:textId="77777777" w:rsidR="00003B51" w:rsidRPr="00E73F6F" w:rsidRDefault="00003B51" w:rsidP="00F46ACB">
            <w:pPr>
              <w:pStyle w:val="StandardText"/>
              <w:jc w:val="center"/>
            </w:pPr>
            <w:r w:rsidRPr="00E73F6F">
              <w:t>96</w:t>
            </w:r>
          </w:p>
        </w:tc>
      </w:tr>
      <w:tr w:rsidR="00003B51" w:rsidRPr="00E73F6F" w14:paraId="2A2E60E4" w14:textId="77777777" w:rsidTr="00F46ACB">
        <w:tc>
          <w:tcPr>
            <w:tcW w:w="1384" w:type="dxa"/>
            <w:shd w:val="clear" w:color="auto" w:fill="FFF2CC" w:themeFill="accent4" w:themeFillTint="33"/>
          </w:tcPr>
          <w:p w14:paraId="670E1186" w14:textId="77777777" w:rsidR="00003B51" w:rsidRPr="00E73F6F" w:rsidRDefault="00003B51" w:rsidP="00F46ACB">
            <w:pPr>
              <w:pStyle w:val="StandardText"/>
            </w:pPr>
            <w:r w:rsidRPr="00E73F6F">
              <w:t>Singapur</w:t>
            </w:r>
          </w:p>
        </w:tc>
        <w:tc>
          <w:tcPr>
            <w:tcW w:w="1582" w:type="dxa"/>
          </w:tcPr>
          <w:p w14:paraId="21C31D52" w14:textId="77777777" w:rsidR="00003B51" w:rsidRPr="00E73F6F" w:rsidRDefault="00003B51" w:rsidP="00F46ACB">
            <w:pPr>
              <w:pStyle w:val="StandardText"/>
              <w:jc w:val="center"/>
            </w:pPr>
            <w:r w:rsidRPr="00E73F6F">
              <w:t>20</w:t>
            </w:r>
          </w:p>
        </w:tc>
        <w:tc>
          <w:tcPr>
            <w:tcW w:w="1513" w:type="dxa"/>
          </w:tcPr>
          <w:p w14:paraId="55488BE2" w14:textId="77777777" w:rsidR="00003B51" w:rsidRPr="00E73F6F" w:rsidRDefault="00003B51" w:rsidP="00F46ACB">
            <w:pPr>
              <w:pStyle w:val="StandardText"/>
              <w:jc w:val="center"/>
            </w:pPr>
            <w:r w:rsidRPr="00E73F6F">
              <w:t>74</w:t>
            </w:r>
          </w:p>
        </w:tc>
        <w:tc>
          <w:tcPr>
            <w:tcW w:w="1610" w:type="dxa"/>
          </w:tcPr>
          <w:p w14:paraId="5B2B46AD" w14:textId="77777777" w:rsidR="00003B51" w:rsidRPr="00E73F6F" w:rsidRDefault="00003B51" w:rsidP="00F46ACB">
            <w:pPr>
              <w:pStyle w:val="StandardText"/>
              <w:jc w:val="center"/>
            </w:pPr>
            <w:r w:rsidRPr="00E73F6F">
              <w:t>8</w:t>
            </w:r>
          </w:p>
        </w:tc>
        <w:tc>
          <w:tcPr>
            <w:tcW w:w="1469" w:type="dxa"/>
          </w:tcPr>
          <w:p w14:paraId="26433211" w14:textId="77777777" w:rsidR="00003B51" w:rsidRPr="00E73F6F" w:rsidRDefault="00003B51" w:rsidP="00F46ACB">
            <w:pPr>
              <w:pStyle w:val="StandardText"/>
              <w:jc w:val="center"/>
            </w:pPr>
            <w:r w:rsidRPr="00E73F6F">
              <w:t>48</w:t>
            </w:r>
          </w:p>
        </w:tc>
        <w:tc>
          <w:tcPr>
            <w:tcW w:w="1446" w:type="dxa"/>
          </w:tcPr>
          <w:p w14:paraId="7AE47A22" w14:textId="77777777" w:rsidR="00003B51" w:rsidRPr="00E73F6F" w:rsidRDefault="00003B51" w:rsidP="00F46ACB">
            <w:pPr>
              <w:pStyle w:val="StandardText"/>
              <w:jc w:val="center"/>
            </w:pPr>
            <w:r w:rsidRPr="00E73F6F">
              <w:t>48</w:t>
            </w:r>
          </w:p>
        </w:tc>
      </w:tr>
      <w:tr w:rsidR="00003B51" w:rsidRPr="00E73F6F" w14:paraId="4E306A7C" w14:textId="77777777" w:rsidTr="00F46ACB">
        <w:tc>
          <w:tcPr>
            <w:tcW w:w="1384" w:type="dxa"/>
            <w:shd w:val="clear" w:color="auto" w:fill="FFF2CC" w:themeFill="accent4" w:themeFillTint="33"/>
          </w:tcPr>
          <w:p w14:paraId="5047CC17" w14:textId="77777777" w:rsidR="00003B51" w:rsidRPr="00E73F6F" w:rsidRDefault="00003B51" w:rsidP="00F46ACB">
            <w:pPr>
              <w:pStyle w:val="StandardText"/>
            </w:pPr>
            <w:r w:rsidRPr="00E73F6F">
              <w:t>Südkorea</w:t>
            </w:r>
          </w:p>
        </w:tc>
        <w:tc>
          <w:tcPr>
            <w:tcW w:w="1582" w:type="dxa"/>
          </w:tcPr>
          <w:p w14:paraId="6D6D7036" w14:textId="77777777" w:rsidR="00003B51" w:rsidRPr="00E73F6F" w:rsidRDefault="00003B51" w:rsidP="00F46ACB">
            <w:pPr>
              <w:pStyle w:val="StandardText"/>
              <w:jc w:val="center"/>
            </w:pPr>
            <w:r w:rsidRPr="00E73F6F">
              <w:t>18</w:t>
            </w:r>
          </w:p>
        </w:tc>
        <w:tc>
          <w:tcPr>
            <w:tcW w:w="1513" w:type="dxa"/>
          </w:tcPr>
          <w:p w14:paraId="1A76AA00" w14:textId="77777777" w:rsidR="00003B51" w:rsidRPr="00E73F6F" w:rsidRDefault="00003B51" w:rsidP="00F46ACB">
            <w:pPr>
              <w:pStyle w:val="StandardText"/>
              <w:jc w:val="center"/>
            </w:pPr>
            <w:r w:rsidRPr="00E73F6F">
              <w:t>60</w:t>
            </w:r>
          </w:p>
        </w:tc>
        <w:tc>
          <w:tcPr>
            <w:tcW w:w="1610" w:type="dxa"/>
          </w:tcPr>
          <w:p w14:paraId="55648882" w14:textId="77777777" w:rsidR="00003B51" w:rsidRPr="00E73F6F" w:rsidRDefault="00003B51" w:rsidP="00F46ACB">
            <w:pPr>
              <w:pStyle w:val="StandardText"/>
              <w:jc w:val="center"/>
            </w:pPr>
            <w:r w:rsidRPr="00E73F6F">
              <w:t>85</w:t>
            </w:r>
          </w:p>
        </w:tc>
        <w:tc>
          <w:tcPr>
            <w:tcW w:w="1469" w:type="dxa"/>
          </w:tcPr>
          <w:p w14:paraId="0CD5BA26" w14:textId="77777777" w:rsidR="00003B51" w:rsidRPr="00E73F6F" w:rsidRDefault="00003B51" w:rsidP="00F46ACB">
            <w:pPr>
              <w:pStyle w:val="StandardText"/>
              <w:jc w:val="center"/>
            </w:pPr>
            <w:r w:rsidRPr="00E73F6F">
              <w:t>39</w:t>
            </w:r>
          </w:p>
        </w:tc>
        <w:tc>
          <w:tcPr>
            <w:tcW w:w="1446" w:type="dxa"/>
          </w:tcPr>
          <w:p w14:paraId="7E52EBE3" w14:textId="77777777" w:rsidR="00003B51" w:rsidRPr="00E73F6F" w:rsidRDefault="00003B51" w:rsidP="00F46ACB">
            <w:pPr>
              <w:pStyle w:val="StandardText"/>
              <w:jc w:val="center"/>
            </w:pPr>
            <w:r w:rsidRPr="00E73F6F">
              <w:t>75</w:t>
            </w:r>
          </w:p>
        </w:tc>
      </w:tr>
      <w:tr w:rsidR="00003B51" w:rsidRPr="00E73F6F" w14:paraId="0FE617BF" w14:textId="77777777" w:rsidTr="00F46ACB">
        <w:tc>
          <w:tcPr>
            <w:tcW w:w="1384" w:type="dxa"/>
            <w:shd w:val="clear" w:color="auto" w:fill="FFF2CC" w:themeFill="accent4" w:themeFillTint="33"/>
          </w:tcPr>
          <w:p w14:paraId="3271FD2D" w14:textId="77777777" w:rsidR="00003B51" w:rsidRPr="00E73F6F" w:rsidRDefault="00003B51" w:rsidP="00F46ACB">
            <w:pPr>
              <w:pStyle w:val="StandardText"/>
            </w:pPr>
            <w:r w:rsidRPr="00E73F6F">
              <w:t>Taiwan</w:t>
            </w:r>
          </w:p>
        </w:tc>
        <w:tc>
          <w:tcPr>
            <w:tcW w:w="1582" w:type="dxa"/>
          </w:tcPr>
          <w:p w14:paraId="5A0A70ED" w14:textId="77777777" w:rsidR="00003B51" w:rsidRPr="00E73F6F" w:rsidRDefault="00003B51" w:rsidP="00F46ACB">
            <w:pPr>
              <w:pStyle w:val="StandardText"/>
              <w:jc w:val="center"/>
            </w:pPr>
            <w:r w:rsidRPr="00E73F6F">
              <w:t>17</w:t>
            </w:r>
          </w:p>
        </w:tc>
        <w:tc>
          <w:tcPr>
            <w:tcW w:w="1513" w:type="dxa"/>
          </w:tcPr>
          <w:p w14:paraId="5D9B1C2C" w14:textId="77777777" w:rsidR="00003B51" w:rsidRPr="00E73F6F" w:rsidRDefault="00003B51" w:rsidP="00F46ACB">
            <w:pPr>
              <w:pStyle w:val="StandardText"/>
              <w:jc w:val="center"/>
            </w:pPr>
            <w:r w:rsidRPr="00E73F6F">
              <w:t>58</w:t>
            </w:r>
          </w:p>
        </w:tc>
        <w:tc>
          <w:tcPr>
            <w:tcW w:w="1610" w:type="dxa"/>
          </w:tcPr>
          <w:p w14:paraId="2294A94A" w14:textId="77777777" w:rsidR="00003B51" w:rsidRPr="00E73F6F" w:rsidRDefault="00003B51" w:rsidP="00F46ACB">
            <w:pPr>
              <w:pStyle w:val="StandardText"/>
              <w:jc w:val="center"/>
            </w:pPr>
            <w:r w:rsidRPr="00E73F6F">
              <w:t>69</w:t>
            </w:r>
          </w:p>
        </w:tc>
        <w:tc>
          <w:tcPr>
            <w:tcW w:w="1469" w:type="dxa"/>
          </w:tcPr>
          <w:p w14:paraId="3C2F458A" w14:textId="77777777" w:rsidR="00003B51" w:rsidRPr="00E73F6F" w:rsidRDefault="00003B51" w:rsidP="00F46ACB">
            <w:pPr>
              <w:pStyle w:val="StandardText"/>
              <w:jc w:val="center"/>
            </w:pPr>
            <w:r w:rsidRPr="00E73F6F">
              <w:t>45</w:t>
            </w:r>
          </w:p>
        </w:tc>
        <w:tc>
          <w:tcPr>
            <w:tcW w:w="1446" w:type="dxa"/>
          </w:tcPr>
          <w:p w14:paraId="7C8B87CF" w14:textId="77777777" w:rsidR="00003B51" w:rsidRPr="00E73F6F" w:rsidRDefault="00003B51" w:rsidP="00F46ACB">
            <w:pPr>
              <w:pStyle w:val="StandardText"/>
              <w:jc w:val="center"/>
            </w:pPr>
            <w:r w:rsidRPr="00E73F6F">
              <w:t>87</w:t>
            </w:r>
          </w:p>
        </w:tc>
      </w:tr>
    </w:tbl>
    <w:p w14:paraId="0929C47F" w14:textId="77777777" w:rsidR="00003B51" w:rsidRPr="00E73F6F" w:rsidRDefault="00003B51" w:rsidP="00003B51">
      <w:pPr>
        <w:widowControl/>
        <w:autoSpaceDE/>
        <w:autoSpaceDN/>
        <w:contextualSpacing/>
        <w:jc w:val="both"/>
        <w:rPr>
          <w:sz w:val="24"/>
          <w:szCs w:val="24"/>
          <w:lang w:eastAsia="de-DE"/>
        </w:rPr>
      </w:pPr>
    </w:p>
    <w:p w14:paraId="2263E1E7" w14:textId="77777777" w:rsidR="00003B51" w:rsidRPr="001B1E7E" w:rsidRDefault="00003B51" w:rsidP="00003B51">
      <w:pPr>
        <w:pStyle w:val="StandardTextkursiv"/>
        <w:rPr>
          <w:i w:val="0"/>
        </w:rPr>
      </w:pPr>
      <w:r w:rsidRPr="001B1E7E">
        <w:rPr>
          <w:i w:val="0"/>
        </w:rPr>
        <w:t xml:space="preserve">3 Vielschichtigkeit Arabiens </w:t>
      </w:r>
    </w:p>
    <w:p w14:paraId="6CDE235F" w14:textId="77777777" w:rsidR="00003B51" w:rsidRPr="00E73F6F" w:rsidRDefault="00003B51" w:rsidP="00003B51">
      <w:pPr>
        <w:pStyle w:val="StandardText"/>
      </w:pPr>
      <w:r w:rsidRPr="00E73F6F">
        <w:t>Geographisch betrachtet reicht der arabische Kulturraum von Marokko bis in den Sudan und vom Libanon bis zu den Vereinigten Arabischen Emiraten (árabes: gr. = Wüstenbewohner). In den 22 Mitgliedsstaaten der Arabischen Liga leben knapp 300 Mio. Menschen. Zwar erzielen diese aufgrund der Ausbeutung der Erdöl- und Gasvorkommen ein wesentlich höheres durchschnittliches Pro-Kopf-Einkommen als die Bewohner der meisten Ent</w:t>
      </w:r>
      <w:r w:rsidRPr="00E73F6F">
        <w:softHyphen/>
        <w:t>wicklungsländer. Aber angesichts des gewaltigen Wohlstandsgefälles – mehr als 2.000% zwischen Katar und Jemen – ist auch diese Region weder</w:t>
      </w:r>
      <w:r>
        <w:t xml:space="preserve"> ein einheitlicher Absatzraum (</w:t>
      </w:r>
      <w:r>
        <w:sym w:font="Symbol" w:char="F0DE"/>
      </w:r>
      <w:r w:rsidRPr="00E73F6F">
        <w:t xml:space="preserve"> Arab Human Development Report) noch ein homogener Kulturraum. Letzteres lässt sich u.a. an der Art und Weise, den Ramadan zu begehen, ablesen. Während im strenggläubigen Saudi-Arabien die einschlägigen Vorschriften des Koran im Fastenmonat buchstabengetreu eingehalten werden, erinnert das Verhalten der Tunesier an „a syncretic blending of Western and Oriental values“ (Touzani/Hirschmann 2008).</w:t>
      </w:r>
    </w:p>
    <w:p w14:paraId="20FFE627" w14:textId="77777777" w:rsidR="00003B51" w:rsidRPr="00E73F6F" w:rsidRDefault="00003B51" w:rsidP="00003B51">
      <w:pPr>
        <w:pStyle w:val="StandardText"/>
      </w:pPr>
    </w:p>
    <w:p w14:paraId="142D3CB7" w14:textId="77777777" w:rsidR="00003B51" w:rsidRPr="009478EB" w:rsidRDefault="00003B51" w:rsidP="00003B51">
      <w:pPr>
        <w:pStyle w:val="StandardTextkursiv"/>
        <w:rPr>
          <w:i w:val="0"/>
        </w:rPr>
      </w:pPr>
      <w:r w:rsidRPr="009478EB">
        <w:rPr>
          <w:i w:val="0"/>
        </w:rPr>
        <w:t xml:space="preserve">4 Vielschichtigkeit Südamerikas </w:t>
      </w:r>
    </w:p>
    <w:p w14:paraId="267EE417" w14:textId="77777777" w:rsidR="00003B51" w:rsidRPr="00E73F6F" w:rsidRDefault="00003B51" w:rsidP="00003B51">
      <w:pPr>
        <w:pStyle w:val="StandardText"/>
      </w:pPr>
      <w:r w:rsidRPr="00E73F6F">
        <w:lastRenderedPageBreak/>
        <w:t xml:space="preserve">Die Beziehungen zwischen Argentinien und Uruguay sind von </w:t>
      </w:r>
      <w:r>
        <w:sym w:font="Symbol" w:char="F0DE"/>
      </w:r>
      <w:r>
        <w:t xml:space="preserve"> </w:t>
      </w:r>
      <w:r w:rsidRPr="00E73F6F">
        <w:t>Animosität geprägt, und Chile spielt in vielerlei Hinsicht auf dem südamerikanischen Subkontinent eine Sonderrolle. Dies lässt sich einerseits mit der extremen geographischen Lage – die teilweise mehr als 6.000 m aufragenden Anden separieren das Land weitgehend von den angrenzenden Staaten – und andererseits mit seiner Vergangenheit als „Preußen Südamerikas“ begründen: Ausgangs des 19. Jahrhunderts, nach dem Ende des sog. Salpeterkrieges, aus dem Chile 1885 als Sieger hervorging, wurden deutsche Berater ins Land geholt und nachhaltig an der Reorganisation des chilenischen Heeres und der Verwaltung beteiligt. Sie gewannen starken Einfluss auf das ökonomische und kulturelle Leben ihrer zweiten Heimat.</w:t>
      </w:r>
    </w:p>
    <w:p w14:paraId="6D011541" w14:textId="77777777" w:rsidR="00003B51" w:rsidRPr="009478EB" w:rsidRDefault="00003B51" w:rsidP="00003B51">
      <w:pPr>
        <w:pStyle w:val="StandardText"/>
        <w:rPr>
          <w:noProof/>
          <w:sz w:val="22"/>
          <w:szCs w:val="22"/>
          <w:lang w:val="en-US"/>
        </w:rPr>
      </w:pPr>
      <w:r w:rsidRPr="009478EB">
        <w:rPr>
          <w:b/>
          <w:i/>
          <w:noProof/>
          <w:sz w:val="22"/>
          <w:szCs w:val="22"/>
          <w:lang w:val="en-US"/>
        </w:rPr>
        <w:t>Literatur</w:t>
      </w:r>
      <w:r w:rsidRPr="009478EB">
        <w:rPr>
          <w:i/>
          <w:noProof/>
          <w:sz w:val="22"/>
          <w:szCs w:val="22"/>
          <w:lang w:val="en-US"/>
        </w:rPr>
        <w:t>:</w:t>
      </w:r>
      <w:r w:rsidRPr="009478EB">
        <w:rPr>
          <w:noProof/>
          <w:sz w:val="22"/>
          <w:szCs w:val="22"/>
          <w:lang w:val="en-US"/>
        </w:rPr>
        <w:t xml:space="preserve"> Hofstede, G; Hofstede, G.J.; Minkov, M. (2010): Cultures and Organizations. Software of the Mind, 3</w:t>
      </w:r>
      <w:r w:rsidRPr="009478EB">
        <w:rPr>
          <w:noProof/>
          <w:sz w:val="22"/>
          <w:szCs w:val="22"/>
          <w:vertAlign w:val="superscript"/>
          <w:lang w:val="en-US"/>
        </w:rPr>
        <w:t>rd</w:t>
      </w:r>
      <w:r w:rsidRPr="009478EB">
        <w:rPr>
          <w:noProof/>
          <w:sz w:val="22"/>
          <w:szCs w:val="22"/>
          <w:lang w:val="en-US"/>
        </w:rPr>
        <w:t xml:space="preserve"> Ed., New York: McGraw-Hill. Kutschker, M.; Schmid, S. (2011): Internationales Management, 7. Aufl., München: Oldenbourg. Moon, Y.S.; Chan, K. (2005): Advertising Appeals and Cultural Values in Television Commercials. A Comparison of Hong Kong and Korea, International Marketing Review, 22(1): 48-66. </w:t>
      </w:r>
      <w:r w:rsidRPr="009478EB">
        <w:rPr>
          <w:noProof/>
          <w:sz w:val="22"/>
          <w:szCs w:val="22"/>
        </w:rPr>
        <w:t xml:space="preserve">Müller, S.; Gelbrich, K. (2014): Interkulturelle Kommunikation, München: Vahlen. </w:t>
      </w:r>
      <w:r w:rsidRPr="009478EB">
        <w:rPr>
          <w:iCs/>
          <w:noProof/>
          <w:sz w:val="22"/>
          <w:szCs w:val="22"/>
        </w:rPr>
        <w:t>Schultz, T.</w:t>
      </w:r>
      <w:r w:rsidRPr="009478EB">
        <w:rPr>
          <w:noProof/>
          <w:sz w:val="22"/>
          <w:szCs w:val="22"/>
        </w:rPr>
        <w:t xml:space="preserve"> (2000): Multilinguale </w:t>
      </w:r>
      <w:r w:rsidRPr="009478EB">
        <w:rPr>
          <w:iCs/>
          <w:noProof/>
          <w:sz w:val="22"/>
          <w:szCs w:val="22"/>
        </w:rPr>
        <w:t>Spracherkennung</w:t>
      </w:r>
      <w:r w:rsidRPr="009478EB">
        <w:rPr>
          <w:noProof/>
          <w:sz w:val="22"/>
          <w:szCs w:val="22"/>
        </w:rPr>
        <w:t xml:space="preserve">, Diss., Karlsruhe: Universität Karlsruhe (TH). </w:t>
      </w:r>
      <w:r w:rsidRPr="009478EB">
        <w:rPr>
          <w:noProof/>
          <w:sz w:val="22"/>
          <w:szCs w:val="22"/>
          <w:lang w:val="en-US"/>
        </w:rPr>
        <w:t>Touzani, M.; Hirschman, E.C. (2008): Cultural Syncretism and Ramadan Observance. Consumer Research Visits Islam, Advances in Consumer Research, 35: 374-380.</w:t>
      </w:r>
    </w:p>
    <w:p w14:paraId="791783BF" w14:textId="77777777" w:rsidR="00FF7799" w:rsidRPr="009478EB" w:rsidRDefault="00FF7799" w:rsidP="00021130">
      <w:pPr>
        <w:pStyle w:val="StandardText"/>
      </w:pPr>
    </w:p>
    <w:p w14:paraId="1626291B" w14:textId="77777777" w:rsidR="00FF7799" w:rsidRPr="00003B51" w:rsidRDefault="00FF7799" w:rsidP="005E04A5">
      <w:pPr>
        <w:pStyle w:val="berschrift1"/>
        <w:rPr>
          <w:bCs w:val="0"/>
          <w:color w:val="2E74B5"/>
          <w:sz w:val="22"/>
          <w:lang w:val="en-US"/>
        </w:rPr>
      </w:pPr>
      <w:r w:rsidRPr="00003B51">
        <w:rPr>
          <w:bCs w:val="0"/>
          <w:color w:val="2E74B5"/>
          <w:sz w:val="22"/>
          <w:lang w:val="en-US"/>
        </w:rPr>
        <w:t>German Angst</w:t>
      </w:r>
    </w:p>
    <w:p w14:paraId="5103A7E1" w14:textId="5552FA23" w:rsidR="00FF7799" w:rsidRPr="00E73F6F" w:rsidRDefault="00FF7799" w:rsidP="00862DBA">
      <w:pPr>
        <w:spacing w:before="85"/>
        <w:jc w:val="both"/>
        <w:rPr>
          <w:sz w:val="24"/>
          <w:szCs w:val="24"/>
        </w:rPr>
      </w:pPr>
      <w:r w:rsidRPr="00E73F6F">
        <w:rPr>
          <w:sz w:val="24"/>
          <w:szCs w:val="24"/>
        </w:rPr>
        <w:t xml:space="preserve">der deutschen Gesellschaft zugeschriebene Zukunftsangst und Neigung, sich mit den realen Anforderungen des täglichen Lebens eher reflektiv-grübelnd denn tatkräftig und lösungsorientiert auseinander zu setzen. Tiefenpsychologisch wird dieses „Leiden an der Welt“ als generalisierte Angststörung interpretiert. Aus kulturvergleichender Sicht springt die Analogie zur </w:t>
      </w:r>
      <w:r w:rsidR="007F2875">
        <w:sym w:font="Symbol" w:char="F0DE"/>
      </w:r>
      <w:r w:rsidR="007F2875">
        <w:t xml:space="preserve"> </w:t>
      </w:r>
      <w:r w:rsidRPr="00E73F6F">
        <w:rPr>
          <w:sz w:val="24"/>
          <w:szCs w:val="24"/>
        </w:rPr>
        <w:t xml:space="preserve">Kulturdimension Unsicherheitsvermeidung ins Auge. Kulturhistorisch wird die Angst vor Veränderungen mit der Rolle Deutschlands </w:t>
      </w:r>
      <w:r w:rsidR="00A31BCB" w:rsidRPr="00E73F6F">
        <w:rPr>
          <w:sz w:val="24"/>
          <w:szCs w:val="24"/>
        </w:rPr>
        <w:t>bei epochalen Ereignissen</w:t>
      </w:r>
      <w:r w:rsidRPr="00E73F6F">
        <w:rPr>
          <w:sz w:val="24"/>
          <w:szCs w:val="24"/>
        </w:rPr>
        <w:t xml:space="preserve"> (z.B. Dreißigjähriger Krieg, Erster und Zweiter Weltkrieg, Fall des „Eisernen Vorhangs“ etc.) in Verbindung gebracht.</w:t>
      </w:r>
    </w:p>
    <w:p w14:paraId="144C4FFD" w14:textId="77777777" w:rsidR="00FF7799" w:rsidRPr="009478EB" w:rsidRDefault="00FF7799" w:rsidP="00862DBA">
      <w:pPr>
        <w:spacing w:before="92"/>
        <w:jc w:val="both"/>
      </w:pPr>
      <w:r w:rsidRPr="009478EB">
        <w:rPr>
          <w:b/>
          <w:i/>
        </w:rPr>
        <w:t>Literatur:</w:t>
      </w:r>
      <w:r w:rsidRPr="009478EB">
        <w:rPr>
          <w:b/>
        </w:rPr>
        <w:t xml:space="preserve"> </w:t>
      </w:r>
      <w:r w:rsidRPr="009478EB">
        <w:t>Ani, F. (2000): „German Angst“, München: Droemer.</w:t>
      </w:r>
      <w:r w:rsidRPr="009478EB">
        <w:rPr>
          <w:spacing w:val="40"/>
        </w:rPr>
        <w:t xml:space="preserve"> </w:t>
      </w:r>
      <w:r w:rsidRPr="009478EB">
        <w:t>von Baeyer, W.; von</w:t>
      </w:r>
      <w:r w:rsidRPr="009478EB">
        <w:rPr>
          <w:spacing w:val="40"/>
        </w:rPr>
        <w:t xml:space="preserve"> </w:t>
      </w:r>
      <w:r w:rsidRPr="009478EB">
        <w:t>Baeyer-Katte,</w:t>
      </w:r>
      <w:r w:rsidRPr="009478EB">
        <w:rPr>
          <w:spacing w:val="-2"/>
        </w:rPr>
        <w:t xml:space="preserve"> </w:t>
      </w:r>
      <w:r w:rsidRPr="009478EB">
        <w:t>W.</w:t>
      </w:r>
      <w:r w:rsidRPr="009478EB">
        <w:rPr>
          <w:spacing w:val="-1"/>
        </w:rPr>
        <w:t xml:space="preserve"> </w:t>
      </w:r>
      <w:r w:rsidRPr="009478EB">
        <w:t>(1973): Angst,</w:t>
      </w:r>
      <w:r w:rsidRPr="009478EB">
        <w:rPr>
          <w:spacing w:val="-2"/>
        </w:rPr>
        <w:t xml:space="preserve"> </w:t>
      </w:r>
      <w:r w:rsidRPr="009478EB">
        <w:t>Frankfurt/Main:</w:t>
      </w:r>
      <w:r w:rsidRPr="009478EB">
        <w:rPr>
          <w:spacing w:val="-1"/>
        </w:rPr>
        <w:t xml:space="preserve"> </w:t>
      </w:r>
      <w:r w:rsidRPr="009478EB">
        <w:t>Suhrkamp.</w:t>
      </w:r>
      <w:r w:rsidRPr="009478EB">
        <w:rPr>
          <w:spacing w:val="39"/>
        </w:rPr>
        <w:t xml:space="preserve"> </w:t>
      </w:r>
      <w:r w:rsidR="009478EB">
        <w:rPr>
          <w:spacing w:val="39"/>
        </w:rPr>
        <w:t xml:space="preserve"> </w:t>
      </w:r>
      <w:r w:rsidRPr="009478EB">
        <w:t>Bode,</w:t>
      </w:r>
      <w:r w:rsidRPr="009478EB">
        <w:rPr>
          <w:spacing w:val="-2"/>
        </w:rPr>
        <w:t xml:space="preserve"> </w:t>
      </w:r>
      <w:r w:rsidRPr="009478EB">
        <w:t>S. (2006):</w:t>
      </w:r>
      <w:r w:rsidRPr="009478EB">
        <w:rPr>
          <w:spacing w:val="-2"/>
        </w:rPr>
        <w:t xml:space="preserve"> </w:t>
      </w:r>
      <w:r w:rsidRPr="009478EB">
        <w:t>Die</w:t>
      </w:r>
      <w:r w:rsidRPr="009478EB">
        <w:rPr>
          <w:spacing w:val="-5"/>
        </w:rPr>
        <w:t xml:space="preserve"> </w:t>
      </w:r>
      <w:r w:rsidRPr="009478EB">
        <w:t>deutsche</w:t>
      </w:r>
      <w:r w:rsidRPr="009478EB">
        <w:rPr>
          <w:spacing w:val="40"/>
        </w:rPr>
        <w:t xml:space="preserve"> </w:t>
      </w:r>
      <w:r w:rsidRPr="009478EB">
        <w:t>Angst - German Angst, Stuttgart: Klett-Cotta.</w:t>
      </w:r>
    </w:p>
    <w:p w14:paraId="4EA549F1" w14:textId="77777777" w:rsidR="00FF7799" w:rsidRPr="00E73F6F" w:rsidRDefault="00FF7799" w:rsidP="00862DBA">
      <w:pPr>
        <w:spacing w:before="9"/>
        <w:rPr>
          <w:sz w:val="24"/>
          <w:szCs w:val="24"/>
        </w:rPr>
      </w:pPr>
    </w:p>
    <w:p w14:paraId="361282C2" w14:textId="77777777" w:rsidR="00FF7799" w:rsidRPr="00E73F6F" w:rsidRDefault="00FF7799" w:rsidP="00906E9C">
      <w:pPr>
        <w:pStyle w:val="berschrift1"/>
      </w:pPr>
      <w:r w:rsidRPr="00A31BCB">
        <w:rPr>
          <w:bCs w:val="0"/>
          <w:color w:val="2E74B5"/>
          <w:sz w:val="22"/>
          <w:lang w:val="en-US"/>
        </w:rPr>
        <w:t>Gesättigter Markt</w:t>
      </w:r>
      <w:r w:rsidRPr="00E73F6F">
        <w:t xml:space="preserve"> </w:t>
      </w:r>
      <w:r w:rsidRPr="00E73F6F">
        <w:rPr>
          <w:b w:val="0"/>
        </w:rPr>
        <w:sym w:font="Symbol" w:char="F0AE"/>
      </w:r>
      <w:r w:rsidRPr="00E73F6F">
        <w:rPr>
          <w:b w:val="0"/>
        </w:rPr>
        <w:t xml:space="preserve"> Markt, gesättigter</w:t>
      </w:r>
    </w:p>
    <w:p w14:paraId="7F2F2F01" w14:textId="77777777" w:rsidR="00FF7799" w:rsidRPr="00A31BCB" w:rsidRDefault="00FF7799" w:rsidP="00906E9C">
      <w:pPr>
        <w:pStyle w:val="berschrift1"/>
        <w:rPr>
          <w:bCs w:val="0"/>
          <w:color w:val="2E74B5"/>
          <w:sz w:val="22"/>
          <w:lang w:val="en-US"/>
        </w:rPr>
      </w:pPr>
      <w:r w:rsidRPr="00A31BCB">
        <w:rPr>
          <w:bCs w:val="0"/>
          <w:color w:val="2E74B5"/>
          <w:sz w:val="22"/>
          <w:lang w:val="en-US"/>
        </w:rPr>
        <w:t>Geschenk</w:t>
      </w:r>
    </w:p>
    <w:p w14:paraId="502B3418" w14:textId="77777777" w:rsidR="00FF7799" w:rsidRPr="00E73F6F" w:rsidRDefault="00FF7799" w:rsidP="00C8550D">
      <w:pPr>
        <w:pStyle w:val="StandardText"/>
        <w:rPr>
          <w:spacing w:val="-2"/>
        </w:rPr>
      </w:pPr>
      <w:r w:rsidRPr="00E73F6F">
        <w:t xml:space="preserve">gilt in den meisten Kulturen als Respektsbezeugung. Geschenke sind sowohl geeignet, soziale Beziehungen zu etablieren, als auch sozialen Abstand zu </w:t>
      </w:r>
      <w:r w:rsidRPr="00E73F6F">
        <w:rPr>
          <w:spacing w:val="-2"/>
        </w:rPr>
        <w:t>markieren</w:t>
      </w:r>
      <w:r w:rsidR="0000202D">
        <w:rPr>
          <w:spacing w:val="-2"/>
        </w:rPr>
        <w:t xml:space="preserve"> (</w:t>
      </w:r>
      <w:r w:rsidR="0000202D">
        <w:rPr>
          <w:spacing w:val="-2"/>
        </w:rPr>
        <w:sym w:font="Symbol" w:char="F0DE"/>
      </w:r>
      <w:r w:rsidR="0000202D">
        <w:rPr>
          <w:spacing w:val="-2"/>
        </w:rPr>
        <w:t xml:space="preserve"> Auswirkungen der Landeskultur)</w:t>
      </w:r>
      <w:r w:rsidRPr="00E73F6F">
        <w:rPr>
          <w:spacing w:val="-2"/>
        </w:rPr>
        <w:t>.</w:t>
      </w:r>
    </w:p>
    <w:p w14:paraId="247A6AF1" w14:textId="77777777" w:rsidR="00FF7799" w:rsidRPr="00E73F6F" w:rsidRDefault="00FF7799" w:rsidP="00C8550D">
      <w:pPr>
        <w:pStyle w:val="StandardText"/>
      </w:pPr>
    </w:p>
    <w:p w14:paraId="07655A73" w14:textId="77777777" w:rsidR="00FF7799" w:rsidRPr="009478EB" w:rsidRDefault="00FF7799" w:rsidP="00C8550D">
      <w:pPr>
        <w:pStyle w:val="StandardTextkursiv"/>
        <w:rPr>
          <w:i w:val="0"/>
        </w:rPr>
      </w:pPr>
      <w:r w:rsidRPr="009478EB">
        <w:rPr>
          <w:i w:val="0"/>
        </w:rPr>
        <w:t>1 Funktion</w:t>
      </w:r>
      <w:r w:rsidRPr="009478EB">
        <w:rPr>
          <w:i w:val="0"/>
          <w:spacing w:val="-3"/>
        </w:rPr>
        <w:t xml:space="preserve"> </w:t>
      </w:r>
      <w:r w:rsidRPr="009478EB">
        <w:rPr>
          <w:i w:val="0"/>
        </w:rPr>
        <w:t>des</w:t>
      </w:r>
      <w:r w:rsidRPr="009478EB">
        <w:rPr>
          <w:i w:val="0"/>
          <w:spacing w:val="-1"/>
        </w:rPr>
        <w:t xml:space="preserve"> </w:t>
      </w:r>
      <w:r w:rsidRPr="009478EB">
        <w:rPr>
          <w:i w:val="0"/>
        </w:rPr>
        <w:t>Schenkens</w:t>
      </w:r>
      <w:r w:rsidRPr="009478EB">
        <w:rPr>
          <w:i w:val="0"/>
          <w:spacing w:val="-2"/>
        </w:rPr>
        <w:t xml:space="preserve"> </w:t>
      </w:r>
      <w:r w:rsidRPr="009478EB">
        <w:rPr>
          <w:i w:val="0"/>
        </w:rPr>
        <w:t>im</w:t>
      </w:r>
      <w:r w:rsidRPr="009478EB">
        <w:rPr>
          <w:i w:val="0"/>
          <w:spacing w:val="-1"/>
        </w:rPr>
        <w:t xml:space="preserve"> </w:t>
      </w:r>
      <w:r w:rsidRPr="009478EB">
        <w:rPr>
          <w:i w:val="0"/>
        </w:rPr>
        <w:t>Verlauf</w:t>
      </w:r>
      <w:r w:rsidRPr="009478EB">
        <w:rPr>
          <w:i w:val="0"/>
          <w:spacing w:val="-2"/>
        </w:rPr>
        <w:t xml:space="preserve"> </w:t>
      </w:r>
      <w:r w:rsidRPr="009478EB">
        <w:rPr>
          <w:i w:val="0"/>
        </w:rPr>
        <w:t>der</w:t>
      </w:r>
      <w:r w:rsidRPr="009478EB">
        <w:rPr>
          <w:i w:val="0"/>
          <w:spacing w:val="-1"/>
        </w:rPr>
        <w:t xml:space="preserve"> </w:t>
      </w:r>
      <w:r w:rsidRPr="009478EB">
        <w:rPr>
          <w:i w:val="0"/>
          <w:spacing w:val="-2"/>
        </w:rPr>
        <w:t>Menschheitsgeschichte</w:t>
      </w:r>
    </w:p>
    <w:p w14:paraId="564B9869" w14:textId="77777777" w:rsidR="00FF7799" w:rsidRPr="00E73F6F" w:rsidRDefault="00FF7799" w:rsidP="00C8550D">
      <w:pPr>
        <w:pStyle w:val="StandardText"/>
      </w:pPr>
      <w:r w:rsidRPr="00E73F6F">
        <w:t>Rost (1994), der eine Theorie des Schenkens formuliert hat, sagt: „Wer schenkt, will</w:t>
      </w:r>
      <w:r w:rsidRPr="00E73F6F">
        <w:rPr>
          <w:spacing w:val="-2"/>
        </w:rPr>
        <w:t xml:space="preserve"> </w:t>
      </w:r>
      <w:r w:rsidRPr="00E73F6F">
        <w:t>binden!“</w:t>
      </w:r>
      <w:r w:rsidRPr="00E73F6F">
        <w:rPr>
          <w:spacing w:val="-4"/>
        </w:rPr>
        <w:t xml:space="preserve"> </w:t>
      </w:r>
      <w:r w:rsidRPr="00E73F6F">
        <w:t>Schenken sei</w:t>
      </w:r>
      <w:r w:rsidRPr="00E73F6F">
        <w:rPr>
          <w:spacing w:val="-3"/>
        </w:rPr>
        <w:t xml:space="preserve"> </w:t>
      </w:r>
      <w:r w:rsidRPr="00E73F6F">
        <w:t>stammesgeschichtlich</w:t>
      </w:r>
      <w:r w:rsidRPr="00E73F6F">
        <w:rPr>
          <w:spacing w:val="-2"/>
        </w:rPr>
        <w:t xml:space="preserve"> </w:t>
      </w:r>
      <w:r w:rsidRPr="00E73F6F">
        <w:t>gut</w:t>
      </w:r>
      <w:r w:rsidRPr="00E73F6F">
        <w:rPr>
          <w:spacing w:val="-3"/>
        </w:rPr>
        <w:t xml:space="preserve"> </w:t>
      </w:r>
      <w:r w:rsidRPr="00E73F6F">
        <w:t>zu</w:t>
      </w:r>
      <w:r w:rsidRPr="00E73F6F">
        <w:rPr>
          <w:spacing w:val="-2"/>
        </w:rPr>
        <w:t xml:space="preserve"> </w:t>
      </w:r>
      <w:r w:rsidRPr="00E73F6F">
        <w:t>erklären.</w:t>
      </w:r>
      <w:r w:rsidRPr="00E73F6F">
        <w:rPr>
          <w:spacing w:val="-2"/>
        </w:rPr>
        <w:t xml:space="preserve"> </w:t>
      </w:r>
      <w:r w:rsidRPr="00E73F6F">
        <w:t>Es</w:t>
      </w:r>
      <w:r w:rsidRPr="00E73F6F">
        <w:rPr>
          <w:spacing w:val="-3"/>
        </w:rPr>
        <w:t xml:space="preserve"> </w:t>
      </w:r>
      <w:r w:rsidRPr="00E73F6F">
        <w:t>kam</w:t>
      </w:r>
      <w:r w:rsidRPr="00E73F6F">
        <w:rPr>
          <w:spacing w:val="-1"/>
        </w:rPr>
        <w:t xml:space="preserve"> </w:t>
      </w:r>
      <w:r w:rsidRPr="00E73F6F">
        <w:t>auf, als den Menschen das Phänomen „Eigentum“ bewusst wurde. Man gab etwas von seinem Hab und Gut ab - vor allem Nahrungsmittel, die man selbst im Überfluss hatte. So konnte man einerseits den Erhalt der Gruppe sichern und andererseits Liebespartner und Verbündete gewinnen (vgl. Waltz 2006). Schon die Neandertaler verschenkten Schmuck, wie sich an den weit über das Territorium der jeweiligen Horde</w:t>
      </w:r>
      <w:r w:rsidRPr="00E73F6F">
        <w:rPr>
          <w:spacing w:val="-1"/>
        </w:rPr>
        <w:t xml:space="preserve"> </w:t>
      </w:r>
      <w:r w:rsidRPr="00E73F6F">
        <w:t xml:space="preserve">verstreuten Funden nachweisen lässt (vgl. Maus 1990). Der Urmann gab seiner Partnerin </w:t>
      </w:r>
      <w:r w:rsidRPr="00E73F6F">
        <w:lastRenderedPageBreak/>
        <w:t>freiwillig von seiner erjagten Beute ab, um gemeinsam</w:t>
      </w:r>
      <w:r w:rsidRPr="00E73F6F">
        <w:rPr>
          <w:spacing w:val="-2"/>
        </w:rPr>
        <w:t xml:space="preserve"> </w:t>
      </w:r>
      <w:r w:rsidRPr="00E73F6F">
        <w:t>Nachwuchs</w:t>
      </w:r>
      <w:r w:rsidRPr="00E73F6F">
        <w:rPr>
          <w:spacing w:val="-1"/>
        </w:rPr>
        <w:t xml:space="preserve"> </w:t>
      </w:r>
      <w:r w:rsidRPr="00E73F6F">
        <w:t>zu zeugen</w:t>
      </w:r>
      <w:r w:rsidRPr="00E73F6F">
        <w:rPr>
          <w:spacing w:val="-2"/>
        </w:rPr>
        <w:t xml:space="preserve"> </w:t>
      </w:r>
      <w:r w:rsidRPr="00E73F6F">
        <w:t>und</w:t>
      </w:r>
      <w:r w:rsidRPr="00E73F6F">
        <w:rPr>
          <w:spacing w:val="-2"/>
        </w:rPr>
        <w:t xml:space="preserve"> </w:t>
      </w:r>
      <w:r w:rsidRPr="00E73F6F">
        <w:t>den</w:t>
      </w:r>
      <w:r w:rsidRPr="00E73F6F">
        <w:rPr>
          <w:spacing w:val="-2"/>
        </w:rPr>
        <w:t xml:space="preserve"> </w:t>
      </w:r>
      <w:r w:rsidRPr="00E73F6F">
        <w:t>Fortbestand</w:t>
      </w:r>
      <w:r w:rsidRPr="00E73F6F">
        <w:rPr>
          <w:spacing w:val="-2"/>
        </w:rPr>
        <w:t xml:space="preserve"> </w:t>
      </w:r>
      <w:r w:rsidRPr="00E73F6F">
        <w:t>der</w:t>
      </w:r>
      <w:r w:rsidRPr="00E73F6F">
        <w:rPr>
          <w:spacing w:val="-1"/>
        </w:rPr>
        <w:t xml:space="preserve"> </w:t>
      </w:r>
      <w:r w:rsidRPr="00E73F6F">
        <w:t>Art</w:t>
      </w:r>
      <w:r w:rsidRPr="00E73F6F">
        <w:rPr>
          <w:spacing w:val="-3"/>
        </w:rPr>
        <w:t xml:space="preserve"> </w:t>
      </w:r>
      <w:r w:rsidRPr="00E73F6F">
        <w:t>zu</w:t>
      </w:r>
      <w:r w:rsidRPr="00E73F6F">
        <w:rPr>
          <w:spacing w:val="-4"/>
        </w:rPr>
        <w:t xml:space="preserve"> </w:t>
      </w:r>
      <w:r w:rsidRPr="00E73F6F">
        <w:t>sichern. Später hat sich aus dieser archaischen Gabe das Geschenk an Fremde entwickelt, um Aggressionen zu hemmen, und letztlich das Werbegeschenk, um geschäftliche Verbindungen aufzubauen und zu pflegen (vgl. Mauss 1990).</w:t>
      </w:r>
    </w:p>
    <w:p w14:paraId="2D22DB8C" w14:textId="77777777" w:rsidR="00FF7799" w:rsidRPr="00E73F6F" w:rsidRDefault="00FF7799" w:rsidP="00C8550D">
      <w:pPr>
        <w:pStyle w:val="StandardText"/>
      </w:pPr>
      <w:r w:rsidRPr="00E73F6F">
        <w:t>In der Antike bis hinein ins 17. Jahrhundert war das Schenken der Oberschicht vorbehalten,</w:t>
      </w:r>
      <w:r w:rsidRPr="00E73F6F">
        <w:rPr>
          <w:spacing w:val="-12"/>
        </w:rPr>
        <w:t xml:space="preserve"> </w:t>
      </w:r>
      <w:r w:rsidRPr="00E73F6F">
        <w:t>die</w:t>
      </w:r>
      <w:r w:rsidRPr="00E73F6F">
        <w:rPr>
          <w:spacing w:val="-11"/>
        </w:rPr>
        <w:t xml:space="preserve"> </w:t>
      </w:r>
      <w:r w:rsidRPr="00E73F6F">
        <w:t>durch</w:t>
      </w:r>
      <w:r w:rsidRPr="00E73F6F">
        <w:rPr>
          <w:spacing w:val="-11"/>
        </w:rPr>
        <w:t xml:space="preserve"> </w:t>
      </w:r>
      <w:r w:rsidRPr="00E73F6F">
        <w:t>Opfer-</w:t>
      </w:r>
      <w:r w:rsidRPr="00E73F6F">
        <w:rPr>
          <w:spacing w:val="-11"/>
        </w:rPr>
        <w:t xml:space="preserve"> </w:t>
      </w:r>
      <w:r w:rsidRPr="00E73F6F">
        <w:t>und</w:t>
      </w:r>
      <w:r w:rsidRPr="00E73F6F">
        <w:rPr>
          <w:spacing w:val="-12"/>
        </w:rPr>
        <w:t xml:space="preserve"> </w:t>
      </w:r>
      <w:r w:rsidRPr="00E73F6F">
        <w:t>Liebesgaben</w:t>
      </w:r>
      <w:r w:rsidRPr="00E73F6F">
        <w:rPr>
          <w:spacing w:val="-11"/>
        </w:rPr>
        <w:t xml:space="preserve"> </w:t>
      </w:r>
      <w:r w:rsidRPr="00E73F6F">
        <w:t>oder</w:t>
      </w:r>
      <w:r w:rsidRPr="00E73F6F">
        <w:rPr>
          <w:spacing w:val="-11"/>
        </w:rPr>
        <w:t xml:space="preserve"> </w:t>
      </w:r>
      <w:r w:rsidRPr="00E73F6F">
        <w:t>andere</w:t>
      </w:r>
      <w:r w:rsidRPr="00E73F6F">
        <w:rPr>
          <w:spacing w:val="-11"/>
        </w:rPr>
        <w:t xml:space="preserve"> </w:t>
      </w:r>
      <w:r w:rsidRPr="00E73F6F">
        <w:t>Arten</w:t>
      </w:r>
      <w:r w:rsidRPr="00E73F6F">
        <w:rPr>
          <w:spacing w:val="-12"/>
        </w:rPr>
        <w:t xml:space="preserve"> </w:t>
      </w:r>
      <w:r w:rsidRPr="00E73F6F">
        <w:t>von</w:t>
      </w:r>
      <w:r w:rsidRPr="00E73F6F">
        <w:rPr>
          <w:spacing w:val="-11"/>
        </w:rPr>
        <w:t xml:space="preserve"> </w:t>
      </w:r>
      <w:r w:rsidRPr="00E73F6F">
        <w:t>Geschenken Freigebigkeit</w:t>
      </w:r>
      <w:r w:rsidRPr="00E73F6F">
        <w:rPr>
          <w:spacing w:val="-12"/>
        </w:rPr>
        <w:t xml:space="preserve"> </w:t>
      </w:r>
      <w:r w:rsidRPr="00E73F6F">
        <w:t>demonstrierte.</w:t>
      </w:r>
      <w:r w:rsidRPr="00E73F6F">
        <w:rPr>
          <w:spacing w:val="-11"/>
        </w:rPr>
        <w:t xml:space="preserve"> </w:t>
      </w:r>
      <w:r w:rsidRPr="00E73F6F">
        <w:t>Den</w:t>
      </w:r>
      <w:r w:rsidRPr="00E73F6F">
        <w:rPr>
          <w:spacing w:val="-11"/>
        </w:rPr>
        <w:t xml:space="preserve"> </w:t>
      </w:r>
      <w:r w:rsidRPr="00E73F6F">
        <w:t>niederen</w:t>
      </w:r>
      <w:r w:rsidRPr="00E73F6F">
        <w:rPr>
          <w:spacing w:val="-11"/>
        </w:rPr>
        <w:t xml:space="preserve"> </w:t>
      </w:r>
      <w:r w:rsidRPr="00E73F6F">
        <w:t>Ständen</w:t>
      </w:r>
      <w:r w:rsidRPr="00E73F6F">
        <w:rPr>
          <w:spacing w:val="-12"/>
        </w:rPr>
        <w:t xml:space="preserve"> </w:t>
      </w:r>
      <w:r w:rsidRPr="00E73F6F">
        <w:t>waren</w:t>
      </w:r>
      <w:r w:rsidRPr="00E73F6F">
        <w:rPr>
          <w:spacing w:val="-10"/>
        </w:rPr>
        <w:t xml:space="preserve"> </w:t>
      </w:r>
      <w:r w:rsidRPr="00E73F6F">
        <w:t>Geschenke</w:t>
      </w:r>
      <w:r w:rsidRPr="00E73F6F">
        <w:rPr>
          <w:spacing w:val="-12"/>
        </w:rPr>
        <w:t xml:space="preserve"> </w:t>
      </w:r>
      <w:r w:rsidRPr="00E73F6F">
        <w:t>phasenweise ganz untersagt, zumeist jedoch auf geringwertige Gaben begrenzt. Das, was als übliche</w:t>
      </w:r>
      <w:r w:rsidRPr="00E73F6F">
        <w:rPr>
          <w:spacing w:val="-12"/>
        </w:rPr>
        <w:t xml:space="preserve"> </w:t>
      </w:r>
      <w:r w:rsidRPr="00E73F6F">
        <w:t>bzw.</w:t>
      </w:r>
      <w:r w:rsidRPr="00E73F6F">
        <w:rPr>
          <w:spacing w:val="-11"/>
        </w:rPr>
        <w:t xml:space="preserve"> </w:t>
      </w:r>
      <w:r w:rsidRPr="00E73F6F">
        <w:t>sozial</w:t>
      </w:r>
      <w:r w:rsidRPr="00E73F6F">
        <w:rPr>
          <w:spacing w:val="-11"/>
        </w:rPr>
        <w:t xml:space="preserve"> </w:t>
      </w:r>
      <w:r w:rsidRPr="00E73F6F">
        <w:t>akzeptierte</w:t>
      </w:r>
      <w:r w:rsidRPr="00E73F6F">
        <w:rPr>
          <w:spacing w:val="-11"/>
        </w:rPr>
        <w:t xml:space="preserve"> </w:t>
      </w:r>
      <w:r w:rsidRPr="00E73F6F">
        <w:t>Formen</w:t>
      </w:r>
      <w:r w:rsidRPr="00E73F6F">
        <w:rPr>
          <w:spacing w:val="-12"/>
        </w:rPr>
        <w:t xml:space="preserve"> </w:t>
      </w:r>
      <w:r w:rsidRPr="00E73F6F">
        <w:t>des</w:t>
      </w:r>
      <w:r w:rsidRPr="00E73F6F">
        <w:rPr>
          <w:spacing w:val="-11"/>
        </w:rPr>
        <w:t xml:space="preserve"> </w:t>
      </w:r>
      <w:r w:rsidRPr="00E73F6F">
        <w:t>Schenkens</w:t>
      </w:r>
      <w:r w:rsidRPr="00E73F6F">
        <w:rPr>
          <w:spacing w:val="-11"/>
        </w:rPr>
        <w:t xml:space="preserve"> </w:t>
      </w:r>
      <w:r w:rsidRPr="00E73F6F">
        <w:t>gilt,</w:t>
      </w:r>
      <w:r w:rsidRPr="00E73F6F">
        <w:rPr>
          <w:spacing w:val="-11"/>
        </w:rPr>
        <w:t xml:space="preserve"> </w:t>
      </w:r>
      <w:r w:rsidRPr="00E73F6F">
        <w:t>unterliegt</w:t>
      </w:r>
      <w:r w:rsidRPr="00E73F6F">
        <w:rPr>
          <w:spacing w:val="-12"/>
        </w:rPr>
        <w:t xml:space="preserve"> </w:t>
      </w:r>
      <w:r w:rsidRPr="00E73F6F">
        <w:t>dem</w:t>
      </w:r>
      <w:r w:rsidRPr="00E73F6F">
        <w:rPr>
          <w:spacing w:val="-11"/>
        </w:rPr>
        <w:t xml:space="preserve"> </w:t>
      </w:r>
      <w:r w:rsidRPr="00E73F6F">
        <w:t>Wandel. So sind Geschenke an Geschäftsfreunde, die in den 1990er-Jahren in Großbritannien</w:t>
      </w:r>
      <w:r w:rsidRPr="00E73F6F">
        <w:rPr>
          <w:spacing w:val="-2"/>
        </w:rPr>
        <w:t xml:space="preserve"> </w:t>
      </w:r>
      <w:r w:rsidRPr="00E73F6F">
        <w:t>noch</w:t>
      </w:r>
      <w:r w:rsidRPr="00E73F6F">
        <w:rPr>
          <w:spacing w:val="-2"/>
        </w:rPr>
        <w:t xml:space="preserve"> </w:t>
      </w:r>
      <w:r w:rsidRPr="00E73F6F">
        <w:t>recht</w:t>
      </w:r>
      <w:r w:rsidRPr="00E73F6F">
        <w:rPr>
          <w:spacing w:val="-5"/>
        </w:rPr>
        <w:t xml:space="preserve"> </w:t>
      </w:r>
      <w:r w:rsidRPr="00E73F6F">
        <w:t>üppig</w:t>
      </w:r>
      <w:r w:rsidRPr="00E73F6F">
        <w:rPr>
          <w:spacing w:val="-4"/>
        </w:rPr>
        <w:t xml:space="preserve"> </w:t>
      </w:r>
      <w:r w:rsidRPr="00E73F6F">
        <w:t>ausfielen,</w:t>
      </w:r>
      <w:r w:rsidRPr="00E73F6F">
        <w:rPr>
          <w:spacing w:val="-3"/>
        </w:rPr>
        <w:t xml:space="preserve"> </w:t>
      </w:r>
      <w:r w:rsidRPr="00E73F6F">
        <w:t>mittlerweile</w:t>
      </w:r>
      <w:r w:rsidRPr="00E73F6F">
        <w:rPr>
          <w:spacing w:val="-4"/>
        </w:rPr>
        <w:t xml:space="preserve"> </w:t>
      </w:r>
      <w:r w:rsidRPr="00E73F6F">
        <w:t>der</w:t>
      </w:r>
      <w:r w:rsidRPr="00E73F6F">
        <w:rPr>
          <w:spacing w:val="-3"/>
        </w:rPr>
        <w:t xml:space="preserve"> </w:t>
      </w:r>
      <w:r w:rsidRPr="00E73F6F">
        <w:t>Corporate</w:t>
      </w:r>
      <w:r w:rsidRPr="00E73F6F">
        <w:rPr>
          <w:spacing w:val="-3"/>
        </w:rPr>
        <w:t xml:space="preserve"> </w:t>
      </w:r>
      <w:r w:rsidRPr="00E73F6F">
        <w:t>Hospitality gewichen:</w:t>
      </w:r>
      <w:r w:rsidRPr="00E73F6F">
        <w:rPr>
          <w:spacing w:val="-8"/>
        </w:rPr>
        <w:t xml:space="preserve"> </w:t>
      </w:r>
      <w:r w:rsidRPr="00E73F6F">
        <w:t>Geschäftsfreunde</w:t>
      </w:r>
      <w:r w:rsidRPr="00E73F6F">
        <w:rPr>
          <w:spacing w:val="-9"/>
        </w:rPr>
        <w:t xml:space="preserve"> </w:t>
      </w:r>
      <w:r w:rsidRPr="00E73F6F">
        <w:t>zu</w:t>
      </w:r>
      <w:r w:rsidRPr="00E73F6F">
        <w:rPr>
          <w:spacing w:val="-8"/>
        </w:rPr>
        <w:t xml:space="preserve"> </w:t>
      </w:r>
      <w:r w:rsidRPr="00E73F6F">
        <w:t>speziell</w:t>
      </w:r>
      <w:r w:rsidRPr="00E73F6F">
        <w:rPr>
          <w:spacing w:val="-8"/>
        </w:rPr>
        <w:t xml:space="preserve"> </w:t>
      </w:r>
      <w:r w:rsidRPr="00E73F6F">
        <w:t>arrangierten</w:t>
      </w:r>
      <w:r w:rsidRPr="00E73F6F">
        <w:rPr>
          <w:spacing w:val="-8"/>
        </w:rPr>
        <w:t xml:space="preserve"> </w:t>
      </w:r>
      <w:r w:rsidRPr="00E73F6F">
        <w:t>Events</w:t>
      </w:r>
      <w:r w:rsidRPr="00E73F6F">
        <w:rPr>
          <w:spacing w:val="-9"/>
        </w:rPr>
        <w:t xml:space="preserve"> </w:t>
      </w:r>
      <w:r w:rsidRPr="00E73F6F">
        <w:t>einzuladen,</w:t>
      </w:r>
      <w:r w:rsidRPr="00E73F6F">
        <w:rPr>
          <w:spacing w:val="-8"/>
        </w:rPr>
        <w:t xml:space="preserve"> </w:t>
      </w:r>
      <w:r w:rsidRPr="00E73F6F">
        <w:t>entspricht der angelsächsischen Tradition von Geschäftsbeziehungen. Denn dort wird weit weniger</w:t>
      </w:r>
      <w:r w:rsidRPr="00E73F6F">
        <w:rPr>
          <w:spacing w:val="-7"/>
        </w:rPr>
        <w:t xml:space="preserve"> </w:t>
      </w:r>
      <w:r w:rsidRPr="00E73F6F">
        <w:t>als</w:t>
      </w:r>
      <w:r w:rsidRPr="00E73F6F">
        <w:rPr>
          <w:spacing w:val="-4"/>
        </w:rPr>
        <w:t xml:space="preserve"> </w:t>
      </w:r>
      <w:r w:rsidRPr="00E73F6F">
        <w:t>etwa</w:t>
      </w:r>
      <w:r w:rsidRPr="00E73F6F">
        <w:rPr>
          <w:spacing w:val="-5"/>
        </w:rPr>
        <w:t xml:space="preserve"> </w:t>
      </w:r>
      <w:r w:rsidRPr="00E73F6F">
        <w:t>in</w:t>
      </w:r>
      <w:r w:rsidRPr="00E73F6F">
        <w:rPr>
          <w:spacing w:val="-3"/>
        </w:rPr>
        <w:t xml:space="preserve"> </w:t>
      </w:r>
      <w:r w:rsidRPr="00E73F6F">
        <w:t>Deutschland</w:t>
      </w:r>
      <w:r w:rsidRPr="00E73F6F">
        <w:rPr>
          <w:spacing w:val="-4"/>
        </w:rPr>
        <w:t xml:space="preserve"> </w:t>
      </w:r>
      <w:r w:rsidRPr="00E73F6F">
        <w:t>zwischen</w:t>
      </w:r>
      <w:r w:rsidRPr="00E73F6F">
        <w:rPr>
          <w:spacing w:val="-3"/>
        </w:rPr>
        <w:t xml:space="preserve"> </w:t>
      </w:r>
      <w:r w:rsidRPr="00E73F6F">
        <w:t>Geschäftlichem</w:t>
      </w:r>
      <w:r w:rsidRPr="00E73F6F">
        <w:rPr>
          <w:spacing w:val="-5"/>
        </w:rPr>
        <w:t xml:space="preserve"> </w:t>
      </w:r>
      <w:r w:rsidRPr="00E73F6F">
        <w:t>und</w:t>
      </w:r>
      <w:r w:rsidRPr="00E73F6F">
        <w:rPr>
          <w:spacing w:val="-6"/>
        </w:rPr>
        <w:t xml:space="preserve"> </w:t>
      </w:r>
      <w:r w:rsidRPr="00E73F6F">
        <w:t>Privatem</w:t>
      </w:r>
      <w:r w:rsidRPr="00E73F6F">
        <w:rPr>
          <w:spacing w:val="-6"/>
        </w:rPr>
        <w:t xml:space="preserve"> </w:t>
      </w:r>
      <w:r w:rsidRPr="00E73F6F">
        <w:rPr>
          <w:spacing w:val="-2"/>
        </w:rPr>
        <w:t>getrennt.</w:t>
      </w:r>
    </w:p>
    <w:p w14:paraId="2D4D56D0" w14:textId="77777777" w:rsidR="00FF7799" w:rsidRPr="00E73F6F" w:rsidRDefault="00FF7799" w:rsidP="00C8550D">
      <w:pPr>
        <w:pStyle w:val="StandardText"/>
      </w:pPr>
    </w:p>
    <w:p w14:paraId="0B0831F2" w14:textId="77777777" w:rsidR="00FF7799" w:rsidRPr="009478EB" w:rsidRDefault="00FF7799" w:rsidP="00C8550D">
      <w:pPr>
        <w:pStyle w:val="StandardTextkursiv"/>
        <w:rPr>
          <w:i w:val="0"/>
        </w:rPr>
      </w:pPr>
      <w:r w:rsidRPr="009478EB">
        <w:rPr>
          <w:i w:val="0"/>
        </w:rPr>
        <w:t>2 Kulturspezifische</w:t>
      </w:r>
      <w:r w:rsidRPr="009478EB">
        <w:rPr>
          <w:i w:val="0"/>
          <w:spacing w:val="-5"/>
        </w:rPr>
        <w:t xml:space="preserve"> </w:t>
      </w:r>
      <w:r w:rsidRPr="009478EB">
        <w:rPr>
          <w:i w:val="0"/>
          <w:spacing w:val="-2"/>
        </w:rPr>
        <w:t>Schenkrituale</w:t>
      </w:r>
    </w:p>
    <w:p w14:paraId="5470D639" w14:textId="77777777" w:rsidR="00FF7799" w:rsidRPr="00E73F6F" w:rsidRDefault="00FF7799" w:rsidP="00C8550D">
      <w:pPr>
        <w:pStyle w:val="StandardText"/>
      </w:pPr>
      <w:r w:rsidRPr="00E73F6F">
        <w:t>Für die gezielte „Pflege“ von persönlichen und geschäftlichen Beziehungen sind regelmäßige</w:t>
      </w:r>
      <w:r w:rsidRPr="00E73F6F">
        <w:rPr>
          <w:spacing w:val="-5"/>
        </w:rPr>
        <w:t xml:space="preserve"> </w:t>
      </w:r>
      <w:r w:rsidRPr="00E73F6F">
        <w:t>Geschenke</w:t>
      </w:r>
      <w:r w:rsidRPr="00E73F6F">
        <w:rPr>
          <w:spacing w:val="-7"/>
        </w:rPr>
        <w:t xml:space="preserve"> </w:t>
      </w:r>
      <w:r w:rsidRPr="00E73F6F">
        <w:t>insb.</w:t>
      </w:r>
      <w:r w:rsidRPr="00E73F6F">
        <w:rPr>
          <w:spacing w:val="-6"/>
        </w:rPr>
        <w:t xml:space="preserve"> </w:t>
      </w:r>
      <w:r w:rsidRPr="00E73F6F">
        <w:t>in</w:t>
      </w:r>
      <w:r w:rsidRPr="00E73F6F">
        <w:rPr>
          <w:spacing w:val="-7"/>
        </w:rPr>
        <w:t xml:space="preserve"> </w:t>
      </w:r>
      <w:r w:rsidRPr="00E73F6F">
        <w:t>kollektivistischen</w:t>
      </w:r>
      <w:r w:rsidRPr="00E73F6F">
        <w:rPr>
          <w:spacing w:val="-8"/>
        </w:rPr>
        <w:t xml:space="preserve"> </w:t>
      </w:r>
      <w:r w:rsidRPr="00E73F6F">
        <w:t>Ländern</w:t>
      </w:r>
      <w:r w:rsidRPr="00E73F6F">
        <w:rPr>
          <w:spacing w:val="-5"/>
        </w:rPr>
        <w:t xml:space="preserve"> </w:t>
      </w:r>
      <w:r w:rsidRPr="00E73F6F">
        <w:t>von</w:t>
      </w:r>
      <w:r w:rsidRPr="00E73F6F">
        <w:rPr>
          <w:spacing w:val="-8"/>
        </w:rPr>
        <w:t xml:space="preserve"> </w:t>
      </w:r>
      <w:r w:rsidRPr="00E73F6F">
        <w:t>großer</w:t>
      </w:r>
      <w:r w:rsidRPr="00E73F6F">
        <w:rPr>
          <w:spacing w:val="-6"/>
        </w:rPr>
        <w:t xml:space="preserve"> </w:t>
      </w:r>
      <w:r w:rsidRPr="00E73F6F">
        <w:t>Bedeutung (u.a.</w:t>
      </w:r>
      <w:r w:rsidRPr="00E73F6F">
        <w:rPr>
          <w:spacing w:val="-11"/>
        </w:rPr>
        <w:t xml:space="preserve"> </w:t>
      </w:r>
      <w:r w:rsidRPr="00E73F6F">
        <w:t>als</w:t>
      </w:r>
      <w:r w:rsidRPr="00E73F6F">
        <w:rPr>
          <w:spacing w:val="-10"/>
        </w:rPr>
        <w:t xml:space="preserve"> </w:t>
      </w:r>
      <w:r w:rsidRPr="00E73F6F">
        <w:t>Gastgeschenk).</w:t>
      </w:r>
      <w:r w:rsidRPr="00E73F6F">
        <w:rPr>
          <w:spacing w:val="-10"/>
        </w:rPr>
        <w:t xml:space="preserve"> </w:t>
      </w:r>
      <w:r w:rsidRPr="00E73F6F">
        <w:t>Zwar</w:t>
      </w:r>
      <w:r w:rsidRPr="00E73F6F">
        <w:rPr>
          <w:spacing w:val="-10"/>
        </w:rPr>
        <w:t xml:space="preserve"> </w:t>
      </w:r>
      <w:r w:rsidRPr="00E73F6F">
        <w:t>ist</w:t>
      </w:r>
      <w:r w:rsidRPr="00E73F6F">
        <w:rPr>
          <w:spacing w:val="-12"/>
        </w:rPr>
        <w:t xml:space="preserve"> </w:t>
      </w:r>
      <w:r w:rsidRPr="00E73F6F">
        <w:t>auch</w:t>
      </w:r>
      <w:r w:rsidRPr="00E73F6F">
        <w:rPr>
          <w:spacing w:val="-10"/>
        </w:rPr>
        <w:t xml:space="preserve"> </w:t>
      </w:r>
      <w:r w:rsidRPr="00E73F6F">
        <w:t>dort</w:t>
      </w:r>
      <w:r w:rsidRPr="00E73F6F">
        <w:rPr>
          <w:spacing w:val="-12"/>
        </w:rPr>
        <w:t xml:space="preserve"> </w:t>
      </w:r>
      <w:r w:rsidRPr="00E73F6F">
        <w:t>Bestechung</w:t>
      </w:r>
      <w:r w:rsidRPr="00E73F6F">
        <w:rPr>
          <w:spacing w:val="-9"/>
        </w:rPr>
        <w:t xml:space="preserve"> </w:t>
      </w:r>
      <w:r w:rsidRPr="00E73F6F">
        <w:t>offiziell</w:t>
      </w:r>
      <w:r w:rsidRPr="00E73F6F">
        <w:rPr>
          <w:spacing w:val="-10"/>
        </w:rPr>
        <w:t xml:space="preserve"> </w:t>
      </w:r>
      <w:r w:rsidRPr="00E73F6F">
        <w:t>verpönt;</w:t>
      </w:r>
      <w:r w:rsidRPr="00E73F6F">
        <w:rPr>
          <w:spacing w:val="-12"/>
        </w:rPr>
        <w:t xml:space="preserve"> </w:t>
      </w:r>
      <w:r w:rsidRPr="00E73F6F">
        <w:t>nicht</w:t>
      </w:r>
      <w:r w:rsidRPr="00E73F6F">
        <w:rPr>
          <w:spacing w:val="-10"/>
        </w:rPr>
        <w:t xml:space="preserve"> </w:t>
      </w:r>
      <w:r w:rsidRPr="00E73F6F">
        <w:t>aber die</w:t>
      </w:r>
      <w:r w:rsidRPr="00E73F6F">
        <w:rPr>
          <w:spacing w:val="-8"/>
        </w:rPr>
        <w:t xml:space="preserve"> </w:t>
      </w:r>
      <w:r w:rsidRPr="00E73F6F">
        <w:t>Zueignung</w:t>
      </w:r>
      <w:r w:rsidRPr="00E73F6F">
        <w:rPr>
          <w:spacing w:val="-9"/>
        </w:rPr>
        <w:t xml:space="preserve"> </w:t>
      </w:r>
      <w:r w:rsidRPr="00E73F6F">
        <w:t>von</w:t>
      </w:r>
      <w:r w:rsidRPr="00E73F6F">
        <w:rPr>
          <w:spacing w:val="-9"/>
        </w:rPr>
        <w:t xml:space="preserve"> </w:t>
      </w:r>
      <w:r w:rsidRPr="00E73F6F">
        <w:t>„Geschenken“,</w:t>
      </w:r>
      <w:r w:rsidRPr="00E73F6F">
        <w:rPr>
          <w:spacing w:val="-7"/>
        </w:rPr>
        <w:t xml:space="preserve"> </w:t>
      </w:r>
      <w:r w:rsidRPr="00E73F6F">
        <w:t>was</w:t>
      </w:r>
      <w:r w:rsidRPr="00E73F6F">
        <w:rPr>
          <w:spacing w:val="-8"/>
        </w:rPr>
        <w:t xml:space="preserve"> </w:t>
      </w:r>
      <w:r w:rsidRPr="00E73F6F">
        <w:t>einen</w:t>
      </w:r>
      <w:r w:rsidRPr="00E73F6F">
        <w:rPr>
          <w:spacing w:val="-6"/>
        </w:rPr>
        <w:t xml:space="preserve"> </w:t>
      </w:r>
      <w:r w:rsidRPr="00E73F6F">
        <w:t>fließenden</w:t>
      </w:r>
      <w:r w:rsidRPr="00E73F6F">
        <w:rPr>
          <w:spacing w:val="-6"/>
        </w:rPr>
        <w:t xml:space="preserve"> </w:t>
      </w:r>
      <w:r w:rsidRPr="00E73F6F">
        <w:t>Übergang</w:t>
      </w:r>
      <w:r w:rsidRPr="00E73F6F">
        <w:rPr>
          <w:spacing w:val="-9"/>
        </w:rPr>
        <w:t xml:space="preserve"> </w:t>
      </w:r>
      <w:r w:rsidRPr="00E73F6F">
        <w:t>zur</w:t>
      </w:r>
      <w:r w:rsidRPr="00E73F6F">
        <w:rPr>
          <w:spacing w:val="-7"/>
        </w:rPr>
        <w:t xml:space="preserve"> </w:t>
      </w:r>
      <w:r w:rsidR="001E3F06">
        <w:rPr>
          <w:spacing w:val="-7"/>
        </w:rPr>
        <w:sym w:font="Symbol" w:char="F0DE"/>
      </w:r>
      <w:r w:rsidR="001E3F06">
        <w:rPr>
          <w:spacing w:val="-7"/>
        </w:rPr>
        <w:t xml:space="preserve"> </w:t>
      </w:r>
      <w:r w:rsidRPr="00E73F6F">
        <w:t>Korruption schafft.</w:t>
      </w:r>
      <w:r w:rsidRPr="00E73F6F">
        <w:rPr>
          <w:spacing w:val="5"/>
        </w:rPr>
        <w:t xml:space="preserve"> </w:t>
      </w:r>
      <w:r w:rsidRPr="00E73F6F">
        <w:t>Wer</w:t>
      </w:r>
      <w:r w:rsidRPr="00E73F6F">
        <w:rPr>
          <w:spacing w:val="4"/>
        </w:rPr>
        <w:t xml:space="preserve"> </w:t>
      </w:r>
      <w:r w:rsidRPr="00E73F6F">
        <w:t>bspw.</w:t>
      </w:r>
      <w:r w:rsidRPr="00E73F6F">
        <w:rPr>
          <w:spacing w:val="3"/>
        </w:rPr>
        <w:t xml:space="preserve"> </w:t>
      </w:r>
      <w:r w:rsidRPr="00E73F6F">
        <w:t>im</w:t>
      </w:r>
      <w:r w:rsidRPr="00E73F6F">
        <w:rPr>
          <w:spacing w:val="3"/>
        </w:rPr>
        <w:t xml:space="preserve"> </w:t>
      </w:r>
      <w:r w:rsidRPr="00E73F6F">
        <w:t>China</w:t>
      </w:r>
      <w:r w:rsidRPr="00E73F6F">
        <w:rPr>
          <w:spacing w:val="4"/>
        </w:rPr>
        <w:t xml:space="preserve"> </w:t>
      </w:r>
      <w:r w:rsidRPr="00E73F6F">
        <w:t>der</w:t>
      </w:r>
      <w:r w:rsidRPr="00E73F6F">
        <w:rPr>
          <w:spacing w:val="1"/>
        </w:rPr>
        <w:t xml:space="preserve"> </w:t>
      </w:r>
      <w:r w:rsidRPr="00E73F6F">
        <w:t>1990er-Jahre</w:t>
      </w:r>
      <w:r w:rsidRPr="00E73F6F">
        <w:rPr>
          <w:spacing w:val="4"/>
        </w:rPr>
        <w:t xml:space="preserve"> </w:t>
      </w:r>
      <w:r w:rsidRPr="00E73F6F">
        <w:t>einen</w:t>
      </w:r>
      <w:r w:rsidRPr="00E73F6F">
        <w:rPr>
          <w:spacing w:val="3"/>
        </w:rPr>
        <w:t xml:space="preserve"> </w:t>
      </w:r>
      <w:r w:rsidRPr="00E73F6F">
        <w:t>Telefonanschluss</w:t>
      </w:r>
      <w:r w:rsidRPr="00E73F6F">
        <w:rPr>
          <w:spacing w:val="3"/>
        </w:rPr>
        <w:t xml:space="preserve"> </w:t>
      </w:r>
      <w:r w:rsidRPr="00E73F6F">
        <w:t>haben</w:t>
      </w:r>
      <w:r w:rsidRPr="00E73F6F">
        <w:rPr>
          <w:spacing w:val="3"/>
        </w:rPr>
        <w:t xml:space="preserve"> </w:t>
      </w:r>
      <w:r w:rsidRPr="00E73F6F">
        <w:rPr>
          <w:spacing w:val="-5"/>
        </w:rPr>
        <w:t xml:space="preserve">und </w:t>
      </w:r>
      <w:r w:rsidRPr="00E73F6F">
        <w:t>nicht</w:t>
      </w:r>
      <w:r w:rsidRPr="00E73F6F">
        <w:rPr>
          <w:spacing w:val="-6"/>
        </w:rPr>
        <w:t xml:space="preserve"> </w:t>
      </w:r>
      <w:r w:rsidRPr="00E73F6F">
        <w:t>jahrelang</w:t>
      </w:r>
      <w:r w:rsidRPr="00E73F6F">
        <w:rPr>
          <w:spacing w:val="-8"/>
        </w:rPr>
        <w:t xml:space="preserve"> </w:t>
      </w:r>
      <w:r w:rsidRPr="00E73F6F">
        <w:t>darauf</w:t>
      </w:r>
      <w:r w:rsidRPr="00E73F6F">
        <w:rPr>
          <w:spacing w:val="-6"/>
        </w:rPr>
        <w:t xml:space="preserve"> </w:t>
      </w:r>
      <w:r w:rsidRPr="00E73F6F">
        <w:t>warten</w:t>
      </w:r>
      <w:r w:rsidRPr="00E73F6F">
        <w:rPr>
          <w:spacing w:val="-6"/>
        </w:rPr>
        <w:t xml:space="preserve"> </w:t>
      </w:r>
      <w:r w:rsidRPr="00E73F6F">
        <w:t>wollte,</w:t>
      </w:r>
      <w:r w:rsidRPr="00E73F6F">
        <w:rPr>
          <w:spacing w:val="-6"/>
        </w:rPr>
        <w:t xml:space="preserve"> </w:t>
      </w:r>
      <w:r w:rsidRPr="00E73F6F">
        <w:t>musste</w:t>
      </w:r>
      <w:r w:rsidRPr="00E73F6F">
        <w:rPr>
          <w:spacing w:val="-7"/>
        </w:rPr>
        <w:t xml:space="preserve"> </w:t>
      </w:r>
      <w:r w:rsidRPr="00E73F6F">
        <w:t>seinem</w:t>
      </w:r>
      <w:r w:rsidRPr="00E73F6F">
        <w:rPr>
          <w:spacing w:val="-7"/>
        </w:rPr>
        <w:t xml:space="preserve"> </w:t>
      </w:r>
      <w:r w:rsidRPr="00E73F6F">
        <w:t>Wunsch</w:t>
      </w:r>
      <w:r w:rsidRPr="00E73F6F">
        <w:rPr>
          <w:spacing w:val="-8"/>
        </w:rPr>
        <w:t xml:space="preserve"> </w:t>
      </w:r>
      <w:r w:rsidRPr="00E73F6F">
        <w:t>mit</w:t>
      </w:r>
      <w:r w:rsidRPr="00E73F6F">
        <w:rPr>
          <w:spacing w:val="-6"/>
        </w:rPr>
        <w:t xml:space="preserve"> </w:t>
      </w:r>
      <w:r w:rsidRPr="00E73F6F">
        <w:t>„angemessenen“ (d.h. der hierarchischen Stellung des Empfängers entsprechenden) Geschenken Nachdruck verleihen. Selbst im Krankenhaus war es üblich, dass Patienten den behandelnden</w:t>
      </w:r>
      <w:r w:rsidRPr="00E73F6F">
        <w:rPr>
          <w:spacing w:val="57"/>
          <w:w w:val="150"/>
        </w:rPr>
        <w:t xml:space="preserve"> </w:t>
      </w:r>
      <w:r w:rsidRPr="00E73F6F">
        <w:t>Chirurgen</w:t>
      </w:r>
      <w:r w:rsidRPr="00E73F6F">
        <w:rPr>
          <w:spacing w:val="59"/>
          <w:w w:val="150"/>
        </w:rPr>
        <w:t xml:space="preserve"> </w:t>
      </w:r>
      <w:r w:rsidRPr="00E73F6F">
        <w:t>bzw.</w:t>
      </w:r>
      <w:r w:rsidRPr="00E73F6F">
        <w:rPr>
          <w:spacing w:val="78"/>
        </w:rPr>
        <w:t xml:space="preserve"> </w:t>
      </w:r>
      <w:r w:rsidRPr="00E73F6F">
        <w:t>Schwestern</w:t>
      </w:r>
      <w:r w:rsidRPr="00E73F6F">
        <w:rPr>
          <w:spacing w:val="59"/>
          <w:w w:val="150"/>
        </w:rPr>
        <w:t xml:space="preserve"> </w:t>
      </w:r>
      <w:r w:rsidRPr="00E73F6F">
        <w:t>für</w:t>
      </w:r>
      <w:r w:rsidRPr="00E73F6F">
        <w:rPr>
          <w:spacing w:val="58"/>
          <w:w w:val="150"/>
        </w:rPr>
        <w:t xml:space="preserve"> </w:t>
      </w:r>
      <w:r w:rsidRPr="00E73F6F">
        <w:t>eine</w:t>
      </w:r>
      <w:r w:rsidRPr="00E73F6F">
        <w:rPr>
          <w:spacing w:val="57"/>
          <w:w w:val="150"/>
        </w:rPr>
        <w:t xml:space="preserve"> </w:t>
      </w:r>
      <w:r w:rsidRPr="00E73F6F">
        <w:t>erfolgreiche</w:t>
      </w:r>
      <w:r w:rsidRPr="00E73F6F">
        <w:rPr>
          <w:spacing w:val="58"/>
          <w:w w:val="150"/>
        </w:rPr>
        <w:t xml:space="preserve"> </w:t>
      </w:r>
      <w:r w:rsidRPr="00E73F6F">
        <w:rPr>
          <w:spacing w:val="-2"/>
        </w:rPr>
        <w:t xml:space="preserve">Operation </w:t>
      </w:r>
      <w:r w:rsidRPr="00E73F6F">
        <w:t>„Aufmerksamkeiten“</w:t>
      </w:r>
      <w:r w:rsidRPr="00E73F6F">
        <w:rPr>
          <w:spacing w:val="-2"/>
        </w:rPr>
        <w:t xml:space="preserve"> </w:t>
      </w:r>
      <w:r w:rsidRPr="00E73F6F">
        <w:t>anboten.</w:t>
      </w:r>
      <w:r w:rsidRPr="00E73F6F">
        <w:rPr>
          <w:spacing w:val="-1"/>
        </w:rPr>
        <w:t xml:space="preserve"> </w:t>
      </w:r>
      <w:r w:rsidRPr="00E73F6F">
        <w:t>In</w:t>
      </w:r>
      <w:r w:rsidRPr="00E73F6F">
        <w:rPr>
          <w:spacing w:val="-3"/>
        </w:rPr>
        <w:t xml:space="preserve"> </w:t>
      </w:r>
      <w:r w:rsidRPr="00E73F6F">
        <w:t>angelsächsischen Ländern</w:t>
      </w:r>
      <w:r w:rsidRPr="00E73F6F">
        <w:rPr>
          <w:spacing w:val="-3"/>
        </w:rPr>
        <w:t xml:space="preserve"> </w:t>
      </w:r>
      <w:r w:rsidRPr="00E73F6F">
        <w:t>hingegen ist</w:t>
      </w:r>
      <w:r w:rsidRPr="00E73F6F">
        <w:rPr>
          <w:spacing w:val="-1"/>
        </w:rPr>
        <w:t xml:space="preserve"> </w:t>
      </w:r>
      <w:r w:rsidRPr="00E73F6F">
        <w:t>insb.</w:t>
      </w:r>
      <w:r w:rsidRPr="00E73F6F">
        <w:rPr>
          <w:spacing w:val="-1"/>
        </w:rPr>
        <w:t xml:space="preserve"> </w:t>
      </w:r>
      <w:r w:rsidRPr="00E73F6F">
        <w:t>im Geschäftsleben</w:t>
      </w:r>
      <w:r w:rsidRPr="00E73F6F">
        <w:rPr>
          <w:spacing w:val="-6"/>
        </w:rPr>
        <w:t xml:space="preserve"> </w:t>
      </w:r>
      <w:r w:rsidRPr="00E73F6F">
        <w:t>alles</w:t>
      </w:r>
      <w:r w:rsidRPr="00E73F6F">
        <w:rPr>
          <w:spacing w:val="-7"/>
        </w:rPr>
        <w:t xml:space="preserve"> </w:t>
      </w:r>
      <w:r w:rsidRPr="00E73F6F">
        <w:t>verpönt,</w:t>
      </w:r>
      <w:r w:rsidRPr="00E73F6F">
        <w:rPr>
          <w:spacing w:val="-7"/>
        </w:rPr>
        <w:t xml:space="preserve"> </w:t>
      </w:r>
      <w:r w:rsidRPr="00E73F6F">
        <w:t>was</w:t>
      </w:r>
      <w:r w:rsidRPr="00E73F6F">
        <w:rPr>
          <w:spacing w:val="-9"/>
        </w:rPr>
        <w:t xml:space="preserve"> </w:t>
      </w:r>
      <w:r w:rsidRPr="00E73F6F">
        <w:t>Geschenke</w:t>
      </w:r>
      <w:r w:rsidRPr="00E73F6F">
        <w:rPr>
          <w:spacing w:val="-7"/>
        </w:rPr>
        <w:t xml:space="preserve"> </w:t>
      </w:r>
      <w:r w:rsidRPr="00E73F6F">
        <w:t>als</w:t>
      </w:r>
      <w:r w:rsidRPr="00E73F6F">
        <w:rPr>
          <w:spacing w:val="-7"/>
        </w:rPr>
        <w:t xml:space="preserve"> </w:t>
      </w:r>
      <w:r w:rsidRPr="00E73F6F">
        <w:t>Vorteilsnahme</w:t>
      </w:r>
      <w:r w:rsidRPr="00E73F6F">
        <w:rPr>
          <w:spacing w:val="-7"/>
        </w:rPr>
        <w:t xml:space="preserve"> </w:t>
      </w:r>
      <w:r w:rsidRPr="00E73F6F">
        <w:t>erscheinen</w:t>
      </w:r>
      <w:r w:rsidRPr="00E73F6F">
        <w:rPr>
          <w:spacing w:val="-8"/>
        </w:rPr>
        <w:t xml:space="preserve"> </w:t>
      </w:r>
      <w:r w:rsidRPr="00E73F6F">
        <w:t>lassen könnte. In der Praxis nähern sich beide Welten unter dem Eindruck der Globalisierung jedoch einander an.</w:t>
      </w:r>
    </w:p>
    <w:p w14:paraId="07D72339" w14:textId="77777777" w:rsidR="00FF7799" w:rsidRPr="00E73F6F" w:rsidRDefault="00FF7799" w:rsidP="00C8550D">
      <w:pPr>
        <w:pStyle w:val="StandardText"/>
      </w:pPr>
      <w:r w:rsidRPr="00E73F6F">
        <w:t>Geschenke haben häufig symbolhafte Bedeutung, weshalb es – aufgrund der Kulturgebundenheit von Symbolen - beim Schenken regelmäßig zu interkulturellen Missverständnissen kommt, wie folgendes Beispiel zeigt. Da sie in diesen Ländern bildhafter Ausdruck von Trennung bzw. Streit sind, wäre es bspw. unangemessen, in China Uhren und in Frankreich Messer zu verschenken. Auch</w:t>
      </w:r>
      <w:r w:rsidRPr="00E73F6F">
        <w:rPr>
          <w:spacing w:val="-9"/>
        </w:rPr>
        <w:t xml:space="preserve"> </w:t>
      </w:r>
      <w:r w:rsidRPr="00E73F6F">
        <w:t>die</w:t>
      </w:r>
      <w:r w:rsidRPr="00E73F6F">
        <w:rPr>
          <w:spacing w:val="-11"/>
        </w:rPr>
        <w:t xml:space="preserve"> </w:t>
      </w:r>
      <w:r w:rsidRPr="00E73F6F">
        <w:t>Praxis,</w:t>
      </w:r>
      <w:r w:rsidRPr="00E73F6F">
        <w:rPr>
          <w:spacing w:val="-12"/>
        </w:rPr>
        <w:t xml:space="preserve"> </w:t>
      </w:r>
      <w:r w:rsidRPr="00E73F6F">
        <w:t>Geschenke</w:t>
      </w:r>
      <w:r w:rsidRPr="00E73F6F">
        <w:rPr>
          <w:spacing w:val="-10"/>
        </w:rPr>
        <w:t xml:space="preserve"> </w:t>
      </w:r>
      <w:r w:rsidRPr="00E73F6F">
        <w:t>noch</w:t>
      </w:r>
      <w:r w:rsidRPr="00E73F6F">
        <w:rPr>
          <w:spacing w:val="-11"/>
        </w:rPr>
        <w:t xml:space="preserve"> </w:t>
      </w:r>
      <w:r w:rsidRPr="00E73F6F">
        <w:t>in</w:t>
      </w:r>
      <w:r w:rsidRPr="00E73F6F">
        <w:rPr>
          <w:spacing w:val="-9"/>
        </w:rPr>
        <w:t xml:space="preserve"> </w:t>
      </w:r>
      <w:r w:rsidRPr="00E73F6F">
        <w:t>Anwesenheit</w:t>
      </w:r>
      <w:r w:rsidRPr="00E73F6F">
        <w:rPr>
          <w:spacing w:val="-12"/>
        </w:rPr>
        <w:t xml:space="preserve"> </w:t>
      </w:r>
      <w:r w:rsidRPr="00E73F6F">
        <w:t>des</w:t>
      </w:r>
      <w:r w:rsidRPr="00E73F6F">
        <w:rPr>
          <w:spacing w:val="-10"/>
        </w:rPr>
        <w:t xml:space="preserve"> </w:t>
      </w:r>
      <w:r w:rsidRPr="00E73F6F">
        <w:t>Schenkenden</w:t>
      </w:r>
      <w:r w:rsidRPr="00E73F6F">
        <w:rPr>
          <w:spacing w:val="-11"/>
        </w:rPr>
        <w:t xml:space="preserve"> </w:t>
      </w:r>
      <w:r w:rsidRPr="00E73F6F">
        <w:t>zu</w:t>
      </w:r>
      <w:r w:rsidRPr="00E73F6F">
        <w:rPr>
          <w:spacing w:val="-9"/>
        </w:rPr>
        <w:t xml:space="preserve"> </w:t>
      </w:r>
      <w:r w:rsidRPr="00E73F6F">
        <w:t>öffnen</w:t>
      </w:r>
      <w:r w:rsidRPr="00E73F6F">
        <w:rPr>
          <w:spacing w:val="-11"/>
        </w:rPr>
        <w:t xml:space="preserve"> </w:t>
      </w:r>
      <w:r w:rsidRPr="00E73F6F">
        <w:t xml:space="preserve">oder nicht, variiert. In Japan, wo der Verpackung des Geschenks eine überragende Bedeutung zukommt, ist es nicht üblich, das Geschenk „unter Zeugen“ auszupacken. Denn entspräche die Gabe nicht der sozialen Stellung der Beteiligten, liefen beide (Schenkende und Beschenkte) Gefahr, ihr Gesicht zu </w:t>
      </w:r>
      <w:r w:rsidRPr="00E73F6F">
        <w:rPr>
          <w:spacing w:val="-2"/>
        </w:rPr>
        <w:t>verlieren.</w:t>
      </w:r>
    </w:p>
    <w:p w14:paraId="636F055E" w14:textId="77777777" w:rsidR="00FF7799" w:rsidRPr="00E73F6F" w:rsidRDefault="00FF7799" w:rsidP="00C8550D">
      <w:pPr>
        <w:pStyle w:val="StandardText"/>
        <w:rPr>
          <w:spacing w:val="-2"/>
        </w:rPr>
      </w:pPr>
      <w:r w:rsidRPr="00E73F6F">
        <w:t>Anlässlich des Mondfestes, dem traditionsreichsten und besonders bedeutsamen Festtag in China, überreichen Chinesen Mondkuchen. Auch Geschäftsfreunde werden bedacht. Unerlässlich ist, das traditionelle Backwerk persönlich zu überreichen.</w:t>
      </w:r>
      <w:r w:rsidRPr="00E73F6F">
        <w:rPr>
          <w:spacing w:val="-5"/>
        </w:rPr>
        <w:t xml:space="preserve"> </w:t>
      </w:r>
      <w:r w:rsidRPr="00E73F6F">
        <w:t>Das</w:t>
      </w:r>
      <w:r w:rsidRPr="00E73F6F">
        <w:rPr>
          <w:spacing w:val="-3"/>
        </w:rPr>
        <w:t xml:space="preserve"> </w:t>
      </w:r>
      <w:r w:rsidRPr="00E73F6F">
        <w:t>Datum</w:t>
      </w:r>
      <w:r w:rsidRPr="00E73F6F">
        <w:rPr>
          <w:spacing w:val="-4"/>
        </w:rPr>
        <w:t xml:space="preserve"> </w:t>
      </w:r>
      <w:r w:rsidRPr="00E73F6F">
        <w:t>des</w:t>
      </w:r>
      <w:r w:rsidRPr="00E73F6F">
        <w:rPr>
          <w:spacing w:val="-3"/>
        </w:rPr>
        <w:t xml:space="preserve"> </w:t>
      </w:r>
      <w:r w:rsidRPr="00E73F6F">
        <w:t>Mondfestes</w:t>
      </w:r>
      <w:r w:rsidRPr="00E73F6F">
        <w:rPr>
          <w:spacing w:val="-3"/>
        </w:rPr>
        <w:t xml:space="preserve"> </w:t>
      </w:r>
      <w:r w:rsidRPr="00E73F6F">
        <w:t>wird</w:t>
      </w:r>
      <w:r w:rsidRPr="00E73F6F">
        <w:rPr>
          <w:spacing w:val="-2"/>
        </w:rPr>
        <w:t xml:space="preserve"> </w:t>
      </w:r>
      <w:r w:rsidRPr="00E73F6F">
        <w:t>nach</w:t>
      </w:r>
      <w:r w:rsidRPr="00E73F6F">
        <w:rPr>
          <w:spacing w:val="-4"/>
        </w:rPr>
        <w:t xml:space="preserve"> </w:t>
      </w:r>
      <w:r w:rsidRPr="00E73F6F">
        <w:t>dem</w:t>
      </w:r>
      <w:r w:rsidRPr="00E73F6F">
        <w:rPr>
          <w:spacing w:val="-4"/>
        </w:rPr>
        <w:t xml:space="preserve"> </w:t>
      </w:r>
      <w:r w:rsidRPr="00E73F6F">
        <w:t>Mondkalender</w:t>
      </w:r>
      <w:r w:rsidRPr="00E73F6F">
        <w:rPr>
          <w:spacing w:val="-5"/>
        </w:rPr>
        <w:t xml:space="preserve"> </w:t>
      </w:r>
      <w:r w:rsidRPr="00E73F6F">
        <w:t xml:space="preserve">bestimmt: Am 15. Tag des achten Monats nach dem chinesischen Neujahrsfest. Dann steht die Sonne senkrecht über dem Äquator, und Tag und Nacht sind gleich lang. Getreu der Yin-Yang-Philosophie, wonach Gegensätze „das Ganze“ erklären, vereint der handflächengroße und äußerst kalorienreiche Mondkuchen Süßes und Salziges, Helles und Dunkles. Der Geber signalisiert dem Beschenkten seine Wertschätzung durch die Marke indem er den Mondkuchen bei einer exklusiven Bäckerei ersteht und dies durch deren Marke sowie eine aufwändige Verpackung </w:t>
      </w:r>
      <w:r w:rsidRPr="00E73F6F">
        <w:rPr>
          <w:spacing w:val="-2"/>
        </w:rPr>
        <w:t>demonstriert.</w:t>
      </w:r>
    </w:p>
    <w:p w14:paraId="352DC1D0" w14:textId="77777777" w:rsidR="00FF7799" w:rsidRPr="009478EB" w:rsidRDefault="00FF7799" w:rsidP="00C8550D">
      <w:pPr>
        <w:pStyle w:val="StandardText"/>
        <w:rPr>
          <w:sz w:val="22"/>
          <w:szCs w:val="22"/>
        </w:rPr>
      </w:pPr>
      <w:r w:rsidRPr="009478EB">
        <w:rPr>
          <w:b/>
          <w:i/>
          <w:sz w:val="22"/>
          <w:szCs w:val="22"/>
        </w:rPr>
        <w:t>Literatur:</w:t>
      </w:r>
      <w:r w:rsidRPr="009478EB">
        <w:rPr>
          <w:b/>
          <w:spacing w:val="-2"/>
          <w:sz w:val="22"/>
          <w:szCs w:val="22"/>
        </w:rPr>
        <w:t xml:space="preserve"> </w:t>
      </w:r>
      <w:r w:rsidRPr="009478EB">
        <w:rPr>
          <w:sz w:val="22"/>
          <w:szCs w:val="22"/>
        </w:rPr>
        <w:t>Mauss,</w:t>
      </w:r>
      <w:r w:rsidRPr="009478EB">
        <w:rPr>
          <w:spacing w:val="-1"/>
          <w:sz w:val="22"/>
          <w:szCs w:val="22"/>
        </w:rPr>
        <w:t xml:space="preserve"> </w:t>
      </w:r>
      <w:r w:rsidRPr="009478EB">
        <w:rPr>
          <w:sz w:val="22"/>
          <w:szCs w:val="22"/>
        </w:rPr>
        <w:t>M. (1990):</w:t>
      </w:r>
      <w:r w:rsidRPr="009478EB">
        <w:rPr>
          <w:spacing w:val="-1"/>
          <w:sz w:val="22"/>
          <w:szCs w:val="22"/>
        </w:rPr>
        <w:t xml:space="preserve"> </w:t>
      </w:r>
      <w:r w:rsidRPr="009478EB">
        <w:rPr>
          <w:sz w:val="22"/>
          <w:szCs w:val="22"/>
        </w:rPr>
        <w:t>Die</w:t>
      </w:r>
      <w:r w:rsidRPr="009478EB">
        <w:rPr>
          <w:spacing w:val="-1"/>
          <w:sz w:val="22"/>
          <w:szCs w:val="22"/>
        </w:rPr>
        <w:t xml:space="preserve"> </w:t>
      </w:r>
      <w:r w:rsidRPr="009478EB">
        <w:rPr>
          <w:sz w:val="22"/>
          <w:szCs w:val="22"/>
        </w:rPr>
        <w:t>Gabe.</w:t>
      </w:r>
      <w:r w:rsidRPr="009478EB">
        <w:rPr>
          <w:spacing w:val="-1"/>
          <w:sz w:val="22"/>
          <w:szCs w:val="22"/>
        </w:rPr>
        <w:t xml:space="preserve"> </w:t>
      </w:r>
      <w:r w:rsidRPr="009478EB">
        <w:rPr>
          <w:sz w:val="22"/>
          <w:szCs w:val="22"/>
        </w:rPr>
        <w:t>Form</w:t>
      </w:r>
      <w:r w:rsidRPr="009478EB">
        <w:rPr>
          <w:spacing w:val="-2"/>
          <w:sz w:val="22"/>
          <w:szCs w:val="22"/>
        </w:rPr>
        <w:t xml:space="preserve"> </w:t>
      </w:r>
      <w:r w:rsidRPr="009478EB">
        <w:rPr>
          <w:sz w:val="22"/>
          <w:szCs w:val="22"/>
        </w:rPr>
        <w:t>und Funktion</w:t>
      </w:r>
      <w:r w:rsidRPr="009478EB">
        <w:rPr>
          <w:spacing w:val="-1"/>
          <w:sz w:val="22"/>
          <w:szCs w:val="22"/>
        </w:rPr>
        <w:t xml:space="preserve"> </w:t>
      </w:r>
      <w:r w:rsidRPr="009478EB">
        <w:rPr>
          <w:sz w:val="22"/>
          <w:szCs w:val="22"/>
        </w:rPr>
        <w:t>des Austauschs in archaischen</w:t>
      </w:r>
      <w:r w:rsidRPr="009478EB">
        <w:rPr>
          <w:spacing w:val="40"/>
          <w:sz w:val="22"/>
          <w:szCs w:val="22"/>
        </w:rPr>
        <w:t xml:space="preserve"> </w:t>
      </w:r>
      <w:r w:rsidRPr="009478EB">
        <w:rPr>
          <w:sz w:val="22"/>
          <w:szCs w:val="22"/>
        </w:rPr>
        <w:t>Gesellschaften, 3. Aufl., Frankfurt/Main: Suhrkamp.</w:t>
      </w:r>
      <w:r w:rsidRPr="009478EB">
        <w:rPr>
          <w:spacing w:val="40"/>
          <w:sz w:val="22"/>
          <w:szCs w:val="22"/>
        </w:rPr>
        <w:t xml:space="preserve"> </w:t>
      </w:r>
      <w:r w:rsidRPr="009478EB">
        <w:rPr>
          <w:sz w:val="22"/>
          <w:szCs w:val="22"/>
        </w:rPr>
        <w:t>Rost, E. (1994): Theorie des</w:t>
      </w:r>
      <w:r w:rsidRPr="009478EB">
        <w:rPr>
          <w:spacing w:val="40"/>
          <w:sz w:val="22"/>
          <w:szCs w:val="22"/>
        </w:rPr>
        <w:t xml:space="preserve"> </w:t>
      </w:r>
      <w:r w:rsidRPr="009478EB">
        <w:rPr>
          <w:sz w:val="22"/>
          <w:szCs w:val="22"/>
        </w:rPr>
        <w:t>Schenkens, Essen: Die Blaue Eule.</w:t>
      </w:r>
      <w:r w:rsidRPr="009478EB">
        <w:rPr>
          <w:spacing w:val="40"/>
          <w:sz w:val="22"/>
          <w:szCs w:val="22"/>
        </w:rPr>
        <w:t xml:space="preserve"> </w:t>
      </w:r>
      <w:r w:rsidRPr="009478EB">
        <w:rPr>
          <w:sz w:val="22"/>
          <w:szCs w:val="22"/>
        </w:rPr>
        <w:t>Waltz, M. (2006): Tauschsysteme als subjektivierende</w:t>
      </w:r>
      <w:r w:rsidRPr="009478EB">
        <w:rPr>
          <w:spacing w:val="40"/>
          <w:sz w:val="22"/>
          <w:szCs w:val="22"/>
        </w:rPr>
        <w:t xml:space="preserve"> </w:t>
      </w:r>
      <w:r w:rsidRPr="009478EB">
        <w:rPr>
          <w:sz w:val="22"/>
          <w:szCs w:val="22"/>
        </w:rPr>
        <w:t>Ordnungen.</w:t>
      </w:r>
      <w:r w:rsidRPr="009478EB">
        <w:rPr>
          <w:spacing w:val="-8"/>
          <w:sz w:val="22"/>
          <w:szCs w:val="22"/>
        </w:rPr>
        <w:t xml:space="preserve"> </w:t>
      </w:r>
      <w:r w:rsidRPr="009478EB">
        <w:rPr>
          <w:sz w:val="22"/>
          <w:szCs w:val="22"/>
        </w:rPr>
        <w:t>Mauss,</w:t>
      </w:r>
      <w:r w:rsidRPr="009478EB">
        <w:rPr>
          <w:spacing w:val="-6"/>
          <w:sz w:val="22"/>
          <w:szCs w:val="22"/>
        </w:rPr>
        <w:t xml:space="preserve"> </w:t>
      </w:r>
      <w:r w:rsidRPr="009478EB">
        <w:rPr>
          <w:sz w:val="22"/>
          <w:szCs w:val="22"/>
        </w:rPr>
        <w:t>Lévi-Strauss,</w:t>
      </w:r>
      <w:r w:rsidRPr="009478EB">
        <w:rPr>
          <w:spacing w:val="-6"/>
          <w:sz w:val="22"/>
          <w:szCs w:val="22"/>
        </w:rPr>
        <w:t xml:space="preserve"> </w:t>
      </w:r>
      <w:r w:rsidRPr="009478EB">
        <w:rPr>
          <w:sz w:val="22"/>
          <w:szCs w:val="22"/>
        </w:rPr>
        <w:t>Lacan,</w:t>
      </w:r>
      <w:r w:rsidRPr="009478EB">
        <w:rPr>
          <w:spacing w:val="-6"/>
          <w:sz w:val="22"/>
          <w:szCs w:val="22"/>
        </w:rPr>
        <w:t xml:space="preserve"> </w:t>
      </w:r>
      <w:r w:rsidRPr="009478EB">
        <w:rPr>
          <w:sz w:val="22"/>
          <w:szCs w:val="22"/>
        </w:rPr>
        <w:lastRenderedPageBreak/>
        <w:t>in:</w:t>
      </w:r>
      <w:r w:rsidRPr="009478EB">
        <w:rPr>
          <w:spacing w:val="-6"/>
          <w:sz w:val="22"/>
          <w:szCs w:val="22"/>
        </w:rPr>
        <w:t xml:space="preserve"> </w:t>
      </w:r>
      <w:r w:rsidRPr="009478EB">
        <w:rPr>
          <w:sz w:val="22"/>
          <w:szCs w:val="22"/>
        </w:rPr>
        <w:t>Moebius,</w:t>
      </w:r>
      <w:r w:rsidRPr="009478EB">
        <w:rPr>
          <w:spacing w:val="-6"/>
          <w:sz w:val="22"/>
          <w:szCs w:val="22"/>
        </w:rPr>
        <w:t xml:space="preserve"> </w:t>
      </w:r>
      <w:r w:rsidRPr="009478EB">
        <w:rPr>
          <w:sz w:val="22"/>
          <w:szCs w:val="22"/>
        </w:rPr>
        <w:t>S.;</w:t>
      </w:r>
      <w:r w:rsidRPr="009478EB">
        <w:rPr>
          <w:spacing w:val="-6"/>
          <w:sz w:val="22"/>
          <w:szCs w:val="22"/>
        </w:rPr>
        <w:t xml:space="preserve"> </w:t>
      </w:r>
      <w:r w:rsidRPr="009478EB">
        <w:rPr>
          <w:sz w:val="22"/>
          <w:szCs w:val="22"/>
        </w:rPr>
        <w:t>Papilloud,</w:t>
      </w:r>
      <w:r w:rsidRPr="009478EB">
        <w:rPr>
          <w:spacing w:val="-6"/>
          <w:sz w:val="22"/>
          <w:szCs w:val="22"/>
        </w:rPr>
        <w:t xml:space="preserve"> </w:t>
      </w:r>
      <w:r w:rsidRPr="009478EB">
        <w:rPr>
          <w:sz w:val="22"/>
          <w:szCs w:val="22"/>
        </w:rPr>
        <w:t>C.</w:t>
      </w:r>
      <w:r w:rsidRPr="009478EB">
        <w:rPr>
          <w:spacing w:val="-4"/>
          <w:sz w:val="22"/>
          <w:szCs w:val="22"/>
        </w:rPr>
        <w:t xml:space="preserve"> </w:t>
      </w:r>
      <w:r w:rsidRPr="009478EB">
        <w:rPr>
          <w:sz w:val="22"/>
          <w:szCs w:val="22"/>
        </w:rPr>
        <w:t>(Hrsg.),</w:t>
      </w:r>
      <w:r w:rsidRPr="009478EB">
        <w:rPr>
          <w:spacing w:val="-3"/>
          <w:sz w:val="22"/>
          <w:szCs w:val="22"/>
        </w:rPr>
        <w:t xml:space="preserve"> </w:t>
      </w:r>
      <w:r w:rsidRPr="009478EB">
        <w:rPr>
          <w:sz w:val="22"/>
          <w:szCs w:val="22"/>
        </w:rPr>
        <w:t>Gift.</w:t>
      </w:r>
      <w:r w:rsidRPr="009478EB">
        <w:rPr>
          <w:spacing w:val="-6"/>
          <w:sz w:val="22"/>
          <w:szCs w:val="22"/>
        </w:rPr>
        <w:t xml:space="preserve"> </w:t>
      </w:r>
      <w:r w:rsidRPr="009478EB">
        <w:rPr>
          <w:sz w:val="22"/>
          <w:szCs w:val="22"/>
        </w:rPr>
        <w:t>Marcel</w:t>
      </w:r>
      <w:r w:rsidRPr="009478EB">
        <w:rPr>
          <w:spacing w:val="40"/>
          <w:sz w:val="22"/>
          <w:szCs w:val="22"/>
        </w:rPr>
        <w:t xml:space="preserve"> </w:t>
      </w:r>
      <w:r w:rsidRPr="009478EB">
        <w:rPr>
          <w:sz w:val="22"/>
          <w:szCs w:val="22"/>
        </w:rPr>
        <w:t>Mauss‘ Kulturtheorie der Gabe, Wiesbaden: Verlag für Sozialwissenschaften.</w:t>
      </w:r>
    </w:p>
    <w:p w14:paraId="37711A29" w14:textId="77777777" w:rsidR="0040076A" w:rsidRPr="00E73F6F" w:rsidRDefault="0040076A" w:rsidP="00C8550D">
      <w:pPr>
        <w:pStyle w:val="StandardText"/>
      </w:pPr>
    </w:p>
    <w:p w14:paraId="09056952" w14:textId="77777777" w:rsidR="00FF7799" w:rsidRPr="00A31BCB" w:rsidRDefault="00FF7799" w:rsidP="00906E9C">
      <w:pPr>
        <w:pStyle w:val="berschrift1"/>
        <w:rPr>
          <w:bCs w:val="0"/>
          <w:color w:val="2E74B5"/>
          <w:sz w:val="22"/>
          <w:lang w:val="en-US"/>
        </w:rPr>
      </w:pPr>
      <w:r w:rsidRPr="00A31BCB">
        <w:rPr>
          <w:bCs w:val="0"/>
          <w:color w:val="2E74B5"/>
          <w:sz w:val="22"/>
          <w:lang w:val="en-US"/>
        </w:rPr>
        <w:t>Gesellschaft</w:t>
      </w:r>
    </w:p>
    <w:p w14:paraId="2FA61AC6" w14:textId="77777777" w:rsidR="00FF7799" w:rsidRPr="00E73F6F" w:rsidRDefault="00FF7799" w:rsidP="00C8550D">
      <w:pPr>
        <w:pStyle w:val="StandardText"/>
      </w:pPr>
      <w:r w:rsidRPr="00E73F6F">
        <w:t>im Mittelhochdeutschen das „fürstliche Gefolge“. Heut</w:t>
      </w:r>
      <w:r w:rsidR="009478EB">
        <w:t xml:space="preserve">e ist Gesellschaft, anders als </w:t>
      </w:r>
      <w:r w:rsidR="009478EB">
        <w:sym w:font="Symbol" w:char="F0DE"/>
      </w:r>
      <w:r w:rsidR="009478EB">
        <w:t xml:space="preserve"> Staat oder </w:t>
      </w:r>
      <w:r w:rsidR="009478EB">
        <w:sym w:font="Symbol" w:char="F0DE"/>
      </w:r>
      <w:r w:rsidRPr="00E73F6F">
        <w:t xml:space="preserve"> Nation, die Formen der politischen Organisation der Menschheit repräsentieren, eine primär soziokulturelle Kategorie: eine in soziale Gruppen gegliederte menschliche Gemeinschaft. Von der in westlichen Industrieländern zumeist bürgerlichen „Mainstream-Gesellschaft“ sind die Gegengesellschaft und die Parallelgesellschaft abzugrenzen. In dem Maße, wie in multikulturellen Einwanderungsländern die jeweiligen nationalen Einwanderungsschübe sich abkapseln (d.h. nicht integrieren) und sich in Parallelgesellschaften organisieren, spricht man auch von „Patchwork- Gesellschaft“</w:t>
      </w:r>
      <w:r w:rsidR="008702EF">
        <w:t xml:space="preserve"> (</w:t>
      </w:r>
      <w:r w:rsidR="008702EF">
        <w:sym w:font="Symbol" w:char="F0DE"/>
      </w:r>
      <w:r w:rsidR="008702EF">
        <w:t xml:space="preserve"> Multikulturalismus)</w:t>
      </w:r>
      <w:r w:rsidRPr="00E73F6F">
        <w:t>.</w:t>
      </w:r>
    </w:p>
    <w:p w14:paraId="125DE950" w14:textId="77777777" w:rsidR="00FF7799" w:rsidRPr="00E73F6F" w:rsidRDefault="00FF7799" w:rsidP="00C8550D">
      <w:pPr>
        <w:pStyle w:val="StandardText"/>
      </w:pPr>
      <w:r w:rsidRPr="00E73F6F">
        <w:t>Weiterhin sind die traditionellen, häufig theokratisch begründeten normativen Gesellschaften von den modernen kognitiven Gesellschaften zu unterscheiden. Erstere betrachten den Menschen vorrangig als soziales Wesen, das eingebunden ist in die Normen einer ewigen, von Gott gegebenen Weltordnung. Deren in Gesetze gefasste Regeln dienen dem Ausgleich zwischen den Interessen der Individuen mit dem Ziel, Gerechtigkeit zu gewährleisten (als einen Zustand, der die Stabilität des sozialen Systems gewährleistet). Individuelle Freiheit ist dort immer nur nachgeordnete Folge von Gerechtigkeit. Strafen und Sanktionen zielen deshalb primär auf sozialen Ausgleich. Schwerste Strafen (z.B. soziale Ächtung, Verbannung) konkretisieren sich weniger im Verlust von Freiheit als im Verlust der sozialen Einbindung. Kognitive Gesellschaften setzen demgegenüber stärker auf Erkenntnis und individuelle Freiheit. Ihre „Hohen Priester“ sind die Wissenschaftler, deren Aufgabe darin besteht, die natürliche Ordnung zu entdecken und in Naturgesetzen zu fassen. Freiheitsstrafen, an realen Orten abzuleisten (z.B. im Gefängnis), ersetzen die Sozialstrafen. Anders als manch andere normative Gesellschaft buddhistischer oder hinduistischer Prägung haben die islamischen Gesellschaften im Regelfall keinen Anschluss an die vom individualistisch-freiheitlichen Denken abhängige „westliche“ Wissenschaft (insb. Technologie) gefunden, da sie den Einfluss des Normativen nicht relativieren. Der islamistische Fundamentalismus (d.h. nicht: islamisch) wird deshalb vorrangig als Abwehr des als bedrohlich erlebten kognitiv-individualistischen Lebensstils gedeutet.</w:t>
      </w:r>
    </w:p>
    <w:p w14:paraId="37CC4B33" w14:textId="77777777" w:rsidR="00FF7799" w:rsidRPr="00A31BCB" w:rsidRDefault="00FF7799" w:rsidP="00A31BCB">
      <w:pPr>
        <w:pStyle w:val="berschrift1"/>
        <w:rPr>
          <w:bCs w:val="0"/>
          <w:color w:val="2E74B5"/>
          <w:sz w:val="22"/>
          <w:lang w:val="en-US"/>
        </w:rPr>
      </w:pPr>
    </w:p>
    <w:p w14:paraId="336DB2A7" w14:textId="77777777" w:rsidR="00FF7799" w:rsidRPr="00A31BCB" w:rsidRDefault="00FF7799" w:rsidP="00906E9C">
      <w:pPr>
        <w:pStyle w:val="berschrift1"/>
        <w:rPr>
          <w:bCs w:val="0"/>
          <w:color w:val="2E74B5"/>
          <w:sz w:val="22"/>
          <w:lang w:val="en-US"/>
        </w:rPr>
      </w:pPr>
      <w:r w:rsidRPr="00A31BCB">
        <w:rPr>
          <w:bCs w:val="0"/>
          <w:color w:val="2E74B5"/>
          <w:sz w:val="22"/>
          <w:lang w:val="en-US"/>
        </w:rPr>
        <w:t>Gesellschaft für Konsumforschung (GfK)</w:t>
      </w:r>
    </w:p>
    <w:p w14:paraId="126B8351" w14:textId="77777777" w:rsidR="00FF7799" w:rsidRPr="009478EB" w:rsidRDefault="00FF7799" w:rsidP="00C8550D">
      <w:pPr>
        <w:pStyle w:val="StandardText"/>
      </w:pPr>
      <w:r w:rsidRPr="009478EB">
        <w:t xml:space="preserve">Wer kauft unsere Produkte? Stimmt unsere </w:t>
      </w:r>
      <w:r w:rsidR="00F3160E">
        <w:sym w:font="Symbol" w:char="F0DE"/>
      </w:r>
      <w:r w:rsidR="00F3160E">
        <w:t xml:space="preserve"> </w:t>
      </w:r>
      <w:r w:rsidRPr="009478EB">
        <w:t>Zielgruppe mit unseren tatsächlichen Kunden</w:t>
      </w:r>
      <w:r w:rsidRPr="009478EB">
        <w:rPr>
          <w:spacing w:val="-10"/>
        </w:rPr>
        <w:t xml:space="preserve"> </w:t>
      </w:r>
      <w:r w:rsidRPr="009478EB">
        <w:t>überein?</w:t>
      </w:r>
      <w:r w:rsidRPr="009478EB">
        <w:rPr>
          <w:spacing w:val="-11"/>
        </w:rPr>
        <w:t xml:space="preserve"> </w:t>
      </w:r>
      <w:r w:rsidRPr="009478EB">
        <w:t>Wie</w:t>
      </w:r>
      <w:r w:rsidRPr="009478EB">
        <w:rPr>
          <w:spacing w:val="-11"/>
        </w:rPr>
        <w:t xml:space="preserve"> </w:t>
      </w:r>
      <w:r w:rsidRPr="009478EB">
        <w:t>ist</w:t>
      </w:r>
      <w:r w:rsidRPr="009478EB">
        <w:rPr>
          <w:spacing w:val="-12"/>
        </w:rPr>
        <w:t xml:space="preserve"> </w:t>
      </w:r>
      <w:r w:rsidRPr="009478EB">
        <w:t>unsere</w:t>
      </w:r>
      <w:r w:rsidRPr="009478EB">
        <w:rPr>
          <w:spacing w:val="-11"/>
        </w:rPr>
        <w:t xml:space="preserve"> </w:t>
      </w:r>
      <w:r w:rsidRPr="009478EB">
        <w:t>Marke</w:t>
      </w:r>
      <w:r w:rsidRPr="009478EB">
        <w:rPr>
          <w:spacing w:val="-11"/>
        </w:rPr>
        <w:t xml:space="preserve"> </w:t>
      </w:r>
      <w:r w:rsidRPr="009478EB">
        <w:t>im</w:t>
      </w:r>
      <w:r w:rsidRPr="009478EB">
        <w:rPr>
          <w:spacing w:val="-11"/>
        </w:rPr>
        <w:t xml:space="preserve"> </w:t>
      </w:r>
      <w:r w:rsidRPr="009478EB">
        <w:t>Wettbewerbsumfeld</w:t>
      </w:r>
      <w:r w:rsidRPr="009478EB">
        <w:rPr>
          <w:spacing w:val="-10"/>
        </w:rPr>
        <w:t xml:space="preserve"> </w:t>
      </w:r>
      <w:r w:rsidRPr="009478EB">
        <w:t>positioniert?</w:t>
      </w:r>
      <w:r w:rsidRPr="009478EB">
        <w:rPr>
          <w:spacing w:val="-11"/>
        </w:rPr>
        <w:t xml:space="preserve"> </w:t>
      </w:r>
      <w:r w:rsidRPr="009478EB">
        <w:t>Diese und andere Fragen erscheinen trivial. Aber kein Produktmanager kann sie verlässlich beantworten, ohne dafür Informationen einzuholen. Dies gilt insb. für Konsumgüterhersteller. Da ihre Produkte zumeist von Handelsunternehmen vertrieben werden, können sie nicht aus eigener Anschauung wissen, wer ihre Kunden sind. Derartige Informationen liefert jedoch z.B. das Marktforschungsunternehmen GfK. Es erhebt in seinem Verbraucherpanel die Kaufgewohnheiten einer repräsentativen Stichprobe deutscher Konsumenten mit Hilfe sog. Electronic Diaries, mit denen dieses auf Verbraucherforschung spezialisierte, weltweit tätige Marktforschungsinstitut die Panelteilnehmer ausstattet. Da diese Daten mit den Psycho- und Soziodemografika der Befragten verknüpft werden können, erfahren die Hersteller nicht nur, wie oft ihre Marken wann</w:t>
      </w:r>
      <w:r w:rsidRPr="009478EB">
        <w:rPr>
          <w:spacing w:val="-12"/>
        </w:rPr>
        <w:t xml:space="preserve"> </w:t>
      </w:r>
      <w:r w:rsidRPr="009478EB">
        <w:t>und</w:t>
      </w:r>
      <w:r w:rsidRPr="009478EB">
        <w:rPr>
          <w:spacing w:val="-11"/>
        </w:rPr>
        <w:t xml:space="preserve"> </w:t>
      </w:r>
      <w:r w:rsidRPr="009478EB">
        <w:t>wo</w:t>
      </w:r>
      <w:r w:rsidRPr="009478EB">
        <w:rPr>
          <w:spacing w:val="-11"/>
        </w:rPr>
        <w:t xml:space="preserve"> </w:t>
      </w:r>
      <w:r w:rsidRPr="009478EB">
        <w:t>gekauft</w:t>
      </w:r>
      <w:r w:rsidRPr="009478EB">
        <w:rPr>
          <w:spacing w:val="-11"/>
        </w:rPr>
        <w:t xml:space="preserve"> </w:t>
      </w:r>
      <w:r w:rsidRPr="009478EB">
        <w:t>werden,</w:t>
      </w:r>
      <w:r w:rsidRPr="009478EB">
        <w:rPr>
          <w:spacing w:val="-12"/>
        </w:rPr>
        <w:t xml:space="preserve"> </w:t>
      </w:r>
      <w:r w:rsidRPr="009478EB">
        <w:t>sondern</w:t>
      </w:r>
      <w:r w:rsidRPr="009478EB">
        <w:rPr>
          <w:spacing w:val="-11"/>
        </w:rPr>
        <w:t xml:space="preserve"> </w:t>
      </w:r>
      <w:r w:rsidRPr="009478EB">
        <w:t>z.B.</w:t>
      </w:r>
      <w:r w:rsidRPr="009478EB">
        <w:rPr>
          <w:spacing w:val="-11"/>
        </w:rPr>
        <w:t xml:space="preserve"> </w:t>
      </w:r>
      <w:r w:rsidRPr="009478EB">
        <w:t>auch,</w:t>
      </w:r>
      <w:r w:rsidRPr="009478EB">
        <w:rPr>
          <w:spacing w:val="-11"/>
        </w:rPr>
        <w:t xml:space="preserve"> </w:t>
      </w:r>
      <w:r w:rsidRPr="009478EB">
        <w:t>ob</w:t>
      </w:r>
      <w:r w:rsidRPr="009478EB">
        <w:rPr>
          <w:spacing w:val="-12"/>
        </w:rPr>
        <w:t xml:space="preserve"> </w:t>
      </w:r>
      <w:r w:rsidRPr="009478EB">
        <w:t>die</w:t>
      </w:r>
      <w:r w:rsidRPr="009478EB">
        <w:rPr>
          <w:spacing w:val="-11"/>
        </w:rPr>
        <w:t xml:space="preserve"> </w:t>
      </w:r>
      <w:r w:rsidRPr="009478EB">
        <w:t>Käufer</w:t>
      </w:r>
      <w:r w:rsidRPr="009478EB">
        <w:rPr>
          <w:spacing w:val="-11"/>
        </w:rPr>
        <w:t xml:space="preserve"> </w:t>
      </w:r>
      <w:r w:rsidRPr="009478EB">
        <w:t>jung</w:t>
      </w:r>
      <w:r w:rsidRPr="009478EB">
        <w:rPr>
          <w:spacing w:val="-11"/>
        </w:rPr>
        <w:t xml:space="preserve"> </w:t>
      </w:r>
      <w:r w:rsidRPr="009478EB">
        <w:t>oder</w:t>
      </w:r>
      <w:r w:rsidRPr="009478EB">
        <w:rPr>
          <w:spacing w:val="-12"/>
        </w:rPr>
        <w:t xml:space="preserve"> </w:t>
      </w:r>
      <w:r w:rsidRPr="009478EB">
        <w:t>alt,</w:t>
      </w:r>
      <w:r w:rsidRPr="009478EB">
        <w:rPr>
          <w:spacing w:val="-11"/>
        </w:rPr>
        <w:t xml:space="preserve"> </w:t>
      </w:r>
      <w:r w:rsidRPr="009478EB">
        <w:t>preis- oder</w:t>
      </w:r>
      <w:r w:rsidRPr="009478EB">
        <w:rPr>
          <w:spacing w:val="-5"/>
        </w:rPr>
        <w:t xml:space="preserve"> </w:t>
      </w:r>
      <w:r w:rsidRPr="009478EB">
        <w:t>markenbewusst</w:t>
      </w:r>
      <w:r w:rsidRPr="009478EB">
        <w:rPr>
          <w:spacing w:val="-7"/>
        </w:rPr>
        <w:t xml:space="preserve"> </w:t>
      </w:r>
      <w:r w:rsidRPr="009478EB">
        <w:t>bzw.</w:t>
      </w:r>
      <w:r w:rsidRPr="009478EB">
        <w:rPr>
          <w:spacing w:val="-5"/>
        </w:rPr>
        <w:t xml:space="preserve"> </w:t>
      </w:r>
      <w:r w:rsidRPr="009478EB">
        <w:t>Singles</w:t>
      </w:r>
      <w:r w:rsidRPr="009478EB">
        <w:rPr>
          <w:spacing w:val="-8"/>
        </w:rPr>
        <w:t xml:space="preserve"> </w:t>
      </w:r>
      <w:r w:rsidRPr="009478EB">
        <w:t>oder</w:t>
      </w:r>
      <w:r w:rsidRPr="009478EB">
        <w:rPr>
          <w:spacing w:val="-5"/>
        </w:rPr>
        <w:t xml:space="preserve"> </w:t>
      </w:r>
      <w:r w:rsidRPr="009478EB">
        <w:t>Familienväter</w:t>
      </w:r>
      <w:r w:rsidRPr="009478EB">
        <w:rPr>
          <w:spacing w:val="-6"/>
        </w:rPr>
        <w:t xml:space="preserve"> </w:t>
      </w:r>
      <w:r w:rsidRPr="009478EB">
        <w:t>sind.</w:t>
      </w:r>
      <w:r w:rsidRPr="009478EB">
        <w:rPr>
          <w:spacing w:val="-7"/>
        </w:rPr>
        <w:t xml:space="preserve"> </w:t>
      </w:r>
      <w:r w:rsidRPr="009478EB">
        <w:t>Weiterhin</w:t>
      </w:r>
      <w:r w:rsidRPr="009478EB">
        <w:rPr>
          <w:spacing w:val="-4"/>
        </w:rPr>
        <w:t xml:space="preserve"> </w:t>
      </w:r>
      <w:r w:rsidRPr="009478EB">
        <w:t>verraten</w:t>
      </w:r>
      <w:r w:rsidRPr="009478EB">
        <w:rPr>
          <w:spacing w:val="-5"/>
        </w:rPr>
        <w:t xml:space="preserve"> </w:t>
      </w:r>
      <w:r w:rsidRPr="009478EB">
        <w:t xml:space="preserve">die Paneldaten den Herstellern, ob ihre Marke mehr </w:t>
      </w:r>
      <w:r w:rsidRPr="009478EB">
        <w:lastRenderedPageBreak/>
        <w:t>Stammkäufer hat als konkurrierende</w:t>
      </w:r>
      <w:r w:rsidRPr="009478EB">
        <w:rPr>
          <w:spacing w:val="-12"/>
        </w:rPr>
        <w:t xml:space="preserve"> </w:t>
      </w:r>
      <w:r w:rsidRPr="009478EB">
        <w:t>Marken</w:t>
      </w:r>
      <w:r w:rsidRPr="009478EB">
        <w:rPr>
          <w:spacing w:val="-11"/>
        </w:rPr>
        <w:t xml:space="preserve"> </w:t>
      </w:r>
      <w:r w:rsidRPr="009478EB">
        <w:t>und</w:t>
      </w:r>
      <w:r w:rsidRPr="009478EB">
        <w:rPr>
          <w:spacing w:val="-9"/>
        </w:rPr>
        <w:t xml:space="preserve"> </w:t>
      </w:r>
      <w:r w:rsidRPr="009478EB">
        <w:t>ob</w:t>
      </w:r>
      <w:r w:rsidRPr="009478EB">
        <w:rPr>
          <w:spacing w:val="-10"/>
        </w:rPr>
        <w:t xml:space="preserve"> </w:t>
      </w:r>
      <w:r w:rsidRPr="009478EB">
        <w:t>der</w:t>
      </w:r>
      <w:r w:rsidRPr="009478EB">
        <w:rPr>
          <w:spacing w:val="-11"/>
        </w:rPr>
        <w:t xml:space="preserve"> </w:t>
      </w:r>
      <w:r w:rsidRPr="009478EB">
        <w:t>Handel</w:t>
      </w:r>
      <w:r w:rsidRPr="009478EB">
        <w:rPr>
          <w:spacing w:val="-11"/>
        </w:rPr>
        <w:t xml:space="preserve"> </w:t>
      </w:r>
      <w:r w:rsidRPr="009478EB">
        <w:t>ihrer</w:t>
      </w:r>
      <w:r w:rsidRPr="009478EB">
        <w:rPr>
          <w:spacing w:val="-11"/>
        </w:rPr>
        <w:t xml:space="preserve"> </w:t>
      </w:r>
      <w:r w:rsidRPr="009478EB">
        <w:t>unverbindlichen</w:t>
      </w:r>
      <w:r w:rsidRPr="009478EB">
        <w:rPr>
          <w:spacing w:val="-10"/>
        </w:rPr>
        <w:t xml:space="preserve"> </w:t>
      </w:r>
      <w:r w:rsidRPr="009478EB">
        <w:t>Preisempfehlung folgt. Der Wert solcher Marktinformationen steht und fällt mit der Datenqualität: Die Daten müssen regelmäßig erhoben werden, repräsentativ für die Grundgesamtheit sowie reliabel und valide sein. Dass die GfK es dauerhaft verstanden</w:t>
      </w:r>
      <w:r w:rsidRPr="009478EB">
        <w:rPr>
          <w:spacing w:val="17"/>
        </w:rPr>
        <w:t xml:space="preserve"> </w:t>
      </w:r>
      <w:r w:rsidRPr="009478EB">
        <w:t>hat,</w:t>
      </w:r>
      <w:r w:rsidRPr="009478EB">
        <w:rPr>
          <w:spacing w:val="21"/>
        </w:rPr>
        <w:t xml:space="preserve"> </w:t>
      </w:r>
      <w:r w:rsidRPr="009478EB">
        <w:t>diese</w:t>
      </w:r>
      <w:r w:rsidRPr="009478EB">
        <w:rPr>
          <w:spacing w:val="20"/>
        </w:rPr>
        <w:t xml:space="preserve"> </w:t>
      </w:r>
      <w:r w:rsidRPr="009478EB">
        <w:t>Qualitätskriterien</w:t>
      </w:r>
      <w:r w:rsidRPr="009478EB">
        <w:rPr>
          <w:spacing w:val="21"/>
        </w:rPr>
        <w:t xml:space="preserve"> </w:t>
      </w:r>
      <w:r w:rsidRPr="009478EB">
        <w:t>zu</w:t>
      </w:r>
      <w:r w:rsidRPr="009478EB">
        <w:rPr>
          <w:spacing w:val="22"/>
        </w:rPr>
        <w:t xml:space="preserve"> </w:t>
      </w:r>
      <w:r w:rsidRPr="009478EB">
        <w:t>erfüllen,</w:t>
      </w:r>
      <w:r w:rsidRPr="009478EB">
        <w:rPr>
          <w:spacing w:val="22"/>
        </w:rPr>
        <w:t xml:space="preserve"> </w:t>
      </w:r>
      <w:r w:rsidRPr="009478EB">
        <w:t>ist</w:t>
      </w:r>
      <w:r w:rsidRPr="009478EB">
        <w:rPr>
          <w:spacing w:val="21"/>
        </w:rPr>
        <w:t xml:space="preserve"> </w:t>
      </w:r>
      <w:r w:rsidRPr="009478EB">
        <w:t>einer</w:t>
      </w:r>
      <w:r w:rsidRPr="009478EB">
        <w:rPr>
          <w:spacing w:val="21"/>
        </w:rPr>
        <w:t xml:space="preserve"> </w:t>
      </w:r>
      <w:r w:rsidRPr="009478EB">
        <w:t>der</w:t>
      </w:r>
      <w:r w:rsidRPr="009478EB">
        <w:rPr>
          <w:spacing w:val="18"/>
        </w:rPr>
        <w:t xml:space="preserve"> </w:t>
      </w:r>
      <w:r w:rsidRPr="009478EB">
        <w:t>Gründe</w:t>
      </w:r>
      <w:r w:rsidRPr="009478EB">
        <w:rPr>
          <w:spacing w:val="20"/>
        </w:rPr>
        <w:t xml:space="preserve"> </w:t>
      </w:r>
      <w:r w:rsidRPr="009478EB">
        <w:t>für</w:t>
      </w:r>
      <w:r w:rsidRPr="009478EB">
        <w:rPr>
          <w:spacing w:val="22"/>
        </w:rPr>
        <w:t xml:space="preserve"> </w:t>
      </w:r>
      <w:r w:rsidRPr="009478EB">
        <w:rPr>
          <w:spacing w:val="-5"/>
        </w:rPr>
        <w:t xml:space="preserve">ihr </w:t>
      </w:r>
      <w:r w:rsidRPr="009478EB">
        <w:t xml:space="preserve">stetiges Wachstum: 1925 als Institut für Wirtschaftsbeobachtung der deutschen </w:t>
      </w:r>
      <w:r w:rsidRPr="009478EB">
        <w:rPr>
          <w:spacing w:val="-2"/>
        </w:rPr>
        <w:t>Fertigware</w:t>
      </w:r>
      <w:r w:rsidRPr="009478EB">
        <w:t xml:space="preserve"> </w:t>
      </w:r>
      <w:r w:rsidRPr="009478EB">
        <w:rPr>
          <w:spacing w:val="-2"/>
        </w:rPr>
        <w:t>gegründet,</w:t>
      </w:r>
      <w:r w:rsidRPr="009478EB">
        <w:t xml:space="preserve"> </w:t>
      </w:r>
      <w:r w:rsidRPr="009478EB">
        <w:rPr>
          <w:spacing w:val="-2"/>
        </w:rPr>
        <w:t>erwirtschaftete</w:t>
      </w:r>
      <w:r w:rsidRPr="009478EB">
        <w:t xml:space="preserve"> </w:t>
      </w:r>
      <w:r w:rsidRPr="009478EB">
        <w:rPr>
          <w:spacing w:val="-4"/>
        </w:rPr>
        <w:t>das</w:t>
      </w:r>
      <w:r w:rsidRPr="009478EB">
        <w:t xml:space="preserve"> </w:t>
      </w:r>
      <w:r w:rsidRPr="009478EB">
        <w:rPr>
          <w:spacing w:val="-2"/>
        </w:rPr>
        <w:t xml:space="preserve">Nürnberger </w:t>
      </w:r>
      <w:r w:rsidRPr="009478EB">
        <w:t xml:space="preserve">Marktforschungsunternehmen 2007 einen Umsatz von 1,16 Mrd. €, davon mehr als drei Viertel im Ausland. In dem Maße, wie die Neuen Medien auch die </w:t>
      </w:r>
      <w:r w:rsidRPr="009478EB">
        <w:rPr>
          <w:rFonts w:ascii="Cambria Math" w:hAnsi="Cambria Math" w:cs="Cambria Math"/>
        </w:rPr>
        <w:t>⇒</w:t>
      </w:r>
      <w:r w:rsidRPr="009478EB">
        <w:rPr>
          <w:spacing w:val="40"/>
        </w:rPr>
        <w:t xml:space="preserve"> </w:t>
      </w:r>
      <w:r w:rsidRPr="009478EB">
        <w:t>Marktforschung grundlegend verändern (bspw. durch Social Media Monitoring), geriet</w:t>
      </w:r>
      <w:r w:rsidRPr="009478EB">
        <w:rPr>
          <w:spacing w:val="-9"/>
        </w:rPr>
        <w:t xml:space="preserve"> </w:t>
      </w:r>
      <w:r w:rsidRPr="009478EB">
        <w:t>jedoch</w:t>
      </w:r>
      <w:r w:rsidRPr="009478EB">
        <w:rPr>
          <w:spacing w:val="-10"/>
        </w:rPr>
        <w:t xml:space="preserve"> </w:t>
      </w:r>
      <w:r w:rsidRPr="009478EB">
        <w:t>auch</w:t>
      </w:r>
      <w:r w:rsidRPr="009478EB">
        <w:rPr>
          <w:spacing w:val="-10"/>
        </w:rPr>
        <w:t xml:space="preserve"> </w:t>
      </w:r>
      <w:r w:rsidRPr="009478EB">
        <w:t>dieses</w:t>
      </w:r>
      <w:r w:rsidRPr="009478EB">
        <w:rPr>
          <w:spacing w:val="-9"/>
        </w:rPr>
        <w:t xml:space="preserve"> </w:t>
      </w:r>
      <w:r w:rsidRPr="009478EB">
        <w:t>etablierte</w:t>
      </w:r>
      <w:r w:rsidRPr="009478EB">
        <w:rPr>
          <w:spacing w:val="-9"/>
        </w:rPr>
        <w:t xml:space="preserve"> </w:t>
      </w:r>
      <w:r w:rsidRPr="009478EB">
        <w:t>Marktforschungsunternehmen</w:t>
      </w:r>
      <w:r w:rsidRPr="009478EB">
        <w:rPr>
          <w:spacing w:val="-10"/>
        </w:rPr>
        <w:t xml:space="preserve"> </w:t>
      </w:r>
      <w:r w:rsidRPr="009478EB">
        <w:t>in</w:t>
      </w:r>
      <w:r w:rsidRPr="009478EB">
        <w:rPr>
          <w:spacing w:val="-10"/>
        </w:rPr>
        <w:t xml:space="preserve"> </w:t>
      </w:r>
      <w:r w:rsidRPr="009478EB">
        <w:t>die</w:t>
      </w:r>
      <w:r w:rsidRPr="009478EB">
        <w:rPr>
          <w:spacing w:val="-9"/>
        </w:rPr>
        <w:t xml:space="preserve"> </w:t>
      </w:r>
      <w:r w:rsidRPr="009478EB">
        <w:t>Krise.</w:t>
      </w:r>
      <w:r w:rsidRPr="009478EB">
        <w:rPr>
          <w:spacing w:val="-8"/>
        </w:rPr>
        <w:t xml:space="preserve"> </w:t>
      </w:r>
      <w:r w:rsidRPr="009478EB">
        <w:t>Bis 2012 war der weltweite Umsatz der GfK-Gruppe zwar noch auf 1,515 Mrd. € gestiegen, in den Folgejahren jedoch nur noch minimal (2015 = 1,543 Mrd. €).</w:t>
      </w:r>
    </w:p>
    <w:p w14:paraId="41997B50" w14:textId="77777777" w:rsidR="00FF7799" w:rsidRPr="009478EB" w:rsidRDefault="00FF7799" w:rsidP="00C8550D">
      <w:pPr>
        <w:pStyle w:val="StandardText"/>
        <w:rPr>
          <w:spacing w:val="-2"/>
          <w:sz w:val="22"/>
          <w:szCs w:val="22"/>
        </w:rPr>
      </w:pPr>
      <w:r w:rsidRPr="009478EB">
        <w:rPr>
          <w:b/>
          <w:i/>
          <w:sz w:val="22"/>
          <w:szCs w:val="22"/>
        </w:rPr>
        <w:t>Literatur</w:t>
      </w:r>
      <w:r w:rsidRPr="009478EB">
        <w:rPr>
          <w:i/>
          <w:sz w:val="22"/>
          <w:szCs w:val="22"/>
        </w:rPr>
        <w:t>:</w:t>
      </w:r>
      <w:r w:rsidRPr="009478EB">
        <w:rPr>
          <w:spacing w:val="-10"/>
          <w:sz w:val="22"/>
          <w:szCs w:val="22"/>
        </w:rPr>
        <w:t xml:space="preserve"> </w:t>
      </w:r>
      <w:hyperlink r:id="rId48" w:history="1">
        <w:r w:rsidRPr="009478EB">
          <w:rPr>
            <w:rStyle w:val="Hyperlink"/>
            <w:sz w:val="22"/>
            <w:szCs w:val="22"/>
          </w:rPr>
          <w:t>www.spiegel.de/wirtschaft/unternehmen/marktforscher-gfk-verliert-</w:t>
        </w:r>
        <w:r w:rsidRPr="009478EB">
          <w:rPr>
            <w:rStyle w:val="Hyperlink"/>
            <w:spacing w:val="-2"/>
            <w:sz w:val="22"/>
            <w:szCs w:val="22"/>
          </w:rPr>
          <w:t>ueberraschend-fuehrungsspitze-a-1107324.html</w:t>
        </w:r>
      </w:hyperlink>
      <w:r w:rsidRPr="009478EB">
        <w:rPr>
          <w:spacing w:val="-2"/>
          <w:sz w:val="22"/>
          <w:szCs w:val="22"/>
        </w:rPr>
        <w:t xml:space="preserve"> </w:t>
      </w:r>
    </w:p>
    <w:p w14:paraId="381C9171" w14:textId="77777777" w:rsidR="0040076A" w:rsidRPr="00E73F6F" w:rsidRDefault="0040076A" w:rsidP="00C8550D">
      <w:pPr>
        <w:pStyle w:val="StandardText"/>
      </w:pPr>
    </w:p>
    <w:p w14:paraId="3B046CAD" w14:textId="77777777" w:rsidR="00FF7799" w:rsidRPr="00A31BCB" w:rsidRDefault="00FF7799" w:rsidP="00906E9C">
      <w:pPr>
        <w:pStyle w:val="berschrift1"/>
        <w:rPr>
          <w:bCs w:val="0"/>
          <w:color w:val="2E74B5"/>
          <w:sz w:val="22"/>
          <w:lang w:val="en-US"/>
        </w:rPr>
      </w:pPr>
      <w:r w:rsidRPr="00A31BCB">
        <w:rPr>
          <w:bCs w:val="0"/>
          <w:color w:val="2E74B5"/>
          <w:sz w:val="22"/>
          <w:lang w:val="en-US"/>
        </w:rPr>
        <w:t>Gesicht wahren</w:t>
      </w:r>
    </w:p>
    <w:p w14:paraId="33C9ED68" w14:textId="77777777" w:rsidR="00FF7799" w:rsidRPr="00E73F6F" w:rsidRDefault="00FF7799" w:rsidP="00C8550D">
      <w:pPr>
        <w:pStyle w:val="StandardText"/>
      </w:pPr>
      <w:r w:rsidRPr="00E73F6F">
        <w:t>wichtiges Konzept der Sozialbeziehungen in konfuzianischen Gesellschaften im Besonderen und in kollektivistischen Kulturen im Allgemeinen (vgl. Ho 1976, S.876). Die Wahrung des</w:t>
      </w:r>
      <w:r w:rsidRPr="00E73F6F">
        <w:rPr>
          <w:spacing w:val="40"/>
        </w:rPr>
        <w:t xml:space="preserve"> </w:t>
      </w:r>
      <w:r w:rsidRPr="00E73F6F">
        <w:t>Gesichts (insb. durch Vermeidung der öffentlichen Demütigung Einzelner) ist die wichtigste Maßnahme zur Schaffung sozialer Identität und zum Erhalt von</w:t>
      </w:r>
      <w:r w:rsidRPr="00E73F6F">
        <w:rPr>
          <w:spacing w:val="40"/>
        </w:rPr>
        <w:t xml:space="preserve"> </w:t>
      </w:r>
      <w:r w:rsidRPr="00E73F6F">
        <w:t>Harmonie (als Mittel der sozialen Bindung und Konfliktvermeidung bzw. Konfliktbewältigung).</w:t>
      </w:r>
    </w:p>
    <w:p w14:paraId="64A59056" w14:textId="77777777" w:rsidR="00FF7799" w:rsidRPr="00E73F6F" w:rsidRDefault="00FF7799" w:rsidP="00C8550D">
      <w:pPr>
        <w:pStyle w:val="StandardText"/>
      </w:pPr>
      <w:r w:rsidRPr="00E73F6F">
        <w:t>Das (soziale) Gesicht besteht aus zwei Teilen: ‘Lien‘ (</w:t>
      </w:r>
      <w:r w:rsidRPr="00E73F6F">
        <w:rPr>
          <w:rFonts w:eastAsia="MS Gothic"/>
        </w:rPr>
        <w:t>臉</w:t>
      </w:r>
      <w:r w:rsidRPr="00E73F6F">
        <w:t>) bezeichnet die Zuversicht der Gesellschaft in die Integrität, welche jeder Mensch mit seiner Geburt erwirbt. Und mit 'mien-tsu' (</w:t>
      </w:r>
      <w:r w:rsidRPr="00E73F6F">
        <w:rPr>
          <w:rFonts w:eastAsia="MS Gothic"/>
        </w:rPr>
        <w:t>面子</w:t>
      </w:r>
      <w:r w:rsidRPr="00E73F6F">
        <w:t>) sind Ansehen sowie Prestige gemeint, welche</w:t>
      </w:r>
      <w:r w:rsidRPr="00E73F6F">
        <w:rPr>
          <w:spacing w:val="-12"/>
        </w:rPr>
        <w:t xml:space="preserve"> </w:t>
      </w:r>
      <w:r w:rsidRPr="00E73F6F">
        <w:t>von</w:t>
      </w:r>
      <w:r w:rsidRPr="00E73F6F">
        <w:rPr>
          <w:spacing w:val="-11"/>
        </w:rPr>
        <w:t xml:space="preserve"> </w:t>
      </w:r>
      <w:r w:rsidRPr="00E73F6F">
        <w:t>der</w:t>
      </w:r>
      <w:r w:rsidRPr="00E73F6F">
        <w:rPr>
          <w:spacing w:val="-11"/>
        </w:rPr>
        <w:t xml:space="preserve"> </w:t>
      </w:r>
      <w:r w:rsidRPr="00E73F6F">
        <w:t>jeweiligen</w:t>
      </w:r>
      <w:r w:rsidRPr="00E73F6F">
        <w:rPr>
          <w:spacing w:val="-11"/>
        </w:rPr>
        <w:t xml:space="preserve"> </w:t>
      </w:r>
      <w:r w:rsidRPr="00E73F6F">
        <w:t>Person</w:t>
      </w:r>
      <w:r w:rsidRPr="00E73F6F">
        <w:rPr>
          <w:spacing w:val="-12"/>
        </w:rPr>
        <w:t xml:space="preserve"> </w:t>
      </w:r>
      <w:r w:rsidRPr="00E73F6F">
        <w:t>abhängen</w:t>
      </w:r>
      <w:r w:rsidRPr="00E73F6F">
        <w:rPr>
          <w:spacing w:val="-6"/>
        </w:rPr>
        <w:t xml:space="preserve"> (</w:t>
      </w:r>
      <w:r w:rsidRPr="00E73F6F">
        <w:t>z.B.</w:t>
      </w:r>
      <w:r w:rsidRPr="00E73F6F">
        <w:rPr>
          <w:spacing w:val="-11"/>
        </w:rPr>
        <w:t xml:space="preserve"> </w:t>
      </w:r>
      <w:r w:rsidRPr="00E73F6F">
        <w:t>von</w:t>
      </w:r>
      <w:r w:rsidRPr="00E73F6F">
        <w:rPr>
          <w:spacing w:val="-11"/>
        </w:rPr>
        <w:t xml:space="preserve"> </w:t>
      </w:r>
      <w:r w:rsidRPr="00E73F6F">
        <w:t>Wohlstand</w:t>
      </w:r>
      <w:r w:rsidRPr="00E73F6F">
        <w:rPr>
          <w:spacing w:val="-12"/>
        </w:rPr>
        <w:t xml:space="preserve"> </w:t>
      </w:r>
      <w:r w:rsidRPr="00E73F6F">
        <w:t>oder</w:t>
      </w:r>
      <w:r w:rsidRPr="00E73F6F">
        <w:rPr>
          <w:spacing w:val="-11"/>
        </w:rPr>
        <w:t xml:space="preserve"> </w:t>
      </w:r>
      <w:r w:rsidRPr="00E73F6F">
        <w:t>von</w:t>
      </w:r>
      <w:r w:rsidRPr="00E73F6F">
        <w:rPr>
          <w:spacing w:val="-11"/>
        </w:rPr>
        <w:t xml:space="preserve"> </w:t>
      </w:r>
      <w:r w:rsidRPr="00E73F6F">
        <w:t>Qualität und</w:t>
      </w:r>
      <w:r w:rsidRPr="00E73F6F">
        <w:rPr>
          <w:spacing w:val="-2"/>
        </w:rPr>
        <w:t xml:space="preserve"> </w:t>
      </w:r>
      <w:r w:rsidRPr="00E73F6F">
        <w:t>Quantität</w:t>
      </w:r>
      <w:r w:rsidRPr="00E73F6F">
        <w:rPr>
          <w:spacing w:val="-3"/>
        </w:rPr>
        <w:t xml:space="preserve"> </w:t>
      </w:r>
      <w:r w:rsidRPr="00E73F6F">
        <w:t>ihrer</w:t>
      </w:r>
      <w:r w:rsidRPr="00E73F6F">
        <w:rPr>
          <w:spacing w:val="-3"/>
        </w:rPr>
        <w:t xml:space="preserve"> </w:t>
      </w:r>
      <w:r w:rsidRPr="00E73F6F">
        <w:t>gesellschaftlichen</w:t>
      </w:r>
      <w:r w:rsidRPr="00E73F6F">
        <w:rPr>
          <w:spacing w:val="-2"/>
        </w:rPr>
        <w:t xml:space="preserve"> </w:t>
      </w:r>
      <w:r w:rsidRPr="00E73F6F">
        <w:t>Beziehungen</w:t>
      </w:r>
      <w:r w:rsidRPr="00E73F6F">
        <w:rPr>
          <w:spacing w:val="-1"/>
        </w:rPr>
        <w:t xml:space="preserve">). </w:t>
      </w:r>
      <w:r w:rsidRPr="00E73F6F">
        <w:t>Dieses</w:t>
      </w:r>
      <w:r w:rsidRPr="00E73F6F">
        <w:rPr>
          <w:spacing w:val="-2"/>
        </w:rPr>
        <w:t xml:space="preserve"> „</w:t>
      </w:r>
      <w:r w:rsidRPr="00E73F6F">
        <w:t>Gesicht“</w:t>
      </w:r>
      <w:r w:rsidRPr="00E73F6F">
        <w:rPr>
          <w:spacing w:val="-3"/>
        </w:rPr>
        <w:t xml:space="preserve"> </w:t>
      </w:r>
      <w:r w:rsidRPr="00E73F6F">
        <w:t>erhält,</w:t>
      </w:r>
      <w:r w:rsidRPr="00E73F6F">
        <w:rPr>
          <w:spacing w:val="-3"/>
        </w:rPr>
        <w:t xml:space="preserve"> </w:t>
      </w:r>
      <w:r w:rsidRPr="00E73F6F">
        <w:t>wer die Erwartungen der anderen erfüllt (vgl. Hwang 2006, S.277). Da das „Gesicht“ des</w:t>
      </w:r>
      <w:r w:rsidRPr="00E73F6F">
        <w:rPr>
          <w:spacing w:val="-3"/>
        </w:rPr>
        <w:t xml:space="preserve"> </w:t>
      </w:r>
      <w:r w:rsidRPr="00E73F6F">
        <w:t>Einzelnen</w:t>
      </w:r>
      <w:r w:rsidRPr="00E73F6F">
        <w:rPr>
          <w:spacing w:val="-4"/>
        </w:rPr>
        <w:t xml:space="preserve"> </w:t>
      </w:r>
      <w:r w:rsidRPr="00E73F6F">
        <w:t>von</w:t>
      </w:r>
      <w:r w:rsidRPr="00E73F6F">
        <w:rPr>
          <w:spacing w:val="-4"/>
        </w:rPr>
        <w:t xml:space="preserve"> </w:t>
      </w:r>
      <w:r w:rsidRPr="00E73F6F">
        <w:t>der</w:t>
      </w:r>
      <w:r w:rsidRPr="00E73F6F">
        <w:rPr>
          <w:spacing w:val="-5"/>
        </w:rPr>
        <w:t xml:space="preserve"> </w:t>
      </w:r>
      <w:r w:rsidRPr="00E73F6F">
        <w:t>Meinung</w:t>
      </w:r>
      <w:r w:rsidRPr="00E73F6F">
        <w:rPr>
          <w:spacing w:val="-4"/>
        </w:rPr>
        <w:t xml:space="preserve"> </w:t>
      </w:r>
      <w:r w:rsidRPr="00E73F6F">
        <w:t>der</w:t>
      </w:r>
      <w:r w:rsidRPr="00E73F6F">
        <w:rPr>
          <w:spacing w:val="-3"/>
        </w:rPr>
        <w:t xml:space="preserve"> </w:t>
      </w:r>
      <w:r w:rsidRPr="00E73F6F">
        <w:t>Bezugsgruppe</w:t>
      </w:r>
      <w:r w:rsidRPr="00E73F6F">
        <w:rPr>
          <w:spacing w:val="-4"/>
        </w:rPr>
        <w:t xml:space="preserve"> </w:t>
      </w:r>
      <w:r w:rsidRPr="00E73F6F">
        <w:t>abhängt,</w:t>
      </w:r>
      <w:r w:rsidRPr="00E73F6F">
        <w:rPr>
          <w:spacing w:val="-2"/>
        </w:rPr>
        <w:t xml:space="preserve"> </w:t>
      </w:r>
      <w:r w:rsidRPr="00E73F6F">
        <w:t>steht</w:t>
      </w:r>
      <w:r w:rsidRPr="00E73F6F">
        <w:rPr>
          <w:spacing w:val="-5"/>
        </w:rPr>
        <w:t xml:space="preserve"> </w:t>
      </w:r>
      <w:r w:rsidRPr="00E73F6F">
        <w:t>das</w:t>
      </w:r>
      <w:r w:rsidRPr="00E73F6F">
        <w:rPr>
          <w:spacing w:val="-3"/>
        </w:rPr>
        <w:t xml:space="preserve"> </w:t>
      </w:r>
      <w:r w:rsidRPr="00E73F6F">
        <w:t>Konzept</w:t>
      </w:r>
      <w:r w:rsidRPr="00E73F6F">
        <w:rPr>
          <w:spacing w:val="-5"/>
        </w:rPr>
        <w:t xml:space="preserve"> </w:t>
      </w:r>
      <w:r w:rsidRPr="00E73F6F">
        <w:t>des Gesichtwahrens tendenziell im Gegensatz zum Individualismus.</w:t>
      </w:r>
    </w:p>
    <w:p w14:paraId="3E9F201D" w14:textId="77777777" w:rsidR="00FF7799" w:rsidRPr="00E73F6F" w:rsidRDefault="00FF7799" w:rsidP="00C8550D">
      <w:pPr>
        <w:pStyle w:val="StandardText"/>
      </w:pPr>
      <w:r w:rsidRPr="00E73F6F">
        <w:t>Gesichtsverlust droht dann, wenn die individuellen Leistungen oder Verhaltensweisen einen minimalen Standard unterschreiten. Verlieren kann man das Gesicht auf zweierlei Art: Ein Arbeitnehmer bspw., der von seinem Vorgesetzten</w:t>
      </w:r>
      <w:r w:rsidRPr="00E73F6F">
        <w:rPr>
          <w:spacing w:val="-6"/>
        </w:rPr>
        <w:t xml:space="preserve"> </w:t>
      </w:r>
      <w:r w:rsidRPr="00E73F6F">
        <w:t>öffentlich</w:t>
      </w:r>
      <w:r w:rsidRPr="00E73F6F">
        <w:rPr>
          <w:spacing w:val="-6"/>
        </w:rPr>
        <w:t xml:space="preserve"> </w:t>
      </w:r>
      <w:r w:rsidRPr="00E73F6F">
        <w:t>scharf</w:t>
      </w:r>
      <w:r w:rsidRPr="00E73F6F">
        <w:rPr>
          <w:spacing w:val="-9"/>
        </w:rPr>
        <w:t xml:space="preserve"> </w:t>
      </w:r>
      <w:r w:rsidRPr="00E73F6F">
        <w:t>kritisiert</w:t>
      </w:r>
      <w:r w:rsidRPr="00E73F6F">
        <w:rPr>
          <w:spacing w:val="-6"/>
        </w:rPr>
        <w:t xml:space="preserve"> </w:t>
      </w:r>
      <w:r w:rsidRPr="00E73F6F">
        <w:t>wird,</w:t>
      </w:r>
      <w:r w:rsidRPr="00E73F6F">
        <w:rPr>
          <w:spacing w:val="-8"/>
        </w:rPr>
        <w:t xml:space="preserve"> </w:t>
      </w:r>
      <w:r w:rsidRPr="00E73F6F">
        <w:t>verliert</w:t>
      </w:r>
      <w:r w:rsidRPr="00E73F6F">
        <w:rPr>
          <w:spacing w:val="-6"/>
        </w:rPr>
        <w:t xml:space="preserve"> </w:t>
      </w:r>
      <w:r w:rsidRPr="00E73F6F">
        <w:t>sein</w:t>
      </w:r>
      <w:r w:rsidRPr="00E73F6F">
        <w:rPr>
          <w:spacing w:val="-6"/>
        </w:rPr>
        <w:t xml:space="preserve"> </w:t>
      </w:r>
      <w:r w:rsidRPr="00E73F6F">
        <w:t>Gesicht</w:t>
      </w:r>
      <w:r w:rsidRPr="00E73F6F">
        <w:rPr>
          <w:spacing w:val="-4"/>
        </w:rPr>
        <w:t xml:space="preserve"> </w:t>
      </w:r>
      <w:r w:rsidRPr="00E73F6F">
        <w:t>vorübergehend, während ein Mensch, dessen moralische</w:t>
      </w:r>
      <w:r w:rsidRPr="00E73F6F">
        <w:rPr>
          <w:spacing w:val="-1"/>
        </w:rPr>
        <w:t xml:space="preserve"> </w:t>
      </w:r>
      <w:r w:rsidRPr="00E73F6F">
        <w:t>Integrität grundsätzlich und öffentlich in Frage gestellt wurde, sein Gesicht dauerhaft verliert. Aufgrund der überaus wichtigen Bedeutung, die in ihrem Kulturkreis dem „Gesicht“ zukommt, sind Asiaten</w:t>
      </w:r>
      <w:r w:rsidRPr="00E73F6F">
        <w:rPr>
          <w:spacing w:val="-12"/>
        </w:rPr>
        <w:t xml:space="preserve"> </w:t>
      </w:r>
      <w:r w:rsidRPr="00E73F6F">
        <w:t>darauf</w:t>
      </w:r>
      <w:r w:rsidRPr="00E73F6F">
        <w:rPr>
          <w:spacing w:val="-11"/>
        </w:rPr>
        <w:t xml:space="preserve"> </w:t>
      </w:r>
      <w:r w:rsidRPr="00E73F6F">
        <w:t>bedacht,</w:t>
      </w:r>
      <w:r w:rsidRPr="00E73F6F">
        <w:rPr>
          <w:spacing w:val="-11"/>
        </w:rPr>
        <w:t xml:space="preserve"> </w:t>
      </w:r>
      <w:r w:rsidRPr="00E73F6F">
        <w:t>das</w:t>
      </w:r>
      <w:r w:rsidRPr="00E73F6F">
        <w:rPr>
          <w:spacing w:val="-11"/>
        </w:rPr>
        <w:t xml:space="preserve"> </w:t>
      </w:r>
      <w:r w:rsidRPr="00E73F6F">
        <w:t>„Gesicht“</w:t>
      </w:r>
      <w:r w:rsidRPr="00E73F6F">
        <w:rPr>
          <w:spacing w:val="-12"/>
        </w:rPr>
        <w:t xml:space="preserve"> </w:t>
      </w:r>
      <w:r w:rsidRPr="00E73F6F">
        <w:t>anderer</w:t>
      </w:r>
      <w:r w:rsidRPr="00E73F6F">
        <w:rPr>
          <w:spacing w:val="-11"/>
        </w:rPr>
        <w:t xml:space="preserve"> </w:t>
      </w:r>
      <w:r w:rsidRPr="00E73F6F">
        <w:t>nicht</w:t>
      </w:r>
      <w:r w:rsidRPr="00E73F6F">
        <w:rPr>
          <w:spacing w:val="-11"/>
        </w:rPr>
        <w:t xml:space="preserve"> </w:t>
      </w:r>
      <w:r w:rsidRPr="00E73F6F">
        <w:t>anzugreifen</w:t>
      </w:r>
      <w:r w:rsidRPr="00E73F6F">
        <w:rPr>
          <w:spacing w:val="-11"/>
        </w:rPr>
        <w:t xml:space="preserve"> </w:t>
      </w:r>
      <w:r w:rsidRPr="00E73F6F">
        <w:t>(z.B.</w:t>
      </w:r>
      <w:r w:rsidRPr="00E73F6F">
        <w:rPr>
          <w:spacing w:val="-12"/>
        </w:rPr>
        <w:t xml:space="preserve"> </w:t>
      </w:r>
      <w:r w:rsidRPr="00E73F6F">
        <w:t>durch</w:t>
      </w:r>
      <w:r w:rsidRPr="00E73F6F">
        <w:rPr>
          <w:spacing w:val="-11"/>
        </w:rPr>
        <w:t xml:space="preserve"> </w:t>
      </w:r>
      <w:r w:rsidRPr="00E73F6F">
        <w:t>offene Kritik</w:t>
      </w:r>
      <w:r w:rsidRPr="00E73F6F">
        <w:rPr>
          <w:spacing w:val="-7"/>
        </w:rPr>
        <w:t xml:space="preserve"> </w:t>
      </w:r>
      <w:r w:rsidRPr="00E73F6F">
        <w:t>oder</w:t>
      </w:r>
      <w:r w:rsidRPr="00E73F6F">
        <w:rPr>
          <w:spacing w:val="-5"/>
        </w:rPr>
        <w:t xml:space="preserve"> </w:t>
      </w:r>
      <w:r w:rsidRPr="00E73F6F">
        <w:t>einen</w:t>
      </w:r>
      <w:r w:rsidRPr="00E73F6F">
        <w:rPr>
          <w:spacing w:val="-4"/>
        </w:rPr>
        <w:t xml:space="preserve"> </w:t>
      </w:r>
      <w:r w:rsidRPr="00E73F6F">
        <w:t>Gefühlsausbruch).</w:t>
      </w:r>
      <w:r w:rsidRPr="00E73F6F">
        <w:rPr>
          <w:spacing w:val="-5"/>
        </w:rPr>
        <w:t xml:space="preserve"> </w:t>
      </w:r>
      <w:r w:rsidRPr="00E73F6F">
        <w:t>Folglich</w:t>
      </w:r>
      <w:r w:rsidRPr="00E73F6F">
        <w:rPr>
          <w:spacing w:val="-7"/>
        </w:rPr>
        <w:t xml:space="preserve"> </w:t>
      </w:r>
      <w:r w:rsidRPr="00E73F6F">
        <w:t>versuchen</w:t>
      </w:r>
      <w:r w:rsidRPr="00E73F6F">
        <w:rPr>
          <w:spacing w:val="-7"/>
        </w:rPr>
        <w:t xml:space="preserve"> </w:t>
      </w:r>
      <w:r w:rsidRPr="00E73F6F">
        <w:t>sie,</w:t>
      </w:r>
      <w:r w:rsidRPr="00E73F6F">
        <w:rPr>
          <w:spacing w:val="-7"/>
        </w:rPr>
        <w:t xml:space="preserve"> </w:t>
      </w:r>
      <w:r w:rsidRPr="00E73F6F">
        <w:t>direkte</w:t>
      </w:r>
      <w:r w:rsidRPr="00E73F6F">
        <w:rPr>
          <w:spacing w:val="-8"/>
        </w:rPr>
        <w:t xml:space="preserve"> </w:t>
      </w:r>
      <w:r w:rsidRPr="00E73F6F">
        <w:t>Konfrontation um fast jeden Preis zu vermeiden (vgl. Matthes 1991). Gesichtsverlust droht aber nicht nur, wenn Kritik und starke Gefühle geäußert werden, sondern auch bei Sachverhalten, welche der Privatsphäre angehören</w:t>
      </w:r>
      <w:r w:rsidR="00E6655D">
        <w:t xml:space="preserve"> (</w:t>
      </w:r>
      <w:r w:rsidR="00E6655D">
        <w:rPr>
          <w:szCs w:val="24"/>
        </w:rPr>
        <w:sym w:font="Symbol" w:char="F0DE"/>
      </w:r>
      <w:r w:rsidR="00E6655D">
        <w:rPr>
          <w:szCs w:val="24"/>
        </w:rPr>
        <w:t xml:space="preserve"> Training, interkulturelles)</w:t>
      </w:r>
      <w:r w:rsidRPr="00E73F6F">
        <w:t>. Aufgrund der Möglichkeit, 'mien-tsu' zu verlieren, werden Versprechen in einer möglichst wenig konkreten Weise gegeben.</w:t>
      </w:r>
    </w:p>
    <w:p w14:paraId="799FCF73" w14:textId="77777777" w:rsidR="00FF7799" w:rsidRPr="00E73F6F" w:rsidRDefault="00FF7799" w:rsidP="00C8550D">
      <w:pPr>
        <w:pStyle w:val="StandardText"/>
      </w:pPr>
      <w:r w:rsidRPr="00E73F6F">
        <w:t>Sein Gesicht verliert auch, wer die Harmonie in den wichtigsten konfuzianischen Beziehungen ('wu lun') stört (vgl. Yau 1988). Abgesehen von „Freund-Freund“ besteht</w:t>
      </w:r>
      <w:r w:rsidRPr="00E73F6F">
        <w:rPr>
          <w:spacing w:val="16"/>
        </w:rPr>
        <w:t xml:space="preserve"> </w:t>
      </w:r>
      <w:r w:rsidRPr="00E73F6F">
        <w:t>in</w:t>
      </w:r>
      <w:r w:rsidRPr="00E73F6F">
        <w:rPr>
          <w:spacing w:val="15"/>
        </w:rPr>
        <w:t xml:space="preserve"> </w:t>
      </w:r>
      <w:r w:rsidRPr="00E73F6F">
        <w:t>jeder</w:t>
      </w:r>
      <w:r w:rsidRPr="00E73F6F">
        <w:rPr>
          <w:spacing w:val="16"/>
        </w:rPr>
        <w:t xml:space="preserve"> </w:t>
      </w:r>
      <w:r w:rsidRPr="00E73F6F">
        <w:t>dieser</w:t>
      </w:r>
      <w:r w:rsidRPr="00E73F6F">
        <w:rPr>
          <w:spacing w:val="16"/>
        </w:rPr>
        <w:t xml:space="preserve"> </w:t>
      </w:r>
      <w:r w:rsidRPr="00E73F6F">
        <w:t>Beziehungen</w:t>
      </w:r>
      <w:r w:rsidRPr="00E73F6F">
        <w:rPr>
          <w:spacing w:val="17"/>
        </w:rPr>
        <w:t xml:space="preserve"> </w:t>
      </w:r>
      <w:r w:rsidRPr="00E73F6F">
        <w:t>eine</w:t>
      </w:r>
      <w:r w:rsidRPr="00E73F6F">
        <w:rPr>
          <w:spacing w:val="16"/>
        </w:rPr>
        <w:t xml:space="preserve"> </w:t>
      </w:r>
      <w:r w:rsidRPr="00E73F6F">
        <w:t>soziale</w:t>
      </w:r>
      <w:r w:rsidRPr="00E73F6F">
        <w:rPr>
          <w:spacing w:val="15"/>
        </w:rPr>
        <w:t xml:space="preserve"> </w:t>
      </w:r>
      <w:r w:rsidRPr="00E73F6F">
        <w:t>Hierarchie.</w:t>
      </w:r>
      <w:r w:rsidRPr="00E73F6F">
        <w:rPr>
          <w:spacing w:val="16"/>
        </w:rPr>
        <w:t xml:space="preserve"> </w:t>
      </w:r>
      <w:r w:rsidRPr="00E73F6F">
        <w:t>Dies</w:t>
      </w:r>
      <w:r w:rsidRPr="00E73F6F">
        <w:rPr>
          <w:spacing w:val="13"/>
        </w:rPr>
        <w:t xml:space="preserve"> </w:t>
      </w:r>
      <w:r w:rsidRPr="00E73F6F">
        <w:t>bedeutet,</w:t>
      </w:r>
      <w:r w:rsidRPr="00E73F6F">
        <w:rPr>
          <w:spacing w:val="15"/>
        </w:rPr>
        <w:t xml:space="preserve"> </w:t>
      </w:r>
      <w:r w:rsidRPr="00E73F6F">
        <w:rPr>
          <w:spacing w:val="-4"/>
        </w:rPr>
        <w:t>dass</w:t>
      </w:r>
      <w:r w:rsidR="0008380D">
        <w:t xml:space="preserve"> </w:t>
      </w:r>
      <w:r w:rsidRPr="00E73F6F">
        <w:t>der</w:t>
      </w:r>
      <w:r w:rsidRPr="00E73F6F">
        <w:rPr>
          <w:spacing w:val="-3"/>
        </w:rPr>
        <w:t xml:space="preserve"> </w:t>
      </w:r>
      <w:r w:rsidRPr="00E73F6F">
        <w:t>jeweils</w:t>
      </w:r>
      <w:r w:rsidRPr="00E73F6F">
        <w:rPr>
          <w:spacing w:val="-3"/>
        </w:rPr>
        <w:t xml:space="preserve"> </w:t>
      </w:r>
      <w:r w:rsidRPr="00E73F6F">
        <w:t>untergeordnete</w:t>
      </w:r>
      <w:r w:rsidRPr="00E73F6F">
        <w:rPr>
          <w:spacing w:val="-6"/>
        </w:rPr>
        <w:t xml:space="preserve"> </w:t>
      </w:r>
      <w:r w:rsidRPr="00E73F6F">
        <w:t>Teil</w:t>
      </w:r>
      <w:r w:rsidRPr="00E73F6F">
        <w:rPr>
          <w:spacing w:val="-5"/>
        </w:rPr>
        <w:t xml:space="preserve"> </w:t>
      </w:r>
      <w:r w:rsidRPr="00E73F6F">
        <w:t>der</w:t>
      </w:r>
      <w:r w:rsidRPr="00E73F6F">
        <w:rPr>
          <w:spacing w:val="-3"/>
        </w:rPr>
        <w:t xml:space="preserve"> </w:t>
      </w:r>
      <w:r w:rsidRPr="00E73F6F">
        <w:t>Dyade</w:t>
      </w:r>
      <w:r w:rsidRPr="00E73F6F">
        <w:rPr>
          <w:spacing w:val="-4"/>
        </w:rPr>
        <w:t xml:space="preserve"> </w:t>
      </w:r>
      <w:r w:rsidRPr="00E73F6F">
        <w:t>(also</w:t>
      </w:r>
      <w:r w:rsidRPr="00E73F6F">
        <w:rPr>
          <w:spacing w:val="-4"/>
        </w:rPr>
        <w:t xml:space="preserve"> </w:t>
      </w:r>
      <w:r w:rsidRPr="00E73F6F">
        <w:t>Untertan,</w:t>
      </w:r>
      <w:r w:rsidRPr="00E73F6F">
        <w:rPr>
          <w:spacing w:val="-5"/>
        </w:rPr>
        <w:t xml:space="preserve"> </w:t>
      </w:r>
      <w:r w:rsidRPr="00E73F6F">
        <w:t>Sohn,</w:t>
      </w:r>
      <w:r w:rsidRPr="00E73F6F">
        <w:rPr>
          <w:spacing w:val="-5"/>
        </w:rPr>
        <w:t xml:space="preserve"> </w:t>
      </w:r>
      <w:r w:rsidRPr="00E73F6F">
        <w:t>Frau</w:t>
      </w:r>
      <w:r w:rsidRPr="00E73F6F">
        <w:rPr>
          <w:spacing w:val="-2"/>
        </w:rPr>
        <w:t xml:space="preserve"> </w:t>
      </w:r>
      <w:r w:rsidRPr="00E73F6F">
        <w:t>oder</w:t>
      </w:r>
      <w:r w:rsidRPr="00E73F6F">
        <w:rPr>
          <w:spacing w:val="-3"/>
        </w:rPr>
        <w:t xml:space="preserve"> </w:t>
      </w:r>
      <w:r w:rsidRPr="00E73F6F">
        <w:t>Jun</w:t>
      </w:r>
      <w:r w:rsidR="0008380D">
        <w:t xml:space="preserve">ior) der übergeordneten Person </w:t>
      </w:r>
      <w:r w:rsidR="0008380D">
        <w:sym w:font="Symbol" w:char="F0DE"/>
      </w:r>
      <w:r w:rsidRPr="00E73F6F">
        <w:t xml:space="preserve"> </w:t>
      </w:r>
      <w:r w:rsidR="0008380D">
        <w:t>„</w:t>
      </w:r>
      <w:r w:rsidRPr="00E73F6F">
        <w:t xml:space="preserve">Pietät“ schuldet: d.h. Verehrung, Rücksichtnahme und Loyalität. Im Gegenzug sind der Herrscher, der Vater, der Mann oder der Senior verpflichtet, den hierarchisch Untergeordneten Schutz zu gewähren. </w:t>
      </w:r>
      <w:r w:rsidRPr="00E73F6F">
        <w:lastRenderedPageBreak/>
        <w:t>Wer gegen diese Regeln verstößt, provoziert Disharmonie und verliert sein Gesicht. Gesichtsverlust und der damit im Extremfall verbundene Ausschluss aus der sozialen Gruppe werden bisweilen als „sozialer Tod“ bezeichnet.</w:t>
      </w:r>
    </w:p>
    <w:p w14:paraId="02E66398" w14:textId="77777777" w:rsidR="00FF7799" w:rsidRPr="00E73F6F" w:rsidRDefault="00FF7799" w:rsidP="00C8550D">
      <w:pPr>
        <w:pStyle w:val="StandardText"/>
      </w:pPr>
      <w:r w:rsidRPr="00E73F6F">
        <w:t>Zusammenfassend</w:t>
      </w:r>
      <w:r w:rsidRPr="00E73F6F">
        <w:rPr>
          <w:spacing w:val="5"/>
        </w:rPr>
        <w:t xml:space="preserve"> </w:t>
      </w:r>
      <w:r w:rsidRPr="00E73F6F">
        <w:t>verstehen</w:t>
      </w:r>
      <w:r w:rsidRPr="00E73F6F">
        <w:rPr>
          <w:spacing w:val="3"/>
        </w:rPr>
        <w:t xml:space="preserve"> </w:t>
      </w:r>
      <w:r w:rsidRPr="00E73F6F">
        <w:t>die</w:t>
      </w:r>
      <w:r w:rsidRPr="00E73F6F">
        <w:rPr>
          <w:spacing w:val="2"/>
        </w:rPr>
        <w:t xml:space="preserve"> </w:t>
      </w:r>
      <w:r w:rsidRPr="00E73F6F">
        <w:t>kulturvergleichenden</w:t>
      </w:r>
      <w:r w:rsidRPr="00E73F6F">
        <w:rPr>
          <w:spacing w:val="5"/>
        </w:rPr>
        <w:t xml:space="preserve"> </w:t>
      </w:r>
      <w:r w:rsidRPr="00E73F6F">
        <w:t>Wissenschaften</w:t>
      </w:r>
      <w:r w:rsidRPr="00E73F6F">
        <w:rPr>
          <w:spacing w:val="6"/>
        </w:rPr>
        <w:t xml:space="preserve"> </w:t>
      </w:r>
      <w:r w:rsidRPr="00E73F6F">
        <w:t>unter</w:t>
      </w:r>
      <w:r w:rsidRPr="00E73F6F">
        <w:rPr>
          <w:spacing w:val="2"/>
        </w:rPr>
        <w:t xml:space="preserve"> </w:t>
      </w:r>
      <w:r w:rsidRPr="00E73F6F">
        <w:rPr>
          <w:spacing w:val="-5"/>
        </w:rPr>
        <w:t xml:space="preserve">dem </w:t>
      </w:r>
      <w:r w:rsidRPr="00E73F6F">
        <w:t>„Gesicht einer Person“ nicht deren physisches Antlitz, sondern die soziale Wertschätzung, die andere einer Person entgegenbringen bzw. diese entgegengebracht bekommen möchte (vgl. Ting-Toomey/Kurogi 1998, S.187). Erst spät fand der Begriff auch Eingang in die westliche Sprache (vgl. Hofstede 1993,</w:t>
      </w:r>
      <w:r w:rsidRPr="00E73F6F">
        <w:rPr>
          <w:spacing w:val="-12"/>
        </w:rPr>
        <w:t xml:space="preserve"> </w:t>
      </w:r>
      <w:r w:rsidRPr="00E73F6F">
        <w:t>S.77).</w:t>
      </w:r>
      <w:r w:rsidRPr="00E73F6F">
        <w:rPr>
          <w:spacing w:val="-11"/>
        </w:rPr>
        <w:t xml:space="preserve"> </w:t>
      </w:r>
      <w:r w:rsidRPr="00E73F6F">
        <w:t>Ungeachtet</w:t>
      </w:r>
      <w:r w:rsidRPr="00E73F6F">
        <w:rPr>
          <w:spacing w:val="-11"/>
        </w:rPr>
        <w:t xml:space="preserve"> </w:t>
      </w:r>
      <w:r w:rsidRPr="00E73F6F">
        <w:t>aller</w:t>
      </w:r>
      <w:r w:rsidRPr="00E73F6F">
        <w:rPr>
          <w:spacing w:val="-11"/>
        </w:rPr>
        <w:t xml:space="preserve"> </w:t>
      </w:r>
      <w:r w:rsidRPr="00E73F6F">
        <w:t>Unterschiede</w:t>
      </w:r>
      <w:r w:rsidRPr="00E73F6F">
        <w:rPr>
          <w:spacing w:val="-12"/>
        </w:rPr>
        <w:t xml:space="preserve"> </w:t>
      </w:r>
      <w:r w:rsidRPr="00E73F6F">
        <w:t>steht</w:t>
      </w:r>
      <w:r w:rsidRPr="00E73F6F">
        <w:rPr>
          <w:spacing w:val="-11"/>
        </w:rPr>
        <w:t xml:space="preserve"> </w:t>
      </w:r>
      <w:r w:rsidRPr="00E73F6F">
        <w:t>das</w:t>
      </w:r>
      <w:r w:rsidRPr="00E73F6F">
        <w:rPr>
          <w:spacing w:val="-11"/>
        </w:rPr>
        <w:t xml:space="preserve"> </w:t>
      </w:r>
      <w:r w:rsidRPr="00E73F6F">
        <w:t>Gesicht</w:t>
      </w:r>
      <w:r w:rsidRPr="00E73F6F">
        <w:rPr>
          <w:spacing w:val="-11"/>
        </w:rPr>
        <w:t xml:space="preserve"> </w:t>
      </w:r>
      <w:r w:rsidRPr="00E73F6F">
        <w:t>einer</w:t>
      </w:r>
      <w:r w:rsidRPr="00E73F6F">
        <w:rPr>
          <w:spacing w:val="-12"/>
        </w:rPr>
        <w:t xml:space="preserve"> </w:t>
      </w:r>
      <w:r w:rsidRPr="00E73F6F">
        <w:t>Person</w:t>
      </w:r>
      <w:r w:rsidRPr="00E73F6F">
        <w:rPr>
          <w:spacing w:val="-11"/>
        </w:rPr>
        <w:t xml:space="preserve"> </w:t>
      </w:r>
      <w:r w:rsidRPr="00E73F6F">
        <w:t>in</w:t>
      </w:r>
      <w:r w:rsidRPr="00E73F6F">
        <w:rPr>
          <w:spacing w:val="-11"/>
        </w:rPr>
        <w:t xml:space="preserve"> </w:t>
      </w:r>
      <w:r w:rsidRPr="00E73F6F">
        <w:t>beiden Kulturräumen für Ehre, Ansehen, Respekt etc.</w:t>
      </w:r>
    </w:p>
    <w:p w14:paraId="7729FF70" w14:textId="77777777" w:rsidR="00FF7799" w:rsidRPr="00A31BCB" w:rsidRDefault="00FF7799" w:rsidP="00C8550D">
      <w:pPr>
        <w:pStyle w:val="StandardText"/>
        <w:rPr>
          <w:sz w:val="22"/>
          <w:szCs w:val="22"/>
          <w:lang w:val="en-US"/>
        </w:rPr>
      </w:pPr>
      <w:r w:rsidRPr="00A31BCB">
        <w:rPr>
          <w:b/>
          <w:i/>
          <w:sz w:val="22"/>
          <w:szCs w:val="22"/>
          <w:lang w:val="en-US"/>
        </w:rPr>
        <w:t>Literatur</w:t>
      </w:r>
      <w:r w:rsidRPr="00A31BCB">
        <w:rPr>
          <w:i/>
          <w:sz w:val="22"/>
          <w:szCs w:val="22"/>
          <w:lang w:val="en-US"/>
        </w:rPr>
        <w:t>:</w:t>
      </w:r>
      <w:r w:rsidRPr="00A31BCB">
        <w:rPr>
          <w:sz w:val="22"/>
          <w:szCs w:val="22"/>
          <w:lang w:val="en-US"/>
        </w:rPr>
        <w:t xml:space="preserve"> Ho, D.Y-F. (1976): On the Concept of Face, American Journal of Sociology,</w:t>
      </w:r>
      <w:r w:rsidRPr="00A31BCB">
        <w:rPr>
          <w:spacing w:val="40"/>
          <w:sz w:val="22"/>
          <w:szCs w:val="22"/>
          <w:lang w:val="en-US"/>
        </w:rPr>
        <w:t xml:space="preserve"> </w:t>
      </w:r>
      <w:r w:rsidRPr="00A31BCB">
        <w:rPr>
          <w:sz w:val="22"/>
          <w:szCs w:val="22"/>
          <w:lang w:val="en-US"/>
        </w:rPr>
        <w:t>81(4): 867-884.</w:t>
      </w:r>
      <w:r w:rsidRPr="00A31BCB">
        <w:rPr>
          <w:spacing w:val="40"/>
          <w:sz w:val="22"/>
          <w:szCs w:val="22"/>
          <w:lang w:val="en-US"/>
        </w:rPr>
        <w:t xml:space="preserve"> </w:t>
      </w:r>
      <w:r w:rsidRPr="00A31BCB">
        <w:rPr>
          <w:sz w:val="22"/>
          <w:szCs w:val="22"/>
        </w:rPr>
        <w:t>Hofstede, G. (1993): Interkulturelle</w:t>
      </w:r>
      <w:r w:rsidRPr="00A31BCB">
        <w:rPr>
          <w:spacing w:val="-1"/>
          <w:sz w:val="22"/>
          <w:szCs w:val="22"/>
        </w:rPr>
        <w:t xml:space="preserve"> </w:t>
      </w:r>
      <w:r w:rsidRPr="00A31BCB">
        <w:rPr>
          <w:sz w:val="22"/>
          <w:szCs w:val="22"/>
        </w:rPr>
        <w:t>Zusammenarbeit, Wiesbaden: Gabler.</w:t>
      </w:r>
      <w:r w:rsidRPr="00A31BCB">
        <w:rPr>
          <w:spacing w:val="40"/>
          <w:sz w:val="22"/>
          <w:szCs w:val="22"/>
        </w:rPr>
        <w:t xml:space="preserve"> </w:t>
      </w:r>
      <w:r w:rsidRPr="00A31BCB">
        <w:rPr>
          <w:sz w:val="22"/>
          <w:szCs w:val="22"/>
        </w:rPr>
        <w:t xml:space="preserve">Hwang, K.-K. (2006): Moral Face and Social Face. </w:t>
      </w:r>
      <w:r w:rsidRPr="00A31BCB">
        <w:rPr>
          <w:sz w:val="22"/>
          <w:szCs w:val="22"/>
          <w:lang w:val="en-US"/>
        </w:rPr>
        <w:t>Contingent Self-Esteem in Confucian</w:t>
      </w:r>
      <w:r w:rsidRPr="00A31BCB">
        <w:rPr>
          <w:spacing w:val="40"/>
          <w:sz w:val="22"/>
          <w:szCs w:val="22"/>
          <w:lang w:val="en-US"/>
        </w:rPr>
        <w:t xml:space="preserve"> </w:t>
      </w:r>
      <w:r w:rsidRPr="00A31BCB">
        <w:rPr>
          <w:sz w:val="22"/>
          <w:szCs w:val="22"/>
          <w:lang w:val="en-US"/>
        </w:rPr>
        <w:t>Society, International Journal of Psychology, 41(4): 276-281.</w:t>
      </w:r>
      <w:r w:rsidRPr="00A31BCB">
        <w:rPr>
          <w:spacing w:val="40"/>
          <w:sz w:val="22"/>
          <w:szCs w:val="22"/>
          <w:lang w:val="en-US"/>
        </w:rPr>
        <w:t xml:space="preserve"> </w:t>
      </w:r>
      <w:r w:rsidRPr="00A31BCB">
        <w:rPr>
          <w:sz w:val="22"/>
          <w:szCs w:val="22"/>
        </w:rPr>
        <w:t>Matthes, J. (1991): „Das</w:t>
      </w:r>
      <w:r w:rsidRPr="00A31BCB">
        <w:rPr>
          <w:spacing w:val="40"/>
          <w:sz w:val="22"/>
          <w:szCs w:val="22"/>
        </w:rPr>
        <w:t xml:space="preserve"> </w:t>
      </w:r>
      <w:r w:rsidRPr="00A31BCB">
        <w:rPr>
          <w:sz w:val="22"/>
          <w:szCs w:val="22"/>
        </w:rPr>
        <w:t>Gesicht wahren“. Eine kulturelle Regel im interkulturellen Vergleich, Universitas, 5: 429-439.</w:t>
      </w:r>
      <w:r w:rsidRPr="00A31BCB">
        <w:rPr>
          <w:spacing w:val="40"/>
          <w:sz w:val="22"/>
          <w:szCs w:val="22"/>
        </w:rPr>
        <w:t xml:space="preserve"> </w:t>
      </w:r>
      <w:r w:rsidRPr="00A31BCB">
        <w:rPr>
          <w:sz w:val="22"/>
          <w:szCs w:val="22"/>
          <w:lang w:val="en-US"/>
        </w:rPr>
        <w:t>Ting-Toomey, S.; Kurogi, A. (1998): Facework Competence in Intercultural Conflict.</w:t>
      </w:r>
      <w:r w:rsidRPr="00A31BCB">
        <w:rPr>
          <w:spacing w:val="40"/>
          <w:sz w:val="22"/>
          <w:szCs w:val="22"/>
          <w:lang w:val="en-US"/>
        </w:rPr>
        <w:t xml:space="preserve"> </w:t>
      </w:r>
      <w:r w:rsidRPr="00A31BCB">
        <w:rPr>
          <w:sz w:val="22"/>
          <w:szCs w:val="22"/>
          <w:lang w:val="en-US"/>
        </w:rPr>
        <w:t>An</w:t>
      </w:r>
      <w:r w:rsidRPr="00A31BCB">
        <w:rPr>
          <w:spacing w:val="-10"/>
          <w:sz w:val="22"/>
          <w:szCs w:val="22"/>
          <w:lang w:val="en-US"/>
        </w:rPr>
        <w:t xml:space="preserve"> </w:t>
      </w:r>
      <w:r w:rsidRPr="00A31BCB">
        <w:rPr>
          <w:sz w:val="22"/>
          <w:szCs w:val="22"/>
          <w:lang w:val="en-US"/>
        </w:rPr>
        <w:t>Updated</w:t>
      </w:r>
      <w:r w:rsidRPr="00A31BCB">
        <w:rPr>
          <w:spacing w:val="-10"/>
          <w:sz w:val="22"/>
          <w:szCs w:val="22"/>
          <w:lang w:val="en-US"/>
        </w:rPr>
        <w:t xml:space="preserve"> </w:t>
      </w:r>
      <w:r w:rsidRPr="00A31BCB">
        <w:rPr>
          <w:sz w:val="22"/>
          <w:szCs w:val="22"/>
          <w:lang w:val="en-US"/>
        </w:rPr>
        <w:t>Face-Negotiation</w:t>
      </w:r>
      <w:r w:rsidRPr="00A31BCB">
        <w:rPr>
          <w:spacing w:val="-10"/>
          <w:sz w:val="22"/>
          <w:szCs w:val="22"/>
          <w:lang w:val="en-US"/>
        </w:rPr>
        <w:t xml:space="preserve"> </w:t>
      </w:r>
      <w:r w:rsidRPr="00A31BCB">
        <w:rPr>
          <w:sz w:val="22"/>
          <w:szCs w:val="22"/>
          <w:lang w:val="en-US"/>
        </w:rPr>
        <w:t>Theory,</w:t>
      </w:r>
      <w:r w:rsidRPr="00A31BCB">
        <w:rPr>
          <w:spacing w:val="-10"/>
          <w:sz w:val="22"/>
          <w:szCs w:val="22"/>
          <w:lang w:val="en-US"/>
        </w:rPr>
        <w:t xml:space="preserve"> </w:t>
      </w:r>
      <w:r w:rsidRPr="00A31BCB">
        <w:rPr>
          <w:sz w:val="22"/>
          <w:szCs w:val="22"/>
          <w:lang w:val="en-US"/>
        </w:rPr>
        <w:t>International</w:t>
      </w:r>
      <w:r w:rsidRPr="00A31BCB">
        <w:rPr>
          <w:spacing w:val="-10"/>
          <w:sz w:val="22"/>
          <w:szCs w:val="22"/>
          <w:lang w:val="en-US"/>
        </w:rPr>
        <w:t xml:space="preserve"> </w:t>
      </w:r>
      <w:r w:rsidRPr="00A31BCB">
        <w:rPr>
          <w:sz w:val="22"/>
          <w:szCs w:val="22"/>
          <w:lang w:val="en-US"/>
        </w:rPr>
        <w:t>Journal</w:t>
      </w:r>
      <w:r w:rsidRPr="00A31BCB">
        <w:rPr>
          <w:spacing w:val="-10"/>
          <w:sz w:val="22"/>
          <w:szCs w:val="22"/>
          <w:lang w:val="en-US"/>
        </w:rPr>
        <w:t xml:space="preserve"> </w:t>
      </w:r>
      <w:r w:rsidRPr="00A31BCB">
        <w:rPr>
          <w:sz w:val="22"/>
          <w:szCs w:val="22"/>
          <w:lang w:val="en-US"/>
        </w:rPr>
        <w:t>of</w:t>
      </w:r>
      <w:r w:rsidRPr="00A31BCB">
        <w:rPr>
          <w:spacing w:val="-10"/>
          <w:sz w:val="22"/>
          <w:szCs w:val="22"/>
          <w:lang w:val="en-US"/>
        </w:rPr>
        <w:t xml:space="preserve"> </w:t>
      </w:r>
      <w:r w:rsidRPr="00A31BCB">
        <w:rPr>
          <w:sz w:val="22"/>
          <w:szCs w:val="22"/>
          <w:lang w:val="en-US"/>
        </w:rPr>
        <w:t>Intercultural</w:t>
      </w:r>
      <w:r w:rsidRPr="00A31BCB">
        <w:rPr>
          <w:spacing w:val="-10"/>
          <w:sz w:val="22"/>
          <w:szCs w:val="22"/>
          <w:lang w:val="en-US"/>
        </w:rPr>
        <w:t xml:space="preserve"> </w:t>
      </w:r>
      <w:r w:rsidRPr="00A31BCB">
        <w:rPr>
          <w:sz w:val="22"/>
          <w:szCs w:val="22"/>
          <w:lang w:val="en-US"/>
        </w:rPr>
        <w:t>Relations,</w:t>
      </w:r>
      <w:r w:rsidRPr="00A31BCB">
        <w:rPr>
          <w:spacing w:val="-10"/>
          <w:sz w:val="22"/>
          <w:szCs w:val="22"/>
          <w:lang w:val="en-US"/>
        </w:rPr>
        <w:t xml:space="preserve"> </w:t>
      </w:r>
      <w:r w:rsidRPr="00A31BCB">
        <w:rPr>
          <w:sz w:val="22"/>
          <w:szCs w:val="22"/>
          <w:lang w:val="en-US"/>
        </w:rPr>
        <w:t>22(2):</w:t>
      </w:r>
      <w:r w:rsidRPr="00A31BCB">
        <w:rPr>
          <w:spacing w:val="40"/>
          <w:sz w:val="22"/>
          <w:szCs w:val="22"/>
          <w:lang w:val="en-US"/>
        </w:rPr>
        <w:t xml:space="preserve"> </w:t>
      </w:r>
      <w:r w:rsidRPr="00A31BCB">
        <w:rPr>
          <w:sz w:val="22"/>
          <w:szCs w:val="22"/>
          <w:lang w:val="en-US"/>
        </w:rPr>
        <w:t>187-225.</w:t>
      </w:r>
      <w:r w:rsidRPr="00A31BCB">
        <w:rPr>
          <w:spacing w:val="40"/>
          <w:sz w:val="22"/>
          <w:szCs w:val="22"/>
          <w:lang w:val="en-US"/>
        </w:rPr>
        <w:t xml:space="preserve"> </w:t>
      </w:r>
      <w:r w:rsidRPr="00A31BCB">
        <w:rPr>
          <w:sz w:val="22"/>
          <w:szCs w:val="22"/>
          <w:lang w:val="en-US"/>
        </w:rPr>
        <w:t>Yau, O.H.M. (1988): Chinese Cultural Values. Their Dimensions and Marketing</w:t>
      </w:r>
      <w:r w:rsidRPr="00A31BCB">
        <w:rPr>
          <w:spacing w:val="40"/>
          <w:sz w:val="22"/>
          <w:szCs w:val="22"/>
          <w:lang w:val="en-US"/>
        </w:rPr>
        <w:t xml:space="preserve"> </w:t>
      </w:r>
      <w:r w:rsidRPr="00A31BCB">
        <w:rPr>
          <w:sz w:val="22"/>
          <w:szCs w:val="22"/>
          <w:lang w:val="en-US"/>
        </w:rPr>
        <w:t>Implications, European Journal of Marketing, 22(5): 44-57.</w:t>
      </w:r>
    </w:p>
    <w:p w14:paraId="21396094" w14:textId="77777777" w:rsidR="00FF7799" w:rsidRPr="00A31BCB" w:rsidRDefault="00FF7799" w:rsidP="00C8550D">
      <w:pPr>
        <w:pStyle w:val="StandardText"/>
        <w:rPr>
          <w:sz w:val="22"/>
          <w:szCs w:val="22"/>
          <w:lang w:val="en-US"/>
        </w:rPr>
      </w:pPr>
    </w:p>
    <w:p w14:paraId="313ACF08" w14:textId="77777777" w:rsidR="00FF7799" w:rsidRPr="00E73F6F" w:rsidRDefault="00FF7799" w:rsidP="00906E9C">
      <w:pPr>
        <w:pStyle w:val="berschrift1"/>
      </w:pPr>
      <w:r w:rsidRPr="00A31BCB">
        <w:rPr>
          <w:bCs w:val="0"/>
          <w:color w:val="2E74B5"/>
          <w:sz w:val="22"/>
          <w:lang w:val="en-US"/>
        </w:rPr>
        <w:t>Gesprächspause</w:t>
      </w:r>
      <w:r w:rsidRPr="00E73F6F">
        <w:t xml:space="preserve"> </w:t>
      </w:r>
      <w:r w:rsidRPr="00E73F6F">
        <w:rPr>
          <w:b w:val="0"/>
        </w:rPr>
        <w:t>→ Schweigen</w:t>
      </w:r>
      <w:r w:rsidRPr="00E73F6F">
        <w:t xml:space="preserve"> </w:t>
      </w:r>
    </w:p>
    <w:p w14:paraId="38252166" w14:textId="77777777" w:rsidR="00FF7799" w:rsidRPr="00E73F6F" w:rsidRDefault="00FF7799" w:rsidP="00906E9C">
      <w:pPr>
        <w:pStyle w:val="berschrift1"/>
      </w:pPr>
      <w:r w:rsidRPr="00A31BCB">
        <w:rPr>
          <w:bCs w:val="0"/>
          <w:color w:val="2E74B5"/>
          <w:sz w:val="22"/>
          <w:lang w:val="en-US"/>
        </w:rPr>
        <w:t>Glaube</w:t>
      </w:r>
      <w:r w:rsidRPr="00E73F6F">
        <w:t xml:space="preserve"> </w:t>
      </w:r>
      <w:r w:rsidRPr="00E73F6F">
        <w:rPr>
          <w:b w:val="0"/>
        </w:rPr>
        <w:t>→ Religiosität</w:t>
      </w:r>
    </w:p>
    <w:p w14:paraId="037F2871" w14:textId="77777777" w:rsidR="00FF7799" w:rsidRPr="00E73F6F" w:rsidRDefault="00FF7799" w:rsidP="00906E9C">
      <w:pPr>
        <w:pStyle w:val="berschrift1"/>
        <w:rPr>
          <w:spacing w:val="-8"/>
        </w:rPr>
      </w:pPr>
      <w:r w:rsidRPr="00A31BCB">
        <w:rPr>
          <w:bCs w:val="0"/>
          <w:color w:val="2E74B5"/>
          <w:sz w:val="22"/>
          <w:lang w:val="en-US"/>
        </w:rPr>
        <w:t>Gleichheit</w:t>
      </w:r>
      <w:r w:rsidRPr="00E73F6F">
        <w:rPr>
          <w:spacing w:val="-5"/>
        </w:rPr>
        <w:t xml:space="preserve"> </w:t>
      </w:r>
      <w:r w:rsidRPr="00E73F6F">
        <w:rPr>
          <w:b w:val="0"/>
        </w:rPr>
        <w:t>→</w:t>
      </w:r>
      <w:r w:rsidRPr="00E73F6F">
        <w:rPr>
          <w:b w:val="0"/>
          <w:spacing w:val="-8"/>
        </w:rPr>
        <w:t xml:space="preserve"> Kulturdimensionen nach Schwartz</w:t>
      </w:r>
    </w:p>
    <w:p w14:paraId="403F171F" w14:textId="77777777" w:rsidR="00FF7799" w:rsidRPr="00A31BCB" w:rsidRDefault="00FF7799" w:rsidP="00906E9C">
      <w:pPr>
        <w:pStyle w:val="berschrift1"/>
        <w:rPr>
          <w:bCs w:val="0"/>
          <w:color w:val="2E74B5"/>
          <w:sz w:val="22"/>
          <w:lang w:val="en-US"/>
        </w:rPr>
      </w:pPr>
      <w:r w:rsidRPr="00A31BCB">
        <w:rPr>
          <w:bCs w:val="0"/>
          <w:color w:val="2E74B5"/>
          <w:sz w:val="22"/>
          <w:lang w:val="en-US"/>
        </w:rPr>
        <w:t>Global Citizen</w:t>
      </w:r>
    </w:p>
    <w:p w14:paraId="4F66D036" w14:textId="77777777" w:rsidR="00FF7799" w:rsidRPr="00E73F6F" w:rsidRDefault="0008380D" w:rsidP="00E064B9">
      <w:pPr>
        <w:pStyle w:val="StandardText"/>
      </w:pPr>
      <w:r>
        <w:t xml:space="preserve">in Fortschreibung des Konzepts des </w:t>
      </w:r>
      <w:r w:rsidR="00FF7799" w:rsidRPr="00E73F6F">
        <w:t>Weltbürger</w:t>
      </w:r>
      <w:r>
        <w:t>s</w:t>
      </w:r>
      <w:r w:rsidR="00C66133">
        <w:t xml:space="preserve"> (vgl. Coulmas 1990) bzw.</w:t>
      </w:r>
      <w:r w:rsidR="00FF7799" w:rsidRPr="00E73F6F">
        <w:t xml:space="preserve"> </w:t>
      </w:r>
      <w:r>
        <w:t xml:space="preserve">Kosmopoliten </w:t>
      </w:r>
      <w:r w:rsidR="00FF7799" w:rsidRPr="00E73F6F">
        <w:t>(vgl.</w:t>
      </w:r>
      <w:r w:rsidR="00FF7799" w:rsidRPr="00E73F6F">
        <w:rPr>
          <w:spacing w:val="-8"/>
        </w:rPr>
        <w:t xml:space="preserve"> </w:t>
      </w:r>
      <w:r w:rsidR="00FF7799" w:rsidRPr="00E73F6F">
        <w:t>Appiah</w:t>
      </w:r>
      <w:r w:rsidR="00FF7799" w:rsidRPr="00E73F6F">
        <w:rPr>
          <w:spacing w:val="-8"/>
        </w:rPr>
        <w:t xml:space="preserve"> </w:t>
      </w:r>
      <w:r>
        <w:t>2007) „e</w:t>
      </w:r>
      <w:r w:rsidR="00FF7799" w:rsidRPr="00E73F6F">
        <w:t>in</w:t>
      </w:r>
      <w:r w:rsidR="00FF7799" w:rsidRPr="00E73F6F">
        <w:rPr>
          <w:spacing w:val="-8"/>
        </w:rPr>
        <w:t xml:space="preserve"> </w:t>
      </w:r>
      <w:r w:rsidR="00FF7799" w:rsidRPr="00E73F6F">
        <w:t>Mensch,</w:t>
      </w:r>
      <w:r w:rsidR="00FF7799" w:rsidRPr="00E73F6F">
        <w:rPr>
          <w:spacing w:val="-8"/>
        </w:rPr>
        <w:t xml:space="preserve"> </w:t>
      </w:r>
      <w:r w:rsidR="00FF7799" w:rsidRPr="00E73F6F">
        <w:t>der</w:t>
      </w:r>
      <w:r w:rsidR="00FF7799" w:rsidRPr="00E73F6F">
        <w:rPr>
          <w:spacing w:val="-7"/>
        </w:rPr>
        <w:t xml:space="preserve"> </w:t>
      </w:r>
      <w:r w:rsidR="00FF7799" w:rsidRPr="00E73F6F">
        <w:t>seine</w:t>
      </w:r>
      <w:r w:rsidR="00FF7799" w:rsidRPr="00E73F6F">
        <w:rPr>
          <w:spacing w:val="-7"/>
        </w:rPr>
        <w:t xml:space="preserve"> </w:t>
      </w:r>
      <w:r w:rsidR="00FF7799" w:rsidRPr="00E73F6F">
        <w:t>soziale Identität nicht primär aus seiner Nationalität oder seiner Zugehörigkeit zu einer bestimmten sozialen Schicht bezieht. Vielmehr lebt der Global Citizen in dem Bewusstsein, der allumf</w:t>
      </w:r>
      <w:r>
        <w:t>assenden Menschheit anzugehören“</w:t>
      </w:r>
      <w:r w:rsidR="00FF7799" w:rsidRPr="00E73F6F">
        <w:t xml:space="preserve">. Gemäß einer repräsentativen </w:t>
      </w:r>
      <w:r w:rsidR="00FF7799" w:rsidRPr="0008380D">
        <w:t>EMNID</w:t>
      </w:r>
      <w:r w:rsidR="00FF7799" w:rsidRPr="00E73F6F">
        <w:t>-Umfrage, die 2011 veröffentlicht wurde, empfinden</w:t>
      </w:r>
      <w:r w:rsidR="00FF7799" w:rsidRPr="00E73F6F">
        <w:rPr>
          <w:spacing w:val="-12"/>
        </w:rPr>
        <w:t xml:space="preserve"> </w:t>
      </w:r>
      <w:r w:rsidR="00FF7799" w:rsidRPr="00E73F6F">
        <w:t>sich</w:t>
      </w:r>
      <w:r w:rsidR="00FF7799" w:rsidRPr="00E73F6F">
        <w:rPr>
          <w:spacing w:val="-11"/>
        </w:rPr>
        <w:t xml:space="preserve"> </w:t>
      </w:r>
      <w:r w:rsidR="00FF7799" w:rsidRPr="00E73F6F">
        <w:t>7%</w:t>
      </w:r>
      <w:r w:rsidR="00FF7799" w:rsidRPr="00E73F6F">
        <w:rPr>
          <w:spacing w:val="-11"/>
        </w:rPr>
        <w:t xml:space="preserve"> </w:t>
      </w:r>
      <w:r w:rsidR="00FF7799" w:rsidRPr="00E73F6F">
        <w:t>der</w:t>
      </w:r>
      <w:r w:rsidR="00FF7799" w:rsidRPr="00E73F6F">
        <w:rPr>
          <w:spacing w:val="-11"/>
        </w:rPr>
        <w:t xml:space="preserve"> </w:t>
      </w:r>
      <w:r w:rsidR="00FF7799" w:rsidRPr="00E73F6F">
        <w:t>Deutschen</w:t>
      </w:r>
      <w:r w:rsidR="00FF7799" w:rsidRPr="00E73F6F">
        <w:rPr>
          <w:spacing w:val="-12"/>
        </w:rPr>
        <w:t xml:space="preserve"> </w:t>
      </w:r>
      <w:r w:rsidR="00FF7799" w:rsidRPr="00E73F6F">
        <w:t>vorrangig</w:t>
      </w:r>
      <w:r w:rsidR="00FF7799" w:rsidRPr="00E73F6F">
        <w:rPr>
          <w:spacing w:val="-11"/>
        </w:rPr>
        <w:t xml:space="preserve"> </w:t>
      </w:r>
      <w:r w:rsidR="00FF7799" w:rsidRPr="00E73F6F">
        <w:t>als</w:t>
      </w:r>
      <w:r w:rsidR="00FF7799" w:rsidRPr="00E73F6F">
        <w:rPr>
          <w:spacing w:val="-11"/>
        </w:rPr>
        <w:t xml:space="preserve"> </w:t>
      </w:r>
      <w:r w:rsidR="00FF7799" w:rsidRPr="00E73F6F">
        <w:t>Weltbürger</w:t>
      </w:r>
      <w:r w:rsidR="00FF7799" w:rsidRPr="00E73F6F">
        <w:rPr>
          <w:spacing w:val="-11"/>
        </w:rPr>
        <w:t xml:space="preserve"> </w:t>
      </w:r>
      <w:r w:rsidR="00FF7799" w:rsidRPr="00E73F6F">
        <w:t>und</w:t>
      </w:r>
      <w:r w:rsidR="00FF7799" w:rsidRPr="00E73F6F">
        <w:rPr>
          <w:spacing w:val="-12"/>
        </w:rPr>
        <w:t xml:space="preserve"> </w:t>
      </w:r>
      <w:r w:rsidR="00FF7799" w:rsidRPr="00E73F6F">
        <w:t>17%</w:t>
      </w:r>
      <w:r w:rsidR="00FF7799" w:rsidRPr="00E73F6F">
        <w:rPr>
          <w:spacing w:val="-11"/>
        </w:rPr>
        <w:t xml:space="preserve"> </w:t>
      </w:r>
      <w:r w:rsidR="00FF7799" w:rsidRPr="00E73F6F">
        <w:t>als</w:t>
      </w:r>
      <w:r w:rsidR="00FF7799" w:rsidRPr="00E73F6F">
        <w:rPr>
          <w:spacing w:val="-11"/>
        </w:rPr>
        <w:t xml:space="preserve"> </w:t>
      </w:r>
      <w:r w:rsidR="00FF7799" w:rsidRPr="00E73F6F">
        <w:t>Europäer. 43% meinten,</w:t>
      </w:r>
      <w:r w:rsidR="00FF7799" w:rsidRPr="00E73F6F">
        <w:rPr>
          <w:spacing w:val="-2"/>
        </w:rPr>
        <w:t xml:space="preserve"> </w:t>
      </w:r>
      <w:r w:rsidR="00FF7799" w:rsidRPr="00E73F6F">
        <w:t>dass</w:t>
      </w:r>
      <w:r w:rsidR="00FF7799" w:rsidRPr="00E73F6F">
        <w:rPr>
          <w:spacing w:val="-1"/>
        </w:rPr>
        <w:t xml:space="preserve"> </w:t>
      </w:r>
      <w:r w:rsidR="00FF7799" w:rsidRPr="00E73F6F">
        <w:t>sie primär Deutsche sind, 21% empfanden sich</w:t>
      </w:r>
      <w:r w:rsidR="00FF7799" w:rsidRPr="00E73F6F">
        <w:rPr>
          <w:spacing w:val="-1"/>
        </w:rPr>
        <w:t xml:space="preserve"> </w:t>
      </w:r>
      <w:r w:rsidR="00FF7799" w:rsidRPr="00E73F6F">
        <w:t>als Einwohner ihrer Stadt bzw. ihres Dorfes und 11% als Einwohner eines bestimmten Bundeslandes (vgl. http:/</w:t>
      </w:r>
      <w:hyperlink r:id="rId49">
        <w:r w:rsidR="00FF7799" w:rsidRPr="00E73F6F">
          <w:t>/www.chrismon.de;</w:t>
        </w:r>
      </w:hyperlink>
      <w:r w:rsidR="00FF7799" w:rsidRPr="00E73F6F">
        <w:t xml:space="preserve"> 15.11.2011).</w:t>
      </w:r>
    </w:p>
    <w:p w14:paraId="364E7A30" w14:textId="77777777" w:rsidR="00FF7799" w:rsidRPr="00E73F6F" w:rsidRDefault="00FF7799" w:rsidP="00E064B9">
      <w:pPr>
        <w:pStyle w:val="StandardText"/>
      </w:pPr>
      <w:r w:rsidRPr="00E73F6F">
        <w:rPr>
          <w:position w:val="2"/>
        </w:rPr>
        <w:t>Zwar</w:t>
      </w:r>
      <w:r w:rsidRPr="00E73F6F">
        <w:rPr>
          <w:spacing w:val="15"/>
          <w:position w:val="2"/>
        </w:rPr>
        <w:t xml:space="preserve"> </w:t>
      </w:r>
      <w:r w:rsidRPr="00E73F6F">
        <w:rPr>
          <w:position w:val="2"/>
        </w:rPr>
        <w:t>sind</w:t>
      </w:r>
      <w:r w:rsidRPr="00E73F6F">
        <w:rPr>
          <w:spacing w:val="17"/>
          <w:position w:val="2"/>
        </w:rPr>
        <w:t xml:space="preserve"> </w:t>
      </w:r>
      <w:r w:rsidRPr="00E73F6F">
        <w:rPr>
          <w:position w:val="2"/>
        </w:rPr>
        <w:t>der</w:t>
      </w:r>
      <w:r w:rsidRPr="00E73F6F">
        <w:rPr>
          <w:spacing w:val="18"/>
          <w:position w:val="2"/>
        </w:rPr>
        <w:t xml:space="preserve"> </w:t>
      </w:r>
      <w:r w:rsidRPr="00E73F6F">
        <w:rPr>
          <w:position w:val="2"/>
        </w:rPr>
        <w:t>Weltbürger,</w:t>
      </w:r>
      <w:r w:rsidRPr="00E73F6F">
        <w:rPr>
          <w:spacing w:val="15"/>
          <w:position w:val="2"/>
        </w:rPr>
        <w:t xml:space="preserve"> </w:t>
      </w:r>
      <w:r w:rsidRPr="00E73F6F">
        <w:rPr>
          <w:position w:val="2"/>
        </w:rPr>
        <w:t>der</w:t>
      </w:r>
      <w:r w:rsidRPr="00E73F6F">
        <w:rPr>
          <w:spacing w:val="18"/>
          <w:position w:val="2"/>
        </w:rPr>
        <w:t xml:space="preserve"> </w:t>
      </w:r>
      <w:r w:rsidRPr="00E73F6F">
        <w:rPr>
          <w:position w:val="2"/>
        </w:rPr>
        <w:t>Kosmopolit</w:t>
      </w:r>
      <w:r w:rsidRPr="00E73F6F">
        <w:rPr>
          <w:spacing w:val="18"/>
          <w:position w:val="2"/>
        </w:rPr>
        <w:t xml:space="preserve"> </w:t>
      </w:r>
      <w:r w:rsidRPr="00E73F6F">
        <w:rPr>
          <w:position w:val="2"/>
        </w:rPr>
        <w:t>wie</w:t>
      </w:r>
      <w:r w:rsidRPr="00E73F6F">
        <w:rPr>
          <w:spacing w:val="17"/>
          <w:position w:val="2"/>
        </w:rPr>
        <w:t xml:space="preserve"> </w:t>
      </w:r>
      <w:r w:rsidRPr="00E73F6F">
        <w:rPr>
          <w:position w:val="2"/>
        </w:rPr>
        <w:t>auch</w:t>
      </w:r>
      <w:r w:rsidRPr="00E73F6F">
        <w:rPr>
          <w:spacing w:val="16"/>
          <w:position w:val="2"/>
        </w:rPr>
        <w:t xml:space="preserve"> </w:t>
      </w:r>
      <w:r w:rsidRPr="00E73F6F">
        <w:rPr>
          <w:position w:val="2"/>
        </w:rPr>
        <w:t>der</w:t>
      </w:r>
      <w:r w:rsidRPr="00E73F6F">
        <w:rPr>
          <w:spacing w:val="18"/>
          <w:position w:val="2"/>
        </w:rPr>
        <w:t xml:space="preserve"> </w:t>
      </w:r>
      <w:r w:rsidRPr="00E73F6F">
        <w:rPr>
          <w:position w:val="2"/>
        </w:rPr>
        <w:t>Global</w:t>
      </w:r>
      <w:r w:rsidRPr="00E73F6F">
        <w:rPr>
          <w:spacing w:val="16"/>
          <w:position w:val="2"/>
        </w:rPr>
        <w:t xml:space="preserve"> </w:t>
      </w:r>
      <w:r w:rsidRPr="00E73F6F">
        <w:rPr>
          <w:position w:val="2"/>
        </w:rPr>
        <w:t>Citizen</w:t>
      </w:r>
      <w:r w:rsidRPr="00E73F6F">
        <w:rPr>
          <w:spacing w:val="19"/>
          <w:position w:val="2"/>
        </w:rPr>
        <w:t xml:space="preserve"> </w:t>
      </w:r>
      <w:r w:rsidRPr="00E73F6F">
        <w:rPr>
          <w:spacing w:val="-2"/>
          <w:position w:val="2"/>
        </w:rPr>
        <w:t xml:space="preserve">Kinder </w:t>
      </w:r>
      <w:r w:rsidRPr="00E73F6F">
        <w:t>ihrer Zeit. Unabhängig davon aber wurde allen dreien attestiert, „frei von nationalen Beschränkungen und Vorurteilen zu</w:t>
      </w:r>
      <w:r w:rsidR="0008380D">
        <w:t xml:space="preserve"> sein“. Unter dem Einfluss der </w:t>
      </w:r>
      <w:r w:rsidR="0008380D">
        <w:sym w:font="Symbol" w:char="F0DE"/>
      </w:r>
      <w:r w:rsidRPr="00E73F6F">
        <w:t xml:space="preserve"> Governance-Bewegung schrieb man dem Global Citizen weiterhin die Fähigkeit und</w:t>
      </w:r>
      <w:r w:rsidRPr="00E73F6F">
        <w:rPr>
          <w:spacing w:val="-11"/>
        </w:rPr>
        <w:t xml:space="preserve"> </w:t>
      </w:r>
      <w:r w:rsidRPr="00E73F6F">
        <w:t>die</w:t>
      </w:r>
      <w:r w:rsidRPr="00E73F6F">
        <w:rPr>
          <w:spacing w:val="-11"/>
        </w:rPr>
        <w:t xml:space="preserve"> </w:t>
      </w:r>
      <w:r w:rsidRPr="00E73F6F">
        <w:t>Bereitschaft</w:t>
      </w:r>
      <w:r w:rsidRPr="00E73F6F">
        <w:rPr>
          <w:spacing w:val="-10"/>
        </w:rPr>
        <w:t xml:space="preserve"> </w:t>
      </w:r>
      <w:r w:rsidRPr="00E73F6F">
        <w:t>zu,</w:t>
      </w:r>
      <w:r w:rsidRPr="00E73F6F">
        <w:rPr>
          <w:spacing w:val="-10"/>
        </w:rPr>
        <w:t xml:space="preserve"> </w:t>
      </w:r>
      <w:r w:rsidRPr="00E73F6F">
        <w:t>für</w:t>
      </w:r>
      <w:r w:rsidRPr="00E73F6F">
        <w:rPr>
          <w:spacing w:val="-10"/>
        </w:rPr>
        <w:t xml:space="preserve"> </w:t>
      </w:r>
      <w:r w:rsidRPr="00E73F6F">
        <w:t>dieses</w:t>
      </w:r>
      <w:r w:rsidRPr="00E73F6F">
        <w:rPr>
          <w:spacing w:val="-11"/>
        </w:rPr>
        <w:t xml:space="preserve"> </w:t>
      </w:r>
      <w:r w:rsidRPr="00E73F6F">
        <w:t>supranationale</w:t>
      </w:r>
      <w:r w:rsidRPr="00E73F6F">
        <w:rPr>
          <w:spacing w:val="-11"/>
        </w:rPr>
        <w:t xml:space="preserve"> </w:t>
      </w:r>
      <w:r w:rsidRPr="00E73F6F">
        <w:t>Gemeinwesen</w:t>
      </w:r>
      <w:r w:rsidRPr="00E73F6F">
        <w:rPr>
          <w:spacing w:val="-9"/>
        </w:rPr>
        <w:t xml:space="preserve"> </w:t>
      </w:r>
      <w:r w:rsidRPr="00E73F6F">
        <w:t>Verantwortung</w:t>
      </w:r>
      <w:r w:rsidRPr="00E73F6F">
        <w:rPr>
          <w:spacing w:val="-9"/>
        </w:rPr>
        <w:t xml:space="preserve"> </w:t>
      </w:r>
      <w:r w:rsidRPr="00E73F6F">
        <w:t>zu übernehmen (vgl. Archibugi/Held 1995).</w:t>
      </w:r>
    </w:p>
    <w:p w14:paraId="7BB263B8" w14:textId="77777777" w:rsidR="00FF7799" w:rsidRPr="00C66133" w:rsidRDefault="00FF7799" w:rsidP="00E064B9">
      <w:pPr>
        <w:pStyle w:val="StandardText"/>
        <w:rPr>
          <w:sz w:val="22"/>
          <w:szCs w:val="22"/>
        </w:rPr>
      </w:pPr>
      <w:r w:rsidRPr="00C66133">
        <w:rPr>
          <w:b/>
          <w:i/>
          <w:sz w:val="22"/>
          <w:szCs w:val="22"/>
        </w:rPr>
        <w:t>Literatur:</w:t>
      </w:r>
      <w:r w:rsidRPr="00C66133">
        <w:rPr>
          <w:spacing w:val="-2"/>
          <w:sz w:val="22"/>
          <w:szCs w:val="22"/>
        </w:rPr>
        <w:t xml:space="preserve"> </w:t>
      </w:r>
      <w:r w:rsidRPr="00C66133">
        <w:rPr>
          <w:sz w:val="22"/>
          <w:szCs w:val="22"/>
        </w:rPr>
        <w:t>Appiah,</w:t>
      </w:r>
      <w:r w:rsidRPr="00C66133">
        <w:rPr>
          <w:spacing w:val="-2"/>
          <w:sz w:val="22"/>
          <w:szCs w:val="22"/>
        </w:rPr>
        <w:t xml:space="preserve"> </w:t>
      </w:r>
      <w:r w:rsidRPr="00C66133">
        <w:rPr>
          <w:sz w:val="22"/>
          <w:szCs w:val="22"/>
        </w:rPr>
        <w:t>A.</w:t>
      </w:r>
      <w:r w:rsidRPr="00C66133">
        <w:rPr>
          <w:spacing w:val="-1"/>
          <w:sz w:val="22"/>
          <w:szCs w:val="22"/>
        </w:rPr>
        <w:t xml:space="preserve"> </w:t>
      </w:r>
      <w:r w:rsidRPr="00C66133">
        <w:rPr>
          <w:sz w:val="22"/>
          <w:szCs w:val="22"/>
        </w:rPr>
        <w:t>(2007):</w:t>
      </w:r>
      <w:r w:rsidRPr="00C66133">
        <w:rPr>
          <w:spacing w:val="-2"/>
          <w:sz w:val="22"/>
          <w:szCs w:val="22"/>
        </w:rPr>
        <w:t xml:space="preserve"> </w:t>
      </w:r>
      <w:r w:rsidRPr="00C66133">
        <w:rPr>
          <w:sz w:val="22"/>
          <w:szCs w:val="22"/>
        </w:rPr>
        <w:t>Der</w:t>
      </w:r>
      <w:r w:rsidRPr="00C66133">
        <w:rPr>
          <w:spacing w:val="-4"/>
          <w:sz w:val="22"/>
          <w:szCs w:val="22"/>
        </w:rPr>
        <w:t xml:space="preserve"> </w:t>
      </w:r>
      <w:r w:rsidRPr="00C66133">
        <w:rPr>
          <w:sz w:val="22"/>
          <w:szCs w:val="22"/>
        </w:rPr>
        <w:t>Kosmopolit.</w:t>
      </w:r>
      <w:r w:rsidRPr="00C66133">
        <w:rPr>
          <w:spacing w:val="-2"/>
          <w:sz w:val="22"/>
          <w:szCs w:val="22"/>
        </w:rPr>
        <w:t xml:space="preserve"> </w:t>
      </w:r>
      <w:r w:rsidRPr="00C66133">
        <w:rPr>
          <w:sz w:val="22"/>
          <w:szCs w:val="22"/>
        </w:rPr>
        <w:t>Philosophie</w:t>
      </w:r>
      <w:r w:rsidRPr="00C66133">
        <w:rPr>
          <w:spacing w:val="-5"/>
          <w:sz w:val="22"/>
          <w:szCs w:val="22"/>
        </w:rPr>
        <w:t xml:space="preserve"> </w:t>
      </w:r>
      <w:r w:rsidRPr="00C66133">
        <w:rPr>
          <w:sz w:val="22"/>
          <w:szCs w:val="22"/>
        </w:rPr>
        <w:t>des</w:t>
      </w:r>
      <w:r w:rsidRPr="00C66133">
        <w:rPr>
          <w:spacing w:val="-3"/>
          <w:sz w:val="22"/>
          <w:szCs w:val="22"/>
        </w:rPr>
        <w:t xml:space="preserve"> </w:t>
      </w:r>
      <w:r w:rsidRPr="00C66133">
        <w:rPr>
          <w:sz w:val="22"/>
          <w:szCs w:val="22"/>
        </w:rPr>
        <w:t>Weltbürgertums,</w:t>
      </w:r>
      <w:r w:rsidRPr="00C66133">
        <w:rPr>
          <w:spacing w:val="-2"/>
          <w:sz w:val="22"/>
          <w:szCs w:val="22"/>
        </w:rPr>
        <w:t xml:space="preserve"> </w:t>
      </w:r>
      <w:r w:rsidRPr="00C66133">
        <w:rPr>
          <w:sz w:val="22"/>
          <w:szCs w:val="22"/>
        </w:rPr>
        <w:t>München:</w:t>
      </w:r>
      <w:r w:rsidRPr="00C66133">
        <w:rPr>
          <w:spacing w:val="40"/>
          <w:sz w:val="22"/>
          <w:szCs w:val="22"/>
        </w:rPr>
        <w:t xml:space="preserve"> </w:t>
      </w:r>
      <w:r w:rsidRPr="00C66133">
        <w:rPr>
          <w:sz w:val="22"/>
          <w:szCs w:val="22"/>
        </w:rPr>
        <w:t xml:space="preserve">Beck. </w:t>
      </w:r>
      <w:r w:rsidRPr="00C66133">
        <w:rPr>
          <w:sz w:val="22"/>
          <w:szCs w:val="22"/>
          <w:lang w:val="en-US"/>
        </w:rPr>
        <w:t>Archibugi, D.; Held, D. (Eds.) (1995): Cosmopolitan Democracy. An Agenda for a</w:t>
      </w:r>
      <w:r w:rsidRPr="00C66133">
        <w:rPr>
          <w:spacing w:val="40"/>
          <w:sz w:val="22"/>
          <w:szCs w:val="22"/>
          <w:lang w:val="en-US"/>
        </w:rPr>
        <w:t xml:space="preserve"> </w:t>
      </w:r>
      <w:r w:rsidRPr="00C66133">
        <w:rPr>
          <w:sz w:val="22"/>
          <w:szCs w:val="22"/>
          <w:lang w:val="en-US"/>
        </w:rPr>
        <w:t>New World Order, Cambridge: Polity Press.</w:t>
      </w:r>
      <w:r w:rsidRPr="00C66133">
        <w:rPr>
          <w:spacing w:val="40"/>
          <w:sz w:val="22"/>
          <w:szCs w:val="22"/>
          <w:lang w:val="en-US"/>
        </w:rPr>
        <w:t xml:space="preserve"> </w:t>
      </w:r>
      <w:r w:rsidRPr="00C66133">
        <w:rPr>
          <w:sz w:val="22"/>
          <w:szCs w:val="22"/>
        </w:rPr>
        <w:t>Coulmas, P. (1990): Weltbürger. Geschichte</w:t>
      </w:r>
      <w:r w:rsidRPr="00C66133">
        <w:rPr>
          <w:spacing w:val="40"/>
          <w:sz w:val="22"/>
          <w:szCs w:val="22"/>
        </w:rPr>
        <w:t xml:space="preserve"> </w:t>
      </w:r>
      <w:r w:rsidRPr="00C66133">
        <w:rPr>
          <w:sz w:val="22"/>
          <w:szCs w:val="22"/>
        </w:rPr>
        <w:t>einer Menschheitssehnsucht, Reinbek: Rowohlt.</w:t>
      </w:r>
    </w:p>
    <w:p w14:paraId="2A5DC738" w14:textId="77777777" w:rsidR="00FF7799" w:rsidRPr="00E73F6F" w:rsidRDefault="00FF7799" w:rsidP="00906E9C">
      <w:pPr>
        <w:pStyle w:val="berschrift1"/>
      </w:pPr>
      <w:r w:rsidRPr="00A31BCB">
        <w:rPr>
          <w:bCs w:val="0"/>
          <w:color w:val="2E74B5"/>
          <w:sz w:val="22"/>
          <w:lang w:val="en-US"/>
        </w:rPr>
        <w:t>Global Compact</w:t>
      </w:r>
      <w:r w:rsidRPr="00E73F6F">
        <w:rPr>
          <w:spacing w:val="-13"/>
        </w:rPr>
        <w:t xml:space="preserve"> </w:t>
      </w:r>
      <w:r w:rsidRPr="00E73F6F">
        <w:rPr>
          <w:b w:val="0"/>
          <w:szCs w:val="24"/>
        </w:rPr>
        <w:t>→</w:t>
      </w:r>
      <w:r w:rsidRPr="00E73F6F">
        <w:rPr>
          <w:b w:val="0"/>
          <w:spacing w:val="-3"/>
        </w:rPr>
        <w:t xml:space="preserve"> </w:t>
      </w:r>
      <w:r w:rsidRPr="00E73F6F">
        <w:rPr>
          <w:b w:val="0"/>
        </w:rPr>
        <w:t>Anti-Korruptionsmaßnahmen</w:t>
      </w:r>
    </w:p>
    <w:p w14:paraId="6AB0776C" w14:textId="77777777" w:rsidR="00FF7799" w:rsidRPr="00E35FFF" w:rsidRDefault="00FF7799" w:rsidP="00906E9C">
      <w:pPr>
        <w:pStyle w:val="berschrift1"/>
        <w:rPr>
          <w:lang w:val="en-US"/>
        </w:rPr>
      </w:pPr>
      <w:r w:rsidRPr="00A31BCB">
        <w:rPr>
          <w:bCs w:val="0"/>
          <w:color w:val="2E74B5"/>
          <w:sz w:val="22"/>
          <w:lang w:val="en-US"/>
        </w:rPr>
        <w:t>Global Corruption Barometer</w:t>
      </w:r>
      <w:r w:rsidRPr="00E35FFF">
        <w:rPr>
          <w:spacing w:val="-12"/>
          <w:lang w:val="en-US"/>
        </w:rPr>
        <w:t xml:space="preserve"> </w:t>
      </w:r>
      <w:r w:rsidRPr="00E35FFF">
        <w:rPr>
          <w:b w:val="0"/>
          <w:szCs w:val="24"/>
          <w:lang w:val="en-US"/>
        </w:rPr>
        <w:t>→</w:t>
      </w:r>
      <w:r w:rsidRPr="00E35FFF">
        <w:rPr>
          <w:b w:val="0"/>
          <w:spacing w:val="-5"/>
          <w:lang w:val="en-US"/>
        </w:rPr>
        <w:t xml:space="preserve"> </w:t>
      </w:r>
      <w:r w:rsidRPr="00E35FFF">
        <w:rPr>
          <w:b w:val="0"/>
          <w:lang w:val="en-US"/>
        </w:rPr>
        <w:t>Korruption</w:t>
      </w:r>
    </w:p>
    <w:p w14:paraId="0EE26066" w14:textId="77777777" w:rsidR="00FF7799" w:rsidRPr="00A31BCB" w:rsidRDefault="00FF7799" w:rsidP="00906E9C">
      <w:pPr>
        <w:pStyle w:val="berschrift1"/>
        <w:rPr>
          <w:bCs w:val="0"/>
          <w:color w:val="2E74B5"/>
          <w:sz w:val="22"/>
          <w:lang w:val="en-US"/>
        </w:rPr>
      </w:pPr>
      <w:r w:rsidRPr="00A31BCB">
        <w:rPr>
          <w:bCs w:val="0"/>
          <w:color w:val="2E74B5"/>
          <w:sz w:val="22"/>
          <w:lang w:val="en-US"/>
        </w:rPr>
        <w:lastRenderedPageBreak/>
        <w:t>Global Dictionary</w:t>
      </w:r>
    </w:p>
    <w:p w14:paraId="1D98EDB1" w14:textId="77777777" w:rsidR="00FF7799" w:rsidRPr="00E73F6F" w:rsidRDefault="00FF7799" w:rsidP="0065007A">
      <w:pPr>
        <w:pStyle w:val="StandardText"/>
      </w:pPr>
      <w:r w:rsidRPr="00E73F6F">
        <w:t>globales Wörterbuch, enthält Begriffe wie Job, Judo, Lady, Samurai. Sie und andere „moderne“ Begriffe (z.B. Handy, smart, chic) sind den bekannten Weltsprachen entlehnt und nahezu überall verständlich. Sie</w:t>
      </w:r>
      <w:r w:rsidRPr="00E73F6F">
        <w:rPr>
          <w:spacing w:val="-1"/>
        </w:rPr>
        <w:t xml:space="preserve"> </w:t>
      </w:r>
      <w:r w:rsidRPr="00E73F6F">
        <w:t>haben Eingang in die globale Werbesprache gefunden und werden auch in anderen Bereichen verstärkt genutzt, um global zu kommunizieren.</w:t>
      </w:r>
    </w:p>
    <w:p w14:paraId="0EE36177" w14:textId="77777777" w:rsidR="00FF7799" w:rsidRPr="00C66133" w:rsidRDefault="00FF7799" w:rsidP="0065007A">
      <w:pPr>
        <w:pStyle w:val="StandardText"/>
        <w:rPr>
          <w:sz w:val="22"/>
          <w:szCs w:val="22"/>
          <w:lang w:val="en-US"/>
        </w:rPr>
      </w:pPr>
      <w:r w:rsidRPr="00C66133">
        <w:rPr>
          <w:b/>
          <w:i/>
          <w:sz w:val="22"/>
          <w:szCs w:val="22"/>
          <w:lang w:val="en-US"/>
        </w:rPr>
        <w:t>Literatur</w:t>
      </w:r>
      <w:r w:rsidRPr="00C66133">
        <w:rPr>
          <w:i/>
          <w:sz w:val="22"/>
          <w:szCs w:val="22"/>
          <w:lang w:val="en-US"/>
        </w:rPr>
        <w:t>:</w:t>
      </w:r>
      <w:r w:rsidRPr="00C66133">
        <w:rPr>
          <w:sz w:val="22"/>
          <w:szCs w:val="22"/>
          <w:lang w:val="en-US"/>
        </w:rPr>
        <w:t xml:space="preserve"> Usunier, J.-C.; Shaner, J. (2002): Using Linguistics for Creating Better</w:t>
      </w:r>
      <w:r w:rsidRPr="00C66133">
        <w:rPr>
          <w:spacing w:val="40"/>
          <w:sz w:val="22"/>
          <w:szCs w:val="22"/>
          <w:lang w:val="en-US"/>
        </w:rPr>
        <w:t xml:space="preserve"> </w:t>
      </w:r>
      <w:r w:rsidRPr="00C66133">
        <w:rPr>
          <w:sz w:val="22"/>
          <w:szCs w:val="22"/>
          <w:lang w:val="en-US"/>
        </w:rPr>
        <w:t>International Brand Names, Journal of Marketing Communications, 8(4): 211-228.</w:t>
      </w:r>
    </w:p>
    <w:p w14:paraId="441ED49E" w14:textId="77777777" w:rsidR="00FF7799" w:rsidRPr="00E35FFF" w:rsidRDefault="00FF7799" w:rsidP="0065007A">
      <w:pPr>
        <w:pStyle w:val="StandardText"/>
        <w:rPr>
          <w:lang w:val="en-US"/>
        </w:rPr>
      </w:pPr>
    </w:p>
    <w:p w14:paraId="6DCF88B0" w14:textId="77777777" w:rsidR="00FF7799" w:rsidRPr="00A31BCB" w:rsidRDefault="00FF7799" w:rsidP="00FB1F0F">
      <w:pPr>
        <w:pStyle w:val="berschrift1"/>
        <w:rPr>
          <w:bCs w:val="0"/>
          <w:color w:val="2E74B5"/>
          <w:sz w:val="22"/>
          <w:lang w:val="en-US"/>
        </w:rPr>
      </w:pPr>
      <w:r w:rsidRPr="00A31BCB">
        <w:rPr>
          <w:bCs w:val="0"/>
          <w:color w:val="2E74B5"/>
          <w:sz w:val="22"/>
          <w:lang w:val="en-US"/>
        </w:rPr>
        <w:t xml:space="preserve">Global Leadership and Organizational Behaviour Effectiveness (GLOBE) </w:t>
      </w:r>
    </w:p>
    <w:p w14:paraId="4DBBB93B" w14:textId="77777777" w:rsidR="00FF7799" w:rsidRPr="005D1E16" w:rsidRDefault="00FF7799" w:rsidP="0065007A">
      <w:pPr>
        <w:pStyle w:val="StandardTextkursiv"/>
        <w:rPr>
          <w:i w:val="0"/>
          <w:lang w:bidi="en-US"/>
        </w:rPr>
      </w:pPr>
      <w:r w:rsidRPr="005D1E16">
        <w:rPr>
          <w:i w:val="0"/>
          <w:lang w:bidi="en-US"/>
        </w:rPr>
        <w:t>1 Zielsetzung &amp; theoretische Grundlage</w:t>
      </w:r>
    </w:p>
    <w:p w14:paraId="35BDD87D" w14:textId="77777777" w:rsidR="00FF7799" w:rsidRPr="005D1E16" w:rsidRDefault="00FF7799" w:rsidP="0065007A">
      <w:pPr>
        <w:pStyle w:val="StandardText"/>
        <w:rPr>
          <w:lang w:bidi="en-US"/>
        </w:rPr>
      </w:pPr>
      <w:r w:rsidRPr="005D1E16">
        <w:rPr>
          <w:lang w:bidi="en-US"/>
        </w:rPr>
        <w:t xml:space="preserve">Die Initiatoren dieser internationalen Forschungskooperation wollten zum einen en Hofstede-Ansatz aktualisieren, erweitern und theoretisch wie auch methodologisch verbessern. Zum anderen sollten die Befunde der GLOBE-Studie die kulturvergleichenden Wissenschaften in die Lage versetzen, Einflüsse der Landeskultur auf Organisationskultur und Führungseffektivität zu analysieren: Gibt es Verhaltensweisen von Führungskräften, die universell akzeptiert und erfolgreich sind, oder müssen diese kulturspezifisch differenziert werden (vgl. Javidan et al. 2006a/b, 2004; House et al. 2004, S.10)? 1991 hat R.J. House von der Wharton University of Pennsylvania das Forschungsprojekt initiiert. Seit 1993 untersuchte das in der Endphase auf 170 Wissenschaftler angewachsene Projektteam zehn Jahre lang weltweit den Einfluss der Landeskultur auf das Führungs- und Organisationsverhalten. </w:t>
      </w:r>
    </w:p>
    <w:p w14:paraId="4F26F4E6" w14:textId="77777777" w:rsidR="00FF7799" w:rsidRPr="005D1E16" w:rsidRDefault="00FF7799" w:rsidP="0065007A">
      <w:pPr>
        <w:pStyle w:val="StandardText"/>
        <w:rPr>
          <w:lang w:bidi="en-US"/>
        </w:rPr>
      </w:pPr>
      <w:r w:rsidRPr="005D1E16">
        <w:rPr>
          <w:lang w:bidi="en-US"/>
        </w:rPr>
        <w:t>Von 1993 bis 1994 wurden zunächst die theoretischen Grundlagen und die erforderlichen Messinstrumente entwickelt (vgl. House/Javidan 2004, S.20). Dabei entstand allerdings keine geschlossene Theorie, sondern nur ein „theoretisch-konzeptioneller Bezugsrahmen“, der auf vier bereits vorliegende Theorien rekurriert.</w:t>
      </w:r>
    </w:p>
    <w:p w14:paraId="248DEBF4" w14:textId="77777777" w:rsidR="00FF7799" w:rsidRPr="005D1E16" w:rsidRDefault="00FF7799" w:rsidP="00A31BCB">
      <w:pPr>
        <w:pStyle w:val="StandardTextAufzhlung"/>
        <w:ind w:left="426"/>
        <w:rPr>
          <w:lang w:bidi="en-US"/>
        </w:rPr>
      </w:pPr>
      <w:r w:rsidRPr="005D1E16">
        <w:rPr>
          <w:lang w:bidi="en-US"/>
        </w:rPr>
        <w:t>Gemäß der „Value-Belief Theory of Culture“ (vgl. Hofstede 2001; 1980; Triandis 1995) kann man anhand der für eine bestimmte Landeskultur charakteristischen Werte und Überzeugungen (‘belief‘) vorhersagen, welche Verhaltensweisen in einem Kulturraum verbreitet sind und als legitim, effektiv etc. angesehen werden.</w:t>
      </w:r>
    </w:p>
    <w:p w14:paraId="73A1C5A8" w14:textId="77777777" w:rsidR="00FF7799" w:rsidRPr="005D1E16" w:rsidRDefault="00FF7799" w:rsidP="00A31BCB">
      <w:pPr>
        <w:pStyle w:val="StandardTextAufzhlung"/>
        <w:ind w:left="426"/>
        <w:rPr>
          <w:lang w:bidi="en-US"/>
        </w:rPr>
      </w:pPr>
      <w:r w:rsidRPr="005D1E16">
        <w:rPr>
          <w:lang w:bidi="en-US"/>
        </w:rPr>
        <w:t>Die „Implicit Leadership Theory“ (vgl. Lord/Maher 1991) geht davon aus, dass Menschen im Allgemeinen und Mitarbeiter im Besonderen eine individuelle Vorstellung davon entwickeln, was einen guten Führer bzw. Vorgesetzten ausmacht. Zumeist handelt es sich dabei um implizite Überzeugungen. Auch soziale Gruppen entwickeln solche implizite Führungstheorien und Vorstellungen davon, woran man einen guten und einen schlechten Führer erkennt. Die Basishypothese des GLOBE-Konsortiums lautet, dass diese Prototypen in Abhängigkeit von der Landeskultur systematisch variieren.</w:t>
      </w:r>
    </w:p>
    <w:p w14:paraId="2028ABF4" w14:textId="77777777" w:rsidR="00FF7799" w:rsidRPr="005D1E16" w:rsidRDefault="00FF7799" w:rsidP="00A31BCB">
      <w:pPr>
        <w:pStyle w:val="StandardTextAufzhlung"/>
        <w:ind w:left="426"/>
        <w:rPr>
          <w:lang w:bidi="en-US"/>
        </w:rPr>
      </w:pPr>
      <w:r w:rsidRPr="005D1E16">
        <w:rPr>
          <w:lang w:bidi="en-US"/>
        </w:rPr>
        <w:t>Die „Implicit Motivation Theory“ (vgl. McClelland 1995, 1961; McClelland et al. 1989) besagt, dass drei unbewusste Motive langfristiges Verhalten steuern: Leistung, Zugehörigkeit und Macht (= sozialer Einfluss).</w:t>
      </w:r>
    </w:p>
    <w:p w14:paraId="53597519" w14:textId="77777777" w:rsidR="00FF7799" w:rsidRPr="005D1E16" w:rsidRDefault="00FF7799" w:rsidP="00A31BCB">
      <w:pPr>
        <w:pStyle w:val="StandardTextAufzhlung"/>
        <w:ind w:left="426"/>
        <w:rPr>
          <w:lang w:bidi="en-US"/>
        </w:rPr>
      </w:pPr>
      <w:r w:rsidRPr="005D1E16">
        <w:rPr>
          <w:lang w:bidi="en-US"/>
        </w:rPr>
        <w:t>Entsprechend der „Structural Contingency Theory“ können Unternehmen ihr Überleben und ihre Leistungsfähigkeit gewährleisten, indem sie regelmäßig bestimmten Anforderungen gerecht werden. In dem Maße, wie zwischen diesen ‘organizational contingencies‘ und der Organisationsstruktur sowie den Leistungsprozessen ein Fit besteht, wird das Unternehmen erfolgreich sein (vgl. Child 1981).</w:t>
      </w:r>
    </w:p>
    <w:p w14:paraId="29EE2889" w14:textId="77777777" w:rsidR="00FF7799" w:rsidRPr="00E73F6F" w:rsidRDefault="00FF7799" w:rsidP="0065007A">
      <w:pPr>
        <w:pStyle w:val="StandardText"/>
      </w:pPr>
      <w:r w:rsidRPr="00E35FFF">
        <w:rPr>
          <w:lang w:val="en-US"/>
        </w:rPr>
        <w:t xml:space="preserve">Als Grundlage des Projekts definierten House/Javidan (2004, S.15) </w:t>
      </w:r>
      <w:r w:rsidR="003157FE">
        <w:sym w:font="Symbol" w:char="F0DE"/>
      </w:r>
      <w:r w:rsidR="003157FE" w:rsidRPr="00FB26A6">
        <w:rPr>
          <w:lang w:val="en-US"/>
        </w:rPr>
        <w:t xml:space="preserve"> </w:t>
      </w:r>
      <w:r w:rsidRPr="00E35FFF">
        <w:rPr>
          <w:lang w:val="en-US"/>
        </w:rPr>
        <w:t xml:space="preserve">Kultur als „ … shared motives, values, beliefs, identities, and interpretations or meanings of significant events that </w:t>
      </w:r>
      <w:r w:rsidRPr="00E35FFF">
        <w:rPr>
          <w:lang w:val="en-US"/>
        </w:rPr>
        <w:lastRenderedPageBreak/>
        <w:t xml:space="preserve">result from common experiences of members of collectives and are transmitted across generations”. </w:t>
      </w:r>
      <w:r w:rsidRPr="00E73F6F">
        <w:t>Damit betonten sie jene Facette des Konstrukts „Kultur“, welche den Beitrag der Landeskultur zur gleichsinnigen Realitätskonstruktion der Mitglieder einer Gesellschaft in den Vordergrund der Betrachtung rückt (vgl. Müller/Gelbrich 2014, S.128). Gleichzeitig grenzten sich damit von der bislang vorherrschenden Sichtweise ab (z.B. Kultur als „mentale Programmierung“ bzw. als „Handlungsanweisung zur Lösung gemeinsamer existentieller Probleme“). Trompenaars (1993, S.18) etwa beschrieb Kultur als den Weg, „auf dem menschliche Gemeinschaften zur Lösung von Problemen finden“.</w:t>
      </w:r>
    </w:p>
    <w:p w14:paraId="3095CB30" w14:textId="77777777" w:rsidR="00FF7799" w:rsidRPr="00E73F6F" w:rsidRDefault="00FF7799" w:rsidP="0065007A">
      <w:pPr>
        <w:pStyle w:val="StandardText"/>
        <w:rPr>
          <w:lang w:bidi="en-US"/>
        </w:rPr>
      </w:pPr>
    </w:p>
    <w:p w14:paraId="7DA0CBD9" w14:textId="77777777" w:rsidR="00FF7799" w:rsidRPr="005D1E16" w:rsidRDefault="00FF7799" w:rsidP="0065007A">
      <w:pPr>
        <w:pStyle w:val="StandardTextkursiv"/>
        <w:rPr>
          <w:i w:val="0"/>
          <w:lang w:bidi="en-US"/>
        </w:rPr>
      </w:pPr>
      <w:r w:rsidRPr="005D1E16">
        <w:rPr>
          <w:i w:val="0"/>
          <w:lang w:bidi="en-US"/>
        </w:rPr>
        <w:t>2 Untersuchungsdesign &amp; Datenerhebung</w:t>
      </w:r>
    </w:p>
    <w:p w14:paraId="1CB934C0" w14:textId="77777777" w:rsidR="00FF7799" w:rsidRPr="005D1E16" w:rsidRDefault="00FF7799" w:rsidP="0065007A">
      <w:pPr>
        <w:pStyle w:val="StandardText"/>
        <w:rPr>
          <w:lang w:bidi="en-US"/>
        </w:rPr>
      </w:pPr>
      <w:r w:rsidRPr="005D1E16">
        <w:rPr>
          <w:lang w:bidi="en-US"/>
        </w:rPr>
        <w:t>Die an der Hofstede-Studie vielfach kritisierte Vermengung von Lan</w:t>
      </w:r>
      <w:r w:rsidRPr="005D1E16">
        <w:rPr>
          <w:lang w:bidi="en-US"/>
        </w:rPr>
        <w:softHyphen/>
        <w:t>des</w:t>
      </w:r>
      <w:r w:rsidRPr="005D1E16">
        <w:rPr>
          <w:lang w:bidi="en-US"/>
        </w:rPr>
        <w:softHyphen/>
        <w:t>kultur und Unterneh</w:t>
      </w:r>
      <w:r w:rsidRPr="005D1E16">
        <w:rPr>
          <w:lang w:bidi="en-US"/>
        </w:rPr>
        <w:softHyphen/>
        <w:t>menskultur vermied das GLOBE-Konsortium weitgehend. Das Netzwerk von Wissenschaftlern aus 62 Ländern erhob den Datenpool nach einem standardisierten Untersuchungs- und Befragungskonzept in dem jeweiligen Heimatland primärstatistisch bei Angehörigen der mittleren Führungsebene von verschiedenen Unternehmen und Branchen (Lebensmittelindustrie, Telekommunikation und Finanzdienstleistungsbranche). Da es sich dabei um lokale Unternehmen handelte, konnte ein weiterer Schwachpunkt der Hofstede-Studie vermieden werden: Mitarbeiter eines Global Players wie IBM werden, anders als Mitarbeiter von lokalen Unternehmen, im Regelfall stärker durch die Unternehmenskultur und weniger durch die Landeskultur beeinflusst (</w:t>
      </w:r>
      <w:r w:rsidR="00FB26A6" w:rsidRPr="005D1E16">
        <w:rPr>
          <w:b/>
        </w:rPr>
        <w:sym w:font="Symbol" w:char="F0DE"/>
      </w:r>
      <w:r w:rsidR="00FB26A6" w:rsidRPr="005D1E16">
        <w:rPr>
          <w:b/>
        </w:rPr>
        <w:t xml:space="preserve"> </w:t>
      </w:r>
      <w:r w:rsidRPr="005D1E16">
        <w:rPr>
          <w:lang w:bidi="en-US"/>
        </w:rPr>
        <w:t xml:space="preserve"> Beeinflussbarkeit). Auch ist der Mitarbeiterstamm lokaler Unternehmen national homogener, als dies bei Großunternehmen üblicherweise der Fall ist, so dass in mittelständischen Unternehmen die Nationalität einzelner Mitarbeiter weitaus seltener von der Nationalität des Unternehmens abweicht.</w:t>
      </w:r>
    </w:p>
    <w:p w14:paraId="08297967" w14:textId="77777777" w:rsidR="00FF7799" w:rsidRPr="005D1E16" w:rsidRDefault="00FF7799" w:rsidP="0065007A">
      <w:pPr>
        <w:pStyle w:val="StandardText"/>
        <w:rPr>
          <w:lang w:bidi="en-US"/>
        </w:rPr>
      </w:pPr>
      <w:r w:rsidRPr="005D1E16">
        <w:rPr>
          <w:lang w:bidi="en-US"/>
        </w:rPr>
        <w:t xml:space="preserve">In einer Vorstudie beantworteten insgesamt 1.943 Probanden 371 Statements, welche das GLOBE-Team aus den theoretischen Vorüberlegungen abgeleitet hatte. Für die Hauptstudie wurden aus diesem Itempool aufgrund testtheoretischer Kriterien 292 Items extrahiert: </w:t>
      </w:r>
    </w:p>
    <w:p w14:paraId="3A231B1E" w14:textId="77777777" w:rsidR="00FF7799" w:rsidRPr="005D1E16" w:rsidRDefault="00FF7799" w:rsidP="00A31BCB">
      <w:pPr>
        <w:pStyle w:val="StandardTextAufzhlung"/>
        <w:ind w:left="426"/>
        <w:rPr>
          <w:lang w:bidi="en-US"/>
        </w:rPr>
      </w:pPr>
      <w:r w:rsidRPr="005D1E16">
        <w:rPr>
          <w:lang w:bidi="en-US"/>
        </w:rPr>
        <w:t xml:space="preserve">75 Statements zur Organisationskultur, </w:t>
      </w:r>
    </w:p>
    <w:p w14:paraId="6FD4184D" w14:textId="77777777" w:rsidR="00FF7799" w:rsidRPr="005D1E16" w:rsidRDefault="00FF7799" w:rsidP="00A31BCB">
      <w:pPr>
        <w:pStyle w:val="StandardTextAufzhlung"/>
        <w:ind w:left="426"/>
        <w:rPr>
          <w:lang w:bidi="en-US"/>
        </w:rPr>
      </w:pPr>
      <w:r w:rsidRPr="005D1E16">
        <w:rPr>
          <w:lang w:bidi="en-US"/>
        </w:rPr>
        <w:t xml:space="preserve">78 Statements zur Landeskultur, 112 Statements zum Führungsverhalten sowie </w:t>
      </w:r>
    </w:p>
    <w:p w14:paraId="36B529F9" w14:textId="77777777" w:rsidR="00FF7799" w:rsidRPr="005D1E16" w:rsidRDefault="00FF7799" w:rsidP="00A31BCB">
      <w:pPr>
        <w:pStyle w:val="StandardTextAufzhlung"/>
        <w:ind w:left="426"/>
        <w:rPr>
          <w:lang w:bidi="en-US"/>
        </w:rPr>
      </w:pPr>
      <w:r w:rsidRPr="005D1E16">
        <w:rPr>
          <w:lang w:bidi="en-US"/>
        </w:rPr>
        <w:t>27 Items zu den demographischen Angaben.</w:t>
      </w:r>
    </w:p>
    <w:p w14:paraId="42D9D123" w14:textId="77777777" w:rsidR="00A31BCB" w:rsidRDefault="00A31BCB" w:rsidP="0065007A">
      <w:pPr>
        <w:pStyle w:val="StandardText"/>
        <w:rPr>
          <w:lang w:bidi="en-US"/>
        </w:rPr>
      </w:pPr>
    </w:p>
    <w:p w14:paraId="5F1813CA" w14:textId="0D4FA0D5" w:rsidR="00FF7799" w:rsidRPr="005D1E16" w:rsidRDefault="00FF7799" w:rsidP="0065007A">
      <w:pPr>
        <w:pStyle w:val="StandardText"/>
        <w:rPr>
          <w:lang w:bidi="en-US"/>
        </w:rPr>
      </w:pPr>
      <w:r w:rsidRPr="005D1E16">
        <w:rPr>
          <w:lang w:bidi="en-US"/>
        </w:rPr>
        <w:t>Für die Hauptstudie konnten insgesamt 17.370 Manager als Auskunftspersonen gewonnen werden. Diese waren zum Zeitpunkt der Erhebung in der mittleren Führungsebene von 951 lokalen Unternehmen in 59 Ländern tätig. Da in drei Ländern jeweils zwei Teilstichproben erfasst wurden (Deutschland = Ostdeutschland und Westdeutschland; Schweiz = deutschsprachige Schweiz und französischsprachige Schweiz; Südafrika = weiße und schwarze Bevölkerung), handelt es sich um insgesamt 62 Untersuchungsregionen, in denen 27 bis 1.790 Manager befragt wurden. Diese Spannweite der Teilstichproben ist ungewöhnlich groß und problematisch. Da die Auskünfte der in der Tschechischen Republik befragten Manager systematisch verzerrt (‘biased‘) waren, wurden sie nicht in die Auswertung einbezogen.</w:t>
      </w:r>
    </w:p>
    <w:p w14:paraId="39BC2086" w14:textId="77777777" w:rsidR="00FF7799" w:rsidRPr="005D1E16" w:rsidRDefault="00FF7799" w:rsidP="0065007A">
      <w:pPr>
        <w:pStyle w:val="StandardText"/>
        <w:rPr>
          <w:lang w:bidi="en-US"/>
        </w:rPr>
      </w:pPr>
      <w:r w:rsidRPr="005D1E16">
        <w:rPr>
          <w:lang w:bidi="en-US"/>
        </w:rPr>
        <w:t xml:space="preserve">Eine Besonderheit der GLOBE-Studie besteht darin, dass das Konstrukt Kultur auf vier Ebenen erfasst wurde: </w:t>
      </w:r>
    </w:p>
    <w:p w14:paraId="01387CFD" w14:textId="77777777" w:rsidR="00FF7799" w:rsidRPr="005D1E16" w:rsidRDefault="00FF7799" w:rsidP="00A31BCB">
      <w:pPr>
        <w:pStyle w:val="StandardTextAufzhlung"/>
        <w:ind w:left="426"/>
        <w:rPr>
          <w:lang w:bidi="en-US"/>
        </w:rPr>
      </w:pPr>
      <w:r w:rsidRPr="005D1E16">
        <w:rPr>
          <w:lang w:bidi="en-US"/>
        </w:rPr>
        <w:t xml:space="preserve">einerseits als gesellschaftliche Kultur (bzw. Landeskultur; ‘society‘; vgl. Abb. 1) sowie als Organisations- bzw. Unternehmenskultur und </w:t>
      </w:r>
    </w:p>
    <w:p w14:paraId="6F1FB43F" w14:textId="77777777" w:rsidR="00FF7799" w:rsidRPr="005D1E16" w:rsidRDefault="00FF7799" w:rsidP="00A31BCB">
      <w:pPr>
        <w:pStyle w:val="StandardTextAufzhlung"/>
        <w:ind w:left="426"/>
        <w:rPr>
          <w:lang w:bidi="en-US"/>
        </w:rPr>
      </w:pPr>
      <w:r w:rsidRPr="005D1E16">
        <w:rPr>
          <w:lang w:bidi="en-US"/>
        </w:rPr>
        <w:t>andererseits auf der Ist-Ebene sowie auf der Soll-Ebene. Auf der Ist-Ebene sind die Kulturpraktiken angesiedelt (= wie man sich in einer Gesellschaft oder einer Organisation üblicherweise verhält), auf der Soll-Ebene die kulturspezifischen Werte (= wie man sich in einer Gesellschaft oder einer Organisation verhalten sollte; vgl. Abb. 1).</w:t>
      </w:r>
    </w:p>
    <w:p w14:paraId="2E52D9E3" w14:textId="77777777" w:rsidR="00FF7799" w:rsidRPr="00E73F6F" w:rsidRDefault="00FF7799" w:rsidP="00862DBA">
      <w:pPr>
        <w:widowControl/>
        <w:autoSpaceDE/>
        <w:autoSpaceDN/>
        <w:jc w:val="both"/>
        <w:rPr>
          <w:sz w:val="24"/>
          <w:szCs w:val="24"/>
          <w:lang w:bidi="en-US"/>
        </w:rPr>
      </w:pPr>
    </w:p>
    <w:p w14:paraId="3B7DA85D" w14:textId="77777777" w:rsidR="00FF7799" w:rsidRPr="00C76DC3" w:rsidRDefault="00FF7799" w:rsidP="0065007A">
      <w:pPr>
        <w:pStyle w:val="BeschriftungTab"/>
        <w:rPr>
          <w:i/>
          <w:iCs/>
          <w:lang w:bidi="en-US"/>
        </w:rPr>
      </w:pPr>
      <w:r w:rsidRPr="00C76DC3">
        <w:rPr>
          <w:i/>
          <w:iCs/>
        </w:rPr>
        <w:lastRenderedPageBreak/>
        <w:t>Abb.</w:t>
      </w:r>
      <w:r w:rsidRPr="00C76DC3">
        <w:rPr>
          <w:i/>
          <w:iCs/>
          <w:noProof/>
        </w:rPr>
        <w:t xml:space="preserve"> 1</w:t>
      </w:r>
      <w:r w:rsidRPr="00C76DC3">
        <w:rPr>
          <w:i/>
          <w:iCs/>
        </w:rPr>
        <w:t xml:space="preserve">: </w:t>
      </w:r>
      <w:r w:rsidRPr="00C76DC3">
        <w:rPr>
          <w:i/>
          <w:iCs/>
          <w:lang w:bidi="en-US"/>
        </w:rPr>
        <w:t>Befragungskonzept der GLOBE-Studie</w:t>
      </w:r>
    </w:p>
    <w:p w14:paraId="5EB0DBE3" w14:textId="77777777" w:rsidR="00FF7799" w:rsidRPr="00E73F6F" w:rsidRDefault="00FF7799" w:rsidP="00862DBA">
      <w:pPr>
        <w:widowControl/>
        <w:autoSpaceDE/>
        <w:autoSpaceDN/>
        <w:jc w:val="both"/>
        <w:rPr>
          <w:sz w:val="24"/>
          <w:szCs w:val="24"/>
        </w:rPr>
      </w:pPr>
      <w:r w:rsidRPr="00E73F6F">
        <w:rPr>
          <w:noProof/>
          <w:sz w:val="24"/>
          <w:szCs w:val="24"/>
          <w:lang w:eastAsia="de-DE"/>
        </w:rPr>
        <w:drawing>
          <wp:inline distT="0" distB="0" distL="0" distR="0" wp14:anchorId="2E7287DC" wp14:editId="7AD2CBC0">
            <wp:extent cx="5762445" cy="6447008"/>
            <wp:effectExtent l="0" t="0" r="0" b="0"/>
            <wp:docPr id="330085" name="Grafik 330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69612" cy="6455026"/>
                    </a:xfrm>
                    <a:prstGeom prst="rect">
                      <a:avLst/>
                    </a:prstGeom>
                    <a:noFill/>
                  </pic:spPr>
                </pic:pic>
              </a:graphicData>
            </a:graphic>
          </wp:inline>
        </w:drawing>
      </w:r>
    </w:p>
    <w:p w14:paraId="41F08714" w14:textId="77777777" w:rsidR="00FF7799" w:rsidRPr="00E73F6F" w:rsidRDefault="00FF7799" w:rsidP="0065007A">
      <w:pPr>
        <w:pStyle w:val="Quellen"/>
        <w:rPr>
          <w:lang w:bidi="en-US"/>
        </w:rPr>
      </w:pPr>
      <w:r w:rsidRPr="00E73F6F">
        <w:rPr>
          <w:lang w:bidi="en-US"/>
        </w:rPr>
        <w:t>Quelle: House/Javidan (2004, S.23).</w:t>
      </w:r>
    </w:p>
    <w:p w14:paraId="437AEE85" w14:textId="77777777" w:rsidR="00FF7799" w:rsidRPr="00E73F6F" w:rsidRDefault="00FF7799" w:rsidP="00862DBA">
      <w:pPr>
        <w:widowControl/>
        <w:autoSpaceDE/>
        <w:autoSpaceDN/>
        <w:jc w:val="both"/>
        <w:rPr>
          <w:sz w:val="24"/>
          <w:szCs w:val="24"/>
          <w:lang w:bidi="en-US"/>
        </w:rPr>
      </w:pPr>
    </w:p>
    <w:p w14:paraId="5E1D3F81" w14:textId="77777777" w:rsidR="00FF7799" w:rsidRPr="005D1E16" w:rsidRDefault="00FF7799" w:rsidP="0065007A">
      <w:pPr>
        <w:pStyle w:val="StandardTextkursiv"/>
        <w:rPr>
          <w:i w:val="0"/>
          <w:lang w:bidi="en-US"/>
        </w:rPr>
      </w:pPr>
      <w:r w:rsidRPr="005D1E16">
        <w:rPr>
          <w:i w:val="0"/>
          <w:lang w:bidi="en-US"/>
        </w:rPr>
        <w:t>3 Kulturdimensionen</w:t>
      </w:r>
    </w:p>
    <w:p w14:paraId="231A13E1" w14:textId="77777777" w:rsidR="00FF7799" w:rsidRPr="005D1E16" w:rsidRDefault="00FF7799" w:rsidP="0065007A">
      <w:pPr>
        <w:pStyle w:val="StandardText"/>
        <w:rPr>
          <w:lang w:bidi="en-US"/>
        </w:rPr>
      </w:pPr>
      <w:r w:rsidRPr="005D1E16">
        <w:rPr>
          <w:lang w:bidi="en-US"/>
        </w:rPr>
        <w:t>Von der Vielzahl an Erkenntnissen, welche das GLOBE-Konsortium gewonnen und in zwei großen Monographien veröffentlicht hat, sollen im Folgenden lediglich die GLOBE-Kulturdimensionen (vgl. Tab. 1) vorgestellt werden (zu den Besonderheiten des Führungsstils von Managern in Abhängigkeit vom kulturellen Umfeld vgl. Müller/Gelbrich 2014, S.495ff.).</w:t>
      </w:r>
    </w:p>
    <w:p w14:paraId="3A795450" w14:textId="77777777" w:rsidR="00FF7799" w:rsidRPr="005D1E16" w:rsidRDefault="00FF7799" w:rsidP="0065007A">
      <w:pPr>
        <w:pStyle w:val="StandardText"/>
        <w:rPr>
          <w:lang w:bidi="en-US"/>
        </w:rPr>
      </w:pPr>
    </w:p>
    <w:p w14:paraId="5BA45608" w14:textId="77777777" w:rsidR="00FF7799" w:rsidRPr="00037FAC" w:rsidRDefault="00FF7799" w:rsidP="0065007A">
      <w:pPr>
        <w:pStyle w:val="BeschriftungTab"/>
        <w:rPr>
          <w:i/>
          <w:iCs/>
          <w:lang w:bidi="en-US"/>
        </w:rPr>
      </w:pPr>
      <w:r w:rsidRPr="00037FAC">
        <w:rPr>
          <w:i/>
          <w:iCs/>
          <w:lang w:bidi="en-US"/>
        </w:rPr>
        <w:t>Tab. 1:</w:t>
      </w:r>
      <w:r w:rsidRPr="00037FAC">
        <w:rPr>
          <w:bCs/>
          <w:i/>
          <w:iCs/>
        </w:rPr>
        <w:t xml:space="preserve"> </w:t>
      </w:r>
      <w:r w:rsidRPr="00037FAC">
        <w:rPr>
          <w:i/>
          <w:iCs/>
          <w:lang w:bidi="en-US"/>
        </w:rPr>
        <w:t>GLOBE-Kulturdimensionen im Überblick</w:t>
      </w:r>
    </w:p>
    <w:tbl>
      <w:tblPr>
        <w:tblW w:w="0" w:type="auto"/>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2265"/>
        <w:gridCol w:w="2266"/>
        <w:gridCol w:w="2265"/>
        <w:gridCol w:w="2266"/>
      </w:tblGrid>
      <w:tr w:rsidR="00FF7799" w:rsidRPr="00E73F6F" w14:paraId="7553A3E2" w14:textId="77777777" w:rsidTr="0065007A">
        <w:trPr>
          <w:tblHeader/>
        </w:trPr>
        <w:tc>
          <w:tcPr>
            <w:tcW w:w="2265" w:type="dxa"/>
            <w:shd w:val="clear" w:color="auto" w:fill="FFC000" w:themeFill="accent4"/>
          </w:tcPr>
          <w:p w14:paraId="4A8549FF" w14:textId="77777777" w:rsidR="00FF7799" w:rsidRPr="00E73F6F" w:rsidRDefault="00FF7799" w:rsidP="0065007A">
            <w:pPr>
              <w:pStyle w:val="StandardText"/>
              <w:spacing w:after="120"/>
              <w:jc w:val="center"/>
              <w:rPr>
                <w:b/>
                <w:lang w:bidi="en-US"/>
              </w:rPr>
            </w:pPr>
            <w:r w:rsidRPr="00E73F6F">
              <w:rPr>
                <w:b/>
                <w:lang w:bidi="en-US"/>
              </w:rPr>
              <w:lastRenderedPageBreak/>
              <w:t>Bezeichnung</w:t>
            </w:r>
          </w:p>
        </w:tc>
        <w:tc>
          <w:tcPr>
            <w:tcW w:w="2266" w:type="dxa"/>
            <w:shd w:val="clear" w:color="auto" w:fill="FFC000" w:themeFill="accent4"/>
          </w:tcPr>
          <w:p w14:paraId="76749459" w14:textId="77777777" w:rsidR="00FF7799" w:rsidRPr="00E73F6F" w:rsidRDefault="00FF7799" w:rsidP="0065007A">
            <w:pPr>
              <w:pStyle w:val="StandardText"/>
              <w:spacing w:after="120"/>
              <w:jc w:val="center"/>
              <w:rPr>
                <w:b/>
                <w:lang w:bidi="en-US"/>
              </w:rPr>
            </w:pPr>
            <w:r w:rsidRPr="00E73F6F">
              <w:rPr>
                <w:b/>
                <w:lang w:bidi="en-US"/>
              </w:rPr>
              <w:t>Kurzbeschreibung</w:t>
            </w:r>
          </w:p>
        </w:tc>
        <w:tc>
          <w:tcPr>
            <w:tcW w:w="2265" w:type="dxa"/>
            <w:shd w:val="clear" w:color="auto" w:fill="FFC000" w:themeFill="accent4"/>
          </w:tcPr>
          <w:p w14:paraId="716C1CEE" w14:textId="77777777" w:rsidR="00FF7799" w:rsidRPr="00E73F6F" w:rsidRDefault="00FF7799" w:rsidP="0065007A">
            <w:pPr>
              <w:pStyle w:val="StandardText"/>
              <w:spacing w:after="120"/>
              <w:jc w:val="center"/>
              <w:rPr>
                <w:b/>
                <w:lang w:bidi="en-US"/>
              </w:rPr>
            </w:pPr>
            <w:r w:rsidRPr="00E73F6F">
              <w:rPr>
                <w:b/>
                <w:lang w:bidi="en-US"/>
              </w:rPr>
              <w:t>Beispiel-Item</w:t>
            </w:r>
          </w:p>
        </w:tc>
        <w:tc>
          <w:tcPr>
            <w:tcW w:w="2266" w:type="dxa"/>
            <w:shd w:val="clear" w:color="auto" w:fill="FFC000" w:themeFill="accent4"/>
          </w:tcPr>
          <w:p w14:paraId="5B9EC760" w14:textId="77777777" w:rsidR="00FF7799" w:rsidRPr="00E73F6F" w:rsidRDefault="00FF7799" w:rsidP="0065007A">
            <w:pPr>
              <w:pStyle w:val="StandardText"/>
              <w:spacing w:after="120"/>
              <w:jc w:val="center"/>
              <w:rPr>
                <w:b/>
                <w:lang w:bidi="en-US"/>
              </w:rPr>
            </w:pPr>
            <w:r w:rsidRPr="00E73F6F">
              <w:rPr>
                <w:b/>
                <w:lang w:bidi="en-US"/>
              </w:rPr>
              <w:t>Theoretischer</w:t>
            </w:r>
            <w:r w:rsidRPr="00E73F6F">
              <w:rPr>
                <w:b/>
                <w:lang w:bidi="en-US"/>
              </w:rPr>
              <w:br/>
              <w:t>Bezug</w:t>
            </w:r>
          </w:p>
        </w:tc>
      </w:tr>
      <w:tr w:rsidR="00FF7799" w:rsidRPr="00E73F6F" w14:paraId="4196E9B9" w14:textId="77777777" w:rsidTr="00FB26A6">
        <w:tc>
          <w:tcPr>
            <w:tcW w:w="2265" w:type="dxa"/>
            <w:shd w:val="clear" w:color="auto" w:fill="FFF2CC" w:themeFill="accent4" w:themeFillTint="33"/>
          </w:tcPr>
          <w:p w14:paraId="24C31887" w14:textId="77777777" w:rsidR="00FF7799" w:rsidRPr="00E73F6F" w:rsidRDefault="00FF7799" w:rsidP="0065007A">
            <w:pPr>
              <w:pStyle w:val="StandardText"/>
              <w:jc w:val="left"/>
              <w:rPr>
                <w:lang w:bidi="en-US"/>
              </w:rPr>
            </w:pPr>
            <w:r w:rsidRPr="00E73F6F">
              <w:rPr>
                <w:lang w:bidi="en-US"/>
              </w:rPr>
              <w:t>Unsicherheitsvermeidung</w:t>
            </w:r>
          </w:p>
          <w:p w14:paraId="6B90BD98" w14:textId="77777777" w:rsidR="00FF7799" w:rsidRPr="00E73F6F" w:rsidRDefault="00FF7799" w:rsidP="0065007A">
            <w:pPr>
              <w:pStyle w:val="StandardText"/>
              <w:jc w:val="left"/>
              <w:rPr>
                <w:lang w:bidi="en-US"/>
              </w:rPr>
            </w:pPr>
          </w:p>
          <w:p w14:paraId="2AC66628" w14:textId="77777777" w:rsidR="00FF7799" w:rsidRPr="00E73F6F" w:rsidRDefault="00FF7799" w:rsidP="0065007A">
            <w:pPr>
              <w:pStyle w:val="StandardText"/>
              <w:jc w:val="left"/>
              <w:rPr>
                <w:lang w:bidi="en-US"/>
              </w:rPr>
            </w:pPr>
            <w:r w:rsidRPr="00E73F6F">
              <w:rPr>
                <w:lang w:bidi="en-US"/>
              </w:rPr>
              <w:t>(‘uncertainty avoidance‘)</w:t>
            </w:r>
          </w:p>
        </w:tc>
        <w:tc>
          <w:tcPr>
            <w:tcW w:w="2266" w:type="dxa"/>
          </w:tcPr>
          <w:p w14:paraId="1849E2C7" w14:textId="77777777" w:rsidR="00FF7799" w:rsidRPr="00E73F6F" w:rsidRDefault="00FF7799" w:rsidP="0065007A">
            <w:pPr>
              <w:pStyle w:val="StandardText"/>
              <w:jc w:val="left"/>
              <w:rPr>
                <w:lang w:bidi="en-US"/>
              </w:rPr>
            </w:pPr>
            <w:r w:rsidRPr="00E73F6F">
              <w:rPr>
                <w:lang w:bidi="en-US"/>
              </w:rPr>
              <w:t>In welchem Maße wird versucht, Unsicherheit zu meiden bzw. zu reduzieren (indem die Gesellschaft mehr Wert auf Tradition, soziale Normen, Rituale und bürokratische Prozeduren legt als auf Neuerungen)?</w:t>
            </w:r>
          </w:p>
        </w:tc>
        <w:tc>
          <w:tcPr>
            <w:tcW w:w="2265" w:type="dxa"/>
          </w:tcPr>
          <w:p w14:paraId="658DA264" w14:textId="77777777" w:rsidR="00FF7799" w:rsidRPr="00E35FFF" w:rsidRDefault="00FF7799" w:rsidP="0065007A">
            <w:pPr>
              <w:pStyle w:val="StandardText"/>
              <w:jc w:val="left"/>
              <w:rPr>
                <w:lang w:val="en-US" w:bidi="en-US"/>
              </w:rPr>
            </w:pPr>
            <w:r w:rsidRPr="00E35FFF">
              <w:rPr>
                <w:lang w:val="en-US" w:bidi="en-US"/>
              </w:rPr>
              <w:t>„Most people lead (should lead) highly structured lives with few unexpected events.”</w:t>
            </w:r>
          </w:p>
        </w:tc>
        <w:tc>
          <w:tcPr>
            <w:tcW w:w="2266" w:type="dxa"/>
          </w:tcPr>
          <w:p w14:paraId="059BB5B7" w14:textId="77777777" w:rsidR="00FF7799" w:rsidRPr="00E73F6F" w:rsidRDefault="00FF7799" w:rsidP="0065007A">
            <w:pPr>
              <w:pStyle w:val="StandardText"/>
              <w:jc w:val="left"/>
              <w:rPr>
                <w:lang w:bidi="en-US"/>
              </w:rPr>
            </w:pPr>
            <w:r w:rsidRPr="00E73F6F">
              <w:rPr>
                <w:i/>
                <w:lang w:bidi="en-US"/>
              </w:rPr>
              <w:t>Hofstede</w:t>
            </w:r>
            <w:r w:rsidRPr="00E73F6F">
              <w:rPr>
                <w:lang w:bidi="en-US"/>
              </w:rPr>
              <w:t>-Studie</w:t>
            </w:r>
          </w:p>
        </w:tc>
      </w:tr>
      <w:tr w:rsidR="00FF7799" w:rsidRPr="00E73F6F" w14:paraId="061AE252" w14:textId="77777777" w:rsidTr="00FB26A6">
        <w:tc>
          <w:tcPr>
            <w:tcW w:w="2265" w:type="dxa"/>
            <w:shd w:val="clear" w:color="auto" w:fill="FFF2CC" w:themeFill="accent4" w:themeFillTint="33"/>
          </w:tcPr>
          <w:p w14:paraId="5591398B" w14:textId="77777777" w:rsidR="00FF7799" w:rsidRPr="00E73F6F" w:rsidRDefault="00FF7799" w:rsidP="0065007A">
            <w:pPr>
              <w:pStyle w:val="StandardText"/>
              <w:jc w:val="left"/>
              <w:rPr>
                <w:lang w:bidi="en-US"/>
              </w:rPr>
            </w:pPr>
            <w:r w:rsidRPr="00E73F6F">
              <w:rPr>
                <w:lang w:bidi="en-US"/>
              </w:rPr>
              <w:t>Akzeptanz von Machtdistanz</w:t>
            </w:r>
          </w:p>
          <w:p w14:paraId="3F597372" w14:textId="77777777" w:rsidR="00FF7799" w:rsidRPr="00E73F6F" w:rsidRDefault="00FF7799" w:rsidP="0065007A">
            <w:pPr>
              <w:pStyle w:val="StandardText"/>
              <w:jc w:val="left"/>
              <w:rPr>
                <w:lang w:bidi="en-US"/>
              </w:rPr>
            </w:pPr>
            <w:r w:rsidRPr="00E73F6F">
              <w:rPr>
                <w:lang w:bidi="en-US"/>
              </w:rPr>
              <w:t>(‘power distance‘)</w:t>
            </w:r>
          </w:p>
        </w:tc>
        <w:tc>
          <w:tcPr>
            <w:tcW w:w="2266" w:type="dxa"/>
          </w:tcPr>
          <w:p w14:paraId="65AEB01B" w14:textId="77777777" w:rsidR="00FF7799" w:rsidRPr="00E73F6F" w:rsidRDefault="00FF7799" w:rsidP="0065007A">
            <w:pPr>
              <w:pStyle w:val="StandardText"/>
              <w:jc w:val="left"/>
              <w:rPr>
                <w:lang w:bidi="en-US"/>
              </w:rPr>
            </w:pPr>
            <w:r w:rsidRPr="00E73F6F">
              <w:rPr>
                <w:lang w:bidi="en-US"/>
              </w:rPr>
              <w:t>In welchem Maße erwarten und akzeptieren die Mitglieder einer Gesellschaft/Organisation, dass Macht ungleich verteilt und auf die höheren Ebenen der Gesellschaft/Organisation konzentriert ist?</w:t>
            </w:r>
          </w:p>
        </w:tc>
        <w:tc>
          <w:tcPr>
            <w:tcW w:w="2265" w:type="dxa"/>
          </w:tcPr>
          <w:p w14:paraId="79A6F7E3" w14:textId="77777777" w:rsidR="00FF7799" w:rsidRPr="00E35FFF" w:rsidRDefault="00FF7799" w:rsidP="0065007A">
            <w:pPr>
              <w:pStyle w:val="StandardText"/>
              <w:jc w:val="left"/>
              <w:rPr>
                <w:lang w:val="en-US"/>
              </w:rPr>
            </w:pPr>
            <w:r w:rsidRPr="00E35FFF">
              <w:rPr>
                <w:lang w:val="en-US"/>
              </w:rPr>
              <w:t>„Followers are (should be) expected to obey their leaders without questions.”</w:t>
            </w:r>
          </w:p>
        </w:tc>
        <w:tc>
          <w:tcPr>
            <w:tcW w:w="2266" w:type="dxa"/>
          </w:tcPr>
          <w:p w14:paraId="1580B7E1" w14:textId="77777777" w:rsidR="00FF7799" w:rsidRPr="00E73F6F" w:rsidRDefault="00FF7799" w:rsidP="0065007A">
            <w:pPr>
              <w:pStyle w:val="StandardText"/>
              <w:jc w:val="left"/>
              <w:rPr>
                <w:lang w:bidi="en-US"/>
              </w:rPr>
            </w:pPr>
            <w:r w:rsidRPr="00E73F6F">
              <w:rPr>
                <w:i/>
                <w:lang w:bidi="en-US"/>
              </w:rPr>
              <w:t>Hofstede</w:t>
            </w:r>
            <w:r w:rsidRPr="00E73F6F">
              <w:rPr>
                <w:lang w:bidi="en-US"/>
              </w:rPr>
              <w:t>-Studie</w:t>
            </w:r>
          </w:p>
        </w:tc>
      </w:tr>
      <w:tr w:rsidR="00FF7799" w:rsidRPr="00E73F6F" w14:paraId="5280E8EB" w14:textId="77777777" w:rsidTr="00FB26A6">
        <w:tc>
          <w:tcPr>
            <w:tcW w:w="2265" w:type="dxa"/>
            <w:shd w:val="clear" w:color="auto" w:fill="FFF2CC" w:themeFill="accent4" w:themeFillTint="33"/>
          </w:tcPr>
          <w:p w14:paraId="50692460" w14:textId="77777777" w:rsidR="00C66133" w:rsidRDefault="00FF7799" w:rsidP="00C66133">
            <w:pPr>
              <w:pStyle w:val="StandardText"/>
              <w:spacing w:line="160" w:lineRule="exact"/>
              <w:jc w:val="left"/>
              <w:rPr>
                <w:lang w:bidi="en-US"/>
              </w:rPr>
            </w:pPr>
            <w:r w:rsidRPr="00E73F6F">
              <w:rPr>
                <w:lang w:bidi="en-US"/>
              </w:rPr>
              <w:t xml:space="preserve">Institutioneller </w:t>
            </w:r>
          </w:p>
          <w:p w14:paraId="6CA566BE" w14:textId="77777777" w:rsidR="00FF7799" w:rsidRPr="00E73F6F" w:rsidRDefault="00FF7799" w:rsidP="00C66133">
            <w:pPr>
              <w:pStyle w:val="StandardText"/>
              <w:spacing w:line="160" w:lineRule="exact"/>
              <w:jc w:val="left"/>
              <w:rPr>
                <w:lang w:bidi="en-US"/>
              </w:rPr>
            </w:pPr>
            <w:r w:rsidRPr="00E73F6F">
              <w:rPr>
                <w:lang w:bidi="en-US"/>
              </w:rPr>
              <w:t>Kollektivismus</w:t>
            </w:r>
          </w:p>
          <w:p w14:paraId="20636822" w14:textId="77777777" w:rsidR="00FF7799" w:rsidRPr="00E73F6F" w:rsidRDefault="00FF7799" w:rsidP="0065007A">
            <w:pPr>
              <w:pStyle w:val="StandardText"/>
              <w:jc w:val="left"/>
              <w:rPr>
                <w:lang w:bidi="en-US"/>
              </w:rPr>
            </w:pPr>
            <w:r w:rsidRPr="00E73F6F">
              <w:rPr>
                <w:lang w:bidi="en-US"/>
              </w:rPr>
              <w:t>(‘institutional collectivism‘)</w:t>
            </w:r>
          </w:p>
        </w:tc>
        <w:tc>
          <w:tcPr>
            <w:tcW w:w="2266" w:type="dxa"/>
          </w:tcPr>
          <w:p w14:paraId="209EA36A" w14:textId="77777777" w:rsidR="00FF7799" w:rsidRPr="00E73F6F" w:rsidRDefault="00FF7799" w:rsidP="0065007A">
            <w:pPr>
              <w:pStyle w:val="StandardText"/>
              <w:jc w:val="left"/>
              <w:rPr>
                <w:lang w:bidi="en-US"/>
              </w:rPr>
            </w:pPr>
            <w:r w:rsidRPr="00E73F6F">
              <w:rPr>
                <w:lang w:bidi="en-US"/>
              </w:rPr>
              <w:t>In welchem Maße fördern und belohnen gesellschaftliche und organisatorische institutionelle Praktiken gemeinsames Handeln und die kollektive Verteilung von Ressourcen?</w:t>
            </w:r>
          </w:p>
        </w:tc>
        <w:tc>
          <w:tcPr>
            <w:tcW w:w="2265" w:type="dxa"/>
          </w:tcPr>
          <w:p w14:paraId="00EFE2CB" w14:textId="77777777" w:rsidR="00FF7799" w:rsidRPr="00E35FFF" w:rsidRDefault="00FF7799" w:rsidP="0065007A">
            <w:pPr>
              <w:pStyle w:val="StandardText"/>
              <w:jc w:val="left"/>
              <w:rPr>
                <w:lang w:val="en-US" w:bidi="en-US"/>
              </w:rPr>
            </w:pPr>
            <w:r w:rsidRPr="00E35FFF">
              <w:rPr>
                <w:lang w:val="en-US" w:bidi="en-US"/>
              </w:rPr>
              <w:t xml:space="preserve">„Leaders encourage (should encourage) group loyalty even if individual goals suffer.” </w:t>
            </w:r>
          </w:p>
        </w:tc>
        <w:tc>
          <w:tcPr>
            <w:tcW w:w="2266" w:type="dxa"/>
            <w:vMerge w:val="restart"/>
          </w:tcPr>
          <w:p w14:paraId="0DDC2B97" w14:textId="77777777" w:rsidR="00FF7799" w:rsidRPr="00E73F6F" w:rsidRDefault="00FF7799" w:rsidP="0065007A">
            <w:pPr>
              <w:pStyle w:val="StandardText"/>
              <w:jc w:val="left"/>
            </w:pPr>
            <w:r w:rsidRPr="00E73F6F">
              <w:t xml:space="preserve">Ergebnis der Aufspaltung der bipolaren </w:t>
            </w:r>
            <w:r w:rsidRPr="00E73F6F">
              <w:rPr>
                <w:i/>
              </w:rPr>
              <w:t>Hofstede</w:t>
            </w:r>
            <w:r w:rsidRPr="00E73F6F">
              <w:t xml:space="preserve">-Kulturdimension „Individualismus vs. Kollektivismus“ in zwei unipolare Skalen („institutioneller Kollektivismus“ und „Gruppenkollektivismus“). Mitunter wird die Dimension Gruppenkollektivismus auch als Familienkollektivismus bezeichnet (vgl. Javidan et al. 2006, S.907). </w:t>
            </w:r>
          </w:p>
        </w:tc>
      </w:tr>
      <w:tr w:rsidR="00FF7799" w:rsidRPr="00E17A2B" w14:paraId="3FA60FE6" w14:textId="77777777" w:rsidTr="00FB26A6">
        <w:tc>
          <w:tcPr>
            <w:tcW w:w="2265" w:type="dxa"/>
            <w:shd w:val="clear" w:color="auto" w:fill="FFF2CC" w:themeFill="accent4" w:themeFillTint="33"/>
          </w:tcPr>
          <w:p w14:paraId="36745308" w14:textId="77777777" w:rsidR="00FF7799" w:rsidRPr="00E73F6F" w:rsidRDefault="00FF7799" w:rsidP="0065007A">
            <w:pPr>
              <w:pStyle w:val="StandardText"/>
              <w:jc w:val="left"/>
              <w:rPr>
                <w:lang w:bidi="en-US"/>
              </w:rPr>
            </w:pPr>
            <w:r w:rsidRPr="00E73F6F">
              <w:rPr>
                <w:lang w:bidi="en-US"/>
              </w:rPr>
              <w:t>Gruppen-</w:t>
            </w:r>
            <w:r w:rsidRPr="00E73F6F">
              <w:rPr>
                <w:lang w:bidi="en-US"/>
              </w:rPr>
              <w:br/>
              <w:t>kollektivismus</w:t>
            </w:r>
          </w:p>
          <w:p w14:paraId="27A218FF" w14:textId="77777777" w:rsidR="00FF7799" w:rsidRPr="00E73F6F" w:rsidRDefault="00FF7799" w:rsidP="0065007A">
            <w:pPr>
              <w:pStyle w:val="StandardText"/>
              <w:jc w:val="left"/>
              <w:rPr>
                <w:lang w:bidi="en-US"/>
              </w:rPr>
            </w:pPr>
            <w:r w:rsidRPr="00E73F6F">
              <w:rPr>
                <w:lang w:bidi="en-US"/>
              </w:rPr>
              <w:t>(‘in-group collectivism‘)</w:t>
            </w:r>
          </w:p>
        </w:tc>
        <w:tc>
          <w:tcPr>
            <w:tcW w:w="2266" w:type="dxa"/>
          </w:tcPr>
          <w:p w14:paraId="10A5C63B" w14:textId="77777777" w:rsidR="00FF7799" w:rsidRPr="00E73F6F" w:rsidRDefault="00FF7799" w:rsidP="0065007A">
            <w:pPr>
              <w:pStyle w:val="StandardText"/>
              <w:jc w:val="left"/>
              <w:rPr>
                <w:lang w:bidi="en-US"/>
              </w:rPr>
            </w:pPr>
            <w:r w:rsidRPr="00E73F6F">
              <w:rPr>
                <w:lang w:bidi="en-US"/>
              </w:rPr>
              <w:t>In welchem Maße sind die Mitglieder einer Gruppe (Familie, Organisation etc.) stolz auf ihre Gruppenzugehörigkeit und loyal gegenüber dieser Gruppe?</w:t>
            </w:r>
          </w:p>
        </w:tc>
        <w:tc>
          <w:tcPr>
            <w:tcW w:w="2265" w:type="dxa"/>
          </w:tcPr>
          <w:p w14:paraId="42B285DF" w14:textId="77777777" w:rsidR="00FF7799" w:rsidRPr="00E35FFF" w:rsidRDefault="00FF7799" w:rsidP="0065007A">
            <w:pPr>
              <w:pStyle w:val="StandardText"/>
              <w:jc w:val="left"/>
              <w:rPr>
                <w:lang w:val="en-US" w:bidi="en-US"/>
              </w:rPr>
            </w:pPr>
            <w:r w:rsidRPr="00E35FFF">
              <w:rPr>
                <w:lang w:val="en-US" w:bidi="en-US"/>
              </w:rPr>
              <w:t>„Employees feel (should feel) great loyalty towards this organization.”</w:t>
            </w:r>
          </w:p>
        </w:tc>
        <w:tc>
          <w:tcPr>
            <w:tcW w:w="2266" w:type="dxa"/>
            <w:vMerge/>
          </w:tcPr>
          <w:p w14:paraId="55C69DF1" w14:textId="77777777" w:rsidR="00FF7799" w:rsidRPr="00E35FFF" w:rsidRDefault="00FF7799" w:rsidP="0065007A">
            <w:pPr>
              <w:pStyle w:val="StandardText"/>
              <w:jc w:val="left"/>
              <w:rPr>
                <w:lang w:val="en-US" w:bidi="en-US"/>
              </w:rPr>
            </w:pPr>
          </w:p>
        </w:tc>
      </w:tr>
      <w:tr w:rsidR="00FF7799" w:rsidRPr="00E73F6F" w14:paraId="7E3FD3DE" w14:textId="77777777" w:rsidTr="00FB26A6">
        <w:tc>
          <w:tcPr>
            <w:tcW w:w="2265" w:type="dxa"/>
            <w:shd w:val="clear" w:color="auto" w:fill="FFF2CC" w:themeFill="accent4" w:themeFillTint="33"/>
          </w:tcPr>
          <w:p w14:paraId="60BCD33A" w14:textId="77777777" w:rsidR="00FF7799" w:rsidRPr="00E73F6F" w:rsidRDefault="00FF7799" w:rsidP="0065007A">
            <w:pPr>
              <w:pStyle w:val="StandardText"/>
              <w:jc w:val="left"/>
              <w:rPr>
                <w:lang w:bidi="en-US"/>
              </w:rPr>
            </w:pPr>
            <w:r w:rsidRPr="00E73F6F">
              <w:rPr>
                <w:lang w:bidi="en-US"/>
              </w:rPr>
              <w:t>Geschlechter-</w:t>
            </w:r>
            <w:r w:rsidRPr="00E73F6F">
              <w:rPr>
                <w:lang w:bidi="en-US"/>
              </w:rPr>
              <w:br/>
              <w:t>gleichheit</w:t>
            </w:r>
          </w:p>
          <w:p w14:paraId="47004EC2" w14:textId="77777777" w:rsidR="00FF7799" w:rsidRPr="00E73F6F" w:rsidRDefault="00FF7799" w:rsidP="0065007A">
            <w:pPr>
              <w:pStyle w:val="StandardText"/>
              <w:jc w:val="left"/>
              <w:rPr>
                <w:lang w:bidi="en-US"/>
              </w:rPr>
            </w:pPr>
            <w:r w:rsidRPr="00E73F6F">
              <w:rPr>
                <w:lang w:bidi="en-US"/>
              </w:rPr>
              <w:t>(‘gender egalitarianism‘)</w:t>
            </w:r>
          </w:p>
        </w:tc>
        <w:tc>
          <w:tcPr>
            <w:tcW w:w="2266" w:type="dxa"/>
          </w:tcPr>
          <w:p w14:paraId="71DA3786" w14:textId="77777777" w:rsidR="00FF7799" w:rsidRPr="00E73F6F" w:rsidRDefault="00FF7799" w:rsidP="0065007A">
            <w:pPr>
              <w:pStyle w:val="StandardText"/>
              <w:jc w:val="left"/>
              <w:rPr>
                <w:lang w:bidi="en-US"/>
              </w:rPr>
            </w:pPr>
            <w:r w:rsidRPr="00E73F6F">
              <w:rPr>
                <w:lang w:bidi="en-US"/>
              </w:rPr>
              <w:t xml:space="preserve">In welchem Maße fördert eine Gesellschaft/Organisation die Gleichbehandlung der Geschlechter? </w:t>
            </w:r>
          </w:p>
        </w:tc>
        <w:tc>
          <w:tcPr>
            <w:tcW w:w="2265" w:type="dxa"/>
          </w:tcPr>
          <w:p w14:paraId="5B9101B8" w14:textId="77777777" w:rsidR="00FF7799" w:rsidRPr="00E73F6F" w:rsidRDefault="00FF7799" w:rsidP="0065007A">
            <w:pPr>
              <w:pStyle w:val="StandardText"/>
              <w:jc w:val="left"/>
              <w:rPr>
                <w:lang w:bidi="en-US"/>
              </w:rPr>
            </w:pPr>
            <w:r w:rsidRPr="00E35FFF">
              <w:rPr>
                <w:lang w:val="en-US" w:bidi="en-US"/>
              </w:rPr>
              <w:t xml:space="preserve">„Boys are encouraged (should be encouraged) more than girls to attain a higher education.” </w:t>
            </w:r>
            <w:r w:rsidRPr="00E73F6F">
              <w:rPr>
                <w:i/>
                <w:lang w:bidi="en-US"/>
              </w:rPr>
              <w:t>(scored inversely)</w:t>
            </w:r>
          </w:p>
        </w:tc>
        <w:tc>
          <w:tcPr>
            <w:tcW w:w="2266" w:type="dxa"/>
            <w:vMerge w:val="restart"/>
          </w:tcPr>
          <w:p w14:paraId="64FBDB5D" w14:textId="77777777" w:rsidR="00FF7799" w:rsidRPr="00E73F6F" w:rsidRDefault="00FF7799" w:rsidP="0065007A">
            <w:pPr>
              <w:pStyle w:val="StandardText"/>
              <w:jc w:val="left"/>
              <w:rPr>
                <w:lang w:bidi="en-US"/>
              </w:rPr>
            </w:pPr>
            <w:r w:rsidRPr="00E73F6F">
              <w:rPr>
                <w:lang w:bidi="en-US"/>
              </w:rPr>
              <w:t xml:space="preserve">Ergebnis der Aufspaltung der bipolaren </w:t>
            </w:r>
            <w:r w:rsidRPr="00E73F6F">
              <w:rPr>
                <w:i/>
                <w:lang w:bidi="en-US"/>
              </w:rPr>
              <w:t>Hofstede</w:t>
            </w:r>
            <w:r w:rsidRPr="00E73F6F">
              <w:rPr>
                <w:lang w:bidi="en-US"/>
              </w:rPr>
              <w:t xml:space="preserve">-Kulturdimension „Maskulinität vs. Feminität“ in zwei unipolare </w:t>
            </w:r>
            <w:r w:rsidRPr="00E73F6F">
              <w:rPr>
                <w:lang w:bidi="en-US"/>
              </w:rPr>
              <w:lastRenderedPageBreak/>
              <w:t>Skalen („Geschlechtergleichheit“ und „Durchsetzungsfähigkeit“)</w:t>
            </w:r>
          </w:p>
          <w:p w14:paraId="2D1B71BA" w14:textId="77777777" w:rsidR="00FF7799" w:rsidRPr="00E73F6F" w:rsidRDefault="00FF7799" w:rsidP="0065007A">
            <w:pPr>
              <w:pStyle w:val="StandardText"/>
              <w:jc w:val="left"/>
              <w:rPr>
                <w:lang w:bidi="en-US"/>
              </w:rPr>
            </w:pPr>
          </w:p>
          <w:p w14:paraId="10E6B87A" w14:textId="77777777" w:rsidR="00FF7799" w:rsidRPr="00E73F6F" w:rsidRDefault="00FF7799" w:rsidP="0065007A">
            <w:pPr>
              <w:pStyle w:val="StandardText"/>
              <w:jc w:val="left"/>
              <w:rPr>
                <w:lang w:bidi="en-US"/>
              </w:rPr>
            </w:pPr>
          </w:p>
        </w:tc>
      </w:tr>
      <w:tr w:rsidR="00FF7799" w:rsidRPr="00E17A2B" w14:paraId="7A225EE4" w14:textId="77777777" w:rsidTr="00FB26A6">
        <w:tc>
          <w:tcPr>
            <w:tcW w:w="2265" w:type="dxa"/>
            <w:shd w:val="clear" w:color="auto" w:fill="FFF2CC" w:themeFill="accent4" w:themeFillTint="33"/>
          </w:tcPr>
          <w:p w14:paraId="71AFEAA6" w14:textId="77777777" w:rsidR="00FF7799" w:rsidRPr="00E73F6F" w:rsidRDefault="00FF7799" w:rsidP="0065007A">
            <w:pPr>
              <w:pStyle w:val="StandardText"/>
              <w:jc w:val="left"/>
              <w:rPr>
                <w:lang w:bidi="en-US"/>
              </w:rPr>
            </w:pPr>
            <w:r w:rsidRPr="00E73F6F">
              <w:rPr>
                <w:lang w:bidi="en-US"/>
              </w:rPr>
              <w:lastRenderedPageBreak/>
              <w:t>Durchsetzungs-</w:t>
            </w:r>
            <w:r w:rsidRPr="00E73F6F">
              <w:rPr>
                <w:lang w:bidi="en-US"/>
              </w:rPr>
              <w:br/>
              <w:t>fähigkeit</w:t>
            </w:r>
          </w:p>
          <w:p w14:paraId="04C9DE04" w14:textId="77777777" w:rsidR="00FF7799" w:rsidRPr="00E73F6F" w:rsidRDefault="00FF7799" w:rsidP="0065007A">
            <w:pPr>
              <w:pStyle w:val="StandardText"/>
              <w:jc w:val="left"/>
              <w:rPr>
                <w:lang w:bidi="en-US"/>
              </w:rPr>
            </w:pPr>
            <w:r w:rsidRPr="00E73F6F">
              <w:rPr>
                <w:lang w:bidi="en-US"/>
              </w:rPr>
              <w:t>(‘assertiveness‘)</w:t>
            </w:r>
          </w:p>
        </w:tc>
        <w:tc>
          <w:tcPr>
            <w:tcW w:w="2266" w:type="dxa"/>
          </w:tcPr>
          <w:p w14:paraId="4F56EEBB" w14:textId="77777777" w:rsidR="00FF7799" w:rsidRPr="00E73F6F" w:rsidRDefault="00FF7799" w:rsidP="0065007A">
            <w:pPr>
              <w:pStyle w:val="StandardText"/>
              <w:jc w:val="left"/>
              <w:rPr>
                <w:lang w:bidi="en-US"/>
              </w:rPr>
            </w:pPr>
            <w:r w:rsidRPr="00E73F6F">
              <w:rPr>
                <w:lang w:bidi="en-US"/>
              </w:rPr>
              <w:t>In welchem Maße gehen die Mitglieder einer Gesellschaft/Organisation bestimmt, selbstsicher und u. U. aggressiv miteinander um, wenn sie ihre Interessen durchsetzen wollen?</w:t>
            </w:r>
          </w:p>
        </w:tc>
        <w:tc>
          <w:tcPr>
            <w:tcW w:w="2265" w:type="dxa"/>
          </w:tcPr>
          <w:p w14:paraId="55116D60" w14:textId="77777777" w:rsidR="00FF7799" w:rsidRPr="00E35FFF" w:rsidRDefault="00FF7799" w:rsidP="0065007A">
            <w:pPr>
              <w:pStyle w:val="StandardText"/>
              <w:jc w:val="left"/>
              <w:rPr>
                <w:lang w:val="en-US" w:bidi="en-US"/>
              </w:rPr>
            </w:pPr>
            <w:r w:rsidRPr="00E35FFF">
              <w:rPr>
                <w:lang w:val="en-US" w:bidi="en-US"/>
              </w:rPr>
              <w:t>„People are (should be) generally dominant in their relationships with each other.”</w:t>
            </w:r>
          </w:p>
        </w:tc>
        <w:tc>
          <w:tcPr>
            <w:tcW w:w="2266" w:type="dxa"/>
            <w:vMerge/>
          </w:tcPr>
          <w:p w14:paraId="189DD5DE" w14:textId="77777777" w:rsidR="00FF7799" w:rsidRPr="00E35FFF" w:rsidRDefault="00FF7799" w:rsidP="0065007A">
            <w:pPr>
              <w:pStyle w:val="StandardText"/>
              <w:jc w:val="left"/>
              <w:rPr>
                <w:lang w:val="en-US" w:bidi="en-US"/>
              </w:rPr>
            </w:pPr>
          </w:p>
        </w:tc>
      </w:tr>
      <w:tr w:rsidR="00FF7799" w:rsidRPr="00E73F6F" w14:paraId="5B1676A2" w14:textId="77777777" w:rsidTr="00FB26A6">
        <w:tc>
          <w:tcPr>
            <w:tcW w:w="2265" w:type="dxa"/>
            <w:shd w:val="clear" w:color="auto" w:fill="FFF2CC" w:themeFill="accent4" w:themeFillTint="33"/>
          </w:tcPr>
          <w:p w14:paraId="139F4857" w14:textId="77777777" w:rsidR="00FF7799" w:rsidRPr="00E73F6F" w:rsidRDefault="00FF7799" w:rsidP="0065007A">
            <w:pPr>
              <w:pStyle w:val="StandardText"/>
              <w:jc w:val="left"/>
              <w:rPr>
                <w:lang w:bidi="en-US"/>
              </w:rPr>
            </w:pPr>
            <w:r w:rsidRPr="00E73F6F">
              <w:rPr>
                <w:lang w:bidi="en-US"/>
              </w:rPr>
              <w:t>Zukunfts-</w:t>
            </w:r>
            <w:r w:rsidRPr="00E73F6F">
              <w:rPr>
                <w:lang w:bidi="en-US"/>
              </w:rPr>
              <w:br/>
              <w:t>orientierung</w:t>
            </w:r>
          </w:p>
          <w:p w14:paraId="60A700A7" w14:textId="77777777" w:rsidR="00FF7799" w:rsidRPr="00E73F6F" w:rsidRDefault="00FF7799" w:rsidP="0065007A">
            <w:pPr>
              <w:pStyle w:val="StandardText"/>
              <w:jc w:val="left"/>
              <w:rPr>
                <w:lang w:bidi="en-US"/>
              </w:rPr>
            </w:pPr>
            <w:r w:rsidRPr="00E73F6F">
              <w:rPr>
                <w:lang w:bidi="en-US"/>
              </w:rPr>
              <w:t>(‘future orientation‘)</w:t>
            </w:r>
          </w:p>
        </w:tc>
        <w:tc>
          <w:tcPr>
            <w:tcW w:w="2266" w:type="dxa"/>
          </w:tcPr>
          <w:p w14:paraId="01D0F8B7" w14:textId="77777777" w:rsidR="00FF7799" w:rsidRPr="00E73F6F" w:rsidRDefault="00FF7799" w:rsidP="0065007A">
            <w:pPr>
              <w:pStyle w:val="StandardText"/>
              <w:jc w:val="left"/>
              <w:rPr>
                <w:lang w:bidi="en-US"/>
              </w:rPr>
            </w:pPr>
            <w:r w:rsidRPr="00E73F6F">
              <w:rPr>
                <w:lang w:bidi="en-US"/>
              </w:rPr>
              <w:t>Sind die Mitglieder einer Gesellschaft/Organisation eher bestrebt, den ‘status quo‘ zu erhalten und aktuelle Probleme zu lösen, oder handeln sie eher zukunftsbezogen?</w:t>
            </w:r>
          </w:p>
        </w:tc>
        <w:tc>
          <w:tcPr>
            <w:tcW w:w="2265" w:type="dxa"/>
          </w:tcPr>
          <w:p w14:paraId="48E22320" w14:textId="77777777" w:rsidR="00FF7799" w:rsidRPr="00E73F6F" w:rsidRDefault="00FF7799" w:rsidP="0065007A">
            <w:pPr>
              <w:pStyle w:val="StandardText"/>
              <w:jc w:val="left"/>
              <w:rPr>
                <w:lang w:bidi="en-US"/>
              </w:rPr>
            </w:pPr>
            <w:r w:rsidRPr="00E35FFF">
              <w:rPr>
                <w:lang w:val="en-US" w:bidi="en-US"/>
              </w:rPr>
              <w:t xml:space="preserve">„More people live (should live) for the present rather than for the future.” </w:t>
            </w:r>
            <w:r w:rsidRPr="00E73F6F">
              <w:rPr>
                <w:i/>
                <w:lang w:bidi="en-US"/>
              </w:rPr>
              <w:t>(scored inversely)</w:t>
            </w:r>
          </w:p>
        </w:tc>
        <w:tc>
          <w:tcPr>
            <w:tcW w:w="2266" w:type="dxa"/>
          </w:tcPr>
          <w:p w14:paraId="266A67A2" w14:textId="77777777" w:rsidR="00FF7799" w:rsidRPr="00E73F6F" w:rsidRDefault="00FF7799" w:rsidP="0065007A">
            <w:pPr>
              <w:pStyle w:val="StandardText"/>
              <w:jc w:val="left"/>
              <w:rPr>
                <w:lang w:bidi="en-US"/>
              </w:rPr>
            </w:pPr>
            <w:r w:rsidRPr="00E73F6F">
              <w:rPr>
                <w:lang w:bidi="en-US"/>
              </w:rPr>
              <w:t>Wertorientierung ‘time sense‘ (nach Kluckhohn/Strodtbeck; vgl. www.joe.org/joe/2001december/tt1.php)</w:t>
            </w:r>
          </w:p>
        </w:tc>
      </w:tr>
      <w:tr w:rsidR="00FF7799" w:rsidRPr="00E73F6F" w14:paraId="67B49120" w14:textId="77777777" w:rsidTr="00FB26A6">
        <w:tc>
          <w:tcPr>
            <w:tcW w:w="2265" w:type="dxa"/>
            <w:shd w:val="clear" w:color="auto" w:fill="FFF2CC" w:themeFill="accent4" w:themeFillTint="33"/>
          </w:tcPr>
          <w:p w14:paraId="07D21B51" w14:textId="77777777" w:rsidR="00FF7799" w:rsidRPr="00E73F6F" w:rsidRDefault="00FF7799" w:rsidP="0065007A">
            <w:pPr>
              <w:pStyle w:val="StandardText"/>
              <w:jc w:val="left"/>
              <w:rPr>
                <w:lang w:bidi="en-US"/>
              </w:rPr>
            </w:pPr>
            <w:r w:rsidRPr="00E73F6F">
              <w:rPr>
                <w:lang w:bidi="en-US"/>
              </w:rPr>
              <w:t>Leistungs-</w:t>
            </w:r>
            <w:r w:rsidRPr="00E73F6F">
              <w:rPr>
                <w:lang w:bidi="en-US"/>
              </w:rPr>
              <w:br/>
              <w:t>orientierung</w:t>
            </w:r>
          </w:p>
          <w:p w14:paraId="226EAC93" w14:textId="77777777" w:rsidR="00FF7799" w:rsidRPr="00E73F6F" w:rsidRDefault="00FF7799" w:rsidP="0065007A">
            <w:pPr>
              <w:pStyle w:val="StandardText"/>
              <w:jc w:val="left"/>
              <w:rPr>
                <w:lang w:bidi="en-US"/>
              </w:rPr>
            </w:pPr>
            <w:r w:rsidRPr="00E73F6F">
              <w:rPr>
                <w:lang w:bidi="en-US"/>
              </w:rPr>
              <w:t>(‘performance orientation‘)</w:t>
            </w:r>
          </w:p>
        </w:tc>
        <w:tc>
          <w:tcPr>
            <w:tcW w:w="2266" w:type="dxa"/>
          </w:tcPr>
          <w:p w14:paraId="0ADF3515" w14:textId="77777777" w:rsidR="00FF7799" w:rsidRPr="00E73F6F" w:rsidRDefault="00FF7799" w:rsidP="0065007A">
            <w:pPr>
              <w:pStyle w:val="StandardText"/>
              <w:jc w:val="left"/>
              <w:rPr>
                <w:lang w:bidi="en-US"/>
              </w:rPr>
            </w:pPr>
            <w:r w:rsidRPr="00E73F6F">
              <w:rPr>
                <w:lang w:bidi="en-US"/>
              </w:rPr>
              <w:t>In welchem Maße ermutigt eine Gesellschaft/Organisation etc. ihre Mitglieder, besondere Leistungen zu erbringen, und belohnt sie dafür?</w:t>
            </w:r>
          </w:p>
        </w:tc>
        <w:tc>
          <w:tcPr>
            <w:tcW w:w="2265" w:type="dxa"/>
          </w:tcPr>
          <w:p w14:paraId="30042A84" w14:textId="77777777" w:rsidR="00FF7799" w:rsidRPr="00E35FFF" w:rsidRDefault="00FF7799" w:rsidP="0065007A">
            <w:pPr>
              <w:pStyle w:val="StandardText"/>
              <w:jc w:val="left"/>
              <w:rPr>
                <w:lang w:val="en-US" w:bidi="en-US"/>
              </w:rPr>
            </w:pPr>
            <w:r w:rsidRPr="00E35FFF">
              <w:rPr>
                <w:lang w:val="en-US" w:bidi="en-US"/>
              </w:rPr>
              <w:t>„Students are encouraged (should be encouraged) to strive for continuously improved</w:t>
            </w:r>
            <w:r w:rsidRPr="00E35FFF">
              <w:rPr>
                <w:bCs/>
                <w:lang w:val="en-US"/>
              </w:rPr>
              <w:t xml:space="preserve"> </w:t>
            </w:r>
            <w:r w:rsidRPr="00E35FFF">
              <w:rPr>
                <w:lang w:val="en-US" w:bidi="en-US"/>
              </w:rPr>
              <w:t>performance.”</w:t>
            </w:r>
          </w:p>
        </w:tc>
        <w:tc>
          <w:tcPr>
            <w:tcW w:w="2266" w:type="dxa"/>
          </w:tcPr>
          <w:p w14:paraId="2ADFD329" w14:textId="77777777" w:rsidR="00FF7799" w:rsidRPr="00E73F6F" w:rsidRDefault="00FF7799" w:rsidP="0065007A">
            <w:pPr>
              <w:pStyle w:val="StandardText"/>
              <w:jc w:val="left"/>
              <w:rPr>
                <w:lang w:bidi="en-US"/>
              </w:rPr>
            </w:pPr>
            <w:r w:rsidRPr="00E73F6F">
              <w:rPr>
                <w:lang w:bidi="en-US"/>
              </w:rPr>
              <w:t>Konstrukt des individuellen Leistungsbedürfnisses (vgl. McClelland 1961) und Konstrukt der kollektiven Leistungsorientierung (vgl. Schein 1985)</w:t>
            </w:r>
          </w:p>
        </w:tc>
      </w:tr>
      <w:tr w:rsidR="00FF7799" w:rsidRPr="00E73F6F" w14:paraId="34C7F705" w14:textId="77777777" w:rsidTr="00FB26A6">
        <w:tc>
          <w:tcPr>
            <w:tcW w:w="2265" w:type="dxa"/>
            <w:shd w:val="clear" w:color="auto" w:fill="FFF2CC" w:themeFill="accent4" w:themeFillTint="33"/>
          </w:tcPr>
          <w:p w14:paraId="15307289" w14:textId="77777777" w:rsidR="00FF7799" w:rsidRPr="00E73F6F" w:rsidRDefault="00FF7799" w:rsidP="0065007A">
            <w:pPr>
              <w:pStyle w:val="StandardText"/>
              <w:jc w:val="left"/>
              <w:rPr>
                <w:lang w:bidi="en-US"/>
              </w:rPr>
            </w:pPr>
            <w:r w:rsidRPr="00E73F6F">
              <w:rPr>
                <w:lang w:bidi="en-US"/>
              </w:rPr>
              <w:t>Human-</w:t>
            </w:r>
            <w:r w:rsidRPr="00E73F6F">
              <w:rPr>
                <w:lang w:bidi="en-US"/>
              </w:rPr>
              <w:br/>
              <w:t>orientierung</w:t>
            </w:r>
          </w:p>
          <w:p w14:paraId="7EA6B98C" w14:textId="77777777" w:rsidR="00FF7799" w:rsidRPr="00E73F6F" w:rsidRDefault="00FF7799" w:rsidP="0065007A">
            <w:pPr>
              <w:pStyle w:val="StandardText"/>
              <w:jc w:val="left"/>
              <w:rPr>
                <w:lang w:bidi="en-US"/>
              </w:rPr>
            </w:pPr>
            <w:r w:rsidRPr="00E73F6F">
              <w:rPr>
                <w:lang w:bidi="en-US"/>
              </w:rPr>
              <w:t>(‘human orientation‘)</w:t>
            </w:r>
          </w:p>
        </w:tc>
        <w:tc>
          <w:tcPr>
            <w:tcW w:w="2266" w:type="dxa"/>
          </w:tcPr>
          <w:p w14:paraId="5D293083" w14:textId="77777777" w:rsidR="00FF7799" w:rsidRPr="00E73F6F" w:rsidRDefault="00FF7799" w:rsidP="0065007A">
            <w:pPr>
              <w:pStyle w:val="StandardText"/>
              <w:jc w:val="left"/>
              <w:rPr>
                <w:lang w:bidi="en-US"/>
              </w:rPr>
            </w:pPr>
            <w:r w:rsidRPr="00E73F6F">
              <w:rPr>
                <w:lang w:bidi="en-US"/>
              </w:rPr>
              <w:t>In welchem Maße ermutigt eine Gesellschaft/Organisation ihre Mitglieder zu Altruismus, Fairness, Freundlichkeit und Fürsorglichkeit und belohnt sie dafür.</w:t>
            </w:r>
          </w:p>
        </w:tc>
        <w:tc>
          <w:tcPr>
            <w:tcW w:w="2265" w:type="dxa"/>
          </w:tcPr>
          <w:p w14:paraId="1036E6C9" w14:textId="77777777" w:rsidR="00FF7799" w:rsidRPr="00E35FFF" w:rsidRDefault="00FF7799" w:rsidP="0065007A">
            <w:pPr>
              <w:pStyle w:val="StandardText"/>
              <w:jc w:val="left"/>
              <w:rPr>
                <w:lang w:val="en-US" w:bidi="en-US"/>
              </w:rPr>
            </w:pPr>
            <w:r w:rsidRPr="00E35FFF">
              <w:rPr>
                <w:lang w:val="en-US" w:bidi="en-US"/>
              </w:rPr>
              <w:t>„People are generally (should be generally) very tolerant to mistakes.”</w:t>
            </w:r>
          </w:p>
        </w:tc>
        <w:tc>
          <w:tcPr>
            <w:tcW w:w="2266" w:type="dxa"/>
          </w:tcPr>
          <w:p w14:paraId="254074A7" w14:textId="77777777" w:rsidR="00FF7799" w:rsidRPr="00E73F6F" w:rsidRDefault="00FF7799" w:rsidP="0065007A">
            <w:pPr>
              <w:pStyle w:val="StandardText"/>
              <w:jc w:val="left"/>
              <w:rPr>
                <w:lang w:bidi="en-US"/>
              </w:rPr>
            </w:pPr>
            <w:r w:rsidRPr="00E73F6F">
              <w:rPr>
                <w:lang w:bidi="en-US"/>
              </w:rPr>
              <w:t xml:space="preserve">Wertorientierung ‘human nature‘ (nach Kluckhohn/Strodtbeck; vgl. </w:t>
            </w:r>
            <w:hyperlink r:id="rId51" w:history="1">
              <w:r w:rsidRPr="00E73F6F">
                <w:rPr>
                  <w:rStyle w:val="Hyperlink"/>
                  <w:lang w:bidi="en-US"/>
                </w:rPr>
                <w:t>www.joe.org/joe/2001december/tt1.php</w:t>
              </w:r>
            </w:hyperlink>
            <w:r w:rsidRPr="00E73F6F">
              <w:rPr>
                <w:lang w:bidi="en-US"/>
              </w:rPr>
              <w:t>)</w:t>
            </w:r>
          </w:p>
        </w:tc>
      </w:tr>
    </w:tbl>
    <w:p w14:paraId="765C582D" w14:textId="77777777" w:rsidR="00FF7799" w:rsidRPr="00E73F6F" w:rsidRDefault="00FF7799" w:rsidP="0065007A">
      <w:pPr>
        <w:pStyle w:val="Quellen"/>
        <w:rPr>
          <w:lang w:bidi="en-US"/>
        </w:rPr>
      </w:pPr>
      <w:r w:rsidRPr="00E73F6F">
        <w:rPr>
          <w:lang w:bidi="en-US"/>
        </w:rPr>
        <w:t>Quelle: eigene Darstellung auf Basis von House/Javidan (2004, S.12ff.) und House et al. (2004, S.30).</w:t>
      </w:r>
    </w:p>
    <w:p w14:paraId="4FAF9CA0" w14:textId="77777777" w:rsidR="00FF7799" w:rsidRPr="00E73F6F" w:rsidRDefault="00FF7799" w:rsidP="00862DBA">
      <w:pPr>
        <w:widowControl/>
        <w:autoSpaceDE/>
        <w:autoSpaceDN/>
        <w:jc w:val="both"/>
        <w:rPr>
          <w:sz w:val="24"/>
          <w:szCs w:val="24"/>
          <w:lang w:bidi="en-US"/>
        </w:rPr>
      </w:pPr>
    </w:p>
    <w:p w14:paraId="1F187DB8" w14:textId="77777777" w:rsidR="00FF7799" w:rsidRPr="005D1E16" w:rsidRDefault="00FB26A6" w:rsidP="00535E2F">
      <w:pPr>
        <w:pStyle w:val="StandardText"/>
        <w:rPr>
          <w:lang w:bidi="en-US"/>
        </w:rPr>
      </w:pPr>
      <w:r w:rsidRPr="005D1E16">
        <w:rPr>
          <w:szCs w:val="24"/>
        </w:rPr>
        <w:t xml:space="preserve">Bei den </w:t>
      </w:r>
      <w:r w:rsidR="00FF7799" w:rsidRPr="005D1E16">
        <w:rPr>
          <w:szCs w:val="24"/>
        </w:rPr>
        <w:t>Positionen der 62 betrachteten Länder bzw. Regionen auf den GLOBE-Kulturd</w:t>
      </w:r>
      <w:r w:rsidRPr="005D1E16">
        <w:rPr>
          <w:szCs w:val="24"/>
        </w:rPr>
        <w:t xml:space="preserve">imensionen </w:t>
      </w:r>
      <w:r w:rsidR="00FF7799" w:rsidRPr="005D1E16">
        <w:rPr>
          <w:szCs w:val="24"/>
        </w:rPr>
        <w:t xml:space="preserve">ist zu bedenken, dass es sich um sog. ‘response-bias corrected values‘ handelt. </w:t>
      </w:r>
      <w:r w:rsidR="00FF7799" w:rsidRPr="005D1E16">
        <w:rPr>
          <w:lang w:bidi="en-US"/>
        </w:rPr>
        <w:t xml:space="preserve">Sie sollen dem Umstand Rechnung tragen, dass die Rohwerte kulturvergleichender Untersuchungen wegen der Kulturspezifität von </w:t>
      </w:r>
      <w:r w:rsidRPr="005D1E16">
        <w:rPr>
          <w:b/>
        </w:rPr>
        <w:sym w:font="Symbol" w:char="F0DE"/>
      </w:r>
      <w:r w:rsidR="00FF7799" w:rsidRPr="005D1E16">
        <w:rPr>
          <w:lang w:bidi="en-US"/>
        </w:rPr>
        <w:t xml:space="preserve"> Antworttendenzen nicht ohne weiteres miteinander vergleichbar sind (vgl. Hoffmann et al. 2013). Während etwa im konfuzianischen Kulturraum die – unentschiedene – mittlere Antwortkategorie auffällig häufig bevorzugt wird (= Tendenz zur Mitte), neigen Angehörige des individualistisch-angelsächsischen Kulturraumes dazu, die gesamte Skalenbreite zu nutzen. Sie scheuen sich auch nicht, „extreme“ Antworten zu geben (z.B.</w:t>
      </w:r>
      <w:r w:rsidR="00FF7799" w:rsidRPr="00E73F6F">
        <w:rPr>
          <w:lang w:bidi="en-US"/>
        </w:rPr>
        <w:t xml:space="preserve"> </w:t>
      </w:r>
      <w:r w:rsidR="00FF7799" w:rsidRPr="005D1E16">
        <w:rPr>
          <w:lang w:bidi="en-US"/>
        </w:rPr>
        <w:lastRenderedPageBreak/>
        <w:t>„stimme voll und ganz zu“; vgl. Baumgartner/Steenkamp 2001). Die deshalb durchgeführte ‘response-bias correction procedure‘ vollzieht sich in drei Schritten:</w:t>
      </w:r>
    </w:p>
    <w:p w14:paraId="099BBC49" w14:textId="77777777" w:rsidR="00FF7799" w:rsidRPr="005D1E16" w:rsidRDefault="00FF7799" w:rsidP="00A31BCB">
      <w:pPr>
        <w:pStyle w:val="StandardTextAufzhlung"/>
        <w:ind w:left="426"/>
        <w:rPr>
          <w:lang w:bidi="en-US"/>
        </w:rPr>
      </w:pPr>
      <w:r w:rsidRPr="005D1E16">
        <w:rPr>
          <w:lang w:bidi="en-US"/>
        </w:rPr>
        <w:t>Für jede Auskunftsperson werden der Mittelwert aller Items und die Standardabweichung ermittelt.</w:t>
      </w:r>
    </w:p>
    <w:p w14:paraId="3692F817" w14:textId="77777777" w:rsidR="00FF7799" w:rsidRPr="005D1E16" w:rsidRDefault="00FF7799" w:rsidP="00A31BCB">
      <w:pPr>
        <w:pStyle w:val="StandardTextAufzhlung"/>
        <w:ind w:left="426"/>
        <w:rPr>
          <w:lang w:bidi="en-US"/>
        </w:rPr>
      </w:pPr>
      <w:r w:rsidRPr="005D1E16">
        <w:rPr>
          <w:lang w:bidi="en-US"/>
        </w:rPr>
        <w:t>Der so berechnete individuelle Item-Mittelwert ist dann vom Rohwert jedes Items zu subtrahieren und durch die Standardabweichung zu dividieren.</w:t>
      </w:r>
    </w:p>
    <w:p w14:paraId="3F444D57" w14:textId="77777777" w:rsidR="00FF7799" w:rsidRPr="005D1E16" w:rsidRDefault="00FF7799" w:rsidP="00A31BCB">
      <w:pPr>
        <w:pStyle w:val="StandardTextAufzhlung"/>
        <w:ind w:left="426"/>
        <w:rPr>
          <w:lang w:bidi="en-US"/>
        </w:rPr>
      </w:pPr>
      <w:r w:rsidRPr="005D1E16">
        <w:rPr>
          <w:lang w:bidi="en-US"/>
        </w:rPr>
        <w:t>Dieser individuelle ‘corrected scale score‘ wird dann über alle Auskunftspersonen, die einer bestimmten Kultur angehören, aggregiert.</w:t>
      </w:r>
    </w:p>
    <w:p w14:paraId="0FA9B819" w14:textId="77777777" w:rsidR="00A31BCB" w:rsidRDefault="00A31BCB" w:rsidP="00535E2F">
      <w:pPr>
        <w:pStyle w:val="StandardText"/>
        <w:rPr>
          <w:lang w:bidi="en-US"/>
        </w:rPr>
      </w:pPr>
    </w:p>
    <w:p w14:paraId="3A57EB48" w14:textId="448DD178" w:rsidR="00FF7799" w:rsidRPr="005D1E16" w:rsidRDefault="00FF7799" w:rsidP="00535E2F">
      <w:pPr>
        <w:pStyle w:val="StandardText"/>
        <w:rPr>
          <w:lang w:bidi="en-US"/>
        </w:rPr>
      </w:pPr>
      <w:r w:rsidRPr="005D1E16">
        <w:rPr>
          <w:lang w:bidi="en-US"/>
        </w:rPr>
        <w:t>Durch diese Umrechnungsprozedur verlieren die ‘response-bias corrected scores‘ jedoch ihre ursprünglichen Skaleneigenschaften (als siebenstufige Intervallskala). Nunmehr handelt es sich um sog. Ipsative, d.h. „auf sich selbst bezogene“ Messwerte, die jeweils in Relation zu den Messwerten aller Angehörigen der Stichprobe zu interpretieren sind. Um auch dieses Problem zu lösen, wurden aus den ‘corrected scale scores‘ (= UV) regressionsanalytisch ‘uncorrected scale scores‘ (= AV) ermittelt. Diese ‘predicted scores‘ sind wieder intervallskaliert und können entsprechend verarbeitet werden.</w:t>
      </w:r>
    </w:p>
    <w:p w14:paraId="59E9F97A" w14:textId="77777777" w:rsidR="00FF7799" w:rsidRPr="005D1E16" w:rsidRDefault="00FF7799" w:rsidP="00535E2F">
      <w:pPr>
        <w:pStyle w:val="StandardText"/>
        <w:rPr>
          <w:lang w:bidi="en-US"/>
        </w:rPr>
      </w:pPr>
    </w:p>
    <w:p w14:paraId="0014B2BD" w14:textId="77777777" w:rsidR="00FF7799" w:rsidRPr="005D1E16" w:rsidRDefault="00FF7799" w:rsidP="0065007A">
      <w:pPr>
        <w:pStyle w:val="StandardTextkursiv"/>
        <w:rPr>
          <w:i w:val="0"/>
          <w:lang w:bidi="en-US"/>
        </w:rPr>
      </w:pPr>
      <w:r w:rsidRPr="005D1E16">
        <w:rPr>
          <w:i w:val="0"/>
          <w:lang w:bidi="en-US"/>
        </w:rPr>
        <w:t>4 Kritische Würdigung</w:t>
      </w:r>
    </w:p>
    <w:p w14:paraId="3519A1FA" w14:textId="77777777" w:rsidR="00FF7799" w:rsidRPr="005D1E16" w:rsidRDefault="00FF7799" w:rsidP="009D2A8B">
      <w:pPr>
        <w:pStyle w:val="StandardTextkursiv"/>
        <w:rPr>
          <w:i w:val="0"/>
        </w:rPr>
      </w:pPr>
      <w:r w:rsidRPr="005D1E16">
        <w:rPr>
          <w:i w:val="0"/>
        </w:rPr>
        <w:t xml:space="preserve">4.1 Werte &amp; Praktiken </w:t>
      </w:r>
    </w:p>
    <w:p w14:paraId="3367B8D5" w14:textId="77777777" w:rsidR="00FF7799" w:rsidRPr="005D1E16" w:rsidRDefault="00FF7799" w:rsidP="00535E2F">
      <w:pPr>
        <w:pStyle w:val="StandardText"/>
      </w:pPr>
      <w:r w:rsidRPr="005D1E16">
        <w:t>Die Feststellung, dass das GLOBE-Konzept von der kulturvergleichenden Marketingforschung selten genutzt wird (vgl. Okazaki/Mueller 2007, S.504), ist nach wie vor zutreffend. Ein Grund mag, neben anderem, die Problematik der unklaren Beziehung zwischen der Ebene der ‘values‘ und der Ebene der ‘practices‘ sein.</w:t>
      </w:r>
    </w:p>
    <w:p w14:paraId="2D2A8FA8" w14:textId="77777777" w:rsidR="00FF7799" w:rsidRPr="005D1E16" w:rsidRDefault="00FF7799" w:rsidP="00535E2F">
      <w:pPr>
        <w:pStyle w:val="StandardText"/>
      </w:pPr>
      <w:r w:rsidRPr="005D1E16">
        <w:t>Entsprechend dem im „Zwiebelmodell“ unterstellten Zusammenhang zwischen Concepta und Percepta müssten die in der GLOBE-Studie identifizierten Werte (‘values‘) signifikant positiv mit den zugehörigen Verhaltensweisen (‘practices‘) korrelieren. Empirisch kann die ‘onion assumption‘ („that cultural values drive cultural practices“; Javidan et al. 2006a, S.900) jedoch nur im Falle der Kulturdimension „Geschlechtergleichheit“ bestätigt werden. Bei „Gruppenkollektivismus“ fällt die Korrelation zwar auch positiv aus, ist aber nicht signifikant. Bei allen anderen Dimensionen korrelieren Werte und Praktiken sogar negativ miteinander (vgl. Tab. 2). Dieser Befund löste im sechsten Heft des 37. Jahrgangs von Journal of International Business Studies eine heftige Debatte aus (vgl. Earley 2006; Hofstede 2006; Leung 2006; Smith 2006).</w:t>
      </w:r>
    </w:p>
    <w:p w14:paraId="54D5F66C" w14:textId="77777777" w:rsidR="00FF7799" w:rsidRPr="00E73F6F" w:rsidRDefault="00FF7799" w:rsidP="00862DBA">
      <w:pPr>
        <w:widowControl/>
        <w:adjustRightInd w:val="0"/>
        <w:jc w:val="both"/>
        <w:rPr>
          <w:sz w:val="24"/>
          <w:szCs w:val="24"/>
        </w:rPr>
      </w:pPr>
    </w:p>
    <w:p w14:paraId="2F5B77A2" w14:textId="77777777" w:rsidR="00FF7799" w:rsidRPr="00037FAC" w:rsidRDefault="00FF7799" w:rsidP="00535E2F">
      <w:pPr>
        <w:pStyle w:val="BeschriftungTab"/>
        <w:rPr>
          <w:i/>
          <w:iCs/>
          <w:lang w:bidi="en-US"/>
        </w:rPr>
      </w:pPr>
      <w:r w:rsidRPr="00037FAC">
        <w:rPr>
          <w:i/>
          <w:iCs/>
          <w:lang w:bidi="en-US"/>
        </w:rPr>
        <w:t>Tab. 2: Korrelationen der GLOBE-Dimensionen Werte &amp; Praktiken</w:t>
      </w:r>
    </w:p>
    <w:tbl>
      <w:tblPr>
        <w:tblW w:w="0" w:type="auto"/>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101"/>
        <w:gridCol w:w="735"/>
        <w:gridCol w:w="918"/>
        <w:gridCol w:w="918"/>
        <w:gridCol w:w="918"/>
        <w:gridCol w:w="918"/>
        <w:gridCol w:w="918"/>
        <w:gridCol w:w="918"/>
        <w:gridCol w:w="918"/>
        <w:gridCol w:w="918"/>
      </w:tblGrid>
      <w:tr w:rsidR="00FF7799" w:rsidRPr="00E73F6F" w14:paraId="240AB28B" w14:textId="77777777" w:rsidTr="00B306FB">
        <w:trPr>
          <w:tblHeader/>
        </w:trPr>
        <w:tc>
          <w:tcPr>
            <w:tcW w:w="1101" w:type="dxa"/>
            <w:shd w:val="clear" w:color="auto" w:fill="FFC000" w:themeFill="accent4"/>
          </w:tcPr>
          <w:p w14:paraId="630958FE" w14:textId="77777777" w:rsidR="00FF7799" w:rsidRPr="00E73F6F" w:rsidRDefault="00FF7799" w:rsidP="004D34D5">
            <w:pPr>
              <w:pStyle w:val="StandardText"/>
              <w:rPr>
                <w:b/>
              </w:rPr>
            </w:pPr>
            <w:r w:rsidRPr="00E73F6F">
              <w:rPr>
                <w:b/>
              </w:rPr>
              <w:t>Kultur-dimension</w:t>
            </w:r>
          </w:p>
        </w:tc>
        <w:tc>
          <w:tcPr>
            <w:tcW w:w="735" w:type="dxa"/>
            <w:shd w:val="clear" w:color="auto" w:fill="FFC000" w:themeFill="accent4"/>
          </w:tcPr>
          <w:p w14:paraId="78A7EBA0" w14:textId="77777777" w:rsidR="00FF7799" w:rsidRPr="00E73F6F" w:rsidRDefault="00FF7799" w:rsidP="00535E2F">
            <w:pPr>
              <w:pStyle w:val="StandardText"/>
              <w:rPr>
                <w:b/>
              </w:rPr>
            </w:pPr>
            <w:r w:rsidRPr="00E73F6F">
              <w:rPr>
                <w:b/>
              </w:rPr>
              <w:t>1</w:t>
            </w:r>
          </w:p>
        </w:tc>
        <w:tc>
          <w:tcPr>
            <w:tcW w:w="918" w:type="dxa"/>
            <w:shd w:val="clear" w:color="auto" w:fill="FFC000" w:themeFill="accent4"/>
          </w:tcPr>
          <w:p w14:paraId="5D0753C8" w14:textId="77777777" w:rsidR="00FF7799" w:rsidRPr="00E73F6F" w:rsidRDefault="00FF7799" w:rsidP="00535E2F">
            <w:pPr>
              <w:pStyle w:val="StandardText"/>
              <w:rPr>
                <w:b/>
              </w:rPr>
            </w:pPr>
            <w:r w:rsidRPr="00E73F6F">
              <w:rPr>
                <w:b/>
              </w:rPr>
              <w:t>2</w:t>
            </w:r>
          </w:p>
        </w:tc>
        <w:tc>
          <w:tcPr>
            <w:tcW w:w="918" w:type="dxa"/>
            <w:shd w:val="clear" w:color="auto" w:fill="FFC000" w:themeFill="accent4"/>
          </w:tcPr>
          <w:p w14:paraId="7D2606D4" w14:textId="77777777" w:rsidR="00FF7799" w:rsidRPr="00E73F6F" w:rsidRDefault="00FF7799" w:rsidP="00535E2F">
            <w:pPr>
              <w:pStyle w:val="StandardText"/>
              <w:rPr>
                <w:b/>
              </w:rPr>
            </w:pPr>
            <w:r w:rsidRPr="00E73F6F">
              <w:rPr>
                <w:b/>
              </w:rPr>
              <w:t>3</w:t>
            </w:r>
          </w:p>
        </w:tc>
        <w:tc>
          <w:tcPr>
            <w:tcW w:w="918" w:type="dxa"/>
            <w:shd w:val="clear" w:color="auto" w:fill="FFC000" w:themeFill="accent4"/>
          </w:tcPr>
          <w:p w14:paraId="36E0F7CA" w14:textId="77777777" w:rsidR="00FF7799" w:rsidRPr="00E73F6F" w:rsidRDefault="00FF7799" w:rsidP="00535E2F">
            <w:pPr>
              <w:pStyle w:val="StandardText"/>
              <w:rPr>
                <w:b/>
              </w:rPr>
            </w:pPr>
            <w:r w:rsidRPr="00E73F6F">
              <w:rPr>
                <w:b/>
              </w:rPr>
              <w:t>4</w:t>
            </w:r>
          </w:p>
        </w:tc>
        <w:tc>
          <w:tcPr>
            <w:tcW w:w="918" w:type="dxa"/>
            <w:shd w:val="clear" w:color="auto" w:fill="FFC000" w:themeFill="accent4"/>
          </w:tcPr>
          <w:p w14:paraId="6F8ED520" w14:textId="77777777" w:rsidR="00FF7799" w:rsidRPr="00E73F6F" w:rsidRDefault="00FF7799" w:rsidP="00535E2F">
            <w:pPr>
              <w:pStyle w:val="StandardText"/>
              <w:rPr>
                <w:b/>
              </w:rPr>
            </w:pPr>
            <w:r w:rsidRPr="00E73F6F">
              <w:rPr>
                <w:b/>
              </w:rPr>
              <w:t>5</w:t>
            </w:r>
          </w:p>
        </w:tc>
        <w:tc>
          <w:tcPr>
            <w:tcW w:w="918" w:type="dxa"/>
            <w:shd w:val="clear" w:color="auto" w:fill="FFC000" w:themeFill="accent4"/>
          </w:tcPr>
          <w:p w14:paraId="5593172C" w14:textId="77777777" w:rsidR="00FF7799" w:rsidRPr="00E73F6F" w:rsidRDefault="00FF7799" w:rsidP="00535E2F">
            <w:pPr>
              <w:pStyle w:val="StandardText"/>
              <w:rPr>
                <w:b/>
              </w:rPr>
            </w:pPr>
            <w:r w:rsidRPr="00E73F6F">
              <w:rPr>
                <w:b/>
              </w:rPr>
              <w:t>6</w:t>
            </w:r>
          </w:p>
        </w:tc>
        <w:tc>
          <w:tcPr>
            <w:tcW w:w="918" w:type="dxa"/>
            <w:shd w:val="clear" w:color="auto" w:fill="FFC000" w:themeFill="accent4"/>
          </w:tcPr>
          <w:p w14:paraId="06ECD837" w14:textId="77777777" w:rsidR="00FF7799" w:rsidRPr="00E73F6F" w:rsidRDefault="00FF7799" w:rsidP="00535E2F">
            <w:pPr>
              <w:pStyle w:val="StandardText"/>
              <w:rPr>
                <w:b/>
              </w:rPr>
            </w:pPr>
            <w:r w:rsidRPr="00E73F6F">
              <w:rPr>
                <w:b/>
              </w:rPr>
              <w:t>7</w:t>
            </w:r>
          </w:p>
        </w:tc>
        <w:tc>
          <w:tcPr>
            <w:tcW w:w="918" w:type="dxa"/>
            <w:shd w:val="clear" w:color="auto" w:fill="FFC000" w:themeFill="accent4"/>
          </w:tcPr>
          <w:p w14:paraId="472F78AB" w14:textId="77777777" w:rsidR="00FF7799" w:rsidRPr="00E73F6F" w:rsidRDefault="00FF7799" w:rsidP="00535E2F">
            <w:pPr>
              <w:pStyle w:val="StandardText"/>
              <w:rPr>
                <w:b/>
              </w:rPr>
            </w:pPr>
            <w:r w:rsidRPr="00E73F6F">
              <w:rPr>
                <w:b/>
              </w:rPr>
              <w:t>8</w:t>
            </w:r>
          </w:p>
        </w:tc>
        <w:tc>
          <w:tcPr>
            <w:tcW w:w="918" w:type="dxa"/>
            <w:shd w:val="clear" w:color="auto" w:fill="FFC000" w:themeFill="accent4"/>
          </w:tcPr>
          <w:p w14:paraId="033504ED" w14:textId="77777777" w:rsidR="00FF7799" w:rsidRPr="00E73F6F" w:rsidRDefault="00FF7799" w:rsidP="00535E2F">
            <w:pPr>
              <w:pStyle w:val="StandardText"/>
              <w:rPr>
                <w:b/>
              </w:rPr>
            </w:pPr>
            <w:r w:rsidRPr="00E73F6F">
              <w:rPr>
                <w:b/>
              </w:rPr>
              <w:t>9</w:t>
            </w:r>
          </w:p>
        </w:tc>
      </w:tr>
      <w:tr w:rsidR="00FF7799" w:rsidRPr="00E73F6F" w14:paraId="63349F55" w14:textId="77777777" w:rsidTr="00FB26A6">
        <w:tc>
          <w:tcPr>
            <w:tcW w:w="1101" w:type="dxa"/>
            <w:shd w:val="clear" w:color="auto" w:fill="FFF2CC" w:themeFill="accent4" w:themeFillTint="33"/>
          </w:tcPr>
          <w:p w14:paraId="49704C0D" w14:textId="77777777" w:rsidR="00FF7799" w:rsidRPr="00E73F6F" w:rsidRDefault="00FF7799" w:rsidP="004D34D5">
            <w:pPr>
              <w:pStyle w:val="StandardText"/>
              <w:jc w:val="center"/>
            </w:pPr>
            <w:r w:rsidRPr="00E73F6F">
              <w:t>1</w:t>
            </w:r>
          </w:p>
        </w:tc>
        <w:tc>
          <w:tcPr>
            <w:tcW w:w="735" w:type="dxa"/>
          </w:tcPr>
          <w:p w14:paraId="74225920" w14:textId="77777777" w:rsidR="00FF7799" w:rsidRPr="00E73F6F" w:rsidRDefault="00FF7799" w:rsidP="00535E2F">
            <w:pPr>
              <w:pStyle w:val="StandardText"/>
            </w:pPr>
            <w:r w:rsidRPr="00E73F6F">
              <w:t>-.26*</w:t>
            </w:r>
          </w:p>
        </w:tc>
        <w:tc>
          <w:tcPr>
            <w:tcW w:w="918" w:type="dxa"/>
          </w:tcPr>
          <w:p w14:paraId="64C208A0" w14:textId="77777777" w:rsidR="00FF7799" w:rsidRPr="00E73F6F" w:rsidRDefault="00FF7799" w:rsidP="00535E2F">
            <w:pPr>
              <w:pStyle w:val="StandardText"/>
            </w:pPr>
            <w:r w:rsidRPr="00E73F6F">
              <w:t>.12</w:t>
            </w:r>
          </w:p>
        </w:tc>
        <w:tc>
          <w:tcPr>
            <w:tcW w:w="918" w:type="dxa"/>
          </w:tcPr>
          <w:p w14:paraId="02D1C077" w14:textId="77777777" w:rsidR="00FF7799" w:rsidRPr="00E73F6F" w:rsidRDefault="00FF7799" w:rsidP="00535E2F">
            <w:pPr>
              <w:pStyle w:val="StandardText"/>
            </w:pPr>
            <w:r w:rsidRPr="00E73F6F">
              <w:t>-.24</w:t>
            </w:r>
          </w:p>
        </w:tc>
        <w:tc>
          <w:tcPr>
            <w:tcW w:w="918" w:type="dxa"/>
          </w:tcPr>
          <w:p w14:paraId="43D13CA5" w14:textId="77777777" w:rsidR="00FF7799" w:rsidRPr="00E73F6F" w:rsidRDefault="00FF7799" w:rsidP="00535E2F">
            <w:pPr>
              <w:pStyle w:val="StandardText"/>
            </w:pPr>
            <w:r w:rsidRPr="00E73F6F">
              <w:t>.09</w:t>
            </w:r>
          </w:p>
        </w:tc>
        <w:tc>
          <w:tcPr>
            <w:tcW w:w="918" w:type="dxa"/>
          </w:tcPr>
          <w:p w14:paraId="4D104E40" w14:textId="77777777" w:rsidR="00FF7799" w:rsidRPr="00E73F6F" w:rsidRDefault="00FF7799" w:rsidP="00535E2F">
            <w:pPr>
              <w:pStyle w:val="StandardText"/>
            </w:pPr>
            <w:r w:rsidRPr="00E73F6F">
              <w:t>.18</w:t>
            </w:r>
          </w:p>
        </w:tc>
        <w:tc>
          <w:tcPr>
            <w:tcW w:w="918" w:type="dxa"/>
          </w:tcPr>
          <w:p w14:paraId="0596C299" w14:textId="77777777" w:rsidR="00FF7799" w:rsidRPr="00E73F6F" w:rsidRDefault="00FF7799" w:rsidP="00535E2F">
            <w:pPr>
              <w:pStyle w:val="StandardText"/>
            </w:pPr>
            <w:r w:rsidRPr="00E73F6F">
              <w:t>.35*</w:t>
            </w:r>
          </w:p>
        </w:tc>
        <w:tc>
          <w:tcPr>
            <w:tcW w:w="918" w:type="dxa"/>
          </w:tcPr>
          <w:p w14:paraId="03B416CA" w14:textId="77777777" w:rsidR="00FF7799" w:rsidRPr="00E73F6F" w:rsidRDefault="00FF7799" w:rsidP="00535E2F">
            <w:pPr>
              <w:pStyle w:val="StandardText"/>
            </w:pPr>
            <w:r w:rsidRPr="00E73F6F">
              <w:t>-.01</w:t>
            </w:r>
          </w:p>
        </w:tc>
        <w:tc>
          <w:tcPr>
            <w:tcW w:w="918" w:type="dxa"/>
          </w:tcPr>
          <w:p w14:paraId="2EDB077E" w14:textId="77777777" w:rsidR="00FF7799" w:rsidRPr="00E73F6F" w:rsidRDefault="00FF7799" w:rsidP="00535E2F">
            <w:pPr>
              <w:pStyle w:val="StandardText"/>
            </w:pPr>
            <w:r w:rsidRPr="00E73F6F">
              <w:t>-.11</w:t>
            </w:r>
          </w:p>
        </w:tc>
        <w:tc>
          <w:tcPr>
            <w:tcW w:w="918" w:type="dxa"/>
          </w:tcPr>
          <w:p w14:paraId="23BB4AE3" w14:textId="77777777" w:rsidR="00FF7799" w:rsidRPr="00E73F6F" w:rsidRDefault="00FF7799" w:rsidP="00535E2F">
            <w:pPr>
              <w:pStyle w:val="StandardText"/>
            </w:pPr>
            <w:r w:rsidRPr="00E73F6F">
              <w:t>.04</w:t>
            </w:r>
          </w:p>
        </w:tc>
      </w:tr>
      <w:tr w:rsidR="00FF7799" w:rsidRPr="00E73F6F" w14:paraId="65B978C0" w14:textId="77777777" w:rsidTr="00FB26A6">
        <w:tc>
          <w:tcPr>
            <w:tcW w:w="1101" w:type="dxa"/>
            <w:shd w:val="clear" w:color="auto" w:fill="FFF2CC" w:themeFill="accent4" w:themeFillTint="33"/>
          </w:tcPr>
          <w:p w14:paraId="74D17AE9" w14:textId="77777777" w:rsidR="00FF7799" w:rsidRPr="00E73F6F" w:rsidRDefault="00FF7799" w:rsidP="004D34D5">
            <w:pPr>
              <w:pStyle w:val="StandardText"/>
              <w:jc w:val="center"/>
            </w:pPr>
            <w:r w:rsidRPr="00E73F6F">
              <w:t>2</w:t>
            </w:r>
          </w:p>
        </w:tc>
        <w:tc>
          <w:tcPr>
            <w:tcW w:w="735" w:type="dxa"/>
          </w:tcPr>
          <w:p w14:paraId="2365203A" w14:textId="77777777" w:rsidR="00FF7799" w:rsidRPr="00E73F6F" w:rsidRDefault="00FF7799" w:rsidP="00535E2F">
            <w:pPr>
              <w:pStyle w:val="StandardText"/>
            </w:pPr>
            <w:r w:rsidRPr="00E73F6F">
              <w:t>.37*</w:t>
            </w:r>
          </w:p>
        </w:tc>
        <w:tc>
          <w:tcPr>
            <w:tcW w:w="918" w:type="dxa"/>
          </w:tcPr>
          <w:p w14:paraId="799213FA" w14:textId="77777777" w:rsidR="00FF7799" w:rsidRPr="00E73F6F" w:rsidRDefault="00FF7799" w:rsidP="00535E2F">
            <w:pPr>
              <w:pStyle w:val="StandardText"/>
            </w:pPr>
            <w:r w:rsidRPr="00E73F6F">
              <w:t>-.61*</w:t>
            </w:r>
          </w:p>
        </w:tc>
        <w:tc>
          <w:tcPr>
            <w:tcW w:w="918" w:type="dxa"/>
          </w:tcPr>
          <w:p w14:paraId="741565E3" w14:textId="77777777" w:rsidR="00FF7799" w:rsidRPr="00E73F6F" w:rsidRDefault="00FF7799" w:rsidP="00535E2F">
            <w:pPr>
              <w:pStyle w:val="StandardText"/>
            </w:pPr>
            <w:r w:rsidRPr="00E73F6F">
              <w:t>-.16</w:t>
            </w:r>
          </w:p>
        </w:tc>
        <w:tc>
          <w:tcPr>
            <w:tcW w:w="918" w:type="dxa"/>
          </w:tcPr>
          <w:p w14:paraId="73F2B045" w14:textId="77777777" w:rsidR="00FF7799" w:rsidRPr="00E73F6F" w:rsidRDefault="00FF7799" w:rsidP="00535E2F">
            <w:pPr>
              <w:pStyle w:val="StandardText"/>
            </w:pPr>
            <w:r w:rsidRPr="00E73F6F">
              <w:t>-.25*</w:t>
            </w:r>
          </w:p>
        </w:tc>
        <w:tc>
          <w:tcPr>
            <w:tcW w:w="918" w:type="dxa"/>
          </w:tcPr>
          <w:p w14:paraId="40613C2E" w14:textId="77777777" w:rsidR="00FF7799" w:rsidRPr="00E73F6F" w:rsidRDefault="00FF7799" w:rsidP="00535E2F">
            <w:pPr>
              <w:pStyle w:val="StandardText"/>
            </w:pPr>
            <w:r w:rsidRPr="00E73F6F">
              <w:t>-.25*</w:t>
            </w:r>
          </w:p>
        </w:tc>
        <w:tc>
          <w:tcPr>
            <w:tcW w:w="918" w:type="dxa"/>
          </w:tcPr>
          <w:p w14:paraId="6D4E86F3" w14:textId="77777777" w:rsidR="00FF7799" w:rsidRPr="00E73F6F" w:rsidRDefault="00FF7799" w:rsidP="00535E2F">
            <w:pPr>
              <w:pStyle w:val="StandardText"/>
            </w:pPr>
            <w:r w:rsidRPr="00E73F6F">
              <w:t>-.01</w:t>
            </w:r>
          </w:p>
        </w:tc>
        <w:tc>
          <w:tcPr>
            <w:tcW w:w="918" w:type="dxa"/>
          </w:tcPr>
          <w:p w14:paraId="789C1B19" w14:textId="77777777" w:rsidR="00FF7799" w:rsidRPr="00E73F6F" w:rsidRDefault="00FF7799" w:rsidP="00535E2F">
            <w:pPr>
              <w:pStyle w:val="StandardText"/>
            </w:pPr>
            <w:r w:rsidRPr="00E73F6F">
              <w:t>-.39*</w:t>
            </w:r>
          </w:p>
        </w:tc>
        <w:tc>
          <w:tcPr>
            <w:tcW w:w="918" w:type="dxa"/>
          </w:tcPr>
          <w:p w14:paraId="17C893FB" w14:textId="77777777" w:rsidR="00FF7799" w:rsidRPr="00E73F6F" w:rsidRDefault="00FF7799" w:rsidP="00535E2F">
            <w:pPr>
              <w:pStyle w:val="StandardText"/>
            </w:pPr>
            <w:r w:rsidRPr="00E73F6F">
              <w:t>.38</w:t>
            </w:r>
          </w:p>
        </w:tc>
        <w:tc>
          <w:tcPr>
            <w:tcW w:w="918" w:type="dxa"/>
          </w:tcPr>
          <w:p w14:paraId="04E1CE71" w14:textId="77777777" w:rsidR="00FF7799" w:rsidRPr="00E73F6F" w:rsidRDefault="00FF7799" w:rsidP="00535E2F">
            <w:pPr>
              <w:pStyle w:val="StandardText"/>
            </w:pPr>
            <w:r w:rsidRPr="00E73F6F">
              <w:t>-.19</w:t>
            </w:r>
          </w:p>
        </w:tc>
      </w:tr>
      <w:tr w:rsidR="00FF7799" w:rsidRPr="00E73F6F" w14:paraId="5450D4C3" w14:textId="77777777" w:rsidTr="00FB26A6">
        <w:tc>
          <w:tcPr>
            <w:tcW w:w="1101" w:type="dxa"/>
            <w:shd w:val="clear" w:color="auto" w:fill="FFF2CC" w:themeFill="accent4" w:themeFillTint="33"/>
          </w:tcPr>
          <w:p w14:paraId="175A4454" w14:textId="77777777" w:rsidR="00FF7799" w:rsidRPr="00E73F6F" w:rsidRDefault="00FF7799" w:rsidP="004D34D5">
            <w:pPr>
              <w:pStyle w:val="StandardText"/>
              <w:jc w:val="center"/>
            </w:pPr>
            <w:r w:rsidRPr="00E73F6F">
              <w:t>3</w:t>
            </w:r>
          </w:p>
        </w:tc>
        <w:tc>
          <w:tcPr>
            <w:tcW w:w="735" w:type="dxa"/>
          </w:tcPr>
          <w:p w14:paraId="7CFC178A" w14:textId="77777777" w:rsidR="00FF7799" w:rsidRPr="00E73F6F" w:rsidRDefault="00FF7799" w:rsidP="00535E2F">
            <w:pPr>
              <w:pStyle w:val="StandardText"/>
            </w:pPr>
            <w:r w:rsidRPr="00E73F6F">
              <w:t>.28*</w:t>
            </w:r>
          </w:p>
        </w:tc>
        <w:tc>
          <w:tcPr>
            <w:tcW w:w="918" w:type="dxa"/>
          </w:tcPr>
          <w:p w14:paraId="6E1FFED8" w14:textId="77777777" w:rsidR="00FF7799" w:rsidRPr="00E73F6F" w:rsidRDefault="00FF7799" w:rsidP="00535E2F">
            <w:pPr>
              <w:pStyle w:val="StandardText"/>
            </w:pPr>
            <w:r w:rsidRPr="00E73F6F">
              <w:t>.43*</w:t>
            </w:r>
          </w:p>
        </w:tc>
        <w:tc>
          <w:tcPr>
            <w:tcW w:w="918" w:type="dxa"/>
          </w:tcPr>
          <w:p w14:paraId="5C808C18" w14:textId="77777777" w:rsidR="00FF7799" w:rsidRPr="00E73F6F" w:rsidRDefault="00FF7799" w:rsidP="00535E2F">
            <w:pPr>
              <w:pStyle w:val="StandardText"/>
            </w:pPr>
            <w:r w:rsidRPr="00E73F6F">
              <w:t>.21</w:t>
            </w:r>
          </w:p>
        </w:tc>
        <w:tc>
          <w:tcPr>
            <w:tcW w:w="918" w:type="dxa"/>
          </w:tcPr>
          <w:p w14:paraId="4A8B56A6" w14:textId="77777777" w:rsidR="00FF7799" w:rsidRPr="00E73F6F" w:rsidRDefault="00FF7799" w:rsidP="00535E2F">
            <w:pPr>
              <w:pStyle w:val="StandardText"/>
            </w:pPr>
            <w:r w:rsidRPr="00E73F6F">
              <w:t>.62*</w:t>
            </w:r>
          </w:p>
        </w:tc>
        <w:tc>
          <w:tcPr>
            <w:tcW w:w="918" w:type="dxa"/>
          </w:tcPr>
          <w:p w14:paraId="5E8807A7" w14:textId="77777777" w:rsidR="00FF7799" w:rsidRPr="00E73F6F" w:rsidRDefault="00FF7799" w:rsidP="00535E2F">
            <w:pPr>
              <w:pStyle w:val="StandardText"/>
            </w:pPr>
            <w:r w:rsidRPr="00E73F6F">
              <w:t>-.44*</w:t>
            </w:r>
          </w:p>
        </w:tc>
        <w:tc>
          <w:tcPr>
            <w:tcW w:w="918" w:type="dxa"/>
          </w:tcPr>
          <w:p w14:paraId="239A7A58" w14:textId="77777777" w:rsidR="00FF7799" w:rsidRPr="00E73F6F" w:rsidRDefault="00FF7799" w:rsidP="00535E2F">
            <w:pPr>
              <w:pStyle w:val="StandardText"/>
            </w:pPr>
            <w:r w:rsidRPr="00E73F6F">
              <w:t>-.09</w:t>
            </w:r>
          </w:p>
        </w:tc>
        <w:tc>
          <w:tcPr>
            <w:tcW w:w="918" w:type="dxa"/>
          </w:tcPr>
          <w:p w14:paraId="7854524A" w14:textId="77777777" w:rsidR="00FF7799" w:rsidRPr="00E73F6F" w:rsidRDefault="00FF7799" w:rsidP="00535E2F">
            <w:pPr>
              <w:pStyle w:val="StandardText"/>
            </w:pPr>
            <w:r w:rsidRPr="00E73F6F">
              <w:t>.12</w:t>
            </w:r>
          </w:p>
        </w:tc>
        <w:tc>
          <w:tcPr>
            <w:tcW w:w="918" w:type="dxa"/>
          </w:tcPr>
          <w:p w14:paraId="55E5D64B" w14:textId="77777777" w:rsidR="00FF7799" w:rsidRPr="00E73F6F" w:rsidRDefault="00FF7799" w:rsidP="00535E2F">
            <w:pPr>
              <w:pStyle w:val="StandardText"/>
            </w:pPr>
            <w:r w:rsidRPr="00E73F6F">
              <w:t>.02</w:t>
            </w:r>
          </w:p>
        </w:tc>
        <w:tc>
          <w:tcPr>
            <w:tcW w:w="918" w:type="dxa"/>
          </w:tcPr>
          <w:p w14:paraId="6D5AED5C" w14:textId="77777777" w:rsidR="00FF7799" w:rsidRPr="00E73F6F" w:rsidRDefault="00FF7799" w:rsidP="00535E2F">
            <w:pPr>
              <w:pStyle w:val="StandardText"/>
            </w:pPr>
            <w:r w:rsidRPr="00E73F6F">
              <w:t>.80*</w:t>
            </w:r>
          </w:p>
        </w:tc>
      </w:tr>
      <w:tr w:rsidR="00FF7799" w:rsidRPr="00E73F6F" w14:paraId="2AA87313" w14:textId="77777777" w:rsidTr="00FB26A6">
        <w:tc>
          <w:tcPr>
            <w:tcW w:w="1101" w:type="dxa"/>
            <w:shd w:val="clear" w:color="auto" w:fill="FFF2CC" w:themeFill="accent4" w:themeFillTint="33"/>
          </w:tcPr>
          <w:p w14:paraId="3BFF1DDF" w14:textId="77777777" w:rsidR="00FF7799" w:rsidRPr="00E73F6F" w:rsidRDefault="00FF7799" w:rsidP="004D34D5">
            <w:pPr>
              <w:pStyle w:val="StandardText"/>
              <w:jc w:val="center"/>
            </w:pPr>
            <w:r w:rsidRPr="00E73F6F">
              <w:t>4</w:t>
            </w:r>
          </w:p>
        </w:tc>
        <w:tc>
          <w:tcPr>
            <w:tcW w:w="735" w:type="dxa"/>
          </w:tcPr>
          <w:p w14:paraId="4529D678" w14:textId="77777777" w:rsidR="00FF7799" w:rsidRPr="00E73F6F" w:rsidRDefault="00FF7799" w:rsidP="00535E2F">
            <w:pPr>
              <w:pStyle w:val="StandardText"/>
            </w:pPr>
            <w:r w:rsidRPr="00E73F6F">
              <w:t>.17</w:t>
            </w:r>
          </w:p>
        </w:tc>
        <w:tc>
          <w:tcPr>
            <w:tcW w:w="918" w:type="dxa"/>
          </w:tcPr>
          <w:p w14:paraId="711586FE" w14:textId="77777777" w:rsidR="00FF7799" w:rsidRPr="00E73F6F" w:rsidRDefault="00FF7799" w:rsidP="00535E2F">
            <w:pPr>
              <w:pStyle w:val="StandardText"/>
            </w:pPr>
            <w:r w:rsidRPr="00E73F6F">
              <w:t>-.30*</w:t>
            </w:r>
          </w:p>
        </w:tc>
        <w:tc>
          <w:tcPr>
            <w:tcW w:w="918" w:type="dxa"/>
          </w:tcPr>
          <w:p w14:paraId="61E8B076" w14:textId="77777777" w:rsidR="00FF7799" w:rsidRPr="00E73F6F" w:rsidRDefault="00FF7799" w:rsidP="00535E2F">
            <w:pPr>
              <w:pStyle w:val="StandardText"/>
            </w:pPr>
            <w:r w:rsidRPr="00E73F6F">
              <w:t>-.42*</w:t>
            </w:r>
          </w:p>
        </w:tc>
        <w:tc>
          <w:tcPr>
            <w:tcW w:w="918" w:type="dxa"/>
          </w:tcPr>
          <w:p w14:paraId="36C6982D" w14:textId="77777777" w:rsidR="00FF7799" w:rsidRPr="00E73F6F" w:rsidRDefault="00FF7799" w:rsidP="00535E2F">
            <w:pPr>
              <w:pStyle w:val="StandardText"/>
            </w:pPr>
            <w:r w:rsidRPr="00E73F6F">
              <w:t>-.41*</w:t>
            </w:r>
          </w:p>
        </w:tc>
        <w:tc>
          <w:tcPr>
            <w:tcW w:w="918" w:type="dxa"/>
          </w:tcPr>
          <w:p w14:paraId="7BC8D31B" w14:textId="77777777" w:rsidR="00FF7799" w:rsidRPr="00E73F6F" w:rsidRDefault="00FF7799" w:rsidP="00535E2F">
            <w:pPr>
              <w:pStyle w:val="StandardText"/>
            </w:pPr>
            <w:r w:rsidRPr="00E73F6F">
              <w:t>.19</w:t>
            </w:r>
          </w:p>
        </w:tc>
        <w:tc>
          <w:tcPr>
            <w:tcW w:w="918" w:type="dxa"/>
          </w:tcPr>
          <w:p w14:paraId="6257AE10" w14:textId="77777777" w:rsidR="00FF7799" w:rsidRPr="00E73F6F" w:rsidRDefault="00FF7799" w:rsidP="00535E2F">
            <w:pPr>
              <w:pStyle w:val="StandardText"/>
            </w:pPr>
            <w:r w:rsidRPr="00E73F6F">
              <w:t>.22</w:t>
            </w:r>
          </w:p>
        </w:tc>
        <w:tc>
          <w:tcPr>
            <w:tcW w:w="918" w:type="dxa"/>
          </w:tcPr>
          <w:p w14:paraId="58BD945F" w14:textId="77777777" w:rsidR="00FF7799" w:rsidRPr="00E73F6F" w:rsidRDefault="00FF7799" w:rsidP="00535E2F">
            <w:pPr>
              <w:pStyle w:val="StandardText"/>
            </w:pPr>
            <w:r w:rsidRPr="00E73F6F">
              <w:t>-.23</w:t>
            </w:r>
          </w:p>
        </w:tc>
        <w:tc>
          <w:tcPr>
            <w:tcW w:w="918" w:type="dxa"/>
          </w:tcPr>
          <w:p w14:paraId="7BF1E450" w14:textId="77777777" w:rsidR="00FF7799" w:rsidRPr="00E73F6F" w:rsidRDefault="00FF7799" w:rsidP="00535E2F">
            <w:pPr>
              <w:pStyle w:val="StandardText"/>
            </w:pPr>
            <w:r w:rsidRPr="00E73F6F">
              <w:t>.12</w:t>
            </w:r>
          </w:p>
        </w:tc>
        <w:tc>
          <w:tcPr>
            <w:tcW w:w="918" w:type="dxa"/>
          </w:tcPr>
          <w:p w14:paraId="09D0CF2C" w14:textId="77777777" w:rsidR="00FF7799" w:rsidRPr="00E73F6F" w:rsidRDefault="00FF7799" w:rsidP="00535E2F">
            <w:pPr>
              <w:pStyle w:val="StandardText"/>
            </w:pPr>
            <w:r w:rsidRPr="00E73F6F">
              <w:t>-.53*</w:t>
            </w:r>
          </w:p>
        </w:tc>
      </w:tr>
      <w:tr w:rsidR="00FF7799" w:rsidRPr="00E73F6F" w14:paraId="71CE342E" w14:textId="77777777" w:rsidTr="00FB26A6">
        <w:tc>
          <w:tcPr>
            <w:tcW w:w="1101" w:type="dxa"/>
            <w:shd w:val="clear" w:color="auto" w:fill="FFF2CC" w:themeFill="accent4" w:themeFillTint="33"/>
          </w:tcPr>
          <w:p w14:paraId="1B535A33" w14:textId="77777777" w:rsidR="00FF7799" w:rsidRPr="00E73F6F" w:rsidRDefault="00FF7799" w:rsidP="004D34D5">
            <w:pPr>
              <w:pStyle w:val="StandardText"/>
              <w:jc w:val="center"/>
            </w:pPr>
            <w:r w:rsidRPr="00E73F6F">
              <w:t>5</w:t>
            </w:r>
          </w:p>
        </w:tc>
        <w:tc>
          <w:tcPr>
            <w:tcW w:w="735" w:type="dxa"/>
          </w:tcPr>
          <w:p w14:paraId="67B81624" w14:textId="77777777" w:rsidR="00FF7799" w:rsidRPr="00E73F6F" w:rsidRDefault="00FF7799" w:rsidP="00535E2F">
            <w:pPr>
              <w:pStyle w:val="StandardText"/>
            </w:pPr>
            <w:r w:rsidRPr="00E73F6F">
              <w:t>-.01</w:t>
            </w:r>
          </w:p>
        </w:tc>
        <w:tc>
          <w:tcPr>
            <w:tcW w:w="918" w:type="dxa"/>
          </w:tcPr>
          <w:p w14:paraId="1C364516" w14:textId="77777777" w:rsidR="00FF7799" w:rsidRPr="00E73F6F" w:rsidRDefault="00FF7799" w:rsidP="00535E2F">
            <w:pPr>
              <w:pStyle w:val="StandardText"/>
            </w:pPr>
            <w:r w:rsidRPr="00E73F6F">
              <w:t>-.31*</w:t>
            </w:r>
          </w:p>
        </w:tc>
        <w:tc>
          <w:tcPr>
            <w:tcW w:w="918" w:type="dxa"/>
          </w:tcPr>
          <w:p w14:paraId="690526F2" w14:textId="77777777" w:rsidR="00FF7799" w:rsidRPr="00E73F6F" w:rsidRDefault="00FF7799" w:rsidP="00535E2F">
            <w:pPr>
              <w:pStyle w:val="StandardText"/>
            </w:pPr>
            <w:r w:rsidRPr="00E73F6F">
              <w:t>.16</w:t>
            </w:r>
          </w:p>
        </w:tc>
        <w:tc>
          <w:tcPr>
            <w:tcW w:w="918" w:type="dxa"/>
          </w:tcPr>
          <w:p w14:paraId="05B3F679" w14:textId="77777777" w:rsidR="00FF7799" w:rsidRPr="00E73F6F" w:rsidRDefault="00FF7799" w:rsidP="00535E2F">
            <w:pPr>
              <w:pStyle w:val="StandardText"/>
            </w:pPr>
            <w:r w:rsidRPr="00E73F6F">
              <w:t>-.24</w:t>
            </w:r>
          </w:p>
        </w:tc>
        <w:tc>
          <w:tcPr>
            <w:tcW w:w="918" w:type="dxa"/>
          </w:tcPr>
          <w:p w14:paraId="64032A4A" w14:textId="77777777" w:rsidR="00FF7799" w:rsidRPr="00E73F6F" w:rsidRDefault="00FF7799" w:rsidP="00535E2F">
            <w:pPr>
              <w:pStyle w:val="StandardText"/>
            </w:pPr>
            <w:r w:rsidRPr="00E73F6F">
              <w:t>.32*</w:t>
            </w:r>
          </w:p>
        </w:tc>
        <w:tc>
          <w:tcPr>
            <w:tcW w:w="918" w:type="dxa"/>
          </w:tcPr>
          <w:p w14:paraId="687A4AC6" w14:textId="77777777" w:rsidR="00FF7799" w:rsidRPr="00E73F6F" w:rsidRDefault="00FF7799" w:rsidP="00535E2F">
            <w:pPr>
              <w:pStyle w:val="StandardText"/>
            </w:pPr>
            <w:r w:rsidRPr="00E73F6F">
              <w:t>-.01</w:t>
            </w:r>
          </w:p>
        </w:tc>
        <w:tc>
          <w:tcPr>
            <w:tcW w:w="918" w:type="dxa"/>
          </w:tcPr>
          <w:p w14:paraId="36936B5E" w14:textId="77777777" w:rsidR="00FF7799" w:rsidRPr="00E73F6F" w:rsidRDefault="00FF7799" w:rsidP="00535E2F">
            <w:pPr>
              <w:pStyle w:val="StandardText"/>
            </w:pPr>
            <w:r w:rsidRPr="00E73F6F">
              <w:t>.02</w:t>
            </w:r>
          </w:p>
        </w:tc>
        <w:tc>
          <w:tcPr>
            <w:tcW w:w="918" w:type="dxa"/>
          </w:tcPr>
          <w:p w14:paraId="508ABC08" w14:textId="77777777" w:rsidR="00FF7799" w:rsidRPr="00E73F6F" w:rsidRDefault="00FF7799" w:rsidP="00535E2F">
            <w:pPr>
              <w:pStyle w:val="StandardText"/>
            </w:pPr>
            <w:r w:rsidRPr="00E73F6F">
              <w:t>.10</w:t>
            </w:r>
          </w:p>
        </w:tc>
        <w:tc>
          <w:tcPr>
            <w:tcW w:w="918" w:type="dxa"/>
          </w:tcPr>
          <w:p w14:paraId="755C524C" w14:textId="77777777" w:rsidR="00FF7799" w:rsidRPr="00E73F6F" w:rsidRDefault="00FF7799" w:rsidP="00535E2F">
            <w:pPr>
              <w:pStyle w:val="StandardText"/>
            </w:pPr>
            <w:r w:rsidRPr="00E73F6F">
              <w:t>-.06</w:t>
            </w:r>
          </w:p>
        </w:tc>
      </w:tr>
      <w:tr w:rsidR="00FF7799" w:rsidRPr="00E73F6F" w14:paraId="10DDEEDD" w14:textId="77777777" w:rsidTr="00FB26A6">
        <w:tc>
          <w:tcPr>
            <w:tcW w:w="1101" w:type="dxa"/>
            <w:shd w:val="clear" w:color="auto" w:fill="FFF2CC" w:themeFill="accent4" w:themeFillTint="33"/>
          </w:tcPr>
          <w:p w14:paraId="0EB4AB3F" w14:textId="77777777" w:rsidR="00FF7799" w:rsidRPr="00E73F6F" w:rsidRDefault="00FF7799" w:rsidP="004D34D5">
            <w:pPr>
              <w:pStyle w:val="StandardText"/>
              <w:jc w:val="center"/>
            </w:pPr>
            <w:r w:rsidRPr="00E73F6F">
              <w:t>6</w:t>
            </w:r>
          </w:p>
        </w:tc>
        <w:tc>
          <w:tcPr>
            <w:tcW w:w="735" w:type="dxa"/>
          </w:tcPr>
          <w:p w14:paraId="441A3DF8" w14:textId="77777777" w:rsidR="00FF7799" w:rsidRPr="00E73F6F" w:rsidRDefault="00FF7799" w:rsidP="00535E2F">
            <w:pPr>
              <w:pStyle w:val="StandardText"/>
            </w:pPr>
            <w:r w:rsidRPr="00E73F6F">
              <w:t>.45*</w:t>
            </w:r>
          </w:p>
        </w:tc>
        <w:tc>
          <w:tcPr>
            <w:tcW w:w="918" w:type="dxa"/>
          </w:tcPr>
          <w:p w14:paraId="3DC821C5" w14:textId="77777777" w:rsidR="00FF7799" w:rsidRPr="00E73F6F" w:rsidRDefault="00FF7799" w:rsidP="00535E2F">
            <w:pPr>
              <w:pStyle w:val="StandardText"/>
            </w:pPr>
            <w:r w:rsidRPr="00E73F6F">
              <w:t>-.02</w:t>
            </w:r>
          </w:p>
        </w:tc>
        <w:tc>
          <w:tcPr>
            <w:tcW w:w="918" w:type="dxa"/>
          </w:tcPr>
          <w:p w14:paraId="41C451C4" w14:textId="77777777" w:rsidR="00FF7799" w:rsidRPr="00E73F6F" w:rsidRDefault="00FF7799" w:rsidP="00535E2F">
            <w:pPr>
              <w:pStyle w:val="StandardText"/>
            </w:pPr>
            <w:r w:rsidRPr="00E73F6F">
              <w:t>.20</w:t>
            </w:r>
          </w:p>
        </w:tc>
        <w:tc>
          <w:tcPr>
            <w:tcW w:w="918" w:type="dxa"/>
          </w:tcPr>
          <w:p w14:paraId="2381A5D2" w14:textId="77777777" w:rsidR="00FF7799" w:rsidRPr="00E73F6F" w:rsidRDefault="00FF7799" w:rsidP="00535E2F">
            <w:pPr>
              <w:pStyle w:val="StandardText"/>
            </w:pPr>
            <w:r w:rsidRPr="00E73F6F">
              <w:t>.26*</w:t>
            </w:r>
          </w:p>
        </w:tc>
        <w:tc>
          <w:tcPr>
            <w:tcW w:w="918" w:type="dxa"/>
          </w:tcPr>
          <w:p w14:paraId="3FC3260E" w14:textId="77777777" w:rsidR="00FF7799" w:rsidRPr="00E73F6F" w:rsidRDefault="00FF7799" w:rsidP="00535E2F">
            <w:pPr>
              <w:pStyle w:val="StandardText"/>
            </w:pPr>
            <w:r w:rsidRPr="00E73F6F">
              <w:t>-.39*</w:t>
            </w:r>
          </w:p>
        </w:tc>
        <w:tc>
          <w:tcPr>
            <w:tcW w:w="918" w:type="dxa"/>
          </w:tcPr>
          <w:p w14:paraId="3C97CCD7" w14:textId="77777777" w:rsidR="00FF7799" w:rsidRPr="00E73F6F" w:rsidRDefault="00FF7799" w:rsidP="00535E2F">
            <w:pPr>
              <w:pStyle w:val="StandardText"/>
            </w:pPr>
            <w:r w:rsidRPr="00E73F6F">
              <w:t>-.32*</w:t>
            </w:r>
          </w:p>
        </w:tc>
        <w:tc>
          <w:tcPr>
            <w:tcW w:w="918" w:type="dxa"/>
          </w:tcPr>
          <w:p w14:paraId="269A2135" w14:textId="77777777" w:rsidR="00FF7799" w:rsidRPr="00E73F6F" w:rsidRDefault="00FF7799" w:rsidP="00535E2F">
            <w:pPr>
              <w:pStyle w:val="StandardText"/>
            </w:pPr>
            <w:r w:rsidRPr="00E73F6F">
              <w:t>.00</w:t>
            </w:r>
          </w:p>
        </w:tc>
        <w:tc>
          <w:tcPr>
            <w:tcW w:w="918" w:type="dxa"/>
          </w:tcPr>
          <w:p w14:paraId="01F8C493" w14:textId="77777777" w:rsidR="00FF7799" w:rsidRPr="00E73F6F" w:rsidRDefault="00FF7799" w:rsidP="00535E2F">
            <w:pPr>
              <w:pStyle w:val="StandardText"/>
            </w:pPr>
            <w:r w:rsidRPr="00E73F6F">
              <w:t>.30*</w:t>
            </w:r>
          </w:p>
        </w:tc>
        <w:tc>
          <w:tcPr>
            <w:tcW w:w="918" w:type="dxa"/>
          </w:tcPr>
          <w:p w14:paraId="3F99F878" w14:textId="77777777" w:rsidR="00FF7799" w:rsidRPr="00E73F6F" w:rsidRDefault="00FF7799" w:rsidP="00535E2F">
            <w:pPr>
              <w:pStyle w:val="StandardText"/>
            </w:pPr>
            <w:r w:rsidRPr="00E73F6F">
              <w:t>.29*</w:t>
            </w:r>
          </w:p>
        </w:tc>
      </w:tr>
      <w:tr w:rsidR="00FF7799" w:rsidRPr="00E73F6F" w14:paraId="1B245438" w14:textId="77777777" w:rsidTr="00FB26A6">
        <w:tc>
          <w:tcPr>
            <w:tcW w:w="1101" w:type="dxa"/>
            <w:shd w:val="clear" w:color="auto" w:fill="FFF2CC" w:themeFill="accent4" w:themeFillTint="33"/>
          </w:tcPr>
          <w:p w14:paraId="2D21418B" w14:textId="77777777" w:rsidR="00FF7799" w:rsidRPr="00E73F6F" w:rsidRDefault="00FF7799" w:rsidP="004D34D5">
            <w:pPr>
              <w:pStyle w:val="StandardText"/>
              <w:jc w:val="center"/>
            </w:pPr>
            <w:r w:rsidRPr="00E73F6F">
              <w:lastRenderedPageBreak/>
              <w:t>7</w:t>
            </w:r>
          </w:p>
        </w:tc>
        <w:tc>
          <w:tcPr>
            <w:tcW w:w="735" w:type="dxa"/>
          </w:tcPr>
          <w:p w14:paraId="6FDC403E" w14:textId="77777777" w:rsidR="00FF7799" w:rsidRPr="00E73F6F" w:rsidRDefault="00FF7799" w:rsidP="00535E2F">
            <w:pPr>
              <w:pStyle w:val="StandardText"/>
            </w:pPr>
            <w:r w:rsidRPr="00E73F6F">
              <w:t>.37*</w:t>
            </w:r>
          </w:p>
        </w:tc>
        <w:tc>
          <w:tcPr>
            <w:tcW w:w="918" w:type="dxa"/>
          </w:tcPr>
          <w:p w14:paraId="6F99870D" w14:textId="77777777" w:rsidR="00FF7799" w:rsidRPr="00E73F6F" w:rsidRDefault="00FF7799" w:rsidP="00535E2F">
            <w:pPr>
              <w:pStyle w:val="StandardText"/>
            </w:pPr>
            <w:r w:rsidRPr="00E73F6F">
              <w:t>-.22</w:t>
            </w:r>
          </w:p>
        </w:tc>
        <w:tc>
          <w:tcPr>
            <w:tcW w:w="918" w:type="dxa"/>
          </w:tcPr>
          <w:p w14:paraId="6FDEF9BA" w14:textId="77777777" w:rsidR="00FF7799" w:rsidRPr="00E73F6F" w:rsidRDefault="00FF7799" w:rsidP="00535E2F">
            <w:pPr>
              <w:pStyle w:val="StandardText"/>
            </w:pPr>
            <w:r w:rsidRPr="00E73F6F">
              <w:t>-.36*</w:t>
            </w:r>
          </w:p>
        </w:tc>
        <w:tc>
          <w:tcPr>
            <w:tcW w:w="918" w:type="dxa"/>
          </w:tcPr>
          <w:p w14:paraId="581F4616" w14:textId="77777777" w:rsidR="00FF7799" w:rsidRPr="00E73F6F" w:rsidRDefault="00FF7799" w:rsidP="00535E2F">
            <w:pPr>
              <w:pStyle w:val="StandardText"/>
            </w:pPr>
            <w:r w:rsidRPr="00E73F6F">
              <w:t>-.24</w:t>
            </w:r>
          </w:p>
        </w:tc>
        <w:tc>
          <w:tcPr>
            <w:tcW w:w="918" w:type="dxa"/>
          </w:tcPr>
          <w:p w14:paraId="42D09B06" w14:textId="77777777" w:rsidR="00FF7799" w:rsidRPr="00E73F6F" w:rsidRDefault="00FF7799" w:rsidP="00535E2F">
            <w:pPr>
              <w:pStyle w:val="StandardText"/>
            </w:pPr>
            <w:r w:rsidRPr="00E73F6F">
              <w:t>-.11</w:t>
            </w:r>
          </w:p>
        </w:tc>
        <w:tc>
          <w:tcPr>
            <w:tcW w:w="918" w:type="dxa"/>
          </w:tcPr>
          <w:p w14:paraId="57D817A2" w14:textId="77777777" w:rsidR="00FF7799" w:rsidRPr="00E73F6F" w:rsidRDefault="00FF7799" w:rsidP="00535E2F">
            <w:pPr>
              <w:pStyle w:val="StandardText"/>
            </w:pPr>
            <w:r w:rsidRPr="00E73F6F">
              <w:t>-.06</w:t>
            </w:r>
          </w:p>
        </w:tc>
        <w:tc>
          <w:tcPr>
            <w:tcW w:w="918" w:type="dxa"/>
          </w:tcPr>
          <w:p w14:paraId="180F959E" w14:textId="77777777" w:rsidR="00FF7799" w:rsidRPr="00E73F6F" w:rsidRDefault="00FF7799" w:rsidP="00535E2F">
            <w:pPr>
              <w:pStyle w:val="StandardText"/>
            </w:pPr>
            <w:r w:rsidRPr="00E73F6F">
              <w:t>-.28*</w:t>
            </w:r>
          </w:p>
        </w:tc>
        <w:tc>
          <w:tcPr>
            <w:tcW w:w="918" w:type="dxa"/>
          </w:tcPr>
          <w:p w14:paraId="28EB9A3A" w14:textId="77777777" w:rsidR="00FF7799" w:rsidRPr="00E73F6F" w:rsidRDefault="00FF7799" w:rsidP="00535E2F">
            <w:pPr>
              <w:pStyle w:val="StandardText"/>
            </w:pPr>
            <w:r w:rsidRPr="00E73F6F">
              <w:t>.34*</w:t>
            </w:r>
          </w:p>
        </w:tc>
        <w:tc>
          <w:tcPr>
            <w:tcW w:w="918" w:type="dxa"/>
          </w:tcPr>
          <w:p w14:paraId="71887603" w14:textId="77777777" w:rsidR="00FF7799" w:rsidRPr="00E73F6F" w:rsidRDefault="00FF7799" w:rsidP="00535E2F">
            <w:pPr>
              <w:pStyle w:val="StandardText"/>
            </w:pPr>
            <w:r w:rsidRPr="00E73F6F">
              <w:t>-.24</w:t>
            </w:r>
          </w:p>
        </w:tc>
      </w:tr>
      <w:tr w:rsidR="00FF7799" w:rsidRPr="00E73F6F" w14:paraId="34FC4994" w14:textId="77777777" w:rsidTr="00FB26A6">
        <w:tc>
          <w:tcPr>
            <w:tcW w:w="1101" w:type="dxa"/>
            <w:shd w:val="clear" w:color="auto" w:fill="FFF2CC" w:themeFill="accent4" w:themeFillTint="33"/>
          </w:tcPr>
          <w:p w14:paraId="5BBF9706" w14:textId="77777777" w:rsidR="00FF7799" w:rsidRPr="00E73F6F" w:rsidRDefault="00FF7799" w:rsidP="004D34D5">
            <w:pPr>
              <w:pStyle w:val="StandardText"/>
              <w:jc w:val="center"/>
            </w:pPr>
            <w:r w:rsidRPr="00E73F6F">
              <w:t>8</w:t>
            </w:r>
          </w:p>
        </w:tc>
        <w:tc>
          <w:tcPr>
            <w:tcW w:w="735" w:type="dxa"/>
          </w:tcPr>
          <w:p w14:paraId="6011A13C" w14:textId="77777777" w:rsidR="00FF7799" w:rsidRPr="00E73F6F" w:rsidRDefault="00FF7799" w:rsidP="00535E2F">
            <w:pPr>
              <w:pStyle w:val="StandardText"/>
            </w:pPr>
            <w:r w:rsidRPr="00E73F6F">
              <w:t>-.05</w:t>
            </w:r>
          </w:p>
        </w:tc>
        <w:tc>
          <w:tcPr>
            <w:tcW w:w="918" w:type="dxa"/>
          </w:tcPr>
          <w:p w14:paraId="1F6375C2" w14:textId="77777777" w:rsidR="00FF7799" w:rsidRPr="00E73F6F" w:rsidRDefault="00FF7799" w:rsidP="00535E2F">
            <w:pPr>
              <w:pStyle w:val="StandardText"/>
            </w:pPr>
            <w:r w:rsidRPr="00E73F6F">
              <w:t>.41*</w:t>
            </w:r>
          </w:p>
        </w:tc>
        <w:tc>
          <w:tcPr>
            <w:tcW w:w="918" w:type="dxa"/>
          </w:tcPr>
          <w:p w14:paraId="45A949BA" w14:textId="77777777" w:rsidR="00FF7799" w:rsidRPr="00E73F6F" w:rsidRDefault="00FF7799" w:rsidP="00535E2F">
            <w:pPr>
              <w:pStyle w:val="StandardText"/>
            </w:pPr>
            <w:r w:rsidRPr="00E73F6F">
              <w:t>.33*</w:t>
            </w:r>
          </w:p>
        </w:tc>
        <w:tc>
          <w:tcPr>
            <w:tcW w:w="918" w:type="dxa"/>
          </w:tcPr>
          <w:p w14:paraId="0A7E2B88" w14:textId="77777777" w:rsidR="00FF7799" w:rsidRPr="00E73F6F" w:rsidRDefault="00FF7799" w:rsidP="00535E2F">
            <w:pPr>
              <w:pStyle w:val="StandardText"/>
            </w:pPr>
            <w:r w:rsidRPr="00E73F6F">
              <w:t>.60*</w:t>
            </w:r>
          </w:p>
        </w:tc>
        <w:tc>
          <w:tcPr>
            <w:tcW w:w="918" w:type="dxa"/>
          </w:tcPr>
          <w:p w14:paraId="2558B469" w14:textId="77777777" w:rsidR="00FF7799" w:rsidRPr="00E73F6F" w:rsidRDefault="00FF7799" w:rsidP="00535E2F">
            <w:pPr>
              <w:pStyle w:val="StandardText"/>
            </w:pPr>
            <w:r w:rsidRPr="00E73F6F">
              <w:t>-.08</w:t>
            </w:r>
          </w:p>
        </w:tc>
        <w:tc>
          <w:tcPr>
            <w:tcW w:w="918" w:type="dxa"/>
          </w:tcPr>
          <w:p w14:paraId="570DD5DE" w14:textId="77777777" w:rsidR="00FF7799" w:rsidRPr="00E73F6F" w:rsidRDefault="00FF7799" w:rsidP="00535E2F">
            <w:pPr>
              <w:pStyle w:val="StandardText"/>
            </w:pPr>
            <w:r w:rsidRPr="00E73F6F">
              <w:t>.21</w:t>
            </w:r>
          </w:p>
        </w:tc>
        <w:tc>
          <w:tcPr>
            <w:tcW w:w="918" w:type="dxa"/>
          </w:tcPr>
          <w:p w14:paraId="48D2888E" w14:textId="77777777" w:rsidR="00FF7799" w:rsidRPr="00E73F6F" w:rsidRDefault="00FF7799" w:rsidP="00535E2F">
            <w:pPr>
              <w:pStyle w:val="StandardText"/>
            </w:pPr>
            <w:r w:rsidRPr="00E73F6F">
              <w:t>.40*</w:t>
            </w:r>
          </w:p>
        </w:tc>
        <w:tc>
          <w:tcPr>
            <w:tcW w:w="918" w:type="dxa"/>
          </w:tcPr>
          <w:p w14:paraId="4FCD806F" w14:textId="77777777" w:rsidR="00FF7799" w:rsidRPr="00E73F6F" w:rsidRDefault="00FF7799" w:rsidP="00535E2F">
            <w:pPr>
              <w:pStyle w:val="StandardText"/>
            </w:pPr>
            <w:r w:rsidRPr="00E73F6F">
              <w:t>-.43*</w:t>
            </w:r>
          </w:p>
        </w:tc>
        <w:tc>
          <w:tcPr>
            <w:tcW w:w="918" w:type="dxa"/>
          </w:tcPr>
          <w:p w14:paraId="19C4FBCB" w14:textId="77777777" w:rsidR="00FF7799" w:rsidRPr="00E73F6F" w:rsidRDefault="00FF7799" w:rsidP="00535E2F">
            <w:pPr>
              <w:pStyle w:val="StandardText"/>
            </w:pPr>
            <w:r w:rsidRPr="00E73F6F">
              <w:t>.48*</w:t>
            </w:r>
          </w:p>
        </w:tc>
      </w:tr>
      <w:tr w:rsidR="00FF7799" w:rsidRPr="00E73F6F" w14:paraId="4EF4F4D7" w14:textId="77777777" w:rsidTr="00FB26A6">
        <w:tc>
          <w:tcPr>
            <w:tcW w:w="1101" w:type="dxa"/>
            <w:shd w:val="clear" w:color="auto" w:fill="FFF2CC" w:themeFill="accent4" w:themeFillTint="33"/>
          </w:tcPr>
          <w:p w14:paraId="4D9F7A66" w14:textId="77777777" w:rsidR="00FF7799" w:rsidRPr="00E73F6F" w:rsidRDefault="00FF7799" w:rsidP="004D34D5">
            <w:pPr>
              <w:pStyle w:val="StandardText"/>
              <w:jc w:val="center"/>
            </w:pPr>
            <w:r w:rsidRPr="00E73F6F">
              <w:t>9</w:t>
            </w:r>
          </w:p>
        </w:tc>
        <w:tc>
          <w:tcPr>
            <w:tcW w:w="735" w:type="dxa"/>
          </w:tcPr>
          <w:p w14:paraId="7A276767" w14:textId="77777777" w:rsidR="00FF7799" w:rsidRPr="00E73F6F" w:rsidRDefault="00FF7799" w:rsidP="00535E2F">
            <w:pPr>
              <w:pStyle w:val="StandardText"/>
            </w:pPr>
            <w:r w:rsidRPr="00E73F6F">
              <w:t>.07</w:t>
            </w:r>
          </w:p>
        </w:tc>
        <w:tc>
          <w:tcPr>
            <w:tcW w:w="918" w:type="dxa"/>
          </w:tcPr>
          <w:p w14:paraId="54B6DE24" w14:textId="77777777" w:rsidR="00FF7799" w:rsidRPr="00E73F6F" w:rsidRDefault="00FF7799" w:rsidP="00535E2F">
            <w:pPr>
              <w:pStyle w:val="StandardText"/>
            </w:pPr>
            <w:r w:rsidRPr="00E73F6F">
              <w:t>-.32*</w:t>
            </w:r>
          </w:p>
        </w:tc>
        <w:tc>
          <w:tcPr>
            <w:tcW w:w="918" w:type="dxa"/>
          </w:tcPr>
          <w:p w14:paraId="0674F182" w14:textId="77777777" w:rsidR="00FF7799" w:rsidRPr="00E73F6F" w:rsidRDefault="00FF7799" w:rsidP="00535E2F">
            <w:pPr>
              <w:pStyle w:val="StandardText"/>
            </w:pPr>
            <w:r w:rsidRPr="00E73F6F">
              <w:t>-.45*</w:t>
            </w:r>
          </w:p>
        </w:tc>
        <w:tc>
          <w:tcPr>
            <w:tcW w:w="918" w:type="dxa"/>
          </w:tcPr>
          <w:p w14:paraId="4F61C751" w14:textId="77777777" w:rsidR="00FF7799" w:rsidRPr="00E73F6F" w:rsidRDefault="00FF7799" w:rsidP="00535E2F">
            <w:pPr>
              <w:pStyle w:val="StandardText"/>
            </w:pPr>
            <w:r w:rsidRPr="00E73F6F">
              <w:t>-.57</w:t>
            </w:r>
          </w:p>
        </w:tc>
        <w:tc>
          <w:tcPr>
            <w:tcW w:w="918" w:type="dxa"/>
          </w:tcPr>
          <w:p w14:paraId="75284604" w14:textId="77777777" w:rsidR="00FF7799" w:rsidRPr="00E73F6F" w:rsidRDefault="00FF7799" w:rsidP="00535E2F">
            <w:pPr>
              <w:pStyle w:val="StandardText"/>
            </w:pPr>
            <w:r w:rsidRPr="00E73F6F">
              <w:t>.12</w:t>
            </w:r>
          </w:p>
        </w:tc>
        <w:tc>
          <w:tcPr>
            <w:tcW w:w="918" w:type="dxa"/>
          </w:tcPr>
          <w:p w14:paraId="2512EE42" w14:textId="77777777" w:rsidR="00FF7799" w:rsidRPr="00E73F6F" w:rsidRDefault="00FF7799" w:rsidP="00535E2F">
            <w:pPr>
              <w:pStyle w:val="StandardText"/>
            </w:pPr>
            <w:r w:rsidRPr="00E73F6F">
              <w:t>.11</w:t>
            </w:r>
          </w:p>
        </w:tc>
        <w:tc>
          <w:tcPr>
            <w:tcW w:w="918" w:type="dxa"/>
          </w:tcPr>
          <w:p w14:paraId="624B158B" w14:textId="77777777" w:rsidR="00FF7799" w:rsidRPr="00E73F6F" w:rsidRDefault="00FF7799" w:rsidP="00535E2F">
            <w:pPr>
              <w:pStyle w:val="StandardText"/>
            </w:pPr>
            <w:r w:rsidRPr="00E73F6F">
              <w:t>-.14</w:t>
            </w:r>
          </w:p>
        </w:tc>
        <w:tc>
          <w:tcPr>
            <w:tcW w:w="918" w:type="dxa"/>
          </w:tcPr>
          <w:p w14:paraId="75865ED8" w14:textId="77777777" w:rsidR="00FF7799" w:rsidRPr="00E73F6F" w:rsidRDefault="00FF7799" w:rsidP="00535E2F">
            <w:pPr>
              <w:pStyle w:val="StandardText"/>
            </w:pPr>
            <w:r w:rsidRPr="00E73F6F">
              <w:t>.19</w:t>
            </w:r>
          </w:p>
        </w:tc>
        <w:tc>
          <w:tcPr>
            <w:tcW w:w="918" w:type="dxa"/>
          </w:tcPr>
          <w:p w14:paraId="3EF16D25" w14:textId="77777777" w:rsidR="00FF7799" w:rsidRPr="00E73F6F" w:rsidRDefault="00FF7799" w:rsidP="00535E2F">
            <w:pPr>
              <w:pStyle w:val="StandardText"/>
            </w:pPr>
            <w:r w:rsidRPr="00E73F6F">
              <w:t>-.62*</w:t>
            </w:r>
          </w:p>
        </w:tc>
      </w:tr>
      <w:tr w:rsidR="00FF7799" w:rsidRPr="00E73F6F" w14:paraId="127CDEFD" w14:textId="77777777" w:rsidTr="00FB26A6">
        <w:tc>
          <w:tcPr>
            <w:tcW w:w="9180" w:type="dxa"/>
            <w:gridSpan w:val="10"/>
            <w:shd w:val="clear" w:color="auto" w:fill="FFF2CC" w:themeFill="accent4" w:themeFillTint="33"/>
          </w:tcPr>
          <w:p w14:paraId="2661B220" w14:textId="77777777" w:rsidR="00FF7799" w:rsidRPr="00E35FFF" w:rsidRDefault="00FF7799" w:rsidP="004D34D5">
            <w:pPr>
              <w:pStyle w:val="Quellen"/>
              <w:rPr>
                <w:lang w:val="en-US"/>
              </w:rPr>
            </w:pPr>
            <w:r w:rsidRPr="00E35FFF">
              <w:rPr>
                <w:lang w:val="en-US"/>
              </w:rPr>
              <w:t xml:space="preserve">Legende: </w:t>
            </w:r>
          </w:p>
          <w:p w14:paraId="0CFB3D2F" w14:textId="77777777" w:rsidR="00FF7799" w:rsidRPr="00E35FFF" w:rsidRDefault="00FF7799" w:rsidP="004D34D5">
            <w:pPr>
              <w:pStyle w:val="Quellen"/>
              <w:rPr>
                <w:lang w:val="en-US"/>
              </w:rPr>
            </w:pPr>
            <w:r w:rsidRPr="00E35FFF">
              <w:rPr>
                <w:lang w:val="en-US"/>
              </w:rPr>
              <w:t>1 = assertiveness, 2 = institutional collectivism, 3 = in-group collectivism, 4 = future orientation, 5 = gender egalitarianism, 6 = humane orientation, 7 = performance orientation, 8 = power distance, 9 = uncertainty avoidance</w:t>
            </w:r>
          </w:p>
          <w:p w14:paraId="1D66F976" w14:textId="77777777" w:rsidR="00FF7799" w:rsidRPr="00E73F6F" w:rsidRDefault="00FF7799" w:rsidP="004D34D5">
            <w:pPr>
              <w:pStyle w:val="Quellen"/>
            </w:pPr>
            <w:r w:rsidRPr="00E73F6F">
              <w:t>* Signifikanzniveau p &gt; .05 (Basis: n = 61)</w:t>
            </w:r>
          </w:p>
        </w:tc>
      </w:tr>
    </w:tbl>
    <w:p w14:paraId="5B834F73" w14:textId="77777777" w:rsidR="00FF7799" w:rsidRPr="00E73F6F" w:rsidRDefault="00FF7799" w:rsidP="004D34D5">
      <w:pPr>
        <w:pStyle w:val="Quellen"/>
      </w:pPr>
      <w:r w:rsidRPr="00E73F6F">
        <w:t>Quelle: House et al. (2004, S.736).</w:t>
      </w:r>
    </w:p>
    <w:p w14:paraId="578BC9D0" w14:textId="77777777" w:rsidR="00FF7799" w:rsidRPr="00E73F6F" w:rsidRDefault="00FF7799" w:rsidP="00862DBA">
      <w:pPr>
        <w:widowControl/>
        <w:adjustRightInd w:val="0"/>
        <w:jc w:val="both"/>
        <w:rPr>
          <w:sz w:val="24"/>
          <w:szCs w:val="24"/>
        </w:rPr>
      </w:pPr>
    </w:p>
    <w:p w14:paraId="28CA2501" w14:textId="77777777" w:rsidR="00FF7799" w:rsidRPr="005D1E16" w:rsidRDefault="00FF7799" w:rsidP="00862DBA">
      <w:pPr>
        <w:widowControl/>
        <w:adjustRightInd w:val="0"/>
        <w:jc w:val="both"/>
        <w:rPr>
          <w:sz w:val="24"/>
          <w:szCs w:val="24"/>
        </w:rPr>
      </w:pPr>
      <w:r w:rsidRPr="005D1E16">
        <w:rPr>
          <w:sz w:val="24"/>
          <w:szCs w:val="24"/>
        </w:rPr>
        <w:t>Um diesen auch für das GLOBE-Team überraschenden und unverständlichen Befund (vgl. Javidan et al. 2006a, S.901) wenigstens nachträglich erklären zu können, wurden ex-post verschiedene mögliche Erklärungen vorgeschlagen:</w:t>
      </w:r>
    </w:p>
    <w:p w14:paraId="6DFA552D" w14:textId="77777777" w:rsidR="00FF7799" w:rsidRPr="005D1E16" w:rsidRDefault="00FF7799" w:rsidP="00A31BCB">
      <w:pPr>
        <w:pStyle w:val="StandardTextAufzhlung"/>
        <w:ind w:left="426"/>
      </w:pPr>
      <w:r w:rsidRPr="005D1E16">
        <w:t xml:space="preserve">Ungleichzeitigkeit von Wertewandel und Verhaltensänderung, </w:t>
      </w:r>
    </w:p>
    <w:p w14:paraId="37A299EE" w14:textId="77777777" w:rsidR="00FF7799" w:rsidRPr="005D1E16" w:rsidRDefault="00FF7799" w:rsidP="00A31BCB">
      <w:pPr>
        <w:pStyle w:val="StandardTextAufzhlung"/>
        <w:ind w:left="426"/>
      </w:pPr>
      <w:r w:rsidRPr="005D1E16">
        <w:t>wechselnde normative Urteile,</w:t>
      </w:r>
    </w:p>
    <w:p w14:paraId="73F81F97" w14:textId="77777777" w:rsidR="00FF7799" w:rsidRPr="005D1E16" w:rsidRDefault="00FF7799" w:rsidP="00A31BCB">
      <w:pPr>
        <w:pStyle w:val="StandardTextAufzhlung"/>
        <w:ind w:left="426"/>
      </w:pPr>
      <w:r w:rsidRPr="005D1E16">
        <w:t>unterschiedliche Einflussfaktoren,</w:t>
      </w:r>
    </w:p>
    <w:p w14:paraId="10E0E5C9" w14:textId="77777777" w:rsidR="00FF7799" w:rsidRPr="005D1E16" w:rsidRDefault="00FF7799" w:rsidP="00A31BCB">
      <w:pPr>
        <w:pStyle w:val="StandardTextAufzhlung"/>
        <w:ind w:left="426"/>
      </w:pPr>
      <w:r w:rsidRPr="005D1E16">
        <w:t>Mangelhypothese,</w:t>
      </w:r>
    </w:p>
    <w:p w14:paraId="1EDC024C" w14:textId="77777777" w:rsidR="00FF7799" w:rsidRPr="005D1E16" w:rsidRDefault="00FF7799" w:rsidP="00A31BCB">
      <w:pPr>
        <w:pStyle w:val="StandardTextAufzhlung"/>
        <w:ind w:left="426"/>
      </w:pPr>
      <w:r w:rsidRPr="005D1E16">
        <w:t>marginale Präferenzen vs. kulturelle Werte,</w:t>
      </w:r>
    </w:p>
    <w:p w14:paraId="7950F2E0" w14:textId="77777777" w:rsidR="00FF7799" w:rsidRPr="005D1E16" w:rsidRDefault="00FF7799" w:rsidP="00A31BCB">
      <w:pPr>
        <w:pStyle w:val="StandardTextAufzhlung"/>
        <w:ind w:left="426"/>
      </w:pPr>
      <w:r w:rsidRPr="005D1E16">
        <w:t>Hierarchie der Bedürfnisse.</w:t>
      </w:r>
    </w:p>
    <w:p w14:paraId="31827057" w14:textId="77777777" w:rsidR="00FF7799" w:rsidRPr="005D1E16" w:rsidRDefault="00FF7799" w:rsidP="00535E2F">
      <w:pPr>
        <w:pStyle w:val="StandardText"/>
      </w:pPr>
    </w:p>
    <w:p w14:paraId="741C81E9" w14:textId="77777777" w:rsidR="00FF7799" w:rsidRPr="005D1E16" w:rsidRDefault="005D1E16" w:rsidP="004D34D5">
      <w:pPr>
        <w:pStyle w:val="StandardTextkursiv"/>
        <w:rPr>
          <w:i w:val="0"/>
        </w:rPr>
      </w:pPr>
      <w:r>
        <w:rPr>
          <w:i w:val="0"/>
        </w:rPr>
        <w:t xml:space="preserve">(1) </w:t>
      </w:r>
      <w:r w:rsidR="00FF7799" w:rsidRPr="005D1E16">
        <w:rPr>
          <w:i w:val="0"/>
        </w:rPr>
        <w:t xml:space="preserve">Ungleichzeitigkeit von Wertewandel &amp; Verhaltensänderung </w:t>
      </w:r>
    </w:p>
    <w:p w14:paraId="04B0AC5A" w14:textId="77777777" w:rsidR="00FF7799" w:rsidRPr="005D1E16" w:rsidRDefault="00FF7799" w:rsidP="00535E2F">
      <w:pPr>
        <w:pStyle w:val="StandardText"/>
      </w:pPr>
      <w:r w:rsidRPr="005D1E16">
        <w:t xml:space="preserve">Unter dem Eindruck gravierender Umwelteinflüsse ändern sich häufig nach und nach die Werte einer Gesellschaft. Eines der bekanntesten Beispiele eines epochalen Wertewandels ist der mit wachsendem Wohlstand in Verbindung gebrachte Übergang von den materialistischen zu den postmaterialistischen Werten (vgl. Inglehart 1997). Verhaltensweisen allerdings sind im Regelfall änderungsresistenter als Werte, da es zumeist mehr „kostet“ – monetär oder psychisch –, sein Verhalten zu ändern als seine Einstellungen und Werte. Beispielsweise ist es vergleichsweise einfach, für vermehrten Umweltschutz einzutreten: aber aus diesem Grund tatsächlich seinen Fleischkonsum reduzieren oder seine Heizungsanlage erneuern? Deshalb kann es geschehen, dass die „alten Werte“ noch für geraume Zeit in den gelebten Praktiken fortwirken (vgl. Maseland/van Hoorn 2009, S.530). Das Phänomen der „Ungleichzeitigkeit des Wandels von Werten und Verhalten“ ist eine mögliche Erklärung der negativen Korrelationen zwischen Werten und Praktiken. </w:t>
      </w:r>
    </w:p>
    <w:p w14:paraId="08D0B0F8" w14:textId="77777777" w:rsidR="00FF7799" w:rsidRPr="005D1E16" w:rsidRDefault="00FF7799" w:rsidP="00535E2F">
      <w:pPr>
        <w:pStyle w:val="StandardText"/>
      </w:pPr>
    </w:p>
    <w:p w14:paraId="4921DD61" w14:textId="77777777" w:rsidR="00FF7799" w:rsidRPr="005D1E16" w:rsidRDefault="005D1E16" w:rsidP="004D34D5">
      <w:pPr>
        <w:pStyle w:val="StandardTextkursiv"/>
        <w:rPr>
          <w:i w:val="0"/>
        </w:rPr>
      </w:pPr>
      <w:r>
        <w:rPr>
          <w:i w:val="0"/>
        </w:rPr>
        <w:t xml:space="preserve">(2) </w:t>
      </w:r>
      <w:r w:rsidR="00FF7799" w:rsidRPr="005D1E16">
        <w:rPr>
          <w:i w:val="0"/>
        </w:rPr>
        <w:t>Wechselnde normative Urteile</w:t>
      </w:r>
    </w:p>
    <w:p w14:paraId="3336B06D" w14:textId="77777777" w:rsidR="00FF7799" w:rsidRPr="00E73F6F" w:rsidRDefault="00FF7799" w:rsidP="00535E2F">
      <w:pPr>
        <w:pStyle w:val="StandardText"/>
      </w:pPr>
      <w:r w:rsidRPr="005D1E16">
        <w:t xml:space="preserve">Um Kritik an seinem eigenen Kulturmodell abzuwehren, misst Hofstede (2006, S.886) dem Phänomen des Werte- bzw. Kulturwandels bekanntlich keine Bedeutung bei. Deshalb bietet er für die mehrheitlich negativen Korrelationen eine gänzlich andersartige Erklärung an: Die Einschätzung der Praktiken sei ideologisch gefärbt und folglich nicht valide. Er begründet diese These folgendermaßen: Die Befragten erheben die jeweiligen Werte („wie ihre Gesellschaft </w:t>
      </w:r>
      <w:r w:rsidRPr="005D1E16">
        <w:lastRenderedPageBreak/>
        <w:t>sein sollte“) zur Norm und kritisieren ihre Gesellschaft, da diese der idealisierten Norm natürlich nicht gerecht wird. So wünschen sich die meisten Befragten einen</w:t>
      </w:r>
      <w:r w:rsidRPr="00E73F6F">
        <w:t xml:space="preserve"> menschlichen Umgang miteinander (</w:t>
      </w:r>
      <w:r w:rsidRPr="00E73F6F">
        <w:rPr>
          <w:bCs/>
        </w:rPr>
        <w:t>x̄</w:t>
      </w:r>
      <w:r w:rsidRPr="00E73F6F">
        <w:t xml:space="preserve"> </w:t>
      </w:r>
      <w:r w:rsidRPr="00C66133">
        <w:rPr>
          <w:vertAlign w:val="subscript"/>
        </w:rPr>
        <w:t>‘human orientation values‘</w:t>
      </w:r>
      <w:r w:rsidR="00C66133">
        <w:rPr>
          <w:vertAlign w:val="subscript"/>
        </w:rPr>
        <w:t xml:space="preserve"> </w:t>
      </w:r>
      <w:r w:rsidRPr="00E73F6F">
        <w:t>= 5,42). Allerdings vermisst so mancher Mitmenschlichkeit im täglichen Leben (</w:t>
      </w:r>
      <w:r w:rsidRPr="00E73F6F">
        <w:rPr>
          <w:bCs/>
        </w:rPr>
        <w:t>x̄</w:t>
      </w:r>
      <w:r w:rsidRPr="00E73F6F">
        <w:t xml:space="preserve"> </w:t>
      </w:r>
      <w:r w:rsidRPr="00C66133">
        <w:rPr>
          <w:vertAlign w:val="subscript"/>
        </w:rPr>
        <w:t>‘human orientation practices‘</w:t>
      </w:r>
      <w:r w:rsidRPr="00E73F6F">
        <w:t xml:space="preserve"> = 4,09), was eine negative Korrelation von ‘values‘ und ‘practices‘ zur Folge hat). Positive Korrelationen, etwa im Falle von Geschlechtergleichheit, erklärt Hofstede (2006, S.886) wiederum damit, dass die Befragten in diesen Fällen die beobachteten Praktiken zur Norm erheben und ihre Wünsche danach ausrichten. Diese Beliebigkeit der Argumentation veranlasste Javidan et al. (2006a, S. 901) zur Frage, warum das eine Mal die Werte die Norm sein sollen (was negative Korrelationen zur Folge hat) und ein anderes Mal die Praktiken (= positive Korrelation).</w:t>
      </w:r>
    </w:p>
    <w:p w14:paraId="541B0570" w14:textId="77777777" w:rsidR="00FF7799" w:rsidRPr="00E73F6F" w:rsidRDefault="00FF7799" w:rsidP="00535E2F">
      <w:pPr>
        <w:pStyle w:val="StandardText"/>
      </w:pPr>
    </w:p>
    <w:p w14:paraId="2BAC6A3D" w14:textId="77777777" w:rsidR="00FF7799" w:rsidRPr="005D1E16" w:rsidRDefault="005D1E16" w:rsidP="004D34D5">
      <w:pPr>
        <w:pStyle w:val="StandardTextkursiv"/>
        <w:rPr>
          <w:i w:val="0"/>
        </w:rPr>
      </w:pPr>
      <w:r w:rsidRPr="005D1E16">
        <w:rPr>
          <w:i w:val="0"/>
        </w:rPr>
        <w:t xml:space="preserve">(3) </w:t>
      </w:r>
      <w:r w:rsidR="00FF7799" w:rsidRPr="005D1E16">
        <w:rPr>
          <w:i w:val="0"/>
        </w:rPr>
        <w:t xml:space="preserve">Unterschiedliche Einflussfaktoren </w:t>
      </w:r>
    </w:p>
    <w:p w14:paraId="107463C1" w14:textId="77777777" w:rsidR="00FF7799" w:rsidRPr="00E73F6F" w:rsidRDefault="00FF7799" w:rsidP="00535E2F">
      <w:pPr>
        <w:pStyle w:val="StandardText"/>
      </w:pPr>
      <w:r w:rsidRPr="005D1E16">
        <w:t>Angehörige des GLOBE-Konsortiums „erklären“ die Diskrepanz zwischen Werten und Praktiken damit, dass beide mit Unterschiedlichem zusammenhängen. So korreliert die Präferenz für einen bestimmten Führungsstil (z.B. charismatisch) mit Werten (z.B. Akzeptanz von Machtdistanz), nicht hingegen mit den Praktiken derselben Kulturdimension. Sie wiederum hängen mit verschiedenen gesellschaftlichen Phänomenen (Wirtschaftskraft, nationale Wettbewerbsfähigkeit, Lebenserwartung etc.) zusammen (vgl. Javidan et al. 2006a, S.903). Dass „Werte“ und „Praktiken“ offenbar Unterschiedliches erfassen, ist allerdings bestenfalls eine „Erklärung im Nachhinein“, oder die Beschreibung eines unerwarteten Phänomens. Auch gibt sie keine Antwort darauf, warum mal positive, mal negative und mal keine Korrelationen zwischen Werten und Praktiken zu beobachten sind</w:t>
      </w:r>
      <w:r w:rsidRPr="00E73F6F">
        <w:t>.</w:t>
      </w:r>
    </w:p>
    <w:p w14:paraId="5C23A26D" w14:textId="77777777" w:rsidR="00FF7799" w:rsidRPr="00E73F6F" w:rsidRDefault="00FF7799" w:rsidP="00535E2F">
      <w:pPr>
        <w:pStyle w:val="StandardText"/>
      </w:pPr>
    </w:p>
    <w:p w14:paraId="5E1B1C18" w14:textId="77777777" w:rsidR="00FF7799" w:rsidRPr="005D1E16" w:rsidRDefault="005D1E16" w:rsidP="004D34D5">
      <w:pPr>
        <w:pStyle w:val="StandardTextkursiv"/>
        <w:rPr>
          <w:i w:val="0"/>
        </w:rPr>
      </w:pPr>
      <w:r w:rsidRPr="005D1E16">
        <w:rPr>
          <w:i w:val="0"/>
        </w:rPr>
        <w:t xml:space="preserve">(4) </w:t>
      </w:r>
      <w:r w:rsidR="00FF7799" w:rsidRPr="005D1E16">
        <w:rPr>
          <w:i w:val="0"/>
        </w:rPr>
        <w:t xml:space="preserve">Mangelhypothese </w:t>
      </w:r>
    </w:p>
    <w:p w14:paraId="51119F28" w14:textId="77777777" w:rsidR="00FF7799" w:rsidRPr="00E73F6F" w:rsidRDefault="00FF7799" w:rsidP="00535E2F">
      <w:pPr>
        <w:pStyle w:val="StandardText"/>
      </w:pPr>
      <w:r w:rsidRPr="00E73F6F">
        <w:t xml:space="preserve">Grundlage für diese Hypothese ist folgende Beobachtung: Die durchschnittlichen Mittelwerte der ‘values‘ fallen bei Leistungsorientierung, Zukunftsorientierung, Humanorientierung und Akzeptanz von Machtdistanz höher aus als die Mittelwerte der ‘practices‘, und zugleich sind die Abstände zwischen Werten und Praktiken umso größer, je geringer die ‘practice scores‘ sind. Dieses Phänomen versuchen Javidan et al. (2006a, S.902) mit der Mangelhypothese zu erklären (‘deprivation hypothesis‘). </w:t>
      </w:r>
    </w:p>
    <w:p w14:paraId="2C13A497" w14:textId="77777777" w:rsidR="00FF7799" w:rsidRPr="00E73F6F" w:rsidRDefault="00FF7799" w:rsidP="00535E2F">
      <w:pPr>
        <w:pStyle w:val="StandardText"/>
      </w:pPr>
      <w:r w:rsidRPr="00E73F6F">
        <w:t>Demnach verstärkt ein beobachteter Mangel an einem bestimmten Verhalten (= niedrige Werte für ‘practices‘) den Wunsch nach diesem Verhalten (= hohe Werte für ‘values‘), während dieser Wunsch weniger stark ausgeprägt ist (= niedrige Value-Scores), wenn kein Mangel herrscht (= hohe Practice-Scores). Mit anderen Worten: Wer bspw. seine Gesellschaft für wenig leistungsorientiert hält, wünscht sich mehr Leistungsdruck. Nicht so, wenn bereits starker Leistungsdruck herrscht. Was Menschen für wünschenswert halten (= Soll-Zustand), hängt folglich davon ab, wie sie den Ist-Zustand wahrnehmen. Empfinden sie dabei ein Defizit, so verstärkt dies den Wunsch nach dem, was fehlt. Allerdings bleibt unklar, warum die Mangelhypothese nur für vier Dimensionen gelten soll und für die anderen nicht. Widersprüchlich ist u.a., dass Werte und Praktiken der Dimension Geschlechtergleichheit positiv miteinander korrelieren. Auch dass Menschen in Ländern, in denen alles daran gesetzt wird, Ungewissheit zu vermeiden (= ‘practices‘), sich weniger Ungewissheitsvermeidung wünschen (= ‘values‘), kann man mit der Mangelhypothese nicht erklären.</w:t>
      </w:r>
    </w:p>
    <w:p w14:paraId="089DED48" w14:textId="77777777" w:rsidR="00FF7799" w:rsidRPr="00E73F6F" w:rsidRDefault="00FF7799" w:rsidP="00535E2F">
      <w:pPr>
        <w:pStyle w:val="StandardText"/>
      </w:pPr>
    </w:p>
    <w:p w14:paraId="2DA48E04" w14:textId="77777777" w:rsidR="00FF7799" w:rsidRPr="005D1E16" w:rsidRDefault="005D1E16" w:rsidP="004D34D5">
      <w:pPr>
        <w:pStyle w:val="StandardTextkursiv"/>
        <w:rPr>
          <w:i w:val="0"/>
        </w:rPr>
      </w:pPr>
      <w:r w:rsidRPr="005D1E16">
        <w:rPr>
          <w:i w:val="0"/>
        </w:rPr>
        <w:t xml:space="preserve">(5) </w:t>
      </w:r>
      <w:r w:rsidR="00FF7799" w:rsidRPr="005D1E16">
        <w:rPr>
          <w:i w:val="0"/>
        </w:rPr>
        <w:t>Marginale Präferenzen vs. kulturelle Werte</w:t>
      </w:r>
    </w:p>
    <w:p w14:paraId="1CE90566" w14:textId="77777777" w:rsidR="00FF7799" w:rsidRPr="005D1E16" w:rsidRDefault="00FF7799" w:rsidP="00535E2F">
      <w:pPr>
        <w:pStyle w:val="StandardText"/>
      </w:pPr>
      <w:r w:rsidRPr="005D1E16">
        <w:t xml:space="preserve">Maseland/van Hoorn (2009, S.528f.) halten die Mangelhypothese lediglich für ein Synonym des mikroökonomischen Gesetzes vom abnehmenden Grenznutzen. Demnach stiftet uns eine </w:t>
      </w:r>
      <w:r w:rsidRPr="005D1E16">
        <w:lastRenderedPageBreak/>
        <w:t xml:space="preserve">zusätzliche Einheit von einem Gut, mit dem wir bereits gesättigt sind, keinen nennenswerten zusätzlichen Nutzen. Empfinden wir jedoch ein Defizit, dann erscheint uns das Gut umso wünschenswerter, je größer das Defizit ist. Hohe Practice-Scores gehen daher zwangsläufig mit geringen Value-Scoers einher und umgekehrt. Maseland/van Hoorn (2009, S.529ff.) folgern daraus, dass der GLOBE-Ansatz keine kulturellen Werte, sondern sog. marginale Präferenzen misst – also den zusätzlichen Nutzen, den die Erfüllung eines Wunsches über den Status quo hinaus für den Befragten darstellt. Deshalb könne die GLOBE-Studie die ‘onion assumption‘ nicht in Frage stellen. Ein valides, universell gültiges Werteinventar dürfe nicht vom gewärtigen Ausmaß der Erfüllung eines Wunsches abhängen. </w:t>
      </w:r>
      <w:r w:rsidR="00FB26A6" w:rsidRPr="005D1E16">
        <w:t xml:space="preserve">Die beiden Wissenschaftler </w:t>
      </w:r>
      <w:r w:rsidRPr="005D1E16">
        <w:t>schlugen deshalb eine alternative Art der Fragestellung vor, um diesem Anspruch gerecht zu werden:</w:t>
      </w:r>
    </w:p>
    <w:p w14:paraId="3280DAA5" w14:textId="77777777" w:rsidR="00FF7799" w:rsidRPr="005D1E16" w:rsidRDefault="00FF7799" w:rsidP="00FB26A6">
      <w:pPr>
        <w:pStyle w:val="StandardText"/>
        <w:shd w:val="clear" w:color="auto" w:fill="DEEAF6" w:themeFill="accent1" w:themeFillTint="33"/>
        <w:rPr>
          <w:lang w:val="en-US"/>
        </w:rPr>
      </w:pPr>
      <w:r w:rsidRPr="005D1E16">
        <w:rPr>
          <w:lang w:val="en-US"/>
        </w:rPr>
        <w:t>„Imagine that your current society no longer exists and that you are faced with a choice between four other societies in which you live. The societies differ only in the degree of protection of freedom (“very free to not at all free”) and the degree of equality (“very unequal to very equal”). Please indicate the society in which you would most like to live by circling th</w:t>
      </w:r>
      <w:r w:rsidR="00FB26A6" w:rsidRPr="005D1E16">
        <w:rPr>
          <w:lang w:val="en-US"/>
        </w:rPr>
        <w:t>e corresponding number (1 to 4)</w:t>
      </w:r>
      <w:r w:rsidRPr="005D1E16">
        <w:rPr>
          <w:lang w:val="en-US"/>
        </w:rPr>
        <w:t>”</w:t>
      </w:r>
      <w:r w:rsidR="00FB26A6" w:rsidRPr="005D1E16">
        <w:rPr>
          <w:lang w:val="en-US"/>
        </w:rPr>
        <w:t xml:space="preserve"> (Maseland/van Hoorn 2009, S.530f.).</w:t>
      </w:r>
    </w:p>
    <w:p w14:paraId="1450B573" w14:textId="77777777" w:rsidR="00FB26A6" w:rsidRPr="005D1E16" w:rsidRDefault="00FB26A6" w:rsidP="00535E2F">
      <w:pPr>
        <w:pStyle w:val="StandardText"/>
        <w:rPr>
          <w:lang w:val="en-US"/>
        </w:rPr>
      </w:pPr>
    </w:p>
    <w:p w14:paraId="774DB785" w14:textId="6D164B8B" w:rsidR="00FF7799" w:rsidRPr="005D1E16" w:rsidRDefault="00FF7799" w:rsidP="00535E2F">
      <w:pPr>
        <w:pStyle w:val="StandardText"/>
      </w:pPr>
      <w:r w:rsidRPr="005D1E16">
        <w:t xml:space="preserve">Zweifel an den von Maseland &amp; van Hoorn getroffenen Annahmen äußerten u.a. Brewer/Venaik (2010). Sie wandten ein, dass dem Gesetz vom abnehmenden Grenznutzen ein unrealistisches Menschenbild zugrunde liege: das des strikt </w:t>
      </w:r>
      <w:r w:rsidR="00A31BCB">
        <w:t>rational-</w:t>
      </w:r>
      <w:r w:rsidRPr="005D1E16">
        <w:t xml:space="preserve">kaufmännisch kalkulierenden Menschen, dessen Präferenzen für bestimmte Konsumgüter nachlassen, sobald er mit diesen ausreichend ausgestattet ist. Die Übertragbarkeit dieser Modellvorstellung sei mehr als fraglich. Zumindest ebenso plausibel sei es, dass Menschen soziale Beziehungen für wünschenswert halten, weil sie zahlreiche Freunde und Bekannte haben. </w:t>
      </w:r>
    </w:p>
    <w:p w14:paraId="7B8652BD" w14:textId="77777777" w:rsidR="00FF7799" w:rsidRPr="005D1E16" w:rsidRDefault="00FF7799" w:rsidP="00535E2F">
      <w:pPr>
        <w:pStyle w:val="StandardText"/>
      </w:pPr>
    </w:p>
    <w:p w14:paraId="6B210C60" w14:textId="77777777" w:rsidR="00FF7799" w:rsidRPr="005D1E16" w:rsidRDefault="005D1E16" w:rsidP="004D34D5">
      <w:pPr>
        <w:pStyle w:val="StandardTextkursiv"/>
        <w:rPr>
          <w:i w:val="0"/>
        </w:rPr>
      </w:pPr>
      <w:r w:rsidRPr="005D1E16">
        <w:rPr>
          <w:i w:val="0"/>
        </w:rPr>
        <w:t xml:space="preserve">(6) </w:t>
      </w:r>
      <w:r w:rsidR="00FF7799" w:rsidRPr="005D1E16">
        <w:rPr>
          <w:i w:val="0"/>
        </w:rPr>
        <w:t>Hierarchie der Bedürfnisse</w:t>
      </w:r>
    </w:p>
    <w:p w14:paraId="6DE4B87B" w14:textId="77777777" w:rsidR="00FF7799" w:rsidRPr="005D1E16" w:rsidRDefault="00FF7799" w:rsidP="00535E2F">
      <w:pPr>
        <w:pStyle w:val="StandardText"/>
      </w:pPr>
      <w:r w:rsidRPr="005D1E16">
        <w:t xml:space="preserve">Die Erklärung, die Venaik/Brewer (2010, S.1307ff.) für die Diskrepanz von Werten und Praktiken im Falle von Ungewissheitsvermeidung vorschlugen, rekurriert auf Maslows Bedürfnispyramide. Ungewissheitsvermeidung repräsentiert in der GLOBE-Studie den Wunsch nach bzw. das Vorhandensein von Struktur und Ordnung, Regeln und Gesetzen. Empirisch lässt sich zeigen, dass ‘uncertainty avoidance values‘ und ‘practices‘ negativ korrelieren und zudem in gegenläufiger Weise: Bei niedrigen Practice-Mittelwerten bleiben die Praktiken hinter den Werten zurück (‘values‘ &gt; ‘practices‘), bei hohen Practice-Mittelwerte hingegen die Werte hinter den Praktiken (‘practices‘ &gt; ‘values‘). </w:t>
      </w:r>
    </w:p>
    <w:p w14:paraId="7A863F64" w14:textId="77777777" w:rsidR="00FF7799" w:rsidRPr="005D1E16" w:rsidRDefault="00FF7799" w:rsidP="00535E2F">
      <w:pPr>
        <w:pStyle w:val="StandardText"/>
      </w:pPr>
      <w:r w:rsidRPr="005D1E16">
        <w:t xml:space="preserve">Ausgangspunkt der Erklärung ist der empirische Nachweis, dass die ökonomische Prosperität eines Landes positiv mit den GLOBE-Praktiken für Ungewissheitsvermeidung korreliert, aber negativ mit den GLOBE-Werten (vgl. Javidan et al. 2006a; 2004). Dies bedeutet, dass reiche Länder sich eine Vielzahl von Regeln und Gesetzen gegeben haben, die für Struktur und Ordnung sorgen, arme hingegen nicht. Für wünschenswert halten die Bewohner dieser Länder jedoch jeweils das Gegenteil: Bewohner reicher Länder weniger Regeln und Gesetze und Bewohner armer Länder mehr Regeln und Gesetze. </w:t>
      </w:r>
    </w:p>
    <w:p w14:paraId="0B3AD126" w14:textId="77777777" w:rsidR="00FF7799" w:rsidRPr="00E73F6F" w:rsidRDefault="00FF7799" w:rsidP="00535E2F">
      <w:pPr>
        <w:pStyle w:val="StandardText"/>
      </w:pPr>
      <w:r w:rsidRPr="005D1E16">
        <w:t xml:space="preserve">Venaik/Brewer (2010, S.1307ff.) begründen dies motivationstheoretisch. Entsprechend der von Maslow (1943) vorgeschlagenen Bedürfnispyramide sind Bedürfnisse hierarchisch strukturiert: Der Mensch versucht zunächst, seine grundlegenden Bedürfnisse zu stillen (z.B. Nahrung, Sicherheit). Sind diese sog. Defizitbedürfnisse erfüllt, dann treten andere, „höherrangige“ Bedürfnisse in den Vordergrund (z.B. nach Selbstverwirklichung). In armen Ländern mit ihren häufig vergleichsweise ungeordneten Lebensverhältnissen entspringt der Wunsch nach Regeln und Ordnung einem grundlegenden Sicherheitsbedürfnis. Reiche Länder hingegen zeichnen sich </w:t>
      </w:r>
      <w:r w:rsidRPr="005D1E16">
        <w:lastRenderedPageBreak/>
        <w:t>durch ein komplexes Rechtssystem aus, dessen positive Wirkungen als selbstverständlich wahrgenommen werden (d.h. Recht &amp; Ordnung), während die hohe Regelungsdichte als eineng</w:t>
      </w:r>
      <w:r w:rsidRPr="00E73F6F">
        <w:t>end erlebt wird, als Behinderung des individuellen Strebens nach Selbstverwirklichung. Dies erklärt, warum sich die einen mehr und die anderen weniger Regeln und Gesetze wünschen.</w:t>
      </w:r>
    </w:p>
    <w:p w14:paraId="6A764EFB" w14:textId="77777777" w:rsidR="00FF7799" w:rsidRPr="00E73F6F" w:rsidRDefault="00FF7799" w:rsidP="00535E2F">
      <w:pPr>
        <w:pStyle w:val="StandardText"/>
      </w:pPr>
    </w:p>
    <w:p w14:paraId="57C0EB84" w14:textId="77777777" w:rsidR="00FF7799" w:rsidRPr="00E73F6F" w:rsidRDefault="00FF7799" w:rsidP="00535E2F">
      <w:pPr>
        <w:pStyle w:val="StandardText"/>
      </w:pPr>
      <w:r w:rsidRPr="00E73F6F">
        <w:rPr>
          <w:noProof/>
        </w:rPr>
        <mc:AlternateContent>
          <mc:Choice Requires="wps">
            <w:drawing>
              <wp:inline distT="0" distB="0" distL="0" distR="0" wp14:anchorId="03DF73DF" wp14:editId="2E6CF3E0">
                <wp:extent cx="5695950" cy="1404620"/>
                <wp:effectExtent l="0" t="0" r="19050" b="20955"/>
                <wp:docPr id="330083" name="Textfeld 3300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1404620"/>
                        </a:xfrm>
                        <a:prstGeom prst="rect">
                          <a:avLst/>
                        </a:prstGeom>
                        <a:solidFill>
                          <a:srgbClr val="FFFFFF"/>
                        </a:solidFill>
                        <a:ln w="9525">
                          <a:solidFill>
                            <a:srgbClr val="000000"/>
                          </a:solidFill>
                          <a:miter lim="800000"/>
                          <a:headEnd/>
                          <a:tailEnd/>
                        </a:ln>
                      </wps:spPr>
                      <wps:txbx>
                        <w:txbxContent>
                          <w:p w14:paraId="1883C2AA" w14:textId="77777777" w:rsidR="00E17A2B" w:rsidRPr="009D2A8B" w:rsidRDefault="00E17A2B" w:rsidP="00FB26A6">
                            <w:pPr>
                              <w:pStyle w:val="Standardklein"/>
                              <w:shd w:val="clear" w:color="auto" w:fill="DEEAF6" w:themeFill="accent1" w:themeFillTint="33"/>
                              <w:rPr>
                                <w:b/>
                              </w:rPr>
                            </w:pPr>
                            <w:r w:rsidRPr="009D2A8B">
                              <w:rPr>
                                <w:b/>
                              </w:rPr>
                              <w:t>Fazit</w:t>
                            </w:r>
                          </w:p>
                          <w:p w14:paraId="11CFAB95" w14:textId="77777777" w:rsidR="00E17A2B" w:rsidRDefault="00E17A2B" w:rsidP="00FB26A6">
                            <w:pPr>
                              <w:pStyle w:val="Standardklein"/>
                              <w:shd w:val="clear" w:color="auto" w:fill="DEEAF6" w:themeFill="accent1" w:themeFillTint="33"/>
                            </w:pPr>
                          </w:p>
                          <w:p w14:paraId="66F632F7" w14:textId="77777777" w:rsidR="00E17A2B" w:rsidRDefault="00E17A2B" w:rsidP="00FB26A6">
                            <w:pPr>
                              <w:pStyle w:val="Standardklein"/>
                              <w:shd w:val="clear" w:color="auto" w:fill="DEEAF6" w:themeFill="accent1" w:themeFillTint="33"/>
                            </w:pPr>
                            <w:r>
                              <w:t xml:space="preserve">Offenbar </w:t>
                            </w:r>
                            <w:r w:rsidRPr="00E151AE">
                              <w:t xml:space="preserve">erfassen die </w:t>
                            </w:r>
                            <w:r w:rsidRPr="00E151AE">
                              <w:rPr>
                                <w:i/>
                              </w:rPr>
                              <w:t>GLOBE</w:t>
                            </w:r>
                            <w:r w:rsidRPr="00E151AE">
                              <w:t xml:space="preserve">-Values und die </w:t>
                            </w:r>
                            <w:r w:rsidRPr="00E151AE">
                              <w:rPr>
                                <w:i/>
                              </w:rPr>
                              <w:t>GLOBE</w:t>
                            </w:r>
                            <w:r w:rsidRPr="00E151AE">
                              <w:t>-Practices unterschiedliche Facetten des Konstrukts Landeskultur. Alle Versuche, diese Diskrepanz zu erklären, leiden unter ein und derselben Schwäche. Sie gelten immer nur für einzelne Kulturdimensionen. Was nach wie vor fehlt, ist ein umfassender Erklärungsansatz, der alle neun Kulturdimensionen einbezieht. Offen ist weiterhin die Frage, ob ‘values‘ oder ‘practices‘ besser geeignet sind, um bestimmte Marketingphänomene zu erforschen. Manifestes Verhalten (z.B. Anteil von Bioware an den gesamten Einkäufen) lässt sich möglicherweise besser mithilfe von Praktiken erklären, Einstellungen (z.B. gegenüber Umweltschutz) hingegen besser mithilfe von Werten.</w:t>
                            </w:r>
                          </w:p>
                        </w:txbxContent>
                      </wps:txbx>
                      <wps:bodyPr rot="0" vert="horz" wrap="square" lIns="91440" tIns="45720" rIns="91440" bIns="45720" anchor="t" anchorCtr="0">
                        <a:spAutoFit/>
                      </wps:bodyPr>
                    </wps:wsp>
                  </a:graphicData>
                </a:graphic>
              </wp:inline>
            </w:drawing>
          </mc:Choice>
          <mc:Fallback>
            <w:pict>
              <v:shape w14:anchorId="03DF73DF" id="Textfeld 330083" o:spid="_x0000_s1029" type="#_x0000_t202" style="width:448.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">
                <v:textbox style="mso-fit-shape-to-text:t">
                  <w:txbxContent>
                    <w:p w14:paraId="1883C2AA" w14:textId="77777777" w:rsidR="00E17A2B" w:rsidRPr="009D2A8B" w:rsidRDefault="00E17A2B" w:rsidP="00FB26A6">
                      <w:pPr>
                        <w:pStyle w:val="Standardklein"/>
                        <w:shd w:val="clear" w:color="auto" w:fill="DEEAF6" w:themeFill="accent1" w:themeFillTint="33"/>
                        <w:rPr>
                          <w:b/>
                        </w:rPr>
                      </w:pPr>
                      <w:r w:rsidRPr="009D2A8B">
                        <w:rPr>
                          <w:b/>
                        </w:rPr>
                        <w:t>Fazit</w:t>
                      </w:r>
                    </w:p>
                    <w:p w14:paraId="11CFAB95" w14:textId="77777777" w:rsidR="00E17A2B" w:rsidRDefault="00E17A2B" w:rsidP="00FB26A6">
                      <w:pPr>
                        <w:pStyle w:val="Standardklein"/>
                        <w:shd w:val="clear" w:color="auto" w:fill="DEEAF6" w:themeFill="accent1" w:themeFillTint="33"/>
                      </w:pPr>
                    </w:p>
                    <w:p w14:paraId="66F632F7" w14:textId="77777777" w:rsidR="00E17A2B" w:rsidRDefault="00E17A2B" w:rsidP="00FB26A6">
                      <w:pPr>
                        <w:pStyle w:val="Standardklein"/>
                        <w:shd w:val="clear" w:color="auto" w:fill="DEEAF6" w:themeFill="accent1" w:themeFillTint="33"/>
                      </w:pPr>
                      <w:r>
                        <w:t xml:space="preserve">Offenbar </w:t>
                      </w:r>
                      <w:r w:rsidRPr="00E151AE">
                        <w:t xml:space="preserve">erfassen die </w:t>
                      </w:r>
                      <w:r w:rsidRPr="00E151AE">
                        <w:rPr>
                          <w:i/>
                        </w:rPr>
                        <w:t>GLOBE</w:t>
                      </w:r>
                      <w:r w:rsidRPr="00E151AE">
                        <w:t xml:space="preserve">-Values und die </w:t>
                      </w:r>
                      <w:r w:rsidRPr="00E151AE">
                        <w:rPr>
                          <w:i/>
                        </w:rPr>
                        <w:t>GLOBE</w:t>
                      </w:r>
                      <w:r w:rsidRPr="00E151AE">
                        <w:t>-Practices unterschiedliche Facetten des Konstrukts Landeskultur. Alle Versuche, diese Diskrepanz zu erklären, leiden unter ein und derselben Schwäche. Sie gelten immer nur für einzelne Kulturdimensionen. Was nach wie vor fehlt, ist ein umfassender Erklärungsansatz, der alle neun Kulturdimensionen einbezieht. Offen ist weiterhin die Frage, ob ‘values‘ oder ‘practices‘ besser geeignet sind, um bestimmte Marketingphänomene zu erforschen. Manifestes Verhalten (z.B. Anteil von Bioware an den gesamten Einkäufen) lässt sich möglicherweise besser mithilfe von Praktiken erklären, Einstellungen (z.B. gegenüber Umweltschutz) hingegen besser mithilfe von Werten.</w:t>
                      </w:r>
                    </w:p>
                  </w:txbxContent>
                </v:textbox>
                <w10:anchorlock/>
              </v:shape>
            </w:pict>
          </mc:Fallback>
        </mc:AlternateContent>
      </w:r>
    </w:p>
    <w:p w14:paraId="1F181C38" w14:textId="77777777" w:rsidR="00FF7799" w:rsidRPr="00E73F6F" w:rsidRDefault="00FF7799" w:rsidP="00535E2F">
      <w:pPr>
        <w:pStyle w:val="StandardText"/>
      </w:pPr>
    </w:p>
    <w:p w14:paraId="7AFF4E15" w14:textId="77777777" w:rsidR="00FF7799" w:rsidRPr="005D1E16" w:rsidRDefault="00FF7799" w:rsidP="00F22504">
      <w:pPr>
        <w:pStyle w:val="StandardTextkursiv"/>
        <w:rPr>
          <w:i w:val="0"/>
          <w:lang w:bidi="en-US"/>
        </w:rPr>
      </w:pPr>
      <w:r w:rsidRPr="005D1E16">
        <w:rPr>
          <w:i w:val="0"/>
          <w:lang w:bidi="en-US"/>
        </w:rPr>
        <w:t>4.2 Unabhängigkeit der Dimensionen</w:t>
      </w:r>
    </w:p>
    <w:p w14:paraId="2F636F3F" w14:textId="77777777" w:rsidR="00FF7799" w:rsidRPr="005D1E16" w:rsidRDefault="00FF7799" w:rsidP="00535E2F">
      <w:pPr>
        <w:pStyle w:val="StandardText"/>
      </w:pPr>
      <w:r w:rsidRPr="005D1E16">
        <w:t>Auf der Ebene der Praktiken (‘as is‘) sind 20 der 36 Interkorrelationen der GLOBE-Kulturdimensionen mit einer 5%-Irrtumswahrscheinl</w:t>
      </w:r>
      <w:r w:rsidR="0008380D" w:rsidRPr="005D1E16">
        <w:t>ichkeit signifikant (vgl. Tab. 2</w:t>
      </w:r>
      <w:r w:rsidRPr="005D1E16">
        <w:t xml:space="preserve">). In sechs Fällen ist die Korrelation größer bzw. gleich .50, was einem Anteil gemeinsamer Varianz von 25% und mehr entspricht. </w:t>
      </w:r>
      <w:r w:rsidRPr="005D1E16">
        <w:rPr>
          <w:lang w:val="en-US"/>
        </w:rPr>
        <w:t xml:space="preserve">Am höchsten korrelieren ‘future orientation‘ &amp; ‘uncertainty avoidance‘ (r = .76), ‘future orientation‘ &amp; ‘performance orientation‘ (r = .63), ‘uncertainty avoidance‘ &amp; ‘in-group collectivism‘ (r = 0.60) sowie ‘uncertainty avoidance‘ &amp; ‘performance orientation‘ (r = .58). </w:t>
      </w:r>
      <w:r w:rsidRPr="005D1E16">
        <w:t>Dies spricht dafür, dass drei der GLOBE-Kulturdimensionen nicht unabhängig sind (im Sinne orthogonaler Faktoren): nämlich ‘uncertainty avoidance‘,‘future orientation‘ &amp; ‘performance orientation‘.</w:t>
      </w:r>
    </w:p>
    <w:p w14:paraId="14AF81DB" w14:textId="77777777" w:rsidR="00FF7799" w:rsidRPr="00037FAC" w:rsidRDefault="00FF7799" w:rsidP="00535E2F">
      <w:pPr>
        <w:pStyle w:val="StandardText"/>
        <w:rPr>
          <w:i/>
          <w:iCs/>
        </w:rPr>
      </w:pPr>
    </w:p>
    <w:p w14:paraId="2C156A5A" w14:textId="77777777" w:rsidR="00FF7799" w:rsidRPr="00037FAC" w:rsidRDefault="0008380D" w:rsidP="00535E2F">
      <w:pPr>
        <w:pStyle w:val="BeschriftungTab"/>
        <w:rPr>
          <w:i/>
          <w:iCs/>
          <w:lang w:bidi="en-US"/>
        </w:rPr>
      </w:pPr>
      <w:r w:rsidRPr="00037FAC">
        <w:rPr>
          <w:i/>
          <w:iCs/>
          <w:lang w:bidi="en-US"/>
        </w:rPr>
        <w:t>Tab. 2</w:t>
      </w:r>
      <w:r w:rsidR="00FF7799" w:rsidRPr="00037FAC">
        <w:rPr>
          <w:i/>
          <w:iCs/>
          <w:lang w:bidi="en-US"/>
        </w:rPr>
        <w:t>: Interkorrelationen der GLOBE-Kulturdimensionen (Praktiken)</w:t>
      </w:r>
    </w:p>
    <w:tbl>
      <w:tblPr>
        <w:tblW w:w="0" w:type="auto"/>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101"/>
        <w:gridCol w:w="735"/>
        <w:gridCol w:w="918"/>
        <w:gridCol w:w="918"/>
        <w:gridCol w:w="918"/>
        <w:gridCol w:w="918"/>
        <w:gridCol w:w="918"/>
        <w:gridCol w:w="918"/>
        <w:gridCol w:w="918"/>
        <w:gridCol w:w="918"/>
      </w:tblGrid>
      <w:tr w:rsidR="00FF7799" w:rsidRPr="00E73F6F" w14:paraId="230EFBBE" w14:textId="77777777" w:rsidTr="00B306FB">
        <w:trPr>
          <w:tblHeader/>
        </w:trPr>
        <w:tc>
          <w:tcPr>
            <w:tcW w:w="1101" w:type="dxa"/>
            <w:shd w:val="clear" w:color="auto" w:fill="FFC000" w:themeFill="accent4"/>
          </w:tcPr>
          <w:p w14:paraId="4C9DD696" w14:textId="77777777" w:rsidR="00FF7799" w:rsidRPr="00E73F6F" w:rsidRDefault="00FF7799" w:rsidP="00F22504">
            <w:pPr>
              <w:pStyle w:val="StandardText"/>
              <w:spacing w:after="120"/>
              <w:rPr>
                <w:b/>
              </w:rPr>
            </w:pPr>
            <w:r w:rsidRPr="00E73F6F">
              <w:rPr>
                <w:b/>
              </w:rPr>
              <w:t>Kultur-dimension</w:t>
            </w:r>
          </w:p>
        </w:tc>
        <w:tc>
          <w:tcPr>
            <w:tcW w:w="735" w:type="dxa"/>
            <w:shd w:val="clear" w:color="auto" w:fill="FFC000" w:themeFill="accent4"/>
          </w:tcPr>
          <w:p w14:paraId="5E3E14CD" w14:textId="77777777" w:rsidR="00FF7799" w:rsidRPr="00E73F6F" w:rsidRDefault="00FF7799" w:rsidP="00F22504">
            <w:pPr>
              <w:pStyle w:val="StandardText"/>
              <w:spacing w:after="120"/>
              <w:rPr>
                <w:b/>
              </w:rPr>
            </w:pPr>
            <w:r w:rsidRPr="00E73F6F">
              <w:rPr>
                <w:b/>
              </w:rPr>
              <w:t>1</w:t>
            </w:r>
          </w:p>
        </w:tc>
        <w:tc>
          <w:tcPr>
            <w:tcW w:w="918" w:type="dxa"/>
            <w:shd w:val="clear" w:color="auto" w:fill="FFC000" w:themeFill="accent4"/>
          </w:tcPr>
          <w:p w14:paraId="0EB0F449" w14:textId="77777777" w:rsidR="00FF7799" w:rsidRPr="00E73F6F" w:rsidRDefault="00FF7799" w:rsidP="00F22504">
            <w:pPr>
              <w:pStyle w:val="StandardText"/>
              <w:spacing w:after="120"/>
              <w:rPr>
                <w:b/>
              </w:rPr>
            </w:pPr>
            <w:r w:rsidRPr="00E73F6F">
              <w:rPr>
                <w:b/>
              </w:rPr>
              <w:t>2</w:t>
            </w:r>
          </w:p>
        </w:tc>
        <w:tc>
          <w:tcPr>
            <w:tcW w:w="918" w:type="dxa"/>
            <w:shd w:val="clear" w:color="auto" w:fill="FFC000" w:themeFill="accent4"/>
          </w:tcPr>
          <w:p w14:paraId="35985901" w14:textId="77777777" w:rsidR="00FF7799" w:rsidRPr="00E73F6F" w:rsidRDefault="00FF7799" w:rsidP="00F22504">
            <w:pPr>
              <w:pStyle w:val="StandardText"/>
              <w:spacing w:after="120"/>
              <w:rPr>
                <w:b/>
              </w:rPr>
            </w:pPr>
            <w:r w:rsidRPr="00E73F6F">
              <w:rPr>
                <w:b/>
              </w:rPr>
              <w:t>3</w:t>
            </w:r>
          </w:p>
        </w:tc>
        <w:tc>
          <w:tcPr>
            <w:tcW w:w="918" w:type="dxa"/>
            <w:shd w:val="clear" w:color="auto" w:fill="FFC000" w:themeFill="accent4"/>
          </w:tcPr>
          <w:p w14:paraId="309B55F4" w14:textId="77777777" w:rsidR="00FF7799" w:rsidRPr="00E73F6F" w:rsidRDefault="00FF7799" w:rsidP="00F22504">
            <w:pPr>
              <w:pStyle w:val="StandardText"/>
              <w:spacing w:after="120"/>
              <w:rPr>
                <w:b/>
              </w:rPr>
            </w:pPr>
            <w:r w:rsidRPr="00E73F6F">
              <w:rPr>
                <w:b/>
              </w:rPr>
              <w:t>4</w:t>
            </w:r>
          </w:p>
        </w:tc>
        <w:tc>
          <w:tcPr>
            <w:tcW w:w="918" w:type="dxa"/>
            <w:shd w:val="clear" w:color="auto" w:fill="FFC000" w:themeFill="accent4"/>
          </w:tcPr>
          <w:p w14:paraId="523D3C45" w14:textId="77777777" w:rsidR="00FF7799" w:rsidRPr="00E73F6F" w:rsidRDefault="00FF7799" w:rsidP="00F22504">
            <w:pPr>
              <w:pStyle w:val="StandardText"/>
              <w:spacing w:after="120"/>
              <w:rPr>
                <w:b/>
              </w:rPr>
            </w:pPr>
            <w:r w:rsidRPr="00E73F6F">
              <w:rPr>
                <w:b/>
              </w:rPr>
              <w:t>5</w:t>
            </w:r>
          </w:p>
        </w:tc>
        <w:tc>
          <w:tcPr>
            <w:tcW w:w="918" w:type="dxa"/>
            <w:shd w:val="clear" w:color="auto" w:fill="FFC000" w:themeFill="accent4"/>
          </w:tcPr>
          <w:p w14:paraId="123DF99D" w14:textId="77777777" w:rsidR="00FF7799" w:rsidRPr="00E73F6F" w:rsidRDefault="00FF7799" w:rsidP="00F22504">
            <w:pPr>
              <w:pStyle w:val="StandardText"/>
              <w:spacing w:after="120"/>
              <w:rPr>
                <w:b/>
              </w:rPr>
            </w:pPr>
            <w:r w:rsidRPr="00E73F6F">
              <w:rPr>
                <w:b/>
              </w:rPr>
              <w:t>6</w:t>
            </w:r>
          </w:p>
        </w:tc>
        <w:tc>
          <w:tcPr>
            <w:tcW w:w="918" w:type="dxa"/>
            <w:shd w:val="clear" w:color="auto" w:fill="FFC000" w:themeFill="accent4"/>
          </w:tcPr>
          <w:p w14:paraId="6E9DA7A4" w14:textId="77777777" w:rsidR="00FF7799" w:rsidRPr="00E73F6F" w:rsidRDefault="00FF7799" w:rsidP="00F22504">
            <w:pPr>
              <w:pStyle w:val="StandardText"/>
              <w:spacing w:after="120"/>
              <w:rPr>
                <w:b/>
              </w:rPr>
            </w:pPr>
            <w:r w:rsidRPr="00E73F6F">
              <w:rPr>
                <w:b/>
              </w:rPr>
              <w:t>7</w:t>
            </w:r>
          </w:p>
        </w:tc>
        <w:tc>
          <w:tcPr>
            <w:tcW w:w="918" w:type="dxa"/>
            <w:shd w:val="clear" w:color="auto" w:fill="FFC000" w:themeFill="accent4"/>
          </w:tcPr>
          <w:p w14:paraId="313533D8" w14:textId="77777777" w:rsidR="00FF7799" w:rsidRPr="00E73F6F" w:rsidRDefault="00FF7799" w:rsidP="00F22504">
            <w:pPr>
              <w:pStyle w:val="StandardText"/>
              <w:spacing w:after="120"/>
              <w:rPr>
                <w:b/>
              </w:rPr>
            </w:pPr>
            <w:r w:rsidRPr="00E73F6F">
              <w:rPr>
                <w:b/>
              </w:rPr>
              <w:t>8</w:t>
            </w:r>
          </w:p>
        </w:tc>
        <w:tc>
          <w:tcPr>
            <w:tcW w:w="918" w:type="dxa"/>
            <w:shd w:val="clear" w:color="auto" w:fill="FFC000" w:themeFill="accent4"/>
          </w:tcPr>
          <w:p w14:paraId="6112A348" w14:textId="77777777" w:rsidR="00FF7799" w:rsidRPr="00E73F6F" w:rsidRDefault="00FF7799" w:rsidP="00F22504">
            <w:pPr>
              <w:pStyle w:val="StandardText"/>
              <w:spacing w:after="120"/>
              <w:rPr>
                <w:b/>
              </w:rPr>
            </w:pPr>
          </w:p>
        </w:tc>
      </w:tr>
      <w:tr w:rsidR="00FF7799" w:rsidRPr="00E73F6F" w14:paraId="6DC833C6" w14:textId="77777777" w:rsidTr="0008380D">
        <w:tc>
          <w:tcPr>
            <w:tcW w:w="1101" w:type="dxa"/>
            <w:shd w:val="clear" w:color="auto" w:fill="FFF2CC" w:themeFill="accent4" w:themeFillTint="33"/>
          </w:tcPr>
          <w:p w14:paraId="10DC61CC" w14:textId="77777777" w:rsidR="00FF7799" w:rsidRPr="00E73F6F" w:rsidRDefault="00FF7799" w:rsidP="00F22504">
            <w:pPr>
              <w:pStyle w:val="StandardText"/>
            </w:pPr>
            <w:r w:rsidRPr="00E73F6F">
              <w:t>2</w:t>
            </w:r>
          </w:p>
        </w:tc>
        <w:tc>
          <w:tcPr>
            <w:tcW w:w="735" w:type="dxa"/>
          </w:tcPr>
          <w:p w14:paraId="71A0844E" w14:textId="77777777" w:rsidR="00FF7799" w:rsidRPr="00E73F6F" w:rsidRDefault="00FF7799" w:rsidP="00F22504">
            <w:pPr>
              <w:pStyle w:val="StandardText"/>
            </w:pPr>
            <w:r w:rsidRPr="00E73F6F">
              <w:t>-.42*</w:t>
            </w:r>
          </w:p>
        </w:tc>
        <w:tc>
          <w:tcPr>
            <w:tcW w:w="918" w:type="dxa"/>
          </w:tcPr>
          <w:p w14:paraId="3600A331" w14:textId="77777777" w:rsidR="00FF7799" w:rsidRPr="00E73F6F" w:rsidRDefault="00FF7799" w:rsidP="00F22504">
            <w:pPr>
              <w:pStyle w:val="StandardText"/>
            </w:pPr>
          </w:p>
        </w:tc>
        <w:tc>
          <w:tcPr>
            <w:tcW w:w="918" w:type="dxa"/>
          </w:tcPr>
          <w:p w14:paraId="51815635" w14:textId="77777777" w:rsidR="00FF7799" w:rsidRPr="00E73F6F" w:rsidRDefault="00FF7799" w:rsidP="00F22504">
            <w:pPr>
              <w:pStyle w:val="StandardText"/>
            </w:pPr>
          </w:p>
        </w:tc>
        <w:tc>
          <w:tcPr>
            <w:tcW w:w="918" w:type="dxa"/>
          </w:tcPr>
          <w:p w14:paraId="69D50D10" w14:textId="77777777" w:rsidR="00FF7799" w:rsidRPr="00E73F6F" w:rsidRDefault="00FF7799" w:rsidP="00F22504">
            <w:pPr>
              <w:pStyle w:val="StandardText"/>
            </w:pPr>
          </w:p>
        </w:tc>
        <w:tc>
          <w:tcPr>
            <w:tcW w:w="918" w:type="dxa"/>
          </w:tcPr>
          <w:p w14:paraId="2D63088A" w14:textId="77777777" w:rsidR="00FF7799" w:rsidRPr="00E73F6F" w:rsidRDefault="00FF7799" w:rsidP="00F22504">
            <w:pPr>
              <w:pStyle w:val="StandardText"/>
            </w:pPr>
          </w:p>
        </w:tc>
        <w:tc>
          <w:tcPr>
            <w:tcW w:w="918" w:type="dxa"/>
          </w:tcPr>
          <w:p w14:paraId="4B4B54EC" w14:textId="77777777" w:rsidR="00FF7799" w:rsidRPr="00E73F6F" w:rsidRDefault="00FF7799" w:rsidP="00F22504">
            <w:pPr>
              <w:pStyle w:val="StandardText"/>
            </w:pPr>
          </w:p>
        </w:tc>
        <w:tc>
          <w:tcPr>
            <w:tcW w:w="918" w:type="dxa"/>
          </w:tcPr>
          <w:p w14:paraId="2405C3D1" w14:textId="77777777" w:rsidR="00FF7799" w:rsidRPr="00E73F6F" w:rsidRDefault="00FF7799" w:rsidP="00F22504">
            <w:pPr>
              <w:pStyle w:val="StandardText"/>
            </w:pPr>
          </w:p>
        </w:tc>
        <w:tc>
          <w:tcPr>
            <w:tcW w:w="918" w:type="dxa"/>
          </w:tcPr>
          <w:p w14:paraId="0C35F9DA" w14:textId="77777777" w:rsidR="00FF7799" w:rsidRPr="00E73F6F" w:rsidRDefault="00FF7799" w:rsidP="00F22504">
            <w:pPr>
              <w:pStyle w:val="StandardText"/>
            </w:pPr>
          </w:p>
        </w:tc>
        <w:tc>
          <w:tcPr>
            <w:tcW w:w="918" w:type="dxa"/>
          </w:tcPr>
          <w:p w14:paraId="0DBEDA45" w14:textId="77777777" w:rsidR="00FF7799" w:rsidRPr="00E73F6F" w:rsidRDefault="00FF7799" w:rsidP="00F22504">
            <w:pPr>
              <w:pStyle w:val="StandardText"/>
            </w:pPr>
          </w:p>
        </w:tc>
      </w:tr>
      <w:tr w:rsidR="00FF7799" w:rsidRPr="00E73F6F" w14:paraId="635F96CB" w14:textId="77777777" w:rsidTr="0008380D">
        <w:tc>
          <w:tcPr>
            <w:tcW w:w="1101" w:type="dxa"/>
            <w:shd w:val="clear" w:color="auto" w:fill="FFF2CC" w:themeFill="accent4" w:themeFillTint="33"/>
          </w:tcPr>
          <w:p w14:paraId="3477214D" w14:textId="77777777" w:rsidR="00FF7799" w:rsidRPr="00E73F6F" w:rsidRDefault="00FF7799" w:rsidP="00F22504">
            <w:pPr>
              <w:pStyle w:val="StandardText"/>
            </w:pPr>
            <w:r w:rsidRPr="00E73F6F">
              <w:t>3</w:t>
            </w:r>
          </w:p>
        </w:tc>
        <w:tc>
          <w:tcPr>
            <w:tcW w:w="735" w:type="dxa"/>
          </w:tcPr>
          <w:p w14:paraId="59454FE0" w14:textId="77777777" w:rsidR="00FF7799" w:rsidRPr="00E73F6F" w:rsidRDefault="00FF7799" w:rsidP="00F22504">
            <w:pPr>
              <w:pStyle w:val="StandardText"/>
            </w:pPr>
            <w:r w:rsidRPr="00E73F6F">
              <w:t>.08</w:t>
            </w:r>
          </w:p>
        </w:tc>
        <w:tc>
          <w:tcPr>
            <w:tcW w:w="918" w:type="dxa"/>
          </w:tcPr>
          <w:p w14:paraId="53163A76" w14:textId="77777777" w:rsidR="00FF7799" w:rsidRPr="00E73F6F" w:rsidRDefault="00FF7799" w:rsidP="00F22504">
            <w:pPr>
              <w:pStyle w:val="StandardText"/>
            </w:pPr>
            <w:r w:rsidRPr="00E73F6F">
              <w:t>-.19</w:t>
            </w:r>
          </w:p>
        </w:tc>
        <w:tc>
          <w:tcPr>
            <w:tcW w:w="918" w:type="dxa"/>
          </w:tcPr>
          <w:p w14:paraId="16CDA4E6" w14:textId="77777777" w:rsidR="00FF7799" w:rsidRPr="00E73F6F" w:rsidRDefault="00FF7799" w:rsidP="00F22504">
            <w:pPr>
              <w:pStyle w:val="StandardText"/>
            </w:pPr>
          </w:p>
        </w:tc>
        <w:tc>
          <w:tcPr>
            <w:tcW w:w="918" w:type="dxa"/>
          </w:tcPr>
          <w:p w14:paraId="6A3BD1D6" w14:textId="77777777" w:rsidR="00FF7799" w:rsidRPr="00E73F6F" w:rsidRDefault="00FF7799" w:rsidP="00F22504">
            <w:pPr>
              <w:pStyle w:val="StandardText"/>
            </w:pPr>
          </w:p>
        </w:tc>
        <w:tc>
          <w:tcPr>
            <w:tcW w:w="918" w:type="dxa"/>
          </w:tcPr>
          <w:p w14:paraId="13EDE71F" w14:textId="77777777" w:rsidR="00FF7799" w:rsidRPr="00E73F6F" w:rsidRDefault="00FF7799" w:rsidP="00F22504">
            <w:pPr>
              <w:pStyle w:val="StandardText"/>
            </w:pPr>
          </w:p>
        </w:tc>
        <w:tc>
          <w:tcPr>
            <w:tcW w:w="918" w:type="dxa"/>
          </w:tcPr>
          <w:p w14:paraId="28C844B7" w14:textId="77777777" w:rsidR="00FF7799" w:rsidRPr="00E73F6F" w:rsidRDefault="00FF7799" w:rsidP="00F22504">
            <w:pPr>
              <w:pStyle w:val="StandardText"/>
            </w:pPr>
          </w:p>
        </w:tc>
        <w:tc>
          <w:tcPr>
            <w:tcW w:w="918" w:type="dxa"/>
          </w:tcPr>
          <w:p w14:paraId="2600D9A7" w14:textId="77777777" w:rsidR="00FF7799" w:rsidRPr="00E73F6F" w:rsidRDefault="00FF7799" w:rsidP="00F22504">
            <w:pPr>
              <w:pStyle w:val="StandardText"/>
            </w:pPr>
          </w:p>
        </w:tc>
        <w:tc>
          <w:tcPr>
            <w:tcW w:w="918" w:type="dxa"/>
          </w:tcPr>
          <w:p w14:paraId="09AAA5DA" w14:textId="77777777" w:rsidR="00FF7799" w:rsidRPr="00E73F6F" w:rsidRDefault="00FF7799" w:rsidP="00F22504">
            <w:pPr>
              <w:pStyle w:val="StandardText"/>
            </w:pPr>
          </w:p>
        </w:tc>
        <w:tc>
          <w:tcPr>
            <w:tcW w:w="918" w:type="dxa"/>
          </w:tcPr>
          <w:p w14:paraId="72A948ED" w14:textId="77777777" w:rsidR="00FF7799" w:rsidRPr="00E73F6F" w:rsidRDefault="00FF7799" w:rsidP="00F22504">
            <w:pPr>
              <w:pStyle w:val="StandardText"/>
            </w:pPr>
          </w:p>
        </w:tc>
      </w:tr>
      <w:tr w:rsidR="00FF7799" w:rsidRPr="00E73F6F" w14:paraId="23E874B5" w14:textId="77777777" w:rsidTr="0008380D">
        <w:tc>
          <w:tcPr>
            <w:tcW w:w="1101" w:type="dxa"/>
            <w:shd w:val="clear" w:color="auto" w:fill="FFF2CC" w:themeFill="accent4" w:themeFillTint="33"/>
          </w:tcPr>
          <w:p w14:paraId="6528DCC2" w14:textId="77777777" w:rsidR="00FF7799" w:rsidRPr="00E73F6F" w:rsidRDefault="00FF7799" w:rsidP="00F22504">
            <w:pPr>
              <w:pStyle w:val="StandardText"/>
            </w:pPr>
            <w:r w:rsidRPr="00E73F6F">
              <w:t>4</w:t>
            </w:r>
          </w:p>
        </w:tc>
        <w:tc>
          <w:tcPr>
            <w:tcW w:w="735" w:type="dxa"/>
          </w:tcPr>
          <w:p w14:paraId="6BA9F7B5" w14:textId="77777777" w:rsidR="00FF7799" w:rsidRPr="00E73F6F" w:rsidRDefault="00FF7799" w:rsidP="00F22504">
            <w:pPr>
              <w:pStyle w:val="StandardText"/>
            </w:pPr>
            <w:r w:rsidRPr="00E73F6F">
              <w:t>.07</w:t>
            </w:r>
          </w:p>
        </w:tc>
        <w:tc>
          <w:tcPr>
            <w:tcW w:w="918" w:type="dxa"/>
          </w:tcPr>
          <w:p w14:paraId="7290D6E8" w14:textId="77777777" w:rsidR="00FF7799" w:rsidRPr="00E73F6F" w:rsidRDefault="00FF7799" w:rsidP="00F22504">
            <w:pPr>
              <w:pStyle w:val="StandardText"/>
            </w:pPr>
            <w:r w:rsidRPr="00E73F6F">
              <w:t>-.46*</w:t>
            </w:r>
          </w:p>
        </w:tc>
        <w:tc>
          <w:tcPr>
            <w:tcW w:w="918" w:type="dxa"/>
          </w:tcPr>
          <w:p w14:paraId="399181BC" w14:textId="77777777" w:rsidR="00FF7799" w:rsidRPr="00E73F6F" w:rsidRDefault="00FF7799" w:rsidP="00F22504">
            <w:pPr>
              <w:pStyle w:val="StandardText"/>
            </w:pPr>
            <w:r w:rsidRPr="00E73F6F">
              <w:t>-.44*</w:t>
            </w:r>
          </w:p>
        </w:tc>
        <w:tc>
          <w:tcPr>
            <w:tcW w:w="918" w:type="dxa"/>
          </w:tcPr>
          <w:p w14:paraId="1E2AE217" w14:textId="77777777" w:rsidR="00FF7799" w:rsidRPr="00E73F6F" w:rsidRDefault="00FF7799" w:rsidP="00F22504">
            <w:pPr>
              <w:pStyle w:val="StandardText"/>
            </w:pPr>
          </w:p>
        </w:tc>
        <w:tc>
          <w:tcPr>
            <w:tcW w:w="918" w:type="dxa"/>
          </w:tcPr>
          <w:p w14:paraId="6E304932" w14:textId="77777777" w:rsidR="00FF7799" w:rsidRPr="00E73F6F" w:rsidRDefault="00FF7799" w:rsidP="00F22504">
            <w:pPr>
              <w:pStyle w:val="StandardText"/>
            </w:pPr>
          </w:p>
        </w:tc>
        <w:tc>
          <w:tcPr>
            <w:tcW w:w="918" w:type="dxa"/>
          </w:tcPr>
          <w:p w14:paraId="4D74EFE2" w14:textId="77777777" w:rsidR="00FF7799" w:rsidRPr="00E73F6F" w:rsidRDefault="00FF7799" w:rsidP="00F22504">
            <w:pPr>
              <w:pStyle w:val="StandardText"/>
            </w:pPr>
          </w:p>
        </w:tc>
        <w:tc>
          <w:tcPr>
            <w:tcW w:w="918" w:type="dxa"/>
          </w:tcPr>
          <w:p w14:paraId="1A23A086" w14:textId="77777777" w:rsidR="00FF7799" w:rsidRPr="00E73F6F" w:rsidRDefault="00FF7799" w:rsidP="00F22504">
            <w:pPr>
              <w:pStyle w:val="StandardText"/>
            </w:pPr>
          </w:p>
        </w:tc>
        <w:tc>
          <w:tcPr>
            <w:tcW w:w="918" w:type="dxa"/>
          </w:tcPr>
          <w:p w14:paraId="63D1EBFA" w14:textId="77777777" w:rsidR="00FF7799" w:rsidRPr="00E73F6F" w:rsidRDefault="00FF7799" w:rsidP="00F22504">
            <w:pPr>
              <w:pStyle w:val="StandardText"/>
            </w:pPr>
          </w:p>
        </w:tc>
        <w:tc>
          <w:tcPr>
            <w:tcW w:w="918" w:type="dxa"/>
          </w:tcPr>
          <w:p w14:paraId="0756B19C" w14:textId="77777777" w:rsidR="00FF7799" w:rsidRPr="00E73F6F" w:rsidRDefault="00FF7799" w:rsidP="00F22504">
            <w:pPr>
              <w:pStyle w:val="StandardText"/>
            </w:pPr>
          </w:p>
        </w:tc>
      </w:tr>
      <w:tr w:rsidR="00FF7799" w:rsidRPr="00E73F6F" w14:paraId="0FEBBA8F" w14:textId="77777777" w:rsidTr="0008380D">
        <w:tc>
          <w:tcPr>
            <w:tcW w:w="1101" w:type="dxa"/>
            <w:shd w:val="clear" w:color="auto" w:fill="FFF2CC" w:themeFill="accent4" w:themeFillTint="33"/>
          </w:tcPr>
          <w:p w14:paraId="27D1FEB9" w14:textId="77777777" w:rsidR="00FF7799" w:rsidRPr="00E73F6F" w:rsidRDefault="00FF7799" w:rsidP="00F22504">
            <w:pPr>
              <w:pStyle w:val="StandardText"/>
            </w:pPr>
            <w:r w:rsidRPr="00E73F6F">
              <w:t>5</w:t>
            </w:r>
          </w:p>
        </w:tc>
        <w:tc>
          <w:tcPr>
            <w:tcW w:w="735" w:type="dxa"/>
          </w:tcPr>
          <w:p w14:paraId="3E25D72C" w14:textId="77777777" w:rsidR="00FF7799" w:rsidRPr="00E73F6F" w:rsidRDefault="00FF7799" w:rsidP="00F22504">
            <w:pPr>
              <w:pStyle w:val="StandardText"/>
            </w:pPr>
            <w:r w:rsidRPr="00E73F6F">
              <w:t>-.08</w:t>
            </w:r>
          </w:p>
        </w:tc>
        <w:tc>
          <w:tcPr>
            <w:tcW w:w="918" w:type="dxa"/>
          </w:tcPr>
          <w:p w14:paraId="4CBC9644" w14:textId="77777777" w:rsidR="00FF7799" w:rsidRPr="00E73F6F" w:rsidRDefault="00FF7799" w:rsidP="00F22504">
            <w:pPr>
              <w:pStyle w:val="StandardText"/>
            </w:pPr>
            <w:r w:rsidRPr="00E73F6F">
              <w:t>-.01</w:t>
            </w:r>
          </w:p>
        </w:tc>
        <w:tc>
          <w:tcPr>
            <w:tcW w:w="918" w:type="dxa"/>
          </w:tcPr>
          <w:p w14:paraId="79DD7C07" w14:textId="77777777" w:rsidR="00FF7799" w:rsidRPr="00E73F6F" w:rsidRDefault="00FF7799" w:rsidP="00F22504">
            <w:pPr>
              <w:pStyle w:val="StandardText"/>
            </w:pPr>
            <w:r w:rsidRPr="00E73F6F">
              <w:t>-.20</w:t>
            </w:r>
          </w:p>
        </w:tc>
        <w:tc>
          <w:tcPr>
            <w:tcW w:w="918" w:type="dxa"/>
          </w:tcPr>
          <w:p w14:paraId="40EC03C4" w14:textId="77777777" w:rsidR="00FF7799" w:rsidRPr="00E73F6F" w:rsidRDefault="00FF7799" w:rsidP="00F22504">
            <w:pPr>
              <w:pStyle w:val="StandardText"/>
            </w:pPr>
            <w:r w:rsidRPr="00E73F6F">
              <w:t>-.06</w:t>
            </w:r>
          </w:p>
        </w:tc>
        <w:tc>
          <w:tcPr>
            <w:tcW w:w="918" w:type="dxa"/>
          </w:tcPr>
          <w:p w14:paraId="39594D58" w14:textId="77777777" w:rsidR="00FF7799" w:rsidRPr="00E73F6F" w:rsidRDefault="00FF7799" w:rsidP="00F22504">
            <w:pPr>
              <w:pStyle w:val="StandardText"/>
            </w:pPr>
          </w:p>
        </w:tc>
        <w:tc>
          <w:tcPr>
            <w:tcW w:w="918" w:type="dxa"/>
          </w:tcPr>
          <w:p w14:paraId="31F90C53" w14:textId="77777777" w:rsidR="00FF7799" w:rsidRPr="00E73F6F" w:rsidRDefault="00FF7799" w:rsidP="00F22504">
            <w:pPr>
              <w:pStyle w:val="StandardText"/>
            </w:pPr>
          </w:p>
        </w:tc>
        <w:tc>
          <w:tcPr>
            <w:tcW w:w="918" w:type="dxa"/>
          </w:tcPr>
          <w:p w14:paraId="3A5AA073" w14:textId="77777777" w:rsidR="00FF7799" w:rsidRPr="00E73F6F" w:rsidRDefault="00FF7799" w:rsidP="00F22504">
            <w:pPr>
              <w:pStyle w:val="StandardText"/>
            </w:pPr>
          </w:p>
        </w:tc>
        <w:tc>
          <w:tcPr>
            <w:tcW w:w="918" w:type="dxa"/>
          </w:tcPr>
          <w:p w14:paraId="41CA1C84" w14:textId="77777777" w:rsidR="00FF7799" w:rsidRPr="00E73F6F" w:rsidRDefault="00FF7799" w:rsidP="00F22504">
            <w:pPr>
              <w:pStyle w:val="StandardText"/>
            </w:pPr>
          </w:p>
        </w:tc>
        <w:tc>
          <w:tcPr>
            <w:tcW w:w="918" w:type="dxa"/>
          </w:tcPr>
          <w:p w14:paraId="01B4CB66" w14:textId="77777777" w:rsidR="00FF7799" w:rsidRPr="00E73F6F" w:rsidRDefault="00FF7799" w:rsidP="00F22504">
            <w:pPr>
              <w:pStyle w:val="StandardText"/>
            </w:pPr>
          </w:p>
        </w:tc>
      </w:tr>
      <w:tr w:rsidR="00FF7799" w:rsidRPr="00E73F6F" w14:paraId="50D305FC" w14:textId="77777777" w:rsidTr="0008380D">
        <w:tc>
          <w:tcPr>
            <w:tcW w:w="1101" w:type="dxa"/>
            <w:shd w:val="clear" w:color="auto" w:fill="FFF2CC" w:themeFill="accent4" w:themeFillTint="33"/>
          </w:tcPr>
          <w:p w14:paraId="6160C3C3" w14:textId="77777777" w:rsidR="00FF7799" w:rsidRPr="00E73F6F" w:rsidRDefault="00FF7799" w:rsidP="00F22504">
            <w:pPr>
              <w:pStyle w:val="StandardText"/>
            </w:pPr>
            <w:r w:rsidRPr="00E73F6F">
              <w:t>6</w:t>
            </w:r>
          </w:p>
        </w:tc>
        <w:tc>
          <w:tcPr>
            <w:tcW w:w="735" w:type="dxa"/>
          </w:tcPr>
          <w:p w14:paraId="5842E914" w14:textId="77777777" w:rsidR="00FF7799" w:rsidRPr="00E73F6F" w:rsidRDefault="00FF7799" w:rsidP="00F22504">
            <w:pPr>
              <w:pStyle w:val="StandardText"/>
            </w:pPr>
            <w:r w:rsidRPr="00E73F6F">
              <w:t>-.42*</w:t>
            </w:r>
          </w:p>
        </w:tc>
        <w:tc>
          <w:tcPr>
            <w:tcW w:w="918" w:type="dxa"/>
          </w:tcPr>
          <w:p w14:paraId="19F48AEC" w14:textId="77777777" w:rsidR="00FF7799" w:rsidRPr="00E73F6F" w:rsidRDefault="00FF7799" w:rsidP="00F22504">
            <w:pPr>
              <w:pStyle w:val="StandardText"/>
            </w:pPr>
            <w:r w:rsidRPr="00E73F6F">
              <w:t>.43*</w:t>
            </w:r>
          </w:p>
        </w:tc>
        <w:tc>
          <w:tcPr>
            <w:tcW w:w="918" w:type="dxa"/>
          </w:tcPr>
          <w:p w14:paraId="55822D5D" w14:textId="77777777" w:rsidR="00FF7799" w:rsidRPr="00E73F6F" w:rsidRDefault="00FF7799" w:rsidP="00F22504">
            <w:pPr>
              <w:pStyle w:val="StandardText"/>
            </w:pPr>
            <w:r w:rsidRPr="00E73F6F">
              <w:t>.30*</w:t>
            </w:r>
          </w:p>
        </w:tc>
        <w:tc>
          <w:tcPr>
            <w:tcW w:w="918" w:type="dxa"/>
          </w:tcPr>
          <w:p w14:paraId="7E133A5F" w14:textId="77777777" w:rsidR="00FF7799" w:rsidRPr="00E73F6F" w:rsidRDefault="00FF7799" w:rsidP="00F22504">
            <w:pPr>
              <w:pStyle w:val="StandardText"/>
            </w:pPr>
            <w:r w:rsidRPr="00E73F6F">
              <w:t>.07</w:t>
            </w:r>
          </w:p>
        </w:tc>
        <w:tc>
          <w:tcPr>
            <w:tcW w:w="918" w:type="dxa"/>
          </w:tcPr>
          <w:p w14:paraId="42B35CCD" w14:textId="77777777" w:rsidR="00FF7799" w:rsidRPr="00E73F6F" w:rsidRDefault="00FF7799" w:rsidP="00F22504">
            <w:pPr>
              <w:pStyle w:val="StandardText"/>
            </w:pPr>
            <w:r w:rsidRPr="00E73F6F">
              <w:t>-.15</w:t>
            </w:r>
          </w:p>
        </w:tc>
        <w:tc>
          <w:tcPr>
            <w:tcW w:w="918" w:type="dxa"/>
          </w:tcPr>
          <w:p w14:paraId="75FBFBE9" w14:textId="77777777" w:rsidR="00FF7799" w:rsidRPr="00E73F6F" w:rsidRDefault="00FF7799" w:rsidP="00F22504">
            <w:pPr>
              <w:pStyle w:val="StandardText"/>
            </w:pPr>
          </w:p>
        </w:tc>
        <w:tc>
          <w:tcPr>
            <w:tcW w:w="918" w:type="dxa"/>
          </w:tcPr>
          <w:p w14:paraId="5EFC18DF" w14:textId="77777777" w:rsidR="00FF7799" w:rsidRPr="00E73F6F" w:rsidRDefault="00FF7799" w:rsidP="00F22504">
            <w:pPr>
              <w:pStyle w:val="StandardText"/>
            </w:pPr>
          </w:p>
        </w:tc>
        <w:tc>
          <w:tcPr>
            <w:tcW w:w="918" w:type="dxa"/>
          </w:tcPr>
          <w:p w14:paraId="08530D57" w14:textId="77777777" w:rsidR="00FF7799" w:rsidRPr="00E73F6F" w:rsidRDefault="00FF7799" w:rsidP="00F22504">
            <w:pPr>
              <w:pStyle w:val="StandardText"/>
            </w:pPr>
          </w:p>
        </w:tc>
        <w:tc>
          <w:tcPr>
            <w:tcW w:w="918" w:type="dxa"/>
          </w:tcPr>
          <w:p w14:paraId="75336C6A" w14:textId="77777777" w:rsidR="00FF7799" w:rsidRPr="00E73F6F" w:rsidRDefault="00FF7799" w:rsidP="00F22504">
            <w:pPr>
              <w:pStyle w:val="StandardText"/>
            </w:pPr>
          </w:p>
        </w:tc>
      </w:tr>
      <w:tr w:rsidR="00FF7799" w:rsidRPr="00E73F6F" w14:paraId="428C18E3" w14:textId="77777777" w:rsidTr="0008380D">
        <w:tc>
          <w:tcPr>
            <w:tcW w:w="1101" w:type="dxa"/>
            <w:shd w:val="clear" w:color="auto" w:fill="FFF2CC" w:themeFill="accent4" w:themeFillTint="33"/>
          </w:tcPr>
          <w:p w14:paraId="4A99688B" w14:textId="77777777" w:rsidR="00FF7799" w:rsidRPr="00E73F6F" w:rsidRDefault="00FF7799" w:rsidP="00F22504">
            <w:pPr>
              <w:pStyle w:val="StandardText"/>
            </w:pPr>
            <w:r w:rsidRPr="00E73F6F">
              <w:t>7</w:t>
            </w:r>
          </w:p>
        </w:tc>
        <w:tc>
          <w:tcPr>
            <w:tcW w:w="735" w:type="dxa"/>
          </w:tcPr>
          <w:p w14:paraId="7A4C67B9" w14:textId="77777777" w:rsidR="00FF7799" w:rsidRPr="00E73F6F" w:rsidRDefault="00FF7799" w:rsidP="00F22504">
            <w:pPr>
              <w:pStyle w:val="StandardText"/>
            </w:pPr>
            <w:r w:rsidRPr="00E73F6F">
              <w:t>.06</w:t>
            </w:r>
          </w:p>
        </w:tc>
        <w:tc>
          <w:tcPr>
            <w:tcW w:w="918" w:type="dxa"/>
          </w:tcPr>
          <w:p w14:paraId="60340C22" w14:textId="77777777" w:rsidR="00FF7799" w:rsidRPr="00E73F6F" w:rsidRDefault="00FF7799" w:rsidP="00F22504">
            <w:pPr>
              <w:pStyle w:val="StandardText"/>
            </w:pPr>
            <w:r w:rsidRPr="00E73F6F">
              <w:t>43*</w:t>
            </w:r>
          </w:p>
        </w:tc>
        <w:tc>
          <w:tcPr>
            <w:tcW w:w="918" w:type="dxa"/>
          </w:tcPr>
          <w:p w14:paraId="47C24BCB" w14:textId="77777777" w:rsidR="00FF7799" w:rsidRPr="00E73F6F" w:rsidRDefault="00FF7799" w:rsidP="00F22504">
            <w:pPr>
              <w:pStyle w:val="StandardText"/>
            </w:pPr>
            <w:r w:rsidRPr="00E73F6F">
              <w:t>-.11*</w:t>
            </w:r>
          </w:p>
        </w:tc>
        <w:tc>
          <w:tcPr>
            <w:tcW w:w="918" w:type="dxa"/>
          </w:tcPr>
          <w:p w14:paraId="03E2839D" w14:textId="77777777" w:rsidR="00FF7799" w:rsidRPr="00E73F6F" w:rsidRDefault="00FF7799" w:rsidP="00F22504">
            <w:pPr>
              <w:pStyle w:val="StandardText"/>
            </w:pPr>
            <w:r w:rsidRPr="00E73F6F">
              <w:t>.63*</w:t>
            </w:r>
          </w:p>
        </w:tc>
        <w:tc>
          <w:tcPr>
            <w:tcW w:w="918" w:type="dxa"/>
          </w:tcPr>
          <w:p w14:paraId="23DFE1D9" w14:textId="77777777" w:rsidR="00FF7799" w:rsidRPr="00E73F6F" w:rsidRDefault="00FF7799" w:rsidP="00F22504">
            <w:pPr>
              <w:pStyle w:val="StandardText"/>
            </w:pPr>
            <w:r w:rsidRPr="00E73F6F">
              <w:t>-.31*</w:t>
            </w:r>
          </w:p>
        </w:tc>
        <w:tc>
          <w:tcPr>
            <w:tcW w:w="918" w:type="dxa"/>
          </w:tcPr>
          <w:p w14:paraId="5EE80411" w14:textId="77777777" w:rsidR="00FF7799" w:rsidRPr="00E73F6F" w:rsidRDefault="00FF7799" w:rsidP="00F22504">
            <w:pPr>
              <w:pStyle w:val="StandardText"/>
            </w:pPr>
            <w:r w:rsidRPr="00E73F6F">
              <w:t>.25*</w:t>
            </w:r>
          </w:p>
        </w:tc>
        <w:tc>
          <w:tcPr>
            <w:tcW w:w="918" w:type="dxa"/>
          </w:tcPr>
          <w:p w14:paraId="05F0EFE6" w14:textId="77777777" w:rsidR="00FF7799" w:rsidRPr="00E73F6F" w:rsidRDefault="00FF7799" w:rsidP="00F22504">
            <w:pPr>
              <w:pStyle w:val="StandardText"/>
            </w:pPr>
          </w:p>
        </w:tc>
        <w:tc>
          <w:tcPr>
            <w:tcW w:w="918" w:type="dxa"/>
          </w:tcPr>
          <w:p w14:paraId="072FF75E" w14:textId="77777777" w:rsidR="00FF7799" w:rsidRPr="00E73F6F" w:rsidRDefault="00FF7799" w:rsidP="00F22504">
            <w:pPr>
              <w:pStyle w:val="StandardText"/>
            </w:pPr>
          </w:p>
        </w:tc>
        <w:tc>
          <w:tcPr>
            <w:tcW w:w="918" w:type="dxa"/>
          </w:tcPr>
          <w:p w14:paraId="56317616" w14:textId="77777777" w:rsidR="00FF7799" w:rsidRPr="00E73F6F" w:rsidRDefault="00FF7799" w:rsidP="00F22504">
            <w:pPr>
              <w:pStyle w:val="StandardText"/>
            </w:pPr>
          </w:p>
        </w:tc>
      </w:tr>
      <w:tr w:rsidR="00FF7799" w:rsidRPr="00E73F6F" w14:paraId="64A55058" w14:textId="77777777" w:rsidTr="0008380D">
        <w:tc>
          <w:tcPr>
            <w:tcW w:w="1101" w:type="dxa"/>
            <w:shd w:val="clear" w:color="auto" w:fill="FFF2CC" w:themeFill="accent4" w:themeFillTint="33"/>
          </w:tcPr>
          <w:p w14:paraId="13A38FB7" w14:textId="77777777" w:rsidR="00FF7799" w:rsidRPr="00E73F6F" w:rsidRDefault="00FF7799" w:rsidP="00F22504">
            <w:pPr>
              <w:pStyle w:val="StandardText"/>
            </w:pPr>
            <w:r w:rsidRPr="00E73F6F">
              <w:t>8</w:t>
            </w:r>
          </w:p>
        </w:tc>
        <w:tc>
          <w:tcPr>
            <w:tcW w:w="735" w:type="dxa"/>
          </w:tcPr>
          <w:p w14:paraId="04CD0B64" w14:textId="77777777" w:rsidR="00FF7799" w:rsidRPr="00E73F6F" w:rsidRDefault="00FF7799" w:rsidP="00F22504">
            <w:pPr>
              <w:pStyle w:val="StandardText"/>
            </w:pPr>
            <w:r w:rsidRPr="00E73F6F">
              <w:t>.16</w:t>
            </w:r>
          </w:p>
        </w:tc>
        <w:tc>
          <w:tcPr>
            <w:tcW w:w="918" w:type="dxa"/>
          </w:tcPr>
          <w:p w14:paraId="493ABFBD" w14:textId="77777777" w:rsidR="00FF7799" w:rsidRPr="00E73F6F" w:rsidRDefault="00FF7799" w:rsidP="00F22504">
            <w:pPr>
              <w:pStyle w:val="StandardText"/>
            </w:pPr>
            <w:r w:rsidRPr="00E73F6F">
              <w:t>-.46*</w:t>
            </w:r>
          </w:p>
        </w:tc>
        <w:tc>
          <w:tcPr>
            <w:tcW w:w="918" w:type="dxa"/>
          </w:tcPr>
          <w:p w14:paraId="6DDA8947" w14:textId="77777777" w:rsidR="00FF7799" w:rsidRPr="00E73F6F" w:rsidRDefault="00FF7799" w:rsidP="00F22504">
            <w:pPr>
              <w:pStyle w:val="StandardText"/>
            </w:pPr>
            <w:r w:rsidRPr="00E73F6F">
              <w:t>.55*</w:t>
            </w:r>
          </w:p>
        </w:tc>
        <w:tc>
          <w:tcPr>
            <w:tcW w:w="918" w:type="dxa"/>
          </w:tcPr>
          <w:p w14:paraId="73D15DE7" w14:textId="77777777" w:rsidR="00FF7799" w:rsidRPr="00E73F6F" w:rsidRDefault="00FF7799" w:rsidP="00F22504">
            <w:pPr>
              <w:pStyle w:val="StandardText"/>
            </w:pPr>
            <w:r w:rsidRPr="00E73F6F">
              <w:t>-.52*</w:t>
            </w:r>
          </w:p>
        </w:tc>
        <w:tc>
          <w:tcPr>
            <w:tcW w:w="918" w:type="dxa"/>
          </w:tcPr>
          <w:p w14:paraId="420C6386" w14:textId="77777777" w:rsidR="00FF7799" w:rsidRPr="00E73F6F" w:rsidRDefault="00FF7799" w:rsidP="00F22504">
            <w:pPr>
              <w:pStyle w:val="StandardText"/>
            </w:pPr>
            <w:r w:rsidRPr="00E73F6F">
              <w:t>-.29*</w:t>
            </w:r>
          </w:p>
        </w:tc>
        <w:tc>
          <w:tcPr>
            <w:tcW w:w="918" w:type="dxa"/>
          </w:tcPr>
          <w:p w14:paraId="7052E837" w14:textId="77777777" w:rsidR="00FF7799" w:rsidRPr="00E73F6F" w:rsidRDefault="00FF7799" w:rsidP="00F22504">
            <w:pPr>
              <w:pStyle w:val="StandardText"/>
            </w:pPr>
            <w:r w:rsidRPr="00E73F6F">
              <w:t>-.15</w:t>
            </w:r>
          </w:p>
        </w:tc>
        <w:tc>
          <w:tcPr>
            <w:tcW w:w="918" w:type="dxa"/>
          </w:tcPr>
          <w:p w14:paraId="37A36C55" w14:textId="77777777" w:rsidR="00FF7799" w:rsidRPr="00E73F6F" w:rsidRDefault="00FF7799" w:rsidP="00F22504">
            <w:pPr>
              <w:pStyle w:val="StandardText"/>
            </w:pPr>
            <w:r w:rsidRPr="00E73F6F">
              <w:t>-.36*</w:t>
            </w:r>
          </w:p>
        </w:tc>
        <w:tc>
          <w:tcPr>
            <w:tcW w:w="918" w:type="dxa"/>
          </w:tcPr>
          <w:p w14:paraId="137FD784" w14:textId="77777777" w:rsidR="00FF7799" w:rsidRPr="00E73F6F" w:rsidRDefault="00FF7799" w:rsidP="00F22504">
            <w:pPr>
              <w:pStyle w:val="StandardText"/>
            </w:pPr>
          </w:p>
        </w:tc>
        <w:tc>
          <w:tcPr>
            <w:tcW w:w="918" w:type="dxa"/>
          </w:tcPr>
          <w:p w14:paraId="2A7BA63E" w14:textId="77777777" w:rsidR="00FF7799" w:rsidRPr="00E73F6F" w:rsidRDefault="00FF7799" w:rsidP="00F22504">
            <w:pPr>
              <w:pStyle w:val="StandardText"/>
            </w:pPr>
          </w:p>
        </w:tc>
      </w:tr>
      <w:tr w:rsidR="00FF7799" w:rsidRPr="00E73F6F" w14:paraId="6416931F" w14:textId="77777777" w:rsidTr="0008380D">
        <w:tc>
          <w:tcPr>
            <w:tcW w:w="1101" w:type="dxa"/>
            <w:shd w:val="clear" w:color="auto" w:fill="FFF2CC" w:themeFill="accent4" w:themeFillTint="33"/>
          </w:tcPr>
          <w:p w14:paraId="3508262C" w14:textId="77777777" w:rsidR="00FF7799" w:rsidRPr="00E73F6F" w:rsidRDefault="00FF7799" w:rsidP="00F22504">
            <w:pPr>
              <w:pStyle w:val="StandardText"/>
            </w:pPr>
            <w:r w:rsidRPr="00E73F6F">
              <w:t>9</w:t>
            </w:r>
          </w:p>
        </w:tc>
        <w:tc>
          <w:tcPr>
            <w:tcW w:w="735" w:type="dxa"/>
          </w:tcPr>
          <w:p w14:paraId="14AD3689" w14:textId="77777777" w:rsidR="00FF7799" w:rsidRPr="00E73F6F" w:rsidRDefault="00FF7799" w:rsidP="00F22504">
            <w:pPr>
              <w:pStyle w:val="StandardText"/>
            </w:pPr>
            <w:r w:rsidRPr="00E73F6F">
              <w:t>-.07</w:t>
            </w:r>
          </w:p>
        </w:tc>
        <w:tc>
          <w:tcPr>
            <w:tcW w:w="918" w:type="dxa"/>
          </w:tcPr>
          <w:p w14:paraId="5411E35C" w14:textId="77777777" w:rsidR="00FF7799" w:rsidRPr="00E73F6F" w:rsidRDefault="00FF7799" w:rsidP="00F22504">
            <w:pPr>
              <w:pStyle w:val="StandardText"/>
            </w:pPr>
            <w:r w:rsidRPr="00E73F6F">
              <w:t>.40*</w:t>
            </w:r>
          </w:p>
        </w:tc>
        <w:tc>
          <w:tcPr>
            <w:tcW w:w="918" w:type="dxa"/>
          </w:tcPr>
          <w:p w14:paraId="4D4C2619" w14:textId="77777777" w:rsidR="00FF7799" w:rsidRPr="00E73F6F" w:rsidRDefault="00FF7799" w:rsidP="00F22504">
            <w:pPr>
              <w:pStyle w:val="StandardText"/>
            </w:pPr>
            <w:r w:rsidRPr="00E73F6F">
              <w:t>-.45*</w:t>
            </w:r>
          </w:p>
        </w:tc>
        <w:tc>
          <w:tcPr>
            <w:tcW w:w="918" w:type="dxa"/>
          </w:tcPr>
          <w:p w14:paraId="7D5E7993" w14:textId="77777777" w:rsidR="00FF7799" w:rsidRPr="00E73F6F" w:rsidRDefault="00FF7799" w:rsidP="00F22504">
            <w:pPr>
              <w:pStyle w:val="StandardText"/>
            </w:pPr>
            <w:r w:rsidRPr="00E73F6F">
              <w:t>.76*</w:t>
            </w:r>
          </w:p>
        </w:tc>
        <w:tc>
          <w:tcPr>
            <w:tcW w:w="918" w:type="dxa"/>
          </w:tcPr>
          <w:p w14:paraId="2C6AFD35" w14:textId="77777777" w:rsidR="00FF7799" w:rsidRPr="00E73F6F" w:rsidRDefault="00FF7799" w:rsidP="00F22504">
            <w:pPr>
              <w:pStyle w:val="StandardText"/>
            </w:pPr>
            <w:r w:rsidRPr="00E73F6F">
              <w:t>-.06</w:t>
            </w:r>
          </w:p>
        </w:tc>
        <w:tc>
          <w:tcPr>
            <w:tcW w:w="918" w:type="dxa"/>
          </w:tcPr>
          <w:p w14:paraId="1F809706" w14:textId="77777777" w:rsidR="00FF7799" w:rsidRPr="00E73F6F" w:rsidRDefault="00FF7799" w:rsidP="00F22504">
            <w:pPr>
              <w:pStyle w:val="StandardText"/>
            </w:pPr>
            <w:r w:rsidRPr="00E73F6F">
              <w:t>.00</w:t>
            </w:r>
          </w:p>
        </w:tc>
        <w:tc>
          <w:tcPr>
            <w:tcW w:w="918" w:type="dxa"/>
          </w:tcPr>
          <w:p w14:paraId="232E8092" w14:textId="77777777" w:rsidR="00FF7799" w:rsidRPr="00E73F6F" w:rsidRDefault="00FF7799" w:rsidP="00F22504">
            <w:pPr>
              <w:pStyle w:val="StandardText"/>
            </w:pPr>
            <w:r w:rsidRPr="00E73F6F">
              <w:t>.58*</w:t>
            </w:r>
          </w:p>
        </w:tc>
        <w:tc>
          <w:tcPr>
            <w:tcW w:w="918" w:type="dxa"/>
          </w:tcPr>
          <w:p w14:paraId="4A072E24" w14:textId="77777777" w:rsidR="00FF7799" w:rsidRPr="00E73F6F" w:rsidRDefault="00FF7799" w:rsidP="00F22504">
            <w:pPr>
              <w:pStyle w:val="StandardText"/>
            </w:pPr>
            <w:r w:rsidRPr="00E73F6F">
              <w:t>-.50*</w:t>
            </w:r>
          </w:p>
        </w:tc>
        <w:tc>
          <w:tcPr>
            <w:tcW w:w="918" w:type="dxa"/>
          </w:tcPr>
          <w:p w14:paraId="1081F166" w14:textId="77777777" w:rsidR="00FF7799" w:rsidRPr="00E73F6F" w:rsidRDefault="00FF7799" w:rsidP="00F22504">
            <w:pPr>
              <w:pStyle w:val="StandardText"/>
            </w:pPr>
          </w:p>
        </w:tc>
      </w:tr>
      <w:tr w:rsidR="00FF7799" w:rsidRPr="00E73F6F" w14:paraId="6D7BFDF5" w14:textId="77777777" w:rsidTr="0008380D">
        <w:tc>
          <w:tcPr>
            <w:tcW w:w="9180" w:type="dxa"/>
            <w:gridSpan w:val="10"/>
            <w:shd w:val="clear" w:color="auto" w:fill="FFF2CC" w:themeFill="accent4" w:themeFillTint="33"/>
          </w:tcPr>
          <w:p w14:paraId="5116E786" w14:textId="77777777" w:rsidR="00FF7799" w:rsidRPr="00E35FFF" w:rsidRDefault="00FF7799" w:rsidP="00F22504">
            <w:pPr>
              <w:pStyle w:val="Quellen"/>
              <w:rPr>
                <w:lang w:val="en-US"/>
              </w:rPr>
            </w:pPr>
            <w:r w:rsidRPr="00E35FFF">
              <w:rPr>
                <w:lang w:val="en-US"/>
              </w:rPr>
              <w:t xml:space="preserve">Legende: </w:t>
            </w:r>
          </w:p>
          <w:p w14:paraId="76BCE2A8" w14:textId="77777777" w:rsidR="00FF7799" w:rsidRPr="00E35FFF" w:rsidRDefault="00FF7799" w:rsidP="00F22504">
            <w:pPr>
              <w:pStyle w:val="Quellen"/>
              <w:ind w:left="14"/>
              <w:rPr>
                <w:lang w:val="en-US"/>
              </w:rPr>
            </w:pPr>
            <w:r w:rsidRPr="00E35FFF">
              <w:rPr>
                <w:lang w:val="en-US"/>
              </w:rPr>
              <w:t>1 = assertiveness, 2 = institutional collectivism, 3 = in-group collectivism, 4 = future orientation, 5 = gender egalitarianism, 6 = humane orientation, 7 = performance orientation, 8 = power distance, 9 = uncertainty avoidance</w:t>
            </w:r>
          </w:p>
          <w:p w14:paraId="47504536" w14:textId="77777777" w:rsidR="00FF7799" w:rsidRPr="00E73F6F" w:rsidRDefault="00FF7799" w:rsidP="00F22504">
            <w:pPr>
              <w:pStyle w:val="Quellen"/>
            </w:pPr>
            <w:r w:rsidRPr="00E73F6F">
              <w:lastRenderedPageBreak/>
              <w:t>* Signifikanzniveau p &gt; .05 (Basis: n = 61)</w:t>
            </w:r>
          </w:p>
        </w:tc>
      </w:tr>
    </w:tbl>
    <w:p w14:paraId="48CA9BEF" w14:textId="77777777" w:rsidR="00FF7799" w:rsidRPr="00E73F6F" w:rsidRDefault="00FF7799" w:rsidP="009D2A8B">
      <w:pPr>
        <w:pStyle w:val="Quellen"/>
      </w:pPr>
      <w:r w:rsidRPr="00E73F6F">
        <w:lastRenderedPageBreak/>
        <w:t>Quelle: House et al. (2004, S.734).</w:t>
      </w:r>
    </w:p>
    <w:p w14:paraId="1FCD0A73" w14:textId="77777777" w:rsidR="00FF7799" w:rsidRPr="00E73F6F" w:rsidRDefault="00FF7799" w:rsidP="00535E2F">
      <w:pPr>
        <w:pStyle w:val="StandardText"/>
      </w:pPr>
    </w:p>
    <w:p w14:paraId="1816A377" w14:textId="77777777" w:rsidR="00FF7799" w:rsidRPr="005D1E16" w:rsidRDefault="00FF7799" w:rsidP="00535E2F">
      <w:pPr>
        <w:pStyle w:val="StandardText"/>
      </w:pPr>
      <w:r w:rsidRPr="005D1E16">
        <w:t>Auf der Ebene der Werte (‘should be‘) sind 17 der 36 Interkorrelationen der GLOBE-Kulturdimensionen signifikant (5%-Niveau). In drei Fällen liegt die Korrelation über .50, wovon erneut Ungewissheitsvermeidung am stärksten betroffen ist: ‘uncertainty avoidance‘ &amp; ‘future orientation‘ (r = .67) und ‘uncertainty avoidance‘ &amp; ‘gender egalitarianism‘ (r = -.55; vgl. House et al. 2004, S.735).</w:t>
      </w:r>
    </w:p>
    <w:p w14:paraId="3789BCDC" w14:textId="77777777" w:rsidR="00FF7799" w:rsidRPr="005D1E16" w:rsidRDefault="00FF7799" w:rsidP="00535E2F">
      <w:pPr>
        <w:pStyle w:val="StandardText"/>
      </w:pPr>
    </w:p>
    <w:p w14:paraId="3A1F1957" w14:textId="77777777" w:rsidR="00FF7799" w:rsidRPr="005D1E16" w:rsidRDefault="00FF7799" w:rsidP="00535E2F">
      <w:pPr>
        <w:pStyle w:val="StandardTextkursiv"/>
        <w:rPr>
          <w:i w:val="0"/>
          <w:lang w:bidi="en-US"/>
        </w:rPr>
      </w:pPr>
      <w:r w:rsidRPr="005D1E16">
        <w:rPr>
          <w:i w:val="0"/>
          <w:lang w:bidi="en-US"/>
        </w:rPr>
        <w:t>4.3 Vergleich der Hofstede-Studie mit der GLOBE-Studie</w:t>
      </w:r>
    </w:p>
    <w:p w14:paraId="561BFB24" w14:textId="77777777" w:rsidR="00FF7799" w:rsidRPr="005D1E16" w:rsidRDefault="00FF7799" w:rsidP="00535E2F">
      <w:pPr>
        <w:pStyle w:val="StandardText"/>
      </w:pPr>
      <w:r w:rsidRPr="005D1E16">
        <w:t xml:space="preserve">Beide Studien weisen grundlegende Gemeinsamkeiten auf. Sie unterstellen, dass Menschen aufgrund ihrer Sozialisation in unterschiedlichen Landeskulturen unterschiedliche Werthaltungen entwickeln. Diese können gemessen und faktorenanalytisch zu Kulturdimensionen aggregiert werden: als die von den Mitgliedern einer Kultur geteilten Werthaltungen (vgl. Smith 2006, S.916). Beide Studien haben ihren Ursprung in der Managementforschung und beruhen auf der Befragung von Managern. Allerdings gibt es auch gravierende Unterschiede. Diese betreffen die Konzeptualisierung von Kultur, die methodische Herangehensweise sowie die identifizierten Kulturdimensionen. </w:t>
      </w:r>
    </w:p>
    <w:p w14:paraId="0A7E7A6F" w14:textId="77777777" w:rsidR="00FF7799" w:rsidRPr="00E73F6F" w:rsidRDefault="00FF7799" w:rsidP="00535E2F">
      <w:pPr>
        <w:pStyle w:val="StandardText"/>
      </w:pPr>
    </w:p>
    <w:p w14:paraId="312BAC72" w14:textId="77777777" w:rsidR="00FF7799" w:rsidRPr="005D1E16" w:rsidRDefault="00FF7799" w:rsidP="00535E2F">
      <w:pPr>
        <w:pStyle w:val="StandardTextkursiv"/>
        <w:rPr>
          <w:i w:val="0"/>
          <w:lang w:bidi="en-US"/>
        </w:rPr>
      </w:pPr>
      <w:r w:rsidRPr="005D1E16">
        <w:rPr>
          <w:i w:val="0"/>
          <w:lang w:bidi="en-US"/>
        </w:rPr>
        <w:t>Konzeptualisierung von Kultur</w:t>
      </w:r>
    </w:p>
    <w:p w14:paraId="73836D20" w14:textId="77777777" w:rsidR="00FF7799" w:rsidRPr="005D1E16" w:rsidRDefault="0008380D" w:rsidP="00535E2F">
      <w:pPr>
        <w:pStyle w:val="StandardText"/>
      </w:pPr>
      <w:r w:rsidRPr="005D1E16">
        <w:t>Tab. 3</w:t>
      </w:r>
      <w:r w:rsidR="00FF7799" w:rsidRPr="005D1E16">
        <w:t xml:space="preserve"> verdeutlicht die Unterschiede im Verständnis von Kultur. Hofstedes Konzeptualisierung ist eng gefasst und nimmt lediglich die Werte in den Blick: Kultur als Gesamtheit der von den Mitgliedern einer Gesellschaft geteilten Werthaltungen (‘concepta‘). Diese begünstigen bestimmte Verhaltensweisen (‘percepta‘). Beobachtbare Verhaltensweisen sind demnach Korrelat bzw. Konsequenz von nicht beobachtbaren Werthaltungen. Das GLOBE-Konsortium hat eine weiter gefasste Konzeptualisierung entwickelt. Demnach umfasst Kultur die Werte, Überzeugungen, Normen und Verhaltensmuster einer Nation (vgl. Leung et al. 2005). Gemäß dieser „holistischen“ Sichtweise sind Verhaltensweisen mehr als die mittel- oder unmittelbare Konsequenz von Werthaltungen: eigenständige Konstrukte, die es separat zu erheben gilt. </w:t>
      </w:r>
    </w:p>
    <w:p w14:paraId="13FE4B0E" w14:textId="77777777" w:rsidR="00FF7799" w:rsidRPr="00E73F6F" w:rsidRDefault="00FF7799" w:rsidP="00535E2F">
      <w:pPr>
        <w:pStyle w:val="StandardText"/>
      </w:pPr>
    </w:p>
    <w:p w14:paraId="1D921741" w14:textId="77777777" w:rsidR="00FF7799" w:rsidRPr="007D6CC1" w:rsidRDefault="0008380D" w:rsidP="00535E2F">
      <w:pPr>
        <w:pStyle w:val="BeschriftungTab"/>
        <w:rPr>
          <w:i/>
          <w:iCs/>
          <w:lang w:bidi="en-US"/>
        </w:rPr>
      </w:pPr>
      <w:r w:rsidRPr="007D6CC1">
        <w:rPr>
          <w:i/>
          <w:iCs/>
          <w:lang w:bidi="en-US"/>
        </w:rPr>
        <w:t>Tab. 3</w:t>
      </w:r>
      <w:r w:rsidR="00FF7799" w:rsidRPr="007D6CC1">
        <w:rPr>
          <w:i/>
          <w:iCs/>
          <w:lang w:bidi="en-US"/>
        </w:rPr>
        <w:t>: Konzeptionelle Unterschiede zwischen Hofstede &amp; GLOBE</w:t>
      </w:r>
    </w:p>
    <w:tbl>
      <w:tblPr>
        <w:tblW w:w="9072" w:type="dxa"/>
        <w:tblInd w:w="142" w:type="dxa"/>
        <w:tblBorders>
          <w:top w:val="single" w:sz="4" w:space="0" w:color="auto"/>
          <w:bottom w:val="single" w:sz="4" w:space="0" w:color="auto"/>
          <w:insideH w:val="single" w:sz="4" w:space="0" w:color="auto"/>
        </w:tblBorders>
        <w:shd w:val="clear" w:color="auto" w:fill="FFFFFF"/>
        <w:tblCellMar>
          <w:left w:w="0" w:type="dxa"/>
          <w:right w:w="0" w:type="dxa"/>
        </w:tblCellMar>
        <w:tblLook w:val="0000" w:firstRow="0" w:lastRow="0" w:firstColumn="0" w:lastColumn="0" w:noHBand="0" w:noVBand="0"/>
      </w:tblPr>
      <w:tblGrid>
        <w:gridCol w:w="1843"/>
        <w:gridCol w:w="3260"/>
        <w:gridCol w:w="3969"/>
      </w:tblGrid>
      <w:tr w:rsidR="00FF7799" w:rsidRPr="00E73F6F" w14:paraId="4B39ECD3" w14:textId="77777777" w:rsidTr="00B306FB">
        <w:trPr>
          <w:trHeight w:val="332"/>
          <w:tblHeader/>
        </w:trPr>
        <w:tc>
          <w:tcPr>
            <w:tcW w:w="1843" w:type="dxa"/>
            <w:shd w:val="clear" w:color="auto" w:fill="FFC000" w:themeFill="accent4"/>
            <w:tcMar>
              <w:top w:w="74" w:type="dxa"/>
              <w:left w:w="142" w:type="dxa"/>
              <w:bottom w:w="74" w:type="dxa"/>
              <w:right w:w="142" w:type="dxa"/>
            </w:tcMar>
          </w:tcPr>
          <w:p w14:paraId="0892D0D0" w14:textId="77777777" w:rsidR="00FF7799" w:rsidRPr="00E73F6F" w:rsidRDefault="00FF7799" w:rsidP="00DA55B4">
            <w:pPr>
              <w:pStyle w:val="StandardText"/>
              <w:spacing w:after="120"/>
              <w:jc w:val="center"/>
            </w:pPr>
          </w:p>
        </w:tc>
        <w:tc>
          <w:tcPr>
            <w:tcW w:w="3260" w:type="dxa"/>
            <w:shd w:val="clear" w:color="auto" w:fill="FFC000" w:themeFill="accent4"/>
            <w:tcMar>
              <w:top w:w="74" w:type="dxa"/>
              <w:left w:w="142" w:type="dxa"/>
              <w:bottom w:w="74" w:type="dxa"/>
              <w:right w:w="142" w:type="dxa"/>
            </w:tcMar>
          </w:tcPr>
          <w:p w14:paraId="036177E2" w14:textId="77777777" w:rsidR="00FF7799" w:rsidRPr="00E73F6F" w:rsidRDefault="00FF7799" w:rsidP="00DA55B4">
            <w:pPr>
              <w:pStyle w:val="StandardText"/>
              <w:spacing w:after="120"/>
              <w:jc w:val="center"/>
              <w:rPr>
                <w:b/>
              </w:rPr>
            </w:pPr>
            <w:r w:rsidRPr="00E73F6F">
              <w:rPr>
                <w:b/>
              </w:rPr>
              <w:t>Hofstede</w:t>
            </w:r>
          </w:p>
        </w:tc>
        <w:tc>
          <w:tcPr>
            <w:tcW w:w="3969" w:type="dxa"/>
            <w:shd w:val="clear" w:color="auto" w:fill="FFC000" w:themeFill="accent4"/>
            <w:tcMar>
              <w:top w:w="74" w:type="dxa"/>
              <w:left w:w="142" w:type="dxa"/>
              <w:bottom w:w="74" w:type="dxa"/>
              <w:right w:w="142" w:type="dxa"/>
            </w:tcMar>
          </w:tcPr>
          <w:p w14:paraId="4D40D50B" w14:textId="77777777" w:rsidR="00FF7799" w:rsidRPr="00E73F6F" w:rsidRDefault="00FF7799" w:rsidP="00DA55B4">
            <w:pPr>
              <w:pStyle w:val="StandardText"/>
              <w:spacing w:after="120"/>
              <w:jc w:val="center"/>
              <w:rPr>
                <w:b/>
              </w:rPr>
            </w:pPr>
            <w:r w:rsidRPr="00E73F6F">
              <w:rPr>
                <w:b/>
              </w:rPr>
              <w:t>GLOBE</w:t>
            </w:r>
          </w:p>
        </w:tc>
      </w:tr>
      <w:tr w:rsidR="00FF7799" w:rsidRPr="00E73F6F" w14:paraId="4F50D5BA" w14:textId="77777777" w:rsidTr="0008380D">
        <w:trPr>
          <w:trHeight w:val="351"/>
        </w:trPr>
        <w:tc>
          <w:tcPr>
            <w:tcW w:w="1843" w:type="dxa"/>
            <w:shd w:val="clear" w:color="auto" w:fill="FFF2CC" w:themeFill="accent4" w:themeFillTint="33"/>
            <w:tcMar>
              <w:top w:w="74" w:type="dxa"/>
              <w:left w:w="142" w:type="dxa"/>
              <w:bottom w:w="74" w:type="dxa"/>
              <w:right w:w="142" w:type="dxa"/>
            </w:tcMar>
          </w:tcPr>
          <w:p w14:paraId="083F2EBA" w14:textId="77777777" w:rsidR="00FF7799" w:rsidRPr="00E73F6F" w:rsidRDefault="00FF7799" w:rsidP="00DA55B4">
            <w:pPr>
              <w:pStyle w:val="StandardText"/>
              <w:jc w:val="left"/>
              <w:rPr>
                <w:b/>
              </w:rPr>
            </w:pPr>
            <w:r w:rsidRPr="00E73F6F">
              <w:rPr>
                <w:b/>
              </w:rPr>
              <w:t>Definition von Kultur</w:t>
            </w:r>
          </w:p>
        </w:tc>
        <w:tc>
          <w:tcPr>
            <w:tcW w:w="3260" w:type="dxa"/>
            <w:shd w:val="clear" w:color="auto" w:fill="FFFFFF"/>
            <w:tcMar>
              <w:top w:w="74" w:type="dxa"/>
              <w:left w:w="142" w:type="dxa"/>
              <w:bottom w:w="74" w:type="dxa"/>
              <w:right w:w="142" w:type="dxa"/>
            </w:tcMar>
          </w:tcPr>
          <w:p w14:paraId="7AF04166" w14:textId="77777777" w:rsidR="00FF7799" w:rsidRPr="00E73F6F" w:rsidRDefault="00FF7799" w:rsidP="00A31BCB">
            <w:pPr>
              <w:pStyle w:val="StandardTextAufzhlung"/>
              <w:ind w:left="422"/>
              <w:jc w:val="left"/>
            </w:pPr>
            <w:r w:rsidRPr="00E73F6F">
              <w:t xml:space="preserve">Computer-Analogie: Kultur als mentale Programmierung des Geistes </w:t>
            </w:r>
          </w:p>
          <w:p w14:paraId="6E09F038" w14:textId="77777777" w:rsidR="00FF7799" w:rsidRPr="00E73F6F" w:rsidRDefault="00FF7799" w:rsidP="00A31BCB">
            <w:pPr>
              <w:pStyle w:val="StandardTextAufzhlung"/>
              <w:ind w:left="422"/>
              <w:jc w:val="left"/>
            </w:pPr>
            <w:r w:rsidRPr="00E73F6F">
              <w:t xml:space="preserve">Werte beeinflussen das Verhalten </w:t>
            </w:r>
          </w:p>
        </w:tc>
        <w:tc>
          <w:tcPr>
            <w:tcW w:w="3969" w:type="dxa"/>
            <w:shd w:val="clear" w:color="auto" w:fill="FFFFFF"/>
            <w:tcMar>
              <w:top w:w="74" w:type="dxa"/>
              <w:left w:w="142" w:type="dxa"/>
              <w:bottom w:w="74" w:type="dxa"/>
              <w:right w:w="142" w:type="dxa"/>
            </w:tcMar>
          </w:tcPr>
          <w:p w14:paraId="0E519274" w14:textId="77777777" w:rsidR="00FF7799" w:rsidRPr="00E73F6F" w:rsidRDefault="00FF7799" w:rsidP="00A31BCB">
            <w:pPr>
              <w:pStyle w:val="StandardTextAufzhlung"/>
              <w:ind w:left="422"/>
              <w:jc w:val="left"/>
            </w:pPr>
            <w:r w:rsidRPr="00E73F6F">
              <w:t>Holistische Sichtweise: Kultur als Gesamtheit von Werten und Praktiken</w:t>
            </w:r>
          </w:p>
          <w:p w14:paraId="6A6C143A" w14:textId="77777777" w:rsidR="00FF7799" w:rsidRPr="00E73F6F" w:rsidRDefault="00FF7799" w:rsidP="00A31BCB">
            <w:pPr>
              <w:pStyle w:val="StandardTextAufzhlung"/>
              <w:ind w:left="422"/>
              <w:jc w:val="left"/>
            </w:pPr>
            <w:r w:rsidRPr="00E73F6F">
              <w:t xml:space="preserve">Werte und Praktiken sind voneinander unabhängig </w:t>
            </w:r>
          </w:p>
        </w:tc>
      </w:tr>
      <w:tr w:rsidR="00FF7799" w:rsidRPr="00E73F6F" w14:paraId="7E41DB0D" w14:textId="77777777" w:rsidTr="0008380D">
        <w:trPr>
          <w:trHeight w:val="932"/>
        </w:trPr>
        <w:tc>
          <w:tcPr>
            <w:tcW w:w="1843" w:type="dxa"/>
            <w:shd w:val="clear" w:color="auto" w:fill="FFF2CC" w:themeFill="accent4" w:themeFillTint="33"/>
            <w:tcMar>
              <w:top w:w="74" w:type="dxa"/>
              <w:left w:w="142" w:type="dxa"/>
              <w:bottom w:w="74" w:type="dxa"/>
              <w:right w:w="142" w:type="dxa"/>
            </w:tcMar>
          </w:tcPr>
          <w:p w14:paraId="6B24268C" w14:textId="77777777" w:rsidR="00FF7799" w:rsidRPr="00E73F6F" w:rsidRDefault="00FF7799" w:rsidP="00DA55B4">
            <w:pPr>
              <w:pStyle w:val="StandardText"/>
              <w:jc w:val="left"/>
              <w:rPr>
                <w:b/>
              </w:rPr>
            </w:pPr>
            <w:r w:rsidRPr="00E73F6F">
              <w:rPr>
                <w:b/>
              </w:rPr>
              <w:lastRenderedPageBreak/>
              <w:t xml:space="preserve">Definition von Werten </w:t>
            </w:r>
            <w:r w:rsidRPr="00E73F6F">
              <w:rPr>
                <w:b/>
              </w:rPr>
              <w:br/>
              <w:t>(‘values‘)</w:t>
            </w:r>
          </w:p>
        </w:tc>
        <w:tc>
          <w:tcPr>
            <w:tcW w:w="3260" w:type="dxa"/>
            <w:shd w:val="clear" w:color="auto" w:fill="FFFFFF"/>
            <w:tcMar>
              <w:top w:w="74" w:type="dxa"/>
              <w:left w:w="142" w:type="dxa"/>
              <w:bottom w:w="74" w:type="dxa"/>
              <w:right w:w="142" w:type="dxa"/>
            </w:tcMar>
          </w:tcPr>
          <w:p w14:paraId="64E7AADD" w14:textId="77777777" w:rsidR="00FF7799" w:rsidRPr="00E73F6F" w:rsidRDefault="00FF7799" w:rsidP="00A31BCB">
            <w:pPr>
              <w:pStyle w:val="StandardTextAufzhlung"/>
              <w:ind w:left="422"/>
              <w:jc w:val="left"/>
            </w:pPr>
            <w:r w:rsidRPr="00E73F6F">
              <w:t>Selbstbild: Was hält man selbst für wünschenswert (‘desired‘)?</w:t>
            </w:r>
          </w:p>
          <w:p w14:paraId="2692D09B" w14:textId="77777777" w:rsidR="00FF7799" w:rsidRPr="00E73F6F" w:rsidRDefault="00FF7799" w:rsidP="00A31BCB">
            <w:pPr>
              <w:pStyle w:val="StandardTextAufzhlung"/>
              <w:ind w:left="422"/>
              <w:jc w:val="left"/>
            </w:pPr>
            <w:r w:rsidRPr="00E73F6F">
              <w:t xml:space="preserve">Eigene Werthaltungen </w:t>
            </w:r>
          </w:p>
        </w:tc>
        <w:tc>
          <w:tcPr>
            <w:tcW w:w="3969" w:type="dxa"/>
            <w:shd w:val="clear" w:color="auto" w:fill="FFFFFF"/>
            <w:tcMar>
              <w:top w:w="74" w:type="dxa"/>
              <w:left w:w="142" w:type="dxa"/>
              <w:bottom w:w="74" w:type="dxa"/>
              <w:right w:w="142" w:type="dxa"/>
            </w:tcMar>
          </w:tcPr>
          <w:p w14:paraId="6959887F" w14:textId="77777777" w:rsidR="00FF7799" w:rsidRPr="00E73F6F" w:rsidRDefault="00FF7799" w:rsidP="00A31BCB">
            <w:pPr>
              <w:pStyle w:val="StandardTextAufzhlung"/>
              <w:ind w:left="422"/>
              <w:jc w:val="left"/>
            </w:pPr>
            <w:r w:rsidRPr="00E73F6F">
              <w:t>Fremdbild: Was gilt in der Gesellschaft als wünschenswert (‘desirable‘)?</w:t>
            </w:r>
          </w:p>
          <w:p w14:paraId="2AD66733" w14:textId="77777777" w:rsidR="00FF7799" w:rsidRPr="00E73F6F" w:rsidRDefault="00FF7799" w:rsidP="00A31BCB">
            <w:pPr>
              <w:pStyle w:val="StandardTextAufzhlung"/>
              <w:ind w:left="422"/>
              <w:jc w:val="left"/>
            </w:pPr>
            <w:r w:rsidRPr="00E73F6F">
              <w:t>In der Gemeinschaft vorherrschende Werthaltungen</w:t>
            </w:r>
          </w:p>
        </w:tc>
      </w:tr>
      <w:tr w:rsidR="00FF7799" w:rsidRPr="00E73F6F" w14:paraId="65DAAC4A" w14:textId="77777777" w:rsidTr="0008380D">
        <w:trPr>
          <w:trHeight w:val="1192"/>
        </w:trPr>
        <w:tc>
          <w:tcPr>
            <w:tcW w:w="1843" w:type="dxa"/>
            <w:shd w:val="clear" w:color="auto" w:fill="FFF2CC" w:themeFill="accent4" w:themeFillTint="33"/>
            <w:tcMar>
              <w:top w:w="74" w:type="dxa"/>
              <w:left w:w="142" w:type="dxa"/>
              <w:bottom w:w="74" w:type="dxa"/>
              <w:right w:w="142" w:type="dxa"/>
            </w:tcMar>
          </w:tcPr>
          <w:p w14:paraId="3F7D8586" w14:textId="77777777" w:rsidR="00FF7799" w:rsidRPr="00E73F6F" w:rsidRDefault="00FF7799" w:rsidP="00DA55B4">
            <w:pPr>
              <w:pStyle w:val="StandardText"/>
              <w:jc w:val="left"/>
              <w:rPr>
                <w:b/>
              </w:rPr>
            </w:pPr>
            <w:r w:rsidRPr="00E73F6F">
              <w:rPr>
                <w:b/>
              </w:rPr>
              <w:t>Definition von Verhalten (‘practices‘)</w:t>
            </w:r>
          </w:p>
        </w:tc>
        <w:tc>
          <w:tcPr>
            <w:tcW w:w="3260" w:type="dxa"/>
            <w:shd w:val="clear" w:color="auto" w:fill="FFFFFF"/>
            <w:tcMar>
              <w:top w:w="74" w:type="dxa"/>
              <w:left w:w="142" w:type="dxa"/>
              <w:bottom w:w="74" w:type="dxa"/>
              <w:right w:w="142" w:type="dxa"/>
            </w:tcMar>
          </w:tcPr>
          <w:p w14:paraId="4D782CA3" w14:textId="77777777" w:rsidR="00FF7799" w:rsidRPr="00E73F6F" w:rsidRDefault="00FF7799" w:rsidP="00A31BCB">
            <w:pPr>
              <w:pStyle w:val="StandardTextAufzhlung"/>
              <w:ind w:left="422"/>
              <w:jc w:val="left"/>
            </w:pPr>
            <w:r w:rsidRPr="00E73F6F">
              <w:t>Verhalten als Korrelat oder Konsequenz von Werten</w:t>
            </w:r>
          </w:p>
          <w:p w14:paraId="16554395" w14:textId="77777777" w:rsidR="00FF7799" w:rsidRPr="00E73F6F" w:rsidRDefault="00FF7799" w:rsidP="00A31BCB">
            <w:pPr>
              <w:pStyle w:val="StandardTextAufzhlung"/>
              <w:ind w:left="422"/>
              <w:jc w:val="left"/>
            </w:pPr>
            <w:r w:rsidRPr="00E73F6F">
              <w:t>Im Messkonzept nicht enthalten</w:t>
            </w:r>
          </w:p>
        </w:tc>
        <w:tc>
          <w:tcPr>
            <w:tcW w:w="3969" w:type="dxa"/>
            <w:shd w:val="clear" w:color="auto" w:fill="FFFFFF"/>
            <w:tcMar>
              <w:top w:w="74" w:type="dxa"/>
              <w:left w:w="142" w:type="dxa"/>
              <w:bottom w:w="74" w:type="dxa"/>
              <w:right w:w="142" w:type="dxa"/>
            </w:tcMar>
          </w:tcPr>
          <w:p w14:paraId="600E60DA" w14:textId="77777777" w:rsidR="00FF7799" w:rsidRPr="00E73F6F" w:rsidRDefault="00FF7799" w:rsidP="00A31BCB">
            <w:pPr>
              <w:pStyle w:val="StandardTextAufzhlung"/>
              <w:ind w:left="422"/>
              <w:jc w:val="left"/>
            </w:pPr>
            <w:r w:rsidRPr="00E73F6F">
              <w:t>Welche Verhaltensweisen sind in einer Gesellschaft üblich?</w:t>
            </w:r>
          </w:p>
          <w:p w14:paraId="22A66E1A" w14:textId="77777777" w:rsidR="00FF7799" w:rsidRPr="00E73F6F" w:rsidRDefault="00FF7799" w:rsidP="00A31BCB">
            <w:pPr>
              <w:pStyle w:val="StandardTextAufzhlung"/>
              <w:ind w:left="422"/>
              <w:jc w:val="left"/>
            </w:pPr>
            <w:r w:rsidRPr="00E73F6F">
              <w:t>Praktiken als eigenständiger Teil des Messkonzepts</w:t>
            </w:r>
          </w:p>
        </w:tc>
      </w:tr>
    </w:tbl>
    <w:p w14:paraId="111092B7" w14:textId="77777777" w:rsidR="00FF7799" w:rsidRPr="00E73F6F" w:rsidRDefault="00FF7799" w:rsidP="00862DBA">
      <w:pPr>
        <w:widowControl/>
        <w:adjustRightInd w:val="0"/>
        <w:jc w:val="both"/>
        <w:rPr>
          <w:sz w:val="24"/>
          <w:szCs w:val="24"/>
        </w:rPr>
      </w:pPr>
    </w:p>
    <w:p w14:paraId="43D92550" w14:textId="4CCC7E23" w:rsidR="00FF7799" w:rsidRPr="005D1E16" w:rsidRDefault="00FF7799" w:rsidP="00535E2F">
      <w:pPr>
        <w:pStyle w:val="StandardText"/>
      </w:pPr>
      <w:r w:rsidRPr="005D1E16">
        <w:t xml:space="preserve">Unterschiede bestehen auch in der Konzeptualisierung von Werten. Während </w:t>
      </w:r>
      <w:r w:rsidR="00C66133">
        <w:t xml:space="preserve">sich </w:t>
      </w:r>
      <w:r w:rsidRPr="005D1E16">
        <w:t xml:space="preserve">G. Hofstede auf </w:t>
      </w:r>
      <w:r w:rsidR="00A31BCB" w:rsidRPr="005D1E16">
        <w:t>das Selbstbild</w:t>
      </w:r>
      <w:r w:rsidRPr="005D1E16">
        <w:t xml:space="preserve"> konzentriert („was der Befragte selbst für wichtig bzw. wünschenswert hält), thematisieren die GLOBE-Werteskalen das Fremdbild: wie sich die Mitglieder einer Gemeinschaft nach Ansicht des Befragten verhalten sollten (vgl. Smith 2006, S.917). </w:t>
      </w:r>
      <w:r w:rsidRPr="005D1E16">
        <w:rPr>
          <w:lang w:val="en-US"/>
        </w:rPr>
        <w:t xml:space="preserve">So fragt Hofstede (1980) seine Probanden: „In choosing an ideal job, how important would it be to you to ...“, während die GLOBE-Forscher fragen: „In this society, people should ...“ </w:t>
      </w:r>
      <w:r w:rsidRPr="005D1E16">
        <w:t xml:space="preserve">(vgl. House et al. 2004). GLOBE weicht in dieser Hinsicht auch von anderen renommierten Wertestudien ab, die gleichfalls auf das Selbstbild abstellen (z.B. Schwartz 2004; Inglehart 1997). </w:t>
      </w:r>
    </w:p>
    <w:p w14:paraId="7C7935B1" w14:textId="77777777" w:rsidR="00FF7799" w:rsidRPr="005D1E16" w:rsidRDefault="00FF7799" w:rsidP="00535E2F">
      <w:pPr>
        <w:pStyle w:val="StandardText"/>
      </w:pPr>
      <w:r w:rsidRPr="005D1E16">
        <w:t>Dies ist insofern bedeutsam, als Selbst- und Fremdbild stark divergieren können, wie eine Studie von Fischer (2006) zeigt. Er hat Studenten aus zehn Ländern gefragt, wie wichtig sie die 57 Werte der Schwartz Value Survey für die Menschen in ihrem Land finden („for people in my country“). Sodann reduzierte R. Fischer die 57 Werte auf die sieben von S.H. Schwartz identifizierten Werte-Dimensionen und aggregierte sie auf Landesebene. Das so erhobene Fremdbild korrelierte nur im Falle zweier Dimensionen miteinander, die sehr früh im Leben sozialisiert werden (‘embeddedness‘ und ‘affective autonomy‘), im Falle der anderen Dimensionen praktisch nicht. Angesichts dieser Diskrepanz verwundert es nicht, dass die Korrelationen zwischen den Hofstede-Dimensionen und den entsprechenden Value-Scores nach GLOBE weniger stark ausfallen als erwartetet. Obwohl mehrere GLOBE-Maße identische bzw. ähnliche Bezeichnungen tragen wie G. Hofstedes Kulturdimensionen, handelt es sich dabei also um zusätzliche Facetten von Kultur, nicht um austauschbare Alternativen (vgl. Smith 2006, S. 917).</w:t>
      </w:r>
    </w:p>
    <w:p w14:paraId="510DBA04" w14:textId="77777777" w:rsidR="00FF7799" w:rsidRPr="005D1E16" w:rsidRDefault="00FF7799" w:rsidP="00535E2F">
      <w:pPr>
        <w:pStyle w:val="StandardText"/>
      </w:pPr>
    </w:p>
    <w:p w14:paraId="16A608E4" w14:textId="77777777" w:rsidR="00FF7799" w:rsidRPr="005D1E16" w:rsidRDefault="00FF7799" w:rsidP="00535E2F">
      <w:pPr>
        <w:pStyle w:val="StandardTextkursiv"/>
        <w:rPr>
          <w:i w:val="0"/>
          <w:lang w:bidi="en-US"/>
        </w:rPr>
      </w:pPr>
      <w:r w:rsidRPr="005D1E16">
        <w:rPr>
          <w:i w:val="0"/>
          <w:lang w:bidi="en-US"/>
        </w:rPr>
        <w:t>Methodische Unterschiede</w:t>
      </w:r>
    </w:p>
    <w:p w14:paraId="7AAFD9B5" w14:textId="77777777" w:rsidR="00FF7799" w:rsidRPr="005D1E16" w:rsidRDefault="00FF7799" w:rsidP="00535E2F">
      <w:pPr>
        <w:pStyle w:val="StandardText"/>
      </w:pPr>
      <w:r w:rsidRPr="005D1E16">
        <w:t xml:space="preserve">Auch methodisch unterscheiden sich beide Studien (vgl. Tab. 5). Die Hofstede-Daten entstammen einem IBM-internen Beratungsprojekt. Die vier Kulturdimensionen des 4D-Modells extrahierte er mithilfe einer explorativen Faktorenanalyse. Ihm wird daher oft Empirizismus vorgeworfen: theorieloses Datensammeln und -verarbeiten. Das GLOBE-Konsortium ging hingegen explizit theoriegeleitet vor. Die beteiligten Wissenschaftler formulierten auf Basis relevanter Theorien und Kulturstudien Hypothesen über die Existenz von neun Kulturdimensionen, die sie sodann mithilfe konfirmatorischer Faktorenanalysen empirisch verifizierten. Bei der Stichprobenziehung berücksichtigten sie Manager aus verschiedenen Unternehmen und Branchen, um die externe Validität ihres Ansatzes zu erhöhen. </w:t>
      </w:r>
    </w:p>
    <w:p w14:paraId="473FEE83" w14:textId="77777777" w:rsidR="00FF7799" w:rsidRPr="005D1E16" w:rsidRDefault="00FF7799" w:rsidP="00535E2F">
      <w:pPr>
        <w:pStyle w:val="StandardText"/>
      </w:pPr>
      <w:r w:rsidRPr="005D1E16">
        <w:t>Schließlich verwendete das GLOBE-Konsortium viel Mühe darauf, die Validität und Reliabilität der Messinstrumente (z.B. Pilotstudien, Multimethod-Multitrait-Analyse, konfirmatori</w:t>
      </w:r>
      <w:r w:rsidRPr="005D1E16">
        <w:lastRenderedPageBreak/>
        <w:t>sche Faktorenanalyse) sowie deren interkulturelle Vergleichbarkeit sicherzustellen (z.B. Translation Back-Translation). Aufgrund der hierarchischen Natur der Stichproben analysierten die Forscher die Daten auch mithilfe Hierarchischer Linearer Modelle (HLM). So konnten sie zeigen, dass zwischen Landeskultur und Führungsstil auf organisationaler und gesellschaftlicher Ebene ein Zusammenhang besteht, nicht jedoch auf individueller Ebene. Befürworter der Hofstede-Studie mögen einwenden, dass der unstrittige „Methodenvorsprung“ der GLOBE-Studie mit dem Zeitfaktor zu erklären ist: In den vergangenen 30 Jahren wurde die Methodologie sozialwissenschaftlicher Forschung auf zahlreichen Ebenen entscheidend verbessert. Das Gegenargument der zahlreichen Kritiker lautet: G. Hofstede hat die zahlreichen Neuauflagen (z.B. Hofstede et al. 2010) nicht dazu genutzt, seinen Forschungsansatz zu verbessern, sondern ihn mit Vehemenz zu verteidigen.</w:t>
      </w:r>
    </w:p>
    <w:p w14:paraId="7AADF7DF" w14:textId="77777777" w:rsidR="00FF7799" w:rsidRPr="007D6CC1" w:rsidRDefault="00FF7799" w:rsidP="00535E2F">
      <w:pPr>
        <w:pStyle w:val="StandardText"/>
        <w:rPr>
          <w:i/>
          <w:iCs/>
        </w:rPr>
      </w:pPr>
    </w:p>
    <w:p w14:paraId="7F0B0F82" w14:textId="77777777" w:rsidR="00FF7799" w:rsidRPr="007D6CC1" w:rsidRDefault="00FF7799" w:rsidP="00535E2F">
      <w:pPr>
        <w:pStyle w:val="BeschriftungTab"/>
        <w:rPr>
          <w:i/>
          <w:iCs/>
          <w:lang w:bidi="en-US"/>
        </w:rPr>
      </w:pPr>
      <w:r w:rsidRPr="007D6CC1">
        <w:rPr>
          <w:i/>
          <w:iCs/>
          <w:lang w:bidi="en-US"/>
        </w:rPr>
        <w:t xml:space="preserve">Tab. 5: </w:t>
      </w:r>
      <w:r w:rsidR="005D1E16" w:rsidRPr="007D6CC1">
        <w:rPr>
          <w:i/>
          <w:iCs/>
          <w:lang w:bidi="en-US"/>
        </w:rPr>
        <w:t xml:space="preserve">Vergleich der </w:t>
      </w:r>
      <w:r w:rsidRPr="007D6CC1">
        <w:rPr>
          <w:i/>
          <w:iCs/>
          <w:lang w:bidi="en-US"/>
        </w:rPr>
        <w:t xml:space="preserve">Methodologie von Hofstede &amp; GLOBE </w:t>
      </w:r>
    </w:p>
    <w:tbl>
      <w:tblPr>
        <w:tblW w:w="9072" w:type="dxa"/>
        <w:tblBorders>
          <w:top w:val="single" w:sz="4" w:space="0" w:color="auto"/>
          <w:bottom w:val="single" w:sz="4" w:space="0" w:color="auto"/>
          <w:insideH w:val="single" w:sz="4" w:space="0" w:color="auto"/>
        </w:tblBorders>
        <w:shd w:val="clear" w:color="auto" w:fill="FFFFFF"/>
        <w:tblCellMar>
          <w:left w:w="0" w:type="dxa"/>
          <w:right w:w="0" w:type="dxa"/>
        </w:tblCellMar>
        <w:tblLook w:val="0000" w:firstRow="0" w:lastRow="0" w:firstColumn="0" w:lastColumn="0" w:noHBand="0" w:noVBand="0"/>
      </w:tblPr>
      <w:tblGrid>
        <w:gridCol w:w="1964"/>
        <w:gridCol w:w="3139"/>
        <w:gridCol w:w="3969"/>
      </w:tblGrid>
      <w:tr w:rsidR="00FF7799" w:rsidRPr="00E73F6F" w14:paraId="751623AF" w14:textId="77777777" w:rsidTr="00B306FB">
        <w:trPr>
          <w:trHeight w:val="332"/>
          <w:tblHeader/>
        </w:trPr>
        <w:tc>
          <w:tcPr>
            <w:tcW w:w="1964" w:type="dxa"/>
            <w:shd w:val="clear" w:color="auto" w:fill="FFC000" w:themeFill="accent4"/>
            <w:tcMar>
              <w:top w:w="74" w:type="dxa"/>
              <w:left w:w="142" w:type="dxa"/>
              <w:bottom w:w="74" w:type="dxa"/>
              <w:right w:w="142" w:type="dxa"/>
            </w:tcMar>
          </w:tcPr>
          <w:p w14:paraId="665EE4D6" w14:textId="77777777" w:rsidR="00FF7799" w:rsidRPr="00E73F6F" w:rsidRDefault="00FF7799" w:rsidP="00DA55B4">
            <w:pPr>
              <w:pStyle w:val="StandardText"/>
              <w:spacing w:after="120"/>
              <w:jc w:val="center"/>
            </w:pPr>
          </w:p>
        </w:tc>
        <w:tc>
          <w:tcPr>
            <w:tcW w:w="3139" w:type="dxa"/>
            <w:shd w:val="clear" w:color="auto" w:fill="FFC000" w:themeFill="accent4"/>
            <w:tcMar>
              <w:top w:w="74" w:type="dxa"/>
              <w:left w:w="142" w:type="dxa"/>
              <w:bottom w:w="74" w:type="dxa"/>
              <w:right w:w="142" w:type="dxa"/>
            </w:tcMar>
          </w:tcPr>
          <w:p w14:paraId="617DD442" w14:textId="77777777" w:rsidR="00FF7799" w:rsidRPr="00E73F6F" w:rsidRDefault="00FF7799" w:rsidP="00DA55B4">
            <w:pPr>
              <w:pStyle w:val="StandardText"/>
              <w:spacing w:after="120"/>
              <w:jc w:val="center"/>
              <w:rPr>
                <w:b/>
              </w:rPr>
            </w:pPr>
            <w:r w:rsidRPr="00E73F6F">
              <w:rPr>
                <w:b/>
              </w:rPr>
              <w:t>Hofstede</w:t>
            </w:r>
          </w:p>
        </w:tc>
        <w:tc>
          <w:tcPr>
            <w:tcW w:w="3969" w:type="dxa"/>
            <w:shd w:val="clear" w:color="auto" w:fill="FFC000" w:themeFill="accent4"/>
            <w:tcMar>
              <w:top w:w="74" w:type="dxa"/>
              <w:left w:w="142" w:type="dxa"/>
              <w:bottom w:w="74" w:type="dxa"/>
              <w:right w:w="142" w:type="dxa"/>
            </w:tcMar>
          </w:tcPr>
          <w:p w14:paraId="3344E51C" w14:textId="77777777" w:rsidR="00FF7799" w:rsidRPr="00E73F6F" w:rsidRDefault="00FF7799" w:rsidP="00DA55B4">
            <w:pPr>
              <w:pStyle w:val="StandardText"/>
              <w:spacing w:after="120"/>
              <w:jc w:val="center"/>
              <w:rPr>
                <w:b/>
              </w:rPr>
            </w:pPr>
            <w:r w:rsidRPr="00E73F6F">
              <w:rPr>
                <w:b/>
              </w:rPr>
              <w:t>GLOBE</w:t>
            </w:r>
          </w:p>
        </w:tc>
      </w:tr>
      <w:tr w:rsidR="00FF7799" w:rsidRPr="00E73F6F" w14:paraId="538ED84C" w14:textId="77777777" w:rsidTr="005D1E16">
        <w:trPr>
          <w:trHeight w:val="412"/>
        </w:trPr>
        <w:tc>
          <w:tcPr>
            <w:tcW w:w="1964" w:type="dxa"/>
            <w:shd w:val="clear" w:color="auto" w:fill="FFF2CC" w:themeFill="accent4" w:themeFillTint="33"/>
            <w:tcMar>
              <w:top w:w="74" w:type="dxa"/>
              <w:left w:w="142" w:type="dxa"/>
              <w:bottom w:w="74" w:type="dxa"/>
              <w:right w:w="142" w:type="dxa"/>
            </w:tcMar>
          </w:tcPr>
          <w:p w14:paraId="6D63D979" w14:textId="77777777" w:rsidR="00FF7799" w:rsidRPr="00E73F6F" w:rsidRDefault="00FF7799" w:rsidP="00DA55B4">
            <w:pPr>
              <w:pStyle w:val="StandardText"/>
              <w:jc w:val="left"/>
              <w:rPr>
                <w:b/>
              </w:rPr>
            </w:pPr>
            <w:r w:rsidRPr="00E73F6F">
              <w:rPr>
                <w:b/>
              </w:rPr>
              <w:t>Forschungs-strategie</w:t>
            </w:r>
          </w:p>
        </w:tc>
        <w:tc>
          <w:tcPr>
            <w:tcW w:w="3139" w:type="dxa"/>
            <w:shd w:val="clear" w:color="auto" w:fill="FFFFFF"/>
            <w:tcMar>
              <w:top w:w="74" w:type="dxa"/>
              <w:left w:w="142" w:type="dxa"/>
              <w:bottom w:w="74" w:type="dxa"/>
              <w:right w:w="142" w:type="dxa"/>
            </w:tcMar>
          </w:tcPr>
          <w:p w14:paraId="2A9ADC30" w14:textId="77777777" w:rsidR="00FF7799" w:rsidRPr="00E73F6F" w:rsidRDefault="00FF7799" w:rsidP="00A31BCB">
            <w:pPr>
              <w:pStyle w:val="StandardTextAufzhlung"/>
              <w:ind w:left="325"/>
            </w:pPr>
            <w:r w:rsidRPr="00E73F6F">
              <w:t>Empirizistisch</w:t>
            </w:r>
          </w:p>
        </w:tc>
        <w:tc>
          <w:tcPr>
            <w:tcW w:w="3969" w:type="dxa"/>
            <w:shd w:val="clear" w:color="auto" w:fill="FFFFFF"/>
            <w:tcMar>
              <w:top w:w="74" w:type="dxa"/>
              <w:left w:w="142" w:type="dxa"/>
              <w:bottom w:w="74" w:type="dxa"/>
              <w:right w:w="142" w:type="dxa"/>
            </w:tcMar>
          </w:tcPr>
          <w:p w14:paraId="11FDE034" w14:textId="77777777" w:rsidR="00FF7799" w:rsidRPr="00E73F6F" w:rsidRDefault="00FF7799" w:rsidP="00A31BCB">
            <w:pPr>
              <w:pStyle w:val="StandardTextAufzhlung"/>
              <w:ind w:left="325"/>
            </w:pPr>
            <w:r w:rsidRPr="00E73F6F">
              <w:t>Theoriegeleitet</w:t>
            </w:r>
          </w:p>
        </w:tc>
      </w:tr>
      <w:tr w:rsidR="00FF7799" w:rsidRPr="00E73F6F" w14:paraId="054B868E" w14:textId="77777777" w:rsidTr="005D1E16">
        <w:trPr>
          <w:trHeight w:val="342"/>
        </w:trPr>
        <w:tc>
          <w:tcPr>
            <w:tcW w:w="1964" w:type="dxa"/>
            <w:shd w:val="clear" w:color="auto" w:fill="FFF2CC" w:themeFill="accent4" w:themeFillTint="33"/>
            <w:tcMar>
              <w:top w:w="74" w:type="dxa"/>
              <w:left w:w="142" w:type="dxa"/>
              <w:bottom w:w="74" w:type="dxa"/>
              <w:right w:w="142" w:type="dxa"/>
            </w:tcMar>
          </w:tcPr>
          <w:p w14:paraId="2A0CB84C" w14:textId="77777777" w:rsidR="00FF7799" w:rsidRPr="00E73F6F" w:rsidRDefault="00FF7799" w:rsidP="00DA55B4">
            <w:pPr>
              <w:pStyle w:val="StandardText"/>
              <w:jc w:val="left"/>
              <w:rPr>
                <w:b/>
              </w:rPr>
            </w:pPr>
            <w:r w:rsidRPr="00E73F6F">
              <w:rPr>
                <w:b/>
              </w:rPr>
              <w:t>Stichprobe</w:t>
            </w:r>
          </w:p>
        </w:tc>
        <w:tc>
          <w:tcPr>
            <w:tcW w:w="3139" w:type="dxa"/>
            <w:shd w:val="clear" w:color="auto" w:fill="FFFFFF"/>
            <w:tcMar>
              <w:top w:w="74" w:type="dxa"/>
              <w:left w:w="142" w:type="dxa"/>
              <w:bottom w:w="74" w:type="dxa"/>
              <w:right w:w="142" w:type="dxa"/>
            </w:tcMar>
          </w:tcPr>
          <w:p w14:paraId="45070989" w14:textId="77777777" w:rsidR="00FF7799" w:rsidRPr="00E73F6F" w:rsidRDefault="00FF7799" w:rsidP="00A31BCB">
            <w:pPr>
              <w:pStyle w:val="StandardTextAufzhlung"/>
              <w:ind w:left="325"/>
            </w:pPr>
            <w:r w:rsidRPr="00E73F6F">
              <w:t xml:space="preserve">116.000 </w:t>
            </w:r>
            <w:r w:rsidRPr="00E73F6F">
              <w:rPr>
                <w:i/>
              </w:rPr>
              <w:t>IBM</w:t>
            </w:r>
            <w:r w:rsidRPr="00E73F6F">
              <w:t>-Manager aus 53 Ländern und Regionen</w:t>
            </w:r>
          </w:p>
        </w:tc>
        <w:tc>
          <w:tcPr>
            <w:tcW w:w="3969" w:type="dxa"/>
            <w:shd w:val="clear" w:color="auto" w:fill="FFFFFF"/>
            <w:tcMar>
              <w:top w:w="74" w:type="dxa"/>
              <w:left w:w="142" w:type="dxa"/>
              <w:bottom w:w="74" w:type="dxa"/>
              <w:right w:w="142" w:type="dxa"/>
            </w:tcMar>
          </w:tcPr>
          <w:p w14:paraId="3A05A303" w14:textId="77777777" w:rsidR="00FF7799" w:rsidRPr="00E73F6F" w:rsidRDefault="00FF7799" w:rsidP="00A31BCB">
            <w:pPr>
              <w:pStyle w:val="StandardTextAufzhlung"/>
              <w:ind w:left="325"/>
            </w:pPr>
            <w:r w:rsidRPr="00E73F6F">
              <w:t xml:space="preserve">17.370 Manager aus 62 Ländern und Regionen, drei Branchen (Finanzdienstleistungen, Lebensmittelverarbeitung und Telekommunikation) und 951 Organisationen </w:t>
            </w:r>
          </w:p>
        </w:tc>
      </w:tr>
      <w:tr w:rsidR="00FF7799" w:rsidRPr="00E17A2B" w14:paraId="48E05407" w14:textId="77777777" w:rsidTr="005D1E16">
        <w:trPr>
          <w:trHeight w:val="625"/>
        </w:trPr>
        <w:tc>
          <w:tcPr>
            <w:tcW w:w="1964" w:type="dxa"/>
            <w:shd w:val="clear" w:color="auto" w:fill="FFF2CC" w:themeFill="accent4" w:themeFillTint="33"/>
            <w:tcMar>
              <w:top w:w="74" w:type="dxa"/>
              <w:left w:w="142" w:type="dxa"/>
              <w:bottom w:w="74" w:type="dxa"/>
              <w:right w:w="142" w:type="dxa"/>
            </w:tcMar>
          </w:tcPr>
          <w:p w14:paraId="3D75AE9B" w14:textId="77777777" w:rsidR="00FF7799" w:rsidRPr="00E73F6F" w:rsidRDefault="00FF7799" w:rsidP="00DA55B4">
            <w:pPr>
              <w:pStyle w:val="StandardText"/>
              <w:jc w:val="left"/>
              <w:rPr>
                <w:b/>
              </w:rPr>
            </w:pPr>
            <w:r w:rsidRPr="00E73F6F">
              <w:rPr>
                <w:b/>
              </w:rPr>
              <w:t>Entwicklung der Messinstrumente</w:t>
            </w:r>
          </w:p>
        </w:tc>
        <w:tc>
          <w:tcPr>
            <w:tcW w:w="3139" w:type="dxa"/>
            <w:shd w:val="clear" w:color="auto" w:fill="FFFFFF"/>
            <w:tcMar>
              <w:top w:w="74" w:type="dxa"/>
              <w:left w:w="142" w:type="dxa"/>
              <w:bottom w:w="74" w:type="dxa"/>
              <w:right w:w="142" w:type="dxa"/>
            </w:tcMar>
          </w:tcPr>
          <w:p w14:paraId="66B852EA" w14:textId="77777777" w:rsidR="00FF7799" w:rsidRPr="00E73F6F" w:rsidRDefault="00FF7799" w:rsidP="00A31BCB">
            <w:pPr>
              <w:pStyle w:val="StandardTextAufzhlung"/>
              <w:ind w:left="325"/>
            </w:pPr>
            <w:r w:rsidRPr="00E73F6F">
              <w:t>Beteiligung von sechs europäischen Forschern</w:t>
            </w:r>
          </w:p>
          <w:p w14:paraId="4851B658" w14:textId="77777777" w:rsidR="00FF7799" w:rsidRPr="00E73F6F" w:rsidRDefault="00FF7799" w:rsidP="00A31BCB">
            <w:pPr>
              <w:pStyle w:val="StandardTextAufzhlung"/>
              <w:ind w:left="325"/>
            </w:pPr>
            <w:r w:rsidRPr="00E73F6F">
              <w:t xml:space="preserve">Fokus auf </w:t>
            </w:r>
            <w:r w:rsidRPr="00E73F6F">
              <w:rPr>
                <w:i/>
              </w:rPr>
              <w:t>IBM</w:t>
            </w:r>
            <w:r w:rsidRPr="00E73F6F">
              <w:t>-relevante Themen</w:t>
            </w:r>
          </w:p>
          <w:p w14:paraId="01CD37EC" w14:textId="77777777" w:rsidR="00FF7799" w:rsidRPr="00E73F6F" w:rsidRDefault="00FF7799" w:rsidP="00A31BCB">
            <w:pPr>
              <w:pStyle w:val="StandardTextAufzhlung"/>
              <w:ind w:left="325"/>
            </w:pPr>
            <w:r w:rsidRPr="00E73F6F">
              <w:t>Keine Back-Translation</w:t>
            </w:r>
          </w:p>
          <w:p w14:paraId="38E70611" w14:textId="77777777" w:rsidR="00FF7799" w:rsidRPr="00E73F6F" w:rsidRDefault="00FF7799" w:rsidP="00A31BCB">
            <w:pPr>
              <w:pStyle w:val="StandardTextAufzhlung"/>
              <w:ind w:left="325"/>
            </w:pPr>
          </w:p>
        </w:tc>
        <w:tc>
          <w:tcPr>
            <w:tcW w:w="3969" w:type="dxa"/>
            <w:shd w:val="clear" w:color="auto" w:fill="FFFFFF"/>
            <w:tcMar>
              <w:top w:w="74" w:type="dxa"/>
              <w:left w:w="142" w:type="dxa"/>
              <w:bottom w:w="74" w:type="dxa"/>
              <w:right w:w="142" w:type="dxa"/>
            </w:tcMar>
          </w:tcPr>
          <w:p w14:paraId="11E08FE6" w14:textId="77777777" w:rsidR="00FF7799" w:rsidRPr="00E73F6F" w:rsidRDefault="00FF7799" w:rsidP="00A31BCB">
            <w:pPr>
              <w:pStyle w:val="StandardTextAufzhlung"/>
              <w:ind w:left="325"/>
            </w:pPr>
            <w:r w:rsidRPr="00E73F6F">
              <w:t>Beteiligung von 160 Forschern aus 62 Ländern</w:t>
            </w:r>
          </w:p>
          <w:p w14:paraId="6EFD2D3D" w14:textId="77777777" w:rsidR="00FF7799" w:rsidRPr="00E73F6F" w:rsidRDefault="00FF7799" w:rsidP="00A31BCB">
            <w:pPr>
              <w:pStyle w:val="StandardTextAufzhlung"/>
              <w:ind w:left="325"/>
            </w:pPr>
            <w:r w:rsidRPr="00E73F6F">
              <w:t>Fokusgruppeninterviews</w:t>
            </w:r>
          </w:p>
          <w:p w14:paraId="01BD7054" w14:textId="77777777" w:rsidR="00FF7799" w:rsidRPr="00E73F6F" w:rsidRDefault="00FF7799" w:rsidP="00A31BCB">
            <w:pPr>
              <w:pStyle w:val="StandardTextAufzhlung"/>
              <w:ind w:left="325"/>
            </w:pPr>
            <w:r w:rsidRPr="00E73F6F">
              <w:t xml:space="preserve">Ergänzung und Reformulierung der Items </w:t>
            </w:r>
          </w:p>
          <w:p w14:paraId="5B8B0109" w14:textId="77777777" w:rsidR="00FF7799" w:rsidRPr="00E73F6F" w:rsidRDefault="00FF7799" w:rsidP="00A31BCB">
            <w:pPr>
              <w:pStyle w:val="StandardTextAufzhlung"/>
              <w:ind w:left="325"/>
            </w:pPr>
            <w:r w:rsidRPr="00E73F6F">
              <w:t>Translation Back-Translation</w:t>
            </w:r>
          </w:p>
          <w:p w14:paraId="7EB38ACA" w14:textId="77777777" w:rsidR="00FF7799" w:rsidRPr="00E35FFF" w:rsidRDefault="00FF7799" w:rsidP="00A31BCB">
            <w:pPr>
              <w:pStyle w:val="StandardTextAufzhlung"/>
              <w:ind w:left="325"/>
              <w:rPr>
                <w:lang w:val="en-US"/>
              </w:rPr>
            </w:pPr>
            <w:r w:rsidRPr="00E35FFF">
              <w:rPr>
                <w:lang w:val="en-US"/>
              </w:rPr>
              <w:t>Kontrolle der Common Method-Varianz</w:t>
            </w:r>
          </w:p>
        </w:tc>
      </w:tr>
      <w:tr w:rsidR="00FF7799" w:rsidRPr="00E73F6F" w14:paraId="7B934741" w14:textId="77777777" w:rsidTr="005D1E16">
        <w:trPr>
          <w:trHeight w:val="304"/>
        </w:trPr>
        <w:tc>
          <w:tcPr>
            <w:tcW w:w="1964" w:type="dxa"/>
            <w:shd w:val="clear" w:color="auto" w:fill="FFF2CC" w:themeFill="accent4" w:themeFillTint="33"/>
            <w:tcMar>
              <w:top w:w="74" w:type="dxa"/>
              <w:left w:w="142" w:type="dxa"/>
              <w:bottom w:w="74" w:type="dxa"/>
              <w:right w:w="142" w:type="dxa"/>
            </w:tcMar>
          </w:tcPr>
          <w:p w14:paraId="61047911" w14:textId="77777777" w:rsidR="00FF7799" w:rsidRPr="00E73F6F" w:rsidRDefault="00FF7799" w:rsidP="00DA55B4">
            <w:pPr>
              <w:pStyle w:val="StandardText"/>
              <w:jc w:val="left"/>
              <w:rPr>
                <w:b/>
              </w:rPr>
            </w:pPr>
            <w:r w:rsidRPr="00E73F6F">
              <w:rPr>
                <w:b/>
              </w:rPr>
              <w:t>Skalierung</w:t>
            </w:r>
          </w:p>
        </w:tc>
        <w:tc>
          <w:tcPr>
            <w:tcW w:w="3139" w:type="dxa"/>
            <w:shd w:val="clear" w:color="auto" w:fill="FFFFFF"/>
            <w:tcMar>
              <w:top w:w="74" w:type="dxa"/>
              <w:left w:w="142" w:type="dxa"/>
              <w:bottom w:w="74" w:type="dxa"/>
              <w:right w:w="142" w:type="dxa"/>
            </w:tcMar>
          </w:tcPr>
          <w:p w14:paraId="03A569EE" w14:textId="77777777" w:rsidR="00FF7799" w:rsidRPr="00E73F6F" w:rsidRDefault="00FF7799" w:rsidP="00A31BCB">
            <w:pPr>
              <w:pStyle w:val="StandardTextAufzhlung"/>
              <w:ind w:left="325"/>
            </w:pPr>
            <w:r w:rsidRPr="00E73F6F">
              <w:t>Fünfstufige Ratingskalen</w:t>
            </w:r>
          </w:p>
        </w:tc>
        <w:tc>
          <w:tcPr>
            <w:tcW w:w="3969" w:type="dxa"/>
            <w:shd w:val="clear" w:color="auto" w:fill="FFFFFF"/>
            <w:tcMar>
              <w:top w:w="74" w:type="dxa"/>
              <w:left w:w="142" w:type="dxa"/>
              <w:bottom w:w="74" w:type="dxa"/>
              <w:right w:w="142" w:type="dxa"/>
            </w:tcMar>
          </w:tcPr>
          <w:p w14:paraId="7BDD8063" w14:textId="77777777" w:rsidR="00FF7799" w:rsidRPr="00E73F6F" w:rsidRDefault="00FF7799" w:rsidP="00A31BCB">
            <w:pPr>
              <w:pStyle w:val="StandardTextAufzhlung"/>
              <w:ind w:left="325"/>
            </w:pPr>
            <w:r w:rsidRPr="00E73F6F">
              <w:t>Siebenstufige Ratingskalen</w:t>
            </w:r>
          </w:p>
        </w:tc>
      </w:tr>
      <w:tr w:rsidR="00FF7799" w:rsidRPr="00E73F6F" w14:paraId="550FDB13" w14:textId="77777777" w:rsidTr="005D1E16">
        <w:trPr>
          <w:trHeight w:val="937"/>
        </w:trPr>
        <w:tc>
          <w:tcPr>
            <w:tcW w:w="1964" w:type="dxa"/>
            <w:shd w:val="clear" w:color="auto" w:fill="FFF2CC" w:themeFill="accent4" w:themeFillTint="33"/>
            <w:tcMar>
              <w:top w:w="74" w:type="dxa"/>
              <w:left w:w="142" w:type="dxa"/>
              <w:bottom w:w="74" w:type="dxa"/>
              <w:right w:w="142" w:type="dxa"/>
            </w:tcMar>
          </w:tcPr>
          <w:p w14:paraId="5C217B07" w14:textId="77777777" w:rsidR="00FF7799" w:rsidRPr="00E73F6F" w:rsidRDefault="00FF7799" w:rsidP="00DA55B4">
            <w:pPr>
              <w:pStyle w:val="StandardText"/>
              <w:jc w:val="left"/>
              <w:rPr>
                <w:b/>
              </w:rPr>
            </w:pPr>
            <w:r w:rsidRPr="00E73F6F">
              <w:rPr>
                <w:b/>
              </w:rPr>
              <w:t>Methoden der Datenauswertung</w:t>
            </w:r>
          </w:p>
        </w:tc>
        <w:tc>
          <w:tcPr>
            <w:tcW w:w="3139" w:type="dxa"/>
            <w:shd w:val="clear" w:color="auto" w:fill="FFFFFF"/>
            <w:tcMar>
              <w:top w:w="74" w:type="dxa"/>
              <w:left w:w="142" w:type="dxa"/>
              <w:bottom w:w="74" w:type="dxa"/>
              <w:right w:w="142" w:type="dxa"/>
            </w:tcMar>
          </w:tcPr>
          <w:p w14:paraId="0B79A379" w14:textId="77777777" w:rsidR="00FF7799" w:rsidRPr="00E73F6F" w:rsidRDefault="00FF7799" w:rsidP="00A31BCB">
            <w:pPr>
              <w:pStyle w:val="StandardTextAufzhlung"/>
              <w:ind w:left="325"/>
            </w:pPr>
            <w:r w:rsidRPr="00E73F6F">
              <w:t>Explorative Faktorenanalyse</w:t>
            </w:r>
          </w:p>
        </w:tc>
        <w:tc>
          <w:tcPr>
            <w:tcW w:w="3969" w:type="dxa"/>
            <w:shd w:val="clear" w:color="auto" w:fill="FFFFFF"/>
            <w:tcMar>
              <w:top w:w="74" w:type="dxa"/>
              <w:left w:w="142" w:type="dxa"/>
              <w:bottom w:w="74" w:type="dxa"/>
              <w:right w:w="142" w:type="dxa"/>
            </w:tcMar>
          </w:tcPr>
          <w:p w14:paraId="548109F6" w14:textId="77777777" w:rsidR="00FF7799" w:rsidRPr="00E73F6F" w:rsidRDefault="00FF7799" w:rsidP="00A31BCB">
            <w:pPr>
              <w:pStyle w:val="StandardTextAufzhlung"/>
              <w:ind w:left="325"/>
            </w:pPr>
            <w:r w:rsidRPr="00E73F6F">
              <w:t>Multimethod-Multitrait-Methode</w:t>
            </w:r>
          </w:p>
          <w:p w14:paraId="7567F443" w14:textId="77777777" w:rsidR="00FF7799" w:rsidRPr="00E73F6F" w:rsidRDefault="00FF7799" w:rsidP="00A31BCB">
            <w:pPr>
              <w:pStyle w:val="StandardTextAufzhlung"/>
              <w:ind w:left="325"/>
            </w:pPr>
            <w:r w:rsidRPr="00E73F6F">
              <w:t>Konfirmatorische Faktorenanalyse</w:t>
            </w:r>
          </w:p>
          <w:p w14:paraId="30129CA3" w14:textId="77777777" w:rsidR="00FF7799" w:rsidRPr="00E73F6F" w:rsidRDefault="00FF7799" w:rsidP="00A31BCB">
            <w:pPr>
              <w:pStyle w:val="StandardTextAufzhlung"/>
              <w:ind w:left="325"/>
            </w:pPr>
            <w:r w:rsidRPr="00E73F6F">
              <w:t xml:space="preserve">Hierarchische Lineare Modelle (HLM) </w:t>
            </w:r>
          </w:p>
        </w:tc>
      </w:tr>
    </w:tbl>
    <w:p w14:paraId="5C545B24" w14:textId="77777777" w:rsidR="00FF7799" w:rsidRPr="00E73F6F" w:rsidRDefault="00FF7799" w:rsidP="00DA55B4">
      <w:pPr>
        <w:pStyle w:val="Quellen"/>
      </w:pPr>
      <w:r w:rsidRPr="00E73F6F">
        <w:t>Quelle: eigene Darstellung auf Basis von Javidan et al. (2006, S.910).</w:t>
      </w:r>
    </w:p>
    <w:p w14:paraId="2B395BDB" w14:textId="77777777" w:rsidR="00FF7799" w:rsidRPr="00E73F6F" w:rsidRDefault="00FF7799" w:rsidP="00862DBA">
      <w:pPr>
        <w:widowControl/>
        <w:adjustRightInd w:val="0"/>
        <w:jc w:val="both"/>
        <w:rPr>
          <w:sz w:val="24"/>
          <w:szCs w:val="24"/>
        </w:rPr>
      </w:pPr>
    </w:p>
    <w:p w14:paraId="5285A9FD" w14:textId="77777777" w:rsidR="00FF7799" w:rsidRPr="005D1E16" w:rsidRDefault="00FF7799" w:rsidP="00535E2F">
      <w:pPr>
        <w:pStyle w:val="StandardTextkursiv"/>
        <w:rPr>
          <w:i w:val="0"/>
          <w:lang w:bidi="en-US"/>
        </w:rPr>
      </w:pPr>
      <w:r w:rsidRPr="005D1E16">
        <w:rPr>
          <w:i w:val="0"/>
          <w:lang w:bidi="en-US"/>
        </w:rPr>
        <w:t>Unterschiedliche dimensionale Struktur</w:t>
      </w:r>
    </w:p>
    <w:p w14:paraId="6CD7290C" w14:textId="77777777" w:rsidR="00FF7799" w:rsidRPr="005D1E16" w:rsidRDefault="00FF7799" w:rsidP="00535E2F">
      <w:pPr>
        <w:pStyle w:val="StandardText"/>
      </w:pPr>
      <w:r w:rsidRPr="005D1E16">
        <w:t xml:space="preserve">Die beiden Studien unterscheiden sich zunächst in der Zahl der identifizierten Kulturdimensionen. Mit seinen zunächst vier, später fünf und schließlich sechs Kulturdimensionen ist der Hofstede-Ansatz deutlich „sparsamer“ als der GLOBE-Ansatz, der das Konstrukt Landeskultur auf 18 Dimensionen misst (neun Werte, neun Praktiken). Da die Zahl der Dimensionen zudem in einem sinnvollen – d.h. nicht zu hohen – Verhältnis zur Zahl der zu messenden Kulturen stehen sollte, ist der Hofstede-Ansatz mit Blick auf das Kriterium der Sparsamkeit eindeutig im Vorteil </w:t>
      </w:r>
      <w:r w:rsidRPr="005D1E16">
        <w:lastRenderedPageBreak/>
        <w:t>(</w:t>
      </w:r>
      <w:r w:rsidR="005D1E16">
        <w:sym w:font="Symbol" w:char="F0DE"/>
      </w:r>
      <w:r w:rsidRPr="005D1E16">
        <w:t xml:space="preserve"> Parsimony &amp; Simplicity). Dies mag ein Grund dafür sein, warum Venaik/Brewer (2010, S.1297) unter den 24 hochrangigen Studien, welche nach 2004 (also dem Jahr der Veröffentlichung des GLOBE-Berichts) die Kulturdimension Ungewissheitsvermeidung thematisierten, nur vier fanden, welche die GLOBE-Operationalisierung verwendeten. Alle anderen nutzten die Hofstede-Operationalisierung. </w:t>
      </w:r>
    </w:p>
    <w:p w14:paraId="154E9EE8" w14:textId="77777777" w:rsidR="00FF7799" w:rsidRPr="005D1E16" w:rsidRDefault="00FF7799" w:rsidP="00535E2F">
      <w:pPr>
        <w:pStyle w:val="StandardText"/>
      </w:pPr>
      <w:r w:rsidRPr="005D1E16">
        <w:t xml:space="preserve">Abgesehen von der unterschiedlichen Anzahl der Dimensionen offenbart Tab. 6, dass sich auch die ähnlich bzw. identisch konzeptionalisierten Dimensionen empirisch unterscheiden. So korrelieren lediglich im Falle von Ungewissheitsvermeidung und institutionellem Kollektivismus die Werteskalen erwartungsgemäß (positiv bzw. negativ). Alle anderen Werte-Skalen korrelieren nicht signifikant miteinander. Signifikante Zusammenhänge bestehen hingegen zwischen den Hofstede-Werten und den GLOBE-Praktiken, teils positiver und teils negativer Art. </w:t>
      </w:r>
    </w:p>
    <w:p w14:paraId="0432F357" w14:textId="77777777" w:rsidR="00FF7799" w:rsidRPr="007D6CC1" w:rsidRDefault="00FF7799" w:rsidP="00535E2F">
      <w:pPr>
        <w:pStyle w:val="StandardText"/>
        <w:rPr>
          <w:i/>
          <w:iCs/>
        </w:rPr>
      </w:pPr>
    </w:p>
    <w:p w14:paraId="31AE07E7" w14:textId="77777777" w:rsidR="00FF7799" w:rsidRPr="007D6CC1" w:rsidRDefault="00FF7799" w:rsidP="00535E2F">
      <w:pPr>
        <w:pStyle w:val="BeschriftungTab"/>
        <w:rPr>
          <w:i/>
          <w:iCs/>
        </w:rPr>
      </w:pPr>
      <w:r w:rsidRPr="007D6CC1">
        <w:rPr>
          <w:bCs/>
          <w:i/>
          <w:iCs/>
        </w:rPr>
        <w:t xml:space="preserve">Tab. 6: </w:t>
      </w:r>
      <w:r w:rsidRPr="007D6CC1">
        <w:rPr>
          <w:i/>
          <w:iCs/>
        </w:rPr>
        <w:t>Zusammenhang zwischen GLOBE-Skalen &amp; Hofstede-Skalen</w:t>
      </w:r>
    </w:p>
    <w:tbl>
      <w:tblPr>
        <w:tblW w:w="9043" w:type="dxa"/>
        <w:tblInd w:w="57" w:type="dxa"/>
        <w:tblBorders>
          <w:top w:val="single" w:sz="4" w:space="0" w:color="auto"/>
          <w:bottom w:val="single" w:sz="4" w:space="0" w:color="auto"/>
        </w:tblBorders>
        <w:tblLayout w:type="fixed"/>
        <w:tblCellMar>
          <w:left w:w="28" w:type="dxa"/>
          <w:right w:w="28" w:type="dxa"/>
        </w:tblCellMar>
        <w:tblLook w:val="0000" w:firstRow="0" w:lastRow="0" w:firstColumn="0" w:lastColumn="0" w:noHBand="0" w:noVBand="0"/>
      </w:tblPr>
      <w:tblGrid>
        <w:gridCol w:w="3057"/>
        <w:gridCol w:w="1197"/>
        <w:gridCol w:w="1354"/>
        <w:gridCol w:w="1134"/>
        <w:gridCol w:w="1134"/>
        <w:gridCol w:w="1167"/>
      </w:tblGrid>
      <w:tr w:rsidR="00FF7799" w:rsidRPr="00E73F6F" w14:paraId="7C187134" w14:textId="77777777" w:rsidTr="002F3A66">
        <w:trPr>
          <w:trHeight w:val="280"/>
          <w:tblHeader/>
        </w:trPr>
        <w:tc>
          <w:tcPr>
            <w:tcW w:w="3057" w:type="dxa"/>
            <w:tcBorders>
              <w:bottom w:val="single" w:sz="4" w:space="0" w:color="auto"/>
            </w:tcBorders>
            <w:shd w:val="clear" w:color="auto" w:fill="FFF2CC" w:themeFill="accent4" w:themeFillTint="33"/>
            <w:noWrap/>
          </w:tcPr>
          <w:p w14:paraId="7C7204B4" w14:textId="77777777" w:rsidR="00FF7799" w:rsidRPr="00E73F6F" w:rsidRDefault="00FF7799" w:rsidP="00181BAF">
            <w:pPr>
              <w:pStyle w:val="StandardText"/>
              <w:spacing w:after="120"/>
              <w:rPr>
                <w:b/>
              </w:rPr>
            </w:pPr>
            <w:r w:rsidRPr="00E73F6F">
              <w:rPr>
                <w:b/>
              </w:rPr>
              <w:t>GLOBE</w:t>
            </w:r>
          </w:p>
        </w:tc>
        <w:tc>
          <w:tcPr>
            <w:tcW w:w="1197" w:type="dxa"/>
            <w:tcBorders>
              <w:bottom w:val="single" w:sz="4" w:space="0" w:color="auto"/>
            </w:tcBorders>
            <w:shd w:val="clear" w:color="auto" w:fill="FFC000" w:themeFill="accent4"/>
          </w:tcPr>
          <w:p w14:paraId="3D2B5AC9" w14:textId="77777777" w:rsidR="00FF7799" w:rsidRPr="00E73F6F" w:rsidRDefault="00FF7799" w:rsidP="00181BAF">
            <w:pPr>
              <w:pStyle w:val="StandardText"/>
              <w:spacing w:after="120"/>
              <w:rPr>
                <w:b/>
              </w:rPr>
            </w:pPr>
            <w:r w:rsidRPr="00E73F6F">
              <w:rPr>
                <w:b/>
              </w:rPr>
              <w:t>Hofstede</w:t>
            </w:r>
          </w:p>
        </w:tc>
        <w:tc>
          <w:tcPr>
            <w:tcW w:w="1354" w:type="dxa"/>
            <w:tcBorders>
              <w:bottom w:val="single" w:sz="4" w:space="0" w:color="auto"/>
            </w:tcBorders>
            <w:shd w:val="clear" w:color="auto" w:fill="FFC000" w:themeFill="accent4"/>
            <w:noWrap/>
          </w:tcPr>
          <w:p w14:paraId="4346B25A" w14:textId="77777777" w:rsidR="00FF7799" w:rsidRPr="00E73F6F" w:rsidRDefault="00FF7799" w:rsidP="00181BAF">
            <w:pPr>
              <w:pStyle w:val="StandardText"/>
              <w:spacing w:after="120"/>
              <w:jc w:val="center"/>
              <w:rPr>
                <w:b/>
              </w:rPr>
            </w:pPr>
            <w:r w:rsidRPr="00E73F6F">
              <w:rPr>
                <w:b/>
              </w:rPr>
              <w:t>Akzeptanz von Machtdistanz</w:t>
            </w:r>
          </w:p>
        </w:tc>
        <w:tc>
          <w:tcPr>
            <w:tcW w:w="1134" w:type="dxa"/>
            <w:tcBorders>
              <w:bottom w:val="single" w:sz="4" w:space="0" w:color="auto"/>
            </w:tcBorders>
            <w:shd w:val="clear" w:color="auto" w:fill="FFC000" w:themeFill="accent4"/>
            <w:noWrap/>
          </w:tcPr>
          <w:p w14:paraId="0A34FEAA" w14:textId="77777777" w:rsidR="00FF7799" w:rsidRPr="00E73F6F" w:rsidRDefault="00FF7799" w:rsidP="00181BAF">
            <w:pPr>
              <w:pStyle w:val="StandardText"/>
              <w:spacing w:after="120"/>
              <w:jc w:val="center"/>
              <w:rPr>
                <w:b/>
              </w:rPr>
            </w:pPr>
            <w:r w:rsidRPr="00E73F6F">
              <w:rPr>
                <w:b/>
              </w:rPr>
              <w:t>Ungewissheitsvermeidung</w:t>
            </w:r>
          </w:p>
        </w:tc>
        <w:tc>
          <w:tcPr>
            <w:tcW w:w="1134" w:type="dxa"/>
            <w:tcBorders>
              <w:bottom w:val="single" w:sz="4" w:space="0" w:color="auto"/>
            </w:tcBorders>
            <w:shd w:val="clear" w:color="auto" w:fill="FFC000" w:themeFill="accent4"/>
            <w:noWrap/>
          </w:tcPr>
          <w:p w14:paraId="2E1A7CAD" w14:textId="77777777" w:rsidR="00FF7799" w:rsidRPr="00E73F6F" w:rsidRDefault="00FF7799" w:rsidP="00181BAF">
            <w:pPr>
              <w:pStyle w:val="StandardText"/>
              <w:spacing w:after="120"/>
              <w:jc w:val="center"/>
              <w:rPr>
                <w:b/>
              </w:rPr>
            </w:pPr>
            <w:r w:rsidRPr="00E73F6F">
              <w:rPr>
                <w:b/>
              </w:rPr>
              <w:t>Individualismus</w:t>
            </w:r>
          </w:p>
        </w:tc>
        <w:tc>
          <w:tcPr>
            <w:tcW w:w="1167" w:type="dxa"/>
            <w:tcBorders>
              <w:bottom w:val="single" w:sz="4" w:space="0" w:color="auto"/>
            </w:tcBorders>
            <w:shd w:val="clear" w:color="auto" w:fill="FFC000" w:themeFill="accent4"/>
            <w:noWrap/>
          </w:tcPr>
          <w:p w14:paraId="492DC62C" w14:textId="77777777" w:rsidR="00FF7799" w:rsidRPr="00E73F6F" w:rsidRDefault="00FF7799" w:rsidP="00181BAF">
            <w:pPr>
              <w:pStyle w:val="StandardText"/>
              <w:spacing w:after="120"/>
              <w:jc w:val="center"/>
              <w:rPr>
                <w:b/>
              </w:rPr>
            </w:pPr>
            <w:r w:rsidRPr="00E73F6F">
              <w:rPr>
                <w:b/>
              </w:rPr>
              <w:t>Maskulinität</w:t>
            </w:r>
          </w:p>
        </w:tc>
      </w:tr>
      <w:tr w:rsidR="00FF7799" w:rsidRPr="00E73F6F" w14:paraId="590362C3" w14:textId="77777777" w:rsidTr="002F3A66">
        <w:trPr>
          <w:trHeight w:val="280"/>
        </w:trPr>
        <w:tc>
          <w:tcPr>
            <w:tcW w:w="3057" w:type="dxa"/>
            <w:tcBorders>
              <w:top w:val="single" w:sz="4" w:space="0" w:color="auto"/>
              <w:bottom w:val="nil"/>
            </w:tcBorders>
            <w:shd w:val="clear" w:color="auto" w:fill="FFF2CC" w:themeFill="accent4" w:themeFillTint="33"/>
            <w:noWrap/>
          </w:tcPr>
          <w:p w14:paraId="50BBD552" w14:textId="77777777" w:rsidR="00FF7799" w:rsidRPr="00E73F6F" w:rsidRDefault="00FF7799" w:rsidP="00535E2F">
            <w:pPr>
              <w:pStyle w:val="StandardText"/>
            </w:pPr>
            <w:r w:rsidRPr="00E73F6F">
              <w:t>Akzeptanz von Machtdistanz</w:t>
            </w:r>
          </w:p>
        </w:tc>
        <w:tc>
          <w:tcPr>
            <w:tcW w:w="1197" w:type="dxa"/>
            <w:tcBorders>
              <w:top w:val="single" w:sz="4" w:space="0" w:color="auto"/>
              <w:bottom w:val="nil"/>
            </w:tcBorders>
          </w:tcPr>
          <w:p w14:paraId="50F38753" w14:textId="77777777" w:rsidR="00FF7799" w:rsidRPr="00E73F6F" w:rsidRDefault="00FF7799" w:rsidP="00535E2F">
            <w:pPr>
              <w:pStyle w:val="StandardText"/>
            </w:pPr>
            <w:r w:rsidRPr="00E73F6F">
              <w:t>Werte</w:t>
            </w:r>
          </w:p>
        </w:tc>
        <w:tc>
          <w:tcPr>
            <w:tcW w:w="1354" w:type="dxa"/>
            <w:tcBorders>
              <w:top w:val="single" w:sz="4" w:space="0" w:color="auto"/>
              <w:bottom w:val="nil"/>
            </w:tcBorders>
            <w:noWrap/>
          </w:tcPr>
          <w:p w14:paraId="299B6182" w14:textId="77777777" w:rsidR="00FF7799" w:rsidRPr="00E73F6F" w:rsidRDefault="00FF7799" w:rsidP="00181BAF">
            <w:pPr>
              <w:pStyle w:val="StandardText"/>
              <w:jc w:val="center"/>
            </w:pPr>
            <w:r w:rsidRPr="00E73F6F">
              <w:t>-0,03</w:t>
            </w:r>
          </w:p>
        </w:tc>
        <w:tc>
          <w:tcPr>
            <w:tcW w:w="1134" w:type="dxa"/>
            <w:tcBorders>
              <w:top w:val="single" w:sz="4" w:space="0" w:color="auto"/>
              <w:bottom w:val="nil"/>
            </w:tcBorders>
            <w:noWrap/>
          </w:tcPr>
          <w:p w14:paraId="48F87059" w14:textId="77777777" w:rsidR="00FF7799" w:rsidRPr="00E73F6F" w:rsidRDefault="00FF7799" w:rsidP="00181BAF">
            <w:pPr>
              <w:pStyle w:val="StandardText"/>
              <w:jc w:val="center"/>
            </w:pPr>
          </w:p>
        </w:tc>
        <w:tc>
          <w:tcPr>
            <w:tcW w:w="1134" w:type="dxa"/>
            <w:tcBorders>
              <w:top w:val="single" w:sz="4" w:space="0" w:color="auto"/>
              <w:bottom w:val="nil"/>
            </w:tcBorders>
            <w:noWrap/>
          </w:tcPr>
          <w:p w14:paraId="7DFAE20A" w14:textId="77777777" w:rsidR="00FF7799" w:rsidRPr="00E73F6F" w:rsidRDefault="00FF7799" w:rsidP="00181BAF">
            <w:pPr>
              <w:pStyle w:val="StandardText"/>
              <w:jc w:val="center"/>
            </w:pPr>
          </w:p>
        </w:tc>
        <w:tc>
          <w:tcPr>
            <w:tcW w:w="1167" w:type="dxa"/>
            <w:tcBorders>
              <w:top w:val="single" w:sz="4" w:space="0" w:color="auto"/>
              <w:bottom w:val="nil"/>
            </w:tcBorders>
            <w:noWrap/>
          </w:tcPr>
          <w:p w14:paraId="1CBEA66D" w14:textId="77777777" w:rsidR="00FF7799" w:rsidRPr="00E73F6F" w:rsidRDefault="00FF7799" w:rsidP="00181BAF">
            <w:pPr>
              <w:pStyle w:val="StandardText"/>
              <w:jc w:val="center"/>
            </w:pPr>
          </w:p>
        </w:tc>
      </w:tr>
      <w:tr w:rsidR="00FF7799" w:rsidRPr="00E73F6F" w14:paraId="07C36657" w14:textId="77777777" w:rsidTr="002F3A66">
        <w:trPr>
          <w:trHeight w:val="280"/>
        </w:trPr>
        <w:tc>
          <w:tcPr>
            <w:tcW w:w="3057" w:type="dxa"/>
            <w:tcBorders>
              <w:top w:val="nil"/>
              <w:bottom w:val="single" w:sz="4" w:space="0" w:color="auto"/>
            </w:tcBorders>
            <w:shd w:val="clear" w:color="auto" w:fill="FFF2CC" w:themeFill="accent4" w:themeFillTint="33"/>
            <w:noWrap/>
          </w:tcPr>
          <w:p w14:paraId="71F0B166" w14:textId="77777777" w:rsidR="00FF7799" w:rsidRPr="00E73F6F" w:rsidRDefault="00FF7799" w:rsidP="00181BAF">
            <w:pPr>
              <w:pStyle w:val="StandardText"/>
              <w:jc w:val="left"/>
            </w:pPr>
          </w:p>
        </w:tc>
        <w:tc>
          <w:tcPr>
            <w:tcW w:w="1197" w:type="dxa"/>
            <w:tcBorders>
              <w:top w:val="nil"/>
              <w:bottom w:val="single" w:sz="4" w:space="0" w:color="auto"/>
            </w:tcBorders>
          </w:tcPr>
          <w:p w14:paraId="39D278BC" w14:textId="77777777" w:rsidR="00FF7799" w:rsidRPr="00E73F6F" w:rsidRDefault="00FF7799" w:rsidP="00535E2F">
            <w:pPr>
              <w:pStyle w:val="StandardText"/>
            </w:pPr>
            <w:r w:rsidRPr="00E73F6F">
              <w:t>Praktiken</w:t>
            </w:r>
          </w:p>
        </w:tc>
        <w:tc>
          <w:tcPr>
            <w:tcW w:w="1354" w:type="dxa"/>
            <w:tcBorders>
              <w:top w:val="nil"/>
              <w:bottom w:val="single" w:sz="4" w:space="0" w:color="auto"/>
            </w:tcBorders>
            <w:noWrap/>
          </w:tcPr>
          <w:p w14:paraId="5A6EA6AD" w14:textId="77777777" w:rsidR="00FF7799" w:rsidRPr="00E73F6F" w:rsidRDefault="00FF7799" w:rsidP="00181BAF">
            <w:pPr>
              <w:pStyle w:val="StandardText"/>
              <w:jc w:val="center"/>
            </w:pPr>
            <w:r w:rsidRPr="00E73F6F">
              <w:t>0,61</w:t>
            </w:r>
            <w:r w:rsidRPr="00E73F6F">
              <w:rPr>
                <w:vertAlign w:val="superscript"/>
              </w:rPr>
              <w:t>**</w:t>
            </w:r>
          </w:p>
        </w:tc>
        <w:tc>
          <w:tcPr>
            <w:tcW w:w="1134" w:type="dxa"/>
            <w:tcBorders>
              <w:top w:val="nil"/>
              <w:bottom w:val="single" w:sz="4" w:space="0" w:color="auto"/>
            </w:tcBorders>
            <w:noWrap/>
          </w:tcPr>
          <w:p w14:paraId="61FD27A4" w14:textId="77777777" w:rsidR="00FF7799" w:rsidRPr="00E73F6F" w:rsidRDefault="00FF7799" w:rsidP="00181BAF">
            <w:pPr>
              <w:pStyle w:val="StandardText"/>
              <w:jc w:val="center"/>
            </w:pPr>
          </w:p>
        </w:tc>
        <w:tc>
          <w:tcPr>
            <w:tcW w:w="1134" w:type="dxa"/>
            <w:tcBorders>
              <w:top w:val="nil"/>
              <w:bottom w:val="single" w:sz="4" w:space="0" w:color="auto"/>
            </w:tcBorders>
            <w:noWrap/>
          </w:tcPr>
          <w:p w14:paraId="47E6B4E4" w14:textId="77777777" w:rsidR="00FF7799" w:rsidRPr="00E73F6F" w:rsidRDefault="00FF7799" w:rsidP="00181BAF">
            <w:pPr>
              <w:pStyle w:val="StandardText"/>
              <w:jc w:val="center"/>
            </w:pPr>
          </w:p>
        </w:tc>
        <w:tc>
          <w:tcPr>
            <w:tcW w:w="1167" w:type="dxa"/>
            <w:tcBorders>
              <w:top w:val="nil"/>
              <w:bottom w:val="single" w:sz="4" w:space="0" w:color="auto"/>
            </w:tcBorders>
            <w:noWrap/>
          </w:tcPr>
          <w:p w14:paraId="78B66165" w14:textId="77777777" w:rsidR="00FF7799" w:rsidRPr="00E73F6F" w:rsidRDefault="00FF7799" w:rsidP="00181BAF">
            <w:pPr>
              <w:pStyle w:val="StandardText"/>
              <w:jc w:val="center"/>
            </w:pPr>
          </w:p>
        </w:tc>
      </w:tr>
      <w:tr w:rsidR="00FF7799" w:rsidRPr="00E73F6F" w14:paraId="75F46183" w14:textId="77777777" w:rsidTr="002F3A66">
        <w:trPr>
          <w:trHeight w:val="280"/>
        </w:trPr>
        <w:tc>
          <w:tcPr>
            <w:tcW w:w="3057" w:type="dxa"/>
            <w:tcBorders>
              <w:top w:val="single" w:sz="4" w:space="0" w:color="auto"/>
              <w:bottom w:val="nil"/>
            </w:tcBorders>
            <w:shd w:val="clear" w:color="auto" w:fill="FFF2CC" w:themeFill="accent4" w:themeFillTint="33"/>
            <w:noWrap/>
          </w:tcPr>
          <w:p w14:paraId="6E39DAD0" w14:textId="77777777" w:rsidR="00FF7799" w:rsidRPr="00E73F6F" w:rsidRDefault="00FF7799" w:rsidP="00181BAF">
            <w:pPr>
              <w:pStyle w:val="StandardText"/>
              <w:jc w:val="left"/>
            </w:pPr>
            <w:r w:rsidRPr="00E73F6F">
              <w:t>Ungewissheitsvermeidung</w:t>
            </w:r>
          </w:p>
        </w:tc>
        <w:tc>
          <w:tcPr>
            <w:tcW w:w="1197" w:type="dxa"/>
            <w:tcBorders>
              <w:top w:val="single" w:sz="4" w:space="0" w:color="auto"/>
              <w:bottom w:val="nil"/>
            </w:tcBorders>
          </w:tcPr>
          <w:p w14:paraId="3C8C5B25" w14:textId="77777777" w:rsidR="00FF7799" w:rsidRPr="00E73F6F" w:rsidRDefault="00FF7799" w:rsidP="00535E2F">
            <w:pPr>
              <w:pStyle w:val="StandardText"/>
            </w:pPr>
            <w:r w:rsidRPr="00E73F6F">
              <w:t>Werte</w:t>
            </w:r>
          </w:p>
        </w:tc>
        <w:tc>
          <w:tcPr>
            <w:tcW w:w="1354" w:type="dxa"/>
            <w:tcBorders>
              <w:top w:val="single" w:sz="4" w:space="0" w:color="auto"/>
              <w:bottom w:val="nil"/>
            </w:tcBorders>
            <w:noWrap/>
          </w:tcPr>
          <w:p w14:paraId="6F915E66" w14:textId="77777777" w:rsidR="00FF7799" w:rsidRPr="00E73F6F" w:rsidRDefault="00FF7799" w:rsidP="00181BAF">
            <w:pPr>
              <w:pStyle w:val="StandardText"/>
              <w:jc w:val="center"/>
            </w:pPr>
          </w:p>
        </w:tc>
        <w:tc>
          <w:tcPr>
            <w:tcW w:w="1134" w:type="dxa"/>
            <w:tcBorders>
              <w:top w:val="single" w:sz="4" w:space="0" w:color="auto"/>
              <w:bottom w:val="nil"/>
            </w:tcBorders>
            <w:noWrap/>
          </w:tcPr>
          <w:p w14:paraId="36DF6598" w14:textId="77777777" w:rsidR="00FF7799" w:rsidRPr="00E73F6F" w:rsidRDefault="00FF7799" w:rsidP="00181BAF">
            <w:pPr>
              <w:pStyle w:val="StandardText"/>
              <w:jc w:val="center"/>
            </w:pPr>
            <w:r w:rsidRPr="00E73F6F">
              <w:t>0,32</w:t>
            </w:r>
            <w:r w:rsidRPr="00E73F6F">
              <w:rPr>
                <w:vertAlign w:val="superscript"/>
              </w:rPr>
              <w:t>**</w:t>
            </w:r>
          </w:p>
        </w:tc>
        <w:tc>
          <w:tcPr>
            <w:tcW w:w="1134" w:type="dxa"/>
            <w:tcBorders>
              <w:top w:val="single" w:sz="4" w:space="0" w:color="auto"/>
              <w:bottom w:val="nil"/>
            </w:tcBorders>
            <w:noWrap/>
          </w:tcPr>
          <w:p w14:paraId="3349397B" w14:textId="77777777" w:rsidR="00FF7799" w:rsidRPr="00E73F6F" w:rsidRDefault="00FF7799" w:rsidP="00181BAF">
            <w:pPr>
              <w:pStyle w:val="StandardText"/>
              <w:jc w:val="center"/>
            </w:pPr>
          </w:p>
        </w:tc>
        <w:tc>
          <w:tcPr>
            <w:tcW w:w="1167" w:type="dxa"/>
            <w:tcBorders>
              <w:top w:val="single" w:sz="4" w:space="0" w:color="auto"/>
              <w:bottom w:val="nil"/>
            </w:tcBorders>
            <w:noWrap/>
          </w:tcPr>
          <w:p w14:paraId="1B2F058B" w14:textId="77777777" w:rsidR="00FF7799" w:rsidRPr="00E73F6F" w:rsidRDefault="00FF7799" w:rsidP="00181BAF">
            <w:pPr>
              <w:pStyle w:val="StandardText"/>
              <w:jc w:val="center"/>
            </w:pPr>
          </w:p>
        </w:tc>
      </w:tr>
      <w:tr w:rsidR="00FF7799" w:rsidRPr="00E73F6F" w14:paraId="3C5DCA83" w14:textId="77777777" w:rsidTr="002F3A66">
        <w:trPr>
          <w:trHeight w:val="280"/>
        </w:trPr>
        <w:tc>
          <w:tcPr>
            <w:tcW w:w="3057" w:type="dxa"/>
            <w:tcBorders>
              <w:top w:val="nil"/>
              <w:bottom w:val="single" w:sz="4" w:space="0" w:color="auto"/>
            </w:tcBorders>
            <w:shd w:val="clear" w:color="auto" w:fill="FFF2CC" w:themeFill="accent4" w:themeFillTint="33"/>
            <w:noWrap/>
          </w:tcPr>
          <w:p w14:paraId="3B4DCB63" w14:textId="77777777" w:rsidR="00FF7799" w:rsidRPr="00E73F6F" w:rsidRDefault="00FF7799" w:rsidP="00181BAF">
            <w:pPr>
              <w:pStyle w:val="StandardText"/>
              <w:jc w:val="left"/>
            </w:pPr>
          </w:p>
        </w:tc>
        <w:tc>
          <w:tcPr>
            <w:tcW w:w="1197" w:type="dxa"/>
            <w:tcBorders>
              <w:top w:val="nil"/>
              <w:bottom w:val="single" w:sz="4" w:space="0" w:color="auto"/>
            </w:tcBorders>
          </w:tcPr>
          <w:p w14:paraId="328064EA" w14:textId="77777777" w:rsidR="00FF7799" w:rsidRPr="00E73F6F" w:rsidRDefault="00FF7799" w:rsidP="00535E2F">
            <w:pPr>
              <w:pStyle w:val="StandardText"/>
            </w:pPr>
            <w:r w:rsidRPr="00E73F6F">
              <w:t>Praktiken</w:t>
            </w:r>
          </w:p>
        </w:tc>
        <w:tc>
          <w:tcPr>
            <w:tcW w:w="1354" w:type="dxa"/>
            <w:tcBorders>
              <w:top w:val="nil"/>
              <w:bottom w:val="single" w:sz="4" w:space="0" w:color="auto"/>
            </w:tcBorders>
            <w:noWrap/>
          </w:tcPr>
          <w:p w14:paraId="02AC3795" w14:textId="77777777" w:rsidR="00FF7799" w:rsidRPr="00E73F6F" w:rsidRDefault="00FF7799" w:rsidP="00181BAF">
            <w:pPr>
              <w:pStyle w:val="StandardText"/>
              <w:jc w:val="center"/>
            </w:pPr>
          </w:p>
        </w:tc>
        <w:tc>
          <w:tcPr>
            <w:tcW w:w="1134" w:type="dxa"/>
            <w:tcBorders>
              <w:top w:val="nil"/>
              <w:bottom w:val="single" w:sz="4" w:space="0" w:color="auto"/>
            </w:tcBorders>
            <w:noWrap/>
          </w:tcPr>
          <w:p w14:paraId="23DD090D" w14:textId="77777777" w:rsidR="00FF7799" w:rsidRPr="00E73F6F" w:rsidRDefault="00FF7799" w:rsidP="00181BAF">
            <w:pPr>
              <w:pStyle w:val="StandardText"/>
              <w:jc w:val="center"/>
            </w:pPr>
            <w:r w:rsidRPr="00E73F6F">
              <w:t>-0,61</w:t>
            </w:r>
            <w:r w:rsidRPr="00E73F6F">
              <w:rPr>
                <w:vertAlign w:val="superscript"/>
              </w:rPr>
              <w:t>**</w:t>
            </w:r>
          </w:p>
        </w:tc>
        <w:tc>
          <w:tcPr>
            <w:tcW w:w="1134" w:type="dxa"/>
            <w:tcBorders>
              <w:top w:val="nil"/>
              <w:bottom w:val="single" w:sz="4" w:space="0" w:color="auto"/>
            </w:tcBorders>
            <w:noWrap/>
          </w:tcPr>
          <w:p w14:paraId="71B0FADC" w14:textId="77777777" w:rsidR="00FF7799" w:rsidRPr="00E73F6F" w:rsidRDefault="00FF7799" w:rsidP="00181BAF">
            <w:pPr>
              <w:pStyle w:val="StandardText"/>
              <w:jc w:val="center"/>
            </w:pPr>
          </w:p>
        </w:tc>
        <w:tc>
          <w:tcPr>
            <w:tcW w:w="1167" w:type="dxa"/>
            <w:tcBorders>
              <w:top w:val="nil"/>
              <w:bottom w:val="single" w:sz="4" w:space="0" w:color="auto"/>
            </w:tcBorders>
            <w:noWrap/>
          </w:tcPr>
          <w:p w14:paraId="2D94B12D" w14:textId="77777777" w:rsidR="00FF7799" w:rsidRPr="00E73F6F" w:rsidRDefault="00FF7799" w:rsidP="00181BAF">
            <w:pPr>
              <w:pStyle w:val="StandardText"/>
              <w:jc w:val="center"/>
            </w:pPr>
          </w:p>
        </w:tc>
      </w:tr>
      <w:tr w:rsidR="00FF7799" w:rsidRPr="00E73F6F" w14:paraId="3432293D" w14:textId="77777777" w:rsidTr="002F3A66">
        <w:trPr>
          <w:trHeight w:val="280"/>
        </w:trPr>
        <w:tc>
          <w:tcPr>
            <w:tcW w:w="3057" w:type="dxa"/>
            <w:tcBorders>
              <w:top w:val="single" w:sz="4" w:space="0" w:color="auto"/>
              <w:bottom w:val="nil"/>
            </w:tcBorders>
            <w:shd w:val="clear" w:color="auto" w:fill="FFF2CC" w:themeFill="accent4" w:themeFillTint="33"/>
            <w:noWrap/>
          </w:tcPr>
          <w:p w14:paraId="752EE225" w14:textId="77777777" w:rsidR="00FF7799" w:rsidRPr="00E73F6F" w:rsidRDefault="00FF7799" w:rsidP="00E00FC4">
            <w:pPr>
              <w:pStyle w:val="StandardText"/>
              <w:jc w:val="left"/>
            </w:pPr>
            <w:r w:rsidRPr="00E73F6F">
              <w:t xml:space="preserve">Institutioneller Kollektivismus </w:t>
            </w:r>
          </w:p>
        </w:tc>
        <w:tc>
          <w:tcPr>
            <w:tcW w:w="1197" w:type="dxa"/>
            <w:tcBorders>
              <w:top w:val="single" w:sz="4" w:space="0" w:color="auto"/>
              <w:bottom w:val="nil"/>
            </w:tcBorders>
          </w:tcPr>
          <w:p w14:paraId="22A6AE7D" w14:textId="77777777" w:rsidR="00FF7799" w:rsidRPr="00E73F6F" w:rsidRDefault="00FF7799" w:rsidP="00535E2F">
            <w:pPr>
              <w:pStyle w:val="StandardText"/>
            </w:pPr>
            <w:r w:rsidRPr="00E73F6F">
              <w:t>Werte</w:t>
            </w:r>
          </w:p>
        </w:tc>
        <w:tc>
          <w:tcPr>
            <w:tcW w:w="1354" w:type="dxa"/>
            <w:tcBorders>
              <w:top w:val="single" w:sz="4" w:space="0" w:color="auto"/>
              <w:bottom w:val="nil"/>
            </w:tcBorders>
            <w:noWrap/>
          </w:tcPr>
          <w:p w14:paraId="6F80AD6D" w14:textId="77777777" w:rsidR="00FF7799" w:rsidRPr="00E73F6F" w:rsidRDefault="00FF7799" w:rsidP="00181BAF">
            <w:pPr>
              <w:pStyle w:val="StandardText"/>
              <w:jc w:val="center"/>
            </w:pPr>
          </w:p>
        </w:tc>
        <w:tc>
          <w:tcPr>
            <w:tcW w:w="1134" w:type="dxa"/>
            <w:tcBorders>
              <w:top w:val="single" w:sz="4" w:space="0" w:color="auto"/>
              <w:bottom w:val="nil"/>
            </w:tcBorders>
            <w:noWrap/>
          </w:tcPr>
          <w:p w14:paraId="368A1B65" w14:textId="77777777" w:rsidR="00FF7799" w:rsidRPr="00E73F6F" w:rsidRDefault="00FF7799" w:rsidP="00181BAF">
            <w:pPr>
              <w:pStyle w:val="StandardText"/>
              <w:jc w:val="center"/>
            </w:pPr>
          </w:p>
        </w:tc>
        <w:tc>
          <w:tcPr>
            <w:tcW w:w="1134" w:type="dxa"/>
            <w:tcBorders>
              <w:top w:val="single" w:sz="4" w:space="0" w:color="auto"/>
              <w:bottom w:val="nil"/>
            </w:tcBorders>
            <w:noWrap/>
          </w:tcPr>
          <w:p w14:paraId="6B49C1A3" w14:textId="77777777" w:rsidR="00FF7799" w:rsidRPr="00E73F6F" w:rsidRDefault="00FF7799" w:rsidP="00181BAF">
            <w:pPr>
              <w:pStyle w:val="StandardText"/>
              <w:jc w:val="center"/>
            </w:pPr>
            <w:r w:rsidRPr="00E73F6F">
              <w:t>-0,55</w:t>
            </w:r>
            <w:r w:rsidRPr="00E73F6F">
              <w:rPr>
                <w:vertAlign w:val="superscript"/>
              </w:rPr>
              <w:t>**</w:t>
            </w:r>
          </w:p>
        </w:tc>
        <w:tc>
          <w:tcPr>
            <w:tcW w:w="1167" w:type="dxa"/>
            <w:tcBorders>
              <w:top w:val="single" w:sz="4" w:space="0" w:color="auto"/>
              <w:bottom w:val="nil"/>
            </w:tcBorders>
            <w:noWrap/>
          </w:tcPr>
          <w:p w14:paraId="07968327" w14:textId="77777777" w:rsidR="00FF7799" w:rsidRPr="00E73F6F" w:rsidRDefault="00FF7799" w:rsidP="00181BAF">
            <w:pPr>
              <w:pStyle w:val="StandardText"/>
              <w:jc w:val="center"/>
            </w:pPr>
          </w:p>
        </w:tc>
      </w:tr>
      <w:tr w:rsidR="00FF7799" w:rsidRPr="00E73F6F" w14:paraId="15E7CB11" w14:textId="77777777" w:rsidTr="002F3A66">
        <w:trPr>
          <w:trHeight w:val="280"/>
        </w:trPr>
        <w:tc>
          <w:tcPr>
            <w:tcW w:w="3057" w:type="dxa"/>
            <w:tcBorders>
              <w:top w:val="nil"/>
              <w:bottom w:val="single" w:sz="4" w:space="0" w:color="auto"/>
            </w:tcBorders>
            <w:shd w:val="clear" w:color="auto" w:fill="FFF2CC" w:themeFill="accent4" w:themeFillTint="33"/>
            <w:noWrap/>
          </w:tcPr>
          <w:p w14:paraId="0364DA3D" w14:textId="77777777" w:rsidR="00FF7799" w:rsidRPr="00E73F6F" w:rsidRDefault="00FF7799" w:rsidP="00181BAF">
            <w:pPr>
              <w:pStyle w:val="StandardText"/>
              <w:jc w:val="left"/>
            </w:pPr>
          </w:p>
        </w:tc>
        <w:tc>
          <w:tcPr>
            <w:tcW w:w="1197" w:type="dxa"/>
            <w:tcBorders>
              <w:top w:val="nil"/>
              <w:bottom w:val="single" w:sz="4" w:space="0" w:color="auto"/>
            </w:tcBorders>
          </w:tcPr>
          <w:p w14:paraId="4F14F7CD" w14:textId="77777777" w:rsidR="00FF7799" w:rsidRPr="00E73F6F" w:rsidRDefault="00FF7799" w:rsidP="00535E2F">
            <w:pPr>
              <w:pStyle w:val="StandardText"/>
            </w:pPr>
            <w:r w:rsidRPr="00E73F6F">
              <w:t>Praktiken</w:t>
            </w:r>
          </w:p>
        </w:tc>
        <w:tc>
          <w:tcPr>
            <w:tcW w:w="1354" w:type="dxa"/>
            <w:tcBorders>
              <w:top w:val="nil"/>
              <w:bottom w:val="single" w:sz="4" w:space="0" w:color="auto"/>
            </w:tcBorders>
            <w:noWrap/>
          </w:tcPr>
          <w:p w14:paraId="727362AA" w14:textId="77777777" w:rsidR="00FF7799" w:rsidRPr="00E73F6F" w:rsidRDefault="00FF7799" w:rsidP="00181BAF">
            <w:pPr>
              <w:pStyle w:val="StandardText"/>
              <w:jc w:val="center"/>
            </w:pPr>
          </w:p>
        </w:tc>
        <w:tc>
          <w:tcPr>
            <w:tcW w:w="1134" w:type="dxa"/>
            <w:tcBorders>
              <w:top w:val="nil"/>
              <w:bottom w:val="single" w:sz="4" w:space="0" w:color="auto"/>
            </w:tcBorders>
            <w:noWrap/>
          </w:tcPr>
          <w:p w14:paraId="4F9D02E0" w14:textId="77777777" w:rsidR="00FF7799" w:rsidRPr="00E73F6F" w:rsidRDefault="00FF7799" w:rsidP="00181BAF">
            <w:pPr>
              <w:pStyle w:val="StandardText"/>
              <w:jc w:val="center"/>
            </w:pPr>
          </w:p>
        </w:tc>
        <w:tc>
          <w:tcPr>
            <w:tcW w:w="1134" w:type="dxa"/>
            <w:tcBorders>
              <w:top w:val="nil"/>
              <w:bottom w:val="single" w:sz="4" w:space="0" w:color="auto"/>
            </w:tcBorders>
            <w:noWrap/>
          </w:tcPr>
          <w:p w14:paraId="55843399" w14:textId="77777777" w:rsidR="00FF7799" w:rsidRPr="00E73F6F" w:rsidRDefault="00FF7799" w:rsidP="00181BAF">
            <w:pPr>
              <w:pStyle w:val="StandardText"/>
              <w:jc w:val="center"/>
            </w:pPr>
            <w:r w:rsidRPr="00E73F6F">
              <w:t>0,15</w:t>
            </w:r>
          </w:p>
        </w:tc>
        <w:tc>
          <w:tcPr>
            <w:tcW w:w="1167" w:type="dxa"/>
            <w:tcBorders>
              <w:top w:val="nil"/>
              <w:bottom w:val="single" w:sz="4" w:space="0" w:color="auto"/>
            </w:tcBorders>
            <w:noWrap/>
          </w:tcPr>
          <w:p w14:paraId="4BBC67D2" w14:textId="77777777" w:rsidR="00FF7799" w:rsidRPr="00E73F6F" w:rsidRDefault="00FF7799" w:rsidP="00181BAF">
            <w:pPr>
              <w:pStyle w:val="StandardText"/>
              <w:jc w:val="center"/>
            </w:pPr>
          </w:p>
        </w:tc>
      </w:tr>
      <w:tr w:rsidR="00FF7799" w:rsidRPr="00E73F6F" w14:paraId="1620AB62" w14:textId="77777777" w:rsidTr="002F3A66">
        <w:trPr>
          <w:trHeight w:val="280"/>
        </w:trPr>
        <w:tc>
          <w:tcPr>
            <w:tcW w:w="3057" w:type="dxa"/>
            <w:tcBorders>
              <w:top w:val="single" w:sz="4" w:space="0" w:color="auto"/>
              <w:bottom w:val="nil"/>
            </w:tcBorders>
            <w:shd w:val="clear" w:color="auto" w:fill="FFF2CC" w:themeFill="accent4" w:themeFillTint="33"/>
            <w:noWrap/>
          </w:tcPr>
          <w:p w14:paraId="7866149A" w14:textId="77777777" w:rsidR="00FF7799" w:rsidRPr="00E73F6F" w:rsidRDefault="00FF7799" w:rsidP="00181BAF">
            <w:pPr>
              <w:pStyle w:val="StandardText"/>
              <w:jc w:val="left"/>
            </w:pPr>
            <w:r w:rsidRPr="00E73F6F">
              <w:t>Gruppenkollektivismus</w:t>
            </w:r>
          </w:p>
        </w:tc>
        <w:tc>
          <w:tcPr>
            <w:tcW w:w="1197" w:type="dxa"/>
            <w:tcBorders>
              <w:top w:val="single" w:sz="4" w:space="0" w:color="auto"/>
              <w:bottom w:val="nil"/>
            </w:tcBorders>
          </w:tcPr>
          <w:p w14:paraId="7F315872" w14:textId="77777777" w:rsidR="00FF7799" w:rsidRPr="00E73F6F" w:rsidRDefault="00FF7799" w:rsidP="00535E2F">
            <w:pPr>
              <w:pStyle w:val="StandardText"/>
            </w:pPr>
            <w:r w:rsidRPr="00E73F6F">
              <w:t>Werte</w:t>
            </w:r>
          </w:p>
        </w:tc>
        <w:tc>
          <w:tcPr>
            <w:tcW w:w="1354" w:type="dxa"/>
            <w:tcBorders>
              <w:top w:val="single" w:sz="4" w:space="0" w:color="auto"/>
              <w:bottom w:val="nil"/>
            </w:tcBorders>
            <w:noWrap/>
          </w:tcPr>
          <w:p w14:paraId="231AFB09" w14:textId="77777777" w:rsidR="00FF7799" w:rsidRPr="00E73F6F" w:rsidRDefault="00FF7799" w:rsidP="00181BAF">
            <w:pPr>
              <w:pStyle w:val="StandardText"/>
              <w:jc w:val="center"/>
            </w:pPr>
          </w:p>
        </w:tc>
        <w:tc>
          <w:tcPr>
            <w:tcW w:w="1134" w:type="dxa"/>
            <w:tcBorders>
              <w:top w:val="single" w:sz="4" w:space="0" w:color="auto"/>
              <w:bottom w:val="nil"/>
            </w:tcBorders>
            <w:noWrap/>
          </w:tcPr>
          <w:p w14:paraId="5D1D5837" w14:textId="77777777" w:rsidR="00FF7799" w:rsidRPr="00E73F6F" w:rsidRDefault="00FF7799" w:rsidP="00181BAF">
            <w:pPr>
              <w:pStyle w:val="StandardText"/>
              <w:jc w:val="center"/>
            </w:pPr>
          </w:p>
        </w:tc>
        <w:tc>
          <w:tcPr>
            <w:tcW w:w="1134" w:type="dxa"/>
            <w:tcBorders>
              <w:top w:val="single" w:sz="4" w:space="0" w:color="auto"/>
              <w:bottom w:val="nil"/>
            </w:tcBorders>
            <w:noWrap/>
          </w:tcPr>
          <w:p w14:paraId="49CE2EEA" w14:textId="77777777" w:rsidR="00FF7799" w:rsidRPr="00E73F6F" w:rsidRDefault="00FF7799" w:rsidP="00181BAF">
            <w:pPr>
              <w:pStyle w:val="StandardText"/>
              <w:jc w:val="center"/>
            </w:pPr>
            <w:r w:rsidRPr="00E73F6F">
              <w:t>-0,20</w:t>
            </w:r>
          </w:p>
        </w:tc>
        <w:tc>
          <w:tcPr>
            <w:tcW w:w="1167" w:type="dxa"/>
            <w:tcBorders>
              <w:top w:val="single" w:sz="4" w:space="0" w:color="auto"/>
              <w:bottom w:val="nil"/>
            </w:tcBorders>
            <w:noWrap/>
          </w:tcPr>
          <w:p w14:paraId="05EAA74B" w14:textId="77777777" w:rsidR="00FF7799" w:rsidRPr="00E73F6F" w:rsidRDefault="00FF7799" w:rsidP="00181BAF">
            <w:pPr>
              <w:pStyle w:val="StandardText"/>
              <w:jc w:val="center"/>
            </w:pPr>
          </w:p>
        </w:tc>
      </w:tr>
      <w:tr w:rsidR="00FF7799" w:rsidRPr="00E73F6F" w14:paraId="69C5BA07" w14:textId="77777777" w:rsidTr="002F3A66">
        <w:trPr>
          <w:trHeight w:val="280"/>
        </w:trPr>
        <w:tc>
          <w:tcPr>
            <w:tcW w:w="3057" w:type="dxa"/>
            <w:tcBorders>
              <w:top w:val="nil"/>
              <w:bottom w:val="single" w:sz="4" w:space="0" w:color="auto"/>
            </w:tcBorders>
            <w:shd w:val="clear" w:color="auto" w:fill="FFF2CC" w:themeFill="accent4" w:themeFillTint="33"/>
            <w:noWrap/>
          </w:tcPr>
          <w:p w14:paraId="7E5B9ED9" w14:textId="77777777" w:rsidR="00FF7799" w:rsidRPr="00E73F6F" w:rsidRDefault="00FF7799" w:rsidP="00181BAF">
            <w:pPr>
              <w:pStyle w:val="StandardText"/>
              <w:jc w:val="left"/>
            </w:pPr>
          </w:p>
        </w:tc>
        <w:tc>
          <w:tcPr>
            <w:tcW w:w="1197" w:type="dxa"/>
            <w:tcBorders>
              <w:top w:val="nil"/>
              <w:bottom w:val="single" w:sz="4" w:space="0" w:color="auto"/>
            </w:tcBorders>
          </w:tcPr>
          <w:p w14:paraId="1BE9D947" w14:textId="77777777" w:rsidR="00FF7799" w:rsidRPr="00E73F6F" w:rsidRDefault="00FF7799" w:rsidP="00535E2F">
            <w:pPr>
              <w:pStyle w:val="StandardText"/>
            </w:pPr>
            <w:r w:rsidRPr="00E73F6F">
              <w:t>Praktiken</w:t>
            </w:r>
          </w:p>
        </w:tc>
        <w:tc>
          <w:tcPr>
            <w:tcW w:w="1354" w:type="dxa"/>
            <w:tcBorders>
              <w:top w:val="nil"/>
              <w:bottom w:val="single" w:sz="4" w:space="0" w:color="auto"/>
            </w:tcBorders>
            <w:noWrap/>
          </w:tcPr>
          <w:p w14:paraId="754148BD" w14:textId="77777777" w:rsidR="00FF7799" w:rsidRPr="00E73F6F" w:rsidRDefault="00FF7799" w:rsidP="00181BAF">
            <w:pPr>
              <w:pStyle w:val="StandardText"/>
              <w:jc w:val="center"/>
            </w:pPr>
          </w:p>
        </w:tc>
        <w:tc>
          <w:tcPr>
            <w:tcW w:w="1134" w:type="dxa"/>
            <w:tcBorders>
              <w:top w:val="nil"/>
              <w:bottom w:val="single" w:sz="4" w:space="0" w:color="auto"/>
            </w:tcBorders>
            <w:noWrap/>
          </w:tcPr>
          <w:p w14:paraId="64907398" w14:textId="77777777" w:rsidR="00FF7799" w:rsidRPr="00E73F6F" w:rsidRDefault="00FF7799" w:rsidP="00181BAF">
            <w:pPr>
              <w:pStyle w:val="StandardText"/>
              <w:jc w:val="center"/>
            </w:pPr>
          </w:p>
        </w:tc>
        <w:tc>
          <w:tcPr>
            <w:tcW w:w="1134" w:type="dxa"/>
            <w:tcBorders>
              <w:top w:val="nil"/>
              <w:bottom w:val="single" w:sz="4" w:space="0" w:color="auto"/>
            </w:tcBorders>
            <w:noWrap/>
          </w:tcPr>
          <w:p w14:paraId="14AF6EA8" w14:textId="77777777" w:rsidR="00FF7799" w:rsidRPr="00E73F6F" w:rsidRDefault="00FF7799" w:rsidP="00181BAF">
            <w:pPr>
              <w:pStyle w:val="StandardText"/>
              <w:jc w:val="center"/>
            </w:pPr>
            <w:r w:rsidRPr="00E73F6F">
              <w:t>-0,82</w:t>
            </w:r>
            <w:r w:rsidRPr="00E73F6F">
              <w:rPr>
                <w:vertAlign w:val="superscript"/>
              </w:rPr>
              <w:t>**</w:t>
            </w:r>
          </w:p>
        </w:tc>
        <w:tc>
          <w:tcPr>
            <w:tcW w:w="1167" w:type="dxa"/>
            <w:tcBorders>
              <w:top w:val="nil"/>
              <w:bottom w:val="single" w:sz="4" w:space="0" w:color="auto"/>
            </w:tcBorders>
            <w:noWrap/>
          </w:tcPr>
          <w:p w14:paraId="2934CDBE" w14:textId="77777777" w:rsidR="00FF7799" w:rsidRPr="00E73F6F" w:rsidRDefault="00FF7799" w:rsidP="00181BAF">
            <w:pPr>
              <w:pStyle w:val="StandardText"/>
              <w:jc w:val="center"/>
            </w:pPr>
          </w:p>
        </w:tc>
      </w:tr>
      <w:tr w:rsidR="00FF7799" w:rsidRPr="00E73F6F" w14:paraId="1C0055D7" w14:textId="77777777" w:rsidTr="002F3A66">
        <w:trPr>
          <w:trHeight w:val="280"/>
        </w:trPr>
        <w:tc>
          <w:tcPr>
            <w:tcW w:w="3057" w:type="dxa"/>
            <w:tcBorders>
              <w:top w:val="single" w:sz="4" w:space="0" w:color="auto"/>
              <w:bottom w:val="nil"/>
            </w:tcBorders>
            <w:shd w:val="clear" w:color="auto" w:fill="FFF2CC" w:themeFill="accent4" w:themeFillTint="33"/>
            <w:noWrap/>
          </w:tcPr>
          <w:p w14:paraId="617E8DBC" w14:textId="77777777" w:rsidR="00FF7799" w:rsidRPr="00E73F6F" w:rsidRDefault="00FF7799" w:rsidP="00181BAF">
            <w:pPr>
              <w:pStyle w:val="StandardText"/>
              <w:jc w:val="left"/>
            </w:pPr>
            <w:r w:rsidRPr="00E73F6F">
              <w:t>Geschlechtergleichheit</w:t>
            </w:r>
          </w:p>
        </w:tc>
        <w:tc>
          <w:tcPr>
            <w:tcW w:w="1197" w:type="dxa"/>
            <w:tcBorders>
              <w:top w:val="single" w:sz="4" w:space="0" w:color="auto"/>
              <w:bottom w:val="nil"/>
            </w:tcBorders>
          </w:tcPr>
          <w:p w14:paraId="4F10546A" w14:textId="77777777" w:rsidR="00FF7799" w:rsidRPr="00E73F6F" w:rsidRDefault="00FF7799" w:rsidP="00535E2F">
            <w:pPr>
              <w:pStyle w:val="StandardText"/>
            </w:pPr>
            <w:r w:rsidRPr="00E73F6F">
              <w:t>Werte</w:t>
            </w:r>
          </w:p>
        </w:tc>
        <w:tc>
          <w:tcPr>
            <w:tcW w:w="1354" w:type="dxa"/>
            <w:tcBorders>
              <w:top w:val="single" w:sz="4" w:space="0" w:color="auto"/>
              <w:bottom w:val="nil"/>
            </w:tcBorders>
            <w:noWrap/>
          </w:tcPr>
          <w:p w14:paraId="40834EA9" w14:textId="77777777" w:rsidR="00FF7799" w:rsidRPr="00E73F6F" w:rsidRDefault="00FF7799" w:rsidP="00181BAF">
            <w:pPr>
              <w:pStyle w:val="StandardText"/>
              <w:jc w:val="center"/>
            </w:pPr>
          </w:p>
        </w:tc>
        <w:tc>
          <w:tcPr>
            <w:tcW w:w="1134" w:type="dxa"/>
            <w:tcBorders>
              <w:top w:val="single" w:sz="4" w:space="0" w:color="auto"/>
              <w:bottom w:val="nil"/>
            </w:tcBorders>
            <w:noWrap/>
          </w:tcPr>
          <w:p w14:paraId="086D6F4E" w14:textId="77777777" w:rsidR="00FF7799" w:rsidRPr="00E73F6F" w:rsidRDefault="00FF7799" w:rsidP="00181BAF">
            <w:pPr>
              <w:pStyle w:val="StandardText"/>
              <w:jc w:val="center"/>
            </w:pPr>
          </w:p>
        </w:tc>
        <w:tc>
          <w:tcPr>
            <w:tcW w:w="1134" w:type="dxa"/>
            <w:tcBorders>
              <w:top w:val="single" w:sz="4" w:space="0" w:color="auto"/>
              <w:bottom w:val="nil"/>
            </w:tcBorders>
            <w:noWrap/>
          </w:tcPr>
          <w:p w14:paraId="6953C8DE" w14:textId="77777777" w:rsidR="00FF7799" w:rsidRPr="00E73F6F" w:rsidRDefault="00FF7799" w:rsidP="00181BAF">
            <w:pPr>
              <w:pStyle w:val="StandardText"/>
              <w:jc w:val="center"/>
            </w:pPr>
          </w:p>
        </w:tc>
        <w:tc>
          <w:tcPr>
            <w:tcW w:w="1167" w:type="dxa"/>
            <w:tcBorders>
              <w:top w:val="single" w:sz="4" w:space="0" w:color="auto"/>
              <w:bottom w:val="nil"/>
            </w:tcBorders>
            <w:noWrap/>
          </w:tcPr>
          <w:p w14:paraId="4E4DDC11" w14:textId="77777777" w:rsidR="00FF7799" w:rsidRPr="00E73F6F" w:rsidRDefault="00FF7799" w:rsidP="00181BAF">
            <w:pPr>
              <w:pStyle w:val="StandardText"/>
              <w:jc w:val="center"/>
            </w:pPr>
            <w:r w:rsidRPr="00E73F6F">
              <w:t>0,11</w:t>
            </w:r>
          </w:p>
        </w:tc>
      </w:tr>
      <w:tr w:rsidR="00FF7799" w:rsidRPr="00E73F6F" w14:paraId="596596D0" w14:textId="77777777" w:rsidTr="002F3A66">
        <w:trPr>
          <w:trHeight w:val="280"/>
        </w:trPr>
        <w:tc>
          <w:tcPr>
            <w:tcW w:w="3057" w:type="dxa"/>
            <w:tcBorders>
              <w:top w:val="nil"/>
              <w:bottom w:val="single" w:sz="4" w:space="0" w:color="auto"/>
            </w:tcBorders>
            <w:shd w:val="clear" w:color="auto" w:fill="FFF2CC" w:themeFill="accent4" w:themeFillTint="33"/>
            <w:noWrap/>
          </w:tcPr>
          <w:p w14:paraId="53E9CE87" w14:textId="77777777" w:rsidR="00FF7799" w:rsidRPr="00E73F6F" w:rsidRDefault="00FF7799" w:rsidP="00181BAF">
            <w:pPr>
              <w:pStyle w:val="StandardText"/>
              <w:jc w:val="left"/>
            </w:pPr>
          </w:p>
        </w:tc>
        <w:tc>
          <w:tcPr>
            <w:tcW w:w="1197" w:type="dxa"/>
            <w:tcBorders>
              <w:top w:val="nil"/>
              <w:bottom w:val="single" w:sz="4" w:space="0" w:color="auto"/>
            </w:tcBorders>
          </w:tcPr>
          <w:p w14:paraId="4BA4FE70" w14:textId="77777777" w:rsidR="00FF7799" w:rsidRPr="00E73F6F" w:rsidRDefault="00FF7799" w:rsidP="00535E2F">
            <w:pPr>
              <w:pStyle w:val="StandardText"/>
            </w:pPr>
            <w:r w:rsidRPr="00E73F6F">
              <w:t>Praktiken</w:t>
            </w:r>
          </w:p>
        </w:tc>
        <w:tc>
          <w:tcPr>
            <w:tcW w:w="1354" w:type="dxa"/>
            <w:tcBorders>
              <w:top w:val="nil"/>
              <w:bottom w:val="single" w:sz="4" w:space="0" w:color="auto"/>
            </w:tcBorders>
            <w:noWrap/>
          </w:tcPr>
          <w:p w14:paraId="13C1F006" w14:textId="77777777" w:rsidR="00FF7799" w:rsidRPr="00E73F6F" w:rsidRDefault="00FF7799" w:rsidP="00181BAF">
            <w:pPr>
              <w:pStyle w:val="StandardText"/>
              <w:jc w:val="center"/>
            </w:pPr>
          </w:p>
        </w:tc>
        <w:tc>
          <w:tcPr>
            <w:tcW w:w="1134" w:type="dxa"/>
            <w:tcBorders>
              <w:top w:val="nil"/>
              <w:bottom w:val="single" w:sz="4" w:space="0" w:color="auto"/>
            </w:tcBorders>
            <w:noWrap/>
          </w:tcPr>
          <w:p w14:paraId="1221C7C9" w14:textId="77777777" w:rsidR="00FF7799" w:rsidRPr="00E73F6F" w:rsidRDefault="00FF7799" w:rsidP="00181BAF">
            <w:pPr>
              <w:pStyle w:val="StandardText"/>
              <w:jc w:val="center"/>
            </w:pPr>
          </w:p>
        </w:tc>
        <w:tc>
          <w:tcPr>
            <w:tcW w:w="1134" w:type="dxa"/>
            <w:tcBorders>
              <w:top w:val="nil"/>
              <w:bottom w:val="single" w:sz="4" w:space="0" w:color="auto"/>
            </w:tcBorders>
            <w:noWrap/>
          </w:tcPr>
          <w:p w14:paraId="34FA26F0" w14:textId="77777777" w:rsidR="00FF7799" w:rsidRPr="00E73F6F" w:rsidRDefault="00FF7799" w:rsidP="00181BAF">
            <w:pPr>
              <w:pStyle w:val="StandardText"/>
              <w:jc w:val="center"/>
            </w:pPr>
          </w:p>
        </w:tc>
        <w:tc>
          <w:tcPr>
            <w:tcW w:w="1167" w:type="dxa"/>
            <w:tcBorders>
              <w:top w:val="nil"/>
              <w:bottom w:val="single" w:sz="4" w:space="0" w:color="auto"/>
            </w:tcBorders>
            <w:noWrap/>
          </w:tcPr>
          <w:p w14:paraId="7BB49283" w14:textId="77777777" w:rsidR="00FF7799" w:rsidRPr="00E73F6F" w:rsidRDefault="00FF7799" w:rsidP="00181BAF">
            <w:pPr>
              <w:pStyle w:val="StandardText"/>
              <w:jc w:val="center"/>
            </w:pPr>
            <w:r w:rsidRPr="00E73F6F">
              <w:t>-0,16</w:t>
            </w:r>
          </w:p>
        </w:tc>
      </w:tr>
      <w:tr w:rsidR="00FF7799" w:rsidRPr="00E73F6F" w14:paraId="59BA87E4" w14:textId="77777777" w:rsidTr="002F3A66">
        <w:trPr>
          <w:trHeight w:val="280"/>
        </w:trPr>
        <w:tc>
          <w:tcPr>
            <w:tcW w:w="3057" w:type="dxa"/>
            <w:tcBorders>
              <w:top w:val="single" w:sz="4" w:space="0" w:color="auto"/>
              <w:bottom w:val="nil"/>
            </w:tcBorders>
            <w:shd w:val="clear" w:color="auto" w:fill="FFF2CC" w:themeFill="accent4" w:themeFillTint="33"/>
            <w:noWrap/>
          </w:tcPr>
          <w:p w14:paraId="295780B5" w14:textId="77777777" w:rsidR="00FF7799" w:rsidRPr="00E73F6F" w:rsidRDefault="00FF7799" w:rsidP="00181BAF">
            <w:pPr>
              <w:pStyle w:val="StandardText"/>
              <w:jc w:val="left"/>
            </w:pPr>
            <w:r w:rsidRPr="00E73F6F">
              <w:t>Durchsetzungsvermögen</w:t>
            </w:r>
          </w:p>
        </w:tc>
        <w:tc>
          <w:tcPr>
            <w:tcW w:w="1197" w:type="dxa"/>
            <w:tcBorders>
              <w:top w:val="single" w:sz="4" w:space="0" w:color="auto"/>
              <w:bottom w:val="nil"/>
            </w:tcBorders>
          </w:tcPr>
          <w:p w14:paraId="1CF15CBF" w14:textId="77777777" w:rsidR="00FF7799" w:rsidRPr="00E73F6F" w:rsidRDefault="00FF7799" w:rsidP="00535E2F">
            <w:pPr>
              <w:pStyle w:val="StandardText"/>
            </w:pPr>
            <w:r w:rsidRPr="00E73F6F">
              <w:t>Werte</w:t>
            </w:r>
          </w:p>
        </w:tc>
        <w:tc>
          <w:tcPr>
            <w:tcW w:w="1354" w:type="dxa"/>
            <w:tcBorders>
              <w:top w:val="single" w:sz="4" w:space="0" w:color="auto"/>
              <w:bottom w:val="nil"/>
            </w:tcBorders>
            <w:noWrap/>
          </w:tcPr>
          <w:p w14:paraId="727FDFAE" w14:textId="77777777" w:rsidR="00FF7799" w:rsidRPr="00E73F6F" w:rsidRDefault="00FF7799" w:rsidP="00181BAF">
            <w:pPr>
              <w:pStyle w:val="StandardText"/>
              <w:jc w:val="center"/>
            </w:pPr>
          </w:p>
        </w:tc>
        <w:tc>
          <w:tcPr>
            <w:tcW w:w="1134" w:type="dxa"/>
            <w:tcBorders>
              <w:top w:val="single" w:sz="4" w:space="0" w:color="auto"/>
              <w:bottom w:val="nil"/>
            </w:tcBorders>
            <w:noWrap/>
          </w:tcPr>
          <w:p w14:paraId="2EB4FD50" w14:textId="77777777" w:rsidR="00FF7799" w:rsidRPr="00E73F6F" w:rsidRDefault="00FF7799" w:rsidP="00181BAF">
            <w:pPr>
              <w:pStyle w:val="StandardText"/>
              <w:jc w:val="center"/>
            </w:pPr>
          </w:p>
        </w:tc>
        <w:tc>
          <w:tcPr>
            <w:tcW w:w="1134" w:type="dxa"/>
            <w:tcBorders>
              <w:top w:val="single" w:sz="4" w:space="0" w:color="auto"/>
              <w:bottom w:val="nil"/>
            </w:tcBorders>
            <w:noWrap/>
          </w:tcPr>
          <w:p w14:paraId="7066BD80" w14:textId="77777777" w:rsidR="00FF7799" w:rsidRPr="00E73F6F" w:rsidRDefault="00FF7799" w:rsidP="00181BAF">
            <w:pPr>
              <w:pStyle w:val="StandardText"/>
              <w:jc w:val="center"/>
            </w:pPr>
          </w:p>
        </w:tc>
        <w:tc>
          <w:tcPr>
            <w:tcW w:w="1167" w:type="dxa"/>
            <w:tcBorders>
              <w:top w:val="single" w:sz="4" w:space="0" w:color="auto"/>
              <w:bottom w:val="nil"/>
            </w:tcBorders>
            <w:noWrap/>
          </w:tcPr>
          <w:p w14:paraId="3080D6BB" w14:textId="77777777" w:rsidR="00FF7799" w:rsidRPr="00E73F6F" w:rsidRDefault="00FF7799" w:rsidP="00181BAF">
            <w:pPr>
              <w:pStyle w:val="StandardText"/>
              <w:jc w:val="center"/>
            </w:pPr>
            <w:r w:rsidRPr="00E73F6F">
              <w:t>-0,12</w:t>
            </w:r>
          </w:p>
        </w:tc>
      </w:tr>
      <w:tr w:rsidR="00FF7799" w:rsidRPr="00E73F6F" w14:paraId="365464FE" w14:textId="77777777" w:rsidTr="002F3A66">
        <w:trPr>
          <w:trHeight w:val="280"/>
        </w:trPr>
        <w:tc>
          <w:tcPr>
            <w:tcW w:w="3057" w:type="dxa"/>
            <w:tcBorders>
              <w:top w:val="nil"/>
            </w:tcBorders>
            <w:shd w:val="clear" w:color="auto" w:fill="FFF2CC" w:themeFill="accent4" w:themeFillTint="33"/>
            <w:noWrap/>
          </w:tcPr>
          <w:p w14:paraId="63FC2C5D" w14:textId="77777777" w:rsidR="00FF7799" w:rsidRPr="00E73F6F" w:rsidRDefault="00FF7799" w:rsidP="00535E2F">
            <w:pPr>
              <w:pStyle w:val="StandardText"/>
            </w:pPr>
          </w:p>
        </w:tc>
        <w:tc>
          <w:tcPr>
            <w:tcW w:w="1197" w:type="dxa"/>
            <w:tcBorders>
              <w:top w:val="nil"/>
            </w:tcBorders>
          </w:tcPr>
          <w:p w14:paraId="5C3ED342" w14:textId="77777777" w:rsidR="00FF7799" w:rsidRPr="00E73F6F" w:rsidRDefault="00FF7799" w:rsidP="00535E2F">
            <w:pPr>
              <w:pStyle w:val="StandardText"/>
            </w:pPr>
            <w:r w:rsidRPr="00E73F6F">
              <w:t>Praktiken</w:t>
            </w:r>
          </w:p>
        </w:tc>
        <w:tc>
          <w:tcPr>
            <w:tcW w:w="1354" w:type="dxa"/>
            <w:tcBorders>
              <w:top w:val="nil"/>
            </w:tcBorders>
            <w:noWrap/>
          </w:tcPr>
          <w:p w14:paraId="713B8542" w14:textId="77777777" w:rsidR="00FF7799" w:rsidRPr="00E73F6F" w:rsidRDefault="00FF7799" w:rsidP="00181BAF">
            <w:pPr>
              <w:pStyle w:val="StandardText"/>
              <w:jc w:val="center"/>
            </w:pPr>
          </w:p>
        </w:tc>
        <w:tc>
          <w:tcPr>
            <w:tcW w:w="1134" w:type="dxa"/>
            <w:tcBorders>
              <w:top w:val="nil"/>
            </w:tcBorders>
            <w:noWrap/>
          </w:tcPr>
          <w:p w14:paraId="13741F9A" w14:textId="77777777" w:rsidR="00FF7799" w:rsidRPr="00E73F6F" w:rsidRDefault="00FF7799" w:rsidP="00181BAF">
            <w:pPr>
              <w:pStyle w:val="StandardText"/>
              <w:jc w:val="center"/>
            </w:pPr>
          </w:p>
        </w:tc>
        <w:tc>
          <w:tcPr>
            <w:tcW w:w="1134" w:type="dxa"/>
            <w:tcBorders>
              <w:top w:val="nil"/>
            </w:tcBorders>
            <w:noWrap/>
          </w:tcPr>
          <w:p w14:paraId="68ED1CB4" w14:textId="77777777" w:rsidR="00FF7799" w:rsidRPr="00E73F6F" w:rsidRDefault="00FF7799" w:rsidP="00181BAF">
            <w:pPr>
              <w:pStyle w:val="StandardText"/>
              <w:jc w:val="center"/>
            </w:pPr>
          </w:p>
        </w:tc>
        <w:tc>
          <w:tcPr>
            <w:tcW w:w="1167" w:type="dxa"/>
            <w:tcBorders>
              <w:top w:val="nil"/>
            </w:tcBorders>
            <w:noWrap/>
          </w:tcPr>
          <w:p w14:paraId="6B730359" w14:textId="77777777" w:rsidR="00FF7799" w:rsidRPr="00E73F6F" w:rsidRDefault="00FF7799" w:rsidP="00181BAF">
            <w:pPr>
              <w:pStyle w:val="StandardText"/>
              <w:jc w:val="center"/>
            </w:pPr>
            <w:r w:rsidRPr="00E73F6F">
              <w:t>0,42</w:t>
            </w:r>
            <w:r w:rsidRPr="00E73F6F">
              <w:rPr>
                <w:vertAlign w:val="superscript"/>
              </w:rPr>
              <w:t>**</w:t>
            </w:r>
          </w:p>
        </w:tc>
      </w:tr>
    </w:tbl>
    <w:p w14:paraId="5EB34142" w14:textId="77777777" w:rsidR="00FF7799" w:rsidRPr="00E73F6F" w:rsidRDefault="00FF7799" w:rsidP="00CF36A3">
      <w:pPr>
        <w:widowControl/>
        <w:pBdr>
          <w:bottom w:val="single" w:sz="4" w:space="1" w:color="auto"/>
        </w:pBdr>
        <w:adjustRightInd w:val="0"/>
        <w:jc w:val="both"/>
        <w:rPr>
          <w:sz w:val="24"/>
          <w:szCs w:val="24"/>
        </w:rPr>
      </w:pPr>
      <w:r w:rsidRPr="00E73F6F">
        <w:rPr>
          <w:sz w:val="24"/>
          <w:szCs w:val="24"/>
          <w:vertAlign w:val="superscript"/>
        </w:rPr>
        <w:t>**</w:t>
      </w:r>
      <w:r w:rsidRPr="00E73F6F">
        <w:rPr>
          <w:sz w:val="24"/>
          <w:szCs w:val="24"/>
        </w:rPr>
        <w:t xml:space="preserve"> p &lt; 0,001</w:t>
      </w:r>
    </w:p>
    <w:p w14:paraId="1DDB6AC7" w14:textId="77777777" w:rsidR="00FF7799" w:rsidRPr="00E73F6F" w:rsidRDefault="00FF7799" w:rsidP="00CF36A3">
      <w:pPr>
        <w:pStyle w:val="Quellen"/>
      </w:pPr>
      <w:r w:rsidRPr="00E73F6F">
        <w:t>Quelle: House et al. (2004, S.140).</w:t>
      </w:r>
    </w:p>
    <w:p w14:paraId="059C1A0E" w14:textId="77777777" w:rsidR="00FF7799" w:rsidRPr="00E73F6F" w:rsidRDefault="00FF7799" w:rsidP="00862DBA">
      <w:pPr>
        <w:widowControl/>
        <w:adjustRightInd w:val="0"/>
        <w:jc w:val="both"/>
        <w:rPr>
          <w:sz w:val="24"/>
          <w:szCs w:val="24"/>
        </w:rPr>
      </w:pPr>
    </w:p>
    <w:p w14:paraId="50A042AF" w14:textId="77777777" w:rsidR="00FF7799" w:rsidRPr="002F3A66" w:rsidRDefault="00FF7799" w:rsidP="00535E2F">
      <w:pPr>
        <w:pStyle w:val="StandardText"/>
      </w:pPr>
      <w:r w:rsidRPr="002F3A66">
        <w:t xml:space="preserve">Die geringe Übereinstimmung der jeweiligen Werteskalen mag zum einen an dem oben dargestellten unterschiedlichen Bezug der Fragestellung liegen (Selbstbild = Hofstede vs. Fremdbild = GLOBE). Zum anderen sind die Items recht unterschiedlich formuliert, was gleichfalls die Wahrscheinlichkeit erhöht, dass sie Unterschiedliches messen – wie sich am Beispiel der Dimension „Ungewissheitsvermeidung“ belegen lässt (vgl. Tab. 7). Die vier GLOBE-Items messen den Grad der „Orientierung an Regeln“ (UA-Rule Orientation), d.h. das Streben nach Struktur und Ordnung. Die gleichartig bezeichnete Hofstede-Skala wiederum besteht aus drei Items, welche die Themen Stress, Bindung an den Arbeitgeber und Regelorientierung zum Gegenstand haben. Allerdings sorgt der Aggregationsalgorithmus dafür, dass primär der Messwert des Stressitems in den Ungewissheitsvermeidungsindex eingeht (vgl. Venaik/Brewer 2010, </w:t>
      </w:r>
      <w:r w:rsidRPr="002F3A66">
        <w:lastRenderedPageBreak/>
        <w:t xml:space="preserve">S.1305). Folglich misst die Hofstede-Skala vorrangig die Anspannung, welche die Auskunftsperson in neuartigen, ungewissen Situationen empfindet (UA-Stress). </w:t>
      </w:r>
    </w:p>
    <w:p w14:paraId="2F2B04DF" w14:textId="77777777" w:rsidR="00FF7799" w:rsidRPr="00E73F6F" w:rsidRDefault="00FF7799" w:rsidP="00535E2F">
      <w:pPr>
        <w:pStyle w:val="StandardText"/>
      </w:pPr>
      <w:r w:rsidRPr="002F3A66">
        <w:t>Dafür, dass Unterschiedliches gemessen wird, spricht auch die Überprüfung der Kriteriumsvalidität. Denn die beiden Konstrukte weisen signifikante Übereinstimmungen mit verschiedenen Außenkriterien auf: UA-Stress korreliert positiv mit dem nationalen Stressniveau, der Verbreitung von Alkoholismus, der Intensität der Sorgen über Geld und Gesundheit, Neurotizismus</w:t>
      </w:r>
      <w:r w:rsidRPr="00E73F6F">
        <w:t xml:space="preserve"> und negativ mit guter Gesundheit, Zufriedenheit mit der Familie und Glück. UA-Rule Orientation korreliert hingegen mit verschiedenen Indikatoren, welche die Funktionsfähigkeit gesellschaftlicher Strukturen und Institutionen erfassen: Qualität und Effektivität des Regierungshandelns, Kontrolle von </w:t>
      </w:r>
      <w:r w:rsidR="001E3F06">
        <w:sym w:font="Symbol" w:char="F0DE"/>
      </w:r>
      <w:r w:rsidR="001E3F06">
        <w:t xml:space="preserve"> </w:t>
      </w:r>
      <w:r w:rsidRPr="00E73F6F">
        <w:t xml:space="preserve">Korruption, Rechtsstaatlichkeit, Regulierungsdichte, politische Stabilität, Gewaltfreiheit etc. (vgl. Venaik/Brewer 2010, S.1304ff.). </w:t>
      </w:r>
    </w:p>
    <w:p w14:paraId="2066BBED" w14:textId="77777777" w:rsidR="00FF7799" w:rsidRPr="007D6CC1" w:rsidRDefault="00FF7799" w:rsidP="00535E2F">
      <w:pPr>
        <w:pStyle w:val="StandardText"/>
        <w:rPr>
          <w:i/>
          <w:iCs/>
        </w:rPr>
      </w:pPr>
    </w:p>
    <w:p w14:paraId="20442F91" w14:textId="77777777" w:rsidR="00FF7799" w:rsidRPr="007D6CC1" w:rsidRDefault="00FF7799" w:rsidP="00535E2F">
      <w:pPr>
        <w:pStyle w:val="BeschriftungTab"/>
        <w:rPr>
          <w:i/>
          <w:iCs/>
        </w:rPr>
      </w:pPr>
      <w:r w:rsidRPr="007D6CC1">
        <w:rPr>
          <w:bCs/>
          <w:i/>
          <w:iCs/>
        </w:rPr>
        <w:t xml:space="preserve">Tab. 7: </w:t>
      </w:r>
      <w:r w:rsidRPr="007D6CC1">
        <w:rPr>
          <w:i/>
          <w:iCs/>
        </w:rPr>
        <w:t>Skalen zur Messung der Ungewissheitsvermeidung (‘values‘)</w:t>
      </w:r>
    </w:p>
    <w:tbl>
      <w:tblPr>
        <w:tblW w:w="0" w:type="auto"/>
        <w:tblBorders>
          <w:top w:val="single" w:sz="4" w:space="0" w:color="000000"/>
          <w:bottom w:val="single" w:sz="4" w:space="0" w:color="000000"/>
          <w:insideH w:val="single" w:sz="4" w:space="0" w:color="000000"/>
        </w:tblBorders>
        <w:tblLook w:val="00A0" w:firstRow="1" w:lastRow="0" w:firstColumn="1" w:lastColumn="0" w:noHBand="0" w:noVBand="0"/>
      </w:tblPr>
      <w:tblGrid>
        <w:gridCol w:w="1696"/>
        <w:gridCol w:w="3828"/>
        <w:gridCol w:w="3538"/>
      </w:tblGrid>
      <w:tr w:rsidR="00FF7799" w:rsidRPr="00E73F6F" w14:paraId="62C4C5DC" w14:textId="77777777" w:rsidTr="009D2A8B">
        <w:trPr>
          <w:tblHeader/>
        </w:trPr>
        <w:tc>
          <w:tcPr>
            <w:tcW w:w="1696" w:type="dxa"/>
            <w:shd w:val="clear" w:color="auto" w:fill="FFC000" w:themeFill="accent4"/>
          </w:tcPr>
          <w:p w14:paraId="72E1978D" w14:textId="77777777" w:rsidR="00FF7799" w:rsidRPr="00E73F6F" w:rsidRDefault="00FF7799" w:rsidP="005561DB">
            <w:pPr>
              <w:pStyle w:val="StandardText"/>
              <w:spacing w:after="120"/>
            </w:pPr>
          </w:p>
        </w:tc>
        <w:tc>
          <w:tcPr>
            <w:tcW w:w="3828" w:type="dxa"/>
            <w:shd w:val="clear" w:color="auto" w:fill="FFC000" w:themeFill="accent4"/>
          </w:tcPr>
          <w:p w14:paraId="5380002C" w14:textId="77777777" w:rsidR="00FF7799" w:rsidRPr="00E73F6F" w:rsidRDefault="00FF7799" w:rsidP="005561DB">
            <w:pPr>
              <w:pStyle w:val="StandardText"/>
              <w:spacing w:after="120"/>
              <w:rPr>
                <w:b/>
              </w:rPr>
            </w:pPr>
            <w:r w:rsidRPr="00E73F6F">
              <w:rPr>
                <w:b/>
              </w:rPr>
              <w:t>GLOBE (reverse coded)</w:t>
            </w:r>
          </w:p>
        </w:tc>
        <w:tc>
          <w:tcPr>
            <w:tcW w:w="3538" w:type="dxa"/>
            <w:shd w:val="clear" w:color="auto" w:fill="FFC000" w:themeFill="accent4"/>
          </w:tcPr>
          <w:p w14:paraId="70936CE0" w14:textId="77777777" w:rsidR="00FF7799" w:rsidRPr="00E73F6F" w:rsidRDefault="00FF7799" w:rsidP="005561DB">
            <w:pPr>
              <w:pStyle w:val="StandardText"/>
              <w:spacing w:after="120"/>
            </w:pPr>
            <w:r w:rsidRPr="00E73F6F">
              <w:rPr>
                <w:b/>
              </w:rPr>
              <w:t>Hofstede</w:t>
            </w:r>
          </w:p>
        </w:tc>
      </w:tr>
      <w:tr w:rsidR="00FF7799" w:rsidRPr="00E73F6F" w14:paraId="50A5C958" w14:textId="77777777" w:rsidTr="002F3A66">
        <w:tc>
          <w:tcPr>
            <w:tcW w:w="1696" w:type="dxa"/>
            <w:shd w:val="clear" w:color="auto" w:fill="FFF2CC" w:themeFill="accent4" w:themeFillTint="33"/>
          </w:tcPr>
          <w:p w14:paraId="31E765C2" w14:textId="77777777" w:rsidR="00FF7799" w:rsidRPr="00E73F6F" w:rsidRDefault="00FF7799" w:rsidP="005561DB">
            <w:pPr>
              <w:pStyle w:val="StandardText"/>
              <w:spacing w:before="0"/>
              <w:rPr>
                <w:b/>
              </w:rPr>
            </w:pPr>
            <w:r w:rsidRPr="00E73F6F">
              <w:rPr>
                <w:b/>
              </w:rPr>
              <w:t>Items</w:t>
            </w:r>
          </w:p>
        </w:tc>
        <w:tc>
          <w:tcPr>
            <w:tcW w:w="3828" w:type="dxa"/>
          </w:tcPr>
          <w:p w14:paraId="15379F57" w14:textId="77777777" w:rsidR="00FF7799" w:rsidRPr="00E73F6F" w:rsidRDefault="00FF7799" w:rsidP="00A31BCB">
            <w:pPr>
              <w:pStyle w:val="StandardTextAufzhlung"/>
              <w:ind w:left="468"/>
            </w:pPr>
            <w:r w:rsidRPr="00E35FFF">
              <w:rPr>
                <w:lang w:val="en-US"/>
              </w:rPr>
              <w:t xml:space="preserve">“I believe that orderliness and consistency should be stressed, even at the expense of experimentation and innovation.” </w:t>
            </w:r>
            <w:r w:rsidRPr="00E73F6F">
              <w:t>(1 = strongly agree – 7 = strongly disagree)</w:t>
            </w:r>
          </w:p>
          <w:p w14:paraId="11E89A9C" w14:textId="77777777" w:rsidR="00FF7799" w:rsidRPr="00E35FFF" w:rsidRDefault="00FF7799" w:rsidP="00A31BCB">
            <w:pPr>
              <w:pStyle w:val="StandardTextAufzhlung"/>
              <w:ind w:left="468"/>
              <w:rPr>
                <w:lang w:val="en-US"/>
              </w:rPr>
            </w:pPr>
            <w:r w:rsidRPr="00E35FFF">
              <w:rPr>
                <w:lang w:val="en-US"/>
              </w:rPr>
              <w:t>“I believe that a person who leads a structured live that has few unexpected events … (1 = has a lot to be thankful for – 7 = is missing a lot of excitement)</w:t>
            </w:r>
          </w:p>
          <w:p w14:paraId="23800985" w14:textId="77777777" w:rsidR="00FF7799" w:rsidRPr="00E73F6F" w:rsidRDefault="00FF7799" w:rsidP="00A31BCB">
            <w:pPr>
              <w:pStyle w:val="StandardTextAufzhlung"/>
              <w:ind w:left="468"/>
            </w:pPr>
            <w:r w:rsidRPr="00E35FFF">
              <w:rPr>
                <w:lang w:val="en-US"/>
              </w:rPr>
              <w:t xml:space="preserve">“I believe that societal requirements and instructions should be spelled out in detail so citizens know what they are expected to do.” </w:t>
            </w:r>
            <w:r w:rsidRPr="00E73F6F">
              <w:t>(1 = strongly agree – 7 = strongly disagree)</w:t>
            </w:r>
          </w:p>
          <w:p w14:paraId="01FA0BA9" w14:textId="77777777" w:rsidR="00FF7799" w:rsidRPr="00E35FFF" w:rsidRDefault="00FF7799" w:rsidP="00A31BCB">
            <w:pPr>
              <w:pStyle w:val="StandardTextAufzhlung"/>
              <w:ind w:left="468"/>
              <w:rPr>
                <w:lang w:val="en-US"/>
              </w:rPr>
            </w:pPr>
            <w:r w:rsidRPr="00E35FFF">
              <w:rPr>
                <w:lang w:val="en-US"/>
              </w:rPr>
              <w:t>“I believe that society should have rules or laws to cover.”(1 = in almost all situations - 7 = in very few situations)</w:t>
            </w:r>
          </w:p>
        </w:tc>
        <w:tc>
          <w:tcPr>
            <w:tcW w:w="3538" w:type="dxa"/>
          </w:tcPr>
          <w:p w14:paraId="709E0BC9" w14:textId="77777777" w:rsidR="00FF7799" w:rsidRPr="00E73F6F" w:rsidRDefault="00FF7799" w:rsidP="00A31BCB">
            <w:pPr>
              <w:pStyle w:val="StandardTextAufzhlung"/>
              <w:ind w:left="468"/>
            </w:pPr>
            <w:r w:rsidRPr="00E35FFF">
              <w:rPr>
                <w:lang w:val="en-US"/>
              </w:rPr>
              <w:t xml:space="preserve">“How often do you feel nervous or tense (at work)?” </w:t>
            </w:r>
            <w:r w:rsidRPr="00E73F6F">
              <w:t>(1 = always – 5 = never)</w:t>
            </w:r>
          </w:p>
          <w:p w14:paraId="7A372377" w14:textId="77777777" w:rsidR="00FF7799" w:rsidRPr="00E73F6F" w:rsidRDefault="00FF7799" w:rsidP="00A31BCB">
            <w:pPr>
              <w:pStyle w:val="StandardTextAufzhlung"/>
              <w:ind w:left="468"/>
            </w:pPr>
            <w:r w:rsidRPr="00E35FFF">
              <w:rPr>
                <w:lang w:val="en-US"/>
              </w:rPr>
              <w:t xml:space="preserve">“How long do you think you will continue working fort his company (or organization)?” </w:t>
            </w:r>
            <w:r w:rsidRPr="00E73F6F">
              <w:t>(1 = two years – 4 = until retirement)</w:t>
            </w:r>
          </w:p>
          <w:p w14:paraId="30589055" w14:textId="77777777" w:rsidR="00FF7799" w:rsidRPr="00E73F6F" w:rsidRDefault="00FF7799" w:rsidP="00A31BCB">
            <w:pPr>
              <w:pStyle w:val="StandardTextAufzhlung"/>
              <w:ind w:left="468"/>
            </w:pPr>
            <w:r w:rsidRPr="00E35FFF">
              <w:rPr>
                <w:lang w:val="en-US"/>
              </w:rPr>
              <w:t xml:space="preserve">“Company rules should not be broken – even when the employee thinks it is in the company’s interest.” </w:t>
            </w:r>
            <w:r w:rsidRPr="00E73F6F">
              <w:t>(1 = strongly agree – 5 = strongly disagree)</w:t>
            </w:r>
          </w:p>
        </w:tc>
      </w:tr>
      <w:tr w:rsidR="00FF7799" w:rsidRPr="00E73F6F" w14:paraId="04500146" w14:textId="77777777" w:rsidTr="002F3A66">
        <w:tc>
          <w:tcPr>
            <w:tcW w:w="1696" w:type="dxa"/>
            <w:shd w:val="clear" w:color="auto" w:fill="FFF2CC" w:themeFill="accent4" w:themeFillTint="33"/>
          </w:tcPr>
          <w:p w14:paraId="032A2537" w14:textId="77777777" w:rsidR="00FF7799" w:rsidRPr="00E73F6F" w:rsidRDefault="00FF7799" w:rsidP="005561DB">
            <w:pPr>
              <w:pStyle w:val="StandardText"/>
              <w:spacing w:before="0"/>
              <w:rPr>
                <w:b/>
              </w:rPr>
            </w:pPr>
            <w:r w:rsidRPr="00E73F6F">
              <w:rPr>
                <w:b/>
              </w:rPr>
              <w:t xml:space="preserve">Aggregations-algorithmus </w:t>
            </w:r>
          </w:p>
        </w:tc>
        <w:tc>
          <w:tcPr>
            <w:tcW w:w="3828" w:type="dxa"/>
          </w:tcPr>
          <w:p w14:paraId="02E26635" w14:textId="77777777" w:rsidR="00FF7799" w:rsidRPr="00E73F6F" w:rsidRDefault="00FF7799" w:rsidP="005561DB">
            <w:pPr>
              <w:pStyle w:val="StandardTextAufzhlung"/>
              <w:numPr>
                <w:ilvl w:val="0"/>
                <w:numId w:val="0"/>
              </w:numPr>
              <w:ind w:left="284" w:hanging="284"/>
            </w:pPr>
            <w:r w:rsidRPr="00E73F6F">
              <w:t>Mittelwert aller Items</w:t>
            </w:r>
          </w:p>
        </w:tc>
        <w:tc>
          <w:tcPr>
            <w:tcW w:w="3538" w:type="dxa"/>
          </w:tcPr>
          <w:p w14:paraId="4277ADB6" w14:textId="77777777" w:rsidR="00FF7799" w:rsidRPr="00E73F6F" w:rsidRDefault="00FF7799" w:rsidP="005561DB">
            <w:pPr>
              <w:pStyle w:val="StandardTextAufzhlung"/>
              <w:numPr>
                <w:ilvl w:val="0"/>
                <w:numId w:val="0"/>
              </w:numPr>
            </w:pPr>
            <w:r w:rsidRPr="00E73F6F">
              <w:t>UAI = 300 – 30 * (Item 3) – 40 * (Item 1) – (% Antwort 1 und 2 in Item 2)</w:t>
            </w:r>
          </w:p>
        </w:tc>
      </w:tr>
    </w:tbl>
    <w:p w14:paraId="0C4D8451" w14:textId="77777777" w:rsidR="00FF7799" w:rsidRPr="00E73F6F" w:rsidRDefault="00FF7799" w:rsidP="005561DB">
      <w:pPr>
        <w:pStyle w:val="Quellen"/>
      </w:pPr>
      <w:r w:rsidRPr="00E73F6F">
        <w:t xml:space="preserve">Quelle: Hofstede (1980); </w:t>
      </w:r>
      <w:hyperlink r:id="rId52" w:history="1">
        <w:r w:rsidRPr="00E73F6F">
          <w:rPr>
            <w:color w:val="0000FF"/>
            <w:u w:val="single"/>
          </w:rPr>
          <w:t>http://www.thunderbird.edu/sites/globe/</w:t>
        </w:r>
      </w:hyperlink>
      <w:r w:rsidR="002F3A66">
        <w:t>globe_instruments/</w:t>
      </w:r>
      <w:r w:rsidRPr="00E73F6F">
        <w:t>index.htm</w:t>
      </w:r>
      <w:r w:rsidR="002F3A66">
        <w:t>/</w:t>
      </w:r>
      <w:r w:rsidRPr="00E73F6F">
        <w:t xml:space="preserve"> (11.02.2011)</w:t>
      </w:r>
      <w:r w:rsidR="002F3A66">
        <w:t>.</w:t>
      </w:r>
    </w:p>
    <w:p w14:paraId="14D9DF82" w14:textId="77777777" w:rsidR="00FF7799" w:rsidRPr="00E73F6F" w:rsidRDefault="00FF7799" w:rsidP="00862DBA">
      <w:pPr>
        <w:widowControl/>
        <w:adjustRightInd w:val="0"/>
        <w:jc w:val="both"/>
        <w:rPr>
          <w:sz w:val="24"/>
          <w:szCs w:val="24"/>
        </w:rPr>
      </w:pPr>
    </w:p>
    <w:p w14:paraId="05604E07" w14:textId="77777777" w:rsidR="00FF7799" w:rsidRPr="002F3A66" w:rsidRDefault="00FF7799" w:rsidP="00535E2F">
      <w:pPr>
        <w:pStyle w:val="StandardTextkursiv"/>
        <w:rPr>
          <w:i w:val="0"/>
          <w:lang w:bidi="en-US"/>
        </w:rPr>
      </w:pPr>
      <w:r w:rsidRPr="002F3A66">
        <w:rPr>
          <w:i w:val="0"/>
          <w:lang w:bidi="en-US"/>
        </w:rPr>
        <w:t>Unterschiedliche empirische Befunde</w:t>
      </w:r>
    </w:p>
    <w:p w14:paraId="5A9E272D" w14:textId="77777777" w:rsidR="00FF7799" w:rsidRPr="002F3A66" w:rsidRDefault="00FF7799" w:rsidP="00535E2F">
      <w:pPr>
        <w:pStyle w:val="StandardText"/>
      </w:pPr>
      <w:r w:rsidRPr="002F3A66">
        <w:t>Angesichts der methodologischen Unterschiede und der zeitlichen Diskrepanz zwischen beiden Studien konnte es nicht ausbleiben, dass diese unterschiedlichen Ergebnisse liefern, etwa hinsichtlich der Positionierung der einzelnen Nationen auf den Kulturdimensionen. Wenn man die kulturelle Distanz zwischen verschiedenen Ländern berechnet (</w:t>
      </w:r>
      <w:r w:rsidR="002F3A66">
        <w:sym w:font="Symbol" w:char="F0DE"/>
      </w:r>
      <w:r w:rsidRPr="002F3A66">
        <w:t xml:space="preserve"> Distanz, kulturelle, dann weichen die ermittelten Werte teilweise erheblich voneinander ab, je nachdem, ob dies anhand </w:t>
      </w:r>
      <w:r w:rsidRPr="002F3A66">
        <w:lastRenderedPageBreak/>
        <w:t>der Hofstede-Werte oder der GLOBE-Werte geschieht (vgl. Tab. 8): Der Vergleich der kulturellen Distanz Russlands zu insgesamt sieben Nationen offenbart teils geringe (Indien = 4), teils erhebliche Abweichungen (Großbritannien = 38). Weiterhin erkennt man, dass die standardisierten Distanzwerte (0 – 100) überproportional streuen, wenn die Inputdaten der Hofstede-Studie entnommen werden. Schließlich fallen folgende Tendenzen auf:</w:t>
      </w:r>
    </w:p>
    <w:p w14:paraId="0051D1E0" w14:textId="77777777" w:rsidR="00FF7799" w:rsidRPr="00E73F6F" w:rsidRDefault="00FF7799" w:rsidP="00A31BCB">
      <w:pPr>
        <w:pStyle w:val="StandardTextAufzhlung"/>
        <w:shd w:val="clear" w:color="auto" w:fill="FFFFFF" w:themeFill="background1"/>
        <w:ind w:left="426"/>
      </w:pPr>
      <w:r w:rsidRPr="00E73F6F">
        <w:t xml:space="preserve">Den beiden angelsächsischen Ländern attestieren die </w:t>
      </w:r>
      <w:r w:rsidRPr="00E73F6F">
        <w:rPr>
          <w:i/>
        </w:rPr>
        <w:t>GLOBE</w:t>
      </w:r>
      <w:r w:rsidRPr="00E73F6F">
        <w:t xml:space="preserve">-Daten eine wesentlich geringere kulturelle Distanz zu Russland als die </w:t>
      </w:r>
      <w:r w:rsidRPr="00E73F6F">
        <w:rPr>
          <w:i/>
        </w:rPr>
        <w:t>Hofstede</w:t>
      </w:r>
      <w:r w:rsidRPr="00E73F6F">
        <w:t>-Daten. Mit Deutschland verhält es sich umgekehrt.</w:t>
      </w:r>
    </w:p>
    <w:p w14:paraId="5DED40C3" w14:textId="77777777" w:rsidR="00FF7799" w:rsidRPr="00E73F6F" w:rsidRDefault="00FF7799" w:rsidP="00A31BCB">
      <w:pPr>
        <w:pStyle w:val="StandardTextAufzhlung"/>
        <w:shd w:val="clear" w:color="auto" w:fill="FFFFFF" w:themeFill="background1"/>
        <w:ind w:left="426"/>
      </w:pPr>
      <w:r w:rsidRPr="00E73F6F">
        <w:t>Die kulturelle Distanz der BRICS-Staaten zu Russland fällt vergleichsweise stabil aus.</w:t>
      </w:r>
    </w:p>
    <w:p w14:paraId="71DA5021" w14:textId="77777777" w:rsidR="00FF7799" w:rsidRPr="00E73F6F" w:rsidRDefault="00FF7799" w:rsidP="00862DBA">
      <w:pPr>
        <w:widowControl/>
        <w:autoSpaceDE/>
        <w:autoSpaceDN/>
        <w:jc w:val="both"/>
        <w:rPr>
          <w:sz w:val="24"/>
          <w:szCs w:val="24"/>
        </w:rPr>
      </w:pPr>
    </w:p>
    <w:p w14:paraId="5F4101AA" w14:textId="77777777" w:rsidR="00FF7799" w:rsidRPr="007D6CC1" w:rsidRDefault="00FF7799" w:rsidP="00535E2F">
      <w:pPr>
        <w:pStyle w:val="BeschriftungTab"/>
        <w:rPr>
          <w:b/>
          <w:i/>
          <w:iCs/>
          <w:color w:val="FF0000"/>
        </w:rPr>
      </w:pPr>
      <w:r w:rsidRPr="007D6CC1">
        <w:rPr>
          <w:i/>
          <w:iCs/>
        </w:rPr>
        <w:t xml:space="preserve">Tab. 8: Kulturelle Distanz Russlands zu sieben Nationen </w:t>
      </w: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2552"/>
        <w:gridCol w:w="3260"/>
        <w:gridCol w:w="3260"/>
      </w:tblGrid>
      <w:tr w:rsidR="00FF7799" w:rsidRPr="00E73F6F" w14:paraId="5482EC1E" w14:textId="77777777" w:rsidTr="009D2A8B">
        <w:trPr>
          <w:tblHeader/>
        </w:trPr>
        <w:tc>
          <w:tcPr>
            <w:tcW w:w="2552" w:type="dxa"/>
            <w:shd w:val="clear" w:color="auto" w:fill="FFC000" w:themeFill="accent4"/>
          </w:tcPr>
          <w:p w14:paraId="5BE9C460" w14:textId="77777777" w:rsidR="00FF7799" w:rsidRPr="00E73F6F" w:rsidRDefault="00FF7799" w:rsidP="00857059">
            <w:pPr>
              <w:pStyle w:val="StandardText"/>
              <w:spacing w:after="120"/>
              <w:rPr>
                <w:b/>
              </w:rPr>
            </w:pPr>
            <w:r w:rsidRPr="00E73F6F">
              <w:rPr>
                <w:b/>
              </w:rPr>
              <w:t>Land</w:t>
            </w:r>
          </w:p>
        </w:tc>
        <w:tc>
          <w:tcPr>
            <w:tcW w:w="3260" w:type="dxa"/>
            <w:shd w:val="clear" w:color="auto" w:fill="FFC000" w:themeFill="accent4"/>
          </w:tcPr>
          <w:p w14:paraId="321F8D1D" w14:textId="77777777" w:rsidR="00FF7799" w:rsidRPr="00E73F6F" w:rsidRDefault="00FF7799" w:rsidP="00857059">
            <w:pPr>
              <w:pStyle w:val="StandardText"/>
              <w:spacing w:after="120"/>
              <w:jc w:val="center"/>
              <w:rPr>
                <w:b/>
              </w:rPr>
            </w:pPr>
            <w:r w:rsidRPr="00E73F6F">
              <w:rPr>
                <w:b/>
              </w:rPr>
              <w:t xml:space="preserve">Kulturelle Distanz </w:t>
            </w:r>
            <w:r w:rsidRPr="00E73F6F">
              <w:rPr>
                <w:b/>
              </w:rPr>
              <w:br/>
              <w:t>auf Basis der Hofstede-Daten</w:t>
            </w:r>
          </w:p>
        </w:tc>
        <w:tc>
          <w:tcPr>
            <w:tcW w:w="3260" w:type="dxa"/>
            <w:shd w:val="clear" w:color="auto" w:fill="FFC000" w:themeFill="accent4"/>
          </w:tcPr>
          <w:p w14:paraId="7F755D22" w14:textId="77777777" w:rsidR="00FF7799" w:rsidRPr="00E73F6F" w:rsidRDefault="00FF7799" w:rsidP="00857059">
            <w:pPr>
              <w:pStyle w:val="StandardText"/>
              <w:spacing w:after="120"/>
              <w:jc w:val="center"/>
              <w:rPr>
                <w:b/>
              </w:rPr>
            </w:pPr>
            <w:r w:rsidRPr="00E73F6F">
              <w:rPr>
                <w:b/>
              </w:rPr>
              <w:t xml:space="preserve">Kulturelle Distanz </w:t>
            </w:r>
            <w:r w:rsidRPr="00E73F6F">
              <w:rPr>
                <w:b/>
              </w:rPr>
              <w:br/>
              <w:t>auf Basis der GLOBE-Daten</w:t>
            </w:r>
          </w:p>
        </w:tc>
      </w:tr>
      <w:tr w:rsidR="00FF7799" w:rsidRPr="00E73F6F" w14:paraId="77121D8D" w14:textId="77777777" w:rsidTr="002F3A66">
        <w:tc>
          <w:tcPr>
            <w:tcW w:w="2552" w:type="dxa"/>
            <w:shd w:val="clear" w:color="auto" w:fill="FFF2CC" w:themeFill="accent4" w:themeFillTint="33"/>
          </w:tcPr>
          <w:p w14:paraId="3DA92406" w14:textId="77777777" w:rsidR="00FF7799" w:rsidRPr="00E73F6F" w:rsidRDefault="00FF7799" w:rsidP="00857059">
            <w:pPr>
              <w:pStyle w:val="StandardText"/>
            </w:pPr>
            <w:r w:rsidRPr="00E73F6F">
              <w:t>Brasilien</w:t>
            </w:r>
          </w:p>
          <w:p w14:paraId="1CD7CDF4" w14:textId="77777777" w:rsidR="00FF7799" w:rsidRPr="00E73F6F" w:rsidRDefault="00FF7799" w:rsidP="00857059">
            <w:pPr>
              <w:pStyle w:val="StandardText"/>
            </w:pPr>
            <w:r w:rsidRPr="00E73F6F">
              <w:t>China</w:t>
            </w:r>
          </w:p>
          <w:p w14:paraId="1E04BFF7" w14:textId="77777777" w:rsidR="00FF7799" w:rsidRPr="00E73F6F" w:rsidRDefault="00FF7799" w:rsidP="00857059">
            <w:pPr>
              <w:pStyle w:val="StandardText"/>
            </w:pPr>
            <w:r w:rsidRPr="00E73F6F">
              <w:t>Indien</w:t>
            </w:r>
          </w:p>
          <w:p w14:paraId="374534A8" w14:textId="77777777" w:rsidR="00FF7799" w:rsidRPr="00E73F6F" w:rsidRDefault="00FF7799" w:rsidP="00857059">
            <w:pPr>
              <w:pStyle w:val="StandardText"/>
            </w:pPr>
            <w:r w:rsidRPr="00E73F6F">
              <w:t>Südafrika</w:t>
            </w:r>
          </w:p>
          <w:p w14:paraId="7501E745" w14:textId="77777777" w:rsidR="00FF7799" w:rsidRPr="00E73F6F" w:rsidRDefault="00FF7799" w:rsidP="00857059">
            <w:pPr>
              <w:pStyle w:val="StandardText"/>
            </w:pPr>
            <w:r w:rsidRPr="00E73F6F">
              <w:t>Deutschland</w:t>
            </w:r>
          </w:p>
          <w:p w14:paraId="651244E4" w14:textId="77777777" w:rsidR="00FF7799" w:rsidRPr="00E73F6F" w:rsidRDefault="00FF7799" w:rsidP="00857059">
            <w:pPr>
              <w:pStyle w:val="StandardText"/>
            </w:pPr>
            <w:r w:rsidRPr="00E73F6F">
              <w:t>USA</w:t>
            </w:r>
          </w:p>
          <w:p w14:paraId="08E9BE5E" w14:textId="77777777" w:rsidR="00FF7799" w:rsidRPr="00E73F6F" w:rsidRDefault="00FF7799" w:rsidP="00857059">
            <w:pPr>
              <w:pStyle w:val="StandardText"/>
            </w:pPr>
            <w:r w:rsidRPr="00E73F6F">
              <w:t>Großbritannien</w:t>
            </w:r>
          </w:p>
        </w:tc>
        <w:tc>
          <w:tcPr>
            <w:tcW w:w="3260" w:type="dxa"/>
          </w:tcPr>
          <w:p w14:paraId="0A38BFF8" w14:textId="77777777" w:rsidR="00FF7799" w:rsidRPr="00E73F6F" w:rsidRDefault="00FF7799" w:rsidP="00857059">
            <w:pPr>
              <w:pStyle w:val="StandardText"/>
              <w:jc w:val="center"/>
            </w:pPr>
            <w:r w:rsidRPr="00E73F6F">
              <w:t>10</w:t>
            </w:r>
          </w:p>
          <w:p w14:paraId="3E2939D4" w14:textId="77777777" w:rsidR="00FF7799" w:rsidRPr="00E73F6F" w:rsidRDefault="00FF7799" w:rsidP="00857059">
            <w:pPr>
              <w:pStyle w:val="StandardText"/>
              <w:jc w:val="center"/>
            </w:pPr>
            <w:r w:rsidRPr="00E73F6F">
              <w:t>31</w:t>
            </w:r>
          </w:p>
          <w:p w14:paraId="4E9C3E5A" w14:textId="77777777" w:rsidR="00FF7799" w:rsidRPr="00E73F6F" w:rsidRDefault="00FF7799" w:rsidP="00857059">
            <w:pPr>
              <w:pStyle w:val="StandardText"/>
              <w:jc w:val="center"/>
            </w:pPr>
            <w:r w:rsidRPr="00E73F6F">
              <w:t>31</w:t>
            </w:r>
          </w:p>
          <w:p w14:paraId="5B10CF58" w14:textId="77777777" w:rsidR="00FF7799" w:rsidRPr="00E73F6F" w:rsidRDefault="00FF7799" w:rsidP="00857059">
            <w:pPr>
              <w:pStyle w:val="StandardText"/>
              <w:jc w:val="center"/>
            </w:pPr>
            <w:r w:rsidRPr="00E73F6F">
              <w:t>46</w:t>
            </w:r>
          </w:p>
          <w:p w14:paraId="2EEF5C34" w14:textId="77777777" w:rsidR="00FF7799" w:rsidRPr="00E73F6F" w:rsidRDefault="00FF7799" w:rsidP="00857059">
            <w:pPr>
              <w:pStyle w:val="StandardText"/>
              <w:jc w:val="center"/>
            </w:pPr>
            <w:r w:rsidRPr="00E73F6F">
              <w:t>52</w:t>
            </w:r>
          </w:p>
          <w:p w14:paraId="2FB10CAF" w14:textId="77777777" w:rsidR="00FF7799" w:rsidRPr="00E73F6F" w:rsidRDefault="00FF7799" w:rsidP="00857059">
            <w:pPr>
              <w:pStyle w:val="StandardText"/>
              <w:jc w:val="center"/>
            </w:pPr>
            <w:r w:rsidRPr="00E73F6F">
              <w:t>70</w:t>
            </w:r>
          </w:p>
          <w:p w14:paraId="36406E97" w14:textId="77777777" w:rsidR="00FF7799" w:rsidRPr="00E73F6F" w:rsidRDefault="00FF7799" w:rsidP="00857059">
            <w:pPr>
              <w:pStyle w:val="StandardText"/>
              <w:jc w:val="center"/>
            </w:pPr>
            <w:r w:rsidRPr="00E73F6F">
              <w:t>85</w:t>
            </w:r>
          </w:p>
        </w:tc>
        <w:tc>
          <w:tcPr>
            <w:tcW w:w="3260" w:type="dxa"/>
          </w:tcPr>
          <w:p w14:paraId="60DF689A" w14:textId="77777777" w:rsidR="00FF7799" w:rsidRPr="00E73F6F" w:rsidRDefault="00FF7799" w:rsidP="00857059">
            <w:pPr>
              <w:pStyle w:val="StandardText"/>
              <w:jc w:val="center"/>
            </w:pPr>
            <w:r w:rsidRPr="00E73F6F">
              <w:t>24</w:t>
            </w:r>
          </w:p>
          <w:p w14:paraId="75BCBC4D" w14:textId="77777777" w:rsidR="00FF7799" w:rsidRPr="00E73F6F" w:rsidRDefault="00FF7799" w:rsidP="00857059">
            <w:pPr>
              <w:pStyle w:val="StandardText"/>
              <w:jc w:val="center"/>
            </w:pPr>
            <w:r w:rsidRPr="00E73F6F">
              <w:t>44</w:t>
            </w:r>
          </w:p>
          <w:p w14:paraId="6490C670" w14:textId="77777777" w:rsidR="00FF7799" w:rsidRPr="00E73F6F" w:rsidRDefault="00FF7799" w:rsidP="00857059">
            <w:pPr>
              <w:pStyle w:val="StandardText"/>
              <w:jc w:val="center"/>
            </w:pPr>
            <w:r w:rsidRPr="00E73F6F">
              <w:t>35</w:t>
            </w:r>
          </w:p>
          <w:p w14:paraId="2119A941" w14:textId="77777777" w:rsidR="00FF7799" w:rsidRPr="00E73F6F" w:rsidRDefault="00FF7799" w:rsidP="00857059">
            <w:pPr>
              <w:pStyle w:val="StandardText"/>
              <w:jc w:val="center"/>
            </w:pPr>
            <w:r w:rsidRPr="00E73F6F">
              <w:t>39</w:t>
            </w:r>
          </w:p>
          <w:p w14:paraId="707EF209" w14:textId="77777777" w:rsidR="00FF7799" w:rsidRPr="00E73F6F" w:rsidRDefault="00FF7799" w:rsidP="00857059">
            <w:pPr>
              <w:pStyle w:val="StandardText"/>
              <w:jc w:val="center"/>
            </w:pPr>
            <w:r w:rsidRPr="00E73F6F">
              <w:t>75</w:t>
            </w:r>
          </w:p>
          <w:p w14:paraId="511831CA" w14:textId="77777777" w:rsidR="00FF7799" w:rsidRPr="00E73F6F" w:rsidRDefault="00FF7799" w:rsidP="00857059">
            <w:pPr>
              <w:pStyle w:val="StandardText"/>
              <w:jc w:val="center"/>
            </w:pPr>
            <w:r w:rsidRPr="00E73F6F">
              <w:t>47</w:t>
            </w:r>
          </w:p>
          <w:p w14:paraId="283AE93A" w14:textId="77777777" w:rsidR="00FF7799" w:rsidRPr="00E73F6F" w:rsidRDefault="00FF7799" w:rsidP="00857059">
            <w:pPr>
              <w:pStyle w:val="StandardText"/>
              <w:jc w:val="center"/>
            </w:pPr>
            <w:r w:rsidRPr="00E73F6F">
              <w:t>47</w:t>
            </w:r>
          </w:p>
        </w:tc>
      </w:tr>
    </w:tbl>
    <w:p w14:paraId="0D048F01" w14:textId="77777777" w:rsidR="00FF7799" w:rsidRPr="00E73F6F" w:rsidRDefault="00FF7799" w:rsidP="00862DBA">
      <w:pPr>
        <w:widowControl/>
        <w:autoSpaceDE/>
        <w:autoSpaceDN/>
        <w:jc w:val="both"/>
        <w:rPr>
          <w:sz w:val="24"/>
          <w:szCs w:val="24"/>
        </w:rPr>
      </w:pPr>
    </w:p>
    <w:p w14:paraId="02EED8AF" w14:textId="77777777" w:rsidR="00FF7799" w:rsidRPr="00E73F6F" w:rsidRDefault="00FF7799" w:rsidP="00535E2F">
      <w:pPr>
        <w:pStyle w:val="StandardText"/>
        <w:rPr>
          <w:noProof/>
        </w:rPr>
      </w:pPr>
      <w:r w:rsidRPr="00E73F6F">
        <w:rPr>
          <w:noProof/>
          <w:szCs w:val="24"/>
        </w:rPr>
        <mc:AlternateContent>
          <mc:Choice Requires="wps">
            <w:drawing>
              <wp:inline distT="0" distB="0" distL="0" distR="0" wp14:anchorId="24D4A541" wp14:editId="0CD47007">
                <wp:extent cx="5743575" cy="1404620"/>
                <wp:effectExtent l="0" t="0" r="28575" b="13970"/>
                <wp:docPr id="33008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1404620"/>
                        </a:xfrm>
                        <a:prstGeom prst="rect">
                          <a:avLst/>
                        </a:prstGeom>
                        <a:solidFill>
                          <a:srgbClr val="FFFFFF"/>
                        </a:solidFill>
                        <a:ln w="9525">
                          <a:solidFill>
                            <a:srgbClr val="000000"/>
                          </a:solidFill>
                          <a:miter lim="800000"/>
                          <a:headEnd/>
                          <a:tailEnd/>
                        </a:ln>
                      </wps:spPr>
                      <wps:txbx>
                        <w:txbxContent>
                          <w:p w14:paraId="4FA08B88" w14:textId="77777777" w:rsidR="00E17A2B" w:rsidRPr="009D2A8B" w:rsidRDefault="00E17A2B" w:rsidP="002F3A66">
                            <w:pPr>
                              <w:pStyle w:val="Standardklein"/>
                              <w:shd w:val="clear" w:color="auto" w:fill="DEEAF6" w:themeFill="accent1" w:themeFillTint="33"/>
                              <w:rPr>
                                <w:b/>
                              </w:rPr>
                            </w:pPr>
                            <w:r w:rsidRPr="009D2A8B">
                              <w:rPr>
                                <w:b/>
                              </w:rPr>
                              <w:t>Fazit</w:t>
                            </w:r>
                          </w:p>
                          <w:p w14:paraId="5D15C615" w14:textId="77777777" w:rsidR="00E17A2B" w:rsidRDefault="00E17A2B" w:rsidP="002F3A66">
                            <w:pPr>
                              <w:pStyle w:val="Standardklein"/>
                              <w:shd w:val="clear" w:color="auto" w:fill="DEEAF6" w:themeFill="accent1" w:themeFillTint="33"/>
                            </w:pPr>
                          </w:p>
                          <w:p w14:paraId="275D0020" w14:textId="77777777" w:rsidR="00E17A2B" w:rsidRPr="002F3A66" w:rsidRDefault="00E17A2B" w:rsidP="002F3A66">
                            <w:pPr>
                              <w:pStyle w:val="Standardklein"/>
                              <w:shd w:val="clear" w:color="auto" w:fill="DEEAF6" w:themeFill="accent1" w:themeFillTint="33"/>
                            </w:pPr>
                            <w:r w:rsidRPr="002F3A66">
                              <w:t>Die beiden Studien unterscheiden sich konzeptionell und empirisch voneinander. So messen die Hofstede-Werte, was die Auskunftspersonen sich selbst wünschen, die GLOBE-Werte hingegen, was sie glauben, was ihre Gesellschaft für wünschenswert hält. Dies spricht dafür, dass die Hofstede-Skalen sich eher dazu eigenen, individuelle Einstellungen zu messen, während die GLOBE-Skalen den Vorzug erhalten sollten, wenn es gilt, gesellschaftliche Phänomene zu untersuchen, die mit sozialer Interaktion einhergehen – etwa Beziehungen zwischen Gruppen oder Ländern (vgl. Smith 2006, S.917).</w:t>
                            </w:r>
                          </w:p>
                        </w:txbxContent>
                      </wps:txbx>
                      <wps:bodyPr rot="0" vert="horz" wrap="square" lIns="91440" tIns="45720" rIns="91440" bIns="45720" anchor="t" anchorCtr="0">
                        <a:spAutoFit/>
                      </wps:bodyPr>
                    </wps:wsp>
                  </a:graphicData>
                </a:graphic>
              </wp:inline>
            </w:drawing>
          </mc:Choice>
          <mc:Fallback>
            <w:pict>
              <v:shape w14:anchorId="24D4A541" id="Textfeld 2" o:spid="_x0000_s1030" type="#_x0000_t202" style="width:452.2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">
                <v:textbox style="mso-fit-shape-to-text:t">
                  <w:txbxContent>
                    <w:p w14:paraId="4FA08B88" w14:textId="77777777" w:rsidR="00E17A2B" w:rsidRPr="009D2A8B" w:rsidRDefault="00E17A2B" w:rsidP="002F3A66">
                      <w:pPr>
                        <w:pStyle w:val="Standardklein"/>
                        <w:shd w:val="clear" w:color="auto" w:fill="DEEAF6" w:themeFill="accent1" w:themeFillTint="33"/>
                        <w:rPr>
                          <w:b/>
                        </w:rPr>
                      </w:pPr>
                      <w:r w:rsidRPr="009D2A8B">
                        <w:rPr>
                          <w:b/>
                        </w:rPr>
                        <w:t>Fazit</w:t>
                      </w:r>
                    </w:p>
                    <w:p w14:paraId="5D15C615" w14:textId="77777777" w:rsidR="00E17A2B" w:rsidRDefault="00E17A2B" w:rsidP="002F3A66">
                      <w:pPr>
                        <w:pStyle w:val="Standardklein"/>
                        <w:shd w:val="clear" w:color="auto" w:fill="DEEAF6" w:themeFill="accent1" w:themeFillTint="33"/>
                      </w:pPr>
                    </w:p>
                    <w:p w14:paraId="275D0020" w14:textId="77777777" w:rsidR="00E17A2B" w:rsidRPr="002F3A66" w:rsidRDefault="00E17A2B" w:rsidP="002F3A66">
                      <w:pPr>
                        <w:pStyle w:val="Standardklein"/>
                        <w:shd w:val="clear" w:color="auto" w:fill="DEEAF6" w:themeFill="accent1" w:themeFillTint="33"/>
                      </w:pPr>
                      <w:r w:rsidRPr="002F3A66">
                        <w:t>Die beiden Studien unterscheiden sich konzeptionell und empirisch voneinander. So messen die Hofstede-Werte, was die Auskunftspersonen sich selbst wünschen, die GLOBE-Werte hingegen, was sie glauben, was ihre Gesellschaft für wünschenswert hält. Dies spricht dafür, dass die Hofstede-Skalen sich eher dazu eigenen, individuelle Einstellungen zu messen, während die GLOBE-Skalen den Vorzug erhalten sollten, wenn es gilt, gesellschaftliche Phänomene zu untersuchen, die mit sozialer Interaktion einhergehen – etwa Beziehungen zwischen Gruppen oder Ländern (vgl. Smith 2006, S.917).</w:t>
                      </w:r>
                    </w:p>
                  </w:txbxContent>
                </v:textbox>
                <w10:anchorlock/>
              </v:shape>
            </w:pict>
          </mc:Fallback>
        </mc:AlternateContent>
      </w:r>
    </w:p>
    <w:p w14:paraId="1FFB5159" w14:textId="77777777" w:rsidR="00FF7799" w:rsidRPr="00E73F6F" w:rsidRDefault="00FF7799" w:rsidP="00535E2F">
      <w:pPr>
        <w:pStyle w:val="StandardText"/>
        <w:rPr>
          <w:noProof/>
        </w:rPr>
      </w:pPr>
    </w:p>
    <w:p w14:paraId="076C776A" w14:textId="77777777" w:rsidR="00FF7799" w:rsidRPr="00C66133" w:rsidRDefault="00FF7799" w:rsidP="00535E2F">
      <w:pPr>
        <w:pStyle w:val="StandardText"/>
        <w:rPr>
          <w:noProof/>
          <w:sz w:val="22"/>
          <w:szCs w:val="22"/>
          <w:lang w:val="en-US"/>
        </w:rPr>
      </w:pPr>
      <w:r w:rsidRPr="00C66501">
        <w:rPr>
          <w:b/>
          <w:i/>
          <w:noProof/>
          <w:sz w:val="22"/>
          <w:szCs w:val="22"/>
          <w:lang w:val="en-US"/>
        </w:rPr>
        <w:t>Literatur</w:t>
      </w:r>
      <w:r w:rsidRPr="00C66501">
        <w:rPr>
          <w:i/>
          <w:noProof/>
          <w:sz w:val="22"/>
          <w:szCs w:val="22"/>
          <w:lang w:val="en-US"/>
        </w:rPr>
        <w:t xml:space="preserve">: </w:t>
      </w:r>
      <w:r w:rsidRPr="00C66133">
        <w:rPr>
          <w:noProof/>
          <w:sz w:val="22"/>
          <w:szCs w:val="22"/>
          <w:lang w:val="en-US"/>
        </w:rPr>
        <w:t xml:space="preserve">Baumgartner, H.; Steenkamp, J.-B.E.M. (2001): Response Styles in Marketing Research. A Cross-National Investigation, Journal of Marketing Research, 38(2): 143–156. Brewer, P.; Venaik, S. (2010): GLOBE Practices and Values. A Case of Diminishing Marginal Utility? Journal of International Business Studies, 41(8): 1216-1324. Child, J. (1981): Culture, Contingency, and Capitalism in the Cross-National-Study of Organization, in: Cummings, L.L. (Ed.), Research in Organizational Behavior, 303-356, Greenwich/CT: JAI. Earley, C.P. (2006): Leading Culture Research in the Future. A Matter of Paradigms and Taste, Journal of International Business Studies, 37(6): 922-931. Fischer, R. (2006): Congruence and Functions of Personal and Cultural Values. Do My Values Reflect My Culture’s Values? Personality and Social Psychology Bulletin, 32(11): 1419-1431. Hoffmann, S.; Mai, R.; Cristescu, A. (2013): Do Culture-Dependent Response Styles Distort Substantial Relationships? International Business Review, 22(5): 814-827. Hofstede, G. (1980): Culture’s Consequences. International Differences in Work-Related Values, Beverly Hills/CA: Sage. Hofstede, G. (2001): Culture´s Consequences. Comparing Values, Behaviors, Institutions and Organizations across Nations, 2nd Ed., Thousand Oaks/CA: Sage. Hofstede, G. (2006): What Did GLOBE Really Measure? Researchers’ Minds versus Respondents’ Minds, Journal of International Business Studies, 37(6): 882-896. Hofstede, G; Hofstede, G.J.; Minkov, M. (2010): Cultures and Organizations. Software of the Mind, 3rd Ed., New York: McGraw-Hill. House, R.J.; Hanges, P.J.; Javidan, M.; Dorfman, P.W.; Gupta, </w:t>
      </w:r>
      <w:r w:rsidRPr="00C66133">
        <w:rPr>
          <w:noProof/>
          <w:sz w:val="22"/>
          <w:szCs w:val="22"/>
          <w:lang w:val="en-US"/>
        </w:rPr>
        <w:lastRenderedPageBreak/>
        <w:t>V. (2004): Culture, Leadership and Organizations, The GLOBE Study of 62 Societies, Thousand Oaks/CA: Sage. House, R.J.; Javidan, M. (2004): Overview of GLOBE, in: House, R.J.; Hanges, P.J.; Javidan, M.; Dorfman, P.W.; Gupta, V. (Eds.), Culture, Leadership, and Organizations. The Globe Study of 62 Societies, 9</w:t>
      </w:r>
      <w:r w:rsidRPr="00C66133">
        <w:rPr>
          <w:noProof/>
          <w:sz w:val="22"/>
          <w:szCs w:val="22"/>
          <w:lang w:val="en-US"/>
        </w:rPr>
        <w:noBreakHyphen/>
        <w:t xml:space="preserve">28: Thousand Oaks: Sage. Inglehart, R. (1977): The Silent Revolution. Changing Values and Political Styles among Western Publics, Princeton/NJ: Princeton University Press. Javidan, M.; House, R.J.; Dorfman, P.W.; Hanges, P.J.; Sully de Luque, M. (2006a): Conceptualizing and Measuring Cultures and their Consequences. A Comparative Review of GLOBE's and Hofstede's Approaches, Journal of International Business Studies, 37(6): 897-914. Javidan, M.; Dorfman, P.W.; Sully de Luque, M.; House, R.J. (2006b): In the Eye of the Beholder. Cross Cultural Lessons in Leadership from Project GLOBE, Academy of Management Perspectives, 20(1): 67-90. Javidan, M.; House, R.J.; Dorfman, P.W. (2004): A Nontechnical Summary of GLOBE Findings, in: House, R.J.; Hanges, P.J.; Javidan, M.; Dorfman, P.W.; Grupta, V. (Eds.), Culture, Leadership and Organizations. The GLOBE Study of 62 Societies, 29-48, Thousand Oaks/CA: Sage. Leung, K. (2006): Editors’s Introduction to the Exchange between Hofstede and GLOBE, Journal of International Business Studies, 37(6): 881. Leung, K.; Bhagat, R.S.; Buchan, N.R.; Erez, M.; Gibson, C.B. (2005): Culture and International Business. Recent Advances and their Implications for Future Research, Journal of International Business Studies, 36(4): 357-378. Lord, R.A.; Maher, K.J. (1991): Leadership and Information Processing. Linking Perceptions and Performance, Boston: Unwin Hyman. Maseland, R.; van Hoorn, A. (2009): Explaining the Negative Correlation between Values and Practices. A Note on the Hofstede–GLOBE Debate, Journal of International Business Studies, 40(3): 527-532. Maslow, A.H. (1943): A Theory of Human Motivation, Psychological Review, 50(1): 370-396. McClelland, D.C. (1961): The Achieving Society, 2nd Ed., Princeton/NY: Van Nostrand. McClelland, D.C. (1995): Human Motivation, Cambridge/GB: Cambridge University Press. McClelland, D.C.; Koestner, R.; Weinberger, J. (1989): How Do Self-Attributed and Implicit Motives Differ? </w:t>
      </w:r>
      <w:r w:rsidRPr="00C66133">
        <w:rPr>
          <w:noProof/>
          <w:sz w:val="22"/>
          <w:szCs w:val="22"/>
        </w:rPr>
        <w:t xml:space="preserve">Psychological Review, 96(4): 690-702. Müller, S.; Gelbrich, K. (2014): Interkulturelle Kommunikation, München: Vahlen. </w:t>
      </w:r>
      <w:r w:rsidRPr="00C66133">
        <w:rPr>
          <w:noProof/>
          <w:sz w:val="22"/>
          <w:szCs w:val="22"/>
          <w:lang w:val="en-US"/>
        </w:rPr>
        <w:t xml:space="preserve">Okazaki, S.; Mueller, B. (2007): Cross-Cultural Advertising Research. Where We Have Been and Where We Need to Go, International Marketing Review, 24(5): 499-518. Schwartz, S.H. (2004): Mapping and Interpreting Cultural Differences around the World, in: Vinken, H.; Soeters, J.; Ester, P. (Eds.), Comparing Cultures. Dimensions of Culture in a Comparative Perspective, 43-73, Leiden/NL: Brill. Smith, P.B. (2006): When Elephants Fight, the Grass Gets Trampled. The GLOBE and Hofstede Projects, Journal of International Business Studies, 37(6): 915-921. </w:t>
      </w:r>
      <w:r w:rsidRPr="00C66133">
        <w:rPr>
          <w:noProof/>
          <w:sz w:val="22"/>
          <w:szCs w:val="22"/>
        </w:rPr>
        <w:t xml:space="preserve">Trompenaars, F. (1993): Handbuch globales Managen. Wie man kulturelle Unterschiede im Geschäftsleben versteht, Düsseldorf: Econ. </w:t>
      </w:r>
      <w:r w:rsidRPr="00C66133">
        <w:rPr>
          <w:noProof/>
          <w:sz w:val="22"/>
          <w:szCs w:val="22"/>
          <w:lang w:val="en-US"/>
        </w:rPr>
        <w:t xml:space="preserve">Venaik, P.; Brewer, S. (2010): Avoiding Uncertainty in Hofstede and GLOBE, Journal of International Business Studies, 41(8): 1294-1315. </w:t>
      </w:r>
    </w:p>
    <w:p w14:paraId="672DCAD6" w14:textId="77777777" w:rsidR="00B306FB" w:rsidRPr="002F3A66" w:rsidRDefault="00B306FB" w:rsidP="00535E2F">
      <w:pPr>
        <w:pStyle w:val="StandardText"/>
        <w:rPr>
          <w:noProof/>
          <w:sz w:val="22"/>
          <w:szCs w:val="22"/>
          <w:lang w:val="en-US"/>
        </w:rPr>
      </w:pPr>
    </w:p>
    <w:p w14:paraId="62CB6FD2" w14:textId="77777777" w:rsidR="00FF7799" w:rsidRPr="00A31BCB" w:rsidRDefault="00FF7799" w:rsidP="00FB1F0F">
      <w:pPr>
        <w:pStyle w:val="berschrift1"/>
        <w:rPr>
          <w:bCs w:val="0"/>
          <w:color w:val="2E74B5"/>
          <w:sz w:val="22"/>
          <w:lang w:val="en-US"/>
        </w:rPr>
      </w:pPr>
      <w:r w:rsidRPr="00A31BCB">
        <w:rPr>
          <w:bCs w:val="0"/>
          <w:color w:val="2E74B5"/>
          <w:sz w:val="22"/>
          <w:lang w:val="en-US"/>
        </w:rPr>
        <w:t>Global Manager</w:t>
      </w:r>
    </w:p>
    <w:p w14:paraId="318DC3B3" w14:textId="77777777" w:rsidR="00FF7799" w:rsidRPr="00E35FFF" w:rsidRDefault="00FF7799" w:rsidP="003A70A0">
      <w:pPr>
        <w:pStyle w:val="StandardText"/>
        <w:rPr>
          <w:lang w:val="en-US"/>
        </w:rPr>
      </w:pPr>
      <w:r w:rsidRPr="00E73F6F">
        <w:t>idealisierter Typus einer Führungskraft, der u.a. über Eigenschaften und Erfahrungen</w:t>
      </w:r>
      <w:r w:rsidRPr="00E73F6F">
        <w:rPr>
          <w:spacing w:val="26"/>
        </w:rPr>
        <w:t xml:space="preserve"> </w:t>
      </w:r>
      <w:r w:rsidRPr="00E73F6F">
        <w:t>verfügt,</w:t>
      </w:r>
      <w:r w:rsidRPr="00E73F6F">
        <w:rPr>
          <w:spacing w:val="28"/>
        </w:rPr>
        <w:t xml:space="preserve"> </w:t>
      </w:r>
      <w:r w:rsidRPr="00E73F6F">
        <w:t>welche</w:t>
      </w:r>
      <w:r w:rsidRPr="00E73F6F">
        <w:rPr>
          <w:spacing w:val="28"/>
        </w:rPr>
        <w:t xml:space="preserve"> </w:t>
      </w:r>
      <w:r w:rsidRPr="00E73F6F">
        <w:t>es</w:t>
      </w:r>
      <w:r w:rsidRPr="00E73F6F">
        <w:rPr>
          <w:spacing w:val="26"/>
        </w:rPr>
        <w:t xml:space="preserve"> </w:t>
      </w:r>
      <w:r w:rsidRPr="00E73F6F">
        <w:t>ihm</w:t>
      </w:r>
      <w:r w:rsidRPr="00E73F6F">
        <w:rPr>
          <w:spacing w:val="28"/>
        </w:rPr>
        <w:t xml:space="preserve"> </w:t>
      </w:r>
      <w:r w:rsidRPr="00E73F6F">
        <w:t>erlauben,</w:t>
      </w:r>
      <w:r w:rsidRPr="00E73F6F">
        <w:rPr>
          <w:spacing w:val="30"/>
        </w:rPr>
        <w:t xml:space="preserve"> </w:t>
      </w:r>
      <w:r w:rsidRPr="00E73F6F">
        <w:t>weltweit</w:t>
      </w:r>
      <w:r w:rsidRPr="00E73F6F">
        <w:rPr>
          <w:spacing w:val="28"/>
        </w:rPr>
        <w:t xml:space="preserve"> </w:t>
      </w:r>
      <w:r w:rsidRPr="00E73F6F">
        <w:t>in</w:t>
      </w:r>
      <w:r w:rsidRPr="00E73F6F">
        <w:rPr>
          <w:spacing w:val="28"/>
        </w:rPr>
        <w:t xml:space="preserve"> </w:t>
      </w:r>
      <w:r w:rsidRPr="00E73F6F">
        <w:t>sämtlichen</w:t>
      </w:r>
      <w:r w:rsidRPr="00E73F6F">
        <w:rPr>
          <w:spacing w:val="31"/>
        </w:rPr>
        <w:t xml:space="preserve"> </w:t>
      </w:r>
      <w:r w:rsidRPr="00E73F6F">
        <w:rPr>
          <w:spacing w:val="-2"/>
        </w:rPr>
        <w:t xml:space="preserve">Märkten </w:t>
      </w:r>
      <w:r w:rsidRPr="00E73F6F">
        <w:t>bzw.</w:t>
      </w:r>
      <w:r w:rsidRPr="00E73F6F">
        <w:rPr>
          <w:spacing w:val="-5"/>
        </w:rPr>
        <w:t xml:space="preserve"> </w:t>
      </w:r>
      <w:r w:rsidRPr="00E73F6F">
        <w:t>Kulturen</w:t>
      </w:r>
      <w:r w:rsidRPr="00E73F6F">
        <w:rPr>
          <w:spacing w:val="-4"/>
        </w:rPr>
        <w:t xml:space="preserve"> </w:t>
      </w:r>
      <w:r w:rsidRPr="00E73F6F">
        <w:t>erfolgreich</w:t>
      </w:r>
      <w:r w:rsidRPr="00E73F6F">
        <w:rPr>
          <w:spacing w:val="-7"/>
        </w:rPr>
        <w:t xml:space="preserve"> </w:t>
      </w:r>
      <w:r w:rsidRPr="00E73F6F">
        <w:t>tätig</w:t>
      </w:r>
      <w:r w:rsidRPr="00E73F6F">
        <w:rPr>
          <w:spacing w:val="-4"/>
        </w:rPr>
        <w:t xml:space="preserve"> </w:t>
      </w:r>
      <w:r w:rsidRPr="00E73F6F">
        <w:t>zu</w:t>
      </w:r>
      <w:r w:rsidRPr="00E73F6F">
        <w:rPr>
          <w:spacing w:val="-7"/>
        </w:rPr>
        <w:t xml:space="preserve"> </w:t>
      </w:r>
      <w:r w:rsidRPr="00E73F6F">
        <w:t>sein.</w:t>
      </w:r>
      <w:r w:rsidRPr="00E73F6F">
        <w:rPr>
          <w:spacing w:val="-5"/>
        </w:rPr>
        <w:t xml:space="preserve"> </w:t>
      </w:r>
      <w:r w:rsidRPr="00E73F6F">
        <w:t>Wesentlich</w:t>
      </w:r>
      <w:r w:rsidRPr="00E73F6F">
        <w:rPr>
          <w:spacing w:val="-4"/>
        </w:rPr>
        <w:t xml:space="preserve"> </w:t>
      </w:r>
      <w:r w:rsidRPr="00E73F6F">
        <w:t>ist</w:t>
      </w:r>
      <w:r w:rsidRPr="00E73F6F">
        <w:rPr>
          <w:spacing w:val="-7"/>
        </w:rPr>
        <w:t xml:space="preserve"> </w:t>
      </w:r>
      <w:r w:rsidRPr="00E73F6F">
        <w:t>das</w:t>
      </w:r>
      <w:r w:rsidRPr="00E73F6F">
        <w:rPr>
          <w:spacing w:val="-6"/>
        </w:rPr>
        <w:t xml:space="preserve"> </w:t>
      </w:r>
      <w:r w:rsidRPr="00E73F6F">
        <w:t>Wechselspiel</w:t>
      </w:r>
      <w:r w:rsidRPr="00E73F6F">
        <w:rPr>
          <w:spacing w:val="-5"/>
        </w:rPr>
        <w:t xml:space="preserve"> </w:t>
      </w:r>
      <w:r w:rsidRPr="00E73F6F">
        <w:t>von</w:t>
      </w:r>
      <w:r w:rsidRPr="00E73F6F">
        <w:rPr>
          <w:spacing w:val="-4"/>
        </w:rPr>
        <w:t xml:space="preserve"> </w:t>
      </w:r>
      <w:r w:rsidRPr="00E73F6F">
        <w:t>‘hard skills‘ (insb. fachliche sowie</w:t>
      </w:r>
      <w:r w:rsidRPr="00E73F6F">
        <w:rPr>
          <w:spacing w:val="-2"/>
        </w:rPr>
        <w:t xml:space="preserve"> </w:t>
      </w:r>
      <w:r w:rsidRPr="00E73F6F">
        <w:t>organisatorische</w:t>
      </w:r>
      <w:r w:rsidRPr="00E73F6F">
        <w:rPr>
          <w:spacing w:val="-2"/>
        </w:rPr>
        <w:t xml:space="preserve"> </w:t>
      </w:r>
      <w:r w:rsidRPr="00E73F6F">
        <w:t>Fähigkeiten)</w:t>
      </w:r>
      <w:r w:rsidRPr="00E73F6F">
        <w:rPr>
          <w:spacing w:val="-3"/>
        </w:rPr>
        <w:t xml:space="preserve"> </w:t>
      </w:r>
      <w:r w:rsidRPr="00E73F6F">
        <w:t>und ‘soft skills</w:t>
      </w:r>
      <w:r w:rsidR="00060755">
        <w:t xml:space="preserve">’wie </w:t>
      </w:r>
      <w:r w:rsidRPr="00E73F6F">
        <w:t>interkulturelle</w:t>
      </w:r>
      <w:r w:rsidRPr="00E73F6F">
        <w:rPr>
          <w:spacing w:val="-5"/>
        </w:rPr>
        <w:t xml:space="preserve"> </w:t>
      </w:r>
      <w:r w:rsidR="00060755">
        <w:t>Kompetenz (</w:t>
      </w:r>
      <w:r w:rsidR="00060755">
        <w:sym w:font="Symbol" w:char="F0DE"/>
      </w:r>
      <w:r w:rsidR="00060755">
        <w:t xml:space="preserve"> Kompetenz, interkulturelle) (</w:t>
      </w:r>
      <w:r w:rsidRPr="00E73F6F">
        <w:t>vgl.</w:t>
      </w:r>
      <w:r w:rsidRPr="00E73F6F">
        <w:rPr>
          <w:spacing w:val="-4"/>
        </w:rPr>
        <w:t xml:space="preserve"> </w:t>
      </w:r>
      <w:r w:rsidRPr="00E73F6F">
        <w:t>Dickmann/Harris</w:t>
      </w:r>
      <w:r w:rsidRPr="00E73F6F">
        <w:rPr>
          <w:spacing w:val="-5"/>
        </w:rPr>
        <w:t xml:space="preserve"> </w:t>
      </w:r>
      <w:r w:rsidRPr="00E73F6F">
        <w:t xml:space="preserve">2005). </w:t>
      </w:r>
      <w:r w:rsidRPr="00E35FFF">
        <w:rPr>
          <w:lang w:val="en-US"/>
        </w:rPr>
        <w:t>„The</w:t>
      </w:r>
      <w:r w:rsidRPr="00E35FFF">
        <w:rPr>
          <w:spacing w:val="-5"/>
          <w:lang w:val="en-US"/>
        </w:rPr>
        <w:t xml:space="preserve"> </w:t>
      </w:r>
      <w:r w:rsidRPr="00E35FFF">
        <w:rPr>
          <w:lang w:val="en-US"/>
        </w:rPr>
        <w:t>expatriate</w:t>
      </w:r>
      <w:r w:rsidRPr="00E35FFF">
        <w:rPr>
          <w:spacing w:val="-5"/>
          <w:lang w:val="en-US"/>
        </w:rPr>
        <w:t xml:space="preserve"> </w:t>
      </w:r>
      <w:r w:rsidRPr="00E35FFF">
        <w:rPr>
          <w:lang w:val="en-US"/>
        </w:rPr>
        <w:t>manager or the international manager is defined, in a narrow sense, as an executive in a leadership</w:t>
      </w:r>
      <w:r w:rsidRPr="00E35FFF">
        <w:rPr>
          <w:spacing w:val="-4"/>
          <w:lang w:val="en-US"/>
        </w:rPr>
        <w:t xml:space="preserve"> </w:t>
      </w:r>
      <w:r w:rsidRPr="00E35FFF">
        <w:rPr>
          <w:lang w:val="en-US"/>
        </w:rPr>
        <w:t>position</w:t>
      </w:r>
      <w:r w:rsidRPr="00E35FFF">
        <w:rPr>
          <w:spacing w:val="-4"/>
          <w:lang w:val="en-US"/>
        </w:rPr>
        <w:t xml:space="preserve"> </w:t>
      </w:r>
      <w:r w:rsidRPr="00E35FFF">
        <w:rPr>
          <w:lang w:val="en-US"/>
        </w:rPr>
        <w:t>that</w:t>
      </w:r>
      <w:r w:rsidRPr="00E35FFF">
        <w:rPr>
          <w:spacing w:val="-5"/>
          <w:lang w:val="en-US"/>
        </w:rPr>
        <w:t xml:space="preserve"> </w:t>
      </w:r>
      <w:r w:rsidRPr="00E35FFF">
        <w:rPr>
          <w:lang w:val="en-US"/>
        </w:rPr>
        <w:t>involves</w:t>
      </w:r>
      <w:r w:rsidRPr="00E35FFF">
        <w:rPr>
          <w:spacing w:val="-6"/>
          <w:lang w:val="en-US"/>
        </w:rPr>
        <w:t xml:space="preserve"> </w:t>
      </w:r>
      <w:r w:rsidRPr="00E35FFF">
        <w:rPr>
          <w:lang w:val="en-US"/>
        </w:rPr>
        <w:t>international</w:t>
      </w:r>
      <w:r w:rsidRPr="00E35FFF">
        <w:rPr>
          <w:spacing w:val="-5"/>
          <w:lang w:val="en-US"/>
        </w:rPr>
        <w:t xml:space="preserve"> </w:t>
      </w:r>
      <w:r w:rsidRPr="00E35FFF">
        <w:rPr>
          <w:lang w:val="en-US"/>
        </w:rPr>
        <w:t>assignments.</w:t>
      </w:r>
      <w:r w:rsidRPr="00E35FFF">
        <w:rPr>
          <w:spacing w:val="-3"/>
          <w:lang w:val="en-US"/>
        </w:rPr>
        <w:t xml:space="preserve"> </w:t>
      </w:r>
      <w:r w:rsidRPr="00E35FFF">
        <w:rPr>
          <w:lang w:val="en-US"/>
        </w:rPr>
        <w:t>The</w:t>
      </w:r>
      <w:r w:rsidRPr="00E35FFF">
        <w:rPr>
          <w:spacing w:val="-6"/>
          <w:lang w:val="en-US"/>
        </w:rPr>
        <w:t xml:space="preserve"> </w:t>
      </w:r>
      <w:r w:rsidRPr="00E35FFF">
        <w:rPr>
          <w:lang w:val="en-US"/>
        </w:rPr>
        <w:t>global</w:t>
      </w:r>
      <w:r w:rsidRPr="00E35FFF">
        <w:rPr>
          <w:spacing w:val="-5"/>
          <w:lang w:val="en-US"/>
        </w:rPr>
        <w:t xml:space="preserve"> </w:t>
      </w:r>
      <w:r w:rsidRPr="00E35FFF">
        <w:rPr>
          <w:lang w:val="en-US"/>
        </w:rPr>
        <w:t>manager</w:t>
      </w:r>
      <w:r w:rsidRPr="00E35FFF">
        <w:rPr>
          <w:spacing w:val="-5"/>
          <w:lang w:val="en-US"/>
        </w:rPr>
        <w:t xml:space="preserve"> </w:t>
      </w:r>
      <w:r w:rsidRPr="00E35FFF">
        <w:rPr>
          <w:lang w:val="en-US"/>
        </w:rPr>
        <w:t>is defined, in a broad sense, as an executive who has a hands-on understanding of international</w:t>
      </w:r>
      <w:r w:rsidRPr="00E35FFF">
        <w:rPr>
          <w:spacing w:val="-6"/>
          <w:lang w:val="en-US"/>
        </w:rPr>
        <w:t xml:space="preserve"> </w:t>
      </w:r>
      <w:r w:rsidRPr="00E35FFF">
        <w:rPr>
          <w:lang w:val="en-US"/>
        </w:rPr>
        <w:t>business,</w:t>
      </w:r>
      <w:r w:rsidRPr="00E35FFF">
        <w:rPr>
          <w:spacing w:val="-4"/>
          <w:lang w:val="en-US"/>
        </w:rPr>
        <w:t xml:space="preserve"> </w:t>
      </w:r>
      <w:r w:rsidRPr="00E35FFF">
        <w:rPr>
          <w:lang w:val="en-US"/>
        </w:rPr>
        <w:t>has</w:t>
      </w:r>
      <w:r w:rsidRPr="00E35FFF">
        <w:rPr>
          <w:spacing w:val="-4"/>
          <w:lang w:val="en-US"/>
        </w:rPr>
        <w:t xml:space="preserve"> </w:t>
      </w:r>
      <w:r w:rsidRPr="00E35FFF">
        <w:rPr>
          <w:lang w:val="en-US"/>
        </w:rPr>
        <w:t>an</w:t>
      </w:r>
      <w:r w:rsidRPr="00E35FFF">
        <w:rPr>
          <w:spacing w:val="-3"/>
          <w:lang w:val="en-US"/>
        </w:rPr>
        <w:t xml:space="preserve"> </w:t>
      </w:r>
      <w:r w:rsidRPr="00E35FFF">
        <w:rPr>
          <w:lang w:val="en-US"/>
        </w:rPr>
        <w:t>ability</w:t>
      </w:r>
      <w:r w:rsidRPr="00E35FFF">
        <w:rPr>
          <w:spacing w:val="-3"/>
          <w:lang w:val="en-US"/>
        </w:rPr>
        <w:t xml:space="preserve"> </w:t>
      </w:r>
      <w:r w:rsidRPr="00E35FFF">
        <w:rPr>
          <w:lang w:val="en-US"/>
        </w:rPr>
        <w:t>to</w:t>
      </w:r>
      <w:r w:rsidRPr="00E35FFF">
        <w:rPr>
          <w:spacing w:val="-3"/>
          <w:lang w:val="en-US"/>
        </w:rPr>
        <w:t xml:space="preserve"> </w:t>
      </w:r>
      <w:r w:rsidRPr="00E35FFF">
        <w:rPr>
          <w:lang w:val="en-US"/>
        </w:rPr>
        <w:t>work</w:t>
      </w:r>
      <w:r w:rsidRPr="00E35FFF">
        <w:rPr>
          <w:spacing w:val="-3"/>
          <w:lang w:val="en-US"/>
        </w:rPr>
        <w:t xml:space="preserve"> </w:t>
      </w:r>
      <w:r w:rsidRPr="00E35FFF">
        <w:rPr>
          <w:lang w:val="en-US"/>
        </w:rPr>
        <w:t>across</w:t>
      </w:r>
      <w:r w:rsidRPr="00E35FFF">
        <w:rPr>
          <w:spacing w:val="-5"/>
          <w:lang w:val="en-US"/>
        </w:rPr>
        <w:t xml:space="preserve"> </w:t>
      </w:r>
      <w:r w:rsidRPr="00E35FFF">
        <w:rPr>
          <w:lang w:val="en-US"/>
        </w:rPr>
        <w:t>cross-cultural,</w:t>
      </w:r>
      <w:r w:rsidRPr="00E35FFF">
        <w:rPr>
          <w:spacing w:val="-6"/>
          <w:lang w:val="en-US"/>
        </w:rPr>
        <w:t xml:space="preserve"> </w:t>
      </w:r>
      <w:r w:rsidRPr="00E35FFF">
        <w:rPr>
          <w:lang w:val="en-US"/>
        </w:rPr>
        <w:t>organizational, and functional boundaries, and is able to balance the simultaneous demands of short-term profitability and growth” (Pucik/Saba 1998).</w:t>
      </w:r>
    </w:p>
    <w:p w14:paraId="26997FE6" w14:textId="77777777" w:rsidR="00FF7799" w:rsidRPr="00C66133" w:rsidRDefault="00FF7799" w:rsidP="003A70A0">
      <w:pPr>
        <w:pStyle w:val="StandardText"/>
        <w:rPr>
          <w:sz w:val="22"/>
          <w:szCs w:val="22"/>
          <w:lang w:val="en-US"/>
        </w:rPr>
      </w:pPr>
      <w:r w:rsidRPr="00C66501">
        <w:rPr>
          <w:b/>
          <w:i/>
          <w:sz w:val="22"/>
          <w:szCs w:val="22"/>
          <w:lang w:val="en-US"/>
        </w:rPr>
        <w:t>Literatur</w:t>
      </w:r>
      <w:r w:rsidRPr="00C66501">
        <w:rPr>
          <w:i/>
          <w:sz w:val="22"/>
          <w:szCs w:val="22"/>
          <w:lang w:val="en-US"/>
        </w:rPr>
        <w:t>:</w:t>
      </w:r>
      <w:r w:rsidRPr="00C66501">
        <w:rPr>
          <w:spacing w:val="-4"/>
          <w:sz w:val="22"/>
          <w:szCs w:val="22"/>
          <w:lang w:val="en-US"/>
        </w:rPr>
        <w:t xml:space="preserve"> </w:t>
      </w:r>
      <w:r w:rsidRPr="00C66133">
        <w:rPr>
          <w:sz w:val="22"/>
          <w:szCs w:val="22"/>
          <w:lang w:val="en-US"/>
        </w:rPr>
        <w:t>Dickmann,</w:t>
      </w:r>
      <w:r w:rsidRPr="00C66133">
        <w:rPr>
          <w:spacing w:val="-7"/>
          <w:sz w:val="22"/>
          <w:szCs w:val="22"/>
          <w:lang w:val="en-US"/>
        </w:rPr>
        <w:t xml:space="preserve"> </w:t>
      </w:r>
      <w:r w:rsidRPr="00C66133">
        <w:rPr>
          <w:sz w:val="22"/>
          <w:szCs w:val="22"/>
          <w:lang w:val="en-US"/>
        </w:rPr>
        <w:t>M.;</w:t>
      </w:r>
      <w:r w:rsidRPr="00C66133">
        <w:rPr>
          <w:spacing w:val="-6"/>
          <w:sz w:val="22"/>
          <w:szCs w:val="22"/>
          <w:lang w:val="en-US"/>
        </w:rPr>
        <w:t xml:space="preserve"> </w:t>
      </w:r>
      <w:r w:rsidRPr="00C66133">
        <w:rPr>
          <w:sz w:val="22"/>
          <w:szCs w:val="22"/>
          <w:lang w:val="en-US"/>
        </w:rPr>
        <w:t>Harris,</w:t>
      </w:r>
      <w:r w:rsidRPr="00C66133">
        <w:rPr>
          <w:spacing w:val="-5"/>
          <w:sz w:val="22"/>
          <w:szCs w:val="22"/>
          <w:lang w:val="en-US"/>
        </w:rPr>
        <w:t xml:space="preserve"> </w:t>
      </w:r>
      <w:r w:rsidRPr="00C66133">
        <w:rPr>
          <w:sz w:val="22"/>
          <w:szCs w:val="22"/>
          <w:lang w:val="en-US"/>
        </w:rPr>
        <w:t>H.</w:t>
      </w:r>
      <w:r w:rsidRPr="00C66133">
        <w:rPr>
          <w:spacing w:val="-8"/>
          <w:sz w:val="22"/>
          <w:szCs w:val="22"/>
          <w:lang w:val="en-US"/>
        </w:rPr>
        <w:t xml:space="preserve"> </w:t>
      </w:r>
      <w:r w:rsidRPr="00C66133">
        <w:rPr>
          <w:sz w:val="22"/>
          <w:szCs w:val="22"/>
          <w:lang w:val="en-US"/>
        </w:rPr>
        <w:t>(2005):</w:t>
      </w:r>
      <w:r w:rsidRPr="00C66133">
        <w:rPr>
          <w:spacing w:val="-4"/>
          <w:sz w:val="22"/>
          <w:szCs w:val="22"/>
          <w:lang w:val="en-US"/>
        </w:rPr>
        <w:t xml:space="preserve"> </w:t>
      </w:r>
      <w:r w:rsidRPr="00C66133">
        <w:rPr>
          <w:sz w:val="22"/>
          <w:szCs w:val="22"/>
          <w:lang w:val="en-US"/>
        </w:rPr>
        <w:t>Developing</w:t>
      </w:r>
      <w:r w:rsidRPr="00C66133">
        <w:rPr>
          <w:spacing w:val="-6"/>
          <w:sz w:val="22"/>
          <w:szCs w:val="22"/>
          <w:lang w:val="en-US"/>
        </w:rPr>
        <w:t xml:space="preserve"> </w:t>
      </w:r>
      <w:r w:rsidRPr="00C66133">
        <w:rPr>
          <w:sz w:val="22"/>
          <w:szCs w:val="22"/>
          <w:lang w:val="en-US"/>
        </w:rPr>
        <w:t>Career</w:t>
      </w:r>
      <w:r w:rsidRPr="00C66133">
        <w:rPr>
          <w:spacing w:val="-8"/>
          <w:sz w:val="22"/>
          <w:szCs w:val="22"/>
          <w:lang w:val="en-US"/>
        </w:rPr>
        <w:t xml:space="preserve"> </w:t>
      </w:r>
      <w:r w:rsidRPr="00C66133">
        <w:rPr>
          <w:sz w:val="22"/>
          <w:szCs w:val="22"/>
          <w:lang w:val="en-US"/>
        </w:rPr>
        <w:t>Capital</w:t>
      </w:r>
      <w:r w:rsidRPr="00C66133">
        <w:rPr>
          <w:spacing w:val="-4"/>
          <w:sz w:val="22"/>
          <w:szCs w:val="22"/>
          <w:lang w:val="en-US"/>
        </w:rPr>
        <w:t xml:space="preserve"> </w:t>
      </w:r>
      <w:r w:rsidRPr="00C66133">
        <w:rPr>
          <w:sz w:val="22"/>
          <w:szCs w:val="22"/>
          <w:lang w:val="en-US"/>
        </w:rPr>
        <w:t>for</w:t>
      </w:r>
      <w:r w:rsidRPr="00C66133">
        <w:rPr>
          <w:spacing w:val="-8"/>
          <w:sz w:val="22"/>
          <w:szCs w:val="22"/>
          <w:lang w:val="en-US"/>
        </w:rPr>
        <w:t xml:space="preserve"> </w:t>
      </w:r>
      <w:r w:rsidRPr="00C66133">
        <w:rPr>
          <w:sz w:val="22"/>
          <w:szCs w:val="22"/>
          <w:lang w:val="en-US"/>
        </w:rPr>
        <w:t>Global</w:t>
      </w:r>
      <w:r w:rsidRPr="00C66133">
        <w:rPr>
          <w:spacing w:val="-7"/>
          <w:sz w:val="22"/>
          <w:szCs w:val="22"/>
          <w:lang w:val="en-US"/>
        </w:rPr>
        <w:t xml:space="preserve"> </w:t>
      </w:r>
      <w:r w:rsidRPr="00C66133">
        <w:rPr>
          <w:sz w:val="22"/>
          <w:szCs w:val="22"/>
          <w:lang w:val="en-US"/>
        </w:rPr>
        <w:t>Careers.</w:t>
      </w:r>
      <w:r w:rsidRPr="00C66133">
        <w:rPr>
          <w:spacing w:val="40"/>
          <w:sz w:val="22"/>
          <w:szCs w:val="22"/>
          <w:lang w:val="en-US"/>
        </w:rPr>
        <w:t xml:space="preserve"> </w:t>
      </w:r>
      <w:r w:rsidRPr="00C66133">
        <w:rPr>
          <w:sz w:val="22"/>
          <w:szCs w:val="22"/>
          <w:lang w:val="en-US"/>
        </w:rPr>
        <w:t>The Role of International Assignments, Journal of World Business, 40(4): 398-408.</w:t>
      </w:r>
      <w:r w:rsidRPr="00C66133">
        <w:rPr>
          <w:spacing w:val="40"/>
          <w:sz w:val="22"/>
          <w:szCs w:val="22"/>
          <w:lang w:val="en-US"/>
        </w:rPr>
        <w:t xml:space="preserve"> </w:t>
      </w:r>
      <w:r w:rsidRPr="00C66133">
        <w:rPr>
          <w:sz w:val="22"/>
          <w:szCs w:val="22"/>
          <w:lang w:val="en-US"/>
        </w:rPr>
        <w:t xml:space="preserve">Herbrand, F. (2000): Interkulturelle Kompetenz. </w:t>
      </w:r>
      <w:r w:rsidRPr="00C66133">
        <w:rPr>
          <w:sz w:val="22"/>
          <w:szCs w:val="22"/>
        </w:rPr>
        <w:t>Wettbewerbsvorteil in einer</w:t>
      </w:r>
      <w:r w:rsidRPr="00C66133">
        <w:rPr>
          <w:spacing w:val="40"/>
          <w:sz w:val="22"/>
          <w:szCs w:val="22"/>
        </w:rPr>
        <w:t xml:space="preserve"> </w:t>
      </w:r>
      <w:r w:rsidRPr="00C66133">
        <w:rPr>
          <w:sz w:val="22"/>
          <w:szCs w:val="22"/>
        </w:rPr>
        <w:t>globalisierenden Wirtschaft, Bern: Haupt.</w:t>
      </w:r>
      <w:r w:rsidRPr="00C66133">
        <w:rPr>
          <w:spacing w:val="40"/>
          <w:sz w:val="22"/>
          <w:szCs w:val="22"/>
        </w:rPr>
        <w:t xml:space="preserve"> </w:t>
      </w:r>
      <w:r w:rsidRPr="00C66133">
        <w:rPr>
          <w:sz w:val="22"/>
          <w:szCs w:val="22"/>
        </w:rPr>
        <w:t>Pucik, V.; Saba, T. (1998): Selecting and</w:t>
      </w:r>
      <w:r w:rsidRPr="00C66133">
        <w:rPr>
          <w:spacing w:val="40"/>
          <w:sz w:val="22"/>
          <w:szCs w:val="22"/>
        </w:rPr>
        <w:t xml:space="preserve"> </w:t>
      </w:r>
      <w:r w:rsidRPr="00C66133">
        <w:rPr>
          <w:sz w:val="22"/>
          <w:szCs w:val="22"/>
        </w:rPr>
        <w:t xml:space="preserve">Developing the Global Versus the Expatriate Manager. </w:t>
      </w:r>
      <w:r w:rsidRPr="00C66133">
        <w:rPr>
          <w:sz w:val="22"/>
          <w:szCs w:val="22"/>
          <w:lang w:val="en-US"/>
        </w:rPr>
        <w:t>A Review of the State-of-the-Art,</w:t>
      </w:r>
      <w:r w:rsidRPr="00C66133">
        <w:rPr>
          <w:spacing w:val="40"/>
          <w:sz w:val="22"/>
          <w:szCs w:val="22"/>
          <w:lang w:val="en-US"/>
        </w:rPr>
        <w:t xml:space="preserve"> </w:t>
      </w:r>
      <w:r w:rsidRPr="00C66133">
        <w:rPr>
          <w:sz w:val="22"/>
          <w:szCs w:val="22"/>
          <w:lang w:val="en-US"/>
        </w:rPr>
        <w:t>Human Resource Planning, 21(4): 40-53.</w:t>
      </w:r>
    </w:p>
    <w:p w14:paraId="69CC542C" w14:textId="77777777" w:rsidR="00FF7799" w:rsidRPr="00E35FFF" w:rsidRDefault="00FF7799" w:rsidP="003A70A0">
      <w:pPr>
        <w:pStyle w:val="StandardText"/>
        <w:rPr>
          <w:lang w:val="en-US"/>
        </w:rPr>
      </w:pPr>
    </w:p>
    <w:p w14:paraId="5EC60FF9" w14:textId="77777777" w:rsidR="00FF7799" w:rsidRPr="00A31BCB" w:rsidRDefault="00FF7799" w:rsidP="00FB1F0F">
      <w:pPr>
        <w:pStyle w:val="berschrift1"/>
        <w:rPr>
          <w:bCs w:val="0"/>
          <w:color w:val="2E74B5"/>
          <w:sz w:val="22"/>
          <w:lang w:val="en-US"/>
        </w:rPr>
      </w:pPr>
      <w:r w:rsidRPr="00A31BCB">
        <w:rPr>
          <w:bCs w:val="0"/>
          <w:color w:val="2E74B5"/>
          <w:sz w:val="22"/>
          <w:lang w:val="en-US"/>
        </w:rPr>
        <w:lastRenderedPageBreak/>
        <w:t>Global Marketing</w:t>
      </w:r>
    </w:p>
    <w:p w14:paraId="6F5FA430" w14:textId="77777777" w:rsidR="00FF7799" w:rsidRPr="00E73F6F" w:rsidRDefault="00FF7799" w:rsidP="003A70A0">
      <w:pPr>
        <w:pStyle w:val="StandardText"/>
      </w:pPr>
      <w:r w:rsidRPr="00E73F6F">
        <w:t xml:space="preserve">Fortentwicklung des </w:t>
      </w:r>
      <w:r w:rsidR="00C66501">
        <w:sym w:font="Symbol" w:char="F0DE"/>
      </w:r>
      <w:r w:rsidRPr="00E73F6F">
        <w:t xml:space="preserve"> Internationalen Marketing. Um angesichts des weltweit wachsenden Wettbewerbs- und Kostendrucks ihre Kostenstruktur und damit ihre Wettbewerbsfähigkeit zu verbessern, versuchen zahlreiche Unternehmen seit den 1980er-Jahren, möglichst viele Auslandsmärkte weitgehend standardisiert zu bearbeiten (vgl. Keegan/Green 2012). Für die Standardisierungsstrategie spricht die sog. Konvergenzthese. Ihr zufolge gleichen sich im Zuge der Globalisierung die Kauf-, Gebrauchs- und Verbrauchsgewohnheiten der Konsumenten weltweit immer mehr an, weshalb die Unternehmen ihre Leistungsprozesse weitgehend standardisieren und eine Vielzahl von Ländermärkten mit einer einheitlichen Strategie bearbeiten können (vgl. Webber 1969). </w:t>
      </w:r>
    </w:p>
    <w:p w14:paraId="432AB262" w14:textId="77777777" w:rsidR="00FF7799" w:rsidRPr="00E73F6F" w:rsidRDefault="00FF7799" w:rsidP="003A70A0">
      <w:pPr>
        <w:pStyle w:val="StandardText"/>
      </w:pPr>
      <w:r w:rsidRPr="00E73F6F">
        <w:t>Kritiker wenden dagegen ein, dass es sich dabei lediglich um eine oberflächliche Angleichung handele und diese Form der Konvergenz ein Phänomen der „Oberflächenkultur“ sei. Die grundlegenden und für das Marketing häufig maßgeblichen Werte- und Verhaltensunterschiede zwischen den verschiedenen Kulturen aber blieben von diesem Angleichungsprozess letztlich unberührt (vgl. de Mooij 2019).</w:t>
      </w:r>
    </w:p>
    <w:p w14:paraId="580A37A3" w14:textId="77777777" w:rsidR="00FF7799" w:rsidRPr="00C66501" w:rsidRDefault="00FF7799" w:rsidP="003A70A0">
      <w:pPr>
        <w:pStyle w:val="StandardText"/>
      </w:pPr>
      <w:r w:rsidRPr="00C66501">
        <w:t>Dennoch rationalisierten im Laufe der 1990er-Jahre die meisten Hersteller ihre europäischen Produktionsnetzwerke und standardisierten ihr Produktangebot so weit wie möglich. „Eine identische Packung Pampers oder eines der zahlrei</w:t>
      </w:r>
      <w:r w:rsidRPr="00C66501">
        <w:softHyphen/>
        <w:t>chen Produkte von Gillette wird mit einem Packungstext in mehreren Sprachen versehen und oft von einer zentralen europäischen Fabrik in den Markt ver</w:t>
      </w:r>
      <w:r w:rsidRPr="00C66501">
        <w:softHyphen/>
        <w:t>sandt“ (Leach 1999, S.56). Dabei wurden suboptimale Lö</w:t>
      </w:r>
      <w:r w:rsidRPr="00C66501">
        <w:softHyphen/>
        <w:t>sungen in einzelnen Ländermärkten bewusst in Kauf genommen. Procter &amp; Gamble etwa rechtfertigten dies damit, dass „globale Unge</w:t>
      </w:r>
      <w:r w:rsidRPr="00C66501">
        <w:softHyphen/>
        <w:t>nauigkeit wirtschaftlicher sei als lokale Genauigkeit.“</w:t>
      </w:r>
    </w:p>
    <w:p w14:paraId="1B05407C" w14:textId="77777777" w:rsidR="00FF7799" w:rsidRPr="00C66501" w:rsidRDefault="00FF7799" w:rsidP="003A70A0">
      <w:pPr>
        <w:pStyle w:val="StandardText"/>
      </w:pPr>
      <w:r w:rsidRPr="00C66501">
        <w:t>Aufgrund zahlloser Fehlschläge, die gerade auch Global Player mit der Standardisierungsstrategie erlitten, war jedoch bald vom „großen Missverständnis Globales Marketing“ die Rede. In vielen Fällen das Scheitern mit Ignoranz gegenüber den landeskulturellen Besonderheiten der einzelnen Märkte erklärt. Deshalb wuchs in dieser Phase die Akzeptanz kulturvergleichender Forschungsstrategien und Marketingkonzepte: Interkulturelles Marketing und Intrakulturelles Marketing</w:t>
      </w:r>
    </w:p>
    <w:p w14:paraId="3387877A" w14:textId="77777777" w:rsidR="00FF7799" w:rsidRPr="00E73F6F" w:rsidRDefault="00FF7799" w:rsidP="00862DBA">
      <w:pPr>
        <w:widowControl/>
        <w:tabs>
          <w:tab w:val="right" w:pos="8222"/>
        </w:tabs>
        <w:autoSpaceDE/>
        <w:autoSpaceDN/>
        <w:jc w:val="both"/>
        <w:rPr>
          <w:sz w:val="24"/>
          <w:szCs w:val="24"/>
          <w:lang w:eastAsia="de-DE"/>
        </w:rPr>
      </w:pPr>
      <w:r w:rsidRPr="00E73F6F">
        <w:rPr>
          <w:sz w:val="24"/>
          <w:szCs w:val="24"/>
          <w:lang w:eastAsia="de-DE"/>
        </w:rPr>
        <w:t xml:space="preserve"> </w:t>
      </w:r>
    </w:p>
    <w:tbl>
      <w:tblPr>
        <w:tblStyle w:val="Tabellenraster"/>
        <w:tblW w:w="0" w:type="auto"/>
        <w:tblLook w:val="04A0" w:firstRow="1" w:lastRow="0" w:firstColumn="1" w:lastColumn="0" w:noHBand="0" w:noVBand="1"/>
      </w:tblPr>
      <w:tblGrid>
        <w:gridCol w:w="9062"/>
      </w:tblGrid>
      <w:tr w:rsidR="00FF7799" w:rsidRPr="00E73F6F" w14:paraId="5AC13374" w14:textId="77777777" w:rsidTr="00C66501">
        <w:tc>
          <w:tcPr>
            <w:tcW w:w="9062" w:type="dxa"/>
            <w:shd w:val="clear" w:color="auto" w:fill="DEEAF6" w:themeFill="accent1" w:themeFillTint="33"/>
          </w:tcPr>
          <w:p w14:paraId="71651029" w14:textId="77777777" w:rsidR="00FF7799" w:rsidRPr="00E73F6F" w:rsidRDefault="00FF7799" w:rsidP="00BD3D32">
            <w:pPr>
              <w:pStyle w:val="Standardklein"/>
              <w:spacing w:before="120" w:after="120"/>
              <w:rPr>
                <w:b/>
              </w:rPr>
            </w:pPr>
            <w:r w:rsidRPr="00E73F6F">
              <w:rPr>
                <w:b/>
              </w:rPr>
              <w:t>Spüli, Fairy &amp; Dawn</w:t>
            </w:r>
          </w:p>
          <w:p w14:paraId="4D29E19D" w14:textId="77777777" w:rsidR="00FF7799" w:rsidRPr="00E73F6F" w:rsidRDefault="00FF7799" w:rsidP="00BD3D32">
            <w:pPr>
              <w:pStyle w:val="Standardklein"/>
              <w:spacing w:before="120" w:after="120"/>
            </w:pPr>
            <w:r w:rsidRPr="00E73F6F">
              <w:t>„Gestern im Drogeriemarkt: Wussten Sie, dass Hakle Feucht-Toilettenpapier neuerdings Cottonelle heißt? Den Drogeriemarktbesucher erinnert das an den Ruf, der ihm, schon auf dem Weg zu Einkaufen, im Hausflur hinterherhallte: »Und bring Spüli mit!« Dabei gibt es Spüli schon lange nicht mehr, es wurde irgendwann durch Fairy ersetzt, bis Fairy plötzlich Dawn hieß, was sich aber nicht durchsetzen konnte, weshalb Dawn heute wieder Fairy heißt, jedenfalls im Drogeriemarkt. Nicht in meinem Kopf. Denn es ist Wahnsinn, einen so wunderbaren Produktnamen wie Spüli durch irgendetwas zu ersetzen! Erklärt werden kann es durch die Globalisierung: Der Drogeriemarktbesucher soll, wenn es ihn plötzlich (womit man in diesen Zeiten stündlich rechnen muss) in den angloamerikanischen Raum verschlägt, nicht zwischen Regalen umherirren und nach Spüli suchen, sondern blind zu Fairy greifen. Oder eben zu Dawn. Beziehungsweise jetzt wieder zu Fairy. Das erklärt, warum der Raumerfrischer Brise (ein fast so guter Name wie Spüli) seit einer Weile Glade heißt. Glade heißt Lichtung, Brise hieß Brise“ (Hacke 2014, S.34).</w:t>
            </w:r>
          </w:p>
        </w:tc>
      </w:tr>
    </w:tbl>
    <w:p w14:paraId="40DFC6CD" w14:textId="77777777" w:rsidR="00FF7799" w:rsidRPr="00E73F6F" w:rsidRDefault="00FF7799" w:rsidP="00862DBA">
      <w:pPr>
        <w:widowControl/>
        <w:tabs>
          <w:tab w:val="right" w:pos="8222"/>
        </w:tabs>
        <w:autoSpaceDE/>
        <w:autoSpaceDN/>
        <w:jc w:val="both"/>
        <w:rPr>
          <w:sz w:val="24"/>
          <w:szCs w:val="24"/>
          <w:lang w:eastAsia="de-DE"/>
        </w:rPr>
      </w:pPr>
    </w:p>
    <w:p w14:paraId="63DA8242" w14:textId="77777777" w:rsidR="00FF7799" w:rsidRPr="00C66133" w:rsidRDefault="00FF7799" w:rsidP="003A70A0">
      <w:pPr>
        <w:pStyle w:val="StandardText"/>
        <w:rPr>
          <w:sz w:val="22"/>
          <w:szCs w:val="22"/>
        </w:rPr>
      </w:pPr>
      <w:r w:rsidRPr="00C66501">
        <w:rPr>
          <w:b/>
          <w:bCs/>
          <w:i/>
          <w:sz w:val="22"/>
          <w:szCs w:val="22"/>
          <w:lang w:val="en-US"/>
        </w:rPr>
        <w:t>Literatur</w:t>
      </w:r>
      <w:r w:rsidRPr="00C66501">
        <w:rPr>
          <w:i/>
          <w:sz w:val="22"/>
          <w:szCs w:val="22"/>
          <w:lang w:val="en-US"/>
        </w:rPr>
        <w:t>:</w:t>
      </w:r>
      <w:r w:rsidRPr="00C66501">
        <w:rPr>
          <w:sz w:val="22"/>
          <w:szCs w:val="22"/>
          <w:lang w:val="en-US"/>
        </w:rPr>
        <w:t xml:space="preserve"> </w:t>
      </w:r>
      <w:r w:rsidRPr="00C66133">
        <w:rPr>
          <w:sz w:val="22"/>
          <w:szCs w:val="22"/>
          <w:lang w:val="en-US"/>
        </w:rPr>
        <w:t xml:space="preserve">de Mooij, M. (2019): Consumer Behavior and Culture. Consequences for Global Marketing and Advertising, 3rd Ed., Thousand Oaks/CA: Sage. </w:t>
      </w:r>
      <w:r w:rsidRPr="00C66133">
        <w:rPr>
          <w:sz w:val="22"/>
          <w:szCs w:val="22"/>
        </w:rPr>
        <w:t xml:space="preserve">Hacke, A. (2014): Das Beste aus aller Welt, Süddeutsche Zeitung Magazin, 70(28): 34. </w:t>
      </w:r>
      <w:r w:rsidRPr="00C66133">
        <w:rPr>
          <w:sz w:val="22"/>
          <w:szCs w:val="22"/>
          <w:lang w:val="en-US"/>
        </w:rPr>
        <w:t xml:space="preserve">Hollensen, S. (2016): Global Marketing, 7.Aufl., Harlow: Pearson. Keegan, W.J.; Green, M.C. (2012): Global Marketing. Global Edition, 7th Ed., Upper Saddle River/NJ: Prentice Hall. </w:t>
      </w:r>
      <w:r w:rsidRPr="00C66133">
        <w:rPr>
          <w:sz w:val="22"/>
          <w:szCs w:val="22"/>
        </w:rPr>
        <w:t>Leach, B. (1999): Arbitrageure setzen den Hebel an, Lebensmittelzeitung, 51(38): 56-58. Webber, R.A. (1969): Convergence or Divergence? Columbia Journal of World Business, 4(3): 75-83.</w:t>
      </w:r>
    </w:p>
    <w:p w14:paraId="50C40B5F" w14:textId="77777777" w:rsidR="00FF7799" w:rsidRPr="00C66501" w:rsidRDefault="00FF7799" w:rsidP="003A70A0">
      <w:pPr>
        <w:pStyle w:val="StandardText"/>
        <w:rPr>
          <w:sz w:val="22"/>
          <w:szCs w:val="22"/>
        </w:rPr>
      </w:pPr>
    </w:p>
    <w:p w14:paraId="0BF51CD9" w14:textId="77777777" w:rsidR="00FF7799" w:rsidRPr="002B7C99" w:rsidRDefault="00FF7799" w:rsidP="00652046">
      <w:pPr>
        <w:pStyle w:val="berschrift1"/>
        <w:rPr>
          <w:bCs w:val="0"/>
          <w:color w:val="2E74B5"/>
          <w:sz w:val="22"/>
          <w:lang w:val="en-US"/>
        </w:rPr>
      </w:pPr>
      <w:r w:rsidRPr="002B7C99">
        <w:rPr>
          <w:bCs w:val="0"/>
          <w:color w:val="2E74B5"/>
          <w:sz w:val="22"/>
          <w:lang w:val="en-US"/>
        </w:rPr>
        <w:t>Global Village</w:t>
      </w:r>
    </w:p>
    <w:p w14:paraId="5560626F" w14:textId="2ADF96E9" w:rsidR="00FF7799" w:rsidRPr="00E73F6F" w:rsidRDefault="00FF7799" w:rsidP="00652046">
      <w:pPr>
        <w:pStyle w:val="StandardText"/>
      </w:pPr>
      <w:r w:rsidRPr="00E73F6F">
        <w:t>metaphorischer Ausdruck dafür, dass dank der gewaltigen Fortschritte der Verkehrs- sowie insb. der Informations- und Kommunikationstechnologie Entfernungen</w:t>
      </w:r>
      <w:r w:rsidRPr="00E73F6F">
        <w:rPr>
          <w:spacing w:val="-6"/>
        </w:rPr>
        <w:t xml:space="preserve"> </w:t>
      </w:r>
      <w:r w:rsidRPr="00E73F6F">
        <w:t>und</w:t>
      </w:r>
      <w:r w:rsidRPr="00E73F6F">
        <w:rPr>
          <w:spacing w:val="-4"/>
        </w:rPr>
        <w:t xml:space="preserve"> </w:t>
      </w:r>
      <w:r w:rsidRPr="00E73F6F">
        <w:t>nationale</w:t>
      </w:r>
      <w:r w:rsidRPr="00E73F6F">
        <w:rPr>
          <w:spacing w:val="-5"/>
        </w:rPr>
        <w:t xml:space="preserve"> </w:t>
      </w:r>
      <w:r w:rsidRPr="00E73F6F">
        <w:t>Grenzen</w:t>
      </w:r>
      <w:r w:rsidRPr="00E73F6F">
        <w:rPr>
          <w:spacing w:val="-4"/>
        </w:rPr>
        <w:t xml:space="preserve"> </w:t>
      </w:r>
      <w:r w:rsidRPr="00E73F6F">
        <w:t>ihr</w:t>
      </w:r>
      <w:r w:rsidRPr="00E73F6F">
        <w:rPr>
          <w:spacing w:val="-5"/>
        </w:rPr>
        <w:t xml:space="preserve"> </w:t>
      </w:r>
      <w:r w:rsidRPr="00E73F6F">
        <w:t>einstmalige</w:t>
      </w:r>
      <w:r w:rsidRPr="00E73F6F">
        <w:rPr>
          <w:spacing w:val="-6"/>
        </w:rPr>
        <w:t xml:space="preserve"> </w:t>
      </w:r>
      <w:r w:rsidRPr="00E73F6F">
        <w:t>Bedeutung</w:t>
      </w:r>
      <w:r w:rsidRPr="00E73F6F">
        <w:rPr>
          <w:spacing w:val="-4"/>
        </w:rPr>
        <w:t xml:space="preserve"> </w:t>
      </w:r>
      <w:r w:rsidRPr="00E73F6F">
        <w:t>verloren</w:t>
      </w:r>
      <w:r w:rsidRPr="00E73F6F">
        <w:rPr>
          <w:spacing w:val="-6"/>
        </w:rPr>
        <w:t xml:space="preserve"> </w:t>
      </w:r>
      <w:r w:rsidRPr="00E73F6F">
        <w:t>haben. Deshalb habe sich die vielgestaltige, unüberschaubare Welt in einen transparenten Marktplatz (= ökonomische Sichtweise) bzw. das Globale Dorf verwandelt (= philosophische Sichtweise). Tatsächlich aber beschränkt sich dieser Prozess auf wenige Regionen (Triade) und Lebensbereiche. So hatten 2017 79,5% der Europäer, aber nur 21,8% der Afrikaner einen Internetzugang.</w:t>
      </w:r>
    </w:p>
    <w:p w14:paraId="6DAD1F9A" w14:textId="77777777" w:rsidR="00FF7799" w:rsidRPr="00E73F6F" w:rsidRDefault="00FF7799" w:rsidP="00652046">
      <w:pPr>
        <w:pStyle w:val="StandardText"/>
      </w:pPr>
      <w:r w:rsidRPr="00E73F6F">
        <w:t>Lustig/Koester</w:t>
      </w:r>
      <w:r w:rsidRPr="00E73F6F">
        <w:rPr>
          <w:spacing w:val="-5"/>
        </w:rPr>
        <w:t xml:space="preserve"> </w:t>
      </w:r>
      <w:r w:rsidRPr="00E73F6F">
        <w:t>(2006)</w:t>
      </w:r>
      <w:r w:rsidRPr="00E73F6F">
        <w:rPr>
          <w:spacing w:val="-7"/>
        </w:rPr>
        <w:t xml:space="preserve"> </w:t>
      </w:r>
      <w:r w:rsidRPr="00E73F6F">
        <w:t>verliehen</w:t>
      </w:r>
      <w:r w:rsidRPr="00E73F6F">
        <w:rPr>
          <w:spacing w:val="-4"/>
        </w:rPr>
        <w:t xml:space="preserve"> </w:t>
      </w:r>
      <w:r w:rsidRPr="00E73F6F">
        <w:t>dieser</w:t>
      </w:r>
      <w:r w:rsidRPr="00E73F6F">
        <w:rPr>
          <w:spacing w:val="-5"/>
        </w:rPr>
        <w:t xml:space="preserve"> </w:t>
      </w:r>
      <w:r w:rsidRPr="00E73F6F">
        <w:t>Metapher</w:t>
      </w:r>
      <w:r w:rsidRPr="00E73F6F">
        <w:rPr>
          <w:spacing w:val="-1"/>
        </w:rPr>
        <w:t xml:space="preserve"> </w:t>
      </w:r>
      <w:r w:rsidRPr="00E73F6F">
        <w:t>eine</w:t>
      </w:r>
      <w:r w:rsidRPr="00E73F6F">
        <w:rPr>
          <w:spacing w:val="-6"/>
        </w:rPr>
        <w:t xml:space="preserve"> </w:t>
      </w:r>
      <w:r w:rsidRPr="00E73F6F">
        <w:t>grundlegend</w:t>
      </w:r>
      <w:r w:rsidRPr="00E73F6F">
        <w:rPr>
          <w:spacing w:val="-6"/>
        </w:rPr>
        <w:t xml:space="preserve"> </w:t>
      </w:r>
      <w:r w:rsidRPr="00E73F6F">
        <w:t>andere Bedeutung.</w:t>
      </w:r>
      <w:r w:rsidRPr="00E73F6F">
        <w:rPr>
          <w:spacing w:val="-5"/>
        </w:rPr>
        <w:t xml:space="preserve"> </w:t>
      </w:r>
      <w:r w:rsidRPr="00E73F6F">
        <w:t>Ihrer</w:t>
      </w:r>
      <w:r w:rsidRPr="00E73F6F">
        <w:rPr>
          <w:spacing w:val="-4"/>
        </w:rPr>
        <w:t xml:space="preserve"> </w:t>
      </w:r>
      <w:r w:rsidRPr="00E73F6F">
        <w:t>kommunikationswissenschaftlich</w:t>
      </w:r>
      <w:r w:rsidRPr="00E73F6F">
        <w:rPr>
          <w:spacing w:val="-1"/>
        </w:rPr>
        <w:t xml:space="preserve"> </w:t>
      </w:r>
      <w:r w:rsidRPr="00E73F6F">
        <w:t>geprägten</w:t>
      </w:r>
      <w:r w:rsidRPr="00E73F6F">
        <w:rPr>
          <w:spacing w:val="-1"/>
        </w:rPr>
        <w:t xml:space="preserve"> </w:t>
      </w:r>
      <w:r w:rsidRPr="00E73F6F">
        <w:rPr>
          <w:spacing w:val="-2"/>
        </w:rPr>
        <w:t xml:space="preserve">Vorstellung </w:t>
      </w:r>
      <w:r w:rsidRPr="00E73F6F">
        <w:t>zufolge lebt im Globalen Dorf ein repräsentativer Querschnitt der Weltbevölkerung. Demnach würde ein 1.000-Seelen-Dorf 590 Asiaten, 123 Afrikaner,</w:t>
      </w:r>
      <w:r w:rsidRPr="00E73F6F">
        <w:rPr>
          <w:spacing w:val="-5"/>
        </w:rPr>
        <w:t xml:space="preserve"> </w:t>
      </w:r>
      <w:r w:rsidRPr="00E73F6F">
        <w:t>95</w:t>
      </w:r>
      <w:r w:rsidRPr="00E73F6F">
        <w:rPr>
          <w:spacing w:val="-4"/>
        </w:rPr>
        <w:t xml:space="preserve"> </w:t>
      </w:r>
      <w:r w:rsidRPr="00E73F6F">
        <w:t>Europäer,</w:t>
      </w:r>
      <w:r w:rsidRPr="00E73F6F">
        <w:rPr>
          <w:spacing w:val="-5"/>
        </w:rPr>
        <w:t xml:space="preserve"> </w:t>
      </w:r>
      <w:r w:rsidRPr="00E73F6F">
        <w:t>84</w:t>
      </w:r>
      <w:r w:rsidRPr="00E73F6F">
        <w:rPr>
          <w:spacing w:val="-4"/>
        </w:rPr>
        <w:t xml:space="preserve"> </w:t>
      </w:r>
      <w:r w:rsidRPr="00E73F6F">
        <w:t>Lateinamerikaner,</w:t>
      </w:r>
      <w:r w:rsidRPr="00E73F6F">
        <w:rPr>
          <w:spacing w:val="-5"/>
        </w:rPr>
        <w:t xml:space="preserve"> </w:t>
      </w:r>
      <w:r w:rsidRPr="00E73F6F">
        <w:t>55</w:t>
      </w:r>
      <w:r w:rsidRPr="00E73F6F">
        <w:rPr>
          <w:spacing w:val="-4"/>
        </w:rPr>
        <w:t xml:space="preserve"> </w:t>
      </w:r>
      <w:r w:rsidRPr="00E73F6F">
        <w:t>Bewohner</w:t>
      </w:r>
      <w:r w:rsidRPr="00E73F6F">
        <w:rPr>
          <w:spacing w:val="-7"/>
        </w:rPr>
        <w:t xml:space="preserve"> </w:t>
      </w:r>
      <w:r w:rsidRPr="00E73F6F">
        <w:t>der Nachfolgestaaten der Sowjetunion und 53 Amerikaner beheimaten. 155 von diesen sprächen Mandarin, 80 Englisch, 63 Hindi, 61 Spanisch, 53 Russisch, 35 Arabisch, 33 Bengali, 31 Portugiesisch, 26 Malaiisch-Indonesisch, 22 Japanisch, 22 Französisch, 21 Deutsch und 398 andere Sprachen.</w:t>
      </w:r>
      <w:r w:rsidRPr="00E73F6F">
        <w:rPr>
          <w:spacing w:val="40"/>
        </w:rPr>
        <w:t xml:space="preserve"> </w:t>
      </w:r>
      <w:r w:rsidRPr="00E73F6F">
        <w:t>Hinsichtlich der Religionszugehörigkeit ergäbe sich folgende Verteilung: 329 Christen (davon 187</w:t>
      </w:r>
      <w:r w:rsidRPr="00E73F6F">
        <w:rPr>
          <w:spacing w:val="-4"/>
        </w:rPr>
        <w:t xml:space="preserve"> </w:t>
      </w:r>
      <w:r w:rsidRPr="00E73F6F">
        <w:t>Katholiken,</w:t>
      </w:r>
      <w:r w:rsidRPr="00E73F6F">
        <w:rPr>
          <w:spacing w:val="-3"/>
        </w:rPr>
        <w:t xml:space="preserve"> </w:t>
      </w:r>
      <w:r w:rsidRPr="00E73F6F">
        <w:t>67</w:t>
      </w:r>
      <w:r w:rsidRPr="00E73F6F">
        <w:rPr>
          <w:spacing w:val="-2"/>
        </w:rPr>
        <w:t xml:space="preserve"> </w:t>
      </w:r>
      <w:r w:rsidRPr="00E73F6F">
        <w:t>Protestanten</w:t>
      </w:r>
      <w:r w:rsidRPr="00E73F6F">
        <w:rPr>
          <w:spacing w:val="-5"/>
        </w:rPr>
        <w:t xml:space="preserve"> </w:t>
      </w:r>
      <w:r w:rsidRPr="00E73F6F">
        <w:t>und</w:t>
      </w:r>
      <w:r w:rsidRPr="00E73F6F">
        <w:rPr>
          <w:spacing w:val="-4"/>
        </w:rPr>
        <w:t xml:space="preserve"> </w:t>
      </w:r>
      <w:r w:rsidRPr="00E73F6F">
        <w:t>75</w:t>
      </w:r>
      <w:r w:rsidRPr="00E73F6F">
        <w:rPr>
          <w:spacing w:val="-2"/>
        </w:rPr>
        <w:t xml:space="preserve"> </w:t>
      </w:r>
      <w:r w:rsidRPr="00E73F6F">
        <w:t>Andere),</w:t>
      </w:r>
      <w:r w:rsidRPr="00E73F6F">
        <w:rPr>
          <w:spacing w:val="-5"/>
        </w:rPr>
        <w:t xml:space="preserve"> </w:t>
      </w:r>
      <w:r w:rsidRPr="00E73F6F">
        <w:t>178</w:t>
      </w:r>
      <w:r w:rsidRPr="00E73F6F">
        <w:rPr>
          <w:spacing w:val="-2"/>
        </w:rPr>
        <w:t xml:space="preserve"> </w:t>
      </w:r>
      <w:r w:rsidRPr="00E73F6F">
        <w:t>Muslime,</w:t>
      </w:r>
      <w:r w:rsidRPr="00E73F6F">
        <w:rPr>
          <w:spacing w:val="-3"/>
        </w:rPr>
        <w:t xml:space="preserve"> </w:t>
      </w:r>
      <w:r w:rsidRPr="00E73F6F">
        <w:t>60</w:t>
      </w:r>
      <w:r w:rsidRPr="00E73F6F">
        <w:rPr>
          <w:spacing w:val="-4"/>
        </w:rPr>
        <w:t xml:space="preserve"> </w:t>
      </w:r>
      <w:r w:rsidRPr="00E73F6F">
        <w:t>Buddhisten sowie 301 Nichtreligiöse, Atheisten und Andere.</w:t>
      </w:r>
    </w:p>
    <w:p w14:paraId="25A24AA3" w14:textId="77777777" w:rsidR="00FF7799" w:rsidRPr="00C66501" w:rsidRDefault="00FF7799" w:rsidP="00652046">
      <w:pPr>
        <w:pStyle w:val="StandardText"/>
        <w:rPr>
          <w:sz w:val="22"/>
          <w:szCs w:val="22"/>
          <w:lang w:val="en-US"/>
        </w:rPr>
      </w:pPr>
      <w:r w:rsidRPr="00C66501">
        <w:rPr>
          <w:b/>
          <w:i/>
          <w:sz w:val="22"/>
          <w:szCs w:val="22"/>
          <w:lang w:val="en-US"/>
        </w:rPr>
        <w:t>Literatur:</w:t>
      </w:r>
      <w:r w:rsidRPr="00C66501">
        <w:rPr>
          <w:b/>
          <w:spacing w:val="39"/>
          <w:sz w:val="22"/>
          <w:szCs w:val="22"/>
          <w:lang w:val="en-US"/>
        </w:rPr>
        <w:t xml:space="preserve"> </w:t>
      </w:r>
      <w:r w:rsidRPr="00C66133">
        <w:rPr>
          <w:sz w:val="22"/>
          <w:szCs w:val="22"/>
          <w:lang w:val="en-US"/>
        </w:rPr>
        <w:t>Lustig, M.W.; Koester, J. (2006): Intercultural Competence. Interpersonal</w:t>
      </w:r>
      <w:r w:rsidRPr="00C66133">
        <w:rPr>
          <w:spacing w:val="40"/>
          <w:sz w:val="22"/>
          <w:szCs w:val="22"/>
          <w:lang w:val="en-US"/>
        </w:rPr>
        <w:t xml:space="preserve"> </w:t>
      </w:r>
      <w:r w:rsidRPr="00C66133">
        <w:rPr>
          <w:sz w:val="22"/>
          <w:szCs w:val="22"/>
          <w:lang w:val="en-US"/>
        </w:rPr>
        <w:t>Communication across Cultures, Boston/MA: Pearson:</w:t>
      </w:r>
      <w:r w:rsidRPr="00C66133">
        <w:rPr>
          <w:spacing w:val="40"/>
          <w:sz w:val="22"/>
          <w:szCs w:val="22"/>
          <w:lang w:val="en-US"/>
        </w:rPr>
        <w:t xml:space="preserve"> </w:t>
      </w:r>
      <w:r w:rsidRPr="00C66133">
        <w:rPr>
          <w:sz w:val="22"/>
          <w:szCs w:val="22"/>
          <w:lang w:val="en-US"/>
        </w:rPr>
        <w:t>McLuhan, M.; Powers, B.R.</w:t>
      </w:r>
      <w:r w:rsidRPr="00C66133">
        <w:rPr>
          <w:spacing w:val="40"/>
          <w:sz w:val="22"/>
          <w:szCs w:val="22"/>
          <w:lang w:val="en-US"/>
        </w:rPr>
        <w:t xml:space="preserve"> </w:t>
      </w:r>
      <w:r w:rsidRPr="00C66133">
        <w:rPr>
          <w:sz w:val="22"/>
          <w:szCs w:val="22"/>
          <w:lang w:val="en-US"/>
        </w:rPr>
        <w:t>(1989):</w:t>
      </w:r>
      <w:r w:rsidRPr="00C66133">
        <w:rPr>
          <w:spacing w:val="-1"/>
          <w:sz w:val="22"/>
          <w:szCs w:val="22"/>
          <w:lang w:val="en-US"/>
        </w:rPr>
        <w:t xml:space="preserve"> </w:t>
      </w:r>
      <w:r w:rsidRPr="00C66133">
        <w:rPr>
          <w:sz w:val="22"/>
          <w:szCs w:val="22"/>
          <w:lang w:val="en-US"/>
        </w:rPr>
        <w:t>The</w:t>
      </w:r>
      <w:r w:rsidRPr="00C66133">
        <w:rPr>
          <w:spacing w:val="-4"/>
          <w:sz w:val="22"/>
          <w:szCs w:val="22"/>
          <w:lang w:val="en-US"/>
        </w:rPr>
        <w:t xml:space="preserve"> </w:t>
      </w:r>
      <w:r w:rsidRPr="00C66133">
        <w:rPr>
          <w:sz w:val="22"/>
          <w:szCs w:val="22"/>
          <w:lang w:val="en-US"/>
        </w:rPr>
        <w:t>Global</w:t>
      </w:r>
      <w:r w:rsidRPr="00C66133">
        <w:rPr>
          <w:spacing w:val="-3"/>
          <w:sz w:val="22"/>
          <w:szCs w:val="22"/>
          <w:lang w:val="en-US"/>
        </w:rPr>
        <w:t xml:space="preserve"> </w:t>
      </w:r>
      <w:r w:rsidRPr="00C66133">
        <w:rPr>
          <w:sz w:val="22"/>
          <w:szCs w:val="22"/>
          <w:lang w:val="en-US"/>
        </w:rPr>
        <w:t>Village. Transformations</w:t>
      </w:r>
      <w:r w:rsidRPr="00C66133">
        <w:rPr>
          <w:spacing w:val="-4"/>
          <w:sz w:val="22"/>
          <w:szCs w:val="22"/>
          <w:lang w:val="en-US"/>
        </w:rPr>
        <w:t xml:space="preserve"> </w:t>
      </w:r>
      <w:r w:rsidRPr="00C66133">
        <w:rPr>
          <w:sz w:val="22"/>
          <w:szCs w:val="22"/>
          <w:lang w:val="en-US"/>
        </w:rPr>
        <w:t>in</w:t>
      </w:r>
      <w:r w:rsidRPr="00C66133">
        <w:rPr>
          <w:spacing w:val="-3"/>
          <w:sz w:val="22"/>
          <w:szCs w:val="22"/>
          <w:lang w:val="en-US"/>
        </w:rPr>
        <w:t xml:space="preserve"> </w:t>
      </w:r>
      <w:r w:rsidRPr="00C66133">
        <w:rPr>
          <w:sz w:val="22"/>
          <w:szCs w:val="22"/>
          <w:lang w:val="en-US"/>
        </w:rPr>
        <w:t>World</w:t>
      </w:r>
      <w:r w:rsidRPr="00C66133">
        <w:rPr>
          <w:spacing w:val="-3"/>
          <w:sz w:val="22"/>
          <w:szCs w:val="22"/>
          <w:lang w:val="en-US"/>
        </w:rPr>
        <w:t xml:space="preserve"> </w:t>
      </w:r>
      <w:r w:rsidRPr="00C66133">
        <w:rPr>
          <w:sz w:val="22"/>
          <w:szCs w:val="22"/>
          <w:lang w:val="en-US"/>
        </w:rPr>
        <w:t>Life</w:t>
      </w:r>
      <w:r w:rsidRPr="00C66133">
        <w:rPr>
          <w:spacing w:val="-1"/>
          <w:sz w:val="22"/>
          <w:szCs w:val="22"/>
          <w:lang w:val="en-US"/>
        </w:rPr>
        <w:t xml:space="preserve"> </w:t>
      </w:r>
      <w:r w:rsidRPr="00C66133">
        <w:rPr>
          <w:sz w:val="22"/>
          <w:szCs w:val="22"/>
          <w:lang w:val="en-US"/>
        </w:rPr>
        <w:t>and</w:t>
      </w:r>
      <w:r w:rsidRPr="00C66133">
        <w:rPr>
          <w:spacing w:val="-3"/>
          <w:sz w:val="22"/>
          <w:szCs w:val="22"/>
          <w:lang w:val="en-US"/>
        </w:rPr>
        <w:t xml:space="preserve"> </w:t>
      </w:r>
      <w:r w:rsidRPr="00C66133">
        <w:rPr>
          <w:sz w:val="22"/>
          <w:szCs w:val="22"/>
          <w:lang w:val="en-US"/>
        </w:rPr>
        <w:t>Media</w:t>
      </w:r>
      <w:r w:rsidRPr="00C66133">
        <w:rPr>
          <w:spacing w:val="-4"/>
          <w:sz w:val="22"/>
          <w:szCs w:val="22"/>
          <w:lang w:val="en-US"/>
        </w:rPr>
        <w:t xml:space="preserve"> </w:t>
      </w:r>
      <w:r w:rsidRPr="00C66133">
        <w:rPr>
          <w:sz w:val="22"/>
          <w:szCs w:val="22"/>
          <w:lang w:val="en-US"/>
        </w:rPr>
        <w:t>in</w:t>
      </w:r>
      <w:r w:rsidRPr="00C66133">
        <w:rPr>
          <w:spacing w:val="-3"/>
          <w:sz w:val="22"/>
          <w:szCs w:val="22"/>
          <w:lang w:val="en-US"/>
        </w:rPr>
        <w:t xml:space="preserve"> </w:t>
      </w:r>
      <w:r w:rsidRPr="00C66133">
        <w:rPr>
          <w:sz w:val="22"/>
          <w:szCs w:val="22"/>
          <w:lang w:val="en-US"/>
        </w:rPr>
        <w:t>the</w:t>
      </w:r>
      <w:r w:rsidRPr="00C66133">
        <w:rPr>
          <w:spacing w:val="-4"/>
          <w:sz w:val="22"/>
          <w:szCs w:val="22"/>
          <w:lang w:val="en-US"/>
        </w:rPr>
        <w:t xml:space="preserve"> </w:t>
      </w:r>
      <w:r w:rsidRPr="00C66133">
        <w:rPr>
          <w:sz w:val="22"/>
          <w:szCs w:val="22"/>
          <w:lang w:val="en-US"/>
        </w:rPr>
        <w:t>21st</w:t>
      </w:r>
      <w:r w:rsidRPr="00C66133">
        <w:rPr>
          <w:spacing w:val="-3"/>
          <w:sz w:val="22"/>
          <w:szCs w:val="22"/>
          <w:lang w:val="en-US"/>
        </w:rPr>
        <w:t xml:space="preserve"> </w:t>
      </w:r>
      <w:r w:rsidRPr="00C66133">
        <w:rPr>
          <w:sz w:val="22"/>
          <w:szCs w:val="22"/>
          <w:lang w:val="en-US"/>
        </w:rPr>
        <w:t>Century,</w:t>
      </w:r>
      <w:r w:rsidRPr="00C66133">
        <w:rPr>
          <w:spacing w:val="40"/>
          <w:sz w:val="22"/>
          <w:szCs w:val="22"/>
          <w:lang w:val="en-US"/>
        </w:rPr>
        <w:t xml:space="preserve"> </w:t>
      </w:r>
      <w:r w:rsidRPr="00C66133">
        <w:rPr>
          <w:sz w:val="22"/>
          <w:szCs w:val="22"/>
          <w:lang w:val="en-US"/>
        </w:rPr>
        <w:t>New York: Oxford University Press.</w:t>
      </w:r>
    </w:p>
    <w:p w14:paraId="5E161413" w14:textId="77777777" w:rsidR="00FF7799" w:rsidRPr="00E35FFF" w:rsidRDefault="00FF7799" w:rsidP="00652046">
      <w:pPr>
        <w:pStyle w:val="StandardText"/>
        <w:rPr>
          <w:lang w:val="en-US"/>
        </w:rPr>
      </w:pPr>
    </w:p>
    <w:p w14:paraId="6943E66D" w14:textId="4282458E" w:rsidR="007E67F1" w:rsidRPr="007F69DA" w:rsidRDefault="007E67F1" w:rsidP="007E67F1">
      <w:pPr>
        <w:keepNext/>
        <w:keepLines/>
        <w:spacing w:before="240"/>
        <w:jc w:val="both"/>
        <w:outlineLvl w:val="1"/>
        <w:rPr>
          <w:b/>
          <w:color w:val="2E74B5"/>
        </w:rPr>
      </w:pPr>
      <w:r w:rsidRPr="00FC6E20">
        <w:rPr>
          <w:b/>
          <w:color w:val="2E74B5"/>
        </w:rPr>
        <w:t xml:space="preserve">Globales Dorf </w:t>
      </w:r>
      <w:r w:rsidRPr="007F69DA">
        <w:rPr>
          <w:szCs w:val="24"/>
        </w:rPr>
        <w:sym w:font="Symbol" w:char="F0AE"/>
      </w:r>
      <w:r w:rsidRPr="00FC6E20">
        <w:rPr>
          <w:szCs w:val="24"/>
          <w:lang w:val="en-US"/>
        </w:rPr>
        <w:t xml:space="preserve"> Marketing, kultursen</w:t>
      </w:r>
      <w:r w:rsidR="002B7C99">
        <w:rPr>
          <w:szCs w:val="24"/>
          <w:lang w:val="en-US"/>
        </w:rPr>
        <w:t>s</w:t>
      </w:r>
      <w:r w:rsidRPr="00FC6E20">
        <w:rPr>
          <w:szCs w:val="24"/>
          <w:lang w:val="en-US"/>
        </w:rPr>
        <w:t>ibles</w:t>
      </w:r>
    </w:p>
    <w:p w14:paraId="100CF3F9" w14:textId="77777777" w:rsidR="00FF7799" w:rsidRPr="002B7C99" w:rsidRDefault="00FF7799" w:rsidP="002B7C99">
      <w:pPr>
        <w:pStyle w:val="berschrift1"/>
        <w:rPr>
          <w:bCs w:val="0"/>
          <w:color w:val="2E74B5"/>
          <w:sz w:val="22"/>
          <w:lang w:val="en-US"/>
        </w:rPr>
      </w:pPr>
      <w:r w:rsidRPr="002B7C99">
        <w:rPr>
          <w:bCs w:val="0"/>
          <w:color w:val="2E74B5"/>
          <w:sz w:val="22"/>
          <w:lang w:val="en-US"/>
        </w:rPr>
        <w:t>Globalisierung der Wirtschaftsbeziehungen</w:t>
      </w:r>
    </w:p>
    <w:p w14:paraId="5BF84D7B" w14:textId="77777777" w:rsidR="00FF7799" w:rsidRPr="00C66501" w:rsidRDefault="00FF7799" w:rsidP="00C16087">
      <w:pPr>
        <w:pStyle w:val="StandardText"/>
        <w:rPr>
          <w:bCs/>
        </w:rPr>
      </w:pPr>
      <w:r w:rsidRPr="00C66501">
        <w:t>wurde zwischen 1970 und 1980 entscheidend intensiviert. In dieser Dekade verfünffachte sich der Gegenwert des Pro Kopf-Exports der Weltbevölkerung: von durchschnittlich 81 $ auf 437 $. Mittlerweile werden jährlich Waren im Wert von annähernd 14.000 Mrd. $ und Dienstleistungen im Wert von mehr als 3.000 Mrd. $ grenzüberschreitend gehandelt.</w:t>
      </w:r>
      <w:r w:rsidRPr="00C66501">
        <w:rPr>
          <w:bCs/>
        </w:rPr>
        <w:t xml:space="preserve"> Ermöglicht haben dieses gewaltige Wachstum eine Reihe struktur- und wirtschaftspolitischer Maßnahmen, welche nach dem Zweiten Weltkrieg ergriffen wurden, um den damals darnieder liegenden Welthandel zu stimulieren:</w:t>
      </w:r>
    </w:p>
    <w:p w14:paraId="5FC14019" w14:textId="77777777" w:rsidR="00FF7799" w:rsidRPr="00C66501" w:rsidRDefault="00FF7799" w:rsidP="002B7C99">
      <w:pPr>
        <w:pStyle w:val="StandardTextAufzhlung"/>
        <w:ind w:left="426"/>
      </w:pPr>
      <w:r w:rsidRPr="00C66501">
        <w:t>Aufbau einer effizienten Weltwirtschaftsordnung mit dem Ziel des Abbaus von Handelshemmnissen (Allgemeines Zoll- und Handelsabkommen),</w:t>
      </w:r>
    </w:p>
    <w:p w14:paraId="13C4E5D0" w14:textId="77777777" w:rsidR="00FF7799" w:rsidRPr="00C66501" w:rsidRDefault="00FF7799" w:rsidP="002B7C99">
      <w:pPr>
        <w:pStyle w:val="StandardTextAufzhlung"/>
        <w:ind w:left="426"/>
      </w:pPr>
      <w:r w:rsidRPr="00C66501">
        <w:t>Förderung regional integrierter Wirtschaftsräume (z.B. ASEAN, Europäische Union, MERCOSUR, NAFTA),</w:t>
      </w:r>
    </w:p>
    <w:p w14:paraId="03B1112B" w14:textId="77777777" w:rsidR="00FF7799" w:rsidRPr="00C66501" w:rsidRDefault="00FF7799" w:rsidP="002B7C99">
      <w:pPr>
        <w:pStyle w:val="StandardTextAufzhlung"/>
        <w:ind w:left="426"/>
      </w:pPr>
      <w:r w:rsidRPr="00C66501">
        <w:t>Förderung des internationalen Austausches auf allen Ebenen des öffentlichen und des privaten Lebens.</w:t>
      </w:r>
    </w:p>
    <w:p w14:paraId="3AEC3F5E" w14:textId="77777777" w:rsidR="00FF7799" w:rsidRPr="00C66501" w:rsidRDefault="00FF7799" w:rsidP="00C16087">
      <w:pPr>
        <w:pStyle w:val="StandardText"/>
      </w:pPr>
      <w:r w:rsidRPr="00C66501">
        <w:t>In den 1980er- und 1990er-Jahren erfuhr die Weltwirtschaft dann einen weiteren Schub. Auslöser waren grundlegende Veränderungen, die rückblickend als „Dritte technologische Revolution“ bezeichnet werden. Vor allem die Deregulierung und Ausweitung der Finanz- und Informationsströme sowie die Technisierung von Logistik und Infrastruktur erleichterten den Welthandel dramatisch (vgl. Löhr 1999). Gleiches bewirkten Veränderungen in …</w:t>
      </w:r>
    </w:p>
    <w:p w14:paraId="1447BB17" w14:textId="77777777" w:rsidR="00FF7799" w:rsidRPr="00C66501" w:rsidRDefault="00FF7799" w:rsidP="002B7C99">
      <w:pPr>
        <w:pStyle w:val="StandardTextAufzhlung"/>
        <w:ind w:left="426"/>
      </w:pPr>
      <w:r w:rsidRPr="00C66501">
        <w:t>den politischen Systemen (z.B. Regionalisierung),</w:t>
      </w:r>
    </w:p>
    <w:p w14:paraId="1EE10ED7" w14:textId="77777777" w:rsidR="00FF7799" w:rsidRPr="00C66501" w:rsidRDefault="00FF7799" w:rsidP="002B7C99">
      <w:pPr>
        <w:pStyle w:val="StandardTextAufzhlung"/>
        <w:ind w:left="426"/>
      </w:pPr>
      <w:r w:rsidRPr="00C66501">
        <w:t>der Unternehmensorganisation (z.B. Corporate Governance),</w:t>
      </w:r>
    </w:p>
    <w:p w14:paraId="3B030B66" w14:textId="77777777" w:rsidR="00FF7799" w:rsidRPr="00C66501" w:rsidRDefault="00FF7799" w:rsidP="002B7C99">
      <w:pPr>
        <w:pStyle w:val="StandardTextAufzhlung"/>
        <w:ind w:left="426"/>
      </w:pPr>
      <w:r w:rsidRPr="00C66501">
        <w:lastRenderedPageBreak/>
        <w:t>dem gesellschaftlichen Wertekanon (z.B. Säkularisierung) und</w:t>
      </w:r>
    </w:p>
    <w:p w14:paraId="7ED911DB" w14:textId="77777777" w:rsidR="00FF7799" w:rsidRDefault="00FF7799" w:rsidP="002B7C99">
      <w:pPr>
        <w:pStyle w:val="StandardTextAufzhlung"/>
        <w:ind w:left="426"/>
      </w:pPr>
      <w:r w:rsidRPr="00C66501">
        <w:t>dem Verbraucherverhalten (z.B. Konvergenz).</w:t>
      </w:r>
    </w:p>
    <w:p w14:paraId="7CD910A2" w14:textId="77777777" w:rsidR="002B7C99" w:rsidRPr="00C66501" w:rsidRDefault="002B7C99" w:rsidP="002B7C99">
      <w:pPr>
        <w:pStyle w:val="StandardTextAufzhlung"/>
        <w:numPr>
          <w:ilvl w:val="0"/>
          <w:numId w:val="0"/>
        </w:numPr>
        <w:ind w:left="426"/>
      </w:pPr>
    </w:p>
    <w:p w14:paraId="688EFB89" w14:textId="69114932" w:rsidR="00FF7799" w:rsidRPr="00E73F6F" w:rsidRDefault="00FF7799" w:rsidP="00C16087">
      <w:pPr>
        <w:pStyle w:val="StandardText"/>
      </w:pPr>
      <w:r w:rsidRPr="00C66501">
        <w:t xml:space="preserve">Trägt man die intraregionalen Handelsvolumina und die interregionalen Handelsströme in die Weltkarte ein, wird die bisherige triadische Struktur des Welthandels sichtbar (vgl. </w:t>
      </w:r>
      <w:r w:rsidRPr="00C66501">
        <w:fldChar w:fldCharType="begin"/>
      </w:r>
      <w:r w:rsidRPr="00C66501">
        <w:instrText xml:space="preserve"> REF _Ref413253217 \h  \* MERGEFORMAT </w:instrText>
      </w:r>
      <w:r w:rsidRPr="00C66501">
        <w:fldChar w:fldCharType="separate"/>
      </w:r>
      <w:r w:rsidRPr="00C66501">
        <w:t>Abb.</w:t>
      </w:r>
      <w:r w:rsidRPr="00C66501">
        <w:fldChar w:fldCharType="end"/>
      </w:r>
      <w:r w:rsidR="005D1E16" w:rsidRPr="00C66501">
        <w:t xml:space="preserve"> 1</w:t>
      </w:r>
      <w:r w:rsidRPr="00C66501">
        <w:fldChar w:fldCharType="begin"/>
      </w:r>
      <w:r w:rsidRPr="00C66501">
        <w:instrText xml:space="preserve"> REF _Ref395781582 \h  \* MERGEFORMAT </w:instrText>
      </w:r>
      <w:r w:rsidRPr="00C66501">
        <w:fldChar w:fldCharType="end"/>
      </w:r>
      <w:r w:rsidRPr="00C66501">
        <w:t>).</w:t>
      </w:r>
      <w:r w:rsidRPr="00E73F6F">
        <w:t xml:space="preserve"> Dessen Zentren sind seit den 1970er-Jahren Nordamerika, Europa und Nordostasien</w:t>
      </w:r>
      <w:r w:rsidR="002C2441">
        <w:t xml:space="preserve"> (= Triade)</w:t>
      </w:r>
      <w:r w:rsidRPr="00E73F6F">
        <w:t>. Spätestens seit der Jahrtausendwende ist absehbar, dass die Weltwirtschaft aufgrund des Aufkommens zweier weiterer Zentren sich zu einem multipolaren Beziehungsgeflecht weiterentwickelt (vgl. Heß 2006, S.29):</w:t>
      </w:r>
    </w:p>
    <w:p w14:paraId="5054B612" w14:textId="77777777" w:rsidR="00FF7799" w:rsidRPr="00E73F6F" w:rsidRDefault="00FF7799" w:rsidP="002B7C99">
      <w:pPr>
        <w:pStyle w:val="StandardTextAufzhlung"/>
        <w:ind w:left="426"/>
      </w:pPr>
      <w:r w:rsidRPr="00E73F6F">
        <w:t>BRICS-Staaten: Brasilien, Russland, Indien, China und Südafrika,</w:t>
      </w:r>
    </w:p>
    <w:p w14:paraId="5CD9C1AE" w14:textId="77777777" w:rsidR="00FF7799" w:rsidRPr="00E73F6F" w:rsidRDefault="00FF7799" w:rsidP="002B7C99">
      <w:pPr>
        <w:pStyle w:val="StandardTextAufzhlung"/>
        <w:ind w:left="426"/>
      </w:pPr>
      <w:r w:rsidRPr="00E73F6F">
        <w:t>Next 11-Staaten: Ägypten, Bangladesch, Indonesien, Iran, Mexiko, Nigeria, Pakistan, Philippinen, Südkorea, Türkei und Vietnam.</w:t>
      </w:r>
    </w:p>
    <w:p w14:paraId="28E814B1" w14:textId="77777777" w:rsidR="00FF7799" w:rsidRPr="00E73F6F" w:rsidRDefault="00FF7799" w:rsidP="002B7C99">
      <w:pPr>
        <w:widowControl/>
        <w:autoSpaceDE/>
        <w:autoSpaceDN/>
        <w:ind w:left="426"/>
        <w:jc w:val="both"/>
        <w:rPr>
          <w:sz w:val="24"/>
          <w:szCs w:val="24"/>
        </w:rPr>
      </w:pPr>
    </w:p>
    <w:p w14:paraId="6A6E9407" w14:textId="77777777" w:rsidR="00FF7799" w:rsidRPr="00C76DC3" w:rsidRDefault="00BD3D32" w:rsidP="00BD3D32">
      <w:pPr>
        <w:pStyle w:val="BeschriftungTab"/>
        <w:rPr>
          <w:i/>
          <w:iCs/>
        </w:rPr>
      </w:pPr>
      <w:r w:rsidRPr="00C76DC3">
        <w:rPr>
          <w:i/>
          <w:iCs/>
        </w:rPr>
        <w:t xml:space="preserve">Abb. 1: </w:t>
      </w:r>
      <w:r w:rsidR="00FF7799" w:rsidRPr="00C76DC3">
        <w:rPr>
          <w:i/>
          <w:iCs/>
        </w:rPr>
        <w:t>Handelsströme &amp; Handelsvolumina der Weltwirtschaft</w:t>
      </w:r>
    </w:p>
    <w:p w14:paraId="2F31C68E" w14:textId="77777777" w:rsidR="00FF7799" w:rsidRPr="00E73F6F" w:rsidRDefault="00FF7799" w:rsidP="00862DBA">
      <w:pPr>
        <w:keepNext/>
        <w:widowControl/>
        <w:autoSpaceDE/>
        <w:autoSpaceDN/>
        <w:jc w:val="center"/>
        <w:rPr>
          <w:i/>
          <w:sz w:val="24"/>
          <w:szCs w:val="24"/>
          <w:lang w:eastAsia="de-DE"/>
        </w:rPr>
      </w:pPr>
    </w:p>
    <w:p w14:paraId="239B12A6" w14:textId="77777777" w:rsidR="00FF7799" w:rsidRPr="00E73F6F" w:rsidRDefault="00FF7799" w:rsidP="00862DBA">
      <w:pPr>
        <w:keepNext/>
        <w:widowControl/>
        <w:autoSpaceDE/>
        <w:autoSpaceDN/>
        <w:jc w:val="center"/>
        <w:rPr>
          <w:i/>
          <w:sz w:val="24"/>
          <w:szCs w:val="24"/>
          <w:lang w:eastAsia="de-DE"/>
        </w:rPr>
      </w:pPr>
      <w:r w:rsidRPr="00E73F6F">
        <w:rPr>
          <w:i/>
          <w:noProof/>
          <w:sz w:val="24"/>
          <w:szCs w:val="24"/>
          <w:lang w:eastAsia="de-DE"/>
        </w:rPr>
        <w:drawing>
          <wp:inline distT="0" distB="0" distL="0" distR="0" wp14:anchorId="4CDA85F9" wp14:editId="76527B98">
            <wp:extent cx="5650302" cy="3254421"/>
            <wp:effectExtent l="0" t="0" r="7620" b="3175"/>
            <wp:docPr id="330002" name="Grafik 33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759875" cy="3317532"/>
                    </a:xfrm>
                    <a:prstGeom prst="rect">
                      <a:avLst/>
                    </a:prstGeom>
                    <a:noFill/>
                  </pic:spPr>
                </pic:pic>
              </a:graphicData>
            </a:graphic>
          </wp:inline>
        </w:drawing>
      </w:r>
    </w:p>
    <w:p w14:paraId="0F2734B6" w14:textId="77777777" w:rsidR="00FF7799" w:rsidRPr="00E35FFF" w:rsidRDefault="00FF7799" w:rsidP="00BD3D32">
      <w:pPr>
        <w:pStyle w:val="Quellen"/>
        <w:rPr>
          <w:lang w:val="en-US"/>
        </w:rPr>
      </w:pPr>
      <w:r w:rsidRPr="00E35FFF">
        <w:rPr>
          <w:lang w:val="en-US"/>
        </w:rPr>
        <w:t xml:space="preserve">Quelle: World Trade Organization; Crocoll/Kuntz (2013). </w:t>
      </w:r>
    </w:p>
    <w:p w14:paraId="6E1DEBC0" w14:textId="77777777" w:rsidR="00FF7799" w:rsidRPr="00E35FFF" w:rsidRDefault="00FF7799" w:rsidP="00862DBA">
      <w:pPr>
        <w:widowControl/>
        <w:autoSpaceDE/>
        <w:autoSpaceDN/>
        <w:jc w:val="both"/>
        <w:rPr>
          <w:sz w:val="24"/>
          <w:szCs w:val="24"/>
          <w:lang w:val="en-US"/>
        </w:rPr>
      </w:pPr>
    </w:p>
    <w:p w14:paraId="0CEA2974" w14:textId="77777777" w:rsidR="00FF7799" w:rsidRPr="00C66133" w:rsidRDefault="00FF7799" w:rsidP="00C16087">
      <w:pPr>
        <w:pStyle w:val="StandardText"/>
        <w:rPr>
          <w:sz w:val="22"/>
          <w:szCs w:val="22"/>
          <w:lang w:val="en-US"/>
        </w:rPr>
      </w:pPr>
      <w:r w:rsidRPr="00C66501">
        <w:rPr>
          <w:b/>
          <w:i/>
          <w:sz w:val="22"/>
          <w:szCs w:val="22"/>
        </w:rPr>
        <w:t>Literatur</w:t>
      </w:r>
      <w:r w:rsidRPr="00C66501">
        <w:rPr>
          <w:i/>
          <w:sz w:val="22"/>
          <w:szCs w:val="22"/>
        </w:rPr>
        <w:t>:</w:t>
      </w:r>
      <w:r w:rsidRPr="00C66501">
        <w:rPr>
          <w:sz w:val="22"/>
          <w:szCs w:val="22"/>
        </w:rPr>
        <w:t xml:space="preserve"> </w:t>
      </w:r>
      <w:r w:rsidRPr="00C66133">
        <w:rPr>
          <w:sz w:val="22"/>
          <w:szCs w:val="22"/>
        </w:rPr>
        <w:t xml:space="preserve">Crocoll, S.; Kuntz, M. (2013): Die nächste Ära der Globalisierung, Süddeutsche Zeitung, 69(166): 30-31. </w:t>
      </w:r>
      <w:r w:rsidR="00C66501" w:rsidRPr="00C66133">
        <w:rPr>
          <w:sz w:val="22"/>
          <w:szCs w:val="22"/>
        </w:rPr>
        <w:t xml:space="preserve"> </w:t>
      </w:r>
      <w:r w:rsidRPr="00C66133">
        <w:rPr>
          <w:sz w:val="22"/>
          <w:szCs w:val="22"/>
        </w:rPr>
        <w:t xml:space="preserve">Heß, M. (2006): Wirtschaftliche Aktivitäten im Wandel, in: Haas, H.-D.; Neumair, S.-M. (Hrsg.), Internationale Wirtschaft, 17-40, München: Oldenbourg. </w:t>
      </w:r>
      <w:r w:rsidR="00C66501" w:rsidRPr="00C66133">
        <w:rPr>
          <w:sz w:val="22"/>
          <w:szCs w:val="22"/>
        </w:rPr>
        <w:t xml:space="preserve"> </w:t>
      </w:r>
      <w:r w:rsidRPr="00C66133">
        <w:rPr>
          <w:sz w:val="22"/>
          <w:szCs w:val="22"/>
        </w:rPr>
        <w:t xml:space="preserve">Löhr, D. (1999): Globalisierung, Deregulierung und “dritte technologische Revolution”, Wirtschaftsdienst, II: 123-132. </w:t>
      </w:r>
      <w:r w:rsidRPr="00C66133">
        <w:rPr>
          <w:sz w:val="22"/>
          <w:szCs w:val="22"/>
          <w:lang w:val="en-US"/>
        </w:rPr>
        <w:t>Steger, M.B.; Benedikter, R.; Pechlaner, H.; Kofler, I. (2023): Globalization, Oakland/CA: University of California Press.</w:t>
      </w:r>
    </w:p>
    <w:p w14:paraId="0E44EEA2" w14:textId="77777777" w:rsidR="00FF7799" w:rsidRPr="00E35FFF" w:rsidRDefault="00FF7799" w:rsidP="00C16087">
      <w:pPr>
        <w:pStyle w:val="StandardText"/>
        <w:rPr>
          <w:lang w:val="en-US"/>
        </w:rPr>
      </w:pPr>
    </w:p>
    <w:p w14:paraId="058365C4" w14:textId="77777777" w:rsidR="00FF7799" w:rsidRPr="00E35FFF" w:rsidRDefault="00FF7799" w:rsidP="00C16087">
      <w:pPr>
        <w:pStyle w:val="berschrift1"/>
        <w:spacing w:before="131"/>
        <w:rPr>
          <w:b w:val="0"/>
          <w:bCs w:val="0"/>
          <w:szCs w:val="20"/>
          <w:lang w:val="en-US" w:eastAsia="de-DE"/>
        </w:rPr>
      </w:pPr>
      <w:r w:rsidRPr="002B7C99">
        <w:rPr>
          <w:bCs w:val="0"/>
          <w:color w:val="2E74B5"/>
          <w:sz w:val="22"/>
          <w:lang w:val="en-US"/>
        </w:rPr>
        <w:t>GLOBE-Kulturstudie</w:t>
      </w:r>
      <w:r w:rsidRPr="00E35FFF">
        <w:rPr>
          <w:szCs w:val="24"/>
          <w:lang w:val="en-US"/>
        </w:rPr>
        <w:t xml:space="preserve"> </w:t>
      </w:r>
      <w:r w:rsidRPr="00E35FFF">
        <w:rPr>
          <w:b w:val="0"/>
          <w:lang w:val="en-US"/>
        </w:rPr>
        <w:t>→ Gl</w:t>
      </w:r>
      <w:r w:rsidRPr="00E35FFF">
        <w:rPr>
          <w:b w:val="0"/>
          <w:bCs w:val="0"/>
          <w:szCs w:val="20"/>
          <w:lang w:val="en-US" w:eastAsia="de-DE"/>
        </w:rPr>
        <w:t>obal Leadership and Organizational Behaviour Effectiveness (GLOBE)</w:t>
      </w:r>
    </w:p>
    <w:p w14:paraId="1CE3CA6D" w14:textId="77777777" w:rsidR="00FF7799" w:rsidRPr="00E35FFF" w:rsidRDefault="00FF7799" w:rsidP="00C16087">
      <w:pPr>
        <w:pStyle w:val="StandardText"/>
        <w:rPr>
          <w:lang w:val="en-US"/>
        </w:rPr>
      </w:pPr>
    </w:p>
    <w:p w14:paraId="69D9703E" w14:textId="77777777" w:rsidR="00FF7799" w:rsidRPr="002B7C99" w:rsidRDefault="00FF7799" w:rsidP="00906E9C">
      <w:pPr>
        <w:pStyle w:val="berschrift1"/>
        <w:rPr>
          <w:bCs w:val="0"/>
          <w:color w:val="2E74B5"/>
          <w:sz w:val="22"/>
          <w:lang w:val="en-US"/>
        </w:rPr>
      </w:pPr>
      <w:r w:rsidRPr="002B7C99">
        <w:rPr>
          <w:bCs w:val="0"/>
          <w:color w:val="2E74B5"/>
          <w:sz w:val="22"/>
          <w:lang w:val="en-US"/>
        </w:rPr>
        <w:lastRenderedPageBreak/>
        <w:t>Glück</w:t>
      </w:r>
    </w:p>
    <w:p w14:paraId="55B3E0A6" w14:textId="77777777" w:rsidR="00FF7799" w:rsidRPr="00E73F6F" w:rsidRDefault="00FF7799" w:rsidP="00E064B9">
      <w:pPr>
        <w:pStyle w:val="StandardText"/>
      </w:pPr>
      <w:r w:rsidRPr="00E73F6F">
        <w:t>Sekundäremotion, die in den verschiedenen Ländern bzw. Kulturen auf unterschiedliche</w:t>
      </w:r>
      <w:r w:rsidRPr="00E73F6F">
        <w:rPr>
          <w:spacing w:val="-9"/>
        </w:rPr>
        <w:t xml:space="preserve"> </w:t>
      </w:r>
      <w:r w:rsidRPr="00E73F6F">
        <w:t>Weise</w:t>
      </w:r>
      <w:r w:rsidRPr="00E73F6F">
        <w:rPr>
          <w:spacing w:val="-10"/>
        </w:rPr>
        <w:t xml:space="preserve"> </w:t>
      </w:r>
      <w:r w:rsidRPr="00E73F6F">
        <w:t>symbolisiert wird.</w:t>
      </w:r>
      <w:r w:rsidRPr="00E73F6F">
        <w:rPr>
          <w:spacing w:val="-8"/>
        </w:rPr>
        <w:t xml:space="preserve"> </w:t>
      </w:r>
      <w:r w:rsidRPr="00E73F6F">
        <w:t>In</w:t>
      </w:r>
      <w:r w:rsidRPr="00E73F6F">
        <w:rPr>
          <w:spacing w:val="-10"/>
        </w:rPr>
        <w:t xml:space="preserve"> </w:t>
      </w:r>
      <w:r w:rsidRPr="00E73F6F">
        <w:t>Korea</w:t>
      </w:r>
      <w:r w:rsidRPr="00E73F6F">
        <w:rPr>
          <w:spacing w:val="-9"/>
        </w:rPr>
        <w:t xml:space="preserve"> </w:t>
      </w:r>
      <w:r w:rsidRPr="00E73F6F">
        <w:t>etwa</w:t>
      </w:r>
      <w:r w:rsidRPr="00E73F6F">
        <w:rPr>
          <w:spacing w:val="-11"/>
        </w:rPr>
        <w:t xml:space="preserve"> </w:t>
      </w:r>
      <w:r w:rsidRPr="00E73F6F">
        <w:t>verkörpert</w:t>
      </w:r>
      <w:r w:rsidRPr="00E73F6F">
        <w:rPr>
          <w:spacing w:val="-11"/>
        </w:rPr>
        <w:t xml:space="preserve"> </w:t>
      </w:r>
      <w:r w:rsidRPr="00E73F6F">
        <w:t>das</w:t>
      </w:r>
      <w:r w:rsidRPr="00E73F6F">
        <w:rPr>
          <w:spacing w:val="-11"/>
        </w:rPr>
        <w:t xml:space="preserve"> </w:t>
      </w:r>
      <w:r w:rsidRPr="00E73F6F">
        <w:t>Schwein</w:t>
      </w:r>
      <w:r w:rsidRPr="00E73F6F">
        <w:rPr>
          <w:spacing w:val="-7"/>
        </w:rPr>
        <w:t xml:space="preserve"> </w:t>
      </w:r>
      <w:r w:rsidRPr="00E73F6F">
        <w:t>Glück bzw. Reichtum. In China</w:t>
      </w:r>
      <w:r w:rsidRPr="00E73F6F">
        <w:rPr>
          <w:spacing w:val="-3"/>
        </w:rPr>
        <w:t xml:space="preserve"> </w:t>
      </w:r>
      <w:r w:rsidRPr="00E73F6F">
        <w:t>hingegen, wo</w:t>
      </w:r>
      <w:r w:rsidRPr="00E73F6F">
        <w:rPr>
          <w:spacing w:val="-1"/>
        </w:rPr>
        <w:t xml:space="preserve"> </w:t>
      </w:r>
      <w:r w:rsidRPr="00E73F6F">
        <w:t>die</w:t>
      </w:r>
      <w:r w:rsidRPr="00E73F6F">
        <w:rPr>
          <w:spacing w:val="-2"/>
        </w:rPr>
        <w:t xml:space="preserve"> </w:t>
      </w:r>
      <w:r w:rsidRPr="00E73F6F">
        <w:t>Silbe 'fu'</w:t>
      </w:r>
      <w:r w:rsidRPr="00E73F6F">
        <w:rPr>
          <w:spacing w:val="-1"/>
        </w:rPr>
        <w:t xml:space="preserve"> </w:t>
      </w:r>
      <w:r w:rsidRPr="00E73F6F">
        <w:t>als Homonym</w:t>
      </w:r>
      <w:r w:rsidRPr="00E73F6F">
        <w:rPr>
          <w:spacing w:val="-1"/>
        </w:rPr>
        <w:t xml:space="preserve"> </w:t>
      </w:r>
      <w:r w:rsidRPr="00E73F6F">
        <w:t>sowohl Glück als auch Fledermaus bedeutet, ist die Fledermaus der Glücksbringer. Für das Internationale Marketing sind Glücksnamen, Glückstage und Glückszahlen bedeutsam</w:t>
      </w:r>
      <w:r w:rsidR="00A12C30">
        <w:t xml:space="preserve"> (</w:t>
      </w:r>
      <w:r w:rsidR="00A12C30">
        <w:sym w:font="Symbol" w:char="F0DE"/>
      </w:r>
      <w:r w:rsidR="00A12C30">
        <w:t xml:space="preserve"> Markenname)</w:t>
      </w:r>
      <w:r w:rsidRPr="00E73F6F">
        <w:t xml:space="preserve">. Im deutschsprachigen Kulturraum sind u.a. folgende Glückssymbole </w:t>
      </w:r>
      <w:r w:rsidRPr="00E73F6F">
        <w:rPr>
          <w:spacing w:val="-2"/>
        </w:rPr>
        <w:t>verbreitet:</w:t>
      </w:r>
    </w:p>
    <w:p w14:paraId="70BE303F" w14:textId="77777777" w:rsidR="00FF7799" w:rsidRPr="00E73F6F" w:rsidRDefault="005D1E16" w:rsidP="002B7C99">
      <w:pPr>
        <w:pStyle w:val="StandardTextAufzhlung"/>
        <w:ind w:left="426"/>
      </w:pPr>
      <w:r>
        <w:t>v</w:t>
      </w:r>
      <w:r w:rsidR="00FF7799" w:rsidRPr="00E73F6F">
        <w:t>ierblättriges</w:t>
      </w:r>
      <w:r w:rsidR="00FF7799" w:rsidRPr="00E73F6F">
        <w:rPr>
          <w:spacing w:val="-4"/>
        </w:rPr>
        <w:t xml:space="preserve"> </w:t>
      </w:r>
      <w:r w:rsidR="00FF7799" w:rsidRPr="00E73F6F">
        <w:t>Kleeblatt</w:t>
      </w:r>
      <w:r w:rsidR="00FF7799" w:rsidRPr="00E73F6F">
        <w:rPr>
          <w:spacing w:val="-2"/>
        </w:rPr>
        <w:t xml:space="preserve"> </w:t>
      </w:r>
      <w:r w:rsidR="00FF7799" w:rsidRPr="00E73F6F">
        <w:t>(der</w:t>
      </w:r>
      <w:r w:rsidR="00FF7799" w:rsidRPr="00E73F6F">
        <w:rPr>
          <w:spacing w:val="-4"/>
        </w:rPr>
        <w:t xml:space="preserve"> </w:t>
      </w:r>
      <w:r w:rsidR="00FF7799" w:rsidRPr="00E73F6F">
        <w:t>Legende</w:t>
      </w:r>
      <w:r w:rsidR="00FF7799" w:rsidRPr="00E73F6F">
        <w:rPr>
          <w:spacing w:val="-5"/>
        </w:rPr>
        <w:t xml:space="preserve"> </w:t>
      </w:r>
      <w:r w:rsidR="00FF7799" w:rsidRPr="00E73F6F">
        <w:t>nach</w:t>
      </w:r>
      <w:r w:rsidR="00FF7799" w:rsidRPr="00E73F6F">
        <w:rPr>
          <w:spacing w:val="-5"/>
        </w:rPr>
        <w:t xml:space="preserve"> </w:t>
      </w:r>
      <w:r w:rsidR="00FF7799" w:rsidRPr="00E73F6F">
        <w:t>soll</w:t>
      </w:r>
      <w:r w:rsidR="00FF7799" w:rsidRPr="00E73F6F">
        <w:rPr>
          <w:spacing w:val="-3"/>
        </w:rPr>
        <w:t xml:space="preserve"> </w:t>
      </w:r>
      <w:r w:rsidR="00FF7799" w:rsidRPr="00E73F6F">
        <w:t>Eva</w:t>
      </w:r>
      <w:r w:rsidR="00FF7799" w:rsidRPr="00E73F6F">
        <w:rPr>
          <w:spacing w:val="-4"/>
        </w:rPr>
        <w:t xml:space="preserve"> </w:t>
      </w:r>
      <w:r w:rsidR="00FF7799" w:rsidRPr="00E73F6F">
        <w:t>ein</w:t>
      </w:r>
      <w:r w:rsidR="00FF7799" w:rsidRPr="00E73F6F">
        <w:rPr>
          <w:spacing w:val="-5"/>
        </w:rPr>
        <w:t xml:space="preserve"> </w:t>
      </w:r>
      <w:r w:rsidR="00FF7799" w:rsidRPr="00E73F6F">
        <w:t>solches</w:t>
      </w:r>
      <w:r w:rsidR="00FF7799" w:rsidRPr="00E73F6F">
        <w:rPr>
          <w:spacing w:val="-4"/>
        </w:rPr>
        <w:t xml:space="preserve"> </w:t>
      </w:r>
      <w:r w:rsidR="00FF7799" w:rsidRPr="00E73F6F">
        <w:t>Blatt bei der Vertreibung aus dem Paradies zur Erinnerung an diesen glückhaften Zustand mitgenommen haben),</w:t>
      </w:r>
    </w:p>
    <w:p w14:paraId="4B4DC8F6" w14:textId="77777777" w:rsidR="00FF7799" w:rsidRPr="00E73F6F" w:rsidRDefault="00FF7799" w:rsidP="002B7C99">
      <w:pPr>
        <w:pStyle w:val="StandardTextAufzhlung"/>
        <w:ind w:left="426"/>
      </w:pPr>
      <w:r w:rsidRPr="00E73F6F">
        <w:t>Marienkäfer</w:t>
      </w:r>
      <w:r w:rsidRPr="00E73F6F">
        <w:rPr>
          <w:spacing w:val="-1"/>
        </w:rPr>
        <w:t xml:space="preserve"> </w:t>
      </w:r>
      <w:r w:rsidRPr="00E73F6F">
        <w:t>(Himmelsbote</w:t>
      </w:r>
      <w:r w:rsidRPr="00E73F6F">
        <w:rPr>
          <w:spacing w:val="-1"/>
        </w:rPr>
        <w:t xml:space="preserve"> </w:t>
      </w:r>
      <w:r w:rsidRPr="00E73F6F">
        <w:t>von</w:t>
      </w:r>
      <w:r w:rsidRPr="00E73F6F">
        <w:rPr>
          <w:spacing w:val="-1"/>
        </w:rPr>
        <w:t xml:space="preserve"> </w:t>
      </w:r>
      <w:r w:rsidRPr="00E73F6F">
        <w:t>Maria,</w:t>
      </w:r>
      <w:r w:rsidRPr="00E73F6F">
        <w:rPr>
          <w:spacing w:val="-1"/>
        </w:rPr>
        <w:t xml:space="preserve"> </w:t>
      </w:r>
      <w:r w:rsidRPr="00E73F6F">
        <w:t>der</w:t>
      </w:r>
      <w:r w:rsidRPr="00E73F6F">
        <w:rPr>
          <w:spacing w:val="-1"/>
        </w:rPr>
        <w:t xml:space="preserve"> </w:t>
      </w:r>
      <w:r w:rsidRPr="00E73F6F">
        <w:t>Mutter</w:t>
      </w:r>
      <w:r w:rsidRPr="00E73F6F">
        <w:rPr>
          <w:spacing w:val="-1"/>
        </w:rPr>
        <w:t xml:space="preserve"> </w:t>
      </w:r>
      <w:r w:rsidRPr="00E73F6F">
        <w:rPr>
          <w:spacing w:val="-2"/>
        </w:rPr>
        <w:t>Gottes),</w:t>
      </w:r>
    </w:p>
    <w:p w14:paraId="02236AC0" w14:textId="77777777" w:rsidR="00FF7799" w:rsidRPr="00E73F6F" w:rsidRDefault="00FF7799" w:rsidP="002B7C99">
      <w:pPr>
        <w:pStyle w:val="StandardTextAufzhlung"/>
        <w:ind w:left="426"/>
      </w:pPr>
      <w:r w:rsidRPr="00E73F6F">
        <w:t>Hufeisen</w:t>
      </w:r>
      <w:r w:rsidRPr="00E73F6F">
        <w:rPr>
          <w:spacing w:val="-2"/>
        </w:rPr>
        <w:t xml:space="preserve"> </w:t>
      </w:r>
      <w:r w:rsidRPr="00E73F6F">
        <w:t>(da</w:t>
      </w:r>
      <w:r w:rsidRPr="00E73F6F">
        <w:rPr>
          <w:spacing w:val="-5"/>
        </w:rPr>
        <w:t xml:space="preserve"> </w:t>
      </w:r>
      <w:r w:rsidRPr="00E73F6F">
        <w:t>es</w:t>
      </w:r>
      <w:r w:rsidRPr="00E73F6F">
        <w:rPr>
          <w:spacing w:val="-4"/>
        </w:rPr>
        <w:t xml:space="preserve"> </w:t>
      </w:r>
      <w:r w:rsidRPr="00E73F6F">
        <w:t>mit</w:t>
      </w:r>
      <w:r w:rsidRPr="00E73F6F">
        <w:rPr>
          <w:spacing w:val="-4"/>
        </w:rPr>
        <w:t xml:space="preserve"> </w:t>
      </w:r>
      <w:r w:rsidRPr="00E73F6F">
        <w:t>dem</w:t>
      </w:r>
      <w:r w:rsidRPr="00E73F6F">
        <w:rPr>
          <w:spacing w:val="-5"/>
        </w:rPr>
        <w:t xml:space="preserve"> </w:t>
      </w:r>
      <w:r w:rsidRPr="00E73F6F">
        <w:t>Pferd</w:t>
      </w:r>
      <w:r w:rsidRPr="00E73F6F">
        <w:rPr>
          <w:spacing w:val="-3"/>
        </w:rPr>
        <w:t xml:space="preserve"> </w:t>
      </w:r>
      <w:r w:rsidRPr="00E73F6F">
        <w:t>und</w:t>
      </w:r>
      <w:r w:rsidRPr="00E73F6F">
        <w:rPr>
          <w:spacing w:val="-3"/>
        </w:rPr>
        <w:t xml:space="preserve"> </w:t>
      </w:r>
      <w:r w:rsidRPr="00E73F6F">
        <w:t>dieses</w:t>
      </w:r>
      <w:r w:rsidRPr="00E73F6F">
        <w:rPr>
          <w:spacing w:val="-4"/>
        </w:rPr>
        <w:t xml:space="preserve"> </w:t>
      </w:r>
      <w:r w:rsidRPr="00E73F6F">
        <w:t>mit</w:t>
      </w:r>
      <w:r w:rsidRPr="00E73F6F">
        <w:rPr>
          <w:spacing w:val="-4"/>
        </w:rPr>
        <w:t xml:space="preserve"> </w:t>
      </w:r>
      <w:r w:rsidRPr="00E73F6F">
        <w:t>Stärke</w:t>
      </w:r>
      <w:r w:rsidRPr="00E73F6F">
        <w:rPr>
          <w:spacing w:val="-5"/>
        </w:rPr>
        <w:t xml:space="preserve"> </w:t>
      </w:r>
      <w:r w:rsidRPr="00E73F6F">
        <w:t>und</w:t>
      </w:r>
      <w:r w:rsidRPr="00E73F6F">
        <w:rPr>
          <w:spacing w:val="-3"/>
        </w:rPr>
        <w:t xml:space="preserve"> </w:t>
      </w:r>
      <w:r w:rsidRPr="00E73F6F">
        <w:t>Vitalität assoziiert wird),</w:t>
      </w:r>
    </w:p>
    <w:p w14:paraId="23C2F203" w14:textId="77777777" w:rsidR="00FF7799" w:rsidRPr="00E73F6F" w:rsidRDefault="00FF7799" w:rsidP="002B7C99">
      <w:pPr>
        <w:pStyle w:val="StandardTextAufzhlung"/>
        <w:ind w:left="426"/>
      </w:pPr>
      <w:r w:rsidRPr="00E73F6F">
        <w:t>Schornsteinfeger</w:t>
      </w:r>
      <w:r w:rsidRPr="00E73F6F">
        <w:rPr>
          <w:spacing w:val="-3"/>
        </w:rPr>
        <w:t xml:space="preserve"> </w:t>
      </w:r>
      <w:r w:rsidRPr="00E73F6F">
        <w:t>(da</w:t>
      </w:r>
      <w:r w:rsidRPr="00E73F6F">
        <w:rPr>
          <w:spacing w:val="-6"/>
        </w:rPr>
        <w:t xml:space="preserve"> </w:t>
      </w:r>
      <w:r w:rsidRPr="00E73F6F">
        <w:t>man</w:t>
      </w:r>
      <w:r w:rsidRPr="00E73F6F">
        <w:rPr>
          <w:spacing w:val="-4"/>
        </w:rPr>
        <w:t xml:space="preserve"> </w:t>
      </w:r>
      <w:r w:rsidRPr="00E73F6F">
        <w:t>dauerhaft</w:t>
      </w:r>
      <w:r w:rsidRPr="00E73F6F">
        <w:rPr>
          <w:spacing w:val="-5"/>
        </w:rPr>
        <w:t xml:space="preserve"> </w:t>
      </w:r>
      <w:r w:rsidRPr="00E73F6F">
        <w:t>nur</w:t>
      </w:r>
      <w:r w:rsidRPr="00E73F6F">
        <w:rPr>
          <w:spacing w:val="-5"/>
        </w:rPr>
        <w:t xml:space="preserve"> </w:t>
      </w:r>
      <w:r w:rsidRPr="00E73F6F">
        <w:t>mit</w:t>
      </w:r>
      <w:r w:rsidRPr="00E73F6F">
        <w:rPr>
          <w:spacing w:val="-7"/>
        </w:rPr>
        <w:t xml:space="preserve"> </w:t>
      </w:r>
      <w:r w:rsidRPr="00E73F6F">
        <w:t>einem</w:t>
      </w:r>
      <w:r w:rsidRPr="00E73F6F">
        <w:rPr>
          <w:spacing w:val="-6"/>
        </w:rPr>
        <w:t xml:space="preserve"> </w:t>
      </w:r>
      <w:r w:rsidRPr="00E73F6F">
        <w:t>gereinigten</w:t>
      </w:r>
      <w:r w:rsidRPr="00E73F6F">
        <w:rPr>
          <w:spacing w:val="-4"/>
        </w:rPr>
        <w:t xml:space="preserve"> </w:t>
      </w:r>
      <w:r w:rsidRPr="00E73F6F">
        <w:t>Kamin Heizen und Kochen kann),</w:t>
      </w:r>
    </w:p>
    <w:p w14:paraId="08CB21A8" w14:textId="77777777" w:rsidR="00FF7799" w:rsidRPr="00E73F6F" w:rsidRDefault="00FF7799" w:rsidP="002B7C99">
      <w:pPr>
        <w:pStyle w:val="StandardTextAufzhlung"/>
        <w:ind w:left="426"/>
      </w:pPr>
      <w:r w:rsidRPr="00E73F6F">
        <w:t>Glückspfennig</w:t>
      </w:r>
      <w:r w:rsidRPr="00E73F6F">
        <w:rPr>
          <w:spacing w:val="-3"/>
        </w:rPr>
        <w:t xml:space="preserve"> </w:t>
      </w:r>
      <w:r w:rsidRPr="00E73F6F">
        <w:t>(dauerhafter</w:t>
      </w:r>
      <w:r w:rsidRPr="00E73F6F">
        <w:rPr>
          <w:spacing w:val="-4"/>
        </w:rPr>
        <w:t xml:space="preserve"> </w:t>
      </w:r>
      <w:r w:rsidRPr="00E73F6F">
        <w:t>Reichtum,</w:t>
      </w:r>
      <w:r w:rsidRPr="00E73F6F">
        <w:rPr>
          <w:spacing w:val="-4"/>
        </w:rPr>
        <w:t xml:space="preserve"> </w:t>
      </w:r>
      <w:r w:rsidRPr="00E73F6F">
        <w:t>da</w:t>
      </w:r>
      <w:r w:rsidRPr="00E73F6F">
        <w:rPr>
          <w:spacing w:val="-5"/>
        </w:rPr>
        <w:t xml:space="preserve"> </w:t>
      </w:r>
      <w:r w:rsidRPr="00E73F6F">
        <w:t>es</w:t>
      </w:r>
      <w:r w:rsidRPr="00E73F6F">
        <w:rPr>
          <w:spacing w:val="-7"/>
        </w:rPr>
        <w:t xml:space="preserve"> </w:t>
      </w:r>
      <w:r w:rsidRPr="00E73F6F">
        <w:t>dem</w:t>
      </w:r>
      <w:r w:rsidRPr="00E73F6F">
        <w:rPr>
          <w:spacing w:val="-5"/>
        </w:rPr>
        <w:t xml:space="preserve"> </w:t>
      </w:r>
      <w:r w:rsidRPr="00E73F6F">
        <w:t>Geschenkten</w:t>
      </w:r>
      <w:r w:rsidRPr="00E73F6F">
        <w:rPr>
          <w:spacing w:val="-6"/>
        </w:rPr>
        <w:t xml:space="preserve"> </w:t>
      </w:r>
      <w:r w:rsidRPr="00E73F6F">
        <w:t>nie</w:t>
      </w:r>
      <w:r w:rsidRPr="00E73F6F">
        <w:rPr>
          <w:spacing w:val="-4"/>
        </w:rPr>
        <w:t xml:space="preserve"> </w:t>
      </w:r>
      <w:r w:rsidRPr="00E73F6F">
        <w:t>an Geld mangelt).</w:t>
      </w:r>
    </w:p>
    <w:p w14:paraId="73D6D5DD" w14:textId="77777777" w:rsidR="00BD3D32" w:rsidRPr="00E73F6F" w:rsidRDefault="00BD3D32" w:rsidP="00BD3D32">
      <w:pPr>
        <w:pStyle w:val="StandardText"/>
      </w:pPr>
    </w:p>
    <w:p w14:paraId="13D76318" w14:textId="77777777" w:rsidR="00FF7799" w:rsidRPr="002B7C99" w:rsidRDefault="00FF7799" w:rsidP="00FB1F0F">
      <w:pPr>
        <w:pStyle w:val="berschrift1"/>
        <w:rPr>
          <w:bCs w:val="0"/>
          <w:color w:val="2E74B5"/>
          <w:sz w:val="22"/>
          <w:lang w:val="en-US"/>
        </w:rPr>
      </w:pPr>
      <w:r w:rsidRPr="002B7C99">
        <w:rPr>
          <w:bCs w:val="0"/>
          <w:color w:val="2E74B5"/>
          <w:sz w:val="22"/>
          <w:lang w:val="en-US"/>
        </w:rPr>
        <w:t>Governance-Bewegung</w:t>
      </w:r>
    </w:p>
    <w:p w14:paraId="49014119" w14:textId="77777777" w:rsidR="00FF7799" w:rsidRPr="00E73F6F" w:rsidRDefault="00FF7799" w:rsidP="00E84CB9">
      <w:pPr>
        <w:pStyle w:val="StandardText"/>
      </w:pPr>
      <w:r w:rsidRPr="00E73F6F">
        <w:t>strebt</w:t>
      </w:r>
      <w:r w:rsidRPr="00E73F6F">
        <w:rPr>
          <w:spacing w:val="40"/>
        </w:rPr>
        <w:t xml:space="preserve"> </w:t>
      </w:r>
      <w:r w:rsidRPr="00E73F6F">
        <w:t>nach</w:t>
      </w:r>
      <w:r w:rsidRPr="00E73F6F">
        <w:rPr>
          <w:spacing w:val="40"/>
        </w:rPr>
        <w:t xml:space="preserve"> </w:t>
      </w:r>
      <w:r w:rsidRPr="00E73F6F">
        <w:t>einer</w:t>
      </w:r>
      <w:r w:rsidRPr="00E73F6F">
        <w:rPr>
          <w:spacing w:val="40"/>
        </w:rPr>
        <w:t xml:space="preserve"> </w:t>
      </w:r>
      <w:r w:rsidRPr="00E73F6F">
        <w:t>neuen</w:t>
      </w:r>
      <w:r w:rsidRPr="00E73F6F">
        <w:rPr>
          <w:spacing w:val="40"/>
        </w:rPr>
        <w:t xml:space="preserve"> </w:t>
      </w:r>
      <w:r w:rsidRPr="00E73F6F">
        <w:t>Weltordnung</w:t>
      </w:r>
      <w:r w:rsidRPr="00E73F6F">
        <w:rPr>
          <w:spacing w:val="40"/>
        </w:rPr>
        <w:t xml:space="preserve"> </w:t>
      </w:r>
      <w:r w:rsidRPr="00E73F6F">
        <w:t>im</w:t>
      </w:r>
      <w:r w:rsidRPr="00E73F6F">
        <w:rPr>
          <w:spacing w:val="40"/>
        </w:rPr>
        <w:t xml:space="preserve"> </w:t>
      </w:r>
      <w:r w:rsidRPr="00E73F6F">
        <w:t>Allgemeinen</w:t>
      </w:r>
      <w:r w:rsidRPr="00E73F6F">
        <w:rPr>
          <w:spacing w:val="40"/>
        </w:rPr>
        <w:t xml:space="preserve"> </w:t>
      </w:r>
      <w:r w:rsidRPr="00E73F6F">
        <w:t>und</w:t>
      </w:r>
      <w:r w:rsidRPr="00E73F6F">
        <w:rPr>
          <w:spacing w:val="40"/>
        </w:rPr>
        <w:t xml:space="preserve"> </w:t>
      </w:r>
      <w:r w:rsidRPr="00E73F6F">
        <w:t>hierarchiefreien Steuerungsinstrumenten im Besonderen</w:t>
      </w:r>
    </w:p>
    <w:p w14:paraId="502B2A75" w14:textId="77777777" w:rsidR="00FF7799" w:rsidRPr="00E73F6F" w:rsidRDefault="00FF7799" w:rsidP="00E84CB9">
      <w:pPr>
        <w:pStyle w:val="StandardText"/>
      </w:pPr>
    </w:p>
    <w:p w14:paraId="2308A432" w14:textId="77777777" w:rsidR="00FF7799" w:rsidRPr="00E73F6F" w:rsidRDefault="00FF7799" w:rsidP="00FB1F0F">
      <w:pPr>
        <w:pStyle w:val="berschrift1"/>
      </w:pPr>
      <w:r w:rsidRPr="002B7C99">
        <w:rPr>
          <w:bCs w:val="0"/>
          <w:color w:val="2E74B5"/>
          <w:sz w:val="22"/>
          <w:lang w:val="en-US"/>
        </w:rPr>
        <w:t xml:space="preserve">Graue Märkte </w:t>
      </w:r>
      <w:r w:rsidRPr="00E73F6F">
        <w:rPr>
          <w:b w:val="0"/>
          <w:szCs w:val="24"/>
        </w:rPr>
        <w:t xml:space="preserve">→ </w:t>
      </w:r>
      <w:r w:rsidRPr="00E73F6F">
        <w:rPr>
          <w:b w:val="0"/>
        </w:rPr>
        <w:t>Arbitrage-</w:t>
      </w:r>
      <w:r w:rsidRPr="00E73F6F">
        <w:rPr>
          <w:b w:val="0"/>
          <w:spacing w:val="-2"/>
        </w:rPr>
        <w:t>Handel</w:t>
      </w:r>
    </w:p>
    <w:p w14:paraId="1D8FD5E7" w14:textId="77777777" w:rsidR="00FF7799" w:rsidRPr="002B7C99" w:rsidRDefault="00FF7799" w:rsidP="00FB1F0F">
      <w:pPr>
        <w:pStyle w:val="berschrift1"/>
        <w:rPr>
          <w:bCs w:val="0"/>
          <w:color w:val="2E74B5"/>
          <w:sz w:val="22"/>
          <w:lang w:val="en-US"/>
        </w:rPr>
      </w:pPr>
      <w:r w:rsidRPr="002B7C99">
        <w:rPr>
          <w:bCs w:val="0"/>
          <w:color w:val="2E74B5"/>
          <w:sz w:val="22"/>
          <w:lang w:val="en-US"/>
        </w:rPr>
        <w:t>Grenzüberschreitender Handel &amp; Kapitalaustausch</w:t>
      </w:r>
    </w:p>
    <w:p w14:paraId="320DBA30" w14:textId="61CF9499" w:rsidR="00FF7799" w:rsidRDefault="00FF7799" w:rsidP="00E84CB9">
      <w:pPr>
        <w:pStyle w:val="StandardText"/>
      </w:pPr>
      <w:r w:rsidRPr="00E73F6F">
        <w:t>erlaubt</w:t>
      </w:r>
      <w:r w:rsidRPr="00E73F6F">
        <w:rPr>
          <w:spacing w:val="-3"/>
        </w:rPr>
        <w:t xml:space="preserve"> </w:t>
      </w:r>
      <w:r w:rsidRPr="00E73F6F">
        <w:t>es</w:t>
      </w:r>
      <w:r w:rsidRPr="00E73F6F">
        <w:rPr>
          <w:spacing w:val="-5"/>
        </w:rPr>
        <w:t xml:space="preserve"> </w:t>
      </w:r>
      <w:r w:rsidRPr="00E73F6F">
        <w:t>Volkswirtschaften,</w:t>
      </w:r>
      <w:r w:rsidRPr="00E73F6F">
        <w:rPr>
          <w:spacing w:val="-4"/>
        </w:rPr>
        <w:t xml:space="preserve"> </w:t>
      </w:r>
      <w:r w:rsidRPr="00E73F6F">
        <w:t>sich</w:t>
      </w:r>
      <w:r w:rsidRPr="00E73F6F">
        <w:rPr>
          <w:spacing w:val="-3"/>
        </w:rPr>
        <w:t xml:space="preserve"> </w:t>
      </w:r>
      <w:r w:rsidRPr="00E73F6F">
        <w:t>auf</w:t>
      </w:r>
      <w:r w:rsidRPr="00E73F6F">
        <w:rPr>
          <w:spacing w:val="-4"/>
        </w:rPr>
        <w:t xml:space="preserve"> </w:t>
      </w:r>
      <w:r w:rsidRPr="00E73F6F">
        <w:t>die</w:t>
      </w:r>
      <w:r w:rsidRPr="00E73F6F">
        <w:rPr>
          <w:spacing w:val="-5"/>
        </w:rPr>
        <w:t xml:space="preserve"> </w:t>
      </w:r>
      <w:r w:rsidRPr="00E73F6F">
        <w:t>Produktion</w:t>
      </w:r>
      <w:r w:rsidRPr="00E73F6F">
        <w:rPr>
          <w:spacing w:val="-6"/>
        </w:rPr>
        <w:t xml:space="preserve"> </w:t>
      </w:r>
      <w:r w:rsidRPr="00E73F6F">
        <w:t>der</w:t>
      </w:r>
      <w:r w:rsidRPr="00E73F6F">
        <w:rPr>
          <w:spacing w:val="-3"/>
        </w:rPr>
        <w:t xml:space="preserve"> </w:t>
      </w:r>
      <w:r w:rsidRPr="00E73F6F">
        <w:t>Waren</w:t>
      </w:r>
      <w:r w:rsidRPr="00E73F6F">
        <w:rPr>
          <w:spacing w:val="-3"/>
        </w:rPr>
        <w:t xml:space="preserve"> </w:t>
      </w:r>
      <w:r w:rsidRPr="00E73F6F">
        <w:t>zu</w:t>
      </w:r>
      <w:r w:rsidRPr="00E73F6F">
        <w:rPr>
          <w:spacing w:val="-6"/>
        </w:rPr>
        <w:t xml:space="preserve"> </w:t>
      </w:r>
      <w:r w:rsidRPr="00E73F6F">
        <w:t>spezialisieren, bei denen sie komparative, d.h. im Vergleich zu anderen Volkswirtschaften, Vorteile</w:t>
      </w:r>
      <w:r w:rsidRPr="00E73F6F">
        <w:rPr>
          <w:spacing w:val="-12"/>
        </w:rPr>
        <w:t xml:space="preserve"> </w:t>
      </w:r>
      <w:r w:rsidRPr="00E73F6F">
        <w:t>haben.</w:t>
      </w:r>
      <w:r w:rsidRPr="00E73F6F">
        <w:rPr>
          <w:spacing w:val="-11"/>
        </w:rPr>
        <w:t xml:space="preserve"> </w:t>
      </w:r>
      <w:r w:rsidRPr="00E73F6F">
        <w:t>Tropenfrüchte</w:t>
      </w:r>
      <w:r w:rsidRPr="00E73F6F">
        <w:rPr>
          <w:spacing w:val="-11"/>
        </w:rPr>
        <w:t xml:space="preserve"> </w:t>
      </w:r>
      <w:r w:rsidRPr="00E73F6F">
        <w:t>etwa</w:t>
      </w:r>
      <w:r w:rsidRPr="00E73F6F">
        <w:rPr>
          <w:spacing w:val="-11"/>
        </w:rPr>
        <w:t xml:space="preserve"> </w:t>
      </w:r>
      <w:r w:rsidRPr="00E73F6F">
        <w:t>wachsen</w:t>
      </w:r>
      <w:r w:rsidRPr="00E73F6F">
        <w:rPr>
          <w:spacing w:val="-12"/>
        </w:rPr>
        <w:t xml:space="preserve"> </w:t>
      </w:r>
      <w:r w:rsidRPr="00E73F6F">
        <w:t>billiger</w:t>
      </w:r>
      <w:r w:rsidRPr="00E73F6F">
        <w:rPr>
          <w:spacing w:val="-11"/>
        </w:rPr>
        <w:t xml:space="preserve"> </w:t>
      </w:r>
      <w:r w:rsidRPr="00E73F6F">
        <w:t>in</w:t>
      </w:r>
      <w:r w:rsidRPr="00E73F6F">
        <w:rPr>
          <w:spacing w:val="-11"/>
        </w:rPr>
        <w:t xml:space="preserve"> </w:t>
      </w:r>
      <w:r w:rsidRPr="00E73F6F">
        <w:t>den</w:t>
      </w:r>
      <w:r w:rsidRPr="00E73F6F">
        <w:rPr>
          <w:spacing w:val="-11"/>
        </w:rPr>
        <w:t xml:space="preserve"> </w:t>
      </w:r>
      <w:r w:rsidRPr="00E73F6F">
        <w:t>Tropen</w:t>
      </w:r>
      <w:r w:rsidRPr="00E73F6F">
        <w:rPr>
          <w:spacing w:val="-12"/>
        </w:rPr>
        <w:t xml:space="preserve"> </w:t>
      </w:r>
      <w:r w:rsidRPr="00E73F6F">
        <w:t>als</w:t>
      </w:r>
      <w:r w:rsidRPr="00E73F6F">
        <w:rPr>
          <w:spacing w:val="-11"/>
        </w:rPr>
        <w:t xml:space="preserve"> </w:t>
      </w:r>
      <w:r w:rsidRPr="00E73F6F">
        <w:t>in</w:t>
      </w:r>
      <w:r w:rsidRPr="00E73F6F">
        <w:rPr>
          <w:spacing w:val="-11"/>
        </w:rPr>
        <w:t xml:space="preserve"> </w:t>
      </w:r>
      <w:r w:rsidRPr="00E73F6F">
        <w:t>beheizten Treibhäusern. Selbst die dann höheren Transportkosten machen den Preisvorteil nicht</w:t>
      </w:r>
      <w:r w:rsidRPr="00E73F6F">
        <w:rPr>
          <w:spacing w:val="-8"/>
        </w:rPr>
        <w:t xml:space="preserve"> </w:t>
      </w:r>
      <w:r w:rsidRPr="00E73F6F">
        <w:t>zunichte.</w:t>
      </w:r>
      <w:r w:rsidRPr="00E73F6F">
        <w:rPr>
          <w:spacing w:val="-8"/>
        </w:rPr>
        <w:t xml:space="preserve"> </w:t>
      </w:r>
      <w:r w:rsidRPr="00E73F6F">
        <w:t>In</w:t>
      </w:r>
      <w:r w:rsidRPr="00E73F6F">
        <w:rPr>
          <w:spacing w:val="-8"/>
        </w:rPr>
        <w:t xml:space="preserve"> </w:t>
      </w:r>
      <w:r w:rsidRPr="00E73F6F">
        <w:t>Entwicklungsländern</w:t>
      </w:r>
      <w:r w:rsidRPr="00E73F6F">
        <w:rPr>
          <w:spacing w:val="-10"/>
        </w:rPr>
        <w:t xml:space="preserve"> </w:t>
      </w:r>
      <w:r w:rsidRPr="00E73F6F">
        <w:t>lassen</w:t>
      </w:r>
      <w:r w:rsidRPr="00E73F6F">
        <w:rPr>
          <w:spacing w:val="-8"/>
        </w:rPr>
        <w:t xml:space="preserve"> </w:t>
      </w:r>
      <w:r w:rsidRPr="00E73F6F">
        <w:t>sich</w:t>
      </w:r>
      <w:r w:rsidRPr="00E73F6F">
        <w:rPr>
          <w:spacing w:val="-8"/>
        </w:rPr>
        <w:t xml:space="preserve"> </w:t>
      </w:r>
      <w:r w:rsidRPr="00E73F6F">
        <w:t>einfache</w:t>
      </w:r>
      <w:r w:rsidRPr="00E73F6F">
        <w:rPr>
          <w:spacing w:val="-9"/>
        </w:rPr>
        <w:t xml:space="preserve"> </w:t>
      </w:r>
      <w:r w:rsidRPr="00E73F6F">
        <w:t>arbeitsintensive</w:t>
      </w:r>
      <w:r w:rsidRPr="00E73F6F">
        <w:rPr>
          <w:spacing w:val="-9"/>
        </w:rPr>
        <w:t xml:space="preserve"> </w:t>
      </w:r>
      <w:r w:rsidRPr="00E73F6F">
        <w:t>Güter im Regelfall komparativ günstiger produzieren. Denn in diesen Ländern stehen sehr</w:t>
      </w:r>
      <w:r w:rsidRPr="00E73F6F">
        <w:rPr>
          <w:spacing w:val="-11"/>
        </w:rPr>
        <w:t xml:space="preserve"> </w:t>
      </w:r>
      <w:r w:rsidRPr="00E73F6F">
        <w:t>viele</w:t>
      </w:r>
      <w:r w:rsidRPr="00E73F6F">
        <w:rPr>
          <w:spacing w:val="-11"/>
        </w:rPr>
        <w:t xml:space="preserve"> </w:t>
      </w:r>
      <w:r w:rsidRPr="00E73F6F">
        <w:t>un-</w:t>
      </w:r>
      <w:r w:rsidRPr="00E73F6F">
        <w:rPr>
          <w:spacing w:val="-11"/>
        </w:rPr>
        <w:t xml:space="preserve"> </w:t>
      </w:r>
      <w:r w:rsidRPr="00E73F6F">
        <w:t>oder</w:t>
      </w:r>
      <w:r w:rsidRPr="00E73F6F">
        <w:rPr>
          <w:spacing w:val="-11"/>
        </w:rPr>
        <w:t xml:space="preserve"> </w:t>
      </w:r>
      <w:r w:rsidRPr="00E73F6F">
        <w:t>geringqualifizierte</w:t>
      </w:r>
      <w:r w:rsidRPr="00E73F6F">
        <w:rPr>
          <w:spacing w:val="-9"/>
        </w:rPr>
        <w:t xml:space="preserve"> </w:t>
      </w:r>
      <w:r w:rsidRPr="00E73F6F">
        <w:t>Arbeitskräfte</w:t>
      </w:r>
      <w:r w:rsidRPr="00E73F6F">
        <w:rPr>
          <w:spacing w:val="-9"/>
        </w:rPr>
        <w:t xml:space="preserve"> </w:t>
      </w:r>
      <w:r w:rsidRPr="00E73F6F">
        <w:t>Verfügung.</w:t>
      </w:r>
      <w:r w:rsidRPr="00E73F6F">
        <w:rPr>
          <w:spacing w:val="-10"/>
        </w:rPr>
        <w:t xml:space="preserve"> </w:t>
      </w:r>
      <w:r w:rsidRPr="00E73F6F">
        <w:t>Umgekehrt wäre in den Industrieländern die Produktion einfacher T-Shirts, Schuhe, Spielzeuge,</w:t>
      </w:r>
      <w:r w:rsidRPr="00E73F6F">
        <w:rPr>
          <w:spacing w:val="-12"/>
        </w:rPr>
        <w:t xml:space="preserve"> </w:t>
      </w:r>
      <w:r w:rsidRPr="00E73F6F">
        <w:t>Möbel</w:t>
      </w:r>
      <w:r w:rsidRPr="00E73F6F">
        <w:rPr>
          <w:spacing w:val="-11"/>
        </w:rPr>
        <w:t xml:space="preserve"> </w:t>
      </w:r>
      <w:r w:rsidRPr="00E73F6F">
        <w:t>und</w:t>
      </w:r>
      <w:r w:rsidRPr="00E73F6F">
        <w:rPr>
          <w:spacing w:val="-11"/>
        </w:rPr>
        <w:t xml:space="preserve"> </w:t>
      </w:r>
      <w:r w:rsidRPr="00E73F6F">
        <w:t>vieler</w:t>
      </w:r>
      <w:r w:rsidRPr="00E73F6F">
        <w:rPr>
          <w:spacing w:val="-11"/>
        </w:rPr>
        <w:t xml:space="preserve"> </w:t>
      </w:r>
      <w:r w:rsidRPr="00E73F6F">
        <w:t>anderer</w:t>
      </w:r>
      <w:r w:rsidRPr="00E73F6F">
        <w:rPr>
          <w:spacing w:val="-10"/>
        </w:rPr>
        <w:t xml:space="preserve"> </w:t>
      </w:r>
      <w:r w:rsidRPr="00E73F6F">
        <w:t>Produkte</w:t>
      </w:r>
      <w:r w:rsidRPr="00E73F6F">
        <w:rPr>
          <w:spacing w:val="-12"/>
        </w:rPr>
        <w:t xml:space="preserve"> </w:t>
      </w:r>
      <w:r w:rsidRPr="00E73F6F">
        <w:t>weitaus</w:t>
      </w:r>
      <w:r w:rsidRPr="00E73F6F">
        <w:rPr>
          <w:spacing w:val="-6"/>
        </w:rPr>
        <w:t xml:space="preserve"> </w:t>
      </w:r>
      <w:r w:rsidRPr="00E73F6F">
        <w:t>teurer.</w:t>
      </w:r>
      <w:r w:rsidRPr="00E73F6F">
        <w:rPr>
          <w:spacing w:val="-12"/>
        </w:rPr>
        <w:t xml:space="preserve"> </w:t>
      </w:r>
      <w:r w:rsidRPr="00E73F6F">
        <w:t>Die</w:t>
      </w:r>
      <w:r w:rsidRPr="00E73F6F">
        <w:rPr>
          <w:spacing w:val="-11"/>
        </w:rPr>
        <w:t xml:space="preserve"> </w:t>
      </w:r>
      <w:r w:rsidRPr="00E73F6F">
        <w:t>Länder</w:t>
      </w:r>
      <w:r w:rsidRPr="00E73F6F">
        <w:rPr>
          <w:spacing w:val="-9"/>
        </w:rPr>
        <w:t xml:space="preserve"> </w:t>
      </w:r>
      <w:r w:rsidRPr="00E73F6F">
        <w:t>sind</w:t>
      </w:r>
      <w:r w:rsidRPr="00E73F6F">
        <w:rPr>
          <w:spacing w:val="-11"/>
        </w:rPr>
        <w:t xml:space="preserve"> </w:t>
      </w:r>
      <w:r w:rsidRPr="00E73F6F">
        <w:t>gut beraten, wenn sie sich auf die Produktion von Gütern spezialisieren, die kapital-, wissens- und technologieintensiv sind. Anders als Entwicklungsländer besitzen Industrieländer diese Produktionsfaktoren reichlich vorhanden. Dies erklärt, warum hochpreisige innovative Produkte vor allem in den hochentwickelten Regionen hergestellt – was wiederum das dort hohe Lohnniveau rechtfertigt. In dem</w:t>
      </w:r>
      <w:r w:rsidRPr="00E73F6F">
        <w:rPr>
          <w:spacing w:val="-6"/>
        </w:rPr>
        <w:t xml:space="preserve"> </w:t>
      </w:r>
      <w:r w:rsidRPr="00E73F6F">
        <w:t>Maße</w:t>
      </w:r>
      <w:r w:rsidRPr="00E73F6F">
        <w:rPr>
          <w:spacing w:val="-6"/>
        </w:rPr>
        <w:t xml:space="preserve"> </w:t>
      </w:r>
      <w:r w:rsidRPr="00E73F6F">
        <w:t>jedoch,</w:t>
      </w:r>
      <w:r w:rsidRPr="00E73F6F">
        <w:rPr>
          <w:spacing w:val="-5"/>
        </w:rPr>
        <w:t xml:space="preserve"> </w:t>
      </w:r>
      <w:r w:rsidRPr="00E73F6F">
        <w:t>wie</w:t>
      </w:r>
      <w:r w:rsidRPr="00E73F6F">
        <w:rPr>
          <w:spacing w:val="-6"/>
        </w:rPr>
        <w:t xml:space="preserve"> </w:t>
      </w:r>
      <w:r w:rsidRPr="00E73F6F">
        <w:t>die</w:t>
      </w:r>
      <w:r w:rsidRPr="00E73F6F">
        <w:rPr>
          <w:spacing w:val="-6"/>
        </w:rPr>
        <w:t xml:space="preserve"> </w:t>
      </w:r>
      <w:r w:rsidRPr="00E73F6F">
        <w:t>zugrunde</w:t>
      </w:r>
      <w:r w:rsidRPr="00E73F6F">
        <w:rPr>
          <w:spacing w:val="-6"/>
        </w:rPr>
        <w:t>liegenden</w:t>
      </w:r>
      <w:r w:rsidRPr="00E73F6F">
        <w:rPr>
          <w:spacing w:val="-5"/>
        </w:rPr>
        <w:t xml:space="preserve"> </w:t>
      </w:r>
      <w:r w:rsidRPr="00E73F6F">
        <w:t>Produktionsprozesse</w:t>
      </w:r>
      <w:r w:rsidRPr="00E73F6F">
        <w:rPr>
          <w:spacing w:val="-6"/>
        </w:rPr>
        <w:t xml:space="preserve"> </w:t>
      </w:r>
      <w:r w:rsidRPr="00E73F6F">
        <w:t xml:space="preserve">standardisiert werden, wandert die Produktion in die Schwellenländer ab. Dies wiederum führt dazu, dass dort das Lohnniveau schrittweise steigt – und damit auch der Wohlstand. Deshalb wuchs das reale Bruttoinlandsprodukt (pro Kopf) in den offenen </w:t>
      </w:r>
      <w:r w:rsidR="002B7C99" w:rsidRPr="00E73F6F">
        <w:t>Volkswirtschaften,</w:t>
      </w:r>
      <w:r w:rsidRPr="00E73F6F">
        <w:t xml:space="preserve"> d.h. den Ländern, die sich für den Weltmarkt geöffnet haben, zwischen 1990 und 2006 um nahezu 50% - während gleichzeitig Volkswirtschaften,</w:t>
      </w:r>
      <w:r w:rsidRPr="00E73F6F">
        <w:rPr>
          <w:spacing w:val="24"/>
        </w:rPr>
        <w:t xml:space="preserve"> </w:t>
      </w:r>
      <w:r w:rsidRPr="00E73F6F">
        <w:t>die</w:t>
      </w:r>
      <w:r w:rsidRPr="00E73F6F">
        <w:rPr>
          <w:spacing w:val="-11"/>
        </w:rPr>
        <w:t xml:space="preserve"> </w:t>
      </w:r>
      <w:r w:rsidRPr="00E73F6F">
        <w:t>sich</w:t>
      </w:r>
      <w:r w:rsidRPr="00E73F6F">
        <w:rPr>
          <w:spacing w:val="-9"/>
        </w:rPr>
        <w:t xml:space="preserve"> </w:t>
      </w:r>
      <w:r w:rsidRPr="00E73F6F">
        <w:t>der</w:t>
      </w:r>
      <w:r w:rsidRPr="00E73F6F">
        <w:rPr>
          <w:spacing w:val="-10"/>
        </w:rPr>
        <w:t xml:space="preserve"> </w:t>
      </w:r>
      <w:r w:rsidRPr="00E73F6F">
        <w:t>internationalen</w:t>
      </w:r>
      <w:r w:rsidRPr="00E73F6F">
        <w:rPr>
          <w:spacing w:val="-9"/>
        </w:rPr>
        <w:t xml:space="preserve"> </w:t>
      </w:r>
      <w:r w:rsidRPr="00E73F6F">
        <w:t>Arbeitsteilung</w:t>
      </w:r>
      <w:r w:rsidRPr="00E73F6F">
        <w:rPr>
          <w:spacing w:val="-11"/>
        </w:rPr>
        <w:t xml:space="preserve"> </w:t>
      </w:r>
      <w:r w:rsidRPr="00E73F6F">
        <w:t>verschlossenen,</w:t>
      </w:r>
      <w:r w:rsidRPr="00E73F6F">
        <w:rPr>
          <w:spacing w:val="-12"/>
        </w:rPr>
        <w:t xml:space="preserve"> </w:t>
      </w:r>
      <w:r w:rsidRPr="00E73F6F">
        <w:t>nur um gut 20% wuchsen.</w:t>
      </w:r>
    </w:p>
    <w:p w14:paraId="1A1F59C8" w14:textId="77777777" w:rsidR="009A7494" w:rsidRDefault="009A7494" w:rsidP="00E84CB9">
      <w:pPr>
        <w:pStyle w:val="StandardText"/>
      </w:pPr>
    </w:p>
    <w:p w14:paraId="5CFF0BF0" w14:textId="700A1830" w:rsidR="009A7494" w:rsidRPr="002B7C99" w:rsidRDefault="009A7494" w:rsidP="002B7C99">
      <w:pPr>
        <w:pStyle w:val="berschrift1"/>
        <w:spacing w:line="240" w:lineRule="auto"/>
        <w:rPr>
          <w:bCs w:val="0"/>
          <w:color w:val="2E74B5"/>
          <w:sz w:val="22"/>
          <w:lang w:val="en-US"/>
        </w:rPr>
      </w:pPr>
      <w:r w:rsidRPr="002B7C99">
        <w:rPr>
          <w:bCs w:val="0"/>
          <w:color w:val="2E74B5"/>
          <w:sz w:val="22"/>
          <w:lang w:val="en-US"/>
        </w:rPr>
        <w:t>Guanxi</w:t>
      </w:r>
    </w:p>
    <w:p w14:paraId="2ABC962B" w14:textId="1F1B36FC" w:rsidR="007E67F1" w:rsidRPr="007E67F1" w:rsidRDefault="009A7494" w:rsidP="002B7C99">
      <w:pPr>
        <w:pStyle w:val="StandardText"/>
      </w:pPr>
      <w:r w:rsidRPr="00E73F6F">
        <w:lastRenderedPageBreak/>
        <w:t xml:space="preserve">Quantität und Qualität des Beziehungskapitals, das eine Person </w:t>
      </w:r>
      <w:r>
        <w:t xml:space="preserve">in ihrem Leben </w:t>
      </w:r>
      <w:r w:rsidRPr="00E73F6F">
        <w:t>erworben hat</w:t>
      </w:r>
      <w:r>
        <w:t xml:space="preserve"> und das sie in eine Geschäftsbeziehung einbringt</w:t>
      </w:r>
      <w:r w:rsidR="007E67F1">
        <w:t xml:space="preserve">. Guanxi </w:t>
      </w:r>
      <w:r w:rsidR="007E67F1" w:rsidRPr="007F69DA">
        <w:rPr>
          <w:szCs w:val="24"/>
          <w:lang w:bidi="en-US"/>
        </w:rPr>
        <w:t xml:space="preserve">wird </w:t>
      </w:r>
      <w:r w:rsidR="007E67F1" w:rsidRPr="007F69DA">
        <w:rPr>
          <w:bCs/>
          <w:szCs w:val="24"/>
          <w:lang w:bidi="en-US"/>
        </w:rPr>
        <w:t xml:space="preserve">häufig </w:t>
      </w:r>
      <w:r w:rsidR="007E67F1" w:rsidRPr="007F69DA">
        <w:rPr>
          <w:szCs w:val="24"/>
          <w:lang w:bidi="en-US"/>
        </w:rPr>
        <w:t xml:space="preserve">als die chinesische Variante von Beziehungsmanagement vorgestellt. Dies trifft allerdings nur teilweise zu. Denn zum einen reicht das westliche Beziehungsmanagement insofern weiter, als es auch das Prozessmanagement umfasst (Arias 1998). Und zum anderen bedarf auch Guanxi einer weitaus differenzierteren Wertung. </w:t>
      </w:r>
    </w:p>
    <w:p w14:paraId="1FD9BE5F" w14:textId="77777777" w:rsidR="007E67F1" w:rsidRPr="007F69DA" w:rsidRDefault="007E67F1" w:rsidP="002B7C99">
      <w:pPr>
        <w:jc w:val="both"/>
        <w:rPr>
          <w:szCs w:val="24"/>
          <w:lang w:bidi="en-US"/>
        </w:rPr>
      </w:pPr>
    </w:p>
    <w:p w14:paraId="7F6918AD" w14:textId="77777777" w:rsidR="007E67F1" w:rsidRPr="007F69DA" w:rsidRDefault="007E67F1" w:rsidP="002B7C99">
      <w:pPr>
        <w:jc w:val="both"/>
        <w:rPr>
          <w:szCs w:val="24"/>
          <w:lang w:bidi="en-US"/>
        </w:rPr>
      </w:pPr>
      <w:r w:rsidRPr="007F69DA">
        <w:rPr>
          <w:szCs w:val="24"/>
          <w:lang w:bidi="en-US"/>
        </w:rPr>
        <w:t>1. Überblick</w:t>
      </w:r>
    </w:p>
    <w:p w14:paraId="7DE4A0B3" w14:textId="77777777" w:rsidR="007E67F1" w:rsidRPr="007F69DA" w:rsidRDefault="007E67F1" w:rsidP="002B7C99">
      <w:pPr>
        <w:jc w:val="both"/>
        <w:rPr>
          <w:szCs w:val="24"/>
          <w:lang w:bidi="en-US"/>
        </w:rPr>
      </w:pPr>
      <w:r w:rsidRPr="007F69DA">
        <w:rPr>
          <w:szCs w:val="24"/>
          <w:lang w:bidi="en-US"/>
        </w:rPr>
        <w:t xml:space="preserve">Dabei kommt dem Wanderprediger kung fu tse (551-479 v. Chr.) die Schlüsselrolle zu. Wie Graham/Lam (2004, S.42ff.) darlegen, zählt die „Lehre von der Sittlichkeit“, welche der im westlichen Kulturkreis unter dem Namen </w:t>
      </w:r>
      <w:r w:rsidRPr="007F69DA">
        <w:rPr>
          <w:bCs/>
          <w:szCs w:val="24"/>
          <w:lang w:bidi="en-US"/>
        </w:rPr>
        <w:t>Konfuzius</w:t>
      </w:r>
      <w:r w:rsidRPr="007F69DA">
        <w:rPr>
          <w:szCs w:val="24"/>
          <w:lang w:bidi="en-US"/>
        </w:rPr>
        <w:t xml:space="preserve"> besser bekannte Philosoph begründet hat, zu den vier Grundpfeilern der chinesischen Kultur. Neben der ländlich geprägten Gesellschaftsstruktur und der Piktographie, welche eine ganzheitliche Verarbeitung von Informationen begünstigt, ist dies das ausgeprägte Misstrauen gegenüber Fremden und Fremdem, eine nicht selten xenophobe Vorsicht gegenüber Ausländern.</w:t>
      </w:r>
    </w:p>
    <w:p w14:paraId="46F5FCF8" w14:textId="77777777" w:rsidR="007E67F1" w:rsidRPr="007F69DA" w:rsidRDefault="007E67F1" w:rsidP="002B7C99">
      <w:pPr>
        <w:jc w:val="both"/>
        <w:rPr>
          <w:szCs w:val="24"/>
          <w:lang w:bidi="en-US"/>
        </w:rPr>
      </w:pPr>
    </w:p>
    <w:p w14:paraId="65F69F5E" w14:textId="77777777" w:rsidR="007E67F1" w:rsidRPr="007F69DA" w:rsidRDefault="007E67F1" w:rsidP="002B7C99">
      <w:pPr>
        <w:jc w:val="both"/>
        <w:rPr>
          <w:szCs w:val="24"/>
          <w:lang w:bidi="en-US"/>
        </w:rPr>
      </w:pPr>
      <w:r w:rsidRPr="007F69DA">
        <w:rPr>
          <w:szCs w:val="24"/>
          <w:lang w:bidi="en-US"/>
        </w:rPr>
        <w:t xml:space="preserve">Dreh- und Angelpunkt der Lehre von der Sittlichkeit aber ist </w:t>
      </w:r>
      <w:r w:rsidRPr="007F69DA">
        <w:rPr>
          <w:bCs/>
          <w:szCs w:val="24"/>
          <w:lang w:bidi="en-US"/>
        </w:rPr>
        <w:t>Harmonie</w:t>
      </w:r>
      <w:r w:rsidRPr="007F69DA">
        <w:rPr>
          <w:szCs w:val="24"/>
          <w:lang w:bidi="en-US"/>
        </w:rPr>
        <w:t>. Erklären lässt sich dies damit, dass zu Lebzeiten von Konfuzius Gewalt und Bürgerkrieg an der Tagesordnung waren. Seiner Lehre zufolge ist eine mildtätige und moralische Gesellschaft auch wirtschaftlich erfolgreich und politisch stabil. Beide Faktoren sorgen im Verbund für materielle und existenzielle Sicherheit (nicht zuletzt vor dem Angriff Fremder). Laotse, ein Zeitgenosse von Konfuzius, lehrte gleichfalls Mittel und Wege, um in Harmonie mit seiner Umwelt zu leben. Für den Begründer des Taoismus war dies der Mittelweg, „der Weg“ (d.h. das Tao) zwischen den beiden zugleich antagonistischen und sich ergänzenden Mächten</w:t>
      </w:r>
    </w:p>
    <w:p w14:paraId="414CBADB" w14:textId="77777777" w:rsidR="007E67F1" w:rsidRPr="007F69DA" w:rsidRDefault="007E67F1">
      <w:pPr>
        <w:widowControl/>
        <w:numPr>
          <w:ilvl w:val="0"/>
          <w:numId w:val="46"/>
        </w:numPr>
        <w:autoSpaceDE/>
        <w:autoSpaceDN/>
        <w:spacing w:before="60"/>
        <w:ind w:left="426"/>
        <w:contextualSpacing/>
        <w:jc w:val="both"/>
        <w:rPr>
          <w:szCs w:val="24"/>
          <w:lang w:bidi="en-US"/>
        </w:rPr>
      </w:pPr>
      <w:r w:rsidRPr="007F69DA">
        <w:rPr>
          <w:szCs w:val="24"/>
          <w:lang w:bidi="en-US"/>
        </w:rPr>
        <w:t>Yin (das Weibliche, Dunkle und Passive) sowie</w:t>
      </w:r>
    </w:p>
    <w:p w14:paraId="37A93801" w14:textId="77777777" w:rsidR="007E67F1" w:rsidRPr="007F69DA" w:rsidRDefault="007E67F1">
      <w:pPr>
        <w:widowControl/>
        <w:numPr>
          <w:ilvl w:val="0"/>
          <w:numId w:val="46"/>
        </w:numPr>
        <w:autoSpaceDE/>
        <w:autoSpaceDN/>
        <w:ind w:left="426"/>
        <w:contextualSpacing/>
        <w:jc w:val="both"/>
        <w:rPr>
          <w:szCs w:val="24"/>
          <w:lang w:bidi="en-US"/>
        </w:rPr>
      </w:pPr>
      <w:r w:rsidRPr="007F69DA">
        <w:rPr>
          <w:szCs w:val="24"/>
          <w:lang w:bidi="en-US"/>
        </w:rPr>
        <w:t>Yang (das Männliche, Helle und Aktive).</w:t>
      </w:r>
    </w:p>
    <w:p w14:paraId="71D64D09" w14:textId="77777777" w:rsidR="007E67F1" w:rsidRPr="007F69DA" w:rsidRDefault="007E67F1" w:rsidP="002B7C99">
      <w:pPr>
        <w:ind w:left="426"/>
        <w:jc w:val="both"/>
        <w:rPr>
          <w:szCs w:val="24"/>
          <w:lang w:bidi="en-US"/>
        </w:rPr>
      </w:pPr>
    </w:p>
    <w:p w14:paraId="455647D5" w14:textId="77777777" w:rsidR="007E67F1" w:rsidRPr="007F69DA" w:rsidRDefault="007E67F1" w:rsidP="002B7C99">
      <w:pPr>
        <w:jc w:val="both"/>
        <w:rPr>
          <w:szCs w:val="24"/>
          <w:lang w:bidi="en-US"/>
        </w:rPr>
      </w:pPr>
      <w:r w:rsidRPr="007F69DA">
        <w:rPr>
          <w:szCs w:val="24"/>
          <w:lang w:bidi="en-US"/>
        </w:rPr>
        <w:t xml:space="preserve">Beide Phänomene, Konflikt und Harmonie zwischen Yin und Yang, bestehen gleichzeitig und können nicht isoliert, sondern nur ganzheitlich erfasst werden. Mit dem Untergang des Kaiserreiches (1911) verschwand in China offiziell die als „Staatskult“ oder „Konfuzianismus“ bezeichnete Lehre, welche die einen als Religion und die anderen als Morallehre, Staatsdoktrin oder schlicht als pragmatische Regeln für das alltägliche Leben begreifen (vgl. Dülfer/Jöstingmeier 2008, S.335.; Hofstede/Bond 1988, S.7f.; Müller et al. 2004). Kernpunkt ist die Förderung von </w:t>
      </w:r>
      <w:r w:rsidRPr="007F69DA">
        <w:rPr>
          <w:bCs/>
          <w:szCs w:val="24"/>
          <w:lang w:bidi="en-US"/>
        </w:rPr>
        <w:t>Humanität</w:t>
      </w:r>
      <w:r w:rsidRPr="007F69DA">
        <w:rPr>
          <w:szCs w:val="24"/>
          <w:lang w:bidi="en-US"/>
        </w:rPr>
        <w:t xml:space="preserve"> (ren) mit dem Ziel, einen </w:t>
      </w:r>
      <w:r w:rsidRPr="007F69DA">
        <w:rPr>
          <w:bCs/>
          <w:szCs w:val="24"/>
          <w:lang w:bidi="en-US"/>
        </w:rPr>
        <w:t>edlen</w:t>
      </w:r>
      <w:r w:rsidRPr="007F69DA">
        <w:rPr>
          <w:szCs w:val="24"/>
          <w:lang w:bidi="en-US"/>
        </w:rPr>
        <w:t xml:space="preserve"> und </w:t>
      </w:r>
      <w:r w:rsidRPr="007F69DA">
        <w:rPr>
          <w:bCs/>
          <w:szCs w:val="24"/>
          <w:lang w:bidi="en-US"/>
        </w:rPr>
        <w:t>weisen</w:t>
      </w:r>
      <w:r w:rsidRPr="007F69DA">
        <w:rPr>
          <w:szCs w:val="24"/>
          <w:lang w:bidi="en-US"/>
        </w:rPr>
        <w:t xml:space="preserve"> Menschen zu schaffen, der „vor allem ein Mensch für andere“ ist. Bezeichnenderweise setzt sich das chinesische Zeichen für ren aus zwei Schriftzeichen zusammen: das für „Mensch“ und das für „zwei“. Diese Dualität symbolisiert die Bedeutung, welche die chinesische Gesellschaft der Beziehung zwischen den Menschen beimisst. </w:t>
      </w:r>
    </w:p>
    <w:p w14:paraId="1A0E9012" w14:textId="77777777" w:rsidR="007E67F1" w:rsidRPr="007F69DA" w:rsidRDefault="007E67F1" w:rsidP="002B7C99">
      <w:pPr>
        <w:jc w:val="both"/>
        <w:rPr>
          <w:szCs w:val="24"/>
          <w:lang w:bidi="en-US"/>
        </w:rPr>
      </w:pPr>
    </w:p>
    <w:p w14:paraId="3BB9C646" w14:textId="77777777" w:rsidR="007E67F1" w:rsidRPr="007F69DA" w:rsidRDefault="007E67F1" w:rsidP="002B7C99">
      <w:pPr>
        <w:jc w:val="both"/>
        <w:rPr>
          <w:szCs w:val="24"/>
          <w:lang w:bidi="en-US"/>
        </w:rPr>
      </w:pPr>
      <w:r w:rsidRPr="007F69DA">
        <w:rPr>
          <w:szCs w:val="24"/>
          <w:lang w:bidi="en-US"/>
        </w:rPr>
        <w:t xml:space="preserve">Hierarchie, Familie, Harmonie und Tugend bilden die Eckpfeiler der konfuzianischen Ethik und zugleich das Fundament einer </w:t>
      </w:r>
      <w:r w:rsidRPr="007F69DA">
        <w:rPr>
          <w:bCs/>
          <w:szCs w:val="24"/>
          <w:lang w:bidi="en-US"/>
        </w:rPr>
        <w:t>stabilen gesellschaftlichen</w:t>
      </w:r>
      <w:r w:rsidRPr="007F69DA">
        <w:rPr>
          <w:szCs w:val="24"/>
          <w:lang w:bidi="en-US"/>
        </w:rPr>
        <w:t xml:space="preserve"> </w:t>
      </w:r>
      <w:r w:rsidRPr="007F69DA">
        <w:rPr>
          <w:bCs/>
          <w:szCs w:val="24"/>
          <w:lang w:bidi="en-US"/>
        </w:rPr>
        <w:t>Ordnung</w:t>
      </w:r>
      <w:r w:rsidRPr="007F69DA">
        <w:rPr>
          <w:szCs w:val="24"/>
          <w:lang w:bidi="en-US"/>
        </w:rPr>
        <w:t xml:space="preserve"> (vgl. Zinzius 2006). Die </w:t>
      </w:r>
      <w:r w:rsidRPr="007F69DA">
        <w:rPr>
          <w:bCs/>
          <w:szCs w:val="24"/>
          <w:lang w:bidi="en-US"/>
        </w:rPr>
        <w:t>fünf</w:t>
      </w:r>
      <w:r w:rsidRPr="007F69DA">
        <w:rPr>
          <w:szCs w:val="24"/>
          <w:lang w:bidi="en-US"/>
        </w:rPr>
        <w:t xml:space="preserve"> konfuzianischen </w:t>
      </w:r>
      <w:r w:rsidRPr="007F69DA">
        <w:rPr>
          <w:bCs/>
          <w:szCs w:val="24"/>
          <w:lang w:bidi="en-US"/>
        </w:rPr>
        <w:t>Konstellationen</w:t>
      </w:r>
      <w:r w:rsidRPr="007F69DA">
        <w:rPr>
          <w:szCs w:val="24"/>
          <w:lang w:bidi="en-US"/>
        </w:rPr>
        <w:t xml:space="preserve"> definieren ungleiche hierarchische Beziehungen zwischen Menschen. In diesen </w:t>
      </w:r>
      <w:r w:rsidRPr="007F69DA">
        <w:rPr>
          <w:bCs/>
          <w:szCs w:val="24"/>
          <w:lang w:bidi="en-US"/>
        </w:rPr>
        <w:t>wu lun</w:t>
      </w:r>
      <w:r w:rsidRPr="007F69DA">
        <w:rPr>
          <w:szCs w:val="24"/>
          <w:lang w:bidi="en-US"/>
        </w:rPr>
        <w:t xml:space="preserve"> (vgl. Abb. 1) bestehen je nach sozialem Rang der Beteiligten </w:t>
      </w:r>
      <w:r w:rsidRPr="007F69DA">
        <w:rPr>
          <w:bCs/>
          <w:szCs w:val="24"/>
          <w:lang w:bidi="en-US"/>
        </w:rPr>
        <w:t>Fürsorgepflicht</w:t>
      </w:r>
      <w:r w:rsidRPr="007F69DA">
        <w:rPr>
          <w:szCs w:val="24"/>
          <w:lang w:bidi="en-US"/>
        </w:rPr>
        <w:t xml:space="preserve"> oder die Verpflichtung zu </w:t>
      </w:r>
      <w:r w:rsidRPr="007F69DA">
        <w:rPr>
          <w:bCs/>
          <w:szCs w:val="24"/>
          <w:lang w:bidi="en-US"/>
        </w:rPr>
        <w:t>Respekt</w:t>
      </w:r>
      <w:r w:rsidRPr="007F69DA">
        <w:rPr>
          <w:szCs w:val="24"/>
          <w:lang w:bidi="en-US"/>
        </w:rPr>
        <w:t xml:space="preserve"> und </w:t>
      </w:r>
      <w:r w:rsidRPr="007F69DA">
        <w:rPr>
          <w:bCs/>
          <w:szCs w:val="24"/>
          <w:lang w:bidi="en-US"/>
        </w:rPr>
        <w:t>Gehorsam</w:t>
      </w:r>
      <w:r w:rsidRPr="007F69DA">
        <w:rPr>
          <w:szCs w:val="24"/>
          <w:lang w:bidi="en-US"/>
        </w:rPr>
        <w:t xml:space="preserve">. </w:t>
      </w:r>
    </w:p>
    <w:p w14:paraId="60F84D0F" w14:textId="77777777" w:rsidR="007E67F1" w:rsidRPr="007F69DA" w:rsidRDefault="007E67F1" w:rsidP="002B7C99">
      <w:pPr>
        <w:jc w:val="center"/>
        <w:rPr>
          <w:iCs/>
          <w:szCs w:val="24"/>
          <w:lang w:bidi="en-US"/>
        </w:rPr>
      </w:pPr>
    </w:p>
    <w:p w14:paraId="30B12C4A" w14:textId="77777777" w:rsidR="007E67F1" w:rsidRPr="00544326" w:rsidRDefault="007E67F1" w:rsidP="002B7C99">
      <w:pPr>
        <w:jc w:val="center"/>
        <w:rPr>
          <w:i/>
          <w:szCs w:val="24"/>
          <w:lang w:bidi="en-US"/>
        </w:rPr>
      </w:pPr>
      <w:r w:rsidRPr="00544326">
        <w:rPr>
          <w:i/>
          <w:iCs/>
          <w:szCs w:val="24"/>
          <w:lang w:bidi="en-US"/>
        </w:rPr>
        <w:t xml:space="preserve">Abb. 1: </w:t>
      </w:r>
      <w:r w:rsidRPr="00544326">
        <w:rPr>
          <w:i/>
          <w:szCs w:val="24"/>
          <w:lang w:bidi="en-US"/>
        </w:rPr>
        <w:t>Wu lun – die konfuzianischen Pflichtverhältnisse</w:t>
      </w:r>
    </w:p>
    <w:p w14:paraId="17FCE5AE" w14:textId="77777777" w:rsidR="007E67F1" w:rsidRPr="007F69DA" w:rsidRDefault="007E67F1" w:rsidP="002B7C99">
      <w:pPr>
        <w:jc w:val="center"/>
        <w:rPr>
          <w:szCs w:val="24"/>
          <w:lang w:bidi="en-US"/>
        </w:rPr>
      </w:pPr>
      <w:r w:rsidRPr="007F69DA">
        <w:rPr>
          <w:noProof/>
          <w:szCs w:val="24"/>
          <w:lang w:eastAsia="de-DE"/>
        </w:rPr>
        <w:lastRenderedPageBreak/>
        <w:drawing>
          <wp:inline distT="0" distB="0" distL="0" distR="0" wp14:anchorId="3915DCB0" wp14:editId="16C027A7">
            <wp:extent cx="4730750" cy="2182495"/>
            <wp:effectExtent l="0" t="0" r="0" b="8255"/>
            <wp:docPr id="810392699" name="Grafik 810392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730750" cy="2182495"/>
                    </a:xfrm>
                    <a:prstGeom prst="rect">
                      <a:avLst/>
                    </a:prstGeom>
                    <a:noFill/>
                  </pic:spPr>
                </pic:pic>
              </a:graphicData>
            </a:graphic>
          </wp:inline>
        </w:drawing>
      </w:r>
    </w:p>
    <w:p w14:paraId="5C041309" w14:textId="77777777" w:rsidR="007E67F1" w:rsidRPr="007F69DA" w:rsidRDefault="007E67F1" w:rsidP="002B7C99">
      <w:pPr>
        <w:spacing w:before="120"/>
        <w:ind w:left="709" w:hanging="709"/>
        <w:jc w:val="both"/>
        <w:rPr>
          <w:sz w:val="18"/>
          <w:szCs w:val="20"/>
          <w:lang w:eastAsia="de-DE"/>
        </w:rPr>
      </w:pPr>
      <w:r w:rsidRPr="007F69DA">
        <w:rPr>
          <w:sz w:val="18"/>
          <w:szCs w:val="20"/>
          <w:lang w:eastAsia="de-DE"/>
        </w:rPr>
        <w:t>Quelle: eigene Darstellung in Anlehnung an Zinzius (2006).</w:t>
      </w:r>
    </w:p>
    <w:p w14:paraId="235B1D68" w14:textId="77777777" w:rsidR="007E67F1" w:rsidRPr="007F69DA" w:rsidRDefault="007E67F1" w:rsidP="002B7C99">
      <w:pPr>
        <w:spacing w:before="120"/>
        <w:ind w:left="709" w:hanging="709"/>
        <w:jc w:val="both"/>
        <w:rPr>
          <w:sz w:val="18"/>
          <w:szCs w:val="20"/>
          <w:lang w:eastAsia="de-DE"/>
        </w:rPr>
      </w:pPr>
    </w:p>
    <w:p w14:paraId="7983F026" w14:textId="77777777" w:rsidR="007E67F1" w:rsidRPr="007F69DA" w:rsidRDefault="007E67F1" w:rsidP="002B7C99">
      <w:pPr>
        <w:jc w:val="both"/>
        <w:rPr>
          <w:szCs w:val="24"/>
          <w:lang w:bidi="en-US"/>
        </w:rPr>
      </w:pPr>
      <w:r w:rsidRPr="007F69DA">
        <w:rPr>
          <w:szCs w:val="24"/>
          <w:lang w:bidi="en-US"/>
        </w:rPr>
        <w:t xml:space="preserve">Drei der fünf Wu lun-Beziehungen sind innerfamiliärer Natur. Die Familie bildet die kleinste Einheit der chinesischen Gesellschaft und ist bedeutsamer als das Individuum (Zinzius 2006). Andere konstitutive Merkmale sind </w:t>
      </w:r>
      <w:r w:rsidRPr="007F69DA">
        <w:rPr>
          <w:bCs/>
          <w:szCs w:val="24"/>
          <w:lang w:bidi="en-US"/>
        </w:rPr>
        <w:t>Schamgefühl</w:t>
      </w:r>
      <w:r w:rsidRPr="007F69DA">
        <w:rPr>
          <w:szCs w:val="24"/>
          <w:lang w:bidi="en-US"/>
        </w:rPr>
        <w:t xml:space="preserve"> und </w:t>
      </w:r>
      <w:r w:rsidRPr="007F69DA">
        <w:rPr>
          <w:bCs/>
          <w:szCs w:val="24"/>
          <w:lang w:bidi="en-US"/>
        </w:rPr>
        <w:sym w:font="Symbol" w:char="F0DE"/>
      </w:r>
      <w:r w:rsidRPr="007F69DA">
        <w:rPr>
          <w:bCs/>
          <w:szCs w:val="24"/>
          <w:lang w:bidi="en-US"/>
        </w:rPr>
        <w:t xml:space="preserve"> Gesicht</w:t>
      </w:r>
      <w:r w:rsidRPr="007F69DA">
        <w:rPr>
          <w:szCs w:val="24"/>
          <w:lang w:bidi="en-US"/>
        </w:rPr>
        <w:t>. In China sind diese und die eingangs erwähnten sozialen Konzepte besonders eng miteinander verbunden. Eine Bloßstellung etwa bedeutet Gesichtsverlust, weshalb Kritik, wenn überhaupt, unbedingt so zu „verpacken“ ist, dass sie nicht das Gefühl der Scham provoziert (</w:t>
      </w:r>
      <w:r w:rsidRPr="007F69DA">
        <w:rPr>
          <w:szCs w:val="24"/>
          <w:lang w:bidi="en-US"/>
        </w:rPr>
        <w:sym w:font="Symbol" w:char="F0DE"/>
      </w:r>
      <w:r w:rsidRPr="007F69DA">
        <w:rPr>
          <w:szCs w:val="24"/>
          <w:lang w:bidi="en-US"/>
        </w:rPr>
        <w:t xml:space="preserve"> Training, interkulturelles). </w:t>
      </w:r>
    </w:p>
    <w:p w14:paraId="55A0EC0C" w14:textId="77777777" w:rsidR="007E67F1" w:rsidRPr="007F69DA" w:rsidRDefault="007E67F1" w:rsidP="002B7C99">
      <w:pPr>
        <w:jc w:val="both"/>
        <w:rPr>
          <w:szCs w:val="24"/>
          <w:lang w:bidi="en-US"/>
        </w:rPr>
      </w:pPr>
    </w:p>
    <w:p w14:paraId="198C6725" w14:textId="77777777" w:rsidR="007E67F1" w:rsidRPr="007F69DA" w:rsidRDefault="007E67F1" w:rsidP="002B7C99">
      <w:pPr>
        <w:jc w:val="both"/>
        <w:rPr>
          <w:szCs w:val="24"/>
          <w:lang w:bidi="en-US"/>
        </w:rPr>
      </w:pPr>
      <w:r w:rsidRPr="007F69DA">
        <w:rPr>
          <w:szCs w:val="24"/>
          <w:lang w:bidi="en-US"/>
        </w:rPr>
        <w:t xml:space="preserve">Respekt gegenüber sozialen Beziehungen, der sich in der Balance von Geben und Nehmen ausdrückt, sorgt – bspw. bei Vertragsverhandlungen – für die notwendige Harmonie und gegenseitiges Vertrauen. Schließlich ist </w:t>
      </w:r>
      <w:r w:rsidRPr="007F69DA">
        <w:rPr>
          <w:bCs/>
          <w:szCs w:val="24"/>
          <w:lang w:bidi="en-US"/>
        </w:rPr>
        <w:t>tugendhaftes Verhalten</w:t>
      </w:r>
      <w:r w:rsidRPr="007F69DA">
        <w:rPr>
          <w:szCs w:val="24"/>
          <w:lang w:bidi="en-US"/>
        </w:rPr>
        <w:t xml:space="preserve"> Dreh- und Angelpunkt des Konfuzianismus. Es konkretisiert sich in den </w:t>
      </w:r>
      <w:r w:rsidRPr="007F69DA">
        <w:rPr>
          <w:bCs/>
          <w:szCs w:val="24"/>
          <w:lang w:bidi="en-US"/>
        </w:rPr>
        <w:t>Kardinaltugenden</w:t>
      </w:r>
      <w:r w:rsidRPr="007F69DA">
        <w:rPr>
          <w:szCs w:val="24"/>
          <w:lang w:bidi="en-US"/>
        </w:rPr>
        <w:t xml:space="preserve"> Sittlichkeit, Gerechtigkeit, Ausdauer, Sparsamkeit und Humanität.</w:t>
      </w:r>
    </w:p>
    <w:p w14:paraId="3A5DC7AA" w14:textId="77777777" w:rsidR="007E67F1" w:rsidRPr="007F69DA" w:rsidRDefault="007E67F1" w:rsidP="002B7C99">
      <w:pPr>
        <w:jc w:val="both"/>
        <w:rPr>
          <w:szCs w:val="24"/>
          <w:lang w:bidi="en-US"/>
        </w:rPr>
      </w:pPr>
    </w:p>
    <w:p w14:paraId="3AC19AB4" w14:textId="77777777" w:rsidR="007E67F1" w:rsidRPr="007F69DA" w:rsidRDefault="007E67F1" w:rsidP="002B7C99">
      <w:pPr>
        <w:jc w:val="both"/>
        <w:rPr>
          <w:szCs w:val="24"/>
          <w:lang w:bidi="en-US"/>
        </w:rPr>
      </w:pPr>
      <w:r w:rsidRPr="007F69DA">
        <w:rPr>
          <w:szCs w:val="24"/>
          <w:lang w:bidi="en-US"/>
        </w:rPr>
        <w:t xml:space="preserve">Noch heute hoffen chinesische Eltern, dass ihre Kinder durch frühzeitiges und hartes </w:t>
      </w:r>
      <w:r w:rsidRPr="007F69DA">
        <w:rPr>
          <w:bCs/>
          <w:szCs w:val="24"/>
          <w:lang w:bidi="en-US"/>
        </w:rPr>
        <w:t>Lernen</w:t>
      </w:r>
      <w:r w:rsidRPr="007F69DA">
        <w:rPr>
          <w:szCs w:val="24"/>
          <w:lang w:bidi="en-US"/>
        </w:rPr>
        <w:t xml:space="preserve"> der Familie Reichtum bescheren. Die gleichfalls im Konfuzianismus verankerte Überzeugung, dass Bildung eine gute Investition ist, hat dazu geführt, dass sich begabte chinesische Studenten weltweit in den besten Hochschulen einschreiben. </w:t>
      </w:r>
    </w:p>
    <w:p w14:paraId="3058ABFB" w14:textId="77777777" w:rsidR="007E67F1" w:rsidRPr="007F69DA" w:rsidRDefault="007E67F1" w:rsidP="002B7C99">
      <w:pPr>
        <w:jc w:val="both"/>
        <w:rPr>
          <w:szCs w:val="24"/>
          <w:lang w:bidi="en-US"/>
        </w:rPr>
      </w:pPr>
    </w:p>
    <w:p w14:paraId="54CA85B0" w14:textId="77777777" w:rsidR="007E67F1" w:rsidRPr="007F69DA" w:rsidRDefault="007E67F1" w:rsidP="002B7C99">
      <w:pPr>
        <w:jc w:val="both"/>
        <w:rPr>
          <w:szCs w:val="24"/>
          <w:lang w:bidi="en-US"/>
        </w:rPr>
      </w:pPr>
      <w:r w:rsidRPr="007F69DA">
        <w:rPr>
          <w:szCs w:val="24"/>
          <w:lang w:bidi="en-US"/>
        </w:rPr>
        <w:t>2. Struktur &amp; Funktion von Guanxi</w:t>
      </w:r>
    </w:p>
    <w:p w14:paraId="7877920B" w14:textId="77777777" w:rsidR="007E67F1" w:rsidRPr="007F69DA" w:rsidRDefault="007E67F1" w:rsidP="002B7C99">
      <w:pPr>
        <w:jc w:val="both"/>
        <w:rPr>
          <w:szCs w:val="24"/>
          <w:lang w:bidi="en-US"/>
        </w:rPr>
      </w:pPr>
      <w:r w:rsidRPr="007F69DA">
        <w:rPr>
          <w:bCs/>
          <w:szCs w:val="24"/>
          <w:lang w:bidi="en-US"/>
        </w:rPr>
        <w:t>Guanxi kann als</w:t>
      </w:r>
      <w:r w:rsidRPr="007F69DA">
        <w:rPr>
          <w:szCs w:val="24"/>
          <w:lang w:bidi="en-US"/>
        </w:rPr>
        <w:t xml:space="preserve"> ein </w:t>
      </w:r>
      <w:r w:rsidRPr="007F69DA">
        <w:rPr>
          <w:bCs/>
          <w:szCs w:val="24"/>
          <w:lang w:bidi="en-US"/>
        </w:rPr>
        <w:t>Netzwerk</w:t>
      </w:r>
      <w:r w:rsidRPr="007F69DA">
        <w:rPr>
          <w:szCs w:val="24"/>
          <w:lang w:bidi="en-US"/>
        </w:rPr>
        <w:t xml:space="preserve"> überwiegend persönlicher und gesellschaftlicher Beziehungen beschrieben werden, als ein spezieller Typ zwischenmenschlicher, langfristig angelegter Beziehungen, die auf persönlichen Kontakten beruhen (vgl. Tsui/Farh 1997, S.58ff.). Andere setzen </w:t>
      </w:r>
      <w:r w:rsidRPr="007F69DA">
        <w:rPr>
          <w:bCs/>
          <w:szCs w:val="24"/>
          <w:lang w:bidi="en-US"/>
        </w:rPr>
        <w:t xml:space="preserve">Guanxi mit „Korporativität“ gleich (z.B. Davies et al. 1995, S.205). </w:t>
      </w:r>
      <w:r w:rsidRPr="007F69DA">
        <w:rPr>
          <w:szCs w:val="24"/>
          <w:lang w:bidi="en-US"/>
        </w:rPr>
        <w:t>Vier Bedingungen müssen erfüllt sein, damit eine „wahre, gesunde und langlebige“ Beziehung entstehen kann (vgl. Yau et al. 2000, S.17):</w:t>
      </w:r>
    </w:p>
    <w:p w14:paraId="1E2A996C" w14:textId="77777777" w:rsidR="007E67F1" w:rsidRPr="007F69DA" w:rsidRDefault="007E67F1">
      <w:pPr>
        <w:widowControl/>
        <w:numPr>
          <w:ilvl w:val="0"/>
          <w:numId w:val="47"/>
        </w:numPr>
        <w:autoSpaceDE/>
        <w:autoSpaceDN/>
        <w:spacing w:before="60"/>
        <w:ind w:left="426"/>
        <w:contextualSpacing/>
        <w:jc w:val="both"/>
        <w:rPr>
          <w:szCs w:val="24"/>
          <w:lang w:bidi="en-US"/>
        </w:rPr>
      </w:pPr>
      <w:r w:rsidRPr="007F69DA">
        <w:rPr>
          <w:szCs w:val="24"/>
          <w:lang w:bidi="en-US"/>
        </w:rPr>
        <w:t>Bindungsbereitschaft (bonding),</w:t>
      </w:r>
    </w:p>
    <w:p w14:paraId="634C8D96" w14:textId="77777777" w:rsidR="007E67F1" w:rsidRPr="007F69DA" w:rsidRDefault="007E67F1">
      <w:pPr>
        <w:widowControl/>
        <w:numPr>
          <w:ilvl w:val="0"/>
          <w:numId w:val="47"/>
        </w:numPr>
        <w:autoSpaceDE/>
        <w:autoSpaceDN/>
        <w:ind w:left="426"/>
        <w:contextualSpacing/>
        <w:jc w:val="both"/>
        <w:rPr>
          <w:szCs w:val="24"/>
          <w:lang w:bidi="en-US"/>
        </w:rPr>
      </w:pPr>
      <w:r w:rsidRPr="007F69DA">
        <w:rPr>
          <w:szCs w:val="24"/>
          <w:lang w:bidi="en-US"/>
        </w:rPr>
        <w:t>Einfühlungsvermögen (empathy),</w:t>
      </w:r>
    </w:p>
    <w:p w14:paraId="0AE0AD08" w14:textId="77777777" w:rsidR="007E67F1" w:rsidRPr="007F69DA" w:rsidRDefault="007E67F1">
      <w:pPr>
        <w:widowControl/>
        <w:numPr>
          <w:ilvl w:val="0"/>
          <w:numId w:val="47"/>
        </w:numPr>
        <w:autoSpaceDE/>
        <w:autoSpaceDN/>
        <w:ind w:left="426"/>
        <w:contextualSpacing/>
        <w:jc w:val="both"/>
        <w:rPr>
          <w:szCs w:val="24"/>
          <w:lang w:bidi="en-US"/>
        </w:rPr>
      </w:pPr>
      <w:r w:rsidRPr="007F69DA">
        <w:rPr>
          <w:szCs w:val="24"/>
          <w:lang w:bidi="en-US"/>
        </w:rPr>
        <w:t>Gegenseitigkeit (reciprocy) und</w:t>
      </w:r>
    </w:p>
    <w:p w14:paraId="685AB0D8" w14:textId="77777777" w:rsidR="007E67F1" w:rsidRPr="007F69DA" w:rsidRDefault="007E67F1">
      <w:pPr>
        <w:widowControl/>
        <w:numPr>
          <w:ilvl w:val="0"/>
          <w:numId w:val="47"/>
        </w:numPr>
        <w:autoSpaceDE/>
        <w:autoSpaceDN/>
        <w:ind w:left="426"/>
        <w:contextualSpacing/>
        <w:jc w:val="both"/>
        <w:rPr>
          <w:szCs w:val="24"/>
          <w:lang w:bidi="en-US"/>
        </w:rPr>
      </w:pPr>
      <w:r w:rsidRPr="007F69DA">
        <w:rPr>
          <w:szCs w:val="24"/>
          <w:lang w:bidi="en-US"/>
        </w:rPr>
        <w:t>Vertrauenswürdigkeit (trust).</w:t>
      </w:r>
    </w:p>
    <w:p w14:paraId="7A3F3D5C" w14:textId="77777777" w:rsidR="007E67F1" w:rsidRPr="007F69DA" w:rsidRDefault="007E67F1" w:rsidP="002B7C99">
      <w:pPr>
        <w:ind w:left="426"/>
        <w:jc w:val="both"/>
        <w:rPr>
          <w:szCs w:val="24"/>
          <w:lang w:bidi="en-US"/>
        </w:rPr>
      </w:pPr>
    </w:p>
    <w:p w14:paraId="6721EC07" w14:textId="77777777" w:rsidR="007E67F1" w:rsidRPr="007F69DA" w:rsidRDefault="007E67F1" w:rsidP="002B7C99">
      <w:pPr>
        <w:jc w:val="both"/>
        <w:rPr>
          <w:szCs w:val="24"/>
          <w:lang w:bidi="en-US"/>
        </w:rPr>
      </w:pPr>
      <w:r w:rsidRPr="007F69DA">
        <w:rPr>
          <w:szCs w:val="24"/>
          <w:lang w:bidi="en-US"/>
        </w:rPr>
        <w:t xml:space="preserve">Vertrauen ist gleichermaßen </w:t>
      </w:r>
      <w:r w:rsidRPr="007F69DA">
        <w:rPr>
          <w:bCs/>
          <w:szCs w:val="24"/>
          <w:lang w:bidi="en-US"/>
        </w:rPr>
        <w:t>Ausgangspunkt</w:t>
      </w:r>
      <w:r w:rsidRPr="007F69DA">
        <w:rPr>
          <w:szCs w:val="24"/>
          <w:lang w:bidi="en-US"/>
        </w:rPr>
        <w:t xml:space="preserve"> und </w:t>
      </w:r>
      <w:r w:rsidRPr="007F69DA">
        <w:rPr>
          <w:bCs/>
          <w:szCs w:val="24"/>
          <w:lang w:bidi="en-US"/>
        </w:rPr>
        <w:t>Ergebnis</w:t>
      </w:r>
      <w:r w:rsidRPr="007F69DA">
        <w:rPr>
          <w:szCs w:val="24"/>
          <w:lang w:bidi="en-US"/>
        </w:rPr>
        <w:t xml:space="preserve"> von Guanxi. Zunächst versucht man, das Vertrauen des Partners zu gewinnen. Insbesondere Joint Venture-Partner werden sorgfältig geprüft, ob sie vertrauenswürdig sind (vgl. Huang/Schroeder 1998; Stucken 1996, S.120). Gefestigte Beziehungen sichern im zweiten Schritt die langfristige wechselseitige Verpflichtung. Grundsätzlich ordnen Chinesen die Menschen, denen gegenüber sie sich verpflichtet fühlen, drei Kategorien zu (vgl. Tsui/Farh 1997, S.75f.): </w:t>
      </w:r>
    </w:p>
    <w:p w14:paraId="1B68C141" w14:textId="77777777" w:rsidR="007E67F1" w:rsidRPr="007F69DA" w:rsidRDefault="007E67F1">
      <w:pPr>
        <w:widowControl/>
        <w:numPr>
          <w:ilvl w:val="0"/>
          <w:numId w:val="48"/>
        </w:numPr>
        <w:autoSpaceDE/>
        <w:autoSpaceDN/>
        <w:spacing w:before="60"/>
        <w:ind w:left="426"/>
        <w:contextualSpacing/>
        <w:jc w:val="both"/>
        <w:rPr>
          <w:szCs w:val="24"/>
          <w:lang w:bidi="en-US"/>
        </w:rPr>
      </w:pPr>
      <w:r w:rsidRPr="007F69DA">
        <w:rPr>
          <w:szCs w:val="24"/>
          <w:lang w:bidi="en-US"/>
        </w:rPr>
        <w:t>Familienmitglieder (chiajen) und</w:t>
      </w:r>
    </w:p>
    <w:p w14:paraId="1CCAA5FE" w14:textId="77777777" w:rsidR="007E67F1" w:rsidRPr="007F69DA" w:rsidRDefault="007E67F1">
      <w:pPr>
        <w:widowControl/>
        <w:numPr>
          <w:ilvl w:val="0"/>
          <w:numId w:val="48"/>
        </w:numPr>
        <w:autoSpaceDE/>
        <w:autoSpaceDN/>
        <w:ind w:left="426"/>
        <w:contextualSpacing/>
        <w:jc w:val="both"/>
        <w:rPr>
          <w:szCs w:val="24"/>
          <w:lang w:bidi="en-US"/>
        </w:rPr>
      </w:pPr>
      <w:r w:rsidRPr="007F69DA">
        <w:rPr>
          <w:szCs w:val="24"/>
          <w:lang w:bidi="en-US"/>
        </w:rPr>
        <w:t>Fremde (shengjen).</w:t>
      </w:r>
    </w:p>
    <w:p w14:paraId="254ED0C6" w14:textId="77777777" w:rsidR="007E67F1" w:rsidRPr="007F69DA" w:rsidRDefault="007E67F1" w:rsidP="002B7C99">
      <w:pPr>
        <w:jc w:val="both"/>
        <w:rPr>
          <w:szCs w:val="24"/>
          <w:lang w:bidi="en-US"/>
        </w:rPr>
      </w:pPr>
    </w:p>
    <w:p w14:paraId="5BAC0B0D" w14:textId="77777777" w:rsidR="007E67F1" w:rsidRPr="007F69DA" w:rsidRDefault="007E67F1" w:rsidP="002B7C99">
      <w:pPr>
        <w:jc w:val="both"/>
        <w:rPr>
          <w:szCs w:val="24"/>
          <w:lang w:bidi="en-US"/>
        </w:rPr>
      </w:pPr>
      <w:r w:rsidRPr="007F69DA">
        <w:rPr>
          <w:szCs w:val="24"/>
          <w:lang w:bidi="en-US"/>
        </w:rPr>
        <w:t xml:space="preserve">Das wechselseitige Vertrauen nimmt in der Reihenfolge der Nennung dieser Kategorien ab. Wie lange </w:t>
      </w:r>
      <w:r w:rsidRPr="007F69DA">
        <w:rPr>
          <w:szCs w:val="24"/>
          <w:lang w:bidi="en-US"/>
        </w:rPr>
        <w:lastRenderedPageBreak/>
        <w:t xml:space="preserve">der Prozess der Vertrauensbildung dauert, hängt wesentlich von der Demographie der potentiellen Partner ab. Bestehen zwischen zwei anfänglich fremden Personen Gemeinsamkeiten hinsichtlich Alter, Ausbildung, Herkunft oder Bekanntschaftskreis, so erleichtert oder beschleunigt dies den Aufbau von Guanxi. Für alle drei dargestellten Beziehungskonstellationen ist das </w:t>
      </w:r>
      <w:r w:rsidRPr="007F69DA">
        <w:rPr>
          <w:bCs/>
          <w:szCs w:val="24"/>
          <w:lang w:bidi="en-US"/>
        </w:rPr>
        <w:t xml:space="preserve">Gesetz des </w:t>
      </w:r>
      <w:r w:rsidRPr="007F69DA">
        <w:rPr>
          <w:szCs w:val="24"/>
          <w:lang w:bidi="en-US"/>
        </w:rPr>
        <w:t xml:space="preserve">maßgeblich (Luo 1997, S.53). Dieses leitet sich einerseits von der </w:t>
      </w:r>
      <w:r w:rsidRPr="007F69DA">
        <w:rPr>
          <w:bCs/>
          <w:szCs w:val="24"/>
          <w:lang w:bidi="en-US"/>
        </w:rPr>
        <w:t>Reziprozitätsnorm</w:t>
      </w:r>
      <w:r w:rsidRPr="007F69DA">
        <w:rPr>
          <w:szCs w:val="24"/>
          <w:lang w:bidi="en-US"/>
        </w:rPr>
        <w:t xml:space="preserve"> ab. Andererseits bezieht es sich auf das </w:t>
      </w:r>
      <w:r w:rsidRPr="007F69DA">
        <w:rPr>
          <w:bCs/>
          <w:szCs w:val="24"/>
          <w:lang w:bidi="en-US"/>
        </w:rPr>
        <w:t>Einfühlungsvermögen</w:t>
      </w:r>
      <w:r w:rsidRPr="007F69DA">
        <w:rPr>
          <w:szCs w:val="24"/>
          <w:lang w:bidi="en-US"/>
        </w:rPr>
        <w:t xml:space="preserve"> des wohlwollenden Individuums in sozialen Kontakten (Hwang 1987, S.953ff.). </w:t>
      </w:r>
    </w:p>
    <w:p w14:paraId="7230EABB" w14:textId="77777777" w:rsidR="007E67F1" w:rsidRPr="007F69DA" w:rsidRDefault="007E67F1" w:rsidP="002B7C99">
      <w:pPr>
        <w:jc w:val="both"/>
        <w:rPr>
          <w:szCs w:val="24"/>
          <w:lang w:bidi="en-US"/>
        </w:rPr>
      </w:pPr>
    </w:p>
    <w:p w14:paraId="59A9EF2F" w14:textId="77777777" w:rsidR="007E67F1" w:rsidRPr="007F69DA" w:rsidRDefault="007E67F1" w:rsidP="002B7C99">
      <w:pPr>
        <w:jc w:val="both"/>
        <w:rPr>
          <w:szCs w:val="24"/>
          <w:lang w:eastAsia="de-DE"/>
        </w:rPr>
      </w:pPr>
      <w:r w:rsidRPr="007F69DA">
        <w:rPr>
          <w:szCs w:val="24"/>
          <w:lang w:eastAsia="de-DE"/>
        </w:rPr>
        <w:t xml:space="preserve">Innerhalb eines Guanxi-Netzwerkes gelten vier Grundsätze: </w:t>
      </w:r>
    </w:p>
    <w:p w14:paraId="6749C39A" w14:textId="77777777" w:rsidR="007E67F1" w:rsidRPr="007F69DA" w:rsidRDefault="007E67F1">
      <w:pPr>
        <w:widowControl/>
        <w:numPr>
          <w:ilvl w:val="0"/>
          <w:numId w:val="49"/>
        </w:numPr>
        <w:autoSpaceDE/>
        <w:autoSpaceDN/>
        <w:spacing w:before="60"/>
        <w:ind w:left="284"/>
        <w:jc w:val="both"/>
        <w:rPr>
          <w:szCs w:val="24"/>
          <w:lang w:eastAsia="de-DE"/>
        </w:rPr>
      </w:pPr>
      <w:r w:rsidRPr="007F69DA">
        <w:rPr>
          <w:szCs w:val="24"/>
          <w:lang w:eastAsia="de-DE"/>
        </w:rPr>
        <w:t>Beziehungen verpflichten, auch persönlich. Manager bspw. verpflichten sich nicht nur stellvertretend für ihr Unternehmen, sondern auch als Privatpersonen</w:t>
      </w:r>
    </w:p>
    <w:p w14:paraId="13E1C982" w14:textId="77777777" w:rsidR="007E67F1" w:rsidRPr="007F69DA" w:rsidRDefault="007E67F1">
      <w:pPr>
        <w:widowControl/>
        <w:numPr>
          <w:ilvl w:val="0"/>
          <w:numId w:val="49"/>
        </w:numPr>
        <w:autoSpaceDE/>
        <w:autoSpaceDN/>
        <w:spacing w:before="60"/>
        <w:ind w:left="284"/>
        <w:jc w:val="both"/>
        <w:rPr>
          <w:szCs w:val="24"/>
          <w:lang w:eastAsia="de-DE"/>
        </w:rPr>
      </w:pPr>
      <w:r w:rsidRPr="007F69DA">
        <w:rPr>
          <w:szCs w:val="24"/>
          <w:lang w:eastAsia="de-DE"/>
        </w:rPr>
        <w:t xml:space="preserve">Der Gefallen, den man einem Mitglied eines </w:t>
      </w:r>
      <w:r w:rsidRPr="007F69DA">
        <w:rPr>
          <w:iCs/>
          <w:szCs w:val="24"/>
          <w:lang w:eastAsia="de-DE"/>
        </w:rPr>
        <w:t>Guanxi</w:t>
      </w:r>
      <w:r w:rsidRPr="007F69DA">
        <w:rPr>
          <w:szCs w:val="24"/>
          <w:lang w:eastAsia="de-DE"/>
        </w:rPr>
        <w:t>-Netzwerkes erweist, muss dessen Status und Ansehen entsprechen.</w:t>
      </w:r>
    </w:p>
    <w:p w14:paraId="57FC3C8B" w14:textId="77777777" w:rsidR="007E67F1" w:rsidRPr="007F69DA" w:rsidRDefault="007E67F1">
      <w:pPr>
        <w:widowControl/>
        <w:numPr>
          <w:ilvl w:val="0"/>
          <w:numId w:val="49"/>
        </w:numPr>
        <w:autoSpaceDE/>
        <w:autoSpaceDN/>
        <w:spacing w:before="60"/>
        <w:ind w:left="284"/>
        <w:jc w:val="both"/>
        <w:rPr>
          <w:szCs w:val="24"/>
          <w:lang w:eastAsia="de-DE"/>
        </w:rPr>
      </w:pPr>
      <w:r w:rsidRPr="007F69DA">
        <w:rPr>
          <w:szCs w:val="24"/>
          <w:lang w:eastAsia="de-DE"/>
        </w:rPr>
        <w:t xml:space="preserve">Die Verpflichtung, die daraus erwächst, dass man Beziehungen innerhalb eines </w:t>
      </w:r>
      <w:r w:rsidRPr="007F69DA">
        <w:rPr>
          <w:iCs/>
          <w:szCs w:val="24"/>
          <w:lang w:eastAsia="de-DE"/>
        </w:rPr>
        <w:t>Guanxi</w:t>
      </w:r>
      <w:r w:rsidRPr="007F69DA">
        <w:rPr>
          <w:szCs w:val="24"/>
          <w:lang w:eastAsia="de-DE"/>
        </w:rPr>
        <w:t xml:space="preserve">-Netzwerkes zum eigenen Vorteil genutzt hat, verjähren nicht. </w:t>
      </w:r>
    </w:p>
    <w:p w14:paraId="02AB82CE" w14:textId="77777777" w:rsidR="007E67F1" w:rsidRPr="007F69DA" w:rsidRDefault="007E67F1">
      <w:pPr>
        <w:widowControl/>
        <w:numPr>
          <w:ilvl w:val="0"/>
          <w:numId w:val="49"/>
        </w:numPr>
        <w:autoSpaceDE/>
        <w:autoSpaceDN/>
        <w:spacing w:before="60"/>
        <w:ind w:left="284"/>
        <w:jc w:val="both"/>
        <w:rPr>
          <w:szCs w:val="24"/>
          <w:lang w:eastAsia="de-DE"/>
        </w:rPr>
      </w:pPr>
      <w:r w:rsidRPr="007F69DA">
        <w:rPr>
          <w:szCs w:val="24"/>
          <w:lang w:eastAsia="de-DE"/>
        </w:rPr>
        <w:t>Beziehungen sind langfristig, nicht episodisch.</w:t>
      </w:r>
    </w:p>
    <w:p w14:paraId="08C5D84E" w14:textId="77777777" w:rsidR="007E67F1" w:rsidRPr="007F69DA" w:rsidRDefault="007E67F1" w:rsidP="002B7C99">
      <w:pPr>
        <w:jc w:val="both"/>
        <w:rPr>
          <w:szCs w:val="24"/>
          <w:lang w:bidi="en-US"/>
        </w:rPr>
      </w:pPr>
    </w:p>
    <w:p w14:paraId="2907D60C" w14:textId="77777777" w:rsidR="007E67F1" w:rsidRPr="007F69DA" w:rsidRDefault="007E67F1" w:rsidP="002B7C99">
      <w:pPr>
        <w:jc w:val="both"/>
        <w:rPr>
          <w:szCs w:val="24"/>
          <w:lang w:bidi="en-US"/>
        </w:rPr>
      </w:pPr>
      <w:r w:rsidRPr="007F69DA">
        <w:rPr>
          <w:szCs w:val="24"/>
          <w:lang w:bidi="en-US"/>
        </w:rPr>
        <w:t>Manager eines westlichen Unternehmens, das sich um die Aufnahme in ein Guanxi-Netzwerk bemüht, müssen sich der Art und Dauer der Verpflichtungen bewusst sein, die damit nicht nur das Unternehmen als Institution, sondern auch sie persönlich eingehen.</w:t>
      </w:r>
    </w:p>
    <w:p w14:paraId="2CAB4D30" w14:textId="77777777" w:rsidR="007E67F1" w:rsidRPr="007F69DA" w:rsidRDefault="007E67F1" w:rsidP="002B7C99">
      <w:pPr>
        <w:jc w:val="both"/>
        <w:rPr>
          <w:szCs w:val="24"/>
          <w:lang w:bidi="en-US"/>
        </w:rPr>
      </w:pPr>
    </w:p>
    <w:p w14:paraId="42BCF5EE" w14:textId="77777777" w:rsidR="007E67F1" w:rsidRPr="007F69DA" w:rsidRDefault="007E67F1" w:rsidP="002B7C99">
      <w:pPr>
        <w:jc w:val="both"/>
        <w:rPr>
          <w:szCs w:val="24"/>
          <w:lang w:bidi="en-US"/>
        </w:rPr>
      </w:pPr>
      <w:r w:rsidRPr="007F69DA">
        <w:rPr>
          <w:szCs w:val="24"/>
          <w:lang w:bidi="en-US"/>
        </w:rPr>
        <w:t>3. Wirkung von Guanxi</w:t>
      </w:r>
    </w:p>
    <w:p w14:paraId="6633723B" w14:textId="77777777" w:rsidR="007E67F1" w:rsidRPr="007F69DA" w:rsidRDefault="007E67F1" w:rsidP="002B7C99">
      <w:pPr>
        <w:jc w:val="both"/>
        <w:rPr>
          <w:szCs w:val="24"/>
          <w:lang w:eastAsia="de-DE"/>
        </w:rPr>
      </w:pPr>
      <w:r w:rsidRPr="007F69DA">
        <w:rPr>
          <w:iCs/>
          <w:szCs w:val="24"/>
          <w:lang w:eastAsia="de-DE"/>
        </w:rPr>
        <w:t>Guanxi</w:t>
      </w:r>
      <w:r w:rsidRPr="007F69DA">
        <w:rPr>
          <w:szCs w:val="24"/>
          <w:lang w:eastAsia="de-DE"/>
        </w:rPr>
        <w:t xml:space="preserve"> ist ein Netzwerk konkreter persönlicher Beziehungen zwischen </w:t>
      </w:r>
      <w:r w:rsidRPr="007F69DA">
        <w:rPr>
          <w:iCs/>
          <w:szCs w:val="24"/>
          <w:lang w:eastAsia="de-DE"/>
        </w:rPr>
        <w:t>Individuen</w:t>
      </w:r>
      <w:r w:rsidRPr="007F69DA">
        <w:rPr>
          <w:szCs w:val="24"/>
          <w:lang w:eastAsia="de-DE"/>
        </w:rPr>
        <w:t xml:space="preserve">. Netzwerke zwischen </w:t>
      </w:r>
      <w:r w:rsidRPr="007F69DA">
        <w:rPr>
          <w:iCs/>
          <w:szCs w:val="24"/>
          <w:lang w:eastAsia="de-DE"/>
        </w:rPr>
        <w:t>Unternehmen</w:t>
      </w:r>
      <w:r w:rsidRPr="007F69DA">
        <w:rPr>
          <w:szCs w:val="24"/>
          <w:lang w:eastAsia="de-DE"/>
        </w:rPr>
        <w:t xml:space="preserve"> sind sekundär, d.h. eine Begleiterscheinung der persönlichen Beziehungen von Eigentümern, Führungskräften und Mitarbeitern. Die Verpflichtungen, die daraus erwachsen, sind deshalb nicht institutioneller Art (bspw. von Positionsinhabern), sondern Verpflichtungen, welche das Individuum als natürliche Person eingegangen ist.</w:t>
      </w:r>
    </w:p>
    <w:p w14:paraId="5EB21D98" w14:textId="77777777" w:rsidR="007E67F1" w:rsidRPr="007F69DA" w:rsidRDefault="007E67F1" w:rsidP="002B7C99">
      <w:pPr>
        <w:jc w:val="both"/>
        <w:rPr>
          <w:szCs w:val="24"/>
          <w:lang w:bidi="en-US"/>
        </w:rPr>
      </w:pPr>
    </w:p>
    <w:p w14:paraId="72263A17" w14:textId="77777777" w:rsidR="007E67F1" w:rsidRPr="007F69DA" w:rsidRDefault="007E67F1" w:rsidP="002B7C99">
      <w:pPr>
        <w:jc w:val="both"/>
        <w:rPr>
          <w:szCs w:val="24"/>
          <w:lang w:bidi="en-US"/>
        </w:rPr>
      </w:pPr>
      <w:r w:rsidRPr="007F69DA">
        <w:rPr>
          <w:szCs w:val="24"/>
          <w:lang w:bidi="en-US"/>
        </w:rPr>
        <w:t xml:space="preserve">Gutes Guanxi zu haben scheint gerade in einem risikoreichen Umfeld, in dem das Bewusstsein für die Notwendigkeit normativer Regeln kaum vorhanden ist (etwa in zahlreichen Entwicklungs- und Schwellenländern), das geeignete Mittel zu sein, um die Unternehmensziele zu erreichen. Eine Befragung von Davies et al. (1995, S.207ff.), die in einem Pretest 15 Sachverhalte ermittelten, welche Guanxi positiv beeinflussen kann, bestätigt diese Vermutung. Nach Ansicht von 150 chinesischen, in Hong Kong tätigen Managern hilft Guanxi vor allem, den </w:t>
      </w:r>
      <w:r w:rsidRPr="007F69DA">
        <w:rPr>
          <w:bCs/>
          <w:szCs w:val="24"/>
          <w:lang w:bidi="en-US"/>
        </w:rPr>
        <w:t>Eingang von Zahlungen</w:t>
      </w:r>
      <w:r w:rsidRPr="007F69DA">
        <w:rPr>
          <w:szCs w:val="24"/>
          <w:lang w:bidi="en-US"/>
        </w:rPr>
        <w:t xml:space="preserve"> zu erleichtern bzw. zu gewährleisten. An zweiter Stelle rangiert „Unterstützung beim Beantragen von Importlizenzen“ und an dritter Stelle „Unterstützung bei Anträgen an Behörden“. Unterzieht man die Gesamtheit der Wichtigkeitsurteile einer Faktorenanalyse, so ergibt sich eine </w:t>
      </w:r>
      <w:r w:rsidRPr="007F69DA">
        <w:rPr>
          <w:bCs/>
          <w:szCs w:val="24"/>
          <w:lang w:bidi="en-US"/>
        </w:rPr>
        <w:t>vierfaktorielle Struktur des Nutzens</w:t>
      </w:r>
      <w:r w:rsidRPr="007F69DA">
        <w:rPr>
          <w:szCs w:val="24"/>
          <w:lang w:bidi="en-US"/>
        </w:rPr>
        <w:t>, den Guanxi verspricht:</w:t>
      </w:r>
    </w:p>
    <w:p w14:paraId="3F8F7772" w14:textId="77777777" w:rsidR="007E67F1" w:rsidRPr="007F69DA" w:rsidRDefault="007E67F1">
      <w:pPr>
        <w:widowControl/>
        <w:numPr>
          <w:ilvl w:val="0"/>
          <w:numId w:val="50"/>
        </w:numPr>
        <w:autoSpaceDE/>
        <w:autoSpaceDN/>
        <w:spacing w:before="60"/>
        <w:ind w:left="426"/>
        <w:contextualSpacing/>
        <w:jc w:val="both"/>
        <w:rPr>
          <w:szCs w:val="24"/>
          <w:lang w:bidi="en-US"/>
        </w:rPr>
      </w:pPr>
      <w:r w:rsidRPr="007F69DA">
        <w:rPr>
          <w:szCs w:val="24"/>
          <w:lang w:bidi="en-US"/>
        </w:rPr>
        <w:t>Faktor 1 = Zugang zu Ressourcen,</w:t>
      </w:r>
    </w:p>
    <w:p w14:paraId="7DE62A40" w14:textId="77777777" w:rsidR="007E67F1" w:rsidRPr="007F69DA" w:rsidRDefault="007E67F1">
      <w:pPr>
        <w:widowControl/>
        <w:numPr>
          <w:ilvl w:val="0"/>
          <w:numId w:val="50"/>
        </w:numPr>
        <w:autoSpaceDE/>
        <w:autoSpaceDN/>
        <w:ind w:left="426"/>
        <w:contextualSpacing/>
        <w:jc w:val="both"/>
        <w:rPr>
          <w:szCs w:val="24"/>
          <w:lang w:bidi="en-US"/>
        </w:rPr>
      </w:pPr>
      <w:r w:rsidRPr="007F69DA">
        <w:rPr>
          <w:szCs w:val="24"/>
          <w:lang w:bidi="en-US"/>
        </w:rPr>
        <w:t>Faktor 2 = Erleichterung des Umgangs mit Behörden,</w:t>
      </w:r>
    </w:p>
    <w:p w14:paraId="01EFD14A" w14:textId="77777777" w:rsidR="007E67F1" w:rsidRPr="007F69DA" w:rsidRDefault="007E67F1">
      <w:pPr>
        <w:widowControl/>
        <w:numPr>
          <w:ilvl w:val="0"/>
          <w:numId w:val="50"/>
        </w:numPr>
        <w:autoSpaceDE/>
        <w:autoSpaceDN/>
        <w:ind w:left="426"/>
        <w:contextualSpacing/>
        <w:jc w:val="both"/>
        <w:rPr>
          <w:szCs w:val="24"/>
          <w:lang w:bidi="en-US"/>
        </w:rPr>
      </w:pPr>
      <w:r w:rsidRPr="007F69DA">
        <w:rPr>
          <w:szCs w:val="24"/>
          <w:lang w:bidi="en-US"/>
        </w:rPr>
        <w:t>Faktor 3 = Verbesserung von Marktchancen,</w:t>
      </w:r>
    </w:p>
    <w:p w14:paraId="683CB70F" w14:textId="77777777" w:rsidR="007E67F1" w:rsidRPr="007F69DA" w:rsidRDefault="007E67F1">
      <w:pPr>
        <w:widowControl/>
        <w:numPr>
          <w:ilvl w:val="0"/>
          <w:numId w:val="50"/>
        </w:numPr>
        <w:autoSpaceDE/>
        <w:autoSpaceDN/>
        <w:ind w:left="426"/>
        <w:contextualSpacing/>
        <w:jc w:val="both"/>
        <w:rPr>
          <w:szCs w:val="24"/>
          <w:lang w:bidi="en-US"/>
        </w:rPr>
      </w:pPr>
      <w:r w:rsidRPr="007F69DA">
        <w:rPr>
          <w:szCs w:val="24"/>
          <w:lang w:bidi="en-US"/>
        </w:rPr>
        <w:t>Faktor 4 = Beschleunigung von Prozessen.</w:t>
      </w:r>
    </w:p>
    <w:p w14:paraId="7C47969C" w14:textId="77777777" w:rsidR="007E67F1" w:rsidRPr="007F69DA" w:rsidRDefault="007E67F1" w:rsidP="002B7C99">
      <w:pPr>
        <w:ind w:left="426"/>
        <w:jc w:val="both"/>
        <w:rPr>
          <w:szCs w:val="24"/>
          <w:lang w:bidi="en-US"/>
        </w:rPr>
      </w:pPr>
    </w:p>
    <w:p w14:paraId="6169DF8C" w14:textId="77777777" w:rsidR="007E67F1" w:rsidRPr="007F69DA" w:rsidRDefault="007E67F1" w:rsidP="002B7C99">
      <w:pPr>
        <w:spacing w:before="60"/>
        <w:jc w:val="both"/>
        <w:rPr>
          <w:szCs w:val="24"/>
          <w:lang w:eastAsia="de-DE"/>
        </w:rPr>
      </w:pPr>
      <w:r w:rsidRPr="007F69DA">
        <w:rPr>
          <w:szCs w:val="24"/>
          <w:lang w:eastAsia="de-DE"/>
        </w:rPr>
        <w:t xml:space="preserve">Dass die meisten Auslandschinesen in den ersten Jahren der marktwirtschaftlichen Öffnung der Volksrepublik China vorrangig in ihren alten Heimatstädten investierten, lässt sich damit begründen, dass sie in ihr Guanxi investieren wollten. Denn ihr finanzielles Engagement verschuf ihnen Zugang zu den machthabenden Kreisen in ihrer Stadt. Dies wiederum hatte bspw. zur Folge, dass „ihre Verwandten bessere Arbeitsplätze erhielten und schließlich auswandern konnten. Ihnen selbst erwuchs aus ihrem Engagement zukünftiges </w:t>
      </w:r>
      <w:r w:rsidRPr="007F69DA">
        <w:rPr>
          <w:iCs/>
          <w:szCs w:val="24"/>
          <w:lang w:eastAsia="de-DE"/>
        </w:rPr>
        <w:t>Guanxi</w:t>
      </w:r>
      <w:r w:rsidRPr="007F69DA">
        <w:rPr>
          <w:szCs w:val="24"/>
          <w:lang w:eastAsia="de-DE"/>
        </w:rPr>
        <w:t xml:space="preserve"> für weitere Investitionen. So entwickelte sich ein riesiges Netzwerk, das heute in alle Bereiche des Staates hineinreicht. Als die westlichen Unternehmen schließlich den lang erwarteten Schritt nach China unternahmen, fanden sie dort einen Staat vor, dem durch persönliche Konflikte und konkurrierende Interessen innerhalb der Ministerien die Hände gebunden sind“ (</w:t>
      </w:r>
      <w:r w:rsidRPr="007F69DA">
        <w:rPr>
          <w:iCs/>
          <w:szCs w:val="24"/>
          <w:lang w:eastAsia="de-DE"/>
        </w:rPr>
        <w:t>Fok 2000</w:t>
      </w:r>
      <w:r w:rsidRPr="007F69DA">
        <w:rPr>
          <w:szCs w:val="24"/>
          <w:lang w:eastAsia="de-DE"/>
        </w:rPr>
        <w:t>).</w:t>
      </w:r>
    </w:p>
    <w:p w14:paraId="35B1E7E2" w14:textId="77777777" w:rsidR="007E67F1" w:rsidRPr="007F69DA" w:rsidRDefault="007E67F1" w:rsidP="002B7C99">
      <w:pPr>
        <w:spacing w:before="60"/>
        <w:jc w:val="both"/>
        <w:rPr>
          <w:szCs w:val="24"/>
          <w:lang w:eastAsia="de-DE"/>
        </w:rPr>
      </w:pPr>
    </w:p>
    <w:p w14:paraId="0519A3C5" w14:textId="77777777" w:rsidR="007E67F1" w:rsidRPr="007F69DA" w:rsidRDefault="007E67F1" w:rsidP="002B7C99">
      <w:pPr>
        <w:jc w:val="both"/>
        <w:rPr>
          <w:szCs w:val="24"/>
          <w:lang w:bidi="en-US"/>
        </w:rPr>
      </w:pPr>
      <w:r w:rsidRPr="007F69DA">
        <w:rPr>
          <w:szCs w:val="24"/>
          <w:lang w:bidi="en-US"/>
        </w:rPr>
        <w:t>4. Kritische Würdigung</w:t>
      </w:r>
    </w:p>
    <w:p w14:paraId="43AC67CD" w14:textId="77777777" w:rsidR="007E67F1" w:rsidRPr="007F69DA" w:rsidRDefault="007E67F1" w:rsidP="002B7C99">
      <w:pPr>
        <w:jc w:val="both"/>
        <w:rPr>
          <w:szCs w:val="24"/>
          <w:lang w:bidi="en-US"/>
        </w:rPr>
      </w:pPr>
      <w:r w:rsidRPr="007F69DA">
        <w:rPr>
          <w:szCs w:val="24"/>
          <w:lang w:bidi="en-US"/>
        </w:rPr>
        <w:t xml:space="preserve">Befürworter vergleichen Investitionen in Guanxi mit dem Bau einer Brücke über einen trennenden Fluss </w:t>
      </w:r>
      <w:r w:rsidRPr="007F69DA">
        <w:rPr>
          <w:szCs w:val="24"/>
          <w:lang w:bidi="en-US"/>
        </w:rPr>
        <w:lastRenderedPageBreak/>
        <w:t xml:space="preserve">(vgl. Yau et al. 2000, S.17).). Kein Marketinginstrument generiere bei vergleichbar geringen Kosten mehr Wachstum (vgl. Luo 1997). Kritiker setzen Guanxi hingegen mit Vetternwirtschaft gleich und führen bspw. die Asienkrise auf die Überbetonung von Beziehungen und damit die </w:t>
      </w:r>
      <w:r w:rsidRPr="007F69DA">
        <w:rPr>
          <w:bCs/>
          <w:szCs w:val="24"/>
          <w:lang w:bidi="en-US"/>
        </w:rPr>
        <w:t>Patronage</w:t>
      </w:r>
      <w:r w:rsidRPr="007F69DA">
        <w:rPr>
          <w:szCs w:val="24"/>
          <w:lang w:bidi="en-US"/>
        </w:rPr>
        <w:t xml:space="preserve"> unfähiger Manager zurück (Lovett et al. 1999, S.242). Häufig werde auch übersehen, dass Guanxi das persönliche Eigentum des jeweiligen Mitarbeiters ist und deshalb nicht ausschließlich zum Vorteil des Unternehmens eingesetzt wird. Wenn der chinesische Verkaufsrepräsentant eines ausländischen Pharmaunternehmens „nebenher“ auch die Produkte eines konkurrierenden chinesischen Anbieters verkauft, so deshalb, weil er Guanxi als sein </w:t>
      </w:r>
      <w:r w:rsidRPr="007F69DA">
        <w:rPr>
          <w:bCs/>
          <w:szCs w:val="24"/>
          <w:lang w:bidi="en-US"/>
        </w:rPr>
        <w:t>persönliches Kapital</w:t>
      </w:r>
      <w:r w:rsidRPr="007F69DA">
        <w:rPr>
          <w:szCs w:val="24"/>
          <w:lang w:bidi="en-US"/>
        </w:rPr>
        <w:t xml:space="preserve"> auffasst (vgl. Vanhonacker 2004, S.8). Weiterhin muss das Unternehmen damit rechnen, dass der gleiche Verkäufer für „seine“ Kunden möglichst günstige Zahlungsbedingungen vereinbart, selbst wenn er dadurch den Interessen seines Arbeitgebers schadet. Wer also sicher gehen möchte, dass diese „Ethik des Austausches und der gegenseitigen Verpflichtung“ nicht zu seinen Lasten geht, sollte über die Guanxi-Verpflichtungen seiner Mitarbeiter Bescheid wissen.</w:t>
      </w:r>
    </w:p>
    <w:p w14:paraId="4816F5E5" w14:textId="77777777" w:rsidR="007E67F1" w:rsidRPr="007F69DA" w:rsidRDefault="007E67F1" w:rsidP="002B7C99">
      <w:pPr>
        <w:jc w:val="both"/>
        <w:rPr>
          <w:szCs w:val="24"/>
          <w:lang w:bidi="en-US"/>
        </w:rPr>
      </w:pPr>
    </w:p>
    <w:p w14:paraId="33E4248A" w14:textId="77777777" w:rsidR="007E67F1" w:rsidRPr="007F69DA" w:rsidRDefault="007E67F1" w:rsidP="002B7C99">
      <w:pPr>
        <w:jc w:val="both"/>
        <w:rPr>
          <w:szCs w:val="24"/>
          <w:lang w:bidi="en-US"/>
        </w:rPr>
      </w:pPr>
      <w:r w:rsidRPr="007F69DA">
        <w:rPr>
          <w:szCs w:val="24"/>
          <w:lang w:bidi="en-US"/>
        </w:rPr>
        <w:t>Im Übrigen ist zu bedenken: Wer Guanxi als „Beziehung“ übersetzt, erfasst nur einen mehr oder minder großen Teil der tatsächlichen Bedeutung: die aus …</w:t>
      </w:r>
    </w:p>
    <w:p w14:paraId="525A8D83" w14:textId="77777777" w:rsidR="007E67F1" w:rsidRPr="007F69DA" w:rsidRDefault="007E67F1">
      <w:pPr>
        <w:pStyle w:val="Listenabsatz"/>
        <w:widowControl/>
        <w:numPr>
          <w:ilvl w:val="0"/>
          <w:numId w:val="51"/>
        </w:numPr>
        <w:autoSpaceDE/>
        <w:autoSpaceDN/>
        <w:ind w:left="426"/>
        <w:contextualSpacing/>
        <w:rPr>
          <w:szCs w:val="24"/>
          <w:lang w:bidi="en-US"/>
        </w:rPr>
      </w:pPr>
      <w:r w:rsidRPr="007F69DA">
        <w:rPr>
          <w:szCs w:val="24"/>
          <w:lang w:bidi="en-US"/>
        </w:rPr>
        <w:t xml:space="preserve">Kontakten (= Bekanntsein mit anderen Menschen), </w:t>
      </w:r>
    </w:p>
    <w:p w14:paraId="76F3AA16" w14:textId="77777777" w:rsidR="007E67F1" w:rsidRPr="007F69DA" w:rsidRDefault="007E67F1">
      <w:pPr>
        <w:pStyle w:val="Listenabsatz"/>
        <w:widowControl/>
        <w:numPr>
          <w:ilvl w:val="0"/>
          <w:numId w:val="51"/>
        </w:numPr>
        <w:autoSpaceDE/>
        <w:autoSpaceDN/>
        <w:ind w:left="426"/>
        <w:contextualSpacing/>
        <w:rPr>
          <w:szCs w:val="24"/>
          <w:lang w:bidi="en-US"/>
        </w:rPr>
      </w:pPr>
      <w:r w:rsidRPr="007F69DA">
        <w:rPr>
          <w:szCs w:val="24"/>
          <w:lang w:bidi="en-US"/>
        </w:rPr>
        <w:t xml:space="preserve">Verbindungen (= Netzwerk vielfältiger Beziehungen) und </w:t>
      </w:r>
    </w:p>
    <w:p w14:paraId="7CD1037A" w14:textId="77777777" w:rsidR="007E67F1" w:rsidRPr="007F69DA" w:rsidRDefault="007E67F1">
      <w:pPr>
        <w:pStyle w:val="Listenabsatz"/>
        <w:widowControl/>
        <w:numPr>
          <w:ilvl w:val="0"/>
          <w:numId w:val="51"/>
        </w:numPr>
        <w:autoSpaceDE/>
        <w:autoSpaceDN/>
        <w:ind w:left="426"/>
        <w:contextualSpacing/>
        <w:rPr>
          <w:szCs w:val="24"/>
          <w:lang w:bidi="en-US"/>
        </w:rPr>
      </w:pPr>
      <w:r w:rsidRPr="007F69DA">
        <w:rPr>
          <w:szCs w:val="24"/>
          <w:lang w:bidi="en-US"/>
        </w:rPr>
        <w:t xml:space="preserve">Sozialkompetenz (= Fähigkeit, Personen oder Ereignisse zu beeinflussen) </w:t>
      </w:r>
    </w:p>
    <w:p w14:paraId="797F5854" w14:textId="77777777" w:rsidR="007E67F1" w:rsidRPr="007F69DA" w:rsidRDefault="007E67F1" w:rsidP="002B7C99">
      <w:pPr>
        <w:jc w:val="both"/>
        <w:rPr>
          <w:szCs w:val="24"/>
          <w:lang w:bidi="en-US"/>
        </w:rPr>
      </w:pPr>
      <w:r w:rsidRPr="007F69DA">
        <w:rPr>
          <w:szCs w:val="24"/>
          <w:lang w:bidi="en-US"/>
        </w:rPr>
        <w:t xml:space="preserve">erwachsene Fähigkeit zur systematischen und nachhaltigen Einflussnahme. Dies reicht von singulären Akten bis hin zu einem „Netzwerk des kalkulierten Vorteils“, das den meisten Organisationen und Regierungsbehörden in China zugrunde liegt. Das Sprichwort, „sich durch die Hintertüre das zu beschaffen, was man durch den Haupteingang nicht erreicht hat“ (Kutschker/Schmid 1997, S.180), bringt die Guanxi-Philosophie bildhaft zum Ausdruck. </w:t>
      </w:r>
      <w:bookmarkStart w:id="21" w:name="_Toc417287369"/>
    </w:p>
    <w:p w14:paraId="49C22BC4" w14:textId="116A1871" w:rsidR="007E67F1" w:rsidRPr="002B7C99" w:rsidRDefault="007E67F1" w:rsidP="002B7C99">
      <w:pPr>
        <w:pStyle w:val="Literatur"/>
        <w:numPr>
          <w:ilvl w:val="0"/>
          <w:numId w:val="0"/>
        </w:numPr>
        <w:spacing w:line="240" w:lineRule="auto"/>
        <w:rPr>
          <w:sz w:val="22"/>
          <w:szCs w:val="22"/>
        </w:rPr>
      </w:pPr>
      <w:r w:rsidRPr="002B7C99">
        <w:rPr>
          <w:b/>
          <w:bCs w:val="0"/>
          <w:i/>
          <w:sz w:val="22"/>
          <w:szCs w:val="22"/>
          <w:u w:val="single"/>
          <w:lang w:val="en-US" w:bidi="en-US"/>
        </w:rPr>
        <w:t>Literatur</w:t>
      </w:r>
      <w:r w:rsidRPr="00544326">
        <w:rPr>
          <w:i/>
          <w:sz w:val="22"/>
          <w:szCs w:val="22"/>
          <w:u w:val="single"/>
          <w:lang w:val="en-US" w:bidi="en-US"/>
        </w:rPr>
        <w:t>:</w:t>
      </w:r>
      <w:r w:rsidRPr="007F69DA">
        <w:rPr>
          <w:szCs w:val="24"/>
          <w:u w:val="single"/>
          <w:lang w:val="en-US" w:bidi="en-US"/>
        </w:rPr>
        <w:t xml:space="preserve"> </w:t>
      </w:r>
      <w:r w:rsidRPr="007F69DA">
        <w:rPr>
          <w:sz w:val="22"/>
          <w:szCs w:val="22"/>
          <w:lang w:val="en-US"/>
        </w:rPr>
        <w:t xml:space="preserve">Arias, J.T.G. (1998): A Relationship Marketing Approach to Guanxi, European Journal of Marketing, 32(1/2): 145-156.    Davies, H.; Leung, T.K.P.; Luk, S.T.K.; Wong, Y.-H. (1995): The Benefits of „Guanxi“. The Value of Relationships in Developing the Chinese Market, Industrial Marketing Management, 24(3): 207-214.    </w:t>
      </w:r>
      <w:r w:rsidRPr="007F69DA">
        <w:rPr>
          <w:sz w:val="22"/>
          <w:szCs w:val="22"/>
        </w:rPr>
        <w:t xml:space="preserve">Dülfer, E.; Jöstingmeier, B. (2008): Internationales Management in unterschiedlichen Kulturbereichen, 7. Aufl., München: Oldenbourg.    </w:t>
      </w:r>
      <w:r w:rsidRPr="007F69DA">
        <w:rPr>
          <w:iCs/>
          <w:sz w:val="22"/>
          <w:szCs w:val="22"/>
        </w:rPr>
        <w:t>Fok, T. (</w:t>
      </w:r>
      <w:r w:rsidRPr="007F69DA">
        <w:rPr>
          <w:sz w:val="22"/>
          <w:szCs w:val="22"/>
        </w:rPr>
        <w:t xml:space="preserve">2000): Alte Tradition, Wirtschaftswoche, 54(4): 38.    Graham, J.L.; Lam, N.M. (2004): Geschäfte mit Chinesen, Harvard Business Manager, 26(1): 41-55.   Henze, J. (2008). Die Rolle von Vertrauen in sozialen Beziehungen. Das Beispiel chinesischsprachiger Kulturräume, in: Jammal, E. (Hrsg.), Vertrauen im interkulturellen Kontext, 193-211, Wiesbaden: Verlag für Sozialwissenschaften.   </w:t>
      </w:r>
      <w:r w:rsidRPr="007F69DA">
        <w:rPr>
          <w:sz w:val="22"/>
          <w:szCs w:val="22"/>
          <w:lang w:val="en-US"/>
        </w:rPr>
        <w:t xml:space="preserve">Hofstede, G.; Bond, M.H. (1988): The Confucius Connection. From Cultural Roots to Economic Growth, Organizational Dynamics, 14(4): 4-21.    </w:t>
      </w:r>
      <w:r w:rsidRPr="007F69DA">
        <w:rPr>
          <w:sz w:val="22"/>
          <w:szCs w:val="22"/>
        </w:rPr>
        <w:t xml:space="preserve">Huang, Y.; Schroeder, D. (1998): Analyse des Joint Venture Partners, in: Dietz, K.; Harnischfeger-Ksoll, M. (Hrsg.), Erfahrungen im China-Geschäft, 227-241, Wiesbaden: Gabler.   </w:t>
      </w:r>
      <w:r w:rsidRPr="007F69DA">
        <w:rPr>
          <w:sz w:val="22"/>
          <w:szCs w:val="22"/>
          <w:lang w:val="en-US"/>
        </w:rPr>
        <w:t xml:space="preserve">Hwang, K. (1987): Face and Favor. The Chinese Power Game, American Journal of Sociology, 92(4): 944-974.   </w:t>
      </w:r>
      <w:r w:rsidRPr="007F69DA">
        <w:rPr>
          <w:iCs/>
          <w:sz w:val="22"/>
          <w:szCs w:val="22"/>
        </w:rPr>
        <w:t>Kutschker, M.; Schmid, S. (1997)</w:t>
      </w:r>
      <w:r w:rsidRPr="007F69DA">
        <w:rPr>
          <w:sz w:val="22"/>
          <w:szCs w:val="22"/>
        </w:rPr>
        <w:t xml:space="preserve">: „Guanxi“ oder: Die Bedeutung von Beziehungen in China, in: Kutschker, M. (Hrsg.), Management in China. Die unternehmerischen Chancen nutzen, 175-201, Frankfurt/Main: Frankfurter Allgemeine Zeitung.    </w:t>
      </w:r>
      <w:r w:rsidRPr="007F69DA">
        <w:rPr>
          <w:iCs/>
          <w:sz w:val="22"/>
          <w:szCs w:val="22"/>
        </w:rPr>
        <w:t>Lovett, S.; Simmons, L.C.; Kali, R. (1999)</w:t>
      </w:r>
      <w:r w:rsidRPr="007F69DA">
        <w:rPr>
          <w:sz w:val="22"/>
          <w:szCs w:val="22"/>
        </w:rPr>
        <w:t xml:space="preserve">: Guanxi versus the Market. </w:t>
      </w:r>
      <w:r w:rsidRPr="007F69DA">
        <w:rPr>
          <w:sz w:val="22"/>
          <w:szCs w:val="22"/>
          <w:lang w:val="en-GB"/>
        </w:rPr>
        <w:t xml:space="preserve">Ethics and Efficiency, Journal of International Business Studies, 30(1): 231-247.   </w:t>
      </w:r>
      <w:r w:rsidRPr="007F69DA">
        <w:rPr>
          <w:sz w:val="22"/>
          <w:szCs w:val="22"/>
          <w:lang w:val="en-US"/>
        </w:rPr>
        <w:t xml:space="preserve">Luo, Y. (1997): Guanxi and Performance of Foreign-Invested Enterprises in China. </w:t>
      </w:r>
      <w:r w:rsidRPr="007F69DA">
        <w:rPr>
          <w:sz w:val="22"/>
          <w:szCs w:val="22"/>
        </w:rPr>
        <w:t xml:space="preserve">An Empirical Inquiry, Management International Review, 37(1): 51-70.   Müller, S., Gelbrich, K., Schunk, H.A. (2004). Guanxi: Beziehungsmanagement auf Chinesisch, in: Wiedmann, KP., Fritz, W., Abel, B. (Hrsg.), Management mit Vision und Verantwortung, 625-642, Wiesbaden: Gabler.  </w:t>
      </w:r>
      <w:r w:rsidRPr="007F69DA">
        <w:t xml:space="preserve"> </w:t>
      </w:r>
      <w:r w:rsidRPr="007F69DA">
        <w:rPr>
          <w:sz w:val="22"/>
          <w:szCs w:val="22"/>
          <w:lang w:val="en-US"/>
        </w:rPr>
        <w:t xml:space="preserve">Stucken, B.-U. (1996): Verhandeln mit Chinesen, Harvard Business manager, 19(2): 115-120.   Tsui, A.S.; Farh, J.L.L. (1997): Where Guanxi Matters. Relational Demography and Guanxi in the Chinese Context, Work and Occupations, 24(1): 56-79.   </w:t>
      </w:r>
      <w:r w:rsidRPr="007F69DA">
        <w:rPr>
          <w:sz w:val="22"/>
          <w:szCs w:val="22"/>
        </w:rPr>
        <w:t>Vanhonacker, W.R. (2004): Gute Freunde, schlechte Freunde, Harvard Business Manager, 27(6): 8-10.   Zinzius, B. (2006): China Business, 2. Aufl., Berlin: Springer</w:t>
      </w:r>
      <w:bookmarkEnd w:id="21"/>
    </w:p>
    <w:p w14:paraId="1E4033CE" w14:textId="77777777" w:rsidR="00FF7799" w:rsidRPr="002B7C99" w:rsidRDefault="00FF7799" w:rsidP="00FB1F0F">
      <w:pPr>
        <w:pStyle w:val="berschrift1"/>
        <w:rPr>
          <w:bCs w:val="0"/>
          <w:color w:val="2E74B5"/>
          <w:sz w:val="22"/>
          <w:lang w:val="en-US"/>
        </w:rPr>
      </w:pPr>
      <w:r w:rsidRPr="002B7C99">
        <w:rPr>
          <w:bCs w:val="0"/>
          <w:color w:val="2E74B5"/>
          <w:sz w:val="22"/>
          <w:lang w:val="en-US"/>
        </w:rPr>
        <w:t>Habitus</w:t>
      </w:r>
    </w:p>
    <w:p w14:paraId="201034AA" w14:textId="441FCB15" w:rsidR="00FF7799" w:rsidRPr="00E73F6F" w:rsidRDefault="00FF7799" w:rsidP="00C77E75">
      <w:pPr>
        <w:pStyle w:val="StandardText"/>
      </w:pPr>
      <w:r w:rsidRPr="00E73F6F">
        <w:t>„ein</w:t>
      </w:r>
      <w:r w:rsidRPr="00E73F6F">
        <w:rPr>
          <w:spacing w:val="-1"/>
        </w:rPr>
        <w:t xml:space="preserve"> </w:t>
      </w:r>
      <w:r w:rsidRPr="00E73F6F">
        <w:t>System</w:t>
      </w:r>
      <w:r w:rsidRPr="00E73F6F">
        <w:rPr>
          <w:spacing w:val="-3"/>
        </w:rPr>
        <w:t xml:space="preserve"> </w:t>
      </w:r>
      <w:r w:rsidRPr="00E73F6F">
        <w:t>permanenter</w:t>
      </w:r>
      <w:r w:rsidRPr="00E73F6F">
        <w:rPr>
          <w:spacing w:val="-2"/>
        </w:rPr>
        <w:t xml:space="preserve"> </w:t>
      </w:r>
      <w:r w:rsidRPr="00E73F6F">
        <w:t>und</w:t>
      </w:r>
      <w:r w:rsidRPr="00E73F6F">
        <w:rPr>
          <w:spacing w:val="-3"/>
        </w:rPr>
        <w:t xml:space="preserve"> </w:t>
      </w:r>
      <w:r w:rsidRPr="00E73F6F">
        <w:t>übertragbarer</w:t>
      </w:r>
      <w:r w:rsidRPr="00E73F6F">
        <w:rPr>
          <w:spacing w:val="-2"/>
        </w:rPr>
        <w:t xml:space="preserve"> </w:t>
      </w:r>
      <w:r w:rsidRPr="00E73F6F">
        <w:t>Dispositionen.</w:t>
      </w:r>
      <w:r w:rsidRPr="00E73F6F">
        <w:rPr>
          <w:spacing w:val="-2"/>
        </w:rPr>
        <w:t xml:space="preserve"> </w:t>
      </w:r>
      <w:r w:rsidRPr="00E73F6F">
        <w:t>Ein</w:t>
      </w:r>
      <w:r w:rsidRPr="00E73F6F">
        <w:rPr>
          <w:spacing w:val="-1"/>
        </w:rPr>
        <w:t xml:space="preserve"> </w:t>
      </w:r>
      <w:r w:rsidRPr="00E73F6F">
        <w:t>Habitus</w:t>
      </w:r>
      <w:r w:rsidRPr="00E73F6F">
        <w:rPr>
          <w:spacing w:val="-3"/>
        </w:rPr>
        <w:t xml:space="preserve"> </w:t>
      </w:r>
      <w:r w:rsidRPr="00E73F6F">
        <w:t>[…]</w:t>
      </w:r>
      <w:r w:rsidRPr="00E73F6F">
        <w:rPr>
          <w:spacing w:val="-2"/>
        </w:rPr>
        <w:t xml:space="preserve"> </w:t>
      </w:r>
      <w:r w:rsidRPr="00E73F6F">
        <w:t>dient als Basis für Praktiken und Vorstellungen […], die sich ohne eigentlichen Dirigenten</w:t>
      </w:r>
      <w:r w:rsidRPr="00E73F6F">
        <w:rPr>
          <w:spacing w:val="-12"/>
        </w:rPr>
        <w:t xml:space="preserve"> </w:t>
      </w:r>
      <w:r w:rsidRPr="00E73F6F">
        <w:t>orchestrieren</w:t>
      </w:r>
      <w:r w:rsidRPr="00E73F6F">
        <w:rPr>
          <w:spacing w:val="-11"/>
        </w:rPr>
        <w:t xml:space="preserve"> </w:t>
      </w:r>
      <w:r w:rsidRPr="00E73F6F">
        <w:t>lassen“</w:t>
      </w:r>
      <w:r w:rsidRPr="00E73F6F">
        <w:rPr>
          <w:spacing w:val="-11"/>
        </w:rPr>
        <w:t xml:space="preserve"> </w:t>
      </w:r>
      <w:r w:rsidRPr="00E73F6F">
        <w:t>(Bourdieu</w:t>
      </w:r>
      <w:r w:rsidRPr="00E73F6F">
        <w:rPr>
          <w:spacing w:val="-11"/>
        </w:rPr>
        <w:t xml:space="preserve"> </w:t>
      </w:r>
      <w:r w:rsidRPr="00E73F6F">
        <w:t>1980,</w:t>
      </w:r>
      <w:r w:rsidRPr="00E73F6F">
        <w:rPr>
          <w:spacing w:val="-12"/>
        </w:rPr>
        <w:t xml:space="preserve"> </w:t>
      </w:r>
      <w:r w:rsidRPr="00E73F6F">
        <w:t>S.88).</w:t>
      </w:r>
      <w:r w:rsidRPr="00E73F6F">
        <w:rPr>
          <w:spacing w:val="-11"/>
        </w:rPr>
        <w:t xml:space="preserve"> </w:t>
      </w:r>
      <w:r w:rsidRPr="00E73F6F">
        <w:t>Obwohl</w:t>
      </w:r>
      <w:r w:rsidRPr="00E73F6F">
        <w:rPr>
          <w:spacing w:val="-11"/>
        </w:rPr>
        <w:t xml:space="preserve"> </w:t>
      </w:r>
      <w:r w:rsidRPr="00E73F6F">
        <w:t>in</w:t>
      </w:r>
      <w:r w:rsidRPr="00E73F6F">
        <w:rPr>
          <w:spacing w:val="-11"/>
        </w:rPr>
        <w:t xml:space="preserve"> </w:t>
      </w:r>
      <w:r w:rsidRPr="00E73F6F">
        <w:t>verschrobenem Soziologendeutsch</w:t>
      </w:r>
      <w:r w:rsidRPr="00E73F6F">
        <w:rPr>
          <w:spacing w:val="-12"/>
        </w:rPr>
        <w:t xml:space="preserve"> </w:t>
      </w:r>
      <w:r w:rsidRPr="00E73F6F">
        <w:t>verfasst,</w:t>
      </w:r>
      <w:r w:rsidRPr="00E73F6F">
        <w:rPr>
          <w:spacing w:val="-11"/>
        </w:rPr>
        <w:t xml:space="preserve"> </w:t>
      </w:r>
      <w:r w:rsidRPr="00E73F6F">
        <w:t>kann</w:t>
      </w:r>
      <w:r w:rsidRPr="00E73F6F">
        <w:rPr>
          <w:spacing w:val="-11"/>
        </w:rPr>
        <w:t xml:space="preserve"> </w:t>
      </w:r>
      <w:r w:rsidRPr="00E73F6F">
        <w:t>man</w:t>
      </w:r>
      <w:r w:rsidRPr="00E73F6F">
        <w:rPr>
          <w:spacing w:val="-10"/>
        </w:rPr>
        <w:t xml:space="preserve"> </w:t>
      </w:r>
      <w:r w:rsidRPr="00E73F6F">
        <w:t>doch,</w:t>
      </w:r>
      <w:r w:rsidRPr="00E73F6F">
        <w:rPr>
          <w:spacing w:val="-9"/>
        </w:rPr>
        <w:t xml:space="preserve"> </w:t>
      </w:r>
      <w:r w:rsidRPr="00E73F6F">
        <w:lastRenderedPageBreak/>
        <w:t>wie</w:t>
      </w:r>
      <w:r w:rsidRPr="00E73F6F">
        <w:rPr>
          <w:spacing w:val="-11"/>
        </w:rPr>
        <w:t xml:space="preserve"> </w:t>
      </w:r>
      <w:r w:rsidRPr="00E73F6F">
        <w:t>Matoba/Scheible</w:t>
      </w:r>
      <w:r w:rsidRPr="00E73F6F">
        <w:rPr>
          <w:spacing w:val="-11"/>
        </w:rPr>
        <w:t xml:space="preserve"> </w:t>
      </w:r>
      <w:r w:rsidRPr="00E73F6F">
        <w:t>(2007</w:t>
      </w:r>
      <w:r w:rsidR="00D84ACF">
        <w:rPr>
          <w:spacing w:val="-11"/>
        </w:rPr>
        <w:t xml:space="preserve">, </w:t>
      </w:r>
      <w:r w:rsidRPr="00E73F6F">
        <w:t>S.3),</w:t>
      </w:r>
      <w:r w:rsidRPr="00E73F6F">
        <w:rPr>
          <w:spacing w:val="-10"/>
        </w:rPr>
        <w:t xml:space="preserve"> </w:t>
      </w:r>
      <w:r w:rsidRPr="00E73F6F">
        <w:t>eine gewisse Nähe zwischen dem Konzept des Habitus und dem Konzept der kulturellen Programmierung der Kulturforschung erkennen.</w:t>
      </w:r>
    </w:p>
    <w:p w14:paraId="28C11488" w14:textId="77777777" w:rsidR="00FF7799" w:rsidRPr="00C66501" w:rsidRDefault="00FF7799" w:rsidP="00C77E75">
      <w:pPr>
        <w:pStyle w:val="StandardText"/>
        <w:rPr>
          <w:sz w:val="22"/>
          <w:szCs w:val="22"/>
        </w:rPr>
      </w:pPr>
      <w:r w:rsidRPr="00C66501">
        <w:rPr>
          <w:b/>
          <w:i/>
          <w:sz w:val="22"/>
          <w:szCs w:val="22"/>
          <w:lang w:val="en-US"/>
        </w:rPr>
        <w:t>Literatur</w:t>
      </w:r>
      <w:r w:rsidRPr="00C66501">
        <w:rPr>
          <w:sz w:val="22"/>
          <w:szCs w:val="22"/>
          <w:lang w:val="en-US"/>
        </w:rPr>
        <w:t xml:space="preserve">: </w:t>
      </w:r>
      <w:r w:rsidRPr="00C66133">
        <w:rPr>
          <w:sz w:val="22"/>
          <w:szCs w:val="22"/>
          <w:lang w:val="en-US"/>
        </w:rPr>
        <w:t>Bourdieu, P. (1986): Habitus. Code et Codification, Actes de la Recherche en</w:t>
      </w:r>
      <w:r w:rsidRPr="00C66133">
        <w:rPr>
          <w:spacing w:val="40"/>
          <w:sz w:val="22"/>
          <w:szCs w:val="22"/>
          <w:lang w:val="en-US"/>
        </w:rPr>
        <w:t xml:space="preserve"> </w:t>
      </w:r>
      <w:r w:rsidRPr="00C66133">
        <w:rPr>
          <w:sz w:val="22"/>
          <w:szCs w:val="22"/>
          <w:lang w:val="en-US"/>
        </w:rPr>
        <w:t xml:space="preserve">Sciences Sociales, 64: 40-44. </w:t>
      </w:r>
      <w:r w:rsidRPr="00C66133">
        <w:rPr>
          <w:sz w:val="22"/>
          <w:szCs w:val="22"/>
        </w:rPr>
        <w:t>Matoba, K.; Scheibler, D. (2007): Interkulturelle und</w:t>
      </w:r>
      <w:r w:rsidRPr="00C66133">
        <w:rPr>
          <w:spacing w:val="40"/>
          <w:sz w:val="22"/>
          <w:szCs w:val="22"/>
        </w:rPr>
        <w:t xml:space="preserve"> </w:t>
      </w:r>
      <w:r w:rsidRPr="00C66133">
        <w:rPr>
          <w:sz w:val="22"/>
          <w:szCs w:val="22"/>
        </w:rPr>
        <w:t>transkulturelle Kommunikation, Working Paper of International Society for Diversity</w:t>
      </w:r>
      <w:r w:rsidRPr="00C66133">
        <w:rPr>
          <w:spacing w:val="40"/>
          <w:sz w:val="22"/>
          <w:szCs w:val="22"/>
        </w:rPr>
        <w:t xml:space="preserve"> </w:t>
      </w:r>
      <w:r w:rsidRPr="00C66133">
        <w:rPr>
          <w:sz w:val="22"/>
          <w:szCs w:val="22"/>
        </w:rPr>
        <w:t>Management,</w:t>
      </w:r>
      <w:r w:rsidRPr="00C66133">
        <w:rPr>
          <w:spacing w:val="-5"/>
          <w:sz w:val="22"/>
          <w:szCs w:val="22"/>
        </w:rPr>
        <w:t xml:space="preserve"> </w:t>
      </w:r>
      <w:r w:rsidRPr="00C66133">
        <w:rPr>
          <w:sz w:val="22"/>
          <w:szCs w:val="22"/>
        </w:rPr>
        <w:t>No.3.</w:t>
      </w:r>
    </w:p>
    <w:p w14:paraId="123D76C8" w14:textId="77777777" w:rsidR="00BD3D32" w:rsidRPr="00E73F6F" w:rsidRDefault="00BD3D32" w:rsidP="00C77E75">
      <w:pPr>
        <w:pStyle w:val="StandardText"/>
      </w:pPr>
    </w:p>
    <w:p w14:paraId="5D15908E" w14:textId="77777777" w:rsidR="004B5AEF" w:rsidRPr="007F69DA" w:rsidRDefault="004B5AEF" w:rsidP="004B5AEF">
      <w:pPr>
        <w:keepNext/>
        <w:keepLines/>
        <w:spacing w:before="240"/>
        <w:jc w:val="both"/>
        <w:outlineLvl w:val="1"/>
        <w:rPr>
          <w:b/>
          <w:color w:val="2E74B5"/>
        </w:rPr>
      </w:pPr>
      <w:r w:rsidRPr="007F69DA">
        <w:rPr>
          <w:b/>
          <w:color w:val="2E74B5"/>
        </w:rPr>
        <w:t xml:space="preserve">Handelshemmnisse </w:t>
      </w:r>
      <w:r w:rsidRPr="007F69DA">
        <w:sym w:font="Symbol" w:char="F0AE"/>
      </w:r>
      <w:r w:rsidRPr="007F69DA">
        <w:t xml:space="preserve"> Protektionismus</w:t>
      </w:r>
    </w:p>
    <w:p w14:paraId="5B02942C" w14:textId="77777777" w:rsidR="00FF7799" w:rsidRPr="00E73F6F" w:rsidRDefault="00FF7799" w:rsidP="00FB1F0F">
      <w:pPr>
        <w:pStyle w:val="berschrift1"/>
      </w:pPr>
      <w:r w:rsidRPr="002B7C99">
        <w:rPr>
          <w:bCs w:val="0"/>
          <w:color w:val="2E74B5"/>
          <w:sz w:val="22"/>
          <w:lang w:val="en-US"/>
        </w:rPr>
        <w:t>Handelskompensationsgeschäfte</w:t>
      </w:r>
      <w:r w:rsidRPr="00E73F6F">
        <w:rPr>
          <w:spacing w:val="13"/>
        </w:rPr>
        <w:t xml:space="preserve"> </w:t>
      </w:r>
      <w:r w:rsidRPr="00E73F6F">
        <w:rPr>
          <w:b w:val="0"/>
        </w:rPr>
        <w:t>→</w:t>
      </w:r>
      <w:r w:rsidRPr="00E73F6F">
        <w:rPr>
          <w:b w:val="0"/>
          <w:spacing w:val="19"/>
        </w:rPr>
        <w:t xml:space="preserve"> </w:t>
      </w:r>
      <w:r w:rsidRPr="00E73F6F">
        <w:rPr>
          <w:b w:val="0"/>
        </w:rPr>
        <w:t>Kompensationsgeschäfte</w:t>
      </w:r>
    </w:p>
    <w:p w14:paraId="0CFB3AB2" w14:textId="77777777" w:rsidR="00FF7799" w:rsidRPr="002B7C99" w:rsidRDefault="00FF7799" w:rsidP="00FB1F0F">
      <w:pPr>
        <w:pStyle w:val="berschrift1"/>
        <w:rPr>
          <w:bCs w:val="0"/>
          <w:color w:val="2E74B5"/>
          <w:sz w:val="22"/>
          <w:lang w:val="en-US"/>
        </w:rPr>
      </w:pPr>
      <w:r w:rsidRPr="002B7C99">
        <w:rPr>
          <w:bCs w:val="0"/>
          <w:color w:val="2E74B5"/>
          <w:sz w:val="22"/>
          <w:lang w:val="en-US"/>
        </w:rPr>
        <w:t>Handlungstheorie</w:t>
      </w:r>
    </w:p>
    <w:p w14:paraId="1D0788EC" w14:textId="77777777" w:rsidR="00FF7799" w:rsidRPr="00E73F6F" w:rsidRDefault="00FF7799" w:rsidP="00E84CB9">
      <w:pPr>
        <w:pStyle w:val="StandardText"/>
        <w:rPr>
          <w:spacing w:val="-2"/>
        </w:rPr>
      </w:pPr>
      <w:r w:rsidRPr="00E73F6F">
        <w:t xml:space="preserve">befasst sich mit komplexen sozialen Verhaltensweisen, die motiviert sind (und nicht „nur“ reaktiv, wie in den Reizreaktionsschemata der behavioristischen </w:t>
      </w:r>
      <w:r w:rsidRPr="00E73F6F">
        <w:rPr>
          <w:spacing w:val="-2"/>
        </w:rPr>
        <w:t>Theorie.</w:t>
      </w:r>
    </w:p>
    <w:p w14:paraId="451C796F" w14:textId="77777777" w:rsidR="00FF7799" w:rsidRPr="002678C8" w:rsidRDefault="00FF7799" w:rsidP="00E84CB9">
      <w:pPr>
        <w:pStyle w:val="StandardText"/>
        <w:rPr>
          <w:sz w:val="22"/>
          <w:szCs w:val="22"/>
        </w:rPr>
      </w:pPr>
      <w:r w:rsidRPr="00C66501">
        <w:rPr>
          <w:b/>
          <w:i/>
          <w:sz w:val="22"/>
          <w:szCs w:val="22"/>
        </w:rPr>
        <w:t>Literatur</w:t>
      </w:r>
      <w:r w:rsidRPr="00C66501">
        <w:rPr>
          <w:i/>
          <w:sz w:val="22"/>
          <w:szCs w:val="22"/>
        </w:rPr>
        <w:t>:</w:t>
      </w:r>
      <w:r w:rsidRPr="00C66501">
        <w:rPr>
          <w:spacing w:val="-4"/>
          <w:sz w:val="22"/>
          <w:szCs w:val="22"/>
        </w:rPr>
        <w:t xml:space="preserve"> </w:t>
      </w:r>
      <w:r w:rsidRPr="002678C8">
        <w:rPr>
          <w:sz w:val="22"/>
          <w:szCs w:val="22"/>
        </w:rPr>
        <w:t>Miesbach,</w:t>
      </w:r>
      <w:r w:rsidRPr="002678C8">
        <w:rPr>
          <w:spacing w:val="-5"/>
          <w:sz w:val="22"/>
          <w:szCs w:val="22"/>
        </w:rPr>
        <w:t xml:space="preserve"> </w:t>
      </w:r>
      <w:r w:rsidRPr="002678C8">
        <w:rPr>
          <w:sz w:val="22"/>
          <w:szCs w:val="22"/>
        </w:rPr>
        <w:t>B.</w:t>
      </w:r>
      <w:r w:rsidRPr="002678C8">
        <w:rPr>
          <w:spacing w:val="-3"/>
          <w:sz w:val="22"/>
          <w:szCs w:val="22"/>
        </w:rPr>
        <w:t xml:space="preserve"> </w:t>
      </w:r>
      <w:r w:rsidRPr="002678C8">
        <w:rPr>
          <w:sz w:val="22"/>
          <w:szCs w:val="22"/>
        </w:rPr>
        <w:t>(2010):</w:t>
      </w:r>
      <w:r w:rsidRPr="002678C8">
        <w:rPr>
          <w:spacing w:val="-4"/>
          <w:sz w:val="22"/>
          <w:szCs w:val="22"/>
        </w:rPr>
        <w:t xml:space="preserve"> </w:t>
      </w:r>
      <w:r w:rsidRPr="002678C8">
        <w:rPr>
          <w:sz w:val="22"/>
          <w:szCs w:val="22"/>
        </w:rPr>
        <w:t>Soziologische</w:t>
      </w:r>
      <w:r w:rsidRPr="002678C8">
        <w:rPr>
          <w:spacing w:val="-5"/>
          <w:sz w:val="22"/>
          <w:szCs w:val="22"/>
        </w:rPr>
        <w:t xml:space="preserve"> </w:t>
      </w:r>
      <w:r w:rsidRPr="002678C8">
        <w:rPr>
          <w:sz w:val="22"/>
          <w:szCs w:val="22"/>
        </w:rPr>
        <w:t>Handlungstheorie.</w:t>
      </w:r>
      <w:r w:rsidRPr="002678C8">
        <w:rPr>
          <w:spacing w:val="-5"/>
          <w:sz w:val="22"/>
          <w:szCs w:val="22"/>
        </w:rPr>
        <w:t xml:space="preserve"> </w:t>
      </w:r>
      <w:r w:rsidRPr="002678C8">
        <w:rPr>
          <w:sz w:val="22"/>
          <w:szCs w:val="22"/>
        </w:rPr>
        <w:t>Eine</w:t>
      </w:r>
      <w:r w:rsidRPr="002678C8">
        <w:rPr>
          <w:spacing w:val="-5"/>
          <w:sz w:val="22"/>
          <w:szCs w:val="22"/>
        </w:rPr>
        <w:t xml:space="preserve"> </w:t>
      </w:r>
      <w:r w:rsidRPr="002678C8">
        <w:rPr>
          <w:sz w:val="22"/>
          <w:szCs w:val="22"/>
        </w:rPr>
        <w:t>Einführung,</w:t>
      </w:r>
      <w:r w:rsidRPr="002678C8">
        <w:rPr>
          <w:spacing w:val="40"/>
          <w:sz w:val="22"/>
          <w:szCs w:val="22"/>
        </w:rPr>
        <w:t xml:space="preserve"> </w:t>
      </w:r>
      <w:r w:rsidRPr="002678C8">
        <w:rPr>
          <w:sz w:val="22"/>
          <w:szCs w:val="22"/>
        </w:rPr>
        <w:t>3.Aufl., Berlin: Verlag für Sozialwissenschaften.</w:t>
      </w:r>
    </w:p>
    <w:p w14:paraId="706B7DE6" w14:textId="06CDD1ED" w:rsidR="00FF7799" w:rsidRPr="00E73F6F" w:rsidRDefault="004B5AEF" w:rsidP="002B7C99">
      <w:pPr>
        <w:keepNext/>
        <w:keepLines/>
        <w:spacing w:before="240"/>
        <w:jc w:val="both"/>
        <w:outlineLvl w:val="1"/>
      </w:pPr>
      <w:r w:rsidRPr="007F69DA">
        <w:rPr>
          <w:b/>
          <w:color w:val="2E74B5"/>
        </w:rPr>
        <w:t xml:space="preserve">Handlungskompetenz, interkulturelle </w:t>
      </w:r>
      <w:r w:rsidRPr="007F69DA">
        <w:sym w:font="Symbol" w:char="F0AE"/>
      </w:r>
      <w:r w:rsidRPr="007F69DA">
        <w:t xml:space="preserve"> Kompetenz, interkulturelle</w:t>
      </w:r>
      <w:r w:rsidR="002B7C99">
        <w:t xml:space="preserve">s; </w:t>
      </w:r>
      <w:r w:rsidR="00FF7799" w:rsidRPr="00E73F6F">
        <w:t>→</w:t>
      </w:r>
      <w:r w:rsidR="00FF7799" w:rsidRPr="00E73F6F">
        <w:rPr>
          <w:spacing w:val="-6"/>
        </w:rPr>
        <w:t xml:space="preserve"> </w:t>
      </w:r>
      <w:r w:rsidR="00FF7799" w:rsidRPr="00E73F6F">
        <w:t>Multi-</w:t>
      </w:r>
      <w:r w:rsidR="00FF7799" w:rsidRPr="00E73F6F">
        <w:rPr>
          <w:spacing w:val="-2"/>
        </w:rPr>
        <w:t>Kulturalismus</w:t>
      </w:r>
    </w:p>
    <w:p w14:paraId="66C9D3F1" w14:textId="77777777" w:rsidR="00FF7799" w:rsidRPr="00E73F6F" w:rsidRDefault="00FF7799" w:rsidP="00FB1F0F">
      <w:pPr>
        <w:pStyle w:val="berschrift1"/>
      </w:pPr>
      <w:r w:rsidRPr="002B7C99">
        <w:rPr>
          <w:bCs w:val="0"/>
          <w:color w:val="2E74B5"/>
          <w:sz w:val="22"/>
          <w:lang w:val="en-US"/>
        </w:rPr>
        <w:t>Harmonie</w:t>
      </w:r>
      <w:r w:rsidRPr="00E73F6F">
        <w:rPr>
          <w:spacing w:val="-3"/>
        </w:rPr>
        <w:t xml:space="preserve"> </w:t>
      </w:r>
      <w:r w:rsidRPr="00E73F6F">
        <w:rPr>
          <w:b w:val="0"/>
        </w:rPr>
        <w:t>→</w:t>
      </w:r>
      <w:r w:rsidRPr="00E73F6F">
        <w:rPr>
          <w:b w:val="0"/>
          <w:spacing w:val="-2"/>
        </w:rPr>
        <w:t xml:space="preserve"> </w:t>
      </w:r>
      <w:r w:rsidRPr="00E73F6F">
        <w:rPr>
          <w:b w:val="0"/>
        </w:rPr>
        <w:t>Kulturdimensionen nach Schwartz</w:t>
      </w:r>
    </w:p>
    <w:p w14:paraId="67D4BA43" w14:textId="77777777" w:rsidR="00FF7799" w:rsidRPr="002B7C99" w:rsidRDefault="00FF7799" w:rsidP="00FB1F0F">
      <w:pPr>
        <w:pStyle w:val="berschrift1"/>
        <w:rPr>
          <w:bCs w:val="0"/>
          <w:color w:val="2E74B5"/>
          <w:sz w:val="22"/>
          <w:lang w:val="en-US"/>
        </w:rPr>
      </w:pPr>
      <w:r w:rsidRPr="002B7C99">
        <w:rPr>
          <w:bCs w:val="0"/>
          <w:color w:val="2E74B5"/>
          <w:sz w:val="22"/>
          <w:lang w:val="en-US"/>
        </w:rPr>
        <w:t>Hedonismus</w:t>
      </w:r>
    </w:p>
    <w:p w14:paraId="66FA83E4" w14:textId="77777777" w:rsidR="00FF7799" w:rsidRPr="00E73F6F" w:rsidRDefault="00FF7799" w:rsidP="00C77E75">
      <w:pPr>
        <w:pStyle w:val="StandardText"/>
      </w:pPr>
      <w:r w:rsidRPr="00E73F6F">
        <w:t>Lebensstil, welcher vorrangig Genuss, Glück, Lust und Spaß erstrebt</w:t>
      </w:r>
      <w:r w:rsidR="002678C8">
        <w:t xml:space="preserve"> (</w:t>
      </w:r>
      <w:r w:rsidR="002678C8">
        <w:sym w:font="Symbol" w:char="F0DE"/>
      </w:r>
      <w:r w:rsidR="002678C8">
        <w:t xml:space="preserve"> Lebensstil)</w:t>
      </w:r>
      <w:r w:rsidRPr="00E73F6F">
        <w:t>. „Der hedonistische Nutzen einer Marke befriedigt das Bedürfnis nach Selbstverwirklichung, Lust und Genuss sowie kognitiver und emotionaler Stimulation“ (Burmann et al. 2015, S.59).</w:t>
      </w:r>
    </w:p>
    <w:p w14:paraId="33A29CB8" w14:textId="77777777" w:rsidR="00FF7799" w:rsidRPr="002B7C99" w:rsidRDefault="00FF7799" w:rsidP="00C77E75">
      <w:pPr>
        <w:pStyle w:val="StandardText"/>
        <w:rPr>
          <w:sz w:val="22"/>
          <w:szCs w:val="22"/>
        </w:rPr>
      </w:pPr>
      <w:r w:rsidRPr="002B7C99">
        <w:rPr>
          <w:b/>
          <w:i/>
          <w:sz w:val="22"/>
          <w:szCs w:val="22"/>
        </w:rPr>
        <w:t>Literatur:</w:t>
      </w:r>
      <w:r w:rsidRPr="002B7C99">
        <w:rPr>
          <w:b/>
          <w:spacing w:val="80"/>
          <w:sz w:val="22"/>
          <w:szCs w:val="22"/>
        </w:rPr>
        <w:t xml:space="preserve"> </w:t>
      </w:r>
      <w:r w:rsidRPr="002B7C99">
        <w:rPr>
          <w:sz w:val="22"/>
          <w:szCs w:val="22"/>
        </w:rPr>
        <w:t>Burmann,</w:t>
      </w:r>
      <w:r w:rsidRPr="002B7C99">
        <w:rPr>
          <w:spacing w:val="80"/>
          <w:sz w:val="22"/>
          <w:szCs w:val="22"/>
        </w:rPr>
        <w:t xml:space="preserve"> </w:t>
      </w:r>
      <w:r w:rsidRPr="002B7C99">
        <w:rPr>
          <w:sz w:val="22"/>
          <w:szCs w:val="22"/>
        </w:rPr>
        <w:t>C.;</w:t>
      </w:r>
      <w:r w:rsidRPr="002B7C99">
        <w:rPr>
          <w:spacing w:val="80"/>
          <w:sz w:val="22"/>
          <w:szCs w:val="22"/>
        </w:rPr>
        <w:t xml:space="preserve"> </w:t>
      </w:r>
      <w:r w:rsidRPr="002B7C99">
        <w:rPr>
          <w:sz w:val="22"/>
          <w:szCs w:val="22"/>
        </w:rPr>
        <w:t>Halaszovich,</w:t>
      </w:r>
      <w:r w:rsidRPr="002B7C99">
        <w:rPr>
          <w:spacing w:val="80"/>
          <w:sz w:val="22"/>
          <w:szCs w:val="22"/>
        </w:rPr>
        <w:t xml:space="preserve"> </w:t>
      </w:r>
      <w:r w:rsidRPr="002B7C99">
        <w:rPr>
          <w:sz w:val="22"/>
          <w:szCs w:val="22"/>
        </w:rPr>
        <w:t>T.;</w:t>
      </w:r>
      <w:r w:rsidRPr="002B7C99">
        <w:rPr>
          <w:spacing w:val="80"/>
          <w:sz w:val="22"/>
          <w:szCs w:val="22"/>
        </w:rPr>
        <w:t xml:space="preserve"> </w:t>
      </w:r>
      <w:r w:rsidRPr="002B7C99">
        <w:rPr>
          <w:sz w:val="22"/>
          <w:szCs w:val="22"/>
        </w:rPr>
        <w:t>Schade,</w:t>
      </w:r>
      <w:r w:rsidRPr="002B7C99">
        <w:rPr>
          <w:spacing w:val="80"/>
          <w:sz w:val="22"/>
          <w:szCs w:val="22"/>
        </w:rPr>
        <w:t xml:space="preserve"> </w:t>
      </w:r>
      <w:r w:rsidRPr="002B7C99">
        <w:rPr>
          <w:sz w:val="22"/>
          <w:szCs w:val="22"/>
        </w:rPr>
        <w:t>M.,</w:t>
      </w:r>
      <w:r w:rsidRPr="002B7C99">
        <w:rPr>
          <w:spacing w:val="80"/>
          <w:sz w:val="22"/>
          <w:szCs w:val="22"/>
        </w:rPr>
        <w:t xml:space="preserve"> </w:t>
      </w:r>
      <w:r w:rsidRPr="002B7C99">
        <w:rPr>
          <w:sz w:val="22"/>
          <w:szCs w:val="22"/>
        </w:rPr>
        <w:t>Hemmann,</w:t>
      </w:r>
      <w:r w:rsidRPr="002B7C99">
        <w:rPr>
          <w:spacing w:val="80"/>
          <w:sz w:val="22"/>
          <w:szCs w:val="22"/>
        </w:rPr>
        <w:t xml:space="preserve"> </w:t>
      </w:r>
      <w:r w:rsidRPr="002B7C99">
        <w:rPr>
          <w:sz w:val="22"/>
          <w:szCs w:val="22"/>
        </w:rPr>
        <w:t>F.</w:t>
      </w:r>
      <w:r w:rsidRPr="002B7C99">
        <w:rPr>
          <w:spacing w:val="80"/>
          <w:w w:val="150"/>
          <w:sz w:val="22"/>
          <w:szCs w:val="22"/>
        </w:rPr>
        <w:t xml:space="preserve"> </w:t>
      </w:r>
      <w:r w:rsidRPr="002B7C99">
        <w:rPr>
          <w:sz w:val="22"/>
          <w:szCs w:val="22"/>
        </w:rPr>
        <w:t>(2015):</w:t>
      </w:r>
      <w:r w:rsidRPr="002B7C99">
        <w:rPr>
          <w:spacing w:val="40"/>
          <w:sz w:val="22"/>
          <w:szCs w:val="22"/>
        </w:rPr>
        <w:t xml:space="preserve"> </w:t>
      </w:r>
      <w:r w:rsidRPr="002B7C99">
        <w:rPr>
          <w:sz w:val="22"/>
          <w:szCs w:val="22"/>
        </w:rPr>
        <w:t>Identitätsbasierte Markenführung, 2. Aufl., Wiesbaden: Springer Gabler.</w:t>
      </w:r>
    </w:p>
    <w:p w14:paraId="0062FEFD" w14:textId="77777777" w:rsidR="00BD3D32" w:rsidRPr="002B7C99" w:rsidRDefault="00BD3D32" w:rsidP="00C77E75">
      <w:pPr>
        <w:pStyle w:val="StandardText"/>
        <w:rPr>
          <w:sz w:val="22"/>
          <w:szCs w:val="22"/>
        </w:rPr>
      </w:pPr>
    </w:p>
    <w:p w14:paraId="70DCCF9A" w14:textId="77777777" w:rsidR="00FF7799" w:rsidRPr="002B7C99" w:rsidRDefault="00FF7799" w:rsidP="00FB1F0F">
      <w:pPr>
        <w:pStyle w:val="berschrift1"/>
        <w:rPr>
          <w:bCs w:val="0"/>
          <w:color w:val="2E74B5"/>
          <w:sz w:val="22"/>
          <w:lang w:val="en-US"/>
        </w:rPr>
      </w:pPr>
      <w:r w:rsidRPr="002B7C99">
        <w:rPr>
          <w:bCs w:val="0"/>
          <w:color w:val="2E74B5"/>
          <w:sz w:val="22"/>
          <w:lang w:val="en-US"/>
        </w:rPr>
        <w:t>Heimat</w:t>
      </w:r>
    </w:p>
    <w:p w14:paraId="621540C7" w14:textId="77777777" w:rsidR="00FF7799" w:rsidRPr="00E73F6F" w:rsidRDefault="00FF7799" w:rsidP="00C77E75">
      <w:pPr>
        <w:pStyle w:val="StandardText"/>
      </w:pPr>
      <w:r w:rsidRPr="00E73F6F">
        <w:t>Ursprünglich, d.h. als die meisten Menschen zumeist an dem Ort, an dem sie geboren wurden, auch lebten und starben, verstand man darunter den „Ort der eigenen Herkunft“. Dort kannte man sich aus, war bekannt und kannte selbst die anderen. Mit zunehmender Mobilität aber wurde Heimat zu dem Ort bzw. der Region, den bzw. die man verlassen hatte oder wovon man getrennt war und wonach</w:t>
      </w:r>
      <w:r w:rsidRPr="00E73F6F">
        <w:rPr>
          <w:spacing w:val="74"/>
          <w:w w:val="150"/>
        </w:rPr>
        <w:t xml:space="preserve"> </w:t>
      </w:r>
      <w:r w:rsidRPr="00E73F6F">
        <w:t>man</w:t>
      </w:r>
      <w:r w:rsidRPr="00E73F6F">
        <w:rPr>
          <w:spacing w:val="74"/>
          <w:w w:val="150"/>
        </w:rPr>
        <w:t xml:space="preserve"> </w:t>
      </w:r>
      <w:r w:rsidRPr="00E73F6F">
        <w:t>sich</w:t>
      </w:r>
      <w:r w:rsidRPr="00E73F6F">
        <w:rPr>
          <w:spacing w:val="74"/>
          <w:w w:val="150"/>
        </w:rPr>
        <w:t xml:space="preserve"> </w:t>
      </w:r>
      <w:r w:rsidRPr="00E73F6F">
        <w:t>zumeist</w:t>
      </w:r>
      <w:r w:rsidRPr="00E73F6F">
        <w:rPr>
          <w:spacing w:val="74"/>
          <w:w w:val="150"/>
        </w:rPr>
        <w:t xml:space="preserve"> </w:t>
      </w:r>
      <w:r w:rsidRPr="00E73F6F">
        <w:t>zurücksehnte.</w:t>
      </w:r>
      <w:r w:rsidRPr="00E73F6F">
        <w:rPr>
          <w:spacing w:val="75"/>
          <w:w w:val="150"/>
        </w:rPr>
        <w:t xml:space="preserve"> </w:t>
      </w:r>
      <w:r w:rsidRPr="00E73F6F">
        <w:t>Die</w:t>
      </w:r>
      <w:r w:rsidRPr="00E73F6F">
        <w:rPr>
          <w:spacing w:val="70"/>
          <w:w w:val="150"/>
        </w:rPr>
        <w:t xml:space="preserve"> </w:t>
      </w:r>
      <w:r w:rsidRPr="00E73F6F">
        <w:t>politische</w:t>
      </w:r>
      <w:r w:rsidRPr="00E73F6F">
        <w:rPr>
          <w:spacing w:val="70"/>
          <w:w w:val="150"/>
        </w:rPr>
        <w:t xml:space="preserve"> </w:t>
      </w:r>
      <w:r w:rsidRPr="00E73F6F">
        <w:t>Propaganda</w:t>
      </w:r>
      <w:r w:rsidRPr="00E73F6F">
        <w:rPr>
          <w:spacing w:val="71"/>
          <w:w w:val="150"/>
        </w:rPr>
        <w:t xml:space="preserve"> </w:t>
      </w:r>
      <w:r w:rsidRPr="00E73F6F">
        <w:rPr>
          <w:spacing w:val="-5"/>
        </w:rPr>
        <w:t xml:space="preserve">der </w:t>
      </w:r>
      <w:r w:rsidRPr="00E73F6F">
        <w:t>Nationalsozialisten</w:t>
      </w:r>
      <w:r w:rsidRPr="00E73F6F">
        <w:rPr>
          <w:spacing w:val="40"/>
        </w:rPr>
        <w:t xml:space="preserve"> </w:t>
      </w:r>
      <w:r w:rsidRPr="00E73F6F">
        <w:t>verstand</w:t>
      </w:r>
      <w:r w:rsidRPr="00E73F6F">
        <w:rPr>
          <w:spacing w:val="40"/>
        </w:rPr>
        <w:t xml:space="preserve"> </w:t>
      </w:r>
      <w:r w:rsidRPr="00E73F6F">
        <w:t>es,</w:t>
      </w:r>
      <w:r w:rsidRPr="00E73F6F">
        <w:rPr>
          <w:spacing w:val="40"/>
        </w:rPr>
        <w:t xml:space="preserve"> </w:t>
      </w:r>
      <w:r w:rsidRPr="00E73F6F">
        <w:t>diesen</w:t>
      </w:r>
      <w:r w:rsidRPr="00E73F6F">
        <w:rPr>
          <w:spacing w:val="40"/>
        </w:rPr>
        <w:t xml:space="preserve"> </w:t>
      </w:r>
      <w:r w:rsidRPr="00E73F6F">
        <w:t>Begriff</w:t>
      </w:r>
      <w:r w:rsidRPr="00E73F6F">
        <w:rPr>
          <w:spacing w:val="40"/>
        </w:rPr>
        <w:t xml:space="preserve"> </w:t>
      </w:r>
      <w:r w:rsidRPr="00E73F6F">
        <w:t>zu</w:t>
      </w:r>
      <w:r w:rsidRPr="00E73F6F">
        <w:rPr>
          <w:spacing w:val="40"/>
        </w:rPr>
        <w:t xml:space="preserve"> </w:t>
      </w:r>
      <w:r w:rsidRPr="00E73F6F">
        <w:t>emotionalisieren</w:t>
      </w:r>
      <w:r w:rsidRPr="00E73F6F">
        <w:rPr>
          <w:spacing w:val="40"/>
        </w:rPr>
        <w:t xml:space="preserve"> </w:t>
      </w:r>
      <w:r w:rsidRPr="00E73F6F">
        <w:t>und</w:t>
      </w:r>
      <w:r w:rsidRPr="00E73F6F">
        <w:rPr>
          <w:spacing w:val="40"/>
        </w:rPr>
        <w:t xml:space="preserve"> </w:t>
      </w:r>
      <w:r w:rsidRPr="00E73F6F">
        <w:t>zu</w:t>
      </w:r>
      <w:r w:rsidRPr="00E73F6F">
        <w:rPr>
          <w:spacing w:val="40"/>
        </w:rPr>
        <w:t xml:space="preserve"> </w:t>
      </w:r>
      <w:r w:rsidRPr="00E73F6F">
        <w:t>missbrauchen (z.B. „Heimatfront“).</w:t>
      </w:r>
    </w:p>
    <w:p w14:paraId="646307DB" w14:textId="77777777" w:rsidR="00FF7799" w:rsidRPr="00E73F6F" w:rsidRDefault="00FF7799" w:rsidP="00C77E75">
      <w:pPr>
        <w:pStyle w:val="StandardText"/>
      </w:pPr>
    </w:p>
    <w:p w14:paraId="4631362C" w14:textId="77777777" w:rsidR="00FF7799" w:rsidRPr="002B7C99" w:rsidRDefault="00FF7799" w:rsidP="00F16E9A">
      <w:pPr>
        <w:pStyle w:val="berschrift1"/>
        <w:rPr>
          <w:bCs w:val="0"/>
          <w:color w:val="2E74B5"/>
          <w:sz w:val="22"/>
          <w:lang w:val="en-US"/>
        </w:rPr>
      </w:pPr>
      <w:r w:rsidRPr="002B7C99">
        <w:rPr>
          <w:bCs w:val="0"/>
          <w:color w:val="2E74B5"/>
          <w:sz w:val="22"/>
          <w:lang w:val="en-US"/>
        </w:rPr>
        <w:t xml:space="preserve">Herausforderung, amerikanische (chinesische, japanische etc.) </w:t>
      </w:r>
    </w:p>
    <w:p w14:paraId="68F8191D" w14:textId="77777777" w:rsidR="00FF7799" w:rsidRPr="00E73F6F" w:rsidRDefault="00FF7799" w:rsidP="00C77E75">
      <w:pPr>
        <w:pStyle w:val="StandardText"/>
      </w:pPr>
      <w:r w:rsidRPr="00E73F6F">
        <w:t>erstmals</w:t>
      </w:r>
      <w:r w:rsidRPr="00E73F6F">
        <w:rPr>
          <w:spacing w:val="-4"/>
        </w:rPr>
        <w:t xml:space="preserve"> </w:t>
      </w:r>
      <w:r w:rsidRPr="00E73F6F">
        <w:t>1968</w:t>
      </w:r>
      <w:r w:rsidRPr="00E73F6F">
        <w:rPr>
          <w:spacing w:val="-5"/>
        </w:rPr>
        <w:t xml:space="preserve"> </w:t>
      </w:r>
      <w:r w:rsidRPr="00E73F6F">
        <w:t>in</w:t>
      </w:r>
      <w:r w:rsidRPr="00E73F6F">
        <w:rPr>
          <w:spacing w:val="-5"/>
        </w:rPr>
        <w:t xml:space="preserve"> </w:t>
      </w:r>
      <w:r w:rsidRPr="00E73F6F">
        <w:t>Frankreich</w:t>
      </w:r>
      <w:r w:rsidRPr="00E73F6F">
        <w:rPr>
          <w:spacing w:val="-3"/>
        </w:rPr>
        <w:t xml:space="preserve"> </w:t>
      </w:r>
      <w:r w:rsidRPr="00E73F6F">
        <w:t>populär</w:t>
      </w:r>
      <w:r w:rsidRPr="00E73F6F">
        <w:rPr>
          <w:spacing w:val="-4"/>
        </w:rPr>
        <w:t xml:space="preserve"> </w:t>
      </w:r>
      <w:r w:rsidRPr="00E73F6F">
        <w:t>gewordenen</w:t>
      </w:r>
      <w:r w:rsidRPr="00E73F6F">
        <w:rPr>
          <w:spacing w:val="-3"/>
        </w:rPr>
        <w:t xml:space="preserve"> </w:t>
      </w:r>
      <w:r w:rsidRPr="00E73F6F">
        <w:t>Vorhersage bzw.</w:t>
      </w:r>
      <w:r w:rsidRPr="00E73F6F">
        <w:rPr>
          <w:spacing w:val="-6"/>
        </w:rPr>
        <w:t xml:space="preserve"> </w:t>
      </w:r>
      <w:r w:rsidRPr="00E73F6F">
        <w:t>Warnung.</w:t>
      </w:r>
      <w:r w:rsidRPr="00E73F6F">
        <w:rPr>
          <w:spacing w:val="-6"/>
        </w:rPr>
        <w:t xml:space="preserve"> </w:t>
      </w:r>
      <w:r w:rsidRPr="00E73F6F">
        <w:t>Sie besagt im Kern, dass Europas Wirtschaft im globalen Wettbewerb nicht mit Amerikas, später nicht mit Japans und schließlich nicht mit Chinas Wirtschaft wird</w:t>
      </w:r>
      <w:r w:rsidRPr="00E73F6F">
        <w:rPr>
          <w:spacing w:val="-2"/>
        </w:rPr>
        <w:t xml:space="preserve"> </w:t>
      </w:r>
      <w:r w:rsidRPr="00E73F6F">
        <w:t>Schritt</w:t>
      </w:r>
      <w:r w:rsidRPr="00E73F6F">
        <w:rPr>
          <w:spacing w:val="-4"/>
        </w:rPr>
        <w:t xml:space="preserve"> </w:t>
      </w:r>
      <w:r w:rsidRPr="00E73F6F">
        <w:t>halten</w:t>
      </w:r>
      <w:r w:rsidRPr="00E73F6F">
        <w:rPr>
          <w:spacing w:val="-2"/>
        </w:rPr>
        <w:t xml:space="preserve"> </w:t>
      </w:r>
      <w:r w:rsidRPr="00E73F6F">
        <w:t>können.</w:t>
      </w:r>
      <w:r w:rsidRPr="00E73F6F">
        <w:rPr>
          <w:spacing w:val="-4"/>
        </w:rPr>
        <w:t xml:space="preserve"> </w:t>
      </w:r>
      <w:r w:rsidRPr="00E73F6F">
        <w:t>Während</w:t>
      </w:r>
      <w:r w:rsidRPr="00E73F6F">
        <w:rPr>
          <w:spacing w:val="-2"/>
        </w:rPr>
        <w:t xml:space="preserve"> </w:t>
      </w:r>
      <w:r w:rsidRPr="00E73F6F">
        <w:t>die</w:t>
      </w:r>
      <w:r w:rsidRPr="00E73F6F">
        <w:rPr>
          <w:spacing w:val="-2"/>
        </w:rPr>
        <w:t xml:space="preserve"> </w:t>
      </w:r>
      <w:r w:rsidRPr="00E73F6F">
        <w:t>übrigen</w:t>
      </w:r>
      <w:r w:rsidRPr="00E73F6F">
        <w:rPr>
          <w:spacing w:val="-3"/>
        </w:rPr>
        <w:t xml:space="preserve"> </w:t>
      </w:r>
      <w:r w:rsidRPr="00E73F6F">
        <w:t>BRICS-Staaten</w:t>
      </w:r>
      <w:r w:rsidRPr="00E73F6F">
        <w:rPr>
          <w:spacing w:val="-2"/>
        </w:rPr>
        <w:t xml:space="preserve"> </w:t>
      </w:r>
      <w:r w:rsidRPr="00E73F6F">
        <w:t>(insb.</w:t>
      </w:r>
      <w:r w:rsidRPr="00E73F6F">
        <w:rPr>
          <w:spacing w:val="-2"/>
        </w:rPr>
        <w:t xml:space="preserve"> </w:t>
      </w:r>
      <w:r w:rsidRPr="00E73F6F">
        <w:t>Brasilien und</w:t>
      </w:r>
      <w:r w:rsidRPr="00E73F6F">
        <w:rPr>
          <w:spacing w:val="-3"/>
        </w:rPr>
        <w:t xml:space="preserve"> </w:t>
      </w:r>
      <w:r w:rsidRPr="00E73F6F">
        <w:t>Russland)</w:t>
      </w:r>
      <w:r w:rsidRPr="00E73F6F">
        <w:rPr>
          <w:spacing w:val="-1"/>
        </w:rPr>
        <w:t xml:space="preserve"> </w:t>
      </w:r>
      <w:r w:rsidRPr="00E73F6F">
        <w:t>aufgrund</w:t>
      </w:r>
      <w:r w:rsidRPr="00E73F6F">
        <w:rPr>
          <w:spacing w:val="-3"/>
        </w:rPr>
        <w:t xml:space="preserve"> </w:t>
      </w:r>
      <w:r w:rsidRPr="00E73F6F">
        <w:t>ihrer</w:t>
      </w:r>
      <w:r w:rsidRPr="00E73F6F">
        <w:rPr>
          <w:spacing w:val="-3"/>
        </w:rPr>
        <w:t xml:space="preserve"> </w:t>
      </w:r>
      <w:r w:rsidRPr="00E73F6F">
        <w:t>gewaltigen Rohstoffvorkommen</w:t>
      </w:r>
      <w:r w:rsidRPr="00E73F6F">
        <w:rPr>
          <w:spacing w:val="-1"/>
        </w:rPr>
        <w:t xml:space="preserve"> </w:t>
      </w:r>
      <w:r w:rsidRPr="00E73F6F">
        <w:t>früher</w:t>
      </w:r>
      <w:r w:rsidRPr="00E73F6F">
        <w:rPr>
          <w:spacing w:val="-1"/>
        </w:rPr>
        <w:t xml:space="preserve"> </w:t>
      </w:r>
      <w:r w:rsidRPr="00E73F6F">
        <w:t>oder</w:t>
      </w:r>
      <w:r w:rsidRPr="00E73F6F">
        <w:rPr>
          <w:spacing w:val="-1"/>
        </w:rPr>
        <w:t xml:space="preserve"> </w:t>
      </w:r>
      <w:r w:rsidRPr="00E73F6F">
        <w:rPr>
          <w:spacing w:val="-2"/>
        </w:rPr>
        <w:t>später</w:t>
      </w:r>
      <w:r w:rsidRPr="00E73F6F">
        <w:t xml:space="preserve"> „den Westen“ überflügeln würden, seien es im Falle Chinas die </w:t>
      </w:r>
      <w:r w:rsidRPr="00E73F6F">
        <w:lastRenderedPageBreak/>
        <w:t>traditionellen konfuzianischen Werte, welche Europa schwächen werden: Lern- und Leistungsbereitschaft, Streben nach Harmonie sowie hierarchische Struktur der Gesellschaft. Skeptiker wenden dagegen ein, dass es sich dabei keinesfalls um einen</w:t>
      </w:r>
      <w:r w:rsidRPr="00E73F6F">
        <w:rPr>
          <w:spacing w:val="-1"/>
        </w:rPr>
        <w:t xml:space="preserve"> </w:t>
      </w:r>
      <w:r w:rsidRPr="00E73F6F">
        <w:t>linearen</w:t>
      </w:r>
      <w:r w:rsidRPr="00E73F6F">
        <w:rPr>
          <w:spacing w:val="-1"/>
        </w:rPr>
        <w:t xml:space="preserve"> </w:t>
      </w:r>
      <w:r w:rsidRPr="00E73F6F">
        <w:t>Vorgang</w:t>
      </w:r>
      <w:r w:rsidRPr="00E73F6F">
        <w:rPr>
          <w:spacing w:val="-3"/>
        </w:rPr>
        <w:t xml:space="preserve"> </w:t>
      </w:r>
      <w:r w:rsidRPr="00E73F6F">
        <w:t>handelt.</w:t>
      </w:r>
      <w:r w:rsidRPr="00E73F6F">
        <w:rPr>
          <w:spacing w:val="-4"/>
        </w:rPr>
        <w:t xml:space="preserve"> </w:t>
      </w:r>
      <w:r w:rsidRPr="00E73F6F">
        <w:t>Vielmehr</w:t>
      </w:r>
      <w:r w:rsidRPr="00E73F6F">
        <w:rPr>
          <w:spacing w:val="-2"/>
        </w:rPr>
        <w:t xml:space="preserve"> </w:t>
      </w:r>
      <w:r w:rsidRPr="00E73F6F">
        <w:t>sei</w:t>
      </w:r>
      <w:r w:rsidRPr="00E73F6F">
        <w:rPr>
          <w:spacing w:val="-2"/>
        </w:rPr>
        <w:t xml:space="preserve"> </w:t>
      </w:r>
      <w:r w:rsidRPr="00E73F6F">
        <w:t>als</w:t>
      </w:r>
      <w:r w:rsidRPr="00E73F6F">
        <w:rPr>
          <w:spacing w:val="-2"/>
        </w:rPr>
        <w:t xml:space="preserve"> </w:t>
      </w:r>
      <w:r w:rsidRPr="00E73F6F">
        <w:t>ein</w:t>
      </w:r>
      <w:r w:rsidRPr="00E73F6F">
        <w:rPr>
          <w:spacing w:val="-1"/>
        </w:rPr>
        <w:t xml:space="preserve"> </w:t>
      </w:r>
      <w:r w:rsidRPr="00E73F6F">
        <w:t>Ergebnis</w:t>
      </w:r>
      <w:r w:rsidRPr="00E73F6F">
        <w:rPr>
          <w:spacing w:val="-4"/>
        </w:rPr>
        <w:t xml:space="preserve"> </w:t>
      </w:r>
      <w:r w:rsidRPr="00E73F6F">
        <w:t>des</w:t>
      </w:r>
      <w:r w:rsidRPr="00E73F6F">
        <w:rPr>
          <w:spacing w:val="-2"/>
        </w:rPr>
        <w:t xml:space="preserve"> </w:t>
      </w:r>
      <w:r w:rsidRPr="00E73F6F">
        <w:t>nachholenden Modernisierungsprozesses</w:t>
      </w:r>
      <w:r w:rsidRPr="00E73F6F">
        <w:rPr>
          <w:spacing w:val="-7"/>
        </w:rPr>
        <w:t xml:space="preserve"> </w:t>
      </w:r>
      <w:r w:rsidRPr="00E73F6F">
        <w:t>der</w:t>
      </w:r>
      <w:r w:rsidRPr="00E73F6F">
        <w:rPr>
          <w:spacing w:val="-7"/>
        </w:rPr>
        <w:t xml:space="preserve"> </w:t>
      </w:r>
      <w:r w:rsidRPr="00E73F6F">
        <w:t>chinesischen</w:t>
      </w:r>
      <w:r w:rsidRPr="00E73F6F">
        <w:rPr>
          <w:spacing w:val="-6"/>
        </w:rPr>
        <w:t xml:space="preserve"> </w:t>
      </w:r>
      <w:r w:rsidRPr="00E73F6F">
        <w:t>Gesellschaft</w:t>
      </w:r>
      <w:r w:rsidRPr="00E73F6F">
        <w:rPr>
          <w:spacing w:val="-7"/>
        </w:rPr>
        <w:t xml:space="preserve"> </w:t>
      </w:r>
      <w:r w:rsidRPr="00E73F6F">
        <w:t>auch</w:t>
      </w:r>
      <w:r w:rsidRPr="00E73F6F">
        <w:rPr>
          <w:spacing w:val="-6"/>
        </w:rPr>
        <w:t xml:space="preserve"> </w:t>
      </w:r>
      <w:r w:rsidRPr="00E73F6F">
        <w:t>ein</w:t>
      </w:r>
      <w:r w:rsidRPr="00E73F6F">
        <w:rPr>
          <w:spacing w:val="-6"/>
        </w:rPr>
        <w:t xml:space="preserve"> </w:t>
      </w:r>
      <w:r w:rsidRPr="00E73F6F">
        <w:t>grundlegender Wertewandel zu erwarten. Auch sei die Weltwirtschaft nicht als Null-Summen- Spiel</w:t>
      </w:r>
      <w:r w:rsidRPr="00E73F6F">
        <w:rPr>
          <w:spacing w:val="-1"/>
        </w:rPr>
        <w:t xml:space="preserve"> </w:t>
      </w:r>
      <w:r w:rsidRPr="00E73F6F">
        <w:t>konzipiert, weshalb das Erstarken Chinas nicht zwangsläufig den Rückfall des Westens zur Konsequenz haben werde.</w:t>
      </w:r>
    </w:p>
    <w:p w14:paraId="10E8534A" w14:textId="77777777" w:rsidR="00FF7799" w:rsidRPr="002B7C99" w:rsidRDefault="00FF7799" w:rsidP="00C77E75">
      <w:pPr>
        <w:pStyle w:val="StandardText"/>
        <w:rPr>
          <w:sz w:val="22"/>
          <w:szCs w:val="22"/>
        </w:rPr>
      </w:pPr>
      <w:r w:rsidRPr="002B7C99">
        <w:rPr>
          <w:b/>
          <w:i/>
          <w:sz w:val="22"/>
          <w:szCs w:val="22"/>
        </w:rPr>
        <w:t>Literatur:</w:t>
      </w:r>
      <w:r w:rsidRPr="002B7C99">
        <w:rPr>
          <w:b/>
          <w:sz w:val="22"/>
          <w:szCs w:val="22"/>
        </w:rPr>
        <w:t xml:space="preserve"> </w:t>
      </w:r>
      <w:r w:rsidRPr="002B7C99">
        <w:rPr>
          <w:sz w:val="22"/>
          <w:szCs w:val="22"/>
        </w:rPr>
        <w:t>Hirn,</w:t>
      </w:r>
      <w:r w:rsidRPr="002B7C99">
        <w:rPr>
          <w:spacing w:val="-4"/>
          <w:sz w:val="22"/>
          <w:szCs w:val="22"/>
        </w:rPr>
        <w:t xml:space="preserve"> </w:t>
      </w:r>
      <w:r w:rsidRPr="002B7C99">
        <w:rPr>
          <w:sz w:val="22"/>
          <w:szCs w:val="22"/>
        </w:rPr>
        <w:t>W.:</w:t>
      </w:r>
      <w:r w:rsidRPr="002B7C99">
        <w:rPr>
          <w:spacing w:val="-1"/>
          <w:sz w:val="22"/>
          <w:szCs w:val="22"/>
        </w:rPr>
        <w:t xml:space="preserve"> </w:t>
      </w:r>
      <w:r w:rsidRPr="002B7C99">
        <w:rPr>
          <w:sz w:val="22"/>
          <w:szCs w:val="22"/>
        </w:rPr>
        <w:t>Angriffe</w:t>
      </w:r>
      <w:r w:rsidRPr="002B7C99">
        <w:rPr>
          <w:spacing w:val="-4"/>
          <w:sz w:val="22"/>
          <w:szCs w:val="22"/>
        </w:rPr>
        <w:t xml:space="preserve"> </w:t>
      </w:r>
      <w:r w:rsidRPr="002B7C99">
        <w:rPr>
          <w:sz w:val="22"/>
          <w:szCs w:val="22"/>
        </w:rPr>
        <w:t>aus</w:t>
      </w:r>
      <w:r w:rsidRPr="002B7C99">
        <w:rPr>
          <w:spacing w:val="-2"/>
          <w:sz w:val="22"/>
          <w:szCs w:val="22"/>
        </w:rPr>
        <w:t xml:space="preserve"> </w:t>
      </w:r>
      <w:r w:rsidRPr="002B7C99">
        <w:rPr>
          <w:sz w:val="22"/>
          <w:szCs w:val="22"/>
        </w:rPr>
        <w:t>Asien.</w:t>
      </w:r>
      <w:r w:rsidRPr="002B7C99">
        <w:rPr>
          <w:spacing w:val="-4"/>
          <w:sz w:val="22"/>
          <w:szCs w:val="22"/>
        </w:rPr>
        <w:t xml:space="preserve"> </w:t>
      </w:r>
      <w:r w:rsidRPr="002B7C99">
        <w:rPr>
          <w:sz w:val="22"/>
          <w:szCs w:val="22"/>
        </w:rPr>
        <w:t>Wie</w:t>
      </w:r>
      <w:r w:rsidRPr="002B7C99">
        <w:rPr>
          <w:spacing w:val="-4"/>
          <w:sz w:val="22"/>
          <w:szCs w:val="22"/>
        </w:rPr>
        <w:t xml:space="preserve"> </w:t>
      </w:r>
      <w:r w:rsidRPr="002B7C99">
        <w:rPr>
          <w:sz w:val="22"/>
          <w:szCs w:val="22"/>
        </w:rPr>
        <w:t>uns</w:t>
      </w:r>
      <w:r w:rsidRPr="002B7C99">
        <w:rPr>
          <w:spacing w:val="-4"/>
          <w:sz w:val="22"/>
          <w:szCs w:val="22"/>
        </w:rPr>
        <w:t xml:space="preserve"> </w:t>
      </w:r>
      <w:r w:rsidRPr="002B7C99">
        <w:rPr>
          <w:sz w:val="22"/>
          <w:szCs w:val="22"/>
        </w:rPr>
        <w:t>die</w:t>
      </w:r>
      <w:r w:rsidRPr="002B7C99">
        <w:rPr>
          <w:spacing w:val="-4"/>
          <w:sz w:val="22"/>
          <w:szCs w:val="22"/>
        </w:rPr>
        <w:t xml:space="preserve"> </w:t>
      </w:r>
      <w:r w:rsidRPr="002B7C99">
        <w:rPr>
          <w:sz w:val="22"/>
          <w:szCs w:val="22"/>
        </w:rPr>
        <w:t>neuen</w:t>
      </w:r>
      <w:r w:rsidRPr="002B7C99">
        <w:rPr>
          <w:spacing w:val="-3"/>
          <w:sz w:val="22"/>
          <w:szCs w:val="22"/>
        </w:rPr>
        <w:t xml:space="preserve"> </w:t>
      </w:r>
      <w:r w:rsidRPr="002B7C99">
        <w:rPr>
          <w:sz w:val="22"/>
          <w:szCs w:val="22"/>
        </w:rPr>
        <w:t>Wirtschaftsmächte</w:t>
      </w:r>
      <w:r w:rsidRPr="002B7C99">
        <w:rPr>
          <w:spacing w:val="-4"/>
          <w:sz w:val="22"/>
          <w:szCs w:val="22"/>
        </w:rPr>
        <w:t xml:space="preserve"> </w:t>
      </w:r>
      <w:r w:rsidRPr="002B7C99">
        <w:rPr>
          <w:sz w:val="22"/>
          <w:szCs w:val="22"/>
        </w:rPr>
        <w:t>überholen,</w:t>
      </w:r>
      <w:r w:rsidRPr="002B7C99">
        <w:rPr>
          <w:spacing w:val="40"/>
          <w:sz w:val="22"/>
          <w:szCs w:val="22"/>
        </w:rPr>
        <w:t xml:space="preserve"> </w:t>
      </w:r>
      <w:r w:rsidRPr="002B7C99">
        <w:rPr>
          <w:sz w:val="22"/>
          <w:szCs w:val="22"/>
        </w:rPr>
        <w:t>Frankfurt/Main 2007.</w:t>
      </w:r>
      <w:r w:rsidRPr="002B7C99">
        <w:rPr>
          <w:spacing w:val="80"/>
          <w:sz w:val="22"/>
          <w:szCs w:val="22"/>
        </w:rPr>
        <w:t xml:space="preserve"> </w:t>
      </w:r>
      <w:r w:rsidRPr="002B7C99">
        <w:rPr>
          <w:sz w:val="22"/>
          <w:szCs w:val="22"/>
        </w:rPr>
        <w:t>Hirn, W.: Herausforderung China, Frankfurt/Main 2005.</w:t>
      </w:r>
      <w:r w:rsidR="00BD3D32" w:rsidRPr="002B7C99">
        <w:rPr>
          <w:sz w:val="22"/>
          <w:szCs w:val="22"/>
        </w:rPr>
        <w:t xml:space="preserve"> </w:t>
      </w:r>
      <w:r w:rsidRPr="002B7C99">
        <w:rPr>
          <w:sz w:val="22"/>
          <w:szCs w:val="22"/>
        </w:rPr>
        <w:t>Sandschneider,</w:t>
      </w:r>
      <w:r w:rsidRPr="002B7C99">
        <w:rPr>
          <w:spacing w:val="-2"/>
          <w:sz w:val="22"/>
          <w:szCs w:val="22"/>
        </w:rPr>
        <w:t xml:space="preserve"> </w:t>
      </w:r>
      <w:r w:rsidRPr="002B7C99">
        <w:rPr>
          <w:sz w:val="22"/>
          <w:szCs w:val="22"/>
        </w:rPr>
        <w:t>E.:</w:t>
      </w:r>
      <w:r w:rsidRPr="002B7C99">
        <w:rPr>
          <w:spacing w:val="-3"/>
          <w:sz w:val="22"/>
          <w:szCs w:val="22"/>
        </w:rPr>
        <w:t xml:space="preserve"> </w:t>
      </w:r>
      <w:r w:rsidRPr="002B7C99">
        <w:rPr>
          <w:sz w:val="22"/>
          <w:szCs w:val="22"/>
        </w:rPr>
        <w:t>Globale</w:t>
      </w:r>
      <w:r w:rsidRPr="002B7C99">
        <w:rPr>
          <w:spacing w:val="-4"/>
          <w:sz w:val="22"/>
          <w:szCs w:val="22"/>
        </w:rPr>
        <w:t xml:space="preserve"> </w:t>
      </w:r>
      <w:r w:rsidRPr="002B7C99">
        <w:rPr>
          <w:sz w:val="22"/>
          <w:szCs w:val="22"/>
        </w:rPr>
        <w:t>Rivalen.</w:t>
      </w:r>
      <w:r w:rsidRPr="002B7C99">
        <w:rPr>
          <w:spacing w:val="-4"/>
          <w:sz w:val="22"/>
          <w:szCs w:val="22"/>
        </w:rPr>
        <w:t xml:space="preserve"> </w:t>
      </w:r>
      <w:r w:rsidRPr="002B7C99">
        <w:rPr>
          <w:sz w:val="22"/>
          <w:szCs w:val="22"/>
        </w:rPr>
        <w:t>Chinas</w:t>
      </w:r>
      <w:r w:rsidRPr="002B7C99">
        <w:rPr>
          <w:spacing w:val="-4"/>
          <w:sz w:val="22"/>
          <w:szCs w:val="22"/>
        </w:rPr>
        <w:t xml:space="preserve"> </w:t>
      </w:r>
      <w:r w:rsidRPr="002B7C99">
        <w:rPr>
          <w:sz w:val="22"/>
          <w:szCs w:val="22"/>
        </w:rPr>
        <w:t>unheimlicher</w:t>
      </w:r>
      <w:r w:rsidRPr="002B7C99">
        <w:rPr>
          <w:spacing w:val="-3"/>
          <w:sz w:val="22"/>
          <w:szCs w:val="22"/>
        </w:rPr>
        <w:t xml:space="preserve"> </w:t>
      </w:r>
      <w:r w:rsidRPr="002B7C99">
        <w:rPr>
          <w:sz w:val="22"/>
          <w:szCs w:val="22"/>
        </w:rPr>
        <w:t>Aufstieg</w:t>
      </w:r>
      <w:r w:rsidRPr="002B7C99">
        <w:rPr>
          <w:spacing w:val="-3"/>
          <w:sz w:val="22"/>
          <w:szCs w:val="22"/>
        </w:rPr>
        <w:t xml:space="preserve"> </w:t>
      </w:r>
      <w:r w:rsidRPr="002B7C99">
        <w:rPr>
          <w:sz w:val="22"/>
          <w:szCs w:val="22"/>
        </w:rPr>
        <w:t>und</w:t>
      </w:r>
      <w:r w:rsidRPr="002B7C99">
        <w:rPr>
          <w:spacing w:val="-3"/>
          <w:sz w:val="22"/>
          <w:szCs w:val="22"/>
        </w:rPr>
        <w:t xml:space="preserve"> </w:t>
      </w:r>
      <w:r w:rsidRPr="002B7C99">
        <w:rPr>
          <w:sz w:val="22"/>
          <w:szCs w:val="22"/>
        </w:rPr>
        <w:t>die</w:t>
      </w:r>
      <w:r w:rsidRPr="002B7C99">
        <w:rPr>
          <w:spacing w:val="-4"/>
          <w:sz w:val="22"/>
          <w:szCs w:val="22"/>
        </w:rPr>
        <w:t xml:space="preserve"> </w:t>
      </w:r>
      <w:r w:rsidRPr="002B7C99">
        <w:rPr>
          <w:sz w:val="22"/>
          <w:szCs w:val="22"/>
        </w:rPr>
        <w:t>Ohnmacht</w:t>
      </w:r>
      <w:r w:rsidRPr="002B7C99">
        <w:rPr>
          <w:spacing w:val="-3"/>
          <w:sz w:val="22"/>
          <w:szCs w:val="22"/>
        </w:rPr>
        <w:t xml:space="preserve"> </w:t>
      </w:r>
      <w:r w:rsidRPr="002B7C99">
        <w:rPr>
          <w:sz w:val="22"/>
          <w:szCs w:val="22"/>
        </w:rPr>
        <w:t>des</w:t>
      </w:r>
      <w:r w:rsidRPr="002B7C99">
        <w:rPr>
          <w:spacing w:val="40"/>
          <w:sz w:val="22"/>
          <w:szCs w:val="22"/>
        </w:rPr>
        <w:t xml:space="preserve"> </w:t>
      </w:r>
      <w:r w:rsidRPr="002B7C99">
        <w:rPr>
          <w:sz w:val="22"/>
          <w:szCs w:val="22"/>
        </w:rPr>
        <w:t>Westens, München 2007.</w:t>
      </w:r>
      <w:r w:rsidRPr="002B7C99">
        <w:rPr>
          <w:spacing w:val="80"/>
          <w:sz w:val="22"/>
          <w:szCs w:val="22"/>
        </w:rPr>
        <w:t xml:space="preserve"> </w:t>
      </w:r>
      <w:r w:rsidRPr="002B7C99">
        <w:rPr>
          <w:sz w:val="22"/>
          <w:szCs w:val="22"/>
        </w:rPr>
        <w:t>Steingart, G.: Weltkrieg um Wohlstand. Wie Macht und</w:t>
      </w:r>
      <w:r w:rsidRPr="002B7C99">
        <w:rPr>
          <w:spacing w:val="40"/>
          <w:sz w:val="22"/>
          <w:szCs w:val="22"/>
        </w:rPr>
        <w:t xml:space="preserve"> </w:t>
      </w:r>
      <w:r w:rsidRPr="002B7C99">
        <w:rPr>
          <w:sz w:val="22"/>
          <w:szCs w:val="22"/>
        </w:rPr>
        <w:t>Reichtum neu verteilt werden, München 2006.</w:t>
      </w:r>
    </w:p>
    <w:p w14:paraId="3BD00AFC" w14:textId="77777777" w:rsidR="00FF7799" w:rsidRPr="002B7C99" w:rsidRDefault="00FF7799" w:rsidP="00862DBA"/>
    <w:p w14:paraId="552D4E4C" w14:textId="77777777" w:rsidR="004B5AEF" w:rsidRDefault="004B5AEF" w:rsidP="004B5AEF">
      <w:pPr>
        <w:keepNext/>
        <w:keepLines/>
        <w:spacing w:before="240"/>
        <w:jc w:val="both"/>
        <w:outlineLvl w:val="1"/>
        <w:rPr>
          <w:b/>
          <w:bCs/>
          <w:color w:val="2E74B5"/>
        </w:rPr>
      </w:pPr>
      <w:r w:rsidRPr="00574568">
        <w:rPr>
          <w:b/>
          <w:bCs/>
          <w:color w:val="2E74B5"/>
        </w:rPr>
        <w:t>Herdenverhalten</w:t>
      </w:r>
    </w:p>
    <w:p w14:paraId="4621952C" w14:textId="77777777" w:rsidR="004B5AEF" w:rsidRDefault="004B5AEF" w:rsidP="004B5AEF">
      <w:pPr>
        <w:pStyle w:val="Erlaeuterung"/>
        <w:rPr>
          <w:bCs w:val="0"/>
          <w:sz w:val="24"/>
          <w:szCs w:val="24"/>
          <w:lang w:eastAsia="en-US" w:bidi="en-US"/>
        </w:rPr>
      </w:pPr>
      <w:r w:rsidRPr="00574568">
        <w:rPr>
          <w:bCs w:val="0"/>
          <w:sz w:val="24"/>
          <w:szCs w:val="24"/>
          <w:lang w:eastAsia="en-US" w:bidi="en-US"/>
        </w:rPr>
        <w:t>Verhaltensanomalie von </w:t>
      </w:r>
      <w:hyperlink r:id="rId55" w:tooltip="Marktteilnehmer" w:history="1">
        <w:r w:rsidRPr="00574568">
          <w:rPr>
            <w:bCs w:val="0"/>
            <w:sz w:val="24"/>
            <w:szCs w:val="24"/>
            <w:lang w:eastAsia="en-US" w:bidi="en-US"/>
          </w:rPr>
          <w:t>Marktteilnehmern</w:t>
        </w:r>
      </w:hyperlink>
      <w:r w:rsidRPr="00574568">
        <w:rPr>
          <w:bCs w:val="0"/>
          <w:sz w:val="24"/>
          <w:szCs w:val="24"/>
          <w:lang w:eastAsia="en-US" w:bidi="en-US"/>
        </w:rPr>
        <w:t xml:space="preserve">, </w:t>
      </w:r>
      <w:r>
        <w:rPr>
          <w:bCs w:val="0"/>
          <w:sz w:val="24"/>
          <w:szCs w:val="24"/>
          <w:lang w:eastAsia="en-US" w:bidi="en-US"/>
        </w:rPr>
        <w:t xml:space="preserve">die darin besteht, dass </w:t>
      </w:r>
      <w:r w:rsidRPr="00574568">
        <w:rPr>
          <w:bCs w:val="0"/>
          <w:sz w:val="24"/>
          <w:szCs w:val="24"/>
          <w:lang w:eastAsia="en-US" w:bidi="en-US"/>
        </w:rPr>
        <w:t>die</w:t>
      </w:r>
      <w:r>
        <w:rPr>
          <w:bCs w:val="0"/>
          <w:sz w:val="24"/>
          <w:szCs w:val="24"/>
          <w:lang w:eastAsia="en-US" w:bidi="en-US"/>
        </w:rPr>
        <w:t>se</w:t>
      </w:r>
      <w:r w:rsidRPr="00574568">
        <w:rPr>
          <w:bCs w:val="0"/>
          <w:sz w:val="24"/>
          <w:szCs w:val="24"/>
          <w:lang w:eastAsia="en-US" w:bidi="en-US"/>
        </w:rPr>
        <w:t xml:space="preserve"> </w:t>
      </w:r>
      <w:r>
        <w:rPr>
          <w:bCs w:val="0"/>
          <w:sz w:val="24"/>
          <w:szCs w:val="24"/>
          <w:lang w:eastAsia="en-US" w:bidi="en-US"/>
        </w:rPr>
        <w:t xml:space="preserve">keine eigenständigen </w:t>
      </w:r>
      <w:hyperlink r:id="rId56" w:tooltip="Entscheidung" w:history="1">
        <w:r w:rsidRPr="00574568">
          <w:rPr>
            <w:bCs w:val="0"/>
            <w:sz w:val="24"/>
            <w:szCs w:val="24"/>
            <w:lang w:eastAsia="en-US" w:bidi="en-US"/>
          </w:rPr>
          <w:t>Entscheidungen</w:t>
        </w:r>
      </w:hyperlink>
      <w:r w:rsidRPr="00574568">
        <w:rPr>
          <w:bCs w:val="0"/>
          <w:sz w:val="24"/>
          <w:szCs w:val="24"/>
          <w:lang w:eastAsia="en-US" w:bidi="en-US"/>
        </w:rPr>
        <w:t xml:space="preserve">  treffen, </w:t>
      </w:r>
      <w:r>
        <w:rPr>
          <w:bCs w:val="0"/>
          <w:sz w:val="24"/>
          <w:szCs w:val="24"/>
          <w:lang w:eastAsia="en-US" w:bidi="en-US"/>
        </w:rPr>
        <w:t xml:space="preserve">sondern jene Entscheidungen übernehmen, </w:t>
      </w:r>
      <w:r w:rsidRPr="00574568">
        <w:rPr>
          <w:bCs w:val="0"/>
          <w:sz w:val="24"/>
          <w:szCs w:val="24"/>
          <w:lang w:eastAsia="en-US" w:bidi="en-US"/>
        </w:rPr>
        <w:t>die andere Marktteilnehmer bereits vor ihnen getroffen haben</w:t>
      </w:r>
      <w:r>
        <w:rPr>
          <w:bCs w:val="0"/>
          <w:sz w:val="24"/>
          <w:szCs w:val="24"/>
          <w:lang w:eastAsia="en-US" w:bidi="en-US"/>
        </w:rPr>
        <w:t xml:space="preserve"> (bspw. Aktienmakler an der Börse)</w:t>
      </w:r>
      <w:r w:rsidRPr="00574568">
        <w:rPr>
          <w:bCs w:val="0"/>
          <w:sz w:val="24"/>
          <w:szCs w:val="24"/>
          <w:lang w:eastAsia="en-US" w:bidi="en-US"/>
        </w:rPr>
        <w:t>.</w:t>
      </w:r>
    </w:p>
    <w:p w14:paraId="1164917A" w14:textId="77777777" w:rsidR="004B5AEF" w:rsidRDefault="004B5AEF" w:rsidP="004B5AEF">
      <w:pPr>
        <w:pStyle w:val="Erlaeuterung"/>
        <w:rPr>
          <w:bCs w:val="0"/>
          <w:sz w:val="24"/>
          <w:szCs w:val="24"/>
          <w:lang w:eastAsia="en-US" w:bidi="en-US"/>
        </w:rPr>
      </w:pPr>
    </w:p>
    <w:p w14:paraId="37423BDD" w14:textId="77777777" w:rsidR="00FF7799" w:rsidRPr="00E73F6F" w:rsidRDefault="00FF7799" w:rsidP="002B7C99">
      <w:pPr>
        <w:keepNext/>
        <w:keepLines/>
        <w:spacing w:before="240"/>
        <w:jc w:val="both"/>
        <w:outlineLvl w:val="1"/>
      </w:pPr>
      <w:r w:rsidRPr="002B7C99">
        <w:rPr>
          <w:b/>
          <w:bCs/>
          <w:color w:val="2E74B5"/>
        </w:rPr>
        <w:t>Herkunftslandeffekt</w:t>
      </w:r>
    </w:p>
    <w:p w14:paraId="02FF70B8" w14:textId="77777777" w:rsidR="00FF7799" w:rsidRDefault="00FF7799" w:rsidP="00C77E75">
      <w:pPr>
        <w:pStyle w:val="StandardText"/>
      </w:pPr>
      <w:r w:rsidRPr="00E73F6F">
        <w:t>Beeinflussung der wahrgenommenen Qualität, Reputation etc. eines Produkts durch dessen Herkunft, d.h. den Standort des Unternehmens oder der Produktionsstätte (vgl. Gürhan-Canli/Maheswaran (2</w:t>
      </w:r>
      <w:r w:rsidR="00A076A5">
        <w:t xml:space="preserve">000a)? Vor dem Hintergrund der </w:t>
      </w:r>
      <w:r w:rsidR="00A076A5">
        <w:sym w:font="Symbol" w:char="F0DE"/>
      </w:r>
      <w:r w:rsidRPr="00E73F6F">
        <w:t xml:space="preserve"> Country o Origin-Forschung befragten Schweiger/Häubl (1996)</w:t>
      </w:r>
      <w:r w:rsidRPr="00E73F6F">
        <w:rPr>
          <w:spacing w:val="-8"/>
        </w:rPr>
        <w:t xml:space="preserve"> </w:t>
      </w:r>
      <w:r w:rsidRPr="00E73F6F">
        <w:t>mündlich</w:t>
      </w:r>
      <w:r w:rsidRPr="00E73F6F">
        <w:rPr>
          <w:spacing w:val="-9"/>
        </w:rPr>
        <w:t xml:space="preserve"> </w:t>
      </w:r>
      <w:r w:rsidRPr="00E73F6F">
        <w:t>1.620</w:t>
      </w:r>
      <w:r w:rsidRPr="00E73F6F">
        <w:rPr>
          <w:spacing w:val="-9"/>
        </w:rPr>
        <w:t xml:space="preserve"> </w:t>
      </w:r>
      <w:r w:rsidRPr="00E73F6F">
        <w:t>deutsche</w:t>
      </w:r>
      <w:r w:rsidRPr="00E73F6F">
        <w:rPr>
          <w:spacing w:val="-8"/>
        </w:rPr>
        <w:t xml:space="preserve"> </w:t>
      </w:r>
      <w:r w:rsidRPr="00E73F6F">
        <w:t>und</w:t>
      </w:r>
      <w:r w:rsidRPr="00E73F6F">
        <w:rPr>
          <w:spacing w:val="-7"/>
        </w:rPr>
        <w:t xml:space="preserve"> </w:t>
      </w:r>
      <w:r w:rsidRPr="00E73F6F">
        <w:t>1.264</w:t>
      </w:r>
      <w:r w:rsidRPr="00E73F6F">
        <w:rPr>
          <w:spacing w:val="-7"/>
        </w:rPr>
        <w:t xml:space="preserve"> </w:t>
      </w:r>
      <w:r w:rsidRPr="00E73F6F">
        <w:t>französische</w:t>
      </w:r>
      <w:r w:rsidRPr="00E73F6F">
        <w:rPr>
          <w:spacing w:val="-6"/>
        </w:rPr>
        <w:t xml:space="preserve"> </w:t>
      </w:r>
      <w:r w:rsidRPr="00E73F6F">
        <w:t>Käufer</w:t>
      </w:r>
      <w:r w:rsidRPr="00E73F6F">
        <w:rPr>
          <w:spacing w:val="-5"/>
        </w:rPr>
        <w:t xml:space="preserve"> </w:t>
      </w:r>
      <w:r w:rsidRPr="00E73F6F">
        <w:t>eines</w:t>
      </w:r>
      <w:r w:rsidRPr="00E73F6F">
        <w:rPr>
          <w:spacing w:val="-6"/>
        </w:rPr>
        <w:t xml:space="preserve"> </w:t>
      </w:r>
      <w:r w:rsidRPr="00E73F6F">
        <w:t>Neuwagens. Nachdem sie die beiden nationalen Stichproben in neun strukturgleiche Teilstichproben (fünf in Deutschland; vier in Frankreich) unterteilt hatten, ließen die Autoren die Probanden Marke und Produkt sowie jeweils ein Herkunftsland (z.B. USA oder Südkorea) bewerten. Der Vergleich der für jede Stichprobe kausalanalytisch</w:t>
      </w:r>
      <w:r w:rsidRPr="00E73F6F">
        <w:rPr>
          <w:spacing w:val="-10"/>
        </w:rPr>
        <w:t xml:space="preserve"> </w:t>
      </w:r>
      <w:r w:rsidRPr="00E73F6F">
        <w:t>identifizierten</w:t>
      </w:r>
      <w:r w:rsidRPr="00E73F6F">
        <w:rPr>
          <w:spacing w:val="-8"/>
        </w:rPr>
        <w:t xml:space="preserve"> </w:t>
      </w:r>
      <w:r w:rsidRPr="00E73F6F">
        <w:t>Country</w:t>
      </w:r>
      <w:r w:rsidRPr="00E73F6F">
        <w:rPr>
          <w:spacing w:val="-12"/>
        </w:rPr>
        <w:t xml:space="preserve"> </w:t>
      </w:r>
      <w:r w:rsidRPr="00E73F6F">
        <w:t>of</w:t>
      </w:r>
      <w:r w:rsidRPr="00E73F6F">
        <w:rPr>
          <w:spacing w:val="-10"/>
        </w:rPr>
        <w:t xml:space="preserve"> </w:t>
      </w:r>
      <w:r w:rsidRPr="00E73F6F">
        <w:t>Origin-Modelle</w:t>
      </w:r>
      <w:r w:rsidRPr="00E73F6F">
        <w:rPr>
          <w:spacing w:val="-11"/>
        </w:rPr>
        <w:t xml:space="preserve"> </w:t>
      </w:r>
      <w:r w:rsidRPr="00E73F6F">
        <w:t>ergab</w:t>
      </w:r>
      <w:r w:rsidRPr="00E73F6F">
        <w:rPr>
          <w:spacing w:val="-10"/>
        </w:rPr>
        <w:t xml:space="preserve"> </w:t>
      </w:r>
      <w:r w:rsidRPr="00E73F6F">
        <w:t>für</w:t>
      </w:r>
      <w:r w:rsidRPr="00E73F6F">
        <w:rPr>
          <w:spacing w:val="-11"/>
        </w:rPr>
        <w:t xml:space="preserve"> </w:t>
      </w:r>
      <w:r w:rsidRPr="00E73F6F">
        <w:t>die</w:t>
      </w:r>
      <w:r w:rsidRPr="00E73F6F">
        <w:rPr>
          <w:spacing w:val="-12"/>
        </w:rPr>
        <w:t xml:space="preserve"> </w:t>
      </w:r>
      <w:r w:rsidRPr="00E73F6F">
        <w:t>einzelnen Produktionsstandorte</w:t>
      </w:r>
      <w:r w:rsidRPr="00E73F6F">
        <w:rPr>
          <w:spacing w:val="-12"/>
        </w:rPr>
        <w:t xml:space="preserve"> </w:t>
      </w:r>
      <w:r w:rsidRPr="00E73F6F">
        <w:t>weitgehend</w:t>
      </w:r>
      <w:r w:rsidRPr="00E73F6F">
        <w:rPr>
          <w:spacing w:val="-11"/>
        </w:rPr>
        <w:t xml:space="preserve"> </w:t>
      </w:r>
      <w:r w:rsidRPr="00E73F6F">
        <w:t>übereinstimmende</w:t>
      </w:r>
      <w:r w:rsidRPr="00E73F6F">
        <w:rPr>
          <w:spacing w:val="-11"/>
        </w:rPr>
        <w:t xml:space="preserve"> </w:t>
      </w:r>
      <w:r w:rsidRPr="00E73F6F">
        <w:t>Wirkungspfade.</w:t>
      </w:r>
      <w:r w:rsidRPr="00E73F6F">
        <w:rPr>
          <w:spacing w:val="-11"/>
        </w:rPr>
        <w:t xml:space="preserve"> </w:t>
      </w:r>
      <w:r w:rsidRPr="00E73F6F">
        <w:t>Auch</w:t>
      </w:r>
      <w:r w:rsidRPr="00E73F6F">
        <w:rPr>
          <w:spacing w:val="-12"/>
        </w:rPr>
        <w:t xml:space="preserve"> </w:t>
      </w:r>
      <w:r w:rsidRPr="00E73F6F">
        <w:t>erwies sich</w:t>
      </w:r>
      <w:r w:rsidRPr="00E73F6F">
        <w:rPr>
          <w:spacing w:val="-12"/>
        </w:rPr>
        <w:t xml:space="preserve"> </w:t>
      </w:r>
      <w:r w:rsidRPr="00E73F6F">
        <w:t>das</w:t>
      </w:r>
      <w:r w:rsidRPr="00E73F6F">
        <w:rPr>
          <w:spacing w:val="-11"/>
        </w:rPr>
        <w:t xml:space="preserve"> </w:t>
      </w:r>
      <w:r w:rsidRPr="00E73F6F">
        <w:t>Strukturmodell</w:t>
      </w:r>
      <w:r w:rsidRPr="00E73F6F">
        <w:rPr>
          <w:spacing w:val="-11"/>
        </w:rPr>
        <w:t xml:space="preserve"> </w:t>
      </w:r>
      <w:r w:rsidRPr="00E73F6F">
        <w:t>als</w:t>
      </w:r>
      <w:r w:rsidRPr="00E73F6F">
        <w:rPr>
          <w:spacing w:val="-11"/>
        </w:rPr>
        <w:t xml:space="preserve"> </w:t>
      </w:r>
      <w:r w:rsidRPr="00E73F6F">
        <w:t>weitgehend</w:t>
      </w:r>
      <w:r w:rsidRPr="00E73F6F">
        <w:rPr>
          <w:spacing w:val="-12"/>
        </w:rPr>
        <w:t xml:space="preserve"> </w:t>
      </w:r>
      <w:r w:rsidRPr="00E73F6F">
        <w:t>„immun“</w:t>
      </w:r>
      <w:r w:rsidRPr="00E73F6F">
        <w:rPr>
          <w:spacing w:val="-11"/>
        </w:rPr>
        <w:t xml:space="preserve"> </w:t>
      </w:r>
      <w:r w:rsidRPr="00E73F6F">
        <w:t>gegenüber</w:t>
      </w:r>
      <w:r w:rsidRPr="00E73F6F">
        <w:rPr>
          <w:spacing w:val="-11"/>
        </w:rPr>
        <w:t xml:space="preserve"> </w:t>
      </w:r>
      <w:r w:rsidRPr="00E73F6F">
        <w:t>kulturellen</w:t>
      </w:r>
      <w:r w:rsidRPr="00E73F6F">
        <w:rPr>
          <w:spacing w:val="-11"/>
        </w:rPr>
        <w:t xml:space="preserve"> </w:t>
      </w:r>
      <w:r w:rsidRPr="00E73F6F">
        <w:t>Einflüssen (Deutschland, Frankreich). Kulturinvariante Effekte, d.h. Einflüsse, die in allen Teilstichproben und für alle analysierten Standorte der PKW-Produktion nachweisbar wa</w:t>
      </w:r>
      <w:r w:rsidR="002678C8">
        <w:t>ren, sind in der Abbildung als dominante Pfade</w:t>
      </w:r>
      <w:r w:rsidRPr="00E73F6F">
        <w:t xml:space="preserve"> ausgewiesen. Ein</w:t>
      </w:r>
      <w:r w:rsidRPr="00E73F6F">
        <w:rPr>
          <w:spacing w:val="-7"/>
        </w:rPr>
        <w:t xml:space="preserve"> </w:t>
      </w:r>
      <w:r w:rsidRPr="00E73F6F">
        <w:t>wichtiger</w:t>
      </w:r>
      <w:r w:rsidRPr="00E73F6F">
        <w:rPr>
          <w:spacing w:val="-10"/>
        </w:rPr>
        <w:t xml:space="preserve"> </w:t>
      </w:r>
      <w:r w:rsidRPr="00E73F6F">
        <w:t>inhaltlicher</w:t>
      </w:r>
      <w:r w:rsidRPr="00E73F6F">
        <w:rPr>
          <w:spacing w:val="-8"/>
        </w:rPr>
        <w:t xml:space="preserve"> </w:t>
      </w:r>
      <w:r w:rsidRPr="00E73F6F">
        <w:t>Befund</w:t>
      </w:r>
      <w:r w:rsidRPr="00E73F6F">
        <w:rPr>
          <w:spacing w:val="-11"/>
        </w:rPr>
        <w:t xml:space="preserve"> </w:t>
      </w:r>
      <w:r w:rsidRPr="00E73F6F">
        <w:t>lautet:</w:t>
      </w:r>
      <w:r w:rsidRPr="00E73F6F">
        <w:rPr>
          <w:spacing w:val="-7"/>
        </w:rPr>
        <w:t xml:space="preserve"> </w:t>
      </w:r>
      <w:r w:rsidRPr="00E73F6F">
        <w:t>Das</w:t>
      </w:r>
      <w:r w:rsidRPr="00E73F6F">
        <w:rPr>
          <w:spacing w:val="-8"/>
        </w:rPr>
        <w:t xml:space="preserve"> </w:t>
      </w:r>
      <w:r w:rsidRPr="00E73F6F">
        <w:t>Herkunftsland</w:t>
      </w:r>
      <w:r w:rsidRPr="00E73F6F">
        <w:rPr>
          <w:spacing w:val="-9"/>
        </w:rPr>
        <w:t xml:space="preserve"> </w:t>
      </w:r>
      <w:r w:rsidRPr="00E73F6F">
        <w:t>beeinflusst</w:t>
      </w:r>
      <w:r w:rsidRPr="00E73F6F">
        <w:rPr>
          <w:spacing w:val="-7"/>
        </w:rPr>
        <w:t xml:space="preserve"> </w:t>
      </w:r>
      <w:r w:rsidRPr="00E73F6F">
        <w:t>primär</w:t>
      </w:r>
      <w:r w:rsidRPr="00E73F6F">
        <w:rPr>
          <w:spacing w:val="-10"/>
        </w:rPr>
        <w:t xml:space="preserve"> </w:t>
      </w:r>
      <w:r w:rsidRPr="00E73F6F">
        <w:t>nur die allgemeine Akzeptanz eines Angebots, während die konkrete Verhaltensabsicht stärker von Modell- bzw. Pkw-spezifischen Einstellungen abhängt (z.B. Design, funktionale Merkmale).</w:t>
      </w:r>
    </w:p>
    <w:p w14:paraId="1C93F7BF" w14:textId="77777777" w:rsidR="003E716A" w:rsidRPr="00E73F6F" w:rsidRDefault="003E716A" w:rsidP="00C77E75">
      <w:pPr>
        <w:pStyle w:val="StandardText"/>
      </w:pPr>
    </w:p>
    <w:p w14:paraId="73941701" w14:textId="77777777" w:rsidR="00FF7799" w:rsidRPr="00C76DC3" w:rsidRDefault="00FF7799" w:rsidP="00ED7061">
      <w:pPr>
        <w:pStyle w:val="BeschriftungTab"/>
        <w:rPr>
          <w:i/>
          <w:iCs/>
          <w:color w:val="FF0000"/>
          <w:spacing w:val="-2"/>
          <w:lang w:val="en-US"/>
        </w:rPr>
      </w:pPr>
      <w:r w:rsidRPr="00C76DC3">
        <w:rPr>
          <w:i/>
          <w:iCs/>
          <w:lang w:val="en-US"/>
        </w:rPr>
        <w:t>Abb. 1: Interkulturell</w:t>
      </w:r>
      <w:r w:rsidRPr="00C76DC3">
        <w:rPr>
          <w:i/>
          <w:iCs/>
          <w:spacing w:val="-4"/>
          <w:lang w:val="en-US"/>
        </w:rPr>
        <w:t xml:space="preserve"> </w:t>
      </w:r>
      <w:r w:rsidRPr="00C76DC3">
        <w:rPr>
          <w:i/>
          <w:iCs/>
          <w:lang w:val="en-US"/>
        </w:rPr>
        <w:t>bewährtes</w:t>
      </w:r>
      <w:r w:rsidRPr="00C76DC3">
        <w:rPr>
          <w:i/>
          <w:iCs/>
          <w:spacing w:val="-3"/>
          <w:lang w:val="en-US"/>
        </w:rPr>
        <w:t xml:space="preserve"> </w:t>
      </w:r>
      <w:r w:rsidRPr="00C76DC3">
        <w:rPr>
          <w:i/>
          <w:iCs/>
          <w:lang w:val="en-US"/>
        </w:rPr>
        <w:t>Country</w:t>
      </w:r>
      <w:r w:rsidRPr="00C76DC3">
        <w:rPr>
          <w:i/>
          <w:iCs/>
          <w:spacing w:val="-3"/>
          <w:lang w:val="en-US"/>
        </w:rPr>
        <w:t xml:space="preserve"> </w:t>
      </w:r>
      <w:r w:rsidRPr="00C76DC3">
        <w:rPr>
          <w:i/>
          <w:iCs/>
          <w:lang w:val="en-US"/>
        </w:rPr>
        <w:t>of</w:t>
      </w:r>
      <w:r w:rsidRPr="00C76DC3">
        <w:rPr>
          <w:i/>
          <w:iCs/>
          <w:spacing w:val="-1"/>
          <w:lang w:val="en-US"/>
        </w:rPr>
        <w:t xml:space="preserve"> </w:t>
      </w:r>
      <w:r w:rsidRPr="00C76DC3">
        <w:rPr>
          <w:i/>
          <w:iCs/>
          <w:lang w:val="en-US"/>
        </w:rPr>
        <w:t>Origin-</w:t>
      </w:r>
      <w:r w:rsidRPr="00C76DC3">
        <w:rPr>
          <w:i/>
          <w:iCs/>
          <w:spacing w:val="-2"/>
          <w:lang w:val="en-US"/>
        </w:rPr>
        <w:t xml:space="preserve">Modell </w:t>
      </w:r>
    </w:p>
    <w:p w14:paraId="1343702F" w14:textId="77777777" w:rsidR="003E716A" w:rsidRDefault="003E716A" w:rsidP="00ED7061">
      <w:pPr>
        <w:pStyle w:val="BeschriftungTab"/>
        <w:rPr>
          <w:color w:val="FF0000"/>
          <w:spacing w:val="-2"/>
          <w:lang w:val="en-US"/>
        </w:rPr>
      </w:pPr>
    </w:p>
    <w:p w14:paraId="1D33876E" w14:textId="77777777" w:rsidR="003E716A" w:rsidRPr="00926A05" w:rsidRDefault="003E716A" w:rsidP="00ED7061">
      <w:pPr>
        <w:pStyle w:val="Quellen"/>
        <w:rPr>
          <w:spacing w:val="-2"/>
          <w:lang w:val="en-US"/>
        </w:rPr>
      </w:pPr>
    </w:p>
    <w:p w14:paraId="5CDF3DF5" w14:textId="77777777" w:rsidR="003E716A" w:rsidRPr="00926A05" w:rsidRDefault="003E716A" w:rsidP="00ED7061">
      <w:pPr>
        <w:pStyle w:val="Quellen"/>
        <w:rPr>
          <w:spacing w:val="-2"/>
          <w:lang w:val="en-US"/>
        </w:rPr>
      </w:pPr>
    </w:p>
    <w:p w14:paraId="7B58C647" w14:textId="77777777" w:rsidR="002678C8" w:rsidRPr="00926A05" w:rsidRDefault="002678C8" w:rsidP="00ED7061">
      <w:pPr>
        <w:pStyle w:val="Quellen"/>
        <w:rPr>
          <w:spacing w:val="-2"/>
          <w:lang w:val="en-US"/>
        </w:rPr>
      </w:pPr>
    </w:p>
    <w:p w14:paraId="17BB8FAD" w14:textId="77777777" w:rsidR="00FF7799" w:rsidRPr="00E73F6F" w:rsidRDefault="002678C8" w:rsidP="00ED7061">
      <w:pPr>
        <w:pStyle w:val="Quellen"/>
      </w:pPr>
      <w:r>
        <w:rPr>
          <w:noProof/>
          <w:spacing w:val="-2"/>
        </w:rPr>
        <w:lastRenderedPageBreak/>
        <w:drawing>
          <wp:inline distT="0" distB="0" distL="0" distR="0" wp14:anchorId="555C63C3" wp14:editId="546C1F42">
            <wp:extent cx="5686702" cy="4248150"/>
            <wp:effectExtent l="0" t="0" r="9525" b="0"/>
            <wp:docPr id="64" name="Grafik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698095" cy="4256661"/>
                    </a:xfrm>
                    <a:prstGeom prst="rect">
                      <a:avLst/>
                    </a:prstGeom>
                    <a:noFill/>
                  </pic:spPr>
                </pic:pic>
              </a:graphicData>
            </a:graphic>
          </wp:inline>
        </w:drawing>
      </w:r>
      <w:r w:rsidR="00FF7799" w:rsidRPr="00E73F6F">
        <w:rPr>
          <w:spacing w:val="-2"/>
        </w:rPr>
        <w:t>Quelle:</w:t>
      </w:r>
      <w:r w:rsidR="00FF7799" w:rsidRPr="00E73F6F">
        <w:tab/>
        <w:t>Schweiger/Häubl</w:t>
      </w:r>
      <w:r w:rsidR="00FF7799" w:rsidRPr="00E73F6F">
        <w:rPr>
          <w:spacing w:val="-1"/>
        </w:rPr>
        <w:t xml:space="preserve"> </w:t>
      </w:r>
      <w:r w:rsidR="00FF7799" w:rsidRPr="00E73F6F">
        <w:t>(1996,</w:t>
      </w:r>
      <w:r w:rsidR="00FF7799" w:rsidRPr="00E73F6F">
        <w:rPr>
          <w:spacing w:val="-2"/>
        </w:rPr>
        <w:t xml:space="preserve"> S.111).</w:t>
      </w:r>
    </w:p>
    <w:p w14:paraId="11839952" w14:textId="77777777" w:rsidR="00FF7799" w:rsidRPr="00E73F6F" w:rsidRDefault="00FF7799" w:rsidP="00862DBA">
      <w:pPr>
        <w:rPr>
          <w:sz w:val="24"/>
          <w:szCs w:val="24"/>
        </w:rPr>
      </w:pPr>
    </w:p>
    <w:p w14:paraId="009D9E7B" w14:textId="77777777" w:rsidR="00FF7799" w:rsidRPr="00E73F6F" w:rsidRDefault="00FF7799" w:rsidP="00C77E75">
      <w:pPr>
        <w:pStyle w:val="StandardText"/>
      </w:pPr>
      <w:r w:rsidRPr="00E73F6F">
        <w:t>Neuere Studien sprechen allerdings dafür, dass der Country of Origin-Effekt zwischen verschiedenen Ländern stärker variiert, wofür Gürhan- Canli/Maheswaran (2000b) kulturspezifische Faktoren verantwortlich machen. Demzufolge präferieren US-Amerikaner, als Repräsentanten des individualistischen Kulturtyps, Mountainbikes heimischer Hersteller nur dann, wenn sie konkurrierenden ausländischen Produkten überlegen sind (bzw. erscheinen). Angehörige beziehungsorientierter Kulturen (z.B. Japan) hingegen beurteilen einheimische Mountainbikes grundsätzlich positiver, unabhängig davon, ob sie als minder- oder höherwertig dargestellt werden.</w:t>
      </w:r>
    </w:p>
    <w:p w14:paraId="39D5974C" w14:textId="77777777" w:rsidR="00FF7799" w:rsidRPr="002678C8" w:rsidRDefault="00FF7799" w:rsidP="00C77E75">
      <w:pPr>
        <w:pStyle w:val="StandardText"/>
        <w:rPr>
          <w:sz w:val="22"/>
          <w:szCs w:val="22"/>
        </w:rPr>
      </w:pPr>
      <w:r w:rsidRPr="002A223B">
        <w:rPr>
          <w:b/>
          <w:i/>
          <w:sz w:val="22"/>
          <w:szCs w:val="22"/>
          <w:lang w:val="en-US"/>
        </w:rPr>
        <w:t>Literatur:</w:t>
      </w:r>
      <w:r w:rsidRPr="002A223B">
        <w:rPr>
          <w:b/>
          <w:spacing w:val="-10"/>
          <w:sz w:val="22"/>
          <w:szCs w:val="22"/>
          <w:lang w:val="en-US"/>
        </w:rPr>
        <w:t xml:space="preserve"> </w:t>
      </w:r>
      <w:r w:rsidRPr="002678C8">
        <w:rPr>
          <w:sz w:val="22"/>
          <w:szCs w:val="22"/>
          <w:lang w:val="en-US"/>
        </w:rPr>
        <w:t>Gürhan-Canli,</w:t>
      </w:r>
      <w:r w:rsidRPr="002678C8">
        <w:rPr>
          <w:spacing w:val="-10"/>
          <w:sz w:val="22"/>
          <w:szCs w:val="22"/>
          <w:lang w:val="en-US"/>
        </w:rPr>
        <w:t xml:space="preserve"> </w:t>
      </w:r>
      <w:r w:rsidRPr="002678C8">
        <w:rPr>
          <w:sz w:val="22"/>
          <w:szCs w:val="22"/>
          <w:lang w:val="en-US"/>
        </w:rPr>
        <w:t>Z.;</w:t>
      </w:r>
      <w:r w:rsidRPr="002678C8">
        <w:rPr>
          <w:spacing w:val="-10"/>
          <w:sz w:val="22"/>
          <w:szCs w:val="22"/>
          <w:lang w:val="en-US"/>
        </w:rPr>
        <w:t xml:space="preserve"> </w:t>
      </w:r>
      <w:r w:rsidRPr="002678C8">
        <w:rPr>
          <w:sz w:val="22"/>
          <w:szCs w:val="22"/>
          <w:lang w:val="en-US"/>
        </w:rPr>
        <w:t>Maheswaran,</w:t>
      </w:r>
      <w:r w:rsidRPr="002678C8">
        <w:rPr>
          <w:spacing w:val="-10"/>
          <w:sz w:val="22"/>
          <w:szCs w:val="22"/>
          <w:lang w:val="en-US"/>
        </w:rPr>
        <w:t xml:space="preserve"> </w:t>
      </w:r>
      <w:r w:rsidRPr="002678C8">
        <w:rPr>
          <w:sz w:val="22"/>
          <w:szCs w:val="22"/>
          <w:lang w:val="en-US"/>
        </w:rPr>
        <w:t>D.</w:t>
      </w:r>
      <w:r w:rsidRPr="002678C8">
        <w:rPr>
          <w:spacing w:val="-8"/>
          <w:sz w:val="22"/>
          <w:szCs w:val="22"/>
          <w:lang w:val="en-US"/>
        </w:rPr>
        <w:t xml:space="preserve"> </w:t>
      </w:r>
      <w:r w:rsidRPr="002678C8">
        <w:rPr>
          <w:sz w:val="22"/>
          <w:szCs w:val="22"/>
          <w:lang w:val="en-US"/>
        </w:rPr>
        <w:t>(2000a):</w:t>
      </w:r>
      <w:r w:rsidRPr="002678C8">
        <w:rPr>
          <w:spacing w:val="-9"/>
          <w:sz w:val="22"/>
          <w:szCs w:val="22"/>
          <w:lang w:val="en-US"/>
        </w:rPr>
        <w:t xml:space="preserve"> </w:t>
      </w:r>
      <w:r w:rsidRPr="002678C8">
        <w:rPr>
          <w:sz w:val="22"/>
          <w:szCs w:val="22"/>
          <w:lang w:val="en-US"/>
        </w:rPr>
        <w:t>Determinants</w:t>
      </w:r>
      <w:r w:rsidRPr="002678C8">
        <w:rPr>
          <w:spacing w:val="-10"/>
          <w:sz w:val="22"/>
          <w:szCs w:val="22"/>
          <w:lang w:val="en-US"/>
        </w:rPr>
        <w:t xml:space="preserve"> </w:t>
      </w:r>
      <w:r w:rsidRPr="002678C8">
        <w:rPr>
          <w:sz w:val="22"/>
          <w:szCs w:val="22"/>
          <w:lang w:val="en-US"/>
        </w:rPr>
        <w:t>of</w:t>
      </w:r>
      <w:r w:rsidRPr="002678C8">
        <w:rPr>
          <w:spacing w:val="-10"/>
          <w:sz w:val="22"/>
          <w:szCs w:val="22"/>
          <w:lang w:val="en-US"/>
        </w:rPr>
        <w:t xml:space="preserve"> </w:t>
      </w:r>
      <w:r w:rsidRPr="002678C8">
        <w:rPr>
          <w:sz w:val="22"/>
          <w:szCs w:val="22"/>
          <w:lang w:val="en-US"/>
        </w:rPr>
        <w:t>Country-of-Origin-</w:t>
      </w:r>
      <w:r w:rsidRPr="002678C8">
        <w:rPr>
          <w:spacing w:val="40"/>
          <w:sz w:val="22"/>
          <w:szCs w:val="22"/>
          <w:lang w:val="en-US"/>
        </w:rPr>
        <w:t xml:space="preserve"> </w:t>
      </w:r>
      <w:r w:rsidRPr="002678C8">
        <w:rPr>
          <w:sz w:val="22"/>
          <w:szCs w:val="22"/>
          <w:lang w:val="en-US"/>
        </w:rPr>
        <w:t>Evaluations, Journal of Consumer Research, 27(1): 96-108.</w:t>
      </w:r>
      <w:r w:rsidRPr="002678C8">
        <w:rPr>
          <w:spacing w:val="40"/>
          <w:sz w:val="22"/>
          <w:szCs w:val="22"/>
          <w:lang w:val="en-US"/>
        </w:rPr>
        <w:t xml:space="preserve"> </w:t>
      </w:r>
      <w:r w:rsidRPr="002678C8">
        <w:rPr>
          <w:sz w:val="22"/>
          <w:szCs w:val="22"/>
          <w:lang w:val="en-US"/>
        </w:rPr>
        <w:t>Gürhan-Canli, Z.;</w:t>
      </w:r>
      <w:r w:rsidRPr="002678C8">
        <w:rPr>
          <w:spacing w:val="40"/>
          <w:sz w:val="22"/>
          <w:szCs w:val="22"/>
          <w:lang w:val="en-US"/>
        </w:rPr>
        <w:t xml:space="preserve"> </w:t>
      </w:r>
      <w:r w:rsidRPr="002678C8">
        <w:rPr>
          <w:sz w:val="22"/>
          <w:szCs w:val="22"/>
          <w:lang w:val="en-US"/>
        </w:rPr>
        <w:t>Maheswaran, D. (2000b): Cultural Variations in Country of Origin Effects, Journal of</w:t>
      </w:r>
      <w:r w:rsidRPr="002678C8">
        <w:rPr>
          <w:spacing w:val="40"/>
          <w:sz w:val="22"/>
          <w:szCs w:val="22"/>
          <w:lang w:val="en-US"/>
        </w:rPr>
        <w:t xml:space="preserve"> </w:t>
      </w:r>
      <w:r w:rsidRPr="002678C8">
        <w:rPr>
          <w:sz w:val="22"/>
          <w:szCs w:val="22"/>
          <w:lang w:val="en-US"/>
        </w:rPr>
        <w:t>Marketing Research, 37(3): 309-317.</w:t>
      </w:r>
      <w:r w:rsidRPr="002678C8">
        <w:rPr>
          <w:spacing w:val="40"/>
          <w:sz w:val="22"/>
          <w:szCs w:val="22"/>
          <w:lang w:val="en-US"/>
        </w:rPr>
        <w:t xml:space="preserve"> </w:t>
      </w:r>
      <w:r w:rsidRPr="002678C8">
        <w:rPr>
          <w:sz w:val="22"/>
          <w:szCs w:val="22"/>
        </w:rPr>
        <w:t>Schweiger, G.; Häubl, G. (1996): Kausale</w:t>
      </w:r>
      <w:r w:rsidRPr="002678C8">
        <w:rPr>
          <w:spacing w:val="40"/>
          <w:sz w:val="22"/>
          <w:szCs w:val="22"/>
        </w:rPr>
        <w:t xml:space="preserve"> </w:t>
      </w:r>
      <w:r w:rsidRPr="002678C8">
        <w:rPr>
          <w:sz w:val="22"/>
          <w:szCs w:val="22"/>
        </w:rPr>
        <w:t>Wirkungszusammenhänge zwischen Herkunftsland und Marke bei der Beurteilung eines</w:t>
      </w:r>
      <w:r w:rsidRPr="002678C8">
        <w:rPr>
          <w:spacing w:val="40"/>
          <w:sz w:val="22"/>
          <w:szCs w:val="22"/>
        </w:rPr>
        <w:t xml:space="preserve"> </w:t>
      </w:r>
      <w:r w:rsidRPr="002678C8">
        <w:rPr>
          <w:sz w:val="22"/>
          <w:szCs w:val="22"/>
        </w:rPr>
        <w:t>neuen Pkw, in: Bauer, H.H.; Dichtl, E.; Herrmann, A. (Hrsg.), Automobilmarktforschung.</w:t>
      </w:r>
      <w:r w:rsidRPr="002678C8">
        <w:rPr>
          <w:spacing w:val="40"/>
          <w:sz w:val="22"/>
          <w:szCs w:val="22"/>
        </w:rPr>
        <w:t xml:space="preserve"> </w:t>
      </w:r>
      <w:r w:rsidRPr="002678C8">
        <w:rPr>
          <w:sz w:val="22"/>
          <w:szCs w:val="22"/>
        </w:rPr>
        <w:t>Nutzenorientierung von Pkw-Herstellern, 93-118, München: Vahlen.</w:t>
      </w:r>
    </w:p>
    <w:p w14:paraId="521A0471" w14:textId="77777777" w:rsidR="00BD3D32" w:rsidRPr="00E73F6F" w:rsidRDefault="00BD3D32" w:rsidP="00C77E75">
      <w:pPr>
        <w:pStyle w:val="StandardText"/>
      </w:pPr>
    </w:p>
    <w:p w14:paraId="4B295371" w14:textId="77777777" w:rsidR="00FF7799" w:rsidRPr="002B7C99" w:rsidRDefault="00FF7799" w:rsidP="002B7C99">
      <w:pPr>
        <w:keepNext/>
        <w:keepLines/>
        <w:spacing w:before="240"/>
        <w:jc w:val="both"/>
        <w:outlineLvl w:val="1"/>
        <w:rPr>
          <w:b/>
          <w:bCs/>
          <w:color w:val="2E74B5"/>
        </w:rPr>
      </w:pPr>
      <w:r w:rsidRPr="002B7C99">
        <w:rPr>
          <w:b/>
          <w:bCs/>
          <w:color w:val="2E74B5"/>
        </w:rPr>
        <w:t xml:space="preserve">Herkunftslandprinzip </w:t>
      </w:r>
    </w:p>
    <w:p w14:paraId="0B730194" w14:textId="77777777" w:rsidR="00FF7799" w:rsidRPr="00E73F6F" w:rsidRDefault="00FF7799" w:rsidP="005B43F5">
      <w:pPr>
        <w:pStyle w:val="StandardText"/>
      </w:pPr>
      <w:r w:rsidRPr="00E73F6F">
        <w:t>besagt, dass bei rechtlich relevanten Handlungen eines Unternehmens die gesetzlichen Rahmenbedingungen jenes Staates anzuwenden sind, in dem dieses seinen Stammsitz hat. Näheres regeln die einschlägigen Gesetze und Richtlinien, u.a. die Richtlinie 2000/21/EG des Europäischen Parlaments und des Euro</w:t>
      </w:r>
      <w:r w:rsidRPr="00E73F6F">
        <w:softHyphen/>
        <w:t>päischen Rates über bestimmte rechtliche Aspekte der Dienste der Informationsgesellschaft, insb. des elektronischen Geschäftsverkehrs, im Binnenmarkt („Richtlinie über den elektronischen Geschäftsverkehr“, kurz: ECRL).</w:t>
      </w:r>
    </w:p>
    <w:p w14:paraId="561030FA" w14:textId="77777777" w:rsidR="00FF7799" w:rsidRPr="00E73F6F" w:rsidRDefault="00FF7799" w:rsidP="005B43F5">
      <w:pPr>
        <w:pStyle w:val="StandardText"/>
      </w:pPr>
    </w:p>
    <w:p w14:paraId="4633D916" w14:textId="77777777" w:rsidR="00FF7799" w:rsidRPr="00E73F6F" w:rsidRDefault="00FF7799" w:rsidP="00F16E9A">
      <w:pPr>
        <w:pStyle w:val="berschrift1"/>
        <w:rPr>
          <w:lang w:eastAsia="de-DE"/>
        </w:rPr>
      </w:pPr>
      <w:r w:rsidRPr="002B7C99">
        <w:rPr>
          <w:color w:val="2E74B5"/>
          <w:sz w:val="22"/>
        </w:rPr>
        <w:t>Herrschaft</w:t>
      </w:r>
      <w:r w:rsidRPr="00E73F6F">
        <w:rPr>
          <w:lang w:eastAsia="de-DE"/>
        </w:rPr>
        <w:t xml:space="preserve"> </w:t>
      </w:r>
      <w:r w:rsidRPr="00E73F6F">
        <w:rPr>
          <w:b w:val="0"/>
          <w:lang w:eastAsia="de-DE"/>
        </w:rPr>
        <w:sym w:font="Symbol" w:char="F0AE"/>
      </w:r>
      <w:r w:rsidRPr="00E73F6F">
        <w:rPr>
          <w:b w:val="0"/>
          <w:lang w:eastAsia="de-DE"/>
        </w:rPr>
        <w:t xml:space="preserve"> Kulturdimensionen nach Schwartz</w:t>
      </w:r>
    </w:p>
    <w:p w14:paraId="4E1BFAE8" w14:textId="77777777" w:rsidR="00FF7799" w:rsidRPr="00E73F6F" w:rsidRDefault="00FF7799" w:rsidP="00FB1F0F">
      <w:pPr>
        <w:pStyle w:val="berschrift1"/>
      </w:pPr>
      <w:r w:rsidRPr="002B7C99">
        <w:rPr>
          <w:color w:val="2E74B5"/>
          <w:sz w:val="22"/>
        </w:rPr>
        <w:t>Heterostereotyp</w:t>
      </w:r>
      <w:r w:rsidRPr="00E73F6F">
        <w:rPr>
          <w:spacing w:val="-4"/>
        </w:rPr>
        <w:t xml:space="preserve"> </w:t>
      </w:r>
      <w:r w:rsidRPr="00E73F6F">
        <w:rPr>
          <w:b w:val="0"/>
        </w:rPr>
        <w:t>→</w:t>
      </w:r>
      <w:r w:rsidRPr="00E73F6F">
        <w:rPr>
          <w:b w:val="0"/>
          <w:spacing w:val="-4"/>
        </w:rPr>
        <w:t xml:space="preserve"> </w:t>
      </w:r>
      <w:r w:rsidRPr="00E73F6F">
        <w:rPr>
          <w:b w:val="0"/>
          <w:spacing w:val="-2"/>
        </w:rPr>
        <w:t>Autostereotyp</w:t>
      </w:r>
    </w:p>
    <w:p w14:paraId="22756EEC" w14:textId="77777777" w:rsidR="00FF7799" w:rsidRPr="002B7C99" w:rsidRDefault="00FF7799" w:rsidP="005B43F5">
      <w:pPr>
        <w:pStyle w:val="berschrift1"/>
        <w:rPr>
          <w:color w:val="2E74B5"/>
          <w:sz w:val="22"/>
        </w:rPr>
      </w:pPr>
      <w:r w:rsidRPr="002B7C99">
        <w:rPr>
          <w:color w:val="2E74B5"/>
          <w:sz w:val="22"/>
        </w:rPr>
        <w:t>Heuristik</w:t>
      </w:r>
    </w:p>
    <w:p w14:paraId="0E2D2902" w14:textId="03BA491D" w:rsidR="00FF7799" w:rsidRPr="00E73F6F" w:rsidRDefault="00FF7799" w:rsidP="005B43F5">
      <w:pPr>
        <w:pStyle w:val="StandardText"/>
        <w:rPr>
          <w:szCs w:val="24"/>
        </w:rPr>
      </w:pPr>
      <w:r w:rsidRPr="00E73F6F">
        <w:rPr>
          <w:szCs w:val="24"/>
        </w:rPr>
        <w:t>bewährte Faustformeln (Entscheidungsregeln, ‘rule of thumb‘ etc.), die es ermöglichen, mit geringem Aufwand eine relativ gute Entscheidung zu treffen (bspw. „natürliche Zusatzstoffe“</w:t>
      </w:r>
      <w:r w:rsidRPr="00E73F6F">
        <w:rPr>
          <w:spacing w:val="-7"/>
          <w:szCs w:val="24"/>
        </w:rPr>
        <w:t xml:space="preserve"> </w:t>
      </w:r>
      <w:r w:rsidRPr="00E73F6F">
        <w:rPr>
          <w:szCs w:val="24"/>
        </w:rPr>
        <w:t>=</w:t>
      </w:r>
      <w:r w:rsidRPr="00E73F6F">
        <w:rPr>
          <w:spacing w:val="-7"/>
          <w:szCs w:val="24"/>
        </w:rPr>
        <w:t xml:space="preserve"> </w:t>
      </w:r>
      <w:r w:rsidRPr="00E73F6F">
        <w:rPr>
          <w:szCs w:val="24"/>
        </w:rPr>
        <w:t>gut,</w:t>
      </w:r>
      <w:r w:rsidRPr="00E73F6F">
        <w:rPr>
          <w:spacing w:val="-8"/>
          <w:szCs w:val="24"/>
        </w:rPr>
        <w:t xml:space="preserve"> </w:t>
      </w:r>
      <w:r w:rsidRPr="00E73F6F">
        <w:rPr>
          <w:szCs w:val="24"/>
        </w:rPr>
        <w:t>„künstliche</w:t>
      </w:r>
      <w:r w:rsidRPr="00E73F6F">
        <w:rPr>
          <w:spacing w:val="-9"/>
          <w:szCs w:val="24"/>
        </w:rPr>
        <w:t xml:space="preserve"> </w:t>
      </w:r>
      <w:r w:rsidRPr="00E73F6F">
        <w:rPr>
          <w:szCs w:val="24"/>
        </w:rPr>
        <w:t>Zusatzstoffe“</w:t>
      </w:r>
      <w:r w:rsidRPr="00E73F6F">
        <w:rPr>
          <w:spacing w:val="-7"/>
          <w:szCs w:val="24"/>
        </w:rPr>
        <w:t xml:space="preserve"> </w:t>
      </w:r>
      <w:r w:rsidRPr="00E73F6F">
        <w:rPr>
          <w:szCs w:val="24"/>
        </w:rPr>
        <w:t>=</w:t>
      </w:r>
      <w:r w:rsidRPr="00E73F6F">
        <w:rPr>
          <w:spacing w:val="-7"/>
          <w:szCs w:val="24"/>
        </w:rPr>
        <w:t xml:space="preserve"> </w:t>
      </w:r>
      <w:r w:rsidRPr="00E73F6F">
        <w:rPr>
          <w:szCs w:val="24"/>
        </w:rPr>
        <w:t>schlecht).</w:t>
      </w:r>
      <w:r w:rsidRPr="00E73F6F">
        <w:rPr>
          <w:spacing w:val="-6"/>
          <w:szCs w:val="24"/>
        </w:rPr>
        <w:t xml:space="preserve"> </w:t>
      </w:r>
      <w:r w:rsidRPr="00E73F6F">
        <w:rPr>
          <w:szCs w:val="24"/>
        </w:rPr>
        <w:t>Heuristische</w:t>
      </w:r>
      <w:r w:rsidRPr="00E73F6F">
        <w:rPr>
          <w:spacing w:val="-7"/>
          <w:szCs w:val="24"/>
        </w:rPr>
        <w:t xml:space="preserve"> </w:t>
      </w:r>
      <w:r w:rsidRPr="00E73F6F">
        <w:rPr>
          <w:szCs w:val="24"/>
        </w:rPr>
        <w:t>Verfahren zielen</w:t>
      </w:r>
      <w:r w:rsidRPr="00E73F6F">
        <w:rPr>
          <w:spacing w:val="36"/>
          <w:szCs w:val="24"/>
        </w:rPr>
        <w:t xml:space="preserve"> </w:t>
      </w:r>
      <w:r w:rsidRPr="00E73F6F">
        <w:rPr>
          <w:szCs w:val="24"/>
        </w:rPr>
        <w:t>auf</w:t>
      </w:r>
      <w:r w:rsidRPr="00E73F6F">
        <w:rPr>
          <w:spacing w:val="38"/>
          <w:szCs w:val="24"/>
        </w:rPr>
        <w:t xml:space="preserve"> </w:t>
      </w:r>
      <w:r w:rsidRPr="00E73F6F">
        <w:rPr>
          <w:szCs w:val="24"/>
        </w:rPr>
        <w:t>eine</w:t>
      </w:r>
      <w:r w:rsidRPr="00E73F6F">
        <w:rPr>
          <w:spacing w:val="38"/>
          <w:szCs w:val="24"/>
        </w:rPr>
        <w:t xml:space="preserve"> </w:t>
      </w:r>
      <w:r w:rsidRPr="00E73F6F">
        <w:rPr>
          <w:szCs w:val="24"/>
        </w:rPr>
        <w:t>näherungsweise</w:t>
      </w:r>
      <w:r w:rsidRPr="00E73F6F">
        <w:rPr>
          <w:spacing w:val="38"/>
          <w:szCs w:val="24"/>
        </w:rPr>
        <w:t xml:space="preserve"> </w:t>
      </w:r>
      <w:r w:rsidRPr="00E73F6F">
        <w:rPr>
          <w:szCs w:val="24"/>
        </w:rPr>
        <w:t>bzw.</w:t>
      </w:r>
      <w:r w:rsidRPr="00E73F6F">
        <w:rPr>
          <w:spacing w:val="38"/>
          <w:szCs w:val="24"/>
        </w:rPr>
        <w:t xml:space="preserve"> </w:t>
      </w:r>
      <w:r w:rsidRPr="00E73F6F">
        <w:rPr>
          <w:szCs w:val="24"/>
        </w:rPr>
        <w:t>pragmatische</w:t>
      </w:r>
      <w:r w:rsidRPr="00E73F6F">
        <w:rPr>
          <w:spacing w:val="38"/>
          <w:szCs w:val="24"/>
        </w:rPr>
        <w:t xml:space="preserve"> </w:t>
      </w:r>
      <w:r w:rsidRPr="00E73F6F">
        <w:rPr>
          <w:szCs w:val="24"/>
        </w:rPr>
        <w:t>Lösung</w:t>
      </w:r>
      <w:r w:rsidRPr="00E73F6F">
        <w:rPr>
          <w:spacing w:val="38"/>
          <w:szCs w:val="24"/>
        </w:rPr>
        <w:t xml:space="preserve"> </w:t>
      </w:r>
      <w:r w:rsidRPr="00E73F6F">
        <w:rPr>
          <w:szCs w:val="24"/>
        </w:rPr>
        <w:t>komplexer</w:t>
      </w:r>
      <w:r w:rsidR="002B7C99">
        <w:rPr>
          <w:szCs w:val="24"/>
        </w:rPr>
        <w:t xml:space="preserve"> </w:t>
      </w:r>
      <w:r w:rsidRPr="00E73F6F">
        <w:rPr>
          <w:szCs w:val="24"/>
        </w:rPr>
        <w:t>Entscheidungsprobleme;</w:t>
      </w:r>
      <w:r w:rsidRPr="00E73F6F">
        <w:rPr>
          <w:spacing w:val="-7"/>
          <w:szCs w:val="24"/>
        </w:rPr>
        <w:t xml:space="preserve"> </w:t>
      </w:r>
      <w:r w:rsidRPr="00E73F6F">
        <w:rPr>
          <w:szCs w:val="24"/>
        </w:rPr>
        <w:t>d.h.</w:t>
      </w:r>
      <w:r w:rsidRPr="00E73F6F">
        <w:rPr>
          <w:spacing w:val="-7"/>
          <w:szCs w:val="24"/>
        </w:rPr>
        <w:t xml:space="preserve"> </w:t>
      </w:r>
      <w:r w:rsidRPr="00E73F6F">
        <w:rPr>
          <w:szCs w:val="24"/>
        </w:rPr>
        <w:t>es</w:t>
      </w:r>
      <w:r w:rsidRPr="00E73F6F">
        <w:rPr>
          <w:spacing w:val="-8"/>
          <w:szCs w:val="24"/>
        </w:rPr>
        <w:t xml:space="preserve"> </w:t>
      </w:r>
      <w:r w:rsidRPr="00E73F6F">
        <w:rPr>
          <w:szCs w:val="24"/>
        </w:rPr>
        <w:t>wird</w:t>
      </w:r>
      <w:r w:rsidRPr="00E73F6F">
        <w:rPr>
          <w:spacing w:val="-7"/>
          <w:szCs w:val="24"/>
        </w:rPr>
        <w:t xml:space="preserve"> </w:t>
      </w:r>
      <w:r w:rsidRPr="00E73F6F">
        <w:rPr>
          <w:szCs w:val="24"/>
        </w:rPr>
        <w:t>nicht,</w:t>
      </w:r>
      <w:r w:rsidRPr="00E73F6F">
        <w:rPr>
          <w:spacing w:val="-7"/>
          <w:szCs w:val="24"/>
        </w:rPr>
        <w:t xml:space="preserve"> </w:t>
      </w:r>
      <w:r w:rsidRPr="00E73F6F">
        <w:rPr>
          <w:szCs w:val="24"/>
        </w:rPr>
        <w:t>wie</w:t>
      </w:r>
      <w:r w:rsidRPr="00E73F6F">
        <w:rPr>
          <w:spacing w:val="-8"/>
          <w:szCs w:val="24"/>
        </w:rPr>
        <w:t xml:space="preserve"> </w:t>
      </w:r>
      <w:r w:rsidRPr="00E73F6F">
        <w:rPr>
          <w:szCs w:val="24"/>
        </w:rPr>
        <w:t>bei</w:t>
      </w:r>
      <w:r w:rsidRPr="00E73F6F">
        <w:rPr>
          <w:spacing w:val="-7"/>
          <w:szCs w:val="24"/>
        </w:rPr>
        <w:t xml:space="preserve"> </w:t>
      </w:r>
      <w:r w:rsidRPr="00E73F6F">
        <w:rPr>
          <w:szCs w:val="24"/>
        </w:rPr>
        <w:t>den</w:t>
      </w:r>
      <w:r w:rsidRPr="00E73F6F">
        <w:rPr>
          <w:spacing w:val="-7"/>
          <w:szCs w:val="24"/>
        </w:rPr>
        <w:t xml:space="preserve"> </w:t>
      </w:r>
      <w:r w:rsidRPr="00E73F6F">
        <w:rPr>
          <w:szCs w:val="24"/>
        </w:rPr>
        <w:t>analytischen</w:t>
      </w:r>
      <w:r w:rsidRPr="00E73F6F">
        <w:rPr>
          <w:spacing w:val="-7"/>
          <w:szCs w:val="24"/>
        </w:rPr>
        <w:t xml:space="preserve"> </w:t>
      </w:r>
      <w:r w:rsidRPr="00E73F6F">
        <w:rPr>
          <w:szCs w:val="24"/>
        </w:rPr>
        <w:t>Verfahren,</w:t>
      </w:r>
      <w:r w:rsidRPr="00E73F6F">
        <w:rPr>
          <w:spacing w:val="-7"/>
          <w:szCs w:val="24"/>
        </w:rPr>
        <w:t xml:space="preserve"> </w:t>
      </w:r>
      <w:r w:rsidRPr="00E73F6F">
        <w:rPr>
          <w:szCs w:val="24"/>
        </w:rPr>
        <w:t>die optimale, sondern eine befriedigende Lösung angestrebt. Um eine solche Näherungslösung zu „finden“, bedient man sich der häufig zu Faustregeln verdichteten Erfahrung von Praktikern. M. Bruhn gibt einen Überblick über die heuristischen Ansätze der Budgetierung der Kommunikationspolitik (z.B. Prozentsatz des Umsatzes, des Gewinns etc.).</w:t>
      </w:r>
    </w:p>
    <w:p w14:paraId="758AD9F6" w14:textId="77777777" w:rsidR="00FF7799" w:rsidRPr="00E73F6F" w:rsidRDefault="00FF7799" w:rsidP="005B43F5">
      <w:pPr>
        <w:pStyle w:val="StandardText"/>
        <w:rPr>
          <w:szCs w:val="24"/>
        </w:rPr>
      </w:pPr>
    </w:p>
    <w:p w14:paraId="6AD8A0F6" w14:textId="77777777" w:rsidR="00FF7799" w:rsidRPr="002A223B" w:rsidRDefault="00FF7799" w:rsidP="005B43F5">
      <w:pPr>
        <w:pStyle w:val="StandardTextkursiv"/>
        <w:rPr>
          <w:i w:val="0"/>
        </w:rPr>
      </w:pPr>
      <w:r w:rsidRPr="002A223B">
        <w:rPr>
          <w:i w:val="0"/>
        </w:rPr>
        <w:t>1 Verfügbarkeitsheuristik</w:t>
      </w:r>
    </w:p>
    <w:p w14:paraId="13A3DB1B" w14:textId="77777777" w:rsidR="00FF7799" w:rsidRPr="002A223B" w:rsidRDefault="00FF7799" w:rsidP="005B43F5">
      <w:pPr>
        <w:pStyle w:val="StandardText"/>
        <w:rPr>
          <w:szCs w:val="24"/>
        </w:rPr>
      </w:pPr>
      <w:r w:rsidRPr="002A223B">
        <w:rPr>
          <w:szCs w:val="24"/>
        </w:rPr>
        <w:t>Informationen, die leicht „verfügbar“ (zugänglich, gut erinnert werden etc.) sind, beeinflussen unser Urteil stärker als schwerer zugängliche, aber gleichermaßen bedeutsame Informationen. Westerhoff (2009, S.56) erläutert diese Heuristik anhand folgenden Beispiels: „Gibt es im Deutschen mehr Wörter, die mit K beginnen (wie Kapelle) oder solche mit K an dritter Stelle (wie Imker)? Ersteres, tippen</w:t>
      </w:r>
      <w:r w:rsidRPr="002A223B">
        <w:rPr>
          <w:spacing w:val="-7"/>
          <w:szCs w:val="24"/>
        </w:rPr>
        <w:t xml:space="preserve"> </w:t>
      </w:r>
      <w:r w:rsidRPr="002A223B">
        <w:rPr>
          <w:szCs w:val="24"/>
        </w:rPr>
        <w:t>die</w:t>
      </w:r>
      <w:r w:rsidRPr="002A223B">
        <w:rPr>
          <w:spacing w:val="-8"/>
          <w:szCs w:val="24"/>
        </w:rPr>
        <w:t xml:space="preserve"> </w:t>
      </w:r>
      <w:r w:rsidRPr="002A223B">
        <w:rPr>
          <w:szCs w:val="24"/>
        </w:rPr>
        <w:t>meisten</w:t>
      </w:r>
      <w:r w:rsidRPr="002A223B">
        <w:rPr>
          <w:spacing w:val="-7"/>
          <w:szCs w:val="24"/>
        </w:rPr>
        <w:t xml:space="preserve"> </w:t>
      </w:r>
      <w:r w:rsidRPr="002A223B">
        <w:rPr>
          <w:szCs w:val="24"/>
        </w:rPr>
        <w:t>Menschen,</w:t>
      </w:r>
      <w:r w:rsidRPr="002A223B">
        <w:rPr>
          <w:spacing w:val="-10"/>
          <w:szCs w:val="24"/>
        </w:rPr>
        <w:t xml:space="preserve"> </w:t>
      </w:r>
      <w:r w:rsidRPr="002A223B">
        <w:rPr>
          <w:szCs w:val="24"/>
        </w:rPr>
        <w:t>und</w:t>
      </w:r>
      <w:r w:rsidRPr="002A223B">
        <w:rPr>
          <w:spacing w:val="-9"/>
          <w:szCs w:val="24"/>
        </w:rPr>
        <w:t xml:space="preserve"> </w:t>
      </w:r>
      <w:r w:rsidRPr="002A223B">
        <w:rPr>
          <w:szCs w:val="24"/>
        </w:rPr>
        <w:t>haben</w:t>
      </w:r>
      <w:r w:rsidRPr="002A223B">
        <w:rPr>
          <w:spacing w:val="-9"/>
          <w:szCs w:val="24"/>
        </w:rPr>
        <w:t xml:space="preserve"> </w:t>
      </w:r>
      <w:r w:rsidRPr="002A223B">
        <w:rPr>
          <w:szCs w:val="24"/>
        </w:rPr>
        <w:t>Unrecht.</w:t>
      </w:r>
      <w:r w:rsidRPr="002A223B">
        <w:rPr>
          <w:spacing w:val="-9"/>
          <w:szCs w:val="24"/>
        </w:rPr>
        <w:t xml:space="preserve"> </w:t>
      </w:r>
      <w:r w:rsidRPr="002A223B">
        <w:rPr>
          <w:szCs w:val="24"/>
        </w:rPr>
        <w:t>Der</w:t>
      </w:r>
      <w:r w:rsidRPr="002A223B">
        <w:rPr>
          <w:spacing w:val="-8"/>
          <w:szCs w:val="24"/>
        </w:rPr>
        <w:t xml:space="preserve"> </w:t>
      </w:r>
      <w:r w:rsidRPr="002A223B">
        <w:rPr>
          <w:szCs w:val="24"/>
        </w:rPr>
        <w:t>Grund</w:t>
      </w:r>
      <w:r w:rsidRPr="002A223B">
        <w:rPr>
          <w:spacing w:val="-7"/>
          <w:szCs w:val="24"/>
        </w:rPr>
        <w:t xml:space="preserve"> </w:t>
      </w:r>
      <w:r w:rsidRPr="002A223B">
        <w:rPr>
          <w:szCs w:val="24"/>
        </w:rPr>
        <w:t>für</w:t>
      </w:r>
      <w:r w:rsidRPr="002A223B">
        <w:rPr>
          <w:spacing w:val="-10"/>
          <w:szCs w:val="24"/>
        </w:rPr>
        <w:t xml:space="preserve"> </w:t>
      </w:r>
      <w:r w:rsidRPr="002A223B">
        <w:rPr>
          <w:szCs w:val="24"/>
        </w:rPr>
        <w:t>den</w:t>
      </w:r>
      <w:r w:rsidRPr="002A223B">
        <w:rPr>
          <w:spacing w:val="-7"/>
          <w:szCs w:val="24"/>
        </w:rPr>
        <w:t xml:space="preserve"> </w:t>
      </w:r>
      <w:r w:rsidRPr="002A223B">
        <w:rPr>
          <w:szCs w:val="24"/>
        </w:rPr>
        <w:t>Trugschluss: Wörter mit dem Anfangsbuchstaben K</w:t>
      </w:r>
      <w:r w:rsidRPr="002A223B">
        <w:rPr>
          <w:spacing w:val="-1"/>
          <w:szCs w:val="24"/>
        </w:rPr>
        <w:t xml:space="preserve"> </w:t>
      </w:r>
      <w:r w:rsidRPr="002A223B">
        <w:rPr>
          <w:szCs w:val="24"/>
        </w:rPr>
        <w:t>sind leichter ins Gedächtnis zu rufen – sie sind besser mental verfügbar.“</w:t>
      </w:r>
    </w:p>
    <w:p w14:paraId="10195747" w14:textId="77777777" w:rsidR="00FF7799" w:rsidRPr="002A223B" w:rsidRDefault="00FF7799" w:rsidP="005B43F5">
      <w:pPr>
        <w:pStyle w:val="StandardText"/>
        <w:rPr>
          <w:szCs w:val="24"/>
        </w:rPr>
      </w:pPr>
    </w:p>
    <w:p w14:paraId="373608AC" w14:textId="77777777" w:rsidR="00FF7799" w:rsidRPr="002A223B" w:rsidRDefault="00FF7799" w:rsidP="005B43F5">
      <w:pPr>
        <w:pStyle w:val="StandardTextkursiv"/>
        <w:rPr>
          <w:i w:val="0"/>
        </w:rPr>
      </w:pPr>
      <w:r w:rsidRPr="002A223B">
        <w:rPr>
          <w:i w:val="0"/>
        </w:rPr>
        <w:t>2 Repräsentativitätsheuristik</w:t>
      </w:r>
    </w:p>
    <w:p w14:paraId="2EF78C12" w14:textId="77777777" w:rsidR="00FF7799" w:rsidRPr="002A223B" w:rsidRDefault="00FF7799" w:rsidP="005B43F5">
      <w:pPr>
        <w:pStyle w:val="StandardText"/>
        <w:rPr>
          <w:szCs w:val="24"/>
        </w:rPr>
      </w:pPr>
      <w:r w:rsidRPr="002A223B">
        <w:rPr>
          <w:szCs w:val="24"/>
        </w:rPr>
        <w:t>Diese Heuristik lässt sich gut am Beispiel des „Linda Problems“ von Tversky/Kahneman (1983) erklären. Demnach ist Linda 31 Jahre alt und lebt allein. Sie ist sehr offen und sehr klug. Linda hat Philosophie studiert. Während ihres</w:t>
      </w:r>
      <w:r w:rsidRPr="002A223B">
        <w:rPr>
          <w:spacing w:val="-12"/>
          <w:szCs w:val="24"/>
        </w:rPr>
        <w:t xml:space="preserve"> </w:t>
      </w:r>
      <w:r w:rsidRPr="002A223B">
        <w:rPr>
          <w:szCs w:val="24"/>
        </w:rPr>
        <w:t>Studiums</w:t>
      </w:r>
      <w:r w:rsidRPr="002A223B">
        <w:rPr>
          <w:spacing w:val="-11"/>
          <w:szCs w:val="24"/>
        </w:rPr>
        <w:t xml:space="preserve"> </w:t>
      </w:r>
      <w:r w:rsidRPr="002A223B">
        <w:rPr>
          <w:szCs w:val="24"/>
        </w:rPr>
        <w:t>hat</w:t>
      </w:r>
      <w:r w:rsidRPr="002A223B">
        <w:rPr>
          <w:spacing w:val="-11"/>
          <w:szCs w:val="24"/>
        </w:rPr>
        <w:t xml:space="preserve"> </w:t>
      </w:r>
      <w:r w:rsidRPr="002A223B">
        <w:rPr>
          <w:szCs w:val="24"/>
        </w:rPr>
        <w:t>sie</w:t>
      </w:r>
      <w:r w:rsidRPr="002A223B">
        <w:rPr>
          <w:spacing w:val="-11"/>
          <w:szCs w:val="24"/>
        </w:rPr>
        <w:t xml:space="preserve"> </w:t>
      </w:r>
      <w:r w:rsidRPr="002A223B">
        <w:rPr>
          <w:szCs w:val="24"/>
        </w:rPr>
        <w:t>sich</w:t>
      </w:r>
      <w:r w:rsidRPr="002A223B">
        <w:rPr>
          <w:spacing w:val="-12"/>
          <w:szCs w:val="24"/>
        </w:rPr>
        <w:t xml:space="preserve"> </w:t>
      </w:r>
      <w:r w:rsidRPr="002A223B">
        <w:rPr>
          <w:szCs w:val="24"/>
        </w:rPr>
        <w:t>in</w:t>
      </w:r>
      <w:r w:rsidRPr="002A223B">
        <w:rPr>
          <w:spacing w:val="-11"/>
          <w:szCs w:val="24"/>
        </w:rPr>
        <w:t xml:space="preserve"> </w:t>
      </w:r>
      <w:r w:rsidRPr="002A223B">
        <w:rPr>
          <w:szCs w:val="24"/>
        </w:rPr>
        <w:t>Fällen</w:t>
      </w:r>
      <w:r w:rsidRPr="002A223B">
        <w:rPr>
          <w:spacing w:val="-11"/>
          <w:szCs w:val="24"/>
        </w:rPr>
        <w:t xml:space="preserve"> </w:t>
      </w:r>
      <w:r w:rsidRPr="002A223B">
        <w:rPr>
          <w:szCs w:val="24"/>
        </w:rPr>
        <w:t>sozialer</w:t>
      </w:r>
      <w:r w:rsidRPr="002A223B">
        <w:rPr>
          <w:spacing w:val="-11"/>
          <w:szCs w:val="24"/>
        </w:rPr>
        <w:t xml:space="preserve"> </w:t>
      </w:r>
      <w:r w:rsidRPr="002A223B">
        <w:rPr>
          <w:szCs w:val="24"/>
        </w:rPr>
        <w:t>Benachteiligung</w:t>
      </w:r>
      <w:r w:rsidRPr="002A223B">
        <w:rPr>
          <w:spacing w:val="-12"/>
          <w:szCs w:val="24"/>
        </w:rPr>
        <w:t xml:space="preserve"> </w:t>
      </w:r>
      <w:r w:rsidRPr="002A223B">
        <w:rPr>
          <w:szCs w:val="24"/>
        </w:rPr>
        <w:t>und</w:t>
      </w:r>
      <w:r w:rsidRPr="002A223B">
        <w:rPr>
          <w:spacing w:val="-11"/>
          <w:szCs w:val="24"/>
        </w:rPr>
        <w:t xml:space="preserve"> </w:t>
      </w:r>
      <w:r w:rsidRPr="002A223B">
        <w:rPr>
          <w:szCs w:val="24"/>
        </w:rPr>
        <w:t>anderen</w:t>
      </w:r>
      <w:r w:rsidRPr="002A223B">
        <w:rPr>
          <w:spacing w:val="-11"/>
          <w:szCs w:val="24"/>
        </w:rPr>
        <w:t xml:space="preserve"> </w:t>
      </w:r>
      <w:r w:rsidRPr="002A223B">
        <w:rPr>
          <w:szCs w:val="24"/>
        </w:rPr>
        <w:t>sozialen Problemen engagiert. Auch nahm sie an Anti-Kernkraft-Demonstrationen teil. Welche Aussage ist wahrscheinlicher? Linda ist …</w:t>
      </w:r>
    </w:p>
    <w:p w14:paraId="69C5635B" w14:textId="77777777" w:rsidR="00FF7799" w:rsidRPr="002A223B" w:rsidRDefault="00FF7799" w:rsidP="002B7C99">
      <w:pPr>
        <w:pStyle w:val="StandardTextAufzhlung"/>
        <w:ind w:left="426"/>
      </w:pPr>
      <w:r w:rsidRPr="002A223B">
        <w:t>eine Bankangestellte?</w:t>
      </w:r>
    </w:p>
    <w:p w14:paraId="54818B93" w14:textId="77777777" w:rsidR="00FF7799" w:rsidRPr="002A223B" w:rsidRDefault="00FF7799" w:rsidP="002B7C99">
      <w:pPr>
        <w:pStyle w:val="StandardTextAufzhlung"/>
        <w:ind w:left="426"/>
      </w:pPr>
      <w:r w:rsidRPr="002A223B">
        <w:t>eine Bankangestellte und in der Frauenbewegung aktiv?</w:t>
      </w:r>
    </w:p>
    <w:p w14:paraId="59701D22" w14:textId="77777777" w:rsidR="002B7C99" w:rsidRDefault="002B7C99" w:rsidP="005B43F5">
      <w:pPr>
        <w:pStyle w:val="StandardText"/>
        <w:rPr>
          <w:szCs w:val="24"/>
        </w:rPr>
      </w:pPr>
    </w:p>
    <w:p w14:paraId="08D4675D" w14:textId="1B48F873" w:rsidR="00FF7799" w:rsidRPr="002A223B" w:rsidRDefault="00FF7799" w:rsidP="005B43F5">
      <w:pPr>
        <w:pStyle w:val="StandardText"/>
        <w:rPr>
          <w:szCs w:val="24"/>
        </w:rPr>
      </w:pPr>
      <w:r w:rsidRPr="002A223B">
        <w:rPr>
          <w:szCs w:val="24"/>
        </w:rPr>
        <w:t>Die meisten Probanden entschieden sich für die zweite Option, da die genannten Eigenschaften</w:t>
      </w:r>
      <w:r w:rsidRPr="002A223B">
        <w:rPr>
          <w:spacing w:val="40"/>
          <w:szCs w:val="24"/>
        </w:rPr>
        <w:t xml:space="preserve"> </w:t>
      </w:r>
      <w:r w:rsidRPr="002A223B">
        <w:rPr>
          <w:szCs w:val="24"/>
        </w:rPr>
        <w:t>bzw.</w:t>
      </w:r>
      <w:r w:rsidRPr="002A223B">
        <w:rPr>
          <w:spacing w:val="40"/>
          <w:szCs w:val="24"/>
        </w:rPr>
        <w:t xml:space="preserve"> </w:t>
      </w:r>
      <w:r w:rsidRPr="002A223B">
        <w:rPr>
          <w:szCs w:val="24"/>
        </w:rPr>
        <w:t>Merkmale</w:t>
      </w:r>
      <w:r w:rsidRPr="002A223B">
        <w:rPr>
          <w:spacing w:val="40"/>
          <w:szCs w:val="24"/>
        </w:rPr>
        <w:t xml:space="preserve"> </w:t>
      </w:r>
      <w:r w:rsidRPr="002A223B">
        <w:rPr>
          <w:szCs w:val="24"/>
        </w:rPr>
        <w:t>von</w:t>
      </w:r>
      <w:r w:rsidRPr="002A223B">
        <w:rPr>
          <w:spacing w:val="40"/>
          <w:szCs w:val="24"/>
        </w:rPr>
        <w:t xml:space="preserve"> </w:t>
      </w:r>
      <w:r w:rsidRPr="002A223B">
        <w:rPr>
          <w:szCs w:val="24"/>
        </w:rPr>
        <w:t>Linda</w:t>
      </w:r>
      <w:r w:rsidRPr="002A223B">
        <w:rPr>
          <w:spacing w:val="40"/>
          <w:szCs w:val="24"/>
        </w:rPr>
        <w:t xml:space="preserve"> </w:t>
      </w:r>
      <w:r w:rsidRPr="002A223B">
        <w:rPr>
          <w:szCs w:val="24"/>
        </w:rPr>
        <w:t>repräsentativ</w:t>
      </w:r>
      <w:r w:rsidRPr="002A223B">
        <w:rPr>
          <w:spacing w:val="40"/>
          <w:szCs w:val="24"/>
        </w:rPr>
        <w:t xml:space="preserve"> </w:t>
      </w:r>
      <w:r w:rsidRPr="002A223B">
        <w:rPr>
          <w:szCs w:val="24"/>
        </w:rPr>
        <w:t>zu</w:t>
      </w:r>
      <w:r w:rsidRPr="002A223B">
        <w:rPr>
          <w:spacing w:val="40"/>
          <w:szCs w:val="24"/>
        </w:rPr>
        <w:t xml:space="preserve"> </w:t>
      </w:r>
      <w:r w:rsidRPr="002A223B">
        <w:rPr>
          <w:szCs w:val="24"/>
        </w:rPr>
        <w:t>sein</w:t>
      </w:r>
      <w:r w:rsidRPr="002A223B">
        <w:rPr>
          <w:spacing w:val="40"/>
          <w:szCs w:val="24"/>
        </w:rPr>
        <w:t xml:space="preserve"> </w:t>
      </w:r>
      <w:r w:rsidRPr="002A223B">
        <w:rPr>
          <w:szCs w:val="24"/>
        </w:rPr>
        <w:t>schienen</w:t>
      </w:r>
      <w:r w:rsidRPr="002A223B">
        <w:rPr>
          <w:spacing w:val="40"/>
          <w:szCs w:val="24"/>
        </w:rPr>
        <w:t xml:space="preserve"> </w:t>
      </w:r>
      <w:r w:rsidRPr="002A223B">
        <w:rPr>
          <w:szCs w:val="24"/>
        </w:rPr>
        <w:t>für Angehörige</w:t>
      </w:r>
      <w:r w:rsidRPr="002A223B">
        <w:rPr>
          <w:spacing w:val="-8"/>
          <w:szCs w:val="24"/>
        </w:rPr>
        <w:t xml:space="preserve"> </w:t>
      </w:r>
      <w:r w:rsidRPr="002A223B">
        <w:rPr>
          <w:szCs w:val="24"/>
        </w:rPr>
        <w:t>der</w:t>
      </w:r>
      <w:r w:rsidRPr="002A223B">
        <w:rPr>
          <w:spacing w:val="-5"/>
          <w:szCs w:val="24"/>
        </w:rPr>
        <w:t xml:space="preserve"> </w:t>
      </w:r>
      <w:r w:rsidRPr="002A223B">
        <w:rPr>
          <w:szCs w:val="24"/>
        </w:rPr>
        <w:t>Frauenbewegung.</w:t>
      </w:r>
      <w:r w:rsidRPr="002A223B">
        <w:rPr>
          <w:spacing w:val="-7"/>
          <w:szCs w:val="24"/>
        </w:rPr>
        <w:t xml:space="preserve"> </w:t>
      </w:r>
      <w:r w:rsidRPr="002A223B">
        <w:rPr>
          <w:szCs w:val="24"/>
        </w:rPr>
        <w:t>Aus</w:t>
      </w:r>
      <w:r w:rsidRPr="002A223B">
        <w:rPr>
          <w:spacing w:val="-6"/>
          <w:szCs w:val="24"/>
        </w:rPr>
        <w:t xml:space="preserve"> </w:t>
      </w:r>
      <w:r w:rsidRPr="002A223B">
        <w:rPr>
          <w:szCs w:val="24"/>
        </w:rPr>
        <w:t>statistischer</w:t>
      </w:r>
      <w:r w:rsidRPr="002A223B">
        <w:rPr>
          <w:spacing w:val="-5"/>
          <w:szCs w:val="24"/>
        </w:rPr>
        <w:t xml:space="preserve"> </w:t>
      </w:r>
      <w:r w:rsidRPr="002A223B">
        <w:rPr>
          <w:szCs w:val="24"/>
        </w:rPr>
        <w:t>Sicht</w:t>
      </w:r>
      <w:r w:rsidRPr="002A223B">
        <w:rPr>
          <w:spacing w:val="-7"/>
          <w:szCs w:val="24"/>
        </w:rPr>
        <w:t xml:space="preserve"> </w:t>
      </w:r>
      <w:r w:rsidRPr="002A223B">
        <w:rPr>
          <w:szCs w:val="24"/>
        </w:rPr>
        <w:t>ist</w:t>
      </w:r>
      <w:r w:rsidRPr="002A223B">
        <w:rPr>
          <w:spacing w:val="-5"/>
          <w:szCs w:val="24"/>
        </w:rPr>
        <w:t xml:space="preserve"> </w:t>
      </w:r>
      <w:r w:rsidRPr="002A223B">
        <w:rPr>
          <w:szCs w:val="24"/>
        </w:rPr>
        <w:t>die</w:t>
      </w:r>
      <w:r w:rsidRPr="002A223B">
        <w:rPr>
          <w:spacing w:val="-6"/>
          <w:szCs w:val="24"/>
        </w:rPr>
        <w:t xml:space="preserve"> </w:t>
      </w:r>
      <w:r w:rsidRPr="002A223B">
        <w:rPr>
          <w:szCs w:val="24"/>
        </w:rPr>
        <w:t>jedoch</w:t>
      </w:r>
      <w:r w:rsidRPr="002A223B">
        <w:rPr>
          <w:spacing w:val="-4"/>
          <w:szCs w:val="24"/>
        </w:rPr>
        <w:t xml:space="preserve"> </w:t>
      </w:r>
      <w:r w:rsidRPr="002A223B">
        <w:rPr>
          <w:szCs w:val="24"/>
        </w:rPr>
        <w:t>ein</w:t>
      </w:r>
      <w:r w:rsidRPr="002A223B">
        <w:rPr>
          <w:spacing w:val="-6"/>
          <w:szCs w:val="24"/>
        </w:rPr>
        <w:t xml:space="preserve"> </w:t>
      </w:r>
      <w:r w:rsidRPr="002A223B">
        <w:rPr>
          <w:szCs w:val="24"/>
        </w:rPr>
        <w:t>Fehler. Denn die bedingte Wahrscheinlichkeit, dass Linda Bankangestellte und Feministin</w:t>
      </w:r>
      <w:r w:rsidRPr="002A223B">
        <w:rPr>
          <w:spacing w:val="36"/>
          <w:szCs w:val="24"/>
        </w:rPr>
        <w:t xml:space="preserve"> </w:t>
      </w:r>
      <w:r w:rsidRPr="002A223B">
        <w:rPr>
          <w:szCs w:val="24"/>
        </w:rPr>
        <w:t>ist,</w:t>
      </w:r>
      <w:r w:rsidRPr="002A223B">
        <w:rPr>
          <w:spacing w:val="36"/>
          <w:szCs w:val="24"/>
        </w:rPr>
        <w:t xml:space="preserve"> </w:t>
      </w:r>
      <w:r w:rsidRPr="002A223B">
        <w:rPr>
          <w:szCs w:val="24"/>
        </w:rPr>
        <w:t>kann</w:t>
      </w:r>
      <w:r w:rsidRPr="002A223B">
        <w:rPr>
          <w:spacing w:val="36"/>
          <w:szCs w:val="24"/>
        </w:rPr>
        <w:t xml:space="preserve"> </w:t>
      </w:r>
      <w:r w:rsidRPr="002A223B">
        <w:rPr>
          <w:szCs w:val="24"/>
        </w:rPr>
        <w:t>nicht</w:t>
      </w:r>
      <w:r w:rsidRPr="002A223B">
        <w:rPr>
          <w:spacing w:val="36"/>
          <w:szCs w:val="24"/>
        </w:rPr>
        <w:t xml:space="preserve"> </w:t>
      </w:r>
      <w:r w:rsidRPr="002A223B">
        <w:rPr>
          <w:szCs w:val="24"/>
        </w:rPr>
        <w:t>größer</w:t>
      </w:r>
      <w:r w:rsidRPr="002A223B">
        <w:rPr>
          <w:spacing w:val="38"/>
          <w:szCs w:val="24"/>
        </w:rPr>
        <w:t xml:space="preserve"> </w:t>
      </w:r>
      <w:r w:rsidRPr="002A223B">
        <w:rPr>
          <w:szCs w:val="24"/>
        </w:rPr>
        <w:t>sein</w:t>
      </w:r>
      <w:r w:rsidRPr="002A223B">
        <w:rPr>
          <w:spacing w:val="37"/>
          <w:szCs w:val="24"/>
        </w:rPr>
        <w:t xml:space="preserve"> </w:t>
      </w:r>
      <w:r w:rsidRPr="002A223B">
        <w:rPr>
          <w:szCs w:val="24"/>
        </w:rPr>
        <w:t>als</w:t>
      </w:r>
      <w:r w:rsidRPr="002A223B">
        <w:rPr>
          <w:spacing w:val="38"/>
          <w:szCs w:val="24"/>
        </w:rPr>
        <w:t xml:space="preserve"> </w:t>
      </w:r>
      <w:r w:rsidRPr="002A223B">
        <w:rPr>
          <w:szCs w:val="24"/>
        </w:rPr>
        <w:t>die</w:t>
      </w:r>
      <w:r w:rsidRPr="002A223B">
        <w:rPr>
          <w:spacing w:val="37"/>
          <w:szCs w:val="24"/>
        </w:rPr>
        <w:t xml:space="preserve"> </w:t>
      </w:r>
      <w:r w:rsidRPr="002A223B">
        <w:rPr>
          <w:szCs w:val="24"/>
        </w:rPr>
        <w:t>Wahrscheinlichkeit,</w:t>
      </w:r>
      <w:r w:rsidRPr="002A223B">
        <w:rPr>
          <w:spacing w:val="36"/>
          <w:szCs w:val="24"/>
        </w:rPr>
        <w:t xml:space="preserve"> </w:t>
      </w:r>
      <w:r w:rsidRPr="002A223B">
        <w:rPr>
          <w:szCs w:val="24"/>
        </w:rPr>
        <w:t>dass</w:t>
      </w:r>
      <w:r w:rsidRPr="002A223B">
        <w:rPr>
          <w:spacing w:val="37"/>
          <w:szCs w:val="24"/>
        </w:rPr>
        <w:t xml:space="preserve"> </w:t>
      </w:r>
      <w:r w:rsidRPr="002A223B">
        <w:rPr>
          <w:szCs w:val="24"/>
        </w:rPr>
        <w:t>Linda Bankangestellte</w:t>
      </w:r>
      <w:r w:rsidRPr="002A223B">
        <w:rPr>
          <w:spacing w:val="-1"/>
          <w:szCs w:val="24"/>
        </w:rPr>
        <w:t xml:space="preserve"> </w:t>
      </w:r>
      <w:r w:rsidRPr="002A223B">
        <w:rPr>
          <w:szCs w:val="24"/>
        </w:rPr>
        <w:t>ist. Die</w:t>
      </w:r>
      <w:r w:rsidRPr="002A223B">
        <w:rPr>
          <w:spacing w:val="-1"/>
          <w:szCs w:val="24"/>
        </w:rPr>
        <w:t xml:space="preserve"> </w:t>
      </w:r>
      <w:r w:rsidRPr="002A223B">
        <w:rPr>
          <w:szCs w:val="24"/>
        </w:rPr>
        <w:t>Repräsentationsheuristik verführt u.a. dazu, die</w:t>
      </w:r>
      <w:r w:rsidRPr="002A223B">
        <w:rPr>
          <w:spacing w:val="-1"/>
          <w:szCs w:val="24"/>
        </w:rPr>
        <w:t xml:space="preserve"> </w:t>
      </w:r>
      <w:r w:rsidRPr="002A223B">
        <w:rPr>
          <w:szCs w:val="24"/>
        </w:rPr>
        <w:t>Basisrate zu</w:t>
      </w:r>
      <w:r w:rsidRPr="002A223B">
        <w:rPr>
          <w:spacing w:val="-12"/>
          <w:szCs w:val="24"/>
        </w:rPr>
        <w:t xml:space="preserve"> </w:t>
      </w:r>
      <w:r w:rsidRPr="002A223B">
        <w:rPr>
          <w:szCs w:val="24"/>
        </w:rPr>
        <w:t>ignorieren</w:t>
      </w:r>
      <w:r w:rsidRPr="002A223B">
        <w:rPr>
          <w:spacing w:val="-11"/>
          <w:szCs w:val="24"/>
        </w:rPr>
        <w:t xml:space="preserve"> </w:t>
      </w:r>
      <w:r w:rsidRPr="002A223B">
        <w:rPr>
          <w:szCs w:val="24"/>
        </w:rPr>
        <w:t>(dass</w:t>
      </w:r>
      <w:r w:rsidRPr="002A223B">
        <w:rPr>
          <w:spacing w:val="-11"/>
          <w:szCs w:val="24"/>
        </w:rPr>
        <w:t xml:space="preserve"> </w:t>
      </w:r>
      <w:r w:rsidRPr="002A223B">
        <w:rPr>
          <w:szCs w:val="24"/>
        </w:rPr>
        <w:t>es</w:t>
      </w:r>
      <w:r w:rsidRPr="002A223B">
        <w:rPr>
          <w:spacing w:val="-11"/>
          <w:szCs w:val="24"/>
        </w:rPr>
        <w:t xml:space="preserve"> </w:t>
      </w:r>
      <w:r w:rsidRPr="002A223B">
        <w:rPr>
          <w:szCs w:val="24"/>
        </w:rPr>
        <w:t>bspw.</w:t>
      </w:r>
      <w:r w:rsidRPr="002A223B">
        <w:rPr>
          <w:spacing w:val="-12"/>
          <w:szCs w:val="24"/>
        </w:rPr>
        <w:t xml:space="preserve"> </w:t>
      </w:r>
      <w:r w:rsidRPr="002A223B">
        <w:rPr>
          <w:szCs w:val="24"/>
        </w:rPr>
        <w:t>sehr</w:t>
      </w:r>
      <w:r w:rsidRPr="002A223B">
        <w:rPr>
          <w:spacing w:val="-11"/>
          <w:szCs w:val="24"/>
        </w:rPr>
        <w:t xml:space="preserve"> </w:t>
      </w:r>
      <w:r w:rsidRPr="002A223B">
        <w:rPr>
          <w:szCs w:val="24"/>
        </w:rPr>
        <w:t>viel</w:t>
      </w:r>
      <w:r w:rsidRPr="002A223B">
        <w:rPr>
          <w:spacing w:val="-11"/>
          <w:szCs w:val="24"/>
        </w:rPr>
        <w:t xml:space="preserve"> </w:t>
      </w:r>
      <w:r w:rsidRPr="002A223B">
        <w:rPr>
          <w:szCs w:val="24"/>
        </w:rPr>
        <w:t>mehr</w:t>
      </w:r>
      <w:r w:rsidRPr="002A223B">
        <w:rPr>
          <w:spacing w:val="-11"/>
          <w:szCs w:val="24"/>
        </w:rPr>
        <w:t xml:space="preserve"> </w:t>
      </w:r>
      <w:r w:rsidRPr="002A223B">
        <w:rPr>
          <w:szCs w:val="24"/>
        </w:rPr>
        <w:t>„Bankangestellte“</w:t>
      </w:r>
      <w:r w:rsidRPr="002A223B">
        <w:rPr>
          <w:spacing w:val="-12"/>
          <w:szCs w:val="24"/>
        </w:rPr>
        <w:t xml:space="preserve"> </w:t>
      </w:r>
      <w:r w:rsidRPr="002A223B">
        <w:rPr>
          <w:szCs w:val="24"/>
        </w:rPr>
        <w:t>als</w:t>
      </w:r>
      <w:r w:rsidRPr="002A223B">
        <w:rPr>
          <w:spacing w:val="-11"/>
          <w:szCs w:val="24"/>
        </w:rPr>
        <w:t xml:space="preserve"> </w:t>
      </w:r>
      <w:r w:rsidRPr="002A223B">
        <w:rPr>
          <w:szCs w:val="24"/>
        </w:rPr>
        <w:t>„Bankangestellte gibt, die zugleich Feministinnen sind“.</w:t>
      </w:r>
    </w:p>
    <w:p w14:paraId="578E0FE9" w14:textId="77777777" w:rsidR="00FF7799" w:rsidRPr="002A223B" w:rsidRDefault="00FF7799" w:rsidP="005B43F5">
      <w:pPr>
        <w:pStyle w:val="StandardText"/>
        <w:rPr>
          <w:szCs w:val="24"/>
        </w:rPr>
      </w:pPr>
    </w:p>
    <w:p w14:paraId="00052F2C" w14:textId="77777777" w:rsidR="00FF7799" w:rsidRPr="002A223B" w:rsidRDefault="00FF7799" w:rsidP="005B43F5">
      <w:pPr>
        <w:pStyle w:val="StandardTextkursiv"/>
        <w:rPr>
          <w:i w:val="0"/>
        </w:rPr>
      </w:pPr>
      <w:r w:rsidRPr="002A223B">
        <w:rPr>
          <w:i w:val="0"/>
        </w:rPr>
        <w:t>3 Ankerheuristik</w:t>
      </w:r>
    </w:p>
    <w:p w14:paraId="61EF5012" w14:textId="77777777" w:rsidR="00FF7799" w:rsidRPr="00E73F6F" w:rsidRDefault="00FF7799" w:rsidP="005B43F5">
      <w:pPr>
        <w:pStyle w:val="StandardText"/>
        <w:rPr>
          <w:szCs w:val="24"/>
        </w:rPr>
      </w:pPr>
      <w:r w:rsidRPr="00E73F6F">
        <w:rPr>
          <w:szCs w:val="24"/>
        </w:rPr>
        <w:lastRenderedPageBreak/>
        <w:t>Orientierung</w:t>
      </w:r>
      <w:r w:rsidRPr="00E73F6F">
        <w:rPr>
          <w:spacing w:val="-5"/>
          <w:szCs w:val="24"/>
        </w:rPr>
        <w:t xml:space="preserve"> </w:t>
      </w:r>
      <w:r w:rsidRPr="00E73F6F">
        <w:rPr>
          <w:szCs w:val="24"/>
        </w:rPr>
        <w:t>eines</w:t>
      </w:r>
      <w:r w:rsidRPr="00E73F6F">
        <w:rPr>
          <w:spacing w:val="-7"/>
          <w:szCs w:val="24"/>
        </w:rPr>
        <w:t xml:space="preserve"> </w:t>
      </w:r>
      <w:r w:rsidRPr="00E73F6F">
        <w:rPr>
          <w:szCs w:val="24"/>
        </w:rPr>
        <w:t>Urteils</w:t>
      </w:r>
      <w:r w:rsidRPr="00E73F6F">
        <w:rPr>
          <w:spacing w:val="-7"/>
          <w:szCs w:val="24"/>
        </w:rPr>
        <w:t xml:space="preserve"> </w:t>
      </w:r>
      <w:r w:rsidRPr="00E73F6F">
        <w:rPr>
          <w:szCs w:val="24"/>
        </w:rPr>
        <w:t>(bspw.</w:t>
      </w:r>
      <w:r w:rsidRPr="00E73F6F">
        <w:rPr>
          <w:spacing w:val="-7"/>
          <w:szCs w:val="24"/>
        </w:rPr>
        <w:t xml:space="preserve"> </w:t>
      </w:r>
      <w:r w:rsidRPr="00E73F6F">
        <w:rPr>
          <w:szCs w:val="24"/>
        </w:rPr>
        <w:t>Schätzwert)</w:t>
      </w:r>
      <w:r w:rsidRPr="00E73F6F">
        <w:rPr>
          <w:spacing w:val="-6"/>
          <w:szCs w:val="24"/>
        </w:rPr>
        <w:t xml:space="preserve"> </w:t>
      </w:r>
      <w:r w:rsidRPr="00E73F6F">
        <w:rPr>
          <w:szCs w:val="24"/>
        </w:rPr>
        <w:t>an</w:t>
      </w:r>
      <w:r w:rsidRPr="00E73F6F">
        <w:rPr>
          <w:spacing w:val="-5"/>
          <w:szCs w:val="24"/>
        </w:rPr>
        <w:t xml:space="preserve"> </w:t>
      </w:r>
      <w:r w:rsidRPr="00E73F6F">
        <w:rPr>
          <w:szCs w:val="24"/>
        </w:rPr>
        <w:t>einem</w:t>
      </w:r>
      <w:r w:rsidRPr="00E73F6F">
        <w:rPr>
          <w:spacing w:val="-9"/>
          <w:szCs w:val="24"/>
        </w:rPr>
        <w:t xml:space="preserve"> </w:t>
      </w:r>
      <w:r w:rsidRPr="00E73F6F">
        <w:rPr>
          <w:szCs w:val="24"/>
        </w:rPr>
        <w:t>bzw.</w:t>
      </w:r>
      <w:r w:rsidRPr="00E73F6F">
        <w:rPr>
          <w:spacing w:val="-6"/>
          <w:szCs w:val="24"/>
        </w:rPr>
        <w:t xml:space="preserve"> </w:t>
      </w:r>
      <w:r w:rsidRPr="00E73F6F">
        <w:rPr>
          <w:szCs w:val="24"/>
        </w:rPr>
        <w:t>Beeinflussung</w:t>
      </w:r>
      <w:r w:rsidRPr="00E73F6F">
        <w:rPr>
          <w:spacing w:val="-7"/>
          <w:szCs w:val="24"/>
        </w:rPr>
        <w:t xml:space="preserve"> </w:t>
      </w:r>
      <w:r w:rsidRPr="00E73F6F">
        <w:rPr>
          <w:szCs w:val="24"/>
        </w:rPr>
        <w:t>durch einen Ankerreiz. Beispiel: Wer</w:t>
      </w:r>
      <w:r w:rsidRPr="00E73F6F">
        <w:rPr>
          <w:spacing w:val="-1"/>
          <w:szCs w:val="24"/>
        </w:rPr>
        <w:t xml:space="preserve"> </w:t>
      </w:r>
      <w:r w:rsidRPr="00E73F6F">
        <w:rPr>
          <w:szCs w:val="24"/>
        </w:rPr>
        <w:t>zuerst</w:t>
      </w:r>
      <w:r w:rsidRPr="00E73F6F">
        <w:rPr>
          <w:spacing w:val="-1"/>
          <w:szCs w:val="24"/>
        </w:rPr>
        <w:t xml:space="preserve"> </w:t>
      </w:r>
      <w:r w:rsidRPr="00E73F6F">
        <w:rPr>
          <w:szCs w:val="24"/>
        </w:rPr>
        <w:t>#einen Anzug für</w:t>
      </w:r>
      <w:r w:rsidRPr="00E73F6F">
        <w:rPr>
          <w:spacing w:val="-3"/>
          <w:szCs w:val="24"/>
        </w:rPr>
        <w:t xml:space="preserve"> </w:t>
      </w:r>
      <w:r w:rsidRPr="00E73F6F">
        <w:rPr>
          <w:szCs w:val="24"/>
        </w:rPr>
        <w:t>650€ kauft (=</w:t>
      </w:r>
      <w:r w:rsidRPr="00E73F6F">
        <w:rPr>
          <w:spacing w:val="-1"/>
          <w:szCs w:val="24"/>
        </w:rPr>
        <w:t xml:space="preserve"> </w:t>
      </w:r>
      <w:r w:rsidRPr="00E73F6F">
        <w:rPr>
          <w:szCs w:val="24"/>
        </w:rPr>
        <w:t>Ankerreiz) und</w:t>
      </w:r>
      <w:r w:rsidRPr="00E73F6F">
        <w:rPr>
          <w:spacing w:val="-10"/>
          <w:szCs w:val="24"/>
        </w:rPr>
        <w:t xml:space="preserve"> </w:t>
      </w:r>
      <w:r w:rsidRPr="00E73F6F">
        <w:rPr>
          <w:szCs w:val="24"/>
        </w:rPr>
        <w:t>dann</w:t>
      </w:r>
      <w:r w:rsidRPr="00E73F6F">
        <w:rPr>
          <w:spacing w:val="-8"/>
          <w:szCs w:val="24"/>
        </w:rPr>
        <w:t xml:space="preserve"> </w:t>
      </w:r>
      <w:r w:rsidRPr="00E73F6F">
        <w:rPr>
          <w:szCs w:val="24"/>
        </w:rPr>
        <w:t>eine</w:t>
      </w:r>
      <w:r w:rsidRPr="00E73F6F">
        <w:rPr>
          <w:spacing w:val="-10"/>
          <w:szCs w:val="24"/>
        </w:rPr>
        <w:t xml:space="preserve"> </w:t>
      </w:r>
      <w:r w:rsidRPr="00E73F6F">
        <w:rPr>
          <w:szCs w:val="24"/>
        </w:rPr>
        <w:t>Krawatte</w:t>
      </w:r>
      <w:r w:rsidRPr="00E73F6F">
        <w:rPr>
          <w:spacing w:val="-10"/>
          <w:szCs w:val="24"/>
        </w:rPr>
        <w:t xml:space="preserve"> </w:t>
      </w:r>
      <w:r w:rsidRPr="00E73F6F">
        <w:rPr>
          <w:szCs w:val="24"/>
        </w:rPr>
        <w:t>für</w:t>
      </w:r>
      <w:r w:rsidRPr="00E73F6F">
        <w:rPr>
          <w:spacing w:val="-9"/>
          <w:szCs w:val="24"/>
        </w:rPr>
        <w:t xml:space="preserve"> </w:t>
      </w:r>
      <w:r w:rsidRPr="00E73F6F">
        <w:rPr>
          <w:szCs w:val="24"/>
        </w:rPr>
        <w:t>85€,</w:t>
      </w:r>
      <w:r w:rsidRPr="00E73F6F">
        <w:rPr>
          <w:spacing w:val="-9"/>
          <w:szCs w:val="24"/>
        </w:rPr>
        <w:t xml:space="preserve"> </w:t>
      </w:r>
      <w:r w:rsidRPr="00E73F6F">
        <w:rPr>
          <w:szCs w:val="24"/>
        </w:rPr>
        <w:t>dem</w:t>
      </w:r>
      <w:r w:rsidRPr="00E73F6F">
        <w:rPr>
          <w:spacing w:val="-10"/>
          <w:szCs w:val="24"/>
        </w:rPr>
        <w:t xml:space="preserve"> </w:t>
      </w:r>
      <w:r w:rsidRPr="00E73F6F">
        <w:rPr>
          <w:szCs w:val="24"/>
        </w:rPr>
        <w:t>wird</w:t>
      </w:r>
      <w:r w:rsidRPr="00E73F6F">
        <w:rPr>
          <w:spacing w:val="-8"/>
          <w:szCs w:val="24"/>
        </w:rPr>
        <w:t xml:space="preserve"> </w:t>
      </w:r>
      <w:r w:rsidRPr="00E73F6F">
        <w:rPr>
          <w:szCs w:val="24"/>
        </w:rPr>
        <w:t>die</w:t>
      </w:r>
      <w:r w:rsidRPr="00E73F6F">
        <w:rPr>
          <w:spacing w:val="-9"/>
          <w:szCs w:val="24"/>
        </w:rPr>
        <w:t xml:space="preserve"> </w:t>
      </w:r>
      <w:r w:rsidRPr="00E73F6F">
        <w:rPr>
          <w:szCs w:val="24"/>
        </w:rPr>
        <w:t>Krawatte</w:t>
      </w:r>
      <w:r w:rsidRPr="00E73F6F">
        <w:rPr>
          <w:spacing w:val="-10"/>
          <w:szCs w:val="24"/>
        </w:rPr>
        <w:t xml:space="preserve"> </w:t>
      </w:r>
      <w:r w:rsidRPr="00E73F6F">
        <w:rPr>
          <w:szCs w:val="24"/>
        </w:rPr>
        <w:t>weniger</w:t>
      </w:r>
      <w:r w:rsidRPr="00E73F6F">
        <w:rPr>
          <w:spacing w:val="-9"/>
          <w:szCs w:val="24"/>
        </w:rPr>
        <w:t xml:space="preserve"> </w:t>
      </w:r>
      <w:r w:rsidRPr="00E73F6F">
        <w:rPr>
          <w:szCs w:val="24"/>
        </w:rPr>
        <w:t>teuer</w:t>
      </w:r>
      <w:r w:rsidRPr="00E73F6F">
        <w:rPr>
          <w:spacing w:val="-9"/>
          <w:szCs w:val="24"/>
        </w:rPr>
        <w:t xml:space="preserve"> </w:t>
      </w:r>
      <w:r w:rsidRPr="00E73F6F">
        <w:rPr>
          <w:szCs w:val="24"/>
        </w:rPr>
        <w:t>vorkommen als einer Vergleichsperson, die zuvor einen Anzug für 290€ gekauft hat. Ein weiteres</w:t>
      </w:r>
      <w:r w:rsidRPr="00E73F6F">
        <w:rPr>
          <w:spacing w:val="-12"/>
          <w:szCs w:val="24"/>
        </w:rPr>
        <w:t xml:space="preserve"> </w:t>
      </w:r>
      <w:r w:rsidRPr="00E73F6F">
        <w:rPr>
          <w:szCs w:val="24"/>
        </w:rPr>
        <w:t>Beispiel:</w:t>
      </w:r>
      <w:r w:rsidRPr="00E73F6F">
        <w:rPr>
          <w:spacing w:val="-10"/>
          <w:szCs w:val="24"/>
        </w:rPr>
        <w:t xml:space="preserve"> </w:t>
      </w:r>
      <w:r w:rsidRPr="00E73F6F">
        <w:rPr>
          <w:szCs w:val="24"/>
        </w:rPr>
        <w:t>„Die</w:t>
      </w:r>
      <w:r w:rsidRPr="00E73F6F">
        <w:rPr>
          <w:spacing w:val="-12"/>
          <w:szCs w:val="24"/>
        </w:rPr>
        <w:t xml:space="preserve"> </w:t>
      </w:r>
      <w:r w:rsidRPr="00E73F6F">
        <w:rPr>
          <w:szCs w:val="24"/>
        </w:rPr>
        <w:t>Führung</w:t>
      </w:r>
      <w:r w:rsidRPr="00E73F6F">
        <w:rPr>
          <w:spacing w:val="-11"/>
          <w:szCs w:val="24"/>
        </w:rPr>
        <w:t xml:space="preserve"> </w:t>
      </w:r>
      <w:r w:rsidRPr="00E73F6F">
        <w:rPr>
          <w:szCs w:val="24"/>
        </w:rPr>
        <w:t>eines</w:t>
      </w:r>
      <w:r w:rsidRPr="00E73F6F">
        <w:rPr>
          <w:spacing w:val="-11"/>
          <w:szCs w:val="24"/>
        </w:rPr>
        <w:t xml:space="preserve"> </w:t>
      </w:r>
      <w:r w:rsidRPr="00E73F6F">
        <w:rPr>
          <w:szCs w:val="24"/>
        </w:rPr>
        <w:t>Flughafens</w:t>
      </w:r>
      <w:r w:rsidRPr="00E73F6F">
        <w:rPr>
          <w:spacing w:val="-11"/>
          <w:szCs w:val="24"/>
        </w:rPr>
        <w:t xml:space="preserve"> </w:t>
      </w:r>
      <w:r w:rsidRPr="00E73F6F">
        <w:rPr>
          <w:szCs w:val="24"/>
        </w:rPr>
        <w:t>muss</w:t>
      </w:r>
      <w:r w:rsidRPr="00E73F6F">
        <w:rPr>
          <w:spacing w:val="-12"/>
          <w:szCs w:val="24"/>
        </w:rPr>
        <w:t xml:space="preserve"> </w:t>
      </w:r>
      <w:r w:rsidRPr="00E73F6F">
        <w:rPr>
          <w:szCs w:val="24"/>
        </w:rPr>
        <w:t>entscheiden,</w:t>
      </w:r>
      <w:r w:rsidRPr="00E73F6F">
        <w:rPr>
          <w:spacing w:val="-10"/>
          <w:szCs w:val="24"/>
        </w:rPr>
        <w:t xml:space="preserve"> </w:t>
      </w:r>
      <w:r w:rsidRPr="00E73F6F">
        <w:rPr>
          <w:szCs w:val="24"/>
        </w:rPr>
        <w:t>zur</w:t>
      </w:r>
      <w:r w:rsidRPr="00E73F6F">
        <w:rPr>
          <w:spacing w:val="-11"/>
          <w:szCs w:val="24"/>
        </w:rPr>
        <w:t xml:space="preserve"> </w:t>
      </w:r>
      <w:r w:rsidRPr="00E73F6F">
        <w:rPr>
          <w:szCs w:val="24"/>
        </w:rPr>
        <w:t>Erhöhung der Sicherheit Geld für neu anzuschaffende Ausrüstung oder für Alternativen auszugeben.</w:t>
      </w:r>
      <w:r w:rsidRPr="00E73F6F">
        <w:rPr>
          <w:spacing w:val="-12"/>
          <w:szCs w:val="24"/>
        </w:rPr>
        <w:t xml:space="preserve"> </w:t>
      </w:r>
      <w:r w:rsidRPr="00E73F6F">
        <w:rPr>
          <w:szCs w:val="24"/>
        </w:rPr>
        <w:t>Slovic</w:t>
      </w:r>
      <w:r w:rsidRPr="00E73F6F">
        <w:rPr>
          <w:spacing w:val="-11"/>
          <w:szCs w:val="24"/>
        </w:rPr>
        <w:t xml:space="preserve"> </w:t>
      </w:r>
      <w:r w:rsidRPr="00E73F6F">
        <w:rPr>
          <w:szCs w:val="24"/>
        </w:rPr>
        <w:t>et</w:t>
      </w:r>
      <w:r w:rsidRPr="00E73F6F">
        <w:rPr>
          <w:spacing w:val="-11"/>
          <w:szCs w:val="24"/>
        </w:rPr>
        <w:t xml:space="preserve"> </w:t>
      </w:r>
      <w:r w:rsidRPr="00E73F6F">
        <w:rPr>
          <w:szCs w:val="24"/>
        </w:rPr>
        <w:t>al.</w:t>
      </w:r>
      <w:r w:rsidRPr="00E73F6F">
        <w:rPr>
          <w:spacing w:val="-11"/>
          <w:szCs w:val="24"/>
        </w:rPr>
        <w:t xml:space="preserve"> </w:t>
      </w:r>
      <w:r w:rsidRPr="00E73F6F">
        <w:rPr>
          <w:szCs w:val="24"/>
        </w:rPr>
        <w:t>(2002)</w:t>
      </w:r>
      <w:r w:rsidRPr="00E73F6F">
        <w:rPr>
          <w:spacing w:val="-12"/>
          <w:szCs w:val="24"/>
        </w:rPr>
        <w:t xml:space="preserve"> </w:t>
      </w:r>
      <w:r w:rsidRPr="00E73F6F">
        <w:rPr>
          <w:szCs w:val="24"/>
        </w:rPr>
        <w:t>informierten</w:t>
      </w:r>
      <w:r w:rsidRPr="00E73F6F">
        <w:rPr>
          <w:spacing w:val="-11"/>
          <w:szCs w:val="24"/>
        </w:rPr>
        <w:t xml:space="preserve"> </w:t>
      </w:r>
      <w:r w:rsidRPr="00E73F6F">
        <w:rPr>
          <w:szCs w:val="24"/>
        </w:rPr>
        <w:t>zwei</w:t>
      </w:r>
      <w:r w:rsidRPr="00E73F6F">
        <w:rPr>
          <w:spacing w:val="-11"/>
          <w:szCs w:val="24"/>
        </w:rPr>
        <w:t xml:space="preserve"> </w:t>
      </w:r>
      <w:r w:rsidRPr="00E73F6F">
        <w:rPr>
          <w:szCs w:val="24"/>
        </w:rPr>
        <w:t>Gruppen</w:t>
      </w:r>
      <w:r w:rsidRPr="00E73F6F">
        <w:rPr>
          <w:spacing w:val="-11"/>
          <w:szCs w:val="24"/>
        </w:rPr>
        <w:t xml:space="preserve"> </w:t>
      </w:r>
      <w:r w:rsidRPr="00E73F6F">
        <w:rPr>
          <w:szCs w:val="24"/>
        </w:rPr>
        <w:t>von</w:t>
      </w:r>
      <w:r w:rsidRPr="00E73F6F">
        <w:rPr>
          <w:spacing w:val="-12"/>
          <w:szCs w:val="24"/>
        </w:rPr>
        <w:t xml:space="preserve"> </w:t>
      </w:r>
      <w:r w:rsidRPr="00E73F6F">
        <w:rPr>
          <w:szCs w:val="24"/>
        </w:rPr>
        <w:t>Testpersonen</w:t>
      </w:r>
      <w:r w:rsidRPr="00E73F6F">
        <w:rPr>
          <w:spacing w:val="-11"/>
          <w:szCs w:val="24"/>
        </w:rPr>
        <w:t xml:space="preserve"> </w:t>
      </w:r>
      <w:r w:rsidRPr="00E73F6F">
        <w:rPr>
          <w:szCs w:val="24"/>
        </w:rPr>
        <w:t>über die Pro- und Kontra-Argumente für den Kauf der Ausrüstung und ließen sie ihre Zustimmung zum Kauf auf einer Skala von 0 bis 20 angeben. Der einen Gruppe wurde gesagt, der Kauf würde 150 Leben retten. Der anderen Gruppe wurde gesagt, er würde 98% von 150 Leben retten. Die Hypothese, welche das Experiment motivierte, war, dass 150 Leben zu retten vage gut tönt – sind 150 Leben</w:t>
      </w:r>
      <w:r w:rsidRPr="00E73F6F">
        <w:rPr>
          <w:spacing w:val="-4"/>
          <w:szCs w:val="24"/>
        </w:rPr>
        <w:t xml:space="preserve"> </w:t>
      </w:r>
      <w:r w:rsidRPr="00E73F6F">
        <w:rPr>
          <w:szCs w:val="24"/>
        </w:rPr>
        <w:t>viel?</w:t>
      </w:r>
      <w:r w:rsidRPr="00E73F6F">
        <w:rPr>
          <w:spacing w:val="-1"/>
          <w:szCs w:val="24"/>
        </w:rPr>
        <w:t xml:space="preserve"> </w:t>
      </w:r>
      <w:r w:rsidRPr="00E73F6F">
        <w:rPr>
          <w:szCs w:val="24"/>
        </w:rPr>
        <w:t>–</w:t>
      </w:r>
      <w:r w:rsidRPr="00E73F6F">
        <w:rPr>
          <w:spacing w:val="-1"/>
          <w:szCs w:val="24"/>
        </w:rPr>
        <w:t xml:space="preserve"> </w:t>
      </w:r>
      <w:r w:rsidRPr="00E73F6F">
        <w:rPr>
          <w:szCs w:val="24"/>
        </w:rPr>
        <w:t>während 98%</w:t>
      </w:r>
      <w:r w:rsidRPr="00E73F6F">
        <w:rPr>
          <w:spacing w:val="-1"/>
          <w:szCs w:val="24"/>
        </w:rPr>
        <w:t xml:space="preserve"> </w:t>
      </w:r>
      <w:r w:rsidRPr="00E73F6F">
        <w:rPr>
          <w:szCs w:val="24"/>
        </w:rPr>
        <w:t>von irgendetwas</w:t>
      </w:r>
      <w:r w:rsidRPr="00E73F6F">
        <w:rPr>
          <w:spacing w:val="-1"/>
          <w:szCs w:val="24"/>
        </w:rPr>
        <w:t xml:space="preserve"> </w:t>
      </w:r>
      <w:r w:rsidRPr="00E73F6F">
        <w:rPr>
          <w:szCs w:val="24"/>
        </w:rPr>
        <w:t>eindeutig</w:t>
      </w:r>
      <w:r w:rsidRPr="00E73F6F">
        <w:rPr>
          <w:spacing w:val="-1"/>
          <w:szCs w:val="24"/>
        </w:rPr>
        <w:t xml:space="preserve"> </w:t>
      </w:r>
      <w:r w:rsidRPr="00E73F6F">
        <w:rPr>
          <w:szCs w:val="24"/>
        </w:rPr>
        <w:t>gut</w:t>
      </w:r>
      <w:r w:rsidRPr="00E73F6F">
        <w:rPr>
          <w:spacing w:val="-3"/>
          <w:szCs w:val="24"/>
        </w:rPr>
        <w:t xml:space="preserve"> </w:t>
      </w:r>
      <w:r w:rsidRPr="00E73F6F">
        <w:rPr>
          <w:szCs w:val="24"/>
        </w:rPr>
        <w:t>ist, weil</w:t>
      </w:r>
      <w:r w:rsidRPr="00E73F6F">
        <w:rPr>
          <w:spacing w:val="-1"/>
          <w:szCs w:val="24"/>
        </w:rPr>
        <w:t xml:space="preserve"> </w:t>
      </w:r>
      <w:r w:rsidRPr="00E73F6F">
        <w:rPr>
          <w:szCs w:val="24"/>
        </w:rPr>
        <w:t>es so</w:t>
      </w:r>
      <w:r w:rsidRPr="00E73F6F">
        <w:rPr>
          <w:spacing w:val="-3"/>
          <w:szCs w:val="24"/>
        </w:rPr>
        <w:t xml:space="preserve"> </w:t>
      </w:r>
      <w:r w:rsidRPr="00E73F6F">
        <w:rPr>
          <w:szCs w:val="24"/>
        </w:rPr>
        <w:t>nahe</w:t>
      </w:r>
      <w:r w:rsidRPr="00E73F6F">
        <w:rPr>
          <w:spacing w:val="-1"/>
          <w:szCs w:val="24"/>
        </w:rPr>
        <w:t xml:space="preserve"> </w:t>
      </w:r>
      <w:r w:rsidRPr="00E73F6F">
        <w:rPr>
          <w:spacing w:val="-5"/>
          <w:szCs w:val="24"/>
        </w:rPr>
        <w:t xml:space="preserve">am </w:t>
      </w:r>
      <w:r w:rsidRPr="00E73F6F">
        <w:rPr>
          <w:szCs w:val="24"/>
        </w:rPr>
        <w:t xml:space="preserve">„Maximum“ liegt, das als Anker gesetzt wird. Das Resultat war, dass 150 Leben zu retten eine durchschnittliche Unterstützung von 10.4 erhielt, während sie für 98% von 150 Leben bei 13.6 lag“ </w:t>
      </w:r>
      <w:hyperlink r:id="rId58">
        <w:r w:rsidRPr="00E73F6F">
          <w:rPr>
            <w:szCs w:val="24"/>
          </w:rPr>
          <w:t>(http://gbs-schweiz.org/blog/die-gefahr-</w:t>
        </w:r>
      </w:hyperlink>
      <w:r w:rsidRPr="00E73F6F">
        <w:rPr>
          <w:szCs w:val="24"/>
        </w:rPr>
        <w:t xml:space="preserve"> </w:t>
      </w:r>
      <w:hyperlink r:id="rId59">
        <w:r w:rsidRPr="00E73F6F">
          <w:rPr>
            <w:szCs w:val="24"/>
          </w:rPr>
          <w:t>positiver-affekte/</w:t>
        </w:r>
      </w:hyperlink>
      <w:r w:rsidRPr="00E73F6F">
        <w:rPr>
          <w:szCs w:val="24"/>
        </w:rPr>
        <w:t>).</w:t>
      </w:r>
    </w:p>
    <w:p w14:paraId="34DFBF5F" w14:textId="77777777" w:rsidR="00FF7799" w:rsidRPr="00E73F6F" w:rsidRDefault="00FF7799" w:rsidP="005B43F5">
      <w:pPr>
        <w:pStyle w:val="StandardText"/>
        <w:rPr>
          <w:szCs w:val="24"/>
        </w:rPr>
      </w:pPr>
    </w:p>
    <w:p w14:paraId="06BD7861" w14:textId="77777777" w:rsidR="00FF7799" w:rsidRPr="002A223B" w:rsidRDefault="00FF7799" w:rsidP="005B43F5">
      <w:pPr>
        <w:pStyle w:val="StandardTextkursiv"/>
        <w:rPr>
          <w:i w:val="0"/>
        </w:rPr>
      </w:pPr>
      <w:r w:rsidRPr="002A223B">
        <w:rPr>
          <w:i w:val="0"/>
        </w:rPr>
        <w:t>4 Affektheuristik</w:t>
      </w:r>
    </w:p>
    <w:p w14:paraId="2DBFE50D" w14:textId="77777777" w:rsidR="00FF7799" w:rsidRPr="00E73F6F" w:rsidRDefault="00FF7799" w:rsidP="005B43F5">
      <w:pPr>
        <w:pStyle w:val="StandardText"/>
        <w:rPr>
          <w:szCs w:val="24"/>
        </w:rPr>
      </w:pPr>
      <w:r w:rsidRPr="002A223B">
        <w:rPr>
          <w:szCs w:val="24"/>
        </w:rPr>
        <w:t>Entscheidungsbildung</w:t>
      </w:r>
      <w:r w:rsidRPr="00E73F6F">
        <w:rPr>
          <w:szCs w:val="24"/>
        </w:rPr>
        <w:t xml:space="preserve"> aufgrund eines gefühlsmäßigen, häufig vagen</w:t>
      </w:r>
      <w:r w:rsidRPr="00E73F6F">
        <w:rPr>
          <w:spacing w:val="40"/>
          <w:szCs w:val="24"/>
        </w:rPr>
        <w:t xml:space="preserve"> </w:t>
      </w:r>
      <w:r w:rsidRPr="00E73F6F">
        <w:rPr>
          <w:szCs w:val="24"/>
        </w:rPr>
        <w:t>Eindrucks („gut“ vs. „schlecht“). Wie Mikels et al. (2011) empirisch nachweisen konnten, sind gefühlsgesteuerte Entscheidungen („Bauchgefühl“) nicht nur leichter zu fällen, sondern führen bei komplexen Entscheidungsproblemen auch zu besseren Ergebnissen als rationale Abwägungen gemäß einer kognitiven Algebra. Die Teilnehmer</w:t>
      </w:r>
      <w:r w:rsidRPr="00E73F6F">
        <w:rPr>
          <w:spacing w:val="-12"/>
          <w:szCs w:val="24"/>
        </w:rPr>
        <w:t xml:space="preserve"> </w:t>
      </w:r>
      <w:r w:rsidRPr="00E73F6F">
        <w:rPr>
          <w:szCs w:val="24"/>
        </w:rPr>
        <w:t>dieses</w:t>
      </w:r>
      <w:r w:rsidRPr="00E73F6F">
        <w:rPr>
          <w:spacing w:val="-11"/>
          <w:szCs w:val="24"/>
        </w:rPr>
        <w:t xml:space="preserve"> </w:t>
      </w:r>
      <w:r w:rsidRPr="00E73F6F">
        <w:rPr>
          <w:szCs w:val="24"/>
        </w:rPr>
        <w:t>Experiments</w:t>
      </w:r>
      <w:r w:rsidRPr="00E73F6F">
        <w:rPr>
          <w:spacing w:val="-11"/>
          <w:szCs w:val="24"/>
        </w:rPr>
        <w:t xml:space="preserve"> </w:t>
      </w:r>
      <w:r w:rsidRPr="00E73F6F">
        <w:rPr>
          <w:szCs w:val="24"/>
        </w:rPr>
        <w:t>sollten</w:t>
      </w:r>
      <w:r w:rsidRPr="00E73F6F">
        <w:rPr>
          <w:spacing w:val="-9"/>
          <w:szCs w:val="24"/>
        </w:rPr>
        <w:t xml:space="preserve"> </w:t>
      </w:r>
      <w:r w:rsidRPr="00E73F6F">
        <w:rPr>
          <w:szCs w:val="24"/>
        </w:rPr>
        <w:t>entweder</w:t>
      </w:r>
      <w:r w:rsidRPr="00E73F6F">
        <w:rPr>
          <w:spacing w:val="-10"/>
          <w:szCs w:val="24"/>
        </w:rPr>
        <w:t xml:space="preserve"> </w:t>
      </w:r>
      <w:r w:rsidRPr="00E73F6F">
        <w:rPr>
          <w:szCs w:val="24"/>
        </w:rPr>
        <w:t>eine</w:t>
      </w:r>
      <w:r w:rsidRPr="00E73F6F">
        <w:rPr>
          <w:spacing w:val="-11"/>
          <w:szCs w:val="24"/>
        </w:rPr>
        <w:t xml:space="preserve"> </w:t>
      </w:r>
      <w:r w:rsidRPr="00E73F6F">
        <w:rPr>
          <w:szCs w:val="24"/>
        </w:rPr>
        <w:t>einfache</w:t>
      </w:r>
      <w:r w:rsidRPr="00E73F6F">
        <w:rPr>
          <w:spacing w:val="-12"/>
          <w:szCs w:val="24"/>
        </w:rPr>
        <w:t xml:space="preserve"> </w:t>
      </w:r>
      <w:r w:rsidRPr="00E73F6F">
        <w:rPr>
          <w:szCs w:val="24"/>
        </w:rPr>
        <w:t>oder</w:t>
      </w:r>
      <w:r w:rsidRPr="00E73F6F">
        <w:rPr>
          <w:spacing w:val="-11"/>
          <w:szCs w:val="24"/>
        </w:rPr>
        <w:t xml:space="preserve"> </w:t>
      </w:r>
      <w:r w:rsidRPr="00E73F6F">
        <w:rPr>
          <w:szCs w:val="24"/>
        </w:rPr>
        <w:t>eine</w:t>
      </w:r>
      <w:r w:rsidRPr="00E73F6F">
        <w:rPr>
          <w:spacing w:val="-11"/>
          <w:szCs w:val="24"/>
        </w:rPr>
        <w:t xml:space="preserve"> </w:t>
      </w:r>
      <w:r w:rsidRPr="00E73F6F">
        <w:rPr>
          <w:szCs w:val="24"/>
        </w:rPr>
        <w:t>komplexe Entscheidung</w:t>
      </w:r>
      <w:r w:rsidRPr="00E73F6F">
        <w:rPr>
          <w:spacing w:val="40"/>
          <w:szCs w:val="24"/>
        </w:rPr>
        <w:t xml:space="preserve"> </w:t>
      </w:r>
      <w:r w:rsidRPr="00E73F6F">
        <w:rPr>
          <w:szCs w:val="24"/>
        </w:rPr>
        <w:t>treffen (einfache Entscheidung = Kaufentscheidung für ein Auto anhand weniger Entscheidungskriterien wie Kraftstoffverbrauch; komplexe Entscheidung = Kaufentscheidung für ein Auto anhand weniger Entscheidungskriterien, die teils positiv, teils negativ waren). Ergebnis: Bei komplexen Sachverhalten entschieden sich 65% der Probanden für die objektiv beste Option – d.h. sie wählten das Auto, dessen Eigenschaften zu 75% positive Eigenschaften sind -, wenn sie ihrem Gefühl vertrauen und eine Bauchentscheidung fällen, während „Kopfentscheidungen“ nur in 26% der Fälle zum</w:t>
      </w:r>
      <w:r w:rsidRPr="00E73F6F">
        <w:rPr>
          <w:spacing w:val="-6"/>
          <w:szCs w:val="24"/>
        </w:rPr>
        <w:t xml:space="preserve"> </w:t>
      </w:r>
      <w:r w:rsidRPr="00E73F6F">
        <w:rPr>
          <w:szCs w:val="24"/>
        </w:rPr>
        <w:t>objektiv</w:t>
      </w:r>
      <w:r w:rsidRPr="00E73F6F">
        <w:rPr>
          <w:spacing w:val="-4"/>
          <w:szCs w:val="24"/>
        </w:rPr>
        <w:t xml:space="preserve"> </w:t>
      </w:r>
      <w:r w:rsidRPr="00E73F6F">
        <w:rPr>
          <w:szCs w:val="24"/>
        </w:rPr>
        <w:t>besten</w:t>
      </w:r>
      <w:r w:rsidRPr="00E73F6F">
        <w:rPr>
          <w:spacing w:val="-4"/>
          <w:szCs w:val="24"/>
        </w:rPr>
        <w:t xml:space="preserve"> </w:t>
      </w:r>
      <w:r w:rsidRPr="00E73F6F">
        <w:rPr>
          <w:szCs w:val="24"/>
        </w:rPr>
        <w:t>Ergebnis</w:t>
      </w:r>
      <w:r w:rsidRPr="00E73F6F">
        <w:rPr>
          <w:spacing w:val="-5"/>
          <w:szCs w:val="24"/>
        </w:rPr>
        <w:t xml:space="preserve"> </w:t>
      </w:r>
      <w:r w:rsidRPr="00E73F6F">
        <w:rPr>
          <w:szCs w:val="24"/>
        </w:rPr>
        <w:t>führen.</w:t>
      </w:r>
      <w:r w:rsidRPr="00E73F6F">
        <w:rPr>
          <w:spacing w:val="-5"/>
          <w:szCs w:val="24"/>
        </w:rPr>
        <w:t xml:space="preserve"> </w:t>
      </w:r>
      <w:r w:rsidRPr="00E73F6F">
        <w:rPr>
          <w:szCs w:val="24"/>
        </w:rPr>
        <w:t>Hinzu</w:t>
      </w:r>
      <w:r w:rsidRPr="00E73F6F">
        <w:rPr>
          <w:spacing w:val="-4"/>
          <w:szCs w:val="24"/>
        </w:rPr>
        <w:t xml:space="preserve"> </w:t>
      </w:r>
      <w:r w:rsidRPr="00E73F6F">
        <w:rPr>
          <w:szCs w:val="24"/>
        </w:rPr>
        <w:t>kommt,</w:t>
      </w:r>
      <w:r w:rsidRPr="00E73F6F">
        <w:rPr>
          <w:spacing w:val="-5"/>
          <w:szCs w:val="24"/>
        </w:rPr>
        <w:t xml:space="preserve"> </w:t>
      </w:r>
      <w:r w:rsidRPr="00E73F6F">
        <w:rPr>
          <w:szCs w:val="24"/>
        </w:rPr>
        <w:t>dass</w:t>
      </w:r>
      <w:r w:rsidRPr="00E73F6F">
        <w:rPr>
          <w:spacing w:val="-6"/>
          <w:szCs w:val="24"/>
        </w:rPr>
        <w:t xml:space="preserve"> </w:t>
      </w:r>
      <w:r w:rsidRPr="00E73F6F">
        <w:rPr>
          <w:szCs w:val="24"/>
        </w:rPr>
        <w:t>die</w:t>
      </w:r>
      <w:r w:rsidRPr="00E73F6F">
        <w:rPr>
          <w:spacing w:val="-6"/>
          <w:szCs w:val="24"/>
        </w:rPr>
        <w:t xml:space="preserve"> </w:t>
      </w:r>
      <w:r w:rsidRPr="00E73F6F">
        <w:rPr>
          <w:szCs w:val="24"/>
        </w:rPr>
        <w:t>Probanden</w:t>
      </w:r>
      <w:r w:rsidRPr="00E73F6F">
        <w:rPr>
          <w:spacing w:val="-4"/>
          <w:szCs w:val="24"/>
        </w:rPr>
        <w:t xml:space="preserve"> </w:t>
      </w:r>
      <w:r w:rsidRPr="00E73F6F">
        <w:rPr>
          <w:szCs w:val="24"/>
        </w:rPr>
        <w:t>mit</w:t>
      </w:r>
      <w:r w:rsidRPr="00E73F6F">
        <w:rPr>
          <w:spacing w:val="-5"/>
          <w:szCs w:val="24"/>
        </w:rPr>
        <w:t xml:space="preserve"> </w:t>
      </w:r>
      <w:r w:rsidRPr="00E73F6F">
        <w:rPr>
          <w:szCs w:val="24"/>
        </w:rPr>
        <w:t>ihren Bauchentscheidungen zufriedener waren und diesen mehr vertrauten als den Kopfentscheidungen.</w:t>
      </w:r>
      <w:r w:rsidRPr="00E73F6F">
        <w:rPr>
          <w:spacing w:val="-12"/>
          <w:szCs w:val="24"/>
        </w:rPr>
        <w:t xml:space="preserve"> </w:t>
      </w:r>
      <w:r w:rsidRPr="00E73F6F">
        <w:rPr>
          <w:szCs w:val="24"/>
        </w:rPr>
        <w:t>Als</w:t>
      </w:r>
      <w:r w:rsidRPr="00E73F6F">
        <w:rPr>
          <w:spacing w:val="-11"/>
          <w:szCs w:val="24"/>
        </w:rPr>
        <w:t xml:space="preserve"> </w:t>
      </w:r>
      <w:r w:rsidRPr="00E73F6F">
        <w:rPr>
          <w:szCs w:val="24"/>
        </w:rPr>
        <w:t>schädlich</w:t>
      </w:r>
      <w:r w:rsidRPr="00E73F6F">
        <w:rPr>
          <w:spacing w:val="-11"/>
          <w:szCs w:val="24"/>
        </w:rPr>
        <w:t xml:space="preserve"> </w:t>
      </w:r>
      <w:r w:rsidRPr="00E73F6F">
        <w:rPr>
          <w:szCs w:val="24"/>
        </w:rPr>
        <w:t>erwies</w:t>
      </w:r>
      <w:r w:rsidRPr="00E73F6F">
        <w:rPr>
          <w:spacing w:val="-11"/>
          <w:szCs w:val="24"/>
        </w:rPr>
        <w:t xml:space="preserve"> </w:t>
      </w:r>
      <w:r w:rsidRPr="00E73F6F">
        <w:rPr>
          <w:szCs w:val="24"/>
        </w:rPr>
        <w:t>es</w:t>
      </w:r>
      <w:r w:rsidRPr="00E73F6F">
        <w:rPr>
          <w:spacing w:val="-12"/>
          <w:szCs w:val="24"/>
        </w:rPr>
        <w:t xml:space="preserve"> </w:t>
      </w:r>
      <w:r w:rsidRPr="00E73F6F">
        <w:rPr>
          <w:szCs w:val="24"/>
        </w:rPr>
        <w:t>sich,</w:t>
      </w:r>
      <w:r w:rsidRPr="00E73F6F">
        <w:rPr>
          <w:spacing w:val="-11"/>
          <w:szCs w:val="24"/>
        </w:rPr>
        <w:t xml:space="preserve"> </w:t>
      </w:r>
      <w:r w:rsidRPr="00E73F6F">
        <w:rPr>
          <w:szCs w:val="24"/>
        </w:rPr>
        <w:t>wenn</w:t>
      </w:r>
      <w:r w:rsidRPr="00E73F6F">
        <w:rPr>
          <w:spacing w:val="-11"/>
          <w:szCs w:val="24"/>
        </w:rPr>
        <w:t xml:space="preserve"> </w:t>
      </w:r>
      <w:r w:rsidRPr="00E73F6F">
        <w:rPr>
          <w:szCs w:val="24"/>
        </w:rPr>
        <w:t>die</w:t>
      </w:r>
      <w:r w:rsidRPr="00E73F6F">
        <w:rPr>
          <w:spacing w:val="-11"/>
          <w:szCs w:val="24"/>
        </w:rPr>
        <w:t xml:space="preserve"> </w:t>
      </w:r>
      <w:r w:rsidRPr="00E73F6F">
        <w:rPr>
          <w:szCs w:val="24"/>
        </w:rPr>
        <w:t>Bauchentscheidungen im Nachhinein hinterfragt und kritisch überprüft wurden. Dann sank die Erfolgsquote auf das Niveau der Kopfentscheidung.</w:t>
      </w:r>
    </w:p>
    <w:p w14:paraId="35C2E5F6" w14:textId="77777777" w:rsidR="00FF7799" w:rsidRPr="00287944" w:rsidRDefault="00FF7799" w:rsidP="005B43F5">
      <w:pPr>
        <w:pStyle w:val="StandardText"/>
        <w:rPr>
          <w:sz w:val="22"/>
          <w:szCs w:val="22"/>
        </w:rPr>
      </w:pPr>
      <w:r w:rsidRPr="00E17A2B">
        <w:rPr>
          <w:b/>
          <w:i/>
          <w:sz w:val="22"/>
          <w:szCs w:val="22"/>
        </w:rPr>
        <w:t>Literatur</w:t>
      </w:r>
      <w:r w:rsidRPr="00E17A2B">
        <w:rPr>
          <w:i/>
          <w:sz w:val="22"/>
          <w:szCs w:val="22"/>
        </w:rPr>
        <w:t>:</w:t>
      </w:r>
      <w:r w:rsidRPr="00E17A2B">
        <w:rPr>
          <w:sz w:val="22"/>
          <w:szCs w:val="22"/>
        </w:rPr>
        <w:t xml:space="preserve"> Mikels, J.A.; Maglio, S.J.; Reed, A.E.; Kaplowitz, L.J. (2011): Should I go with</w:t>
      </w:r>
      <w:r w:rsidRPr="00E17A2B">
        <w:rPr>
          <w:spacing w:val="40"/>
          <w:sz w:val="22"/>
          <w:szCs w:val="22"/>
        </w:rPr>
        <w:t xml:space="preserve"> </w:t>
      </w:r>
      <w:r w:rsidRPr="00E17A2B">
        <w:rPr>
          <w:sz w:val="22"/>
          <w:szCs w:val="22"/>
        </w:rPr>
        <w:t xml:space="preserve">my Gut? </w:t>
      </w:r>
      <w:r w:rsidRPr="00287944">
        <w:rPr>
          <w:sz w:val="22"/>
          <w:szCs w:val="22"/>
          <w:lang w:val="en-US"/>
        </w:rPr>
        <w:t>Investigating the Benefits of Emotion-focused Decision Making, Emotion, 11(4):</w:t>
      </w:r>
      <w:r w:rsidRPr="00287944">
        <w:rPr>
          <w:spacing w:val="40"/>
          <w:sz w:val="22"/>
          <w:szCs w:val="22"/>
          <w:lang w:val="en-US"/>
        </w:rPr>
        <w:t xml:space="preserve"> </w:t>
      </w:r>
      <w:r w:rsidRPr="00287944">
        <w:rPr>
          <w:sz w:val="22"/>
          <w:szCs w:val="22"/>
          <w:lang w:val="en-US"/>
        </w:rPr>
        <w:t>743-753.</w:t>
      </w:r>
      <w:r w:rsidRPr="00287944">
        <w:rPr>
          <w:spacing w:val="40"/>
          <w:sz w:val="22"/>
          <w:szCs w:val="22"/>
          <w:lang w:val="en-US"/>
        </w:rPr>
        <w:t xml:space="preserve"> </w:t>
      </w:r>
      <w:r w:rsidRPr="00287944">
        <w:rPr>
          <w:sz w:val="22"/>
          <w:szCs w:val="22"/>
          <w:lang w:val="en-US"/>
        </w:rPr>
        <w:t>Slovic,</w:t>
      </w:r>
      <w:r w:rsidRPr="00287944">
        <w:rPr>
          <w:spacing w:val="-6"/>
          <w:sz w:val="22"/>
          <w:szCs w:val="22"/>
          <w:lang w:val="en-US"/>
        </w:rPr>
        <w:t xml:space="preserve"> </w:t>
      </w:r>
      <w:r w:rsidRPr="00287944">
        <w:rPr>
          <w:sz w:val="22"/>
          <w:szCs w:val="22"/>
          <w:lang w:val="en-US"/>
        </w:rPr>
        <w:t>P.;</w:t>
      </w:r>
      <w:r w:rsidRPr="00287944">
        <w:rPr>
          <w:spacing w:val="-7"/>
          <w:sz w:val="22"/>
          <w:szCs w:val="22"/>
          <w:lang w:val="en-US"/>
        </w:rPr>
        <w:t xml:space="preserve"> </w:t>
      </w:r>
      <w:r w:rsidRPr="00287944">
        <w:rPr>
          <w:sz w:val="22"/>
          <w:szCs w:val="22"/>
          <w:lang w:val="en-US"/>
        </w:rPr>
        <w:t>Finucane,</w:t>
      </w:r>
      <w:r w:rsidRPr="00287944">
        <w:rPr>
          <w:spacing w:val="-8"/>
          <w:sz w:val="22"/>
          <w:szCs w:val="22"/>
          <w:lang w:val="en-US"/>
        </w:rPr>
        <w:t xml:space="preserve"> </w:t>
      </w:r>
      <w:r w:rsidRPr="00287944">
        <w:rPr>
          <w:sz w:val="22"/>
          <w:szCs w:val="22"/>
          <w:lang w:val="en-US"/>
        </w:rPr>
        <w:t>M.;</w:t>
      </w:r>
      <w:r w:rsidRPr="00287944">
        <w:rPr>
          <w:spacing w:val="-7"/>
          <w:sz w:val="22"/>
          <w:szCs w:val="22"/>
          <w:lang w:val="en-US"/>
        </w:rPr>
        <w:t xml:space="preserve"> </w:t>
      </w:r>
      <w:r w:rsidRPr="00287944">
        <w:rPr>
          <w:sz w:val="22"/>
          <w:szCs w:val="22"/>
          <w:lang w:val="en-US"/>
        </w:rPr>
        <w:t>Peters,</w:t>
      </w:r>
      <w:r w:rsidRPr="00287944">
        <w:rPr>
          <w:spacing w:val="-6"/>
          <w:sz w:val="22"/>
          <w:szCs w:val="22"/>
          <w:lang w:val="en-US"/>
        </w:rPr>
        <w:t xml:space="preserve"> </w:t>
      </w:r>
      <w:r w:rsidRPr="00287944">
        <w:rPr>
          <w:sz w:val="22"/>
          <w:szCs w:val="22"/>
          <w:lang w:val="en-US"/>
        </w:rPr>
        <w:t>E.;</w:t>
      </w:r>
      <w:r w:rsidRPr="00287944">
        <w:rPr>
          <w:spacing w:val="-7"/>
          <w:sz w:val="22"/>
          <w:szCs w:val="22"/>
          <w:lang w:val="en-US"/>
        </w:rPr>
        <w:t xml:space="preserve"> </w:t>
      </w:r>
      <w:r w:rsidRPr="00287944">
        <w:rPr>
          <w:sz w:val="22"/>
          <w:szCs w:val="22"/>
          <w:lang w:val="en-US"/>
        </w:rPr>
        <w:t>MacGregor,</w:t>
      </w:r>
      <w:r w:rsidRPr="00287944">
        <w:rPr>
          <w:spacing w:val="-6"/>
          <w:sz w:val="22"/>
          <w:szCs w:val="22"/>
          <w:lang w:val="en-US"/>
        </w:rPr>
        <w:t xml:space="preserve"> </w:t>
      </w:r>
      <w:r w:rsidRPr="00287944">
        <w:rPr>
          <w:sz w:val="22"/>
          <w:szCs w:val="22"/>
          <w:lang w:val="en-US"/>
        </w:rPr>
        <w:t>D.G. (2002):</w:t>
      </w:r>
      <w:r w:rsidRPr="00287944">
        <w:rPr>
          <w:spacing w:val="-6"/>
          <w:sz w:val="22"/>
          <w:szCs w:val="22"/>
          <w:lang w:val="en-US"/>
        </w:rPr>
        <w:t xml:space="preserve"> </w:t>
      </w:r>
      <w:r w:rsidRPr="00287944">
        <w:rPr>
          <w:sz w:val="22"/>
          <w:szCs w:val="22"/>
          <w:lang w:val="en-US"/>
        </w:rPr>
        <w:t>Rational</w:t>
      </w:r>
      <w:r w:rsidRPr="00287944">
        <w:rPr>
          <w:spacing w:val="-3"/>
          <w:sz w:val="22"/>
          <w:szCs w:val="22"/>
          <w:lang w:val="en-US"/>
        </w:rPr>
        <w:t xml:space="preserve"> </w:t>
      </w:r>
      <w:r w:rsidRPr="00287944">
        <w:rPr>
          <w:sz w:val="22"/>
          <w:szCs w:val="22"/>
          <w:lang w:val="en-US"/>
        </w:rPr>
        <w:t>Actors</w:t>
      </w:r>
      <w:r w:rsidRPr="00287944">
        <w:rPr>
          <w:spacing w:val="-7"/>
          <w:sz w:val="22"/>
          <w:szCs w:val="22"/>
          <w:lang w:val="en-US"/>
        </w:rPr>
        <w:t xml:space="preserve"> </w:t>
      </w:r>
      <w:r w:rsidRPr="00287944">
        <w:rPr>
          <w:sz w:val="22"/>
          <w:szCs w:val="22"/>
          <w:lang w:val="en-US"/>
        </w:rPr>
        <w:t>or</w:t>
      </w:r>
      <w:r w:rsidRPr="00287944">
        <w:rPr>
          <w:spacing w:val="40"/>
          <w:sz w:val="22"/>
          <w:szCs w:val="22"/>
          <w:lang w:val="en-US"/>
        </w:rPr>
        <w:t xml:space="preserve"> </w:t>
      </w:r>
      <w:r w:rsidRPr="00287944">
        <w:rPr>
          <w:sz w:val="22"/>
          <w:szCs w:val="22"/>
          <w:lang w:val="en-US"/>
        </w:rPr>
        <w:t>Rational Fools. Implications of the Affect Heuristic for Behavioral Economics, Journal of</w:t>
      </w:r>
      <w:r w:rsidRPr="00287944">
        <w:rPr>
          <w:spacing w:val="40"/>
          <w:sz w:val="22"/>
          <w:szCs w:val="22"/>
          <w:lang w:val="en-US"/>
        </w:rPr>
        <w:t xml:space="preserve"> </w:t>
      </w:r>
      <w:r w:rsidRPr="00287944">
        <w:rPr>
          <w:sz w:val="22"/>
          <w:szCs w:val="22"/>
          <w:lang w:val="en-US"/>
        </w:rPr>
        <w:t>Socio-Economics, 31(4): 329-342.</w:t>
      </w:r>
      <w:r w:rsidRPr="00287944">
        <w:rPr>
          <w:spacing w:val="40"/>
          <w:sz w:val="22"/>
          <w:szCs w:val="22"/>
          <w:lang w:val="en-US"/>
        </w:rPr>
        <w:t xml:space="preserve"> </w:t>
      </w:r>
      <w:r w:rsidRPr="00287944">
        <w:rPr>
          <w:sz w:val="22"/>
          <w:szCs w:val="22"/>
          <w:lang w:val="en-US"/>
        </w:rPr>
        <w:t>Tversky, A.; Kahneman, D. (1983): Extensional versus</w:t>
      </w:r>
      <w:r w:rsidRPr="00287944">
        <w:rPr>
          <w:spacing w:val="40"/>
          <w:sz w:val="22"/>
          <w:szCs w:val="22"/>
          <w:lang w:val="en-US"/>
        </w:rPr>
        <w:t xml:space="preserve"> </w:t>
      </w:r>
      <w:r w:rsidRPr="00287944">
        <w:rPr>
          <w:sz w:val="22"/>
          <w:szCs w:val="22"/>
          <w:lang w:val="en-US"/>
        </w:rPr>
        <w:t>Intuitive Reasoning. The Conjunction Fallacy in Probability Judgment, Psychological</w:t>
      </w:r>
      <w:r w:rsidRPr="00287944">
        <w:rPr>
          <w:spacing w:val="40"/>
          <w:sz w:val="22"/>
          <w:szCs w:val="22"/>
          <w:lang w:val="en-US"/>
        </w:rPr>
        <w:t xml:space="preserve"> </w:t>
      </w:r>
      <w:r w:rsidRPr="00287944">
        <w:rPr>
          <w:sz w:val="22"/>
          <w:szCs w:val="22"/>
          <w:lang w:val="en-US"/>
        </w:rPr>
        <w:t>Review, 90(4): 293-315.</w:t>
      </w:r>
      <w:r w:rsidRPr="00287944">
        <w:rPr>
          <w:spacing w:val="80"/>
          <w:sz w:val="22"/>
          <w:szCs w:val="22"/>
          <w:lang w:val="en-US"/>
        </w:rPr>
        <w:t xml:space="preserve"> </w:t>
      </w:r>
      <w:r w:rsidRPr="00287944">
        <w:rPr>
          <w:sz w:val="22"/>
          <w:szCs w:val="22"/>
        </w:rPr>
        <w:t>Westerhoff, N. (2009): Der gefühlte Preis, Gehirn &amp; Geist, 1-2: 50-</w:t>
      </w:r>
      <w:r w:rsidRPr="00287944">
        <w:rPr>
          <w:spacing w:val="-5"/>
          <w:sz w:val="22"/>
          <w:szCs w:val="22"/>
        </w:rPr>
        <w:t>56.</w:t>
      </w:r>
    </w:p>
    <w:p w14:paraId="10FCD7BA" w14:textId="77777777" w:rsidR="00FF7799" w:rsidRPr="002A223B" w:rsidRDefault="00FF7799" w:rsidP="005B43F5">
      <w:pPr>
        <w:pStyle w:val="StandardText"/>
        <w:rPr>
          <w:sz w:val="22"/>
          <w:szCs w:val="22"/>
        </w:rPr>
      </w:pPr>
    </w:p>
    <w:p w14:paraId="4EECA760" w14:textId="77777777" w:rsidR="00FF7799" w:rsidRPr="00E73F6F" w:rsidRDefault="00FF7799" w:rsidP="00A25134">
      <w:pPr>
        <w:pStyle w:val="berschrift1"/>
      </w:pPr>
      <w:r w:rsidRPr="002B7C99">
        <w:rPr>
          <w:color w:val="2E74B5"/>
          <w:sz w:val="22"/>
        </w:rPr>
        <w:t>Hidden Champions</w:t>
      </w:r>
      <w:r w:rsidRPr="00E73F6F">
        <w:t xml:space="preserve"> </w:t>
      </w:r>
      <w:r w:rsidRPr="00E73F6F">
        <w:rPr>
          <w:b w:val="0"/>
        </w:rPr>
        <w:t>→ Born Globals</w:t>
      </w:r>
      <w:r w:rsidRPr="00E73F6F">
        <w:t xml:space="preserve"> </w:t>
      </w:r>
    </w:p>
    <w:p w14:paraId="67DDFF8A" w14:textId="77777777" w:rsidR="00FF7799" w:rsidRPr="00E73F6F" w:rsidRDefault="00FF7799" w:rsidP="00A25134">
      <w:pPr>
        <w:pStyle w:val="berschrift1"/>
      </w:pPr>
      <w:r w:rsidRPr="0071457A">
        <w:rPr>
          <w:color w:val="2E74B5"/>
          <w:sz w:val="22"/>
        </w:rPr>
        <w:t>Hierarchie</w:t>
      </w:r>
      <w:r w:rsidRPr="00E73F6F">
        <w:rPr>
          <w:spacing w:val="-8"/>
        </w:rPr>
        <w:t xml:space="preserve"> </w:t>
      </w:r>
      <w:r w:rsidRPr="00E73F6F">
        <w:rPr>
          <w:b w:val="0"/>
        </w:rPr>
        <w:t>→</w:t>
      </w:r>
      <w:r w:rsidRPr="00E73F6F">
        <w:rPr>
          <w:b w:val="0"/>
          <w:spacing w:val="-5"/>
        </w:rPr>
        <w:t xml:space="preserve"> </w:t>
      </w:r>
      <w:r w:rsidRPr="00E73F6F">
        <w:rPr>
          <w:b w:val="0"/>
        </w:rPr>
        <w:t>Kulturdimensionen nach Schwartz</w:t>
      </w:r>
    </w:p>
    <w:p w14:paraId="4AA14007" w14:textId="77777777" w:rsidR="00FF7799" w:rsidRPr="0071457A" w:rsidRDefault="00FF7799" w:rsidP="00A25134">
      <w:pPr>
        <w:pStyle w:val="berschrift1"/>
        <w:rPr>
          <w:color w:val="2E74B5"/>
          <w:sz w:val="22"/>
        </w:rPr>
      </w:pPr>
      <w:r w:rsidRPr="0071457A">
        <w:rPr>
          <w:color w:val="2E74B5"/>
          <w:sz w:val="22"/>
        </w:rPr>
        <w:t>Hinduismus</w:t>
      </w:r>
    </w:p>
    <w:p w14:paraId="27221FCA" w14:textId="77777777" w:rsidR="00FF7799" w:rsidRPr="002A223B" w:rsidRDefault="00FF7799" w:rsidP="00EE2354">
      <w:pPr>
        <w:pStyle w:val="StandardTextkursiv"/>
        <w:rPr>
          <w:i w:val="0"/>
        </w:rPr>
      </w:pPr>
      <w:r w:rsidRPr="002A223B">
        <w:rPr>
          <w:i w:val="0"/>
        </w:rPr>
        <w:t>1 Geschichte</w:t>
      </w:r>
    </w:p>
    <w:p w14:paraId="632A5AA7" w14:textId="77777777" w:rsidR="00FF7799" w:rsidRPr="00E73F6F" w:rsidRDefault="00FF7799" w:rsidP="00EE2354">
      <w:pPr>
        <w:pStyle w:val="StandardText"/>
      </w:pPr>
      <w:r w:rsidRPr="00E73F6F">
        <w:lastRenderedPageBreak/>
        <w:t>Eingeführt</w:t>
      </w:r>
      <w:r w:rsidRPr="00E73F6F">
        <w:rPr>
          <w:spacing w:val="-3"/>
        </w:rPr>
        <w:t xml:space="preserve"> </w:t>
      </w:r>
      <w:r w:rsidRPr="00E73F6F">
        <w:t>wurde</w:t>
      </w:r>
      <w:r w:rsidRPr="00E73F6F">
        <w:rPr>
          <w:spacing w:val="-3"/>
        </w:rPr>
        <w:t xml:space="preserve"> </w:t>
      </w:r>
      <w:r w:rsidRPr="00E73F6F">
        <w:t>die</w:t>
      </w:r>
      <w:r w:rsidRPr="00E73F6F">
        <w:rPr>
          <w:spacing w:val="-3"/>
        </w:rPr>
        <w:t xml:space="preserve"> </w:t>
      </w:r>
      <w:r w:rsidRPr="00E73F6F">
        <w:t>Bezeichnung „Hinduismus“</w:t>
      </w:r>
      <w:r w:rsidRPr="00E73F6F">
        <w:rPr>
          <w:spacing w:val="-3"/>
        </w:rPr>
        <w:t xml:space="preserve"> </w:t>
      </w:r>
      <w:r w:rsidRPr="00E73F6F">
        <w:t>von Christen</w:t>
      </w:r>
      <w:r w:rsidRPr="00E73F6F">
        <w:rPr>
          <w:spacing w:val="-4"/>
        </w:rPr>
        <w:t xml:space="preserve"> </w:t>
      </w:r>
      <w:r w:rsidRPr="00E73F6F">
        <w:t>und</w:t>
      </w:r>
      <w:r w:rsidRPr="00E73F6F">
        <w:rPr>
          <w:spacing w:val="-3"/>
        </w:rPr>
        <w:t xml:space="preserve"> </w:t>
      </w:r>
      <w:r w:rsidRPr="00E73F6F">
        <w:t>Muslimen.</w:t>
      </w:r>
      <w:r w:rsidRPr="00E73F6F">
        <w:rPr>
          <w:spacing w:val="-3"/>
        </w:rPr>
        <w:t xml:space="preserve"> </w:t>
      </w:r>
      <w:r w:rsidRPr="00E73F6F">
        <w:t xml:space="preserve">In Anspielung auf den Fluss Indus wollten sie damit die in dessen Einzugsgebiet lebenden Heiden bzw. Ungläubigen als „Nicht-Christen“ oder „Nicht-Muslime“ ausgrenzen (vgl. Schreiner 1995, S.482ff.). Im Sanskrit oder in anderen der in Indien gesprochenen Sprachen hat der Begriff keine Entsprechung. Mittlerweile dient Hinduismus als Oberbegriff für die auf dem indischen Subkontinent verbreiteten religiösen Praktiken, philosophischen Traditionen und regionalen Kulte. Inder selbst sprechen von 'sanatana ahmara': der ewigen Religion. Der Hinduismus gilt als ältestes Religionssystem der Welt, dessen Vorläufer (Erfahrungs- bzw. Volksreligionen) bis 1800 v. Chr. </w:t>
      </w:r>
      <w:r w:rsidR="00BD3D32" w:rsidRPr="00E73F6F">
        <w:t>zurückreichen</w:t>
      </w:r>
      <w:r w:rsidRPr="00E73F6F">
        <w:t>. Er ist das Extrembeispiel einer polytheistischen Religion. Denn in den verschiedenen Regionen des Subkontinents und sozialen Schichten der Bevölkerung werden insgesamt annähernd 300 Mio. Götter verehrt.</w:t>
      </w:r>
    </w:p>
    <w:p w14:paraId="6AE4A370" w14:textId="77777777" w:rsidR="00FF7799" w:rsidRPr="00E73F6F" w:rsidRDefault="00FF7799" w:rsidP="00EE2354">
      <w:pPr>
        <w:pStyle w:val="StandardText"/>
      </w:pPr>
      <w:r w:rsidRPr="00E73F6F">
        <w:t>„Der</w:t>
      </w:r>
      <w:r w:rsidRPr="00E73F6F">
        <w:rPr>
          <w:spacing w:val="-9"/>
        </w:rPr>
        <w:t xml:space="preserve"> </w:t>
      </w:r>
      <w:r w:rsidRPr="00E73F6F">
        <w:t>Beginn</w:t>
      </w:r>
      <w:r w:rsidRPr="00E73F6F">
        <w:rPr>
          <w:spacing w:val="-8"/>
        </w:rPr>
        <w:t xml:space="preserve"> </w:t>
      </w:r>
      <w:r w:rsidRPr="00E73F6F">
        <w:t>des</w:t>
      </w:r>
      <w:r w:rsidRPr="00E73F6F">
        <w:rPr>
          <w:spacing w:val="-10"/>
        </w:rPr>
        <w:t xml:space="preserve"> </w:t>
      </w:r>
      <w:r w:rsidRPr="00E73F6F">
        <w:t>Hinduismus</w:t>
      </w:r>
      <w:r w:rsidRPr="00E73F6F">
        <w:rPr>
          <w:spacing w:val="-10"/>
        </w:rPr>
        <w:t xml:space="preserve"> </w:t>
      </w:r>
      <w:r w:rsidRPr="00E73F6F">
        <w:t>wird</w:t>
      </w:r>
      <w:r w:rsidRPr="00E73F6F">
        <w:rPr>
          <w:spacing w:val="-8"/>
        </w:rPr>
        <w:t xml:space="preserve"> </w:t>
      </w:r>
      <w:r w:rsidRPr="00E73F6F">
        <w:t>auf</w:t>
      </w:r>
      <w:r w:rsidRPr="00E73F6F">
        <w:rPr>
          <w:spacing w:val="-9"/>
        </w:rPr>
        <w:t xml:space="preserve"> </w:t>
      </w:r>
      <w:r w:rsidRPr="00E73F6F">
        <w:t>die</w:t>
      </w:r>
      <w:r w:rsidRPr="00E73F6F">
        <w:rPr>
          <w:spacing w:val="-9"/>
        </w:rPr>
        <w:t xml:space="preserve"> </w:t>
      </w:r>
      <w:r w:rsidRPr="00E73F6F">
        <w:t>Zeit</w:t>
      </w:r>
      <w:r w:rsidRPr="00E73F6F">
        <w:rPr>
          <w:spacing w:val="-11"/>
        </w:rPr>
        <w:t xml:space="preserve"> </w:t>
      </w:r>
      <w:r w:rsidRPr="00E73F6F">
        <w:t>der</w:t>
      </w:r>
      <w:r w:rsidRPr="00E73F6F">
        <w:rPr>
          <w:spacing w:val="-9"/>
        </w:rPr>
        <w:t xml:space="preserve"> </w:t>
      </w:r>
      <w:r w:rsidRPr="00E73F6F">
        <w:t>Upanishaden</w:t>
      </w:r>
      <w:r w:rsidRPr="00E73F6F">
        <w:rPr>
          <w:spacing w:val="-8"/>
        </w:rPr>
        <w:t xml:space="preserve"> </w:t>
      </w:r>
      <w:r w:rsidRPr="00E73F6F">
        <w:t>(etwa</w:t>
      </w:r>
      <w:r w:rsidRPr="00E73F6F">
        <w:rPr>
          <w:spacing w:val="-10"/>
        </w:rPr>
        <w:t xml:space="preserve"> </w:t>
      </w:r>
      <w:r w:rsidRPr="00E73F6F">
        <w:t>600</w:t>
      </w:r>
      <w:r w:rsidRPr="00E73F6F">
        <w:rPr>
          <w:spacing w:val="-10"/>
        </w:rPr>
        <w:t xml:space="preserve"> </w:t>
      </w:r>
      <w:r w:rsidRPr="00E73F6F">
        <w:t>v.</w:t>
      </w:r>
      <w:r w:rsidRPr="00E73F6F">
        <w:rPr>
          <w:spacing w:val="-9"/>
        </w:rPr>
        <w:t xml:space="preserve"> </w:t>
      </w:r>
      <w:r w:rsidRPr="00E73F6F">
        <w:t>Chr.) datiert. Historisch gesehen entwickelte sich die Lehre in Auseinandersetzung mit der</w:t>
      </w:r>
      <w:r w:rsidRPr="00E73F6F">
        <w:rPr>
          <w:spacing w:val="-4"/>
        </w:rPr>
        <w:t xml:space="preserve"> </w:t>
      </w:r>
      <w:r w:rsidRPr="00E73F6F">
        <w:t>vedischen</w:t>
      </w:r>
      <w:r w:rsidRPr="00E73F6F">
        <w:rPr>
          <w:spacing w:val="-3"/>
        </w:rPr>
        <w:t xml:space="preserve"> </w:t>
      </w:r>
      <w:r w:rsidRPr="00E73F6F">
        <w:t>Religion</w:t>
      </w:r>
      <w:r w:rsidRPr="00E73F6F">
        <w:rPr>
          <w:spacing w:val="-3"/>
        </w:rPr>
        <w:t xml:space="preserve"> </w:t>
      </w:r>
      <w:r w:rsidRPr="00E73F6F">
        <w:t>der</w:t>
      </w:r>
      <w:r w:rsidRPr="00E73F6F">
        <w:rPr>
          <w:spacing w:val="-4"/>
        </w:rPr>
        <w:t xml:space="preserve"> </w:t>
      </w:r>
      <w:r w:rsidRPr="00E73F6F">
        <w:t>etwa</w:t>
      </w:r>
      <w:r w:rsidRPr="00E73F6F">
        <w:rPr>
          <w:spacing w:val="-5"/>
        </w:rPr>
        <w:t xml:space="preserve"> </w:t>
      </w:r>
      <w:r w:rsidRPr="00E73F6F">
        <w:t>2000</w:t>
      </w:r>
      <w:r w:rsidRPr="00E73F6F">
        <w:rPr>
          <w:spacing w:val="-6"/>
        </w:rPr>
        <w:t xml:space="preserve"> </w:t>
      </w:r>
      <w:r w:rsidRPr="00E73F6F">
        <w:t>v.</w:t>
      </w:r>
      <w:r w:rsidRPr="00E73F6F">
        <w:rPr>
          <w:spacing w:val="-4"/>
        </w:rPr>
        <w:t xml:space="preserve"> </w:t>
      </w:r>
      <w:r w:rsidRPr="00E73F6F">
        <w:t>Chr.</w:t>
      </w:r>
      <w:r w:rsidRPr="00E73F6F">
        <w:rPr>
          <w:spacing w:val="-4"/>
        </w:rPr>
        <w:t xml:space="preserve"> </w:t>
      </w:r>
      <w:r w:rsidRPr="00E73F6F">
        <w:t>eingewanderten</w:t>
      </w:r>
      <w:r w:rsidRPr="00E73F6F">
        <w:rPr>
          <w:spacing w:val="-4"/>
        </w:rPr>
        <w:t xml:space="preserve"> </w:t>
      </w:r>
      <w:r w:rsidRPr="00E73F6F">
        <w:t>Arier</w:t>
      </w:r>
      <w:r w:rsidRPr="00E73F6F">
        <w:rPr>
          <w:spacing w:val="-4"/>
        </w:rPr>
        <w:t xml:space="preserve"> </w:t>
      </w:r>
      <w:r w:rsidRPr="00E73F6F">
        <w:t>einerseits</w:t>
      </w:r>
      <w:r w:rsidRPr="00E73F6F">
        <w:rPr>
          <w:spacing w:val="-5"/>
        </w:rPr>
        <w:t xml:space="preserve"> </w:t>
      </w:r>
      <w:r w:rsidRPr="00E73F6F">
        <w:t>und den Erlösungslehren der Upanishaden, des Buddhismus und Jainismus andererseits. Dabei verbanden sich die aus der vedischen Tradition stammende Forderung nach dem Erhalt der Opfergemeinschaft sowie die Konzeption einer dieser</w:t>
      </w:r>
      <w:r w:rsidRPr="00E73F6F">
        <w:rPr>
          <w:spacing w:val="-4"/>
        </w:rPr>
        <w:t xml:space="preserve"> </w:t>
      </w:r>
      <w:r w:rsidRPr="00E73F6F">
        <w:t>Gemeinschaft</w:t>
      </w:r>
      <w:r w:rsidRPr="00E73F6F">
        <w:rPr>
          <w:spacing w:val="-4"/>
        </w:rPr>
        <w:t xml:space="preserve"> </w:t>
      </w:r>
      <w:r w:rsidRPr="00E73F6F">
        <w:t>erhaltenden</w:t>
      </w:r>
      <w:r w:rsidRPr="00E73F6F">
        <w:rPr>
          <w:spacing w:val="-4"/>
        </w:rPr>
        <w:t xml:space="preserve"> </w:t>
      </w:r>
      <w:r w:rsidRPr="00E73F6F">
        <w:t>Weltordnung</w:t>
      </w:r>
      <w:r w:rsidRPr="00E73F6F">
        <w:rPr>
          <w:spacing w:val="-4"/>
        </w:rPr>
        <w:t xml:space="preserve"> </w:t>
      </w:r>
      <w:r w:rsidRPr="00E73F6F">
        <w:t>mit</w:t>
      </w:r>
      <w:r w:rsidRPr="00E73F6F">
        <w:rPr>
          <w:spacing w:val="-5"/>
        </w:rPr>
        <w:t xml:space="preserve"> </w:t>
      </w:r>
      <w:r w:rsidRPr="00E73F6F">
        <w:t>dem</w:t>
      </w:r>
      <w:r w:rsidRPr="00E73F6F">
        <w:rPr>
          <w:spacing w:val="-4"/>
        </w:rPr>
        <w:t xml:space="preserve"> </w:t>
      </w:r>
      <w:r w:rsidRPr="00E73F6F">
        <w:t>vor</w:t>
      </w:r>
      <w:r w:rsidRPr="00E73F6F">
        <w:rPr>
          <w:spacing w:val="-4"/>
        </w:rPr>
        <w:t xml:space="preserve"> </w:t>
      </w:r>
      <w:r w:rsidRPr="00E73F6F">
        <w:t>allem</w:t>
      </w:r>
      <w:r w:rsidRPr="00E73F6F">
        <w:rPr>
          <w:spacing w:val="-4"/>
        </w:rPr>
        <w:t xml:space="preserve"> </w:t>
      </w:r>
      <w:r w:rsidRPr="00E73F6F">
        <w:t>im</w:t>
      </w:r>
      <w:r w:rsidRPr="00E73F6F">
        <w:rPr>
          <w:spacing w:val="-4"/>
        </w:rPr>
        <w:t xml:space="preserve"> </w:t>
      </w:r>
      <w:r w:rsidRPr="00E73F6F">
        <w:t>Buddhismus formulierten</w:t>
      </w:r>
      <w:r w:rsidRPr="00E73F6F">
        <w:rPr>
          <w:spacing w:val="-8"/>
        </w:rPr>
        <w:t xml:space="preserve"> </w:t>
      </w:r>
      <w:r w:rsidRPr="00E73F6F">
        <w:t>Streben</w:t>
      </w:r>
      <w:r w:rsidRPr="00E73F6F">
        <w:rPr>
          <w:spacing w:val="-8"/>
        </w:rPr>
        <w:t xml:space="preserve"> </w:t>
      </w:r>
      <w:r w:rsidRPr="00E73F6F">
        <w:t>nach</w:t>
      </w:r>
      <w:r w:rsidRPr="00E73F6F">
        <w:rPr>
          <w:spacing w:val="-6"/>
        </w:rPr>
        <w:t xml:space="preserve"> </w:t>
      </w:r>
      <w:r w:rsidRPr="00E73F6F">
        <w:t>Erlösung</w:t>
      </w:r>
      <w:r w:rsidRPr="00E73F6F">
        <w:rPr>
          <w:spacing w:val="-8"/>
        </w:rPr>
        <w:t xml:space="preserve"> </w:t>
      </w:r>
      <w:r w:rsidRPr="00E73F6F">
        <w:t>von</w:t>
      </w:r>
      <w:r w:rsidRPr="00E73F6F">
        <w:rPr>
          <w:spacing w:val="-8"/>
        </w:rPr>
        <w:t xml:space="preserve"> </w:t>
      </w:r>
      <w:r w:rsidRPr="00E73F6F">
        <w:t>der</w:t>
      </w:r>
      <w:r w:rsidRPr="00E73F6F">
        <w:rPr>
          <w:spacing w:val="-9"/>
        </w:rPr>
        <w:t xml:space="preserve"> </w:t>
      </w:r>
      <w:r w:rsidRPr="00E73F6F">
        <w:t>Welt,</w:t>
      </w:r>
      <w:r w:rsidRPr="00E73F6F">
        <w:rPr>
          <w:spacing w:val="-9"/>
        </w:rPr>
        <w:t xml:space="preserve"> </w:t>
      </w:r>
      <w:r w:rsidRPr="00E73F6F">
        <w:t>d.h.</w:t>
      </w:r>
      <w:r w:rsidRPr="00E73F6F">
        <w:rPr>
          <w:spacing w:val="-9"/>
        </w:rPr>
        <w:t xml:space="preserve"> </w:t>
      </w:r>
      <w:r w:rsidRPr="00E73F6F">
        <w:t>vom</w:t>
      </w:r>
      <w:r w:rsidRPr="00E73F6F">
        <w:rPr>
          <w:spacing w:val="-10"/>
        </w:rPr>
        <w:t xml:space="preserve"> </w:t>
      </w:r>
      <w:r w:rsidRPr="00E73F6F">
        <w:t>Kreislauf</w:t>
      </w:r>
      <w:r w:rsidRPr="00E73F6F">
        <w:rPr>
          <w:spacing w:val="-7"/>
        </w:rPr>
        <w:t xml:space="preserve"> </w:t>
      </w:r>
      <w:r w:rsidRPr="00E73F6F">
        <w:t>von</w:t>
      </w:r>
      <w:r w:rsidRPr="00E73F6F">
        <w:rPr>
          <w:spacing w:val="-6"/>
        </w:rPr>
        <w:t xml:space="preserve"> </w:t>
      </w:r>
      <w:r w:rsidRPr="00E73F6F">
        <w:t>Tod</w:t>
      </w:r>
      <w:r w:rsidRPr="00E73F6F">
        <w:rPr>
          <w:spacing w:val="-8"/>
        </w:rPr>
        <w:t xml:space="preserve"> </w:t>
      </w:r>
      <w:r w:rsidRPr="00E73F6F">
        <w:t>und Geburt“ (o.V. 2004, S.252). Hinzu kommt erstmals die Idee eines persönlichen Gottes. Deshalb sind für das religiöse Leben der Hindus neben rituellen und meditativen Praktiken auch spirituelle Praktiken bedeutsam: die Liebe zu Gott ('bhakti'). Eine weitere Vorstufe des Hinduismus war der (spätvedische) Brahamanismus, der vor allem von 800 v. Chr. bis 500 v. Chr. den indischen Subkontinent beeinflusste.</w:t>
      </w:r>
    </w:p>
    <w:p w14:paraId="605EF9AB" w14:textId="77777777" w:rsidR="00FF7799" w:rsidRPr="00E73F6F" w:rsidRDefault="00FF7799" w:rsidP="00EE2354">
      <w:pPr>
        <w:pStyle w:val="StandardText"/>
      </w:pPr>
    </w:p>
    <w:p w14:paraId="369D0A3C" w14:textId="77777777" w:rsidR="00FF7799" w:rsidRPr="002A223B" w:rsidRDefault="00FF7799" w:rsidP="00EE2354">
      <w:pPr>
        <w:pStyle w:val="StandardTextkursiv"/>
        <w:rPr>
          <w:i w:val="0"/>
        </w:rPr>
      </w:pPr>
      <w:r w:rsidRPr="002A223B">
        <w:rPr>
          <w:i w:val="0"/>
        </w:rPr>
        <w:t>2 Lehrsatz und Symbol</w:t>
      </w:r>
    </w:p>
    <w:p w14:paraId="419E75F7" w14:textId="77777777" w:rsidR="00FF7799" w:rsidRDefault="00FF7799" w:rsidP="00EE2354">
      <w:pPr>
        <w:pStyle w:val="StandardText"/>
      </w:pPr>
      <w:r w:rsidRPr="00E73F6F">
        <w:t>Der</w:t>
      </w:r>
      <w:r w:rsidRPr="00E73F6F">
        <w:rPr>
          <w:spacing w:val="-6"/>
        </w:rPr>
        <w:t xml:space="preserve"> </w:t>
      </w:r>
      <w:r w:rsidRPr="00E73F6F">
        <w:t>Schlüsselsatz</w:t>
      </w:r>
      <w:r w:rsidRPr="00E73F6F">
        <w:rPr>
          <w:spacing w:val="-7"/>
        </w:rPr>
        <w:t xml:space="preserve"> </w:t>
      </w:r>
      <w:r w:rsidRPr="00E73F6F">
        <w:t>des</w:t>
      </w:r>
      <w:r w:rsidRPr="00E73F6F">
        <w:rPr>
          <w:spacing w:val="-7"/>
        </w:rPr>
        <w:t xml:space="preserve"> </w:t>
      </w:r>
      <w:r w:rsidRPr="00E73F6F">
        <w:t>Hinduismus</w:t>
      </w:r>
      <w:r w:rsidRPr="00E73F6F">
        <w:rPr>
          <w:spacing w:val="-7"/>
        </w:rPr>
        <w:t xml:space="preserve"> </w:t>
      </w:r>
      <w:r w:rsidRPr="00E73F6F">
        <w:t>entstammt</w:t>
      </w:r>
      <w:r w:rsidRPr="00E73F6F">
        <w:rPr>
          <w:spacing w:val="-6"/>
        </w:rPr>
        <w:t xml:space="preserve"> </w:t>
      </w:r>
      <w:r w:rsidRPr="00E73F6F">
        <w:t>der</w:t>
      </w:r>
      <w:r w:rsidRPr="00E73F6F">
        <w:rPr>
          <w:spacing w:val="-4"/>
        </w:rPr>
        <w:t xml:space="preserve"> </w:t>
      </w:r>
      <w:r w:rsidRPr="00E73F6F">
        <w:t>Bhagavadgita:</w:t>
      </w:r>
      <w:r w:rsidRPr="00E73F6F">
        <w:rPr>
          <w:spacing w:val="-6"/>
        </w:rPr>
        <w:t xml:space="preserve"> </w:t>
      </w:r>
      <w:r w:rsidRPr="00E73F6F">
        <w:t>„Es</w:t>
      </w:r>
      <w:r w:rsidRPr="00E73F6F">
        <w:rPr>
          <w:spacing w:val="-7"/>
        </w:rPr>
        <w:t xml:space="preserve"> </w:t>
      </w:r>
      <w:r w:rsidRPr="00E73F6F">
        <w:t>wandeln</w:t>
      </w:r>
      <w:r w:rsidRPr="00E73F6F">
        <w:rPr>
          <w:spacing w:val="-7"/>
        </w:rPr>
        <w:t xml:space="preserve"> </w:t>
      </w:r>
      <w:r w:rsidRPr="00E73F6F">
        <w:t>sich Jugend</w:t>
      </w:r>
      <w:r w:rsidRPr="00E73F6F">
        <w:rPr>
          <w:spacing w:val="-12"/>
        </w:rPr>
        <w:t xml:space="preserve"> </w:t>
      </w:r>
      <w:r w:rsidRPr="00E73F6F">
        <w:t>und</w:t>
      </w:r>
      <w:r w:rsidRPr="00E73F6F">
        <w:rPr>
          <w:spacing w:val="-11"/>
        </w:rPr>
        <w:t xml:space="preserve"> </w:t>
      </w:r>
      <w:r w:rsidRPr="00E73F6F">
        <w:t>Leben,</w:t>
      </w:r>
      <w:r w:rsidRPr="00E73F6F">
        <w:rPr>
          <w:spacing w:val="-11"/>
        </w:rPr>
        <w:t xml:space="preserve"> </w:t>
      </w:r>
      <w:r w:rsidRPr="00E73F6F">
        <w:t>die</w:t>
      </w:r>
      <w:r w:rsidRPr="00E73F6F">
        <w:rPr>
          <w:spacing w:val="-11"/>
        </w:rPr>
        <w:t xml:space="preserve"> </w:t>
      </w:r>
      <w:r w:rsidRPr="00E73F6F">
        <w:t>Schicksalskurve</w:t>
      </w:r>
      <w:r w:rsidRPr="00E73F6F">
        <w:rPr>
          <w:spacing w:val="-12"/>
        </w:rPr>
        <w:t xml:space="preserve"> </w:t>
      </w:r>
      <w:r w:rsidRPr="00E73F6F">
        <w:t>fällt,</w:t>
      </w:r>
      <w:r w:rsidRPr="00E73F6F">
        <w:rPr>
          <w:spacing w:val="-11"/>
        </w:rPr>
        <w:t xml:space="preserve"> </w:t>
      </w:r>
      <w:r w:rsidRPr="00E73F6F">
        <w:t>nur</w:t>
      </w:r>
      <w:r w:rsidRPr="00E73F6F">
        <w:rPr>
          <w:spacing w:val="-11"/>
        </w:rPr>
        <w:t xml:space="preserve"> </w:t>
      </w:r>
      <w:r w:rsidRPr="00E73F6F">
        <w:t>eines</w:t>
      </w:r>
      <w:r w:rsidRPr="00E73F6F">
        <w:rPr>
          <w:spacing w:val="-11"/>
        </w:rPr>
        <w:t xml:space="preserve"> </w:t>
      </w:r>
      <w:r w:rsidRPr="00E73F6F">
        <w:t>steht</w:t>
      </w:r>
      <w:r w:rsidRPr="00E73F6F">
        <w:rPr>
          <w:spacing w:val="-12"/>
        </w:rPr>
        <w:t xml:space="preserve"> </w:t>
      </w:r>
      <w:r w:rsidRPr="00E73F6F">
        <w:t>fest</w:t>
      </w:r>
      <w:r w:rsidRPr="00E73F6F">
        <w:rPr>
          <w:spacing w:val="-11"/>
        </w:rPr>
        <w:t xml:space="preserve"> </w:t>
      </w:r>
      <w:r w:rsidRPr="00E73F6F">
        <w:t>im</w:t>
      </w:r>
      <w:r w:rsidRPr="00E73F6F">
        <w:rPr>
          <w:spacing w:val="-11"/>
        </w:rPr>
        <w:t xml:space="preserve"> </w:t>
      </w:r>
      <w:r w:rsidRPr="00E73F6F">
        <w:t>Kreislauf</w:t>
      </w:r>
      <w:r w:rsidRPr="00E73F6F">
        <w:rPr>
          <w:spacing w:val="-11"/>
        </w:rPr>
        <w:t xml:space="preserve"> </w:t>
      </w:r>
      <w:r w:rsidRPr="00E73F6F">
        <w:t>steten Werdens: das große sittliche Gesetz der Welt.“ OM bedeutet: Atem des Mundes, die Sonne, die Lebenskraft des Menschen und der Welt sowie in letzter Konsequenz das Göttliche. Wie Abb. 1 zu entnehmen ist, wird es durch drei miteinander verbundene Kurven symbolisiert (für die verschiedenen Zustände des menschlichen</w:t>
      </w:r>
      <w:r w:rsidRPr="00E73F6F">
        <w:rPr>
          <w:spacing w:val="-8"/>
        </w:rPr>
        <w:t xml:space="preserve"> </w:t>
      </w:r>
      <w:r w:rsidRPr="00E73F6F">
        <w:t>Bewusstseins:</w:t>
      </w:r>
      <w:r w:rsidRPr="00E73F6F">
        <w:rPr>
          <w:spacing w:val="-9"/>
        </w:rPr>
        <w:t xml:space="preserve"> </w:t>
      </w:r>
      <w:r w:rsidRPr="00E73F6F">
        <w:t>Wachen,</w:t>
      </w:r>
      <w:r w:rsidRPr="00E73F6F">
        <w:rPr>
          <w:spacing w:val="-8"/>
        </w:rPr>
        <w:t xml:space="preserve"> </w:t>
      </w:r>
      <w:r w:rsidRPr="00E73F6F">
        <w:t>Träumen</w:t>
      </w:r>
      <w:r w:rsidRPr="00E73F6F">
        <w:rPr>
          <w:spacing w:val="-10"/>
        </w:rPr>
        <w:t xml:space="preserve"> </w:t>
      </w:r>
      <w:r w:rsidRPr="00E73F6F">
        <w:t>und</w:t>
      </w:r>
      <w:r w:rsidRPr="00E73F6F">
        <w:rPr>
          <w:spacing w:val="-8"/>
        </w:rPr>
        <w:t xml:space="preserve"> </w:t>
      </w:r>
      <w:r w:rsidRPr="00E73F6F">
        <w:t>Tiefschlaf)</w:t>
      </w:r>
      <w:r w:rsidRPr="00E73F6F">
        <w:rPr>
          <w:spacing w:val="-9"/>
        </w:rPr>
        <w:t xml:space="preserve"> </w:t>
      </w:r>
      <w:r w:rsidRPr="00E73F6F">
        <w:t>sowie</w:t>
      </w:r>
      <w:r w:rsidRPr="00E73F6F">
        <w:rPr>
          <w:spacing w:val="-9"/>
        </w:rPr>
        <w:t xml:space="preserve"> </w:t>
      </w:r>
      <w:r w:rsidRPr="00E73F6F">
        <w:t>durch</w:t>
      </w:r>
      <w:r w:rsidRPr="00E73F6F">
        <w:rPr>
          <w:spacing w:val="-8"/>
        </w:rPr>
        <w:t xml:space="preserve"> </w:t>
      </w:r>
      <w:r w:rsidRPr="00E73F6F">
        <w:t>einen angedeuteten Halbkreis und einen Punkt (für das absolute Bewusstsein).</w:t>
      </w:r>
    </w:p>
    <w:p w14:paraId="22B114CF" w14:textId="77777777" w:rsidR="00C76DC3" w:rsidRPr="00E73F6F" w:rsidRDefault="00C76DC3" w:rsidP="00EE2354">
      <w:pPr>
        <w:pStyle w:val="StandardText"/>
      </w:pPr>
    </w:p>
    <w:p w14:paraId="77205A38" w14:textId="77777777" w:rsidR="00FF7799" w:rsidRPr="00C76DC3" w:rsidRDefault="00FF7799" w:rsidP="00EE2354">
      <w:pPr>
        <w:pStyle w:val="BeschriftungTab"/>
        <w:rPr>
          <w:i/>
          <w:iCs/>
        </w:rPr>
      </w:pPr>
      <w:r w:rsidRPr="00C76DC3">
        <w:rPr>
          <w:i/>
          <w:iCs/>
        </w:rPr>
        <w:t>Abb.</w:t>
      </w:r>
      <w:r w:rsidRPr="00C76DC3">
        <w:rPr>
          <w:i/>
          <w:iCs/>
          <w:spacing w:val="-1"/>
        </w:rPr>
        <w:t xml:space="preserve"> </w:t>
      </w:r>
      <w:r w:rsidRPr="00C76DC3">
        <w:rPr>
          <w:i/>
          <w:iCs/>
        </w:rPr>
        <w:t>1:</w:t>
      </w:r>
      <w:r w:rsidRPr="00C76DC3">
        <w:rPr>
          <w:i/>
          <w:iCs/>
          <w:spacing w:val="2"/>
        </w:rPr>
        <w:t xml:space="preserve"> </w:t>
      </w:r>
      <w:r w:rsidRPr="00C76DC3">
        <w:rPr>
          <w:i/>
          <w:iCs/>
          <w:spacing w:val="-5"/>
        </w:rPr>
        <w:t>Om</w:t>
      </w:r>
    </w:p>
    <w:p w14:paraId="2F322037" w14:textId="77777777" w:rsidR="00FF7799" w:rsidRPr="00E73F6F" w:rsidRDefault="00FF7799" w:rsidP="00862DBA">
      <w:pPr>
        <w:spacing w:before="4"/>
        <w:rPr>
          <w:sz w:val="24"/>
          <w:szCs w:val="24"/>
        </w:rPr>
      </w:pPr>
      <w:r w:rsidRPr="00E73F6F">
        <w:rPr>
          <w:noProof/>
          <w:sz w:val="24"/>
          <w:szCs w:val="24"/>
          <w:lang w:eastAsia="de-DE"/>
        </w:rPr>
        <w:lastRenderedPageBreak/>
        <mc:AlternateContent>
          <mc:Choice Requires="wpg">
            <w:drawing>
              <wp:inline distT="0" distB="0" distL="0" distR="0" wp14:anchorId="52F804A3" wp14:editId="0FD6BD01">
                <wp:extent cx="5745193" cy="3263349"/>
                <wp:effectExtent l="0" t="0" r="8255" b="0"/>
                <wp:docPr id="2296172" name="Group 9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45193" cy="3263349"/>
                          <a:chOff x="0" y="0"/>
                          <a:chExt cx="3692525" cy="2097405"/>
                        </a:xfrm>
                      </wpg:grpSpPr>
                      <pic:pic xmlns:pic="http://schemas.openxmlformats.org/drawingml/2006/picture">
                        <pic:nvPicPr>
                          <pic:cNvPr id="2296173" name="Image 947"/>
                          <pic:cNvPicPr/>
                        </pic:nvPicPr>
                        <pic:blipFill>
                          <a:blip r:embed="rId60" cstate="print"/>
                          <a:stretch>
                            <a:fillRect/>
                          </a:stretch>
                        </pic:blipFill>
                        <pic:spPr>
                          <a:xfrm>
                            <a:off x="834720" y="35806"/>
                            <a:ext cx="1981378" cy="1962418"/>
                          </a:xfrm>
                          <a:prstGeom prst="rect">
                            <a:avLst/>
                          </a:prstGeom>
                        </pic:spPr>
                      </pic:pic>
                      <wps:wsp>
                        <wps:cNvPr id="2296174" name="Graphic 948"/>
                        <wps:cNvSpPr/>
                        <wps:spPr>
                          <a:xfrm>
                            <a:off x="0" y="0"/>
                            <a:ext cx="3692525" cy="2097405"/>
                          </a:xfrm>
                          <a:custGeom>
                            <a:avLst/>
                            <a:gdLst/>
                            <a:ahLst/>
                            <a:cxnLst/>
                            <a:rect l="l" t="t" r="r" b="b"/>
                            <a:pathLst>
                              <a:path w="3692525" h="2097405">
                                <a:moveTo>
                                  <a:pt x="3685921" y="2091309"/>
                                </a:moveTo>
                                <a:lnTo>
                                  <a:pt x="6096" y="2091309"/>
                                </a:lnTo>
                                <a:lnTo>
                                  <a:pt x="6096" y="6223"/>
                                </a:lnTo>
                                <a:lnTo>
                                  <a:pt x="0" y="6223"/>
                                </a:lnTo>
                                <a:lnTo>
                                  <a:pt x="0" y="2091309"/>
                                </a:lnTo>
                                <a:lnTo>
                                  <a:pt x="0" y="2097405"/>
                                </a:lnTo>
                                <a:lnTo>
                                  <a:pt x="6096" y="2097405"/>
                                </a:lnTo>
                                <a:lnTo>
                                  <a:pt x="3685921" y="2097405"/>
                                </a:lnTo>
                                <a:lnTo>
                                  <a:pt x="3685921" y="2091309"/>
                                </a:lnTo>
                                <a:close/>
                              </a:path>
                              <a:path w="3692525" h="2097405">
                                <a:moveTo>
                                  <a:pt x="3685921" y="0"/>
                                </a:moveTo>
                                <a:lnTo>
                                  <a:pt x="6096" y="0"/>
                                </a:lnTo>
                                <a:lnTo>
                                  <a:pt x="0" y="0"/>
                                </a:lnTo>
                                <a:lnTo>
                                  <a:pt x="0" y="6096"/>
                                </a:lnTo>
                                <a:lnTo>
                                  <a:pt x="6096" y="6096"/>
                                </a:lnTo>
                                <a:lnTo>
                                  <a:pt x="3685921" y="6096"/>
                                </a:lnTo>
                                <a:lnTo>
                                  <a:pt x="3685921" y="0"/>
                                </a:lnTo>
                                <a:close/>
                              </a:path>
                              <a:path w="3692525" h="2097405">
                                <a:moveTo>
                                  <a:pt x="3692080" y="6223"/>
                                </a:moveTo>
                                <a:lnTo>
                                  <a:pt x="3685997" y="6223"/>
                                </a:lnTo>
                                <a:lnTo>
                                  <a:pt x="3685997" y="2091309"/>
                                </a:lnTo>
                                <a:lnTo>
                                  <a:pt x="3685997" y="2097405"/>
                                </a:lnTo>
                                <a:lnTo>
                                  <a:pt x="3692080" y="2097405"/>
                                </a:lnTo>
                                <a:lnTo>
                                  <a:pt x="3692080" y="2091309"/>
                                </a:lnTo>
                                <a:lnTo>
                                  <a:pt x="3692080" y="6223"/>
                                </a:lnTo>
                                <a:close/>
                              </a:path>
                              <a:path w="3692525" h="2097405">
                                <a:moveTo>
                                  <a:pt x="3692080" y="0"/>
                                </a:moveTo>
                                <a:lnTo>
                                  <a:pt x="3685997" y="0"/>
                                </a:lnTo>
                                <a:lnTo>
                                  <a:pt x="3685997" y="6096"/>
                                </a:lnTo>
                                <a:lnTo>
                                  <a:pt x="3692080" y="6096"/>
                                </a:lnTo>
                                <a:lnTo>
                                  <a:pt x="369208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63C66B4" id="Group 946" o:spid="_x0000_s1026" style="width:452.4pt;height:256.95pt;mso-position-horizontal-relative:char;mso-position-vertical-relative:line" coordsize="36925,209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">
                <v:shape id="Image 947" o:spid="_x0000_s1027" type="#_x0000_t75" style="position:absolute;left:8347;top:358;width:19813;height:196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">
                  <v:imagedata r:id="rId61" o:title=""/>
                </v:shape>
                <v:shape id="Graphic 948" o:spid="_x0000_s1028" style="position:absolute;width:36925;height:20974;visibility:visible;mso-wrap-style:square;v-text-anchor:top" coordsize="3692525,2097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" path="m3685921,2091309r-3679825,l6096,6223,,6223,,2091309r,6096l6096,2097405r3679825,l3685921,2091309xem3685921,l6096,,,,,6096r6096,l3685921,6096r,-6096xem3692080,6223r-6083,l3685997,2091309r,6096l3692080,2097405r,-6096l3692080,6223xem3692080,r-6083,l3685997,6096r6083,l3692080,xe" fillcolor="black" stroked="f">
                  <v:path arrowok="t"/>
                </v:shape>
                <w10:anchorlock/>
              </v:group>
            </w:pict>
          </mc:Fallback>
        </mc:AlternateContent>
      </w:r>
    </w:p>
    <w:p w14:paraId="310A99D9" w14:textId="77777777" w:rsidR="00FF7799" w:rsidRPr="00E73F6F" w:rsidRDefault="00FF7799" w:rsidP="00862DBA">
      <w:pPr>
        <w:spacing w:before="1"/>
        <w:rPr>
          <w:sz w:val="24"/>
          <w:szCs w:val="24"/>
        </w:rPr>
      </w:pPr>
    </w:p>
    <w:p w14:paraId="7EBCF8B0" w14:textId="77777777" w:rsidR="00FF7799" w:rsidRPr="002A223B" w:rsidRDefault="00FF7799" w:rsidP="00EE2354">
      <w:pPr>
        <w:pStyle w:val="StandardTextkursiv"/>
        <w:rPr>
          <w:i w:val="0"/>
        </w:rPr>
      </w:pPr>
      <w:r w:rsidRPr="002A223B">
        <w:rPr>
          <w:i w:val="0"/>
        </w:rPr>
        <w:t>3 Grundzüge der Lehre</w:t>
      </w:r>
    </w:p>
    <w:p w14:paraId="329D767E" w14:textId="77777777" w:rsidR="00FF7799" w:rsidRPr="00E73F6F" w:rsidRDefault="00FF7799" w:rsidP="00EE2354">
      <w:pPr>
        <w:pStyle w:val="StandardText"/>
      </w:pPr>
      <w:r w:rsidRPr="00E73F6F">
        <w:t>Der Hinduismus repräsentiert keine geschlossene, dogmatische Lehre, sondern verschiedene, mitunter sehr heterogene und häufig kaum miteinander vereinbare Strömungen:</w:t>
      </w:r>
      <w:r w:rsidRPr="00E73F6F">
        <w:rPr>
          <w:spacing w:val="-12"/>
        </w:rPr>
        <w:t xml:space="preserve"> </w:t>
      </w:r>
      <w:r w:rsidRPr="00E73F6F">
        <w:t>Er</w:t>
      </w:r>
      <w:r w:rsidRPr="00E73F6F">
        <w:rPr>
          <w:spacing w:val="-11"/>
        </w:rPr>
        <w:t xml:space="preserve"> </w:t>
      </w:r>
      <w:r w:rsidRPr="00E73F6F">
        <w:t>ist</w:t>
      </w:r>
      <w:r w:rsidRPr="00E73F6F">
        <w:rPr>
          <w:spacing w:val="-11"/>
        </w:rPr>
        <w:t xml:space="preserve"> </w:t>
      </w:r>
      <w:r w:rsidRPr="00E73F6F">
        <w:t>„eine</w:t>
      </w:r>
      <w:r w:rsidRPr="00E73F6F">
        <w:rPr>
          <w:spacing w:val="-11"/>
        </w:rPr>
        <w:t xml:space="preserve"> </w:t>
      </w:r>
      <w:r w:rsidRPr="00E73F6F">
        <w:t>zutiefst</w:t>
      </w:r>
      <w:r w:rsidRPr="00E73F6F">
        <w:rPr>
          <w:spacing w:val="-12"/>
        </w:rPr>
        <w:t xml:space="preserve"> </w:t>
      </w:r>
      <w:r w:rsidRPr="00E73F6F">
        <w:t>individualisierte</w:t>
      </w:r>
      <w:r w:rsidRPr="00E73F6F">
        <w:rPr>
          <w:spacing w:val="-11"/>
        </w:rPr>
        <w:t xml:space="preserve"> </w:t>
      </w:r>
      <w:r w:rsidRPr="00E73F6F">
        <w:t>Form</w:t>
      </w:r>
      <w:r w:rsidRPr="00E73F6F">
        <w:rPr>
          <w:spacing w:val="-11"/>
        </w:rPr>
        <w:t xml:space="preserve"> </w:t>
      </w:r>
      <w:r w:rsidRPr="00E73F6F">
        <w:t>der</w:t>
      </w:r>
      <w:r w:rsidRPr="00E73F6F">
        <w:rPr>
          <w:spacing w:val="-11"/>
        </w:rPr>
        <w:t xml:space="preserve"> </w:t>
      </w:r>
      <w:r w:rsidRPr="00E73F6F">
        <w:t>Heilssuche,</w:t>
      </w:r>
      <w:r w:rsidRPr="00E73F6F">
        <w:rPr>
          <w:spacing w:val="-12"/>
        </w:rPr>
        <w:t xml:space="preserve"> </w:t>
      </w:r>
      <w:r w:rsidRPr="00E73F6F">
        <w:t>und</w:t>
      </w:r>
      <w:r w:rsidRPr="00E73F6F">
        <w:rPr>
          <w:spacing w:val="-11"/>
        </w:rPr>
        <w:t xml:space="preserve"> </w:t>
      </w:r>
      <w:r w:rsidRPr="00E73F6F">
        <w:t>es</w:t>
      </w:r>
      <w:r w:rsidRPr="00E73F6F">
        <w:rPr>
          <w:spacing w:val="-11"/>
        </w:rPr>
        <w:t xml:space="preserve"> </w:t>
      </w:r>
      <w:r w:rsidRPr="00E73F6F">
        <w:t>gibt im Prinzip so viele Hinduismen wie Hindus“ (Strohschneider 2001, S.22). Offensichtliche Unterschiede bestehen z.B. im Gottesbild und in den Riten. Gemeinsam sind ihnen nur einige, sehr allgemeine Grundlagen, die vor allem in der Lehre vom Karma wurzeln: Der Mensch durchläuft eine Kette von Wiedergeburten</w:t>
      </w:r>
      <w:r w:rsidRPr="00E73F6F">
        <w:rPr>
          <w:spacing w:val="-8"/>
        </w:rPr>
        <w:t xml:space="preserve"> </w:t>
      </w:r>
      <w:r w:rsidRPr="00E73F6F">
        <w:t>('sansara');</w:t>
      </w:r>
      <w:r w:rsidRPr="00E73F6F">
        <w:rPr>
          <w:spacing w:val="-6"/>
        </w:rPr>
        <w:t xml:space="preserve"> </w:t>
      </w:r>
      <w:r w:rsidRPr="00E73F6F">
        <w:t>seine</w:t>
      </w:r>
      <w:r w:rsidRPr="00E73F6F">
        <w:rPr>
          <w:spacing w:val="-7"/>
        </w:rPr>
        <w:t xml:space="preserve"> </w:t>
      </w:r>
      <w:r w:rsidRPr="00E73F6F">
        <w:t>Handlungen</w:t>
      </w:r>
      <w:r w:rsidRPr="00E73F6F">
        <w:rPr>
          <w:spacing w:val="-8"/>
        </w:rPr>
        <w:t xml:space="preserve"> </w:t>
      </w:r>
      <w:r w:rsidRPr="00E73F6F">
        <w:t>werden</w:t>
      </w:r>
      <w:r w:rsidRPr="00E73F6F">
        <w:rPr>
          <w:spacing w:val="-8"/>
        </w:rPr>
        <w:t xml:space="preserve"> </w:t>
      </w:r>
      <w:r w:rsidRPr="00E73F6F">
        <w:t>ihm</w:t>
      </w:r>
      <w:r w:rsidRPr="00E73F6F">
        <w:rPr>
          <w:spacing w:val="-7"/>
        </w:rPr>
        <w:t xml:space="preserve"> </w:t>
      </w:r>
      <w:r w:rsidRPr="00E73F6F">
        <w:t>in</w:t>
      </w:r>
      <w:r w:rsidRPr="00E73F6F">
        <w:rPr>
          <w:spacing w:val="-8"/>
        </w:rPr>
        <w:t xml:space="preserve"> </w:t>
      </w:r>
      <w:r w:rsidRPr="00E73F6F">
        <w:t>den</w:t>
      </w:r>
      <w:r w:rsidRPr="00E73F6F">
        <w:rPr>
          <w:spacing w:val="-8"/>
        </w:rPr>
        <w:t xml:space="preserve"> </w:t>
      </w:r>
      <w:r w:rsidRPr="00E73F6F">
        <w:t>künftigen</w:t>
      </w:r>
      <w:r w:rsidRPr="00E73F6F">
        <w:rPr>
          <w:spacing w:val="-8"/>
        </w:rPr>
        <w:t xml:space="preserve"> </w:t>
      </w:r>
      <w:r w:rsidRPr="00E73F6F">
        <w:t>Leben vergolten.</w:t>
      </w:r>
      <w:r w:rsidRPr="00E73F6F">
        <w:rPr>
          <w:spacing w:val="-7"/>
        </w:rPr>
        <w:t xml:space="preserve"> </w:t>
      </w:r>
      <w:r w:rsidRPr="00E73F6F">
        <w:t>Erlösung</w:t>
      </w:r>
      <w:r w:rsidRPr="00E73F6F">
        <w:rPr>
          <w:spacing w:val="-7"/>
        </w:rPr>
        <w:t xml:space="preserve"> </w:t>
      </w:r>
      <w:r w:rsidRPr="00E73F6F">
        <w:t>erfährt,</w:t>
      </w:r>
      <w:r w:rsidRPr="00E73F6F">
        <w:rPr>
          <w:spacing w:val="-7"/>
        </w:rPr>
        <w:t xml:space="preserve"> </w:t>
      </w:r>
      <w:r w:rsidRPr="00E73F6F">
        <w:t>wem</w:t>
      </w:r>
      <w:r w:rsidRPr="00E73F6F">
        <w:rPr>
          <w:spacing w:val="-9"/>
        </w:rPr>
        <w:t xml:space="preserve"> </w:t>
      </w:r>
      <w:r w:rsidRPr="00E73F6F">
        <w:t>es</w:t>
      </w:r>
      <w:r w:rsidRPr="00E73F6F">
        <w:rPr>
          <w:spacing w:val="-8"/>
        </w:rPr>
        <w:t xml:space="preserve"> </w:t>
      </w:r>
      <w:r w:rsidRPr="00E73F6F">
        <w:t>gelingt,</w:t>
      </w:r>
      <w:r w:rsidRPr="00E73F6F">
        <w:rPr>
          <w:spacing w:val="-7"/>
        </w:rPr>
        <w:t xml:space="preserve"> </w:t>
      </w:r>
      <w:r w:rsidRPr="00E73F6F">
        <w:t>die</w:t>
      </w:r>
      <w:r w:rsidRPr="00E73F6F">
        <w:rPr>
          <w:spacing w:val="-8"/>
        </w:rPr>
        <w:t xml:space="preserve"> </w:t>
      </w:r>
      <w:r w:rsidRPr="00E73F6F">
        <w:t>endlose</w:t>
      </w:r>
      <w:r w:rsidRPr="00E73F6F">
        <w:rPr>
          <w:spacing w:val="-9"/>
        </w:rPr>
        <w:t xml:space="preserve"> </w:t>
      </w:r>
      <w:r w:rsidRPr="00E73F6F">
        <w:t>Kette</w:t>
      </w:r>
      <w:r w:rsidRPr="00E73F6F">
        <w:rPr>
          <w:spacing w:val="-8"/>
        </w:rPr>
        <w:t xml:space="preserve"> </w:t>
      </w:r>
      <w:r w:rsidRPr="00E73F6F">
        <w:t>der</w:t>
      </w:r>
      <w:r w:rsidRPr="00E73F6F">
        <w:rPr>
          <w:spacing w:val="-8"/>
        </w:rPr>
        <w:t xml:space="preserve"> </w:t>
      </w:r>
      <w:r w:rsidRPr="00E73F6F">
        <w:t>Wiedergeburten zu durchbrechen. Da jeder Mensch auch als Tier wiedergeboren werden kann, lautet das höchste Gebot: schone alles Lebendige ('ahimsa'). Aus diesem Grund sind Hindus strenge Vegetarier und „verehren“ Rinder.</w:t>
      </w:r>
    </w:p>
    <w:p w14:paraId="5DD791AB" w14:textId="77777777" w:rsidR="00FF7799" w:rsidRPr="00E73F6F" w:rsidRDefault="002A223B" w:rsidP="00EE2354">
      <w:pPr>
        <w:pStyle w:val="StandardText"/>
      </w:pPr>
      <w:r>
        <w:t xml:space="preserve">Wie im </w:t>
      </w:r>
      <w:r>
        <w:sym w:font="Symbol" w:char="F0DE"/>
      </w:r>
      <w:r w:rsidR="00FF7799" w:rsidRPr="00E73F6F">
        <w:t xml:space="preserve"> Buddhismus zeugt das Verbot, Lebewesen zu verletzen oder zu töten, allerdings nicht vor einer fundamentalen Naturverbundenheit, wie bisweilen unterstellt wird. Vielmehr ist es hauptsächlich im Kontext</w:t>
      </w:r>
      <w:r w:rsidR="00FF7799" w:rsidRPr="00E73F6F">
        <w:rPr>
          <w:spacing w:val="-2"/>
        </w:rPr>
        <w:t xml:space="preserve"> </w:t>
      </w:r>
      <w:r w:rsidR="00FF7799" w:rsidRPr="00E73F6F">
        <w:t>der Askese</w:t>
      </w:r>
      <w:r w:rsidR="00FF7799" w:rsidRPr="00E73F6F">
        <w:rPr>
          <w:spacing w:val="-1"/>
        </w:rPr>
        <w:t xml:space="preserve"> </w:t>
      </w:r>
      <w:r w:rsidR="00FF7799" w:rsidRPr="00E73F6F">
        <w:t>bedeutsam. Es repräsentiert auch keine universale ethische Norm, sondern eher eine egozentrische</w:t>
      </w:r>
      <w:r w:rsidR="00FF7799" w:rsidRPr="00E73F6F">
        <w:rPr>
          <w:spacing w:val="-11"/>
        </w:rPr>
        <w:t xml:space="preserve"> </w:t>
      </w:r>
      <w:r w:rsidR="00FF7799" w:rsidRPr="00E73F6F">
        <w:t>Geisteshaltung,</w:t>
      </w:r>
      <w:r w:rsidR="00FF7799" w:rsidRPr="00E73F6F">
        <w:rPr>
          <w:spacing w:val="-10"/>
        </w:rPr>
        <w:t xml:space="preserve"> </w:t>
      </w:r>
      <w:r w:rsidR="00FF7799" w:rsidRPr="00E73F6F">
        <w:t>vorrangig</w:t>
      </w:r>
      <w:r w:rsidR="00FF7799" w:rsidRPr="00E73F6F">
        <w:rPr>
          <w:spacing w:val="-11"/>
        </w:rPr>
        <w:t xml:space="preserve"> </w:t>
      </w:r>
      <w:r w:rsidR="00FF7799" w:rsidRPr="00E73F6F">
        <w:t>dem</w:t>
      </w:r>
      <w:r w:rsidR="00FF7799" w:rsidRPr="00E73F6F">
        <w:rPr>
          <w:spacing w:val="-11"/>
        </w:rPr>
        <w:t xml:space="preserve"> </w:t>
      </w:r>
      <w:r w:rsidR="00FF7799" w:rsidRPr="00E73F6F">
        <w:t>Reifen</w:t>
      </w:r>
      <w:r w:rsidR="00FF7799" w:rsidRPr="00E73F6F">
        <w:rPr>
          <w:spacing w:val="-10"/>
        </w:rPr>
        <w:t xml:space="preserve"> </w:t>
      </w:r>
      <w:r w:rsidR="00FF7799" w:rsidRPr="00E73F6F">
        <w:t>des</w:t>
      </w:r>
      <w:r w:rsidR="00FF7799" w:rsidRPr="00E73F6F">
        <w:rPr>
          <w:spacing w:val="-11"/>
        </w:rPr>
        <w:t xml:space="preserve"> </w:t>
      </w:r>
      <w:r w:rsidR="00FF7799" w:rsidRPr="00E73F6F">
        <w:t>Asketen</w:t>
      </w:r>
      <w:r w:rsidR="00FF7799" w:rsidRPr="00E73F6F">
        <w:rPr>
          <w:spacing w:val="-5"/>
        </w:rPr>
        <w:t xml:space="preserve"> </w:t>
      </w:r>
      <w:r w:rsidR="00FF7799" w:rsidRPr="00E73F6F">
        <w:t>verpflichtet.</w:t>
      </w:r>
      <w:r w:rsidR="00FF7799" w:rsidRPr="00E73F6F">
        <w:rPr>
          <w:spacing w:val="-10"/>
        </w:rPr>
        <w:t xml:space="preserve"> </w:t>
      </w:r>
      <w:r w:rsidR="00FF7799" w:rsidRPr="00E73F6F">
        <w:t xml:space="preserve">Erst </w:t>
      </w:r>
      <w:r w:rsidR="00FF7799" w:rsidRPr="00E73F6F">
        <w:rPr>
          <w:i/>
        </w:rPr>
        <w:t>Mahatma Gandhi</w:t>
      </w:r>
      <w:r w:rsidR="00FF7799" w:rsidRPr="00E73F6F">
        <w:rPr>
          <w:i/>
          <w:spacing w:val="-1"/>
        </w:rPr>
        <w:t xml:space="preserve"> </w:t>
      </w:r>
      <w:r w:rsidR="00FF7799" w:rsidRPr="00E73F6F">
        <w:t>hat</w:t>
      </w:r>
      <w:r w:rsidR="00FF7799" w:rsidRPr="00E73F6F">
        <w:rPr>
          <w:spacing w:val="-3"/>
        </w:rPr>
        <w:t xml:space="preserve"> </w:t>
      </w:r>
      <w:r w:rsidR="00FF7799" w:rsidRPr="00E73F6F">
        <w:t>diesem</w:t>
      </w:r>
      <w:r w:rsidR="00FF7799" w:rsidRPr="00E73F6F">
        <w:rPr>
          <w:spacing w:val="-2"/>
        </w:rPr>
        <w:t xml:space="preserve"> </w:t>
      </w:r>
      <w:r w:rsidR="00FF7799" w:rsidRPr="00E73F6F">
        <w:t>Verbot</w:t>
      </w:r>
      <w:r w:rsidR="00FF7799" w:rsidRPr="00E73F6F">
        <w:rPr>
          <w:spacing w:val="-3"/>
        </w:rPr>
        <w:t xml:space="preserve"> </w:t>
      </w:r>
      <w:r w:rsidR="00FF7799" w:rsidRPr="00E73F6F">
        <w:t>ein</w:t>
      </w:r>
      <w:r w:rsidR="00FF7799" w:rsidRPr="00E73F6F">
        <w:rPr>
          <w:spacing w:val="-2"/>
        </w:rPr>
        <w:t xml:space="preserve"> </w:t>
      </w:r>
      <w:r w:rsidR="00FF7799" w:rsidRPr="00E73F6F">
        <w:t>soziales</w:t>
      </w:r>
      <w:r w:rsidR="00FF7799" w:rsidRPr="00E73F6F">
        <w:rPr>
          <w:spacing w:val="-1"/>
        </w:rPr>
        <w:t xml:space="preserve"> </w:t>
      </w:r>
      <w:r w:rsidR="00FF7799" w:rsidRPr="00E73F6F">
        <w:t>und</w:t>
      </w:r>
      <w:r w:rsidR="00FF7799" w:rsidRPr="00E73F6F">
        <w:rPr>
          <w:spacing w:val="-4"/>
        </w:rPr>
        <w:t xml:space="preserve"> </w:t>
      </w:r>
      <w:r w:rsidR="00FF7799" w:rsidRPr="00E73F6F">
        <w:t>natur-ethisches theoretische Fundament gegeben.</w:t>
      </w:r>
    </w:p>
    <w:p w14:paraId="31FC3B6B" w14:textId="77777777" w:rsidR="00FF7799" w:rsidRPr="00E73F6F" w:rsidRDefault="00FF7799" w:rsidP="00EE2354">
      <w:pPr>
        <w:pStyle w:val="StandardText"/>
      </w:pPr>
      <w:r w:rsidRPr="00E73F6F">
        <w:t>Gleichwohl lässt sich schon in den ältesten indischen Schriften, den Veden, eine Sakralisierung von Naturkräften und Naturelementen (Flüsse, Berge usw.) feststellen. Wie in anderen agrarischen Gesellschaften wurden diese Lebensgrundlagen als weibliche Gottheiten aufgefasst und als „Mutter“ verehrt. Daraus</w:t>
      </w:r>
      <w:r w:rsidRPr="00E73F6F">
        <w:rPr>
          <w:spacing w:val="-7"/>
        </w:rPr>
        <w:t xml:space="preserve"> </w:t>
      </w:r>
      <w:r w:rsidRPr="00E73F6F">
        <w:t>wiederum</w:t>
      </w:r>
      <w:r w:rsidRPr="00E73F6F">
        <w:rPr>
          <w:spacing w:val="-8"/>
        </w:rPr>
        <w:t xml:space="preserve"> </w:t>
      </w:r>
      <w:r w:rsidRPr="00E73F6F">
        <w:t>leitet</w:t>
      </w:r>
      <w:r w:rsidRPr="00E73F6F">
        <w:rPr>
          <w:spacing w:val="-7"/>
        </w:rPr>
        <w:t xml:space="preserve"> </w:t>
      </w:r>
      <w:r w:rsidRPr="00E73F6F">
        <w:t>sich</w:t>
      </w:r>
      <w:r w:rsidRPr="00E73F6F">
        <w:rPr>
          <w:spacing w:val="-6"/>
        </w:rPr>
        <w:t xml:space="preserve"> </w:t>
      </w:r>
      <w:r w:rsidRPr="00E73F6F">
        <w:t>die</w:t>
      </w:r>
      <w:r w:rsidRPr="00E73F6F">
        <w:rPr>
          <w:spacing w:val="-7"/>
        </w:rPr>
        <w:t xml:space="preserve"> </w:t>
      </w:r>
      <w:r w:rsidRPr="00E73F6F">
        <w:t>Verpflichtung</w:t>
      </w:r>
      <w:r w:rsidRPr="00E73F6F">
        <w:rPr>
          <w:spacing w:val="-8"/>
        </w:rPr>
        <w:t xml:space="preserve"> </w:t>
      </w:r>
      <w:r w:rsidRPr="00E73F6F">
        <w:t>ab,</w:t>
      </w:r>
      <w:r w:rsidRPr="00E73F6F">
        <w:rPr>
          <w:spacing w:val="-9"/>
        </w:rPr>
        <w:t xml:space="preserve"> </w:t>
      </w:r>
      <w:r w:rsidRPr="00E73F6F">
        <w:t>die</w:t>
      </w:r>
      <w:r w:rsidRPr="00E73F6F">
        <w:rPr>
          <w:spacing w:val="-7"/>
        </w:rPr>
        <w:t xml:space="preserve"> </w:t>
      </w:r>
      <w:r w:rsidRPr="00E73F6F">
        <w:t>Mutter</w:t>
      </w:r>
      <w:r w:rsidRPr="00E73F6F">
        <w:rPr>
          <w:spacing w:val="-7"/>
        </w:rPr>
        <w:t xml:space="preserve"> </w:t>
      </w:r>
      <w:r w:rsidRPr="00E73F6F">
        <w:t>zu</w:t>
      </w:r>
      <w:r w:rsidRPr="00E73F6F">
        <w:rPr>
          <w:spacing w:val="-6"/>
        </w:rPr>
        <w:t xml:space="preserve"> </w:t>
      </w:r>
      <w:r w:rsidRPr="00E73F6F">
        <w:t>ehren</w:t>
      </w:r>
      <w:r w:rsidRPr="00E73F6F">
        <w:rPr>
          <w:spacing w:val="-6"/>
        </w:rPr>
        <w:t xml:space="preserve"> </w:t>
      </w:r>
      <w:r w:rsidRPr="00E73F6F">
        <w:t>und</w:t>
      </w:r>
      <w:r w:rsidRPr="00E73F6F">
        <w:rPr>
          <w:spacing w:val="-6"/>
        </w:rPr>
        <w:t xml:space="preserve"> </w:t>
      </w:r>
      <w:r w:rsidRPr="00E73F6F">
        <w:t>sich</w:t>
      </w:r>
      <w:r w:rsidRPr="00E73F6F">
        <w:rPr>
          <w:spacing w:val="-8"/>
        </w:rPr>
        <w:t xml:space="preserve"> </w:t>
      </w:r>
      <w:r w:rsidRPr="00E73F6F">
        <w:t>für ihre Gaben dankbar zu erweisen (vgl. Pye et al. 1997, S.3).</w:t>
      </w:r>
    </w:p>
    <w:p w14:paraId="348039BC" w14:textId="77777777" w:rsidR="00FF7799" w:rsidRPr="00E73F6F" w:rsidRDefault="00FF7799" w:rsidP="00EE2354">
      <w:pPr>
        <w:pStyle w:val="StandardText"/>
      </w:pPr>
      <w:r w:rsidRPr="00E73F6F">
        <w:t>In der Vorstellung der Hindus besteht die Welt ewig. Allerdings ist sie nicht die Wirklichkeit,</w:t>
      </w:r>
      <w:r w:rsidRPr="00E73F6F">
        <w:rPr>
          <w:spacing w:val="31"/>
        </w:rPr>
        <w:t xml:space="preserve"> </w:t>
      </w:r>
      <w:r w:rsidRPr="00E73F6F">
        <w:t>sondern</w:t>
      </w:r>
      <w:r w:rsidRPr="00E73F6F">
        <w:rPr>
          <w:spacing w:val="34"/>
        </w:rPr>
        <w:t xml:space="preserve"> </w:t>
      </w:r>
      <w:r w:rsidRPr="00E73F6F">
        <w:t>Trug</w:t>
      </w:r>
      <w:r w:rsidRPr="00E73F6F">
        <w:rPr>
          <w:spacing w:val="33"/>
        </w:rPr>
        <w:t xml:space="preserve"> </w:t>
      </w:r>
      <w:r w:rsidRPr="00E73F6F">
        <w:t>und</w:t>
      </w:r>
      <w:r w:rsidRPr="00E73F6F">
        <w:rPr>
          <w:spacing w:val="32"/>
        </w:rPr>
        <w:t xml:space="preserve"> </w:t>
      </w:r>
      <w:r w:rsidRPr="00E73F6F">
        <w:t>Schein</w:t>
      </w:r>
      <w:r w:rsidRPr="00E73F6F">
        <w:rPr>
          <w:spacing w:val="33"/>
        </w:rPr>
        <w:t xml:space="preserve"> </w:t>
      </w:r>
      <w:r w:rsidRPr="00E73F6F">
        <w:t>('maya'),</w:t>
      </w:r>
      <w:r w:rsidRPr="00E73F6F">
        <w:rPr>
          <w:spacing w:val="34"/>
        </w:rPr>
        <w:t xml:space="preserve"> </w:t>
      </w:r>
      <w:r w:rsidRPr="00E73F6F">
        <w:t>einem</w:t>
      </w:r>
      <w:r w:rsidRPr="00E73F6F">
        <w:rPr>
          <w:spacing w:val="32"/>
        </w:rPr>
        <w:t xml:space="preserve"> </w:t>
      </w:r>
      <w:r w:rsidRPr="00E73F6F">
        <w:t>ständigen</w:t>
      </w:r>
      <w:r w:rsidRPr="00E73F6F">
        <w:rPr>
          <w:spacing w:val="35"/>
        </w:rPr>
        <w:t xml:space="preserve"> </w:t>
      </w:r>
      <w:r w:rsidRPr="00E73F6F">
        <w:t>Prozess</w:t>
      </w:r>
      <w:r w:rsidRPr="00E73F6F">
        <w:rPr>
          <w:spacing w:val="33"/>
        </w:rPr>
        <w:t xml:space="preserve"> </w:t>
      </w:r>
      <w:r w:rsidRPr="00E73F6F">
        <w:rPr>
          <w:spacing w:val="-5"/>
        </w:rPr>
        <w:t>des</w:t>
      </w:r>
      <w:r w:rsidR="00BD3D32" w:rsidRPr="00E73F6F">
        <w:rPr>
          <w:spacing w:val="-5"/>
        </w:rPr>
        <w:t xml:space="preserve"> </w:t>
      </w:r>
      <w:r w:rsidRPr="00E73F6F">
        <w:t xml:space="preserve">Werdens und Vergehens unterworfen. Prominent unter den zahllosen Göttern ist die Dreiheit Brahma – Schiwa – Wischnu, die auch als dreiköpfige Gestalt dargestellt wird. Die beiden Hauptströmungen, Schiwaismus und Wischnuismus, stellen entweder Schiwa, den Zerstörer der Welt, oder Wischnu, den Erhalter der Welt, an die Spitze der Hierarchie der Götter. Weiterhin gibt es zahlreiche </w:t>
      </w:r>
      <w:r w:rsidRPr="00E73F6F">
        <w:lastRenderedPageBreak/>
        <w:t>Nebengottheiten, die</w:t>
      </w:r>
      <w:r w:rsidRPr="00E73F6F">
        <w:rPr>
          <w:spacing w:val="-1"/>
        </w:rPr>
        <w:t xml:space="preserve"> </w:t>
      </w:r>
      <w:r w:rsidRPr="00E73F6F">
        <w:t>oft nur</w:t>
      </w:r>
      <w:r w:rsidRPr="00E73F6F">
        <w:rPr>
          <w:spacing w:val="-1"/>
        </w:rPr>
        <w:t xml:space="preserve"> </w:t>
      </w:r>
      <w:r w:rsidRPr="00E73F6F">
        <w:t>in einer bestimmten Region Indiens bedeutsam sind. Verehrt werden überdies der Affengott Hanuman sowie Naturerscheinungen wie Sonne, Mond oder Wind. Die kultische Verehrung (von Bildern) eines Gottes durch Gebet oder Opfergaben findet hauptsächlich im Tempel statt.</w:t>
      </w:r>
    </w:p>
    <w:p w14:paraId="3633AE2D" w14:textId="77777777" w:rsidR="00FF7799" w:rsidRPr="00E73F6F" w:rsidRDefault="00FF7799" w:rsidP="00EE2354">
      <w:pPr>
        <w:pStyle w:val="StandardText"/>
      </w:pPr>
      <w:r w:rsidRPr="00E73F6F">
        <w:t>Für</w:t>
      </w:r>
      <w:r w:rsidRPr="00E73F6F">
        <w:rPr>
          <w:spacing w:val="-7"/>
        </w:rPr>
        <w:t xml:space="preserve"> </w:t>
      </w:r>
      <w:r w:rsidRPr="00E73F6F">
        <w:t>eine</w:t>
      </w:r>
      <w:r w:rsidRPr="00E73F6F">
        <w:rPr>
          <w:spacing w:val="-10"/>
        </w:rPr>
        <w:t xml:space="preserve"> </w:t>
      </w:r>
      <w:r w:rsidRPr="00E73F6F">
        <w:t>gewisse</w:t>
      </w:r>
      <w:r w:rsidRPr="00E73F6F">
        <w:rPr>
          <w:spacing w:val="-7"/>
        </w:rPr>
        <w:t xml:space="preserve"> </w:t>
      </w:r>
      <w:r w:rsidRPr="00E73F6F">
        <w:t>„Einheit</w:t>
      </w:r>
      <w:r w:rsidRPr="00E73F6F">
        <w:rPr>
          <w:spacing w:val="-9"/>
        </w:rPr>
        <w:t xml:space="preserve"> </w:t>
      </w:r>
      <w:r w:rsidRPr="00E73F6F">
        <w:t>in</w:t>
      </w:r>
      <w:r w:rsidRPr="00E73F6F">
        <w:rPr>
          <w:spacing w:val="-6"/>
        </w:rPr>
        <w:t xml:space="preserve"> </w:t>
      </w:r>
      <w:r w:rsidRPr="00E73F6F">
        <w:t>der</w:t>
      </w:r>
      <w:r w:rsidRPr="00E73F6F">
        <w:rPr>
          <w:spacing w:val="-7"/>
        </w:rPr>
        <w:t xml:space="preserve"> </w:t>
      </w:r>
      <w:r w:rsidRPr="00E73F6F">
        <w:t>religiösen</w:t>
      </w:r>
      <w:r w:rsidRPr="00E73F6F">
        <w:rPr>
          <w:spacing w:val="-6"/>
        </w:rPr>
        <w:t xml:space="preserve"> </w:t>
      </w:r>
      <w:r w:rsidRPr="00E73F6F">
        <w:t>Vielfalt“</w:t>
      </w:r>
      <w:r w:rsidRPr="00E73F6F">
        <w:rPr>
          <w:spacing w:val="-9"/>
        </w:rPr>
        <w:t xml:space="preserve"> </w:t>
      </w:r>
      <w:r w:rsidRPr="00E73F6F">
        <w:t>haben</w:t>
      </w:r>
      <w:r w:rsidRPr="00E73F6F">
        <w:rPr>
          <w:spacing w:val="-8"/>
        </w:rPr>
        <w:t xml:space="preserve"> </w:t>
      </w:r>
      <w:r w:rsidRPr="00E73F6F">
        <w:t>insb.</w:t>
      </w:r>
      <w:r w:rsidRPr="00E73F6F">
        <w:rPr>
          <w:spacing w:val="-6"/>
        </w:rPr>
        <w:t xml:space="preserve"> </w:t>
      </w:r>
      <w:r w:rsidRPr="00E73F6F">
        <w:t>die</w:t>
      </w:r>
      <w:r w:rsidRPr="00E73F6F">
        <w:rPr>
          <w:spacing w:val="-7"/>
        </w:rPr>
        <w:t xml:space="preserve"> </w:t>
      </w:r>
      <w:r w:rsidRPr="00E73F6F">
        <w:t>Brahmanen</w:t>
      </w:r>
      <w:r w:rsidRPr="00E73F6F">
        <w:rPr>
          <w:spacing w:val="-6"/>
        </w:rPr>
        <w:t xml:space="preserve"> </w:t>
      </w:r>
      <w:r w:rsidRPr="00E73F6F">
        <w:t>(= Priester)</w:t>
      </w:r>
      <w:r w:rsidRPr="00E73F6F">
        <w:rPr>
          <w:spacing w:val="1"/>
        </w:rPr>
        <w:t xml:space="preserve"> </w:t>
      </w:r>
      <w:r w:rsidRPr="00E73F6F">
        <w:t>gesorgt,</w:t>
      </w:r>
      <w:r w:rsidRPr="00E73F6F">
        <w:rPr>
          <w:spacing w:val="1"/>
        </w:rPr>
        <w:t xml:space="preserve"> </w:t>
      </w:r>
      <w:r w:rsidRPr="00E73F6F">
        <w:t>denen</w:t>
      </w:r>
      <w:r w:rsidRPr="00E73F6F">
        <w:rPr>
          <w:spacing w:val="2"/>
        </w:rPr>
        <w:t xml:space="preserve"> </w:t>
      </w:r>
      <w:r w:rsidRPr="00E73F6F">
        <w:t>der</w:t>
      </w:r>
      <w:r w:rsidRPr="00E73F6F">
        <w:rPr>
          <w:spacing w:val="3"/>
        </w:rPr>
        <w:t xml:space="preserve"> </w:t>
      </w:r>
      <w:r w:rsidRPr="00E73F6F">
        <w:t>Hinduismus</w:t>
      </w:r>
      <w:r w:rsidRPr="00E73F6F">
        <w:rPr>
          <w:spacing w:val="2"/>
        </w:rPr>
        <w:t xml:space="preserve"> </w:t>
      </w:r>
      <w:r w:rsidRPr="00E73F6F">
        <w:t>auch</w:t>
      </w:r>
      <w:r w:rsidRPr="00E73F6F">
        <w:rPr>
          <w:spacing w:val="1"/>
        </w:rPr>
        <w:t xml:space="preserve"> </w:t>
      </w:r>
      <w:r w:rsidRPr="00E73F6F">
        <w:t>das</w:t>
      </w:r>
      <w:r w:rsidRPr="00E73F6F">
        <w:rPr>
          <w:spacing w:val="3"/>
        </w:rPr>
        <w:t xml:space="preserve"> </w:t>
      </w:r>
      <w:r w:rsidRPr="00E73F6F">
        <w:t>Kastensystem</w:t>
      </w:r>
      <w:r w:rsidRPr="00E73F6F">
        <w:rPr>
          <w:spacing w:val="2"/>
        </w:rPr>
        <w:t xml:space="preserve"> </w:t>
      </w:r>
      <w:r w:rsidRPr="00E73F6F">
        <w:t>„verdankt“.</w:t>
      </w:r>
      <w:r w:rsidRPr="00E73F6F">
        <w:rPr>
          <w:spacing w:val="2"/>
        </w:rPr>
        <w:t xml:space="preserve"> </w:t>
      </w:r>
      <w:r w:rsidRPr="00E73F6F">
        <w:rPr>
          <w:spacing w:val="-4"/>
        </w:rPr>
        <w:t xml:space="preserve">Diese </w:t>
      </w:r>
      <w:r w:rsidRPr="00E73F6F">
        <w:t>„ewige Ordnung“ ist sozio-ökonomisch überaus schädlich. Denn sie zementiert soziale Unterschiede zwischen den Ständen und verhindert sozio-ökonomische Dynamik. Grundgedanke</w:t>
      </w:r>
      <w:r w:rsidRPr="00E73F6F">
        <w:rPr>
          <w:spacing w:val="-1"/>
        </w:rPr>
        <w:t xml:space="preserve"> </w:t>
      </w:r>
      <w:r w:rsidRPr="00E73F6F">
        <w:t>ist der</w:t>
      </w:r>
      <w:r w:rsidRPr="00E73F6F">
        <w:rPr>
          <w:spacing w:val="-1"/>
        </w:rPr>
        <w:t xml:space="preserve"> </w:t>
      </w:r>
      <w:r w:rsidRPr="00E73F6F">
        <w:t>Glaube an die Wiedergeburt, wobei das Handeln des Einzelnen in der Gegenwart sein künftiges Schicksal bestimmt. Hierfür sind nicht</w:t>
      </w:r>
      <w:r w:rsidRPr="00E73F6F">
        <w:rPr>
          <w:spacing w:val="-12"/>
        </w:rPr>
        <w:t xml:space="preserve"> </w:t>
      </w:r>
      <w:r w:rsidRPr="00E73F6F">
        <w:t>zuletzt</w:t>
      </w:r>
      <w:r w:rsidRPr="00E73F6F">
        <w:rPr>
          <w:spacing w:val="-11"/>
        </w:rPr>
        <w:t xml:space="preserve"> </w:t>
      </w:r>
      <w:r w:rsidRPr="00E73F6F">
        <w:t>Rituale</w:t>
      </w:r>
      <w:r w:rsidRPr="00E73F6F">
        <w:rPr>
          <w:spacing w:val="-11"/>
        </w:rPr>
        <w:t xml:space="preserve"> </w:t>
      </w:r>
      <w:r w:rsidRPr="00E73F6F">
        <w:t>von</w:t>
      </w:r>
      <w:r w:rsidRPr="00E73F6F">
        <w:rPr>
          <w:spacing w:val="-11"/>
        </w:rPr>
        <w:t xml:space="preserve"> </w:t>
      </w:r>
      <w:r w:rsidRPr="00E73F6F">
        <w:t>großer</w:t>
      </w:r>
      <w:r w:rsidRPr="00E73F6F">
        <w:rPr>
          <w:spacing w:val="-12"/>
        </w:rPr>
        <w:t xml:space="preserve"> </w:t>
      </w:r>
      <w:r w:rsidRPr="00E73F6F">
        <w:t>Bedeutung</w:t>
      </w:r>
      <w:r w:rsidRPr="00E73F6F">
        <w:rPr>
          <w:spacing w:val="-11"/>
        </w:rPr>
        <w:t xml:space="preserve"> </w:t>
      </w:r>
      <w:r w:rsidRPr="00E73F6F">
        <w:t>(z.B.</w:t>
      </w:r>
      <w:r w:rsidRPr="00E73F6F">
        <w:rPr>
          <w:spacing w:val="-11"/>
        </w:rPr>
        <w:t xml:space="preserve"> </w:t>
      </w:r>
      <w:r w:rsidRPr="00E73F6F">
        <w:t>Verehrung</w:t>
      </w:r>
      <w:r w:rsidRPr="00E73F6F">
        <w:rPr>
          <w:spacing w:val="-11"/>
        </w:rPr>
        <w:t xml:space="preserve"> </w:t>
      </w:r>
      <w:r w:rsidRPr="00E73F6F">
        <w:t>des</w:t>
      </w:r>
      <w:r w:rsidRPr="00E73F6F">
        <w:rPr>
          <w:spacing w:val="-12"/>
        </w:rPr>
        <w:t xml:space="preserve"> </w:t>
      </w:r>
      <w:r w:rsidRPr="00E73F6F">
        <w:t>Götterbildes</w:t>
      </w:r>
      <w:r w:rsidRPr="00E73F6F">
        <w:rPr>
          <w:spacing w:val="-11"/>
        </w:rPr>
        <w:t xml:space="preserve"> </w:t>
      </w:r>
      <w:r w:rsidRPr="00E73F6F">
        <w:t>durch Umschreiten oder Spenden von Geld bzw. Speisen, Pilgerfahrt, rituelles Bad, periodisches Fasten, Meditation etc.). Zusammen mit dem Ideal der Entsagung begründet die Lehre von der Re-Inkarnation die Ungleichheit der Menschen. Nur wenige Sekten lehnen das System der sozialen Gliederung in die vier Klassen ab (vgl. Abb. 2).</w:t>
      </w:r>
    </w:p>
    <w:p w14:paraId="77ADB5C2" w14:textId="77777777" w:rsidR="00FF7799" w:rsidRPr="00E73F6F" w:rsidRDefault="00FF7799" w:rsidP="00862DBA">
      <w:pPr>
        <w:spacing w:before="8"/>
        <w:rPr>
          <w:sz w:val="24"/>
          <w:szCs w:val="24"/>
        </w:rPr>
      </w:pPr>
    </w:p>
    <w:p w14:paraId="5E22C345" w14:textId="77777777" w:rsidR="00FF7799" w:rsidRPr="00C76DC3" w:rsidRDefault="00FF7799" w:rsidP="00EE2354">
      <w:pPr>
        <w:pStyle w:val="BeschriftungTab"/>
        <w:rPr>
          <w:i/>
          <w:iCs/>
        </w:rPr>
      </w:pPr>
      <w:r w:rsidRPr="00C76DC3">
        <w:rPr>
          <w:i/>
          <w:iCs/>
        </w:rPr>
        <w:t>Abb.</w:t>
      </w:r>
      <w:r w:rsidRPr="00C76DC3">
        <w:rPr>
          <w:i/>
          <w:iCs/>
          <w:spacing w:val="41"/>
        </w:rPr>
        <w:t xml:space="preserve"> </w:t>
      </w:r>
      <w:r w:rsidRPr="00C76DC3">
        <w:rPr>
          <w:i/>
          <w:iCs/>
        </w:rPr>
        <w:t>2:</w:t>
      </w:r>
      <w:r w:rsidRPr="00C76DC3">
        <w:rPr>
          <w:i/>
          <w:iCs/>
          <w:spacing w:val="-1"/>
        </w:rPr>
        <w:t xml:space="preserve"> </w:t>
      </w:r>
      <w:r w:rsidRPr="00C76DC3">
        <w:rPr>
          <w:i/>
          <w:iCs/>
        </w:rPr>
        <w:t>Gesellschaftsstruktur</w:t>
      </w:r>
      <w:r w:rsidRPr="00C76DC3">
        <w:rPr>
          <w:i/>
          <w:iCs/>
          <w:spacing w:val="-4"/>
        </w:rPr>
        <w:t xml:space="preserve"> </w:t>
      </w:r>
      <w:r w:rsidRPr="00C76DC3">
        <w:rPr>
          <w:i/>
          <w:iCs/>
        </w:rPr>
        <w:t>gemäß</w:t>
      </w:r>
      <w:r w:rsidRPr="00C76DC3">
        <w:rPr>
          <w:i/>
          <w:iCs/>
          <w:spacing w:val="-2"/>
        </w:rPr>
        <w:t xml:space="preserve"> </w:t>
      </w:r>
      <w:r w:rsidRPr="00C76DC3">
        <w:rPr>
          <w:i/>
          <w:iCs/>
        </w:rPr>
        <w:t>der</w:t>
      </w:r>
      <w:r w:rsidRPr="00C76DC3">
        <w:rPr>
          <w:i/>
          <w:iCs/>
          <w:spacing w:val="-1"/>
        </w:rPr>
        <w:t xml:space="preserve"> </w:t>
      </w:r>
      <w:r w:rsidRPr="00C76DC3">
        <w:rPr>
          <w:i/>
          <w:iCs/>
        </w:rPr>
        <w:t>hinduistischen</w:t>
      </w:r>
      <w:r w:rsidRPr="00C76DC3">
        <w:rPr>
          <w:i/>
          <w:iCs/>
          <w:spacing w:val="-2"/>
        </w:rPr>
        <w:t xml:space="preserve"> Lehre</w:t>
      </w:r>
    </w:p>
    <w:p w14:paraId="76AA0834" w14:textId="77777777" w:rsidR="002A223B" w:rsidRDefault="002A223B" w:rsidP="00EE2354">
      <w:pPr>
        <w:pStyle w:val="StandardText"/>
      </w:pPr>
      <w:r>
        <w:rPr>
          <w:noProof/>
        </w:rPr>
        <w:drawing>
          <wp:inline distT="0" distB="0" distL="0" distR="0" wp14:anchorId="3C1D9665" wp14:editId="561F8206">
            <wp:extent cx="5699701" cy="4429125"/>
            <wp:effectExtent l="0" t="0" r="0" b="0"/>
            <wp:docPr id="2296488" name="Grafik 2296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710040" cy="4437159"/>
                    </a:xfrm>
                    <a:prstGeom prst="rect">
                      <a:avLst/>
                    </a:prstGeom>
                    <a:noFill/>
                  </pic:spPr>
                </pic:pic>
              </a:graphicData>
            </a:graphic>
          </wp:inline>
        </w:drawing>
      </w:r>
    </w:p>
    <w:p w14:paraId="7409A06F" w14:textId="77777777" w:rsidR="002A223B" w:rsidRDefault="002A223B" w:rsidP="00EE2354">
      <w:pPr>
        <w:pStyle w:val="StandardText"/>
      </w:pPr>
    </w:p>
    <w:p w14:paraId="305CB1BE" w14:textId="77777777" w:rsidR="00FF7799" w:rsidRPr="00E73F6F" w:rsidRDefault="00FF7799" w:rsidP="00EE2354">
      <w:pPr>
        <w:pStyle w:val="StandardText"/>
      </w:pPr>
      <w:r w:rsidRPr="00E73F6F">
        <w:t>Je</w:t>
      </w:r>
      <w:r w:rsidRPr="00E73F6F">
        <w:rPr>
          <w:spacing w:val="72"/>
        </w:rPr>
        <w:t xml:space="preserve"> </w:t>
      </w:r>
      <w:r w:rsidRPr="00E73F6F">
        <w:t>geringer</w:t>
      </w:r>
      <w:r w:rsidRPr="00E73F6F">
        <w:rPr>
          <w:spacing w:val="70"/>
        </w:rPr>
        <w:t xml:space="preserve"> </w:t>
      </w:r>
      <w:r w:rsidRPr="00E73F6F">
        <w:t>der</w:t>
      </w:r>
      <w:r w:rsidRPr="00E73F6F">
        <w:rPr>
          <w:spacing w:val="73"/>
        </w:rPr>
        <w:t xml:space="preserve"> </w:t>
      </w:r>
      <w:r w:rsidRPr="00E73F6F">
        <w:t>Rang</w:t>
      </w:r>
      <w:r w:rsidRPr="00E73F6F">
        <w:rPr>
          <w:spacing w:val="74"/>
        </w:rPr>
        <w:t xml:space="preserve"> </w:t>
      </w:r>
      <w:r w:rsidRPr="00E73F6F">
        <w:t>einer</w:t>
      </w:r>
      <w:r w:rsidRPr="00E73F6F">
        <w:rPr>
          <w:spacing w:val="73"/>
        </w:rPr>
        <w:t xml:space="preserve"> </w:t>
      </w:r>
      <w:r w:rsidRPr="00E73F6F">
        <w:t>Klasse,</w:t>
      </w:r>
      <w:r w:rsidRPr="00E73F6F">
        <w:rPr>
          <w:spacing w:val="76"/>
        </w:rPr>
        <w:t xml:space="preserve"> </w:t>
      </w:r>
      <w:r w:rsidRPr="00E73F6F">
        <w:t>als</w:t>
      </w:r>
      <w:r w:rsidRPr="00E73F6F">
        <w:rPr>
          <w:spacing w:val="73"/>
        </w:rPr>
        <w:t xml:space="preserve"> </w:t>
      </w:r>
      <w:r w:rsidRPr="00E73F6F">
        <w:t>desto</w:t>
      </w:r>
      <w:r w:rsidRPr="00E73F6F">
        <w:rPr>
          <w:spacing w:val="74"/>
        </w:rPr>
        <w:t xml:space="preserve"> </w:t>
      </w:r>
      <w:r w:rsidRPr="00E73F6F">
        <w:t>weniger</w:t>
      </w:r>
      <w:r w:rsidRPr="00E73F6F">
        <w:rPr>
          <w:spacing w:val="73"/>
        </w:rPr>
        <w:t xml:space="preserve"> </w:t>
      </w:r>
      <w:r w:rsidRPr="00E73F6F">
        <w:t>„rein“</w:t>
      </w:r>
      <w:r w:rsidRPr="00E73F6F">
        <w:rPr>
          <w:spacing w:val="72"/>
        </w:rPr>
        <w:t xml:space="preserve"> </w:t>
      </w:r>
      <w:r w:rsidRPr="00E73F6F">
        <w:t>gelten</w:t>
      </w:r>
      <w:r w:rsidRPr="00E73F6F">
        <w:rPr>
          <w:spacing w:val="71"/>
        </w:rPr>
        <w:t xml:space="preserve"> </w:t>
      </w:r>
      <w:r w:rsidRPr="00E73F6F">
        <w:t>ihre Angehörigen.</w:t>
      </w:r>
      <w:r w:rsidRPr="00E73F6F">
        <w:rPr>
          <w:spacing w:val="-13"/>
        </w:rPr>
        <w:t xml:space="preserve"> </w:t>
      </w:r>
      <w:r w:rsidRPr="00E73F6F">
        <w:t>Als</w:t>
      </w:r>
      <w:r w:rsidRPr="00E73F6F">
        <w:rPr>
          <w:spacing w:val="-11"/>
        </w:rPr>
        <w:t xml:space="preserve"> </w:t>
      </w:r>
      <w:r w:rsidRPr="00E73F6F">
        <w:t>grundlegend</w:t>
      </w:r>
      <w:r w:rsidRPr="00E73F6F">
        <w:rPr>
          <w:spacing w:val="-8"/>
        </w:rPr>
        <w:t xml:space="preserve"> </w:t>
      </w:r>
      <w:r w:rsidRPr="00E73F6F">
        <w:t>„unrein“</w:t>
      </w:r>
      <w:r w:rsidRPr="00E73F6F">
        <w:rPr>
          <w:spacing w:val="-11"/>
        </w:rPr>
        <w:t xml:space="preserve"> </w:t>
      </w:r>
      <w:r w:rsidRPr="00E73F6F">
        <w:t>gelten</w:t>
      </w:r>
      <w:r w:rsidRPr="00E73F6F">
        <w:rPr>
          <w:spacing w:val="-10"/>
        </w:rPr>
        <w:t xml:space="preserve"> </w:t>
      </w:r>
      <w:r w:rsidRPr="00E73F6F">
        <w:t>die</w:t>
      </w:r>
      <w:r w:rsidRPr="00E73F6F">
        <w:rPr>
          <w:spacing w:val="-9"/>
        </w:rPr>
        <w:t xml:space="preserve"> </w:t>
      </w:r>
      <w:r w:rsidRPr="00E73F6F">
        <w:t>Paria,</w:t>
      </w:r>
      <w:r w:rsidRPr="00E73F6F">
        <w:rPr>
          <w:spacing w:val="-9"/>
        </w:rPr>
        <w:t xml:space="preserve"> </w:t>
      </w:r>
      <w:r w:rsidRPr="00E73F6F">
        <w:t>die</w:t>
      </w:r>
      <w:r w:rsidRPr="00E73F6F">
        <w:rPr>
          <w:spacing w:val="-10"/>
        </w:rPr>
        <w:t xml:space="preserve"> </w:t>
      </w:r>
      <w:r w:rsidRPr="00E73F6F">
        <w:t>als</w:t>
      </w:r>
      <w:r w:rsidRPr="00E73F6F">
        <w:rPr>
          <w:spacing w:val="-9"/>
        </w:rPr>
        <w:t xml:space="preserve"> </w:t>
      </w:r>
      <w:r w:rsidRPr="00E73F6F">
        <w:t>Außenseiter</w:t>
      </w:r>
      <w:r w:rsidRPr="00E73F6F">
        <w:rPr>
          <w:spacing w:val="-9"/>
        </w:rPr>
        <w:t xml:space="preserve"> </w:t>
      </w:r>
      <w:r w:rsidRPr="00E73F6F">
        <w:t>in</w:t>
      </w:r>
      <w:r w:rsidRPr="00E73F6F">
        <w:rPr>
          <w:spacing w:val="-8"/>
        </w:rPr>
        <w:t xml:space="preserve"> </w:t>
      </w:r>
      <w:r w:rsidRPr="00E73F6F">
        <w:rPr>
          <w:spacing w:val="-5"/>
        </w:rPr>
        <w:t>der</w:t>
      </w:r>
      <w:r w:rsidR="00BD3D32" w:rsidRPr="00E73F6F">
        <w:rPr>
          <w:spacing w:val="-5"/>
        </w:rPr>
        <w:t xml:space="preserve"> </w:t>
      </w:r>
      <w:r w:rsidRPr="00E73F6F">
        <w:t>hinduistischen Gesellschaft keiner Kaste angehören. Sie werden auch als 'scheduled</w:t>
      </w:r>
      <w:r w:rsidRPr="00E73F6F">
        <w:rPr>
          <w:spacing w:val="-7"/>
        </w:rPr>
        <w:t xml:space="preserve"> </w:t>
      </w:r>
      <w:r w:rsidRPr="00E73F6F">
        <w:t>caste'</w:t>
      </w:r>
      <w:r w:rsidRPr="00E73F6F">
        <w:rPr>
          <w:spacing w:val="-9"/>
        </w:rPr>
        <w:t xml:space="preserve"> </w:t>
      </w:r>
      <w:r w:rsidRPr="00E73F6F">
        <w:t>bzw.</w:t>
      </w:r>
      <w:r w:rsidRPr="00E73F6F">
        <w:rPr>
          <w:spacing w:val="-7"/>
        </w:rPr>
        <w:t xml:space="preserve"> </w:t>
      </w:r>
      <w:r w:rsidRPr="00E73F6F">
        <w:t>als</w:t>
      </w:r>
      <w:r w:rsidRPr="00E73F6F">
        <w:rPr>
          <w:spacing w:val="-8"/>
        </w:rPr>
        <w:t xml:space="preserve"> </w:t>
      </w:r>
      <w:r w:rsidRPr="00E73F6F">
        <w:t>die</w:t>
      </w:r>
      <w:r w:rsidRPr="00E73F6F">
        <w:rPr>
          <w:spacing w:val="-8"/>
        </w:rPr>
        <w:t xml:space="preserve"> </w:t>
      </w:r>
      <w:r w:rsidRPr="00E73F6F">
        <w:t>Unberührbaren</w:t>
      </w:r>
      <w:r w:rsidRPr="00E73F6F">
        <w:rPr>
          <w:spacing w:val="-9"/>
        </w:rPr>
        <w:t xml:space="preserve"> </w:t>
      </w:r>
      <w:r w:rsidRPr="00E73F6F">
        <w:t>bezeichnet</w:t>
      </w:r>
      <w:r w:rsidRPr="00E73F6F">
        <w:rPr>
          <w:spacing w:val="-7"/>
        </w:rPr>
        <w:t xml:space="preserve"> </w:t>
      </w:r>
      <w:r w:rsidRPr="00E73F6F">
        <w:t>und</w:t>
      </w:r>
      <w:r w:rsidRPr="00E73F6F">
        <w:rPr>
          <w:spacing w:val="-7"/>
        </w:rPr>
        <w:t xml:space="preserve"> </w:t>
      </w:r>
      <w:r w:rsidRPr="00E73F6F">
        <w:t>machen</w:t>
      </w:r>
      <w:r w:rsidRPr="00E73F6F">
        <w:rPr>
          <w:spacing w:val="-7"/>
        </w:rPr>
        <w:t xml:space="preserve"> </w:t>
      </w:r>
      <w:r w:rsidRPr="00E73F6F">
        <w:t>ca.</w:t>
      </w:r>
      <w:r w:rsidRPr="00E73F6F">
        <w:rPr>
          <w:spacing w:val="-7"/>
        </w:rPr>
        <w:t xml:space="preserve"> </w:t>
      </w:r>
      <w:r w:rsidRPr="00E73F6F">
        <w:t>30%</w:t>
      </w:r>
      <w:r w:rsidRPr="00E73F6F">
        <w:rPr>
          <w:spacing w:val="-7"/>
        </w:rPr>
        <w:t xml:space="preserve"> </w:t>
      </w:r>
      <w:r w:rsidRPr="00E73F6F">
        <w:t>aller Hindus aus (vgl. Strohschneider 2001, S.24). Diese Grundformen werden weiterhin</w:t>
      </w:r>
      <w:r w:rsidRPr="00E73F6F">
        <w:rPr>
          <w:spacing w:val="-12"/>
        </w:rPr>
        <w:t xml:space="preserve"> </w:t>
      </w:r>
      <w:r w:rsidRPr="00E73F6F">
        <w:t>in</w:t>
      </w:r>
      <w:r w:rsidRPr="00E73F6F">
        <w:rPr>
          <w:spacing w:val="-11"/>
        </w:rPr>
        <w:t xml:space="preserve"> </w:t>
      </w:r>
      <w:r w:rsidRPr="00E73F6F">
        <w:t>etwa</w:t>
      </w:r>
      <w:r w:rsidRPr="00E73F6F">
        <w:rPr>
          <w:spacing w:val="-11"/>
        </w:rPr>
        <w:t xml:space="preserve"> </w:t>
      </w:r>
      <w:r w:rsidRPr="00E73F6F">
        <w:t>3.000</w:t>
      </w:r>
      <w:r w:rsidRPr="00E73F6F">
        <w:rPr>
          <w:spacing w:val="-11"/>
        </w:rPr>
        <w:t xml:space="preserve"> </w:t>
      </w:r>
      <w:r w:rsidRPr="00E73F6F">
        <w:t>Untergruppen</w:t>
      </w:r>
      <w:r w:rsidRPr="00E73F6F">
        <w:rPr>
          <w:spacing w:val="-12"/>
        </w:rPr>
        <w:t xml:space="preserve"> </w:t>
      </w:r>
      <w:r w:rsidRPr="00E73F6F">
        <w:t>unterteilt</w:t>
      </w:r>
      <w:r w:rsidRPr="00E73F6F">
        <w:rPr>
          <w:spacing w:val="-11"/>
        </w:rPr>
        <w:t xml:space="preserve"> </w:t>
      </w:r>
      <w:r w:rsidRPr="00E73F6F">
        <w:t>(vgl.</w:t>
      </w:r>
      <w:r w:rsidRPr="00E73F6F">
        <w:rPr>
          <w:spacing w:val="-11"/>
        </w:rPr>
        <w:t xml:space="preserve"> </w:t>
      </w:r>
      <w:r w:rsidRPr="00E73F6F">
        <w:t>Klostermaier</w:t>
      </w:r>
      <w:r w:rsidRPr="00E73F6F">
        <w:rPr>
          <w:spacing w:val="-11"/>
        </w:rPr>
        <w:t xml:space="preserve"> </w:t>
      </w:r>
      <w:r w:rsidRPr="00E73F6F">
        <w:t>1989).</w:t>
      </w:r>
      <w:r w:rsidRPr="00E73F6F">
        <w:rPr>
          <w:spacing w:val="-12"/>
        </w:rPr>
        <w:t xml:space="preserve"> </w:t>
      </w:r>
      <w:r w:rsidRPr="00E73F6F">
        <w:t>Daneben gibt</w:t>
      </w:r>
      <w:r w:rsidRPr="00E73F6F">
        <w:rPr>
          <w:spacing w:val="-7"/>
        </w:rPr>
        <w:t xml:space="preserve"> </w:t>
      </w:r>
      <w:r w:rsidRPr="00E73F6F">
        <w:t>es</w:t>
      </w:r>
      <w:r w:rsidRPr="00E73F6F">
        <w:rPr>
          <w:spacing w:val="-8"/>
        </w:rPr>
        <w:t xml:space="preserve"> </w:t>
      </w:r>
      <w:r w:rsidRPr="00E73F6F">
        <w:t>zahlreiche</w:t>
      </w:r>
      <w:r w:rsidRPr="00E73F6F">
        <w:rPr>
          <w:spacing w:val="-8"/>
        </w:rPr>
        <w:t xml:space="preserve"> </w:t>
      </w:r>
      <w:r w:rsidRPr="00E73F6F">
        <w:t>weitere</w:t>
      </w:r>
      <w:r w:rsidRPr="00E73F6F">
        <w:rPr>
          <w:spacing w:val="-8"/>
        </w:rPr>
        <w:t xml:space="preserve"> </w:t>
      </w:r>
      <w:r w:rsidRPr="00E73F6F">
        <w:t>Kasten,</w:t>
      </w:r>
      <w:r w:rsidRPr="00E73F6F">
        <w:rPr>
          <w:spacing w:val="-10"/>
        </w:rPr>
        <w:t xml:space="preserve"> </w:t>
      </w:r>
      <w:r w:rsidRPr="00E73F6F">
        <w:t>die</w:t>
      </w:r>
      <w:r w:rsidRPr="00E73F6F">
        <w:rPr>
          <w:spacing w:val="-8"/>
        </w:rPr>
        <w:t xml:space="preserve"> </w:t>
      </w:r>
      <w:r w:rsidRPr="00E73F6F">
        <w:t>regional</w:t>
      </w:r>
      <w:r w:rsidRPr="00E73F6F">
        <w:rPr>
          <w:spacing w:val="-7"/>
        </w:rPr>
        <w:t xml:space="preserve"> </w:t>
      </w:r>
      <w:r w:rsidRPr="00E73F6F">
        <w:t>begrenzt</w:t>
      </w:r>
      <w:r w:rsidRPr="00E73F6F">
        <w:rPr>
          <w:spacing w:val="-5"/>
        </w:rPr>
        <w:t xml:space="preserve"> </w:t>
      </w:r>
      <w:r w:rsidRPr="00E73F6F">
        <w:t>und/oder</w:t>
      </w:r>
      <w:r w:rsidRPr="00E73F6F">
        <w:rPr>
          <w:spacing w:val="-10"/>
        </w:rPr>
        <w:t xml:space="preserve"> </w:t>
      </w:r>
      <w:r w:rsidRPr="00E73F6F">
        <w:t>durch</w:t>
      </w:r>
      <w:r w:rsidRPr="00E73F6F">
        <w:rPr>
          <w:spacing w:val="-7"/>
        </w:rPr>
        <w:t xml:space="preserve"> </w:t>
      </w:r>
      <w:r w:rsidRPr="00E73F6F">
        <w:t xml:space="preserve">Vererbung des </w:t>
      </w:r>
      <w:r w:rsidRPr="00E73F6F">
        <w:lastRenderedPageBreak/>
        <w:t xml:space="preserve">Berufs entstanden sind. Sie überlagern die alte Ordnung. Die Mehrzahl der Vorschriften und Praktiken gilt für eine bestimmte Kaste, Region oder religiöse </w:t>
      </w:r>
      <w:r w:rsidRPr="00E73F6F">
        <w:rPr>
          <w:spacing w:val="-2"/>
        </w:rPr>
        <w:t>Strömung.</w:t>
      </w:r>
    </w:p>
    <w:p w14:paraId="6F1BA3C2" w14:textId="77777777" w:rsidR="00FF7799" w:rsidRPr="00E73F6F" w:rsidRDefault="00FF7799" w:rsidP="00EE2354">
      <w:pPr>
        <w:pStyle w:val="StandardText"/>
      </w:pPr>
      <w:r w:rsidRPr="00E73F6F">
        <w:t>Die 'varnas' genannten Kasten grenzen zwar die einzelnen Bevölkerungsgruppen voneinander</w:t>
      </w:r>
      <w:r w:rsidRPr="00E73F6F">
        <w:rPr>
          <w:spacing w:val="-12"/>
        </w:rPr>
        <w:t xml:space="preserve"> </w:t>
      </w:r>
      <w:r w:rsidRPr="00E73F6F">
        <w:t>ab,</w:t>
      </w:r>
      <w:r w:rsidRPr="00E73F6F">
        <w:rPr>
          <w:spacing w:val="-9"/>
        </w:rPr>
        <w:t xml:space="preserve"> </w:t>
      </w:r>
      <w:r w:rsidRPr="00E73F6F">
        <w:t>aber</w:t>
      </w:r>
      <w:r w:rsidRPr="00E73F6F">
        <w:rPr>
          <w:spacing w:val="-10"/>
        </w:rPr>
        <w:t xml:space="preserve"> </w:t>
      </w:r>
      <w:r w:rsidRPr="00E73F6F">
        <w:t>primär</w:t>
      </w:r>
      <w:r w:rsidRPr="00E73F6F">
        <w:rPr>
          <w:spacing w:val="-10"/>
        </w:rPr>
        <w:t xml:space="preserve"> </w:t>
      </w:r>
      <w:r w:rsidRPr="00E73F6F">
        <w:t>in</w:t>
      </w:r>
      <w:r w:rsidRPr="00E73F6F">
        <w:rPr>
          <w:spacing w:val="-9"/>
        </w:rPr>
        <w:t xml:space="preserve"> </w:t>
      </w:r>
      <w:r w:rsidRPr="00E73F6F">
        <w:t>einem</w:t>
      </w:r>
      <w:r w:rsidRPr="00E73F6F">
        <w:rPr>
          <w:spacing w:val="-11"/>
        </w:rPr>
        <w:t xml:space="preserve"> </w:t>
      </w:r>
      <w:r w:rsidRPr="00E73F6F">
        <w:t>spirituellen,</w:t>
      </w:r>
      <w:r w:rsidRPr="00E73F6F">
        <w:rPr>
          <w:spacing w:val="-12"/>
        </w:rPr>
        <w:t xml:space="preserve"> </w:t>
      </w:r>
      <w:r w:rsidRPr="00E73F6F">
        <w:t>abstrakten</w:t>
      </w:r>
      <w:r w:rsidRPr="00E73F6F">
        <w:rPr>
          <w:spacing w:val="-8"/>
        </w:rPr>
        <w:t xml:space="preserve"> </w:t>
      </w:r>
      <w:r w:rsidRPr="00E73F6F">
        <w:t>Sinne.</w:t>
      </w:r>
      <w:r w:rsidRPr="00E73F6F">
        <w:rPr>
          <w:spacing w:val="-12"/>
        </w:rPr>
        <w:t xml:space="preserve"> </w:t>
      </w:r>
      <w:r w:rsidRPr="00E73F6F">
        <w:t>Für</w:t>
      </w:r>
      <w:r w:rsidRPr="00E73F6F">
        <w:rPr>
          <w:spacing w:val="-11"/>
        </w:rPr>
        <w:t xml:space="preserve"> </w:t>
      </w:r>
      <w:r w:rsidRPr="00E73F6F">
        <w:t>den</w:t>
      </w:r>
      <w:r w:rsidRPr="00E73F6F">
        <w:rPr>
          <w:spacing w:val="-8"/>
        </w:rPr>
        <w:t xml:space="preserve"> </w:t>
      </w:r>
      <w:r w:rsidRPr="00E73F6F">
        <w:t>Alltag sind andere soziale Kategorien bedeutsam: die 'jatis', die Angehörige derselben Berufsgruppe vereinen. Wie im Falle der 'varnas' ist die Zugehörigkeit zu diesen Gemeinschaften unveränderlich und durch Geburt bestimmt ('jan' = geboren werden). 'Jatis' beschränken sich oft auf eine bestimmte Region; ihre Mitglieder pflegen untereinander enge Beziehungen und heiraten nur untereinander – nach außen</w:t>
      </w:r>
      <w:r w:rsidRPr="00E73F6F">
        <w:rPr>
          <w:spacing w:val="-1"/>
        </w:rPr>
        <w:t xml:space="preserve"> </w:t>
      </w:r>
      <w:r w:rsidRPr="00E73F6F">
        <w:t>grenzen</w:t>
      </w:r>
      <w:r w:rsidRPr="00E73F6F">
        <w:rPr>
          <w:spacing w:val="-1"/>
        </w:rPr>
        <w:t xml:space="preserve"> </w:t>
      </w:r>
      <w:r w:rsidRPr="00E73F6F">
        <w:t>sie</w:t>
      </w:r>
      <w:r w:rsidRPr="00E73F6F">
        <w:rPr>
          <w:spacing w:val="-3"/>
        </w:rPr>
        <w:t xml:space="preserve"> </w:t>
      </w:r>
      <w:r w:rsidRPr="00E73F6F">
        <w:t>sich</w:t>
      </w:r>
      <w:r w:rsidRPr="00E73F6F">
        <w:rPr>
          <w:spacing w:val="-1"/>
        </w:rPr>
        <w:t xml:space="preserve"> </w:t>
      </w:r>
      <w:r w:rsidRPr="00E73F6F">
        <w:t>ab.</w:t>
      </w:r>
      <w:r w:rsidRPr="00E73F6F">
        <w:rPr>
          <w:spacing w:val="-4"/>
        </w:rPr>
        <w:t xml:space="preserve"> </w:t>
      </w:r>
      <w:r w:rsidRPr="00E73F6F">
        <w:t>Seine</w:t>
      </w:r>
      <w:r w:rsidRPr="00E73F6F">
        <w:rPr>
          <w:spacing w:val="-5"/>
        </w:rPr>
        <w:t xml:space="preserve"> </w:t>
      </w:r>
      <w:r w:rsidRPr="00E73F6F">
        <w:t>gesellschaftliche</w:t>
      </w:r>
      <w:r w:rsidRPr="00E73F6F">
        <w:rPr>
          <w:spacing w:val="-3"/>
        </w:rPr>
        <w:t xml:space="preserve"> </w:t>
      </w:r>
      <w:r w:rsidRPr="00E73F6F">
        <w:t>Stellung</w:t>
      </w:r>
      <w:r w:rsidRPr="00E73F6F">
        <w:rPr>
          <w:spacing w:val="-3"/>
        </w:rPr>
        <w:t xml:space="preserve"> </w:t>
      </w:r>
      <w:r w:rsidRPr="00E73F6F">
        <w:t>verdankt</w:t>
      </w:r>
      <w:r w:rsidRPr="00E73F6F">
        <w:rPr>
          <w:spacing w:val="-2"/>
        </w:rPr>
        <w:t xml:space="preserve"> </w:t>
      </w:r>
      <w:r w:rsidRPr="00E73F6F">
        <w:t>ein</w:t>
      </w:r>
      <w:r w:rsidRPr="00E73F6F">
        <w:rPr>
          <w:spacing w:val="-1"/>
        </w:rPr>
        <w:t xml:space="preserve"> </w:t>
      </w:r>
      <w:r w:rsidRPr="00E73F6F">
        <w:t>'jati'</w:t>
      </w:r>
      <w:r w:rsidRPr="00E73F6F">
        <w:rPr>
          <w:spacing w:val="-3"/>
        </w:rPr>
        <w:t xml:space="preserve"> </w:t>
      </w:r>
      <w:r w:rsidRPr="00E73F6F">
        <w:t>zwar auch Macht und Reichtum, vor allem aber dem Grad seiner Reinheit (vgl. Strohschneider 2001, S.25). Nur wer rein ist, dessen Gebete werden erhört und dessen Opfergaben haben die gewünschte Wirkung.</w:t>
      </w:r>
    </w:p>
    <w:p w14:paraId="12662C3C" w14:textId="77777777" w:rsidR="00FF7799" w:rsidRPr="00E73F6F" w:rsidRDefault="00FF7799" w:rsidP="00EE2354">
      <w:pPr>
        <w:pStyle w:val="StandardText"/>
      </w:pPr>
      <w:r w:rsidRPr="00E73F6F">
        <w:t>Da die Menschen nach dem Grad ihrer Reinheit hierarchisch geordnet sind, kann der</w:t>
      </w:r>
      <w:r w:rsidRPr="00E73F6F">
        <w:rPr>
          <w:spacing w:val="-10"/>
        </w:rPr>
        <w:t xml:space="preserve"> </w:t>
      </w:r>
      <w:r w:rsidRPr="00E73F6F">
        <w:t>Kontakt</w:t>
      </w:r>
      <w:r w:rsidRPr="00E73F6F">
        <w:rPr>
          <w:spacing w:val="-10"/>
        </w:rPr>
        <w:t xml:space="preserve"> </w:t>
      </w:r>
      <w:r w:rsidRPr="00E73F6F">
        <w:t>mit</w:t>
      </w:r>
      <w:r w:rsidRPr="00E73F6F">
        <w:rPr>
          <w:spacing w:val="-10"/>
        </w:rPr>
        <w:t xml:space="preserve"> </w:t>
      </w:r>
      <w:r w:rsidRPr="00E73F6F">
        <w:t>Niederrangigen</w:t>
      </w:r>
      <w:r w:rsidRPr="00E73F6F">
        <w:rPr>
          <w:spacing w:val="-11"/>
        </w:rPr>
        <w:t xml:space="preserve"> </w:t>
      </w:r>
      <w:r w:rsidRPr="00E73F6F">
        <w:t>zur</w:t>
      </w:r>
      <w:r w:rsidRPr="00E73F6F">
        <w:rPr>
          <w:spacing w:val="-10"/>
        </w:rPr>
        <w:t xml:space="preserve"> </w:t>
      </w:r>
      <w:r w:rsidRPr="00E73F6F">
        <w:t>Verunreinigung</w:t>
      </w:r>
      <w:r w:rsidRPr="00E73F6F">
        <w:rPr>
          <w:spacing w:val="-9"/>
        </w:rPr>
        <w:t xml:space="preserve"> </w:t>
      </w:r>
      <w:r w:rsidRPr="00E73F6F">
        <w:t>führen</w:t>
      </w:r>
      <w:r w:rsidRPr="00E73F6F">
        <w:rPr>
          <w:spacing w:val="-10"/>
        </w:rPr>
        <w:t xml:space="preserve"> </w:t>
      </w:r>
      <w:r w:rsidRPr="00E73F6F">
        <w:t>–</w:t>
      </w:r>
      <w:r w:rsidRPr="00E73F6F">
        <w:rPr>
          <w:spacing w:val="-9"/>
        </w:rPr>
        <w:t xml:space="preserve"> </w:t>
      </w:r>
      <w:r w:rsidRPr="00E73F6F">
        <w:t>derer</w:t>
      </w:r>
      <w:r w:rsidRPr="00E73F6F">
        <w:rPr>
          <w:spacing w:val="-12"/>
        </w:rPr>
        <w:t xml:space="preserve"> </w:t>
      </w:r>
      <w:r w:rsidRPr="00E73F6F">
        <w:t>man</w:t>
      </w:r>
      <w:r w:rsidRPr="00E73F6F">
        <w:rPr>
          <w:spacing w:val="-8"/>
        </w:rPr>
        <w:t xml:space="preserve"> </w:t>
      </w:r>
      <w:r w:rsidRPr="00E73F6F">
        <w:t>sich</w:t>
      </w:r>
      <w:r w:rsidRPr="00E73F6F">
        <w:rPr>
          <w:spacing w:val="-9"/>
        </w:rPr>
        <w:t xml:space="preserve"> </w:t>
      </w:r>
      <w:r w:rsidRPr="00E73F6F">
        <w:t>durch aufwändige Reinigungsrituale entledigen muss. Körperlicher Kontakt wird daher oft vermieden, insb. dann, wenn der Reinheitsstatus des Gegenübers ungeklärt, mutmaßlich</w:t>
      </w:r>
      <w:r w:rsidRPr="00E73F6F">
        <w:rPr>
          <w:spacing w:val="-12"/>
        </w:rPr>
        <w:t xml:space="preserve"> </w:t>
      </w:r>
      <w:r w:rsidRPr="00E73F6F">
        <w:t>niedriger</w:t>
      </w:r>
      <w:r w:rsidRPr="00E73F6F">
        <w:rPr>
          <w:spacing w:val="-11"/>
        </w:rPr>
        <w:t xml:space="preserve"> </w:t>
      </w:r>
      <w:r w:rsidRPr="00E73F6F">
        <w:t>ist.</w:t>
      </w:r>
      <w:r w:rsidRPr="00E73F6F">
        <w:rPr>
          <w:spacing w:val="-11"/>
        </w:rPr>
        <w:t xml:space="preserve"> </w:t>
      </w:r>
      <w:r w:rsidRPr="00E73F6F">
        <w:t>Den</w:t>
      </w:r>
      <w:r w:rsidRPr="00E73F6F">
        <w:rPr>
          <w:spacing w:val="-11"/>
        </w:rPr>
        <w:t xml:space="preserve"> </w:t>
      </w:r>
      <w:r w:rsidRPr="00E73F6F">
        <w:t>höchsten</w:t>
      </w:r>
      <w:r w:rsidRPr="00E73F6F">
        <w:rPr>
          <w:spacing w:val="-12"/>
        </w:rPr>
        <w:t xml:space="preserve"> </w:t>
      </w:r>
      <w:r w:rsidRPr="00E73F6F">
        <w:t>Status</w:t>
      </w:r>
      <w:r w:rsidRPr="00E73F6F">
        <w:rPr>
          <w:spacing w:val="-11"/>
        </w:rPr>
        <w:t xml:space="preserve"> </w:t>
      </w:r>
      <w:r w:rsidRPr="00E73F6F">
        <w:t>haben</w:t>
      </w:r>
      <w:r w:rsidRPr="00E73F6F">
        <w:rPr>
          <w:spacing w:val="-11"/>
        </w:rPr>
        <w:t xml:space="preserve"> </w:t>
      </w:r>
      <w:r w:rsidRPr="00E73F6F">
        <w:t>die</w:t>
      </w:r>
      <w:r w:rsidRPr="00E73F6F">
        <w:rPr>
          <w:spacing w:val="-11"/>
        </w:rPr>
        <w:t xml:space="preserve"> </w:t>
      </w:r>
      <w:r w:rsidRPr="00E73F6F">
        <w:t>Brahmanen,</w:t>
      </w:r>
      <w:r w:rsidRPr="00E73F6F">
        <w:rPr>
          <w:spacing w:val="-11"/>
        </w:rPr>
        <w:t xml:space="preserve"> </w:t>
      </w:r>
      <w:r w:rsidRPr="00E73F6F">
        <w:t>weshalb</w:t>
      </w:r>
      <w:r w:rsidRPr="00E73F6F">
        <w:rPr>
          <w:spacing w:val="-11"/>
        </w:rPr>
        <w:t xml:space="preserve"> </w:t>
      </w:r>
      <w:r w:rsidRPr="00E73F6F">
        <w:t>man unter Köchen viele Angehörige dieser Kaste findet. Denn was sie gekocht haben, kann jeder Hindu verzehren, ohne Gefahr zu laufen, sich zu verunreinigen (vgl. Strohschneider 2001, S.23).</w:t>
      </w:r>
    </w:p>
    <w:p w14:paraId="74BBBCDB" w14:textId="77777777" w:rsidR="00FF7799" w:rsidRPr="00E73F6F" w:rsidRDefault="00FF7799" w:rsidP="00EE2354">
      <w:pPr>
        <w:pStyle w:val="StandardText"/>
      </w:pPr>
      <w:r w:rsidRPr="00E73F6F">
        <w:t>Hindus</w:t>
      </w:r>
      <w:r w:rsidRPr="00E73F6F">
        <w:rPr>
          <w:spacing w:val="-3"/>
        </w:rPr>
        <w:t xml:space="preserve"> </w:t>
      </w:r>
      <w:r w:rsidRPr="00E73F6F">
        <w:t>verfolgen</w:t>
      </w:r>
      <w:r w:rsidRPr="00E73F6F">
        <w:rPr>
          <w:spacing w:val="-1"/>
        </w:rPr>
        <w:t xml:space="preserve"> </w:t>
      </w:r>
      <w:r w:rsidRPr="00E73F6F">
        <w:t>vier</w:t>
      </w:r>
      <w:r w:rsidRPr="00E73F6F">
        <w:rPr>
          <w:spacing w:val="-1"/>
        </w:rPr>
        <w:t xml:space="preserve"> </w:t>
      </w:r>
      <w:r w:rsidRPr="00E73F6F">
        <w:t>Lebensziele</w:t>
      </w:r>
      <w:r w:rsidRPr="00E73F6F">
        <w:rPr>
          <w:spacing w:val="-1"/>
        </w:rPr>
        <w:t xml:space="preserve"> </w:t>
      </w:r>
      <w:r w:rsidRPr="00E73F6F">
        <w:t>(vgl.</w:t>
      </w:r>
      <w:r w:rsidRPr="00E73F6F">
        <w:rPr>
          <w:spacing w:val="-3"/>
        </w:rPr>
        <w:t xml:space="preserve"> </w:t>
      </w:r>
      <w:r w:rsidRPr="00E73F6F">
        <w:t>Strohschneider</w:t>
      </w:r>
      <w:r w:rsidRPr="00E73F6F">
        <w:rPr>
          <w:spacing w:val="-1"/>
        </w:rPr>
        <w:t xml:space="preserve"> </w:t>
      </w:r>
      <w:r w:rsidRPr="00E73F6F">
        <w:t>2001,</w:t>
      </w:r>
      <w:r w:rsidRPr="00E73F6F">
        <w:rPr>
          <w:spacing w:val="-2"/>
        </w:rPr>
        <w:t xml:space="preserve"> S.23):</w:t>
      </w:r>
    </w:p>
    <w:p w14:paraId="61490D33" w14:textId="77777777" w:rsidR="00FF7799" w:rsidRPr="00E73F6F" w:rsidRDefault="00FF7799" w:rsidP="0071457A">
      <w:pPr>
        <w:pStyle w:val="StandardTextAufzhlung"/>
        <w:ind w:left="-851" w:firstLine="993"/>
      </w:pPr>
      <w:r w:rsidRPr="00E73F6F">
        <w:t>Dharma:</w:t>
      </w:r>
      <w:r w:rsidRPr="00E73F6F">
        <w:rPr>
          <w:spacing w:val="-2"/>
        </w:rPr>
        <w:t xml:space="preserve"> </w:t>
      </w:r>
      <w:r w:rsidRPr="00E73F6F">
        <w:t>Erfüllung</w:t>
      </w:r>
      <w:r w:rsidRPr="00E73F6F">
        <w:rPr>
          <w:spacing w:val="-3"/>
        </w:rPr>
        <w:t xml:space="preserve"> </w:t>
      </w:r>
      <w:r w:rsidRPr="00E73F6F">
        <w:t>der</w:t>
      </w:r>
      <w:r w:rsidRPr="00E73F6F">
        <w:rPr>
          <w:spacing w:val="-2"/>
        </w:rPr>
        <w:t xml:space="preserve"> </w:t>
      </w:r>
      <w:r w:rsidRPr="00E73F6F">
        <w:t>Pflichten</w:t>
      </w:r>
      <w:r w:rsidRPr="00E73F6F">
        <w:rPr>
          <w:spacing w:val="-4"/>
        </w:rPr>
        <w:t xml:space="preserve"> </w:t>
      </w:r>
      <w:r w:rsidRPr="00E73F6F">
        <w:t>innerhalb</w:t>
      </w:r>
      <w:r w:rsidRPr="00E73F6F">
        <w:rPr>
          <w:spacing w:val="-1"/>
        </w:rPr>
        <w:t xml:space="preserve"> </w:t>
      </w:r>
      <w:r w:rsidRPr="00E73F6F">
        <w:t>der</w:t>
      </w:r>
      <w:r w:rsidRPr="00E73F6F">
        <w:rPr>
          <w:spacing w:val="-2"/>
        </w:rPr>
        <w:t xml:space="preserve"> </w:t>
      </w:r>
      <w:r w:rsidRPr="00E73F6F">
        <w:t xml:space="preserve">sozialen </w:t>
      </w:r>
      <w:r w:rsidRPr="00E73F6F">
        <w:rPr>
          <w:spacing w:val="-2"/>
        </w:rPr>
        <w:t>Hierarchie,</w:t>
      </w:r>
    </w:p>
    <w:p w14:paraId="4A8C503E" w14:textId="77777777" w:rsidR="00FF7799" w:rsidRPr="00E73F6F" w:rsidRDefault="00FF7799" w:rsidP="0071457A">
      <w:pPr>
        <w:pStyle w:val="StandardTextAufzhlung"/>
        <w:ind w:left="-851" w:firstLine="993"/>
      </w:pPr>
      <w:r w:rsidRPr="00E73F6F">
        <w:t>Artha:</w:t>
      </w:r>
      <w:r w:rsidRPr="00E73F6F">
        <w:rPr>
          <w:spacing w:val="-2"/>
        </w:rPr>
        <w:t xml:space="preserve"> </w:t>
      </w:r>
      <w:r w:rsidRPr="00E73F6F">
        <w:t>Besitz</w:t>
      </w:r>
      <w:r w:rsidRPr="00E73F6F">
        <w:rPr>
          <w:spacing w:val="-1"/>
        </w:rPr>
        <w:t xml:space="preserve"> </w:t>
      </w:r>
      <w:r w:rsidRPr="00E73F6F">
        <w:t>und</w:t>
      </w:r>
      <w:r w:rsidRPr="00E73F6F">
        <w:rPr>
          <w:spacing w:val="-1"/>
        </w:rPr>
        <w:t xml:space="preserve"> </w:t>
      </w:r>
      <w:r w:rsidRPr="00E73F6F">
        <w:t>materieller</w:t>
      </w:r>
      <w:r w:rsidRPr="00E73F6F">
        <w:rPr>
          <w:spacing w:val="-1"/>
        </w:rPr>
        <w:t xml:space="preserve"> </w:t>
      </w:r>
      <w:r w:rsidRPr="00E73F6F">
        <w:rPr>
          <w:spacing w:val="-2"/>
        </w:rPr>
        <w:t>Wohlstand,</w:t>
      </w:r>
    </w:p>
    <w:p w14:paraId="03EF37E3" w14:textId="77777777" w:rsidR="00FF7799" w:rsidRPr="00E73F6F" w:rsidRDefault="00FF7799" w:rsidP="0071457A">
      <w:pPr>
        <w:pStyle w:val="StandardTextAufzhlung"/>
        <w:ind w:left="-851" w:firstLine="993"/>
      </w:pPr>
      <w:r w:rsidRPr="00E73F6F">
        <w:t>Kama:</w:t>
      </w:r>
      <w:r w:rsidRPr="00E73F6F">
        <w:rPr>
          <w:spacing w:val="-2"/>
        </w:rPr>
        <w:t xml:space="preserve"> </w:t>
      </w:r>
      <w:r w:rsidRPr="00E73F6F">
        <w:t>Liebe</w:t>
      </w:r>
      <w:r w:rsidRPr="00E73F6F">
        <w:rPr>
          <w:spacing w:val="-2"/>
        </w:rPr>
        <w:t xml:space="preserve"> </w:t>
      </w:r>
      <w:r w:rsidRPr="00E73F6F">
        <w:t>und</w:t>
      </w:r>
      <w:r w:rsidRPr="00E73F6F">
        <w:rPr>
          <w:spacing w:val="-1"/>
        </w:rPr>
        <w:t xml:space="preserve"> </w:t>
      </w:r>
      <w:r w:rsidRPr="00E73F6F">
        <w:t>sensuelle</w:t>
      </w:r>
      <w:r w:rsidRPr="00E73F6F">
        <w:rPr>
          <w:spacing w:val="-2"/>
        </w:rPr>
        <w:t xml:space="preserve"> Erfüllung,</w:t>
      </w:r>
    </w:p>
    <w:p w14:paraId="0B3FBF62" w14:textId="77777777" w:rsidR="00FF7799" w:rsidRPr="00E73F6F" w:rsidRDefault="00FF7799" w:rsidP="0071457A">
      <w:pPr>
        <w:pStyle w:val="StandardTextAufzhlung"/>
        <w:ind w:left="-851" w:firstLine="993"/>
      </w:pPr>
      <w:r w:rsidRPr="00E73F6F">
        <w:t>Moksa:</w:t>
      </w:r>
      <w:r w:rsidRPr="00E73F6F">
        <w:rPr>
          <w:spacing w:val="-1"/>
        </w:rPr>
        <w:t xml:space="preserve"> </w:t>
      </w:r>
      <w:r w:rsidRPr="00E73F6F">
        <w:t>Erlösung</w:t>
      </w:r>
      <w:r w:rsidRPr="00E73F6F">
        <w:rPr>
          <w:spacing w:val="-2"/>
        </w:rPr>
        <w:t xml:space="preserve"> </w:t>
      </w:r>
      <w:r w:rsidRPr="00E73F6F">
        <w:t>und</w:t>
      </w:r>
      <w:r w:rsidRPr="00E73F6F">
        <w:rPr>
          <w:spacing w:val="-1"/>
        </w:rPr>
        <w:t xml:space="preserve"> </w:t>
      </w:r>
      <w:r w:rsidRPr="00E73F6F">
        <w:t>Befreiung</w:t>
      </w:r>
      <w:r w:rsidRPr="00E73F6F">
        <w:rPr>
          <w:spacing w:val="-1"/>
        </w:rPr>
        <w:t xml:space="preserve"> </w:t>
      </w:r>
      <w:r w:rsidRPr="00E73F6F">
        <w:t>von</w:t>
      </w:r>
      <w:r w:rsidRPr="00E73F6F">
        <w:rPr>
          <w:spacing w:val="-2"/>
        </w:rPr>
        <w:t xml:space="preserve"> </w:t>
      </w:r>
      <w:r w:rsidRPr="00E73F6F">
        <w:t>der</w:t>
      </w:r>
      <w:r w:rsidRPr="00E73F6F">
        <w:rPr>
          <w:spacing w:val="-1"/>
        </w:rPr>
        <w:t xml:space="preserve"> </w:t>
      </w:r>
      <w:r w:rsidRPr="00E73F6F">
        <w:rPr>
          <w:spacing w:val="-2"/>
        </w:rPr>
        <w:t>Welt.</w:t>
      </w:r>
    </w:p>
    <w:p w14:paraId="212B4E39" w14:textId="77777777" w:rsidR="0071457A" w:rsidRDefault="0071457A" w:rsidP="00EE2354">
      <w:pPr>
        <w:pStyle w:val="StandardText"/>
      </w:pPr>
    </w:p>
    <w:p w14:paraId="279DC3C2" w14:textId="69BA0A55" w:rsidR="0084364F" w:rsidRDefault="00FF7799" w:rsidP="00EE2354">
      <w:pPr>
        <w:pStyle w:val="StandardText"/>
      </w:pPr>
      <w:r w:rsidRPr="00E73F6F">
        <w:t>Askese ist eine Bedingung für Erlösung. Man lernt sie in der Jugend, in der sog. Brahmacharya-Phase. Danach bewährt sich der Hindu im Beruf</w:t>
      </w:r>
      <w:r w:rsidRPr="00E73F6F">
        <w:rPr>
          <w:spacing w:val="-1"/>
        </w:rPr>
        <w:t xml:space="preserve"> </w:t>
      </w:r>
      <w:r w:rsidRPr="00E73F6F">
        <w:t>und erfüllt in der Grihastha-Phase seine weltlichen Pflichten. Im späten Erwachsenenalter begibt man sich auf den Weg na</w:t>
      </w:r>
      <w:r w:rsidR="0084364F">
        <w:t>ch Innen, zum Selbst ('atman').</w:t>
      </w:r>
    </w:p>
    <w:p w14:paraId="6A6BA2F2" w14:textId="77777777" w:rsidR="00FF7799" w:rsidRPr="001C1AD9" w:rsidRDefault="00FF7799" w:rsidP="00EE2354">
      <w:pPr>
        <w:pStyle w:val="StandardText"/>
      </w:pPr>
      <w:r w:rsidRPr="00D60D29">
        <w:rPr>
          <w:b/>
          <w:i/>
          <w:sz w:val="22"/>
          <w:szCs w:val="22"/>
        </w:rPr>
        <w:t>Literatur</w:t>
      </w:r>
      <w:r w:rsidRPr="00D60D29">
        <w:rPr>
          <w:i/>
          <w:sz w:val="22"/>
          <w:szCs w:val="22"/>
        </w:rPr>
        <w:t>:</w:t>
      </w:r>
      <w:r w:rsidRPr="00D60D29">
        <w:rPr>
          <w:spacing w:val="9"/>
          <w:sz w:val="22"/>
          <w:szCs w:val="22"/>
        </w:rPr>
        <w:t xml:space="preserve"> </w:t>
      </w:r>
      <w:r w:rsidR="0084364F" w:rsidRPr="001C1AD9">
        <w:rPr>
          <w:sz w:val="22"/>
          <w:szCs w:val="22"/>
        </w:rPr>
        <w:t xml:space="preserve">Gelbrich, K. Müller, S. (2023): Interreligiöses Marketing, S. 55ff., Berlin: de Gruyter.   </w:t>
      </w:r>
      <w:r w:rsidRPr="001C1AD9">
        <w:rPr>
          <w:sz w:val="22"/>
          <w:szCs w:val="22"/>
        </w:rPr>
        <w:t>Klostermaier,</w:t>
      </w:r>
      <w:r w:rsidRPr="001C1AD9">
        <w:rPr>
          <w:spacing w:val="-7"/>
          <w:sz w:val="22"/>
          <w:szCs w:val="22"/>
        </w:rPr>
        <w:t xml:space="preserve"> </w:t>
      </w:r>
      <w:r w:rsidRPr="001C1AD9">
        <w:rPr>
          <w:sz w:val="22"/>
          <w:szCs w:val="22"/>
        </w:rPr>
        <w:t>K.K.</w:t>
      </w:r>
      <w:r w:rsidRPr="001C1AD9">
        <w:rPr>
          <w:spacing w:val="-5"/>
          <w:sz w:val="22"/>
          <w:szCs w:val="22"/>
        </w:rPr>
        <w:t xml:space="preserve"> </w:t>
      </w:r>
      <w:r w:rsidRPr="001C1AD9">
        <w:rPr>
          <w:sz w:val="22"/>
          <w:szCs w:val="22"/>
        </w:rPr>
        <w:t>(1989):</w:t>
      </w:r>
      <w:r w:rsidRPr="001C1AD9">
        <w:rPr>
          <w:spacing w:val="-4"/>
          <w:sz w:val="22"/>
          <w:szCs w:val="22"/>
        </w:rPr>
        <w:t xml:space="preserve"> </w:t>
      </w:r>
      <w:r w:rsidRPr="001C1AD9">
        <w:rPr>
          <w:sz w:val="22"/>
          <w:szCs w:val="22"/>
        </w:rPr>
        <w:t>A</w:t>
      </w:r>
      <w:r w:rsidRPr="001C1AD9">
        <w:rPr>
          <w:spacing w:val="-6"/>
          <w:sz w:val="22"/>
          <w:szCs w:val="22"/>
        </w:rPr>
        <w:t xml:space="preserve"> </w:t>
      </w:r>
      <w:r w:rsidRPr="001C1AD9">
        <w:rPr>
          <w:sz w:val="22"/>
          <w:szCs w:val="22"/>
        </w:rPr>
        <w:t>Survey</w:t>
      </w:r>
      <w:r w:rsidRPr="001C1AD9">
        <w:rPr>
          <w:spacing w:val="-6"/>
          <w:sz w:val="22"/>
          <w:szCs w:val="22"/>
        </w:rPr>
        <w:t xml:space="preserve"> </w:t>
      </w:r>
      <w:r w:rsidRPr="001C1AD9">
        <w:rPr>
          <w:sz w:val="22"/>
          <w:szCs w:val="22"/>
        </w:rPr>
        <w:t>of</w:t>
      </w:r>
      <w:r w:rsidRPr="001C1AD9">
        <w:rPr>
          <w:spacing w:val="-6"/>
          <w:sz w:val="22"/>
          <w:szCs w:val="22"/>
        </w:rPr>
        <w:t xml:space="preserve"> </w:t>
      </w:r>
      <w:r w:rsidRPr="001C1AD9">
        <w:rPr>
          <w:sz w:val="22"/>
          <w:szCs w:val="22"/>
        </w:rPr>
        <w:t>Hinduism,</w:t>
      </w:r>
      <w:r w:rsidRPr="001C1AD9">
        <w:rPr>
          <w:spacing w:val="-4"/>
          <w:sz w:val="22"/>
          <w:szCs w:val="22"/>
        </w:rPr>
        <w:t xml:space="preserve"> </w:t>
      </w:r>
      <w:r w:rsidRPr="001C1AD9">
        <w:rPr>
          <w:sz w:val="22"/>
          <w:szCs w:val="22"/>
        </w:rPr>
        <w:t>New</w:t>
      </w:r>
      <w:r w:rsidRPr="001C1AD9">
        <w:rPr>
          <w:spacing w:val="-6"/>
          <w:sz w:val="22"/>
          <w:szCs w:val="22"/>
        </w:rPr>
        <w:t xml:space="preserve"> </w:t>
      </w:r>
      <w:r w:rsidRPr="001C1AD9">
        <w:rPr>
          <w:sz w:val="22"/>
          <w:szCs w:val="22"/>
        </w:rPr>
        <w:t>York:</w:t>
      </w:r>
      <w:r w:rsidRPr="001C1AD9">
        <w:rPr>
          <w:spacing w:val="-6"/>
          <w:sz w:val="22"/>
          <w:szCs w:val="22"/>
        </w:rPr>
        <w:t xml:space="preserve"> </w:t>
      </w:r>
      <w:r w:rsidRPr="001C1AD9">
        <w:rPr>
          <w:sz w:val="22"/>
          <w:szCs w:val="22"/>
        </w:rPr>
        <w:t>SUNY</w:t>
      </w:r>
      <w:r w:rsidRPr="001C1AD9">
        <w:rPr>
          <w:spacing w:val="-5"/>
          <w:sz w:val="22"/>
          <w:szCs w:val="22"/>
        </w:rPr>
        <w:t xml:space="preserve"> </w:t>
      </w:r>
      <w:r w:rsidRPr="001C1AD9">
        <w:rPr>
          <w:spacing w:val="-2"/>
          <w:sz w:val="22"/>
          <w:szCs w:val="22"/>
        </w:rPr>
        <w:t xml:space="preserve">Press. </w:t>
      </w:r>
      <w:r w:rsidRPr="001C1AD9">
        <w:rPr>
          <w:sz w:val="22"/>
          <w:szCs w:val="22"/>
        </w:rPr>
        <w:t>o.V. Neue Religionen, in: Lexikonredaktion des Verlags F.A. Brockhaus (Hrsg.), Der</w:t>
      </w:r>
      <w:r w:rsidRPr="001C1AD9">
        <w:rPr>
          <w:spacing w:val="40"/>
          <w:sz w:val="22"/>
          <w:szCs w:val="22"/>
        </w:rPr>
        <w:t xml:space="preserve"> </w:t>
      </w:r>
      <w:r w:rsidRPr="001C1AD9">
        <w:rPr>
          <w:sz w:val="22"/>
          <w:szCs w:val="22"/>
        </w:rPr>
        <w:t>Brockhaus. Religion, 461-464, Mannheim: Brockhaus.</w:t>
      </w:r>
      <w:r w:rsidRPr="001C1AD9">
        <w:rPr>
          <w:spacing w:val="80"/>
          <w:sz w:val="22"/>
          <w:szCs w:val="22"/>
        </w:rPr>
        <w:t xml:space="preserve"> </w:t>
      </w:r>
      <w:r w:rsidRPr="001C1AD9">
        <w:rPr>
          <w:sz w:val="22"/>
          <w:szCs w:val="22"/>
        </w:rPr>
        <w:t>Pye, M.; Kleine, C.; Dech, M.</w:t>
      </w:r>
      <w:r w:rsidRPr="001C1AD9">
        <w:rPr>
          <w:spacing w:val="40"/>
          <w:sz w:val="22"/>
          <w:szCs w:val="22"/>
        </w:rPr>
        <w:t xml:space="preserve"> </w:t>
      </w:r>
      <w:r w:rsidRPr="001C1AD9">
        <w:rPr>
          <w:sz w:val="22"/>
          <w:szCs w:val="22"/>
        </w:rPr>
        <w:t>(1997): Ökologie und Religionen. Eine religionswissenschaftliche Darstellung, Marburg</w:t>
      </w:r>
      <w:r w:rsidRPr="001C1AD9">
        <w:rPr>
          <w:spacing w:val="40"/>
          <w:sz w:val="22"/>
          <w:szCs w:val="22"/>
        </w:rPr>
        <w:t xml:space="preserve"> </w:t>
      </w:r>
      <w:r w:rsidRPr="001C1AD9">
        <w:rPr>
          <w:sz w:val="22"/>
          <w:szCs w:val="22"/>
        </w:rPr>
        <w:t>Journal</w:t>
      </w:r>
      <w:r w:rsidRPr="001C1AD9">
        <w:rPr>
          <w:spacing w:val="-3"/>
          <w:sz w:val="22"/>
          <w:szCs w:val="22"/>
        </w:rPr>
        <w:t xml:space="preserve"> </w:t>
      </w:r>
      <w:r w:rsidRPr="001C1AD9">
        <w:rPr>
          <w:sz w:val="22"/>
          <w:szCs w:val="22"/>
        </w:rPr>
        <w:t>of</w:t>
      </w:r>
      <w:r w:rsidRPr="001C1AD9">
        <w:rPr>
          <w:spacing w:val="-3"/>
          <w:sz w:val="22"/>
          <w:szCs w:val="22"/>
        </w:rPr>
        <w:t xml:space="preserve"> </w:t>
      </w:r>
      <w:r w:rsidRPr="001C1AD9">
        <w:rPr>
          <w:sz w:val="22"/>
          <w:szCs w:val="22"/>
        </w:rPr>
        <w:t>Religion,</w:t>
      </w:r>
      <w:r w:rsidRPr="001C1AD9">
        <w:rPr>
          <w:spacing w:val="-4"/>
          <w:sz w:val="22"/>
          <w:szCs w:val="22"/>
        </w:rPr>
        <w:t xml:space="preserve"> </w:t>
      </w:r>
      <w:r w:rsidRPr="001C1AD9">
        <w:rPr>
          <w:sz w:val="22"/>
          <w:szCs w:val="22"/>
        </w:rPr>
        <w:t>2(1):</w:t>
      </w:r>
      <w:r w:rsidRPr="001C1AD9">
        <w:rPr>
          <w:spacing w:val="-3"/>
          <w:sz w:val="22"/>
          <w:szCs w:val="22"/>
        </w:rPr>
        <w:t xml:space="preserve"> </w:t>
      </w:r>
      <w:r w:rsidRPr="001C1AD9">
        <w:rPr>
          <w:sz w:val="22"/>
          <w:szCs w:val="22"/>
        </w:rPr>
        <w:t>1-4.</w:t>
      </w:r>
      <w:r w:rsidRPr="001C1AD9">
        <w:rPr>
          <w:spacing w:val="74"/>
          <w:sz w:val="22"/>
          <w:szCs w:val="22"/>
        </w:rPr>
        <w:t xml:space="preserve"> </w:t>
      </w:r>
      <w:r w:rsidRPr="001C1AD9">
        <w:rPr>
          <w:sz w:val="22"/>
          <w:szCs w:val="22"/>
        </w:rPr>
        <w:t>Schreiner,</w:t>
      </w:r>
      <w:r w:rsidRPr="001C1AD9">
        <w:rPr>
          <w:spacing w:val="-4"/>
          <w:sz w:val="22"/>
          <w:szCs w:val="22"/>
        </w:rPr>
        <w:t xml:space="preserve"> </w:t>
      </w:r>
      <w:r w:rsidRPr="001C1AD9">
        <w:rPr>
          <w:sz w:val="22"/>
          <w:szCs w:val="22"/>
        </w:rPr>
        <w:t>P.</w:t>
      </w:r>
      <w:r w:rsidRPr="001C1AD9">
        <w:rPr>
          <w:spacing w:val="-2"/>
          <w:sz w:val="22"/>
          <w:szCs w:val="22"/>
        </w:rPr>
        <w:t xml:space="preserve"> </w:t>
      </w:r>
      <w:r w:rsidRPr="001C1AD9">
        <w:rPr>
          <w:sz w:val="22"/>
          <w:szCs w:val="22"/>
        </w:rPr>
        <w:t>(1995):</w:t>
      </w:r>
      <w:r w:rsidRPr="001C1AD9">
        <w:rPr>
          <w:spacing w:val="-3"/>
          <w:sz w:val="22"/>
          <w:szCs w:val="22"/>
        </w:rPr>
        <w:t xml:space="preserve"> </w:t>
      </w:r>
      <w:r w:rsidRPr="001C1AD9">
        <w:rPr>
          <w:sz w:val="22"/>
          <w:szCs w:val="22"/>
        </w:rPr>
        <w:t>Hinduismus,</w:t>
      </w:r>
      <w:r w:rsidRPr="001C1AD9">
        <w:rPr>
          <w:spacing w:val="-4"/>
          <w:sz w:val="22"/>
          <w:szCs w:val="22"/>
        </w:rPr>
        <w:t xml:space="preserve"> </w:t>
      </w:r>
      <w:r w:rsidRPr="001C1AD9">
        <w:rPr>
          <w:sz w:val="22"/>
          <w:szCs w:val="22"/>
        </w:rPr>
        <w:t>in:</w:t>
      </w:r>
      <w:r w:rsidRPr="001C1AD9">
        <w:rPr>
          <w:spacing w:val="-1"/>
          <w:sz w:val="22"/>
          <w:szCs w:val="22"/>
        </w:rPr>
        <w:t xml:space="preserve"> </w:t>
      </w:r>
      <w:r w:rsidRPr="001C1AD9">
        <w:rPr>
          <w:sz w:val="22"/>
          <w:szCs w:val="22"/>
        </w:rPr>
        <w:t>Drehsen,</w:t>
      </w:r>
      <w:r w:rsidRPr="001C1AD9">
        <w:rPr>
          <w:spacing w:val="-4"/>
          <w:sz w:val="22"/>
          <w:szCs w:val="22"/>
        </w:rPr>
        <w:t xml:space="preserve"> </w:t>
      </w:r>
      <w:r w:rsidRPr="001C1AD9">
        <w:rPr>
          <w:sz w:val="22"/>
          <w:szCs w:val="22"/>
        </w:rPr>
        <w:t>V.;</w:t>
      </w:r>
      <w:r w:rsidRPr="001C1AD9">
        <w:rPr>
          <w:spacing w:val="-3"/>
          <w:sz w:val="22"/>
          <w:szCs w:val="22"/>
        </w:rPr>
        <w:t xml:space="preserve"> </w:t>
      </w:r>
      <w:r w:rsidRPr="001C1AD9">
        <w:rPr>
          <w:sz w:val="22"/>
          <w:szCs w:val="22"/>
        </w:rPr>
        <w:t>Häring,</w:t>
      </w:r>
      <w:r w:rsidRPr="001C1AD9">
        <w:rPr>
          <w:spacing w:val="40"/>
          <w:sz w:val="22"/>
          <w:szCs w:val="22"/>
        </w:rPr>
        <w:t xml:space="preserve"> </w:t>
      </w:r>
      <w:r w:rsidRPr="001C1AD9">
        <w:rPr>
          <w:sz w:val="22"/>
          <w:szCs w:val="22"/>
        </w:rPr>
        <w:t>H.;</w:t>
      </w:r>
      <w:r w:rsidRPr="001C1AD9">
        <w:rPr>
          <w:spacing w:val="-3"/>
          <w:sz w:val="22"/>
          <w:szCs w:val="22"/>
        </w:rPr>
        <w:t xml:space="preserve"> </w:t>
      </w:r>
      <w:r w:rsidRPr="001C1AD9">
        <w:rPr>
          <w:sz w:val="22"/>
          <w:szCs w:val="22"/>
        </w:rPr>
        <w:t>Kuschel,</w:t>
      </w:r>
      <w:r w:rsidRPr="001C1AD9">
        <w:rPr>
          <w:spacing w:val="-4"/>
          <w:sz w:val="22"/>
          <w:szCs w:val="22"/>
        </w:rPr>
        <w:t xml:space="preserve"> </w:t>
      </w:r>
      <w:r w:rsidRPr="001C1AD9">
        <w:rPr>
          <w:sz w:val="22"/>
          <w:szCs w:val="22"/>
        </w:rPr>
        <w:t>K.-J.; Siemers,</w:t>
      </w:r>
      <w:r w:rsidRPr="001C1AD9">
        <w:rPr>
          <w:spacing w:val="-1"/>
          <w:sz w:val="22"/>
          <w:szCs w:val="22"/>
        </w:rPr>
        <w:t xml:space="preserve"> </w:t>
      </w:r>
      <w:r w:rsidRPr="001C1AD9">
        <w:rPr>
          <w:sz w:val="22"/>
          <w:szCs w:val="22"/>
        </w:rPr>
        <w:t>H.</w:t>
      </w:r>
      <w:r w:rsidRPr="001C1AD9">
        <w:rPr>
          <w:spacing w:val="-4"/>
          <w:sz w:val="22"/>
          <w:szCs w:val="22"/>
        </w:rPr>
        <w:t xml:space="preserve"> </w:t>
      </w:r>
      <w:r w:rsidRPr="001C1AD9">
        <w:rPr>
          <w:sz w:val="22"/>
          <w:szCs w:val="22"/>
        </w:rPr>
        <w:t>(Hrsg.),</w:t>
      </w:r>
      <w:r w:rsidRPr="001C1AD9">
        <w:rPr>
          <w:spacing w:val="-1"/>
          <w:sz w:val="22"/>
          <w:szCs w:val="22"/>
        </w:rPr>
        <w:t xml:space="preserve"> </w:t>
      </w:r>
      <w:r w:rsidRPr="001C1AD9">
        <w:rPr>
          <w:sz w:val="22"/>
          <w:szCs w:val="22"/>
        </w:rPr>
        <w:t>Wörterbuch</w:t>
      </w:r>
      <w:r w:rsidRPr="001C1AD9">
        <w:rPr>
          <w:spacing w:val="-3"/>
          <w:sz w:val="22"/>
          <w:szCs w:val="22"/>
        </w:rPr>
        <w:t xml:space="preserve"> </w:t>
      </w:r>
      <w:r w:rsidRPr="001C1AD9">
        <w:rPr>
          <w:sz w:val="22"/>
          <w:szCs w:val="22"/>
        </w:rPr>
        <w:t>des</w:t>
      </w:r>
      <w:r w:rsidRPr="001C1AD9">
        <w:rPr>
          <w:spacing w:val="-2"/>
          <w:sz w:val="22"/>
          <w:szCs w:val="22"/>
        </w:rPr>
        <w:t xml:space="preserve"> </w:t>
      </w:r>
      <w:r w:rsidRPr="001C1AD9">
        <w:rPr>
          <w:sz w:val="22"/>
          <w:szCs w:val="22"/>
        </w:rPr>
        <w:t>Christentums,</w:t>
      </w:r>
      <w:r w:rsidRPr="001C1AD9">
        <w:rPr>
          <w:spacing w:val="-4"/>
          <w:sz w:val="22"/>
          <w:szCs w:val="22"/>
        </w:rPr>
        <w:t xml:space="preserve"> </w:t>
      </w:r>
      <w:r w:rsidRPr="001C1AD9">
        <w:rPr>
          <w:sz w:val="22"/>
          <w:szCs w:val="22"/>
        </w:rPr>
        <w:t>482-484,</w:t>
      </w:r>
      <w:r w:rsidRPr="001C1AD9">
        <w:rPr>
          <w:spacing w:val="-4"/>
          <w:sz w:val="22"/>
          <w:szCs w:val="22"/>
        </w:rPr>
        <w:t xml:space="preserve"> </w:t>
      </w:r>
      <w:r w:rsidRPr="001C1AD9">
        <w:rPr>
          <w:sz w:val="22"/>
          <w:szCs w:val="22"/>
        </w:rPr>
        <w:t>München:</w:t>
      </w:r>
      <w:r w:rsidRPr="001C1AD9">
        <w:rPr>
          <w:spacing w:val="40"/>
          <w:sz w:val="22"/>
          <w:szCs w:val="22"/>
        </w:rPr>
        <w:t xml:space="preserve"> </w:t>
      </w:r>
      <w:r w:rsidRPr="001C1AD9">
        <w:rPr>
          <w:spacing w:val="-2"/>
          <w:sz w:val="22"/>
          <w:szCs w:val="22"/>
        </w:rPr>
        <w:t>Orbis.</w:t>
      </w:r>
    </w:p>
    <w:p w14:paraId="3E5703F8" w14:textId="77777777" w:rsidR="00DC0CC2" w:rsidRPr="00D60D29" w:rsidRDefault="00DC0CC2" w:rsidP="00EE2354">
      <w:pPr>
        <w:pStyle w:val="StandardText"/>
        <w:rPr>
          <w:sz w:val="22"/>
          <w:szCs w:val="22"/>
        </w:rPr>
      </w:pPr>
    </w:p>
    <w:p w14:paraId="2B4003B5" w14:textId="77777777" w:rsidR="00FF7799" w:rsidRPr="0071457A" w:rsidRDefault="00FF7799" w:rsidP="00A25134">
      <w:pPr>
        <w:pStyle w:val="berschrift1"/>
        <w:rPr>
          <w:color w:val="2E74B5"/>
          <w:sz w:val="22"/>
        </w:rPr>
      </w:pPr>
      <w:r w:rsidRPr="0071457A">
        <w:rPr>
          <w:color w:val="2E74B5"/>
          <w:sz w:val="22"/>
        </w:rPr>
        <w:t>Hofstede Kulturmodell: kritische Würdigung</w:t>
      </w:r>
    </w:p>
    <w:p w14:paraId="51DAFC96" w14:textId="77777777" w:rsidR="00FF7799" w:rsidRPr="00287944" w:rsidRDefault="00FF7799" w:rsidP="00F77A92">
      <w:pPr>
        <w:pStyle w:val="StandardTextkursiv"/>
        <w:rPr>
          <w:i w:val="0"/>
        </w:rPr>
      </w:pPr>
      <w:r w:rsidRPr="00287944">
        <w:rPr>
          <w:i w:val="0"/>
        </w:rPr>
        <w:t xml:space="preserve">1 Grundsätzliche Bedeutung </w:t>
      </w:r>
    </w:p>
    <w:p w14:paraId="5918EB6B" w14:textId="77777777" w:rsidR="00FF7799" w:rsidRPr="00287944" w:rsidRDefault="00FF7799" w:rsidP="00F77A92">
      <w:pPr>
        <w:pStyle w:val="StandardText"/>
      </w:pPr>
      <w:r w:rsidRPr="00287944">
        <w:t xml:space="preserve">Mit den von ihm identifizierten </w:t>
      </w:r>
      <w:r w:rsidR="007F2875">
        <w:sym w:font="Symbol" w:char="F0DE"/>
      </w:r>
      <w:r w:rsidR="007F2875">
        <w:t xml:space="preserve"> </w:t>
      </w:r>
      <w:r w:rsidRPr="00287944">
        <w:t xml:space="preserve">Kulturdimensionen har G. Hofstede die kulturvergleichende Forschung entscheidend beeinflusst. Dies ist unbestritten und vielfach dokumentiert (z.B. Sivakumar/Nakata 2001; Steenkamp 2001). Kaum ein anderes wissenschaftliches Werk wurde so häufig zitiert und rezensiert wie das 1980 in erster und 2001 in zweiter Auflage veröffentlichte Culture's Consequences. Dies bestätigten u.a. Zhang et al. (2008) nach ihrer Analyse der Arbeiten zum Einfluss der Nationalkultur auf die Erwartungen, Bewertungen und Reaktionen von Kunden im Servicebereich. Demnach nutzen 27 der 40 empirischen Studien, die zwischen 1996 und 2006 hierzu in den führenden Zeitschriften publiziert wurden, G. Hofstedes Konzept der </w:t>
      </w:r>
      <w:r w:rsidRPr="00287944">
        <w:lastRenderedPageBreak/>
        <w:t>Landeskultur. Dessen Schlüsselrolle (Søndergaard 1994, S.454) erkennt man u.a. daran, dass mittlerweile eine Vielzahl von Wissenschaften (Human Resource-Management, Organisationslehre, Psychologie und Sozialpsychologie) auf dieses Kulturmodell zurückgreifen – nicht zuletzt auch das Marketing (vgl. Soares et al. 2007). Yoo, Donthu &amp; Lenartowicz zogen, unbeschadet aller berechtigten und von ihnen geteilten Kritik, folgendes Fazit: „Hofstede's (1980 and 2001) renowned five-dimensional measure of cultural values is the overwhelmingly dominant metric of culture” (Yoo et al. 2011, S.193).</w:t>
      </w:r>
    </w:p>
    <w:p w14:paraId="2C0C5B69" w14:textId="77777777" w:rsidR="00FF7799" w:rsidRPr="00287944" w:rsidRDefault="00FF7799" w:rsidP="00F77A92">
      <w:pPr>
        <w:pStyle w:val="StandardText"/>
      </w:pPr>
    </w:p>
    <w:p w14:paraId="711BA86D" w14:textId="77777777" w:rsidR="00FF7799" w:rsidRPr="00287944" w:rsidRDefault="00FF7799" w:rsidP="00F77A92">
      <w:pPr>
        <w:pStyle w:val="StandardTextkursiv"/>
        <w:rPr>
          <w:i w:val="0"/>
        </w:rPr>
      </w:pPr>
      <w:r w:rsidRPr="00287944">
        <w:rPr>
          <w:i w:val="0"/>
        </w:rPr>
        <w:t>2 Stärken &amp; Schwächen der ersten Auflage von „Culture's Consequences“</w:t>
      </w:r>
    </w:p>
    <w:p w14:paraId="4D196345" w14:textId="77777777" w:rsidR="00FF7799" w:rsidRPr="00287944" w:rsidRDefault="00FF7799" w:rsidP="00DC0CC2">
      <w:pPr>
        <w:pStyle w:val="StandardText"/>
        <w:rPr>
          <w:color w:val="FF0000"/>
        </w:rPr>
      </w:pPr>
      <w:r w:rsidRPr="00287944">
        <w:t xml:space="preserve">Neben Chandy/Williams (1994) hat vor allem Søndergaard (1994) die zwischen 1980 und 1992 veröffentlichten Beiträge, die sich auf die erste Auflage dieses Standardwerkes beziehen, inhaltlich sowie methodenkritisch analysiert. Diese Beiträge lassen sich drei Kategorien zuordnen: Zitationsanalysen, Rezensionen und Methodenkritik. </w:t>
      </w:r>
      <w:r w:rsidRPr="00287944">
        <w:rPr>
          <w:color w:val="FF0000"/>
        </w:rPr>
        <w:tab/>
      </w:r>
      <w:r w:rsidRPr="00287944">
        <w:rPr>
          <w:color w:val="FF0000"/>
        </w:rPr>
        <w:tab/>
      </w:r>
    </w:p>
    <w:p w14:paraId="620229B4" w14:textId="77777777" w:rsidR="00FF7799" w:rsidRPr="00287944" w:rsidRDefault="00FF7799" w:rsidP="00862DBA">
      <w:pPr>
        <w:rPr>
          <w:color w:val="FF0000"/>
          <w:sz w:val="24"/>
          <w:szCs w:val="24"/>
        </w:rPr>
      </w:pPr>
    </w:p>
    <w:p w14:paraId="0806BDDA" w14:textId="77777777" w:rsidR="00FF7799" w:rsidRPr="00287944" w:rsidRDefault="00FF7799" w:rsidP="007A2F41">
      <w:pPr>
        <w:pStyle w:val="StandardTextkursiv"/>
        <w:rPr>
          <w:i w:val="0"/>
        </w:rPr>
      </w:pPr>
      <w:r w:rsidRPr="00287944">
        <w:rPr>
          <w:i w:val="0"/>
        </w:rPr>
        <w:t xml:space="preserve">2.1 Zitationsanalysen </w:t>
      </w:r>
    </w:p>
    <w:p w14:paraId="05AE1769" w14:textId="77777777" w:rsidR="00FF7799" w:rsidRPr="00287944" w:rsidRDefault="00FF7799" w:rsidP="00F77A92">
      <w:pPr>
        <w:pStyle w:val="StandardText"/>
      </w:pPr>
      <w:r w:rsidRPr="00287944">
        <w:t>Dem Social Science Citation Index (SSCI) zufolge wurde diese Monographie bis zur Jahrtausendwende mehr als 2.700 Mal in den führenden wissenschaftlichen Zeitschriften zitiert (vgl. Hofstede 2001). Auch wenn vermutlich ein nicht geringer Teil reine Pflichtzitate sind, um dem eigenen Beitrag einen ‘trendy framework‘ (Søndergaard 1994, S.448) zu geben, ist dies ein ganz ungewöhnlicher Erfolg. Allein in der zweiten Hälfte der 1980er-Jahre wurde Hofstede (1980) etwa achthundertmal hochrangig zitiert, was ein ungewöhnlich großer Erfolg ist.</w:t>
      </w:r>
    </w:p>
    <w:p w14:paraId="02C4C800" w14:textId="77777777" w:rsidR="00FF7799" w:rsidRPr="00287944" w:rsidRDefault="00FF7799" w:rsidP="00F77A92">
      <w:pPr>
        <w:pStyle w:val="StandardText"/>
      </w:pPr>
    </w:p>
    <w:p w14:paraId="52396BF6" w14:textId="77777777" w:rsidR="00FF7799" w:rsidRPr="00287944" w:rsidRDefault="00FF7799" w:rsidP="007A2F41">
      <w:pPr>
        <w:pStyle w:val="StandardTextkursiv"/>
        <w:rPr>
          <w:i w:val="0"/>
        </w:rPr>
      </w:pPr>
      <w:r w:rsidRPr="00287944">
        <w:rPr>
          <w:i w:val="0"/>
        </w:rPr>
        <w:t>2.2 Rezensionen</w:t>
      </w:r>
    </w:p>
    <w:p w14:paraId="7FEF8C8A" w14:textId="77777777" w:rsidR="00FF7799" w:rsidRPr="00287944" w:rsidRDefault="00FF7799" w:rsidP="00F77A92">
      <w:pPr>
        <w:pStyle w:val="StandardText"/>
      </w:pPr>
      <w:r w:rsidRPr="00287944">
        <w:t>Die 36 Rezensenten, die bis Mitte der 1990er-Jahre Culture's Consequences besprachen, stimmen darin überein, dass angesichts der dramatisch gewachsenen Bedeutung internationaler Unternehmenstätigkeit dieses Buch „zur rechten Zeit“ (Gladwin 1981, S.681) gekommen sei und einer ganzen Generation von Wissenschaftlern und Managern ein „Aha-Erlebnis“ (Søndergaard 1994, S.448) verschafft habe. Auch sei es dem holländischen Politikwissenschaftler gelungen, zahlreiche Wissenschaften für die wachsen</w:t>
      </w:r>
      <w:r w:rsidR="00CC7E68">
        <w:t xml:space="preserve">de Bedeutung des Phänomens der </w:t>
      </w:r>
      <w:r w:rsidR="00CC7E68">
        <w:sym w:font="Symbol" w:char="F0DE"/>
      </w:r>
      <w:r w:rsidR="00CC7E68">
        <w:t xml:space="preserve"> Multikulturalität</w:t>
      </w:r>
      <w:r w:rsidRPr="00287944">
        <w:t xml:space="preserve"> zu sensibilisieren. Tatsächlich analysierten etwa ab Mitte der 1980er-Jahre immer mehr Wissenschaftler die Bedingungen internationaler Unternehmenstätigkeit - zumeist mit dem Ergebnis, dass die Kultur des Herkunftslandes das Verhalten von Managern signifikant beeinflusst, bspw. den präferierten Führungsstil.</w:t>
      </w:r>
    </w:p>
    <w:p w14:paraId="23EF889D" w14:textId="77777777" w:rsidR="00FF7799" w:rsidRPr="00287944" w:rsidRDefault="00FF7799" w:rsidP="00F77A92">
      <w:pPr>
        <w:pStyle w:val="StandardText"/>
      </w:pPr>
    </w:p>
    <w:p w14:paraId="3758B9E4" w14:textId="77777777" w:rsidR="00FF7799" w:rsidRPr="00287944" w:rsidRDefault="00FF7799" w:rsidP="007A2F41">
      <w:pPr>
        <w:pStyle w:val="StandardTextkursiv"/>
        <w:rPr>
          <w:i w:val="0"/>
        </w:rPr>
      </w:pPr>
      <w:r w:rsidRPr="00287944">
        <w:rPr>
          <w:i w:val="0"/>
        </w:rPr>
        <w:t>2.3 Methodenkritik</w:t>
      </w:r>
    </w:p>
    <w:p w14:paraId="61E024E9" w14:textId="77777777" w:rsidR="00FF7799" w:rsidRPr="0071457A" w:rsidRDefault="00FF7799" w:rsidP="007424D1">
      <w:pPr>
        <w:pStyle w:val="StandardTextkursiv"/>
        <w:rPr>
          <w:iCs/>
        </w:rPr>
      </w:pPr>
      <w:r w:rsidRPr="0071457A">
        <w:rPr>
          <w:iCs/>
        </w:rPr>
        <w:t>Methodologischer Rigorismus</w:t>
      </w:r>
    </w:p>
    <w:p w14:paraId="6EF4EA9D" w14:textId="77777777" w:rsidR="00FF7799" w:rsidRPr="00287944" w:rsidRDefault="00FF7799" w:rsidP="00F77A92">
      <w:pPr>
        <w:pStyle w:val="StandardText"/>
      </w:pPr>
      <w:r w:rsidRPr="00287944">
        <w:t>Anfänglich standen die Vorzüge des neuen Konzepts im Fokus der weltweiten Diskussion. G. Hofstede, so das Fazit, verwende leistungsfähige Analysemethoden, strebe nach Äquivalenz (z.B. Vergleichbarkeit der Stichproben) und entwickle das Kulturkonzept weiter. Deshalb erfülle Culture’s Consequences das Kriterium des wissenschaftlichen bzw. methodologischen Rigorismus, eine Eigenschaft, die Negandhi (1974) als „unbeirrtes Festhalten an den bedeutsamen Grundsätzen wissenschaftlicher Methodologie“ definierte. Im weiteren Verlauf der Diskussion überwog dann allerdings die Kritik.</w:t>
      </w:r>
    </w:p>
    <w:p w14:paraId="44D97F6C" w14:textId="77777777" w:rsidR="00FF7799" w:rsidRPr="00287944" w:rsidRDefault="00FF7799" w:rsidP="00F77A92">
      <w:pPr>
        <w:pStyle w:val="StandardText"/>
      </w:pPr>
    </w:p>
    <w:p w14:paraId="66FA2BC6" w14:textId="77777777" w:rsidR="00FF7799" w:rsidRPr="0071457A" w:rsidRDefault="00FF7799" w:rsidP="007424D1">
      <w:pPr>
        <w:pStyle w:val="StandardTextkursiv"/>
        <w:rPr>
          <w:iCs/>
        </w:rPr>
      </w:pPr>
      <w:r w:rsidRPr="0071457A">
        <w:rPr>
          <w:iCs/>
        </w:rPr>
        <w:t>Ungenügende theoretische Fundierung</w:t>
      </w:r>
    </w:p>
    <w:p w14:paraId="266E2718" w14:textId="77777777" w:rsidR="00FF7799" w:rsidRPr="00287944" w:rsidRDefault="00FF7799" w:rsidP="00F77A92">
      <w:pPr>
        <w:pStyle w:val="StandardText"/>
      </w:pPr>
      <w:r w:rsidRPr="00287944">
        <w:lastRenderedPageBreak/>
        <w:t>Kagitçibasi (1997) bewertete die Forschungsstrategie als atheoretisch und empirizistisch. Anstatt von einem theoretischen Konzept ausgehend die Operationalisierung zu entwickeln, habe G. Hofstede lediglich vorhandene, in einem ganz anderen Zusammenhang (Analyse der Unternehmenskultur von IBM) gewonnene Daten „ex post theoretisierend“ interpretiert. Andere bezweifelten grundsätzlich, dass man aus den erfragten, vergleichsweise speziellen Einstellungen zum Arbeitsleben stabile allgemeine Werte ableiten könne (z.B. Triandis 1982, S.89).</w:t>
      </w:r>
    </w:p>
    <w:p w14:paraId="6ADE873A" w14:textId="77777777" w:rsidR="00FF7799" w:rsidRPr="00287944" w:rsidRDefault="00FF7799" w:rsidP="00F77A92">
      <w:pPr>
        <w:pStyle w:val="StandardText"/>
      </w:pPr>
    </w:p>
    <w:p w14:paraId="75F6AF28" w14:textId="77777777" w:rsidR="00FF7799" w:rsidRPr="0071457A" w:rsidRDefault="00FF7799" w:rsidP="007424D1">
      <w:pPr>
        <w:pStyle w:val="StandardTextkursiv"/>
        <w:rPr>
          <w:iCs/>
        </w:rPr>
      </w:pPr>
      <w:r w:rsidRPr="0071457A">
        <w:rPr>
          <w:iCs/>
        </w:rPr>
        <w:t>Fehlende Repräsentativität</w:t>
      </w:r>
    </w:p>
    <w:p w14:paraId="13AA91BD" w14:textId="77777777" w:rsidR="00FF7799" w:rsidRPr="00E73F6F" w:rsidRDefault="00FF7799" w:rsidP="00F77A92">
      <w:pPr>
        <w:pStyle w:val="StandardText"/>
        <w:rPr>
          <w:b/>
        </w:rPr>
      </w:pPr>
      <w:r w:rsidRPr="00287944">
        <w:t>Die Beschränkung der Stichprobe auf Mitarbeiter eines einzigen Unternehmens beeinträchtigt die externe Validität der gewonnenen Befunde. Denn sie sind nicht generalisierbar und gelten streng genommen nur für IBM-Mitarbeiter (vgl. McSweeney 2002; Rose 1986, S.250), allenfalls für Angehörige des mittleren Managements (vgl. Roth 1995, S.167). Das von Hofstede (2001, S.24) vorgebrachte Gegenargument muss wohl als Schutzbehauptung gewertet werden. Seiner Ansicht nach ist die Beschränkung seines Untersuchungsansatzes auf die Subkultur des mittleren Managements von IBM letztlich sogar ein Vorteil. Denn aufgrund der damit verbundenen Kontrolle zahlreicher potentieller Einflussfaktoren – durch „Konstanthalten“ – könne davon ausgegangen werden, dass die festgestellten Unterschiede ausschließlich landeskulturelle Differenzen reflektieren</w:t>
      </w:r>
      <w:r w:rsidRPr="00E73F6F">
        <w:t>.</w:t>
      </w:r>
    </w:p>
    <w:p w14:paraId="11A5AB0C" w14:textId="77777777" w:rsidR="00FF7799" w:rsidRPr="00287944" w:rsidRDefault="00FF7799" w:rsidP="00F77A92">
      <w:pPr>
        <w:pStyle w:val="StandardText"/>
      </w:pPr>
      <w:r w:rsidRPr="00287944">
        <w:t xml:space="preserve">Vermutlich hätte vielmehr mit einer repräsentativen Stichprobe, die Mitarbeiter verschiedener Unternehmen und Gesellschaftsschichten einbezieht, dank der dann größeren Datenvarianz ein differenzierteres Kulturmodell mit besserer Erklärungskraft entwickelt werden können. Anlage und Befunde des GLOBE-Projekts unterstützen diese These. Darüber hinaus muss man davon ausgehen, dass die starke IBM-Unternehmenskultur die verschiedenen Landeskulturen teilweise überlagert und in diesem Unternehmen eine vergleichsweise homogene </w:t>
      </w:r>
      <w:r w:rsidR="00986FCD">
        <w:sym w:font="Symbol" w:char="F0DE"/>
      </w:r>
      <w:r w:rsidR="00986FCD">
        <w:t xml:space="preserve"> </w:t>
      </w:r>
      <w:r w:rsidRPr="00287944">
        <w:t>Third Culture geschaffen hat. Auch dieses Argument spricht dafür, dass das Hofstede-Modell zu gering dimensioniert – d.h. zu simpel – ist.</w:t>
      </w:r>
    </w:p>
    <w:p w14:paraId="1B9FA55B" w14:textId="77777777" w:rsidR="00FF7799" w:rsidRPr="00287944" w:rsidRDefault="00FF7799" w:rsidP="00F77A92">
      <w:pPr>
        <w:pStyle w:val="StandardText"/>
      </w:pPr>
    </w:p>
    <w:p w14:paraId="56975E29" w14:textId="77777777" w:rsidR="00FF7799" w:rsidRPr="0071457A" w:rsidRDefault="00FF7799" w:rsidP="007424D1">
      <w:pPr>
        <w:pStyle w:val="StandardTextkursiv"/>
        <w:rPr>
          <w:iCs/>
        </w:rPr>
      </w:pPr>
      <w:r w:rsidRPr="0071457A">
        <w:rPr>
          <w:iCs/>
        </w:rPr>
        <w:t>Gender Bias der Stichprobe</w:t>
      </w:r>
    </w:p>
    <w:p w14:paraId="08043D64" w14:textId="1ADEBF95" w:rsidR="00FF7799" w:rsidRPr="00287944" w:rsidRDefault="00FF7799" w:rsidP="00F77A92">
      <w:pPr>
        <w:pStyle w:val="StandardText"/>
        <w:rPr>
          <w:lang w:val="en-US"/>
        </w:rPr>
      </w:pPr>
      <w:r w:rsidRPr="00287944">
        <w:t xml:space="preserve">Etwa 90% der Stichprobe sind Männer, was gleichfalls die externe Validität beschränkt: auf männliche Mitarbeiter eines Technologieunternehmens, das zahlreiche internationale Geschäftsbeziehungen unterhält (vgl. McSweeney 2002). Nach einer </w:t>
      </w:r>
      <w:r w:rsidR="00F4632A">
        <w:rPr>
          <w:b/>
        </w:rPr>
        <w:sym w:font="Symbol" w:char="F0DE"/>
      </w:r>
      <w:r w:rsidR="00F4632A">
        <w:rPr>
          <w:b/>
        </w:rPr>
        <w:t xml:space="preserve"> </w:t>
      </w:r>
      <w:r w:rsidRPr="00287944">
        <w:t xml:space="preserve">Meta-Analyse von 598 einschlägigen Studien mit insgesamt mehr als 200.000 Probanden bestätigten und konkretisierten Taras et al. </w:t>
      </w:r>
      <w:r w:rsidRPr="00287944">
        <w:rPr>
          <w:lang w:val="en-US"/>
        </w:rPr>
        <w:t>(2010, S.405) diesen Vorbehalt: „Cultural values were more strongly related to outcomes for managers (rather than students) and for older, male, and more educated respondents.”</w:t>
      </w:r>
    </w:p>
    <w:p w14:paraId="25B3C76C" w14:textId="77777777" w:rsidR="00FF7799" w:rsidRPr="00287944" w:rsidRDefault="00FF7799" w:rsidP="00F77A92">
      <w:pPr>
        <w:pStyle w:val="StandardText"/>
        <w:rPr>
          <w:lang w:val="en-US"/>
        </w:rPr>
      </w:pPr>
    </w:p>
    <w:p w14:paraId="7CF64682" w14:textId="77777777" w:rsidR="00FF7799" w:rsidRPr="0071457A" w:rsidRDefault="00FF7799" w:rsidP="007424D1">
      <w:pPr>
        <w:pStyle w:val="StandardTextkursiv"/>
        <w:rPr>
          <w:iCs/>
        </w:rPr>
      </w:pPr>
      <w:r w:rsidRPr="0071457A">
        <w:rPr>
          <w:iCs/>
        </w:rPr>
        <w:t>Gleichsetzung von Nation &amp; Landeskultur</w:t>
      </w:r>
    </w:p>
    <w:p w14:paraId="0EFBE5FC" w14:textId="77777777" w:rsidR="00FF7799" w:rsidRPr="00287944" w:rsidRDefault="00FF7799" w:rsidP="00F77A92">
      <w:pPr>
        <w:pStyle w:val="StandardText"/>
      </w:pPr>
      <w:r w:rsidRPr="00287944">
        <w:t xml:space="preserve">Die Variable „Land“ ist keine gute </w:t>
      </w:r>
      <w:r w:rsidR="008702EF">
        <w:rPr>
          <w:b/>
        </w:rPr>
        <w:sym w:font="Symbol" w:char="F0DE"/>
      </w:r>
      <w:r w:rsidRPr="00287944">
        <w:t xml:space="preserve"> Proxy-Variable für die Variable „Kultur“ (vgl. Nassif et al. 1991, S.79). Da die Mehrzahl der Länder eine multikulturelle Bevölkerung hat</w:t>
      </w:r>
      <w:r w:rsidR="008702EF">
        <w:t xml:space="preserve"> (</w:t>
      </w:r>
      <w:r w:rsidR="008702EF">
        <w:sym w:font="Symbol" w:char="F0DE"/>
      </w:r>
      <w:r w:rsidR="008702EF">
        <w:t xml:space="preserve"> Multikulturalismus)</w:t>
      </w:r>
      <w:r w:rsidRPr="00287944">
        <w:t>, kann man nicht mit der erforderlichen Verlässlichkeit vom Herkunftsland (bzw. der Nationalität) eines Menschen auf dessen Landeskultur schließen. Wie sehr ähneln bspw. die Werte eines aus Asien zugewanderten Australiers denen eines Australiers angelsächsischer Herkunft? Vermutlich verbinden einen bayrischen Milchbauern mehr gemeinsame Werte mit einem Milchbauern im französischen Burgund als mit einem Hamburger Immobilienmakler. Und sind die USA wirklich die individualistischste Gesellschaft? Oder entspricht lediglich die protestantische weiße Ostküstengesellschaft dieser Klassifikation, nicht jedoch die afroamerikanische und die hispanische Südstaatengesellschaft?</w:t>
      </w:r>
    </w:p>
    <w:p w14:paraId="70B2B8A7" w14:textId="77777777" w:rsidR="00FF7799" w:rsidRPr="00287944" w:rsidRDefault="00FF7799" w:rsidP="00F77A92">
      <w:pPr>
        <w:pStyle w:val="StandardText"/>
      </w:pPr>
    </w:p>
    <w:p w14:paraId="1362E325" w14:textId="77777777" w:rsidR="00FF7799" w:rsidRPr="0071457A" w:rsidRDefault="00FF7799" w:rsidP="007424D1">
      <w:pPr>
        <w:pStyle w:val="StandardTextkursiv"/>
        <w:rPr>
          <w:iCs/>
        </w:rPr>
      </w:pPr>
      <w:r w:rsidRPr="0071457A">
        <w:rPr>
          <w:iCs/>
        </w:rPr>
        <w:t>Gleichsetzung von Landeskultur &amp; individueller Kultur</w:t>
      </w:r>
    </w:p>
    <w:p w14:paraId="53B0BB50" w14:textId="77777777" w:rsidR="00FF7799" w:rsidRPr="00287944" w:rsidRDefault="00FF7799" w:rsidP="00F77A92">
      <w:pPr>
        <w:pStyle w:val="StandardText"/>
      </w:pPr>
      <w:r w:rsidRPr="00287944">
        <w:t>Lange Zeit basierte die Mehrzahl der Landeskulturstudien auf der zumeist unausgesprochenen Annahme, dass das für eine bestimmte Gesellschaft identifizierte Kulturprofil allgemeingültig ist (d.h. alle Mitglieder einer Gesellschaft hinreichend gut erfasst). Nicht geprüft wurde jedoch zumeist, ob und in welchem Maße die als Stichprobe ausgewählten Repräsentanten ihrer Kultur auch die jeweiligen kulturspezifischen Werte verinnerlicht haben.</w:t>
      </w:r>
    </w:p>
    <w:p w14:paraId="3E0EC0BB" w14:textId="77777777" w:rsidR="00FF7799" w:rsidRPr="00287944" w:rsidRDefault="00FF7799" w:rsidP="00F77A92">
      <w:pPr>
        <w:pStyle w:val="StandardText"/>
      </w:pPr>
    </w:p>
    <w:p w14:paraId="5704A983" w14:textId="77777777" w:rsidR="00FF7799" w:rsidRPr="0071457A" w:rsidRDefault="00FF7799" w:rsidP="007424D1">
      <w:pPr>
        <w:pStyle w:val="StandardTextkursiv"/>
        <w:rPr>
          <w:iCs/>
        </w:rPr>
      </w:pPr>
      <w:r w:rsidRPr="0071457A">
        <w:rPr>
          <w:iCs/>
        </w:rPr>
        <w:t>Schwächen der Fragenbogenmethode</w:t>
      </w:r>
    </w:p>
    <w:p w14:paraId="68E7EFC9" w14:textId="77777777" w:rsidR="00FF7799" w:rsidRPr="00287944" w:rsidRDefault="00FF7799" w:rsidP="00F77A92">
      <w:pPr>
        <w:pStyle w:val="StandardText"/>
      </w:pPr>
      <w:r w:rsidRPr="00287944">
        <w:t>Die Grundsatzdiskussion „quantitative vs. qualitative Methoden“ hat eine lange Tradition (vgl. Buber/Holzmüller 2007; Denzin/Lincoln 2005). Mehr als andere Disziplinen bezweifeln die kulturvergleichenden Wissenschaften die prinzipielle Eignung der Fragebogenmethode. Mit ihrer Hilfe könne man die komplexe soziale Realität im Allgemeinen und Werte im Besonderen nicht valide erfassen. Dazu bedürfe es sensiblerer Erhebungsmethoden (z.B.</w:t>
      </w:r>
      <w:r w:rsidRPr="00287944">
        <w:rPr>
          <w:b/>
        </w:rPr>
        <w:t xml:space="preserve"> → </w:t>
      </w:r>
      <w:r w:rsidRPr="00287944">
        <w:t xml:space="preserve">Ethnographie, Methode der kritischen Ereignisse, teilnehmende Beobachtung). </w:t>
      </w:r>
    </w:p>
    <w:p w14:paraId="24E6F31F" w14:textId="77777777" w:rsidR="00FF7799" w:rsidRPr="00287944" w:rsidRDefault="00FF7799" w:rsidP="00F77A92">
      <w:pPr>
        <w:pStyle w:val="StandardText"/>
        <w:rPr>
          <w:b/>
        </w:rPr>
      </w:pPr>
    </w:p>
    <w:p w14:paraId="4B09C4D4" w14:textId="77777777" w:rsidR="00FF7799" w:rsidRPr="0071457A" w:rsidRDefault="00FF7799" w:rsidP="007424D1">
      <w:pPr>
        <w:pStyle w:val="StandardTextkursiv"/>
        <w:rPr>
          <w:iCs/>
        </w:rPr>
      </w:pPr>
      <w:r w:rsidRPr="0071457A">
        <w:rPr>
          <w:iCs/>
        </w:rPr>
        <w:t>Instabilität der Faktorenstruktur</w:t>
      </w:r>
    </w:p>
    <w:p w14:paraId="50D0C751" w14:textId="7C5A8D81" w:rsidR="00FF7799" w:rsidRPr="00287944" w:rsidRDefault="00FF7799" w:rsidP="00F77A92">
      <w:pPr>
        <w:pStyle w:val="StandardText"/>
      </w:pPr>
      <w:r w:rsidRPr="00287944">
        <w:t xml:space="preserve">Zwischen 1980 und 1992 wurde die Hofstede-Studie </w:t>
      </w:r>
      <w:r w:rsidR="0071457A" w:rsidRPr="00287944">
        <w:t>61-mal</w:t>
      </w:r>
      <w:r w:rsidRPr="00287944">
        <w:t xml:space="preserve"> repliziert. Die Mehrzahl dieser Studien konnte die vierdimensionale Faktorenstruktur jedoch nicht bestätigen. Zu den wenigen, die, wie G. Hofstede, vier Kulturdimensionen extrahierten, zählen Shackleton/Ali (1990) und Punnett/Withaney (1988). Andere stellten lediglich eine partielle Übereinstimmung fest (z.B. Chew/Putti 1995; Fidalgo 1993). Selbst Lowe (1996), der als einziger nochmals IBM-Mitarbeiter in Großbritannien und Hong Kong befragte, konnte trotz vergleichbarer Untersuchungsbedingungen die Kulturdimensionen „Ungewissheitsvermeidung“ nicht bestätigen. Auch Oshlyansky et al. (2006), deren Replikationsstudie neun Länder erfasste (Griechenland, Großbritannien, Indien, Malaysia, Neuseeland, Saudi-Arabien, Südafrika, Tschechische Republik, USA), ermittelten eine abweichende Faktorenstruktur. </w:t>
      </w:r>
    </w:p>
    <w:p w14:paraId="747B4125" w14:textId="37C0031E" w:rsidR="00FF7799" w:rsidRPr="00287944" w:rsidRDefault="00FF7799" w:rsidP="00F77A92">
      <w:pPr>
        <w:pStyle w:val="StandardText"/>
        <w:rPr>
          <w:lang w:val="en-US"/>
        </w:rPr>
      </w:pPr>
      <w:r w:rsidRPr="00287944">
        <w:t xml:space="preserve">Als vergleichsweise robust erwies sich indessen zunächst die Individualismus/Kollektivismus-Dimension (vgl. Kagitçibasi 1997). Nach einer erneuten Evaluation der theoretischen Annahmen und einschlägiger </w:t>
      </w:r>
      <w:r w:rsidR="00F4632A">
        <w:rPr>
          <w:b/>
        </w:rPr>
        <w:sym w:font="Symbol" w:char="F0DE"/>
      </w:r>
      <w:r w:rsidR="00F4632A">
        <w:rPr>
          <w:b/>
        </w:rPr>
        <w:t xml:space="preserve"> </w:t>
      </w:r>
      <w:r w:rsidRPr="00287944">
        <w:t xml:space="preserve">Meta-Analysen bezweifelten jedoch Oyserman et al. (2002) auch diese weit verbreitete These (Individualismus/Kollektivismus als die aufgrund ihrer Stabilität und Erklärungskraft bedeutsamste Kulturdimension). Ihrem zentralen Befund – ungenügende Konvergenzvalidität der Hofstede-Operationalisierung mit neueren Konzeptionalisierungen der Individualismus-/Kollektivismus-Dimension – widersprachen allerdings Schimmack et al. (2005). Sie führten den von ihren Kollegen ermittelten geringen Grad an Übereinstimmung auf den verzerrenden Einfluss länderspezifischer → Antworttendenzen zurück. Während G. Hofstede diesen Effekt statistisch kontrollierte, führten Oyserman et al. (2002) ihre Meta-Analysen mit unkorrigierten Werten durch, was die Vergleichbarkeit beider Studien entscheidend schmälere. </w:t>
      </w:r>
      <w:r w:rsidRPr="00E17A2B">
        <w:t xml:space="preserve">Schimmack et al. </w:t>
      </w:r>
      <w:r w:rsidRPr="00287944">
        <w:rPr>
          <w:lang w:val="en-US"/>
        </w:rPr>
        <w:t>(2005, S.17) kontrollierten diesen Einflussfaktor (korrigierte vs. unkorrigierte Werte) und zogen folgendes Fazit: „Data from an international student survey demonstrated convergent validity between Hofstede's individualism dimension and horizontal individualism when response styles were statistically controlled, whereas uncorrected scores correlated highly with the individualism scores in Oyserman et al.'s meta-analysis.”</w:t>
      </w:r>
    </w:p>
    <w:p w14:paraId="377F16A9" w14:textId="77777777" w:rsidR="00FF7799" w:rsidRPr="00287944" w:rsidRDefault="00FF7799" w:rsidP="00F77A92">
      <w:pPr>
        <w:pStyle w:val="StandardText"/>
        <w:rPr>
          <w:lang w:val="en-US"/>
        </w:rPr>
      </w:pPr>
    </w:p>
    <w:p w14:paraId="219532BB" w14:textId="77777777" w:rsidR="00FF7799" w:rsidRPr="0071457A" w:rsidRDefault="00FF7799" w:rsidP="007424D1">
      <w:pPr>
        <w:pStyle w:val="StandardTextkursiv"/>
        <w:rPr>
          <w:iCs/>
        </w:rPr>
      </w:pPr>
      <w:r w:rsidRPr="0071457A">
        <w:rPr>
          <w:iCs/>
        </w:rPr>
        <w:t>Ungenügende Reliabilität</w:t>
      </w:r>
    </w:p>
    <w:p w14:paraId="73C7E189" w14:textId="77777777" w:rsidR="00FF7799" w:rsidRPr="00287944" w:rsidRDefault="00FF7799" w:rsidP="00F77A92">
      <w:pPr>
        <w:pStyle w:val="StandardText"/>
        <w:rPr>
          <w:b/>
        </w:rPr>
      </w:pPr>
      <w:r w:rsidRPr="00287944">
        <w:lastRenderedPageBreak/>
        <w:t xml:space="preserve">Jede der fünf Kulturdimensionen ist im </w:t>
      </w:r>
      <w:r w:rsidRPr="00287944">
        <w:rPr>
          <w:iCs/>
        </w:rPr>
        <w:t xml:space="preserve">Values Survey Module (VSM 94) </w:t>
      </w:r>
      <w:r w:rsidRPr="00287944">
        <w:t xml:space="preserve">anhand von vier Items operationalisiert. Nachdem eine Vielzahl kulturvergleichender Untersuchungen diese Skala nutzt, ist es erstaunlich, dass das Testmanual keine Hinweise zu </w:t>
      </w:r>
      <w:r w:rsidRPr="00287944">
        <w:rPr>
          <w:bCs/>
        </w:rPr>
        <w:t>Reliabilität</w:t>
      </w:r>
      <w:r w:rsidRPr="00287944">
        <w:t xml:space="preserve"> (interne Konsistenz) und </w:t>
      </w:r>
      <w:r w:rsidRPr="00287944">
        <w:rPr>
          <w:bCs/>
        </w:rPr>
        <w:t>Konstruktvalidität</w:t>
      </w:r>
      <w:r w:rsidRPr="00287944">
        <w:t xml:space="preserve"> gibt.</w:t>
      </w:r>
    </w:p>
    <w:p w14:paraId="5624280C" w14:textId="77777777" w:rsidR="00FF7799" w:rsidRPr="00287944" w:rsidRDefault="00FF7799" w:rsidP="00F77A92">
      <w:pPr>
        <w:pStyle w:val="StandardText"/>
      </w:pPr>
      <w:r w:rsidRPr="00287944">
        <w:t xml:space="preserve">Um diese Lücke zu schließen, überprüften Spector et al. (2001) die psychometrischen Eigenschaften des </w:t>
      </w:r>
      <w:r w:rsidRPr="00287944">
        <w:rPr>
          <w:iCs/>
        </w:rPr>
        <w:t>VSM 94</w:t>
      </w:r>
      <w:r w:rsidRPr="00287944">
        <w:t xml:space="preserve"> an einer Stichprobe von mehr als 6.700 Personen aus 23 Ländern. Dabei zeigte sich: Die interne Konsistenz der fünf Skalen fällt bei einer länderspezifischen Auswertung zumeist inakzeptabel niedrig aus. Aber auch bei der über alle Länder aggregierten Auswertung erwies sich nur die Dimension „Langfristorientierung“ als </w:t>
      </w:r>
      <w:r w:rsidRPr="00287944">
        <w:rPr>
          <w:bCs/>
        </w:rPr>
        <w:t>intern konsistent</w:t>
      </w:r>
      <w:r w:rsidRPr="00287944">
        <w:t xml:space="preserve"> (</w:t>
      </w:r>
      <w:r w:rsidRPr="00287944">
        <w:sym w:font="Symbol" w:char="F061"/>
      </w:r>
      <w:r w:rsidRPr="00287944">
        <w:t xml:space="preserve"> = 0,74). Die anderen vier Dimensionen unterschritten alle das für das Kriterium „interne Konsistenz“ empfohlene Minimum von </w:t>
      </w:r>
      <w:r w:rsidRPr="00287944">
        <w:sym w:font="Symbol" w:char="F061"/>
      </w:r>
      <w:r w:rsidRPr="00287944">
        <w:t xml:space="preserve"> = 0,70 (Akzeptanz von Machtdistanz: </w:t>
      </w:r>
      <w:r w:rsidRPr="00287944">
        <w:sym w:font="Symbol" w:char="F061"/>
      </w:r>
      <w:r w:rsidRPr="00287944">
        <w:t xml:space="preserve"> = 0,64; Individualismus: </w:t>
      </w:r>
      <w:r w:rsidRPr="00287944">
        <w:sym w:font="Symbol" w:char="F061"/>
      </w:r>
      <w:r w:rsidRPr="00287944">
        <w:t xml:space="preserve"> = 0,57; Unsicherheitsvermeidung: </w:t>
      </w:r>
      <w:r w:rsidRPr="00287944">
        <w:sym w:font="Symbol" w:char="F061"/>
      </w:r>
      <w:r w:rsidRPr="00287944">
        <w:t xml:space="preserve"> = 0,49; Maskulinität: </w:t>
      </w:r>
      <w:r w:rsidRPr="00287944">
        <w:sym w:font="Symbol" w:char="F061"/>
      </w:r>
      <w:r w:rsidRPr="00287944">
        <w:t xml:space="preserve"> = 0,29). Darüber hinaus konnten auch diese Wissenschaftler die von </w:t>
      </w:r>
      <w:r w:rsidRPr="00287944">
        <w:rPr>
          <w:iCs/>
        </w:rPr>
        <w:t xml:space="preserve">G. Hofstede </w:t>
      </w:r>
      <w:r w:rsidRPr="00287944">
        <w:t xml:space="preserve">postulierte Faktorenstruktur nicht replizieren. Bei einer fünffaktoriellen Lösung luden lediglich jene Items, welche Langzeitorientierung operationalisieren, auf einen gemeinsamen Faktor. Die anderen Items streuten unsystematisch auf den vier verbleibenden Faktoren. Somit sind begründete </w:t>
      </w:r>
      <w:r w:rsidRPr="00287944">
        <w:rPr>
          <w:bCs/>
        </w:rPr>
        <w:t>Zweifel</w:t>
      </w:r>
      <w:r w:rsidRPr="00287944">
        <w:t xml:space="preserve"> an der Konstruktvalidität des </w:t>
      </w:r>
      <w:r w:rsidRPr="00287944">
        <w:rPr>
          <w:iCs/>
        </w:rPr>
        <w:t>VSM 94</w:t>
      </w:r>
      <w:r w:rsidRPr="00287944">
        <w:t xml:space="preserve"> angebracht (vgl. auch Spector/Cooper 2002).</w:t>
      </w:r>
    </w:p>
    <w:p w14:paraId="44214820" w14:textId="77777777" w:rsidR="00FF7799" w:rsidRPr="00287944" w:rsidRDefault="00FF7799" w:rsidP="00F77A92">
      <w:pPr>
        <w:pStyle w:val="StandardText"/>
      </w:pPr>
    </w:p>
    <w:p w14:paraId="4BD8BF74" w14:textId="77777777" w:rsidR="00FF7799" w:rsidRPr="00287944" w:rsidRDefault="00FF7799" w:rsidP="007424D1">
      <w:pPr>
        <w:pStyle w:val="StandardTextkursiv"/>
        <w:rPr>
          <w:i w:val="0"/>
        </w:rPr>
      </w:pPr>
      <w:r w:rsidRPr="00287944">
        <w:rPr>
          <w:i w:val="0"/>
        </w:rPr>
        <w:t>3 Stärken &amp; Schwächen der zweiten Auflage von „Culture's Consequences“</w:t>
      </w:r>
    </w:p>
    <w:p w14:paraId="55359816" w14:textId="77777777" w:rsidR="00FF7799" w:rsidRPr="00287944" w:rsidRDefault="00FF7799" w:rsidP="007A2F41">
      <w:pPr>
        <w:pStyle w:val="StandardText"/>
      </w:pPr>
      <w:r w:rsidRPr="00287944">
        <w:t xml:space="preserve">2001 wurde Culture’s Consequences in einigen Kapiteln unverändert, in anderen völlig überarbeitet neu aufgelegt. Weiterhin dokumentiert der Autor nunmehr auch die Kulturindizes jener zehn Länder, über die er in der ersten Auflage aufgrund zu geringer Fallzahlen (56 bis 132 Auskunftspersonen pro Land) nicht berichtet hatte. </w:t>
      </w:r>
    </w:p>
    <w:p w14:paraId="041860C2" w14:textId="77777777" w:rsidR="00FF7799" w:rsidRPr="00287944" w:rsidRDefault="00FF7799" w:rsidP="007A2F41">
      <w:pPr>
        <w:pStyle w:val="StandardText"/>
      </w:pPr>
    </w:p>
    <w:p w14:paraId="3644A102" w14:textId="77777777" w:rsidR="00FF7799" w:rsidRPr="00287944" w:rsidRDefault="00FF7799" w:rsidP="00091DE6">
      <w:pPr>
        <w:pStyle w:val="StandardTextkursiv"/>
        <w:rPr>
          <w:i w:val="0"/>
        </w:rPr>
      </w:pPr>
      <w:r w:rsidRPr="00287944">
        <w:rPr>
          <w:i w:val="0"/>
        </w:rPr>
        <w:t>3.1 Stärken</w:t>
      </w:r>
    </w:p>
    <w:p w14:paraId="01E19BDA" w14:textId="77777777" w:rsidR="00FF7799" w:rsidRPr="00287944" w:rsidRDefault="00FF7799" w:rsidP="007A2F41">
      <w:pPr>
        <w:pStyle w:val="StandardText"/>
      </w:pPr>
      <w:r w:rsidRPr="00287944">
        <w:t>Folgt man dem Urteil von Yoo/Donthu (2002, S.388), so ist G. Hofstedes Arbeit, die schon in der ersten Auflage „kulturvergleichende Studien dramatisch erleichtert habe“, die nach wie vor „beste verfügbare Quelle für die Analyse der Nationalkultur“. Auch biete sie in der zweiten Auflage einen exzellenten Überblick über die kulturvergleichende Forschung der vergangenen zwanzig Jahre. Denn G. Hofstede referiert nunmehr auch die Befunde der wichtigsten Studien, die in diesem Zeitraum auf seinen Ansatz Bezug genommen haben.</w:t>
      </w:r>
    </w:p>
    <w:p w14:paraId="4724B0AB" w14:textId="77777777" w:rsidR="00FF7799" w:rsidRPr="00287944" w:rsidRDefault="00FF7799" w:rsidP="007A2F41">
      <w:pPr>
        <w:pStyle w:val="StandardText"/>
        <w:rPr>
          <w:b/>
        </w:rPr>
      </w:pPr>
    </w:p>
    <w:p w14:paraId="659A6BFC" w14:textId="77777777" w:rsidR="00FF7799" w:rsidRPr="00287944" w:rsidRDefault="00FF7799" w:rsidP="00091DE6">
      <w:pPr>
        <w:pStyle w:val="StandardTextkursiv"/>
        <w:rPr>
          <w:i w:val="0"/>
        </w:rPr>
      </w:pPr>
      <w:r w:rsidRPr="00287944">
        <w:rPr>
          <w:i w:val="0"/>
        </w:rPr>
        <w:t>3.2 Schwächen</w:t>
      </w:r>
    </w:p>
    <w:p w14:paraId="702D878C" w14:textId="77777777" w:rsidR="00FF7799" w:rsidRPr="0071457A" w:rsidRDefault="00FF7799" w:rsidP="00477109">
      <w:pPr>
        <w:pStyle w:val="StandardTextkursiv"/>
        <w:rPr>
          <w:iCs/>
        </w:rPr>
      </w:pPr>
      <w:r w:rsidRPr="0071457A">
        <w:rPr>
          <w:iCs/>
        </w:rPr>
        <w:t>Aufweichung wissenschaftlicher Standards</w:t>
      </w:r>
    </w:p>
    <w:p w14:paraId="1DB6005F" w14:textId="77777777" w:rsidR="00FF7799" w:rsidRPr="00287944" w:rsidRDefault="00FF7799" w:rsidP="007A2F41">
      <w:pPr>
        <w:pStyle w:val="StandardText"/>
      </w:pPr>
      <w:r w:rsidRPr="00287944">
        <w:t xml:space="preserve">Nicht nachvollziehbar ist, warum Stichprobengrößen von 56 bis 132 Auskunftspersonen, die in der ersten Auflage zum Ausschluss eines Landes aus der Analyse und der Berichterstattung geführt haben, nunmehr akzeptabel sein sollen. </w:t>
      </w:r>
    </w:p>
    <w:p w14:paraId="6A38EF63" w14:textId="77777777" w:rsidR="00FF7799" w:rsidRPr="00287944" w:rsidRDefault="00FF7799" w:rsidP="007A2F41">
      <w:pPr>
        <w:pStyle w:val="StandardText"/>
        <w:rPr>
          <w:b/>
        </w:rPr>
      </w:pPr>
    </w:p>
    <w:p w14:paraId="25448F9E" w14:textId="77777777" w:rsidR="00FF7799" w:rsidRPr="0071457A" w:rsidRDefault="00FF7799" w:rsidP="00477109">
      <w:pPr>
        <w:pStyle w:val="StandardTextkursiv"/>
        <w:rPr>
          <w:iCs/>
        </w:rPr>
      </w:pPr>
      <w:r w:rsidRPr="0071457A">
        <w:rPr>
          <w:iCs/>
        </w:rPr>
        <w:t>Immunisierung</w:t>
      </w:r>
    </w:p>
    <w:p w14:paraId="52467464" w14:textId="77777777" w:rsidR="00FF7799" w:rsidRPr="00287944" w:rsidRDefault="00FF7799" w:rsidP="007A2F41">
      <w:pPr>
        <w:pStyle w:val="StandardText"/>
        <w:rPr>
          <w:b/>
          <w:szCs w:val="24"/>
        </w:rPr>
      </w:pPr>
      <w:r w:rsidRPr="00287944">
        <w:rPr>
          <w:szCs w:val="24"/>
        </w:rPr>
        <w:t>Vor allem aber kritisieren Yoo/Donthu (2002), dass der Autor die zweite Auflage seines Werkes lediglich dazu genutzt habe, sich und sein Werk gegen die seit 1980 weltweit geübte Kritik zu verteidigen, anstatt die nach Ansicht vieler Kollegen bestehenden Schwachstellen zu beheben (soweit dies möglich ist). Dies sind:</w:t>
      </w:r>
    </w:p>
    <w:p w14:paraId="73EC11EB" w14:textId="77777777" w:rsidR="00FF7799" w:rsidRPr="00287944" w:rsidRDefault="00FF7799" w:rsidP="0071457A">
      <w:pPr>
        <w:pStyle w:val="StandardTextAufzhlung"/>
        <w:ind w:left="426"/>
      </w:pPr>
      <w:r w:rsidRPr="00287944">
        <w:t>ungeklärte Reliabilität (z.B. interne Konsistenz),</w:t>
      </w:r>
    </w:p>
    <w:p w14:paraId="42784C4C" w14:textId="77777777" w:rsidR="00FF7799" w:rsidRPr="00287944" w:rsidRDefault="00FF7799" w:rsidP="0071457A">
      <w:pPr>
        <w:pStyle w:val="StandardTextAufzhlung"/>
        <w:ind w:left="426"/>
      </w:pPr>
      <w:r w:rsidRPr="00287944">
        <w:t>für eine stabile Faktorenanalyse unzureichende Fallzahl,</w:t>
      </w:r>
    </w:p>
    <w:p w14:paraId="1C13D70E" w14:textId="77777777" w:rsidR="00FF7799" w:rsidRPr="00287944" w:rsidRDefault="00FF7799" w:rsidP="0071457A">
      <w:pPr>
        <w:pStyle w:val="StandardTextAufzhlung"/>
        <w:ind w:left="426"/>
      </w:pPr>
      <w:r w:rsidRPr="00287944">
        <w:lastRenderedPageBreak/>
        <w:t>Abhängigkeit der Stichprobenstruktur von der Existenz von IBM-Niederlassungen in einem Land (weshalb alle früheren kommunistischen Länder nicht repräsentiert sind),</w:t>
      </w:r>
    </w:p>
    <w:p w14:paraId="402DE697" w14:textId="77777777" w:rsidR="00FF7799" w:rsidRPr="00287944" w:rsidRDefault="00FF7799" w:rsidP="0071457A">
      <w:pPr>
        <w:pStyle w:val="StandardTextAufzhlung"/>
        <w:ind w:left="426"/>
      </w:pPr>
      <w:r w:rsidRPr="00287944">
        <w:t>Reduktion der Vielzahl arabischer und afrikanischer Länder auf drei Regionen,</w:t>
      </w:r>
    </w:p>
    <w:p w14:paraId="3BF3F2AB" w14:textId="77777777" w:rsidR="00FF7799" w:rsidRPr="00287944" w:rsidRDefault="00FF7799" w:rsidP="0071457A">
      <w:pPr>
        <w:pStyle w:val="StandardTextAufzhlung"/>
        <w:ind w:left="426"/>
      </w:pPr>
      <w:r w:rsidRPr="00287944">
        <w:t>Aggregationsgrad der Kulturdimensionen (die auf Länderebene und nicht auf Individualebene erfasst werden).</w:t>
      </w:r>
    </w:p>
    <w:p w14:paraId="398C2F2D" w14:textId="77777777" w:rsidR="0071457A" w:rsidRDefault="0071457A" w:rsidP="007A2F41">
      <w:pPr>
        <w:pStyle w:val="StandardText"/>
      </w:pPr>
    </w:p>
    <w:p w14:paraId="18B14C5C" w14:textId="5BDC9D52" w:rsidR="00FF7799" w:rsidRPr="00287944" w:rsidRDefault="00FF7799" w:rsidP="007A2F41">
      <w:pPr>
        <w:pStyle w:val="StandardText"/>
      </w:pPr>
      <w:r w:rsidRPr="00287944">
        <w:t>Weiterhin warfen verschiedene Wissenschaftler G. Hofstede naiven kulturellen Determinismus vor (z.B. McSweeney 2002). Dieser äußere sich in der Überzeugung, die Landeskultur übe einen starken kausalen Einfluss aus: „strong, often absolute causality“ (Hofstede 1991, S.170). Abgelehnt wird auch die Vorstellung, Landeskulturen seien homogen und von anderen Landeskulturen eindeutig abgrenzbar: „Although the state Great Britain is composed of at least three nations - England, Scotland and Wales – Hofstede treats it as a single entity with a single ‘national‘ culture” (McSweeney 2002, S.92).</w:t>
      </w:r>
    </w:p>
    <w:p w14:paraId="64CB2EC6" w14:textId="77777777" w:rsidR="00FF7799" w:rsidRPr="00287944" w:rsidRDefault="00FF7799" w:rsidP="007A2F41">
      <w:pPr>
        <w:pStyle w:val="StandardText"/>
      </w:pPr>
    </w:p>
    <w:p w14:paraId="61CE5B76" w14:textId="77777777" w:rsidR="00FF7799" w:rsidRPr="0071457A" w:rsidRDefault="00FF7799" w:rsidP="00477109">
      <w:pPr>
        <w:pStyle w:val="StandardTextkursiv"/>
        <w:rPr>
          <w:iCs/>
        </w:rPr>
      </w:pPr>
      <w:r w:rsidRPr="0071457A">
        <w:rPr>
          <w:iCs/>
        </w:rPr>
        <w:t>Wertewandel</w:t>
      </w:r>
    </w:p>
    <w:p w14:paraId="4497AF89" w14:textId="77777777" w:rsidR="00FF7799" w:rsidRPr="0071457A" w:rsidRDefault="00FF7799" w:rsidP="007A2F41">
      <w:pPr>
        <w:pStyle w:val="StandardText"/>
        <w:rPr>
          <w:b/>
          <w:iCs/>
        </w:rPr>
      </w:pPr>
      <w:r w:rsidRPr="00287944">
        <w:t>Obwohl zahlreiche Studien das Gegenteil bezeugen, bestreitet G. Hofstede, dass das Phänomen des Wandels der Nationalkultur – welches dem Wertewandel vergleichbar ist – seinen Untersuchungsansatz grundsätzlich in Frage stellt. Der von ihm analysierte Datensatz wurde Ende der 1960er-, Anfang der 1970er-Jahre erhoben. Seitdem vollzogen sich auf allen Ebenen (z.B.</w:t>
      </w:r>
      <w:r w:rsidRPr="00E73F6F">
        <w:t xml:space="preserve"> </w:t>
      </w:r>
      <w:r w:rsidRPr="0071457A">
        <w:rPr>
          <w:iCs/>
        </w:rPr>
        <w:t>Politik, Ökonomie, Demographie) teilweise dramatische Veränderungen, bis hin zu Strukturbrüchen: bspw. …</w:t>
      </w:r>
    </w:p>
    <w:p w14:paraId="0A35E34E" w14:textId="77777777" w:rsidR="00FF7799" w:rsidRPr="0071457A" w:rsidRDefault="00FF7799" w:rsidP="00091DE6">
      <w:pPr>
        <w:pStyle w:val="StandardTextAufzhlung"/>
        <w:rPr>
          <w:iCs/>
        </w:rPr>
      </w:pPr>
      <w:r w:rsidRPr="0071457A">
        <w:rPr>
          <w:iCs/>
        </w:rPr>
        <w:t>1989/1990: Implosion der Sowjetunion,</w:t>
      </w:r>
    </w:p>
    <w:p w14:paraId="505DD438" w14:textId="77777777" w:rsidR="00FF7799" w:rsidRPr="0071457A" w:rsidRDefault="00FF7799" w:rsidP="00091DE6">
      <w:pPr>
        <w:pStyle w:val="StandardTextAufzhlung"/>
        <w:rPr>
          <w:iCs/>
        </w:rPr>
      </w:pPr>
      <w:r w:rsidRPr="0071457A">
        <w:rPr>
          <w:iCs/>
        </w:rPr>
        <w:t>2001: Zerstörung des World Trade Center,</w:t>
      </w:r>
    </w:p>
    <w:p w14:paraId="3AA33A9E" w14:textId="77777777" w:rsidR="00FF7799" w:rsidRPr="0071457A" w:rsidRDefault="00FF7799" w:rsidP="00091DE6">
      <w:pPr>
        <w:pStyle w:val="StandardTextAufzhlung"/>
        <w:rPr>
          <w:iCs/>
        </w:rPr>
      </w:pPr>
      <w:r w:rsidRPr="0071457A">
        <w:rPr>
          <w:iCs/>
        </w:rPr>
        <w:t>ab 2001: „Krieg“ gegen Terror und Fundamentalismus,</w:t>
      </w:r>
    </w:p>
    <w:p w14:paraId="230C83CF" w14:textId="77777777" w:rsidR="00FF7799" w:rsidRDefault="00FF7799" w:rsidP="00091DE6">
      <w:pPr>
        <w:pStyle w:val="StandardTextAufzhlung"/>
        <w:rPr>
          <w:iCs/>
        </w:rPr>
      </w:pPr>
      <w:r w:rsidRPr="0071457A">
        <w:rPr>
          <w:iCs/>
        </w:rPr>
        <w:t>ab 2009: Finanzkrise und in deren Folge Wirtschaftskrise.</w:t>
      </w:r>
    </w:p>
    <w:p w14:paraId="184F8492" w14:textId="77777777" w:rsidR="0071457A" w:rsidRPr="0071457A" w:rsidRDefault="0071457A" w:rsidP="00091DE6">
      <w:pPr>
        <w:pStyle w:val="StandardTextAufzhlung"/>
        <w:rPr>
          <w:iCs/>
        </w:rPr>
      </w:pPr>
    </w:p>
    <w:p w14:paraId="32296FD2" w14:textId="77777777" w:rsidR="00FF7799" w:rsidRPr="0071457A" w:rsidRDefault="00FF7799" w:rsidP="007A2F41">
      <w:pPr>
        <w:pStyle w:val="StandardText"/>
        <w:rPr>
          <w:iCs/>
        </w:rPr>
      </w:pPr>
      <w:r w:rsidRPr="0071457A">
        <w:rPr>
          <w:iCs/>
        </w:rPr>
        <w:t>Wie Inglehart (1998, S.189ff.) nachwies, erlebten zwischen 1970 und 1994 vor allem die wohlhabenden Industriegesellschaften einen Wertewandel, in dessen Verlauf die traditionellen – d.h. materiellen – Werte teilweise durch postmaterielle Werte verdrängt bzw. ergänzt wurden. Und Oyserman et al. (2002) berichten, dass Japaner und Südkoreaner mittlerweile in vielerlei Hinsicht individualistischer und weniger kollektivistisch sind als Amerikaner.</w:t>
      </w:r>
    </w:p>
    <w:p w14:paraId="7AB39A09" w14:textId="77777777" w:rsidR="00FF7799" w:rsidRPr="00287944" w:rsidRDefault="00FF7799" w:rsidP="007A2F41">
      <w:pPr>
        <w:pStyle w:val="StandardText"/>
        <w:rPr>
          <w:i/>
        </w:rPr>
      </w:pPr>
    </w:p>
    <w:tbl>
      <w:tblPr>
        <w:tblW w:w="5000" w:type="pct"/>
        <w:tblBorders>
          <w:top w:val="single" w:sz="4" w:space="0" w:color="auto"/>
          <w:left w:val="single" w:sz="4" w:space="0" w:color="auto"/>
          <w:bottom w:val="single" w:sz="4" w:space="0" w:color="auto"/>
          <w:right w:val="single" w:sz="4" w:space="0" w:color="auto"/>
        </w:tblBorders>
        <w:tblCellMar>
          <w:left w:w="85" w:type="dxa"/>
          <w:right w:w="85" w:type="dxa"/>
        </w:tblCellMar>
        <w:tblLook w:val="0000" w:firstRow="0" w:lastRow="0" w:firstColumn="0" w:lastColumn="0" w:noHBand="0" w:noVBand="0"/>
      </w:tblPr>
      <w:tblGrid>
        <w:gridCol w:w="9062"/>
      </w:tblGrid>
      <w:tr w:rsidR="00FF7799" w:rsidRPr="00E73F6F" w14:paraId="65B4591D" w14:textId="77777777" w:rsidTr="00287944">
        <w:tc>
          <w:tcPr>
            <w:tcW w:w="5000" w:type="pct"/>
            <w:shd w:val="clear" w:color="auto" w:fill="DEEAF6" w:themeFill="accent1" w:themeFillTint="33"/>
          </w:tcPr>
          <w:p w14:paraId="572947CD" w14:textId="77777777" w:rsidR="00FF7799" w:rsidRPr="00E73F6F" w:rsidRDefault="00FF7799" w:rsidP="00477109">
            <w:pPr>
              <w:pStyle w:val="Standardklein"/>
              <w:spacing w:before="120" w:after="120"/>
            </w:pPr>
            <w:r w:rsidRPr="00E73F6F">
              <w:rPr>
                <w:b/>
              </w:rPr>
              <w:t>Wertewandel in Japan</w:t>
            </w:r>
          </w:p>
        </w:tc>
      </w:tr>
      <w:tr w:rsidR="00FF7799" w:rsidRPr="00E73F6F" w14:paraId="5FDE754E" w14:textId="77777777" w:rsidTr="00287944">
        <w:tc>
          <w:tcPr>
            <w:tcW w:w="5000" w:type="pct"/>
            <w:shd w:val="clear" w:color="auto" w:fill="DEEAF6" w:themeFill="accent1" w:themeFillTint="33"/>
          </w:tcPr>
          <w:p w14:paraId="52CB9EFA" w14:textId="77777777" w:rsidR="00FF7799" w:rsidRPr="00E73F6F" w:rsidRDefault="00FF7799" w:rsidP="00477109">
            <w:pPr>
              <w:pStyle w:val="Standardklein"/>
              <w:spacing w:before="120" w:after="120"/>
            </w:pPr>
            <w:r w:rsidRPr="00E73F6F">
              <w:t xml:space="preserve">„Man kann verwirrt sein. War nicht Japan das Land, in dem Menschen immer nur arbeiten, bis sie krank werden, todkrank von dem Leistungsdruck, den ihre Vorgesetzten ausüben? War nicht Deutschland das Land der Urlaubsweltmeister? Wenn </w:t>
            </w:r>
            <w:r w:rsidRPr="00E73F6F">
              <w:rPr>
                <w:i/>
              </w:rPr>
              <w:t>Miyamoto</w:t>
            </w:r>
            <w:r w:rsidRPr="00E73F6F">
              <w:t xml:space="preserve"> bei einer Tasse Oolong-Tee von seinem Arbeitsplatz erzählt, könnten Gewerkschaftsfunktionäre hierzulande Fernweh nach Ostasien bekommen. 200.000 Yen oder 1.515 € bezahlt ihm sein Arbeitgeber jährlich für die Kita seiner Kinder. Dazu monatlich 45 € für die Fahrkarten der U-Bahn, 227 € Mietzuschuss, 80 € Kindergeld, 128 €, weil seine Frau nicht berufstätig ist. Außerdem: sechs Monate Lohnfortzahlung im Krankheitsfall. Und wenn </w:t>
            </w:r>
            <w:r w:rsidRPr="00E73F6F">
              <w:rPr>
                <w:i/>
              </w:rPr>
              <w:t>Miyamoto</w:t>
            </w:r>
            <w:r w:rsidRPr="00E73F6F">
              <w:t xml:space="preserve"> wollte, könnte er sich mehrere Jahre beurlauben lassen, um einen kranken Verwandten zu pflegen oder Kinder unter drei Jahren zu betreuen: Sein Arbeitsplatz wäre ihm vertraglich garantiert. </w:t>
            </w:r>
            <w:r w:rsidRPr="00E73F6F">
              <w:rPr>
                <w:i/>
              </w:rPr>
              <w:t>Miyamoto</w:t>
            </w:r>
            <w:r w:rsidRPr="00E73F6F">
              <w:t xml:space="preserve"> nimmt niemals Arbeit mit nach Hause, sagt er und lacht, weil er den Gedanken absurd findet. Er kommt um 9 Uhr morgens ins Büro und geht um 18 Uhr. Ungefähr einmal im Monat macht er Überstunden bis 21 Uhr, für die er 125% seines normalen Stundenlohns bekommt. Denn unbezahlte Mehrarbeit ist in Japan per Gesetz verboten. Mittagspause macht </w:t>
            </w:r>
            <w:r w:rsidRPr="00E73F6F">
              <w:rPr>
                <w:i/>
              </w:rPr>
              <w:t>Miyamoto</w:t>
            </w:r>
            <w:r w:rsidRPr="00E73F6F">
              <w:t xml:space="preserve"> immer 60 Minuten lang, wie der Gesetzgeber es für einen 8-Stunden-Tag vorschreibt.“</w:t>
            </w:r>
          </w:p>
          <w:p w14:paraId="689EB6CF" w14:textId="77777777" w:rsidR="00FF7799" w:rsidRPr="00E73F6F" w:rsidRDefault="00FF7799" w:rsidP="00477109">
            <w:pPr>
              <w:pStyle w:val="Standardklein"/>
              <w:spacing w:before="120" w:after="120"/>
              <w:rPr>
                <w:b/>
              </w:rPr>
            </w:pPr>
          </w:p>
          <w:p w14:paraId="2BD802CF" w14:textId="77777777" w:rsidR="00FF7799" w:rsidRPr="00E73F6F" w:rsidRDefault="00FF7799" w:rsidP="00477109">
            <w:pPr>
              <w:pStyle w:val="Standardklein"/>
              <w:spacing w:before="120" w:after="120"/>
            </w:pPr>
            <w:r w:rsidRPr="00E73F6F">
              <w:rPr>
                <w:b/>
              </w:rPr>
              <w:lastRenderedPageBreak/>
              <w:t>Wertewandel in Schweden</w:t>
            </w:r>
          </w:p>
          <w:p w14:paraId="18F09059" w14:textId="77777777" w:rsidR="00FF7799" w:rsidRPr="00E73F6F" w:rsidRDefault="00FF7799" w:rsidP="00477109">
            <w:pPr>
              <w:pStyle w:val="Standardklein"/>
              <w:spacing w:before="120" w:after="120"/>
            </w:pPr>
            <w:r w:rsidRPr="00E73F6F">
              <w:t xml:space="preserve">„Als friedlicher Sozialstaat wird Schweden gerühmt. Es ist Heimat des Knäckebrots und des Billy-Regals. Im 18. Jahrhundert dagegen war das Land ein waffenstrotzendes Imperium, das turmhohe Kanonen baute und sich bis nach Vorpommern und Estland erstreckte. Sein berüchtigtster König, </w:t>
            </w:r>
            <w:r w:rsidRPr="00E73F6F">
              <w:rPr>
                <w:i/>
              </w:rPr>
              <w:t>Karl XII</w:t>
            </w:r>
            <w:r w:rsidRPr="00E73F6F">
              <w:t xml:space="preserve">., liebte den Frieden so wenig, dass der Dichter </w:t>
            </w:r>
            <w:r w:rsidRPr="00E73F6F">
              <w:rPr>
                <w:i/>
              </w:rPr>
              <w:t>Strindberg</w:t>
            </w:r>
            <w:r w:rsidRPr="00E73F6F">
              <w:t xml:space="preserve"> ihn einen »Henker« nannte. Anders als die anderen Barockfürsten Europas hasste der Mann Parfüm und Perücken. Er fühlte sich als Nachfahr der Goten. Am Tag der Thronbesteigung schnitt er einem Kalb die Kehle durch“ (Schulz 2015, S.129).</w:t>
            </w:r>
          </w:p>
        </w:tc>
      </w:tr>
    </w:tbl>
    <w:p w14:paraId="74471C68" w14:textId="77777777" w:rsidR="00FF7799" w:rsidRPr="00E73F6F" w:rsidRDefault="00FF7799" w:rsidP="00862DBA">
      <w:pPr>
        <w:rPr>
          <w:sz w:val="24"/>
          <w:szCs w:val="24"/>
        </w:rPr>
      </w:pPr>
    </w:p>
    <w:p w14:paraId="6719B146" w14:textId="77777777" w:rsidR="00FF7799" w:rsidRPr="00287944" w:rsidRDefault="00FF7799" w:rsidP="007A2F41">
      <w:pPr>
        <w:pStyle w:val="StandardText"/>
      </w:pPr>
      <w:r w:rsidRPr="00287944">
        <w:t>Dennoch beharrt Hofstede (2001, S.11f., S.36) auch in der zweiten Auflage seines Werkes auf der Stabilitätsannahme: Dass Landeskulturen längerfristig stabil sind und es für einen Wertewandel eines Zeitraumes von 50 bis 100 Jahren bedarf. Wie gelangt er zu dieser zeitlichen Abgrenzung? Weil nur dann die von ihm ermittelten Kulturindices, deren empirische Basis hauptsächlich in den Jahren 1967-1973 geschaffen wurde, nach wie vor aussagefähig sind? Auch kann er so ein weiteres grundlegendes Problem ignorieren: dass der Werte- bzw. Kulturwandel nicht als homogener Prozess verläuft, sondern sich in den verschiedenen sozialen Schichten und Gruppierungen eines Landes in unterschiedlicher Weise und mit unterschiedlicher Geschwindigkeit vollzieht: „Three decades ago, IBM workers in developed countries represented an average social class, whereas those in underdeveloped countries, equipped with advanced technology, good education, and global mindsets, must have belonged to their nations elite classes“ (Yoo/Donthu 2002, S.389).</w:t>
      </w:r>
    </w:p>
    <w:p w14:paraId="5FB2AF0F" w14:textId="77777777" w:rsidR="00FF7799" w:rsidRPr="00287944" w:rsidRDefault="00FF7799" w:rsidP="007A2F41">
      <w:pPr>
        <w:pStyle w:val="StandardText"/>
        <w:rPr>
          <w:lang w:val="en-US"/>
        </w:rPr>
      </w:pPr>
      <w:r w:rsidRPr="00287944">
        <w:rPr>
          <w:lang w:val="en-US"/>
        </w:rPr>
        <w:t>Dem widerspricht G. Hofstede auf seiner Hompage: „The country scores on the dimensions are relative, as we are all human and simultaneously we are all unique. In other words, culture can be only used meaningfully by comparison. These relative scores have been proven to be quite stable over time. The forces that cause cultures to shift tend to be global or continent-wide. This means that they affect many countries at the same time, so if their cultures shift, they shift together and their relative positions remain the same. Exceptions to this rule are failed states and societies in which the levels of wealth and education increase very rapidly, comparatively speaking. Yet, in such cases, the relative positions will also only change very slowly“ (</w:t>
      </w:r>
      <w:hyperlink r:id="rId63" w:history="1">
        <w:r w:rsidRPr="00287944">
          <w:rPr>
            <w:rStyle w:val="Hyperlink"/>
            <w:szCs w:val="24"/>
            <w:lang w:val="en-US"/>
          </w:rPr>
          <w:t>http://geert-hofstede.com/national-culture.html</w:t>
        </w:r>
      </w:hyperlink>
      <w:r w:rsidRPr="00287944">
        <w:rPr>
          <w:lang w:val="en-US"/>
        </w:rPr>
        <w:t>).</w:t>
      </w:r>
    </w:p>
    <w:p w14:paraId="64F2AA1D" w14:textId="77777777" w:rsidR="00FF7799" w:rsidRPr="00287944" w:rsidRDefault="00FF7799" w:rsidP="007A2F41">
      <w:pPr>
        <w:pStyle w:val="StandardText"/>
        <w:rPr>
          <w:lang w:val="en-US"/>
        </w:rPr>
      </w:pPr>
    </w:p>
    <w:p w14:paraId="4C75084E" w14:textId="77777777" w:rsidR="00FF7799" w:rsidRPr="00287944" w:rsidRDefault="00FF7799" w:rsidP="007A2F41">
      <w:pPr>
        <w:pStyle w:val="StandardTextkursiv"/>
        <w:rPr>
          <w:i w:val="0"/>
        </w:rPr>
      </w:pPr>
      <w:r w:rsidRPr="00287944">
        <w:rPr>
          <w:i w:val="0"/>
        </w:rPr>
        <w:t>4. Schwächen der dritten Auflage von “Cultures and Organizations“</w:t>
      </w:r>
    </w:p>
    <w:p w14:paraId="40CC7625" w14:textId="77777777" w:rsidR="00FF7799" w:rsidRPr="00287944" w:rsidRDefault="00FF7799" w:rsidP="007A2F41">
      <w:pPr>
        <w:pStyle w:val="StandardText"/>
      </w:pPr>
      <w:r w:rsidRPr="00287944">
        <w:t>Auf die Spitze trieb G. Hofstede seine von Befürwortern als „pragmatisch“ und von Kritikern als „eklektizistisch“ eingestufte Forschungsstrategie in der dritten Auflage von „Cultures and Organizations. Software of the Mind“, die er zusammen mit G.J. Hofstede, seinem ältesten Sohn, und M. Minkov herausgegeben hat (vgl. Hofstede et al. 2010). Das ursprüngliche 4D-Modell wurde darin durch Einschluss der Kulturdimensionen Langfristorientierung (in der Fassung von 2010, d.h. für 93 Länder) und Genussorientierung (Indulgence) vs. Selbstbeherrschung (Restraint) zum 6D-Kulturmodell erweitert – allerdings auf Basis eines Datensatzes, der mehrere Jahrzehnte nach dem ursprünglichen IBM-Datensatz erhoben wurde und methodologisch mit diesem auch nicht vergleichbar ist (vgl. Minkov/Hofstede 2012). Die Kritik an dieser Vorgehensweise liegt auf der Hand: mangelnde Konsistenz und Vergleichbarkeit.</w:t>
      </w:r>
    </w:p>
    <w:p w14:paraId="7EDD5329" w14:textId="77777777" w:rsidR="00FF7799" w:rsidRPr="00287944" w:rsidRDefault="00FF7799" w:rsidP="007A2F41">
      <w:pPr>
        <w:pStyle w:val="StandardText"/>
      </w:pPr>
      <w:r w:rsidRPr="00287944">
        <w:t xml:space="preserve">Problematisch sind weiterhin Inhalts- und Diskriminanzvalidität insbesondere der fünften und sechsten Dimension. So definieren die Autoren Genussorientierung vs. Selbstbeherrschung als die Art und Weise, wie in einer Gesellschaft üblicherweise mit individuellen Wünschen und Bedürfnissen umgegangen wird: in genussorientierten Gesellschaften durch „impulsive Bedürfnisbefriedigung“ in zu Selbstbeherrschung neigenden Gesellschafen durch Kontrolle und Bedürfnisunterdrückung. Allerdings wird diese Kulturdimension unter anderem mit dem Item „Sind Sie eine glückliche Person?“ (1 = immer, 5 = nie) operationalisiert. Glück ist jedoch ein eigenständiges Konstrukt, das nicht mit auslebbarer Impulsivität gleichzusetzen ist. </w:t>
      </w:r>
    </w:p>
    <w:p w14:paraId="0BCC576A" w14:textId="77777777" w:rsidR="00FF7799" w:rsidRPr="00287944" w:rsidRDefault="00FF7799" w:rsidP="007A2F41">
      <w:pPr>
        <w:pStyle w:val="StandardText"/>
      </w:pPr>
      <w:r w:rsidRPr="00287944">
        <w:lastRenderedPageBreak/>
        <w:t xml:space="preserve">Weiterhin wurden Langfristorientierung und Genussorientierung nicht überschneidungsfrei operationalisiert. Denn Hofstede et al. setzen Selbstbeherrschung (Restraint) u.a. mit Sparsamkeit gleich; d.h. mit einer Eigenschaft, die sie auch langfristig orientierten Gesellschaften zuschreiben. </w:t>
      </w:r>
    </w:p>
    <w:p w14:paraId="39423960" w14:textId="77777777" w:rsidR="00FF7799" w:rsidRPr="00287944" w:rsidRDefault="00FF7799" w:rsidP="00862DBA">
      <w:pPr>
        <w:rPr>
          <w:sz w:val="24"/>
          <w:szCs w:val="24"/>
        </w:rPr>
      </w:pPr>
    </w:p>
    <w:p w14:paraId="3C9FF6BC" w14:textId="77777777" w:rsidR="00FF7799" w:rsidRPr="00287944" w:rsidRDefault="00FF7799" w:rsidP="007A2F41">
      <w:pPr>
        <w:pStyle w:val="StandardTextkursiv"/>
        <w:rPr>
          <w:i w:val="0"/>
        </w:rPr>
      </w:pPr>
      <w:r w:rsidRPr="00287944">
        <w:rPr>
          <w:i w:val="0"/>
        </w:rPr>
        <w:t>5 Überprüfung &amp; Reformulierung des Hofstede-Kulturmodells</w:t>
      </w:r>
    </w:p>
    <w:p w14:paraId="5FC9627C" w14:textId="77777777" w:rsidR="00FF7799" w:rsidRPr="00287944" w:rsidRDefault="00FF7799" w:rsidP="003A69FB">
      <w:pPr>
        <w:pStyle w:val="StandardText"/>
      </w:pPr>
      <w:r w:rsidRPr="00287944">
        <w:t xml:space="preserve">Ausgehend von der vielstimmigen Kritik haben zahlreiche Wissenschaftler eine theoretische (z.B. Miller 2002) und methodologische (z.B. Fiske 2002) Korrektur des Hofstede-Ansatzes gefordert. </w:t>
      </w:r>
    </w:p>
    <w:p w14:paraId="4BD4273B" w14:textId="77777777" w:rsidR="00FF7799" w:rsidRPr="00287944" w:rsidRDefault="00FF7799" w:rsidP="003A69FB">
      <w:pPr>
        <w:pStyle w:val="StandardText"/>
      </w:pPr>
    </w:p>
    <w:p w14:paraId="24F1E9C3" w14:textId="77777777" w:rsidR="00FF7799" w:rsidRPr="00287944" w:rsidRDefault="00FF7799" w:rsidP="00477109">
      <w:pPr>
        <w:pStyle w:val="StandardTextkursiv"/>
        <w:rPr>
          <w:i w:val="0"/>
        </w:rPr>
      </w:pPr>
      <w:r w:rsidRPr="00287944">
        <w:rPr>
          <w:i w:val="0"/>
        </w:rPr>
        <w:t>5.1 Individualismus &amp; Akzeptanz von Machtdistanz</w:t>
      </w:r>
    </w:p>
    <w:p w14:paraId="6FA1A3D2" w14:textId="77777777" w:rsidR="00FF7799" w:rsidRPr="00287944" w:rsidRDefault="00FF7799" w:rsidP="003A69FB">
      <w:pPr>
        <w:pStyle w:val="StandardText"/>
      </w:pPr>
      <w:r w:rsidRPr="00287944">
        <w:t>Newman/Nollen (1996, S.758) begründeten theoretisch, warum die beiden Kulturdimensionen „Individualismus/Kollektivismus“ und „Akzeptanz von Machtdistanz“ nicht orthogonal, d.h. nicht unabhängig voneinander sein können. In individualistischen Ländern sei der Einzelne für seinen sozialen Status selbst verantwortlich, weshalb Macht, Hierarchie und Status in solchen Gesellschaften nicht als unabänderlich, sondern als flexibel und modifizierbar gelten. In kollektivistischen Gesellschaften hingegen besitze der Einzelne Rechte, die ihm aus seiner Zugehörigkeit zu einer bestimmten gesellschaftlichen Klasse, Religionsgemeinschaft, Großfamilie oder einer anderen sozialen Gruppe zwangsläufig erwachsen. Weil Kollektivisten ihre Identität und ihren Status von sozialen Gruppen ableiten, denen sie angehören, streben sie gewöhnlich nicht danach, die bestehenden hierarchischen Verhältnisse zu verändern. Denn wer in solchen Gesellschaften den Status quo nicht akzeptiert, opponiert gegen die eigene Gruppe und trägt im Falle des Scheiterns ein hohes soziales Risiko: Er wird zum Außenseiter.</w:t>
      </w:r>
    </w:p>
    <w:p w14:paraId="2716A228" w14:textId="77777777" w:rsidR="00FF7799" w:rsidRPr="00287944" w:rsidRDefault="00FF7799" w:rsidP="003A69FB">
      <w:pPr>
        <w:pStyle w:val="StandardText"/>
      </w:pPr>
      <w:r w:rsidRPr="00287944">
        <w:t xml:space="preserve">Dass die beiden Dimensionen konfundiert sind, erkennt man indirekt auch, wenn man die Erziehungsstile vergleicht, die Hofstede (2001, S.107; S.236) individualistischen bzw. kollektivistischen Gesellschaften einerseits und Machtdistanz akzeptierenden bzw. ablehnenden Gesellschaften andererseits zuschreibt. Denn die angeblich kulturspezifischen Erziehungsstile überschneiden sich in vielerlei Hinsicht. Dass Gesellschaften, die Machtdistanz nicht akzeptieren, Kinder ermutigen, „ihren eigenen Weg zu gehen“, unterscheidet sich nicht erkennbar von dem Erziehungsstil, der individualistischen Gesellschaften zugeschrieben wird (Ich-Bewusstsein fördern). </w:t>
      </w:r>
    </w:p>
    <w:p w14:paraId="2A579D8B" w14:textId="77777777" w:rsidR="00FF7799" w:rsidRPr="00287944" w:rsidRDefault="00FF7799" w:rsidP="003A69FB">
      <w:pPr>
        <w:pStyle w:val="StandardText"/>
      </w:pPr>
      <w:r w:rsidRPr="00287944">
        <w:t>Dennoch vertritt G. Hofstede die Meinung, dass beide Kulturdimensionen sich grundlegend voneinander unterscheiden. Akzeptanz von Machtdistanz meine die „emotionale Abhängigkeit von hierarchisch höhergestellten Menschen“, Individualismus/Kollektivismus die „emotionale (Un-)Abhängigkeit von Gruppen, Organisationen oder anderen Kollektiven“. Auch gingen empirisch hohe Werte für die Akzeptanz von Machtdistanz zwar zumeist, aber nicht immer mit geringen Werten für Individualismus einher. Eine eindimensionale Repräsentation verschleiere die Ausnahmesituation der lateineuropäischen Länder (insb. Belgien, Frankreich und mit Abstrichen auch Italien), die ausgeprägten Individualismus mit Akzeptanz von Machtdistanz verbinden (vgl. Abb. 1). Dieses Argument ist zwar nicht falsch, verkennt jedoch die primäre Zielsetzung der dimensionsanalytischen Forschungsstrategie: Reduktion der komplexen Realität auf wenige grundlegende Beschreibungsdimensionen.</w:t>
      </w:r>
    </w:p>
    <w:p w14:paraId="7E439C22" w14:textId="77777777" w:rsidR="00FF7799" w:rsidRPr="00E73F6F" w:rsidRDefault="00FF7799" w:rsidP="00862DBA">
      <w:pPr>
        <w:rPr>
          <w:sz w:val="24"/>
          <w:szCs w:val="24"/>
        </w:rPr>
      </w:pPr>
    </w:p>
    <w:p w14:paraId="02C9BEDD" w14:textId="77777777" w:rsidR="00FF7799" w:rsidRPr="00C76DC3" w:rsidRDefault="00FF7799" w:rsidP="003A69FB">
      <w:pPr>
        <w:pStyle w:val="BeschriftungTab"/>
        <w:rPr>
          <w:i/>
          <w:iCs/>
        </w:rPr>
      </w:pPr>
      <w:bookmarkStart w:id="22" w:name="_Ref413256761"/>
      <w:r w:rsidRPr="00C76DC3">
        <w:rPr>
          <w:i/>
          <w:iCs/>
        </w:rPr>
        <w:t>Abb.</w:t>
      </w:r>
      <w:bookmarkEnd w:id="22"/>
      <w:r w:rsidRPr="00C76DC3">
        <w:rPr>
          <w:i/>
          <w:iCs/>
        </w:rPr>
        <w:t xml:space="preserve"> 1: Kovariation zweier Kulturdimensionen (I)</w:t>
      </w:r>
    </w:p>
    <w:p w14:paraId="10ABD72A" w14:textId="77777777" w:rsidR="00FF7799" w:rsidRPr="00E73F6F" w:rsidRDefault="00FF7799" w:rsidP="00862DBA">
      <w:pPr>
        <w:jc w:val="center"/>
        <w:rPr>
          <w:i/>
          <w:sz w:val="24"/>
          <w:szCs w:val="24"/>
        </w:rPr>
      </w:pPr>
      <w:r w:rsidRPr="00E73F6F">
        <w:rPr>
          <w:i/>
          <w:noProof/>
          <w:sz w:val="24"/>
          <w:szCs w:val="24"/>
          <w:lang w:eastAsia="de-DE"/>
        </w:rPr>
        <w:lastRenderedPageBreak/>
        <w:drawing>
          <wp:inline distT="0" distB="0" distL="0" distR="0" wp14:anchorId="11CBF826" wp14:editId="58FB86B8">
            <wp:extent cx="4654306" cy="4678878"/>
            <wp:effectExtent l="0" t="0" r="0" b="7620"/>
            <wp:docPr id="2296169" name="Grafik 2296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673966" cy="4698641"/>
                    </a:xfrm>
                    <a:prstGeom prst="rect">
                      <a:avLst/>
                    </a:prstGeom>
                    <a:noFill/>
                  </pic:spPr>
                </pic:pic>
              </a:graphicData>
            </a:graphic>
          </wp:inline>
        </w:drawing>
      </w:r>
    </w:p>
    <w:p w14:paraId="2B6A268D" w14:textId="77777777" w:rsidR="00FF7799" w:rsidRPr="00E73F6F" w:rsidRDefault="00FF7799" w:rsidP="003A69FB">
      <w:pPr>
        <w:pStyle w:val="Quellen"/>
      </w:pPr>
      <w:r w:rsidRPr="00E73F6F">
        <w:t>Quelle: eigene Darstellung auf Basis von Hofstede (1992, S.312f.).</w:t>
      </w:r>
    </w:p>
    <w:p w14:paraId="2255B3DC" w14:textId="77777777" w:rsidR="00FF7799" w:rsidRPr="00E73F6F" w:rsidRDefault="00FF7799" w:rsidP="00862DBA">
      <w:pPr>
        <w:rPr>
          <w:sz w:val="24"/>
          <w:szCs w:val="24"/>
        </w:rPr>
      </w:pPr>
    </w:p>
    <w:p w14:paraId="4CE1C115" w14:textId="77777777" w:rsidR="00FF7799" w:rsidRPr="00287944" w:rsidRDefault="00FF7799" w:rsidP="00477109">
      <w:pPr>
        <w:pStyle w:val="StandardTextkursiv"/>
        <w:rPr>
          <w:i w:val="0"/>
        </w:rPr>
      </w:pPr>
      <w:r w:rsidRPr="00287944">
        <w:rPr>
          <w:i w:val="0"/>
        </w:rPr>
        <w:t>5.2 Akzeptanz von Machtdistanz &amp; Ungewissheitsvermeidung</w:t>
      </w:r>
    </w:p>
    <w:p w14:paraId="0BB92B62" w14:textId="77777777" w:rsidR="00FF7799" w:rsidRPr="00287944" w:rsidRDefault="00FF7799" w:rsidP="003A69FB">
      <w:pPr>
        <w:pStyle w:val="StandardText"/>
      </w:pPr>
      <w:r w:rsidRPr="00287944">
        <w:t xml:space="preserve">Dass alle romanischen Gesellschaften sowohl Machtdistanz akzeptieren als auch Unsicherheit meiden, erklärt Weidmann (1995, S.54) anhand der </w:t>
      </w:r>
      <w:r w:rsidRPr="00287944">
        <w:rPr>
          <w:bCs/>
        </w:rPr>
        <w:t>Geschichte</w:t>
      </w:r>
      <w:r w:rsidRPr="00287944">
        <w:t xml:space="preserve"> des Mittelmeerraumes. Die spanisch-, portugiesisch-, französisch- und italienischsprachigen Länder leiten große Teile ihrer Zivilisation vom Römischen Reich ab. Es war gekennzeichnet durch eine zentrale Autorität in Rom sowie ein auf die Bürger der regierten Staaten übertragbares Rechtssystem. Dies begründete im Denken der Bürger einen </w:t>
      </w:r>
      <w:r w:rsidRPr="00287944">
        <w:rPr>
          <w:bCs/>
        </w:rPr>
        <w:t>Wertvorstellungskomplex</w:t>
      </w:r>
      <w:r w:rsidRPr="00287944">
        <w:t>: Zentralisierung förderte Machtdistanz, und das Streben nach Unsicherheitsvermeidung korrespondiert mit dem Stellenwert, den eine Gesellschaft formalen Gesetzen zubilligt. Auch das frühe Chinesische Reich wurde zentralistisch regiert, besaß jedoch kein kodifiziertes Rechtssystem: Charakteristisch waren personenbezogene (Dynastien) anstelle von gesetzesbezogenen Herrschaftsformen. In Ländern, die einst unter chinesischem Einfluss standen, geht noch heute Akzeptanz von Machtdistanz mit mäßiger bis schwacher Tendenz zur Unsicherheitsvermeidung einher. In großen Teilen Europas hingegen konnte sich nie für lange Zeit eine zentralistische Machtstruktur entwickeln – und folglich auch keine Akzeptanz von Machtdistanz.</w:t>
      </w:r>
    </w:p>
    <w:p w14:paraId="59C1FF87" w14:textId="77777777" w:rsidR="00FF7799" w:rsidRPr="00287944" w:rsidRDefault="00FF7799" w:rsidP="003A69FB">
      <w:pPr>
        <w:pStyle w:val="StandardText"/>
        <w:rPr>
          <w:b/>
        </w:rPr>
      </w:pPr>
    </w:p>
    <w:p w14:paraId="0274CF57" w14:textId="77777777" w:rsidR="00FF7799" w:rsidRPr="00287944" w:rsidRDefault="00FF7799" w:rsidP="00477109">
      <w:pPr>
        <w:pStyle w:val="StandardTextkursiv"/>
        <w:rPr>
          <w:i w:val="0"/>
        </w:rPr>
      </w:pPr>
      <w:r w:rsidRPr="00287944">
        <w:rPr>
          <w:i w:val="0"/>
        </w:rPr>
        <w:t>5.3 Kollektivismus &amp; Langzeitorientierung</w:t>
      </w:r>
    </w:p>
    <w:p w14:paraId="5642E24B" w14:textId="77777777" w:rsidR="00FF7799" w:rsidRPr="00287944" w:rsidRDefault="00FF7799" w:rsidP="003A69FB">
      <w:pPr>
        <w:pStyle w:val="StandardText"/>
      </w:pPr>
      <w:r w:rsidRPr="00287944">
        <w:lastRenderedPageBreak/>
        <w:t xml:space="preserve">Die Kulturdimension „langfristige vs. kurzfristige Orientierung“ korreliert gleichfalls erheblich mit „Individualismus vs. Kollektivismus“. Der von Yeh/Lawrence (1995) ermittelte Korrelationskoeffizient von r = </w:t>
      </w:r>
      <w:r w:rsidRPr="00287944">
        <w:sym w:font="Symbol" w:char="F02D"/>
      </w:r>
      <w:r w:rsidRPr="00287944">
        <w:t xml:space="preserve">0,46 zwischen beiden Dimensionen steigt sogar auf r = </w:t>
      </w:r>
      <w:r w:rsidRPr="00287944">
        <w:sym w:font="Symbol" w:char="F02D"/>
      </w:r>
      <w:r w:rsidRPr="00287944">
        <w:t>0,70, wenn man zur Datenpflege den „Ausreißer“ Pakistan aus dem Datensatz entfernt. Demnach sind die meisten kollektivistisch geprägten Gesellschaften langfristig orientiert und die meisten individualistischen Gesellschaften kurzfristig (vgl. Abb. 2).</w:t>
      </w:r>
    </w:p>
    <w:p w14:paraId="5EF03F19" w14:textId="77777777" w:rsidR="00FF7799" w:rsidRPr="00287944" w:rsidRDefault="00FF7799" w:rsidP="003A69FB">
      <w:pPr>
        <w:pStyle w:val="StandardText"/>
      </w:pPr>
    </w:p>
    <w:p w14:paraId="41B1897C" w14:textId="77777777" w:rsidR="00FF7799" w:rsidRPr="00C76DC3" w:rsidRDefault="00FF7799" w:rsidP="003A69FB">
      <w:pPr>
        <w:pStyle w:val="BeschriftungTab"/>
        <w:rPr>
          <w:i/>
          <w:iCs/>
        </w:rPr>
      </w:pPr>
      <w:bookmarkStart w:id="23" w:name="_Ref413256785"/>
      <w:r w:rsidRPr="00C76DC3">
        <w:rPr>
          <w:i/>
          <w:iCs/>
        </w:rPr>
        <w:t>Abb.</w:t>
      </w:r>
      <w:bookmarkEnd w:id="23"/>
      <w:r w:rsidRPr="00C76DC3">
        <w:rPr>
          <w:i/>
          <w:iCs/>
        </w:rPr>
        <w:t xml:space="preserve"> 2: Kovariation zweier Kulturdimensionen (II)</w:t>
      </w:r>
    </w:p>
    <w:p w14:paraId="52F426FF" w14:textId="77777777" w:rsidR="00FF7799" w:rsidRPr="00E73F6F" w:rsidRDefault="00FF7799" w:rsidP="003A69FB">
      <w:pPr>
        <w:jc w:val="center"/>
        <w:rPr>
          <w:sz w:val="24"/>
          <w:szCs w:val="24"/>
        </w:rPr>
      </w:pPr>
      <w:r w:rsidRPr="00E73F6F">
        <w:rPr>
          <w:noProof/>
          <w:sz w:val="24"/>
          <w:szCs w:val="24"/>
          <w:lang w:eastAsia="de-DE"/>
        </w:rPr>
        <w:drawing>
          <wp:inline distT="0" distB="0" distL="0" distR="0" wp14:anchorId="446C3488" wp14:editId="062830A2">
            <wp:extent cx="5545579" cy="3696770"/>
            <wp:effectExtent l="0" t="0" r="0" b="0"/>
            <wp:docPr id="2296170" name="Grafik 2296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610180" cy="3739834"/>
                    </a:xfrm>
                    <a:prstGeom prst="rect">
                      <a:avLst/>
                    </a:prstGeom>
                    <a:noFill/>
                  </pic:spPr>
                </pic:pic>
              </a:graphicData>
            </a:graphic>
          </wp:inline>
        </w:drawing>
      </w:r>
    </w:p>
    <w:p w14:paraId="7B88F361" w14:textId="77777777" w:rsidR="00FF7799" w:rsidRPr="00E73F6F" w:rsidRDefault="00287944" w:rsidP="003A69FB">
      <w:pPr>
        <w:pStyle w:val="Quellen"/>
      </w:pPr>
      <w:r>
        <w:t xml:space="preserve">Quelle: </w:t>
      </w:r>
      <w:r w:rsidR="00FF7799" w:rsidRPr="00E73F6F">
        <w:t>eigene Darstellung auf Basis von Hofstede (1980).</w:t>
      </w:r>
    </w:p>
    <w:p w14:paraId="4FEDBBE9" w14:textId="77777777" w:rsidR="00FF7799" w:rsidRPr="00E73F6F" w:rsidRDefault="00FF7799" w:rsidP="00862DBA">
      <w:pPr>
        <w:rPr>
          <w:sz w:val="24"/>
          <w:szCs w:val="24"/>
        </w:rPr>
      </w:pPr>
    </w:p>
    <w:p w14:paraId="6E4EB43B" w14:textId="77777777" w:rsidR="00FF7799" w:rsidRPr="0071457A" w:rsidRDefault="00FF7799" w:rsidP="00477109">
      <w:pPr>
        <w:pStyle w:val="StandardTextkursiv"/>
        <w:rPr>
          <w:i w:val="0"/>
          <w:iCs/>
        </w:rPr>
      </w:pPr>
      <w:r w:rsidRPr="0071457A">
        <w:rPr>
          <w:i w:val="0"/>
          <w:iCs/>
        </w:rPr>
        <w:t>5.4 Machtdistanz &amp; Ungewissheitsvermeidung</w:t>
      </w:r>
    </w:p>
    <w:p w14:paraId="5C652C6D" w14:textId="77777777" w:rsidR="00FF7799" w:rsidRPr="00E73F6F" w:rsidRDefault="00FF7799" w:rsidP="003A69FB">
      <w:pPr>
        <w:pStyle w:val="StandardText"/>
      </w:pPr>
      <w:r w:rsidRPr="00E73F6F">
        <w:t>Bildet man die vier ursprünglichen Hofstede-Kulturdimensionen mithilfe der Korrespondenzanalyse simultan ab, so ergibt sich das in Abb. 3 dargestellte Bild. Wie mittels der Faktorenanalyse, so lässt sich eine gegebene Datenmenge auch anhand dieses vergleichsweise wenig genutzten Verfahrens in einem möglichst niedrig dimensionierten Raum angemessen repräsentieren. Aus der relativen Lage der errechneten Positionen der Objekte kann man deren Ähnlichkeit bzw. Unähnlichkeit erschließen (vgl. Backhaus et al. 2013). Der entscheidende Unterschied zwischen beiden Verfahren besteht in der Art der Analyse der wechselseitigen Beziehungen von Merkmalen einerseits und Objekten andererseits.</w:t>
      </w:r>
    </w:p>
    <w:p w14:paraId="30662824" w14:textId="77777777" w:rsidR="00FF7799" w:rsidRPr="00E73F6F" w:rsidRDefault="00FF7799" w:rsidP="003A69FB">
      <w:pPr>
        <w:pStyle w:val="StandardText"/>
      </w:pPr>
      <w:r w:rsidRPr="00E73F6F">
        <w:t xml:space="preserve">Während die Faktorenanalyse nur die Möglichkeit bietet, </w:t>
      </w:r>
      <w:r w:rsidRPr="00E73F6F">
        <w:rPr>
          <w:bCs/>
        </w:rPr>
        <w:t>entweder</w:t>
      </w:r>
      <w:r w:rsidRPr="00E73F6F">
        <w:t xml:space="preserve"> den Merkmalsraum (R-Faktorenanalyse) </w:t>
      </w:r>
      <w:r w:rsidRPr="00E73F6F">
        <w:rPr>
          <w:bCs/>
        </w:rPr>
        <w:t>oder</w:t>
      </w:r>
      <w:r w:rsidRPr="00E73F6F">
        <w:t xml:space="preserve"> den Objektraum (Q-Faktorenanalyse) abzubilden, gestattet die Korrespondenzanalyse, beide Ebenen simultan zu betrachten. Auch deckt sie Zusammenhänge zwischen den ermittelten Gruppen auf, die z.B. bei der Clusteranalyse erfahrungsgemäß unerkannt bleiben. Hierzu werden die Zeilen (z.B. Länder) und die Spalten (z.B. Kulturdimensionen) der Datenmatrix getrennt analysiert und sodann einerseits Länder mit ähnlichem „Kulturprofil“ und andererseits Kulturdimensionen mit einem vergleichbaren „Länderprofil“ in einem Schaubild </w:t>
      </w:r>
      <w:r w:rsidRPr="00E73F6F">
        <w:lastRenderedPageBreak/>
        <w:t xml:space="preserve">zusammengefasst. Backhaus/Meyer (1988, S.296) haben die Möglichkeit der </w:t>
      </w:r>
      <w:r w:rsidRPr="00E73F6F">
        <w:rPr>
          <w:bCs/>
        </w:rPr>
        <w:t>simultanen</w:t>
      </w:r>
      <w:r w:rsidRPr="00E73F6F">
        <w:t xml:space="preserve"> Präsentation der getrennt berechneten Kultur- und Länderprofile als „Eleganz der Korrespondenzanalyse“ bezeichnet. </w:t>
      </w:r>
      <w:r w:rsidRPr="00E73F6F">
        <w:rPr>
          <w:bCs/>
        </w:rPr>
        <w:t>Benannt werden die Achsen</w:t>
      </w:r>
      <w:r w:rsidRPr="00E73F6F">
        <w:t xml:space="preserve"> aufgrund der Stärke der jeweiligen Korrelation der Kulturdimensionen mit den Achsen (vgl. Matiaske et al. 1994). Während </w:t>
      </w:r>
      <w:r w:rsidRPr="00E73F6F">
        <w:rPr>
          <w:bCs/>
        </w:rPr>
        <w:t>Ungewissheitsvermeidung</w:t>
      </w:r>
      <w:r w:rsidRPr="00E73F6F">
        <w:t xml:space="preserve"> (r = +0,88), </w:t>
      </w:r>
      <w:r w:rsidRPr="00E73F6F">
        <w:rPr>
          <w:bCs/>
        </w:rPr>
        <w:t>Individualismus</w:t>
      </w:r>
      <w:r w:rsidRPr="00E73F6F">
        <w:t xml:space="preserve"> (r = </w:t>
      </w:r>
      <w:r w:rsidRPr="00E73F6F">
        <w:sym w:font="Symbol" w:char="F02D"/>
      </w:r>
      <w:r w:rsidRPr="00E73F6F">
        <w:t xml:space="preserve">0,87) und Akzeptanz von Machtdistanz (r = +73) stark mit der Waagerechten korrelieren, die 56% der Varianz bindet, prägt die Kulturdimension </w:t>
      </w:r>
      <w:r w:rsidRPr="00E73F6F">
        <w:rPr>
          <w:bCs/>
        </w:rPr>
        <w:t>Maskulinität</w:t>
      </w:r>
      <w:r w:rsidRPr="00E73F6F">
        <w:t xml:space="preserve"> (r = +0,98) die Senkrechte, die 39% erklärt (vgl. Abb. 3). Da die zweidimensionale Lösung insgesamt 95% der Gesamtvarianz bindet, kann auf eine dritte Achse verzichtet werden.</w:t>
      </w:r>
    </w:p>
    <w:p w14:paraId="5A1EBF0C" w14:textId="77777777" w:rsidR="00FF7799" w:rsidRPr="00E73F6F" w:rsidRDefault="00FF7799" w:rsidP="003A69FB">
      <w:pPr>
        <w:pStyle w:val="StandardText"/>
      </w:pPr>
    </w:p>
    <w:p w14:paraId="6894249F" w14:textId="77777777" w:rsidR="00FF7799" w:rsidRPr="00C76DC3" w:rsidRDefault="00FF7799" w:rsidP="00116B2D">
      <w:pPr>
        <w:pStyle w:val="BeschriftungTab"/>
        <w:rPr>
          <w:i/>
          <w:iCs/>
          <w:szCs w:val="24"/>
        </w:rPr>
      </w:pPr>
      <w:bookmarkStart w:id="24" w:name="_Ref413257189"/>
      <w:r w:rsidRPr="00C76DC3">
        <w:rPr>
          <w:i/>
          <w:iCs/>
        </w:rPr>
        <w:t>Abb.</w:t>
      </w:r>
      <w:bookmarkEnd w:id="24"/>
      <w:r w:rsidRPr="00C76DC3">
        <w:rPr>
          <w:i/>
          <w:iCs/>
        </w:rPr>
        <w:t xml:space="preserve"> 3: Korrespondenzanalytische Darstellung von Kulturdimensionen &amp; Ländern</w:t>
      </w:r>
      <w:r w:rsidRPr="00C76DC3">
        <w:rPr>
          <w:i/>
          <w:iCs/>
          <w:szCs w:val="24"/>
        </w:rPr>
        <w:t xml:space="preserve"> </w:t>
      </w:r>
      <w:r w:rsidRPr="00C76DC3">
        <w:rPr>
          <w:i/>
          <w:iCs/>
          <w:szCs w:val="24"/>
        </w:rPr>
        <w:br/>
        <w:t>im zweidimensionalen Raum</w:t>
      </w:r>
    </w:p>
    <w:p w14:paraId="164DCBDE" w14:textId="77777777" w:rsidR="00FF7799" w:rsidRPr="00E73F6F" w:rsidRDefault="00FF7799" w:rsidP="00862DBA">
      <w:pPr>
        <w:rPr>
          <w:sz w:val="24"/>
          <w:szCs w:val="24"/>
          <w:lang w:eastAsia="de-DE"/>
        </w:rPr>
      </w:pPr>
      <w:r w:rsidRPr="00E73F6F">
        <w:rPr>
          <w:noProof/>
          <w:sz w:val="24"/>
          <w:szCs w:val="24"/>
          <w:lang w:eastAsia="de-DE"/>
        </w:rPr>
        <w:drawing>
          <wp:inline distT="0" distB="0" distL="0" distR="0" wp14:anchorId="4EDE678E" wp14:editId="45378EF9">
            <wp:extent cx="5824846" cy="4256502"/>
            <wp:effectExtent l="0" t="0" r="5080" b="0"/>
            <wp:docPr id="2296171" name="Grafik 2296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857191" cy="4280138"/>
                    </a:xfrm>
                    <a:prstGeom prst="rect">
                      <a:avLst/>
                    </a:prstGeom>
                    <a:noFill/>
                  </pic:spPr>
                </pic:pic>
              </a:graphicData>
            </a:graphic>
          </wp:inline>
        </w:drawing>
      </w:r>
    </w:p>
    <w:p w14:paraId="4192D0E6" w14:textId="77777777" w:rsidR="00FF7799" w:rsidRPr="00E73F6F" w:rsidRDefault="00FF7799" w:rsidP="00114831">
      <w:pPr>
        <w:pStyle w:val="Quellen"/>
      </w:pPr>
      <w:r w:rsidRPr="00E73F6F">
        <w:t>Quelle:</w:t>
      </w:r>
      <w:r w:rsidRPr="00E73F6F">
        <w:tab/>
        <w:t xml:space="preserve"> Müller/Kornmeier (1994, S.17).</w:t>
      </w:r>
    </w:p>
    <w:p w14:paraId="3864EBCF" w14:textId="77777777" w:rsidR="00FF7799" w:rsidRPr="00E73F6F" w:rsidRDefault="00FF7799" w:rsidP="00862DBA">
      <w:pPr>
        <w:rPr>
          <w:sz w:val="24"/>
          <w:szCs w:val="24"/>
        </w:rPr>
      </w:pPr>
    </w:p>
    <w:p w14:paraId="12B73F64" w14:textId="77777777" w:rsidR="00FF7799" w:rsidRPr="00E73F6F" w:rsidRDefault="00FF7799" w:rsidP="00393645">
      <w:pPr>
        <w:pStyle w:val="StandardText"/>
      </w:pPr>
      <w:r w:rsidRPr="00E73F6F">
        <w:t xml:space="preserve">Korrespondenzanalytisch lassen sich solche Länder zusammenfassen, zu deren kulturellem Erbe es sowohl gehört, Ungewissheit zu vermeiden, als auch Machtdistanz zu akzeptieren (= Cluster II). Besser als die Clusteranalyse verdeutlicht dieses multivariate Verfahren die relativen Positionen der den vier Clustern zugeteilten Länder zueinander sowie deren Abstände zum „Schwerpunkt“ der jeweiligen Kulturdimension. </w:t>
      </w:r>
    </w:p>
    <w:p w14:paraId="1B0794FB" w14:textId="77777777" w:rsidR="00FF7799" w:rsidRPr="00E35FFF" w:rsidRDefault="00FF7799" w:rsidP="00393645">
      <w:pPr>
        <w:pStyle w:val="StandardText"/>
        <w:rPr>
          <w:lang w:val="en-US"/>
        </w:rPr>
      </w:pPr>
      <w:r w:rsidRPr="00E73F6F">
        <w:t xml:space="preserve">Der Zusammenhang „Machtdistanz-Ungewissheitsvermeidung“ wurde vorzugsweise am Beispiel der in </w:t>
      </w:r>
      <w:r w:rsidRPr="00E73F6F">
        <w:rPr>
          <w:bCs/>
        </w:rPr>
        <w:t>Großbritannien</w:t>
      </w:r>
      <w:r w:rsidRPr="00E73F6F">
        <w:t xml:space="preserve"> bzw. der in </w:t>
      </w:r>
      <w:r w:rsidRPr="00E73F6F">
        <w:rPr>
          <w:bCs/>
        </w:rPr>
        <w:t>Frankreich</w:t>
      </w:r>
      <w:r w:rsidRPr="00E73F6F">
        <w:t xml:space="preserve"> verfolgten </w:t>
      </w:r>
      <w:r w:rsidRPr="00E73F6F">
        <w:rPr>
          <w:bCs/>
        </w:rPr>
        <w:t>Managementphilosophie</w:t>
      </w:r>
      <w:r w:rsidRPr="00E73F6F">
        <w:t xml:space="preserve"> untersucht. Denn zum einen waren diese beiden Nationen zu Beginn der 1990er-Jahre häufig an Unternehmenszusammenschlüssen beteiligt. Und zum anderen unterscheiden sie sich auf diesen beiden Kulturdimensionen systematisch voneinander. Lubatkin et al. (1996, S.127ff.), die </w:t>
      </w:r>
      <w:r w:rsidRPr="00E73F6F">
        <w:lastRenderedPageBreak/>
        <w:t xml:space="preserve">39 Akquisitionen französischer Unternehmen durch Briten und 44 Akquisitionen britischer Unternehmen durch Franzosen untersuchten, berichten: „A high need for power difference reflects a societal belief that there »should be« a well defined order in which everyone has a rightful place. </w:t>
      </w:r>
      <w:r w:rsidRPr="00E35FFF">
        <w:rPr>
          <w:lang w:val="en-US"/>
        </w:rPr>
        <w:t xml:space="preserve">For example, French managers, more than their British counterparts, view organizations as a formal pyramid of differentiated levels of power. The French have also been shown to have a greater need for uncertainty avoidance than the British; i.e., less willingly accept ambiguity and risk. </w:t>
      </w:r>
      <w:r w:rsidRPr="00E73F6F">
        <w:sym w:font="Symbol" w:char="F05B"/>
      </w:r>
      <w:r w:rsidRPr="00E35FFF">
        <w:rPr>
          <w:lang w:val="en-US"/>
        </w:rPr>
        <w:t>…</w:t>
      </w:r>
      <w:r w:rsidRPr="00E73F6F">
        <w:sym w:font="Symbol" w:char="F05D"/>
      </w:r>
      <w:r w:rsidRPr="00E35FFF">
        <w:rPr>
          <w:lang w:val="en-US"/>
        </w:rPr>
        <w:t xml:space="preserve"> French managers are generally more preoccupied with absolute accuracy for all control indicators. Finally, French managers place a high premium on work rules, even at the expense of entrepreneurial behavior. </w:t>
      </w:r>
      <w:r w:rsidRPr="00E73F6F">
        <w:sym w:font="Symbol" w:char="F05B"/>
      </w:r>
      <w:r w:rsidRPr="00E35FFF">
        <w:rPr>
          <w:lang w:val="en-US"/>
        </w:rPr>
        <w:t>…</w:t>
      </w:r>
      <w:r w:rsidRPr="00E73F6F">
        <w:sym w:font="Symbol" w:char="F05D"/>
      </w:r>
      <w:r w:rsidRPr="00E35FFF">
        <w:rPr>
          <w:lang w:val="en-US"/>
        </w:rPr>
        <w:t xml:space="preserve"> Punnet/Ricks (1992) and Hofstede (1980) posit that firms from high power distance, high uncertainty nations will rely on centralized headquarter-subsidiary controls, such that power and influence resides at the hierarchical top. This may be accomplished by structuring reporting relationships between subsidiaries and headquarter in a formal, hierarchical manner, and by establishing a tightly managed control system that heavily involves top managers in the key subsidiary decisions. In these nations, centralization tends to be viewed by all members of an organization as the way »things ought to be done« because power, privilege, and respect is naturally ascribed to those at the top. Centralization also tends to be viewed by top managers as necessary to gain control over uncertainties; they would rather not delegate the responsibility for key business decisions, nor do the subordinates organization expect that they would” (Lubatkin et al. 1996, S. 127f.). </w:t>
      </w:r>
    </w:p>
    <w:p w14:paraId="0CEB16C3" w14:textId="77777777" w:rsidR="00FF7799" w:rsidRPr="00E35FFF" w:rsidRDefault="00FF7799" w:rsidP="00393645">
      <w:pPr>
        <w:pStyle w:val="StandardText"/>
        <w:rPr>
          <w:lang w:val="en-US"/>
        </w:rPr>
      </w:pPr>
      <w:r w:rsidRPr="00E35FFF">
        <w:rPr>
          <w:lang w:val="en-US"/>
        </w:rPr>
        <w:t xml:space="preserve">Elias (1975) begründete die Unterschiede zwischen der britischen und der französischen Landeskultur (vgl. Abb.4) u.a. anhand </w:t>
      </w:r>
      <w:r w:rsidRPr="00E35FFF">
        <w:rPr>
          <w:bCs/>
          <w:lang w:val="en-US"/>
        </w:rPr>
        <w:t>geographisch-politischer Besonderheiten</w:t>
      </w:r>
      <w:r w:rsidRPr="00E35FFF">
        <w:rPr>
          <w:lang w:val="en-US"/>
        </w:rPr>
        <w:t xml:space="preserve"> (z.B. die Insellage Großbritanniens und die Zentrallage Frankreichs): „For centuries, the </w:t>
      </w:r>
      <w:r w:rsidRPr="00E35FFF">
        <w:rPr>
          <w:bCs/>
          <w:lang w:val="en-US"/>
        </w:rPr>
        <w:t>sea</w:t>
      </w:r>
      <w:r w:rsidRPr="00E35FFF">
        <w:rPr>
          <w:lang w:val="en-US"/>
        </w:rPr>
        <w:t xml:space="preserve"> protected the British from foreign invasions, sheltered them from foreign influences, thereby allowing them the luxury of remaining a loose, decentralized federation of island states (England, Scotland, Wales, and Northern Ireland). The British also relied heavily on local self-government and indirect rule when controlling their colonial empire in the West Indies, India, Africa, Canada, and Australia, particularly after their loss of their U.S. colonies. France, on the other hand, lacks a natural shelter. Its relatively large and penetrable location forced it to periodically defend itself against foreign domination (e.g., the </w:t>
      </w:r>
      <w:r w:rsidRPr="00E35FFF">
        <w:rPr>
          <w:iCs/>
          <w:lang w:val="en-US"/>
        </w:rPr>
        <w:t>Hundred Year’s War</w:t>
      </w:r>
      <w:r w:rsidRPr="00E35FFF">
        <w:rPr>
          <w:lang w:val="en-US"/>
        </w:rPr>
        <w:t xml:space="preserve"> with Britain, 1338-1453, and its late sixteenth century war with Spain), and caused it to centralize its power in one location, Paris, which to this day represents the economic, political, cultural, and population center of the state. The French colonies were governed with similar administrative routines. Whereas the British colonial legislation showed some tolerance for multicultural differences, the French government centralized colonial decisions by means of decrees and edicts and placing their own in positions of power.”</w:t>
      </w:r>
    </w:p>
    <w:p w14:paraId="31D4E572" w14:textId="77777777" w:rsidR="00DC0CC2" w:rsidRPr="00E35FFF" w:rsidRDefault="00DC0CC2" w:rsidP="00393645">
      <w:pPr>
        <w:pStyle w:val="StandardText"/>
        <w:rPr>
          <w:lang w:val="en-US"/>
        </w:rPr>
      </w:pPr>
    </w:p>
    <w:p w14:paraId="4F731F81" w14:textId="77777777" w:rsidR="00FF7799" w:rsidRPr="00C76DC3" w:rsidRDefault="00FF7799" w:rsidP="00686D3C">
      <w:pPr>
        <w:pStyle w:val="BeschriftungTab"/>
        <w:rPr>
          <w:i/>
          <w:iCs/>
        </w:rPr>
      </w:pPr>
      <w:r w:rsidRPr="00C76DC3">
        <w:rPr>
          <w:i/>
          <w:iCs/>
        </w:rPr>
        <w:t>Abb. 4: Ursachen &amp; Korrelate der Landeskulturen von Frankreich und Großbritannien</w:t>
      </w:r>
    </w:p>
    <w:tbl>
      <w:tblPr>
        <w:tblW w:w="9142" w:type="dxa"/>
        <w:tblBorders>
          <w:top w:val="single" w:sz="4" w:space="0" w:color="auto"/>
          <w:bottom w:val="single" w:sz="4" w:space="0" w:color="auto"/>
          <w:insideH w:val="single" w:sz="4" w:space="0" w:color="auto"/>
        </w:tblBorders>
        <w:tblCellMar>
          <w:left w:w="70" w:type="dxa"/>
          <w:right w:w="70" w:type="dxa"/>
        </w:tblCellMar>
        <w:tblLook w:val="0000" w:firstRow="0" w:lastRow="0" w:firstColumn="0" w:lastColumn="0" w:noHBand="0" w:noVBand="0"/>
      </w:tblPr>
      <w:tblGrid>
        <w:gridCol w:w="2660"/>
        <w:gridCol w:w="3080"/>
        <w:gridCol w:w="3402"/>
      </w:tblGrid>
      <w:tr w:rsidR="00FF7799" w:rsidRPr="00E73F6F" w14:paraId="4DA36113" w14:textId="77777777" w:rsidTr="00477109">
        <w:trPr>
          <w:tblHeader/>
        </w:trPr>
        <w:tc>
          <w:tcPr>
            <w:tcW w:w="2660" w:type="dxa"/>
            <w:shd w:val="clear" w:color="auto" w:fill="FFC000"/>
          </w:tcPr>
          <w:p w14:paraId="0E8C7095" w14:textId="77777777" w:rsidR="00FF7799" w:rsidRPr="00E73F6F" w:rsidRDefault="00FF7799" w:rsidP="00686D3C">
            <w:pPr>
              <w:pStyle w:val="StandardText"/>
              <w:spacing w:after="120"/>
              <w:rPr>
                <w:b/>
                <w:bCs/>
              </w:rPr>
            </w:pPr>
          </w:p>
        </w:tc>
        <w:tc>
          <w:tcPr>
            <w:tcW w:w="3080" w:type="dxa"/>
            <w:shd w:val="clear" w:color="auto" w:fill="FFC000"/>
          </w:tcPr>
          <w:p w14:paraId="3CC7BA01" w14:textId="77777777" w:rsidR="00FF7799" w:rsidRPr="00E73F6F" w:rsidRDefault="00FF7799" w:rsidP="00686D3C">
            <w:pPr>
              <w:pStyle w:val="StandardText"/>
              <w:spacing w:after="120"/>
              <w:rPr>
                <w:b/>
                <w:bCs/>
              </w:rPr>
            </w:pPr>
            <w:r w:rsidRPr="00E73F6F">
              <w:rPr>
                <w:b/>
                <w:bCs/>
              </w:rPr>
              <w:t>Großbritannien</w:t>
            </w:r>
          </w:p>
        </w:tc>
        <w:tc>
          <w:tcPr>
            <w:tcW w:w="3402" w:type="dxa"/>
            <w:shd w:val="clear" w:color="auto" w:fill="FFC000"/>
          </w:tcPr>
          <w:p w14:paraId="553782D7" w14:textId="77777777" w:rsidR="00FF7799" w:rsidRPr="00E73F6F" w:rsidRDefault="00FF7799" w:rsidP="00686D3C">
            <w:pPr>
              <w:pStyle w:val="StandardText"/>
              <w:spacing w:after="120"/>
              <w:rPr>
                <w:b/>
                <w:bCs/>
              </w:rPr>
            </w:pPr>
            <w:r w:rsidRPr="00E73F6F">
              <w:rPr>
                <w:b/>
                <w:bCs/>
              </w:rPr>
              <w:t>Frankreich</w:t>
            </w:r>
          </w:p>
        </w:tc>
      </w:tr>
      <w:tr w:rsidR="00FF7799" w:rsidRPr="00E73F6F" w14:paraId="2AA0EB54" w14:textId="77777777" w:rsidTr="00287944">
        <w:tc>
          <w:tcPr>
            <w:tcW w:w="2660" w:type="dxa"/>
            <w:shd w:val="clear" w:color="auto" w:fill="FFF2CC" w:themeFill="accent4" w:themeFillTint="33"/>
            <w:vAlign w:val="center"/>
          </w:tcPr>
          <w:p w14:paraId="0FCFF01F" w14:textId="77777777" w:rsidR="00FF7799" w:rsidRPr="00E73F6F" w:rsidRDefault="00FF7799" w:rsidP="00686D3C">
            <w:pPr>
              <w:pStyle w:val="StandardText"/>
              <w:jc w:val="left"/>
              <w:rPr>
                <w:b/>
                <w:bCs/>
              </w:rPr>
            </w:pPr>
            <w:r w:rsidRPr="00E73F6F">
              <w:rPr>
                <w:b/>
                <w:bCs/>
              </w:rPr>
              <w:t>Geographische Lage</w:t>
            </w:r>
          </w:p>
        </w:tc>
        <w:tc>
          <w:tcPr>
            <w:tcW w:w="3080" w:type="dxa"/>
            <w:vAlign w:val="center"/>
          </w:tcPr>
          <w:p w14:paraId="373B7D0D" w14:textId="77777777" w:rsidR="00FF7799" w:rsidRPr="00E73F6F" w:rsidRDefault="00FF7799" w:rsidP="00393645">
            <w:pPr>
              <w:pStyle w:val="StandardText"/>
            </w:pPr>
            <w:r w:rsidRPr="00E73F6F">
              <w:t>Geschützte Insellage</w:t>
            </w:r>
          </w:p>
        </w:tc>
        <w:tc>
          <w:tcPr>
            <w:tcW w:w="3402" w:type="dxa"/>
            <w:vAlign w:val="center"/>
          </w:tcPr>
          <w:p w14:paraId="00392083" w14:textId="77777777" w:rsidR="00FF7799" w:rsidRPr="00E73F6F" w:rsidRDefault="00FF7799" w:rsidP="00393645">
            <w:pPr>
              <w:pStyle w:val="StandardText"/>
            </w:pPr>
            <w:r w:rsidRPr="00E73F6F">
              <w:t>Ungeschützte Zentrallage</w:t>
            </w:r>
          </w:p>
        </w:tc>
      </w:tr>
      <w:tr w:rsidR="00FF7799" w:rsidRPr="00E73F6F" w14:paraId="4A1B257C" w14:textId="77777777" w:rsidTr="00287944">
        <w:tc>
          <w:tcPr>
            <w:tcW w:w="2660" w:type="dxa"/>
            <w:shd w:val="clear" w:color="auto" w:fill="FFF2CC" w:themeFill="accent4" w:themeFillTint="33"/>
            <w:vAlign w:val="center"/>
          </w:tcPr>
          <w:p w14:paraId="7A70AFA9" w14:textId="77777777" w:rsidR="00FF7799" w:rsidRPr="00E73F6F" w:rsidRDefault="00FF7799" w:rsidP="00686D3C">
            <w:pPr>
              <w:pStyle w:val="StandardText"/>
              <w:jc w:val="left"/>
              <w:rPr>
                <w:b/>
                <w:bCs/>
                <w:szCs w:val="24"/>
              </w:rPr>
            </w:pPr>
            <w:r w:rsidRPr="00E73F6F">
              <w:rPr>
                <w:b/>
                <w:bCs/>
                <w:szCs w:val="24"/>
              </w:rPr>
              <w:t>Präferiertes</w:t>
            </w:r>
            <w:r w:rsidRPr="00E73F6F">
              <w:rPr>
                <w:b/>
                <w:bCs/>
                <w:szCs w:val="24"/>
              </w:rPr>
              <w:br/>
              <w:t>Organisationsprinzip</w:t>
            </w:r>
          </w:p>
        </w:tc>
        <w:tc>
          <w:tcPr>
            <w:tcW w:w="3080" w:type="dxa"/>
            <w:vAlign w:val="center"/>
          </w:tcPr>
          <w:p w14:paraId="500FCCD2" w14:textId="77777777" w:rsidR="00FF7799" w:rsidRPr="00E73F6F" w:rsidRDefault="00FF7799" w:rsidP="00393645">
            <w:pPr>
              <w:pStyle w:val="StandardText"/>
              <w:rPr>
                <w:szCs w:val="24"/>
              </w:rPr>
            </w:pPr>
            <w:r w:rsidRPr="00E73F6F">
              <w:rPr>
                <w:szCs w:val="24"/>
              </w:rPr>
              <w:t>Dezentralisierung</w:t>
            </w:r>
          </w:p>
        </w:tc>
        <w:tc>
          <w:tcPr>
            <w:tcW w:w="3402" w:type="dxa"/>
            <w:vAlign w:val="center"/>
          </w:tcPr>
          <w:p w14:paraId="093179D2" w14:textId="77777777" w:rsidR="00FF7799" w:rsidRPr="00E73F6F" w:rsidRDefault="00FF7799" w:rsidP="00393645">
            <w:pPr>
              <w:pStyle w:val="StandardText"/>
              <w:rPr>
                <w:szCs w:val="24"/>
              </w:rPr>
            </w:pPr>
            <w:r w:rsidRPr="00E73F6F">
              <w:rPr>
                <w:szCs w:val="24"/>
              </w:rPr>
              <w:t>Zentralisierung</w:t>
            </w:r>
          </w:p>
        </w:tc>
      </w:tr>
      <w:tr w:rsidR="00FF7799" w:rsidRPr="00E73F6F" w14:paraId="3EEE9182" w14:textId="77777777" w:rsidTr="00287944">
        <w:tc>
          <w:tcPr>
            <w:tcW w:w="2660" w:type="dxa"/>
            <w:shd w:val="clear" w:color="auto" w:fill="FFF2CC" w:themeFill="accent4" w:themeFillTint="33"/>
            <w:vAlign w:val="center"/>
          </w:tcPr>
          <w:p w14:paraId="0E79E8BB" w14:textId="77777777" w:rsidR="00287944" w:rsidRDefault="00FF7799" w:rsidP="00287944">
            <w:pPr>
              <w:pStyle w:val="StandardText"/>
              <w:spacing w:line="160" w:lineRule="exact"/>
              <w:jc w:val="left"/>
              <w:rPr>
                <w:b/>
                <w:bCs/>
                <w:szCs w:val="24"/>
              </w:rPr>
            </w:pPr>
            <w:r w:rsidRPr="00E73F6F">
              <w:rPr>
                <w:b/>
                <w:bCs/>
                <w:szCs w:val="24"/>
              </w:rPr>
              <w:t xml:space="preserve">Ideal der </w:t>
            </w:r>
          </w:p>
          <w:p w14:paraId="75E209E0" w14:textId="77777777" w:rsidR="00FF7799" w:rsidRPr="00E73F6F" w:rsidRDefault="00FF7799" w:rsidP="00287944">
            <w:pPr>
              <w:pStyle w:val="StandardText"/>
              <w:spacing w:line="160" w:lineRule="exact"/>
              <w:jc w:val="left"/>
              <w:rPr>
                <w:b/>
                <w:bCs/>
                <w:szCs w:val="24"/>
              </w:rPr>
            </w:pPr>
            <w:r w:rsidRPr="00E73F6F">
              <w:rPr>
                <w:b/>
                <w:bCs/>
                <w:szCs w:val="24"/>
              </w:rPr>
              <w:t>Erkenntnisgewinnung</w:t>
            </w:r>
          </w:p>
        </w:tc>
        <w:tc>
          <w:tcPr>
            <w:tcW w:w="3080" w:type="dxa"/>
            <w:vAlign w:val="center"/>
          </w:tcPr>
          <w:p w14:paraId="7BA1BC33" w14:textId="77777777" w:rsidR="00FF7799" w:rsidRPr="00E73F6F" w:rsidRDefault="00FF7799" w:rsidP="00393645">
            <w:pPr>
              <w:pStyle w:val="StandardText"/>
              <w:rPr>
                <w:szCs w:val="24"/>
              </w:rPr>
            </w:pPr>
            <w:r w:rsidRPr="00E73F6F">
              <w:rPr>
                <w:szCs w:val="24"/>
              </w:rPr>
              <w:t xml:space="preserve">Erfahrungswissen, </w:t>
            </w:r>
            <w:r w:rsidRPr="00E73F6F">
              <w:rPr>
                <w:szCs w:val="24"/>
              </w:rPr>
              <w:br/>
              <w:t xml:space="preserve">Empirismus, </w:t>
            </w:r>
            <w:r w:rsidRPr="00E73F6F">
              <w:rPr>
                <w:szCs w:val="24"/>
              </w:rPr>
              <w:br/>
              <w:t xml:space="preserve">Induktion </w:t>
            </w:r>
            <w:r w:rsidRPr="00E73F6F">
              <w:rPr>
                <w:szCs w:val="24"/>
              </w:rPr>
              <w:br/>
              <w:t>(z.B.</w:t>
            </w:r>
            <w:r w:rsidRPr="00E73F6F">
              <w:rPr>
                <w:i/>
                <w:iCs/>
                <w:szCs w:val="24"/>
              </w:rPr>
              <w:t xml:space="preserve"> F. Bacon; J. Locke</w:t>
            </w:r>
            <w:r w:rsidRPr="00E73F6F">
              <w:rPr>
                <w:i/>
                <w:szCs w:val="24"/>
              </w:rPr>
              <w:t>)</w:t>
            </w:r>
          </w:p>
        </w:tc>
        <w:tc>
          <w:tcPr>
            <w:tcW w:w="3402" w:type="dxa"/>
            <w:vAlign w:val="center"/>
          </w:tcPr>
          <w:p w14:paraId="06BDEB0A" w14:textId="77777777" w:rsidR="00FF7799" w:rsidRPr="00E73F6F" w:rsidRDefault="00FF7799" w:rsidP="00393645">
            <w:pPr>
              <w:pStyle w:val="StandardText"/>
              <w:rPr>
                <w:szCs w:val="24"/>
              </w:rPr>
            </w:pPr>
            <w:r w:rsidRPr="00E73F6F">
              <w:rPr>
                <w:szCs w:val="24"/>
              </w:rPr>
              <w:t xml:space="preserve">Logik, </w:t>
            </w:r>
            <w:r w:rsidRPr="00E73F6F">
              <w:rPr>
                <w:szCs w:val="24"/>
              </w:rPr>
              <w:br/>
              <w:t xml:space="preserve">Philosophie, </w:t>
            </w:r>
            <w:r w:rsidRPr="00E73F6F">
              <w:rPr>
                <w:szCs w:val="24"/>
              </w:rPr>
              <w:br/>
              <w:t xml:space="preserve">Deduktion </w:t>
            </w:r>
            <w:r w:rsidRPr="00E73F6F">
              <w:rPr>
                <w:szCs w:val="24"/>
              </w:rPr>
              <w:br/>
              <w:t xml:space="preserve">(z.B. </w:t>
            </w:r>
            <w:r w:rsidRPr="00E73F6F">
              <w:rPr>
                <w:i/>
                <w:iCs/>
                <w:szCs w:val="24"/>
              </w:rPr>
              <w:t>R.</w:t>
            </w:r>
            <w:r w:rsidRPr="00E73F6F">
              <w:rPr>
                <w:szCs w:val="24"/>
              </w:rPr>
              <w:t xml:space="preserve"> </w:t>
            </w:r>
            <w:r w:rsidRPr="00E73F6F">
              <w:rPr>
                <w:i/>
                <w:iCs/>
                <w:szCs w:val="24"/>
              </w:rPr>
              <w:t>Descartes</w:t>
            </w:r>
            <w:r w:rsidRPr="00E73F6F">
              <w:rPr>
                <w:i/>
                <w:szCs w:val="24"/>
              </w:rPr>
              <w:t>)</w:t>
            </w:r>
          </w:p>
        </w:tc>
      </w:tr>
      <w:tr w:rsidR="00FF7799" w:rsidRPr="00E73F6F" w14:paraId="7B5BB1AC" w14:textId="77777777" w:rsidTr="00287944">
        <w:tc>
          <w:tcPr>
            <w:tcW w:w="2660" w:type="dxa"/>
            <w:shd w:val="clear" w:color="auto" w:fill="FFF2CC" w:themeFill="accent4" w:themeFillTint="33"/>
            <w:vAlign w:val="center"/>
          </w:tcPr>
          <w:p w14:paraId="61510EE0" w14:textId="77777777" w:rsidR="00287944" w:rsidRDefault="00FF7799" w:rsidP="00287944">
            <w:pPr>
              <w:pStyle w:val="StandardText"/>
              <w:spacing w:line="160" w:lineRule="exact"/>
              <w:jc w:val="left"/>
              <w:rPr>
                <w:b/>
                <w:bCs/>
                <w:szCs w:val="24"/>
              </w:rPr>
            </w:pPr>
            <w:r w:rsidRPr="00E73F6F">
              <w:rPr>
                <w:b/>
                <w:bCs/>
                <w:szCs w:val="24"/>
              </w:rPr>
              <w:t xml:space="preserve">Präferierte </w:t>
            </w:r>
          </w:p>
          <w:p w14:paraId="7DB4A1BB" w14:textId="77777777" w:rsidR="00FF7799" w:rsidRPr="00E73F6F" w:rsidRDefault="00FF7799" w:rsidP="00287944">
            <w:pPr>
              <w:pStyle w:val="StandardText"/>
              <w:spacing w:line="160" w:lineRule="exact"/>
              <w:jc w:val="left"/>
              <w:rPr>
                <w:b/>
                <w:bCs/>
                <w:szCs w:val="24"/>
              </w:rPr>
            </w:pPr>
            <w:r w:rsidRPr="00E73F6F">
              <w:rPr>
                <w:b/>
                <w:bCs/>
                <w:szCs w:val="24"/>
              </w:rPr>
              <w:t>Problemlösungsstrategie</w:t>
            </w:r>
          </w:p>
        </w:tc>
        <w:tc>
          <w:tcPr>
            <w:tcW w:w="3080" w:type="dxa"/>
            <w:vAlign w:val="center"/>
          </w:tcPr>
          <w:p w14:paraId="15AD7487" w14:textId="77777777" w:rsidR="00FF7799" w:rsidRPr="00E73F6F" w:rsidRDefault="00FF7799" w:rsidP="00393645">
            <w:pPr>
              <w:pStyle w:val="StandardText"/>
              <w:rPr>
                <w:szCs w:val="24"/>
              </w:rPr>
            </w:pPr>
            <w:r w:rsidRPr="00E73F6F">
              <w:rPr>
                <w:szCs w:val="24"/>
              </w:rPr>
              <w:t>Pragmatischer Ansatz</w:t>
            </w:r>
          </w:p>
        </w:tc>
        <w:tc>
          <w:tcPr>
            <w:tcW w:w="3402" w:type="dxa"/>
            <w:vAlign w:val="center"/>
          </w:tcPr>
          <w:p w14:paraId="3A5C209B" w14:textId="77777777" w:rsidR="00FF7799" w:rsidRPr="00E73F6F" w:rsidRDefault="00FF7799" w:rsidP="00393645">
            <w:pPr>
              <w:pStyle w:val="StandardText"/>
              <w:rPr>
                <w:szCs w:val="24"/>
              </w:rPr>
            </w:pPr>
            <w:r w:rsidRPr="00E73F6F">
              <w:rPr>
                <w:szCs w:val="24"/>
              </w:rPr>
              <w:t>Analytischer Ansatz</w:t>
            </w:r>
          </w:p>
        </w:tc>
      </w:tr>
      <w:tr w:rsidR="00FF7799" w:rsidRPr="00E73F6F" w14:paraId="76F8526F" w14:textId="77777777" w:rsidTr="00287944">
        <w:tc>
          <w:tcPr>
            <w:tcW w:w="2660" w:type="dxa"/>
            <w:shd w:val="clear" w:color="auto" w:fill="FFF2CC" w:themeFill="accent4" w:themeFillTint="33"/>
            <w:vAlign w:val="center"/>
          </w:tcPr>
          <w:p w14:paraId="07BC0BC0" w14:textId="77777777" w:rsidR="00FF7799" w:rsidRPr="00E73F6F" w:rsidRDefault="00FF7799" w:rsidP="00686D3C">
            <w:pPr>
              <w:pStyle w:val="StandardText"/>
              <w:jc w:val="left"/>
              <w:rPr>
                <w:b/>
                <w:bCs/>
                <w:szCs w:val="24"/>
              </w:rPr>
            </w:pPr>
            <w:r w:rsidRPr="00E73F6F">
              <w:rPr>
                <w:b/>
                <w:bCs/>
                <w:szCs w:val="24"/>
              </w:rPr>
              <w:lastRenderedPageBreak/>
              <w:t>Kulturprofil</w:t>
            </w:r>
          </w:p>
        </w:tc>
        <w:tc>
          <w:tcPr>
            <w:tcW w:w="3080" w:type="dxa"/>
            <w:vAlign w:val="center"/>
          </w:tcPr>
          <w:p w14:paraId="541B6664" w14:textId="77777777" w:rsidR="00FF7799" w:rsidRPr="00E73F6F" w:rsidRDefault="00FF7799" w:rsidP="00393645">
            <w:pPr>
              <w:pStyle w:val="StandardText"/>
              <w:rPr>
                <w:szCs w:val="24"/>
              </w:rPr>
            </w:pPr>
          </w:p>
        </w:tc>
        <w:tc>
          <w:tcPr>
            <w:tcW w:w="3402" w:type="dxa"/>
            <w:vAlign w:val="center"/>
          </w:tcPr>
          <w:p w14:paraId="3A33F986" w14:textId="77777777" w:rsidR="00FF7799" w:rsidRPr="00E73F6F" w:rsidRDefault="00FF7799" w:rsidP="00393645">
            <w:pPr>
              <w:pStyle w:val="StandardText"/>
              <w:rPr>
                <w:szCs w:val="24"/>
              </w:rPr>
            </w:pPr>
          </w:p>
        </w:tc>
      </w:tr>
      <w:tr w:rsidR="00FF7799" w:rsidRPr="00E73F6F" w14:paraId="095CE5AA" w14:textId="77777777" w:rsidTr="00287944">
        <w:tc>
          <w:tcPr>
            <w:tcW w:w="2660" w:type="dxa"/>
            <w:shd w:val="clear" w:color="auto" w:fill="FFF2CC" w:themeFill="accent4" w:themeFillTint="33"/>
            <w:vAlign w:val="center"/>
          </w:tcPr>
          <w:p w14:paraId="2F7F547A" w14:textId="77777777" w:rsidR="00FF7799" w:rsidRPr="00E73F6F" w:rsidRDefault="00FF7799" w:rsidP="00686D3C">
            <w:pPr>
              <w:pStyle w:val="StandardText"/>
              <w:jc w:val="left"/>
              <w:rPr>
                <w:szCs w:val="24"/>
              </w:rPr>
            </w:pPr>
            <w:r w:rsidRPr="00E73F6F">
              <w:rPr>
                <w:szCs w:val="24"/>
              </w:rPr>
              <w:t>Unsicherheitsvermeidung</w:t>
            </w:r>
          </w:p>
          <w:p w14:paraId="42D89261" w14:textId="77777777" w:rsidR="00FF7799" w:rsidRPr="00E73F6F" w:rsidRDefault="00FF7799" w:rsidP="00686D3C">
            <w:pPr>
              <w:pStyle w:val="StandardText"/>
              <w:jc w:val="left"/>
              <w:rPr>
                <w:szCs w:val="24"/>
              </w:rPr>
            </w:pPr>
            <w:r w:rsidRPr="00E73F6F">
              <w:rPr>
                <w:szCs w:val="24"/>
              </w:rPr>
              <w:t xml:space="preserve">Akzeptanz von </w:t>
            </w:r>
            <w:r w:rsidRPr="00E73F6F">
              <w:rPr>
                <w:szCs w:val="24"/>
              </w:rPr>
              <w:br/>
              <w:t>Machtdistanz</w:t>
            </w:r>
          </w:p>
        </w:tc>
        <w:tc>
          <w:tcPr>
            <w:tcW w:w="3080" w:type="dxa"/>
          </w:tcPr>
          <w:p w14:paraId="097466B6" w14:textId="77777777" w:rsidR="00FF7799" w:rsidRPr="00E73F6F" w:rsidRDefault="00FF7799" w:rsidP="00393645">
            <w:pPr>
              <w:pStyle w:val="StandardText"/>
              <w:rPr>
                <w:szCs w:val="24"/>
              </w:rPr>
            </w:pPr>
            <w:r w:rsidRPr="00E73F6F">
              <w:rPr>
                <w:szCs w:val="24"/>
              </w:rPr>
              <w:t>UAI = 35</w:t>
            </w:r>
          </w:p>
          <w:p w14:paraId="519514EE" w14:textId="77777777" w:rsidR="00FF7799" w:rsidRPr="00E73F6F" w:rsidRDefault="00FF7799" w:rsidP="00393645">
            <w:pPr>
              <w:pStyle w:val="StandardText"/>
              <w:rPr>
                <w:szCs w:val="24"/>
              </w:rPr>
            </w:pPr>
            <w:r w:rsidRPr="00E73F6F">
              <w:rPr>
                <w:szCs w:val="24"/>
              </w:rPr>
              <w:t>PDI = 35</w:t>
            </w:r>
          </w:p>
        </w:tc>
        <w:tc>
          <w:tcPr>
            <w:tcW w:w="3402" w:type="dxa"/>
          </w:tcPr>
          <w:p w14:paraId="5F50CCDE" w14:textId="77777777" w:rsidR="00FF7799" w:rsidRPr="00E73F6F" w:rsidRDefault="00FF7799" w:rsidP="00393645">
            <w:pPr>
              <w:pStyle w:val="StandardText"/>
              <w:rPr>
                <w:szCs w:val="24"/>
              </w:rPr>
            </w:pPr>
            <w:r w:rsidRPr="00E73F6F">
              <w:rPr>
                <w:szCs w:val="24"/>
              </w:rPr>
              <w:t xml:space="preserve"> UAI = 86</w:t>
            </w:r>
          </w:p>
          <w:p w14:paraId="39D05BC2" w14:textId="77777777" w:rsidR="00FF7799" w:rsidRPr="00E73F6F" w:rsidRDefault="00FF7799" w:rsidP="00393645">
            <w:pPr>
              <w:pStyle w:val="StandardText"/>
              <w:rPr>
                <w:szCs w:val="24"/>
              </w:rPr>
            </w:pPr>
            <w:r w:rsidRPr="00E73F6F">
              <w:rPr>
                <w:szCs w:val="24"/>
              </w:rPr>
              <w:t xml:space="preserve"> PDI = 68</w:t>
            </w:r>
          </w:p>
        </w:tc>
      </w:tr>
    </w:tbl>
    <w:p w14:paraId="4BE36979" w14:textId="77777777" w:rsidR="00FF7799" w:rsidRPr="00E73F6F" w:rsidRDefault="00FF7799" w:rsidP="00393645">
      <w:pPr>
        <w:pStyle w:val="Quellen"/>
      </w:pPr>
      <w:r w:rsidRPr="00E73F6F">
        <w:t>Quelle: auf Basis von Lubatkin et al. (1996, S.127ff.); Elias (1975).</w:t>
      </w:r>
    </w:p>
    <w:p w14:paraId="6E522211" w14:textId="77777777" w:rsidR="00FF7799" w:rsidRPr="00E73F6F" w:rsidRDefault="00FF7799" w:rsidP="00393645">
      <w:pPr>
        <w:pStyle w:val="StandardText"/>
        <w:rPr>
          <w:szCs w:val="24"/>
        </w:rPr>
      </w:pPr>
    </w:p>
    <w:p w14:paraId="5FF1E195" w14:textId="77777777" w:rsidR="00FF7799" w:rsidRPr="00287944" w:rsidRDefault="00FF7799" w:rsidP="00393645">
      <w:pPr>
        <w:pStyle w:val="StandardTextkursiv"/>
        <w:rPr>
          <w:i w:val="0"/>
        </w:rPr>
      </w:pPr>
      <w:r w:rsidRPr="00287944">
        <w:rPr>
          <w:i w:val="0"/>
        </w:rPr>
        <w:t>6 Ehrenrettung</w:t>
      </w:r>
    </w:p>
    <w:p w14:paraId="5D67F143" w14:textId="77777777" w:rsidR="00FF7799" w:rsidRPr="00287944" w:rsidRDefault="00FF7799" w:rsidP="00686D3C">
      <w:pPr>
        <w:pStyle w:val="StandardText"/>
      </w:pPr>
      <w:r w:rsidRPr="00287944">
        <w:t>So manche Kritik an G. Hofstedes Kulturmodell ist wohlfeil. Denn in den 1970er-Jahren war es vermutlich nur dank des Zugriffs auf die IBM-interne Infrastruktur möglich, eine derart gewaltige Feldstudie zu organisieren. Auch schmälern die ansonsten weitgehend berechtigten kritischen Anmerkungen die grundlegende Bedeutung dieses Ansatzes nicht: Zwar war G. Hofstede nicht der Einzige, der den Zusammenhang von Landeskultur und menschlichem Verhalten (z.B. Kooperation von Mitarbeitern aus verschiedenen Kulturen, Entscheidungsfindung) untersuchte. Erinnert sei nur an das erstmals von Triandis/Brislin (1980) herausgegebene sechsbändige Handbook of Cross-Cultural Psychology. Letztlich aber war es dem Niederländer vorbehalten, weltweit Interesse für das Thema „Kultur &amp; Management“ zu wecken. Dass es dann, im weiteren Verlauf, zu einer missbräuchlichen Psychologisierung und Überinterpretation des Ursprungskonzepts kam, ist nicht vorrangig ihm selbst, als vielmehr seinen Epigonen anzulasten (vgl. Bond 2002, S.74ff.).</w:t>
      </w:r>
    </w:p>
    <w:p w14:paraId="779F72E6" w14:textId="77777777" w:rsidR="00FF7799" w:rsidRPr="00287944" w:rsidRDefault="00FF7799" w:rsidP="00686D3C">
      <w:pPr>
        <w:pStyle w:val="StandardText"/>
      </w:pPr>
      <w:r w:rsidRPr="00287944">
        <w:t xml:space="preserve">Zu bedenken ist auch, dass die Hofstede-Studie ihren Ausnahmestatus zu nicht geringem Teil den Schwächen bzw. Besonderheiten konkurrierender Theorien und Konzepte verdankt. </w:t>
      </w:r>
    </w:p>
    <w:p w14:paraId="3B07E069" w14:textId="77777777" w:rsidR="00FF7799" w:rsidRPr="00287944" w:rsidRDefault="00FF7799" w:rsidP="0071457A">
      <w:pPr>
        <w:pStyle w:val="StandardTextAufzhlung"/>
        <w:ind w:left="426"/>
      </w:pPr>
      <w:r w:rsidRPr="00287944">
        <w:t>Schwartz (1992) führte seine Erhebungen in lediglich 20 Ländern durch, sodass ein entscheidender Nachteil seines Ansatzes die schmale empirische Basis ist. Und den Kardinalfehler G. Hofstedes, nur IBM-Mitarbeiter zu berücksichtigen, wiederholte S.H. Schwartz insofern, als er ausschließlich Lehrer und Studenten befragte (</w:t>
      </w:r>
      <w:r w:rsidRPr="00287944">
        <w:rPr>
          <w:rFonts w:ascii="Cambria Math" w:hAnsi="Cambria Math" w:cs="Cambria Math"/>
        </w:rPr>
        <w:t>⇒</w:t>
      </w:r>
      <w:r w:rsidRPr="00287944">
        <w:t xml:space="preserve"> Kulturdimensionen nach Schwartz). </w:t>
      </w:r>
    </w:p>
    <w:p w14:paraId="3838E38D" w14:textId="77777777" w:rsidR="00FF7799" w:rsidRPr="00287944" w:rsidRDefault="00FF7799" w:rsidP="0071457A">
      <w:pPr>
        <w:pStyle w:val="StandardTextAufzhlung"/>
        <w:ind w:left="426"/>
      </w:pPr>
      <w:r w:rsidRPr="00287944">
        <w:t>Trompenaars (1993) wird zwar allgemein Praxisnähe attestiert. Sie kann aber seine Schwachstellen nicht kompensieren: mangelnde theoretische Fundierung, ungenügende Dokumentation der Vorgehensweise und Überinterpretation der Befunde (</w:t>
      </w:r>
      <w:r w:rsidRPr="00287944">
        <w:rPr>
          <w:rFonts w:ascii="Cambria Math" w:hAnsi="Cambria Math" w:cs="Cambria Math"/>
        </w:rPr>
        <w:t>⇒</w:t>
      </w:r>
      <w:r w:rsidRPr="00287944">
        <w:t xml:space="preserve"> Kulturdimensionen nach Trompenaars). </w:t>
      </w:r>
    </w:p>
    <w:p w14:paraId="797E7608" w14:textId="77777777" w:rsidR="00FF7799" w:rsidRPr="00287944" w:rsidRDefault="00FF7799" w:rsidP="0071457A">
      <w:pPr>
        <w:pStyle w:val="StandardTextAufzhlung"/>
        <w:ind w:left="426"/>
      </w:pPr>
      <w:r w:rsidRPr="00287944">
        <w:t>Inglehart (1997) schlug mit seinem zweidimensionalen Erklärungsansatz ein höchst abstraktes Konzept vor: Werte des Überlebens vs. Werte der Selbstentfaltung einerseits und traditionelle Autorität vs. weltlich-rationale Autorität andererseits). Aus Marketingsicht bietet dieses Modell nur wenig Ansatzpunkte für eine realitätsnahe und praxisgerechte kulturspezifische Deutung der Befunde (</w:t>
      </w:r>
      <w:r w:rsidRPr="00287944">
        <w:rPr>
          <w:rFonts w:ascii="Cambria Math" w:hAnsi="Cambria Math" w:cs="Cambria Math"/>
        </w:rPr>
        <w:t>⇒</w:t>
      </w:r>
      <w:r w:rsidRPr="00287944">
        <w:t xml:space="preserve"> Postmaterialismus-These). </w:t>
      </w:r>
    </w:p>
    <w:p w14:paraId="0382FAA2" w14:textId="77777777" w:rsidR="00FF7799" w:rsidRPr="00287944" w:rsidRDefault="00FF7799" w:rsidP="0071457A">
      <w:pPr>
        <w:pStyle w:val="StandardTextAufzhlung"/>
        <w:ind w:left="426"/>
      </w:pPr>
      <w:r w:rsidRPr="00287944">
        <w:t>House et al. (2004) haben ihr Kulturkonzept unverhältnismäßig kompliziert, indem sie in ihrer Operationalisierung zwei Eb</w:t>
      </w:r>
      <w:r w:rsidR="00287944">
        <w:t>enen berücksichtigten: Values‘</w:t>
      </w:r>
      <w:r w:rsidRPr="00287944">
        <w:t>(„Wie es sein sollte“) und Practices („Wie es ist“). Weder gelang es ihnen, diese Differenzierung hinreichend zu begründen, noch lassen sich die empirisch nachweisbaren inkonsistenten Beziehungen zwischen Values und Pr</w:t>
      </w:r>
      <w:r w:rsidR="00287944">
        <w:t>actices theoretisch erklären (</w:t>
      </w:r>
      <w:r w:rsidR="00287944">
        <w:sym w:font="Symbol" w:char="F0DE"/>
      </w:r>
      <w:r w:rsidR="00287944">
        <w:t xml:space="preserve"> </w:t>
      </w:r>
      <w:r w:rsidRPr="00287944">
        <w:t>GLOBE-Kulturmodell).</w:t>
      </w:r>
    </w:p>
    <w:p w14:paraId="52D5D7B7" w14:textId="77777777" w:rsidR="00FF7799" w:rsidRPr="00E73F6F" w:rsidRDefault="00FF7799" w:rsidP="0071457A">
      <w:pPr>
        <w:ind w:left="426"/>
        <w:rPr>
          <w:b/>
          <w:sz w:val="24"/>
          <w:szCs w:val="24"/>
        </w:rPr>
      </w:pPr>
    </w:p>
    <w:p w14:paraId="70C17087" w14:textId="77777777" w:rsidR="00FF7799" w:rsidRPr="00E73F6F" w:rsidRDefault="00FF7799" w:rsidP="00862DBA">
      <w:pPr>
        <w:rPr>
          <w:sz w:val="24"/>
          <w:szCs w:val="24"/>
        </w:rPr>
      </w:pPr>
    </w:p>
    <w:p w14:paraId="4806DE35" w14:textId="77777777" w:rsidR="00FF7799" w:rsidRPr="00E73F6F" w:rsidRDefault="00FF7799" w:rsidP="00862DBA">
      <w:pPr>
        <w:rPr>
          <w:sz w:val="24"/>
          <w:szCs w:val="24"/>
        </w:rPr>
      </w:pPr>
      <w:r w:rsidRPr="00E73F6F">
        <w:rPr>
          <w:noProof/>
          <w:sz w:val="24"/>
          <w:szCs w:val="24"/>
          <w:lang w:eastAsia="de-DE"/>
        </w:rPr>
        <w:lastRenderedPageBreak/>
        <mc:AlternateContent>
          <mc:Choice Requires="wps">
            <w:drawing>
              <wp:inline distT="0" distB="0" distL="0" distR="0" wp14:anchorId="7F74BEDE" wp14:editId="3CCB57BD">
                <wp:extent cx="5896098" cy="1404620"/>
                <wp:effectExtent l="0" t="0" r="28575" b="27940"/>
                <wp:docPr id="229616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6098" cy="1404620"/>
                        </a:xfrm>
                        <a:prstGeom prst="rect">
                          <a:avLst/>
                        </a:prstGeom>
                        <a:solidFill>
                          <a:srgbClr val="FFFFFF"/>
                        </a:solidFill>
                        <a:ln w="9525">
                          <a:solidFill>
                            <a:srgbClr val="000000"/>
                          </a:solidFill>
                          <a:miter lim="800000"/>
                          <a:headEnd/>
                          <a:tailEnd/>
                        </a:ln>
                      </wps:spPr>
                      <wps:txbx>
                        <w:txbxContent>
                          <w:p w14:paraId="202196DF" w14:textId="77777777" w:rsidR="00E17A2B" w:rsidRPr="00287944" w:rsidRDefault="00E17A2B" w:rsidP="00287944">
                            <w:pPr>
                              <w:pStyle w:val="Standardklein"/>
                              <w:shd w:val="clear" w:color="auto" w:fill="DEEAF6" w:themeFill="accent1" w:themeFillTint="33"/>
                              <w:rPr>
                                <w:b/>
                              </w:rPr>
                            </w:pPr>
                            <w:r w:rsidRPr="00287944">
                              <w:rPr>
                                <w:b/>
                              </w:rPr>
                              <w:t>Fazit</w:t>
                            </w:r>
                          </w:p>
                          <w:p w14:paraId="43A5A16F" w14:textId="77777777" w:rsidR="00E17A2B" w:rsidRPr="00287944" w:rsidRDefault="00E17A2B" w:rsidP="00287944">
                            <w:pPr>
                              <w:pStyle w:val="Standardklein"/>
                              <w:shd w:val="clear" w:color="auto" w:fill="DEEAF6" w:themeFill="accent1" w:themeFillTint="33"/>
                            </w:pPr>
                          </w:p>
                          <w:p w14:paraId="442EF08C" w14:textId="77777777" w:rsidR="00E17A2B" w:rsidRPr="00287944" w:rsidRDefault="00E17A2B" w:rsidP="00287944">
                            <w:pPr>
                              <w:pStyle w:val="Standardklein"/>
                              <w:shd w:val="clear" w:color="auto" w:fill="DEEAF6" w:themeFill="accent1" w:themeFillTint="33"/>
                            </w:pPr>
                            <w:r w:rsidRPr="00287944">
                              <w:t>Culture's Consequences ist nach wie vor die am häufigsten zitierte und replizierte, aber auch äußerst kontrovers diskutierte Kulturstudie. Bleibendes Verdienst von G. Hofstede ist das weltweit wachsende Interesse an dem Thema „Kultur &amp; Management“. Außer Frage stehen aber auch mehrere gravierende Schwächen: atheoretische Vorgehensweise, Vermengung von Landes- und Unternehmenskultur, Ignoranz gegenüber den Problemen des Kulturwandels sowie grundlegende methodologische Schwächen (z.B. Stichprobengröße, interne Konsistenz). Mehr noch als diese Defizite wird die Unwilligkeit, diese offen zu diskutieren und nach Möglichkeit zu beheben, kritisiert.</w:t>
                            </w:r>
                          </w:p>
                          <w:p w14:paraId="57CF00CD" w14:textId="77777777" w:rsidR="00E17A2B" w:rsidRPr="00287944" w:rsidRDefault="00E17A2B" w:rsidP="00287944">
                            <w:pPr>
                              <w:pStyle w:val="Standardklein"/>
                              <w:shd w:val="clear" w:color="auto" w:fill="DEEAF6" w:themeFill="accent1" w:themeFillTint="33"/>
                            </w:pPr>
                          </w:p>
                          <w:p w14:paraId="3B5E9F6D" w14:textId="77777777" w:rsidR="00E17A2B" w:rsidRPr="00287944" w:rsidRDefault="00E17A2B" w:rsidP="00287944">
                            <w:pPr>
                              <w:pStyle w:val="Standardklein"/>
                              <w:shd w:val="clear" w:color="auto" w:fill="DEEAF6" w:themeFill="accent1" w:themeFillTint="33"/>
                            </w:pPr>
                            <w:r w:rsidRPr="00287944">
                              <w:t xml:space="preserve">Dennoch und trotz regelmäßiger Versuche, alternative Messmodelle zu etablieren (z.B. </w:t>
                            </w:r>
                            <w:r w:rsidRPr="00287944">
                              <w:sym w:font="Symbol" w:char="F0DE"/>
                            </w:r>
                            <w:r w:rsidRPr="00287944">
                              <w:t xml:space="preserve"> GLOBE-Kulturmodell), nutzen die meisten Forscher nach wie vor die von Hofstede (1980) vorgeschlagenen Kulturdimensionen, um das Konstrukt „Landeskultur“ zu operationalisieren. Folgt man allerdings der wissenschaftstheoretischen Maxime, möglichst „sparsame“, d.h. wenig komplexe und redundanzfreie Beschreibungs- und Erklärungsmodelle zu entwerfen, dann sollte das ursprüngliche Hofstede-Konzept von vier auf drei bzw. zwei Kulturdimensionen reduziert werden. Denn wie sich faktorenanalytisch zeigen lässt, kann man die meisten Landeskulturen hinreichend danach beschreiben, …</w:t>
                            </w:r>
                          </w:p>
                          <w:p w14:paraId="3816E21A" w14:textId="77777777" w:rsidR="00E17A2B" w:rsidRPr="00287944" w:rsidRDefault="00E17A2B" w:rsidP="00287944">
                            <w:pPr>
                              <w:pStyle w:val="StandardTextAufzhlung"/>
                              <w:shd w:val="clear" w:color="auto" w:fill="DEEAF6" w:themeFill="accent1" w:themeFillTint="33"/>
                              <w:rPr>
                                <w:sz w:val="20"/>
                              </w:rPr>
                            </w:pPr>
                            <w:r w:rsidRPr="00287944">
                              <w:rPr>
                                <w:sz w:val="20"/>
                              </w:rPr>
                              <w:t xml:space="preserve">in welchem Maße sie kollektivistisch (bzw. individualistisch) ausgerichtet sind und damit zugleich Machtdistanz akzeptieren (bzw. ablehnen), </w:t>
                            </w:r>
                          </w:p>
                          <w:p w14:paraId="60ECE08D" w14:textId="77777777" w:rsidR="00E17A2B" w:rsidRPr="00287944" w:rsidRDefault="00E17A2B" w:rsidP="00287944">
                            <w:pPr>
                              <w:pStyle w:val="StandardTextAufzhlung"/>
                              <w:shd w:val="clear" w:color="auto" w:fill="DEEAF6" w:themeFill="accent1" w:themeFillTint="33"/>
                              <w:rPr>
                                <w:sz w:val="20"/>
                              </w:rPr>
                            </w:pPr>
                            <w:r w:rsidRPr="00287944">
                              <w:rPr>
                                <w:sz w:val="20"/>
                              </w:rPr>
                              <w:t xml:space="preserve">welche Position sie auf der Kulturdimension „Maskulinität-Feminität“ einnehmen, </w:t>
                            </w:r>
                          </w:p>
                          <w:p w14:paraId="7A6F6AA5" w14:textId="77777777" w:rsidR="00E17A2B" w:rsidRPr="00287944" w:rsidRDefault="00E17A2B" w:rsidP="00287944">
                            <w:pPr>
                              <w:pStyle w:val="StandardTextAufzhlung"/>
                              <w:shd w:val="clear" w:color="auto" w:fill="DEEAF6" w:themeFill="accent1" w:themeFillTint="33"/>
                              <w:rPr>
                                <w:sz w:val="20"/>
                              </w:rPr>
                            </w:pPr>
                            <w:r w:rsidRPr="00287944">
                              <w:rPr>
                                <w:sz w:val="20"/>
                              </w:rPr>
                              <w:t>ob sie zu „Ungewissheitsvermeidung“ neigen oder nicht.</w:t>
                            </w:r>
                          </w:p>
                        </w:txbxContent>
                      </wps:txbx>
                      <wps:bodyPr rot="0" vert="horz" wrap="square" lIns="91440" tIns="45720" rIns="91440" bIns="45720" anchor="t" anchorCtr="0">
                        <a:spAutoFit/>
                      </wps:bodyPr>
                    </wps:wsp>
                  </a:graphicData>
                </a:graphic>
              </wp:inline>
            </w:drawing>
          </mc:Choice>
          <mc:Fallback>
            <w:pict>
              <v:shape w14:anchorId="7F74BEDE" id="_x0000_s1031" type="#_x0000_t202" style="width:464.2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">
                <v:textbox style="mso-fit-shape-to-text:t">
                  <w:txbxContent>
                    <w:p w14:paraId="202196DF" w14:textId="77777777" w:rsidR="00E17A2B" w:rsidRPr="00287944" w:rsidRDefault="00E17A2B" w:rsidP="00287944">
                      <w:pPr>
                        <w:pStyle w:val="Standardklein"/>
                        <w:shd w:val="clear" w:color="auto" w:fill="DEEAF6" w:themeFill="accent1" w:themeFillTint="33"/>
                        <w:rPr>
                          <w:b/>
                        </w:rPr>
                      </w:pPr>
                      <w:r w:rsidRPr="00287944">
                        <w:rPr>
                          <w:b/>
                        </w:rPr>
                        <w:t>Fazit</w:t>
                      </w:r>
                    </w:p>
                    <w:p w14:paraId="43A5A16F" w14:textId="77777777" w:rsidR="00E17A2B" w:rsidRPr="00287944" w:rsidRDefault="00E17A2B" w:rsidP="00287944">
                      <w:pPr>
                        <w:pStyle w:val="Standardklein"/>
                        <w:shd w:val="clear" w:color="auto" w:fill="DEEAF6" w:themeFill="accent1" w:themeFillTint="33"/>
                      </w:pPr>
                    </w:p>
                    <w:p w14:paraId="442EF08C" w14:textId="77777777" w:rsidR="00E17A2B" w:rsidRPr="00287944" w:rsidRDefault="00E17A2B" w:rsidP="00287944">
                      <w:pPr>
                        <w:pStyle w:val="Standardklein"/>
                        <w:shd w:val="clear" w:color="auto" w:fill="DEEAF6" w:themeFill="accent1" w:themeFillTint="33"/>
                      </w:pPr>
                      <w:r w:rsidRPr="00287944">
                        <w:t>Culture's Consequences ist nach wie vor die am häufigsten zitierte und replizierte, aber auch äußerst kontrovers diskutierte Kulturstudie. Bleibendes Verdienst von G. Hofstede ist das weltweit wachsende Interesse an dem Thema „Kultur &amp; Management“. Außer Frage stehen aber auch mehrere gravierende Schwächen: atheoretische Vorgehensweise, Vermengung von Landes- und Unternehmenskultur, Ignoranz gegenüber den Problemen des Kulturwandels sowie grundlegende methodologische Schwächen (z.B. Stichprobengröße, interne Konsistenz). Mehr noch als diese Defizite wird die Unwilligkeit, diese offen zu diskutieren und nach Möglichkeit zu beheben, kritisiert.</w:t>
                      </w:r>
                    </w:p>
                    <w:p w14:paraId="57CF00CD" w14:textId="77777777" w:rsidR="00E17A2B" w:rsidRPr="00287944" w:rsidRDefault="00E17A2B" w:rsidP="00287944">
                      <w:pPr>
                        <w:pStyle w:val="Standardklein"/>
                        <w:shd w:val="clear" w:color="auto" w:fill="DEEAF6" w:themeFill="accent1" w:themeFillTint="33"/>
                      </w:pPr>
                    </w:p>
                    <w:p w14:paraId="3B5E9F6D" w14:textId="77777777" w:rsidR="00E17A2B" w:rsidRPr="00287944" w:rsidRDefault="00E17A2B" w:rsidP="00287944">
                      <w:pPr>
                        <w:pStyle w:val="Standardklein"/>
                        <w:shd w:val="clear" w:color="auto" w:fill="DEEAF6" w:themeFill="accent1" w:themeFillTint="33"/>
                      </w:pPr>
                      <w:r w:rsidRPr="00287944">
                        <w:t xml:space="preserve">Dennoch und trotz regelmäßiger Versuche, alternative Messmodelle zu etablieren (z.B. </w:t>
                      </w:r>
                      <w:r w:rsidRPr="00287944">
                        <w:sym w:font="Symbol" w:char="F0DE"/>
                      </w:r>
                      <w:r w:rsidRPr="00287944">
                        <w:t xml:space="preserve"> GLOBE-Kulturmodell), nutzen die meisten Forscher nach wie vor die von Hofstede (1980) vorgeschlagenen Kulturdimensionen, um das Konstrukt „Landeskultur“ zu operationalisieren. Folgt man allerdings der wissenschaftstheoretischen Maxime, möglichst „sparsame“, d.h. wenig komplexe und redundanzfreie Beschreibungs- und Erklärungsmodelle zu entwerfen, dann sollte das ursprüngliche Hofstede-Konzept von vier auf drei bzw. zwei Kulturdimensionen reduziert werden. Denn wie sich faktorenanalytisch zeigen lässt, kann man die meisten Landeskulturen hinreichend danach beschreiben, …</w:t>
                      </w:r>
                    </w:p>
                    <w:p w14:paraId="3816E21A" w14:textId="77777777" w:rsidR="00E17A2B" w:rsidRPr="00287944" w:rsidRDefault="00E17A2B" w:rsidP="00287944">
                      <w:pPr>
                        <w:pStyle w:val="StandardTextAufzhlung"/>
                        <w:shd w:val="clear" w:color="auto" w:fill="DEEAF6" w:themeFill="accent1" w:themeFillTint="33"/>
                        <w:rPr>
                          <w:sz w:val="20"/>
                        </w:rPr>
                      </w:pPr>
                      <w:r w:rsidRPr="00287944">
                        <w:rPr>
                          <w:sz w:val="20"/>
                        </w:rPr>
                        <w:t xml:space="preserve">in welchem Maße sie kollektivistisch (bzw. individualistisch) ausgerichtet sind und damit zugleich Machtdistanz akzeptieren (bzw. ablehnen), </w:t>
                      </w:r>
                    </w:p>
                    <w:p w14:paraId="60ECE08D" w14:textId="77777777" w:rsidR="00E17A2B" w:rsidRPr="00287944" w:rsidRDefault="00E17A2B" w:rsidP="00287944">
                      <w:pPr>
                        <w:pStyle w:val="StandardTextAufzhlung"/>
                        <w:shd w:val="clear" w:color="auto" w:fill="DEEAF6" w:themeFill="accent1" w:themeFillTint="33"/>
                        <w:rPr>
                          <w:sz w:val="20"/>
                        </w:rPr>
                      </w:pPr>
                      <w:r w:rsidRPr="00287944">
                        <w:rPr>
                          <w:sz w:val="20"/>
                        </w:rPr>
                        <w:t xml:space="preserve">welche Position sie auf der Kulturdimension „Maskulinität-Feminität“ einnehmen, </w:t>
                      </w:r>
                    </w:p>
                    <w:p w14:paraId="7A6F6AA5" w14:textId="77777777" w:rsidR="00E17A2B" w:rsidRPr="00287944" w:rsidRDefault="00E17A2B" w:rsidP="00287944">
                      <w:pPr>
                        <w:pStyle w:val="StandardTextAufzhlung"/>
                        <w:shd w:val="clear" w:color="auto" w:fill="DEEAF6" w:themeFill="accent1" w:themeFillTint="33"/>
                        <w:rPr>
                          <w:sz w:val="20"/>
                        </w:rPr>
                      </w:pPr>
                      <w:r w:rsidRPr="00287944">
                        <w:rPr>
                          <w:sz w:val="20"/>
                        </w:rPr>
                        <w:t>ob sie zu „Ungewissheitsvermeidung“ neigen oder nicht.</w:t>
                      </w:r>
                    </w:p>
                  </w:txbxContent>
                </v:textbox>
                <w10:anchorlock/>
              </v:shape>
            </w:pict>
          </mc:Fallback>
        </mc:AlternateContent>
      </w:r>
    </w:p>
    <w:p w14:paraId="4A877823" w14:textId="77777777" w:rsidR="00FF7799" w:rsidRPr="00E73F6F" w:rsidRDefault="00FF7799" w:rsidP="00862DBA">
      <w:pPr>
        <w:rPr>
          <w:sz w:val="24"/>
          <w:szCs w:val="24"/>
        </w:rPr>
      </w:pPr>
    </w:p>
    <w:p w14:paraId="4A18AB3C" w14:textId="77777777" w:rsidR="00FF7799" w:rsidRPr="00287944" w:rsidRDefault="00FF7799" w:rsidP="00B84080">
      <w:pPr>
        <w:pStyle w:val="StandardText"/>
        <w:rPr>
          <w:sz w:val="22"/>
          <w:szCs w:val="22"/>
          <w:lang w:val="en-US"/>
        </w:rPr>
      </w:pPr>
      <w:r w:rsidRPr="00287944">
        <w:rPr>
          <w:b/>
          <w:i/>
          <w:sz w:val="22"/>
          <w:szCs w:val="22"/>
        </w:rPr>
        <w:t>Literatur</w:t>
      </w:r>
      <w:r w:rsidRPr="00287944">
        <w:rPr>
          <w:i/>
          <w:sz w:val="22"/>
          <w:szCs w:val="22"/>
        </w:rPr>
        <w:t>:</w:t>
      </w:r>
      <w:r w:rsidRPr="00287944">
        <w:rPr>
          <w:sz w:val="22"/>
          <w:szCs w:val="22"/>
        </w:rPr>
        <w:t xml:space="preserve"> Backhaus, K.; Erichson, B.; Plinke, W.; Weiber, R. (2011): Multivariate Analysemethoden, 13. Aufl., Berlin: Springer (2006 = 11. Aufl.). </w:t>
      </w:r>
      <w:r w:rsidRPr="006A285F">
        <w:rPr>
          <w:sz w:val="22"/>
          <w:szCs w:val="22"/>
          <w:lang w:val="en-US"/>
        </w:rPr>
        <w:t xml:space="preserve">Backhaus, K.; Meyer, M. (1988): Korrespondenzanalyse, Marketing ZFP, 10(4): 295-307. </w:t>
      </w:r>
      <w:r w:rsidRPr="00287944">
        <w:rPr>
          <w:sz w:val="22"/>
          <w:szCs w:val="22"/>
          <w:lang w:val="en-US"/>
        </w:rPr>
        <w:t xml:space="preserve">Bond, M.H. (2002): Reclaiming the Individual from Hofstede's Ecological Analysis. </w:t>
      </w:r>
      <w:r w:rsidRPr="00287944">
        <w:rPr>
          <w:sz w:val="22"/>
          <w:szCs w:val="22"/>
        </w:rPr>
        <w:t xml:space="preserve">A 20-Year Odyssey, Psychological Bulletin, 128(1): 73-77. Buber, R.; Holzmüller, H.H. (2007): Qualitative Forschung, 2. Aufl., Wiesbaden: Gabler. </w:t>
      </w:r>
      <w:r w:rsidRPr="00287944">
        <w:rPr>
          <w:sz w:val="22"/>
          <w:szCs w:val="22"/>
          <w:lang w:val="en-US"/>
        </w:rPr>
        <w:t xml:space="preserve">Chandy P.R.; Williams, T.G.E. (1994): The Impact of Journals and Authors on International Business Research. A Citation Analysis of JIBS-Articles, Journal of International Business Studies, 25(4): 715-718. Chew, I.K.H.; Putti, J. (1995): Relationship on Work-Related Values of Singaporean and Japanese Managers in Singapore, Human Relations, 48(10): 1149-1170. Denzin, N.K.; Lincoln, Y.S. (Eds.) (2005): The Sage Handbook of Qualitative Research, 3rd Ed.,Thousand Oaks/CA: Sage. </w:t>
      </w:r>
      <w:r w:rsidRPr="00287944">
        <w:rPr>
          <w:sz w:val="22"/>
          <w:szCs w:val="22"/>
        </w:rPr>
        <w:t xml:space="preserve">Elias, N. (1975): La Dynamic de L'Occident, Paris: Calmann-Levy. Fidalgo, A. (1993): Edith Stein, Theodor Lipps und die Einfühlungsproblematik. </w:t>
      </w:r>
      <w:r w:rsidRPr="00287944">
        <w:rPr>
          <w:iCs/>
          <w:sz w:val="22"/>
          <w:szCs w:val="22"/>
          <w:lang w:val="en-US"/>
        </w:rPr>
        <w:t>Phänomenologische Forschungen</w:t>
      </w:r>
      <w:r w:rsidRPr="00287944">
        <w:rPr>
          <w:sz w:val="22"/>
          <w:szCs w:val="22"/>
          <w:lang w:val="en-US"/>
        </w:rPr>
        <w:t xml:space="preserve">, </w:t>
      </w:r>
      <w:r w:rsidRPr="00287944">
        <w:rPr>
          <w:iCs/>
          <w:sz w:val="22"/>
          <w:szCs w:val="22"/>
          <w:lang w:val="en-US"/>
        </w:rPr>
        <w:t>26</w:t>
      </w:r>
      <w:r w:rsidRPr="00287944">
        <w:rPr>
          <w:sz w:val="22"/>
          <w:szCs w:val="22"/>
          <w:lang w:val="en-US"/>
        </w:rPr>
        <w:t xml:space="preserve">: 90-106. Fiske, A.P. (2002): Using Individualism and Collectivism to Compare Cultures. A Critique of the Validity and Measurement of the Constructs - Comment on Oyserman et al., Psychological Bulletin, 128(1): 78-88. Gladwin, T.N. (1981): Geert Hofstede. Culture's Consequences. International Differences in Work-Related Values, Academy of Management Journal, 6: 681-683. Hofstede, G. (2001): Culture´s Consequences. Comparing Values, Behaviors, Institutions and Organizations across Nations, 2nd Ed., Thousand Oaks/CA: Sage. Hofstede, G; Hofstede, G.J.; Minkov, M. (2010): Cultures and Organizations. Software of the Mind, 3rd Ed., New York: McGraw-Hill (2nd Ed. = 1994; 1st Ed. = 1991). Inglehart, R. (1997): Modernization and Postmodernization. Cultural, Economic, and Political Change in 43 Societies, Princeton/NJ: Princeton University Press. </w:t>
      </w:r>
      <w:r w:rsidRPr="00287944">
        <w:rPr>
          <w:iCs/>
          <w:sz w:val="22"/>
          <w:szCs w:val="22"/>
        </w:rPr>
        <w:t>Inglehart, R. (1998)</w:t>
      </w:r>
      <w:r w:rsidRPr="00287944">
        <w:rPr>
          <w:sz w:val="22"/>
          <w:szCs w:val="22"/>
        </w:rPr>
        <w:t xml:space="preserve">: Modernisierung und Postmodernisierung. Kultureller, wirtschaftlicher und politischer Wandel in 43 Gesellschaften, Frankfurt/Main: Campus. </w:t>
      </w:r>
      <w:r w:rsidRPr="00287944">
        <w:rPr>
          <w:sz w:val="22"/>
          <w:szCs w:val="22"/>
          <w:lang w:val="en-US"/>
        </w:rPr>
        <w:t xml:space="preserve">Kagitçibasi, C. (1997): Individualism and Collectivism, in: Berry J.W.; Segal, M.H.; Kagitçibasi, C. (Eds.), Handbook of Cross-Cultural Psychology. Social Behavior and Applications, Vol.3, 2nd Ed., 1-49, Boston/MA: Allyn &amp; Bacon. Kagitçibasi, C. (1997): Individualism and Collectivism, in: Berry J.W.; Segal, M.H.; Kagitçibasi, C. (Eds.), Handbook of Cross-Cultural Psychology. Social Behavior and Applications, Vol.3, 2nd Ed., 1-49, Boston/MA: Allyn &amp; Bacon. Lowe, S. (1996): Hermes Revisited. A Replication of Hofstede's Study in Hong Kong and the UK, Asia Pacific Business Review, 2(3): 101-119. Lubatkin, M.; Calori, R.; Very, P. (1996): A Comparative Analysis of British and French Administrative Practices, in: Berndt, R. (Hrsg.), Global Management, 125-139, Berlin: Springer. </w:t>
      </w:r>
      <w:r w:rsidRPr="00287944">
        <w:rPr>
          <w:sz w:val="22"/>
          <w:szCs w:val="22"/>
        </w:rPr>
        <w:t xml:space="preserve">Matiaske, W.; Dobrov, I.; Bronner, R. (1994): Anwendung der Korrespondenzanalyse in der Imageforschung: Dargestellt am Beispiel eines Segmentes des Automobilmarktes, Marketing ZFP, 16(1): 42-54. </w:t>
      </w:r>
      <w:r w:rsidRPr="00287944">
        <w:rPr>
          <w:sz w:val="22"/>
          <w:szCs w:val="22"/>
          <w:lang w:val="en-US"/>
        </w:rPr>
        <w:t xml:space="preserve">McSweeney, B. (2002): Hofstede’s Model of Natural Cultural Differences and their Consequences. A Triumph of Faith – a Failure of Analysis, Human Relations, </w:t>
      </w:r>
      <w:r w:rsidRPr="00287944">
        <w:rPr>
          <w:sz w:val="22"/>
          <w:szCs w:val="22"/>
          <w:lang w:val="en-US"/>
        </w:rPr>
        <w:lastRenderedPageBreak/>
        <w:t xml:space="preserve">55(1): 89-118. Miller, J.G. (2002): Bringing Culture to Basic Psychological Theory. Beyond Individualism and Collectivism, Psychological Bulletin, 128(1): 97-109. Minkov, M.; Hofstede, G. (2012): Hofstede's Fifth Dimension. New Evidence from the World Values Survey, Journal of Cross-Cultural Psychology, 43(1): 3-14. </w:t>
      </w:r>
      <w:r w:rsidRPr="00287944">
        <w:rPr>
          <w:sz w:val="22"/>
          <w:szCs w:val="22"/>
        </w:rPr>
        <w:t xml:space="preserve">Müller, S.; Kornmeier, M. (1994): Internationales Marketing. Eine interkulturelle Perspektive, Dresdner Beiträge zur Betriebswirtschaftslehre Nr.1, Dresden: TU Dresden. </w:t>
      </w:r>
      <w:r w:rsidRPr="00287944">
        <w:rPr>
          <w:sz w:val="22"/>
          <w:szCs w:val="22"/>
          <w:lang w:val="en-US"/>
        </w:rPr>
        <w:t>Nasif, E.G.; Al-Daeaj, H.; Ebrahimi, B.; Thibodeaux, M.S. (1991): Methodological Problems in Cross-Cultural Research. An Updated Review, Management International Review, 31(1): 79-91. Newman, K.L.; Nollen, S.D. (1996): Culture and Congruence. The Fit between Management Practices and National Culture, Journal of International Business Studies, 27(4): 753-779. Oshlyansky, L.; Cairns, P.; Thimbleby, H. (2006): A Cautionary Tale. Hofstede’s VSM Revisited, Proceedings of the 20th British Human Computer Interaction Conference, Vol.2, 11</w:t>
      </w:r>
      <w:r w:rsidRPr="00287944">
        <w:rPr>
          <w:sz w:val="22"/>
          <w:szCs w:val="22"/>
          <w:lang w:val="en-US"/>
        </w:rPr>
        <w:noBreakHyphen/>
        <w:t xml:space="preserve">15, London: British HCI Group. </w:t>
      </w:r>
      <w:r w:rsidRPr="00287944">
        <w:rPr>
          <w:bCs/>
          <w:iCs/>
          <w:sz w:val="22"/>
          <w:szCs w:val="22"/>
          <w:lang w:val="en-US"/>
        </w:rPr>
        <w:t>Oyserman, D.; Coon, H.M.; Kemmelmeier, M.</w:t>
      </w:r>
      <w:r w:rsidRPr="00287944">
        <w:rPr>
          <w:bCs/>
          <w:sz w:val="22"/>
          <w:szCs w:val="22"/>
          <w:lang w:val="en-US"/>
        </w:rPr>
        <w:t xml:space="preserve"> (2002): Rethinking Individualism and Collectivism. Evaluation of Theoretical Assumptions and Meta-Analysis, Psychological Bulletin, 128(1): 3-72. </w:t>
      </w:r>
      <w:r w:rsidRPr="00287944">
        <w:rPr>
          <w:sz w:val="22"/>
          <w:szCs w:val="22"/>
          <w:lang w:val="en-US"/>
        </w:rPr>
        <w:t xml:space="preserve">Punnett, B.J.; Ricks, D. (1992): International Business, Boston/MA: Blackwell. Punnett, B.J.; Withaney, S. (1988): Testing the Validity of Hofstede's Value Indices, Unpubl. Paper, Windsor: University of Windsor. Rose, M. (1986): Geert Hofstede. Culture's Consequences, Journal of Economic Psychology, 7(2): 249-256. Roth, M.S. (1995): The Effects of Culture and Socioeconomics on the Performance of Global Brand Image Strategies, Journal of Marketing Research, 32(2): 163-175. Schimmack, U.; Oishi, S.; Diener, E. (2005): Individualism. A Valid and Important Dimension of Cultural Differences between Nations, Personality and Social Psychology Review, 9(1): 17-31. </w:t>
      </w:r>
      <w:r w:rsidRPr="00287944">
        <w:rPr>
          <w:sz w:val="22"/>
          <w:szCs w:val="22"/>
        </w:rPr>
        <w:t xml:space="preserve">Schulz, M. (2015): Die Spur der Kanonen, Der Spiegel, 68(44): 128-131. </w:t>
      </w:r>
      <w:r w:rsidRPr="00260661">
        <w:rPr>
          <w:sz w:val="22"/>
          <w:szCs w:val="22"/>
        </w:rPr>
        <w:t xml:space="preserve">Schwartz, S.H. (1992): Universals in the Content and Structure of Values. </w:t>
      </w:r>
      <w:r w:rsidRPr="00287944">
        <w:rPr>
          <w:sz w:val="22"/>
          <w:szCs w:val="22"/>
          <w:lang w:val="en-US"/>
        </w:rPr>
        <w:t xml:space="preserve">Theoretical Advances and Empirical Tests in 20 Countries, in: Zanna, M.P. (Ed.), Advances in Experimental Social Psychology, Vol.25, 1-65, San Diego/CA: Academic Press. Shackleton, U.J.; Ali, A.H. (1990): Work-Related Values of Managers. A Test of the Hofstede Model, Journal of Cross-Cultural Psychology, 21(1): 109-118. Sivakumar, K.; Nakata, C. (2001): The Stampede toward Hofstede's Framework. Avoiding the Sample Design Pit in Cross-Cultural Research, Journal of International Business Studies, 32(3): 555-574. Soares, A.M.; Farhangmehr, M.; Shoham, A. (2007): Hofstede's Dimensions of Culture in International Marketing Studies, Journal of Business Research, 60(3): 277-284. Søndergaard, M. (1994): Hofstede's Consequences. A Study of Reviews, Citations and Replications, Organization Studies, 15(3): 447-456. Spector, P.E.; Cooper, C.L. (2002): The Pitfalls of Poor Psychometric Properties. A Rejoinder to Hofstede’s Reply to Us, Applied Psychology, 51(1): 174-178. Spector, P.E.; Cooper, C.L.; Sparks, K. (2001): An International Study of the Psychometric Properties of the Hofstede Values Survey Module 1994. A Comparison of Individual and Country/Province Level Results, Applied Psychology, 50(2): 269-281. Steenkamp, J.-B.E.M. (2001): The Role of National Culture in International Marketing Research, International Marketing Review, 18(1): 30-44. Taras, V.; Kirkman, B.L.; Steel, P. (2010): Examining the Impact of Culture's Consequences: A Three-Decade, Multilevel, Meta-Analytic Review of Hofstede's Cultural Value Dimensions, Journal of Applied Psychology, 95(3): 405-439. Triandis, H.C. (1982): Culture's Consequences, Human Organization, 4(1): 86-90. </w:t>
      </w:r>
      <w:r w:rsidRPr="00287944">
        <w:rPr>
          <w:snapToGrid w:val="0"/>
          <w:sz w:val="22"/>
          <w:szCs w:val="22"/>
          <w:lang w:val="en-US"/>
        </w:rPr>
        <w:t xml:space="preserve">Triandis, H.C.; Brislin, R.W. (Eds.) (1980): Handbook of Cross-Cultural Psychology, Boston/MA: Allyn &amp; Bacon. </w:t>
      </w:r>
      <w:r w:rsidRPr="00287944">
        <w:rPr>
          <w:sz w:val="22"/>
          <w:szCs w:val="22"/>
          <w:lang w:val="en-US"/>
        </w:rPr>
        <w:t>Trompenaars, F. (1993): Riding the Waves of Culture. Understanding Cultural Diversity in Business, Brealey: London. Yoo, B.; Donthu, N. (2002): Culture's Consequences, 2nd Ed., Journal of Marketing Research, 39(3): 388-389. Yoo, B.; Donthu, N.; Lenartowicz, T. (2011): Measuring Hofstede's Five Dimensions of Cultural Values at the Individual Level. Development and Validation of CVSCALE, Journal of International Consumer Marketing, 23(3-4): 193-210. Zhang, J.; Beatty, S.E.; Walsh, G. (2008): Review and Future Direction of Cross-Cultural Consumer Services Research, Journal of Business Research, 61(3): 211-224.</w:t>
      </w:r>
    </w:p>
    <w:p w14:paraId="2F6DF271" w14:textId="77777777" w:rsidR="00DC0CC2" w:rsidRPr="00E35FFF" w:rsidRDefault="00DC0CC2" w:rsidP="00B84080">
      <w:pPr>
        <w:pStyle w:val="StandardText"/>
        <w:rPr>
          <w:lang w:val="en-US"/>
        </w:rPr>
      </w:pPr>
    </w:p>
    <w:p w14:paraId="27FAA421" w14:textId="77777777" w:rsidR="00FF7799" w:rsidRPr="0071457A" w:rsidRDefault="00FF7799" w:rsidP="00A25134">
      <w:pPr>
        <w:pStyle w:val="berschrift1"/>
        <w:rPr>
          <w:color w:val="2E74B5"/>
          <w:sz w:val="22"/>
        </w:rPr>
      </w:pPr>
      <w:r w:rsidRPr="0071457A">
        <w:rPr>
          <w:color w:val="2E74B5"/>
          <w:sz w:val="22"/>
        </w:rPr>
        <w:t>Home Bias</w:t>
      </w:r>
    </w:p>
    <w:p w14:paraId="55775FFA" w14:textId="77777777" w:rsidR="00FF7799" w:rsidRPr="00E73F6F" w:rsidRDefault="00FF7799" w:rsidP="00B84080">
      <w:pPr>
        <w:pStyle w:val="StandardText"/>
      </w:pPr>
      <w:r w:rsidRPr="00E73F6F">
        <w:t>überproportional hoher Anteil heimischer Wertpapiere in einem Portfolio bzw. Depot. Aufgrund der nachweisbar übermäßigen Beimischung heimischer Werte sind viele Portfolios nicht optimal strukturiert. Diese suboptimale Allokation finanzieller Ressourcen lässt sich kontrolltheoretisch erklären. Aufgrund der - im Übrigen</w:t>
      </w:r>
      <w:r w:rsidRPr="00E73F6F">
        <w:rPr>
          <w:spacing w:val="-12"/>
        </w:rPr>
        <w:t xml:space="preserve"> </w:t>
      </w:r>
      <w:r w:rsidRPr="00E73F6F">
        <w:t>häufig</w:t>
      </w:r>
      <w:r w:rsidRPr="00E73F6F">
        <w:rPr>
          <w:spacing w:val="-11"/>
        </w:rPr>
        <w:t xml:space="preserve"> </w:t>
      </w:r>
      <w:r w:rsidRPr="00E73F6F">
        <w:t>nur</w:t>
      </w:r>
      <w:r w:rsidRPr="00E73F6F">
        <w:rPr>
          <w:spacing w:val="-11"/>
        </w:rPr>
        <w:t xml:space="preserve"> </w:t>
      </w:r>
      <w:r w:rsidRPr="00E73F6F">
        <w:t>scheinbar</w:t>
      </w:r>
      <w:r w:rsidRPr="00E73F6F">
        <w:rPr>
          <w:spacing w:val="-11"/>
        </w:rPr>
        <w:t xml:space="preserve"> </w:t>
      </w:r>
      <w:r w:rsidRPr="00E73F6F">
        <w:t>-</w:t>
      </w:r>
      <w:r w:rsidRPr="00E73F6F">
        <w:rPr>
          <w:spacing w:val="-12"/>
        </w:rPr>
        <w:t xml:space="preserve"> </w:t>
      </w:r>
      <w:r w:rsidRPr="00E73F6F">
        <w:t>größeren</w:t>
      </w:r>
      <w:r w:rsidRPr="00E73F6F">
        <w:rPr>
          <w:spacing w:val="-11"/>
        </w:rPr>
        <w:t xml:space="preserve"> </w:t>
      </w:r>
      <w:r w:rsidRPr="00E73F6F">
        <w:t>Vertrautheit</w:t>
      </w:r>
      <w:r w:rsidRPr="00E73F6F">
        <w:rPr>
          <w:spacing w:val="-11"/>
        </w:rPr>
        <w:t xml:space="preserve"> </w:t>
      </w:r>
      <w:r w:rsidRPr="00E73F6F">
        <w:t>mit</w:t>
      </w:r>
      <w:r w:rsidRPr="00E73F6F">
        <w:rPr>
          <w:spacing w:val="-11"/>
        </w:rPr>
        <w:t xml:space="preserve"> </w:t>
      </w:r>
      <w:r w:rsidRPr="00E73F6F">
        <w:t>heimischen</w:t>
      </w:r>
      <w:r w:rsidRPr="00E73F6F">
        <w:rPr>
          <w:spacing w:val="-12"/>
        </w:rPr>
        <w:t xml:space="preserve"> </w:t>
      </w:r>
      <w:r w:rsidRPr="00E73F6F">
        <w:t>Unternehmen empfinden Anleger ein verstärktes Kontrollgefühl, wenn deren Aktien in ihrem Besitz</w:t>
      </w:r>
      <w:r w:rsidRPr="00E73F6F">
        <w:rPr>
          <w:spacing w:val="-6"/>
        </w:rPr>
        <w:t xml:space="preserve"> </w:t>
      </w:r>
      <w:r w:rsidRPr="00E73F6F">
        <w:t>sind.</w:t>
      </w:r>
      <w:r w:rsidRPr="00E73F6F">
        <w:rPr>
          <w:spacing w:val="-7"/>
        </w:rPr>
        <w:t xml:space="preserve"> </w:t>
      </w:r>
      <w:r w:rsidRPr="00E73F6F">
        <w:t>Wie</w:t>
      </w:r>
      <w:r w:rsidRPr="00E73F6F">
        <w:rPr>
          <w:spacing w:val="-6"/>
        </w:rPr>
        <w:t xml:space="preserve"> </w:t>
      </w:r>
      <w:r w:rsidRPr="00E73F6F">
        <w:rPr>
          <w:i/>
        </w:rPr>
        <w:t>von</w:t>
      </w:r>
      <w:r w:rsidRPr="00E73F6F">
        <w:rPr>
          <w:i/>
          <w:spacing w:val="-4"/>
        </w:rPr>
        <w:t xml:space="preserve"> </w:t>
      </w:r>
      <w:r w:rsidRPr="00E73F6F">
        <w:rPr>
          <w:i/>
        </w:rPr>
        <w:t>Nitzsch</w:t>
      </w:r>
      <w:r w:rsidRPr="00E73F6F">
        <w:rPr>
          <w:i/>
          <w:spacing w:val="-3"/>
        </w:rPr>
        <w:t xml:space="preserve"> </w:t>
      </w:r>
      <w:r w:rsidRPr="00E73F6F">
        <w:t>&amp;</w:t>
      </w:r>
      <w:r w:rsidRPr="00E73F6F">
        <w:rPr>
          <w:spacing w:val="-6"/>
        </w:rPr>
        <w:t xml:space="preserve"> </w:t>
      </w:r>
      <w:r w:rsidRPr="00E73F6F">
        <w:rPr>
          <w:i/>
        </w:rPr>
        <w:t>Stolz</w:t>
      </w:r>
      <w:r w:rsidRPr="00E73F6F">
        <w:rPr>
          <w:i/>
          <w:spacing w:val="-5"/>
        </w:rPr>
        <w:t xml:space="preserve"> </w:t>
      </w:r>
      <w:r w:rsidRPr="00E73F6F">
        <w:t>empirisch</w:t>
      </w:r>
      <w:r w:rsidRPr="00E73F6F">
        <w:rPr>
          <w:spacing w:val="-7"/>
        </w:rPr>
        <w:t xml:space="preserve"> </w:t>
      </w:r>
      <w:r w:rsidRPr="00E73F6F">
        <w:t>ermittelt</w:t>
      </w:r>
      <w:r w:rsidRPr="00E73F6F">
        <w:rPr>
          <w:spacing w:val="-5"/>
        </w:rPr>
        <w:t xml:space="preserve"> </w:t>
      </w:r>
      <w:r w:rsidRPr="00E73F6F">
        <w:t>haben,</w:t>
      </w:r>
      <w:r w:rsidRPr="00E73F6F">
        <w:rPr>
          <w:spacing w:val="-7"/>
        </w:rPr>
        <w:t xml:space="preserve"> </w:t>
      </w:r>
      <w:r w:rsidRPr="00E73F6F">
        <w:t>bezahlen</w:t>
      </w:r>
      <w:r w:rsidRPr="00E73F6F">
        <w:rPr>
          <w:spacing w:val="-5"/>
        </w:rPr>
        <w:t xml:space="preserve"> </w:t>
      </w:r>
      <w:r w:rsidRPr="00E73F6F">
        <w:lastRenderedPageBreak/>
        <w:t>Anleger, die aufgrund von Risikoaversion zu 80% in heimischen Aktien investiert sind, diese Kontrollillusion mit einem Renditeverlust von knapp einem Prozent.</w:t>
      </w:r>
    </w:p>
    <w:p w14:paraId="5FA9D96D" w14:textId="77777777" w:rsidR="00FF7799" w:rsidRPr="00D57779" w:rsidRDefault="00FF7799" w:rsidP="00B84080">
      <w:pPr>
        <w:pStyle w:val="StandardText"/>
        <w:rPr>
          <w:sz w:val="22"/>
          <w:szCs w:val="22"/>
        </w:rPr>
      </w:pPr>
      <w:r w:rsidRPr="00D57779">
        <w:rPr>
          <w:b/>
          <w:i/>
          <w:sz w:val="22"/>
          <w:szCs w:val="22"/>
          <w:lang w:val="en-US"/>
        </w:rPr>
        <w:t xml:space="preserve">Literatur: </w:t>
      </w:r>
      <w:r w:rsidRPr="00D57779">
        <w:rPr>
          <w:sz w:val="22"/>
          <w:szCs w:val="22"/>
          <w:lang w:val="en-US"/>
        </w:rPr>
        <w:t>Coval, J.D.; Moskowitz, T.J. (1999): Home Bias at Home. Local Equity</w:t>
      </w:r>
      <w:r w:rsidRPr="00D57779">
        <w:rPr>
          <w:spacing w:val="40"/>
          <w:sz w:val="22"/>
          <w:szCs w:val="22"/>
          <w:lang w:val="en-US"/>
        </w:rPr>
        <w:t xml:space="preserve"> </w:t>
      </w:r>
      <w:r w:rsidRPr="00D57779">
        <w:rPr>
          <w:sz w:val="22"/>
          <w:szCs w:val="22"/>
          <w:lang w:val="en-US"/>
        </w:rPr>
        <w:t>Preference in Domestic Portfolios, Journal of Finance, 54(6): 2045-2073.</w:t>
      </w:r>
      <w:r w:rsidRPr="00D57779">
        <w:rPr>
          <w:spacing w:val="40"/>
          <w:sz w:val="22"/>
          <w:szCs w:val="22"/>
          <w:lang w:val="en-US"/>
        </w:rPr>
        <w:t xml:space="preserve"> </w:t>
      </w:r>
      <w:r w:rsidRPr="00D57779">
        <w:rPr>
          <w:sz w:val="22"/>
          <w:szCs w:val="22"/>
          <w:lang w:val="en-US"/>
        </w:rPr>
        <w:t>Lewis, K.K.</w:t>
      </w:r>
      <w:r w:rsidRPr="00D57779">
        <w:rPr>
          <w:spacing w:val="40"/>
          <w:sz w:val="22"/>
          <w:szCs w:val="22"/>
          <w:lang w:val="en-US"/>
        </w:rPr>
        <w:t xml:space="preserve"> </w:t>
      </w:r>
      <w:r w:rsidRPr="00D57779">
        <w:rPr>
          <w:sz w:val="22"/>
          <w:szCs w:val="22"/>
          <w:lang w:val="en-US"/>
        </w:rPr>
        <w:t>(1999): Trying to Explain Home Bias in Equities and Consumption, Journal of Economic</w:t>
      </w:r>
      <w:r w:rsidRPr="00D57779">
        <w:rPr>
          <w:spacing w:val="40"/>
          <w:sz w:val="22"/>
          <w:szCs w:val="22"/>
          <w:lang w:val="en-US"/>
        </w:rPr>
        <w:t xml:space="preserve"> </w:t>
      </w:r>
      <w:r w:rsidRPr="00D57779">
        <w:rPr>
          <w:sz w:val="22"/>
          <w:szCs w:val="22"/>
          <w:lang w:val="en-US"/>
        </w:rPr>
        <w:t>Literature, 37(2): 571-608.</w:t>
      </w:r>
      <w:r w:rsidR="00DC0CC2" w:rsidRPr="00D57779">
        <w:rPr>
          <w:spacing w:val="40"/>
          <w:sz w:val="22"/>
          <w:szCs w:val="22"/>
          <w:lang w:val="en-US"/>
        </w:rPr>
        <w:t xml:space="preserve"> </w:t>
      </w:r>
      <w:r w:rsidRPr="00D57779">
        <w:rPr>
          <w:sz w:val="22"/>
          <w:szCs w:val="22"/>
          <w:lang w:val="en-US"/>
        </w:rPr>
        <w:t>von Nitzsch, R.; Stolz, O (2006): Zu welchen Renditeeinbußen</w:t>
      </w:r>
      <w:r w:rsidRPr="00D57779">
        <w:rPr>
          <w:spacing w:val="40"/>
          <w:sz w:val="22"/>
          <w:szCs w:val="22"/>
          <w:lang w:val="en-US"/>
        </w:rPr>
        <w:t xml:space="preserve"> </w:t>
      </w:r>
      <w:r w:rsidRPr="00D57779">
        <w:rPr>
          <w:sz w:val="22"/>
          <w:szCs w:val="22"/>
          <w:lang w:val="en-US"/>
        </w:rPr>
        <w:t xml:space="preserve">führt der Home Bias? </w:t>
      </w:r>
      <w:r w:rsidRPr="00D57779">
        <w:rPr>
          <w:sz w:val="22"/>
          <w:szCs w:val="22"/>
        </w:rPr>
        <w:t>Finanzbetrieb, 8: 106-113.</w:t>
      </w:r>
    </w:p>
    <w:p w14:paraId="1207221D" w14:textId="77777777" w:rsidR="00FF7799" w:rsidRPr="00E73F6F" w:rsidRDefault="00FF7799" w:rsidP="00B84080">
      <w:pPr>
        <w:pStyle w:val="StandardText"/>
      </w:pPr>
    </w:p>
    <w:p w14:paraId="36B45B26" w14:textId="77777777" w:rsidR="00FF7799" w:rsidRPr="0071457A" w:rsidRDefault="00FF7799" w:rsidP="00D83ABA">
      <w:pPr>
        <w:pStyle w:val="berschrift1"/>
        <w:rPr>
          <w:color w:val="2E74B5"/>
          <w:sz w:val="22"/>
        </w:rPr>
      </w:pPr>
      <w:r w:rsidRPr="0071457A">
        <w:rPr>
          <w:color w:val="2E74B5"/>
          <w:sz w:val="22"/>
        </w:rPr>
        <w:t>Homonyme</w:t>
      </w:r>
    </w:p>
    <w:p w14:paraId="40198584" w14:textId="77777777" w:rsidR="00FF7799" w:rsidRPr="00E73F6F" w:rsidRDefault="00FF7799" w:rsidP="00862DBA">
      <w:pPr>
        <w:spacing w:before="120"/>
        <w:jc w:val="both"/>
        <w:rPr>
          <w:sz w:val="24"/>
          <w:szCs w:val="24"/>
        </w:rPr>
      </w:pPr>
      <w:r w:rsidRPr="00E73F6F">
        <w:rPr>
          <w:sz w:val="24"/>
          <w:szCs w:val="24"/>
        </w:rPr>
        <w:t>Worte</w:t>
      </w:r>
      <w:r w:rsidRPr="00E73F6F">
        <w:rPr>
          <w:rStyle w:val="StandardTextZchn1"/>
        </w:rPr>
        <w:t>, die verschiedene Bedeutungen haben (homo [gr.] = gleich; onoma [gr.] = Namen). Von den Homonymen</w:t>
      </w:r>
      <w:r w:rsidRPr="00E73F6F">
        <w:rPr>
          <w:sz w:val="24"/>
          <w:szCs w:val="24"/>
        </w:rPr>
        <w:t xml:space="preserve"> sind die Homographe und die Homophone </w:t>
      </w:r>
      <w:r w:rsidRPr="00E73F6F">
        <w:rPr>
          <w:spacing w:val="-2"/>
          <w:sz w:val="24"/>
          <w:szCs w:val="24"/>
        </w:rPr>
        <w:t>abzugrenzen:</w:t>
      </w:r>
    </w:p>
    <w:p w14:paraId="2E23E216" w14:textId="77777777" w:rsidR="00FF7799" w:rsidRPr="00E73F6F" w:rsidRDefault="00FF7799" w:rsidP="0071457A">
      <w:pPr>
        <w:pStyle w:val="StandardTextAufzhlung"/>
        <w:ind w:left="426"/>
      </w:pPr>
      <w:r w:rsidRPr="00E73F6F">
        <w:t>Homographe:</w:t>
      </w:r>
      <w:r w:rsidRPr="00E73F6F">
        <w:rPr>
          <w:spacing w:val="-6"/>
        </w:rPr>
        <w:t xml:space="preserve"> </w:t>
      </w:r>
      <w:r w:rsidRPr="00E73F6F">
        <w:t>Homonyme</w:t>
      </w:r>
      <w:r w:rsidRPr="00E73F6F">
        <w:rPr>
          <w:spacing w:val="-7"/>
        </w:rPr>
        <w:t xml:space="preserve"> </w:t>
      </w:r>
      <w:r w:rsidRPr="00E73F6F">
        <w:t>mit</w:t>
      </w:r>
      <w:r w:rsidRPr="00E73F6F">
        <w:rPr>
          <w:spacing w:val="-8"/>
        </w:rPr>
        <w:t xml:space="preserve"> </w:t>
      </w:r>
      <w:r w:rsidRPr="00E73F6F">
        <w:t>gleicher</w:t>
      </w:r>
      <w:r w:rsidRPr="00E73F6F">
        <w:rPr>
          <w:spacing w:val="-6"/>
        </w:rPr>
        <w:t xml:space="preserve"> </w:t>
      </w:r>
      <w:r w:rsidRPr="00E73F6F">
        <w:t>Schreibweise</w:t>
      </w:r>
      <w:r w:rsidRPr="00E73F6F">
        <w:rPr>
          <w:spacing w:val="-7"/>
        </w:rPr>
        <w:t xml:space="preserve"> </w:t>
      </w:r>
      <w:r w:rsidRPr="00E73F6F">
        <w:t>(z.B.</w:t>
      </w:r>
      <w:r w:rsidRPr="00E73F6F">
        <w:rPr>
          <w:spacing w:val="-8"/>
        </w:rPr>
        <w:t xml:space="preserve"> </w:t>
      </w:r>
      <w:r w:rsidRPr="00E73F6F">
        <w:t>Bank</w:t>
      </w:r>
      <w:r w:rsidRPr="00E73F6F">
        <w:rPr>
          <w:spacing w:val="-8"/>
        </w:rPr>
        <w:t xml:space="preserve"> </w:t>
      </w:r>
      <w:r w:rsidRPr="00E73F6F">
        <w:t>=</w:t>
      </w:r>
      <w:r w:rsidRPr="00E73F6F">
        <w:rPr>
          <w:spacing w:val="-9"/>
        </w:rPr>
        <w:t xml:space="preserve"> </w:t>
      </w:r>
      <w:r w:rsidRPr="00E73F6F">
        <w:t>Möbel</w:t>
      </w:r>
      <w:r w:rsidRPr="00E73F6F">
        <w:rPr>
          <w:spacing w:val="-8"/>
        </w:rPr>
        <w:t xml:space="preserve"> </w:t>
      </w:r>
      <w:r w:rsidRPr="00E73F6F">
        <w:t xml:space="preserve">oder </w:t>
      </w:r>
      <w:r w:rsidRPr="00E73F6F">
        <w:rPr>
          <w:spacing w:val="-2"/>
        </w:rPr>
        <w:t>Finanzdienstleister)</w:t>
      </w:r>
    </w:p>
    <w:p w14:paraId="31A52442" w14:textId="77777777" w:rsidR="00FF7799" w:rsidRPr="00E73F6F" w:rsidRDefault="00FF7799" w:rsidP="0071457A">
      <w:pPr>
        <w:pStyle w:val="StandardTextAufzhlung"/>
        <w:ind w:left="426"/>
      </w:pPr>
      <w:r w:rsidRPr="00E73F6F">
        <w:t>Homophone:</w:t>
      </w:r>
      <w:r w:rsidRPr="00E73F6F">
        <w:rPr>
          <w:spacing w:val="-12"/>
        </w:rPr>
        <w:t xml:space="preserve"> </w:t>
      </w:r>
      <w:r w:rsidRPr="00E73F6F">
        <w:t>Gleich</w:t>
      </w:r>
      <w:r w:rsidRPr="00E73F6F">
        <w:rPr>
          <w:spacing w:val="-10"/>
        </w:rPr>
        <w:t xml:space="preserve"> </w:t>
      </w:r>
      <w:r w:rsidRPr="00E73F6F">
        <w:t>klingende,</w:t>
      </w:r>
      <w:r w:rsidRPr="00E73F6F">
        <w:rPr>
          <w:spacing w:val="-8"/>
        </w:rPr>
        <w:t xml:space="preserve"> </w:t>
      </w:r>
      <w:r w:rsidRPr="00E73F6F">
        <w:t>aber</w:t>
      </w:r>
      <w:r w:rsidRPr="00E73F6F">
        <w:rPr>
          <w:spacing w:val="-10"/>
        </w:rPr>
        <w:t xml:space="preserve"> </w:t>
      </w:r>
      <w:r w:rsidRPr="00E73F6F">
        <w:t>unterschiedlich</w:t>
      </w:r>
      <w:r w:rsidRPr="00E73F6F">
        <w:rPr>
          <w:spacing w:val="-11"/>
        </w:rPr>
        <w:t xml:space="preserve"> </w:t>
      </w:r>
      <w:r w:rsidRPr="00E73F6F">
        <w:t>geschriebene</w:t>
      </w:r>
      <w:r w:rsidRPr="00E73F6F">
        <w:rPr>
          <w:spacing w:val="-12"/>
        </w:rPr>
        <w:t xml:space="preserve"> </w:t>
      </w:r>
      <w:r w:rsidRPr="00E73F6F">
        <w:t>Homonyme (z.B. Lärche = Nadelbaum vs. Lerche = Vogel)</w:t>
      </w:r>
    </w:p>
    <w:p w14:paraId="276CCFA5" w14:textId="77777777" w:rsidR="00FF7799" w:rsidRPr="00E73F6F" w:rsidRDefault="00FF7799" w:rsidP="00B84080">
      <w:pPr>
        <w:pStyle w:val="StandardText"/>
      </w:pPr>
    </w:p>
    <w:p w14:paraId="1466B45A" w14:textId="77777777" w:rsidR="00FF7799" w:rsidRPr="0071457A" w:rsidRDefault="00FF7799" w:rsidP="00D83ABA">
      <w:pPr>
        <w:pStyle w:val="berschrift1"/>
        <w:rPr>
          <w:color w:val="2E74B5"/>
          <w:sz w:val="22"/>
        </w:rPr>
      </w:pPr>
      <w:r w:rsidRPr="0071457A">
        <w:rPr>
          <w:color w:val="2E74B5"/>
          <w:sz w:val="22"/>
        </w:rPr>
        <w:t>Horizontale vs. vertikale Gesellschaftsstruktur</w:t>
      </w:r>
    </w:p>
    <w:p w14:paraId="43219824" w14:textId="77777777" w:rsidR="00FF7799" w:rsidRPr="00E73F6F" w:rsidRDefault="00FF7799" w:rsidP="00155AFC">
      <w:pPr>
        <w:pStyle w:val="StandardText"/>
      </w:pPr>
      <w:r w:rsidRPr="00E73F6F">
        <w:t xml:space="preserve">Unterliegen </w:t>
      </w:r>
      <w:r w:rsidR="00D57779" w:rsidRPr="00E73F6F">
        <w:t xml:space="preserve">die soziale Struktur und </w:t>
      </w:r>
      <w:r w:rsidR="00D57779">
        <w:t xml:space="preserve">die </w:t>
      </w:r>
      <w:r w:rsidR="00D57779" w:rsidRPr="00E73F6F">
        <w:t>Dynamik einer Gesellschaft</w:t>
      </w:r>
      <w:r w:rsidRPr="00E73F6F">
        <w:t>, wie in vertikalen Gesellschaft</w:t>
      </w:r>
      <w:r w:rsidR="00D57779">
        <w:t>en</w:t>
      </w:r>
      <w:r w:rsidRPr="00E73F6F">
        <w:t>, dem Primat der hierarchischen Unterschiede, oder, wie in horizontalen Gesellschaften, dem Primat der Gleichheit?</w:t>
      </w:r>
    </w:p>
    <w:p w14:paraId="7AD686CC" w14:textId="77777777" w:rsidR="00FF7799" w:rsidRPr="00E73F6F" w:rsidRDefault="00D57779" w:rsidP="00155AFC">
      <w:pPr>
        <w:pStyle w:val="StandardText"/>
        <w:rPr>
          <w:b/>
          <w:bCs/>
        </w:rPr>
      </w:pPr>
      <w:r>
        <w:t xml:space="preserve">Entscheidend dafür, dass die von </w:t>
      </w:r>
      <w:r w:rsidRPr="00E73F6F">
        <w:t>Triandis (1994b) und Singelis et al. (1995)</w:t>
      </w:r>
      <w:r>
        <w:t xml:space="preserve"> angestellten</w:t>
      </w:r>
      <w:r w:rsidRPr="00E73F6F">
        <w:t xml:space="preserve"> </w:t>
      </w:r>
      <w:r w:rsidR="00FF7799" w:rsidRPr="00E73F6F">
        <w:t>Überlegung Eingang in die Individualismus</w:t>
      </w:r>
      <w:r>
        <w:t xml:space="preserve">/Kollektivismus-Diskussion gefunden haben </w:t>
      </w:r>
      <w:r w:rsidR="00FF7799" w:rsidRPr="00E73F6F">
        <w:t>(vgl. Oyserman et al. 2002), war folgende Beobachtung: Der Individualismus von Amerikanern, Australiern und Briten kann nicht mit dem Individualismus der Dänen, Norweger und Schweden gleichgesetzt werden. Und der Kollektivismus der Chinesen, Japaner und Koreaner entspricht nicht dem Kollektivismus, der sich in der israelischen Kibbuz-Gesellschaft entwickelt hat. Davon ausgehend wurde unterschieden zwischen …</w:t>
      </w:r>
    </w:p>
    <w:p w14:paraId="12FE4BA1" w14:textId="77777777" w:rsidR="00FF7799" w:rsidRPr="00E73F6F" w:rsidRDefault="00FF7799" w:rsidP="0071457A">
      <w:pPr>
        <w:pStyle w:val="StandardTextAufzhlung"/>
        <w:ind w:left="426"/>
      </w:pPr>
      <w:r w:rsidRPr="00E73F6F">
        <w:t xml:space="preserve">vertikalem und horizontalem Individualismus sowie </w:t>
      </w:r>
    </w:p>
    <w:p w14:paraId="40A81B5B" w14:textId="77777777" w:rsidR="00FF7799" w:rsidRDefault="00FF7799" w:rsidP="0071457A">
      <w:pPr>
        <w:pStyle w:val="StandardTextAufzhlung"/>
        <w:ind w:left="426"/>
      </w:pPr>
      <w:r w:rsidRPr="00E73F6F">
        <w:t xml:space="preserve">vertikalem und horizontalem Kollektivismus. </w:t>
      </w:r>
    </w:p>
    <w:p w14:paraId="3CA5F3E3" w14:textId="77777777" w:rsidR="0071457A" w:rsidRPr="00E73F6F" w:rsidRDefault="0071457A" w:rsidP="0071457A">
      <w:pPr>
        <w:pStyle w:val="StandardTextAufzhlung"/>
        <w:numPr>
          <w:ilvl w:val="0"/>
          <w:numId w:val="0"/>
        </w:numPr>
        <w:ind w:left="426"/>
      </w:pPr>
    </w:p>
    <w:p w14:paraId="0C2E50EC" w14:textId="77777777" w:rsidR="00FF7799" w:rsidRPr="00E35FFF" w:rsidRDefault="00FF7799" w:rsidP="00155AFC">
      <w:pPr>
        <w:pStyle w:val="StandardText"/>
        <w:rPr>
          <w:lang w:val="en-US"/>
        </w:rPr>
      </w:pPr>
      <w:r w:rsidRPr="00E35FFF">
        <w:rPr>
          <w:lang w:val="en-US"/>
        </w:rPr>
        <w:t>„I</w:t>
      </w:r>
      <w:bookmarkStart w:id="25" w:name="OLE_LINK3"/>
      <w:r w:rsidRPr="00E35FFF">
        <w:rPr>
          <w:lang w:val="en-US"/>
        </w:rPr>
        <w:t>n vertical-individualist societies or cultural contexts (e.g., U.S., Great Britain, France), people tend to be concerned with improving their individual status and standing out – distinguishing themselves from others via competition, achievement, and power. In contrast, in horizontal-individualist societies or cultural contexts (Sweden, Denmark, Norway), people prefer to view themselves as equal to others in status and eschew status differentiation. Rather than standing out, the focus is on expressing one’s uniqueness and establishing one’s capability to be successfully self-reliant</w:t>
      </w:r>
      <w:bookmarkEnd w:id="25"/>
      <w:r w:rsidRPr="00E35FFF">
        <w:rPr>
          <w:lang w:val="en-US"/>
        </w:rPr>
        <w:t xml:space="preserve">. In vertical-collectivist societies or cultural contexts (e.g., Korea, Japan, India), people focus on complying with authorities and on enhancing the cohesion and status of their in-groups, even when that entails sacrificing their own personal goals. In horizontal-collectivist societies or cultural contexts (exemplified historically by the Israeli kibbutz), the focus is on sociability and interdependence with others, within an egalitarian framework” (Shavitt et al. 2011, S.312). </w:t>
      </w:r>
    </w:p>
    <w:p w14:paraId="67E31F8F" w14:textId="77777777" w:rsidR="00FF7799" w:rsidRPr="00E73F6F" w:rsidRDefault="00FF7799" w:rsidP="00155AFC">
      <w:pPr>
        <w:pStyle w:val="StandardText"/>
      </w:pPr>
      <w:r w:rsidRPr="00E73F6F">
        <w:t>Triandis/Gelfand (1998) haben ein Messinstrument mit jeweils acht Items pro Subskala veröffentlicht (vgl. Tab. 2). Die Probanden konnten die insgesamt 32 Statements anhand einer neunstufigen Skala beantworten (1 = never or definitely no / 9 = always or definitely yes).</w:t>
      </w:r>
    </w:p>
    <w:p w14:paraId="0F3EA923" w14:textId="77777777" w:rsidR="00FF7799" w:rsidRPr="00E73F6F" w:rsidRDefault="00FF7799" w:rsidP="00155AFC">
      <w:pPr>
        <w:pStyle w:val="StandardText"/>
      </w:pPr>
    </w:p>
    <w:p w14:paraId="71EB64AD" w14:textId="77777777" w:rsidR="00FF7799" w:rsidRPr="007D6CC1" w:rsidRDefault="00FF7799" w:rsidP="00155AFC">
      <w:pPr>
        <w:pStyle w:val="BeschriftungTab"/>
        <w:rPr>
          <w:b/>
          <w:bCs/>
          <w:i/>
          <w:iCs/>
        </w:rPr>
      </w:pPr>
      <w:bookmarkStart w:id="26" w:name="_Ref413257112"/>
      <w:r w:rsidRPr="007D6CC1">
        <w:rPr>
          <w:i/>
          <w:iCs/>
        </w:rPr>
        <w:lastRenderedPageBreak/>
        <w:t>Tab.</w:t>
      </w:r>
      <w:bookmarkEnd w:id="26"/>
      <w:r w:rsidRPr="007D6CC1">
        <w:rPr>
          <w:i/>
          <w:iCs/>
        </w:rPr>
        <w:t xml:space="preserve"> 2: Untersuchungsansatz von Triandis &amp; Gelfand</w:t>
      </w:r>
    </w:p>
    <w:tbl>
      <w:tblPr>
        <w:tblStyle w:val="Tabellenraster"/>
        <w:tblW w:w="9067"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696"/>
        <w:gridCol w:w="2410"/>
        <w:gridCol w:w="1653"/>
        <w:gridCol w:w="1654"/>
        <w:gridCol w:w="1654"/>
      </w:tblGrid>
      <w:tr w:rsidR="00FF7799" w:rsidRPr="00E73F6F" w14:paraId="31CEB2F5" w14:textId="77777777" w:rsidTr="00DC0CC2">
        <w:trPr>
          <w:tblHeader/>
        </w:trPr>
        <w:tc>
          <w:tcPr>
            <w:tcW w:w="1696" w:type="dxa"/>
            <w:shd w:val="clear" w:color="auto" w:fill="FFC000"/>
          </w:tcPr>
          <w:p w14:paraId="6E822D31" w14:textId="77777777" w:rsidR="00FF7799" w:rsidRPr="00E73F6F" w:rsidRDefault="00FF7799" w:rsidP="00155AFC">
            <w:pPr>
              <w:pStyle w:val="StandardText"/>
              <w:jc w:val="center"/>
              <w:rPr>
                <w:b/>
              </w:rPr>
            </w:pPr>
            <w:r w:rsidRPr="00E73F6F">
              <w:rPr>
                <w:b/>
              </w:rPr>
              <w:t>Sub-Skala</w:t>
            </w:r>
          </w:p>
        </w:tc>
        <w:tc>
          <w:tcPr>
            <w:tcW w:w="2410" w:type="dxa"/>
            <w:shd w:val="clear" w:color="auto" w:fill="FFC000"/>
          </w:tcPr>
          <w:p w14:paraId="130CA3D2" w14:textId="77777777" w:rsidR="00FF7799" w:rsidRPr="00E73F6F" w:rsidRDefault="00FF7799" w:rsidP="00155AFC">
            <w:pPr>
              <w:pStyle w:val="StandardText"/>
              <w:jc w:val="center"/>
              <w:rPr>
                <w:b/>
              </w:rPr>
            </w:pPr>
            <w:r w:rsidRPr="00E73F6F">
              <w:rPr>
                <w:b/>
              </w:rPr>
              <w:t>Definition</w:t>
            </w:r>
          </w:p>
        </w:tc>
        <w:tc>
          <w:tcPr>
            <w:tcW w:w="1653" w:type="dxa"/>
            <w:shd w:val="clear" w:color="auto" w:fill="FFC000"/>
          </w:tcPr>
          <w:p w14:paraId="66F55BDF" w14:textId="77777777" w:rsidR="00FF7799" w:rsidRPr="00E73F6F" w:rsidRDefault="00FF7799" w:rsidP="00155AFC">
            <w:pPr>
              <w:pStyle w:val="StandardText"/>
              <w:jc w:val="center"/>
              <w:rPr>
                <w:b/>
              </w:rPr>
            </w:pPr>
            <w:r w:rsidRPr="00E73F6F">
              <w:rPr>
                <w:b/>
              </w:rPr>
              <w:t>Beispiel-Statement</w:t>
            </w:r>
          </w:p>
        </w:tc>
        <w:tc>
          <w:tcPr>
            <w:tcW w:w="1654" w:type="dxa"/>
            <w:shd w:val="clear" w:color="auto" w:fill="FFC000"/>
          </w:tcPr>
          <w:p w14:paraId="6DD256C5" w14:textId="77777777" w:rsidR="00D57779" w:rsidRDefault="00FF7799" w:rsidP="00D57779">
            <w:pPr>
              <w:pStyle w:val="StandardText"/>
              <w:spacing w:line="180" w:lineRule="exact"/>
              <w:jc w:val="center"/>
              <w:rPr>
                <w:b/>
              </w:rPr>
            </w:pPr>
            <w:r w:rsidRPr="00E73F6F">
              <w:rPr>
                <w:b/>
              </w:rPr>
              <w:t>Zentrale</w:t>
            </w:r>
          </w:p>
          <w:p w14:paraId="3957BED3" w14:textId="77777777" w:rsidR="00D57779" w:rsidRDefault="00FF7799" w:rsidP="00D57779">
            <w:pPr>
              <w:pStyle w:val="StandardText"/>
              <w:spacing w:line="180" w:lineRule="exact"/>
              <w:jc w:val="center"/>
              <w:rPr>
                <w:b/>
              </w:rPr>
            </w:pPr>
            <w:r w:rsidRPr="00E73F6F">
              <w:rPr>
                <w:b/>
              </w:rPr>
              <w:t xml:space="preserve"> individuelle </w:t>
            </w:r>
          </w:p>
          <w:p w14:paraId="764076D8" w14:textId="77777777" w:rsidR="00FF7799" w:rsidRPr="00E73F6F" w:rsidRDefault="00FF7799" w:rsidP="00D57779">
            <w:pPr>
              <w:pStyle w:val="StandardText"/>
              <w:spacing w:line="180" w:lineRule="exact"/>
              <w:jc w:val="center"/>
              <w:rPr>
                <w:b/>
              </w:rPr>
            </w:pPr>
            <w:r w:rsidRPr="00E73F6F">
              <w:rPr>
                <w:b/>
              </w:rPr>
              <w:t>Motivation</w:t>
            </w:r>
          </w:p>
        </w:tc>
        <w:tc>
          <w:tcPr>
            <w:tcW w:w="1654" w:type="dxa"/>
            <w:shd w:val="clear" w:color="auto" w:fill="FFC000"/>
          </w:tcPr>
          <w:p w14:paraId="221C46A3" w14:textId="77777777" w:rsidR="00FF7799" w:rsidRPr="00E73F6F" w:rsidRDefault="00FF7799" w:rsidP="00D57779">
            <w:pPr>
              <w:pStyle w:val="StandardText"/>
              <w:spacing w:line="240" w:lineRule="exact"/>
              <w:jc w:val="center"/>
              <w:rPr>
                <w:b/>
              </w:rPr>
            </w:pPr>
            <w:r w:rsidRPr="00E73F6F">
              <w:rPr>
                <w:b/>
              </w:rPr>
              <w:t>Momentum sozialer Beziehungen</w:t>
            </w:r>
          </w:p>
        </w:tc>
      </w:tr>
      <w:tr w:rsidR="00FF7799" w:rsidRPr="00E73F6F" w14:paraId="490D6FC8" w14:textId="77777777" w:rsidTr="00DC0CC2">
        <w:tc>
          <w:tcPr>
            <w:tcW w:w="1696" w:type="dxa"/>
            <w:shd w:val="clear" w:color="auto" w:fill="FFF2CC" w:themeFill="accent4" w:themeFillTint="33"/>
          </w:tcPr>
          <w:p w14:paraId="61B42F61" w14:textId="77777777" w:rsidR="00FF7799" w:rsidRPr="00E73F6F" w:rsidRDefault="00FF7799" w:rsidP="00155AFC">
            <w:pPr>
              <w:pStyle w:val="StandardText"/>
              <w:jc w:val="left"/>
            </w:pPr>
            <w:r w:rsidRPr="00E73F6F">
              <w:t>Horizontaler Individualismus</w:t>
            </w:r>
          </w:p>
        </w:tc>
        <w:tc>
          <w:tcPr>
            <w:tcW w:w="2410" w:type="dxa"/>
          </w:tcPr>
          <w:p w14:paraId="588A75ED" w14:textId="77777777" w:rsidR="00FF7799" w:rsidRPr="00E73F6F" w:rsidRDefault="00FF7799" w:rsidP="00155AFC">
            <w:pPr>
              <w:pStyle w:val="StandardText"/>
              <w:jc w:val="left"/>
            </w:pPr>
            <w:r w:rsidRPr="00E73F6F">
              <w:t>Ausmaß, in dem Individuen danach streben, anders zu sein als die anderen, ohne für sich einen besonderen Status in Anspruch zu nehmen.</w:t>
            </w:r>
          </w:p>
        </w:tc>
        <w:tc>
          <w:tcPr>
            <w:tcW w:w="1653" w:type="dxa"/>
          </w:tcPr>
          <w:p w14:paraId="52DAEF32" w14:textId="77777777" w:rsidR="00FF7799" w:rsidRPr="00E35FFF" w:rsidRDefault="00FF7799" w:rsidP="00155AFC">
            <w:pPr>
              <w:pStyle w:val="StandardText"/>
              <w:jc w:val="left"/>
              <w:rPr>
                <w:lang w:val="en-US"/>
              </w:rPr>
            </w:pPr>
            <w:r w:rsidRPr="00E35FFF">
              <w:rPr>
                <w:lang w:val="en-US"/>
              </w:rPr>
              <w:t xml:space="preserve">„I often do my own thing." </w:t>
            </w:r>
          </w:p>
          <w:p w14:paraId="341732CC" w14:textId="77777777" w:rsidR="00FF7799" w:rsidRPr="00E35FFF" w:rsidRDefault="00FF7799" w:rsidP="00155AFC">
            <w:pPr>
              <w:pStyle w:val="StandardText"/>
              <w:jc w:val="left"/>
              <w:rPr>
                <w:lang w:val="en-US"/>
              </w:rPr>
            </w:pPr>
          </w:p>
        </w:tc>
        <w:tc>
          <w:tcPr>
            <w:tcW w:w="1654" w:type="dxa"/>
          </w:tcPr>
          <w:p w14:paraId="79048995" w14:textId="77777777" w:rsidR="00FF7799" w:rsidRPr="00E73F6F" w:rsidRDefault="00FF7799" w:rsidP="00155AFC">
            <w:pPr>
              <w:pStyle w:val="StandardText"/>
              <w:jc w:val="left"/>
            </w:pPr>
            <w:r w:rsidRPr="00E73F6F">
              <w:t>Eigenständigkeit</w:t>
            </w:r>
          </w:p>
        </w:tc>
        <w:tc>
          <w:tcPr>
            <w:tcW w:w="1654" w:type="dxa"/>
          </w:tcPr>
          <w:p w14:paraId="3E1F124A" w14:textId="77777777" w:rsidR="00FF7799" w:rsidRPr="00E73F6F" w:rsidRDefault="00FF7799" w:rsidP="00155AFC">
            <w:pPr>
              <w:pStyle w:val="StandardText"/>
              <w:jc w:val="left"/>
            </w:pPr>
            <w:r w:rsidRPr="00E73F6F">
              <w:t>individuelle Rechte</w:t>
            </w:r>
          </w:p>
        </w:tc>
      </w:tr>
      <w:tr w:rsidR="00FF7799" w:rsidRPr="00E73F6F" w14:paraId="36181708" w14:textId="77777777" w:rsidTr="00DC0CC2">
        <w:tc>
          <w:tcPr>
            <w:tcW w:w="1696" w:type="dxa"/>
            <w:shd w:val="clear" w:color="auto" w:fill="FFF2CC" w:themeFill="accent4" w:themeFillTint="33"/>
          </w:tcPr>
          <w:p w14:paraId="23862FC3" w14:textId="77777777" w:rsidR="00FF7799" w:rsidRPr="00E73F6F" w:rsidRDefault="00FF7799" w:rsidP="00155AFC">
            <w:pPr>
              <w:pStyle w:val="StandardText"/>
              <w:jc w:val="left"/>
            </w:pPr>
            <w:r w:rsidRPr="00E73F6F">
              <w:t>Horizontaler Kollektivismus</w:t>
            </w:r>
          </w:p>
        </w:tc>
        <w:tc>
          <w:tcPr>
            <w:tcW w:w="2410" w:type="dxa"/>
          </w:tcPr>
          <w:p w14:paraId="6DE31917" w14:textId="77777777" w:rsidR="00FF7799" w:rsidRPr="00E73F6F" w:rsidRDefault="00FF7799" w:rsidP="00155AFC">
            <w:pPr>
              <w:pStyle w:val="StandardText"/>
              <w:jc w:val="left"/>
            </w:pPr>
            <w:r w:rsidRPr="00E73F6F">
              <w:t>Ausmaß, in dem Individuen auf wechselseitige Abhängigkeit Wert legen, ohne jedoch bereit zu sein, sich einer Autorität zu unterwerfen.</w:t>
            </w:r>
          </w:p>
        </w:tc>
        <w:tc>
          <w:tcPr>
            <w:tcW w:w="1653" w:type="dxa"/>
          </w:tcPr>
          <w:p w14:paraId="3C466B9C" w14:textId="77777777" w:rsidR="00FF7799" w:rsidRPr="00E35FFF" w:rsidRDefault="00FF7799" w:rsidP="00155AFC">
            <w:pPr>
              <w:pStyle w:val="StandardText"/>
              <w:jc w:val="left"/>
              <w:rPr>
                <w:lang w:val="en-US"/>
              </w:rPr>
            </w:pPr>
            <w:r w:rsidRPr="00E35FFF">
              <w:rPr>
                <w:lang w:val="en-US"/>
              </w:rPr>
              <w:t>„The well-being of my co-workers is important to me.”</w:t>
            </w:r>
          </w:p>
          <w:p w14:paraId="749B1B02" w14:textId="77777777" w:rsidR="00FF7799" w:rsidRPr="00E35FFF" w:rsidRDefault="00FF7799" w:rsidP="00155AFC">
            <w:pPr>
              <w:pStyle w:val="StandardText"/>
              <w:jc w:val="left"/>
              <w:rPr>
                <w:bCs/>
                <w:lang w:val="en-US"/>
              </w:rPr>
            </w:pPr>
          </w:p>
        </w:tc>
        <w:tc>
          <w:tcPr>
            <w:tcW w:w="1654" w:type="dxa"/>
          </w:tcPr>
          <w:p w14:paraId="7D6805AC" w14:textId="77777777" w:rsidR="00FF7799" w:rsidRPr="00E73F6F" w:rsidRDefault="00FF7799" w:rsidP="00155AFC">
            <w:pPr>
              <w:pStyle w:val="StandardText"/>
              <w:jc w:val="left"/>
            </w:pPr>
            <w:r w:rsidRPr="00E73F6F">
              <w:t>wechselseitige Abhängigkeit &amp; Unterstützung</w:t>
            </w:r>
          </w:p>
        </w:tc>
        <w:tc>
          <w:tcPr>
            <w:tcW w:w="1654" w:type="dxa"/>
          </w:tcPr>
          <w:p w14:paraId="1AAE91B2" w14:textId="77777777" w:rsidR="00FF7799" w:rsidRPr="00E73F6F" w:rsidRDefault="00FF7799" w:rsidP="00155AFC">
            <w:pPr>
              <w:pStyle w:val="StandardText"/>
              <w:jc w:val="left"/>
            </w:pPr>
            <w:r w:rsidRPr="00E73F6F">
              <w:t>soziale Verantwortung</w:t>
            </w:r>
          </w:p>
        </w:tc>
      </w:tr>
      <w:tr w:rsidR="00FF7799" w:rsidRPr="00E73F6F" w14:paraId="401246F4" w14:textId="77777777" w:rsidTr="00DC0CC2">
        <w:tc>
          <w:tcPr>
            <w:tcW w:w="1696" w:type="dxa"/>
            <w:shd w:val="clear" w:color="auto" w:fill="FFF2CC" w:themeFill="accent4" w:themeFillTint="33"/>
          </w:tcPr>
          <w:p w14:paraId="55385EAE" w14:textId="77777777" w:rsidR="00FF7799" w:rsidRPr="00E73F6F" w:rsidRDefault="00FF7799" w:rsidP="00155AFC">
            <w:pPr>
              <w:pStyle w:val="StandardText"/>
              <w:jc w:val="left"/>
              <w:rPr>
                <w:bCs/>
              </w:rPr>
            </w:pPr>
            <w:r w:rsidRPr="00E73F6F">
              <w:t xml:space="preserve">Vertikaler </w:t>
            </w:r>
            <w:r w:rsidRPr="00E73F6F">
              <w:br/>
              <w:t>Individualismus</w:t>
            </w:r>
          </w:p>
        </w:tc>
        <w:tc>
          <w:tcPr>
            <w:tcW w:w="2410" w:type="dxa"/>
          </w:tcPr>
          <w:p w14:paraId="6E950BB4" w14:textId="77777777" w:rsidR="00FF7799" w:rsidRPr="00E73F6F" w:rsidRDefault="00FF7799" w:rsidP="00155AFC">
            <w:pPr>
              <w:pStyle w:val="StandardText"/>
              <w:jc w:val="left"/>
              <w:rPr>
                <w:bCs/>
              </w:rPr>
            </w:pPr>
            <w:r w:rsidRPr="00E73F6F">
              <w:t>Ausmaß, in dem Individuen danach streben, anders zu sein als die anderen, und für sich einen besonderen Status erstreben.</w:t>
            </w:r>
          </w:p>
        </w:tc>
        <w:tc>
          <w:tcPr>
            <w:tcW w:w="1653" w:type="dxa"/>
          </w:tcPr>
          <w:p w14:paraId="66EEF811" w14:textId="77777777" w:rsidR="00FF7799" w:rsidRPr="00E35FFF" w:rsidRDefault="00FF7799" w:rsidP="00155AFC">
            <w:pPr>
              <w:pStyle w:val="StandardText"/>
              <w:jc w:val="left"/>
              <w:rPr>
                <w:bCs/>
                <w:lang w:val="en-US"/>
              </w:rPr>
            </w:pPr>
            <w:r w:rsidRPr="00E35FFF">
              <w:rPr>
                <w:lang w:val="en-US"/>
              </w:rPr>
              <w:t>„It annoys me when other people perform better than I do.”</w:t>
            </w:r>
          </w:p>
          <w:p w14:paraId="78AF91CB" w14:textId="77777777" w:rsidR="00FF7799" w:rsidRPr="00E35FFF" w:rsidRDefault="00FF7799" w:rsidP="00155AFC">
            <w:pPr>
              <w:pStyle w:val="StandardText"/>
              <w:jc w:val="left"/>
              <w:rPr>
                <w:bCs/>
                <w:lang w:val="en-US"/>
              </w:rPr>
            </w:pPr>
          </w:p>
        </w:tc>
        <w:tc>
          <w:tcPr>
            <w:tcW w:w="1654" w:type="dxa"/>
          </w:tcPr>
          <w:p w14:paraId="02790EFD" w14:textId="77777777" w:rsidR="00FF7799" w:rsidRPr="00E73F6F" w:rsidRDefault="00FF7799" w:rsidP="00155AFC">
            <w:pPr>
              <w:pStyle w:val="StandardText"/>
              <w:jc w:val="left"/>
            </w:pPr>
            <w:r w:rsidRPr="00E73F6F">
              <w:t>Macht &amp; Status</w:t>
            </w:r>
          </w:p>
        </w:tc>
        <w:tc>
          <w:tcPr>
            <w:tcW w:w="1654" w:type="dxa"/>
          </w:tcPr>
          <w:p w14:paraId="7940A54C" w14:textId="77777777" w:rsidR="00FF7799" w:rsidRPr="00E73F6F" w:rsidRDefault="00FF7799" w:rsidP="00155AFC">
            <w:pPr>
              <w:pStyle w:val="StandardText"/>
              <w:jc w:val="left"/>
            </w:pPr>
            <w:r w:rsidRPr="00E73F6F">
              <w:t>soziale Mobilität</w:t>
            </w:r>
          </w:p>
        </w:tc>
      </w:tr>
      <w:tr w:rsidR="00FF7799" w:rsidRPr="00E73F6F" w14:paraId="4B9FF33E" w14:textId="77777777" w:rsidTr="00DC0CC2">
        <w:tc>
          <w:tcPr>
            <w:tcW w:w="1696" w:type="dxa"/>
            <w:shd w:val="clear" w:color="auto" w:fill="FFF2CC" w:themeFill="accent4" w:themeFillTint="33"/>
          </w:tcPr>
          <w:p w14:paraId="1838D03E" w14:textId="77777777" w:rsidR="00FF7799" w:rsidRPr="00E73F6F" w:rsidRDefault="00FF7799" w:rsidP="00155AFC">
            <w:pPr>
              <w:pStyle w:val="StandardText"/>
              <w:jc w:val="left"/>
              <w:rPr>
                <w:bCs/>
              </w:rPr>
            </w:pPr>
            <w:r w:rsidRPr="00E73F6F">
              <w:t xml:space="preserve">Vertikaler </w:t>
            </w:r>
            <w:r w:rsidRPr="00E73F6F">
              <w:br/>
              <w:t>Kollektivismus</w:t>
            </w:r>
          </w:p>
        </w:tc>
        <w:tc>
          <w:tcPr>
            <w:tcW w:w="2410" w:type="dxa"/>
          </w:tcPr>
          <w:p w14:paraId="56998695" w14:textId="77777777" w:rsidR="00FF7799" w:rsidRPr="00E73F6F" w:rsidRDefault="00FF7799" w:rsidP="00155AFC">
            <w:pPr>
              <w:pStyle w:val="StandardText"/>
              <w:jc w:val="left"/>
              <w:rPr>
                <w:bCs/>
              </w:rPr>
            </w:pPr>
            <w:r w:rsidRPr="00E73F6F">
              <w:t>Ausmaß, in dem Individuen auf wechselseitige Abhängigkeit Wert legen, und Stellenwert des Wettbewerbs mit anderen, die nicht der ‘in group‘ angehören.</w:t>
            </w:r>
          </w:p>
        </w:tc>
        <w:tc>
          <w:tcPr>
            <w:tcW w:w="1653" w:type="dxa"/>
          </w:tcPr>
          <w:p w14:paraId="5ACCD479" w14:textId="77777777" w:rsidR="00FF7799" w:rsidRPr="00E35FFF" w:rsidRDefault="00FF7799" w:rsidP="00155AFC">
            <w:pPr>
              <w:pStyle w:val="StandardText"/>
              <w:jc w:val="left"/>
              <w:rPr>
                <w:bCs/>
                <w:lang w:val="en-US"/>
              </w:rPr>
            </w:pPr>
            <w:r w:rsidRPr="00E35FFF">
              <w:rPr>
                <w:lang w:val="en-US"/>
              </w:rPr>
              <w:t>„I would sacrifice an activity that I enjoy very much if my family did not approve of it.”</w:t>
            </w:r>
          </w:p>
        </w:tc>
        <w:tc>
          <w:tcPr>
            <w:tcW w:w="1654" w:type="dxa"/>
          </w:tcPr>
          <w:p w14:paraId="7F0017B2" w14:textId="77777777" w:rsidR="00FF7799" w:rsidRPr="00E73F6F" w:rsidRDefault="00FF7799" w:rsidP="00155AFC">
            <w:pPr>
              <w:pStyle w:val="StandardText"/>
              <w:jc w:val="left"/>
            </w:pPr>
            <w:r w:rsidRPr="00E73F6F">
              <w:t>Verpflichtung gegenüber der ’in group’</w:t>
            </w:r>
          </w:p>
        </w:tc>
        <w:tc>
          <w:tcPr>
            <w:tcW w:w="1654" w:type="dxa"/>
          </w:tcPr>
          <w:p w14:paraId="4199FD87" w14:textId="77777777" w:rsidR="00FF7799" w:rsidRPr="00E73F6F" w:rsidRDefault="00FF7799" w:rsidP="00155AFC">
            <w:pPr>
              <w:pStyle w:val="StandardText"/>
              <w:jc w:val="left"/>
            </w:pPr>
            <w:r w:rsidRPr="00E73F6F">
              <w:t>Respekt vor bestehenden sozialen Hierarchien</w:t>
            </w:r>
          </w:p>
        </w:tc>
      </w:tr>
    </w:tbl>
    <w:p w14:paraId="52436B23" w14:textId="77777777" w:rsidR="00FF7799" w:rsidRPr="00BF578F" w:rsidRDefault="00FF7799" w:rsidP="00155AFC">
      <w:pPr>
        <w:pStyle w:val="Quellen"/>
        <w:rPr>
          <w:lang w:val="en-US"/>
        </w:rPr>
      </w:pPr>
      <w:r w:rsidRPr="00E73F6F">
        <w:t xml:space="preserve">Quelle: eigene Darstellung auf Basis von Shavitt et al. </w:t>
      </w:r>
      <w:r w:rsidRPr="00BF578F">
        <w:rPr>
          <w:lang w:val="en-US"/>
        </w:rPr>
        <w:t>(2011).</w:t>
      </w:r>
    </w:p>
    <w:p w14:paraId="7F7200D7" w14:textId="77777777" w:rsidR="00FF7799" w:rsidRPr="00BF578F" w:rsidRDefault="00FF7799" w:rsidP="00862DBA">
      <w:pPr>
        <w:rPr>
          <w:sz w:val="24"/>
          <w:szCs w:val="24"/>
          <w:lang w:val="en-US"/>
        </w:rPr>
      </w:pPr>
    </w:p>
    <w:p w14:paraId="53974438" w14:textId="77777777" w:rsidR="00FF7799" w:rsidRPr="00D57779" w:rsidRDefault="00FF7799" w:rsidP="00155AFC">
      <w:pPr>
        <w:pStyle w:val="StandardText"/>
        <w:rPr>
          <w:color w:val="FF0000"/>
          <w:sz w:val="22"/>
          <w:szCs w:val="22"/>
          <w:lang w:val="en-US"/>
        </w:rPr>
      </w:pPr>
      <w:r w:rsidRPr="00D57779">
        <w:rPr>
          <w:b/>
          <w:i/>
          <w:sz w:val="22"/>
          <w:szCs w:val="22"/>
          <w:lang w:val="en-US"/>
        </w:rPr>
        <w:t>Literatur</w:t>
      </w:r>
      <w:r w:rsidRPr="00D57779">
        <w:rPr>
          <w:i/>
          <w:sz w:val="22"/>
          <w:szCs w:val="22"/>
          <w:lang w:val="en-US"/>
        </w:rPr>
        <w:t>:</w:t>
      </w:r>
      <w:r w:rsidRPr="00D57779">
        <w:rPr>
          <w:sz w:val="22"/>
          <w:szCs w:val="22"/>
          <w:lang w:val="en-US"/>
        </w:rPr>
        <w:t xml:space="preserve"> Bakan, D. (1966): The Duality of Human Existence. An Essay on Psychology and Religion, Oxford: Rand McNally. Kagitçibasi, C. (1997): Individualism and Collectivism, in: Berry J.W.; Segal, M.H.; Kagitçibasi, C. (Eds.), Handbook of Cross-Cultural Psychology. Social Behavior and Applications, Vol.3, 2nd Ed., 1-49, Boston/MA: Allyn &amp; Bacon. Markus, H.R.; Kitayama, S. (1991): Culture and the Self. Implications for Cognition, Emotion, and Motivation, Psychological Review, 98(2): 224-253. </w:t>
      </w:r>
      <w:r w:rsidRPr="00D57779">
        <w:rPr>
          <w:iCs/>
          <w:sz w:val="22"/>
          <w:szCs w:val="22"/>
          <w:lang w:val="en-US"/>
        </w:rPr>
        <w:t>Oyserman, D.; Coon, H.M.; Kemmelmeier, M.</w:t>
      </w:r>
      <w:r w:rsidRPr="00D57779">
        <w:rPr>
          <w:sz w:val="22"/>
          <w:szCs w:val="22"/>
          <w:lang w:val="en-US"/>
        </w:rPr>
        <w:t xml:space="preserve"> (2002): Rethinking Individualism and Collectivism. Evaluation of Theoretical Assumptions and Meta-Analysis, Psychological Bulletin, 128(1): 3-72. Shavitt, S.; Torelli, C.J.; Riemer, H. (2011): Horizontal and Vertical Individualism and Collectivism, in: Gelfand, M.J.; Chiu, C.-Y.; Hong Y.-Y. (Eds.), Advances in Culture and Psychology, Vol. 1, 309-350, Oxford: Oxford University Press. Singelis, T.M.; Triandis, H.C.; Bhawuk, D.P.S.; Gelfand, M.J. (1995): Horizontal and Vertical Dimensions of Individualism and Collectivism. A Theoretical and Measurement Refinement, Cross-Cultural Research, 29(3): 240-275. Triandis, H.C. (1988): Collectivism vs. Individualism. A Reconceptualisation of a Basic Concept in Cross-Cultural Psychology, in: Verma, G.; Bagley, C. (Eds.), Cross-Cultural Studies of Personality, Attitudes, and Cognition, 60</w:t>
      </w:r>
      <w:r w:rsidRPr="00D57779">
        <w:rPr>
          <w:sz w:val="22"/>
          <w:szCs w:val="22"/>
          <w:lang w:val="en-US"/>
        </w:rPr>
        <w:noBreakHyphen/>
        <w:t xml:space="preserve">95, London: MacMillan. </w:t>
      </w:r>
      <w:r w:rsidRPr="00D57779">
        <w:rPr>
          <w:iCs/>
          <w:sz w:val="22"/>
          <w:szCs w:val="22"/>
          <w:lang w:val="en-US"/>
        </w:rPr>
        <w:lastRenderedPageBreak/>
        <w:t>Triandis, H.C. (1989)</w:t>
      </w:r>
      <w:r w:rsidRPr="00D57779">
        <w:rPr>
          <w:sz w:val="22"/>
          <w:szCs w:val="22"/>
          <w:lang w:val="en-US"/>
        </w:rPr>
        <w:t>: Cross-Cultural Studies of Individualism and Collectivism, in: Berman, J. (Ed.), Nebraska Sym</w:t>
      </w:r>
      <w:r w:rsidRPr="00D57779">
        <w:rPr>
          <w:sz w:val="22"/>
          <w:szCs w:val="22"/>
          <w:lang w:val="en-US"/>
        </w:rPr>
        <w:softHyphen/>
        <w:t xml:space="preserve">posium on Motivation, 41-133, Lincoln/NB: University of Nebraska Press. Triandis, H.C. (1994): Culture and Social Behavior, New York: McGraw-Hill. Triandis, H.C. (1995): Individualism and Collectivism, Boulder/CO: Westview. Triandis, H.C. (1996): The Psychological Measurement of Cultural Syndromes, American Psychologist, 51(4): 407-415. Triandis, H.C.; Gelfand, M.J. (1998): Converging Measurement of Horizontal and Vertical Individualism and Collectivism, Journal of Personality and Social Psychology, 22(8): 820-828. </w:t>
      </w:r>
    </w:p>
    <w:p w14:paraId="6D210BF5" w14:textId="77777777" w:rsidR="00DC0CC2" w:rsidRPr="00E35FFF" w:rsidRDefault="00DC0CC2" w:rsidP="00155AFC">
      <w:pPr>
        <w:pStyle w:val="StandardText"/>
        <w:rPr>
          <w:lang w:val="en-US"/>
        </w:rPr>
      </w:pPr>
    </w:p>
    <w:p w14:paraId="27D49A43" w14:textId="77777777" w:rsidR="00FF7799" w:rsidRPr="0071457A" w:rsidRDefault="00FF7799" w:rsidP="00D83ABA">
      <w:pPr>
        <w:pStyle w:val="berschrift1"/>
        <w:rPr>
          <w:color w:val="2E74B5"/>
          <w:sz w:val="22"/>
        </w:rPr>
      </w:pPr>
      <w:r w:rsidRPr="0071457A">
        <w:rPr>
          <w:color w:val="2E74B5"/>
          <w:sz w:val="22"/>
        </w:rPr>
        <w:t>Horizontaler vs. vertikaler Individualismus-Kollektivismus</w:t>
      </w:r>
    </w:p>
    <w:p w14:paraId="222EB151" w14:textId="77777777" w:rsidR="00FF7799" w:rsidRPr="00D57779" w:rsidRDefault="00FF7799" w:rsidP="00B84080">
      <w:pPr>
        <w:pStyle w:val="StandardText"/>
      </w:pPr>
      <w:r w:rsidRPr="00D57779">
        <w:t xml:space="preserve">Weiterentwicklung der </w:t>
      </w:r>
      <w:r w:rsidR="007F2875">
        <w:sym w:font="Symbol" w:char="F0DE"/>
      </w:r>
      <w:r w:rsidR="007F2875">
        <w:t xml:space="preserve"> </w:t>
      </w:r>
      <w:r w:rsidRPr="00D57779">
        <w:t>Kulturdimen</w:t>
      </w:r>
      <w:r w:rsidR="00D57779" w:rsidRPr="00D57779">
        <w:t xml:space="preserve">sion </w:t>
      </w:r>
      <w:r w:rsidR="00D57779" w:rsidRPr="00D57779">
        <w:sym w:font="Symbol" w:char="F0DE"/>
      </w:r>
      <w:r w:rsidR="00D57779" w:rsidRPr="00D57779">
        <w:t xml:space="preserve"> </w:t>
      </w:r>
      <w:r w:rsidRPr="00D57779">
        <w:t>Indiv</w:t>
      </w:r>
      <w:r w:rsidR="00D57779" w:rsidRPr="00D57779">
        <w:t>idualismus vs. Kollektivismus (</w:t>
      </w:r>
      <w:r w:rsidR="00D57779" w:rsidRPr="00D57779">
        <w:sym w:font="Symbol" w:char="F0DE"/>
      </w:r>
      <w:r w:rsidR="00D57779">
        <w:t xml:space="preserve"> Kulturdi</w:t>
      </w:r>
      <w:r w:rsidRPr="00D57779">
        <w:t>mensionen nach Hofstede &amp; GLOBE). Zusammen mit wechselnden Co-Autoren beteiligte sich H.C. Triandis intensiv an der Individualismus/Kollektivismus-Debatte (z.B. Triandis/Gelfand 1998; Triandis 1996; Triandis 1989a; Triandis 1988). Da das Hofstede-Modell weitestgehend im Bereich der westlichen und ostasiatisch-konfuzianischen Industrienationen entwickelt wurde und neben anderen Regionen auch die sozialistisch-planwirtschaftlichen Gesellschaften unberücksichtigt blieben, erfasst das von G. Hofstede formulierte Kollektivismus-Konzept die familiär, nicht jedoch eine politisch-gesellschaftlich bedingt Gruppenzugehörigkeit (im Sinne des Kollektivs).</w:t>
      </w:r>
    </w:p>
    <w:p w14:paraId="74553402" w14:textId="77777777" w:rsidR="00FF7799" w:rsidRPr="00D57779" w:rsidRDefault="00FF7799" w:rsidP="00B84080">
      <w:pPr>
        <w:pStyle w:val="StandardText"/>
      </w:pPr>
      <w:r w:rsidRPr="00D57779">
        <w:t>Triandis (1995) schlug deshalb vor, Individualismus-Kollektivismus nicht als ein dichotomes, sondern als ein multidimensionales Konstrukt zu begreifen. Um es umfassend operationalisieren zu können, müssten mehrere Ebenen simultan betrachtet werden: Neben der Struktur der sozialen Schichtung (horizontal vs. vertikal) der Typus des in einer Gesellschaft vorherrschenden Selbstkonzepts: abhängig vs. unabhängig (vgl. Tab. 1).</w:t>
      </w:r>
    </w:p>
    <w:p w14:paraId="03B92ACA" w14:textId="77777777" w:rsidR="00FF7799" w:rsidRPr="00E73F6F" w:rsidRDefault="00FF7799" w:rsidP="00862DBA">
      <w:pPr>
        <w:rPr>
          <w:sz w:val="24"/>
          <w:szCs w:val="24"/>
        </w:rPr>
      </w:pPr>
    </w:p>
    <w:p w14:paraId="71AB36CF" w14:textId="77777777" w:rsidR="00FF7799" w:rsidRPr="007D6CC1" w:rsidRDefault="00FF7799" w:rsidP="00B84080">
      <w:pPr>
        <w:pStyle w:val="BeschriftungTab"/>
        <w:rPr>
          <w:i/>
          <w:iCs/>
        </w:rPr>
      </w:pPr>
      <w:bookmarkStart w:id="27" w:name="_Ref413257058"/>
      <w:r w:rsidRPr="007D6CC1">
        <w:rPr>
          <w:i/>
          <w:iCs/>
        </w:rPr>
        <w:t>Tab</w:t>
      </w:r>
      <w:bookmarkEnd w:id="27"/>
      <w:r w:rsidRPr="007D6CC1">
        <w:rPr>
          <w:i/>
          <w:iCs/>
        </w:rPr>
        <w:t xml:space="preserve">. 1: Struktur des erweiterten Individualismus/Kollektivismus-Konzepts: </w:t>
      </w:r>
      <w:r w:rsidRPr="007D6CC1">
        <w:rPr>
          <w:i/>
          <w:iCs/>
        </w:rPr>
        <w:br/>
        <w:t>Zentraler Wert &amp; prototypische Gesellschaft</w:t>
      </w:r>
    </w:p>
    <w:tbl>
      <w:tblPr>
        <w:tblStyle w:val="Tabellenraster"/>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122"/>
        <w:gridCol w:w="3470"/>
        <w:gridCol w:w="3470"/>
      </w:tblGrid>
      <w:tr w:rsidR="00FF7799" w:rsidRPr="00E73F6F" w14:paraId="55607288" w14:textId="77777777" w:rsidTr="00DC0CC2">
        <w:tc>
          <w:tcPr>
            <w:tcW w:w="2122" w:type="dxa"/>
            <w:shd w:val="clear" w:color="auto" w:fill="FFC000"/>
          </w:tcPr>
          <w:p w14:paraId="5062A294" w14:textId="77777777" w:rsidR="00FF7799" w:rsidRPr="00E73F6F" w:rsidRDefault="00FF7799" w:rsidP="00DC0CC2">
            <w:pPr>
              <w:pStyle w:val="StandardText"/>
              <w:spacing w:after="120"/>
            </w:pPr>
          </w:p>
        </w:tc>
        <w:tc>
          <w:tcPr>
            <w:tcW w:w="3470" w:type="dxa"/>
            <w:shd w:val="clear" w:color="auto" w:fill="FFC000"/>
          </w:tcPr>
          <w:p w14:paraId="7303D982" w14:textId="77777777" w:rsidR="00FF7799" w:rsidRPr="00E73F6F" w:rsidRDefault="00FF7799" w:rsidP="00DC0CC2">
            <w:pPr>
              <w:pStyle w:val="StandardText"/>
              <w:spacing w:after="120"/>
              <w:jc w:val="center"/>
            </w:pPr>
            <w:r w:rsidRPr="00E73F6F">
              <w:rPr>
                <w:b/>
              </w:rPr>
              <w:t>Unabhängiges Selbstkonzept</w:t>
            </w:r>
          </w:p>
        </w:tc>
        <w:tc>
          <w:tcPr>
            <w:tcW w:w="3470" w:type="dxa"/>
            <w:shd w:val="clear" w:color="auto" w:fill="FFC000"/>
          </w:tcPr>
          <w:p w14:paraId="75BC56F2" w14:textId="77777777" w:rsidR="00FF7799" w:rsidRPr="00E73F6F" w:rsidRDefault="00FF7799" w:rsidP="00DC0CC2">
            <w:pPr>
              <w:pStyle w:val="StandardText"/>
              <w:spacing w:after="120"/>
              <w:jc w:val="center"/>
            </w:pPr>
            <w:r w:rsidRPr="00E73F6F">
              <w:rPr>
                <w:b/>
              </w:rPr>
              <w:t>Abhängiges Selbstkonzept</w:t>
            </w:r>
          </w:p>
        </w:tc>
      </w:tr>
      <w:tr w:rsidR="00FF7799" w:rsidRPr="00E73F6F" w14:paraId="6BDBAE61" w14:textId="77777777" w:rsidTr="00DC0CC2">
        <w:tc>
          <w:tcPr>
            <w:tcW w:w="2122" w:type="dxa"/>
            <w:shd w:val="clear" w:color="auto" w:fill="FFF2CC" w:themeFill="accent4" w:themeFillTint="33"/>
          </w:tcPr>
          <w:p w14:paraId="7016A58B" w14:textId="77777777" w:rsidR="00FF7799" w:rsidRPr="00E73F6F" w:rsidRDefault="00FF7799" w:rsidP="00B84080">
            <w:pPr>
              <w:pStyle w:val="StandardText"/>
              <w:jc w:val="left"/>
              <w:rPr>
                <w:b/>
              </w:rPr>
            </w:pPr>
            <w:r w:rsidRPr="00E73F6F">
              <w:rPr>
                <w:b/>
              </w:rPr>
              <w:t>horizontaler</w:t>
            </w:r>
            <w:r w:rsidRPr="00E73F6F">
              <w:rPr>
                <w:b/>
              </w:rPr>
              <w:br/>
              <w:t>Individualismus</w:t>
            </w:r>
          </w:p>
        </w:tc>
        <w:tc>
          <w:tcPr>
            <w:tcW w:w="3470" w:type="dxa"/>
          </w:tcPr>
          <w:p w14:paraId="2FD9B30B" w14:textId="77777777" w:rsidR="00FF7799" w:rsidRPr="00E73F6F" w:rsidRDefault="00FF7799" w:rsidP="00B84080">
            <w:pPr>
              <w:pStyle w:val="StandardText"/>
              <w:jc w:val="left"/>
            </w:pPr>
            <w:r w:rsidRPr="00E73F6F">
              <w:t>Gleichheit der Individualisten (z.B. Schweden, Australien)</w:t>
            </w:r>
          </w:p>
        </w:tc>
        <w:tc>
          <w:tcPr>
            <w:tcW w:w="3470" w:type="dxa"/>
          </w:tcPr>
          <w:p w14:paraId="4DB6760D" w14:textId="77777777" w:rsidR="00FF7799" w:rsidRPr="00E73F6F" w:rsidRDefault="00FF7799" w:rsidP="00B84080">
            <w:pPr>
              <w:pStyle w:val="StandardText"/>
              <w:jc w:val="left"/>
            </w:pPr>
          </w:p>
        </w:tc>
      </w:tr>
      <w:tr w:rsidR="00FF7799" w:rsidRPr="00E73F6F" w14:paraId="6A9BCFF8" w14:textId="77777777" w:rsidTr="00DC0CC2">
        <w:tc>
          <w:tcPr>
            <w:tcW w:w="2122" w:type="dxa"/>
            <w:shd w:val="clear" w:color="auto" w:fill="FFF2CC" w:themeFill="accent4" w:themeFillTint="33"/>
          </w:tcPr>
          <w:p w14:paraId="65BDC163" w14:textId="77777777" w:rsidR="00FF7799" w:rsidRPr="00E73F6F" w:rsidRDefault="00FF7799" w:rsidP="00B84080">
            <w:pPr>
              <w:pStyle w:val="StandardText"/>
              <w:jc w:val="left"/>
              <w:rPr>
                <w:b/>
              </w:rPr>
            </w:pPr>
            <w:r w:rsidRPr="00E73F6F">
              <w:rPr>
                <w:b/>
              </w:rPr>
              <w:t>vertikaler</w:t>
            </w:r>
            <w:r w:rsidRPr="00E73F6F">
              <w:rPr>
                <w:b/>
              </w:rPr>
              <w:br/>
              <w:t>Individualismus</w:t>
            </w:r>
          </w:p>
        </w:tc>
        <w:tc>
          <w:tcPr>
            <w:tcW w:w="3470" w:type="dxa"/>
          </w:tcPr>
          <w:p w14:paraId="3BB0E070" w14:textId="77777777" w:rsidR="00FF7799" w:rsidRPr="00E73F6F" w:rsidRDefault="00FF7799" w:rsidP="00B84080">
            <w:pPr>
              <w:pStyle w:val="StandardText"/>
              <w:jc w:val="left"/>
            </w:pPr>
            <w:r w:rsidRPr="00E73F6F">
              <w:t>Ungleichheit der Individualisten (z.B. Frankreich, USA)</w:t>
            </w:r>
          </w:p>
        </w:tc>
        <w:tc>
          <w:tcPr>
            <w:tcW w:w="3470" w:type="dxa"/>
          </w:tcPr>
          <w:p w14:paraId="0B9EEAA1" w14:textId="77777777" w:rsidR="00FF7799" w:rsidRPr="00E73F6F" w:rsidRDefault="00FF7799" w:rsidP="00B84080">
            <w:pPr>
              <w:pStyle w:val="StandardText"/>
              <w:jc w:val="left"/>
            </w:pPr>
          </w:p>
        </w:tc>
      </w:tr>
      <w:tr w:rsidR="00FF7799" w:rsidRPr="00E73F6F" w14:paraId="2CC3F0B4" w14:textId="77777777" w:rsidTr="00DC0CC2">
        <w:tc>
          <w:tcPr>
            <w:tcW w:w="2122" w:type="dxa"/>
            <w:shd w:val="clear" w:color="auto" w:fill="FFF2CC" w:themeFill="accent4" w:themeFillTint="33"/>
          </w:tcPr>
          <w:p w14:paraId="768640BF" w14:textId="77777777" w:rsidR="00FF7799" w:rsidRPr="00E73F6F" w:rsidRDefault="00FF7799" w:rsidP="00B84080">
            <w:pPr>
              <w:pStyle w:val="StandardText"/>
              <w:jc w:val="left"/>
              <w:rPr>
                <w:b/>
              </w:rPr>
            </w:pPr>
            <w:r w:rsidRPr="00E73F6F">
              <w:rPr>
                <w:b/>
              </w:rPr>
              <w:t xml:space="preserve">horizontaler </w:t>
            </w:r>
            <w:r w:rsidRPr="00E73F6F">
              <w:rPr>
                <w:b/>
              </w:rPr>
              <w:br/>
              <w:t>Kollektivismus</w:t>
            </w:r>
          </w:p>
        </w:tc>
        <w:tc>
          <w:tcPr>
            <w:tcW w:w="3470" w:type="dxa"/>
          </w:tcPr>
          <w:p w14:paraId="176ECF8F" w14:textId="77777777" w:rsidR="00FF7799" w:rsidRPr="00E73F6F" w:rsidRDefault="00FF7799" w:rsidP="00B84080">
            <w:pPr>
              <w:pStyle w:val="StandardText"/>
              <w:jc w:val="left"/>
            </w:pPr>
          </w:p>
        </w:tc>
        <w:tc>
          <w:tcPr>
            <w:tcW w:w="3470" w:type="dxa"/>
          </w:tcPr>
          <w:p w14:paraId="111D5148" w14:textId="77777777" w:rsidR="00FF7799" w:rsidRPr="00E73F6F" w:rsidRDefault="00FF7799" w:rsidP="00B84080">
            <w:pPr>
              <w:pStyle w:val="StandardText"/>
              <w:jc w:val="left"/>
            </w:pPr>
            <w:r w:rsidRPr="00E73F6F">
              <w:t>Gleichheit der Mitglieder der Gemeinschaft (z.B. Ordensgemeinschaft, Kibbuz)</w:t>
            </w:r>
          </w:p>
        </w:tc>
      </w:tr>
      <w:tr w:rsidR="00FF7799" w:rsidRPr="00E73F6F" w14:paraId="6DD7EF95" w14:textId="77777777" w:rsidTr="00DC0CC2">
        <w:tc>
          <w:tcPr>
            <w:tcW w:w="2122" w:type="dxa"/>
            <w:shd w:val="clear" w:color="auto" w:fill="FFF2CC" w:themeFill="accent4" w:themeFillTint="33"/>
          </w:tcPr>
          <w:p w14:paraId="73F5F00C" w14:textId="77777777" w:rsidR="00FF7799" w:rsidRPr="00E73F6F" w:rsidRDefault="00FF7799" w:rsidP="00B84080">
            <w:pPr>
              <w:pStyle w:val="StandardText"/>
              <w:jc w:val="left"/>
              <w:rPr>
                <w:b/>
              </w:rPr>
            </w:pPr>
            <w:r w:rsidRPr="00E73F6F">
              <w:rPr>
                <w:b/>
              </w:rPr>
              <w:t>vertikaler</w:t>
            </w:r>
            <w:r w:rsidRPr="00E73F6F">
              <w:rPr>
                <w:b/>
              </w:rPr>
              <w:br/>
              <w:t>Kollektivismus</w:t>
            </w:r>
          </w:p>
        </w:tc>
        <w:tc>
          <w:tcPr>
            <w:tcW w:w="3470" w:type="dxa"/>
          </w:tcPr>
          <w:p w14:paraId="3D06E137" w14:textId="77777777" w:rsidR="00FF7799" w:rsidRPr="00E73F6F" w:rsidRDefault="00FF7799" w:rsidP="00B84080">
            <w:pPr>
              <w:pStyle w:val="StandardText"/>
              <w:jc w:val="left"/>
            </w:pPr>
          </w:p>
        </w:tc>
        <w:tc>
          <w:tcPr>
            <w:tcW w:w="3470" w:type="dxa"/>
          </w:tcPr>
          <w:p w14:paraId="4BFAC156" w14:textId="77777777" w:rsidR="00FF7799" w:rsidRPr="00E73F6F" w:rsidRDefault="00FF7799" w:rsidP="00B84080">
            <w:pPr>
              <w:pStyle w:val="StandardText"/>
              <w:jc w:val="left"/>
            </w:pPr>
            <w:r w:rsidRPr="00E73F6F">
              <w:t xml:space="preserve">Ungleichheit der Mitglieder der Gemeinschaft (z.B. Indien, </w:t>
            </w:r>
            <w:r w:rsidRPr="00E73F6F">
              <w:br/>
              <w:t>Griechenland)</w:t>
            </w:r>
          </w:p>
        </w:tc>
      </w:tr>
    </w:tbl>
    <w:p w14:paraId="100F2430" w14:textId="77777777" w:rsidR="007A3108" w:rsidRPr="00926A05" w:rsidRDefault="007A3108" w:rsidP="007A3108">
      <w:pPr>
        <w:pStyle w:val="Literatur"/>
        <w:numPr>
          <w:ilvl w:val="0"/>
          <w:numId w:val="0"/>
        </w:numPr>
        <w:spacing w:line="240" w:lineRule="auto"/>
        <w:ind w:left="426"/>
      </w:pPr>
    </w:p>
    <w:p w14:paraId="2FEBFF0F" w14:textId="77777777" w:rsidR="007A3108" w:rsidRPr="007A3108" w:rsidRDefault="007A3108" w:rsidP="007A3108">
      <w:pPr>
        <w:pStyle w:val="Literatur"/>
        <w:numPr>
          <w:ilvl w:val="0"/>
          <w:numId w:val="0"/>
        </w:numPr>
        <w:spacing w:line="240" w:lineRule="auto"/>
        <w:rPr>
          <w:sz w:val="22"/>
          <w:szCs w:val="22"/>
          <w:lang w:val="en-GB"/>
        </w:rPr>
      </w:pPr>
      <w:r w:rsidRPr="007A3108">
        <w:rPr>
          <w:b/>
          <w:i/>
          <w:sz w:val="22"/>
          <w:szCs w:val="22"/>
          <w:lang w:val="en-US"/>
        </w:rPr>
        <w:t>Literatur:</w:t>
      </w:r>
      <w:r w:rsidRPr="007A3108">
        <w:rPr>
          <w:sz w:val="22"/>
          <w:szCs w:val="22"/>
          <w:lang w:val="en-US"/>
        </w:rPr>
        <w:t xml:space="preserve"> </w:t>
      </w:r>
      <w:r w:rsidRPr="007A3108">
        <w:rPr>
          <w:sz w:val="22"/>
          <w:szCs w:val="22"/>
          <w:lang w:val="en-GB"/>
        </w:rPr>
        <w:t>Triandis, H.C. (1988): Collectivism vs. Individualism. A Reconceptualisation of a Basic Concept in Cross-Cultural Psychology, in: Verma, G.; Bagley, C. (Eds.), Cross-Cultural Studies of Personality, Attitudes, and Cognition, 60</w:t>
      </w:r>
      <w:r w:rsidRPr="007A3108">
        <w:rPr>
          <w:sz w:val="22"/>
          <w:szCs w:val="22"/>
          <w:lang w:val="en-US"/>
        </w:rPr>
        <w:noBreakHyphen/>
      </w:r>
      <w:r w:rsidRPr="007A3108">
        <w:rPr>
          <w:sz w:val="22"/>
          <w:szCs w:val="22"/>
          <w:lang w:val="en-GB"/>
        </w:rPr>
        <w:t xml:space="preserve">95, London: </w:t>
      </w:r>
      <w:r w:rsidRPr="007A3108">
        <w:rPr>
          <w:sz w:val="22"/>
          <w:szCs w:val="22"/>
          <w:lang w:val="en-US"/>
        </w:rPr>
        <w:t>MacMillan</w:t>
      </w:r>
      <w:r w:rsidRPr="007A3108">
        <w:rPr>
          <w:sz w:val="22"/>
          <w:szCs w:val="22"/>
          <w:lang w:val="en-GB"/>
        </w:rPr>
        <w:t>.</w:t>
      </w:r>
      <w:r w:rsidRPr="007A3108">
        <w:rPr>
          <w:iCs/>
          <w:sz w:val="22"/>
          <w:szCs w:val="22"/>
          <w:lang w:val="en-GB"/>
        </w:rPr>
        <w:t xml:space="preserve"> </w:t>
      </w:r>
      <w:r>
        <w:rPr>
          <w:iCs/>
          <w:sz w:val="22"/>
          <w:szCs w:val="22"/>
          <w:lang w:val="en-GB"/>
        </w:rPr>
        <w:t xml:space="preserve"> </w:t>
      </w:r>
      <w:r w:rsidRPr="007A3108">
        <w:rPr>
          <w:iCs/>
          <w:sz w:val="22"/>
          <w:szCs w:val="22"/>
          <w:lang w:val="en-GB"/>
        </w:rPr>
        <w:t>Triandis, H.C. (1989a)</w:t>
      </w:r>
      <w:r w:rsidRPr="007A3108">
        <w:rPr>
          <w:sz w:val="22"/>
          <w:szCs w:val="22"/>
          <w:lang w:val="en-GB"/>
        </w:rPr>
        <w:t>: Cross-Cultural Studies of Individualism and Collectivism, in: Berman, J. (Ed.), Nebraska Sym</w:t>
      </w:r>
      <w:r w:rsidRPr="007A3108">
        <w:rPr>
          <w:sz w:val="22"/>
          <w:szCs w:val="22"/>
          <w:lang w:val="en-GB"/>
        </w:rPr>
        <w:softHyphen/>
        <w:t xml:space="preserve">posium on Motivation, 41-133, Lincoln/NB: University of Nebraska Press.    Triandis, H.C. (1995): Individualism and Collectivism, Boulder/CO: Westview.   </w:t>
      </w:r>
      <w:r w:rsidR="004C5248">
        <w:rPr>
          <w:sz w:val="22"/>
          <w:szCs w:val="22"/>
          <w:lang w:val="en-GB"/>
        </w:rPr>
        <w:t xml:space="preserve"> </w:t>
      </w:r>
      <w:r w:rsidRPr="007A3108">
        <w:rPr>
          <w:sz w:val="22"/>
          <w:szCs w:val="22"/>
          <w:lang w:val="en-US"/>
        </w:rPr>
        <w:t xml:space="preserve">Triandis, H.C. (1996): The Psychological Measurement of Cultural Syndromes, American Psychologist, 51(4): 407-415. </w:t>
      </w:r>
      <w:r w:rsidR="004C5248">
        <w:rPr>
          <w:sz w:val="22"/>
          <w:szCs w:val="22"/>
          <w:lang w:val="en-US"/>
        </w:rPr>
        <w:t xml:space="preserve"> </w:t>
      </w:r>
      <w:r w:rsidRPr="007A3108">
        <w:rPr>
          <w:sz w:val="22"/>
          <w:szCs w:val="22"/>
          <w:lang w:val="en-US"/>
        </w:rPr>
        <w:t xml:space="preserve"> Triandis, H.C.; Gelfand, M.J. (1998): Converging </w:t>
      </w:r>
      <w:r w:rsidRPr="007A3108">
        <w:rPr>
          <w:sz w:val="22"/>
          <w:szCs w:val="22"/>
          <w:lang w:val="en-US"/>
        </w:rPr>
        <w:lastRenderedPageBreak/>
        <w:t>Measurement of Horizontal and Vertical Individualism and Collectivism, Journal of Personality and Social Psychology, 22(8): 820-828.</w:t>
      </w:r>
    </w:p>
    <w:p w14:paraId="0BA4B014" w14:textId="77777777" w:rsidR="00FF7799" w:rsidRPr="00E35FFF" w:rsidRDefault="00FF7799" w:rsidP="00D83ABA">
      <w:pPr>
        <w:pStyle w:val="berschrift1"/>
        <w:rPr>
          <w:lang w:val="en-US"/>
        </w:rPr>
      </w:pPr>
      <w:r w:rsidRPr="0071457A">
        <w:rPr>
          <w:color w:val="2E74B5"/>
          <w:sz w:val="22"/>
        </w:rPr>
        <w:t>Hot Money</w:t>
      </w:r>
      <w:r w:rsidRPr="00E35FFF">
        <w:rPr>
          <w:lang w:val="en-US"/>
        </w:rPr>
        <w:t xml:space="preserve"> </w:t>
      </w:r>
      <w:r w:rsidRPr="00E35FFF">
        <w:rPr>
          <w:b w:val="0"/>
          <w:lang w:val="en-US"/>
        </w:rPr>
        <w:t>→ Fluchtkapital</w:t>
      </w:r>
    </w:p>
    <w:p w14:paraId="4803A9A2" w14:textId="77777777" w:rsidR="00FF7799" w:rsidRPr="0071457A" w:rsidRDefault="00FF7799" w:rsidP="00D83ABA">
      <w:pPr>
        <w:pStyle w:val="berschrift1"/>
        <w:rPr>
          <w:color w:val="2E74B5"/>
          <w:sz w:val="22"/>
        </w:rPr>
      </w:pPr>
      <w:r w:rsidRPr="0071457A">
        <w:rPr>
          <w:color w:val="2E74B5"/>
          <w:sz w:val="22"/>
        </w:rPr>
        <w:t>Human Development Index</w:t>
      </w:r>
    </w:p>
    <w:p w14:paraId="4F8F98CC" w14:textId="77777777" w:rsidR="00FF7799" w:rsidRPr="004C5248" w:rsidRDefault="00FF7799" w:rsidP="00155AFC">
      <w:pPr>
        <w:pStyle w:val="StandardText"/>
      </w:pPr>
      <w:r w:rsidRPr="004C5248">
        <w:t>ein</w:t>
      </w:r>
      <w:r w:rsidRPr="004C5248">
        <w:rPr>
          <w:spacing w:val="-12"/>
        </w:rPr>
        <w:t xml:space="preserve"> </w:t>
      </w:r>
      <w:r w:rsidRPr="004C5248">
        <w:t>vom</w:t>
      </w:r>
      <w:r w:rsidRPr="004C5248">
        <w:rPr>
          <w:spacing w:val="-11"/>
        </w:rPr>
        <w:t xml:space="preserve"> </w:t>
      </w:r>
      <w:r w:rsidRPr="004C5248">
        <w:t>Weltentwicklungsprogramm</w:t>
      </w:r>
      <w:r w:rsidRPr="004C5248">
        <w:rPr>
          <w:spacing w:val="-11"/>
        </w:rPr>
        <w:t xml:space="preserve"> </w:t>
      </w:r>
      <w:r w:rsidRPr="004C5248">
        <w:t>(UNDP)</w:t>
      </w:r>
      <w:r w:rsidRPr="004C5248">
        <w:rPr>
          <w:spacing w:val="-11"/>
        </w:rPr>
        <w:t xml:space="preserve"> </w:t>
      </w:r>
      <w:r w:rsidRPr="004C5248">
        <w:t>der</w:t>
      </w:r>
      <w:r w:rsidRPr="004C5248">
        <w:rPr>
          <w:spacing w:val="-12"/>
        </w:rPr>
        <w:t xml:space="preserve"> </w:t>
      </w:r>
      <w:r w:rsidRPr="004C5248">
        <w:t>Vereinten</w:t>
      </w:r>
      <w:r w:rsidRPr="004C5248">
        <w:rPr>
          <w:spacing w:val="-11"/>
        </w:rPr>
        <w:t xml:space="preserve"> </w:t>
      </w:r>
      <w:r w:rsidRPr="004C5248">
        <w:t>Nationen</w:t>
      </w:r>
      <w:r w:rsidRPr="004C5248">
        <w:rPr>
          <w:spacing w:val="-11"/>
        </w:rPr>
        <w:t xml:space="preserve"> </w:t>
      </w:r>
      <w:r w:rsidRPr="004C5248">
        <w:t>entwickelter und seit 1999 jährlich im „Bericht über die menschliche Entwicklung“ (Human Development Report) veröffentlichter Index für die wirtschaftlich-soziale Entwicklung</w:t>
      </w:r>
      <w:r w:rsidRPr="004C5248">
        <w:rPr>
          <w:spacing w:val="-7"/>
        </w:rPr>
        <w:t xml:space="preserve"> </w:t>
      </w:r>
      <w:r w:rsidRPr="004C5248">
        <w:t>einer</w:t>
      </w:r>
      <w:r w:rsidRPr="004C5248">
        <w:rPr>
          <w:spacing w:val="-8"/>
        </w:rPr>
        <w:t xml:space="preserve"> </w:t>
      </w:r>
      <w:r w:rsidRPr="004C5248">
        <w:t>Volkswirtschaft.</w:t>
      </w:r>
      <w:r w:rsidRPr="004C5248">
        <w:rPr>
          <w:spacing w:val="-7"/>
        </w:rPr>
        <w:t xml:space="preserve"> </w:t>
      </w:r>
      <w:r w:rsidRPr="004C5248">
        <w:t>Der</w:t>
      </w:r>
      <w:r w:rsidRPr="004C5248">
        <w:rPr>
          <w:spacing w:val="-7"/>
        </w:rPr>
        <w:t xml:space="preserve"> </w:t>
      </w:r>
      <w:r w:rsidRPr="004C5248">
        <w:t>HDI,</w:t>
      </w:r>
      <w:r w:rsidRPr="004C5248">
        <w:rPr>
          <w:spacing w:val="-7"/>
        </w:rPr>
        <w:t xml:space="preserve"> </w:t>
      </w:r>
      <w:r w:rsidRPr="004C5248">
        <w:t>der</w:t>
      </w:r>
      <w:r w:rsidRPr="004C5248">
        <w:rPr>
          <w:spacing w:val="-7"/>
        </w:rPr>
        <w:t xml:space="preserve"> </w:t>
      </w:r>
      <w:r w:rsidRPr="004C5248">
        <w:t>zwischen</w:t>
      </w:r>
      <w:r w:rsidRPr="004C5248">
        <w:rPr>
          <w:spacing w:val="-7"/>
        </w:rPr>
        <w:t xml:space="preserve"> </w:t>
      </w:r>
      <w:r w:rsidRPr="004C5248">
        <w:t>Null</w:t>
      </w:r>
      <w:r w:rsidRPr="004C5248">
        <w:rPr>
          <w:spacing w:val="-7"/>
        </w:rPr>
        <w:t xml:space="preserve"> </w:t>
      </w:r>
      <w:r w:rsidRPr="004C5248">
        <w:t>und</w:t>
      </w:r>
      <w:r w:rsidRPr="004C5248">
        <w:rPr>
          <w:spacing w:val="-7"/>
        </w:rPr>
        <w:t xml:space="preserve"> </w:t>
      </w:r>
      <w:r w:rsidRPr="004C5248">
        <w:t>Eins</w:t>
      </w:r>
      <w:r w:rsidRPr="004C5248">
        <w:rPr>
          <w:spacing w:val="-6"/>
        </w:rPr>
        <w:t xml:space="preserve"> </w:t>
      </w:r>
      <w:r w:rsidRPr="004C5248">
        <w:t>variiert, basiert auf drei Indikatoren:</w:t>
      </w:r>
    </w:p>
    <w:p w14:paraId="52E5A7FE" w14:textId="77777777" w:rsidR="00FF7799" w:rsidRPr="004C5248" w:rsidRDefault="00FF7799" w:rsidP="0071457A">
      <w:pPr>
        <w:pStyle w:val="StandardTextAufzhlung"/>
        <w:ind w:left="426"/>
      </w:pPr>
      <w:r w:rsidRPr="004C5248">
        <w:t>Lebensdauer</w:t>
      </w:r>
      <w:r w:rsidRPr="004C5248">
        <w:rPr>
          <w:spacing w:val="-2"/>
        </w:rPr>
        <w:t xml:space="preserve"> </w:t>
      </w:r>
      <w:r w:rsidRPr="004C5248">
        <w:t>(Lebenserwartung</w:t>
      </w:r>
      <w:r w:rsidRPr="004C5248">
        <w:rPr>
          <w:spacing w:val="-2"/>
        </w:rPr>
        <w:t xml:space="preserve"> </w:t>
      </w:r>
      <w:r w:rsidRPr="004C5248">
        <w:t>bei</w:t>
      </w:r>
      <w:r w:rsidRPr="004C5248">
        <w:rPr>
          <w:spacing w:val="-2"/>
        </w:rPr>
        <w:t xml:space="preserve"> </w:t>
      </w:r>
      <w:r w:rsidRPr="004C5248">
        <w:t>der</w:t>
      </w:r>
      <w:r w:rsidRPr="004C5248">
        <w:rPr>
          <w:spacing w:val="-2"/>
        </w:rPr>
        <w:t xml:space="preserve"> Geburt)</w:t>
      </w:r>
    </w:p>
    <w:p w14:paraId="4F6AABF7" w14:textId="77777777" w:rsidR="00FF7799" w:rsidRPr="004C5248" w:rsidRDefault="00FF7799" w:rsidP="0071457A">
      <w:pPr>
        <w:pStyle w:val="StandardTextAufzhlung"/>
        <w:ind w:left="426"/>
      </w:pPr>
      <w:r w:rsidRPr="004C5248">
        <w:t>Bildungsniveau</w:t>
      </w:r>
      <w:r w:rsidRPr="004C5248">
        <w:rPr>
          <w:spacing w:val="-12"/>
        </w:rPr>
        <w:t xml:space="preserve"> </w:t>
      </w:r>
      <w:r w:rsidRPr="004C5248">
        <w:t>(Zahl</w:t>
      </w:r>
      <w:r w:rsidRPr="004C5248">
        <w:rPr>
          <w:spacing w:val="-11"/>
        </w:rPr>
        <w:t xml:space="preserve"> </w:t>
      </w:r>
      <w:r w:rsidRPr="004C5248">
        <w:t>der</w:t>
      </w:r>
      <w:r w:rsidRPr="004C5248">
        <w:rPr>
          <w:spacing w:val="-11"/>
        </w:rPr>
        <w:t xml:space="preserve"> </w:t>
      </w:r>
      <w:r w:rsidRPr="004C5248">
        <w:t>Analphabeten</w:t>
      </w:r>
      <w:r w:rsidRPr="004C5248">
        <w:rPr>
          <w:spacing w:val="-11"/>
        </w:rPr>
        <w:t xml:space="preserve"> </w:t>
      </w:r>
      <w:r w:rsidRPr="004C5248">
        <w:t>unter</w:t>
      </w:r>
      <w:r w:rsidRPr="004C5248">
        <w:rPr>
          <w:spacing w:val="-12"/>
        </w:rPr>
        <w:t xml:space="preserve"> </w:t>
      </w:r>
      <w:r w:rsidRPr="004C5248">
        <w:t>der</w:t>
      </w:r>
      <w:r w:rsidRPr="004C5248">
        <w:rPr>
          <w:spacing w:val="-11"/>
        </w:rPr>
        <w:t xml:space="preserve"> </w:t>
      </w:r>
      <w:r w:rsidRPr="004C5248">
        <w:t>erwachsenen</w:t>
      </w:r>
      <w:r w:rsidRPr="004C5248">
        <w:rPr>
          <w:spacing w:val="-11"/>
        </w:rPr>
        <w:t xml:space="preserve"> </w:t>
      </w:r>
      <w:r w:rsidRPr="004C5248">
        <w:t xml:space="preserve">Bevölkerung sowie Rate der Einschulungen auf primärer, sekundärer und tertiärer </w:t>
      </w:r>
      <w:r w:rsidRPr="004C5248">
        <w:rPr>
          <w:spacing w:val="-2"/>
        </w:rPr>
        <w:t>Bildungsstufe)</w:t>
      </w:r>
    </w:p>
    <w:p w14:paraId="4A5403C3" w14:textId="77777777" w:rsidR="00FF7799" w:rsidRPr="004C5248" w:rsidRDefault="00FF7799" w:rsidP="0071457A">
      <w:pPr>
        <w:pStyle w:val="StandardTextAufzhlung"/>
        <w:ind w:left="426"/>
      </w:pPr>
      <w:r w:rsidRPr="004C5248">
        <w:t>Lebensstandard</w:t>
      </w:r>
      <w:r w:rsidRPr="004C5248">
        <w:rPr>
          <w:spacing w:val="67"/>
        </w:rPr>
        <w:t xml:space="preserve"> </w:t>
      </w:r>
      <w:r w:rsidRPr="004C5248">
        <w:t>(Pro-Kopf-Einkommen</w:t>
      </w:r>
      <w:r w:rsidRPr="004C5248">
        <w:rPr>
          <w:spacing w:val="69"/>
        </w:rPr>
        <w:t xml:space="preserve"> </w:t>
      </w:r>
      <w:r w:rsidRPr="004C5248">
        <w:t>in</w:t>
      </w:r>
      <w:r w:rsidRPr="004C5248">
        <w:rPr>
          <w:spacing w:val="69"/>
        </w:rPr>
        <w:t xml:space="preserve"> </w:t>
      </w:r>
      <w:r w:rsidRPr="004C5248">
        <w:t>realer</w:t>
      </w:r>
      <w:r w:rsidRPr="004C5248">
        <w:rPr>
          <w:spacing w:val="67"/>
        </w:rPr>
        <w:t xml:space="preserve"> </w:t>
      </w:r>
      <w:r w:rsidRPr="004C5248">
        <w:t>Kaufkraft,</w:t>
      </w:r>
      <w:r w:rsidRPr="004C5248">
        <w:rPr>
          <w:spacing w:val="66"/>
        </w:rPr>
        <w:t xml:space="preserve"> </w:t>
      </w:r>
      <w:r w:rsidRPr="004C5248">
        <w:t>wobei</w:t>
      </w:r>
      <w:r w:rsidRPr="004C5248">
        <w:rPr>
          <w:spacing w:val="66"/>
        </w:rPr>
        <w:t xml:space="preserve"> </w:t>
      </w:r>
      <w:r w:rsidRPr="004C5248">
        <w:rPr>
          <w:spacing w:val="-5"/>
        </w:rPr>
        <w:t>das</w:t>
      </w:r>
    </w:p>
    <w:p w14:paraId="1421324C" w14:textId="77777777" w:rsidR="00FF7799" w:rsidRPr="004C5248" w:rsidRDefault="00FF7799" w:rsidP="0071457A">
      <w:pPr>
        <w:pStyle w:val="StandardTextAufzhlung"/>
        <w:ind w:left="426"/>
      </w:pPr>
      <w:r w:rsidRPr="004C5248">
        <w:t>Einkommen oberhalb eines als angemessen betrachteten Grenzwertes in abnehmendem Maße berücksichtigt wird).</w:t>
      </w:r>
    </w:p>
    <w:p w14:paraId="58935B02" w14:textId="77777777" w:rsidR="00FF7799" w:rsidRPr="007D6CC1" w:rsidRDefault="00FF7799" w:rsidP="00155AFC">
      <w:pPr>
        <w:pStyle w:val="BeschriftungTab"/>
        <w:rPr>
          <w:i/>
          <w:iCs/>
        </w:rPr>
      </w:pPr>
    </w:p>
    <w:p w14:paraId="28174DEB" w14:textId="77777777" w:rsidR="00FF7799" w:rsidRPr="007D6CC1" w:rsidRDefault="00FF7799" w:rsidP="00155AFC">
      <w:pPr>
        <w:pStyle w:val="BeschriftungTab"/>
        <w:rPr>
          <w:i/>
          <w:iCs/>
        </w:rPr>
      </w:pPr>
      <w:r w:rsidRPr="007D6CC1">
        <w:rPr>
          <w:i/>
          <w:iCs/>
        </w:rPr>
        <w:t>Tab. 1: Human</w:t>
      </w:r>
      <w:r w:rsidRPr="007D6CC1">
        <w:rPr>
          <w:i/>
          <w:iCs/>
          <w:spacing w:val="-2"/>
        </w:rPr>
        <w:t xml:space="preserve"> </w:t>
      </w:r>
      <w:r w:rsidRPr="007D6CC1">
        <w:rPr>
          <w:i/>
          <w:iCs/>
        </w:rPr>
        <w:t>Development</w:t>
      </w:r>
      <w:r w:rsidRPr="007D6CC1">
        <w:rPr>
          <w:i/>
          <w:iCs/>
          <w:spacing w:val="-2"/>
        </w:rPr>
        <w:t xml:space="preserve"> </w:t>
      </w:r>
      <w:r w:rsidRPr="007D6CC1">
        <w:rPr>
          <w:i/>
          <w:iCs/>
        </w:rPr>
        <w:t>Index</w:t>
      </w:r>
      <w:r w:rsidRPr="007D6CC1">
        <w:rPr>
          <w:i/>
          <w:iCs/>
          <w:spacing w:val="-3"/>
        </w:rPr>
        <w:t xml:space="preserve"> </w:t>
      </w:r>
      <w:r w:rsidRPr="007D6CC1">
        <w:rPr>
          <w:i/>
          <w:iCs/>
        </w:rPr>
        <w:t>ausgewählter</w:t>
      </w:r>
      <w:r w:rsidRPr="007D6CC1">
        <w:rPr>
          <w:i/>
          <w:iCs/>
          <w:spacing w:val="-3"/>
        </w:rPr>
        <w:t xml:space="preserve"> </w:t>
      </w:r>
      <w:r w:rsidRPr="007D6CC1">
        <w:rPr>
          <w:i/>
          <w:iCs/>
        </w:rPr>
        <w:t xml:space="preserve">Länder </w:t>
      </w:r>
      <w:r w:rsidRPr="007D6CC1">
        <w:rPr>
          <w:i/>
          <w:iCs/>
          <w:spacing w:val="-2"/>
        </w:rPr>
        <w:t>(2019)</w:t>
      </w:r>
    </w:p>
    <w:tbl>
      <w:tblPr>
        <w:tblStyle w:val="TableNormal"/>
        <w:tblW w:w="5000" w:type="pct"/>
        <w:tblBorders>
          <w:top w:val="single" w:sz="4" w:space="0" w:color="auto"/>
          <w:bottom w:val="single" w:sz="4" w:space="0" w:color="auto"/>
          <w:insideH w:val="single" w:sz="4" w:space="0" w:color="auto"/>
        </w:tblBorders>
        <w:tblLook w:val="01E0" w:firstRow="1" w:lastRow="1" w:firstColumn="1" w:lastColumn="1" w:noHBand="0" w:noVBand="0"/>
      </w:tblPr>
      <w:tblGrid>
        <w:gridCol w:w="782"/>
        <w:gridCol w:w="2027"/>
        <w:gridCol w:w="1635"/>
        <w:gridCol w:w="894"/>
        <w:gridCol w:w="2566"/>
        <w:gridCol w:w="1168"/>
      </w:tblGrid>
      <w:tr w:rsidR="00FF7799" w:rsidRPr="00E73F6F" w14:paraId="19C5D950" w14:textId="77777777" w:rsidTr="00155AFC">
        <w:trPr>
          <w:trHeight w:val="246"/>
        </w:trPr>
        <w:tc>
          <w:tcPr>
            <w:tcW w:w="431" w:type="pct"/>
          </w:tcPr>
          <w:p w14:paraId="21150352" w14:textId="77777777" w:rsidR="00FF7799" w:rsidRPr="00E73F6F" w:rsidRDefault="00FF7799" w:rsidP="00155AFC">
            <w:pPr>
              <w:pStyle w:val="StandardText"/>
              <w:rPr>
                <w:lang w:val="de-DE"/>
              </w:rPr>
            </w:pPr>
            <w:r w:rsidRPr="00E73F6F">
              <w:rPr>
                <w:lang w:val="de-DE"/>
              </w:rPr>
              <w:t>1</w:t>
            </w:r>
          </w:p>
        </w:tc>
        <w:tc>
          <w:tcPr>
            <w:tcW w:w="1117" w:type="pct"/>
          </w:tcPr>
          <w:p w14:paraId="3E2D1730" w14:textId="77777777" w:rsidR="00FF7799" w:rsidRPr="00E73F6F" w:rsidRDefault="00FF7799" w:rsidP="00155AFC">
            <w:pPr>
              <w:pStyle w:val="StandardText"/>
              <w:rPr>
                <w:lang w:val="de-DE"/>
              </w:rPr>
            </w:pPr>
            <w:r w:rsidRPr="00E73F6F">
              <w:rPr>
                <w:spacing w:val="-2"/>
                <w:lang w:val="de-DE"/>
              </w:rPr>
              <w:t>Norwegen</w:t>
            </w:r>
          </w:p>
        </w:tc>
        <w:tc>
          <w:tcPr>
            <w:tcW w:w="901" w:type="pct"/>
          </w:tcPr>
          <w:p w14:paraId="62DF6154" w14:textId="77777777" w:rsidR="00FF7799" w:rsidRPr="00E73F6F" w:rsidRDefault="00FF7799" w:rsidP="00155AFC">
            <w:pPr>
              <w:pStyle w:val="StandardText"/>
              <w:rPr>
                <w:lang w:val="de-DE"/>
              </w:rPr>
            </w:pPr>
            <w:r w:rsidRPr="00E73F6F">
              <w:rPr>
                <w:spacing w:val="-2"/>
                <w:lang w:val="de-DE"/>
              </w:rPr>
              <w:t>0.954</w:t>
            </w:r>
          </w:p>
        </w:tc>
        <w:tc>
          <w:tcPr>
            <w:tcW w:w="493" w:type="pct"/>
          </w:tcPr>
          <w:p w14:paraId="2EA5CC00" w14:textId="77777777" w:rsidR="00FF7799" w:rsidRPr="00E73F6F" w:rsidRDefault="00FF7799" w:rsidP="00155AFC">
            <w:pPr>
              <w:pStyle w:val="StandardText"/>
              <w:rPr>
                <w:lang w:val="de-DE"/>
              </w:rPr>
            </w:pPr>
            <w:r w:rsidRPr="00E73F6F">
              <w:rPr>
                <w:spacing w:val="-5"/>
                <w:lang w:val="de-DE"/>
              </w:rPr>
              <w:t>180</w:t>
            </w:r>
          </w:p>
        </w:tc>
        <w:tc>
          <w:tcPr>
            <w:tcW w:w="1414" w:type="pct"/>
          </w:tcPr>
          <w:p w14:paraId="298FF8D6" w14:textId="77777777" w:rsidR="00FF7799" w:rsidRPr="00E73F6F" w:rsidRDefault="00FF7799" w:rsidP="00155AFC">
            <w:pPr>
              <w:pStyle w:val="StandardText"/>
              <w:rPr>
                <w:lang w:val="de-DE"/>
              </w:rPr>
            </w:pPr>
            <w:r w:rsidRPr="00E73F6F">
              <w:rPr>
                <w:spacing w:val="-2"/>
                <w:lang w:val="de-DE"/>
              </w:rPr>
              <w:t>Mozambique</w:t>
            </w:r>
          </w:p>
        </w:tc>
        <w:tc>
          <w:tcPr>
            <w:tcW w:w="644" w:type="pct"/>
          </w:tcPr>
          <w:p w14:paraId="134A059B" w14:textId="77777777" w:rsidR="00FF7799" w:rsidRPr="00E73F6F" w:rsidRDefault="00FF7799" w:rsidP="00155AFC">
            <w:pPr>
              <w:pStyle w:val="StandardText"/>
              <w:rPr>
                <w:lang w:val="de-DE"/>
              </w:rPr>
            </w:pPr>
            <w:r w:rsidRPr="00E73F6F">
              <w:rPr>
                <w:spacing w:val="-2"/>
                <w:lang w:val="de-DE"/>
              </w:rPr>
              <w:t>0.446</w:t>
            </w:r>
          </w:p>
        </w:tc>
      </w:tr>
      <w:tr w:rsidR="00FF7799" w:rsidRPr="00E73F6F" w14:paraId="5E35F9AC" w14:textId="77777777" w:rsidTr="00155AFC">
        <w:trPr>
          <w:trHeight w:val="246"/>
        </w:trPr>
        <w:tc>
          <w:tcPr>
            <w:tcW w:w="431" w:type="pct"/>
          </w:tcPr>
          <w:p w14:paraId="562E88E9" w14:textId="77777777" w:rsidR="00FF7799" w:rsidRPr="00E73F6F" w:rsidRDefault="00FF7799" w:rsidP="00155AFC">
            <w:pPr>
              <w:pStyle w:val="StandardText"/>
              <w:rPr>
                <w:lang w:val="de-DE"/>
              </w:rPr>
            </w:pPr>
            <w:r w:rsidRPr="00E73F6F">
              <w:rPr>
                <w:lang w:val="de-DE"/>
              </w:rPr>
              <w:t>2</w:t>
            </w:r>
          </w:p>
        </w:tc>
        <w:tc>
          <w:tcPr>
            <w:tcW w:w="1117" w:type="pct"/>
          </w:tcPr>
          <w:p w14:paraId="52472AFC" w14:textId="77777777" w:rsidR="00FF7799" w:rsidRPr="00E73F6F" w:rsidRDefault="00FF7799" w:rsidP="00155AFC">
            <w:pPr>
              <w:pStyle w:val="StandardText"/>
              <w:rPr>
                <w:lang w:val="de-DE"/>
              </w:rPr>
            </w:pPr>
            <w:r w:rsidRPr="00E73F6F">
              <w:rPr>
                <w:spacing w:val="-2"/>
                <w:lang w:val="de-DE"/>
              </w:rPr>
              <w:t>Schweiz</w:t>
            </w:r>
          </w:p>
        </w:tc>
        <w:tc>
          <w:tcPr>
            <w:tcW w:w="901" w:type="pct"/>
          </w:tcPr>
          <w:p w14:paraId="0F48E54F" w14:textId="77777777" w:rsidR="00FF7799" w:rsidRPr="00E73F6F" w:rsidRDefault="00FF7799" w:rsidP="00155AFC">
            <w:pPr>
              <w:pStyle w:val="StandardText"/>
              <w:rPr>
                <w:lang w:val="de-DE"/>
              </w:rPr>
            </w:pPr>
            <w:r w:rsidRPr="00E73F6F">
              <w:rPr>
                <w:spacing w:val="-2"/>
                <w:lang w:val="de-DE"/>
              </w:rPr>
              <w:t>0.946</w:t>
            </w:r>
          </w:p>
        </w:tc>
        <w:tc>
          <w:tcPr>
            <w:tcW w:w="493" w:type="pct"/>
          </w:tcPr>
          <w:p w14:paraId="7A91C06B" w14:textId="77777777" w:rsidR="00FF7799" w:rsidRPr="00E73F6F" w:rsidRDefault="00FF7799" w:rsidP="00155AFC">
            <w:pPr>
              <w:pStyle w:val="StandardText"/>
              <w:rPr>
                <w:lang w:val="de-DE"/>
              </w:rPr>
            </w:pPr>
            <w:r w:rsidRPr="00E73F6F">
              <w:rPr>
                <w:spacing w:val="-5"/>
                <w:lang w:val="de-DE"/>
              </w:rPr>
              <w:t>181</w:t>
            </w:r>
          </w:p>
        </w:tc>
        <w:tc>
          <w:tcPr>
            <w:tcW w:w="1414" w:type="pct"/>
          </w:tcPr>
          <w:p w14:paraId="448FB5F7" w14:textId="77777777" w:rsidR="00FF7799" w:rsidRPr="00E73F6F" w:rsidRDefault="00FF7799" w:rsidP="00155AFC">
            <w:pPr>
              <w:pStyle w:val="StandardText"/>
              <w:rPr>
                <w:lang w:val="de-DE"/>
              </w:rPr>
            </w:pPr>
            <w:r w:rsidRPr="00E73F6F">
              <w:rPr>
                <w:lang w:val="de-DE"/>
              </w:rPr>
              <w:t>Sierra</w:t>
            </w:r>
            <w:r w:rsidRPr="00E73F6F">
              <w:rPr>
                <w:spacing w:val="-4"/>
                <w:lang w:val="de-DE"/>
              </w:rPr>
              <w:t xml:space="preserve"> </w:t>
            </w:r>
            <w:r w:rsidRPr="00E73F6F">
              <w:rPr>
                <w:spacing w:val="-2"/>
                <w:lang w:val="de-DE"/>
              </w:rPr>
              <w:t>Leone</w:t>
            </w:r>
          </w:p>
        </w:tc>
        <w:tc>
          <w:tcPr>
            <w:tcW w:w="644" w:type="pct"/>
          </w:tcPr>
          <w:p w14:paraId="5844B08D" w14:textId="77777777" w:rsidR="00FF7799" w:rsidRPr="00E73F6F" w:rsidRDefault="00FF7799" w:rsidP="00155AFC">
            <w:pPr>
              <w:pStyle w:val="StandardText"/>
              <w:rPr>
                <w:lang w:val="de-DE"/>
              </w:rPr>
            </w:pPr>
            <w:r w:rsidRPr="00E73F6F">
              <w:rPr>
                <w:spacing w:val="-2"/>
                <w:lang w:val="de-DE"/>
              </w:rPr>
              <w:t>0.438</w:t>
            </w:r>
          </w:p>
        </w:tc>
      </w:tr>
      <w:tr w:rsidR="00FF7799" w:rsidRPr="00E73F6F" w14:paraId="7CD71DB8" w14:textId="77777777" w:rsidTr="00155AFC">
        <w:trPr>
          <w:trHeight w:val="239"/>
        </w:trPr>
        <w:tc>
          <w:tcPr>
            <w:tcW w:w="431" w:type="pct"/>
          </w:tcPr>
          <w:p w14:paraId="57B81D44" w14:textId="77777777" w:rsidR="00FF7799" w:rsidRPr="00E73F6F" w:rsidRDefault="00FF7799" w:rsidP="00155AFC">
            <w:pPr>
              <w:pStyle w:val="StandardText"/>
              <w:rPr>
                <w:lang w:val="de-DE"/>
              </w:rPr>
            </w:pPr>
            <w:r w:rsidRPr="00E73F6F">
              <w:rPr>
                <w:lang w:val="de-DE"/>
              </w:rPr>
              <w:t>3</w:t>
            </w:r>
          </w:p>
        </w:tc>
        <w:tc>
          <w:tcPr>
            <w:tcW w:w="1117" w:type="pct"/>
          </w:tcPr>
          <w:p w14:paraId="4D47951D" w14:textId="77777777" w:rsidR="00FF7799" w:rsidRPr="00E73F6F" w:rsidRDefault="00FF7799" w:rsidP="00155AFC">
            <w:pPr>
              <w:pStyle w:val="StandardText"/>
              <w:rPr>
                <w:lang w:val="de-DE"/>
              </w:rPr>
            </w:pPr>
            <w:r w:rsidRPr="00E73F6F">
              <w:rPr>
                <w:spacing w:val="-2"/>
                <w:lang w:val="de-DE"/>
              </w:rPr>
              <w:t>Irland</w:t>
            </w:r>
          </w:p>
        </w:tc>
        <w:tc>
          <w:tcPr>
            <w:tcW w:w="901" w:type="pct"/>
          </w:tcPr>
          <w:p w14:paraId="4E306A74" w14:textId="77777777" w:rsidR="00FF7799" w:rsidRPr="00E73F6F" w:rsidRDefault="00FF7799" w:rsidP="00155AFC">
            <w:pPr>
              <w:pStyle w:val="StandardText"/>
              <w:rPr>
                <w:lang w:val="de-DE"/>
              </w:rPr>
            </w:pPr>
            <w:r w:rsidRPr="00E73F6F">
              <w:rPr>
                <w:spacing w:val="-2"/>
                <w:lang w:val="de-DE"/>
              </w:rPr>
              <w:t>0.942</w:t>
            </w:r>
          </w:p>
        </w:tc>
        <w:tc>
          <w:tcPr>
            <w:tcW w:w="493" w:type="pct"/>
          </w:tcPr>
          <w:p w14:paraId="3270B3B7" w14:textId="77777777" w:rsidR="00FF7799" w:rsidRPr="00E73F6F" w:rsidRDefault="00FF7799" w:rsidP="00155AFC">
            <w:pPr>
              <w:pStyle w:val="StandardText"/>
              <w:rPr>
                <w:lang w:val="de-DE"/>
              </w:rPr>
            </w:pPr>
            <w:r w:rsidRPr="00E73F6F">
              <w:rPr>
                <w:spacing w:val="-5"/>
                <w:lang w:val="de-DE"/>
              </w:rPr>
              <w:t>182</w:t>
            </w:r>
          </w:p>
        </w:tc>
        <w:tc>
          <w:tcPr>
            <w:tcW w:w="1414" w:type="pct"/>
          </w:tcPr>
          <w:p w14:paraId="28AB4993" w14:textId="77777777" w:rsidR="00FF7799" w:rsidRPr="00E73F6F" w:rsidRDefault="00FF7799" w:rsidP="00155AFC">
            <w:pPr>
              <w:pStyle w:val="StandardText"/>
              <w:rPr>
                <w:lang w:val="de-DE"/>
              </w:rPr>
            </w:pPr>
            <w:r w:rsidRPr="00E73F6F">
              <w:rPr>
                <w:lang w:val="de-DE"/>
              </w:rPr>
              <w:t>Burkina</w:t>
            </w:r>
            <w:r w:rsidRPr="00E73F6F">
              <w:rPr>
                <w:spacing w:val="-8"/>
                <w:lang w:val="de-DE"/>
              </w:rPr>
              <w:t xml:space="preserve"> </w:t>
            </w:r>
            <w:r w:rsidRPr="00E73F6F">
              <w:rPr>
                <w:spacing w:val="-4"/>
                <w:lang w:val="de-DE"/>
              </w:rPr>
              <w:t>Faso</w:t>
            </w:r>
          </w:p>
        </w:tc>
        <w:tc>
          <w:tcPr>
            <w:tcW w:w="644" w:type="pct"/>
          </w:tcPr>
          <w:p w14:paraId="4E325AED" w14:textId="77777777" w:rsidR="00FF7799" w:rsidRPr="00E73F6F" w:rsidRDefault="00FF7799" w:rsidP="00155AFC">
            <w:pPr>
              <w:pStyle w:val="StandardText"/>
              <w:rPr>
                <w:lang w:val="de-DE"/>
              </w:rPr>
            </w:pPr>
            <w:r w:rsidRPr="00E73F6F">
              <w:rPr>
                <w:spacing w:val="-2"/>
                <w:lang w:val="de-DE"/>
              </w:rPr>
              <w:t>0.434</w:t>
            </w:r>
          </w:p>
        </w:tc>
      </w:tr>
      <w:tr w:rsidR="00FF7799" w:rsidRPr="00E73F6F" w14:paraId="6828FC29" w14:textId="77777777" w:rsidTr="00155AFC">
        <w:trPr>
          <w:trHeight w:val="246"/>
        </w:trPr>
        <w:tc>
          <w:tcPr>
            <w:tcW w:w="431" w:type="pct"/>
          </w:tcPr>
          <w:p w14:paraId="639C2410" w14:textId="77777777" w:rsidR="00FF7799" w:rsidRPr="00E73F6F" w:rsidRDefault="00FF7799" w:rsidP="00155AFC">
            <w:pPr>
              <w:pStyle w:val="StandardText"/>
              <w:rPr>
                <w:lang w:val="de-DE"/>
              </w:rPr>
            </w:pPr>
            <w:r w:rsidRPr="00E73F6F">
              <w:rPr>
                <w:lang w:val="de-DE"/>
              </w:rPr>
              <w:t>4</w:t>
            </w:r>
          </w:p>
        </w:tc>
        <w:tc>
          <w:tcPr>
            <w:tcW w:w="1117" w:type="pct"/>
          </w:tcPr>
          <w:p w14:paraId="78205C57" w14:textId="77777777" w:rsidR="00FF7799" w:rsidRPr="00E73F6F" w:rsidRDefault="00FF7799" w:rsidP="00155AFC">
            <w:pPr>
              <w:pStyle w:val="StandardText"/>
              <w:rPr>
                <w:lang w:val="de-DE"/>
              </w:rPr>
            </w:pPr>
            <w:r w:rsidRPr="00E73F6F">
              <w:rPr>
                <w:spacing w:val="-2"/>
                <w:lang w:val="de-DE"/>
              </w:rPr>
              <w:t>Deutschland</w:t>
            </w:r>
          </w:p>
        </w:tc>
        <w:tc>
          <w:tcPr>
            <w:tcW w:w="901" w:type="pct"/>
          </w:tcPr>
          <w:p w14:paraId="0C837057" w14:textId="77777777" w:rsidR="00FF7799" w:rsidRPr="00E73F6F" w:rsidRDefault="00FF7799" w:rsidP="00155AFC">
            <w:pPr>
              <w:pStyle w:val="StandardText"/>
              <w:rPr>
                <w:lang w:val="de-DE"/>
              </w:rPr>
            </w:pPr>
            <w:r w:rsidRPr="00E73F6F">
              <w:rPr>
                <w:spacing w:val="-2"/>
                <w:lang w:val="de-DE"/>
              </w:rPr>
              <w:t>0.939</w:t>
            </w:r>
          </w:p>
        </w:tc>
        <w:tc>
          <w:tcPr>
            <w:tcW w:w="493" w:type="pct"/>
          </w:tcPr>
          <w:p w14:paraId="29798177" w14:textId="77777777" w:rsidR="00FF7799" w:rsidRPr="00E73F6F" w:rsidRDefault="00FF7799" w:rsidP="00155AFC">
            <w:pPr>
              <w:pStyle w:val="StandardText"/>
              <w:rPr>
                <w:lang w:val="de-DE"/>
              </w:rPr>
            </w:pPr>
            <w:r w:rsidRPr="00E73F6F">
              <w:rPr>
                <w:spacing w:val="-5"/>
                <w:lang w:val="de-DE"/>
              </w:rPr>
              <w:t>182</w:t>
            </w:r>
          </w:p>
        </w:tc>
        <w:tc>
          <w:tcPr>
            <w:tcW w:w="1414" w:type="pct"/>
          </w:tcPr>
          <w:p w14:paraId="35686D20" w14:textId="77777777" w:rsidR="00FF7799" w:rsidRPr="00E73F6F" w:rsidRDefault="00FF7799" w:rsidP="00155AFC">
            <w:pPr>
              <w:pStyle w:val="StandardText"/>
              <w:rPr>
                <w:lang w:val="de-DE"/>
              </w:rPr>
            </w:pPr>
            <w:r w:rsidRPr="00E73F6F">
              <w:rPr>
                <w:spacing w:val="-2"/>
                <w:lang w:val="de-DE"/>
              </w:rPr>
              <w:t>Eritrea</w:t>
            </w:r>
          </w:p>
        </w:tc>
        <w:tc>
          <w:tcPr>
            <w:tcW w:w="644" w:type="pct"/>
          </w:tcPr>
          <w:p w14:paraId="022F35A0" w14:textId="77777777" w:rsidR="00FF7799" w:rsidRPr="00E73F6F" w:rsidRDefault="00FF7799" w:rsidP="00155AFC">
            <w:pPr>
              <w:pStyle w:val="StandardText"/>
              <w:rPr>
                <w:lang w:val="de-DE"/>
              </w:rPr>
            </w:pPr>
            <w:r w:rsidRPr="00E73F6F">
              <w:rPr>
                <w:spacing w:val="-2"/>
                <w:lang w:val="de-DE"/>
              </w:rPr>
              <w:t>0.434</w:t>
            </w:r>
          </w:p>
        </w:tc>
      </w:tr>
      <w:tr w:rsidR="00FF7799" w:rsidRPr="004C5248" w14:paraId="62A4C565" w14:textId="77777777" w:rsidTr="00155AFC">
        <w:trPr>
          <w:trHeight w:val="246"/>
        </w:trPr>
        <w:tc>
          <w:tcPr>
            <w:tcW w:w="431" w:type="pct"/>
          </w:tcPr>
          <w:p w14:paraId="075EA437" w14:textId="77777777" w:rsidR="00FF7799" w:rsidRPr="00E73F6F" w:rsidRDefault="00FF7799" w:rsidP="00155AFC">
            <w:pPr>
              <w:pStyle w:val="StandardText"/>
              <w:rPr>
                <w:lang w:val="de-DE"/>
              </w:rPr>
            </w:pPr>
            <w:r w:rsidRPr="00E73F6F">
              <w:rPr>
                <w:lang w:val="de-DE"/>
              </w:rPr>
              <w:t>…</w:t>
            </w:r>
          </w:p>
        </w:tc>
        <w:tc>
          <w:tcPr>
            <w:tcW w:w="1117" w:type="pct"/>
          </w:tcPr>
          <w:p w14:paraId="54CE8B00" w14:textId="77777777" w:rsidR="00FF7799" w:rsidRPr="00E73F6F" w:rsidRDefault="00FF7799" w:rsidP="00155AFC">
            <w:pPr>
              <w:pStyle w:val="StandardText"/>
              <w:rPr>
                <w:lang w:val="de-DE"/>
              </w:rPr>
            </w:pPr>
            <w:r w:rsidRPr="00E73F6F">
              <w:rPr>
                <w:lang w:val="de-DE"/>
              </w:rPr>
              <w:t>…</w:t>
            </w:r>
          </w:p>
        </w:tc>
        <w:tc>
          <w:tcPr>
            <w:tcW w:w="901" w:type="pct"/>
          </w:tcPr>
          <w:p w14:paraId="12B7619C" w14:textId="77777777" w:rsidR="00FF7799" w:rsidRPr="00E73F6F" w:rsidRDefault="00FF7799" w:rsidP="00155AFC">
            <w:pPr>
              <w:pStyle w:val="StandardText"/>
              <w:rPr>
                <w:lang w:val="de-DE"/>
              </w:rPr>
            </w:pPr>
            <w:r w:rsidRPr="00E73F6F">
              <w:rPr>
                <w:lang w:val="de-DE"/>
              </w:rPr>
              <w:t>…</w:t>
            </w:r>
          </w:p>
        </w:tc>
        <w:tc>
          <w:tcPr>
            <w:tcW w:w="493" w:type="pct"/>
          </w:tcPr>
          <w:p w14:paraId="202852A6" w14:textId="77777777" w:rsidR="00FF7799" w:rsidRPr="00E73F6F" w:rsidRDefault="00FF7799" w:rsidP="00155AFC">
            <w:pPr>
              <w:pStyle w:val="StandardText"/>
              <w:rPr>
                <w:lang w:val="de-DE"/>
              </w:rPr>
            </w:pPr>
            <w:r w:rsidRPr="00E73F6F">
              <w:rPr>
                <w:spacing w:val="-5"/>
                <w:lang w:val="de-DE"/>
              </w:rPr>
              <w:t>184</w:t>
            </w:r>
          </w:p>
        </w:tc>
        <w:tc>
          <w:tcPr>
            <w:tcW w:w="1414" w:type="pct"/>
          </w:tcPr>
          <w:p w14:paraId="45F76DE4" w14:textId="77777777" w:rsidR="00FF7799" w:rsidRPr="004C5248" w:rsidRDefault="00FF7799" w:rsidP="00155AFC">
            <w:pPr>
              <w:pStyle w:val="StandardText"/>
              <w:rPr>
                <w:spacing w:val="-2"/>
                <w:lang w:val="de-DE"/>
              </w:rPr>
            </w:pPr>
            <w:r w:rsidRPr="004C5248">
              <w:rPr>
                <w:spacing w:val="-2"/>
                <w:lang w:val="de-DE"/>
              </w:rPr>
              <w:t>Mali</w:t>
            </w:r>
          </w:p>
        </w:tc>
        <w:tc>
          <w:tcPr>
            <w:tcW w:w="644" w:type="pct"/>
          </w:tcPr>
          <w:p w14:paraId="403F9786" w14:textId="77777777" w:rsidR="00FF7799" w:rsidRPr="004C5248" w:rsidRDefault="004C5248" w:rsidP="00155AFC">
            <w:pPr>
              <w:pStyle w:val="StandardText"/>
              <w:rPr>
                <w:spacing w:val="-2"/>
                <w:lang w:val="de-DE"/>
              </w:rPr>
            </w:pPr>
            <w:r>
              <w:rPr>
                <w:spacing w:val="-2"/>
                <w:lang w:val="de-DE"/>
              </w:rPr>
              <w:t>0.4</w:t>
            </w:r>
            <w:r w:rsidR="00FF7799" w:rsidRPr="00E73F6F">
              <w:rPr>
                <w:spacing w:val="-2"/>
                <w:lang w:val="de-DE"/>
              </w:rPr>
              <w:t>27</w:t>
            </w:r>
          </w:p>
        </w:tc>
      </w:tr>
      <w:tr w:rsidR="00FF7799" w:rsidRPr="00E73F6F" w14:paraId="3AC9796B" w14:textId="77777777" w:rsidTr="00155AFC">
        <w:trPr>
          <w:trHeight w:val="246"/>
        </w:trPr>
        <w:tc>
          <w:tcPr>
            <w:tcW w:w="431" w:type="pct"/>
          </w:tcPr>
          <w:p w14:paraId="6635AC19" w14:textId="77777777" w:rsidR="00FF7799" w:rsidRPr="00E73F6F" w:rsidRDefault="00FF7799" w:rsidP="00155AFC">
            <w:pPr>
              <w:pStyle w:val="StandardText"/>
              <w:rPr>
                <w:lang w:val="de-DE"/>
              </w:rPr>
            </w:pPr>
            <w:r w:rsidRPr="00E73F6F">
              <w:rPr>
                <w:spacing w:val="-5"/>
                <w:lang w:val="de-DE"/>
              </w:rPr>
              <w:t>10</w:t>
            </w:r>
          </w:p>
        </w:tc>
        <w:tc>
          <w:tcPr>
            <w:tcW w:w="1117" w:type="pct"/>
          </w:tcPr>
          <w:p w14:paraId="34183750" w14:textId="77777777" w:rsidR="00FF7799" w:rsidRPr="00E73F6F" w:rsidRDefault="00FF7799" w:rsidP="00155AFC">
            <w:pPr>
              <w:pStyle w:val="StandardText"/>
              <w:rPr>
                <w:lang w:val="de-DE"/>
              </w:rPr>
            </w:pPr>
            <w:r w:rsidRPr="00E73F6F">
              <w:rPr>
                <w:spacing w:val="-2"/>
                <w:lang w:val="de-DE"/>
              </w:rPr>
              <w:t>Niederlande</w:t>
            </w:r>
          </w:p>
        </w:tc>
        <w:tc>
          <w:tcPr>
            <w:tcW w:w="901" w:type="pct"/>
          </w:tcPr>
          <w:p w14:paraId="200ED80C" w14:textId="77777777" w:rsidR="00FF7799" w:rsidRPr="00E73F6F" w:rsidRDefault="00FF7799" w:rsidP="00155AFC">
            <w:pPr>
              <w:pStyle w:val="StandardText"/>
              <w:rPr>
                <w:lang w:val="de-DE"/>
              </w:rPr>
            </w:pPr>
            <w:r w:rsidRPr="00E73F6F">
              <w:rPr>
                <w:spacing w:val="-2"/>
                <w:lang w:val="de-DE"/>
              </w:rPr>
              <w:t>0.933</w:t>
            </w:r>
          </w:p>
        </w:tc>
        <w:tc>
          <w:tcPr>
            <w:tcW w:w="493" w:type="pct"/>
          </w:tcPr>
          <w:p w14:paraId="748311FB" w14:textId="77777777" w:rsidR="00FF7799" w:rsidRPr="00E73F6F" w:rsidRDefault="00FF7799" w:rsidP="00155AFC">
            <w:pPr>
              <w:pStyle w:val="StandardText"/>
              <w:rPr>
                <w:lang w:val="de-DE"/>
              </w:rPr>
            </w:pPr>
            <w:r w:rsidRPr="00E73F6F">
              <w:rPr>
                <w:spacing w:val="-5"/>
                <w:lang w:val="de-DE"/>
              </w:rPr>
              <w:t>185</w:t>
            </w:r>
          </w:p>
        </w:tc>
        <w:tc>
          <w:tcPr>
            <w:tcW w:w="1414" w:type="pct"/>
          </w:tcPr>
          <w:p w14:paraId="6355D147" w14:textId="77777777" w:rsidR="00FF7799" w:rsidRPr="00E73F6F" w:rsidRDefault="00FF7799" w:rsidP="00155AFC">
            <w:pPr>
              <w:pStyle w:val="StandardText"/>
              <w:rPr>
                <w:lang w:val="de-DE"/>
              </w:rPr>
            </w:pPr>
            <w:r w:rsidRPr="00E73F6F">
              <w:rPr>
                <w:spacing w:val="-2"/>
                <w:lang w:val="de-DE"/>
              </w:rPr>
              <w:t>Burundi</w:t>
            </w:r>
          </w:p>
        </w:tc>
        <w:tc>
          <w:tcPr>
            <w:tcW w:w="644" w:type="pct"/>
          </w:tcPr>
          <w:p w14:paraId="6E4A7DD0" w14:textId="77777777" w:rsidR="00FF7799" w:rsidRPr="00E73F6F" w:rsidRDefault="00FF7799" w:rsidP="00155AFC">
            <w:pPr>
              <w:pStyle w:val="StandardText"/>
              <w:rPr>
                <w:lang w:val="de-DE"/>
              </w:rPr>
            </w:pPr>
            <w:r w:rsidRPr="00E73F6F">
              <w:rPr>
                <w:spacing w:val="-2"/>
                <w:lang w:val="de-DE"/>
              </w:rPr>
              <w:t>0.423</w:t>
            </w:r>
          </w:p>
        </w:tc>
      </w:tr>
      <w:tr w:rsidR="00FF7799" w:rsidRPr="00E73F6F" w14:paraId="1831D0DD" w14:textId="77777777" w:rsidTr="00155AFC">
        <w:trPr>
          <w:trHeight w:val="246"/>
        </w:trPr>
        <w:tc>
          <w:tcPr>
            <w:tcW w:w="431" w:type="pct"/>
          </w:tcPr>
          <w:p w14:paraId="5E43C43A" w14:textId="77777777" w:rsidR="00FF7799" w:rsidRPr="00E73F6F" w:rsidRDefault="00FF7799" w:rsidP="00155AFC">
            <w:pPr>
              <w:pStyle w:val="StandardText"/>
              <w:rPr>
                <w:lang w:val="de-DE"/>
              </w:rPr>
            </w:pPr>
            <w:r w:rsidRPr="00E73F6F">
              <w:rPr>
                <w:lang w:val="de-DE"/>
              </w:rPr>
              <w:t>…</w:t>
            </w:r>
          </w:p>
        </w:tc>
        <w:tc>
          <w:tcPr>
            <w:tcW w:w="1117" w:type="pct"/>
          </w:tcPr>
          <w:p w14:paraId="68CBD469" w14:textId="77777777" w:rsidR="00FF7799" w:rsidRPr="00E73F6F" w:rsidRDefault="00FF7799" w:rsidP="00155AFC">
            <w:pPr>
              <w:pStyle w:val="StandardText"/>
              <w:rPr>
                <w:lang w:val="de-DE"/>
              </w:rPr>
            </w:pPr>
            <w:r w:rsidRPr="00E73F6F">
              <w:rPr>
                <w:lang w:val="de-DE"/>
              </w:rPr>
              <w:t>…</w:t>
            </w:r>
          </w:p>
        </w:tc>
        <w:tc>
          <w:tcPr>
            <w:tcW w:w="901" w:type="pct"/>
          </w:tcPr>
          <w:p w14:paraId="6EA0BD33" w14:textId="77777777" w:rsidR="00FF7799" w:rsidRPr="00E73F6F" w:rsidRDefault="00FF7799" w:rsidP="00155AFC">
            <w:pPr>
              <w:pStyle w:val="StandardText"/>
              <w:rPr>
                <w:lang w:val="de-DE"/>
              </w:rPr>
            </w:pPr>
            <w:r w:rsidRPr="00E73F6F">
              <w:rPr>
                <w:lang w:val="de-DE"/>
              </w:rPr>
              <w:t>…</w:t>
            </w:r>
          </w:p>
        </w:tc>
        <w:tc>
          <w:tcPr>
            <w:tcW w:w="493" w:type="pct"/>
          </w:tcPr>
          <w:p w14:paraId="27872D70" w14:textId="77777777" w:rsidR="00FF7799" w:rsidRPr="00E73F6F" w:rsidRDefault="00FF7799" w:rsidP="00155AFC">
            <w:pPr>
              <w:pStyle w:val="StandardText"/>
              <w:rPr>
                <w:lang w:val="de-DE"/>
              </w:rPr>
            </w:pPr>
            <w:r w:rsidRPr="00E73F6F">
              <w:rPr>
                <w:spacing w:val="-5"/>
                <w:lang w:val="de-DE"/>
              </w:rPr>
              <w:t>186</w:t>
            </w:r>
          </w:p>
        </w:tc>
        <w:tc>
          <w:tcPr>
            <w:tcW w:w="1414" w:type="pct"/>
          </w:tcPr>
          <w:p w14:paraId="07E6E859" w14:textId="77777777" w:rsidR="00FF7799" w:rsidRPr="00E73F6F" w:rsidRDefault="00FF7799" w:rsidP="00155AFC">
            <w:pPr>
              <w:pStyle w:val="StandardText"/>
              <w:rPr>
                <w:lang w:val="de-DE"/>
              </w:rPr>
            </w:pPr>
            <w:r w:rsidRPr="00E73F6F">
              <w:rPr>
                <w:spacing w:val="-2"/>
                <w:lang w:val="de-DE"/>
              </w:rPr>
              <w:t>Südsudan</w:t>
            </w:r>
          </w:p>
        </w:tc>
        <w:tc>
          <w:tcPr>
            <w:tcW w:w="644" w:type="pct"/>
          </w:tcPr>
          <w:p w14:paraId="406C5CD3" w14:textId="77777777" w:rsidR="00FF7799" w:rsidRPr="00E73F6F" w:rsidRDefault="00FF7799" w:rsidP="00155AFC">
            <w:pPr>
              <w:pStyle w:val="StandardText"/>
              <w:rPr>
                <w:lang w:val="de-DE"/>
              </w:rPr>
            </w:pPr>
            <w:r w:rsidRPr="00E73F6F">
              <w:rPr>
                <w:spacing w:val="-2"/>
                <w:lang w:val="de-DE"/>
              </w:rPr>
              <w:t>0.413</w:t>
            </w:r>
          </w:p>
        </w:tc>
      </w:tr>
      <w:tr w:rsidR="00FF7799" w:rsidRPr="00E73F6F" w14:paraId="567FD3E3" w14:textId="77777777" w:rsidTr="00155AFC">
        <w:trPr>
          <w:trHeight w:val="246"/>
        </w:trPr>
        <w:tc>
          <w:tcPr>
            <w:tcW w:w="431" w:type="pct"/>
          </w:tcPr>
          <w:p w14:paraId="4A266954" w14:textId="77777777" w:rsidR="00FF7799" w:rsidRPr="00E73F6F" w:rsidRDefault="00FF7799" w:rsidP="00155AFC">
            <w:pPr>
              <w:pStyle w:val="StandardText"/>
              <w:rPr>
                <w:lang w:val="de-DE"/>
              </w:rPr>
            </w:pPr>
            <w:r w:rsidRPr="00E73F6F">
              <w:rPr>
                <w:spacing w:val="-5"/>
                <w:lang w:val="de-DE"/>
              </w:rPr>
              <w:t>15</w:t>
            </w:r>
          </w:p>
        </w:tc>
        <w:tc>
          <w:tcPr>
            <w:tcW w:w="1117" w:type="pct"/>
          </w:tcPr>
          <w:p w14:paraId="3EA39A73" w14:textId="77777777" w:rsidR="00FF7799" w:rsidRPr="00E73F6F" w:rsidRDefault="00FF7799" w:rsidP="00155AFC">
            <w:pPr>
              <w:pStyle w:val="StandardText"/>
              <w:rPr>
                <w:lang w:val="de-DE"/>
              </w:rPr>
            </w:pPr>
            <w:r w:rsidRPr="00E73F6F">
              <w:rPr>
                <w:spacing w:val="-5"/>
                <w:lang w:val="de-DE"/>
              </w:rPr>
              <w:t>USA</w:t>
            </w:r>
          </w:p>
        </w:tc>
        <w:tc>
          <w:tcPr>
            <w:tcW w:w="901" w:type="pct"/>
          </w:tcPr>
          <w:p w14:paraId="25690CF0" w14:textId="77777777" w:rsidR="00FF7799" w:rsidRPr="00E73F6F" w:rsidRDefault="00FF7799" w:rsidP="00155AFC">
            <w:pPr>
              <w:pStyle w:val="StandardText"/>
              <w:rPr>
                <w:lang w:val="de-DE"/>
              </w:rPr>
            </w:pPr>
            <w:r w:rsidRPr="00E73F6F">
              <w:rPr>
                <w:spacing w:val="-2"/>
                <w:lang w:val="de-DE"/>
              </w:rPr>
              <w:t>0.920</w:t>
            </w:r>
          </w:p>
        </w:tc>
        <w:tc>
          <w:tcPr>
            <w:tcW w:w="493" w:type="pct"/>
          </w:tcPr>
          <w:p w14:paraId="4A2220E3" w14:textId="77777777" w:rsidR="00FF7799" w:rsidRPr="00E73F6F" w:rsidRDefault="00FF7799" w:rsidP="00155AFC">
            <w:pPr>
              <w:pStyle w:val="StandardText"/>
              <w:rPr>
                <w:lang w:val="de-DE"/>
              </w:rPr>
            </w:pPr>
            <w:r w:rsidRPr="00E73F6F">
              <w:rPr>
                <w:spacing w:val="-5"/>
                <w:lang w:val="de-DE"/>
              </w:rPr>
              <w:t>187</w:t>
            </w:r>
          </w:p>
        </w:tc>
        <w:tc>
          <w:tcPr>
            <w:tcW w:w="1414" w:type="pct"/>
          </w:tcPr>
          <w:p w14:paraId="1A548C2B" w14:textId="77777777" w:rsidR="00FF7799" w:rsidRPr="00E73F6F" w:rsidRDefault="00FF7799" w:rsidP="00155AFC">
            <w:pPr>
              <w:pStyle w:val="StandardText"/>
              <w:rPr>
                <w:lang w:val="de-DE"/>
              </w:rPr>
            </w:pPr>
            <w:r w:rsidRPr="00E73F6F">
              <w:rPr>
                <w:spacing w:val="-2"/>
                <w:lang w:val="de-DE"/>
              </w:rPr>
              <w:t>Tschad</w:t>
            </w:r>
          </w:p>
        </w:tc>
        <w:tc>
          <w:tcPr>
            <w:tcW w:w="644" w:type="pct"/>
          </w:tcPr>
          <w:p w14:paraId="38921015" w14:textId="77777777" w:rsidR="00FF7799" w:rsidRPr="00E73F6F" w:rsidRDefault="00FF7799" w:rsidP="00155AFC">
            <w:pPr>
              <w:pStyle w:val="StandardText"/>
              <w:rPr>
                <w:lang w:val="de-DE"/>
              </w:rPr>
            </w:pPr>
            <w:r w:rsidRPr="00E73F6F">
              <w:rPr>
                <w:spacing w:val="-2"/>
                <w:lang w:val="de-DE"/>
              </w:rPr>
              <w:t>0.401</w:t>
            </w:r>
          </w:p>
        </w:tc>
      </w:tr>
      <w:tr w:rsidR="00FF7799" w:rsidRPr="00E73F6F" w14:paraId="272DF6F8" w14:textId="77777777" w:rsidTr="00155AFC">
        <w:trPr>
          <w:trHeight w:val="247"/>
        </w:trPr>
        <w:tc>
          <w:tcPr>
            <w:tcW w:w="431" w:type="pct"/>
          </w:tcPr>
          <w:p w14:paraId="00F098A4" w14:textId="77777777" w:rsidR="00FF7799" w:rsidRPr="00E73F6F" w:rsidRDefault="00FF7799" w:rsidP="00155AFC">
            <w:pPr>
              <w:pStyle w:val="StandardText"/>
              <w:rPr>
                <w:lang w:val="de-DE"/>
              </w:rPr>
            </w:pPr>
            <w:r w:rsidRPr="00E73F6F">
              <w:rPr>
                <w:lang w:val="de-DE"/>
              </w:rPr>
              <w:t>…</w:t>
            </w:r>
          </w:p>
        </w:tc>
        <w:tc>
          <w:tcPr>
            <w:tcW w:w="1117" w:type="pct"/>
          </w:tcPr>
          <w:p w14:paraId="291C71A5" w14:textId="77777777" w:rsidR="00FF7799" w:rsidRPr="00E73F6F" w:rsidRDefault="00FF7799" w:rsidP="00155AFC">
            <w:pPr>
              <w:pStyle w:val="StandardText"/>
              <w:rPr>
                <w:lang w:val="de-DE"/>
              </w:rPr>
            </w:pPr>
            <w:r w:rsidRPr="00E73F6F">
              <w:rPr>
                <w:lang w:val="de-DE"/>
              </w:rPr>
              <w:t>…</w:t>
            </w:r>
          </w:p>
        </w:tc>
        <w:tc>
          <w:tcPr>
            <w:tcW w:w="901" w:type="pct"/>
          </w:tcPr>
          <w:p w14:paraId="434084E9" w14:textId="77777777" w:rsidR="00FF7799" w:rsidRPr="00E73F6F" w:rsidRDefault="00FF7799" w:rsidP="00155AFC">
            <w:pPr>
              <w:pStyle w:val="StandardText"/>
              <w:rPr>
                <w:lang w:val="de-DE"/>
              </w:rPr>
            </w:pPr>
            <w:r w:rsidRPr="00E73F6F">
              <w:rPr>
                <w:lang w:val="de-DE"/>
              </w:rPr>
              <w:t>…</w:t>
            </w:r>
          </w:p>
        </w:tc>
        <w:tc>
          <w:tcPr>
            <w:tcW w:w="493" w:type="pct"/>
          </w:tcPr>
          <w:p w14:paraId="1D37A5F1" w14:textId="77777777" w:rsidR="00FF7799" w:rsidRPr="00E73F6F" w:rsidRDefault="00FF7799" w:rsidP="00155AFC">
            <w:pPr>
              <w:pStyle w:val="StandardText"/>
              <w:rPr>
                <w:lang w:val="de-DE"/>
              </w:rPr>
            </w:pPr>
            <w:r w:rsidRPr="00E73F6F">
              <w:rPr>
                <w:spacing w:val="-5"/>
                <w:lang w:val="de-DE"/>
              </w:rPr>
              <w:t>188</w:t>
            </w:r>
          </w:p>
        </w:tc>
        <w:tc>
          <w:tcPr>
            <w:tcW w:w="1414" w:type="pct"/>
          </w:tcPr>
          <w:p w14:paraId="7AE5CEB0" w14:textId="77777777" w:rsidR="00FF7799" w:rsidRPr="00E73F6F" w:rsidRDefault="00FF7799" w:rsidP="00155AFC">
            <w:pPr>
              <w:pStyle w:val="StandardText"/>
              <w:rPr>
                <w:lang w:val="de-DE"/>
              </w:rPr>
            </w:pPr>
            <w:r w:rsidRPr="00E73F6F">
              <w:rPr>
                <w:spacing w:val="-2"/>
                <w:lang w:val="de-DE"/>
              </w:rPr>
              <w:t>Zentralafrik.</w:t>
            </w:r>
            <w:r w:rsidRPr="00E73F6F">
              <w:rPr>
                <w:spacing w:val="15"/>
                <w:lang w:val="de-DE"/>
              </w:rPr>
              <w:t xml:space="preserve"> </w:t>
            </w:r>
            <w:r w:rsidRPr="00E73F6F">
              <w:rPr>
                <w:spacing w:val="-2"/>
                <w:lang w:val="de-DE"/>
              </w:rPr>
              <w:t>Republik</w:t>
            </w:r>
          </w:p>
        </w:tc>
        <w:tc>
          <w:tcPr>
            <w:tcW w:w="644" w:type="pct"/>
          </w:tcPr>
          <w:p w14:paraId="5D37225B" w14:textId="77777777" w:rsidR="00FF7799" w:rsidRPr="00E73F6F" w:rsidRDefault="00FF7799" w:rsidP="00155AFC">
            <w:pPr>
              <w:pStyle w:val="StandardText"/>
              <w:rPr>
                <w:lang w:val="de-DE"/>
              </w:rPr>
            </w:pPr>
            <w:r w:rsidRPr="00E73F6F">
              <w:rPr>
                <w:spacing w:val="-2"/>
                <w:lang w:val="de-DE"/>
              </w:rPr>
              <w:t>0.381</w:t>
            </w:r>
          </w:p>
        </w:tc>
      </w:tr>
      <w:tr w:rsidR="00FF7799" w:rsidRPr="00E73F6F" w14:paraId="7D38FA5C" w14:textId="77777777" w:rsidTr="00155AFC">
        <w:trPr>
          <w:trHeight w:val="249"/>
        </w:trPr>
        <w:tc>
          <w:tcPr>
            <w:tcW w:w="431" w:type="pct"/>
          </w:tcPr>
          <w:p w14:paraId="29684FE0" w14:textId="77777777" w:rsidR="00FF7799" w:rsidRPr="00E73F6F" w:rsidRDefault="00FF7799" w:rsidP="00155AFC">
            <w:pPr>
              <w:pStyle w:val="StandardText"/>
              <w:rPr>
                <w:lang w:val="de-DE"/>
              </w:rPr>
            </w:pPr>
            <w:r w:rsidRPr="00E73F6F">
              <w:rPr>
                <w:spacing w:val="-5"/>
                <w:lang w:val="de-DE"/>
              </w:rPr>
              <w:t>20</w:t>
            </w:r>
          </w:p>
        </w:tc>
        <w:tc>
          <w:tcPr>
            <w:tcW w:w="1117" w:type="pct"/>
          </w:tcPr>
          <w:p w14:paraId="21CD1EAA" w14:textId="77777777" w:rsidR="00FF7799" w:rsidRPr="00E73F6F" w:rsidRDefault="00FF7799" w:rsidP="00155AFC">
            <w:pPr>
              <w:pStyle w:val="StandardText"/>
              <w:rPr>
                <w:lang w:val="de-DE"/>
              </w:rPr>
            </w:pPr>
            <w:r w:rsidRPr="00E73F6F">
              <w:rPr>
                <w:spacing w:val="-2"/>
                <w:lang w:val="de-DE"/>
              </w:rPr>
              <w:t>Österreich</w:t>
            </w:r>
          </w:p>
        </w:tc>
        <w:tc>
          <w:tcPr>
            <w:tcW w:w="901" w:type="pct"/>
          </w:tcPr>
          <w:p w14:paraId="551E34E0" w14:textId="77777777" w:rsidR="00FF7799" w:rsidRPr="00E73F6F" w:rsidRDefault="00FF7799" w:rsidP="00155AFC">
            <w:pPr>
              <w:pStyle w:val="StandardText"/>
              <w:rPr>
                <w:lang w:val="de-DE"/>
              </w:rPr>
            </w:pPr>
            <w:r w:rsidRPr="00E73F6F">
              <w:rPr>
                <w:spacing w:val="-2"/>
                <w:lang w:val="de-DE"/>
              </w:rPr>
              <w:t>0.914</w:t>
            </w:r>
          </w:p>
        </w:tc>
        <w:tc>
          <w:tcPr>
            <w:tcW w:w="493" w:type="pct"/>
          </w:tcPr>
          <w:p w14:paraId="02DF5C68" w14:textId="77777777" w:rsidR="00FF7799" w:rsidRPr="00E73F6F" w:rsidRDefault="00FF7799" w:rsidP="00155AFC">
            <w:pPr>
              <w:pStyle w:val="StandardText"/>
              <w:rPr>
                <w:lang w:val="de-DE"/>
              </w:rPr>
            </w:pPr>
            <w:r w:rsidRPr="00E73F6F">
              <w:rPr>
                <w:spacing w:val="-5"/>
                <w:lang w:val="de-DE"/>
              </w:rPr>
              <w:t>189</w:t>
            </w:r>
          </w:p>
        </w:tc>
        <w:tc>
          <w:tcPr>
            <w:tcW w:w="1414" w:type="pct"/>
          </w:tcPr>
          <w:p w14:paraId="4DE8ABE4" w14:textId="77777777" w:rsidR="00FF7799" w:rsidRPr="00E73F6F" w:rsidRDefault="00FF7799" w:rsidP="00155AFC">
            <w:pPr>
              <w:pStyle w:val="StandardText"/>
              <w:rPr>
                <w:lang w:val="de-DE"/>
              </w:rPr>
            </w:pPr>
            <w:r w:rsidRPr="00E73F6F">
              <w:rPr>
                <w:spacing w:val="-2"/>
                <w:lang w:val="de-DE"/>
              </w:rPr>
              <w:t>Niger</w:t>
            </w:r>
          </w:p>
        </w:tc>
        <w:tc>
          <w:tcPr>
            <w:tcW w:w="644" w:type="pct"/>
          </w:tcPr>
          <w:p w14:paraId="721726D0" w14:textId="77777777" w:rsidR="00FF7799" w:rsidRPr="00E73F6F" w:rsidRDefault="00FF7799" w:rsidP="00155AFC">
            <w:pPr>
              <w:pStyle w:val="StandardText"/>
              <w:rPr>
                <w:lang w:val="de-DE"/>
              </w:rPr>
            </w:pPr>
            <w:r w:rsidRPr="00E73F6F">
              <w:rPr>
                <w:spacing w:val="-2"/>
                <w:lang w:val="de-DE"/>
              </w:rPr>
              <w:t>0.377</w:t>
            </w:r>
          </w:p>
        </w:tc>
      </w:tr>
    </w:tbl>
    <w:p w14:paraId="0DE9A4EB" w14:textId="77777777" w:rsidR="00FF7799" w:rsidRPr="00E73F6F" w:rsidRDefault="00FF7799" w:rsidP="00155AFC">
      <w:pPr>
        <w:pStyle w:val="Quellen"/>
      </w:pPr>
      <w:r w:rsidRPr="00E73F6F">
        <w:t>Quelle:</w:t>
      </w:r>
      <w:r w:rsidRPr="00E73F6F">
        <w:rPr>
          <w:spacing w:val="-6"/>
        </w:rPr>
        <w:t xml:space="preserve"> </w:t>
      </w:r>
      <w:r w:rsidRPr="00E73F6F">
        <w:rPr>
          <w:spacing w:val="-2"/>
        </w:rPr>
        <w:t>UNDP.</w:t>
      </w:r>
    </w:p>
    <w:p w14:paraId="57688AD6" w14:textId="77777777" w:rsidR="00FF7799" w:rsidRPr="00E73F6F" w:rsidRDefault="00FF7799" w:rsidP="00862DBA">
      <w:pPr>
        <w:spacing w:before="1"/>
        <w:rPr>
          <w:i/>
          <w:sz w:val="24"/>
          <w:szCs w:val="24"/>
        </w:rPr>
      </w:pPr>
    </w:p>
    <w:p w14:paraId="60A307CF" w14:textId="77777777" w:rsidR="00FF7799" w:rsidRPr="004C5248" w:rsidRDefault="00FF7799" w:rsidP="00155AFC">
      <w:pPr>
        <w:pStyle w:val="StandardText"/>
      </w:pPr>
      <w:r w:rsidRPr="004C5248">
        <w:t>Da dieser Index methodisch und politisch umstritten ist, wird immer wieder eine Erweiterung in Erwägung gezogen</w:t>
      </w:r>
      <w:r w:rsidRPr="004C5248">
        <w:rPr>
          <w:spacing w:val="40"/>
        </w:rPr>
        <w:t xml:space="preserve"> </w:t>
      </w:r>
      <w:r w:rsidRPr="004C5248">
        <w:t xml:space="preserve">(um Kriterien wie politische Freiheitsgrad, Umweltbelastung, Grad an sozialer, regionaler und geschlechtsspezifischer </w:t>
      </w:r>
      <w:r w:rsidRPr="004C5248">
        <w:rPr>
          <w:spacing w:val="-2"/>
        </w:rPr>
        <w:t>Gleichheit).</w:t>
      </w:r>
    </w:p>
    <w:p w14:paraId="696F88C2" w14:textId="77777777" w:rsidR="00FF7799" w:rsidRPr="004C5248" w:rsidRDefault="00FF7799" w:rsidP="00155AFC">
      <w:pPr>
        <w:pStyle w:val="StandardText"/>
      </w:pPr>
      <w:r w:rsidRPr="004C5248">
        <w:t>Seit</w:t>
      </w:r>
      <w:r w:rsidRPr="004C5248">
        <w:rPr>
          <w:spacing w:val="-2"/>
        </w:rPr>
        <w:t xml:space="preserve"> </w:t>
      </w:r>
      <w:r w:rsidRPr="004C5248">
        <w:t>1995 wurde</w:t>
      </w:r>
      <w:r w:rsidRPr="004C5248">
        <w:rPr>
          <w:spacing w:val="-1"/>
        </w:rPr>
        <w:t xml:space="preserve"> </w:t>
      </w:r>
      <w:r w:rsidRPr="004C5248">
        <w:t>der</w:t>
      </w:r>
      <w:r w:rsidRPr="004C5248">
        <w:rPr>
          <w:spacing w:val="-1"/>
        </w:rPr>
        <w:t xml:space="preserve"> </w:t>
      </w:r>
      <w:r w:rsidRPr="004C5248">
        <w:t>allgemeine</w:t>
      </w:r>
      <w:r w:rsidRPr="004C5248">
        <w:rPr>
          <w:spacing w:val="-1"/>
        </w:rPr>
        <w:t xml:space="preserve"> </w:t>
      </w:r>
      <w:r w:rsidRPr="004C5248">
        <w:t>HDT</w:t>
      </w:r>
      <w:r w:rsidRPr="004C5248">
        <w:rPr>
          <w:spacing w:val="-1"/>
        </w:rPr>
        <w:t xml:space="preserve"> </w:t>
      </w:r>
      <w:r w:rsidRPr="004C5248">
        <w:t>ergänzt</w:t>
      </w:r>
      <w:r w:rsidRPr="004C5248">
        <w:rPr>
          <w:spacing w:val="-1"/>
        </w:rPr>
        <w:t xml:space="preserve"> </w:t>
      </w:r>
      <w:r w:rsidRPr="004C5248">
        <w:t xml:space="preserve">um </w:t>
      </w:r>
      <w:r w:rsidRPr="004C5248">
        <w:rPr>
          <w:spacing w:val="-10"/>
        </w:rPr>
        <w:t>…</w:t>
      </w:r>
    </w:p>
    <w:p w14:paraId="76DE5E47" w14:textId="77777777" w:rsidR="00FF7799" w:rsidRPr="004C5248" w:rsidRDefault="00FF7799" w:rsidP="0071457A">
      <w:pPr>
        <w:pStyle w:val="StandardTextAufzhlung"/>
        <w:ind w:left="426"/>
      </w:pPr>
      <w:r w:rsidRPr="004C5248">
        <w:t>den</w:t>
      </w:r>
      <w:r w:rsidRPr="004C5248">
        <w:rPr>
          <w:spacing w:val="9"/>
        </w:rPr>
        <w:t xml:space="preserve"> </w:t>
      </w:r>
      <w:r w:rsidRPr="004C5248">
        <w:t>Genderrelated</w:t>
      </w:r>
      <w:r w:rsidRPr="004C5248">
        <w:rPr>
          <w:spacing w:val="12"/>
        </w:rPr>
        <w:t xml:space="preserve"> </w:t>
      </w:r>
      <w:r w:rsidRPr="004C5248">
        <w:t>Development</w:t>
      </w:r>
      <w:r w:rsidRPr="004C5248">
        <w:rPr>
          <w:spacing w:val="8"/>
        </w:rPr>
        <w:t xml:space="preserve"> </w:t>
      </w:r>
      <w:r w:rsidRPr="004C5248">
        <w:t>Index.</w:t>
      </w:r>
      <w:r w:rsidRPr="004C5248">
        <w:rPr>
          <w:spacing w:val="11"/>
        </w:rPr>
        <w:t xml:space="preserve"> </w:t>
      </w:r>
      <w:r w:rsidRPr="004C5248">
        <w:t>Der</w:t>
      </w:r>
      <w:r w:rsidRPr="004C5248">
        <w:rPr>
          <w:spacing w:val="11"/>
        </w:rPr>
        <w:t xml:space="preserve"> </w:t>
      </w:r>
      <w:r w:rsidRPr="004C5248">
        <w:t>GDI</w:t>
      </w:r>
      <w:r w:rsidRPr="004C5248">
        <w:rPr>
          <w:spacing w:val="13"/>
        </w:rPr>
        <w:t xml:space="preserve"> </w:t>
      </w:r>
      <w:r w:rsidRPr="004C5248">
        <w:t>erfasst</w:t>
      </w:r>
      <w:r w:rsidRPr="004C5248">
        <w:rPr>
          <w:spacing w:val="10"/>
        </w:rPr>
        <w:t xml:space="preserve"> </w:t>
      </w:r>
      <w:r w:rsidRPr="004C5248">
        <w:t>den</w:t>
      </w:r>
      <w:r w:rsidRPr="004C5248">
        <w:rPr>
          <w:spacing w:val="14"/>
        </w:rPr>
        <w:t xml:space="preserve"> </w:t>
      </w:r>
      <w:r w:rsidRPr="004C5248">
        <w:t>Grad</w:t>
      </w:r>
      <w:r w:rsidRPr="004C5248">
        <w:rPr>
          <w:spacing w:val="13"/>
        </w:rPr>
        <w:t xml:space="preserve"> </w:t>
      </w:r>
      <w:r w:rsidRPr="004C5248">
        <w:t>an</w:t>
      </w:r>
      <w:r w:rsidRPr="004C5248">
        <w:rPr>
          <w:spacing w:val="12"/>
        </w:rPr>
        <w:t xml:space="preserve"> </w:t>
      </w:r>
      <w:r w:rsidRPr="004C5248">
        <w:rPr>
          <w:spacing w:val="-4"/>
        </w:rPr>
        <w:t>(Un-</w:t>
      </w:r>
      <w:r w:rsidRPr="004C5248">
        <w:t>)Gleichheit</w:t>
      </w:r>
      <w:r w:rsidRPr="004C5248">
        <w:rPr>
          <w:spacing w:val="-3"/>
        </w:rPr>
        <w:t xml:space="preserve"> </w:t>
      </w:r>
      <w:r w:rsidRPr="004C5248">
        <w:t>der</w:t>
      </w:r>
      <w:r w:rsidRPr="004C5248">
        <w:rPr>
          <w:spacing w:val="-3"/>
        </w:rPr>
        <w:t xml:space="preserve"> </w:t>
      </w:r>
      <w:r w:rsidRPr="004C5248">
        <w:t>Entwicklungsmöglichkeiten</w:t>
      </w:r>
      <w:r w:rsidRPr="004C5248">
        <w:rPr>
          <w:spacing w:val="-3"/>
        </w:rPr>
        <w:t xml:space="preserve"> </w:t>
      </w:r>
      <w:r w:rsidRPr="004C5248">
        <w:t>der</w:t>
      </w:r>
      <w:r w:rsidRPr="004C5248">
        <w:rPr>
          <w:spacing w:val="-2"/>
        </w:rPr>
        <w:t xml:space="preserve"> Geschlechter.</w:t>
      </w:r>
    </w:p>
    <w:p w14:paraId="4BD3C7E6" w14:textId="77777777" w:rsidR="00FF7799" w:rsidRPr="004C5248" w:rsidRDefault="00FF7799" w:rsidP="0071457A">
      <w:pPr>
        <w:pStyle w:val="StandardTextAufzhlung"/>
        <w:ind w:left="426"/>
      </w:pPr>
      <w:r w:rsidRPr="004C5248">
        <w:t>das</w:t>
      </w:r>
      <w:r w:rsidRPr="004C5248">
        <w:rPr>
          <w:spacing w:val="22"/>
        </w:rPr>
        <w:t xml:space="preserve"> </w:t>
      </w:r>
      <w:r w:rsidRPr="004C5248">
        <w:t>Gender</w:t>
      </w:r>
      <w:r w:rsidRPr="004C5248">
        <w:rPr>
          <w:spacing w:val="25"/>
        </w:rPr>
        <w:t xml:space="preserve"> </w:t>
      </w:r>
      <w:r w:rsidRPr="004C5248">
        <w:t>Empowerment</w:t>
      </w:r>
      <w:r w:rsidRPr="004C5248">
        <w:rPr>
          <w:spacing w:val="23"/>
        </w:rPr>
        <w:t xml:space="preserve"> </w:t>
      </w:r>
      <w:r w:rsidRPr="004C5248">
        <w:t>Measure.</w:t>
      </w:r>
      <w:r w:rsidRPr="004C5248">
        <w:rPr>
          <w:spacing w:val="25"/>
        </w:rPr>
        <w:t xml:space="preserve"> </w:t>
      </w:r>
      <w:r w:rsidRPr="004C5248">
        <w:t>Der</w:t>
      </w:r>
      <w:r w:rsidRPr="004C5248">
        <w:rPr>
          <w:spacing w:val="26"/>
        </w:rPr>
        <w:t xml:space="preserve"> </w:t>
      </w:r>
      <w:r w:rsidRPr="004C5248">
        <w:t>GEM</w:t>
      </w:r>
      <w:r w:rsidRPr="004C5248">
        <w:rPr>
          <w:spacing w:val="27"/>
        </w:rPr>
        <w:t xml:space="preserve"> </w:t>
      </w:r>
      <w:r w:rsidRPr="004C5248">
        <w:t>erfasst</w:t>
      </w:r>
      <w:r w:rsidRPr="004C5248">
        <w:rPr>
          <w:spacing w:val="25"/>
        </w:rPr>
        <w:t xml:space="preserve"> </w:t>
      </w:r>
      <w:r w:rsidRPr="004C5248">
        <w:t>den</w:t>
      </w:r>
      <w:r w:rsidRPr="004C5248">
        <w:rPr>
          <w:spacing w:val="26"/>
        </w:rPr>
        <w:t xml:space="preserve"> </w:t>
      </w:r>
      <w:r w:rsidRPr="004C5248">
        <w:t>Grad</w:t>
      </w:r>
      <w:r w:rsidRPr="004C5248">
        <w:rPr>
          <w:spacing w:val="26"/>
        </w:rPr>
        <w:t xml:space="preserve"> </w:t>
      </w:r>
      <w:r w:rsidRPr="004C5248">
        <w:t>an</w:t>
      </w:r>
      <w:r w:rsidRPr="004C5248">
        <w:rPr>
          <w:spacing w:val="26"/>
        </w:rPr>
        <w:t xml:space="preserve"> </w:t>
      </w:r>
      <w:r w:rsidRPr="004C5248">
        <w:rPr>
          <w:spacing w:val="-4"/>
        </w:rPr>
        <w:t>(Un-</w:t>
      </w:r>
      <w:r w:rsidRPr="004C5248">
        <w:t>)Gleichheit</w:t>
      </w:r>
      <w:r w:rsidRPr="004C5248">
        <w:rPr>
          <w:spacing w:val="31"/>
        </w:rPr>
        <w:t xml:space="preserve"> </w:t>
      </w:r>
      <w:r w:rsidRPr="004C5248">
        <w:t>der</w:t>
      </w:r>
      <w:r w:rsidRPr="004C5248">
        <w:rPr>
          <w:spacing w:val="31"/>
        </w:rPr>
        <w:t xml:space="preserve"> </w:t>
      </w:r>
      <w:r w:rsidRPr="004C5248">
        <w:t>Partizipationsmöglichkeiten</w:t>
      </w:r>
      <w:r w:rsidRPr="004C5248">
        <w:rPr>
          <w:spacing w:val="32"/>
        </w:rPr>
        <w:t xml:space="preserve"> </w:t>
      </w:r>
      <w:r w:rsidRPr="004C5248">
        <w:t>in</w:t>
      </w:r>
      <w:r w:rsidRPr="004C5248">
        <w:rPr>
          <w:spacing w:val="30"/>
        </w:rPr>
        <w:t xml:space="preserve"> </w:t>
      </w:r>
      <w:r w:rsidRPr="004C5248">
        <w:t>Politik</w:t>
      </w:r>
      <w:r w:rsidRPr="004C5248">
        <w:rPr>
          <w:spacing w:val="30"/>
        </w:rPr>
        <w:t xml:space="preserve"> </w:t>
      </w:r>
      <w:r w:rsidRPr="004C5248">
        <w:t>und</w:t>
      </w:r>
      <w:r w:rsidRPr="004C5248">
        <w:rPr>
          <w:spacing w:val="32"/>
        </w:rPr>
        <w:t xml:space="preserve"> </w:t>
      </w:r>
      <w:r w:rsidRPr="004C5248">
        <w:t>Wirtschaft</w:t>
      </w:r>
      <w:r w:rsidRPr="004C5248">
        <w:rPr>
          <w:spacing w:val="31"/>
        </w:rPr>
        <w:t xml:space="preserve"> </w:t>
      </w:r>
      <w:r w:rsidRPr="004C5248">
        <w:t>im Allgemeinen sowie im Berufsleben im Besonderen.</w:t>
      </w:r>
    </w:p>
    <w:p w14:paraId="16A89102" w14:textId="77777777" w:rsidR="00FF7799" w:rsidRPr="004C5248" w:rsidRDefault="00FF7799" w:rsidP="0071457A">
      <w:pPr>
        <w:pStyle w:val="StandardTextAufzhlung"/>
        <w:ind w:left="426"/>
      </w:pPr>
      <w:r w:rsidRPr="004C5248">
        <w:t>den</w:t>
      </w:r>
      <w:r w:rsidRPr="004C5248">
        <w:rPr>
          <w:spacing w:val="14"/>
        </w:rPr>
        <w:t xml:space="preserve"> </w:t>
      </w:r>
      <w:r w:rsidRPr="004C5248">
        <w:t>Human</w:t>
      </w:r>
      <w:r w:rsidRPr="004C5248">
        <w:rPr>
          <w:spacing w:val="11"/>
        </w:rPr>
        <w:t xml:space="preserve"> </w:t>
      </w:r>
      <w:r w:rsidRPr="004C5248">
        <w:t>Poverty</w:t>
      </w:r>
      <w:r w:rsidRPr="004C5248">
        <w:rPr>
          <w:spacing w:val="12"/>
        </w:rPr>
        <w:t xml:space="preserve"> </w:t>
      </w:r>
      <w:r w:rsidRPr="004C5248">
        <w:t>Index.</w:t>
      </w:r>
      <w:r w:rsidRPr="004C5248">
        <w:rPr>
          <w:spacing w:val="13"/>
        </w:rPr>
        <w:t xml:space="preserve"> </w:t>
      </w:r>
      <w:r w:rsidRPr="004C5248">
        <w:t>Der</w:t>
      </w:r>
      <w:r w:rsidRPr="004C5248">
        <w:rPr>
          <w:spacing w:val="12"/>
        </w:rPr>
        <w:t xml:space="preserve"> </w:t>
      </w:r>
      <w:r w:rsidRPr="004C5248">
        <w:t>HPI</w:t>
      </w:r>
      <w:r w:rsidRPr="004C5248">
        <w:rPr>
          <w:spacing w:val="13"/>
        </w:rPr>
        <w:t xml:space="preserve"> </w:t>
      </w:r>
      <w:r w:rsidRPr="004C5248">
        <w:t>erfasst</w:t>
      </w:r>
      <w:r w:rsidRPr="004C5248">
        <w:rPr>
          <w:spacing w:val="13"/>
        </w:rPr>
        <w:t xml:space="preserve"> </w:t>
      </w:r>
      <w:r w:rsidRPr="004C5248">
        <w:t>die</w:t>
      </w:r>
      <w:r w:rsidRPr="004C5248">
        <w:rPr>
          <w:spacing w:val="12"/>
        </w:rPr>
        <w:t xml:space="preserve"> </w:t>
      </w:r>
      <w:r w:rsidRPr="004C5248">
        <w:t>weltweite</w:t>
      </w:r>
      <w:r w:rsidRPr="004C5248">
        <w:rPr>
          <w:spacing w:val="12"/>
        </w:rPr>
        <w:t xml:space="preserve"> </w:t>
      </w:r>
      <w:r w:rsidRPr="004C5248">
        <w:t>Verbreitung</w:t>
      </w:r>
      <w:r w:rsidRPr="004C5248">
        <w:rPr>
          <w:spacing w:val="12"/>
        </w:rPr>
        <w:t xml:space="preserve"> </w:t>
      </w:r>
      <w:r w:rsidRPr="004C5248">
        <w:rPr>
          <w:spacing w:val="-5"/>
        </w:rPr>
        <w:t xml:space="preserve">von </w:t>
      </w:r>
      <w:r w:rsidRPr="004C5248">
        <w:t xml:space="preserve">Armut. Diese wird definiert als Verlust an Lebenserwartung (= Anteil der Menschen, welche nicht älter als 40 Jahre werden), als Entbehrung an Bildung (= Anteil der erwachsenen Analphabeten) </w:t>
      </w:r>
      <w:r w:rsidRPr="004C5248">
        <w:lastRenderedPageBreak/>
        <w:t>und Entbehrung eines angemessenen Lebensstandards (= Anteil der Bevölkerung, welcher keinen Zugang zu medizinischer Versorgung und zu sauberem Wasser hat sowie Anteil der unterernährten Kinder unter fünf Jahren).</w:t>
      </w:r>
    </w:p>
    <w:p w14:paraId="5BCFB405" w14:textId="77777777" w:rsidR="00FF7799" w:rsidRPr="004C5248" w:rsidRDefault="00FF7799" w:rsidP="00155AFC">
      <w:pPr>
        <w:pStyle w:val="StandardText"/>
      </w:pPr>
    </w:p>
    <w:p w14:paraId="4A3A09CB" w14:textId="77777777" w:rsidR="00FF7799" w:rsidRPr="00E73F6F" w:rsidRDefault="00FF7799" w:rsidP="00D83ABA">
      <w:pPr>
        <w:pStyle w:val="berschrift1"/>
      </w:pPr>
      <w:r w:rsidRPr="0071457A">
        <w:rPr>
          <w:color w:val="2E74B5"/>
          <w:sz w:val="22"/>
        </w:rPr>
        <w:t>Identität, kulturelle</w:t>
      </w:r>
      <w:r w:rsidRPr="00E73F6F">
        <w:t xml:space="preserve"> </w:t>
      </w:r>
      <w:r w:rsidRPr="00E73F6F">
        <w:rPr>
          <w:b w:val="0"/>
        </w:rPr>
        <w:t>→ Third Culture</w:t>
      </w:r>
      <w:r w:rsidRPr="00E73F6F">
        <w:t xml:space="preserve"> </w:t>
      </w:r>
    </w:p>
    <w:p w14:paraId="5561B3CC" w14:textId="77777777" w:rsidR="004B5AEF" w:rsidRDefault="004B5AEF" w:rsidP="004B5AEF">
      <w:pPr>
        <w:keepNext/>
        <w:keepLines/>
        <w:spacing w:before="240"/>
        <w:jc w:val="both"/>
        <w:outlineLvl w:val="1"/>
        <w:rPr>
          <w:szCs w:val="24"/>
          <w:lang w:bidi="en-US"/>
        </w:rPr>
      </w:pPr>
      <w:r w:rsidRPr="009E35FE">
        <w:rPr>
          <w:b/>
          <w:bCs/>
          <w:color w:val="2E74B5"/>
        </w:rPr>
        <w:t>Imperialismus</w:t>
      </w:r>
      <w:r>
        <w:rPr>
          <w:b/>
          <w:bCs/>
          <w:color w:val="2E74B5"/>
        </w:rPr>
        <w:t>, kultureller</w:t>
      </w:r>
    </w:p>
    <w:p w14:paraId="203B6DEE" w14:textId="77777777" w:rsidR="004B5AEF" w:rsidRDefault="004B5AEF" w:rsidP="004B5AEF">
      <w:pPr>
        <w:pStyle w:val="Erlaeuterung"/>
        <w:rPr>
          <w:sz w:val="24"/>
          <w:szCs w:val="24"/>
          <w:lang w:bidi="en-US"/>
        </w:rPr>
      </w:pPr>
      <w:r>
        <w:rPr>
          <w:sz w:val="24"/>
          <w:szCs w:val="24"/>
          <w:lang w:bidi="en-US"/>
        </w:rPr>
        <w:t xml:space="preserve">liegt vor, wenn </w:t>
      </w:r>
      <w:r w:rsidRPr="009E35FE">
        <w:rPr>
          <w:sz w:val="24"/>
          <w:szCs w:val="24"/>
          <w:lang w:bidi="en-US"/>
        </w:rPr>
        <w:t>eine politisch oder wirtschaftlich domin</w:t>
      </w:r>
      <w:r>
        <w:rPr>
          <w:sz w:val="24"/>
          <w:szCs w:val="24"/>
          <w:lang w:bidi="en-US"/>
        </w:rPr>
        <w:t>ante</w:t>
      </w:r>
      <w:r w:rsidRPr="009E35FE">
        <w:rPr>
          <w:sz w:val="24"/>
          <w:szCs w:val="24"/>
          <w:lang w:bidi="en-US"/>
        </w:rPr>
        <w:t xml:space="preserve"> Kultur ihre Werte, Normen, Praktiken und Lebensweisen auf </w:t>
      </w:r>
      <w:r>
        <w:rPr>
          <w:sz w:val="24"/>
          <w:szCs w:val="24"/>
          <w:lang w:bidi="en-US"/>
        </w:rPr>
        <w:t xml:space="preserve">diesbezüglich unterlegene </w:t>
      </w:r>
      <w:r w:rsidRPr="009E35FE">
        <w:rPr>
          <w:sz w:val="24"/>
          <w:szCs w:val="24"/>
          <w:lang w:bidi="en-US"/>
        </w:rPr>
        <w:t xml:space="preserve">Kulturen überträgt oder </w:t>
      </w:r>
      <w:r>
        <w:rPr>
          <w:sz w:val="24"/>
          <w:szCs w:val="24"/>
          <w:lang w:bidi="en-US"/>
        </w:rPr>
        <w:t>dies</w:t>
      </w:r>
      <w:r w:rsidRPr="009E35FE">
        <w:rPr>
          <w:sz w:val="24"/>
          <w:szCs w:val="24"/>
          <w:lang w:bidi="en-US"/>
        </w:rPr>
        <w:t xml:space="preserve">en auferlegt. </w:t>
      </w:r>
      <w:r>
        <w:rPr>
          <w:sz w:val="24"/>
          <w:szCs w:val="24"/>
          <w:lang w:bidi="en-US"/>
        </w:rPr>
        <w:t xml:space="preserve">Zumeist handelt es sich nicht um eine wertfreie Verbreitung von </w:t>
      </w:r>
      <w:r w:rsidRPr="009E35FE">
        <w:rPr>
          <w:sz w:val="24"/>
          <w:szCs w:val="24"/>
          <w:lang w:bidi="en-US"/>
        </w:rPr>
        <w:t>Bräuche</w:t>
      </w:r>
      <w:r>
        <w:rPr>
          <w:sz w:val="24"/>
          <w:szCs w:val="24"/>
          <w:lang w:bidi="en-US"/>
        </w:rPr>
        <w:t>n</w:t>
      </w:r>
      <w:r w:rsidRPr="009E35FE">
        <w:rPr>
          <w:sz w:val="24"/>
          <w:szCs w:val="24"/>
          <w:lang w:bidi="en-US"/>
        </w:rPr>
        <w:t xml:space="preserve">, Sprache, Religion oder moralische Normen. </w:t>
      </w:r>
      <w:r>
        <w:rPr>
          <w:sz w:val="24"/>
          <w:szCs w:val="24"/>
          <w:lang w:bidi="en-US"/>
        </w:rPr>
        <w:t xml:space="preserve">Vielmehr ist es zumeist eine Frage von </w:t>
      </w:r>
      <w:r w:rsidRPr="009E35FE">
        <w:rPr>
          <w:sz w:val="24"/>
          <w:szCs w:val="24"/>
          <w:lang w:bidi="en-US"/>
        </w:rPr>
        <w:t>Macht- und Herrschaftsverhältnisse</w:t>
      </w:r>
      <w:r>
        <w:rPr>
          <w:sz w:val="24"/>
          <w:szCs w:val="24"/>
          <w:lang w:bidi="en-US"/>
        </w:rPr>
        <w:t xml:space="preserve">n, wessen </w:t>
      </w:r>
      <w:r w:rsidRPr="009E35FE">
        <w:rPr>
          <w:sz w:val="24"/>
          <w:szCs w:val="24"/>
          <w:lang w:bidi="en-US"/>
        </w:rPr>
        <w:t xml:space="preserve">Kultur </w:t>
      </w:r>
      <w:r>
        <w:rPr>
          <w:sz w:val="24"/>
          <w:szCs w:val="24"/>
          <w:lang w:bidi="en-US"/>
        </w:rPr>
        <w:t xml:space="preserve">als </w:t>
      </w:r>
      <w:r w:rsidRPr="009E35FE">
        <w:rPr>
          <w:sz w:val="24"/>
          <w:szCs w:val="24"/>
          <w:lang w:bidi="en-US"/>
        </w:rPr>
        <w:t>dominant</w:t>
      </w:r>
      <w:r>
        <w:rPr>
          <w:sz w:val="24"/>
          <w:szCs w:val="24"/>
          <w:lang w:bidi="en-US"/>
        </w:rPr>
        <w:t xml:space="preserve"> und </w:t>
      </w:r>
      <w:r w:rsidRPr="009E35FE">
        <w:rPr>
          <w:sz w:val="24"/>
          <w:szCs w:val="24"/>
          <w:lang w:bidi="en-US"/>
        </w:rPr>
        <w:t xml:space="preserve">zur Norm </w:t>
      </w:r>
      <w:r>
        <w:rPr>
          <w:sz w:val="24"/>
          <w:szCs w:val="24"/>
          <w:lang w:bidi="en-US"/>
        </w:rPr>
        <w:t xml:space="preserve">bzw. zum Ideal </w:t>
      </w:r>
      <w:r w:rsidRPr="009E35FE">
        <w:rPr>
          <w:sz w:val="24"/>
          <w:szCs w:val="24"/>
          <w:lang w:bidi="en-US"/>
        </w:rPr>
        <w:t>erklärt</w:t>
      </w:r>
      <w:r>
        <w:rPr>
          <w:sz w:val="24"/>
          <w:szCs w:val="24"/>
          <w:lang w:bidi="en-US"/>
        </w:rPr>
        <w:t xml:space="preserve"> wird (vgl. Noren 2025).</w:t>
      </w:r>
      <w:r w:rsidRPr="009E35FE">
        <w:rPr>
          <w:sz w:val="24"/>
          <w:szCs w:val="24"/>
          <w:lang w:bidi="en-US"/>
        </w:rPr>
        <w:t xml:space="preserve"> </w:t>
      </w:r>
    </w:p>
    <w:p w14:paraId="25A20397" w14:textId="36BE539A" w:rsidR="004B5AEF" w:rsidRPr="004C5248" w:rsidRDefault="004B5AEF" w:rsidP="004B5AEF">
      <w:pPr>
        <w:pStyle w:val="StandardText"/>
      </w:pPr>
      <w:r>
        <w:t xml:space="preserve">Kultureller Imperialismus ist gemäß </w:t>
      </w:r>
      <w:r w:rsidRPr="004C5248">
        <w:t>I.M. Young eine von fünf Formen der Unterdrückung, nämlich die soziale bzw. soziokulturelle Form der Unterdrückung. So wie die Kolonialmächte ihren Kolonien nicht nur Tributleistungen abverlangt haben, sondern auch die Übernahme der Kultur der Kolonialherren (bspw. Sprache, Feiertage, Rituale, Rechtssystem etc.), so haben sich Sieger zu allen Zeiten die Besiegten untertan gemacht. D</w:t>
      </w:r>
      <w:r>
        <w:t>iese</w:t>
      </w:r>
      <w:r w:rsidRPr="004C5248">
        <w:t xml:space="preserve"> – explizite oder implizite – Nachahmungsgebot führt</w:t>
      </w:r>
      <w:r>
        <w:t>e</w:t>
      </w:r>
      <w:r w:rsidRPr="004C5248">
        <w:t xml:space="preserve"> laut F.</w:t>
      </w:r>
      <w:r>
        <w:t xml:space="preserve"> </w:t>
      </w:r>
      <w:r w:rsidRPr="004C5248">
        <w:t>Fanon</w:t>
      </w:r>
      <w:r>
        <w:t xml:space="preserve"> </w:t>
      </w:r>
      <w:r w:rsidRPr="004C5248">
        <w:t>zur</w:t>
      </w:r>
      <w:r w:rsidRPr="004C5248">
        <w:rPr>
          <w:spacing w:val="-6"/>
        </w:rPr>
        <w:t xml:space="preserve"> </w:t>
      </w:r>
      <w:r>
        <w:rPr>
          <w:spacing w:val="-6"/>
        </w:rPr>
        <w:t>„</w:t>
      </w:r>
      <w:r w:rsidRPr="004C5248">
        <w:t>Inferiorisierung</w:t>
      </w:r>
      <w:r>
        <w:t>“</w:t>
      </w:r>
      <w:r w:rsidRPr="004C5248">
        <w:rPr>
          <w:spacing w:val="-5"/>
        </w:rPr>
        <w:t xml:space="preserve"> </w:t>
      </w:r>
      <w:r w:rsidRPr="004C5248">
        <w:t>der</w:t>
      </w:r>
      <w:r w:rsidRPr="004C5248">
        <w:rPr>
          <w:spacing w:val="-6"/>
        </w:rPr>
        <w:t xml:space="preserve"> </w:t>
      </w:r>
      <w:r w:rsidRPr="004C5248">
        <w:t>Kolonisierten</w:t>
      </w:r>
      <w:r>
        <w:rPr>
          <w:spacing w:val="-2"/>
        </w:rPr>
        <w:t xml:space="preserve">. Deren </w:t>
      </w:r>
      <w:r>
        <w:t>Unterlegenheitsgefühl ist das negative</w:t>
      </w:r>
      <w:r w:rsidRPr="004C5248">
        <w:t xml:space="preserve"> Äquivalent des Überlegenheitsdünkels der Kolonialmächte.</w:t>
      </w:r>
      <w:r>
        <w:t xml:space="preserve"> </w:t>
      </w:r>
      <w:r w:rsidRPr="004C5248">
        <w:t>F.</w:t>
      </w:r>
      <w:r>
        <w:t xml:space="preserve"> </w:t>
      </w:r>
      <w:r w:rsidRPr="004C5248">
        <w:t>Fanon</w:t>
      </w:r>
      <w:r>
        <w:t xml:space="preserve"> hat </w:t>
      </w:r>
      <w:r w:rsidRPr="004C5248">
        <w:t xml:space="preserve">in den 1950er- und 1960er-Jahren den Begriff </w:t>
      </w:r>
      <w:r>
        <w:t xml:space="preserve">des </w:t>
      </w:r>
      <w:r>
        <w:sym w:font="Symbol" w:char="F0DE"/>
      </w:r>
      <w:r>
        <w:t xml:space="preserve"> </w:t>
      </w:r>
      <w:r w:rsidRPr="004C5248">
        <w:t>Kulturimperialismus geprägt</w:t>
      </w:r>
      <w:r>
        <w:rPr>
          <w:spacing w:val="-6"/>
        </w:rPr>
        <w:t>.</w:t>
      </w:r>
    </w:p>
    <w:p w14:paraId="53708269" w14:textId="77777777" w:rsidR="004B5AEF" w:rsidRPr="004C5248" w:rsidRDefault="004B5AEF" w:rsidP="004B5AEF">
      <w:pPr>
        <w:pStyle w:val="StandardText"/>
      </w:pPr>
      <w:r w:rsidRPr="004C5248">
        <w:t>Das</w:t>
      </w:r>
      <w:r w:rsidRPr="004C5248">
        <w:rPr>
          <w:spacing w:val="-12"/>
        </w:rPr>
        <w:t xml:space="preserve"> </w:t>
      </w:r>
      <w:r w:rsidRPr="004C5248">
        <w:t>vor</w:t>
      </w:r>
      <w:r w:rsidRPr="004C5248">
        <w:rPr>
          <w:spacing w:val="-11"/>
        </w:rPr>
        <w:t xml:space="preserve"> </w:t>
      </w:r>
      <w:r>
        <w:rPr>
          <w:spacing w:val="-11"/>
        </w:rPr>
        <w:sym w:font="Symbol" w:char="F0DE"/>
      </w:r>
      <w:r>
        <w:rPr>
          <w:spacing w:val="-11"/>
        </w:rPr>
        <w:t xml:space="preserve"> </w:t>
      </w:r>
      <w:r w:rsidRPr="004C5248">
        <w:t>Nationalstolz</w:t>
      </w:r>
      <w:r w:rsidRPr="004C5248">
        <w:rPr>
          <w:spacing w:val="-11"/>
        </w:rPr>
        <w:t xml:space="preserve"> </w:t>
      </w:r>
      <w:r w:rsidRPr="004C5248">
        <w:t>und</w:t>
      </w:r>
      <w:r w:rsidRPr="004C5248">
        <w:rPr>
          <w:spacing w:val="-11"/>
        </w:rPr>
        <w:t xml:space="preserve"> </w:t>
      </w:r>
      <w:r w:rsidRPr="004C5248">
        <w:t>Selbstbewusstsein</w:t>
      </w:r>
      <w:r w:rsidRPr="004C5248">
        <w:rPr>
          <w:spacing w:val="-12"/>
        </w:rPr>
        <w:t xml:space="preserve"> </w:t>
      </w:r>
      <w:r w:rsidRPr="004C5248">
        <w:t>strotzende</w:t>
      </w:r>
      <w:r w:rsidRPr="004C5248">
        <w:rPr>
          <w:spacing w:val="-11"/>
        </w:rPr>
        <w:t xml:space="preserve"> </w:t>
      </w:r>
      <w:r w:rsidRPr="004C5248">
        <w:t>China</w:t>
      </w:r>
      <w:r w:rsidRPr="004C5248">
        <w:rPr>
          <w:spacing w:val="-11"/>
        </w:rPr>
        <w:t xml:space="preserve"> </w:t>
      </w:r>
      <w:r w:rsidRPr="004C5248">
        <w:t>verfolgt</w:t>
      </w:r>
      <w:r w:rsidRPr="004C5248">
        <w:rPr>
          <w:spacing w:val="-11"/>
        </w:rPr>
        <w:t xml:space="preserve"> </w:t>
      </w:r>
      <w:r w:rsidRPr="004C5248">
        <w:t>seit</w:t>
      </w:r>
      <w:r w:rsidRPr="004C5248">
        <w:rPr>
          <w:spacing w:val="-12"/>
        </w:rPr>
        <w:t xml:space="preserve"> </w:t>
      </w:r>
      <w:r w:rsidRPr="004C5248">
        <w:t>einigen Jahren immer offensichtlicher eine Politik der kulturellen Aneignung. Zu den Objekten dieser spätimperialistischen Politik zählt auch ein koreanisches Nationalgericht: Kimchi, ein fermentiertes säuerlich-scharf eingelegtes Kohlgemüse. China beansprucht nun, geistiger Urheber dieses Gerichts zu sein, und setzt damit fort, was es bspw. schon bei Online-Shopping und Hochgeschwindigkeitszügen praktiziert hat: Leistungen für sich in Anspruch zu nehmen, die ursprünglich in anderen Ländern entwickelt worden sind.</w:t>
      </w:r>
    </w:p>
    <w:p w14:paraId="22F50E9E" w14:textId="77777777" w:rsidR="004B5AEF" w:rsidRPr="009E35FE" w:rsidRDefault="004B5AEF" w:rsidP="004B5AEF">
      <w:pPr>
        <w:pStyle w:val="Erlaeuterung"/>
        <w:rPr>
          <w:sz w:val="24"/>
          <w:szCs w:val="24"/>
          <w:lang w:bidi="en-US"/>
        </w:rPr>
      </w:pPr>
    </w:p>
    <w:p w14:paraId="2E3E7DFE" w14:textId="7F80D405" w:rsidR="004B5AEF" w:rsidRPr="009E35FE" w:rsidRDefault="004B5AEF" w:rsidP="004B5AEF">
      <w:pPr>
        <w:pStyle w:val="Erlaeuterung"/>
        <w:rPr>
          <w:sz w:val="24"/>
          <w:szCs w:val="24"/>
          <w:lang w:bidi="en-US"/>
        </w:rPr>
      </w:pPr>
      <w:r>
        <w:rPr>
          <w:sz w:val="24"/>
          <w:szCs w:val="24"/>
          <w:lang w:bidi="en-US"/>
        </w:rPr>
        <w:t>K</w:t>
      </w:r>
      <w:r w:rsidRPr="009E35FE">
        <w:rPr>
          <w:sz w:val="24"/>
          <w:szCs w:val="24"/>
          <w:lang w:bidi="en-US"/>
        </w:rPr>
        <w:t xml:space="preserve">ultureller Imperialismus </w:t>
      </w:r>
      <w:r>
        <w:rPr>
          <w:sz w:val="24"/>
          <w:szCs w:val="24"/>
          <w:lang w:bidi="en-US"/>
        </w:rPr>
        <w:t>spielt u.a. i</w:t>
      </w:r>
      <w:r w:rsidRPr="009E35FE">
        <w:rPr>
          <w:sz w:val="24"/>
          <w:szCs w:val="24"/>
          <w:lang w:bidi="en-US"/>
        </w:rPr>
        <w:t xml:space="preserve">m Kontext </w:t>
      </w:r>
      <w:r>
        <w:rPr>
          <w:sz w:val="24"/>
          <w:szCs w:val="24"/>
          <w:lang w:bidi="en-US"/>
        </w:rPr>
        <w:t>von</w:t>
      </w:r>
      <w:r w:rsidRPr="009E35FE">
        <w:rPr>
          <w:sz w:val="24"/>
          <w:szCs w:val="24"/>
          <w:lang w:bidi="en-US"/>
        </w:rPr>
        <w:t xml:space="preserve"> Werbung</w:t>
      </w:r>
      <w:r>
        <w:rPr>
          <w:sz w:val="24"/>
          <w:szCs w:val="24"/>
          <w:lang w:bidi="en-US"/>
        </w:rPr>
        <w:t xml:space="preserve"> </w:t>
      </w:r>
      <w:r w:rsidRPr="009E35FE">
        <w:rPr>
          <w:sz w:val="24"/>
          <w:szCs w:val="24"/>
          <w:lang w:bidi="en-US"/>
        </w:rPr>
        <w:t>eine bedeut</w:t>
      </w:r>
      <w:r>
        <w:rPr>
          <w:sz w:val="24"/>
          <w:szCs w:val="24"/>
          <w:lang w:bidi="en-US"/>
        </w:rPr>
        <w:t>ende</w:t>
      </w:r>
      <w:r w:rsidRPr="009E35FE">
        <w:rPr>
          <w:sz w:val="24"/>
          <w:szCs w:val="24"/>
          <w:lang w:bidi="en-US"/>
        </w:rPr>
        <w:t xml:space="preserve"> Rolle. </w:t>
      </w:r>
      <w:r>
        <w:rPr>
          <w:sz w:val="24"/>
          <w:szCs w:val="24"/>
          <w:lang w:bidi="en-US"/>
        </w:rPr>
        <w:t xml:space="preserve">Denn </w:t>
      </w:r>
      <w:r w:rsidRPr="009E35FE">
        <w:rPr>
          <w:sz w:val="24"/>
          <w:szCs w:val="24"/>
          <w:lang w:bidi="en-US"/>
        </w:rPr>
        <w:t>Werbung</w:t>
      </w:r>
      <w:r>
        <w:rPr>
          <w:sz w:val="24"/>
          <w:szCs w:val="24"/>
          <w:lang w:bidi="en-US"/>
        </w:rPr>
        <w:t xml:space="preserve"> dient </w:t>
      </w:r>
      <w:r w:rsidRPr="009E35FE">
        <w:rPr>
          <w:sz w:val="24"/>
          <w:szCs w:val="24"/>
          <w:lang w:bidi="en-US"/>
        </w:rPr>
        <w:t xml:space="preserve">nicht nur </w:t>
      </w:r>
      <w:r>
        <w:rPr>
          <w:sz w:val="24"/>
          <w:szCs w:val="24"/>
          <w:lang w:bidi="en-US"/>
        </w:rPr>
        <w:t xml:space="preserve">der </w:t>
      </w:r>
      <w:r w:rsidRPr="009E35FE">
        <w:rPr>
          <w:sz w:val="24"/>
          <w:szCs w:val="24"/>
          <w:lang w:bidi="en-US"/>
        </w:rPr>
        <w:t xml:space="preserve">Produktinformation, sondern </w:t>
      </w:r>
      <w:r>
        <w:rPr>
          <w:sz w:val="24"/>
          <w:szCs w:val="24"/>
          <w:lang w:bidi="en-US"/>
        </w:rPr>
        <w:t xml:space="preserve">transportiert </w:t>
      </w:r>
      <w:r w:rsidRPr="009E35FE">
        <w:rPr>
          <w:sz w:val="24"/>
          <w:szCs w:val="24"/>
          <w:lang w:bidi="en-US"/>
        </w:rPr>
        <w:t xml:space="preserve">auch Ideologien, Lebensstile und Wertvorstellungen. </w:t>
      </w:r>
      <w:r>
        <w:rPr>
          <w:sz w:val="24"/>
          <w:szCs w:val="24"/>
          <w:lang w:bidi="en-US"/>
        </w:rPr>
        <w:t>T</w:t>
      </w:r>
      <w:r w:rsidRPr="009E35FE">
        <w:rPr>
          <w:sz w:val="24"/>
          <w:szCs w:val="24"/>
          <w:lang w:bidi="en-US"/>
        </w:rPr>
        <w:t xml:space="preserve">ransnationale Werbekampagnen </w:t>
      </w:r>
      <w:r>
        <w:rPr>
          <w:sz w:val="24"/>
          <w:szCs w:val="24"/>
          <w:lang w:bidi="en-US"/>
        </w:rPr>
        <w:t xml:space="preserve">bspw. fördern durch ihre Werbebotschaften (z.B. </w:t>
      </w:r>
      <w:r w:rsidRPr="009E35FE">
        <w:rPr>
          <w:sz w:val="24"/>
          <w:szCs w:val="24"/>
          <w:lang w:bidi="en-US"/>
        </w:rPr>
        <w:t>Glück, Jugend, Erfolg und Schönheit</w:t>
      </w:r>
      <w:r>
        <w:rPr>
          <w:sz w:val="24"/>
          <w:szCs w:val="24"/>
          <w:lang w:bidi="en-US"/>
        </w:rPr>
        <w:t>)</w:t>
      </w:r>
      <w:r w:rsidRPr="009E35FE">
        <w:rPr>
          <w:sz w:val="24"/>
          <w:szCs w:val="24"/>
          <w:lang w:bidi="en-US"/>
        </w:rPr>
        <w:t xml:space="preserve"> </w:t>
      </w:r>
      <w:r>
        <w:rPr>
          <w:sz w:val="24"/>
          <w:szCs w:val="24"/>
          <w:lang w:bidi="en-US"/>
        </w:rPr>
        <w:t xml:space="preserve">die Verbreitung </w:t>
      </w:r>
      <w:r w:rsidRPr="009E35FE">
        <w:rPr>
          <w:sz w:val="24"/>
          <w:szCs w:val="24"/>
          <w:lang w:bidi="en-US"/>
        </w:rPr>
        <w:t>einer globalisierten Konsumenten</w:t>
      </w:r>
      <w:r w:rsidR="0071457A">
        <w:rPr>
          <w:sz w:val="24"/>
          <w:szCs w:val="24"/>
          <w:lang w:bidi="en-US"/>
        </w:rPr>
        <w:t>k</w:t>
      </w:r>
      <w:r w:rsidRPr="009E35FE">
        <w:rPr>
          <w:sz w:val="24"/>
          <w:szCs w:val="24"/>
          <w:lang w:bidi="en-US"/>
        </w:rPr>
        <w:t xml:space="preserve">ultur. </w:t>
      </w:r>
      <w:r>
        <w:rPr>
          <w:sz w:val="24"/>
          <w:szCs w:val="24"/>
          <w:lang w:bidi="en-US"/>
        </w:rPr>
        <w:t>„Imperial</w:t>
      </w:r>
      <w:r w:rsidR="00E445CF">
        <w:rPr>
          <w:sz w:val="24"/>
          <w:szCs w:val="24"/>
          <w:lang w:bidi="en-US"/>
        </w:rPr>
        <w:t>istisch</w:t>
      </w:r>
      <w:r>
        <w:rPr>
          <w:sz w:val="24"/>
          <w:szCs w:val="24"/>
          <w:lang w:bidi="en-US"/>
        </w:rPr>
        <w:t>“ ist i</w:t>
      </w:r>
      <w:r w:rsidRPr="009E35FE">
        <w:rPr>
          <w:sz w:val="24"/>
          <w:szCs w:val="24"/>
          <w:lang w:bidi="en-US"/>
        </w:rPr>
        <w:t>n diesem Zusammenhang</w:t>
      </w:r>
      <w:r>
        <w:rPr>
          <w:sz w:val="24"/>
          <w:szCs w:val="24"/>
          <w:lang w:bidi="en-US"/>
        </w:rPr>
        <w:t>, dass</w:t>
      </w:r>
      <w:r w:rsidRPr="009E35FE">
        <w:rPr>
          <w:sz w:val="24"/>
          <w:szCs w:val="24"/>
          <w:lang w:bidi="en-US"/>
        </w:rPr>
        <w:t xml:space="preserve"> Werbung </w:t>
      </w:r>
      <w:r>
        <w:rPr>
          <w:sz w:val="24"/>
          <w:szCs w:val="24"/>
          <w:lang w:bidi="en-US"/>
        </w:rPr>
        <w:t xml:space="preserve">die </w:t>
      </w:r>
      <w:r w:rsidRPr="009E35FE">
        <w:rPr>
          <w:sz w:val="24"/>
          <w:szCs w:val="24"/>
          <w:lang w:bidi="en-US"/>
        </w:rPr>
        <w:t xml:space="preserve">Werte </w:t>
      </w:r>
      <w:r>
        <w:rPr>
          <w:sz w:val="24"/>
          <w:szCs w:val="24"/>
          <w:lang w:bidi="en-US"/>
        </w:rPr>
        <w:t>des</w:t>
      </w:r>
      <w:r w:rsidRPr="009E35FE">
        <w:rPr>
          <w:sz w:val="24"/>
          <w:szCs w:val="24"/>
          <w:lang w:bidi="en-US"/>
        </w:rPr>
        <w:t xml:space="preserve"> dominanten Kulturkreise</w:t>
      </w:r>
      <w:r>
        <w:rPr>
          <w:sz w:val="24"/>
          <w:szCs w:val="24"/>
          <w:lang w:bidi="en-US"/>
        </w:rPr>
        <w:t>s</w:t>
      </w:r>
      <w:r w:rsidRPr="009E35FE">
        <w:rPr>
          <w:sz w:val="24"/>
          <w:szCs w:val="24"/>
          <w:lang w:bidi="en-US"/>
        </w:rPr>
        <w:t xml:space="preserve"> exportiert und </w:t>
      </w:r>
      <w:r>
        <w:rPr>
          <w:sz w:val="24"/>
          <w:szCs w:val="24"/>
          <w:lang w:bidi="en-US"/>
        </w:rPr>
        <w:t>diese a</w:t>
      </w:r>
      <w:r w:rsidRPr="009E35FE">
        <w:rPr>
          <w:sz w:val="24"/>
          <w:szCs w:val="24"/>
          <w:lang w:bidi="en-US"/>
        </w:rPr>
        <w:t xml:space="preserve">nderen </w:t>
      </w:r>
      <w:r>
        <w:rPr>
          <w:sz w:val="24"/>
          <w:szCs w:val="24"/>
          <w:lang w:bidi="en-US"/>
        </w:rPr>
        <w:t xml:space="preserve">Kulturkreisen </w:t>
      </w:r>
      <w:r w:rsidRPr="009E35FE">
        <w:rPr>
          <w:sz w:val="24"/>
          <w:szCs w:val="24"/>
          <w:lang w:bidi="en-US"/>
        </w:rPr>
        <w:t>auferlegt.</w:t>
      </w:r>
      <w:r>
        <w:rPr>
          <w:sz w:val="24"/>
          <w:szCs w:val="24"/>
          <w:lang w:bidi="en-US"/>
        </w:rPr>
        <w:t xml:space="preserve"> Zugleich kommt es immer wieder vor, dass die Normen, Werte, Lebensstile etc. von Kulturen des Globalen Südens </w:t>
      </w:r>
      <w:r w:rsidRPr="009E35FE">
        <w:rPr>
          <w:sz w:val="24"/>
          <w:szCs w:val="24"/>
          <w:lang w:bidi="en-US"/>
        </w:rPr>
        <w:t xml:space="preserve">als rückständig </w:t>
      </w:r>
      <w:r>
        <w:rPr>
          <w:sz w:val="24"/>
          <w:szCs w:val="24"/>
          <w:lang w:bidi="en-US"/>
        </w:rPr>
        <w:t xml:space="preserve">dargestellt werden (vgl. </w:t>
      </w:r>
      <w:r w:rsidRPr="00EC1796">
        <w:rPr>
          <w:sz w:val="24"/>
          <w:szCs w:val="24"/>
          <w:lang w:bidi="en-US"/>
        </w:rPr>
        <w:t>Bhattacharjee</w:t>
      </w:r>
      <w:r>
        <w:rPr>
          <w:sz w:val="24"/>
          <w:szCs w:val="24"/>
          <w:lang w:bidi="en-US"/>
        </w:rPr>
        <w:t xml:space="preserve"> </w:t>
      </w:r>
      <w:r w:rsidRPr="00EC1796">
        <w:rPr>
          <w:sz w:val="24"/>
          <w:szCs w:val="24"/>
          <w:lang w:bidi="en-US"/>
        </w:rPr>
        <w:t>2017)</w:t>
      </w:r>
      <w:r>
        <w:rPr>
          <w:sz w:val="24"/>
          <w:szCs w:val="24"/>
          <w:lang w:bidi="en-US"/>
        </w:rPr>
        <w:t>.</w:t>
      </w:r>
    </w:p>
    <w:p w14:paraId="2E7454C3" w14:textId="77777777" w:rsidR="004B5AEF" w:rsidRDefault="004B5AEF" w:rsidP="004B5AEF">
      <w:pPr>
        <w:pStyle w:val="Erlaeuterung"/>
        <w:rPr>
          <w:sz w:val="24"/>
          <w:szCs w:val="24"/>
          <w:lang w:bidi="en-US"/>
        </w:rPr>
      </w:pPr>
    </w:p>
    <w:p w14:paraId="3E36513D" w14:textId="3FF7E278" w:rsidR="004B5AEF" w:rsidRDefault="004B5AEF" w:rsidP="004B5AEF">
      <w:pPr>
        <w:pStyle w:val="Erlaeuterung"/>
        <w:rPr>
          <w:sz w:val="24"/>
          <w:szCs w:val="24"/>
          <w:lang w:bidi="en-US"/>
        </w:rPr>
      </w:pPr>
      <w:r w:rsidRPr="009E35FE">
        <w:rPr>
          <w:sz w:val="24"/>
          <w:szCs w:val="24"/>
          <w:lang w:bidi="en-US"/>
        </w:rPr>
        <w:t>Ein</w:t>
      </w:r>
      <w:r>
        <w:rPr>
          <w:sz w:val="24"/>
          <w:szCs w:val="24"/>
          <w:lang w:bidi="en-US"/>
        </w:rPr>
        <w:t>e</w:t>
      </w:r>
      <w:r w:rsidRPr="009E35FE">
        <w:rPr>
          <w:sz w:val="24"/>
          <w:szCs w:val="24"/>
          <w:lang w:bidi="en-US"/>
        </w:rPr>
        <w:t xml:space="preserve"> </w:t>
      </w:r>
      <w:r>
        <w:rPr>
          <w:sz w:val="24"/>
          <w:szCs w:val="24"/>
          <w:lang w:bidi="en-US"/>
        </w:rPr>
        <w:t>Sonderr</w:t>
      </w:r>
      <w:r w:rsidRPr="009E35FE">
        <w:rPr>
          <w:sz w:val="24"/>
          <w:szCs w:val="24"/>
          <w:lang w:bidi="en-US"/>
        </w:rPr>
        <w:t xml:space="preserve">olle </w:t>
      </w:r>
      <w:r>
        <w:rPr>
          <w:sz w:val="24"/>
          <w:szCs w:val="24"/>
          <w:lang w:bidi="en-US"/>
        </w:rPr>
        <w:t xml:space="preserve">spielt in diesem Zusammenhang die </w:t>
      </w:r>
      <w:r w:rsidRPr="009E35FE">
        <w:rPr>
          <w:sz w:val="24"/>
          <w:szCs w:val="24"/>
          <w:lang w:bidi="en-US"/>
        </w:rPr>
        <w:t>englische Sprache</w:t>
      </w:r>
      <w:r>
        <w:rPr>
          <w:sz w:val="24"/>
          <w:szCs w:val="24"/>
          <w:lang w:bidi="en-US"/>
        </w:rPr>
        <w:t>. I</w:t>
      </w:r>
      <w:r w:rsidRPr="009E35FE">
        <w:rPr>
          <w:sz w:val="24"/>
          <w:szCs w:val="24"/>
          <w:lang w:bidi="en-US"/>
        </w:rPr>
        <w:t>n internationalen Werbekampagnen</w:t>
      </w:r>
      <w:r>
        <w:rPr>
          <w:sz w:val="24"/>
          <w:szCs w:val="24"/>
          <w:lang w:bidi="en-US"/>
        </w:rPr>
        <w:t xml:space="preserve"> dient </w:t>
      </w:r>
      <w:r w:rsidRPr="009E35FE">
        <w:rPr>
          <w:sz w:val="24"/>
          <w:szCs w:val="24"/>
          <w:lang w:bidi="en-US"/>
        </w:rPr>
        <w:t xml:space="preserve">Englisch </w:t>
      </w:r>
      <w:r>
        <w:rPr>
          <w:sz w:val="24"/>
          <w:szCs w:val="24"/>
          <w:lang w:bidi="en-US"/>
        </w:rPr>
        <w:t xml:space="preserve">oft </w:t>
      </w:r>
      <w:r w:rsidRPr="009E35FE">
        <w:rPr>
          <w:sz w:val="24"/>
          <w:szCs w:val="24"/>
          <w:lang w:bidi="en-US"/>
        </w:rPr>
        <w:t>als Symbol für Modernität</w:t>
      </w:r>
      <w:r>
        <w:rPr>
          <w:sz w:val="24"/>
          <w:szCs w:val="24"/>
          <w:lang w:bidi="en-US"/>
        </w:rPr>
        <w:t xml:space="preserve"> </w:t>
      </w:r>
      <w:r w:rsidRPr="009E35FE">
        <w:rPr>
          <w:sz w:val="24"/>
          <w:szCs w:val="24"/>
          <w:lang w:bidi="en-US"/>
        </w:rPr>
        <w:t xml:space="preserve">und Zugehörigkeit zur globalisierten Welt. </w:t>
      </w:r>
      <w:r>
        <w:rPr>
          <w:sz w:val="24"/>
          <w:szCs w:val="24"/>
          <w:lang w:bidi="en-US"/>
        </w:rPr>
        <w:t xml:space="preserve">Man kann dies als eine Unterform von </w:t>
      </w:r>
      <w:r w:rsidRPr="009E35FE">
        <w:rPr>
          <w:sz w:val="24"/>
          <w:szCs w:val="24"/>
          <w:lang w:bidi="en-US"/>
        </w:rPr>
        <w:t>kulturelle</w:t>
      </w:r>
      <w:r>
        <w:rPr>
          <w:sz w:val="24"/>
          <w:szCs w:val="24"/>
          <w:lang w:bidi="en-US"/>
        </w:rPr>
        <w:t>m</w:t>
      </w:r>
      <w:r w:rsidRPr="009E35FE">
        <w:rPr>
          <w:sz w:val="24"/>
          <w:szCs w:val="24"/>
          <w:lang w:bidi="en-US"/>
        </w:rPr>
        <w:t xml:space="preserve"> Imperialismus</w:t>
      </w:r>
      <w:r>
        <w:rPr>
          <w:sz w:val="24"/>
          <w:szCs w:val="24"/>
          <w:lang w:bidi="en-US"/>
        </w:rPr>
        <w:t xml:space="preserve"> betrachten</w:t>
      </w:r>
      <w:r w:rsidRPr="009E35FE">
        <w:rPr>
          <w:sz w:val="24"/>
          <w:szCs w:val="24"/>
          <w:lang w:bidi="en-US"/>
        </w:rPr>
        <w:t xml:space="preserve">, da </w:t>
      </w:r>
      <w:r>
        <w:rPr>
          <w:sz w:val="24"/>
          <w:szCs w:val="24"/>
          <w:lang w:bidi="en-US"/>
        </w:rPr>
        <w:t xml:space="preserve">dadurch </w:t>
      </w:r>
      <w:r w:rsidRPr="009E35FE">
        <w:rPr>
          <w:sz w:val="24"/>
          <w:szCs w:val="24"/>
          <w:lang w:bidi="en-US"/>
        </w:rPr>
        <w:t xml:space="preserve">lokale Sprachen </w:t>
      </w:r>
      <w:r>
        <w:rPr>
          <w:sz w:val="24"/>
          <w:szCs w:val="24"/>
          <w:lang w:bidi="en-US"/>
        </w:rPr>
        <w:t>an Bedeutung verlieren (vgl. Bibi et al. 2024).</w:t>
      </w:r>
      <w:r w:rsidRPr="009E35FE">
        <w:rPr>
          <w:sz w:val="24"/>
          <w:szCs w:val="24"/>
          <w:lang w:bidi="en-US"/>
        </w:rPr>
        <w:t xml:space="preserve"> </w:t>
      </w:r>
    </w:p>
    <w:p w14:paraId="16AF567F" w14:textId="77777777" w:rsidR="004B5AEF" w:rsidRDefault="004B5AEF" w:rsidP="004B5AEF">
      <w:pPr>
        <w:pStyle w:val="Erlaeuterung"/>
        <w:rPr>
          <w:szCs w:val="24"/>
          <w:lang w:bidi="en-US"/>
        </w:rPr>
      </w:pPr>
    </w:p>
    <w:p w14:paraId="2AFA16E9" w14:textId="77777777" w:rsidR="004B5AEF" w:rsidRPr="002350BE" w:rsidRDefault="004B5AEF" w:rsidP="004B5AEF">
      <w:pPr>
        <w:pStyle w:val="Erlaeuterung"/>
        <w:rPr>
          <w:sz w:val="22"/>
          <w:szCs w:val="22"/>
          <w:lang w:bidi="en-US"/>
        </w:rPr>
      </w:pPr>
      <w:r w:rsidRPr="004B5AEF">
        <w:rPr>
          <w:b/>
          <w:bCs w:val="0"/>
          <w:i/>
          <w:sz w:val="22"/>
          <w:szCs w:val="22"/>
          <w:u w:val="single"/>
          <w:lang w:val="en-US" w:bidi="en-US"/>
        </w:rPr>
        <w:t>Literatur:</w:t>
      </w:r>
      <w:r w:rsidRPr="007F69DA">
        <w:rPr>
          <w:szCs w:val="24"/>
          <w:u w:val="single"/>
          <w:lang w:val="en-US" w:bidi="en-US"/>
        </w:rPr>
        <w:t xml:space="preserve"> </w:t>
      </w:r>
      <w:r w:rsidRPr="002350BE">
        <w:rPr>
          <w:sz w:val="22"/>
          <w:szCs w:val="22"/>
          <w:lang w:bidi="en-US"/>
        </w:rPr>
        <w:t>Bhattacharjee, A. (2017): Impact of “Cultural Imperialism” on Advertising and Marketing, Journal of Intercultural Communication, 17(3), 1-12.   Bibi, S.A.; Irshad, H.; Khan, S. (2024): Globalization and Englisch in Advertising, Journal of Applied Linguistics and TESOL (JALT), 7(4): 1405-1418</w:t>
      </w:r>
      <w:r>
        <w:rPr>
          <w:sz w:val="22"/>
          <w:szCs w:val="22"/>
          <w:lang w:bidi="en-US"/>
        </w:rPr>
        <w:t xml:space="preserve">.    </w:t>
      </w:r>
      <w:r w:rsidRPr="003B03AD">
        <w:rPr>
          <w:i/>
          <w:sz w:val="22"/>
          <w:szCs w:val="22"/>
        </w:rPr>
        <w:t xml:space="preserve"> </w:t>
      </w:r>
      <w:r w:rsidRPr="003B03AD">
        <w:rPr>
          <w:sz w:val="22"/>
          <w:szCs w:val="22"/>
        </w:rPr>
        <w:t>Fanon, F. (1966): Die Verdammten dieser Erde. Frankfurt/Main: Suhrkamp.</w:t>
      </w:r>
      <w:r w:rsidRPr="003B03AD">
        <w:rPr>
          <w:spacing w:val="80"/>
          <w:sz w:val="22"/>
          <w:szCs w:val="22"/>
        </w:rPr>
        <w:t xml:space="preserve"> </w:t>
      </w:r>
      <w:r w:rsidRPr="002350BE">
        <w:rPr>
          <w:sz w:val="22"/>
          <w:szCs w:val="22"/>
          <w:lang w:bidi="en-US"/>
        </w:rPr>
        <w:t xml:space="preserve">Noren, J. (2025): </w:t>
      </w:r>
      <w:r w:rsidRPr="009E35FE">
        <w:rPr>
          <w:sz w:val="22"/>
          <w:szCs w:val="22"/>
          <w:lang w:bidi="en-US"/>
        </w:rPr>
        <w:t>Advertising and Global Culture</w:t>
      </w:r>
      <w:r w:rsidRPr="002350BE">
        <w:rPr>
          <w:sz w:val="22"/>
          <w:szCs w:val="22"/>
          <w:lang w:bidi="en-US"/>
        </w:rPr>
        <w:t>,</w:t>
      </w:r>
      <w:r w:rsidRPr="009E35FE">
        <w:rPr>
          <w:sz w:val="22"/>
          <w:szCs w:val="22"/>
          <w:lang w:bidi="en-US"/>
        </w:rPr>
        <w:t xml:space="preserve"> </w:t>
      </w:r>
    </w:p>
    <w:p w14:paraId="0B72DE6F" w14:textId="380C03BB" w:rsidR="004B5AEF" w:rsidRPr="004B5AEF" w:rsidRDefault="004B5AEF" w:rsidP="004B5AEF">
      <w:pPr>
        <w:pStyle w:val="Erlaeuterung"/>
        <w:rPr>
          <w:sz w:val="22"/>
          <w:szCs w:val="22"/>
          <w:lang w:bidi="en-US"/>
        </w:rPr>
      </w:pPr>
      <w:hyperlink r:id="rId67" w:history="1">
        <w:r w:rsidRPr="002350BE">
          <w:rPr>
            <w:rStyle w:val="Hyperlink"/>
            <w:sz w:val="22"/>
            <w:szCs w:val="22"/>
            <w:lang w:bidi="en-US"/>
          </w:rPr>
          <w:t>https://www.culturalsurvival.org/publications/cultural-survival-quarterly/advertising-and-global-culture?utm_source=chatgpt.com/</w:t>
        </w:r>
      </w:hyperlink>
      <w:r w:rsidRPr="002350BE">
        <w:rPr>
          <w:sz w:val="22"/>
          <w:szCs w:val="22"/>
          <w:lang w:bidi="en-US"/>
        </w:rPr>
        <w:t xml:space="preserve"> (31.10.2025)</w:t>
      </w:r>
      <w:r>
        <w:rPr>
          <w:sz w:val="22"/>
          <w:szCs w:val="22"/>
          <w:lang w:bidi="en-US"/>
        </w:rPr>
        <w:t xml:space="preserve">    </w:t>
      </w:r>
      <w:r w:rsidRPr="003B03AD">
        <w:rPr>
          <w:sz w:val="22"/>
          <w:szCs w:val="22"/>
        </w:rPr>
        <w:t>Young, I.M. (2002): Fünf Formen der Unterdrückung, in: Horn, C.; Scarano, N. (Hrsg.), Philosophie der Gerechtigkeit. Texte von der Antike bis zur Gegenwart, Frankfurt/Main: Suhrkamp</w:t>
      </w:r>
      <w:r w:rsidRPr="003B03AD">
        <w:t>.</w:t>
      </w:r>
    </w:p>
    <w:p w14:paraId="50CBF069" w14:textId="77777777" w:rsidR="004B5AEF" w:rsidRPr="00E73F6F" w:rsidRDefault="004B5AEF" w:rsidP="004B5AEF">
      <w:pPr>
        <w:pStyle w:val="StandardText"/>
      </w:pPr>
    </w:p>
    <w:p w14:paraId="14FEE6AD" w14:textId="77777777" w:rsidR="00FF7799" w:rsidRPr="0071457A" w:rsidRDefault="00FF7799" w:rsidP="0071457A">
      <w:pPr>
        <w:keepNext/>
        <w:keepLines/>
        <w:spacing w:before="240"/>
        <w:jc w:val="both"/>
        <w:outlineLvl w:val="1"/>
        <w:rPr>
          <w:b/>
          <w:bCs/>
          <w:color w:val="2E74B5"/>
        </w:rPr>
      </w:pPr>
      <w:r w:rsidRPr="0071457A">
        <w:rPr>
          <w:b/>
          <w:bCs/>
          <w:color w:val="2E74B5"/>
        </w:rPr>
        <w:t>In Group</w:t>
      </w:r>
    </w:p>
    <w:p w14:paraId="11E441BC" w14:textId="77777777" w:rsidR="00FF7799" w:rsidRPr="00E73F6F" w:rsidRDefault="00FF7799" w:rsidP="00957B22">
      <w:pPr>
        <w:pStyle w:val="StandardText"/>
      </w:pPr>
      <w:r w:rsidRPr="00E73F6F">
        <w:t>für</w:t>
      </w:r>
      <w:r w:rsidRPr="00E73F6F">
        <w:rPr>
          <w:spacing w:val="-12"/>
        </w:rPr>
        <w:t xml:space="preserve"> </w:t>
      </w:r>
      <w:r w:rsidRPr="00E73F6F">
        <w:t>die</w:t>
      </w:r>
      <w:r w:rsidRPr="00E73F6F">
        <w:rPr>
          <w:spacing w:val="-11"/>
        </w:rPr>
        <w:t xml:space="preserve"> </w:t>
      </w:r>
      <w:r w:rsidRPr="00E73F6F">
        <w:t>Entwicklung</w:t>
      </w:r>
      <w:r w:rsidRPr="00E73F6F">
        <w:rPr>
          <w:spacing w:val="-11"/>
        </w:rPr>
        <w:t xml:space="preserve"> </w:t>
      </w:r>
      <w:r w:rsidRPr="00E73F6F">
        <w:t>sozialer</w:t>
      </w:r>
      <w:r w:rsidRPr="00E73F6F">
        <w:rPr>
          <w:spacing w:val="-11"/>
        </w:rPr>
        <w:t xml:space="preserve"> </w:t>
      </w:r>
      <w:r w:rsidRPr="00E73F6F">
        <w:t>Identität</w:t>
      </w:r>
      <w:r w:rsidRPr="00E73F6F">
        <w:rPr>
          <w:spacing w:val="-12"/>
        </w:rPr>
        <w:t xml:space="preserve"> </w:t>
      </w:r>
      <w:r w:rsidRPr="00E73F6F">
        <w:t>wichtige</w:t>
      </w:r>
      <w:r w:rsidRPr="00E73F6F">
        <w:rPr>
          <w:spacing w:val="-11"/>
        </w:rPr>
        <w:t xml:space="preserve"> </w:t>
      </w:r>
      <w:r w:rsidRPr="00E73F6F">
        <w:t>Bezugsgruppe.</w:t>
      </w:r>
      <w:r w:rsidRPr="00E73F6F">
        <w:rPr>
          <w:spacing w:val="-11"/>
        </w:rPr>
        <w:t xml:space="preserve"> </w:t>
      </w:r>
      <w:r w:rsidRPr="00E73F6F">
        <w:t>Gemäß</w:t>
      </w:r>
      <w:r w:rsidRPr="00E73F6F">
        <w:rPr>
          <w:spacing w:val="-11"/>
        </w:rPr>
        <w:t xml:space="preserve"> </w:t>
      </w:r>
      <w:r w:rsidRPr="00E73F6F">
        <w:t>der</w:t>
      </w:r>
      <w:r w:rsidRPr="00E73F6F">
        <w:rPr>
          <w:spacing w:val="-12"/>
        </w:rPr>
        <w:t xml:space="preserve"> </w:t>
      </w:r>
      <w:r w:rsidR="003B03AD">
        <w:rPr>
          <w:spacing w:val="-12"/>
        </w:rPr>
        <w:sym w:font="Symbol" w:char="F0DE"/>
      </w:r>
      <w:r w:rsidR="003B03AD">
        <w:rPr>
          <w:spacing w:val="-12"/>
        </w:rPr>
        <w:t xml:space="preserve"> </w:t>
      </w:r>
      <w:r w:rsidRPr="00E73F6F">
        <w:t>Theorie der</w:t>
      </w:r>
      <w:r w:rsidRPr="00E73F6F">
        <w:rPr>
          <w:spacing w:val="-4"/>
        </w:rPr>
        <w:t xml:space="preserve"> </w:t>
      </w:r>
      <w:r w:rsidRPr="00E73F6F">
        <w:t>sozialen</w:t>
      </w:r>
      <w:r w:rsidRPr="00E73F6F">
        <w:rPr>
          <w:spacing w:val="-3"/>
        </w:rPr>
        <w:t xml:space="preserve"> </w:t>
      </w:r>
      <w:r w:rsidRPr="00E73F6F">
        <w:t>Identität</w:t>
      </w:r>
      <w:r w:rsidRPr="00E73F6F">
        <w:rPr>
          <w:spacing w:val="-2"/>
        </w:rPr>
        <w:t xml:space="preserve"> </w:t>
      </w:r>
      <w:r w:rsidRPr="00E73F6F">
        <w:t>verfügen</w:t>
      </w:r>
      <w:r w:rsidRPr="00E73F6F">
        <w:rPr>
          <w:spacing w:val="-3"/>
        </w:rPr>
        <w:t xml:space="preserve"> </w:t>
      </w:r>
      <w:r w:rsidRPr="00E73F6F">
        <w:t>Menschen</w:t>
      </w:r>
      <w:r w:rsidRPr="00E73F6F">
        <w:rPr>
          <w:spacing w:val="-1"/>
        </w:rPr>
        <w:t xml:space="preserve"> </w:t>
      </w:r>
      <w:r w:rsidRPr="00E73F6F">
        <w:t>neben</w:t>
      </w:r>
      <w:r w:rsidRPr="00E73F6F">
        <w:rPr>
          <w:spacing w:val="-2"/>
        </w:rPr>
        <w:t xml:space="preserve"> </w:t>
      </w:r>
      <w:r w:rsidRPr="00E73F6F">
        <w:t>ihrer</w:t>
      </w:r>
      <w:r w:rsidRPr="00E73F6F">
        <w:rPr>
          <w:spacing w:val="-4"/>
        </w:rPr>
        <w:t xml:space="preserve"> </w:t>
      </w:r>
      <w:r w:rsidRPr="00E73F6F">
        <w:t>persönlichen</w:t>
      </w:r>
      <w:r w:rsidRPr="00E73F6F">
        <w:rPr>
          <w:spacing w:val="-5"/>
        </w:rPr>
        <w:t xml:space="preserve"> </w:t>
      </w:r>
      <w:r w:rsidRPr="00E73F6F">
        <w:t>Identität</w:t>
      </w:r>
      <w:r w:rsidRPr="00E73F6F">
        <w:rPr>
          <w:spacing w:val="-2"/>
        </w:rPr>
        <w:t xml:space="preserve"> </w:t>
      </w:r>
      <w:r w:rsidRPr="00E73F6F">
        <w:t>auch über eine soziale Identität. Letztere ergibt sich aus der Zugehörigkeit zu einer sozialen Gruppe, der ‘in group‘. Nicht minder wichtig ist die Abgrenzung von anderen Gruppen (‘out group‘). Dabei werden Unterschiede, die zwischen der eigenen</w:t>
      </w:r>
      <w:r w:rsidRPr="00E73F6F">
        <w:rPr>
          <w:spacing w:val="-12"/>
        </w:rPr>
        <w:t xml:space="preserve"> </w:t>
      </w:r>
      <w:r w:rsidRPr="00E73F6F">
        <w:t>Gruppe</w:t>
      </w:r>
      <w:r w:rsidRPr="00E73F6F">
        <w:rPr>
          <w:spacing w:val="-11"/>
        </w:rPr>
        <w:t xml:space="preserve"> </w:t>
      </w:r>
      <w:r w:rsidRPr="00E73F6F">
        <w:t>und</w:t>
      </w:r>
      <w:r w:rsidRPr="00E73F6F">
        <w:rPr>
          <w:spacing w:val="-11"/>
        </w:rPr>
        <w:t xml:space="preserve"> </w:t>
      </w:r>
      <w:r w:rsidRPr="00E73F6F">
        <w:t>anderen</w:t>
      </w:r>
      <w:r w:rsidRPr="00E73F6F">
        <w:rPr>
          <w:spacing w:val="-11"/>
        </w:rPr>
        <w:t xml:space="preserve"> </w:t>
      </w:r>
      <w:r w:rsidRPr="00E73F6F">
        <w:t>Gruppen</w:t>
      </w:r>
      <w:r w:rsidRPr="00E73F6F">
        <w:rPr>
          <w:spacing w:val="-12"/>
        </w:rPr>
        <w:t xml:space="preserve"> </w:t>
      </w:r>
      <w:r w:rsidRPr="00E73F6F">
        <w:t>bestehen</w:t>
      </w:r>
      <w:r w:rsidRPr="00E73F6F">
        <w:rPr>
          <w:spacing w:val="-11"/>
        </w:rPr>
        <w:t xml:space="preserve"> </w:t>
      </w:r>
      <w:r w:rsidRPr="00E73F6F">
        <w:t>und</w:t>
      </w:r>
      <w:r w:rsidRPr="00E73F6F">
        <w:rPr>
          <w:spacing w:val="-11"/>
        </w:rPr>
        <w:t xml:space="preserve"> </w:t>
      </w:r>
      <w:r w:rsidRPr="00E73F6F">
        <w:t>für</w:t>
      </w:r>
      <w:r w:rsidRPr="00E73F6F">
        <w:rPr>
          <w:spacing w:val="-11"/>
        </w:rPr>
        <w:t xml:space="preserve"> </w:t>
      </w:r>
      <w:r w:rsidRPr="00E73F6F">
        <w:t>die</w:t>
      </w:r>
      <w:r w:rsidRPr="00E73F6F">
        <w:rPr>
          <w:spacing w:val="-12"/>
        </w:rPr>
        <w:t xml:space="preserve"> </w:t>
      </w:r>
      <w:r w:rsidRPr="00E73F6F">
        <w:t>Definition</w:t>
      </w:r>
      <w:r w:rsidRPr="00E73F6F">
        <w:rPr>
          <w:spacing w:val="-11"/>
        </w:rPr>
        <w:t xml:space="preserve"> </w:t>
      </w:r>
      <w:r w:rsidRPr="00E73F6F">
        <w:t>der</w:t>
      </w:r>
      <w:r w:rsidRPr="00E73F6F">
        <w:rPr>
          <w:spacing w:val="-11"/>
        </w:rPr>
        <w:t xml:space="preserve"> </w:t>
      </w:r>
      <w:r w:rsidRPr="00E73F6F">
        <w:t>sozialen Identität bedeutsam sind, überbetont (bzw. übertrieben). Übertrieben wird auch das Ausmaß, in dem die eigene Gruppe über diese identitätsstiftenden Eigenschaften verfügt.</w:t>
      </w:r>
    </w:p>
    <w:p w14:paraId="7CBA7653" w14:textId="77777777" w:rsidR="00DC0CC2" w:rsidRPr="00E73F6F" w:rsidRDefault="00DC0CC2" w:rsidP="00957B22">
      <w:pPr>
        <w:pStyle w:val="StandardText"/>
      </w:pPr>
    </w:p>
    <w:p w14:paraId="185A54BA" w14:textId="77777777" w:rsidR="00FF7799" w:rsidRPr="003B03AD" w:rsidRDefault="00FF7799" w:rsidP="00957B22">
      <w:pPr>
        <w:pStyle w:val="StandardText"/>
        <w:rPr>
          <w:sz w:val="22"/>
          <w:szCs w:val="22"/>
          <w:lang w:val="en-US"/>
        </w:rPr>
      </w:pPr>
      <w:r w:rsidRPr="003B03AD">
        <w:rPr>
          <w:b/>
          <w:i/>
          <w:sz w:val="22"/>
          <w:szCs w:val="22"/>
          <w:lang w:val="en-US"/>
        </w:rPr>
        <w:t>Literatur:</w:t>
      </w:r>
      <w:r w:rsidRPr="003B03AD">
        <w:rPr>
          <w:b/>
          <w:sz w:val="22"/>
          <w:szCs w:val="22"/>
          <w:lang w:val="en-US"/>
        </w:rPr>
        <w:t xml:space="preserve"> </w:t>
      </w:r>
      <w:r w:rsidRPr="003B03AD">
        <w:rPr>
          <w:sz w:val="22"/>
          <w:szCs w:val="22"/>
          <w:lang w:val="en-US"/>
        </w:rPr>
        <w:t>Tajfel, H.; Turner, J.</w:t>
      </w:r>
      <w:r w:rsidRPr="003B03AD">
        <w:rPr>
          <w:spacing w:val="35"/>
          <w:sz w:val="22"/>
          <w:szCs w:val="22"/>
          <w:lang w:val="en-US"/>
        </w:rPr>
        <w:t xml:space="preserve"> </w:t>
      </w:r>
      <w:r w:rsidRPr="003B03AD">
        <w:rPr>
          <w:sz w:val="22"/>
          <w:szCs w:val="22"/>
          <w:lang w:val="en-US"/>
        </w:rPr>
        <w:t>(1986): The Social Identity Theory of Intergroup</w:t>
      </w:r>
      <w:r w:rsidRPr="003B03AD">
        <w:rPr>
          <w:spacing w:val="40"/>
          <w:sz w:val="22"/>
          <w:szCs w:val="22"/>
          <w:lang w:val="en-US"/>
        </w:rPr>
        <w:t xml:space="preserve"> </w:t>
      </w:r>
      <w:r w:rsidRPr="003B03AD">
        <w:rPr>
          <w:sz w:val="22"/>
          <w:szCs w:val="22"/>
          <w:lang w:val="en-US"/>
        </w:rPr>
        <w:t>Behaviour,</w:t>
      </w:r>
      <w:r w:rsidRPr="003B03AD">
        <w:rPr>
          <w:spacing w:val="-3"/>
          <w:sz w:val="22"/>
          <w:szCs w:val="22"/>
          <w:lang w:val="en-US"/>
        </w:rPr>
        <w:t xml:space="preserve"> </w:t>
      </w:r>
      <w:r w:rsidRPr="003B03AD">
        <w:rPr>
          <w:sz w:val="22"/>
          <w:szCs w:val="22"/>
          <w:lang w:val="en-US"/>
        </w:rPr>
        <w:t>in:</w:t>
      </w:r>
      <w:r w:rsidRPr="003B03AD">
        <w:rPr>
          <w:spacing w:val="-3"/>
          <w:sz w:val="22"/>
          <w:szCs w:val="22"/>
          <w:lang w:val="en-US"/>
        </w:rPr>
        <w:t xml:space="preserve"> </w:t>
      </w:r>
      <w:r w:rsidRPr="003B03AD">
        <w:rPr>
          <w:sz w:val="22"/>
          <w:szCs w:val="22"/>
          <w:lang w:val="en-US"/>
        </w:rPr>
        <w:t>Worchel,</w:t>
      </w:r>
      <w:r w:rsidRPr="003B03AD">
        <w:rPr>
          <w:spacing w:val="-3"/>
          <w:sz w:val="22"/>
          <w:szCs w:val="22"/>
          <w:lang w:val="en-US"/>
        </w:rPr>
        <w:t xml:space="preserve"> </w:t>
      </w:r>
      <w:r w:rsidRPr="003B03AD">
        <w:rPr>
          <w:sz w:val="22"/>
          <w:szCs w:val="22"/>
          <w:lang w:val="en-US"/>
        </w:rPr>
        <w:t>S.;</w:t>
      </w:r>
      <w:r w:rsidRPr="003B03AD">
        <w:rPr>
          <w:spacing w:val="-3"/>
          <w:sz w:val="22"/>
          <w:szCs w:val="22"/>
          <w:lang w:val="en-US"/>
        </w:rPr>
        <w:t xml:space="preserve"> </w:t>
      </w:r>
      <w:r w:rsidRPr="003B03AD">
        <w:rPr>
          <w:sz w:val="22"/>
          <w:szCs w:val="22"/>
          <w:lang w:val="en-US"/>
        </w:rPr>
        <w:t>Austin,</w:t>
      </w:r>
      <w:r w:rsidRPr="003B03AD">
        <w:rPr>
          <w:spacing w:val="-5"/>
          <w:sz w:val="22"/>
          <w:szCs w:val="22"/>
          <w:lang w:val="en-US"/>
        </w:rPr>
        <w:t xml:space="preserve"> </w:t>
      </w:r>
      <w:r w:rsidRPr="003B03AD">
        <w:rPr>
          <w:sz w:val="22"/>
          <w:szCs w:val="22"/>
          <w:lang w:val="en-US"/>
        </w:rPr>
        <w:t>W.G.</w:t>
      </w:r>
      <w:r w:rsidRPr="003B03AD">
        <w:rPr>
          <w:spacing w:val="-3"/>
          <w:sz w:val="22"/>
          <w:szCs w:val="22"/>
          <w:lang w:val="en-US"/>
        </w:rPr>
        <w:t xml:space="preserve"> </w:t>
      </w:r>
      <w:r w:rsidRPr="003B03AD">
        <w:rPr>
          <w:sz w:val="22"/>
          <w:szCs w:val="22"/>
          <w:lang w:val="en-US"/>
        </w:rPr>
        <w:t>(Eds.) Psychology</w:t>
      </w:r>
      <w:r w:rsidRPr="003B03AD">
        <w:rPr>
          <w:spacing w:val="-4"/>
          <w:sz w:val="22"/>
          <w:szCs w:val="22"/>
          <w:lang w:val="en-US"/>
        </w:rPr>
        <w:t xml:space="preserve"> </w:t>
      </w:r>
      <w:r w:rsidRPr="003B03AD">
        <w:rPr>
          <w:sz w:val="22"/>
          <w:szCs w:val="22"/>
          <w:lang w:val="en-US"/>
        </w:rPr>
        <w:t>of</w:t>
      </w:r>
      <w:r w:rsidRPr="003B03AD">
        <w:rPr>
          <w:spacing w:val="-4"/>
          <w:sz w:val="22"/>
          <w:szCs w:val="22"/>
          <w:lang w:val="en-US"/>
        </w:rPr>
        <w:t xml:space="preserve"> </w:t>
      </w:r>
      <w:r w:rsidRPr="003B03AD">
        <w:rPr>
          <w:sz w:val="22"/>
          <w:szCs w:val="22"/>
          <w:lang w:val="en-US"/>
        </w:rPr>
        <w:t>Intergroup</w:t>
      </w:r>
      <w:r w:rsidRPr="003B03AD">
        <w:rPr>
          <w:spacing w:val="-4"/>
          <w:sz w:val="22"/>
          <w:szCs w:val="22"/>
          <w:lang w:val="en-US"/>
        </w:rPr>
        <w:t xml:space="preserve"> </w:t>
      </w:r>
      <w:r w:rsidRPr="003B03AD">
        <w:rPr>
          <w:sz w:val="22"/>
          <w:szCs w:val="22"/>
          <w:lang w:val="en-US"/>
        </w:rPr>
        <w:t>Relations,</w:t>
      </w:r>
      <w:r w:rsidRPr="003B03AD">
        <w:rPr>
          <w:spacing w:val="-2"/>
          <w:sz w:val="22"/>
          <w:szCs w:val="22"/>
          <w:lang w:val="en-US"/>
        </w:rPr>
        <w:t xml:space="preserve"> </w:t>
      </w:r>
      <w:r w:rsidRPr="003B03AD">
        <w:rPr>
          <w:sz w:val="22"/>
          <w:szCs w:val="22"/>
          <w:lang w:val="en-US"/>
        </w:rPr>
        <w:t>2</w:t>
      </w:r>
      <w:r w:rsidRPr="003B03AD">
        <w:rPr>
          <w:sz w:val="22"/>
          <w:szCs w:val="22"/>
          <w:vertAlign w:val="superscript"/>
          <w:lang w:val="en-US"/>
        </w:rPr>
        <w:t>nd</w:t>
      </w:r>
      <w:r w:rsidRPr="003B03AD">
        <w:rPr>
          <w:spacing w:val="40"/>
          <w:sz w:val="22"/>
          <w:szCs w:val="22"/>
          <w:lang w:val="en-US"/>
        </w:rPr>
        <w:t xml:space="preserve"> </w:t>
      </w:r>
      <w:r w:rsidRPr="003B03AD">
        <w:rPr>
          <w:sz w:val="22"/>
          <w:szCs w:val="22"/>
          <w:lang w:val="en-US"/>
        </w:rPr>
        <w:t>Ed., 7-24, Chicago: Nelson-Hall.</w:t>
      </w:r>
      <w:r w:rsidRPr="003B03AD">
        <w:rPr>
          <w:spacing w:val="40"/>
          <w:sz w:val="22"/>
          <w:szCs w:val="22"/>
          <w:lang w:val="en-US"/>
        </w:rPr>
        <w:t xml:space="preserve"> </w:t>
      </w:r>
      <w:r w:rsidRPr="003B03AD">
        <w:rPr>
          <w:sz w:val="22"/>
          <w:szCs w:val="22"/>
          <w:lang w:val="en-US"/>
        </w:rPr>
        <w:t>Tajfel, H.; Wilkes, A.L.</w:t>
      </w:r>
      <w:r w:rsidRPr="003B03AD">
        <w:rPr>
          <w:spacing w:val="37"/>
          <w:sz w:val="22"/>
          <w:szCs w:val="22"/>
          <w:lang w:val="en-US"/>
        </w:rPr>
        <w:t xml:space="preserve"> </w:t>
      </w:r>
      <w:r w:rsidRPr="003B03AD">
        <w:rPr>
          <w:sz w:val="22"/>
          <w:szCs w:val="22"/>
          <w:lang w:val="en-US"/>
        </w:rPr>
        <w:t>(1963): Classification and</w:t>
      </w:r>
      <w:r w:rsidRPr="003B03AD">
        <w:rPr>
          <w:spacing w:val="40"/>
          <w:sz w:val="22"/>
          <w:szCs w:val="22"/>
          <w:lang w:val="en-US"/>
        </w:rPr>
        <w:t xml:space="preserve"> </w:t>
      </w:r>
      <w:r w:rsidRPr="003B03AD">
        <w:rPr>
          <w:sz w:val="22"/>
          <w:szCs w:val="22"/>
          <w:lang w:val="en-US"/>
        </w:rPr>
        <w:t>Quantitative Judgement, British Journal of Psychology, 54(2): 101-114.</w:t>
      </w:r>
    </w:p>
    <w:p w14:paraId="5C711FBC" w14:textId="77777777" w:rsidR="00FF7799" w:rsidRPr="00E35FFF" w:rsidRDefault="00FF7799" w:rsidP="00957B22">
      <w:pPr>
        <w:pStyle w:val="StandardText"/>
        <w:rPr>
          <w:lang w:val="en-US"/>
        </w:rPr>
      </w:pPr>
    </w:p>
    <w:p w14:paraId="7ADB6A07" w14:textId="77777777" w:rsidR="00FF7799" w:rsidRPr="00E73F6F" w:rsidRDefault="00FF7799" w:rsidP="00D83ABA">
      <w:pPr>
        <w:pStyle w:val="berschrift1"/>
      </w:pPr>
      <w:r w:rsidRPr="00E445CF">
        <w:rPr>
          <w:color w:val="2E74B5"/>
          <w:sz w:val="22"/>
        </w:rPr>
        <w:t>INCOTERMS</w:t>
      </w:r>
      <w:r w:rsidRPr="00E73F6F">
        <w:rPr>
          <w:spacing w:val="-9"/>
        </w:rPr>
        <w:t xml:space="preserve"> </w:t>
      </w:r>
      <w:r w:rsidRPr="00E73F6F">
        <w:rPr>
          <w:b w:val="0"/>
        </w:rPr>
        <w:t>→</w:t>
      </w:r>
      <w:r w:rsidRPr="00E73F6F">
        <w:rPr>
          <w:b w:val="0"/>
          <w:spacing w:val="-1"/>
        </w:rPr>
        <w:t xml:space="preserve"> </w:t>
      </w:r>
      <w:r w:rsidRPr="00E73F6F">
        <w:rPr>
          <w:b w:val="0"/>
        </w:rPr>
        <w:t>Preisfindung</w:t>
      </w:r>
      <w:r w:rsidRPr="00E73F6F">
        <w:rPr>
          <w:b w:val="0"/>
          <w:spacing w:val="-1"/>
        </w:rPr>
        <w:t xml:space="preserve"> </w:t>
      </w:r>
      <w:r w:rsidRPr="00E73F6F">
        <w:rPr>
          <w:b w:val="0"/>
        </w:rPr>
        <w:t>international</w:t>
      </w:r>
      <w:r w:rsidRPr="00E73F6F">
        <w:rPr>
          <w:b w:val="0"/>
          <w:spacing w:val="-5"/>
        </w:rPr>
        <w:t xml:space="preserve"> </w:t>
      </w:r>
      <w:r w:rsidRPr="00E73F6F">
        <w:rPr>
          <w:b w:val="0"/>
        </w:rPr>
        <w:t>tätiger</w:t>
      </w:r>
      <w:r w:rsidRPr="00E73F6F">
        <w:rPr>
          <w:b w:val="0"/>
          <w:spacing w:val="-2"/>
        </w:rPr>
        <w:t xml:space="preserve"> Unternehmen</w:t>
      </w:r>
    </w:p>
    <w:p w14:paraId="4E7F7C9D" w14:textId="77777777" w:rsidR="00FF7799" w:rsidRPr="00E445CF" w:rsidRDefault="00FF7799" w:rsidP="00D83ABA">
      <w:pPr>
        <w:pStyle w:val="berschrift1"/>
        <w:rPr>
          <w:color w:val="2E74B5"/>
          <w:sz w:val="22"/>
        </w:rPr>
      </w:pPr>
      <w:r w:rsidRPr="00E445CF">
        <w:rPr>
          <w:color w:val="2E74B5"/>
          <w:sz w:val="22"/>
        </w:rPr>
        <w:t>Individualismus vs. Kollektivismus</w:t>
      </w:r>
    </w:p>
    <w:p w14:paraId="0BDC666F" w14:textId="77777777" w:rsidR="00FF7799" w:rsidRPr="003B03AD" w:rsidRDefault="00FF7799" w:rsidP="00FD2D51">
      <w:pPr>
        <w:pStyle w:val="StandardTextkursiv"/>
        <w:rPr>
          <w:i w:val="0"/>
        </w:rPr>
      </w:pPr>
      <w:r w:rsidRPr="003B03AD">
        <w:rPr>
          <w:i w:val="0"/>
        </w:rPr>
        <w:t>1 Sonderstellung innerhalb der kulturvergleichenden Forschung</w:t>
      </w:r>
    </w:p>
    <w:p w14:paraId="21526A2C" w14:textId="77777777" w:rsidR="00FF7799" w:rsidRPr="00E73F6F" w:rsidRDefault="00FF7799" w:rsidP="00862DBA">
      <w:pPr>
        <w:spacing w:before="115" w:line="256" w:lineRule="auto"/>
        <w:jc w:val="both"/>
        <w:rPr>
          <w:sz w:val="24"/>
          <w:szCs w:val="24"/>
        </w:rPr>
      </w:pPr>
      <w:r w:rsidRPr="00E73F6F">
        <w:rPr>
          <w:sz w:val="24"/>
          <w:szCs w:val="24"/>
        </w:rPr>
        <w:t xml:space="preserve">Kein Sachverhalt fand in der kulturvergleichenden Forschung so viel Aufmerksamkeit wie die </w:t>
      </w:r>
      <w:r w:rsidR="007F2875">
        <w:sym w:font="Symbol" w:char="F0DE"/>
      </w:r>
      <w:r w:rsidR="007F2875">
        <w:t xml:space="preserve"> </w:t>
      </w:r>
      <w:r w:rsidRPr="00E73F6F">
        <w:rPr>
          <w:sz w:val="24"/>
          <w:szCs w:val="24"/>
        </w:rPr>
        <w:t>Kulturdimension „Individualismus vs. Kollektivismus“ (vgl. Ohbuchi et al. 1999, S.53; Kagitçibasi 1997; Søndergaard 1994).</w:t>
      </w:r>
    </w:p>
    <w:p w14:paraId="71BFD626" w14:textId="77777777" w:rsidR="00FF7799" w:rsidRPr="00E73F6F" w:rsidRDefault="00FF7799" w:rsidP="00862DBA">
      <w:pPr>
        <w:spacing w:before="9"/>
        <w:rPr>
          <w:sz w:val="24"/>
          <w:szCs w:val="24"/>
        </w:rPr>
      </w:pPr>
    </w:p>
    <w:p w14:paraId="67876A89" w14:textId="77777777" w:rsidR="00FF7799" w:rsidRPr="00E35FFF" w:rsidRDefault="00FF7799" w:rsidP="00862DBA">
      <w:pPr>
        <w:spacing w:line="254" w:lineRule="auto"/>
        <w:jc w:val="both"/>
        <w:rPr>
          <w:sz w:val="24"/>
          <w:szCs w:val="24"/>
          <w:lang w:val="en-US"/>
        </w:rPr>
      </w:pPr>
      <w:r w:rsidRPr="00E73F6F">
        <w:rPr>
          <w:sz w:val="24"/>
          <w:szCs w:val="24"/>
        </w:rPr>
        <w:t>Individualismus vs. Kollektivismus drückt aus, in welchem Maße der Einzelne seine</w:t>
      </w:r>
      <w:r w:rsidRPr="00E73F6F">
        <w:rPr>
          <w:spacing w:val="-8"/>
          <w:sz w:val="24"/>
          <w:szCs w:val="24"/>
        </w:rPr>
        <w:t xml:space="preserve"> </w:t>
      </w:r>
      <w:r w:rsidRPr="00E73F6F">
        <w:rPr>
          <w:sz w:val="24"/>
          <w:szCs w:val="24"/>
        </w:rPr>
        <w:t>Identität</w:t>
      </w:r>
      <w:r w:rsidRPr="00E73F6F">
        <w:rPr>
          <w:spacing w:val="-9"/>
          <w:sz w:val="24"/>
          <w:szCs w:val="24"/>
        </w:rPr>
        <w:t xml:space="preserve"> </w:t>
      </w:r>
      <w:r w:rsidRPr="00E73F6F">
        <w:rPr>
          <w:sz w:val="24"/>
          <w:szCs w:val="24"/>
        </w:rPr>
        <w:t>aus</w:t>
      </w:r>
      <w:r w:rsidRPr="00E73F6F">
        <w:rPr>
          <w:spacing w:val="-8"/>
          <w:sz w:val="24"/>
          <w:szCs w:val="24"/>
        </w:rPr>
        <w:t xml:space="preserve"> </w:t>
      </w:r>
      <w:r w:rsidRPr="00E73F6F">
        <w:rPr>
          <w:sz w:val="24"/>
          <w:szCs w:val="24"/>
        </w:rPr>
        <w:t>sich</w:t>
      </w:r>
      <w:r w:rsidRPr="00E73F6F">
        <w:rPr>
          <w:spacing w:val="-8"/>
          <w:sz w:val="24"/>
          <w:szCs w:val="24"/>
        </w:rPr>
        <w:t xml:space="preserve"> </w:t>
      </w:r>
      <w:r w:rsidRPr="00E73F6F">
        <w:rPr>
          <w:sz w:val="24"/>
          <w:szCs w:val="24"/>
        </w:rPr>
        <w:t>selbst</w:t>
      </w:r>
      <w:r w:rsidRPr="00E73F6F">
        <w:rPr>
          <w:spacing w:val="-9"/>
          <w:sz w:val="24"/>
          <w:szCs w:val="24"/>
        </w:rPr>
        <w:t xml:space="preserve"> </w:t>
      </w:r>
      <w:r w:rsidRPr="00E73F6F">
        <w:rPr>
          <w:sz w:val="24"/>
          <w:szCs w:val="24"/>
        </w:rPr>
        <w:t>heraus</w:t>
      </w:r>
      <w:r w:rsidRPr="00E73F6F">
        <w:rPr>
          <w:spacing w:val="-8"/>
          <w:sz w:val="24"/>
          <w:szCs w:val="24"/>
        </w:rPr>
        <w:t xml:space="preserve"> </w:t>
      </w:r>
      <w:r w:rsidRPr="00E73F6F">
        <w:rPr>
          <w:sz w:val="24"/>
          <w:szCs w:val="24"/>
        </w:rPr>
        <w:t>entwickelt</w:t>
      </w:r>
      <w:r w:rsidRPr="00E73F6F">
        <w:rPr>
          <w:spacing w:val="-8"/>
          <w:sz w:val="24"/>
          <w:szCs w:val="24"/>
        </w:rPr>
        <w:t xml:space="preserve"> </w:t>
      </w:r>
      <w:r w:rsidRPr="00E73F6F">
        <w:rPr>
          <w:sz w:val="24"/>
          <w:szCs w:val="24"/>
        </w:rPr>
        <w:t>oder</w:t>
      </w:r>
      <w:r w:rsidRPr="00E73F6F">
        <w:rPr>
          <w:spacing w:val="-5"/>
          <w:sz w:val="24"/>
          <w:szCs w:val="24"/>
        </w:rPr>
        <w:t xml:space="preserve"> </w:t>
      </w:r>
      <w:r w:rsidRPr="00E73F6F">
        <w:rPr>
          <w:sz w:val="24"/>
          <w:szCs w:val="24"/>
        </w:rPr>
        <w:t>aber</w:t>
      </w:r>
      <w:r w:rsidRPr="00E73F6F">
        <w:rPr>
          <w:spacing w:val="-8"/>
          <w:sz w:val="24"/>
          <w:szCs w:val="24"/>
        </w:rPr>
        <w:t xml:space="preserve"> </w:t>
      </w:r>
      <w:r w:rsidRPr="00E73F6F">
        <w:rPr>
          <w:sz w:val="24"/>
          <w:szCs w:val="24"/>
        </w:rPr>
        <w:t>aus</w:t>
      </w:r>
      <w:r w:rsidRPr="00E73F6F">
        <w:rPr>
          <w:spacing w:val="-10"/>
          <w:sz w:val="24"/>
          <w:szCs w:val="24"/>
        </w:rPr>
        <w:t xml:space="preserve"> </w:t>
      </w:r>
      <w:r w:rsidRPr="00E73F6F">
        <w:rPr>
          <w:sz w:val="24"/>
          <w:szCs w:val="24"/>
        </w:rPr>
        <w:t>der</w:t>
      </w:r>
      <w:r w:rsidRPr="00E73F6F">
        <w:rPr>
          <w:spacing w:val="-8"/>
          <w:sz w:val="24"/>
          <w:szCs w:val="24"/>
        </w:rPr>
        <w:t xml:space="preserve"> </w:t>
      </w:r>
      <w:r w:rsidRPr="00E73F6F">
        <w:rPr>
          <w:sz w:val="24"/>
          <w:szCs w:val="24"/>
        </w:rPr>
        <w:t>Zugehörigkeit</w:t>
      </w:r>
      <w:r w:rsidRPr="00E73F6F">
        <w:rPr>
          <w:spacing w:val="-8"/>
          <w:sz w:val="24"/>
          <w:szCs w:val="24"/>
        </w:rPr>
        <w:t xml:space="preserve"> </w:t>
      </w:r>
      <w:r w:rsidRPr="00E73F6F">
        <w:rPr>
          <w:sz w:val="24"/>
          <w:szCs w:val="24"/>
        </w:rPr>
        <w:t xml:space="preserve">zu einer sozialen Gemeinschaft ableitet. </w:t>
      </w:r>
      <w:r w:rsidRPr="00E35FFF">
        <w:rPr>
          <w:sz w:val="24"/>
          <w:szCs w:val="24"/>
          <w:lang w:val="en-US"/>
        </w:rPr>
        <w:t>Die Spannweite reicht von „societies in which</w:t>
      </w:r>
      <w:r w:rsidRPr="00E35FFF">
        <w:rPr>
          <w:spacing w:val="-12"/>
          <w:sz w:val="24"/>
          <w:szCs w:val="24"/>
          <w:lang w:val="en-US"/>
        </w:rPr>
        <w:t xml:space="preserve"> </w:t>
      </w:r>
      <w:r w:rsidRPr="00E35FFF">
        <w:rPr>
          <w:sz w:val="24"/>
          <w:szCs w:val="24"/>
          <w:lang w:val="en-US"/>
        </w:rPr>
        <w:t>the</w:t>
      </w:r>
      <w:r w:rsidRPr="00E35FFF">
        <w:rPr>
          <w:spacing w:val="-11"/>
          <w:sz w:val="24"/>
          <w:szCs w:val="24"/>
          <w:lang w:val="en-US"/>
        </w:rPr>
        <w:t xml:space="preserve"> </w:t>
      </w:r>
      <w:r w:rsidRPr="00E35FFF">
        <w:rPr>
          <w:sz w:val="24"/>
          <w:szCs w:val="24"/>
          <w:lang w:val="en-US"/>
        </w:rPr>
        <w:t>ties</w:t>
      </w:r>
      <w:r w:rsidRPr="00E35FFF">
        <w:rPr>
          <w:spacing w:val="-11"/>
          <w:sz w:val="24"/>
          <w:szCs w:val="24"/>
          <w:lang w:val="en-US"/>
        </w:rPr>
        <w:t xml:space="preserve"> </w:t>
      </w:r>
      <w:r w:rsidRPr="00E35FFF">
        <w:rPr>
          <w:sz w:val="24"/>
          <w:szCs w:val="24"/>
          <w:lang w:val="en-US"/>
        </w:rPr>
        <w:t>between</w:t>
      </w:r>
      <w:r w:rsidRPr="00E35FFF">
        <w:rPr>
          <w:spacing w:val="-11"/>
          <w:sz w:val="24"/>
          <w:szCs w:val="24"/>
          <w:lang w:val="en-US"/>
        </w:rPr>
        <w:t xml:space="preserve"> </w:t>
      </w:r>
      <w:r w:rsidRPr="00E35FFF">
        <w:rPr>
          <w:sz w:val="24"/>
          <w:szCs w:val="24"/>
          <w:lang w:val="en-US"/>
        </w:rPr>
        <w:t>individuals</w:t>
      </w:r>
      <w:r w:rsidRPr="00E35FFF">
        <w:rPr>
          <w:spacing w:val="-11"/>
          <w:sz w:val="24"/>
          <w:szCs w:val="24"/>
          <w:lang w:val="en-US"/>
        </w:rPr>
        <w:t xml:space="preserve"> </w:t>
      </w:r>
      <w:r w:rsidRPr="00E35FFF">
        <w:rPr>
          <w:sz w:val="24"/>
          <w:szCs w:val="24"/>
          <w:lang w:val="en-US"/>
        </w:rPr>
        <w:t>are</w:t>
      </w:r>
      <w:r w:rsidRPr="00E35FFF">
        <w:rPr>
          <w:spacing w:val="-11"/>
          <w:sz w:val="24"/>
          <w:szCs w:val="24"/>
          <w:lang w:val="en-US"/>
        </w:rPr>
        <w:t xml:space="preserve"> </w:t>
      </w:r>
      <w:r w:rsidRPr="00E35FFF">
        <w:rPr>
          <w:sz w:val="24"/>
          <w:szCs w:val="24"/>
          <w:lang w:val="en-US"/>
        </w:rPr>
        <w:t>loose</w:t>
      </w:r>
      <w:r w:rsidRPr="00E35FFF">
        <w:rPr>
          <w:spacing w:val="-10"/>
          <w:sz w:val="24"/>
          <w:szCs w:val="24"/>
          <w:lang w:val="en-US"/>
        </w:rPr>
        <w:t xml:space="preserve"> </w:t>
      </w:r>
      <w:r w:rsidRPr="00E35FFF">
        <w:rPr>
          <w:sz w:val="24"/>
          <w:szCs w:val="24"/>
          <w:lang w:val="en-US"/>
        </w:rPr>
        <w:t>to</w:t>
      </w:r>
      <w:r w:rsidRPr="00E35FFF">
        <w:rPr>
          <w:spacing w:val="-9"/>
          <w:sz w:val="24"/>
          <w:szCs w:val="24"/>
          <w:lang w:val="en-US"/>
        </w:rPr>
        <w:t xml:space="preserve"> </w:t>
      </w:r>
      <w:r w:rsidRPr="00E35FFF">
        <w:rPr>
          <w:sz w:val="24"/>
          <w:szCs w:val="24"/>
          <w:lang w:val="en-US"/>
        </w:rPr>
        <w:t>societies</w:t>
      </w:r>
      <w:r w:rsidRPr="00E35FFF">
        <w:rPr>
          <w:spacing w:val="-11"/>
          <w:sz w:val="24"/>
          <w:szCs w:val="24"/>
          <w:lang w:val="en-US"/>
        </w:rPr>
        <w:t xml:space="preserve"> </w:t>
      </w:r>
      <w:r w:rsidRPr="00E35FFF">
        <w:rPr>
          <w:sz w:val="24"/>
          <w:szCs w:val="24"/>
          <w:lang w:val="en-US"/>
        </w:rPr>
        <w:t>in</w:t>
      </w:r>
      <w:r w:rsidRPr="00E35FFF">
        <w:rPr>
          <w:spacing w:val="-11"/>
          <w:sz w:val="24"/>
          <w:szCs w:val="24"/>
          <w:lang w:val="en-US"/>
        </w:rPr>
        <w:t xml:space="preserve"> </w:t>
      </w:r>
      <w:r w:rsidRPr="00E35FFF">
        <w:rPr>
          <w:sz w:val="24"/>
          <w:szCs w:val="24"/>
          <w:lang w:val="en-US"/>
        </w:rPr>
        <w:t>which</w:t>
      </w:r>
      <w:r w:rsidRPr="00E35FFF">
        <w:rPr>
          <w:spacing w:val="-10"/>
          <w:sz w:val="24"/>
          <w:szCs w:val="24"/>
          <w:lang w:val="en-US"/>
        </w:rPr>
        <w:t xml:space="preserve"> </w:t>
      </w:r>
      <w:r w:rsidRPr="00E35FFF">
        <w:rPr>
          <w:sz w:val="24"/>
          <w:szCs w:val="24"/>
          <w:lang w:val="en-US"/>
        </w:rPr>
        <w:t>people</w:t>
      </w:r>
      <w:r w:rsidRPr="00E35FFF">
        <w:rPr>
          <w:spacing w:val="-12"/>
          <w:sz w:val="24"/>
          <w:szCs w:val="24"/>
          <w:lang w:val="en-US"/>
        </w:rPr>
        <w:t xml:space="preserve"> </w:t>
      </w:r>
      <w:r w:rsidRPr="00E35FFF">
        <w:rPr>
          <w:sz w:val="24"/>
          <w:szCs w:val="24"/>
          <w:lang w:val="en-US"/>
        </w:rPr>
        <w:t>from</w:t>
      </w:r>
      <w:r w:rsidRPr="00E35FFF">
        <w:rPr>
          <w:spacing w:val="-11"/>
          <w:sz w:val="24"/>
          <w:szCs w:val="24"/>
          <w:lang w:val="en-US"/>
        </w:rPr>
        <w:t xml:space="preserve"> </w:t>
      </w:r>
      <w:r w:rsidRPr="00E35FFF">
        <w:rPr>
          <w:sz w:val="24"/>
          <w:szCs w:val="24"/>
          <w:lang w:val="en-US"/>
        </w:rPr>
        <w:t>birth onwards are integrated into strong cohesive in-groups” (Hofstede 1991, S.51).</w:t>
      </w:r>
    </w:p>
    <w:p w14:paraId="510EF7FD" w14:textId="77777777" w:rsidR="00DC0CC2" w:rsidRPr="00E35FFF" w:rsidRDefault="00DC0CC2" w:rsidP="00862DBA">
      <w:pPr>
        <w:spacing w:line="254" w:lineRule="auto"/>
        <w:jc w:val="both"/>
        <w:rPr>
          <w:sz w:val="24"/>
          <w:szCs w:val="24"/>
          <w:lang w:val="en-US"/>
        </w:rPr>
      </w:pPr>
    </w:p>
    <w:p w14:paraId="464C862B" w14:textId="77777777" w:rsidR="00DC0CC2" w:rsidRPr="007D6CC1" w:rsidRDefault="00DC0CC2" w:rsidP="00DC0CC2">
      <w:pPr>
        <w:pStyle w:val="BeschriftungTab"/>
        <w:rPr>
          <w:i/>
          <w:iCs/>
        </w:rPr>
      </w:pPr>
      <w:r w:rsidRPr="007D6CC1">
        <w:rPr>
          <w:i/>
          <w:iCs/>
        </w:rPr>
        <w:t xml:space="preserve">Tab. 1: Merkmale kollektivistischer und </w:t>
      </w:r>
      <w:r w:rsidR="00E73F6F" w:rsidRPr="007D6CC1">
        <w:rPr>
          <w:i/>
          <w:iCs/>
        </w:rPr>
        <w:t>individualistischer</w:t>
      </w:r>
      <w:r w:rsidRPr="007D6CC1">
        <w:rPr>
          <w:i/>
          <w:iCs/>
        </w:rPr>
        <w:t xml:space="preserve"> Gesellschaften </w:t>
      </w:r>
    </w:p>
    <w:tbl>
      <w:tblPr>
        <w:tblStyle w:val="TableNormal"/>
        <w:tblW w:w="9072" w:type="dxa"/>
        <w:tblInd w:w="-5" w:type="dxa"/>
        <w:tblBorders>
          <w:top w:val="single" w:sz="4" w:space="0" w:color="auto"/>
          <w:bottom w:val="single" w:sz="4" w:space="0" w:color="auto"/>
          <w:insideH w:val="single" w:sz="4" w:space="0" w:color="auto"/>
        </w:tblBorders>
        <w:tblLayout w:type="fixed"/>
        <w:tblLook w:val="01E0" w:firstRow="1" w:lastRow="1" w:firstColumn="1" w:lastColumn="1" w:noHBand="0" w:noVBand="0"/>
      </w:tblPr>
      <w:tblGrid>
        <w:gridCol w:w="4372"/>
        <w:gridCol w:w="4700"/>
      </w:tblGrid>
      <w:tr w:rsidR="00FF7799" w:rsidRPr="00E73F6F" w14:paraId="3774B96D" w14:textId="77777777" w:rsidTr="00957B22">
        <w:trPr>
          <w:trHeight w:val="326"/>
          <w:tblHeader/>
        </w:trPr>
        <w:tc>
          <w:tcPr>
            <w:tcW w:w="4372" w:type="dxa"/>
            <w:shd w:val="clear" w:color="auto" w:fill="FFC000" w:themeFill="accent4"/>
            <w:tcMar>
              <w:left w:w="57" w:type="dxa"/>
              <w:right w:w="57" w:type="dxa"/>
            </w:tcMar>
          </w:tcPr>
          <w:p w14:paraId="00C3F09F" w14:textId="77777777" w:rsidR="00FF7799" w:rsidRPr="00E73F6F" w:rsidRDefault="00FF7799" w:rsidP="00957B22">
            <w:pPr>
              <w:pStyle w:val="StandardText"/>
              <w:spacing w:after="120"/>
              <w:jc w:val="center"/>
              <w:rPr>
                <w:b/>
                <w:lang w:val="de-DE"/>
              </w:rPr>
            </w:pPr>
            <w:r w:rsidRPr="00E73F6F">
              <w:rPr>
                <w:b/>
                <w:lang w:val="de-DE"/>
              </w:rPr>
              <w:t xml:space="preserve">Kollektivistische </w:t>
            </w:r>
            <w:r w:rsidRPr="00E73F6F">
              <w:rPr>
                <w:b/>
                <w:spacing w:val="-2"/>
                <w:lang w:val="de-DE"/>
              </w:rPr>
              <w:t>Gesellschaften</w:t>
            </w:r>
          </w:p>
        </w:tc>
        <w:tc>
          <w:tcPr>
            <w:tcW w:w="4700" w:type="dxa"/>
            <w:shd w:val="clear" w:color="auto" w:fill="FFC000" w:themeFill="accent4"/>
            <w:tcMar>
              <w:left w:w="57" w:type="dxa"/>
              <w:right w:w="57" w:type="dxa"/>
            </w:tcMar>
          </w:tcPr>
          <w:p w14:paraId="77F2C4CC" w14:textId="77777777" w:rsidR="00FF7799" w:rsidRPr="00E73F6F" w:rsidRDefault="00FF7799" w:rsidP="00957B22">
            <w:pPr>
              <w:pStyle w:val="StandardText"/>
              <w:spacing w:after="120"/>
              <w:jc w:val="center"/>
              <w:rPr>
                <w:b/>
                <w:lang w:val="de-DE"/>
              </w:rPr>
            </w:pPr>
            <w:r w:rsidRPr="00E73F6F">
              <w:rPr>
                <w:b/>
                <w:lang w:val="de-DE"/>
              </w:rPr>
              <w:t>Individualistische</w:t>
            </w:r>
            <w:r w:rsidRPr="00E73F6F">
              <w:rPr>
                <w:b/>
                <w:spacing w:val="-4"/>
                <w:lang w:val="de-DE"/>
              </w:rPr>
              <w:t xml:space="preserve"> </w:t>
            </w:r>
            <w:r w:rsidRPr="00E73F6F">
              <w:rPr>
                <w:b/>
                <w:spacing w:val="-2"/>
                <w:lang w:val="de-DE"/>
              </w:rPr>
              <w:t>Gesellschaften</w:t>
            </w:r>
          </w:p>
        </w:tc>
      </w:tr>
      <w:tr w:rsidR="00FF7799" w:rsidRPr="00E73F6F" w14:paraId="070BB873" w14:textId="77777777" w:rsidTr="003B03AD">
        <w:trPr>
          <w:trHeight w:val="283"/>
        </w:trPr>
        <w:tc>
          <w:tcPr>
            <w:tcW w:w="9072" w:type="dxa"/>
            <w:gridSpan w:val="2"/>
            <w:shd w:val="clear" w:color="auto" w:fill="FFF2CC" w:themeFill="accent4" w:themeFillTint="33"/>
            <w:tcMar>
              <w:left w:w="57" w:type="dxa"/>
              <w:right w:w="57" w:type="dxa"/>
            </w:tcMar>
          </w:tcPr>
          <w:p w14:paraId="13FA5E98" w14:textId="77777777" w:rsidR="00FF7799" w:rsidRPr="00E73F6F" w:rsidRDefault="00FF7799" w:rsidP="00957B22">
            <w:pPr>
              <w:pStyle w:val="StandardText"/>
              <w:spacing w:after="120"/>
              <w:jc w:val="center"/>
              <w:rPr>
                <w:b/>
                <w:lang w:val="de-DE"/>
              </w:rPr>
            </w:pPr>
            <w:r w:rsidRPr="00E73F6F">
              <w:rPr>
                <w:b/>
                <w:lang w:val="de-DE"/>
              </w:rPr>
              <w:t>Familienleben</w:t>
            </w:r>
          </w:p>
        </w:tc>
      </w:tr>
      <w:tr w:rsidR="00FF7799" w:rsidRPr="00E73F6F" w14:paraId="076AFECC" w14:textId="77777777" w:rsidTr="00957B22">
        <w:trPr>
          <w:trHeight w:val="2138"/>
        </w:trPr>
        <w:tc>
          <w:tcPr>
            <w:tcW w:w="4372" w:type="dxa"/>
            <w:tcMar>
              <w:left w:w="57" w:type="dxa"/>
              <w:right w:w="57" w:type="dxa"/>
            </w:tcMar>
          </w:tcPr>
          <w:p w14:paraId="67AFD556" w14:textId="77777777" w:rsidR="00FF7799" w:rsidRPr="00E73F6F" w:rsidRDefault="00FF7799" w:rsidP="00E445CF">
            <w:pPr>
              <w:pStyle w:val="StandardTextAufzhlung"/>
              <w:ind w:left="522"/>
              <w:rPr>
                <w:lang w:val="de-DE"/>
              </w:rPr>
            </w:pPr>
            <w:r w:rsidRPr="00E73F6F">
              <w:rPr>
                <w:lang w:val="de-DE"/>
              </w:rPr>
              <w:lastRenderedPageBreak/>
              <w:t>Erziehung</w:t>
            </w:r>
            <w:r w:rsidRPr="00E73F6F">
              <w:rPr>
                <w:spacing w:val="-6"/>
                <w:lang w:val="de-DE"/>
              </w:rPr>
              <w:t xml:space="preserve"> </w:t>
            </w:r>
            <w:r w:rsidRPr="00E73F6F">
              <w:rPr>
                <w:lang w:val="de-DE"/>
              </w:rPr>
              <w:t>stärkt</w:t>
            </w:r>
            <w:r w:rsidRPr="00E73F6F">
              <w:rPr>
                <w:spacing w:val="-5"/>
                <w:lang w:val="de-DE"/>
              </w:rPr>
              <w:t xml:space="preserve"> </w:t>
            </w:r>
            <w:r w:rsidRPr="00E73F6F">
              <w:rPr>
                <w:lang w:val="de-DE"/>
              </w:rPr>
              <w:t>das</w:t>
            </w:r>
            <w:r w:rsidRPr="00E73F6F">
              <w:rPr>
                <w:spacing w:val="-5"/>
                <w:lang w:val="de-DE"/>
              </w:rPr>
              <w:t xml:space="preserve"> </w:t>
            </w:r>
            <w:r w:rsidRPr="00E73F6F">
              <w:rPr>
                <w:lang w:val="de-DE"/>
              </w:rPr>
              <w:t>Wir-</w:t>
            </w:r>
            <w:r w:rsidRPr="00E73F6F">
              <w:rPr>
                <w:spacing w:val="-2"/>
                <w:lang w:val="de-DE"/>
              </w:rPr>
              <w:t>Bewusstsein</w:t>
            </w:r>
          </w:p>
          <w:p w14:paraId="5F9841F8" w14:textId="77777777" w:rsidR="00FF7799" w:rsidRPr="00E73F6F" w:rsidRDefault="00FF7799" w:rsidP="00E445CF">
            <w:pPr>
              <w:pStyle w:val="StandardTextAufzhlung"/>
              <w:ind w:left="522"/>
              <w:rPr>
                <w:lang w:val="de-DE"/>
              </w:rPr>
            </w:pPr>
            <w:r w:rsidRPr="00E73F6F">
              <w:rPr>
                <w:lang w:val="de-DE"/>
              </w:rPr>
              <w:t>Gruppenmeinung</w:t>
            </w:r>
            <w:r w:rsidRPr="00E73F6F">
              <w:rPr>
                <w:spacing w:val="-8"/>
                <w:lang w:val="de-DE"/>
              </w:rPr>
              <w:t xml:space="preserve"> </w:t>
            </w:r>
            <w:r w:rsidRPr="00E73F6F">
              <w:rPr>
                <w:lang w:val="de-DE"/>
              </w:rPr>
              <w:t>ist</w:t>
            </w:r>
            <w:r w:rsidRPr="00E73F6F">
              <w:rPr>
                <w:spacing w:val="-8"/>
                <w:lang w:val="de-DE"/>
              </w:rPr>
              <w:t xml:space="preserve"> </w:t>
            </w:r>
            <w:r w:rsidRPr="00E73F6F">
              <w:rPr>
                <w:lang w:val="de-DE"/>
              </w:rPr>
              <w:t>maßgebend;</w:t>
            </w:r>
            <w:r w:rsidRPr="00E73F6F">
              <w:rPr>
                <w:spacing w:val="-8"/>
                <w:lang w:val="de-DE"/>
              </w:rPr>
              <w:t xml:space="preserve"> </w:t>
            </w:r>
            <w:r w:rsidRPr="00E73F6F">
              <w:rPr>
                <w:lang w:val="de-DE"/>
              </w:rPr>
              <w:t>Konflikte</w:t>
            </w:r>
            <w:r w:rsidRPr="00E73F6F">
              <w:rPr>
                <w:spacing w:val="-6"/>
                <w:lang w:val="de-DE"/>
              </w:rPr>
              <w:t xml:space="preserve"> </w:t>
            </w:r>
            <w:r w:rsidRPr="00E73F6F">
              <w:rPr>
                <w:lang w:val="de-DE"/>
              </w:rPr>
              <w:t>sind</w:t>
            </w:r>
            <w:r w:rsidRPr="00E73F6F">
              <w:rPr>
                <w:spacing w:val="-8"/>
                <w:lang w:val="de-DE"/>
              </w:rPr>
              <w:t xml:space="preserve"> </w:t>
            </w:r>
            <w:r w:rsidRPr="00E73F6F">
              <w:rPr>
                <w:lang w:val="de-DE"/>
              </w:rPr>
              <w:t>zu</w:t>
            </w:r>
            <w:r w:rsidRPr="00E73F6F">
              <w:rPr>
                <w:spacing w:val="40"/>
                <w:lang w:val="de-DE"/>
              </w:rPr>
              <w:t xml:space="preserve"> </w:t>
            </w:r>
            <w:r w:rsidRPr="00E73F6F">
              <w:rPr>
                <w:spacing w:val="-2"/>
                <w:lang w:val="de-DE"/>
              </w:rPr>
              <w:t>vermeiden</w:t>
            </w:r>
          </w:p>
          <w:p w14:paraId="6F27BF5A" w14:textId="77777777" w:rsidR="00FF7799" w:rsidRPr="00E73F6F" w:rsidRDefault="00FF7799" w:rsidP="00E445CF">
            <w:pPr>
              <w:pStyle w:val="StandardTextAufzhlung"/>
              <w:ind w:left="522"/>
              <w:rPr>
                <w:lang w:val="de-DE"/>
              </w:rPr>
            </w:pPr>
            <w:r w:rsidRPr="00E73F6F">
              <w:rPr>
                <w:lang w:val="de-DE"/>
              </w:rPr>
              <w:t>Verpflichtung</w:t>
            </w:r>
            <w:r w:rsidRPr="00E73F6F">
              <w:rPr>
                <w:spacing w:val="-5"/>
                <w:lang w:val="de-DE"/>
              </w:rPr>
              <w:t xml:space="preserve"> </w:t>
            </w:r>
            <w:r w:rsidRPr="00E73F6F">
              <w:rPr>
                <w:lang w:val="de-DE"/>
              </w:rPr>
              <w:t>gegenüber</w:t>
            </w:r>
            <w:r w:rsidRPr="00E73F6F">
              <w:rPr>
                <w:spacing w:val="-5"/>
                <w:lang w:val="de-DE"/>
              </w:rPr>
              <w:t xml:space="preserve"> </w:t>
            </w:r>
            <w:r w:rsidRPr="00E73F6F">
              <w:rPr>
                <w:lang w:val="de-DE"/>
              </w:rPr>
              <w:t>der</w:t>
            </w:r>
            <w:r w:rsidRPr="00E73F6F">
              <w:rPr>
                <w:spacing w:val="-5"/>
                <w:lang w:val="de-DE"/>
              </w:rPr>
              <w:t xml:space="preserve"> </w:t>
            </w:r>
            <w:r w:rsidRPr="00E73F6F">
              <w:rPr>
                <w:spacing w:val="-2"/>
                <w:lang w:val="de-DE"/>
              </w:rPr>
              <w:t>Familie</w:t>
            </w:r>
          </w:p>
          <w:p w14:paraId="62E4CDFD" w14:textId="77777777" w:rsidR="00FF7799" w:rsidRPr="00E73F6F" w:rsidRDefault="00FF7799" w:rsidP="00E445CF">
            <w:pPr>
              <w:pStyle w:val="StandardTextAufzhlung"/>
              <w:ind w:left="522"/>
              <w:rPr>
                <w:lang w:val="de-DE"/>
              </w:rPr>
            </w:pPr>
            <w:r w:rsidRPr="00E73F6F">
              <w:rPr>
                <w:spacing w:val="-2"/>
                <w:lang w:val="de-DE"/>
              </w:rPr>
              <w:t>Fremdbestimmung</w:t>
            </w:r>
          </w:p>
          <w:p w14:paraId="7EBF4B22" w14:textId="77777777" w:rsidR="00FF7799" w:rsidRPr="00E73F6F" w:rsidRDefault="00FF7799" w:rsidP="00E445CF">
            <w:pPr>
              <w:pStyle w:val="StandardTextAufzhlung"/>
              <w:ind w:left="522"/>
              <w:rPr>
                <w:lang w:val="de-DE"/>
              </w:rPr>
            </w:pPr>
            <w:r w:rsidRPr="00E73F6F">
              <w:rPr>
                <w:spacing w:val="-2"/>
                <w:lang w:val="de-DE"/>
              </w:rPr>
              <w:t>Gruppenidentität</w:t>
            </w:r>
          </w:p>
          <w:p w14:paraId="0BB24A98" w14:textId="77777777" w:rsidR="00FF7799" w:rsidRPr="00E73F6F" w:rsidRDefault="00FF7799" w:rsidP="00E445CF">
            <w:pPr>
              <w:pStyle w:val="StandardTextAufzhlung"/>
              <w:ind w:left="522"/>
              <w:rPr>
                <w:lang w:val="de-DE"/>
              </w:rPr>
            </w:pPr>
            <w:r w:rsidRPr="00E73F6F">
              <w:rPr>
                <w:lang w:val="de-DE"/>
              </w:rPr>
              <w:t>Harmonie,</w:t>
            </w:r>
            <w:r w:rsidRPr="00E73F6F">
              <w:rPr>
                <w:spacing w:val="-5"/>
                <w:lang w:val="de-DE"/>
              </w:rPr>
              <w:t xml:space="preserve"> </w:t>
            </w:r>
            <w:r w:rsidRPr="00E73F6F">
              <w:rPr>
                <w:lang w:val="de-DE"/>
              </w:rPr>
              <w:t>Respekt,</w:t>
            </w:r>
            <w:r w:rsidRPr="00E73F6F">
              <w:rPr>
                <w:spacing w:val="-5"/>
                <w:lang w:val="de-DE"/>
              </w:rPr>
              <w:t xml:space="preserve"> </w:t>
            </w:r>
            <w:r w:rsidRPr="00E73F6F">
              <w:rPr>
                <w:spacing w:val="-2"/>
                <w:lang w:val="de-DE"/>
              </w:rPr>
              <w:t>Scham</w:t>
            </w:r>
          </w:p>
          <w:p w14:paraId="51E46AC8" w14:textId="77777777" w:rsidR="00FF7799" w:rsidRPr="00E73F6F" w:rsidRDefault="00FF7799" w:rsidP="00E445CF">
            <w:pPr>
              <w:pStyle w:val="StandardTextAufzhlung"/>
              <w:ind w:left="522"/>
              <w:rPr>
                <w:lang w:val="de-DE"/>
              </w:rPr>
            </w:pPr>
            <w:r w:rsidRPr="00E73F6F">
              <w:rPr>
                <w:lang w:val="de-DE"/>
              </w:rPr>
              <w:t>Privatleben</w:t>
            </w:r>
            <w:r w:rsidRPr="00E73F6F">
              <w:rPr>
                <w:spacing w:val="-5"/>
                <w:lang w:val="de-DE"/>
              </w:rPr>
              <w:t xml:space="preserve"> </w:t>
            </w:r>
            <w:r w:rsidRPr="00E73F6F">
              <w:rPr>
                <w:lang w:val="de-DE"/>
              </w:rPr>
              <w:t>wird</w:t>
            </w:r>
            <w:r w:rsidRPr="00E73F6F">
              <w:rPr>
                <w:spacing w:val="-4"/>
                <w:lang w:val="de-DE"/>
              </w:rPr>
              <w:t xml:space="preserve"> </w:t>
            </w:r>
            <w:r w:rsidRPr="00E73F6F">
              <w:rPr>
                <w:lang w:val="de-DE"/>
              </w:rPr>
              <w:t>von</w:t>
            </w:r>
            <w:r w:rsidRPr="00E73F6F">
              <w:rPr>
                <w:spacing w:val="-5"/>
                <w:lang w:val="de-DE"/>
              </w:rPr>
              <w:t xml:space="preserve"> </w:t>
            </w:r>
            <w:r w:rsidRPr="00E73F6F">
              <w:rPr>
                <w:lang w:val="de-DE"/>
              </w:rPr>
              <w:t>der</w:t>
            </w:r>
            <w:r w:rsidRPr="00E73F6F">
              <w:rPr>
                <w:spacing w:val="-3"/>
                <w:lang w:val="de-DE"/>
              </w:rPr>
              <w:t xml:space="preserve"> </w:t>
            </w:r>
            <w:r w:rsidRPr="00E73F6F">
              <w:rPr>
                <w:lang w:val="de-DE"/>
              </w:rPr>
              <w:t>Großfamilie</w:t>
            </w:r>
            <w:r w:rsidRPr="00E73F6F">
              <w:rPr>
                <w:spacing w:val="-3"/>
                <w:lang w:val="de-DE"/>
              </w:rPr>
              <w:t xml:space="preserve"> </w:t>
            </w:r>
            <w:r w:rsidRPr="00E73F6F">
              <w:rPr>
                <w:spacing w:val="-2"/>
                <w:lang w:val="de-DE"/>
              </w:rPr>
              <w:t>bestimmt</w:t>
            </w:r>
          </w:p>
        </w:tc>
        <w:tc>
          <w:tcPr>
            <w:tcW w:w="4700" w:type="dxa"/>
            <w:tcMar>
              <w:left w:w="57" w:type="dxa"/>
              <w:right w:w="57" w:type="dxa"/>
            </w:tcMar>
          </w:tcPr>
          <w:p w14:paraId="42E15206" w14:textId="77777777" w:rsidR="00FF7799" w:rsidRPr="00E73F6F" w:rsidRDefault="00FF7799" w:rsidP="00E445CF">
            <w:pPr>
              <w:pStyle w:val="StandardTextAufzhlung"/>
              <w:ind w:left="522"/>
              <w:rPr>
                <w:lang w:val="de-DE"/>
              </w:rPr>
            </w:pPr>
            <w:r w:rsidRPr="00E73F6F">
              <w:rPr>
                <w:lang w:val="de-DE"/>
              </w:rPr>
              <w:t>Erziehung</w:t>
            </w:r>
            <w:r w:rsidRPr="00E73F6F">
              <w:rPr>
                <w:spacing w:val="-6"/>
                <w:lang w:val="de-DE"/>
              </w:rPr>
              <w:t xml:space="preserve"> </w:t>
            </w:r>
            <w:r w:rsidRPr="00E73F6F">
              <w:rPr>
                <w:lang w:val="de-DE"/>
              </w:rPr>
              <w:t>stärkt</w:t>
            </w:r>
            <w:r w:rsidRPr="00E73F6F">
              <w:rPr>
                <w:spacing w:val="-5"/>
                <w:lang w:val="de-DE"/>
              </w:rPr>
              <w:t xml:space="preserve"> </w:t>
            </w:r>
            <w:r w:rsidRPr="00E73F6F">
              <w:rPr>
                <w:lang w:val="de-DE"/>
              </w:rPr>
              <w:t>das</w:t>
            </w:r>
            <w:r w:rsidRPr="00E73F6F">
              <w:rPr>
                <w:spacing w:val="-4"/>
                <w:lang w:val="de-DE"/>
              </w:rPr>
              <w:t xml:space="preserve"> </w:t>
            </w:r>
            <w:r w:rsidRPr="00E73F6F">
              <w:rPr>
                <w:lang w:val="de-DE"/>
              </w:rPr>
              <w:t>Ich-</w:t>
            </w:r>
            <w:r w:rsidRPr="00E73F6F">
              <w:rPr>
                <w:spacing w:val="-2"/>
                <w:lang w:val="de-DE"/>
              </w:rPr>
              <w:t>Bewusstsein</w:t>
            </w:r>
          </w:p>
          <w:p w14:paraId="59148213" w14:textId="77777777" w:rsidR="00FF7799" w:rsidRPr="00E73F6F" w:rsidRDefault="00FF7799" w:rsidP="00E445CF">
            <w:pPr>
              <w:pStyle w:val="StandardTextAufzhlung"/>
              <w:ind w:left="522"/>
              <w:rPr>
                <w:lang w:val="de-DE"/>
              </w:rPr>
            </w:pPr>
            <w:r w:rsidRPr="00E73F6F">
              <w:rPr>
                <w:lang w:val="de-DE"/>
              </w:rPr>
              <w:t>Persönliche</w:t>
            </w:r>
            <w:r w:rsidRPr="00E73F6F">
              <w:rPr>
                <w:spacing w:val="-7"/>
                <w:lang w:val="de-DE"/>
              </w:rPr>
              <w:t xml:space="preserve"> </w:t>
            </w:r>
            <w:r w:rsidRPr="00E73F6F">
              <w:rPr>
                <w:lang w:val="de-DE"/>
              </w:rPr>
              <w:t>Meinung</w:t>
            </w:r>
            <w:r w:rsidRPr="00E73F6F">
              <w:rPr>
                <w:spacing w:val="-8"/>
                <w:lang w:val="de-DE"/>
              </w:rPr>
              <w:t xml:space="preserve"> </w:t>
            </w:r>
            <w:r w:rsidRPr="00E73F6F">
              <w:rPr>
                <w:lang w:val="de-DE"/>
              </w:rPr>
              <w:t>ist</w:t>
            </w:r>
            <w:r w:rsidRPr="00E73F6F">
              <w:rPr>
                <w:spacing w:val="-8"/>
                <w:lang w:val="de-DE"/>
              </w:rPr>
              <w:t xml:space="preserve"> </w:t>
            </w:r>
            <w:r w:rsidRPr="00E73F6F">
              <w:rPr>
                <w:lang w:val="de-DE"/>
              </w:rPr>
              <w:t>wichtig;</w:t>
            </w:r>
            <w:r w:rsidRPr="00E73F6F">
              <w:rPr>
                <w:spacing w:val="-8"/>
                <w:lang w:val="de-DE"/>
              </w:rPr>
              <w:t xml:space="preserve"> </w:t>
            </w:r>
            <w:r w:rsidRPr="00E73F6F">
              <w:rPr>
                <w:lang w:val="de-DE"/>
              </w:rPr>
              <w:t>Recht</w:t>
            </w:r>
            <w:r w:rsidRPr="00E73F6F">
              <w:rPr>
                <w:spacing w:val="-8"/>
                <w:lang w:val="de-DE"/>
              </w:rPr>
              <w:t xml:space="preserve"> </w:t>
            </w:r>
            <w:r w:rsidRPr="00E73F6F">
              <w:rPr>
                <w:lang w:val="de-DE"/>
              </w:rPr>
              <w:t>auf</w:t>
            </w:r>
            <w:r w:rsidRPr="00E73F6F">
              <w:rPr>
                <w:spacing w:val="40"/>
                <w:lang w:val="de-DE"/>
              </w:rPr>
              <w:t xml:space="preserve"> </w:t>
            </w:r>
            <w:r w:rsidRPr="00E73F6F">
              <w:rPr>
                <w:lang w:val="de-DE"/>
              </w:rPr>
              <w:t>freie</w:t>
            </w:r>
            <w:r w:rsidRPr="00E73F6F">
              <w:rPr>
                <w:spacing w:val="-4"/>
                <w:lang w:val="de-DE"/>
              </w:rPr>
              <w:t xml:space="preserve"> </w:t>
            </w:r>
            <w:r w:rsidRPr="00E73F6F">
              <w:rPr>
                <w:lang w:val="de-DE"/>
              </w:rPr>
              <w:t>Meinungsäußerung</w:t>
            </w:r>
          </w:p>
          <w:p w14:paraId="02CF0133" w14:textId="77777777" w:rsidR="00FF7799" w:rsidRPr="00E73F6F" w:rsidRDefault="00FF7799" w:rsidP="00E445CF">
            <w:pPr>
              <w:pStyle w:val="StandardTextAufzhlung"/>
              <w:ind w:left="522"/>
              <w:rPr>
                <w:lang w:val="de-DE"/>
              </w:rPr>
            </w:pPr>
            <w:r w:rsidRPr="00E73F6F">
              <w:rPr>
                <w:lang w:val="de-DE"/>
              </w:rPr>
              <w:t>Verpflichtung</w:t>
            </w:r>
            <w:r w:rsidRPr="00E73F6F">
              <w:rPr>
                <w:spacing w:val="-5"/>
                <w:lang w:val="de-DE"/>
              </w:rPr>
              <w:t xml:space="preserve"> </w:t>
            </w:r>
            <w:r w:rsidRPr="00E73F6F">
              <w:rPr>
                <w:lang w:val="de-DE"/>
              </w:rPr>
              <w:t>gegenüber</w:t>
            </w:r>
            <w:r w:rsidRPr="00E73F6F">
              <w:rPr>
                <w:spacing w:val="-5"/>
                <w:lang w:val="de-DE"/>
              </w:rPr>
              <w:t xml:space="preserve"> </w:t>
            </w:r>
            <w:r w:rsidRPr="00E73F6F">
              <w:rPr>
                <w:lang w:val="de-DE"/>
              </w:rPr>
              <w:t>sich</w:t>
            </w:r>
            <w:r w:rsidRPr="00E73F6F">
              <w:rPr>
                <w:spacing w:val="-4"/>
                <w:lang w:val="de-DE"/>
              </w:rPr>
              <w:t xml:space="preserve"> </w:t>
            </w:r>
            <w:r w:rsidRPr="00E73F6F">
              <w:rPr>
                <w:spacing w:val="-2"/>
                <w:lang w:val="de-DE"/>
              </w:rPr>
              <w:t>selbst</w:t>
            </w:r>
          </w:p>
          <w:p w14:paraId="5A6DC363" w14:textId="77777777" w:rsidR="00FF7799" w:rsidRPr="00E73F6F" w:rsidRDefault="00FF7799" w:rsidP="00E445CF">
            <w:pPr>
              <w:pStyle w:val="StandardTextAufzhlung"/>
              <w:ind w:left="522"/>
              <w:rPr>
                <w:lang w:val="de-DE"/>
              </w:rPr>
            </w:pPr>
            <w:r w:rsidRPr="00E73F6F">
              <w:rPr>
                <w:spacing w:val="-2"/>
                <w:lang w:val="de-DE"/>
              </w:rPr>
              <w:t>Selbstverwirklichung,</w:t>
            </w:r>
            <w:r w:rsidRPr="00E73F6F">
              <w:rPr>
                <w:spacing w:val="29"/>
                <w:lang w:val="de-DE"/>
              </w:rPr>
              <w:t xml:space="preserve"> </w:t>
            </w:r>
            <w:r w:rsidRPr="00E73F6F">
              <w:rPr>
                <w:spacing w:val="-2"/>
                <w:lang w:val="de-DE"/>
              </w:rPr>
              <w:t>Selbstbestimmung</w:t>
            </w:r>
          </w:p>
          <w:p w14:paraId="3FEDA035" w14:textId="77777777" w:rsidR="00FF7799" w:rsidRPr="00E73F6F" w:rsidRDefault="00FF7799" w:rsidP="00E445CF">
            <w:pPr>
              <w:pStyle w:val="StandardTextAufzhlung"/>
              <w:ind w:left="522"/>
              <w:rPr>
                <w:lang w:val="de-DE"/>
              </w:rPr>
            </w:pPr>
            <w:r w:rsidRPr="00E73F6F">
              <w:rPr>
                <w:lang w:val="de-DE"/>
              </w:rPr>
              <w:t>Individuelle</w:t>
            </w:r>
            <w:r w:rsidRPr="00E73F6F">
              <w:rPr>
                <w:spacing w:val="-7"/>
                <w:lang w:val="de-DE"/>
              </w:rPr>
              <w:t xml:space="preserve"> </w:t>
            </w:r>
            <w:r w:rsidRPr="00E73F6F">
              <w:rPr>
                <w:spacing w:val="-2"/>
                <w:lang w:val="de-DE"/>
              </w:rPr>
              <w:t>Identität</w:t>
            </w:r>
          </w:p>
          <w:p w14:paraId="1A27E9AC" w14:textId="77777777" w:rsidR="00FF7799" w:rsidRPr="00E73F6F" w:rsidRDefault="00FF7799" w:rsidP="00E445CF">
            <w:pPr>
              <w:pStyle w:val="StandardTextAufzhlung"/>
              <w:ind w:left="522"/>
              <w:rPr>
                <w:lang w:val="de-DE"/>
              </w:rPr>
            </w:pPr>
            <w:r w:rsidRPr="00E73F6F">
              <w:rPr>
                <w:spacing w:val="-2"/>
                <w:lang w:val="de-DE"/>
              </w:rPr>
              <w:t>Selbstachtung,</w:t>
            </w:r>
            <w:r w:rsidRPr="00E73F6F">
              <w:rPr>
                <w:spacing w:val="17"/>
                <w:lang w:val="de-DE"/>
              </w:rPr>
              <w:t xml:space="preserve"> </w:t>
            </w:r>
            <w:r w:rsidRPr="00E73F6F">
              <w:rPr>
                <w:spacing w:val="-2"/>
                <w:lang w:val="de-DE"/>
              </w:rPr>
              <w:t>Schuldgefühle</w:t>
            </w:r>
          </w:p>
          <w:p w14:paraId="083C2BDA" w14:textId="77777777" w:rsidR="00FF7799" w:rsidRPr="00E73F6F" w:rsidRDefault="00FF7799" w:rsidP="00E445CF">
            <w:pPr>
              <w:pStyle w:val="StandardTextAufzhlung"/>
              <w:ind w:left="522"/>
              <w:rPr>
                <w:lang w:val="de-DE"/>
              </w:rPr>
            </w:pPr>
            <w:r w:rsidRPr="00E73F6F">
              <w:rPr>
                <w:lang w:val="de-DE"/>
              </w:rPr>
              <w:t>Recht</w:t>
            </w:r>
            <w:r w:rsidRPr="00E73F6F">
              <w:rPr>
                <w:spacing w:val="-9"/>
                <w:lang w:val="de-DE"/>
              </w:rPr>
              <w:t xml:space="preserve"> </w:t>
            </w:r>
            <w:r w:rsidRPr="00E73F6F">
              <w:rPr>
                <w:lang w:val="de-DE"/>
              </w:rPr>
              <w:t>auf</w:t>
            </w:r>
            <w:r w:rsidRPr="00E73F6F">
              <w:rPr>
                <w:spacing w:val="-9"/>
                <w:lang w:val="de-DE"/>
              </w:rPr>
              <w:t xml:space="preserve"> </w:t>
            </w:r>
            <w:r w:rsidRPr="00E73F6F">
              <w:rPr>
                <w:lang w:val="de-DE"/>
              </w:rPr>
              <w:t>Privatsphäre</w:t>
            </w:r>
            <w:r w:rsidRPr="00E73F6F">
              <w:rPr>
                <w:spacing w:val="-9"/>
                <w:lang w:val="de-DE"/>
              </w:rPr>
              <w:t xml:space="preserve"> </w:t>
            </w:r>
            <w:r w:rsidRPr="00E73F6F">
              <w:rPr>
                <w:lang w:val="de-DE"/>
              </w:rPr>
              <w:t>und</w:t>
            </w:r>
            <w:r w:rsidRPr="00E73F6F">
              <w:rPr>
                <w:spacing w:val="-8"/>
                <w:lang w:val="de-DE"/>
              </w:rPr>
              <w:t xml:space="preserve"> </w:t>
            </w:r>
            <w:r w:rsidRPr="00E73F6F">
              <w:rPr>
                <w:lang w:val="de-DE"/>
              </w:rPr>
              <w:t>eigenständige</w:t>
            </w:r>
            <w:r w:rsidRPr="00E73F6F">
              <w:rPr>
                <w:spacing w:val="40"/>
                <w:lang w:val="de-DE"/>
              </w:rPr>
              <w:t xml:space="preserve"> </w:t>
            </w:r>
            <w:r w:rsidRPr="00E73F6F">
              <w:rPr>
                <w:lang w:val="de-DE"/>
              </w:rPr>
              <w:t>Entwicklung in der Kleinfamilie</w:t>
            </w:r>
          </w:p>
        </w:tc>
      </w:tr>
      <w:tr w:rsidR="00FF7799" w:rsidRPr="00E73F6F" w14:paraId="3B91E948" w14:textId="77777777" w:rsidTr="003B03AD">
        <w:trPr>
          <w:trHeight w:val="280"/>
        </w:trPr>
        <w:tc>
          <w:tcPr>
            <w:tcW w:w="9072" w:type="dxa"/>
            <w:gridSpan w:val="2"/>
            <w:shd w:val="clear" w:color="auto" w:fill="FFF2CC" w:themeFill="accent4" w:themeFillTint="33"/>
            <w:tcMar>
              <w:left w:w="57" w:type="dxa"/>
              <w:right w:w="57" w:type="dxa"/>
            </w:tcMar>
          </w:tcPr>
          <w:p w14:paraId="2EBD9F38" w14:textId="77777777" w:rsidR="00FF7799" w:rsidRPr="00E73F6F" w:rsidRDefault="00FF7799" w:rsidP="00E445CF">
            <w:pPr>
              <w:pStyle w:val="StandardText"/>
              <w:spacing w:after="120"/>
              <w:ind w:left="522"/>
              <w:jc w:val="center"/>
              <w:rPr>
                <w:b/>
                <w:lang w:val="de-DE"/>
              </w:rPr>
            </w:pPr>
            <w:r w:rsidRPr="00E73F6F">
              <w:rPr>
                <w:b/>
                <w:lang w:val="de-DE"/>
              </w:rPr>
              <w:t>Schule</w:t>
            </w:r>
          </w:p>
        </w:tc>
      </w:tr>
      <w:tr w:rsidR="00FF7799" w:rsidRPr="00E73F6F" w14:paraId="613F4CCA" w14:textId="77777777" w:rsidTr="00957B22">
        <w:trPr>
          <w:trHeight w:val="588"/>
        </w:trPr>
        <w:tc>
          <w:tcPr>
            <w:tcW w:w="4372" w:type="dxa"/>
            <w:tcMar>
              <w:left w:w="57" w:type="dxa"/>
              <w:right w:w="57" w:type="dxa"/>
            </w:tcMar>
          </w:tcPr>
          <w:p w14:paraId="67AF4300" w14:textId="77777777" w:rsidR="00FF7799" w:rsidRPr="00E73F6F" w:rsidRDefault="00FF7799" w:rsidP="00E445CF">
            <w:pPr>
              <w:pStyle w:val="StandardTextAufzhlung"/>
              <w:ind w:left="522"/>
              <w:rPr>
                <w:lang w:val="de-DE"/>
              </w:rPr>
            </w:pPr>
            <w:r w:rsidRPr="00E73F6F">
              <w:rPr>
                <w:lang w:val="de-DE"/>
              </w:rPr>
              <w:t>Lernen</w:t>
            </w:r>
            <w:r w:rsidRPr="00E73F6F">
              <w:rPr>
                <w:spacing w:val="-4"/>
                <w:lang w:val="de-DE"/>
              </w:rPr>
              <w:t xml:space="preserve"> </w:t>
            </w:r>
            <w:r w:rsidRPr="00E73F6F">
              <w:rPr>
                <w:lang w:val="de-DE"/>
              </w:rPr>
              <w:t>ist</w:t>
            </w:r>
            <w:r w:rsidRPr="00E73F6F">
              <w:rPr>
                <w:spacing w:val="-4"/>
                <w:lang w:val="de-DE"/>
              </w:rPr>
              <w:t xml:space="preserve"> </w:t>
            </w:r>
            <w:r w:rsidRPr="00E73F6F">
              <w:rPr>
                <w:lang w:val="de-DE"/>
              </w:rPr>
              <w:t>primär</w:t>
            </w:r>
            <w:r w:rsidRPr="00E73F6F">
              <w:rPr>
                <w:spacing w:val="-3"/>
                <w:lang w:val="de-DE"/>
              </w:rPr>
              <w:t xml:space="preserve"> </w:t>
            </w:r>
            <w:r w:rsidRPr="00E73F6F">
              <w:rPr>
                <w:lang w:val="de-DE"/>
              </w:rPr>
              <w:t>Aufgabe</w:t>
            </w:r>
            <w:r w:rsidRPr="00E73F6F">
              <w:rPr>
                <w:spacing w:val="-3"/>
                <w:lang w:val="de-DE"/>
              </w:rPr>
              <w:t xml:space="preserve"> </w:t>
            </w:r>
            <w:r w:rsidRPr="00E73F6F">
              <w:rPr>
                <w:lang w:val="de-DE"/>
              </w:rPr>
              <w:t>der</w:t>
            </w:r>
            <w:r w:rsidRPr="00E73F6F">
              <w:rPr>
                <w:spacing w:val="-3"/>
                <w:lang w:val="de-DE"/>
              </w:rPr>
              <w:t xml:space="preserve"> </w:t>
            </w:r>
            <w:r w:rsidRPr="00E73F6F">
              <w:rPr>
                <w:spacing w:val="-2"/>
                <w:lang w:val="de-DE"/>
              </w:rPr>
              <w:t>Jugend</w:t>
            </w:r>
          </w:p>
          <w:p w14:paraId="49AA3AA8" w14:textId="77777777" w:rsidR="00FF7799" w:rsidRPr="00E73F6F" w:rsidRDefault="00FF7799" w:rsidP="00E445CF">
            <w:pPr>
              <w:pStyle w:val="StandardTextAufzhlung"/>
              <w:ind w:left="522"/>
              <w:rPr>
                <w:lang w:val="de-DE"/>
              </w:rPr>
            </w:pPr>
            <w:r w:rsidRPr="00E73F6F">
              <w:rPr>
                <w:lang w:val="de-DE"/>
              </w:rPr>
              <w:t>Erziehungsziel:</w:t>
            </w:r>
            <w:r w:rsidRPr="00E73F6F">
              <w:rPr>
                <w:spacing w:val="-5"/>
                <w:lang w:val="de-DE"/>
              </w:rPr>
              <w:t xml:space="preserve"> </w:t>
            </w:r>
            <w:r w:rsidRPr="00E73F6F">
              <w:rPr>
                <w:lang w:val="de-DE"/>
              </w:rPr>
              <w:t>„Wie</w:t>
            </w:r>
            <w:r w:rsidRPr="00E73F6F">
              <w:rPr>
                <w:spacing w:val="-5"/>
                <w:lang w:val="de-DE"/>
              </w:rPr>
              <w:t xml:space="preserve"> </w:t>
            </w:r>
            <w:r w:rsidRPr="00E73F6F">
              <w:rPr>
                <w:lang w:val="de-DE"/>
              </w:rPr>
              <w:t>man</w:t>
            </w:r>
            <w:r w:rsidRPr="00E73F6F">
              <w:rPr>
                <w:spacing w:val="-4"/>
                <w:lang w:val="de-DE"/>
              </w:rPr>
              <w:t xml:space="preserve"> </w:t>
            </w:r>
            <w:r w:rsidRPr="00E73F6F">
              <w:rPr>
                <w:lang w:val="de-DE"/>
              </w:rPr>
              <w:t>etwas</w:t>
            </w:r>
            <w:r w:rsidRPr="00E73F6F">
              <w:rPr>
                <w:spacing w:val="-4"/>
                <w:lang w:val="de-DE"/>
              </w:rPr>
              <w:t xml:space="preserve"> </w:t>
            </w:r>
            <w:r w:rsidRPr="00E73F6F">
              <w:rPr>
                <w:spacing w:val="-2"/>
                <w:lang w:val="de-DE"/>
              </w:rPr>
              <w:t>macht“</w:t>
            </w:r>
          </w:p>
          <w:p w14:paraId="229908D6" w14:textId="77777777" w:rsidR="00FF7799" w:rsidRPr="00E73F6F" w:rsidRDefault="00FF7799" w:rsidP="00E445CF">
            <w:pPr>
              <w:pStyle w:val="StandardTextAufzhlung"/>
              <w:ind w:left="522"/>
              <w:rPr>
                <w:lang w:val="de-DE"/>
              </w:rPr>
            </w:pPr>
            <w:r w:rsidRPr="00E73F6F">
              <w:rPr>
                <w:lang w:val="de-DE"/>
              </w:rPr>
              <w:t>Diplome</w:t>
            </w:r>
            <w:r w:rsidRPr="00E73F6F">
              <w:rPr>
                <w:spacing w:val="-5"/>
                <w:lang w:val="de-DE"/>
              </w:rPr>
              <w:t xml:space="preserve"> </w:t>
            </w:r>
            <w:r w:rsidRPr="00E73F6F">
              <w:rPr>
                <w:lang w:val="de-DE"/>
              </w:rPr>
              <w:t>verschaffen</w:t>
            </w:r>
            <w:r w:rsidRPr="00E73F6F">
              <w:rPr>
                <w:spacing w:val="-5"/>
                <w:lang w:val="de-DE"/>
              </w:rPr>
              <w:t xml:space="preserve"> </w:t>
            </w:r>
            <w:r w:rsidRPr="00E73F6F">
              <w:rPr>
                <w:lang w:val="de-DE"/>
              </w:rPr>
              <w:t>Zugang</w:t>
            </w:r>
            <w:r w:rsidRPr="00E73F6F">
              <w:rPr>
                <w:spacing w:val="-5"/>
                <w:lang w:val="de-DE"/>
              </w:rPr>
              <w:t xml:space="preserve"> </w:t>
            </w:r>
            <w:r w:rsidRPr="00E73F6F">
              <w:rPr>
                <w:lang w:val="de-DE"/>
              </w:rPr>
              <w:t>zu</w:t>
            </w:r>
            <w:r w:rsidRPr="00E73F6F">
              <w:rPr>
                <w:spacing w:val="-4"/>
                <w:lang w:val="de-DE"/>
              </w:rPr>
              <w:t xml:space="preserve"> </w:t>
            </w:r>
            <w:r w:rsidRPr="00E73F6F">
              <w:rPr>
                <w:lang w:val="de-DE"/>
              </w:rPr>
              <w:t>höherem</w:t>
            </w:r>
            <w:r w:rsidRPr="00E73F6F">
              <w:rPr>
                <w:spacing w:val="-5"/>
                <w:lang w:val="de-DE"/>
              </w:rPr>
              <w:t xml:space="preserve"> </w:t>
            </w:r>
            <w:r w:rsidRPr="00E73F6F">
              <w:rPr>
                <w:spacing w:val="-2"/>
                <w:lang w:val="de-DE"/>
              </w:rPr>
              <w:t>Status</w:t>
            </w:r>
          </w:p>
        </w:tc>
        <w:tc>
          <w:tcPr>
            <w:tcW w:w="4700" w:type="dxa"/>
            <w:tcMar>
              <w:left w:w="57" w:type="dxa"/>
              <w:right w:w="57" w:type="dxa"/>
            </w:tcMar>
          </w:tcPr>
          <w:p w14:paraId="63F4D05C" w14:textId="77777777" w:rsidR="00FF7799" w:rsidRPr="00E73F6F" w:rsidRDefault="00FF7799" w:rsidP="00E445CF">
            <w:pPr>
              <w:pStyle w:val="StandardTextAufzhlung"/>
              <w:ind w:left="522"/>
              <w:rPr>
                <w:lang w:val="de-DE"/>
              </w:rPr>
            </w:pPr>
            <w:r w:rsidRPr="00E73F6F">
              <w:rPr>
                <w:lang w:val="de-DE"/>
              </w:rPr>
              <w:t>„Lernen</w:t>
            </w:r>
            <w:r w:rsidRPr="00E73F6F">
              <w:rPr>
                <w:spacing w:val="-6"/>
                <w:lang w:val="de-DE"/>
              </w:rPr>
              <w:t xml:space="preserve"> </w:t>
            </w:r>
            <w:r w:rsidRPr="00E73F6F">
              <w:rPr>
                <w:lang w:val="de-DE"/>
              </w:rPr>
              <w:t>ist</w:t>
            </w:r>
            <w:r w:rsidRPr="00E73F6F">
              <w:rPr>
                <w:spacing w:val="-5"/>
                <w:lang w:val="de-DE"/>
              </w:rPr>
              <w:t xml:space="preserve"> </w:t>
            </w:r>
            <w:r w:rsidRPr="00E73F6F">
              <w:rPr>
                <w:lang w:val="de-DE"/>
              </w:rPr>
              <w:t>lebenslange</w:t>
            </w:r>
            <w:r w:rsidRPr="00E73F6F">
              <w:rPr>
                <w:spacing w:val="-5"/>
                <w:lang w:val="de-DE"/>
              </w:rPr>
              <w:t xml:space="preserve"> </w:t>
            </w:r>
            <w:r w:rsidRPr="00E73F6F">
              <w:rPr>
                <w:spacing w:val="-2"/>
                <w:lang w:val="de-DE"/>
              </w:rPr>
              <w:t>Verpflichtung“</w:t>
            </w:r>
          </w:p>
          <w:p w14:paraId="41EA325D" w14:textId="77777777" w:rsidR="00FF7799" w:rsidRPr="00E73F6F" w:rsidRDefault="00FF7799" w:rsidP="00E445CF">
            <w:pPr>
              <w:pStyle w:val="StandardTextAufzhlung"/>
              <w:ind w:left="522"/>
              <w:rPr>
                <w:lang w:val="de-DE"/>
              </w:rPr>
            </w:pPr>
            <w:r w:rsidRPr="00E73F6F">
              <w:rPr>
                <w:lang w:val="de-DE"/>
              </w:rPr>
              <w:t>Erziehungsziel:</w:t>
            </w:r>
            <w:r w:rsidRPr="00E73F6F">
              <w:rPr>
                <w:spacing w:val="-5"/>
                <w:lang w:val="de-DE"/>
              </w:rPr>
              <w:t xml:space="preserve"> </w:t>
            </w:r>
            <w:r w:rsidRPr="00E73F6F">
              <w:rPr>
                <w:lang w:val="de-DE"/>
              </w:rPr>
              <w:t>„Wie</w:t>
            </w:r>
            <w:r w:rsidRPr="00E73F6F">
              <w:rPr>
                <w:spacing w:val="-5"/>
                <w:lang w:val="de-DE"/>
              </w:rPr>
              <w:t xml:space="preserve"> </w:t>
            </w:r>
            <w:r w:rsidRPr="00E73F6F">
              <w:rPr>
                <w:lang w:val="de-DE"/>
              </w:rPr>
              <w:t>man</w:t>
            </w:r>
            <w:r w:rsidRPr="00E73F6F">
              <w:rPr>
                <w:spacing w:val="-4"/>
                <w:lang w:val="de-DE"/>
              </w:rPr>
              <w:t xml:space="preserve"> </w:t>
            </w:r>
            <w:r w:rsidRPr="00E73F6F">
              <w:rPr>
                <w:lang w:val="de-DE"/>
              </w:rPr>
              <w:t>etwas</w:t>
            </w:r>
            <w:r w:rsidRPr="00E73F6F">
              <w:rPr>
                <w:spacing w:val="-4"/>
                <w:lang w:val="de-DE"/>
              </w:rPr>
              <w:t xml:space="preserve"> </w:t>
            </w:r>
            <w:r w:rsidRPr="00E73F6F">
              <w:rPr>
                <w:spacing w:val="-2"/>
                <w:lang w:val="de-DE"/>
              </w:rPr>
              <w:t>lernt“</w:t>
            </w:r>
          </w:p>
          <w:p w14:paraId="509AE490" w14:textId="77777777" w:rsidR="00FF7799" w:rsidRPr="00E73F6F" w:rsidRDefault="00FF7799" w:rsidP="00E445CF">
            <w:pPr>
              <w:pStyle w:val="StandardTextAufzhlung"/>
              <w:ind w:left="522"/>
              <w:rPr>
                <w:lang w:val="de-DE"/>
              </w:rPr>
            </w:pPr>
            <w:r w:rsidRPr="00E73F6F">
              <w:rPr>
                <w:lang w:val="de-DE"/>
              </w:rPr>
              <w:t>Diplome</w:t>
            </w:r>
            <w:r w:rsidRPr="00E73F6F">
              <w:rPr>
                <w:spacing w:val="-9"/>
                <w:lang w:val="de-DE"/>
              </w:rPr>
              <w:t xml:space="preserve"> </w:t>
            </w:r>
            <w:r w:rsidRPr="00E73F6F">
              <w:rPr>
                <w:lang w:val="de-DE"/>
              </w:rPr>
              <w:t>steigern</w:t>
            </w:r>
            <w:r w:rsidRPr="00E73F6F">
              <w:rPr>
                <w:spacing w:val="-9"/>
                <w:lang w:val="de-DE"/>
              </w:rPr>
              <w:t xml:space="preserve"> </w:t>
            </w:r>
            <w:r w:rsidRPr="00E73F6F">
              <w:rPr>
                <w:lang w:val="de-DE"/>
              </w:rPr>
              <w:t>den</w:t>
            </w:r>
            <w:r w:rsidRPr="00E73F6F">
              <w:rPr>
                <w:spacing w:val="-9"/>
                <w:lang w:val="de-DE"/>
              </w:rPr>
              <w:t xml:space="preserve"> </w:t>
            </w:r>
            <w:r w:rsidRPr="00E73F6F">
              <w:rPr>
                <w:lang w:val="de-DE"/>
              </w:rPr>
              <w:t>wirtschaftlichen</w:t>
            </w:r>
            <w:r w:rsidRPr="00E73F6F">
              <w:rPr>
                <w:spacing w:val="-8"/>
                <w:lang w:val="de-DE"/>
              </w:rPr>
              <w:t xml:space="preserve"> </w:t>
            </w:r>
            <w:r w:rsidRPr="00E73F6F">
              <w:rPr>
                <w:lang w:val="de-DE"/>
              </w:rPr>
              <w:t>Wert</w:t>
            </w:r>
            <w:r w:rsidRPr="00E73F6F">
              <w:rPr>
                <w:spacing w:val="40"/>
                <w:lang w:val="de-DE"/>
              </w:rPr>
              <w:t xml:space="preserve"> </w:t>
            </w:r>
            <w:r w:rsidRPr="00E73F6F">
              <w:rPr>
                <w:lang w:val="de-DE"/>
              </w:rPr>
              <w:t>und die Selbstachtung des Einzelnen</w:t>
            </w:r>
          </w:p>
        </w:tc>
      </w:tr>
      <w:tr w:rsidR="00FF7799" w:rsidRPr="00E73F6F" w14:paraId="2D7E04F8" w14:textId="77777777" w:rsidTr="003B03AD">
        <w:trPr>
          <w:trHeight w:val="220"/>
        </w:trPr>
        <w:tc>
          <w:tcPr>
            <w:tcW w:w="9072" w:type="dxa"/>
            <w:gridSpan w:val="2"/>
            <w:shd w:val="clear" w:color="auto" w:fill="FFF2CC" w:themeFill="accent4" w:themeFillTint="33"/>
            <w:tcMar>
              <w:left w:w="57" w:type="dxa"/>
              <w:right w:w="57" w:type="dxa"/>
            </w:tcMar>
          </w:tcPr>
          <w:p w14:paraId="5471D17A" w14:textId="77777777" w:rsidR="00FF7799" w:rsidRPr="00E73F6F" w:rsidRDefault="00FF7799" w:rsidP="00E445CF">
            <w:pPr>
              <w:pStyle w:val="StandardText"/>
              <w:spacing w:after="120"/>
              <w:ind w:left="522"/>
              <w:jc w:val="center"/>
              <w:rPr>
                <w:b/>
                <w:lang w:val="de-DE"/>
              </w:rPr>
            </w:pPr>
            <w:r w:rsidRPr="00E73F6F">
              <w:rPr>
                <w:b/>
                <w:lang w:val="de-DE"/>
              </w:rPr>
              <w:t>Arbeitsleben</w:t>
            </w:r>
          </w:p>
        </w:tc>
      </w:tr>
      <w:tr w:rsidR="00FF7799" w:rsidRPr="00E73F6F" w14:paraId="299DC957" w14:textId="77777777" w:rsidTr="00957B22">
        <w:trPr>
          <w:trHeight w:val="2904"/>
        </w:trPr>
        <w:tc>
          <w:tcPr>
            <w:tcW w:w="4372" w:type="dxa"/>
            <w:tcMar>
              <w:left w:w="57" w:type="dxa"/>
              <w:right w:w="57" w:type="dxa"/>
            </w:tcMar>
          </w:tcPr>
          <w:p w14:paraId="56917B27" w14:textId="77777777" w:rsidR="00FF7799" w:rsidRPr="00E73F6F" w:rsidRDefault="00FF7799" w:rsidP="00E445CF">
            <w:pPr>
              <w:pStyle w:val="StandardTextAufzhlung"/>
              <w:ind w:left="522"/>
              <w:jc w:val="left"/>
              <w:rPr>
                <w:lang w:val="de-DE"/>
              </w:rPr>
            </w:pPr>
            <w:r w:rsidRPr="00E73F6F">
              <w:rPr>
                <w:lang w:val="de-DE"/>
              </w:rPr>
              <w:t>Unterschiedliche</w:t>
            </w:r>
            <w:r w:rsidRPr="00E73F6F">
              <w:rPr>
                <w:spacing w:val="-8"/>
                <w:lang w:val="de-DE"/>
              </w:rPr>
              <w:t xml:space="preserve"> </w:t>
            </w:r>
            <w:r w:rsidRPr="00E73F6F">
              <w:rPr>
                <w:lang w:val="de-DE"/>
              </w:rPr>
              <w:t>Maßstäbe</w:t>
            </w:r>
            <w:r w:rsidRPr="00E73F6F">
              <w:rPr>
                <w:spacing w:val="-6"/>
                <w:lang w:val="de-DE"/>
              </w:rPr>
              <w:t xml:space="preserve"> </w:t>
            </w:r>
            <w:r w:rsidRPr="00E73F6F">
              <w:rPr>
                <w:lang w:val="de-DE"/>
              </w:rPr>
              <w:t>für</w:t>
            </w:r>
            <w:r w:rsidRPr="00E73F6F">
              <w:rPr>
                <w:spacing w:val="-8"/>
                <w:lang w:val="de-DE"/>
              </w:rPr>
              <w:t xml:space="preserve"> </w:t>
            </w:r>
            <w:r w:rsidRPr="00E73F6F">
              <w:rPr>
                <w:lang w:val="de-DE"/>
              </w:rPr>
              <w:t>Mitglieder</w:t>
            </w:r>
            <w:r w:rsidRPr="00E73F6F">
              <w:rPr>
                <w:spacing w:val="-7"/>
                <w:lang w:val="de-DE"/>
              </w:rPr>
              <w:t xml:space="preserve"> </w:t>
            </w:r>
            <w:r w:rsidRPr="00E73F6F">
              <w:rPr>
                <w:lang w:val="de-DE"/>
              </w:rPr>
              <w:t>von</w:t>
            </w:r>
            <w:r w:rsidRPr="00E73F6F">
              <w:rPr>
                <w:spacing w:val="-8"/>
                <w:lang w:val="de-DE"/>
              </w:rPr>
              <w:t xml:space="preserve"> </w:t>
            </w:r>
            <w:r w:rsidRPr="00E73F6F">
              <w:rPr>
                <w:lang w:val="de-DE"/>
              </w:rPr>
              <w:t>'in-group'</w:t>
            </w:r>
            <w:r w:rsidRPr="00E73F6F">
              <w:rPr>
                <w:spacing w:val="40"/>
                <w:lang w:val="de-DE"/>
              </w:rPr>
              <w:t xml:space="preserve"> </w:t>
            </w:r>
            <w:r w:rsidRPr="00E73F6F">
              <w:rPr>
                <w:lang w:val="de-DE"/>
              </w:rPr>
              <w:t>und</w:t>
            </w:r>
            <w:r w:rsidRPr="00E73F6F">
              <w:rPr>
                <w:spacing w:val="-6"/>
                <w:lang w:val="de-DE"/>
              </w:rPr>
              <w:t xml:space="preserve"> </w:t>
            </w:r>
            <w:r w:rsidRPr="00E73F6F">
              <w:rPr>
                <w:lang w:val="de-DE"/>
              </w:rPr>
              <w:t>'out-group'</w:t>
            </w:r>
          </w:p>
          <w:p w14:paraId="262E77F0" w14:textId="77777777" w:rsidR="00FF7799" w:rsidRPr="00E73F6F" w:rsidRDefault="00FF7799" w:rsidP="00E445CF">
            <w:pPr>
              <w:pStyle w:val="StandardTextAufzhlung"/>
              <w:ind w:left="522"/>
              <w:jc w:val="left"/>
              <w:rPr>
                <w:lang w:val="de-DE"/>
              </w:rPr>
            </w:pPr>
            <w:r w:rsidRPr="00E73F6F">
              <w:rPr>
                <w:lang w:val="de-DE"/>
              </w:rPr>
              <w:t>Mitarbeiter</w:t>
            </w:r>
            <w:r w:rsidRPr="00E73F6F">
              <w:rPr>
                <w:spacing w:val="-9"/>
                <w:lang w:val="de-DE"/>
              </w:rPr>
              <w:t xml:space="preserve"> </w:t>
            </w:r>
            <w:r w:rsidRPr="00E73F6F">
              <w:rPr>
                <w:lang w:val="de-DE"/>
              </w:rPr>
              <w:t>werden</w:t>
            </w:r>
            <w:r w:rsidRPr="00E73F6F">
              <w:rPr>
                <w:spacing w:val="-9"/>
                <w:lang w:val="de-DE"/>
              </w:rPr>
              <w:t xml:space="preserve"> </w:t>
            </w:r>
            <w:r w:rsidRPr="00E73F6F">
              <w:rPr>
                <w:lang w:val="de-DE"/>
              </w:rPr>
              <w:t>aufgrund</w:t>
            </w:r>
            <w:r w:rsidRPr="00E73F6F">
              <w:rPr>
                <w:spacing w:val="-9"/>
                <w:lang w:val="de-DE"/>
              </w:rPr>
              <w:t xml:space="preserve"> </w:t>
            </w:r>
            <w:r w:rsidRPr="00E73F6F">
              <w:rPr>
                <w:lang w:val="de-DE"/>
              </w:rPr>
              <w:t>ihrer</w:t>
            </w:r>
            <w:r w:rsidRPr="00E73F6F">
              <w:rPr>
                <w:spacing w:val="40"/>
                <w:lang w:val="de-DE"/>
              </w:rPr>
              <w:t xml:space="preserve"> </w:t>
            </w:r>
            <w:r w:rsidRPr="00E73F6F">
              <w:rPr>
                <w:lang w:val="de-DE"/>
              </w:rPr>
              <w:t>Gruppenzugehörigkeit</w:t>
            </w:r>
            <w:r w:rsidRPr="00E73F6F">
              <w:rPr>
                <w:spacing w:val="-6"/>
                <w:lang w:val="de-DE"/>
              </w:rPr>
              <w:t xml:space="preserve"> </w:t>
            </w:r>
            <w:r w:rsidRPr="00E73F6F">
              <w:rPr>
                <w:lang w:val="de-DE"/>
              </w:rPr>
              <w:t>beurteilt</w:t>
            </w:r>
          </w:p>
          <w:p w14:paraId="5FBBF3D3" w14:textId="77777777" w:rsidR="00FF7799" w:rsidRPr="00E73F6F" w:rsidRDefault="00FF7799" w:rsidP="00E445CF">
            <w:pPr>
              <w:pStyle w:val="StandardTextAufzhlung"/>
              <w:ind w:left="522"/>
              <w:jc w:val="left"/>
              <w:rPr>
                <w:lang w:val="de-DE"/>
              </w:rPr>
            </w:pPr>
            <w:r w:rsidRPr="00E73F6F">
              <w:rPr>
                <w:lang w:val="de-DE"/>
              </w:rPr>
              <w:t>Harmonie-Prinzip:</w:t>
            </w:r>
            <w:r w:rsidRPr="00E73F6F">
              <w:rPr>
                <w:spacing w:val="-9"/>
                <w:lang w:val="de-DE"/>
              </w:rPr>
              <w:t xml:space="preserve"> </w:t>
            </w:r>
            <w:r w:rsidRPr="00E73F6F">
              <w:rPr>
                <w:lang w:val="de-DE"/>
              </w:rPr>
              <w:t>Zwischenmenschliche</w:t>
            </w:r>
            <w:r w:rsidRPr="00E73F6F">
              <w:rPr>
                <w:spacing w:val="-9"/>
                <w:lang w:val="de-DE"/>
              </w:rPr>
              <w:t xml:space="preserve"> </w:t>
            </w:r>
            <w:r w:rsidRPr="00E73F6F">
              <w:rPr>
                <w:lang w:val="de-DE"/>
              </w:rPr>
              <w:t>Beziehungen</w:t>
            </w:r>
            <w:r w:rsidRPr="00E73F6F">
              <w:rPr>
                <w:spacing w:val="40"/>
                <w:lang w:val="de-DE"/>
              </w:rPr>
              <w:t xml:space="preserve"> </w:t>
            </w:r>
            <w:r w:rsidRPr="00E73F6F">
              <w:rPr>
                <w:lang w:val="de-DE"/>
              </w:rPr>
              <w:t>sind wichtiger als Aufgabenerfüllung</w:t>
            </w:r>
          </w:p>
          <w:p w14:paraId="4885C3FD" w14:textId="77777777" w:rsidR="00FF7799" w:rsidRPr="00E73F6F" w:rsidRDefault="00FF7799" w:rsidP="00E445CF">
            <w:pPr>
              <w:pStyle w:val="StandardTextAufzhlung"/>
              <w:ind w:left="522"/>
              <w:jc w:val="left"/>
              <w:rPr>
                <w:lang w:val="de-DE"/>
              </w:rPr>
            </w:pPr>
            <w:r w:rsidRPr="00E73F6F">
              <w:rPr>
                <w:lang w:val="de-DE"/>
              </w:rPr>
              <w:t>Mitglieder</w:t>
            </w:r>
            <w:r w:rsidRPr="00E73F6F">
              <w:rPr>
                <w:spacing w:val="-6"/>
                <w:lang w:val="de-DE"/>
              </w:rPr>
              <w:t xml:space="preserve"> </w:t>
            </w:r>
            <w:r w:rsidRPr="00E73F6F">
              <w:rPr>
                <w:lang w:val="de-DE"/>
              </w:rPr>
              <w:t>der</w:t>
            </w:r>
            <w:r w:rsidRPr="00E73F6F">
              <w:rPr>
                <w:spacing w:val="-6"/>
                <w:lang w:val="de-DE"/>
              </w:rPr>
              <w:t xml:space="preserve"> </w:t>
            </w:r>
            <w:r w:rsidRPr="00E73F6F">
              <w:rPr>
                <w:lang w:val="de-DE"/>
              </w:rPr>
              <w:t>'in-group'</w:t>
            </w:r>
            <w:r w:rsidRPr="00E73F6F">
              <w:rPr>
                <w:spacing w:val="-7"/>
                <w:lang w:val="de-DE"/>
              </w:rPr>
              <w:t xml:space="preserve"> </w:t>
            </w:r>
            <w:r w:rsidRPr="00E73F6F">
              <w:rPr>
                <w:lang w:val="de-DE"/>
              </w:rPr>
              <w:t>werden</w:t>
            </w:r>
            <w:r w:rsidRPr="00E73F6F">
              <w:rPr>
                <w:spacing w:val="-6"/>
                <w:lang w:val="de-DE"/>
              </w:rPr>
              <w:t xml:space="preserve"> </w:t>
            </w:r>
            <w:r w:rsidRPr="00E73F6F">
              <w:rPr>
                <w:lang w:val="de-DE"/>
              </w:rPr>
              <w:t>bevorzugt</w:t>
            </w:r>
            <w:r w:rsidRPr="00E73F6F">
              <w:rPr>
                <w:spacing w:val="-3"/>
                <w:lang w:val="de-DE"/>
              </w:rPr>
              <w:t xml:space="preserve"> </w:t>
            </w:r>
            <w:r w:rsidRPr="00E73F6F">
              <w:rPr>
                <w:lang w:val="de-DE"/>
              </w:rPr>
              <w:t>(z.B.</w:t>
            </w:r>
            <w:r w:rsidRPr="00E73F6F">
              <w:rPr>
                <w:spacing w:val="-4"/>
                <w:lang w:val="de-DE"/>
              </w:rPr>
              <w:t xml:space="preserve"> </w:t>
            </w:r>
            <w:r w:rsidRPr="00E73F6F">
              <w:rPr>
                <w:lang w:val="de-DE"/>
              </w:rPr>
              <w:t>bei</w:t>
            </w:r>
            <w:r w:rsidRPr="00E73F6F">
              <w:rPr>
                <w:spacing w:val="-6"/>
                <w:lang w:val="de-DE"/>
              </w:rPr>
              <w:t xml:space="preserve"> </w:t>
            </w:r>
            <w:r w:rsidRPr="00E73F6F">
              <w:rPr>
                <w:lang w:val="de-DE"/>
              </w:rPr>
              <w:t>der</w:t>
            </w:r>
            <w:r w:rsidRPr="00E73F6F">
              <w:rPr>
                <w:spacing w:val="40"/>
                <w:lang w:val="de-DE"/>
              </w:rPr>
              <w:t xml:space="preserve"> </w:t>
            </w:r>
            <w:r w:rsidRPr="00E73F6F">
              <w:rPr>
                <w:spacing w:val="-2"/>
                <w:lang w:val="de-DE"/>
              </w:rPr>
              <w:t>Beförderung)</w:t>
            </w:r>
          </w:p>
          <w:p w14:paraId="4EBC8EAF" w14:textId="77777777" w:rsidR="00FF7799" w:rsidRPr="00E73F6F" w:rsidRDefault="00FF7799" w:rsidP="00E445CF">
            <w:pPr>
              <w:pStyle w:val="StandardTextAufzhlung"/>
              <w:ind w:left="522"/>
              <w:jc w:val="left"/>
              <w:rPr>
                <w:lang w:val="de-DE"/>
              </w:rPr>
            </w:pPr>
            <w:r w:rsidRPr="00E73F6F">
              <w:rPr>
                <w:lang w:val="de-DE"/>
              </w:rPr>
              <w:t>Arbeitgeber/Arbeitnehmer-Beziehung</w:t>
            </w:r>
            <w:r w:rsidRPr="00E73F6F">
              <w:rPr>
                <w:spacing w:val="-9"/>
                <w:lang w:val="de-DE"/>
              </w:rPr>
              <w:t xml:space="preserve"> </w:t>
            </w:r>
            <w:r w:rsidRPr="00E73F6F">
              <w:rPr>
                <w:lang w:val="de-DE"/>
              </w:rPr>
              <w:t>ist</w:t>
            </w:r>
            <w:r w:rsidRPr="00E73F6F">
              <w:rPr>
                <w:spacing w:val="-9"/>
                <w:lang w:val="de-DE"/>
              </w:rPr>
              <w:t xml:space="preserve"> </w:t>
            </w:r>
            <w:r w:rsidRPr="00E73F6F">
              <w:rPr>
                <w:lang w:val="de-DE"/>
              </w:rPr>
              <w:t>moralisch</w:t>
            </w:r>
            <w:r w:rsidRPr="00E73F6F">
              <w:rPr>
                <w:spacing w:val="40"/>
                <w:lang w:val="de-DE"/>
              </w:rPr>
              <w:t xml:space="preserve"> </w:t>
            </w:r>
            <w:r w:rsidRPr="00E73F6F">
              <w:rPr>
                <w:lang w:val="de-DE"/>
              </w:rPr>
              <w:t>fundiert (im Idealfall lebenslange Beschäftigung)</w:t>
            </w:r>
          </w:p>
          <w:p w14:paraId="32BABE3F" w14:textId="77777777" w:rsidR="00FF7799" w:rsidRPr="00E73F6F" w:rsidRDefault="00FF7799" w:rsidP="00E445CF">
            <w:pPr>
              <w:pStyle w:val="StandardTextAufzhlung"/>
              <w:ind w:left="522"/>
              <w:jc w:val="left"/>
              <w:rPr>
                <w:lang w:val="de-DE"/>
              </w:rPr>
            </w:pPr>
            <w:r w:rsidRPr="00E73F6F">
              <w:rPr>
                <w:lang w:val="de-DE"/>
              </w:rPr>
              <w:t>Management</w:t>
            </w:r>
            <w:r w:rsidRPr="00E73F6F">
              <w:rPr>
                <w:spacing w:val="-5"/>
                <w:lang w:val="de-DE"/>
              </w:rPr>
              <w:t xml:space="preserve"> </w:t>
            </w:r>
            <w:r w:rsidRPr="00E73F6F">
              <w:rPr>
                <w:lang w:val="de-DE"/>
              </w:rPr>
              <w:t>bedeutet</w:t>
            </w:r>
            <w:r w:rsidRPr="00E73F6F">
              <w:rPr>
                <w:spacing w:val="-4"/>
                <w:lang w:val="de-DE"/>
              </w:rPr>
              <w:t xml:space="preserve"> </w:t>
            </w:r>
            <w:r w:rsidRPr="00E73F6F">
              <w:rPr>
                <w:lang w:val="de-DE"/>
              </w:rPr>
              <w:t>Führen</w:t>
            </w:r>
            <w:r w:rsidRPr="00E73F6F">
              <w:rPr>
                <w:spacing w:val="-4"/>
                <w:lang w:val="de-DE"/>
              </w:rPr>
              <w:t xml:space="preserve"> </w:t>
            </w:r>
            <w:r w:rsidRPr="00E73F6F">
              <w:rPr>
                <w:lang w:val="de-DE"/>
              </w:rPr>
              <w:t>von</w:t>
            </w:r>
            <w:r w:rsidRPr="00E73F6F">
              <w:rPr>
                <w:spacing w:val="-5"/>
                <w:lang w:val="de-DE"/>
              </w:rPr>
              <w:t xml:space="preserve"> </w:t>
            </w:r>
            <w:r w:rsidRPr="00E73F6F">
              <w:rPr>
                <w:spacing w:val="-2"/>
                <w:lang w:val="de-DE"/>
              </w:rPr>
              <w:t>Gruppen</w:t>
            </w:r>
          </w:p>
          <w:p w14:paraId="4121353A" w14:textId="77777777" w:rsidR="00FF7799" w:rsidRPr="00E73F6F" w:rsidRDefault="00FF7799" w:rsidP="00E445CF">
            <w:pPr>
              <w:pStyle w:val="StandardTextAufzhlung"/>
              <w:ind w:left="522"/>
              <w:jc w:val="left"/>
              <w:rPr>
                <w:lang w:val="de-DE"/>
              </w:rPr>
            </w:pPr>
            <w:r w:rsidRPr="00E73F6F">
              <w:rPr>
                <w:lang w:val="de-DE"/>
              </w:rPr>
              <w:t>Gruppenziele</w:t>
            </w:r>
            <w:r w:rsidRPr="00E73F6F">
              <w:rPr>
                <w:spacing w:val="-4"/>
                <w:lang w:val="de-DE"/>
              </w:rPr>
              <w:t xml:space="preserve"> </w:t>
            </w:r>
            <w:r w:rsidRPr="00E73F6F">
              <w:rPr>
                <w:lang w:val="de-DE"/>
              </w:rPr>
              <w:t>dominieren</w:t>
            </w:r>
            <w:r w:rsidRPr="00E73F6F">
              <w:rPr>
                <w:spacing w:val="-5"/>
                <w:lang w:val="de-DE"/>
              </w:rPr>
              <w:t xml:space="preserve"> </w:t>
            </w:r>
            <w:r w:rsidRPr="00E73F6F">
              <w:rPr>
                <w:lang w:val="de-DE"/>
              </w:rPr>
              <w:t>die</w:t>
            </w:r>
            <w:r w:rsidRPr="00E73F6F">
              <w:rPr>
                <w:spacing w:val="-4"/>
                <w:lang w:val="de-DE"/>
              </w:rPr>
              <w:t xml:space="preserve"> </w:t>
            </w:r>
            <w:r w:rsidRPr="00E73F6F">
              <w:rPr>
                <w:spacing w:val="-2"/>
                <w:lang w:val="de-DE"/>
              </w:rPr>
              <w:t>Personalentwicklung</w:t>
            </w:r>
          </w:p>
        </w:tc>
        <w:tc>
          <w:tcPr>
            <w:tcW w:w="4700" w:type="dxa"/>
            <w:tcMar>
              <w:left w:w="57" w:type="dxa"/>
              <w:right w:w="57" w:type="dxa"/>
            </w:tcMar>
          </w:tcPr>
          <w:p w14:paraId="3203D0B5" w14:textId="77777777" w:rsidR="00FF7799" w:rsidRPr="00E73F6F" w:rsidRDefault="00FF7799" w:rsidP="00E445CF">
            <w:pPr>
              <w:pStyle w:val="StandardTextAufzhlung"/>
              <w:ind w:left="522"/>
              <w:jc w:val="left"/>
              <w:rPr>
                <w:lang w:val="de-DE"/>
              </w:rPr>
            </w:pPr>
            <w:r w:rsidRPr="00E73F6F">
              <w:rPr>
                <w:lang w:val="de-DE"/>
              </w:rPr>
              <w:t>Gleichbehandlung aller Mitarbeiter</w:t>
            </w:r>
            <w:r w:rsidRPr="00E73F6F">
              <w:rPr>
                <w:spacing w:val="40"/>
                <w:lang w:val="de-DE"/>
              </w:rPr>
              <w:t xml:space="preserve"> </w:t>
            </w:r>
            <w:r w:rsidRPr="00E73F6F">
              <w:rPr>
                <w:lang w:val="de-DE"/>
              </w:rPr>
              <w:t>(unabhängig</w:t>
            </w:r>
            <w:r w:rsidRPr="00E73F6F">
              <w:rPr>
                <w:spacing w:val="-9"/>
                <w:lang w:val="de-DE"/>
              </w:rPr>
              <w:t xml:space="preserve"> </w:t>
            </w:r>
            <w:r w:rsidRPr="00E73F6F">
              <w:rPr>
                <w:lang w:val="de-DE"/>
              </w:rPr>
              <w:t>von</w:t>
            </w:r>
            <w:r w:rsidRPr="00E73F6F">
              <w:rPr>
                <w:spacing w:val="-9"/>
                <w:lang w:val="de-DE"/>
              </w:rPr>
              <w:t xml:space="preserve"> </w:t>
            </w:r>
            <w:r w:rsidRPr="00E73F6F">
              <w:rPr>
                <w:lang w:val="de-DE"/>
              </w:rPr>
              <w:t>Gruppenzugehörigkeit)</w:t>
            </w:r>
          </w:p>
          <w:p w14:paraId="576A730A" w14:textId="77777777" w:rsidR="00FF7799" w:rsidRPr="00E73F6F" w:rsidRDefault="00FF7799" w:rsidP="00E445CF">
            <w:pPr>
              <w:pStyle w:val="StandardTextAufzhlung"/>
              <w:ind w:left="522"/>
              <w:jc w:val="left"/>
              <w:rPr>
                <w:lang w:val="de-DE"/>
              </w:rPr>
            </w:pPr>
            <w:r w:rsidRPr="00E73F6F">
              <w:rPr>
                <w:lang w:val="de-DE"/>
              </w:rPr>
              <w:t>Mitarbeiter</w:t>
            </w:r>
            <w:r w:rsidRPr="00E73F6F">
              <w:rPr>
                <w:spacing w:val="-9"/>
                <w:lang w:val="de-DE"/>
              </w:rPr>
              <w:t xml:space="preserve"> </w:t>
            </w:r>
            <w:r w:rsidRPr="00E73F6F">
              <w:rPr>
                <w:lang w:val="de-DE"/>
              </w:rPr>
              <w:t>werden</w:t>
            </w:r>
            <w:r w:rsidRPr="00E73F6F">
              <w:rPr>
                <w:spacing w:val="-9"/>
                <w:lang w:val="de-DE"/>
              </w:rPr>
              <w:t xml:space="preserve"> </w:t>
            </w:r>
            <w:r w:rsidRPr="00E73F6F">
              <w:rPr>
                <w:lang w:val="de-DE"/>
              </w:rPr>
              <w:t>aufgrund</w:t>
            </w:r>
            <w:r w:rsidRPr="00E73F6F">
              <w:rPr>
                <w:spacing w:val="-9"/>
                <w:lang w:val="de-DE"/>
              </w:rPr>
              <w:t xml:space="preserve"> </w:t>
            </w:r>
            <w:r w:rsidRPr="00E73F6F">
              <w:rPr>
                <w:lang w:val="de-DE"/>
              </w:rPr>
              <w:t>ihrer</w:t>
            </w:r>
            <w:r w:rsidRPr="00E73F6F">
              <w:rPr>
                <w:spacing w:val="40"/>
                <w:lang w:val="de-DE"/>
              </w:rPr>
              <w:t xml:space="preserve"> </w:t>
            </w:r>
            <w:r w:rsidRPr="00E73F6F">
              <w:rPr>
                <w:lang w:val="de-DE"/>
              </w:rPr>
              <w:t>Fähigkeiten</w:t>
            </w:r>
            <w:r w:rsidRPr="00E73F6F">
              <w:rPr>
                <w:spacing w:val="-4"/>
                <w:lang w:val="de-DE"/>
              </w:rPr>
              <w:t xml:space="preserve"> </w:t>
            </w:r>
            <w:r w:rsidRPr="00E73F6F">
              <w:rPr>
                <w:lang w:val="de-DE"/>
              </w:rPr>
              <w:t>beurteilt</w:t>
            </w:r>
          </w:p>
          <w:p w14:paraId="29CC24D2" w14:textId="77777777" w:rsidR="00FF7799" w:rsidRPr="00E73F6F" w:rsidRDefault="00FF7799" w:rsidP="00E445CF">
            <w:pPr>
              <w:pStyle w:val="StandardTextAufzhlung"/>
              <w:ind w:left="522"/>
              <w:jc w:val="left"/>
              <w:rPr>
                <w:lang w:val="de-DE"/>
              </w:rPr>
            </w:pPr>
            <w:r w:rsidRPr="00E73F6F">
              <w:rPr>
                <w:lang w:val="de-DE"/>
              </w:rPr>
              <w:t>Leistungsprinzip:</w:t>
            </w:r>
            <w:r w:rsidRPr="00E73F6F">
              <w:rPr>
                <w:spacing w:val="-9"/>
                <w:lang w:val="de-DE"/>
              </w:rPr>
              <w:t xml:space="preserve"> </w:t>
            </w:r>
            <w:r w:rsidRPr="00E73F6F">
              <w:rPr>
                <w:lang w:val="de-DE"/>
              </w:rPr>
              <w:t>Aufgabenerfüllung</w:t>
            </w:r>
            <w:r w:rsidRPr="00E73F6F">
              <w:rPr>
                <w:spacing w:val="-9"/>
                <w:lang w:val="de-DE"/>
              </w:rPr>
              <w:t xml:space="preserve"> </w:t>
            </w:r>
            <w:r w:rsidRPr="00E73F6F">
              <w:rPr>
                <w:lang w:val="de-DE"/>
              </w:rPr>
              <w:t>ist</w:t>
            </w:r>
            <w:r w:rsidRPr="00E73F6F">
              <w:rPr>
                <w:spacing w:val="40"/>
                <w:lang w:val="de-DE"/>
              </w:rPr>
              <w:t xml:space="preserve"> </w:t>
            </w:r>
            <w:r w:rsidRPr="00E73F6F">
              <w:rPr>
                <w:lang w:val="de-DE"/>
              </w:rPr>
              <w:t>wichtiger als zwischenmenschliche</w:t>
            </w:r>
            <w:r w:rsidRPr="00E73F6F">
              <w:rPr>
                <w:spacing w:val="40"/>
                <w:lang w:val="de-DE"/>
              </w:rPr>
              <w:t xml:space="preserve"> </w:t>
            </w:r>
            <w:r w:rsidRPr="00E73F6F">
              <w:rPr>
                <w:spacing w:val="-2"/>
                <w:lang w:val="de-DE"/>
              </w:rPr>
              <w:t>Beziehungen</w:t>
            </w:r>
          </w:p>
          <w:p w14:paraId="17AD4C21" w14:textId="77777777" w:rsidR="00FF7799" w:rsidRPr="00E73F6F" w:rsidRDefault="00FF7799" w:rsidP="00E445CF">
            <w:pPr>
              <w:pStyle w:val="StandardTextAufzhlung"/>
              <w:ind w:left="522"/>
              <w:jc w:val="left"/>
              <w:rPr>
                <w:lang w:val="de-DE"/>
              </w:rPr>
            </w:pPr>
            <w:r w:rsidRPr="00E73F6F">
              <w:rPr>
                <w:lang w:val="de-DE"/>
              </w:rPr>
              <w:t>Chancengleichheit</w:t>
            </w:r>
            <w:r w:rsidRPr="00E73F6F">
              <w:rPr>
                <w:spacing w:val="-9"/>
                <w:lang w:val="de-DE"/>
              </w:rPr>
              <w:t xml:space="preserve"> </w:t>
            </w:r>
            <w:r w:rsidRPr="00E73F6F">
              <w:rPr>
                <w:lang w:val="de-DE"/>
              </w:rPr>
              <w:t>und</w:t>
            </w:r>
            <w:r w:rsidRPr="00E73F6F">
              <w:rPr>
                <w:spacing w:val="-9"/>
                <w:lang w:val="de-DE"/>
              </w:rPr>
              <w:t xml:space="preserve"> </w:t>
            </w:r>
            <w:r w:rsidRPr="00E73F6F">
              <w:rPr>
                <w:lang w:val="de-DE"/>
              </w:rPr>
              <w:t>Leistungsbezug</w:t>
            </w:r>
            <w:r w:rsidRPr="00E73F6F">
              <w:rPr>
                <w:spacing w:val="-9"/>
                <w:lang w:val="de-DE"/>
              </w:rPr>
              <w:t xml:space="preserve"> </w:t>
            </w:r>
            <w:r w:rsidRPr="00E73F6F">
              <w:rPr>
                <w:lang w:val="de-DE"/>
              </w:rPr>
              <w:t>bei</w:t>
            </w:r>
            <w:r w:rsidRPr="00E73F6F">
              <w:rPr>
                <w:spacing w:val="40"/>
                <w:lang w:val="de-DE"/>
              </w:rPr>
              <w:t xml:space="preserve"> </w:t>
            </w:r>
            <w:r w:rsidRPr="00E73F6F">
              <w:rPr>
                <w:spacing w:val="-2"/>
                <w:lang w:val="de-DE"/>
              </w:rPr>
              <w:t>Karriereentscheidungen</w:t>
            </w:r>
          </w:p>
          <w:p w14:paraId="6E4E5E89" w14:textId="77777777" w:rsidR="00FF7799" w:rsidRPr="00E73F6F" w:rsidRDefault="00FF7799" w:rsidP="00E445CF">
            <w:pPr>
              <w:pStyle w:val="StandardTextAufzhlung"/>
              <w:ind w:left="522"/>
              <w:jc w:val="left"/>
              <w:rPr>
                <w:lang w:val="de-DE"/>
              </w:rPr>
            </w:pPr>
            <w:r w:rsidRPr="00E73F6F">
              <w:rPr>
                <w:lang w:val="de-DE"/>
              </w:rPr>
              <w:t>Arbeitgeber/Arbeitnehmer-Beziehung</w:t>
            </w:r>
            <w:r w:rsidRPr="00E73F6F">
              <w:rPr>
                <w:spacing w:val="-9"/>
                <w:lang w:val="de-DE"/>
              </w:rPr>
              <w:t xml:space="preserve"> </w:t>
            </w:r>
            <w:r w:rsidRPr="00E73F6F">
              <w:rPr>
                <w:lang w:val="de-DE"/>
              </w:rPr>
              <w:t>ist</w:t>
            </w:r>
            <w:r w:rsidRPr="00E73F6F">
              <w:rPr>
                <w:spacing w:val="40"/>
                <w:lang w:val="de-DE"/>
              </w:rPr>
              <w:t xml:space="preserve"> </w:t>
            </w:r>
            <w:r w:rsidRPr="00E73F6F">
              <w:rPr>
                <w:lang w:val="de-DE"/>
              </w:rPr>
              <w:t>zweckbezogen und vertraglich fundiert</w:t>
            </w:r>
          </w:p>
          <w:p w14:paraId="4F8D91B9" w14:textId="77777777" w:rsidR="00FF7799" w:rsidRPr="00E73F6F" w:rsidRDefault="00FF7799" w:rsidP="00E445CF">
            <w:pPr>
              <w:pStyle w:val="StandardTextAufzhlung"/>
              <w:ind w:left="522"/>
              <w:jc w:val="left"/>
              <w:rPr>
                <w:lang w:val="de-DE"/>
              </w:rPr>
            </w:pPr>
            <w:r w:rsidRPr="00E73F6F">
              <w:rPr>
                <w:lang w:val="de-DE"/>
              </w:rPr>
              <w:t>Management</w:t>
            </w:r>
            <w:r w:rsidRPr="00E73F6F">
              <w:rPr>
                <w:spacing w:val="-5"/>
                <w:lang w:val="de-DE"/>
              </w:rPr>
              <w:t xml:space="preserve"> </w:t>
            </w:r>
            <w:r w:rsidRPr="00E73F6F">
              <w:rPr>
                <w:lang w:val="de-DE"/>
              </w:rPr>
              <w:t>bedeutet</w:t>
            </w:r>
            <w:r w:rsidRPr="00E73F6F">
              <w:rPr>
                <w:spacing w:val="-5"/>
                <w:lang w:val="de-DE"/>
              </w:rPr>
              <w:t xml:space="preserve"> </w:t>
            </w:r>
            <w:r w:rsidRPr="00E73F6F">
              <w:rPr>
                <w:lang w:val="de-DE"/>
              </w:rPr>
              <w:t>Führen</w:t>
            </w:r>
            <w:r w:rsidRPr="00E73F6F">
              <w:rPr>
                <w:spacing w:val="-4"/>
                <w:lang w:val="de-DE"/>
              </w:rPr>
              <w:t xml:space="preserve"> </w:t>
            </w:r>
            <w:r w:rsidRPr="00E73F6F">
              <w:rPr>
                <w:lang w:val="de-DE"/>
              </w:rPr>
              <w:t>von</w:t>
            </w:r>
            <w:r w:rsidRPr="00E73F6F">
              <w:rPr>
                <w:spacing w:val="-5"/>
                <w:lang w:val="de-DE"/>
              </w:rPr>
              <w:t xml:space="preserve"> </w:t>
            </w:r>
            <w:r w:rsidRPr="00E73F6F">
              <w:rPr>
                <w:spacing w:val="-2"/>
                <w:lang w:val="de-DE"/>
              </w:rPr>
              <w:t>Individuen</w:t>
            </w:r>
          </w:p>
          <w:p w14:paraId="051C4C0A" w14:textId="77777777" w:rsidR="00FF7799" w:rsidRPr="00E73F6F" w:rsidRDefault="00FF7799" w:rsidP="00E445CF">
            <w:pPr>
              <w:pStyle w:val="StandardTextAufzhlung"/>
              <w:ind w:left="522"/>
              <w:jc w:val="left"/>
              <w:rPr>
                <w:lang w:val="de-DE"/>
              </w:rPr>
            </w:pPr>
            <w:r w:rsidRPr="00E73F6F">
              <w:rPr>
                <w:lang w:val="de-DE"/>
              </w:rPr>
              <w:t>Individuelle</w:t>
            </w:r>
            <w:r w:rsidRPr="00E73F6F">
              <w:rPr>
                <w:spacing w:val="-9"/>
                <w:lang w:val="de-DE"/>
              </w:rPr>
              <w:t xml:space="preserve"> </w:t>
            </w:r>
            <w:r w:rsidRPr="00E73F6F">
              <w:rPr>
                <w:lang w:val="de-DE"/>
              </w:rPr>
              <w:t>Karriereplanung</w:t>
            </w:r>
            <w:r w:rsidRPr="00E73F6F">
              <w:rPr>
                <w:spacing w:val="-9"/>
                <w:lang w:val="de-DE"/>
              </w:rPr>
              <w:t xml:space="preserve"> </w:t>
            </w:r>
            <w:r w:rsidRPr="00E73F6F">
              <w:rPr>
                <w:lang w:val="de-DE"/>
              </w:rPr>
              <w:t>dominiert</w:t>
            </w:r>
            <w:r w:rsidRPr="00E73F6F">
              <w:rPr>
                <w:spacing w:val="40"/>
                <w:lang w:val="de-DE"/>
              </w:rPr>
              <w:t xml:space="preserve"> </w:t>
            </w:r>
            <w:r w:rsidRPr="00E73F6F">
              <w:rPr>
                <w:spacing w:val="-2"/>
                <w:lang w:val="de-DE"/>
              </w:rPr>
              <w:t>Personalentwicklung</w:t>
            </w:r>
          </w:p>
        </w:tc>
      </w:tr>
      <w:tr w:rsidR="00FF7799" w:rsidRPr="00E73F6F" w14:paraId="6B59FC46" w14:textId="77777777" w:rsidTr="003B03AD">
        <w:trPr>
          <w:trHeight w:val="221"/>
        </w:trPr>
        <w:tc>
          <w:tcPr>
            <w:tcW w:w="9072" w:type="dxa"/>
            <w:gridSpan w:val="2"/>
            <w:shd w:val="clear" w:color="auto" w:fill="FFF2CC" w:themeFill="accent4" w:themeFillTint="33"/>
            <w:tcMar>
              <w:left w:w="57" w:type="dxa"/>
              <w:right w:w="57" w:type="dxa"/>
            </w:tcMar>
          </w:tcPr>
          <w:p w14:paraId="2541E0CE" w14:textId="77777777" w:rsidR="00FF7799" w:rsidRPr="00E73F6F" w:rsidRDefault="00FF7799" w:rsidP="00E445CF">
            <w:pPr>
              <w:pStyle w:val="StandardText"/>
              <w:spacing w:after="120"/>
              <w:ind w:left="522"/>
              <w:jc w:val="center"/>
              <w:rPr>
                <w:b/>
                <w:lang w:val="de-DE"/>
              </w:rPr>
            </w:pPr>
            <w:r w:rsidRPr="00E73F6F">
              <w:rPr>
                <w:b/>
                <w:lang w:val="de-DE"/>
              </w:rPr>
              <w:t>Staat &amp; Gesellschaft</w:t>
            </w:r>
          </w:p>
        </w:tc>
      </w:tr>
      <w:tr w:rsidR="00FF7799" w:rsidRPr="00E73F6F" w14:paraId="5730EAAE" w14:textId="77777777" w:rsidTr="00957B22">
        <w:trPr>
          <w:trHeight w:val="2080"/>
        </w:trPr>
        <w:tc>
          <w:tcPr>
            <w:tcW w:w="4372" w:type="dxa"/>
            <w:tcMar>
              <w:left w:w="57" w:type="dxa"/>
              <w:right w:w="57" w:type="dxa"/>
            </w:tcMar>
          </w:tcPr>
          <w:p w14:paraId="76300788" w14:textId="77777777" w:rsidR="00FF7799" w:rsidRPr="00E73F6F" w:rsidRDefault="00FF7799" w:rsidP="00E445CF">
            <w:pPr>
              <w:pStyle w:val="StandardTextAufzhlung"/>
              <w:ind w:left="522"/>
              <w:jc w:val="left"/>
              <w:rPr>
                <w:lang w:val="de-DE"/>
              </w:rPr>
            </w:pPr>
            <w:r w:rsidRPr="00E73F6F">
              <w:rPr>
                <w:lang w:val="de-DE"/>
              </w:rPr>
              <w:t>High</w:t>
            </w:r>
            <w:r w:rsidRPr="00E73F6F">
              <w:rPr>
                <w:spacing w:val="-9"/>
                <w:lang w:val="de-DE"/>
              </w:rPr>
              <w:t xml:space="preserve"> </w:t>
            </w:r>
            <w:r w:rsidRPr="00E73F6F">
              <w:rPr>
                <w:lang w:val="de-DE"/>
              </w:rPr>
              <w:t>Context-Kommunikation:</w:t>
            </w:r>
            <w:r w:rsidRPr="00E73F6F">
              <w:rPr>
                <w:spacing w:val="-9"/>
                <w:lang w:val="de-DE"/>
              </w:rPr>
              <w:t xml:space="preserve"> </w:t>
            </w:r>
            <w:r w:rsidRPr="00E73F6F">
              <w:rPr>
                <w:lang w:val="de-DE"/>
              </w:rPr>
              <w:t>Informationen</w:t>
            </w:r>
            <w:r w:rsidRPr="00E73F6F">
              <w:rPr>
                <w:spacing w:val="-9"/>
                <w:lang w:val="de-DE"/>
              </w:rPr>
              <w:t xml:space="preserve"> </w:t>
            </w:r>
            <w:r w:rsidRPr="00E73F6F">
              <w:rPr>
                <w:lang w:val="de-DE"/>
              </w:rPr>
              <w:t>werden</w:t>
            </w:r>
            <w:r w:rsidRPr="00E73F6F">
              <w:rPr>
                <w:spacing w:val="40"/>
                <w:lang w:val="de-DE"/>
              </w:rPr>
              <w:t xml:space="preserve"> </w:t>
            </w:r>
            <w:r w:rsidRPr="00E73F6F">
              <w:rPr>
                <w:lang w:val="de-DE"/>
              </w:rPr>
              <w:t>häufig implizit bzw. nonverbal ausgetauscht</w:t>
            </w:r>
          </w:p>
          <w:p w14:paraId="2B9DE139" w14:textId="77777777" w:rsidR="00FF7799" w:rsidRPr="00E73F6F" w:rsidRDefault="00FF7799" w:rsidP="00E445CF">
            <w:pPr>
              <w:pStyle w:val="StandardTextAufzhlung"/>
              <w:ind w:left="522"/>
              <w:jc w:val="left"/>
              <w:rPr>
                <w:lang w:val="de-DE"/>
              </w:rPr>
            </w:pPr>
            <w:r w:rsidRPr="00E73F6F">
              <w:rPr>
                <w:lang w:val="de-DE"/>
              </w:rPr>
              <w:t>Für</w:t>
            </w:r>
            <w:r w:rsidRPr="00E73F6F">
              <w:rPr>
                <w:spacing w:val="-6"/>
                <w:lang w:val="de-DE"/>
              </w:rPr>
              <w:t xml:space="preserve"> </w:t>
            </w:r>
            <w:r w:rsidRPr="00E73F6F">
              <w:rPr>
                <w:lang w:val="de-DE"/>
              </w:rPr>
              <w:t>den</w:t>
            </w:r>
            <w:r w:rsidRPr="00E73F6F">
              <w:rPr>
                <w:spacing w:val="-6"/>
                <w:lang w:val="de-DE"/>
              </w:rPr>
              <w:t xml:space="preserve"> </w:t>
            </w:r>
            <w:r w:rsidRPr="00E73F6F">
              <w:rPr>
                <w:lang w:val="de-DE"/>
              </w:rPr>
              <w:t>Umgang</w:t>
            </w:r>
            <w:r w:rsidRPr="00E73F6F">
              <w:rPr>
                <w:spacing w:val="-6"/>
                <w:lang w:val="de-DE"/>
              </w:rPr>
              <w:t xml:space="preserve"> </w:t>
            </w:r>
            <w:r w:rsidRPr="00E73F6F">
              <w:rPr>
                <w:lang w:val="de-DE"/>
              </w:rPr>
              <w:t>mit</w:t>
            </w:r>
            <w:r w:rsidRPr="00E73F6F">
              <w:rPr>
                <w:spacing w:val="-6"/>
                <w:lang w:val="de-DE"/>
              </w:rPr>
              <w:t xml:space="preserve"> </w:t>
            </w:r>
            <w:r w:rsidRPr="00E73F6F">
              <w:rPr>
                <w:lang w:val="de-DE"/>
              </w:rPr>
              <w:t>anderen</w:t>
            </w:r>
            <w:r w:rsidRPr="00E73F6F">
              <w:rPr>
                <w:spacing w:val="-6"/>
                <w:lang w:val="de-DE"/>
              </w:rPr>
              <w:t xml:space="preserve"> </w:t>
            </w:r>
            <w:r w:rsidRPr="00E73F6F">
              <w:rPr>
                <w:lang w:val="de-DE"/>
              </w:rPr>
              <w:t>Menschen</w:t>
            </w:r>
            <w:r w:rsidRPr="00E73F6F">
              <w:rPr>
                <w:spacing w:val="24"/>
                <w:lang w:val="de-DE"/>
              </w:rPr>
              <w:t xml:space="preserve"> </w:t>
            </w:r>
            <w:r w:rsidRPr="00E73F6F">
              <w:rPr>
                <w:lang w:val="de-DE"/>
              </w:rPr>
              <w:t>gelten</w:t>
            </w:r>
            <w:r w:rsidRPr="00E73F6F">
              <w:rPr>
                <w:spacing w:val="40"/>
                <w:lang w:val="de-DE"/>
              </w:rPr>
              <w:t xml:space="preserve"> </w:t>
            </w:r>
            <w:r w:rsidRPr="00E73F6F">
              <w:rPr>
                <w:lang w:val="de-DE"/>
              </w:rPr>
              <w:t>gruppenspezifische</w:t>
            </w:r>
            <w:r w:rsidRPr="00E73F6F">
              <w:rPr>
                <w:spacing w:val="-4"/>
                <w:lang w:val="de-DE"/>
              </w:rPr>
              <w:t xml:space="preserve"> </w:t>
            </w:r>
            <w:r w:rsidRPr="00E73F6F">
              <w:rPr>
                <w:lang w:val="de-DE"/>
              </w:rPr>
              <w:t>Normen</w:t>
            </w:r>
          </w:p>
          <w:p w14:paraId="62D60213" w14:textId="77777777" w:rsidR="00FF7799" w:rsidRPr="00E73F6F" w:rsidRDefault="00FF7799" w:rsidP="00E445CF">
            <w:pPr>
              <w:pStyle w:val="StandardTextAufzhlung"/>
              <w:ind w:left="522"/>
              <w:jc w:val="left"/>
              <w:rPr>
                <w:lang w:val="de-DE"/>
              </w:rPr>
            </w:pPr>
            <w:r w:rsidRPr="00E73F6F">
              <w:rPr>
                <w:lang w:val="de-DE"/>
              </w:rPr>
              <w:t>Kollektive</w:t>
            </w:r>
            <w:r w:rsidRPr="00E73F6F">
              <w:rPr>
                <w:spacing w:val="-4"/>
                <w:lang w:val="de-DE"/>
              </w:rPr>
              <w:t xml:space="preserve"> </w:t>
            </w:r>
            <w:r w:rsidRPr="00E73F6F">
              <w:rPr>
                <w:lang w:val="de-DE"/>
              </w:rPr>
              <w:t>Interessen</w:t>
            </w:r>
            <w:r w:rsidRPr="00E73F6F">
              <w:rPr>
                <w:spacing w:val="-5"/>
                <w:lang w:val="de-DE"/>
              </w:rPr>
              <w:t xml:space="preserve"> </w:t>
            </w:r>
            <w:r w:rsidRPr="00E73F6F">
              <w:rPr>
                <w:lang w:val="de-DE"/>
              </w:rPr>
              <w:t>sind</w:t>
            </w:r>
            <w:r w:rsidRPr="00E73F6F">
              <w:rPr>
                <w:spacing w:val="-4"/>
                <w:lang w:val="de-DE"/>
              </w:rPr>
              <w:t xml:space="preserve"> </w:t>
            </w:r>
            <w:r w:rsidRPr="00E73F6F">
              <w:rPr>
                <w:spacing w:val="-2"/>
                <w:lang w:val="de-DE"/>
              </w:rPr>
              <w:t>dominant</w:t>
            </w:r>
          </w:p>
          <w:p w14:paraId="471A7FD9" w14:textId="6E7836C6" w:rsidR="00FF7799" w:rsidRPr="00E73F6F" w:rsidRDefault="00FF7799" w:rsidP="00E445CF">
            <w:pPr>
              <w:pStyle w:val="StandardTextAufzhlung"/>
              <w:ind w:left="522"/>
              <w:jc w:val="left"/>
              <w:rPr>
                <w:lang w:val="de-DE"/>
              </w:rPr>
            </w:pPr>
            <w:r w:rsidRPr="00E73F6F">
              <w:rPr>
                <w:lang w:val="de-DE"/>
              </w:rPr>
              <w:t>Identität</w:t>
            </w:r>
            <w:r w:rsidRPr="00E73F6F">
              <w:rPr>
                <w:spacing w:val="-8"/>
                <w:lang w:val="de-DE"/>
              </w:rPr>
              <w:t xml:space="preserve"> </w:t>
            </w:r>
            <w:r w:rsidRPr="00E73F6F">
              <w:rPr>
                <w:lang w:val="de-DE"/>
              </w:rPr>
              <w:t>erwächst</w:t>
            </w:r>
            <w:r w:rsidRPr="00E73F6F">
              <w:rPr>
                <w:spacing w:val="-7"/>
                <w:lang w:val="de-DE"/>
              </w:rPr>
              <w:t xml:space="preserve"> </w:t>
            </w:r>
            <w:r w:rsidRPr="00E73F6F">
              <w:rPr>
                <w:lang w:val="de-DE"/>
              </w:rPr>
              <w:t>aus</w:t>
            </w:r>
            <w:r w:rsidRPr="00E73F6F">
              <w:rPr>
                <w:spacing w:val="-7"/>
                <w:lang w:val="de-DE"/>
              </w:rPr>
              <w:t xml:space="preserve"> </w:t>
            </w:r>
            <w:r w:rsidRPr="00E73F6F">
              <w:rPr>
                <w:lang w:val="de-DE"/>
              </w:rPr>
              <w:t>Gruppen-</w:t>
            </w:r>
            <w:r w:rsidRPr="00E73F6F">
              <w:rPr>
                <w:spacing w:val="-8"/>
                <w:lang w:val="de-DE"/>
              </w:rPr>
              <w:t xml:space="preserve"> </w:t>
            </w:r>
            <w:r w:rsidRPr="00E73F6F">
              <w:rPr>
                <w:lang w:val="de-DE"/>
              </w:rPr>
              <w:t>oder</w:t>
            </w:r>
            <w:r w:rsidRPr="00E73F6F">
              <w:rPr>
                <w:spacing w:val="-8"/>
                <w:lang w:val="de-DE"/>
              </w:rPr>
              <w:t xml:space="preserve"> </w:t>
            </w:r>
            <w:r w:rsidRPr="00E73F6F">
              <w:rPr>
                <w:lang w:val="de-DE"/>
              </w:rPr>
              <w:t>Firmen</w:t>
            </w:r>
            <w:r w:rsidRPr="00E73F6F">
              <w:rPr>
                <w:spacing w:val="-2"/>
                <w:lang w:val="de-DE"/>
              </w:rPr>
              <w:t>zugehörigkeit</w:t>
            </w:r>
          </w:p>
          <w:p w14:paraId="5EA785B7" w14:textId="77777777" w:rsidR="00FF7799" w:rsidRPr="00E73F6F" w:rsidRDefault="00FF7799" w:rsidP="00E445CF">
            <w:pPr>
              <w:pStyle w:val="StandardTextAufzhlung"/>
              <w:ind w:left="522"/>
              <w:jc w:val="left"/>
              <w:rPr>
                <w:lang w:val="de-DE"/>
              </w:rPr>
            </w:pPr>
            <w:r w:rsidRPr="00E73F6F">
              <w:rPr>
                <w:lang w:val="de-DE"/>
              </w:rPr>
              <w:t>Dominierende</w:t>
            </w:r>
            <w:r w:rsidRPr="00E73F6F">
              <w:rPr>
                <w:spacing w:val="-4"/>
                <w:lang w:val="de-DE"/>
              </w:rPr>
              <w:t xml:space="preserve"> </w:t>
            </w:r>
            <w:r w:rsidRPr="00E73F6F">
              <w:rPr>
                <w:lang w:val="de-DE"/>
              </w:rPr>
              <w:t>Rolle</w:t>
            </w:r>
            <w:r w:rsidRPr="00E73F6F">
              <w:rPr>
                <w:spacing w:val="-3"/>
                <w:lang w:val="de-DE"/>
              </w:rPr>
              <w:t xml:space="preserve"> </w:t>
            </w:r>
            <w:r w:rsidRPr="00E73F6F">
              <w:rPr>
                <w:lang w:val="de-DE"/>
              </w:rPr>
              <w:t>des</w:t>
            </w:r>
            <w:r w:rsidRPr="00E73F6F">
              <w:rPr>
                <w:spacing w:val="-4"/>
                <w:lang w:val="de-DE"/>
              </w:rPr>
              <w:t xml:space="preserve"> </w:t>
            </w:r>
            <w:r w:rsidRPr="00E73F6F">
              <w:rPr>
                <w:lang w:val="de-DE"/>
              </w:rPr>
              <w:t>Staates</w:t>
            </w:r>
            <w:r w:rsidRPr="00E73F6F">
              <w:rPr>
                <w:spacing w:val="-2"/>
                <w:lang w:val="de-DE"/>
              </w:rPr>
              <w:t xml:space="preserve"> </w:t>
            </w:r>
            <w:r w:rsidRPr="00E73F6F">
              <w:rPr>
                <w:lang w:val="de-DE"/>
              </w:rPr>
              <w:t>im</w:t>
            </w:r>
            <w:r w:rsidRPr="00E73F6F">
              <w:rPr>
                <w:spacing w:val="-5"/>
                <w:lang w:val="de-DE"/>
              </w:rPr>
              <w:t xml:space="preserve"> </w:t>
            </w:r>
            <w:r w:rsidRPr="00E73F6F">
              <w:rPr>
                <w:spacing w:val="-2"/>
                <w:lang w:val="de-DE"/>
              </w:rPr>
              <w:t>Wirtschaftssystem</w:t>
            </w:r>
          </w:p>
          <w:p w14:paraId="5BC1AE2C" w14:textId="77777777" w:rsidR="00FF7799" w:rsidRPr="00E73F6F" w:rsidRDefault="00FF7799" w:rsidP="00E445CF">
            <w:pPr>
              <w:pStyle w:val="StandardTextAufzhlung"/>
              <w:ind w:left="522"/>
              <w:jc w:val="left"/>
              <w:rPr>
                <w:lang w:val="de-DE"/>
              </w:rPr>
            </w:pPr>
            <w:r w:rsidRPr="00E73F6F">
              <w:rPr>
                <w:lang w:val="de-DE"/>
              </w:rPr>
              <w:t>Interessengruppen</w:t>
            </w:r>
            <w:r w:rsidRPr="00E73F6F">
              <w:rPr>
                <w:spacing w:val="-6"/>
                <w:lang w:val="de-DE"/>
              </w:rPr>
              <w:t xml:space="preserve"> </w:t>
            </w:r>
            <w:r w:rsidRPr="00E73F6F">
              <w:rPr>
                <w:lang w:val="de-DE"/>
              </w:rPr>
              <w:t>üben</w:t>
            </w:r>
            <w:r w:rsidRPr="00E73F6F">
              <w:rPr>
                <w:spacing w:val="-6"/>
                <w:lang w:val="de-DE"/>
              </w:rPr>
              <w:t xml:space="preserve"> </w:t>
            </w:r>
            <w:r w:rsidRPr="00E73F6F">
              <w:rPr>
                <w:lang w:val="de-DE"/>
              </w:rPr>
              <w:t>Macht</w:t>
            </w:r>
            <w:r w:rsidRPr="00E73F6F">
              <w:rPr>
                <w:spacing w:val="-6"/>
                <w:lang w:val="de-DE"/>
              </w:rPr>
              <w:t xml:space="preserve"> </w:t>
            </w:r>
            <w:r w:rsidRPr="00E73F6F">
              <w:rPr>
                <w:spacing w:val="-5"/>
                <w:lang w:val="de-DE"/>
              </w:rPr>
              <w:t>aus</w:t>
            </w:r>
          </w:p>
        </w:tc>
        <w:tc>
          <w:tcPr>
            <w:tcW w:w="4700" w:type="dxa"/>
            <w:tcMar>
              <w:left w:w="57" w:type="dxa"/>
              <w:right w:w="57" w:type="dxa"/>
            </w:tcMar>
          </w:tcPr>
          <w:p w14:paraId="3043AF05" w14:textId="77777777" w:rsidR="00FF7799" w:rsidRPr="00E73F6F" w:rsidRDefault="00FF7799" w:rsidP="00E445CF">
            <w:pPr>
              <w:pStyle w:val="StandardTextAufzhlung"/>
              <w:ind w:left="522"/>
              <w:jc w:val="left"/>
              <w:rPr>
                <w:lang w:val="de-DE"/>
              </w:rPr>
            </w:pPr>
            <w:r w:rsidRPr="00E73F6F">
              <w:rPr>
                <w:lang w:val="de-DE"/>
              </w:rPr>
              <w:t>Low</w:t>
            </w:r>
            <w:r w:rsidRPr="00E73F6F">
              <w:rPr>
                <w:spacing w:val="-9"/>
                <w:lang w:val="de-DE"/>
              </w:rPr>
              <w:t xml:space="preserve"> </w:t>
            </w:r>
            <w:r w:rsidRPr="00E73F6F">
              <w:rPr>
                <w:lang w:val="de-DE"/>
              </w:rPr>
              <w:t>Context-Kommunikation:</w:t>
            </w:r>
            <w:r w:rsidRPr="00E73F6F">
              <w:rPr>
                <w:spacing w:val="-9"/>
                <w:lang w:val="de-DE"/>
              </w:rPr>
              <w:t xml:space="preserve"> </w:t>
            </w:r>
            <w:r w:rsidRPr="00E73F6F">
              <w:rPr>
                <w:lang w:val="de-DE"/>
              </w:rPr>
              <w:t>Informationen</w:t>
            </w:r>
            <w:r w:rsidRPr="00E73F6F">
              <w:rPr>
                <w:spacing w:val="40"/>
                <w:lang w:val="de-DE"/>
              </w:rPr>
              <w:t xml:space="preserve"> </w:t>
            </w:r>
            <w:r w:rsidRPr="00E73F6F">
              <w:rPr>
                <w:lang w:val="de-DE"/>
              </w:rPr>
              <w:t>werden zumeist explizit bzw. verbal</w:t>
            </w:r>
            <w:r w:rsidRPr="00E73F6F">
              <w:rPr>
                <w:spacing w:val="40"/>
                <w:lang w:val="de-DE"/>
              </w:rPr>
              <w:t xml:space="preserve"> </w:t>
            </w:r>
            <w:r w:rsidRPr="00E73F6F">
              <w:rPr>
                <w:spacing w:val="-2"/>
                <w:lang w:val="de-DE"/>
              </w:rPr>
              <w:t>ausgetauscht</w:t>
            </w:r>
          </w:p>
          <w:p w14:paraId="2F9E0EE9" w14:textId="77777777" w:rsidR="00FF7799" w:rsidRPr="00E73F6F" w:rsidRDefault="00FF7799" w:rsidP="00E445CF">
            <w:pPr>
              <w:pStyle w:val="StandardTextAufzhlung"/>
              <w:ind w:left="522"/>
              <w:jc w:val="left"/>
              <w:rPr>
                <w:lang w:val="de-DE"/>
              </w:rPr>
            </w:pPr>
            <w:r w:rsidRPr="00E73F6F">
              <w:rPr>
                <w:lang w:val="de-DE"/>
              </w:rPr>
              <w:t>Für</w:t>
            </w:r>
            <w:r w:rsidRPr="00E73F6F">
              <w:rPr>
                <w:spacing w:val="-7"/>
                <w:lang w:val="de-DE"/>
              </w:rPr>
              <w:t xml:space="preserve"> </w:t>
            </w:r>
            <w:r w:rsidRPr="00E73F6F">
              <w:rPr>
                <w:lang w:val="de-DE"/>
              </w:rPr>
              <w:t>den</w:t>
            </w:r>
            <w:r w:rsidRPr="00E73F6F">
              <w:rPr>
                <w:spacing w:val="-7"/>
                <w:lang w:val="de-DE"/>
              </w:rPr>
              <w:t xml:space="preserve"> </w:t>
            </w:r>
            <w:r w:rsidRPr="00E73F6F">
              <w:rPr>
                <w:lang w:val="de-DE"/>
              </w:rPr>
              <w:t>Umgang</w:t>
            </w:r>
            <w:r w:rsidRPr="00E73F6F">
              <w:rPr>
                <w:spacing w:val="-7"/>
                <w:lang w:val="de-DE"/>
              </w:rPr>
              <w:t xml:space="preserve"> </w:t>
            </w:r>
            <w:r w:rsidRPr="00E73F6F">
              <w:rPr>
                <w:lang w:val="de-DE"/>
              </w:rPr>
              <w:t>mit</w:t>
            </w:r>
            <w:r w:rsidRPr="00E73F6F">
              <w:rPr>
                <w:spacing w:val="-7"/>
                <w:lang w:val="de-DE"/>
              </w:rPr>
              <w:t xml:space="preserve"> </w:t>
            </w:r>
            <w:r w:rsidRPr="00E73F6F">
              <w:rPr>
                <w:lang w:val="de-DE"/>
              </w:rPr>
              <w:t>anderen</w:t>
            </w:r>
            <w:r w:rsidRPr="00E73F6F">
              <w:rPr>
                <w:spacing w:val="-7"/>
                <w:lang w:val="de-DE"/>
              </w:rPr>
              <w:t xml:space="preserve"> </w:t>
            </w:r>
            <w:r w:rsidRPr="00E73F6F">
              <w:rPr>
                <w:lang w:val="de-DE"/>
              </w:rPr>
              <w:t>Menschen</w:t>
            </w:r>
            <w:r w:rsidRPr="00E73F6F">
              <w:rPr>
                <w:spacing w:val="-7"/>
                <w:lang w:val="de-DE"/>
              </w:rPr>
              <w:t xml:space="preserve"> </w:t>
            </w:r>
            <w:r w:rsidRPr="00E73F6F">
              <w:rPr>
                <w:lang w:val="de-DE"/>
              </w:rPr>
              <w:t>gelten</w:t>
            </w:r>
            <w:r w:rsidRPr="00E73F6F">
              <w:rPr>
                <w:spacing w:val="40"/>
                <w:lang w:val="de-DE"/>
              </w:rPr>
              <w:t xml:space="preserve"> </w:t>
            </w:r>
            <w:r w:rsidRPr="00E73F6F">
              <w:rPr>
                <w:lang w:val="de-DE"/>
              </w:rPr>
              <w:t>einheitliche</w:t>
            </w:r>
            <w:r w:rsidRPr="00E73F6F">
              <w:rPr>
                <w:spacing w:val="-4"/>
                <w:lang w:val="de-DE"/>
              </w:rPr>
              <w:t xml:space="preserve"> </w:t>
            </w:r>
            <w:r w:rsidRPr="00E73F6F">
              <w:rPr>
                <w:lang w:val="de-DE"/>
              </w:rPr>
              <w:t>Normen</w:t>
            </w:r>
          </w:p>
          <w:p w14:paraId="5DAECE0B" w14:textId="77777777" w:rsidR="00FF7799" w:rsidRPr="00E73F6F" w:rsidRDefault="00FF7799" w:rsidP="00E445CF">
            <w:pPr>
              <w:pStyle w:val="StandardTextAufzhlung"/>
              <w:ind w:left="522"/>
              <w:jc w:val="left"/>
              <w:rPr>
                <w:lang w:val="de-DE"/>
              </w:rPr>
            </w:pPr>
            <w:r w:rsidRPr="00E73F6F">
              <w:rPr>
                <w:lang w:val="de-DE"/>
              </w:rPr>
              <w:t>Individuelle</w:t>
            </w:r>
            <w:r w:rsidRPr="00E73F6F">
              <w:rPr>
                <w:spacing w:val="-5"/>
                <w:lang w:val="de-DE"/>
              </w:rPr>
              <w:t xml:space="preserve"> </w:t>
            </w:r>
            <w:r w:rsidRPr="00E73F6F">
              <w:rPr>
                <w:lang w:val="de-DE"/>
              </w:rPr>
              <w:t>Interessen</w:t>
            </w:r>
            <w:r w:rsidRPr="00E73F6F">
              <w:rPr>
                <w:spacing w:val="-5"/>
                <w:lang w:val="de-DE"/>
              </w:rPr>
              <w:t xml:space="preserve"> </w:t>
            </w:r>
            <w:r w:rsidRPr="00E73F6F">
              <w:rPr>
                <w:lang w:val="de-DE"/>
              </w:rPr>
              <w:t>sind</w:t>
            </w:r>
            <w:r w:rsidRPr="00E73F6F">
              <w:rPr>
                <w:spacing w:val="-5"/>
                <w:lang w:val="de-DE"/>
              </w:rPr>
              <w:t xml:space="preserve"> </w:t>
            </w:r>
            <w:r w:rsidRPr="00E73F6F">
              <w:rPr>
                <w:spacing w:val="-2"/>
                <w:lang w:val="de-DE"/>
              </w:rPr>
              <w:t>dominant</w:t>
            </w:r>
          </w:p>
          <w:p w14:paraId="16236E31" w14:textId="77777777" w:rsidR="00FF7799" w:rsidRPr="00E73F6F" w:rsidRDefault="00FF7799" w:rsidP="00E445CF">
            <w:pPr>
              <w:pStyle w:val="StandardTextAufzhlung"/>
              <w:ind w:left="522"/>
              <w:jc w:val="left"/>
              <w:rPr>
                <w:lang w:val="de-DE"/>
              </w:rPr>
            </w:pPr>
            <w:r w:rsidRPr="00E73F6F">
              <w:rPr>
                <w:lang w:val="de-DE"/>
              </w:rPr>
              <w:t>Identität</w:t>
            </w:r>
            <w:r w:rsidRPr="00E73F6F">
              <w:rPr>
                <w:spacing w:val="-9"/>
                <w:lang w:val="de-DE"/>
              </w:rPr>
              <w:t xml:space="preserve"> </w:t>
            </w:r>
            <w:r w:rsidRPr="00E73F6F">
              <w:rPr>
                <w:lang w:val="de-DE"/>
              </w:rPr>
              <w:t>erwächst</w:t>
            </w:r>
            <w:r w:rsidRPr="00E73F6F">
              <w:rPr>
                <w:spacing w:val="-9"/>
                <w:lang w:val="de-DE"/>
              </w:rPr>
              <w:t xml:space="preserve"> </w:t>
            </w:r>
            <w:r w:rsidRPr="00E73F6F">
              <w:rPr>
                <w:lang w:val="de-DE"/>
              </w:rPr>
              <w:t>aus</w:t>
            </w:r>
            <w:r w:rsidRPr="00E73F6F">
              <w:rPr>
                <w:spacing w:val="-9"/>
                <w:lang w:val="de-DE"/>
              </w:rPr>
              <w:t xml:space="preserve"> </w:t>
            </w:r>
            <w:r w:rsidRPr="00E73F6F">
              <w:rPr>
                <w:lang w:val="de-DE"/>
              </w:rPr>
              <w:t>beruflicher</w:t>
            </w:r>
            <w:r w:rsidRPr="00E73F6F">
              <w:rPr>
                <w:spacing w:val="-8"/>
                <w:lang w:val="de-DE"/>
              </w:rPr>
              <w:t xml:space="preserve"> </w:t>
            </w:r>
            <w:r w:rsidRPr="00E73F6F">
              <w:rPr>
                <w:lang w:val="de-DE"/>
              </w:rPr>
              <w:t>bzw.</w:t>
            </w:r>
            <w:r w:rsidRPr="00E73F6F">
              <w:rPr>
                <w:spacing w:val="40"/>
                <w:lang w:val="de-DE"/>
              </w:rPr>
              <w:t xml:space="preserve"> </w:t>
            </w:r>
            <w:r w:rsidRPr="00E73F6F">
              <w:rPr>
                <w:lang w:val="de-DE"/>
              </w:rPr>
              <w:t>gesellschaftlicher</w:t>
            </w:r>
            <w:r w:rsidRPr="00E73F6F">
              <w:rPr>
                <w:spacing w:val="-6"/>
                <w:lang w:val="de-DE"/>
              </w:rPr>
              <w:t xml:space="preserve"> </w:t>
            </w:r>
            <w:r w:rsidRPr="00E73F6F">
              <w:rPr>
                <w:lang w:val="de-DE"/>
              </w:rPr>
              <w:t>Einbindung</w:t>
            </w:r>
          </w:p>
          <w:p w14:paraId="6846FA62" w14:textId="77777777" w:rsidR="00FF7799" w:rsidRPr="00E73F6F" w:rsidRDefault="00FF7799" w:rsidP="00E445CF">
            <w:pPr>
              <w:pStyle w:val="StandardTextAufzhlung"/>
              <w:ind w:left="522"/>
              <w:jc w:val="left"/>
              <w:rPr>
                <w:lang w:val="de-DE"/>
              </w:rPr>
            </w:pPr>
            <w:r w:rsidRPr="00E73F6F">
              <w:rPr>
                <w:lang w:val="de-DE"/>
              </w:rPr>
              <w:t>Eingeschränkte</w:t>
            </w:r>
            <w:r w:rsidRPr="00E73F6F">
              <w:rPr>
                <w:spacing w:val="-9"/>
                <w:lang w:val="de-DE"/>
              </w:rPr>
              <w:t xml:space="preserve"> </w:t>
            </w:r>
            <w:r w:rsidRPr="00E73F6F">
              <w:rPr>
                <w:lang w:val="de-DE"/>
              </w:rPr>
              <w:t>Rolle</w:t>
            </w:r>
            <w:r w:rsidRPr="00E73F6F">
              <w:rPr>
                <w:spacing w:val="-9"/>
                <w:lang w:val="de-DE"/>
              </w:rPr>
              <w:t xml:space="preserve"> </w:t>
            </w:r>
            <w:r w:rsidRPr="00E73F6F">
              <w:rPr>
                <w:lang w:val="de-DE"/>
              </w:rPr>
              <w:t>des</w:t>
            </w:r>
            <w:r w:rsidRPr="00E73F6F">
              <w:rPr>
                <w:spacing w:val="-9"/>
                <w:lang w:val="de-DE"/>
              </w:rPr>
              <w:t xml:space="preserve"> </w:t>
            </w:r>
            <w:r w:rsidRPr="00E73F6F">
              <w:rPr>
                <w:lang w:val="de-DE"/>
              </w:rPr>
              <w:t>Staates</w:t>
            </w:r>
            <w:r w:rsidRPr="00E73F6F">
              <w:rPr>
                <w:spacing w:val="-8"/>
                <w:lang w:val="de-DE"/>
              </w:rPr>
              <w:t xml:space="preserve"> </w:t>
            </w:r>
            <w:r w:rsidRPr="00E73F6F">
              <w:rPr>
                <w:lang w:val="de-DE"/>
              </w:rPr>
              <w:t>im</w:t>
            </w:r>
            <w:r w:rsidRPr="00E73F6F">
              <w:rPr>
                <w:spacing w:val="40"/>
                <w:lang w:val="de-DE"/>
              </w:rPr>
              <w:t xml:space="preserve"> </w:t>
            </w:r>
            <w:r w:rsidRPr="00E73F6F">
              <w:rPr>
                <w:spacing w:val="-2"/>
                <w:lang w:val="de-DE"/>
              </w:rPr>
              <w:t>Wirtschaftssystem</w:t>
            </w:r>
          </w:p>
          <w:p w14:paraId="06005E5E" w14:textId="77777777" w:rsidR="00FF7799" w:rsidRPr="00E73F6F" w:rsidRDefault="00FF7799" w:rsidP="00E445CF">
            <w:pPr>
              <w:pStyle w:val="StandardTextAufzhlung"/>
              <w:ind w:left="522"/>
              <w:jc w:val="left"/>
              <w:rPr>
                <w:lang w:val="de-DE"/>
              </w:rPr>
            </w:pPr>
            <w:r w:rsidRPr="00E73F6F">
              <w:rPr>
                <w:lang w:val="de-DE"/>
              </w:rPr>
              <w:t>Wähler</w:t>
            </w:r>
            <w:r w:rsidRPr="00E73F6F">
              <w:rPr>
                <w:spacing w:val="-4"/>
                <w:lang w:val="de-DE"/>
              </w:rPr>
              <w:t xml:space="preserve"> </w:t>
            </w:r>
            <w:r w:rsidRPr="00E73F6F">
              <w:rPr>
                <w:lang w:val="de-DE"/>
              </w:rPr>
              <w:t>üben</w:t>
            </w:r>
            <w:r w:rsidRPr="00E73F6F">
              <w:rPr>
                <w:spacing w:val="-3"/>
                <w:lang w:val="de-DE"/>
              </w:rPr>
              <w:t xml:space="preserve"> </w:t>
            </w:r>
            <w:r w:rsidRPr="00E73F6F">
              <w:rPr>
                <w:lang w:val="de-DE"/>
              </w:rPr>
              <w:t>Macht</w:t>
            </w:r>
            <w:r w:rsidRPr="00E73F6F">
              <w:rPr>
                <w:spacing w:val="-4"/>
                <w:lang w:val="de-DE"/>
              </w:rPr>
              <w:t xml:space="preserve"> </w:t>
            </w:r>
            <w:r w:rsidRPr="00E73F6F">
              <w:rPr>
                <w:spacing w:val="-5"/>
                <w:lang w:val="de-DE"/>
              </w:rPr>
              <w:t>aus</w:t>
            </w:r>
          </w:p>
        </w:tc>
      </w:tr>
      <w:tr w:rsidR="00FF7799" w:rsidRPr="00E73F6F" w14:paraId="666284B7" w14:textId="77777777" w:rsidTr="003B03AD">
        <w:trPr>
          <w:trHeight w:val="251"/>
        </w:trPr>
        <w:tc>
          <w:tcPr>
            <w:tcW w:w="9072" w:type="dxa"/>
            <w:gridSpan w:val="2"/>
            <w:shd w:val="clear" w:color="auto" w:fill="FFF2CC" w:themeFill="accent4" w:themeFillTint="33"/>
            <w:tcMar>
              <w:left w:w="57" w:type="dxa"/>
              <w:right w:w="57" w:type="dxa"/>
            </w:tcMar>
          </w:tcPr>
          <w:p w14:paraId="0AA7E756" w14:textId="77777777" w:rsidR="00FF7799" w:rsidRPr="00E73F6F" w:rsidRDefault="00FF7799" w:rsidP="00E445CF">
            <w:pPr>
              <w:pStyle w:val="StandardText"/>
              <w:spacing w:after="120"/>
              <w:ind w:left="522"/>
              <w:jc w:val="center"/>
              <w:rPr>
                <w:b/>
                <w:lang w:val="de-DE"/>
              </w:rPr>
            </w:pPr>
            <w:r w:rsidRPr="00E73F6F">
              <w:rPr>
                <w:b/>
                <w:lang w:val="de-DE"/>
              </w:rPr>
              <w:lastRenderedPageBreak/>
              <w:t>Prototypen</w:t>
            </w:r>
          </w:p>
        </w:tc>
      </w:tr>
      <w:tr w:rsidR="00FF7799" w:rsidRPr="00E73F6F" w14:paraId="5A060C61" w14:textId="77777777" w:rsidTr="00957B22">
        <w:trPr>
          <w:trHeight w:val="441"/>
        </w:trPr>
        <w:tc>
          <w:tcPr>
            <w:tcW w:w="4372" w:type="dxa"/>
            <w:tcMar>
              <w:left w:w="57" w:type="dxa"/>
              <w:right w:w="57" w:type="dxa"/>
            </w:tcMar>
          </w:tcPr>
          <w:p w14:paraId="6C8A3C57" w14:textId="77777777" w:rsidR="00FF7799" w:rsidRPr="00E73F6F" w:rsidRDefault="00FF7799" w:rsidP="00E445CF">
            <w:pPr>
              <w:pStyle w:val="StandardTextAufzhlung"/>
              <w:ind w:left="522"/>
              <w:rPr>
                <w:lang w:val="de-DE"/>
              </w:rPr>
            </w:pPr>
            <w:r w:rsidRPr="00E73F6F">
              <w:rPr>
                <w:lang w:val="de-DE"/>
              </w:rPr>
              <w:t>Ecuador,</w:t>
            </w:r>
            <w:r w:rsidRPr="00E73F6F">
              <w:rPr>
                <w:spacing w:val="-5"/>
                <w:lang w:val="de-DE"/>
              </w:rPr>
              <w:t xml:space="preserve"> </w:t>
            </w:r>
            <w:r w:rsidRPr="00E73F6F">
              <w:rPr>
                <w:lang w:val="de-DE"/>
              </w:rPr>
              <w:t>Guatemala,</w:t>
            </w:r>
            <w:r w:rsidRPr="00E73F6F">
              <w:rPr>
                <w:spacing w:val="-7"/>
                <w:lang w:val="de-DE"/>
              </w:rPr>
              <w:t xml:space="preserve"> </w:t>
            </w:r>
            <w:r w:rsidRPr="00E73F6F">
              <w:rPr>
                <w:spacing w:val="-2"/>
                <w:lang w:val="de-DE"/>
              </w:rPr>
              <w:t>Panama</w:t>
            </w:r>
          </w:p>
        </w:tc>
        <w:tc>
          <w:tcPr>
            <w:tcW w:w="4700" w:type="dxa"/>
            <w:tcMar>
              <w:left w:w="57" w:type="dxa"/>
              <w:right w:w="57" w:type="dxa"/>
            </w:tcMar>
          </w:tcPr>
          <w:p w14:paraId="0E39C9F9" w14:textId="77777777" w:rsidR="00FF7799" w:rsidRPr="00E73F6F" w:rsidRDefault="00FF7799" w:rsidP="00E445CF">
            <w:pPr>
              <w:pStyle w:val="StandardTextAufzhlung"/>
              <w:ind w:left="522"/>
              <w:rPr>
                <w:lang w:val="de-DE"/>
              </w:rPr>
            </w:pPr>
            <w:r w:rsidRPr="00E73F6F">
              <w:rPr>
                <w:lang w:val="de-DE"/>
              </w:rPr>
              <w:t>Australien,</w:t>
            </w:r>
            <w:r w:rsidRPr="00E73F6F">
              <w:rPr>
                <w:spacing w:val="-7"/>
                <w:lang w:val="de-DE"/>
              </w:rPr>
              <w:t xml:space="preserve"> </w:t>
            </w:r>
            <w:r w:rsidRPr="00E73F6F">
              <w:rPr>
                <w:lang w:val="de-DE"/>
              </w:rPr>
              <w:t>Großbritannien,</w:t>
            </w:r>
            <w:r w:rsidRPr="00E73F6F">
              <w:rPr>
                <w:spacing w:val="-6"/>
                <w:lang w:val="de-DE"/>
              </w:rPr>
              <w:t xml:space="preserve"> </w:t>
            </w:r>
            <w:r w:rsidRPr="00E73F6F">
              <w:rPr>
                <w:spacing w:val="-5"/>
                <w:lang w:val="de-DE"/>
              </w:rPr>
              <w:t>USA</w:t>
            </w:r>
          </w:p>
        </w:tc>
      </w:tr>
    </w:tbl>
    <w:p w14:paraId="3515C48C" w14:textId="77777777" w:rsidR="00FF7799" w:rsidRPr="00E73F6F" w:rsidRDefault="00FF7799" w:rsidP="00957B22">
      <w:pPr>
        <w:pStyle w:val="StandardText"/>
      </w:pPr>
    </w:p>
    <w:p w14:paraId="1F220A80" w14:textId="77777777" w:rsidR="00FF7799" w:rsidRPr="00E73F6F" w:rsidRDefault="00FF7799" w:rsidP="00957B22">
      <w:pPr>
        <w:pStyle w:val="StandardText"/>
      </w:pPr>
      <w:r w:rsidRPr="00E73F6F">
        <w:t>Die</w:t>
      </w:r>
      <w:r w:rsidRPr="00E73F6F">
        <w:rPr>
          <w:spacing w:val="-12"/>
        </w:rPr>
        <w:t xml:space="preserve"> </w:t>
      </w:r>
      <w:r w:rsidRPr="00E73F6F">
        <w:t>unterschiedliche</w:t>
      </w:r>
      <w:r w:rsidRPr="00E73F6F">
        <w:rPr>
          <w:spacing w:val="-11"/>
        </w:rPr>
        <w:t xml:space="preserve"> </w:t>
      </w:r>
      <w:r w:rsidRPr="00E73F6F">
        <w:t>Art</w:t>
      </w:r>
      <w:r w:rsidRPr="00E73F6F">
        <w:rPr>
          <w:spacing w:val="-11"/>
        </w:rPr>
        <w:t xml:space="preserve"> </w:t>
      </w:r>
      <w:r w:rsidRPr="00E73F6F">
        <w:t>der</w:t>
      </w:r>
      <w:r w:rsidRPr="00E73F6F">
        <w:rPr>
          <w:spacing w:val="-11"/>
        </w:rPr>
        <w:t xml:space="preserve"> </w:t>
      </w:r>
      <w:r w:rsidRPr="00E73F6F">
        <w:t>Identitätsbildung</w:t>
      </w:r>
      <w:r w:rsidRPr="00E73F6F">
        <w:rPr>
          <w:spacing w:val="-12"/>
        </w:rPr>
        <w:t xml:space="preserve"> </w:t>
      </w:r>
      <w:r w:rsidRPr="00E73F6F">
        <w:t>hat</w:t>
      </w:r>
      <w:r w:rsidRPr="00E73F6F">
        <w:rPr>
          <w:spacing w:val="-11"/>
        </w:rPr>
        <w:t xml:space="preserve"> </w:t>
      </w:r>
      <w:r w:rsidRPr="00E73F6F">
        <w:t>die</w:t>
      </w:r>
      <w:r w:rsidRPr="00E73F6F">
        <w:rPr>
          <w:spacing w:val="-11"/>
        </w:rPr>
        <w:t xml:space="preserve"> </w:t>
      </w:r>
      <w:r w:rsidRPr="00E73F6F">
        <w:t>vielfältigsten</w:t>
      </w:r>
      <w:r w:rsidRPr="00E73F6F">
        <w:rPr>
          <w:spacing w:val="-11"/>
        </w:rPr>
        <w:t xml:space="preserve"> </w:t>
      </w:r>
      <w:r w:rsidRPr="00E73F6F">
        <w:t>Konsequenzen. So betrachten Angehörige individualistischer Kulturen den Kauf eines Wirtschaftsguts primär als Tauschakt und Verhandlungen als einen möglichst rational zu gestaltenden Problemlösungsprozess. In kollektivistischen Gesellschaften hingegen herrscht die Vorstellung, dass es dazu zunächst einer stabilen sozialen Beziehung zwischen den handelnden Personen bedarf.</w:t>
      </w:r>
    </w:p>
    <w:p w14:paraId="77F98998" w14:textId="77777777" w:rsidR="00FF7799" w:rsidRPr="00E73F6F" w:rsidRDefault="00FF7799" w:rsidP="00957B22">
      <w:pPr>
        <w:pStyle w:val="StandardText"/>
      </w:pPr>
    </w:p>
    <w:p w14:paraId="3B2075CB" w14:textId="77777777" w:rsidR="00FF7799" w:rsidRPr="003B03AD" w:rsidRDefault="00FF7799" w:rsidP="00FD2D51">
      <w:pPr>
        <w:pStyle w:val="StandardTextkursiv"/>
        <w:rPr>
          <w:i w:val="0"/>
        </w:rPr>
      </w:pPr>
      <w:r w:rsidRPr="003B03AD">
        <w:rPr>
          <w:i w:val="0"/>
        </w:rPr>
        <w:t>2 Ideengeschichte</w:t>
      </w:r>
    </w:p>
    <w:p w14:paraId="6753C409" w14:textId="77777777" w:rsidR="00FF7799" w:rsidRPr="003B03AD" w:rsidRDefault="00FF7799" w:rsidP="00683E8F">
      <w:pPr>
        <w:pStyle w:val="StandardTextkursiv"/>
        <w:rPr>
          <w:i w:val="0"/>
        </w:rPr>
      </w:pPr>
      <w:r w:rsidRPr="003B03AD">
        <w:rPr>
          <w:i w:val="0"/>
        </w:rPr>
        <w:t>2.1 Individualismus</w:t>
      </w:r>
    </w:p>
    <w:p w14:paraId="13947E90" w14:textId="77777777" w:rsidR="00FF7799" w:rsidRPr="003B03AD" w:rsidRDefault="00FF7799" w:rsidP="00957B22">
      <w:pPr>
        <w:pStyle w:val="StandardText"/>
      </w:pPr>
      <w:r w:rsidRPr="003B03AD">
        <w:t>Nach seiner berühmten Nordamerikareise prägte Alexis de Tocqueville (1805- 1859) den Begriff des Individualismus. Der Franzose erkannte damals, dass die jungen</w:t>
      </w:r>
      <w:r w:rsidRPr="003B03AD">
        <w:rPr>
          <w:spacing w:val="-12"/>
        </w:rPr>
        <w:t xml:space="preserve"> </w:t>
      </w:r>
      <w:r w:rsidRPr="003B03AD">
        <w:t>Vereinigten</w:t>
      </w:r>
      <w:r w:rsidRPr="003B03AD">
        <w:rPr>
          <w:spacing w:val="-11"/>
        </w:rPr>
        <w:t xml:space="preserve"> </w:t>
      </w:r>
      <w:r w:rsidRPr="003B03AD">
        <w:t>Staaten</w:t>
      </w:r>
      <w:r w:rsidRPr="003B03AD">
        <w:rPr>
          <w:spacing w:val="-11"/>
        </w:rPr>
        <w:t xml:space="preserve"> </w:t>
      </w:r>
      <w:r w:rsidRPr="003B03AD">
        <w:t>dem</w:t>
      </w:r>
      <w:r w:rsidRPr="003B03AD">
        <w:rPr>
          <w:spacing w:val="-11"/>
        </w:rPr>
        <w:t xml:space="preserve"> </w:t>
      </w:r>
      <w:r w:rsidRPr="003B03AD">
        <w:t>Einzelnen</w:t>
      </w:r>
      <w:r w:rsidRPr="003B03AD">
        <w:rPr>
          <w:spacing w:val="-12"/>
        </w:rPr>
        <w:t xml:space="preserve"> </w:t>
      </w:r>
      <w:r w:rsidRPr="003B03AD">
        <w:t>die</w:t>
      </w:r>
      <w:r w:rsidRPr="003B03AD">
        <w:rPr>
          <w:spacing w:val="-11"/>
        </w:rPr>
        <w:t xml:space="preserve"> </w:t>
      </w:r>
      <w:r w:rsidRPr="003B03AD">
        <w:t>Freiheit</w:t>
      </w:r>
      <w:r w:rsidRPr="003B03AD">
        <w:rPr>
          <w:spacing w:val="-11"/>
        </w:rPr>
        <w:t xml:space="preserve"> </w:t>
      </w:r>
      <w:r w:rsidRPr="003B03AD">
        <w:t>und</w:t>
      </w:r>
      <w:r w:rsidRPr="003B03AD">
        <w:rPr>
          <w:spacing w:val="-11"/>
        </w:rPr>
        <w:t xml:space="preserve"> </w:t>
      </w:r>
      <w:r w:rsidRPr="003B03AD">
        <w:t>demokratischen</w:t>
      </w:r>
      <w:r w:rsidRPr="003B03AD">
        <w:rPr>
          <w:spacing w:val="-12"/>
        </w:rPr>
        <w:t xml:space="preserve"> </w:t>
      </w:r>
      <w:r w:rsidRPr="003B03AD">
        <w:t>Rechte gewährte,</w:t>
      </w:r>
      <w:r w:rsidRPr="003B03AD">
        <w:rPr>
          <w:spacing w:val="-12"/>
        </w:rPr>
        <w:t xml:space="preserve"> </w:t>
      </w:r>
      <w:r w:rsidRPr="003B03AD">
        <w:t>welche</w:t>
      </w:r>
      <w:r w:rsidRPr="003B03AD">
        <w:rPr>
          <w:spacing w:val="-11"/>
        </w:rPr>
        <w:t xml:space="preserve"> </w:t>
      </w:r>
      <w:r w:rsidRPr="003B03AD">
        <w:t>die</w:t>
      </w:r>
      <w:r w:rsidRPr="003B03AD">
        <w:rPr>
          <w:spacing w:val="-11"/>
        </w:rPr>
        <w:t xml:space="preserve"> </w:t>
      </w:r>
      <w:r w:rsidRPr="003B03AD">
        <w:t>erstarrten</w:t>
      </w:r>
      <w:r w:rsidRPr="003B03AD">
        <w:rPr>
          <w:spacing w:val="-11"/>
        </w:rPr>
        <w:t xml:space="preserve"> </w:t>
      </w:r>
      <w:r w:rsidRPr="003B03AD">
        <w:t>absolutistisch-aristokratischen</w:t>
      </w:r>
      <w:r w:rsidRPr="003B03AD">
        <w:rPr>
          <w:spacing w:val="-12"/>
        </w:rPr>
        <w:t xml:space="preserve"> </w:t>
      </w:r>
      <w:r w:rsidRPr="003B03AD">
        <w:t>Herrschaftssysteme des alten Europas ihren Untertanen verwehrten</w:t>
      </w:r>
      <w:r w:rsidRPr="00E73F6F">
        <w:t xml:space="preserve">. </w:t>
      </w:r>
      <w:r w:rsidRPr="003B03AD">
        <w:t>Der europäische Individualismus entwickelte sich auf dem Boden der Theorien und Lehren von Philosophen der Neuzeit, insb. R. Déscartes (1596-1650) und J. Locke (1632-1704) sowie den ökonomischen Theorien von A. Smith (1723-1790).</w:t>
      </w:r>
    </w:p>
    <w:p w14:paraId="42C8265D" w14:textId="77777777" w:rsidR="00FF7799" w:rsidRPr="003B03AD" w:rsidRDefault="00FF7799" w:rsidP="00957B22">
      <w:pPr>
        <w:pStyle w:val="StandardText"/>
      </w:pPr>
      <w:r w:rsidRPr="003B03AD">
        <w:t>Fanal</w:t>
      </w:r>
      <w:r w:rsidRPr="003B03AD">
        <w:rPr>
          <w:spacing w:val="-5"/>
        </w:rPr>
        <w:t xml:space="preserve"> </w:t>
      </w:r>
      <w:r w:rsidRPr="003B03AD">
        <w:t>der</w:t>
      </w:r>
      <w:r w:rsidRPr="003B03AD">
        <w:rPr>
          <w:spacing w:val="-5"/>
        </w:rPr>
        <w:t xml:space="preserve"> </w:t>
      </w:r>
      <w:r w:rsidRPr="003B03AD">
        <w:t>„Entdeckung</w:t>
      </w:r>
      <w:r w:rsidRPr="003B03AD">
        <w:rPr>
          <w:spacing w:val="-7"/>
        </w:rPr>
        <w:t xml:space="preserve"> </w:t>
      </w:r>
      <w:r w:rsidRPr="003B03AD">
        <w:t>des</w:t>
      </w:r>
      <w:r w:rsidRPr="003B03AD">
        <w:rPr>
          <w:spacing w:val="-6"/>
        </w:rPr>
        <w:t xml:space="preserve"> </w:t>
      </w:r>
      <w:r w:rsidRPr="003B03AD">
        <w:t>Individuums“</w:t>
      </w:r>
      <w:r w:rsidRPr="003B03AD">
        <w:rPr>
          <w:spacing w:val="-6"/>
        </w:rPr>
        <w:t xml:space="preserve"> </w:t>
      </w:r>
      <w:r w:rsidRPr="003B03AD">
        <w:t>war</w:t>
      </w:r>
      <w:r w:rsidRPr="003B03AD">
        <w:rPr>
          <w:spacing w:val="-5"/>
        </w:rPr>
        <w:t xml:space="preserve"> </w:t>
      </w:r>
      <w:r w:rsidRPr="003B03AD">
        <w:t>die</w:t>
      </w:r>
      <w:r w:rsidRPr="003B03AD">
        <w:rPr>
          <w:spacing w:val="-6"/>
        </w:rPr>
        <w:t xml:space="preserve"> </w:t>
      </w:r>
      <w:r w:rsidRPr="003B03AD">
        <w:t>Französische</w:t>
      </w:r>
      <w:r w:rsidRPr="003B03AD">
        <w:rPr>
          <w:spacing w:val="-6"/>
        </w:rPr>
        <w:t xml:space="preserve"> </w:t>
      </w:r>
      <w:r w:rsidRPr="003B03AD">
        <w:t>Revolution</w:t>
      </w:r>
      <w:r w:rsidRPr="003B03AD">
        <w:rPr>
          <w:spacing w:val="-7"/>
        </w:rPr>
        <w:t xml:space="preserve"> </w:t>
      </w:r>
      <w:r w:rsidRPr="003B03AD">
        <w:t>(1789- 1799),</w:t>
      </w:r>
      <w:r w:rsidRPr="003B03AD">
        <w:rPr>
          <w:spacing w:val="-2"/>
        </w:rPr>
        <w:t xml:space="preserve"> </w:t>
      </w:r>
      <w:r w:rsidRPr="003B03AD">
        <w:t>in</w:t>
      </w:r>
      <w:r w:rsidRPr="003B03AD">
        <w:rPr>
          <w:spacing w:val="-2"/>
        </w:rPr>
        <w:t xml:space="preserve"> </w:t>
      </w:r>
      <w:r w:rsidRPr="003B03AD">
        <w:t>deren Nachfolge</w:t>
      </w:r>
      <w:r w:rsidRPr="003B03AD">
        <w:rPr>
          <w:spacing w:val="-1"/>
        </w:rPr>
        <w:t xml:space="preserve"> </w:t>
      </w:r>
      <w:r w:rsidRPr="003B03AD">
        <w:t>die</w:t>
      </w:r>
      <w:r w:rsidRPr="003B03AD">
        <w:rPr>
          <w:spacing w:val="-1"/>
        </w:rPr>
        <w:t xml:space="preserve"> </w:t>
      </w:r>
      <w:r w:rsidRPr="003B03AD">
        <w:t>Aufklärung</w:t>
      </w:r>
      <w:r w:rsidRPr="003B03AD">
        <w:rPr>
          <w:spacing w:val="-2"/>
        </w:rPr>
        <w:t xml:space="preserve"> </w:t>
      </w:r>
      <w:r w:rsidRPr="003B03AD">
        <w:t>die</w:t>
      </w:r>
      <w:r w:rsidRPr="003B03AD">
        <w:rPr>
          <w:spacing w:val="-1"/>
        </w:rPr>
        <w:t xml:space="preserve"> </w:t>
      </w:r>
      <w:r w:rsidRPr="003B03AD">
        <w:t>Rechte</w:t>
      </w:r>
      <w:r w:rsidRPr="003B03AD">
        <w:rPr>
          <w:spacing w:val="-1"/>
        </w:rPr>
        <w:t xml:space="preserve"> </w:t>
      </w:r>
      <w:r w:rsidRPr="003B03AD">
        <w:t>des</w:t>
      </w:r>
      <w:r w:rsidRPr="003B03AD">
        <w:rPr>
          <w:spacing w:val="-1"/>
        </w:rPr>
        <w:t xml:space="preserve"> </w:t>
      </w:r>
      <w:r w:rsidRPr="003B03AD">
        <w:t>Einzelnen entscheidend gestärkt und die Privilegien der Könige sowie des Adels nachhaltig begrenzt hat (vgl. Müller/Gelbrich 2014, S.140f.). Einen nicht geringen Beitrag leistete auch das Christentum. Denn gemäß der katholischen und insb. der protestantischen Lehre steht der Mensch seinem Schöpfer „alleine“ gegenüber – als Individuum. Die Philosophen des östlichen Kulturkreises hingegen beschrieben die Rolle des Menschen als die eines Bindeglieds zwischen seinen Vorfahren und seinen Nachfahren (vgl. Triandis 1995, S.21).</w:t>
      </w:r>
    </w:p>
    <w:p w14:paraId="1374A5A4" w14:textId="77777777" w:rsidR="00FF7799" w:rsidRPr="003B03AD" w:rsidRDefault="00FF7799" w:rsidP="00957B22">
      <w:pPr>
        <w:pStyle w:val="StandardText"/>
      </w:pPr>
      <w:r w:rsidRPr="003B03AD">
        <w:t>Zwar begeisterten sich auch J.J. Rousseau (1712-1778: „Contract Social”), F. Hegel (1770-1831: „Phänomenologie des Geistes“) und andere europäische Philosophen für die Ideale des Kollektivismus, von K. Marx (1818-1883) und F. Engels (1820-1895: „Manifest</w:t>
      </w:r>
      <w:r w:rsidRPr="003B03AD">
        <w:rPr>
          <w:spacing w:val="-3"/>
        </w:rPr>
        <w:t xml:space="preserve"> </w:t>
      </w:r>
      <w:r w:rsidRPr="003B03AD">
        <w:t>der</w:t>
      </w:r>
      <w:r w:rsidRPr="003B03AD">
        <w:rPr>
          <w:spacing w:val="-1"/>
        </w:rPr>
        <w:t xml:space="preserve"> </w:t>
      </w:r>
      <w:r w:rsidRPr="003B03AD">
        <w:t>Kommunistischen</w:t>
      </w:r>
      <w:r w:rsidRPr="003B03AD">
        <w:rPr>
          <w:spacing w:val="-2"/>
        </w:rPr>
        <w:t xml:space="preserve"> </w:t>
      </w:r>
      <w:r w:rsidRPr="003B03AD">
        <w:t>Partei“)</w:t>
      </w:r>
      <w:r w:rsidRPr="003B03AD">
        <w:rPr>
          <w:spacing w:val="-1"/>
        </w:rPr>
        <w:t xml:space="preserve"> </w:t>
      </w:r>
      <w:r w:rsidRPr="003B03AD">
        <w:t>ganz</w:t>
      </w:r>
      <w:r w:rsidRPr="003B03AD">
        <w:rPr>
          <w:spacing w:val="-1"/>
        </w:rPr>
        <w:t xml:space="preserve"> </w:t>
      </w:r>
      <w:r w:rsidRPr="003B03AD">
        <w:t>zu schweigen. Seitdem sich im 13. Jahrhundert in England jedoch das Konzept des Privateigentums durchgesetzt hat, dominierte in Europa die Ideenlehre des Individualismus. Formuliert und fortgeschrieben wurde sie u.a. durch …</w:t>
      </w:r>
    </w:p>
    <w:p w14:paraId="7D032E9C" w14:textId="77777777" w:rsidR="00FF7799" w:rsidRPr="003B03AD" w:rsidRDefault="00FF7799" w:rsidP="00E445CF">
      <w:pPr>
        <w:pStyle w:val="StandardTextAufzhlung"/>
        <w:ind w:left="426"/>
      </w:pPr>
      <w:r w:rsidRPr="003B03AD">
        <w:t>T.</w:t>
      </w:r>
      <w:r w:rsidRPr="003B03AD">
        <w:rPr>
          <w:spacing w:val="-1"/>
        </w:rPr>
        <w:t xml:space="preserve"> </w:t>
      </w:r>
      <w:r w:rsidRPr="003B03AD">
        <w:t xml:space="preserve">Hobbes („Homo </w:t>
      </w:r>
      <w:r w:rsidRPr="003B03AD">
        <w:rPr>
          <w:spacing w:val="-2"/>
        </w:rPr>
        <w:t>Oeconomicus“),</w:t>
      </w:r>
    </w:p>
    <w:p w14:paraId="7E20130D" w14:textId="77777777" w:rsidR="00FF7799" w:rsidRPr="003B03AD" w:rsidRDefault="00FF7799" w:rsidP="00E445CF">
      <w:pPr>
        <w:pStyle w:val="StandardTextAufzhlung"/>
        <w:ind w:left="426"/>
        <w:rPr>
          <w:lang w:val="en-US"/>
        </w:rPr>
      </w:pPr>
      <w:r w:rsidRPr="003B03AD">
        <w:rPr>
          <w:lang w:val="en-US"/>
        </w:rPr>
        <w:t>A. Smith („Wealth</w:t>
      </w:r>
      <w:r w:rsidRPr="003B03AD">
        <w:rPr>
          <w:spacing w:val="-1"/>
          <w:lang w:val="en-US"/>
        </w:rPr>
        <w:t xml:space="preserve"> </w:t>
      </w:r>
      <w:r w:rsidRPr="003B03AD">
        <w:rPr>
          <w:lang w:val="en-US"/>
        </w:rPr>
        <w:t xml:space="preserve">of </w:t>
      </w:r>
      <w:r w:rsidRPr="003B03AD">
        <w:rPr>
          <w:spacing w:val="-2"/>
          <w:lang w:val="en-US"/>
        </w:rPr>
        <w:t>Nations“),</w:t>
      </w:r>
    </w:p>
    <w:p w14:paraId="2F87C7A5" w14:textId="77777777" w:rsidR="00FF7799" w:rsidRPr="003B03AD" w:rsidRDefault="00FF7799" w:rsidP="00E445CF">
      <w:pPr>
        <w:pStyle w:val="StandardTextAufzhlung"/>
        <w:ind w:left="426"/>
      </w:pPr>
      <w:r w:rsidRPr="003B03AD">
        <w:t>J. Locke und D. Hume („Individuelle Erfahrung – d.h. Empirismus – ist die einzig verlässliche Quelle von Wissen“),</w:t>
      </w:r>
    </w:p>
    <w:p w14:paraId="0702CA67" w14:textId="77777777" w:rsidR="00FF7799" w:rsidRPr="003B03AD" w:rsidRDefault="00FF7799" w:rsidP="00E445CF">
      <w:pPr>
        <w:pStyle w:val="StandardTextAufzhlung"/>
        <w:ind w:left="426"/>
      </w:pPr>
      <w:r w:rsidRPr="003B03AD">
        <w:t>H.</w:t>
      </w:r>
      <w:r w:rsidRPr="003B03AD">
        <w:rPr>
          <w:spacing w:val="-2"/>
        </w:rPr>
        <w:t xml:space="preserve"> </w:t>
      </w:r>
      <w:r w:rsidRPr="003B03AD">
        <w:t>Spencer</w:t>
      </w:r>
      <w:r w:rsidRPr="003B03AD">
        <w:rPr>
          <w:spacing w:val="-1"/>
        </w:rPr>
        <w:t xml:space="preserve"> </w:t>
      </w:r>
      <w:r w:rsidRPr="003B03AD">
        <w:rPr>
          <w:spacing w:val="-2"/>
        </w:rPr>
        <w:t>(„Sozialdarwinismus“).</w:t>
      </w:r>
    </w:p>
    <w:p w14:paraId="1E0BF0E5" w14:textId="77777777" w:rsidR="00E445CF" w:rsidRDefault="00E445CF" w:rsidP="00957B22">
      <w:pPr>
        <w:pStyle w:val="StandardText"/>
      </w:pPr>
    </w:p>
    <w:p w14:paraId="111B9382" w14:textId="0EA2FE8C" w:rsidR="00FF7799" w:rsidRPr="003B03AD" w:rsidRDefault="00FF7799" w:rsidP="00957B22">
      <w:pPr>
        <w:pStyle w:val="StandardText"/>
      </w:pPr>
      <w:r w:rsidRPr="003B03AD">
        <w:t>Im Laufe der Jahrhunderte haben sich in Süd-, Mittel-, Nord- und Osteuropa unterschiedliche Lebensmodelle herausgebildet. Dennoch gibt es eine zentrale Gemeinsamkeit, welche – abgesehen von Griechenland und Portugal – die Industrienationen der westlichen Hemisphäre vereint und von den meisten Schwellen- und Entwicklungsländern trennt: das „kulturelle Erbe“ des Individualismus.</w:t>
      </w:r>
      <w:r w:rsidRPr="003B03AD">
        <w:rPr>
          <w:spacing w:val="-8"/>
        </w:rPr>
        <w:t xml:space="preserve"> </w:t>
      </w:r>
      <w:r w:rsidRPr="003B03AD">
        <w:t>Erklären</w:t>
      </w:r>
      <w:r w:rsidRPr="003B03AD">
        <w:rPr>
          <w:spacing w:val="-8"/>
        </w:rPr>
        <w:t xml:space="preserve"> </w:t>
      </w:r>
      <w:r w:rsidRPr="003B03AD">
        <w:t>lässt</w:t>
      </w:r>
      <w:r w:rsidRPr="003B03AD">
        <w:rPr>
          <w:spacing w:val="-6"/>
        </w:rPr>
        <w:t xml:space="preserve"> </w:t>
      </w:r>
      <w:r w:rsidRPr="003B03AD">
        <w:t>sich</w:t>
      </w:r>
      <w:r w:rsidRPr="003B03AD">
        <w:rPr>
          <w:spacing w:val="-5"/>
        </w:rPr>
        <w:t xml:space="preserve"> </w:t>
      </w:r>
      <w:r w:rsidRPr="003B03AD">
        <w:t>diese</w:t>
      </w:r>
      <w:r w:rsidRPr="003B03AD">
        <w:rPr>
          <w:spacing w:val="-7"/>
        </w:rPr>
        <w:t xml:space="preserve"> </w:t>
      </w:r>
      <w:r w:rsidRPr="003B03AD">
        <w:t>Besonderheit</w:t>
      </w:r>
      <w:r w:rsidRPr="003B03AD">
        <w:rPr>
          <w:spacing w:val="-8"/>
        </w:rPr>
        <w:t xml:space="preserve"> </w:t>
      </w:r>
      <w:r w:rsidRPr="003B03AD">
        <w:t>damit,</w:t>
      </w:r>
      <w:r w:rsidRPr="003B03AD">
        <w:rPr>
          <w:spacing w:val="-8"/>
        </w:rPr>
        <w:t xml:space="preserve"> </w:t>
      </w:r>
      <w:r w:rsidRPr="003B03AD">
        <w:t>dass</w:t>
      </w:r>
      <w:r w:rsidRPr="003B03AD">
        <w:rPr>
          <w:spacing w:val="-7"/>
        </w:rPr>
        <w:t xml:space="preserve"> </w:t>
      </w:r>
      <w:r w:rsidRPr="003B03AD">
        <w:t>Menschen,</w:t>
      </w:r>
      <w:r w:rsidRPr="003B03AD">
        <w:rPr>
          <w:spacing w:val="-5"/>
        </w:rPr>
        <w:t xml:space="preserve"> </w:t>
      </w:r>
      <w:r w:rsidRPr="003B03AD">
        <w:t xml:space="preserve">die in einer </w:t>
      </w:r>
      <w:r w:rsidRPr="003B03AD">
        <w:lastRenderedPageBreak/>
        <w:t>wohlhabenden Gesellschaft leben, nicht existenziell auf wechselseitige Unterstützung und Gemeinschaft angewiesen sind, wie es für den kollektivistisDiese Gesellschaftslehre räumt den Anforderungen und Bedürfnissen der Gemeinschaft Vorrang gegenüber den Anforderungen und Bedürfnissen der Individuen ein. Mehr noch: Das Denken und Handeln jedes Einzelnen soll sich weitestgehend</w:t>
      </w:r>
      <w:r w:rsidRPr="003B03AD">
        <w:rPr>
          <w:spacing w:val="28"/>
        </w:rPr>
        <w:t xml:space="preserve"> </w:t>
      </w:r>
      <w:r w:rsidRPr="003B03AD">
        <w:t>von</w:t>
      </w:r>
      <w:r w:rsidRPr="003B03AD">
        <w:rPr>
          <w:spacing w:val="28"/>
        </w:rPr>
        <w:t xml:space="preserve"> </w:t>
      </w:r>
      <w:r w:rsidRPr="003B03AD">
        <w:t>den</w:t>
      </w:r>
      <w:r w:rsidRPr="003B03AD">
        <w:rPr>
          <w:spacing w:val="30"/>
        </w:rPr>
        <w:t xml:space="preserve"> </w:t>
      </w:r>
      <w:r w:rsidRPr="003B03AD">
        <w:t>Bedürfnissen,</w:t>
      </w:r>
      <w:r w:rsidRPr="003B03AD">
        <w:rPr>
          <w:spacing w:val="30"/>
        </w:rPr>
        <w:t xml:space="preserve"> </w:t>
      </w:r>
      <w:r w:rsidRPr="003B03AD">
        <w:t>Zielen</w:t>
      </w:r>
      <w:r w:rsidRPr="003B03AD">
        <w:rPr>
          <w:spacing w:val="29"/>
        </w:rPr>
        <w:t xml:space="preserve"> </w:t>
      </w:r>
      <w:r w:rsidRPr="003B03AD">
        <w:t>etc.</w:t>
      </w:r>
      <w:r w:rsidRPr="003B03AD">
        <w:rPr>
          <w:spacing w:val="28"/>
        </w:rPr>
        <w:t xml:space="preserve"> </w:t>
      </w:r>
      <w:r w:rsidRPr="003B03AD">
        <w:t>der</w:t>
      </w:r>
      <w:r w:rsidRPr="003B03AD">
        <w:rPr>
          <w:spacing w:val="29"/>
        </w:rPr>
        <w:t xml:space="preserve"> </w:t>
      </w:r>
      <w:r w:rsidRPr="003B03AD">
        <w:t>Gemeinschaft</w:t>
      </w:r>
      <w:r w:rsidRPr="003B03AD">
        <w:rPr>
          <w:spacing w:val="30"/>
        </w:rPr>
        <w:t xml:space="preserve"> </w:t>
      </w:r>
      <w:r w:rsidRPr="003B03AD">
        <w:t>(bzw.</w:t>
      </w:r>
      <w:r w:rsidRPr="003B03AD">
        <w:rPr>
          <w:spacing w:val="29"/>
        </w:rPr>
        <w:t xml:space="preserve"> </w:t>
      </w:r>
      <w:r w:rsidRPr="003B03AD">
        <w:rPr>
          <w:spacing w:val="-5"/>
        </w:rPr>
        <w:t xml:space="preserve">dem </w:t>
      </w:r>
      <w:r w:rsidRPr="003B03AD">
        <w:t>„Kollektiv“)</w:t>
      </w:r>
      <w:r w:rsidRPr="003B03AD">
        <w:rPr>
          <w:spacing w:val="-3"/>
        </w:rPr>
        <w:t xml:space="preserve"> </w:t>
      </w:r>
      <w:r w:rsidRPr="003B03AD">
        <w:t>her ableiten</w:t>
      </w:r>
      <w:r w:rsidRPr="003B03AD">
        <w:rPr>
          <w:spacing w:val="-2"/>
        </w:rPr>
        <w:t xml:space="preserve"> lassen.</w:t>
      </w:r>
    </w:p>
    <w:p w14:paraId="69F69DA4" w14:textId="77777777" w:rsidR="00FF7799" w:rsidRPr="003B03AD" w:rsidRDefault="00FF7799" w:rsidP="00957B22">
      <w:pPr>
        <w:pStyle w:val="StandardText"/>
      </w:pPr>
      <w:r w:rsidRPr="003B03AD">
        <w:t>Für die geistig-kulturelle Entwicklung Asiens und die Formulierung des kollektivistischen Gesellschaftsideals waren entscheidend: die …</w:t>
      </w:r>
    </w:p>
    <w:p w14:paraId="350A9E5B" w14:textId="77777777" w:rsidR="00FF7799" w:rsidRPr="003B03AD" w:rsidRDefault="00FF7799" w:rsidP="00E445CF">
      <w:pPr>
        <w:pStyle w:val="StandardTextAufzhlung"/>
        <w:ind w:left="426"/>
      </w:pPr>
      <w:r w:rsidRPr="003B03AD">
        <w:t xml:space="preserve">konfuzianische Staatslehre der „Fünf Tugenden“ (z.B. Reziprozität in sozialen Beziehungen, Aufrichtigkeit, Respekt vor dem Alter; vgl. Müller/Gelbrich 2014, </w:t>
      </w:r>
      <w:r w:rsidRPr="003B03AD">
        <w:rPr>
          <w:spacing w:val="-2"/>
        </w:rPr>
        <w:t>S.254ff.).</w:t>
      </w:r>
    </w:p>
    <w:p w14:paraId="7369D39C" w14:textId="77777777" w:rsidR="00FF7799" w:rsidRPr="003B03AD" w:rsidRDefault="00FF7799" w:rsidP="00E445CF">
      <w:pPr>
        <w:pStyle w:val="StandardTextAufzhlung"/>
        <w:ind w:left="426"/>
      </w:pPr>
      <w:r w:rsidRPr="003B03AD">
        <w:t>in dieser Region dominanten Religionen bzw. Philosophien. Denn auch Buddhismus, Hinduismus, Schintoismus und Taoismus lehren kollektivistische Werte und billigen dem Individuum vergleichsweise wenig Eigenverantwortlichkeit zu (vgl. Müller/Gelbrich 2014, S.249ff.).</w:t>
      </w:r>
    </w:p>
    <w:p w14:paraId="3DE7FD9C" w14:textId="77777777" w:rsidR="00FF7799" w:rsidRPr="003B03AD" w:rsidRDefault="00FF7799" w:rsidP="00E445CF">
      <w:pPr>
        <w:pStyle w:val="StandardText"/>
        <w:ind w:left="426"/>
      </w:pPr>
    </w:p>
    <w:p w14:paraId="07F91FEB" w14:textId="77777777" w:rsidR="00FF7799" w:rsidRPr="003B03AD" w:rsidRDefault="00FF7799" w:rsidP="00957B22">
      <w:pPr>
        <w:pStyle w:val="StandardText"/>
      </w:pPr>
      <w:r w:rsidRPr="003B03AD">
        <w:t>Immer wieder wird auch auf die normative Kraft des Reisanbaus verwiesen, der weit mehr ist als eine Anbautechnik: kulturwissenschaftlich betrachtet die vielleicht wichtigste soziale Institution Ostasiens.</w:t>
      </w:r>
    </w:p>
    <w:p w14:paraId="7B4A3077" w14:textId="77777777" w:rsidR="00FF7799" w:rsidRPr="00E73F6F" w:rsidRDefault="00FF7799" w:rsidP="00957B22">
      <w:pPr>
        <w:pStyle w:val="StandardText"/>
        <w:rPr>
          <w:szCs w:val="24"/>
        </w:rPr>
      </w:pP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9062"/>
      </w:tblGrid>
      <w:tr w:rsidR="00FF7799" w:rsidRPr="00E73F6F" w14:paraId="1BBE7FCF" w14:textId="77777777" w:rsidTr="005A7755">
        <w:trPr>
          <w:trHeight w:val="280"/>
        </w:trPr>
        <w:tc>
          <w:tcPr>
            <w:tcW w:w="5000" w:type="pct"/>
            <w:tcBorders>
              <w:bottom w:val="nil"/>
            </w:tcBorders>
            <w:shd w:val="clear" w:color="auto" w:fill="DEEAF6" w:themeFill="accent1" w:themeFillTint="33"/>
            <w:tcMar>
              <w:left w:w="28" w:type="dxa"/>
              <w:right w:w="28" w:type="dxa"/>
            </w:tcMar>
          </w:tcPr>
          <w:p w14:paraId="6C733B80" w14:textId="053D689C" w:rsidR="00FF7799" w:rsidRPr="00E73F6F" w:rsidRDefault="00FF7799" w:rsidP="00E445CF">
            <w:pPr>
              <w:pStyle w:val="Standardklein"/>
              <w:spacing w:before="120" w:after="120"/>
              <w:jc w:val="center"/>
              <w:rPr>
                <w:b/>
                <w:lang w:val="de-DE"/>
              </w:rPr>
            </w:pPr>
            <w:r w:rsidRPr="00E73F6F">
              <w:rPr>
                <w:b/>
                <w:lang w:val="de-DE"/>
              </w:rPr>
              <w:t>Reisanbau-These</w:t>
            </w:r>
          </w:p>
        </w:tc>
      </w:tr>
      <w:tr w:rsidR="00FF7799" w:rsidRPr="00E73F6F" w14:paraId="267938D4" w14:textId="77777777" w:rsidTr="005A7755">
        <w:trPr>
          <w:trHeight w:val="2294"/>
        </w:trPr>
        <w:tc>
          <w:tcPr>
            <w:tcW w:w="5000" w:type="pct"/>
            <w:tcBorders>
              <w:top w:val="nil"/>
            </w:tcBorders>
            <w:shd w:val="clear" w:color="auto" w:fill="DEEAF6" w:themeFill="accent1" w:themeFillTint="33"/>
            <w:tcMar>
              <w:left w:w="28" w:type="dxa"/>
              <w:right w:w="28" w:type="dxa"/>
            </w:tcMar>
          </w:tcPr>
          <w:p w14:paraId="7639E7A9" w14:textId="77777777" w:rsidR="00FF7799" w:rsidRPr="003B03AD" w:rsidRDefault="00FF7799" w:rsidP="00E73F6F">
            <w:pPr>
              <w:pStyle w:val="Standardklein"/>
              <w:spacing w:before="120" w:after="120"/>
              <w:rPr>
                <w:spacing w:val="16"/>
                <w:lang w:val="de-DE"/>
              </w:rPr>
            </w:pPr>
            <w:r w:rsidRPr="00E73F6F">
              <w:rPr>
                <w:lang w:val="de-DE"/>
              </w:rPr>
              <w:t>„Der Reisanbau gilt als Wurzel der japanischen Gruppenorientierung. Für die Bewässerung der</w:t>
            </w:r>
            <w:r w:rsidRPr="00E73F6F">
              <w:rPr>
                <w:spacing w:val="40"/>
                <w:lang w:val="de-DE"/>
              </w:rPr>
              <w:t xml:space="preserve"> </w:t>
            </w:r>
            <w:r w:rsidRPr="00E73F6F">
              <w:rPr>
                <w:lang w:val="de-DE"/>
              </w:rPr>
              <w:t>Terrassenfelder war eine ständige Absprache mit den Feldnachbarn notwendig. Die Dorfgemeinschaften</w:t>
            </w:r>
            <w:r w:rsidRPr="00E73F6F">
              <w:rPr>
                <w:spacing w:val="40"/>
                <w:lang w:val="de-DE"/>
              </w:rPr>
              <w:t xml:space="preserve"> </w:t>
            </w:r>
            <w:r w:rsidRPr="00E73F6F">
              <w:rPr>
                <w:lang w:val="de-DE"/>
              </w:rPr>
              <w:t>waren Schicksalsgemeinschaften, darauf angewiesen, in Katastrophenfällen – etwa bei Unwetter oder</w:t>
            </w:r>
            <w:r w:rsidRPr="00E73F6F">
              <w:rPr>
                <w:spacing w:val="40"/>
                <w:lang w:val="de-DE"/>
              </w:rPr>
              <w:t xml:space="preserve"> </w:t>
            </w:r>
            <w:r w:rsidRPr="00E73F6F">
              <w:rPr>
                <w:lang w:val="de-DE"/>
              </w:rPr>
              <w:t>Erdbeben – zusammenzuhalten. Die Notwendigkeit zur Kooperation ging jedoch über die naturbedingte</w:t>
            </w:r>
            <w:r w:rsidRPr="00E73F6F">
              <w:rPr>
                <w:spacing w:val="40"/>
                <w:lang w:val="de-DE"/>
              </w:rPr>
              <w:t xml:space="preserve"> </w:t>
            </w:r>
            <w:r w:rsidRPr="00E73F6F">
              <w:rPr>
                <w:lang w:val="de-DE"/>
              </w:rPr>
              <w:t>gegenseitige Abhängigkeit hinaus: Die Dorfgemeinschaften waren als Einheit steuerpflichtig und auch</w:t>
            </w:r>
            <w:r w:rsidRPr="00E73F6F">
              <w:rPr>
                <w:spacing w:val="40"/>
                <w:lang w:val="de-DE"/>
              </w:rPr>
              <w:t xml:space="preserve"> </w:t>
            </w:r>
            <w:r w:rsidRPr="00E73F6F">
              <w:rPr>
                <w:lang w:val="de-DE"/>
              </w:rPr>
              <w:t>kollektiv</w:t>
            </w:r>
            <w:r w:rsidRPr="00E73F6F">
              <w:rPr>
                <w:spacing w:val="-5"/>
                <w:lang w:val="de-DE"/>
              </w:rPr>
              <w:t xml:space="preserve"> </w:t>
            </w:r>
            <w:r w:rsidRPr="00E73F6F">
              <w:rPr>
                <w:lang w:val="de-DE"/>
              </w:rPr>
              <w:t>für</w:t>
            </w:r>
            <w:r w:rsidRPr="00E73F6F">
              <w:rPr>
                <w:spacing w:val="-7"/>
                <w:lang w:val="de-DE"/>
              </w:rPr>
              <w:t xml:space="preserve"> </w:t>
            </w:r>
            <w:r w:rsidRPr="00E73F6F">
              <w:rPr>
                <w:lang w:val="de-DE"/>
              </w:rPr>
              <w:t>die</w:t>
            </w:r>
            <w:r w:rsidRPr="00E73F6F">
              <w:rPr>
                <w:spacing w:val="-6"/>
                <w:lang w:val="de-DE"/>
              </w:rPr>
              <w:t xml:space="preserve"> </w:t>
            </w:r>
            <w:r w:rsidRPr="00E73F6F">
              <w:rPr>
                <w:lang w:val="de-DE"/>
              </w:rPr>
              <w:t>Vergehen</w:t>
            </w:r>
            <w:r w:rsidRPr="00E73F6F">
              <w:rPr>
                <w:spacing w:val="-5"/>
                <w:lang w:val="de-DE"/>
              </w:rPr>
              <w:t xml:space="preserve"> </w:t>
            </w:r>
            <w:r w:rsidRPr="00E73F6F">
              <w:rPr>
                <w:lang w:val="de-DE"/>
              </w:rPr>
              <w:t>einzelner</w:t>
            </w:r>
            <w:r w:rsidRPr="00E73F6F">
              <w:rPr>
                <w:spacing w:val="-7"/>
                <w:lang w:val="de-DE"/>
              </w:rPr>
              <w:t xml:space="preserve"> </w:t>
            </w:r>
            <w:r w:rsidRPr="00E73F6F">
              <w:rPr>
                <w:lang w:val="de-DE"/>
              </w:rPr>
              <w:t>Mitglieder</w:t>
            </w:r>
            <w:r w:rsidRPr="00E73F6F">
              <w:rPr>
                <w:spacing w:val="-7"/>
                <w:lang w:val="de-DE"/>
              </w:rPr>
              <w:t xml:space="preserve"> </w:t>
            </w:r>
            <w:r w:rsidRPr="00E73F6F">
              <w:rPr>
                <w:lang w:val="de-DE"/>
              </w:rPr>
              <w:t>haftbar.</w:t>
            </w:r>
            <w:r w:rsidRPr="00E73F6F">
              <w:rPr>
                <w:spacing w:val="-6"/>
                <w:lang w:val="de-DE"/>
              </w:rPr>
              <w:t xml:space="preserve"> </w:t>
            </w:r>
            <w:r w:rsidRPr="00E73F6F">
              <w:rPr>
                <w:lang w:val="de-DE"/>
              </w:rPr>
              <w:t>Es waren</w:t>
            </w:r>
            <w:r w:rsidRPr="00E73F6F">
              <w:rPr>
                <w:spacing w:val="-8"/>
                <w:lang w:val="de-DE"/>
              </w:rPr>
              <w:t xml:space="preserve"> </w:t>
            </w:r>
            <w:r w:rsidRPr="00E73F6F">
              <w:rPr>
                <w:lang w:val="de-DE"/>
              </w:rPr>
              <w:t>daher</w:t>
            </w:r>
            <w:r w:rsidRPr="00E73F6F">
              <w:rPr>
                <w:spacing w:val="-5"/>
                <w:lang w:val="de-DE"/>
              </w:rPr>
              <w:t xml:space="preserve"> </w:t>
            </w:r>
            <w:r w:rsidRPr="00E73F6F">
              <w:rPr>
                <w:lang w:val="de-DE"/>
              </w:rPr>
              <w:t>ständig</w:t>
            </w:r>
            <w:r w:rsidRPr="00E73F6F">
              <w:rPr>
                <w:spacing w:val="-5"/>
                <w:lang w:val="de-DE"/>
              </w:rPr>
              <w:t xml:space="preserve"> </w:t>
            </w:r>
            <w:r w:rsidRPr="00E73F6F">
              <w:rPr>
                <w:lang w:val="de-DE"/>
              </w:rPr>
              <w:t>Absprachen</w:t>
            </w:r>
            <w:r w:rsidRPr="00E73F6F">
              <w:rPr>
                <w:spacing w:val="-5"/>
                <w:lang w:val="de-DE"/>
              </w:rPr>
              <w:t xml:space="preserve"> </w:t>
            </w:r>
            <w:r w:rsidRPr="00E73F6F">
              <w:rPr>
                <w:lang w:val="de-DE"/>
              </w:rPr>
              <w:t>notwendig,</w:t>
            </w:r>
            <w:r w:rsidRPr="00E73F6F">
              <w:rPr>
                <w:spacing w:val="-6"/>
                <w:lang w:val="de-DE"/>
              </w:rPr>
              <w:t xml:space="preserve"> </w:t>
            </w:r>
            <w:r w:rsidRPr="00E73F6F">
              <w:rPr>
                <w:lang w:val="de-DE"/>
              </w:rPr>
              <w:t>um</w:t>
            </w:r>
            <w:r w:rsidRPr="00E73F6F">
              <w:rPr>
                <w:spacing w:val="40"/>
                <w:lang w:val="de-DE"/>
              </w:rPr>
              <w:t xml:space="preserve"> </w:t>
            </w:r>
            <w:r w:rsidRPr="00E73F6F">
              <w:rPr>
                <w:lang w:val="de-DE"/>
              </w:rPr>
              <w:t>zu gemeinsamen Entscheidungen zu kommen, deren Umsetzung von Jedem Kompromissbereitschaft und</w:t>
            </w:r>
            <w:r w:rsidRPr="00E73F6F">
              <w:rPr>
                <w:spacing w:val="40"/>
                <w:lang w:val="de-DE"/>
              </w:rPr>
              <w:t xml:space="preserve"> </w:t>
            </w:r>
            <w:r w:rsidRPr="00E73F6F">
              <w:rPr>
                <w:lang w:val="de-DE"/>
              </w:rPr>
              <w:t>Rücksichtnahme erforderte. Das Wohlergehen des Einzelnen hing also letztlich vom Wohl der Gruppe ab,</w:t>
            </w:r>
            <w:r w:rsidRPr="00E73F6F">
              <w:rPr>
                <w:spacing w:val="40"/>
                <w:lang w:val="de-DE"/>
              </w:rPr>
              <w:t xml:space="preserve"> </w:t>
            </w:r>
            <w:r w:rsidRPr="00E73F6F">
              <w:rPr>
                <w:lang w:val="de-DE"/>
              </w:rPr>
              <w:t>und eben diese Einsicht findet sich grundsätzlich noch heute in anderen Gemeinschaften (Familie,</w:t>
            </w:r>
            <w:r w:rsidRPr="00E73F6F">
              <w:rPr>
                <w:spacing w:val="40"/>
                <w:lang w:val="de-DE"/>
              </w:rPr>
              <w:t xml:space="preserve"> </w:t>
            </w:r>
            <w:r w:rsidRPr="00E73F6F">
              <w:rPr>
                <w:lang w:val="de-DE"/>
              </w:rPr>
              <w:t>Nachbarschaft oder Firma). Auch die in der Stadt lebenden Japaner fühlen sich mit ihrem ursprünglichen</w:t>
            </w:r>
            <w:r w:rsidRPr="00E73F6F">
              <w:rPr>
                <w:spacing w:val="40"/>
                <w:lang w:val="de-DE"/>
              </w:rPr>
              <w:t xml:space="preserve"> </w:t>
            </w:r>
            <w:r w:rsidRPr="00E73F6F">
              <w:rPr>
                <w:lang w:val="de-DE"/>
              </w:rPr>
              <w:t>Herkunftsort eng verbunden und kehren</w:t>
            </w:r>
            <w:r w:rsidRPr="00E73F6F">
              <w:rPr>
                <w:spacing w:val="17"/>
                <w:lang w:val="de-DE"/>
              </w:rPr>
              <w:t xml:space="preserve"> </w:t>
            </w:r>
            <w:r w:rsidRPr="00E73F6F">
              <w:rPr>
                <w:lang w:val="de-DE"/>
              </w:rPr>
              <w:t>an</w:t>
            </w:r>
            <w:r w:rsidRPr="00E73F6F">
              <w:rPr>
                <w:spacing w:val="17"/>
                <w:lang w:val="de-DE"/>
              </w:rPr>
              <w:t xml:space="preserve"> </w:t>
            </w:r>
            <w:r w:rsidRPr="00E73F6F">
              <w:rPr>
                <w:lang w:val="de-DE"/>
              </w:rPr>
              <w:t>Festtagen</w:t>
            </w:r>
            <w:r w:rsidRPr="00E73F6F">
              <w:rPr>
                <w:spacing w:val="17"/>
                <w:lang w:val="de-DE"/>
              </w:rPr>
              <w:t xml:space="preserve"> </w:t>
            </w:r>
            <w:r w:rsidRPr="00E73F6F">
              <w:rPr>
                <w:lang w:val="de-DE"/>
              </w:rPr>
              <w:t>regelmäßig in diese Heimat</w:t>
            </w:r>
            <w:r w:rsidRPr="00E73F6F">
              <w:rPr>
                <w:spacing w:val="17"/>
                <w:lang w:val="de-DE"/>
              </w:rPr>
              <w:t xml:space="preserve"> </w:t>
            </w:r>
            <w:r w:rsidRPr="00E73F6F">
              <w:rPr>
                <w:lang w:val="de-DE"/>
              </w:rPr>
              <w:t>zurück“</w:t>
            </w:r>
            <w:r w:rsidRPr="00E73F6F">
              <w:rPr>
                <w:spacing w:val="16"/>
                <w:lang w:val="de-DE"/>
              </w:rPr>
              <w:t xml:space="preserve"> </w:t>
            </w:r>
            <w:r w:rsidR="003B03AD">
              <w:rPr>
                <w:spacing w:val="16"/>
                <w:lang w:val="de-DE"/>
              </w:rPr>
              <w:t>(</w:t>
            </w:r>
            <w:r w:rsidRPr="00E73F6F">
              <w:rPr>
                <w:lang w:val="de-DE"/>
              </w:rPr>
              <w:t>Bosse 1997, S.35).</w:t>
            </w:r>
          </w:p>
        </w:tc>
      </w:tr>
    </w:tbl>
    <w:p w14:paraId="1385EF5D" w14:textId="77777777" w:rsidR="00FF7799" w:rsidRPr="00E73F6F" w:rsidRDefault="00FF7799" w:rsidP="00957B22">
      <w:pPr>
        <w:pStyle w:val="StandardText"/>
      </w:pPr>
    </w:p>
    <w:p w14:paraId="143C8E2B" w14:textId="77777777" w:rsidR="00FF7799" w:rsidRPr="005A7755" w:rsidRDefault="005A7755" w:rsidP="00683E8F">
      <w:pPr>
        <w:pStyle w:val="StandardTextkursiv"/>
        <w:rPr>
          <w:i w:val="0"/>
        </w:rPr>
      </w:pPr>
      <w:r>
        <w:rPr>
          <w:i w:val="0"/>
        </w:rPr>
        <w:t>2.2</w:t>
      </w:r>
      <w:r w:rsidR="00FF7799" w:rsidRPr="005A7755">
        <w:rPr>
          <w:i w:val="0"/>
        </w:rPr>
        <w:t xml:space="preserve"> Kollektivistischer Westen &amp; individualistischer Osten</w:t>
      </w:r>
    </w:p>
    <w:p w14:paraId="7226B0C1" w14:textId="77777777" w:rsidR="00FF7799" w:rsidRPr="005A7755" w:rsidRDefault="00FF7799" w:rsidP="00957B22">
      <w:pPr>
        <w:pStyle w:val="StandardText"/>
      </w:pPr>
      <w:r w:rsidRPr="005A7755">
        <w:t>Der Individualismus neigt dazu, den einzelnen Menschen existenziell zu überfordern: individuelle Selbstverwirklichung nicht als Freiheit, sondern als Zwang.</w:t>
      </w:r>
      <w:r w:rsidRPr="005A7755">
        <w:rPr>
          <w:spacing w:val="-10"/>
        </w:rPr>
        <w:t xml:space="preserve"> </w:t>
      </w:r>
      <w:r w:rsidRPr="005A7755">
        <w:t>Dies</w:t>
      </w:r>
      <w:r w:rsidRPr="005A7755">
        <w:rPr>
          <w:spacing w:val="-10"/>
        </w:rPr>
        <w:t xml:space="preserve"> </w:t>
      </w:r>
      <w:r w:rsidRPr="005A7755">
        <w:t>erklärt</w:t>
      </w:r>
      <w:r w:rsidRPr="005A7755">
        <w:rPr>
          <w:spacing w:val="-10"/>
        </w:rPr>
        <w:t xml:space="preserve"> </w:t>
      </w:r>
      <w:r w:rsidRPr="005A7755">
        <w:t>möglicherweise,</w:t>
      </w:r>
      <w:r w:rsidRPr="005A7755">
        <w:rPr>
          <w:spacing w:val="-10"/>
        </w:rPr>
        <w:t xml:space="preserve"> </w:t>
      </w:r>
      <w:r w:rsidRPr="005A7755">
        <w:t>warum</w:t>
      </w:r>
      <w:r w:rsidRPr="005A7755">
        <w:rPr>
          <w:spacing w:val="-8"/>
        </w:rPr>
        <w:t xml:space="preserve"> </w:t>
      </w:r>
      <w:r w:rsidRPr="005A7755">
        <w:t>gerade</w:t>
      </w:r>
      <w:r w:rsidRPr="005A7755">
        <w:rPr>
          <w:spacing w:val="-10"/>
        </w:rPr>
        <w:t xml:space="preserve"> </w:t>
      </w:r>
      <w:r w:rsidRPr="005A7755">
        <w:t>in</w:t>
      </w:r>
      <w:r w:rsidRPr="005A7755">
        <w:rPr>
          <w:spacing w:val="-9"/>
        </w:rPr>
        <w:t xml:space="preserve"> </w:t>
      </w:r>
      <w:r w:rsidRPr="005A7755">
        <w:t>den</w:t>
      </w:r>
      <w:r w:rsidRPr="005A7755">
        <w:rPr>
          <w:spacing w:val="-9"/>
        </w:rPr>
        <w:t xml:space="preserve"> </w:t>
      </w:r>
      <w:r w:rsidRPr="005A7755">
        <w:t>USA,</w:t>
      </w:r>
      <w:r w:rsidRPr="005A7755">
        <w:rPr>
          <w:spacing w:val="-10"/>
        </w:rPr>
        <w:t xml:space="preserve"> </w:t>
      </w:r>
      <w:r w:rsidRPr="005A7755">
        <w:t>dem</w:t>
      </w:r>
      <w:r w:rsidRPr="005A7755">
        <w:rPr>
          <w:spacing w:val="-10"/>
        </w:rPr>
        <w:t xml:space="preserve"> </w:t>
      </w:r>
      <w:r w:rsidRPr="005A7755">
        <w:t>Prototyp</w:t>
      </w:r>
      <w:r w:rsidRPr="005A7755">
        <w:rPr>
          <w:spacing w:val="-10"/>
        </w:rPr>
        <w:t xml:space="preserve"> </w:t>
      </w:r>
      <w:r w:rsidRPr="005A7755">
        <w:t xml:space="preserve">der individualistischen Gesellschaft, die christlich-fundamentalistische Gegenkultur regelmäßig Kulturkämpfe führt, um den kollektivistischen Werten in der amerikanischen Gesellschaft mehr Geltung zu verschaffen. Die lange Reihe der US-amerikanischen Kulturkämpfer reicht von R. Kirk, der 1954 schrieb, „es sei lächerlich anzunehmen, dass wirtschaftliches Eigeninteresse eine Gesellschaft zusammenhalten könne“, bis hin zu N. Gingrich. In den 1990er-Jahren war er als Sprecher des von den Republikanern beherrschten Repräsentantenhauses erbitterter Gegenspieler des damaligen Präsidenten B. Clinton. Der von Etzioni (1995; 1993) propagierte Kommunitarismus versuchte, dieses </w:t>
      </w:r>
      <w:r w:rsidR="00D22D27">
        <w:sym w:font="Symbol" w:char="F0DE"/>
      </w:r>
      <w:r w:rsidR="00D22D27">
        <w:t xml:space="preserve"> </w:t>
      </w:r>
      <w:r w:rsidRPr="005A7755">
        <w:t>Weltbild zu einer politischen Bewegung zu formen. Im Übrigen maßen auch die „preußischen Tugenden“ (Fleiß, Disziplin, Ordnungssinn, Pflichtbewusstsein, Unterordnung etc.) den</w:t>
      </w:r>
      <w:r w:rsidRPr="005A7755">
        <w:rPr>
          <w:spacing w:val="-2"/>
        </w:rPr>
        <w:t xml:space="preserve"> </w:t>
      </w:r>
      <w:r w:rsidRPr="005A7755">
        <w:t>Rechten</w:t>
      </w:r>
      <w:r w:rsidRPr="005A7755">
        <w:rPr>
          <w:spacing w:val="-2"/>
        </w:rPr>
        <w:t xml:space="preserve"> </w:t>
      </w:r>
      <w:r w:rsidRPr="005A7755">
        <w:t>des</w:t>
      </w:r>
      <w:r w:rsidRPr="005A7755">
        <w:rPr>
          <w:spacing w:val="-3"/>
        </w:rPr>
        <w:t xml:space="preserve"> </w:t>
      </w:r>
      <w:r w:rsidRPr="005A7755">
        <w:t>Einzelnen</w:t>
      </w:r>
      <w:r w:rsidRPr="005A7755">
        <w:rPr>
          <w:spacing w:val="-4"/>
        </w:rPr>
        <w:t xml:space="preserve"> </w:t>
      </w:r>
      <w:r w:rsidRPr="005A7755">
        <w:t>weniger</w:t>
      </w:r>
      <w:r w:rsidRPr="005A7755">
        <w:rPr>
          <w:spacing w:val="-1"/>
        </w:rPr>
        <w:t xml:space="preserve"> </w:t>
      </w:r>
      <w:r w:rsidRPr="005A7755">
        <w:t>Bedeutung</w:t>
      </w:r>
      <w:r w:rsidRPr="005A7755">
        <w:rPr>
          <w:spacing w:val="-2"/>
        </w:rPr>
        <w:t xml:space="preserve"> </w:t>
      </w:r>
      <w:r w:rsidRPr="005A7755">
        <w:t>bei</w:t>
      </w:r>
      <w:r w:rsidRPr="005A7755">
        <w:rPr>
          <w:spacing w:val="-3"/>
        </w:rPr>
        <w:t xml:space="preserve"> </w:t>
      </w:r>
      <w:r w:rsidRPr="005A7755">
        <w:t>als</w:t>
      </w:r>
      <w:r w:rsidRPr="005A7755">
        <w:rPr>
          <w:spacing w:val="-3"/>
        </w:rPr>
        <w:t xml:space="preserve"> </w:t>
      </w:r>
      <w:r w:rsidRPr="005A7755">
        <w:t>dessen Pflichten.</w:t>
      </w:r>
      <w:r w:rsidRPr="005A7755">
        <w:rPr>
          <w:spacing w:val="-2"/>
        </w:rPr>
        <w:t xml:space="preserve"> </w:t>
      </w:r>
      <w:r w:rsidRPr="005A7755">
        <w:t xml:space="preserve">Und am 15.7.1982 führte </w:t>
      </w:r>
      <w:hyperlink r:id="rId68">
        <w:r w:rsidRPr="005A7755">
          <w:t>O. Lafontaine,</w:t>
        </w:r>
      </w:hyperlink>
      <w:r w:rsidRPr="005A7755">
        <w:t xml:space="preserve"> anlässlich seines Streits mit </w:t>
      </w:r>
      <w:hyperlink r:id="rId69">
        <w:r w:rsidRPr="005A7755">
          <w:t>H. Schmidt</w:t>
        </w:r>
      </w:hyperlink>
      <w:r w:rsidRPr="005A7755">
        <w:t xml:space="preserve"> über </w:t>
      </w:r>
      <w:hyperlink r:id="rId70">
        <w:r w:rsidRPr="005A7755">
          <w:t>NATO-Doppelbeschluss</w:t>
        </w:r>
      </w:hyperlink>
      <w:r w:rsidRPr="005A7755">
        <w:rPr>
          <w:spacing w:val="-4"/>
        </w:rPr>
        <w:t xml:space="preserve"> </w:t>
      </w:r>
      <w:r w:rsidRPr="005A7755">
        <w:t>und</w:t>
      </w:r>
      <w:r w:rsidRPr="005A7755">
        <w:rPr>
          <w:spacing w:val="-5"/>
        </w:rPr>
        <w:t xml:space="preserve"> </w:t>
      </w:r>
      <w:r w:rsidRPr="005A7755">
        <w:t>Bündnistreue,</w:t>
      </w:r>
      <w:r w:rsidRPr="005A7755">
        <w:rPr>
          <w:spacing w:val="-6"/>
        </w:rPr>
        <w:t xml:space="preserve"> </w:t>
      </w:r>
      <w:r w:rsidRPr="005A7755">
        <w:t>in</w:t>
      </w:r>
      <w:r w:rsidRPr="005A7755">
        <w:rPr>
          <w:spacing w:val="-3"/>
        </w:rPr>
        <w:t xml:space="preserve"> </w:t>
      </w:r>
      <w:r w:rsidRPr="005A7755">
        <w:t>ei</w:t>
      </w:r>
      <w:r w:rsidRPr="005A7755">
        <w:lastRenderedPageBreak/>
        <w:t>nem</w:t>
      </w:r>
      <w:r w:rsidRPr="005A7755">
        <w:rPr>
          <w:spacing w:val="-5"/>
        </w:rPr>
        <w:t xml:space="preserve"> </w:t>
      </w:r>
      <w:r w:rsidRPr="005A7755">
        <w:t>Interview</w:t>
      </w:r>
      <w:r w:rsidRPr="005A7755">
        <w:rPr>
          <w:spacing w:val="-4"/>
        </w:rPr>
        <w:t xml:space="preserve"> </w:t>
      </w:r>
      <w:r w:rsidRPr="005A7755">
        <w:t>mit</w:t>
      </w:r>
      <w:r w:rsidRPr="005A7755">
        <w:rPr>
          <w:spacing w:val="-6"/>
        </w:rPr>
        <w:t xml:space="preserve"> </w:t>
      </w:r>
      <w:r w:rsidRPr="005A7755">
        <w:t>der</w:t>
      </w:r>
      <w:r w:rsidRPr="005A7755">
        <w:rPr>
          <w:spacing w:val="-4"/>
        </w:rPr>
        <w:t xml:space="preserve"> </w:t>
      </w:r>
      <w:r w:rsidRPr="005A7755">
        <w:t xml:space="preserve">Zeitschrift </w:t>
      </w:r>
      <w:hyperlink r:id="rId71">
        <w:r w:rsidRPr="005A7755">
          <w:t>Stern</w:t>
        </w:r>
      </w:hyperlink>
      <w:r w:rsidRPr="005A7755">
        <w:rPr>
          <w:spacing w:val="-9"/>
        </w:rPr>
        <w:t xml:space="preserve"> </w:t>
      </w:r>
      <w:r w:rsidRPr="005A7755">
        <w:t>den</w:t>
      </w:r>
      <w:r w:rsidRPr="005A7755">
        <w:rPr>
          <w:spacing w:val="-9"/>
        </w:rPr>
        <w:t xml:space="preserve"> </w:t>
      </w:r>
      <w:r w:rsidRPr="005A7755">
        <w:t>Begriff</w:t>
      </w:r>
      <w:r w:rsidRPr="005A7755">
        <w:rPr>
          <w:spacing w:val="-12"/>
        </w:rPr>
        <w:t xml:space="preserve"> </w:t>
      </w:r>
      <w:r w:rsidRPr="005A7755">
        <w:t>der</w:t>
      </w:r>
      <w:r w:rsidRPr="005A7755">
        <w:rPr>
          <w:spacing w:val="-9"/>
        </w:rPr>
        <w:t xml:space="preserve"> </w:t>
      </w:r>
      <w:r w:rsidRPr="005A7755">
        <w:t>Sekundärtugenden</w:t>
      </w:r>
      <w:r w:rsidRPr="005A7755">
        <w:rPr>
          <w:spacing w:val="-9"/>
        </w:rPr>
        <w:t xml:space="preserve"> </w:t>
      </w:r>
      <w:r w:rsidRPr="005A7755">
        <w:t>in</w:t>
      </w:r>
      <w:r w:rsidRPr="005A7755">
        <w:rPr>
          <w:spacing w:val="-11"/>
        </w:rPr>
        <w:t xml:space="preserve"> </w:t>
      </w:r>
      <w:r w:rsidRPr="005A7755">
        <w:t>den</w:t>
      </w:r>
      <w:r w:rsidRPr="005A7755">
        <w:rPr>
          <w:spacing w:val="-9"/>
        </w:rPr>
        <w:t xml:space="preserve"> </w:t>
      </w:r>
      <w:r w:rsidRPr="005A7755">
        <w:t>gesellschaftskritischen</w:t>
      </w:r>
      <w:r w:rsidRPr="005A7755">
        <w:rPr>
          <w:spacing w:val="-9"/>
        </w:rPr>
        <w:t xml:space="preserve"> </w:t>
      </w:r>
      <w:r w:rsidRPr="005A7755">
        <w:t>Diskurs</w:t>
      </w:r>
      <w:r w:rsidRPr="005A7755">
        <w:rPr>
          <w:spacing w:val="-11"/>
        </w:rPr>
        <w:t xml:space="preserve"> </w:t>
      </w:r>
      <w:r w:rsidRPr="005A7755">
        <w:t xml:space="preserve">der alten Bundesrepublik ein: „Helmut Schmidt spricht weiter von Pflichtgefühl, Berechenbarkeit, Machbarkeit, Standhaftigkeit. Das sind Sekundärtugenden. Damit kann man auch ein </w:t>
      </w:r>
      <w:hyperlink r:id="rId72">
        <w:r w:rsidRPr="005A7755">
          <w:t>KZ</w:t>
        </w:r>
      </w:hyperlink>
      <w:r w:rsidRPr="005A7755">
        <w:t xml:space="preserve"> betreiben.“</w:t>
      </w:r>
    </w:p>
    <w:p w14:paraId="5157D19A" w14:textId="77777777" w:rsidR="00FF7799" w:rsidRPr="005A7755" w:rsidRDefault="00FF7799" w:rsidP="00957B22">
      <w:pPr>
        <w:pStyle w:val="StandardText"/>
      </w:pPr>
      <w:r w:rsidRPr="005A7755">
        <w:t>Wie</w:t>
      </w:r>
      <w:r w:rsidRPr="005A7755">
        <w:rPr>
          <w:spacing w:val="-9"/>
        </w:rPr>
        <w:t xml:space="preserve"> </w:t>
      </w:r>
      <w:r w:rsidRPr="005A7755">
        <w:t>diese</w:t>
      </w:r>
      <w:r w:rsidRPr="005A7755">
        <w:rPr>
          <w:spacing w:val="-9"/>
        </w:rPr>
        <w:t xml:space="preserve"> </w:t>
      </w:r>
      <w:r w:rsidRPr="005A7755">
        <w:t>und</w:t>
      </w:r>
      <w:r w:rsidRPr="005A7755">
        <w:rPr>
          <w:spacing w:val="-6"/>
        </w:rPr>
        <w:t xml:space="preserve"> </w:t>
      </w:r>
      <w:r w:rsidRPr="005A7755">
        <w:t>weitere</w:t>
      </w:r>
      <w:r w:rsidRPr="005A7755">
        <w:rPr>
          <w:spacing w:val="-7"/>
        </w:rPr>
        <w:t xml:space="preserve"> </w:t>
      </w:r>
      <w:r w:rsidRPr="005A7755">
        <w:t>Beispiele</w:t>
      </w:r>
      <w:r w:rsidRPr="005A7755">
        <w:rPr>
          <w:spacing w:val="-7"/>
        </w:rPr>
        <w:t xml:space="preserve"> </w:t>
      </w:r>
      <w:r w:rsidRPr="005A7755">
        <w:t>–</w:t>
      </w:r>
      <w:r w:rsidRPr="005A7755">
        <w:rPr>
          <w:spacing w:val="-8"/>
        </w:rPr>
        <w:t xml:space="preserve"> </w:t>
      </w:r>
      <w:r w:rsidRPr="005A7755">
        <w:t>etwa</w:t>
      </w:r>
      <w:r w:rsidRPr="005A7755">
        <w:rPr>
          <w:spacing w:val="-6"/>
        </w:rPr>
        <w:t xml:space="preserve"> </w:t>
      </w:r>
      <w:r w:rsidRPr="005A7755">
        <w:t>der</w:t>
      </w:r>
      <w:r w:rsidRPr="005A7755">
        <w:rPr>
          <w:spacing w:val="-9"/>
        </w:rPr>
        <w:t xml:space="preserve"> </w:t>
      </w:r>
      <w:r w:rsidRPr="005A7755">
        <w:t>M.</w:t>
      </w:r>
      <w:r w:rsidRPr="005A7755">
        <w:rPr>
          <w:spacing w:val="-5"/>
        </w:rPr>
        <w:t xml:space="preserve"> </w:t>
      </w:r>
      <w:r w:rsidRPr="005A7755">
        <w:t>Gandhi</w:t>
      </w:r>
      <w:r w:rsidRPr="005A7755">
        <w:rPr>
          <w:spacing w:val="-5"/>
        </w:rPr>
        <w:t xml:space="preserve"> </w:t>
      </w:r>
      <w:r w:rsidRPr="005A7755">
        <w:t>zugeschriebene</w:t>
      </w:r>
      <w:r w:rsidRPr="005A7755">
        <w:rPr>
          <w:spacing w:val="-6"/>
        </w:rPr>
        <w:t xml:space="preserve"> </w:t>
      </w:r>
      <w:r w:rsidRPr="005A7755">
        <w:rPr>
          <w:spacing w:val="-2"/>
        </w:rPr>
        <w:t xml:space="preserve">Ausspruch: </w:t>
      </w:r>
      <w:r w:rsidRPr="005A7755">
        <w:t>„Die</w:t>
      </w:r>
      <w:r w:rsidRPr="005A7755">
        <w:rPr>
          <w:spacing w:val="-1"/>
        </w:rPr>
        <w:t xml:space="preserve"> </w:t>
      </w:r>
      <w:r w:rsidRPr="005A7755">
        <w:t>eigentliche</w:t>
      </w:r>
      <w:r w:rsidRPr="005A7755">
        <w:rPr>
          <w:spacing w:val="-4"/>
        </w:rPr>
        <w:t xml:space="preserve"> </w:t>
      </w:r>
      <w:r w:rsidRPr="005A7755">
        <w:t>Quelle</w:t>
      </w:r>
      <w:r w:rsidRPr="005A7755">
        <w:rPr>
          <w:spacing w:val="-4"/>
        </w:rPr>
        <w:t xml:space="preserve"> </w:t>
      </w:r>
      <w:r w:rsidRPr="005A7755">
        <w:t>allen</w:t>
      </w:r>
      <w:r w:rsidRPr="005A7755">
        <w:rPr>
          <w:spacing w:val="-2"/>
        </w:rPr>
        <w:t xml:space="preserve"> </w:t>
      </w:r>
      <w:r w:rsidRPr="005A7755">
        <w:t>Fortschritts</w:t>
      </w:r>
      <w:r w:rsidRPr="005A7755">
        <w:rPr>
          <w:spacing w:val="-1"/>
        </w:rPr>
        <w:t xml:space="preserve"> </w:t>
      </w:r>
      <w:r w:rsidRPr="005A7755">
        <w:t>ist</w:t>
      </w:r>
      <w:r w:rsidRPr="005A7755">
        <w:rPr>
          <w:spacing w:val="-3"/>
        </w:rPr>
        <w:t xml:space="preserve"> </w:t>
      </w:r>
      <w:r w:rsidRPr="005A7755">
        <w:t>Individualismus” –</w:t>
      </w:r>
      <w:r w:rsidRPr="005A7755">
        <w:rPr>
          <w:spacing w:val="-2"/>
        </w:rPr>
        <w:t xml:space="preserve"> </w:t>
      </w:r>
      <w:r w:rsidRPr="005A7755">
        <w:t>zeigen,</w:t>
      </w:r>
      <w:r w:rsidRPr="005A7755">
        <w:rPr>
          <w:spacing w:val="-2"/>
        </w:rPr>
        <w:t xml:space="preserve"> </w:t>
      </w:r>
      <w:r w:rsidRPr="005A7755">
        <w:t>wirken</w:t>
      </w:r>
      <w:r w:rsidRPr="005A7755">
        <w:rPr>
          <w:spacing w:val="-2"/>
        </w:rPr>
        <w:t xml:space="preserve"> </w:t>
      </w:r>
      <w:r w:rsidRPr="005A7755">
        <w:t>in allen Kulturen kollektivistische und individualistische Werte, wenn auch in unterschiedlicher Intensität und Färbung. Dass die Dichotomie „Individualismus- Kollektivismus“ nicht real, sondern eine gedankliche, idealtypisch übertreibende Unterscheidung ist, wurde in der publizistischen Kontroverse über Menschenrechte einerseits (vgl. Gräfin Dönhoff 1999) und „asiatische Werte“ andererseits (vgl. Fukuyama 1998) zu wenig berücksichtigt. Deshalb wurde H. Schmidt erneut heftig kritisiert, als er Ende der 1990er-Jahre, im Zuge der weltweiten</w:t>
      </w:r>
      <w:r w:rsidRPr="005A7755">
        <w:rPr>
          <w:spacing w:val="-12"/>
        </w:rPr>
        <w:t xml:space="preserve"> </w:t>
      </w:r>
      <w:r w:rsidRPr="005A7755">
        <w:t>Diskussion</w:t>
      </w:r>
      <w:r w:rsidRPr="005A7755">
        <w:rPr>
          <w:spacing w:val="-11"/>
        </w:rPr>
        <w:t xml:space="preserve"> </w:t>
      </w:r>
      <w:r w:rsidRPr="005A7755">
        <w:t>über</w:t>
      </w:r>
      <w:r w:rsidRPr="005A7755">
        <w:rPr>
          <w:spacing w:val="-11"/>
        </w:rPr>
        <w:t xml:space="preserve"> </w:t>
      </w:r>
      <w:r w:rsidRPr="005A7755">
        <w:t>die</w:t>
      </w:r>
      <w:r w:rsidRPr="005A7755">
        <w:rPr>
          <w:spacing w:val="-11"/>
        </w:rPr>
        <w:t xml:space="preserve"> </w:t>
      </w:r>
      <w:r w:rsidRPr="005A7755">
        <w:t>vermeintliche</w:t>
      </w:r>
      <w:r w:rsidRPr="005A7755">
        <w:rPr>
          <w:spacing w:val="-11"/>
        </w:rPr>
        <w:t xml:space="preserve"> </w:t>
      </w:r>
      <w:r w:rsidRPr="005A7755">
        <w:t>Überlegenheit</w:t>
      </w:r>
      <w:r w:rsidRPr="005A7755">
        <w:rPr>
          <w:spacing w:val="-12"/>
        </w:rPr>
        <w:t xml:space="preserve"> </w:t>
      </w:r>
      <w:r w:rsidRPr="005A7755">
        <w:t>der</w:t>
      </w:r>
      <w:r w:rsidRPr="005A7755">
        <w:rPr>
          <w:spacing w:val="-10"/>
        </w:rPr>
        <w:t xml:space="preserve"> </w:t>
      </w:r>
      <w:r w:rsidRPr="005A7755">
        <w:t>asiatischen</w:t>
      </w:r>
      <w:r w:rsidRPr="005A7755">
        <w:rPr>
          <w:spacing w:val="-9"/>
        </w:rPr>
        <w:t xml:space="preserve"> </w:t>
      </w:r>
      <w:r w:rsidRPr="005A7755">
        <w:t>Werte (vgl. Müller/Gelbrich 2014, S.266ff.), in seiner damaligen Funktion als Bundeskanzler forderte, auch in Deutschland dürfe man nicht nur die Menschenrechte, sondern müsse auch die Menschenpflichten einklagen.</w:t>
      </w:r>
    </w:p>
    <w:p w14:paraId="3110D398" w14:textId="77777777" w:rsidR="00FF7799" w:rsidRPr="005A7755" w:rsidRDefault="00FF7799" w:rsidP="00862DBA">
      <w:pPr>
        <w:spacing w:before="4"/>
        <w:rPr>
          <w:sz w:val="24"/>
          <w:szCs w:val="24"/>
        </w:rPr>
      </w:pPr>
    </w:p>
    <w:p w14:paraId="6D922F1B" w14:textId="77777777" w:rsidR="00FF7799" w:rsidRPr="005A7755" w:rsidRDefault="00FF7799" w:rsidP="00957B22">
      <w:pPr>
        <w:pStyle w:val="StandardText"/>
        <w:rPr>
          <w:sz w:val="22"/>
          <w:szCs w:val="22"/>
        </w:rPr>
      </w:pPr>
      <w:r w:rsidRPr="005A7755">
        <w:rPr>
          <w:b/>
          <w:i/>
          <w:sz w:val="22"/>
          <w:szCs w:val="22"/>
        </w:rPr>
        <w:t>Literatur:</w:t>
      </w:r>
      <w:r w:rsidRPr="005A7755">
        <w:rPr>
          <w:b/>
          <w:sz w:val="22"/>
          <w:szCs w:val="22"/>
        </w:rPr>
        <w:t xml:space="preserve"> </w:t>
      </w:r>
      <w:r w:rsidRPr="005A7755">
        <w:rPr>
          <w:sz w:val="22"/>
          <w:szCs w:val="22"/>
        </w:rPr>
        <w:t>Bosse, F. (1997): Wirtschaftliche Strukturen, in: Bundeszentrale für politische</w:t>
      </w:r>
      <w:r w:rsidRPr="005A7755">
        <w:rPr>
          <w:spacing w:val="40"/>
          <w:sz w:val="22"/>
          <w:szCs w:val="22"/>
        </w:rPr>
        <w:t xml:space="preserve"> </w:t>
      </w:r>
      <w:r w:rsidRPr="005A7755">
        <w:rPr>
          <w:sz w:val="22"/>
          <w:szCs w:val="22"/>
        </w:rPr>
        <w:t>Bildung (Hrsg.), Japan, 32-40, Informationen zur politischen Bildung Nr.255.</w:t>
      </w:r>
      <w:r w:rsidRPr="005A7755">
        <w:rPr>
          <w:spacing w:val="40"/>
          <w:sz w:val="22"/>
          <w:szCs w:val="22"/>
        </w:rPr>
        <w:t xml:space="preserve"> </w:t>
      </w:r>
      <w:r w:rsidRPr="005A7755">
        <w:rPr>
          <w:sz w:val="22"/>
          <w:szCs w:val="22"/>
          <w:lang w:val="en-US"/>
        </w:rPr>
        <w:t>Etzioni, A.</w:t>
      </w:r>
      <w:r w:rsidRPr="005A7755">
        <w:rPr>
          <w:spacing w:val="40"/>
          <w:sz w:val="22"/>
          <w:szCs w:val="22"/>
          <w:lang w:val="en-US"/>
        </w:rPr>
        <w:t xml:space="preserve"> </w:t>
      </w:r>
      <w:r w:rsidRPr="005A7755">
        <w:rPr>
          <w:sz w:val="22"/>
          <w:szCs w:val="22"/>
          <w:lang w:val="en-US"/>
        </w:rPr>
        <w:t>(1993):</w:t>
      </w:r>
      <w:r w:rsidRPr="005A7755">
        <w:rPr>
          <w:spacing w:val="-3"/>
          <w:sz w:val="22"/>
          <w:szCs w:val="22"/>
          <w:lang w:val="en-US"/>
        </w:rPr>
        <w:t xml:space="preserve"> </w:t>
      </w:r>
      <w:r w:rsidRPr="005A7755">
        <w:rPr>
          <w:sz w:val="22"/>
          <w:szCs w:val="22"/>
          <w:lang w:val="en-US"/>
        </w:rPr>
        <w:t>The</w:t>
      </w:r>
      <w:r w:rsidRPr="005A7755">
        <w:rPr>
          <w:spacing w:val="-1"/>
          <w:sz w:val="22"/>
          <w:szCs w:val="22"/>
          <w:lang w:val="en-US"/>
        </w:rPr>
        <w:t xml:space="preserve"> </w:t>
      </w:r>
      <w:r w:rsidRPr="005A7755">
        <w:rPr>
          <w:sz w:val="22"/>
          <w:szCs w:val="22"/>
          <w:lang w:val="en-US"/>
        </w:rPr>
        <w:t>Spirit</w:t>
      </w:r>
      <w:r w:rsidRPr="005A7755">
        <w:rPr>
          <w:spacing w:val="-3"/>
          <w:sz w:val="22"/>
          <w:szCs w:val="22"/>
          <w:lang w:val="en-US"/>
        </w:rPr>
        <w:t xml:space="preserve"> </w:t>
      </w:r>
      <w:r w:rsidRPr="005A7755">
        <w:rPr>
          <w:sz w:val="22"/>
          <w:szCs w:val="22"/>
          <w:lang w:val="en-US"/>
        </w:rPr>
        <w:t>of</w:t>
      </w:r>
      <w:r w:rsidRPr="005A7755">
        <w:rPr>
          <w:spacing w:val="-5"/>
          <w:sz w:val="22"/>
          <w:szCs w:val="22"/>
          <w:lang w:val="en-US"/>
        </w:rPr>
        <w:t xml:space="preserve"> </w:t>
      </w:r>
      <w:r w:rsidRPr="005A7755">
        <w:rPr>
          <w:sz w:val="22"/>
          <w:szCs w:val="22"/>
          <w:lang w:val="en-US"/>
        </w:rPr>
        <w:t>Community.</w:t>
      </w:r>
      <w:r w:rsidRPr="005A7755">
        <w:rPr>
          <w:spacing w:val="-4"/>
          <w:sz w:val="22"/>
          <w:szCs w:val="22"/>
          <w:lang w:val="en-US"/>
        </w:rPr>
        <w:t xml:space="preserve"> </w:t>
      </w:r>
      <w:r w:rsidRPr="005A7755">
        <w:rPr>
          <w:sz w:val="22"/>
          <w:szCs w:val="22"/>
          <w:lang w:val="en-US"/>
        </w:rPr>
        <w:t>Rights,</w:t>
      </w:r>
      <w:r w:rsidRPr="005A7755">
        <w:rPr>
          <w:spacing w:val="-4"/>
          <w:sz w:val="22"/>
          <w:szCs w:val="22"/>
          <w:lang w:val="en-US"/>
        </w:rPr>
        <w:t xml:space="preserve"> </w:t>
      </w:r>
      <w:r w:rsidRPr="005A7755">
        <w:rPr>
          <w:sz w:val="22"/>
          <w:szCs w:val="22"/>
          <w:lang w:val="en-US"/>
        </w:rPr>
        <w:t>Responsibilities,</w:t>
      </w:r>
      <w:r w:rsidRPr="005A7755">
        <w:rPr>
          <w:spacing w:val="-4"/>
          <w:sz w:val="22"/>
          <w:szCs w:val="22"/>
          <w:lang w:val="en-US"/>
        </w:rPr>
        <w:t xml:space="preserve"> </w:t>
      </w:r>
      <w:r w:rsidRPr="005A7755">
        <w:rPr>
          <w:sz w:val="22"/>
          <w:szCs w:val="22"/>
          <w:lang w:val="en-US"/>
        </w:rPr>
        <w:t>and</w:t>
      </w:r>
      <w:r w:rsidRPr="005A7755">
        <w:rPr>
          <w:spacing w:val="-3"/>
          <w:sz w:val="22"/>
          <w:szCs w:val="22"/>
          <w:lang w:val="en-US"/>
        </w:rPr>
        <w:t xml:space="preserve"> </w:t>
      </w:r>
      <w:r w:rsidRPr="005A7755">
        <w:rPr>
          <w:sz w:val="22"/>
          <w:szCs w:val="22"/>
          <w:lang w:val="en-US"/>
        </w:rPr>
        <w:t>the</w:t>
      </w:r>
      <w:r w:rsidRPr="005A7755">
        <w:rPr>
          <w:spacing w:val="-4"/>
          <w:sz w:val="22"/>
          <w:szCs w:val="22"/>
          <w:lang w:val="en-US"/>
        </w:rPr>
        <w:t xml:space="preserve"> </w:t>
      </w:r>
      <w:r w:rsidRPr="005A7755">
        <w:rPr>
          <w:sz w:val="22"/>
          <w:szCs w:val="22"/>
          <w:lang w:val="en-US"/>
        </w:rPr>
        <w:t>Communitarian</w:t>
      </w:r>
      <w:r w:rsidRPr="005A7755">
        <w:rPr>
          <w:spacing w:val="-3"/>
          <w:sz w:val="22"/>
          <w:szCs w:val="22"/>
          <w:lang w:val="en-US"/>
        </w:rPr>
        <w:t xml:space="preserve"> </w:t>
      </w:r>
      <w:r w:rsidRPr="005A7755">
        <w:rPr>
          <w:sz w:val="22"/>
          <w:szCs w:val="22"/>
          <w:lang w:val="en-US"/>
        </w:rPr>
        <w:t>Agenda,</w:t>
      </w:r>
      <w:r w:rsidRPr="005A7755">
        <w:rPr>
          <w:spacing w:val="40"/>
          <w:sz w:val="22"/>
          <w:szCs w:val="22"/>
          <w:lang w:val="en-US"/>
        </w:rPr>
        <w:t xml:space="preserve"> </w:t>
      </w:r>
      <w:r w:rsidRPr="005A7755">
        <w:rPr>
          <w:sz w:val="22"/>
          <w:szCs w:val="22"/>
          <w:lang w:val="en-US"/>
        </w:rPr>
        <w:t>New York: Crown.</w:t>
      </w:r>
      <w:r w:rsidRPr="005A7755">
        <w:rPr>
          <w:spacing w:val="40"/>
          <w:sz w:val="22"/>
          <w:szCs w:val="22"/>
          <w:lang w:val="en-US"/>
        </w:rPr>
        <w:t xml:space="preserve"> </w:t>
      </w:r>
      <w:r w:rsidRPr="006A285F">
        <w:rPr>
          <w:sz w:val="22"/>
          <w:szCs w:val="22"/>
          <w:lang w:val="en-US"/>
        </w:rPr>
        <w:t>Etzioni, A. (1995): Die Entdeckung des Gemeinwesens, Stuttgart:</w:t>
      </w:r>
      <w:r w:rsidRPr="006A285F">
        <w:rPr>
          <w:spacing w:val="40"/>
          <w:sz w:val="22"/>
          <w:szCs w:val="22"/>
          <w:lang w:val="en-US"/>
        </w:rPr>
        <w:t xml:space="preserve"> </w:t>
      </w:r>
      <w:r w:rsidRPr="006A285F">
        <w:rPr>
          <w:sz w:val="22"/>
          <w:szCs w:val="22"/>
          <w:lang w:val="en-US"/>
        </w:rPr>
        <w:t>Schäffer-Poeschel.</w:t>
      </w:r>
      <w:r w:rsidRPr="006A285F">
        <w:rPr>
          <w:spacing w:val="40"/>
          <w:sz w:val="22"/>
          <w:szCs w:val="22"/>
          <w:lang w:val="en-US"/>
        </w:rPr>
        <w:t xml:space="preserve"> </w:t>
      </w:r>
      <w:r w:rsidRPr="006A285F">
        <w:rPr>
          <w:sz w:val="22"/>
          <w:szCs w:val="22"/>
          <w:lang w:val="en-US"/>
        </w:rPr>
        <w:t xml:space="preserve">Gräfin Dönhoff, M. (Hrsg.) </w:t>
      </w:r>
      <w:r w:rsidRPr="005A7755">
        <w:rPr>
          <w:sz w:val="22"/>
          <w:szCs w:val="22"/>
        </w:rPr>
        <w:t>(1999): Menschenrechte und Bürgersinn,</w:t>
      </w:r>
      <w:r w:rsidRPr="005A7755">
        <w:rPr>
          <w:spacing w:val="40"/>
          <w:sz w:val="22"/>
          <w:szCs w:val="22"/>
        </w:rPr>
        <w:t xml:space="preserve"> </w:t>
      </w:r>
      <w:r w:rsidRPr="005A7755">
        <w:rPr>
          <w:sz w:val="22"/>
          <w:szCs w:val="22"/>
        </w:rPr>
        <w:t>DVA: Stuttgart.</w:t>
      </w:r>
      <w:r w:rsidRPr="005A7755">
        <w:rPr>
          <w:spacing w:val="40"/>
          <w:sz w:val="22"/>
          <w:szCs w:val="22"/>
        </w:rPr>
        <w:t xml:space="preserve"> </w:t>
      </w:r>
      <w:r w:rsidRPr="001A51DB">
        <w:rPr>
          <w:sz w:val="22"/>
          <w:szCs w:val="22"/>
          <w:lang w:val="en-US"/>
        </w:rPr>
        <w:t xml:space="preserve">Hofstede, G. (1991): Cultures and Organizations. </w:t>
      </w:r>
      <w:r w:rsidRPr="005A7755">
        <w:rPr>
          <w:sz w:val="22"/>
          <w:szCs w:val="22"/>
          <w:lang w:val="en-US"/>
        </w:rPr>
        <w:t>Software of the Mind,</w:t>
      </w:r>
      <w:r w:rsidRPr="005A7755">
        <w:rPr>
          <w:spacing w:val="40"/>
          <w:sz w:val="22"/>
          <w:szCs w:val="22"/>
          <w:lang w:val="en-US"/>
        </w:rPr>
        <w:t xml:space="preserve"> </w:t>
      </w:r>
      <w:r w:rsidRPr="005A7755">
        <w:rPr>
          <w:sz w:val="22"/>
          <w:szCs w:val="22"/>
          <w:lang w:val="en-US"/>
        </w:rPr>
        <w:t>New</w:t>
      </w:r>
      <w:r w:rsidRPr="005A7755">
        <w:rPr>
          <w:spacing w:val="-10"/>
          <w:sz w:val="22"/>
          <w:szCs w:val="22"/>
          <w:lang w:val="en-US"/>
        </w:rPr>
        <w:t xml:space="preserve"> </w:t>
      </w:r>
      <w:r w:rsidRPr="005A7755">
        <w:rPr>
          <w:sz w:val="22"/>
          <w:szCs w:val="22"/>
          <w:lang w:val="en-US"/>
        </w:rPr>
        <w:t>York:</w:t>
      </w:r>
      <w:r w:rsidRPr="005A7755">
        <w:rPr>
          <w:spacing w:val="-9"/>
          <w:sz w:val="22"/>
          <w:szCs w:val="22"/>
          <w:lang w:val="en-US"/>
        </w:rPr>
        <w:t xml:space="preserve"> </w:t>
      </w:r>
      <w:r w:rsidRPr="005A7755">
        <w:rPr>
          <w:sz w:val="22"/>
          <w:szCs w:val="22"/>
          <w:lang w:val="en-US"/>
        </w:rPr>
        <w:t>McGraw-Hill.</w:t>
      </w:r>
      <w:r w:rsidRPr="005A7755">
        <w:rPr>
          <w:spacing w:val="40"/>
          <w:sz w:val="22"/>
          <w:szCs w:val="22"/>
          <w:lang w:val="en-US"/>
        </w:rPr>
        <w:t xml:space="preserve"> </w:t>
      </w:r>
      <w:r w:rsidRPr="005A7755">
        <w:rPr>
          <w:sz w:val="22"/>
          <w:szCs w:val="22"/>
          <w:lang w:val="en-US"/>
        </w:rPr>
        <w:t>Kagitçibasi,</w:t>
      </w:r>
      <w:r w:rsidRPr="005A7755">
        <w:rPr>
          <w:spacing w:val="-9"/>
          <w:sz w:val="22"/>
          <w:szCs w:val="22"/>
          <w:lang w:val="en-US"/>
        </w:rPr>
        <w:t xml:space="preserve"> </w:t>
      </w:r>
      <w:r w:rsidRPr="005A7755">
        <w:rPr>
          <w:sz w:val="22"/>
          <w:szCs w:val="22"/>
          <w:lang w:val="en-US"/>
        </w:rPr>
        <w:t>C.</w:t>
      </w:r>
      <w:r w:rsidRPr="005A7755">
        <w:rPr>
          <w:spacing w:val="-9"/>
          <w:sz w:val="22"/>
          <w:szCs w:val="22"/>
          <w:lang w:val="en-US"/>
        </w:rPr>
        <w:t xml:space="preserve"> </w:t>
      </w:r>
      <w:r w:rsidRPr="005A7755">
        <w:rPr>
          <w:sz w:val="22"/>
          <w:szCs w:val="22"/>
          <w:lang w:val="en-US"/>
        </w:rPr>
        <w:t>(1997):</w:t>
      </w:r>
      <w:r w:rsidRPr="005A7755">
        <w:rPr>
          <w:spacing w:val="-9"/>
          <w:sz w:val="22"/>
          <w:szCs w:val="22"/>
          <w:lang w:val="en-US"/>
        </w:rPr>
        <w:t xml:space="preserve"> </w:t>
      </w:r>
      <w:r w:rsidRPr="005A7755">
        <w:rPr>
          <w:sz w:val="22"/>
          <w:szCs w:val="22"/>
          <w:lang w:val="en-US"/>
        </w:rPr>
        <w:t>Individualism</w:t>
      </w:r>
      <w:r w:rsidRPr="005A7755">
        <w:rPr>
          <w:spacing w:val="-9"/>
          <w:sz w:val="22"/>
          <w:szCs w:val="22"/>
          <w:lang w:val="en-US"/>
        </w:rPr>
        <w:t xml:space="preserve"> </w:t>
      </w:r>
      <w:r w:rsidRPr="005A7755">
        <w:rPr>
          <w:sz w:val="22"/>
          <w:szCs w:val="22"/>
          <w:lang w:val="en-US"/>
        </w:rPr>
        <w:t>and</w:t>
      </w:r>
      <w:r w:rsidRPr="005A7755">
        <w:rPr>
          <w:spacing w:val="-9"/>
          <w:sz w:val="22"/>
          <w:szCs w:val="22"/>
          <w:lang w:val="en-US"/>
        </w:rPr>
        <w:t xml:space="preserve"> </w:t>
      </w:r>
      <w:r w:rsidRPr="005A7755">
        <w:rPr>
          <w:sz w:val="22"/>
          <w:szCs w:val="22"/>
          <w:lang w:val="en-US"/>
        </w:rPr>
        <w:t>Collectivism,</w:t>
      </w:r>
      <w:r w:rsidRPr="005A7755">
        <w:rPr>
          <w:spacing w:val="-10"/>
          <w:sz w:val="22"/>
          <w:szCs w:val="22"/>
          <w:lang w:val="en-US"/>
        </w:rPr>
        <w:t xml:space="preserve"> </w:t>
      </w:r>
      <w:r w:rsidRPr="005A7755">
        <w:rPr>
          <w:sz w:val="22"/>
          <w:szCs w:val="22"/>
          <w:lang w:val="en-US"/>
        </w:rPr>
        <w:t>in:</w:t>
      </w:r>
      <w:r w:rsidRPr="005A7755">
        <w:rPr>
          <w:spacing w:val="-9"/>
          <w:sz w:val="22"/>
          <w:szCs w:val="22"/>
          <w:lang w:val="en-US"/>
        </w:rPr>
        <w:t xml:space="preserve"> </w:t>
      </w:r>
      <w:r w:rsidRPr="005A7755">
        <w:rPr>
          <w:sz w:val="22"/>
          <w:szCs w:val="22"/>
          <w:lang w:val="en-US"/>
        </w:rPr>
        <w:t>Berry</w:t>
      </w:r>
      <w:r w:rsidRPr="005A7755">
        <w:rPr>
          <w:spacing w:val="40"/>
          <w:sz w:val="22"/>
          <w:szCs w:val="22"/>
          <w:lang w:val="en-US"/>
        </w:rPr>
        <w:t xml:space="preserve"> </w:t>
      </w:r>
      <w:r w:rsidRPr="005A7755">
        <w:rPr>
          <w:sz w:val="22"/>
          <w:szCs w:val="22"/>
          <w:lang w:val="en-US"/>
        </w:rPr>
        <w:t>J.W.; Segal, M.H.; Kagitçibasi, C. (Eds.), Handbook of Cross-Cultural Psychology. Social</w:t>
      </w:r>
      <w:r w:rsidRPr="005A7755">
        <w:rPr>
          <w:spacing w:val="40"/>
          <w:sz w:val="22"/>
          <w:szCs w:val="22"/>
          <w:lang w:val="en-US"/>
        </w:rPr>
        <w:t xml:space="preserve"> </w:t>
      </w:r>
      <w:r w:rsidRPr="005A7755">
        <w:rPr>
          <w:sz w:val="22"/>
          <w:szCs w:val="22"/>
          <w:lang w:val="en-US"/>
        </w:rPr>
        <w:t>Behavior</w:t>
      </w:r>
      <w:r w:rsidRPr="005A7755">
        <w:rPr>
          <w:spacing w:val="-7"/>
          <w:sz w:val="22"/>
          <w:szCs w:val="22"/>
          <w:lang w:val="en-US"/>
        </w:rPr>
        <w:t xml:space="preserve"> </w:t>
      </w:r>
      <w:r w:rsidRPr="005A7755">
        <w:rPr>
          <w:sz w:val="22"/>
          <w:szCs w:val="22"/>
          <w:lang w:val="en-US"/>
        </w:rPr>
        <w:t>and</w:t>
      </w:r>
      <w:r w:rsidRPr="005A7755">
        <w:rPr>
          <w:spacing w:val="-6"/>
          <w:sz w:val="22"/>
          <w:szCs w:val="22"/>
          <w:lang w:val="en-US"/>
        </w:rPr>
        <w:t xml:space="preserve"> </w:t>
      </w:r>
      <w:r w:rsidRPr="005A7755">
        <w:rPr>
          <w:sz w:val="22"/>
          <w:szCs w:val="22"/>
          <w:lang w:val="en-US"/>
        </w:rPr>
        <w:t>Applications,</w:t>
      </w:r>
      <w:r w:rsidRPr="005A7755">
        <w:rPr>
          <w:spacing w:val="-8"/>
          <w:sz w:val="22"/>
          <w:szCs w:val="22"/>
          <w:lang w:val="en-US"/>
        </w:rPr>
        <w:t xml:space="preserve"> </w:t>
      </w:r>
      <w:r w:rsidRPr="005A7755">
        <w:rPr>
          <w:sz w:val="22"/>
          <w:szCs w:val="22"/>
          <w:lang w:val="en-US"/>
        </w:rPr>
        <w:t>Vol.3,</w:t>
      </w:r>
      <w:r w:rsidRPr="005A7755">
        <w:rPr>
          <w:spacing w:val="-8"/>
          <w:sz w:val="22"/>
          <w:szCs w:val="22"/>
          <w:lang w:val="en-US"/>
        </w:rPr>
        <w:t xml:space="preserve"> </w:t>
      </w:r>
      <w:r w:rsidRPr="005A7755">
        <w:rPr>
          <w:sz w:val="22"/>
          <w:szCs w:val="22"/>
          <w:lang w:val="en-US"/>
        </w:rPr>
        <w:t>2nd</w:t>
      </w:r>
      <w:r w:rsidRPr="005A7755">
        <w:rPr>
          <w:spacing w:val="-6"/>
          <w:sz w:val="22"/>
          <w:szCs w:val="22"/>
          <w:lang w:val="en-US"/>
        </w:rPr>
        <w:t xml:space="preserve"> </w:t>
      </w:r>
      <w:r w:rsidRPr="005A7755">
        <w:rPr>
          <w:sz w:val="22"/>
          <w:szCs w:val="22"/>
          <w:lang w:val="en-US"/>
        </w:rPr>
        <w:t>Ed.,</w:t>
      </w:r>
      <w:r w:rsidRPr="005A7755">
        <w:rPr>
          <w:spacing w:val="-8"/>
          <w:sz w:val="22"/>
          <w:szCs w:val="22"/>
          <w:lang w:val="en-US"/>
        </w:rPr>
        <w:t xml:space="preserve"> </w:t>
      </w:r>
      <w:r w:rsidRPr="005A7755">
        <w:rPr>
          <w:sz w:val="22"/>
          <w:szCs w:val="22"/>
          <w:lang w:val="en-US"/>
        </w:rPr>
        <w:t>1-49,</w:t>
      </w:r>
      <w:r w:rsidRPr="005A7755">
        <w:rPr>
          <w:spacing w:val="-6"/>
          <w:sz w:val="22"/>
          <w:szCs w:val="22"/>
          <w:lang w:val="en-US"/>
        </w:rPr>
        <w:t xml:space="preserve"> </w:t>
      </w:r>
      <w:r w:rsidRPr="005A7755">
        <w:rPr>
          <w:sz w:val="22"/>
          <w:szCs w:val="22"/>
          <w:lang w:val="en-US"/>
        </w:rPr>
        <w:t>Boston/MA:</w:t>
      </w:r>
      <w:r w:rsidRPr="005A7755">
        <w:rPr>
          <w:spacing w:val="-6"/>
          <w:sz w:val="22"/>
          <w:szCs w:val="22"/>
          <w:lang w:val="en-US"/>
        </w:rPr>
        <w:t xml:space="preserve"> </w:t>
      </w:r>
      <w:r w:rsidRPr="005A7755">
        <w:rPr>
          <w:sz w:val="22"/>
          <w:szCs w:val="22"/>
          <w:lang w:val="en-US"/>
        </w:rPr>
        <w:t>Allyn</w:t>
      </w:r>
      <w:r w:rsidRPr="005A7755">
        <w:rPr>
          <w:spacing w:val="-6"/>
          <w:sz w:val="22"/>
          <w:szCs w:val="22"/>
          <w:lang w:val="en-US"/>
        </w:rPr>
        <w:t xml:space="preserve"> </w:t>
      </w:r>
      <w:r w:rsidRPr="005A7755">
        <w:rPr>
          <w:sz w:val="22"/>
          <w:szCs w:val="22"/>
          <w:lang w:val="en-US"/>
        </w:rPr>
        <w:t>&amp;</w:t>
      </w:r>
      <w:r w:rsidRPr="005A7755">
        <w:rPr>
          <w:spacing w:val="-9"/>
          <w:sz w:val="22"/>
          <w:szCs w:val="22"/>
          <w:lang w:val="en-US"/>
        </w:rPr>
        <w:t xml:space="preserve"> </w:t>
      </w:r>
      <w:r w:rsidRPr="005A7755">
        <w:rPr>
          <w:sz w:val="22"/>
          <w:szCs w:val="22"/>
          <w:lang w:val="en-US"/>
        </w:rPr>
        <w:t>Bacon.</w:t>
      </w:r>
      <w:r w:rsidRPr="005A7755">
        <w:rPr>
          <w:spacing w:val="29"/>
          <w:sz w:val="22"/>
          <w:szCs w:val="22"/>
          <w:lang w:val="en-US"/>
        </w:rPr>
        <w:t xml:space="preserve"> </w:t>
      </w:r>
      <w:r w:rsidRPr="005A7755">
        <w:rPr>
          <w:sz w:val="22"/>
          <w:szCs w:val="22"/>
          <w:lang w:val="en-US"/>
        </w:rPr>
        <w:t>Ohbuchi,</w:t>
      </w:r>
      <w:r w:rsidRPr="005A7755">
        <w:rPr>
          <w:spacing w:val="-6"/>
          <w:sz w:val="22"/>
          <w:szCs w:val="22"/>
          <w:lang w:val="en-US"/>
        </w:rPr>
        <w:t xml:space="preserve"> </w:t>
      </w:r>
      <w:r w:rsidRPr="005A7755">
        <w:rPr>
          <w:sz w:val="22"/>
          <w:szCs w:val="22"/>
          <w:lang w:val="en-US"/>
        </w:rPr>
        <w:t>K.-</w:t>
      </w:r>
      <w:r w:rsidRPr="005A7755">
        <w:rPr>
          <w:spacing w:val="40"/>
          <w:sz w:val="22"/>
          <w:szCs w:val="22"/>
          <w:lang w:val="en-US"/>
        </w:rPr>
        <w:t xml:space="preserve"> </w:t>
      </w:r>
      <w:r w:rsidRPr="005A7755">
        <w:rPr>
          <w:sz w:val="22"/>
          <w:szCs w:val="22"/>
          <w:lang w:val="en-US"/>
        </w:rPr>
        <w:t>I.; Fukushima, O.; Tedeschi, J.T. (1999): Cultural Values in Conflict Management. Goal</w:t>
      </w:r>
      <w:r w:rsidRPr="005A7755">
        <w:rPr>
          <w:spacing w:val="40"/>
          <w:sz w:val="22"/>
          <w:szCs w:val="22"/>
          <w:lang w:val="en-US"/>
        </w:rPr>
        <w:t xml:space="preserve"> </w:t>
      </w:r>
      <w:r w:rsidRPr="005A7755">
        <w:rPr>
          <w:sz w:val="22"/>
          <w:szCs w:val="22"/>
          <w:lang w:val="en-US"/>
        </w:rPr>
        <w:t>Orientation,</w:t>
      </w:r>
      <w:r w:rsidRPr="005A7755">
        <w:rPr>
          <w:spacing w:val="-2"/>
          <w:sz w:val="22"/>
          <w:szCs w:val="22"/>
          <w:lang w:val="en-US"/>
        </w:rPr>
        <w:t xml:space="preserve"> </w:t>
      </w:r>
      <w:r w:rsidRPr="005A7755">
        <w:rPr>
          <w:sz w:val="22"/>
          <w:szCs w:val="22"/>
          <w:lang w:val="en-US"/>
        </w:rPr>
        <w:t>Goal</w:t>
      </w:r>
      <w:r w:rsidRPr="005A7755">
        <w:rPr>
          <w:spacing w:val="-2"/>
          <w:sz w:val="22"/>
          <w:szCs w:val="22"/>
          <w:lang w:val="en-US"/>
        </w:rPr>
        <w:t xml:space="preserve"> </w:t>
      </w:r>
      <w:r w:rsidRPr="005A7755">
        <w:rPr>
          <w:sz w:val="22"/>
          <w:szCs w:val="22"/>
          <w:lang w:val="en-US"/>
        </w:rPr>
        <w:t>Attainment,</w:t>
      </w:r>
      <w:r w:rsidRPr="005A7755">
        <w:rPr>
          <w:spacing w:val="-5"/>
          <w:sz w:val="22"/>
          <w:szCs w:val="22"/>
          <w:lang w:val="en-US"/>
        </w:rPr>
        <w:t xml:space="preserve"> </w:t>
      </w:r>
      <w:r w:rsidRPr="005A7755">
        <w:rPr>
          <w:sz w:val="22"/>
          <w:szCs w:val="22"/>
          <w:lang w:val="en-US"/>
        </w:rPr>
        <w:t>and</w:t>
      </w:r>
      <w:r w:rsidRPr="005A7755">
        <w:rPr>
          <w:spacing w:val="-2"/>
          <w:sz w:val="22"/>
          <w:szCs w:val="22"/>
          <w:lang w:val="en-US"/>
        </w:rPr>
        <w:t xml:space="preserve"> </w:t>
      </w:r>
      <w:r w:rsidRPr="005A7755">
        <w:rPr>
          <w:sz w:val="22"/>
          <w:szCs w:val="22"/>
          <w:lang w:val="en-US"/>
        </w:rPr>
        <w:t>Tactical</w:t>
      </w:r>
      <w:r w:rsidRPr="005A7755">
        <w:rPr>
          <w:spacing w:val="-2"/>
          <w:sz w:val="22"/>
          <w:szCs w:val="22"/>
          <w:lang w:val="en-US"/>
        </w:rPr>
        <w:t xml:space="preserve"> </w:t>
      </w:r>
      <w:r w:rsidRPr="005A7755">
        <w:rPr>
          <w:sz w:val="22"/>
          <w:szCs w:val="22"/>
          <w:lang w:val="en-US"/>
        </w:rPr>
        <w:t>Decision,</w:t>
      </w:r>
      <w:r w:rsidRPr="005A7755">
        <w:rPr>
          <w:spacing w:val="-2"/>
          <w:sz w:val="22"/>
          <w:szCs w:val="22"/>
          <w:lang w:val="en-US"/>
        </w:rPr>
        <w:t xml:space="preserve"> </w:t>
      </w:r>
      <w:r w:rsidRPr="005A7755">
        <w:rPr>
          <w:sz w:val="22"/>
          <w:szCs w:val="22"/>
          <w:lang w:val="en-US"/>
        </w:rPr>
        <w:t>Journal</w:t>
      </w:r>
      <w:r w:rsidRPr="005A7755">
        <w:rPr>
          <w:spacing w:val="-2"/>
          <w:sz w:val="22"/>
          <w:szCs w:val="22"/>
          <w:lang w:val="en-US"/>
        </w:rPr>
        <w:t xml:space="preserve"> </w:t>
      </w:r>
      <w:r w:rsidRPr="005A7755">
        <w:rPr>
          <w:sz w:val="22"/>
          <w:szCs w:val="22"/>
          <w:lang w:val="en-US"/>
        </w:rPr>
        <w:t>of</w:t>
      </w:r>
      <w:r w:rsidRPr="005A7755">
        <w:rPr>
          <w:spacing w:val="-4"/>
          <w:sz w:val="22"/>
          <w:szCs w:val="22"/>
          <w:lang w:val="en-US"/>
        </w:rPr>
        <w:t xml:space="preserve"> </w:t>
      </w:r>
      <w:r w:rsidRPr="005A7755">
        <w:rPr>
          <w:sz w:val="22"/>
          <w:szCs w:val="22"/>
          <w:lang w:val="en-US"/>
        </w:rPr>
        <w:t>Cross-Cultural</w:t>
      </w:r>
      <w:r w:rsidRPr="005A7755">
        <w:rPr>
          <w:spacing w:val="-2"/>
          <w:sz w:val="22"/>
          <w:szCs w:val="22"/>
          <w:lang w:val="en-US"/>
        </w:rPr>
        <w:t xml:space="preserve"> </w:t>
      </w:r>
      <w:r w:rsidRPr="005A7755">
        <w:rPr>
          <w:sz w:val="22"/>
          <w:szCs w:val="22"/>
          <w:lang w:val="en-US"/>
        </w:rPr>
        <w:t>Psychology,</w:t>
      </w:r>
      <w:r w:rsidRPr="005A7755">
        <w:rPr>
          <w:spacing w:val="40"/>
          <w:sz w:val="22"/>
          <w:szCs w:val="22"/>
          <w:lang w:val="en-US"/>
        </w:rPr>
        <w:t xml:space="preserve"> </w:t>
      </w:r>
      <w:r w:rsidRPr="005A7755">
        <w:rPr>
          <w:sz w:val="22"/>
          <w:szCs w:val="22"/>
          <w:lang w:val="en-US"/>
        </w:rPr>
        <w:t>30(1): 51-71.</w:t>
      </w:r>
      <w:r w:rsidRPr="005A7755">
        <w:rPr>
          <w:spacing w:val="40"/>
          <w:sz w:val="22"/>
          <w:szCs w:val="22"/>
          <w:lang w:val="en-US"/>
        </w:rPr>
        <w:t xml:space="preserve"> </w:t>
      </w:r>
      <w:r w:rsidRPr="005A7755">
        <w:rPr>
          <w:sz w:val="22"/>
          <w:szCs w:val="22"/>
          <w:lang w:val="en-US"/>
        </w:rPr>
        <w:t>Søndergaard, M. (1994): Hofstede's Consequences. A Study of Reviews,</w:t>
      </w:r>
      <w:r w:rsidRPr="005A7755">
        <w:rPr>
          <w:spacing w:val="40"/>
          <w:sz w:val="22"/>
          <w:szCs w:val="22"/>
          <w:lang w:val="en-US"/>
        </w:rPr>
        <w:t xml:space="preserve"> </w:t>
      </w:r>
      <w:r w:rsidRPr="005A7755">
        <w:rPr>
          <w:sz w:val="22"/>
          <w:szCs w:val="22"/>
          <w:lang w:val="en-US"/>
        </w:rPr>
        <w:t>Citations and Replications, Organization Studies, 15(3): 447-456.</w:t>
      </w:r>
      <w:r w:rsidRPr="005A7755">
        <w:rPr>
          <w:spacing w:val="40"/>
          <w:sz w:val="22"/>
          <w:szCs w:val="22"/>
          <w:lang w:val="en-US"/>
        </w:rPr>
        <w:t xml:space="preserve"> </w:t>
      </w:r>
      <w:r w:rsidRPr="005A7755">
        <w:rPr>
          <w:sz w:val="22"/>
          <w:szCs w:val="22"/>
        </w:rPr>
        <w:t>Triandis, H.C. (1995):</w:t>
      </w:r>
      <w:r w:rsidRPr="005A7755">
        <w:rPr>
          <w:spacing w:val="40"/>
          <w:sz w:val="22"/>
          <w:szCs w:val="22"/>
        </w:rPr>
        <w:t xml:space="preserve"> </w:t>
      </w:r>
      <w:r w:rsidRPr="005A7755">
        <w:rPr>
          <w:sz w:val="22"/>
          <w:szCs w:val="22"/>
        </w:rPr>
        <w:t>Individualism and Collectivism, Boulder/CO: Westview.</w:t>
      </w:r>
    </w:p>
    <w:p w14:paraId="1C260430" w14:textId="77777777" w:rsidR="00FF7799" w:rsidRPr="005A7755" w:rsidRDefault="00FF7799" w:rsidP="00957B22">
      <w:pPr>
        <w:pStyle w:val="StandardText"/>
        <w:rPr>
          <w:sz w:val="22"/>
          <w:szCs w:val="22"/>
        </w:rPr>
      </w:pPr>
    </w:p>
    <w:p w14:paraId="797B7622" w14:textId="77777777" w:rsidR="00FF7799" w:rsidRPr="00E445CF" w:rsidRDefault="00FF7799" w:rsidP="00D83ABA">
      <w:pPr>
        <w:pStyle w:val="berschrift1"/>
        <w:rPr>
          <w:color w:val="2E74B5"/>
          <w:sz w:val="22"/>
        </w:rPr>
      </w:pPr>
      <w:r w:rsidRPr="00E445CF">
        <w:rPr>
          <w:color w:val="2E74B5"/>
          <w:sz w:val="22"/>
        </w:rPr>
        <w:t>Inhaltsanalyse</w:t>
      </w:r>
    </w:p>
    <w:p w14:paraId="106FE83F" w14:textId="77777777" w:rsidR="00FF7799" w:rsidRPr="00E73F6F" w:rsidRDefault="00FF7799" w:rsidP="004A009B">
      <w:pPr>
        <w:pStyle w:val="StandardText"/>
      </w:pPr>
      <w:r w:rsidRPr="00E73F6F">
        <w:t>wichtiges Instrument der geistes- und sozialwissenschaftlichen Forschung. Die Inhaltsanalyse geht zurück auf den Sozialwissenschaftler J.G. Speed (vgl. Mayring 2010; Rössler 2005). Speed (1893) wollte herausfinden, ob sich der Inhalt der Sonntagsausgaben New Yorker Tageszeitungen zwischen 1881 und 1883 verändert hat. Damals, als die Medienindustrie stark expandierte und zunehmend Werbung und politische Propaganda betrieb, wurden die noch heute mit großem Erfolg genutzten inhaltsanalytischen Analysemethoden entwickelt.</w:t>
      </w:r>
    </w:p>
    <w:p w14:paraId="302D6FF6" w14:textId="77777777" w:rsidR="00FF7799" w:rsidRPr="00E73F6F" w:rsidRDefault="00FF7799" w:rsidP="004A009B">
      <w:pPr>
        <w:pStyle w:val="StandardText"/>
      </w:pPr>
      <w:r w:rsidRPr="00E73F6F">
        <w:t xml:space="preserve">Das einfachste und gängigste Verfahren der quantitativen Inhaltsanalyse ist die Frequenzanalyse. Dabei werden mit Blick auf die jeweilige Fragestellung (z.B. „Wird in Tageszeitungen häufiger über soziale oder über ökonomische Themen berichtet?“) zunächst Kategorien von möglichen Inhalten (z.B. „Gesundheitssystem“, „Bildung &amp; Erziehung“ oder „internationale Wettbewerbsfähigkeit“, „Innovation“) formuliert. Dann ziehen die Wissenschaftler eine Materialstichprobe (z.B. Zeitungsartikel aus einem bestimmten Zeitraum) und zählen aus, wie häufig in den repräsentativ ausgewählten Ausgaben Berichte veröffentlicht wurden, die in eine bestimmte Kategorie fallen. Übertragen auf die Thematisierung von Werten in Werbebotschaften bspw. bedeutet dies: Es sind zunächst Kategorien von Werten zu definieren (z.B. Hedonismus, Geselligkeit, Sparsamkeit) und mit Hilfe von Beispielen zu konkretisieren (z.B. „Geselligkeit ist dann gegeben, wenn ein Anzeigenmotiv mehrere Menschen zeigt, wie sie etwa auf einer Party, beim gemeinsamen Essen oder einem Freizeitvergnügen beisammen sind“). Sodann wird </w:t>
      </w:r>
      <w:r w:rsidRPr="00E73F6F">
        <w:lastRenderedPageBreak/>
        <w:t xml:space="preserve">die Materialstichprobe definiert (bspw. die in einem bestimmten Zeitraum in einer deutschen und einer vergleichbaren amerikanischen, hinsichtlich ihrer Leserschaft vergleichbaren Publikumszeitschrift geschalteten Anzeigen). </w:t>
      </w:r>
    </w:p>
    <w:p w14:paraId="5A2CF740" w14:textId="77777777" w:rsidR="00FF7799" w:rsidRDefault="00FF7799" w:rsidP="004A009B">
      <w:pPr>
        <w:pStyle w:val="StandardText"/>
      </w:pPr>
      <w:r w:rsidRPr="00E73F6F">
        <w:t>In der eigentlichen Inhaltsanalyse zählt man aus, wie oft die einzelnen Themen, Werte etc. in den ausgewerteten Artikeln der beiden Zeitschriften thematisiert werden.</w:t>
      </w:r>
    </w:p>
    <w:p w14:paraId="0A1625A6" w14:textId="77777777" w:rsidR="00FF7799" w:rsidRPr="00917602" w:rsidRDefault="00FF7799" w:rsidP="004A009B">
      <w:pPr>
        <w:pStyle w:val="StandardText"/>
        <w:rPr>
          <w:sz w:val="22"/>
          <w:szCs w:val="22"/>
          <w:lang w:val="en-US"/>
        </w:rPr>
      </w:pPr>
      <w:r w:rsidRPr="005A7755">
        <w:rPr>
          <w:b/>
          <w:i/>
          <w:sz w:val="22"/>
          <w:szCs w:val="22"/>
        </w:rPr>
        <w:t>Literatur</w:t>
      </w:r>
      <w:r w:rsidRPr="005A7755">
        <w:rPr>
          <w:i/>
          <w:sz w:val="22"/>
          <w:szCs w:val="22"/>
        </w:rPr>
        <w:t>:</w:t>
      </w:r>
      <w:r w:rsidRPr="005A7755">
        <w:rPr>
          <w:sz w:val="22"/>
          <w:szCs w:val="22"/>
        </w:rPr>
        <w:t xml:space="preserve"> Früh, W. (2007): Inhaltsanalyse. Theorie und Praxis, Weinheim: UTB. </w:t>
      </w:r>
      <w:r w:rsidRPr="005A7755">
        <w:rPr>
          <w:sz w:val="22"/>
          <w:szCs w:val="22"/>
          <w:lang w:val="en-US"/>
        </w:rPr>
        <w:t xml:space="preserve">Krippendorf, K. (2004): Content Analysis. An Introduction to its Methodology, 2nd Ed., Thousand Oaks: Sage. </w:t>
      </w:r>
      <w:r w:rsidRPr="005A7755">
        <w:rPr>
          <w:sz w:val="22"/>
          <w:szCs w:val="22"/>
        </w:rPr>
        <w:t xml:space="preserve">Mayring, P. (2010): Qualitative Inhaltsanalyse. Grundlagen und Techniken, 11. Aufl., Weinheim: Beltz. Mayring, P.; Gläser-Zikuda, M. (Hrsg.) (2008). Die Praxis der Qualitativen Inhaltsanalyse, Weinheim: Beltz. </w:t>
      </w:r>
      <w:r w:rsidRPr="00917602">
        <w:rPr>
          <w:sz w:val="22"/>
          <w:szCs w:val="22"/>
        </w:rPr>
        <w:t xml:space="preserve">Rössler, P. (2005): Inhaltsanalyse, Konstanz: Uni-Taschenbücher. </w:t>
      </w:r>
      <w:r w:rsidRPr="005A7755">
        <w:rPr>
          <w:sz w:val="22"/>
          <w:szCs w:val="22"/>
          <w:lang w:val="en-US"/>
        </w:rPr>
        <w:t xml:space="preserve">Speed, J.G. (1893): Do Newspapers Now Give the News? </w:t>
      </w:r>
      <w:r w:rsidRPr="00917602">
        <w:rPr>
          <w:sz w:val="22"/>
          <w:szCs w:val="22"/>
          <w:lang w:val="en-US"/>
        </w:rPr>
        <w:t>Forum, 15: 705-711.</w:t>
      </w:r>
    </w:p>
    <w:p w14:paraId="0EAF0B27" w14:textId="77777777" w:rsidR="00E73F6F" w:rsidRPr="00917602" w:rsidRDefault="00E73F6F" w:rsidP="004A009B">
      <w:pPr>
        <w:pStyle w:val="StandardText"/>
        <w:rPr>
          <w:lang w:val="en-US"/>
        </w:rPr>
      </w:pPr>
    </w:p>
    <w:p w14:paraId="6C4B9355" w14:textId="77777777" w:rsidR="00FF7799" w:rsidRPr="00E445CF" w:rsidRDefault="00FF7799" w:rsidP="00D83ABA">
      <w:pPr>
        <w:pStyle w:val="berschrift1"/>
        <w:rPr>
          <w:color w:val="2E74B5"/>
          <w:sz w:val="22"/>
        </w:rPr>
      </w:pPr>
      <w:r w:rsidRPr="00E445CF">
        <w:rPr>
          <w:color w:val="2E74B5"/>
          <w:sz w:val="22"/>
        </w:rPr>
        <w:t>Integratives Kulturmodell</w:t>
      </w:r>
    </w:p>
    <w:p w14:paraId="2A601E9D" w14:textId="77777777" w:rsidR="00FF7799" w:rsidRPr="00E73F6F" w:rsidRDefault="00FF7799" w:rsidP="00862DBA">
      <w:pPr>
        <w:rPr>
          <w:sz w:val="24"/>
          <w:szCs w:val="24"/>
        </w:rPr>
      </w:pPr>
      <w:r w:rsidRPr="00E73F6F">
        <w:rPr>
          <w:sz w:val="24"/>
          <w:szCs w:val="24"/>
        </w:rPr>
        <w:t xml:space="preserve">basiert auf Metakulturdimensionen. Um die Unübersichtlichkeit der verschiedenen Kulturmodelle (bzw. Kulturtheorien) mit ihren bisweilen nur scheinbar unterschiedlichen </w:t>
      </w:r>
      <w:r w:rsidR="007F2875">
        <w:sym w:font="Symbol" w:char="F0DE"/>
      </w:r>
      <w:r w:rsidR="007F2875">
        <w:t xml:space="preserve"> </w:t>
      </w:r>
      <w:r w:rsidRPr="00E73F6F">
        <w:rPr>
          <w:sz w:val="24"/>
          <w:szCs w:val="24"/>
        </w:rPr>
        <w:t xml:space="preserve">Kulturdimensionen zu überwinden, schlug </w:t>
      </w:r>
      <w:r w:rsidRPr="00E73F6F">
        <w:rPr>
          <w:i/>
          <w:sz w:val="24"/>
          <w:szCs w:val="24"/>
        </w:rPr>
        <w:t>T. Clark</w:t>
      </w:r>
      <w:r w:rsidRPr="00E73F6F">
        <w:rPr>
          <w:sz w:val="24"/>
          <w:szCs w:val="24"/>
        </w:rPr>
        <w:t xml:space="preserve"> drei Kulturdimensionen zweiter Ordnung vor: </w:t>
      </w:r>
    </w:p>
    <w:p w14:paraId="448334E4" w14:textId="77777777" w:rsidR="00FF7799" w:rsidRPr="00E73F6F" w:rsidRDefault="00FF7799" w:rsidP="00E445CF">
      <w:pPr>
        <w:pStyle w:val="StandardTextAufzhlung"/>
        <w:ind w:left="426"/>
      </w:pPr>
      <w:r w:rsidRPr="00E73F6F">
        <w:t>Verhältnis zur Autorität,</w:t>
      </w:r>
    </w:p>
    <w:p w14:paraId="7890F015" w14:textId="77777777" w:rsidR="00FF7799" w:rsidRPr="00E73F6F" w:rsidRDefault="00FF7799" w:rsidP="00E445CF">
      <w:pPr>
        <w:pStyle w:val="StandardTextAufzhlung"/>
        <w:ind w:left="426"/>
      </w:pPr>
      <w:r w:rsidRPr="00E73F6F">
        <w:t>Verhältnis zum Selbst,</w:t>
      </w:r>
    </w:p>
    <w:p w14:paraId="6B574CFD" w14:textId="77777777" w:rsidR="00FF7799" w:rsidRPr="00E73F6F" w:rsidRDefault="00FF7799" w:rsidP="00E445CF">
      <w:pPr>
        <w:pStyle w:val="StandardTextAufzhlung"/>
        <w:ind w:left="426"/>
      </w:pPr>
      <w:r w:rsidRPr="00E73F6F">
        <w:t>Verhältnis zum Risiko.</w:t>
      </w:r>
    </w:p>
    <w:p w14:paraId="620B6C7F" w14:textId="77777777" w:rsidR="00E445CF" w:rsidRDefault="00E445CF" w:rsidP="004A009B">
      <w:pPr>
        <w:pStyle w:val="StandardText"/>
      </w:pPr>
    </w:p>
    <w:p w14:paraId="0F316D64" w14:textId="12445206" w:rsidR="00FF7799" w:rsidRPr="00E73F6F" w:rsidRDefault="00FF7799" w:rsidP="004A009B">
      <w:pPr>
        <w:pStyle w:val="StandardText"/>
      </w:pPr>
      <w:r w:rsidRPr="00E73F6F">
        <w:t xml:space="preserve">Zusammengenommen erfassen diese Metakulturdimensionen die Art und Weise, wie Gemeinschaften von Menschen mit den Anforderungen, die für ihre Umwelt charakteristisch sind, umgehen. Folgt man </w:t>
      </w:r>
      <w:r w:rsidRPr="00E73F6F">
        <w:rPr>
          <w:i/>
        </w:rPr>
        <w:t>T. Clarks</w:t>
      </w:r>
      <w:r w:rsidRPr="00E73F6F">
        <w:t xml:space="preserve"> Überlegungen, so berücksichtigen alle fünf der von ihm erfassten Modelle (vgl. Abb.) die personale und die interpersonale Dimension, während lediglich Inkeles/Levinson (1969) und Hofstede (1980) den Umweltbezug berücksichtigen („Verhältnis zum Risiko“).</w:t>
      </w:r>
    </w:p>
    <w:p w14:paraId="763E42F5" w14:textId="77777777" w:rsidR="00FF7799" w:rsidRPr="00E73F6F" w:rsidRDefault="00FF7799" w:rsidP="004A009B">
      <w:pPr>
        <w:pStyle w:val="StandardText"/>
      </w:pPr>
    </w:p>
    <w:p w14:paraId="4D9BA298" w14:textId="77777777" w:rsidR="00FF7799" w:rsidRPr="00C76DC3" w:rsidRDefault="00FF7799" w:rsidP="004A009B">
      <w:pPr>
        <w:pStyle w:val="BeschriftungTab"/>
        <w:rPr>
          <w:i/>
          <w:iCs/>
        </w:rPr>
      </w:pPr>
      <w:r w:rsidRPr="00C76DC3">
        <w:rPr>
          <w:i/>
          <w:iCs/>
        </w:rPr>
        <w:t>Tab. 1: Integratives Kulturmodell</w:t>
      </w:r>
    </w:p>
    <w:tbl>
      <w:tblPr>
        <w:tblW w:w="5000" w:type="pct"/>
        <w:tblBorders>
          <w:top w:val="single" w:sz="4" w:space="0" w:color="auto"/>
          <w:bottom w:val="single" w:sz="4" w:space="0" w:color="auto"/>
          <w:insideH w:val="single" w:sz="4" w:space="0" w:color="auto"/>
        </w:tblBorders>
        <w:tblLayout w:type="fixed"/>
        <w:tblCellMar>
          <w:left w:w="70" w:type="dxa"/>
          <w:right w:w="70" w:type="dxa"/>
        </w:tblCellMar>
        <w:tblLook w:val="0000" w:firstRow="0" w:lastRow="0" w:firstColumn="0" w:lastColumn="0" w:noHBand="0" w:noVBand="0"/>
      </w:tblPr>
      <w:tblGrid>
        <w:gridCol w:w="1378"/>
        <w:gridCol w:w="1711"/>
        <w:gridCol w:w="1491"/>
        <w:gridCol w:w="1491"/>
        <w:gridCol w:w="1466"/>
        <w:gridCol w:w="1535"/>
      </w:tblGrid>
      <w:tr w:rsidR="00FF7799" w:rsidRPr="00E73F6F" w14:paraId="3140A9F4" w14:textId="77777777" w:rsidTr="004A009B">
        <w:trPr>
          <w:trHeight w:val="439"/>
          <w:tblHeader/>
        </w:trPr>
        <w:tc>
          <w:tcPr>
            <w:tcW w:w="759" w:type="pct"/>
            <w:shd w:val="clear" w:color="auto" w:fill="FFC000"/>
          </w:tcPr>
          <w:p w14:paraId="66B98924" w14:textId="77777777" w:rsidR="00FF7799" w:rsidRPr="00E73F6F" w:rsidRDefault="00FF7799" w:rsidP="004A009B">
            <w:pPr>
              <w:pStyle w:val="StandardText"/>
              <w:spacing w:after="120"/>
              <w:jc w:val="center"/>
              <w:rPr>
                <w:b/>
              </w:rPr>
            </w:pPr>
          </w:p>
        </w:tc>
        <w:tc>
          <w:tcPr>
            <w:tcW w:w="943" w:type="pct"/>
            <w:shd w:val="clear" w:color="auto" w:fill="FFC000"/>
          </w:tcPr>
          <w:p w14:paraId="76CF27CE" w14:textId="77777777" w:rsidR="00FF7799" w:rsidRPr="00E73F6F" w:rsidRDefault="00FF7799" w:rsidP="004A009B">
            <w:pPr>
              <w:pStyle w:val="StandardText"/>
              <w:spacing w:after="120"/>
              <w:jc w:val="center"/>
              <w:rPr>
                <w:b/>
              </w:rPr>
            </w:pPr>
            <w:r w:rsidRPr="00E73F6F">
              <w:rPr>
                <w:b/>
              </w:rPr>
              <w:t>Kluckhohn/</w:t>
            </w:r>
            <w:r w:rsidRPr="00E73F6F">
              <w:rPr>
                <w:b/>
              </w:rPr>
              <w:br/>
              <w:t>Strodtbeck</w:t>
            </w:r>
            <w:r w:rsidRPr="00E73F6F">
              <w:rPr>
                <w:b/>
              </w:rPr>
              <w:br/>
            </w:r>
            <w:r w:rsidRPr="00E73F6F">
              <w:t>(1961)</w:t>
            </w:r>
          </w:p>
        </w:tc>
        <w:tc>
          <w:tcPr>
            <w:tcW w:w="822" w:type="pct"/>
            <w:shd w:val="clear" w:color="auto" w:fill="FFC000"/>
          </w:tcPr>
          <w:p w14:paraId="0437021A" w14:textId="77777777" w:rsidR="00FF7799" w:rsidRPr="00E73F6F" w:rsidRDefault="00FF7799" w:rsidP="004A009B">
            <w:pPr>
              <w:pStyle w:val="StandardText"/>
              <w:spacing w:after="120"/>
              <w:jc w:val="center"/>
              <w:rPr>
                <w:b/>
              </w:rPr>
            </w:pPr>
            <w:r w:rsidRPr="00E73F6F">
              <w:rPr>
                <w:b/>
              </w:rPr>
              <w:t>Eysenck/</w:t>
            </w:r>
            <w:r w:rsidRPr="00E73F6F">
              <w:rPr>
                <w:b/>
              </w:rPr>
              <w:br/>
              <w:t>Eysenck</w:t>
            </w:r>
            <w:r w:rsidRPr="00E73F6F">
              <w:rPr>
                <w:b/>
              </w:rPr>
              <w:br/>
            </w:r>
            <w:r w:rsidRPr="00E73F6F">
              <w:t>(1969)</w:t>
            </w:r>
          </w:p>
        </w:tc>
        <w:tc>
          <w:tcPr>
            <w:tcW w:w="822" w:type="pct"/>
            <w:shd w:val="clear" w:color="auto" w:fill="FFC000"/>
          </w:tcPr>
          <w:p w14:paraId="4D584116" w14:textId="77777777" w:rsidR="00FF7799" w:rsidRPr="00E73F6F" w:rsidRDefault="00FF7799" w:rsidP="004A009B">
            <w:pPr>
              <w:pStyle w:val="StandardText"/>
              <w:spacing w:after="120"/>
              <w:jc w:val="center"/>
              <w:rPr>
                <w:b/>
              </w:rPr>
            </w:pPr>
            <w:r w:rsidRPr="00E73F6F">
              <w:rPr>
                <w:b/>
              </w:rPr>
              <w:t>Inkeles/</w:t>
            </w:r>
            <w:r w:rsidRPr="00E73F6F">
              <w:rPr>
                <w:b/>
              </w:rPr>
              <w:br/>
              <w:t>Levinson</w:t>
            </w:r>
            <w:r w:rsidRPr="00E73F6F">
              <w:rPr>
                <w:b/>
              </w:rPr>
              <w:br/>
            </w:r>
            <w:r w:rsidRPr="00E73F6F">
              <w:t>(1969)</w:t>
            </w:r>
          </w:p>
        </w:tc>
        <w:tc>
          <w:tcPr>
            <w:tcW w:w="808" w:type="pct"/>
            <w:shd w:val="clear" w:color="auto" w:fill="FFC000"/>
          </w:tcPr>
          <w:p w14:paraId="4DC5D82F" w14:textId="77777777" w:rsidR="00FF7799" w:rsidRPr="00E73F6F" w:rsidRDefault="00FF7799" w:rsidP="004A009B">
            <w:pPr>
              <w:pStyle w:val="StandardText"/>
              <w:spacing w:after="120"/>
              <w:jc w:val="center"/>
              <w:rPr>
                <w:b/>
              </w:rPr>
            </w:pPr>
            <w:r w:rsidRPr="00E73F6F">
              <w:rPr>
                <w:b/>
              </w:rPr>
              <w:t>Hofstede</w:t>
            </w:r>
            <w:r w:rsidRPr="00E73F6F">
              <w:rPr>
                <w:b/>
              </w:rPr>
              <w:br/>
            </w:r>
            <w:r w:rsidRPr="00E73F6F">
              <w:rPr>
                <w:b/>
              </w:rPr>
              <w:br/>
            </w:r>
            <w:r w:rsidRPr="00E73F6F">
              <w:t>(1980)</w:t>
            </w:r>
          </w:p>
        </w:tc>
        <w:tc>
          <w:tcPr>
            <w:tcW w:w="847" w:type="pct"/>
            <w:shd w:val="clear" w:color="auto" w:fill="FFC000"/>
          </w:tcPr>
          <w:p w14:paraId="3A037232" w14:textId="77777777" w:rsidR="00FF7799" w:rsidRPr="00E73F6F" w:rsidRDefault="00FF7799" w:rsidP="004A009B">
            <w:pPr>
              <w:pStyle w:val="StandardText"/>
              <w:spacing w:after="120"/>
              <w:jc w:val="center"/>
              <w:rPr>
                <w:b/>
              </w:rPr>
            </w:pPr>
            <w:r w:rsidRPr="00E73F6F">
              <w:rPr>
                <w:b/>
              </w:rPr>
              <w:t>Peabody</w:t>
            </w:r>
            <w:r w:rsidRPr="00E73F6F">
              <w:rPr>
                <w:b/>
              </w:rPr>
              <w:br/>
            </w:r>
            <w:r w:rsidRPr="00E73F6F">
              <w:rPr>
                <w:b/>
              </w:rPr>
              <w:br/>
            </w:r>
            <w:r w:rsidRPr="00E73F6F">
              <w:t>(1985)</w:t>
            </w:r>
          </w:p>
        </w:tc>
      </w:tr>
      <w:tr w:rsidR="00FF7799" w:rsidRPr="00E73F6F" w14:paraId="6AF9720A" w14:textId="77777777" w:rsidTr="004A009B">
        <w:trPr>
          <w:trHeight w:val="588"/>
        </w:trPr>
        <w:tc>
          <w:tcPr>
            <w:tcW w:w="759" w:type="pct"/>
            <w:shd w:val="clear" w:color="auto" w:fill="FFF2CC" w:themeFill="accent4" w:themeFillTint="33"/>
          </w:tcPr>
          <w:p w14:paraId="18C4BB8D" w14:textId="77777777" w:rsidR="00FF7799" w:rsidRPr="00E73F6F" w:rsidRDefault="00FF7799" w:rsidP="004A009B">
            <w:pPr>
              <w:pStyle w:val="StandardText"/>
            </w:pPr>
            <w:r w:rsidRPr="00E73F6F">
              <w:t>Verhältnis zur Autorität</w:t>
            </w:r>
          </w:p>
        </w:tc>
        <w:tc>
          <w:tcPr>
            <w:tcW w:w="943" w:type="pct"/>
          </w:tcPr>
          <w:p w14:paraId="4E5BD5C1" w14:textId="77777777" w:rsidR="00FF7799" w:rsidRPr="00E73F6F" w:rsidRDefault="00FF7799" w:rsidP="004A009B">
            <w:pPr>
              <w:pStyle w:val="StandardText"/>
              <w:jc w:val="left"/>
            </w:pPr>
            <w:r w:rsidRPr="00E73F6F">
              <w:t xml:space="preserve">Ausrichtung auf menschliche Beziehungen </w:t>
            </w:r>
          </w:p>
        </w:tc>
        <w:tc>
          <w:tcPr>
            <w:tcW w:w="822" w:type="pct"/>
          </w:tcPr>
          <w:p w14:paraId="34243C88" w14:textId="77777777" w:rsidR="00FF7799" w:rsidRPr="00E73F6F" w:rsidRDefault="00FF7799" w:rsidP="004A009B">
            <w:pPr>
              <w:pStyle w:val="StandardText"/>
              <w:jc w:val="left"/>
            </w:pPr>
            <w:r w:rsidRPr="00E73F6F">
              <w:t>Psychotizis</w:t>
            </w:r>
            <w:r w:rsidRPr="00E73F6F">
              <w:softHyphen/>
              <w:t xml:space="preserve"> mus</w:t>
            </w:r>
            <w:r w:rsidRPr="00E73F6F">
              <w:br/>
              <w:t>(Hartnäckig-keit)</w:t>
            </w:r>
          </w:p>
        </w:tc>
        <w:tc>
          <w:tcPr>
            <w:tcW w:w="822" w:type="pct"/>
          </w:tcPr>
          <w:p w14:paraId="6D330B10" w14:textId="77777777" w:rsidR="00FF7799" w:rsidRPr="00E73F6F" w:rsidRDefault="00FF7799" w:rsidP="004A009B">
            <w:pPr>
              <w:pStyle w:val="StandardText"/>
              <w:jc w:val="left"/>
            </w:pPr>
            <w:r w:rsidRPr="00E73F6F">
              <w:t>Verhältnis zur Autorität</w:t>
            </w:r>
          </w:p>
        </w:tc>
        <w:tc>
          <w:tcPr>
            <w:tcW w:w="808" w:type="pct"/>
          </w:tcPr>
          <w:p w14:paraId="5A3C66F6" w14:textId="77777777" w:rsidR="00FF7799" w:rsidRPr="00E73F6F" w:rsidRDefault="00FF7799" w:rsidP="004A009B">
            <w:pPr>
              <w:pStyle w:val="StandardText"/>
              <w:jc w:val="left"/>
            </w:pPr>
            <w:r w:rsidRPr="00E73F6F">
              <w:t>Akzeptanz von Macht-distanz</w:t>
            </w:r>
          </w:p>
        </w:tc>
        <w:tc>
          <w:tcPr>
            <w:tcW w:w="847" w:type="pct"/>
          </w:tcPr>
          <w:p w14:paraId="5A46D8D6" w14:textId="77777777" w:rsidR="00FF7799" w:rsidRPr="00E73F6F" w:rsidRDefault="00FF7799" w:rsidP="004A009B">
            <w:pPr>
              <w:pStyle w:val="StandardText"/>
              <w:jc w:val="left"/>
            </w:pPr>
            <w:r w:rsidRPr="00E73F6F">
              <w:t>Durchsetzung</w:t>
            </w:r>
          </w:p>
        </w:tc>
      </w:tr>
      <w:tr w:rsidR="00FF7799" w:rsidRPr="00E73F6F" w14:paraId="5A7FC910" w14:textId="77777777" w:rsidTr="004A009B">
        <w:trPr>
          <w:trHeight w:val="597"/>
        </w:trPr>
        <w:tc>
          <w:tcPr>
            <w:tcW w:w="759" w:type="pct"/>
            <w:shd w:val="clear" w:color="auto" w:fill="FFF2CC" w:themeFill="accent4" w:themeFillTint="33"/>
          </w:tcPr>
          <w:p w14:paraId="7E98E3D6" w14:textId="77777777" w:rsidR="00FF7799" w:rsidRPr="00E73F6F" w:rsidRDefault="00FF7799" w:rsidP="004A009B">
            <w:pPr>
              <w:pStyle w:val="StandardText"/>
            </w:pPr>
            <w:r w:rsidRPr="00E73F6F">
              <w:t>Verhältnis zum Selbst</w:t>
            </w:r>
          </w:p>
        </w:tc>
        <w:tc>
          <w:tcPr>
            <w:tcW w:w="943" w:type="pct"/>
          </w:tcPr>
          <w:p w14:paraId="4A6992D6" w14:textId="77777777" w:rsidR="00FF7799" w:rsidRPr="00E73F6F" w:rsidRDefault="00FF7799" w:rsidP="004A009B">
            <w:pPr>
              <w:pStyle w:val="StandardText"/>
              <w:jc w:val="left"/>
            </w:pPr>
            <w:r w:rsidRPr="00E73F6F">
              <w:t>Wahrnehmung des menschlichen Wesens (gut/böse)</w:t>
            </w:r>
          </w:p>
        </w:tc>
        <w:tc>
          <w:tcPr>
            <w:tcW w:w="822" w:type="pct"/>
          </w:tcPr>
          <w:p w14:paraId="4F32EC97" w14:textId="77777777" w:rsidR="00FF7799" w:rsidRPr="00E73F6F" w:rsidRDefault="00FF7799" w:rsidP="004A009B">
            <w:pPr>
              <w:pStyle w:val="StandardText"/>
              <w:jc w:val="left"/>
            </w:pPr>
            <w:r w:rsidRPr="00E73F6F">
              <w:t>Extraversion</w:t>
            </w:r>
          </w:p>
        </w:tc>
        <w:tc>
          <w:tcPr>
            <w:tcW w:w="822" w:type="pct"/>
          </w:tcPr>
          <w:p w14:paraId="6FAB3651" w14:textId="77777777" w:rsidR="00FF7799" w:rsidRPr="00E73F6F" w:rsidRDefault="00FF7799" w:rsidP="004A009B">
            <w:pPr>
              <w:pStyle w:val="StandardText"/>
              <w:jc w:val="left"/>
            </w:pPr>
            <w:r w:rsidRPr="00E73F6F">
              <w:t>Selbstbild</w:t>
            </w:r>
          </w:p>
        </w:tc>
        <w:tc>
          <w:tcPr>
            <w:tcW w:w="808" w:type="pct"/>
          </w:tcPr>
          <w:p w14:paraId="164FBCFC" w14:textId="77777777" w:rsidR="00FF7799" w:rsidRPr="00E73F6F" w:rsidRDefault="00FF7799" w:rsidP="004A009B">
            <w:pPr>
              <w:pStyle w:val="StandardText"/>
              <w:jc w:val="left"/>
            </w:pPr>
            <w:r w:rsidRPr="00E73F6F">
              <w:t>Maskulinität</w:t>
            </w:r>
            <w:r w:rsidRPr="00E73F6F">
              <w:br/>
              <w:t>(soziales Ich)</w:t>
            </w:r>
          </w:p>
          <w:p w14:paraId="0C11D742" w14:textId="77777777" w:rsidR="00FF7799" w:rsidRPr="00E73F6F" w:rsidRDefault="00FF7799" w:rsidP="004A009B">
            <w:pPr>
              <w:pStyle w:val="StandardText"/>
              <w:jc w:val="left"/>
            </w:pPr>
            <w:r w:rsidRPr="00E73F6F">
              <w:t>Individualismus</w:t>
            </w:r>
          </w:p>
        </w:tc>
        <w:tc>
          <w:tcPr>
            <w:tcW w:w="847" w:type="pct"/>
          </w:tcPr>
          <w:p w14:paraId="237BABF0" w14:textId="77777777" w:rsidR="00FF7799" w:rsidRPr="00E73F6F" w:rsidRDefault="00FF7799" w:rsidP="004A009B">
            <w:pPr>
              <w:pStyle w:val="StandardText"/>
              <w:jc w:val="left"/>
            </w:pPr>
            <w:r w:rsidRPr="00E73F6F">
              <w:t>Straffheit/</w:t>
            </w:r>
            <w:r w:rsidRPr="00E73F6F">
              <w:br/>
              <w:t>Lockerheit</w:t>
            </w:r>
          </w:p>
        </w:tc>
      </w:tr>
      <w:tr w:rsidR="00FF7799" w:rsidRPr="00E73F6F" w14:paraId="72CA9E55" w14:textId="77777777" w:rsidTr="004A009B">
        <w:trPr>
          <w:trHeight w:val="447"/>
        </w:trPr>
        <w:tc>
          <w:tcPr>
            <w:tcW w:w="759" w:type="pct"/>
            <w:shd w:val="clear" w:color="auto" w:fill="FFF2CC" w:themeFill="accent4" w:themeFillTint="33"/>
          </w:tcPr>
          <w:p w14:paraId="73515176" w14:textId="77777777" w:rsidR="00FF7799" w:rsidRPr="00E73F6F" w:rsidRDefault="00FF7799" w:rsidP="004A009B">
            <w:pPr>
              <w:pStyle w:val="StandardText"/>
            </w:pPr>
            <w:r w:rsidRPr="00E73F6F">
              <w:t>Verhältnis zum Risiko</w:t>
            </w:r>
          </w:p>
        </w:tc>
        <w:tc>
          <w:tcPr>
            <w:tcW w:w="943" w:type="pct"/>
          </w:tcPr>
          <w:p w14:paraId="11AF163A" w14:textId="77777777" w:rsidR="00FF7799" w:rsidRPr="00E73F6F" w:rsidRDefault="00FF7799" w:rsidP="004A009B">
            <w:pPr>
              <w:pStyle w:val="StandardText"/>
              <w:jc w:val="left"/>
            </w:pPr>
          </w:p>
        </w:tc>
        <w:tc>
          <w:tcPr>
            <w:tcW w:w="822" w:type="pct"/>
          </w:tcPr>
          <w:p w14:paraId="04F47A61" w14:textId="77777777" w:rsidR="00FF7799" w:rsidRPr="00E73F6F" w:rsidRDefault="00FF7799" w:rsidP="004A009B">
            <w:pPr>
              <w:pStyle w:val="StandardText"/>
              <w:jc w:val="left"/>
            </w:pPr>
          </w:p>
        </w:tc>
        <w:tc>
          <w:tcPr>
            <w:tcW w:w="822" w:type="pct"/>
          </w:tcPr>
          <w:p w14:paraId="32077D68" w14:textId="77777777" w:rsidR="00FF7799" w:rsidRPr="00E73F6F" w:rsidRDefault="00FF7799" w:rsidP="004A009B">
            <w:pPr>
              <w:pStyle w:val="StandardText"/>
              <w:jc w:val="left"/>
            </w:pPr>
            <w:r w:rsidRPr="00E73F6F">
              <w:t>Ur-Dilemma Konflikte</w:t>
            </w:r>
          </w:p>
        </w:tc>
        <w:tc>
          <w:tcPr>
            <w:tcW w:w="808" w:type="pct"/>
          </w:tcPr>
          <w:p w14:paraId="6462D206" w14:textId="77777777" w:rsidR="00FF7799" w:rsidRPr="00E73F6F" w:rsidRDefault="00FF7799" w:rsidP="004A009B">
            <w:pPr>
              <w:pStyle w:val="StandardText"/>
              <w:jc w:val="left"/>
            </w:pPr>
            <w:r w:rsidRPr="00E73F6F">
              <w:t>Ungewissheitsvermeidung</w:t>
            </w:r>
          </w:p>
        </w:tc>
        <w:tc>
          <w:tcPr>
            <w:tcW w:w="847" w:type="pct"/>
          </w:tcPr>
          <w:p w14:paraId="3E2028D1" w14:textId="77777777" w:rsidR="00FF7799" w:rsidRPr="00E73F6F" w:rsidRDefault="00FF7799" w:rsidP="004A009B">
            <w:pPr>
              <w:pStyle w:val="StandardText"/>
              <w:jc w:val="left"/>
            </w:pPr>
          </w:p>
        </w:tc>
      </w:tr>
    </w:tbl>
    <w:p w14:paraId="62291CDC" w14:textId="77777777" w:rsidR="00FF7799" w:rsidRPr="00E73F6F" w:rsidRDefault="00FF7799" w:rsidP="004A009B">
      <w:pPr>
        <w:pStyle w:val="Quellen"/>
      </w:pPr>
      <w:r w:rsidRPr="00E73F6F">
        <w:t>Quelle: in Anlehnung an Clark (1990, S.73).</w:t>
      </w:r>
    </w:p>
    <w:p w14:paraId="5E451909" w14:textId="77777777" w:rsidR="00FF7799" w:rsidRPr="00E73F6F" w:rsidRDefault="00FF7799" w:rsidP="004A009B">
      <w:pPr>
        <w:pStyle w:val="StandardText"/>
      </w:pPr>
    </w:p>
    <w:p w14:paraId="1BDE4471" w14:textId="77777777" w:rsidR="00FF7799" w:rsidRPr="005A7755" w:rsidRDefault="00FF7799" w:rsidP="004A009B">
      <w:pPr>
        <w:pStyle w:val="StandardText"/>
        <w:rPr>
          <w:sz w:val="22"/>
          <w:szCs w:val="22"/>
          <w:lang w:val="en-US"/>
        </w:rPr>
      </w:pPr>
      <w:r w:rsidRPr="005A7755">
        <w:rPr>
          <w:b/>
          <w:i/>
          <w:sz w:val="22"/>
          <w:szCs w:val="22"/>
          <w:lang w:val="en-US"/>
        </w:rPr>
        <w:t>Literatur:</w:t>
      </w:r>
      <w:r w:rsidRPr="005A7755">
        <w:rPr>
          <w:sz w:val="22"/>
          <w:szCs w:val="22"/>
          <w:lang w:val="en-US"/>
        </w:rPr>
        <w:t xml:space="preserve"> Clark, T. (1990): International Marketing and National Character. A Review and Proposal for an Integrative Theory, </w:t>
      </w:r>
      <w:r w:rsidRPr="005A7755">
        <w:rPr>
          <w:iCs/>
          <w:sz w:val="22"/>
          <w:szCs w:val="22"/>
          <w:lang w:val="en-US"/>
        </w:rPr>
        <w:t>Journal of Marketing</w:t>
      </w:r>
      <w:r w:rsidRPr="005A7755">
        <w:rPr>
          <w:sz w:val="22"/>
          <w:szCs w:val="22"/>
          <w:lang w:val="en-US"/>
        </w:rPr>
        <w:t>, 54(4): 66-79. Eysenck, H.J.; Eysenck, S.B.G. (1969): Structure and Measurement, London: Routledge &amp; Kegan Paul. Kluckhohn, F.R.; Strodtbeck, F.L. (1961): Variations in Value Orientation, Westport/CT: Row, Peterson &amp; Company. Hofstede, G. (1980): Cultures’s Consequences. International Differences in Work-Related Values, Beverly Hills/CA: Sage. Inkeles, A.; Levinson, D.J. (1969): National Character. The Study of Modal Personality and Socio-Cultural Systems, in: Lindzey, G.; Aronson, E. (Eds.), The Handbook of Social Psychology, Vol.4, 418-506, Reading/MA: Addison-Wesley. Peabody, D. (1985): National Characteristics. European Monographs in Social Psychology, Cambridge: Cambridge University Press.</w:t>
      </w:r>
    </w:p>
    <w:p w14:paraId="75AE2BB0" w14:textId="77777777" w:rsidR="00835A0E" w:rsidRPr="007F69DA" w:rsidRDefault="00835A0E" w:rsidP="00835A0E">
      <w:pPr>
        <w:keepNext/>
        <w:keepLines/>
        <w:spacing w:before="240"/>
        <w:jc w:val="both"/>
        <w:outlineLvl w:val="1"/>
      </w:pPr>
      <w:r w:rsidRPr="007F69DA">
        <w:rPr>
          <w:b/>
          <w:color w:val="2E74B5"/>
        </w:rPr>
        <w:t>Intelligenz, kulturelle</w:t>
      </w:r>
      <w:r w:rsidRPr="007F69DA">
        <w:rPr>
          <w:szCs w:val="24"/>
          <w:lang w:bidi="en-US"/>
        </w:rPr>
        <w:t xml:space="preserve"> </w:t>
      </w:r>
      <w:r w:rsidRPr="007F69DA">
        <w:sym w:font="Symbol" w:char="F0AE"/>
      </w:r>
      <w:r w:rsidRPr="007F69DA">
        <w:t xml:space="preserve"> Kompetenz, interkulturelle</w:t>
      </w:r>
    </w:p>
    <w:p w14:paraId="10019238" w14:textId="77777777" w:rsidR="00FF7799" w:rsidRPr="00E35FFF" w:rsidRDefault="00FF7799" w:rsidP="00EF7F03">
      <w:pPr>
        <w:pStyle w:val="berschrift1"/>
        <w:rPr>
          <w:lang w:val="en-US"/>
        </w:rPr>
      </w:pPr>
      <w:r w:rsidRPr="00E445CF">
        <w:rPr>
          <w:bCs w:val="0"/>
          <w:color w:val="2E74B5"/>
          <w:sz w:val="22"/>
        </w:rPr>
        <w:t>Inter Cultural Ansatz</w:t>
      </w:r>
      <w:r w:rsidRPr="00E35FFF">
        <w:rPr>
          <w:lang w:val="en-US"/>
        </w:rPr>
        <w:t xml:space="preserve"> </w:t>
      </w:r>
      <w:r w:rsidRPr="00E35FFF">
        <w:rPr>
          <w:b w:val="0"/>
          <w:lang w:val="en-US"/>
        </w:rPr>
        <w:t>→ Comparative Marketing</w:t>
      </w:r>
    </w:p>
    <w:p w14:paraId="27532A37" w14:textId="77777777" w:rsidR="00FF7799" w:rsidRPr="00E445CF" w:rsidRDefault="00FF7799" w:rsidP="00D83ABA">
      <w:pPr>
        <w:pStyle w:val="berschrift1"/>
        <w:rPr>
          <w:bCs w:val="0"/>
          <w:color w:val="2E74B5"/>
          <w:sz w:val="22"/>
        </w:rPr>
      </w:pPr>
      <w:r w:rsidRPr="00E445CF">
        <w:rPr>
          <w:bCs w:val="0"/>
          <w:color w:val="2E74B5"/>
          <w:sz w:val="22"/>
        </w:rPr>
        <w:t>Interkultur</w:t>
      </w:r>
    </w:p>
    <w:p w14:paraId="3C87387A" w14:textId="77777777" w:rsidR="00FF7799" w:rsidRPr="00E73F6F" w:rsidRDefault="00FF7799" w:rsidP="004A009B">
      <w:pPr>
        <w:pStyle w:val="StandardText"/>
      </w:pPr>
      <w:r w:rsidRPr="00E73F6F">
        <w:t>von Müller-Jacquier (1986) geprägter Begriff. Wie die Schemaskizze verdeutlicht, entsteht etwas Neuartiges, wenn Angehörigen unterschiedlicher Kulturen interagieren: die Interkultur. Charakteristisch für diese virtuelle, aus der Begegnung von Eigenkultur und Fremdk</w:t>
      </w:r>
      <w:r w:rsidR="005A7755">
        <w:t>ultur entstehende Drittkultur (</w:t>
      </w:r>
      <w:r w:rsidR="005A7755">
        <w:sym w:font="Symbol" w:char="F0DE"/>
      </w:r>
      <w:r w:rsidRPr="00E73F6F">
        <w:t xml:space="preserve"> Third Culture) ist das in jeder interkulturellen Überschneidungssituation aufs Neue und in einmaliger Weise geschaffene Spannungsverhältnis zwischen dem Eigenen (= dem Vertrauten) und dem Fremden (= dem Unvertrauten). Abhängig von einer Reihe von Kontextfaktoren (z.B. Ethnozentrismus, interkulturelle Kompetenz) kann dieses Spannungsverhältnis als anregend oder überfordernd erlebt werden</w:t>
      </w:r>
      <w:r w:rsidR="00060755">
        <w:t xml:space="preserve"> (</w:t>
      </w:r>
      <w:r w:rsidR="00060755">
        <w:sym w:font="Symbol" w:char="F0DE"/>
      </w:r>
      <w:r w:rsidR="00060755">
        <w:t xml:space="preserve"> Kompetenz, interkulturelle)</w:t>
      </w:r>
      <w:r w:rsidRPr="00E73F6F">
        <w:t>.</w:t>
      </w:r>
    </w:p>
    <w:p w14:paraId="2A8E7883" w14:textId="77777777" w:rsidR="00FF7799" w:rsidRPr="00E73F6F" w:rsidRDefault="00FF7799" w:rsidP="00862DBA">
      <w:pPr>
        <w:rPr>
          <w:sz w:val="24"/>
          <w:szCs w:val="24"/>
        </w:rPr>
      </w:pPr>
    </w:p>
    <w:p w14:paraId="36B20B6A" w14:textId="77777777" w:rsidR="00FF7799" w:rsidRPr="007D6CC1" w:rsidRDefault="00FF7799" w:rsidP="004A009B">
      <w:pPr>
        <w:pStyle w:val="BeschriftungTab"/>
        <w:rPr>
          <w:i/>
          <w:iCs/>
        </w:rPr>
      </w:pPr>
      <w:r w:rsidRPr="007D6CC1">
        <w:rPr>
          <w:i/>
          <w:iCs/>
        </w:rPr>
        <w:t>Tab. 1: Interkultur als Ergebnis der Interaktion von Eigenkultur &amp; Fremdkultur</w:t>
      </w:r>
    </w:p>
    <w:p w14:paraId="676CA278" w14:textId="77777777" w:rsidR="005A7755" w:rsidRDefault="0001591A" w:rsidP="004A009B">
      <w:pPr>
        <w:pStyle w:val="Quellen"/>
      </w:pPr>
      <w:r>
        <w:rPr>
          <w:noProof/>
        </w:rPr>
        <w:drawing>
          <wp:inline distT="0" distB="0" distL="0" distR="0" wp14:anchorId="5FF1C8B2" wp14:editId="59AD491A">
            <wp:extent cx="5811520" cy="2732975"/>
            <wp:effectExtent l="0" t="0" r="0" b="0"/>
            <wp:docPr id="1591" name="Grafik 1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824030" cy="2738858"/>
                    </a:xfrm>
                    <a:prstGeom prst="rect">
                      <a:avLst/>
                    </a:prstGeom>
                    <a:noFill/>
                  </pic:spPr>
                </pic:pic>
              </a:graphicData>
            </a:graphic>
          </wp:inline>
        </w:drawing>
      </w:r>
    </w:p>
    <w:p w14:paraId="4DA1C1F1" w14:textId="77777777" w:rsidR="00FF7799" w:rsidRPr="00E73F6F" w:rsidRDefault="0001591A" w:rsidP="004A009B">
      <w:pPr>
        <w:pStyle w:val="Quellen"/>
      </w:pPr>
      <w:r>
        <w:t>Quelle: e</w:t>
      </w:r>
      <w:r w:rsidR="00FF7799" w:rsidRPr="00E73F6F">
        <w:t>igene Darstellung auf Basis von Thomas (2003, S.46).</w:t>
      </w:r>
    </w:p>
    <w:p w14:paraId="519A070D" w14:textId="77777777" w:rsidR="00FF7799" w:rsidRPr="00E73F6F" w:rsidRDefault="00FF7799" w:rsidP="004A009B">
      <w:pPr>
        <w:pStyle w:val="StandardText"/>
      </w:pPr>
    </w:p>
    <w:p w14:paraId="1D0D6906" w14:textId="77777777" w:rsidR="00FF7799" w:rsidRPr="00B96B80" w:rsidRDefault="00FF7799" w:rsidP="004A009B">
      <w:pPr>
        <w:pStyle w:val="StandardText"/>
        <w:rPr>
          <w:sz w:val="22"/>
          <w:szCs w:val="22"/>
        </w:rPr>
      </w:pPr>
      <w:r w:rsidRPr="00B96B80">
        <w:rPr>
          <w:b/>
          <w:i/>
          <w:sz w:val="22"/>
          <w:szCs w:val="22"/>
        </w:rPr>
        <w:t>Literatur:</w:t>
      </w:r>
      <w:r w:rsidRPr="00B96B80">
        <w:rPr>
          <w:b/>
          <w:sz w:val="22"/>
          <w:szCs w:val="22"/>
        </w:rPr>
        <w:t xml:space="preserve"> </w:t>
      </w:r>
      <w:r w:rsidRPr="00B96B80">
        <w:rPr>
          <w:sz w:val="22"/>
          <w:szCs w:val="22"/>
        </w:rPr>
        <w:t xml:space="preserve">Müller-Jacquier, B. (1986): Interkulturelle Verstehensstrategien. Vergleich und Empathie, in: Neuner, G. (Hrsg.), Kulturkontraste im DaF-Unterricht, Reihe: Studium DaF-Sprachdidaktik, 33-84, München: Iudicium. </w:t>
      </w:r>
      <w:r w:rsidR="00B96B80">
        <w:rPr>
          <w:sz w:val="22"/>
          <w:szCs w:val="22"/>
        </w:rPr>
        <w:t xml:space="preserve"> </w:t>
      </w:r>
      <w:r w:rsidRPr="00B96B80">
        <w:rPr>
          <w:sz w:val="22"/>
          <w:szCs w:val="22"/>
        </w:rPr>
        <w:t>Thomas, A. (2003): Das Eigene, das Fremde, das Interkulturelle, in: Thomas, A. (Hrsg.), Handbuch Interkulturelle Kommunikation und Kooperation, Bd.1: Grundlagen und Praxisfelder, 44-59, Göttingen: Hogrefe.</w:t>
      </w:r>
    </w:p>
    <w:p w14:paraId="0179FD77" w14:textId="77777777" w:rsidR="00FF7799" w:rsidRPr="00E445CF" w:rsidRDefault="00FF7799" w:rsidP="00E445CF">
      <w:pPr>
        <w:pStyle w:val="berschrift1"/>
        <w:rPr>
          <w:bCs w:val="0"/>
          <w:color w:val="2E74B5"/>
          <w:sz w:val="22"/>
        </w:rPr>
      </w:pPr>
      <w:r w:rsidRPr="00E445CF">
        <w:rPr>
          <w:bCs w:val="0"/>
          <w:color w:val="2E74B5"/>
          <w:sz w:val="22"/>
        </w:rPr>
        <w:lastRenderedPageBreak/>
        <w:t>Interkulturelle Psychologie</w:t>
      </w:r>
    </w:p>
    <w:p w14:paraId="3FFD70A8" w14:textId="77777777" w:rsidR="00FF7799" w:rsidRDefault="00FF7799" w:rsidP="004D3B6A">
      <w:pPr>
        <w:pStyle w:val="StandardText"/>
      </w:pPr>
      <w:r w:rsidRPr="00E73F6F">
        <w:t xml:space="preserve">interdisziplinäre Wissenschaft, die mit Hilfe von Methoden und Erkenntnissen der </w:t>
      </w:r>
      <w:r w:rsidR="00B96B80">
        <w:sym w:font="Symbol" w:char="F0DE"/>
      </w:r>
      <w:r w:rsidRPr="00E73F6F">
        <w:t xml:space="preserve"> Ethnologie, Psychologie sowie Sozialpsychologie kulturvergleichend die Wahrnehmungs-, Denk-, Lern- und Verhaltensmuster z.B. beim Aufeinandertreffen von Angehörigen verschiedener Kulturen untersucht.</w:t>
      </w:r>
    </w:p>
    <w:p w14:paraId="78D7C03C" w14:textId="77777777" w:rsidR="00FF7799" w:rsidRPr="00B96B80" w:rsidRDefault="00FF7799" w:rsidP="004D3B6A">
      <w:pPr>
        <w:pStyle w:val="StandardText"/>
        <w:rPr>
          <w:sz w:val="22"/>
          <w:szCs w:val="22"/>
        </w:rPr>
      </w:pPr>
      <w:r w:rsidRPr="00B96B80">
        <w:rPr>
          <w:b/>
          <w:i/>
          <w:sz w:val="22"/>
          <w:szCs w:val="22"/>
        </w:rPr>
        <w:t>Literatur</w:t>
      </w:r>
      <w:r w:rsidRPr="00B96B80">
        <w:rPr>
          <w:i/>
          <w:sz w:val="22"/>
          <w:szCs w:val="22"/>
        </w:rPr>
        <w:t>:</w:t>
      </w:r>
      <w:r w:rsidRPr="00B96B80">
        <w:rPr>
          <w:sz w:val="22"/>
          <w:szCs w:val="22"/>
        </w:rPr>
        <w:t xml:space="preserve"> Thomas, A. (2005): Grundlagen der interkulturellen Psychologie, Nordhausen: Bautz.</w:t>
      </w:r>
    </w:p>
    <w:p w14:paraId="07F6B5FC" w14:textId="77777777" w:rsidR="00FF7799" w:rsidRPr="00E73F6F" w:rsidRDefault="00FF7799" w:rsidP="00862DBA">
      <w:pPr>
        <w:rPr>
          <w:sz w:val="24"/>
          <w:szCs w:val="24"/>
        </w:rPr>
      </w:pPr>
    </w:p>
    <w:p w14:paraId="1EB04583" w14:textId="77777777" w:rsidR="00FF7799" w:rsidRPr="00E445CF" w:rsidRDefault="00FF7799" w:rsidP="002A0928">
      <w:pPr>
        <w:pStyle w:val="berschrift1"/>
        <w:rPr>
          <w:bCs w:val="0"/>
          <w:color w:val="2E74B5"/>
          <w:sz w:val="22"/>
        </w:rPr>
      </w:pPr>
      <w:r w:rsidRPr="00E445CF">
        <w:rPr>
          <w:bCs w:val="0"/>
          <w:color w:val="2E74B5"/>
          <w:sz w:val="22"/>
        </w:rPr>
        <w:t>Internationale Marktforschung</w:t>
      </w:r>
    </w:p>
    <w:p w14:paraId="6B677892" w14:textId="7CB6DB6A" w:rsidR="00FF7799" w:rsidRPr="00E73F6F" w:rsidRDefault="00FF7799" w:rsidP="007E42FF">
      <w:pPr>
        <w:pStyle w:val="StandardText"/>
      </w:pPr>
      <w:r w:rsidRPr="00E73F6F">
        <w:t>anders</w:t>
      </w:r>
      <w:r w:rsidRPr="00E73F6F">
        <w:rPr>
          <w:spacing w:val="-4"/>
        </w:rPr>
        <w:t xml:space="preserve"> </w:t>
      </w:r>
      <w:r w:rsidRPr="00E73F6F">
        <w:t>als</w:t>
      </w:r>
      <w:r w:rsidRPr="00E73F6F">
        <w:rPr>
          <w:spacing w:val="-7"/>
        </w:rPr>
        <w:t xml:space="preserve"> </w:t>
      </w:r>
      <w:r w:rsidRPr="00E73F6F">
        <w:t>die</w:t>
      </w:r>
      <w:r w:rsidRPr="00E73F6F">
        <w:rPr>
          <w:spacing w:val="-4"/>
        </w:rPr>
        <w:t xml:space="preserve"> </w:t>
      </w:r>
      <w:r w:rsidRPr="00E73F6F">
        <w:t>Auslandsmarktforschung,</w:t>
      </w:r>
      <w:r w:rsidRPr="00E73F6F">
        <w:rPr>
          <w:spacing w:val="-6"/>
        </w:rPr>
        <w:t xml:space="preserve"> </w:t>
      </w:r>
      <w:r w:rsidRPr="00E73F6F">
        <w:t>welche</w:t>
      </w:r>
      <w:r w:rsidRPr="00E73F6F">
        <w:rPr>
          <w:spacing w:val="-7"/>
        </w:rPr>
        <w:t xml:space="preserve"> </w:t>
      </w:r>
      <w:r w:rsidRPr="00E73F6F">
        <w:t>primär</w:t>
      </w:r>
      <w:r w:rsidRPr="00E73F6F">
        <w:rPr>
          <w:spacing w:val="-4"/>
        </w:rPr>
        <w:t xml:space="preserve"> </w:t>
      </w:r>
      <w:r w:rsidRPr="00E73F6F">
        <w:t>eine</w:t>
      </w:r>
      <w:r w:rsidRPr="00E73F6F">
        <w:rPr>
          <w:spacing w:val="-7"/>
        </w:rPr>
        <w:t xml:space="preserve"> </w:t>
      </w:r>
      <w:r w:rsidRPr="00E73F6F">
        <w:t>taktische</w:t>
      </w:r>
      <w:r w:rsidRPr="00E73F6F">
        <w:rPr>
          <w:spacing w:val="-5"/>
        </w:rPr>
        <w:t xml:space="preserve"> </w:t>
      </w:r>
      <w:r w:rsidRPr="00E73F6F">
        <w:t>Funktion erfüllt (d.h. Beschaffung von Informationen über Auslandsmärkte), und die Interkulturelle</w:t>
      </w:r>
      <w:r w:rsidRPr="00E73F6F">
        <w:rPr>
          <w:spacing w:val="60"/>
        </w:rPr>
        <w:t xml:space="preserve"> </w:t>
      </w:r>
      <w:r w:rsidRPr="00E73F6F">
        <w:t>Markt-</w:t>
      </w:r>
      <w:r w:rsidRPr="00E73F6F">
        <w:rPr>
          <w:spacing w:val="61"/>
        </w:rPr>
        <w:t xml:space="preserve"> </w:t>
      </w:r>
      <w:r w:rsidRPr="00E73F6F">
        <w:t>und</w:t>
      </w:r>
      <w:r w:rsidRPr="00E73F6F">
        <w:rPr>
          <w:spacing w:val="61"/>
        </w:rPr>
        <w:t xml:space="preserve"> </w:t>
      </w:r>
      <w:r w:rsidRPr="00E73F6F">
        <w:t>Marketingforschung,</w:t>
      </w:r>
      <w:r w:rsidRPr="00E73F6F">
        <w:rPr>
          <w:spacing w:val="62"/>
        </w:rPr>
        <w:t xml:space="preserve"> </w:t>
      </w:r>
      <w:r w:rsidRPr="00E73F6F">
        <w:t>die</w:t>
      </w:r>
      <w:r w:rsidRPr="00E73F6F">
        <w:rPr>
          <w:spacing w:val="62"/>
        </w:rPr>
        <w:t xml:space="preserve"> </w:t>
      </w:r>
      <w:r w:rsidRPr="00E73F6F">
        <w:t>sich</w:t>
      </w:r>
      <w:r w:rsidRPr="00E73F6F">
        <w:rPr>
          <w:spacing w:val="61"/>
        </w:rPr>
        <w:t xml:space="preserve"> </w:t>
      </w:r>
      <w:r w:rsidRPr="00E73F6F">
        <w:t>vorrangig</w:t>
      </w:r>
      <w:r w:rsidRPr="00E73F6F">
        <w:rPr>
          <w:spacing w:val="64"/>
        </w:rPr>
        <w:t xml:space="preserve"> </w:t>
      </w:r>
      <w:r w:rsidRPr="00E73F6F">
        <w:t>mit</w:t>
      </w:r>
      <w:r w:rsidRPr="00E73F6F">
        <w:rPr>
          <w:spacing w:val="62"/>
        </w:rPr>
        <w:t xml:space="preserve"> </w:t>
      </w:r>
      <w:r w:rsidRPr="00E73F6F">
        <w:rPr>
          <w:spacing w:val="-5"/>
        </w:rPr>
        <w:t xml:space="preserve">den </w:t>
      </w:r>
      <w:r w:rsidRPr="00E73F6F">
        <w:t>Möglichkeiten der Äquivalenzsicherung befasst, liegt der Schwerpunkt der Internationalen Marktforschung im strategischen Bereich: Welche Markteintrittsstrategien versprechen in welchen Auslandsmärkten bzw. unter welchen Marktbedingungen Erfolg (vgl. z.B. Keil/Mack 2006; Levy et al. 1999; Dichtl et al. 1986)? Welche (mittelständischen) Unternehmen verfügen über Exportpotenzial? Welche Promotoren begünstigen ein Auslandsengagement, und welche Inhibitoren erschweren den Markteintritt?</w:t>
      </w:r>
    </w:p>
    <w:p w14:paraId="7B896BE7" w14:textId="77777777" w:rsidR="00FF7799" w:rsidRPr="007D6CC1" w:rsidRDefault="00FF7799" w:rsidP="007E42FF">
      <w:pPr>
        <w:pStyle w:val="StandardText"/>
        <w:rPr>
          <w:i/>
          <w:iCs/>
        </w:rPr>
      </w:pPr>
      <w:r w:rsidRPr="00E73F6F">
        <w:t>Nicht zuletzt befasst sich</w:t>
      </w:r>
      <w:r w:rsidRPr="00E73F6F">
        <w:rPr>
          <w:spacing w:val="-2"/>
        </w:rPr>
        <w:t xml:space="preserve"> </w:t>
      </w:r>
      <w:r w:rsidRPr="00E73F6F">
        <w:t>die Internationale Marktforschung mit den prinzipiellen Vor- und Nachteilen der verschiedenen Möglichkeiten der Beschaffung von Informationen</w:t>
      </w:r>
      <w:r w:rsidRPr="00E73F6F">
        <w:rPr>
          <w:spacing w:val="-4"/>
        </w:rPr>
        <w:t xml:space="preserve"> </w:t>
      </w:r>
      <w:r w:rsidRPr="00E73F6F">
        <w:t>(vgl.</w:t>
      </w:r>
      <w:r w:rsidRPr="00E73F6F">
        <w:rPr>
          <w:spacing w:val="-7"/>
        </w:rPr>
        <w:t xml:space="preserve"> </w:t>
      </w:r>
      <w:r w:rsidRPr="00E73F6F">
        <w:t>Bauer</w:t>
      </w:r>
      <w:r w:rsidRPr="00E73F6F">
        <w:rPr>
          <w:spacing w:val="-5"/>
        </w:rPr>
        <w:t xml:space="preserve"> </w:t>
      </w:r>
      <w:r w:rsidRPr="00E73F6F">
        <w:t>2009).</w:t>
      </w:r>
      <w:r w:rsidRPr="00E73F6F">
        <w:rPr>
          <w:spacing w:val="-7"/>
        </w:rPr>
        <w:t xml:space="preserve"> </w:t>
      </w:r>
      <w:r w:rsidRPr="00E73F6F">
        <w:t>Eines</w:t>
      </w:r>
      <w:r w:rsidRPr="00E73F6F">
        <w:rPr>
          <w:spacing w:val="-6"/>
        </w:rPr>
        <w:t xml:space="preserve"> </w:t>
      </w:r>
      <w:r w:rsidRPr="00E73F6F">
        <w:t>der</w:t>
      </w:r>
      <w:r w:rsidRPr="00E73F6F">
        <w:rPr>
          <w:spacing w:val="-5"/>
        </w:rPr>
        <w:t xml:space="preserve"> </w:t>
      </w:r>
      <w:r w:rsidRPr="00E73F6F">
        <w:t>zentralen</w:t>
      </w:r>
      <w:r w:rsidRPr="00E73F6F">
        <w:rPr>
          <w:spacing w:val="-4"/>
        </w:rPr>
        <w:t xml:space="preserve"> </w:t>
      </w:r>
      <w:r w:rsidRPr="00E73F6F">
        <w:t>Themen</w:t>
      </w:r>
      <w:r w:rsidRPr="00E73F6F">
        <w:rPr>
          <w:spacing w:val="-4"/>
        </w:rPr>
        <w:t xml:space="preserve"> </w:t>
      </w:r>
      <w:r w:rsidRPr="00E73F6F">
        <w:t>lautet</w:t>
      </w:r>
      <w:r w:rsidRPr="00E73F6F">
        <w:rPr>
          <w:spacing w:val="-8"/>
        </w:rPr>
        <w:t xml:space="preserve"> </w:t>
      </w:r>
      <w:r w:rsidRPr="00E73F6F">
        <w:t>hier:</w:t>
      </w:r>
      <w:r w:rsidRPr="00E73F6F">
        <w:rPr>
          <w:spacing w:val="-5"/>
        </w:rPr>
        <w:t xml:space="preserve"> </w:t>
      </w:r>
      <w:r w:rsidRPr="00E73F6F">
        <w:t>Ausmaß und</w:t>
      </w:r>
      <w:r w:rsidRPr="00E73F6F">
        <w:rPr>
          <w:spacing w:val="-5"/>
        </w:rPr>
        <w:t xml:space="preserve"> </w:t>
      </w:r>
      <w:r w:rsidRPr="00E73F6F">
        <w:t>Gründe</w:t>
      </w:r>
      <w:r w:rsidRPr="00E73F6F">
        <w:rPr>
          <w:spacing w:val="-6"/>
        </w:rPr>
        <w:t xml:space="preserve"> </w:t>
      </w:r>
      <w:r w:rsidRPr="00E73F6F">
        <w:t>der</w:t>
      </w:r>
      <w:r w:rsidRPr="00E73F6F">
        <w:rPr>
          <w:spacing w:val="-6"/>
        </w:rPr>
        <w:t xml:space="preserve"> </w:t>
      </w:r>
      <w:r w:rsidRPr="00E73F6F">
        <w:t>unterschiedlichen</w:t>
      </w:r>
      <w:r w:rsidRPr="00E73F6F">
        <w:rPr>
          <w:spacing w:val="35"/>
        </w:rPr>
        <w:t xml:space="preserve"> </w:t>
      </w:r>
      <w:r w:rsidRPr="00E73F6F">
        <w:rPr>
          <w:spacing w:val="-4"/>
        </w:rPr>
        <w:t xml:space="preserve">→ </w:t>
      </w:r>
      <w:r w:rsidRPr="00E73F6F">
        <w:t>Auskunftsbereitschaft</w:t>
      </w:r>
      <w:r w:rsidRPr="00E73F6F">
        <w:rPr>
          <w:spacing w:val="-6"/>
        </w:rPr>
        <w:t xml:space="preserve"> </w:t>
      </w:r>
      <w:r w:rsidRPr="00E73F6F">
        <w:t>in</w:t>
      </w:r>
      <w:r w:rsidRPr="00E73F6F">
        <w:rPr>
          <w:spacing w:val="-5"/>
        </w:rPr>
        <w:t xml:space="preserve"> </w:t>
      </w:r>
      <w:r w:rsidRPr="00E73F6F">
        <w:t>Abhängigkeit</w:t>
      </w:r>
      <w:r w:rsidRPr="00E73F6F">
        <w:rPr>
          <w:spacing w:val="-6"/>
        </w:rPr>
        <w:t xml:space="preserve"> </w:t>
      </w:r>
      <w:r w:rsidRPr="00E73F6F">
        <w:t>vom Herkunftsland</w:t>
      </w:r>
      <w:r w:rsidRPr="00E73F6F">
        <w:rPr>
          <w:spacing w:val="-8"/>
        </w:rPr>
        <w:t xml:space="preserve"> </w:t>
      </w:r>
      <w:r w:rsidRPr="00E73F6F">
        <w:t>der</w:t>
      </w:r>
      <w:r w:rsidRPr="00E73F6F">
        <w:rPr>
          <w:spacing w:val="-6"/>
        </w:rPr>
        <w:t xml:space="preserve"> </w:t>
      </w:r>
      <w:r w:rsidRPr="00E73F6F">
        <w:t>Befragten</w:t>
      </w:r>
      <w:r w:rsidRPr="00E73F6F">
        <w:rPr>
          <w:spacing w:val="-8"/>
        </w:rPr>
        <w:t xml:space="preserve"> </w:t>
      </w:r>
      <w:r w:rsidRPr="00E73F6F">
        <w:t>und/oder</w:t>
      </w:r>
      <w:r w:rsidRPr="00E73F6F">
        <w:rPr>
          <w:spacing w:val="-9"/>
        </w:rPr>
        <w:t xml:space="preserve"> </w:t>
      </w:r>
      <w:r w:rsidRPr="00E73F6F">
        <w:t>der</w:t>
      </w:r>
      <w:r w:rsidRPr="00E73F6F">
        <w:rPr>
          <w:spacing w:val="-6"/>
        </w:rPr>
        <w:t xml:space="preserve"> </w:t>
      </w:r>
      <w:r w:rsidRPr="00E73F6F">
        <w:t>eingesetzten</w:t>
      </w:r>
      <w:r w:rsidRPr="00E73F6F">
        <w:rPr>
          <w:spacing w:val="-5"/>
        </w:rPr>
        <w:t xml:space="preserve"> </w:t>
      </w:r>
      <w:r w:rsidRPr="00E73F6F">
        <w:t>Befragungstechniken</w:t>
      </w:r>
      <w:r w:rsidRPr="00E73F6F">
        <w:rPr>
          <w:spacing w:val="-8"/>
        </w:rPr>
        <w:t xml:space="preserve"> </w:t>
      </w:r>
      <w:r w:rsidRPr="00E73F6F">
        <w:t>bzw. Medien. Bei Telefon- bzw. Internetumfragen erwies sich die hochgradige Selektivität der elektronischen Medien als ein drängendes Problem der internationalen Markt- und Marketingforschung: Während die Hälfte der Erdbevölkerung noch nie telefoniert hat, sind in Ballungsgebieten wie New York und</w:t>
      </w:r>
      <w:r w:rsidRPr="00E73F6F">
        <w:rPr>
          <w:spacing w:val="-4"/>
        </w:rPr>
        <w:t xml:space="preserve"> </w:t>
      </w:r>
      <w:r w:rsidRPr="00E73F6F">
        <w:t>Tokio</w:t>
      </w:r>
      <w:r w:rsidRPr="00E73F6F">
        <w:rPr>
          <w:spacing w:val="-2"/>
        </w:rPr>
        <w:t xml:space="preserve"> </w:t>
      </w:r>
      <w:r w:rsidRPr="00E73F6F">
        <w:t>mehr</w:t>
      </w:r>
      <w:r w:rsidRPr="00E73F6F">
        <w:rPr>
          <w:spacing w:val="-5"/>
        </w:rPr>
        <w:t xml:space="preserve"> </w:t>
      </w:r>
      <w:r w:rsidRPr="00E73F6F">
        <w:t>Telefonanschlüsse</w:t>
      </w:r>
      <w:r w:rsidRPr="00E73F6F">
        <w:rPr>
          <w:spacing w:val="-4"/>
        </w:rPr>
        <w:t xml:space="preserve"> </w:t>
      </w:r>
      <w:r w:rsidRPr="00E73F6F">
        <w:t>registriert</w:t>
      </w:r>
      <w:r w:rsidRPr="00E73F6F">
        <w:rPr>
          <w:spacing w:val="-3"/>
        </w:rPr>
        <w:t xml:space="preserve"> </w:t>
      </w:r>
      <w:r w:rsidRPr="00E73F6F">
        <w:t>als</w:t>
      </w:r>
      <w:r w:rsidRPr="00E73F6F">
        <w:rPr>
          <w:spacing w:val="-3"/>
        </w:rPr>
        <w:t xml:space="preserve"> </w:t>
      </w:r>
      <w:r w:rsidRPr="00E73F6F">
        <w:t>auf</w:t>
      </w:r>
      <w:r w:rsidRPr="00E73F6F">
        <w:rPr>
          <w:spacing w:val="-3"/>
        </w:rPr>
        <w:t xml:space="preserve"> </w:t>
      </w:r>
      <w:r w:rsidRPr="00E73F6F">
        <w:t>dem gesamten</w:t>
      </w:r>
      <w:r w:rsidRPr="00E73F6F">
        <w:rPr>
          <w:spacing w:val="-2"/>
        </w:rPr>
        <w:t xml:space="preserve"> </w:t>
      </w:r>
      <w:r w:rsidRPr="00E73F6F">
        <w:t>afrikanischen Kontinent. Drei Viertel aller dort lebenden Menschen haben noch nie einen Taschenrechner oder gar einen Laptop benutzt, während in den westlichen Industrieländern der zeit- und ortsunabhängige Zugang zum Internet bald keine Utopie mehr ist (vgl. Tab. 1).</w:t>
      </w:r>
    </w:p>
    <w:p w14:paraId="61FD684A" w14:textId="77777777" w:rsidR="00FF7799" w:rsidRPr="007D6CC1" w:rsidRDefault="00FF7799" w:rsidP="007E42FF">
      <w:pPr>
        <w:pStyle w:val="StandardText"/>
        <w:rPr>
          <w:i/>
          <w:iCs/>
        </w:rPr>
      </w:pPr>
    </w:p>
    <w:p w14:paraId="5196C3F6" w14:textId="77777777" w:rsidR="00FF7799" w:rsidRPr="007D6CC1" w:rsidRDefault="00FF7799" w:rsidP="001A1A41">
      <w:pPr>
        <w:pStyle w:val="BeschriftungTab"/>
        <w:keepLines/>
        <w:widowControl w:val="0"/>
        <w:rPr>
          <w:i/>
          <w:iCs/>
          <w:spacing w:val="-2"/>
        </w:rPr>
      </w:pPr>
      <w:r w:rsidRPr="007D6CC1">
        <w:rPr>
          <w:i/>
          <w:iCs/>
        </w:rPr>
        <w:t>Tab. 1: Internet-Nutzung</w:t>
      </w:r>
      <w:r w:rsidRPr="007D6CC1">
        <w:rPr>
          <w:i/>
          <w:iCs/>
          <w:spacing w:val="-3"/>
        </w:rPr>
        <w:t xml:space="preserve"> </w:t>
      </w:r>
      <w:r w:rsidRPr="007D6CC1">
        <w:rPr>
          <w:i/>
          <w:iCs/>
        </w:rPr>
        <w:t>im</w:t>
      </w:r>
      <w:r w:rsidRPr="007D6CC1">
        <w:rPr>
          <w:i/>
          <w:iCs/>
          <w:spacing w:val="-2"/>
        </w:rPr>
        <w:t xml:space="preserve"> </w:t>
      </w:r>
      <w:r w:rsidRPr="007D6CC1">
        <w:rPr>
          <w:i/>
          <w:iCs/>
        </w:rPr>
        <w:t>internationalen</w:t>
      </w:r>
      <w:r w:rsidRPr="007D6CC1">
        <w:rPr>
          <w:i/>
          <w:iCs/>
          <w:spacing w:val="-2"/>
        </w:rPr>
        <w:t xml:space="preserve"> Vergleich</w:t>
      </w: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610"/>
        <w:gridCol w:w="1693"/>
        <w:gridCol w:w="1637"/>
        <w:gridCol w:w="1482"/>
        <w:gridCol w:w="914"/>
        <w:gridCol w:w="1736"/>
      </w:tblGrid>
      <w:tr w:rsidR="00FF7799" w:rsidRPr="00E73F6F" w14:paraId="0836083E" w14:textId="77777777" w:rsidTr="001A1A41">
        <w:trPr>
          <w:cantSplit/>
          <w:trHeight w:val="280"/>
        </w:trPr>
        <w:tc>
          <w:tcPr>
            <w:tcW w:w="887" w:type="pct"/>
            <w:vMerge w:val="restart"/>
            <w:tcBorders>
              <w:left w:val="nil"/>
              <w:right w:val="nil"/>
            </w:tcBorders>
            <w:shd w:val="clear" w:color="auto" w:fill="FFC000" w:themeFill="accent4"/>
            <w:tcMar>
              <w:left w:w="57" w:type="dxa"/>
              <w:right w:w="57" w:type="dxa"/>
            </w:tcMar>
          </w:tcPr>
          <w:p w14:paraId="1FE88F7B" w14:textId="77777777" w:rsidR="00FF7799" w:rsidRPr="00E73F6F" w:rsidRDefault="00FF7799" w:rsidP="001A1A41">
            <w:pPr>
              <w:pStyle w:val="StandardText"/>
              <w:keepLines/>
              <w:widowControl w:val="0"/>
              <w:spacing w:after="120"/>
              <w:jc w:val="center"/>
              <w:rPr>
                <w:lang w:val="de-DE"/>
              </w:rPr>
            </w:pPr>
          </w:p>
        </w:tc>
        <w:tc>
          <w:tcPr>
            <w:tcW w:w="1835" w:type="pct"/>
            <w:gridSpan w:val="2"/>
            <w:tcBorders>
              <w:left w:val="nil"/>
            </w:tcBorders>
            <w:shd w:val="clear" w:color="auto" w:fill="FFC000" w:themeFill="accent4"/>
            <w:tcMar>
              <w:left w:w="57" w:type="dxa"/>
              <w:right w:w="57" w:type="dxa"/>
            </w:tcMar>
          </w:tcPr>
          <w:p w14:paraId="37D536BA" w14:textId="77777777" w:rsidR="00FF7799" w:rsidRPr="00E73F6F" w:rsidRDefault="00FF7799" w:rsidP="001A1A41">
            <w:pPr>
              <w:pStyle w:val="StandardText"/>
              <w:keepLines/>
              <w:widowControl w:val="0"/>
              <w:spacing w:after="120"/>
              <w:jc w:val="center"/>
              <w:rPr>
                <w:b/>
                <w:lang w:val="de-DE"/>
              </w:rPr>
            </w:pPr>
            <w:r w:rsidRPr="00E73F6F">
              <w:rPr>
                <w:b/>
                <w:spacing w:val="-2"/>
                <w:lang w:val="de-DE"/>
              </w:rPr>
              <w:t>Nutzer</w:t>
            </w:r>
            <w:r w:rsidRPr="00E73F6F">
              <w:rPr>
                <w:b/>
                <w:spacing w:val="-2"/>
                <w:vertAlign w:val="superscript"/>
                <w:lang w:val="de-DE"/>
              </w:rPr>
              <w:t>1</w:t>
            </w:r>
          </w:p>
        </w:tc>
        <w:tc>
          <w:tcPr>
            <w:tcW w:w="817" w:type="pct"/>
            <w:vMerge w:val="restart"/>
            <w:tcBorders>
              <w:right w:val="nil"/>
            </w:tcBorders>
            <w:shd w:val="clear" w:color="auto" w:fill="FFC000" w:themeFill="accent4"/>
            <w:tcMar>
              <w:left w:w="57" w:type="dxa"/>
              <w:right w:w="57" w:type="dxa"/>
            </w:tcMar>
          </w:tcPr>
          <w:p w14:paraId="09A15DA2" w14:textId="77777777" w:rsidR="00FF7799" w:rsidRPr="00E73F6F" w:rsidRDefault="00FF7799" w:rsidP="001A1A41">
            <w:pPr>
              <w:pStyle w:val="StandardText"/>
              <w:keepLines/>
              <w:widowControl w:val="0"/>
              <w:spacing w:after="120"/>
              <w:jc w:val="center"/>
              <w:rPr>
                <w:lang w:val="de-DE"/>
              </w:rPr>
            </w:pPr>
          </w:p>
        </w:tc>
        <w:tc>
          <w:tcPr>
            <w:tcW w:w="1461" w:type="pct"/>
            <w:gridSpan w:val="2"/>
            <w:tcBorders>
              <w:left w:val="nil"/>
              <w:right w:val="nil"/>
            </w:tcBorders>
            <w:shd w:val="clear" w:color="auto" w:fill="FFC000" w:themeFill="accent4"/>
            <w:tcMar>
              <w:left w:w="57" w:type="dxa"/>
              <w:right w:w="57" w:type="dxa"/>
            </w:tcMar>
          </w:tcPr>
          <w:p w14:paraId="0E91BE16" w14:textId="77777777" w:rsidR="00FF7799" w:rsidRPr="00E73F6F" w:rsidRDefault="00FF7799" w:rsidP="001A1A41">
            <w:pPr>
              <w:pStyle w:val="StandardText"/>
              <w:keepLines/>
              <w:widowControl w:val="0"/>
              <w:spacing w:after="120"/>
              <w:jc w:val="center"/>
              <w:rPr>
                <w:b/>
                <w:lang w:val="de-DE"/>
              </w:rPr>
            </w:pPr>
            <w:r w:rsidRPr="00E73F6F">
              <w:rPr>
                <w:b/>
                <w:spacing w:val="-2"/>
                <w:lang w:val="de-DE"/>
              </w:rPr>
              <w:t>Nutzer</w:t>
            </w:r>
            <w:r w:rsidRPr="00E73F6F">
              <w:rPr>
                <w:b/>
                <w:spacing w:val="-2"/>
                <w:vertAlign w:val="superscript"/>
                <w:lang w:val="de-DE"/>
              </w:rPr>
              <w:t>1</w:t>
            </w:r>
          </w:p>
        </w:tc>
      </w:tr>
      <w:tr w:rsidR="00FF7799" w:rsidRPr="00E73F6F" w14:paraId="7F52A667" w14:textId="77777777" w:rsidTr="001A1A41">
        <w:trPr>
          <w:cantSplit/>
          <w:trHeight w:val="441"/>
        </w:trPr>
        <w:tc>
          <w:tcPr>
            <w:tcW w:w="887" w:type="pct"/>
            <w:vMerge/>
            <w:tcBorders>
              <w:top w:val="nil"/>
              <w:left w:val="nil"/>
              <w:right w:val="nil"/>
            </w:tcBorders>
            <w:shd w:val="clear" w:color="auto" w:fill="FFC000" w:themeFill="accent4"/>
            <w:tcMar>
              <w:left w:w="57" w:type="dxa"/>
              <w:right w:w="57" w:type="dxa"/>
            </w:tcMar>
          </w:tcPr>
          <w:p w14:paraId="1BE6F97C" w14:textId="77777777" w:rsidR="00FF7799" w:rsidRPr="00E73F6F" w:rsidRDefault="00FF7799" w:rsidP="001A1A41">
            <w:pPr>
              <w:pStyle w:val="StandardText"/>
              <w:keepLines/>
              <w:widowControl w:val="0"/>
              <w:spacing w:after="120"/>
              <w:jc w:val="center"/>
              <w:rPr>
                <w:lang w:val="de-DE"/>
              </w:rPr>
            </w:pPr>
          </w:p>
        </w:tc>
        <w:tc>
          <w:tcPr>
            <w:tcW w:w="933" w:type="pct"/>
            <w:tcBorders>
              <w:left w:val="nil"/>
              <w:right w:val="nil"/>
            </w:tcBorders>
            <w:shd w:val="clear" w:color="auto" w:fill="FFC000" w:themeFill="accent4"/>
            <w:tcMar>
              <w:left w:w="57" w:type="dxa"/>
              <w:right w:w="57" w:type="dxa"/>
            </w:tcMar>
          </w:tcPr>
          <w:p w14:paraId="06FDBE0D" w14:textId="77777777" w:rsidR="00FF7799" w:rsidRPr="00E73F6F" w:rsidRDefault="00FF7799" w:rsidP="001A1A41">
            <w:pPr>
              <w:pStyle w:val="StandardText"/>
              <w:keepLines/>
              <w:widowControl w:val="0"/>
              <w:spacing w:after="120"/>
              <w:jc w:val="center"/>
              <w:rPr>
                <w:i/>
                <w:lang w:val="de-DE"/>
              </w:rPr>
            </w:pPr>
            <w:r w:rsidRPr="00E73F6F">
              <w:rPr>
                <w:i/>
                <w:lang w:val="de-DE"/>
              </w:rPr>
              <w:t>(in</w:t>
            </w:r>
            <w:r w:rsidRPr="00E73F6F">
              <w:rPr>
                <w:i/>
                <w:spacing w:val="-3"/>
                <w:lang w:val="de-DE"/>
              </w:rPr>
              <w:t xml:space="preserve"> </w:t>
            </w:r>
            <w:r w:rsidRPr="00E73F6F">
              <w:rPr>
                <w:i/>
                <w:spacing w:val="-5"/>
                <w:lang w:val="de-DE"/>
              </w:rPr>
              <w:t>%)</w:t>
            </w:r>
          </w:p>
        </w:tc>
        <w:tc>
          <w:tcPr>
            <w:tcW w:w="902" w:type="pct"/>
            <w:tcBorders>
              <w:left w:val="nil"/>
            </w:tcBorders>
            <w:shd w:val="clear" w:color="auto" w:fill="FFC000" w:themeFill="accent4"/>
            <w:tcMar>
              <w:left w:w="57" w:type="dxa"/>
              <w:right w:w="57" w:type="dxa"/>
            </w:tcMar>
          </w:tcPr>
          <w:p w14:paraId="4F70AE72" w14:textId="77777777" w:rsidR="00FF7799" w:rsidRPr="00E73F6F" w:rsidRDefault="00FF7799" w:rsidP="001A1A41">
            <w:pPr>
              <w:pStyle w:val="StandardText"/>
              <w:keepLines/>
              <w:widowControl w:val="0"/>
              <w:spacing w:after="120"/>
              <w:jc w:val="center"/>
              <w:rPr>
                <w:i/>
                <w:lang w:val="de-DE"/>
              </w:rPr>
            </w:pPr>
            <w:r w:rsidRPr="00E73F6F">
              <w:rPr>
                <w:i/>
                <w:lang w:val="de-DE"/>
              </w:rPr>
              <w:t>(in</w:t>
            </w:r>
            <w:r w:rsidRPr="00E73F6F">
              <w:rPr>
                <w:i/>
                <w:spacing w:val="-4"/>
                <w:lang w:val="de-DE"/>
              </w:rPr>
              <w:t xml:space="preserve"> </w:t>
            </w:r>
            <w:r w:rsidRPr="00E73F6F">
              <w:rPr>
                <w:i/>
                <w:spacing w:val="-2"/>
                <w:lang w:val="de-DE"/>
              </w:rPr>
              <w:t>Mio.)</w:t>
            </w:r>
          </w:p>
        </w:tc>
        <w:tc>
          <w:tcPr>
            <w:tcW w:w="817" w:type="pct"/>
            <w:vMerge/>
            <w:tcBorders>
              <w:top w:val="nil"/>
              <w:right w:val="nil"/>
            </w:tcBorders>
            <w:shd w:val="clear" w:color="auto" w:fill="FFC000" w:themeFill="accent4"/>
            <w:tcMar>
              <w:left w:w="57" w:type="dxa"/>
              <w:right w:w="57" w:type="dxa"/>
            </w:tcMar>
          </w:tcPr>
          <w:p w14:paraId="30E12E52" w14:textId="77777777" w:rsidR="00FF7799" w:rsidRPr="00E73F6F" w:rsidRDefault="00FF7799" w:rsidP="001A1A41">
            <w:pPr>
              <w:pStyle w:val="StandardText"/>
              <w:keepLines/>
              <w:widowControl w:val="0"/>
              <w:spacing w:after="120"/>
              <w:jc w:val="center"/>
              <w:rPr>
                <w:lang w:val="de-DE"/>
              </w:rPr>
            </w:pPr>
          </w:p>
        </w:tc>
        <w:tc>
          <w:tcPr>
            <w:tcW w:w="504" w:type="pct"/>
            <w:tcBorders>
              <w:left w:val="nil"/>
              <w:right w:val="nil"/>
            </w:tcBorders>
            <w:shd w:val="clear" w:color="auto" w:fill="FFC000" w:themeFill="accent4"/>
            <w:tcMar>
              <w:left w:w="57" w:type="dxa"/>
              <w:right w:w="57" w:type="dxa"/>
            </w:tcMar>
          </w:tcPr>
          <w:p w14:paraId="49BAD0A3" w14:textId="77777777" w:rsidR="00FF7799" w:rsidRPr="00E73F6F" w:rsidRDefault="00FF7799" w:rsidP="001A1A41">
            <w:pPr>
              <w:pStyle w:val="StandardText"/>
              <w:keepLines/>
              <w:widowControl w:val="0"/>
              <w:spacing w:after="120"/>
              <w:jc w:val="center"/>
              <w:rPr>
                <w:i/>
                <w:lang w:val="de-DE"/>
              </w:rPr>
            </w:pPr>
            <w:r w:rsidRPr="00E73F6F">
              <w:rPr>
                <w:i/>
                <w:spacing w:val="-5"/>
                <w:lang w:val="de-DE"/>
              </w:rPr>
              <w:t>(in %)</w:t>
            </w:r>
          </w:p>
        </w:tc>
        <w:tc>
          <w:tcPr>
            <w:tcW w:w="957" w:type="pct"/>
            <w:tcBorders>
              <w:left w:val="nil"/>
              <w:right w:val="nil"/>
            </w:tcBorders>
            <w:shd w:val="clear" w:color="auto" w:fill="FFC000" w:themeFill="accent4"/>
            <w:tcMar>
              <w:left w:w="57" w:type="dxa"/>
              <w:right w:w="57" w:type="dxa"/>
            </w:tcMar>
          </w:tcPr>
          <w:p w14:paraId="1EE2D6AE" w14:textId="77777777" w:rsidR="00FF7799" w:rsidRPr="00E73F6F" w:rsidRDefault="00FF7799" w:rsidP="001A1A41">
            <w:pPr>
              <w:pStyle w:val="StandardText"/>
              <w:keepLines/>
              <w:widowControl w:val="0"/>
              <w:spacing w:after="120"/>
              <w:jc w:val="center"/>
              <w:rPr>
                <w:i/>
                <w:lang w:val="de-DE"/>
              </w:rPr>
            </w:pPr>
            <w:r w:rsidRPr="00E73F6F">
              <w:rPr>
                <w:i/>
                <w:lang w:val="de-DE"/>
              </w:rPr>
              <w:t>(in</w:t>
            </w:r>
            <w:r w:rsidRPr="00E73F6F">
              <w:rPr>
                <w:i/>
                <w:spacing w:val="-3"/>
                <w:lang w:val="de-DE"/>
              </w:rPr>
              <w:t xml:space="preserve"> </w:t>
            </w:r>
            <w:r w:rsidRPr="00E73F6F">
              <w:rPr>
                <w:i/>
                <w:spacing w:val="-2"/>
                <w:lang w:val="de-DE"/>
              </w:rPr>
              <w:t>Mio.)</w:t>
            </w:r>
          </w:p>
        </w:tc>
      </w:tr>
      <w:tr w:rsidR="00FF7799" w:rsidRPr="00E73F6F" w14:paraId="5B6C65AB" w14:textId="77777777" w:rsidTr="001A1A41">
        <w:trPr>
          <w:cantSplit/>
          <w:trHeight w:val="282"/>
        </w:trPr>
        <w:tc>
          <w:tcPr>
            <w:tcW w:w="887" w:type="pct"/>
            <w:tcBorders>
              <w:left w:val="nil"/>
              <w:right w:val="nil"/>
            </w:tcBorders>
            <w:tcMar>
              <w:left w:w="57" w:type="dxa"/>
              <w:right w:w="57" w:type="dxa"/>
            </w:tcMar>
          </w:tcPr>
          <w:p w14:paraId="20C6AB6A" w14:textId="77777777" w:rsidR="00FF7799" w:rsidRPr="00E73F6F" w:rsidRDefault="00FF7799" w:rsidP="001A1A41">
            <w:pPr>
              <w:pStyle w:val="StandardText"/>
              <w:keepLines/>
              <w:widowControl w:val="0"/>
              <w:rPr>
                <w:lang w:val="de-DE"/>
              </w:rPr>
            </w:pPr>
            <w:r w:rsidRPr="00E73F6F">
              <w:rPr>
                <w:spacing w:val="-2"/>
                <w:lang w:val="de-DE"/>
              </w:rPr>
              <w:t>Australien</w:t>
            </w:r>
          </w:p>
        </w:tc>
        <w:tc>
          <w:tcPr>
            <w:tcW w:w="933" w:type="pct"/>
            <w:tcBorders>
              <w:left w:val="nil"/>
              <w:right w:val="nil"/>
            </w:tcBorders>
            <w:tcMar>
              <w:left w:w="57" w:type="dxa"/>
              <w:right w:w="57" w:type="dxa"/>
            </w:tcMar>
          </w:tcPr>
          <w:p w14:paraId="00AACDDD" w14:textId="77777777" w:rsidR="00FF7799" w:rsidRPr="00E73F6F" w:rsidRDefault="00FF7799" w:rsidP="001A1A41">
            <w:pPr>
              <w:pStyle w:val="StandardText"/>
              <w:keepLines/>
              <w:widowControl w:val="0"/>
              <w:rPr>
                <w:lang w:val="de-DE"/>
              </w:rPr>
            </w:pPr>
            <w:r w:rsidRPr="00E73F6F">
              <w:rPr>
                <w:spacing w:val="-4"/>
                <w:lang w:val="de-DE"/>
              </w:rPr>
              <w:t>65,1</w:t>
            </w:r>
          </w:p>
        </w:tc>
        <w:tc>
          <w:tcPr>
            <w:tcW w:w="902" w:type="pct"/>
            <w:tcBorders>
              <w:left w:val="nil"/>
            </w:tcBorders>
            <w:tcMar>
              <w:left w:w="57" w:type="dxa"/>
              <w:right w:w="57" w:type="dxa"/>
            </w:tcMar>
          </w:tcPr>
          <w:p w14:paraId="33A84E49" w14:textId="77777777" w:rsidR="00FF7799" w:rsidRPr="00E73F6F" w:rsidRDefault="00FF7799" w:rsidP="001A1A41">
            <w:pPr>
              <w:pStyle w:val="StandardText"/>
              <w:keepLines/>
              <w:widowControl w:val="0"/>
              <w:rPr>
                <w:lang w:val="de-DE"/>
              </w:rPr>
            </w:pPr>
            <w:r w:rsidRPr="00E73F6F">
              <w:rPr>
                <w:spacing w:val="-4"/>
                <w:lang w:val="de-DE"/>
              </w:rPr>
              <w:t>12,7</w:t>
            </w:r>
          </w:p>
        </w:tc>
        <w:tc>
          <w:tcPr>
            <w:tcW w:w="817" w:type="pct"/>
            <w:tcBorders>
              <w:right w:val="nil"/>
            </w:tcBorders>
            <w:tcMar>
              <w:left w:w="57" w:type="dxa"/>
              <w:right w:w="57" w:type="dxa"/>
            </w:tcMar>
          </w:tcPr>
          <w:p w14:paraId="5AD0066F" w14:textId="77777777" w:rsidR="00FF7799" w:rsidRPr="00E73F6F" w:rsidRDefault="00FF7799" w:rsidP="001A1A41">
            <w:pPr>
              <w:pStyle w:val="StandardText"/>
              <w:keepLines/>
              <w:widowControl w:val="0"/>
              <w:rPr>
                <w:lang w:val="de-DE"/>
              </w:rPr>
            </w:pPr>
            <w:r w:rsidRPr="00E73F6F">
              <w:rPr>
                <w:spacing w:val="-2"/>
                <w:lang w:val="de-DE"/>
              </w:rPr>
              <w:t>Deutschland</w:t>
            </w:r>
          </w:p>
        </w:tc>
        <w:tc>
          <w:tcPr>
            <w:tcW w:w="504" w:type="pct"/>
            <w:tcBorders>
              <w:left w:val="nil"/>
              <w:right w:val="nil"/>
            </w:tcBorders>
            <w:tcMar>
              <w:left w:w="57" w:type="dxa"/>
              <w:right w:w="57" w:type="dxa"/>
            </w:tcMar>
          </w:tcPr>
          <w:p w14:paraId="7993B357" w14:textId="77777777" w:rsidR="00FF7799" w:rsidRPr="00E73F6F" w:rsidRDefault="00FF7799" w:rsidP="001A1A41">
            <w:pPr>
              <w:pStyle w:val="StandardText"/>
              <w:keepLines/>
              <w:widowControl w:val="0"/>
              <w:rPr>
                <w:lang w:val="de-DE"/>
              </w:rPr>
            </w:pPr>
            <w:r w:rsidRPr="00E73F6F">
              <w:rPr>
                <w:spacing w:val="-4"/>
                <w:lang w:val="de-DE"/>
              </w:rPr>
              <w:t>50,7</w:t>
            </w:r>
          </w:p>
        </w:tc>
        <w:tc>
          <w:tcPr>
            <w:tcW w:w="957" w:type="pct"/>
            <w:tcBorders>
              <w:left w:val="nil"/>
              <w:right w:val="nil"/>
            </w:tcBorders>
            <w:tcMar>
              <w:left w:w="57" w:type="dxa"/>
              <w:right w:w="57" w:type="dxa"/>
            </w:tcMar>
          </w:tcPr>
          <w:p w14:paraId="3253FF0D" w14:textId="77777777" w:rsidR="00FF7799" w:rsidRPr="00E73F6F" w:rsidRDefault="00FF7799" w:rsidP="001A1A41">
            <w:pPr>
              <w:pStyle w:val="StandardText"/>
              <w:keepLines/>
              <w:widowControl w:val="0"/>
              <w:rPr>
                <w:lang w:val="de-DE"/>
              </w:rPr>
            </w:pPr>
            <w:r w:rsidRPr="00E73F6F">
              <w:rPr>
                <w:spacing w:val="-4"/>
                <w:lang w:val="de-DE"/>
              </w:rPr>
              <w:t>42,2</w:t>
            </w:r>
          </w:p>
        </w:tc>
      </w:tr>
      <w:tr w:rsidR="00FF7799" w:rsidRPr="00E73F6F" w14:paraId="742D9A5E" w14:textId="77777777" w:rsidTr="001A1A41">
        <w:trPr>
          <w:cantSplit/>
          <w:trHeight w:val="280"/>
        </w:trPr>
        <w:tc>
          <w:tcPr>
            <w:tcW w:w="887" w:type="pct"/>
            <w:tcBorders>
              <w:left w:val="nil"/>
              <w:right w:val="nil"/>
            </w:tcBorders>
            <w:tcMar>
              <w:left w:w="57" w:type="dxa"/>
              <w:right w:w="57" w:type="dxa"/>
            </w:tcMar>
          </w:tcPr>
          <w:p w14:paraId="68854A0E" w14:textId="77777777" w:rsidR="00FF7799" w:rsidRPr="00E73F6F" w:rsidRDefault="00FF7799" w:rsidP="001A1A41">
            <w:pPr>
              <w:pStyle w:val="StandardText"/>
              <w:keepLines/>
              <w:widowControl w:val="0"/>
              <w:rPr>
                <w:lang w:val="de-DE"/>
              </w:rPr>
            </w:pPr>
            <w:r w:rsidRPr="00E73F6F">
              <w:rPr>
                <w:spacing w:val="-5"/>
                <w:lang w:val="de-DE"/>
              </w:rPr>
              <w:t>USA</w:t>
            </w:r>
          </w:p>
        </w:tc>
        <w:tc>
          <w:tcPr>
            <w:tcW w:w="933" w:type="pct"/>
            <w:tcBorders>
              <w:left w:val="nil"/>
              <w:right w:val="nil"/>
            </w:tcBorders>
            <w:tcMar>
              <w:left w:w="57" w:type="dxa"/>
              <w:right w:w="57" w:type="dxa"/>
            </w:tcMar>
          </w:tcPr>
          <w:p w14:paraId="5C76DB5E" w14:textId="77777777" w:rsidR="00FF7799" w:rsidRPr="00E73F6F" w:rsidRDefault="00FF7799" w:rsidP="001A1A41">
            <w:pPr>
              <w:pStyle w:val="StandardText"/>
              <w:keepLines/>
              <w:widowControl w:val="0"/>
              <w:rPr>
                <w:lang w:val="de-DE"/>
              </w:rPr>
            </w:pPr>
            <w:r w:rsidRPr="00E73F6F">
              <w:rPr>
                <w:spacing w:val="-4"/>
                <w:lang w:val="de-DE"/>
              </w:rPr>
              <w:t>64,1</w:t>
            </w:r>
          </w:p>
        </w:tc>
        <w:tc>
          <w:tcPr>
            <w:tcW w:w="902" w:type="pct"/>
            <w:tcBorders>
              <w:left w:val="nil"/>
            </w:tcBorders>
            <w:tcMar>
              <w:left w:w="57" w:type="dxa"/>
              <w:right w:w="57" w:type="dxa"/>
            </w:tcMar>
          </w:tcPr>
          <w:p w14:paraId="56CA8EA5" w14:textId="77777777" w:rsidR="00FF7799" w:rsidRPr="00E73F6F" w:rsidRDefault="00FF7799" w:rsidP="001A1A41">
            <w:pPr>
              <w:pStyle w:val="StandardText"/>
              <w:keepLines/>
              <w:widowControl w:val="0"/>
              <w:rPr>
                <w:lang w:val="de-DE"/>
              </w:rPr>
            </w:pPr>
            <w:r w:rsidRPr="00E73F6F">
              <w:rPr>
                <w:spacing w:val="-2"/>
                <w:lang w:val="de-DE"/>
              </w:rPr>
              <w:t>179,9</w:t>
            </w:r>
          </w:p>
        </w:tc>
        <w:tc>
          <w:tcPr>
            <w:tcW w:w="817" w:type="pct"/>
            <w:tcBorders>
              <w:right w:val="nil"/>
            </w:tcBorders>
            <w:tcMar>
              <w:left w:w="57" w:type="dxa"/>
              <w:right w:w="57" w:type="dxa"/>
            </w:tcMar>
          </w:tcPr>
          <w:p w14:paraId="33CF468E" w14:textId="77777777" w:rsidR="00FF7799" w:rsidRPr="00E73F6F" w:rsidRDefault="00FF7799" w:rsidP="001A1A41">
            <w:pPr>
              <w:pStyle w:val="StandardText"/>
              <w:keepLines/>
              <w:widowControl w:val="0"/>
              <w:rPr>
                <w:lang w:val="de-DE"/>
              </w:rPr>
            </w:pPr>
            <w:r w:rsidRPr="00E73F6F">
              <w:rPr>
                <w:spacing w:val="-2"/>
                <w:lang w:val="de-DE"/>
              </w:rPr>
              <w:t>Japan</w:t>
            </w:r>
          </w:p>
        </w:tc>
        <w:tc>
          <w:tcPr>
            <w:tcW w:w="504" w:type="pct"/>
            <w:tcBorders>
              <w:left w:val="nil"/>
              <w:right w:val="nil"/>
            </w:tcBorders>
            <w:tcMar>
              <w:left w:w="57" w:type="dxa"/>
              <w:right w:w="57" w:type="dxa"/>
            </w:tcMar>
          </w:tcPr>
          <w:p w14:paraId="31D27DAB" w14:textId="77777777" w:rsidR="00FF7799" w:rsidRPr="00E73F6F" w:rsidRDefault="00FF7799" w:rsidP="001A1A41">
            <w:pPr>
              <w:pStyle w:val="StandardText"/>
              <w:keepLines/>
              <w:widowControl w:val="0"/>
              <w:rPr>
                <w:lang w:val="de-DE"/>
              </w:rPr>
            </w:pPr>
            <w:r w:rsidRPr="00E73F6F">
              <w:rPr>
                <w:spacing w:val="-4"/>
                <w:lang w:val="de-DE"/>
              </w:rPr>
              <w:t>46,8</w:t>
            </w:r>
          </w:p>
        </w:tc>
        <w:tc>
          <w:tcPr>
            <w:tcW w:w="957" w:type="pct"/>
            <w:tcBorders>
              <w:left w:val="nil"/>
              <w:right w:val="nil"/>
            </w:tcBorders>
            <w:tcMar>
              <w:left w:w="57" w:type="dxa"/>
              <w:right w:w="57" w:type="dxa"/>
            </w:tcMar>
          </w:tcPr>
          <w:p w14:paraId="732BD8EB" w14:textId="77777777" w:rsidR="00FF7799" w:rsidRPr="00E73F6F" w:rsidRDefault="00FF7799" w:rsidP="001A1A41">
            <w:pPr>
              <w:pStyle w:val="StandardText"/>
              <w:keepLines/>
              <w:widowControl w:val="0"/>
              <w:rPr>
                <w:lang w:val="de-DE"/>
              </w:rPr>
            </w:pPr>
            <w:r w:rsidRPr="00E73F6F">
              <w:rPr>
                <w:spacing w:val="-4"/>
                <w:lang w:val="de-DE"/>
              </w:rPr>
              <w:t>59,4</w:t>
            </w:r>
          </w:p>
        </w:tc>
      </w:tr>
      <w:tr w:rsidR="00FF7799" w:rsidRPr="00E73F6F" w14:paraId="1D700B23" w14:textId="77777777" w:rsidTr="001A1A41">
        <w:trPr>
          <w:cantSplit/>
          <w:trHeight w:val="280"/>
        </w:trPr>
        <w:tc>
          <w:tcPr>
            <w:tcW w:w="887" w:type="pct"/>
            <w:tcBorders>
              <w:left w:val="nil"/>
              <w:right w:val="nil"/>
            </w:tcBorders>
            <w:tcMar>
              <w:left w:w="57" w:type="dxa"/>
              <w:right w:w="57" w:type="dxa"/>
            </w:tcMar>
          </w:tcPr>
          <w:p w14:paraId="1487F0AD" w14:textId="77777777" w:rsidR="00FF7799" w:rsidRPr="00E73F6F" w:rsidRDefault="00FF7799" w:rsidP="001A1A41">
            <w:pPr>
              <w:pStyle w:val="StandardText"/>
              <w:keepLines/>
              <w:widowControl w:val="0"/>
              <w:rPr>
                <w:lang w:val="de-DE"/>
              </w:rPr>
            </w:pPr>
            <w:r w:rsidRPr="00E73F6F">
              <w:rPr>
                <w:spacing w:val="-2"/>
                <w:lang w:val="de-DE"/>
              </w:rPr>
              <w:t>Skandinavien</w:t>
            </w:r>
          </w:p>
        </w:tc>
        <w:tc>
          <w:tcPr>
            <w:tcW w:w="933" w:type="pct"/>
            <w:tcBorders>
              <w:left w:val="nil"/>
              <w:right w:val="nil"/>
            </w:tcBorders>
            <w:tcMar>
              <w:left w:w="57" w:type="dxa"/>
              <w:right w:w="57" w:type="dxa"/>
            </w:tcMar>
          </w:tcPr>
          <w:p w14:paraId="3E28DF4F" w14:textId="77777777" w:rsidR="00FF7799" w:rsidRPr="00E73F6F" w:rsidRDefault="00FF7799" w:rsidP="001A1A41">
            <w:pPr>
              <w:pStyle w:val="StandardText"/>
              <w:keepLines/>
              <w:widowControl w:val="0"/>
              <w:rPr>
                <w:lang w:val="de-DE"/>
              </w:rPr>
            </w:pPr>
            <w:r w:rsidRPr="00E73F6F">
              <w:rPr>
                <w:spacing w:val="-4"/>
                <w:lang w:val="de-DE"/>
              </w:rPr>
              <w:t>61,3</w:t>
            </w:r>
          </w:p>
        </w:tc>
        <w:tc>
          <w:tcPr>
            <w:tcW w:w="902" w:type="pct"/>
            <w:tcBorders>
              <w:left w:val="nil"/>
            </w:tcBorders>
            <w:tcMar>
              <w:left w:w="57" w:type="dxa"/>
              <w:right w:w="57" w:type="dxa"/>
            </w:tcMar>
          </w:tcPr>
          <w:p w14:paraId="410BB7F6" w14:textId="77777777" w:rsidR="00FF7799" w:rsidRPr="00E73F6F" w:rsidRDefault="00FF7799" w:rsidP="001A1A41">
            <w:pPr>
              <w:pStyle w:val="StandardText"/>
              <w:keepLines/>
              <w:widowControl w:val="0"/>
              <w:rPr>
                <w:lang w:val="de-DE"/>
              </w:rPr>
            </w:pPr>
            <w:r w:rsidRPr="00E73F6F">
              <w:rPr>
                <w:spacing w:val="-4"/>
                <w:lang w:val="de-DE"/>
              </w:rPr>
              <w:t>14,7</w:t>
            </w:r>
          </w:p>
        </w:tc>
        <w:tc>
          <w:tcPr>
            <w:tcW w:w="817" w:type="pct"/>
            <w:tcBorders>
              <w:right w:val="nil"/>
            </w:tcBorders>
            <w:tcMar>
              <w:left w:w="57" w:type="dxa"/>
              <w:right w:w="57" w:type="dxa"/>
            </w:tcMar>
          </w:tcPr>
          <w:p w14:paraId="799D1F2C" w14:textId="77777777" w:rsidR="00FF7799" w:rsidRPr="00E73F6F" w:rsidRDefault="00FF7799" w:rsidP="001A1A41">
            <w:pPr>
              <w:pStyle w:val="StandardText"/>
              <w:keepLines/>
              <w:widowControl w:val="0"/>
              <w:rPr>
                <w:lang w:val="de-DE"/>
              </w:rPr>
            </w:pPr>
            <w:r w:rsidRPr="00E73F6F">
              <w:rPr>
                <w:spacing w:val="-2"/>
                <w:lang w:val="de-DE"/>
              </w:rPr>
              <w:t>Italien</w:t>
            </w:r>
          </w:p>
        </w:tc>
        <w:tc>
          <w:tcPr>
            <w:tcW w:w="504" w:type="pct"/>
            <w:tcBorders>
              <w:left w:val="nil"/>
              <w:right w:val="nil"/>
            </w:tcBorders>
            <w:tcMar>
              <w:left w:w="57" w:type="dxa"/>
              <w:right w:w="57" w:type="dxa"/>
            </w:tcMar>
          </w:tcPr>
          <w:p w14:paraId="1BC1CDC7" w14:textId="77777777" w:rsidR="00FF7799" w:rsidRPr="00E73F6F" w:rsidRDefault="00FF7799" w:rsidP="001A1A41">
            <w:pPr>
              <w:pStyle w:val="StandardText"/>
              <w:keepLines/>
              <w:widowControl w:val="0"/>
              <w:rPr>
                <w:lang w:val="de-DE"/>
              </w:rPr>
            </w:pPr>
            <w:r w:rsidRPr="00E73F6F">
              <w:rPr>
                <w:spacing w:val="-4"/>
                <w:lang w:val="de-DE"/>
              </w:rPr>
              <w:t>46,1</w:t>
            </w:r>
          </w:p>
        </w:tc>
        <w:tc>
          <w:tcPr>
            <w:tcW w:w="957" w:type="pct"/>
            <w:tcBorders>
              <w:left w:val="nil"/>
              <w:right w:val="nil"/>
            </w:tcBorders>
            <w:tcMar>
              <w:left w:w="57" w:type="dxa"/>
              <w:right w:w="57" w:type="dxa"/>
            </w:tcMar>
          </w:tcPr>
          <w:p w14:paraId="75000941" w14:textId="77777777" w:rsidR="00FF7799" w:rsidRPr="00E73F6F" w:rsidRDefault="00FF7799" w:rsidP="001A1A41">
            <w:pPr>
              <w:pStyle w:val="StandardText"/>
              <w:keepLines/>
              <w:widowControl w:val="0"/>
              <w:rPr>
                <w:lang w:val="de-DE"/>
              </w:rPr>
            </w:pPr>
            <w:r w:rsidRPr="00E73F6F">
              <w:rPr>
                <w:spacing w:val="-4"/>
                <w:lang w:val="de-DE"/>
              </w:rPr>
              <w:t>26,6</w:t>
            </w:r>
          </w:p>
        </w:tc>
      </w:tr>
      <w:tr w:rsidR="00FF7799" w:rsidRPr="00E73F6F" w14:paraId="45B8F0EF" w14:textId="77777777" w:rsidTr="001A1A41">
        <w:trPr>
          <w:cantSplit/>
          <w:trHeight w:val="280"/>
        </w:trPr>
        <w:tc>
          <w:tcPr>
            <w:tcW w:w="887" w:type="pct"/>
            <w:tcBorders>
              <w:left w:val="nil"/>
              <w:right w:val="nil"/>
            </w:tcBorders>
            <w:tcMar>
              <w:left w:w="57" w:type="dxa"/>
              <w:right w:w="57" w:type="dxa"/>
            </w:tcMar>
          </w:tcPr>
          <w:p w14:paraId="6E67EF64" w14:textId="77777777" w:rsidR="00FF7799" w:rsidRPr="00E73F6F" w:rsidRDefault="00FF7799" w:rsidP="001A1A41">
            <w:pPr>
              <w:pStyle w:val="StandardText"/>
              <w:keepLines/>
              <w:widowControl w:val="0"/>
              <w:rPr>
                <w:lang w:val="de-DE"/>
              </w:rPr>
            </w:pPr>
            <w:r w:rsidRPr="00E73F6F">
              <w:rPr>
                <w:lang w:val="de-DE"/>
              </w:rPr>
              <w:t>Hong</w:t>
            </w:r>
            <w:r w:rsidRPr="00E73F6F">
              <w:rPr>
                <w:spacing w:val="-3"/>
                <w:lang w:val="de-DE"/>
              </w:rPr>
              <w:t xml:space="preserve"> </w:t>
            </w:r>
            <w:r w:rsidRPr="00E73F6F">
              <w:rPr>
                <w:spacing w:val="-4"/>
                <w:lang w:val="de-DE"/>
              </w:rPr>
              <w:t>Kong</w:t>
            </w:r>
          </w:p>
        </w:tc>
        <w:tc>
          <w:tcPr>
            <w:tcW w:w="933" w:type="pct"/>
            <w:tcBorders>
              <w:left w:val="nil"/>
              <w:right w:val="nil"/>
            </w:tcBorders>
            <w:tcMar>
              <w:left w:w="57" w:type="dxa"/>
              <w:right w:w="57" w:type="dxa"/>
            </w:tcMar>
          </w:tcPr>
          <w:p w14:paraId="2457B994" w14:textId="77777777" w:rsidR="00FF7799" w:rsidRPr="00E73F6F" w:rsidRDefault="00FF7799" w:rsidP="001A1A41">
            <w:pPr>
              <w:pStyle w:val="StandardText"/>
              <w:keepLines/>
              <w:widowControl w:val="0"/>
              <w:rPr>
                <w:lang w:val="de-DE"/>
              </w:rPr>
            </w:pPr>
            <w:r w:rsidRPr="00E73F6F">
              <w:rPr>
                <w:spacing w:val="-4"/>
                <w:lang w:val="de-DE"/>
              </w:rPr>
              <w:t>60,3</w:t>
            </w:r>
          </w:p>
        </w:tc>
        <w:tc>
          <w:tcPr>
            <w:tcW w:w="902" w:type="pct"/>
            <w:tcBorders>
              <w:left w:val="nil"/>
            </w:tcBorders>
            <w:tcMar>
              <w:left w:w="57" w:type="dxa"/>
              <w:right w:w="57" w:type="dxa"/>
            </w:tcMar>
          </w:tcPr>
          <w:p w14:paraId="54772C1F" w14:textId="77777777" w:rsidR="00FF7799" w:rsidRPr="00E73F6F" w:rsidRDefault="00FF7799" w:rsidP="001A1A41">
            <w:pPr>
              <w:pStyle w:val="StandardText"/>
              <w:keepLines/>
              <w:widowControl w:val="0"/>
              <w:rPr>
                <w:lang w:val="de-DE"/>
              </w:rPr>
            </w:pPr>
            <w:r w:rsidRPr="00E73F6F">
              <w:rPr>
                <w:spacing w:val="-5"/>
                <w:lang w:val="de-DE"/>
              </w:rPr>
              <w:t>4,4</w:t>
            </w:r>
          </w:p>
        </w:tc>
        <w:tc>
          <w:tcPr>
            <w:tcW w:w="817" w:type="pct"/>
            <w:tcBorders>
              <w:right w:val="nil"/>
            </w:tcBorders>
            <w:tcMar>
              <w:left w:w="57" w:type="dxa"/>
              <w:right w:w="57" w:type="dxa"/>
            </w:tcMar>
          </w:tcPr>
          <w:p w14:paraId="7AE4746E" w14:textId="77777777" w:rsidR="00FF7799" w:rsidRPr="00E73F6F" w:rsidRDefault="00FF7799" w:rsidP="001A1A41">
            <w:pPr>
              <w:pStyle w:val="StandardText"/>
              <w:keepLines/>
              <w:widowControl w:val="0"/>
              <w:rPr>
                <w:lang w:val="de-DE"/>
              </w:rPr>
            </w:pPr>
            <w:r w:rsidRPr="00E73F6F">
              <w:rPr>
                <w:spacing w:val="-2"/>
                <w:lang w:val="de-DE"/>
              </w:rPr>
              <w:t>Frankreich</w:t>
            </w:r>
          </w:p>
        </w:tc>
        <w:tc>
          <w:tcPr>
            <w:tcW w:w="504" w:type="pct"/>
            <w:tcBorders>
              <w:left w:val="nil"/>
              <w:right w:val="nil"/>
            </w:tcBorders>
            <w:tcMar>
              <w:left w:w="57" w:type="dxa"/>
              <w:right w:w="57" w:type="dxa"/>
            </w:tcMar>
          </w:tcPr>
          <w:p w14:paraId="295391A1" w14:textId="77777777" w:rsidR="00FF7799" w:rsidRPr="00E73F6F" w:rsidRDefault="00FF7799" w:rsidP="001A1A41">
            <w:pPr>
              <w:pStyle w:val="StandardText"/>
              <w:keepLines/>
              <w:widowControl w:val="0"/>
              <w:rPr>
                <w:lang w:val="de-DE"/>
              </w:rPr>
            </w:pPr>
            <w:r w:rsidRPr="00E73F6F">
              <w:rPr>
                <w:spacing w:val="-4"/>
                <w:lang w:val="de-DE"/>
              </w:rPr>
              <w:t>31,8</w:t>
            </w:r>
          </w:p>
        </w:tc>
        <w:tc>
          <w:tcPr>
            <w:tcW w:w="957" w:type="pct"/>
            <w:tcBorders>
              <w:left w:val="nil"/>
              <w:right w:val="nil"/>
            </w:tcBorders>
            <w:tcMar>
              <w:left w:w="57" w:type="dxa"/>
              <w:right w:w="57" w:type="dxa"/>
            </w:tcMar>
          </w:tcPr>
          <w:p w14:paraId="06069619" w14:textId="77777777" w:rsidR="00FF7799" w:rsidRPr="00E73F6F" w:rsidRDefault="00FF7799" w:rsidP="001A1A41">
            <w:pPr>
              <w:pStyle w:val="StandardText"/>
              <w:keepLines/>
              <w:widowControl w:val="0"/>
              <w:rPr>
                <w:lang w:val="de-DE"/>
              </w:rPr>
            </w:pPr>
            <w:r w:rsidRPr="00E73F6F">
              <w:rPr>
                <w:spacing w:val="-4"/>
                <w:lang w:val="de-DE"/>
              </w:rPr>
              <w:t>19,0</w:t>
            </w:r>
          </w:p>
        </w:tc>
      </w:tr>
      <w:tr w:rsidR="00FF7799" w:rsidRPr="00E73F6F" w14:paraId="4A266AE7" w14:textId="77777777" w:rsidTr="001A1A41">
        <w:trPr>
          <w:cantSplit/>
          <w:trHeight w:val="280"/>
        </w:trPr>
        <w:tc>
          <w:tcPr>
            <w:tcW w:w="887" w:type="pct"/>
            <w:tcBorders>
              <w:left w:val="nil"/>
              <w:right w:val="nil"/>
            </w:tcBorders>
            <w:tcMar>
              <w:left w:w="57" w:type="dxa"/>
              <w:right w:w="57" w:type="dxa"/>
            </w:tcMar>
          </w:tcPr>
          <w:p w14:paraId="62FFCEF9" w14:textId="77777777" w:rsidR="00FF7799" w:rsidRPr="00E73F6F" w:rsidRDefault="00FF7799" w:rsidP="001A1A41">
            <w:pPr>
              <w:pStyle w:val="StandardText"/>
              <w:keepLines/>
              <w:widowControl w:val="0"/>
              <w:rPr>
                <w:lang w:val="de-DE"/>
              </w:rPr>
            </w:pPr>
            <w:r w:rsidRPr="00E73F6F">
              <w:rPr>
                <w:spacing w:val="-2"/>
                <w:lang w:val="de-DE"/>
              </w:rPr>
              <w:t>Großbritannien</w:t>
            </w:r>
          </w:p>
        </w:tc>
        <w:tc>
          <w:tcPr>
            <w:tcW w:w="933" w:type="pct"/>
            <w:tcBorders>
              <w:left w:val="nil"/>
              <w:right w:val="nil"/>
            </w:tcBorders>
            <w:tcMar>
              <w:left w:w="57" w:type="dxa"/>
              <w:right w:w="57" w:type="dxa"/>
            </w:tcMar>
          </w:tcPr>
          <w:p w14:paraId="0AB4119C" w14:textId="77777777" w:rsidR="00FF7799" w:rsidRPr="00E73F6F" w:rsidRDefault="00FF7799" w:rsidP="001A1A41">
            <w:pPr>
              <w:pStyle w:val="StandardText"/>
              <w:keepLines/>
              <w:widowControl w:val="0"/>
              <w:rPr>
                <w:lang w:val="de-DE"/>
              </w:rPr>
            </w:pPr>
            <w:r w:rsidRPr="00E73F6F">
              <w:rPr>
                <w:spacing w:val="-4"/>
                <w:lang w:val="de-DE"/>
              </w:rPr>
              <w:t>57,5</w:t>
            </w:r>
          </w:p>
        </w:tc>
        <w:tc>
          <w:tcPr>
            <w:tcW w:w="902" w:type="pct"/>
            <w:tcBorders>
              <w:left w:val="nil"/>
            </w:tcBorders>
            <w:tcMar>
              <w:left w:w="57" w:type="dxa"/>
              <w:right w:w="57" w:type="dxa"/>
            </w:tcMar>
          </w:tcPr>
          <w:p w14:paraId="39143768" w14:textId="77777777" w:rsidR="00FF7799" w:rsidRPr="00E73F6F" w:rsidRDefault="00FF7799" w:rsidP="001A1A41">
            <w:pPr>
              <w:pStyle w:val="StandardText"/>
              <w:keepLines/>
              <w:widowControl w:val="0"/>
              <w:rPr>
                <w:lang w:val="de-DE"/>
              </w:rPr>
            </w:pPr>
            <w:r w:rsidRPr="00E73F6F">
              <w:rPr>
                <w:spacing w:val="-4"/>
                <w:lang w:val="de-DE"/>
              </w:rPr>
              <w:t>34,4</w:t>
            </w:r>
          </w:p>
        </w:tc>
        <w:tc>
          <w:tcPr>
            <w:tcW w:w="817" w:type="pct"/>
            <w:tcBorders>
              <w:right w:val="nil"/>
            </w:tcBorders>
            <w:tcMar>
              <w:left w:w="57" w:type="dxa"/>
              <w:right w:w="57" w:type="dxa"/>
            </w:tcMar>
          </w:tcPr>
          <w:p w14:paraId="579E714A" w14:textId="77777777" w:rsidR="00FF7799" w:rsidRPr="00E73F6F" w:rsidRDefault="00FF7799" w:rsidP="001A1A41">
            <w:pPr>
              <w:pStyle w:val="StandardText"/>
              <w:keepLines/>
              <w:widowControl w:val="0"/>
              <w:rPr>
                <w:lang w:val="de-DE"/>
              </w:rPr>
            </w:pPr>
            <w:r w:rsidRPr="00E73F6F">
              <w:rPr>
                <w:spacing w:val="-2"/>
                <w:lang w:val="de-DE"/>
              </w:rPr>
              <w:t>Spanien</w:t>
            </w:r>
          </w:p>
        </w:tc>
        <w:tc>
          <w:tcPr>
            <w:tcW w:w="504" w:type="pct"/>
            <w:tcBorders>
              <w:left w:val="nil"/>
              <w:right w:val="nil"/>
            </w:tcBorders>
            <w:tcMar>
              <w:left w:w="57" w:type="dxa"/>
              <w:right w:w="57" w:type="dxa"/>
            </w:tcMar>
          </w:tcPr>
          <w:p w14:paraId="746CFBEC" w14:textId="77777777" w:rsidR="00FF7799" w:rsidRPr="00E73F6F" w:rsidRDefault="00FF7799" w:rsidP="001A1A41">
            <w:pPr>
              <w:pStyle w:val="StandardText"/>
              <w:keepLines/>
              <w:widowControl w:val="0"/>
              <w:rPr>
                <w:lang w:val="de-DE"/>
              </w:rPr>
            </w:pPr>
            <w:r w:rsidRPr="00E73F6F">
              <w:rPr>
                <w:spacing w:val="-4"/>
                <w:lang w:val="de-DE"/>
              </w:rPr>
              <w:t>30,7</w:t>
            </w:r>
          </w:p>
        </w:tc>
        <w:tc>
          <w:tcPr>
            <w:tcW w:w="957" w:type="pct"/>
            <w:tcBorders>
              <w:left w:val="nil"/>
              <w:right w:val="nil"/>
            </w:tcBorders>
            <w:tcMar>
              <w:left w:w="57" w:type="dxa"/>
              <w:right w:w="57" w:type="dxa"/>
            </w:tcMar>
          </w:tcPr>
          <w:p w14:paraId="140976FC" w14:textId="77777777" w:rsidR="00FF7799" w:rsidRPr="00E73F6F" w:rsidRDefault="00FF7799" w:rsidP="001A1A41">
            <w:pPr>
              <w:pStyle w:val="StandardText"/>
              <w:keepLines/>
              <w:widowControl w:val="0"/>
              <w:rPr>
                <w:lang w:val="de-DE"/>
              </w:rPr>
            </w:pPr>
            <w:r w:rsidRPr="00E73F6F">
              <w:rPr>
                <w:spacing w:val="-4"/>
                <w:lang w:val="de-DE"/>
              </w:rPr>
              <w:t>12,3</w:t>
            </w:r>
          </w:p>
        </w:tc>
      </w:tr>
      <w:tr w:rsidR="00FF7799" w:rsidRPr="00E73F6F" w14:paraId="0E01643E" w14:textId="77777777" w:rsidTr="001A1A41">
        <w:trPr>
          <w:cantSplit/>
          <w:trHeight w:val="282"/>
        </w:trPr>
        <w:tc>
          <w:tcPr>
            <w:tcW w:w="887" w:type="pct"/>
            <w:tcBorders>
              <w:left w:val="nil"/>
              <w:right w:val="nil"/>
            </w:tcBorders>
            <w:tcMar>
              <w:left w:w="57" w:type="dxa"/>
              <w:right w:w="57" w:type="dxa"/>
            </w:tcMar>
          </w:tcPr>
          <w:p w14:paraId="3EDFF317" w14:textId="77777777" w:rsidR="00FF7799" w:rsidRPr="00E73F6F" w:rsidRDefault="00FF7799" w:rsidP="001A1A41">
            <w:pPr>
              <w:pStyle w:val="StandardText"/>
              <w:keepLines/>
              <w:widowControl w:val="0"/>
              <w:rPr>
                <w:lang w:val="de-DE"/>
              </w:rPr>
            </w:pPr>
            <w:r w:rsidRPr="00E73F6F">
              <w:rPr>
                <w:spacing w:val="-2"/>
                <w:lang w:val="de-DE"/>
              </w:rPr>
              <w:t>Singapur</w:t>
            </w:r>
            <w:r w:rsidRPr="00E73F6F">
              <w:rPr>
                <w:spacing w:val="-2"/>
                <w:vertAlign w:val="superscript"/>
                <w:lang w:val="de-DE"/>
              </w:rPr>
              <w:t>2</w:t>
            </w:r>
          </w:p>
        </w:tc>
        <w:tc>
          <w:tcPr>
            <w:tcW w:w="933" w:type="pct"/>
            <w:tcBorders>
              <w:left w:val="nil"/>
              <w:right w:val="nil"/>
            </w:tcBorders>
            <w:tcMar>
              <w:left w:w="57" w:type="dxa"/>
              <w:right w:w="57" w:type="dxa"/>
            </w:tcMar>
          </w:tcPr>
          <w:p w14:paraId="307D84A9" w14:textId="77777777" w:rsidR="00FF7799" w:rsidRPr="00E73F6F" w:rsidRDefault="00FF7799" w:rsidP="001A1A41">
            <w:pPr>
              <w:pStyle w:val="StandardText"/>
              <w:keepLines/>
              <w:widowControl w:val="0"/>
              <w:rPr>
                <w:lang w:val="de-DE"/>
              </w:rPr>
            </w:pPr>
            <w:r w:rsidRPr="00E73F6F">
              <w:rPr>
                <w:spacing w:val="-4"/>
                <w:lang w:val="de-DE"/>
              </w:rPr>
              <w:t>51,1</w:t>
            </w:r>
          </w:p>
        </w:tc>
        <w:tc>
          <w:tcPr>
            <w:tcW w:w="902" w:type="pct"/>
            <w:tcBorders>
              <w:left w:val="nil"/>
            </w:tcBorders>
            <w:tcMar>
              <w:left w:w="57" w:type="dxa"/>
              <w:right w:w="57" w:type="dxa"/>
            </w:tcMar>
          </w:tcPr>
          <w:p w14:paraId="5A570FED" w14:textId="77777777" w:rsidR="00FF7799" w:rsidRPr="00E73F6F" w:rsidRDefault="00FF7799" w:rsidP="001A1A41">
            <w:pPr>
              <w:pStyle w:val="StandardText"/>
              <w:keepLines/>
              <w:widowControl w:val="0"/>
              <w:rPr>
                <w:lang w:val="de-DE"/>
              </w:rPr>
            </w:pPr>
            <w:r w:rsidRPr="00E73F6F">
              <w:rPr>
                <w:spacing w:val="-5"/>
                <w:lang w:val="de-DE"/>
              </w:rPr>
              <w:t>2,3</w:t>
            </w:r>
          </w:p>
        </w:tc>
        <w:tc>
          <w:tcPr>
            <w:tcW w:w="2277" w:type="pct"/>
            <w:gridSpan w:val="3"/>
            <w:tcBorders>
              <w:right w:val="nil"/>
            </w:tcBorders>
            <w:tcMar>
              <w:left w:w="57" w:type="dxa"/>
              <w:right w:w="57" w:type="dxa"/>
            </w:tcMar>
          </w:tcPr>
          <w:p w14:paraId="590ACA57" w14:textId="77777777" w:rsidR="00FF7799" w:rsidRPr="00E73F6F" w:rsidRDefault="00FF7799" w:rsidP="001A1A41">
            <w:pPr>
              <w:pStyle w:val="StandardText"/>
              <w:keepLines/>
              <w:widowControl w:val="0"/>
              <w:rPr>
                <w:lang w:val="de-DE"/>
              </w:rPr>
            </w:pPr>
          </w:p>
        </w:tc>
      </w:tr>
    </w:tbl>
    <w:p w14:paraId="666F62EE" w14:textId="77777777" w:rsidR="00FF7799" w:rsidRPr="00E73F6F" w:rsidRDefault="00FF7799" w:rsidP="001A1A41">
      <w:pPr>
        <w:pStyle w:val="Quellen"/>
        <w:widowControl w:val="0"/>
      </w:pPr>
      <w:r w:rsidRPr="00E73F6F">
        <w:t xml:space="preserve">Anmerkungen: </w:t>
      </w:r>
      <w:r w:rsidRPr="00E73F6F">
        <w:rPr>
          <w:vertAlign w:val="superscript"/>
        </w:rPr>
        <w:t>1</w:t>
      </w:r>
      <w:r w:rsidRPr="00E73F6F">
        <w:t xml:space="preserve"> zu Hause und bei der Arbeit, Januar 2003; </w:t>
      </w:r>
      <w:r w:rsidRPr="00E73F6F">
        <w:rPr>
          <w:vertAlign w:val="superscript"/>
        </w:rPr>
        <w:t>2</w:t>
      </w:r>
      <w:r w:rsidRPr="00E73F6F">
        <w:t xml:space="preserve"> nur zu Hause, Mai 2002</w:t>
      </w:r>
    </w:p>
    <w:p w14:paraId="5A333E71" w14:textId="77777777" w:rsidR="00FF7799" w:rsidRPr="00E73F6F" w:rsidRDefault="00FF7799" w:rsidP="001A1A41">
      <w:pPr>
        <w:pStyle w:val="Quellen"/>
        <w:widowControl w:val="0"/>
      </w:pPr>
      <w:r w:rsidRPr="00E73F6F">
        <w:t>Quelle:</w:t>
      </w:r>
      <w:r w:rsidRPr="00E73F6F">
        <w:tab/>
        <w:t>NFO Infratest</w:t>
      </w:r>
      <w:r w:rsidRPr="00E73F6F">
        <w:rPr>
          <w:spacing w:val="-1"/>
        </w:rPr>
        <w:t xml:space="preserve"> </w:t>
      </w:r>
      <w:r w:rsidRPr="00E73F6F">
        <w:t>(2003).</w:t>
      </w:r>
    </w:p>
    <w:p w14:paraId="7AEF6A29" w14:textId="77777777" w:rsidR="00FF7799" w:rsidRPr="00E73F6F" w:rsidRDefault="00FF7799" w:rsidP="00862DBA">
      <w:pPr>
        <w:rPr>
          <w:sz w:val="24"/>
          <w:szCs w:val="24"/>
        </w:rPr>
      </w:pPr>
    </w:p>
    <w:p w14:paraId="4DC8A36D" w14:textId="77777777" w:rsidR="00FF7799" w:rsidRPr="008F7599" w:rsidRDefault="00FF7799" w:rsidP="001A1A41">
      <w:pPr>
        <w:pStyle w:val="StandardText"/>
        <w:rPr>
          <w:sz w:val="22"/>
          <w:szCs w:val="22"/>
          <w:lang w:val="en-US"/>
        </w:rPr>
      </w:pPr>
      <w:r w:rsidRPr="008F7599">
        <w:rPr>
          <w:b/>
          <w:i/>
          <w:sz w:val="22"/>
          <w:szCs w:val="22"/>
        </w:rPr>
        <w:lastRenderedPageBreak/>
        <w:t>Literatur:</w:t>
      </w:r>
      <w:r w:rsidRPr="008F7599">
        <w:rPr>
          <w:b/>
          <w:sz w:val="22"/>
          <w:szCs w:val="22"/>
        </w:rPr>
        <w:t xml:space="preserve"> </w:t>
      </w:r>
      <w:r w:rsidRPr="008F7599">
        <w:rPr>
          <w:sz w:val="22"/>
          <w:szCs w:val="22"/>
        </w:rPr>
        <w:t>Bauer, E. (2009): Internationale Marketingforschung, 4.Aufl., München:</w:t>
      </w:r>
      <w:r w:rsidRPr="008F7599">
        <w:rPr>
          <w:spacing w:val="40"/>
          <w:sz w:val="22"/>
          <w:szCs w:val="22"/>
        </w:rPr>
        <w:t xml:space="preserve"> </w:t>
      </w:r>
      <w:r w:rsidRPr="008F7599">
        <w:rPr>
          <w:sz w:val="22"/>
          <w:szCs w:val="22"/>
        </w:rPr>
        <w:t>Oldenbourg.</w:t>
      </w:r>
      <w:r w:rsidRPr="008F7599">
        <w:rPr>
          <w:spacing w:val="40"/>
          <w:sz w:val="22"/>
          <w:szCs w:val="22"/>
        </w:rPr>
        <w:t xml:space="preserve"> </w:t>
      </w:r>
      <w:r w:rsidRPr="008F7599">
        <w:rPr>
          <w:sz w:val="22"/>
          <w:szCs w:val="22"/>
        </w:rPr>
        <w:t>Müller,</w:t>
      </w:r>
      <w:r w:rsidRPr="008F7599">
        <w:rPr>
          <w:spacing w:val="-10"/>
          <w:sz w:val="22"/>
          <w:szCs w:val="22"/>
        </w:rPr>
        <w:t xml:space="preserve"> </w:t>
      </w:r>
      <w:r w:rsidRPr="008F7599">
        <w:rPr>
          <w:sz w:val="22"/>
          <w:szCs w:val="22"/>
        </w:rPr>
        <w:t>S.;</w:t>
      </w:r>
      <w:r w:rsidRPr="008F7599">
        <w:rPr>
          <w:spacing w:val="-10"/>
          <w:sz w:val="22"/>
          <w:szCs w:val="22"/>
        </w:rPr>
        <w:t xml:space="preserve"> </w:t>
      </w:r>
      <w:r w:rsidRPr="008F7599">
        <w:rPr>
          <w:sz w:val="22"/>
          <w:szCs w:val="22"/>
        </w:rPr>
        <w:t>Gelbrich,</w:t>
      </w:r>
      <w:r w:rsidRPr="008F7599">
        <w:rPr>
          <w:spacing w:val="-10"/>
          <w:sz w:val="22"/>
          <w:szCs w:val="22"/>
        </w:rPr>
        <w:t xml:space="preserve"> </w:t>
      </w:r>
      <w:r w:rsidRPr="008F7599">
        <w:rPr>
          <w:sz w:val="22"/>
          <w:szCs w:val="22"/>
        </w:rPr>
        <w:t>K.</w:t>
      </w:r>
      <w:r w:rsidRPr="008F7599">
        <w:rPr>
          <w:spacing w:val="-10"/>
          <w:sz w:val="22"/>
          <w:szCs w:val="22"/>
        </w:rPr>
        <w:t xml:space="preserve"> </w:t>
      </w:r>
      <w:r w:rsidRPr="008F7599">
        <w:rPr>
          <w:sz w:val="22"/>
          <w:szCs w:val="22"/>
        </w:rPr>
        <w:t>(2015):</w:t>
      </w:r>
      <w:r w:rsidRPr="008F7599">
        <w:rPr>
          <w:spacing w:val="-7"/>
          <w:sz w:val="22"/>
          <w:szCs w:val="22"/>
        </w:rPr>
        <w:t xml:space="preserve"> </w:t>
      </w:r>
      <w:r w:rsidRPr="008F7599">
        <w:rPr>
          <w:sz w:val="22"/>
          <w:szCs w:val="22"/>
        </w:rPr>
        <w:t>Interkulturelles</w:t>
      </w:r>
      <w:r w:rsidRPr="008F7599">
        <w:rPr>
          <w:spacing w:val="-10"/>
          <w:sz w:val="22"/>
          <w:szCs w:val="22"/>
        </w:rPr>
        <w:t xml:space="preserve"> </w:t>
      </w:r>
      <w:r w:rsidRPr="008F7599">
        <w:rPr>
          <w:sz w:val="22"/>
          <w:szCs w:val="22"/>
        </w:rPr>
        <w:t>Marketing,</w:t>
      </w:r>
      <w:r w:rsidRPr="008F7599">
        <w:rPr>
          <w:spacing w:val="-10"/>
          <w:sz w:val="22"/>
          <w:szCs w:val="22"/>
        </w:rPr>
        <w:t xml:space="preserve"> </w:t>
      </w:r>
      <w:r w:rsidRPr="008F7599">
        <w:rPr>
          <w:sz w:val="22"/>
          <w:szCs w:val="22"/>
        </w:rPr>
        <w:t>2.</w:t>
      </w:r>
      <w:r w:rsidRPr="008F7599">
        <w:rPr>
          <w:spacing w:val="-10"/>
          <w:sz w:val="22"/>
          <w:szCs w:val="22"/>
        </w:rPr>
        <w:t xml:space="preserve"> </w:t>
      </w:r>
      <w:r w:rsidRPr="008F7599">
        <w:rPr>
          <w:sz w:val="22"/>
          <w:szCs w:val="22"/>
        </w:rPr>
        <w:t>Aufl.,</w:t>
      </w:r>
      <w:r w:rsidRPr="008F7599">
        <w:rPr>
          <w:spacing w:val="-10"/>
          <w:sz w:val="22"/>
          <w:szCs w:val="22"/>
        </w:rPr>
        <w:t xml:space="preserve"> </w:t>
      </w:r>
      <w:r w:rsidRPr="008F7599">
        <w:rPr>
          <w:sz w:val="22"/>
          <w:szCs w:val="22"/>
        </w:rPr>
        <w:t>München:</w:t>
      </w:r>
      <w:r w:rsidRPr="008F7599">
        <w:rPr>
          <w:spacing w:val="40"/>
          <w:sz w:val="22"/>
          <w:szCs w:val="22"/>
        </w:rPr>
        <w:t xml:space="preserve"> </w:t>
      </w:r>
      <w:r w:rsidRPr="008F7599">
        <w:rPr>
          <w:sz w:val="22"/>
          <w:szCs w:val="22"/>
        </w:rPr>
        <w:t>Vahlen.</w:t>
      </w:r>
      <w:r w:rsidRPr="008F7599">
        <w:rPr>
          <w:spacing w:val="80"/>
          <w:sz w:val="22"/>
          <w:szCs w:val="22"/>
        </w:rPr>
        <w:t xml:space="preserve"> </w:t>
      </w:r>
      <w:r w:rsidRPr="006A285F">
        <w:rPr>
          <w:sz w:val="22"/>
          <w:szCs w:val="22"/>
          <w:lang w:val="en-US"/>
        </w:rPr>
        <w:t>Levy, B.; Berry, A.; Nugent, J.B. (1999): Fulfilling the Export Potential of Small</w:t>
      </w:r>
      <w:r w:rsidRPr="006A285F">
        <w:rPr>
          <w:spacing w:val="40"/>
          <w:sz w:val="22"/>
          <w:szCs w:val="22"/>
          <w:lang w:val="en-US"/>
        </w:rPr>
        <w:t xml:space="preserve"> </w:t>
      </w:r>
      <w:r w:rsidRPr="006A285F">
        <w:rPr>
          <w:sz w:val="22"/>
          <w:szCs w:val="22"/>
          <w:lang w:val="en-US"/>
        </w:rPr>
        <w:t>and Medium Firms, Dordrecht: Kluwer.</w:t>
      </w:r>
      <w:r w:rsidRPr="006A285F">
        <w:rPr>
          <w:spacing w:val="40"/>
          <w:sz w:val="22"/>
          <w:szCs w:val="22"/>
          <w:lang w:val="en-US"/>
        </w:rPr>
        <w:t xml:space="preserve"> </w:t>
      </w:r>
      <w:r w:rsidRPr="008F7599">
        <w:rPr>
          <w:sz w:val="22"/>
          <w:szCs w:val="22"/>
          <w:lang w:val="en-US"/>
        </w:rPr>
        <w:t>Keil, S.; Mack, R.S. (2006): Identifying Export</w:t>
      </w:r>
      <w:r w:rsidRPr="008F7599">
        <w:rPr>
          <w:spacing w:val="40"/>
          <w:sz w:val="22"/>
          <w:szCs w:val="22"/>
          <w:lang w:val="en-US"/>
        </w:rPr>
        <w:t xml:space="preserve"> </w:t>
      </w:r>
      <w:r w:rsidRPr="008F7599">
        <w:rPr>
          <w:sz w:val="22"/>
          <w:szCs w:val="22"/>
          <w:lang w:val="en-US"/>
        </w:rPr>
        <w:t>Potential</w:t>
      </w:r>
      <w:r w:rsidRPr="008F7599">
        <w:rPr>
          <w:spacing w:val="-1"/>
          <w:sz w:val="22"/>
          <w:szCs w:val="22"/>
          <w:lang w:val="en-US"/>
        </w:rPr>
        <w:t xml:space="preserve"> </w:t>
      </w:r>
      <w:r w:rsidRPr="008F7599">
        <w:rPr>
          <w:sz w:val="22"/>
          <w:szCs w:val="22"/>
          <w:lang w:val="en-US"/>
        </w:rPr>
        <w:t>in</w:t>
      </w:r>
      <w:r w:rsidRPr="008F7599">
        <w:rPr>
          <w:spacing w:val="-1"/>
          <w:sz w:val="22"/>
          <w:szCs w:val="22"/>
          <w:lang w:val="en-US"/>
        </w:rPr>
        <w:t xml:space="preserve"> </w:t>
      </w:r>
      <w:r w:rsidRPr="008F7599">
        <w:rPr>
          <w:sz w:val="22"/>
          <w:szCs w:val="22"/>
          <w:lang w:val="en-US"/>
        </w:rPr>
        <w:t>the Service</w:t>
      </w:r>
      <w:r w:rsidRPr="008F7599">
        <w:rPr>
          <w:spacing w:val="-1"/>
          <w:sz w:val="22"/>
          <w:szCs w:val="22"/>
          <w:lang w:val="en-US"/>
        </w:rPr>
        <w:t xml:space="preserve"> </w:t>
      </w:r>
      <w:r w:rsidRPr="008F7599">
        <w:rPr>
          <w:sz w:val="22"/>
          <w:szCs w:val="22"/>
          <w:lang w:val="en-US"/>
        </w:rPr>
        <w:t>Sector, Growth</w:t>
      </w:r>
      <w:r w:rsidRPr="008F7599">
        <w:rPr>
          <w:spacing w:val="-1"/>
          <w:sz w:val="22"/>
          <w:szCs w:val="22"/>
          <w:lang w:val="en-US"/>
        </w:rPr>
        <w:t xml:space="preserve"> </w:t>
      </w:r>
      <w:r w:rsidRPr="008F7599">
        <w:rPr>
          <w:sz w:val="22"/>
          <w:szCs w:val="22"/>
          <w:lang w:val="en-US"/>
        </w:rPr>
        <w:t>and</w:t>
      </w:r>
      <w:r w:rsidRPr="008F7599">
        <w:rPr>
          <w:spacing w:val="-1"/>
          <w:sz w:val="22"/>
          <w:szCs w:val="22"/>
          <w:lang w:val="en-US"/>
        </w:rPr>
        <w:t xml:space="preserve"> </w:t>
      </w:r>
      <w:r w:rsidRPr="008F7599">
        <w:rPr>
          <w:sz w:val="22"/>
          <w:szCs w:val="22"/>
          <w:lang w:val="en-US"/>
        </w:rPr>
        <w:t>Change, 17(2):</w:t>
      </w:r>
      <w:r w:rsidRPr="008F7599">
        <w:rPr>
          <w:spacing w:val="-1"/>
          <w:sz w:val="22"/>
          <w:szCs w:val="22"/>
          <w:lang w:val="en-US"/>
        </w:rPr>
        <w:t xml:space="preserve"> </w:t>
      </w:r>
      <w:r w:rsidRPr="008F7599">
        <w:rPr>
          <w:sz w:val="22"/>
          <w:szCs w:val="22"/>
          <w:lang w:val="en-US"/>
        </w:rPr>
        <w:t>1-10.</w:t>
      </w:r>
      <w:r w:rsidRPr="008F7599">
        <w:rPr>
          <w:spacing w:val="39"/>
          <w:sz w:val="22"/>
          <w:szCs w:val="22"/>
          <w:lang w:val="en-US"/>
        </w:rPr>
        <w:t xml:space="preserve"> </w:t>
      </w:r>
      <w:r w:rsidRPr="008F7599">
        <w:rPr>
          <w:sz w:val="22"/>
          <w:szCs w:val="22"/>
          <w:lang w:val="en-US"/>
        </w:rPr>
        <w:t>Dichtl,</w:t>
      </w:r>
      <w:r w:rsidRPr="008F7599">
        <w:rPr>
          <w:spacing w:val="-1"/>
          <w:sz w:val="22"/>
          <w:szCs w:val="22"/>
          <w:lang w:val="en-US"/>
        </w:rPr>
        <w:t xml:space="preserve"> </w:t>
      </w:r>
      <w:r w:rsidRPr="008F7599">
        <w:rPr>
          <w:sz w:val="22"/>
          <w:szCs w:val="22"/>
          <w:lang w:val="en-US"/>
        </w:rPr>
        <w:t>E.; Köglmayr, H.-</w:t>
      </w:r>
      <w:r w:rsidRPr="008F7599">
        <w:rPr>
          <w:spacing w:val="40"/>
          <w:sz w:val="22"/>
          <w:szCs w:val="22"/>
          <w:lang w:val="en-US"/>
        </w:rPr>
        <w:t xml:space="preserve"> </w:t>
      </w:r>
      <w:r w:rsidRPr="008F7599">
        <w:rPr>
          <w:sz w:val="22"/>
          <w:szCs w:val="22"/>
          <w:lang w:val="en-US"/>
        </w:rPr>
        <w:t>G.;</w:t>
      </w:r>
      <w:r w:rsidRPr="008F7599">
        <w:rPr>
          <w:spacing w:val="-3"/>
          <w:sz w:val="22"/>
          <w:szCs w:val="22"/>
          <w:lang w:val="en-US"/>
        </w:rPr>
        <w:t xml:space="preserve"> </w:t>
      </w:r>
      <w:r w:rsidRPr="008F7599">
        <w:rPr>
          <w:sz w:val="22"/>
          <w:szCs w:val="22"/>
          <w:lang w:val="en-US"/>
        </w:rPr>
        <w:t>Müller,</w:t>
      </w:r>
      <w:r w:rsidRPr="008F7599">
        <w:rPr>
          <w:spacing w:val="-4"/>
          <w:sz w:val="22"/>
          <w:szCs w:val="22"/>
          <w:lang w:val="en-US"/>
        </w:rPr>
        <w:t xml:space="preserve"> </w:t>
      </w:r>
      <w:r w:rsidRPr="008F7599">
        <w:rPr>
          <w:sz w:val="22"/>
          <w:szCs w:val="22"/>
          <w:lang w:val="en-US"/>
        </w:rPr>
        <w:t>S.</w:t>
      </w:r>
      <w:r w:rsidRPr="008F7599">
        <w:rPr>
          <w:spacing w:val="-1"/>
          <w:sz w:val="22"/>
          <w:szCs w:val="22"/>
          <w:lang w:val="en-US"/>
        </w:rPr>
        <w:t xml:space="preserve"> </w:t>
      </w:r>
      <w:r w:rsidRPr="008F7599">
        <w:rPr>
          <w:sz w:val="22"/>
          <w:szCs w:val="22"/>
          <w:lang w:val="en-US"/>
        </w:rPr>
        <w:t>(1986):</w:t>
      </w:r>
      <w:r w:rsidRPr="008F7599">
        <w:rPr>
          <w:spacing w:val="-1"/>
          <w:sz w:val="22"/>
          <w:szCs w:val="22"/>
          <w:lang w:val="en-US"/>
        </w:rPr>
        <w:t xml:space="preserve"> </w:t>
      </w:r>
      <w:r w:rsidRPr="008F7599">
        <w:rPr>
          <w:sz w:val="22"/>
          <w:szCs w:val="22"/>
          <w:lang w:val="en-US"/>
        </w:rPr>
        <w:t>Identifying</w:t>
      </w:r>
      <w:r w:rsidRPr="008F7599">
        <w:rPr>
          <w:spacing w:val="-1"/>
          <w:sz w:val="22"/>
          <w:szCs w:val="22"/>
          <w:lang w:val="en-US"/>
        </w:rPr>
        <w:t xml:space="preserve"> </w:t>
      </w:r>
      <w:r w:rsidRPr="008F7599">
        <w:rPr>
          <w:sz w:val="22"/>
          <w:szCs w:val="22"/>
          <w:lang w:val="en-US"/>
        </w:rPr>
        <w:t>Export</w:t>
      </w:r>
      <w:r w:rsidRPr="008F7599">
        <w:rPr>
          <w:spacing w:val="-1"/>
          <w:sz w:val="22"/>
          <w:szCs w:val="22"/>
          <w:lang w:val="en-US"/>
        </w:rPr>
        <w:t xml:space="preserve"> </w:t>
      </w:r>
      <w:r w:rsidRPr="008F7599">
        <w:rPr>
          <w:sz w:val="22"/>
          <w:szCs w:val="22"/>
          <w:lang w:val="en-US"/>
        </w:rPr>
        <w:t>Potential. A</w:t>
      </w:r>
      <w:r w:rsidRPr="008F7599">
        <w:rPr>
          <w:spacing w:val="-3"/>
          <w:sz w:val="22"/>
          <w:szCs w:val="22"/>
          <w:lang w:val="en-US"/>
        </w:rPr>
        <w:t xml:space="preserve"> </w:t>
      </w:r>
      <w:r w:rsidRPr="008F7599">
        <w:rPr>
          <w:sz w:val="22"/>
          <w:szCs w:val="22"/>
          <w:lang w:val="en-US"/>
        </w:rPr>
        <w:t>Comparative</w:t>
      </w:r>
      <w:r w:rsidRPr="008F7599">
        <w:rPr>
          <w:spacing w:val="-1"/>
          <w:sz w:val="22"/>
          <w:szCs w:val="22"/>
          <w:lang w:val="en-US"/>
        </w:rPr>
        <w:t xml:space="preserve"> </w:t>
      </w:r>
      <w:r w:rsidRPr="008F7599">
        <w:rPr>
          <w:sz w:val="22"/>
          <w:szCs w:val="22"/>
          <w:lang w:val="en-US"/>
        </w:rPr>
        <w:t>Analysis</w:t>
      </w:r>
      <w:r w:rsidRPr="008F7599">
        <w:rPr>
          <w:spacing w:val="-4"/>
          <w:sz w:val="22"/>
          <w:szCs w:val="22"/>
          <w:lang w:val="en-US"/>
        </w:rPr>
        <w:t xml:space="preserve"> </w:t>
      </w:r>
      <w:r w:rsidRPr="008F7599">
        <w:rPr>
          <w:sz w:val="22"/>
          <w:szCs w:val="22"/>
          <w:lang w:val="en-US"/>
        </w:rPr>
        <w:t>of</w:t>
      </w:r>
      <w:r w:rsidRPr="008F7599">
        <w:rPr>
          <w:spacing w:val="-3"/>
          <w:sz w:val="22"/>
          <w:szCs w:val="22"/>
          <w:lang w:val="en-US"/>
        </w:rPr>
        <w:t xml:space="preserve"> </w:t>
      </w:r>
      <w:r w:rsidRPr="008F7599">
        <w:rPr>
          <w:sz w:val="22"/>
          <w:szCs w:val="22"/>
          <w:lang w:val="en-US"/>
        </w:rPr>
        <w:t>German</w:t>
      </w:r>
      <w:r w:rsidRPr="008F7599">
        <w:rPr>
          <w:spacing w:val="-3"/>
          <w:sz w:val="22"/>
          <w:szCs w:val="22"/>
          <w:lang w:val="en-US"/>
        </w:rPr>
        <w:t xml:space="preserve"> </w:t>
      </w:r>
      <w:r w:rsidRPr="008F7599">
        <w:rPr>
          <w:sz w:val="22"/>
          <w:szCs w:val="22"/>
          <w:lang w:val="en-US"/>
        </w:rPr>
        <w:t>and</w:t>
      </w:r>
      <w:r w:rsidRPr="008F7599">
        <w:rPr>
          <w:spacing w:val="40"/>
          <w:sz w:val="22"/>
          <w:szCs w:val="22"/>
          <w:lang w:val="en-US"/>
        </w:rPr>
        <w:t xml:space="preserve"> </w:t>
      </w:r>
      <w:r w:rsidRPr="008F7599">
        <w:rPr>
          <w:sz w:val="22"/>
          <w:szCs w:val="22"/>
          <w:lang w:val="en-US"/>
        </w:rPr>
        <w:t>Japanese Firms, in: Cavusgil, S.T. (Ed.), Advances in International Marketing, Vol. 1, 233-</w:t>
      </w:r>
      <w:r w:rsidRPr="008F7599">
        <w:rPr>
          <w:spacing w:val="40"/>
          <w:sz w:val="22"/>
          <w:szCs w:val="22"/>
          <w:lang w:val="en-US"/>
        </w:rPr>
        <w:t xml:space="preserve"> </w:t>
      </w:r>
      <w:r w:rsidRPr="008F7599">
        <w:rPr>
          <w:sz w:val="22"/>
          <w:szCs w:val="22"/>
          <w:lang w:val="en-US"/>
        </w:rPr>
        <w:t>254, Greenwich/CN: JAI.</w:t>
      </w:r>
    </w:p>
    <w:p w14:paraId="2532623E" w14:textId="77777777" w:rsidR="00B62138" w:rsidRPr="00E35FFF" w:rsidRDefault="00B62138" w:rsidP="001A1A41">
      <w:pPr>
        <w:pStyle w:val="StandardText"/>
        <w:rPr>
          <w:lang w:val="en-US"/>
        </w:rPr>
      </w:pPr>
    </w:p>
    <w:p w14:paraId="18EFAF9B" w14:textId="77777777" w:rsidR="00FF7799" w:rsidRPr="00E73F6F" w:rsidRDefault="00FF7799" w:rsidP="002A0928">
      <w:pPr>
        <w:pStyle w:val="berschrift1"/>
      </w:pPr>
      <w:r w:rsidRPr="00E445CF">
        <w:rPr>
          <w:bCs w:val="0"/>
          <w:color w:val="2E74B5"/>
          <w:sz w:val="22"/>
        </w:rPr>
        <w:t>Internationale Preisdifferenzierung</w:t>
      </w:r>
      <w:r w:rsidRPr="00E73F6F">
        <w:rPr>
          <w:spacing w:val="-9"/>
        </w:rPr>
        <w:t xml:space="preserve"> </w:t>
      </w:r>
      <w:r w:rsidRPr="00E73F6F">
        <w:rPr>
          <w:b w:val="0"/>
        </w:rPr>
        <w:t>→</w:t>
      </w:r>
      <w:r w:rsidRPr="00E73F6F">
        <w:rPr>
          <w:b w:val="0"/>
          <w:spacing w:val="-10"/>
        </w:rPr>
        <w:t xml:space="preserve"> </w:t>
      </w:r>
      <w:r w:rsidRPr="00E73F6F">
        <w:rPr>
          <w:b w:val="0"/>
        </w:rPr>
        <w:t xml:space="preserve">Preisdifferenzierung, </w:t>
      </w:r>
      <w:r w:rsidRPr="00E73F6F">
        <w:rPr>
          <w:b w:val="0"/>
          <w:spacing w:val="-2"/>
        </w:rPr>
        <w:t>internationale</w:t>
      </w:r>
    </w:p>
    <w:p w14:paraId="3E3080EF" w14:textId="77777777" w:rsidR="0001591A" w:rsidRPr="00E445CF" w:rsidRDefault="0001591A" w:rsidP="0001591A">
      <w:pPr>
        <w:pStyle w:val="berschrift1"/>
        <w:rPr>
          <w:bCs w:val="0"/>
          <w:color w:val="2E74B5"/>
          <w:sz w:val="22"/>
        </w:rPr>
      </w:pPr>
      <w:bookmarkStart w:id="28" w:name="_Toc27295300"/>
      <w:bookmarkStart w:id="29" w:name="_Toc64356813"/>
      <w:bookmarkStart w:id="30" w:name="_Toc73438010"/>
      <w:bookmarkStart w:id="31" w:name="_Toc75174957"/>
      <w:bookmarkStart w:id="32" w:name="_Toc403803079"/>
      <w:r w:rsidRPr="00E445CF">
        <w:rPr>
          <w:bCs w:val="0"/>
          <w:color w:val="2E74B5"/>
          <w:sz w:val="22"/>
        </w:rPr>
        <w:t xml:space="preserve">Interkulturelles Management </w:t>
      </w:r>
    </w:p>
    <w:p w14:paraId="65CF306E" w14:textId="77777777" w:rsidR="0001591A" w:rsidRPr="00E73F6F" w:rsidRDefault="0001591A" w:rsidP="0001591A">
      <w:pPr>
        <w:pStyle w:val="StandardText"/>
      </w:pPr>
      <w:r w:rsidRPr="00E73F6F">
        <w:t>trägt dem Umstand Rechnung, dass Manager eine multiple kulturelle Sozialisation erfahren: neben der Landeskultur durch die Branchen- und die Unternehmenskultur. Dies führt zu der Frage, wie diese Diversität die klassischen Managementfunktionen beeinflusst: Planung, Organisation und Kontrolle von Arbeitsprozessen (vgl. Engelen/Tholen 2014). Wurden Mitarbeiter kulturell unterschiedlich geprägt, sind entsprechend divergierende Wahrnehmungen, Denk- und Arbeitsstile wahrscheinlich (vgl. Browaeys/Price 2011). Daraus leitet sich die Frage ab, ob diese Form von Diversität als Bereicherung, d.h. als kulturelle Synergie erlebt und gefördert, ignoriert oder als Problem wahrgenommen wird. Weitere zentrale Themen sind u.a. (in alphabetischer Reihenfolge): Change Management, Corporate Governance, Diversity Management, Entsendung</w:t>
      </w:r>
      <w:r w:rsidR="00B83089">
        <w:t xml:space="preserve"> (</w:t>
      </w:r>
      <w:r w:rsidR="00B83089">
        <w:sym w:font="Symbol" w:char="F0DE"/>
      </w:r>
      <w:r w:rsidR="00B83089">
        <w:t xml:space="preserve"> Auslandsentsendung)</w:t>
      </w:r>
      <w:r w:rsidRPr="00E73F6F">
        <w:t>, Führung, interkulturelle Kompetenz, interkulturelle Kommunikation, Konfliktmanagement, Kulturtransfer, multikulturelle Teams</w:t>
      </w:r>
      <w:r>
        <w:t xml:space="preserve"> (</w:t>
      </w:r>
      <w:r>
        <w:sym w:font="Symbol" w:char="F0DE"/>
      </w:r>
      <w:r>
        <w:t xml:space="preserve"> Kompetenz, interkulturelle)</w:t>
      </w:r>
      <w:r w:rsidRPr="00E73F6F">
        <w:t xml:space="preserve">. </w:t>
      </w:r>
    </w:p>
    <w:p w14:paraId="5881E378" w14:textId="77777777" w:rsidR="0001591A" w:rsidRPr="00E73F6F" w:rsidRDefault="0001591A" w:rsidP="0001591A">
      <w:pPr>
        <w:pStyle w:val="StandardText"/>
      </w:pPr>
    </w:p>
    <w:p w14:paraId="0A0067EF" w14:textId="77777777" w:rsidR="0001591A" w:rsidRPr="00B96B80" w:rsidRDefault="0001591A" w:rsidP="0001591A">
      <w:pPr>
        <w:pStyle w:val="StandardTextkursiv"/>
        <w:rPr>
          <w:i w:val="0"/>
        </w:rPr>
      </w:pPr>
      <w:r w:rsidRPr="00B96B80">
        <w:rPr>
          <w:i w:val="0"/>
        </w:rPr>
        <w:t>1 Vorläufer des Interkulturellen Management</w:t>
      </w:r>
    </w:p>
    <w:p w14:paraId="4CA00088" w14:textId="77777777" w:rsidR="0001591A" w:rsidRPr="00B96B80" w:rsidRDefault="0001591A" w:rsidP="0001591A">
      <w:pPr>
        <w:pStyle w:val="StandardTextkursiv"/>
        <w:rPr>
          <w:i w:val="0"/>
        </w:rPr>
      </w:pPr>
      <w:r w:rsidRPr="00B96B80">
        <w:rPr>
          <w:i w:val="0"/>
        </w:rPr>
        <w:t xml:space="preserve">1.1 Cross-Nation Management </w:t>
      </w:r>
    </w:p>
    <w:p w14:paraId="314150E7" w14:textId="77777777" w:rsidR="0001591A" w:rsidRPr="00B96B80" w:rsidRDefault="0001591A" w:rsidP="0001591A">
      <w:pPr>
        <w:pStyle w:val="StandardText"/>
      </w:pPr>
      <w:r w:rsidRPr="00B96B80">
        <w:t xml:space="preserve">Begründet wurde diese Disziplin, die in Deutschland Landeskulturforschung genannt wurde, durch die Arbeit </w:t>
      </w:r>
      <w:r w:rsidRPr="00B96B80">
        <w:rPr>
          <w:bCs/>
        </w:rPr>
        <w:t>„Management in the Industrial World“</w:t>
      </w:r>
      <w:r w:rsidRPr="00B96B80">
        <w:t xml:space="preserve">. Harbison/Myers (1959) untersuchten darin den Einfluss der industriellen Entwicklung auf Management-Theorie und Management-Praxis in zwölf Ländern (Ägypten, Chile, Deutschland, Frankreich, Großbritannien, Indien, Israel, Italien, Japan, Schweden, Sowjetunion, USA). Da sie diese Länder jedoch nicht systematisch miteinander verglichen, sondern explizit oder implizit an den USA gemessen wurden, handelt es sich streng genommen nicht um eine kulturvergleichende Studie (vgl. Schmid 1996, S.246f.). Einen weiteren Markstein setzte damals die Studie </w:t>
      </w:r>
      <w:r w:rsidRPr="00B96B80">
        <w:rPr>
          <w:bCs/>
        </w:rPr>
        <w:t>„Managerial Thinking. An International Study“</w:t>
      </w:r>
      <w:r w:rsidRPr="00B96B80">
        <w:t>, in welcher Haire et al. (1966) das Verhalten von 3.641 Managern aus 14 verschiedenen Ländern analysierten. Im weiteren Verlauf verlagerte sich der Schwerpunkt der Forschung vom „Cross-Nation-Ansatz“ zur „Cross-Cultural-Ansatz“ (vgl. von Keller 1982).</w:t>
      </w:r>
    </w:p>
    <w:bookmarkEnd w:id="28"/>
    <w:bookmarkEnd w:id="29"/>
    <w:bookmarkEnd w:id="30"/>
    <w:bookmarkEnd w:id="31"/>
    <w:p w14:paraId="31C96C2F" w14:textId="77777777" w:rsidR="0001591A" w:rsidRPr="00B96B80" w:rsidRDefault="0001591A" w:rsidP="0001591A">
      <w:pPr>
        <w:pStyle w:val="StandardText"/>
      </w:pPr>
    </w:p>
    <w:p w14:paraId="17481EBE" w14:textId="77777777" w:rsidR="0001591A" w:rsidRPr="00B96B80" w:rsidRDefault="0001591A" w:rsidP="0001591A">
      <w:pPr>
        <w:pStyle w:val="StandardTextkursiv"/>
        <w:rPr>
          <w:i w:val="0"/>
        </w:rPr>
      </w:pPr>
      <w:bookmarkStart w:id="33" w:name="_Toc1551229"/>
      <w:bookmarkStart w:id="34" w:name="_Toc27295301"/>
      <w:bookmarkStart w:id="35" w:name="_Toc64356814"/>
      <w:bookmarkStart w:id="36" w:name="_Toc73438011"/>
      <w:bookmarkStart w:id="37" w:name="_Toc75174958"/>
      <w:r w:rsidRPr="00B96B80">
        <w:rPr>
          <w:i w:val="0"/>
        </w:rPr>
        <w:t>1.2 Cross-Cultural Management</w:t>
      </w:r>
      <w:bookmarkEnd w:id="33"/>
      <w:bookmarkEnd w:id="34"/>
      <w:bookmarkEnd w:id="35"/>
      <w:bookmarkEnd w:id="36"/>
      <w:bookmarkEnd w:id="37"/>
    </w:p>
    <w:p w14:paraId="44D0266E" w14:textId="77777777" w:rsidR="0001591A" w:rsidRPr="00B96B80" w:rsidRDefault="0001591A" w:rsidP="0001591A">
      <w:pPr>
        <w:pStyle w:val="StandardText"/>
      </w:pPr>
      <w:r w:rsidRPr="00B96B80">
        <w:t xml:space="preserve">Eigentliches Ziel dieser normativen Strömung war es, den eigenen, als grundsätzlich überlegen angesehenen Forschungs- bzw. Managementansatz Angehörigen fremder Kulturen „nahe zu bringen“ bzw. zu oktroyieren (vgl. Adler 1983, S.30f.). Die ethnozentrische Überzeugung, die eigene Kultur sei vorbildlich (vgl. Perlmutter 1969), erwies sich indessen als Quelle ständiger Konflikte bspw. in internationalen </w:t>
      </w:r>
      <w:r w:rsidR="00AA49CE">
        <w:sym w:font="Symbol" w:char="F0DE"/>
      </w:r>
      <w:r w:rsidR="00AA49CE">
        <w:t xml:space="preserve"> </w:t>
      </w:r>
      <w:r w:rsidRPr="00B96B80">
        <w:t xml:space="preserve">Joint Ventures (vgl. z.B. Link 1997) und Merger &amp; Acquisition (vgl. z.B. Gerpott 1993). Ein besonders augenfälliges Beispiel der Unfähigkeit, andersartige kulturelle Bedingungen zu würdigen, ist der ebenso vergebliche wie kostspielige </w:t>
      </w:r>
      <w:r w:rsidRPr="00B96B80">
        <w:lastRenderedPageBreak/>
        <w:t>Versuch eines bekannten Herstellers von Elektrogeräten, Geschirr</w:t>
      </w:r>
      <w:r w:rsidRPr="00B96B80">
        <w:softHyphen/>
        <w:t>spülmaschinen nach Kuwait zu exportieren. Für die großen Schüsseln, die in den dort üblichen Großfamilien seit jeher für die Zubereitung der Speisen verwendet werden, erwiesen sich die Spülmaschine als zu klein, für die Reinigung der gleichfalls landestypisch winzigen Tee- und Kaffeeschälchen wiederum als zu groß.</w:t>
      </w:r>
    </w:p>
    <w:p w14:paraId="005F27C6" w14:textId="77777777" w:rsidR="0001591A" w:rsidRPr="00B96B80" w:rsidRDefault="0001591A" w:rsidP="0001591A">
      <w:pPr>
        <w:pStyle w:val="StandardText"/>
      </w:pPr>
      <w:r w:rsidRPr="00B96B80">
        <w:t xml:space="preserve">Erst als die Wachstumsphase der Weltwirtschaft anfangs der 1980er-Jahre zu Ende ging, richtete sich das Augenmerk der Management-Forschung auf die Andersartigkeit der (Markt-)Bedingungen in den verschiedenen Kulturräumen. Die bis dahin dominante „westliche Welt“ musste damals erkennen, dass ihr überwiegend </w:t>
      </w:r>
      <w:r w:rsidRPr="00B96B80">
        <w:rPr>
          <w:bCs/>
        </w:rPr>
        <w:t>ethnozentrisches Mana</w:t>
      </w:r>
      <w:r w:rsidRPr="00B96B80">
        <w:rPr>
          <w:bCs/>
        </w:rPr>
        <w:softHyphen/>
        <w:t>gement- und Marketing-Instrumentari</w:t>
      </w:r>
      <w:r w:rsidRPr="00B96B80">
        <w:rPr>
          <w:bCs/>
        </w:rPr>
        <w:softHyphen/>
        <w:t>um</w:t>
      </w:r>
      <w:r w:rsidRPr="00B96B80">
        <w:t xml:space="preserve"> und ihr </w:t>
      </w:r>
      <w:r w:rsidRPr="00B96B80">
        <w:rPr>
          <w:bCs/>
        </w:rPr>
        <w:t>Überlegenheitsdünkel</w:t>
      </w:r>
      <w:r w:rsidRPr="00B96B80">
        <w:t xml:space="preserve"> nicht mehr genügten, um dem weltweit zunehmenden Wettbewerbsdruck standhalten zu können. </w:t>
      </w:r>
    </w:p>
    <w:p w14:paraId="5D859A4A" w14:textId="77777777" w:rsidR="0001591A" w:rsidRPr="00E73F6F" w:rsidRDefault="0001591A" w:rsidP="0001591A">
      <w:pPr>
        <w:pStyle w:val="StandardText"/>
      </w:pPr>
    </w:p>
    <w:tbl>
      <w:tblPr>
        <w:tblW w:w="9002" w:type="dxa"/>
        <w:tblInd w:w="70" w:type="dxa"/>
        <w:tblBorders>
          <w:top w:val="single" w:sz="4" w:space="0" w:color="auto"/>
          <w:left w:val="single" w:sz="4" w:space="0" w:color="auto"/>
          <w:bottom w:val="single" w:sz="4" w:space="0" w:color="auto"/>
          <w:right w:val="single" w:sz="4" w:space="0" w:color="auto"/>
        </w:tblBorders>
        <w:tblLayout w:type="fixed"/>
        <w:tblCellMar>
          <w:left w:w="85" w:type="dxa"/>
          <w:right w:w="85" w:type="dxa"/>
        </w:tblCellMar>
        <w:tblLook w:val="0000" w:firstRow="0" w:lastRow="0" w:firstColumn="0" w:lastColumn="0" w:noHBand="0" w:noVBand="0"/>
      </w:tblPr>
      <w:tblGrid>
        <w:gridCol w:w="9002"/>
      </w:tblGrid>
      <w:tr w:rsidR="0001591A" w:rsidRPr="00E73F6F" w14:paraId="78C4BFBC" w14:textId="77777777" w:rsidTr="0032014E">
        <w:tc>
          <w:tcPr>
            <w:tcW w:w="9002" w:type="dxa"/>
            <w:shd w:val="clear" w:color="auto" w:fill="DEEAF6" w:themeFill="accent1" w:themeFillTint="33"/>
          </w:tcPr>
          <w:p w14:paraId="697CEE09" w14:textId="77777777" w:rsidR="0001591A" w:rsidRPr="00E73F6F" w:rsidRDefault="0001591A" w:rsidP="0032014E">
            <w:pPr>
              <w:pStyle w:val="Standardklein"/>
              <w:spacing w:before="120" w:after="120"/>
            </w:pPr>
            <w:r w:rsidRPr="00E73F6F">
              <w:t xml:space="preserve">„Bei der Abgrenzung der Nationalstaaten voneinander entstehen kollektive Wir-Gefühle, in denen die eigene Gemeinschaft als der eigentlich wertvolle, „den anderen“ überlegene Teil der Menschheit eingestuft wird. Dieses Wir-Bewusstsein lässt sich in vielen menschlichen Vereinigungen beobachten – in Stammeshorden, Stadtstaaten, Imperien, Feudalstaaten ebenso wie in politischen Parteien oder Fußballvereinen samt ihrer Anhängerschaft. Im Widerspruch zu ihrer </w:t>
            </w:r>
            <w:r w:rsidRPr="00E73F6F">
              <w:sym w:font="Symbol" w:char="F0AE"/>
            </w:r>
            <w:r w:rsidRPr="00E73F6F">
              <w:t xml:space="preserve"> weltbürgerlichen Wertesubstanz bilden auch republikanische Verfassungsstaaten ein Wir-Bewusstsein aus, das „die anderen“ ab- und sich selbst aufwertet. Wie in Nationalstaaten wurde und wird auch dieses kollektive Bewusstsein durch die Berufung auf eine angeblich eigene Überlieferung, eine eigene nationale Kultur begründet. Sie bildet auch hier die Substanz des Wir-Bewusstseins und Überlegenheitsdünkels“ (Oberndörfer 1996, S.39).</w:t>
            </w:r>
          </w:p>
        </w:tc>
      </w:tr>
    </w:tbl>
    <w:p w14:paraId="2EFC81CA" w14:textId="77777777" w:rsidR="0001591A" w:rsidRPr="00E73F6F" w:rsidRDefault="0001591A" w:rsidP="0001591A">
      <w:pPr>
        <w:pStyle w:val="StandardText"/>
      </w:pPr>
    </w:p>
    <w:p w14:paraId="280BEAD7" w14:textId="77777777" w:rsidR="0001591A" w:rsidRPr="00E73F6F" w:rsidRDefault="0001591A" w:rsidP="0001591A">
      <w:pPr>
        <w:pStyle w:val="StandardText"/>
      </w:pPr>
      <w:r w:rsidRPr="00E73F6F">
        <w:t xml:space="preserve">Erste Ergebnisse einer daraufhin verstärkten kulturvergleichenden Forschung bestätigten teils die Culture Bound-These (z.B. für das Sozial- und Leistungsverhalten; vgl. Bhagat/McQuaid 1982) und teils die Culture Free-These (z.B. für technologische Faktoren; vgl. Kumar 1988, S.390). </w:t>
      </w:r>
    </w:p>
    <w:p w14:paraId="6C3D0661" w14:textId="77777777" w:rsidR="0001591A" w:rsidRPr="00E73F6F" w:rsidRDefault="0001591A" w:rsidP="0001591A">
      <w:pPr>
        <w:pStyle w:val="StandardText"/>
      </w:pPr>
      <w:r w:rsidRPr="00E73F6F">
        <w:t>Im Laufe der Jahre relativierten jedoch viele Autoren diese simplifizierende Grundposition. So argumentierten Schmid (1996, S.273) und Adler (1991, S.231), die Culture Free- bzw. Universalismus-These könne lediglich für die „harten“ Managementinstrumente (z.B. Planung, Investitions- sowie Kostenrechnung) Gültigkeit beanspruchen, während die Culture Bound- bzw. Kulturismus-These den „weichen“ Managementinstrumenten (insb. Führungsstil, Konfliktmanagement) angemessen sei. Im Übrigen wurden nationale Sichtweisen und Präferenzen deutlich: Während amerikanische Wissenschaftler und Unternehmen die Culture Free-Position favorisieren (d.h. davon ausgehen, dass viele Management-Techniken unabhängig vom kulturellen Umfeld wirken), entspricht es offensichtlich der europäischen Denk- und Managementtradition, das Augenmerk verstärkt auf die Kulturspezifität zu richten und differenzierende Management- und Marketingansätze zu verfolgen.</w:t>
      </w:r>
    </w:p>
    <w:p w14:paraId="7C2AB3FE" w14:textId="77777777" w:rsidR="0001591A" w:rsidRPr="00E73F6F" w:rsidRDefault="0001591A" w:rsidP="0001591A">
      <w:pPr>
        <w:pStyle w:val="StandardText"/>
      </w:pPr>
    </w:p>
    <w:p w14:paraId="0D4801C0" w14:textId="77777777" w:rsidR="0001591A" w:rsidRPr="00B96B80" w:rsidRDefault="0001591A" w:rsidP="0001591A">
      <w:pPr>
        <w:pStyle w:val="StandardTextkursiv"/>
        <w:rPr>
          <w:i w:val="0"/>
        </w:rPr>
      </w:pPr>
      <w:bookmarkStart w:id="38" w:name="_Toc413251451"/>
      <w:bookmarkStart w:id="39" w:name="_Toc413251517"/>
      <w:r w:rsidRPr="00B96B80">
        <w:rPr>
          <w:i w:val="0"/>
        </w:rPr>
        <w:t>2 Unternehmenskultur</w:t>
      </w:r>
      <w:bookmarkEnd w:id="38"/>
      <w:bookmarkEnd w:id="39"/>
    </w:p>
    <w:p w14:paraId="1E77DA93" w14:textId="77777777" w:rsidR="0001591A" w:rsidRPr="00E73F6F" w:rsidRDefault="0001591A" w:rsidP="0001591A">
      <w:pPr>
        <w:pStyle w:val="StandardText"/>
      </w:pPr>
      <w:r w:rsidRPr="00E73F6F">
        <w:t>Die Unternehmens- bzw. Organisationskultur kann als eine Art „gemeinsamer Code“ einer Organisation begriffen werden. Er beschreibt das Welt- und Selbstbild des Unternehmens und dessen Mitglieder: Wie sie die Realität wahrnehmen, was sie für richtig oder falsch halten etc. (vgl. Kieser/Walgenbach 2010). Von der unternehmensspezifischen Weltsicht hängt wesentlich ab, wie die Mitarbeiter miteinander sowie mit ihrer Umwelt umgehen. Unternehmenskulturen wirken somit nicht nur nach innen, sondern nehmen auch darauf Einfluss, wie Manager nach außen hin auftreten (z.B. wie sie in einem Auslandsmarkt agieren).</w:t>
      </w:r>
    </w:p>
    <w:p w14:paraId="7708F93D" w14:textId="77777777" w:rsidR="0001591A" w:rsidRPr="00E73F6F" w:rsidRDefault="0001591A" w:rsidP="0001591A">
      <w:pPr>
        <w:pStyle w:val="StandardText"/>
      </w:pPr>
      <w:r w:rsidRPr="00E73F6F">
        <w:t xml:space="preserve">Seit Anfang der 1980er-Jahre wird das Konstrukt „Unternehmenskultur“ systematisch erforscht. Anders als die Landeskulturforschung, welche die deutsche Betriebswirtschaftslehre </w:t>
      </w:r>
      <w:r w:rsidRPr="00E73F6F">
        <w:lastRenderedPageBreak/>
        <w:t xml:space="preserve">zwar frühzeitig betrieben, dann aber vernachlässigt hat, breitete sich diese Forschungsrichtung mit relativ </w:t>
      </w:r>
      <w:r w:rsidRPr="00E73F6F">
        <w:rPr>
          <w:bCs/>
        </w:rPr>
        <w:t>kurzer</w:t>
      </w:r>
      <w:r w:rsidRPr="00E73F6F">
        <w:t xml:space="preserve"> </w:t>
      </w:r>
      <w:r w:rsidRPr="00E73F6F">
        <w:rPr>
          <w:bCs/>
        </w:rPr>
        <w:t>zeitlicher Verzögerung</w:t>
      </w:r>
      <w:r w:rsidRPr="00E73F6F">
        <w:t xml:space="preserve"> vom englisch- auf den deutschsprachigen Raum aus (vgl. Schmid 1996, S.230). Dies führte u.a. dazu, dass im Laufe der Zeit die Skepsis gegenüber kulturvergleichender Forschung insgesamt schwand. Denn offensichtlich war das Kulturkonzept nicht nur für die Analyse von Völkern, Nationen und anderen Populationen hilfreich, sondern konnte zunehmend auch dazu herangezogen werden, das Verhalten von Organisationen zu analysieren (bspw. im Zuge der Corporate Identity-Diskussion). </w:t>
      </w:r>
    </w:p>
    <w:p w14:paraId="2E4E9013" w14:textId="77777777" w:rsidR="0001591A" w:rsidRPr="00E73F6F" w:rsidRDefault="0001591A" w:rsidP="0001591A">
      <w:pPr>
        <w:pStyle w:val="StandardText"/>
      </w:pPr>
      <w:r w:rsidRPr="00E73F6F">
        <w:t xml:space="preserve">Zunächst nur eine (unternehmens-)interne Variable unter vielen, betrachteten viele nach der Studie von Peters/Watermann (1982) die </w:t>
      </w:r>
      <w:r w:rsidRPr="00E73F6F">
        <w:rPr>
          <w:bCs/>
        </w:rPr>
        <w:t>Unternehmenskultur</w:t>
      </w:r>
      <w:r w:rsidRPr="00E73F6F">
        <w:t xml:space="preserve"> als </w:t>
      </w:r>
      <w:r w:rsidRPr="00E73F6F">
        <w:rPr>
          <w:bCs/>
        </w:rPr>
        <w:t>Schlüssel zum Unternehmenserfolg: als Meta-Erfolgsfaktor</w:t>
      </w:r>
      <w:r w:rsidRPr="00E73F6F">
        <w:t>. Wie bei der sie „umgebenden“ Landeskultur werden gewöhnlich drei Ebenen der Unternehmenskultur unterschieden (vgl. Schein 2010):</w:t>
      </w:r>
    </w:p>
    <w:p w14:paraId="16F9E692" w14:textId="77777777" w:rsidR="0001591A" w:rsidRPr="00E73F6F" w:rsidRDefault="0001591A" w:rsidP="00E445CF">
      <w:pPr>
        <w:pStyle w:val="StandardTextAufzhlung"/>
        <w:ind w:left="426"/>
      </w:pPr>
      <w:r w:rsidRPr="00E73F6F">
        <w:t>das von allen Mitarbeitern geteilte Realitätsverständnis (z.B. die Wettbewerbsposition des Unternehmens betreffend, vgl. Abb. 1):</w:t>
      </w:r>
    </w:p>
    <w:p w14:paraId="0C0F3553" w14:textId="77777777" w:rsidR="0001591A" w:rsidRPr="00E73F6F" w:rsidRDefault="0001591A" w:rsidP="00E445CF">
      <w:pPr>
        <w:pStyle w:val="StandardTextAufzhlung"/>
        <w:ind w:left="426"/>
      </w:pPr>
      <w:r w:rsidRPr="00E73F6F">
        <w:t>Normen und Werthaltungen (z.B. Kundenorientierung),</w:t>
      </w:r>
    </w:p>
    <w:p w14:paraId="3E7D732A" w14:textId="77777777" w:rsidR="0001591A" w:rsidRPr="00E73F6F" w:rsidRDefault="0001591A" w:rsidP="00E445CF">
      <w:pPr>
        <w:pStyle w:val="StandardTextAufzhlung"/>
        <w:ind w:left="426"/>
      </w:pPr>
      <w:r w:rsidRPr="00E73F6F">
        <w:t>Artefakte (z.B. informelle Umgangs</w:t>
      </w:r>
      <w:r w:rsidRPr="00E73F6F">
        <w:softHyphen/>
        <w:t>formen, Rituale oder offizielle Sprachregelung).</w:t>
      </w:r>
    </w:p>
    <w:p w14:paraId="6DB7ED12" w14:textId="77777777" w:rsidR="0001591A" w:rsidRPr="00C76DC3" w:rsidRDefault="0001591A" w:rsidP="0001591A">
      <w:pPr>
        <w:rPr>
          <w:i/>
          <w:iCs/>
          <w:sz w:val="24"/>
          <w:szCs w:val="24"/>
        </w:rPr>
      </w:pPr>
    </w:p>
    <w:p w14:paraId="440EAB13" w14:textId="77777777" w:rsidR="0001591A" w:rsidRPr="00C76DC3" w:rsidRDefault="0001591A" w:rsidP="0001591A">
      <w:pPr>
        <w:pStyle w:val="BeschriftungTab"/>
        <w:rPr>
          <w:i/>
          <w:iCs/>
        </w:rPr>
      </w:pPr>
      <w:bookmarkStart w:id="40" w:name="_Ref413253696"/>
      <w:r w:rsidRPr="00C76DC3">
        <w:rPr>
          <w:i/>
          <w:iCs/>
        </w:rPr>
        <w:t>Abb.</w:t>
      </w:r>
      <w:bookmarkEnd w:id="40"/>
      <w:r w:rsidRPr="00C76DC3">
        <w:rPr>
          <w:i/>
          <w:iCs/>
        </w:rPr>
        <w:t>1: Unternehmensleitsätze deutscher Automobilhersteller</w:t>
      </w:r>
    </w:p>
    <w:p w14:paraId="01C5C229" w14:textId="77777777" w:rsidR="0001591A" w:rsidRPr="00E73F6F" w:rsidRDefault="0001591A" w:rsidP="0001591A">
      <w:pPr>
        <w:pStyle w:val="StandardText"/>
      </w:pPr>
      <w:bookmarkStart w:id="41" w:name="_Toc413251452"/>
      <w:bookmarkStart w:id="42" w:name="_Toc413251518"/>
      <w:r>
        <w:rPr>
          <w:noProof/>
        </w:rPr>
        <w:drawing>
          <wp:inline distT="0" distB="0" distL="0" distR="0" wp14:anchorId="67DA4E9F" wp14:editId="3D072458">
            <wp:extent cx="5468620" cy="1170305"/>
            <wp:effectExtent l="0" t="0" r="0" b="0"/>
            <wp:docPr id="66" name="Grafik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468620" cy="1170305"/>
                    </a:xfrm>
                    <a:prstGeom prst="rect">
                      <a:avLst/>
                    </a:prstGeom>
                    <a:noFill/>
                  </pic:spPr>
                </pic:pic>
              </a:graphicData>
            </a:graphic>
          </wp:inline>
        </w:drawing>
      </w:r>
    </w:p>
    <w:p w14:paraId="1AB65299" w14:textId="77777777" w:rsidR="0001591A" w:rsidRPr="00B96B80" w:rsidRDefault="0001591A" w:rsidP="0001591A">
      <w:pPr>
        <w:pStyle w:val="StandardTextkursiv"/>
        <w:rPr>
          <w:i w:val="0"/>
        </w:rPr>
      </w:pPr>
      <w:r w:rsidRPr="00B96B80">
        <w:rPr>
          <w:i w:val="0"/>
        </w:rPr>
        <w:t>3 Branchenkultur</w:t>
      </w:r>
      <w:bookmarkEnd w:id="41"/>
      <w:bookmarkEnd w:id="42"/>
    </w:p>
    <w:p w14:paraId="5F8B77CC" w14:textId="77777777" w:rsidR="0001591A" w:rsidRPr="00E73F6F" w:rsidRDefault="0001591A" w:rsidP="0001591A">
      <w:pPr>
        <w:pStyle w:val="StandardText"/>
      </w:pPr>
      <w:r w:rsidRPr="00E73F6F">
        <w:t>Die Gesamtheit der in einer Branche gültigen Normen und Werte sowie die charakteristischen Denkstile und Verhaltensweisen werden als Branchenkultur bezeichnet (vgl. Catellani 2004; Schreyögg/Grieb 1998). Stärker als die Unternehmenskultur spiegelt sie die jeweiligen Markt- und Wettbewerbsbedingungen wider. So entwickeln sich in Abhängigkeit von der branchenspezifischen Konkurrenzintensität unterschiedliche Weltbilder, Werthaltungen und Vorstellungen darüber, welche Verhaltensweisen Erfolg versprechen. Manager von Handelsunternehmen etwa tendieren angesichts der starken Abhängigkeit ihrer Branche vom Tagesgeschäft zur Kurzfristorientierung, während der Anlagenbau sich stärker um Langfristorientierung bemühen muss. Die Versicherungsbranche wiederum schenkt ihrem Human Resource Management traditionell mehr Aufmerksamkeit als etwa die Bau</w:t>
      </w:r>
      <w:r w:rsidRPr="00E73F6F">
        <w:softHyphen/>
        <w:t>branche.</w:t>
      </w:r>
    </w:p>
    <w:p w14:paraId="047FB125" w14:textId="77777777" w:rsidR="0001591A" w:rsidRPr="00E73F6F" w:rsidRDefault="0001591A" w:rsidP="0001591A">
      <w:pPr>
        <w:pStyle w:val="StandardText"/>
      </w:pPr>
      <w:r w:rsidRPr="00E73F6F">
        <w:t>Deal/Kennedy (2000) haben eine zweidimensionale Typologie der Branchenkulturen vorgeschlagen, auf die in der einschlägigen Literatur häufig Bezug genommen wird (vgl. Abb. 2). Mit „Risiko“ ist das finanzielle Risiko gemeint und mit „Feedback“ die Geschwindigkeit, mit der sich in einer Branche gewöhnlich Maßnahmen als vorteilhaft oder nachteilig erweisen. Ein Automobilhersteller etwa erfährt erst nach Jahren, ob seine Kunden die Entscheidung, ein Elektromobil zu entwickeln, honorieren. Die Eisdiele hingegen, die eine neue Speiseeissorte kreiiert („mit Jasmin-Geschmack“), weiß schon nach wenigen Stunden oder Tagen, ob Top oder Flop:</w:t>
      </w:r>
    </w:p>
    <w:p w14:paraId="31BB785D" w14:textId="77777777" w:rsidR="0001591A" w:rsidRPr="00E73F6F" w:rsidRDefault="0001591A" w:rsidP="00E445CF">
      <w:pPr>
        <w:pStyle w:val="StandardTextAufzhlung"/>
        <w:ind w:left="426"/>
      </w:pPr>
      <w:r w:rsidRPr="00E73F6F">
        <w:t>Harte Arbeit &amp; Spaß-Kulturen (‘work hard-play hard-culture‘): In diesen Branchen sind gewöhnlich wenig risikoreiche Entscheidungen zu fällen. Und der Markt reagiert überdurchschnittlich schnell. „</w:t>
      </w:r>
      <w:r w:rsidRPr="00E73F6F">
        <w:rPr>
          <w:i/>
        </w:rPr>
        <w:t>Deal &amp; Kennedy</w:t>
      </w:r>
      <w:r w:rsidRPr="00E73F6F">
        <w:t xml:space="preserve"> meinten, diesen Kulturtyp vor allem in der Welt der »Verkaufsorganisation« (Computer, Immobilien, Autohändler) zu finden. Die Besten dieser Kultur sind freundlich, trinkfest und »Hallo-Leute-Typen«. […] Jeder will zu der erfolgreichen Gruppe gehören, die nach Hawaii fährt“ (von der Oelsnitz 2009, S.147).</w:t>
      </w:r>
    </w:p>
    <w:p w14:paraId="000549CD" w14:textId="77777777" w:rsidR="0001591A" w:rsidRPr="00E73F6F" w:rsidRDefault="0001591A" w:rsidP="00E445CF">
      <w:pPr>
        <w:pStyle w:val="StandardTextAufzhlung"/>
        <w:ind w:left="426"/>
      </w:pPr>
      <w:r w:rsidRPr="00E73F6F">
        <w:lastRenderedPageBreak/>
        <w:t>Alles oder Nichts-Kulturen (‘tough-guy-culture‘): Dieser Kulturtypus fördert und fordert den Individualisten. Erfolg ist alles, Misserfolg unentschuldbar. Interner Wettbewerb ist das wichtigste Motivationsinstrument. Die Consulting-Branche, die Unterhaltungsindustrie, der Profisport und Investmentbanken entsprechen dem Typus der Machokultur vermutlich am besten.</w:t>
      </w:r>
    </w:p>
    <w:p w14:paraId="65ECF1EC" w14:textId="77777777" w:rsidR="0001591A" w:rsidRPr="00E73F6F" w:rsidRDefault="0001591A" w:rsidP="00E445CF">
      <w:pPr>
        <w:pStyle w:val="StandardTextAufzhlung"/>
        <w:ind w:left="426"/>
      </w:pPr>
      <w:r w:rsidRPr="00E73F6F">
        <w:t>Bürokratische Kulturen (‘process-culture‘): Verwaltungen und andere Prozesskulturen müssen zumeist weder das Risiko ihrer Entscheidungen selbst tragen noch erhalten sie Feedback. Mangels eines echten, d.h. externen Erfolgskriteriums kreist das Denken von Prozesskulturen (z.B. Behörden, Verwaltungen, Buchhaltungen) um die internen Prozess</w:t>
      </w:r>
      <w:r>
        <w:t>e</w:t>
      </w:r>
      <w:r w:rsidRPr="00E73F6F">
        <w:t>: Wurden die relevanten Vorschriften eingehalten?</w:t>
      </w:r>
    </w:p>
    <w:p w14:paraId="4E09CA45" w14:textId="77777777" w:rsidR="0001591A" w:rsidRPr="00E73F6F" w:rsidRDefault="0001591A" w:rsidP="00E445CF">
      <w:pPr>
        <w:pStyle w:val="StandardTextAufzhlung"/>
        <w:ind w:left="426"/>
      </w:pPr>
      <w:r w:rsidRPr="00E73F6F">
        <w:t>Risikokulturen (‘bet-your-company-culture‘): Im Flugzeugbau und vergleichbaren Branchen muss das Management regelmäßig ungewöhnlich risikoreiche Entscheidungen fällen. Dies fällt umso mehr ins Gewicht, als es oft Jahre dauert, bis sich diese Entscheidungen als richtig oder falsch erweisen. Da einzelne Fehlentscheidungen im Extremfall die Existenz des Unternehmens gefährden, legen Risikokulturen allergrößten Wert auf akribische Planung, Arbeitsvorbereitung, Kontrollprozeduren und Dokumentation, weshalb sie auch als analytische Projektkulturen bezeichnet werden.</w:t>
      </w:r>
    </w:p>
    <w:p w14:paraId="68A1911B" w14:textId="77777777" w:rsidR="0001591A" w:rsidRPr="00C76DC3" w:rsidRDefault="0001591A" w:rsidP="00E445CF">
      <w:pPr>
        <w:spacing w:after="40"/>
        <w:ind w:left="426"/>
        <w:rPr>
          <w:i/>
          <w:iCs/>
          <w:sz w:val="24"/>
          <w:szCs w:val="24"/>
        </w:rPr>
      </w:pPr>
    </w:p>
    <w:p w14:paraId="1948A30F" w14:textId="77777777" w:rsidR="0001591A" w:rsidRPr="00C76DC3" w:rsidRDefault="0001591A" w:rsidP="0001591A">
      <w:pPr>
        <w:pStyle w:val="BeschriftungTab"/>
        <w:rPr>
          <w:i/>
          <w:iCs/>
        </w:rPr>
      </w:pPr>
      <w:bookmarkStart w:id="43" w:name="_Ref413253729"/>
      <w:r w:rsidRPr="00C76DC3">
        <w:rPr>
          <w:i/>
          <w:iCs/>
        </w:rPr>
        <w:t>Abb.</w:t>
      </w:r>
      <w:bookmarkEnd w:id="43"/>
      <w:r w:rsidRPr="00C76DC3">
        <w:rPr>
          <w:i/>
          <w:iCs/>
        </w:rPr>
        <w:t xml:space="preserve"> 2: Typologie der Branchenkulturen nach Deal &amp; Kennedy</w:t>
      </w:r>
    </w:p>
    <w:p w14:paraId="12A43FA8" w14:textId="77777777" w:rsidR="0001591A" w:rsidRPr="00E73F6F" w:rsidRDefault="0001591A" w:rsidP="0001591A">
      <w:pPr>
        <w:rPr>
          <w:sz w:val="24"/>
          <w:szCs w:val="24"/>
          <w:lang w:eastAsia="de-DE"/>
        </w:rPr>
      </w:pPr>
      <w:r w:rsidRPr="00E73F6F">
        <w:rPr>
          <w:noProof/>
          <w:sz w:val="24"/>
          <w:szCs w:val="24"/>
          <w:lang w:eastAsia="de-DE"/>
        </w:rPr>
        <w:drawing>
          <wp:inline distT="0" distB="0" distL="0" distR="0" wp14:anchorId="560A241A" wp14:editId="5E17D502">
            <wp:extent cx="5796951" cy="3121844"/>
            <wp:effectExtent l="0" t="0" r="0" b="2540"/>
            <wp:docPr id="2296165" name="Grafik 2296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826825" cy="3137932"/>
                    </a:xfrm>
                    <a:prstGeom prst="rect">
                      <a:avLst/>
                    </a:prstGeom>
                    <a:noFill/>
                  </pic:spPr>
                </pic:pic>
              </a:graphicData>
            </a:graphic>
          </wp:inline>
        </w:drawing>
      </w:r>
    </w:p>
    <w:p w14:paraId="422AD544" w14:textId="77777777" w:rsidR="0001591A" w:rsidRPr="00E73F6F" w:rsidRDefault="0001591A" w:rsidP="0001591A">
      <w:pPr>
        <w:pStyle w:val="Quellen"/>
        <w:rPr>
          <w:i/>
        </w:rPr>
      </w:pPr>
      <w:r w:rsidRPr="00E73F6F">
        <w:t>Quelle:</w:t>
      </w:r>
      <w:r w:rsidRPr="00E73F6F">
        <w:tab/>
        <w:t>Deal/Kennedy (2000), übersetzt und leicht modifiziert.</w:t>
      </w:r>
    </w:p>
    <w:p w14:paraId="00446541" w14:textId="77777777" w:rsidR="0001591A" w:rsidRPr="00E73F6F" w:rsidRDefault="0001591A" w:rsidP="0001591A">
      <w:pPr>
        <w:pStyle w:val="StandardText"/>
      </w:pPr>
    </w:p>
    <w:p w14:paraId="5AED1008" w14:textId="77777777" w:rsidR="0001591A" w:rsidRPr="00E73F6F" w:rsidRDefault="0001591A" w:rsidP="0001591A">
      <w:pPr>
        <w:pStyle w:val="StandardText"/>
      </w:pPr>
      <w:r w:rsidRPr="00E73F6F">
        <w:rPr>
          <w:bCs/>
        </w:rPr>
        <w:t xml:space="preserve">Die Branchenkultur interagiert sowohl mit der Unternehmenskultur als auch mit der Landeskultur. </w:t>
      </w:r>
      <w:r w:rsidRPr="00E73F6F">
        <w:t>Wie Schlegelmilch/Robertson (1995) empirisch nachweisen konnten, hängen die Vorstellungen, die australische, britische, deutsche und US-amerikanische Top-Manager darüber haben, welche Einstellungen und Verhaltensweisen ethisch angemessen sind, sowohl von der Lan</w:t>
      </w:r>
      <w:r w:rsidRPr="00E73F6F">
        <w:softHyphen/>
        <w:t xml:space="preserve">deskultur als auch von der Branchenkultur ab. </w:t>
      </w:r>
    </w:p>
    <w:p w14:paraId="538CDD32" w14:textId="77777777" w:rsidR="0001591A" w:rsidRPr="00E73F6F" w:rsidRDefault="0001591A" w:rsidP="0001591A">
      <w:pPr>
        <w:pStyle w:val="StandardText"/>
      </w:pPr>
    </w:p>
    <w:p w14:paraId="5E0EAAAB" w14:textId="77777777" w:rsidR="0001591A" w:rsidRPr="00B96B80" w:rsidRDefault="0001591A" w:rsidP="0001591A">
      <w:pPr>
        <w:pStyle w:val="StandardTextkursiv"/>
        <w:rPr>
          <w:i w:val="0"/>
        </w:rPr>
      </w:pPr>
      <w:bookmarkStart w:id="44" w:name="_Toc1551231"/>
      <w:bookmarkStart w:id="45" w:name="_Toc27295303"/>
      <w:bookmarkStart w:id="46" w:name="_Toc64356816"/>
      <w:bookmarkStart w:id="47" w:name="_Toc73438013"/>
      <w:bookmarkStart w:id="48" w:name="_Toc75174960"/>
      <w:r w:rsidRPr="00B96B80">
        <w:rPr>
          <w:i w:val="0"/>
        </w:rPr>
        <w:t>4 Kulturintegration</w:t>
      </w:r>
      <w:bookmarkEnd w:id="44"/>
      <w:bookmarkEnd w:id="45"/>
      <w:bookmarkEnd w:id="46"/>
      <w:bookmarkEnd w:id="47"/>
      <w:bookmarkEnd w:id="48"/>
    </w:p>
    <w:p w14:paraId="73B64459" w14:textId="77777777" w:rsidR="0001591A" w:rsidRPr="00E73F6F" w:rsidRDefault="0001591A" w:rsidP="0001591A">
      <w:pPr>
        <w:pStyle w:val="StandardText"/>
      </w:pPr>
      <w:r w:rsidRPr="00E73F6F">
        <w:t xml:space="preserve">Die nächste Stufe der Entwicklung eines umfassenden interkulturellen Management-Ansatzes wurde mit der Analyse der zwischen Unternehmens- und Landeskultur bestehenden Beziehung </w:t>
      </w:r>
      <w:r w:rsidRPr="00E73F6F">
        <w:lastRenderedPageBreak/>
        <w:t>erreicht (vgl. Scholz 1989). Ausgangspunkt war die Forderung, dass international tätige Unternehmen lernen müssen, das dynamische Wechselspiel zwischen Unternehmenskultur und Landeskultur (der jeweiligen Mitarbeiter) derart zu gestalten, dass auch ausländische Niederlassungen auf effiziente Weise geführt werden können (vgl. Deshpande/Webster 1989). Da die mit einer Auslandsakquisition verfolgten Ziele nur erreicht werden können, wenn die Kulturen der beteiligten Unter</w:t>
      </w:r>
      <w:r w:rsidRPr="00E73F6F">
        <w:softHyphen/>
        <w:t>nehmen harmonieren, forderte Marr (1983, S.34) dazu auf, Tochter</w:t>
      </w:r>
      <w:r w:rsidRPr="00E73F6F">
        <w:softHyphen/>
        <w:t>unternehmen nicht nur als risikoreiche Investitionen, sondern auch als „kulturell zu integrierende Teile eines Unternehmensverbandes“ zu ver</w:t>
      </w:r>
      <w:r w:rsidRPr="00E73F6F">
        <w:softHyphen/>
        <w:t>stehen. Das Management müsse „</w:t>
      </w:r>
      <w:r w:rsidRPr="00E73F6F">
        <w:rPr>
          <w:bCs/>
          <w:iCs/>
        </w:rPr>
        <w:t>Kulturpolitik“</w:t>
      </w:r>
      <w:r w:rsidRPr="00E73F6F">
        <w:t xml:space="preserve"> betreiben und damit die evolutionär gewachsene Unternehmenskultur so verändern, dass die eigene Wettbewerbsposition nachha</w:t>
      </w:r>
      <w:r w:rsidR="008702EF">
        <w:t xml:space="preserve">ltig gestärkt wird. </w:t>
      </w:r>
      <w:r w:rsidRPr="00E73F6F">
        <w:t xml:space="preserve">Dabei dürfe es die </w:t>
      </w:r>
      <w:r w:rsidRPr="00E73F6F">
        <w:rPr>
          <w:bCs/>
        </w:rPr>
        <w:t>informellen Sub</w:t>
      </w:r>
      <w:r w:rsidRPr="00E73F6F">
        <w:rPr>
          <w:bCs/>
        </w:rPr>
        <w:softHyphen/>
        <w:t>kulturen</w:t>
      </w:r>
      <w:r w:rsidRPr="00E73F6F">
        <w:t xml:space="preserve"> innerhalb des Unternehmensverbandes nicht vernachlässigen. Denn sie vermittelten ihren Mitgliedern oft ein stärkeres Gefühl der Geborgenheit und Zugehörigkeit als die offizielle Unternehmenskultur (vgl. Neuberger/Kompa 1986, S.63).</w:t>
      </w:r>
    </w:p>
    <w:p w14:paraId="32690F8E" w14:textId="77777777" w:rsidR="0001591A" w:rsidRPr="00E73F6F" w:rsidRDefault="0001591A" w:rsidP="0001591A">
      <w:pPr>
        <w:pStyle w:val="StandardText"/>
      </w:pPr>
    </w:p>
    <w:p w14:paraId="038692EE" w14:textId="77777777" w:rsidR="0001591A" w:rsidRPr="00B96B80" w:rsidRDefault="0001591A" w:rsidP="0001591A">
      <w:pPr>
        <w:pStyle w:val="StandardTextkursiv"/>
        <w:jc w:val="left"/>
        <w:rPr>
          <w:i w:val="0"/>
        </w:rPr>
      </w:pPr>
      <w:r w:rsidRPr="00B96B80">
        <w:rPr>
          <w:i w:val="0"/>
        </w:rPr>
        <w:t>5 Stand &amp; Perspektive der theoretischen Entwicklung der kulturvergleichenden Managementforschung</w:t>
      </w:r>
    </w:p>
    <w:p w14:paraId="5CBF6DDB" w14:textId="77777777" w:rsidR="0001591A" w:rsidRPr="00E73F6F" w:rsidRDefault="0001591A" w:rsidP="0001591A">
      <w:pPr>
        <w:pStyle w:val="StandardText"/>
      </w:pPr>
      <w:r w:rsidRPr="00E73F6F">
        <w:t>Regelmäßige Review- und State-of-the-Art-Artikel zeichnen kein allzu optimistisches Bild des methodologischen Niveaus der Disziplin. Beklagt wird einerseits ein Übermaß an deskriptiv-empirizistischer Forschung. Dabei werde die anfänglich dominierende soziologisch-nomothetische Forschungsstrategie zunehmend durch das ökonomisch-positivi</w:t>
      </w:r>
      <w:r>
        <w:t>stische Paradigma verdrängt (</w:t>
      </w:r>
      <w:r>
        <w:sym w:font="Symbol" w:char="F0DE"/>
      </w:r>
      <w:r w:rsidRPr="00E73F6F">
        <w:t xml:space="preserve"> Paradigma). Andererseits hätten bei der theoretischen Fundierung partialanalytische Erklärungsansätze mit begrenzter Erklärungskraft die Oberhand gewonnen. Zwar habe das </w:t>
      </w:r>
      <w:r w:rsidRPr="00E73F6F">
        <w:rPr>
          <w:i/>
        </w:rPr>
        <w:t>Hofstede</w:t>
      </w:r>
      <w:r w:rsidRPr="00E73F6F">
        <w:t xml:space="preserve">-Kulturmodell eine nicht unerhebliche Integrationskraft entwickelt. Dennoch seien Theorien mittlerer Reichweite, wie sie insb. auf den Feldern „Entsendung &amp; Reintegration“, „Führung &amp; Führungsstil“ sowie „HRM-Management“ entstanden seien, die Ausnahme (vgl. Redding 1994). Vom </w:t>
      </w:r>
      <w:r>
        <w:sym w:font="Symbol" w:char="F0DE"/>
      </w:r>
      <w:r w:rsidRPr="00B96B80">
        <w:t xml:space="preserve"> GLOBE</w:t>
      </w:r>
      <w:r w:rsidRPr="00E73F6F">
        <w:t xml:space="preserve">-Kulturmodell darf eine weitergehende Stimulierung und Integration der kulturvergleichenden Forschung erwartet werden. Denn es ist, wie sein Name zu erkennen gibt, explizit dazu bestimmt kulturelle Einflüsse auf Organisationskultur und Führungseffektivität zu analysieren: </w:t>
      </w:r>
      <w:r w:rsidRPr="00E73F6F">
        <w:rPr>
          <w:i/>
        </w:rPr>
        <w:t xml:space="preserve">Global Leadership and Organizational Behaviour Effectiveness </w:t>
      </w:r>
      <w:r w:rsidRPr="00E73F6F">
        <w:t>(vgl. House et al. 2004).</w:t>
      </w:r>
    </w:p>
    <w:p w14:paraId="36E649A5" w14:textId="77777777" w:rsidR="0001591A" w:rsidRPr="00E73F6F" w:rsidRDefault="0001591A" w:rsidP="0001591A">
      <w:pPr>
        <w:pStyle w:val="StandardText"/>
      </w:pPr>
    </w:p>
    <w:p w14:paraId="3BA405AD" w14:textId="77777777" w:rsidR="0001591A" w:rsidRPr="00C76DC3" w:rsidRDefault="0001591A" w:rsidP="0001591A">
      <w:pPr>
        <w:pStyle w:val="BeschriftungTab"/>
        <w:rPr>
          <w:i/>
          <w:iCs/>
        </w:rPr>
      </w:pPr>
      <w:r w:rsidRPr="00C76DC3">
        <w:rPr>
          <w:i/>
          <w:iCs/>
        </w:rPr>
        <w:t>Abb. 3: Struktur der kulturvergleichenden Managementforschung</w:t>
      </w:r>
    </w:p>
    <w:p w14:paraId="1E7A834F" w14:textId="77777777" w:rsidR="0001591A" w:rsidRDefault="0001591A" w:rsidP="0001591A">
      <w:pPr>
        <w:pStyle w:val="Quellen"/>
        <w:rPr>
          <w:noProof/>
          <w:lang w:val="en-US"/>
        </w:rPr>
      </w:pPr>
      <w:r>
        <w:rPr>
          <w:noProof/>
        </w:rPr>
        <w:lastRenderedPageBreak/>
        <w:drawing>
          <wp:inline distT="0" distB="0" distL="0" distR="0" wp14:anchorId="53538637" wp14:editId="4650D9AD">
            <wp:extent cx="5672924" cy="4333875"/>
            <wp:effectExtent l="0" t="0" r="4445" b="0"/>
            <wp:docPr id="68" name="Grafik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690157" cy="4347041"/>
                    </a:xfrm>
                    <a:prstGeom prst="rect">
                      <a:avLst/>
                    </a:prstGeom>
                    <a:noFill/>
                  </pic:spPr>
                </pic:pic>
              </a:graphicData>
            </a:graphic>
          </wp:inline>
        </w:drawing>
      </w:r>
    </w:p>
    <w:p w14:paraId="5D0C2FC9" w14:textId="77777777" w:rsidR="0001591A" w:rsidRPr="00771C25" w:rsidRDefault="0001591A" w:rsidP="0001591A">
      <w:pPr>
        <w:pStyle w:val="Quellen"/>
        <w:rPr>
          <w:noProof/>
        </w:rPr>
      </w:pPr>
      <w:r w:rsidRPr="00771C25">
        <w:rPr>
          <w:noProof/>
        </w:rPr>
        <w:t>Quelle: Redding (1994, S.332), geringfügig verän</w:t>
      </w:r>
      <w:r>
        <w:rPr>
          <w:noProof/>
        </w:rPr>
        <w:t>dert.</w:t>
      </w:r>
    </w:p>
    <w:p w14:paraId="379213CD" w14:textId="77777777" w:rsidR="0001591A" w:rsidRPr="00771C25" w:rsidRDefault="0001591A" w:rsidP="0001591A">
      <w:pPr>
        <w:rPr>
          <w:sz w:val="24"/>
          <w:szCs w:val="24"/>
        </w:rPr>
      </w:pPr>
    </w:p>
    <w:bookmarkEnd w:id="32"/>
    <w:p w14:paraId="7A0E7AE2" w14:textId="77777777" w:rsidR="0001591A" w:rsidRPr="008F7599" w:rsidRDefault="0001591A" w:rsidP="0001591A">
      <w:pPr>
        <w:pStyle w:val="StandardText"/>
        <w:rPr>
          <w:sz w:val="22"/>
          <w:szCs w:val="22"/>
        </w:rPr>
      </w:pPr>
      <w:r w:rsidRPr="008F7599">
        <w:rPr>
          <w:b/>
          <w:i/>
          <w:sz w:val="22"/>
          <w:szCs w:val="22"/>
          <w:lang w:val="en-US"/>
        </w:rPr>
        <w:t>Literatur:</w:t>
      </w:r>
      <w:r w:rsidRPr="008F7599">
        <w:rPr>
          <w:b/>
          <w:sz w:val="22"/>
          <w:szCs w:val="22"/>
          <w:lang w:val="en-US"/>
        </w:rPr>
        <w:t xml:space="preserve"> </w:t>
      </w:r>
      <w:r w:rsidRPr="008F7599">
        <w:rPr>
          <w:sz w:val="22"/>
          <w:szCs w:val="22"/>
          <w:lang w:val="en-US"/>
        </w:rPr>
        <w:t>Adair, W.L.; Tinsley, C.H.; Taylor, M. (2006): Managing the Intercultural Interface. Third Cultures, Antecedents, and Consequences, in: Chen, Y.-R. (Ed.), Research on Managing Groups and Teams, Vol. 9: National Culture and Groups, 205-232, New York: JAI. Adler, N.J. (1991): International Dimensions of Organizational Behavior, Boston/MA: PWS-KENT [Adler, N.J. with Gunderson, A. (2008): International Dimensions of Organizational Behavior, 5th</w:t>
      </w:r>
      <w:r w:rsidRPr="008F7599">
        <w:rPr>
          <w:sz w:val="22"/>
          <w:szCs w:val="22"/>
          <w:vertAlign w:val="superscript"/>
          <w:lang w:val="en-US"/>
        </w:rPr>
        <w:t xml:space="preserve"> </w:t>
      </w:r>
      <w:r w:rsidRPr="008F7599">
        <w:rPr>
          <w:sz w:val="22"/>
          <w:szCs w:val="22"/>
          <w:lang w:val="en-US"/>
        </w:rPr>
        <w:t xml:space="preserve">Ed., Mason/OH: Thomson]. Adler, N.J. (1983): A Typology of Management Studies Involving Culture, Journal of International Business Studies, 14(2): 29-47. </w:t>
      </w:r>
      <w:r w:rsidRPr="008F7599">
        <w:rPr>
          <w:iCs/>
          <w:sz w:val="22"/>
          <w:szCs w:val="22"/>
          <w:lang w:val="en-US"/>
        </w:rPr>
        <w:t>Arnett, J.J. (2002)</w:t>
      </w:r>
      <w:r w:rsidRPr="008F7599">
        <w:rPr>
          <w:sz w:val="22"/>
          <w:szCs w:val="22"/>
          <w:lang w:val="en-US"/>
        </w:rPr>
        <w:t xml:space="preserve">: The Psychology of Globalization, American Psychologist, 57(10): 774-783. Bhagat, R.S.; McQuaid, S.J. (1982): Role of Subjective Cultures in Organizations. A Review and Directions for Future Research, Journal of Applied Psychology, 67(5): 653-685. Browaeys, M.-J.; Price, R. (2011): Understanding Cross-Cultural Management, Essex: Prentice Hall. </w:t>
      </w:r>
      <w:r w:rsidRPr="008F7599">
        <w:rPr>
          <w:sz w:val="22"/>
          <w:szCs w:val="22"/>
        </w:rPr>
        <w:t xml:space="preserve">Catellani, B.; Elhage, B.; Erdoenmez, M. (2004): Branchenkultur. Strategischer Einflussfaktor oder Managementfashion, Schweizer Versicherungen, 8: 54-55. </w:t>
      </w:r>
      <w:r w:rsidRPr="008F7599">
        <w:rPr>
          <w:iCs/>
          <w:sz w:val="22"/>
          <w:szCs w:val="22"/>
          <w:lang w:val="en-US"/>
        </w:rPr>
        <w:t>Deal, T.E.; Kennedy, A.A.</w:t>
      </w:r>
      <w:r w:rsidRPr="008F7599">
        <w:rPr>
          <w:sz w:val="22"/>
          <w:szCs w:val="22"/>
          <w:lang w:val="en-US"/>
        </w:rPr>
        <w:t xml:space="preserve"> (2000):</w:t>
      </w:r>
      <w:r w:rsidRPr="008F7599">
        <w:rPr>
          <w:iCs/>
          <w:sz w:val="22"/>
          <w:szCs w:val="22"/>
          <w:lang w:val="en-US"/>
        </w:rPr>
        <w:t xml:space="preserve"> </w:t>
      </w:r>
      <w:r w:rsidRPr="008F7599">
        <w:rPr>
          <w:sz w:val="22"/>
          <w:szCs w:val="22"/>
          <w:lang w:val="en-US"/>
        </w:rPr>
        <w:t xml:space="preserve">Corporate Cultures. The Rites and Rituals of Corporate Life, 2nd Ed., New York: Basic Books. Deshpande, R.; Webster, F.E. Jr. (1989): Organizational Culture and Marketing. </w:t>
      </w:r>
      <w:r w:rsidRPr="008F7599">
        <w:rPr>
          <w:sz w:val="22"/>
          <w:szCs w:val="22"/>
        </w:rPr>
        <w:t xml:space="preserve">Defining the Research Agenda, Journal of Marketing, 53(1): 3-15. Engelen, A.; Tholen, E. (2014): Interkulturelles Management, Stuttgart: Schäffer-Poeschel. Gerpott, T.J. (1993): Integrationsgestaltung und Erfolg von Unternehmenszusammenschlüssen, Stuttgart: Schäffer-Poeschel. </w:t>
      </w:r>
      <w:r w:rsidRPr="008F7599">
        <w:rPr>
          <w:sz w:val="22"/>
          <w:szCs w:val="22"/>
          <w:lang w:val="en-US"/>
        </w:rPr>
        <w:t xml:space="preserve">Haire, M.; Ghiselli, E.E.; Porter, L.W. (1966): Managerial Thinking. An International Study, New York: Wiley. Harbison, F.; Myers, C.A. (1959): Management in the Industrial World. An International Analysis, New York: McGraw-Hill. House, R.J.; Hanges, P.J.; Javidan, M.; Dorfman, P.W.; Gupta, V. (Eds.) (2004): Leadership, Culture, and Organizations. The GLOBE Study of 62 Societies, Thousand Oaks/CA: Sage. </w:t>
      </w:r>
      <w:r w:rsidRPr="006A285F">
        <w:rPr>
          <w:sz w:val="22"/>
          <w:szCs w:val="22"/>
          <w:lang w:val="en-US"/>
        </w:rPr>
        <w:t xml:space="preserve">Keller, E. von (1982): Management in fremden Kulturen. </w:t>
      </w:r>
      <w:r w:rsidRPr="008F7599">
        <w:rPr>
          <w:sz w:val="22"/>
          <w:szCs w:val="22"/>
        </w:rPr>
        <w:t xml:space="preserve">Ziele, Ergebnisse und methodische Probleme der kulturvergleichenden Managementforschung, Bern: Haupt. </w:t>
      </w:r>
      <w:r w:rsidRPr="008F7599">
        <w:rPr>
          <w:sz w:val="22"/>
          <w:szCs w:val="22"/>
          <w:lang w:val="en-US"/>
        </w:rPr>
        <w:t xml:space="preserve">Kieser, A.; Walgenbach, P. (2010): Organisation, 5. Aufl., Stuttgart: Schäffer-Poeschel. Kornadt, H.; Eckensberger, L.; Emminghaus, W. (1980): Cross-Cultural Research on Motivation and Its Contribution to a General Theory of Motivation, in: Triandis, H.C.; Lambert, W.W.; Berry, J.W.; </w:t>
      </w:r>
      <w:r w:rsidRPr="008F7599">
        <w:rPr>
          <w:sz w:val="22"/>
          <w:szCs w:val="22"/>
          <w:lang w:val="en-US"/>
        </w:rPr>
        <w:lastRenderedPageBreak/>
        <w:t xml:space="preserve">Lonner, W.T.; Heron, A.; Brislin, R.; Draguns, J. (Eds.), Handbook of Cross-Cultural Psychology, Vol. </w:t>
      </w:r>
      <w:r w:rsidRPr="008F7599">
        <w:rPr>
          <w:sz w:val="22"/>
          <w:szCs w:val="22"/>
        </w:rPr>
        <w:t xml:space="preserve">III, 223-321, Boston/MA: Allyn &amp; Bacon. Kumar, B.N. (1988): Szenen aus dem Alltag des interkulturellen Managements, Wirtschaftswissenschaftliches Studium, 17(8): 426-427. Link, W. (1997): Erfolgspotentiale für die Internationalisierung. Gedankliche Vorbereitung, empirische Relevanz, Methodik, Wiesbaden: Gabler. Marr, R. (1983): Problemaspekte bei der Entwicklung eines Wissenschaftsprogramms des „Internationalen Managements“, in: Dülfer, E. (Hrsg.), Personelle Aspekte im Internationalen Marketing, 27-40, Berlin: E. Schmidt. Neuberger, O.; Kompa (1986): Das Gesicht der Firma, Psychologie Heute, 13(6): 61-68. Oberndörfer, D. (1996): Die politische Gemeinschaft und ihre Kultur. Zum Gegensatz zwischen kulturellem Pluralismus und Multikulturalismus, Aus Politik und Zeitgeschichte, 46(B52/53): 37-46. </w:t>
      </w:r>
      <w:r w:rsidRPr="008F7599">
        <w:rPr>
          <w:sz w:val="22"/>
          <w:szCs w:val="22"/>
          <w:lang w:val="en-US"/>
        </w:rPr>
        <w:t xml:space="preserve">Perlmutter, H.V. (1969): The Tortuous Evolution of the Multinational Corporation, in: Columbia Journal of World Business, 4(1): 9-18. Peters, T.; Watermann, R. (1982): In Search of Excellence. Lessons from America’s Best-Run Companies, New York: Warner Books. Redding, S.G. (1994): Comparative Management Theory. Jungle, Zoo or Fossil Bed? Organization Studies, 15(3): 323-359. Schein, E.H. (1984): Organizational Culture and Leadership, San Francisco/CA: Jossey-Bass. = 2010]. Schlegelmilch, B.B.; Robertson, D.C. (1995): The Influence of Country and Industry on Ethical Perceptions of Senior Executives in the U.S. and Europe, Journal of International Business Studies, 26(4): 859-881. </w:t>
      </w:r>
      <w:r w:rsidRPr="008F7599">
        <w:rPr>
          <w:sz w:val="22"/>
          <w:szCs w:val="22"/>
        </w:rPr>
        <w:t>Schmid, S. (1996): Multikulturalität in der internationalen Unternehmung, Wiesbaden: Gabler. Scholz, C. (1989): Personalmanagement, München: Vahlen [5.Aufl. = 2000]. Staehle, W.H. (1990): Management. Eine verhaltenswissenschaftliche Perspektive, München: Vahlen [Staehle, W.H., überarbeitet von Conrad, P. und Sydow, J. (2012): Management. Eine verhaltenswissenschaftliche Perspektive, 9.Aufl., München: Vahlen]. Schreyögg, G.; Grieb, C. (1998): Branchenkultur – ein neues Forschungs</w:t>
      </w:r>
      <w:r w:rsidRPr="008F7599">
        <w:rPr>
          <w:sz w:val="22"/>
          <w:szCs w:val="22"/>
        </w:rPr>
        <w:softHyphen/>
        <w:t>gebiet, in: Glaser, H.; Schröder, E.F.; von Werder, A. (Hrsg.), Organisation im Wandel der Märkte, 359-384, Wiesbaden: Gabler. von der Oelsnitz, D. (2009): Die innovative Organisation, 2. Aufl., Stuttgart: Kohlhammer.</w:t>
      </w:r>
    </w:p>
    <w:p w14:paraId="188D2105" w14:textId="77777777" w:rsidR="0001591A" w:rsidRPr="00E73F6F" w:rsidRDefault="0001591A" w:rsidP="0001591A">
      <w:pPr>
        <w:pStyle w:val="StandardText"/>
      </w:pPr>
    </w:p>
    <w:p w14:paraId="79388C76" w14:textId="77777777" w:rsidR="0001591A" w:rsidRPr="00E445CF" w:rsidRDefault="0001591A" w:rsidP="0001591A">
      <w:pPr>
        <w:pStyle w:val="berschrift1"/>
        <w:rPr>
          <w:bCs w:val="0"/>
          <w:color w:val="2E74B5"/>
          <w:sz w:val="22"/>
        </w:rPr>
      </w:pPr>
      <w:r w:rsidRPr="00E445CF">
        <w:rPr>
          <w:bCs w:val="0"/>
          <w:color w:val="2E74B5"/>
          <w:sz w:val="22"/>
        </w:rPr>
        <w:t>Interkulturelles Marketing (Vorläufer &amp; Nachbardisziplinen)</w:t>
      </w:r>
    </w:p>
    <w:p w14:paraId="09718E4C" w14:textId="77777777" w:rsidR="0001591A" w:rsidRPr="00E73F6F" w:rsidRDefault="0001591A" w:rsidP="0001591A">
      <w:pPr>
        <w:pStyle w:val="StandardText"/>
        <w:rPr>
          <w:b/>
        </w:rPr>
      </w:pPr>
      <w:r w:rsidRPr="00E73F6F">
        <w:t>Nachstehende Tabelle gibt aus wissenschafts</w:t>
      </w:r>
      <w:r w:rsidRPr="00E73F6F">
        <w:softHyphen/>
        <w:t>geschichtlicher Sicht einen Überblick über die Vorläufer und Nachbardisziplinen des Interkulturellen Marketing.</w:t>
      </w:r>
    </w:p>
    <w:p w14:paraId="646C9DCC" w14:textId="77777777" w:rsidR="0001591A" w:rsidRPr="007D6CC1" w:rsidRDefault="0001591A" w:rsidP="0001591A">
      <w:pPr>
        <w:rPr>
          <w:i/>
          <w:iCs/>
          <w:sz w:val="24"/>
          <w:szCs w:val="24"/>
        </w:rPr>
      </w:pPr>
    </w:p>
    <w:p w14:paraId="35EE910C" w14:textId="77777777" w:rsidR="0001591A" w:rsidRPr="007D6CC1" w:rsidRDefault="0001591A" w:rsidP="0001591A">
      <w:pPr>
        <w:pStyle w:val="BeschriftungTab"/>
        <w:rPr>
          <w:i/>
          <w:iCs/>
          <w:szCs w:val="24"/>
        </w:rPr>
      </w:pPr>
      <w:r w:rsidRPr="007D6CC1">
        <w:rPr>
          <w:i/>
          <w:iCs/>
          <w:szCs w:val="24"/>
        </w:rPr>
        <w:t xml:space="preserve">Tab. 1: </w:t>
      </w:r>
      <w:r w:rsidRPr="007D6CC1">
        <w:rPr>
          <w:i/>
          <w:iCs/>
        </w:rPr>
        <w:t>Vorläufer und Nachbardisziplinen des Interkulturellen Marketing</w:t>
      </w:r>
    </w:p>
    <w:tbl>
      <w:tblPr>
        <w:tblW w:w="5000"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1560"/>
        <w:gridCol w:w="5915"/>
        <w:gridCol w:w="1597"/>
      </w:tblGrid>
      <w:tr w:rsidR="0001591A" w:rsidRPr="00E73F6F" w14:paraId="2E8B0976" w14:textId="77777777" w:rsidTr="0032014E">
        <w:trPr>
          <w:tblHeader/>
        </w:trPr>
        <w:tc>
          <w:tcPr>
            <w:tcW w:w="860" w:type="pct"/>
            <w:tcBorders>
              <w:right w:val="nil"/>
            </w:tcBorders>
            <w:shd w:val="clear" w:color="auto" w:fill="FFC000"/>
            <w:vAlign w:val="center"/>
          </w:tcPr>
          <w:p w14:paraId="1C3F4F74" w14:textId="77777777" w:rsidR="0001591A" w:rsidRPr="00E73F6F" w:rsidRDefault="0001591A" w:rsidP="0032014E">
            <w:pPr>
              <w:pStyle w:val="StandardText"/>
              <w:spacing w:after="120"/>
              <w:jc w:val="left"/>
              <w:rPr>
                <w:b/>
              </w:rPr>
            </w:pPr>
            <w:r w:rsidRPr="00E73F6F">
              <w:rPr>
                <w:b/>
              </w:rPr>
              <w:t>Disziplin</w:t>
            </w:r>
          </w:p>
        </w:tc>
        <w:tc>
          <w:tcPr>
            <w:tcW w:w="3260" w:type="pct"/>
            <w:tcBorders>
              <w:left w:val="nil"/>
              <w:right w:val="nil"/>
            </w:tcBorders>
            <w:shd w:val="clear" w:color="auto" w:fill="FFC000"/>
            <w:vAlign w:val="center"/>
          </w:tcPr>
          <w:p w14:paraId="43D7E3AA" w14:textId="77777777" w:rsidR="0001591A" w:rsidRPr="00E73F6F" w:rsidRDefault="0001591A" w:rsidP="0032014E">
            <w:pPr>
              <w:pStyle w:val="StandardText"/>
              <w:spacing w:after="120"/>
              <w:jc w:val="center"/>
              <w:rPr>
                <w:b/>
              </w:rPr>
            </w:pPr>
            <w:r w:rsidRPr="00E73F6F">
              <w:rPr>
                <w:b/>
              </w:rPr>
              <w:t>Kurzbeschreibung</w:t>
            </w:r>
          </w:p>
        </w:tc>
        <w:tc>
          <w:tcPr>
            <w:tcW w:w="880" w:type="pct"/>
            <w:tcBorders>
              <w:left w:val="nil"/>
            </w:tcBorders>
            <w:shd w:val="clear" w:color="auto" w:fill="FFC000"/>
            <w:vAlign w:val="center"/>
          </w:tcPr>
          <w:p w14:paraId="4C45D862" w14:textId="77777777" w:rsidR="0001591A" w:rsidRPr="00E73F6F" w:rsidRDefault="0001591A" w:rsidP="0032014E">
            <w:pPr>
              <w:pStyle w:val="StandardText"/>
              <w:spacing w:after="120"/>
              <w:jc w:val="center"/>
              <w:rPr>
                <w:b/>
              </w:rPr>
            </w:pPr>
            <w:r w:rsidRPr="00E73F6F">
              <w:rPr>
                <w:b/>
              </w:rPr>
              <w:t>Ansatz/</w:t>
            </w:r>
            <w:r w:rsidRPr="00E73F6F">
              <w:rPr>
                <w:b/>
              </w:rPr>
              <w:br/>
              <w:t>Denkweise</w:t>
            </w:r>
          </w:p>
        </w:tc>
      </w:tr>
      <w:tr w:rsidR="0001591A" w:rsidRPr="00E73F6F" w14:paraId="513EF76F" w14:textId="77777777" w:rsidTr="0032014E">
        <w:tc>
          <w:tcPr>
            <w:tcW w:w="860" w:type="pct"/>
            <w:tcBorders>
              <w:right w:val="nil"/>
            </w:tcBorders>
            <w:shd w:val="clear" w:color="auto" w:fill="FFF2CC" w:themeFill="accent4" w:themeFillTint="33"/>
            <w:vAlign w:val="center"/>
          </w:tcPr>
          <w:p w14:paraId="26F6AFE3" w14:textId="77777777" w:rsidR="0001591A" w:rsidRPr="00E73F6F" w:rsidRDefault="0001591A" w:rsidP="0032014E">
            <w:pPr>
              <w:pStyle w:val="StandardText"/>
              <w:jc w:val="left"/>
            </w:pPr>
            <w:r w:rsidRPr="00E73F6F">
              <w:t>Rassenkunde</w:t>
            </w:r>
          </w:p>
        </w:tc>
        <w:tc>
          <w:tcPr>
            <w:tcW w:w="3260" w:type="pct"/>
            <w:tcBorders>
              <w:left w:val="nil"/>
              <w:right w:val="nil"/>
            </w:tcBorders>
            <w:vAlign w:val="center"/>
          </w:tcPr>
          <w:p w14:paraId="60C65DE5" w14:textId="77777777" w:rsidR="0001591A" w:rsidRPr="00E73F6F" w:rsidRDefault="0001591A" w:rsidP="0032014E">
            <w:pPr>
              <w:pStyle w:val="StandardText"/>
              <w:jc w:val="left"/>
            </w:pPr>
            <w:r w:rsidRPr="00E73F6F">
              <w:t>Ideologisch geprägte (Pseudo-)Wissenschaft, die primär von genetisch bedingten Unterschieden zwischen verschiedenen Menschengruppen (Rassen) ausgeht und diese in diskriminierender Weise wertet (zumeist als Ursache unterschiedlicher intellektueller Leistungsfähigkeit und/oder Moralität).</w:t>
            </w:r>
          </w:p>
        </w:tc>
        <w:tc>
          <w:tcPr>
            <w:tcW w:w="880" w:type="pct"/>
            <w:tcBorders>
              <w:left w:val="nil"/>
            </w:tcBorders>
            <w:vAlign w:val="center"/>
          </w:tcPr>
          <w:p w14:paraId="350D1081" w14:textId="77777777" w:rsidR="0001591A" w:rsidRPr="00E73F6F" w:rsidRDefault="0001591A" w:rsidP="0032014E">
            <w:pPr>
              <w:pStyle w:val="StandardText"/>
              <w:jc w:val="left"/>
            </w:pPr>
            <w:r w:rsidRPr="00E73F6F">
              <w:t>normativ/</w:t>
            </w:r>
            <w:r w:rsidRPr="00E73F6F">
              <w:br/>
              <w:t>ideologisch</w:t>
            </w:r>
          </w:p>
        </w:tc>
      </w:tr>
      <w:tr w:rsidR="0001591A" w:rsidRPr="00E73F6F" w14:paraId="5ACB10DB" w14:textId="77777777" w:rsidTr="0032014E">
        <w:tc>
          <w:tcPr>
            <w:tcW w:w="860" w:type="pct"/>
            <w:tcBorders>
              <w:right w:val="nil"/>
            </w:tcBorders>
            <w:shd w:val="clear" w:color="auto" w:fill="FFF2CC" w:themeFill="accent4" w:themeFillTint="33"/>
            <w:vAlign w:val="center"/>
          </w:tcPr>
          <w:p w14:paraId="77A73D9B" w14:textId="77777777" w:rsidR="0001591A" w:rsidRPr="00E73F6F" w:rsidRDefault="0001591A" w:rsidP="0032014E">
            <w:pPr>
              <w:pStyle w:val="StandardText"/>
              <w:jc w:val="left"/>
            </w:pPr>
            <w:r w:rsidRPr="00E73F6F">
              <w:t>Völker-</w:t>
            </w:r>
            <w:r w:rsidRPr="00E73F6F">
              <w:br/>
              <w:t>psychologie</w:t>
            </w:r>
          </w:p>
        </w:tc>
        <w:tc>
          <w:tcPr>
            <w:tcW w:w="3260" w:type="pct"/>
            <w:tcBorders>
              <w:left w:val="nil"/>
              <w:right w:val="nil"/>
            </w:tcBorders>
            <w:vAlign w:val="center"/>
          </w:tcPr>
          <w:p w14:paraId="65F34CCE" w14:textId="77777777" w:rsidR="0001591A" w:rsidRPr="00E73F6F" w:rsidRDefault="0001591A" w:rsidP="0032014E">
            <w:pPr>
              <w:pStyle w:val="StandardText"/>
              <w:jc w:val="left"/>
            </w:pPr>
            <w:r w:rsidRPr="00E73F6F">
              <w:t>Weitgehend wertfreie und vorrangig im deutschsprachigen Bereich betriebene Wissenschaft, die in der zweiten Hälfte des 19. Jahrhunderts als Vorläufer der Sozialpsychologie die geistigen und kulturellen Leistungen der verschiedenen Völker untersuchte (insb. Sprache, Religion, Mythen, Sitten).</w:t>
            </w:r>
          </w:p>
        </w:tc>
        <w:tc>
          <w:tcPr>
            <w:tcW w:w="880" w:type="pct"/>
            <w:tcBorders>
              <w:left w:val="nil"/>
            </w:tcBorders>
            <w:vAlign w:val="center"/>
          </w:tcPr>
          <w:p w14:paraId="41D67173" w14:textId="77777777" w:rsidR="0001591A" w:rsidRPr="00E73F6F" w:rsidRDefault="0001591A" w:rsidP="0032014E">
            <w:pPr>
              <w:pStyle w:val="StandardText"/>
              <w:jc w:val="left"/>
            </w:pPr>
            <w:r w:rsidRPr="00E73F6F">
              <w:t>vorwissen-schaftlich/</w:t>
            </w:r>
            <w:r w:rsidRPr="00E73F6F">
              <w:br/>
              <w:t>deskriptiv</w:t>
            </w:r>
          </w:p>
        </w:tc>
      </w:tr>
      <w:tr w:rsidR="0001591A" w:rsidRPr="00E73F6F" w14:paraId="4AF1C13D" w14:textId="77777777" w:rsidTr="0032014E">
        <w:tc>
          <w:tcPr>
            <w:tcW w:w="860" w:type="pct"/>
            <w:tcBorders>
              <w:right w:val="nil"/>
            </w:tcBorders>
            <w:shd w:val="clear" w:color="auto" w:fill="FFF2CC" w:themeFill="accent4" w:themeFillTint="33"/>
            <w:vAlign w:val="center"/>
          </w:tcPr>
          <w:p w14:paraId="3B5297B9" w14:textId="77777777" w:rsidR="0001591A" w:rsidRPr="00E73F6F" w:rsidRDefault="0001591A" w:rsidP="0032014E">
            <w:pPr>
              <w:pStyle w:val="StandardText"/>
              <w:jc w:val="left"/>
            </w:pPr>
            <w:r w:rsidRPr="00E73F6F">
              <w:t>Kulturvergleichende</w:t>
            </w:r>
            <w:r w:rsidRPr="00E73F6F">
              <w:br/>
              <w:t>Psychologie</w:t>
            </w:r>
          </w:p>
        </w:tc>
        <w:tc>
          <w:tcPr>
            <w:tcW w:w="3260" w:type="pct"/>
            <w:tcBorders>
              <w:left w:val="nil"/>
              <w:right w:val="nil"/>
            </w:tcBorders>
            <w:vAlign w:val="center"/>
          </w:tcPr>
          <w:p w14:paraId="6A9358D7" w14:textId="77777777" w:rsidR="0001591A" w:rsidRPr="00E73F6F" w:rsidRDefault="0001591A" w:rsidP="0032014E">
            <w:pPr>
              <w:pStyle w:val="StandardText"/>
              <w:jc w:val="left"/>
            </w:pPr>
            <w:r w:rsidRPr="00E73F6F">
              <w:t xml:space="preserve">Sowohl empirisch als auch verstehend-interpretativ („hermeneutisch“) betriebene Geisteswissenschaft, die Anfang des 20. Jahrhunderts den Zusammenhang zwischen den Merkmalen einer Kultur und der Persönlichkeitsstruktur </w:t>
            </w:r>
            <w:r w:rsidRPr="00E73F6F">
              <w:lastRenderedPageBreak/>
              <w:t>ihrer Mitglieder analysierte (z.B. mithilfe der teilnehmenden Beobachtung sog. primitiver Kulturen).</w:t>
            </w:r>
          </w:p>
        </w:tc>
        <w:tc>
          <w:tcPr>
            <w:tcW w:w="880" w:type="pct"/>
            <w:tcBorders>
              <w:left w:val="nil"/>
            </w:tcBorders>
            <w:vAlign w:val="center"/>
          </w:tcPr>
          <w:p w14:paraId="31C418A2" w14:textId="77777777" w:rsidR="0001591A" w:rsidRPr="00E73F6F" w:rsidRDefault="0001591A" w:rsidP="0032014E">
            <w:pPr>
              <w:pStyle w:val="StandardText"/>
              <w:jc w:val="left"/>
            </w:pPr>
            <w:r w:rsidRPr="00E73F6F">
              <w:lastRenderedPageBreak/>
              <w:t>empirisch/</w:t>
            </w:r>
            <w:r w:rsidRPr="00E73F6F">
              <w:br/>
              <w:t>hermeneutisch</w:t>
            </w:r>
          </w:p>
        </w:tc>
      </w:tr>
      <w:tr w:rsidR="0001591A" w:rsidRPr="00E73F6F" w14:paraId="09EE1BB6" w14:textId="77777777" w:rsidTr="0032014E">
        <w:tc>
          <w:tcPr>
            <w:tcW w:w="860" w:type="pct"/>
            <w:tcBorders>
              <w:right w:val="nil"/>
            </w:tcBorders>
            <w:shd w:val="clear" w:color="auto" w:fill="FFF2CC" w:themeFill="accent4" w:themeFillTint="33"/>
            <w:vAlign w:val="center"/>
          </w:tcPr>
          <w:p w14:paraId="378F1874" w14:textId="77777777" w:rsidR="0001591A" w:rsidRPr="00E73F6F" w:rsidRDefault="0001591A" w:rsidP="0032014E">
            <w:pPr>
              <w:pStyle w:val="StandardText"/>
              <w:jc w:val="left"/>
            </w:pPr>
            <w:r w:rsidRPr="00E73F6F">
              <w:t>Kultur-</w:t>
            </w:r>
            <w:r w:rsidRPr="00E73F6F">
              <w:br/>
              <w:t>psychologie</w:t>
            </w:r>
          </w:p>
        </w:tc>
        <w:tc>
          <w:tcPr>
            <w:tcW w:w="3260" w:type="pct"/>
            <w:tcBorders>
              <w:left w:val="nil"/>
              <w:right w:val="nil"/>
            </w:tcBorders>
            <w:vAlign w:val="center"/>
          </w:tcPr>
          <w:p w14:paraId="07A9E513" w14:textId="77777777" w:rsidR="0001591A" w:rsidRPr="00E73F6F" w:rsidRDefault="0001591A" w:rsidP="0032014E">
            <w:pPr>
              <w:pStyle w:val="StandardText"/>
              <w:jc w:val="left"/>
            </w:pPr>
            <w:r w:rsidRPr="00E73F6F">
              <w:t xml:space="preserve">Historische, z.T. humanistisch ausgerichtete Wissenschaft, die von den (ganzheitlichen) subjektiven Erfahrungen der Menschen ausgeht und deren Verhalten als Konsequenz des Wirkens kultureller Normen betrachtet. Forschungsobjekte sind typische Ereignisse, damit verbundene situative Verhaltensmuster und der Zusammenhang zwischen kulturellem Wandel und individueller Entwicklung. </w:t>
            </w:r>
          </w:p>
        </w:tc>
        <w:tc>
          <w:tcPr>
            <w:tcW w:w="880" w:type="pct"/>
            <w:tcBorders>
              <w:left w:val="nil"/>
            </w:tcBorders>
            <w:vAlign w:val="center"/>
          </w:tcPr>
          <w:p w14:paraId="1BC5AF98" w14:textId="77777777" w:rsidR="0001591A" w:rsidRPr="00E73F6F" w:rsidRDefault="0001591A" w:rsidP="0032014E">
            <w:pPr>
              <w:pStyle w:val="StandardText"/>
              <w:jc w:val="left"/>
            </w:pPr>
            <w:r w:rsidRPr="00E73F6F">
              <w:t>typologisch/</w:t>
            </w:r>
            <w:r w:rsidRPr="00E73F6F">
              <w:br/>
              <w:t>dynamisch</w:t>
            </w:r>
          </w:p>
        </w:tc>
      </w:tr>
      <w:tr w:rsidR="0001591A" w:rsidRPr="00E73F6F" w14:paraId="19ED6D06" w14:textId="77777777" w:rsidTr="0032014E">
        <w:tc>
          <w:tcPr>
            <w:tcW w:w="860" w:type="pct"/>
            <w:tcBorders>
              <w:right w:val="nil"/>
            </w:tcBorders>
            <w:shd w:val="clear" w:color="auto" w:fill="FFF2CC" w:themeFill="accent4" w:themeFillTint="33"/>
            <w:vAlign w:val="center"/>
          </w:tcPr>
          <w:p w14:paraId="0EA9BF28" w14:textId="77777777" w:rsidR="0001591A" w:rsidRPr="00E73F6F" w:rsidRDefault="0001591A" w:rsidP="0032014E">
            <w:pPr>
              <w:pStyle w:val="StandardText"/>
              <w:jc w:val="left"/>
            </w:pPr>
            <w:r w:rsidRPr="00E73F6F">
              <w:t>Interkulturelle</w:t>
            </w:r>
            <w:r w:rsidRPr="00E73F6F">
              <w:br/>
              <w:t>Psychologie</w:t>
            </w:r>
          </w:p>
        </w:tc>
        <w:tc>
          <w:tcPr>
            <w:tcW w:w="3260" w:type="pct"/>
            <w:tcBorders>
              <w:left w:val="nil"/>
              <w:right w:val="nil"/>
            </w:tcBorders>
            <w:vAlign w:val="center"/>
          </w:tcPr>
          <w:p w14:paraId="21171130" w14:textId="77777777" w:rsidR="0001591A" w:rsidRPr="00E73F6F" w:rsidRDefault="0001591A" w:rsidP="0032014E">
            <w:pPr>
              <w:pStyle w:val="StandardText"/>
              <w:jc w:val="left"/>
            </w:pPr>
            <w:r w:rsidRPr="00E73F6F">
              <w:t>Interdisziplinäre Wissenschaft, welche, mit Hilfe von Methoden und Erkenntnissen oder z.B. Ethnologie, der Psychologie und der Sozialpsychologie die Wahrnehmungs-, Denk-, Lern- und Verhaltensmuster von Angehörigen verschiedener Kulturen vergleichend untersucht.</w:t>
            </w:r>
          </w:p>
        </w:tc>
        <w:tc>
          <w:tcPr>
            <w:tcW w:w="880" w:type="pct"/>
            <w:tcBorders>
              <w:left w:val="nil"/>
            </w:tcBorders>
            <w:vAlign w:val="center"/>
          </w:tcPr>
          <w:p w14:paraId="0CFB25FF" w14:textId="77777777" w:rsidR="0001591A" w:rsidRPr="00E73F6F" w:rsidRDefault="0001591A" w:rsidP="0032014E">
            <w:pPr>
              <w:pStyle w:val="StandardText"/>
              <w:jc w:val="left"/>
            </w:pPr>
            <w:r w:rsidRPr="00E73F6F">
              <w:t>sozial-</w:t>
            </w:r>
            <w:r w:rsidRPr="00E73F6F">
              <w:br/>
              <w:t>psychologisch</w:t>
            </w:r>
          </w:p>
        </w:tc>
      </w:tr>
      <w:tr w:rsidR="0001591A" w:rsidRPr="00E73F6F" w14:paraId="0F33F15E" w14:textId="77777777" w:rsidTr="0032014E">
        <w:tc>
          <w:tcPr>
            <w:tcW w:w="860" w:type="pct"/>
            <w:tcBorders>
              <w:right w:val="nil"/>
            </w:tcBorders>
            <w:shd w:val="clear" w:color="auto" w:fill="FFF2CC" w:themeFill="accent4" w:themeFillTint="33"/>
            <w:vAlign w:val="center"/>
          </w:tcPr>
          <w:p w14:paraId="447C3A4C" w14:textId="77777777" w:rsidR="0001591A" w:rsidRPr="00E73F6F" w:rsidRDefault="0001591A" w:rsidP="0032014E">
            <w:pPr>
              <w:pStyle w:val="StandardText"/>
              <w:jc w:val="left"/>
            </w:pPr>
            <w:r w:rsidRPr="00E73F6F">
              <w:t>Anthro-</w:t>
            </w:r>
            <w:r w:rsidRPr="00E73F6F">
              <w:br/>
              <w:t>pologie</w:t>
            </w:r>
          </w:p>
        </w:tc>
        <w:tc>
          <w:tcPr>
            <w:tcW w:w="3260" w:type="pct"/>
            <w:tcBorders>
              <w:left w:val="nil"/>
              <w:right w:val="nil"/>
            </w:tcBorders>
            <w:vAlign w:val="center"/>
          </w:tcPr>
          <w:p w14:paraId="6CD55B82" w14:textId="77777777" w:rsidR="0001591A" w:rsidRPr="00E73F6F" w:rsidRDefault="0001591A" w:rsidP="0032014E">
            <w:pPr>
              <w:pStyle w:val="StandardText"/>
              <w:jc w:val="left"/>
            </w:pPr>
            <w:r w:rsidRPr="00E73F6F">
              <w:t xml:space="preserve">Ganzheitliche Wissenschaft vom Menschen. Im deutschsprachigen Raum setzte sich die „Menschenkunde“ primär mit biologischen, genetischen und stammesgeschichtlichen Fragen auseinander, im englischsprachigen Raum hingegen vorzugsweise mit psychologischen, soziologischen und kulturellen Forschungsthemen. Ziel der anthropologischen Forschung ist es, den Zusammenhang zwischen der Umwelt, in der Menschen leben, und ihrem jeweiligen Verhalten aufzudecken. </w:t>
            </w:r>
          </w:p>
        </w:tc>
        <w:tc>
          <w:tcPr>
            <w:tcW w:w="880" w:type="pct"/>
            <w:tcBorders>
              <w:left w:val="nil"/>
            </w:tcBorders>
            <w:vAlign w:val="center"/>
          </w:tcPr>
          <w:p w14:paraId="50248BA1" w14:textId="77777777" w:rsidR="0001591A" w:rsidRPr="00E73F6F" w:rsidRDefault="0001591A" w:rsidP="0032014E">
            <w:pPr>
              <w:pStyle w:val="StandardText"/>
              <w:jc w:val="left"/>
            </w:pPr>
            <w:r w:rsidRPr="00E73F6F">
              <w:t>ganz-</w:t>
            </w:r>
          </w:p>
          <w:p w14:paraId="250D6DA4" w14:textId="77777777" w:rsidR="0001591A" w:rsidRPr="00E73F6F" w:rsidRDefault="0001591A" w:rsidP="0032014E">
            <w:pPr>
              <w:pStyle w:val="StandardText"/>
              <w:jc w:val="left"/>
            </w:pPr>
            <w:r w:rsidRPr="00E73F6F">
              <w:t>heitlich</w:t>
            </w:r>
          </w:p>
        </w:tc>
      </w:tr>
      <w:tr w:rsidR="0001591A" w:rsidRPr="00E73F6F" w14:paraId="3CB6325E" w14:textId="77777777" w:rsidTr="0032014E">
        <w:tc>
          <w:tcPr>
            <w:tcW w:w="860" w:type="pct"/>
            <w:tcBorders>
              <w:right w:val="nil"/>
            </w:tcBorders>
            <w:shd w:val="clear" w:color="auto" w:fill="FFF2CC" w:themeFill="accent4" w:themeFillTint="33"/>
            <w:vAlign w:val="center"/>
          </w:tcPr>
          <w:p w14:paraId="56BF4CE2" w14:textId="77777777" w:rsidR="0001591A" w:rsidRPr="00E73F6F" w:rsidRDefault="0001591A" w:rsidP="0032014E">
            <w:pPr>
              <w:pStyle w:val="StandardText"/>
            </w:pPr>
            <w:r w:rsidRPr="00E73F6F">
              <w:t>Ethnologie</w:t>
            </w:r>
          </w:p>
        </w:tc>
        <w:tc>
          <w:tcPr>
            <w:tcW w:w="3260" w:type="pct"/>
            <w:tcBorders>
              <w:left w:val="nil"/>
              <w:right w:val="nil"/>
            </w:tcBorders>
            <w:vAlign w:val="center"/>
          </w:tcPr>
          <w:p w14:paraId="03F55A9D" w14:textId="77777777" w:rsidR="0001591A" w:rsidRPr="00E73F6F" w:rsidRDefault="0001591A" w:rsidP="0032014E">
            <w:pPr>
              <w:pStyle w:val="StandardText"/>
            </w:pPr>
            <w:r w:rsidRPr="00E73F6F">
              <w:t xml:space="preserve">Auch als Völkerkunde bezeichnete, mit der Kulturanthropologie verwandte interdisziplinäre Wissenschaft, welche die psychischen Merkmale (z.B. Sprachen, Sitten, Mythen, Religionen) von „primitiven“ und zunehmend häufiger auch von komplexen Gesellschaften untersucht, diese vergleichend gegenüberstellt und zu erklären versucht. </w:t>
            </w:r>
          </w:p>
        </w:tc>
        <w:tc>
          <w:tcPr>
            <w:tcW w:w="880" w:type="pct"/>
            <w:tcBorders>
              <w:left w:val="nil"/>
            </w:tcBorders>
            <w:vAlign w:val="center"/>
          </w:tcPr>
          <w:p w14:paraId="76A1EAB6" w14:textId="77777777" w:rsidR="0001591A" w:rsidRPr="00E73F6F" w:rsidRDefault="0001591A" w:rsidP="0032014E">
            <w:pPr>
              <w:pStyle w:val="StandardText"/>
            </w:pPr>
            <w:r w:rsidRPr="00E73F6F">
              <w:t>explikativ</w:t>
            </w:r>
          </w:p>
        </w:tc>
      </w:tr>
      <w:tr w:rsidR="0001591A" w:rsidRPr="00E73F6F" w14:paraId="5C007902" w14:textId="77777777" w:rsidTr="0032014E">
        <w:tc>
          <w:tcPr>
            <w:tcW w:w="860" w:type="pct"/>
            <w:tcBorders>
              <w:right w:val="nil"/>
            </w:tcBorders>
            <w:shd w:val="clear" w:color="auto" w:fill="FFF2CC" w:themeFill="accent4" w:themeFillTint="33"/>
            <w:vAlign w:val="center"/>
          </w:tcPr>
          <w:p w14:paraId="34B70981" w14:textId="77777777" w:rsidR="0001591A" w:rsidRPr="00E73F6F" w:rsidRDefault="0001591A" w:rsidP="0032014E">
            <w:pPr>
              <w:pStyle w:val="StandardText"/>
            </w:pPr>
            <w:r w:rsidRPr="00E73F6F">
              <w:t>Kultur-</w:t>
            </w:r>
            <w:r w:rsidRPr="00E73F6F">
              <w:br/>
              <w:t>anthropologie</w:t>
            </w:r>
          </w:p>
        </w:tc>
        <w:tc>
          <w:tcPr>
            <w:tcW w:w="3260" w:type="pct"/>
            <w:tcBorders>
              <w:left w:val="nil"/>
              <w:right w:val="nil"/>
            </w:tcBorders>
            <w:vAlign w:val="center"/>
          </w:tcPr>
          <w:p w14:paraId="6CF46D08" w14:textId="77777777" w:rsidR="0001591A" w:rsidRPr="00E73F6F" w:rsidRDefault="0001591A" w:rsidP="0032014E">
            <w:pPr>
              <w:pStyle w:val="StandardText"/>
            </w:pPr>
            <w:r w:rsidRPr="00E73F6F">
              <w:t>Geisteswissenschaft, welche die kognitiven, emotionalen und konativen Unterschiede (und Gemeinsamkeiten) zwischen den Angehörigen verschiedener Kulturkreise zu identifizieren versucht. Im Gegensatz zur sozialpsychologisch orientierten Interkulturellen Psychologie arbeiten Kulturanthropologen vorzugsweise differential psychologisch.</w:t>
            </w:r>
          </w:p>
        </w:tc>
        <w:tc>
          <w:tcPr>
            <w:tcW w:w="880" w:type="pct"/>
            <w:tcBorders>
              <w:left w:val="nil"/>
            </w:tcBorders>
            <w:vAlign w:val="center"/>
          </w:tcPr>
          <w:p w14:paraId="7807BD92" w14:textId="77777777" w:rsidR="0001591A" w:rsidRPr="00E73F6F" w:rsidRDefault="0001591A" w:rsidP="0032014E">
            <w:pPr>
              <w:pStyle w:val="StandardText"/>
            </w:pPr>
            <w:r w:rsidRPr="00E73F6F">
              <w:t>differenziell</w:t>
            </w:r>
          </w:p>
        </w:tc>
      </w:tr>
    </w:tbl>
    <w:p w14:paraId="192F1C05" w14:textId="77777777" w:rsidR="0001591A" w:rsidRPr="00E73F6F" w:rsidRDefault="0001591A" w:rsidP="0001591A">
      <w:pPr>
        <w:rPr>
          <w:sz w:val="24"/>
          <w:szCs w:val="24"/>
        </w:rPr>
      </w:pPr>
    </w:p>
    <w:p w14:paraId="3F529A92" w14:textId="77777777" w:rsidR="0001591A" w:rsidRPr="00E73F6F" w:rsidRDefault="0001591A" w:rsidP="0001591A">
      <w:pPr>
        <w:spacing w:before="1"/>
        <w:rPr>
          <w:sz w:val="24"/>
          <w:szCs w:val="24"/>
        </w:rPr>
      </w:pPr>
    </w:p>
    <w:p w14:paraId="5F00BA10" w14:textId="77777777" w:rsidR="00FF7799" w:rsidRPr="00E445CF" w:rsidRDefault="00FF7799" w:rsidP="002A0928">
      <w:pPr>
        <w:pStyle w:val="berschrift1"/>
        <w:rPr>
          <w:bCs w:val="0"/>
          <w:color w:val="2E74B5"/>
          <w:sz w:val="22"/>
        </w:rPr>
      </w:pPr>
      <w:r w:rsidRPr="00E445CF">
        <w:rPr>
          <w:bCs w:val="0"/>
          <w:color w:val="2E74B5"/>
          <w:sz w:val="22"/>
        </w:rPr>
        <w:t>Internationales Marketing</w:t>
      </w:r>
    </w:p>
    <w:p w14:paraId="39EEEEA6" w14:textId="77777777" w:rsidR="00FF7799" w:rsidRPr="00E445CF" w:rsidRDefault="00FF7799" w:rsidP="005B49E9">
      <w:pPr>
        <w:pStyle w:val="StandardTextkursiv"/>
        <w:rPr>
          <w:i w:val="0"/>
          <w:iCs/>
        </w:rPr>
      </w:pPr>
      <w:r w:rsidRPr="00E445CF">
        <w:rPr>
          <w:i w:val="0"/>
          <w:iCs/>
        </w:rPr>
        <w:t>1 Abgrenzung &amp; Definition</w:t>
      </w:r>
    </w:p>
    <w:p w14:paraId="1E46334B" w14:textId="77777777" w:rsidR="00FF7799" w:rsidRPr="00E73F6F" w:rsidRDefault="00FF7799" w:rsidP="005B49E9">
      <w:pPr>
        <w:pStyle w:val="StandardText"/>
      </w:pPr>
      <w:r w:rsidRPr="00E73F6F">
        <w:t>So</w:t>
      </w:r>
      <w:r w:rsidRPr="00E73F6F">
        <w:rPr>
          <w:spacing w:val="60"/>
          <w:w w:val="150"/>
        </w:rPr>
        <w:t xml:space="preserve"> </w:t>
      </w:r>
      <w:r w:rsidRPr="00E73F6F">
        <w:t xml:space="preserve">unterschiedlich </w:t>
      </w:r>
      <w:r w:rsidR="008F7599">
        <w:rPr>
          <w:b/>
        </w:rPr>
        <w:sym w:font="Symbol" w:char="F0DE"/>
      </w:r>
      <w:r w:rsidR="008F7599">
        <w:rPr>
          <w:b/>
        </w:rPr>
        <w:t xml:space="preserve"> </w:t>
      </w:r>
      <w:r w:rsidRPr="00E73F6F">
        <w:t>Konstrukte</w:t>
      </w:r>
      <w:r w:rsidRPr="00E73F6F">
        <w:rPr>
          <w:spacing w:val="61"/>
          <w:w w:val="150"/>
        </w:rPr>
        <w:t xml:space="preserve"> </w:t>
      </w:r>
      <w:r w:rsidRPr="00E73F6F">
        <w:t>wie</w:t>
      </w:r>
      <w:r w:rsidRPr="00E73F6F">
        <w:rPr>
          <w:spacing w:val="61"/>
          <w:w w:val="150"/>
        </w:rPr>
        <w:t xml:space="preserve"> </w:t>
      </w:r>
      <w:r w:rsidRPr="00E73F6F">
        <w:t>„Internationales</w:t>
      </w:r>
      <w:r w:rsidRPr="00E73F6F">
        <w:rPr>
          <w:spacing w:val="61"/>
          <w:w w:val="150"/>
        </w:rPr>
        <w:t xml:space="preserve"> </w:t>
      </w:r>
      <w:r w:rsidRPr="00E73F6F">
        <w:t>Unternehmen“</w:t>
      </w:r>
      <w:r w:rsidRPr="00E73F6F">
        <w:rPr>
          <w:spacing w:val="62"/>
          <w:w w:val="150"/>
        </w:rPr>
        <w:t xml:space="preserve"> </w:t>
      </w:r>
      <w:r w:rsidRPr="00E73F6F">
        <w:rPr>
          <w:spacing w:val="-5"/>
        </w:rPr>
        <w:t xml:space="preserve">und </w:t>
      </w:r>
      <w:r w:rsidRPr="00E73F6F">
        <w:t>„Internationalisierung“</w:t>
      </w:r>
      <w:r w:rsidRPr="00E73F6F">
        <w:rPr>
          <w:spacing w:val="-12"/>
        </w:rPr>
        <w:t xml:space="preserve"> </w:t>
      </w:r>
      <w:r w:rsidRPr="00E73F6F">
        <w:t>gedeutet</w:t>
      </w:r>
      <w:r w:rsidRPr="00E73F6F">
        <w:rPr>
          <w:spacing w:val="-11"/>
        </w:rPr>
        <w:t xml:space="preserve"> </w:t>
      </w:r>
      <w:r w:rsidRPr="00E73F6F">
        <w:t>wurden</w:t>
      </w:r>
      <w:r w:rsidRPr="00E73F6F">
        <w:rPr>
          <w:spacing w:val="-10"/>
        </w:rPr>
        <w:t xml:space="preserve"> </w:t>
      </w:r>
      <w:r w:rsidRPr="00E73F6F">
        <w:t>(vgl.</w:t>
      </w:r>
      <w:r w:rsidRPr="00E73F6F">
        <w:rPr>
          <w:spacing w:val="-10"/>
        </w:rPr>
        <w:t xml:space="preserve"> </w:t>
      </w:r>
      <w:r w:rsidRPr="00E73F6F">
        <w:t>Müller/Kornmeier</w:t>
      </w:r>
      <w:r w:rsidRPr="00E73F6F">
        <w:rPr>
          <w:spacing w:val="-9"/>
        </w:rPr>
        <w:t xml:space="preserve"> </w:t>
      </w:r>
      <w:r w:rsidRPr="00E73F6F">
        <w:t>2002,</w:t>
      </w:r>
      <w:r w:rsidRPr="00E73F6F">
        <w:rPr>
          <w:spacing w:val="-11"/>
        </w:rPr>
        <w:t xml:space="preserve"> </w:t>
      </w:r>
      <w:r w:rsidRPr="00E73F6F">
        <w:t>S.82ff.),</w:t>
      </w:r>
      <w:r w:rsidRPr="00E73F6F">
        <w:rPr>
          <w:spacing w:val="-8"/>
        </w:rPr>
        <w:t xml:space="preserve"> </w:t>
      </w:r>
      <w:r w:rsidRPr="00E73F6F">
        <w:t>so vielfältig sind auch die Meinungen darüber, was Internationales Marketing ausmacht und wodurch es sich vom Interkulturellen Marketing unterscheidet. Deshalb</w:t>
      </w:r>
      <w:r w:rsidRPr="00E73F6F">
        <w:rPr>
          <w:spacing w:val="-2"/>
        </w:rPr>
        <w:t xml:space="preserve"> </w:t>
      </w:r>
      <w:r w:rsidRPr="00E73F6F">
        <w:t>konnte</w:t>
      </w:r>
      <w:r w:rsidRPr="00E73F6F">
        <w:rPr>
          <w:spacing w:val="-3"/>
        </w:rPr>
        <w:t xml:space="preserve"> </w:t>
      </w:r>
      <w:r w:rsidRPr="00E73F6F">
        <w:t>sich</w:t>
      </w:r>
      <w:r w:rsidRPr="00E73F6F">
        <w:rPr>
          <w:spacing w:val="-2"/>
        </w:rPr>
        <w:t xml:space="preserve"> </w:t>
      </w:r>
      <w:r w:rsidRPr="00E73F6F">
        <w:t>die</w:t>
      </w:r>
      <w:r w:rsidRPr="00E73F6F">
        <w:rPr>
          <w:spacing w:val="-3"/>
        </w:rPr>
        <w:t xml:space="preserve"> </w:t>
      </w:r>
      <w:r w:rsidRPr="00E73F6F">
        <w:t>Scientific</w:t>
      </w:r>
      <w:r w:rsidRPr="00E73F6F">
        <w:rPr>
          <w:spacing w:val="-4"/>
        </w:rPr>
        <w:t xml:space="preserve"> </w:t>
      </w:r>
      <w:r w:rsidRPr="00E73F6F">
        <w:t>Community</w:t>
      </w:r>
      <w:r w:rsidRPr="00E73F6F">
        <w:rPr>
          <w:spacing w:val="-2"/>
        </w:rPr>
        <w:t xml:space="preserve"> </w:t>
      </w:r>
      <w:r w:rsidRPr="00E73F6F">
        <w:t>in</w:t>
      </w:r>
      <w:r w:rsidRPr="00E73F6F">
        <w:rPr>
          <w:spacing w:val="-2"/>
        </w:rPr>
        <w:t xml:space="preserve"> </w:t>
      </w:r>
      <w:r w:rsidRPr="00E73F6F">
        <w:t>den</w:t>
      </w:r>
      <w:r w:rsidRPr="00E73F6F">
        <w:rPr>
          <w:spacing w:val="-4"/>
        </w:rPr>
        <w:t xml:space="preserve"> </w:t>
      </w:r>
      <w:r w:rsidRPr="00E73F6F">
        <w:t>1960er-</w:t>
      </w:r>
      <w:r w:rsidRPr="00E73F6F">
        <w:lastRenderedPageBreak/>
        <w:t>Jahren</w:t>
      </w:r>
      <w:r w:rsidRPr="00E73F6F">
        <w:rPr>
          <w:spacing w:val="-2"/>
        </w:rPr>
        <w:t xml:space="preserve"> </w:t>
      </w:r>
      <w:r w:rsidRPr="00E73F6F">
        <w:t>zunächst</w:t>
      </w:r>
      <w:r w:rsidRPr="00E73F6F">
        <w:rPr>
          <w:spacing w:val="-3"/>
        </w:rPr>
        <w:t xml:space="preserve"> </w:t>
      </w:r>
      <w:r w:rsidRPr="00E73F6F">
        <w:t>nur auf folgende</w:t>
      </w:r>
      <w:r w:rsidRPr="00E73F6F">
        <w:rPr>
          <w:spacing w:val="-1"/>
        </w:rPr>
        <w:t xml:space="preserve"> </w:t>
      </w:r>
      <w:r w:rsidRPr="00E73F6F">
        <w:t>Formel einigen: „Ein Unternehmen, das in einer (gesellschaftlichen, politischen</w:t>
      </w:r>
      <w:r w:rsidRPr="00E73F6F">
        <w:rPr>
          <w:spacing w:val="-12"/>
        </w:rPr>
        <w:t xml:space="preserve"> </w:t>
      </w:r>
      <w:r w:rsidRPr="00E73F6F">
        <w:t>und</w:t>
      </w:r>
      <w:r w:rsidRPr="00E73F6F">
        <w:rPr>
          <w:spacing w:val="-11"/>
        </w:rPr>
        <w:t xml:space="preserve"> </w:t>
      </w:r>
      <w:r w:rsidRPr="00E73F6F">
        <w:t>wirtschaftlichen)</w:t>
      </w:r>
      <w:r w:rsidRPr="00E73F6F">
        <w:rPr>
          <w:spacing w:val="-11"/>
        </w:rPr>
        <w:t xml:space="preserve"> </w:t>
      </w:r>
      <w:r w:rsidRPr="00E73F6F">
        <w:t>Umwelt</w:t>
      </w:r>
      <w:r w:rsidRPr="00E73F6F">
        <w:rPr>
          <w:spacing w:val="-11"/>
        </w:rPr>
        <w:t xml:space="preserve"> </w:t>
      </w:r>
      <w:r w:rsidRPr="00E73F6F">
        <w:t>agiert,</w:t>
      </w:r>
      <w:r w:rsidRPr="00E73F6F">
        <w:rPr>
          <w:spacing w:val="-12"/>
        </w:rPr>
        <w:t xml:space="preserve"> </w:t>
      </w:r>
      <w:r w:rsidRPr="00E73F6F">
        <w:t>betreibt</w:t>
      </w:r>
      <w:r w:rsidRPr="00E73F6F">
        <w:rPr>
          <w:spacing w:val="-11"/>
        </w:rPr>
        <w:t xml:space="preserve"> </w:t>
      </w:r>
      <w:r w:rsidRPr="00E73F6F">
        <w:t>Domestic</w:t>
      </w:r>
      <w:r w:rsidRPr="00E73F6F">
        <w:rPr>
          <w:spacing w:val="-11"/>
        </w:rPr>
        <w:t xml:space="preserve"> </w:t>
      </w:r>
      <w:r w:rsidRPr="00E73F6F">
        <w:t>Marketing,</w:t>
      </w:r>
      <w:r w:rsidRPr="00E73F6F">
        <w:rPr>
          <w:spacing w:val="-11"/>
        </w:rPr>
        <w:t xml:space="preserve"> </w:t>
      </w:r>
      <w:r w:rsidRPr="00E73F6F">
        <w:t>und ein Unternehmen, das in multiplen Umwelten agiert, Internationales Marketing.</w:t>
      </w:r>
    </w:p>
    <w:p w14:paraId="062A87AF" w14:textId="77777777" w:rsidR="00FF7799" w:rsidRPr="00E73F6F" w:rsidRDefault="00FF7799" w:rsidP="005B49E9">
      <w:pPr>
        <w:pStyle w:val="StandardText"/>
        <w:rPr>
          <w:spacing w:val="-2"/>
        </w:rPr>
      </w:pPr>
      <w:r w:rsidRPr="00E73F6F">
        <w:rPr>
          <w:spacing w:val="-2"/>
        </w:rPr>
        <w:t>Selbst</w:t>
      </w:r>
      <w:r w:rsidRPr="00E73F6F">
        <w:tab/>
      </w:r>
      <w:r w:rsidRPr="00E73F6F">
        <w:rPr>
          <w:spacing w:val="-2"/>
        </w:rPr>
        <w:t>diesen letztlich</w:t>
      </w:r>
      <w:r w:rsidRPr="00E73F6F">
        <w:t xml:space="preserve"> </w:t>
      </w:r>
      <w:r w:rsidRPr="00E73F6F">
        <w:rPr>
          <w:spacing w:val="-2"/>
        </w:rPr>
        <w:t>wenig aussagefähigen Minimalkonsens kündigte</w:t>
      </w:r>
      <w:r w:rsidRPr="00E73F6F">
        <w:tab/>
      </w:r>
      <w:r w:rsidRPr="00E73F6F">
        <w:rPr>
          <w:spacing w:val="-2"/>
        </w:rPr>
        <w:t xml:space="preserve">Kotler </w:t>
      </w:r>
      <w:r w:rsidRPr="00E73F6F">
        <w:t>(1972)</w:t>
      </w:r>
      <w:r w:rsidRPr="00E73F6F">
        <w:rPr>
          <w:spacing w:val="-6"/>
        </w:rPr>
        <w:t xml:space="preserve"> </w:t>
      </w:r>
      <w:r w:rsidRPr="00E73F6F">
        <w:t>auf,</w:t>
      </w:r>
      <w:r w:rsidRPr="00E73F6F">
        <w:rPr>
          <w:spacing w:val="-5"/>
        </w:rPr>
        <w:t xml:space="preserve"> </w:t>
      </w:r>
      <w:r w:rsidRPr="00E73F6F">
        <w:t>als</w:t>
      </w:r>
      <w:r w:rsidRPr="00E73F6F">
        <w:rPr>
          <w:spacing w:val="-8"/>
        </w:rPr>
        <w:t xml:space="preserve"> </w:t>
      </w:r>
      <w:r w:rsidRPr="00E73F6F">
        <w:t>er</w:t>
      </w:r>
      <w:r w:rsidRPr="00E73F6F">
        <w:rPr>
          <w:spacing w:val="-6"/>
        </w:rPr>
        <w:t xml:space="preserve"> </w:t>
      </w:r>
      <w:r w:rsidRPr="00E73F6F">
        <w:t>das Konzept</w:t>
      </w:r>
      <w:r w:rsidRPr="00E73F6F">
        <w:rPr>
          <w:spacing w:val="-10"/>
        </w:rPr>
        <w:t xml:space="preserve"> </w:t>
      </w:r>
      <w:r w:rsidRPr="00E73F6F">
        <w:t>des</w:t>
      </w:r>
      <w:r w:rsidRPr="00E73F6F">
        <w:rPr>
          <w:spacing w:val="-9"/>
        </w:rPr>
        <w:t xml:space="preserve"> </w:t>
      </w:r>
      <w:r w:rsidRPr="00E73F6F">
        <w:t xml:space="preserve">Generic </w:t>
      </w:r>
      <w:r w:rsidRPr="00E73F6F">
        <w:rPr>
          <w:spacing w:val="-2"/>
        </w:rPr>
        <w:t>Marketing propagierte:</w:t>
      </w:r>
    </w:p>
    <w:p w14:paraId="28A40A56" w14:textId="77777777" w:rsidR="00FF7799" w:rsidRPr="00E73F6F" w:rsidRDefault="00FF7799" w:rsidP="005B49E9">
      <w:pPr>
        <w:pStyle w:val="StandardText"/>
        <w:rPr>
          <w:spacing w:val="-2"/>
        </w:rPr>
      </w:pPr>
    </w:p>
    <w:tbl>
      <w:tblPr>
        <w:tblStyle w:val="Tabellenraster"/>
        <w:tblW w:w="0" w:type="auto"/>
        <w:tblLook w:val="04A0" w:firstRow="1" w:lastRow="0" w:firstColumn="1" w:lastColumn="0" w:noHBand="0" w:noVBand="1"/>
      </w:tblPr>
      <w:tblGrid>
        <w:gridCol w:w="9062"/>
      </w:tblGrid>
      <w:tr w:rsidR="00FF7799" w:rsidRPr="00E17A2B" w14:paraId="3A83D567" w14:textId="77777777" w:rsidTr="008F7599">
        <w:tc>
          <w:tcPr>
            <w:tcW w:w="9062" w:type="dxa"/>
            <w:shd w:val="clear" w:color="auto" w:fill="DEEAF6" w:themeFill="accent1" w:themeFillTint="33"/>
          </w:tcPr>
          <w:p w14:paraId="382D3CD7" w14:textId="77777777" w:rsidR="00FF7799" w:rsidRPr="008F7599" w:rsidRDefault="00FF7799" w:rsidP="006F5B9E">
            <w:pPr>
              <w:pStyle w:val="Standardklein"/>
              <w:spacing w:before="120" w:after="120"/>
              <w:rPr>
                <w:sz w:val="24"/>
                <w:szCs w:val="24"/>
                <w:lang w:val="en-US"/>
              </w:rPr>
            </w:pPr>
            <w:r w:rsidRPr="00E35FFF">
              <w:rPr>
                <w:lang w:val="en-US"/>
              </w:rPr>
              <w:t>„When domestic marketing was the whole of marketing, with</w:t>
            </w:r>
            <w:r w:rsidRPr="00E35FFF">
              <w:rPr>
                <w:spacing w:val="40"/>
                <w:lang w:val="en-US"/>
              </w:rPr>
              <w:t xml:space="preserve"> </w:t>
            </w:r>
            <w:r w:rsidRPr="00E35FFF">
              <w:rPr>
                <w:lang w:val="en-US"/>
              </w:rPr>
              <w:t>the rise of international activity, the domestic, foreign, and</w:t>
            </w:r>
            <w:r w:rsidRPr="00E35FFF">
              <w:rPr>
                <w:spacing w:val="40"/>
                <w:lang w:val="en-US"/>
              </w:rPr>
              <w:t xml:space="preserve"> </w:t>
            </w:r>
            <w:r w:rsidRPr="00E35FFF">
              <w:rPr>
                <w:lang w:val="en-US"/>
              </w:rPr>
              <w:t>international were viewed as three types of marketing. This</w:t>
            </w:r>
            <w:r w:rsidRPr="00E35FFF">
              <w:rPr>
                <w:spacing w:val="40"/>
                <w:lang w:val="en-US"/>
              </w:rPr>
              <w:t xml:space="preserve"> </w:t>
            </w:r>
            <w:r w:rsidRPr="00E35FFF">
              <w:rPr>
                <w:spacing w:val="-2"/>
                <w:lang w:val="en-US"/>
              </w:rPr>
              <w:t>dichotomy it is</w:t>
            </w:r>
            <w:r w:rsidRPr="00E35FFF">
              <w:rPr>
                <w:spacing w:val="-3"/>
                <w:lang w:val="en-US"/>
              </w:rPr>
              <w:t xml:space="preserve"> </w:t>
            </w:r>
            <w:r w:rsidRPr="00E35FFF">
              <w:rPr>
                <w:spacing w:val="-2"/>
                <w:lang w:val="en-US"/>
              </w:rPr>
              <w:t>felt will ultimately disappear</w:t>
            </w:r>
            <w:r w:rsidRPr="00E35FFF">
              <w:rPr>
                <w:spacing w:val="-4"/>
                <w:lang w:val="en-US"/>
              </w:rPr>
              <w:t xml:space="preserve"> </w:t>
            </w:r>
            <w:r w:rsidRPr="00E35FFF">
              <w:rPr>
                <w:spacing w:val="-2"/>
                <w:lang w:val="en-US"/>
              </w:rPr>
              <w:t>and these categories</w:t>
            </w:r>
            <w:r w:rsidRPr="00E35FFF">
              <w:rPr>
                <w:spacing w:val="40"/>
                <w:lang w:val="en-US"/>
              </w:rPr>
              <w:t xml:space="preserve"> </w:t>
            </w:r>
            <w:r w:rsidRPr="00E35FFF">
              <w:rPr>
                <w:lang w:val="en-US"/>
              </w:rPr>
              <w:t>will</w:t>
            </w:r>
            <w:r w:rsidRPr="00E35FFF">
              <w:rPr>
                <w:spacing w:val="-10"/>
                <w:lang w:val="en-US"/>
              </w:rPr>
              <w:t xml:space="preserve"> </w:t>
            </w:r>
            <w:r w:rsidRPr="00E35FFF">
              <w:rPr>
                <w:lang w:val="en-US"/>
              </w:rPr>
              <w:t>be</w:t>
            </w:r>
            <w:r w:rsidRPr="00E35FFF">
              <w:rPr>
                <w:spacing w:val="-10"/>
                <w:lang w:val="en-US"/>
              </w:rPr>
              <w:t xml:space="preserve"> </w:t>
            </w:r>
            <w:r w:rsidRPr="00E35FFF">
              <w:rPr>
                <w:lang w:val="en-US"/>
              </w:rPr>
              <w:t>regarded</w:t>
            </w:r>
            <w:r w:rsidRPr="00E35FFF">
              <w:rPr>
                <w:spacing w:val="-10"/>
                <w:lang w:val="en-US"/>
              </w:rPr>
              <w:t xml:space="preserve"> </w:t>
            </w:r>
            <w:r w:rsidRPr="00E35FFF">
              <w:rPr>
                <w:lang w:val="en-US"/>
              </w:rPr>
              <w:t>simply</w:t>
            </w:r>
            <w:r w:rsidRPr="00E35FFF">
              <w:rPr>
                <w:spacing w:val="-10"/>
                <w:lang w:val="en-US"/>
              </w:rPr>
              <w:t xml:space="preserve"> </w:t>
            </w:r>
            <w:r w:rsidRPr="00E35FFF">
              <w:rPr>
                <w:lang w:val="en-US"/>
              </w:rPr>
              <w:t>as</w:t>
            </w:r>
            <w:r w:rsidRPr="00E35FFF">
              <w:rPr>
                <w:spacing w:val="-10"/>
                <w:lang w:val="en-US"/>
              </w:rPr>
              <w:t xml:space="preserve"> </w:t>
            </w:r>
            <w:r w:rsidRPr="00E35FFF">
              <w:rPr>
                <w:lang w:val="en-US"/>
              </w:rPr>
              <w:t>three</w:t>
            </w:r>
            <w:r w:rsidRPr="00E35FFF">
              <w:rPr>
                <w:spacing w:val="-10"/>
                <w:lang w:val="en-US"/>
              </w:rPr>
              <w:t xml:space="preserve"> </w:t>
            </w:r>
            <w:r w:rsidRPr="00E35FFF">
              <w:rPr>
                <w:lang w:val="en-US"/>
              </w:rPr>
              <w:t>subdivisions</w:t>
            </w:r>
            <w:r w:rsidRPr="00E35FFF">
              <w:rPr>
                <w:spacing w:val="-10"/>
                <w:lang w:val="en-US"/>
              </w:rPr>
              <w:t xml:space="preserve"> </w:t>
            </w:r>
            <w:r w:rsidRPr="00E35FFF">
              <w:rPr>
                <w:lang w:val="en-US"/>
              </w:rPr>
              <w:t>of</w:t>
            </w:r>
            <w:r w:rsidRPr="00E35FFF">
              <w:rPr>
                <w:spacing w:val="-10"/>
                <w:lang w:val="en-US"/>
              </w:rPr>
              <w:t xml:space="preserve"> </w:t>
            </w:r>
            <w:r w:rsidRPr="00E35FFF">
              <w:rPr>
                <w:lang w:val="en-US"/>
              </w:rPr>
              <w:t>marketing</w:t>
            </w:r>
            <w:r w:rsidRPr="00E35FFF">
              <w:rPr>
                <w:spacing w:val="-10"/>
                <w:lang w:val="en-US"/>
              </w:rPr>
              <w:t xml:space="preserve"> </w:t>
            </w:r>
            <w:r w:rsidRPr="00E35FFF">
              <w:rPr>
                <w:lang w:val="en-US"/>
              </w:rPr>
              <w:t>itself.</w:t>
            </w:r>
            <w:r w:rsidRPr="00E35FFF">
              <w:rPr>
                <w:spacing w:val="40"/>
                <w:lang w:val="en-US"/>
              </w:rPr>
              <w:t xml:space="preserve"> </w:t>
            </w:r>
            <w:r w:rsidRPr="00E35FFF">
              <w:rPr>
                <w:lang w:val="en-US"/>
              </w:rPr>
              <w:t>Then, instead of fitting a theory of American marketing to</w:t>
            </w:r>
            <w:r w:rsidRPr="00E35FFF">
              <w:rPr>
                <w:spacing w:val="40"/>
                <w:lang w:val="en-US"/>
              </w:rPr>
              <w:t xml:space="preserve"> </w:t>
            </w:r>
            <w:r w:rsidRPr="00E35FFF">
              <w:rPr>
                <w:lang w:val="en-US"/>
              </w:rPr>
              <w:t>foreign situations and adapting it</w:t>
            </w:r>
            <w:r w:rsidRPr="00E35FFF">
              <w:rPr>
                <w:spacing w:val="-1"/>
                <w:lang w:val="en-US"/>
              </w:rPr>
              <w:t xml:space="preserve"> </w:t>
            </w:r>
            <w:r w:rsidRPr="00E35FFF">
              <w:rPr>
                <w:lang w:val="en-US"/>
              </w:rPr>
              <w:t>to international elements,</w:t>
            </w:r>
            <w:r w:rsidRPr="00E35FFF">
              <w:rPr>
                <w:spacing w:val="-1"/>
                <w:lang w:val="en-US"/>
              </w:rPr>
              <w:t xml:space="preserve"> </w:t>
            </w:r>
            <w:r w:rsidRPr="00E35FFF">
              <w:rPr>
                <w:lang w:val="en-US"/>
              </w:rPr>
              <w:t>one</w:t>
            </w:r>
            <w:r w:rsidRPr="00E35FFF">
              <w:rPr>
                <w:spacing w:val="40"/>
                <w:lang w:val="en-US"/>
              </w:rPr>
              <w:t xml:space="preserve"> </w:t>
            </w:r>
            <w:r w:rsidRPr="00E35FFF">
              <w:rPr>
                <w:lang w:val="en-US"/>
              </w:rPr>
              <w:t>theory of marketing in its br</w:t>
            </w:r>
            <w:r w:rsidR="008F7599">
              <w:rPr>
                <w:lang w:val="en-US"/>
              </w:rPr>
              <w:t>oadest sense will encompass all</w:t>
            </w:r>
            <w:r w:rsidRPr="00E35FFF">
              <w:rPr>
                <w:lang w:val="en-US"/>
              </w:rPr>
              <w:t xml:space="preserve">“ </w:t>
            </w:r>
            <w:r w:rsidR="008F7599">
              <w:rPr>
                <w:lang w:val="en-US"/>
              </w:rPr>
              <w:t xml:space="preserve">(Bartels </w:t>
            </w:r>
            <w:r w:rsidRPr="008F7599">
              <w:rPr>
                <w:lang w:val="en-US"/>
              </w:rPr>
              <w:t>1971, S.254)</w:t>
            </w:r>
            <w:r w:rsidR="008F7599">
              <w:rPr>
                <w:lang w:val="en-US"/>
              </w:rPr>
              <w:t>.</w:t>
            </w:r>
          </w:p>
        </w:tc>
      </w:tr>
    </w:tbl>
    <w:p w14:paraId="6E9EAD54" w14:textId="77777777" w:rsidR="00FF7799" w:rsidRPr="008F7599" w:rsidRDefault="00FF7799" w:rsidP="005B49E9">
      <w:pPr>
        <w:pStyle w:val="StandardText"/>
        <w:rPr>
          <w:lang w:val="en-US"/>
        </w:rPr>
      </w:pPr>
    </w:p>
    <w:p w14:paraId="586C5258" w14:textId="77777777" w:rsidR="00FF7799" w:rsidRPr="00E73F6F" w:rsidRDefault="00FF7799" w:rsidP="005B49E9">
      <w:pPr>
        <w:pStyle w:val="StandardText"/>
      </w:pPr>
      <w:r w:rsidRPr="00E73F6F">
        <w:t>Robinson (1978, S.30) dehnte es dann auf den gesamten Bereich der internationalen Unternehmensführung aus: Marketing als die gezielte Auseinandersetzung eines Unternehmens mit seiner Umwelt, gleichgültig, ob diese national begrenzt oder weiter gefasst ist (international bzw. interkulturell). Bartels (1971, S.254) schließlich, der als Protagonist des World Marketing die generische Sichtweise teilt, ging noch einen Schritt weiter und definierte Marketing als die generell gültige Unternehmensstrategie. Wer (nach seiner Ansicht: fälschlicherweise) zwischen Domestic und International Marketing differenziere,</w:t>
      </w:r>
      <w:r w:rsidRPr="00E73F6F">
        <w:rPr>
          <w:spacing w:val="33"/>
        </w:rPr>
        <w:t xml:space="preserve"> </w:t>
      </w:r>
      <w:r w:rsidRPr="00E73F6F">
        <w:t>verwechsle</w:t>
      </w:r>
      <w:r w:rsidRPr="00E73F6F">
        <w:rPr>
          <w:spacing w:val="33"/>
        </w:rPr>
        <w:t xml:space="preserve"> </w:t>
      </w:r>
      <w:r w:rsidRPr="00E73F6F">
        <w:t>die</w:t>
      </w:r>
      <w:r w:rsidRPr="00E73F6F">
        <w:rPr>
          <w:spacing w:val="32"/>
        </w:rPr>
        <w:t xml:space="preserve"> </w:t>
      </w:r>
      <w:r w:rsidRPr="00E73F6F">
        <w:t>„Unterschiedlichkeit</w:t>
      </w:r>
      <w:r w:rsidRPr="00E73F6F">
        <w:rPr>
          <w:spacing w:val="33"/>
        </w:rPr>
        <w:t xml:space="preserve"> </w:t>
      </w:r>
      <w:r w:rsidRPr="00E73F6F">
        <w:t>der</w:t>
      </w:r>
      <w:r w:rsidRPr="00E73F6F">
        <w:rPr>
          <w:spacing w:val="33"/>
        </w:rPr>
        <w:t xml:space="preserve"> </w:t>
      </w:r>
      <w:r w:rsidRPr="00E73F6F">
        <w:t>Märkte“</w:t>
      </w:r>
      <w:r w:rsidRPr="00E73F6F">
        <w:rPr>
          <w:spacing w:val="34"/>
        </w:rPr>
        <w:t xml:space="preserve"> </w:t>
      </w:r>
      <w:r w:rsidRPr="00E73F6F">
        <w:t>mit</w:t>
      </w:r>
      <w:r w:rsidRPr="00E73F6F">
        <w:rPr>
          <w:spacing w:val="33"/>
        </w:rPr>
        <w:t xml:space="preserve"> </w:t>
      </w:r>
      <w:r w:rsidRPr="00E73F6F">
        <w:rPr>
          <w:spacing w:val="-5"/>
        </w:rPr>
        <w:t xml:space="preserve">der </w:t>
      </w:r>
      <w:r w:rsidRPr="00E73F6F">
        <w:t>„Heterogenität der zu ihrer Erschließung einsetzbaren Instrumente“. Schließlich könnten in allen Ländermärkten die vier klassischen Marketing-Instrumente eingesetzt werden (= qualitative Dimension), wenn auch nicht überall in der gleichen Art und Weise (= quantitative Dimension).</w:t>
      </w:r>
    </w:p>
    <w:p w14:paraId="4E9FEA49" w14:textId="77777777" w:rsidR="00FF7799" w:rsidRPr="00E73F6F" w:rsidRDefault="00FF7799" w:rsidP="005B49E9">
      <w:pPr>
        <w:pStyle w:val="StandardText"/>
      </w:pPr>
      <w:r w:rsidRPr="00E35FFF">
        <w:rPr>
          <w:lang w:val="en-US"/>
        </w:rPr>
        <w:t xml:space="preserve">Perry (1990, S.47) formulierte diese Auffassung anschaulicher: „You can eliminate the wholesaler, but you cannot eliminate its functions“. </w:t>
      </w:r>
      <w:r w:rsidRPr="00E73F6F">
        <w:t>Diese schlagwortartige Zusammenfassung der generischen Perspektive besagt, dass ein Unternehmen immer Marketing betreibt, auch dann, wenn es in bestimmten Ländern manche Instrumente nicht einsetzen …</w:t>
      </w:r>
    </w:p>
    <w:p w14:paraId="67EBD712" w14:textId="77777777" w:rsidR="00FF7799" w:rsidRPr="00E73F6F" w:rsidRDefault="00FF7799" w:rsidP="00E445CF">
      <w:pPr>
        <w:pStyle w:val="StandardTextAufzhlung"/>
        <w:ind w:left="426"/>
      </w:pPr>
      <w:r w:rsidRPr="00E73F6F">
        <w:t>will (wie im Falle des Verzichts auf eine bestimmte farbliche Gestaltung</w:t>
      </w:r>
      <w:r w:rsidRPr="00E73F6F">
        <w:rPr>
          <w:spacing w:val="-5"/>
        </w:rPr>
        <w:t xml:space="preserve"> </w:t>
      </w:r>
      <w:r w:rsidRPr="00E73F6F">
        <w:t>eines</w:t>
      </w:r>
      <w:r w:rsidRPr="00E73F6F">
        <w:rPr>
          <w:spacing w:val="-6"/>
        </w:rPr>
        <w:t xml:space="preserve"> </w:t>
      </w:r>
      <w:r w:rsidRPr="00E73F6F">
        <w:t>Produktes,</w:t>
      </w:r>
      <w:r w:rsidRPr="00E73F6F">
        <w:rPr>
          <w:spacing w:val="-6"/>
        </w:rPr>
        <w:t xml:space="preserve"> </w:t>
      </w:r>
      <w:r w:rsidRPr="00E73F6F">
        <w:t>um</w:t>
      </w:r>
      <w:r w:rsidRPr="00E73F6F">
        <w:rPr>
          <w:spacing w:val="-8"/>
        </w:rPr>
        <w:t xml:space="preserve"> </w:t>
      </w:r>
      <w:r w:rsidRPr="00E73F6F">
        <w:t>kulturellen</w:t>
      </w:r>
      <w:r w:rsidRPr="00E73F6F">
        <w:rPr>
          <w:spacing w:val="-5"/>
        </w:rPr>
        <w:t xml:space="preserve"> </w:t>
      </w:r>
      <w:r w:rsidRPr="00E73F6F">
        <w:t>Normen</w:t>
      </w:r>
      <w:r w:rsidRPr="00E73F6F">
        <w:rPr>
          <w:spacing w:val="-5"/>
        </w:rPr>
        <w:t xml:space="preserve"> </w:t>
      </w:r>
      <w:r w:rsidRPr="00E73F6F">
        <w:t>Rechnung</w:t>
      </w:r>
      <w:r w:rsidRPr="00E73F6F">
        <w:rPr>
          <w:spacing w:val="-5"/>
        </w:rPr>
        <w:t xml:space="preserve"> </w:t>
      </w:r>
      <w:r w:rsidRPr="00E73F6F">
        <w:t xml:space="preserve">zu </w:t>
      </w:r>
      <w:r w:rsidRPr="00E73F6F">
        <w:rPr>
          <w:spacing w:val="-2"/>
        </w:rPr>
        <w:t>tragen),</w:t>
      </w:r>
    </w:p>
    <w:p w14:paraId="5DA6C499" w14:textId="77777777" w:rsidR="00FF7799" w:rsidRPr="00E73F6F" w:rsidRDefault="00FF7799" w:rsidP="00E445CF">
      <w:pPr>
        <w:pStyle w:val="StandardTextAufzhlung"/>
        <w:ind w:left="426"/>
      </w:pPr>
      <w:r w:rsidRPr="00E73F6F">
        <w:t>kann</w:t>
      </w:r>
      <w:r w:rsidRPr="00E73F6F">
        <w:rPr>
          <w:spacing w:val="-3"/>
        </w:rPr>
        <w:t xml:space="preserve"> </w:t>
      </w:r>
      <w:r w:rsidRPr="00E73F6F">
        <w:t>(wie</w:t>
      </w:r>
      <w:r w:rsidRPr="00E73F6F">
        <w:rPr>
          <w:spacing w:val="-7"/>
        </w:rPr>
        <w:t xml:space="preserve"> </w:t>
      </w:r>
      <w:r w:rsidRPr="00E73F6F">
        <w:t>im</w:t>
      </w:r>
      <w:r w:rsidRPr="00E73F6F">
        <w:rPr>
          <w:spacing w:val="-5"/>
        </w:rPr>
        <w:t xml:space="preserve"> </w:t>
      </w:r>
      <w:r w:rsidRPr="00E73F6F">
        <w:t>Falle</w:t>
      </w:r>
      <w:r w:rsidRPr="00E73F6F">
        <w:rPr>
          <w:spacing w:val="-5"/>
        </w:rPr>
        <w:t xml:space="preserve"> </w:t>
      </w:r>
      <w:r w:rsidRPr="00E73F6F">
        <w:t>des</w:t>
      </w:r>
      <w:r w:rsidRPr="00E73F6F">
        <w:rPr>
          <w:spacing w:val="-4"/>
        </w:rPr>
        <w:t xml:space="preserve"> </w:t>
      </w:r>
      <w:r w:rsidRPr="00E73F6F">
        <w:t>Verzichts</w:t>
      </w:r>
      <w:r w:rsidRPr="00E73F6F">
        <w:rPr>
          <w:spacing w:val="-6"/>
        </w:rPr>
        <w:t xml:space="preserve"> </w:t>
      </w:r>
      <w:r w:rsidRPr="00E73F6F">
        <w:t>auf</w:t>
      </w:r>
      <w:r w:rsidRPr="00E73F6F">
        <w:rPr>
          <w:spacing w:val="-4"/>
        </w:rPr>
        <w:t xml:space="preserve"> </w:t>
      </w:r>
      <w:r w:rsidRPr="00E73F6F">
        <w:t>Direktvertrieb</w:t>
      </w:r>
      <w:r w:rsidRPr="00E73F6F">
        <w:rPr>
          <w:spacing w:val="-3"/>
        </w:rPr>
        <w:t xml:space="preserve"> </w:t>
      </w:r>
      <w:r w:rsidRPr="00E73F6F">
        <w:t>wegen mangelhafter Infrastruktur) oder</w:t>
      </w:r>
    </w:p>
    <w:p w14:paraId="61D11379" w14:textId="77777777" w:rsidR="00FF7799" w:rsidRDefault="00FF7799" w:rsidP="00E445CF">
      <w:pPr>
        <w:pStyle w:val="StandardTextAufzhlung"/>
        <w:ind w:left="426"/>
      </w:pPr>
      <w:r w:rsidRPr="00E73F6F">
        <w:t>darf</w:t>
      </w:r>
      <w:r w:rsidRPr="00E73F6F">
        <w:rPr>
          <w:spacing w:val="-4"/>
        </w:rPr>
        <w:t xml:space="preserve"> </w:t>
      </w:r>
      <w:r w:rsidRPr="00E73F6F">
        <w:t>(wie</w:t>
      </w:r>
      <w:r w:rsidRPr="00E73F6F">
        <w:rPr>
          <w:spacing w:val="-5"/>
        </w:rPr>
        <w:t xml:space="preserve"> </w:t>
      </w:r>
      <w:r w:rsidRPr="00E73F6F">
        <w:t>im</w:t>
      </w:r>
      <w:r w:rsidRPr="00E73F6F">
        <w:rPr>
          <w:spacing w:val="-4"/>
        </w:rPr>
        <w:t xml:space="preserve"> </w:t>
      </w:r>
      <w:r w:rsidRPr="00E73F6F">
        <w:t>Falle</w:t>
      </w:r>
      <w:r w:rsidRPr="00E73F6F">
        <w:rPr>
          <w:spacing w:val="-5"/>
        </w:rPr>
        <w:t xml:space="preserve"> </w:t>
      </w:r>
      <w:r w:rsidRPr="00E73F6F">
        <w:t>des</w:t>
      </w:r>
      <w:r w:rsidRPr="00E73F6F">
        <w:rPr>
          <w:spacing w:val="-4"/>
        </w:rPr>
        <w:t xml:space="preserve"> </w:t>
      </w:r>
      <w:r w:rsidRPr="00E73F6F">
        <w:t>Verzichts</w:t>
      </w:r>
      <w:r w:rsidRPr="00E73F6F">
        <w:rPr>
          <w:spacing w:val="-2"/>
        </w:rPr>
        <w:t xml:space="preserve"> </w:t>
      </w:r>
      <w:r w:rsidRPr="00E73F6F">
        <w:t>auf</w:t>
      </w:r>
      <w:r w:rsidRPr="00E73F6F">
        <w:rPr>
          <w:spacing w:val="-4"/>
        </w:rPr>
        <w:t xml:space="preserve"> </w:t>
      </w:r>
      <w:r w:rsidRPr="00E73F6F">
        <w:t>TV-Werbung</w:t>
      </w:r>
      <w:r w:rsidRPr="00E73F6F">
        <w:rPr>
          <w:spacing w:val="-3"/>
        </w:rPr>
        <w:t xml:space="preserve"> </w:t>
      </w:r>
      <w:r w:rsidRPr="00E73F6F">
        <w:t>für</w:t>
      </w:r>
      <w:r w:rsidRPr="00E73F6F">
        <w:rPr>
          <w:spacing w:val="-4"/>
        </w:rPr>
        <w:t xml:space="preserve"> </w:t>
      </w:r>
      <w:r w:rsidRPr="00E73F6F">
        <w:t>Tabakwaren aufgrund rechtlicher Restriktionen).</w:t>
      </w:r>
    </w:p>
    <w:p w14:paraId="4F951D7D" w14:textId="77777777" w:rsidR="00E445CF" w:rsidRPr="00E73F6F" w:rsidRDefault="00E445CF" w:rsidP="00E445CF">
      <w:pPr>
        <w:pStyle w:val="StandardTextAufzhlung"/>
        <w:numPr>
          <w:ilvl w:val="0"/>
          <w:numId w:val="0"/>
        </w:numPr>
        <w:ind w:left="426"/>
      </w:pPr>
    </w:p>
    <w:p w14:paraId="2CE4E665" w14:textId="77777777" w:rsidR="00FF7799" w:rsidRPr="00E73F6F" w:rsidRDefault="00FF7799" w:rsidP="00146CA6">
      <w:pPr>
        <w:pStyle w:val="StandardText"/>
      </w:pPr>
      <w:r w:rsidRPr="00E73F6F">
        <w:t>Wenn in der Literatur von Internationalem Marketing gesprochen wird, so kann damit Verschiedenes gemeint sein:</w:t>
      </w:r>
    </w:p>
    <w:p w14:paraId="64677792" w14:textId="77777777" w:rsidR="00FF7799" w:rsidRPr="00E73F6F" w:rsidRDefault="00FF7799" w:rsidP="00E445CF">
      <w:pPr>
        <w:pStyle w:val="StandardTextAufzhlung"/>
        <w:ind w:left="426"/>
      </w:pPr>
      <w:r w:rsidRPr="00E73F6F">
        <w:t>Zunächst ein sehr weit gefasster Begriff, der sich am Minimalkonsens orientiert und in undifferenzierter Weise alle Erscheinungsformen grenzüberschreitender wirtschaftlicher Tätigkeit meint (beginnend mit dem Export-Marketing über das Internationale</w:t>
      </w:r>
      <w:r w:rsidRPr="00E73F6F">
        <w:rPr>
          <w:spacing w:val="-4"/>
        </w:rPr>
        <w:t xml:space="preserve"> </w:t>
      </w:r>
      <w:r w:rsidRPr="00E73F6F">
        <w:t>und</w:t>
      </w:r>
      <w:r w:rsidRPr="00E73F6F">
        <w:rPr>
          <w:spacing w:val="-5"/>
        </w:rPr>
        <w:t xml:space="preserve"> </w:t>
      </w:r>
      <w:r w:rsidRPr="00E73F6F">
        <w:t>das</w:t>
      </w:r>
      <w:r w:rsidRPr="00E73F6F">
        <w:rPr>
          <w:spacing w:val="-4"/>
        </w:rPr>
        <w:t xml:space="preserve"> </w:t>
      </w:r>
      <w:r w:rsidRPr="00E73F6F">
        <w:t>Multinationale</w:t>
      </w:r>
      <w:r w:rsidRPr="00E73F6F">
        <w:rPr>
          <w:spacing w:val="-4"/>
        </w:rPr>
        <w:t xml:space="preserve"> </w:t>
      </w:r>
      <w:r w:rsidRPr="00E73F6F">
        <w:t>bis</w:t>
      </w:r>
      <w:r w:rsidRPr="00E73F6F">
        <w:rPr>
          <w:spacing w:val="-6"/>
        </w:rPr>
        <w:t xml:space="preserve"> </w:t>
      </w:r>
      <w:r w:rsidRPr="00E73F6F">
        <w:t>hin</w:t>
      </w:r>
      <w:r w:rsidRPr="00E73F6F">
        <w:rPr>
          <w:spacing w:val="-3"/>
        </w:rPr>
        <w:t xml:space="preserve"> </w:t>
      </w:r>
      <w:r w:rsidRPr="00E73F6F">
        <w:t>zum</w:t>
      </w:r>
      <w:r w:rsidRPr="00E73F6F">
        <w:rPr>
          <w:spacing w:val="-5"/>
        </w:rPr>
        <w:t xml:space="preserve"> </w:t>
      </w:r>
      <w:r w:rsidRPr="00E73F6F">
        <w:t>Transnationalen</w:t>
      </w:r>
      <w:r w:rsidRPr="00E73F6F">
        <w:rPr>
          <w:spacing w:val="-8"/>
        </w:rPr>
        <w:t xml:space="preserve"> </w:t>
      </w:r>
      <w:r w:rsidRPr="00E73F6F">
        <w:t>bzw.</w:t>
      </w:r>
      <w:r w:rsidRPr="00E73F6F">
        <w:rPr>
          <w:spacing w:val="-4"/>
        </w:rPr>
        <w:t xml:space="preserve"> </w:t>
      </w:r>
      <w:r w:rsidRPr="00E73F6F">
        <w:t xml:space="preserve">Globalen </w:t>
      </w:r>
      <w:r w:rsidRPr="00E73F6F">
        <w:rPr>
          <w:spacing w:val="-2"/>
        </w:rPr>
        <w:t>Marketing).</w:t>
      </w:r>
    </w:p>
    <w:p w14:paraId="706315CB" w14:textId="77777777" w:rsidR="00FF7799" w:rsidRPr="00E73F6F" w:rsidRDefault="00FF7799" w:rsidP="00E445CF">
      <w:pPr>
        <w:pStyle w:val="StandardTextAufzhlung"/>
        <w:spacing w:before="1"/>
        <w:ind w:left="426"/>
        <w:rPr>
          <w:szCs w:val="24"/>
        </w:rPr>
      </w:pPr>
      <w:r w:rsidRPr="00E73F6F">
        <w:t>Häufig bezeichnet Internationales Marketing auch (nur) eine frühe Entwicklungsstufe</w:t>
      </w:r>
      <w:r w:rsidRPr="00E73F6F">
        <w:rPr>
          <w:spacing w:val="-6"/>
        </w:rPr>
        <w:t xml:space="preserve"> </w:t>
      </w:r>
      <w:r w:rsidRPr="00E73F6F">
        <w:t>der</w:t>
      </w:r>
      <w:r w:rsidRPr="00E73F6F">
        <w:rPr>
          <w:spacing w:val="-5"/>
        </w:rPr>
        <w:t xml:space="preserve"> </w:t>
      </w:r>
      <w:r w:rsidRPr="00E73F6F">
        <w:t>Internationalisierung,</w:t>
      </w:r>
      <w:r w:rsidRPr="00E73F6F">
        <w:rPr>
          <w:spacing w:val="-7"/>
        </w:rPr>
        <w:t xml:space="preserve"> </w:t>
      </w:r>
      <w:r w:rsidRPr="00E73F6F">
        <w:t>die</w:t>
      </w:r>
      <w:r w:rsidRPr="00E73F6F">
        <w:rPr>
          <w:spacing w:val="-5"/>
        </w:rPr>
        <w:t xml:space="preserve"> </w:t>
      </w:r>
      <w:r w:rsidRPr="00E73F6F">
        <w:t>manche</w:t>
      </w:r>
      <w:r w:rsidRPr="00E73F6F">
        <w:rPr>
          <w:spacing w:val="-6"/>
        </w:rPr>
        <w:t xml:space="preserve"> </w:t>
      </w:r>
      <w:r w:rsidRPr="00E73F6F">
        <w:t>Unternehmen</w:t>
      </w:r>
      <w:r w:rsidRPr="00E73F6F">
        <w:rPr>
          <w:spacing w:val="-4"/>
        </w:rPr>
        <w:t xml:space="preserve"> </w:t>
      </w:r>
      <w:r w:rsidRPr="00E73F6F">
        <w:t>auf</w:t>
      </w:r>
      <w:r w:rsidRPr="00E73F6F">
        <w:rPr>
          <w:spacing w:val="-5"/>
        </w:rPr>
        <w:t xml:space="preserve"> </w:t>
      </w:r>
      <w:r w:rsidRPr="00E73F6F">
        <w:t xml:space="preserve">ihrem Weg zum Multinationalen oder Globalen Unternehmen durchlaufen. </w:t>
      </w:r>
      <w:r w:rsidRPr="00E73F6F">
        <w:rPr>
          <w:szCs w:val="24"/>
        </w:rPr>
        <w:t>Charakteristisch</w:t>
      </w:r>
      <w:r w:rsidRPr="00E73F6F">
        <w:rPr>
          <w:spacing w:val="-3"/>
          <w:szCs w:val="24"/>
        </w:rPr>
        <w:t xml:space="preserve"> </w:t>
      </w:r>
      <w:r w:rsidRPr="00E73F6F">
        <w:rPr>
          <w:szCs w:val="24"/>
        </w:rPr>
        <w:t>für</w:t>
      </w:r>
      <w:r w:rsidRPr="00E73F6F">
        <w:rPr>
          <w:spacing w:val="-5"/>
          <w:szCs w:val="24"/>
        </w:rPr>
        <w:t xml:space="preserve"> </w:t>
      </w:r>
      <w:r w:rsidRPr="00E73F6F">
        <w:rPr>
          <w:szCs w:val="24"/>
        </w:rPr>
        <w:t>diese</w:t>
      </w:r>
      <w:r w:rsidRPr="00E73F6F">
        <w:rPr>
          <w:spacing w:val="-4"/>
          <w:szCs w:val="24"/>
        </w:rPr>
        <w:t xml:space="preserve"> </w:t>
      </w:r>
      <w:r w:rsidRPr="00E73F6F">
        <w:rPr>
          <w:szCs w:val="24"/>
        </w:rPr>
        <w:t>Phase</w:t>
      </w:r>
      <w:r w:rsidRPr="00E73F6F">
        <w:rPr>
          <w:spacing w:val="-4"/>
          <w:szCs w:val="24"/>
        </w:rPr>
        <w:t xml:space="preserve"> </w:t>
      </w:r>
      <w:r w:rsidRPr="00E73F6F">
        <w:rPr>
          <w:szCs w:val="24"/>
        </w:rPr>
        <w:t>ist</w:t>
      </w:r>
      <w:r w:rsidRPr="00E73F6F">
        <w:rPr>
          <w:spacing w:val="-3"/>
          <w:szCs w:val="24"/>
        </w:rPr>
        <w:t xml:space="preserve"> </w:t>
      </w:r>
      <w:r w:rsidRPr="00E73F6F">
        <w:rPr>
          <w:szCs w:val="24"/>
        </w:rPr>
        <w:t>eine</w:t>
      </w:r>
      <w:r w:rsidRPr="00E73F6F">
        <w:rPr>
          <w:spacing w:val="-4"/>
          <w:szCs w:val="24"/>
        </w:rPr>
        <w:t xml:space="preserve"> </w:t>
      </w:r>
      <w:r w:rsidRPr="00E73F6F">
        <w:rPr>
          <w:szCs w:val="24"/>
        </w:rPr>
        <w:t>ethnozentrische</w:t>
      </w:r>
      <w:r w:rsidRPr="00E73F6F">
        <w:rPr>
          <w:spacing w:val="-4"/>
          <w:szCs w:val="24"/>
        </w:rPr>
        <w:t xml:space="preserve"> </w:t>
      </w:r>
      <w:r w:rsidRPr="00E73F6F">
        <w:rPr>
          <w:szCs w:val="24"/>
        </w:rPr>
        <w:t>Grundhaltung</w:t>
      </w:r>
      <w:r w:rsidRPr="00E73F6F">
        <w:rPr>
          <w:spacing w:val="-4"/>
          <w:szCs w:val="24"/>
        </w:rPr>
        <w:t xml:space="preserve"> </w:t>
      </w:r>
      <w:r w:rsidRPr="00E73F6F">
        <w:rPr>
          <w:szCs w:val="24"/>
        </w:rPr>
        <w:t xml:space="preserve">des </w:t>
      </w:r>
      <w:r w:rsidRPr="00E73F6F">
        <w:rPr>
          <w:spacing w:val="-2"/>
          <w:szCs w:val="24"/>
        </w:rPr>
        <w:t>Managements.</w:t>
      </w:r>
    </w:p>
    <w:p w14:paraId="4FDC78EC" w14:textId="77777777" w:rsidR="00E445CF" w:rsidRDefault="00E445CF" w:rsidP="00D367D3">
      <w:pPr>
        <w:pStyle w:val="StandardText"/>
      </w:pPr>
    </w:p>
    <w:p w14:paraId="24481352" w14:textId="7DFF8D4B" w:rsidR="00FF7799" w:rsidRPr="00E73F6F" w:rsidRDefault="00FF7799" w:rsidP="00D367D3">
      <w:pPr>
        <w:pStyle w:val="StandardText"/>
      </w:pPr>
      <w:r w:rsidRPr="00E73F6F">
        <w:t>Diese sog. Länderphilosophie äußert sich z.B. darin, dass das Management Strategien, die ursprünglich für den Binnenmarkt entwickelt wurden, auf ausländische</w:t>
      </w:r>
      <w:r w:rsidRPr="00E73F6F">
        <w:rPr>
          <w:spacing w:val="-1"/>
        </w:rPr>
        <w:t xml:space="preserve"> </w:t>
      </w:r>
      <w:r w:rsidRPr="00E73F6F">
        <w:t>Märkte</w:t>
      </w:r>
      <w:r w:rsidRPr="00E73F6F">
        <w:rPr>
          <w:spacing w:val="-1"/>
        </w:rPr>
        <w:t xml:space="preserve"> </w:t>
      </w:r>
      <w:r w:rsidRPr="00E73F6F">
        <w:t>überträgt, ohne</w:t>
      </w:r>
      <w:r w:rsidRPr="00E73F6F">
        <w:rPr>
          <w:spacing w:val="-1"/>
        </w:rPr>
        <w:t xml:space="preserve"> </w:t>
      </w:r>
      <w:r w:rsidRPr="00E73F6F">
        <w:lastRenderedPageBreak/>
        <w:t>diese an die dort herrschenden Bedingungen anzupassen (z.B. an landesspezifische Gebrauchsgewohnheiten). So handelt ein Werbetreibender ethnozentrisch, der bei der Konzeption einer weltweiten Werbekampagne nicht in Rechnung stellt, dass in islamischen Ländern ein Großteil der Bevölkerung westlich inspirierte Werbespots als „bedrohlich“ empfindet. Al-Makaty et al. (1996) sprechen in diesem Zusammenhang von 'serious cultural threat'. Mit Egozentrismus, einer frühen Stufe der Entwicklung eines Kindes vergleichbar, kann diese (frühe bzw. unreife) Form der internationalen</w:t>
      </w:r>
      <w:r w:rsidRPr="00E73F6F">
        <w:rPr>
          <w:spacing w:val="-12"/>
        </w:rPr>
        <w:t xml:space="preserve"> </w:t>
      </w:r>
      <w:r w:rsidRPr="00E73F6F">
        <w:t>Orientierung</w:t>
      </w:r>
      <w:r w:rsidRPr="00E73F6F">
        <w:rPr>
          <w:spacing w:val="-11"/>
        </w:rPr>
        <w:t xml:space="preserve"> </w:t>
      </w:r>
      <w:r w:rsidRPr="00E73F6F">
        <w:t>einerseits</w:t>
      </w:r>
      <w:r w:rsidRPr="00E73F6F">
        <w:rPr>
          <w:spacing w:val="-11"/>
        </w:rPr>
        <w:t xml:space="preserve"> </w:t>
      </w:r>
      <w:r w:rsidRPr="00E73F6F">
        <w:t>durch</w:t>
      </w:r>
      <w:r w:rsidRPr="00E73F6F">
        <w:rPr>
          <w:spacing w:val="-11"/>
        </w:rPr>
        <w:t xml:space="preserve"> </w:t>
      </w:r>
      <w:r w:rsidRPr="00E73F6F">
        <w:t>mangelndes</w:t>
      </w:r>
      <w:r w:rsidRPr="00E73F6F">
        <w:rPr>
          <w:spacing w:val="-12"/>
        </w:rPr>
        <w:t xml:space="preserve"> </w:t>
      </w:r>
      <w:r w:rsidRPr="00E73F6F">
        <w:t>Relativierungsvermögen bedingt sein. Andererseits aber mag sie auch Reflex der Überzeugung sein, dass die</w:t>
      </w:r>
      <w:r w:rsidRPr="00E73F6F">
        <w:rPr>
          <w:spacing w:val="-3"/>
        </w:rPr>
        <w:t xml:space="preserve"> </w:t>
      </w:r>
      <w:r w:rsidRPr="00E73F6F">
        <w:t>eigene</w:t>
      </w:r>
      <w:r w:rsidRPr="00E73F6F">
        <w:rPr>
          <w:spacing w:val="-4"/>
        </w:rPr>
        <w:t xml:space="preserve"> </w:t>
      </w:r>
      <w:r w:rsidRPr="00E73F6F">
        <w:t>Landeskultur</w:t>
      </w:r>
      <w:r w:rsidRPr="00E73F6F">
        <w:rPr>
          <w:spacing w:val="-5"/>
        </w:rPr>
        <w:t xml:space="preserve"> </w:t>
      </w:r>
      <w:r w:rsidRPr="00E73F6F">
        <w:t>anderen</w:t>
      </w:r>
      <w:r w:rsidRPr="00E73F6F">
        <w:rPr>
          <w:spacing w:val="-4"/>
        </w:rPr>
        <w:t xml:space="preserve"> </w:t>
      </w:r>
      <w:r w:rsidRPr="00E73F6F">
        <w:t>grundsätzlich</w:t>
      </w:r>
      <w:r w:rsidRPr="00E73F6F">
        <w:rPr>
          <w:spacing w:val="-5"/>
        </w:rPr>
        <w:t xml:space="preserve"> </w:t>
      </w:r>
      <w:r w:rsidRPr="00E73F6F">
        <w:t>überlegen</w:t>
      </w:r>
      <w:r w:rsidRPr="00E73F6F">
        <w:rPr>
          <w:spacing w:val="-4"/>
        </w:rPr>
        <w:t xml:space="preserve"> </w:t>
      </w:r>
      <w:r w:rsidRPr="00E73F6F">
        <w:t>ist</w:t>
      </w:r>
      <w:r w:rsidRPr="00E73F6F">
        <w:rPr>
          <w:spacing w:val="-5"/>
        </w:rPr>
        <w:t xml:space="preserve"> </w:t>
      </w:r>
      <w:r w:rsidRPr="00E73F6F">
        <w:t>und</w:t>
      </w:r>
      <w:r w:rsidRPr="00E73F6F">
        <w:rPr>
          <w:spacing w:val="-4"/>
        </w:rPr>
        <w:t xml:space="preserve"> </w:t>
      </w:r>
      <w:r w:rsidRPr="00E73F6F">
        <w:t>deshalb</w:t>
      </w:r>
      <w:r w:rsidRPr="00E73F6F">
        <w:rPr>
          <w:spacing w:val="-2"/>
        </w:rPr>
        <w:t xml:space="preserve"> </w:t>
      </w:r>
      <w:r w:rsidRPr="00E73F6F">
        <w:t>für</w:t>
      </w:r>
      <w:r w:rsidRPr="00E73F6F">
        <w:rPr>
          <w:spacing w:val="-5"/>
        </w:rPr>
        <w:t xml:space="preserve"> </w:t>
      </w:r>
      <w:r w:rsidRPr="00E73F6F">
        <w:t>diese Vorbild zu sein hat. Daraus wird dann vielfach auch auf die Überlegenheit der eigenen Management-Methoden geschlossen. Häufig jedoch steht dahinter, fern jeder Ideologie, lediglich die Absicht, durch Standardisierung der Unternehmenspolitik (z.B. des Marketing-Mix) Economies of Scale zu erzielen. Viele, insb. KMU, überwinden dieses erste Stadium der Internationalisierung aus den verschiedensten Gründen niemals (z.B. mangels erforderlicher Ressourcen, aufgrund kluger Selbstbeschränkung, bedingt durch Management-Fehler).</w:t>
      </w:r>
    </w:p>
    <w:p w14:paraId="7C19ECF4" w14:textId="77777777" w:rsidR="00FF7799" w:rsidRPr="00E73F6F" w:rsidRDefault="00FF7799" w:rsidP="00862DBA">
      <w:pPr>
        <w:spacing w:before="10"/>
        <w:rPr>
          <w:sz w:val="24"/>
          <w:szCs w:val="24"/>
        </w:rPr>
      </w:pP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9062"/>
      </w:tblGrid>
      <w:tr w:rsidR="00FF7799" w:rsidRPr="00E73F6F" w14:paraId="4FA9E831" w14:textId="77777777" w:rsidTr="008F7599">
        <w:trPr>
          <w:trHeight w:val="291"/>
        </w:trPr>
        <w:tc>
          <w:tcPr>
            <w:tcW w:w="5000" w:type="pct"/>
            <w:tcBorders>
              <w:bottom w:val="nil"/>
            </w:tcBorders>
            <w:shd w:val="clear" w:color="auto" w:fill="DEEAF6" w:themeFill="accent1" w:themeFillTint="33"/>
          </w:tcPr>
          <w:p w14:paraId="09A44760" w14:textId="77777777" w:rsidR="00FF7799" w:rsidRPr="0001591A" w:rsidRDefault="00FF7799" w:rsidP="0001591A">
            <w:pPr>
              <w:pStyle w:val="Standardklein"/>
              <w:spacing w:before="120"/>
              <w:jc w:val="center"/>
              <w:rPr>
                <w:spacing w:val="-2"/>
                <w:lang w:val="de-DE"/>
              </w:rPr>
            </w:pPr>
            <w:r w:rsidRPr="0001591A">
              <w:rPr>
                <w:lang w:val="de-DE"/>
              </w:rPr>
              <w:t>Chosòn:</w:t>
            </w:r>
            <w:r w:rsidRPr="0001591A">
              <w:rPr>
                <w:spacing w:val="-5"/>
                <w:lang w:val="de-DE"/>
              </w:rPr>
              <w:t xml:space="preserve"> </w:t>
            </w:r>
            <w:r w:rsidRPr="0001591A">
              <w:rPr>
                <w:lang w:val="de-DE"/>
              </w:rPr>
              <w:t>Land</w:t>
            </w:r>
            <w:r w:rsidRPr="0001591A">
              <w:rPr>
                <w:spacing w:val="-5"/>
                <w:lang w:val="de-DE"/>
              </w:rPr>
              <w:t xml:space="preserve"> </w:t>
            </w:r>
            <w:r w:rsidRPr="0001591A">
              <w:rPr>
                <w:lang w:val="de-DE"/>
              </w:rPr>
              <w:t>der</w:t>
            </w:r>
            <w:r w:rsidRPr="0001591A">
              <w:rPr>
                <w:spacing w:val="-3"/>
                <w:lang w:val="de-DE"/>
              </w:rPr>
              <w:t xml:space="preserve"> </w:t>
            </w:r>
            <w:r w:rsidRPr="0001591A">
              <w:rPr>
                <w:spacing w:val="-2"/>
                <w:lang w:val="de-DE"/>
              </w:rPr>
              <w:t>Morgenstille</w:t>
            </w:r>
          </w:p>
          <w:p w14:paraId="7E52F5BA" w14:textId="77777777" w:rsidR="00FF7799" w:rsidRPr="00E73F6F" w:rsidRDefault="00FF7799" w:rsidP="00D367D3">
            <w:pPr>
              <w:pStyle w:val="Standardklein"/>
              <w:rPr>
                <w:b/>
                <w:lang w:val="de-DE"/>
              </w:rPr>
            </w:pPr>
          </w:p>
        </w:tc>
      </w:tr>
      <w:tr w:rsidR="00FF7799" w:rsidRPr="00E73F6F" w14:paraId="0422E941" w14:textId="77777777" w:rsidTr="008F7599">
        <w:trPr>
          <w:trHeight w:val="1388"/>
        </w:trPr>
        <w:tc>
          <w:tcPr>
            <w:tcW w:w="5000" w:type="pct"/>
            <w:tcBorders>
              <w:top w:val="nil"/>
            </w:tcBorders>
            <w:shd w:val="clear" w:color="auto" w:fill="DEEAF6" w:themeFill="accent1" w:themeFillTint="33"/>
          </w:tcPr>
          <w:p w14:paraId="443D70F3" w14:textId="77777777" w:rsidR="00FF7799" w:rsidRPr="00E73F6F" w:rsidRDefault="00FF7799" w:rsidP="00D367D3">
            <w:pPr>
              <w:pStyle w:val="Standardklein"/>
              <w:rPr>
                <w:lang w:val="de-DE"/>
              </w:rPr>
            </w:pPr>
            <w:r w:rsidRPr="00E73F6F">
              <w:rPr>
                <w:lang w:val="de-DE"/>
              </w:rPr>
              <w:t>Die</w:t>
            </w:r>
            <w:r w:rsidRPr="00E73F6F">
              <w:rPr>
                <w:spacing w:val="-5"/>
                <w:lang w:val="de-DE"/>
              </w:rPr>
              <w:t xml:space="preserve"> </w:t>
            </w:r>
            <w:r w:rsidRPr="00E73F6F">
              <w:rPr>
                <w:lang w:val="de-DE"/>
              </w:rPr>
              <w:t>Versuchung,</w:t>
            </w:r>
            <w:r w:rsidRPr="00E73F6F">
              <w:rPr>
                <w:spacing w:val="-7"/>
                <w:lang w:val="de-DE"/>
              </w:rPr>
              <w:t xml:space="preserve"> </w:t>
            </w:r>
            <w:r w:rsidRPr="00E73F6F">
              <w:rPr>
                <w:lang w:val="de-DE"/>
              </w:rPr>
              <w:t>ethnozentrisch</w:t>
            </w:r>
            <w:r w:rsidRPr="00E73F6F">
              <w:rPr>
                <w:spacing w:val="-7"/>
                <w:lang w:val="de-DE"/>
              </w:rPr>
              <w:t xml:space="preserve"> </w:t>
            </w:r>
            <w:r w:rsidRPr="00E73F6F">
              <w:rPr>
                <w:lang w:val="de-DE"/>
              </w:rPr>
              <w:t>zu</w:t>
            </w:r>
            <w:r w:rsidRPr="00E73F6F">
              <w:rPr>
                <w:spacing w:val="-4"/>
                <w:lang w:val="de-DE"/>
              </w:rPr>
              <w:t xml:space="preserve"> </w:t>
            </w:r>
            <w:r w:rsidRPr="00E73F6F">
              <w:rPr>
                <w:lang w:val="de-DE"/>
              </w:rPr>
              <w:t>entscheiden</w:t>
            </w:r>
            <w:r w:rsidRPr="00E73F6F">
              <w:rPr>
                <w:spacing w:val="-6"/>
                <w:lang w:val="de-DE"/>
              </w:rPr>
              <w:t xml:space="preserve"> </w:t>
            </w:r>
            <w:r w:rsidRPr="00E73F6F">
              <w:rPr>
                <w:lang w:val="de-DE"/>
              </w:rPr>
              <w:t>und</w:t>
            </w:r>
            <w:r w:rsidRPr="00E73F6F">
              <w:rPr>
                <w:spacing w:val="-7"/>
                <w:lang w:val="de-DE"/>
              </w:rPr>
              <w:t xml:space="preserve"> </w:t>
            </w:r>
            <w:r w:rsidRPr="00E73F6F">
              <w:rPr>
                <w:lang w:val="de-DE"/>
              </w:rPr>
              <w:t>zu</w:t>
            </w:r>
            <w:r w:rsidRPr="00E73F6F">
              <w:rPr>
                <w:spacing w:val="-6"/>
                <w:lang w:val="de-DE"/>
              </w:rPr>
              <w:t xml:space="preserve"> </w:t>
            </w:r>
            <w:r w:rsidRPr="00E73F6F">
              <w:rPr>
                <w:lang w:val="de-DE"/>
              </w:rPr>
              <w:t>handeln,</w:t>
            </w:r>
            <w:r w:rsidRPr="00E73F6F">
              <w:rPr>
                <w:spacing w:val="-7"/>
                <w:lang w:val="de-DE"/>
              </w:rPr>
              <w:t xml:space="preserve"> </w:t>
            </w:r>
            <w:r w:rsidRPr="00E73F6F">
              <w:rPr>
                <w:lang w:val="de-DE"/>
              </w:rPr>
              <w:t>ist</w:t>
            </w:r>
            <w:r w:rsidRPr="00E73F6F">
              <w:rPr>
                <w:spacing w:val="-7"/>
                <w:lang w:val="de-DE"/>
              </w:rPr>
              <w:t xml:space="preserve"> </w:t>
            </w:r>
            <w:r w:rsidRPr="00E73F6F">
              <w:rPr>
                <w:lang w:val="de-DE"/>
              </w:rPr>
              <w:t>naturgemäß</w:t>
            </w:r>
            <w:r w:rsidRPr="00E73F6F">
              <w:rPr>
                <w:spacing w:val="-6"/>
                <w:lang w:val="de-DE"/>
              </w:rPr>
              <w:t xml:space="preserve"> </w:t>
            </w:r>
            <w:r w:rsidRPr="00E73F6F">
              <w:rPr>
                <w:lang w:val="de-DE"/>
              </w:rPr>
              <w:t>groß,</w:t>
            </w:r>
            <w:r w:rsidRPr="00E73F6F">
              <w:rPr>
                <w:spacing w:val="40"/>
                <w:lang w:val="de-DE"/>
              </w:rPr>
              <w:t xml:space="preserve"> </w:t>
            </w:r>
            <w:r w:rsidRPr="00E73F6F">
              <w:rPr>
                <w:lang w:val="de-DE"/>
              </w:rPr>
              <w:t>wenn,</w:t>
            </w:r>
            <w:r w:rsidRPr="00E73F6F">
              <w:rPr>
                <w:spacing w:val="-7"/>
                <w:lang w:val="de-DE"/>
              </w:rPr>
              <w:t xml:space="preserve"> </w:t>
            </w:r>
            <w:r w:rsidRPr="00E73F6F">
              <w:rPr>
                <w:lang w:val="de-DE"/>
              </w:rPr>
              <w:t>wie</w:t>
            </w:r>
            <w:r w:rsidRPr="00E73F6F">
              <w:rPr>
                <w:spacing w:val="-7"/>
                <w:lang w:val="de-DE"/>
              </w:rPr>
              <w:t xml:space="preserve"> </w:t>
            </w:r>
            <w:r w:rsidRPr="00E73F6F">
              <w:rPr>
                <w:lang w:val="de-DE"/>
              </w:rPr>
              <w:t>im</w:t>
            </w:r>
            <w:r w:rsidRPr="00E73F6F">
              <w:rPr>
                <w:spacing w:val="-8"/>
                <w:lang w:val="de-DE"/>
              </w:rPr>
              <w:t xml:space="preserve"> </w:t>
            </w:r>
            <w:r w:rsidRPr="00E73F6F">
              <w:rPr>
                <w:lang w:val="de-DE"/>
              </w:rPr>
              <w:t>Fall</w:t>
            </w:r>
            <w:r w:rsidRPr="00E73F6F">
              <w:rPr>
                <w:spacing w:val="-8"/>
                <w:lang w:val="de-DE"/>
              </w:rPr>
              <w:t xml:space="preserve"> </w:t>
            </w:r>
            <w:r w:rsidRPr="00E73F6F">
              <w:rPr>
                <w:lang w:val="de-DE"/>
              </w:rPr>
              <w:t>Koreas,</w:t>
            </w:r>
            <w:r w:rsidRPr="00E73F6F">
              <w:rPr>
                <w:spacing w:val="-8"/>
                <w:lang w:val="de-DE"/>
              </w:rPr>
              <w:t xml:space="preserve"> </w:t>
            </w:r>
            <w:r w:rsidRPr="00E73F6F">
              <w:rPr>
                <w:lang w:val="de-DE"/>
              </w:rPr>
              <w:t>die</w:t>
            </w:r>
            <w:r w:rsidRPr="00E73F6F">
              <w:rPr>
                <w:spacing w:val="-7"/>
                <w:lang w:val="de-DE"/>
              </w:rPr>
              <w:t xml:space="preserve"> </w:t>
            </w:r>
            <w:r w:rsidRPr="00E73F6F">
              <w:rPr>
                <w:lang w:val="de-DE"/>
              </w:rPr>
              <w:t>Legende</w:t>
            </w:r>
            <w:r w:rsidRPr="00E73F6F">
              <w:rPr>
                <w:spacing w:val="-7"/>
                <w:lang w:val="de-DE"/>
              </w:rPr>
              <w:t xml:space="preserve"> </w:t>
            </w:r>
            <w:r w:rsidRPr="00E73F6F">
              <w:rPr>
                <w:lang w:val="de-DE"/>
              </w:rPr>
              <w:t>besagt,</w:t>
            </w:r>
            <w:r w:rsidRPr="00E73F6F">
              <w:rPr>
                <w:spacing w:val="-7"/>
                <w:lang w:val="de-DE"/>
              </w:rPr>
              <w:t xml:space="preserve"> </w:t>
            </w:r>
            <w:r w:rsidRPr="00E73F6F">
              <w:rPr>
                <w:lang w:val="de-DE"/>
              </w:rPr>
              <w:t>dass</w:t>
            </w:r>
            <w:r w:rsidRPr="00E73F6F">
              <w:rPr>
                <w:spacing w:val="-9"/>
                <w:lang w:val="de-DE"/>
              </w:rPr>
              <w:t xml:space="preserve"> </w:t>
            </w:r>
            <w:r w:rsidRPr="00E73F6F">
              <w:rPr>
                <w:lang w:val="de-DE"/>
              </w:rPr>
              <w:t>das</w:t>
            </w:r>
            <w:r w:rsidRPr="00E73F6F">
              <w:rPr>
                <w:spacing w:val="-9"/>
                <w:lang w:val="de-DE"/>
              </w:rPr>
              <w:t xml:space="preserve"> </w:t>
            </w:r>
            <w:r w:rsidRPr="00E73F6F">
              <w:rPr>
                <w:lang w:val="de-DE"/>
              </w:rPr>
              <w:t>vorzeitliche</w:t>
            </w:r>
            <w:r w:rsidRPr="00E73F6F">
              <w:rPr>
                <w:spacing w:val="-7"/>
                <w:lang w:val="de-DE"/>
              </w:rPr>
              <w:t xml:space="preserve"> </w:t>
            </w:r>
            <w:r w:rsidRPr="00E73F6F">
              <w:rPr>
                <w:lang w:val="de-DE"/>
              </w:rPr>
              <w:t>Reich</w:t>
            </w:r>
            <w:r w:rsidRPr="00E73F6F">
              <w:rPr>
                <w:spacing w:val="-8"/>
                <w:lang w:val="de-DE"/>
              </w:rPr>
              <w:t xml:space="preserve"> </w:t>
            </w:r>
            <w:r w:rsidRPr="00E73F6F">
              <w:rPr>
                <w:lang w:val="de-DE"/>
              </w:rPr>
              <w:t>von</w:t>
            </w:r>
            <w:r w:rsidRPr="00E73F6F">
              <w:rPr>
                <w:spacing w:val="-7"/>
                <w:lang w:val="de-DE"/>
              </w:rPr>
              <w:t xml:space="preserve"> </w:t>
            </w:r>
            <w:r w:rsidRPr="00E73F6F">
              <w:rPr>
                <w:lang w:val="de-DE"/>
              </w:rPr>
              <w:t>einem</w:t>
            </w:r>
            <w:r w:rsidRPr="00E73F6F">
              <w:rPr>
                <w:spacing w:val="40"/>
                <w:lang w:val="de-DE"/>
              </w:rPr>
              <w:t xml:space="preserve"> </w:t>
            </w:r>
            <w:r w:rsidRPr="00E73F6F">
              <w:rPr>
                <w:lang w:val="de-DE"/>
              </w:rPr>
              <w:t xml:space="preserve">Sohn des Himmlischen Königs </w:t>
            </w:r>
            <w:r w:rsidRPr="00E73F6F">
              <w:rPr>
                <w:i/>
                <w:lang w:val="de-DE"/>
              </w:rPr>
              <w:t xml:space="preserve">Hwanin </w:t>
            </w:r>
            <w:r w:rsidRPr="00E73F6F">
              <w:rPr>
                <w:lang w:val="de-DE"/>
              </w:rPr>
              <w:t>gegründet wurde (2333 v. Chr. von Prinz</w:t>
            </w:r>
            <w:r w:rsidRPr="00E73F6F">
              <w:rPr>
                <w:spacing w:val="40"/>
                <w:lang w:val="de-DE"/>
              </w:rPr>
              <w:t xml:space="preserve"> </w:t>
            </w:r>
            <w:r w:rsidRPr="00E73F6F">
              <w:rPr>
                <w:i/>
                <w:lang w:val="de-DE"/>
              </w:rPr>
              <w:t>Hwanung</w:t>
            </w:r>
            <w:r w:rsidRPr="00E73F6F">
              <w:rPr>
                <w:lang w:val="de-DE"/>
              </w:rPr>
              <w:t xml:space="preserve">). </w:t>
            </w:r>
            <w:r w:rsidRPr="00E73F6F">
              <w:rPr>
                <w:i/>
                <w:lang w:val="de-DE"/>
              </w:rPr>
              <w:t>Tangun</w:t>
            </w:r>
            <w:r w:rsidRPr="00E73F6F">
              <w:rPr>
                <w:lang w:val="de-DE"/>
              </w:rPr>
              <w:t>,</w:t>
            </w:r>
            <w:r w:rsidRPr="00E73F6F">
              <w:rPr>
                <w:spacing w:val="-1"/>
                <w:lang w:val="de-DE"/>
              </w:rPr>
              <w:t xml:space="preserve"> </w:t>
            </w:r>
            <w:r w:rsidRPr="00E73F6F">
              <w:rPr>
                <w:lang w:val="de-DE"/>
              </w:rPr>
              <w:t>der</w:t>
            </w:r>
            <w:r w:rsidRPr="00E73F6F">
              <w:rPr>
                <w:spacing w:val="-2"/>
                <w:lang w:val="de-DE"/>
              </w:rPr>
              <w:t xml:space="preserve"> </w:t>
            </w:r>
            <w:r w:rsidRPr="00E73F6F">
              <w:rPr>
                <w:lang w:val="de-DE"/>
              </w:rPr>
              <w:t>Sandelholz-König und erste</w:t>
            </w:r>
            <w:r w:rsidRPr="00E73F6F">
              <w:rPr>
                <w:spacing w:val="-1"/>
                <w:lang w:val="de-DE"/>
              </w:rPr>
              <w:t xml:space="preserve"> </w:t>
            </w:r>
            <w:r w:rsidRPr="00E73F6F">
              <w:rPr>
                <w:lang w:val="de-DE"/>
              </w:rPr>
              <w:t>menschliche Herrscher</w:t>
            </w:r>
            <w:r w:rsidRPr="00E73F6F">
              <w:rPr>
                <w:spacing w:val="-2"/>
                <w:lang w:val="de-DE"/>
              </w:rPr>
              <w:t xml:space="preserve"> </w:t>
            </w:r>
            <w:r w:rsidRPr="00E73F6F">
              <w:rPr>
                <w:lang w:val="de-DE"/>
              </w:rPr>
              <w:t>Koreas,</w:t>
            </w:r>
            <w:r w:rsidRPr="00E73F6F">
              <w:rPr>
                <w:spacing w:val="40"/>
                <w:lang w:val="de-DE"/>
              </w:rPr>
              <w:t xml:space="preserve"> </w:t>
            </w:r>
            <w:r w:rsidRPr="00E73F6F">
              <w:rPr>
                <w:lang w:val="de-DE"/>
              </w:rPr>
              <w:t xml:space="preserve">nannte das Land </w:t>
            </w:r>
            <w:r w:rsidRPr="00E73F6F">
              <w:rPr>
                <w:i/>
                <w:lang w:val="de-DE"/>
              </w:rPr>
              <w:t xml:space="preserve">Chosun </w:t>
            </w:r>
            <w:r w:rsidRPr="00E73F6F">
              <w:rPr>
                <w:lang w:val="de-DE"/>
              </w:rPr>
              <w:t xml:space="preserve">und erwählte </w:t>
            </w:r>
            <w:r w:rsidRPr="00E73F6F">
              <w:rPr>
                <w:i/>
                <w:lang w:val="de-DE"/>
              </w:rPr>
              <w:t xml:space="preserve">Pyongyang </w:t>
            </w:r>
            <w:r w:rsidRPr="00E73F6F">
              <w:rPr>
                <w:lang w:val="de-DE"/>
              </w:rPr>
              <w:t>als Hauptstadt. Der Enkel des</w:t>
            </w:r>
            <w:r w:rsidRPr="00E73F6F">
              <w:rPr>
                <w:spacing w:val="40"/>
                <w:lang w:val="de-DE"/>
              </w:rPr>
              <w:t xml:space="preserve"> </w:t>
            </w:r>
            <w:r w:rsidRPr="00E73F6F">
              <w:rPr>
                <w:lang w:val="de-DE"/>
              </w:rPr>
              <w:t>Himmlischen Königs wurde, nachdem er das</w:t>
            </w:r>
            <w:r w:rsidRPr="00E73F6F">
              <w:rPr>
                <w:spacing w:val="40"/>
                <w:lang w:val="de-DE"/>
              </w:rPr>
              <w:t xml:space="preserve"> </w:t>
            </w:r>
            <w:r w:rsidRPr="00E73F6F">
              <w:rPr>
                <w:lang w:val="de-DE"/>
              </w:rPr>
              <w:t>„Land der Morgenstille“ zweitausend</w:t>
            </w:r>
            <w:r w:rsidRPr="00E73F6F">
              <w:rPr>
                <w:spacing w:val="40"/>
                <w:lang w:val="de-DE"/>
              </w:rPr>
              <w:t xml:space="preserve"> </w:t>
            </w:r>
            <w:r w:rsidRPr="00E73F6F">
              <w:rPr>
                <w:lang w:val="de-DE"/>
              </w:rPr>
              <w:t>Jahre lang regiert hatte, Bergkönig.</w:t>
            </w:r>
          </w:p>
        </w:tc>
      </w:tr>
    </w:tbl>
    <w:p w14:paraId="4A5B2752" w14:textId="77777777" w:rsidR="00FF7799" w:rsidRPr="00E73F6F" w:rsidRDefault="00FF7799" w:rsidP="00862DBA">
      <w:pPr>
        <w:spacing w:before="9"/>
        <w:rPr>
          <w:sz w:val="24"/>
          <w:szCs w:val="24"/>
        </w:rPr>
      </w:pPr>
    </w:p>
    <w:p w14:paraId="26006449" w14:textId="77777777" w:rsidR="00FF7799" w:rsidRPr="00E73F6F" w:rsidRDefault="00FF7799" w:rsidP="00D367D3">
      <w:pPr>
        <w:pStyle w:val="StandardText"/>
      </w:pPr>
      <w:r w:rsidRPr="00E73F6F">
        <w:t>Wer</w:t>
      </w:r>
      <w:r w:rsidRPr="00E73F6F">
        <w:rPr>
          <w:spacing w:val="-4"/>
        </w:rPr>
        <w:t xml:space="preserve"> </w:t>
      </w:r>
      <w:r w:rsidRPr="00E73F6F">
        <w:t>sich</w:t>
      </w:r>
      <w:r w:rsidRPr="00E73F6F">
        <w:rPr>
          <w:spacing w:val="-3"/>
        </w:rPr>
        <w:t xml:space="preserve"> </w:t>
      </w:r>
      <w:r w:rsidRPr="00E73F6F">
        <w:t>vom</w:t>
      </w:r>
      <w:r w:rsidRPr="00E73F6F">
        <w:rPr>
          <w:spacing w:val="-5"/>
        </w:rPr>
        <w:t xml:space="preserve"> </w:t>
      </w:r>
      <w:r w:rsidRPr="00E73F6F">
        <w:t>generischen</w:t>
      </w:r>
      <w:r w:rsidRPr="00E73F6F">
        <w:rPr>
          <w:spacing w:val="-5"/>
        </w:rPr>
        <w:t xml:space="preserve"> </w:t>
      </w:r>
      <w:r w:rsidRPr="00E73F6F">
        <w:t>Ansatz</w:t>
      </w:r>
      <w:r w:rsidRPr="00E73F6F">
        <w:rPr>
          <w:spacing w:val="-5"/>
        </w:rPr>
        <w:t xml:space="preserve"> </w:t>
      </w:r>
      <w:r w:rsidRPr="00E73F6F">
        <w:t>leiten</w:t>
      </w:r>
      <w:r w:rsidRPr="00E73F6F">
        <w:rPr>
          <w:spacing w:val="-3"/>
        </w:rPr>
        <w:t xml:space="preserve"> </w:t>
      </w:r>
      <w:r w:rsidRPr="00E73F6F">
        <w:t>lässt,</w:t>
      </w:r>
      <w:r w:rsidRPr="00E73F6F">
        <w:rPr>
          <w:spacing w:val="-4"/>
        </w:rPr>
        <w:t xml:space="preserve"> </w:t>
      </w:r>
      <w:r w:rsidRPr="00E73F6F">
        <w:t>begreift</w:t>
      </w:r>
      <w:r w:rsidRPr="00E73F6F">
        <w:rPr>
          <w:spacing w:val="-4"/>
        </w:rPr>
        <w:t xml:space="preserve"> </w:t>
      </w:r>
      <w:r w:rsidRPr="00E73F6F">
        <w:t>Internationales</w:t>
      </w:r>
      <w:r w:rsidRPr="00E73F6F">
        <w:rPr>
          <w:spacing w:val="-5"/>
        </w:rPr>
        <w:t xml:space="preserve"> </w:t>
      </w:r>
      <w:r w:rsidRPr="00E73F6F">
        <w:t>Marketing als Führungskonzeption. Sie erfordert, dass ein Unternehmen alle Entscheidungen konsequent an den jeweiligen Bedürfnissen der im In- oder im Ausland lebenden (internen und externen) Transaktionspartner ausrichtet (insb. Kunden, Arbeitnehmer, Geschäftspartner, politische Instanzen).</w:t>
      </w:r>
    </w:p>
    <w:p w14:paraId="781402C8" w14:textId="77777777" w:rsidR="00FF7799" w:rsidRPr="00E73F6F" w:rsidRDefault="00FF7799" w:rsidP="00D367D3">
      <w:pPr>
        <w:pStyle w:val="StandardText"/>
      </w:pPr>
      <w:r w:rsidRPr="00E73F6F">
        <w:t>Schließlich</w:t>
      </w:r>
      <w:r w:rsidRPr="00E73F6F">
        <w:rPr>
          <w:spacing w:val="-3"/>
        </w:rPr>
        <w:t xml:space="preserve"> </w:t>
      </w:r>
      <w:r w:rsidRPr="00E73F6F">
        <w:t>ist</w:t>
      </w:r>
      <w:r w:rsidRPr="00E73F6F">
        <w:rPr>
          <w:spacing w:val="-4"/>
        </w:rPr>
        <w:t xml:space="preserve"> </w:t>
      </w:r>
      <w:r w:rsidRPr="00E73F6F">
        <w:t>mit</w:t>
      </w:r>
      <w:r w:rsidRPr="00E73F6F">
        <w:rPr>
          <w:spacing w:val="-5"/>
        </w:rPr>
        <w:t xml:space="preserve"> </w:t>
      </w:r>
      <w:r w:rsidRPr="00E73F6F">
        <w:t>diesem</w:t>
      </w:r>
      <w:r w:rsidRPr="00E73F6F">
        <w:rPr>
          <w:spacing w:val="-4"/>
        </w:rPr>
        <w:t xml:space="preserve"> </w:t>
      </w:r>
      <w:r w:rsidRPr="00E73F6F">
        <w:t>Begriff</w:t>
      </w:r>
      <w:r w:rsidRPr="00E73F6F">
        <w:rPr>
          <w:spacing w:val="-5"/>
        </w:rPr>
        <w:t xml:space="preserve"> </w:t>
      </w:r>
      <w:r w:rsidRPr="00E73F6F">
        <w:t>auch</w:t>
      </w:r>
      <w:r w:rsidRPr="00E73F6F">
        <w:rPr>
          <w:spacing w:val="-3"/>
        </w:rPr>
        <w:t xml:space="preserve"> </w:t>
      </w:r>
      <w:r w:rsidRPr="00E73F6F">
        <w:t>eine</w:t>
      </w:r>
      <w:r w:rsidRPr="00E73F6F">
        <w:rPr>
          <w:spacing w:val="-4"/>
        </w:rPr>
        <w:t xml:space="preserve"> </w:t>
      </w:r>
      <w:r w:rsidRPr="00E73F6F">
        <w:t>wissenschaftliche</w:t>
      </w:r>
      <w:r w:rsidRPr="00E73F6F">
        <w:rPr>
          <w:spacing w:val="-4"/>
        </w:rPr>
        <w:t xml:space="preserve"> </w:t>
      </w:r>
      <w:r w:rsidRPr="00E73F6F">
        <w:t>Disziplin</w:t>
      </w:r>
      <w:r w:rsidRPr="00E73F6F">
        <w:rPr>
          <w:spacing w:val="-4"/>
        </w:rPr>
        <w:t xml:space="preserve"> </w:t>
      </w:r>
      <w:r w:rsidRPr="00E73F6F">
        <w:t>gemeint. Anfänglich, in der „vorwissenschaftlichen Phase“, begnügten sich die meisten Forscher damit, die verschiedenen Erscheinungsformen grenzüberschreitender Unternehmenstätigkeit zu beschreiben und zu klassifizieren (= phänomenologische Phase). In der nächsten, von Müller/Kornmeier (2002, S.282ff.) ausführlich dargestellten Entwicklungsphase des Internationalen Marketing</w:t>
      </w:r>
      <w:r w:rsidR="008F7599">
        <w:t>,</w:t>
      </w:r>
      <w:r w:rsidRPr="00E73F6F">
        <w:t xml:space="preserve"> wurden dann erste eigenständige partielle Erklärungsansätze formuliert (z.B. zu den Markteintrittsstrategien). Häufiger aber adaptierten die Wissenschaftler Theorien, die Vertreter anderer Disziplinen entwickelt hatten (z.B. verhaltenswissenschaftliche oder transaktionstheoretische Ansätze).</w:t>
      </w:r>
    </w:p>
    <w:p w14:paraId="32BBB0B0" w14:textId="77777777" w:rsidR="00FF7799" w:rsidRPr="00E73F6F" w:rsidRDefault="00FF7799" w:rsidP="00D367D3">
      <w:pPr>
        <w:pStyle w:val="StandardText"/>
      </w:pPr>
    </w:p>
    <w:p w14:paraId="6576177E" w14:textId="77777777" w:rsidR="00FF7799" w:rsidRPr="008F7599" w:rsidRDefault="00FF7799" w:rsidP="005B49E9">
      <w:pPr>
        <w:pStyle w:val="StandardTextkursiv"/>
        <w:rPr>
          <w:i w:val="0"/>
        </w:rPr>
      </w:pPr>
      <w:r w:rsidRPr="008F7599">
        <w:rPr>
          <w:i w:val="0"/>
        </w:rPr>
        <w:t>2 Auf der Suche nach der Identität: Erste Anzeichen einer eigenständigen Entwicklung</w:t>
      </w:r>
    </w:p>
    <w:p w14:paraId="7E702884" w14:textId="77777777" w:rsidR="00FF7799" w:rsidRPr="00E73F6F" w:rsidRDefault="00FF7799" w:rsidP="006F5B9E">
      <w:pPr>
        <w:pStyle w:val="StandardText"/>
      </w:pPr>
      <w:r w:rsidRPr="00E73F6F">
        <w:t>Von den zunehmenden Sättigungserscheinungen auf dem Binnenmarkt, der Intensivierung der weltweiten Arbeitsteilung und dem internationalen Wettbewerbsdruck tagtäglich zu entsprechenden Entscheidungen gezwungen, haben Unternehmen immer schon Auslandsmärkten, die noch nicht gesättigt sind (vgl. Tab. 1), ihr Augenmerk schenken müssen. Ob man die damit verbundenen Entscheidungen und Maßnahmen nun Export-, Internationales, Multinationales oder Globales Marketing nannte, war für die Praxis unerheblich.</w:t>
      </w:r>
    </w:p>
    <w:p w14:paraId="2FCF57CD" w14:textId="77777777" w:rsidR="00FF7799" w:rsidRPr="007D6CC1" w:rsidRDefault="00FF7799">
      <w:pPr>
        <w:widowControl/>
        <w:autoSpaceDE/>
        <w:autoSpaceDN/>
        <w:spacing w:after="160" w:line="259" w:lineRule="auto"/>
        <w:rPr>
          <w:i/>
          <w:iCs/>
          <w:sz w:val="24"/>
          <w:szCs w:val="20"/>
          <w:lang w:eastAsia="de-DE"/>
        </w:rPr>
      </w:pPr>
    </w:p>
    <w:p w14:paraId="40681316" w14:textId="77777777" w:rsidR="00FF7799" w:rsidRPr="007D6CC1" w:rsidRDefault="00FF7799" w:rsidP="006F5B9E">
      <w:pPr>
        <w:pStyle w:val="BeschriftungTab"/>
        <w:rPr>
          <w:i/>
          <w:iCs/>
        </w:rPr>
      </w:pPr>
      <w:r w:rsidRPr="007D6CC1">
        <w:rPr>
          <w:i/>
          <w:iCs/>
        </w:rPr>
        <w:t>Tab.</w:t>
      </w:r>
      <w:r w:rsidRPr="007D6CC1">
        <w:rPr>
          <w:i/>
          <w:iCs/>
          <w:spacing w:val="-2"/>
        </w:rPr>
        <w:t xml:space="preserve"> </w:t>
      </w:r>
      <w:r w:rsidRPr="007D6CC1">
        <w:rPr>
          <w:i/>
          <w:iCs/>
        </w:rPr>
        <w:t>1:</w:t>
      </w:r>
      <w:r w:rsidRPr="007D6CC1">
        <w:rPr>
          <w:i/>
          <w:iCs/>
          <w:spacing w:val="-3"/>
        </w:rPr>
        <w:t xml:space="preserve"> </w:t>
      </w:r>
      <w:r w:rsidRPr="007D6CC1">
        <w:rPr>
          <w:i/>
          <w:iCs/>
        </w:rPr>
        <w:t>Ausstattung</w:t>
      </w:r>
      <w:r w:rsidRPr="007D6CC1">
        <w:rPr>
          <w:i/>
          <w:iCs/>
          <w:spacing w:val="-3"/>
        </w:rPr>
        <w:t xml:space="preserve"> </w:t>
      </w:r>
      <w:r w:rsidRPr="007D6CC1">
        <w:rPr>
          <w:i/>
          <w:iCs/>
        </w:rPr>
        <w:t>der</w:t>
      </w:r>
      <w:r w:rsidRPr="007D6CC1">
        <w:rPr>
          <w:i/>
          <w:iCs/>
          <w:spacing w:val="-1"/>
        </w:rPr>
        <w:t xml:space="preserve"> </w:t>
      </w:r>
      <w:r w:rsidRPr="007D6CC1">
        <w:rPr>
          <w:i/>
          <w:iCs/>
        </w:rPr>
        <w:t>Haushalte</w:t>
      </w:r>
      <w:r w:rsidRPr="007D6CC1">
        <w:rPr>
          <w:i/>
          <w:iCs/>
          <w:spacing w:val="-2"/>
        </w:rPr>
        <w:t xml:space="preserve"> </w:t>
      </w:r>
      <w:r w:rsidRPr="007D6CC1">
        <w:rPr>
          <w:i/>
          <w:iCs/>
        </w:rPr>
        <w:t>in</w:t>
      </w:r>
      <w:r w:rsidRPr="007D6CC1">
        <w:rPr>
          <w:i/>
          <w:iCs/>
          <w:spacing w:val="-1"/>
        </w:rPr>
        <w:t xml:space="preserve"> </w:t>
      </w:r>
      <w:r w:rsidRPr="007D6CC1">
        <w:rPr>
          <w:i/>
          <w:iCs/>
        </w:rPr>
        <w:t>Osteuropa mit</w:t>
      </w:r>
      <w:r w:rsidRPr="007D6CC1">
        <w:rPr>
          <w:i/>
          <w:iCs/>
          <w:spacing w:val="-2"/>
        </w:rPr>
        <w:t xml:space="preserve"> </w:t>
      </w:r>
      <w:r w:rsidRPr="007D6CC1">
        <w:rPr>
          <w:i/>
          <w:iCs/>
        </w:rPr>
        <w:t xml:space="preserve">Elektronik-Geräten (in </w:t>
      </w:r>
      <w:r w:rsidRPr="007D6CC1">
        <w:rPr>
          <w:i/>
          <w:iCs/>
          <w:spacing w:val="-5"/>
        </w:rPr>
        <w:t>%)</w:t>
      </w:r>
    </w:p>
    <w:tbl>
      <w:tblPr>
        <w:tblStyle w:val="TableNormal"/>
        <w:tblW w:w="5000" w:type="pct"/>
        <w:tblBorders>
          <w:top w:val="single" w:sz="4" w:space="0" w:color="auto"/>
          <w:bottom w:val="single" w:sz="4" w:space="0" w:color="auto"/>
          <w:insideH w:val="single" w:sz="4" w:space="0" w:color="auto"/>
        </w:tblBorders>
        <w:tblLayout w:type="fixed"/>
        <w:tblLook w:val="01E0" w:firstRow="1" w:lastRow="1" w:firstColumn="1" w:lastColumn="1" w:noHBand="0" w:noVBand="0"/>
      </w:tblPr>
      <w:tblGrid>
        <w:gridCol w:w="2978"/>
        <w:gridCol w:w="750"/>
        <w:gridCol w:w="750"/>
        <w:gridCol w:w="750"/>
        <w:gridCol w:w="749"/>
        <w:gridCol w:w="749"/>
        <w:gridCol w:w="749"/>
        <w:gridCol w:w="751"/>
        <w:gridCol w:w="846"/>
      </w:tblGrid>
      <w:tr w:rsidR="00FF7799" w:rsidRPr="00E73F6F" w14:paraId="6FD18D93" w14:textId="77777777" w:rsidTr="00042200">
        <w:trPr>
          <w:trHeight w:val="448"/>
          <w:tblHeader/>
        </w:trPr>
        <w:tc>
          <w:tcPr>
            <w:tcW w:w="1641" w:type="pct"/>
            <w:shd w:val="clear" w:color="auto" w:fill="FFC000" w:themeFill="accent4"/>
          </w:tcPr>
          <w:p w14:paraId="73B114FF" w14:textId="77777777" w:rsidR="00FF7799" w:rsidRPr="00E73F6F" w:rsidRDefault="00FF7799" w:rsidP="00042200">
            <w:pPr>
              <w:pStyle w:val="StandardText"/>
              <w:widowControl w:val="0"/>
              <w:spacing w:after="120"/>
              <w:rPr>
                <w:lang w:val="de-DE"/>
              </w:rPr>
            </w:pPr>
          </w:p>
        </w:tc>
        <w:tc>
          <w:tcPr>
            <w:tcW w:w="413" w:type="pct"/>
            <w:shd w:val="clear" w:color="auto" w:fill="FFC000" w:themeFill="accent4"/>
          </w:tcPr>
          <w:p w14:paraId="6B7F6AF4" w14:textId="77777777" w:rsidR="00FF7799" w:rsidRPr="00E73F6F" w:rsidRDefault="00FF7799" w:rsidP="00042200">
            <w:pPr>
              <w:pStyle w:val="StandardText"/>
              <w:widowControl w:val="0"/>
              <w:spacing w:after="120"/>
              <w:jc w:val="center"/>
              <w:rPr>
                <w:lang w:val="de-DE"/>
              </w:rPr>
            </w:pPr>
            <w:r w:rsidRPr="00E73F6F">
              <w:rPr>
                <w:b/>
                <w:w w:val="102"/>
                <w:lang w:val="de-DE"/>
              </w:rPr>
              <w:t>H</w:t>
            </w:r>
          </w:p>
        </w:tc>
        <w:tc>
          <w:tcPr>
            <w:tcW w:w="413" w:type="pct"/>
            <w:shd w:val="clear" w:color="auto" w:fill="FFC000" w:themeFill="accent4"/>
          </w:tcPr>
          <w:p w14:paraId="1236F746" w14:textId="77777777" w:rsidR="00FF7799" w:rsidRPr="00E73F6F" w:rsidRDefault="00FF7799" w:rsidP="00042200">
            <w:pPr>
              <w:pStyle w:val="StandardText"/>
              <w:widowControl w:val="0"/>
              <w:spacing w:after="120"/>
              <w:jc w:val="center"/>
              <w:rPr>
                <w:lang w:val="de-DE"/>
              </w:rPr>
            </w:pPr>
            <w:r w:rsidRPr="00E73F6F">
              <w:rPr>
                <w:b/>
                <w:spacing w:val="-5"/>
                <w:lang w:val="de-DE"/>
              </w:rPr>
              <w:t>CZ</w:t>
            </w:r>
          </w:p>
        </w:tc>
        <w:tc>
          <w:tcPr>
            <w:tcW w:w="413" w:type="pct"/>
            <w:shd w:val="clear" w:color="auto" w:fill="FFC000" w:themeFill="accent4"/>
          </w:tcPr>
          <w:p w14:paraId="61B8E9CE" w14:textId="77777777" w:rsidR="00FF7799" w:rsidRPr="00E73F6F" w:rsidRDefault="00FF7799" w:rsidP="00042200">
            <w:pPr>
              <w:pStyle w:val="StandardText"/>
              <w:widowControl w:val="0"/>
              <w:spacing w:after="120"/>
              <w:jc w:val="center"/>
              <w:rPr>
                <w:lang w:val="de-DE"/>
              </w:rPr>
            </w:pPr>
            <w:r w:rsidRPr="00E73F6F">
              <w:rPr>
                <w:b/>
                <w:spacing w:val="-5"/>
                <w:lang w:val="de-DE"/>
              </w:rPr>
              <w:t>SK</w:t>
            </w:r>
          </w:p>
        </w:tc>
        <w:tc>
          <w:tcPr>
            <w:tcW w:w="413" w:type="pct"/>
            <w:shd w:val="clear" w:color="auto" w:fill="FFC000" w:themeFill="accent4"/>
          </w:tcPr>
          <w:p w14:paraId="0DEE7894" w14:textId="77777777" w:rsidR="00FF7799" w:rsidRPr="00E73F6F" w:rsidRDefault="00FF7799" w:rsidP="00042200">
            <w:pPr>
              <w:pStyle w:val="StandardText"/>
              <w:widowControl w:val="0"/>
              <w:spacing w:after="120"/>
              <w:jc w:val="center"/>
              <w:rPr>
                <w:lang w:val="de-DE"/>
              </w:rPr>
            </w:pPr>
            <w:r w:rsidRPr="00E73F6F">
              <w:rPr>
                <w:b/>
                <w:spacing w:val="-5"/>
                <w:lang w:val="de-DE"/>
              </w:rPr>
              <w:t>PL</w:t>
            </w:r>
          </w:p>
        </w:tc>
        <w:tc>
          <w:tcPr>
            <w:tcW w:w="413" w:type="pct"/>
            <w:shd w:val="clear" w:color="auto" w:fill="FFC000" w:themeFill="accent4"/>
          </w:tcPr>
          <w:p w14:paraId="10947918" w14:textId="77777777" w:rsidR="00FF7799" w:rsidRPr="00E73F6F" w:rsidRDefault="00FF7799" w:rsidP="00042200">
            <w:pPr>
              <w:pStyle w:val="StandardText"/>
              <w:widowControl w:val="0"/>
              <w:spacing w:after="120"/>
              <w:jc w:val="center"/>
              <w:rPr>
                <w:lang w:val="de-DE"/>
              </w:rPr>
            </w:pPr>
            <w:r w:rsidRPr="00E73F6F">
              <w:rPr>
                <w:b/>
                <w:spacing w:val="-5"/>
                <w:lang w:val="de-DE"/>
              </w:rPr>
              <w:t>BG</w:t>
            </w:r>
          </w:p>
        </w:tc>
        <w:tc>
          <w:tcPr>
            <w:tcW w:w="413" w:type="pct"/>
            <w:shd w:val="clear" w:color="auto" w:fill="FFC000" w:themeFill="accent4"/>
          </w:tcPr>
          <w:p w14:paraId="2AF65175" w14:textId="77777777" w:rsidR="00FF7799" w:rsidRPr="00E73F6F" w:rsidRDefault="00FF7799" w:rsidP="00042200">
            <w:pPr>
              <w:pStyle w:val="StandardText"/>
              <w:widowControl w:val="0"/>
              <w:spacing w:after="120"/>
              <w:jc w:val="center"/>
              <w:rPr>
                <w:lang w:val="de-DE"/>
              </w:rPr>
            </w:pPr>
            <w:r w:rsidRPr="00E73F6F">
              <w:rPr>
                <w:b/>
                <w:spacing w:val="-5"/>
                <w:lang w:val="de-DE"/>
              </w:rPr>
              <w:t>RO</w:t>
            </w:r>
          </w:p>
        </w:tc>
        <w:tc>
          <w:tcPr>
            <w:tcW w:w="414" w:type="pct"/>
            <w:shd w:val="clear" w:color="auto" w:fill="FFC000" w:themeFill="accent4"/>
          </w:tcPr>
          <w:p w14:paraId="469FB0C6" w14:textId="77777777" w:rsidR="00FF7799" w:rsidRPr="00E73F6F" w:rsidRDefault="00FF7799" w:rsidP="00042200">
            <w:pPr>
              <w:pStyle w:val="StandardText"/>
              <w:widowControl w:val="0"/>
              <w:spacing w:after="120"/>
              <w:jc w:val="center"/>
              <w:rPr>
                <w:lang w:val="de-DE"/>
              </w:rPr>
            </w:pPr>
            <w:r w:rsidRPr="00E73F6F">
              <w:rPr>
                <w:b/>
                <w:spacing w:val="-5"/>
                <w:lang w:val="de-DE"/>
              </w:rPr>
              <w:t>UA</w:t>
            </w:r>
          </w:p>
        </w:tc>
        <w:tc>
          <w:tcPr>
            <w:tcW w:w="466" w:type="pct"/>
            <w:shd w:val="clear" w:color="auto" w:fill="FFC000" w:themeFill="accent4"/>
          </w:tcPr>
          <w:p w14:paraId="774D6967" w14:textId="77777777" w:rsidR="00FF7799" w:rsidRPr="00E73F6F" w:rsidRDefault="00FF7799" w:rsidP="00042200">
            <w:pPr>
              <w:pStyle w:val="StandardText"/>
              <w:widowControl w:val="0"/>
              <w:spacing w:after="120"/>
              <w:jc w:val="center"/>
              <w:rPr>
                <w:b/>
                <w:lang w:val="de-DE"/>
              </w:rPr>
            </w:pPr>
            <w:r w:rsidRPr="00E73F6F">
              <w:rPr>
                <w:b/>
                <w:spacing w:val="-2"/>
                <w:lang w:val="de-DE"/>
              </w:rPr>
              <w:t>Gesamt</w:t>
            </w:r>
          </w:p>
        </w:tc>
      </w:tr>
      <w:tr w:rsidR="00FF7799" w:rsidRPr="00E73F6F" w14:paraId="30D873A8" w14:textId="77777777" w:rsidTr="008F7599">
        <w:trPr>
          <w:trHeight w:val="404"/>
        </w:trPr>
        <w:tc>
          <w:tcPr>
            <w:tcW w:w="1641" w:type="pct"/>
            <w:shd w:val="clear" w:color="auto" w:fill="FFF2CC" w:themeFill="accent4" w:themeFillTint="33"/>
          </w:tcPr>
          <w:p w14:paraId="553135AA" w14:textId="77777777" w:rsidR="00FF7799" w:rsidRPr="00E73F6F" w:rsidRDefault="00FF7799" w:rsidP="00042200">
            <w:pPr>
              <w:pStyle w:val="StandardText"/>
              <w:widowControl w:val="0"/>
              <w:jc w:val="left"/>
              <w:rPr>
                <w:lang w:val="de-DE"/>
              </w:rPr>
            </w:pPr>
            <w:r w:rsidRPr="00E73F6F">
              <w:rPr>
                <w:spacing w:val="-2"/>
                <w:lang w:val="de-DE"/>
              </w:rPr>
              <w:t>Normales</w:t>
            </w:r>
            <w:r w:rsidRPr="00E73F6F">
              <w:rPr>
                <w:spacing w:val="-7"/>
                <w:lang w:val="de-DE"/>
              </w:rPr>
              <w:t xml:space="preserve"> </w:t>
            </w:r>
            <w:r w:rsidRPr="00E73F6F">
              <w:rPr>
                <w:spacing w:val="-2"/>
                <w:lang w:val="de-DE"/>
              </w:rPr>
              <w:t>/</w:t>
            </w:r>
            <w:r w:rsidRPr="00E73F6F">
              <w:rPr>
                <w:spacing w:val="-7"/>
                <w:lang w:val="de-DE"/>
              </w:rPr>
              <w:t xml:space="preserve"> </w:t>
            </w:r>
            <w:r w:rsidRPr="00E73F6F">
              <w:rPr>
                <w:spacing w:val="-2"/>
                <w:lang w:val="de-DE"/>
              </w:rPr>
              <w:t>einfaches</w:t>
            </w:r>
            <w:r w:rsidRPr="00E73F6F">
              <w:rPr>
                <w:spacing w:val="40"/>
                <w:lang w:val="de-DE"/>
              </w:rPr>
              <w:t xml:space="preserve"> </w:t>
            </w:r>
            <w:r w:rsidRPr="00E73F6F">
              <w:rPr>
                <w:spacing w:val="-2"/>
                <w:lang w:val="de-DE"/>
              </w:rPr>
              <w:t>Telefon</w:t>
            </w:r>
          </w:p>
        </w:tc>
        <w:tc>
          <w:tcPr>
            <w:tcW w:w="413" w:type="pct"/>
          </w:tcPr>
          <w:p w14:paraId="5BE49EF0" w14:textId="77777777" w:rsidR="00FF7799" w:rsidRPr="00E73F6F" w:rsidRDefault="00FF7799" w:rsidP="00042200">
            <w:pPr>
              <w:pStyle w:val="StandardText"/>
              <w:widowControl w:val="0"/>
              <w:jc w:val="center"/>
              <w:rPr>
                <w:lang w:val="de-DE"/>
              </w:rPr>
            </w:pPr>
            <w:r w:rsidRPr="00E73F6F">
              <w:rPr>
                <w:spacing w:val="-5"/>
                <w:lang w:val="de-DE"/>
              </w:rPr>
              <w:t>73</w:t>
            </w:r>
          </w:p>
        </w:tc>
        <w:tc>
          <w:tcPr>
            <w:tcW w:w="413" w:type="pct"/>
          </w:tcPr>
          <w:p w14:paraId="6CB23168" w14:textId="77777777" w:rsidR="00FF7799" w:rsidRPr="00E73F6F" w:rsidRDefault="00FF7799" w:rsidP="00042200">
            <w:pPr>
              <w:pStyle w:val="StandardText"/>
              <w:widowControl w:val="0"/>
              <w:jc w:val="center"/>
              <w:rPr>
                <w:lang w:val="de-DE"/>
              </w:rPr>
            </w:pPr>
            <w:r w:rsidRPr="00E73F6F">
              <w:rPr>
                <w:spacing w:val="-5"/>
                <w:lang w:val="de-DE"/>
              </w:rPr>
              <w:t>64</w:t>
            </w:r>
          </w:p>
        </w:tc>
        <w:tc>
          <w:tcPr>
            <w:tcW w:w="413" w:type="pct"/>
          </w:tcPr>
          <w:p w14:paraId="0B1E42EB" w14:textId="77777777" w:rsidR="00FF7799" w:rsidRPr="00E73F6F" w:rsidRDefault="00FF7799" w:rsidP="00042200">
            <w:pPr>
              <w:pStyle w:val="StandardText"/>
              <w:widowControl w:val="0"/>
              <w:jc w:val="center"/>
              <w:rPr>
                <w:lang w:val="de-DE"/>
              </w:rPr>
            </w:pPr>
            <w:r w:rsidRPr="00E73F6F">
              <w:rPr>
                <w:spacing w:val="-5"/>
                <w:lang w:val="de-DE"/>
              </w:rPr>
              <w:t>74</w:t>
            </w:r>
          </w:p>
        </w:tc>
        <w:tc>
          <w:tcPr>
            <w:tcW w:w="413" w:type="pct"/>
          </w:tcPr>
          <w:p w14:paraId="22F9E6A6" w14:textId="77777777" w:rsidR="00FF7799" w:rsidRPr="00E73F6F" w:rsidRDefault="00FF7799" w:rsidP="00042200">
            <w:pPr>
              <w:pStyle w:val="StandardText"/>
              <w:widowControl w:val="0"/>
              <w:jc w:val="center"/>
              <w:rPr>
                <w:lang w:val="de-DE"/>
              </w:rPr>
            </w:pPr>
            <w:r w:rsidRPr="00E73F6F">
              <w:rPr>
                <w:spacing w:val="-5"/>
                <w:lang w:val="de-DE"/>
              </w:rPr>
              <w:t>52</w:t>
            </w:r>
          </w:p>
        </w:tc>
        <w:tc>
          <w:tcPr>
            <w:tcW w:w="413" w:type="pct"/>
          </w:tcPr>
          <w:p w14:paraId="68122766" w14:textId="77777777" w:rsidR="00FF7799" w:rsidRPr="00E73F6F" w:rsidRDefault="00FF7799" w:rsidP="00042200">
            <w:pPr>
              <w:pStyle w:val="StandardText"/>
              <w:widowControl w:val="0"/>
              <w:jc w:val="center"/>
              <w:rPr>
                <w:lang w:val="de-DE"/>
              </w:rPr>
            </w:pPr>
            <w:r w:rsidRPr="00E73F6F">
              <w:rPr>
                <w:spacing w:val="-5"/>
                <w:lang w:val="de-DE"/>
              </w:rPr>
              <w:t>68</w:t>
            </w:r>
          </w:p>
        </w:tc>
        <w:tc>
          <w:tcPr>
            <w:tcW w:w="413" w:type="pct"/>
          </w:tcPr>
          <w:p w14:paraId="1B7E5DA2" w14:textId="77777777" w:rsidR="00FF7799" w:rsidRPr="00E73F6F" w:rsidRDefault="00FF7799" w:rsidP="00042200">
            <w:pPr>
              <w:pStyle w:val="StandardText"/>
              <w:widowControl w:val="0"/>
              <w:jc w:val="center"/>
              <w:rPr>
                <w:lang w:val="de-DE"/>
              </w:rPr>
            </w:pPr>
            <w:r w:rsidRPr="00E73F6F">
              <w:rPr>
                <w:spacing w:val="-5"/>
                <w:lang w:val="de-DE"/>
              </w:rPr>
              <w:t>39</w:t>
            </w:r>
          </w:p>
        </w:tc>
        <w:tc>
          <w:tcPr>
            <w:tcW w:w="414" w:type="pct"/>
          </w:tcPr>
          <w:p w14:paraId="59DAC0B4" w14:textId="77777777" w:rsidR="00FF7799" w:rsidRPr="00E73F6F" w:rsidRDefault="00FF7799" w:rsidP="00042200">
            <w:pPr>
              <w:pStyle w:val="StandardText"/>
              <w:widowControl w:val="0"/>
              <w:jc w:val="center"/>
              <w:rPr>
                <w:lang w:val="de-DE"/>
              </w:rPr>
            </w:pPr>
            <w:r w:rsidRPr="00E73F6F">
              <w:rPr>
                <w:spacing w:val="-5"/>
                <w:lang w:val="de-DE"/>
              </w:rPr>
              <w:t>35</w:t>
            </w:r>
          </w:p>
        </w:tc>
        <w:tc>
          <w:tcPr>
            <w:tcW w:w="466" w:type="pct"/>
          </w:tcPr>
          <w:p w14:paraId="381FA3B7" w14:textId="77777777" w:rsidR="00FF7799" w:rsidRPr="00E73F6F" w:rsidRDefault="00FF7799" w:rsidP="00042200">
            <w:pPr>
              <w:pStyle w:val="StandardText"/>
              <w:widowControl w:val="0"/>
              <w:jc w:val="center"/>
              <w:rPr>
                <w:lang w:val="de-DE"/>
              </w:rPr>
            </w:pPr>
            <w:r w:rsidRPr="00E73F6F">
              <w:rPr>
                <w:spacing w:val="-5"/>
                <w:lang w:val="de-DE"/>
              </w:rPr>
              <w:t>59</w:t>
            </w:r>
          </w:p>
        </w:tc>
      </w:tr>
      <w:tr w:rsidR="00FF7799" w:rsidRPr="00E73F6F" w14:paraId="2A33ADAE" w14:textId="77777777" w:rsidTr="008F7599">
        <w:trPr>
          <w:trHeight w:val="196"/>
        </w:trPr>
        <w:tc>
          <w:tcPr>
            <w:tcW w:w="1641" w:type="pct"/>
            <w:shd w:val="clear" w:color="auto" w:fill="FFF2CC" w:themeFill="accent4" w:themeFillTint="33"/>
          </w:tcPr>
          <w:p w14:paraId="7AD9B524" w14:textId="77777777" w:rsidR="00FF7799" w:rsidRPr="00E73F6F" w:rsidRDefault="00FF7799" w:rsidP="00042200">
            <w:pPr>
              <w:pStyle w:val="StandardText"/>
              <w:widowControl w:val="0"/>
              <w:jc w:val="left"/>
              <w:rPr>
                <w:lang w:val="de-DE"/>
              </w:rPr>
            </w:pPr>
            <w:r w:rsidRPr="00E73F6F">
              <w:rPr>
                <w:spacing w:val="-2"/>
                <w:lang w:val="de-DE"/>
              </w:rPr>
              <w:t>Schnurloses Telefon</w:t>
            </w:r>
          </w:p>
        </w:tc>
        <w:tc>
          <w:tcPr>
            <w:tcW w:w="413" w:type="pct"/>
          </w:tcPr>
          <w:p w14:paraId="0D07205D" w14:textId="77777777" w:rsidR="00FF7799" w:rsidRPr="00E73F6F" w:rsidRDefault="00FF7799" w:rsidP="00042200">
            <w:pPr>
              <w:pStyle w:val="StandardText"/>
              <w:widowControl w:val="0"/>
              <w:jc w:val="center"/>
              <w:rPr>
                <w:lang w:val="de-DE"/>
              </w:rPr>
            </w:pPr>
            <w:r w:rsidRPr="00E73F6F">
              <w:rPr>
                <w:w w:val="102"/>
                <w:lang w:val="de-DE"/>
              </w:rPr>
              <w:t>5</w:t>
            </w:r>
          </w:p>
        </w:tc>
        <w:tc>
          <w:tcPr>
            <w:tcW w:w="413" w:type="pct"/>
          </w:tcPr>
          <w:p w14:paraId="6571540B" w14:textId="77777777" w:rsidR="00FF7799" w:rsidRPr="00E73F6F" w:rsidRDefault="00FF7799" w:rsidP="00042200">
            <w:pPr>
              <w:pStyle w:val="StandardText"/>
              <w:widowControl w:val="0"/>
              <w:jc w:val="center"/>
              <w:rPr>
                <w:lang w:val="de-DE"/>
              </w:rPr>
            </w:pPr>
            <w:r w:rsidRPr="00E73F6F">
              <w:rPr>
                <w:w w:val="102"/>
                <w:lang w:val="de-DE"/>
              </w:rPr>
              <w:t>6</w:t>
            </w:r>
          </w:p>
        </w:tc>
        <w:tc>
          <w:tcPr>
            <w:tcW w:w="413" w:type="pct"/>
          </w:tcPr>
          <w:p w14:paraId="47B2160B" w14:textId="77777777" w:rsidR="00FF7799" w:rsidRPr="00E73F6F" w:rsidRDefault="00FF7799" w:rsidP="00042200">
            <w:pPr>
              <w:pStyle w:val="StandardText"/>
              <w:widowControl w:val="0"/>
              <w:jc w:val="center"/>
              <w:rPr>
                <w:lang w:val="de-DE"/>
              </w:rPr>
            </w:pPr>
            <w:r w:rsidRPr="00E73F6F">
              <w:rPr>
                <w:w w:val="102"/>
                <w:lang w:val="de-DE"/>
              </w:rPr>
              <w:t>4</w:t>
            </w:r>
          </w:p>
        </w:tc>
        <w:tc>
          <w:tcPr>
            <w:tcW w:w="413" w:type="pct"/>
          </w:tcPr>
          <w:p w14:paraId="16047AFE" w14:textId="77777777" w:rsidR="00FF7799" w:rsidRPr="00E73F6F" w:rsidRDefault="00FF7799" w:rsidP="00042200">
            <w:pPr>
              <w:pStyle w:val="StandardText"/>
              <w:widowControl w:val="0"/>
              <w:jc w:val="center"/>
              <w:rPr>
                <w:lang w:val="de-DE"/>
              </w:rPr>
            </w:pPr>
            <w:r w:rsidRPr="00E73F6F">
              <w:rPr>
                <w:w w:val="102"/>
                <w:lang w:val="de-DE"/>
              </w:rPr>
              <w:t>4</w:t>
            </w:r>
          </w:p>
        </w:tc>
        <w:tc>
          <w:tcPr>
            <w:tcW w:w="413" w:type="pct"/>
          </w:tcPr>
          <w:p w14:paraId="44EF1154" w14:textId="77777777" w:rsidR="00FF7799" w:rsidRPr="00E73F6F" w:rsidRDefault="00FF7799" w:rsidP="00042200">
            <w:pPr>
              <w:pStyle w:val="StandardText"/>
              <w:widowControl w:val="0"/>
              <w:jc w:val="center"/>
              <w:rPr>
                <w:lang w:val="de-DE"/>
              </w:rPr>
            </w:pPr>
            <w:r w:rsidRPr="00E73F6F">
              <w:rPr>
                <w:w w:val="102"/>
                <w:lang w:val="de-DE"/>
              </w:rPr>
              <w:t>3</w:t>
            </w:r>
          </w:p>
        </w:tc>
        <w:tc>
          <w:tcPr>
            <w:tcW w:w="413" w:type="pct"/>
          </w:tcPr>
          <w:p w14:paraId="2278A00E" w14:textId="77777777" w:rsidR="00FF7799" w:rsidRPr="00E73F6F" w:rsidRDefault="00FF7799" w:rsidP="00042200">
            <w:pPr>
              <w:pStyle w:val="StandardText"/>
              <w:widowControl w:val="0"/>
              <w:jc w:val="center"/>
              <w:rPr>
                <w:lang w:val="de-DE"/>
              </w:rPr>
            </w:pPr>
            <w:r w:rsidRPr="00E73F6F">
              <w:rPr>
                <w:w w:val="102"/>
                <w:lang w:val="de-DE"/>
              </w:rPr>
              <w:t>2</w:t>
            </w:r>
          </w:p>
        </w:tc>
        <w:tc>
          <w:tcPr>
            <w:tcW w:w="414" w:type="pct"/>
          </w:tcPr>
          <w:p w14:paraId="08A0F914" w14:textId="77777777" w:rsidR="00FF7799" w:rsidRPr="00E73F6F" w:rsidRDefault="00FF7799" w:rsidP="00042200">
            <w:pPr>
              <w:pStyle w:val="StandardText"/>
              <w:widowControl w:val="0"/>
              <w:jc w:val="center"/>
              <w:rPr>
                <w:lang w:val="de-DE"/>
              </w:rPr>
            </w:pPr>
            <w:r w:rsidRPr="00E73F6F">
              <w:rPr>
                <w:w w:val="102"/>
                <w:lang w:val="de-DE"/>
              </w:rPr>
              <w:t>2</w:t>
            </w:r>
          </w:p>
        </w:tc>
        <w:tc>
          <w:tcPr>
            <w:tcW w:w="466" w:type="pct"/>
          </w:tcPr>
          <w:p w14:paraId="22802C64" w14:textId="77777777" w:rsidR="00FF7799" w:rsidRPr="00E73F6F" w:rsidRDefault="00FF7799" w:rsidP="00042200">
            <w:pPr>
              <w:pStyle w:val="StandardText"/>
              <w:widowControl w:val="0"/>
              <w:jc w:val="center"/>
              <w:rPr>
                <w:lang w:val="de-DE"/>
              </w:rPr>
            </w:pPr>
            <w:r w:rsidRPr="00E73F6F">
              <w:rPr>
                <w:w w:val="102"/>
                <w:lang w:val="de-DE"/>
              </w:rPr>
              <w:t>4</w:t>
            </w:r>
          </w:p>
        </w:tc>
      </w:tr>
      <w:tr w:rsidR="00FF7799" w:rsidRPr="00E73F6F" w14:paraId="503CFD7B" w14:textId="77777777" w:rsidTr="008F7599">
        <w:trPr>
          <w:trHeight w:val="197"/>
        </w:trPr>
        <w:tc>
          <w:tcPr>
            <w:tcW w:w="1641" w:type="pct"/>
            <w:shd w:val="clear" w:color="auto" w:fill="FFF2CC" w:themeFill="accent4" w:themeFillTint="33"/>
          </w:tcPr>
          <w:p w14:paraId="1B9AAC47" w14:textId="77777777" w:rsidR="00FF7799" w:rsidRPr="00E73F6F" w:rsidRDefault="00FF7799" w:rsidP="00042200">
            <w:pPr>
              <w:pStyle w:val="StandardText"/>
              <w:widowControl w:val="0"/>
              <w:jc w:val="left"/>
              <w:rPr>
                <w:lang w:val="de-DE"/>
              </w:rPr>
            </w:pPr>
            <w:r w:rsidRPr="00E73F6F">
              <w:rPr>
                <w:spacing w:val="-2"/>
                <w:lang w:val="de-DE"/>
              </w:rPr>
              <w:t>Mobiltelefon</w:t>
            </w:r>
          </w:p>
        </w:tc>
        <w:tc>
          <w:tcPr>
            <w:tcW w:w="413" w:type="pct"/>
          </w:tcPr>
          <w:p w14:paraId="17CFDEE3" w14:textId="77777777" w:rsidR="00FF7799" w:rsidRPr="00E73F6F" w:rsidRDefault="00FF7799" w:rsidP="00042200">
            <w:pPr>
              <w:pStyle w:val="StandardText"/>
              <w:widowControl w:val="0"/>
              <w:jc w:val="center"/>
              <w:rPr>
                <w:lang w:val="de-DE"/>
              </w:rPr>
            </w:pPr>
            <w:r w:rsidRPr="00E73F6F">
              <w:rPr>
                <w:spacing w:val="-5"/>
                <w:lang w:val="de-DE"/>
              </w:rPr>
              <w:t>18</w:t>
            </w:r>
          </w:p>
        </w:tc>
        <w:tc>
          <w:tcPr>
            <w:tcW w:w="413" w:type="pct"/>
          </w:tcPr>
          <w:p w14:paraId="1CA65BB2" w14:textId="77777777" w:rsidR="00FF7799" w:rsidRPr="00E73F6F" w:rsidRDefault="00FF7799" w:rsidP="00042200">
            <w:pPr>
              <w:pStyle w:val="StandardText"/>
              <w:widowControl w:val="0"/>
              <w:jc w:val="center"/>
              <w:rPr>
                <w:lang w:val="de-DE"/>
              </w:rPr>
            </w:pPr>
            <w:r w:rsidRPr="00E73F6F">
              <w:rPr>
                <w:spacing w:val="-5"/>
                <w:lang w:val="de-DE"/>
              </w:rPr>
              <w:t>12</w:t>
            </w:r>
          </w:p>
        </w:tc>
        <w:tc>
          <w:tcPr>
            <w:tcW w:w="413" w:type="pct"/>
          </w:tcPr>
          <w:p w14:paraId="35187C1A" w14:textId="77777777" w:rsidR="00FF7799" w:rsidRPr="00E73F6F" w:rsidRDefault="00FF7799" w:rsidP="00042200">
            <w:pPr>
              <w:pStyle w:val="StandardText"/>
              <w:widowControl w:val="0"/>
              <w:jc w:val="center"/>
              <w:rPr>
                <w:lang w:val="de-DE"/>
              </w:rPr>
            </w:pPr>
            <w:r w:rsidRPr="00E73F6F">
              <w:rPr>
                <w:spacing w:val="-5"/>
                <w:lang w:val="de-DE"/>
              </w:rPr>
              <w:t>21</w:t>
            </w:r>
          </w:p>
        </w:tc>
        <w:tc>
          <w:tcPr>
            <w:tcW w:w="413" w:type="pct"/>
          </w:tcPr>
          <w:p w14:paraId="075DD361" w14:textId="77777777" w:rsidR="00FF7799" w:rsidRPr="00E73F6F" w:rsidRDefault="00FF7799" w:rsidP="00042200">
            <w:pPr>
              <w:pStyle w:val="StandardText"/>
              <w:widowControl w:val="0"/>
              <w:jc w:val="center"/>
              <w:rPr>
                <w:lang w:val="de-DE"/>
              </w:rPr>
            </w:pPr>
            <w:r w:rsidRPr="00E73F6F">
              <w:rPr>
                <w:w w:val="102"/>
                <w:lang w:val="de-DE"/>
              </w:rPr>
              <w:t>8</w:t>
            </w:r>
          </w:p>
        </w:tc>
        <w:tc>
          <w:tcPr>
            <w:tcW w:w="413" w:type="pct"/>
          </w:tcPr>
          <w:p w14:paraId="3582F33A" w14:textId="77777777" w:rsidR="00FF7799" w:rsidRPr="00E73F6F" w:rsidRDefault="00FF7799" w:rsidP="00042200">
            <w:pPr>
              <w:pStyle w:val="StandardText"/>
              <w:widowControl w:val="0"/>
              <w:jc w:val="center"/>
              <w:rPr>
                <w:lang w:val="de-DE"/>
              </w:rPr>
            </w:pPr>
            <w:r w:rsidRPr="00E73F6F">
              <w:rPr>
                <w:w w:val="102"/>
                <w:lang w:val="de-DE"/>
              </w:rPr>
              <w:t>2</w:t>
            </w:r>
          </w:p>
        </w:tc>
        <w:tc>
          <w:tcPr>
            <w:tcW w:w="413" w:type="pct"/>
          </w:tcPr>
          <w:p w14:paraId="7BB9BA61" w14:textId="77777777" w:rsidR="00FF7799" w:rsidRPr="00E73F6F" w:rsidRDefault="00FF7799" w:rsidP="00042200">
            <w:pPr>
              <w:pStyle w:val="StandardText"/>
              <w:widowControl w:val="0"/>
              <w:jc w:val="center"/>
              <w:rPr>
                <w:lang w:val="de-DE"/>
              </w:rPr>
            </w:pPr>
            <w:r w:rsidRPr="00E73F6F">
              <w:rPr>
                <w:w w:val="102"/>
                <w:lang w:val="de-DE"/>
              </w:rPr>
              <w:t>4</w:t>
            </w:r>
          </w:p>
        </w:tc>
        <w:tc>
          <w:tcPr>
            <w:tcW w:w="414" w:type="pct"/>
          </w:tcPr>
          <w:p w14:paraId="1F3011ED" w14:textId="77777777" w:rsidR="00FF7799" w:rsidRPr="00E73F6F" w:rsidRDefault="00FF7799" w:rsidP="00042200">
            <w:pPr>
              <w:pStyle w:val="StandardText"/>
              <w:widowControl w:val="0"/>
              <w:jc w:val="center"/>
              <w:rPr>
                <w:lang w:val="de-DE"/>
              </w:rPr>
            </w:pPr>
            <w:r w:rsidRPr="00E73F6F">
              <w:rPr>
                <w:w w:val="102"/>
                <w:lang w:val="de-DE"/>
              </w:rPr>
              <w:t>1</w:t>
            </w:r>
          </w:p>
        </w:tc>
        <w:tc>
          <w:tcPr>
            <w:tcW w:w="466" w:type="pct"/>
          </w:tcPr>
          <w:p w14:paraId="122C8026" w14:textId="77777777" w:rsidR="00FF7799" w:rsidRPr="00E73F6F" w:rsidRDefault="00FF7799" w:rsidP="00042200">
            <w:pPr>
              <w:pStyle w:val="StandardText"/>
              <w:widowControl w:val="0"/>
              <w:jc w:val="center"/>
              <w:rPr>
                <w:lang w:val="de-DE"/>
              </w:rPr>
            </w:pPr>
            <w:r w:rsidRPr="00E73F6F">
              <w:rPr>
                <w:spacing w:val="-5"/>
                <w:lang w:val="de-DE"/>
              </w:rPr>
              <w:t>10</w:t>
            </w:r>
          </w:p>
        </w:tc>
      </w:tr>
      <w:tr w:rsidR="00FF7799" w:rsidRPr="00E73F6F" w14:paraId="3496803E" w14:textId="77777777" w:rsidTr="008F7599">
        <w:trPr>
          <w:trHeight w:val="197"/>
        </w:trPr>
        <w:tc>
          <w:tcPr>
            <w:tcW w:w="1641" w:type="pct"/>
            <w:shd w:val="clear" w:color="auto" w:fill="FFF2CC" w:themeFill="accent4" w:themeFillTint="33"/>
          </w:tcPr>
          <w:p w14:paraId="4ED5430E" w14:textId="77777777" w:rsidR="00FF7799" w:rsidRPr="00E73F6F" w:rsidRDefault="00FF7799" w:rsidP="00042200">
            <w:pPr>
              <w:pStyle w:val="StandardText"/>
              <w:widowControl w:val="0"/>
              <w:jc w:val="left"/>
              <w:rPr>
                <w:lang w:val="de-DE"/>
              </w:rPr>
            </w:pPr>
            <w:r w:rsidRPr="00E73F6F">
              <w:rPr>
                <w:spacing w:val="-2"/>
                <w:lang w:val="de-DE"/>
              </w:rPr>
              <w:t>Anrufbeantworter</w:t>
            </w:r>
          </w:p>
        </w:tc>
        <w:tc>
          <w:tcPr>
            <w:tcW w:w="413" w:type="pct"/>
          </w:tcPr>
          <w:p w14:paraId="667A5516" w14:textId="77777777" w:rsidR="00FF7799" w:rsidRPr="00E73F6F" w:rsidRDefault="00FF7799" w:rsidP="00042200">
            <w:pPr>
              <w:pStyle w:val="StandardText"/>
              <w:widowControl w:val="0"/>
              <w:jc w:val="center"/>
              <w:rPr>
                <w:lang w:val="de-DE"/>
              </w:rPr>
            </w:pPr>
            <w:r w:rsidRPr="00E73F6F">
              <w:rPr>
                <w:spacing w:val="-5"/>
                <w:lang w:val="de-DE"/>
              </w:rPr>
              <w:t>11</w:t>
            </w:r>
          </w:p>
        </w:tc>
        <w:tc>
          <w:tcPr>
            <w:tcW w:w="413" w:type="pct"/>
          </w:tcPr>
          <w:p w14:paraId="7E1F277F" w14:textId="77777777" w:rsidR="00FF7799" w:rsidRPr="00E73F6F" w:rsidRDefault="00FF7799" w:rsidP="00042200">
            <w:pPr>
              <w:pStyle w:val="StandardText"/>
              <w:widowControl w:val="0"/>
              <w:jc w:val="center"/>
              <w:rPr>
                <w:lang w:val="de-DE"/>
              </w:rPr>
            </w:pPr>
            <w:r w:rsidRPr="00E73F6F">
              <w:rPr>
                <w:w w:val="102"/>
                <w:lang w:val="de-DE"/>
              </w:rPr>
              <w:t>7</w:t>
            </w:r>
          </w:p>
        </w:tc>
        <w:tc>
          <w:tcPr>
            <w:tcW w:w="413" w:type="pct"/>
          </w:tcPr>
          <w:p w14:paraId="0C3B32AB" w14:textId="77777777" w:rsidR="00FF7799" w:rsidRPr="00E73F6F" w:rsidRDefault="00FF7799" w:rsidP="00042200">
            <w:pPr>
              <w:pStyle w:val="StandardText"/>
              <w:widowControl w:val="0"/>
              <w:jc w:val="center"/>
              <w:rPr>
                <w:lang w:val="de-DE"/>
              </w:rPr>
            </w:pPr>
            <w:r w:rsidRPr="00E73F6F">
              <w:rPr>
                <w:w w:val="102"/>
                <w:lang w:val="de-DE"/>
              </w:rPr>
              <w:t>7</w:t>
            </w:r>
          </w:p>
        </w:tc>
        <w:tc>
          <w:tcPr>
            <w:tcW w:w="413" w:type="pct"/>
          </w:tcPr>
          <w:p w14:paraId="56138397" w14:textId="77777777" w:rsidR="00FF7799" w:rsidRPr="00E73F6F" w:rsidRDefault="00FF7799" w:rsidP="00042200">
            <w:pPr>
              <w:pStyle w:val="StandardText"/>
              <w:widowControl w:val="0"/>
              <w:jc w:val="center"/>
              <w:rPr>
                <w:lang w:val="de-DE"/>
              </w:rPr>
            </w:pPr>
            <w:r w:rsidRPr="00E73F6F">
              <w:rPr>
                <w:w w:val="102"/>
                <w:lang w:val="de-DE"/>
              </w:rPr>
              <w:t>5</w:t>
            </w:r>
          </w:p>
        </w:tc>
        <w:tc>
          <w:tcPr>
            <w:tcW w:w="413" w:type="pct"/>
          </w:tcPr>
          <w:p w14:paraId="45AC1DE8" w14:textId="77777777" w:rsidR="00FF7799" w:rsidRPr="00E73F6F" w:rsidRDefault="00FF7799" w:rsidP="00042200">
            <w:pPr>
              <w:pStyle w:val="StandardText"/>
              <w:widowControl w:val="0"/>
              <w:jc w:val="center"/>
              <w:rPr>
                <w:lang w:val="de-DE"/>
              </w:rPr>
            </w:pPr>
            <w:r w:rsidRPr="00E73F6F">
              <w:rPr>
                <w:w w:val="102"/>
                <w:lang w:val="de-DE"/>
              </w:rPr>
              <w:t>1</w:t>
            </w:r>
          </w:p>
        </w:tc>
        <w:tc>
          <w:tcPr>
            <w:tcW w:w="413" w:type="pct"/>
          </w:tcPr>
          <w:p w14:paraId="77043641" w14:textId="77777777" w:rsidR="00FF7799" w:rsidRPr="00E73F6F" w:rsidRDefault="00FF7799" w:rsidP="00042200">
            <w:pPr>
              <w:pStyle w:val="StandardText"/>
              <w:widowControl w:val="0"/>
              <w:jc w:val="center"/>
              <w:rPr>
                <w:lang w:val="de-DE"/>
              </w:rPr>
            </w:pPr>
            <w:r w:rsidRPr="00E73F6F">
              <w:rPr>
                <w:w w:val="102"/>
                <w:lang w:val="de-DE"/>
              </w:rPr>
              <w:t>1</w:t>
            </w:r>
          </w:p>
        </w:tc>
        <w:tc>
          <w:tcPr>
            <w:tcW w:w="414" w:type="pct"/>
          </w:tcPr>
          <w:p w14:paraId="77A247CF" w14:textId="77777777" w:rsidR="00FF7799" w:rsidRPr="00E73F6F" w:rsidRDefault="00FF7799" w:rsidP="00042200">
            <w:pPr>
              <w:pStyle w:val="StandardText"/>
              <w:widowControl w:val="0"/>
              <w:jc w:val="center"/>
              <w:rPr>
                <w:lang w:val="de-DE"/>
              </w:rPr>
            </w:pPr>
            <w:r w:rsidRPr="00E73F6F">
              <w:rPr>
                <w:w w:val="102"/>
                <w:lang w:val="de-DE"/>
              </w:rPr>
              <w:t>2</w:t>
            </w:r>
          </w:p>
        </w:tc>
        <w:tc>
          <w:tcPr>
            <w:tcW w:w="466" w:type="pct"/>
          </w:tcPr>
          <w:p w14:paraId="27A9B521" w14:textId="77777777" w:rsidR="00FF7799" w:rsidRPr="00E73F6F" w:rsidRDefault="00FF7799" w:rsidP="00042200">
            <w:pPr>
              <w:pStyle w:val="StandardText"/>
              <w:widowControl w:val="0"/>
              <w:jc w:val="center"/>
              <w:rPr>
                <w:lang w:val="de-DE"/>
              </w:rPr>
            </w:pPr>
            <w:r w:rsidRPr="00E73F6F">
              <w:rPr>
                <w:w w:val="102"/>
                <w:lang w:val="de-DE"/>
              </w:rPr>
              <w:t>5</w:t>
            </w:r>
          </w:p>
        </w:tc>
      </w:tr>
      <w:tr w:rsidR="00FF7799" w:rsidRPr="00E73F6F" w14:paraId="463DE0C2" w14:textId="77777777" w:rsidTr="008F7599">
        <w:trPr>
          <w:trHeight w:val="196"/>
        </w:trPr>
        <w:tc>
          <w:tcPr>
            <w:tcW w:w="1641" w:type="pct"/>
            <w:shd w:val="clear" w:color="auto" w:fill="FFF2CC" w:themeFill="accent4" w:themeFillTint="33"/>
          </w:tcPr>
          <w:p w14:paraId="0CC2886B" w14:textId="77777777" w:rsidR="00FF7799" w:rsidRPr="00E73F6F" w:rsidRDefault="00FF7799" w:rsidP="00042200">
            <w:pPr>
              <w:pStyle w:val="StandardText"/>
              <w:widowControl w:val="0"/>
              <w:jc w:val="left"/>
              <w:rPr>
                <w:lang w:val="de-DE"/>
              </w:rPr>
            </w:pPr>
            <w:r w:rsidRPr="00E73F6F">
              <w:rPr>
                <w:spacing w:val="-2"/>
                <w:lang w:val="de-DE"/>
              </w:rPr>
              <w:t>Farbfernsehgerät</w:t>
            </w:r>
          </w:p>
        </w:tc>
        <w:tc>
          <w:tcPr>
            <w:tcW w:w="413" w:type="pct"/>
          </w:tcPr>
          <w:p w14:paraId="1DF825B3" w14:textId="77777777" w:rsidR="00FF7799" w:rsidRPr="00E73F6F" w:rsidRDefault="00FF7799" w:rsidP="00042200">
            <w:pPr>
              <w:pStyle w:val="StandardText"/>
              <w:widowControl w:val="0"/>
              <w:jc w:val="center"/>
              <w:rPr>
                <w:lang w:val="de-DE"/>
              </w:rPr>
            </w:pPr>
            <w:r w:rsidRPr="00E73F6F">
              <w:rPr>
                <w:spacing w:val="-5"/>
                <w:lang w:val="de-DE"/>
              </w:rPr>
              <w:t>89</w:t>
            </w:r>
          </w:p>
        </w:tc>
        <w:tc>
          <w:tcPr>
            <w:tcW w:w="413" w:type="pct"/>
          </w:tcPr>
          <w:p w14:paraId="53CAF9AD" w14:textId="77777777" w:rsidR="00FF7799" w:rsidRPr="00E73F6F" w:rsidRDefault="00FF7799" w:rsidP="00042200">
            <w:pPr>
              <w:pStyle w:val="StandardText"/>
              <w:widowControl w:val="0"/>
              <w:jc w:val="center"/>
              <w:rPr>
                <w:lang w:val="de-DE"/>
              </w:rPr>
            </w:pPr>
            <w:r w:rsidRPr="00E73F6F">
              <w:rPr>
                <w:spacing w:val="-5"/>
                <w:lang w:val="de-DE"/>
              </w:rPr>
              <w:t>94</w:t>
            </w:r>
          </w:p>
        </w:tc>
        <w:tc>
          <w:tcPr>
            <w:tcW w:w="413" w:type="pct"/>
          </w:tcPr>
          <w:p w14:paraId="2CD93DC9" w14:textId="77777777" w:rsidR="00FF7799" w:rsidRPr="00E73F6F" w:rsidRDefault="00FF7799" w:rsidP="00042200">
            <w:pPr>
              <w:pStyle w:val="StandardText"/>
              <w:widowControl w:val="0"/>
              <w:jc w:val="center"/>
              <w:rPr>
                <w:lang w:val="de-DE"/>
              </w:rPr>
            </w:pPr>
            <w:r w:rsidRPr="00E73F6F">
              <w:rPr>
                <w:spacing w:val="-5"/>
                <w:lang w:val="de-DE"/>
              </w:rPr>
              <w:t>96</w:t>
            </w:r>
          </w:p>
        </w:tc>
        <w:tc>
          <w:tcPr>
            <w:tcW w:w="413" w:type="pct"/>
          </w:tcPr>
          <w:p w14:paraId="25241CFD" w14:textId="77777777" w:rsidR="00FF7799" w:rsidRPr="00E73F6F" w:rsidRDefault="00FF7799" w:rsidP="00042200">
            <w:pPr>
              <w:pStyle w:val="StandardText"/>
              <w:widowControl w:val="0"/>
              <w:jc w:val="center"/>
              <w:rPr>
                <w:lang w:val="de-DE"/>
              </w:rPr>
            </w:pPr>
            <w:r w:rsidRPr="00E73F6F">
              <w:rPr>
                <w:spacing w:val="-5"/>
                <w:lang w:val="de-DE"/>
              </w:rPr>
              <w:t>95</w:t>
            </w:r>
          </w:p>
        </w:tc>
        <w:tc>
          <w:tcPr>
            <w:tcW w:w="413" w:type="pct"/>
          </w:tcPr>
          <w:p w14:paraId="7578EEFF" w14:textId="77777777" w:rsidR="00FF7799" w:rsidRPr="00E73F6F" w:rsidRDefault="00FF7799" w:rsidP="00042200">
            <w:pPr>
              <w:pStyle w:val="StandardText"/>
              <w:widowControl w:val="0"/>
              <w:jc w:val="center"/>
              <w:rPr>
                <w:lang w:val="de-DE"/>
              </w:rPr>
            </w:pPr>
            <w:r w:rsidRPr="00E73F6F">
              <w:rPr>
                <w:spacing w:val="-5"/>
                <w:lang w:val="de-DE"/>
              </w:rPr>
              <w:t>76</w:t>
            </w:r>
          </w:p>
        </w:tc>
        <w:tc>
          <w:tcPr>
            <w:tcW w:w="413" w:type="pct"/>
          </w:tcPr>
          <w:p w14:paraId="3B75ABB7" w14:textId="77777777" w:rsidR="00FF7799" w:rsidRPr="00E73F6F" w:rsidRDefault="00FF7799" w:rsidP="00042200">
            <w:pPr>
              <w:pStyle w:val="StandardText"/>
              <w:widowControl w:val="0"/>
              <w:jc w:val="center"/>
              <w:rPr>
                <w:lang w:val="de-DE"/>
              </w:rPr>
            </w:pPr>
            <w:r w:rsidRPr="00E73F6F">
              <w:rPr>
                <w:spacing w:val="-5"/>
                <w:lang w:val="de-DE"/>
              </w:rPr>
              <w:t>70</w:t>
            </w:r>
          </w:p>
        </w:tc>
        <w:tc>
          <w:tcPr>
            <w:tcW w:w="414" w:type="pct"/>
          </w:tcPr>
          <w:p w14:paraId="2C4967B8" w14:textId="77777777" w:rsidR="00FF7799" w:rsidRPr="00E73F6F" w:rsidRDefault="00FF7799" w:rsidP="00042200">
            <w:pPr>
              <w:pStyle w:val="StandardText"/>
              <w:widowControl w:val="0"/>
              <w:jc w:val="center"/>
              <w:rPr>
                <w:lang w:val="de-DE"/>
              </w:rPr>
            </w:pPr>
            <w:r w:rsidRPr="00E73F6F">
              <w:rPr>
                <w:spacing w:val="-5"/>
                <w:lang w:val="de-DE"/>
              </w:rPr>
              <w:t>84</w:t>
            </w:r>
          </w:p>
        </w:tc>
        <w:tc>
          <w:tcPr>
            <w:tcW w:w="466" w:type="pct"/>
          </w:tcPr>
          <w:p w14:paraId="171CC853" w14:textId="77777777" w:rsidR="00FF7799" w:rsidRPr="00E73F6F" w:rsidRDefault="00FF7799" w:rsidP="00042200">
            <w:pPr>
              <w:pStyle w:val="StandardText"/>
              <w:widowControl w:val="0"/>
              <w:jc w:val="center"/>
              <w:rPr>
                <w:lang w:val="de-DE"/>
              </w:rPr>
            </w:pPr>
            <w:r w:rsidRPr="00E73F6F">
              <w:rPr>
                <w:spacing w:val="-5"/>
                <w:lang w:val="de-DE"/>
              </w:rPr>
              <w:t>86</w:t>
            </w:r>
          </w:p>
        </w:tc>
      </w:tr>
      <w:tr w:rsidR="00FF7799" w:rsidRPr="00E73F6F" w14:paraId="7A121551" w14:textId="77777777" w:rsidTr="008F7599">
        <w:trPr>
          <w:trHeight w:val="194"/>
        </w:trPr>
        <w:tc>
          <w:tcPr>
            <w:tcW w:w="1641" w:type="pct"/>
            <w:shd w:val="clear" w:color="auto" w:fill="FFF2CC" w:themeFill="accent4" w:themeFillTint="33"/>
          </w:tcPr>
          <w:p w14:paraId="4EE44CB1" w14:textId="77777777" w:rsidR="00FF7799" w:rsidRPr="00E73F6F" w:rsidRDefault="00FF7799" w:rsidP="00042200">
            <w:pPr>
              <w:pStyle w:val="StandardText"/>
              <w:widowControl w:val="0"/>
              <w:jc w:val="left"/>
              <w:rPr>
                <w:lang w:val="de-DE"/>
              </w:rPr>
            </w:pPr>
            <w:r w:rsidRPr="00E73F6F">
              <w:rPr>
                <w:spacing w:val="-4"/>
                <w:lang w:val="de-DE"/>
              </w:rPr>
              <w:t>Stereo-</w:t>
            </w:r>
            <w:r w:rsidRPr="00E73F6F">
              <w:rPr>
                <w:spacing w:val="-2"/>
                <w:lang w:val="de-DE"/>
              </w:rPr>
              <w:t>Kompaktanlage</w:t>
            </w:r>
          </w:p>
        </w:tc>
        <w:tc>
          <w:tcPr>
            <w:tcW w:w="413" w:type="pct"/>
          </w:tcPr>
          <w:p w14:paraId="275EF074" w14:textId="77777777" w:rsidR="00FF7799" w:rsidRPr="00E73F6F" w:rsidRDefault="00FF7799" w:rsidP="00042200">
            <w:pPr>
              <w:pStyle w:val="StandardText"/>
              <w:widowControl w:val="0"/>
              <w:jc w:val="center"/>
              <w:rPr>
                <w:lang w:val="de-DE"/>
              </w:rPr>
            </w:pPr>
            <w:r w:rsidRPr="00E73F6F">
              <w:rPr>
                <w:spacing w:val="-5"/>
                <w:lang w:val="de-DE"/>
              </w:rPr>
              <w:t>28</w:t>
            </w:r>
          </w:p>
        </w:tc>
        <w:tc>
          <w:tcPr>
            <w:tcW w:w="413" w:type="pct"/>
          </w:tcPr>
          <w:p w14:paraId="003B56EE" w14:textId="77777777" w:rsidR="00FF7799" w:rsidRPr="00E73F6F" w:rsidRDefault="00FF7799" w:rsidP="00042200">
            <w:pPr>
              <w:pStyle w:val="StandardText"/>
              <w:widowControl w:val="0"/>
              <w:jc w:val="center"/>
              <w:rPr>
                <w:lang w:val="de-DE"/>
              </w:rPr>
            </w:pPr>
            <w:r w:rsidRPr="00E73F6F">
              <w:rPr>
                <w:spacing w:val="-5"/>
                <w:lang w:val="de-DE"/>
              </w:rPr>
              <w:t>20</w:t>
            </w:r>
          </w:p>
        </w:tc>
        <w:tc>
          <w:tcPr>
            <w:tcW w:w="413" w:type="pct"/>
          </w:tcPr>
          <w:p w14:paraId="7F829231" w14:textId="77777777" w:rsidR="00FF7799" w:rsidRPr="00E73F6F" w:rsidRDefault="00FF7799" w:rsidP="00042200">
            <w:pPr>
              <w:pStyle w:val="StandardText"/>
              <w:widowControl w:val="0"/>
              <w:jc w:val="center"/>
              <w:rPr>
                <w:lang w:val="de-DE"/>
              </w:rPr>
            </w:pPr>
            <w:r w:rsidRPr="00E73F6F">
              <w:rPr>
                <w:spacing w:val="-5"/>
                <w:lang w:val="de-DE"/>
              </w:rPr>
              <w:t>35</w:t>
            </w:r>
          </w:p>
        </w:tc>
        <w:tc>
          <w:tcPr>
            <w:tcW w:w="413" w:type="pct"/>
          </w:tcPr>
          <w:p w14:paraId="4F2F68AC" w14:textId="77777777" w:rsidR="00FF7799" w:rsidRPr="00E73F6F" w:rsidRDefault="00FF7799" w:rsidP="00042200">
            <w:pPr>
              <w:pStyle w:val="StandardText"/>
              <w:widowControl w:val="0"/>
              <w:jc w:val="center"/>
              <w:rPr>
                <w:lang w:val="de-DE"/>
              </w:rPr>
            </w:pPr>
            <w:r w:rsidRPr="00E73F6F">
              <w:rPr>
                <w:spacing w:val="-5"/>
                <w:lang w:val="de-DE"/>
              </w:rPr>
              <w:t>35</w:t>
            </w:r>
          </w:p>
        </w:tc>
        <w:tc>
          <w:tcPr>
            <w:tcW w:w="413" w:type="pct"/>
          </w:tcPr>
          <w:p w14:paraId="68CF74E9" w14:textId="77777777" w:rsidR="00FF7799" w:rsidRPr="00E73F6F" w:rsidRDefault="00FF7799" w:rsidP="00042200">
            <w:pPr>
              <w:pStyle w:val="StandardText"/>
              <w:widowControl w:val="0"/>
              <w:jc w:val="center"/>
              <w:rPr>
                <w:lang w:val="de-DE"/>
              </w:rPr>
            </w:pPr>
            <w:r w:rsidRPr="00E73F6F">
              <w:rPr>
                <w:spacing w:val="-5"/>
                <w:lang w:val="de-DE"/>
              </w:rPr>
              <w:t>11</w:t>
            </w:r>
          </w:p>
        </w:tc>
        <w:tc>
          <w:tcPr>
            <w:tcW w:w="413" w:type="pct"/>
          </w:tcPr>
          <w:p w14:paraId="79C4F418" w14:textId="77777777" w:rsidR="00FF7799" w:rsidRPr="00E73F6F" w:rsidRDefault="00FF7799" w:rsidP="00042200">
            <w:pPr>
              <w:pStyle w:val="StandardText"/>
              <w:widowControl w:val="0"/>
              <w:jc w:val="center"/>
              <w:rPr>
                <w:lang w:val="de-DE"/>
              </w:rPr>
            </w:pPr>
            <w:r w:rsidRPr="00E73F6F">
              <w:rPr>
                <w:w w:val="102"/>
                <w:lang w:val="de-DE"/>
              </w:rPr>
              <w:t>6</w:t>
            </w:r>
          </w:p>
        </w:tc>
        <w:tc>
          <w:tcPr>
            <w:tcW w:w="414" w:type="pct"/>
          </w:tcPr>
          <w:p w14:paraId="13D53AAD" w14:textId="77777777" w:rsidR="00FF7799" w:rsidRPr="00E73F6F" w:rsidRDefault="00FF7799" w:rsidP="00042200">
            <w:pPr>
              <w:pStyle w:val="StandardText"/>
              <w:widowControl w:val="0"/>
              <w:jc w:val="center"/>
              <w:rPr>
                <w:lang w:val="de-DE"/>
              </w:rPr>
            </w:pPr>
            <w:r w:rsidRPr="00E73F6F">
              <w:rPr>
                <w:spacing w:val="-5"/>
                <w:lang w:val="de-DE"/>
              </w:rPr>
              <w:t>21</w:t>
            </w:r>
          </w:p>
        </w:tc>
        <w:tc>
          <w:tcPr>
            <w:tcW w:w="466" w:type="pct"/>
          </w:tcPr>
          <w:p w14:paraId="7638BF5C" w14:textId="77777777" w:rsidR="00FF7799" w:rsidRPr="00E73F6F" w:rsidRDefault="00FF7799" w:rsidP="00042200">
            <w:pPr>
              <w:pStyle w:val="StandardText"/>
              <w:widowControl w:val="0"/>
              <w:jc w:val="center"/>
              <w:rPr>
                <w:lang w:val="de-DE"/>
              </w:rPr>
            </w:pPr>
            <w:r w:rsidRPr="00E73F6F">
              <w:rPr>
                <w:spacing w:val="-5"/>
                <w:lang w:val="de-DE"/>
              </w:rPr>
              <w:t>22</w:t>
            </w:r>
          </w:p>
        </w:tc>
      </w:tr>
      <w:tr w:rsidR="00FF7799" w:rsidRPr="00E73F6F" w14:paraId="066F48D1" w14:textId="77777777" w:rsidTr="008F7599">
        <w:trPr>
          <w:trHeight w:val="196"/>
        </w:trPr>
        <w:tc>
          <w:tcPr>
            <w:tcW w:w="1641" w:type="pct"/>
            <w:shd w:val="clear" w:color="auto" w:fill="FFF2CC" w:themeFill="accent4" w:themeFillTint="33"/>
          </w:tcPr>
          <w:p w14:paraId="22C8D005" w14:textId="77777777" w:rsidR="00FF7799" w:rsidRPr="00E73F6F" w:rsidRDefault="00FF7799" w:rsidP="00042200">
            <w:pPr>
              <w:pStyle w:val="StandardText"/>
              <w:widowControl w:val="0"/>
              <w:jc w:val="left"/>
              <w:rPr>
                <w:lang w:val="de-DE"/>
              </w:rPr>
            </w:pPr>
            <w:r w:rsidRPr="00E73F6F">
              <w:rPr>
                <w:spacing w:val="-2"/>
                <w:lang w:val="de-DE"/>
              </w:rPr>
              <w:t>Cassetten-Recorder</w:t>
            </w:r>
          </w:p>
        </w:tc>
        <w:tc>
          <w:tcPr>
            <w:tcW w:w="413" w:type="pct"/>
          </w:tcPr>
          <w:p w14:paraId="0CE11295" w14:textId="77777777" w:rsidR="00FF7799" w:rsidRPr="00E73F6F" w:rsidRDefault="00FF7799" w:rsidP="00042200">
            <w:pPr>
              <w:pStyle w:val="StandardText"/>
              <w:widowControl w:val="0"/>
              <w:jc w:val="center"/>
              <w:rPr>
                <w:lang w:val="de-DE"/>
              </w:rPr>
            </w:pPr>
            <w:r w:rsidRPr="00E73F6F">
              <w:rPr>
                <w:spacing w:val="-5"/>
                <w:lang w:val="de-DE"/>
              </w:rPr>
              <w:t>61</w:t>
            </w:r>
          </w:p>
        </w:tc>
        <w:tc>
          <w:tcPr>
            <w:tcW w:w="413" w:type="pct"/>
          </w:tcPr>
          <w:p w14:paraId="31928B89" w14:textId="77777777" w:rsidR="00FF7799" w:rsidRPr="00E73F6F" w:rsidRDefault="00FF7799" w:rsidP="00042200">
            <w:pPr>
              <w:pStyle w:val="StandardText"/>
              <w:widowControl w:val="0"/>
              <w:jc w:val="center"/>
              <w:rPr>
                <w:lang w:val="de-DE"/>
              </w:rPr>
            </w:pPr>
            <w:r w:rsidRPr="00E73F6F">
              <w:rPr>
                <w:spacing w:val="-5"/>
                <w:lang w:val="de-DE"/>
              </w:rPr>
              <w:t>58</w:t>
            </w:r>
          </w:p>
        </w:tc>
        <w:tc>
          <w:tcPr>
            <w:tcW w:w="413" w:type="pct"/>
          </w:tcPr>
          <w:p w14:paraId="5DFFE374" w14:textId="77777777" w:rsidR="00FF7799" w:rsidRPr="00E73F6F" w:rsidRDefault="00FF7799" w:rsidP="00042200">
            <w:pPr>
              <w:pStyle w:val="StandardText"/>
              <w:widowControl w:val="0"/>
              <w:jc w:val="center"/>
              <w:rPr>
                <w:lang w:val="de-DE"/>
              </w:rPr>
            </w:pPr>
            <w:r w:rsidRPr="00E73F6F">
              <w:rPr>
                <w:spacing w:val="-5"/>
                <w:lang w:val="de-DE"/>
              </w:rPr>
              <w:t>72</w:t>
            </w:r>
          </w:p>
        </w:tc>
        <w:tc>
          <w:tcPr>
            <w:tcW w:w="413" w:type="pct"/>
          </w:tcPr>
          <w:p w14:paraId="3CC5CD6E" w14:textId="77777777" w:rsidR="00FF7799" w:rsidRPr="00E73F6F" w:rsidRDefault="00FF7799" w:rsidP="00042200">
            <w:pPr>
              <w:pStyle w:val="StandardText"/>
              <w:widowControl w:val="0"/>
              <w:jc w:val="center"/>
              <w:rPr>
                <w:lang w:val="de-DE"/>
              </w:rPr>
            </w:pPr>
            <w:r w:rsidRPr="00E73F6F">
              <w:rPr>
                <w:spacing w:val="-5"/>
                <w:lang w:val="de-DE"/>
              </w:rPr>
              <w:t>61</w:t>
            </w:r>
          </w:p>
        </w:tc>
        <w:tc>
          <w:tcPr>
            <w:tcW w:w="413" w:type="pct"/>
          </w:tcPr>
          <w:p w14:paraId="0B66CB35" w14:textId="77777777" w:rsidR="00FF7799" w:rsidRPr="00E73F6F" w:rsidRDefault="00FF7799" w:rsidP="00042200">
            <w:pPr>
              <w:pStyle w:val="StandardText"/>
              <w:widowControl w:val="0"/>
              <w:jc w:val="center"/>
              <w:rPr>
                <w:lang w:val="de-DE"/>
              </w:rPr>
            </w:pPr>
            <w:r w:rsidRPr="00E73F6F">
              <w:rPr>
                <w:spacing w:val="-5"/>
                <w:lang w:val="de-DE"/>
              </w:rPr>
              <w:t>50</w:t>
            </w:r>
          </w:p>
        </w:tc>
        <w:tc>
          <w:tcPr>
            <w:tcW w:w="413" w:type="pct"/>
          </w:tcPr>
          <w:p w14:paraId="018E665B" w14:textId="77777777" w:rsidR="00FF7799" w:rsidRPr="00E73F6F" w:rsidRDefault="00FF7799" w:rsidP="00042200">
            <w:pPr>
              <w:pStyle w:val="StandardText"/>
              <w:widowControl w:val="0"/>
              <w:jc w:val="center"/>
              <w:rPr>
                <w:lang w:val="de-DE"/>
              </w:rPr>
            </w:pPr>
            <w:r w:rsidRPr="00E73F6F">
              <w:rPr>
                <w:spacing w:val="-5"/>
                <w:lang w:val="de-DE"/>
              </w:rPr>
              <w:t>58</w:t>
            </w:r>
          </w:p>
        </w:tc>
        <w:tc>
          <w:tcPr>
            <w:tcW w:w="414" w:type="pct"/>
          </w:tcPr>
          <w:p w14:paraId="4EF96A14" w14:textId="77777777" w:rsidR="00FF7799" w:rsidRPr="00E73F6F" w:rsidRDefault="00FF7799" w:rsidP="00042200">
            <w:pPr>
              <w:pStyle w:val="StandardText"/>
              <w:widowControl w:val="0"/>
              <w:jc w:val="center"/>
              <w:rPr>
                <w:lang w:val="de-DE"/>
              </w:rPr>
            </w:pPr>
            <w:r w:rsidRPr="00E73F6F">
              <w:rPr>
                <w:spacing w:val="-5"/>
                <w:lang w:val="de-DE"/>
              </w:rPr>
              <w:t>33</w:t>
            </w:r>
          </w:p>
        </w:tc>
        <w:tc>
          <w:tcPr>
            <w:tcW w:w="466" w:type="pct"/>
          </w:tcPr>
          <w:p w14:paraId="516763DF" w14:textId="77777777" w:rsidR="00FF7799" w:rsidRPr="00E73F6F" w:rsidRDefault="00FF7799" w:rsidP="00042200">
            <w:pPr>
              <w:pStyle w:val="StandardText"/>
              <w:widowControl w:val="0"/>
              <w:jc w:val="center"/>
              <w:rPr>
                <w:lang w:val="de-DE"/>
              </w:rPr>
            </w:pPr>
            <w:r w:rsidRPr="00E73F6F">
              <w:rPr>
                <w:spacing w:val="-5"/>
                <w:lang w:val="de-DE"/>
              </w:rPr>
              <w:t>56</w:t>
            </w:r>
          </w:p>
        </w:tc>
      </w:tr>
      <w:tr w:rsidR="00FF7799" w:rsidRPr="00E73F6F" w14:paraId="11ABB40E" w14:textId="77777777" w:rsidTr="008F7599">
        <w:trPr>
          <w:trHeight w:val="196"/>
        </w:trPr>
        <w:tc>
          <w:tcPr>
            <w:tcW w:w="1641" w:type="pct"/>
            <w:shd w:val="clear" w:color="auto" w:fill="FFF2CC" w:themeFill="accent4" w:themeFillTint="33"/>
          </w:tcPr>
          <w:p w14:paraId="7649357E" w14:textId="77777777" w:rsidR="00FF7799" w:rsidRPr="00E73F6F" w:rsidRDefault="00FF7799" w:rsidP="00042200">
            <w:pPr>
              <w:pStyle w:val="StandardText"/>
              <w:widowControl w:val="0"/>
              <w:jc w:val="left"/>
              <w:rPr>
                <w:lang w:val="de-DE"/>
              </w:rPr>
            </w:pPr>
            <w:r w:rsidRPr="00E73F6F">
              <w:rPr>
                <w:spacing w:val="-2"/>
                <w:lang w:val="de-DE"/>
              </w:rPr>
              <w:t>CD-Player</w:t>
            </w:r>
          </w:p>
        </w:tc>
        <w:tc>
          <w:tcPr>
            <w:tcW w:w="413" w:type="pct"/>
          </w:tcPr>
          <w:p w14:paraId="71960C1F" w14:textId="77777777" w:rsidR="00FF7799" w:rsidRPr="00E73F6F" w:rsidRDefault="00FF7799" w:rsidP="00042200">
            <w:pPr>
              <w:pStyle w:val="StandardText"/>
              <w:widowControl w:val="0"/>
              <w:jc w:val="center"/>
              <w:rPr>
                <w:lang w:val="de-DE"/>
              </w:rPr>
            </w:pPr>
            <w:r w:rsidRPr="00E73F6F">
              <w:rPr>
                <w:spacing w:val="-5"/>
                <w:lang w:val="de-DE"/>
              </w:rPr>
              <w:t>18</w:t>
            </w:r>
          </w:p>
        </w:tc>
        <w:tc>
          <w:tcPr>
            <w:tcW w:w="413" w:type="pct"/>
          </w:tcPr>
          <w:p w14:paraId="245BEA17" w14:textId="77777777" w:rsidR="00FF7799" w:rsidRPr="00E73F6F" w:rsidRDefault="00FF7799" w:rsidP="00042200">
            <w:pPr>
              <w:pStyle w:val="StandardText"/>
              <w:widowControl w:val="0"/>
              <w:jc w:val="center"/>
              <w:rPr>
                <w:lang w:val="de-DE"/>
              </w:rPr>
            </w:pPr>
            <w:r w:rsidRPr="00E73F6F">
              <w:rPr>
                <w:spacing w:val="-5"/>
                <w:lang w:val="de-DE"/>
              </w:rPr>
              <w:t>27</w:t>
            </w:r>
          </w:p>
        </w:tc>
        <w:tc>
          <w:tcPr>
            <w:tcW w:w="413" w:type="pct"/>
          </w:tcPr>
          <w:p w14:paraId="75302C53" w14:textId="77777777" w:rsidR="00FF7799" w:rsidRPr="00E73F6F" w:rsidRDefault="00FF7799" w:rsidP="00042200">
            <w:pPr>
              <w:pStyle w:val="StandardText"/>
              <w:widowControl w:val="0"/>
              <w:jc w:val="center"/>
              <w:rPr>
                <w:lang w:val="de-DE"/>
              </w:rPr>
            </w:pPr>
            <w:r w:rsidRPr="00E73F6F">
              <w:rPr>
                <w:spacing w:val="-5"/>
                <w:lang w:val="de-DE"/>
              </w:rPr>
              <w:t>24</w:t>
            </w:r>
          </w:p>
        </w:tc>
        <w:tc>
          <w:tcPr>
            <w:tcW w:w="413" w:type="pct"/>
          </w:tcPr>
          <w:p w14:paraId="5421604A" w14:textId="77777777" w:rsidR="00FF7799" w:rsidRPr="00E73F6F" w:rsidRDefault="00FF7799" w:rsidP="00042200">
            <w:pPr>
              <w:pStyle w:val="StandardText"/>
              <w:widowControl w:val="0"/>
              <w:jc w:val="center"/>
              <w:rPr>
                <w:lang w:val="de-DE"/>
              </w:rPr>
            </w:pPr>
            <w:r w:rsidRPr="00E73F6F">
              <w:rPr>
                <w:spacing w:val="-5"/>
                <w:lang w:val="de-DE"/>
              </w:rPr>
              <w:t>25</w:t>
            </w:r>
          </w:p>
        </w:tc>
        <w:tc>
          <w:tcPr>
            <w:tcW w:w="413" w:type="pct"/>
          </w:tcPr>
          <w:p w14:paraId="1F77E5B4" w14:textId="77777777" w:rsidR="00FF7799" w:rsidRPr="00E73F6F" w:rsidRDefault="00FF7799" w:rsidP="00042200">
            <w:pPr>
              <w:pStyle w:val="StandardText"/>
              <w:widowControl w:val="0"/>
              <w:jc w:val="center"/>
              <w:rPr>
                <w:lang w:val="de-DE"/>
              </w:rPr>
            </w:pPr>
            <w:r w:rsidRPr="00E73F6F">
              <w:rPr>
                <w:w w:val="102"/>
                <w:lang w:val="de-DE"/>
              </w:rPr>
              <w:t>8</w:t>
            </w:r>
          </w:p>
        </w:tc>
        <w:tc>
          <w:tcPr>
            <w:tcW w:w="413" w:type="pct"/>
          </w:tcPr>
          <w:p w14:paraId="55B3F6AB" w14:textId="77777777" w:rsidR="00FF7799" w:rsidRPr="00E73F6F" w:rsidRDefault="00FF7799" w:rsidP="00042200">
            <w:pPr>
              <w:pStyle w:val="StandardText"/>
              <w:widowControl w:val="0"/>
              <w:jc w:val="center"/>
              <w:rPr>
                <w:lang w:val="de-DE"/>
              </w:rPr>
            </w:pPr>
            <w:r w:rsidRPr="00E73F6F">
              <w:rPr>
                <w:w w:val="102"/>
                <w:lang w:val="de-DE"/>
              </w:rPr>
              <w:t>8</w:t>
            </w:r>
          </w:p>
        </w:tc>
        <w:tc>
          <w:tcPr>
            <w:tcW w:w="414" w:type="pct"/>
          </w:tcPr>
          <w:p w14:paraId="740AD483" w14:textId="77777777" w:rsidR="00FF7799" w:rsidRPr="00E73F6F" w:rsidRDefault="00FF7799" w:rsidP="00042200">
            <w:pPr>
              <w:pStyle w:val="StandardText"/>
              <w:widowControl w:val="0"/>
              <w:jc w:val="center"/>
              <w:rPr>
                <w:lang w:val="de-DE"/>
              </w:rPr>
            </w:pPr>
            <w:r w:rsidRPr="00E73F6F">
              <w:rPr>
                <w:w w:val="102"/>
                <w:lang w:val="de-DE"/>
              </w:rPr>
              <w:t>3</w:t>
            </w:r>
          </w:p>
        </w:tc>
        <w:tc>
          <w:tcPr>
            <w:tcW w:w="466" w:type="pct"/>
          </w:tcPr>
          <w:p w14:paraId="5E878FFD" w14:textId="77777777" w:rsidR="00FF7799" w:rsidRPr="00E73F6F" w:rsidRDefault="00FF7799" w:rsidP="00042200">
            <w:pPr>
              <w:pStyle w:val="StandardText"/>
              <w:widowControl w:val="0"/>
              <w:jc w:val="center"/>
              <w:rPr>
                <w:lang w:val="de-DE"/>
              </w:rPr>
            </w:pPr>
            <w:r w:rsidRPr="00E73F6F">
              <w:rPr>
                <w:spacing w:val="-5"/>
                <w:lang w:val="de-DE"/>
              </w:rPr>
              <w:t>16</w:t>
            </w:r>
          </w:p>
        </w:tc>
      </w:tr>
      <w:tr w:rsidR="00FF7799" w:rsidRPr="00E73F6F" w14:paraId="0AA0C7F8" w14:textId="77777777" w:rsidTr="008F7599">
        <w:trPr>
          <w:trHeight w:val="195"/>
        </w:trPr>
        <w:tc>
          <w:tcPr>
            <w:tcW w:w="1641" w:type="pct"/>
            <w:shd w:val="clear" w:color="auto" w:fill="FFF2CC" w:themeFill="accent4" w:themeFillTint="33"/>
          </w:tcPr>
          <w:p w14:paraId="03273A15" w14:textId="77777777" w:rsidR="00FF7799" w:rsidRPr="00E73F6F" w:rsidRDefault="00FF7799" w:rsidP="00042200">
            <w:pPr>
              <w:pStyle w:val="StandardText"/>
              <w:widowControl w:val="0"/>
              <w:jc w:val="left"/>
              <w:rPr>
                <w:lang w:val="de-DE"/>
              </w:rPr>
            </w:pPr>
            <w:r w:rsidRPr="00E73F6F">
              <w:rPr>
                <w:spacing w:val="-6"/>
                <w:lang w:val="de-DE"/>
              </w:rPr>
              <w:t>Video-</w:t>
            </w:r>
            <w:r w:rsidRPr="00E73F6F">
              <w:rPr>
                <w:spacing w:val="-2"/>
                <w:lang w:val="de-DE"/>
              </w:rPr>
              <w:t>Recorder</w:t>
            </w:r>
          </w:p>
        </w:tc>
        <w:tc>
          <w:tcPr>
            <w:tcW w:w="413" w:type="pct"/>
          </w:tcPr>
          <w:p w14:paraId="12EBE590" w14:textId="77777777" w:rsidR="00FF7799" w:rsidRPr="00E73F6F" w:rsidRDefault="00FF7799" w:rsidP="00042200">
            <w:pPr>
              <w:pStyle w:val="StandardText"/>
              <w:widowControl w:val="0"/>
              <w:jc w:val="center"/>
              <w:rPr>
                <w:lang w:val="de-DE"/>
              </w:rPr>
            </w:pPr>
            <w:r w:rsidRPr="00E73F6F">
              <w:rPr>
                <w:spacing w:val="-5"/>
                <w:lang w:val="de-DE"/>
              </w:rPr>
              <w:t>46</w:t>
            </w:r>
          </w:p>
        </w:tc>
        <w:tc>
          <w:tcPr>
            <w:tcW w:w="413" w:type="pct"/>
          </w:tcPr>
          <w:p w14:paraId="7ED2860D" w14:textId="77777777" w:rsidR="00FF7799" w:rsidRPr="00E73F6F" w:rsidRDefault="00FF7799" w:rsidP="00042200">
            <w:pPr>
              <w:pStyle w:val="StandardText"/>
              <w:widowControl w:val="0"/>
              <w:jc w:val="center"/>
              <w:rPr>
                <w:lang w:val="de-DE"/>
              </w:rPr>
            </w:pPr>
            <w:r w:rsidRPr="00E73F6F">
              <w:rPr>
                <w:spacing w:val="-5"/>
                <w:lang w:val="de-DE"/>
              </w:rPr>
              <w:t>40</w:t>
            </w:r>
          </w:p>
        </w:tc>
        <w:tc>
          <w:tcPr>
            <w:tcW w:w="413" w:type="pct"/>
          </w:tcPr>
          <w:p w14:paraId="6D6D8F2A" w14:textId="77777777" w:rsidR="00FF7799" w:rsidRPr="00E73F6F" w:rsidRDefault="00FF7799" w:rsidP="00042200">
            <w:pPr>
              <w:pStyle w:val="StandardText"/>
              <w:widowControl w:val="0"/>
              <w:jc w:val="center"/>
              <w:rPr>
                <w:lang w:val="de-DE"/>
              </w:rPr>
            </w:pPr>
            <w:r w:rsidRPr="00E73F6F">
              <w:rPr>
                <w:spacing w:val="-5"/>
                <w:lang w:val="de-DE"/>
              </w:rPr>
              <w:t>39</w:t>
            </w:r>
          </w:p>
        </w:tc>
        <w:tc>
          <w:tcPr>
            <w:tcW w:w="413" w:type="pct"/>
          </w:tcPr>
          <w:p w14:paraId="1F1A3492" w14:textId="77777777" w:rsidR="00FF7799" w:rsidRPr="00E73F6F" w:rsidRDefault="00FF7799" w:rsidP="00042200">
            <w:pPr>
              <w:pStyle w:val="StandardText"/>
              <w:widowControl w:val="0"/>
              <w:jc w:val="center"/>
              <w:rPr>
                <w:lang w:val="de-DE"/>
              </w:rPr>
            </w:pPr>
            <w:r w:rsidRPr="00E73F6F">
              <w:rPr>
                <w:spacing w:val="-5"/>
                <w:lang w:val="de-DE"/>
              </w:rPr>
              <w:t>57</w:t>
            </w:r>
          </w:p>
        </w:tc>
        <w:tc>
          <w:tcPr>
            <w:tcW w:w="413" w:type="pct"/>
          </w:tcPr>
          <w:p w14:paraId="4B5F97AF" w14:textId="77777777" w:rsidR="00FF7799" w:rsidRPr="00E73F6F" w:rsidRDefault="00FF7799" w:rsidP="00042200">
            <w:pPr>
              <w:pStyle w:val="StandardText"/>
              <w:widowControl w:val="0"/>
              <w:jc w:val="center"/>
              <w:rPr>
                <w:lang w:val="de-DE"/>
              </w:rPr>
            </w:pPr>
            <w:r w:rsidRPr="00E73F6F">
              <w:rPr>
                <w:spacing w:val="-5"/>
                <w:lang w:val="de-DE"/>
              </w:rPr>
              <w:t>30</w:t>
            </w:r>
          </w:p>
        </w:tc>
        <w:tc>
          <w:tcPr>
            <w:tcW w:w="413" w:type="pct"/>
          </w:tcPr>
          <w:p w14:paraId="2D4AFBD4" w14:textId="77777777" w:rsidR="00FF7799" w:rsidRPr="00E73F6F" w:rsidRDefault="00FF7799" w:rsidP="00042200">
            <w:pPr>
              <w:pStyle w:val="StandardText"/>
              <w:widowControl w:val="0"/>
              <w:jc w:val="center"/>
              <w:rPr>
                <w:lang w:val="de-DE"/>
              </w:rPr>
            </w:pPr>
            <w:r w:rsidRPr="00E73F6F">
              <w:rPr>
                <w:spacing w:val="-5"/>
                <w:lang w:val="de-DE"/>
              </w:rPr>
              <w:t>15</w:t>
            </w:r>
          </w:p>
        </w:tc>
        <w:tc>
          <w:tcPr>
            <w:tcW w:w="414" w:type="pct"/>
          </w:tcPr>
          <w:p w14:paraId="30ABB308" w14:textId="77777777" w:rsidR="00FF7799" w:rsidRPr="00E73F6F" w:rsidRDefault="00FF7799" w:rsidP="00042200">
            <w:pPr>
              <w:pStyle w:val="StandardText"/>
              <w:widowControl w:val="0"/>
              <w:jc w:val="center"/>
              <w:rPr>
                <w:lang w:val="de-DE"/>
              </w:rPr>
            </w:pPr>
            <w:r w:rsidRPr="00E73F6F">
              <w:rPr>
                <w:spacing w:val="-5"/>
                <w:lang w:val="de-DE"/>
              </w:rPr>
              <w:t>16</w:t>
            </w:r>
          </w:p>
        </w:tc>
        <w:tc>
          <w:tcPr>
            <w:tcW w:w="466" w:type="pct"/>
          </w:tcPr>
          <w:p w14:paraId="46000A87" w14:textId="77777777" w:rsidR="00FF7799" w:rsidRPr="00E73F6F" w:rsidRDefault="00FF7799" w:rsidP="00042200">
            <w:pPr>
              <w:pStyle w:val="StandardText"/>
              <w:widowControl w:val="0"/>
              <w:jc w:val="center"/>
              <w:rPr>
                <w:lang w:val="de-DE"/>
              </w:rPr>
            </w:pPr>
            <w:r w:rsidRPr="00E73F6F">
              <w:rPr>
                <w:spacing w:val="-5"/>
                <w:lang w:val="de-DE"/>
              </w:rPr>
              <w:t>35</w:t>
            </w:r>
          </w:p>
        </w:tc>
      </w:tr>
      <w:tr w:rsidR="00FF7799" w:rsidRPr="00E73F6F" w14:paraId="541218EE" w14:textId="77777777" w:rsidTr="008F7599">
        <w:trPr>
          <w:trHeight w:val="198"/>
        </w:trPr>
        <w:tc>
          <w:tcPr>
            <w:tcW w:w="1641" w:type="pct"/>
            <w:shd w:val="clear" w:color="auto" w:fill="FFF2CC" w:themeFill="accent4" w:themeFillTint="33"/>
          </w:tcPr>
          <w:p w14:paraId="55243049" w14:textId="77777777" w:rsidR="00FF7799" w:rsidRPr="00E73F6F" w:rsidRDefault="00FF7799" w:rsidP="00042200">
            <w:pPr>
              <w:pStyle w:val="StandardText"/>
              <w:widowControl w:val="0"/>
              <w:jc w:val="left"/>
              <w:rPr>
                <w:lang w:val="de-DE"/>
              </w:rPr>
            </w:pPr>
            <w:r w:rsidRPr="00E73F6F">
              <w:rPr>
                <w:spacing w:val="-2"/>
                <w:lang w:val="de-DE"/>
              </w:rPr>
              <w:t>Videokamera</w:t>
            </w:r>
            <w:r w:rsidRPr="00E73F6F">
              <w:rPr>
                <w:spacing w:val="-4"/>
                <w:lang w:val="de-DE"/>
              </w:rPr>
              <w:t xml:space="preserve"> </w:t>
            </w:r>
            <w:r w:rsidRPr="00E73F6F">
              <w:rPr>
                <w:spacing w:val="-2"/>
                <w:lang w:val="de-DE"/>
              </w:rPr>
              <w:t>/</w:t>
            </w:r>
            <w:r w:rsidRPr="00E73F6F">
              <w:rPr>
                <w:spacing w:val="-4"/>
                <w:lang w:val="de-DE"/>
              </w:rPr>
              <w:t xml:space="preserve"> </w:t>
            </w:r>
            <w:r w:rsidRPr="00E73F6F">
              <w:rPr>
                <w:spacing w:val="-2"/>
                <w:lang w:val="de-DE"/>
              </w:rPr>
              <w:t>Camcorder</w:t>
            </w:r>
          </w:p>
        </w:tc>
        <w:tc>
          <w:tcPr>
            <w:tcW w:w="413" w:type="pct"/>
          </w:tcPr>
          <w:p w14:paraId="685D4D63" w14:textId="77777777" w:rsidR="00FF7799" w:rsidRPr="00E73F6F" w:rsidRDefault="00FF7799" w:rsidP="00042200">
            <w:pPr>
              <w:pStyle w:val="StandardText"/>
              <w:widowControl w:val="0"/>
              <w:jc w:val="center"/>
              <w:rPr>
                <w:lang w:val="de-DE"/>
              </w:rPr>
            </w:pPr>
            <w:r w:rsidRPr="00E73F6F">
              <w:rPr>
                <w:w w:val="102"/>
                <w:lang w:val="de-DE"/>
              </w:rPr>
              <w:t>4</w:t>
            </w:r>
          </w:p>
        </w:tc>
        <w:tc>
          <w:tcPr>
            <w:tcW w:w="413" w:type="pct"/>
          </w:tcPr>
          <w:p w14:paraId="5E6ECC3E" w14:textId="77777777" w:rsidR="00FF7799" w:rsidRPr="00E73F6F" w:rsidRDefault="00FF7799" w:rsidP="00042200">
            <w:pPr>
              <w:pStyle w:val="StandardText"/>
              <w:widowControl w:val="0"/>
              <w:jc w:val="center"/>
              <w:rPr>
                <w:lang w:val="de-DE"/>
              </w:rPr>
            </w:pPr>
            <w:r w:rsidRPr="00E73F6F">
              <w:rPr>
                <w:w w:val="102"/>
                <w:lang w:val="de-DE"/>
              </w:rPr>
              <w:t>8</w:t>
            </w:r>
          </w:p>
        </w:tc>
        <w:tc>
          <w:tcPr>
            <w:tcW w:w="413" w:type="pct"/>
          </w:tcPr>
          <w:p w14:paraId="5B9E5B56" w14:textId="77777777" w:rsidR="00FF7799" w:rsidRPr="00E73F6F" w:rsidRDefault="00FF7799" w:rsidP="00042200">
            <w:pPr>
              <w:pStyle w:val="StandardText"/>
              <w:widowControl w:val="0"/>
              <w:jc w:val="center"/>
              <w:rPr>
                <w:lang w:val="de-DE"/>
              </w:rPr>
            </w:pPr>
            <w:r w:rsidRPr="00E73F6F">
              <w:rPr>
                <w:w w:val="102"/>
                <w:lang w:val="de-DE"/>
              </w:rPr>
              <w:t>4</w:t>
            </w:r>
          </w:p>
        </w:tc>
        <w:tc>
          <w:tcPr>
            <w:tcW w:w="413" w:type="pct"/>
          </w:tcPr>
          <w:p w14:paraId="6522D2E6" w14:textId="77777777" w:rsidR="00FF7799" w:rsidRPr="00E73F6F" w:rsidRDefault="00FF7799" w:rsidP="00042200">
            <w:pPr>
              <w:pStyle w:val="StandardText"/>
              <w:widowControl w:val="0"/>
              <w:jc w:val="center"/>
              <w:rPr>
                <w:lang w:val="de-DE"/>
              </w:rPr>
            </w:pPr>
            <w:r w:rsidRPr="00E73F6F">
              <w:rPr>
                <w:w w:val="102"/>
                <w:lang w:val="de-DE"/>
              </w:rPr>
              <w:t>4</w:t>
            </w:r>
          </w:p>
        </w:tc>
        <w:tc>
          <w:tcPr>
            <w:tcW w:w="413" w:type="pct"/>
          </w:tcPr>
          <w:p w14:paraId="0401A789" w14:textId="77777777" w:rsidR="00FF7799" w:rsidRPr="00E73F6F" w:rsidRDefault="00FF7799" w:rsidP="00042200">
            <w:pPr>
              <w:pStyle w:val="StandardText"/>
              <w:widowControl w:val="0"/>
              <w:jc w:val="center"/>
              <w:rPr>
                <w:lang w:val="de-DE"/>
              </w:rPr>
            </w:pPr>
            <w:r w:rsidRPr="00E73F6F">
              <w:rPr>
                <w:w w:val="102"/>
                <w:lang w:val="de-DE"/>
              </w:rPr>
              <w:t>1</w:t>
            </w:r>
          </w:p>
        </w:tc>
        <w:tc>
          <w:tcPr>
            <w:tcW w:w="413" w:type="pct"/>
          </w:tcPr>
          <w:p w14:paraId="4E84EE69" w14:textId="77777777" w:rsidR="00FF7799" w:rsidRPr="00E73F6F" w:rsidRDefault="00FF7799" w:rsidP="00042200">
            <w:pPr>
              <w:pStyle w:val="StandardText"/>
              <w:widowControl w:val="0"/>
              <w:jc w:val="center"/>
              <w:rPr>
                <w:lang w:val="de-DE"/>
              </w:rPr>
            </w:pPr>
            <w:r w:rsidRPr="00E73F6F">
              <w:rPr>
                <w:w w:val="102"/>
                <w:lang w:val="de-DE"/>
              </w:rPr>
              <w:t>2</w:t>
            </w:r>
          </w:p>
        </w:tc>
        <w:tc>
          <w:tcPr>
            <w:tcW w:w="414" w:type="pct"/>
          </w:tcPr>
          <w:p w14:paraId="5CBB2276" w14:textId="77777777" w:rsidR="00FF7799" w:rsidRPr="00E73F6F" w:rsidRDefault="00FF7799" w:rsidP="00042200">
            <w:pPr>
              <w:pStyle w:val="StandardText"/>
              <w:widowControl w:val="0"/>
              <w:jc w:val="center"/>
              <w:rPr>
                <w:lang w:val="de-DE"/>
              </w:rPr>
            </w:pPr>
            <w:r w:rsidRPr="00E73F6F">
              <w:rPr>
                <w:w w:val="102"/>
                <w:lang w:val="de-DE"/>
              </w:rPr>
              <w:t>2</w:t>
            </w:r>
          </w:p>
        </w:tc>
        <w:tc>
          <w:tcPr>
            <w:tcW w:w="466" w:type="pct"/>
          </w:tcPr>
          <w:p w14:paraId="1225ED6D" w14:textId="77777777" w:rsidR="00FF7799" w:rsidRPr="00E73F6F" w:rsidRDefault="00FF7799" w:rsidP="00042200">
            <w:pPr>
              <w:pStyle w:val="StandardText"/>
              <w:widowControl w:val="0"/>
              <w:jc w:val="center"/>
              <w:rPr>
                <w:lang w:val="de-DE"/>
              </w:rPr>
            </w:pPr>
            <w:r w:rsidRPr="00E73F6F">
              <w:rPr>
                <w:w w:val="102"/>
                <w:lang w:val="de-DE"/>
              </w:rPr>
              <w:t>4</w:t>
            </w:r>
          </w:p>
        </w:tc>
      </w:tr>
      <w:tr w:rsidR="00FF7799" w:rsidRPr="00E73F6F" w14:paraId="36F26221" w14:textId="77777777" w:rsidTr="008F7599">
        <w:trPr>
          <w:trHeight w:val="302"/>
        </w:trPr>
        <w:tc>
          <w:tcPr>
            <w:tcW w:w="1641" w:type="pct"/>
            <w:shd w:val="clear" w:color="auto" w:fill="FFF2CC" w:themeFill="accent4" w:themeFillTint="33"/>
          </w:tcPr>
          <w:p w14:paraId="5553545A" w14:textId="77777777" w:rsidR="00FF7799" w:rsidRPr="00E73F6F" w:rsidRDefault="00FF7799" w:rsidP="00042200">
            <w:pPr>
              <w:pStyle w:val="StandardText"/>
              <w:widowControl w:val="0"/>
              <w:jc w:val="left"/>
              <w:rPr>
                <w:lang w:val="de-DE"/>
              </w:rPr>
            </w:pPr>
            <w:r w:rsidRPr="00E73F6F">
              <w:rPr>
                <w:spacing w:val="-5"/>
                <w:lang w:val="de-DE"/>
              </w:rPr>
              <w:t>PC</w:t>
            </w:r>
          </w:p>
        </w:tc>
        <w:tc>
          <w:tcPr>
            <w:tcW w:w="413" w:type="pct"/>
          </w:tcPr>
          <w:p w14:paraId="78D7DE21" w14:textId="77777777" w:rsidR="00FF7799" w:rsidRPr="00E73F6F" w:rsidRDefault="00FF7799" w:rsidP="00042200">
            <w:pPr>
              <w:pStyle w:val="StandardText"/>
              <w:widowControl w:val="0"/>
              <w:jc w:val="center"/>
              <w:rPr>
                <w:lang w:val="de-DE"/>
              </w:rPr>
            </w:pPr>
            <w:r w:rsidRPr="00E73F6F">
              <w:rPr>
                <w:spacing w:val="-5"/>
                <w:lang w:val="de-DE"/>
              </w:rPr>
              <w:t>16</w:t>
            </w:r>
          </w:p>
        </w:tc>
        <w:tc>
          <w:tcPr>
            <w:tcW w:w="413" w:type="pct"/>
          </w:tcPr>
          <w:p w14:paraId="0C71853D" w14:textId="77777777" w:rsidR="00FF7799" w:rsidRPr="00E73F6F" w:rsidRDefault="00FF7799" w:rsidP="00042200">
            <w:pPr>
              <w:pStyle w:val="StandardText"/>
              <w:widowControl w:val="0"/>
              <w:jc w:val="center"/>
              <w:rPr>
                <w:lang w:val="de-DE"/>
              </w:rPr>
            </w:pPr>
            <w:r w:rsidRPr="00E73F6F">
              <w:rPr>
                <w:spacing w:val="-5"/>
                <w:lang w:val="de-DE"/>
              </w:rPr>
              <w:t>15</w:t>
            </w:r>
          </w:p>
        </w:tc>
        <w:tc>
          <w:tcPr>
            <w:tcW w:w="413" w:type="pct"/>
          </w:tcPr>
          <w:p w14:paraId="7A112257" w14:textId="77777777" w:rsidR="00FF7799" w:rsidRPr="00E73F6F" w:rsidRDefault="00FF7799" w:rsidP="00042200">
            <w:pPr>
              <w:pStyle w:val="StandardText"/>
              <w:widowControl w:val="0"/>
              <w:jc w:val="center"/>
              <w:rPr>
                <w:lang w:val="de-DE"/>
              </w:rPr>
            </w:pPr>
            <w:r w:rsidRPr="00E73F6F">
              <w:rPr>
                <w:spacing w:val="-5"/>
                <w:lang w:val="de-DE"/>
              </w:rPr>
              <w:t>16</w:t>
            </w:r>
          </w:p>
        </w:tc>
        <w:tc>
          <w:tcPr>
            <w:tcW w:w="413" w:type="pct"/>
          </w:tcPr>
          <w:p w14:paraId="7E5F51BF" w14:textId="77777777" w:rsidR="00FF7799" w:rsidRPr="00E73F6F" w:rsidRDefault="00FF7799" w:rsidP="00042200">
            <w:pPr>
              <w:pStyle w:val="StandardText"/>
              <w:widowControl w:val="0"/>
              <w:jc w:val="center"/>
              <w:rPr>
                <w:lang w:val="de-DE"/>
              </w:rPr>
            </w:pPr>
            <w:r w:rsidRPr="00E73F6F">
              <w:rPr>
                <w:spacing w:val="-5"/>
                <w:lang w:val="de-DE"/>
              </w:rPr>
              <w:t>11</w:t>
            </w:r>
          </w:p>
        </w:tc>
        <w:tc>
          <w:tcPr>
            <w:tcW w:w="413" w:type="pct"/>
          </w:tcPr>
          <w:p w14:paraId="29D00D31" w14:textId="77777777" w:rsidR="00FF7799" w:rsidRPr="00E73F6F" w:rsidRDefault="00FF7799" w:rsidP="00042200">
            <w:pPr>
              <w:pStyle w:val="StandardText"/>
              <w:widowControl w:val="0"/>
              <w:jc w:val="center"/>
              <w:rPr>
                <w:lang w:val="de-DE"/>
              </w:rPr>
            </w:pPr>
            <w:r w:rsidRPr="00E73F6F">
              <w:rPr>
                <w:w w:val="102"/>
                <w:lang w:val="de-DE"/>
              </w:rPr>
              <w:t>4</w:t>
            </w:r>
          </w:p>
        </w:tc>
        <w:tc>
          <w:tcPr>
            <w:tcW w:w="413" w:type="pct"/>
          </w:tcPr>
          <w:p w14:paraId="2D96CD92" w14:textId="77777777" w:rsidR="00FF7799" w:rsidRPr="00E73F6F" w:rsidRDefault="00FF7799" w:rsidP="00042200">
            <w:pPr>
              <w:pStyle w:val="StandardText"/>
              <w:widowControl w:val="0"/>
              <w:jc w:val="center"/>
              <w:rPr>
                <w:lang w:val="de-DE"/>
              </w:rPr>
            </w:pPr>
            <w:r w:rsidRPr="00E73F6F">
              <w:rPr>
                <w:w w:val="102"/>
                <w:lang w:val="de-DE"/>
              </w:rPr>
              <w:t>6</w:t>
            </w:r>
          </w:p>
        </w:tc>
        <w:tc>
          <w:tcPr>
            <w:tcW w:w="414" w:type="pct"/>
          </w:tcPr>
          <w:p w14:paraId="0D59196F" w14:textId="77777777" w:rsidR="00FF7799" w:rsidRPr="00E73F6F" w:rsidRDefault="00FF7799" w:rsidP="00042200">
            <w:pPr>
              <w:pStyle w:val="StandardText"/>
              <w:widowControl w:val="0"/>
              <w:jc w:val="center"/>
              <w:rPr>
                <w:lang w:val="de-DE"/>
              </w:rPr>
            </w:pPr>
            <w:r w:rsidRPr="00E73F6F">
              <w:rPr>
                <w:w w:val="102"/>
                <w:lang w:val="de-DE"/>
              </w:rPr>
              <w:t>1</w:t>
            </w:r>
          </w:p>
        </w:tc>
        <w:tc>
          <w:tcPr>
            <w:tcW w:w="466" w:type="pct"/>
          </w:tcPr>
          <w:p w14:paraId="2E315E10" w14:textId="77777777" w:rsidR="00FF7799" w:rsidRPr="00E73F6F" w:rsidRDefault="00FF7799" w:rsidP="00042200">
            <w:pPr>
              <w:pStyle w:val="StandardText"/>
              <w:widowControl w:val="0"/>
              <w:jc w:val="center"/>
              <w:rPr>
                <w:lang w:val="de-DE"/>
              </w:rPr>
            </w:pPr>
            <w:r w:rsidRPr="00E73F6F">
              <w:rPr>
                <w:spacing w:val="-5"/>
                <w:lang w:val="de-DE"/>
              </w:rPr>
              <w:t>10</w:t>
            </w:r>
          </w:p>
        </w:tc>
      </w:tr>
    </w:tbl>
    <w:p w14:paraId="0BAB6F6C" w14:textId="77777777" w:rsidR="00FF7799" w:rsidRPr="00E35FFF" w:rsidRDefault="00FF7799" w:rsidP="006B7117">
      <w:pPr>
        <w:pStyle w:val="Quellen"/>
        <w:rPr>
          <w:lang w:val="en-US"/>
        </w:rPr>
      </w:pPr>
      <w:r w:rsidRPr="00E35FFF">
        <w:rPr>
          <w:spacing w:val="-2"/>
          <w:lang w:val="en-US"/>
        </w:rPr>
        <w:t>Quelle:</w:t>
      </w:r>
      <w:r w:rsidRPr="00E35FFF">
        <w:rPr>
          <w:lang w:val="en-US"/>
        </w:rPr>
        <w:tab/>
      </w:r>
      <w:r w:rsidRPr="00E35FFF">
        <w:rPr>
          <w:i/>
          <w:lang w:val="en-US"/>
        </w:rPr>
        <w:t>GfK</w:t>
      </w:r>
      <w:r w:rsidRPr="00E35FFF">
        <w:rPr>
          <w:i/>
          <w:spacing w:val="-2"/>
          <w:lang w:val="en-US"/>
        </w:rPr>
        <w:t xml:space="preserve"> </w:t>
      </w:r>
      <w:r w:rsidRPr="00E35FFF">
        <w:rPr>
          <w:lang w:val="en-US"/>
        </w:rPr>
        <w:t>(The</w:t>
      </w:r>
      <w:r w:rsidRPr="00E35FFF">
        <w:rPr>
          <w:spacing w:val="-2"/>
          <w:lang w:val="en-US"/>
        </w:rPr>
        <w:t xml:space="preserve"> </w:t>
      </w:r>
      <w:r w:rsidRPr="00E35FFF">
        <w:rPr>
          <w:lang w:val="en-US"/>
        </w:rPr>
        <w:t>Central</w:t>
      </w:r>
      <w:r w:rsidRPr="00E35FFF">
        <w:rPr>
          <w:spacing w:val="-4"/>
          <w:lang w:val="en-US"/>
        </w:rPr>
        <w:t xml:space="preserve"> </w:t>
      </w:r>
      <w:r w:rsidRPr="00E35FFF">
        <w:rPr>
          <w:lang w:val="en-US"/>
        </w:rPr>
        <w:t>and Eastern</w:t>
      </w:r>
      <w:r w:rsidRPr="00E35FFF">
        <w:rPr>
          <w:spacing w:val="-4"/>
          <w:lang w:val="en-US"/>
        </w:rPr>
        <w:t xml:space="preserve"> </w:t>
      </w:r>
      <w:r w:rsidRPr="00E35FFF">
        <w:rPr>
          <w:lang w:val="en-US"/>
        </w:rPr>
        <w:t>European</w:t>
      </w:r>
      <w:r w:rsidRPr="00E35FFF">
        <w:rPr>
          <w:spacing w:val="-1"/>
          <w:lang w:val="en-US"/>
        </w:rPr>
        <w:t xml:space="preserve"> </w:t>
      </w:r>
      <w:r w:rsidRPr="00E35FFF">
        <w:rPr>
          <w:lang w:val="en-US"/>
        </w:rPr>
        <w:t>Consumer</w:t>
      </w:r>
      <w:r w:rsidRPr="00E35FFF">
        <w:rPr>
          <w:spacing w:val="-2"/>
          <w:lang w:val="en-US"/>
        </w:rPr>
        <w:t xml:space="preserve"> 1999).</w:t>
      </w:r>
    </w:p>
    <w:p w14:paraId="4ADE3722" w14:textId="77777777" w:rsidR="00FF7799" w:rsidRPr="00E35FFF" w:rsidRDefault="00FF7799" w:rsidP="00862DBA">
      <w:pPr>
        <w:rPr>
          <w:sz w:val="24"/>
          <w:szCs w:val="24"/>
          <w:lang w:val="en-US"/>
        </w:rPr>
      </w:pPr>
    </w:p>
    <w:p w14:paraId="49F5F655" w14:textId="77777777" w:rsidR="00FF7799" w:rsidRPr="00E73F6F" w:rsidRDefault="00FF7799" w:rsidP="00862DBA">
      <w:pPr>
        <w:spacing w:before="69"/>
        <w:jc w:val="both"/>
        <w:rPr>
          <w:sz w:val="24"/>
          <w:szCs w:val="24"/>
        </w:rPr>
      </w:pPr>
      <w:r w:rsidRPr="00E73F6F">
        <w:rPr>
          <w:rStyle w:val="StandardTextZchn1"/>
        </w:rPr>
        <w:t>Das wachsende Auslandsengagement zahlreicher Wirtschaftszweige sowie die zunehmende Verflechtung der Weltwirtschaft begünstigten schließlich die Institutionalisierung des Fachs, wobei</w:t>
      </w:r>
      <w:r w:rsidRPr="00E73F6F">
        <w:rPr>
          <w:sz w:val="24"/>
          <w:szCs w:val="24"/>
        </w:rPr>
        <w:t xml:space="preserve"> die amerikanischen Hochschulen die Vorreiterrolle übernahmen. In …</w:t>
      </w:r>
    </w:p>
    <w:p w14:paraId="7BF7F2B1" w14:textId="77777777" w:rsidR="00FF7799" w:rsidRPr="00E73F6F" w:rsidRDefault="00FF7799" w:rsidP="006B7117">
      <w:pPr>
        <w:pStyle w:val="StandardTextAufzhlung"/>
      </w:pPr>
      <w:r w:rsidRPr="00E73F6F">
        <w:t>Deutschland</w:t>
      </w:r>
      <w:r w:rsidRPr="00E73F6F">
        <w:rPr>
          <w:spacing w:val="-1"/>
        </w:rPr>
        <w:t xml:space="preserve"> </w:t>
      </w:r>
      <w:r w:rsidRPr="00E73F6F">
        <w:t>(vgl. Macharzina</w:t>
      </w:r>
      <w:r w:rsidRPr="00E73F6F">
        <w:rPr>
          <w:spacing w:val="-4"/>
        </w:rPr>
        <w:t xml:space="preserve"> </w:t>
      </w:r>
      <w:r w:rsidRPr="00E73F6F">
        <w:t>1989,</w:t>
      </w:r>
      <w:r w:rsidRPr="00E73F6F">
        <w:rPr>
          <w:spacing w:val="-2"/>
        </w:rPr>
        <w:t xml:space="preserve"> Sp.906),</w:t>
      </w:r>
    </w:p>
    <w:p w14:paraId="72266C01" w14:textId="77777777" w:rsidR="00FF7799" w:rsidRPr="00E73F6F" w:rsidRDefault="00FF7799" w:rsidP="006B7117">
      <w:pPr>
        <w:pStyle w:val="StandardTextAufzhlung"/>
      </w:pPr>
      <w:r w:rsidRPr="00E73F6F">
        <w:t>Frankreich</w:t>
      </w:r>
      <w:r w:rsidRPr="00E73F6F">
        <w:rPr>
          <w:spacing w:val="-1"/>
        </w:rPr>
        <w:t xml:space="preserve"> </w:t>
      </w:r>
      <w:r w:rsidRPr="00E73F6F">
        <w:t>(vgl.</w:t>
      </w:r>
      <w:r w:rsidRPr="00E73F6F">
        <w:rPr>
          <w:spacing w:val="-1"/>
        </w:rPr>
        <w:t xml:space="preserve"> </w:t>
      </w:r>
      <w:r w:rsidRPr="00E73F6F">
        <w:t>Usunier</w:t>
      </w:r>
      <w:r w:rsidRPr="00E73F6F">
        <w:rPr>
          <w:spacing w:val="-2"/>
        </w:rPr>
        <w:t xml:space="preserve"> </w:t>
      </w:r>
      <w:r w:rsidRPr="00E73F6F">
        <w:t>1990)</w:t>
      </w:r>
      <w:r w:rsidRPr="00E73F6F">
        <w:rPr>
          <w:spacing w:val="-3"/>
        </w:rPr>
        <w:t xml:space="preserve"> </w:t>
      </w:r>
      <w:r w:rsidRPr="00E73F6F">
        <w:rPr>
          <w:spacing w:val="-5"/>
        </w:rPr>
        <w:t>und</w:t>
      </w:r>
    </w:p>
    <w:p w14:paraId="470A5E5F" w14:textId="77777777" w:rsidR="00FF7799" w:rsidRPr="00E73F6F" w:rsidRDefault="00FF7799" w:rsidP="006B7117">
      <w:pPr>
        <w:pStyle w:val="StandardTextAufzhlung"/>
      </w:pPr>
      <w:r w:rsidRPr="00E73F6F">
        <w:t>Großbritannien</w:t>
      </w:r>
      <w:r w:rsidRPr="00E73F6F">
        <w:rPr>
          <w:spacing w:val="-3"/>
        </w:rPr>
        <w:t xml:space="preserve"> </w:t>
      </w:r>
      <w:r w:rsidRPr="00E73F6F">
        <w:t>(vgl.</w:t>
      </w:r>
      <w:r w:rsidRPr="00E73F6F">
        <w:rPr>
          <w:spacing w:val="-3"/>
        </w:rPr>
        <w:t xml:space="preserve"> </w:t>
      </w:r>
      <w:r w:rsidRPr="00E73F6F">
        <w:t>Monye</w:t>
      </w:r>
      <w:r w:rsidRPr="00E73F6F">
        <w:rPr>
          <w:spacing w:val="-3"/>
        </w:rPr>
        <w:t xml:space="preserve"> </w:t>
      </w:r>
      <w:r w:rsidRPr="00E73F6F">
        <w:rPr>
          <w:spacing w:val="-4"/>
        </w:rPr>
        <w:t>1995)</w:t>
      </w:r>
    </w:p>
    <w:p w14:paraId="73D32DA9" w14:textId="77777777" w:rsidR="00FF7799" w:rsidRPr="00E73F6F" w:rsidRDefault="00FF7799" w:rsidP="006B7117">
      <w:pPr>
        <w:pStyle w:val="StandardText"/>
      </w:pPr>
      <w:r w:rsidRPr="00E73F6F">
        <w:t>verlief die Entwicklung hingegen vergleichsweise zögerlich. Als die amerikanischen Business Schools lange schon und ganz selbstverständlich mit großem Nachdruck dieses Fach lehrten, führten deutsche Hochschullehrer noch eine Grundsatzdiskussion, die nachträglich kaum nachvollziehbar erscheint. In deren Mittelpunkt stand die Frage: Besitzen Internationales Marketing bzw. Internationales Management überhaupt so viel Eigenständigkeit, dass man ihnen eine Spezielle Betriebswirtschaftslehre widmen sollte? Entsprechend spät setzten sich hierzulande auch Interkulturelles Marketing bzw. Interkulturelles Management durch (vgl. Abb. 1).</w:t>
      </w:r>
    </w:p>
    <w:p w14:paraId="078BB3B8" w14:textId="77777777" w:rsidR="00FF7799" w:rsidRPr="00E73F6F" w:rsidRDefault="00FF7799" w:rsidP="006B7117">
      <w:pPr>
        <w:pStyle w:val="StandardText"/>
      </w:pPr>
    </w:p>
    <w:p w14:paraId="157A4F1F" w14:textId="77777777" w:rsidR="00FF7799" w:rsidRPr="00C76DC3" w:rsidRDefault="00FF7799" w:rsidP="006B7117">
      <w:pPr>
        <w:pStyle w:val="BeschriftungTab"/>
        <w:rPr>
          <w:i/>
          <w:iCs/>
        </w:rPr>
      </w:pPr>
      <w:r w:rsidRPr="00C76DC3">
        <w:rPr>
          <w:i/>
          <w:iCs/>
        </w:rPr>
        <w:t>Abb.</w:t>
      </w:r>
      <w:r w:rsidRPr="00C76DC3">
        <w:rPr>
          <w:i/>
          <w:iCs/>
          <w:spacing w:val="-6"/>
        </w:rPr>
        <w:t xml:space="preserve"> </w:t>
      </w:r>
      <w:r w:rsidRPr="00C76DC3">
        <w:rPr>
          <w:i/>
          <w:iCs/>
        </w:rPr>
        <w:t>1:</w:t>
      </w:r>
      <w:r w:rsidRPr="00C76DC3">
        <w:rPr>
          <w:i/>
          <w:iCs/>
          <w:spacing w:val="-6"/>
        </w:rPr>
        <w:t xml:space="preserve"> </w:t>
      </w:r>
      <w:r w:rsidRPr="00C76DC3">
        <w:rPr>
          <w:i/>
          <w:iCs/>
        </w:rPr>
        <w:t>Verzögerte</w:t>
      </w:r>
      <w:r w:rsidRPr="00C76DC3">
        <w:rPr>
          <w:i/>
          <w:iCs/>
          <w:spacing w:val="-4"/>
        </w:rPr>
        <w:t xml:space="preserve"> </w:t>
      </w:r>
      <w:r w:rsidRPr="00C76DC3">
        <w:rPr>
          <w:i/>
          <w:iCs/>
        </w:rPr>
        <w:t>Akzeptanz</w:t>
      </w:r>
      <w:r w:rsidRPr="00C76DC3">
        <w:rPr>
          <w:i/>
          <w:iCs/>
          <w:spacing w:val="-4"/>
        </w:rPr>
        <w:t xml:space="preserve"> </w:t>
      </w:r>
      <w:r w:rsidRPr="00C76DC3">
        <w:rPr>
          <w:i/>
          <w:iCs/>
        </w:rPr>
        <w:t>des</w:t>
      </w:r>
      <w:r w:rsidRPr="00C76DC3">
        <w:rPr>
          <w:i/>
          <w:iCs/>
          <w:spacing w:val="-6"/>
        </w:rPr>
        <w:t xml:space="preserve"> </w:t>
      </w:r>
      <w:r w:rsidRPr="00C76DC3">
        <w:rPr>
          <w:i/>
          <w:iCs/>
        </w:rPr>
        <w:t>Internationalen</w:t>
      </w:r>
      <w:r w:rsidRPr="00C76DC3">
        <w:rPr>
          <w:i/>
          <w:iCs/>
          <w:spacing w:val="-2"/>
        </w:rPr>
        <w:t xml:space="preserve"> </w:t>
      </w:r>
      <w:r w:rsidRPr="00C76DC3">
        <w:rPr>
          <w:i/>
          <w:iCs/>
        </w:rPr>
        <w:t>Marketing</w:t>
      </w:r>
      <w:r w:rsidRPr="00C76DC3">
        <w:rPr>
          <w:i/>
          <w:iCs/>
          <w:spacing w:val="-5"/>
        </w:rPr>
        <w:t xml:space="preserve"> </w:t>
      </w:r>
      <w:r w:rsidRPr="00C76DC3">
        <w:rPr>
          <w:i/>
          <w:iCs/>
        </w:rPr>
        <w:t>und</w:t>
      </w:r>
      <w:r w:rsidRPr="00C76DC3">
        <w:rPr>
          <w:i/>
          <w:iCs/>
          <w:spacing w:val="-5"/>
        </w:rPr>
        <w:t xml:space="preserve"> </w:t>
      </w:r>
      <w:r w:rsidRPr="00C76DC3">
        <w:rPr>
          <w:i/>
          <w:iCs/>
          <w:spacing w:val="-5"/>
        </w:rPr>
        <w:br/>
      </w:r>
      <w:r w:rsidRPr="00C76DC3">
        <w:rPr>
          <w:i/>
          <w:iCs/>
        </w:rPr>
        <w:t xml:space="preserve">des Interkulturellen Marketing in Deutschland </w:t>
      </w:r>
    </w:p>
    <w:p w14:paraId="103A115C" w14:textId="77777777" w:rsidR="00A85B7F" w:rsidRPr="00E73F6F" w:rsidRDefault="0016185B" w:rsidP="006B7117">
      <w:pPr>
        <w:pStyle w:val="BeschriftungTab"/>
      </w:pPr>
      <w:r>
        <w:rPr>
          <w:noProof/>
        </w:rPr>
        <w:lastRenderedPageBreak/>
        <w:drawing>
          <wp:inline distT="0" distB="0" distL="0" distR="0" wp14:anchorId="26BB98B1" wp14:editId="05DD85C9">
            <wp:extent cx="5836762" cy="3343275"/>
            <wp:effectExtent l="0" t="0" r="0" b="0"/>
            <wp:docPr id="88" name="Grafik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840340" cy="3345325"/>
                    </a:xfrm>
                    <a:prstGeom prst="rect">
                      <a:avLst/>
                    </a:prstGeom>
                    <a:noFill/>
                  </pic:spPr>
                </pic:pic>
              </a:graphicData>
            </a:graphic>
          </wp:inline>
        </w:drawing>
      </w:r>
    </w:p>
    <w:p w14:paraId="1EB8B9A3" w14:textId="77777777" w:rsidR="00FF7799" w:rsidRPr="00E73F6F" w:rsidRDefault="00FF7799" w:rsidP="00D5227F">
      <w:pPr>
        <w:pStyle w:val="Quellen"/>
      </w:pPr>
      <w:r w:rsidRPr="00E73F6F">
        <w:rPr>
          <w:spacing w:val="-2"/>
        </w:rPr>
        <w:t>Quelle:</w:t>
      </w:r>
      <w:r w:rsidRPr="00E73F6F">
        <w:t xml:space="preserve"> Hammer</w:t>
      </w:r>
      <w:r w:rsidRPr="00E73F6F">
        <w:rPr>
          <w:spacing w:val="-3"/>
        </w:rPr>
        <w:t xml:space="preserve"> </w:t>
      </w:r>
      <w:r w:rsidRPr="00E73F6F">
        <w:t>et</w:t>
      </w:r>
      <w:r w:rsidRPr="00E73F6F">
        <w:rPr>
          <w:spacing w:val="-1"/>
        </w:rPr>
        <w:t xml:space="preserve"> </w:t>
      </w:r>
      <w:r w:rsidRPr="00E73F6F">
        <w:t>al. (1993, S.13);</w:t>
      </w:r>
      <w:r w:rsidRPr="00E73F6F">
        <w:rPr>
          <w:spacing w:val="-3"/>
        </w:rPr>
        <w:t xml:space="preserve"> </w:t>
      </w:r>
      <w:r w:rsidRPr="00E73F6F">
        <w:rPr>
          <w:spacing w:val="-2"/>
        </w:rPr>
        <w:t>modifiziert.</w:t>
      </w:r>
    </w:p>
    <w:p w14:paraId="2FB65312" w14:textId="77777777" w:rsidR="00FF7799" w:rsidRPr="00E73F6F" w:rsidRDefault="00FF7799" w:rsidP="00862DBA">
      <w:pPr>
        <w:rPr>
          <w:sz w:val="24"/>
          <w:szCs w:val="24"/>
        </w:rPr>
      </w:pPr>
    </w:p>
    <w:p w14:paraId="009D9D81" w14:textId="77777777" w:rsidR="00FF7799" w:rsidRPr="00E73F6F" w:rsidRDefault="00FF7799" w:rsidP="00EA4F91">
      <w:pPr>
        <w:pStyle w:val="StandardText"/>
      </w:pPr>
      <w:r w:rsidRPr="00E73F6F">
        <w:t>Mit der Ende der 1980er Jahre noch zögerlich und im Verlauf der 1990er Jahre verstärkt propagierten hat die Betriebswirtschaftslehre scheinbar ein vergleichsweise</w:t>
      </w:r>
      <w:r w:rsidRPr="00E73F6F">
        <w:rPr>
          <w:spacing w:val="-12"/>
        </w:rPr>
        <w:t xml:space="preserve"> </w:t>
      </w:r>
      <w:r w:rsidRPr="00E73F6F">
        <w:t>eigenständiges</w:t>
      </w:r>
      <w:r w:rsidRPr="00E73F6F">
        <w:rPr>
          <w:spacing w:val="-11"/>
        </w:rPr>
        <w:t xml:space="preserve"> </w:t>
      </w:r>
      <w:r w:rsidRPr="00E73F6F">
        <w:t>Theoriengebäude</w:t>
      </w:r>
      <w:r w:rsidRPr="00E73F6F">
        <w:rPr>
          <w:spacing w:val="-11"/>
        </w:rPr>
        <w:t xml:space="preserve"> </w:t>
      </w:r>
      <w:r w:rsidRPr="00E73F6F">
        <w:t>errichtet.</w:t>
      </w:r>
      <w:r w:rsidRPr="00E73F6F">
        <w:rPr>
          <w:spacing w:val="-11"/>
        </w:rPr>
        <w:t xml:space="preserve"> </w:t>
      </w:r>
      <w:r w:rsidRPr="00E73F6F">
        <w:t>Streng</w:t>
      </w:r>
      <w:r w:rsidRPr="00E73F6F">
        <w:rPr>
          <w:spacing w:val="-12"/>
        </w:rPr>
        <w:t>genommen</w:t>
      </w:r>
      <w:r w:rsidRPr="00E73F6F">
        <w:rPr>
          <w:spacing w:val="-11"/>
        </w:rPr>
        <w:t xml:space="preserve"> </w:t>
      </w:r>
      <w:r w:rsidRPr="00E73F6F">
        <w:t>aber verkörpert</w:t>
      </w:r>
      <w:r w:rsidRPr="00E73F6F">
        <w:rPr>
          <w:spacing w:val="-11"/>
        </w:rPr>
        <w:t xml:space="preserve"> </w:t>
      </w:r>
      <w:r w:rsidRPr="00E73F6F">
        <w:t>die</w:t>
      </w:r>
      <w:r w:rsidRPr="00E73F6F">
        <w:rPr>
          <w:spacing w:val="-8"/>
        </w:rPr>
        <w:t xml:space="preserve"> </w:t>
      </w:r>
      <w:r w:rsidRPr="00E73F6F">
        <w:t>Neuen</w:t>
      </w:r>
      <w:r w:rsidRPr="00E73F6F">
        <w:rPr>
          <w:spacing w:val="-8"/>
        </w:rPr>
        <w:t xml:space="preserve"> </w:t>
      </w:r>
      <w:r w:rsidRPr="00E73F6F">
        <w:t>Institutionenlehre</w:t>
      </w:r>
      <w:r w:rsidRPr="00E73F6F">
        <w:rPr>
          <w:spacing w:val="-7"/>
        </w:rPr>
        <w:t xml:space="preserve"> </w:t>
      </w:r>
      <w:r w:rsidRPr="00E73F6F">
        <w:t>„nur“</w:t>
      </w:r>
      <w:r w:rsidRPr="00E73F6F">
        <w:rPr>
          <w:spacing w:val="-9"/>
        </w:rPr>
        <w:t xml:space="preserve"> </w:t>
      </w:r>
      <w:r w:rsidRPr="00E73F6F">
        <w:t>ein</w:t>
      </w:r>
      <w:r w:rsidRPr="00E73F6F">
        <w:rPr>
          <w:spacing w:val="-10"/>
        </w:rPr>
        <w:t xml:space="preserve"> </w:t>
      </w:r>
      <w:r w:rsidRPr="00E73F6F">
        <w:t>erweitertes</w:t>
      </w:r>
      <w:r w:rsidRPr="00E73F6F">
        <w:rPr>
          <w:spacing w:val="-9"/>
        </w:rPr>
        <w:t xml:space="preserve"> </w:t>
      </w:r>
      <w:r w:rsidRPr="00E73F6F">
        <w:t>Anwendungsfeld</w:t>
      </w:r>
      <w:r w:rsidRPr="00E73F6F">
        <w:rPr>
          <w:spacing w:val="-10"/>
        </w:rPr>
        <w:t xml:space="preserve"> </w:t>
      </w:r>
      <w:r w:rsidRPr="00E73F6F">
        <w:t>der neoklassischen Mikroökonomik. Obwohl die Agency-Theorie und die Informationsökonomik gleichfalls Ansatzpunkte für die Analyse internationaler Geschäftsbeziehungen bieten, wurde bislang hauptsächlich der Transaktionskostenansatz dazu genutzt (vgl. Kutschker/Schmid 2011, S.453ff.).</w:t>
      </w:r>
    </w:p>
    <w:p w14:paraId="39B007AD" w14:textId="77777777" w:rsidR="00FF7799" w:rsidRDefault="00FF7799" w:rsidP="00EA4F91">
      <w:pPr>
        <w:pStyle w:val="StandardText"/>
      </w:pPr>
      <w:r w:rsidRPr="00E73F6F">
        <w:t>Die wachsende internationale Verflechtung der Unternehmen (vgl. Abb. 2) beeinflusst in zunehmendem Maße deren Informations-, Entscheidungs- und Gestaltungsprozesse.</w:t>
      </w:r>
      <w:r w:rsidRPr="00E73F6F">
        <w:rPr>
          <w:spacing w:val="-7"/>
        </w:rPr>
        <w:t xml:space="preserve"> </w:t>
      </w:r>
      <w:r w:rsidRPr="00E73F6F">
        <w:t>Deshalb</w:t>
      </w:r>
      <w:r w:rsidRPr="00E73F6F">
        <w:rPr>
          <w:spacing w:val="-6"/>
        </w:rPr>
        <w:t xml:space="preserve"> </w:t>
      </w:r>
      <w:r w:rsidRPr="00E73F6F">
        <w:t>sollte</w:t>
      </w:r>
      <w:r w:rsidRPr="00E73F6F">
        <w:rPr>
          <w:spacing w:val="-8"/>
        </w:rPr>
        <w:t xml:space="preserve"> </w:t>
      </w:r>
      <w:r w:rsidRPr="00E73F6F">
        <w:t>auch</w:t>
      </w:r>
      <w:r w:rsidRPr="00E73F6F">
        <w:rPr>
          <w:spacing w:val="-9"/>
        </w:rPr>
        <w:t xml:space="preserve"> </w:t>
      </w:r>
      <w:r w:rsidRPr="00E73F6F">
        <w:t>die</w:t>
      </w:r>
      <w:r w:rsidRPr="00E73F6F">
        <w:rPr>
          <w:spacing w:val="-8"/>
        </w:rPr>
        <w:t xml:space="preserve"> </w:t>
      </w:r>
      <w:r w:rsidRPr="00E73F6F">
        <w:t>Allgemeine</w:t>
      </w:r>
      <w:r w:rsidRPr="00E73F6F">
        <w:rPr>
          <w:spacing w:val="-8"/>
        </w:rPr>
        <w:t xml:space="preserve"> </w:t>
      </w:r>
      <w:r w:rsidRPr="00E73F6F">
        <w:t>Betriebswirtschaftslehre ihr Theorien- und Methodenspektrum zunehmend um kulturspezifische Inhalte erweitern (vgl. Gaugler 1998, S.25).</w:t>
      </w:r>
    </w:p>
    <w:p w14:paraId="312338F6" w14:textId="77777777" w:rsidR="00A85B7F" w:rsidRPr="00E73F6F" w:rsidRDefault="00A85B7F" w:rsidP="00EA4F91">
      <w:pPr>
        <w:pStyle w:val="StandardText"/>
      </w:pPr>
    </w:p>
    <w:p w14:paraId="2F4D14C1" w14:textId="77777777" w:rsidR="00FF7799" w:rsidRPr="00C76DC3" w:rsidRDefault="00FF7799" w:rsidP="00EA4F91">
      <w:pPr>
        <w:pStyle w:val="BeschriftungTab"/>
        <w:rPr>
          <w:i/>
          <w:iCs/>
        </w:rPr>
      </w:pPr>
      <w:r w:rsidRPr="00C76DC3">
        <w:rPr>
          <w:i/>
          <w:iCs/>
        </w:rPr>
        <w:t>Abb.</w:t>
      </w:r>
      <w:r w:rsidRPr="00C76DC3">
        <w:rPr>
          <w:i/>
          <w:iCs/>
          <w:spacing w:val="-4"/>
        </w:rPr>
        <w:t xml:space="preserve"> </w:t>
      </w:r>
      <w:r w:rsidRPr="00C76DC3">
        <w:rPr>
          <w:i/>
          <w:iCs/>
        </w:rPr>
        <w:t>2:</w:t>
      </w:r>
      <w:r w:rsidRPr="00C76DC3">
        <w:rPr>
          <w:i/>
          <w:iCs/>
          <w:spacing w:val="-1"/>
        </w:rPr>
        <w:t xml:space="preserve"> </w:t>
      </w:r>
      <w:r w:rsidR="00784481" w:rsidRPr="00C76DC3">
        <w:rPr>
          <w:i/>
          <w:iCs/>
        </w:rPr>
        <w:t>BASF-Unternehmensstandorte</w:t>
      </w:r>
    </w:p>
    <w:p w14:paraId="3B21EC5B" w14:textId="77777777" w:rsidR="00FF7799" w:rsidRPr="00E73F6F" w:rsidRDefault="00784481" w:rsidP="00042200">
      <w:pPr>
        <w:pStyle w:val="StandardText"/>
      </w:pPr>
      <w:r w:rsidRPr="00784481">
        <w:rPr>
          <w:noProof/>
        </w:rPr>
        <w:lastRenderedPageBreak/>
        <w:drawing>
          <wp:inline distT="0" distB="0" distL="0" distR="0" wp14:anchorId="1E622E70" wp14:editId="379C3DEE">
            <wp:extent cx="5760720" cy="3565886"/>
            <wp:effectExtent l="0" t="0" r="0" b="0"/>
            <wp:docPr id="69" name="Grafik 69" descr="https://diercke.de/sites/default/files/styles/1000breit/public/karten_978_3_14_100857_9/X0440_1a_deutsch_D2_RP-1_Web.jpg?itok=i-rJPvx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diercke.de/sites/default/files/styles/1000breit/public/karten_978_3_14_100857_9/X0440_1a_deutsch_D2_RP-1_Web.jpg?itok=i-rJPvxn"/>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760720" cy="3565886"/>
                    </a:xfrm>
                    <a:prstGeom prst="rect">
                      <a:avLst/>
                    </a:prstGeom>
                    <a:noFill/>
                    <a:ln>
                      <a:noFill/>
                    </a:ln>
                  </pic:spPr>
                </pic:pic>
              </a:graphicData>
            </a:graphic>
          </wp:inline>
        </w:drawing>
      </w:r>
    </w:p>
    <w:p w14:paraId="1F753A66" w14:textId="77777777" w:rsidR="00784481" w:rsidRPr="00784481" w:rsidRDefault="00784481" w:rsidP="001A1A41">
      <w:pPr>
        <w:pStyle w:val="StandardTextkursiv"/>
        <w:rPr>
          <w:i w:val="0"/>
        </w:rPr>
      </w:pPr>
      <w:r w:rsidRPr="00784481">
        <w:rPr>
          <w:i w:val="0"/>
        </w:rPr>
        <w:t xml:space="preserve">Quelle: </w:t>
      </w:r>
      <w:hyperlink r:id="rId79" w:history="1">
        <w:r w:rsidRPr="00847D81">
          <w:rPr>
            <w:rStyle w:val="Hyperlink"/>
            <w:i w:val="0"/>
          </w:rPr>
          <w:t>https://diercke.de/content/global-player-basf-978-3-14-100857-9-19-3-1/</w:t>
        </w:r>
      </w:hyperlink>
      <w:r>
        <w:rPr>
          <w:i w:val="0"/>
        </w:rPr>
        <w:t xml:space="preserve"> 24.02.2025).</w:t>
      </w:r>
    </w:p>
    <w:p w14:paraId="6F4E1EA3" w14:textId="77777777" w:rsidR="00784481" w:rsidRPr="00784481" w:rsidRDefault="00784481" w:rsidP="001A1A41">
      <w:pPr>
        <w:pStyle w:val="StandardTextkursiv"/>
        <w:rPr>
          <w:i w:val="0"/>
        </w:rPr>
      </w:pPr>
    </w:p>
    <w:p w14:paraId="22FA4D46" w14:textId="77777777" w:rsidR="00FF7799" w:rsidRPr="00784481" w:rsidRDefault="00FF7799" w:rsidP="001A1A41">
      <w:pPr>
        <w:pStyle w:val="StandardTextkursiv"/>
        <w:rPr>
          <w:i w:val="0"/>
        </w:rPr>
      </w:pPr>
      <w:r w:rsidRPr="00784481">
        <w:rPr>
          <w:i w:val="0"/>
        </w:rPr>
        <w:t>3</w:t>
      </w:r>
      <w:r w:rsidRPr="00784481">
        <w:rPr>
          <w:i w:val="0"/>
          <w:spacing w:val="41"/>
        </w:rPr>
        <w:t xml:space="preserve"> </w:t>
      </w:r>
      <w:r w:rsidRPr="00784481">
        <w:rPr>
          <w:i w:val="0"/>
        </w:rPr>
        <w:t>Identitätsstiftende</w:t>
      </w:r>
      <w:r w:rsidRPr="00784481">
        <w:rPr>
          <w:i w:val="0"/>
          <w:spacing w:val="-3"/>
        </w:rPr>
        <w:t xml:space="preserve"> </w:t>
      </w:r>
      <w:r w:rsidRPr="00784481">
        <w:rPr>
          <w:i w:val="0"/>
        </w:rPr>
        <w:t>Besonderheiten</w:t>
      </w:r>
      <w:r w:rsidRPr="00784481">
        <w:rPr>
          <w:i w:val="0"/>
          <w:spacing w:val="-1"/>
        </w:rPr>
        <w:t xml:space="preserve"> </w:t>
      </w:r>
      <w:r w:rsidRPr="00784481">
        <w:rPr>
          <w:i w:val="0"/>
        </w:rPr>
        <w:t>des</w:t>
      </w:r>
      <w:r w:rsidRPr="00784481">
        <w:rPr>
          <w:i w:val="0"/>
          <w:spacing w:val="-2"/>
        </w:rPr>
        <w:t xml:space="preserve"> </w:t>
      </w:r>
      <w:r w:rsidRPr="00784481">
        <w:rPr>
          <w:i w:val="0"/>
        </w:rPr>
        <w:t>Internationalen</w:t>
      </w:r>
      <w:r w:rsidRPr="00784481">
        <w:rPr>
          <w:i w:val="0"/>
          <w:spacing w:val="-1"/>
        </w:rPr>
        <w:t xml:space="preserve"> </w:t>
      </w:r>
      <w:r w:rsidRPr="00784481">
        <w:rPr>
          <w:i w:val="0"/>
          <w:spacing w:val="-2"/>
        </w:rPr>
        <w:t>Marketing</w:t>
      </w:r>
    </w:p>
    <w:p w14:paraId="77734C38" w14:textId="77777777" w:rsidR="00FF7799" w:rsidRPr="00784481" w:rsidRDefault="00FF7799" w:rsidP="00AE77FA">
      <w:pPr>
        <w:pStyle w:val="StandardTextkursiv"/>
        <w:rPr>
          <w:i w:val="0"/>
        </w:rPr>
      </w:pPr>
      <w:r w:rsidRPr="00784481">
        <w:rPr>
          <w:i w:val="0"/>
        </w:rPr>
        <w:t>3.1 Überblick</w:t>
      </w:r>
    </w:p>
    <w:p w14:paraId="1D3FFFB9" w14:textId="77777777" w:rsidR="00FF7799" w:rsidRPr="00E73F6F" w:rsidRDefault="00FF7799" w:rsidP="00BC44B0">
      <w:pPr>
        <w:pStyle w:val="StandardText"/>
      </w:pPr>
      <w:r w:rsidRPr="00E73F6F">
        <w:t>Während die deutschsprachige akademische Welt sich immer wieder sehr grundsätzlich mit der Frage nach der Identität des eigenen Fachs auseinandersetzt, grenzen anglo-amerikanische Autoren wie Albaum/Peterson (1984) und später Aulakh/Kotabe (1993, S.7) Internationales Marketing rein pragmatisch vom Domestic Marketing ab: als zu lösende Aufgaben, die für mehr als ein Land bedeutsam sind und mithilfe der</w:t>
      </w:r>
      <w:r w:rsidRPr="00E73F6F">
        <w:rPr>
          <w:spacing w:val="40"/>
        </w:rPr>
        <w:t xml:space="preserve"> </w:t>
      </w:r>
      <w:r w:rsidRPr="00E73F6F">
        <w:t xml:space="preserve">Instrumente des klassischen Marketing-Mix alleine nicht bewältigt werden können. Dazu gehören </w:t>
      </w:r>
      <w:r w:rsidR="00784481">
        <w:t xml:space="preserve">u.a. </w:t>
      </w:r>
      <w:r w:rsidRPr="00E73F6F">
        <w:t>Standortentscheidungen, Vereinbarungen über Gegengeschäfte, Bewälti</w:t>
      </w:r>
      <w:r w:rsidR="00784481">
        <w:t>gung von Local Content-Auflagen und Identifikation des optimalen Preiskorridors (</w:t>
      </w:r>
      <w:r w:rsidR="00784481">
        <w:sym w:font="Symbol" w:char="F0DE"/>
      </w:r>
      <w:r w:rsidR="00784481">
        <w:t xml:space="preserve"> Arbitrage-Handel)</w:t>
      </w:r>
      <w:r w:rsidRPr="00E73F6F">
        <w:t>. Strenggenommen</w:t>
      </w:r>
      <w:r w:rsidRPr="00E73F6F">
        <w:rPr>
          <w:spacing w:val="-12"/>
        </w:rPr>
        <w:t xml:space="preserve"> </w:t>
      </w:r>
      <w:r w:rsidRPr="00E73F6F">
        <w:t>aber</w:t>
      </w:r>
      <w:r w:rsidRPr="00E73F6F">
        <w:rPr>
          <w:spacing w:val="-10"/>
        </w:rPr>
        <w:t xml:space="preserve"> </w:t>
      </w:r>
      <w:r w:rsidRPr="00E73F6F">
        <w:t>erwächst</w:t>
      </w:r>
      <w:r w:rsidRPr="00E73F6F">
        <w:rPr>
          <w:spacing w:val="-12"/>
        </w:rPr>
        <w:t xml:space="preserve"> </w:t>
      </w:r>
      <w:r w:rsidRPr="00E73F6F">
        <w:t>die</w:t>
      </w:r>
      <w:r w:rsidRPr="00E73F6F">
        <w:rPr>
          <w:spacing w:val="-11"/>
        </w:rPr>
        <w:t xml:space="preserve"> </w:t>
      </w:r>
      <w:r w:rsidRPr="00E73F6F">
        <w:t>Eigenständigkeit</w:t>
      </w:r>
      <w:r w:rsidRPr="00E73F6F">
        <w:rPr>
          <w:spacing w:val="-11"/>
        </w:rPr>
        <w:t xml:space="preserve"> </w:t>
      </w:r>
      <w:r w:rsidRPr="00E73F6F">
        <w:t>der</w:t>
      </w:r>
      <w:r w:rsidRPr="00E73F6F">
        <w:rPr>
          <w:spacing w:val="-11"/>
        </w:rPr>
        <w:t xml:space="preserve"> </w:t>
      </w:r>
      <w:r w:rsidRPr="00E73F6F">
        <w:t>Disziplin</w:t>
      </w:r>
      <w:r w:rsidRPr="00E73F6F">
        <w:rPr>
          <w:spacing w:val="-11"/>
        </w:rPr>
        <w:t xml:space="preserve"> </w:t>
      </w:r>
      <w:r w:rsidRPr="00E73F6F">
        <w:t>nicht</w:t>
      </w:r>
      <w:r w:rsidRPr="00E73F6F">
        <w:rPr>
          <w:spacing w:val="-10"/>
        </w:rPr>
        <w:t xml:space="preserve"> </w:t>
      </w:r>
      <w:r w:rsidRPr="00E73F6F">
        <w:t>wirklich</w:t>
      </w:r>
      <w:r w:rsidRPr="00E73F6F">
        <w:rPr>
          <w:spacing w:val="-11"/>
        </w:rPr>
        <w:t xml:space="preserve"> </w:t>
      </w:r>
      <w:r w:rsidRPr="00E73F6F">
        <w:t>aus</w:t>
      </w:r>
      <w:r w:rsidRPr="00E73F6F">
        <w:rPr>
          <w:spacing w:val="-12"/>
        </w:rPr>
        <w:t xml:space="preserve"> </w:t>
      </w:r>
      <w:r w:rsidRPr="00E73F6F">
        <w:t>den offen zutage tretenden Phänomenen, also den Strategien und Instrumenten; denn diese werden zur Bearbeitung des heimischen Marktes gleichermaßen verfolgt bzw. eingesetzt.</w:t>
      </w:r>
    </w:p>
    <w:p w14:paraId="3B422DF4" w14:textId="77777777" w:rsidR="00FF7799" w:rsidRPr="00E35FFF" w:rsidRDefault="00FF7799" w:rsidP="00BC44B0">
      <w:pPr>
        <w:pStyle w:val="StandardText"/>
        <w:rPr>
          <w:lang w:val="en-US"/>
        </w:rPr>
      </w:pPr>
      <w:r w:rsidRPr="00E73F6F">
        <w:t xml:space="preserve">Die Grundsatzfrage, die </w:t>
      </w:r>
      <w:r w:rsidRPr="00784481">
        <w:t>Macharzina &amp; Engelhard</w:t>
      </w:r>
      <w:r w:rsidRPr="00E73F6F">
        <w:rPr>
          <w:i/>
        </w:rPr>
        <w:t xml:space="preserve"> </w:t>
      </w:r>
      <w:r w:rsidRPr="00E73F6F">
        <w:t>vor mehr als zwei Dekaden gestellt haben (vgl. Abb. 3), kann</w:t>
      </w:r>
      <w:r w:rsidRPr="00E73F6F">
        <w:rPr>
          <w:spacing w:val="-2"/>
        </w:rPr>
        <w:t xml:space="preserve"> </w:t>
      </w:r>
      <w:r w:rsidRPr="00E73F6F">
        <w:t>mittlerweile</w:t>
      </w:r>
      <w:r w:rsidRPr="00E73F6F">
        <w:rPr>
          <w:spacing w:val="-1"/>
        </w:rPr>
        <w:t xml:space="preserve"> </w:t>
      </w:r>
      <w:r w:rsidRPr="00E73F6F">
        <w:t>zunehmend</w:t>
      </w:r>
      <w:r w:rsidRPr="00E73F6F">
        <w:rPr>
          <w:spacing w:val="-2"/>
        </w:rPr>
        <w:t xml:space="preserve"> </w:t>
      </w:r>
      <w:r w:rsidRPr="00E73F6F">
        <w:t>als</w:t>
      </w:r>
      <w:r w:rsidRPr="00E73F6F">
        <w:rPr>
          <w:spacing w:val="-1"/>
        </w:rPr>
        <w:t xml:space="preserve"> </w:t>
      </w:r>
      <w:r w:rsidRPr="00E73F6F">
        <w:t>beantwortet</w:t>
      </w:r>
      <w:r w:rsidRPr="00E73F6F">
        <w:rPr>
          <w:spacing w:val="-1"/>
        </w:rPr>
        <w:t xml:space="preserve"> </w:t>
      </w:r>
      <w:r w:rsidRPr="00E73F6F">
        <w:t>gelten: zu</w:t>
      </w:r>
      <w:r w:rsidRPr="00E73F6F">
        <w:rPr>
          <w:spacing w:val="-12"/>
        </w:rPr>
        <w:t xml:space="preserve"> </w:t>
      </w:r>
      <w:r w:rsidRPr="00E73F6F">
        <w:t>Gunsten</w:t>
      </w:r>
      <w:r w:rsidRPr="00E73F6F">
        <w:rPr>
          <w:spacing w:val="-11"/>
        </w:rPr>
        <w:t xml:space="preserve"> </w:t>
      </w:r>
      <w:r w:rsidRPr="00E73F6F">
        <w:t>der</w:t>
      </w:r>
      <w:r w:rsidRPr="00E73F6F">
        <w:rPr>
          <w:spacing w:val="-11"/>
        </w:rPr>
        <w:t xml:space="preserve"> </w:t>
      </w:r>
      <w:r w:rsidRPr="00E73F6F">
        <w:t>Option</w:t>
      </w:r>
      <w:r w:rsidRPr="00E73F6F">
        <w:rPr>
          <w:spacing w:val="-11"/>
        </w:rPr>
        <w:t xml:space="preserve"> </w:t>
      </w:r>
      <w:r w:rsidRPr="00E73F6F">
        <w:t>„innovative</w:t>
      </w:r>
      <w:r w:rsidRPr="00E73F6F">
        <w:rPr>
          <w:spacing w:val="-12"/>
        </w:rPr>
        <w:t xml:space="preserve"> </w:t>
      </w:r>
      <w:r w:rsidRPr="00E73F6F">
        <w:t>Disziplin“.</w:t>
      </w:r>
      <w:r w:rsidRPr="00E73F6F">
        <w:rPr>
          <w:spacing w:val="-11"/>
        </w:rPr>
        <w:t xml:space="preserve"> </w:t>
      </w:r>
      <w:r w:rsidRPr="00E35FFF">
        <w:rPr>
          <w:lang w:val="en-US"/>
        </w:rPr>
        <w:t>Und</w:t>
      </w:r>
      <w:r w:rsidRPr="00E35FFF">
        <w:rPr>
          <w:spacing w:val="-11"/>
          <w:lang w:val="en-US"/>
        </w:rPr>
        <w:t xml:space="preserve"> </w:t>
      </w:r>
      <w:r w:rsidRPr="00E35FFF">
        <w:rPr>
          <w:lang w:val="en-US"/>
        </w:rPr>
        <w:t>als</w:t>
      </w:r>
      <w:r w:rsidRPr="00E35FFF">
        <w:rPr>
          <w:spacing w:val="-11"/>
          <w:lang w:val="en-US"/>
        </w:rPr>
        <w:t xml:space="preserve"> </w:t>
      </w:r>
      <w:r w:rsidRPr="00E35FFF">
        <w:rPr>
          <w:lang w:val="en-US"/>
        </w:rPr>
        <w:t>innovativ</w:t>
      </w:r>
      <w:r w:rsidRPr="00E35FFF">
        <w:rPr>
          <w:spacing w:val="-12"/>
          <w:lang w:val="en-US"/>
        </w:rPr>
        <w:t xml:space="preserve"> </w:t>
      </w:r>
      <w:r w:rsidRPr="00E35FFF">
        <w:rPr>
          <w:lang w:val="en-US"/>
        </w:rPr>
        <w:t>versteht</w:t>
      </w:r>
      <w:r w:rsidRPr="00E35FFF">
        <w:rPr>
          <w:spacing w:val="-11"/>
          <w:lang w:val="en-US"/>
        </w:rPr>
        <w:t xml:space="preserve"> </w:t>
      </w:r>
      <w:r w:rsidRPr="00E35FFF">
        <w:rPr>
          <w:lang w:val="en-US"/>
        </w:rPr>
        <w:t>sich</w:t>
      </w:r>
      <w:r w:rsidRPr="00E35FFF">
        <w:rPr>
          <w:spacing w:val="-11"/>
          <w:lang w:val="en-US"/>
        </w:rPr>
        <w:t xml:space="preserve"> </w:t>
      </w:r>
      <w:r w:rsidRPr="00E35FFF">
        <w:rPr>
          <w:lang w:val="en-US"/>
        </w:rPr>
        <w:t>auch das Interkulturelle Marketing: „The state of International Business theorizing could be characterized as sitting right at the crossroad between two extremes, an innovative managerial discipline on the one hand and a stagnant by-product of traditional economics on the other“ (Macharzina/Engelhard 1991, S.24).</w:t>
      </w:r>
    </w:p>
    <w:p w14:paraId="74E9C9FF" w14:textId="77777777" w:rsidR="00FF7799" w:rsidRPr="00E35FFF" w:rsidRDefault="00FF7799" w:rsidP="00BC44B0">
      <w:pPr>
        <w:pStyle w:val="StandardText"/>
        <w:rPr>
          <w:lang w:val="en-US"/>
        </w:rPr>
      </w:pPr>
    </w:p>
    <w:p w14:paraId="47F72C1B" w14:textId="77777777" w:rsidR="00FF7799" w:rsidRPr="00C76DC3" w:rsidRDefault="00FF7799" w:rsidP="00BC44B0">
      <w:pPr>
        <w:pStyle w:val="BeschriftungTab"/>
        <w:rPr>
          <w:i/>
          <w:iCs/>
          <w:spacing w:val="-2"/>
        </w:rPr>
      </w:pPr>
      <w:r w:rsidRPr="00C76DC3">
        <w:rPr>
          <w:i/>
          <w:iCs/>
        </w:rPr>
        <w:t>Abb.</w:t>
      </w:r>
      <w:r w:rsidRPr="00C76DC3">
        <w:rPr>
          <w:i/>
          <w:iCs/>
          <w:spacing w:val="-4"/>
        </w:rPr>
        <w:t xml:space="preserve"> </w:t>
      </w:r>
      <w:r w:rsidRPr="00C76DC3">
        <w:rPr>
          <w:i/>
          <w:iCs/>
        </w:rPr>
        <w:t>3:</w:t>
      </w:r>
      <w:r w:rsidRPr="00C76DC3">
        <w:rPr>
          <w:i/>
          <w:iCs/>
          <w:spacing w:val="-3"/>
        </w:rPr>
        <w:t xml:space="preserve"> </w:t>
      </w:r>
      <w:r w:rsidRPr="00C76DC3">
        <w:rPr>
          <w:i/>
          <w:iCs/>
        </w:rPr>
        <w:t>Entwicklungsperspektiven</w:t>
      </w:r>
      <w:r w:rsidRPr="00C76DC3">
        <w:rPr>
          <w:i/>
          <w:iCs/>
          <w:spacing w:val="-1"/>
        </w:rPr>
        <w:t xml:space="preserve"> </w:t>
      </w:r>
      <w:r w:rsidRPr="00C76DC3">
        <w:rPr>
          <w:i/>
          <w:iCs/>
        </w:rPr>
        <w:t>des</w:t>
      </w:r>
      <w:r w:rsidRPr="00C76DC3">
        <w:rPr>
          <w:i/>
          <w:iCs/>
          <w:spacing w:val="-1"/>
        </w:rPr>
        <w:t xml:space="preserve"> </w:t>
      </w:r>
      <w:r w:rsidRPr="00C76DC3">
        <w:rPr>
          <w:i/>
          <w:iCs/>
        </w:rPr>
        <w:t>Internationalen</w:t>
      </w:r>
      <w:r w:rsidRPr="00C76DC3">
        <w:rPr>
          <w:i/>
          <w:iCs/>
          <w:spacing w:val="-3"/>
        </w:rPr>
        <w:t xml:space="preserve"> </w:t>
      </w:r>
      <w:r w:rsidR="00580F1D" w:rsidRPr="00C76DC3">
        <w:rPr>
          <w:i/>
          <w:iCs/>
          <w:spacing w:val="-2"/>
        </w:rPr>
        <w:t>Marketing</w:t>
      </w:r>
    </w:p>
    <w:p w14:paraId="7063D402" w14:textId="77777777" w:rsidR="00580F1D" w:rsidRPr="00E73F6F" w:rsidRDefault="00580F1D" w:rsidP="00BC44B0">
      <w:pPr>
        <w:pStyle w:val="BeschriftungTab"/>
      </w:pPr>
      <w:r>
        <w:rPr>
          <w:noProof/>
        </w:rPr>
        <w:lastRenderedPageBreak/>
        <w:drawing>
          <wp:inline distT="0" distB="0" distL="0" distR="0" wp14:anchorId="000092A1" wp14:editId="3105E2B0">
            <wp:extent cx="5234387" cy="2733675"/>
            <wp:effectExtent l="0" t="0" r="4445" b="0"/>
            <wp:docPr id="71" name="Grafik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5244096" cy="2738746"/>
                    </a:xfrm>
                    <a:prstGeom prst="rect">
                      <a:avLst/>
                    </a:prstGeom>
                    <a:noFill/>
                  </pic:spPr>
                </pic:pic>
              </a:graphicData>
            </a:graphic>
          </wp:inline>
        </w:drawing>
      </w:r>
    </w:p>
    <w:p w14:paraId="40C94684" w14:textId="77777777" w:rsidR="00FF7799" w:rsidRPr="00E73F6F" w:rsidRDefault="00FF7799" w:rsidP="00862DBA">
      <w:pPr>
        <w:spacing w:before="4" w:after="1"/>
        <w:rPr>
          <w:i/>
          <w:sz w:val="24"/>
          <w:szCs w:val="24"/>
        </w:rPr>
      </w:pPr>
    </w:p>
    <w:p w14:paraId="04A2FE1D" w14:textId="77777777" w:rsidR="00FF7799" w:rsidRPr="00E73F6F" w:rsidRDefault="00FF7799" w:rsidP="00862DBA">
      <w:pPr>
        <w:rPr>
          <w:i/>
          <w:sz w:val="24"/>
          <w:szCs w:val="24"/>
        </w:rPr>
      </w:pPr>
    </w:p>
    <w:p w14:paraId="7BFB4EEF" w14:textId="77777777" w:rsidR="00FF7799" w:rsidRPr="00E73F6F" w:rsidRDefault="00FF7799" w:rsidP="007C0767">
      <w:pPr>
        <w:pStyle w:val="StandardText"/>
      </w:pPr>
      <w:r w:rsidRPr="00E73F6F">
        <w:t>Hermanns</w:t>
      </w:r>
      <w:r w:rsidRPr="00E73F6F">
        <w:rPr>
          <w:spacing w:val="29"/>
        </w:rPr>
        <w:t xml:space="preserve"> </w:t>
      </w:r>
      <w:r w:rsidRPr="00E73F6F">
        <w:t>(1995,</w:t>
      </w:r>
      <w:r w:rsidRPr="00E73F6F">
        <w:rPr>
          <w:spacing w:val="29"/>
        </w:rPr>
        <w:t xml:space="preserve"> </w:t>
      </w:r>
      <w:r w:rsidRPr="00E73F6F">
        <w:t>S.26)</w:t>
      </w:r>
      <w:r w:rsidRPr="00E73F6F">
        <w:rPr>
          <w:spacing w:val="79"/>
          <w:w w:val="150"/>
        </w:rPr>
        <w:t xml:space="preserve"> </w:t>
      </w:r>
      <w:r w:rsidRPr="00E73F6F">
        <w:t>und</w:t>
      </w:r>
      <w:r w:rsidRPr="00E73F6F">
        <w:rPr>
          <w:spacing w:val="29"/>
        </w:rPr>
        <w:t xml:space="preserve"> </w:t>
      </w:r>
      <w:r w:rsidRPr="00E73F6F">
        <w:t>Wißmeier</w:t>
      </w:r>
      <w:r w:rsidRPr="00E73F6F">
        <w:rPr>
          <w:spacing w:val="29"/>
        </w:rPr>
        <w:t xml:space="preserve"> </w:t>
      </w:r>
      <w:r w:rsidRPr="00E73F6F">
        <w:t>(1992,</w:t>
      </w:r>
      <w:r w:rsidRPr="00E73F6F">
        <w:rPr>
          <w:spacing w:val="31"/>
        </w:rPr>
        <w:t xml:space="preserve"> </w:t>
      </w:r>
      <w:r w:rsidRPr="00E73F6F">
        <w:t>S.47ff.)</w:t>
      </w:r>
      <w:r w:rsidRPr="00E73F6F">
        <w:rPr>
          <w:spacing w:val="28"/>
        </w:rPr>
        <w:t xml:space="preserve"> </w:t>
      </w:r>
      <w:r w:rsidRPr="00E73F6F">
        <w:t>beschrieben</w:t>
      </w:r>
      <w:r w:rsidRPr="00E73F6F">
        <w:rPr>
          <w:spacing w:val="31"/>
        </w:rPr>
        <w:t xml:space="preserve"> </w:t>
      </w:r>
      <w:r w:rsidRPr="00E73F6F">
        <w:rPr>
          <w:spacing w:val="-5"/>
        </w:rPr>
        <w:t>das</w:t>
      </w:r>
      <w:r w:rsidRPr="00E73F6F">
        <w:t xml:space="preserve"> „Charakteristische der Disziplin“ folgendermaßen. Zusätzlich zu den Problemen, die</w:t>
      </w:r>
      <w:r w:rsidRPr="00E73F6F">
        <w:rPr>
          <w:spacing w:val="-12"/>
        </w:rPr>
        <w:t xml:space="preserve"> </w:t>
      </w:r>
      <w:r w:rsidRPr="00E73F6F">
        <w:t>im</w:t>
      </w:r>
      <w:r w:rsidRPr="00E73F6F">
        <w:rPr>
          <w:spacing w:val="-11"/>
        </w:rPr>
        <w:t xml:space="preserve"> </w:t>
      </w:r>
      <w:r w:rsidRPr="00E73F6F">
        <w:t>Tagesgeschäft</w:t>
      </w:r>
      <w:r w:rsidRPr="00E73F6F">
        <w:rPr>
          <w:spacing w:val="-11"/>
        </w:rPr>
        <w:t xml:space="preserve"> </w:t>
      </w:r>
      <w:r w:rsidRPr="00E73F6F">
        <w:t>(des</w:t>
      </w:r>
      <w:r w:rsidRPr="00E73F6F">
        <w:rPr>
          <w:spacing w:val="-11"/>
        </w:rPr>
        <w:t xml:space="preserve"> </w:t>
      </w:r>
      <w:r w:rsidRPr="00E73F6F">
        <w:t>Domestic</w:t>
      </w:r>
      <w:r w:rsidRPr="00E73F6F">
        <w:rPr>
          <w:spacing w:val="-12"/>
        </w:rPr>
        <w:t xml:space="preserve"> </w:t>
      </w:r>
      <w:r w:rsidRPr="00E73F6F">
        <w:t>Marketing)</w:t>
      </w:r>
      <w:r w:rsidRPr="00E73F6F">
        <w:rPr>
          <w:spacing w:val="-11"/>
        </w:rPr>
        <w:t xml:space="preserve"> </w:t>
      </w:r>
      <w:r w:rsidRPr="00E73F6F">
        <w:t>zu</w:t>
      </w:r>
      <w:r w:rsidRPr="00E73F6F">
        <w:rPr>
          <w:spacing w:val="-11"/>
        </w:rPr>
        <w:t xml:space="preserve"> </w:t>
      </w:r>
      <w:r w:rsidRPr="00E73F6F">
        <w:t>lösen</w:t>
      </w:r>
      <w:r w:rsidRPr="00E73F6F">
        <w:rPr>
          <w:spacing w:val="-11"/>
        </w:rPr>
        <w:t xml:space="preserve"> </w:t>
      </w:r>
      <w:r w:rsidRPr="00E73F6F">
        <w:t>sind,</w:t>
      </w:r>
      <w:r w:rsidRPr="00E73F6F">
        <w:rPr>
          <w:spacing w:val="-12"/>
        </w:rPr>
        <w:t xml:space="preserve"> </w:t>
      </w:r>
      <w:r w:rsidRPr="00E73F6F">
        <w:t>hat</w:t>
      </w:r>
      <w:r w:rsidRPr="00E73F6F">
        <w:rPr>
          <w:spacing w:val="-11"/>
        </w:rPr>
        <w:t xml:space="preserve"> </w:t>
      </w:r>
      <w:r w:rsidRPr="00E73F6F">
        <w:t>das</w:t>
      </w:r>
      <w:r w:rsidRPr="00E73F6F">
        <w:rPr>
          <w:spacing w:val="-11"/>
        </w:rPr>
        <w:t xml:space="preserve"> </w:t>
      </w:r>
      <w:r w:rsidRPr="00E73F6F">
        <w:t>international tätige Unternehmen eine Reihe spezifischer Aufgaben zu lösen:</w:t>
      </w:r>
    </w:p>
    <w:p w14:paraId="73103410" w14:textId="77777777" w:rsidR="00FF7799" w:rsidRPr="00E73F6F" w:rsidRDefault="00FF7799" w:rsidP="00BF2DBF">
      <w:pPr>
        <w:pStyle w:val="StandardTextAufzhlung"/>
        <w:ind w:left="426"/>
      </w:pPr>
      <w:r w:rsidRPr="00E73F6F">
        <w:t>erschwerte</w:t>
      </w:r>
      <w:r w:rsidRPr="00E73F6F">
        <w:rPr>
          <w:spacing w:val="-6"/>
        </w:rPr>
        <w:t xml:space="preserve"> </w:t>
      </w:r>
      <w:r w:rsidRPr="00E73F6F">
        <w:t>Beschaffung</w:t>
      </w:r>
      <w:r w:rsidRPr="00E73F6F">
        <w:rPr>
          <w:spacing w:val="-6"/>
        </w:rPr>
        <w:t xml:space="preserve"> </w:t>
      </w:r>
      <w:r w:rsidRPr="00E73F6F">
        <w:t>der</w:t>
      </w:r>
      <w:r w:rsidRPr="00E73F6F">
        <w:rPr>
          <w:spacing w:val="-5"/>
        </w:rPr>
        <w:t xml:space="preserve"> </w:t>
      </w:r>
      <w:r w:rsidRPr="00E73F6F">
        <w:t>erforderlichen</w:t>
      </w:r>
      <w:r w:rsidRPr="00E73F6F">
        <w:rPr>
          <w:spacing w:val="-4"/>
        </w:rPr>
        <w:t xml:space="preserve"> </w:t>
      </w:r>
      <w:r w:rsidRPr="00E73F6F">
        <w:t>Informationen</w:t>
      </w:r>
      <w:r w:rsidRPr="00E73F6F">
        <w:rPr>
          <w:spacing w:val="-6"/>
        </w:rPr>
        <w:t xml:space="preserve"> </w:t>
      </w:r>
      <w:r w:rsidRPr="00E73F6F">
        <w:t>bei</w:t>
      </w:r>
      <w:r w:rsidRPr="00E73F6F">
        <w:rPr>
          <w:spacing w:val="-5"/>
        </w:rPr>
        <w:t xml:space="preserve"> </w:t>
      </w:r>
      <w:r w:rsidRPr="00E73F6F">
        <w:t>gleichzeitig erhöhtem Informationsbedarf,</w:t>
      </w:r>
    </w:p>
    <w:p w14:paraId="4FAA32C9" w14:textId="77777777" w:rsidR="00FF7799" w:rsidRPr="00E73F6F" w:rsidRDefault="00FF7799" w:rsidP="00BF2DBF">
      <w:pPr>
        <w:pStyle w:val="StandardTextAufzhlung"/>
        <w:ind w:left="426"/>
      </w:pPr>
      <w:r w:rsidRPr="00E73F6F">
        <w:t>überdurchschnittliche</w:t>
      </w:r>
      <w:r w:rsidRPr="00E73F6F">
        <w:rPr>
          <w:spacing w:val="-9"/>
        </w:rPr>
        <w:t xml:space="preserve"> </w:t>
      </w:r>
      <w:r w:rsidRPr="00E73F6F">
        <w:t>Komplexität</w:t>
      </w:r>
      <w:r w:rsidRPr="00E73F6F">
        <w:rPr>
          <w:spacing w:val="-8"/>
        </w:rPr>
        <w:t xml:space="preserve"> </w:t>
      </w:r>
      <w:r w:rsidRPr="00E73F6F">
        <w:t>der</w:t>
      </w:r>
      <w:r w:rsidRPr="00E73F6F">
        <w:rPr>
          <w:spacing w:val="-8"/>
        </w:rPr>
        <w:t xml:space="preserve"> </w:t>
      </w:r>
      <w:r w:rsidRPr="00E73F6F">
        <w:t>(Marketing-)Entscheidungen</w:t>
      </w:r>
      <w:r w:rsidRPr="00E73F6F">
        <w:rPr>
          <w:spacing w:val="-7"/>
        </w:rPr>
        <w:t xml:space="preserve"> </w:t>
      </w:r>
      <w:r w:rsidRPr="00E73F6F">
        <w:t>(da mindestens zwei Ländermärkte bearbeitet werden),</w:t>
      </w:r>
    </w:p>
    <w:p w14:paraId="4F6B354A" w14:textId="77777777" w:rsidR="00FF7799" w:rsidRPr="00E73F6F" w:rsidRDefault="00FF7799" w:rsidP="00BF2DBF">
      <w:pPr>
        <w:pStyle w:val="StandardTextAufzhlung"/>
        <w:ind w:left="426"/>
      </w:pPr>
      <w:r w:rsidRPr="00E73F6F">
        <w:t>besonderer</w:t>
      </w:r>
      <w:r w:rsidRPr="00E73F6F">
        <w:rPr>
          <w:spacing w:val="-6"/>
        </w:rPr>
        <w:t xml:space="preserve"> </w:t>
      </w:r>
      <w:r w:rsidRPr="00E73F6F">
        <w:t>Stellenwert</w:t>
      </w:r>
      <w:r w:rsidRPr="00E73F6F">
        <w:rPr>
          <w:spacing w:val="-6"/>
        </w:rPr>
        <w:t xml:space="preserve"> </w:t>
      </w:r>
      <w:r w:rsidRPr="00E73F6F">
        <w:t>der</w:t>
      </w:r>
      <w:r w:rsidRPr="00E73F6F">
        <w:rPr>
          <w:spacing w:val="-6"/>
        </w:rPr>
        <w:t xml:space="preserve"> </w:t>
      </w:r>
      <w:r w:rsidRPr="00E73F6F">
        <w:t>Vorbereitung</w:t>
      </w:r>
      <w:r w:rsidRPr="00E73F6F">
        <w:rPr>
          <w:spacing w:val="-6"/>
        </w:rPr>
        <w:t xml:space="preserve"> </w:t>
      </w:r>
      <w:r w:rsidRPr="00E73F6F">
        <w:t>bzw.</w:t>
      </w:r>
      <w:r w:rsidRPr="00E73F6F">
        <w:rPr>
          <w:spacing w:val="-6"/>
        </w:rPr>
        <w:t xml:space="preserve"> </w:t>
      </w:r>
      <w:r w:rsidRPr="00E73F6F">
        <w:t>Gestaltung</w:t>
      </w:r>
      <w:r w:rsidRPr="00E73F6F">
        <w:rPr>
          <w:spacing w:val="-5"/>
        </w:rPr>
        <w:t xml:space="preserve"> </w:t>
      </w:r>
      <w:r w:rsidRPr="00E73F6F">
        <w:t xml:space="preserve">von </w:t>
      </w:r>
      <w:r w:rsidRPr="00E73F6F">
        <w:rPr>
          <w:spacing w:val="-2"/>
        </w:rPr>
        <w:t>Entscheidungen,</w:t>
      </w:r>
    </w:p>
    <w:p w14:paraId="5EE843C7" w14:textId="77777777" w:rsidR="00FF7799" w:rsidRPr="00E73F6F" w:rsidRDefault="00FF7799" w:rsidP="00BF2DBF">
      <w:pPr>
        <w:pStyle w:val="StandardTextAufzhlung"/>
        <w:ind w:left="426"/>
      </w:pPr>
      <w:r w:rsidRPr="00E73F6F">
        <w:t>Notwendigkeit der Koordination (Entscheidungen welche die Internationalisierung</w:t>
      </w:r>
      <w:r w:rsidRPr="00E73F6F">
        <w:rPr>
          <w:spacing w:val="-8"/>
        </w:rPr>
        <w:t xml:space="preserve"> </w:t>
      </w:r>
      <w:r w:rsidRPr="00E73F6F">
        <w:t>betreffen,</w:t>
      </w:r>
      <w:r w:rsidRPr="00E73F6F">
        <w:rPr>
          <w:spacing w:val="-7"/>
        </w:rPr>
        <w:t xml:space="preserve"> </w:t>
      </w:r>
      <w:r w:rsidRPr="00E73F6F">
        <w:t>sind</w:t>
      </w:r>
      <w:r w:rsidRPr="00E73F6F">
        <w:rPr>
          <w:spacing w:val="-8"/>
        </w:rPr>
        <w:t xml:space="preserve"> </w:t>
      </w:r>
      <w:r w:rsidRPr="00E73F6F">
        <w:t>„im</w:t>
      </w:r>
      <w:r w:rsidRPr="00E73F6F">
        <w:rPr>
          <w:spacing w:val="-7"/>
        </w:rPr>
        <w:t xml:space="preserve"> </w:t>
      </w:r>
      <w:r w:rsidRPr="00E73F6F">
        <w:t>Gesamtzusammenhang</w:t>
      </w:r>
      <w:r w:rsidRPr="00E73F6F">
        <w:rPr>
          <w:spacing w:val="-8"/>
        </w:rPr>
        <w:t xml:space="preserve"> </w:t>
      </w:r>
      <w:r w:rsidRPr="00E73F6F">
        <w:t>des Unternehmens“ zu treffen).</w:t>
      </w:r>
    </w:p>
    <w:p w14:paraId="09E3B3AF" w14:textId="77777777" w:rsidR="00BF2DBF" w:rsidRDefault="00BF2DBF" w:rsidP="007C0767">
      <w:pPr>
        <w:pStyle w:val="StandardText"/>
      </w:pPr>
    </w:p>
    <w:p w14:paraId="0F7D18B7" w14:textId="751D8E29" w:rsidR="00FF7799" w:rsidRPr="00E73F6F" w:rsidRDefault="00FF7799" w:rsidP="007C0767">
      <w:pPr>
        <w:pStyle w:val="StandardText"/>
      </w:pPr>
      <w:r w:rsidRPr="00E73F6F">
        <w:t>Ähnlich argumentieren Backhaus/Voeth (2010, S.37ff.). Neben einem zusätzlichen Informations- und Koordinationsbedarf sowie der überdurchschnittlichen Komplexität hoben sie das mit der Internationalisierung verbundene erhöhte Risiko als weitere, in der Literatur immer wieder genannte Besonderheit hervor. Allerdings ist dieses eng an das Problem des vergrößerten Informationsbedarfs</w:t>
      </w:r>
      <w:r w:rsidRPr="00E73F6F">
        <w:rPr>
          <w:spacing w:val="-10"/>
        </w:rPr>
        <w:t xml:space="preserve"> </w:t>
      </w:r>
      <w:r w:rsidRPr="00E73F6F">
        <w:t>geknüpft;</w:t>
      </w:r>
      <w:r w:rsidRPr="00E73F6F">
        <w:rPr>
          <w:spacing w:val="-12"/>
        </w:rPr>
        <w:t xml:space="preserve"> </w:t>
      </w:r>
      <w:r w:rsidRPr="00E73F6F">
        <w:t>denn</w:t>
      </w:r>
      <w:r w:rsidRPr="00E73F6F">
        <w:rPr>
          <w:spacing w:val="-8"/>
        </w:rPr>
        <w:t xml:space="preserve"> </w:t>
      </w:r>
      <w:r w:rsidRPr="00E73F6F">
        <w:t>im</w:t>
      </w:r>
      <w:r w:rsidRPr="00E73F6F">
        <w:rPr>
          <w:spacing w:val="-11"/>
        </w:rPr>
        <w:t xml:space="preserve"> </w:t>
      </w:r>
      <w:r w:rsidRPr="00E73F6F">
        <w:t>Regelfall</w:t>
      </w:r>
      <w:r w:rsidRPr="00E73F6F">
        <w:rPr>
          <w:spacing w:val="-10"/>
        </w:rPr>
        <w:t xml:space="preserve"> </w:t>
      </w:r>
      <w:r w:rsidRPr="00E73F6F">
        <w:t>liegen</w:t>
      </w:r>
      <w:r w:rsidRPr="00E73F6F">
        <w:rPr>
          <w:spacing w:val="-11"/>
        </w:rPr>
        <w:t xml:space="preserve"> </w:t>
      </w:r>
      <w:r w:rsidRPr="00E73F6F">
        <w:t>über</w:t>
      </w:r>
      <w:r w:rsidRPr="00E73F6F">
        <w:rPr>
          <w:spacing w:val="-10"/>
        </w:rPr>
        <w:t xml:space="preserve"> </w:t>
      </w:r>
      <w:r w:rsidRPr="00E73F6F">
        <w:t>einen</w:t>
      </w:r>
      <w:r w:rsidRPr="00E73F6F">
        <w:rPr>
          <w:spacing w:val="-9"/>
        </w:rPr>
        <w:t xml:space="preserve"> </w:t>
      </w:r>
      <w:r w:rsidRPr="00E73F6F">
        <w:t>Auslandsmarkt weniger</w:t>
      </w:r>
      <w:r w:rsidRPr="00E73F6F">
        <w:rPr>
          <w:spacing w:val="-10"/>
        </w:rPr>
        <w:t xml:space="preserve"> </w:t>
      </w:r>
      <w:r w:rsidRPr="00E73F6F">
        <w:t>und</w:t>
      </w:r>
      <w:r w:rsidRPr="00E73F6F">
        <w:rPr>
          <w:spacing w:val="-9"/>
        </w:rPr>
        <w:t xml:space="preserve"> </w:t>
      </w:r>
      <w:r w:rsidRPr="00E73F6F">
        <w:t>überdies</w:t>
      </w:r>
      <w:r w:rsidRPr="00E73F6F">
        <w:rPr>
          <w:spacing w:val="-11"/>
        </w:rPr>
        <w:t xml:space="preserve"> </w:t>
      </w:r>
      <w:r w:rsidRPr="00E73F6F">
        <w:t>unsichere</w:t>
      </w:r>
      <w:r w:rsidRPr="00E73F6F">
        <w:rPr>
          <w:spacing w:val="-8"/>
        </w:rPr>
        <w:t xml:space="preserve"> </w:t>
      </w:r>
      <w:r w:rsidRPr="00E73F6F">
        <w:t>Informationen</w:t>
      </w:r>
      <w:r w:rsidRPr="00E73F6F">
        <w:rPr>
          <w:spacing w:val="-9"/>
        </w:rPr>
        <w:t xml:space="preserve"> </w:t>
      </w:r>
      <w:r w:rsidRPr="00E73F6F">
        <w:t>vor</w:t>
      </w:r>
      <w:r w:rsidRPr="00E73F6F">
        <w:rPr>
          <w:spacing w:val="-8"/>
        </w:rPr>
        <w:t xml:space="preserve"> </w:t>
      </w:r>
      <w:r w:rsidRPr="00E73F6F">
        <w:t>als</w:t>
      </w:r>
      <w:r w:rsidRPr="00E73F6F">
        <w:rPr>
          <w:spacing w:val="-10"/>
        </w:rPr>
        <w:t xml:space="preserve"> </w:t>
      </w:r>
      <w:r w:rsidRPr="00E73F6F">
        <w:t>über</w:t>
      </w:r>
      <w:r w:rsidRPr="00E73F6F">
        <w:rPr>
          <w:spacing w:val="-10"/>
        </w:rPr>
        <w:t xml:space="preserve"> </w:t>
      </w:r>
      <w:r w:rsidRPr="00E73F6F">
        <w:t>den</w:t>
      </w:r>
      <w:r w:rsidRPr="00E73F6F">
        <w:rPr>
          <w:spacing w:val="-9"/>
        </w:rPr>
        <w:t xml:space="preserve"> </w:t>
      </w:r>
      <w:r w:rsidRPr="00E73F6F">
        <w:t>Heimmarkt.</w:t>
      </w:r>
      <w:r w:rsidRPr="00E73F6F">
        <w:rPr>
          <w:spacing w:val="-7"/>
        </w:rPr>
        <w:t xml:space="preserve"> </w:t>
      </w:r>
      <w:r w:rsidRPr="00E73F6F">
        <w:t>Hinzu kommt, dass in den verschiedenen heterogenen Ländermärkten z.T. gegenläufige Entwicklungen zu bewältigen sind (z.B. Säkularisierung und Beliebigkeit von Werten in Teilen des Okzidents und wachsende Rigidität religiöser Normen in Teilen des Orients).</w:t>
      </w:r>
    </w:p>
    <w:p w14:paraId="4D29DBC7" w14:textId="77777777" w:rsidR="00FF7799" w:rsidRPr="00E73F6F" w:rsidRDefault="00FF7799" w:rsidP="007C0767">
      <w:pPr>
        <w:pStyle w:val="StandardText"/>
      </w:pPr>
      <w:r w:rsidRPr="00E73F6F">
        <w:t>Eine „höhere Management-Komplexität“ diagnostizierte auch Macharzina (1989, Sp.908).</w:t>
      </w:r>
      <w:r w:rsidRPr="00E73F6F">
        <w:rPr>
          <w:spacing w:val="-9"/>
        </w:rPr>
        <w:t xml:space="preserve"> </w:t>
      </w:r>
      <w:r w:rsidRPr="00E73F6F">
        <w:t>Diese</w:t>
      </w:r>
      <w:r w:rsidRPr="00E73F6F">
        <w:rPr>
          <w:spacing w:val="-9"/>
        </w:rPr>
        <w:t xml:space="preserve"> </w:t>
      </w:r>
      <w:r w:rsidRPr="00E73F6F">
        <w:t>habe</w:t>
      </w:r>
      <w:r w:rsidRPr="00E73F6F">
        <w:rPr>
          <w:spacing w:val="-9"/>
        </w:rPr>
        <w:t xml:space="preserve"> </w:t>
      </w:r>
      <w:r w:rsidRPr="00E73F6F">
        <w:t>eine</w:t>
      </w:r>
      <w:r w:rsidRPr="00E73F6F">
        <w:rPr>
          <w:spacing w:val="-9"/>
        </w:rPr>
        <w:t xml:space="preserve"> </w:t>
      </w:r>
      <w:r w:rsidRPr="00E73F6F">
        <w:t>Vielzahl</w:t>
      </w:r>
      <w:r w:rsidRPr="00E73F6F">
        <w:rPr>
          <w:spacing w:val="-10"/>
        </w:rPr>
        <w:t xml:space="preserve"> </w:t>
      </w:r>
      <w:r w:rsidRPr="00E73F6F">
        <w:t>von</w:t>
      </w:r>
      <w:r w:rsidRPr="00E73F6F">
        <w:rPr>
          <w:spacing w:val="-9"/>
        </w:rPr>
        <w:t xml:space="preserve"> </w:t>
      </w:r>
      <w:r w:rsidRPr="00E73F6F">
        <w:t>nachgelagerter</w:t>
      </w:r>
      <w:r w:rsidRPr="00E73F6F">
        <w:rPr>
          <w:spacing w:val="-8"/>
        </w:rPr>
        <w:t xml:space="preserve"> </w:t>
      </w:r>
      <w:r w:rsidRPr="00E73F6F">
        <w:t>Konsequenzen,</w:t>
      </w:r>
      <w:r w:rsidRPr="00E73F6F">
        <w:rPr>
          <w:spacing w:val="-10"/>
        </w:rPr>
        <w:t xml:space="preserve"> </w:t>
      </w:r>
      <w:r w:rsidRPr="00E73F6F">
        <w:t>vor</w:t>
      </w:r>
      <w:r w:rsidRPr="00E73F6F">
        <w:rPr>
          <w:spacing w:val="-9"/>
        </w:rPr>
        <w:t xml:space="preserve"> </w:t>
      </w:r>
      <w:r w:rsidRPr="00E73F6F">
        <w:t>allem</w:t>
      </w:r>
      <w:r w:rsidRPr="00E73F6F">
        <w:rPr>
          <w:spacing w:val="-9"/>
        </w:rPr>
        <w:t xml:space="preserve"> </w:t>
      </w:r>
      <w:r w:rsidRPr="00E73F6F">
        <w:rPr>
          <w:spacing w:val="-10"/>
        </w:rPr>
        <w:t>…</w:t>
      </w:r>
    </w:p>
    <w:p w14:paraId="59E13D14" w14:textId="77777777" w:rsidR="00FF7799" w:rsidRPr="00E73F6F" w:rsidRDefault="00FF7799" w:rsidP="00BF2DBF">
      <w:pPr>
        <w:pStyle w:val="StandardTextAufzhlung"/>
        <w:ind w:left="426"/>
      </w:pPr>
      <w:r w:rsidRPr="00E73F6F">
        <w:t>größerer</w:t>
      </w:r>
      <w:r w:rsidRPr="00E73F6F">
        <w:rPr>
          <w:spacing w:val="-4"/>
        </w:rPr>
        <w:t xml:space="preserve"> </w:t>
      </w:r>
      <w:r w:rsidRPr="00E73F6F">
        <w:t>Bedarf</w:t>
      </w:r>
      <w:r w:rsidRPr="00E73F6F">
        <w:rPr>
          <w:spacing w:val="-4"/>
        </w:rPr>
        <w:t xml:space="preserve"> </w:t>
      </w:r>
      <w:r w:rsidRPr="00E73F6F">
        <w:t>an</w:t>
      </w:r>
      <w:r w:rsidRPr="00E73F6F">
        <w:rPr>
          <w:spacing w:val="-3"/>
        </w:rPr>
        <w:t xml:space="preserve"> </w:t>
      </w:r>
      <w:r w:rsidRPr="00E73F6F">
        <w:t>Instrumenten</w:t>
      </w:r>
      <w:r w:rsidRPr="00E73F6F">
        <w:rPr>
          <w:spacing w:val="-6"/>
        </w:rPr>
        <w:t xml:space="preserve"> </w:t>
      </w:r>
      <w:r w:rsidRPr="00E73F6F">
        <w:t>zur</w:t>
      </w:r>
      <w:r w:rsidRPr="00E73F6F">
        <w:rPr>
          <w:spacing w:val="-4"/>
        </w:rPr>
        <w:t xml:space="preserve"> </w:t>
      </w:r>
      <w:r w:rsidRPr="00E73F6F">
        <w:t>Handhabung</w:t>
      </w:r>
      <w:r w:rsidRPr="00E73F6F">
        <w:rPr>
          <w:spacing w:val="-5"/>
        </w:rPr>
        <w:t xml:space="preserve"> </w:t>
      </w:r>
      <w:r w:rsidRPr="00E73F6F">
        <w:t>der</w:t>
      </w:r>
      <w:r w:rsidRPr="00E73F6F">
        <w:rPr>
          <w:spacing w:val="-4"/>
        </w:rPr>
        <w:t xml:space="preserve"> </w:t>
      </w:r>
      <w:r w:rsidRPr="00E73F6F">
        <w:t>inter- organisationalen Beziehungen,</w:t>
      </w:r>
    </w:p>
    <w:p w14:paraId="30F115AA" w14:textId="77777777" w:rsidR="00FF7799" w:rsidRPr="00E73F6F" w:rsidRDefault="00FF7799" w:rsidP="00BF2DBF">
      <w:pPr>
        <w:pStyle w:val="StandardTextAufzhlung"/>
        <w:ind w:left="426"/>
      </w:pPr>
      <w:r w:rsidRPr="00E73F6F">
        <w:t>Einsatz</w:t>
      </w:r>
      <w:r w:rsidRPr="00E73F6F">
        <w:rPr>
          <w:spacing w:val="-7"/>
        </w:rPr>
        <w:t xml:space="preserve"> </w:t>
      </w:r>
      <w:r w:rsidRPr="00E73F6F">
        <w:t>heterogener</w:t>
      </w:r>
      <w:r w:rsidRPr="00E73F6F">
        <w:rPr>
          <w:spacing w:val="-7"/>
        </w:rPr>
        <w:t xml:space="preserve"> </w:t>
      </w:r>
      <w:r w:rsidRPr="00E73F6F">
        <w:t>Management-Konzepte</w:t>
      </w:r>
      <w:r w:rsidRPr="00E73F6F">
        <w:rPr>
          <w:spacing w:val="-7"/>
        </w:rPr>
        <w:t xml:space="preserve"> </w:t>
      </w:r>
      <w:r w:rsidRPr="00E73F6F">
        <w:t>innerhalb</w:t>
      </w:r>
      <w:r w:rsidRPr="00E73F6F">
        <w:rPr>
          <w:spacing w:val="-6"/>
        </w:rPr>
        <w:t xml:space="preserve"> </w:t>
      </w:r>
      <w:r w:rsidRPr="00E73F6F">
        <w:t>ein</w:t>
      </w:r>
      <w:r w:rsidRPr="00E73F6F">
        <w:rPr>
          <w:spacing w:val="-7"/>
        </w:rPr>
        <w:t xml:space="preserve"> </w:t>
      </w:r>
      <w:r w:rsidRPr="00E73F6F">
        <w:t>und desselben Unternehmens (= Diversity),</w:t>
      </w:r>
    </w:p>
    <w:p w14:paraId="2BD8D5BA" w14:textId="77777777" w:rsidR="00FF7799" w:rsidRPr="00E73F6F" w:rsidRDefault="00FF7799" w:rsidP="00BF2DBF">
      <w:pPr>
        <w:pStyle w:val="StandardTextAufzhlung"/>
        <w:ind w:left="426"/>
      </w:pPr>
      <w:r w:rsidRPr="00E73F6F">
        <w:t>Notwendigkeit</w:t>
      </w:r>
      <w:r w:rsidRPr="00E73F6F">
        <w:rPr>
          <w:spacing w:val="-6"/>
        </w:rPr>
        <w:t xml:space="preserve"> </w:t>
      </w:r>
      <w:r w:rsidRPr="00E73F6F">
        <w:t>der</w:t>
      </w:r>
      <w:r w:rsidRPr="00E73F6F">
        <w:rPr>
          <w:spacing w:val="-5"/>
        </w:rPr>
        <w:t xml:space="preserve"> </w:t>
      </w:r>
      <w:r w:rsidRPr="00E73F6F">
        <w:t>Anpassung</w:t>
      </w:r>
      <w:r w:rsidRPr="00E73F6F">
        <w:rPr>
          <w:spacing w:val="-4"/>
        </w:rPr>
        <w:t xml:space="preserve"> </w:t>
      </w:r>
      <w:r w:rsidRPr="00E73F6F">
        <w:t>an</w:t>
      </w:r>
      <w:r w:rsidRPr="00E73F6F">
        <w:rPr>
          <w:spacing w:val="-5"/>
        </w:rPr>
        <w:t xml:space="preserve"> </w:t>
      </w:r>
      <w:r w:rsidRPr="00E73F6F">
        <w:t>variierende</w:t>
      </w:r>
      <w:r w:rsidRPr="00E73F6F">
        <w:rPr>
          <w:spacing w:val="-5"/>
        </w:rPr>
        <w:t xml:space="preserve"> </w:t>
      </w:r>
      <w:r w:rsidRPr="00E73F6F">
        <w:t>Bedingungen</w:t>
      </w:r>
      <w:r w:rsidRPr="00E73F6F">
        <w:rPr>
          <w:spacing w:val="-4"/>
        </w:rPr>
        <w:t xml:space="preserve"> </w:t>
      </w:r>
      <w:r w:rsidRPr="00E73F6F">
        <w:t>in</w:t>
      </w:r>
      <w:r w:rsidRPr="00E73F6F">
        <w:rPr>
          <w:spacing w:val="-5"/>
        </w:rPr>
        <w:t xml:space="preserve"> </w:t>
      </w:r>
      <w:r w:rsidRPr="00E73F6F">
        <w:t>den verschiedenen Auslandsmärkten,</w:t>
      </w:r>
    </w:p>
    <w:p w14:paraId="388C1889" w14:textId="77777777" w:rsidR="00FF7799" w:rsidRPr="00BF2DBF" w:rsidRDefault="00FF7799" w:rsidP="00BF2DBF">
      <w:pPr>
        <w:pStyle w:val="StandardTextAufzhlung"/>
        <w:ind w:left="426"/>
      </w:pPr>
      <w:r w:rsidRPr="00E73F6F">
        <w:t>vermehrte</w:t>
      </w:r>
      <w:r w:rsidRPr="00E73F6F">
        <w:rPr>
          <w:spacing w:val="-4"/>
        </w:rPr>
        <w:t xml:space="preserve"> </w:t>
      </w:r>
      <w:r w:rsidRPr="00E73F6F">
        <w:t>Investitionen</w:t>
      </w:r>
      <w:r w:rsidRPr="00E73F6F">
        <w:rPr>
          <w:spacing w:val="-2"/>
        </w:rPr>
        <w:t xml:space="preserve"> </w:t>
      </w:r>
      <w:r w:rsidRPr="00E73F6F">
        <w:t>in</w:t>
      </w:r>
      <w:r w:rsidRPr="00E73F6F">
        <w:rPr>
          <w:spacing w:val="-2"/>
        </w:rPr>
        <w:t xml:space="preserve"> </w:t>
      </w:r>
      <w:r w:rsidRPr="00E73F6F">
        <w:t>„Management</w:t>
      </w:r>
      <w:r w:rsidRPr="00E73F6F">
        <w:rPr>
          <w:spacing w:val="-3"/>
        </w:rPr>
        <w:t xml:space="preserve"> </w:t>
      </w:r>
      <w:r w:rsidRPr="00E73F6F">
        <w:t>Development-</w:t>
      </w:r>
      <w:r w:rsidRPr="00E73F6F">
        <w:rPr>
          <w:spacing w:val="-2"/>
        </w:rPr>
        <w:t>Programme“.</w:t>
      </w:r>
    </w:p>
    <w:p w14:paraId="3D50EABA" w14:textId="77777777" w:rsidR="00BF2DBF" w:rsidRPr="00E73F6F" w:rsidRDefault="00BF2DBF" w:rsidP="00BF2DBF">
      <w:pPr>
        <w:pStyle w:val="StandardTextAufzhlung"/>
        <w:numPr>
          <w:ilvl w:val="0"/>
          <w:numId w:val="0"/>
        </w:numPr>
        <w:ind w:left="426"/>
      </w:pPr>
    </w:p>
    <w:p w14:paraId="7196230C" w14:textId="77777777" w:rsidR="00FF7799" w:rsidRPr="00E73F6F" w:rsidRDefault="00FF7799" w:rsidP="007C0767">
      <w:pPr>
        <w:pStyle w:val="StandardText"/>
      </w:pPr>
      <w:r w:rsidRPr="00E73F6F">
        <w:lastRenderedPageBreak/>
        <w:t>Schließlich sind diese Kriterien nicht voneinander unabhängig; bspw. hängt die Komplexität einer zu fällenden Entscheidung maßgeblich von Qualität und Quantität</w:t>
      </w:r>
      <w:r w:rsidRPr="00E73F6F">
        <w:rPr>
          <w:spacing w:val="-5"/>
        </w:rPr>
        <w:t xml:space="preserve"> </w:t>
      </w:r>
      <w:r w:rsidRPr="00E73F6F">
        <w:t>der</w:t>
      </w:r>
      <w:r w:rsidRPr="00E73F6F">
        <w:rPr>
          <w:spacing w:val="-8"/>
        </w:rPr>
        <w:t xml:space="preserve"> </w:t>
      </w:r>
      <w:r w:rsidRPr="00E73F6F">
        <w:t>beschaffbaren</w:t>
      </w:r>
      <w:r w:rsidRPr="00E73F6F">
        <w:rPr>
          <w:spacing w:val="-4"/>
        </w:rPr>
        <w:t xml:space="preserve"> </w:t>
      </w:r>
      <w:r w:rsidRPr="00E73F6F">
        <w:t>bzw.</w:t>
      </w:r>
      <w:r w:rsidRPr="00E73F6F">
        <w:rPr>
          <w:spacing w:val="-7"/>
        </w:rPr>
        <w:t xml:space="preserve"> </w:t>
      </w:r>
      <w:r w:rsidRPr="00E73F6F">
        <w:t>zur</w:t>
      </w:r>
      <w:r w:rsidRPr="00E73F6F">
        <w:rPr>
          <w:spacing w:val="-5"/>
        </w:rPr>
        <w:t xml:space="preserve"> </w:t>
      </w:r>
      <w:r w:rsidRPr="00E73F6F">
        <w:t>Verfügung</w:t>
      </w:r>
      <w:r w:rsidRPr="00E73F6F">
        <w:rPr>
          <w:spacing w:val="-4"/>
        </w:rPr>
        <w:t xml:space="preserve"> </w:t>
      </w:r>
      <w:r w:rsidRPr="00E73F6F">
        <w:t>stehenden</w:t>
      </w:r>
      <w:r w:rsidRPr="00E73F6F">
        <w:rPr>
          <w:spacing w:val="-4"/>
        </w:rPr>
        <w:t xml:space="preserve"> </w:t>
      </w:r>
      <w:r w:rsidRPr="00E73F6F">
        <w:t>Informationen</w:t>
      </w:r>
      <w:r w:rsidRPr="00E73F6F">
        <w:rPr>
          <w:spacing w:val="-4"/>
        </w:rPr>
        <w:t xml:space="preserve"> </w:t>
      </w:r>
      <w:r w:rsidRPr="00E73F6F">
        <w:t>ab.</w:t>
      </w:r>
      <w:r w:rsidRPr="00E73F6F">
        <w:rPr>
          <w:spacing w:val="-5"/>
        </w:rPr>
        <w:t xml:space="preserve"> </w:t>
      </w:r>
      <w:r w:rsidRPr="00E73F6F">
        <w:t>Vor allem</w:t>
      </w:r>
      <w:r w:rsidRPr="00E73F6F">
        <w:rPr>
          <w:spacing w:val="-10"/>
        </w:rPr>
        <w:t xml:space="preserve"> </w:t>
      </w:r>
      <w:r w:rsidRPr="00E73F6F">
        <w:t>aber</w:t>
      </w:r>
      <w:r w:rsidRPr="00E73F6F">
        <w:rPr>
          <w:spacing w:val="-9"/>
        </w:rPr>
        <w:t xml:space="preserve"> </w:t>
      </w:r>
      <w:r w:rsidRPr="00E73F6F">
        <w:t>handelt</w:t>
      </w:r>
      <w:r w:rsidRPr="00E73F6F">
        <w:rPr>
          <w:spacing w:val="-9"/>
        </w:rPr>
        <w:t xml:space="preserve"> </w:t>
      </w:r>
      <w:r w:rsidRPr="00E73F6F">
        <w:t>es</w:t>
      </w:r>
      <w:r w:rsidRPr="00E73F6F">
        <w:rPr>
          <w:spacing w:val="-10"/>
        </w:rPr>
        <w:t xml:space="preserve"> </w:t>
      </w:r>
      <w:r w:rsidRPr="00E73F6F">
        <w:t>sich</w:t>
      </w:r>
      <w:r w:rsidRPr="00E73F6F">
        <w:rPr>
          <w:spacing w:val="-8"/>
        </w:rPr>
        <w:t xml:space="preserve"> </w:t>
      </w:r>
      <w:r w:rsidRPr="00E73F6F">
        <w:t>nicht</w:t>
      </w:r>
      <w:r w:rsidRPr="00E73F6F">
        <w:rPr>
          <w:spacing w:val="-9"/>
        </w:rPr>
        <w:t xml:space="preserve"> </w:t>
      </w:r>
      <w:r w:rsidRPr="00E73F6F">
        <w:t>wirklich</w:t>
      </w:r>
      <w:r w:rsidRPr="00E73F6F">
        <w:rPr>
          <w:spacing w:val="-8"/>
        </w:rPr>
        <w:t xml:space="preserve"> </w:t>
      </w:r>
      <w:r w:rsidRPr="00E73F6F">
        <w:t>um</w:t>
      </w:r>
      <w:r w:rsidRPr="00E73F6F">
        <w:rPr>
          <w:spacing w:val="-10"/>
        </w:rPr>
        <w:t xml:space="preserve"> </w:t>
      </w:r>
      <w:r w:rsidRPr="00E73F6F">
        <w:t>Eigenheiten</w:t>
      </w:r>
      <w:r w:rsidRPr="00E73F6F">
        <w:rPr>
          <w:spacing w:val="-8"/>
        </w:rPr>
        <w:t xml:space="preserve"> </w:t>
      </w:r>
      <w:r w:rsidRPr="00E73F6F">
        <w:t>der</w:t>
      </w:r>
      <w:r w:rsidRPr="00E73F6F">
        <w:rPr>
          <w:spacing w:val="-9"/>
        </w:rPr>
        <w:t xml:space="preserve"> </w:t>
      </w:r>
      <w:r w:rsidRPr="00E73F6F">
        <w:t>Internationalisierung: Auch im nationalen Kontext wächst der Informationsbedarf, wenn ein Unternehmen ein neues Geschäftsfeld erschließt. Auch im Heimmarkt kann es risikoreich</w:t>
      </w:r>
      <w:r w:rsidRPr="00E73F6F">
        <w:rPr>
          <w:spacing w:val="-5"/>
        </w:rPr>
        <w:t xml:space="preserve"> </w:t>
      </w:r>
      <w:r w:rsidRPr="00E73F6F">
        <w:t>sein,</w:t>
      </w:r>
      <w:r w:rsidRPr="00E73F6F">
        <w:rPr>
          <w:spacing w:val="-4"/>
        </w:rPr>
        <w:t xml:space="preserve"> </w:t>
      </w:r>
      <w:r w:rsidRPr="00E73F6F">
        <w:t>mit</w:t>
      </w:r>
      <w:r w:rsidRPr="00E73F6F">
        <w:rPr>
          <w:spacing w:val="-5"/>
        </w:rPr>
        <w:t xml:space="preserve"> </w:t>
      </w:r>
      <w:r w:rsidRPr="00E73F6F">
        <w:t>Produktinnovationen</w:t>
      </w:r>
      <w:r w:rsidRPr="00E73F6F">
        <w:rPr>
          <w:spacing w:val="-4"/>
        </w:rPr>
        <w:t xml:space="preserve"> </w:t>
      </w:r>
      <w:r w:rsidRPr="00E73F6F">
        <w:t>neue</w:t>
      </w:r>
      <w:r w:rsidRPr="00E73F6F">
        <w:rPr>
          <w:spacing w:val="-4"/>
        </w:rPr>
        <w:t xml:space="preserve"> </w:t>
      </w:r>
      <w:r w:rsidR="00F3160E">
        <w:rPr>
          <w:spacing w:val="-4"/>
        </w:rPr>
        <w:sym w:font="Symbol" w:char="F0DE"/>
      </w:r>
      <w:r w:rsidR="00F3160E">
        <w:rPr>
          <w:spacing w:val="-4"/>
        </w:rPr>
        <w:t xml:space="preserve"> </w:t>
      </w:r>
      <w:r w:rsidRPr="00E73F6F">
        <w:t>Zielgruppen</w:t>
      </w:r>
      <w:r w:rsidRPr="00E73F6F">
        <w:rPr>
          <w:spacing w:val="-4"/>
        </w:rPr>
        <w:t xml:space="preserve"> </w:t>
      </w:r>
      <w:r w:rsidRPr="00E73F6F">
        <w:t>zu</w:t>
      </w:r>
      <w:r w:rsidRPr="00E73F6F">
        <w:rPr>
          <w:spacing w:val="-3"/>
        </w:rPr>
        <w:t xml:space="preserve"> </w:t>
      </w:r>
      <w:r w:rsidRPr="00E73F6F">
        <w:t>erschließen.</w:t>
      </w:r>
      <w:r w:rsidRPr="00E73F6F">
        <w:rPr>
          <w:spacing w:val="-4"/>
        </w:rPr>
        <w:t xml:space="preserve"> </w:t>
      </w:r>
      <w:r w:rsidRPr="00E73F6F">
        <w:t>Somit ist die erhöhte Komplexität der Aufgaben, die das Marketing zu bewältigen hat, kein „Privileg“ internationaler Unternehmenstätigkeit.</w:t>
      </w:r>
    </w:p>
    <w:p w14:paraId="27CB770D" w14:textId="77777777" w:rsidR="00FF7799" w:rsidRPr="00E73F6F" w:rsidRDefault="00FF7799" w:rsidP="007C0767">
      <w:pPr>
        <w:pStyle w:val="StandardText"/>
      </w:pPr>
      <w:r w:rsidRPr="00E73F6F">
        <w:t>Nachdem die Frage, was die originären Probleme des Internationalen Marketing sind und wie diese systematisiert werden können, nach wie vor offen bzw. auf diese</w:t>
      </w:r>
      <w:r w:rsidRPr="00E73F6F">
        <w:rPr>
          <w:spacing w:val="-7"/>
        </w:rPr>
        <w:t xml:space="preserve"> </w:t>
      </w:r>
      <w:r w:rsidRPr="00E73F6F">
        <w:t>Weise</w:t>
      </w:r>
      <w:r w:rsidRPr="00E73F6F">
        <w:rPr>
          <w:spacing w:val="-7"/>
        </w:rPr>
        <w:t xml:space="preserve"> </w:t>
      </w:r>
      <w:r w:rsidRPr="00E73F6F">
        <w:t>nicht</w:t>
      </w:r>
      <w:r w:rsidRPr="00E73F6F">
        <w:rPr>
          <w:spacing w:val="-8"/>
        </w:rPr>
        <w:t xml:space="preserve"> </w:t>
      </w:r>
      <w:r w:rsidRPr="00E73F6F">
        <w:t>beantwortbar</w:t>
      </w:r>
      <w:r w:rsidRPr="00E73F6F">
        <w:rPr>
          <w:spacing w:val="-6"/>
        </w:rPr>
        <w:t xml:space="preserve"> </w:t>
      </w:r>
      <w:r w:rsidRPr="00E73F6F">
        <w:t>war,</w:t>
      </w:r>
      <w:r w:rsidRPr="00E73F6F">
        <w:rPr>
          <w:spacing w:val="-6"/>
        </w:rPr>
        <w:t xml:space="preserve"> </w:t>
      </w:r>
      <w:r w:rsidRPr="00E73F6F">
        <w:t>unterbreiteten</w:t>
      </w:r>
      <w:r w:rsidRPr="00E73F6F">
        <w:rPr>
          <w:spacing w:val="-4"/>
        </w:rPr>
        <w:t xml:space="preserve"> </w:t>
      </w:r>
      <w:r w:rsidRPr="00E73F6F">
        <w:t>Backhaus/Voeth</w:t>
      </w:r>
      <w:r w:rsidRPr="00E73F6F">
        <w:rPr>
          <w:spacing w:val="-5"/>
        </w:rPr>
        <w:t xml:space="preserve"> </w:t>
      </w:r>
      <w:r w:rsidRPr="00E73F6F">
        <w:t>(2010,</w:t>
      </w:r>
      <w:r w:rsidRPr="00E73F6F">
        <w:rPr>
          <w:spacing w:val="-8"/>
        </w:rPr>
        <w:t xml:space="preserve"> </w:t>
      </w:r>
      <w:r w:rsidRPr="00E73F6F">
        <w:t>S.9ff.) einen</w:t>
      </w:r>
      <w:r w:rsidRPr="00E73F6F">
        <w:rPr>
          <w:spacing w:val="-11"/>
        </w:rPr>
        <w:t xml:space="preserve"> </w:t>
      </w:r>
      <w:r w:rsidRPr="00E73F6F">
        <w:t>alternativen</w:t>
      </w:r>
      <w:r w:rsidRPr="00E73F6F">
        <w:rPr>
          <w:spacing w:val="-9"/>
        </w:rPr>
        <w:t xml:space="preserve"> </w:t>
      </w:r>
      <w:r w:rsidRPr="00E73F6F">
        <w:t>Vorschlag:</w:t>
      </w:r>
      <w:r w:rsidRPr="00E73F6F">
        <w:rPr>
          <w:spacing w:val="-10"/>
        </w:rPr>
        <w:t xml:space="preserve"> </w:t>
      </w:r>
      <w:r w:rsidRPr="00E73F6F">
        <w:t>Die</w:t>
      </w:r>
      <w:r w:rsidRPr="00E73F6F">
        <w:rPr>
          <w:spacing w:val="-12"/>
        </w:rPr>
        <w:t xml:space="preserve"> </w:t>
      </w:r>
      <w:r w:rsidRPr="00E73F6F">
        <w:t>eigentliche</w:t>
      </w:r>
      <w:r w:rsidRPr="00E73F6F">
        <w:rPr>
          <w:spacing w:val="-10"/>
        </w:rPr>
        <w:t xml:space="preserve"> </w:t>
      </w:r>
      <w:r w:rsidRPr="00E73F6F">
        <w:t>Besonderheit</w:t>
      </w:r>
      <w:r w:rsidRPr="00E73F6F">
        <w:rPr>
          <w:spacing w:val="-10"/>
        </w:rPr>
        <w:t xml:space="preserve"> </w:t>
      </w:r>
      <w:r w:rsidRPr="00E73F6F">
        <w:t>der</w:t>
      </w:r>
      <w:r w:rsidRPr="00E73F6F">
        <w:rPr>
          <w:spacing w:val="-10"/>
        </w:rPr>
        <w:t xml:space="preserve"> </w:t>
      </w:r>
      <w:r w:rsidRPr="00E73F6F">
        <w:t>Disziplin</w:t>
      </w:r>
      <w:r w:rsidRPr="00E73F6F">
        <w:rPr>
          <w:spacing w:val="-9"/>
        </w:rPr>
        <w:t xml:space="preserve"> </w:t>
      </w:r>
      <w:r w:rsidRPr="00E73F6F">
        <w:t>erwachse aus einer übergeordneten Größe – der Notwendigkeit, vielfältige Entscheidungstatbestände, Strategien und Maßnahmen zu koordinieren (z.B. Abstimmung der internationalen Preispolitik).</w:t>
      </w:r>
    </w:p>
    <w:p w14:paraId="43A2F295" w14:textId="77777777" w:rsidR="00FF7799" w:rsidRPr="00E73F6F" w:rsidRDefault="00FF7799" w:rsidP="007C0767">
      <w:pPr>
        <w:pStyle w:val="StandardText"/>
        <w:rPr>
          <w:spacing w:val="-2"/>
        </w:rPr>
      </w:pPr>
      <w:r w:rsidRPr="00E73F6F">
        <w:t>Erneut liegt jedoch der Einwand nahe: Ist die Notwendigkeit der Koordination tatsächlich (d.h. qualitativ) ein ureigenes Problem des Internationalen Marketing, aus</w:t>
      </w:r>
      <w:r w:rsidRPr="00E73F6F">
        <w:rPr>
          <w:spacing w:val="-3"/>
        </w:rPr>
        <w:t xml:space="preserve"> </w:t>
      </w:r>
      <w:r w:rsidRPr="00E73F6F">
        <w:t>welchem</w:t>
      </w:r>
      <w:r w:rsidRPr="00E73F6F">
        <w:rPr>
          <w:spacing w:val="-4"/>
        </w:rPr>
        <w:t xml:space="preserve"> </w:t>
      </w:r>
      <w:r w:rsidRPr="00E73F6F">
        <w:t>die</w:t>
      </w:r>
      <w:r w:rsidRPr="00E73F6F">
        <w:rPr>
          <w:spacing w:val="-3"/>
        </w:rPr>
        <w:t xml:space="preserve"> </w:t>
      </w:r>
      <w:r w:rsidRPr="00E73F6F">
        <w:t>Disziplin</w:t>
      </w:r>
      <w:r w:rsidRPr="00E73F6F">
        <w:rPr>
          <w:spacing w:val="-4"/>
        </w:rPr>
        <w:t xml:space="preserve"> </w:t>
      </w:r>
      <w:r w:rsidRPr="00E73F6F">
        <w:t>den</w:t>
      </w:r>
      <w:r w:rsidRPr="00E73F6F">
        <w:rPr>
          <w:spacing w:val="-4"/>
        </w:rPr>
        <w:t xml:space="preserve"> </w:t>
      </w:r>
      <w:r w:rsidRPr="00E73F6F">
        <w:t>Anspruch</w:t>
      </w:r>
      <w:r w:rsidRPr="00E73F6F">
        <w:rPr>
          <w:spacing w:val="-1"/>
        </w:rPr>
        <w:t xml:space="preserve"> </w:t>
      </w:r>
      <w:r w:rsidRPr="00E73F6F">
        <w:t>auf</w:t>
      </w:r>
      <w:r w:rsidRPr="00E73F6F">
        <w:rPr>
          <w:spacing w:val="-5"/>
        </w:rPr>
        <w:t xml:space="preserve"> </w:t>
      </w:r>
      <w:r w:rsidRPr="00E73F6F">
        <w:t>Eigenständigkeit</w:t>
      </w:r>
      <w:r w:rsidRPr="00E73F6F">
        <w:rPr>
          <w:spacing w:val="-3"/>
        </w:rPr>
        <w:t xml:space="preserve"> </w:t>
      </w:r>
      <w:r w:rsidRPr="00E73F6F">
        <w:t>ableiten</w:t>
      </w:r>
      <w:r w:rsidRPr="00E73F6F">
        <w:rPr>
          <w:spacing w:val="-5"/>
        </w:rPr>
        <w:t xml:space="preserve"> </w:t>
      </w:r>
      <w:r w:rsidRPr="00E73F6F">
        <w:t>kann,</w:t>
      </w:r>
      <w:r w:rsidRPr="00E73F6F">
        <w:rPr>
          <w:spacing w:val="-5"/>
        </w:rPr>
        <w:t xml:space="preserve"> </w:t>
      </w:r>
      <w:r w:rsidRPr="00E73F6F">
        <w:t>oder ist</w:t>
      </w:r>
      <w:r w:rsidRPr="00E73F6F">
        <w:rPr>
          <w:spacing w:val="-6"/>
        </w:rPr>
        <w:t xml:space="preserve"> </w:t>
      </w:r>
      <w:r w:rsidRPr="00E73F6F">
        <w:t>dies</w:t>
      </w:r>
      <w:r w:rsidRPr="00E73F6F">
        <w:rPr>
          <w:spacing w:val="-10"/>
        </w:rPr>
        <w:t xml:space="preserve"> </w:t>
      </w:r>
      <w:r w:rsidRPr="00E73F6F">
        <w:t>nur</w:t>
      </w:r>
      <w:r w:rsidRPr="00E73F6F">
        <w:rPr>
          <w:spacing w:val="-9"/>
        </w:rPr>
        <w:t xml:space="preserve"> </w:t>
      </w:r>
      <w:r w:rsidRPr="00E73F6F">
        <w:t>eine</w:t>
      </w:r>
      <w:r w:rsidRPr="00E73F6F">
        <w:rPr>
          <w:spacing w:val="-10"/>
        </w:rPr>
        <w:t xml:space="preserve"> </w:t>
      </w:r>
      <w:r w:rsidRPr="00E73F6F">
        <w:t>Frage</w:t>
      </w:r>
      <w:r w:rsidRPr="00E73F6F">
        <w:rPr>
          <w:spacing w:val="-10"/>
        </w:rPr>
        <w:t xml:space="preserve"> </w:t>
      </w:r>
      <w:r w:rsidRPr="00E73F6F">
        <w:t>des</w:t>
      </w:r>
      <w:r w:rsidRPr="00E73F6F">
        <w:rPr>
          <w:spacing w:val="-7"/>
        </w:rPr>
        <w:t xml:space="preserve"> </w:t>
      </w:r>
      <w:r w:rsidRPr="00E73F6F">
        <w:t>Mehr</w:t>
      </w:r>
      <w:r w:rsidRPr="00E73F6F">
        <w:rPr>
          <w:spacing w:val="-9"/>
        </w:rPr>
        <w:t xml:space="preserve"> </w:t>
      </w:r>
      <w:r w:rsidRPr="00E73F6F">
        <w:t>oder</w:t>
      </w:r>
      <w:r w:rsidRPr="00E73F6F">
        <w:rPr>
          <w:spacing w:val="-7"/>
        </w:rPr>
        <w:t xml:space="preserve"> </w:t>
      </w:r>
      <w:r w:rsidRPr="00E73F6F">
        <w:t>Weniger</w:t>
      </w:r>
      <w:r w:rsidRPr="00E73F6F">
        <w:rPr>
          <w:spacing w:val="-7"/>
        </w:rPr>
        <w:t xml:space="preserve"> </w:t>
      </w:r>
      <w:r w:rsidRPr="00E73F6F">
        <w:t>(=</w:t>
      </w:r>
      <w:r w:rsidRPr="00E73F6F">
        <w:rPr>
          <w:spacing w:val="-10"/>
        </w:rPr>
        <w:t xml:space="preserve"> </w:t>
      </w:r>
      <w:r w:rsidRPr="00E73F6F">
        <w:t>quantitativ).</w:t>
      </w:r>
      <w:r w:rsidRPr="00E73F6F">
        <w:rPr>
          <w:spacing w:val="-8"/>
        </w:rPr>
        <w:t xml:space="preserve"> </w:t>
      </w:r>
      <w:r w:rsidRPr="00E73F6F">
        <w:t>Wie</w:t>
      </w:r>
      <w:r w:rsidRPr="00E73F6F">
        <w:rPr>
          <w:spacing w:val="-10"/>
        </w:rPr>
        <w:t xml:space="preserve"> </w:t>
      </w:r>
      <w:r w:rsidRPr="00E73F6F">
        <w:t>andere</w:t>
      </w:r>
      <w:r w:rsidRPr="00E73F6F">
        <w:rPr>
          <w:spacing w:val="-7"/>
        </w:rPr>
        <w:t xml:space="preserve"> </w:t>
      </w:r>
      <w:r w:rsidRPr="00E73F6F">
        <w:t>Autoren halten</w:t>
      </w:r>
      <w:r w:rsidRPr="00E73F6F">
        <w:rPr>
          <w:spacing w:val="-12"/>
        </w:rPr>
        <w:t xml:space="preserve"> </w:t>
      </w:r>
      <w:r w:rsidRPr="00E73F6F">
        <w:t>auch</w:t>
      </w:r>
      <w:r w:rsidRPr="00E73F6F">
        <w:rPr>
          <w:spacing w:val="-11"/>
        </w:rPr>
        <w:t xml:space="preserve"> </w:t>
      </w:r>
      <w:r w:rsidRPr="00E73F6F">
        <w:t>wir</w:t>
      </w:r>
      <w:r w:rsidRPr="00E73F6F">
        <w:rPr>
          <w:spacing w:val="-11"/>
        </w:rPr>
        <w:t xml:space="preserve"> </w:t>
      </w:r>
      <w:r w:rsidRPr="00E73F6F">
        <w:t>deshalb</w:t>
      </w:r>
      <w:r w:rsidRPr="00E73F6F">
        <w:rPr>
          <w:spacing w:val="-11"/>
        </w:rPr>
        <w:t xml:space="preserve"> </w:t>
      </w:r>
      <w:r w:rsidRPr="00E73F6F">
        <w:t>ein</w:t>
      </w:r>
      <w:r w:rsidRPr="00E73F6F">
        <w:rPr>
          <w:spacing w:val="-12"/>
        </w:rPr>
        <w:t xml:space="preserve"> </w:t>
      </w:r>
      <w:r w:rsidRPr="00E73F6F">
        <w:t>anderes</w:t>
      </w:r>
      <w:r w:rsidRPr="00E73F6F">
        <w:rPr>
          <w:spacing w:val="-11"/>
        </w:rPr>
        <w:t xml:space="preserve"> </w:t>
      </w:r>
      <w:r w:rsidRPr="00E73F6F">
        <w:t>Kriterium</w:t>
      </w:r>
      <w:r w:rsidRPr="00E73F6F">
        <w:rPr>
          <w:spacing w:val="-11"/>
        </w:rPr>
        <w:t xml:space="preserve"> </w:t>
      </w:r>
      <w:r w:rsidRPr="00E73F6F">
        <w:t>für</w:t>
      </w:r>
      <w:r w:rsidRPr="00E73F6F">
        <w:rPr>
          <w:spacing w:val="-11"/>
        </w:rPr>
        <w:t xml:space="preserve"> </w:t>
      </w:r>
      <w:r w:rsidRPr="00E73F6F">
        <w:t>letztlich</w:t>
      </w:r>
      <w:r w:rsidRPr="00E73F6F">
        <w:rPr>
          <w:spacing w:val="-12"/>
        </w:rPr>
        <w:t xml:space="preserve"> </w:t>
      </w:r>
      <w:r w:rsidRPr="00E73F6F">
        <w:t>identitätsstiftend:</w:t>
      </w:r>
      <w:r w:rsidRPr="00E73F6F">
        <w:rPr>
          <w:spacing w:val="-11"/>
        </w:rPr>
        <w:t xml:space="preserve"> </w:t>
      </w:r>
      <w:r w:rsidRPr="00E73F6F">
        <w:t>Multi- Kulturalismus,</w:t>
      </w:r>
      <w:r w:rsidRPr="00E73F6F">
        <w:rPr>
          <w:spacing w:val="-7"/>
        </w:rPr>
        <w:t xml:space="preserve"> </w:t>
      </w:r>
      <w:r w:rsidRPr="00E73F6F">
        <w:t>die</w:t>
      </w:r>
      <w:r w:rsidRPr="00E73F6F">
        <w:rPr>
          <w:spacing w:val="-4"/>
        </w:rPr>
        <w:t xml:space="preserve"> </w:t>
      </w:r>
      <w:r w:rsidRPr="00E73F6F">
        <w:t>Konfrontation</w:t>
      </w:r>
      <w:r w:rsidRPr="00E73F6F">
        <w:rPr>
          <w:spacing w:val="-4"/>
        </w:rPr>
        <w:t xml:space="preserve"> </w:t>
      </w:r>
      <w:r w:rsidRPr="00E73F6F">
        <w:t>mit</w:t>
      </w:r>
      <w:r w:rsidRPr="00E73F6F">
        <w:rPr>
          <w:spacing w:val="-3"/>
        </w:rPr>
        <w:t xml:space="preserve"> </w:t>
      </w:r>
      <w:r w:rsidRPr="00E73F6F">
        <w:t>mehreren Kulturen</w:t>
      </w:r>
      <w:r w:rsidRPr="00E73F6F">
        <w:rPr>
          <w:spacing w:val="-2"/>
        </w:rPr>
        <w:t xml:space="preserve"> </w:t>
      </w:r>
      <w:r w:rsidRPr="00E73F6F">
        <w:t>(vgl.</w:t>
      </w:r>
      <w:r w:rsidRPr="00E73F6F">
        <w:rPr>
          <w:spacing w:val="-2"/>
        </w:rPr>
        <w:t xml:space="preserve"> </w:t>
      </w:r>
      <w:r w:rsidRPr="00E73F6F">
        <w:t>z.B.</w:t>
      </w:r>
      <w:r w:rsidRPr="00E73F6F">
        <w:rPr>
          <w:spacing w:val="-5"/>
        </w:rPr>
        <w:t xml:space="preserve"> </w:t>
      </w:r>
      <w:r w:rsidRPr="00E73F6F">
        <w:t>Schmid</w:t>
      </w:r>
      <w:r w:rsidRPr="00E73F6F">
        <w:rPr>
          <w:spacing w:val="-1"/>
        </w:rPr>
        <w:t xml:space="preserve"> </w:t>
      </w:r>
      <w:r w:rsidRPr="00E73F6F">
        <w:rPr>
          <w:spacing w:val="-2"/>
        </w:rPr>
        <w:t>1996).</w:t>
      </w:r>
    </w:p>
    <w:p w14:paraId="5D411532" w14:textId="77777777" w:rsidR="00FF7799" w:rsidRPr="00E73F6F" w:rsidRDefault="00FF7799" w:rsidP="007C0767">
      <w:pPr>
        <w:pStyle w:val="StandardText"/>
      </w:pPr>
    </w:p>
    <w:p w14:paraId="24D6FB8D" w14:textId="77777777" w:rsidR="00FF7799" w:rsidRPr="00580F1D" w:rsidRDefault="00FF7799" w:rsidP="00AE77FA">
      <w:pPr>
        <w:pStyle w:val="StandardTextkursiv"/>
        <w:rPr>
          <w:i w:val="0"/>
        </w:rPr>
      </w:pPr>
      <w:r w:rsidRPr="00580F1D">
        <w:rPr>
          <w:i w:val="0"/>
        </w:rPr>
        <w:t>3.2 Informationsbedarf</w:t>
      </w:r>
    </w:p>
    <w:p w14:paraId="667D28A3" w14:textId="77777777" w:rsidR="00FF7799" w:rsidRPr="00E73F6F" w:rsidRDefault="00FF7799" w:rsidP="007C0767">
      <w:pPr>
        <w:pStyle w:val="StandardText"/>
      </w:pPr>
      <w:r w:rsidRPr="00E73F6F">
        <w:t>Im</w:t>
      </w:r>
      <w:r w:rsidRPr="00E73F6F">
        <w:rPr>
          <w:spacing w:val="-2"/>
        </w:rPr>
        <w:t xml:space="preserve"> </w:t>
      </w:r>
      <w:r w:rsidRPr="00E73F6F">
        <w:t>Zuge</w:t>
      </w:r>
      <w:r w:rsidRPr="00E73F6F">
        <w:rPr>
          <w:spacing w:val="-2"/>
        </w:rPr>
        <w:t xml:space="preserve"> </w:t>
      </w:r>
      <w:r w:rsidRPr="00E73F6F">
        <w:t>der</w:t>
      </w:r>
      <w:r w:rsidRPr="00E73F6F">
        <w:rPr>
          <w:spacing w:val="-4"/>
        </w:rPr>
        <w:t xml:space="preserve"> </w:t>
      </w:r>
      <w:r w:rsidRPr="00E73F6F">
        <w:t>Internationalisierung</w:t>
      </w:r>
      <w:r w:rsidRPr="00E73F6F">
        <w:rPr>
          <w:spacing w:val="-3"/>
        </w:rPr>
        <w:t xml:space="preserve"> </w:t>
      </w:r>
      <w:r w:rsidRPr="00E73F6F">
        <w:t>der</w:t>
      </w:r>
      <w:r w:rsidRPr="00E73F6F">
        <w:rPr>
          <w:spacing w:val="-2"/>
        </w:rPr>
        <w:t xml:space="preserve"> </w:t>
      </w:r>
      <w:r w:rsidRPr="00E73F6F">
        <w:t>Unternehmenstätigkeit nimmt</w:t>
      </w:r>
      <w:r w:rsidRPr="00E73F6F">
        <w:rPr>
          <w:spacing w:val="-5"/>
        </w:rPr>
        <w:t xml:space="preserve"> </w:t>
      </w:r>
      <w:r w:rsidRPr="00E73F6F">
        <w:t>der</w:t>
      </w:r>
      <w:r w:rsidRPr="00E73F6F">
        <w:rPr>
          <w:spacing w:val="-5"/>
        </w:rPr>
        <w:t xml:space="preserve"> </w:t>
      </w:r>
      <w:r w:rsidRPr="00E73F6F">
        <w:t>Informationsbedarf</w:t>
      </w:r>
      <w:r w:rsidRPr="00E73F6F">
        <w:rPr>
          <w:spacing w:val="-5"/>
        </w:rPr>
        <w:t xml:space="preserve"> </w:t>
      </w:r>
      <w:r w:rsidRPr="00E73F6F">
        <w:t>sprunghaft</w:t>
      </w:r>
      <w:r w:rsidRPr="00E73F6F">
        <w:rPr>
          <w:spacing w:val="-5"/>
        </w:rPr>
        <w:t xml:space="preserve"> </w:t>
      </w:r>
      <w:r w:rsidRPr="00E73F6F">
        <w:t>zu.</w:t>
      </w:r>
      <w:r w:rsidRPr="00E73F6F">
        <w:rPr>
          <w:spacing w:val="-7"/>
        </w:rPr>
        <w:t xml:space="preserve"> </w:t>
      </w:r>
      <w:r w:rsidRPr="00E73F6F">
        <w:t>Er</w:t>
      </w:r>
      <w:r w:rsidRPr="00E73F6F">
        <w:rPr>
          <w:spacing w:val="-5"/>
        </w:rPr>
        <w:t xml:space="preserve"> </w:t>
      </w:r>
      <w:r w:rsidRPr="00E73F6F">
        <w:t>wächst</w:t>
      </w:r>
      <w:r w:rsidRPr="00E73F6F">
        <w:rPr>
          <w:spacing w:val="-5"/>
        </w:rPr>
        <w:t xml:space="preserve"> </w:t>
      </w:r>
      <w:r w:rsidRPr="00E73F6F">
        <w:t>allein</w:t>
      </w:r>
      <w:r w:rsidRPr="00E73F6F">
        <w:rPr>
          <w:spacing w:val="-5"/>
        </w:rPr>
        <w:t xml:space="preserve"> </w:t>
      </w:r>
      <w:r w:rsidRPr="00E73F6F">
        <w:t>schon</w:t>
      </w:r>
      <w:r w:rsidRPr="00E73F6F">
        <w:rPr>
          <w:spacing w:val="-5"/>
        </w:rPr>
        <w:t xml:space="preserve"> </w:t>
      </w:r>
      <w:r w:rsidRPr="00E73F6F">
        <w:t>deshalb,</w:t>
      </w:r>
      <w:r w:rsidRPr="00E73F6F">
        <w:rPr>
          <w:spacing w:val="-5"/>
        </w:rPr>
        <w:t xml:space="preserve"> </w:t>
      </w:r>
      <w:r w:rsidRPr="00E73F6F">
        <w:t xml:space="preserve">weil sich dabei Art und Anzahl der Tochtergesellschaften bzw. Vertriebsniederlassungen sowie Mitarbeiter, Konkurrenten, Zulieferer, Handelsunternehmen, Zielgruppen, zu berücksichtigende Rechtssysteme etc. verändern (im Regelfall erhöhen). Zumeist besitzen solche Unternehmen auch kaum </w:t>
      </w:r>
      <w:r w:rsidRPr="00E73F6F">
        <w:rPr>
          <w:b/>
        </w:rPr>
        <w:t>„</w:t>
      </w:r>
      <w:r w:rsidRPr="00E73F6F">
        <w:t xml:space="preserve">implizites Wissen“ über Auslandsmärkte. Deshalb sind explizite Informationen in ausreichender Quantität und Qualität für das Internationale Marketing noch wichtiger als für das Domestic Marketing, um sachgerechte Entscheidungen treffen zu können. Daraus erwächst allerdings eine prinzipielle Schwierigkeit. Vielfach stehen sekundärstatistische Daten nicht oder nur auszugsweise zur Verfügung. Und in </w:t>
      </w:r>
      <w:r w:rsidR="00580F1D">
        <w:t xml:space="preserve">vielen Ländern des globalen Südens </w:t>
      </w:r>
      <w:r w:rsidRPr="00E73F6F">
        <w:t>mangelt</w:t>
      </w:r>
      <w:r w:rsidRPr="00E73F6F">
        <w:rPr>
          <w:spacing w:val="43"/>
        </w:rPr>
        <w:t xml:space="preserve"> </w:t>
      </w:r>
      <w:r w:rsidRPr="00E73F6F">
        <w:t>es</w:t>
      </w:r>
      <w:r w:rsidRPr="00580F1D">
        <w:t xml:space="preserve"> </w:t>
      </w:r>
      <w:r w:rsidR="00580F1D" w:rsidRPr="00580F1D">
        <w:t xml:space="preserve">noch immer </w:t>
      </w:r>
      <w:r w:rsidRPr="00E73F6F">
        <w:t>an</w:t>
      </w:r>
      <w:r w:rsidRPr="00E73F6F">
        <w:rPr>
          <w:spacing w:val="42"/>
        </w:rPr>
        <w:t xml:space="preserve"> </w:t>
      </w:r>
      <w:r w:rsidRPr="00E73F6F">
        <w:t>qualifizierten</w:t>
      </w:r>
      <w:r w:rsidRPr="00E73F6F">
        <w:rPr>
          <w:spacing w:val="42"/>
        </w:rPr>
        <w:t xml:space="preserve"> </w:t>
      </w:r>
      <w:r w:rsidRPr="00E73F6F">
        <w:t>Marktforschungs</w:t>
      </w:r>
      <w:r w:rsidR="00580F1D">
        <w:t>i</w:t>
      </w:r>
      <w:r w:rsidRPr="00E73F6F">
        <w:t>nstituten,</w:t>
      </w:r>
      <w:r w:rsidRPr="00E73F6F">
        <w:rPr>
          <w:spacing w:val="42"/>
        </w:rPr>
        <w:t xml:space="preserve"> </w:t>
      </w:r>
      <w:r w:rsidRPr="00E73F6F">
        <w:t>die</w:t>
      </w:r>
      <w:r w:rsidRPr="00E73F6F">
        <w:rPr>
          <w:spacing w:val="42"/>
        </w:rPr>
        <w:t xml:space="preserve"> </w:t>
      </w:r>
      <w:r w:rsidRPr="00E73F6F">
        <w:t>„vor</w:t>
      </w:r>
      <w:r w:rsidRPr="00E73F6F">
        <w:rPr>
          <w:spacing w:val="42"/>
        </w:rPr>
        <w:t xml:space="preserve"> </w:t>
      </w:r>
      <w:r w:rsidRPr="00E73F6F">
        <w:rPr>
          <w:spacing w:val="-4"/>
        </w:rPr>
        <w:t xml:space="preserve">Ort“ </w:t>
      </w:r>
      <w:r w:rsidRPr="00E73F6F">
        <w:t>primärstatistische Daten erheben könnten. Falls doch, so verursacht diese Art der Informationsgewinnung erhebliche Kosten (vgl. Bauer 2009).</w:t>
      </w:r>
    </w:p>
    <w:p w14:paraId="6A8CDBF0" w14:textId="77777777" w:rsidR="00FF7799" w:rsidRPr="00E73F6F" w:rsidRDefault="00FF7799" w:rsidP="007C0767">
      <w:pPr>
        <w:pStyle w:val="StandardText"/>
      </w:pPr>
      <w:r w:rsidRPr="00E73F6F">
        <w:t>Hinzu kommen die kulturellen Besonderheiten, welche bei der Bearbeitung der unterschiedlichen Ländermärkte zu berücksichtigen sind. Will das Unternehmen die notwendigen Daten (z.B. über Markenbewusstsein und Preisbereitschaft verschiedener</w:t>
      </w:r>
      <w:r w:rsidRPr="00E73F6F">
        <w:rPr>
          <w:spacing w:val="-5"/>
        </w:rPr>
        <w:t xml:space="preserve"> </w:t>
      </w:r>
      <w:r w:rsidRPr="00E73F6F">
        <w:t>Zielgruppen)</w:t>
      </w:r>
      <w:r w:rsidRPr="00E73F6F">
        <w:rPr>
          <w:spacing w:val="-5"/>
        </w:rPr>
        <w:t xml:space="preserve"> </w:t>
      </w:r>
      <w:r w:rsidRPr="00E73F6F">
        <w:t>in</w:t>
      </w:r>
      <w:r w:rsidRPr="00E73F6F">
        <w:rPr>
          <w:spacing w:val="-4"/>
        </w:rPr>
        <w:t xml:space="preserve"> </w:t>
      </w:r>
      <w:r w:rsidRPr="00E73F6F">
        <w:t>mehreren</w:t>
      </w:r>
      <w:r w:rsidRPr="00E73F6F">
        <w:rPr>
          <w:spacing w:val="-4"/>
        </w:rPr>
        <w:t xml:space="preserve"> </w:t>
      </w:r>
      <w:r w:rsidRPr="00E73F6F">
        <w:t>Ländern</w:t>
      </w:r>
      <w:r w:rsidRPr="00E73F6F">
        <w:rPr>
          <w:spacing w:val="-6"/>
        </w:rPr>
        <w:t xml:space="preserve"> </w:t>
      </w:r>
      <w:r w:rsidRPr="00E73F6F">
        <w:t>primärstatistisch</w:t>
      </w:r>
      <w:r w:rsidRPr="00E73F6F">
        <w:rPr>
          <w:spacing w:val="-6"/>
        </w:rPr>
        <w:t xml:space="preserve"> </w:t>
      </w:r>
      <w:r w:rsidRPr="00E73F6F">
        <w:t>erheben,</w:t>
      </w:r>
      <w:r w:rsidRPr="00E73F6F">
        <w:rPr>
          <w:spacing w:val="-5"/>
        </w:rPr>
        <w:t xml:space="preserve"> </w:t>
      </w:r>
      <w:r w:rsidRPr="00E73F6F">
        <w:t>so</w:t>
      </w:r>
      <w:r w:rsidRPr="00E73F6F">
        <w:rPr>
          <w:spacing w:val="-6"/>
        </w:rPr>
        <w:t xml:space="preserve"> </w:t>
      </w:r>
      <w:r w:rsidRPr="00E73F6F">
        <w:t xml:space="preserve">hat die internationale bzw. interkulturelle Marketing-Forschung konzeptionelle, methodologische und organisatorische Probleme zu bewältigen, die sich im nationalen Geschäft nicht bzw. nicht mit dieser Intensität stellen. Hierzu zählen </w:t>
      </w:r>
      <w:r w:rsidRPr="00E73F6F">
        <w:rPr>
          <w:spacing w:val="-2"/>
        </w:rPr>
        <w:t>u.a.:</w:t>
      </w:r>
    </w:p>
    <w:p w14:paraId="38DE8784" w14:textId="77777777" w:rsidR="00FF7799" w:rsidRPr="00E73F6F" w:rsidRDefault="00FF7799" w:rsidP="00BF2DBF">
      <w:pPr>
        <w:pStyle w:val="StandardTextAufzhlung"/>
        <w:ind w:left="426"/>
      </w:pPr>
      <w:r w:rsidRPr="00E73F6F">
        <w:t>verschiedene</w:t>
      </w:r>
      <w:r w:rsidRPr="00E73F6F">
        <w:rPr>
          <w:spacing w:val="-4"/>
        </w:rPr>
        <w:t xml:space="preserve"> </w:t>
      </w:r>
      <w:r w:rsidRPr="00E73F6F">
        <w:t>Äquivalenzprobleme</w:t>
      </w:r>
      <w:r w:rsidRPr="00E73F6F">
        <w:rPr>
          <w:spacing w:val="-4"/>
        </w:rPr>
        <w:t xml:space="preserve"> </w:t>
      </w:r>
      <w:r w:rsidRPr="00E73F6F">
        <w:t>(z.B.</w:t>
      </w:r>
      <w:r w:rsidRPr="00E73F6F">
        <w:rPr>
          <w:spacing w:val="-3"/>
        </w:rPr>
        <w:t xml:space="preserve"> </w:t>
      </w:r>
      <w:r w:rsidRPr="00E73F6F">
        <w:t>sprachliche</w:t>
      </w:r>
      <w:r w:rsidRPr="00E73F6F">
        <w:rPr>
          <w:spacing w:val="-3"/>
        </w:rPr>
        <w:t xml:space="preserve"> </w:t>
      </w:r>
      <w:r w:rsidRPr="00E73F6F">
        <w:rPr>
          <w:spacing w:val="-2"/>
        </w:rPr>
        <w:t>Äquivalenz),</w:t>
      </w:r>
    </w:p>
    <w:p w14:paraId="4C019A0F" w14:textId="77777777" w:rsidR="00FF7799" w:rsidRPr="00E73F6F" w:rsidRDefault="00FF7799" w:rsidP="00BF2DBF">
      <w:pPr>
        <w:pStyle w:val="StandardTextAufzhlung"/>
        <w:ind w:left="426"/>
      </w:pPr>
      <w:r w:rsidRPr="00E73F6F">
        <w:t>kulturspezifisch</w:t>
      </w:r>
      <w:r w:rsidRPr="00E73F6F">
        <w:rPr>
          <w:spacing w:val="-4"/>
        </w:rPr>
        <w:t xml:space="preserve"> </w:t>
      </w:r>
      <w:r w:rsidRPr="00E73F6F">
        <w:t>stärkere</w:t>
      </w:r>
      <w:r w:rsidRPr="00E73F6F">
        <w:rPr>
          <w:spacing w:val="-6"/>
        </w:rPr>
        <w:t xml:space="preserve"> </w:t>
      </w:r>
      <w:r w:rsidRPr="00E73F6F">
        <w:t>oder</w:t>
      </w:r>
      <w:r w:rsidRPr="00E73F6F">
        <w:rPr>
          <w:spacing w:val="-5"/>
        </w:rPr>
        <w:t xml:space="preserve"> </w:t>
      </w:r>
      <w:r w:rsidRPr="00E73F6F">
        <w:t>schwächere</w:t>
      </w:r>
      <w:r w:rsidRPr="00E73F6F">
        <w:rPr>
          <w:spacing w:val="-6"/>
        </w:rPr>
        <w:t xml:space="preserve"> </w:t>
      </w:r>
      <w:r w:rsidRPr="00E73F6F">
        <w:t>Neigung,</w:t>
      </w:r>
      <w:r w:rsidRPr="00E73F6F">
        <w:rPr>
          <w:spacing w:val="-5"/>
        </w:rPr>
        <w:t xml:space="preserve"> </w:t>
      </w:r>
      <w:r w:rsidRPr="00E73F6F">
        <w:t>sozial</w:t>
      </w:r>
      <w:r w:rsidRPr="00E73F6F">
        <w:rPr>
          <w:spacing w:val="-7"/>
        </w:rPr>
        <w:t xml:space="preserve"> </w:t>
      </w:r>
      <w:r w:rsidRPr="00E73F6F">
        <w:t>erwünscht zu antworten,</w:t>
      </w:r>
    </w:p>
    <w:p w14:paraId="748019BF" w14:textId="77777777" w:rsidR="00FF7799" w:rsidRPr="00E73F6F" w:rsidRDefault="00FF7799" w:rsidP="00BF2DBF">
      <w:pPr>
        <w:pStyle w:val="StandardTextAufzhlung"/>
        <w:ind w:left="426"/>
      </w:pPr>
      <w:r w:rsidRPr="00E73F6F">
        <w:t>Mangel</w:t>
      </w:r>
      <w:r w:rsidRPr="00E73F6F">
        <w:rPr>
          <w:spacing w:val="-5"/>
        </w:rPr>
        <w:t xml:space="preserve"> </w:t>
      </w:r>
      <w:r w:rsidRPr="00E73F6F">
        <w:t>an</w:t>
      </w:r>
      <w:r w:rsidRPr="00E73F6F">
        <w:rPr>
          <w:spacing w:val="-1"/>
        </w:rPr>
        <w:t xml:space="preserve"> </w:t>
      </w:r>
      <w:r w:rsidRPr="00E73F6F">
        <w:t>standardisierten,</w:t>
      </w:r>
      <w:r w:rsidRPr="00E73F6F">
        <w:rPr>
          <w:spacing w:val="1"/>
        </w:rPr>
        <w:t xml:space="preserve"> </w:t>
      </w:r>
      <w:r w:rsidRPr="00E73F6F">
        <w:t>kulturinvarianten</w:t>
      </w:r>
      <w:r w:rsidRPr="00E73F6F">
        <w:rPr>
          <w:spacing w:val="-4"/>
        </w:rPr>
        <w:t xml:space="preserve"> </w:t>
      </w:r>
      <w:r w:rsidRPr="00E73F6F">
        <w:rPr>
          <w:spacing w:val="-2"/>
        </w:rPr>
        <w:t>Skalen,</w:t>
      </w:r>
    </w:p>
    <w:p w14:paraId="7168AE98" w14:textId="77777777" w:rsidR="00FF7799" w:rsidRDefault="00FF7799" w:rsidP="00BF2DBF">
      <w:pPr>
        <w:pStyle w:val="StandardTextAufzhlung"/>
        <w:ind w:left="426"/>
      </w:pPr>
      <w:r w:rsidRPr="00E73F6F">
        <w:t>unterschiedliche Bereitschaft, an Umfragen teilzunehmen, mit der Folge</w:t>
      </w:r>
      <w:r w:rsidRPr="00E73F6F">
        <w:rPr>
          <w:spacing w:val="-9"/>
        </w:rPr>
        <w:t xml:space="preserve"> </w:t>
      </w:r>
      <w:r w:rsidRPr="00E73F6F">
        <w:t>von</w:t>
      </w:r>
      <w:r w:rsidRPr="00E73F6F">
        <w:rPr>
          <w:spacing w:val="-9"/>
        </w:rPr>
        <w:t xml:space="preserve"> </w:t>
      </w:r>
      <w:r w:rsidRPr="00E73F6F">
        <w:t>gravierenden</w:t>
      </w:r>
      <w:r w:rsidRPr="00E73F6F">
        <w:rPr>
          <w:spacing w:val="-9"/>
        </w:rPr>
        <w:t xml:space="preserve"> </w:t>
      </w:r>
      <w:r w:rsidRPr="00E73F6F">
        <w:t>Stichprobenproblemen</w:t>
      </w:r>
      <w:r w:rsidRPr="00E73F6F">
        <w:rPr>
          <w:spacing w:val="-8"/>
        </w:rPr>
        <w:t xml:space="preserve"> </w:t>
      </w:r>
      <w:r w:rsidRPr="00E73F6F">
        <w:t>(Repräsentativität, Vergleichbarkeit etc.).</w:t>
      </w:r>
    </w:p>
    <w:p w14:paraId="2CE87F67" w14:textId="77777777" w:rsidR="00BF2DBF" w:rsidRPr="00E73F6F" w:rsidRDefault="00BF2DBF" w:rsidP="00BF2DBF">
      <w:pPr>
        <w:pStyle w:val="StandardTextAufzhlung"/>
        <w:numPr>
          <w:ilvl w:val="0"/>
          <w:numId w:val="0"/>
        </w:numPr>
        <w:ind w:left="426"/>
      </w:pPr>
    </w:p>
    <w:p w14:paraId="57FEE0F2" w14:textId="77777777" w:rsidR="00FF7799" w:rsidRPr="00E73F6F" w:rsidRDefault="00FF7799" w:rsidP="007C0767">
      <w:pPr>
        <w:pStyle w:val="StandardText"/>
      </w:pPr>
      <w:r w:rsidRPr="00E73F6F">
        <w:t>Aufgrund der hierbei erfahrungsgemäß völlig ungenügenden Auskunftsbereitschaft</w:t>
      </w:r>
      <w:r w:rsidRPr="00E73F6F">
        <w:rPr>
          <w:spacing w:val="-12"/>
        </w:rPr>
        <w:t xml:space="preserve"> </w:t>
      </w:r>
      <w:r w:rsidRPr="00E73F6F">
        <w:t>der</w:t>
      </w:r>
      <w:r w:rsidRPr="00E73F6F">
        <w:rPr>
          <w:spacing w:val="-11"/>
        </w:rPr>
        <w:t xml:space="preserve"> </w:t>
      </w:r>
      <w:r w:rsidRPr="00E73F6F">
        <w:t>befragten</w:t>
      </w:r>
      <w:r w:rsidRPr="00E73F6F">
        <w:rPr>
          <w:spacing w:val="-11"/>
        </w:rPr>
        <w:t xml:space="preserve"> </w:t>
      </w:r>
      <w:r w:rsidRPr="00E73F6F">
        <w:t>Manager</w:t>
      </w:r>
      <w:r w:rsidRPr="00E73F6F">
        <w:rPr>
          <w:spacing w:val="-11"/>
        </w:rPr>
        <w:t xml:space="preserve"> </w:t>
      </w:r>
      <w:r w:rsidRPr="00E73F6F">
        <w:t>wiegt</w:t>
      </w:r>
      <w:r w:rsidRPr="00E73F6F">
        <w:rPr>
          <w:spacing w:val="-12"/>
        </w:rPr>
        <w:t xml:space="preserve"> </w:t>
      </w:r>
      <w:r w:rsidRPr="00E73F6F">
        <w:t>dieses</w:t>
      </w:r>
      <w:r w:rsidRPr="00E73F6F">
        <w:rPr>
          <w:spacing w:val="-11"/>
        </w:rPr>
        <w:t xml:space="preserve"> </w:t>
      </w:r>
      <w:r w:rsidRPr="00E73F6F">
        <w:t>Problem</w:t>
      </w:r>
      <w:r w:rsidRPr="00E73F6F">
        <w:rPr>
          <w:spacing w:val="-11"/>
        </w:rPr>
        <w:t xml:space="preserve"> </w:t>
      </w:r>
      <w:r w:rsidRPr="00E73F6F">
        <w:t>bei</w:t>
      </w:r>
      <w:r w:rsidRPr="00E73F6F">
        <w:rPr>
          <w:spacing w:val="-11"/>
        </w:rPr>
        <w:t xml:space="preserve"> </w:t>
      </w:r>
      <w:r w:rsidRPr="00E73F6F">
        <w:t>Studien</w:t>
      </w:r>
      <w:r w:rsidRPr="00E73F6F">
        <w:rPr>
          <w:spacing w:val="-12"/>
        </w:rPr>
        <w:t xml:space="preserve"> </w:t>
      </w:r>
      <w:r w:rsidRPr="00E73F6F">
        <w:t>zur internationalen</w:t>
      </w:r>
      <w:r w:rsidRPr="00E73F6F">
        <w:rPr>
          <w:spacing w:val="-12"/>
        </w:rPr>
        <w:t xml:space="preserve"> </w:t>
      </w:r>
      <w:r w:rsidRPr="00E73F6F">
        <w:t>Preispolitik</w:t>
      </w:r>
      <w:r w:rsidRPr="00E73F6F">
        <w:rPr>
          <w:spacing w:val="-11"/>
        </w:rPr>
        <w:t xml:space="preserve"> </w:t>
      </w:r>
      <w:r w:rsidRPr="00E73F6F">
        <w:t>besonders</w:t>
      </w:r>
      <w:r w:rsidRPr="00E73F6F">
        <w:rPr>
          <w:spacing w:val="-11"/>
        </w:rPr>
        <w:t xml:space="preserve"> </w:t>
      </w:r>
      <w:r w:rsidRPr="00E73F6F">
        <w:t>schwer.</w:t>
      </w:r>
      <w:r w:rsidRPr="00E73F6F">
        <w:rPr>
          <w:spacing w:val="-11"/>
        </w:rPr>
        <w:t xml:space="preserve"> </w:t>
      </w:r>
      <w:r w:rsidRPr="00E73F6F">
        <w:lastRenderedPageBreak/>
        <w:t>Während</w:t>
      </w:r>
      <w:r w:rsidRPr="00E73F6F">
        <w:rPr>
          <w:spacing w:val="-12"/>
        </w:rPr>
        <w:t xml:space="preserve"> </w:t>
      </w:r>
      <w:r w:rsidRPr="00E73F6F">
        <w:t>man</w:t>
      </w:r>
      <w:r w:rsidRPr="00E73F6F">
        <w:rPr>
          <w:spacing w:val="-11"/>
        </w:rPr>
        <w:t xml:space="preserve"> </w:t>
      </w:r>
      <w:r w:rsidRPr="00E73F6F">
        <w:t>bei</w:t>
      </w:r>
      <w:r w:rsidRPr="00E73F6F">
        <w:rPr>
          <w:spacing w:val="-11"/>
        </w:rPr>
        <w:t xml:space="preserve"> </w:t>
      </w:r>
      <w:r w:rsidRPr="00E73F6F">
        <w:t>weniger</w:t>
      </w:r>
      <w:r w:rsidRPr="00E73F6F">
        <w:rPr>
          <w:spacing w:val="-11"/>
        </w:rPr>
        <w:t xml:space="preserve"> </w:t>
      </w:r>
      <w:r w:rsidRPr="00E73F6F">
        <w:t xml:space="preserve">sensiblen Fragestellungen immerhin mit einer Rücklaufquote von 15-25% rechnen kann, sind es bei diesem Thema zumeist kaum mehr als 5% (vgl. Li/Cavusgil 1995, </w:t>
      </w:r>
      <w:r w:rsidRPr="00E73F6F">
        <w:rPr>
          <w:spacing w:val="-2"/>
        </w:rPr>
        <w:t>S.261).</w:t>
      </w:r>
    </w:p>
    <w:p w14:paraId="68089B1F" w14:textId="77777777" w:rsidR="00FF7799" w:rsidRPr="00E73F6F" w:rsidRDefault="00FF7799" w:rsidP="007C0767">
      <w:pPr>
        <w:pStyle w:val="StandardText"/>
      </w:pPr>
      <w:r w:rsidRPr="00E73F6F">
        <w:t>Will man die in verschiedenen Kulturkreisen gesammelten Informationen vergleichend analysieren, dann müssen diese Daten nicht „nur“ entscheidungsrelevant, vollständig, aktuell und genau, sondern auch vergleichbar sein. Wie Müller/Kornmeier (2000, S.143ff.) anlässlich zahlreicher Ungereimtheiten</w:t>
      </w:r>
      <w:r w:rsidRPr="00E73F6F">
        <w:rPr>
          <w:spacing w:val="59"/>
        </w:rPr>
        <w:t xml:space="preserve"> </w:t>
      </w:r>
      <w:r w:rsidRPr="00E73F6F">
        <w:t>der</w:t>
      </w:r>
      <w:r w:rsidRPr="00E73F6F">
        <w:rPr>
          <w:spacing w:val="60"/>
        </w:rPr>
        <w:t xml:space="preserve"> </w:t>
      </w:r>
      <w:r w:rsidRPr="00E73F6F">
        <w:t>„Standort-Diskussion“</w:t>
      </w:r>
      <w:r w:rsidRPr="00E73F6F">
        <w:rPr>
          <w:spacing w:val="60"/>
        </w:rPr>
        <w:t xml:space="preserve"> </w:t>
      </w:r>
      <w:r w:rsidRPr="00E73F6F">
        <w:t>mit</w:t>
      </w:r>
      <w:r w:rsidRPr="00E73F6F">
        <w:rPr>
          <w:spacing w:val="62"/>
        </w:rPr>
        <w:t xml:space="preserve"> </w:t>
      </w:r>
      <w:r w:rsidRPr="00E73F6F">
        <w:t>Blick</w:t>
      </w:r>
      <w:r w:rsidRPr="00E73F6F">
        <w:rPr>
          <w:spacing w:val="59"/>
        </w:rPr>
        <w:t xml:space="preserve"> </w:t>
      </w:r>
      <w:r w:rsidRPr="00E73F6F">
        <w:t>auf</w:t>
      </w:r>
      <w:r w:rsidRPr="00E73F6F">
        <w:rPr>
          <w:spacing w:val="58"/>
        </w:rPr>
        <w:t xml:space="preserve"> </w:t>
      </w:r>
      <w:r w:rsidRPr="00E73F6F">
        <w:t>das</w:t>
      </w:r>
      <w:r w:rsidRPr="00E73F6F">
        <w:rPr>
          <w:spacing w:val="63"/>
        </w:rPr>
        <w:t xml:space="preserve"> </w:t>
      </w:r>
      <w:r w:rsidRPr="00E73F6F">
        <w:rPr>
          <w:rFonts w:ascii="Cambria Math" w:hAnsi="Cambria Math" w:cs="Cambria Math"/>
        </w:rPr>
        <w:t>⇒</w:t>
      </w:r>
      <w:r w:rsidRPr="00E73F6F">
        <w:rPr>
          <w:spacing w:val="67"/>
        </w:rPr>
        <w:t xml:space="preserve"> </w:t>
      </w:r>
      <w:r w:rsidRPr="00E73F6F">
        <w:rPr>
          <w:spacing w:val="-2"/>
        </w:rPr>
        <w:t>Konstrukt</w:t>
      </w:r>
      <w:r w:rsidR="00580F1D">
        <w:t xml:space="preserve"> </w:t>
      </w:r>
      <w:r w:rsidRPr="00E73F6F">
        <w:t>„internationale Wettbewerbsfähigkeit“ detailliert zeigen, erfüllen gerade sekundärstatistische Daten aus den verschiedensten Gründen diese Bedingung häufig nicht:</w:t>
      </w:r>
    </w:p>
    <w:p w14:paraId="2D33F417" w14:textId="77777777" w:rsidR="00FF7799" w:rsidRPr="00E73F6F" w:rsidRDefault="00FF7799" w:rsidP="00BF2DBF">
      <w:pPr>
        <w:pStyle w:val="StandardTextAufzhlung"/>
        <w:ind w:left="426"/>
      </w:pPr>
      <w:r w:rsidRPr="00E73F6F">
        <w:t>Vielfach fehlen internationale Standards (z.B. einheitliche Definition von Einkommensklassen, Bildungs- und Statusniveau) für die Erfassung und Klassifikation von Daten (bzw. werden nicht beachtet).</w:t>
      </w:r>
    </w:p>
    <w:p w14:paraId="3D27EB8D" w14:textId="77777777" w:rsidR="00FF7799" w:rsidRPr="00E73F6F" w:rsidRDefault="00FF7799" w:rsidP="00BF2DBF">
      <w:pPr>
        <w:pStyle w:val="StandardTextAufzhlung"/>
        <w:ind w:left="426"/>
      </w:pPr>
      <w:r w:rsidRPr="00E73F6F">
        <w:t>Andersartige Umwelten erfordern spezifische Prozeduren, Definitionen und Klassifikationen. So verbindet sich mit der Unterscheidung „absolute vs. relative</w:t>
      </w:r>
      <w:r w:rsidRPr="00E73F6F">
        <w:rPr>
          <w:spacing w:val="-1"/>
        </w:rPr>
        <w:t xml:space="preserve"> </w:t>
      </w:r>
      <w:r w:rsidRPr="00E73F6F">
        <w:t>Armut“</w:t>
      </w:r>
      <w:r w:rsidRPr="00E73F6F">
        <w:rPr>
          <w:spacing w:val="-1"/>
        </w:rPr>
        <w:t xml:space="preserve"> </w:t>
      </w:r>
      <w:r w:rsidRPr="00E73F6F">
        <w:t>in einem</w:t>
      </w:r>
      <w:r w:rsidRPr="00E73F6F">
        <w:rPr>
          <w:spacing w:val="-1"/>
        </w:rPr>
        <w:t xml:space="preserve"> </w:t>
      </w:r>
      <w:r w:rsidRPr="00E73F6F">
        <w:t>Entwicklungsland eine</w:t>
      </w:r>
      <w:r w:rsidRPr="00E73F6F">
        <w:rPr>
          <w:spacing w:val="-1"/>
        </w:rPr>
        <w:t xml:space="preserve"> </w:t>
      </w:r>
      <w:r w:rsidRPr="00E73F6F">
        <w:t>andere</w:t>
      </w:r>
      <w:r w:rsidRPr="00E73F6F">
        <w:rPr>
          <w:spacing w:val="-1"/>
        </w:rPr>
        <w:t xml:space="preserve"> </w:t>
      </w:r>
      <w:r w:rsidRPr="00E73F6F">
        <w:t>Aussage</w:t>
      </w:r>
      <w:r w:rsidRPr="00E73F6F">
        <w:rPr>
          <w:spacing w:val="-1"/>
        </w:rPr>
        <w:t xml:space="preserve"> </w:t>
      </w:r>
      <w:r w:rsidRPr="00E73F6F">
        <w:t>als</w:t>
      </w:r>
      <w:r w:rsidRPr="00E73F6F">
        <w:rPr>
          <w:spacing w:val="-1"/>
        </w:rPr>
        <w:t xml:space="preserve"> </w:t>
      </w:r>
      <w:r w:rsidRPr="00E73F6F">
        <w:t xml:space="preserve">in einem </w:t>
      </w:r>
      <w:r w:rsidRPr="00E73F6F">
        <w:rPr>
          <w:spacing w:val="-2"/>
        </w:rPr>
        <w:t>Industrieland.</w:t>
      </w:r>
    </w:p>
    <w:p w14:paraId="3F8447DB" w14:textId="77777777" w:rsidR="00FF7799" w:rsidRPr="00E73F6F" w:rsidRDefault="00FF7799" w:rsidP="00BF2DBF">
      <w:pPr>
        <w:pStyle w:val="StandardTextAufzhlung"/>
        <w:ind w:left="426"/>
      </w:pPr>
      <w:r w:rsidRPr="00E73F6F">
        <w:t xml:space="preserve">Die verschiedenen Länder verfolgen mit offiziellen Statistiken unterschiedliche, nicht zuletzt politische Ziele. So liegt es für manche Entwicklungsländer nahe, ihr BIP bewusst schlechter darstellen, als es der Realität entspricht, um in den Genuss von besonders langfristigen und verbilligten Krediten </w:t>
      </w:r>
      <w:r w:rsidRPr="00580F1D">
        <w:rPr>
          <w:i/>
        </w:rPr>
        <w:t>der International Development Agency (IDA) zu gelangen</w:t>
      </w:r>
      <w:r w:rsidRPr="00E73F6F">
        <w:t xml:space="preserve">, die den ärmsten Entwicklungsländern vorbehalten sind (vgl. Koch 1998, S.73). Bei den Arbeitslosenzahlen wiederum ist zu beachten, ob diese nach nationalem oder nach </w:t>
      </w:r>
      <w:r w:rsidRPr="00E73F6F">
        <w:rPr>
          <w:i/>
        </w:rPr>
        <w:t>OECD</w:t>
      </w:r>
      <w:r w:rsidRPr="00E73F6F">
        <w:t>-Standard erhoben wurden (vgl. Tab. 2).</w:t>
      </w:r>
    </w:p>
    <w:p w14:paraId="50C568E9" w14:textId="77777777" w:rsidR="00FF7799" w:rsidRPr="00E73F6F" w:rsidRDefault="00FF7799" w:rsidP="00862DBA">
      <w:pPr>
        <w:rPr>
          <w:sz w:val="24"/>
          <w:szCs w:val="24"/>
        </w:rPr>
      </w:pPr>
    </w:p>
    <w:p w14:paraId="40569001" w14:textId="77777777" w:rsidR="00FF7799" w:rsidRPr="007D6CC1" w:rsidRDefault="00FF7799" w:rsidP="007C0767">
      <w:pPr>
        <w:pStyle w:val="BeschriftungTab"/>
        <w:rPr>
          <w:i/>
          <w:iCs/>
        </w:rPr>
      </w:pPr>
      <w:r w:rsidRPr="007D6CC1">
        <w:rPr>
          <w:i/>
          <w:iCs/>
        </w:rPr>
        <w:t>Tab.</w:t>
      </w:r>
      <w:r w:rsidRPr="007D6CC1">
        <w:rPr>
          <w:i/>
          <w:iCs/>
          <w:spacing w:val="-2"/>
        </w:rPr>
        <w:t xml:space="preserve"> </w:t>
      </w:r>
      <w:r w:rsidRPr="007D6CC1">
        <w:rPr>
          <w:i/>
          <w:iCs/>
        </w:rPr>
        <w:t>2:</w:t>
      </w:r>
      <w:r w:rsidRPr="007D6CC1">
        <w:rPr>
          <w:i/>
          <w:iCs/>
          <w:spacing w:val="-3"/>
        </w:rPr>
        <w:t xml:space="preserve"> </w:t>
      </w:r>
      <w:r w:rsidRPr="007D6CC1">
        <w:rPr>
          <w:i/>
          <w:iCs/>
        </w:rPr>
        <w:t>Arbeitslosenquote</w:t>
      </w:r>
      <w:r w:rsidRPr="007D6CC1">
        <w:rPr>
          <w:i/>
          <w:iCs/>
          <w:spacing w:val="-2"/>
        </w:rPr>
        <w:t xml:space="preserve"> </w:t>
      </w:r>
      <w:r w:rsidRPr="007D6CC1">
        <w:rPr>
          <w:i/>
          <w:iCs/>
        </w:rPr>
        <w:t>im</w:t>
      </w:r>
      <w:r w:rsidRPr="007D6CC1">
        <w:rPr>
          <w:i/>
          <w:iCs/>
          <w:spacing w:val="-4"/>
        </w:rPr>
        <w:t xml:space="preserve"> </w:t>
      </w:r>
      <w:r w:rsidRPr="007D6CC1">
        <w:rPr>
          <w:i/>
          <w:iCs/>
        </w:rPr>
        <w:t>internationalen</w:t>
      </w:r>
      <w:r w:rsidRPr="007D6CC1">
        <w:rPr>
          <w:i/>
          <w:iCs/>
          <w:spacing w:val="-1"/>
        </w:rPr>
        <w:t xml:space="preserve"> </w:t>
      </w:r>
      <w:r w:rsidRPr="007D6CC1">
        <w:rPr>
          <w:i/>
          <w:iCs/>
        </w:rPr>
        <w:t>Vergleich</w:t>
      </w:r>
      <w:r w:rsidRPr="007D6CC1">
        <w:rPr>
          <w:i/>
          <w:iCs/>
          <w:spacing w:val="-1"/>
        </w:rPr>
        <w:t xml:space="preserve"> </w:t>
      </w:r>
      <w:r w:rsidRPr="007D6CC1">
        <w:rPr>
          <w:i/>
          <w:iCs/>
        </w:rPr>
        <w:t>(1998,</w:t>
      </w:r>
      <w:r w:rsidRPr="007D6CC1">
        <w:rPr>
          <w:i/>
          <w:iCs/>
          <w:spacing w:val="-3"/>
        </w:rPr>
        <w:t xml:space="preserve"> </w:t>
      </w:r>
      <w:r w:rsidRPr="007D6CC1">
        <w:rPr>
          <w:i/>
          <w:iCs/>
        </w:rPr>
        <w:t>in</w:t>
      </w:r>
      <w:r w:rsidRPr="007D6CC1">
        <w:rPr>
          <w:i/>
          <w:iCs/>
          <w:spacing w:val="-2"/>
        </w:rPr>
        <w:t xml:space="preserve"> </w:t>
      </w:r>
      <w:r w:rsidRPr="007D6CC1">
        <w:rPr>
          <w:i/>
          <w:iCs/>
          <w:spacing w:val="-7"/>
        </w:rPr>
        <w:t>%)</w:t>
      </w:r>
    </w:p>
    <w:tbl>
      <w:tblPr>
        <w:tblStyle w:val="TableNormal"/>
        <w:tblW w:w="5000" w:type="pct"/>
        <w:tblBorders>
          <w:top w:val="single" w:sz="4" w:space="0" w:color="auto"/>
          <w:bottom w:val="single" w:sz="4" w:space="0" w:color="auto"/>
        </w:tblBorders>
        <w:tblLook w:val="01E0" w:firstRow="1" w:lastRow="1" w:firstColumn="1" w:lastColumn="1" w:noHBand="0" w:noVBand="0"/>
      </w:tblPr>
      <w:tblGrid>
        <w:gridCol w:w="1840"/>
        <w:gridCol w:w="1277"/>
        <w:gridCol w:w="1248"/>
        <w:gridCol w:w="2159"/>
        <w:gridCol w:w="1276"/>
        <w:gridCol w:w="1272"/>
      </w:tblGrid>
      <w:tr w:rsidR="00FF7799" w:rsidRPr="00E73F6F" w14:paraId="3FB55C8E" w14:textId="77777777" w:rsidTr="00432D3C">
        <w:trPr>
          <w:trHeight w:val="267"/>
        </w:trPr>
        <w:tc>
          <w:tcPr>
            <w:tcW w:w="1014" w:type="pct"/>
            <w:shd w:val="clear" w:color="auto" w:fill="FFC000" w:themeFill="accent4"/>
            <w:tcMar>
              <w:left w:w="28" w:type="dxa"/>
              <w:right w:w="28" w:type="dxa"/>
            </w:tcMar>
          </w:tcPr>
          <w:p w14:paraId="53DF5CA4" w14:textId="77777777" w:rsidR="00FF7799" w:rsidRPr="00E73F6F" w:rsidRDefault="00FF7799" w:rsidP="007C0767">
            <w:pPr>
              <w:pStyle w:val="StandardText"/>
              <w:spacing w:after="120"/>
              <w:jc w:val="center"/>
              <w:rPr>
                <w:b/>
                <w:sz w:val="22"/>
                <w:szCs w:val="22"/>
                <w:lang w:val="de-DE"/>
              </w:rPr>
            </w:pPr>
            <w:r w:rsidRPr="00E73F6F">
              <w:rPr>
                <w:b/>
                <w:sz w:val="22"/>
                <w:szCs w:val="22"/>
                <w:lang w:val="de-DE"/>
              </w:rPr>
              <w:t>Land</w:t>
            </w:r>
          </w:p>
        </w:tc>
        <w:tc>
          <w:tcPr>
            <w:tcW w:w="1392" w:type="pct"/>
            <w:gridSpan w:val="2"/>
            <w:shd w:val="clear" w:color="auto" w:fill="FFC000" w:themeFill="accent4"/>
            <w:tcMar>
              <w:left w:w="28" w:type="dxa"/>
              <w:right w:w="28" w:type="dxa"/>
            </w:tcMar>
          </w:tcPr>
          <w:p w14:paraId="3AF1D718" w14:textId="77777777" w:rsidR="00FF7799" w:rsidRPr="00E73F6F" w:rsidRDefault="00FF7799" w:rsidP="007C0767">
            <w:pPr>
              <w:pStyle w:val="StandardText"/>
              <w:spacing w:after="120"/>
              <w:jc w:val="center"/>
              <w:rPr>
                <w:b/>
                <w:sz w:val="22"/>
                <w:szCs w:val="22"/>
                <w:lang w:val="de-DE"/>
              </w:rPr>
            </w:pPr>
            <w:r w:rsidRPr="00E73F6F">
              <w:rPr>
                <w:b/>
                <w:spacing w:val="-2"/>
                <w:sz w:val="22"/>
                <w:szCs w:val="22"/>
                <w:lang w:val="de-DE"/>
              </w:rPr>
              <w:t>Erhebungsverfahren</w:t>
            </w:r>
          </w:p>
        </w:tc>
        <w:tc>
          <w:tcPr>
            <w:tcW w:w="1190" w:type="pct"/>
            <w:shd w:val="clear" w:color="auto" w:fill="FFC000" w:themeFill="accent4"/>
            <w:tcMar>
              <w:left w:w="28" w:type="dxa"/>
              <w:right w:w="28" w:type="dxa"/>
            </w:tcMar>
          </w:tcPr>
          <w:p w14:paraId="6AD5938D" w14:textId="77777777" w:rsidR="00FF7799" w:rsidRPr="00E73F6F" w:rsidRDefault="00FF7799" w:rsidP="007C0767">
            <w:pPr>
              <w:pStyle w:val="StandardText"/>
              <w:spacing w:after="120"/>
              <w:jc w:val="center"/>
              <w:rPr>
                <w:b/>
                <w:sz w:val="22"/>
                <w:szCs w:val="22"/>
                <w:lang w:val="de-DE"/>
              </w:rPr>
            </w:pPr>
            <w:r w:rsidRPr="00E73F6F">
              <w:rPr>
                <w:b/>
                <w:sz w:val="22"/>
                <w:szCs w:val="22"/>
                <w:lang w:val="de-DE"/>
              </w:rPr>
              <w:t>Land</w:t>
            </w:r>
          </w:p>
        </w:tc>
        <w:tc>
          <w:tcPr>
            <w:tcW w:w="1404" w:type="pct"/>
            <w:gridSpan w:val="2"/>
            <w:shd w:val="clear" w:color="auto" w:fill="FFC000" w:themeFill="accent4"/>
            <w:tcMar>
              <w:left w:w="28" w:type="dxa"/>
              <w:right w:w="28" w:type="dxa"/>
            </w:tcMar>
          </w:tcPr>
          <w:p w14:paraId="1E8A6E47" w14:textId="77777777" w:rsidR="00FF7799" w:rsidRPr="00E73F6F" w:rsidRDefault="00FF7799" w:rsidP="007C0767">
            <w:pPr>
              <w:pStyle w:val="StandardText"/>
              <w:spacing w:after="120"/>
              <w:jc w:val="center"/>
              <w:rPr>
                <w:b/>
                <w:sz w:val="22"/>
                <w:szCs w:val="22"/>
                <w:lang w:val="de-DE"/>
              </w:rPr>
            </w:pPr>
            <w:r w:rsidRPr="00E73F6F">
              <w:rPr>
                <w:b/>
                <w:spacing w:val="-2"/>
                <w:sz w:val="22"/>
                <w:szCs w:val="22"/>
                <w:lang w:val="de-DE"/>
              </w:rPr>
              <w:t>Erhebungsverfahren</w:t>
            </w:r>
          </w:p>
        </w:tc>
      </w:tr>
      <w:tr w:rsidR="00FF7799" w:rsidRPr="00E73F6F" w14:paraId="06A59B62" w14:textId="77777777" w:rsidTr="00432D3C">
        <w:trPr>
          <w:trHeight w:val="425"/>
        </w:trPr>
        <w:tc>
          <w:tcPr>
            <w:tcW w:w="1014" w:type="pct"/>
            <w:tcMar>
              <w:left w:w="28" w:type="dxa"/>
              <w:right w:w="28" w:type="dxa"/>
            </w:tcMar>
          </w:tcPr>
          <w:p w14:paraId="2BAC875B" w14:textId="77777777" w:rsidR="00FF7799" w:rsidRPr="00E73F6F" w:rsidRDefault="00FF7799" w:rsidP="007C0767">
            <w:pPr>
              <w:pStyle w:val="StandardText"/>
              <w:rPr>
                <w:sz w:val="22"/>
                <w:szCs w:val="22"/>
                <w:lang w:val="de-DE"/>
              </w:rPr>
            </w:pPr>
          </w:p>
        </w:tc>
        <w:tc>
          <w:tcPr>
            <w:tcW w:w="704" w:type="pct"/>
            <w:tcMar>
              <w:left w:w="28" w:type="dxa"/>
              <w:right w:w="28" w:type="dxa"/>
            </w:tcMar>
          </w:tcPr>
          <w:p w14:paraId="14D18ABF" w14:textId="77777777" w:rsidR="00FF7799" w:rsidRPr="00E73F6F" w:rsidRDefault="00FF7799" w:rsidP="007C0767">
            <w:pPr>
              <w:pStyle w:val="StandardText"/>
              <w:jc w:val="center"/>
              <w:rPr>
                <w:b/>
                <w:sz w:val="22"/>
                <w:szCs w:val="22"/>
                <w:lang w:val="de-DE"/>
              </w:rPr>
            </w:pPr>
            <w:r w:rsidRPr="00E73F6F">
              <w:rPr>
                <w:b/>
                <w:spacing w:val="-2"/>
                <w:sz w:val="22"/>
                <w:szCs w:val="22"/>
                <w:lang w:val="de-DE"/>
              </w:rPr>
              <w:t>nationa</w:t>
            </w:r>
          </w:p>
        </w:tc>
        <w:tc>
          <w:tcPr>
            <w:tcW w:w="688" w:type="pct"/>
            <w:tcMar>
              <w:left w:w="28" w:type="dxa"/>
              <w:right w:w="28" w:type="dxa"/>
            </w:tcMar>
          </w:tcPr>
          <w:p w14:paraId="45C48F50" w14:textId="77777777" w:rsidR="00FF7799" w:rsidRPr="00E73F6F" w:rsidRDefault="00FF7799" w:rsidP="007C0767">
            <w:pPr>
              <w:pStyle w:val="StandardText"/>
              <w:jc w:val="center"/>
              <w:rPr>
                <w:b/>
                <w:sz w:val="22"/>
                <w:szCs w:val="22"/>
                <w:lang w:val="de-DE"/>
              </w:rPr>
            </w:pPr>
            <w:r w:rsidRPr="00E73F6F">
              <w:rPr>
                <w:b/>
                <w:spacing w:val="-2"/>
                <w:sz w:val="22"/>
                <w:szCs w:val="22"/>
                <w:lang w:val="de-DE"/>
              </w:rPr>
              <w:t>internationa</w:t>
            </w:r>
            <w:r w:rsidRPr="00E73F6F">
              <w:rPr>
                <w:b/>
                <w:spacing w:val="-10"/>
                <w:sz w:val="22"/>
                <w:szCs w:val="22"/>
                <w:lang w:val="de-DE"/>
              </w:rPr>
              <w:t>l</w:t>
            </w:r>
          </w:p>
        </w:tc>
        <w:tc>
          <w:tcPr>
            <w:tcW w:w="1190" w:type="pct"/>
            <w:tcMar>
              <w:left w:w="28" w:type="dxa"/>
              <w:right w:w="28" w:type="dxa"/>
            </w:tcMar>
          </w:tcPr>
          <w:p w14:paraId="20BAC64F" w14:textId="77777777" w:rsidR="00FF7799" w:rsidRPr="00E73F6F" w:rsidRDefault="00FF7799" w:rsidP="007C0767">
            <w:pPr>
              <w:pStyle w:val="StandardText"/>
              <w:jc w:val="center"/>
              <w:rPr>
                <w:b/>
                <w:sz w:val="22"/>
                <w:szCs w:val="22"/>
                <w:lang w:val="de-DE"/>
              </w:rPr>
            </w:pPr>
          </w:p>
        </w:tc>
        <w:tc>
          <w:tcPr>
            <w:tcW w:w="703" w:type="pct"/>
            <w:tcMar>
              <w:left w:w="28" w:type="dxa"/>
              <w:right w:w="28" w:type="dxa"/>
            </w:tcMar>
          </w:tcPr>
          <w:p w14:paraId="38567ACC" w14:textId="77777777" w:rsidR="00FF7799" w:rsidRPr="00E73F6F" w:rsidRDefault="00FF7799" w:rsidP="007C0767">
            <w:pPr>
              <w:pStyle w:val="StandardText"/>
              <w:jc w:val="center"/>
              <w:rPr>
                <w:b/>
                <w:sz w:val="22"/>
                <w:szCs w:val="22"/>
                <w:lang w:val="de-DE"/>
              </w:rPr>
            </w:pPr>
            <w:r w:rsidRPr="00E73F6F">
              <w:rPr>
                <w:b/>
                <w:spacing w:val="-2"/>
                <w:sz w:val="22"/>
                <w:szCs w:val="22"/>
                <w:lang w:val="de-DE"/>
              </w:rPr>
              <w:t>national</w:t>
            </w:r>
          </w:p>
        </w:tc>
        <w:tc>
          <w:tcPr>
            <w:tcW w:w="701" w:type="pct"/>
            <w:tcMar>
              <w:left w:w="28" w:type="dxa"/>
              <w:right w:w="28" w:type="dxa"/>
            </w:tcMar>
          </w:tcPr>
          <w:p w14:paraId="68B1C37E" w14:textId="77777777" w:rsidR="00FF7799" w:rsidRPr="00E73F6F" w:rsidRDefault="00FF7799" w:rsidP="007C0767">
            <w:pPr>
              <w:pStyle w:val="StandardText"/>
              <w:jc w:val="center"/>
              <w:rPr>
                <w:b/>
                <w:sz w:val="22"/>
                <w:szCs w:val="22"/>
                <w:lang w:val="de-DE"/>
              </w:rPr>
            </w:pPr>
            <w:r w:rsidRPr="00E73F6F">
              <w:rPr>
                <w:b/>
                <w:spacing w:val="-2"/>
                <w:sz w:val="22"/>
                <w:szCs w:val="22"/>
                <w:lang w:val="de-DE"/>
              </w:rPr>
              <w:t>internationa</w:t>
            </w:r>
            <w:r w:rsidRPr="00E73F6F">
              <w:rPr>
                <w:b/>
                <w:sz w:val="22"/>
                <w:szCs w:val="22"/>
                <w:lang w:val="de-DE"/>
              </w:rPr>
              <w:t>l</w:t>
            </w:r>
          </w:p>
        </w:tc>
      </w:tr>
      <w:tr w:rsidR="00FF7799" w:rsidRPr="00E73F6F" w14:paraId="3F6DAF4A" w14:textId="77777777" w:rsidTr="00432D3C">
        <w:trPr>
          <w:trHeight w:val="424"/>
        </w:trPr>
        <w:tc>
          <w:tcPr>
            <w:tcW w:w="1014" w:type="pct"/>
            <w:tcMar>
              <w:left w:w="28" w:type="dxa"/>
              <w:right w:w="28" w:type="dxa"/>
            </w:tcMar>
          </w:tcPr>
          <w:p w14:paraId="1A46B394" w14:textId="77777777" w:rsidR="00FF7799" w:rsidRPr="00E73F6F" w:rsidRDefault="00FF7799" w:rsidP="007C0767">
            <w:pPr>
              <w:pStyle w:val="StandardText"/>
              <w:rPr>
                <w:sz w:val="22"/>
                <w:szCs w:val="22"/>
                <w:lang w:val="de-DE"/>
              </w:rPr>
            </w:pPr>
            <w:r w:rsidRPr="00E73F6F">
              <w:rPr>
                <w:sz w:val="22"/>
                <w:szCs w:val="22"/>
                <w:lang w:val="de-DE"/>
              </w:rPr>
              <w:t xml:space="preserve">Spanien </w:t>
            </w:r>
            <w:r w:rsidRPr="00E73F6F">
              <w:rPr>
                <w:spacing w:val="-2"/>
                <w:sz w:val="22"/>
                <w:szCs w:val="22"/>
                <w:lang w:val="de-DE"/>
              </w:rPr>
              <w:t>(1998)</w:t>
            </w:r>
          </w:p>
        </w:tc>
        <w:tc>
          <w:tcPr>
            <w:tcW w:w="704" w:type="pct"/>
            <w:tcMar>
              <w:left w:w="28" w:type="dxa"/>
              <w:right w:w="28" w:type="dxa"/>
            </w:tcMar>
          </w:tcPr>
          <w:p w14:paraId="2563F85A" w14:textId="77777777" w:rsidR="00FF7799" w:rsidRPr="00E73F6F" w:rsidRDefault="00FF7799" w:rsidP="007C0767">
            <w:pPr>
              <w:pStyle w:val="StandardText"/>
              <w:jc w:val="center"/>
              <w:rPr>
                <w:sz w:val="22"/>
                <w:szCs w:val="22"/>
                <w:lang w:val="de-DE"/>
              </w:rPr>
            </w:pPr>
            <w:r w:rsidRPr="00E73F6F">
              <w:rPr>
                <w:spacing w:val="-5"/>
                <w:sz w:val="22"/>
                <w:szCs w:val="22"/>
                <w:lang w:val="de-DE"/>
              </w:rPr>
              <w:t>18,</w:t>
            </w:r>
            <w:r w:rsidRPr="00E73F6F">
              <w:rPr>
                <w:sz w:val="22"/>
                <w:szCs w:val="22"/>
                <w:lang w:val="de-DE"/>
              </w:rPr>
              <w:t>8</w:t>
            </w:r>
          </w:p>
        </w:tc>
        <w:tc>
          <w:tcPr>
            <w:tcW w:w="688" w:type="pct"/>
            <w:tcMar>
              <w:left w:w="28" w:type="dxa"/>
              <w:right w:w="28" w:type="dxa"/>
            </w:tcMar>
          </w:tcPr>
          <w:p w14:paraId="073B6865" w14:textId="77777777" w:rsidR="00FF7799" w:rsidRPr="00E73F6F" w:rsidRDefault="00FF7799" w:rsidP="007C0767">
            <w:pPr>
              <w:pStyle w:val="StandardText"/>
              <w:jc w:val="center"/>
              <w:rPr>
                <w:sz w:val="22"/>
                <w:szCs w:val="22"/>
                <w:lang w:val="de-DE"/>
              </w:rPr>
            </w:pPr>
            <w:r w:rsidRPr="00E73F6F">
              <w:rPr>
                <w:spacing w:val="-5"/>
                <w:sz w:val="22"/>
                <w:szCs w:val="22"/>
                <w:lang w:val="de-DE"/>
              </w:rPr>
              <w:t>18,</w:t>
            </w:r>
            <w:r w:rsidRPr="00E73F6F">
              <w:rPr>
                <w:sz w:val="22"/>
                <w:szCs w:val="22"/>
                <w:lang w:val="de-DE"/>
              </w:rPr>
              <w:t>8</w:t>
            </w:r>
          </w:p>
        </w:tc>
        <w:tc>
          <w:tcPr>
            <w:tcW w:w="1190" w:type="pct"/>
            <w:tcMar>
              <w:left w:w="28" w:type="dxa"/>
              <w:right w:w="28" w:type="dxa"/>
            </w:tcMar>
          </w:tcPr>
          <w:p w14:paraId="0D209A0D" w14:textId="77777777" w:rsidR="00FF7799" w:rsidRPr="00E73F6F" w:rsidRDefault="00FF7799" w:rsidP="007C0767">
            <w:pPr>
              <w:pStyle w:val="StandardText"/>
              <w:rPr>
                <w:sz w:val="22"/>
                <w:szCs w:val="22"/>
                <w:lang w:val="de-DE"/>
              </w:rPr>
            </w:pPr>
            <w:r w:rsidRPr="00E73F6F">
              <w:rPr>
                <w:sz w:val="22"/>
                <w:szCs w:val="22"/>
                <w:lang w:val="de-DE"/>
              </w:rPr>
              <w:t>Großbritannien</w:t>
            </w:r>
            <w:r w:rsidRPr="00E73F6F">
              <w:rPr>
                <w:spacing w:val="-1"/>
                <w:sz w:val="22"/>
                <w:szCs w:val="22"/>
                <w:lang w:val="de-DE"/>
              </w:rPr>
              <w:t xml:space="preserve"> </w:t>
            </w:r>
            <w:r w:rsidRPr="00E73F6F">
              <w:rPr>
                <w:spacing w:val="-2"/>
                <w:sz w:val="22"/>
                <w:szCs w:val="22"/>
                <w:lang w:val="de-DE"/>
              </w:rPr>
              <w:t>(1997)</w:t>
            </w:r>
          </w:p>
        </w:tc>
        <w:tc>
          <w:tcPr>
            <w:tcW w:w="703" w:type="pct"/>
            <w:tcMar>
              <w:left w:w="28" w:type="dxa"/>
              <w:right w:w="28" w:type="dxa"/>
            </w:tcMar>
          </w:tcPr>
          <w:p w14:paraId="36C29068" w14:textId="77777777" w:rsidR="00FF7799" w:rsidRPr="00E73F6F" w:rsidRDefault="00FF7799" w:rsidP="007C0767">
            <w:pPr>
              <w:pStyle w:val="StandardText"/>
              <w:jc w:val="center"/>
              <w:rPr>
                <w:sz w:val="22"/>
                <w:szCs w:val="22"/>
                <w:lang w:val="de-DE"/>
              </w:rPr>
            </w:pPr>
            <w:r w:rsidRPr="00E73F6F">
              <w:rPr>
                <w:spacing w:val="-5"/>
                <w:sz w:val="22"/>
                <w:szCs w:val="22"/>
                <w:lang w:val="de-DE"/>
              </w:rPr>
              <w:t>5,5</w:t>
            </w:r>
          </w:p>
        </w:tc>
        <w:tc>
          <w:tcPr>
            <w:tcW w:w="701" w:type="pct"/>
            <w:tcMar>
              <w:left w:w="28" w:type="dxa"/>
              <w:right w:w="28" w:type="dxa"/>
            </w:tcMar>
          </w:tcPr>
          <w:p w14:paraId="612ABBA6" w14:textId="77777777" w:rsidR="00FF7799" w:rsidRPr="00E73F6F" w:rsidRDefault="00FF7799" w:rsidP="007C0767">
            <w:pPr>
              <w:pStyle w:val="StandardText"/>
              <w:jc w:val="center"/>
              <w:rPr>
                <w:sz w:val="22"/>
                <w:szCs w:val="22"/>
                <w:lang w:val="de-DE"/>
              </w:rPr>
            </w:pPr>
            <w:r w:rsidRPr="00E73F6F">
              <w:rPr>
                <w:spacing w:val="-5"/>
                <w:sz w:val="22"/>
                <w:szCs w:val="22"/>
                <w:lang w:val="de-DE"/>
              </w:rPr>
              <w:t>7,0</w:t>
            </w:r>
          </w:p>
        </w:tc>
      </w:tr>
      <w:tr w:rsidR="00FF7799" w:rsidRPr="00E73F6F" w14:paraId="52D48749" w14:textId="77777777" w:rsidTr="00432D3C">
        <w:trPr>
          <w:trHeight w:val="396"/>
        </w:trPr>
        <w:tc>
          <w:tcPr>
            <w:tcW w:w="1014" w:type="pct"/>
            <w:tcMar>
              <w:left w:w="28" w:type="dxa"/>
              <w:right w:w="28" w:type="dxa"/>
            </w:tcMar>
          </w:tcPr>
          <w:p w14:paraId="6DEA7782" w14:textId="77777777" w:rsidR="00FF7799" w:rsidRPr="00E73F6F" w:rsidRDefault="00FF7799" w:rsidP="007C0767">
            <w:pPr>
              <w:pStyle w:val="StandardText"/>
              <w:rPr>
                <w:sz w:val="22"/>
                <w:szCs w:val="22"/>
                <w:lang w:val="de-DE"/>
              </w:rPr>
            </w:pPr>
            <w:r w:rsidRPr="00E73F6F">
              <w:rPr>
                <w:sz w:val="22"/>
                <w:szCs w:val="22"/>
                <w:lang w:val="de-DE"/>
              </w:rPr>
              <w:t xml:space="preserve">Italien </w:t>
            </w:r>
            <w:r w:rsidRPr="00E73F6F">
              <w:rPr>
                <w:spacing w:val="-2"/>
                <w:sz w:val="22"/>
                <w:szCs w:val="22"/>
                <w:lang w:val="de-DE"/>
              </w:rPr>
              <w:t>(1997)</w:t>
            </w:r>
          </w:p>
        </w:tc>
        <w:tc>
          <w:tcPr>
            <w:tcW w:w="704" w:type="pct"/>
            <w:tcMar>
              <w:left w:w="28" w:type="dxa"/>
              <w:right w:w="28" w:type="dxa"/>
            </w:tcMar>
          </w:tcPr>
          <w:p w14:paraId="56F796F5" w14:textId="77777777" w:rsidR="00FF7799" w:rsidRPr="00E73F6F" w:rsidRDefault="00FF7799" w:rsidP="007C0767">
            <w:pPr>
              <w:pStyle w:val="StandardText"/>
              <w:jc w:val="center"/>
              <w:rPr>
                <w:sz w:val="22"/>
                <w:szCs w:val="22"/>
                <w:lang w:val="de-DE"/>
              </w:rPr>
            </w:pPr>
            <w:r w:rsidRPr="00E73F6F">
              <w:rPr>
                <w:spacing w:val="-5"/>
                <w:sz w:val="22"/>
                <w:szCs w:val="22"/>
                <w:lang w:val="de-DE"/>
              </w:rPr>
              <w:t>12,</w:t>
            </w:r>
            <w:r w:rsidRPr="00E73F6F">
              <w:rPr>
                <w:sz w:val="22"/>
                <w:szCs w:val="22"/>
                <w:lang w:val="de-DE"/>
              </w:rPr>
              <w:t>3</w:t>
            </w:r>
          </w:p>
        </w:tc>
        <w:tc>
          <w:tcPr>
            <w:tcW w:w="688" w:type="pct"/>
            <w:tcMar>
              <w:left w:w="28" w:type="dxa"/>
              <w:right w:w="28" w:type="dxa"/>
            </w:tcMar>
          </w:tcPr>
          <w:p w14:paraId="73672206" w14:textId="77777777" w:rsidR="00FF7799" w:rsidRPr="00E73F6F" w:rsidRDefault="00FF7799" w:rsidP="007C0767">
            <w:pPr>
              <w:pStyle w:val="StandardText"/>
              <w:jc w:val="center"/>
              <w:rPr>
                <w:sz w:val="22"/>
                <w:szCs w:val="22"/>
                <w:lang w:val="de-DE"/>
              </w:rPr>
            </w:pPr>
            <w:r w:rsidRPr="00E73F6F">
              <w:rPr>
                <w:spacing w:val="-5"/>
                <w:sz w:val="22"/>
                <w:szCs w:val="22"/>
                <w:lang w:val="de-DE"/>
              </w:rPr>
              <w:t>12,</w:t>
            </w:r>
            <w:r w:rsidRPr="00E73F6F">
              <w:rPr>
                <w:sz w:val="22"/>
                <w:szCs w:val="22"/>
                <w:lang w:val="de-DE"/>
              </w:rPr>
              <w:t>1</w:t>
            </w:r>
          </w:p>
        </w:tc>
        <w:tc>
          <w:tcPr>
            <w:tcW w:w="1190" w:type="pct"/>
            <w:tcMar>
              <w:left w:w="28" w:type="dxa"/>
              <w:right w:w="28" w:type="dxa"/>
            </w:tcMar>
          </w:tcPr>
          <w:p w14:paraId="56912508" w14:textId="77777777" w:rsidR="00FF7799" w:rsidRPr="00E73F6F" w:rsidRDefault="00FF7799" w:rsidP="007C0767">
            <w:pPr>
              <w:pStyle w:val="StandardText"/>
              <w:rPr>
                <w:sz w:val="22"/>
                <w:szCs w:val="22"/>
                <w:lang w:val="de-DE"/>
              </w:rPr>
            </w:pPr>
            <w:r w:rsidRPr="00E73F6F">
              <w:rPr>
                <w:sz w:val="22"/>
                <w:szCs w:val="22"/>
                <w:lang w:val="de-DE"/>
              </w:rPr>
              <w:t>Dänemark</w:t>
            </w:r>
            <w:r w:rsidRPr="00E73F6F">
              <w:rPr>
                <w:spacing w:val="-3"/>
                <w:sz w:val="22"/>
                <w:szCs w:val="22"/>
                <w:lang w:val="de-DE"/>
              </w:rPr>
              <w:t xml:space="preserve"> </w:t>
            </w:r>
            <w:r w:rsidRPr="00E73F6F">
              <w:rPr>
                <w:spacing w:val="-2"/>
                <w:sz w:val="22"/>
                <w:szCs w:val="22"/>
                <w:lang w:val="de-DE"/>
              </w:rPr>
              <w:t>(1998)</w:t>
            </w:r>
          </w:p>
        </w:tc>
        <w:tc>
          <w:tcPr>
            <w:tcW w:w="703" w:type="pct"/>
            <w:tcMar>
              <w:left w:w="28" w:type="dxa"/>
              <w:right w:w="28" w:type="dxa"/>
            </w:tcMar>
          </w:tcPr>
          <w:p w14:paraId="194690A1" w14:textId="77777777" w:rsidR="00FF7799" w:rsidRPr="00E73F6F" w:rsidRDefault="00FF7799" w:rsidP="007C0767">
            <w:pPr>
              <w:pStyle w:val="StandardText"/>
              <w:jc w:val="center"/>
              <w:rPr>
                <w:sz w:val="22"/>
                <w:szCs w:val="22"/>
                <w:lang w:val="de-DE"/>
              </w:rPr>
            </w:pPr>
            <w:r w:rsidRPr="00E73F6F">
              <w:rPr>
                <w:spacing w:val="-5"/>
                <w:sz w:val="22"/>
                <w:szCs w:val="22"/>
                <w:lang w:val="de-DE"/>
              </w:rPr>
              <w:t>6,5</w:t>
            </w:r>
          </w:p>
        </w:tc>
        <w:tc>
          <w:tcPr>
            <w:tcW w:w="701" w:type="pct"/>
            <w:tcMar>
              <w:left w:w="28" w:type="dxa"/>
              <w:right w:w="28" w:type="dxa"/>
            </w:tcMar>
          </w:tcPr>
          <w:p w14:paraId="43273978" w14:textId="77777777" w:rsidR="00FF7799" w:rsidRPr="00E73F6F" w:rsidRDefault="00FF7799" w:rsidP="007C0767">
            <w:pPr>
              <w:pStyle w:val="StandardText"/>
              <w:jc w:val="center"/>
              <w:rPr>
                <w:sz w:val="22"/>
                <w:szCs w:val="22"/>
                <w:lang w:val="de-DE"/>
              </w:rPr>
            </w:pPr>
            <w:r w:rsidRPr="00E73F6F">
              <w:rPr>
                <w:spacing w:val="-5"/>
                <w:sz w:val="22"/>
                <w:szCs w:val="22"/>
                <w:lang w:val="de-DE"/>
              </w:rPr>
              <w:t>5,1</w:t>
            </w:r>
          </w:p>
        </w:tc>
      </w:tr>
      <w:tr w:rsidR="00FF7799" w:rsidRPr="00E73F6F" w14:paraId="6A056ABD" w14:textId="77777777" w:rsidTr="00432D3C">
        <w:trPr>
          <w:trHeight w:val="395"/>
        </w:trPr>
        <w:tc>
          <w:tcPr>
            <w:tcW w:w="1014" w:type="pct"/>
            <w:tcMar>
              <w:left w:w="28" w:type="dxa"/>
              <w:right w:w="28" w:type="dxa"/>
            </w:tcMar>
          </w:tcPr>
          <w:p w14:paraId="3E56DB6E" w14:textId="77777777" w:rsidR="00FF7799" w:rsidRPr="00E73F6F" w:rsidRDefault="00FF7799" w:rsidP="007C0767">
            <w:pPr>
              <w:pStyle w:val="StandardText"/>
              <w:rPr>
                <w:sz w:val="22"/>
                <w:szCs w:val="22"/>
                <w:lang w:val="de-DE"/>
              </w:rPr>
            </w:pPr>
            <w:r w:rsidRPr="00E73F6F">
              <w:rPr>
                <w:sz w:val="22"/>
                <w:szCs w:val="22"/>
                <w:lang w:val="de-DE"/>
              </w:rPr>
              <w:t>Frankreich</w:t>
            </w:r>
            <w:r w:rsidRPr="00E73F6F">
              <w:rPr>
                <w:spacing w:val="-3"/>
                <w:sz w:val="22"/>
                <w:szCs w:val="22"/>
                <w:lang w:val="de-DE"/>
              </w:rPr>
              <w:t xml:space="preserve"> </w:t>
            </w:r>
            <w:r w:rsidRPr="00E73F6F">
              <w:rPr>
                <w:spacing w:val="-2"/>
                <w:sz w:val="22"/>
                <w:szCs w:val="22"/>
                <w:lang w:val="de-DE"/>
              </w:rPr>
              <w:t>(1998)</w:t>
            </w:r>
          </w:p>
        </w:tc>
        <w:tc>
          <w:tcPr>
            <w:tcW w:w="704" w:type="pct"/>
            <w:tcMar>
              <w:left w:w="28" w:type="dxa"/>
              <w:right w:w="28" w:type="dxa"/>
            </w:tcMar>
          </w:tcPr>
          <w:p w14:paraId="252CD19F" w14:textId="77777777" w:rsidR="00FF7799" w:rsidRPr="00E73F6F" w:rsidRDefault="00FF7799" w:rsidP="007C0767">
            <w:pPr>
              <w:pStyle w:val="StandardText"/>
              <w:jc w:val="center"/>
              <w:rPr>
                <w:sz w:val="22"/>
                <w:szCs w:val="22"/>
                <w:lang w:val="de-DE"/>
              </w:rPr>
            </w:pPr>
            <w:r w:rsidRPr="00E73F6F">
              <w:rPr>
                <w:spacing w:val="-5"/>
                <w:sz w:val="22"/>
                <w:szCs w:val="22"/>
                <w:lang w:val="de-DE"/>
              </w:rPr>
              <w:t>11,</w:t>
            </w:r>
            <w:r w:rsidRPr="00E73F6F">
              <w:rPr>
                <w:sz w:val="22"/>
                <w:szCs w:val="22"/>
                <w:lang w:val="de-DE"/>
              </w:rPr>
              <w:t>8</w:t>
            </w:r>
          </w:p>
        </w:tc>
        <w:tc>
          <w:tcPr>
            <w:tcW w:w="688" w:type="pct"/>
            <w:tcMar>
              <w:left w:w="28" w:type="dxa"/>
              <w:right w:w="28" w:type="dxa"/>
            </w:tcMar>
          </w:tcPr>
          <w:p w14:paraId="43727F41" w14:textId="77777777" w:rsidR="00FF7799" w:rsidRPr="00E73F6F" w:rsidRDefault="00FF7799" w:rsidP="007C0767">
            <w:pPr>
              <w:pStyle w:val="StandardText"/>
              <w:jc w:val="center"/>
              <w:rPr>
                <w:sz w:val="22"/>
                <w:szCs w:val="22"/>
                <w:lang w:val="de-DE"/>
              </w:rPr>
            </w:pPr>
            <w:r w:rsidRPr="00E73F6F">
              <w:rPr>
                <w:spacing w:val="-5"/>
                <w:sz w:val="22"/>
                <w:szCs w:val="22"/>
                <w:lang w:val="de-DE"/>
              </w:rPr>
              <w:t>11,</w:t>
            </w:r>
            <w:r w:rsidRPr="00E73F6F">
              <w:rPr>
                <w:sz w:val="22"/>
                <w:szCs w:val="22"/>
                <w:lang w:val="de-DE"/>
              </w:rPr>
              <w:t>9</w:t>
            </w:r>
          </w:p>
        </w:tc>
        <w:tc>
          <w:tcPr>
            <w:tcW w:w="1190" w:type="pct"/>
            <w:tcMar>
              <w:left w:w="28" w:type="dxa"/>
              <w:right w:w="28" w:type="dxa"/>
            </w:tcMar>
          </w:tcPr>
          <w:p w14:paraId="1A88A6D3" w14:textId="77777777" w:rsidR="00FF7799" w:rsidRPr="00E73F6F" w:rsidRDefault="00FF7799" w:rsidP="007C0767">
            <w:pPr>
              <w:pStyle w:val="StandardText"/>
              <w:rPr>
                <w:sz w:val="22"/>
                <w:szCs w:val="22"/>
                <w:lang w:val="de-DE"/>
              </w:rPr>
            </w:pPr>
            <w:r w:rsidRPr="00E73F6F">
              <w:rPr>
                <w:sz w:val="22"/>
                <w:szCs w:val="22"/>
                <w:lang w:val="de-DE"/>
              </w:rPr>
              <w:t>Portugal</w:t>
            </w:r>
            <w:r w:rsidRPr="00E73F6F">
              <w:rPr>
                <w:spacing w:val="1"/>
                <w:sz w:val="22"/>
                <w:szCs w:val="22"/>
                <w:lang w:val="de-DE"/>
              </w:rPr>
              <w:t xml:space="preserve"> </w:t>
            </w:r>
            <w:r w:rsidRPr="00E73F6F">
              <w:rPr>
                <w:spacing w:val="-2"/>
                <w:sz w:val="22"/>
                <w:szCs w:val="22"/>
                <w:lang w:val="de-DE"/>
              </w:rPr>
              <w:t>(1998)</w:t>
            </w:r>
          </w:p>
        </w:tc>
        <w:tc>
          <w:tcPr>
            <w:tcW w:w="703" w:type="pct"/>
            <w:tcMar>
              <w:left w:w="28" w:type="dxa"/>
              <w:right w:w="28" w:type="dxa"/>
            </w:tcMar>
          </w:tcPr>
          <w:p w14:paraId="0774A7B3" w14:textId="77777777" w:rsidR="00FF7799" w:rsidRPr="00E73F6F" w:rsidRDefault="00FF7799" w:rsidP="007C0767">
            <w:pPr>
              <w:pStyle w:val="StandardText"/>
              <w:jc w:val="center"/>
              <w:rPr>
                <w:sz w:val="22"/>
                <w:szCs w:val="22"/>
                <w:lang w:val="de-DE"/>
              </w:rPr>
            </w:pPr>
            <w:r w:rsidRPr="00E73F6F">
              <w:rPr>
                <w:spacing w:val="-5"/>
                <w:sz w:val="22"/>
                <w:szCs w:val="22"/>
                <w:lang w:val="de-DE"/>
              </w:rPr>
              <w:t>5,1</w:t>
            </w:r>
          </w:p>
        </w:tc>
        <w:tc>
          <w:tcPr>
            <w:tcW w:w="701" w:type="pct"/>
            <w:tcMar>
              <w:left w:w="28" w:type="dxa"/>
              <w:right w:w="28" w:type="dxa"/>
            </w:tcMar>
          </w:tcPr>
          <w:p w14:paraId="2152369A" w14:textId="77777777" w:rsidR="00FF7799" w:rsidRPr="00E73F6F" w:rsidRDefault="00FF7799" w:rsidP="007C0767">
            <w:pPr>
              <w:pStyle w:val="StandardText"/>
              <w:jc w:val="center"/>
              <w:rPr>
                <w:sz w:val="22"/>
                <w:szCs w:val="22"/>
                <w:lang w:val="de-DE"/>
              </w:rPr>
            </w:pPr>
            <w:r w:rsidRPr="00E73F6F">
              <w:rPr>
                <w:spacing w:val="-5"/>
                <w:sz w:val="22"/>
                <w:szCs w:val="22"/>
                <w:lang w:val="de-DE"/>
              </w:rPr>
              <w:t>4,9</w:t>
            </w:r>
          </w:p>
        </w:tc>
      </w:tr>
      <w:tr w:rsidR="00FF7799" w:rsidRPr="00E73F6F" w14:paraId="0D531903" w14:textId="77777777" w:rsidTr="00432D3C">
        <w:trPr>
          <w:trHeight w:val="395"/>
        </w:trPr>
        <w:tc>
          <w:tcPr>
            <w:tcW w:w="1014" w:type="pct"/>
            <w:tcMar>
              <w:left w:w="28" w:type="dxa"/>
              <w:right w:w="28" w:type="dxa"/>
            </w:tcMar>
          </w:tcPr>
          <w:p w14:paraId="6CDCC8B9" w14:textId="77777777" w:rsidR="00FF7799" w:rsidRPr="00E73F6F" w:rsidRDefault="00FF7799" w:rsidP="007C0767">
            <w:pPr>
              <w:pStyle w:val="StandardText"/>
              <w:rPr>
                <w:sz w:val="22"/>
                <w:szCs w:val="22"/>
                <w:lang w:val="de-DE"/>
              </w:rPr>
            </w:pPr>
            <w:r w:rsidRPr="00E73F6F">
              <w:rPr>
                <w:sz w:val="22"/>
                <w:szCs w:val="22"/>
                <w:lang w:val="de-DE"/>
              </w:rPr>
              <w:t xml:space="preserve">Finnland </w:t>
            </w:r>
            <w:r w:rsidRPr="00E73F6F">
              <w:rPr>
                <w:spacing w:val="-2"/>
                <w:sz w:val="22"/>
                <w:szCs w:val="22"/>
                <w:lang w:val="de-DE"/>
              </w:rPr>
              <w:t>(1998)</w:t>
            </w:r>
          </w:p>
        </w:tc>
        <w:tc>
          <w:tcPr>
            <w:tcW w:w="704" w:type="pct"/>
            <w:tcMar>
              <w:left w:w="28" w:type="dxa"/>
              <w:right w:w="28" w:type="dxa"/>
            </w:tcMar>
          </w:tcPr>
          <w:p w14:paraId="6D0D48E8" w14:textId="77777777" w:rsidR="00FF7799" w:rsidRPr="00E73F6F" w:rsidRDefault="00FF7799" w:rsidP="007C0767">
            <w:pPr>
              <w:pStyle w:val="StandardText"/>
              <w:jc w:val="center"/>
              <w:rPr>
                <w:sz w:val="22"/>
                <w:szCs w:val="22"/>
                <w:lang w:val="de-DE"/>
              </w:rPr>
            </w:pPr>
            <w:r w:rsidRPr="00E73F6F">
              <w:rPr>
                <w:spacing w:val="-5"/>
                <w:sz w:val="22"/>
                <w:szCs w:val="22"/>
                <w:lang w:val="de-DE"/>
              </w:rPr>
              <w:t>11,</w:t>
            </w:r>
            <w:r w:rsidRPr="00E73F6F">
              <w:rPr>
                <w:sz w:val="22"/>
                <w:szCs w:val="22"/>
                <w:lang w:val="de-DE"/>
              </w:rPr>
              <w:t>4</w:t>
            </w:r>
          </w:p>
        </w:tc>
        <w:tc>
          <w:tcPr>
            <w:tcW w:w="688" w:type="pct"/>
            <w:tcMar>
              <w:left w:w="28" w:type="dxa"/>
              <w:right w:w="28" w:type="dxa"/>
            </w:tcMar>
          </w:tcPr>
          <w:p w14:paraId="31B2D51B" w14:textId="77777777" w:rsidR="00FF7799" w:rsidRPr="00E73F6F" w:rsidRDefault="00FF7799" w:rsidP="007C0767">
            <w:pPr>
              <w:pStyle w:val="StandardText"/>
              <w:jc w:val="center"/>
              <w:rPr>
                <w:sz w:val="22"/>
                <w:szCs w:val="22"/>
                <w:lang w:val="de-DE"/>
              </w:rPr>
            </w:pPr>
            <w:r w:rsidRPr="00E73F6F">
              <w:rPr>
                <w:spacing w:val="-5"/>
                <w:sz w:val="22"/>
                <w:szCs w:val="22"/>
                <w:lang w:val="de-DE"/>
              </w:rPr>
              <w:t>11,</w:t>
            </w:r>
            <w:r w:rsidRPr="00E73F6F">
              <w:rPr>
                <w:sz w:val="22"/>
                <w:szCs w:val="22"/>
                <w:lang w:val="de-DE"/>
              </w:rPr>
              <w:t>4</w:t>
            </w:r>
          </w:p>
        </w:tc>
        <w:tc>
          <w:tcPr>
            <w:tcW w:w="1190" w:type="pct"/>
            <w:tcMar>
              <w:left w:w="28" w:type="dxa"/>
              <w:right w:w="28" w:type="dxa"/>
            </w:tcMar>
          </w:tcPr>
          <w:p w14:paraId="34A64B25" w14:textId="77777777" w:rsidR="00FF7799" w:rsidRPr="00E73F6F" w:rsidRDefault="00FF7799" w:rsidP="007C0767">
            <w:pPr>
              <w:pStyle w:val="StandardText"/>
              <w:rPr>
                <w:sz w:val="22"/>
                <w:szCs w:val="22"/>
                <w:lang w:val="de-DE"/>
              </w:rPr>
            </w:pPr>
            <w:r w:rsidRPr="00E73F6F">
              <w:rPr>
                <w:sz w:val="22"/>
                <w:szCs w:val="22"/>
                <w:lang w:val="de-DE"/>
              </w:rPr>
              <w:t>USA</w:t>
            </w:r>
            <w:r w:rsidRPr="00E73F6F">
              <w:rPr>
                <w:spacing w:val="-1"/>
                <w:sz w:val="22"/>
                <w:szCs w:val="22"/>
                <w:lang w:val="de-DE"/>
              </w:rPr>
              <w:t xml:space="preserve"> </w:t>
            </w:r>
            <w:r w:rsidRPr="00E73F6F">
              <w:rPr>
                <w:spacing w:val="-2"/>
                <w:sz w:val="22"/>
                <w:szCs w:val="22"/>
                <w:lang w:val="de-DE"/>
              </w:rPr>
              <w:t>(1998)</w:t>
            </w:r>
          </w:p>
        </w:tc>
        <w:tc>
          <w:tcPr>
            <w:tcW w:w="703" w:type="pct"/>
            <w:tcMar>
              <w:left w:w="28" w:type="dxa"/>
              <w:right w:w="28" w:type="dxa"/>
            </w:tcMar>
          </w:tcPr>
          <w:p w14:paraId="6A9D9837" w14:textId="77777777" w:rsidR="00FF7799" w:rsidRPr="00E73F6F" w:rsidRDefault="00FF7799" w:rsidP="007C0767">
            <w:pPr>
              <w:pStyle w:val="StandardText"/>
              <w:jc w:val="center"/>
              <w:rPr>
                <w:sz w:val="22"/>
                <w:szCs w:val="22"/>
                <w:lang w:val="de-DE"/>
              </w:rPr>
            </w:pPr>
            <w:r w:rsidRPr="00E73F6F">
              <w:rPr>
                <w:spacing w:val="-5"/>
                <w:sz w:val="22"/>
                <w:szCs w:val="22"/>
                <w:lang w:val="de-DE"/>
              </w:rPr>
              <w:t>4,5</w:t>
            </w:r>
          </w:p>
        </w:tc>
        <w:tc>
          <w:tcPr>
            <w:tcW w:w="701" w:type="pct"/>
            <w:tcMar>
              <w:left w:w="28" w:type="dxa"/>
              <w:right w:w="28" w:type="dxa"/>
            </w:tcMar>
          </w:tcPr>
          <w:p w14:paraId="3AE564A6" w14:textId="77777777" w:rsidR="00FF7799" w:rsidRPr="00E73F6F" w:rsidRDefault="00FF7799" w:rsidP="007C0767">
            <w:pPr>
              <w:pStyle w:val="StandardText"/>
              <w:jc w:val="center"/>
              <w:rPr>
                <w:sz w:val="22"/>
                <w:szCs w:val="22"/>
                <w:lang w:val="de-DE"/>
              </w:rPr>
            </w:pPr>
            <w:r w:rsidRPr="00E73F6F">
              <w:rPr>
                <w:spacing w:val="-5"/>
                <w:sz w:val="22"/>
                <w:szCs w:val="22"/>
                <w:lang w:val="de-DE"/>
              </w:rPr>
              <w:t>4,5</w:t>
            </w:r>
          </w:p>
        </w:tc>
      </w:tr>
      <w:tr w:rsidR="00FF7799" w:rsidRPr="00E73F6F" w14:paraId="1681932A" w14:textId="77777777" w:rsidTr="00432D3C">
        <w:trPr>
          <w:trHeight w:val="395"/>
        </w:trPr>
        <w:tc>
          <w:tcPr>
            <w:tcW w:w="1014" w:type="pct"/>
            <w:tcMar>
              <w:left w:w="28" w:type="dxa"/>
              <w:right w:w="28" w:type="dxa"/>
            </w:tcMar>
          </w:tcPr>
          <w:p w14:paraId="47F3405C" w14:textId="77777777" w:rsidR="00FF7799" w:rsidRPr="00E73F6F" w:rsidRDefault="00FF7799" w:rsidP="007C0767">
            <w:pPr>
              <w:pStyle w:val="StandardText"/>
              <w:rPr>
                <w:sz w:val="22"/>
                <w:szCs w:val="22"/>
                <w:lang w:val="de-DE"/>
              </w:rPr>
            </w:pPr>
            <w:r w:rsidRPr="00E73F6F">
              <w:rPr>
                <w:sz w:val="22"/>
                <w:szCs w:val="22"/>
                <w:lang w:val="de-DE"/>
              </w:rPr>
              <w:t xml:space="preserve">Deutschland </w:t>
            </w:r>
            <w:r w:rsidRPr="00E73F6F">
              <w:rPr>
                <w:spacing w:val="-2"/>
                <w:sz w:val="22"/>
                <w:szCs w:val="22"/>
                <w:lang w:val="de-DE"/>
              </w:rPr>
              <w:t>(1998)</w:t>
            </w:r>
          </w:p>
        </w:tc>
        <w:tc>
          <w:tcPr>
            <w:tcW w:w="704" w:type="pct"/>
            <w:tcMar>
              <w:left w:w="28" w:type="dxa"/>
              <w:right w:w="28" w:type="dxa"/>
            </w:tcMar>
          </w:tcPr>
          <w:p w14:paraId="59F8F312" w14:textId="77777777" w:rsidR="00FF7799" w:rsidRPr="00E73F6F" w:rsidRDefault="00FF7799" w:rsidP="007C0767">
            <w:pPr>
              <w:pStyle w:val="StandardText"/>
              <w:jc w:val="center"/>
              <w:rPr>
                <w:sz w:val="22"/>
                <w:szCs w:val="22"/>
                <w:lang w:val="de-DE"/>
              </w:rPr>
            </w:pPr>
            <w:r w:rsidRPr="00E73F6F">
              <w:rPr>
                <w:spacing w:val="-5"/>
                <w:sz w:val="22"/>
                <w:szCs w:val="22"/>
                <w:lang w:val="de-DE"/>
              </w:rPr>
              <w:t>11,</w:t>
            </w:r>
            <w:r w:rsidRPr="00E73F6F">
              <w:rPr>
                <w:sz w:val="22"/>
                <w:szCs w:val="22"/>
                <w:lang w:val="de-DE"/>
              </w:rPr>
              <w:t>1</w:t>
            </w:r>
          </w:p>
        </w:tc>
        <w:tc>
          <w:tcPr>
            <w:tcW w:w="688" w:type="pct"/>
            <w:tcMar>
              <w:left w:w="28" w:type="dxa"/>
              <w:right w:w="28" w:type="dxa"/>
            </w:tcMar>
          </w:tcPr>
          <w:p w14:paraId="3E91D7B9" w14:textId="77777777" w:rsidR="00FF7799" w:rsidRPr="00E73F6F" w:rsidRDefault="00FF7799" w:rsidP="007C0767">
            <w:pPr>
              <w:pStyle w:val="StandardText"/>
              <w:jc w:val="center"/>
              <w:rPr>
                <w:sz w:val="22"/>
                <w:szCs w:val="22"/>
                <w:lang w:val="de-DE"/>
              </w:rPr>
            </w:pPr>
            <w:r w:rsidRPr="00E73F6F">
              <w:rPr>
                <w:spacing w:val="-5"/>
                <w:sz w:val="22"/>
                <w:szCs w:val="22"/>
                <w:lang w:val="de-DE"/>
              </w:rPr>
              <w:t>9,4</w:t>
            </w:r>
          </w:p>
        </w:tc>
        <w:tc>
          <w:tcPr>
            <w:tcW w:w="1190" w:type="pct"/>
            <w:tcMar>
              <w:left w:w="28" w:type="dxa"/>
              <w:right w:w="28" w:type="dxa"/>
            </w:tcMar>
          </w:tcPr>
          <w:p w14:paraId="7C0DBA68" w14:textId="77777777" w:rsidR="00FF7799" w:rsidRPr="00E73F6F" w:rsidRDefault="00FF7799" w:rsidP="007C0767">
            <w:pPr>
              <w:pStyle w:val="StandardText"/>
              <w:rPr>
                <w:sz w:val="22"/>
                <w:szCs w:val="22"/>
                <w:lang w:val="de-DE"/>
              </w:rPr>
            </w:pPr>
            <w:r w:rsidRPr="00E73F6F">
              <w:rPr>
                <w:sz w:val="22"/>
                <w:szCs w:val="22"/>
                <w:lang w:val="de-DE"/>
              </w:rPr>
              <w:t>Österreich</w:t>
            </w:r>
            <w:r w:rsidRPr="00E73F6F">
              <w:rPr>
                <w:spacing w:val="-3"/>
                <w:sz w:val="22"/>
                <w:szCs w:val="22"/>
                <w:lang w:val="de-DE"/>
              </w:rPr>
              <w:t xml:space="preserve"> </w:t>
            </w:r>
            <w:r w:rsidRPr="00E73F6F">
              <w:rPr>
                <w:spacing w:val="-2"/>
                <w:sz w:val="22"/>
                <w:szCs w:val="22"/>
                <w:lang w:val="de-DE"/>
              </w:rPr>
              <w:t>(1998)</w:t>
            </w:r>
          </w:p>
        </w:tc>
        <w:tc>
          <w:tcPr>
            <w:tcW w:w="703" w:type="pct"/>
            <w:tcMar>
              <w:left w:w="28" w:type="dxa"/>
              <w:right w:w="28" w:type="dxa"/>
            </w:tcMar>
          </w:tcPr>
          <w:p w14:paraId="35B51EB2" w14:textId="77777777" w:rsidR="00FF7799" w:rsidRPr="00E73F6F" w:rsidRDefault="00FF7799" w:rsidP="007C0767">
            <w:pPr>
              <w:pStyle w:val="StandardText"/>
              <w:jc w:val="center"/>
              <w:rPr>
                <w:sz w:val="22"/>
                <w:szCs w:val="22"/>
                <w:lang w:val="de-DE"/>
              </w:rPr>
            </w:pPr>
            <w:r w:rsidRPr="00E73F6F">
              <w:rPr>
                <w:spacing w:val="-5"/>
                <w:sz w:val="22"/>
                <w:szCs w:val="22"/>
                <w:lang w:val="de-DE"/>
              </w:rPr>
              <w:t>7,2</w:t>
            </w:r>
          </w:p>
        </w:tc>
        <w:tc>
          <w:tcPr>
            <w:tcW w:w="701" w:type="pct"/>
            <w:tcMar>
              <w:left w:w="28" w:type="dxa"/>
              <w:right w:w="28" w:type="dxa"/>
            </w:tcMar>
          </w:tcPr>
          <w:p w14:paraId="00675056" w14:textId="77777777" w:rsidR="00FF7799" w:rsidRPr="00E73F6F" w:rsidRDefault="00FF7799" w:rsidP="007C0767">
            <w:pPr>
              <w:pStyle w:val="StandardText"/>
              <w:jc w:val="center"/>
              <w:rPr>
                <w:sz w:val="22"/>
                <w:szCs w:val="22"/>
                <w:lang w:val="de-DE"/>
              </w:rPr>
            </w:pPr>
            <w:r w:rsidRPr="00E73F6F">
              <w:rPr>
                <w:spacing w:val="-5"/>
                <w:sz w:val="22"/>
                <w:szCs w:val="22"/>
                <w:lang w:val="de-DE"/>
              </w:rPr>
              <w:t>4,4</w:t>
            </w:r>
          </w:p>
        </w:tc>
      </w:tr>
      <w:tr w:rsidR="00FF7799" w:rsidRPr="00E73F6F" w14:paraId="1D78E6E1" w14:textId="77777777" w:rsidTr="00432D3C">
        <w:trPr>
          <w:trHeight w:val="395"/>
        </w:trPr>
        <w:tc>
          <w:tcPr>
            <w:tcW w:w="1014" w:type="pct"/>
            <w:tcMar>
              <w:left w:w="28" w:type="dxa"/>
              <w:right w:w="28" w:type="dxa"/>
            </w:tcMar>
          </w:tcPr>
          <w:p w14:paraId="03F77446" w14:textId="77777777" w:rsidR="00FF7799" w:rsidRPr="00E73F6F" w:rsidRDefault="00FF7799" w:rsidP="007C0767">
            <w:pPr>
              <w:pStyle w:val="StandardText"/>
              <w:rPr>
                <w:sz w:val="22"/>
                <w:szCs w:val="22"/>
                <w:lang w:val="de-DE"/>
              </w:rPr>
            </w:pPr>
            <w:r w:rsidRPr="00E73F6F">
              <w:rPr>
                <w:sz w:val="22"/>
                <w:szCs w:val="22"/>
                <w:lang w:val="de-DE"/>
              </w:rPr>
              <w:t>Belgien</w:t>
            </w:r>
            <w:r w:rsidRPr="00E73F6F">
              <w:rPr>
                <w:spacing w:val="-3"/>
                <w:sz w:val="22"/>
                <w:szCs w:val="22"/>
                <w:lang w:val="de-DE"/>
              </w:rPr>
              <w:t xml:space="preserve"> </w:t>
            </w:r>
            <w:r w:rsidRPr="00E73F6F">
              <w:rPr>
                <w:spacing w:val="-2"/>
                <w:sz w:val="22"/>
                <w:szCs w:val="22"/>
                <w:lang w:val="de-DE"/>
              </w:rPr>
              <w:t>(1998)</w:t>
            </w:r>
          </w:p>
        </w:tc>
        <w:tc>
          <w:tcPr>
            <w:tcW w:w="704" w:type="pct"/>
            <w:tcMar>
              <w:left w:w="28" w:type="dxa"/>
              <w:right w:w="28" w:type="dxa"/>
            </w:tcMar>
          </w:tcPr>
          <w:p w14:paraId="4734643F" w14:textId="77777777" w:rsidR="00FF7799" w:rsidRPr="00E73F6F" w:rsidRDefault="00FF7799" w:rsidP="007C0767">
            <w:pPr>
              <w:pStyle w:val="StandardText"/>
              <w:jc w:val="center"/>
              <w:rPr>
                <w:sz w:val="22"/>
                <w:szCs w:val="22"/>
                <w:lang w:val="de-DE"/>
              </w:rPr>
            </w:pPr>
            <w:r w:rsidRPr="00E73F6F">
              <w:rPr>
                <w:spacing w:val="-5"/>
                <w:sz w:val="22"/>
                <w:szCs w:val="22"/>
                <w:lang w:val="de-DE"/>
              </w:rPr>
              <w:t>12,</w:t>
            </w:r>
            <w:r w:rsidRPr="00E73F6F">
              <w:rPr>
                <w:sz w:val="22"/>
                <w:szCs w:val="22"/>
                <w:lang w:val="de-DE"/>
              </w:rPr>
              <w:t>6</w:t>
            </w:r>
          </w:p>
        </w:tc>
        <w:tc>
          <w:tcPr>
            <w:tcW w:w="688" w:type="pct"/>
            <w:tcMar>
              <w:left w:w="28" w:type="dxa"/>
              <w:right w:w="28" w:type="dxa"/>
            </w:tcMar>
          </w:tcPr>
          <w:p w14:paraId="3FF6A779" w14:textId="77777777" w:rsidR="00FF7799" w:rsidRPr="00E73F6F" w:rsidRDefault="00FF7799" w:rsidP="007C0767">
            <w:pPr>
              <w:pStyle w:val="StandardText"/>
              <w:jc w:val="center"/>
              <w:rPr>
                <w:sz w:val="22"/>
                <w:szCs w:val="22"/>
                <w:lang w:val="de-DE"/>
              </w:rPr>
            </w:pPr>
            <w:r w:rsidRPr="00E73F6F">
              <w:rPr>
                <w:spacing w:val="-5"/>
                <w:sz w:val="22"/>
                <w:szCs w:val="22"/>
                <w:lang w:val="de-DE"/>
              </w:rPr>
              <w:t>8,8</w:t>
            </w:r>
          </w:p>
        </w:tc>
        <w:tc>
          <w:tcPr>
            <w:tcW w:w="1190" w:type="pct"/>
            <w:tcMar>
              <w:left w:w="28" w:type="dxa"/>
              <w:right w:w="28" w:type="dxa"/>
            </w:tcMar>
          </w:tcPr>
          <w:p w14:paraId="7483B029" w14:textId="77777777" w:rsidR="00FF7799" w:rsidRPr="00E73F6F" w:rsidRDefault="00FF7799" w:rsidP="007C0767">
            <w:pPr>
              <w:pStyle w:val="StandardText"/>
              <w:rPr>
                <w:sz w:val="22"/>
                <w:szCs w:val="22"/>
                <w:lang w:val="de-DE"/>
              </w:rPr>
            </w:pPr>
            <w:r w:rsidRPr="00E73F6F">
              <w:rPr>
                <w:sz w:val="22"/>
                <w:szCs w:val="22"/>
                <w:lang w:val="de-DE"/>
              </w:rPr>
              <w:t>Japan</w:t>
            </w:r>
            <w:r w:rsidRPr="00E73F6F">
              <w:rPr>
                <w:spacing w:val="-3"/>
                <w:sz w:val="22"/>
                <w:szCs w:val="22"/>
                <w:lang w:val="de-DE"/>
              </w:rPr>
              <w:t xml:space="preserve"> </w:t>
            </w:r>
            <w:r w:rsidRPr="00E73F6F">
              <w:rPr>
                <w:spacing w:val="-2"/>
                <w:sz w:val="22"/>
                <w:szCs w:val="22"/>
                <w:lang w:val="de-DE"/>
              </w:rPr>
              <w:t>(1998)</w:t>
            </w:r>
          </w:p>
        </w:tc>
        <w:tc>
          <w:tcPr>
            <w:tcW w:w="703" w:type="pct"/>
            <w:tcMar>
              <w:left w:w="28" w:type="dxa"/>
              <w:right w:w="28" w:type="dxa"/>
            </w:tcMar>
          </w:tcPr>
          <w:p w14:paraId="7B0A019D" w14:textId="77777777" w:rsidR="00FF7799" w:rsidRPr="00E73F6F" w:rsidRDefault="00FF7799" w:rsidP="007C0767">
            <w:pPr>
              <w:pStyle w:val="StandardText"/>
              <w:jc w:val="center"/>
              <w:rPr>
                <w:sz w:val="22"/>
                <w:szCs w:val="22"/>
                <w:lang w:val="de-DE"/>
              </w:rPr>
            </w:pPr>
            <w:r w:rsidRPr="00E73F6F">
              <w:rPr>
                <w:spacing w:val="-5"/>
                <w:sz w:val="22"/>
                <w:szCs w:val="22"/>
                <w:lang w:val="de-DE"/>
              </w:rPr>
              <w:t>4,1</w:t>
            </w:r>
          </w:p>
        </w:tc>
        <w:tc>
          <w:tcPr>
            <w:tcW w:w="701" w:type="pct"/>
            <w:tcMar>
              <w:left w:w="28" w:type="dxa"/>
              <w:right w:w="28" w:type="dxa"/>
            </w:tcMar>
          </w:tcPr>
          <w:p w14:paraId="49ECD374" w14:textId="77777777" w:rsidR="00FF7799" w:rsidRPr="00E73F6F" w:rsidRDefault="00FF7799" w:rsidP="007C0767">
            <w:pPr>
              <w:pStyle w:val="StandardText"/>
              <w:jc w:val="center"/>
              <w:rPr>
                <w:sz w:val="22"/>
                <w:szCs w:val="22"/>
                <w:lang w:val="de-DE"/>
              </w:rPr>
            </w:pPr>
            <w:r w:rsidRPr="00E73F6F">
              <w:rPr>
                <w:spacing w:val="-5"/>
                <w:sz w:val="22"/>
                <w:szCs w:val="22"/>
                <w:lang w:val="de-DE"/>
              </w:rPr>
              <w:t>4,1</w:t>
            </w:r>
          </w:p>
        </w:tc>
      </w:tr>
      <w:tr w:rsidR="00FF7799" w:rsidRPr="00E73F6F" w14:paraId="02956100" w14:textId="77777777" w:rsidTr="00432D3C">
        <w:trPr>
          <w:trHeight w:val="270"/>
        </w:trPr>
        <w:tc>
          <w:tcPr>
            <w:tcW w:w="1014" w:type="pct"/>
            <w:tcMar>
              <w:left w:w="28" w:type="dxa"/>
              <w:right w:w="28" w:type="dxa"/>
            </w:tcMar>
          </w:tcPr>
          <w:p w14:paraId="423E0221" w14:textId="77777777" w:rsidR="00FF7799" w:rsidRPr="00E73F6F" w:rsidRDefault="00FF7799" w:rsidP="007C0767">
            <w:pPr>
              <w:pStyle w:val="StandardText"/>
              <w:rPr>
                <w:sz w:val="22"/>
                <w:szCs w:val="22"/>
                <w:lang w:val="de-DE"/>
              </w:rPr>
            </w:pPr>
            <w:r w:rsidRPr="00E73F6F">
              <w:rPr>
                <w:sz w:val="22"/>
                <w:szCs w:val="22"/>
                <w:lang w:val="de-DE"/>
              </w:rPr>
              <w:t>Schweden</w:t>
            </w:r>
            <w:r w:rsidRPr="00E73F6F">
              <w:rPr>
                <w:spacing w:val="-2"/>
                <w:sz w:val="22"/>
                <w:szCs w:val="22"/>
                <w:lang w:val="de-DE"/>
              </w:rPr>
              <w:t xml:space="preserve"> (1998)</w:t>
            </w:r>
          </w:p>
        </w:tc>
        <w:tc>
          <w:tcPr>
            <w:tcW w:w="704" w:type="pct"/>
            <w:tcMar>
              <w:left w:w="28" w:type="dxa"/>
              <w:right w:w="28" w:type="dxa"/>
            </w:tcMar>
          </w:tcPr>
          <w:p w14:paraId="5FE49543" w14:textId="77777777" w:rsidR="00FF7799" w:rsidRPr="00E73F6F" w:rsidRDefault="00FF7799" w:rsidP="007C0767">
            <w:pPr>
              <w:pStyle w:val="StandardText"/>
              <w:jc w:val="center"/>
              <w:rPr>
                <w:sz w:val="22"/>
                <w:szCs w:val="22"/>
                <w:lang w:val="de-DE"/>
              </w:rPr>
            </w:pPr>
            <w:r w:rsidRPr="00E73F6F">
              <w:rPr>
                <w:spacing w:val="-5"/>
                <w:sz w:val="22"/>
                <w:szCs w:val="22"/>
                <w:lang w:val="de-DE"/>
              </w:rPr>
              <w:t>6,5</w:t>
            </w:r>
          </w:p>
        </w:tc>
        <w:tc>
          <w:tcPr>
            <w:tcW w:w="688" w:type="pct"/>
            <w:tcMar>
              <w:left w:w="28" w:type="dxa"/>
              <w:right w:w="28" w:type="dxa"/>
            </w:tcMar>
          </w:tcPr>
          <w:p w14:paraId="5F3F0D0B" w14:textId="77777777" w:rsidR="00FF7799" w:rsidRPr="00E73F6F" w:rsidRDefault="00FF7799" w:rsidP="007C0767">
            <w:pPr>
              <w:pStyle w:val="StandardText"/>
              <w:jc w:val="center"/>
              <w:rPr>
                <w:sz w:val="22"/>
                <w:szCs w:val="22"/>
                <w:lang w:val="de-DE"/>
              </w:rPr>
            </w:pPr>
            <w:r w:rsidRPr="00E73F6F">
              <w:rPr>
                <w:spacing w:val="-5"/>
                <w:sz w:val="22"/>
                <w:szCs w:val="22"/>
                <w:lang w:val="de-DE"/>
              </w:rPr>
              <w:t>8,2</w:t>
            </w:r>
          </w:p>
        </w:tc>
        <w:tc>
          <w:tcPr>
            <w:tcW w:w="1190" w:type="pct"/>
            <w:tcMar>
              <w:left w:w="28" w:type="dxa"/>
              <w:right w:w="28" w:type="dxa"/>
            </w:tcMar>
          </w:tcPr>
          <w:p w14:paraId="10E459CF" w14:textId="77777777" w:rsidR="00FF7799" w:rsidRPr="00E73F6F" w:rsidRDefault="00FF7799" w:rsidP="007C0767">
            <w:pPr>
              <w:pStyle w:val="StandardText"/>
              <w:rPr>
                <w:sz w:val="22"/>
                <w:szCs w:val="22"/>
                <w:lang w:val="de-DE"/>
              </w:rPr>
            </w:pPr>
            <w:r w:rsidRPr="00E73F6F">
              <w:rPr>
                <w:sz w:val="22"/>
                <w:szCs w:val="22"/>
                <w:lang w:val="de-DE"/>
              </w:rPr>
              <w:t>Niederlande</w:t>
            </w:r>
            <w:r w:rsidRPr="00E73F6F">
              <w:rPr>
                <w:spacing w:val="-2"/>
                <w:sz w:val="22"/>
                <w:szCs w:val="22"/>
                <w:lang w:val="de-DE"/>
              </w:rPr>
              <w:t xml:space="preserve"> (1998)</w:t>
            </w:r>
          </w:p>
        </w:tc>
        <w:tc>
          <w:tcPr>
            <w:tcW w:w="703" w:type="pct"/>
            <w:tcMar>
              <w:left w:w="28" w:type="dxa"/>
              <w:right w:w="28" w:type="dxa"/>
            </w:tcMar>
          </w:tcPr>
          <w:p w14:paraId="23560283" w14:textId="77777777" w:rsidR="00FF7799" w:rsidRPr="00E73F6F" w:rsidRDefault="00FF7799" w:rsidP="007C0767">
            <w:pPr>
              <w:pStyle w:val="StandardText"/>
              <w:jc w:val="center"/>
              <w:rPr>
                <w:sz w:val="22"/>
                <w:szCs w:val="22"/>
                <w:lang w:val="de-DE"/>
              </w:rPr>
            </w:pPr>
            <w:r w:rsidRPr="00E73F6F">
              <w:rPr>
                <w:spacing w:val="-5"/>
                <w:sz w:val="22"/>
                <w:szCs w:val="22"/>
                <w:lang w:val="de-DE"/>
              </w:rPr>
              <w:t>4,2</w:t>
            </w:r>
          </w:p>
        </w:tc>
        <w:tc>
          <w:tcPr>
            <w:tcW w:w="701" w:type="pct"/>
            <w:tcMar>
              <w:left w:w="28" w:type="dxa"/>
              <w:right w:w="28" w:type="dxa"/>
            </w:tcMar>
          </w:tcPr>
          <w:p w14:paraId="35AB2ACA" w14:textId="77777777" w:rsidR="00FF7799" w:rsidRPr="00E73F6F" w:rsidRDefault="00FF7799" w:rsidP="007C0767">
            <w:pPr>
              <w:pStyle w:val="StandardText"/>
              <w:jc w:val="center"/>
              <w:rPr>
                <w:sz w:val="22"/>
                <w:szCs w:val="22"/>
                <w:lang w:val="de-DE"/>
              </w:rPr>
            </w:pPr>
            <w:r w:rsidRPr="00E73F6F">
              <w:rPr>
                <w:spacing w:val="-5"/>
                <w:sz w:val="22"/>
                <w:szCs w:val="22"/>
                <w:lang w:val="de-DE"/>
              </w:rPr>
              <w:t>3,9</w:t>
            </w:r>
          </w:p>
        </w:tc>
      </w:tr>
      <w:tr w:rsidR="00FF7799" w:rsidRPr="00E73F6F" w14:paraId="607A46DD" w14:textId="77777777" w:rsidTr="00432D3C">
        <w:trPr>
          <w:trHeight w:val="397"/>
        </w:trPr>
        <w:tc>
          <w:tcPr>
            <w:tcW w:w="1014" w:type="pct"/>
            <w:tcMar>
              <w:left w:w="28" w:type="dxa"/>
              <w:right w:w="28" w:type="dxa"/>
            </w:tcMar>
          </w:tcPr>
          <w:p w14:paraId="37B6F9C5" w14:textId="77777777" w:rsidR="00FF7799" w:rsidRPr="00E73F6F" w:rsidRDefault="00FF7799" w:rsidP="007C0767">
            <w:pPr>
              <w:pStyle w:val="StandardText"/>
              <w:rPr>
                <w:sz w:val="22"/>
                <w:szCs w:val="22"/>
                <w:lang w:val="de-DE"/>
              </w:rPr>
            </w:pPr>
            <w:r w:rsidRPr="00E73F6F">
              <w:rPr>
                <w:sz w:val="22"/>
                <w:szCs w:val="22"/>
                <w:lang w:val="de-DE"/>
              </w:rPr>
              <w:t>Irland</w:t>
            </w:r>
            <w:r w:rsidRPr="00E73F6F">
              <w:rPr>
                <w:spacing w:val="-1"/>
                <w:sz w:val="22"/>
                <w:szCs w:val="22"/>
                <w:lang w:val="de-DE"/>
              </w:rPr>
              <w:t xml:space="preserve"> </w:t>
            </w:r>
            <w:r w:rsidRPr="00E73F6F">
              <w:rPr>
                <w:spacing w:val="-2"/>
                <w:sz w:val="22"/>
                <w:szCs w:val="22"/>
                <w:lang w:val="de-DE"/>
              </w:rPr>
              <w:t>(1998)</w:t>
            </w:r>
          </w:p>
        </w:tc>
        <w:tc>
          <w:tcPr>
            <w:tcW w:w="704" w:type="pct"/>
            <w:tcMar>
              <w:left w:w="28" w:type="dxa"/>
              <w:right w:w="28" w:type="dxa"/>
            </w:tcMar>
          </w:tcPr>
          <w:p w14:paraId="0198B9F6" w14:textId="77777777" w:rsidR="00FF7799" w:rsidRPr="00E73F6F" w:rsidRDefault="00FF7799" w:rsidP="007C0767">
            <w:pPr>
              <w:pStyle w:val="StandardText"/>
              <w:jc w:val="center"/>
              <w:rPr>
                <w:sz w:val="22"/>
                <w:szCs w:val="22"/>
                <w:lang w:val="de-DE"/>
              </w:rPr>
            </w:pPr>
            <w:r w:rsidRPr="00E73F6F">
              <w:rPr>
                <w:spacing w:val="-5"/>
                <w:sz w:val="22"/>
                <w:szCs w:val="22"/>
                <w:lang w:val="de-DE"/>
              </w:rPr>
              <w:t>10,</w:t>
            </w:r>
            <w:r w:rsidRPr="00E73F6F">
              <w:rPr>
                <w:sz w:val="22"/>
                <w:szCs w:val="22"/>
                <w:lang w:val="de-DE"/>
              </w:rPr>
              <w:t>2</w:t>
            </w:r>
          </w:p>
        </w:tc>
        <w:tc>
          <w:tcPr>
            <w:tcW w:w="688" w:type="pct"/>
            <w:tcMar>
              <w:left w:w="28" w:type="dxa"/>
              <w:right w:w="28" w:type="dxa"/>
            </w:tcMar>
          </w:tcPr>
          <w:p w14:paraId="5B22D01B" w14:textId="77777777" w:rsidR="00FF7799" w:rsidRPr="00E73F6F" w:rsidRDefault="00FF7799" w:rsidP="007C0767">
            <w:pPr>
              <w:pStyle w:val="StandardText"/>
              <w:jc w:val="center"/>
              <w:rPr>
                <w:sz w:val="22"/>
                <w:szCs w:val="22"/>
                <w:lang w:val="de-DE"/>
              </w:rPr>
            </w:pPr>
            <w:r w:rsidRPr="00E73F6F">
              <w:rPr>
                <w:spacing w:val="-5"/>
                <w:sz w:val="22"/>
                <w:szCs w:val="22"/>
                <w:lang w:val="de-DE"/>
              </w:rPr>
              <w:t>7,8</w:t>
            </w:r>
          </w:p>
        </w:tc>
        <w:tc>
          <w:tcPr>
            <w:tcW w:w="1190" w:type="pct"/>
            <w:tcMar>
              <w:left w:w="28" w:type="dxa"/>
              <w:right w:w="28" w:type="dxa"/>
            </w:tcMar>
          </w:tcPr>
          <w:p w14:paraId="61968F6C" w14:textId="77777777" w:rsidR="00FF7799" w:rsidRPr="00E73F6F" w:rsidRDefault="00FF7799" w:rsidP="007C0767">
            <w:pPr>
              <w:pStyle w:val="StandardText"/>
              <w:rPr>
                <w:sz w:val="22"/>
                <w:szCs w:val="22"/>
                <w:lang w:val="de-DE"/>
              </w:rPr>
            </w:pPr>
          </w:p>
        </w:tc>
        <w:tc>
          <w:tcPr>
            <w:tcW w:w="703" w:type="pct"/>
            <w:tcMar>
              <w:left w:w="28" w:type="dxa"/>
              <w:right w:w="28" w:type="dxa"/>
            </w:tcMar>
          </w:tcPr>
          <w:p w14:paraId="680911F3" w14:textId="77777777" w:rsidR="00FF7799" w:rsidRPr="00E73F6F" w:rsidRDefault="00FF7799" w:rsidP="007C0767">
            <w:pPr>
              <w:pStyle w:val="StandardText"/>
              <w:rPr>
                <w:sz w:val="22"/>
                <w:szCs w:val="22"/>
                <w:lang w:val="de-DE"/>
              </w:rPr>
            </w:pPr>
          </w:p>
        </w:tc>
        <w:tc>
          <w:tcPr>
            <w:tcW w:w="701" w:type="pct"/>
            <w:tcMar>
              <w:left w:w="28" w:type="dxa"/>
              <w:right w:w="28" w:type="dxa"/>
            </w:tcMar>
          </w:tcPr>
          <w:p w14:paraId="3F0290D0" w14:textId="77777777" w:rsidR="00FF7799" w:rsidRPr="00E73F6F" w:rsidRDefault="00FF7799" w:rsidP="007C0767">
            <w:pPr>
              <w:pStyle w:val="StandardText"/>
              <w:rPr>
                <w:sz w:val="22"/>
                <w:szCs w:val="22"/>
                <w:lang w:val="de-DE"/>
              </w:rPr>
            </w:pPr>
          </w:p>
        </w:tc>
      </w:tr>
    </w:tbl>
    <w:p w14:paraId="4DFD7B2E" w14:textId="77777777" w:rsidR="00FF7799" w:rsidRPr="00E73F6F" w:rsidRDefault="00FF7799" w:rsidP="00432D3C">
      <w:pPr>
        <w:pStyle w:val="Quellen"/>
      </w:pPr>
      <w:r w:rsidRPr="00E73F6F">
        <w:rPr>
          <w:spacing w:val="-2"/>
        </w:rPr>
        <w:t xml:space="preserve">Quelle: </w:t>
      </w:r>
      <w:r w:rsidRPr="00E73F6F">
        <w:t>iwd, Nr.14</w:t>
      </w:r>
      <w:r w:rsidRPr="00E73F6F">
        <w:rPr>
          <w:spacing w:val="-4"/>
        </w:rPr>
        <w:t xml:space="preserve"> </w:t>
      </w:r>
      <w:r w:rsidRPr="00E73F6F">
        <w:t>(1999),</w:t>
      </w:r>
      <w:r w:rsidRPr="00E73F6F">
        <w:rPr>
          <w:spacing w:val="-3"/>
        </w:rPr>
        <w:t xml:space="preserve"> </w:t>
      </w:r>
      <w:r w:rsidRPr="00E73F6F">
        <w:t>S.6f.;</w:t>
      </w:r>
      <w:r w:rsidRPr="00E73F6F">
        <w:rPr>
          <w:spacing w:val="-1"/>
        </w:rPr>
        <w:t xml:space="preserve"> </w:t>
      </w:r>
      <w:r w:rsidRPr="00E73F6F">
        <w:t xml:space="preserve">Ursprungsdaten: </w:t>
      </w:r>
      <w:r w:rsidRPr="00E73F6F">
        <w:rPr>
          <w:spacing w:val="-4"/>
        </w:rPr>
        <w:t>OECD.</w:t>
      </w:r>
    </w:p>
    <w:p w14:paraId="106B66F6" w14:textId="77777777" w:rsidR="00FF7799" w:rsidRPr="00E73F6F" w:rsidRDefault="00FF7799" w:rsidP="00862DBA">
      <w:pPr>
        <w:spacing w:before="10"/>
        <w:rPr>
          <w:sz w:val="24"/>
          <w:szCs w:val="24"/>
        </w:rPr>
      </w:pPr>
    </w:p>
    <w:p w14:paraId="03599747" w14:textId="77777777" w:rsidR="00FF7799" w:rsidRPr="00E73F6F" w:rsidRDefault="00FF7799" w:rsidP="007C0767">
      <w:pPr>
        <w:pStyle w:val="StandardText"/>
      </w:pPr>
      <w:r w:rsidRPr="00E73F6F">
        <w:t>Internationalen</w:t>
      </w:r>
      <w:r w:rsidRPr="00E73F6F">
        <w:rPr>
          <w:spacing w:val="-9"/>
        </w:rPr>
        <w:t xml:space="preserve"> </w:t>
      </w:r>
      <w:r w:rsidRPr="00E73F6F">
        <w:t>Unternehmen</w:t>
      </w:r>
      <w:r w:rsidRPr="00E73F6F">
        <w:rPr>
          <w:spacing w:val="-9"/>
        </w:rPr>
        <w:t xml:space="preserve"> </w:t>
      </w:r>
      <w:r w:rsidRPr="00E73F6F">
        <w:t>können</w:t>
      </w:r>
      <w:r w:rsidRPr="00E73F6F">
        <w:rPr>
          <w:spacing w:val="-6"/>
        </w:rPr>
        <w:t xml:space="preserve"> </w:t>
      </w:r>
      <w:r w:rsidRPr="00E73F6F">
        <w:t>Auslandsmärkte</w:t>
      </w:r>
      <w:r w:rsidRPr="00E73F6F">
        <w:rPr>
          <w:spacing w:val="-9"/>
        </w:rPr>
        <w:t xml:space="preserve"> </w:t>
      </w:r>
      <w:r w:rsidRPr="00E73F6F">
        <w:t>auf</w:t>
      </w:r>
      <w:r w:rsidRPr="00E73F6F">
        <w:rPr>
          <w:spacing w:val="-9"/>
        </w:rPr>
        <w:t xml:space="preserve"> </w:t>
      </w:r>
      <w:r w:rsidRPr="00E73F6F">
        <w:t>höchst</w:t>
      </w:r>
      <w:r w:rsidRPr="00E73F6F">
        <w:rPr>
          <w:spacing w:val="-9"/>
        </w:rPr>
        <w:t xml:space="preserve"> </w:t>
      </w:r>
      <w:r w:rsidRPr="00E73F6F">
        <w:t xml:space="preserve">unterschiedliche Art und Weise erschließen (z.B. per </w:t>
      </w:r>
      <w:r w:rsidR="00D42EC4">
        <w:rPr>
          <w:spacing w:val="-2"/>
        </w:rPr>
        <w:sym w:font="Symbol" w:char="F0DE"/>
      </w:r>
      <w:r w:rsidR="00D42EC4">
        <w:rPr>
          <w:spacing w:val="-2"/>
        </w:rPr>
        <w:t xml:space="preserve"> </w:t>
      </w:r>
      <w:r w:rsidRPr="00E73F6F">
        <w:t>Export oder Lizenzvergabe) und bearbeiten (z.B. mit differenzierten oder mit standardisierten Marketing-Instrumenten). Angesichts der bereits unter „normalen Umständen“ großen physischen und psychischen Arbeitsbelastung von Führungskräften sorgen allein schon Art und Anzahl der für die Internationalisierung verfügbaren bzw. nicht verfügbaren Informationen (z.B. über Vor- und Nachteile der einzelnen Markteintrittsstrategien) für 'information overflow' und damit für Stress. Hinzu kommt,</w:t>
      </w:r>
      <w:r w:rsidRPr="00E73F6F">
        <w:rPr>
          <w:spacing w:val="-3"/>
        </w:rPr>
        <w:t xml:space="preserve"> </w:t>
      </w:r>
      <w:r w:rsidRPr="00E73F6F">
        <w:t>dass</w:t>
      </w:r>
      <w:r w:rsidRPr="00E73F6F">
        <w:rPr>
          <w:spacing w:val="-5"/>
        </w:rPr>
        <w:t xml:space="preserve"> </w:t>
      </w:r>
      <w:r w:rsidRPr="00E73F6F">
        <w:t>die</w:t>
      </w:r>
      <w:r w:rsidRPr="00E73F6F">
        <w:rPr>
          <w:spacing w:val="-4"/>
        </w:rPr>
        <w:t xml:space="preserve"> </w:t>
      </w:r>
      <w:r w:rsidRPr="00E73F6F">
        <w:t>zumeist</w:t>
      </w:r>
      <w:r w:rsidRPr="00E73F6F">
        <w:rPr>
          <w:spacing w:val="-4"/>
        </w:rPr>
        <w:t xml:space="preserve"> </w:t>
      </w:r>
      <w:r w:rsidRPr="00E73F6F">
        <w:t>übliche</w:t>
      </w:r>
      <w:r w:rsidRPr="00E73F6F">
        <w:rPr>
          <w:spacing w:val="-4"/>
        </w:rPr>
        <w:t xml:space="preserve"> </w:t>
      </w:r>
      <w:r w:rsidRPr="00E73F6F">
        <w:t>univariate,</w:t>
      </w:r>
      <w:r w:rsidRPr="00E73F6F">
        <w:rPr>
          <w:spacing w:val="-3"/>
        </w:rPr>
        <w:t xml:space="preserve"> </w:t>
      </w:r>
      <w:r w:rsidRPr="00E73F6F">
        <w:t>deskriptive</w:t>
      </w:r>
      <w:r w:rsidRPr="00E73F6F">
        <w:rPr>
          <w:spacing w:val="-5"/>
        </w:rPr>
        <w:t xml:space="preserve"> </w:t>
      </w:r>
      <w:r w:rsidRPr="00E73F6F">
        <w:t>Informationsverarbeitung in</w:t>
      </w:r>
      <w:r w:rsidRPr="00E73F6F">
        <w:rPr>
          <w:spacing w:val="-12"/>
        </w:rPr>
        <w:t xml:space="preserve"> </w:t>
      </w:r>
      <w:r w:rsidRPr="00E73F6F">
        <w:t>eine</w:t>
      </w:r>
      <w:r w:rsidRPr="00E73F6F">
        <w:rPr>
          <w:spacing w:val="-11"/>
        </w:rPr>
        <w:t xml:space="preserve"> </w:t>
      </w:r>
      <w:r w:rsidRPr="00E73F6F">
        <w:t>Sackgasse</w:t>
      </w:r>
      <w:r w:rsidRPr="00E73F6F">
        <w:rPr>
          <w:spacing w:val="-11"/>
        </w:rPr>
        <w:t xml:space="preserve"> </w:t>
      </w:r>
      <w:r w:rsidRPr="00E73F6F">
        <w:t>führt,</w:t>
      </w:r>
      <w:r w:rsidRPr="00E73F6F">
        <w:rPr>
          <w:spacing w:val="-11"/>
        </w:rPr>
        <w:t xml:space="preserve"> </w:t>
      </w:r>
      <w:r w:rsidRPr="00E73F6F">
        <w:t>wenn</w:t>
      </w:r>
      <w:r w:rsidRPr="00E73F6F">
        <w:rPr>
          <w:spacing w:val="-12"/>
        </w:rPr>
        <w:t xml:space="preserve"> </w:t>
      </w:r>
      <w:r w:rsidRPr="00E73F6F">
        <w:t>eine</w:t>
      </w:r>
      <w:r w:rsidRPr="00E73F6F">
        <w:rPr>
          <w:spacing w:val="-11"/>
        </w:rPr>
        <w:t xml:space="preserve"> </w:t>
      </w:r>
      <w:r w:rsidRPr="00E73F6F">
        <w:t>Vielzahl</w:t>
      </w:r>
      <w:r w:rsidRPr="00E73F6F">
        <w:rPr>
          <w:spacing w:val="-11"/>
        </w:rPr>
        <w:t xml:space="preserve"> </w:t>
      </w:r>
      <w:r w:rsidRPr="00E73F6F">
        <w:lastRenderedPageBreak/>
        <w:t>von</w:t>
      </w:r>
      <w:r w:rsidRPr="00E73F6F">
        <w:rPr>
          <w:spacing w:val="-11"/>
        </w:rPr>
        <w:t xml:space="preserve"> </w:t>
      </w:r>
      <w:r w:rsidRPr="00E73F6F">
        <w:t>Ländermärkten</w:t>
      </w:r>
      <w:r w:rsidRPr="00E73F6F">
        <w:rPr>
          <w:spacing w:val="-12"/>
        </w:rPr>
        <w:t xml:space="preserve"> </w:t>
      </w:r>
      <w:r w:rsidRPr="00E73F6F">
        <w:t>zu</w:t>
      </w:r>
      <w:r w:rsidRPr="00E73F6F">
        <w:rPr>
          <w:spacing w:val="-11"/>
        </w:rPr>
        <w:t xml:space="preserve"> </w:t>
      </w:r>
      <w:r w:rsidRPr="00E73F6F">
        <w:t>berücksichtigen ist. Nur wer in der Lage ist, umfangreiche Datenmatrizen, wie auszugsweise in Tab. 3 dargestellt, mithilfe der verschiedenen Techniken der Multivariaten Statistik (z.B. Regressions- oder Clusteranalyse) so zu verdichten, dass sie überschaubar werden, kann die darin enthaltenen Informationen im Entscheidungsprozess nutzen.</w:t>
      </w:r>
    </w:p>
    <w:p w14:paraId="1F0D4334" w14:textId="77777777" w:rsidR="00FF7799" w:rsidRPr="00E73F6F" w:rsidRDefault="00FF7799" w:rsidP="007C0767">
      <w:pPr>
        <w:pStyle w:val="StandardText"/>
      </w:pPr>
    </w:p>
    <w:p w14:paraId="5AD7F582" w14:textId="77777777" w:rsidR="00FF7799" w:rsidRPr="007D6CC1" w:rsidRDefault="00FF7799" w:rsidP="00740F23">
      <w:pPr>
        <w:pStyle w:val="BeschriftungTab"/>
        <w:rPr>
          <w:i/>
          <w:iCs/>
          <w:spacing w:val="-2"/>
        </w:rPr>
      </w:pPr>
      <w:r w:rsidRPr="007D6CC1">
        <w:rPr>
          <w:i/>
          <w:iCs/>
        </w:rPr>
        <w:t>Tab.</w:t>
      </w:r>
      <w:r w:rsidRPr="007D6CC1">
        <w:rPr>
          <w:i/>
          <w:iCs/>
          <w:spacing w:val="-1"/>
        </w:rPr>
        <w:t xml:space="preserve"> </w:t>
      </w:r>
      <w:r w:rsidRPr="007D6CC1">
        <w:rPr>
          <w:i/>
          <w:iCs/>
        </w:rPr>
        <w:t>3:</w:t>
      </w:r>
      <w:r w:rsidRPr="007D6CC1">
        <w:rPr>
          <w:i/>
          <w:iCs/>
          <w:spacing w:val="-3"/>
        </w:rPr>
        <w:t xml:space="preserve"> </w:t>
      </w:r>
      <w:r w:rsidRPr="007D6CC1">
        <w:rPr>
          <w:i/>
          <w:iCs/>
        </w:rPr>
        <w:t>Lebenshaltungskosten</w:t>
      </w:r>
      <w:r w:rsidRPr="007D6CC1">
        <w:rPr>
          <w:i/>
          <w:iCs/>
          <w:spacing w:val="-1"/>
        </w:rPr>
        <w:t xml:space="preserve"> </w:t>
      </w:r>
      <w:r w:rsidRPr="007D6CC1">
        <w:rPr>
          <w:i/>
          <w:iCs/>
        </w:rPr>
        <w:t>in</w:t>
      </w:r>
      <w:r w:rsidRPr="007D6CC1">
        <w:rPr>
          <w:i/>
          <w:iCs/>
          <w:spacing w:val="-2"/>
        </w:rPr>
        <w:t xml:space="preserve"> </w:t>
      </w:r>
      <w:r w:rsidRPr="007D6CC1">
        <w:rPr>
          <w:i/>
          <w:iCs/>
        </w:rPr>
        <w:t>der</w:t>
      </w:r>
      <w:r w:rsidRPr="007D6CC1">
        <w:rPr>
          <w:i/>
          <w:iCs/>
          <w:spacing w:val="-2"/>
        </w:rPr>
        <w:t xml:space="preserve"> </w:t>
      </w:r>
      <w:r w:rsidRPr="007D6CC1">
        <w:rPr>
          <w:i/>
          <w:iCs/>
        </w:rPr>
        <w:t>Europäischen Union</w:t>
      </w:r>
      <w:r w:rsidRPr="007D6CC1">
        <w:rPr>
          <w:i/>
          <w:iCs/>
          <w:spacing w:val="-2"/>
        </w:rPr>
        <w:t xml:space="preserve"> (2000)</w:t>
      </w:r>
    </w:p>
    <w:tbl>
      <w:tblPr>
        <w:tblStyle w:val="TableNormal"/>
        <w:tblW w:w="4994" w:type="pct"/>
        <w:tblInd w:w="5" w:type="dxa"/>
        <w:tblLook w:val="01E0" w:firstRow="1" w:lastRow="1" w:firstColumn="1" w:lastColumn="1" w:noHBand="0" w:noVBand="0"/>
      </w:tblPr>
      <w:tblGrid>
        <w:gridCol w:w="1547"/>
        <w:gridCol w:w="474"/>
        <w:gridCol w:w="474"/>
        <w:gridCol w:w="475"/>
        <w:gridCol w:w="475"/>
        <w:gridCol w:w="475"/>
        <w:gridCol w:w="475"/>
        <w:gridCol w:w="475"/>
        <w:gridCol w:w="475"/>
        <w:gridCol w:w="475"/>
        <w:gridCol w:w="475"/>
        <w:gridCol w:w="475"/>
        <w:gridCol w:w="475"/>
        <w:gridCol w:w="843"/>
        <w:gridCol w:w="973"/>
      </w:tblGrid>
      <w:tr w:rsidR="00FF7799" w:rsidRPr="00E73F6F" w14:paraId="2F1FA3E4" w14:textId="77777777" w:rsidTr="00C9796F">
        <w:trPr>
          <w:trHeight w:val="300"/>
          <w:tblHeader/>
        </w:trPr>
        <w:tc>
          <w:tcPr>
            <w:tcW w:w="854" w:type="pct"/>
            <w:vMerge w:val="restart"/>
            <w:shd w:val="clear" w:color="auto" w:fill="FFC000" w:themeFill="accent4"/>
            <w:tcMar>
              <w:left w:w="28" w:type="dxa"/>
              <w:right w:w="28" w:type="dxa"/>
            </w:tcMar>
          </w:tcPr>
          <w:p w14:paraId="29F27157" w14:textId="77777777" w:rsidR="00FF7799" w:rsidRPr="00E73F6F" w:rsidRDefault="00FF7799" w:rsidP="00740F23">
            <w:pPr>
              <w:pStyle w:val="StandardText"/>
              <w:spacing w:after="120"/>
              <w:jc w:val="left"/>
              <w:rPr>
                <w:color w:val="FF0000"/>
                <w:lang w:val="de-DE"/>
              </w:rPr>
            </w:pPr>
            <w:r w:rsidRPr="00E73F6F">
              <w:rPr>
                <w:b/>
                <w:lang w:val="de-DE"/>
              </w:rPr>
              <w:t>Land</w:t>
            </w:r>
          </w:p>
        </w:tc>
        <w:tc>
          <w:tcPr>
            <w:tcW w:w="3142" w:type="pct"/>
            <w:gridSpan w:val="12"/>
            <w:tcBorders>
              <w:bottom w:val="single" w:sz="4" w:space="0" w:color="000000"/>
            </w:tcBorders>
            <w:shd w:val="clear" w:color="auto" w:fill="FFC000" w:themeFill="accent4"/>
            <w:tcMar>
              <w:left w:w="28" w:type="dxa"/>
              <w:right w:w="28" w:type="dxa"/>
            </w:tcMar>
          </w:tcPr>
          <w:p w14:paraId="54F2ECC6" w14:textId="77777777" w:rsidR="00FF7799" w:rsidRPr="00E73F6F" w:rsidRDefault="00FF7799" w:rsidP="00740F23">
            <w:pPr>
              <w:pStyle w:val="StandardText"/>
              <w:spacing w:after="120"/>
              <w:jc w:val="center"/>
              <w:rPr>
                <w:b/>
                <w:lang w:val="de-DE"/>
              </w:rPr>
            </w:pPr>
            <w:r w:rsidRPr="00E73F6F">
              <w:rPr>
                <w:b/>
                <w:lang w:val="de-DE"/>
              </w:rPr>
              <w:t>Waren-</w:t>
            </w:r>
            <w:r w:rsidRPr="00E73F6F">
              <w:rPr>
                <w:b/>
                <w:spacing w:val="-5"/>
                <w:lang w:val="de-DE"/>
              </w:rPr>
              <w:t xml:space="preserve"> </w:t>
            </w:r>
            <w:r w:rsidRPr="00E73F6F">
              <w:rPr>
                <w:b/>
                <w:lang w:val="de-DE"/>
              </w:rPr>
              <w:t>bzw.</w:t>
            </w:r>
            <w:r w:rsidRPr="00E73F6F">
              <w:rPr>
                <w:b/>
                <w:spacing w:val="-3"/>
                <w:lang w:val="de-DE"/>
              </w:rPr>
              <w:t xml:space="preserve"> </w:t>
            </w:r>
            <w:r w:rsidRPr="00E73F6F">
              <w:rPr>
                <w:b/>
                <w:lang w:val="de-DE"/>
              </w:rPr>
              <w:t>Lebensbereiche</w:t>
            </w:r>
          </w:p>
        </w:tc>
        <w:tc>
          <w:tcPr>
            <w:tcW w:w="465" w:type="pct"/>
            <w:vMerge w:val="restart"/>
            <w:shd w:val="clear" w:color="auto" w:fill="FFC000" w:themeFill="accent4"/>
            <w:tcMar>
              <w:left w:w="28" w:type="dxa"/>
              <w:right w:w="28" w:type="dxa"/>
            </w:tcMar>
          </w:tcPr>
          <w:p w14:paraId="06723D6D" w14:textId="77777777" w:rsidR="00FF7799" w:rsidRPr="00E73F6F" w:rsidRDefault="00FF7799" w:rsidP="00740F23">
            <w:pPr>
              <w:pStyle w:val="StandardText"/>
              <w:spacing w:after="120"/>
              <w:jc w:val="left"/>
              <w:rPr>
                <w:b/>
                <w:lang w:val="de-DE"/>
              </w:rPr>
            </w:pPr>
            <w:r w:rsidRPr="00E73F6F">
              <w:rPr>
                <w:b/>
                <w:lang w:val="de-DE"/>
              </w:rPr>
              <w:t>Gesamt</w:t>
            </w:r>
          </w:p>
        </w:tc>
        <w:tc>
          <w:tcPr>
            <w:tcW w:w="539" w:type="pct"/>
            <w:vMerge w:val="restart"/>
            <w:shd w:val="clear" w:color="auto" w:fill="FFC000" w:themeFill="accent4"/>
            <w:tcMar>
              <w:left w:w="28" w:type="dxa"/>
              <w:right w:w="28" w:type="dxa"/>
            </w:tcMar>
          </w:tcPr>
          <w:p w14:paraId="67AB3BBD" w14:textId="77777777" w:rsidR="00FF7799" w:rsidRPr="00E73F6F" w:rsidRDefault="00FF7799" w:rsidP="00740F23">
            <w:pPr>
              <w:pStyle w:val="StandardText"/>
              <w:spacing w:after="120"/>
              <w:jc w:val="center"/>
              <w:rPr>
                <w:b/>
                <w:lang w:val="de-DE"/>
              </w:rPr>
            </w:pPr>
            <w:r w:rsidRPr="00E73F6F">
              <w:rPr>
                <w:b/>
                <w:lang w:val="de-DE"/>
              </w:rPr>
              <w:t>Gesamt</w:t>
            </w:r>
            <w:r w:rsidRPr="00E73F6F">
              <w:rPr>
                <w:b/>
                <w:spacing w:val="40"/>
                <w:lang w:val="de-DE"/>
              </w:rPr>
              <w:t xml:space="preserve"> </w:t>
            </w:r>
            <w:r w:rsidRPr="00E73F6F">
              <w:rPr>
                <w:b/>
                <w:spacing w:val="-4"/>
                <w:lang w:val="de-DE"/>
              </w:rPr>
              <w:t>ohne</w:t>
            </w:r>
            <w:r w:rsidRPr="00E73F6F">
              <w:rPr>
                <w:b/>
                <w:spacing w:val="40"/>
                <w:lang w:val="de-DE"/>
              </w:rPr>
              <w:t xml:space="preserve"> </w:t>
            </w:r>
            <w:r w:rsidRPr="00E73F6F">
              <w:rPr>
                <w:b/>
                <w:lang w:val="de-DE"/>
              </w:rPr>
              <w:t>Mieten</w:t>
            </w:r>
          </w:p>
        </w:tc>
      </w:tr>
      <w:tr w:rsidR="00FF7799" w:rsidRPr="00E73F6F" w14:paraId="1C1F0FA9" w14:textId="77777777" w:rsidTr="00C9796F">
        <w:trPr>
          <w:trHeight w:val="300"/>
          <w:tblHeader/>
        </w:trPr>
        <w:tc>
          <w:tcPr>
            <w:tcW w:w="854" w:type="pct"/>
            <w:vMerge/>
            <w:tcBorders>
              <w:bottom w:val="single" w:sz="4" w:space="0" w:color="000000"/>
            </w:tcBorders>
            <w:shd w:val="clear" w:color="auto" w:fill="FFC000" w:themeFill="accent4"/>
            <w:tcMar>
              <w:left w:w="28" w:type="dxa"/>
              <w:right w:w="28" w:type="dxa"/>
            </w:tcMar>
          </w:tcPr>
          <w:p w14:paraId="6BDF40AF" w14:textId="77777777" w:rsidR="00FF7799" w:rsidRPr="00E73F6F" w:rsidRDefault="00FF7799" w:rsidP="00740F23">
            <w:pPr>
              <w:pStyle w:val="StandardText"/>
              <w:jc w:val="left"/>
              <w:rPr>
                <w:color w:val="FF0000"/>
                <w:lang w:val="de-DE"/>
              </w:rPr>
            </w:pPr>
          </w:p>
        </w:tc>
        <w:tc>
          <w:tcPr>
            <w:tcW w:w="262" w:type="pct"/>
            <w:tcBorders>
              <w:bottom w:val="single" w:sz="4" w:space="0" w:color="000000"/>
            </w:tcBorders>
            <w:shd w:val="clear" w:color="auto" w:fill="FFC000" w:themeFill="accent4"/>
            <w:tcMar>
              <w:left w:w="28" w:type="dxa"/>
              <w:right w:w="28" w:type="dxa"/>
            </w:tcMar>
          </w:tcPr>
          <w:p w14:paraId="6EC17820" w14:textId="77777777" w:rsidR="00FF7799" w:rsidRPr="00E73F6F" w:rsidRDefault="00FF7799" w:rsidP="00740F23">
            <w:pPr>
              <w:pStyle w:val="StandardText"/>
              <w:jc w:val="left"/>
              <w:rPr>
                <w:b/>
                <w:lang w:val="de-DE"/>
              </w:rPr>
            </w:pPr>
            <w:r w:rsidRPr="00E73F6F">
              <w:rPr>
                <w:b/>
                <w:lang w:val="de-DE"/>
              </w:rPr>
              <w:t>a</w:t>
            </w:r>
          </w:p>
        </w:tc>
        <w:tc>
          <w:tcPr>
            <w:tcW w:w="262" w:type="pct"/>
            <w:tcBorders>
              <w:bottom w:val="single" w:sz="4" w:space="0" w:color="000000"/>
            </w:tcBorders>
            <w:shd w:val="clear" w:color="auto" w:fill="FFC000" w:themeFill="accent4"/>
            <w:tcMar>
              <w:left w:w="28" w:type="dxa"/>
              <w:right w:w="28" w:type="dxa"/>
            </w:tcMar>
          </w:tcPr>
          <w:p w14:paraId="0F2A5BE3" w14:textId="77777777" w:rsidR="00FF7799" w:rsidRPr="00E73F6F" w:rsidRDefault="00FF7799" w:rsidP="00740F23">
            <w:pPr>
              <w:pStyle w:val="StandardText"/>
              <w:jc w:val="left"/>
              <w:rPr>
                <w:b/>
                <w:lang w:val="de-DE"/>
              </w:rPr>
            </w:pPr>
            <w:r w:rsidRPr="00E73F6F">
              <w:rPr>
                <w:b/>
                <w:lang w:val="de-DE"/>
              </w:rPr>
              <w:t>b</w:t>
            </w:r>
          </w:p>
        </w:tc>
        <w:tc>
          <w:tcPr>
            <w:tcW w:w="262" w:type="pct"/>
            <w:tcBorders>
              <w:bottom w:val="single" w:sz="4" w:space="0" w:color="000000"/>
            </w:tcBorders>
            <w:shd w:val="clear" w:color="auto" w:fill="FFC000" w:themeFill="accent4"/>
            <w:tcMar>
              <w:left w:w="28" w:type="dxa"/>
              <w:right w:w="28" w:type="dxa"/>
            </w:tcMar>
          </w:tcPr>
          <w:p w14:paraId="6713DB78" w14:textId="77777777" w:rsidR="00FF7799" w:rsidRPr="00E73F6F" w:rsidRDefault="00FF7799" w:rsidP="00740F23">
            <w:pPr>
              <w:pStyle w:val="StandardText"/>
              <w:jc w:val="left"/>
              <w:rPr>
                <w:b/>
                <w:lang w:val="de-DE"/>
              </w:rPr>
            </w:pPr>
            <w:r w:rsidRPr="00E73F6F">
              <w:rPr>
                <w:b/>
                <w:lang w:val="de-DE"/>
              </w:rPr>
              <w:t>c</w:t>
            </w:r>
          </w:p>
        </w:tc>
        <w:tc>
          <w:tcPr>
            <w:tcW w:w="262" w:type="pct"/>
            <w:tcBorders>
              <w:bottom w:val="single" w:sz="4" w:space="0" w:color="000000"/>
            </w:tcBorders>
            <w:shd w:val="clear" w:color="auto" w:fill="FFC000" w:themeFill="accent4"/>
            <w:tcMar>
              <w:left w:w="28" w:type="dxa"/>
              <w:right w:w="28" w:type="dxa"/>
            </w:tcMar>
          </w:tcPr>
          <w:p w14:paraId="7FD779C9" w14:textId="77777777" w:rsidR="00FF7799" w:rsidRPr="00E73F6F" w:rsidRDefault="00FF7799" w:rsidP="00740F23">
            <w:pPr>
              <w:pStyle w:val="StandardText"/>
              <w:jc w:val="left"/>
              <w:rPr>
                <w:b/>
                <w:lang w:val="de-DE"/>
              </w:rPr>
            </w:pPr>
            <w:r w:rsidRPr="00E73F6F">
              <w:rPr>
                <w:b/>
                <w:lang w:val="de-DE"/>
              </w:rPr>
              <w:t>d</w:t>
            </w:r>
          </w:p>
        </w:tc>
        <w:tc>
          <w:tcPr>
            <w:tcW w:w="262" w:type="pct"/>
            <w:tcBorders>
              <w:bottom w:val="single" w:sz="4" w:space="0" w:color="000000"/>
            </w:tcBorders>
            <w:shd w:val="clear" w:color="auto" w:fill="FFC000" w:themeFill="accent4"/>
            <w:tcMar>
              <w:left w:w="28" w:type="dxa"/>
              <w:right w:w="28" w:type="dxa"/>
            </w:tcMar>
          </w:tcPr>
          <w:p w14:paraId="08680324" w14:textId="77777777" w:rsidR="00FF7799" w:rsidRPr="00E73F6F" w:rsidRDefault="00FF7799" w:rsidP="00740F23">
            <w:pPr>
              <w:pStyle w:val="StandardText"/>
              <w:jc w:val="left"/>
              <w:rPr>
                <w:b/>
                <w:lang w:val="de-DE"/>
              </w:rPr>
            </w:pPr>
            <w:r w:rsidRPr="00E73F6F">
              <w:rPr>
                <w:b/>
                <w:lang w:val="de-DE"/>
              </w:rPr>
              <w:t>e</w:t>
            </w:r>
          </w:p>
        </w:tc>
        <w:tc>
          <w:tcPr>
            <w:tcW w:w="262" w:type="pct"/>
            <w:tcBorders>
              <w:bottom w:val="single" w:sz="4" w:space="0" w:color="000000"/>
            </w:tcBorders>
            <w:shd w:val="clear" w:color="auto" w:fill="FFC000" w:themeFill="accent4"/>
            <w:tcMar>
              <w:left w:w="28" w:type="dxa"/>
              <w:right w:w="28" w:type="dxa"/>
            </w:tcMar>
          </w:tcPr>
          <w:p w14:paraId="194D3DF1" w14:textId="77777777" w:rsidR="00FF7799" w:rsidRPr="00E73F6F" w:rsidRDefault="00FF7799" w:rsidP="00740F23">
            <w:pPr>
              <w:pStyle w:val="StandardText"/>
              <w:jc w:val="left"/>
              <w:rPr>
                <w:b/>
                <w:lang w:val="de-DE"/>
              </w:rPr>
            </w:pPr>
            <w:r w:rsidRPr="00E73F6F">
              <w:rPr>
                <w:b/>
                <w:lang w:val="de-DE"/>
              </w:rPr>
              <w:t>f</w:t>
            </w:r>
          </w:p>
        </w:tc>
        <w:tc>
          <w:tcPr>
            <w:tcW w:w="262" w:type="pct"/>
            <w:tcBorders>
              <w:bottom w:val="single" w:sz="4" w:space="0" w:color="000000"/>
            </w:tcBorders>
            <w:shd w:val="clear" w:color="auto" w:fill="FFC000" w:themeFill="accent4"/>
            <w:tcMar>
              <w:left w:w="28" w:type="dxa"/>
              <w:right w:w="28" w:type="dxa"/>
            </w:tcMar>
          </w:tcPr>
          <w:p w14:paraId="434E136D" w14:textId="77777777" w:rsidR="00FF7799" w:rsidRPr="00E73F6F" w:rsidRDefault="00FF7799" w:rsidP="00740F23">
            <w:pPr>
              <w:pStyle w:val="StandardText"/>
              <w:jc w:val="left"/>
              <w:rPr>
                <w:b/>
                <w:lang w:val="de-DE"/>
              </w:rPr>
            </w:pPr>
            <w:r w:rsidRPr="00E73F6F">
              <w:rPr>
                <w:b/>
                <w:lang w:val="de-DE"/>
              </w:rPr>
              <w:t>g</w:t>
            </w:r>
          </w:p>
        </w:tc>
        <w:tc>
          <w:tcPr>
            <w:tcW w:w="262" w:type="pct"/>
            <w:tcBorders>
              <w:bottom w:val="single" w:sz="4" w:space="0" w:color="000000"/>
            </w:tcBorders>
            <w:shd w:val="clear" w:color="auto" w:fill="FFC000" w:themeFill="accent4"/>
            <w:tcMar>
              <w:left w:w="28" w:type="dxa"/>
              <w:right w:w="28" w:type="dxa"/>
            </w:tcMar>
          </w:tcPr>
          <w:p w14:paraId="254C2460" w14:textId="77777777" w:rsidR="00FF7799" w:rsidRPr="00E73F6F" w:rsidRDefault="00FF7799" w:rsidP="00740F23">
            <w:pPr>
              <w:pStyle w:val="StandardText"/>
              <w:jc w:val="left"/>
              <w:rPr>
                <w:b/>
                <w:lang w:val="de-DE"/>
              </w:rPr>
            </w:pPr>
            <w:r w:rsidRPr="00E73F6F">
              <w:rPr>
                <w:b/>
                <w:lang w:val="de-DE"/>
              </w:rPr>
              <w:t>h</w:t>
            </w:r>
          </w:p>
        </w:tc>
        <w:tc>
          <w:tcPr>
            <w:tcW w:w="262" w:type="pct"/>
            <w:tcBorders>
              <w:bottom w:val="single" w:sz="4" w:space="0" w:color="000000"/>
            </w:tcBorders>
            <w:shd w:val="clear" w:color="auto" w:fill="FFC000" w:themeFill="accent4"/>
            <w:tcMar>
              <w:left w:w="28" w:type="dxa"/>
              <w:right w:w="28" w:type="dxa"/>
            </w:tcMar>
          </w:tcPr>
          <w:p w14:paraId="751C404D" w14:textId="77777777" w:rsidR="00FF7799" w:rsidRPr="00E73F6F" w:rsidRDefault="00FF7799" w:rsidP="00740F23">
            <w:pPr>
              <w:pStyle w:val="StandardText"/>
              <w:jc w:val="left"/>
              <w:rPr>
                <w:b/>
                <w:lang w:val="de-DE"/>
              </w:rPr>
            </w:pPr>
            <w:r w:rsidRPr="00E73F6F">
              <w:rPr>
                <w:b/>
                <w:lang w:val="de-DE"/>
              </w:rPr>
              <w:t>i</w:t>
            </w:r>
          </w:p>
        </w:tc>
        <w:tc>
          <w:tcPr>
            <w:tcW w:w="262" w:type="pct"/>
            <w:tcBorders>
              <w:bottom w:val="single" w:sz="4" w:space="0" w:color="000000"/>
            </w:tcBorders>
            <w:shd w:val="clear" w:color="auto" w:fill="FFC000" w:themeFill="accent4"/>
            <w:tcMar>
              <w:left w:w="28" w:type="dxa"/>
              <w:right w:w="28" w:type="dxa"/>
            </w:tcMar>
          </w:tcPr>
          <w:p w14:paraId="57DBCA79" w14:textId="77777777" w:rsidR="00FF7799" w:rsidRPr="00E73F6F" w:rsidRDefault="00FF7799" w:rsidP="00740F23">
            <w:pPr>
              <w:pStyle w:val="StandardText"/>
              <w:jc w:val="left"/>
              <w:rPr>
                <w:b/>
                <w:lang w:val="de-DE"/>
              </w:rPr>
            </w:pPr>
            <w:r w:rsidRPr="00E73F6F">
              <w:rPr>
                <w:b/>
                <w:lang w:val="de-DE"/>
              </w:rPr>
              <w:t>j</w:t>
            </w:r>
          </w:p>
        </w:tc>
        <w:tc>
          <w:tcPr>
            <w:tcW w:w="262" w:type="pct"/>
            <w:tcBorders>
              <w:bottom w:val="single" w:sz="4" w:space="0" w:color="000000"/>
            </w:tcBorders>
            <w:shd w:val="clear" w:color="auto" w:fill="FFC000" w:themeFill="accent4"/>
            <w:tcMar>
              <w:left w:w="28" w:type="dxa"/>
              <w:right w:w="28" w:type="dxa"/>
            </w:tcMar>
          </w:tcPr>
          <w:p w14:paraId="25F37194" w14:textId="77777777" w:rsidR="00FF7799" w:rsidRPr="00E73F6F" w:rsidRDefault="00FF7799" w:rsidP="00740F23">
            <w:pPr>
              <w:pStyle w:val="StandardText"/>
              <w:jc w:val="left"/>
              <w:rPr>
                <w:b/>
                <w:lang w:val="de-DE"/>
              </w:rPr>
            </w:pPr>
            <w:r w:rsidRPr="00E73F6F">
              <w:rPr>
                <w:b/>
                <w:lang w:val="de-DE"/>
              </w:rPr>
              <w:t>k</w:t>
            </w:r>
          </w:p>
        </w:tc>
        <w:tc>
          <w:tcPr>
            <w:tcW w:w="262" w:type="pct"/>
            <w:tcBorders>
              <w:bottom w:val="single" w:sz="4" w:space="0" w:color="000000"/>
            </w:tcBorders>
            <w:shd w:val="clear" w:color="auto" w:fill="FFC000" w:themeFill="accent4"/>
            <w:tcMar>
              <w:left w:w="28" w:type="dxa"/>
              <w:right w:w="28" w:type="dxa"/>
            </w:tcMar>
          </w:tcPr>
          <w:p w14:paraId="07590AA5" w14:textId="77777777" w:rsidR="00FF7799" w:rsidRPr="00E73F6F" w:rsidRDefault="00FF7799" w:rsidP="00740F23">
            <w:pPr>
              <w:pStyle w:val="StandardText"/>
              <w:jc w:val="left"/>
              <w:rPr>
                <w:b/>
                <w:lang w:val="de-DE"/>
              </w:rPr>
            </w:pPr>
            <w:r w:rsidRPr="00E73F6F">
              <w:rPr>
                <w:b/>
                <w:lang w:val="de-DE"/>
              </w:rPr>
              <w:t>l</w:t>
            </w:r>
          </w:p>
        </w:tc>
        <w:tc>
          <w:tcPr>
            <w:tcW w:w="465" w:type="pct"/>
            <w:vMerge/>
            <w:tcBorders>
              <w:bottom w:val="single" w:sz="4" w:space="0" w:color="000000"/>
            </w:tcBorders>
            <w:shd w:val="clear" w:color="auto" w:fill="FFC000" w:themeFill="accent4"/>
            <w:tcMar>
              <w:left w:w="28" w:type="dxa"/>
              <w:right w:w="28" w:type="dxa"/>
            </w:tcMar>
          </w:tcPr>
          <w:p w14:paraId="7DFA012D" w14:textId="77777777" w:rsidR="00FF7799" w:rsidRPr="00E73F6F" w:rsidRDefault="00FF7799" w:rsidP="00740F23">
            <w:pPr>
              <w:pStyle w:val="StandardText"/>
              <w:jc w:val="left"/>
              <w:rPr>
                <w:b/>
                <w:lang w:val="de-DE"/>
              </w:rPr>
            </w:pPr>
          </w:p>
        </w:tc>
        <w:tc>
          <w:tcPr>
            <w:tcW w:w="539" w:type="pct"/>
            <w:vMerge/>
            <w:tcBorders>
              <w:bottom w:val="single" w:sz="4" w:space="0" w:color="000000"/>
            </w:tcBorders>
            <w:shd w:val="clear" w:color="auto" w:fill="FFC000" w:themeFill="accent4"/>
            <w:tcMar>
              <w:left w:w="28" w:type="dxa"/>
              <w:right w:w="28" w:type="dxa"/>
            </w:tcMar>
          </w:tcPr>
          <w:p w14:paraId="7B0C261D" w14:textId="77777777" w:rsidR="00FF7799" w:rsidRPr="00E73F6F" w:rsidRDefault="00FF7799" w:rsidP="00740F23">
            <w:pPr>
              <w:pStyle w:val="StandardText"/>
              <w:jc w:val="left"/>
              <w:rPr>
                <w:b/>
                <w:lang w:val="de-DE"/>
              </w:rPr>
            </w:pPr>
          </w:p>
        </w:tc>
      </w:tr>
      <w:tr w:rsidR="00FF7799" w:rsidRPr="00E73F6F" w14:paraId="2CC27976" w14:textId="77777777" w:rsidTr="00580F1D">
        <w:trPr>
          <w:trHeight w:val="649"/>
        </w:trPr>
        <w:tc>
          <w:tcPr>
            <w:tcW w:w="854" w:type="pct"/>
            <w:tcBorders>
              <w:top w:val="single" w:sz="4" w:space="0" w:color="auto"/>
              <w:bottom w:val="single" w:sz="4" w:space="0" w:color="000000"/>
            </w:tcBorders>
            <w:shd w:val="clear" w:color="auto" w:fill="FFF2CC" w:themeFill="accent4" w:themeFillTint="33"/>
            <w:tcMar>
              <w:left w:w="28" w:type="dxa"/>
              <w:right w:w="28" w:type="dxa"/>
            </w:tcMar>
          </w:tcPr>
          <w:p w14:paraId="6EA89A3D" w14:textId="77777777" w:rsidR="00FF7799" w:rsidRPr="00E73F6F" w:rsidRDefault="00FF7799" w:rsidP="00740F23">
            <w:pPr>
              <w:pStyle w:val="StandardText"/>
              <w:jc w:val="left"/>
              <w:rPr>
                <w:lang w:val="de-DE"/>
              </w:rPr>
            </w:pPr>
            <w:r w:rsidRPr="00E73F6F">
              <w:rPr>
                <w:lang w:val="de-DE"/>
              </w:rPr>
              <w:t>Dänemark</w:t>
            </w:r>
          </w:p>
        </w:tc>
        <w:tc>
          <w:tcPr>
            <w:tcW w:w="262" w:type="pct"/>
            <w:tcBorders>
              <w:top w:val="single" w:sz="4" w:space="0" w:color="auto"/>
              <w:bottom w:val="single" w:sz="4" w:space="0" w:color="000000"/>
            </w:tcBorders>
            <w:tcMar>
              <w:left w:w="28" w:type="dxa"/>
              <w:right w:w="28" w:type="dxa"/>
            </w:tcMar>
          </w:tcPr>
          <w:p w14:paraId="5531F9D0" w14:textId="77777777" w:rsidR="00FF7799" w:rsidRPr="00E73F6F" w:rsidRDefault="00FF7799" w:rsidP="00740F23">
            <w:pPr>
              <w:pStyle w:val="StandardText"/>
              <w:rPr>
                <w:lang w:val="de-DE"/>
              </w:rPr>
            </w:pPr>
            <w:r w:rsidRPr="00E73F6F">
              <w:rPr>
                <w:w w:val="99"/>
                <w:lang w:val="de-DE"/>
              </w:rPr>
              <w:t>34</w:t>
            </w:r>
          </w:p>
        </w:tc>
        <w:tc>
          <w:tcPr>
            <w:tcW w:w="262" w:type="pct"/>
            <w:tcBorders>
              <w:top w:val="single" w:sz="4" w:space="0" w:color="auto"/>
              <w:bottom w:val="single" w:sz="4" w:space="0" w:color="000000"/>
            </w:tcBorders>
            <w:tcMar>
              <w:left w:w="28" w:type="dxa"/>
              <w:right w:w="28" w:type="dxa"/>
            </w:tcMar>
          </w:tcPr>
          <w:p w14:paraId="794990E0" w14:textId="77777777" w:rsidR="00FF7799" w:rsidRPr="00E73F6F" w:rsidRDefault="00FF7799" w:rsidP="00740F23">
            <w:pPr>
              <w:pStyle w:val="StandardText"/>
              <w:rPr>
                <w:lang w:val="de-DE"/>
              </w:rPr>
            </w:pPr>
            <w:r w:rsidRPr="00E73F6F">
              <w:rPr>
                <w:w w:val="99"/>
                <w:lang w:val="de-DE"/>
              </w:rPr>
              <w:t>34</w:t>
            </w:r>
          </w:p>
        </w:tc>
        <w:tc>
          <w:tcPr>
            <w:tcW w:w="262" w:type="pct"/>
            <w:tcBorders>
              <w:top w:val="single" w:sz="4" w:space="0" w:color="auto"/>
              <w:bottom w:val="single" w:sz="4" w:space="0" w:color="000000"/>
            </w:tcBorders>
            <w:tcMar>
              <w:left w:w="28" w:type="dxa"/>
              <w:right w:w="28" w:type="dxa"/>
            </w:tcMar>
          </w:tcPr>
          <w:p w14:paraId="1647EC4C" w14:textId="77777777" w:rsidR="00FF7799" w:rsidRPr="00E73F6F" w:rsidRDefault="00FF7799" w:rsidP="00740F23">
            <w:pPr>
              <w:pStyle w:val="StandardText"/>
              <w:rPr>
                <w:lang w:val="de-DE"/>
              </w:rPr>
            </w:pPr>
            <w:r w:rsidRPr="00E73F6F">
              <w:rPr>
                <w:w w:val="99"/>
                <w:lang w:val="de-DE"/>
              </w:rPr>
              <w:t>1</w:t>
            </w:r>
          </w:p>
        </w:tc>
        <w:tc>
          <w:tcPr>
            <w:tcW w:w="262" w:type="pct"/>
            <w:tcBorders>
              <w:top w:val="single" w:sz="4" w:space="0" w:color="auto"/>
              <w:bottom w:val="single" w:sz="4" w:space="0" w:color="000000"/>
            </w:tcBorders>
            <w:tcMar>
              <w:left w:w="28" w:type="dxa"/>
              <w:right w:w="28" w:type="dxa"/>
            </w:tcMar>
          </w:tcPr>
          <w:p w14:paraId="6040CA18" w14:textId="77777777" w:rsidR="00FF7799" w:rsidRPr="00E73F6F" w:rsidRDefault="00FF7799" w:rsidP="00740F23">
            <w:pPr>
              <w:pStyle w:val="StandardText"/>
              <w:rPr>
                <w:lang w:val="de-DE"/>
              </w:rPr>
            </w:pPr>
            <w:r w:rsidRPr="00E73F6F">
              <w:rPr>
                <w:w w:val="99"/>
                <w:lang w:val="de-DE"/>
              </w:rPr>
              <w:t>55</w:t>
            </w:r>
          </w:p>
        </w:tc>
        <w:tc>
          <w:tcPr>
            <w:tcW w:w="262" w:type="pct"/>
            <w:tcBorders>
              <w:top w:val="single" w:sz="4" w:space="0" w:color="auto"/>
              <w:bottom w:val="single" w:sz="4" w:space="0" w:color="000000"/>
            </w:tcBorders>
            <w:tcMar>
              <w:left w:w="28" w:type="dxa"/>
              <w:right w:w="28" w:type="dxa"/>
            </w:tcMar>
          </w:tcPr>
          <w:p w14:paraId="3095D42F" w14:textId="77777777" w:rsidR="00FF7799" w:rsidRPr="00E73F6F" w:rsidRDefault="00FF7799" w:rsidP="00740F23">
            <w:pPr>
              <w:pStyle w:val="StandardText"/>
              <w:rPr>
                <w:lang w:val="de-DE"/>
              </w:rPr>
            </w:pPr>
            <w:r w:rsidRPr="00E73F6F">
              <w:rPr>
                <w:w w:val="99"/>
                <w:lang w:val="de-DE"/>
              </w:rPr>
              <w:t>17</w:t>
            </w:r>
          </w:p>
        </w:tc>
        <w:tc>
          <w:tcPr>
            <w:tcW w:w="262" w:type="pct"/>
            <w:tcBorders>
              <w:top w:val="single" w:sz="4" w:space="0" w:color="auto"/>
              <w:bottom w:val="single" w:sz="4" w:space="0" w:color="000000"/>
            </w:tcBorders>
            <w:tcMar>
              <w:left w:w="28" w:type="dxa"/>
              <w:right w:w="28" w:type="dxa"/>
            </w:tcMar>
          </w:tcPr>
          <w:p w14:paraId="7EF9E444" w14:textId="77777777" w:rsidR="00FF7799" w:rsidRPr="00E73F6F" w:rsidRDefault="00FF7799" w:rsidP="00740F23">
            <w:pPr>
              <w:pStyle w:val="StandardText"/>
              <w:rPr>
                <w:lang w:val="de-DE"/>
              </w:rPr>
            </w:pPr>
            <w:r w:rsidRPr="00E73F6F">
              <w:rPr>
                <w:w w:val="99"/>
                <w:lang w:val="de-DE"/>
              </w:rPr>
              <w:t>25</w:t>
            </w:r>
          </w:p>
        </w:tc>
        <w:tc>
          <w:tcPr>
            <w:tcW w:w="262" w:type="pct"/>
            <w:tcBorders>
              <w:top w:val="single" w:sz="4" w:space="0" w:color="auto"/>
              <w:bottom w:val="single" w:sz="4" w:space="0" w:color="000000"/>
            </w:tcBorders>
            <w:tcMar>
              <w:left w:w="28" w:type="dxa"/>
              <w:right w:w="28" w:type="dxa"/>
            </w:tcMar>
          </w:tcPr>
          <w:p w14:paraId="53B6F2B2" w14:textId="77777777" w:rsidR="00FF7799" w:rsidRPr="00E73F6F" w:rsidRDefault="00FF7799" w:rsidP="00740F23">
            <w:pPr>
              <w:pStyle w:val="StandardText"/>
              <w:rPr>
                <w:lang w:val="de-DE"/>
              </w:rPr>
            </w:pPr>
            <w:r w:rsidRPr="00E73F6F">
              <w:rPr>
                <w:w w:val="99"/>
                <w:lang w:val="de-DE"/>
              </w:rPr>
              <w:t>51</w:t>
            </w:r>
          </w:p>
        </w:tc>
        <w:tc>
          <w:tcPr>
            <w:tcW w:w="262" w:type="pct"/>
            <w:tcBorders>
              <w:top w:val="single" w:sz="4" w:space="0" w:color="auto"/>
              <w:bottom w:val="single" w:sz="4" w:space="0" w:color="000000"/>
            </w:tcBorders>
            <w:tcMar>
              <w:left w:w="28" w:type="dxa"/>
              <w:right w:w="28" w:type="dxa"/>
            </w:tcMar>
          </w:tcPr>
          <w:p w14:paraId="2C898961" w14:textId="77777777" w:rsidR="00FF7799" w:rsidRPr="00E73F6F" w:rsidRDefault="00FF7799" w:rsidP="00740F23">
            <w:pPr>
              <w:pStyle w:val="StandardText"/>
              <w:rPr>
                <w:lang w:val="de-DE"/>
              </w:rPr>
            </w:pPr>
            <w:r w:rsidRPr="00E73F6F">
              <w:rPr>
                <w:w w:val="99"/>
                <w:lang w:val="de-DE"/>
              </w:rPr>
              <w:t>8</w:t>
            </w:r>
          </w:p>
        </w:tc>
        <w:tc>
          <w:tcPr>
            <w:tcW w:w="262" w:type="pct"/>
            <w:tcBorders>
              <w:top w:val="single" w:sz="4" w:space="0" w:color="auto"/>
              <w:bottom w:val="single" w:sz="4" w:space="0" w:color="000000"/>
            </w:tcBorders>
            <w:tcMar>
              <w:left w:w="28" w:type="dxa"/>
              <w:right w:w="28" w:type="dxa"/>
            </w:tcMar>
          </w:tcPr>
          <w:p w14:paraId="33682B9A" w14:textId="77777777" w:rsidR="00FF7799" w:rsidRPr="00E73F6F" w:rsidRDefault="00FF7799" w:rsidP="00740F23">
            <w:pPr>
              <w:pStyle w:val="StandardText"/>
              <w:rPr>
                <w:lang w:val="de-DE"/>
              </w:rPr>
            </w:pPr>
            <w:r w:rsidRPr="00E73F6F">
              <w:rPr>
                <w:w w:val="99"/>
                <w:lang w:val="de-DE"/>
              </w:rPr>
              <w:t>20</w:t>
            </w:r>
          </w:p>
        </w:tc>
        <w:tc>
          <w:tcPr>
            <w:tcW w:w="262" w:type="pct"/>
            <w:tcBorders>
              <w:top w:val="single" w:sz="4" w:space="0" w:color="auto"/>
              <w:bottom w:val="single" w:sz="4" w:space="0" w:color="000000"/>
            </w:tcBorders>
            <w:tcMar>
              <w:left w:w="28" w:type="dxa"/>
              <w:right w:w="28" w:type="dxa"/>
            </w:tcMar>
          </w:tcPr>
          <w:p w14:paraId="3E5D72DC" w14:textId="77777777" w:rsidR="00FF7799" w:rsidRPr="00E73F6F" w:rsidRDefault="00FF7799" w:rsidP="00740F23">
            <w:pPr>
              <w:pStyle w:val="StandardText"/>
              <w:rPr>
                <w:lang w:val="de-DE"/>
              </w:rPr>
            </w:pPr>
            <w:r w:rsidRPr="00E73F6F">
              <w:rPr>
                <w:w w:val="99"/>
                <w:lang w:val="de-DE"/>
              </w:rPr>
              <w:t>21</w:t>
            </w:r>
          </w:p>
        </w:tc>
        <w:tc>
          <w:tcPr>
            <w:tcW w:w="262" w:type="pct"/>
            <w:tcBorders>
              <w:top w:val="single" w:sz="4" w:space="0" w:color="auto"/>
              <w:bottom w:val="single" w:sz="4" w:space="0" w:color="000000"/>
            </w:tcBorders>
            <w:tcMar>
              <w:left w:w="28" w:type="dxa"/>
              <w:right w:w="28" w:type="dxa"/>
            </w:tcMar>
          </w:tcPr>
          <w:p w14:paraId="220C3971" w14:textId="77777777" w:rsidR="00FF7799" w:rsidRPr="00E73F6F" w:rsidRDefault="00FF7799" w:rsidP="00740F23">
            <w:pPr>
              <w:pStyle w:val="StandardText"/>
              <w:rPr>
                <w:lang w:val="de-DE"/>
              </w:rPr>
            </w:pPr>
            <w:r w:rsidRPr="00E73F6F">
              <w:rPr>
                <w:w w:val="99"/>
                <w:lang w:val="de-DE"/>
              </w:rPr>
              <w:t>21</w:t>
            </w:r>
          </w:p>
        </w:tc>
        <w:tc>
          <w:tcPr>
            <w:tcW w:w="262" w:type="pct"/>
            <w:tcBorders>
              <w:top w:val="single" w:sz="4" w:space="0" w:color="auto"/>
              <w:bottom w:val="single" w:sz="4" w:space="0" w:color="000000"/>
            </w:tcBorders>
            <w:tcMar>
              <w:left w:w="28" w:type="dxa"/>
              <w:right w:w="28" w:type="dxa"/>
            </w:tcMar>
          </w:tcPr>
          <w:p w14:paraId="4A045D85" w14:textId="77777777" w:rsidR="00FF7799" w:rsidRPr="00E73F6F" w:rsidRDefault="00FF7799" w:rsidP="00740F23">
            <w:pPr>
              <w:pStyle w:val="StandardText"/>
              <w:rPr>
                <w:lang w:val="de-DE"/>
              </w:rPr>
            </w:pPr>
            <w:r w:rsidRPr="00E73F6F">
              <w:rPr>
                <w:w w:val="99"/>
                <w:lang w:val="de-DE"/>
              </w:rPr>
              <w:t>54</w:t>
            </w:r>
          </w:p>
        </w:tc>
        <w:tc>
          <w:tcPr>
            <w:tcW w:w="465" w:type="pct"/>
            <w:tcBorders>
              <w:top w:val="single" w:sz="4" w:space="0" w:color="auto"/>
              <w:bottom w:val="single" w:sz="4" w:space="0" w:color="000000"/>
            </w:tcBorders>
            <w:tcMar>
              <w:left w:w="28" w:type="dxa"/>
              <w:right w:w="28" w:type="dxa"/>
            </w:tcMar>
          </w:tcPr>
          <w:p w14:paraId="24849D5F" w14:textId="77777777" w:rsidR="00FF7799" w:rsidRPr="00E73F6F" w:rsidRDefault="00FF7799" w:rsidP="00740F23">
            <w:pPr>
              <w:pStyle w:val="StandardText"/>
              <w:rPr>
                <w:lang w:val="de-DE"/>
              </w:rPr>
            </w:pPr>
            <w:r w:rsidRPr="00E73F6F">
              <w:rPr>
                <w:w w:val="99"/>
                <w:lang w:val="de-DE"/>
              </w:rPr>
              <w:t>1</w:t>
            </w:r>
            <w:r w:rsidRPr="00E73F6F">
              <w:rPr>
                <w:spacing w:val="-5"/>
                <w:lang w:val="de-DE"/>
              </w:rPr>
              <w:t>32</w:t>
            </w:r>
          </w:p>
        </w:tc>
        <w:tc>
          <w:tcPr>
            <w:tcW w:w="539" w:type="pct"/>
            <w:tcBorders>
              <w:top w:val="single" w:sz="4" w:space="0" w:color="auto"/>
              <w:bottom w:val="single" w:sz="4" w:space="0" w:color="000000"/>
            </w:tcBorders>
            <w:tcMar>
              <w:left w:w="28" w:type="dxa"/>
              <w:right w:w="28" w:type="dxa"/>
            </w:tcMar>
          </w:tcPr>
          <w:p w14:paraId="0E960820" w14:textId="77777777" w:rsidR="00FF7799" w:rsidRPr="00E73F6F" w:rsidRDefault="00FF7799" w:rsidP="00740F23">
            <w:pPr>
              <w:pStyle w:val="StandardText"/>
              <w:rPr>
                <w:lang w:val="de-DE"/>
              </w:rPr>
            </w:pPr>
            <w:r w:rsidRPr="00E73F6F">
              <w:rPr>
                <w:spacing w:val="-5"/>
                <w:lang w:val="de-DE"/>
              </w:rPr>
              <w:t>127</w:t>
            </w:r>
          </w:p>
        </w:tc>
      </w:tr>
      <w:tr w:rsidR="00FF7799" w:rsidRPr="00E73F6F" w14:paraId="20475DC8" w14:textId="77777777" w:rsidTr="00580F1D">
        <w:trPr>
          <w:trHeight w:val="650"/>
        </w:trPr>
        <w:tc>
          <w:tcPr>
            <w:tcW w:w="854" w:type="pct"/>
            <w:tcBorders>
              <w:top w:val="single" w:sz="4" w:space="0" w:color="000000"/>
              <w:bottom w:val="single" w:sz="4" w:space="0" w:color="000000"/>
            </w:tcBorders>
            <w:shd w:val="clear" w:color="auto" w:fill="FFF2CC" w:themeFill="accent4" w:themeFillTint="33"/>
            <w:tcMar>
              <w:left w:w="28" w:type="dxa"/>
              <w:right w:w="28" w:type="dxa"/>
            </w:tcMar>
          </w:tcPr>
          <w:p w14:paraId="3BBA626F" w14:textId="77777777" w:rsidR="00FF7799" w:rsidRPr="00E73F6F" w:rsidRDefault="00FF7799" w:rsidP="00740F23">
            <w:pPr>
              <w:pStyle w:val="StandardText"/>
              <w:jc w:val="left"/>
              <w:rPr>
                <w:lang w:val="de-DE"/>
              </w:rPr>
            </w:pPr>
            <w:r w:rsidRPr="00E73F6F">
              <w:rPr>
                <w:lang w:val="de-DE"/>
              </w:rPr>
              <w:t>Deutschland</w:t>
            </w:r>
          </w:p>
        </w:tc>
        <w:tc>
          <w:tcPr>
            <w:tcW w:w="262" w:type="pct"/>
            <w:tcBorders>
              <w:top w:val="single" w:sz="4" w:space="0" w:color="000000"/>
              <w:bottom w:val="single" w:sz="4" w:space="0" w:color="000000"/>
            </w:tcBorders>
            <w:tcMar>
              <w:left w:w="28" w:type="dxa"/>
              <w:right w:w="28" w:type="dxa"/>
            </w:tcMar>
          </w:tcPr>
          <w:p w14:paraId="785F097F" w14:textId="77777777" w:rsidR="00FF7799" w:rsidRPr="00E73F6F" w:rsidRDefault="00FF7799" w:rsidP="00740F23">
            <w:pPr>
              <w:pStyle w:val="StandardText"/>
              <w:rPr>
                <w:lang w:val="de-DE"/>
              </w:rPr>
            </w:pPr>
            <w:r w:rsidRPr="00E73F6F">
              <w:rPr>
                <w:w w:val="99"/>
                <w:lang w:val="de-DE"/>
              </w:rPr>
              <w:t>8</w:t>
            </w:r>
          </w:p>
        </w:tc>
        <w:tc>
          <w:tcPr>
            <w:tcW w:w="262" w:type="pct"/>
            <w:tcBorders>
              <w:top w:val="single" w:sz="4" w:space="0" w:color="000000"/>
              <w:bottom w:val="single" w:sz="4" w:space="0" w:color="000000"/>
            </w:tcBorders>
            <w:tcMar>
              <w:left w:w="28" w:type="dxa"/>
              <w:right w:w="28" w:type="dxa"/>
            </w:tcMar>
          </w:tcPr>
          <w:p w14:paraId="70FC50C8" w14:textId="77777777" w:rsidR="00FF7799" w:rsidRPr="00E73F6F" w:rsidRDefault="00FF7799" w:rsidP="00740F23">
            <w:pPr>
              <w:pStyle w:val="StandardText"/>
              <w:rPr>
                <w:lang w:val="de-DE"/>
              </w:rPr>
            </w:pPr>
            <w:r w:rsidRPr="00E73F6F">
              <w:rPr>
                <w:w w:val="99"/>
                <w:lang w:val="de-DE"/>
              </w:rPr>
              <w:t>5</w:t>
            </w:r>
          </w:p>
        </w:tc>
        <w:tc>
          <w:tcPr>
            <w:tcW w:w="262" w:type="pct"/>
            <w:tcBorders>
              <w:top w:val="single" w:sz="4" w:space="0" w:color="000000"/>
              <w:bottom w:val="single" w:sz="4" w:space="0" w:color="000000"/>
            </w:tcBorders>
            <w:tcMar>
              <w:left w:w="28" w:type="dxa"/>
              <w:right w:w="28" w:type="dxa"/>
            </w:tcMar>
          </w:tcPr>
          <w:p w14:paraId="1AB40E68" w14:textId="77777777" w:rsidR="00FF7799" w:rsidRPr="00E73F6F" w:rsidRDefault="00FF7799" w:rsidP="00740F23">
            <w:pPr>
              <w:pStyle w:val="StandardText"/>
              <w:rPr>
                <w:lang w:val="de-DE"/>
              </w:rPr>
            </w:pPr>
            <w:r w:rsidRPr="00E73F6F">
              <w:rPr>
                <w:w w:val="99"/>
                <w:lang w:val="de-DE"/>
              </w:rPr>
              <w:t>2</w:t>
            </w:r>
          </w:p>
        </w:tc>
        <w:tc>
          <w:tcPr>
            <w:tcW w:w="262" w:type="pct"/>
            <w:tcBorders>
              <w:top w:val="single" w:sz="4" w:space="0" w:color="000000"/>
              <w:bottom w:val="single" w:sz="4" w:space="0" w:color="000000"/>
            </w:tcBorders>
            <w:tcMar>
              <w:left w:w="28" w:type="dxa"/>
              <w:right w:w="28" w:type="dxa"/>
            </w:tcMar>
          </w:tcPr>
          <w:p w14:paraId="0899681A" w14:textId="77777777" w:rsidR="00FF7799" w:rsidRPr="00E73F6F" w:rsidRDefault="00FF7799" w:rsidP="00740F23">
            <w:pPr>
              <w:pStyle w:val="StandardText"/>
              <w:rPr>
                <w:lang w:val="de-DE"/>
              </w:rPr>
            </w:pPr>
            <w:r w:rsidRPr="00E73F6F">
              <w:rPr>
                <w:w w:val="99"/>
                <w:lang w:val="de-DE"/>
              </w:rPr>
              <w:t>18</w:t>
            </w:r>
          </w:p>
        </w:tc>
        <w:tc>
          <w:tcPr>
            <w:tcW w:w="262" w:type="pct"/>
            <w:tcBorders>
              <w:top w:val="single" w:sz="4" w:space="0" w:color="000000"/>
              <w:bottom w:val="single" w:sz="4" w:space="0" w:color="000000"/>
            </w:tcBorders>
            <w:tcMar>
              <w:left w:w="28" w:type="dxa"/>
              <w:right w:w="28" w:type="dxa"/>
            </w:tcMar>
          </w:tcPr>
          <w:p w14:paraId="003B6964" w14:textId="77777777" w:rsidR="00FF7799" w:rsidRPr="00E73F6F" w:rsidRDefault="00FF7799" w:rsidP="00740F23">
            <w:pPr>
              <w:pStyle w:val="StandardText"/>
              <w:rPr>
                <w:lang w:val="de-DE"/>
              </w:rPr>
            </w:pPr>
            <w:r w:rsidRPr="00E73F6F">
              <w:rPr>
                <w:w w:val="99"/>
                <w:lang w:val="de-DE"/>
              </w:rPr>
              <w:t>10</w:t>
            </w:r>
          </w:p>
        </w:tc>
        <w:tc>
          <w:tcPr>
            <w:tcW w:w="262" w:type="pct"/>
            <w:tcBorders>
              <w:top w:val="single" w:sz="4" w:space="0" w:color="000000"/>
              <w:bottom w:val="single" w:sz="4" w:space="0" w:color="000000"/>
            </w:tcBorders>
            <w:tcMar>
              <w:left w:w="28" w:type="dxa"/>
              <w:right w:w="28" w:type="dxa"/>
            </w:tcMar>
          </w:tcPr>
          <w:p w14:paraId="0246E0CC" w14:textId="77777777" w:rsidR="00FF7799" w:rsidRPr="00E73F6F" w:rsidRDefault="00FF7799" w:rsidP="00740F23">
            <w:pPr>
              <w:pStyle w:val="StandardText"/>
              <w:rPr>
                <w:lang w:val="de-DE"/>
              </w:rPr>
            </w:pPr>
            <w:r w:rsidRPr="00E73F6F">
              <w:rPr>
                <w:w w:val="99"/>
                <w:lang w:val="de-DE"/>
              </w:rPr>
              <w:t>46</w:t>
            </w:r>
          </w:p>
        </w:tc>
        <w:tc>
          <w:tcPr>
            <w:tcW w:w="262" w:type="pct"/>
            <w:tcBorders>
              <w:top w:val="single" w:sz="4" w:space="0" w:color="000000"/>
              <w:bottom w:val="single" w:sz="4" w:space="0" w:color="000000"/>
            </w:tcBorders>
            <w:tcMar>
              <w:left w:w="28" w:type="dxa"/>
              <w:right w:w="28" w:type="dxa"/>
            </w:tcMar>
          </w:tcPr>
          <w:p w14:paraId="742A9FD0" w14:textId="77777777" w:rsidR="00FF7799" w:rsidRPr="00E73F6F" w:rsidRDefault="00FF7799" w:rsidP="00740F23">
            <w:pPr>
              <w:pStyle w:val="StandardText"/>
              <w:rPr>
                <w:lang w:val="de-DE"/>
              </w:rPr>
            </w:pPr>
            <w:r w:rsidRPr="00E73F6F">
              <w:rPr>
                <w:w w:val="99"/>
                <w:lang w:val="de-DE"/>
              </w:rPr>
              <w:t>05</w:t>
            </w:r>
          </w:p>
        </w:tc>
        <w:tc>
          <w:tcPr>
            <w:tcW w:w="262" w:type="pct"/>
            <w:tcBorders>
              <w:top w:val="single" w:sz="4" w:space="0" w:color="000000"/>
              <w:bottom w:val="single" w:sz="4" w:space="0" w:color="000000"/>
            </w:tcBorders>
            <w:tcMar>
              <w:left w:w="28" w:type="dxa"/>
              <w:right w:w="28" w:type="dxa"/>
            </w:tcMar>
          </w:tcPr>
          <w:p w14:paraId="2241F580" w14:textId="77777777" w:rsidR="00FF7799" w:rsidRPr="00E73F6F" w:rsidRDefault="00FF7799" w:rsidP="00740F23">
            <w:pPr>
              <w:pStyle w:val="StandardText"/>
              <w:rPr>
                <w:lang w:val="de-DE"/>
              </w:rPr>
            </w:pPr>
            <w:r w:rsidRPr="00E73F6F">
              <w:rPr>
                <w:w w:val="99"/>
                <w:lang w:val="de-DE"/>
              </w:rPr>
              <w:t>3</w:t>
            </w:r>
          </w:p>
        </w:tc>
        <w:tc>
          <w:tcPr>
            <w:tcW w:w="262" w:type="pct"/>
            <w:tcBorders>
              <w:top w:val="single" w:sz="4" w:space="0" w:color="000000"/>
              <w:bottom w:val="single" w:sz="4" w:space="0" w:color="000000"/>
            </w:tcBorders>
            <w:tcMar>
              <w:left w:w="28" w:type="dxa"/>
              <w:right w:w="28" w:type="dxa"/>
            </w:tcMar>
          </w:tcPr>
          <w:p w14:paraId="5773E85F" w14:textId="77777777" w:rsidR="00FF7799" w:rsidRPr="00E73F6F" w:rsidRDefault="00FF7799" w:rsidP="00740F23">
            <w:pPr>
              <w:pStyle w:val="StandardText"/>
              <w:rPr>
                <w:lang w:val="de-DE"/>
              </w:rPr>
            </w:pPr>
            <w:r w:rsidRPr="00E73F6F">
              <w:rPr>
                <w:w w:val="99"/>
                <w:lang w:val="de-DE"/>
              </w:rPr>
              <w:t>04</w:t>
            </w:r>
          </w:p>
        </w:tc>
        <w:tc>
          <w:tcPr>
            <w:tcW w:w="262" w:type="pct"/>
            <w:tcBorders>
              <w:top w:val="single" w:sz="4" w:space="0" w:color="000000"/>
              <w:bottom w:val="single" w:sz="4" w:space="0" w:color="000000"/>
            </w:tcBorders>
            <w:tcMar>
              <w:left w:w="28" w:type="dxa"/>
              <w:right w:w="28" w:type="dxa"/>
            </w:tcMar>
          </w:tcPr>
          <w:p w14:paraId="14A6592F" w14:textId="77777777" w:rsidR="00FF7799" w:rsidRPr="00E73F6F" w:rsidRDefault="00FF7799" w:rsidP="00740F23">
            <w:pPr>
              <w:pStyle w:val="StandardText"/>
              <w:rPr>
                <w:lang w:val="de-DE"/>
              </w:rPr>
            </w:pPr>
            <w:r w:rsidRPr="00E73F6F">
              <w:rPr>
                <w:w w:val="99"/>
                <w:lang w:val="de-DE"/>
              </w:rPr>
              <w:t>14</w:t>
            </w:r>
          </w:p>
        </w:tc>
        <w:tc>
          <w:tcPr>
            <w:tcW w:w="262" w:type="pct"/>
            <w:tcBorders>
              <w:top w:val="single" w:sz="4" w:space="0" w:color="000000"/>
              <w:bottom w:val="single" w:sz="4" w:space="0" w:color="000000"/>
            </w:tcBorders>
            <w:tcMar>
              <w:left w:w="28" w:type="dxa"/>
              <w:right w:w="28" w:type="dxa"/>
            </w:tcMar>
          </w:tcPr>
          <w:p w14:paraId="4CB81D4A" w14:textId="77777777" w:rsidR="00FF7799" w:rsidRPr="00E73F6F" w:rsidRDefault="00FF7799" w:rsidP="00740F23">
            <w:pPr>
              <w:pStyle w:val="StandardText"/>
              <w:rPr>
                <w:lang w:val="de-DE"/>
              </w:rPr>
            </w:pPr>
            <w:r w:rsidRPr="00E73F6F">
              <w:rPr>
                <w:w w:val="99"/>
                <w:lang w:val="de-DE"/>
              </w:rPr>
              <w:t>01</w:t>
            </w:r>
          </w:p>
        </w:tc>
        <w:tc>
          <w:tcPr>
            <w:tcW w:w="262" w:type="pct"/>
            <w:tcBorders>
              <w:top w:val="single" w:sz="4" w:space="0" w:color="000000"/>
              <w:bottom w:val="single" w:sz="4" w:space="0" w:color="000000"/>
            </w:tcBorders>
            <w:tcMar>
              <w:left w:w="28" w:type="dxa"/>
              <w:right w:w="28" w:type="dxa"/>
            </w:tcMar>
          </w:tcPr>
          <w:p w14:paraId="4E488915" w14:textId="77777777" w:rsidR="00FF7799" w:rsidRPr="00E73F6F" w:rsidRDefault="00FF7799" w:rsidP="00740F23">
            <w:pPr>
              <w:pStyle w:val="StandardText"/>
              <w:rPr>
                <w:lang w:val="de-DE"/>
              </w:rPr>
            </w:pPr>
            <w:r w:rsidRPr="00E73F6F">
              <w:rPr>
                <w:w w:val="99"/>
                <w:lang w:val="de-DE"/>
              </w:rPr>
              <w:t>11</w:t>
            </w:r>
          </w:p>
        </w:tc>
        <w:tc>
          <w:tcPr>
            <w:tcW w:w="465" w:type="pct"/>
            <w:tcBorders>
              <w:top w:val="single" w:sz="4" w:space="0" w:color="000000"/>
              <w:bottom w:val="single" w:sz="4" w:space="0" w:color="000000"/>
            </w:tcBorders>
            <w:tcMar>
              <w:left w:w="28" w:type="dxa"/>
              <w:right w:w="28" w:type="dxa"/>
            </w:tcMar>
          </w:tcPr>
          <w:p w14:paraId="4FBFC55E" w14:textId="77777777" w:rsidR="00FF7799" w:rsidRPr="00E73F6F" w:rsidRDefault="00FF7799" w:rsidP="00740F23">
            <w:pPr>
              <w:pStyle w:val="StandardText"/>
              <w:rPr>
                <w:lang w:val="de-DE"/>
              </w:rPr>
            </w:pPr>
            <w:r w:rsidRPr="00E73F6F">
              <w:rPr>
                <w:w w:val="99"/>
                <w:lang w:val="de-DE"/>
              </w:rPr>
              <w:t>1</w:t>
            </w:r>
            <w:r w:rsidRPr="00E73F6F">
              <w:rPr>
                <w:spacing w:val="-5"/>
                <w:lang w:val="de-DE"/>
              </w:rPr>
              <w:t>07</w:t>
            </w:r>
          </w:p>
        </w:tc>
        <w:tc>
          <w:tcPr>
            <w:tcW w:w="539" w:type="pct"/>
            <w:tcBorders>
              <w:top w:val="single" w:sz="4" w:space="0" w:color="000000"/>
              <w:bottom w:val="single" w:sz="4" w:space="0" w:color="000000"/>
            </w:tcBorders>
            <w:tcMar>
              <w:left w:w="28" w:type="dxa"/>
              <w:right w:w="28" w:type="dxa"/>
            </w:tcMar>
          </w:tcPr>
          <w:p w14:paraId="0B037FB8" w14:textId="77777777" w:rsidR="00FF7799" w:rsidRPr="00E73F6F" w:rsidRDefault="00FF7799" w:rsidP="00740F23">
            <w:pPr>
              <w:pStyle w:val="StandardText"/>
              <w:rPr>
                <w:lang w:val="de-DE"/>
              </w:rPr>
            </w:pPr>
            <w:r w:rsidRPr="00E73F6F">
              <w:rPr>
                <w:spacing w:val="-5"/>
                <w:lang w:val="de-DE"/>
              </w:rPr>
              <w:t>104</w:t>
            </w:r>
          </w:p>
        </w:tc>
      </w:tr>
      <w:tr w:rsidR="00FF7799" w:rsidRPr="00E73F6F" w14:paraId="296FB691" w14:textId="77777777" w:rsidTr="00580F1D">
        <w:trPr>
          <w:trHeight w:val="653"/>
        </w:trPr>
        <w:tc>
          <w:tcPr>
            <w:tcW w:w="854" w:type="pct"/>
            <w:tcBorders>
              <w:top w:val="single" w:sz="4" w:space="0" w:color="000000"/>
              <w:bottom w:val="single" w:sz="4" w:space="0" w:color="000000"/>
            </w:tcBorders>
            <w:shd w:val="clear" w:color="auto" w:fill="FFF2CC" w:themeFill="accent4" w:themeFillTint="33"/>
            <w:tcMar>
              <w:left w:w="28" w:type="dxa"/>
              <w:right w:w="28" w:type="dxa"/>
            </w:tcMar>
          </w:tcPr>
          <w:p w14:paraId="6CE59460" w14:textId="77777777" w:rsidR="00FF7799" w:rsidRPr="00E73F6F" w:rsidRDefault="00FF7799" w:rsidP="00740F23">
            <w:pPr>
              <w:pStyle w:val="StandardText"/>
              <w:jc w:val="left"/>
              <w:rPr>
                <w:lang w:val="de-DE"/>
              </w:rPr>
            </w:pPr>
            <w:r w:rsidRPr="00E73F6F">
              <w:rPr>
                <w:lang w:val="de-DE"/>
              </w:rPr>
              <w:t>Finnland</w:t>
            </w:r>
          </w:p>
        </w:tc>
        <w:tc>
          <w:tcPr>
            <w:tcW w:w="262" w:type="pct"/>
            <w:tcBorders>
              <w:top w:val="single" w:sz="4" w:space="0" w:color="000000"/>
              <w:bottom w:val="single" w:sz="4" w:space="0" w:color="000000"/>
            </w:tcBorders>
            <w:tcMar>
              <w:left w:w="28" w:type="dxa"/>
              <w:right w:w="28" w:type="dxa"/>
            </w:tcMar>
          </w:tcPr>
          <w:p w14:paraId="3E7A1518" w14:textId="77777777" w:rsidR="00FF7799" w:rsidRPr="00E73F6F" w:rsidRDefault="00FF7799" w:rsidP="00740F23">
            <w:pPr>
              <w:pStyle w:val="StandardText"/>
              <w:rPr>
                <w:lang w:val="de-DE"/>
              </w:rPr>
            </w:pPr>
            <w:r w:rsidRPr="00E73F6F">
              <w:rPr>
                <w:w w:val="99"/>
                <w:lang w:val="de-DE"/>
              </w:rPr>
              <w:t>14</w:t>
            </w:r>
          </w:p>
        </w:tc>
        <w:tc>
          <w:tcPr>
            <w:tcW w:w="262" w:type="pct"/>
            <w:tcBorders>
              <w:top w:val="single" w:sz="4" w:space="0" w:color="000000"/>
              <w:bottom w:val="single" w:sz="4" w:space="0" w:color="000000"/>
            </w:tcBorders>
            <w:tcMar>
              <w:left w:w="28" w:type="dxa"/>
              <w:right w:w="28" w:type="dxa"/>
            </w:tcMar>
          </w:tcPr>
          <w:p w14:paraId="6C881B0C" w14:textId="77777777" w:rsidR="00FF7799" w:rsidRPr="00E73F6F" w:rsidRDefault="00FF7799" w:rsidP="00740F23">
            <w:pPr>
              <w:pStyle w:val="StandardText"/>
              <w:rPr>
                <w:lang w:val="de-DE"/>
              </w:rPr>
            </w:pPr>
            <w:r w:rsidRPr="00E73F6F">
              <w:rPr>
                <w:w w:val="99"/>
                <w:lang w:val="de-DE"/>
              </w:rPr>
              <w:t>74</w:t>
            </w:r>
          </w:p>
        </w:tc>
        <w:tc>
          <w:tcPr>
            <w:tcW w:w="262" w:type="pct"/>
            <w:tcBorders>
              <w:top w:val="single" w:sz="4" w:space="0" w:color="000000"/>
              <w:bottom w:val="single" w:sz="4" w:space="0" w:color="000000"/>
            </w:tcBorders>
            <w:tcMar>
              <w:left w:w="28" w:type="dxa"/>
              <w:right w:w="28" w:type="dxa"/>
            </w:tcMar>
          </w:tcPr>
          <w:p w14:paraId="3C8299B0" w14:textId="77777777" w:rsidR="00FF7799" w:rsidRPr="00E73F6F" w:rsidRDefault="00FF7799" w:rsidP="00740F23">
            <w:pPr>
              <w:pStyle w:val="StandardText"/>
              <w:rPr>
                <w:lang w:val="de-DE"/>
              </w:rPr>
            </w:pPr>
            <w:r w:rsidRPr="00E73F6F">
              <w:rPr>
                <w:w w:val="99"/>
                <w:lang w:val="de-DE"/>
              </w:rPr>
              <w:t>3</w:t>
            </w:r>
          </w:p>
        </w:tc>
        <w:tc>
          <w:tcPr>
            <w:tcW w:w="262" w:type="pct"/>
            <w:tcBorders>
              <w:top w:val="single" w:sz="4" w:space="0" w:color="000000"/>
              <w:bottom w:val="single" w:sz="4" w:space="0" w:color="000000"/>
            </w:tcBorders>
            <w:tcMar>
              <w:left w:w="28" w:type="dxa"/>
              <w:right w:w="28" w:type="dxa"/>
            </w:tcMar>
          </w:tcPr>
          <w:p w14:paraId="794ED85D" w14:textId="77777777" w:rsidR="00FF7799" w:rsidRPr="00E73F6F" w:rsidRDefault="00FF7799" w:rsidP="00740F23">
            <w:pPr>
              <w:pStyle w:val="StandardText"/>
              <w:rPr>
                <w:lang w:val="de-DE"/>
              </w:rPr>
            </w:pPr>
            <w:r w:rsidRPr="00E73F6F">
              <w:rPr>
                <w:w w:val="99"/>
                <w:lang w:val="de-DE"/>
              </w:rPr>
              <w:t>34</w:t>
            </w:r>
          </w:p>
        </w:tc>
        <w:tc>
          <w:tcPr>
            <w:tcW w:w="262" w:type="pct"/>
            <w:tcBorders>
              <w:top w:val="single" w:sz="4" w:space="0" w:color="000000"/>
              <w:bottom w:val="single" w:sz="4" w:space="0" w:color="000000"/>
            </w:tcBorders>
            <w:tcMar>
              <w:left w:w="28" w:type="dxa"/>
              <w:right w:w="28" w:type="dxa"/>
            </w:tcMar>
          </w:tcPr>
          <w:p w14:paraId="60CF6969" w14:textId="77777777" w:rsidR="00FF7799" w:rsidRPr="00E73F6F" w:rsidRDefault="00FF7799" w:rsidP="00740F23">
            <w:pPr>
              <w:pStyle w:val="StandardText"/>
              <w:rPr>
                <w:lang w:val="de-DE"/>
              </w:rPr>
            </w:pPr>
            <w:r w:rsidRPr="00E73F6F">
              <w:rPr>
                <w:w w:val="99"/>
                <w:lang w:val="de-DE"/>
              </w:rPr>
              <w:t>14</w:t>
            </w:r>
          </w:p>
        </w:tc>
        <w:tc>
          <w:tcPr>
            <w:tcW w:w="262" w:type="pct"/>
            <w:tcBorders>
              <w:top w:val="single" w:sz="4" w:space="0" w:color="000000"/>
              <w:bottom w:val="single" w:sz="4" w:space="0" w:color="000000"/>
            </w:tcBorders>
            <w:tcMar>
              <w:left w:w="28" w:type="dxa"/>
              <w:right w:w="28" w:type="dxa"/>
            </w:tcMar>
          </w:tcPr>
          <w:p w14:paraId="100BC447" w14:textId="77777777" w:rsidR="00FF7799" w:rsidRPr="00E73F6F" w:rsidRDefault="00FF7799" w:rsidP="00740F23">
            <w:pPr>
              <w:pStyle w:val="StandardText"/>
              <w:rPr>
                <w:lang w:val="de-DE"/>
              </w:rPr>
            </w:pPr>
            <w:r w:rsidRPr="00E73F6F">
              <w:rPr>
                <w:w w:val="99"/>
                <w:lang w:val="de-DE"/>
              </w:rPr>
              <w:t>43</w:t>
            </w:r>
          </w:p>
        </w:tc>
        <w:tc>
          <w:tcPr>
            <w:tcW w:w="262" w:type="pct"/>
            <w:tcBorders>
              <w:top w:val="single" w:sz="4" w:space="0" w:color="000000"/>
              <w:bottom w:val="single" w:sz="4" w:space="0" w:color="000000"/>
            </w:tcBorders>
            <w:tcMar>
              <w:left w:w="28" w:type="dxa"/>
              <w:right w:w="28" w:type="dxa"/>
            </w:tcMar>
          </w:tcPr>
          <w:p w14:paraId="2E75972F" w14:textId="77777777" w:rsidR="00FF7799" w:rsidRPr="00E73F6F" w:rsidRDefault="00FF7799" w:rsidP="00740F23">
            <w:pPr>
              <w:pStyle w:val="StandardText"/>
              <w:rPr>
                <w:lang w:val="de-DE"/>
              </w:rPr>
            </w:pPr>
            <w:r w:rsidRPr="00E73F6F">
              <w:rPr>
                <w:w w:val="99"/>
                <w:lang w:val="de-DE"/>
              </w:rPr>
              <w:t>21</w:t>
            </w:r>
          </w:p>
        </w:tc>
        <w:tc>
          <w:tcPr>
            <w:tcW w:w="262" w:type="pct"/>
            <w:tcBorders>
              <w:top w:val="single" w:sz="4" w:space="0" w:color="000000"/>
              <w:bottom w:val="single" w:sz="4" w:space="0" w:color="000000"/>
            </w:tcBorders>
            <w:tcMar>
              <w:left w:w="28" w:type="dxa"/>
              <w:right w:w="28" w:type="dxa"/>
            </w:tcMar>
          </w:tcPr>
          <w:p w14:paraId="7035B32C" w14:textId="77777777" w:rsidR="00FF7799" w:rsidRPr="00E73F6F" w:rsidRDefault="00FF7799" w:rsidP="00740F23">
            <w:pPr>
              <w:pStyle w:val="StandardText"/>
              <w:rPr>
                <w:lang w:val="de-DE"/>
              </w:rPr>
            </w:pPr>
            <w:r w:rsidRPr="00E73F6F">
              <w:rPr>
                <w:w w:val="99"/>
                <w:lang w:val="de-DE"/>
              </w:rPr>
              <w:t>6</w:t>
            </w:r>
          </w:p>
        </w:tc>
        <w:tc>
          <w:tcPr>
            <w:tcW w:w="262" w:type="pct"/>
            <w:tcBorders>
              <w:top w:val="single" w:sz="4" w:space="0" w:color="000000"/>
              <w:bottom w:val="single" w:sz="4" w:space="0" w:color="000000"/>
            </w:tcBorders>
            <w:tcMar>
              <w:left w:w="28" w:type="dxa"/>
              <w:right w:w="28" w:type="dxa"/>
            </w:tcMar>
          </w:tcPr>
          <w:p w14:paraId="57279BAA" w14:textId="77777777" w:rsidR="00FF7799" w:rsidRPr="00E73F6F" w:rsidRDefault="00FF7799" w:rsidP="00740F23">
            <w:pPr>
              <w:pStyle w:val="StandardText"/>
              <w:rPr>
                <w:lang w:val="de-DE"/>
              </w:rPr>
            </w:pPr>
            <w:r w:rsidRPr="00E73F6F">
              <w:rPr>
                <w:w w:val="99"/>
                <w:lang w:val="de-DE"/>
              </w:rPr>
              <w:t>21</w:t>
            </w:r>
          </w:p>
        </w:tc>
        <w:tc>
          <w:tcPr>
            <w:tcW w:w="262" w:type="pct"/>
            <w:tcBorders>
              <w:top w:val="single" w:sz="4" w:space="0" w:color="000000"/>
              <w:bottom w:val="single" w:sz="4" w:space="0" w:color="000000"/>
            </w:tcBorders>
            <w:tcMar>
              <w:left w:w="28" w:type="dxa"/>
              <w:right w:w="28" w:type="dxa"/>
            </w:tcMar>
          </w:tcPr>
          <w:p w14:paraId="258BAC31" w14:textId="77777777" w:rsidR="00FF7799" w:rsidRPr="00E73F6F" w:rsidRDefault="00FF7799" w:rsidP="00740F23">
            <w:pPr>
              <w:pStyle w:val="StandardText"/>
              <w:rPr>
                <w:lang w:val="de-DE"/>
              </w:rPr>
            </w:pPr>
            <w:r w:rsidRPr="00E73F6F">
              <w:rPr>
                <w:w w:val="99"/>
                <w:lang w:val="de-DE"/>
              </w:rPr>
              <w:t>9</w:t>
            </w:r>
          </w:p>
        </w:tc>
        <w:tc>
          <w:tcPr>
            <w:tcW w:w="262" w:type="pct"/>
            <w:tcBorders>
              <w:top w:val="single" w:sz="4" w:space="0" w:color="000000"/>
              <w:bottom w:val="single" w:sz="4" w:space="0" w:color="000000"/>
            </w:tcBorders>
            <w:tcMar>
              <w:left w:w="28" w:type="dxa"/>
              <w:right w:w="28" w:type="dxa"/>
            </w:tcMar>
          </w:tcPr>
          <w:p w14:paraId="7A5988B2" w14:textId="77777777" w:rsidR="00FF7799" w:rsidRPr="00E73F6F" w:rsidRDefault="00FF7799" w:rsidP="00740F23">
            <w:pPr>
              <w:pStyle w:val="StandardText"/>
              <w:rPr>
                <w:lang w:val="de-DE"/>
              </w:rPr>
            </w:pPr>
            <w:r w:rsidRPr="00E73F6F">
              <w:rPr>
                <w:w w:val="99"/>
                <w:lang w:val="de-DE"/>
              </w:rPr>
              <w:t>18</w:t>
            </w:r>
          </w:p>
        </w:tc>
        <w:tc>
          <w:tcPr>
            <w:tcW w:w="262" w:type="pct"/>
            <w:tcBorders>
              <w:top w:val="single" w:sz="4" w:space="0" w:color="000000"/>
              <w:bottom w:val="single" w:sz="4" w:space="0" w:color="000000"/>
            </w:tcBorders>
            <w:tcMar>
              <w:left w:w="28" w:type="dxa"/>
              <w:right w:w="28" w:type="dxa"/>
            </w:tcMar>
          </w:tcPr>
          <w:p w14:paraId="57DE1E02" w14:textId="77777777" w:rsidR="00FF7799" w:rsidRPr="00E73F6F" w:rsidRDefault="00FF7799" w:rsidP="00740F23">
            <w:pPr>
              <w:pStyle w:val="StandardText"/>
              <w:rPr>
                <w:lang w:val="de-DE"/>
              </w:rPr>
            </w:pPr>
            <w:r w:rsidRPr="00E73F6F">
              <w:rPr>
                <w:w w:val="99"/>
                <w:lang w:val="de-DE"/>
              </w:rPr>
              <w:t>24</w:t>
            </w:r>
          </w:p>
        </w:tc>
        <w:tc>
          <w:tcPr>
            <w:tcW w:w="465" w:type="pct"/>
            <w:tcBorders>
              <w:top w:val="single" w:sz="4" w:space="0" w:color="000000"/>
              <w:bottom w:val="single" w:sz="4" w:space="0" w:color="000000"/>
            </w:tcBorders>
            <w:tcMar>
              <w:left w:w="28" w:type="dxa"/>
              <w:right w:w="28" w:type="dxa"/>
            </w:tcMar>
          </w:tcPr>
          <w:p w14:paraId="7F320A9D" w14:textId="77777777" w:rsidR="00FF7799" w:rsidRPr="00E73F6F" w:rsidRDefault="00FF7799" w:rsidP="00740F23">
            <w:pPr>
              <w:pStyle w:val="StandardText"/>
              <w:rPr>
                <w:lang w:val="de-DE"/>
              </w:rPr>
            </w:pPr>
            <w:r w:rsidRPr="00E73F6F">
              <w:rPr>
                <w:w w:val="99"/>
                <w:lang w:val="de-DE"/>
              </w:rPr>
              <w:t>1</w:t>
            </w:r>
            <w:r w:rsidRPr="00E73F6F">
              <w:rPr>
                <w:spacing w:val="-5"/>
                <w:lang w:val="de-DE"/>
              </w:rPr>
              <w:t>20</w:t>
            </w:r>
          </w:p>
        </w:tc>
        <w:tc>
          <w:tcPr>
            <w:tcW w:w="539" w:type="pct"/>
            <w:tcBorders>
              <w:top w:val="single" w:sz="4" w:space="0" w:color="000000"/>
              <w:bottom w:val="single" w:sz="4" w:space="0" w:color="000000"/>
            </w:tcBorders>
            <w:tcMar>
              <w:left w:w="28" w:type="dxa"/>
              <w:right w:w="28" w:type="dxa"/>
            </w:tcMar>
          </w:tcPr>
          <w:p w14:paraId="3DCE2BB6" w14:textId="77777777" w:rsidR="00FF7799" w:rsidRPr="00E73F6F" w:rsidRDefault="00FF7799" w:rsidP="00740F23">
            <w:pPr>
              <w:pStyle w:val="StandardText"/>
              <w:rPr>
                <w:lang w:val="de-DE"/>
              </w:rPr>
            </w:pPr>
            <w:r w:rsidRPr="00E73F6F">
              <w:rPr>
                <w:spacing w:val="-5"/>
                <w:lang w:val="de-DE"/>
              </w:rPr>
              <w:t>115</w:t>
            </w:r>
          </w:p>
        </w:tc>
      </w:tr>
      <w:tr w:rsidR="00FF7799" w:rsidRPr="00E73F6F" w14:paraId="45053009" w14:textId="77777777" w:rsidTr="00580F1D">
        <w:trPr>
          <w:trHeight w:val="650"/>
        </w:trPr>
        <w:tc>
          <w:tcPr>
            <w:tcW w:w="854" w:type="pct"/>
            <w:tcBorders>
              <w:top w:val="single" w:sz="4" w:space="0" w:color="000000"/>
              <w:bottom w:val="single" w:sz="4" w:space="0" w:color="000000"/>
            </w:tcBorders>
            <w:shd w:val="clear" w:color="auto" w:fill="FFF2CC" w:themeFill="accent4" w:themeFillTint="33"/>
            <w:tcMar>
              <w:left w:w="28" w:type="dxa"/>
              <w:right w:w="28" w:type="dxa"/>
            </w:tcMar>
          </w:tcPr>
          <w:p w14:paraId="3DBB9D29" w14:textId="77777777" w:rsidR="00FF7799" w:rsidRPr="00E73F6F" w:rsidRDefault="00FF7799" w:rsidP="00740F23">
            <w:pPr>
              <w:pStyle w:val="StandardText"/>
              <w:jc w:val="left"/>
              <w:rPr>
                <w:lang w:val="de-DE"/>
              </w:rPr>
            </w:pPr>
            <w:r w:rsidRPr="00E73F6F">
              <w:rPr>
                <w:lang w:val="de-DE"/>
              </w:rPr>
              <w:t>Frankreich</w:t>
            </w:r>
          </w:p>
        </w:tc>
        <w:tc>
          <w:tcPr>
            <w:tcW w:w="262" w:type="pct"/>
            <w:tcBorders>
              <w:top w:val="single" w:sz="4" w:space="0" w:color="000000"/>
              <w:bottom w:val="single" w:sz="4" w:space="0" w:color="000000"/>
            </w:tcBorders>
            <w:tcMar>
              <w:left w:w="28" w:type="dxa"/>
              <w:right w:w="28" w:type="dxa"/>
            </w:tcMar>
          </w:tcPr>
          <w:p w14:paraId="6189087B" w14:textId="77777777" w:rsidR="00FF7799" w:rsidRPr="00E73F6F" w:rsidRDefault="00FF7799" w:rsidP="00740F23">
            <w:pPr>
              <w:pStyle w:val="StandardText"/>
              <w:rPr>
                <w:lang w:val="de-DE"/>
              </w:rPr>
            </w:pPr>
            <w:r w:rsidRPr="00E73F6F">
              <w:rPr>
                <w:w w:val="99"/>
                <w:lang w:val="de-DE"/>
              </w:rPr>
              <w:t>03</w:t>
            </w:r>
          </w:p>
        </w:tc>
        <w:tc>
          <w:tcPr>
            <w:tcW w:w="262" w:type="pct"/>
            <w:tcBorders>
              <w:top w:val="single" w:sz="4" w:space="0" w:color="000000"/>
              <w:bottom w:val="single" w:sz="4" w:space="0" w:color="000000"/>
            </w:tcBorders>
            <w:tcMar>
              <w:left w:w="28" w:type="dxa"/>
              <w:right w:w="28" w:type="dxa"/>
            </w:tcMar>
          </w:tcPr>
          <w:p w14:paraId="611747AC" w14:textId="77777777" w:rsidR="00FF7799" w:rsidRPr="00E73F6F" w:rsidRDefault="00FF7799" w:rsidP="00740F23">
            <w:pPr>
              <w:pStyle w:val="StandardText"/>
              <w:rPr>
                <w:lang w:val="de-DE"/>
              </w:rPr>
            </w:pPr>
            <w:r w:rsidRPr="00E73F6F">
              <w:rPr>
                <w:w w:val="99"/>
                <w:lang w:val="de-DE"/>
              </w:rPr>
              <w:t>06</w:t>
            </w:r>
          </w:p>
        </w:tc>
        <w:tc>
          <w:tcPr>
            <w:tcW w:w="262" w:type="pct"/>
            <w:tcBorders>
              <w:top w:val="single" w:sz="4" w:space="0" w:color="000000"/>
              <w:bottom w:val="single" w:sz="4" w:space="0" w:color="000000"/>
            </w:tcBorders>
            <w:tcMar>
              <w:left w:w="28" w:type="dxa"/>
              <w:right w:w="28" w:type="dxa"/>
            </w:tcMar>
          </w:tcPr>
          <w:p w14:paraId="55258E64" w14:textId="77777777" w:rsidR="00FF7799" w:rsidRPr="00E73F6F" w:rsidRDefault="00FF7799" w:rsidP="00740F23">
            <w:pPr>
              <w:pStyle w:val="StandardText"/>
              <w:rPr>
                <w:lang w:val="de-DE"/>
              </w:rPr>
            </w:pPr>
            <w:r w:rsidRPr="00E73F6F">
              <w:rPr>
                <w:w w:val="99"/>
                <w:lang w:val="de-DE"/>
              </w:rPr>
              <w:t>2</w:t>
            </w:r>
          </w:p>
        </w:tc>
        <w:tc>
          <w:tcPr>
            <w:tcW w:w="262" w:type="pct"/>
            <w:tcBorders>
              <w:top w:val="single" w:sz="4" w:space="0" w:color="000000"/>
              <w:bottom w:val="single" w:sz="4" w:space="0" w:color="000000"/>
            </w:tcBorders>
            <w:tcMar>
              <w:left w:w="28" w:type="dxa"/>
              <w:right w:w="28" w:type="dxa"/>
            </w:tcMar>
          </w:tcPr>
          <w:p w14:paraId="1CD4644D" w14:textId="77777777" w:rsidR="00FF7799" w:rsidRPr="00E73F6F" w:rsidRDefault="00FF7799" w:rsidP="00740F23">
            <w:pPr>
              <w:pStyle w:val="StandardText"/>
              <w:rPr>
                <w:lang w:val="de-DE"/>
              </w:rPr>
            </w:pPr>
            <w:r w:rsidRPr="00E73F6F">
              <w:rPr>
                <w:w w:val="99"/>
                <w:lang w:val="de-DE"/>
              </w:rPr>
              <w:t>58</w:t>
            </w:r>
          </w:p>
        </w:tc>
        <w:tc>
          <w:tcPr>
            <w:tcW w:w="262" w:type="pct"/>
            <w:tcBorders>
              <w:top w:val="single" w:sz="4" w:space="0" w:color="000000"/>
              <w:bottom w:val="single" w:sz="4" w:space="0" w:color="000000"/>
            </w:tcBorders>
            <w:tcMar>
              <w:left w:w="28" w:type="dxa"/>
              <w:right w:w="28" w:type="dxa"/>
            </w:tcMar>
          </w:tcPr>
          <w:p w14:paraId="1B18ACE0" w14:textId="77777777" w:rsidR="00FF7799" w:rsidRPr="00E73F6F" w:rsidRDefault="00FF7799" w:rsidP="00740F23">
            <w:pPr>
              <w:pStyle w:val="StandardText"/>
              <w:rPr>
                <w:lang w:val="de-DE"/>
              </w:rPr>
            </w:pPr>
            <w:r w:rsidRPr="00E73F6F">
              <w:rPr>
                <w:w w:val="99"/>
                <w:lang w:val="de-DE"/>
              </w:rPr>
              <w:t>17</w:t>
            </w:r>
          </w:p>
        </w:tc>
        <w:tc>
          <w:tcPr>
            <w:tcW w:w="262" w:type="pct"/>
            <w:tcBorders>
              <w:top w:val="single" w:sz="4" w:space="0" w:color="000000"/>
              <w:bottom w:val="single" w:sz="4" w:space="0" w:color="000000"/>
            </w:tcBorders>
            <w:tcMar>
              <w:left w:w="28" w:type="dxa"/>
              <w:right w:w="28" w:type="dxa"/>
            </w:tcMar>
          </w:tcPr>
          <w:p w14:paraId="1CACCB1E" w14:textId="77777777" w:rsidR="00FF7799" w:rsidRPr="00E73F6F" w:rsidRDefault="00FF7799" w:rsidP="00740F23">
            <w:pPr>
              <w:pStyle w:val="StandardText"/>
              <w:rPr>
                <w:lang w:val="de-DE"/>
              </w:rPr>
            </w:pPr>
            <w:r w:rsidRPr="00E73F6F">
              <w:rPr>
                <w:w w:val="99"/>
                <w:lang w:val="de-DE"/>
              </w:rPr>
              <w:t>7</w:t>
            </w:r>
          </w:p>
        </w:tc>
        <w:tc>
          <w:tcPr>
            <w:tcW w:w="262" w:type="pct"/>
            <w:tcBorders>
              <w:top w:val="single" w:sz="4" w:space="0" w:color="000000"/>
              <w:bottom w:val="single" w:sz="4" w:space="0" w:color="000000"/>
            </w:tcBorders>
            <w:tcMar>
              <w:left w:w="28" w:type="dxa"/>
              <w:right w:w="28" w:type="dxa"/>
            </w:tcMar>
          </w:tcPr>
          <w:p w14:paraId="2BF90B27" w14:textId="77777777" w:rsidR="00FF7799" w:rsidRPr="00E73F6F" w:rsidRDefault="00FF7799" w:rsidP="00740F23">
            <w:pPr>
              <w:pStyle w:val="StandardText"/>
              <w:rPr>
                <w:lang w:val="de-DE"/>
              </w:rPr>
            </w:pPr>
            <w:r w:rsidRPr="00E73F6F">
              <w:rPr>
                <w:w w:val="99"/>
                <w:lang w:val="de-DE"/>
              </w:rPr>
              <w:t>06</w:t>
            </w:r>
          </w:p>
        </w:tc>
        <w:tc>
          <w:tcPr>
            <w:tcW w:w="262" w:type="pct"/>
            <w:tcBorders>
              <w:top w:val="single" w:sz="4" w:space="0" w:color="000000"/>
              <w:bottom w:val="single" w:sz="4" w:space="0" w:color="000000"/>
            </w:tcBorders>
            <w:tcMar>
              <w:left w:w="28" w:type="dxa"/>
              <w:right w:w="28" w:type="dxa"/>
            </w:tcMar>
          </w:tcPr>
          <w:p w14:paraId="0C2D9510" w14:textId="77777777" w:rsidR="00FF7799" w:rsidRPr="00E73F6F" w:rsidRDefault="00FF7799" w:rsidP="00740F23">
            <w:pPr>
              <w:pStyle w:val="StandardText"/>
              <w:rPr>
                <w:lang w:val="de-DE"/>
              </w:rPr>
            </w:pPr>
            <w:r w:rsidRPr="00E73F6F">
              <w:rPr>
                <w:w w:val="99"/>
                <w:lang w:val="de-DE"/>
              </w:rPr>
              <w:t>5</w:t>
            </w:r>
          </w:p>
        </w:tc>
        <w:tc>
          <w:tcPr>
            <w:tcW w:w="262" w:type="pct"/>
            <w:tcBorders>
              <w:top w:val="single" w:sz="4" w:space="0" w:color="000000"/>
              <w:bottom w:val="single" w:sz="4" w:space="0" w:color="000000"/>
            </w:tcBorders>
            <w:tcMar>
              <w:left w:w="28" w:type="dxa"/>
              <w:right w:w="28" w:type="dxa"/>
            </w:tcMar>
          </w:tcPr>
          <w:p w14:paraId="4BBC3BA3" w14:textId="77777777" w:rsidR="00FF7799" w:rsidRPr="00E73F6F" w:rsidRDefault="00FF7799" w:rsidP="00740F23">
            <w:pPr>
              <w:pStyle w:val="StandardText"/>
              <w:rPr>
                <w:lang w:val="de-DE"/>
              </w:rPr>
            </w:pPr>
            <w:r w:rsidRPr="00E73F6F">
              <w:rPr>
                <w:w w:val="99"/>
                <w:lang w:val="de-DE"/>
              </w:rPr>
              <w:t>04</w:t>
            </w:r>
          </w:p>
        </w:tc>
        <w:tc>
          <w:tcPr>
            <w:tcW w:w="262" w:type="pct"/>
            <w:tcBorders>
              <w:top w:val="single" w:sz="4" w:space="0" w:color="000000"/>
              <w:bottom w:val="single" w:sz="4" w:space="0" w:color="000000"/>
            </w:tcBorders>
            <w:tcMar>
              <w:left w:w="28" w:type="dxa"/>
              <w:right w:w="28" w:type="dxa"/>
            </w:tcMar>
          </w:tcPr>
          <w:p w14:paraId="0F48B83B" w14:textId="77777777" w:rsidR="00FF7799" w:rsidRPr="00E73F6F" w:rsidRDefault="00FF7799" w:rsidP="00740F23">
            <w:pPr>
              <w:pStyle w:val="StandardText"/>
              <w:rPr>
                <w:lang w:val="de-DE"/>
              </w:rPr>
            </w:pPr>
            <w:r w:rsidRPr="00E73F6F">
              <w:rPr>
                <w:w w:val="99"/>
                <w:lang w:val="de-DE"/>
              </w:rPr>
              <w:t>26</w:t>
            </w:r>
          </w:p>
        </w:tc>
        <w:tc>
          <w:tcPr>
            <w:tcW w:w="262" w:type="pct"/>
            <w:tcBorders>
              <w:top w:val="single" w:sz="4" w:space="0" w:color="000000"/>
              <w:bottom w:val="single" w:sz="4" w:space="0" w:color="000000"/>
            </w:tcBorders>
            <w:tcMar>
              <w:left w:w="28" w:type="dxa"/>
              <w:right w:w="28" w:type="dxa"/>
            </w:tcMar>
          </w:tcPr>
          <w:p w14:paraId="73D06501" w14:textId="77777777" w:rsidR="00FF7799" w:rsidRPr="00E73F6F" w:rsidRDefault="00FF7799" w:rsidP="00740F23">
            <w:pPr>
              <w:pStyle w:val="StandardText"/>
              <w:rPr>
                <w:lang w:val="de-DE"/>
              </w:rPr>
            </w:pPr>
            <w:r w:rsidRPr="00E73F6F">
              <w:rPr>
                <w:w w:val="99"/>
                <w:lang w:val="de-DE"/>
              </w:rPr>
              <w:t>06</w:t>
            </w:r>
          </w:p>
        </w:tc>
        <w:tc>
          <w:tcPr>
            <w:tcW w:w="262" w:type="pct"/>
            <w:tcBorders>
              <w:top w:val="single" w:sz="4" w:space="0" w:color="000000"/>
              <w:bottom w:val="single" w:sz="4" w:space="0" w:color="000000"/>
            </w:tcBorders>
            <w:tcMar>
              <w:left w:w="28" w:type="dxa"/>
              <w:right w:w="28" w:type="dxa"/>
            </w:tcMar>
          </w:tcPr>
          <w:p w14:paraId="1CBFD2B3" w14:textId="77777777" w:rsidR="00FF7799" w:rsidRPr="00E73F6F" w:rsidRDefault="00FF7799" w:rsidP="00740F23">
            <w:pPr>
              <w:pStyle w:val="StandardText"/>
              <w:rPr>
                <w:lang w:val="de-DE"/>
              </w:rPr>
            </w:pPr>
            <w:r w:rsidRPr="00E73F6F">
              <w:rPr>
                <w:w w:val="99"/>
                <w:lang w:val="de-DE"/>
              </w:rPr>
              <w:t>18</w:t>
            </w:r>
          </w:p>
        </w:tc>
        <w:tc>
          <w:tcPr>
            <w:tcW w:w="465" w:type="pct"/>
            <w:tcBorders>
              <w:top w:val="single" w:sz="4" w:space="0" w:color="000000"/>
              <w:bottom w:val="single" w:sz="4" w:space="0" w:color="000000"/>
            </w:tcBorders>
            <w:tcMar>
              <w:left w:w="28" w:type="dxa"/>
              <w:right w:w="28" w:type="dxa"/>
            </w:tcMar>
          </w:tcPr>
          <w:p w14:paraId="0602CFE8" w14:textId="77777777" w:rsidR="00FF7799" w:rsidRPr="00E73F6F" w:rsidRDefault="00FF7799" w:rsidP="00740F23">
            <w:pPr>
              <w:pStyle w:val="StandardText"/>
              <w:rPr>
                <w:lang w:val="de-DE"/>
              </w:rPr>
            </w:pPr>
            <w:r w:rsidRPr="00E73F6F">
              <w:rPr>
                <w:w w:val="99"/>
                <w:lang w:val="de-DE"/>
              </w:rPr>
              <w:t>1</w:t>
            </w:r>
            <w:r w:rsidRPr="00E73F6F">
              <w:rPr>
                <w:spacing w:val="-5"/>
                <w:lang w:val="de-DE"/>
              </w:rPr>
              <w:t>18</w:t>
            </w:r>
          </w:p>
        </w:tc>
        <w:tc>
          <w:tcPr>
            <w:tcW w:w="539" w:type="pct"/>
            <w:tcBorders>
              <w:top w:val="single" w:sz="4" w:space="0" w:color="000000"/>
              <w:bottom w:val="single" w:sz="4" w:space="0" w:color="000000"/>
            </w:tcBorders>
            <w:tcMar>
              <w:left w:w="28" w:type="dxa"/>
              <w:right w:w="28" w:type="dxa"/>
            </w:tcMar>
          </w:tcPr>
          <w:p w14:paraId="34EEB792" w14:textId="77777777" w:rsidR="00FF7799" w:rsidRPr="00E73F6F" w:rsidRDefault="00FF7799" w:rsidP="00740F23">
            <w:pPr>
              <w:pStyle w:val="StandardText"/>
              <w:rPr>
                <w:lang w:val="de-DE"/>
              </w:rPr>
            </w:pPr>
            <w:r w:rsidRPr="00E73F6F">
              <w:rPr>
                <w:spacing w:val="-5"/>
                <w:lang w:val="de-DE"/>
              </w:rPr>
              <w:t>105</w:t>
            </w:r>
          </w:p>
        </w:tc>
      </w:tr>
      <w:tr w:rsidR="00FF7799" w:rsidRPr="00E73F6F" w14:paraId="0EEC9672" w14:textId="77777777" w:rsidTr="00580F1D">
        <w:trPr>
          <w:trHeight w:val="649"/>
        </w:trPr>
        <w:tc>
          <w:tcPr>
            <w:tcW w:w="854" w:type="pct"/>
            <w:tcBorders>
              <w:top w:val="single" w:sz="4" w:space="0" w:color="000000"/>
              <w:bottom w:val="single" w:sz="4" w:space="0" w:color="000000"/>
            </w:tcBorders>
            <w:shd w:val="clear" w:color="auto" w:fill="FFF2CC" w:themeFill="accent4" w:themeFillTint="33"/>
            <w:tcMar>
              <w:left w:w="28" w:type="dxa"/>
              <w:right w:w="28" w:type="dxa"/>
            </w:tcMar>
          </w:tcPr>
          <w:p w14:paraId="7310947F" w14:textId="77777777" w:rsidR="00FF7799" w:rsidRPr="00E73F6F" w:rsidRDefault="00FF7799" w:rsidP="00740F23">
            <w:pPr>
              <w:pStyle w:val="StandardText"/>
              <w:jc w:val="left"/>
              <w:rPr>
                <w:lang w:val="de-DE"/>
              </w:rPr>
            </w:pPr>
            <w:r w:rsidRPr="00E73F6F">
              <w:rPr>
                <w:lang w:val="de-DE"/>
              </w:rPr>
              <w:t>Griechenland</w:t>
            </w:r>
          </w:p>
        </w:tc>
        <w:tc>
          <w:tcPr>
            <w:tcW w:w="262" w:type="pct"/>
            <w:tcBorders>
              <w:top w:val="single" w:sz="4" w:space="0" w:color="000000"/>
              <w:bottom w:val="single" w:sz="4" w:space="0" w:color="000000"/>
            </w:tcBorders>
            <w:tcMar>
              <w:left w:w="28" w:type="dxa"/>
              <w:right w:w="28" w:type="dxa"/>
            </w:tcMar>
          </w:tcPr>
          <w:p w14:paraId="5E1DB410" w14:textId="77777777" w:rsidR="00FF7799" w:rsidRPr="00E73F6F" w:rsidRDefault="00FF7799" w:rsidP="00740F23">
            <w:pPr>
              <w:pStyle w:val="StandardText"/>
              <w:rPr>
                <w:lang w:val="de-DE"/>
              </w:rPr>
            </w:pPr>
            <w:r w:rsidRPr="00E73F6F">
              <w:rPr>
                <w:w w:val="99"/>
                <w:lang w:val="de-DE"/>
              </w:rPr>
              <w:t>9</w:t>
            </w:r>
          </w:p>
        </w:tc>
        <w:tc>
          <w:tcPr>
            <w:tcW w:w="262" w:type="pct"/>
            <w:tcBorders>
              <w:top w:val="single" w:sz="4" w:space="0" w:color="000000"/>
              <w:bottom w:val="single" w:sz="4" w:space="0" w:color="000000"/>
            </w:tcBorders>
            <w:tcMar>
              <w:left w:w="28" w:type="dxa"/>
              <w:right w:w="28" w:type="dxa"/>
            </w:tcMar>
          </w:tcPr>
          <w:p w14:paraId="3491A141" w14:textId="77777777" w:rsidR="00FF7799" w:rsidRPr="00E73F6F" w:rsidRDefault="00FF7799" w:rsidP="00740F23">
            <w:pPr>
              <w:pStyle w:val="StandardText"/>
              <w:rPr>
                <w:lang w:val="de-DE"/>
              </w:rPr>
            </w:pPr>
            <w:r w:rsidRPr="00E73F6F">
              <w:rPr>
                <w:w w:val="99"/>
                <w:lang w:val="de-DE"/>
              </w:rPr>
              <w:t>03</w:t>
            </w:r>
          </w:p>
        </w:tc>
        <w:tc>
          <w:tcPr>
            <w:tcW w:w="262" w:type="pct"/>
            <w:tcBorders>
              <w:top w:val="single" w:sz="4" w:space="0" w:color="000000"/>
              <w:bottom w:val="single" w:sz="4" w:space="0" w:color="000000"/>
            </w:tcBorders>
            <w:tcMar>
              <w:left w:w="28" w:type="dxa"/>
              <w:right w:w="28" w:type="dxa"/>
            </w:tcMar>
          </w:tcPr>
          <w:p w14:paraId="51E4137A" w14:textId="77777777" w:rsidR="00FF7799" w:rsidRPr="00E73F6F" w:rsidRDefault="00FF7799" w:rsidP="00740F23">
            <w:pPr>
              <w:pStyle w:val="StandardText"/>
              <w:rPr>
                <w:lang w:val="de-DE"/>
              </w:rPr>
            </w:pPr>
            <w:r w:rsidRPr="00E73F6F">
              <w:rPr>
                <w:w w:val="99"/>
                <w:lang w:val="de-DE"/>
              </w:rPr>
              <w:t>6</w:t>
            </w:r>
          </w:p>
        </w:tc>
        <w:tc>
          <w:tcPr>
            <w:tcW w:w="262" w:type="pct"/>
            <w:tcBorders>
              <w:top w:val="single" w:sz="4" w:space="0" w:color="000000"/>
              <w:bottom w:val="single" w:sz="4" w:space="0" w:color="000000"/>
            </w:tcBorders>
            <w:tcMar>
              <w:left w:w="28" w:type="dxa"/>
              <w:right w:w="28" w:type="dxa"/>
            </w:tcMar>
          </w:tcPr>
          <w:p w14:paraId="35CC197F" w14:textId="77777777" w:rsidR="00FF7799" w:rsidRPr="00E73F6F" w:rsidRDefault="00FF7799" w:rsidP="00740F23">
            <w:pPr>
              <w:pStyle w:val="StandardText"/>
              <w:rPr>
                <w:lang w:val="de-DE"/>
              </w:rPr>
            </w:pPr>
            <w:r w:rsidRPr="00E73F6F">
              <w:rPr>
                <w:w w:val="99"/>
                <w:lang w:val="de-DE"/>
              </w:rPr>
              <w:t>5</w:t>
            </w:r>
          </w:p>
        </w:tc>
        <w:tc>
          <w:tcPr>
            <w:tcW w:w="262" w:type="pct"/>
            <w:tcBorders>
              <w:top w:val="single" w:sz="4" w:space="0" w:color="000000"/>
              <w:bottom w:val="single" w:sz="4" w:space="0" w:color="000000"/>
            </w:tcBorders>
            <w:tcMar>
              <w:left w:w="28" w:type="dxa"/>
              <w:right w:w="28" w:type="dxa"/>
            </w:tcMar>
          </w:tcPr>
          <w:p w14:paraId="71FADF5F" w14:textId="77777777" w:rsidR="00FF7799" w:rsidRPr="00E73F6F" w:rsidRDefault="00FF7799" w:rsidP="00740F23">
            <w:pPr>
              <w:pStyle w:val="StandardText"/>
              <w:rPr>
                <w:lang w:val="de-DE"/>
              </w:rPr>
            </w:pPr>
            <w:r w:rsidRPr="00E73F6F">
              <w:rPr>
                <w:w w:val="99"/>
                <w:lang w:val="de-DE"/>
              </w:rPr>
              <w:t>6</w:t>
            </w:r>
          </w:p>
        </w:tc>
        <w:tc>
          <w:tcPr>
            <w:tcW w:w="262" w:type="pct"/>
            <w:tcBorders>
              <w:top w:val="single" w:sz="4" w:space="0" w:color="000000"/>
              <w:bottom w:val="single" w:sz="4" w:space="0" w:color="000000"/>
            </w:tcBorders>
            <w:tcMar>
              <w:left w:w="28" w:type="dxa"/>
              <w:right w:w="28" w:type="dxa"/>
            </w:tcMar>
          </w:tcPr>
          <w:p w14:paraId="40582F3B" w14:textId="77777777" w:rsidR="00FF7799" w:rsidRPr="00E73F6F" w:rsidRDefault="00FF7799" w:rsidP="00740F23">
            <w:pPr>
              <w:pStyle w:val="StandardText"/>
              <w:rPr>
                <w:lang w:val="de-DE"/>
              </w:rPr>
            </w:pPr>
            <w:r w:rsidRPr="00E73F6F">
              <w:rPr>
                <w:w w:val="99"/>
                <w:lang w:val="de-DE"/>
              </w:rPr>
              <w:t>0</w:t>
            </w:r>
          </w:p>
        </w:tc>
        <w:tc>
          <w:tcPr>
            <w:tcW w:w="262" w:type="pct"/>
            <w:tcBorders>
              <w:top w:val="single" w:sz="4" w:space="0" w:color="000000"/>
              <w:bottom w:val="single" w:sz="4" w:space="0" w:color="000000"/>
            </w:tcBorders>
            <w:tcMar>
              <w:left w:w="28" w:type="dxa"/>
              <w:right w:w="28" w:type="dxa"/>
            </w:tcMar>
          </w:tcPr>
          <w:p w14:paraId="1218BDAF" w14:textId="77777777" w:rsidR="00FF7799" w:rsidRPr="00E73F6F" w:rsidRDefault="00FF7799" w:rsidP="00740F23">
            <w:pPr>
              <w:pStyle w:val="StandardText"/>
              <w:rPr>
                <w:lang w:val="de-DE"/>
              </w:rPr>
            </w:pPr>
            <w:r w:rsidRPr="00E73F6F">
              <w:rPr>
                <w:w w:val="99"/>
                <w:lang w:val="de-DE"/>
              </w:rPr>
              <w:t>7</w:t>
            </w:r>
          </w:p>
        </w:tc>
        <w:tc>
          <w:tcPr>
            <w:tcW w:w="262" w:type="pct"/>
            <w:tcBorders>
              <w:top w:val="single" w:sz="4" w:space="0" w:color="000000"/>
              <w:bottom w:val="single" w:sz="4" w:space="0" w:color="000000"/>
            </w:tcBorders>
            <w:tcMar>
              <w:left w:w="28" w:type="dxa"/>
              <w:right w:w="28" w:type="dxa"/>
            </w:tcMar>
          </w:tcPr>
          <w:p w14:paraId="5A318E7B" w14:textId="77777777" w:rsidR="00FF7799" w:rsidRPr="00E73F6F" w:rsidRDefault="00FF7799" w:rsidP="00740F23">
            <w:pPr>
              <w:pStyle w:val="StandardText"/>
              <w:rPr>
                <w:lang w:val="de-DE"/>
              </w:rPr>
            </w:pPr>
            <w:r w:rsidRPr="00E73F6F">
              <w:rPr>
                <w:w w:val="99"/>
                <w:lang w:val="de-DE"/>
              </w:rPr>
              <w:t>1</w:t>
            </w:r>
          </w:p>
        </w:tc>
        <w:tc>
          <w:tcPr>
            <w:tcW w:w="262" w:type="pct"/>
            <w:tcBorders>
              <w:top w:val="single" w:sz="4" w:space="0" w:color="000000"/>
              <w:bottom w:val="single" w:sz="4" w:space="0" w:color="000000"/>
            </w:tcBorders>
            <w:tcMar>
              <w:left w:w="28" w:type="dxa"/>
              <w:right w:w="28" w:type="dxa"/>
            </w:tcMar>
          </w:tcPr>
          <w:p w14:paraId="3A33EF75" w14:textId="77777777" w:rsidR="00FF7799" w:rsidRPr="00E73F6F" w:rsidRDefault="00FF7799" w:rsidP="00740F23">
            <w:pPr>
              <w:pStyle w:val="StandardText"/>
              <w:rPr>
                <w:lang w:val="de-DE"/>
              </w:rPr>
            </w:pPr>
            <w:r w:rsidRPr="00E73F6F">
              <w:rPr>
                <w:w w:val="99"/>
                <w:lang w:val="de-DE"/>
              </w:rPr>
              <w:t>9</w:t>
            </w:r>
          </w:p>
        </w:tc>
        <w:tc>
          <w:tcPr>
            <w:tcW w:w="262" w:type="pct"/>
            <w:tcBorders>
              <w:top w:val="single" w:sz="4" w:space="0" w:color="000000"/>
              <w:bottom w:val="single" w:sz="4" w:space="0" w:color="000000"/>
            </w:tcBorders>
            <w:tcMar>
              <w:left w:w="28" w:type="dxa"/>
              <w:right w:w="28" w:type="dxa"/>
            </w:tcMar>
          </w:tcPr>
          <w:p w14:paraId="75762F1F" w14:textId="77777777" w:rsidR="00FF7799" w:rsidRPr="00E73F6F" w:rsidRDefault="00FF7799" w:rsidP="00740F23">
            <w:pPr>
              <w:pStyle w:val="StandardText"/>
              <w:rPr>
                <w:lang w:val="de-DE"/>
              </w:rPr>
            </w:pPr>
            <w:r w:rsidRPr="00E73F6F">
              <w:rPr>
                <w:w w:val="99"/>
                <w:lang w:val="de-DE"/>
              </w:rPr>
              <w:t>9</w:t>
            </w:r>
          </w:p>
        </w:tc>
        <w:tc>
          <w:tcPr>
            <w:tcW w:w="262" w:type="pct"/>
            <w:tcBorders>
              <w:top w:val="single" w:sz="4" w:space="0" w:color="000000"/>
              <w:bottom w:val="single" w:sz="4" w:space="0" w:color="000000"/>
            </w:tcBorders>
            <w:tcMar>
              <w:left w:w="28" w:type="dxa"/>
              <w:right w:w="28" w:type="dxa"/>
            </w:tcMar>
          </w:tcPr>
          <w:p w14:paraId="51FAAD60" w14:textId="77777777" w:rsidR="00FF7799" w:rsidRPr="00E73F6F" w:rsidRDefault="00FF7799" w:rsidP="00740F23">
            <w:pPr>
              <w:pStyle w:val="StandardText"/>
              <w:rPr>
                <w:lang w:val="de-DE"/>
              </w:rPr>
            </w:pPr>
            <w:r w:rsidRPr="00E73F6F">
              <w:rPr>
                <w:w w:val="99"/>
                <w:lang w:val="de-DE"/>
              </w:rPr>
              <w:t>7</w:t>
            </w:r>
          </w:p>
        </w:tc>
        <w:tc>
          <w:tcPr>
            <w:tcW w:w="262" w:type="pct"/>
            <w:tcBorders>
              <w:top w:val="single" w:sz="4" w:space="0" w:color="000000"/>
              <w:bottom w:val="single" w:sz="4" w:space="0" w:color="000000"/>
            </w:tcBorders>
            <w:tcMar>
              <w:left w:w="28" w:type="dxa"/>
              <w:right w:w="28" w:type="dxa"/>
            </w:tcMar>
          </w:tcPr>
          <w:p w14:paraId="18DA121F" w14:textId="77777777" w:rsidR="00FF7799" w:rsidRPr="00E73F6F" w:rsidRDefault="00FF7799" w:rsidP="00740F23">
            <w:pPr>
              <w:pStyle w:val="StandardText"/>
              <w:rPr>
                <w:lang w:val="de-DE"/>
              </w:rPr>
            </w:pPr>
            <w:r w:rsidRPr="00E73F6F">
              <w:rPr>
                <w:w w:val="99"/>
                <w:lang w:val="de-DE"/>
              </w:rPr>
              <w:t>5</w:t>
            </w:r>
          </w:p>
        </w:tc>
        <w:tc>
          <w:tcPr>
            <w:tcW w:w="465" w:type="pct"/>
            <w:tcBorders>
              <w:top w:val="single" w:sz="4" w:space="0" w:color="000000"/>
              <w:bottom w:val="single" w:sz="4" w:space="0" w:color="000000"/>
            </w:tcBorders>
            <w:tcMar>
              <w:left w:w="28" w:type="dxa"/>
              <w:right w:w="28" w:type="dxa"/>
            </w:tcMar>
          </w:tcPr>
          <w:p w14:paraId="00F5E55D" w14:textId="77777777" w:rsidR="00FF7799" w:rsidRPr="00E73F6F" w:rsidRDefault="00FF7799" w:rsidP="00740F23">
            <w:pPr>
              <w:pStyle w:val="StandardText"/>
              <w:rPr>
                <w:lang w:val="de-DE"/>
              </w:rPr>
            </w:pPr>
            <w:r w:rsidRPr="00E73F6F">
              <w:rPr>
                <w:w w:val="99"/>
                <w:lang w:val="de-DE"/>
              </w:rPr>
              <w:t>85</w:t>
            </w:r>
          </w:p>
        </w:tc>
        <w:tc>
          <w:tcPr>
            <w:tcW w:w="539" w:type="pct"/>
            <w:tcBorders>
              <w:top w:val="single" w:sz="4" w:space="0" w:color="000000"/>
              <w:bottom w:val="single" w:sz="4" w:space="0" w:color="000000"/>
            </w:tcBorders>
            <w:tcMar>
              <w:left w:w="28" w:type="dxa"/>
              <w:right w:w="28" w:type="dxa"/>
            </w:tcMar>
          </w:tcPr>
          <w:p w14:paraId="746CD9CD" w14:textId="77777777" w:rsidR="00FF7799" w:rsidRPr="00E73F6F" w:rsidRDefault="00FF7799" w:rsidP="00740F23">
            <w:pPr>
              <w:pStyle w:val="StandardText"/>
              <w:rPr>
                <w:lang w:val="de-DE"/>
              </w:rPr>
            </w:pPr>
            <w:r w:rsidRPr="00E73F6F">
              <w:rPr>
                <w:spacing w:val="-5"/>
                <w:lang w:val="de-DE"/>
              </w:rPr>
              <w:t>83</w:t>
            </w:r>
          </w:p>
        </w:tc>
      </w:tr>
      <w:tr w:rsidR="00FF7799" w:rsidRPr="00E73F6F" w14:paraId="3258AC07" w14:textId="77777777" w:rsidTr="00580F1D">
        <w:trPr>
          <w:trHeight w:val="652"/>
        </w:trPr>
        <w:tc>
          <w:tcPr>
            <w:tcW w:w="854" w:type="pct"/>
            <w:tcBorders>
              <w:top w:val="single" w:sz="4" w:space="0" w:color="000000"/>
              <w:bottom w:val="single" w:sz="4" w:space="0" w:color="000000"/>
            </w:tcBorders>
            <w:shd w:val="clear" w:color="auto" w:fill="FFF2CC" w:themeFill="accent4" w:themeFillTint="33"/>
            <w:tcMar>
              <w:left w:w="28" w:type="dxa"/>
              <w:right w:w="28" w:type="dxa"/>
            </w:tcMar>
          </w:tcPr>
          <w:p w14:paraId="255453EE" w14:textId="77777777" w:rsidR="00FF7799" w:rsidRPr="00E73F6F" w:rsidRDefault="00FF7799" w:rsidP="00740F23">
            <w:pPr>
              <w:pStyle w:val="StandardText"/>
              <w:jc w:val="left"/>
              <w:rPr>
                <w:lang w:val="de-DE"/>
              </w:rPr>
            </w:pPr>
            <w:r w:rsidRPr="00E73F6F">
              <w:rPr>
                <w:lang w:val="de-DE"/>
              </w:rPr>
              <w:t>Großbritannien</w:t>
            </w:r>
          </w:p>
        </w:tc>
        <w:tc>
          <w:tcPr>
            <w:tcW w:w="262" w:type="pct"/>
            <w:tcBorders>
              <w:top w:val="single" w:sz="4" w:space="0" w:color="000000"/>
              <w:bottom w:val="single" w:sz="4" w:space="0" w:color="000000"/>
            </w:tcBorders>
            <w:tcMar>
              <w:left w:w="28" w:type="dxa"/>
              <w:right w:w="28" w:type="dxa"/>
            </w:tcMar>
          </w:tcPr>
          <w:p w14:paraId="2F249400" w14:textId="77777777" w:rsidR="00FF7799" w:rsidRPr="00E73F6F" w:rsidRDefault="00FF7799" w:rsidP="00740F23">
            <w:pPr>
              <w:pStyle w:val="StandardText"/>
              <w:rPr>
                <w:lang w:val="de-DE"/>
              </w:rPr>
            </w:pPr>
            <w:r w:rsidRPr="00E73F6F">
              <w:rPr>
                <w:w w:val="99"/>
                <w:lang w:val="de-DE"/>
              </w:rPr>
              <w:t>11</w:t>
            </w:r>
          </w:p>
        </w:tc>
        <w:tc>
          <w:tcPr>
            <w:tcW w:w="262" w:type="pct"/>
            <w:tcBorders>
              <w:top w:val="single" w:sz="4" w:space="0" w:color="000000"/>
              <w:bottom w:val="single" w:sz="4" w:space="0" w:color="000000"/>
            </w:tcBorders>
            <w:tcMar>
              <w:left w:w="28" w:type="dxa"/>
              <w:right w:w="28" w:type="dxa"/>
            </w:tcMar>
          </w:tcPr>
          <w:p w14:paraId="294E82DE" w14:textId="77777777" w:rsidR="00FF7799" w:rsidRPr="00E73F6F" w:rsidRDefault="00FF7799" w:rsidP="00740F23">
            <w:pPr>
              <w:pStyle w:val="StandardText"/>
              <w:rPr>
                <w:lang w:val="de-DE"/>
              </w:rPr>
            </w:pPr>
            <w:r w:rsidRPr="00E73F6F">
              <w:rPr>
                <w:w w:val="99"/>
                <w:lang w:val="de-DE"/>
              </w:rPr>
              <w:t>81</w:t>
            </w:r>
          </w:p>
        </w:tc>
        <w:tc>
          <w:tcPr>
            <w:tcW w:w="262" w:type="pct"/>
            <w:tcBorders>
              <w:top w:val="single" w:sz="4" w:space="0" w:color="000000"/>
              <w:bottom w:val="single" w:sz="4" w:space="0" w:color="000000"/>
            </w:tcBorders>
            <w:tcMar>
              <w:left w:w="28" w:type="dxa"/>
              <w:right w:w="28" w:type="dxa"/>
            </w:tcMar>
          </w:tcPr>
          <w:p w14:paraId="43FF4156" w14:textId="77777777" w:rsidR="00FF7799" w:rsidRPr="00E73F6F" w:rsidRDefault="00FF7799" w:rsidP="00740F23">
            <w:pPr>
              <w:pStyle w:val="StandardText"/>
              <w:rPr>
                <w:lang w:val="de-DE"/>
              </w:rPr>
            </w:pPr>
            <w:r w:rsidRPr="00E73F6F">
              <w:rPr>
                <w:w w:val="99"/>
                <w:lang w:val="de-DE"/>
              </w:rPr>
              <w:t>3</w:t>
            </w:r>
          </w:p>
        </w:tc>
        <w:tc>
          <w:tcPr>
            <w:tcW w:w="262" w:type="pct"/>
            <w:tcBorders>
              <w:top w:val="single" w:sz="4" w:space="0" w:color="000000"/>
              <w:bottom w:val="single" w:sz="4" w:space="0" w:color="000000"/>
            </w:tcBorders>
            <w:tcMar>
              <w:left w:w="28" w:type="dxa"/>
              <w:right w:w="28" w:type="dxa"/>
            </w:tcMar>
          </w:tcPr>
          <w:p w14:paraId="327A4D0B" w14:textId="77777777" w:rsidR="00FF7799" w:rsidRPr="00E73F6F" w:rsidRDefault="00FF7799" w:rsidP="00740F23">
            <w:pPr>
              <w:pStyle w:val="StandardText"/>
              <w:rPr>
                <w:lang w:val="de-DE"/>
              </w:rPr>
            </w:pPr>
            <w:r w:rsidRPr="00E73F6F">
              <w:rPr>
                <w:w w:val="99"/>
                <w:lang w:val="de-DE"/>
              </w:rPr>
              <w:t>12</w:t>
            </w:r>
          </w:p>
        </w:tc>
        <w:tc>
          <w:tcPr>
            <w:tcW w:w="262" w:type="pct"/>
            <w:tcBorders>
              <w:top w:val="single" w:sz="4" w:space="0" w:color="000000"/>
              <w:bottom w:val="single" w:sz="4" w:space="0" w:color="000000"/>
            </w:tcBorders>
            <w:tcMar>
              <w:left w:w="28" w:type="dxa"/>
              <w:right w:w="28" w:type="dxa"/>
            </w:tcMar>
          </w:tcPr>
          <w:p w14:paraId="18EA7FCE" w14:textId="77777777" w:rsidR="00FF7799" w:rsidRPr="00E73F6F" w:rsidRDefault="00FF7799" w:rsidP="00740F23">
            <w:pPr>
              <w:pStyle w:val="StandardText"/>
              <w:rPr>
                <w:lang w:val="de-DE"/>
              </w:rPr>
            </w:pPr>
            <w:r w:rsidRPr="00E73F6F">
              <w:rPr>
                <w:w w:val="99"/>
                <w:lang w:val="de-DE"/>
              </w:rPr>
              <w:t>25</w:t>
            </w:r>
          </w:p>
        </w:tc>
        <w:tc>
          <w:tcPr>
            <w:tcW w:w="262" w:type="pct"/>
            <w:tcBorders>
              <w:top w:val="single" w:sz="4" w:space="0" w:color="000000"/>
              <w:bottom w:val="single" w:sz="4" w:space="0" w:color="000000"/>
            </w:tcBorders>
            <w:tcMar>
              <w:left w:w="28" w:type="dxa"/>
              <w:right w:w="28" w:type="dxa"/>
            </w:tcMar>
          </w:tcPr>
          <w:p w14:paraId="7735CF62" w14:textId="77777777" w:rsidR="00FF7799" w:rsidRPr="00E73F6F" w:rsidRDefault="00FF7799" w:rsidP="00740F23">
            <w:pPr>
              <w:pStyle w:val="StandardText"/>
              <w:rPr>
                <w:lang w:val="de-DE"/>
              </w:rPr>
            </w:pPr>
            <w:r w:rsidRPr="00E73F6F">
              <w:rPr>
                <w:w w:val="99"/>
                <w:lang w:val="de-DE"/>
              </w:rPr>
              <w:t>18</w:t>
            </w:r>
          </w:p>
        </w:tc>
        <w:tc>
          <w:tcPr>
            <w:tcW w:w="262" w:type="pct"/>
            <w:tcBorders>
              <w:top w:val="single" w:sz="4" w:space="0" w:color="000000"/>
              <w:bottom w:val="single" w:sz="4" w:space="0" w:color="000000"/>
            </w:tcBorders>
            <w:tcMar>
              <w:left w:w="28" w:type="dxa"/>
              <w:right w:w="28" w:type="dxa"/>
            </w:tcMar>
          </w:tcPr>
          <w:p w14:paraId="6661E2BA" w14:textId="77777777" w:rsidR="00FF7799" w:rsidRPr="00E73F6F" w:rsidRDefault="00FF7799" w:rsidP="00740F23">
            <w:pPr>
              <w:pStyle w:val="StandardText"/>
              <w:rPr>
                <w:lang w:val="de-DE"/>
              </w:rPr>
            </w:pPr>
            <w:r w:rsidRPr="00E73F6F">
              <w:rPr>
                <w:w w:val="99"/>
                <w:lang w:val="de-DE"/>
              </w:rPr>
              <w:t>29</w:t>
            </w:r>
          </w:p>
        </w:tc>
        <w:tc>
          <w:tcPr>
            <w:tcW w:w="262" w:type="pct"/>
            <w:tcBorders>
              <w:top w:val="single" w:sz="4" w:space="0" w:color="000000"/>
              <w:bottom w:val="single" w:sz="4" w:space="0" w:color="000000"/>
            </w:tcBorders>
            <w:tcMar>
              <w:left w:w="28" w:type="dxa"/>
              <w:right w:w="28" w:type="dxa"/>
            </w:tcMar>
          </w:tcPr>
          <w:p w14:paraId="5443EAC9" w14:textId="77777777" w:rsidR="00FF7799" w:rsidRPr="00E73F6F" w:rsidRDefault="00FF7799" w:rsidP="00740F23">
            <w:pPr>
              <w:pStyle w:val="StandardText"/>
              <w:rPr>
                <w:lang w:val="de-DE"/>
              </w:rPr>
            </w:pPr>
            <w:r w:rsidRPr="00E73F6F">
              <w:rPr>
                <w:w w:val="99"/>
                <w:lang w:val="de-DE"/>
              </w:rPr>
              <w:t>6</w:t>
            </w:r>
          </w:p>
        </w:tc>
        <w:tc>
          <w:tcPr>
            <w:tcW w:w="262" w:type="pct"/>
            <w:tcBorders>
              <w:top w:val="single" w:sz="4" w:space="0" w:color="000000"/>
              <w:bottom w:val="single" w:sz="4" w:space="0" w:color="000000"/>
            </w:tcBorders>
            <w:tcMar>
              <w:left w:w="28" w:type="dxa"/>
              <w:right w:w="28" w:type="dxa"/>
            </w:tcMar>
          </w:tcPr>
          <w:p w14:paraId="4C930C77" w14:textId="77777777" w:rsidR="00FF7799" w:rsidRPr="00E73F6F" w:rsidRDefault="00FF7799" w:rsidP="00740F23">
            <w:pPr>
              <w:pStyle w:val="StandardText"/>
              <w:rPr>
                <w:lang w:val="de-DE"/>
              </w:rPr>
            </w:pPr>
            <w:r w:rsidRPr="00E73F6F">
              <w:rPr>
                <w:w w:val="99"/>
                <w:lang w:val="de-DE"/>
              </w:rPr>
              <w:t>14</w:t>
            </w:r>
          </w:p>
        </w:tc>
        <w:tc>
          <w:tcPr>
            <w:tcW w:w="262" w:type="pct"/>
            <w:tcBorders>
              <w:top w:val="single" w:sz="4" w:space="0" w:color="000000"/>
              <w:bottom w:val="single" w:sz="4" w:space="0" w:color="000000"/>
            </w:tcBorders>
            <w:tcMar>
              <w:left w:w="28" w:type="dxa"/>
              <w:right w:w="28" w:type="dxa"/>
            </w:tcMar>
          </w:tcPr>
          <w:p w14:paraId="40521D34" w14:textId="77777777" w:rsidR="00FF7799" w:rsidRPr="00E73F6F" w:rsidRDefault="00FF7799" w:rsidP="00740F23">
            <w:pPr>
              <w:pStyle w:val="StandardText"/>
              <w:rPr>
                <w:lang w:val="de-DE"/>
              </w:rPr>
            </w:pPr>
            <w:r w:rsidRPr="00E73F6F">
              <w:rPr>
                <w:w w:val="99"/>
                <w:lang w:val="de-DE"/>
              </w:rPr>
              <w:t>14</w:t>
            </w:r>
          </w:p>
        </w:tc>
        <w:tc>
          <w:tcPr>
            <w:tcW w:w="262" w:type="pct"/>
            <w:tcBorders>
              <w:top w:val="single" w:sz="4" w:space="0" w:color="000000"/>
              <w:bottom w:val="single" w:sz="4" w:space="0" w:color="000000"/>
            </w:tcBorders>
            <w:tcMar>
              <w:left w:w="28" w:type="dxa"/>
              <w:right w:w="28" w:type="dxa"/>
            </w:tcMar>
          </w:tcPr>
          <w:p w14:paraId="293723EA" w14:textId="77777777" w:rsidR="00FF7799" w:rsidRPr="00E73F6F" w:rsidRDefault="00FF7799" w:rsidP="00740F23">
            <w:pPr>
              <w:pStyle w:val="StandardText"/>
              <w:rPr>
                <w:lang w:val="de-DE"/>
              </w:rPr>
            </w:pPr>
            <w:r w:rsidRPr="00E73F6F">
              <w:rPr>
                <w:w w:val="99"/>
                <w:lang w:val="de-DE"/>
              </w:rPr>
              <w:t>29</w:t>
            </w:r>
          </w:p>
        </w:tc>
        <w:tc>
          <w:tcPr>
            <w:tcW w:w="262" w:type="pct"/>
            <w:tcBorders>
              <w:top w:val="single" w:sz="4" w:space="0" w:color="000000"/>
              <w:bottom w:val="single" w:sz="4" w:space="0" w:color="000000"/>
            </w:tcBorders>
            <w:tcMar>
              <w:left w:w="28" w:type="dxa"/>
              <w:right w:w="28" w:type="dxa"/>
            </w:tcMar>
          </w:tcPr>
          <w:p w14:paraId="4369A18C" w14:textId="77777777" w:rsidR="00FF7799" w:rsidRPr="00E73F6F" w:rsidRDefault="00FF7799" w:rsidP="00740F23">
            <w:pPr>
              <w:pStyle w:val="StandardText"/>
              <w:rPr>
                <w:lang w:val="de-DE"/>
              </w:rPr>
            </w:pPr>
            <w:r w:rsidRPr="00E73F6F">
              <w:rPr>
                <w:w w:val="99"/>
                <w:lang w:val="de-DE"/>
              </w:rPr>
              <w:t>44</w:t>
            </w:r>
          </w:p>
        </w:tc>
        <w:tc>
          <w:tcPr>
            <w:tcW w:w="465" w:type="pct"/>
            <w:tcBorders>
              <w:top w:val="single" w:sz="4" w:space="0" w:color="000000"/>
              <w:bottom w:val="single" w:sz="4" w:space="0" w:color="000000"/>
            </w:tcBorders>
            <w:tcMar>
              <w:left w:w="28" w:type="dxa"/>
              <w:right w:w="28" w:type="dxa"/>
            </w:tcMar>
          </w:tcPr>
          <w:p w14:paraId="46675405" w14:textId="77777777" w:rsidR="00FF7799" w:rsidRPr="00E73F6F" w:rsidRDefault="00FF7799" w:rsidP="00740F23">
            <w:pPr>
              <w:pStyle w:val="StandardText"/>
              <w:rPr>
                <w:lang w:val="de-DE"/>
              </w:rPr>
            </w:pPr>
            <w:r w:rsidRPr="00E73F6F">
              <w:rPr>
                <w:w w:val="99"/>
                <w:lang w:val="de-DE"/>
              </w:rPr>
              <w:t>1</w:t>
            </w:r>
            <w:r w:rsidRPr="00E73F6F">
              <w:rPr>
                <w:spacing w:val="-5"/>
                <w:lang w:val="de-DE"/>
              </w:rPr>
              <w:t>60</w:t>
            </w:r>
          </w:p>
        </w:tc>
        <w:tc>
          <w:tcPr>
            <w:tcW w:w="539" w:type="pct"/>
            <w:tcBorders>
              <w:top w:val="single" w:sz="4" w:space="0" w:color="000000"/>
              <w:bottom w:val="single" w:sz="4" w:space="0" w:color="000000"/>
            </w:tcBorders>
            <w:tcMar>
              <w:left w:w="28" w:type="dxa"/>
              <w:right w:w="28" w:type="dxa"/>
            </w:tcMar>
          </w:tcPr>
          <w:p w14:paraId="050F2DB2" w14:textId="77777777" w:rsidR="00FF7799" w:rsidRPr="00E73F6F" w:rsidRDefault="00FF7799" w:rsidP="00740F23">
            <w:pPr>
              <w:pStyle w:val="StandardText"/>
              <w:rPr>
                <w:lang w:val="de-DE"/>
              </w:rPr>
            </w:pPr>
            <w:r w:rsidRPr="00E73F6F">
              <w:rPr>
                <w:spacing w:val="-5"/>
                <w:lang w:val="de-DE"/>
              </w:rPr>
              <w:t>119</w:t>
            </w:r>
          </w:p>
        </w:tc>
      </w:tr>
      <w:tr w:rsidR="00FF7799" w:rsidRPr="00E73F6F" w14:paraId="4458DEEC" w14:textId="77777777" w:rsidTr="00580F1D">
        <w:trPr>
          <w:trHeight w:val="650"/>
        </w:trPr>
        <w:tc>
          <w:tcPr>
            <w:tcW w:w="854" w:type="pct"/>
            <w:tcBorders>
              <w:top w:val="single" w:sz="4" w:space="0" w:color="000000"/>
              <w:bottom w:val="single" w:sz="4" w:space="0" w:color="000000"/>
            </w:tcBorders>
            <w:shd w:val="clear" w:color="auto" w:fill="FFF2CC" w:themeFill="accent4" w:themeFillTint="33"/>
            <w:tcMar>
              <w:left w:w="28" w:type="dxa"/>
              <w:right w:w="28" w:type="dxa"/>
            </w:tcMar>
          </w:tcPr>
          <w:p w14:paraId="0ECC6263" w14:textId="77777777" w:rsidR="00FF7799" w:rsidRPr="00E73F6F" w:rsidRDefault="00FF7799" w:rsidP="00740F23">
            <w:pPr>
              <w:pStyle w:val="StandardText"/>
              <w:jc w:val="left"/>
              <w:rPr>
                <w:lang w:val="de-DE"/>
              </w:rPr>
            </w:pPr>
            <w:r w:rsidRPr="00E73F6F">
              <w:rPr>
                <w:lang w:val="de-DE"/>
              </w:rPr>
              <w:t>Irland</w:t>
            </w:r>
          </w:p>
        </w:tc>
        <w:tc>
          <w:tcPr>
            <w:tcW w:w="262" w:type="pct"/>
            <w:tcBorders>
              <w:top w:val="single" w:sz="4" w:space="0" w:color="000000"/>
              <w:bottom w:val="single" w:sz="4" w:space="0" w:color="000000"/>
            </w:tcBorders>
            <w:tcMar>
              <w:left w:w="28" w:type="dxa"/>
              <w:right w:w="28" w:type="dxa"/>
            </w:tcMar>
          </w:tcPr>
          <w:p w14:paraId="51E71B46" w14:textId="77777777" w:rsidR="00FF7799" w:rsidRPr="00E73F6F" w:rsidRDefault="00FF7799" w:rsidP="00740F23">
            <w:pPr>
              <w:pStyle w:val="StandardText"/>
              <w:rPr>
                <w:lang w:val="de-DE"/>
              </w:rPr>
            </w:pPr>
            <w:r w:rsidRPr="00E73F6F">
              <w:rPr>
                <w:w w:val="99"/>
                <w:lang w:val="de-DE"/>
              </w:rPr>
              <w:t>05</w:t>
            </w:r>
          </w:p>
        </w:tc>
        <w:tc>
          <w:tcPr>
            <w:tcW w:w="262" w:type="pct"/>
            <w:tcBorders>
              <w:top w:val="single" w:sz="4" w:space="0" w:color="000000"/>
              <w:bottom w:val="single" w:sz="4" w:space="0" w:color="000000"/>
            </w:tcBorders>
            <w:tcMar>
              <w:left w:w="28" w:type="dxa"/>
              <w:right w:w="28" w:type="dxa"/>
            </w:tcMar>
          </w:tcPr>
          <w:p w14:paraId="2A0E25D2" w14:textId="77777777" w:rsidR="00FF7799" w:rsidRPr="00E73F6F" w:rsidRDefault="00FF7799" w:rsidP="00740F23">
            <w:pPr>
              <w:pStyle w:val="StandardText"/>
              <w:rPr>
                <w:lang w:val="de-DE"/>
              </w:rPr>
            </w:pPr>
            <w:r w:rsidRPr="00E73F6F">
              <w:rPr>
                <w:w w:val="99"/>
                <w:lang w:val="de-DE"/>
              </w:rPr>
              <w:t>89</w:t>
            </w:r>
          </w:p>
        </w:tc>
        <w:tc>
          <w:tcPr>
            <w:tcW w:w="262" w:type="pct"/>
            <w:tcBorders>
              <w:top w:val="single" w:sz="4" w:space="0" w:color="000000"/>
              <w:bottom w:val="single" w:sz="4" w:space="0" w:color="000000"/>
            </w:tcBorders>
            <w:tcMar>
              <w:left w:w="28" w:type="dxa"/>
              <w:right w:w="28" w:type="dxa"/>
            </w:tcMar>
          </w:tcPr>
          <w:p w14:paraId="7BCDB783" w14:textId="77777777" w:rsidR="00FF7799" w:rsidRPr="00E73F6F" w:rsidRDefault="00FF7799" w:rsidP="00740F23">
            <w:pPr>
              <w:pStyle w:val="StandardText"/>
              <w:rPr>
                <w:lang w:val="de-DE"/>
              </w:rPr>
            </w:pPr>
            <w:r w:rsidRPr="00E73F6F">
              <w:rPr>
                <w:w w:val="99"/>
                <w:lang w:val="de-DE"/>
              </w:rPr>
              <w:t>6</w:t>
            </w:r>
          </w:p>
        </w:tc>
        <w:tc>
          <w:tcPr>
            <w:tcW w:w="262" w:type="pct"/>
            <w:tcBorders>
              <w:top w:val="single" w:sz="4" w:space="0" w:color="000000"/>
              <w:bottom w:val="single" w:sz="4" w:space="0" w:color="000000"/>
            </w:tcBorders>
            <w:tcMar>
              <w:left w:w="28" w:type="dxa"/>
              <w:right w:w="28" w:type="dxa"/>
            </w:tcMar>
          </w:tcPr>
          <w:p w14:paraId="1E060EB5" w14:textId="77777777" w:rsidR="00FF7799" w:rsidRPr="00E73F6F" w:rsidRDefault="00FF7799" w:rsidP="00740F23">
            <w:pPr>
              <w:pStyle w:val="StandardText"/>
              <w:rPr>
                <w:lang w:val="de-DE"/>
              </w:rPr>
            </w:pPr>
            <w:r w:rsidRPr="00E73F6F">
              <w:rPr>
                <w:w w:val="99"/>
                <w:lang w:val="de-DE"/>
              </w:rPr>
              <w:t>62</w:t>
            </w:r>
          </w:p>
        </w:tc>
        <w:tc>
          <w:tcPr>
            <w:tcW w:w="262" w:type="pct"/>
            <w:tcBorders>
              <w:top w:val="single" w:sz="4" w:space="0" w:color="000000"/>
              <w:bottom w:val="single" w:sz="4" w:space="0" w:color="000000"/>
            </w:tcBorders>
            <w:tcMar>
              <w:left w:w="28" w:type="dxa"/>
              <w:right w:w="28" w:type="dxa"/>
            </w:tcMar>
          </w:tcPr>
          <w:p w14:paraId="696F01CE" w14:textId="77777777" w:rsidR="00FF7799" w:rsidRPr="00E73F6F" w:rsidRDefault="00FF7799" w:rsidP="00740F23">
            <w:pPr>
              <w:pStyle w:val="StandardText"/>
              <w:rPr>
                <w:lang w:val="de-DE"/>
              </w:rPr>
            </w:pPr>
            <w:r w:rsidRPr="00E73F6F">
              <w:rPr>
                <w:w w:val="99"/>
                <w:lang w:val="de-DE"/>
              </w:rPr>
              <w:t>12</w:t>
            </w:r>
          </w:p>
        </w:tc>
        <w:tc>
          <w:tcPr>
            <w:tcW w:w="262" w:type="pct"/>
            <w:tcBorders>
              <w:top w:val="single" w:sz="4" w:space="0" w:color="000000"/>
              <w:bottom w:val="single" w:sz="4" w:space="0" w:color="000000"/>
            </w:tcBorders>
            <w:tcMar>
              <w:left w:w="28" w:type="dxa"/>
              <w:right w:w="28" w:type="dxa"/>
            </w:tcMar>
          </w:tcPr>
          <w:p w14:paraId="62A523AF" w14:textId="77777777" w:rsidR="00FF7799" w:rsidRPr="00E73F6F" w:rsidRDefault="00FF7799" w:rsidP="00740F23">
            <w:pPr>
              <w:pStyle w:val="StandardText"/>
              <w:rPr>
                <w:lang w:val="de-DE"/>
              </w:rPr>
            </w:pPr>
            <w:r w:rsidRPr="00E73F6F">
              <w:rPr>
                <w:w w:val="99"/>
                <w:lang w:val="de-DE"/>
              </w:rPr>
              <w:t>14</w:t>
            </w:r>
          </w:p>
        </w:tc>
        <w:tc>
          <w:tcPr>
            <w:tcW w:w="262" w:type="pct"/>
            <w:tcBorders>
              <w:top w:val="single" w:sz="4" w:space="0" w:color="000000"/>
              <w:bottom w:val="single" w:sz="4" w:space="0" w:color="000000"/>
            </w:tcBorders>
            <w:tcMar>
              <w:left w:w="28" w:type="dxa"/>
              <w:right w:w="28" w:type="dxa"/>
            </w:tcMar>
          </w:tcPr>
          <w:p w14:paraId="7456E755" w14:textId="77777777" w:rsidR="00FF7799" w:rsidRPr="00E73F6F" w:rsidRDefault="00FF7799" w:rsidP="00740F23">
            <w:pPr>
              <w:pStyle w:val="StandardText"/>
              <w:rPr>
                <w:lang w:val="de-DE"/>
              </w:rPr>
            </w:pPr>
            <w:r w:rsidRPr="00E73F6F">
              <w:rPr>
                <w:w w:val="99"/>
                <w:lang w:val="de-DE"/>
              </w:rPr>
              <w:t>16</w:t>
            </w:r>
          </w:p>
        </w:tc>
        <w:tc>
          <w:tcPr>
            <w:tcW w:w="262" w:type="pct"/>
            <w:tcBorders>
              <w:top w:val="single" w:sz="4" w:space="0" w:color="000000"/>
              <w:bottom w:val="single" w:sz="4" w:space="0" w:color="000000"/>
            </w:tcBorders>
            <w:tcMar>
              <w:left w:w="28" w:type="dxa"/>
              <w:right w:w="28" w:type="dxa"/>
            </w:tcMar>
          </w:tcPr>
          <w:p w14:paraId="44F5A443" w14:textId="77777777" w:rsidR="00FF7799" w:rsidRPr="00E73F6F" w:rsidRDefault="00FF7799" w:rsidP="00740F23">
            <w:pPr>
              <w:pStyle w:val="StandardText"/>
              <w:rPr>
                <w:lang w:val="de-DE"/>
              </w:rPr>
            </w:pPr>
            <w:r w:rsidRPr="00E73F6F">
              <w:rPr>
                <w:w w:val="99"/>
                <w:lang w:val="de-DE"/>
              </w:rPr>
              <w:t>5</w:t>
            </w:r>
          </w:p>
        </w:tc>
        <w:tc>
          <w:tcPr>
            <w:tcW w:w="262" w:type="pct"/>
            <w:tcBorders>
              <w:top w:val="single" w:sz="4" w:space="0" w:color="000000"/>
              <w:bottom w:val="single" w:sz="4" w:space="0" w:color="000000"/>
            </w:tcBorders>
            <w:tcMar>
              <w:left w:w="28" w:type="dxa"/>
              <w:right w:w="28" w:type="dxa"/>
            </w:tcMar>
          </w:tcPr>
          <w:p w14:paraId="1EAB65E6" w14:textId="77777777" w:rsidR="00FF7799" w:rsidRPr="00E73F6F" w:rsidRDefault="00FF7799" w:rsidP="00740F23">
            <w:pPr>
              <w:pStyle w:val="StandardText"/>
              <w:rPr>
                <w:lang w:val="de-DE"/>
              </w:rPr>
            </w:pPr>
            <w:r w:rsidRPr="00E73F6F">
              <w:rPr>
                <w:w w:val="99"/>
                <w:lang w:val="de-DE"/>
              </w:rPr>
              <w:t>3</w:t>
            </w:r>
          </w:p>
        </w:tc>
        <w:tc>
          <w:tcPr>
            <w:tcW w:w="262" w:type="pct"/>
            <w:tcBorders>
              <w:top w:val="single" w:sz="4" w:space="0" w:color="000000"/>
              <w:bottom w:val="single" w:sz="4" w:space="0" w:color="000000"/>
            </w:tcBorders>
            <w:tcMar>
              <w:left w:w="28" w:type="dxa"/>
              <w:right w:w="28" w:type="dxa"/>
            </w:tcMar>
          </w:tcPr>
          <w:p w14:paraId="3070EDF1" w14:textId="77777777" w:rsidR="00FF7799" w:rsidRPr="00E73F6F" w:rsidRDefault="00FF7799" w:rsidP="00740F23">
            <w:pPr>
              <w:pStyle w:val="StandardText"/>
              <w:rPr>
                <w:lang w:val="de-DE"/>
              </w:rPr>
            </w:pPr>
            <w:r w:rsidRPr="00E73F6F">
              <w:rPr>
                <w:w w:val="99"/>
                <w:lang w:val="de-DE"/>
              </w:rPr>
              <w:t>5</w:t>
            </w:r>
          </w:p>
        </w:tc>
        <w:tc>
          <w:tcPr>
            <w:tcW w:w="262" w:type="pct"/>
            <w:tcBorders>
              <w:top w:val="single" w:sz="4" w:space="0" w:color="000000"/>
              <w:bottom w:val="single" w:sz="4" w:space="0" w:color="000000"/>
            </w:tcBorders>
            <w:tcMar>
              <w:left w:w="28" w:type="dxa"/>
              <w:right w:w="28" w:type="dxa"/>
            </w:tcMar>
          </w:tcPr>
          <w:p w14:paraId="7764F1AB" w14:textId="77777777" w:rsidR="00FF7799" w:rsidRPr="00E73F6F" w:rsidRDefault="00FF7799" w:rsidP="00740F23">
            <w:pPr>
              <w:pStyle w:val="StandardText"/>
              <w:rPr>
                <w:lang w:val="de-DE"/>
              </w:rPr>
            </w:pPr>
            <w:r w:rsidRPr="00E73F6F">
              <w:rPr>
                <w:w w:val="99"/>
                <w:lang w:val="de-DE"/>
              </w:rPr>
              <w:t>16</w:t>
            </w:r>
          </w:p>
        </w:tc>
        <w:tc>
          <w:tcPr>
            <w:tcW w:w="262" w:type="pct"/>
            <w:tcBorders>
              <w:top w:val="single" w:sz="4" w:space="0" w:color="000000"/>
              <w:bottom w:val="single" w:sz="4" w:space="0" w:color="000000"/>
            </w:tcBorders>
            <w:tcMar>
              <w:left w:w="28" w:type="dxa"/>
              <w:right w:w="28" w:type="dxa"/>
            </w:tcMar>
          </w:tcPr>
          <w:p w14:paraId="76981305" w14:textId="77777777" w:rsidR="00FF7799" w:rsidRPr="00E73F6F" w:rsidRDefault="00FF7799" w:rsidP="00740F23">
            <w:pPr>
              <w:pStyle w:val="StandardText"/>
              <w:rPr>
                <w:lang w:val="de-DE"/>
              </w:rPr>
            </w:pPr>
            <w:r w:rsidRPr="00E73F6F">
              <w:rPr>
                <w:w w:val="99"/>
                <w:lang w:val="de-DE"/>
              </w:rPr>
              <w:t>8</w:t>
            </w:r>
          </w:p>
        </w:tc>
        <w:tc>
          <w:tcPr>
            <w:tcW w:w="465" w:type="pct"/>
            <w:tcBorders>
              <w:top w:val="single" w:sz="4" w:space="0" w:color="000000"/>
              <w:bottom w:val="single" w:sz="4" w:space="0" w:color="000000"/>
            </w:tcBorders>
            <w:tcMar>
              <w:left w:w="28" w:type="dxa"/>
              <w:right w:w="28" w:type="dxa"/>
            </w:tcMar>
          </w:tcPr>
          <w:p w14:paraId="431EA838" w14:textId="77777777" w:rsidR="00FF7799" w:rsidRPr="00E73F6F" w:rsidRDefault="00FF7799" w:rsidP="00740F23">
            <w:pPr>
              <w:pStyle w:val="StandardText"/>
              <w:rPr>
                <w:lang w:val="de-DE"/>
              </w:rPr>
            </w:pPr>
            <w:r w:rsidRPr="00E73F6F">
              <w:rPr>
                <w:w w:val="99"/>
                <w:lang w:val="de-DE"/>
              </w:rPr>
              <w:t>1</w:t>
            </w:r>
            <w:r w:rsidRPr="00E73F6F">
              <w:rPr>
                <w:spacing w:val="-5"/>
                <w:lang w:val="de-DE"/>
              </w:rPr>
              <w:t>16</w:t>
            </w:r>
          </w:p>
        </w:tc>
        <w:tc>
          <w:tcPr>
            <w:tcW w:w="539" w:type="pct"/>
            <w:tcBorders>
              <w:top w:val="single" w:sz="4" w:space="0" w:color="000000"/>
              <w:bottom w:val="single" w:sz="4" w:space="0" w:color="000000"/>
            </w:tcBorders>
            <w:tcMar>
              <w:left w:w="28" w:type="dxa"/>
              <w:right w:w="28" w:type="dxa"/>
            </w:tcMar>
          </w:tcPr>
          <w:p w14:paraId="0A283A7F" w14:textId="77777777" w:rsidR="00FF7799" w:rsidRPr="00E73F6F" w:rsidRDefault="00FF7799" w:rsidP="00740F23">
            <w:pPr>
              <w:pStyle w:val="StandardText"/>
              <w:rPr>
                <w:lang w:val="de-DE"/>
              </w:rPr>
            </w:pPr>
            <w:r w:rsidRPr="00E73F6F">
              <w:rPr>
                <w:spacing w:val="-5"/>
                <w:lang w:val="de-DE"/>
              </w:rPr>
              <w:t>103</w:t>
            </w:r>
          </w:p>
        </w:tc>
      </w:tr>
      <w:tr w:rsidR="00FF7799" w:rsidRPr="00E73F6F" w14:paraId="4FAA4D5F" w14:textId="77777777" w:rsidTr="00580F1D">
        <w:trPr>
          <w:trHeight w:val="652"/>
        </w:trPr>
        <w:tc>
          <w:tcPr>
            <w:tcW w:w="854" w:type="pct"/>
            <w:tcBorders>
              <w:top w:val="single" w:sz="4" w:space="0" w:color="000000"/>
              <w:bottom w:val="single" w:sz="4" w:space="0" w:color="000000"/>
            </w:tcBorders>
            <w:shd w:val="clear" w:color="auto" w:fill="FFF2CC" w:themeFill="accent4" w:themeFillTint="33"/>
            <w:tcMar>
              <w:left w:w="28" w:type="dxa"/>
              <w:right w:w="28" w:type="dxa"/>
            </w:tcMar>
          </w:tcPr>
          <w:p w14:paraId="206CD3D6" w14:textId="77777777" w:rsidR="00FF7799" w:rsidRPr="00E73F6F" w:rsidRDefault="00FF7799" w:rsidP="00740F23">
            <w:pPr>
              <w:pStyle w:val="StandardText"/>
              <w:jc w:val="left"/>
              <w:rPr>
                <w:lang w:val="de-DE"/>
              </w:rPr>
            </w:pPr>
            <w:r w:rsidRPr="00E73F6F">
              <w:rPr>
                <w:lang w:val="de-DE"/>
              </w:rPr>
              <w:t>Italien</w:t>
            </w:r>
          </w:p>
        </w:tc>
        <w:tc>
          <w:tcPr>
            <w:tcW w:w="262" w:type="pct"/>
            <w:tcBorders>
              <w:top w:val="single" w:sz="4" w:space="0" w:color="000000"/>
              <w:bottom w:val="single" w:sz="4" w:space="0" w:color="000000"/>
            </w:tcBorders>
            <w:tcMar>
              <w:left w:w="28" w:type="dxa"/>
              <w:right w:w="28" w:type="dxa"/>
            </w:tcMar>
          </w:tcPr>
          <w:p w14:paraId="0A0772E4" w14:textId="77777777" w:rsidR="00FF7799" w:rsidRPr="00E73F6F" w:rsidRDefault="00FF7799" w:rsidP="00740F23">
            <w:pPr>
              <w:pStyle w:val="StandardText"/>
              <w:rPr>
                <w:lang w:val="de-DE"/>
              </w:rPr>
            </w:pPr>
            <w:r w:rsidRPr="00E73F6F">
              <w:rPr>
                <w:w w:val="99"/>
                <w:lang w:val="de-DE"/>
              </w:rPr>
              <w:t>01</w:t>
            </w:r>
          </w:p>
        </w:tc>
        <w:tc>
          <w:tcPr>
            <w:tcW w:w="262" w:type="pct"/>
            <w:tcBorders>
              <w:top w:val="single" w:sz="4" w:space="0" w:color="000000"/>
              <w:bottom w:val="single" w:sz="4" w:space="0" w:color="000000"/>
            </w:tcBorders>
            <w:tcMar>
              <w:left w:w="28" w:type="dxa"/>
              <w:right w:w="28" w:type="dxa"/>
            </w:tcMar>
          </w:tcPr>
          <w:p w14:paraId="5ACF4681" w14:textId="77777777" w:rsidR="00FF7799" w:rsidRPr="00E73F6F" w:rsidRDefault="00FF7799" w:rsidP="00740F23">
            <w:pPr>
              <w:pStyle w:val="StandardText"/>
              <w:rPr>
                <w:lang w:val="de-DE"/>
              </w:rPr>
            </w:pPr>
            <w:r w:rsidRPr="00E73F6F">
              <w:rPr>
                <w:w w:val="99"/>
                <w:lang w:val="de-DE"/>
              </w:rPr>
              <w:t>05</w:t>
            </w:r>
          </w:p>
        </w:tc>
        <w:tc>
          <w:tcPr>
            <w:tcW w:w="262" w:type="pct"/>
            <w:tcBorders>
              <w:top w:val="single" w:sz="4" w:space="0" w:color="000000"/>
              <w:bottom w:val="single" w:sz="4" w:space="0" w:color="000000"/>
            </w:tcBorders>
            <w:tcMar>
              <w:left w:w="28" w:type="dxa"/>
              <w:right w:w="28" w:type="dxa"/>
            </w:tcMar>
          </w:tcPr>
          <w:p w14:paraId="5CD0AD1C" w14:textId="77777777" w:rsidR="00FF7799" w:rsidRPr="00E73F6F" w:rsidRDefault="00FF7799" w:rsidP="00740F23">
            <w:pPr>
              <w:pStyle w:val="StandardText"/>
              <w:rPr>
                <w:lang w:val="de-DE"/>
              </w:rPr>
            </w:pPr>
            <w:r w:rsidRPr="00E73F6F">
              <w:rPr>
                <w:w w:val="99"/>
                <w:lang w:val="de-DE"/>
              </w:rPr>
              <w:t>2</w:t>
            </w:r>
          </w:p>
        </w:tc>
        <w:tc>
          <w:tcPr>
            <w:tcW w:w="262" w:type="pct"/>
            <w:tcBorders>
              <w:top w:val="single" w:sz="4" w:space="0" w:color="000000"/>
              <w:bottom w:val="single" w:sz="4" w:space="0" w:color="000000"/>
            </w:tcBorders>
            <w:tcMar>
              <w:left w:w="28" w:type="dxa"/>
              <w:right w:w="28" w:type="dxa"/>
            </w:tcMar>
          </w:tcPr>
          <w:p w14:paraId="4C8DFABD" w14:textId="77777777" w:rsidR="00FF7799" w:rsidRPr="00E73F6F" w:rsidRDefault="00FF7799" w:rsidP="00740F23">
            <w:pPr>
              <w:pStyle w:val="StandardText"/>
              <w:rPr>
                <w:lang w:val="de-DE"/>
              </w:rPr>
            </w:pPr>
            <w:r w:rsidRPr="00E73F6F">
              <w:rPr>
                <w:w w:val="99"/>
                <w:lang w:val="de-DE"/>
              </w:rPr>
              <w:t>17</w:t>
            </w:r>
          </w:p>
        </w:tc>
        <w:tc>
          <w:tcPr>
            <w:tcW w:w="262" w:type="pct"/>
            <w:tcBorders>
              <w:top w:val="single" w:sz="4" w:space="0" w:color="000000"/>
              <w:bottom w:val="single" w:sz="4" w:space="0" w:color="000000"/>
            </w:tcBorders>
            <w:tcMar>
              <w:left w:w="28" w:type="dxa"/>
              <w:right w:w="28" w:type="dxa"/>
            </w:tcMar>
          </w:tcPr>
          <w:p w14:paraId="7DD91041" w14:textId="77777777" w:rsidR="00FF7799" w:rsidRPr="00E73F6F" w:rsidRDefault="00FF7799" w:rsidP="00740F23">
            <w:pPr>
              <w:pStyle w:val="StandardText"/>
              <w:rPr>
                <w:lang w:val="de-DE"/>
              </w:rPr>
            </w:pPr>
            <w:r w:rsidRPr="00E73F6F">
              <w:rPr>
                <w:w w:val="99"/>
                <w:lang w:val="de-DE"/>
              </w:rPr>
              <w:t>08</w:t>
            </w:r>
          </w:p>
        </w:tc>
        <w:tc>
          <w:tcPr>
            <w:tcW w:w="262" w:type="pct"/>
            <w:tcBorders>
              <w:top w:val="single" w:sz="4" w:space="0" w:color="000000"/>
              <w:bottom w:val="single" w:sz="4" w:space="0" w:color="000000"/>
            </w:tcBorders>
            <w:tcMar>
              <w:left w:w="28" w:type="dxa"/>
              <w:right w:w="28" w:type="dxa"/>
            </w:tcMar>
          </w:tcPr>
          <w:p w14:paraId="0B518786" w14:textId="77777777" w:rsidR="00FF7799" w:rsidRPr="00E73F6F" w:rsidRDefault="00FF7799" w:rsidP="00740F23">
            <w:pPr>
              <w:pStyle w:val="StandardText"/>
              <w:rPr>
                <w:lang w:val="de-DE"/>
              </w:rPr>
            </w:pPr>
            <w:r w:rsidRPr="00E73F6F">
              <w:rPr>
                <w:w w:val="99"/>
                <w:lang w:val="de-DE"/>
              </w:rPr>
              <w:t>23</w:t>
            </w:r>
          </w:p>
        </w:tc>
        <w:tc>
          <w:tcPr>
            <w:tcW w:w="262" w:type="pct"/>
            <w:tcBorders>
              <w:top w:val="single" w:sz="4" w:space="0" w:color="000000"/>
              <w:bottom w:val="single" w:sz="4" w:space="0" w:color="000000"/>
            </w:tcBorders>
            <w:tcMar>
              <w:left w:w="28" w:type="dxa"/>
              <w:right w:w="28" w:type="dxa"/>
            </w:tcMar>
          </w:tcPr>
          <w:p w14:paraId="51C8E789" w14:textId="77777777" w:rsidR="00FF7799" w:rsidRPr="00E73F6F" w:rsidRDefault="00FF7799" w:rsidP="00740F23">
            <w:pPr>
              <w:pStyle w:val="StandardText"/>
              <w:rPr>
                <w:lang w:val="de-DE"/>
              </w:rPr>
            </w:pPr>
            <w:r w:rsidRPr="00E73F6F">
              <w:rPr>
                <w:w w:val="99"/>
                <w:lang w:val="de-DE"/>
              </w:rPr>
              <w:t>1</w:t>
            </w:r>
          </w:p>
        </w:tc>
        <w:tc>
          <w:tcPr>
            <w:tcW w:w="262" w:type="pct"/>
            <w:tcBorders>
              <w:top w:val="single" w:sz="4" w:space="0" w:color="000000"/>
              <w:bottom w:val="single" w:sz="4" w:space="0" w:color="000000"/>
            </w:tcBorders>
            <w:tcMar>
              <w:left w:w="28" w:type="dxa"/>
              <w:right w:w="28" w:type="dxa"/>
            </w:tcMar>
          </w:tcPr>
          <w:p w14:paraId="23675407" w14:textId="77777777" w:rsidR="00FF7799" w:rsidRPr="00E73F6F" w:rsidRDefault="00FF7799" w:rsidP="00740F23">
            <w:pPr>
              <w:pStyle w:val="StandardText"/>
              <w:rPr>
                <w:lang w:val="de-DE"/>
              </w:rPr>
            </w:pPr>
            <w:r w:rsidRPr="00E73F6F">
              <w:rPr>
                <w:w w:val="99"/>
                <w:lang w:val="de-DE"/>
              </w:rPr>
              <w:t>4</w:t>
            </w:r>
          </w:p>
        </w:tc>
        <w:tc>
          <w:tcPr>
            <w:tcW w:w="262" w:type="pct"/>
            <w:tcBorders>
              <w:top w:val="single" w:sz="4" w:space="0" w:color="000000"/>
              <w:bottom w:val="single" w:sz="4" w:space="0" w:color="000000"/>
            </w:tcBorders>
            <w:tcMar>
              <w:left w:w="28" w:type="dxa"/>
              <w:right w:w="28" w:type="dxa"/>
            </w:tcMar>
          </w:tcPr>
          <w:p w14:paraId="4E0F618A" w14:textId="77777777" w:rsidR="00FF7799" w:rsidRPr="00E73F6F" w:rsidRDefault="00FF7799" w:rsidP="00740F23">
            <w:pPr>
              <w:pStyle w:val="StandardText"/>
              <w:rPr>
                <w:lang w:val="de-DE"/>
              </w:rPr>
            </w:pPr>
            <w:r w:rsidRPr="00E73F6F">
              <w:rPr>
                <w:w w:val="99"/>
                <w:lang w:val="de-DE"/>
              </w:rPr>
              <w:t>05</w:t>
            </w:r>
          </w:p>
        </w:tc>
        <w:tc>
          <w:tcPr>
            <w:tcW w:w="262" w:type="pct"/>
            <w:tcBorders>
              <w:top w:val="single" w:sz="4" w:space="0" w:color="000000"/>
              <w:bottom w:val="single" w:sz="4" w:space="0" w:color="000000"/>
            </w:tcBorders>
            <w:tcMar>
              <w:left w:w="28" w:type="dxa"/>
              <w:right w:w="28" w:type="dxa"/>
            </w:tcMar>
          </w:tcPr>
          <w:p w14:paraId="3F1DD289" w14:textId="77777777" w:rsidR="00FF7799" w:rsidRPr="00E73F6F" w:rsidRDefault="00FF7799" w:rsidP="00740F23">
            <w:pPr>
              <w:pStyle w:val="StandardText"/>
              <w:rPr>
                <w:lang w:val="de-DE"/>
              </w:rPr>
            </w:pPr>
            <w:r w:rsidRPr="00E73F6F">
              <w:rPr>
                <w:w w:val="99"/>
                <w:lang w:val="de-DE"/>
              </w:rPr>
              <w:t>2</w:t>
            </w:r>
          </w:p>
        </w:tc>
        <w:tc>
          <w:tcPr>
            <w:tcW w:w="262" w:type="pct"/>
            <w:tcBorders>
              <w:top w:val="single" w:sz="4" w:space="0" w:color="000000"/>
              <w:bottom w:val="single" w:sz="4" w:space="0" w:color="000000"/>
            </w:tcBorders>
            <w:tcMar>
              <w:left w:w="28" w:type="dxa"/>
              <w:right w:w="28" w:type="dxa"/>
            </w:tcMar>
          </w:tcPr>
          <w:p w14:paraId="76229EB8" w14:textId="77777777" w:rsidR="00FF7799" w:rsidRPr="00E73F6F" w:rsidRDefault="00FF7799" w:rsidP="00740F23">
            <w:pPr>
              <w:pStyle w:val="StandardText"/>
              <w:rPr>
                <w:lang w:val="de-DE"/>
              </w:rPr>
            </w:pPr>
            <w:r w:rsidRPr="00E73F6F">
              <w:rPr>
                <w:w w:val="99"/>
                <w:lang w:val="de-DE"/>
              </w:rPr>
              <w:t>3</w:t>
            </w:r>
          </w:p>
        </w:tc>
        <w:tc>
          <w:tcPr>
            <w:tcW w:w="262" w:type="pct"/>
            <w:tcBorders>
              <w:top w:val="single" w:sz="4" w:space="0" w:color="000000"/>
              <w:bottom w:val="single" w:sz="4" w:space="0" w:color="000000"/>
            </w:tcBorders>
            <w:tcMar>
              <w:left w:w="28" w:type="dxa"/>
              <w:right w:w="28" w:type="dxa"/>
            </w:tcMar>
          </w:tcPr>
          <w:p w14:paraId="292FE797" w14:textId="77777777" w:rsidR="00FF7799" w:rsidRPr="00E73F6F" w:rsidRDefault="00FF7799" w:rsidP="00740F23">
            <w:pPr>
              <w:pStyle w:val="StandardText"/>
              <w:rPr>
                <w:lang w:val="de-DE"/>
              </w:rPr>
            </w:pPr>
            <w:r w:rsidRPr="00E73F6F">
              <w:rPr>
                <w:w w:val="99"/>
                <w:lang w:val="de-DE"/>
              </w:rPr>
              <w:t>15</w:t>
            </w:r>
          </w:p>
        </w:tc>
        <w:tc>
          <w:tcPr>
            <w:tcW w:w="465" w:type="pct"/>
            <w:tcBorders>
              <w:top w:val="single" w:sz="4" w:space="0" w:color="000000"/>
              <w:bottom w:val="single" w:sz="4" w:space="0" w:color="000000"/>
            </w:tcBorders>
            <w:tcMar>
              <w:left w:w="28" w:type="dxa"/>
              <w:right w:w="28" w:type="dxa"/>
            </w:tcMar>
          </w:tcPr>
          <w:p w14:paraId="2DD45151" w14:textId="77777777" w:rsidR="00FF7799" w:rsidRPr="00E73F6F" w:rsidRDefault="00FF7799" w:rsidP="00740F23">
            <w:pPr>
              <w:pStyle w:val="StandardText"/>
              <w:rPr>
                <w:lang w:val="de-DE"/>
              </w:rPr>
            </w:pPr>
            <w:r w:rsidRPr="00E73F6F">
              <w:rPr>
                <w:w w:val="99"/>
                <w:lang w:val="de-DE"/>
              </w:rPr>
              <w:t>1</w:t>
            </w:r>
            <w:r w:rsidRPr="00E73F6F">
              <w:rPr>
                <w:spacing w:val="-5"/>
                <w:lang w:val="de-DE"/>
              </w:rPr>
              <w:t>02</w:t>
            </w:r>
          </w:p>
        </w:tc>
        <w:tc>
          <w:tcPr>
            <w:tcW w:w="539" w:type="pct"/>
            <w:tcBorders>
              <w:top w:val="single" w:sz="4" w:space="0" w:color="000000"/>
              <w:bottom w:val="single" w:sz="4" w:space="0" w:color="000000"/>
            </w:tcBorders>
            <w:tcMar>
              <w:left w:w="28" w:type="dxa"/>
              <w:right w:w="28" w:type="dxa"/>
            </w:tcMar>
          </w:tcPr>
          <w:p w14:paraId="45405283" w14:textId="77777777" w:rsidR="00FF7799" w:rsidRPr="00E73F6F" w:rsidRDefault="00FF7799" w:rsidP="00740F23">
            <w:pPr>
              <w:pStyle w:val="StandardText"/>
              <w:rPr>
                <w:lang w:val="de-DE"/>
              </w:rPr>
            </w:pPr>
            <w:r w:rsidRPr="00E73F6F">
              <w:rPr>
                <w:spacing w:val="-5"/>
                <w:lang w:val="de-DE"/>
              </w:rPr>
              <w:t>97</w:t>
            </w:r>
          </w:p>
        </w:tc>
      </w:tr>
      <w:tr w:rsidR="00FF7799" w:rsidRPr="00E73F6F" w14:paraId="260EAAA3" w14:textId="77777777" w:rsidTr="00580F1D">
        <w:trPr>
          <w:trHeight w:val="650"/>
        </w:trPr>
        <w:tc>
          <w:tcPr>
            <w:tcW w:w="854" w:type="pct"/>
            <w:tcBorders>
              <w:top w:val="single" w:sz="4" w:space="0" w:color="000000"/>
              <w:bottom w:val="single" w:sz="4" w:space="0" w:color="000000"/>
            </w:tcBorders>
            <w:shd w:val="clear" w:color="auto" w:fill="FFF2CC" w:themeFill="accent4" w:themeFillTint="33"/>
            <w:tcMar>
              <w:left w:w="28" w:type="dxa"/>
              <w:right w:w="28" w:type="dxa"/>
            </w:tcMar>
          </w:tcPr>
          <w:p w14:paraId="536710EC" w14:textId="77777777" w:rsidR="00FF7799" w:rsidRPr="00E73F6F" w:rsidRDefault="00FF7799" w:rsidP="00740F23">
            <w:pPr>
              <w:pStyle w:val="StandardText"/>
              <w:jc w:val="left"/>
              <w:rPr>
                <w:lang w:val="de-DE"/>
              </w:rPr>
            </w:pPr>
            <w:r w:rsidRPr="00E73F6F">
              <w:rPr>
                <w:lang w:val="de-DE"/>
              </w:rPr>
              <w:t>Niederlande</w:t>
            </w:r>
          </w:p>
        </w:tc>
        <w:tc>
          <w:tcPr>
            <w:tcW w:w="262" w:type="pct"/>
            <w:tcBorders>
              <w:top w:val="single" w:sz="4" w:space="0" w:color="000000"/>
              <w:bottom w:val="single" w:sz="4" w:space="0" w:color="000000"/>
            </w:tcBorders>
            <w:tcMar>
              <w:left w:w="28" w:type="dxa"/>
              <w:right w:w="28" w:type="dxa"/>
            </w:tcMar>
          </w:tcPr>
          <w:p w14:paraId="34011EA7" w14:textId="77777777" w:rsidR="00FF7799" w:rsidRPr="00E73F6F" w:rsidRDefault="00FF7799" w:rsidP="00740F23">
            <w:pPr>
              <w:pStyle w:val="StandardText"/>
              <w:rPr>
                <w:lang w:val="de-DE"/>
              </w:rPr>
            </w:pPr>
            <w:r w:rsidRPr="00E73F6F">
              <w:rPr>
                <w:w w:val="99"/>
                <w:lang w:val="de-DE"/>
              </w:rPr>
              <w:t>4</w:t>
            </w:r>
          </w:p>
        </w:tc>
        <w:tc>
          <w:tcPr>
            <w:tcW w:w="262" w:type="pct"/>
            <w:tcBorders>
              <w:top w:val="single" w:sz="4" w:space="0" w:color="000000"/>
              <w:bottom w:val="single" w:sz="4" w:space="0" w:color="000000"/>
            </w:tcBorders>
            <w:tcMar>
              <w:left w:w="28" w:type="dxa"/>
              <w:right w:w="28" w:type="dxa"/>
            </w:tcMar>
          </w:tcPr>
          <w:p w14:paraId="2A01BC3E" w14:textId="77777777" w:rsidR="00FF7799" w:rsidRPr="00E73F6F" w:rsidRDefault="00FF7799" w:rsidP="00740F23">
            <w:pPr>
              <w:pStyle w:val="StandardText"/>
              <w:rPr>
                <w:lang w:val="de-DE"/>
              </w:rPr>
            </w:pPr>
            <w:r w:rsidRPr="00E73F6F">
              <w:rPr>
                <w:w w:val="99"/>
                <w:lang w:val="de-DE"/>
              </w:rPr>
              <w:t>06</w:t>
            </w:r>
          </w:p>
        </w:tc>
        <w:tc>
          <w:tcPr>
            <w:tcW w:w="262" w:type="pct"/>
            <w:tcBorders>
              <w:top w:val="single" w:sz="4" w:space="0" w:color="000000"/>
              <w:bottom w:val="single" w:sz="4" w:space="0" w:color="000000"/>
            </w:tcBorders>
            <w:tcMar>
              <w:left w:w="28" w:type="dxa"/>
              <w:right w:w="28" w:type="dxa"/>
            </w:tcMar>
          </w:tcPr>
          <w:p w14:paraId="1F9F6C9E" w14:textId="77777777" w:rsidR="00FF7799" w:rsidRPr="00E73F6F" w:rsidRDefault="00FF7799" w:rsidP="00740F23">
            <w:pPr>
              <w:pStyle w:val="StandardText"/>
              <w:rPr>
                <w:lang w:val="de-DE"/>
              </w:rPr>
            </w:pPr>
            <w:r w:rsidRPr="00E73F6F">
              <w:rPr>
                <w:w w:val="99"/>
                <w:lang w:val="de-DE"/>
              </w:rPr>
              <w:t>1</w:t>
            </w:r>
          </w:p>
        </w:tc>
        <w:tc>
          <w:tcPr>
            <w:tcW w:w="262" w:type="pct"/>
            <w:tcBorders>
              <w:top w:val="single" w:sz="4" w:space="0" w:color="000000"/>
              <w:bottom w:val="single" w:sz="4" w:space="0" w:color="000000"/>
            </w:tcBorders>
            <w:tcMar>
              <w:left w:w="28" w:type="dxa"/>
              <w:right w:w="28" w:type="dxa"/>
            </w:tcMar>
          </w:tcPr>
          <w:p w14:paraId="4216B7EC" w14:textId="77777777" w:rsidR="00FF7799" w:rsidRPr="00E73F6F" w:rsidRDefault="00FF7799" w:rsidP="00740F23">
            <w:pPr>
              <w:pStyle w:val="StandardText"/>
              <w:rPr>
                <w:lang w:val="de-DE"/>
              </w:rPr>
            </w:pPr>
            <w:r w:rsidRPr="00E73F6F">
              <w:rPr>
                <w:w w:val="99"/>
                <w:lang w:val="de-DE"/>
              </w:rPr>
              <w:t>71</w:t>
            </w:r>
          </w:p>
        </w:tc>
        <w:tc>
          <w:tcPr>
            <w:tcW w:w="262" w:type="pct"/>
            <w:tcBorders>
              <w:top w:val="single" w:sz="4" w:space="0" w:color="000000"/>
              <w:bottom w:val="single" w:sz="4" w:space="0" w:color="000000"/>
            </w:tcBorders>
            <w:tcMar>
              <w:left w:w="28" w:type="dxa"/>
              <w:right w:w="28" w:type="dxa"/>
            </w:tcMar>
          </w:tcPr>
          <w:p w14:paraId="7C9AC05B" w14:textId="77777777" w:rsidR="00FF7799" w:rsidRPr="00E73F6F" w:rsidRDefault="00FF7799" w:rsidP="00740F23">
            <w:pPr>
              <w:pStyle w:val="StandardText"/>
              <w:rPr>
                <w:lang w:val="de-DE"/>
              </w:rPr>
            </w:pPr>
            <w:r w:rsidRPr="00E73F6F">
              <w:rPr>
                <w:w w:val="99"/>
                <w:lang w:val="de-DE"/>
              </w:rPr>
              <w:t>02</w:t>
            </w:r>
          </w:p>
        </w:tc>
        <w:tc>
          <w:tcPr>
            <w:tcW w:w="262" w:type="pct"/>
            <w:tcBorders>
              <w:top w:val="single" w:sz="4" w:space="0" w:color="000000"/>
              <w:bottom w:val="single" w:sz="4" w:space="0" w:color="000000"/>
            </w:tcBorders>
            <w:tcMar>
              <w:left w:w="28" w:type="dxa"/>
              <w:right w:w="28" w:type="dxa"/>
            </w:tcMar>
          </w:tcPr>
          <w:p w14:paraId="57D26B47" w14:textId="77777777" w:rsidR="00FF7799" w:rsidRPr="00E73F6F" w:rsidRDefault="00FF7799" w:rsidP="00740F23">
            <w:pPr>
              <w:pStyle w:val="StandardText"/>
              <w:rPr>
                <w:lang w:val="de-DE"/>
              </w:rPr>
            </w:pPr>
            <w:r w:rsidRPr="00E73F6F">
              <w:rPr>
                <w:w w:val="99"/>
                <w:lang w:val="de-DE"/>
              </w:rPr>
              <w:t>15</w:t>
            </w:r>
          </w:p>
        </w:tc>
        <w:tc>
          <w:tcPr>
            <w:tcW w:w="262" w:type="pct"/>
            <w:tcBorders>
              <w:top w:val="single" w:sz="4" w:space="0" w:color="000000"/>
              <w:bottom w:val="single" w:sz="4" w:space="0" w:color="000000"/>
            </w:tcBorders>
            <w:tcMar>
              <w:left w:w="28" w:type="dxa"/>
              <w:right w:w="28" w:type="dxa"/>
            </w:tcMar>
          </w:tcPr>
          <w:p w14:paraId="3E6A6553" w14:textId="77777777" w:rsidR="00FF7799" w:rsidRPr="00E73F6F" w:rsidRDefault="00FF7799" w:rsidP="00740F23">
            <w:pPr>
              <w:pStyle w:val="StandardText"/>
              <w:rPr>
                <w:lang w:val="de-DE"/>
              </w:rPr>
            </w:pPr>
            <w:r w:rsidRPr="00E73F6F">
              <w:rPr>
                <w:w w:val="99"/>
                <w:lang w:val="de-DE"/>
              </w:rPr>
              <w:t>16</w:t>
            </w:r>
          </w:p>
        </w:tc>
        <w:tc>
          <w:tcPr>
            <w:tcW w:w="262" w:type="pct"/>
            <w:tcBorders>
              <w:top w:val="single" w:sz="4" w:space="0" w:color="000000"/>
              <w:bottom w:val="single" w:sz="4" w:space="0" w:color="000000"/>
            </w:tcBorders>
            <w:tcMar>
              <w:left w:w="28" w:type="dxa"/>
              <w:right w:w="28" w:type="dxa"/>
            </w:tcMar>
          </w:tcPr>
          <w:p w14:paraId="12BDF586" w14:textId="77777777" w:rsidR="00FF7799" w:rsidRPr="00E73F6F" w:rsidRDefault="00FF7799" w:rsidP="00740F23">
            <w:pPr>
              <w:pStyle w:val="StandardText"/>
              <w:rPr>
                <w:lang w:val="de-DE"/>
              </w:rPr>
            </w:pPr>
            <w:r w:rsidRPr="00E73F6F">
              <w:rPr>
                <w:w w:val="99"/>
                <w:lang w:val="de-DE"/>
              </w:rPr>
              <w:t>4</w:t>
            </w:r>
          </w:p>
        </w:tc>
        <w:tc>
          <w:tcPr>
            <w:tcW w:w="262" w:type="pct"/>
            <w:tcBorders>
              <w:top w:val="single" w:sz="4" w:space="0" w:color="000000"/>
              <w:bottom w:val="single" w:sz="4" w:space="0" w:color="000000"/>
            </w:tcBorders>
            <w:tcMar>
              <w:left w:w="28" w:type="dxa"/>
              <w:right w:w="28" w:type="dxa"/>
            </w:tcMar>
          </w:tcPr>
          <w:p w14:paraId="1C80DD63" w14:textId="77777777" w:rsidR="00FF7799" w:rsidRPr="00E73F6F" w:rsidRDefault="00FF7799" w:rsidP="00740F23">
            <w:pPr>
              <w:pStyle w:val="StandardText"/>
              <w:rPr>
                <w:lang w:val="de-DE"/>
              </w:rPr>
            </w:pPr>
            <w:r w:rsidRPr="00E73F6F">
              <w:rPr>
                <w:w w:val="99"/>
                <w:lang w:val="de-DE"/>
              </w:rPr>
              <w:t>6</w:t>
            </w:r>
          </w:p>
        </w:tc>
        <w:tc>
          <w:tcPr>
            <w:tcW w:w="262" w:type="pct"/>
            <w:tcBorders>
              <w:top w:val="single" w:sz="4" w:space="0" w:color="000000"/>
              <w:bottom w:val="single" w:sz="4" w:space="0" w:color="000000"/>
            </w:tcBorders>
            <w:tcMar>
              <w:left w:w="28" w:type="dxa"/>
              <w:right w:w="28" w:type="dxa"/>
            </w:tcMar>
          </w:tcPr>
          <w:p w14:paraId="16B9F24A" w14:textId="77777777" w:rsidR="00FF7799" w:rsidRPr="00E73F6F" w:rsidRDefault="00FF7799" w:rsidP="00740F23">
            <w:pPr>
              <w:pStyle w:val="StandardText"/>
              <w:rPr>
                <w:lang w:val="de-DE"/>
              </w:rPr>
            </w:pPr>
            <w:r w:rsidRPr="00E73F6F">
              <w:rPr>
                <w:w w:val="99"/>
                <w:lang w:val="de-DE"/>
              </w:rPr>
              <w:t>10</w:t>
            </w:r>
          </w:p>
        </w:tc>
        <w:tc>
          <w:tcPr>
            <w:tcW w:w="262" w:type="pct"/>
            <w:tcBorders>
              <w:top w:val="single" w:sz="4" w:space="0" w:color="000000"/>
              <w:bottom w:val="single" w:sz="4" w:space="0" w:color="000000"/>
            </w:tcBorders>
            <w:tcMar>
              <w:left w:w="28" w:type="dxa"/>
              <w:right w:w="28" w:type="dxa"/>
            </w:tcMar>
          </w:tcPr>
          <w:p w14:paraId="7690B3C2" w14:textId="77777777" w:rsidR="00FF7799" w:rsidRPr="00E73F6F" w:rsidRDefault="00FF7799" w:rsidP="00740F23">
            <w:pPr>
              <w:pStyle w:val="StandardText"/>
              <w:rPr>
                <w:lang w:val="de-DE"/>
              </w:rPr>
            </w:pPr>
            <w:r w:rsidRPr="00E73F6F">
              <w:rPr>
                <w:w w:val="99"/>
                <w:lang w:val="de-DE"/>
              </w:rPr>
              <w:t>09</w:t>
            </w:r>
          </w:p>
        </w:tc>
        <w:tc>
          <w:tcPr>
            <w:tcW w:w="262" w:type="pct"/>
            <w:tcBorders>
              <w:top w:val="single" w:sz="4" w:space="0" w:color="000000"/>
              <w:bottom w:val="single" w:sz="4" w:space="0" w:color="000000"/>
            </w:tcBorders>
            <w:tcMar>
              <w:left w:w="28" w:type="dxa"/>
              <w:right w:w="28" w:type="dxa"/>
            </w:tcMar>
          </w:tcPr>
          <w:p w14:paraId="284D0021" w14:textId="77777777" w:rsidR="00FF7799" w:rsidRPr="00E73F6F" w:rsidRDefault="00FF7799" w:rsidP="00740F23">
            <w:pPr>
              <w:pStyle w:val="StandardText"/>
              <w:rPr>
                <w:lang w:val="de-DE"/>
              </w:rPr>
            </w:pPr>
            <w:r w:rsidRPr="00E73F6F">
              <w:rPr>
                <w:w w:val="99"/>
                <w:lang w:val="de-DE"/>
              </w:rPr>
              <w:t>19</w:t>
            </w:r>
          </w:p>
        </w:tc>
        <w:tc>
          <w:tcPr>
            <w:tcW w:w="465" w:type="pct"/>
            <w:tcBorders>
              <w:top w:val="single" w:sz="4" w:space="0" w:color="000000"/>
              <w:bottom w:val="single" w:sz="4" w:space="0" w:color="000000"/>
            </w:tcBorders>
            <w:tcMar>
              <w:left w:w="28" w:type="dxa"/>
              <w:right w:w="28" w:type="dxa"/>
            </w:tcMar>
          </w:tcPr>
          <w:p w14:paraId="2D0AC622" w14:textId="77777777" w:rsidR="00FF7799" w:rsidRPr="00E73F6F" w:rsidRDefault="00FF7799" w:rsidP="00740F23">
            <w:pPr>
              <w:pStyle w:val="StandardText"/>
              <w:rPr>
                <w:lang w:val="de-DE"/>
              </w:rPr>
            </w:pPr>
            <w:r w:rsidRPr="00E73F6F">
              <w:rPr>
                <w:w w:val="99"/>
                <w:lang w:val="de-DE"/>
              </w:rPr>
              <w:t>1</w:t>
            </w:r>
            <w:r w:rsidRPr="00E73F6F">
              <w:rPr>
                <w:spacing w:val="-5"/>
                <w:lang w:val="de-DE"/>
              </w:rPr>
              <w:t>14</w:t>
            </w:r>
          </w:p>
        </w:tc>
        <w:tc>
          <w:tcPr>
            <w:tcW w:w="539" w:type="pct"/>
            <w:tcBorders>
              <w:top w:val="single" w:sz="4" w:space="0" w:color="000000"/>
              <w:bottom w:val="single" w:sz="4" w:space="0" w:color="000000"/>
            </w:tcBorders>
            <w:tcMar>
              <w:left w:w="28" w:type="dxa"/>
              <w:right w:w="28" w:type="dxa"/>
            </w:tcMar>
          </w:tcPr>
          <w:p w14:paraId="115FDF85" w14:textId="77777777" w:rsidR="00FF7799" w:rsidRPr="00E73F6F" w:rsidRDefault="00FF7799" w:rsidP="00740F23">
            <w:pPr>
              <w:pStyle w:val="StandardText"/>
              <w:rPr>
                <w:lang w:val="de-DE"/>
              </w:rPr>
            </w:pPr>
            <w:r w:rsidRPr="00E73F6F">
              <w:rPr>
                <w:spacing w:val="-5"/>
                <w:lang w:val="de-DE"/>
              </w:rPr>
              <w:t>100</w:t>
            </w:r>
          </w:p>
        </w:tc>
      </w:tr>
      <w:tr w:rsidR="00FF7799" w:rsidRPr="00E73F6F" w14:paraId="42DC5657" w14:textId="77777777" w:rsidTr="00580F1D">
        <w:trPr>
          <w:trHeight w:val="650"/>
        </w:trPr>
        <w:tc>
          <w:tcPr>
            <w:tcW w:w="854" w:type="pct"/>
            <w:tcBorders>
              <w:top w:val="single" w:sz="4" w:space="0" w:color="000000"/>
              <w:bottom w:val="single" w:sz="4" w:space="0" w:color="000000"/>
            </w:tcBorders>
            <w:shd w:val="clear" w:color="auto" w:fill="FFF2CC" w:themeFill="accent4" w:themeFillTint="33"/>
            <w:tcMar>
              <w:left w:w="28" w:type="dxa"/>
              <w:right w:w="28" w:type="dxa"/>
            </w:tcMar>
          </w:tcPr>
          <w:p w14:paraId="1BB50755" w14:textId="77777777" w:rsidR="00FF7799" w:rsidRPr="00E73F6F" w:rsidRDefault="00FF7799" w:rsidP="00740F23">
            <w:pPr>
              <w:pStyle w:val="StandardText"/>
              <w:jc w:val="left"/>
              <w:rPr>
                <w:lang w:val="de-DE"/>
              </w:rPr>
            </w:pPr>
            <w:r w:rsidRPr="00E73F6F">
              <w:rPr>
                <w:lang w:val="de-DE"/>
              </w:rPr>
              <w:t>Österreich</w:t>
            </w:r>
          </w:p>
        </w:tc>
        <w:tc>
          <w:tcPr>
            <w:tcW w:w="262" w:type="pct"/>
            <w:tcBorders>
              <w:top w:val="single" w:sz="4" w:space="0" w:color="000000"/>
              <w:bottom w:val="single" w:sz="4" w:space="0" w:color="000000"/>
            </w:tcBorders>
            <w:tcMar>
              <w:left w:w="28" w:type="dxa"/>
              <w:right w:w="28" w:type="dxa"/>
            </w:tcMar>
          </w:tcPr>
          <w:p w14:paraId="0AE712BC" w14:textId="77777777" w:rsidR="00FF7799" w:rsidRPr="00E73F6F" w:rsidRDefault="00FF7799" w:rsidP="00740F23">
            <w:pPr>
              <w:pStyle w:val="StandardText"/>
              <w:rPr>
                <w:lang w:val="de-DE"/>
              </w:rPr>
            </w:pPr>
            <w:r w:rsidRPr="00E73F6F">
              <w:rPr>
                <w:w w:val="99"/>
                <w:lang w:val="de-DE"/>
              </w:rPr>
              <w:t>05</w:t>
            </w:r>
          </w:p>
        </w:tc>
        <w:tc>
          <w:tcPr>
            <w:tcW w:w="262" w:type="pct"/>
            <w:tcBorders>
              <w:top w:val="single" w:sz="4" w:space="0" w:color="000000"/>
              <w:bottom w:val="single" w:sz="4" w:space="0" w:color="000000"/>
            </w:tcBorders>
            <w:tcMar>
              <w:left w:w="28" w:type="dxa"/>
              <w:right w:w="28" w:type="dxa"/>
            </w:tcMar>
          </w:tcPr>
          <w:p w14:paraId="5DC67B61" w14:textId="77777777" w:rsidR="00FF7799" w:rsidRPr="00E73F6F" w:rsidRDefault="00FF7799" w:rsidP="00740F23">
            <w:pPr>
              <w:pStyle w:val="StandardText"/>
              <w:rPr>
                <w:lang w:val="de-DE"/>
              </w:rPr>
            </w:pPr>
            <w:r w:rsidRPr="00E73F6F">
              <w:rPr>
                <w:w w:val="99"/>
                <w:lang w:val="de-DE"/>
              </w:rPr>
              <w:t>03</w:t>
            </w:r>
          </w:p>
        </w:tc>
        <w:tc>
          <w:tcPr>
            <w:tcW w:w="262" w:type="pct"/>
            <w:tcBorders>
              <w:top w:val="single" w:sz="4" w:space="0" w:color="000000"/>
              <w:bottom w:val="single" w:sz="4" w:space="0" w:color="000000"/>
            </w:tcBorders>
            <w:tcMar>
              <w:left w:w="28" w:type="dxa"/>
              <w:right w:w="28" w:type="dxa"/>
            </w:tcMar>
          </w:tcPr>
          <w:p w14:paraId="22782436" w14:textId="77777777" w:rsidR="00FF7799" w:rsidRPr="00E73F6F" w:rsidRDefault="00FF7799" w:rsidP="00740F23">
            <w:pPr>
              <w:pStyle w:val="StandardText"/>
              <w:rPr>
                <w:lang w:val="de-DE"/>
              </w:rPr>
            </w:pPr>
            <w:r w:rsidRPr="00E73F6F">
              <w:rPr>
                <w:w w:val="99"/>
                <w:lang w:val="de-DE"/>
              </w:rPr>
              <w:t>3</w:t>
            </w:r>
          </w:p>
        </w:tc>
        <w:tc>
          <w:tcPr>
            <w:tcW w:w="262" w:type="pct"/>
            <w:tcBorders>
              <w:top w:val="single" w:sz="4" w:space="0" w:color="000000"/>
              <w:bottom w:val="single" w:sz="4" w:space="0" w:color="000000"/>
            </w:tcBorders>
            <w:tcMar>
              <w:left w:w="28" w:type="dxa"/>
              <w:right w:w="28" w:type="dxa"/>
            </w:tcMar>
          </w:tcPr>
          <w:p w14:paraId="7611FBA3" w14:textId="77777777" w:rsidR="00FF7799" w:rsidRPr="00E73F6F" w:rsidRDefault="00FF7799" w:rsidP="00740F23">
            <w:pPr>
              <w:pStyle w:val="StandardText"/>
              <w:rPr>
                <w:lang w:val="de-DE"/>
              </w:rPr>
            </w:pPr>
            <w:r w:rsidRPr="00E73F6F">
              <w:rPr>
                <w:w w:val="99"/>
                <w:lang w:val="de-DE"/>
              </w:rPr>
              <w:t>30</w:t>
            </w:r>
          </w:p>
        </w:tc>
        <w:tc>
          <w:tcPr>
            <w:tcW w:w="262" w:type="pct"/>
            <w:tcBorders>
              <w:top w:val="single" w:sz="4" w:space="0" w:color="000000"/>
              <w:bottom w:val="single" w:sz="4" w:space="0" w:color="000000"/>
            </w:tcBorders>
            <w:tcMar>
              <w:left w:w="28" w:type="dxa"/>
              <w:right w:w="28" w:type="dxa"/>
            </w:tcMar>
          </w:tcPr>
          <w:p w14:paraId="2AEF9C1E" w14:textId="77777777" w:rsidR="00FF7799" w:rsidRPr="00E73F6F" w:rsidRDefault="00FF7799" w:rsidP="00740F23">
            <w:pPr>
              <w:pStyle w:val="StandardText"/>
              <w:rPr>
                <w:lang w:val="de-DE"/>
              </w:rPr>
            </w:pPr>
            <w:r w:rsidRPr="00E73F6F">
              <w:rPr>
                <w:w w:val="99"/>
                <w:lang w:val="de-DE"/>
              </w:rPr>
              <w:t>12</w:t>
            </w:r>
          </w:p>
        </w:tc>
        <w:tc>
          <w:tcPr>
            <w:tcW w:w="262" w:type="pct"/>
            <w:tcBorders>
              <w:top w:val="single" w:sz="4" w:space="0" w:color="000000"/>
              <w:bottom w:val="single" w:sz="4" w:space="0" w:color="000000"/>
            </w:tcBorders>
            <w:tcMar>
              <w:left w:w="28" w:type="dxa"/>
              <w:right w:w="28" w:type="dxa"/>
            </w:tcMar>
          </w:tcPr>
          <w:p w14:paraId="45450723" w14:textId="77777777" w:rsidR="00FF7799" w:rsidRPr="00E73F6F" w:rsidRDefault="00FF7799" w:rsidP="00740F23">
            <w:pPr>
              <w:pStyle w:val="StandardText"/>
              <w:rPr>
                <w:lang w:val="de-DE"/>
              </w:rPr>
            </w:pPr>
            <w:r w:rsidRPr="00E73F6F">
              <w:rPr>
                <w:w w:val="99"/>
                <w:lang w:val="de-DE"/>
              </w:rPr>
              <w:t>36</w:t>
            </w:r>
          </w:p>
        </w:tc>
        <w:tc>
          <w:tcPr>
            <w:tcW w:w="262" w:type="pct"/>
            <w:tcBorders>
              <w:top w:val="single" w:sz="4" w:space="0" w:color="000000"/>
              <w:bottom w:val="single" w:sz="4" w:space="0" w:color="000000"/>
            </w:tcBorders>
            <w:tcMar>
              <w:left w:w="28" w:type="dxa"/>
              <w:right w:w="28" w:type="dxa"/>
            </w:tcMar>
          </w:tcPr>
          <w:p w14:paraId="042F9433" w14:textId="77777777" w:rsidR="00FF7799" w:rsidRPr="00E73F6F" w:rsidRDefault="00FF7799" w:rsidP="00740F23">
            <w:pPr>
              <w:pStyle w:val="StandardText"/>
              <w:rPr>
                <w:lang w:val="de-DE"/>
              </w:rPr>
            </w:pPr>
            <w:r w:rsidRPr="00E73F6F">
              <w:rPr>
                <w:w w:val="99"/>
                <w:lang w:val="de-DE"/>
              </w:rPr>
              <w:t>07</w:t>
            </w:r>
          </w:p>
        </w:tc>
        <w:tc>
          <w:tcPr>
            <w:tcW w:w="262" w:type="pct"/>
            <w:tcBorders>
              <w:top w:val="single" w:sz="4" w:space="0" w:color="000000"/>
              <w:bottom w:val="single" w:sz="4" w:space="0" w:color="000000"/>
            </w:tcBorders>
            <w:tcMar>
              <w:left w:w="28" w:type="dxa"/>
              <w:right w:w="28" w:type="dxa"/>
            </w:tcMar>
          </w:tcPr>
          <w:p w14:paraId="30550AC5" w14:textId="77777777" w:rsidR="00FF7799" w:rsidRPr="00E73F6F" w:rsidRDefault="00FF7799" w:rsidP="00740F23">
            <w:pPr>
              <w:pStyle w:val="StandardText"/>
              <w:rPr>
                <w:lang w:val="de-DE"/>
              </w:rPr>
            </w:pPr>
            <w:r w:rsidRPr="00E73F6F">
              <w:rPr>
                <w:w w:val="99"/>
                <w:lang w:val="de-DE"/>
              </w:rPr>
              <w:t>3</w:t>
            </w:r>
          </w:p>
        </w:tc>
        <w:tc>
          <w:tcPr>
            <w:tcW w:w="262" w:type="pct"/>
            <w:tcBorders>
              <w:top w:val="single" w:sz="4" w:space="0" w:color="000000"/>
              <w:bottom w:val="single" w:sz="4" w:space="0" w:color="000000"/>
            </w:tcBorders>
            <w:tcMar>
              <w:left w:w="28" w:type="dxa"/>
              <w:right w:w="28" w:type="dxa"/>
            </w:tcMar>
          </w:tcPr>
          <w:p w14:paraId="498B01C8" w14:textId="77777777" w:rsidR="00FF7799" w:rsidRPr="00E73F6F" w:rsidRDefault="00FF7799" w:rsidP="00740F23">
            <w:pPr>
              <w:pStyle w:val="StandardText"/>
              <w:rPr>
                <w:lang w:val="de-DE"/>
              </w:rPr>
            </w:pPr>
            <w:r w:rsidRPr="00E73F6F">
              <w:rPr>
                <w:w w:val="99"/>
                <w:lang w:val="de-DE"/>
              </w:rPr>
              <w:t>06</w:t>
            </w:r>
          </w:p>
        </w:tc>
        <w:tc>
          <w:tcPr>
            <w:tcW w:w="262" w:type="pct"/>
            <w:tcBorders>
              <w:top w:val="single" w:sz="4" w:space="0" w:color="000000"/>
              <w:bottom w:val="single" w:sz="4" w:space="0" w:color="000000"/>
            </w:tcBorders>
            <w:tcMar>
              <w:left w:w="28" w:type="dxa"/>
              <w:right w:w="28" w:type="dxa"/>
            </w:tcMar>
          </w:tcPr>
          <w:p w14:paraId="74D023CE" w14:textId="77777777" w:rsidR="00FF7799" w:rsidRPr="00E73F6F" w:rsidRDefault="00FF7799" w:rsidP="00740F23">
            <w:pPr>
              <w:pStyle w:val="StandardText"/>
              <w:rPr>
                <w:lang w:val="de-DE"/>
              </w:rPr>
            </w:pPr>
            <w:r w:rsidRPr="00E73F6F">
              <w:rPr>
                <w:w w:val="99"/>
                <w:lang w:val="de-DE"/>
              </w:rPr>
              <w:t>20</w:t>
            </w:r>
          </w:p>
        </w:tc>
        <w:tc>
          <w:tcPr>
            <w:tcW w:w="262" w:type="pct"/>
            <w:tcBorders>
              <w:top w:val="single" w:sz="4" w:space="0" w:color="000000"/>
              <w:bottom w:val="single" w:sz="4" w:space="0" w:color="000000"/>
            </w:tcBorders>
            <w:tcMar>
              <w:left w:w="28" w:type="dxa"/>
              <w:right w:w="28" w:type="dxa"/>
            </w:tcMar>
          </w:tcPr>
          <w:p w14:paraId="6FFA80FB" w14:textId="77777777" w:rsidR="00FF7799" w:rsidRPr="00E73F6F" w:rsidRDefault="00FF7799" w:rsidP="00740F23">
            <w:pPr>
              <w:pStyle w:val="StandardText"/>
              <w:rPr>
                <w:lang w:val="de-DE"/>
              </w:rPr>
            </w:pPr>
            <w:r w:rsidRPr="00E73F6F">
              <w:rPr>
                <w:w w:val="99"/>
                <w:lang w:val="de-DE"/>
              </w:rPr>
              <w:t>7</w:t>
            </w:r>
          </w:p>
        </w:tc>
        <w:tc>
          <w:tcPr>
            <w:tcW w:w="262" w:type="pct"/>
            <w:tcBorders>
              <w:top w:val="single" w:sz="4" w:space="0" w:color="000000"/>
              <w:bottom w:val="single" w:sz="4" w:space="0" w:color="000000"/>
            </w:tcBorders>
            <w:tcMar>
              <w:left w:w="28" w:type="dxa"/>
              <w:right w:w="28" w:type="dxa"/>
            </w:tcMar>
          </w:tcPr>
          <w:p w14:paraId="783313CB" w14:textId="77777777" w:rsidR="00FF7799" w:rsidRPr="00E73F6F" w:rsidRDefault="00FF7799" w:rsidP="00740F23">
            <w:pPr>
              <w:pStyle w:val="StandardText"/>
              <w:rPr>
                <w:lang w:val="de-DE"/>
              </w:rPr>
            </w:pPr>
            <w:r w:rsidRPr="00E73F6F">
              <w:rPr>
                <w:w w:val="99"/>
                <w:lang w:val="de-DE"/>
              </w:rPr>
              <w:t>07</w:t>
            </w:r>
          </w:p>
        </w:tc>
        <w:tc>
          <w:tcPr>
            <w:tcW w:w="465" w:type="pct"/>
            <w:tcBorders>
              <w:top w:val="single" w:sz="4" w:space="0" w:color="000000"/>
              <w:bottom w:val="single" w:sz="4" w:space="0" w:color="000000"/>
            </w:tcBorders>
            <w:tcMar>
              <w:left w:w="28" w:type="dxa"/>
              <w:right w:w="28" w:type="dxa"/>
            </w:tcMar>
          </w:tcPr>
          <w:p w14:paraId="5A8B4144" w14:textId="77777777" w:rsidR="00FF7799" w:rsidRPr="00E73F6F" w:rsidRDefault="00FF7799" w:rsidP="00740F23">
            <w:pPr>
              <w:pStyle w:val="StandardText"/>
              <w:rPr>
                <w:lang w:val="de-DE"/>
              </w:rPr>
            </w:pPr>
            <w:r w:rsidRPr="00E73F6F">
              <w:rPr>
                <w:w w:val="99"/>
                <w:lang w:val="de-DE"/>
              </w:rPr>
              <w:t>1</w:t>
            </w:r>
            <w:r w:rsidRPr="00E73F6F">
              <w:rPr>
                <w:spacing w:val="-5"/>
                <w:lang w:val="de-DE"/>
              </w:rPr>
              <w:t>11</w:t>
            </w:r>
          </w:p>
        </w:tc>
        <w:tc>
          <w:tcPr>
            <w:tcW w:w="539" w:type="pct"/>
            <w:tcBorders>
              <w:top w:val="single" w:sz="4" w:space="0" w:color="000000"/>
              <w:bottom w:val="single" w:sz="4" w:space="0" w:color="000000"/>
            </w:tcBorders>
            <w:tcMar>
              <w:left w:w="28" w:type="dxa"/>
              <w:right w:w="28" w:type="dxa"/>
            </w:tcMar>
          </w:tcPr>
          <w:p w14:paraId="2B53A48C" w14:textId="77777777" w:rsidR="00FF7799" w:rsidRPr="00E73F6F" w:rsidRDefault="00FF7799" w:rsidP="00740F23">
            <w:pPr>
              <w:pStyle w:val="StandardText"/>
              <w:rPr>
                <w:lang w:val="de-DE"/>
              </w:rPr>
            </w:pPr>
            <w:r w:rsidRPr="00E73F6F">
              <w:rPr>
                <w:spacing w:val="-5"/>
                <w:lang w:val="de-DE"/>
              </w:rPr>
              <w:t>104</w:t>
            </w:r>
          </w:p>
        </w:tc>
      </w:tr>
      <w:tr w:rsidR="00FF7799" w:rsidRPr="00E73F6F" w14:paraId="7611ECD2" w14:textId="77777777" w:rsidTr="00580F1D">
        <w:trPr>
          <w:trHeight w:val="653"/>
        </w:trPr>
        <w:tc>
          <w:tcPr>
            <w:tcW w:w="854" w:type="pct"/>
            <w:tcBorders>
              <w:top w:val="single" w:sz="4" w:space="0" w:color="000000"/>
              <w:bottom w:val="single" w:sz="4" w:space="0" w:color="000000"/>
            </w:tcBorders>
            <w:shd w:val="clear" w:color="auto" w:fill="FFF2CC" w:themeFill="accent4" w:themeFillTint="33"/>
            <w:tcMar>
              <w:left w:w="28" w:type="dxa"/>
              <w:right w:w="28" w:type="dxa"/>
            </w:tcMar>
          </w:tcPr>
          <w:p w14:paraId="19E92C63" w14:textId="77777777" w:rsidR="00FF7799" w:rsidRPr="00E73F6F" w:rsidRDefault="00FF7799" w:rsidP="00740F23">
            <w:pPr>
              <w:pStyle w:val="StandardText"/>
              <w:jc w:val="left"/>
              <w:rPr>
                <w:lang w:val="de-DE"/>
              </w:rPr>
            </w:pPr>
            <w:r w:rsidRPr="00E73F6F">
              <w:rPr>
                <w:lang w:val="de-DE"/>
              </w:rPr>
              <w:t>Portugal</w:t>
            </w:r>
          </w:p>
        </w:tc>
        <w:tc>
          <w:tcPr>
            <w:tcW w:w="262" w:type="pct"/>
            <w:tcBorders>
              <w:top w:val="single" w:sz="4" w:space="0" w:color="000000"/>
              <w:bottom w:val="single" w:sz="4" w:space="0" w:color="000000"/>
            </w:tcBorders>
            <w:tcMar>
              <w:left w:w="28" w:type="dxa"/>
              <w:right w:w="28" w:type="dxa"/>
            </w:tcMar>
          </w:tcPr>
          <w:p w14:paraId="21589135" w14:textId="77777777" w:rsidR="00FF7799" w:rsidRPr="00E73F6F" w:rsidRDefault="00FF7799" w:rsidP="00740F23">
            <w:pPr>
              <w:pStyle w:val="StandardText"/>
              <w:rPr>
                <w:lang w:val="de-DE"/>
              </w:rPr>
            </w:pPr>
            <w:r w:rsidRPr="00E73F6F">
              <w:rPr>
                <w:w w:val="99"/>
                <w:lang w:val="de-DE"/>
              </w:rPr>
              <w:t>9</w:t>
            </w:r>
          </w:p>
        </w:tc>
        <w:tc>
          <w:tcPr>
            <w:tcW w:w="262" w:type="pct"/>
            <w:tcBorders>
              <w:top w:val="single" w:sz="4" w:space="0" w:color="000000"/>
              <w:bottom w:val="single" w:sz="4" w:space="0" w:color="000000"/>
            </w:tcBorders>
            <w:tcMar>
              <w:left w:w="28" w:type="dxa"/>
              <w:right w:w="28" w:type="dxa"/>
            </w:tcMar>
          </w:tcPr>
          <w:p w14:paraId="5DC75D6B" w14:textId="77777777" w:rsidR="00FF7799" w:rsidRPr="00E73F6F" w:rsidRDefault="00FF7799" w:rsidP="00740F23">
            <w:pPr>
              <w:pStyle w:val="StandardText"/>
              <w:rPr>
                <w:lang w:val="de-DE"/>
              </w:rPr>
            </w:pPr>
            <w:r w:rsidRPr="00E73F6F">
              <w:rPr>
                <w:w w:val="99"/>
                <w:lang w:val="de-DE"/>
              </w:rPr>
              <w:t>0</w:t>
            </w:r>
          </w:p>
        </w:tc>
        <w:tc>
          <w:tcPr>
            <w:tcW w:w="262" w:type="pct"/>
            <w:tcBorders>
              <w:top w:val="single" w:sz="4" w:space="0" w:color="000000"/>
              <w:bottom w:val="single" w:sz="4" w:space="0" w:color="000000"/>
            </w:tcBorders>
            <w:tcMar>
              <w:left w:w="28" w:type="dxa"/>
              <w:right w:w="28" w:type="dxa"/>
            </w:tcMar>
          </w:tcPr>
          <w:p w14:paraId="4457B06E" w14:textId="77777777" w:rsidR="00FF7799" w:rsidRPr="00E73F6F" w:rsidRDefault="00FF7799" w:rsidP="00740F23">
            <w:pPr>
              <w:pStyle w:val="StandardText"/>
              <w:rPr>
                <w:lang w:val="de-DE"/>
              </w:rPr>
            </w:pPr>
            <w:r w:rsidRPr="00E73F6F">
              <w:rPr>
                <w:w w:val="99"/>
                <w:lang w:val="de-DE"/>
              </w:rPr>
              <w:t>9</w:t>
            </w:r>
          </w:p>
        </w:tc>
        <w:tc>
          <w:tcPr>
            <w:tcW w:w="262" w:type="pct"/>
            <w:tcBorders>
              <w:top w:val="single" w:sz="4" w:space="0" w:color="000000"/>
              <w:bottom w:val="single" w:sz="4" w:space="0" w:color="000000"/>
            </w:tcBorders>
            <w:tcMar>
              <w:left w:w="28" w:type="dxa"/>
              <w:right w:w="28" w:type="dxa"/>
            </w:tcMar>
          </w:tcPr>
          <w:p w14:paraId="73184EA4" w14:textId="77777777" w:rsidR="00FF7799" w:rsidRPr="00E73F6F" w:rsidRDefault="00FF7799" w:rsidP="00740F23">
            <w:pPr>
              <w:pStyle w:val="StandardText"/>
              <w:rPr>
                <w:lang w:val="de-DE"/>
              </w:rPr>
            </w:pPr>
            <w:r w:rsidRPr="00E73F6F">
              <w:rPr>
                <w:w w:val="99"/>
                <w:lang w:val="de-DE"/>
              </w:rPr>
              <w:t>6</w:t>
            </w:r>
          </w:p>
        </w:tc>
        <w:tc>
          <w:tcPr>
            <w:tcW w:w="262" w:type="pct"/>
            <w:tcBorders>
              <w:top w:val="single" w:sz="4" w:space="0" w:color="000000"/>
              <w:bottom w:val="single" w:sz="4" w:space="0" w:color="000000"/>
            </w:tcBorders>
            <w:tcMar>
              <w:left w:w="28" w:type="dxa"/>
              <w:right w:w="28" w:type="dxa"/>
            </w:tcMar>
          </w:tcPr>
          <w:p w14:paraId="068DCBE3" w14:textId="77777777" w:rsidR="00FF7799" w:rsidRPr="00E73F6F" w:rsidRDefault="00FF7799" w:rsidP="00740F23">
            <w:pPr>
              <w:pStyle w:val="StandardText"/>
              <w:rPr>
                <w:lang w:val="de-DE"/>
              </w:rPr>
            </w:pPr>
            <w:r w:rsidRPr="00E73F6F">
              <w:rPr>
                <w:w w:val="99"/>
                <w:lang w:val="de-DE"/>
              </w:rPr>
              <w:t>3</w:t>
            </w:r>
          </w:p>
        </w:tc>
        <w:tc>
          <w:tcPr>
            <w:tcW w:w="262" w:type="pct"/>
            <w:tcBorders>
              <w:top w:val="single" w:sz="4" w:space="0" w:color="000000"/>
              <w:bottom w:val="single" w:sz="4" w:space="0" w:color="000000"/>
            </w:tcBorders>
            <w:tcMar>
              <w:left w:w="28" w:type="dxa"/>
              <w:right w:w="28" w:type="dxa"/>
            </w:tcMar>
          </w:tcPr>
          <w:p w14:paraId="08D382EF" w14:textId="77777777" w:rsidR="00FF7799" w:rsidRPr="00E73F6F" w:rsidRDefault="00FF7799" w:rsidP="00740F23">
            <w:pPr>
              <w:pStyle w:val="StandardText"/>
              <w:rPr>
                <w:lang w:val="de-DE"/>
              </w:rPr>
            </w:pPr>
            <w:r w:rsidRPr="00E73F6F">
              <w:rPr>
                <w:w w:val="99"/>
                <w:lang w:val="de-DE"/>
              </w:rPr>
              <w:t>06</w:t>
            </w:r>
          </w:p>
        </w:tc>
        <w:tc>
          <w:tcPr>
            <w:tcW w:w="262" w:type="pct"/>
            <w:tcBorders>
              <w:top w:val="single" w:sz="4" w:space="0" w:color="000000"/>
              <w:bottom w:val="single" w:sz="4" w:space="0" w:color="000000"/>
            </w:tcBorders>
            <w:tcMar>
              <w:left w:w="28" w:type="dxa"/>
              <w:right w:w="28" w:type="dxa"/>
            </w:tcMar>
          </w:tcPr>
          <w:p w14:paraId="3552B888" w14:textId="77777777" w:rsidR="00FF7799" w:rsidRPr="00E73F6F" w:rsidRDefault="00FF7799" w:rsidP="00740F23">
            <w:pPr>
              <w:pStyle w:val="StandardText"/>
              <w:rPr>
                <w:lang w:val="de-DE"/>
              </w:rPr>
            </w:pPr>
            <w:r w:rsidRPr="00E73F6F">
              <w:rPr>
                <w:w w:val="99"/>
                <w:lang w:val="de-DE"/>
              </w:rPr>
              <w:t>03</w:t>
            </w:r>
          </w:p>
        </w:tc>
        <w:tc>
          <w:tcPr>
            <w:tcW w:w="262" w:type="pct"/>
            <w:tcBorders>
              <w:top w:val="single" w:sz="4" w:space="0" w:color="000000"/>
              <w:bottom w:val="single" w:sz="4" w:space="0" w:color="000000"/>
            </w:tcBorders>
            <w:tcMar>
              <w:left w:w="28" w:type="dxa"/>
              <w:right w:w="28" w:type="dxa"/>
            </w:tcMar>
          </w:tcPr>
          <w:p w14:paraId="417E0B9A" w14:textId="77777777" w:rsidR="00FF7799" w:rsidRPr="00E73F6F" w:rsidRDefault="00FF7799" w:rsidP="00740F23">
            <w:pPr>
              <w:pStyle w:val="StandardText"/>
              <w:rPr>
                <w:lang w:val="de-DE"/>
              </w:rPr>
            </w:pPr>
            <w:r w:rsidRPr="00E73F6F">
              <w:rPr>
                <w:w w:val="99"/>
                <w:lang w:val="de-DE"/>
              </w:rPr>
              <w:t>3</w:t>
            </w:r>
          </w:p>
        </w:tc>
        <w:tc>
          <w:tcPr>
            <w:tcW w:w="262" w:type="pct"/>
            <w:tcBorders>
              <w:top w:val="single" w:sz="4" w:space="0" w:color="000000"/>
              <w:bottom w:val="single" w:sz="4" w:space="0" w:color="000000"/>
            </w:tcBorders>
            <w:tcMar>
              <w:left w:w="28" w:type="dxa"/>
              <w:right w:w="28" w:type="dxa"/>
            </w:tcMar>
          </w:tcPr>
          <w:p w14:paraId="1B8FF6C1" w14:textId="77777777" w:rsidR="00FF7799" w:rsidRPr="00E73F6F" w:rsidRDefault="00FF7799" w:rsidP="00740F23">
            <w:pPr>
              <w:pStyle w:val="StandardText"/>
              <w:rPr>
                <w:lang w:val="de-DE"/>
              </w:rPr>
            </w:pPr>
            <w:r w:rsidRPr="00E73F6F">
              <w:rPr>
                <w:w w:val="99"/>
                <w:lang w:val="de-DE"/>
              </w:rPr>
              <w:t>2</w:t>
            </w:r>
          </w:p>
        </w:tc>
        <w:tc>
          <w:tcPr>
            <w:tcW w:w="262" w:type="pct"/>
            <w:tcBorders>
              <w:top w:val="single" w:sz="4" w:space="0" w:color="000000"/>
              <w:bottom w:val="single" w:sz="4" w:space="0" w:color="000000"/>
            </w:tcBorders>
            <w:tcMar>
              <w:left w:w="28" w:type="dxa"/>
              <w:right w:w="28" w:type="dxa"/>
            </w:tcMar>
          </w:tcPr>
          <w:p w14:paraId="7CF9FB7D" w14:textId="77777777" w:rsidR="00FF7799" w:rsidRPr="00E73F6F" w:rsidRDefault="00FF7799" w:rsidP="00740F23">
            <w:pPr>
              <w:pStyle w:val="StandardText"/>
              <w:rPr>
                <w:lang w:val="de-DE"/>
              </w:rPr>
            </w:pPr>
            <w:r w:rsidRPr="00E73F6F">
              <w:rPr>
                <w:w w:val="99"/>
                <w:lang w:val="de-DE"/>
              </w:rPr>
              <w:t>2</w:t>
            </w:r>
          </w:p>
        </w:tc>
        <w:tc>
          <w:tcPr>
            <w:tcW w:w="262" w:type="pct"/>
            <w:tcBorders>
              <w:top w:val="single" w:sz="4" w:space="0" w:color="000000"/>
              <w:bottom w:val="single" w:sz="4" w:space="0" w:color="000000"/>
            </w:tcBorders>
            <w:tcMar>
              <w:left w:w="28" w:type="dxa"/>
              <w:right w:w="28" w:type="dxa"/>
            </w:tcMar>
          </w:tcPr>
          <w:p w14:paraId="1D31DF27" w14:textId="77777777" w:rsidR="00FF7799" w:rsidRPr="00E73F6F" w:rsidRDefault="00FF7799" w:rsidP="00740F23">
            <w:pPr>
              <w:pStyle w:val="StandardText"/>
              <w:rPr>
                <w:lang w:val="de-DE"/>
              </w:rPr>
            </w:pPr>
            <w:r w:rsidRPr="00E73F6F">
              <w:rPr>
                <w:w w:val="99"/>
                <w:lang w:val="de-DE"/>
              </w:rPr>
              <w:t>3</w:t>
            </w:r>
          </w:p>
        </w:tc>
        <w:tc>
          <w:tcPr>
            <w:tcW w:w="262" w:type="pct"/>
            <w:tcBorders>
              <w:top w:val="single" w:sz="4" w:space="0" w:color="000000"/>
              <w:bottom w:val="single" w:sz="4" w:space="0" w:color="000000"/>
            </w:tcBorders>
            <w:tcMar>
              <w:left w:w="28" w:type="dxa"/>
              <w:right w:w="28" w:type="dxa"/>
            </w:tcMar>
          </w:tcPr>
          <w:p w14:paraId="1D4A8EA5" w14:textId="77777777" w:rsidR="00FF7799" w:rsidRPr="00E73F6F" w:rsidRDefault="00FF7799" w:rsidP="00740F23">
            <w:pPr>
              <w:pStyle w:val="StandardText"/>
              <w:rPr>
                <w:lang w:val="de-DE"/>
              </w:rPr>
            </w:pPr>
            <w:r w:rsidRPr="00E73F6F">
              <w:rPr>
                <w:w w:val="99"/>
                <w:lang w:val="de-DE"/>
              </w:rPr>
              <w:t>5</w:t>
            </w:r>
          </w:p>
        </w:tc>
        <w:tc>
          <w:tcPr>
            <w:tcW w:w="465" w:type="pct"/>
            <w:tcBorders>
              <w:top w:val="single" w:sz="4" w:space="0" w:color="000000"/>
              <w:bottom w:val="single" w:sz="4" w:space="0" w:color="000000"/>
            </w:tcBorders>
            <w:tcMar>
              <w:left w:w="28" w:type="dxa"/>
              <w:right w:w="28" w:type="dxa"/>
            </w:tcMar>
          </w:tcPr>
          <w:p w14:paraId="504F219D" w14:textId="77777777" w:rsidR="00FF7799" w:rsidRPr="00E73F6F" w:rsidRDefault="00FF7799" w:rsidP="00740F23">
            <w:pPr>
              <w:pStyle w:val="StandardText"/>
              <w:rPr>
                <w:lang w:val="de-DE"/>
              </w:rPr>
            </w:pPr>
            <w:r w:rsidRPr="00E73F6F">
              <w:rPr>
                <w:w w:val="99"/>
                <w:lang w:val="de-DE"/>
              </w:rPr>
              <w:t>87</w:t>
            </w:r>
          </w:p>
        </w:tc>
        <w:tc>
          <w:tcPr>
            <w:tcW w:w="539" w:type="pct"/>
            <w:tcBorders>
              <w:top w:val="single" w:sz="4" w:space="0" w:color="000000"/>
              <w:bottom w:val="single" w:sz="4" w:space="0" w:color="000000"/>
            </w:tcBorders>
            <w:tcMar>
              <w:left w:w="28" w:type="dxa"/>
              <w:right w:w="28" w:type="dxa"/>
            </w:tcMar>
          </w:tcPr>
          <w:p w14:paraId="06C95D6E" w14:textId="77777777" w:rsidR="00FF7799" w:rsidRPr="00E73F6F" w:rsidRDefault="00FF7799" w:rsidP="00740F23">
            <w:pPr>
              <w:pStyle w:val="StandardText"/>
              <w:rPr>
                <w:lang w:val="de-DE"/>
              </w:rPr>
            </w:pPr>
            <w:r w:rsidRPr="00E73F6F">
              <w:rPr>
                <w:spacing w:val="-5"/>
                <w:lang w:val="de-DE"/>
              </w:rPr>
              <w:t>84</w:t>
            </w:r>
          </w:p>
        </w:tc>
      </w:tr>
      <w:tr w:rsidR="00FF7799" w:rsidRPr="00E73F6F" w14:paraId="3892916A" w14:textId="77777777" w:rsidTr="00580F1D">
        <w:trPr>
          <w:trHeight w:val="649"/>
        </w:trPr>
        <w:tc>
          <w:tcPr>
            <w:tcW w:w="854" w:type="pct"/>
            <w:tcBorders>
              <w:top w:val="single" w:sz="4" w:space="0" w:color="000000"/>
              <w:bottom w:val="single" w:sz="4" w:space="0" w:color="000000"/>
            </w:tcBorders>
            <w:shd w:val="clear" w:color="auto" w:fill="FFF2CC" w:themeFill="accent4" w:themeFillTint="33"/>
            <w:tcMar>
              <w:left w:w="28" w:type="dxa"/>
              <w:right w:w="28" w:type="dxa"/>
            </w:tcMar>
          </w:tcPr>
          <w:p w14:paraId="28B72668" w14:textId="77777777" w:rsidR="00FF7799" w:rsidRPr="00E73F6F" w:rsidRDefault="00FF7799" w:rsidP="00740F23">
            <w:pPr>
              <w:pStyle w:val="StandardText"/>
              <w:jc w:val="left"/>
              <w:rPr>
                <w:lang w:val="de-DE"/>
              </w:rPr>
            </w:pPr>
            <w:r w:rsidRPr="00E73F6F">
              <w:rPr>
                <w:lang w:val="de-DE"/>
              </w:rPr>
              <w:t>Schweden</w:t>
            </w:r>
          </w:p>
        </w:tc>
        <w:tc>
          <w:tcPr>
            <w:tcW w:w="262" w:type="pct"/>
            <w:tcBorders>
              <w:top w:val="single" w:sz="4" w:space="0" w:color="000000"/>
              <w:bottom w:val="single" w:sz="4" w:space="0" w:color="000000"/>
            </w:tcBorders>
            <w:tcMar>
              <w:left w:w="28" w:type="dxa"/>
              <w:right w:w="28" w:type="dxa"/>
            </w:tcMar>
          </w:tcPr>
          <w:p w14:paraId="15492FD6" w14:textId="77777777" w:rsidR="00FF7799" w:rsidRPr="00E73F6F" w:rsidRDefault="00FF7799" w:rsidP="00740F23">
            <w:pPr>
              <w:pStyle w:val="StandardText"/>
              <w:rPr>
                <w:lang w:val="de-DE"/>
              </w:rPr>
            </w:pPr>
            <w:r w:rsidRPr="00E73F6F">
              <w:rPr>
                <w:w w:val="99"/>
                <w:lang w:val="de-DE"/>
              </w:rPr>
              <w:t>28</w:t>
            </w:r>
          </w:p>
        </w:tc>
        <w:tc>
          <w:tcPr>
            <w:tcW w:w="262" w:type="pct"/>
            <w:tcBorders>
              <w:top w:val="single" w:sz="4" w:space="0" w:color="000000"/>
              <w:bottom w:val="single" w:sz="4" w:space="0" w:color="000000"/>
            </w:tcBorders>
            <w:tcMar>
              <w:left w:w="28" w:type="dxa"/>
              <w:right w:w="28" w:type="dxa"/>
            </w:tcMar>
          </w:tcPr>
          <w:p w14:paraId="33BCE63B" w14:textId="77777777" w:rsidR="00FF7799" w:rsidRPr="00E73F6F" w:rsidRDefault="00FF7799" w:rsidP="00740F23">
            <w:pPr>
              <w:pStyle w:val="StandardText"/>
              <w:rPr>
                <w:lang w:val="de-DE"/>
              </w:rPr>
            </w:pPr>
            <w:r w:rsidRPr="00E73F6F">
              <w:rPr>
                <w:w w:val="99"/>
                <w:lang w:val="de-DE"/>
              </w:rPr>
              <w:t>73</w:t>
            </w:r>
          </w:p>
        </w:tc>
        <w:tc>
          <w:tcPr>
            <w:tcW w:w="262" w:type="pct"/>
            <w:tcBorders>
              <w:top w:val="single" w:sz="4" w:space="0" w:color="000000"/>
              <w:bottom w:val="single" w:sz="4" w:space="0" w:color="000000"/>
            </w:tcBorders>
            <w:tcMar>
              <w:left w:w="28" w:type="dxa"/>
              <w:right w:w="28" w:type="dxa"/>
            </w:tcMar>
          </w:tcPr>
          <w:p w14:paraId="70D935D4" w14:textId="77777777" w:rsidR="00FF7799" w:rsidRPr="00E73F6F" w:rsidRDefault="00FF7799" w:rsidP="00740F23">
            <w:pPr>
              <w:pStyle w:val="StandardText"/>
              <w:rPr>
                <w:lang w:val="de-DE"/>
              </w:rPr>
            </w:pPr>
            <w:r w:rsidRPr="00E73F6F">
              <w:rPr>
                <w:w w:val="99"/>
                <w:lang w:val="de-DE"/>
              </w:rPr>
              <w:t>9</w:t>
            </w:r>
          </w:p>
        </w:tc>
        <w:tc>
          <w:tcPr>
            <w:tcW w:w="262" w:type="pct"/>
            <w:tcBorders>
              <w:top w:val="single" w:sz="4" w:space="0" w:color="000000"/>
              <w:bottom w:val="single" w:sz="4" w:space="0" w:color="000000"/>
            </w:tcBorders>
            <w:tcMar>
              <w:left w:w="28" w:type="dxa"/>
              <w:right w:w="28" w:type="dxa"/>
            </w:tcMar>
          </w:tcPr>
          <w:p w14:paraId="57F30265" w14:textId="77777777" w:rsidR="00FF7799" w:rsidRPr="00E73F6F" w:rsidRDefault="00FF7799" w:rsidP="00740F23">
            <w:pPr>
              <w:pStyle w:val="StandardText"/>
              <w:rPr>
                <w:lang w:val="de-DE"/>
              </w:rPr>
            </w:pPr>
            <w:r w:rsidRPr="00E73F6F">
              <w:rPr>
                <w:w w:val="99"/>
                <w:lang w:val="de-DE"/>
              </w:rPr>
              <w:t>47</w:t>
            </w:r>
          </w:p>
        </w:tc>
        <w:tc>
          <w:tcPr>
            <w:tcW w:w="262" w:type="pct"/>
            <w:tcBorders>
              <w:top w:val="single" w:sz="4" w:space="0" w:color="000000"/>
              <w:bottom w:val="single" w:sz="4" w:space="0" w:color="000000"/>
            </w:tcBorders>
            <w:tcMar>
              <w:left w:w="28" w:type="dxa"/>
              <w:right w:w="28" w:type="dxa"/>
            </w:tcMar>
          </w:tcPr>
          <w:p w14:paraId="20AFCA9D" w14:textId="77777777" w:rsidR="00FF7799" w:rsidRPr="00E73F6F" w:rsidRDefault="00FF7799" w:rsidP="00740F23">
            <w:pPr>
              <w:pStyle w:val="StandardText"/>
              <w:rPr>
                <w:lang w:val="de-DE"/>
              </w:rPr>
            </w:pPr>
            <w:r w:rsidRPr="00E73F6F">
              <w:rPr>
                <w:w w:val="99"/>
                <w:lang w:val="de-DE"/>
              </w:rPr>
              <w:t>16</w:t>
            </w:r>
          </w:p>
        </w:tc>
        <w:tc>
          <w:tcPr>
            <w:tcW w:w="262" w:type="pct"/>
            <w:tcBorders>
              <w:top w:val="single" w:sz="4" w:space="0" w:color="000000"/>
              <w:bottom w:val="single" w:sz="4" w:space="0" w:color="000000"/>
            </w:tcBorders>
            <w:tcMar>
              <w:left w:w="28" w:type="dxa"/>
              <w:right w:w="28" w:type="dxa"/>
            </w:tcMar>
          </w:tcPr>
          <w:p w14:paraId="12FCAE6C" w14:textId="77777777" w:rsidR="00FF7799" w:rsidRPr="00E73F6F" w:rsidRDefault="00FF7799" w:rsidP="00740F23">
            <w:pPr>
              <w:pStyle w:val="StandardText"/>
              <w:rPr>
                <w:lang w:val="de-DE"/>
              </w:rPr>
            </w:pPr>
            <w:r w:rsidRPr="00E73F6F">
              <w:rPr>
                <w:w w:val="99"/>
                <w:lang w:val="de-DE"/>
              </w:rPr>
              <w:t>79</w:t>
            </w:r>
          </w:p>
        </w:tc>
        <w:tc>
          <w:tcPr>
            <w:tcW w:w="262" w:type="pct"/>
            <w:tcBorders>
              <w:top w:val="single" w:sz="4" w:space="0" w:color="000000"/>
              <w:bottom w:val="single" w:sz="4" w:space="0" w:color="000000"/>
            </w:tcBorders>
            <w:tcMar>
              <w:left w:w="28" w:type="dxa"/>
              <w:right w:w="28" w:type="dxa"/>
            </w:tcMar>
          </w:tcPr>
          <w:p w14:paraId="02BC205B" w14:textId="77777777" w:rsidR="00FF7799" w:rsidRPr="00E73F6F" w:rsidRDefault="00FF7799" w:rsidP="00740F23">
            <w:pPr>
              <w:pStyle w:val="StandardText"/>
              <w:rPr>
                <w:lang w:val="de-DE"/>
              </w:rPr>
            </w:pPr>
            <w:r w:rsidRPr="00E73F6F">
              <w:rPr>
                <w:w w:val="99"/>
                <w:lang w:val="de-DE"/>
              </w:rPr>
              <w:t>18</w:t>
            </w:r>
          </w:p>
        </w:tc>
        <w:tc>
          <w:tcPr>
            <w:tcW w:w="262" w:type="pct"/>
            <w:tcBorders>
              <w:top w:val="single" w:sz="4" w:space="0" w:color="000000"/>
              <w:bottom w:val="single" w:sz="4" w:space="0" w:color="000000"/>
            </w:tcBorders>
            <w:tcMar>
              <w:left w:w="28" w:type="dxa"/>
              <w:right w:w="28" w:type="dxa"/>
            </w:tcMar>
          </w:tcPr>
          <w:p w14:paraId="0632029A" w14:textId="77777777" w:rsidR="00FF7799" w:rsidRPr="00E73F6F" w:rsidRDefault="00FF7799" w:rsidP="00740F23">
            <w:pPr>
              <w:pStyle w:val="StandardText"/>
              <w:rPr>
                <w:lang w:val="de-DE"/>
              </w:rPr>
            </w:pPr>
            <w:r w:rsidRPr="00E73F6F">
              <w:rPr>
                <w:w w:val="99"/>
                <w:lang w:val="de-DE"/>
              </w:rPr>
              <w:t>9</w:t>
            </w:r>
          </w:p>
        </w:tc>
        <w:tc>
          <w:tcPr>
            <w:tcW w:w="262" w:type="pct"/>
            <w:tcBorders>
              <w:top w:val="single" w:sz="4" w:space="0" w:color="000000"/>
              <w:bottom w:val="single" w:sz="4" w:space="0" w:color="000000"/>
            </w:tcBorders>
            <w:tcMar>
              <w:left w:w="28" w:type="dxa"/>
              <w:right w:w="28" w:type="dxa"/>
            </w:tcMar>
          </w:tcPr>
          <w:p w14:paraId="479A829F" w14:textId="77777777" w:rsidR="00FF7799" w:rsidRPr="00E73F6F" w:rsidRDefault="00FF7799" w:rsidP="00740F23">
            <w:pPr>
              <w:pStyle w:val="StandardText"/>
              <w:rPr>
                <w:lang w:val="de-DE"/>
              </w:rPr>
            </w:pPr>
            <w:r w:rsidRPr="00E73F6F">
              <w:rPr>
                <w:w w:val="99"/>
                <w:lang w:val="de-DE"/>
              </w:rPr>
              <w:t>20</w:t>
            </w:r>
          </w:p>
        </w:tc>
        <w:tc>
          <w:tcPr>
            <w:tcW w:w="262" w:type="pct"/>
            <w:tcBorders>
              <w:top w:val="single" w:sz="4" w:space="0" w:color="000000"/>
              <w:bottom w:val="single" w:sz="4" w:space="0" w:color="000000"/>
            </w:tcBorders>
            <w:tcMar>
              <w:left w:w="28" w:type="dxa"/>
              <w:right w:w="28" w:type="dxa"/>
            </w:tcMar>
          </w:tcPr>
          <w:p w14:paraId="0D91F2D6" w14:textId="77777777" w:rsidR="00FF7799" w:rsidRPr="00E73F6F" w:rsidRDefault="00FF7799" w:rsidP="00740F23">
            <w:pPr>
              <w:pStyle w:val="StandardText"/>
              <w:rPr>
                <w:lang w:val="de-DE"/>
              </w:rPr>
            </w:pPr>
            <w:r w:rsidRPr="00E73F6F">
              <w:rPr>
                <w:w w:val="99"/>
                <w:lang w:val="de-DE"/>
              </w:rPr>
              <w:t>85</w:t>
            </w:r>
          </w:p>
        </w:tc>
        <w:tc>
          <w:tcPr>
            <w:tcW w:w="262" w:type="pct"/>
            <w:tcBorders>
              <w:top w:val="single" w:sz="4" w:space="0" w:color="000000"/>
              <w:bottom w:val="single" w:sz="4" w:space="0" w:color="000000"/>
            </w:tcBorders>
            <w:tcMar>
              <w:left w:w="28" w:type="dxa"/>
              <w:right w:w="28" w:type="dxa"/>
            </w:tcMar>
          </w:tcPr>
          <w:p w14:paraId="331DA135" w14:textId="77777777" w:rsidR="00FF7799" w:rsidRPr="00E73F6F" w:rsidRDefault="00FF7799" w:rsidP="00740F23">
            <w:pPr>
              <w:pStyle w:val="StandardText"/>
              <w:rPr>
                <w:lang w:val="de-DE"/>
              </w:rPr>
            </w:pPr>
            <w:r w:rsidRPr="00E73F6F">
              <w:rPr>
                <w:w w:val="99"/>
                <w:lang w:val="de-DE"/>
              </w:rPr>
              <w:t>09</w:t>
            </w:r>
          </w:p>
        </w:tc>
        <w:tc>
          <w:tcPr>
            <w:tcW w:w="262" w:type="pct"/>
            <w:tcBorders>
              <w:top w:val="single" w:sz="4" w:space="0" w:color="000000"/>
              <w:bottom w:val="single" w:sz="4" w:space="0" w:color="000000"/>
            </w:tcBorders>
            <w:tcMar>
              <w:left w:w="28" w:type="dxa"/>
              <w:right w:w="28" w:type="dxa"/>
            </w:tcMar>
          </w:tcPr>
          <w:p w14:paraId="12BE4134" w14:textId="77777777" w:rsidR="00FF7799" w:rsidRPr="00E73F6F" w:rsidRDefault="00FF7799" w:rsidP="00740F23">
            <w:pPr>
              <w:pStyle w:val="StandardText"/>
              <w:rPr>
                <w:lang w:val="de-DE"/>
              </w:rPr>
            </w:pPr>
            <w:r w:rsidRPr="00E73F6F">
              <w:rPr>
                <w:w w:val="99"/>
                <w:lang w:val="de-DE"/>
              </w:rPr>
              <w:t>28</w:t>
            </w:r>
          </w:p>
        </w:tc>
        <w:tc>
          <w:tcPr>
            <w:tcW w:w="465" w:type="pct"/>
            <w:tcBorders>
              <w:top w:val="single" w:sz="4" w:space="0" w:color="000000"/>
              <w:bottom w:val="single" w:sz="4" w:space="0" w:color="000000"/>
            </w:tcBorders>
            <w:tcMar>
              <w:left w:w="28" w:type="dxa"/>
              <w:right w:w="28" w:type="dxa"/>
            </w:tcMar>
          </w:tcPr>
          <w:p w14:paraId="27D81E4A" w14:textId="77777777" w:rsidR="00FF7799" w:rsidRPr="00E73F6F" w:rsidRDefault="00FF7799" w:rsidP="00740F23">
            <w:pPr>
              <w:pStyle w:val="StandardText"/>
              <w:rPr>
                <w:lang w:val="de-DE"/>
              </w:rPr>
            </w:pPr>
            <w:r w:rsidRPr="00E73F6F">
              <w:rPr>
                <w:w w:val="99"/>
                <w:lang w:val="de-DE"/>
              </w:rPr>
              <w:t>1</w:t>
            </w:r>
            <w:r w:rsidRPr="00E73F6F">
              <w:rPr>
                <w:spacing w:val="-5"/>
                <w:lang w:val="de-DE"/>
              </w:rPr>
              <w:t>26</w:t>
            </w:r>
          </w:p>
        </w:tc>
        <w:tc>
          <w:tcPr>
            <w:tcW w:w="539" w:type="pct"/>
            <w:tcBorders>
              <w:top w:val="single" w:sz="4" w:space="0" w:color="000000"/>
              <w:bottom w:val="single" w:sz="4" w:space="0" w:color="000000"/>
            </w:tcBorders>
            <w:tcMar>
              <w:left w:w="28" w:type="dxa"/>
              <w:right w:w="28" w:type="dxa"/>
            </w:tcMar>
          </w:tcPr>
          <w:p w14:paraId="290ED1C7" w14:textId="77777777" w:rsidR="00FF7799" w:rsidRPr="00E73F6F" w:rsidRDefault="00FF7799" w:rsidP="00740F23">
            <w:pPr>
              <w:pStyle w:val="StandardText"/>
              <w:rPr>
                <w:lang w:val="de-DE"/>
              </w:rPr>
            </w:pPr>
            <w:r w:rsidRPr="00E73F6F">
              <w:rPr>
                <w:spacing w:val="-5"/>
                <w:lang w:val="de-DE"/>
              </w:rPr>
              <w:t>118</w:t>
            </w:r>
          </w:p>
        </w:tc>
      </w:tr>
      <w:tr w:rsidR="00FF7799" w:rsidRPr="00E73F6F" w14:paraId="36EAAB97" w14:textId="77777777" w:rsidTr="00580F1D">
        <w:trPr>
          <w:trHeight w:val="649"/>
        </w:trPr>
        <w:tc>
          <w:tcPr>
            <w:tcW w:w="854" w:type="pct"/>
            <w:tcBorders>
              <w:top w:val="single" w:sz="4" w:space="0" w:color="000000"/>
              <w:bottom w:val="single" w:sz="4" w:space="0" w:color="000000"/>
            </w:tcBorders>
            <w:shd w:val="clear" w:color="auto" w:fill="FFF2CC" w:themeFill="accent4" w:themeFillTint="33"/>
            <w:tcMar>
              <w:left w:w="28" w:type="dxa"/>
              <w:right w:w="28" w:type="dxa"/>
            </w:tcMar>
          </w:tcPr>
          <w:p w14:paraId="69E16C57" w14:textId="77777777" w:rsidR="00FF7799" w:rsidRPr="00E73F6F" w:rsidRDefault="00FF7799" w:rsidP="00740F23">
            <w:pPr>
              <w:pStyle w:val="StandardText"/>
              <w:jc w:val="left"/>
              <w:rPr>
                <w:lang w:val="de-DE"/>
              </w:rPr>
            </w:pPr>
            <w:r w:rsidRPr="00E73F6F">
              <w:rPr>
                <w:lang w:val="de-DE"/>
              </w:rPr>
              <w:t>Spanien</w:t>
            </w:r>
          </w:p>
        </w:tc>
        <w:tc>
          <w:tcPr>
            <w:tcW w:w="262" w:type="pct"/>
            <w:tcBorders>
              <w:top w:val="single" w:sz="4" w:space="0" w:color="000000"/>
              <w:bottom w:val="single" w:sz="4" w:space="0" w:color="000000"/>
            </w:tcBorders>
            <w:tcMar>
              <w:left w:w="28" w:type="dxa"/>
              <w:right w:w="28" w:type="dxa"/>
            </w:tcMar>
          </w:tcPr>
          <w:p w14:paraId="080647D6" w14:textId="77777777" w:rsidR="00FF7799" w:rsidRPr="00E73F6F" w:rsidRDefault="00FF7799" w:rsidP="00740F23">
            <w:pPr>
              <w:pStyle w:val="StandardText"/>
              <w:rPr>
                <w:lang w:val="de-DE"/>
              </w:rPr>
            </w:pPr>
            <w:r w:rsidRPr="00E73F6F">
              <w:rPr>
                <w:w w:val="99"/>
                <w:lang w:val="de-DE"/>
              </w:rPr>
              <w:t>7</w:t>
            </w:r>
          </w:p>
        </w:tc>
        <w:tc>
          <w:tcPr>
            <w:tcW w:w="262" w:type="pct"/>
            <w:tcBorders>
              <w:top w:val="single" w:sz="4" w:space="0" w:color="000000"/>
              <w:bottom w:val="single" w:sz="4" w:space="0" w:color="000000"/>
            </w:tcBorders>
            <w:tcMar>
              <w:left w:w="28" w:type="dxa"/>
              <w:right w:w="28" w:type="dxa"/>
            </w:tcMar>
          </w:tcPr>
          <w:p w14:paraId="73FE8460" w14:textId="77777777" w:rsidR="00FF7799" w:rsidRPr="00E73F6F" w:rsidRDefault="00FF7799" w:rsidP="00740F23">
            <w:pPr>
              <w:pStyle w:val="StandardText"/>
              <w:rPr>
                <w:lang w:val="de-DE"/>
              </w:rPr>
            </w:pPr>
            <w:r w:rsidRPr="00E73F6F">
              <w:rPr>
                <w:w w:val="99"/>
                <w:lang w:val="de-DE"/>
              </w:rPr>
              <w:t>5</w:t>
            </w:r>
          </w:p>
        </w:tc>
        <w:tc>
          <w:tcPr>
            <w:tcW w:w="262" w:type="pct"/>
            <w:tcBorders>
              <w:top w:val="single" w:sz="4" w:space="0" w:color="000000"/>
              <w:bottom w:val="single" w:sz="4" w:space="0" w:color="000000"/>
            </w:tcBorders>
            <w:tcMar>
              <w:left w:w="28" w:type="dxa"/>
              <w:right w:w="28" w:type="dxa"/>
            </w:tcMar>
          </w:tcPr>
          <w:p w14:paraId="06295A74" w14:textId="77777777" w:rsidR="00FF7799" w:rsidRPr="00E73F6F" w:rsidRDefault="00FF7799" w:rsidP="00740F23">
            <w:pPr>
              <w:pStyle w:val="StandardText"/>
              <w:rPr>
                <w:lang w:val="de-DE"/>
              </w:rPr>
            </w:pPr>
            <w:r w:rsidRPr="00E73F6F">
              <w:rPr>
                <w:w w:val="99"/>
                <w:lang w:val="de-DE"/>
              </w:rPr>
              <w:t>5</w:t>
            </w:r>
          </w:p>
        </w:tc>
        <w:tc>
          <w:tcPr>
            <w:tcW w:w="262" w:type="pct"/>
            <w:tcBorders>
              <w:top w:val="single" w:sz="4" w:space="0" w:color="000000"/>
              <w:bottom w:val="single" w:sz="4" w:space="0" w:color="000000"/>
            </w:tcBorders>
            <w:tcMar>
              <w:left w:w="28" w:type="dxa"/>
              <w:right w:w="28" w:type="dxa"/>
            </w:tcMar>
          </w:tcPr>
          <w:p w14:paraId="7B7FC61D" w14:textId="77777777" w:rsidR="00FF7799" w:rsidRPr="00E73F6F" w:rsidRDefault="00FF7799" w:rsidP="00740F23">
            <w:pPr>
              <w:pStyle w:val="StandardText"/>
              <w:rPr>
                <w:lang w:val="de-DE"/>
              </w:rPr>
            </w:pPr>
            <w:r w:rsidRPr="00E73F6F">
              <w:rPr>
                <w:w w:val="99"/>
                <w:lang w:val="de-DE"/>
              </w:rPr>
              <w:t>9</w:t>
            </w:r>
          </w:p>
        </w:tc>
        <w:tc>
          <w:tcPr>
            <w:tcW w:w="262" w:type="pct"/>
            <w:tcBorders>
              <w:top w:val="single" w:sz="4" w:space="0" w:color="000000"/>
              <w:bottom w:val="single" w:sz="4" w:space="0" w:color="000000"/>
            </w:tcBorders>
            <w:tcMar>
              <w:left w:w="28" w:type="dxa"/>
              <w:right w:w="28" w:type="dxa"/>
            </w:tcMar>
          </w:tcPr>
          <w:p w14:paraId="6FE04CA7" w14:textId="77777777" w:rsidR="00FF7799" w:rsidRPr="00E73F6F" w:rsidRDefault="00FF7799" w:rsidP="00740F23">
            <w:pPr>
              <w:pStyle w:val="StandardText"/>
              <w:rPr>
                <w:lang w:val="de-DE"/>
              </w:rPr>
            </w:pPr>
            <w:r w:rsidRPr="00E73F6F">
              <w:rPr>
                <w:w w:val="99"/>
                <w:lang w:val="de-DE"/>
              </w:rPr>
              <w:t>01</w:t>
            </w:r>
          </w:p>
        </w:tc>
        <w:tc>
          <w:tcPr>
            <w:tcW w:w="262" w:type="pct"/>
            <w:tcBorders>
              <w:top w:val="single" w:sz="4" w:space="0" w:color="000000"/>
              <w:bottom w:val="single" w:sz="4" w:space="0" w:color="000000"/>
            </w:tcBorders>
            <w:tcMar>
              <w:left w:w="28" w:type="dxa"/>
              <w:right w:w="28" w:type="dxa"/>
            </w:tcMar>
          </w:tcPr>
          <w:p w14:paraId="0AE9A845" w14:textId="77777777" w:rsidR="00FF7799" w:rsidRPr="00E73F6F" w:rsidRDefault="00FF7799" w:rsidP="00740F23">
            <w:pPr>
              <w:pStyle w:val="StandardText"/>
              <w:rPr>
                <w:lang w:val="de-DE"/>
              </w:rPr>
            </w:pPr>
            <w:r w:rsidRPr="00E73F6F">
              <w:rPr>
                <w:w w:val="99"/>
                <w:lang w:val="de-DE"/>
              </w:rPr>
              <w:t>13</w:t>
            </w:r>
          </w:p>
        </w:tc>
        <w:tc>
          <w:tcPr>
            <w:tcW w:w="262" w:type="pct"/>
            <w:tcBorders>
              <w:top w:val="single" w:sz="4" w:space="0" w:color="000000"/>
              <w:bottom w:val="single" w:sz="4" w:space="0" w:color="000000"/>
            </w:tcBorders>
            <w:tcMar>
              <w:left w:w="28" w:type="dxa"/>
              <w:right w:w="28" w:type="dxa"/>
            </w:tcMar>
          </w:tcPr>
          <w:p w14:paraId="40E90D73" w14:textId="77777777" w:rsidR="00FF7799" w:rsidRPr="00E73F6F" w:rsidRDefault="00FF7799" w:rsidP="00740F23">
            <w:pPr>
              <w:pStyle w:val="StandardText"/>
              <w:rPr>
                <w:lang w:val="de-DE"/>
              </w:rPr>
            </w:pPr>
            <w:r w:rsidRPr="00E73F6F">
              <w:rPr>
                <w:w w:val="99"/>
                <w:lang w:val="de-DE"/>
              </w:rPr>
              <w:t>0</w:t>
            </w:r>
          </w:p>
        </w:tc>
        <w:tc>
          <w:tcPr>
            <w:tcW w:w="262" w:type="pct"/>
            <w:tcBorders>
              <w:top w:val="single" w:sz="4" w:space="0" w:color="000000"/>
              <w:bottom w:val="single" w:sz="4" w:space="0" w:color="000000"/>
            </w:tcBorders>
            <w:tcMar>
              <w:left w:w="28" w:type="dxa"/>
              <w:right w:w="28" w:type="dxa"/>
            </w:tcMar>
          </w:tcPr>
          <w:p w14:paraId="47B5B8F6" w14:textId="77777777" w:rsidR="00FF7799" w:rsidRPr="00E73F6F" w:rsidRDefault="00FF7799" w:rsidP="00740F23">
            <w:pPr>
              <w:pStyle w:val="StandardText"/>
              <w:rPr>
                <w:lang w:val="de-DE"/>
              </w:rPr>
            </w:pPr>
            <w:r w:rsidRPr="00E73F6F">
              <w:rPr>
                <w:w w:val="99"/>
                <w:lang w:val="de-DE"/>
              </w:rPr>
              <w:t>8</w:t>
            </w:r>
          </w:p>
        </w:tc>
        <w:tc>
          <w:tcPr>
            <w:tcW w:w="262" w:type="pct"/>
            <w:tcBorders>
              <w:top w:val="single" w:sz="4" w:space="0" w:color="000000"/>
              <w:bottom w:val="single" w:sz="4" w:space="0" w:color="000000"/>
            </w:tcBorders>
            <w:tcMar>
              <w:left w:w="28" w:type="dxa"/>
              <w:right w:w="28" w:type="dxa"/>
            </w:tcMar>
          </w:tcPr>
          <w:p w14:paraId="21859A73" w14:textId="77777777" w:rsidR="00FF7799" w:rsidRPr="00E73F6F" w:rsidRDefault="00FF7799" w:rsidP="00740F23">
            <w:pPr>
              <w:pStyle w:val="StandardText"/>
              <w:rPr>
                <w:lang w:val="de-DE"/>
              </w:rPr>
            </w:pPr>
            <w:r w:rsidRPr="00E73F6F">
              <w:rPr>
                <w:w w:val="99"/>
                <w:lang w:val="de-DE"/>
              </w:rPr>
              <w:t>05</w:t>
            </w:r>
          </w:p>
        </w:tc>
        <w:tc>
          <w:tcPr>
            <w:tcW w:w="262" w:type="pct"/>
            <w:tcBorders>
              <w:top w:val="single" w:sz="4" w:space="0" w:color="000000"/>
              <w:bottom w:val="single" w:sz="4" w:space="0" w:color="000000"/>
            </w:tcBorders>
            <w:tcMar>
              <w:left w:w="28" w:type="dxa"/>
              <w:right w:w="28" w:type="dxa"/>
            </w:tcMar>
          </w:tcPr>
          <w:p w14:paraId="1D82E287" w14:textId="77777777" w:rsidR="00FF7799" w:rsidRPr="00E73F6F" w:rsidRDefault="00FF7799" w:rsidP="00740F23">
            <w:pPr>
              <w:pStyle w:val="StandardText"/>
              <w:rPr>
                <w:lang w:val="de-DE"/>
              </w:rPr>
            </w:pPr>
            <w:r w:rsidRPr="00E73F6F">
              <w:rPr>
                <w:w w:val="99"/>
                <w:lang w:val="de-DE"/>
              </w:rPr>
              <w:t>3</w:t>
            </w:r>
          </w:p>
        </w:tc>
        <w:tc>
          <w:tcPr>
            <w:tcW w:w="262" w:type="pct"/>
            <w:tcBorders>
              <w:top w:val="single" w:sz="4" w:space="0" w:color="000000"/>
              <w:bottom w:val="single" w:sz="4" w:space="0" w:color="000000"/>
            </w:tcBorders>
            <w:tcMar>
              <w:left w:w="28" w:type="dxa"/>
              <w:right w:w="28" w:type="dxa"/>
            </w:tcMar>
          </w:tcPr>
          <w:p w14:paraId="41392A16" w14:textId="77777777" w:rsidR="00FF7799" w:rsidRPr="00E73F6F" w:rsidRDefault="00FF7799" w:rsidP="00740F23">
            <w:pPr>
              <w:pStyle w:val="StandardText"/>
              <w:rPr>
                <w:lang w:val="de-DE"/>
              </w:rPr>
            </w:pPr>
            <w:r w:rsidRPr="00E73F6F">
              <w:rPr>
                <w:w w:val="99"/>
                <w:lang w:val="de-DE"/>
              </w:rPr>
              <w:t>3</w:t>
            </w:r>
          </w:p>
        </w:tc>
        <w:tc>
          <w:tcPr>
            <w:tcW w:w="262" w:type="pct"/>
            <w:tcBorders>
              <w:top w:val="single" w:sz="4" w:space="0" w:color="000000"/>
              <w:bottom w:val="single" w:sz="4" w:space="0" w:color="000000"/>
            </w:tcBorders>
            <w:tcMar>
              <w:left w:w="28" w:type="dxa"/>
              <w:right w:w="28" w:type="dxa"/>
            </w:tcMar>
          </w:tcPr>
          <w:p w14:paraId="49106E0D" w14:textId="77777777" w:rsidR="00FF7799" w:rsidRPr="00E73F6F" w:rsidRDefault="00FF7799" w:rsidP="00740F23">
            <w:pPr>
              <w:pStyle w:val="StandardText"/>
              <w:rPr>
                <w:lang w:val="de-DE"/>
              </w:rPr>
            </w:pPr>
            <w:r w:rsidRPr="00E73F6F">
              <w:rPr>
                <w:w w:val="99"/>
                <w:lang w:val="de-DE"/>
              </w:rPr>
              <w:t>06</w:t>
            </w:r>
          </w:p>
        </w:tc>
        <w:tc>
          <w:tcPr>
            <w:tcW w:w="465" w:type="pct"/>
            <w:tcBorders>
              <w:top w:val="single" w:sz="4" w:space="0" w:color="000000"/>
              <w:bottom w:val="single" w:sz="4" w:space="0" w:color="000000"/>
            </w:tcBorders>
            <w:tcMar>
              <w:left w:w="28" w:type="dxa"/>
              <w:right w:w="28" w:type="dxa"/>
            </w:tcMar>
          </w:tcPr>
          <w:p w14:paraId="165ABD52" w14:textId="77777777" w:rsidR="00FF7799" w:rsidRPr="00E73F6F" w:rsidRDefault="00FF7799" w:rsidP="00740F23">
            <w:pPr>
              <w:pStyle w:val="StandardText"/>
              <w:rPr>
                <w:lang w:val="de-DE"/>
              </w:rPr>
            </w:pPr>
            <w:r w:rsidRPr="00E73F6F">
              <w:rPr>
                <w:w w:val="99"/>
                <w:lang w:val="de-DE"/>
              </w:rPr>
              <w:t>94</w:t>
            </w:r>
          </w:p>
        </w:tc>
        <w:tc>
          <w:tcPr>
            <w:tcW w:w="539" w:type="pct"/>
            <w:tcBorders>
              <w:top w:val="single" w:sz="4" w:space="0" w:color="000000"/>
              <w:bottom w:val="single" w:sz="4" w:space="0" w:color="000000"/>
            </w:tcBorders>
            <w:tcMar>
              <w:left w:w="28" w:type="dxa"/>
              <w:right w:w="28" w:type="dxa"/>
            </w:tcMar>
          </w:tcPr>
          <w:p w14:paraId="321DA90A" w14:textId="77777777" w:rsidR="00FF7799" w:rsidRPr="00E73F6F" w:rsidRDefault="00FF7799" w:rsidP="00740F23">
            <w:pPr>
              <w:pStyle w:val="StandardText"/>
              <w:rPr>
                <w:lang w:val="de-DE"/>
              </w:rPr>
            </w:pPr>
            <w:r w:rsidRPr="00E73F6F">
              <w:rPr>
                <w:spacing w:val="-5"/>
                <w:lang w:val="de-DE"/>
              </w:rPr>
              <w:t>91</w:t>
            </w:r>
          </w:p>
        </w:tc>
      </w:tr>
    </w:tbl>
    <w:p w14:paraId="63C59A38" w14:textId="77777777" w:rsidR="00FF7799" w:rsidRPr="00E73F6F" w:rsidRDefault="00FF7799" w:rsidP="00740F23">
      <w:pPr>
        <w:pStyle w:val="Quellen"/>
      </w:pPr>
      <w:r w:rsidRPr="00E73F6F">
        <w:t>Anmerkungen: Basisindex = 100</w:t>
      </w:r>
    </w:p>
    <w:p w14:paraId="2EBA326F" w14:textId="77777777" w:rsidR="00FF7799" w:rsidRPr="00E73F6F" w:rsidRDefault="00FF7799" w:rsidP="00740F23">
      <w:pPr>
        <w:pStyle w:val="Quellen"/>
      </w:pPr>
      <w:r w:rsidRPr="00E73F6F">
        <w:t>a = Nahrungsmittel und alkoholfreie Getränke; b = alkoholische Getränke und Tabak; c = Bekleidung und Schuhe; d = Wohnung, Wasser, Strom, Gas und sonstige Brennstoffe; e = Hausrat und Instandhaltung der Wohnung; f = Gesundheit; g = Verkehr; h = Nachrichtenübermittlung; i = Freizeit und Kultur; j = Erziehung und Unterricht; k = Hotels, Cafés und Restaurants; l = verschiedene Waren und Dienstleistungen</w:t>
      </w:r>
    </w:p>
    <w:p w14:paraId="382D88DE" w14:textId="77777777" w:rsidR="00FF7799" w:rsidRPr="00E73F6F" w:rsidRDefault="00FF7799" w:rsidP="00C9796F">
      <w:pPr>
        <w:pStyle w:val="StandardText"/>
      </w:pPr>
    </w:p>
    <w:p w14:paraId="45E87D7F" w14:textId="77777777" w:rsidR="00FF7799" w:rsidRPr="00E73F6F" w:rsidRDefault="00FF7799" w:rsidP="00C9796F">
      <w:pPr>
        <w:pStyle w:val="StandardText"/>
      </w:pPr>
      <w:r w:rsidRPr="00E73F6F">
        <w:lastRenderedPageBreak/>
        <w:t>Abb.</w:t>
      </w:r>
      <w:r w:rsidRPr="00E73F6F">
        <w:rPr>
          <w:spacing w:val="-7"/>
        </w:rPr>
        <w:t xml:space="preserve"> </w:t>
      </w:r>
      <w:r w:rsidRPr="00E73F6F">
        <w:t>4</w:t>
      </w:r>
      <w:r w:rsidRPr="00E73F6F">
        <w:rPr>
          <w:spacing w:val="-7"/>
        </w:rPr>
        <w:t xml:space="preserve"> </w:t>
      </w:r>
      <w:r w:rsidRPr="00E73F6F">
        <w:t>zeigt</w:t>
      </w:r>
      <w:r w:rsidRPr="00E73F6F">
        <w:rPr>
          <w:spacing w:val="-5"/>
        </w:rPr>
        <w:t xml:space="preserve"> </w:t>
      </w:r>
      <w:r w:rsidRPr="00E73F6F">
        <w:t>auf</w:t>
      </w:r>
      <w:r w:rsidRPr="00E73F6F">
        <w:rPr>
          <w:spacing w:val="-5"/>
        </w:rPr>
        <w:t xml:space="preserve"> </w:t>
      </w:r>
      <w:r w:rsidRPr="00E73F6F">
        <w:t>einen</w:t>
      </w:r>
      <w:r w:rsidRPr="00E73F6F">
        <w:rPr>
          <w:spacing w:val="-4"/>
        </w:rPr>
        <w:t xml:space="preserve"> </w:t>
      </w:r>
      <w:r w:rsidRPr="00E73F6F">
        <w:t>Blick,</w:t>
      </w:r>
      <w:r w:rsidRPr="00E73F6F">
        <w:rPr>
          <w:spacing w:val="-7"/>
        </w:rPr>
        <w:t xml:space="preserve"> </w:t>
      </w:r>
      <w:r w:rsidRPr="00E73F6F">
        <w:t>dass</w:t>
      </w:r>
      <w:r w:rsidRPr="00E73F6F">
        <w:rPr>
          <w:spacing w:val="-9"/>
        </w:rPr>
        <w:t xml:space="preserve"> </w:t>
      </w:r>
      <w:r w:rsidRPr="00E73F6F">
        <w:t>es</w:t>
      </w:r>
      <w:r w:rsidRPr="00E73F6F">
        <w:rPr>
          <w:spacing w:val="-6"/>
        </w:rPr>
        <w:t xml:space="preserve"> </w:t>
      </w:r>
      <w:r w:rsidRPr="00E73F6F">
        <w:t>in</w:t>
      </w:r>
      <w:r w:rsidRPr="00E73F6F">
        <w:rPr>
          <w:spacing w:val="-6"/>
        </w:rPr>
        <w:t xml:space="preserve"> </w:t>
      </w:r>
      <w:r w:rsidRPr="00E73F6F">
        <w:t>der</w:t>
      </w:r>
      <w:r w:rsidRPr="00E73F6F">
        <w:rPr>
          <w:spacing w:val="-3"/>
        </w:rPr>
        <w:t xml:space="preserve"> </w:t>
      </w:r>
      <w:r w:rsidRPr="00E73F6F">
        <w:t>Europäischen</w:t>
      </w:r>
      <w:r w:rsidRPr="00E73F6F">
        <w:rPr>
          <w:spacing w:val="-7"/>
        </w:rPr>
        <w:t xml:space="preserve"> </w:t>
      </w:r>
      <w:r w:rsidRPr="00E73F6F">
        <w:t>Union</w:t>
      </w:r>
      <w:r w:rsidRPr="00E73F6F">
        <w:rPr>
          <w:spacing w:val="-5"/>
        </w:rPr>
        <w:t xml:space="preserve"> </w:t>
      </w:r>
      <w:r w:rsidRPr="00E73F6F">
        <w:t>drei</w:t>
      </w:r>
      <w:r w:rsidRPr="00E73F6F">
        <w:rPr>
          <w:spacing w:val="-5"/>
        </w:rPr>
        <w:t xml:space="preserve"> </w:t>
      </w:r>
      <w:r w:rsidRPr="00E73F6F">
        <w:t>Gruppen</w:t>
      </w:r>
      <w:r w:rsidRPr="00E73F6F">
        <w:rPr>
          <w:spacing w:val="-5"/>
        </w:rPr>
        <w:t xml:space="preserve"> </w:t>
      </w:r>
      <w:r w:rsidRPr="00E73F6F">
        <w:t xml:space="preserve">von Mitgliedsländern gibt, die eine vergleichbare Struktur der Lebenshaltungskosten </w:t>
      </w:r>
      <w:r w:rsidRPr="00E73F6F">
        <w:rPr>
          <w:spacing w:val="-2"/>
        </w:rPr>
        <w:t xml:space="preserve">aufweisen. </w:t>
      </w:r>
      <w:r w:rsidRPr="00E73F6F">
        <w:t>Gruppe 1, zu der neben den nordeuropäischen Ländern auch Großbritannien gehört, gibt mit Ausnahme der Kleidung für fast alle Lebensbereiche am meisten aus. Besonders auffällig sind die Mehrausgaben im Bereich „Genussmittel“, wo der durchschnittliche Index der Lebenshaltungskosten bei 165 liegt, während die in Cluster 2 und 3 zusammengefassten Länder hierfür deutlich geringere Werte (120 bzw. 93) aufweisen.</w:t>
      </w:r>
    </w:p>
    <w:p w14:paraId="03234A9B" w14:textId="77777777" w:rsidR="00FF7799" w:rsidRPr="00E73F6F" w:rsidRDefault="00FF7799" w:rsidP="007C0767">
      <w:pPr>
        <w:pStyle w:val="StandardText"/>
      </w:pPr>
      <w:r w:rsidRPr="00E73F6F">
        <w:t>Mit Ausnahme von Irland sind es ausschließlich mitteleuropäische Länder, die Gruppe</w:t>
      </w:r>
      <w:r w:rsidRPr="00E73F6F">
        <w:rPr>
          <w:spacing w:val="-6"/>
        </w:rPr>
        <w:t xml:space="preserve"> </w:t>
      </w:r>
      <w:r w:rsidRPr="00E73F6F">
        <w:t>2</w:t>
      </w:r>
      <w:r w:rsidRPr="00E73F6F">
        <w:rPr>
          <w:spacing w:val="-4"/>
        </w:rPr>
        <w:t xml:space="preserve"> </w:t>
      </w:r>
      <w:r w:rsidRPr="00E73F6F">
        <w:t>bilden.</w:t>
      </w:r>
      <w:r w:rsidRPr="00E73F6F">
        <w:rPr>
          <w:spacing w:val="-4"/>
        </w:rPr>
        <w:t xml:space="preserve"> </w:t>
      </w:r>
      <w:r w:rsidRPr="00E73F6F">
        <w:t>Abgesehen</w:t>
      </w:r>
      <w:r w:rsidRPr="00E73F6F">
        <w:rPr>
          <w:spacing w:val="-7"/>
        </w:rPr>
        <w:t xml:space="preserve"> </w:t>
      </w:r>
      <w:r w:rsidRPr="00E73F6F">
        <w:t>von</w:t>
      </w:r>
      <w:r w:rsidRPr="00E73F6F">
        <w:rPr>
          <w:spacing w:val="-7"/>
        </w:rPr>
        <w:t xml:space="preserve"> </w:t>
      </w:r>
      <w:r w:rsidRPr="00E73F6F">
        <w:t>den</w:t>
      </w:r>
      <w:r w:rsidRPr="00E73F6F">
        <w:rPr>
          <w:spacing w:val="-4"/>
        </w:rPr>
        <w:t xml:space="preserve"> </w:t>
      </w:r>
      <w:r w:rsidRPr="00E73F6F">
        <w:t>Aufwendungen</w:t>
      </w:r>
      <w:r w:rsidRPr="00E73F6F">
        <w:rPr>
          <w:spacing w:val="-4"/>
        </w:rPr>
        <w:t xml:space="preserve"> </w:t>
      </w:r>
      <w:r w:rsidRPr="00E73F6F">
        <w:t>für</w:t>
      </w:r>
      <w:r w:rsidRPr="00E73F6F">
        <w:rPr>
          <w:spacing w:val="-5"/>
        </w:rPr>
        <w:t xml:space="preserve"> </w:t>
      </w:r>
      <w:r w:rsidRPr="00E73F6F">
        <w:t>das</w:t>
      </w:r>
      <w:r w:rsidRPr="00E73F6F">
        <w:rPr>
          <w:spacing w:val="-6"/>
        </w:rPr>
        <w:t xml:space="preserve"> </w:t>
      </w:r>
      <w:r w:rsidRPr="00E73F6F">
        <w:t>Wohnen</w:t>
      </w:r>
      <w:r w:rsidRPr="00E73F6F">
        <w:rPr>
          <w:spacing w:val="-4"/>
        </w:rPr>
        <w:t xml:space="preserve"> </w:t>
      </w:r>
      <w:r w:rsidRPr="00E73F6F">
        <w:t>streuen</w:t>
      </w:r>
      <w:r w:rsidRPr="00E73F6F">
        <w:rPr>
          <w:spacing w:val="-4"/>
        </w:rPr>
        <w:t xml:space="preserve"> </w:t>
      </w:r>
      <w:r w:rsidRPr="00E73F6F">
        <w:t>hier die Lebenshaltungskosten in einer vergleichsweise schmalen Bandbreite (Basisindex 100 ± 25).</w:t>
      </w:r>
    </w:p>
    <w:p w14:paraId="7BF1CB23" w14:textId="77777777" w:rsidR="00FF7799" w:rsidRPr="00E73F6F" w:rsidRDefault="00FF7799" w:rsidP="007C0767">
      <w:pPr>
        <w:pStyle w:val="StandardText"/>
      </w:pPr>
      <w:r w:rsidRPr="00E73F6F">
        <w:t>Zu Gruppe</w:t>
      </w:r>
      <w:r w:rsidRPr="00E73F6F">
        <w:rPr>
          <w:spacing w:val="-4"/>
        </w:rPr>
        <w:t xml:space="preserve"> </w:t>
      </w:r>
      <w:r w:rsidRPr="00E73F6F">
        <w:t>3</w:t>
      </w:r>
      <w:r w:rsidRPr="00E73F6F">
        <w:rPr>
          <w:spacing w:val="-2"/>
        </w:rPr>
        <w:t xml:space="preserve"> </w:t>
      </w:r>
      <w:r w:rsidRPr="00E73F6F">
        <w:t>gehören</w:t>
      </w:r>
      <w:r w:rsidRPr="00E73F6F">
        <w:rPr>
          <w:spacing w:val="-2"/>
        </w:rPr>
        <w:t xml:space="preserve"> </w:t>
      </w:r>
      <w:r w:rsidRPr="00E73F6F">
        <w:t>Spanien,</w:t>
      </w:r>
      <w:r w:rsidRPr="00E73F6F">
        <w:rPr>
          <w:spacing w:val="-2"/>
        </w:rPr>
        <w:t xml:space="preserve"> </w:t>
      </w:r>
      <w:r w:rsidRPr="00E73F6F">
        <w:t>Italien,</w:t>
      </w:r>
      <w:r w:rsidRPr="00E73F6F">
        <w:rPr>
          <w:spacing w:val="-3"/>
        </w:rPr>
        <w:t xml:space="preserve"> </w:t>
      </w:r>
      <w:r w:rsidRPr="00E73F6F">
        <w:t>Portugal</w:t>
      </w:r>
      <w:r w:rsidRPr="00E73F6F">
        <w:rPr>
          <w:spacing w:val="-3"/>
        </w:rPr>
        <w:t xml:space="preserve"> </w:t>
      </w:r>
      <w:r w:rsidRPr="00E73F6F">
        <w:t>und</w:t>
      </w:r>
      <w:r w:rsidRPr="00E73F6F">
        <w:rPr>
          <w:spacing w:val="-2"/>
        </w:rPr>
        <w:t xml:space="preserve"> </w:t>
      </w:r>
      <w:r w:rsidRPr="00E73F6F">
        <w:t>Griechenland.</w:t>
      </w:r>
      <w:r w:rsidRPr="00E73F6F">
        <w:rPr>
          <w:spacing w:val="-5"/>
        </w:rPr>
        <w:t xml:space="preserve"> </w:t>
      </w:r>
      <w:r w:rsidRPr="00E73F6F">
        <w:t>Die</w:t>
      </w:r>
      <w:r w:rsidRPr="00E73F6F">
        <w:rPr>
          <w:spacing w:val="-1"/>
        </w:rPr>
        <w:t xml:space="preserve"> </w:t>
      </w:r>
      <w:r w:rsidRPr="00E73F6F">
        <w:t>Bewohner dieser ausschließlich im Süden Europas gelegenen Staaten geben in allen Bereichen</w:t>
      </w:r>
      <w:r w:rsidRPr="00E73F6F">
        <w:rPr>
          <w:spacing w:val="-7"/>
        </w:rPr>
        <w:t xml:space="preserve"> </w:t>
      </w:r>
      <w:r w:rsidRPr="00E73F6F">
        <w:t>deutlich</w:t>
      </w:r>
      <w:r w:rsidRPr="00E73F6F">
        <w:rPr>
          <w:spacing w:val="-6"/>
        </w:rPr>
        <w:t xml:space="preserve"> </w:t>
      </w:r>
      <w:r w:rsidRPr="00E73F6F">
        <w:t>weniger</w:t>
      </w:r>
      <w:r w:rsidRPr="00E73F6F">
        <w:rPr>
          <w:spacing w:val="-8"/>
        </w:rPr>
        <w:t xml:space="preserve"> </w:t>
      </w:r>
      <w:r w:rsidRPr="00E73F6F">
        <w:t>Geld</w:t>
      </w:r>
      <w:r w:rsidRPr="00E73F6F">
        <w:rPr>
          <w:spacing w:val="-4"/>
        </w:rPr>
        <w:t xml:space="preserve"> </w:t>
      </w:r>
      <w:r w:rsidRPr="00E73F6F">
        <w:t>für</w:t>
      </w:r>
      <w:r w:rsidRPr="00E73F6F">
        <w:rPr>
          <w:spacing w:val="-8"/>
        </w:rPr>
        <w:t xml:space="preserve"> </w:t>
      </w:r>
      <w:r w:rsidRPr="00E73F6F">
        <w:t>Konsum</w:t>
      </w:r>
      <w:r w:rsidRPr="00E73F6F">
        <w:rPr>
          <w:spacing w:val="-9"/>
        </w:rPr>
        <w:t xml:space="preserve"> </w:t>
      </w:r>
      <w:r w:rsidRPr="00E73F6F">
        <w:t>aus</w:t>
      </w:r>
      <w:r w:rsidRPr="00E73F6F">
        <w:rPr>
          <w:spacing w:val="-8"/>
        </w:rPr>
        <w:t xml:space="preserve"> </w:t>
      </w:r>
      <w:r w:rsidRPr="00E73F6F">
        <w:t>als</w:t>
      </w:r>
      <w:r w:rsidRPr="00E73F6F">
        <w:rPr>
          <w:spacing w:val="-8"/>
        </w:rPr>
        <w:t xml:space="preserve"> </w:t>
      </w:r>
      <w:r w:rsidRPr="00E73F6F">
        <w:t>die</w:t>
      </w:r>
      <w:r w:rsidRPr="00E73F6F">
        <w:rPr>
          <w:spacing w:val="-8"/>
        </w:rPr>
        <w:t xml:space="preserve"> </w:t>
      </w:r>
      <w:r w:rsidRPr="00E73F6F">
        <w:t>anderen</w:t>
      </w:r>
      <w:r w:rsidRPr="00E73F6F">
        <w:rPr>
          <w:spacing w:val="-7"/>
        </w:rPr>
        <w:t xml:space="preserve"> </w:t>
      </w:r>
      <w:r w:rsidRPr="00E73F6F">
        <w:t>beiden</w:t>
      </w:r>
      <w:r w:rsidRPr="00E73F6F">
        <w:rPr>
          <w:spacing w:val="-7"/>
        </w:rPr>
        <w:t xml:space="preserve"> </w:t>
      </w:r>
      <w:r w:rsidRPr="00E73F6F">
        <w:t>Gruppen, sodass man von einem Nord-/Süd-Gefälle sprechen kann. Abgesehen vom Gesundheitssektor liegen alle Indexwerte teils mehr (Nachrichtenübermittlung = 56), teils weniger (Wohnen = 99) unterhalb des Basisindex von 100.</w:t>
      </w:r>
    </w:p>
    <w:p w14:paraId="060AEBB7" w14:textId="77777777" w:rsidR="00FF7799" w:rsidRPr="00E73F6F" w:rsidRDefault="00FF7799" w:rsidP="007C0767">
      <w:pPr>
        <w:pStyle w:val="StandardText"/>
      </w:pPr>
    </w:p>
    <w:p w14:paraId="6C01888B" w14:textId="77777777" w:rsidR="00FF7799" w:rsidRPr="00C76DC3" w:rsidRDefault="00FF7799" w:rsidP="00C9796F">
      <w:pPr>
        <w:pStyle w:val="BeschriftungTab"/>
        <w:rPr>
          <w:i/>
          <w:iCs/>
        </w:rPr>
      </w:pPr>
      <w:r w:rsidRPr="00C76DC3">
        <w:rPr>
          <w:i/>
          <w:iCs/>
        </w:rPr>
        <w:t>Abb.</w:t>
      </w:r>
      <w:r w:rsidRPr="00C76DC3">
        <w:rPr>
          <w:i/>
          <w:iCs/>
          <w:spacing w:val="-3"/>
        </w:rPr>
        <w:t xml:space="preserve"> </w:t>
      </w:r>
      <w:r w:rsidRPr="00C76DC3">
        <w:rPr>
          <w:i/>
          <w:iCs/>
        </w:rPr>
        <w:t>4:</w:t>
      </w:r>
      <w:r w:rsidRPr="00C76DC3">
        <w:rPr>
          <w:i/>
          <w:iCs/>
          <w:spacing w:val="-3"/>
        </w:rPr>
        <w:t xml:space="preserve"> </w:t>
      </w:r>
      <w:r w:rsidRPr="00C76DC3">
        <w:rPr>
          <w:i/>
          <w:iCs/>
        </w:rPr>
        <w:t>Länder mit</w:t>
      </w:r>
      <w:r w:rsidRPr="00C76DC3">
        <w:rPr>
          <w:i/>
          <w:iCs/>
          <w:spacing w:val="-1"/>
        </w:rPr>
        <w:t xml:space="preserve"> </w:t>
      </w:r>
      <w:r w:rsidRPr="00C76DC3">
        <w:rPr>
          <w:i/>
          <w:iCs/>
        </w:rPr>
        <w:t>vergleichbarer Struktur</w:t>
      </w:r>
      <w:r w:rsidRPr="00C76DC3">
        <w:rPr>
          <w:i/>
          <w:iCs/>
          <w:spacing w:val="-4"/>
        </w:rPr>
        <w:t xml:space="preserve"> </w:t>
      </w:r>
      <w:r w:rsidRPr="00C76DC3">
        <w:rPr>
          <w:i/>
          <w:iCs/>
        </w:rPr>
        <w:t xml:space="preserve">der </w:t>
      </w:r>
      <w:r w:rsidRPr="00C76DC3">
        <w:rPr>
          <w:i/>
          <w:iCs/>
          <w:spacing w:val="-2"/>
        </w:rPr>
        <w:t>Lebenshaltungskosten</w:t>
      </w:r>
    </w:p>
    <w:p w14:paraId="11E03E20" w14:textId="77777777" w:rsidR="00FF7799" w:rsidRPr="00E73F6F" w:rsidRDefault="00FF7799" w:rsidP="00862DBA">
      <w:pPr>
        <w:spacing w:before="10"/>
        <w:rPr>
          <w:i/>
          <w:sz w:val="24"/>
          <w:szCs w:val="24"/>
        </w:rPr>
      </w:pPr>
      <w:r w:rsidRPr="00E73F6F">
        <w:rPr>
          <w:noProof/>
          <w:sz w:val="24"/>
          <w:szCs w:val="24"/>
          <w:lang w:eastAsia="de-DE"/>
        </w:rPr>
        <mc:AlternateContent>
          <mc:Choice Requires="wpg">
            <w:drawing>
              <wp:inline distT="0" distB="0" distL="0" distR="0" wp14:anchorId="49D63642" wp14:editId="39EC4BB5">
                <wp:extent cx="5615141" cy="4188126"/>
                <wp:effectExtent l="0" t="0" r="24130" b="22225"/>
                <wp:docPr id="2296130" name="Group 10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15141" cy="4188126"/>
                          <a:chOff x="2443" y="2443"/>
                          <a:chExt cx="3645535" cy="2719070"/>
                        </a:xfrm>
                      </wpg:grpSpPr>
                      <wps:wsp>
                        <wps:cNvPr id="2296131" name="Graphic 1042"/>
                        <wps:cNvSpPr/>
                        <wps:spPr>
                          <a:xfrm>
                            <a:off x="2074325" y="955509"/>
                            <a:ext cx="817880" cy="1270"/>
                          </a:xfrm>
                          <a:custGeom>
                            <a:avLst/>
                            <a:gdLst/>
                            <a:ahLst/>
                            <a:cxnLst/>
                            <a:rect l="l" t="t" r="r" b="b"/>
                            <a:pathLst>
                              <a:path w="817880">
                                <a:moveTo>
                                  <a:pt x="0" y="0"/>
                                </a:moveTo>
                                <a:lnTo>
                                  <a:pt x="391169" y="0"/>
                                </a:lnTo>
                              </a:path>
                              <a:path w="817880">
                                <a:moveTo>
                                  <a:pt x="426347" y="0"/>
                                </a:moveTo>
                                <a:lnTo>
                                  <a:pt x="817516" y="0"/>
                                </a:lnTo>
                              </a:path>
                            </a:pathLst>
                          </a:custGeom>
                          <a:ln w="4295">
                            <a:solidFill>
                              <a:srgbClr val="000000"/>
                            </a:solidFill>
                            <a:prstDash val="dash"/>
                          </a:ln>
                        </wps:spPr>
                        <wps:bodyPr wrap="square" lIns="0" tIns="0" rIns="0" bIns="0" rtlCol="0">
                          <a:prstTxWarp prst="textNoShape">
                            <a:avLst/>
                          </a:prstTxWarp>
                          <a:noAutofit/>
                        </wps:bodyPr>
                      </wps:wsp>
                      <wps:wsp>
                        <wps:cNvPr id="2296132" name="Graphic 1043"/>
                        <wps:cNvSpPr/>
                        <wps:spPr>
                          <a:xfrm>
                            <a:off x="1222300" y="955509"/>
                            <a:ext cx="816610" cy="1270"/>
                          </a:xfrm>
                          <a:custGeom>
                            <a:avLst/>
                            <a:gdLst/>
                            <a:ahLst/>
                            <a:cxnLst/>
                            <a:rect l="l" t="t" r="r" b="b"/>
                            <a:pathLst>
                              <a:path w="816610">
                                <a:moveTo>
                                  <a:pt x="0" y="0"/>
                                </a:moveTo>
                                <a:lnTo>
                                  <a:pt x="391169" y="0"/>
                                </a:lnTo>
                              </a:path>
                              <a:path w="816610">
                                <a:moveTo>
                                  <a:pt x="425006" y="0"/>
                                </a:moveTo>
                                <a:lnTo>
                                  <a:pt x="816175" y="0"/>
                                </a:lnTo>
                              </a:path>
                            </a:pathLst>
                          </a:custGeom>
                          <a:ln w="4295">
                            <a:solidFill>
                              <a:srgbClr val="000000"/>
                            </a:solidFill>
                            <a:prstDash val="dash"/>
                          </a:ln>
                        </wps:spPr>
                        <wps:bodyPr wrap="square" lIns="0" tIns="0" rIns="0" bIns="0" rtlCol="0">
                          <a:prstTxWarp prst="textNoShape">
                            <a:avLst/>
                          </a:prstTxWarp>
                          <a:noAutofit/>
                        </wps:bodyPr>
                      </wps:wsp>
                      <wps:wsp>
                        <wps:cNvPr id="2296133" name="Graphic 1044"/>
                        <wps:cNvSpPr/>
                        <wps:spPr>
                          <a:xfrm>
                            <a:off x="2926350" y="955509"/>
                            <a:ext cx="391795" cy="1270"/>
                          </a:xfrm>
                          <a:custGeom>
                            <a:avLst/>
                            <a:gdLst/>
                            <a:ahLst/>
                            <a:cxnLst/>
                            <a:rect l="l" t="t" r="r" b="b"/>
                            <a:pathLst>
                              <a:path w="391795">
                                <a:moveTo>
                                  <a:pt x="0" y="0"/>
                                </a:moveTo>
                                <a:lnTo>
                                  <a:pt x="391169" y="0"/>
                                </a:lnTo>
                              </a:path>
                            </a:pathLst>
                          </a:custGeom>
                          <a:ln w="4295">
                            <a:solidFill>
                              <a:srgbClr val="000000"/>
                            </a:solidFill>
                            <a:prstDash val="dash"/>
                          </a:ln>
                        </wps:spPr>
                        <wps:bodyPr wrap="square" lIns="0" tIns="0" rIns="0" bIns="0" rtlCol="0">
                          <a:prstTxWarp prst="textNoShape">
                            <a:avLst/>
                          </a:prstTxWarp>
                          <a:noAutofit/>
                        </wps:bodyPr>
                      </wps:wsp>
                      <wps:wsp>
                        <wps:cNvPr id="2296134" name="Graphic 1045"/>
                        <wps:cNvSpPr/>
                        <wps:spPr>
                          <a:xfrm>
                            <a:off x="1384270" y="1113330"/>
                            <a:ext cx="1929926" cy="1416029"/>
                          </a:xfrm>
                          <a:custGeom>
                            <a:avLst/>
                            <a:gdLst/>
                            <a:ahLst/>
                            <a:cxnLst/>
                            <a:rect l="l" t="t" r="r" b="b"/>
                            <a:pathLst>
                              <a:path w="2134870" h="1327150">
                                <a:moveTo>
                                  <a:pt x="4078" y="669"/>
                                </a:moveTo>
                                <a:lnTo>
                                  <a:pt x="189320" y="0"/>
                                </a:lnTo>
                              </a:path>
                              <a:path w="2134870" h="1327150">
                                <a:moveTo>
                                  <a:pt x="0" y="335125"/>
                                </a:moveTo>
                                <a:lnTo>
                                  <a:pt x="188649" y="335795"/>
                                </a:lnTo>
                              </a:path>
                              <a:path w="2134870" h="1327150">
                                <a:moveTo>
                                  <a:pt x="0" y="207124"/>
                                </a:moveTo>
                                <a:lnTo>
                                  <a:pt x="188649" y="207793"/>
                                </a:lnTo>
                              </a:path>
                              <a:path w="2134870" h="1327150">
                                <a:moveTo>
                                  <a:pt x="190660" y="669"/>
                                </a:moveTo>
                                <a:lnTo>
                                  <a:pt x="191498" y="335125"/>
                                </a:lnTo>
                              </a:path>
                              <a:path w="2134870" h="1327150">
                                <a:moveTo>
                                  <a:pt x="4078" y="102836"/>
                                </a:moveTo>
                                <a:lnTo>
                                  <a:pt x="80945" y="103506"/>
                                </a:lnTo>
                              </a:path>
                              <a:path w="2134870" h="1327150">
                                <a:moveTo>
                                  <a:pt x="79605" y="102836"/>
                                </a:moveTo>
                                <a:lnTo>
                                  <a:pt x="80275" y="669"/>
                                </a:lnTo>
                              </a:path>
                              <a:path w="2134870" h="1327150">
                                <a:moveTo>
                                  <a:pt x="188649" y="102836"/>
                                </a:moveTo>
                                <a:lnTo>
                                  <a:pt x="433274" y="103506"/>
                                </a:lnTo>
                              </a:path>
                              <a:path w="2134870" h="1327150">
                                <a:moveTo>
                                  <a:pt x="2011" y="432940"/>
                                </a:moveTo>
                                <a:lnTo>
                                  <a:pt x="429084" y="431601"/>
                                </a:lnTo>
                              </a:path>
                              <a:path w="2134870" h="1327150">
                                <a:moveTo>
                                  <a:pt x="431263" y="102836"/>
                                </a:moveTo>
                                <a:lnTo>
                                  <a:pt x="429755" y="430931"/>
                                </a:lnTo>
                              </a:path>
                              <a:path w="2134870" h="1327150">
                                <a:moveTo>
                                  <a:pt x="4078" y="661770"/>
                                </a:moveTo>
                                <a:lnTo>
                                  <a:pt x="83124" y="661100"/>
                                </a:lnTo>
                              </a:path>
                              <a:path w="2134870" h="1327150">
                                <a:moveTo>
                                  <a:pt x="81727" y="659594"/>
                                </a:moveTo>
                                <a:lnTo>
                                  <a:pt x="82454" y="557427"/>
                                </a:lnTo>
                              </a:path>
                              <a:path w="2134870" h="1327150">
                                <a:moveTo>
                                  <a:pt x="0" y="555418"/>
                                </a:moveTo>
                                <a:lnTo>
                                  <a:pt x="266187" y="556087"/>
                                </a:lnTo>
                              </a:path>
                              <a:path w="2134870" h="1327150">
                                <a:moveTo>
                                  <a:pt x="270433" y="555418"/>
                                </a:moveTo>
                                <a:lnTo>
                                  <a:pt x="271103" y="888423"/>
                                </a:lnTo>
                              </a:path>
                              <a:path w="2134870" h="1327150">
                                <a:moveTo>
                                  <a:pt x="4078" y="763881"/>
                                </a:moveTo>
                                <a:lnTo>
                                  <a:pt x="785603" y="765276"/>
                                </a:lnTo>
                              </a:path>
                              <a:path w="2134870" h="1327150">
                                <a:moveTo>
                                  <a:pt x="785603" y="763881"/>
                                </a:moveTo>
                                <a:lnTo>
                                  <a:pt x="786274" y="215549"/>
                                </a:lnTo>
                              </a:path>
                              <a:path w="2134870" h="1327150">
                                <a:moveTo>
                                  <a:pt x="431263" y="213373"/>
                                </a:moveTo>
                                <a:lnTo>
                                  <a:pt x="789793" y="214043"/>
                                </a:lnTo>
                              </a:path>
                              <a:path w="2134870" h="1327150">
                                <a:moveTo>
                                  <a:pt x="788341" y="430931"/>
                                </a:moveTo>
                                <a:lnTo>
                                  <a:pt x="2132576" y="431601"/>
                                </a:lnTo>
                              </a:path>
                              <a:path w="2134870" h="1327150">
                                <a:moveTo>
                                  <a:pt x="8267" y="1003139"/>
                                </a:moveTo>
                                <a:lnTo>
                                  <a:pt x="269763" y="1003820"/>
                                </a:lnTo>
                              </a:path>
                              <a:path w="2134870" h="1327150">
                                <a:moveTo>
                                  <a:pt x="8267" y="1203093"/>
                                </a:moveTo>
                                <a:lnTo>
                                  <a:pt x="269763" y="1204583"/>
                                </a:lnTo>
                              </a:path>
                              <a:path w="2134870" h="1327150">
                                <a:moveTo>
                                  <a:pt x="268366" y="1001650"/>
                                </a:moveTo>
                                <a:lnTo>
                                  <a:pt x="269037" y="1205258"/>
                                </a:lnTo>
                              </a:path>
                              <a:path w="2134870" h="1327150">
                                <a:moveTo>
                                  <a:pt x="8267" y="1097562"/>
                                </a:moveTo>
                                <a:lnTo>
                                  <a:pt x="179544" y="1098242"/>
                                </a:lnTo>
                              </a:path>
                              <a:path w="2134870" h="1327150">
                                <a:moveTo>
                                  <a:pt x="181722" y="1007207"/>
                                </a:moveTo>
                                <a:lnTo>
                                  <a:pt x="180214" y="1097562"/>
                                </a:lnTo>
                              </a:path>
                              <a:path w="2134870" h="1327150">
                                <a:moveTo>
                                  <a:pt x="266187" y="1097562"/>
                                </a:moveTo>
                                <a:lnTo>
                                  <a:pt x="429084" y="1098242"/>
                                </a:lnTo>
                              </a:path>
                              <a:path w="2134870" h="1327150">
                                <a:moveTo>
                                  <a:pt x="8267" y="1326910"/>
                                </a:moveTo>
                                <a:lnTo>
                                  <a:pt x="429084" y="1325554"/>
                                </a:lnTo>
                              </a:path>
                              <a:path w="2134870" h="1327150">
                                <a:moveTo>
                                  <a:pt x="429084" y="1097562"/>
                                </a:moveTo>
                                <a:lnTo>
                                  <a:pt x="429755" y="1324065"/>
                                </a:lnTo>
                              </a:path>
                              <a:path w="2134870" h="1327150">
                                <a:moveTo>
                                  <a:pt x="429084" y="1205258"/>
                                </a:moveTo>
                                <a:lnTo>
                                  <a:pt x="2125537" y="1205939"/>
                                </a:lnTo>
                              </a:path>
                              <a:path w="2134870" h="1327150">
                                <a:moveTo>
                                  <a:pt x="2133973" y="430931"/>
                                </a:moveTo>
                                <a:lnTo>
                                  <a:pt x="2134643" y="1205258"/>
                                </a:lnTo>
                              </a:path>
                            </a:pathLst>
                          </a:custGeom>
                          <a:ln w="4208">
                            <a:solidFill>
                              <a:srgbClr val="000000"/>
                            </a:solidFill>
                            <a:prstDash val="solid"/>
                          </a:ln>
                        </wps:spPr>
                        <wps:bodyPr wrap="square" lIns="0" tIns="0" rIns="0" bIns="0" rtlCol="0">
                          <a:prstTxWarp prst="textNoShape">
                            <a:avLst/>
                          </a:prstTxWarp>
                          <a:noAutofit/>
                        </wps:bodyPr>
                      </wps:wsp>
                      <wps:wsp>
                        <wps:cNvPr id="2296135" name="Graphic 1046"/>
                        <wps:cNvSpPr/>
                        <wps:spPr>
                          <a:xfrm>
                            <a:off x="2443" y="2443"/>
                            <a:ext cx="3645535" cy="2719070"/>
                          </a:xfrm>
                          <a:custGeom>
                            <a:avLst/>
                            <a:gdLst/>
                            <a:ahLst/>
                            <a:cxnLst/>
                            <a:rect l="l" t="t" r="r" b="b"/>
                            <a:pathLst>
                              <a:path w="3645535" h="2719070">
                                <a:moveTo>
                                  <a:pt x="0" y="2718726"/>
                                </a:moveTo>
                                <a:lnTo>
                                  <a:pt x="3645295" y="2718726"/>
                                </a:lnTo>
                                <a:lnTo>
                                  <a:pt x="3645295" y="0"/>
                                </a:lnTo>
                                <a:lnTo>
                                  <a:pt x="0" y="0"/>
                                </a:lnTo>
                                <a:lnTo>
                                  <a:pt x="0" y="2718726"/>
                                </a:lnTo>
                                <a:close/>
                              </a:path>
                            </a:pathLst>
                          </a:custGeom>
                          <a:ln w="4886">
                            <a:solidFill>
                              <a:srgbClr val="000000"/>
                            </a:solidFill>
                            <a:prstDash val="solid"/>
                          </a:ln>
                        </wps:spPr>
                        <wps:bodyPr wrap="square" lIns="0" tIns="0" rIns="0" bIns="0" rtlCol="0">
                          <a:prstTxWarp prst="textNoShape">
                            <a:avLst/>
                          </a:prstTxWarp>
                          <a:noAutofit/>
                        </wps:bodyPr>
                      </wps:wsp>
                      <wps:wsp>
                        <wps:cNvPr id="2296136" name="Graphic 1047"/>
                        <wps:cNvSpPr/>
                        <wps:spPr>
                          <a:xfrm>
                            <a:off x="333858" y="1107592"/>
                            <a:ext cx="100965" cy="1421765"/>
                          </a:xfrm>
                          <a:custGeom>
                            <a:avLst/>
                            <a:gdLst/>
                            <a:ahLst/>
                            <a:cxnLst/>
                            <a:rect l="l" t="t" r="r" b="b"/>
                            <a:pathLst>
                              <a:path w="100965" h="1421765">
                                <a:moveTo>
                                  <a:pt x="100648" y="0"/>
                                </a:moveTo>
                                <a:lnTo>
                                  <a:pt x="64924" y="13280"/>
                                </a:lnTo>
                                <a:lnTo>
                                  <a:pt x="50254" y="44694"/>
                                </a:lnTo>
                                <a:lnTo>
                                  <a:pt x="50254" y="223807"/>
                                </a:lnTo>
                                <a:lnTo>
                                  <a:pt x="49578" y="232902"/>
                                </a:lnTo>
                                <a:lnTo>
                                  <a:pt x="19557" y="265098"/>
                                </a:lnTo>
                                <a:lnTo>
                                  <a:pt x="0" y="268502"/>
                                </a:lnTo>
                                <a:lnTo>
                                  <a:pt x="10457" y="269171"/>
                                </a:lnTo>
                                <a:lnTo>
                                  <a:pt x="46048" y="295843"/>
                                </a:lnTo>
                                <a:lnTo>
                                  <a:pt x="50254" y="313364"/>
                                </a:lnTo>
                                <a:lnTo>
                                  <a:pt x="50254" y="492421"/>
                                </a:lnTo>
                                <a:lnTo>
                                  <a:pt x="50936" y="501516"/>
                                </a:lnTo>
                                <a:lnTo>
                                  <a:pt x="81090" y="533601"/>
                                </a:lnTo>
                                <a:lnTo>
                                  <a:pt x="90191" y="536446"/>
                                </a:lnTo>
                                <a:lnTo>
                                  <a:pt x="100648" y="537116"/>
                                </a:lnTo>
                              </a:path>
                              <a:path w="100965" h="1421765">
                                <a:moveTo>
                                  <a:pt x="100648" y="565183"/>
                                </a:moveTo>
                                <a:lnTo>
                                  <a:pt x="58678" y="580471"/>
                                </a:lnTo>
                                <a:lnTo>
                                  <a:pt x="50254" y="599443"/>
                                </a:lnTo>
                                <a:lnTo>
                                  <a:pt x="50254" y="735033"/>
                                </a:lnTo>
                                <a:lnTo>
                                  <a:pt x="49578" y="742120"/>
                                </a:lnTo>
                                <a:lnTo>
                                  <a:pt x="19557" y="766615"/>
                                </a:lnTo>
                                <a:lnTo>
                                  <a:pt x="0" y="769349"/>
                                </a:lnTo>
                                <a:lnTo>
                                  <a:pt x="10457" y="770019"/>
                                </a:lnTo>
                                <a:lnTo>
                                  <a:pt x="46048" y="790330"/>
                                </a:lnTo>
                                <a:lnTo>
                                  <a:pt x="50254" y="803610"/>
                                </a:lnTo>
                                <a:lnTo>
                                  <a:pt x="50254" y="939367"/>
                                </a:lnTo>
                                <a:lnTo>
                                  <a:pt x="50936" y="946398"/>
                                </a:lnTo>
                                <a:lnTo>
                                  <a:pt x="81090" y="970782"/>
                                </a:lnTo>
                                <a:lnTo>
                                  <a:pt x="90191" y="972958"/>
                                </a:lnTo>
                                <a:lnTo>
                                  <a:pt x="100648" y="973628"/>
                                </a:lnTo>
                              </a:path>
                              <a:path w="100965" h="1421765">
                                <a:moveTo>
                                  <a:pt x="100648" y="1012798"/>
                                </a:moveTo>
                                <a:lnTo>
                                  <a:pt x="58678" y="1028199"/>
                                </a:lnTo>
                                <a:lnTo>
                                  <a:pt x="50254" y="1047058"/>
                                </a:lnTo>
                                <a:lnTo>
                                  <a:pt x="50254" y="1182783"/>
                                </a:lnTo>
                                <a:lnTo>
                                  <a:pt x="49578" y="1189696"/>
                                </a:lnTo>
                                <a:lnTo>
                                  <a:pt x="19557" y="1214214"/>
                                </a:lnTo>
                                <a:lnTo>
                                  <a:pt x="0" y="1217060"/>
                                </a:lnTo>
                                <a:lnTo>
                                  <a:pt x="10457" y="1217735"/>
                                </a:lnTo>
                                <a:lnTo>
                                  <a:pt x="46048" y="1238057"/>
                                </a:lnTo>
                                <a:lnTo>
                                  <a:pt x="50254" y="1251331"/>
                                </a:lnTo>
                                <a:lnTo>
                                  <a:pt x="50254" y="1386938"/>
                                </a:lnTo>
                                <a:lnTo>
                                  <a:pt x="50936" y="1393980"/>
                                </a:lnTo>
                                <a:lnTo>
                                  <a:pt x="81090" y="1418503"/>
                                </a:lnTo>
                                <a:lnTo>
                                  <a:pt x="90191" y="1420535"/>
                                </a:lnTo>
                                <a:lnTo>
                                  <a:pt x="100648" y="1421344"/>
                                </a:lnTo>
                              </a:path>
                            </a:pathLst>
                          </a:custGeom>
                          <a:ln w="4208">
                            <a:solidFill>
                              <a:srgbClr val="000000"/>
                            </a:solidFill>
                            <a:prstDash val="solid"/>
                          </a:ln>
                        </wps:spPr>
                        <wps:bodyPr wrap="square" lIns="0" tIns="0" rIns="0" bIns="0" rtlCol="0">
                          <a:prstTxWarp prst="textNoShape">
                            <a:avLst/>
                          </a:prstTxWarp>
                          <a:noAutofit/>
                        </wps:bodyPr>
                      </wps:wsp>
                      <wps:wsp>
                        <wps:cNvPr id="2296137" name="Graphic 1048"/>
                        <wps:cNvSpPr/>
                        <wps:spPr>
                          <a:xfrm>
                            <a:off x="131069" y="2255429"/>
                            <a:ext cx="130175" cy="130810"/>
                          </a:xfrm>
                          <a:custGeom>
                            <a:avLst/>
                            <a:gdLst/>
                            <a:ahLst/>
                            <a:cxnLst/>
                            <a:rect l="l" t="t" r="r" b="b"/>
                            <a:pathLst>
                              <a:path w="130175" h="130810">
                                <a:moveTo>
                                  <a:pt x="65063" y="0"/>
                                </a:moveTo>
                                <a:lnTo>
                                  <a:pt x="39826" y="5130"/>
                                </a:lnTo>
                                <a:lnTo>
                                  <a:pt x="19135" y="19100"/>
                                </a:lnTo>
                                <a:lnTo>
                                  <a:pt x="5142" y="39775"/>
                                </a:lnTo>
                                <a:lnTo>
                                  <a:pt x="0" y="65021"/>
                                </a:lnTo>
                                <a:lnTo>
                                  <a:pt x="5142" y="90605"/>
                                </a:lnTo>
                                <a:lnTo>
                                  <a:pt x="19135" y="111488"/>
                                </a:lnTo>
                                <a:lnTo>
                                  <a:pt x="39826" y="125564"/>
                                </a:lnTo>
                                <a:lnTo>
                                  <a:pt x="65063" y="130724"/>
                                </a:lnTo>
                                <a:lnTo>
                                  <a:pt x="90241" y="125564"/>
                                </a:lnTo>
                                <a:lnTo>
                                  <a:pt x="110937" y="111488"/>
                                </a:lnTo>
                                <a:lnTo>
                                  <a:pt x="124960" y="90605"/>
                                </a:lnTo>
                                <a:lnTo>
                                  <a:pt x="130122" y="65021"/>
                                </a:lnTo>
                                <a:lnTo>
                                  <a:pt x="124960" y="39775"/>
                                </a:lnTo>
                                <a:lnTo>
                                  <a:pt x="110937" y="19100"/>
                                </a:lnTo>
                                <a:lnTo>
                                  <a:pt x="90241" y="5130"/>
                                </a:lnTo>
                                <a:lnTo>
                                  <a:pt x="65063" y="0"/>
                                </a:lnTo>
                                <a:close/>
                              </a:path>
                            </a:pathLst>
                          </a:custGeom>
                          <a:solidFill>
                            <a:srgbClr val="CCCCFF"/>
                          </a:solidFill>
                        </wps:spPr>
                        <wps:bodyPr wrap="square" lIns="0" tIns="0" rIns="0" bIns="0" rtlCol="0">
                          <a:prstTxWarp prst="textNoShape">
                            <a:avLst/>
                          </a:prstTxWarp>
                          <a:noAutofit/>
                        </wps:bodyPr>
                      </wps:wsp>
                      <wps:wsp>
                        <wps:cNvPr id="2296138" name="Graphic 1049"/>
                        <wps:cNvSpPr/>
                        <wps:spPr>
                          <a:xfrm>
                            <a:off x="131069" y="2255429"/>
                            <a:ext cx="130175" cy="130810"/>
                          </a:xfrm>
                          <a:custGeom>
                            <a:avLst/>
                            <a:gdLst/>
                            <a:ahLst/>
                            <a:cxnLst/>
                            <a:rect l="l" t="t" r="r" b="b"/>
                            <a:pathLst>
                              <a:path w="130175" h="130810">
                                <a:moveTo>
                                  <a:pt x="0" y="65021"/>
                                </a:moveTo>
                                <a:lnTo>
                                  <a:pt x="5142" y="90605"/>
                                </a:lnTo>
                                <a:lnTo>
                                  <a:pt x="19135" y="111488"/>
                                </a:lnTo>
                                <a:lnTo>
                                  <a:pt x="39826" y="125564"/>
                                </a:lnTo>
                                <a:lnTo>
                                  <a:pt x="65063" y="130724"/>
                                </a:lnTo>
                                <a:lnTo>
                                  <a:pt x="90241" y="125564"/>
                                </a:lnTo>
                                <a:lnTo>
                                  <a:pt x="110937" y="111488"/>
                                </a:lnTo>
                                <a:lnTo>
                                  <a:pt x="124960" y="90605"/>
                                </a:lnTo>
                                <a:lnTo>
                                  <a:pt x="130122" y="65021"/>
                                </a:lnTo>
                                <a:lnTo>
                                  <a:pt x="124960" y="39775"/>
                                </a:lnTo>
                                <a:lnTo>
                                  <a:pt x="110937" y="19100"/>
                                </a:lnTo>
                                <a:lnTo>
                                  <a:pt x="90241" y="5130"/>
                                </a:lnTo>
                                <a:lnTo>
                                  <a:pt x="65063" y="0"/>
                                </a:lnTo>
                                <a:lnTo>
                                  <a:pt x="39826" y="5130"/>
                                </a:lnTo>
                                <a:lnTo>
                                  <a:pt x="19135" y="19100"/>
                                </a:lnTo>
                                <a:lnTo>
                                  <a:pt x="5142" y="39775"/>
                                </a:lnTo>
                                <a:lnTo>
                                  <a:pt x="0" y="65021"/>
                                </a:lnTo>
                                <a:close/>
                              </a:path>
                            </a:pathLst>
                          </a:custGeom>
                          <a:ln w="4208">
                            <a:solidFill>
                              <a:srgbClr val="000000"/>
                            </a:solidFill>
                            <a:prstDash val="solid"/>
                          </a:ln>
                        </wps:spPr>
                        <wps:bodyPr wrap="square" lIns="0" tIns="0" rIns="0" bIns="0" rtlCol="0">
                          <a:prstTxWarp prst="textNoShape">
                            <a:avLst/>
                          </a:prstTxWarp>
                          <a:noAutofit/>
                        </wps:bodyPr>
                      </wps:wsp>
                      <wps:wsp>
                        <wps:cNvPr id="2296139" name="Graphic 1050"/>
                        <wps:cNvSpPr/>
                        <wps:spPr>
                          <a:xfrm>
                            <a:off x="131069" y="2255429"/>
                            <a:ext cx="130175" cy="130810"/>
                          </a:xfrm>
                          <a:custGeom>
                            <a:avLst/>
                            <a:gdLst/>
                            <a:ahLst/>
                            <a:cxnLst/>
                            <a:rect l="l" t="t" r="r" b="b"/>
                            <a:pathLst>
                              <a:path w="130175" h="130810">
                                <a:moveTo>
                                  <a:pt x="65063" y="0"/>
                                </a:moveTo>
                                <a:lnTo>
                                  <a:pt x="39826" y="5130"/>
                                </a:lnTo>
                                <a:lnTo>
                                  <a:pt x="19135" y="19100"/>
                                </a:lnTo>
                                <a:lnTo>
                                  <a:pt x="5142" y="39775"/>
                                </a:lnTo>
                                <a:lnTo>
                                  <a:pt x="0" y="65021"/>
                                </a:lnTo>
                                <a:lnTo>
                                  <a:pt x="5142" y="90605"/>
                                </a:lnTo>
                                <a:lnTo>
                                  <a:pt x="19135" y="111488"/>
                                </a:lnTo>
                                <a:lnTo>
                                  <a:pt x="39826" y="125564"/>
                                </a:lnTo>
                                <a:lnTo>
                                  <a:pt x="65063" y="130724"/>
                                </a:lnTo>
                                <a:lnTo>
                                  <a:pt x="90241" y="125564"/>
                                </a:lnTo>
                                <a:lnTo>
                                  <a:pt x="110937" y="111488"/>
                                </a:lnTo>
                                <a:lnTo>
                                  <a:pt x="124960" y="90605"/>
                                </a:lnTo>
                                <a:lnTo>
                                  <a:pt x="130122" y="65021"/>
                                </a:lnTo>
                                <a:lnTo>
                                  <a:pt x="124960" y="39775"/>
                                </a:lnTo>
                                <a:lnTo>
                                  <a:pt x="110937" y="19100"/>
                                </a:lnTo>
                                <a:lnTo>
                                  <a:pt x="90241" y="5130"/>
                                </a:lnTo>
                                <a:lnTo>
                                  <a:pt x="65063" y="0"/>
                                </a:lnTo>
                                <a:close/>
                              </a:path>
                            </a:pathLst>
                          </a:custGeom>
                          <a:solidFill>
                            <a:srgbClr val="CCCCFF"/>
                          </a:solidFill>
                        </wps:spPr>
                        <wps:bodyPr wrap="square" lIns="0" tIns="0" rIns="0" bIns="0" rtlCol="0">
                          <a:prstTxWarp prst="textNoShape">
                            <a:avLst/>
                          </a:prstTxWarp>
                          <a:noAutofit/>
                        </wps:bodyPr>
                      </wps:wsp>
                      <wps:wsp>
                        <wps:cNvPr id="2296140" name="Graphic 1051"/>
                        <wps:cNvSpPr/>
                        <wps:spPr>
                          <a:xfrm>
                            <a:off x="131069" y="2255429"/>
                            <a:ext cx="130175" cy="130810"/>
                          </a:xfrm>
                          <a:custGeom>
                            <a:avLst/>
                            <a:gdLst/>
                            <a:ahLst/>
                            <a:cxnLst/>
                            <a:rect l="l" t="t" r="r" b="b"/>
                            <a:pathLst>
                              <a:path w="130175" h="130810">
                                <a:moveTo>
                                  <a:pt x="0" y="65021"/>
                                </a:moveTo>
                                <a:lnTo>
                                  <a:pt x="5142" y="90605"/>
                                </a:lnTo>
                                <a:lnTo>
                                  <a:pt x="19135" y="111488"/>
                                </a:lnTo>
                                <a:lnTo>
                                  <a:pt x="39826" y="125564"/>
                                </a:lnTo>
                                <a:lnTo>
                                  <a:pt x="65063" y="130724"/>
                                </a:lnTo>
                                <a:lnTo>
                                  <a:pt x="90241" y="125564"/>
                                </a:lnTo>
                                <a:lnTo>
                                  <a:pt x="110937" y="111488"/>
                                </a:lnTo>
                                <a:lnTo>
                                  <a:pt x="124960" y="90605"/>
                                </a:lnTo>
                                <a:lnTo>
                                  <a:pt x="130122" y="65021"/>
                                </a:lnTo>
                                <a:lnTo>
                                  <a:pt x="124960" y="39775"/>
                                </a:lnTo>
                                <a:lnTo>
                                  <a:pt x="110937" y="19100"/>
                                </a:lnTo>
                                <a:lnTo>
                                  <a:pt x="90241" y="5130"/>
                                </a:lnTo>
                                <a:lnTo>
                                  <a:pt x="65063" y="0"/>
                                </a:lnTo>
                                <a:lnTo>
                                  <a:pt x="39826" y="5130"/>
                                </a:lnTo>
                                <a:lnTo>
                                  <a:pt x="19135" y="19100"/>
                                </a:lnTo>
                                <a:lnTo>
                                  <a:pt x="5142" y="39775"/>
                                </a:lnTo>
                                <a:lnTo>
                                  <a:pt x="0" y="65021"/>
                                </a:lnTo>
                                <a:close/>
                              </a:path>
                            </a:pathLst>
                          </a:custGeom>
                          <a:ln w="4208">
                            <a:solidFill>
                              <a:srgbClr val="000000"/>
                            </a:solidFill>
                            <a:prstDash val="solid"/>
                          </a:ln>
                        </wps:spPr>
                        <wps:bodyPr wrap="square" lIns="0" tIns="0" rIns="0" bIns="0" rtlCol="0">
                          <a:prstTxWarp prst="textNoShape">
                            <a:avLst/>
                          </a:prstTxWarp>
                          <a:noAutofit/>
                        </wps:bodyPr>
                      </wps:wsp>
                      <wps:wsp>
                        <wps:cNvPr id="2296141" name="Graphic 1052"/>
                        <wps:cNvSpPr/>
                        <wps:spPr>
                          <a:xfrm>
                            <a:off x="132566" y="1802842"/>
                            <a:ext cx="130175" cy="130810"/>
                          </a:xfrm>
                          <a:custGeom>
                            <a:avLst/>
                            <a:gdLst/>
                            <a:ahLst/>
                            <a:cxnLst/>
                            <a:rect l="l" t="t" r="r" b="b"/>
                            <a:pathLst>
                              <a:path w="130175" h="130810">
                                <a:moveTo>
                                  <a:pt x="64924" y="0"/>
                                </a:moveTo>
                                <a:lnTo>
                                  <a:pt x="39765" y="5150"/>
                                </a:lnTo>
                                <a:lnTo>
                                  <a:pt x="19115" y="19152"/>
                                </a:lnTo>
                                <a:lnTo>
                                  <a:pt x="5139" y="39829"/>
                                </a:lnTo>
                                <a:lnTo>
                                  <a:pt x="0" y="65005"/>
                                </a:lnTo>
                                <a:lnTo>
                                  <a:pt x="5139" y="90647"/>
                                </a:lnTo>
                                <a:lnTo>
                                  <a:pt x="19115" y="111534"/>
                                </a:lnTo>
                                <a:lnTo>
                                  <a:pt x="39765" y="125589"/>
                                </a:lnTo>
                                <a:lnTo>
                                  <a:pt x="64924" y="130735"/>
                                </a:lnTo>
                                <a:lnTo>
                                  <a:pt x="90158" y="125589"/>
                                </a:lnTo>
                                <a:lnTo>
                                  <a:pt x="110847" y="111534"/>
                                </a:lnTo>
                                <a:lnTo>
                                  <a:pt x="124840" y="90647"/>
                                </a:lnTo>
                                <a:lnTo>
                                  <a:pt x="129982" y="65005"/>
                                </a:lnTo>
                                <a:lnTo>
                                  <a:pt x="124840" y="39829"/>
                                </a:lnTo>
                                <a:lnTo>
                                  <a:pt x="110847" y="19152"/>
                                </a:lnTo>
                                <a:lnTo>
                                  <a:pt x="90158" y="5150"/>
                                </a:lnTo>
                                <a:lnTo>
                                  <a:pt x="64924" y="0"/>
                                </a:lnTo>
                                <a:close/>
                              </a:path>
                            </a:pathLst>
                          </a:custGeom>
                          <a:solidFill>
                            <a:srgbClr val="CCCCFF"/>
                          </a:solidFill>
                        </wps:spPr>
                        <wps:bodyPr wrap="square" lIns="0" tIns="0" rIns="0" bIns="0" rtlCol="0">
                          <a:prstTxWarp prst="textNoShape">
                            <a:avLst/>
                          </a:prstTxWarp>
                          <a:noAutofit/>
                        </wps:bodyPr>
                      </wps:wsp>
                      <wps:wsp>
                        <wps:cNvPr id="2296142" name="Graphic 1053"/>
                        <wps:cNvSpPr/>
                        <wps:spPr>
                          <a:xfrm>
                            <a:off x="132566" y="1802842"/>
                            <a:ext cx="130175" cy="130810"/>
                          </a:xfrm>
                          <a:custGeom>
                            <a:avLst/>
                            <a:gdLst/>
                            <a:ahLst/>
                            <a:cxnLst/>
                            <a:rect l="l" t="t" r="r" b="b"/>
                            <a:pathLst>
                              <a:path w="130175" h="130810">
                                <a:moveTo>
                                  <a:pt x="0" y="65005"/>
                                </a:moveTo>
                                <a:lnTo>
                                  <a:pt x="5139" y="90647"/>
                                </a:lnTo>
                                <a:lnTo>
                                  <a:pt x="19115" y="111534"/>
                                </a:lnTo>
                                <a:lnTo>
                                  <a:pt x="39765" y="125589"/>
                                </a:lnTo>
                                <a:lnTo>
                                  <a:pt x="64924" y="130735"/>
                                </a:lnTo>
                                <a:lnTo>
                                  <a:pt x="90158" y="125589"/>
                                </a:lnTo>
                                <a:lnTo>
                                  <a:pt x="110847" y="111534"/>
                                </a:lnTo>
                                <a:lnTo>
                                  <a:pt x="124840" y="90647"/>
                                </a:lnTo>
                                <a:lnTo>
                                  <a:pt x="129982" y="65005"/>
                                </a:lnTo>
                                <a:lnTo>
                                  <a:pt x="124840" y="39829"/>
                                </a:lnTo>
                                <a:lnTo>
                                  <a:pt x="110847" y="19152"/>
                                </a:lnTo>
                                <a:lnTo>
                                  <a:pt x="90158" y="5150"/>
                                </a:lnTo>
                                <a:lnTo>
                                  <a:pt x="64924" y="0"/>
                                </a:lnTo>
                                <a:lnTo>
                                  <a:pt x="39765" y="5150"/>
                                </a:lnTo>
                                <a:lnTo>
                                  <a:pt x="19115" y="19152"/>
                                </a:lnTo>
                                <a:lnTo>
                                  <a:pt x="5139" y="39829"/>
                                </a:lnTo>
                                <a:lnTo>
                                  <a:pt x="0" y="65005"/>
                                </a:lnTo>
                                <a:close/>
                              </a:path>
                            </a:pathLst>
                          </a:custGeom>
                          <a:ln w="4208">
                            <a:solidFill>
                              <a:srgbClr val="000000"/>
                            </a:solidFill>
                            <a:prstDash val="solid"/>
                          </a:ln>
                        </wps:spPr>
                        <wps:bodyPr wrap="square" lIns="0" tIns="0" rIns="0" bIns="0" rtlCol="0">
                          <a:prstTxWarp prst="textNoShape">
                            <a:avLst/>
                          </a:prstTxWarp>
                          <a:noAutofit/>
                        </wps:bodyPr>
                      </wps:wsp>
                      <wps:wsp>
                        <wps:cNvPr id="2296143" name="Graphic 1054"/>
                        <wps:cNvSpPr/>
                        <wps:spPr>
                          <a:xfrm>
                            <a:off x="132566" y="1802842"/>
                            <a:ext cx="130175" cy="130810"/>
                          </a:xfrm>
                          <a:custGeom>
                            <a:avLst/>
                            <a:gdLst/>
                            <a:ahLst/>
                            <a:cxnLst/>
                            <a:rect l="l" t="t" r="r" b="b"/>
                            <a:pathLst>
                              <a:path w="130175" h="130810">
                                <a:moveTo>
                                  <a:pt x="64924" y="0"/>
                                </a:moveTo>
                                <a:lnTo>
                                  <a:pt x="39765" y="5150"/>
                                </a:lnTo>
                                <a:lnTo>
                                  <a:pt x="19115" y="19152"/>
                                </a:lnTo>
                                <a:lnTo>
                                  <a:pt x="5139" y="39829"/>
                                </a:lnTo>
                                <a:lnTo>
                                  <a:pt x="0" y="65005"/>
                                </a:lnTo>
                                <a:lnTo>
                                  <a:pt x="5139" y="90647"/>
                                </a:lnTo>
                                <a:lnTo>
                                  <a:pt x="19115" y="111534"/>
                                </a:lnTo>
                                <a:lnTo>
                                  <a:pt x="39765" y="125589"/>
                                </a:lnTo>
                                <a:lnTo>
                                  <a:pt x="64924" y="130735"/>
                                </a:lnTo>
                                <a:lnTo>
                                  <a:pt x="90158" y="125589"/>
                                </a:lnTo>
                                <a:lnTo>
                                  <a:pt x="110847" y="111534"/>
                                </a:lnTo>
                                <a:lnTo>
                                  <a:pt x="124840" y="90647"/>
                                </a:lnTo>
                                <a:lnTo>
                                  <a:pt x="129982" y="65005"/>
                                </a:lnTo>
                                <a:lnTo>
                                  <a:pt x="124840" y="39829"/>
                                </a:lnTo>
                                <a:lnTo>
                                  <a:pt x="110847" y="19152"/>
                                </a:lnTo>
                                <a:lnTo>
                                  <a:pt x="90158" y="5150"/>
                                </a:lnTo>
                                <a:lnTo>
                                  <a:pt x="64924" y="0"/>
                                </a:lnTo>
                                <a:close/>
                              </a:path>
                            </a:pathLst>
                          </a:custGeom>
                          <a:solidFill>
                            <a:srgbClr val="CCCCFF"/>
                          </a:solidFill>
                        </wps:spPr>
                        <wps:bodyPr wrap="square" lIns="0" tIns="0" rIns="0" bIns="0" rtlCol="0">
                          <a:prstTxWarp prst="textNoShape">
                            <a:avLst/>
                          </a:prstTxWarp>
                          <a:noAutofit/>
                        </wps:bodyPr>
                      </wps:wsp>
                      <wps:wsp>
                        <wps:cNvPr id="2296144" name="Graphic 1055"/>
                        <wps:cNvSpPr/>
                        <wps:spPr>
                          <a:xfrm>
                            <a:off x="132566" y="1802842"/>
                            <a:ext cx="130175" cy="130810"/>
                          </a:xfrm>
                          <a:custGeom>
                            <a:avLst/>
                            <a:gdLst/>
                            <a:ahLst/>
                            <a:cxnLst/>
                            <a:rect l="l" t="t" r="r" b="b"/>
                            <a:pathLst>
                              <a:path w="130175" h="130810">
                                <a:moveTo>
                                  <a:pt x="0" y="65005"/>
                                </a:moveTo>
                                <a:lnTo>
                                  <a:pt x="5139" y="90647"/>
                                </a:lnTo>
                                <a:lnTo>
                                  <a:pt x="19115" y="111534"/>
                                </a:lnTo>
                                <a:lnTo>
                                  <a:pt x="39765" y="125589"/>
                                </a:lnTo>
                                <a:lnTo>
                                  <a:pt x="64924" y="130735"/>
                                </a:lnTo>
                                <a:lnTo>
                                  <a:pt x="90158" y="125589"/>
                                </a:lnTo>
                                <a:lnTo>
                                  <a:pt x="110847" y="111534"/>
                                </a:lnTo>
                                <a:lnTo>
                                  <a:pt x="124840" y="90647"/>
                                </a:lnTo>
                                <a:lnTo>
                                  <a:pt x="129982" y="65005"/>
                                </a:lnTo>
                                <a:lnTo>
                                  <a:pt x="124840" y="39829"/>
                                </a:lnTo>
                                <a:lnTo>
                                  <a:pt x="110847" y="19152"/>
                                </a:lnTo>
                                <a:lnTo>
                                  <a:pt x="90158" y="5150"/>
                                </a:lnTo>
                                <a:lnTo>
                                  <a:pt x="64924" y="0"/>
                                </a:lnTo>
                                <a:lnTo>
                                  <a:pt x="39765" y="5150"/>
                                </a:lnTo>
                                <a:lnTo>
                                  <a:pt x="19115" y="19152"/>
                                </a:lnTo>
                                <a:lnTo>
                                  <a:pt x="5139" y="39829"/>
                                </a:lnTo>
                                <a:lnTo>
                                  <a:pt x="0" y="65005"/>
                                </a:lnTo>
                                <a:close/>
                              </a:path>
                            </a:pathLst>
                          </a:custGeom>
                          <a:ln w="4208">
                            <a:solidFill>
                              <a:srgbClr val="000000"/>
                            </a:solidFill>
                            <a:prstDash val="solid"/>
                          </a:ln>
                        </wps:spPr>
                        <wps:bodyPr wrap="square" lIns="0" tIns="0" rIns="0" bIns="0" rtlCol="0">
                          <a:prstTxWarp prst="textNoShape">
                            <a:avLst/>
                          </a:prstTxWarp>
                          <a:noAutofit/>
                        </wps:bodyPr>
                      </wps:wsp>
                      <wps:wsp>
                        <wps:cNvPr id="2296145" name="Graphic 1056"/>
                        <wps:cNvSpPr/>
                        <wps:spPr>
                          <a:xfrm>
                            <a:off x="132566" y="1310420"/>
                            <a:ext cx="130175" cy="131445"/>
                          </a:xfrm>
                          <a:custGeom>
                            <a:avLst/>
                            <a:gdLst/>
                            <a:ahLst/>
                            <a:cxnLst/>
                            <a:rect l="l" t="t" r="r" b="b"/>
                            <a:pathLst>
                              <a:path w="130175" h="131445">
                                <a:moveTo>
                                  <a:pt x="64924" y="0"/>
                                </a:moveTo>
                                <a:lnTo>
                                  <a:pt x="39765" y="5143"/>
                                </a:lnTo>
                                <a:lnTo>
                                  <a:pt x="19115" y="19131"/>
                                </a:lnTo>
                                <a:lnTo>
                                  <a:pt x="5139" y="39806"/>
                                </a:lnTo>
                                <a:lnTo>
                                  <a:pt x="0" y="65005"/>
                                </a:lnTo>
                                <a:lnTo>
                                  <a:pt x="5139" y="90664"/>
                                </a:lnTo>
                                <a:lnTo>
                                  <a:pt x="19115" y="111590"/>
                                </a:lnTo>
                                <a:lnTo>
                                  <a:pt x="39765" y="125683"/>
                                </a:lnTo>
                                <a:lnTo>
                                  <a:pt x="64924" y="130847"/>
                                </a:lnTo>
                                <a:lnTo>
                                  <a:pt x="90158" y="125683"/>
                                </a:lnTo>
                                <a:lnTo>
                                  <a:pt x="110847" y="111590"/>
                                </a:lnTo>
                                <a:lnTo>
                                  <a:pt x="124840" y="90664"/>
                                </a:lnTo>
                                <a:lnTo>
                                  <a:pt x="129982" y="65005"/>
                                </a:lnTo>
                                <a:lnTo>
                                  <a:pt x="124840" y="39806"/>
                                </a:lnTo>
                                <a:lnTo>
                                  <a:pt x="110847" y="19131"/>
                                </a:lnTo>
                                <a:lnTo>
                                  <a:pt x="90158" y="5143"/>
                                </a:lnTo>
                                <a:lnTo>
                                  <a:pt x="64924" y="0"/>
                                </a:lnTo>
                                <a:close/>
                              </a:path>
                            </a:pathLst>
                          </a:custGeom>
                          <a:solidFill>
                            <a:srgbClr val="CCCCFF"/>
                          </a:solidFill>
                        </wps:spPr>
                        <wps:bodyPr wrap="square" lIns="0" tIns="0" rIns="0" bIns="0" rtlCol="0">
                          <a:prstTxWarp prst="textNoShape">
                            <a:avLst/>
                          </a:prstTxWarp>
                          <a:noAutofit/>
                        </wps:bodyPr>
                      </wps:wsp>
                      <wps:wsp>
                        <wps:cNvPr id="2296146" name="Graphic 1057"/>
                        <wps:cNvSpPr/>
                        <wps:spPr>
                          <a:xfrm>
                            <a:off x="132566" y="1310420"/>
                            <a:ext cx="130175" cy="131445"/>
                          </a:xfrm>
                          <a:custGeom>
                            <a:avLst/>
                            <a:gdLst/>
                            <a:ahLst/>
                            <a:cxnLst/>
                            <a:rect l="l" t="t" r="r" b="b"/>
                            <a:pathLst>
                              <a:path w="130175" h="131445">
                                <a:moveTo>
                                  <a:pt x="0" y="65005"/>
                                </a:moveTo>
                                <a:lnTo>
                                  <a:pt x="5139" y="90664"/>
                                </a:lnTo>
                                <a:lnTo>
                                  <a:pt x="19115" y="111590"/>
                                </a:lnTo>
                                <a:lnTo>
                                  <a:pt x="39765" y="125683"/>
                                </a:lnTo>
                                <a:lnTo>
                                  <a:pt x="64924" y="130847"/>
                                </a:lnTo>
                                <a:lnTo>
                                  <a:pt x="90158" y="125683"/>
                                </a:lnTo>
                                <a:lnTo>
                                  <a:pt x="110847" y="111590"/>
                                </a:lnTo>
                                <a:lnTo>
                                  <a:pt x="124840" y="90664"/>
                                </a:lnTo>
                                <a:lnTo>
                                  <a:pt x="129982" y="65005"/>
                                </a:lnTo>
                                <a:lnTo>
                                  <a:pt x="124840" y="39806"/>
                                </a:lnTo>
                                <a:lnTo>
                                  <a:pt x="110847" y="19131"/>
                                </a:lnTo>
                                <a:lnTo>
                                  <a:pt x="90158" y="5143"/>
                                </a:lnTo>
                                <a:lnTo>
                                  <a:pt x="64924" y="0"/>
                                </a:lnTo>
                                <a:lnTo>
                                  <a:pt x="39765" y="5143"/>
                                </a:lnTo>
                                <a:lnTo>
                                  <a:pt x="19115" y="19131"/>
                                </a:lnTo>
                                <a:lnTo>
                                  <a:pt x="5139" y="39806"/>
                                </a:lnTo>
                                <a:lnTo>
                                  <a:pt x="0" y="65005"/>
                                </a:lnTo>
                                <a:close/>
                              </a:path>
                            </a:pathLst>
                          </a:custGeom>
                          <a:ln w="4208">
                            <a:solidFill>
                              <a:srgbClr val="000000"/>
                            </a:solidFill>
                            <a:prstDash val="solid"/>
                          </a:ln>
                        </wps:spPr>
                        <wps:bodyPr wrap="square" lIns="0" tIns="0" rIns="0" bIns="0" rtlCol="0">
                          <a:prstTxWarp prst="textNoShape">
                            <a:avLst/>
                          </a:prstTxWarp>
                          <a:noAutofit/>
                        </wps:bodyPr>
                      </wps:wsp>
                      <wps:wsp>
                        <wps:cNvPr id="2296147" name="Graphic 1058"/>
                        <wps:cNvSpPr/>
                        <wps:spPr>
                          <a:xfrm>
                            <a:off x="132566" y="1310420"/>
                            <a:ext cx="130175" cy="131445"/>
                          </a:xfrm>
                          <a:custGeom>
                            <a:avLst/>
                            <a:gdLst/>
                            <a:ahLst/>
                            <a:cxnLst/>
                            <a:rect l="l" t="t" r="r" b="b"/>
                            <a:pathLst>
                              <a:path w="130175" h="131445">
                                <a:moveTo>
                                  <a:pt x="64924" y="0"/>
                                </a:moveTo>
                                <a:lnTo>
                                  <a:pt x="39765" y="5143"/>
                                </a:lnTo>
                                <a:lnTo>
                                  <a:pt x="19115" y="19131"/>
                                </a:lnTo>
                                <a:lnTo>
                                  <a:pt x="5139" y="39806"/>
                                </a:lnTo>
                                <a:lnTo>
                                  <a:pt x="0" y="65005"/>
                                </a:lnTo>
                                <a:lnTo>
                                  <a:pt x="5139" y="90664"/>
                                </a:lnTo>
                                <a:lnTo>
                                  <a:pt x="19115" y="111590"/>
                                </a:lnTo>
                                <a:lnTo>
                                  <a:pt x="39765" y="125683"/>
                                </a:lnTo>
                                <a:lnTo>
                                  <a:pt x="64924" y="130847"/>
                                </a:lnTo>
                                <a:lnTo>
                                  <a:pt x="90158" y="125683"/>
                                </a:lnTo>
                                <a:lnTo>
                                  <a:pt x="110847" y="111590"/>
                                </a:lnTo>
                                <a:lnTo>
                                  <a:pt x="124840" y="90664"/>
                                </a:lnTo>
                                <a:lnTo>
                                  <a:pt x="129982" y="65005"/>
                                </a:lnTo>
                                <a:lnTo>
                                  <a:pt x="124840" y="39806"/>
                                </a:lnTo>
                                <a:lnTo>
                                  <a:pt x="110847" y="19131"/>
                                </a:lnTo>
                                <a:lnTo>
                                  <a:pt x="90158" y="5143"/>
                                </a:lnTo>
                                <a:lnTo>
                                  <a:pt x="64924" y="0"/>
                                </a:lnTo>
                                <a:close/>
                              </a:path>
                            </a:pathLst>
                          </a:custGeom>
                          <a:solidFill>
                            <a:srgbClr val="CCCCFF"/>
                          </a:solidFill>
                        </wps:spPr>
                        <wps:bodyPr wrap="square" lIns="0" tIns="0" rIns="0" bIns="0" rtlCol="0">
                          <a:prstTxWarp prst="textNoShape">
                            <a:avLst/>
                          </a:prstTxWarp>
                          <a:noAutofit/>
                        </wps:bodyPr>
                      </wps:wsp>
                      <wps:wsp>
                        <wps:cNvPr id="2296148" name="Graphic 1059"/>
                        <wps:cNvSpPr/>
                        <wps:spPr>
                          <a:xfrm>
                            <a:off x="132566" y="1310420"/>
                            <a:ext cx="130175" cy="131445"/>
                          </a:xfrm>
                          <a:custGeom>
                            <a:avLst/>
                            <a:gdLst/>
                            <a:ahLst/>
                            <a:cxnLst/>
                            <a:rect l="l" t="t" r="r" b="b"/>
                            <a:pathLst>
                              <a:path w="130175" h="131445">
                                <a:moveTo>
                                  <a:pt x="0" y="65005"/>
                                </a:moveTo>
                                <a:lnTo>
                                  <a:pt x="5139" y="90664"/>
                                </a:lnTo>
                                <a:lnTo>
                                  <a:pt x="19115" y="111590"/>
                                </a:lnTo>
                                <a:lnTo>
                                  <a:pt x="39765" y="125683"/>
                                </a:lnTo>
                                <a:lnTo>
                                  <a:pt x="64924" y="130847"/>
                                </a:lnTo>
                                <a:lnTo>
                                  <a:pt x="90158" y="125683"/>
                                </a:lnTo>
                                <a:lnTo>
                                  <a:pt x="110847" y="111590"/>
                                </a:lnTo>
                                <a:lnTo>
                                  <a:pt x="124840" y="90664"/>
                                </a:lnTo>
                                <a:lnTo>
                                  <a:pt x="129982" y="65005"/>
                                </a:lnTo>
                                <a:lnTo>
                                  <a:pt x="124840" y="39806"/>
                                </a:lnTo>
                                <a:lnTo>
                                  <a:pt x="110847" y="19131"/>
                                </a:lnTo>
                                <a:lnTo>
                                  <a:pt x="90158" y="5143"/>
                                </a:lnTo>
                                <a:lnTo>
                                  <a:pt x="64924" y="0"/>
                                </a:lnTo>
                                <a:lnTo>
                                  <a:pt x="39765" y="5143"/>
                                </a:lnTo>
                                <a:lnTo>
                                  <a:pt x="19115" y="19131"/>
                                </a:lnTo>
                                <a:lnTo>
                                  <a:pt x="5139" y="39806"/>
                                </a:lnTo>
                                <a:lnTo>
                                  <a:pt x="0" y="65005"/>
                                </a:lnTo>
                                <a:close/>
                              </a:path>
                            </a:pathLst>
                          </a:custGeom>
                          <a:ln w="4208">
                            <a:solidFill>
                              <a:srgbClr val="000000"/>
                            </a:solidFill>
                            <a:prstDash val="solid"/>
                          </a:ln>
                        </wps:spPr>
                        <wps:bodyPr wrap="square" lIns="0" tIns="0" rIns="0" bIns="0" rtlCol="0">
                          <a:prstTxWarp prst="textNoShape">
                            <a:avLst/>
                          </a:prstTxWarp>
                          <a:noAutofit/>
                        </wps:bodyPr>
                      </wps:wsp>
                      <wps:wsp>
                        <wps:cNvPr id="2296149" name="Textbox 1060"/>
                        <wps:cNvSpPr txBox="1"/>
                        <wps:spPr>
                          <a:xfrm>
                            <a:off x="192597" y="139157"/>
                            <a:ext cx="3432810" cy="526415"/>
                          </a:xfrm>
                          <a:prstGeom prst="rect">
                            <a:avLst/>
                          </a:prstGeom>
                        </wps:spPr>
                        <wps:txbx>
                          <w:txbxContent>
                            <w:p w14:paraId="07A3E5D9" w14:textId="77777777" w:rsidR="00E17A2B" w:rsidRPr="00C9796F" w:rsidRDefault="00E17A2B" w:rsidP="004F0929">
                              <w:pPr>
                                <w:tabs>
                                  <w:tab w:val="left" w:pos="3627"/>
                                </w:tabs>
                                <w:spacing w:before="3"/>
                                <w:rPr>
                                  <w:rFonts w:ascii="Courier New"/>
                                  <w:sz w:val="16"/>
                                  <w:szCs w:val="16"/>
                                  <w:lang w:val="en-US"/>
                                </w:rPr>
                              </w:pPr>
                              <w:r w:rsidRPr="00C9796F">
                                <w:rPr>
                                  <w:rFonts w:ascii="Courier New"/>
                                  <w:w w:val="105"/>
                                  <w:sz w:val="16"/>
                                  <w:szCs w:val="16"/>
                                  <w:lang w:val="en-US"/>
                                </w:rPr>
                                <w:t>*</w:t>
                              </w:r>
                              <w:r w:rsidRPr="00C9796F">
                                <w:rPr>
                                  <w:rFonts w:ascii="Courier New"/>
                                  <w:spacing w:val="-2"/>
                                  <w:w w:val="105"/>
                                  <w:sz w:val="16"/>
                                  <w:szCs w:val="16"/>
                                  <w:lang w:val="en-US"/>
                                </w:rPr>
                                <w:t xml:space="preserve"> </w:t>
                              </w:r>
                              <w:r w:rsidRPr="00C9796F">
                                <w:rPr>
                                  <w:rFonts w:ascii="Courier New"/>
                                  <w:w w:val="105"/>
                                  <w:sz w:val="16"/>
                                  <w:szCs w:val="16"/>
                                  <w:lang w:val="en-US"/>
                                </w:rPr>
                                <w:t>*</w:t>
                              </w:r>
                              <w:r w:rsidRPr="00C9796F">
                                <w:rPr>
                                  <w:rFonts w:ascii="Courier New"/>
                                  <w:spacing w:val="-2"/>
                                  <w:w w:val="105"/>
                                  <w:sz w:val="16"/>
                                  <w:szCs w:val="16"/>
                                  <w:lang w:val="en-US"/>
                                </w:rPr>
                                <w:t xml:space="preserve"> </w:t>
                              </w:r>
                              <w:r w:rsidRPr="00C9796F">
                                <w:rPr>
                                  <w:rFonts w:ascii="Courier New"/>
                                  <w:w w:val="105"/>
                                  <w:sz w:val="16"/>
                                  <w:szCs w:val="16"/>
                                  <w:lang w:val="en-US"/>
                                </w:rPr>
                                <w:t>*</w:t>
                              </w:r>
                              <w:r w:rsidRPr="00C9796F">
                                <w:rPr>
                                  <w:rFonts w:ascii="Courier New"/>
                                  <w:spacing w:val="-2"/>
                                  <w:w w:val="105"/>
                                  <w:sz w:val="16"/>
                                  <w:szCs w:val="16"/>
                                  <w:lang w:val="en-US"/>
                                </w:rPr>
                                <w:t xml:space="preserve"> </w:t>
                              </w:r>
                              <w:r w:rsidRPr="00C9796F">
                                <w:rPr>
                                  <w:rFonts w:ascii="Courier New"/>
                                  <w:w w:val="105"/>
                                  <w:sz w:val="16"/>
                                  <w:szCs w:val="16"/>
                                  <w:lang w:val="en-US"/>
                                </w:rPr>
                                <w:t>*</w:t>
                              </w:r>
                              <w:r w:rsidRPr="00C9796F">
                                <w:rPr>
                                  <w:rFonts w:ascii="Courier New"/>
                                  <w:spacing w:val="-2"/>
                                  <w:w w:val="105"/>
                                  <w:sz w:val="16"/>
                                  <w:szCs w:val="16"/>
                                  <w:lang w:val="en-US"/>
                                </w:rPr>
                                <w:t xml:space="preserve"> </w:t>
                              </w:r>
                              <w:r w:rsidRPr="00C9796F">
                                <w:rPr>
                                  <w:rFonts w:ascii="Courier New"/>
                                  <w:w w:val="105"/>
                                  <w:sz w:val="16"/>
                                  <w:szCs w:val="16"/>
                                  <w:lang w:val="en-US"/>
                                </w:rPr>
                                <w:t>*</w:t>
                              </w:r>
                              <w:r w:rsidRPr="00C9796F">
                                <w:rPr>
                                  <w:rFonts w:ascii="Courier New"/>
                                  <w:spacing w:val="-2"/>
                                  <w:w w:val="105"/>
                                  <w:sz w:val="16"/>
                                  <w:szCs w:val="16"/>
                                  <w:lang w:val="en-US"/>
                                </w:rPr>
                                <w:t xml:space="preserve"> </w:t>
                              </w:r>
                              <w:r w:rsidRPr="00C9796F">
                                <w:rPr>
                                  <w:rFonts w:ascii="Courier New"/>
                                  <w:w w:val="105"/>
                                  <w:sz w:val="16"/>
                                  <w:szCs w:val="16"/>
                                  <w:lang w:val="en-US"/>
                                </w:rPr>
                                <w:t>*</w:t>
                              </w:r>
                              <w:r w:rsidRPr="00C9796F">
                                <w:rPr>
                                  <w:rFonts w:ascii="Courier New"/>
                                  <w:spacing w:val="-2"/>
                                  <w:w w:val="105"/>
                                  <w:sz w:val="16"/>
                                  <w:szCs w:val="16"/>
                                  <w:lang w:val="en-US"/>
                                </w:rPr>
                                <w:t xml:space="preserve"> </w:t>
                              </w:r>
                              <w:r w:rsidRPr="00C9796F">
                                <w:rPr>
                                  <w:rFonts w:ascii="Courier New"/>
                                  <w:w w:val="105"/>
                                  <w:sz w:val="16"/>
                                  <w:szCs w:val="16"/>
                                  <w:lang w:val="en-US"/>
                                </w:rPr>
                                <w:t>H</w:t>
                              </w:r>
                              <w:r w:rsidRPr="00C9796F">
                                <w:rPr>
                                  <w:rFonts w:ascii="Courier New"/>
                                  <w:spacing w:val="-2"/>
                                  <w:w w:val="105"/>
                                  <w:sz w:val="16"/>
                                  <w:szCs w:val="16"/>
                                  <w:lang w:val="en-US"/>
                                </w:rPr>
                                <w:t xml:space="preserve"> </w:t>
                              </w:r>
                              <w:r w:rsidRPr="00C9796F">
                                <w:rPr>
                                  <w:rFonts w:ascii="Courier New"/>
                                  <w:w w:val="105"/>
                                  <w:sz w:val="16"/>
                                  <w:szCs w:val="16"/>
                                  <w:lang w:val="en-US"/>
                                </w:rPr>
                                <w:t>I</w:t>
                              </w:r>
                              <w:r w:rsidRPr="00C9796F">
                                <w:rPr>
                                  <w:rFonts w:ascii="Courier New"/>
                                  <w:spacing w:val="-2"/>
                                  <w:w w:val="105"/>
                                  <w:sz w:val="16"/>
                                  <w:szCs w:val="16"/>
                                  <w:lang w:val="en-US"/>
                                </w:rPr>
                                <w:t xml:space="preserve"> </w:t>
                              </w:r>
                              <w:r w:rsidRPr="00C9796F">
                                <w:rPr>
                                  <w:rFonts w:ascii="Courier New"/>
                                  <w:w w:val="105"/>
                                  <w:sz w:val="16"/>
                                  <w:szCs w:val="16"/>
                                  <w:lang w:val="en-US"/>
                                </w:rPr>
                                <w:t>E</w:t>
                              </w:r>
                              <w:r w:rsidRPr="00C9796F">
                                <w:rPr>
                                  <w:rFonts w:ascii="Courier New"/>
                                  <w:spacing w:val="-2"/>
                                  <w:w w:val="105"/>
                                  <w:sz w:val="16"/>
                                  <w:szCs w:val="16"/>
                                  <w:lang w:val="en-US"/>
                                </w:rPr>
                                <w:t xml:space="preserve"> </w:t>
                              </w:r>
                              <w:r w:rsidRPr="00C9796F">
                                <w:rPr>
                                  <w:rFonts w:ascii="Courier New"/>
                                  <w:w w:val="105"/>
                                  <w:sz w:val="16"/>
                                  <w:szCs w:val="16"/>
                                  <w:lang w:val="en-US"/>
                                </w:rPr>
                                <w:t>R</w:t>
                              </w:r>
                              <w:r w:rsidRPr="00C9796F">
                                <w:rPr>
                                  <w:rFonts w:ascii="Courier New"/>
                                  <w:spacing w:val="-2"/>
                                  <w:w w:val="105"/>
                                  <w:sz w:val="16"/>
                                  <w:szCs w:val="16"/>
                                  <w:lang w:val="en-US"/>
                                </w:rPr>
                                <w:t xml:space="preserve"> </w:t>
                              </w:r>
                              <w:r w:rsidRPr="00C9796F">
                                <w:rPr>
                                  <w:rFonts w:ascii="Courier New"/>
                                  <w:w w:val="105"/>
                                  <w:sz w:val="16"/>
                                  <w:szCs w:val="16"/>
                                  <w:lang w:val="en-US"/>
                                </w:rPr>
                                <w:t>A</w:t>
                              </w:r>
                              <w:r w:rsidRPr="00C9796F">
                                <w:rPr>
                                  <w:rFonts w:ascii="Courier New"/>
                                  <w:spacing w:val="-2"/>
                                  <w:w w:val="105"/>
                                  <w:sz w:val="16"/>
                                  <w:szCs w:val="16"/>
                                  <w:lang w:val="en-US"/>
                                </w:rPr>
                                <w:t xml:space="preserve"> </w:t>
                              </w:r>
                              <w:r w:rsidRPr="00C9796F">
                                <w:rPr>
                                  <w:rFonts w:ascii="Courier New"/>
                                  <w:w w:val="105"/>
                                  <w:sz w:val="16"/>
                                  <w:szCs w:val="16"/>
                                  <w:lang w:val="en-US"/>
                                </w:rPr>
                                <w:t>R</w:t>
                              </w:r>
                              <w:r w:rsidRPr="00C9796F">
                                <w:rPr>
                                  <w:rFonts w:ascii="Courier New"/>
                                  <w:spacing w:val="-2"/>
                                  <w:w w:val="105"/>
                                  <w:sz w:val="16"/>
                                  <w:szCs w:val="16"/>
                                  <w:lang w:val="en-US"/>
                                </w:rPr>
                                <w:t xml:space="preserve"> </w:t>
                              </w:r>
                              <w:r w:rsidRPr="00C9796F">
                                <w:rPr>
                                  <w:rFonts w:ascii="Courier New"/>
                                  <w:w w:val="105"/>
                                  <w:sz w:val="16"/>
                                  <w:szCs w:val="16"/>
                                  <w:lang w:val="en-US"/>
                                </w:rPr>
                                <w:t>C</w:t>
                              </w:r>
                              <w:r w:rsidRPr="00C9796F">
                                <w:rPr>
                                  <w:rFonts w:ascii="Courier New"/>
                                  <w:spacing w:val="-2"/>
                                  <w:w w:val="105"/>
                                  <w:sz w:val="16"/>
                                  <w:szCs w:val="16"/>
                                  <w:lang w:val="en-US"/>
                                </w:rPr>
                                <w:t xml:space="preserve"> </w:t>
                              </w:r>
                              <w:r w:rsidRPr="00C9796F">
                                <w:rPr>
                                  <w:rFonts w:ascii="Courier New"/>
                                  <w:w w:val="105"/>
                                  <w:sz w:val="16"/>
                                  <w:szCs w:val="16"/>
                                  <w:lang w:val="en-US"/>
                                </w:rPr>
                                <w:t>H</w:t>
                              </w:r>
                              <w:r w:rsidRPr="00C9796F">
                                <w:rPr>
                                  <w:rFonts w:ascii="Courier New"/>
                                  <w:spacing w:val="-2"/>
                                  <w:w w:val="105"/>
                                  <w:sz w:val="16"/>
                                  <w:szCs w:val="16"/>
                                  <w:lang w:val="en-US"/>
                                </w:rPr>
                                <w:t xml:space="preserve"> </w:t>
                              </w:r>
                              <w:r w:rsidRPr="00C9796F">
                                <w:rPr>
                                  <w:rFonts w:ascii="Courier New"/>
                                  <w:w w:val="105"/>
                                  <w:sz w:val="16"/>
                                  <w:szCs w:val="16"/>
                                  <w:lang w:val="en-US"/>
                                </w:rPr>
                                <w:t>I</w:t>
                              </w:r>
                              <w:r w:rsidRPr="00C9796F">
                                <w:rPr>
                                  <w:rFonts w:ascii="Courier New"/>
                                  <w:spacing w:val="-2"/>
                                  <w:w w:val="105"/>
                                  <w:sz w:val="16"/>
                                  <w:szCs w:val="16"/>
                                  <w:lang w:val="en-US"/>
                                </w:rPr>
                                <w:t xml:space="preserve"> </w:t>
                              </w:r>
                              <w:r w:rsidRPr="00C9796F">
                                <w:rPr>
                                  <w:rFonts w:ascii="Courier New"/>
                                  <w:w w:val="105"/>
                                  <w:sz w:val="16"/>
                                  <w:szCs w:val="16"/>
                                  <w:lang w:val="en-US"/>
                                </w:rPr>
                                <w:t>C</w:t>
                              </w:r>
                              <w:r w:rsidRPr="00C9796F">
                                <w:rPr>
                                  <w:rFonts w:ascii="Courier New"/>
                                  <w:spacing w:val="-1"/>
                                  <w:w w:val="105"/>
                                  <w:sz w:val="16"/>
                                  <w:szCs w:val="16"/>
                                  <w:lang w:val="en-US"/>
                                </w:rPr>
                                <w:t xml:space="preserve"> </w:t>
                              </w:r>
                              <w:r w:rsidRPr="00C9796F">
                                <w:rPr>
                                  <w:rFonts w:ascii="Courier New"/>
                                  <w:w w:val="105"/>
                                  <w:sz w:val="16"/>
                                  <w:szCs w:val="16"/>
                                  <w:lang w:val="en-US"/>
                                </w:rPr>
                                <w:t>A</w:t>
                              </w:r>
                              <w:r w:rsidRPr="00C9796F">
                                <w:rPr>
                                  <w:rFonts w:ascii="Courier New"/>
                                  <w:spacing w:val="-2"/>
                                  <w:w w:val="105"/>
                                  <w:sz w:val="16"/>
                                  <w:szCs w:val="16"/>
                                  <w:lang w:val="en-US"/>
                                </w:rPr>
                                <w:t xml:space="preserve"> </w:t>
                              </w:r>
                              <w:r w:rsidRPr="00C9796F">
                                <w:rPr>
                                  <w:rFonts w:ascii="Courier New"/>
                                  <w:w w:val="105"/>
                                  <w:sz w:val="16"/>
                                  <w:szCs w:val="16"/>
                                  <w:lang w:val="en-US"/>
                                </w:rPr>
                                <w:t>L</w:t>
                              </w:r>
                              <w:r w:rsidRPr="00C9796F">
                                <w:rPr>
                                  <w:rFonts w:ascii="Courier New"/>
                                  <w:spacing w:val="65"/>
                                  <w:w w:val="105"/>
                                  <w:sz w:val="16"/>
                                  <w:szCs w:val="16"/>
                                  <w:lang w:val="en-US"/>
                                </w:rPr>
                                <w:t xml:space="preserve"> </w:t>
                              </w:r>
                              <w:r w:rsidRPr="00C9796F">
                                <w:rPr>
                                  <w:rFonts w:ascii="Courier New"/>
                                  <w:w w:val="105"/>
                                  <w:sz w:val="16"/>
                                  <w:szCs w:val="16"/>
                                  <w:lang w:val="en-US"/>
                                </w:rPr>
                                <w:t>C</w:t>
                              </w:r>
                              <w:r w:rsidRPr="00C9796F">
                                <w:rPr>
                                  <w:rFonts w:ascii="Courier New"/>
                                  <w:spacing w:val="-2"/>
                                  <w:w w:val="105"/>
                                  <w:sz w:val="16"/>
                                  <w:szCs w:val="16"/>
                                  <w:lang w:val="en-US"/>
                                </w:rPr>
                                <w:t xml:space="preserve"> </w:t>
                              </w:r>
                              <w:r w:rsidRPr="00C9796F">
                                <w:rPr>
                                  <w:rFonts w:ascii="Courier New"/>
                                  <w:w w:val="105"/>
                                  <w:sz w:val="16"/>
                                  <w:szCs w:val="16"/>
                                  <w:lang w:val="en-US"/>
                                </w:rPr>
                                <w:t>L</w:t>
                              </w:r>
                              <w:r w:rsidRPr="00C9796F">
                                <w:rPr>
                                  <w:rFonts w:ascii="Courier New"/>
                                  <w:spacing w:val="-2"/>
                                  <w:w w:val="105"/>
                                  <w:sz w:val="16"/>
                                  <w:szCs w:val="16"/>
                                  <w:lang w:val="en-US"/>
                                </w:rPr>
                                <w:t xml:space="preserve"> </w:t>
                              </w:r>
                              <w:r w:rsidRPr="00C9796F">
                                <w:rPr>
                                  <w:rFonts w:ascii="Courier New"/>
                                  <w:w w:val="105"/>
                                  <w:sz w:val="16"/>
                                  <w:szCs w:val="16"/>
                                  <w:lang w:val="en-US"/>
                                </w:rPr>
                                <w:t>U</w:t>
                              </w:r>
                              <w:r w:rsidRPr="00C9796F">
                                <w:rPr>
                                  <w:rFonts w:ascii="Courier New"/>
                                  <w:spacing w:val="-2"/>
                                  <w:w w:val="105"/>
                                  <w:sz w:val="16"/>
                                  <w:szCs w:val="16"/>
                                  <w:lang w:val="en-US"/>
                                </w:rPr>
                                <w:t xml:space="preserve"> </w:t>
                              </w:r>
                              <w:r w:rsidRPr="00C9796F">
                                <w:rPr>
                                  <w:rFonts w:ascii="Courier New"/>
                                  <w:w w:val="105"/>
                                  <w:sz w:val="16"/>
                                  <w:szCs w:val="16"/>
                                  <w:lang w:val="en-US"/>
                                </w:rPr>
                                <w:t>S</w:t>
                              </w:r>
                              <w:r w:rsidRPr="00C9796F">
                                <w:rPr>
                                  <w:rFonts w:ascii="Courier New"/>
                                  <w:spacing w:val="-2"/>
                                  <w:w w:val="105"/>
                                  <w:sz w:val="16"/>
                                  <w:szCs w:val="16"/>
                                  <w:lang w:val="en-US"/>
                                </w:rPr>
                                <w:t xml:space="preserve"> </w:t>
                              </w:r>
                              <w:r w:rsidRPr="00C9796F">
                                <w:rPr>
                                  <w:rFonts w:ascii="Courier New"/>
                                  <w:w w:val="105"/>
                                  <w:sz w:val="16"/>
                                  <w:szCs w:val="16"/>
                                  <w:lang w:val="en-US"/>
                                </w:rPr>
                                <w:t>T</w:t>
                              </w:r>
                              <w:r w:rsidRPr="00C9796F">
                                <w:rPr>
                                  <w:rFonts w:ascii="Courier New"/>
                                  <w:spacing w:val="-2"/>
                                  <w:w w:val="105"/>
                                  <w:sz w:val="16"/>
                                  <w:szCs w:val="16"/>
                                  <w:lang w:val="en-US"/>
                                </w:rPr>
                                <w:t xml:space="preserve"> </w:t>
                              </w:r>
                              <w:r w:rsidRPr="00C9796F">
                                <w:rPr>
                                  <w:rFonts w:ascii="Courier New"/>
                                  <w:w w:val="105"/>
                                  <w:sz w:val="16"/>
                                  <w:szCs w:val="16"/>
                                  <w:lang w:val="en-US"/>
                                </w:rPr>
                                <w:t>E</w:t>
                              </w:r>
                              <w:r w:rsidRPr="00C9796F">
                                <w:rPr>
                                  <w:rFonts w:ascii="Courier New"/>
                                  <w:spacing w:val="-2"/>
                                  <w:w w:val="105"/>
                                  <w:sz w:val="16"/>
                                  <w:szCs w:val="16"/>
                                  <w:lang w:val="en-US"/>
                                </w:rPr>
                                <w:t xml:space="preserve"> </w:t>
                              </w:r>
                              <w:r w:rsidRPr="00C9796F">
                                <w:rPr>
                                  <w:rFonts w:ascii="Courier New"/>
                                  <w:spacing w:val="-10"/>
                                  <w:w w:val="105"/>
                                  <w:sz w:val="16"/>
                                  <w:szCs w:val="16"/>
                                  <w:lang w:val="en-US"/>
                                </w:rPr>
                                <w:t>R</w:t>
                              </w:r>
                              <w:r w:rsidRPr="00C9796F">
                                <w:rPr>
                                  <w:rFonts w:ascii="Courier New"/>
                                  <w:sz w:val="16"/>
                                  <w:szCs w:val="16"/>
                                  <w:lang w:val="en-US"/>
                                </w:rPr>
                                <w:tab/>
                              </w:r>
                              <w:r w:rsidRPr="00C9796F">
                                <w:rPr>
                                  <w:rFonts w:ascii="Courier New"/>
                                  <w:w w:val="105"/>
                                  <w:sz w:val="16"/>
                                  <w:szCs w:val="16"/>
                                  <w:lang w:val="en-US"/>
                                </w:rPr>
                                <w:t>A</w:t>
                              </w:r>
                              <w:r w:rsidRPr="00C9796F">
                                <w:rPr>
                                  <w:rFonts w:ascii="Courier New"/>
                                  <w:spacing w:val="-4"/>
                                  <w:w w:val="105"/>
                                  <w:sz w:val="16"/>
                                  <w:szCs w:val="16"/>
                                  <w:lang w:val="en-US"/>
                                </w:rPr>
                                <w:t xml:space="preserve"> </w:t>
                              </w:r>
                              <w:r w:rsidRPr="00C9796F">
                                <w:rPr>
                                  <w:rFonts w:ascii="Courier New"/>
                                  <w:w w:val="105"/>
                                  <w:sz w:val="16"/>
                                  <w:szCs w:val="16"/>
                                  <w:lang w:val="en-US"/>
                                </w:rPr>
                                <w:t>N</w:t>
                              </w:r>
                              <w:r w:rsidRPr="00C9796F">
                                <w:rPr>
                                  <w:rFonts w:ascii="Courier New"/>
                                  <w:spacing w:val="-4"/>
                                  <w:w w:val="105"/>
                                  <w:sz w:val="16"/>
                                  <w:szCs w:val="16"/>
                                  <w:lang w:val="en-US"/>
                                </w:rPr>
                                <w:t xml:space="preserve"> </w:t>
                              </w:r>
                              <w:r w:rsidRPr="00C9796F">
                                <w:rPr>
                                  <w:rFonts w:ascii="Courier New"/>
                                  <w:w w:val="105"/>
                                  <w:sz w:val="16"/>
                                  <w:szCs w:val="16"/>
                                  <w:lang w:val="en-US"/>
                                </w:rPr>
                                <w:t>A</w:t>
                              </w:r>
                              <w:r w:rsidRPr="00C9796F">
                                <w:rPr>
                                  <w:rFonts w:ascii="Courier New"/>
                                  <w:spacing w:val="-4"/>
                                  <w:w w:val="105"/>
                                  <w:sz w:val="16"/>
                                  <w:szCs w:val="16"/>
                                  <w:lang w:val="en-US"/>
                                </w:rPr>
                                <w:t xml:space="preserve"> </w:t>
                              </w:r>
                              <w:r w:rsidRPr="00C9796F">
                                <w:rPr>
                                  <w:rFonts w:ascii="Courier New"/>
                                  <w:w w:val="105"/>
                                  <w:sz w:val="16"/>
                                  <w:szCs w:val="16"/>
                                  <w:lang w:val="en-US"/>
                                </w:rPr>
                                <w:t>L</w:t>
                              </w:r>
                              <w:r w:rsidRPr="00C9796F">
                                <w:rPr>
                                  <w:rFonts w:ascii="Courier New"/>
                                  <w:spacing w:val="-4"/>
                                  <w:w w:val="105"/>
                                  <w:sz w:val="16"/>
                                  <w:szCs w:val="16"/>
                                  <w:lang w:val="en-US"/>
                                </w:rPr>
                                <w:t xml:space="preserve"> </w:t>
                              </w:r>
                              <w:r w:rsidRPr="00C9796F">
                                <w:rPr>
                                  <w:rFonts w:ascii="Courier New"/>
                                  <w:w w:val="105"/>
                                  <w:sz w:val="16"/>
                                  <w:szCs w:val="16"/>
                                  <w:lang w:val="en-US"/>
                                </w:rPr>
                                <w:t>Y</w:t>
                              </w:r>
                              <w:r w:rsidRPr="00C9796F">
                                <w:rPr>
                                  <w:rFonts w:ascii="Courier New"/>
                                  <w:spacing w:val="-4"/>
                                  <w:w w:val="105"/>
                                  <w:sz w:val="16"/>
                                  <w:szCs w:val="16"/>
                                  <w:lang w:val="en-US"/>
                                </w:rPr>
                                <w:t xml:space="preserve"> </w:t>
                              </w:r>
                              <w:r w:rsidRPr="00C9796F">
                                <w:rPr>
                                  <w:rFonts w:ascii="Courier New"/>
                                  <w:w w:val="105"/>
                                  <w:sz w:val="16"/>
                                  <w:szCs w:val="16"/>
                                  <w:lang w:val="en-US"/>
                                </w:rPr>
                                <w:t>SI</w:t>
                              </w:r>
                              <w:r w:rsidRPr="00C9796F">
                                <w:rPr>
                                  <w:rFonts w:ascii="Courier New"/>
                                  <w:spacing w:val="-4"/>
                                  <w:w w:val="105"/>
                                  <w:sz w:val="16"/>
                                  <w:szCs w:val="16"/>
                                  <w:lang w:val="en-US"/>
                                </w:rPr>
                                <w:t xml:space="preserve"> </w:t>
                              </w:r>
                              <w:r w:rsidRPr="00C9796F">
                                <w:rPr>
                                  <w:rFonts w:ascii="Courier New"/>
                                  <w:w w:val="105"/>
                                  <w:sz w:val="16"/>
                                  <w:szCs w:val="16"/>
                                  <w:lang w:val="en-US"/>
                                </w:rPr>
                                <w:t>S</w:t>
                              </w:r>
                              <w:r w:rsidRPr="00C9796F">
                                <w:rPr>
                                  <w:rFonts w:ascii="Courier New"/>
                                  <w:spacing w:val="-4"/>
                                  <w:w w:val="105"/>
                                  <w:sz w:val="16"/>
                                  <w:szCs w:val="16"/>
                                  <w:lang w:val="en-US"/>
                                </w:rPr>
                                <w:t xml:space="preserve"> </w:t>
                              </w:r>
                              <w:r w:rsidRPr="00C9796F">
                                <w:rPr>
                                  <w:rFonts w:ascii="Courier New"/>
                                  <w:w w:val="105"/>
                                  <w:sz w:val="16"/>
                                  <w:szCs w:val="16"/>
                                  <w:lang w:val="en-US"/>
                                </w:rPr>
                                <w:t>*</w:t>
                              </w:r>
                              <w:r w:rsidRPr="00C9796F">
                                <w:rPr>
                                  <w:rFonts w:ascii="Courier New"/>
                                  <w:spacing w:val="-4"/>
                                  <w:w w:val="105"/>
                                  <w:sz w:val="16"/>
                                  <w:szCs w:val="16"/>
                                  <w:lang w:val="en-US"/>
                                </w:rPr>
                                <w:t xml:space="preserve"> </w:t>
                              </w:r>
                              <w:r w:rsidRPr="00C9796F">
                                <w:rPr>
                                  <w:rFonts w:ascii="Courier New"/>
                                  <w:w w:val="105"/>
                                  <w:sz w:val="16"/>
                                  <w:szCs w:val="16"/>
                                  <w:lang w:val="en-US"/>
                                </w:rPr>
                                <w:t>*</w:t>
                              </w:r>
                              <w:r w:rsidRPr="00C9796F">
                                <w:rPr>
                                  <w:rFonts w:ascii="Courier New"/>
                                  <w:spacing w:val="-4"/>
                                  <w:w w:val="105"/>
                                  <w:sz w:val="16"/>
                                  <w:szCs w:val="16"/>
                                  <w:lang w:val="en-US"/>
                                </w:rPr>
                                <w:t xml:space="preserve"> </w:t>
                              </w:r>
                              <w:r w:rsidRPr="00C9796F">
                                <w:rPr>
                                  <w:rFonts w:ascii="Courier New"/>
                                  <w:w w:val="105"/>
                                  <w:sz w:val="16"/>
                                  <w:szCs w:val="16"/>
                                  <w:lang w:val="en-US"/>
                                </w:rPr>
                                <w:t>*</w:t>
                              </w:r>
                              <w:r w:rsidRPr="00C9796F">
                                <w:rPr>
                                  <w:rFonts w:ascii="Courier New"/>
                                  <w:spacing w:val="-4"/>
                                  <w:w w:val="105"/>
                                  <w:sz w:val="16"/>
                                  <w:szCs w:val="16"/>
                                  <w:lang w:val="en-US"/>
                                </w:rPr>
                                <w:t xml:space="preserve"> </w:t>
                              </w:r>
                              <w:r w:rsidRPr="00C9796F">
                                <w:rPr>
                                  <w:rFonts w:ascii="Courier New"/>
                                  <w:w w:val="105"/>
                                  <w:sz w:val="16"/>
                                  <w:szCs w:val="16"/>
                                  <w:lang w:val="en-US"/>
                                </w:rPr>
                                <w:t>*</w:t>
                              </w:r>
                              <w:r w:rsidRPr="00C9796F">
                                <w:rPr>
                                  <w:rFonts w:ascii="Courier New"/>
                                  <w:spacing w:val="-4"/>
                                  <w:w w:val="105"/>
                                  <w:sz w:val="16"/>
                                  <w:szCs w:val="16"/>
                                  <w:lang w:val="en-US"/>
                                </w:rPr>
                                <w:t xml:space="preserve"> </w:t>
                              </w:r>
                              <w:r w:rsidRPr="00C9796F">
                                <w:rPr>
                                  <w:rFonts w:ascii="Courier New"/>
                                  <w:w w:val="105"/>
                                  <w:sz w:val="16"/>
                                  <w:szCs w:val="16"/>
                                  <w:lang w:val="en-US"/>
                                </w:rPr>
                                <w:t>*</w:t>
                              </w:r>
                              <w:r w:rsidRPr="00C9796F">
                                <w:rPr>
                                  <w:rFonts w:ascii="Courier New"/>
                                  <w:spacing w:val="-4"/>
                                  <w:w w:val="105"/>
                                  <w:sz w:val="16"/>
                                  <w:szCs w:val="16"/>
                                  <w:lang w:val="en-US"/>
                                </w:rPr>
                                <w:t xml:space="preserve"> </w:t>
                              </w:r>
                              <w:r w:rsidRPr="00C9796F">
                                <w:rPr>
                                  <w:rFonts w:ascii="Courier New"/>
                                  <w:spacing w:val="-10"/>
                                  <w:w w:val="105"/>
                                  <w:sz w:val="16"/>
                                  <w:szCs w:val="16"/>
                                  <w:lang w:val="en-US"/>
                                </w:rPr>
                                <w:t>*</w:t>
                              </w:r>
                            </w:p>
                            <w:p w14:paraId="35B56CD5" w14:textId="77777777" w:rsidR="00E17A2B" w:rsidRPr="00C9796F" w:rsidRDefault="00E17A2B" w:rsidP="004F0929">
                              <w:pPr>
                                <w:rPr>
                                  <w:rFonts w:ascii="Courier New"/>
                                  <w:sz w:val="20"/>
                                  <w:szCs w:val="20"/>
                                  <w:lang w:val="en-US"/>
                                </w:rPr>
                              </w:pPr>
                            </w:p>
                            <w:p w14:paraId="0C1CE74C" w14:textId="77777777" w:rsidR="00E17A2B" w:rsidRPr="00C9796F" w:rsidRDefault="00E17A2B" w:rsidP="004F0929">
                              <w:pPr>
                                <w:spacing w:before="10"/>
                                <w:rPr>
                                  <w:rFonts w:ascii="Courier New"/>
                                  <w:sz w:val="20"/>
                                  <w:szCs w:val="20"/>
                                  <w:lang w:val="en-US"/>
                                </w:rPr>
                              </w:pPr>
                            </w:p>
                            <w:p w14:paraId="4BE1FFC3" w14:textId="77777777" w:rsidR="00E17A2B" w:rsidRPr="00C9796F" w:rsidRDefault="00E17A2B" w:rsidP="00C9796F">
                              <w:pPr>
                                <w:rPr>
                                  <w:rFonts w:ascii="Courier New"/>
                                  <w:sz w:val="20"/>
                                  <w:szCs w:val="20"/>
                                  <w:lang w:val="en-US"/>
                                </w:rPr>
                              </w:pPr>
                              <w:r w:rsidRPr="00C9796F">
                                <w:rPr>
                                  <w:rFonts w:ascii="Courier New"/>
                                  <w:spacing w:val="-2"/>
                                  <w:w w:val="105"/>
                                  <w:sz w:val="20"/>
                                  <w:szCs w:val="20"/>
                                  <w:lang w:val="en-US"/>
                                </w:rPr>
                                <w:t>Dendrogram</w:t>
                              </w:r>
                              <w:r w:rsidRPr="00C9796F">
                                <w:rPr>
                                  <w:rFonts w:ascii="Courier New"/>
                                  <w:spacing w:val="-17"/>
                                  <w:w w:val="105"/>
                                  <w:sz w:val="20"/>
                                  <w:szCs w:val="20"/>
                                  <w:lang w:val="en-US"/>
                                </w:rPr>
                                <w:t xml:space="preserve"> </w:t>
                              </w:r>
                              <w:r w:rsidRPr="00C9796F">
                                <w:rPr>
                                  <w:rFonts w:ascii="Courier New"/>
                                  <w:spacing w:val="-2"/>
                                  <w:w w:val="105"/>
                                  <w:sz w:val="20"/>
                                  <w:szCs w:val="20"/>
                                  <w:lang w:val="en-US"/>
                                </w:rPr>
                                <w:t>using</w:t>
                              </w:r>
                              <w:r w:rsidRPr="00C9796F">
                                <w:rPr>
                                  <w:rFonts w:ascii="Courier New"/>
                                  <w:spacing w:val="-5"/>
                                  <w:w w:val="105"/>
                                  <w:sz w:val="20"/>
                                  <w:szCs w:val="20"/>
                                  <w:lang w:val="en-US"/>
                                </w:rPr>
                                <w:t xml:space="preserve"> </w:t>
                              </w:r>
                              <w:r w:rsidRPr="00C9796F">
                                <w:rPr>
                                  <w:rFonts w:ascii="Courier New"/>
                                  <w:spacing w:val="-2"/>
                                  <w:w w:val="105"/>
                                  <w:sz w:val="20"/>
                                  <w:szCs w:val="20"/>
                                  <w:lang w:val="en-US"/>
                                </w:rPr>
                                <w:t>Ward</w:t>
                              </w:r>
                              <w:r w:rsidRPr="00C9796F">
                                <w:rPr>
                                  <w:rFonts w:ascii="Courier New"/>
                                  <w:spacing w:val="-5"/>
                                  <w:w w:val="105"/>
                                  <w:sz w:val="20"/>
                                  <w:szCs w:val="20"/>
                                  <w:lang w:val="en-US"/>
                                </w:rPr>
                                <w:t xml:space="preserve"> </w:t>
                              </w:r>
                              <w:r w:rsidRPr="00C9796F">
                                <w:rPr>
                                  <w:rFonts w:ascii="Courier New"/>
                                  <w:spacing w:val="-2"/>
                                  <w:w w:val="105"/>
                                  <w:sz w:val="20"/>
                                  <w:szCs w:val="20"/>
                                  <w:lang w:val="en-US"/>
                                </w:rPr>
                                <w:t>Method</w:t>
                              </w:r>
                            </w:p>
                            <w:p w14:paraId="381DBBAD" w14:textId="77777777" w:rsidR="00E17A2B" w:rsidRPr="00C9796F" w:rsidRDefault="00E17A2B" w:rsidP="004F0929">
                              <w:pPr>
                                <w:spacing w:before="10"/>
                                <w:rPr>
                                  <w:rFonts w:ascii="Courier New"/>
                                  <w:sz w:val="20"/>
                                  <w:szCs w:val="20"/>
                                  <w:lang w:val="en-US"/>
                                </w:rPr>
                              </w:pPr>
                            </w:p>
                            <w:p w14:paraId="67B59B89" w14:textId="77777777" w:rsidR="00E17A2B" w:rsidRPr="00C9796F" w:rsidRDefault="00E17A2B" w:rsidP="00C9796F">
                              <w:pPr>
                                <w:rPr>
                                  <w:rFonts w:ascii="Courier New"/>
                                  <w:sz w:val="20"/>
                                  <w:szCs w:val="20"/>
                                  <w:lang w:val="en-US"/>
                                </w:rPr>
                              </w:pPr>
                              <w:r w:rsidRPr="00C9796F">
                                <w:rPr>
                                  <w:rFonts w:ascii="Courier New"/>
                                  <w:sz w:val="20"/>
                                  <w:szCs w:val="20"/>
                                  <w:lang w:val="en-US"/>
                                </w:rPr>
                                <w:t>Rescaled</w:t>
                              </w:r>
                              <w:r w:rsidRPr="00C9796F">
                                <w:rPr>
                                  <w:rFonts w:ascii="Courier New"/>
                                  <w:spacing w:val="3"/>
                                  <w:sz w:val="20"/>
                                  <w:szCs w:val="20"/>
                                  <w:lang w:val="en-US"/>
                                </w:rPr>
                                <w:t xml:space="preserve"> </w:t>
                              </w:r>
                              <w:r w:rsidRPr="00C9796F">
                                <w:rPr>
                                  <w:rFonts w:ascii="Courier New"/>
                                  <w:sz w:val="20"/>
                                  <w:szCs w:val="20"/>
                                  <w:lang w:val="en-US"/>
                                </w:rPr>
                                <w:t>Distance</w:t>
                              </w:r>
                              <w:r w:rsidRPr="00C9796F">
                                <w:rPr>
                                  <w:rFonts w:ascii="Courier New"/>
                                  <w:spacing w:val="3"/>
                                  <w:sz w:val="20"/>
                                  <w:szCs w:val="20"/>
                                  <w:lang w:val="en-US"/>
                                </w:rPr>
                                <w:t xml:space="preserve"> </w:t>
                              </w:r>
                              <w:r w:rsidRPr="00C9796F">
                                <w:rPr>
                                  <w:rFonts w:ascii="Courier New"/>
                                  <w:sz w:val="20"/>
                                  <w:szCs w:val="20"/>
                                  <w:lang w:val="en-US"/>
                                </w:rPr>
                                <w:t>Cluster</w:t>
                              </w:r>
                              <w:r w:rsidRPr="00C9796F">
                                <w:rPr>
                                  <w:rFonts w:ascii="Courier New"/>
                                  <w:spacing w:val="3"/>
                                  <w:sz w:val="20"/>
                                  <w:szCs w:val="20"/>
                                  <w:lang w:val="en-US"/>
                                </w:rPr>
                                <w:t xml:space="preserve"> </w:t>
                              </w:r>
                              <w:r w:rsidRPr="00C9796F">
                                <w:rPr>
                                  <w:rFonts w:ascii="Courier New"/>
                                  <w:spacing w:val="-2"/>
                                  <w:sz w:val="20"/>
                                  <w:szCs w:val="20"/>
                                  <w:lang w:val="en-US"/>
                                </w:rPr>
                                <w:t>Combine</w:t>
                              </w:r>
                            </w:p>
                          </w:txbxContent>
                        </wps:txbx>
                        <wps:bodyPr wrap="square" lIns="0" tIns="0" rIns="0" bIns="0" rtlCol="0">
                          <a:noAutofit/>
                        </wps:bodyPr>
                      </wps:wsp>
                      <wps:wsp>
                        <wps:cNvPr id="2296150" name="Textbox 1061"/>
                        <wps:cNvSpPr txBox="1"/>
                        <wps:spPr>
                          <a:xfrm>
                            <a:off x="1232747" y="805000"/>
                            <a:ext cx="56515" cy="82550"/>
                          </a:xfrm>
                          <a:prstGeom prst="rect">
                            <a:avLst/>
                          </a:prstGeom>
                        </wps:spPr>
                        <wps:txbx>
                          <w:txbxContent>
                            <w:p w14:paraId="12F4C839" w14:textId="77777777" w:rsidR="00E17A2B" w:rsidRPr="00C9796F" w:rsidRDefault="00E17A2B" w:rsidP="004F0929">
                              <w:pPr>
                                <w:spacing w:before="3"/>
                                <w:rPr>
                                  <w:rFonts w:ascii="Courier New"/>
                                  <w:sz w:val="20"/>
                                  <w:szCs w:val="20"/>
                                </w:rPr>
                              </w:pPr>
                              <w:r w:rsidRPr="00C9796F">
                                <w:rPr>
                                  <w:rFonts w:ascii="Courier New"/>
                                  <w:w w:val="104"/>
                                  <w:sz w:val="20"/>
                                  <w:szCs w:val="20"/>
                                </w:rPr>
                                <w:t>0</w:t>
                              </w:r>
                            </w:p>
                          </w:txbxContent>
                        </wps:txbx>
                        <wps:bodyPr wrap="square" lIns="0" tIns="0" rIns="0" bIns="0" rtlCol="0">
                          <a:noAutofit/>
                        </wps:bodyPr>
                      </wps:wsp>
                      <wps:wsp>
                        <wps:cNvPr id="2296151" name="Textbox 1062"/>
                        <wps:cNvSpPr txBox="1"/>
                        <wps:spPr>
                          <a:xfrm>
                            <a:off x="1667379" y="805000"/>
                            <a:ext cx="56515" cy="82550"/>
                          </a:xfrm>
                          <a:prstGeom prst="rect">
                            <a:avLst/>
                          </a:prstGeom>
                        </wps:spPr>
                        <wps:txbx>
                          <w:txbxContent>
                            <w:p w14:paraId="6C81D79A" w14:textId="77777777" w:rsidR="00E17A2B" w:rsidRPr="00C9796F" w:rsidRDefault="00E17A2B" w:rsidP="004F0929">
                              <w:pPr>
                                <w:spacing w:before="3"/>
                                <w:rPr>
                                  <w:rFonts w:ascii="Courier New"/>
                                  <w:sz w:val="20"/>
                                  <w:szCs w:val="20"/>
                                </w:rPr>
                              </w:pPr>
                              <w:r w:rsidRPr="00C9796F">
                                <w:rPr>
                                  <w:rFonts w:ascii="Courier New"/>
                                  <w:w w:val="104"/>
                                  <w:sz w:val="20"/>
                                  <w:szCs w:val="20"/>
                                </w:rPr>
                                <w:t>5</w:t>
                              </w:r>
                            </w:p>
                          </w:txbxContent>
                        </wps:txbx>
                        <wps:bodyPr wrap="square" lIns="0" tIns="0" rIns="0" bIns="0" rtlCol="0">
                          <a:noAutofit/>
                        </wps:bodyPr>
                      </wps:wsp>
                      <wps:wsp>
                        <wps:cNvPr id="2296152" name="Textbox 1063"/>
                        <wps:cNvSpPr txBox="1"/>
                        <wps:spPr>
                          <a:xfrm>
                            <a:off x="965721" y="915537"/>
                            <a:ext cx="696595" cy="82550"/>
                          </a:xfrm>
                          <a:prstGeom prst="rect">
                            <a:avLst/>
                          </a:prstGeom>
                        </wps:spPr>
                        <wps:txbx>
                          <w:txbxContent>
                            <w:p w14:paraId="4956D09A" w14:textId="77777777" w:rsidR="00E17A2B" w:rsidRPr="00C9796F" w:rsidRDefault="00E17A2B" w:rsidP="004F0929">
                              <w:pPr>
                                <w:tabs>
                                  <w:tab w:val="left" w:pos="1007"/>
                                </w:tabs>
                                <w:spacing w:before="3"/>
                                <w:rPr>
                                  <w:rFonts w:ascii="Courier New"/>
                                  <w:sz w:val="20"/>
                                  <w:szCs w:val="20"/>
                                </w:rPr>
                              </w:pPr>
                              <w:r w:rsidRPr="00C9796F">
                                <w:rPr>
                                  <w:rFonts w:ascii="Courier New"/>
                                  <w:w w:val="105"/>
                                  <w:sz w:val="20"/>
                                  <w:szCs w:val="20"/>
                                </w:rPr>
                                <w:t>Num</w:t>
                              </w:r>
                              <w:r w:rsidRPr="00C9796F">
                                <w:rPr>
                                  <w:rFonts w:ascii="Courier New"/>
                                  <w:spacing w:val="56"/>
                                  <w:w w:val="105"/>
                                  <w:sz w:val="20"/>
                                  <w:szCs w:val="20"/>
                                </w:rPr>
                                <w:t xml:space="preserve"> </w:t>
                              </w:r>
                              <w:r w:rsidRPr="00C9796F">
                                <w:rPr>
                                  <w:rFonts w:ascii="Courier New"/>
                                  <w:spacing w:val="-10"/>
                                  <w:w w:val="105"/>
                                  <w:sz w:val="20"/>
                                  <w:szCs w:val="20"/>
                                </w:rPr>
                                <w:t>+</w:t>
                              </w:r>
                              <w:r w:rsidRPr="00C9796F">
                                <w:rPr>
                                  <w:rFonts w:ascii="Courier New"/>
                                  <w:sz w:val="20"/>
                                  <w:szCs w:val="20"/>
                                </w:rPr>
                                <w:tab/>
                              </w:r>
                              <w:r w:rsidRPr="00C9796F">
                                <w:rPr>
                                  <w:rFonts w:ascii="Courier New"/>
                                  <w:spacing w:val="-12"/>
                                  <w:w w:val="105"/>
                                  <w:sz w:val="20"/>
                                  <w:szCs w:val="20"/>
                                </w:rPr>
                                <w:t>+</w:t>
                              </w:r>
                            </w:p>
                          </w:txbxContent>
                        </wps:txbx>
                        <wps:bodyPr wrap="square" lIns="0" tIns="0" rIns="0" bIns="0" rtlCol="0">
                          <a:noAutofit/>
                        </wps:bodyPr>
                      </wps:wsp>
                      <wps:wsp>
                        <wps:cNvPr id="2296153" name="Textbox 1064"/>
                        <wps:cNvSpPr txBox="1"/>
                        <wps:spPr>
                          <a:xfrm>
                            <a:off x="2031702" y="805000"/>
                            <a:ext cx="127000" cy="193040"/>
                          </a:xfrm>
                          <a:prstGeom prst="rect">
                            <a:avLst/>
                          </a:prstGeom>
                        </wps:spPr>
                        <wps:txbx>
                          <w:txbxContent>
                            <w:p w14:paraId="2A6FAA90" w14:textId="77777777" w:rsidR="00E17A2B" w:rsidRPr="00C9796F" w:rsidRDefault="00E17A2B" w:rsidP="004F0929">
                              <w:pPr>
                                <w:spacing w:before="3"/>
                                <w:ind w:left="42"/>
                                <w:rPr>
                                  <w:rFonts w:ascii="Courier New"/>
                                  <w:sz w:val="20"/>
                                  <w:szCs w:val="20"/>
                                </w:rPr>
                              </w:pPr>
                              <w:r w:rsidRPr="00C9796F">
                                <w:rPr>
                                  <w:rFonts w:ascii="Courier New"/>
                                  <w:spacing w:val="-5"/>
                                  <w:w w:val="105"/>
                                  <w:sz w:val="20"/>
                                  <w:szCs w:val="20"/>
                                </w:rPr>
                                <w:t>10</w:t>
                              </w:r>
                            </w:p>
                            <w:p w14:paraId="18EF19E7" w14:textId="77777777" w:rsidR="00E17A2B" w:rsidRPr="00C9796F" w:rsidRDefault="00E17A2B" w:rsidP="004F0929">
                              <w:pPr>
                                <w:spacing w:before="50"/>
                                <w:rPr>
                                  <w:rFonts w:ascii="Courier New"/>
                                  <w:sz w:val="20"/>
                                  <w:szCs w:val="20"/>
                                </w:rPr>
                              </w:pPr>
                              <w:r w:rsidRPr="00C9796F">
                                <w:rPr>
                                  <w:rFonts w:ascii="Courier New"/>
                                  <w:w w:val="104"/>
                                  <w:sz w:val="20"/>
                                  <w:szCs w:val="20"/>
                                </w:rPr>
                                <w:t>+</w:t>
                              </w:r>
                            </w:p>
                          </w:txbxContent>
                        </wps:txbx>
                        <wps:bodyPr wrap="square" lIns="0" tIns="0" rIns="0" bIns="0" rtlCol="0">
                          <a:noAutofit/>
                        </wps:bodyPr>
                      </wps:wsp>
                      <wps:wsp>
                        <wps:cNvPr id="2296154" name="Textbox 1065"/>
                        <wps:cNvSpPr txBox="1"/>
                        <wps:spPr>
                          <a:xfrm>
                            <a:off x="2458049" y="805000"/>
                            <a:ext cx="135255" cy="193040"/>
                          </a:xfrm>
                          <a:prstGeom prst="rect">
                            <a:avLst/>
                          </a:prstGeom>
                        </wps:spPr>
                        <wps:txbx>
                          <w:txbxContent>
                            <w:p w14:paraId="40964CF8" w14:textId="77777777" w:rsidR="00E17A2B" w:rsidRPr="00C9796F" w:rsidRDefault="00E17A2B" w:rsidP="004F0929">
                              <w:pPr>
                                <w:spacing w:before="3"/>
                                <w:ind w:left="55"/>
                                <w:rPr>
                                  <w:rFonts w:ascii="Courier New"/>
                                  <w:sz w:val="20"/>
                                  <w:szCs w:val="20"/>
                                </w:rPr>
                              </w:pPr>
                              <w:r w:rsidRPr="00C9796F">
                                <w:rPr>
                                  <w:rFonts w:ascii="Courier New"/>
                                  <w:spacing w:val="-5"/>
                                  <w:w w:val="105"/>
                                  <w:sz w:val="20"/>
                                  <w:szCs w:val="20"/>
                                </w:rPr>
                                <w:t>15</w:t>
                              </w:r>
                            </w:p>
                            <w:p w14:paraId="61139823" w14:textId="77777777" w:rsidR="00E17A2B" w:rsidRPr="00C9796F" w:rsidRDefault="00E17A2B" w:rsidP="004F0929">
                              <w:pPr>
                                <w:spacing w:before="50"/>
                                <w:rPr>
                                  <w:rFonts w:ascii="Courier New"/>
                                  <w:sz w:val="20"/>
                                  <w:szCs w:val="20"/>
                                </w:rPr>
                              </w:pPr>
                              <w:r w:rsidRPr="00C9796F">
                                <w:rPr>
                                  <w:rFonts w:ascii="Courier New"/>
                                  <w:w w:val="104"/>
                                  <w:sz w:val="20"/>
                                  <w:szCs w:val="20"/>
                                </w:rPr>
                                <w:t>+</w:t>
                              </w:r>
                            </w:p>
                          </w:txbxContent>
                        </wps:txbx>
                        <wps:bodyPr wrap="square" lIns="0" tIns="0" rIns="0" bIns="0" rtlCol="0">
                          <a:noAutofit/>
                        </wps:bodyPr>
                      </wps:wsp>
                      <wps:wsp>
                        <wps:cNvPr id="2296155" name="Textbox 1066"/>
                        <wps:cNvSpPr txBox="1"/>
                        <wps:spPr>
                          <a:xfrm>
                            <a:off x="2927812" y="805000"/>
                            <a:ext cx="99695" cy="82550"/>
                          </a:xfrm>
                          <a:prstGeom prst="rect">
                            <a:avLst/>
                          </a:prstGeom>
                        </wps:spPr>
                        <wps:txbx>
                          <w:txbxContent>
                            <w:p w14:paraId="3D068DE6" w14:textId="77777777" w:rsidR="00E17A2B" w:rsidRPr="00C9796F" w:rsidRDefault="00E17A2B" w:rsidP="004F0929">
                              <w:pPr>
                                <w:spacing w:before="3"/>
                                <w:rPr>
                                  <w:rFonts w:ascii="Courier New"/>
                                  <w:sz w:val="20"/>
                                  <w:szCs w:val="20"/>
                                </w:rPr>
                              </w:pPr>
                              <w:r w:rsidRPr="00C9796F">
                                <w:rPr>
                                  <w:rFonts w:ascii="Courier New"/>
                                  <w:spacing w:val="-5"/>
                                  <w:w w:val="105"/>
                                  <w:sz w:val="20"/>
                                  <w:szCs w:val="20"/>
                                </w:rPr>
                                <w:t>20</w:t>
                              </w:r>
                            </w:p>
                          </w:txbxContent>
                        </wps:txbx>
                        <wps:bodyPr wrap="square" lIns="0" tIns="0" rIns="0" bIns="0" rtlCol="0">
                          <a:noAutofit/>
                        </wps:bodyPr>
                      </wps:wsp>
                      <wps:wsp>
                        <wps:cNvPr id="2296156" name="Textbox 1067"/>
                        <wps:cNvSpPr txBox="1"/>
                        <wps:spPr>
                          <a:xfrm>
                            <a:off x="2883727" y="915537"/>
                            <a:ext cx="56515" cy="82550"/>
                          </a:xfrm>
                          <a:prstGeom prst="rect">
                            <a:avLst/>
                          </a:prstGeom>
                        </wps:spPr>
                        <wps:txbx>
                          <w:txbxContent>
                            <w:p w14:paraId="72BB8B71" w14:textId="77777777" w:rsidR="00E17A2B" w:rsidRPr="00C9796F" w:rsidRDefault="00E17A2B" w:rsidP="004F0929">
                              <w:pPr>
                                <w:spacing w:before="3"/>
                                <w:rPr>
                                  <w:rFonts w:ascii="Courier New"/>
                                  <w:sz w:val="20"/>
                                  <w:szCs w:val="20"/>
                                </w:rPr>
                              </w:pPr>
                              <w:r w:rsidRPr="00C9796F">
                                <w:rPr>
                                  <w:rFonts w:ascii="Courier New"/>
                                  <w:w w:val="104"/>
                                  <w:sz w:val="20"/>
                                  <w:szCs w:val="20"/>
                                </w:rPr>
                                <w:t>+</w:t>
                              </w:r>
                            </w:p>
                          </w:txbxContent>
                        </wps:txbx>
                        <wps:bodyPr wrap="square" lIns="0" tIns="0" rIns="0" bIns="0" rtlCol="0">
                          <a:noAutofit/>
                        </wps:bodyPr>
                      </wps:wsp>
                      <wps:wsp>
                        <wps:cNvPr id="2296157" name="Textbox 1068"/>
                        <wps:cNvSpPr txBox="1"/>
                        <wps:spPr>
                          <a:xfrm>
                            <a:off x="3266780" y="805000"/>
                            <a:ext cx="99695" cy="193040"/>
                          </a:xfrm>
                          <a:prstGeom prst="rect">
                            <a:avLst/>
                          </a:prstGeom>
                        </wps:spPr>
                        <wps:txbx>
                          <w:txbxContent>
                            <w:p w14:paraId="236CC6AC" w14:textId="77777777" w:rsidR="00E17A2B" w:rsidRPr="00C9796F" w:rsidRDefault="00E17A2B" w:rsidP="004F0929">
                              <w:pPr>
                                <w:spacing w:before="3"/>
                                <w:rPr>
                                  <w:rFonts w:ascii="Courier New"/>
                                  <w:sz w:val="20"/>
                                  <w:szCs w:val="20"/>
                                </w:rPr>
                              </w:pPr>
                              <w:r w:rsidRPr="00C9796F">
                                <w:rPr>
                                  <w:rFonts w:ascii="Courier New"/>
                                  <w:spacing w:val="-5"/>
                                  <w:w w:val="105"/>
                                  <w:sz w:val="20"/>
                                  <w:szCs w:val="20"/>
                                </w:rPr>
                                <w:t>25</w:t>
                              </w:r>
                            </w:p>
                            <w:p w14:paraId="1F0E8CC1" w14:textId="77777777" w:rsidR="00E17A2B" w:rsidRPr="00C9796F" w:rsidRDefault="00E17A2B" w:rsidP="004F0929">
                              <w:pPr>
                                <w:spacing w:before="50"/>
                                <w:ind w:left="66"/>
                                <w:rPr>
                                  <w:rFonts w:ascii="Courier New"/>
                                  <w:sz w:val="20"/>
                                  <w:szCs w:val="20"/>
                                </w:rPr>
                              </w:pPr>
                              <w:r w:rsidRPr="00C9796F">
                                <w:rPr>
                                  <w:rFonts w:ascii="Courier New"/>
                                  <w:w w:val="104"/>
                                  <w:sz w:val="20"/>
                                  <w:szCs w:val="20"/>
                                </w:rPr>
                                <w:t>+</w:t>
                              </w:r>
                            </w:p>
                          </w:txbxContent>
                        </wps:txbx>
                        <wps:bodyPr wrap="square" lIns="0" tIns="0" rIns="0" bIns="0" rtlCol="0">
                          <a:noAutofit/>
                        </wps:bodyPr>
                      </wps:wsp>
                      <wps:wsp>
                        <wps:cNvPr id="2296158" name="Textbox 1069"/>
                        <wps:cNvSpPr txBox="1"/>
                        <wps:spPr>
                          <a:xfrm>
                            <a:off x="178422" y="1341556"/>
                            <a:ext cx="57810" cy="64313"/>
                          </a:xfrm>
                          <a:prstGeom prst="rect">
                            <a:avLst/>
                          </a:prstGeom>
                        </wps:spPr>
                        <wps:txbx>
                          <w:txbxContent>
                            <w:p w14:paraId="3A7BE357" w14:textId="77777777" w:rsidR="00E17A2B" w:rsidRPr="00C9796F" w:rsidRDefault="00E17A2B" w:rsidP="00971F57">
                              <w:pPr>
                                <w:spacing w:line="156" w:lineRule="exact"/>
                                <w:rPr>
                                  <w:b/>
                                  <w:sz w:val="20"/>
                                  <w:szCs w:val="20"/>
                                </w:rPr>
                              </w:pPr>
                              <w:r>
                                <w:rPr>
                                  <w:b/>
                                  <w:sz w:val="20"/>
                                  <w:szCs w:val="20"/>
                                </w:rPr>
                                <w:t>2</w:t>
                              </w:r>
                            </w:p>
                          </w:txbxContent>
                        </wps:txbx>
                        <wps:bodyPr wrap="square" lIns="0" tIns="0" rIns="0" bIns="0" rtlCol="0" anchor="ctr" anchorCtr="0">
                          <a:spAutoFit/>
                        </wps:bodyPr>
                      </wps:wsp>
                      <wps:wsp>
                        <wps:cNvPr id="2296159" name="Textbox 1070"/>
                        <wps:cNvSpPr txBox="1"/>
                        <wps:spPr>
                          <a:xfrm>
                            <a:off x="511041" y="1080668"/>
                            <a:ext cx="711157" cy="1539193"/>
                          </a:xfrm>
                          <a:prstGeom prst="rect">
                            <a:avLst/>
                          </a:prstGeom>
                        </wps:spPr>
                        <wps:txbx>
                          <w:txbxContent>
                            <w:p w14:paraId="07283AB7"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Deutschland</w:t>
                              </w:r>
                            </w:p>
                            <w:p w14:paraId="2D612ED0" w14:textId="77777777" w:rsidR="00E17A2B"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Österreich</w:t>
                              </w:r>
                              <w:r w:rsidRPr="00971F57">
                                <w:rPr>
                                  <w:rFonts w:ascii="Courier New" w:hAnsi="Courier New" w:cs="Courier New"/>
                                  <w:spacing w:val="40"/>
                                  <w:w w:val="105"/>
                                  <w:sz w:val="18"/>
                                  <w:szCs w:val="18"/>
                                </w:rPr>
                                <w:t xml:space="preserve"> </w:t>
                              </w:r>
                            </w:p>
                            <w:p w14:paraId="044D9B1D"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Frankreich</w:t>
                              </w:r>
                              <w:r w:rsidRPr="00971F57">
                                <w:rPr>
                                  <w:rFonts w:ascii="Courier New" w:hAnsi="Courier New" w:cs="Courier New"/>
                                  <w:spacing w:val="40"/>
                                  <w:w w:val="105"/>
                                  <w:sz w:val="18"/>
                                  <w:szCs w:val="18"/>
                                </w:rPr>
                                <w:t xml:space="preserve"> </w:t>
                              </w:r>
                            </w:p>
                            <w:p w14:paraId="304447D5"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Niederlande</w:t>
                              </w:r>
                              <w:r w:rsidRPr="00971F57">
                                <w:rPr>
                                  <w:rFonts w:ascii="Courier New" w:hAnsi="Courier New" w:cs="Courier New"/>
                                  <w:spacing w:val="40"/>
                                  <w:w w:val="105"/>
                                  <w:sz w:val="18"/>
                                  <w:szCs w:val="18"/>
                                </w:rPr>
                                <w:t xml:space="preserve"> </w:t>
                              </w:r>
                            </w:p>
                            <w:p w14:paraId="468474DE"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Irland</w:t>
                              </w:r>
                              <w:r w:rsidRPr="00971F57">
                                <w:rPr>
                                  <w:rFonts w:ascii="Courier New" w:hAnsi="Courier New" w:cs="Courier New"/>
                                  <w:spacing w:val="40"/>
                                  <w:w w:val="105"/>
                                  <w:sz w:val="18"/>
                                  <w:szCs w:val="18"/>
                                </w:rPr>
                                <w:t xml:space="preserve"> </w:t>
                              </w:r>
                            </w:p>
                            <w:p w14:paraId="62845538"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Spanien</w:t>
                              </w:r>
                              <w:r w:rsidRPr="00971F57">
                                <w:rPr>
                                  <w:rFonts w:ascii="Courier New" w:hAnsi="Courier New" w:cs="Courier New"/>
                                  <w:spacing w:val="40"/>
                                  <w:w w:val="105"/>
                                  <w:sz w:val="18"/>
                                  <w:szCs w:val="18"/>
                                </w:rPr>
                                <w:t xml:space="preserve"> </w:t>
                              </w:r>
                            </w:p>
                            <w:p w14:paraId="09C626C1"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Italien</w:t>
                              </w:r>
                              <w:r w:rsidRPr="00971F57">
                                <w:rPr>
                                  <w:rFonts w:ascii="Courier New" w:hAnsi="Courier New" w:cs="Courier New"/>
                                  <w:spacing w:val="40"/>
                                  <w:w w:val="105"/>
                                  <w:sz w:val="18"/>
                                  <w:szCs w:val="18"/>
                                </w:rPr>
                                <w:t xml:space="preserve"> </w:t>
                              </w:r>
                            </w:p>
                            <w:p w14:paraId="11C972B0"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Portugal</w:t>
                              </w:r>
                              <w:r w:rsidRPr="00971F57">
                                <w:rPr>
                                  <w:rFonts w:ascii="Courier New" w:hAnsi="Courier New" w:cs="Courier New"/>
                                  <w:spacing w:val="40"/>
                                  <w:w w:val="105"/>
                                  <w:sz w:val="18"/>
                                  <w:szCs w:val="18"/>
                                </w:rPr>
                                <w:t xml:space="preserve"> </w:t>
                              </w:r>
                            </w:p>
                            <w:p w14:paraId="784182BB"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Griechenland</w:t>
                              </w:r>
                              <w:r w:rsidRPr="00971F57">
                                <w:rPr>
                                  <w:rFonts w:ascii="Courier New" w:hAnsi="Courier New" w:cs="Courier New"/>
                                  <w:spacing w:val="40"/>
                                  <w:w w:val="105"/>
                                  <w:sz w:val="18"/>
                                  <w:szCs w:val="18"/>
                                </w:rPr>
                                <w:t xml:space="preserve"> </w:t>
                              </w:r>
                            </w:p>
                            <w:p w14:paraId="04413400"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Finnland</w:t>
                              </w:r>
                              <w:r w:rsidRPr="00971F57">
                                <w:rPr>
                                  <w:rFonts w:ascii="Courier New" w:hAnsi="Courier New" w:cs="Courier New"/>
                                  <w:spacing w:val="40"/>
                                  <w:w w:val="105"/>
                                  <w:sz w:val="18"/>
                                  <w:szCs w:val="18"/>
                                </w:rPr>
                                <w:t xml:space="preserve"> </w:t>
                              </w:r>
                            </w:p>
                            <w:p w14:paraId="5474A569"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Schweden</w:t>
                              </w:r>
                              <w:r w:rsidRPr="00971F57">
                                <w:rPr>
                                  <w:rFonts w:ascii="Courier New" w:hAnsi="Courier New" w:cs="Courier New"/>
                                  <w:spacing w:val="40"/>
                                  <w:w w:val="105"/>
                                  <w:sz w:val="18"/>
                                  <w:szCs w:val="18"/>
                                </w:rPr>
                                <w:t xml:space="preserve"> </w:t>
                              </w:r>
                            </w:p>
                            <w:p w14:paraId="19FA9CF1" w14:textId="77777777" w:rsidR="00E17A2B" w:rsidRPr="00971F57" w:rsidRDefault="00E17A2B" w:rsidP="00971F57">
                              <w:pPr>
                                <w:spacing w:before="40" w:line="276" w:lineRule="auto"/>
                                <w:ind w:right="102"/>
                                <w:rPr>
                                  <w:rFonts w:ascii="Courier New" w:hAnsi="Courier New" w:cs="Courier New"/>
                                  <w:sz w:val="18"/>
                                  <w:szCs w:val="18"/>
                                </w:rPr>
                              </w:pPr>
                              <w:r w:rsidRPr="00971F57">
                                <w:rPr>
                                  <w:rFonts w:ascii="Courier New" w:hAnsi="Courier New" w:cs="Courier New"/>
                                  <w:spacing w:val="-2"/>
                                  <w:w w:val="105"/>
                                  <w:sz w:val="18"/>
                                  <w:szCs w:val="18"/>
                                </w:rPr>
                                <w:t>Dänemark</w:t>
                              </w:r>
                            </w:p>
                            <w:p w14:paraId="3E637D54" w14:textId="77777777" w:rsidR="00E17A2B" w:rsidRPr="00971F57" w:rsidRDefault="00E17A2B" w:rsidP="00971F57">
                              <w:pPr>
                                <w:spacing w:before="40" w:line="276" w:lineRule="auto"/>
                                <w:ind w:right="102"/>
                                <w:rPr>
                                  <w:rFonts w:ascii="Courier New" w:hAnsi="Courier New" w:cs="Courier New"/>
                                  <w:sz w:val="18"/>
                                  <w:szCs w:val="18"/>
                                </w:rPr>
                              </w:pPr>
                              <w:r w:rsidRPr="00971F57">
                                <w:rPr>
                                  <w:rFonts w:ascii="Courier New" w:hAnsi="Courier New" w:cs="Courier New"/>
                                  <w:spacing w:val="-2"/>
                                  <w:w w:val="105"/>
                                  <w:sz w:val="18"/>
                                  <w:szCs w:val="18"/>
                                </w:rPr>
                                <w:t>Großbritannien</w:t>
                              </w:r>
                            </w:p>
                          </w:txbxContent>
                        </wps:txbx>
                        <wps:bodyPr wrap="square" lIns="0" tIns="0" rIns="0" bIns="0" rtlCol="0">
                          <a:noAutofit/>
                        </wps:bodyPr>
                      </wps:wsp>
                      <wps:wsp>
                        <wps:cNvPr id="2296160" name="Textbox 1071"/>
                        <wps:cNvSpPr txBox="1"/>
                        <wps:spPr>
                          <a:xfrm>
                            <a:off x="1199144" y="1050185"/>
                            <a:ext cx="185117" cy="1493084"/>
                          </a:xfrm>
                          <a:prstGeom prst="rect">
                            <a:avLst/>
                          </a:prstGeom>
                        </wps:spPr>
                        <wps:txbx>
                          <w:txbxContent>
                            <w:p w14:paraId="699289EE"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2</w:t>
                              </w:r>
                            </w:p>
                            <w:p w14:paraId="35C2658D"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9</w:t>
                              </w:r>
                            </w:p>
                            <w:p w14:paraId="7DBE8FE3"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5</w:t>
                              </w:r>
                            </w:p>
                            <w:p w14:paraId="12A2E41D"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8</w:t>
                              </w:r>
                            </w:p>
                            <w:p w14:paraId="0E15EEB3"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6</w:t>
                              </w:r>
                            </w:p>
                            <w:p w14:paraId="7A730B69"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4</w:t>
                              </w:r>
                            </w:p>
                            <w:p w14:paraId="2A89B8CD"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7</w:t>
                              </w:r>
                            </w:p>
                            <w:p w14:paraId="00835B7B" w14:textId="77777777" w:rsidR="00E17A2B" w:rsidRPr="00971F57" w:rsidRDefault="00E17A2B" w:rsidP="00971F57">
                              <w:pPr>
                                <w:spacing w:beforeLines="40" w:before="96" w:line="276" w:lineRule="auto"/>
                                <w:rPr>
                                  <w:rFonts w:ascii="Courier New"/>
                                  <w:sz w:val="18"/>
                                  <w:szCs w:val="18"/>
                                </w:rPr>
                              </w:pPr>
                              <w:r w:rsidRPr="00971F57">
                                <w:rPr>
                                  <w:rFonts w:ascii="Courier New"/>
                                  <w:spacing w:val="-5"/>
                                  <w:w w:val="105"/>
                                  <w:sz w:val="18"/>
                                  <w:szCs w:val="18"/>
                                </w:rPr>
                                <w:t>10</w:t>
                              </w:r>
                            </w:p>
                            <w:p w14:paraId="4A592A57"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3</w:t>
                              </w:r>
                            </w:p>
                            <w:p w14:paraId="59BA2F56" w14:textId="77777777" w:rsidR="00E17A2B" w:rsidRPr="00971F57" w:rsidRDefault="00E17A2B" w:rsidP="00971F57">
                              <w:pPr>
                                <w:spacing w:beforeLines="40" w:before="96" w:line="276" w:lineRule="auto"/>
                                <w:rPr>
                                  <w:rFonts w:ascii="Courier New"/>
                                  <w:sz w:val="18"/>
                                  <w:szCs w:val="18"/>
                                </w:rPr>
                              </w:pPr>
                              <w:r w:rsidRPr="00971F57">
                                <w:rPr>
                                  <w:rFonts w:ascii="Courier New"/>
                                  <w:spacing w:val="-5"/>
                                  <w:w w:val="105"/>
                                  <w:sz w:val="18"/>
                                  <w:szCs w:val="18"/>
                                </w:rPr>
                                <w:t>11</w:t>
                              </w:r>
                            </w:p>
                            <w:p w14:paraId="56B6D27A" w14:textId="77777777" w:rsidR="00E17A2B" w:rsidRPr="00971F57" w:rsidRDefault="00E17A2B" w:rsidP="00971F57">
                              <w:pPr>
                                <w:spacing w:beforeLines="40" w:before="96" w:line="276" w:lineRule="auto"/>
                                <w:rPr>
                                  <w:rFonts w:ascii="Courier New"/>
                                  <w:sz w:val="18"/>
                                  <w:szCs w:val="18"/>
                                </w:rPr>
                              </w:pPr>
                              <w:r w:rsidRPr="00971F57">
                                <w:rPr>
                                  <w:rFonts w:ascii="Courier New"/>
                                  <w:spacing w:val="-5"/>
                                  <w:w w:val="105"/>
                                  <w:sz w:val="18"/>
                                  <w:szCs w:val="18"/>
                                </w:rPr>
                                <w:t>12</w:t>
                              </w:r>
                            </w:p>
                            <w:p w14:paraId="3EB5832A"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1</w:t>
                              </w:r>
                            </w:p>
                            <w:p w14:paraId="5475AADD" w14:textId="77777777" w:rsidR="00E17A2B" w:rsidRPr="00971F57" w:rsidRDefault="00E17A2B" w:rsidP="00971F57">
                              <w:pPr>
                                <w:spacing w:beforeLines="40" w:before="96" w:line="276" w:lineRule="auto"/>
                                <w:rPr>
                                  <w:rFonts w:ascii="Courier New"/>
                                  <w:sz w:val="18"/>
                                  <w:szCs w:val="18"/>
                                </w:rPr>
                              </w:pPr>
                              <w:r w:rsidRPr="00971F57">
                                <w:rPr>
                                  <w:rFonts w:ascii="Courier New"/>
                                  <w:spacing w:val="-5"/>
                                  <w:w w:val="105"/>
                                  <w:sz w:val="18"/>
                                  <w:szCs w:val="18"/>
                                </w:rPr>
                                <w:t>13</w:t>
                              </w:r>
                            </w:p>
                          </w:txbxContent>
                        </wps:txbx>
                        <wps:bodyPr wrap="square" lIns="0" tIns="0" rIns="0" bIns="0" rtlCol="0">
                          <a:noAutofit/>
                        </wps:bodyPr>
                      </wps:wsp>
                      <wps:wsp>
                        <wps:cNvPr id="2296161" name="Textbox 1072"/>
                        <wps:cNvSpPr txBox="1"/>
                        <wps:spPr>
                          <a:xfrm>
                            <a:off x="1199137" y="2018506"/>
                            <a:ext cx="318770" cy="82550"/>
                          </a:xfrm>
                          <a:prstGeom prst="rect">
                            <a:avLst/>
                          </a:prstGeom>
                        </wps:spPr>
                        <wps:txbx>
                          <w:txbxContent>
                            <w:p w14:paraId="52878EA6" w14:textId="77777777" w:rsidR="00E17A2B" w:rsidRPr="00C9796F" w:rsidRDefault="00E17A2B" w:rsidP="004F0929">
                              <w:pPr>
                                <w:tabs>
                                  <w:tab w:val="left" w:pos="481"/>
                                </w:tabs>
                                <w:spacing w:before="3"/>
                                <w:rPr>
                                  <w:rFonts w:ascii="Courier New"/>
                                  <w:sz w:val="20"/>
                                  <w:szCs w:val="20"/>
                                </w:rPr>
                              </w:pPr>
                              <w:r w:rsidRPr="00C9796F">
                                <w:rPr>
                                  <w:rFonts w:ascii="Courier New"/>
                                  <w:w w:val="104"/>
                                  <w:sz w:val="20"/>
                                  <w:szCs w:val="20"/>
                                  <w:u w:val="single"/>
                                </w:rPr>
                                <w:t xml:space="preserve"> </w:t>
                              </w:r>
                              <w:r w:rsidRPr="00C9796F">
                                <w:rPr>
                                  <w:rFonts w:ascii="Courier New"/>
                                  <w:sz w:val="20"/>
                                  <w:szCs w:val="20"/>
                                  <w:u w:val="single"/>
                                </w:rPr>
                                <w:tab/>
                              </w:r>
                            </w:p>
                          </w:txbxContent>
                        </wps:txbx>
                        <wps:bodyPr wrap="square" lIns="0" tIns="0" rIns="0" bIns="0" rtlCol="0">
                          <a:noAutofit/>
                        </wps:bodyPr>
                      </wps:wsp>
                      <wps:wsp>
                        <wps:cNvPr id="2296162" name="Textbox 1069"/>
                        <wps:cNvSpPr txBox="1"/>
                        <wps:spPr>
                          <a:xfrm>
                            <a:off x="178431" y="1833701"/>
                            <a:ext cx="57810" cy="64313"/>
                          </a:xfrm>
                          <a:prstGeom prst="rect">
                            <a:avLst/>
                          </a:prstGeom>
                        </wps:spPr>
                        <wps:txbx>
                          <w:txbxContent>
                            <w:p w14:paraId="663F6F3D" w14:textId="77777777" w:rsidR="00E17A2B" w:rsidRPr="00C9796F" w:rsidRDefault="00E17A2B" w:rsidP="00971F57">
                              <w:pPr>
                                <w:spacing w:line="156" w:lineRule="exact"/>
                                <w:rPr>
                                  <w:b/>
                                  <w:sz w:val="20"/>
                                  <w:szCs w:val="20"/>
                                </w:rPr>
                              </w:pPr>
                              <w:r>
                                <w:rPr>
                                  <w:b/>
                                  <w:sz w:val="20"/>
                                  <w:szCs w:val="20"/>
                                </w:rPr>
                                <w:t>3</w:t>
                              </w:r>
                            </w:p>
                          </w:txbxContent>
                        </wps:txbx>
                        <wps:bodyPr wrap="square" lIns="0" tIns="0" rIns="0" bIns="0" rtlCol="0" anchor="ctr" anchorCtr="0">
                          <a:spAutoFit/>
                        </wps:bodyPr>
                      </wps:wsp>
                      <wps:wsp>
                        <wps:cNvPr id="2296163" name="Textbox 1069"/>
                        <wps:cNvSpPr txBox="1"/>
                        <wps:spPr>
                          <a:xfrm>
                            <a:off x="178438" y="2283443"/>
                            <a:ext cx="57810" cy="64313"/>
                          </a:xfrm>
                          <a:prstGeom prst="rect">
                            <a:avLst/>
                          </a:prstGeom>
                        </wps:spPr>
                        <wps:txbx>
                          <w:txbxContent>
                            <w:p w14:paraId="247F132A" w14:textId="77777777" w:rsidR="00E17A2B" w:rsidRPr="00C9796F" w:rsidRDefault="00E17A2B" w:rsidP="00971F57">
                              <w:pPr>
                                <w:spacing w:line="156" w:lineRule="exact"/>
                                <w:rPr>
                                  <w:b/>
                                  <w:sz w:val="20"/>
                                  <w:szCs w:val="20"/>
                                </w:rPr>
                              </w:pPr>
                              <w:r>
                                <w:rPr>
                                  <w:b/>
                                  <w:sz w:val="20"/>
                                  <w:szCs w:val="20"/>
                                </w:rPr>
                                <w:t>1</w:t>
                              </w:r>
                            </w:p>
                          </w:txbxContent>
                        </wps:txbx>
                        <wps:bodyPr wrap="square" lIns="0" tIns="0" rIns="0" bIns="0" rtlCol="0" anchor="ctr" anchorCtr="0">
                          <a:spAutoFit/>
                        </wps:bodyPr>
                      </wps:wsp>
                    </wpg:wgp>
                  </a:graphicData>
                </a:graphic>
              </wp:inline>
            </w:drawing>
          </mc:Choice>
          <mc:Fallback>
            <w:pict>
              <v:group w14:anchorId="49D63642" id="Group 1041" o:spid="_x0000_s1032" style="width:442.15pt;height:329.75pt;mso-position-horizontal-relative:char;mso-position-vertical-relative:line" coordorigin="24,24" coordsize="36455,2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">
                <v:shape id="Graphic 1042" o:spid="_x0000_s1033" style="position:absolute;left:20743;top:9555;width:8179;height:12;visibility:visible;mso-wrap-style:square;v-text-anchor:top" coordsize="8178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" path="m,l391169,em426347,l817516,e" filled="f" strokeweight=".1193mm">
                  <v:stroke dashstyle="dash"/>
                  <v:path arrowok="t"/>
                </v:shape>
                <v:shape id="Graphic 1043" o:spid="_x0000_s1034" style="position:absolute;left:12223;top:9555;width:8166;height:12;visibility:visible;mso-wrap-style:square;v-text-anchor:top" coordsize="8166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" path="m,l391169,em425006,l816175,e" filled="f" strokeweight=".1193mm">
                  <v:stroke dashstyle="dash"/>
                  <v:path arrowok="t"/>
                </v:shape>
                <v:shape id="Graphic 1044" o:spid="_x0000_s1035" style="position:absolute;left:29263;top:9555;width:3918;height:12;visibility:visible;mso-wrap-style:square;v-text-anchor:top" coordsize="3917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" path="m,l391169,e" filled="f" strokeweight=".1193mm">
                  <v:stroke dashstyle="dash"/>
                  <v:path arrowok="t"/>
                </v:shape>
                <v:shape id="Graphic 1045" o:spid="_x0000_s1036" style="position:absolute;left:13842;top:11133;width:19299;height:14160;visibility:visible;mso-wrap-style:square;v-text-anchor:top" coordsize="2134870,1327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" path="m4078,669l189320,em,335125r188649,670em,207124r188649,669em190660,669r838,334456em4078,102836r76867,670em79605,102836l80275,669em188649,102836r244625,670em2011,432940r427073,-1339em431263,102836r-1508,328095em4078,661770r79046,-670em81727,659594r727,-102167em,555418r266187,669em270433,555418r670,333005em4078,763881r781525,1395em785603,763881r671,-548332em431263,213373r358530,670em788341,430931r1344235,670em8267,1003139r261496,681em8267,1203093r261496,1490em268366,1001650r671,203608em8267,1097562r171277,680em181722,1007207r-1508,90355em266187,1097562r162897,680em8267,1326910r420817,-1356em429084,1097562r671,226503em429084,1205258r1696453,681em2133973,430931r670,774327e" filled="f" strokeweight=".1169mm">
                  <v:path arrowok="t"/>
                </v:shape>
                <v:shape id="Graphic 1046" o:spid="_x0000_s1037" style="position:absolute;left:24;top:24;width:36455;height:27191;visibility:visible;mso-wrap-style:square;v-text-anchor:top" coordsize="3645535,271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" path="m,2718726r3645295,l3645295,,,,,2718726xe" filled="f" strokeweight=".1357mm">
                  <v:path arrowok="t"/>
                </v:shape>
                <v:shape id="Graphic 1047" o:spid="_x0000_s1038" style="position:absolute;left:3338;top:11075;width:1010;height:14218;visibility:visible;mso-wrap-style:square;v-text-anchor:top" coordsize="100965,142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" path="m100648,l64924,13280,50254,44694r,179113l49578,232902,19557,265098,,268502r10457,669l46048,295843r4206,17521l50254,492421r682,9095l81090,533601r9101,2845l100648,537116em100648,565183l58678,580471r-8424,18972l50254,735033r-676,7087l19557,766615,,769349r10457,670l46048,790330r4206,13280l50254,939367r682,7031l81090,970782r9101,2176l100648,973628em100648,1012798r-41970,15401l50254,1047058r,135725l49578,1189696r-30021,24518l,1217060r10457,675l46048,1238057r4206,13274l50254,1386938r682,7042l81090,1418503r9101,2032l100648,1421344e" filled="f" strokeweight=".1169mm">
                  <v:path arrowok="t"/>
                </v:shape>
                <v:shape id="Graphic 1048" o:spid="_x0000_s1039" style="position:absolute;left:1310;top:22554;width:1302;height:1308;visibility:visible;mso-wrap-style:square;v-text-anchor:top" coordsize="130175,1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" path="m65063,l39826,5130,19135,19100,5142,39775,,65021,5142,90605r13993,20883l39826,125564r25237,5160l90241,125564r20696,-14076l124960,90605r5162,-25584l124960,39775,110937,19100,90241,5130,65063,xe" fillcolor="#ccf" stroked="f">
                  <v:path arrowok="t"/>
                </v:shape>
                <v:shape id="Graphic 1049" o:spid="_x0000_s1040" style="position:absolute;left:1310;top:22554;width:1302;height:1308;visibility:visible;mso-wrap-style:square;v-text-anchor:top" coordsize="130175,1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" path="m,65021l5142,90605r13993,20883l39826,125564r25237,5160l90241,125564r20696,-14076l124960,90605r5162,-25584l124960,39775,110937,19100,90241,5130,65063,,39826,5130,19135,19100,5142,39775,,65021xe" filled="f" strokeweight=".1169mm">
                  <v:path arrowok="t"/>
                </v:shape>
                <v:shape id="Graphic 1050" o:spid="_x0000_s1041" style="position:absolute;left:1310;top:22554;width:1302;height:1308;visibility:visible;mso-wrap-style:square;v-text-anchor:top" coordsize="130175,1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" path="m65063,l39826,5130,19135,19100,5142,39775,,65021,5142,90605r13993,20883l39826,125564r25237,5160l90241,125564r20696,-14076l124960,90605r5162,-25584l124960,39775,110937,19100,90241,5130,65063,xe" fillcolor="#ccf" stroked="f">
                  <v:path arrowok="t"/>
                </v:shape>
                <v:shape id="Graphic 1051" o:spid="_x0000_s1042" style="position:absolute;left:1310;top:22554;width:1302;height:1308;visibility:visible;mso-wrap-style:square;v-text-anchor:top" coordsize="130175,1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" path="m,65021l5142,90605r13993,20883l39826,125564r25237,5160l90241,125564r20696,-14076l124960,90605r5162,-25584l124960,39775,110937,19100,90241,5130,65063,,39826,5130,19135,19100,5142,39775,,65021xe" filled="f" strokeweight=".1169mm">
                  <v:path arrowok="t"/>
                </v:shape>
                <v:shape id="Graphic 1052" o:spid="_x0000_s1043" style="position:absolute;left:1325;top:18028;width:1302;height:1308;visibility:visible;mso-wrap-style:square;v-text-anchor:top" coordsize="130175,1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" path="m64924,l39765,5150,19115,19152,5139,39829,,65005,5139,90647r13976,20887l39765,125589r25159,5146l90158,125589r20689,-14055l124840,90647r5142,-25642l124840,39829,110847,19152,90158,5150,64924,xe" fillcolor="#ccf" stroked="f">
                  <v:path arrowok="t"/>
                </v:shape>
                <v:shape id="Graphic 1053" o:spid="_x0000_s1044" style="position:absolute;left:1325;top:18028;width:1302;height:1308;visibility:visible;mso-wrap-style:square;v-text-anchor:top" coordsize="130175,1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" path="m,65005l5139,90647r13976,20887l39765,125589r25159,5146l90158,125589r20689,-14055l124840,90647r5142,-25642l124840,39829,110847,19152,90158,5150,64924,,39765,5150,19115,19152,5139,39829,,65005xe" filled="f" strokeweight=".1169mm">
                  <v:path arrowok="t"/>
                </v:shape>
                <v:shape id="Graphic 1054" o:spid="_x0000_s1045" style="position:absolute;left:1325;top:18028;width:1302;height:1308;visibility:visible;mso-wrap-style:square;v-text-anchor:top" coordsize="130175,1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" path="m64924,l39765,5150,19115,19152,5139,39829,,65005,5139,90647r13976,20887l39765,125589r25159,5146l90158,125589r20689,-14055l124840,90647r5142,-25642l124840,39829,110847,19152,90158,5150,64924,xe" fillcolor="#ccf" stroked="f">
                  <v:path arrowok="t"/>
                </v:shape>
                <v:shape id="Graphic 1055" o:spid="_x0000_s1046" style="position:absolute;left:1325;top:18028;width:1302;height:1308;visibility:visible;mso-wrap-style:square;v-text-anchor:top" coordsize="130175,1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" path="m,65005l5139,90647r13976,20887l39765,125589r25159,5146l90158,125589r20689,-14055l124840,90647r5142,-25642l124840,39829,110847,19152,90158,5150,64924,,39765,5150,19115,19152,5139,39829,,65005xe" filled="f" strokeweight=".1169mm">
                  <v:path arrowok="t"/>
                </v:shape>
                <v:shape id="Graphic 1056" o:spid="_x0000_s1047" style="position:absolute;left:1325;top:13104;width:1302;height:1314;visibility:visible;mso-wrap-style:square;v-text-anchor:top" coordsize="130175,131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" path="m64924,l39765,5143,19115,19131,5139,39806,,65005,5139,90664r13976,20926l39765,125683r25159,5164l90158,125683r20689,-14093l124840,90664r5142,-25659l124840,39806,110847,19131,90158,5143,64924,xe" fillcolor="#ccf" stroked="f">
                  <v:path arrowok="t"/>
                </v:shape>
                <v:shape id="Graphic 1057" o:spid="_x0000_s1048" style="position:absolute;left:1325;top:13104;width:1302;height:1314;visibility:visible;mso-wrap-style:square;v-text-anchor:top" coordsize="130175,131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" path="m,65005l5139,90664r13976,20926l39765,125683r25159,5164l90158,125683r20689,-14093l124840,90664r5142,-25659l124840,39806,110847,19131,90158,5143,64924,,39765,5143,19115,19131,5139,39806,,65005xe" filled="f" strokeweight=".1169mm">
                  <v:path arrowok="t"/>
                </v:shape>
                <v:shape id="Graphic 1058" o:spid="_x0000_s1049" style="position:absolute;left:1325;top:13104;width:1302;height:1314;visibility:visible;mso-wrap-style:square;v-text-anchor:top" coordsize="130175,131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" path="m64924,l39765,5143,19115,19131,5139,39806,,65005,5139,90664r13976,20926l39765,125683r25159,5164l90158,125683r20689,-14093l124840,90664r5142,-25659l124840,39806,110847,19131,90158,5143,64924,xe" fillcolor="#ccf" stroked="f">
                  <v:path arrowok="t"/>
                </v:shape>
                <v:shape id="Graphic 1059" o:spid="_x0000_s1050" style="position:absolute;left:1325;top:13104;width:1302;height:1314;visibility:visible;mso-wrap-style:square;v-text-anchor:top" coordsize="130175,131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" path="m,65005l5139,90664r13976,20926l39765,125683r25159,5164l90158,125683r20689,-14093l124840,90664r5142,-25659l124840,39806,110847,19131,90158,5143,64924,,39765,5143,19115,19131,5139,39806,,65005xe" filled="f" strokeweight=".1169mm">
                  <v:path arrowok="t"/>
                </v:shape>
                <v:shape id="Textbox 1060" o:spid="_x0000_s1051" type="#_x0000_t202" style="position:absolute;left:1925;top:1391;width:34329;height:52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" filled="f" stroked="f">
                  <v:textbox inset="0,0,0,0">
                    <w:txbxContent>
                      <w:p w14:paraId="07A3E5D9" w14:textId="77777777" w:rsidR="00E17A2B" w:rsidRPr="00C9796F" w:rsidRDefault="00E17A2B" w:rsidP="004F0929">
                        <w:pPr>
                          <w:tabs>
                            <w:tab w:val="left" w:pos="3627"/>
                          </w:tabs>
                          <w:spacing w:before="3"/>
                          <w:rPr>
                            <w:rFonts w:ascii="Courier New"/>
                            <w:sz w:val="16"/>
                            <w:szCs w:val="16"/>
                            <w:lang w:val="en-US"/>
                          </w:rPr>
                        </w:pPr>
                        <w:r w:rsidRPr="00C9796F">
                          <w:rPr>
                            <w:rFonts w:ascii="Courier New"/>
                            <w:w w:val="105"/>
                            <w:sz w:val="16"/>
                            <w:szCs w:val="16"/>
                            <w:lang w:val="en-US"/>
                          </w:rPr>
                          <w:t>*</w:t>
                        </w:r>
                        <w:r w:rsidRPr="00C9796F">
                          <w:rPr>
                            <w:rFonts w:ascii="Courier New"/>
                            <w:spacing w:val="-2"/>
                            <w:w w:val="105"/>
                            <w:sz w:val="16"/>
                            <w:szCs w:val="16"/>
                            <w:lang w:val="en-US"/>
                          </w:rPr>
                          <w:t xml:space="preserve"> </w:t>
                        </w:r>
                        <w:r w:rsidRPr="00C9796F">
                          <w:rPr>
                            <w:rFonts w:ascii="Courier New"/>
                            <w:w w:val="105"/>
                            <w:sz w:val="16"/>
                            <w:szCs w:val="16"/>
                            <w:lang w:val="en-US"/>
                          </w:rPr>
                          <w:t>*</w:t>
                        </w:r>
                        <w:r w:rsidRPr="00C9796F">
                          <w:rPr>
                            <w:rFonts w:ascii="Courier New"/>
                            <w:spacing w:val="-2"/>
                            <w:w w:val="105"/>
                            <w:sz w:val="16"/>
                            <w:szCs w:val="16"/>
                            <w:lang w:val="en-US"/>
                          </w:rPr>
                          <w:t xml:space="preserve"> </w:t>
                        </w:r>
                        <w:r w:rsidRPr="00C9796F">
                          <w:rPr>
                            <w:rFonts w:ascii="Courier New"/>
                            <w:w w:val="105"/>
                            <w:sz w:val="16"/>
                            <w:szCs w:val="16"/>
                            <w:lang w:val="en-US"/>
                          </w:rPr>
                          <w:t>*</w:t>
                        </w:r>
                        <w:r w:rsidRPr="00C9796F">
                          <w:rPr>
                            <w:rFonts w:ascii="Courier New"/>
                            <w:spacing w:val="-2"/>
                            <w:w w:val="105"/>
                            <w:sz w:val="16"/>
                            <w:szCs w:val="16"/>
                            <w:lang w:val="en-US"/>
                          </w:rPr>
                          <w:t xml:space="preserve"> </w:t>
                        </w:r>
                        <w:r w:rsidRPr="00C9796F">
                          <w:rPr>
                            <w:rFonts w:ascii="Courier New"/>
                            <w:w w:val="105"/>
                            <w:sz w:val="16"/>
                            <w:szCs w:val="16"/>
                            <w:lang w:val="en-US"/>
                          </w:rPr>
                          <w:t>*</w:t>
                        </w:r>
                        <w:r w:rsidRPr="00C9796F">
                          <w:rPr>
                            <w:rFonts w:ascii="Courier New"/>
                            <w:spacing w:val="-2"/>
                            <w:w w:val="105"/>
                            <w:sz w:val="16"/>
                            <w:szCs w:val="16"/>
                            <w:lang w:val="en-US"/>
                          </w:rPr>
                          <w:t xml:space="preserve"> </w:t>
                        </w:r>
                        <w:r w:rsidRPr="00C9796F">
                          <w:rPr>
                            <w:rFonts w:ascii="Courier New"/>
                            <w:w w:val="105"/>
                            <w:sz w:val="16"/>
                            <w:szCs w:val="16"/>
                            <w:lang w:val="en-US"/>
                          </w:rPr>
                          <w:t>*</w:t>
                        </w:r>
                        <w:r w:rsidRPr="00C9796F">
                          <w:rPr>
                            <w:rFonts w:ascii="Courier New"/>
                            <w:spacing w:val="-2"/>
                            <w:w w:val="105"/>
                            <w:sz w:val="16"/>
                            <w:szCs w:val="16"/>
                            <w:lang w:val="en-US"/>
                          </w:rPr>
                          <w:t xml:space="preserve"> </w:t>
                        </w:r>
                        <w:r w:rsidRPr="00C9796F">
                          <w:rPr>
                            <w:rFonts w:ascii="Courier New"/>
                            <w:w w:val="105"/>
                            <w:sz w:val="16"/>
                            <w:szCs w:val="16"/>
                            <w:lang w:val="en-US"/>
                          </w:rPr>
                          <w:t>*</w:t>
                        </w:r>
                        <w:r w:rsidRPr="00C9796F">
                          <w:rPr>
                            <w:rFonts w:ascii="Courier New"/>
                            <w:spacing w:val="-2"/>
                            <w:w w:val="105"/>
                            <w:sz w:val="16"/>
                            <w:szCs w:val="16"/>
                            <w:lang w:val="en-US"/>
                          </w:rPr>
                          <w:t xml:space="preserve"> </w:t>
                        </w:r>
                        <w:r w:rsidRPr="00C9796F">
                          <w:rPr>
                            <w:rFonts w:ascii="Courier New"/>
                            <w:w w:val="105"/>
                            <w:sz w:val="16"/>
                            <w:szCs w:val="16"/>
                            <w:lang w:val="en-US"/>
                          </w:rPr>
                          <w:t>H</w:t>
                        </w:r>
                        <w:r w:rsidRPr="00C9796F">
                          <w:rPr>
                            <w:rFonts w:ascii="Courier New"/>
                            <w:spacing w:val="-2"/>
                            <w:w w:val="105"/>
                            <w:sz w:val="16"/>
                            <w:szCs w:val="16"/>
                            <w:lang w:val="en-US"/>
                          </w:rPr>
                          <w:t xml:space="preserve"> </w:t>
                        </w:r>
                        <w:r w:rsidRPr="00C9796F">
                          <w:rPr>
                            <w:rFonts w:ascii="Courier New"/>
                            <w:w w:val="105"/>
                            <w:sz w:val="16"/>
                            <w:szCs w:val="16"/>
                            <w:lang w:val="en-US"/>
                          </w:rPr>
                          <w:t>I</w:t>
                        </w:r>
                        <w:r w:rsidRPr="00C9796F">
                          <w:rPr>
                            <w:rFonts w:ascii="Courier New"/>
                            <w:spacing w:val="-2"/>
                            <w:w w:val="105"/>
                            <w:sz w:val="16"/>
                            <w:szCs w:val="16"/>
                            <w:lang w:val="en-US"/>
                          </w:rPr>
                          <w:t xml:space="preserve"> </w:t>
                        </w:r>
                        <w:r w:rsidRPr="00C9796F">
                          <w:rPr>
                            <w:rFonts w:ascii="Courier New"/>
                            <w:w w:val="105"/>
                            <w:sz w:val="16"/>
                            <w:szCs w:val="16"/>
                            <w:lang w:val="en-US"/>
                          </w:rPr>
                          <w:t>E</w:t>
                        </w:r>
                        <w:r w:rsidRPr="00C9796F">
                          <w:rPr>
                            <w:rFonts w:ascii="Courier New"/>
                            <w:spacing w:val="-2"/>
                            <w:w w:val="105"/>
                            <w:sz w:val="16"/>
                            <w:szCs w:val="16"/>
                            <w:lang w:val="en-US"/>
                          </w:rPr>
                          <w:t xml:space="preserve"> </w:t>
                        </w:r>
                        <w:r w:rsidRPr="00C9796F">
                          <w:rPr>
                            <w:rFonts w:ascii="Courier New"/>
                            <w:w w:val="105"/>
                            <w:sz w:val="16"/>
                            <w:szCs w:val="16"/>
                            <w:lang w:val="en-US"/>
                          </w:rPr>
                          <w:t>R</w:t>
                        </w:r>
                        <w:r w:rsidRPr="00C9796F">
                          <w:rPr>
                            <w:rFonts w:ascii="Courier New"/>
                            <w:spacing w:val="-2"/>
                            <w:w w:val="105"/>
                            <w:sz w:val="16"/>
                            <w:szCs w:val="16"/>
                            <w:lang w:val="en-US"/>
                          </w:rPr>
                          <w:t xml:space="preserve"> </w:t>
                        </w:r>
                        <w:r w:rsidRPr="00C9796F">
                          <w:rPr>
                            <w:rFonts w:ascii="Courier New"/>
                            <w:w w:val="105"/>
                            <w:sz w:val="16"/>
                            <w:szCs w:val="16"/>
                            <w:lang w:val="en-US"/>
                          </w:rPr>
                          <w:t>A</w:t>
                        </w:r>
                        <w:r w:rsidRPr="00C9796F">
                          <w:rPr>
                            <w:rFonts w:ascii="Courier New"/>
                            <w:spacing w:val="-2"/>
                            <w:w w:val="105"/>
                            <w:sz w:val="16"/>
                            <w:szCs w:val="16"/>
                            <w:lang w:val="en-US"/>
                          </w:rPr>
                          <w:t xml:space="preserve"> </w:t>
                        </w:r>
                        <w:r w:rsidRPr="00C9796F">
                          <w:rPr>
                            <w:rFonts w:ascii="Courier New"/>
                            <w:w w:val="105"/>
                            <w:sz w:val="16"/>
                            <w:szCs w:val="16"/>
                            <w:lang w:val="en-US"/>
                          </w:rPr>
                          <w:t>R</w:t>
                        </w:r>
                        <w:r w:rsidRPr="00C9796F">
                          <w:rPr>
                            <w:rFonts w:ascii="Courier New"/>
                            <w:spacing w:val="-2"/>
                            <w:w w:val="105"/>
                            <w:sz w:val="16"/>
                            <w:szCs w:val="16"/>
                            <w:lang w:val="en-US"/>
                          </w:rPr>
                          <w:t xml:space="preserve"> </w:t>
                        </w:r>
                        <w:r w:rsidRPr="00C9796F">
                          <w:rPr>
                            <w:rFonts w:ascii="Courier New"/>
                            <w:w w:val="105"/>
                            <w:sz w:val="16"/>
                            <w:szCs w:val="16"/>
                            <w:lang w:val="en-US"/>
                          </w:rPr>
                          <w:t>C</w:t>
                        </w:r>
                        <w:r w:rsidRPr="00C9796F">
                          <w:rPr>
                            <w:rFonts w:ascii="Courier New"/>
                            <w:spacing w:val="-2"/>
                            <w:w w:val="105"/>
                            <w:sz w:val="16"/>
                            <w:szCs w:val="16"/>
                            <w:lang w:val="en-US"/>
                          </w:rPr>
                          <w:t xml:space="preserve"> </w:t>
                        </w:r>
                        <w:r w:rsidRPr="00C9796F">
                          <w:rPr>
                            <w:rFonts w:ascii="Courier New"/>
                            <w:w w:val="105"/>
                            <w:sz w:val="16"/>
                            <w:szCs w:val="16"/>
                            <w:lang w:val="en-US"/>
                          </w:rPr>
                          <w:t>H</w:t>
                        </w:r>
                        <w:r w:rsidRPr="00C9796F">
                          <w:rPr>
                            <w:rFonts w:ascii="Courier New"/>
                            <w:spacing w:val="-2"/>
                            <w:w w:val="105"/>
                            <w:sz w:val="16"/>
                            <w:szCs w:val="16"/>
                            <w:lang w:val="en-US"/>
                          </w:rPr>
                          <w:t xml:space="preserve"> </w:t>
                        </w:r>
                        <w:r w:rsidRPr="00C9796F">
                          <w:rPr>
                            <w:rFonts w:ascii="Courier New"/>
                            <w:w w:val="105"/>
                            <w:sz w:val="16"/>
                            <w:szCs w:val="16"/>
                            <w:lang w:val="en-US"/>
                          </w:rPr>
                          <w:t>I</w:t>
                        </w:r>
                        <w:r w:rsidRPr="00C9796F">
                          <w:rPr>
                            <w:rFonts w:ascii="Courier New"/>
                            <w:spacing w:val="-2"/>
                            <w:w w:val="105"/>
                            <w:sz w:val="16"/>
                            <w:szCs w:val="16"/>
                            <w:lang w:val="en-US"/>
                          </w:rPr>
                          <w:t xml:space="preserve"> </w:t>
                        </w:r>
                        <w:r w:rsidRPr="00C9796F">
                          <w:rPr>
                            <w:rFonts w:ascii="Courier New"/>
                            <w:w w:val="105"/>
                            <w:sz w:val="16"/>
                            <w:szCs w:val="16"/>
                            <w:lang w:val="en-US"/>
                          </w:rPr>
                          <w:t>C</w:t>
                        </w:r>
                        <w:r w:rsidRPr="00C9796F">
                          <w:rPr>
                            <w:rFonts w:ascii="Courier New"/>
                            <w:spacing w:val="-1"/>
                            <w:w w:val="105"/>
                            <w:sz w:val="16"/>
                            <w:szCs w:val="16"/>
                            <w:lang w:val="en-US"/>
                          </w:rPr>
                          <w:t xml:space="preserve"> </w:t>
                        </w:r>
                        <w:r w:rsidRPr="00C9796F">
                          <w:rPr>
                            <w:rFonts w:ascii="Courier New"/>
                            <w:w w:val="105"/>
                            <w:sz w:val="16"/>
                            <w:szCs w:val="16"/>
                            <w:lang w:val="en-US"/>
                          </w:rPr>
                          <w:t>A</w:t>
                        </w:r>
                        <w:r w:rsidRPr="00C9796F">
                          <w:rPr>
                            <w:rFonts w:ascii="Courier New"/>
                            <w:spacing w:val="-2"/>
                            <w:w w:val="105"/>
                            <w:sz w:val="16"/>
                            <w:szCs w:val="16"/>
                            <w:lang w:val="en-US"/>
                          </w:rPr>
                          <w:t xml:space="preserve"> </w:t>
                        </w:r>
                        <w:r w:rsidRPr="00C9796F">
                          <w:rPr>
                            <w:rFonts w:ascii="Courier New"/>
                            <w:w w:val="105"/>
                            <w:sz w:val="16"/>
                            <w:szCs w:val="16"/>
                            <w:lang w:val="en-US"/>
                          </w:rPr>
                          <w:t>L</w:t>
                        </w:r>
                        <w:r w:rsidRPr="00C9796F">
                          <w:rPr>
                            <w:rFonts w:ascii="Courier New"/>
                            <w:spacing w:val="65"/>
                            <w:w w:val="105"/>
                            <w:sz w:val="16"/>
                            <w:szCs w:val="16"/>
                            <w:lang w:val="en-US"/>
                          </w:rPr>
                          <w:t xml:space="preserve"> </w:t>
                        </w:r>
                        <w:r w:rsidRPr="00C9796F">
                          <w:rPr>
                            <w:rFonts w:ascii="Courier New"/>
                            <w:w w:val="105"/>
                            <w:sz w:val="16"/>
                            <w:szCs w:val="16"/>
                            <w:lang w:val="en-US"/>
                          </w:rPr>
                          <w:t>C</w:t>
                        </w:r>
                        <w:r w:rsidRPr="00C9796F">
                          <w:rPr>
                            <w:rFonts w:ascii="Courier New"/>
                            <w:spacing w:val="-2"/>
                            <w:w w:val="105"/>
                            <w:sz w:val="16"/>
                            <w:szCs w:val="16"/>
                            <w:lang w:val="en-US"/>
                          </w:rPr>
                          <w:t xml:space="preserve"> </w:t>
                        </w:r>
                        <w:r w:rsidRPr="00C9796F">
                          <w:rPr>
                            <w:rFonts w:ascii="Courier New"/>
                            <w:w w:val="105"/>
                            <w:sz w:val="16"/>
                            <w:szCs w:val="16"/>
                            <w:lang w:val="en-US"/>
                          </w:rPr>
                          <w:t>L</w:t>
                        </w:r>
                        <w:r w:rsidRPr="00C9796F">
                          <w:rPr>
                            <w:rFonts w:ascii="Courier New"/>
                            <w:spacing w:val="-2"/>
                            <w:w w:val="105"/>
                            <w:sz w:val="16"/>
                            <w:szCs w:val="16"/>
                            <w:lang w:val="en-US"/>
                          </w:rPr>
                          <w:t xml:space="preserve"> </w:t>
                        </w:r>
                        <w:r w:rsidRPr="00C9796F">
                          <w:rPr>
                            <w:rFonts w:ascii="Courier New"/>
                            <w:w w:val="105"/>
                            <w:sz w:val="16"/>
                            <w:szCs w:val="16"/>
                            <w:lang w:val="en-US"/>
                          </w:rPr>
                          <w:t>U</w:t>
                        </w:r>
                        <w:r w:rsidRPr="00C9796F">
                          <w:rPr>
                            <w:rFonts w:ascii="Courier New"/>
                            <w:spacing w:val="-2"/>
                            <w:w w:val="105"/>
                            <w:sz w:val="16"/>
                            <w:szCs w:val="16"/>
                            <w:lang w:val="en-US"/>
                          </w:rPr>
                          <w:t xml:space="preserve"> </w:t>
                        </w:r>
                        <w:r w:rsidRPr="00C9796F">
                          <w:rPr>
                            <w:rFonts w:ascii="Courier New"/>
                            <w:w w:val="105"/>
                            <w:sz w:val="16"/>
                            <w:szCs w:val="16"/>
                            <w:lang w:val="en-US"/>
                          </w:rPr>
                          <w:t>S</w:t>
                        </w:r>
                        <w:r w:rsidRPr="00C9796F">
                          <w:rPr>
                            <w:rFonts w:ascii="Courier New"/>
                            <w:spacing w:val="-2"/>
                            <w:w w:val="105"/>
                            <w:sz w:val="16"/>
                            <w:szCs w:val="16"/>
                            <w:lang w:val="en-US"/>
                          </w:rPr>
                          <w:t xml:space="preserve"> </w:t>
                        </w:r>
                        <w:r w:rsidRPr="00C9796F">
                          <w:rPr>
                            <w:rFonts w:ascii="Courier New"/>
                            <w:w w:val="105"/>
                            <w:sz w:val="16"/>
                            <w:szCs w:val="16"/>
                            <w:lang w:val="en-US"/>
                          </w:rPr>
                          <w:t>T</w:t>
                        </w:r>
                        <w:r w:rsidRPr="00C9796F">
                          <w:rPr>
                            <w:rFonts w:ascii="Courier New"/>
                            <w:spacing w:val="-2"/>
                            <w:w w:val="105"/>
                            <w:sz w:val="16"/>
                            <w:szCs w:val="16"/>
                            <w:lang w:val="en-US"/>
                          </w:rPr>
                          <w:t xml:space="preserve"> </w:t>
                        </w:r>
                        <w:r w:rsidRPr="00C9796F">
                          <w:rPr>
                            <w:rFonts w:ascii="Courier New"/>
                            <w:w w:val="105"/>
                            <w:sz w:val="16"/>
                            <w:szCs w:val="16"/>
                            <w:lang w:val="en-US"/>
                          </w:rPr>
                          <w:t>E</w:t>
                        </w:r>
                        <w:r w:rsidRPr="00C9796F">
                          <w:rPr>
                            <w:rFonts w:ascii="Courier New"/>
                            <w:spacing w:val="-2"/>
                            <w:w w:val="105"/>
                            <w:sz w:val="16"/>
                            <w:szCs w:val="16"/>
                            <w:lang w:val="en-US"/>
                          </w:rPr>
                          <w:t xml:space="preserve"> </w:t>
                        </w:r>
                        <w:r w:rsidRPr="00C9796F">
                          <w:rPr>
                            <w:rFonts w:ascii="Courier New"/>
                            <w:spacing w:val="-10"/>
                            <w:w w:val="105"/>
                            <w:sz w:val="16"/>
                            <w:szCs w:val="16"/>
                            <w:lang w:val="en-US"/>
                          </w:rPr>
                          <w:t>R</w:t>
                        </w:r>
                        <w:r w:rsidRPr="00C9796F">
                          <w:rPr>
                            <w:rFonts w:ascii="Courier New"/>
                            <w:sz w:val="16"/>
                            <w:szCs w:val="16"/>
                            <w:lang w:val="en-US"/>
                          </w:rPr>
                          <w:tab/>
                        </w:r>
                        <w:r w:rsidRPr="00C9796F">
                          <w:rPr>
                            <w:rFonts w:ascii="Courier New"/>
                            <w:w w:val="105"/>
                            <w:sz w:val="16"/>
                            <w:szCs w:val="16"/>
                            <w:lang w:val="en-US"/>
                          </w:rPr>
                          <w:t>A</w:t>
                        </w:r>
                        <w:r w:rsidRPr="00C9796F">
                          <w:rPr>
                            <w:rFonts w:ascii="Courier New"/>
                            <w:spacing w:val="-4"/>
                            <w:w w:val="105"/>
                            <w:sz w:val="16"/>
                            <w:szCs w:val="16"/>
                            <w:lang w:val="en-US"/>
                          </w:rPr>
                          <w:t xml:space="preserve"> </w:t>
                        </w:r>
                        <w:r w:rsidRPr="00C9796F">
                          <w:rPr>
                            <w:rFonts w:ascii="Courier New"/>
                            <w:w w:val="105"/>
                            <w:sz w:val="16"/>
                            <w:szCs w:val="16"/>
                            <w:lang w:val="en-US"/>
                          </w:rPr>
                          <w:t>N</w:t>
                        </w:r>
                        <w:r w:rsidRPr="00C9796F">
                          <w:rPr>
                            <w:rFonts w:ascii="Courier New"/>
                            <w:spacing w:val="-4"/>
                            <w:w w:val="105"/>
                            <w:sz w:val="16"/>
                            <w:szCs w:val="16"/>
                            <w:lang w:val="en-US"/>
                          </w:rPr>
                          <w:t xml:space="preserve"> </w:t>
                        </w:r>
                        <w:r w:rsidRPr="00C9796F">
                          <w:rPr>
                            <w:rFonts w:ascii="Courier New"/>
                            <w:w w:val="105"/>
                            <w:sz w:val="16"/>
                            <w:szCs w:val="16"/>
                            <w:lang w:val="en-US"/>
                          </w:rPr>
                          <w:t>A</w:t>
                        </w:r>
                        <w:r w:rsidRPr="00C9796F">
                          <w:rPr>
                            <w:rFonts w:ascii="Courier New"/>
                            <w:spacing w:val="-4"/>
                            <w:w w:val="105"/>
                            <w:sz w:val="16"/>
                            <w:szCs w:val="16"/>
                            <w:lang w:val="en-US"/>
                          </w:rPr>
                          <w:t xml:space="preserve"> </w:t>
                        </w:r>
                        <w:r w:rsidRPr="00C9796F">
                          <w:rPr>
                            <w:rFonts w:ascii="Courier New"/>
                            <w:w w:val="105"/>
                            <w:sz w:val="16"/>
                            <w:szCs w:val="16"/>
                            <w:lang w:val="en-US"/>
                          </w:rPr>
                          <w:t>L</w:t>
                        </w:r>
                        <w:r w:rsidRPr="00C9796F">
                          <w:rPr>
                            <w:rFonts w:ascii="Courier New"/>
                            <w:spacing w:val="-4"/>
                            <w:w w:val="105"/>
                            <w:sz w:val="16"/>
                            <w:szCs w:val="16"/>
                            <w:lang w:val="en-US"/>
                          </w:rPr>
                          <w:t xml:space="preserve"> </w:t>
                        </w:r>
                        <w:r w:rsidRPr="00C9796F">
                          <w:rPr>
                            <w:rFonts w:ascii="Courier New"/>
                            <w:w w:val="105"/>
                            <w:sz w:val="16"/>
                            <w:szCs w:val="16"/>
                            <w:lang w:val="en-US"/>
                          </w:rPr>
                          <w:t>Y</w:t>
                        </w:r>
                        <w:r w:rsidRPr="00C9796F">
                          <w:rPr>
                            <w:rFonts w:ascii="Courier New"/>
                            <w:spacing w:val="-4"/>
                            <w:w w:val="105"/>
                            <w:sz w:val="16"/>
                            <w:szCs w:val="16"/>
                            <w:lang w:val="en-US"/>
                          </w:rPr>
                          <w:t xml:space="preserve"> </w:t>
                        </w:r>
                        <w:r w:rsidRPr="00C9796F">
                          <w:rPr>
                            <w:rFonts w:ascii="Courier New"/>
                            <w:w w:val="105"/>
                            <w:sz w:val="16"/>
                            <w:szCs w:val="16"/>
                            <w:lang w:val="en-US"/>
                          </w:rPr>
                          <w:t>SI</w:t>
                        </w:r>
                        <w:r w:rsidRPr="00C9796F">
                          <w:rPr>
                            <w:rFonts w:ascii="Courier New"/>
                            <w:spacing w:val="-4"/>
                            <w:w w:val="105"/>
                            <w:sz w:val="16"/>
                            <w:szCs w:val="16"/>
                            <w:lang w:val="en-US"/>
                          </w:rPr>
                          <w:t xml:space="preserve"> </w:t>
                        </w:r>
                        <w:r w:rsidRPr="00C9796F">
                          <w:rPr>
                            <w:rFonts w:ascii="Courier New"/>
                            <w:w w:val="105"/>
                            <w:sz w:val="16"/>
                            <w:szCs w:val="16"/>
                            <w:lang w:val="en-US"/>
                          </w:rPr>
                          <w:t>S</w:t>
                        </w:r>
                        <w:r w:rsidRPr="00C9796F">
                          <w:rPr>
                            <w:rFonts w:ascii="Courier New"/>
                            <w:spacing w:val="-4"/>
                            <w:w w:val="105"/>
                            <w:sz w:val="16"/>
                            <w:szCs w:val="16"/>
                            <w:lang w:val="en-US"/>
                          </w:rPr>
                          <w:t xml:space="preserve"> </w:t>
                        </w:r>
                        <w:r w:rsidRPr="00C9796F">
                          <w:rPr>
                            <w:rFonts w:ascii="Courier New"/>
                            <w:w w:val="105"/>
                            <w:sz w:val="16"/>
                            <w:szCs w:val="16"/>
                            <w:lang w:val="en-US"/>
                          </w:rPr>
                          <w:t>*</w:t>
                        </w:r>
                        <w:r w:rsidRPr="00C9796F">
                          <w:rPr>
                            <w:rFonts w:ascii="Courier New"/>
                            <w:spacing w:val="-4"/>
                            <w:w w:val="105"/>
                            <w:sz w:val="16"/>
                            <w:szCs w:val="16"/>
                            <w:lang w:val="en-US"/>
                          </w:rPr>
                          <w:t xml:space="preserve"> </w:t>
                        </w:r>
                        <w:r w:rsidRPr="00C9796F">
                          <w:rPr>
                            <w:rFonts w:ascii="Courier New"/>
                            <w:w w:val="105"/>
                            <w:sz w:val="16"/>
                            <w:szCs w:val="16"/>
                            <w:lang w:val="en-US"/>
                          </w:rPr>
                          <w:t>*</w:t>
                        </w:r>
                        <w:r w:rsidRPr="00C9796F">
                          <w:rPr>
                            <w:rFonts w:ascii="Courier New"/>
                            <w:spacing w:val="-4"/>
                            <w:w w:val="105"/>
                            <w:sz w:val="16"/>
                            <w:szCs w:val="16"/>
                            <w:lang w:val="en-US"/>
                          </w:rPr>
                          <w:t xml:space="preserve"> </w:t>
                        </w:r>
                        <w:r w:rsidRPr="00C9796F">
                          <w:rPr>
                            <w:rFonts w:ascii="Courier New"/>
                            <w:w w:val="105"/>
                            <w:sz w:val="16"/>
                            <w:szCs w:val="16"/>
                            <w:lang w:val="en-US"/>
                          </w:rPr>
                          <w:t>*</w:t>
                        </w:r>
                        <w:r w:rsidRPr="00C9796F">
                          <w:rPr>
                            <w:rFonts w:ascii="Courier New"/>
                            <w:spacing w:val="-4"/>
                            <w:w w:val="105"/>
                            <w:sz w:val="16"/>
                            <w:szCs w:val="16"/>
                            <w:lang w:val="en-US"/>
                          </w:rPr>
                          <w:t xml:space="preserve"> </w:t>
                        </w:r>
                        <w:r w:rsidRPr="00C9796F">
                          <w:rPr>
                            <w:rFonts w:ascii="Courier New"/>
                            <w:w w:val="105"/>
                            <w:sz w:val="16"/>
                            <w:szCs w:val="16"/>
                            <w:lang w:val="en-US"/>
                          </w:rPr>
                          <w:t>*</w:t>
                        </w:r>
                        <w:r w:rsidRPr="00C9796F">
                          <w:rPr>
                            <w:rFonts w:ascii="Courier New"/>
                            <w:spacing w:val="-4"/>
                            <w:w w:val="105"/>
                            <w:sz w:val="16"/>
                            <w:szCs w:val="16"/>
                            <w:lang w:val="en-US"/>
                          </w:rPr>
                          <w:t xml:space="preserve"> </w:t>
                        </w:r>
                        <w:r w:rsidRPr="00C9796F">
                          <w:rPr>
                            <w:rFonts w:ascii="Courier New"/>
                            <w:w w:val="105"/>
                            <w:sz w:val="16"/>
                            <w:szCs w:val="16"/>
                            <w:lang w:val="en-US"/>
                          </w:rPr>
                          <w:t>*</w:t>
                        </w:r>
                        <w:r w:rsidRPr="00C9796F">
                          <w:rPr>
                            <w:rFonts w:ascii="Courier New"/>
                            <w:spacing w:val="-4"/>
                            <w:w w:val="105"/>
                            <w:sz w:val="16"/>
                            <w:szCs w:val="16"/>
                            <w:lang w:val="en-US"/>
                          </w:rPr>
                          <w:t xml:space="preserve"> </w:t>
                        </w:r>
                        <w:r w:rsidRPr="00C9796F">
                          <w:rPr>
                            <w:rFonts w:ascii="Courier New"/>
                            <w:spacing w:val="-10"/>
                            <w:w w:val="105"/>
                            <w:sz w:val="16"/>
                            <w:szCs w:val="16"/>
                            <w:lang w:val="en-US"/>
                          </w:rPr>
                          <w:t>*</w:t>
                        </w:r>
                      </w:p>
                      <w:p w14:paraId="35B56CD5" w14:textId="77777777" w:rsidR="00E17A2B" w:rsidRPr="00C9796F" w:rsidRDefault="00E17A2B" w:rsidP="004F0929">
                        <w:pPr>
                          <w:rPr>
                            <w:rFonts w:ascii="Courier New"/>
                            <w:sz w:val="20"/>
                            <w:szCs w:val="20"/>
                            <w:lang w:val="en-US"/>
                          </w:rPr>
                        </w:pPr>
                      </w:p>
                      <w:p w14:paraId="0C1CE74C" w14:textId="77777777" w:rsidR="00E17A2B" w:rsidRPr="00C9796F" w:rsidRDefault="00E17A2B" w:rsidP="004F0929">
                        <w:pPr>
                          <w:spacing w:before="10"/>
                          <w:rPr>
                            <w:rFonts w:ascii="Courier New"/>
                            <w:sz w:val="20"/>
                            <w:szCs w:val="20"/>
                            <w:lang w:val="en-US"/>
                          </w:rPr>
                        </w:pPr>
                      </w:p>
                      <w:p w14:paraId="4BE1FFC3" w14:textId="77777777" w:rsidR="00E17A2B" w:rsidRPr="00C9796F" w:rsidRDefault="00E17A2B" w:rsidP="00C9796F">
                        <w:pPr>
                          <w:rPr>
                            <w:rFonts w:ascii="Courier New"/>
                            <w:sz w:val="20"/>
                            <w:szCs w:val="20"/>
                            <w:lang w:val="en-US"/>
                          </w:rPr>
                        </w:pPr>
                        <w:r w:rsidRPr="00C9796F">
                          <w:rPr>
                            <w:rFonts w:ascii="Courier New"/>
                            <w:spacing w:val="-2"/>
                            <w:w w:val="105"/>
                            <w:sz w:val="20"/>
                            <w:szCs w:val="20"/>
                            <w:lang w:val="en-US"/>
                          </w:rPr>
                          <w:t>Dendrogram</w:t>
                        </w:r>
                        <w:r w:rsidRPr="00C9796F">
                          <w:rPr>
                            <w:rFonts w:ascii="Courier New"/>
                            <w:spacing w:val="-17"/>
                            <w:w w:val="105"/>
                            <w:sz w:val="20"/>
                            <w:szCs w:val="20"/>
                            <w:lang w:val="en-US"/>
                          </w:rPr>
                          <w:t xml:space="preserve"> </w:t>
                        </w:r>
                        <w:r w:rsidRPr="00C9796F">
                          <w:rPr>
                            <w:rFonts w:ascii="Courier New"/>
                            <w:spacing w:val="-2"/>
                            <w:w w:val="105"/>
                            <w:sz w:val="20"/>
                            <w:szCs w:val="20"/>
                            <w:lang w:val="en-US"/>
                          </w:rPr>
                          <w:t>using</w:t>
                        </w:r>
                        <w:r w:rsidRPr="00C9796F">
                          <w:rPr>
                            <w:rFonts w:ascii="Courier New"/>
                            <w:spacing w:val="-5"/>
                            <w:w w:val="105"/>
                            <w:sz w:val="20"/>
                            <w:szCs w:val="20"/>
                            <w:lang w:val="en-US"/>
                          </w:rPr>
                          <w:t xml:space="preserve"> </w:t>
                        </w:r>
                        <w:r w:rsidRPr="00C9796F">
                          <w:rPr>
                            <w:rFonts w:ascii="Courier New"/>
                            <w:spacing w:val="-2"/>
                            <w:w w:val="105"/>
                            <w:sz w:val="20"/>
                            <w:szCs w:val="20"/>
                            <w:lang w:val="en-US"/>
                          </w:rPr>
                          <w:t>Ward</w:t>
                        </w:r>
                        <w:r w:rsidRPr="00C9796F">
                          <w:rPr>
                            <w:rFonts w:ascii="Courier New"/>
                            <w:spacing w:val="-5"/>
                            <w:w w:val="105"/>
                            <w:sz w:val="20"/>
                            <w:szCs w:val="20"/>
                            <w:lang w:val="en-US"/>
                          </w:rPr>
                          <w:t xml:space="preserve"> </w:t>
                        </w:r>
                        <w:r w:rsidRPr="00C9796F">
                          <w:rPr>
                            <w:rFonts w:ascii="Courier New"/>
                            <w:spacing w:val="-2"/>
                            <w:w w:val="105"/>
                            <w:sz w:val="20"/>
                            <w:szCs w:val="20"/>
                            <w:lang w:val="en-US"/>
                          </w:rPr>
                          <w:t>Method</w:t>
                        </w:r>
                      </w:p>
                      <w:p w14:paraId="381DBBAD" w14:textId="77777777" w:rsidR="00E17A2B" w:rsidRPr="00C9796F" w:rsidRDefault="00E17A2B" w:rsidP="004F0929">
                        <w:pPr>
                          <w:spacing w:before="10"/>
                          <w:rPr>
                            <w:rFonts w:ascii="Courier New"/>
                            <w:sz w:val="20"/>
                            <w:szCs w:val="20"/>
                            <w:lang w:val="en-US"/>
                          </w:rPr>
                        </w:pPr>
                      </w:p>
                      <w:p w14:paraId="67B59B89" w14:textId="77777777" w:rsidR="00E17A2B" w:rsidRPr="00C9796F" w:rsidRDefault="00E17A2B" w:rsidP="00C9796F">
                        <w:pPr>
                          <w:rPr>
                            <w:rFonts w:ascii="Courier New"/>
                            <w:sz w:val="20"/>
                            <w:szCs w:val="20"/>
                            <w:lang w:val="en-US"/>
                          </w:rPr>
                        </w:pPr>
                        <w:r w:rsidRPr="00C9796F">
                          <w:rPr>
                            <w:rFonts w:ascii="Courier New"/>
                            <w:sz w:val="20"/>
                            <w:szCs w:val="20"/>
                            <w:lang w:val="en-US"/>
                          </w:rPr>
                          <w:t>Rescaled</w:t>
                        </w:r>
                        <w:r w:rsidRPr="00C9796F">
                          <w:rPr>
                            <w:rFonts w:ascii="Courier New"/>
                            <w:spacing w:val="3"/>
                            <w:sz w:val="20"/>
                            <w:szCs w:val="20"/>
                            <w:lang w:val="en-US"/>
                          </w:rPr>
                          <w:t xml:space="preserve"> </w:t>
                        </w:r>
                        <w:r w:rsidRPr="00C9796F">
                          <w:rPr>
                            <w:rFonts w:ascii="Courier New"/>
                            <w:sz w:val="20"/>
                            <w:szCs w:val="20"/>
                            <w:lang w:val="en-US"/>
                          </w:rPr>
                          <w:t>Distance</w:t>
                        </w:r>
                        <w:r w:rsidRPr="00C9796F">
                          <w:rPr>
                            <w:rFonts w:ascii="Courier New"/>
                            <w:spacing w:val="3"/>
                            <w:sz w:val="20"/>
                            <w:szCs w:val="20"/>
                            <w:lang w:val="en-US"/>
                          </w:rPr>
                          <w:t xml:space="preserve"> </w:t>
                        </w:r>
                        <w:r w:rsidRPr="00C9796F">
                          <w:rPr>
                            <w:rFonts w:ascii="Courier New"/>
                            <w:sz w:val="20"/>
                            <w:szCs w:val="20"/>
                            <w:lang w:val="en-US"/>
                          </w:rPr>
                          <w:t>Cluster</w:t>
                        </w:r>
                        <w:r w:rsidRPr="00C9796F">
                          <w:rPr>
                            <w:rFonts w:ascii="Courier New"/>
                            <w:spacing w:val="3"/>
                            <w:sz w:val="20"/>
                            <w:szCs w:val="20"/>
                            <w:lang w:val="en-US"/>
                          </w:rPr>
                          <w:t xml:space="preserve"> </w:t>
                        </w:r>
                        <w:r w:rsidRPr="00C9796F">
                          <w:rPr>
                            <w:rFonts w:ascii="Courier New"/>
                            <w:spacing w:val="-2"/>
                            <w:sz w:val="20"/>
                            <w:szCs w:val="20"/>
                            <w:lang w:val="en-US"/>
                          </w:rPr>
                          <w:t>Combine</w:t>
                        </w:r>
                      </w:p>
                    </w:txbxContent>
                  </v:textbox>
                </v:shape>
                <v:shape id="Textbox 1061" o:spid="_x0000_s1052" type="#_x0000_t202" style="position:absolute;left:12327;top:8050;width:565;height: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" filled="f" stroked="f">
                  <v:textbox inset="0,0,0,0">
                    <w:txbxContent>
                      <w:p w14:paraId="12F4C839" w14:textId="77777777" w:rsidR="00E17A2B" w:rsidRPr="00C9796F" w:rsidRDefault="00E17A2B" w:rsidP="004F0929">
                        <w:pPr>
                          <w:spacing w:before="3"/>
                          <w:rPr>
                            <w:rFonts w:ascii="Courier New"/>
                            <w:sz w:val="20"/>
                            <w:szCs w:val="20"/>
                          </w:rPr>
                        </w:pPr>
                        <w:r w:rsidRPr="00C9796F">
                          <w:rPr>
                            <w:rFonts w:ascii="Courier New"/>
                            <w:w w:val="104"/>
                            <w:sz w:val="20"/>
                            <w:szCs w:val="20"/>
                          </w:rPr>
                          <w:t>0</w:t>
                        </w:r>
                      </w:p>
                    </w:txbxContent>
                  </v:textbox>
                </v:shape>
                <v:shape id="Textbox 1062" o:spid="_x0000_s1053" type="#_x0000_t202" style="position:absolute;left:16673;top:8050;width:565;height: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" filled="f" stroked="f">
                  <v:textbox inset="0,0,0,0">
                    <w:txbxContent>
                      <w:p w14:paraId="6C81D79A" w14:textId="77777777" w:rsidR="00E17A2B" w:rsidRPr="00C9796F" w:rsidRDefault="00E17A2B" w:rsidP="004F0929">
                        <w:pPr>
                          <w:spacing w:before="3"/>
                          <w:rPr>
                            <w:rFonts w:ascii="Courier New"/>
                            <w:sz w:val="20"/>
                            <w:szCs w:val="20"/>
                          </w:rPr>
                        </w:pPr>
                        <w:r w:rsidRPr="00C9796F">
                          <w:rPr>
                            <w:rFonts w:ascii="Courier New"/>
                            <w:w w:val="104"/>
                            <w:sz w:val="20"/>
                            <w:szCs w:val="20"/>
                          </w:rPr>
                          <w:t>5</w:t>
                        </w:r>
                      </w:p>
                    </w:txbxContent>
                  </v:textbox>
                </v:shape>
                <v:shape id="Textbox 1063" o:spid="_x0000_s1054" type="#_x0000_t202" style="position:absolute;left:9657;top:9155;width:6966;height: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" filled="f" stroked="f">
                  <v:textbox inset="0,0,0,0">
                    <w:txbxContent>
                      <w:p w14:paraId="4956D09A" w14:textId="77777777" w:rsidR="00E17A2B" w:rsidRPr="00C9796F" w:rsidRDefault="00E17A2B" w:rsidP="004F0929">
                        <w:pPr>
                          <w:tabs>
                            <w:tab w:val="left" w:pos="1007"/>
                          </w:tabs>
                          <w:spacing w:before="3"/>
                          <w:rPr>
                            <w:rFonts w:ascii="Courier New"/>
                            <w:sz w:val="20"/>
                            <w:szCs w:val="20"/>
                          </w:rPr>
                        </w:pPr>
                        <w:r w:rsidRPr="00C9796F">
                          <w:rPr>
                            <w:rFonts w:ascii="Courier New"/>
                            <w:w w:val="105"/>
                            <w:sz w:val="20"/>
                            <w:szCs w:val="20"/>
                          </w:rPr>
                          <w:t>Num</w:t>
                        </w:r>
                        <w:r w:rsidRPr="00C9796F">
                          <w:rPr>
                            <w:rFonts w:ascii="Courier New"/>
                            <w:spacing w:val="56"/>
                            <w:w w:val="105"/>
                            <w:sz w:val="20"/>
                            <w:szCs w:val="20"/>
                          </w:rPr>
                          <w:t xml:space="preserve"> </w:t>
                        </w:r>
                        <w:r w:rsidRPr="00C9796F">
                          <w:rPr>
                            <w:rFonts w:ascii="Courier New"/>
                            <w:spacing w:val="-10"/>
                            <w:w w:val="105"/>
                            <w:sz w:val="20"/>
                            <w:szCs w:val="20"/>
                          </w:rPr>
                          <w:t>+</w:t>
                        </w:r>
                        <w:r w:rsidRPr="00C9796F">
                          <w:rPr>
                            <w:rFonts w:ascii="Courier New"/>
                            <w:sz w:val="20"/>
                            <w:szCs w:val="20"/>
                          </w:rPr>
                          <w:tab/>
                        </w:r>
                        <w:r w:rsidRPr="00C9796F">
                          <w:rPr>
                            <w:rFonts w:ascii="Courier New"/>
                            <w:spacing w:val="-12"/>
                            <w:w w:val="105"/>
                            <w:sz w:val="20"/>
                            <w:szCs w:val="20"/>
                          </w:rPr>
                          <w:t>+</w:t>
                        </w:r>
                      </w:p>
                    </w:txbxContent>
                  </v:textbox>
                </v:shape>
                <v:shape id="Textbox 1064" o:spid="_x0000_s1055" type="#_x0000_t202" style="position:absolute;left:20317;top:8050;width:1270;height:19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" filled="f" stroked="f">
                  <v:textbox inset="0,0,0,0">
                    <w:txbxContent>
                      <w:p w14:paraId="2A6FAA90" w14:textId="77777777" w:rsidR="00E17A2B" w:rsidRPr="00C9796F" w:rsidRDefault="00E17A2B" w:rsidP="004F0929">
                        <w:pPr>
                          <w:spacing w:before="3"/>
                          <w:ind w:left="42"/>
                          <w:rPr>
                            <w:rFonts w:ascii="Courier New"/>
                            <w:sz w:val="20"/>
                            <w:szCs w:val="20"/>
                          </w:rPr>
                        </w:pPr>
                        <w:r w:rsidRPr="00C9796F">
                          <w:rPr>
                            <w:rFonts w:ascii="Courier New"/>
                            <w:spacing w:val="-5"/>
                            <w:w w:val="105"/>
                            <w:sz w:val="20"/>
                            <w:szCs w:val="20"/>
                          </w:rPr>
                          <w:t>10</w:t>
                        </w:r>
                      </w:p>
                      <w:p w14:paraId="18EF19E7" w14:textId="77777777" w:rsidR="00E17A2B" w:rsidRPr="00C9796F" w:rsidRDefault="00E17A2B" w:rsidP="004F0929">
                        <w:pPr>
                          <w:spacing w:before="50"/>
                          <w:rPr>
                            <w:rFonts w:ascii="Courier New"/>
                            <w:sz w:val="20"/>
                            <w:szCs w:val="20"/>
                          </w:rPr>
                        </w:pPr>
                        <w:r w:rsidRPr="00C9796F">
                          <w:rPr>
                            <w:rFonts w:ascii="Courier New"/>
                            <w:w w:val="104"/>
                            <w:sz w:val="20"/>
                            <w:szCs w:val="20"/>
                          </w:rPr>
                          <w:t>+</w:t>
                        </w:r>
                      </w:p>
                    </w:txbxContent>
                  </v:textbox>
                </v:shape>
                <v:shape id="Textbox 1065" o:spid="_x0000_s1056" type="#_x0000_t202" style="position:absolute;left:24580;top:8050;width:1353;height:19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" filled="f" stroked="f">
                  <v:textbox inset="0,0,0,0">
                    <w:txbxContent>
                      <w:p w14:paraId="40964CF8" w14:textId="77777777" w:rsidR="00E17A2B" w:rsidRPr="00C9796F" w:rsidRDefault="00E17A2B" w:rsidP="004F0929">
                        <w:pPr>
                          <w:spacing w:before="3"/>
                          <w:ind w:left="55"/>
                          <w:rPr>
                            <w:rFonts w:ascii="Courier New"/>
                            <w:sz w:val="20"/>
                            <w:szCs w:val="20"/>
                          </w:rPr>
                        </w:pPr>
                        <w:r w:rsidRPr="00C9796F">
                          <w:rPr>
                            <w:rFonts w:ascii="Courier New"/>
                            <w:spacing w:val="-5"/>
                            <w:w w:val="105"/>
                            <w:sz w:val="20"/>
                            <w:szCs w:val="20"/>
                          </w:rPr>
                          <w:t>15</w:t>
                        </w:r>
                      </w:p>
                      <w:p w14:paraId="61139823" w14:textId="77777777" w:rsidR="00E17A2B" w:rsidRPr="00C9796F" w:rsidRDefault="00E17A2B" w:rsidP="004F0929">
                        <w:pPr>
                          <w:spacing w:before="50"/>
                          <w:rPr>
                            <w:rFonts w:ascii="Courier New"/>
                            <w:sz w:val="20"/>
                            <w:szCs w:val="20"/>
                          </w:rPr>
                        </w:pPr>
                        <w:r w:rsidRPr="00C9796F">
                          <w:rPr>
                            <w:rFonts w:ascii="Courier New"/>
                            <w:w w:val="104"/>
                            <w:sz w:val="20"/>
                            <w:szCs w:val="20"/>
                          </w:rPr>
                          <w:t>+</w:t>
                        </w:r>
                      </w:p>
                    </w:txbxContent>
                  </v:textbox>
                </v:shape>
                <v:shape id="Textbox 1066" o:spid="_x0000_s1057" type="#_x0000_t202" style="position:absolute;left:29278;top:8050;width:997;height: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" filled="f" stroked="f">
                  <v:textbox inset="0,0,0,0">
                    <w:txbxContent>
                      <w:p w14:paraId="3D068DE6" w14:textId="77777777" w:rsidR="00E17A2B" w:rsidRPr="00C9796F" w:rsidRDefault="00E17A2B" w:rsidP="004F0929">
                        <w:pPr>
                          <w:spacing w:before="3"/>
                          <w:rPr>
                            <w:rFonts w:ascii="Courier New"/>
                            <w:sz w:val="20"/>
                            <w:szCs w:val="20"/>
                          </w:rPr>
                        </w:pPr>
                        <w:r w:rsidRPr="00C9796F">
                          <w:rPr>
                            <w:rFonts w:ascii="Courier New"/>
                            <w:spacing w:val="-5"/>
                            <w:w w:val="105"/>
                            <w:sz w:val="20"/>
                            <w:szCs w:val="20"/>
                          </w:rPr>
                          <w:t>20</w:t>
                        </w:r>
                      </w:p>
                    </w:txbxContent>
                  </v:textbox>
                </v:shape>
                <v:shape id="Textbox 1067" o:spid="_x0000_s1058" type="#_x0000_t202" style="position:absolute;left:28837;top:9155;width:565;height: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" filled="f" stroked="f">
                  <v:textbox inset="0,0,0,0">
                    <w:txbxContent>
                      <w:p w14:paraId="72BB8B71" w14:textId="77777777" w:rsidR="00E17A2B" w:rsidRPr="00C9796F" w:rsidRDefault="00E17A2B" w:rsidP="004F0929">
                        <w:pPr>
                          <w:spacing w:before="3"/>
                          <w:rPr>
                            <w:rFonts w:ascii="Courier New"/>
                            <w:sz w:val="20"/>
                            <w:szCs w:val="20"/>
                          </w:rPr>
                        </w:pPr>
                        <w:r w:rsidRPr="00C9796F">
                          <w:rPr>
                            <w:rFonts w:ascii="Courier New"/>
                            <w:w w:val="104"/>
                            <w:sz w:val="20"/>
                            <w:szCs w:val="20"/>
                          </w:rPr>
                          <w:t>+</w:t>
                        </w:r>
                      </w:p>
                    </w:txbxContent>
                  </v:textbox>
                </v:shape>
                <v:shape id="Textbox 1068" o:spid="_x0000_s1059" type="#_x0000_t202" style="position:absolute;left:32667;top:8050;width:997;height:19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" filled="f" stroked="f">
                  <v:textbox inset="0,0,0,0">
                    <w:txbxContent>
                      <w:p w14:paraId="236CC6AC" w14:textId="77777777" w:rsidR="00E17A2B" w:rsidRPr="00C9796F" w:rsidRDefault="00E17A2B" w:rsidP="004F0929">
                        <w:pPr>
                          <w:spacing w:before="3"/>
                          <w:rPr>
                            <w:rFonts w:ascii="Courier New"/>
                            <w:sz w:val="20"/>
                            <w:szCs w:val="20"/>
                          </w:rPr>
                        </w:pPr>
                        <w:r w:rsidRPr="00C9796F">
                          <w:rPr>
                            <w:rFonts w:ascii="Courier New"/>
                            <w:spacing w:val="-5"/>
                            <w:w w:val="105"/>
                            <w:sz w:val="20"/>
                            <w:szCs w:val="20"/>
                          </w:rPr>
                          <w:t>25</w:t>
                        </w:r>
                      </w:p>
                      <w:p w14:paraId="1F0E8CC1" w14:textId="77777777" w:rsidR="00E17A2B" w:rsidRPr="00C9796F" w:rsidRDefault="00E17A2B" w:rsidP="004F0929">
                        <w:pPr>
                          <w:spacing w:before="50"/>
                          <w:ind w:left="66"/>
                          <w:rPr>
                            <w:rFonts w:ascii="Courier New"/>
                            <w:sz w:val="20"/>
                            <w:szCs w:val="20"/>
                          </w:rPr>
                        </w:pPr>
                        <w:r w:rsidRPr="00C9796F">
                          <w:rPr>
                            <w:rFonts w:ascii="Courier New"/>
                            <w:w w:val="104"/>
                            <w:sz w:val="20"/>
                            <w:szCs w:val="20"/>
                          </w:rPr>
                          <w:t>+</w:t>
                        </w:r>
                      </w:p>
                    </w:txbxContent>
                  </v:textbox>
                </v:shape>
                <v:shape id="Textbox 1069" o:spid="_x0000_s1060" type="#_x0000_t202" style="position:absolute;left:1784;top:13415;width:578;height:6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" filled="f" stroked="f">
                  <v:textbox style="mso-fit-shape-to-text:t" inset="0,0,0,0">
                    <w:txbxContent>
                      <w:p w14:paraId="3A7BE357" w14:textId="77777777" w:rsidR="00E17A2B" w:rsidRPr="00C9796F" w:rsidRDefault="00E17A2B" w:rsidP="00971F57">
                        <w:pPr>
                          <w:spacing w:line="156" w:lineRule="exact"/>
                          <w:rPr>
                            <w:b/>
                            <w:sz w:val="20"/>
                            <w:szCs w:val="20"/>
                          </w:rPr>
                        </w:pPr>
                        <w:r>
                          <w:rPr>
                            <w:b/>
                            <w:sz w:val="20"/>
                            <w:szCs w:val="20"/>
                          </w:rPr>
                          <w:t>2</w:t>
                        </w:r>
                      </w:p>
                    </w:txbxContent>
                  </v:textbox>
                </v:shape>
                <v:shape id="Textbox 1070" o:spid="_x0000_s1061" type="#_x0000_t202" style="position:absolute;left:5110;top:10806;width:7111;height:15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" filled="f" stroked="f">
                  <v:textbox inset="0,0,0,0">
                    <w:txbxContent>
                      <w:p w14:paraId="07283AB7"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Deutschland</w:t>
                        </w:r>
                      </w:p>
                      <w:p w14:paraId="2D612ED0" w14:textId="77777777" w:rsidR="00E17A2B"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Österreich</w:t>
                        </w:r>
                        <w:r w:rsidRPr="00971F57">
                          <w:rPr>
                            <w:rFonts w:ascii="Courier New" w:hAnsi="Courier New" w:cs="Courier New"/>
                            <w:spacing w:val="40"/>
                            <w:w w:val="105"/>
                            <w:sz w:val="18"/>
                            <w:szCs w:val="18"/>
                          </w:rPr>
                          <w:t xml:space="preserve"> </w:t>
                        </w:r>
                      </w:p>
                      <w:p w14:paraId="044D9B1D"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Frankreich</w:t>
                        </w:r>
                        <w:r w:rsidRPr="00971F57">
                          <w:rPr>
                            <w:rFonts w:ascii="Courier New" w:hAnsi="Courier New" w:cs="Courier New"/>
                            <w:spacing w:val="40"/>
                            <w:w w:val="105"/>
                            <w:sz w:val="18"/>
                            <w:szCs w:val="18"/>
                          </w:rPr>
                          <w:t xml:space="preserve"> </w:t>
                        </w:r>
                      </w:p>
                      <w:p w14:paraId="304447D5"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Niederlande</w:t>
                        </w:r>
                        <w:r w:rsidRPr="00971F57">
                          <w:rPr>
                            <w:rFonts w:ascii="Courier New" w:hAnsi="Courier New" w:cs="Courier New"/>
                            <w:spacing w:val="40"/>
                            <w:w w:val="105"/>
                            <w:sz w:val="18"/>
                            <w:szCs w:val="18"/>
                          </w:rPr>
                          <w:t xml:space="preserve"> </w:t>
                        </w:r>
                      </w:p>
                      <w:p w14:paraId="468474DE"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Irland</w:t>
                        </w:r>
                        <w:r w:rsidRPr="00971F57">
                          <w:rPr>
                            <w:rFonts w:ascii="Courier New" w:hAnsi="Courier New" w:cs="Courier New"/>
                            <w:spacing w:val="40"/>
                            <w:w w:val="105"/>
                            <w:sz w:val="18"/>
                            <w:szCs w:val="18"/>
                          </w:rPr>
                          <w:t xml:space="preserve"> </w:t>
                        </w:r>
                      </w:p>
                      <w:p w14:paraId="62845538"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Spanien</w:t>
                        </w:r>
                        <w:r w:rsidRPr="00971F57">
                          <w:rPr>
                            <w:rFonts w:ascii="Courier New" w:hAnsi="Courier New" w:cs="Courier New"/>
                            <w:spacing w:val="40"/>
                            <w:w w:val="105"/>
                            <w:sz w:val="18"/>
                            <w:szCs w:val="18"/>
                          </w:rPr>
                          <w:t xml:space="preserve"> </w:t>
                        </w:r>
                      </w:p>
                      <w:p w14:paraId="09C626C1"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Italien</w:t>
                        </w:r>
                        <w:r w:rsidRPr="00971F57">
                          <w:rPr>
                            <w:rFonts w:ascii="Courier New" w:hAnsi="Courier New" w:cs="Courier New"/>
                            <w:spacing w:val="40"/>
                            <w:w w:val="105"/>
                            <w:sz w:val="18"/>
                            <w:szCs w:val="18"/>
                          </w:rPr>
                          <w:t xml:space="preserve"> </w:t>
                        </w:r>
                      </w:p>
                      <w:p w14:paraId="11C972B0"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Portugal</w:t>
                        </w:r>
                        <w:r w:rsidRPr="00971F57">
                          <w:rPr>
                            <w:rFonts w:ascii="Courier New" w:hAnsi="Courier New" w:cs="Courier New"/>
                            <w:spacing w:val="40"/>
                            <w:w w:val="105"/>
                            <w:sz w:val="18"/>
                            <w:szCs w:val="18"/>
                          </w:rPr>
                          <w:t xml:space="preserve"> </w:t>
                        </w:r>
                      </w:p>
                      <w:p w14:paraId="784182BB"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Griechenland</w:t>
                        </w:r>
                        <w:r w:rsidRPr="00971F57">
                          <w:rPr>
                            <w:rFonts w:ascii="Courier New" w:hAnsi="Courier New" w:cs="Courier New"/>
                            <w:spacing w:val="40"/>
                            <w:w w:val="105"/>
                            <w:sz w:val="18"/>
                            <w:szCs w:val="18"/>
                          </w:rPr>
                          <w:t xml:space="preserve"> </w:t>
                        </w:r>
                      </w:p>
                      <w:p w14:paraId="04413400"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Finnland</w:t>
                        </w:r>
                        <w:r w:rsidRPr="00971F57">
                          <w:rPr>
                            <w:rFonts w:ascii="Courier New" w:hAnsi="Courier New" w:cs="Courier New"/>
                            <w:spacing w:val="40"/>
                            <w:w w:val="105"/>
                            <w:sz w:val="18"/>
                            <w:szCs w:val="18"/>
                          </w:rPr>
                          <w:t xml:space="preserve"> </w:t>
                        </w:r>
                      </w:p>
                      <w:p w14:paraId="5474A569" w14:textId="77777777" w:rsidR="00E17A2B" w:rsidRPr="00971F57" w:rsidRDefault="00E17A2B" w:rsidP="00971F57">
                        <w:pPr>
                          <w:spacing w:before="40" w:line="276" w:lineRule="auto"/>
                          <w:ind w:right="102"/>
                          <w:rPr>
                            <w:rFonts w:ascii="Courier New" w:hAnsi="Courier New" w:cs="Courier New"/>
                            <w:spacing w:val="40"/>
                            <w:w w:val="105"/>
                            <w:sz w:val="18"/>
                            <w:szCs w:val="18"/>
                          </w:rPr>
                        </w:pPr>
                        <w:r w:rsidRPr="00971F57">
                          <w:rPr>
                            <w:rFonts w:ascii="Courier New" w:hAnsi="Courier New" w:cs="Courier New"/>
                            <w:spacing w:val="-2"/>
                            <w:w w:val="105"/>
                            <w:sz w:val="18"/>
                            <w:szCs w:val="18"/>
                          </w:rPr>
                          <w:t>Schweden</w:t>
                        </w:r>
                        <w:r w:rsidRPr="00971F57">
                          <w:rPr>
                            <w:rFonts w:ascii="Courier New" w:hAnsi="Courier New" w:cs="Courier New"/>
                            <w:spacing w:val="40"/>
                            <w:w w:val="105"/>
                            <w:sz w:val="18"/>
                            <w:szCs w:val="18"/>
                          </w:rPr>
                          <w:t xml:space="preserve"> </w:t>
                        </w:r>
                      </w:p>
                      <w:p w14:paraId="19FA9CF1" w14:textId="77777777" w:rsidR="00E17A2B" w:rsidRPr="00971F57" w:rsidRDefault="00E17A2B" w:rsidP="00971F57">
                        <w:pPr>
                          <w:spacing w:before="40" w:line="276" w:lineRule="auto"/>
                          <w:ind w:right="102"/>
                          <w:rPr>
                            <w:rFonts w:ascii="Courier New" w:hAnsi="Courier New" w:cs="Courier New"/>
                            <w:sz w:val="18"/>
                            <w:szCs w:val="18"/>
                          </w:rPr>
                        </w:pPr>
                        <w:r w:rsidRPr="00971F57">
                          <w:rPr>
                            <w:rFonts w:ascii="Courier New" w:hAnsi="Courier New" w:cs="Courier New"/>
                            <w:spacing w:val="-2"/>
                            <w:w w:val="105"/>
                            <w:sz w:val="18"/>
                            <w:szCs w:val="18"/>
                          </w:rPr>
                          <w:t>Dänemark</w:t>
                        </w:r>
                      </w:p>
                      <w:p w14:paraId="3E637D54" w14:textId="77777777" w:rsidR="00E17A2B" w:rsidRPr="00971F57" w:rsidRDefault="00E17A2B" w:rsidP="00971F57">
                        <w:pPr>
                          <w:spacing w:before="40" w:line="276" w:lineRule="auto"/>
                          <w:ind w:right="102"/>
                          <w:rPr>
                            <w:rFonts w:ascii="Courier New" w:hAnsi="Courier New" w:cs="Courier New"/>
                            <w:sz w:val="18"/>
                            <w:szCs w:val="18"/>
                          </w:rPr>
                        </w:pPr>
                        <w:r w:rsidRPr="00971F57">
                          <w:rPr>
                            <w:rFonts w:ascii="Courier New" w:hAnsi="Courier New" w:cs="Courier New"/>
                            <w:spacing w:val="-2"/>
                            <w:w w:val="105"/>
                            <w:sz w:val="18"/>
                            <w:szCs w:val="18"/>
                          </w:rPr>
                          <w:t>Großbritannien</w:t>
                        </w:r>
                      </w:p>
                    </w:txbxContent>
                  </v:textbox>
                </v:shape>
                <v:shape id="Textbox 1071" o:spid="_x0000_s1062" type="#_x0000_t202" style="position:absolute;left:11991;top:10501;width:1851;height:149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" filled="f" stroked="f">
                  <v:textbox inset="0,0,0,0">
                    <w:txbxContent>
                      <w:p w14:paraId="699289EE"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2</w:t>
                        </w:r>
                      </w:p>
                      <w:p w14:paraId="35C2658D"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9</w:t>
                        </w:r>
                      </w:p>
                      <w:p w14:paraId="7DBE8FE3"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5</w:t>
                        </w:r>
                      </w:p>
                      <w:p w14:paraId="12A2E41D"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8</w:t>
                        </w:r>
                      </w:p>
                      <w:p w14:paraId="0E15EEB3"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6</w:t>
                        </w:r>
                      </w:p>
                      <w:p w14:paraId="7A730B69"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4</w:t>
                        </w:r>
                      </w:p>
                      <w:p w14:paraId="2A89B8CD"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7</w:t>
                        </w:r>
                      </w:p>
                      <w:p w14:paraId="00835B7B" w14:textId="77777777" w:rsidR="00E17A2B" w:rsidRPr="00971F57" w:rsidRDefault="00E17A2B" w:rsidP="00971F57">
                        <w:pPr>
                          <w:spacing w:beforeLines="40" w:before="96" w:line="276" w:lineRule="auto"/>
                          <w:rPr>
                            <w:rFonts w:ascii="Courier New"/>
                            <w:sz w:val="18"/>
                            <w:szCs w:val="18"/>
                          </w:rPr>
                        </w:pPr>
                        <w:r w:rsidRPr="00971F57">
                          <w:rPr>
                            <w:rFonts w:ascii="Courier New"/>
                            <w:spacing w:val="-5"/>
                            <w:w w:val="105"/>
                            <w:sz w:val="18"/>
                            <w:szCs w:val="18"/>
                          </w:rPr>
                          <w:t>10</w:t>
                        </w:r>
                      </w:p>
                      <w:p w14:paraId="4A592A57"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3</w:t>
                        </w:r>
                      </w:p>
                      <w:p w14:paraId="59BA2F56" w14:textId="77777777" w:rsidR="00E17A2B" w:rsidRPr="00971F57" w:rsidRDefault="00E17A2B" w:rsidP="00971F57">
                        <w:pPr>
                          <w:spacing w:beforeLines="40" w:before="96" w:line="276" w:lineRule="auto"/>
                          <w:rPr>
                            <w:rFonts w:ascii="Courier New"/>
                            <w:sz w:val="18"/>
                            <w:szCs w:val="18"/>
                          </w:rPr>
                        </w:pPr>
                        <w:r w:rsidRPr="00971F57">
                          <w:rPr>
                            <w:rFonts w:ascii="Courier New"/>
                            <w:spacing w:val="-5"/>
                            <w:w w:val="105"/>
                            <w:sz w:val="18"/>
                            <w:szCs w:val="18"/>
                          </w:rPr>
                          <w:t>11</w:t>
                        </w:r>
                      </w:p>
                      <w:p w14:paraId="56B6D27A" w14:textId="77777777" w:rsidR="00E17A2B" w:rsidRPr="00971F57" w:rsidRDefault="00E17A2B" w:rsidP="00971F57">
                        <w:pPr>
                          <w:spacing w:beforeLines="40" w:before="96" w:line="276" w:lineRule="auto"/>
                          <w:rPr>
                            <w:rFonts w:ascii="Courier New"/>
                            <w:sz w:val="18"/>
                            <w:szCs w:val="18"/>
                          </w:rPr>
                        </w:pPr>
                        <w:r w:rsidRPr="00971F57">
                          <w:rPr>
                            <w:rFonts w:ascii="Courier New"/>
                            <w:spacing w:val="-5"/>
                            <w:w w:val="105"/>
                            <w:sz w:val="18"/>
                            <w:szCs w:val="18"/>
                          </w:rPr>
                          <w:t>12</w:t>
                        </w:r>
                      </w:p>
                      <w:p w14:paraId="3EB5832A" w14:textId="77777777" w:rsidR="00E17A2B" w:rsidRPr="00971F57" w:rsidRDefault="00E17A2B" w:rsidP="00971F57">
                        <w:pPr>
                          <w:spacing w:beforeLines="40" w:before="96" w:line="276" w:lineRule="auto"/>
                          <w:ind w:left="67"/>
                          <w:rPr>
                            <w:rFonts w:ascii="Courier New"/>
                            <w:sz w:val="18"/>
                            <w:szCs w:val="18"/>
                          </w:rPr>
                        </w:pPr>
                        <w:r w:rsidRPr="00971F57">
                          <w:rPr>
                            <w:rFonts w:ascii="Courier New"/>
                            <w:w w:val="104"/>
                            <w:sz w:val="18"/>
                            <w:szCs w:val="18"/>
                          </w:rPr>
                          <w:t>1</w:t>
                        </w:r>
                      </w:p>
                      <w:p w14:paraId="5475AADD" w14:textId="77777777" w:rsidR="00E17A2B" w:rsidRPr="00971F57" w:rsidRDefault="00E17A2B" w:rsidP="00971F57">
                        <w:pPr>
                          <w:spacing w:beforeLines="40" w:before="96" w:line="276" w:lineRule="auto"/>
                          <w:rPr>
                            <w:rFonts w:ascii="Courier New"/>
                            <w:sz w:val="18"/>
                            <w:szCs w:val="18"/>
                          </w:rPr>
                        </w:pPr>
                        <w:r w:rsidRPr="00971F57">
                          <w:rPr>
                            <w:rFonts w:ascii="Courier New"/>
                            <w:spacing w:val="-5"/>
                            <w:w w:val="105"/>
                            <w:sz w:val="18"/>
                            <w:szCs w:val="18"/>
                          </w:rPr>
                          <w:t>13</w:t>
                        </w:r>
                      </w:p>
                    </w:txbxContent>
                  </v:textbox>
                </v:shape>
                <v:shape id="Textbox 1072" o:spid="_x0000_s1063" type="#_x0000_t202" style="position:absolute;left:11991;top:20185;width:3188;height: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" filled="f" stroked="f">
                  <v:textbox inset="0,0,0,0">
                    <w:txbxContent>
                      <w:p w14:paraId="52878EA6" w14:textId="77777777" w:rsidR="00E17A2B" w:rsidRPr="00C9796F" w:rsidRDefault="00E17A2B" w:rsidP="004F0929">
                        <w:pPr>
                          <w:tabs>
                            <w:tab w:val="left" w:pos="481"/>
                          </w:tabs>
                          <w:spacing w:before="3"/>
                          <w:rPr>
                            <w:rFonts w:ascii="Courier New"/>
                            <w:sz w:val="20"/>
                            <w:szCs w:val="20"/>
                          </w:rPr>
                        </w:pPr>
                        <w:r w:rsidRPr="00C9796F">
                          <w:rPr>
                            <w:rFonts w:ascii="Courier New"/>
                            <w:w w:val="104"/>
                            <w:sz w:val="20"/>
                            <w:szCs w:val="20"/>
                            <w:u w:val="single"/>
                          </w:rPr>
                          <w:t xml:space="preserve"> </w:t>
                        </w:r>
                        <w:r w:rsidRPr="00C9796F">
                          <w:rPr>
                            <w:rFonts w:ascii="Courier New"/>
                            <w:sz w:val="20"/>
                            <w:szCs w:val="20"/>
                            <w:u w:val="single"/>
                          </w:rPr>
                          <w:tab/>
                        </w:r>
                      </w:p>
                    </w:txbxContent>
                  </v:textbox>
                </v:shape>
                <v:shape id="Textbox 1069" o:spid="_x0000_s1064" type="#_x0000_t202" style="position:absolute;left:1784;top:18337;width:578;height:6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" filled="f" stroked="f">
                  <v:textbox style="mso-fit-shape-to-text:t" inset="0,0,0,0">
                    <w:txbxContent>
                      <w:p w14:paraId="663F6F3D" w14:textId="77777777" w:rsidR="00E17A2B" w:rsidRPr="00C9796F" w:rsidRDefault="00E17A2B" w:rsidP="00971F57">
                        <w:pPr>
                          <w:spacing w:line="156" w:lineRule="exact"/>
                          <w:rPr>
                            <w:b/>
                            <w:sz w:val="20"/>
                            <w:szCs w:val="20"/>
                          </w:rPr>
                        </w:pPr>
                        <w:r>
                          <w:rPr>
                            <w:b/>
                            <w:sz w:val="20"/>
                            <w:szCs w:val="20"/>
                          </w:rPr>
                          <w:t>3</w:t>
                        </w:r>
                      </w:p>
                    </w:txbxContent>
                  </v:textbox>
                </v:shape>
                <v:shape id="Textbox 1069" o:spid="_x0000_s1065" type="#_x0000_t202" style="position:absolute;left:1784;top:22834;width:578;height:6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" filled="f" stroked="f">
                  <v:textbox style="mso-fit-shape-to-text:t" inset="0,0,0,0">
                    <w:txbxContent>
                      <w:p w14:paraId="247F132A" w14:textId="77777777" w:rsidR="00E17A2B" w:rsidRPr="00C9796F" w:rsidRDefault="00E17A2B" w:rsidP="00971F57">
                        <w:pPr>
                          <w:spacing w:line="156" w:lineRule="exact"/>
                          <w:rPr>
                            <w:b/>
                            <w:sz w:val="20"/>
                            <w:szCs w:val="20"/>
                          </w:rPr>
                        </w:pPr>
                        <w:r>
                          <w:rPr>
                            <w:b/>
                            <w:sz w:val="20"/>
                            <w:szCs w:val="20"/>
                          </w:rPr>
                          <w:t>1</w:t>
                        </w:r>
                      </w:p>
                    </w:txbxContent>
                  </v:textbox>
                </v:shape>
                <w10:anchorlock/>
              </v:group>
            </w:pict>
          </mc:Fallback>
        </mc:AlternateContent>
      </w:r>
    </w:p>
    <w:p w14:paraId="62BC0E64" w14:textId="77777777" w:rsidR="00FF7799" w:rsidRPr="00E73F6F" w:rsidRDefault="00FF7799" w:rsidP="007C0767">
      <w:pPr>
        <w:pStyle w:val="StandardText"/>
      </w:pPr>
    </w:p>
    <w:p w14:paraId="6380F814" w14:textId="77777777" w:rsidR="00FF7799" w:rsidRPr="00E73F6F" w:rsidRDefault="00FF7799" w:rsidP="007C0767">
      <w:pPr>
        <w:pStyle w:val="StandardText"/>
      </w:pPr>
      <w:r w:rsidRPr="00E73F6F">
        <w:t>Da es vielen Unternehmen aber an dieser Kompetenz (der multivariaten Informationsverarbeitung) mangelt, ergibt sich häufig ein neues Problem: Informationsmangel trotz Informationsüberfluss. Im Domestic Marketing stellt sich dieses Paradoxon zumeist weniger scharf, da Manager hier eher auf ihre ominösen „Bauch-Entscheidungen“ vertrauen (können). Die damit gemeinte Intuition kommt indessen nicht von ungefähr, sondern wurzelt in einer für den Einzelnen</w:t>
      </w:r>
      <w:r w:rsidRPr="00E73F6F">
        <w:rPr>
          <w:spacing w:val="-2"/>
        </w:rPr>
        <w:t xml:space="preserve"> </w:t>
      </w:r>
      <w:r w:rsidRPr="00E73F6F">
        <w:lastRenderedPageBreak/>
        <w:t>zumeist</w:t>
      </w:r>
      <w:r w:rsidRPr="00E73F6F">
        <w:rPr>
          <w:spacing w:val="-2"/>
        </w:rPr>
        <w:t xml:space="preserve"> </w:t>
      </w:r>
      <w:r w:rsidRPr="00E73F6F">
        <w:t>nicht</w:t>
      </w:r>
      <w:r w:rsidRPr="00E73F6F">
        <w:rPr>
          <w:spacing w:val="-5"/>
        </w:rPr>
        <w:t xml:space="preserve"> </w:t>
      </w:r>
      <w:r w:rsidRPr="00E73F6F">
        <w:t>nachvollziehbaren,</w:t>
      </w:r>
      <w:r w:rsidRPr="00E73F6F">
        <w:rPr>
          <w:spacing w:val="-5"/>
        </w:rPr>
        <w:t xml:space="preserve"> </w:t>
      </w:r>
      <w:r w:rsidRPr="00E73F6F">
        <w:t>dennoch</w:t>
      </w:r>
      <w:r w:rsidRPr="00E73F6F">
        <w:rPr>
          <w:spacing w:val="-2"/>
        </w:rPr>
        <w:t xml:space="preserve"> </w:t>
      </w:r>
      <w:r w:rsidRPr="00E73F6F">
        <w:t>wirksamen</w:t>
      </w:r>
      <w:r w:rsidRPr="00E73F6F">
        <w:rPr>
          <w:spacing w:val="-2"/>
        </w:rPr>
        <w:t xml:space="preserve"> </w:t>
      </w:r>
      <w:r w:rsidRPr="00E73F6F">
        <w:t>„ganzheitlichen“ Weise</w:t>
      </w:r>
      <w:r w:rsidRPr="00E73F6F">
        <w:rPr>
          <w:spacing w:val="-4"/>
        </w:rPr>
        <w:t xml:space="preserve"> </w:t>
      </w:r>
      <w:r w:rsidRPr="00E73F6F">
        <w:t>in</w:t>
      </w:r>
      <w:r w:rsidRPr="00E73F6F">
        <w:rPr>
          <w:spacing w:val="-2"/>
        </w:rPr>
        <w:t xml:space="preserve"> </w:t>
      </w:r>
      <w:r w:rsidRPr="00E73F6F">
        <w:t>dem</w:t>
      </w:r>
      <w:r w:rsidRPr="00E73F6F">
        <w:rPr>
          <w:spacing w:val="-4"/>
        </w:rPr>
        <w:t xml:space="preserve"> </w:t>
      </w:r>
      <w:r w:rsidRPr="00E73F6F">
        <w:t>langjährigen</w:t>
      </w:r>
      <w:r w:rsidRPr="00E73F6F">
        <w:rPr>
          <w:spacing w:val="-4"/>
        </w:rPr>
        <w:t xml:space="preserve"> </w:t>
      </w:r>
      <w:r w:rsidRPr="00E73F6F">
        <w:t>Erfahrungswissen</w:t>
      </w:r>
      <w:r w:rsidRPr="00E73F6F">
        <w:rPr>
          <w:spacing w:val="-4"/>
        </w:rPr>
        <w:t xml:space="preserve"> </w:t>
      </w:r>
      <w:r w:rsidRPr="00E73F6F">
        <w:t>des</w:t>
      </w:r>
      <w:r w:rsidRPr="00E73F6F">
        <w:rPr>
          <w:spacing w:val="-3"/>
        </w:rPr>
        <w:t xml:space="preserve"> </w:t>
      </w:r>
      <w:r w:rsidRPr="00E73F6F">
        <w:t>Unternehmens,</w:t>
      </w:r>
      <w:r w:rsidRPr="00E73F6F">
        <w:rPr>
          <w:spacing w:val="-3"/>
        </w:rPr>
        <w:t xml:space="preserve"> </w:t>
      </w:r>
      <w:r w:rsidRPr="00E73F6F">
        <w:t>aber</w:t>
      </w:r>
      <w:r w:rsidRPr="00E73F6F">
        <w:rPr>
          <w:spacing w:val="-3"/>
        </w:rPr>
        <w:t xml:space="preserve"> </w:t>
      </w:r>
      <w:r w:rsidRPr="00E73F6F">
        <w:t>auch</w:t>
      </w:r>
      <w:r w:rsidRPr="00E73F6F">
        <w:rPr>
          <w:spacing w:val="-2"/>
        </w:rPr>
        <w:t xml:space="preserve"> </w:t>
      </w:r>
      <w:r w:rsidRPr="00E73F6F">
        <w:t>in</w:t>
      </w:r>
      <w:r w:rsidRPr="00E73F6F">
        <w:rPr>
          <w:spacing w:val="-4"/>
        </w:rPr>
        <w:t xml:space="preserve"> </w:t>
      </w:r>
      <w:r w:rsidRPr="00E73F6F">
        <w:t>der individuellen Lebenserfahrung, die jeder Manager als Konsument und Bewohner eines Landes besitzt. Das aus der intimen Kenntnis des (Heimat-)Marktes erwachsende „Gespür“ aber muss durch explizite, von der Marktforschung gelieferte</w:t>
      </w:r>
      <w:r w:rsidRPr="00E73F6F">
        <w:rPr>
          <w:spacing w:val="-12"/>
        </w:rPr>
        <w:t xml:space="preserve"> </w:t>
      </w:r>
      <w:r w:rsidRPr="00E73F6F">
        <w:t>Informationen</w:t>
      </w:r>
      <w:r w:rsidRPr="00E73F6F">
        <w:rPr>
          <w:spacing w:val="-11"/>
        </w:rPr>
        <w:t xml:space="preserve"> </w:t>
      </w:r>
      <w:r w:rsidRPr="00E73F6F">
        <w:t>ersetzt</w:t>
      </w:r>
      <w:r w:rsidRPr="00E73F6F">
        <w:rPr>
          <w:spacing w:val="-11"/>
        </w:rPr>
        <w:t xml:space="preserve"> </w:t>
      </w:r>
      <w:r w:rsidRPr="00E73F6F">
        <w:t>werden,</w:t>
      </w:r>
      <w:r w:rsidRPr="00E73F6F">
        <w:rPr>
          <w:spacing w:val="-11"/>
        </w:rPr>
        <w:t xml:space="preserve"> </w:t>
      </w:r>
      <w:r w:rsidRPr="00E73F6F">
        <w:t>wenn</w:t>
      </w:r>
      <w:r w:rsidRPr="00E73F6F">
        <w:rPr>
          <w:spacing w:val="-12"/>
        </w:rPr>
        <w:t xml:space="preserve"> </w:t>
      </w:r>
      <w:r w:rsidRPr="00E73F6F">
        <w:t>es</w:t>
      </w:r>
      <w:r w:rsidRPr="00E73F6F">
        <w:rPr>
          <w:spacing w:val="-11"/>
        </w:rPr>
        <w:t xml:space="preserve"> </w:t>
      </w:r>
      <w:r w:rsidRPr="00E73F6F">
        <w:t>gilt,</w:t>
      </w:r>
      <w:r w:rsidRPr="00E73F6F">
        <w:rPr>
          <w:spacing w:val="-11"/>
        </w:rPr>
        <w:t xml:space="preserve"> </w:t>
      </w:r>
      <w:r w:rsidRPr="00E73F6F">
        <w:t>Internationales</w:t>
      </w:r>
      <w:r w:rsidRPr="00E73F6F">
        <w:rPr>
          <w:spacing w:val="-11"/>
        </w:rPr>
        <w:t xml:space="preserve"> </w:t>
      </w:r>
      <w:r w:rsidRPr="00E73F6F">
        <w:t>Marketing</w:t>
      </w:r>
      <w:r w:rsidRPr="00E73F6F">
        <w:rPr>
          <w:spacing w:val="-12"/>
        </w:rPr>
        <w:t xml:space="preserve"> </w:t>
      </w:r>
      <w:r w:rsidRPr="00E73F6F">
        <w:t>zu betreiben.</w:t>
      </w:r>
      <w:r w:rsidRPr="00E73F6F">
        <w:rPr>
          <w:spacing w:val="-8"/>
        </w:rPr>
        <w:t xml:space="preserve"> </w:t>
      </w:r>
      <w:r w:rsidRPr="00E73F6F">
        <w:t>Gelingt</w:t>
      </w:r>
      <w:r w:rsidRPr="00E73F6F">
        <w:rPr>
          <w:spacing w:val="-8"/>
        </w:rPr>
        <w:t xml:space="preserve"> </w:t>
      </w:r>
      <w:r w:rsidRPr="00E73F6F">
        <w:t>dies</w:t>
      </w:r>
      <w:r w:rsidRPr="00E73F6F">
        <w:rPr>
          <w:spacing w:val="-7"/>
        </w:rPr>
        <w:t xml:space="preserve"> </w:t>
      </w:r>
      <w:r w:rsidRPr="00E73F6F">
        <w:t>nicht</w:t>
      </w:r>
      <w:r w:rsidRPr="00E73F6F">
        <w:rPr>
          <w:spacing w:val="-4"/>
        </w:rPr>
        <w:t xml:space="preserve"> </w:t>
      </w:r>
      <w:r w:rsidRPr="00E73F6F">
        <w:t>in</w:t>
      </w:r>
      <w:r w:rsidRPr="00E73F6F">
        <w:rPr>
          <w:spacing w:val="-8"/>
        </w:rPr>
        <w:t xml:space="preserve"> </w:t>
      </w:r>
      <w:r w:rsidRPr="00E73F6F">
        <w:t>dem</w:t>
      </w:r>
      <w:r w:rsidRPr="00E73F6F">
        <w:rPr>
          <w:spacing w:val="-7"/>
        </w:rPr>
        <w:t xml:space="preserve"> </w:t>
      </w:r>
      <w:r w:rsidRPr="00E73F6F">
        <w:t>erforderlichen</w:t>
      </w:r>
      <w:r w:rsidRPr="00E73F6F">
        <w:rPr>
          <w:spacing w:val="-8"/>
        </w:rPr>
        <w:t xml:space="preserve"> </w:t>
      </w:r>
      <w:r w:rsidRPr="00E73F6F">
        <w:t>Maße,</w:t>
      </w:r>
      <w:r w:rsidRPr="00E73F6F">
        <w:rPr>
          <w:spacing w:val="-6"/>
        </w:rPr>
        <w:t xml:space="preserve"> </w:t>
      </w:r>
      <w:r w:rsidRPr="00E73F6F">
        <w:t>müssen</w:t>
      </w:r>
      <w:r w:rsidRPr="00E73F6F">
        <w:rPr>
          <w:spacing w:val="-5"/>
        </w:rPr>
        <w:t xml:space="preserve"> </w:t>
      </w:r>
      <w:r w:rsidRPr="00E73F6F">
        <w:t>Entscheidungen unter einem erhöhten Grad an Unsicherheit gefällt werden.</w:t>
      </w:r>
    </w:p>
    <w:p w14:paraId="65BA0ABA" w14:textId="77777777" w:rsidR="00FF7799" w:rsidRPr="00E73F6F" w:rsidRDefault="00FF7799" w:rsidP="00042200">
      <w:pPr>
        <w:pStyle w:val="StandardText"/>
      </w:pPr>
      <w:r w:rsidRPr="00E73F6F">
        <w:rPr>
          <w:spacing w:val="-4"/>
        </w:rPr>
        <w:t>All</w:t>
      </w:r>
      <w:r w:rsidRPr="00E73F6F">
        <w:t xml:space="preserve"> </w:t>
      </w:r>
      <w:r w:rsidRPr="00E73F6F">
        <w:rPr>
          <w:spacing w:val="-2"/>
        </w:rPr>
        <w:t>diese</w:t>
      </w:r>
      <w:r w:rsidRPr="00E73F6F">
        <w:t xml:space="preserve"> </w:t>
      </w:r>
      <w:r w:rsidRPr="00E73F6F">
        <w:rPr>
          <w:spacing w:val="-2"/>
        </w:rPr>
        <w:t xml:space="preserve">Informationen </w:t>
      </w:r>
      <w:r w:rsidRPr="00E73F6F">
        <w:rPr>
          <w:spacing w:val="-4"/>
        </w:rPr>
        <w:t xml:space="preserve">(auch z.B. über </w:t>
      </w:r>
      <w:r w:rsidRPr="00E73F6F">
        <w:rPr>
          <w:spacing w:val="-2"/>
        </w:rPr>
        <w:t xml:space="preserve">länderspezifische </w:t>
      </w:r>
      <w:r w:rsidRPr="00E73F6F">
        <w:t>Konsumgewohnheiten und Präferenzen) müssen</w:t>
      </w:r>
    </w:p>
    <w:p w14:paraId="2D3A7E41" w14:textId="77777777" w:rsidR="00FF7799" w:rsidRPr="00E73F6F" w:rsidRDefault="00FF7799" w:rsidP="00BF2DBF">
      <w:pPr>
        <w:pStyle w:val="StandardTextAufzhlung"/>
        <w:ind w:left="426"/>
      </w:pPr>
      <w:r w:rsidRPr="00E73F6F">
        <w:t>erfasst,</w:t>
      </w:r>
    </w:p>
    <w:p w14:paraId="380A40AE" w14:textId="77777777" w:rsidR="00FF7799" w:rsidRPr="00E73F6F" w:rsidRDefault="00FF7799" w:rsidP="00BF2DBF">
      <w:pPr>
        <w:pStyle w:val="StandardTextAufzhlung"/>
        <w:ind w:left="426"/>
      </w:pPr>
      <w:r w:rsidRPr="00E73F6F">
        <w:t>an</w:t>
      </w:r>
      <w:r w:rsidRPr="00E73F6F">
        <w:rPr>
          <w:spacing w:val="34"/>
        </w:rPr>
        <w:t xml:space="preserve"> </w:t>
      </w:r>
      <w:r w:rsidRPr="00E73F6F">
        <w:t>die</w:t>
      </w:r>
      <w:r w:rsidRPr="00E73F6F">
        <w:rPr>
          <w:spacing w:val="32"/>
        </w:rPr>
        <w:t xml:space="preserve"> </w:t>
      </w:r>
      <w:r w:rsidRPr="00E73F6F">
        <w:t>entsprechenden,</w:t>
      </w:r>
      <w:r w:rsidRPr="00E73F6F">
        <w:rPr>
          <w:spacing w:val="34"/>
        </w:rPr>
        <w:t xml:space="preserve"> </w:t>
      </w:r>
      <w:r w:rsidRPr="00E73F6F">
        <w:t>teilweise</w:t>
      </w:r>
      <w:r w:rsidRPr="00E73F6F">
        <w:rPr>
          <w:spacing w:val="31"/>
        </w:rPr>
        <w:t xml:space="preserve"> </w:t>
      </w:r>
      <w:r w:rsidRPr="00E73F6F">
        <w:t>im</w:t>
      </w:r>
      <w:r w:rsidRPr="00E73F6F">
        <w:rPr>
          <w:spacing w:val="34"/>
        </w:rPr>
        <w:t xml:space="preserve"> </w:t>
      </w:r>
      <w:r w:rsidRPr="00E73F6F">
        <w:t>Stammland</w:t>
      </w:r>
      <w:r w:rsidRPr="00E73F6F">
        <w:rPr>
          <w:spacing w:val="33"/>
        </w:rPr>
        <w:t xml:space="preserve"> </w:t>
      </w:r>
      <w:r w:rsidRPr="00E73F6F">
        <w:t>befindlichen</w:t>
      </w:r>
      <w:r w:rsidRPr="00E73F6F">
        <w:rPr>
          <w:spacing w:val="33"/>
        </w:rPr>
        <w:t xml:space="preserve"> </w:t>
      </w:r>
      <w:r w:rsidRPr="00E73F6F">
        <w:t>Stellen</w:t>
      </w:r>
      <w:r w:rsidRPr="00E73F6F">
        <w:rPr>
          <w:spacing w:val="34"/>
        </w:rPr>
        <w:t xml:space="preserve"> </w:t>
      </w:r>
      <w:r w:rsidRPr="00E73F6F">
        <w:t>(z.B. Produkt-Management) weitergeleitet und dort</w:t>
      </w:r>
    </w:p>
    <w:p w14:paraId="7C602E78" w14:textId="77777777" w:rsidR="00FF7799" w:rsidRPr="00E73F6F" w:rsidRDefault="00FF7799" w:rsidP="00BF2DBF">
      <w:pPr>
        <w:pStyle w:val="StandardTextAufzhlung"/>
        <w:ind w:left="426"/>
      </w:pPr>
      <w:r w:rsidRPr="00E73F6F">
        <w:t>für</w:t>
      </w:r>
      <w:r w:rsidRPr="00E73F6F">
        <w:rPr>
          <w:spacing w:val="-1"/>
        </w:rPr>
        <w:t xml:space="preserve"> </w:t>
      </w:r>
      <w:r w:rsidRPr="00E73F6F">
        <w:t>die Definition von</w:t>
      </w:r>
      <w:r w:rsidRPr="00E73F6F">
        <w:rPr>
          <w:spacing w:val="1"/>
        </w:rPr>
        <w:t xml:space="preserve"> </w:t>
      </w:r>
      <w:r w:rsidRPr="00E73F6F">
        <w:t>Strategien und Politiken</w:t>
      </w:r>
      <w:r w:rsidRPr="00E73F6F">
        <w:rPr>
          <w:spacing w:val="-1"/>
        </w:rPr>
        <w:t xml:space="preserve"> </w:t>
      </w:r>
      <w:r w:rsidRPr="00E73F6F">
        <w:t>genutzt werden.</w:t>
      </w:r>
    </w:p>
    <w:p w14:paraId="38165E7A" w14:textId="77777777" w:rsidR="00BF2DBF" w:rsidRDefault="00BF2DBF" w:rsidP="007C0767">
      <w:pPr>
        <w:pStyle w:val="StandardText"/>
      </w:pPr>
    </w:p>
    <w:p w14:paraId="10E3BAF1" w14:textId="385BE2BE" w:rsidR="00FF7799" w:rsidRPr="00E73F6F" w:rsidRDefault="00FF7799" w:rsidP="007C0767">
      <w:pPr>
        <w:pStyle w:val="StandardText"/>
      </w:pPr>
      <w:r w:rsidRPr="00E73F6F">
        <w:t>Angesichts dieser Aufgabe liegt es nahe, ein Marketing-Informationssystem einzurichten.</w:t>
      </w:r>
      <w:r w:rsidRPr="00E73F6F">
        <w:rPr>
          <w:spacing w:val="64"/>
          <w:w w:val="150"/>
        </w:rPr>
        <w:t xml:space="preserve"> </w:t>
      </w:r>
      <w:r w:rsidRPr="00E73F6F">
        <w:t>Dass</w:t>
      </w:r>
      <w:r w:rsidRPr="00E73F6F">
        <w:rPr>
          <w:spacing w:val="66"/>
          <w:w w:val="150"/>
        </w:rPr>
        <w:t xml:space="preserve"> </w:t>
      </w:r>
      <w:r w:rsidRPr="00E73F6F">
        <w:t>indessen</w:t>
      </w:r>
      <w:r w:rsidRPr="00E73F6F">
        <w:rPr>
          <w:spacing w:val="66"/>
          <w:w w:val="150"/>
        </w:rPr>
        <w:t xml:space="preserve"> </w:t>
      </w:r>
      <w:r w:rsidRPr="00E73F6F">
        <w:t>nur</w:t>
      </w:r>
      <w:r w:rsidRPr="00E73F6F">
        <w:rPr>
          <w:spacing w:val="65"/>
          <w:w w:val="150"/>
        </w:rPr>
        <w:t xml:space="preserve"> </w:t>
      </w:r>
      <w:r w:rsidRPr="00E73F6F">
        <w:t>wenige</w:t>
      </w:r>
      <w:r w:rsidRPr="00E73F6F">
        <w:rPr>
          <w:spacing w:val="64"/>
          <w:w w:val="150"/>
        </w:rPr>
        <w:t xml:space="preserve"> </w:t>
      </w:r>
      <w:r w:rsidRPr="00E73F6F">
        <w:t>Unternehmen</w:t>
      </w:r>
      <w:r w:rsidRPr="00E73F6F">
        <w:rPr>
          <w:spacing w:val="66"/>
          <w:w w:val="150"/>
        </w:rPr>
        <w:t xml:space="preserve"> </w:t>
      </w:r>
      <w:r w:rsidRPr="00E73F6F">
        <w:t>sog.</w:t>
      </w:r>
      <w:r w:rsidRPr="00E73F6F">
        <w:rPr>
          <w:spacing w:val="63"/>
          <w:w w:val="150"/>
        </w:rPr>
        <w:t xml:space="preserve"> </w:t>
      </w:r>
      <w:r w:rsidRPr="00E73F6F">
        <w:rPr>
          <w:spacing w:val="-2"/>
        </w:rPr>
        <w:t xml:space="preserve">Vollintegrierte </w:t>
      </w:r>
      <w:r w:rsidRPr="00E73F6F">
        <w:t>Gesamtsysteme,</w:t>
      </w:r>
      <w:r w:rsidRPr="00E73F6F">
        <w:rPr>
          <w:spacing w:val="-8"/>
        </w:rPr>
        <w:t xml:space="preserve"> </w:t>
      </w:r>
      <w:r w:rsidRPr="00E73F6F">
        <w:t>die</w:t>
      </w:r>
      <w:r w:rsidRPr="00E73F6F">
        <w:rPr>
          <w:spacing w:val="-9"/>
        </w:rPr>
        <w:t xml:space="preserve"> </w:t>
      </w:r>
      <w:r w:rsidRPr="00E73F6F">
        <w:t>alle</w:t>
      </w:r>
      <w:r w:rsidRPr="00E73F6F">
        <w:rPr>
          <w:spacing w:val="-9"/>
        </w:rPr>
        <w:t xml:space="preserve"> </w:t>
      </w:r>
      <w:r w:rsidRPr="00E73F6F">
        <w:t>Bereiche</w:t>
      </w:r>
      <w:r w:rsidRPr="00E73F6F">
        <w:rPr>
          <w:spacing w:val="-12"/>
        </w:rPr>
        <w:t xml:space="preserve"> </w:t>
      </w:r>
      <w:r w:rsidRPr="00E73F6F">
        <w:t>des</w:t>
      </w:r>
      <w:r w:rsidRPr="00E73F6F">
        <w:rPr>
          <w:spacing w:val="-6"/>
        </w:rPr>
        <w:t xml:space="preserve"> </w:t>
      </w:r>
      <w:r w:rsidRPr="00E73F6F">
        <w:t>Marketing</w:t>
      </w:r>
      <w:r w:rsidRPr="00E73F6F">
        <w:rPr>
          <w:spacing w:val="-10"/>
        </w:rPr>
        <w:t xml:space="preserve"> </w:t>
      </w:r>
      <w:r w:rsidRPr="00E73F6F">
        <w:t>erfassen,</w:t>
      </w:r>
      <w:r w:rsidRPr="00E73F6F">
        <w:rPr>
          <w:spacing w:val="-8"/>
        </w:rPr>
        <w:t xml:space="preserve"> </w:t>
      </w:r>
      <w:r w:rsidRPr="00E73F6F">
        <w:t>nutzen,</w:t>
      </w:r>
      <w:r w:rsidRPr="00E73F6F">
        <w:rPr>
          <w:spacing w:val="-10"/>
        </w:rPr>
        <w:t xml:space="preserve"> </w:t>
      </w:r>
      <w:r w:rsidRPr="00E73F6F">
        <w:t>lässt</w:t>
      </w:r>
      <w:r w:rsidRPr="00E73F6F">
        <w:rPr>
          <w:spacing w:val="-8"/>
        </w:rPr>
        <w:t xml:space="preserve"> </w:t>
      </w:r>
      <w:r w:rsidRPr="00E73F6F">
        <w:t>sich</w:t>
      </w:r>
      <w:r w:rsidRPr="00E73F6F">
        <w:rPr>
          <w:spacing w:val="-8"/>
        </w:rPr>
        <w:t xml:space="preserve"> </w:t>
      </w:r>
      <w:r w:rsidRPr="00E73F6F">
        <w:t>erneut mit</w:t>
      </w:r>
      <w:r w:rsidRPr="00E73F6F">
        <w:rPr>
          <w:spacing w:val="-5"/>
        </w:rPr>
        <w:t xml:space="preserve"> </w:t>
      </w:r>
      <w:r w:rsidRPr="00E73F6F">
        <w:t>der</w:t>
      </w:r>
      <w:r w:rsidRPr="00E73F6F">
        <w:rPr>
          <w:spacing w:val="-5"/>
        </w:rPr>
        <w:t xml:space="preserve"> </w:t>
      </w:r>
      <w:r w:rsidRPr="00E73F6F">
        <w:t>„Komplexitäts-Falle“</w:t>
      </w:r>
      <w:r w:rsidRPr="00E73F6F">
        <w:rPr>
          <w:spacing w:val="-6"/>
        </w:rPr>
        <w:t xml:space="preserve"> </w:t>
      </w:r>
      <w:r w:rsidRPr="00E73F6F">
        <w:t>begründen.</w:t>
      </w:r>
      <w:r w:rsidRPr="00E73F6F">
        <w:rPr>
          <w:spacing w:val="-5"/>
        </w:rPr>
        <w:t xml:space="preserve"> </w:t>
      </w:r>
      <w:r w:rsidRPr="00E73F6F">
        <w:t>Sie</w:t>
      </w:r>
      <w:r w:rsidRPr="00E73F6F">
        <w:rPr>
          <w:spacing w:val="-6"/>
        </w:rPr>
        <w:t xml:space="preserve"> </w:t>
      </w:r>
      <w:r w:rsidRPr="00E73F6F">
        <w:t>schnappt</w:t>
      </w:r>
      <w:r w:rsidRPr="00E73F6F">
        <w:rPr>
          <w:spacing w:val="-7"/>
        </w:rPr>
        <w:t xml:space="preserve"> </w:t>
      </w:r>
      <w:r w:rsidRPr="00E73F6F">
        <w:t>umso</w:t>
      </w:r>
      <w:r w:rsidRPr="00E73F6F">
        <w:rPr>
          <w:spacing w:val="-5"/>
        </w:rPr>
        <w:t xml:space="preserve"> </w:t>
      </w:r>
      <w:r w:rsidRPr="00E73F6F">
        <w:t>eher</w:t>
      </w:r>
      <w:r w:rsidRPr="00E73F6F">
        <w:rPr>
          <w:spacing w:val="-5"/>
        </w:rPr>
        <w:t xml:space="preserve"> </w:t>
      </w:r>
      <w:r w:rsidRPr="00E73F6F">
        <w:t>zu,</w:t>
      </w:r>
      <w:r w:rsidRPr="00E73F6F">
        <w:rPr>
          <w:spacing w:val="-5"/>
        </w:rPr>
        <w:t xml:space="preserve"> </w:t>
      </w:r>
      <w:r w:rsidRPr="00E73F6F">
        <w:t>je</w:t>
      </w:r>
      <w:r w:rsidRPr="00E73F6F">
        <w:rPr>
          <w:spacing w:val="-8"/>
        </w:rPr>
        <w:t xml:space="preserve"> </w:t>
      </w:r>
      <w:r w:rsidRPr="00E73F6F">
        <w:t>größer</w:t>
      </w:r>
      <w:r w:rsidRPr="00E73F6F">
        <w:rPr>
          <w:spacing w:val="-5"/>
        </w:rPr>
        <w:t xml:space="preserve"> </w:t>
      </w:r>
      <w:r w:rsidRPr="00E73F6F">
        <w:t>die Zahl der Nutzer ist; denn deren Informationsbedarf kann je nach Abteilung und Aufgabengebiet variieren (z.B. hinsichtlich Aggregationsgrad oder Aktualität der Daten). Greift man deshalb auf partielle Marketing-Informationssysteme (z.B. Export-Informationssystem)</w:t>
      </w:r>
      <w:r w:rsidRPr="00E73F6F">
        <w:rPr>
          <w:spacing w:val="-12"/>
        </w:rPr>
        <w:t xml:space="preserve"> </w:t>
      </w:r>
      <w:r w:rsidRPr="00E73F6F">
        <w:t>zurück,</w:t>
      </w:r>
      <w:r w:rsidRPr="00E73F6F">
        <w:rPr>
          <w:spacing w:val="-11"/>
        </w:rPr>
        <w:t xml:space="preserve"> </w:t>
      </w:r>
      <w:r w:rsidRPr="00E73F6F">
        <w:t>mindert</w:t>
      </w:r>
      <w:r w:rsidRPr="00E73F6F">
        <w:rPr>
          <w:spacing w:val="-11"/>
        </w:rPr>
        <w:t xml:space="preserve"> </w:t>
      </w:r>
      <w:r w:rsidRPr="00E73F6F">
        <w:t>dies</w:t>
      </w:r>
      <w:r w:rsidRPr="00E73F6F">
        <w:rPr>
          <w:spacing w:val="-11"/>
        </w:rPr>
        <w:t xml:space="preserve"> </w:t>
      </w:r>
      <w:r w:rsidRPr="00E73F6F">
        <w:t>zwar</w:t>
      </w:r>
      <w:r w:rsidRPr="00E73F6F">
        <w:rPr>
          <w:spacing w:val="-12"/>
        </w:rPr>
        <w:t xml:space="preserve"> </w:t>
      </w:r>
      <w:r w:rsidRPr="00E73F6F">
        <w:t>die</w:t>
      </w:r>
      <w:r w:rsidRPr="00E73F6F">
        <w:rPr>
          <w:spacing w:val="-11"/>
        </w:rPr>
        <w:t xml:space="preserve"> </w:t>
      </w:r>
      <w:r w:rsidRPr="00E73F6F">
        <w:t>Komplexität,</w:t>
      </w:r>
      <w:r w:rsidRPr="00E73F6F">
        <w:rPr>
          <w:spacing w:val="-11"/>
        </w:rPr>
        <w:t xml:space="preserve"> </w:t>
      </w:r>
      <w:r w:rsidRPr="00E73F6F">
        <w:t>führt</w:t>
      </w:r>
      <w:r w:rsidRPr="00E73F6F">
        <w:rPr>
          <w:spacing w:val="-11"/>
        </w:rPr>
        <w:t xml:space="preserve"> </w:t>
      </w:r>
      <w:r w:rsidRPr="00E73F6F">
        <w:t>aber dazu, dass andere Unternehmensbereiche die verfügbaren Daten nicht oder nur dann</w:t>
      </w:r>
      <w:r w:rsidRPr="00E73F6F">
        <w:rPr>
          <w:spacing w:val="-12"/>
        </w:rPr>
        <w:t xml:space="preserve"> </w:t>
      </w:r>
      <w:r w:rsidRPr="00E73F6F">
        <w:t>nutzen</w:t>
      </w:r>
      <w:r w:rsidRPr="00E73F6F">
        <w:rPr>
          <w:spacing w:val="-11"/>
        </w:rPr>
        <w:t xml:space="preserve"> </w:t>
      </w:r>
      <w:r w:rsidRPr="00E73F6F">
        <w:t>können,</w:t>
      </w:r>
      <w:r w:rsidRPr="00E73F6F">
        <w:rPr>
          <w:spacing w:val="-11"/>
        </w:rPr>
        <w:t xml:space="preserve"> </w:t>
      </w:r>
      <w:r w:rsidRPr="00E73F6F">
        <w:t>wenn</w:t>
      </w:r>
      <w:r w:rsidRPr="00E73F6F">
        <w:rPr>
          <w:spacing w:val="-11"/>
        </w:rPr>
        <w:t xml:space="preserve"> </w:t>
      </w:r>
      <w:r w:rsidRPr="00E73F6F">
        <w:t>sie</w:t>
      </w:r>
      <w:r w:rsidRPr="00E73F6F">
        <w:rPr>
          <w:spacing w:val="-12"/>
        </w:rPr>
        <w:t xml:space="preserve"> </w:t>
      </w:r>
      <w:r w:rsidRPr="00E73F6F">
        <w:t>der</w:t>
      </w:r>
      <w:r w:rsidRPr="00E73F6F">
        <w:rPr>
          <w:spacing w:val="-11"/>
        </w:rPr>
        <w:t xml:space="preserve"> </w:t>
      </w:r>
      <w:r w:rsidRPr="00E73F6F">
        <w:t>Entscheidungssituation</w:t>
      </w:r>
      <w:r w:rsidRPr="00E73F6F">
        <w:rPr>
          <w:spacing w:val="-11"/>
        </w:rPr>
        <w:t xml:space="preserve"> </w:t>
      </w:r>
      <w:r w:rsidRPr="00E73F6F">
        <w:t>entsprechend</w:t>
      </w:r>
      <w:r w:rsidRPr="00E73F6F">
        <w:rPr>
          <w:spacing w:val="-11"/>
        </w:rPr>
        <w:t xml:space="preserve"> </w:t>
      </w:r>
      <w:r w:rsidRPr="00E73F6F">
        <w:t>–</w:t>
      </w:r>
      <w:r w:rsidRPr="00E73F6F">
        <w:rPr>
          <w:spacing w:val="-12"/>
        </w:rPr>
        <w:t xml:space="preserve"> </w:t>
      </w:r>
      <w:r w:rsidRPr="00E73F6F">
        <w:t>mit</w:t>
      </w:r>
      <w:r w:rsidRPr="00E73F6F">
        <w:rPr>
          <w:spacing w:val="-11"/>
        </w:rPr>
        <w:t xml:space="preserve"> </w:t>
      </w:r>
      <w:r w:rsidRPr="00E73F6F">
        <w:t>mehr oder</w:t>
      </w:r>
      <w:r w:rsidRPr="00E73F6F">
        <w:rPr>
          <w:spacing w:val="-3"/>
        </w:rPr>
        <w:t xml:space="preserve"> </w:t>
      </w:r>
      <w:r w:rsidRPr="00E73F6F">
        <w:t>minder</w:t>
      </w:r>
      <w:r w:rsidRPr="00E73F6F">
        <w:rPr>
          <w:spacing w:val="-2"/>
        </w:rPr>
        <w:t xml:space="preserve"> </w:t>
      </w:r>
      <w:r w:rsidRPr="00E73F6F">
        <w:t>großem</w:t>
      </w:r>
      <w:r w:rsidRPr="00E73F6F">
        <w:rPr>
          <w:spacing w:val="-3"/>
        </w:rPr>
        <w:t xml:space="preserve"> </w:t>
      </w:r>
      <w:r w:rsidRPr="00E73F6F">
        <w:t>Aufwand</w:t>
      </w:r>
      <w:r w:rsidRPr="00E73F6F">
        <w:rPr>
          <w:spacing w:val="-3"/>
        </w:rPr>
        <w:t xml:space="preserve"> </w:t>
      </w:r>
      <w:r w:rsidRPr="00E73F6F">
        <w:t>–</w:t>
      </w:r>
      <w:r w:rsidRPr="00E73F6F">
        <w:rPr>
          <w:spacing w:val="-1"/>
        </w:rPr>
        <w:t xml:space="preserve"> </w:t>
      </w:r>
      <w:r w:rsidRPr="00E73F6F">
        <w:t>aufbereitet</w:t>
      </w:r>
      <w:r w:rsidRPr="00E73F6F">
        <w:rPr>
          <w:spacing w:val="-2"/>
        </w:rPr>
        <w:t xml:space="preserve"> </w:t>
      </w:r>
      <w:r w:rsidRPr="00E73F6F">
        <w:t>werden</w:t>
      </w:r>
      <w:r w:rsidRPr="00E73F6F">
        <w:rPr>
          <w:spacing w:val="-1"/>
        </w:rPr>
        <w:t xml:space="preserve"> </w:t>
      </w:r>
      <w:r w:rsidRPr="00E73F6F">
        <w:t>(vgl.</w:t>
      </w:r>
      <w:r w:rsidRPr="00E73F6F">
        <w:rPr>
          <w:spacing w:val="-1"/>
        </w:rPr>
        <w:t xml:space="preserve"> </w:t>
      </w:r>
      <w:r w:rsidRPr="00E73F6F">
        <w:t>Wilde/Schweiger</w:t>
      </w:r>
      <w:r w:rsidRPr="00E73F6F">
        <w:rPr>
          <w:spacing w:val="-2"/>
        </w:rPr>
        <w:t xml:space="preserve"> 1995).</w:t>
      </w:r>
    </w:p>
    <w:p w14:paraId="0B876115" w14:textId="77777777" w:rsidR="00FF7799" w:rsidRPr="00E73F6F" w:rsidRDefault="00FF7799" w:rsidP="007C0767">
      <w:pPr>
        <w:pStyle w:val="StandardText"/>
      </w:pP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9062"/>
      </w:tblGrid>
      <w:tr w:rsidR="00FF7799" w:rsidRPr="00E73F6F" w14:paraId="294FB737" w14:textId="77777777" w:rsidTr="00580F1D">
        <w:trPr>
          <w:trHeight w:val="354"/>
        </w:trPr>
        <w:tc>
          <w:tcPr>
            <w:tcW w:w="5000" w:type="pct"/>
            <w:tcBorders>
              <w:bottom w:val="nil"/>
            </w:tcBorders>
            <w:shd w:val="clear" w:color="auto" w:fill="DEEAF6" w:themeFill="accent1" w:themeFillTint="33"/>
            <w:tcMar>
              <w:left w:w="28" w:type="dxa"/>
              <w:right w:w="28" w:type="dxa"/>
            </w:tcMar>
          </w:tcPr>
          <w:p w14:paraId="63A41893" w14:textId="77777777" w:rsidR="00FF7799" w:rsidRPr="00BF2DBF" w:rsidRDefault="00FF7799" w:rsidP="00BF2DBF">
            <w:pPr>
              <w:pStyle w:val="Standardklein"/>
              <w:spacing w:before="120"/>
              <w:jc w:val="center"/>
              <w:rPr>
                <w:b/>
                <w:lang w:val="de-DE"/>
              </w:rPr>
            </w:pPr>
            <w:r w:rsidRPr="00BF2DBF">
              <w:rPr>
                <w:b/>
                <w:lang w:val="de-DE"/>
              </w:rPr>
              <w:t>Internationales</w:t>
            </w:r>
            <w:r w:rsidRPr="00BF2DBF">
              <w:rPr>
                <w:b/>
                <w:spacing w:val="-9"/>
                <w:lang w:val="de-DE"/>
              </w:rPr>
              <w:t xml:space="preserve"> </w:t>
            </w:r>
            <w:r w:rsidRPr="00BF2DBF">
              <w:rPr>
                <w:b/>
                <w:lang w:val="de-DE"/>
              </w:rPr>
              <w:t>Marketing-Informationssystem</w:t>
            </w:r>
            <w:r w:rsidRPr="00BF2DBF">
              <w:rPr>
                <w:b/>
                <w:spacing w:val="-10"/>
                <w:lang w:val="de-DE"/>
              </w:rPr>
              <w:t xml:space="preserve"> </w:t>
            </w:r>
            <w:r w:rsidRPr="00BF2DBF">
              <w:rPr>
                <w:b/>
                <w:lang w:val="de-DE"/>
              </w:rPr>
              <w:t>der</w:t>
            </w:r>
            <w:r w:rsidRPr="00BF2DBF">
              <w:rPr>
                <w:b/>
                <w:spacing w:val="-9"/>
                <w:lang w:val="de-DE"/>
              </w:rPr>
              <w:t xml:space="preserve"> </w:t>
            </w:r>
            <w:r w:rsidRPr="00BF2DBF">
              <w:rPr>
                <w:b/>
                <w:lang w:val="de-DE"/>
              </w:rPr>
              <w:t>Henkel</w:t>
            </w:r>
            <w:r w:rsidRPr="00BF2DBF">
              <w:rPr>
                <w:b/>
                <w:spacing w:val="-9"/>
                <w:lang w:val="de-DE"/>
              </w:rPr>
              <w:t xml:space="preserve"> </w:t>
            </w:r>
            <w:r w:rsidRPr="00BF2DBF">
              <w:rPr>
                <w:b/>
                <w:lang w:val="de-DE"/>
              </w:rPr>
              <w:t>KGaA,</w:t>
            </w:r>
            <w:r w:rsidRPr="00BF2DBF">
              <w:rPr>
                <w:b/>
                <w:spacing w:val="-7"/>
                <w:lang w:val="de-DE"/>
              </w:rPr>
              <w:t xml:space="preserve"> </w:t>
            </w:r>
            <w:r w:rsidRPr="00BF2DBF">
              <w:rPr>
                <w:b/>
                <w:spacing w:val="-2"/>
                <w:lang w:val="de-DE"/>
              </w:rPr>
              <w:t>Düsseldorf</w:t>
            </w:r>
          </w:p>
        </w:tc>
      </w:tr>
      <w:tr w:rsidR="00FF7799" w:rsidRPr="00E73F6F" w14:paraId="62BE18D1" w14:textId="77777777" w:rsidTr="00580F1D">
        <w:trPr>
          <w:trHeight w:val="2046"/>
        </w:trPr>
        <w:tc>
          <w:tcPr>
            <w:tcW w:w="5000" w:type="pct"/>
            <w:tcBorders>
              <w:top w:val="nil"/>
            </w:tcBorders>
            <w:shd w:val="clear" w:color="auto" w:fill="DEEAF6" w:themeFill="accent1" w:themeFillTint="33"/>
            <w:tcMar>
              <w:left w:w="28" w:type="dxa"/>
              <w:right w:w="28" w:type="dxa"/>
            </w:tcMar>
          </w:tcPr>
          <w:p w14:paraId="72347D76" w14:textId="77777777" w:rsidR="00FF7799" w:rsidRPr="00E73F6F" w:rsidRDefault="00FF7799" w:rsidP="00C33A6A">
            <w:pPr>
              <w:pStyle w:val="Standardklein"/>
              <w:spacing w:before="120" w:after="120"/>
              <w:rPr>
                <w:lang w:val="de-DE"/>
              </w:rPr>
            </w:pPr>
            <w:r w:rsidRPr="00E73F6F">
              <w:rPr>
                <w:lang w:val="de-DE"/>
              </w:rPr>
              <w:t>Dieses verbindet intern anfallende, von allen Niederlassungen einzugebende Daten (z.B. Umsatz je</w:t>
            </w:r>
            <w:r w:rsidRPr="00E73F6F">
              <w:rPr>
                <w:spacing w:val="40"/>
                <w:lang w:val="de-DE"/>
              </w:rPr>
              <w:t xml:space="preserve"> </w:t>
            </w:r>
            <w:r w:rsidRPr="00E73F6F">
              <w:rPr>
                <w:lang w:val="de-DE"/>
              </w:rPr>
              <w:t>Monat) mit externen, z.B. von Marktforschungs-Instituten bereitgestellten Informationen. Neben den</w:t>
            </w:r>
            <w:r w:rsidRPr="00E73F6F">
              <w:rPr>
                <w:spacing w:val="40"/>
                <w:lang w:val="de-DE"/>
              </w:rPr>
              <w:t xml:space="preserve"> </w:t>
            </w:r>
            <w:r w:rsidRPr="00E73F6F">
              <w:rPr>
                <w:lang w:val="de-DE"/>
              </w:rPr>
              <w:t>naheliegenden technologie-immanenten Vorteilen (z.B. Zugriff aller Entscheidungsebenen auf die</w:t>
            </w:r>
            <w:r w:rsidRPr="00E73F6F">
              <w:rPr>
                <w:spacing w:val="40"/>
                <w:lang w:val="de-DE"/>
              </w:rPr>
              <w:t xml:space="preserve"> </w:t>
            </w:r>
            <w:r w:rsidRPr="00E73F6F">
              <w:rPr>
                <w:lang w:val="de-DE"/>
              </w:rPr>
              <w:t>relevanten Informationen, standardmäßige individuelle Datenauswertung, interaktive Ad hoc-</w:t>
            </w:r>
            <w:r w:rsidRPr="00E73F6F">
              <w:rPr>
                <w:spacing w:val="40"/>
                <w:lang w:val="de-DE"/>
              </w:rPr>
              <w:t xml:space="preserve"> </w:t>
            </w:r>
            <w:r w:rsidRPr="00E73F6F">
              <w:rPr>
                <w:lang w:val="de-DE"/>
              </w:rPr>
              <w:t>Analysen, grafische Darstellung der analysierten Daten) bietet dieses System dem international auf</w:t>
            </w:r>
            <w:r w:rsidRPr="00E73F6F">
              <w:rPr>
                <w:spacing w:val="40"/>
                <w:lang w:val="de-DE"/>
              </w:rPr>
              <w:t xml:space="preserve"> </w:t>
            </w:r>
            <w:r w:rsidRPr="00E73F6F">
              <w:rPr>
                <w:lang w:val="de-DE"/>
              </w:rPr>
              <w:t>vielfältigste Weise engagierten und damit ständig prinzipiell von Identitätsverlust bedrohten</w:t>
            </w:r>
            <w:r w:rsidRPr="00E73F6F">
              <w:rPr>
                <w:spacing w:val="40"/>
                <w:lang w:val="de-DE"/>
              </w:rPr>
              <w:t xml:space="preserve"> </w:t>
            </w:r>
            <w:r w:rsidRPr="00E73F6F">
              <w:rPr>
                <w:lang w:val="de-DE"/>
              </w:rPr>
              <w:t>Unternehmen ein Instrumentarium zur Harmonisierung der Arbeitsbeziehungen. Indem weltweit</w:t>
            </w:r>
            <w:r w:rsidRPr="00E73F6F">
              <w:rPr>
                <w:spacing w:val="40"/>
                <w:lang w:val="de-DE"/>
              </w:rPr>
              <w:t xml:space="preserve"> </w:t>
            </w:r>
            <w:r w:rsidRPr="00E73F6F">
              <w:rPr>
                <w:lang w:val="de-DE"/>
              </w:rPr>
              <w:t>dieselben Definitionen, Aggregations- und Berechnungsformeln, Zeiteinheiten, Analyse-Instrumente</w:t>
            </w:r>
            <w:r w:rsidRPr="00E73F6F">
              <w:rPr>
                <w:spacing w:val="40"/>
                <w:lang w:val="de-DE"/>
              </w:rPr>
              <w:t xml:space="preserve"> </w:t>
            </w:r>
            <w:r w:rsidRPr="00E73F6F">
              <w:rPr>
                <w:lang w:val="de-DE"/>
              </w:rPr>
              <w:t>und Layouts für Grafiken, Berichte etc. angewandt werden, steht den Mitarbeitern eine gemeinsame</w:t>
            </w:r>
            <w:r w:rsidR="00C33A6A">
              <w:rPr>
                <w:lang w:val="de-DE"/>
              </w:rPr>
              <w:t xml:space="preserve"> </w:t>
            </w:r>
            <w:r w:rsidRPr="00E73F6F">
              <w:rPr>
                <w:lang w:val="de-DE"/>
              </w:rPr>
              <w:t>„Grammatik“</w:t>
            </w:r>
            <w:r w:rsidRPr="00E73F6F">
              <w:rPr>
                <w:spacing w:val="-7"/>
                <w:lang w:val="de-DE"/>
              </w:rPr>
              <w:t xml:space="preserve"> </w:t>
            </w:r>
            <w:r w:rsidRPr="00E73F6F">
              <w:rPr>
                <w:lang w:val="de-DE"/>
              </w:rPr>
              <w:t>zur</w:t>
            </w:r>
            <w:r w:rsidRPr="00E73F6F">
              <w:rPr>
                <w:spacing w:val="-6"/>
                <w:lang w:val="de-DE"/>
              </w:rPr>
              <w:t xml:space="preserve"> </w:t>
            </w:r>
            <w:r w:rsidRPr="00E73F6F">
              <w:rPr>
                <w:lang w:val="de-DE"/>
              </w:rPr>
              <w:t>Verfügung,</w:t>
            </w:r>
            <w:r w:rsidRPr="00E73F6F">
              <w:rPr>
                <w:spacing w:val="-7"/>
                <w:lang w:val="de-DE"/>
              </w:rPr>
              <w:t xml:space="preserve"> </w:t>
            </w:r>
            <w:r w:rsidRPr="00E73F6F">
              <w:rPr>
                <w:lang w:val="de-DE"/>
              </w:rPr>
              <w:t>die</w:t>
            </w:r>
            <w:r w:rsidRPr="00E73F6F">
              <w:rPr>
                <w:spacing w:val="-4"/>
                <w:lang w:val="de-DE"/>
              </w:rPr>
              <w:t xml:space="preserve"> </w:t>
            </w:r>
            <w:r w:rsidRPr="00E73F6F">
              <w:rPr>
                <w:lang w:val="de-DE"/>
              </w:rPr>
              <w:t>Verständigung</w:t>
            </w:r>
            <w:r w:rsidRPr="00E73F6F">
              <w:rPr>
                <w:spacing w:val="-6"/>
                <w:lang w:val="de-DE"/>
              </w:rPr>
              <w:t xml:space="preserve"> </w:t>
            </w:r>
            <w:r w:rsidRPr="00E73F6F">
              <w:rPr>
                <w:lang w:val="de-DE"/>
              </w:rPr>
              <w:t>zwar</w:t>
            </w:r>
            <w:r w:rsidRPr="00E73F6F">
              <w:rPr>
                <w:spacing w:val="-8"/>
                <w:lang w:val="de-DE"/>
              </w:rPr>
              <w:t xml:space="preserve"> </w:t>
            </w:r>
            <w:r w:rsidRPr="00E73F6F">
              <w:rPr>
                <w:lang w:val="de-DE"/>
              </w:rPr>
              <w:t>nicht</w:t>
            </w:r>
            <w:r w:rsidRPr="00E73F6F">
              <w:rPr>
                <w:spacing w:val="-6"/>
                <w:lang w:val="de-DE"/>
              </w:rPr>
              <w:t xml:space="preserve"> </w:t>
            </w:r>
            <w:r w:rsidRPr="00E73F6F">
              <w:rPr>
                <w:lang w:val="de-DE"/>
              </w:rPr>
              <w:t>garantiert,</w:t>
            </w:r>
            <w:r w:rsidRPr="00E73F6F">
              <w:rPr>
                <w:spacing w:val="-7"/>
                <w:lang w:val="de-DE"/>
              </w:rPr>
              <w:t xml:space="preserve"> </w:t>
            </w:r>
            <w:r w:rsidRPr="00E73F6F">
              <w:rPr>
                <w:lang w:val="de-DE"/>
              </w:rPr>
              <w:t>aber</w:t>
            </w:r>
            <w:r w:rsidRPr="00E73F6F">
              <w:rPr>
                <w:spacing w:val="-7"/>
                <w:lang w:val="de-DE"/>
              </w:rPr>
              <w:t xml:space="preserve"> </w:t>
            </w:r>
            <w:r w:rsidRPr="00E73F6F">
              <w:rPr>
                <w:spacing w:val="-2"/>
                <w:lang w:val="de-DE"/>
              </w:rPr>
              <w:t>erleichtert.</w:t>
            </w:r>
          </w:p>
        </w:tc>
      </w:tr>
    </w:tbl>
    <w:p w14:paraId="31CAFAFE" w14:textId="77777777" w:rsidR="00FF7799" w:rsidRPr="00E73F6F" w:rsidRDefault="00FF7799" w:rsidP="00862DBA">
      <w:pPr>
        <w:spacing w:before="10"/>
        <w:rPr>
          <w:sz w:val="24"/>
          <w:szCs w:val="24"/>
        </w:rPr>
      </w:pPr>
    </w:p>
    <w:p w14:paraId="530BBFC8" w14:textId="77777777" w:rsidR="00FF7799" w:rsidRPr="00E73F6F" w:rsidRDefault="00FF7799" w:rsidP="007C0767">
      <w:pPr>
        <w:pStyle w:val="StandardText"/>
      </w:pPr>
      <w:r w:rsidRPr="00E73F6F">
        <w:t>Nachdem Informationsbeschaffung und -auswertung vielfach erhebliche Schwierigkeiten bereiten, stellt sich unweigerlich die Frage „make or buy“? Wer sich für „buy“ entscheidet und spezialisierte Informationsbroker einschaltet, verlagert die Problematik letztlich jedoch nur auf eine andere Ebene. Nun sind überdies zahlreiche Interaktionen und Transaktionen mit Unternehmensexternen zu</w:t>
      </w:r>
      <w:r w:rsidRPr="00E73F6F">
        <w:rPr>
          <w:spacing w:val="-8"/>
        </w:rPr>
        <w:t xml:space="preserve"> </w:t>
      </w:r>
      <w:r w:rsidRPr="00E73F6F">
        <w:t>bewältigen,</w:t>
      </w:r>
      <w:r w:rsidRPr="00E73F6F">
        <w:rPr>
          <w:spacing w:val="-8"/>
        </w:rPr>
        <w:t xml:space="preserve"> </w:t>
      </w:r>
      <w:r w:rsidRPr="00E73F6F">
        <w:t>was</w:t>
      </w:r>
      <w:r w:rsidRPr="00E73F6F">
        <w:rPr>
          <w:spacing w:val="-9"/>
        </w:rPr>
        <w:t xml:space="preserve"> </w:t>
      </w:r>
      <w:r w:rsidRPr="00E73F6F">
        <w:t>wiederum</w:t>
      </w:r>
      <w:r w:rsidRPr="00E73F6F">
        <w:rPr>
          <w:spacing w:val="-10"/>
        </w:rPr>
        <w:t xml:space="preserve"> </w:t>
      </w:r>
      <w:r w:rsidRPr="00E73F6F">
        <w:t>zu</w:t>
      </w:r>
      <w:r w:rsidRPr="00E73F6F">
        <w:rPr>
          <w:spacing w:val="-8"/>
        </w:rPr>
        <w:t xml:space="preserve"> </w:t>
      </w:r>
      <w:r w:rsidRPr="00E73F6F">
        <w:t>einer</w:t>
      </w:r>
      <w:r w:rsidRPr="00E73F6F">
        <w:rPr>
          <w:spacing w:val="-9"/>
        </w:rPr>
        <w:t xml:space="preserve"> </w:t>
      </w:r>
      <w:r w:rsidRPr="00E73F6F">
        <w:t>grundsätzlichen</w:t>
      </w:r>
      <w:r w:rsidRPr="00E73F6F">
        <w:rPr>
          <w:spacing w:val="-8"/>
        </w:rPr>
        <w:t xml:space="preserve"> </w:t>
      </w:r>
      <w:r w:rsidRPr="00E73F6F">
        <w:t>Neuorientierung</w:t>
      </w:r>
      <w:r w:rsidRPr="00E73F6F">
        <w:rPr>
          <w:spacing w:val="-10"/>
        </w:rPr>
        <w:t xml:space="preserve"> </w:t>
      </w:r>
      <w:r w:rsidRPr="00E73F6F">
        <w:t>zwingt.</w:t>
      </w:r>
      <w:r w:rsidRPr="00E73F6F">
        <w:rPr>
          <w:spacing w:val="-8"/>
        </w:rPr>
        <w:t xml:space="preserve"> </w:t>
      </w:r>
      <w:r w:rsidRPr="00E73F6F">
        <w:t>In dem</w:t>
      </w:r>
      <w:r w:rsidRPr="00E73F6F">
        <w:rPr>
          <w:spacing w:val="-12"/>
        </w:rPr>
        <w:t xml:space="preserve"> </w:t>
      </w:r>
      <w:r w:rsidRPr="00E73F6F">
        <w:t>Maße,</w:t>
      </w:r>
      <w:r w:rsidRPr="00E73F6F">
        <w:rPr>
          <w:spacing w:val="-11"/>
        </w:rPr>
        <w:t xml:space="preserve"> </w:t>
      </w:r>
      <w:r w:rsidRPr="00E73F6F">
        <w:t>wie</w:t>
      </w:r>
      <w:r w:rsidRPr="00E73F6F">
        <w:rPr>
          <w:spacing w:val="-11"/>
        </w:rPr>
        <w:t xml:space="preserve"> </w:t>
      </w:r>
      <w:r w:rsidRPr="00E73F6F">
        <w:t>das</w:t>
      </w:r>
      <w:r w:rsidRPr="00E73F6F">
        <w:rPr>
          <w:spacing w:val="-11"/>
        </w:rPr>
        <w:t xml:space="preserve"> </w:t>
      </w:r>
      <w:r w:rsidRPr="00E73F6F">
        <w:t>Produkt</w:t>
      </w:r>
      <w:r w:rsidRPr="00E73F6F">
        <w:rPr>
          <w:spacing w:val="-12"/>
        </w:rPr>
        <w:t xml:space="preserve"> </w:t>
      </w:r>
      <w:r w:rsidRPr="00E73F6F">
        <w:t>und</w:t>
      </w:r>
      <w:r w:rsidRPr="00E73F6F">
        <w:rPr>
          <w:spacing w:val="-11"/>
        </w:rPr>
        <w:t xml:space="preserve"> </w:t>
      </w:r>
      <w:r w:rsidRPr="00E73F6F">
        <w:t>der</w:t>
      </w:r>
      <w:r w:rsidRPr="00E73F6F">
        <w:rPr>
          <w:spacing w:val="-11"/>
        </w:rPr>
        <w:t xml:space="preserve"> </w:t>
      </w:r>
      <w:r w:rsidRPr="00E73F6F">
        <w:t>originäre</w:t>
      </w:r>
      <w:r w:rsidRPr="00E73F6F">
        <w:rPr>
          <w:spacing w:val="-11"/>
        </w:rPr>
        <w:t xml:space="preserve"> </w:t>
      </w:r>
      <w:r w:rsidRPr="00E73F6F">
        <w:t>Leistungsprozess</w:t>
      </w:r>
      <w:r w:rsidRPr="00E73F6F">
        <w:rPr>
          <w:spacing w:val="-12"/>
        </w:rPr>
        <w:t xml:space="preserve"> </w:t>
      </w:r>
      <w:r w:rsidRPr="00E73F6F">
        <w:t>in</w:t>
      </w:r>
      <w:r w:rsidRPr="00E73F6F">
        <w:rPr>
          <w:spacing w:val="-11"/>
        </w:rPr>
        <w:t xml:space="preserve"> </w:t>
      </w:r>
      <w:r w:rsidRPr="00E73F6F">
        <w:t>den</w:t>
      </w:r>
      <w:r w:rsidRPr="00E73F6F">
        <w:rPr>
          <w:spacing w:val="-11"/>
        </w:rPr>
        <w:t xml:space="preserve"> </w:t>
      </w:r>
      <w:r w:rsidRPr="00E73F6F">
        <w:t>Hintergrund und Menschen, Interaktionen sowie die Organisation der Leistungskette in den Vordergrund treten, sind neuartige Zielsetzungen und Kompetenzen gefordert:</w:t>
      </w:r>
    </w:p>
    <w:p w14:paraId="04C94FE0" w14:textId="77777777" w:rsidR="00FF7799" w:rsidRPr="00E73F6F" w:rsidRDefault="00FF7799" w:rsidP="00BF2DBF">
      <w:pPr>
        <w:pStyle w:val="StandardTextAufzhlung"/>
        <w:ind w:left="426"/>
      </w:pPr>
      <w:r w:rsidRPr="00E73F6F">
        <w:t>Minimierung der Transaktionskosten, die sprunghaft ansteigen, wenn der Bedarf an Kommunikation zwischen der wachsenden Zahl an Interaktionspartnern wächst (z.B. Mitarbeiter im eigenen und in kooperierenden Unternehmen),</w:t>
      </w:r>
    </w:p>
    <w:p w14:paraId="3A09ED49" w14:textId="77777777" w:rsidR="00FF7799" w:rsidRPr="00E73F6F" w:rsidRDefault="00FF7799" w:rsidP="00BF2DBF">
      <w:pPr>
        <w:pStyle w:val="StandardTextAufzhlung"/>
        <w:ind w:left="426"/>
      </w:pPr>
      <w:r w:rsidRPr="00E73F6F">
        <w:t>Kompatibilität der Unternehmenskulturen der Kooperationspartner (vgl. Jaensch 1989, S.284),</w:t>
      </w:r>
    </w:p>
    <w:p w14:paraId="29E0EA1B" w14:textId="77777777" w:rsidR="00FF7799" w:rsidRPr="00E73F6F" w:rsidRDefault="00FF7799" w:rsidP="00BF2DBF">
      <w:pPr>
        <w:pStyle w:val="StandardTextAufzhlung"/>
        <w:ind w:left="426"/>
      </w:pPr>
      <w:r w:rsidRPr="00E73F6F">
        <w:lastRenderedPageBreak/>
        <w:t>interkulturelle</w:t>
      </w:r>
      <w:r w:rsidRPr="00E73F6F">
        <w:rPr>
          <w:spacing w:val="-3"/>
        </w:rPr>
        <w:t xml:space="preserve"> </w:t>
      </w:r>
      <w:r w:rsidRPr="00E73F6F">
        <w:t>Kompetenz</w:t>
      </w:r>
      <w:r w:rsidRPr="00E73F6F">
        <w:rPr>
          <w:spacing w:val="-2"/>
        </w:rPr>
        <w:t xml:space="preserve"> </w:t>
      </w:r>
      <w:r w:rsidR="00060755">
        <w:t>(</w:t>
      </w:r>
      <w:r w:rsidR="00060755">
        <w:sym w:font="Symbol" w:char="F0DE"/>
      </w:r>
      <w:r w:rsidR="00060755">
        <w:t xml:space="preserve"> Kompetenz, interkulturelle;</w:t>
      </w:r>
      <w:r w:rsidR="00060755" w:rsidRPr="00E73F6F">
        <w:t xml:space="preserve"> </w:t>
      </w:r>
      <w:r w:rsidRPr="00E73F6F">
        <w:t>vgl.</w:t>
      </w:r>
      <w:r w:rsidRPr="00E73F6F">
        <w:rPr>
          <w:spacing w:val="-3"/>
        </w:rPr>
        <w:t xml:space="preserve"> </w:t>
      </w:r>
      <w:r w:rsidRPr="00E73F6F">
        <w:t>Podsiadlowski</w:t>
      </w:r>
      <w:r w:rsidRPr="00E73F6F">
        <w:rPr>
          <w:spacing w:val="-3"/>
        </w:rPr>
        <w:t xml:space="preserve"> </w:t>
      </w:r>
      <w:r w:rsidRPr="00E73F6F">
        <w:rPr>
          <w:spacing w:val="-2"/>
        </w:rPr>
        <w:t>1996).</w:t>
      </w:r>
    </w:p>
    <w:p w14:paraId="3481C675" w14:textId="77777777" w:rsidR="00FF7799" w:rsidRPr="00E73F6F" w:rsidRDefault="00FF7799" w:rsidP="00862DBA">
      <w:pPr>
        <w:rPr>
          <w:sz w:val="24"/>
          <w:szCs w:val="24"/>
        </w:rPr>
      </w:pPr>
    </w:p>
    <w:p w14:paraId="71A73644" w14:textId="77777777" w:rsidR="00FF7799" w:rsidRPr="00926A05" w:rsidRDefault="00FF7799" w:rsidP="007C0767">
      <w:pPr>
        <w:pStyle w:val="StandardText"/>
        <w:rPr>
          <w:sz w:val="22"/>
          <w:szCs w:val="22"/>
        </w:rPr>
      </w:pPr>
      <w:r w:rsidRPr="00580F1D">
        <w:rPr>
          <w:b/>
          <w:i/>
          <w:sz w:val="22"/>
          <w:szCs w:val="22"/>
          <w:lang w:val="en-US"/>
        </w:rPr>
        <w:t>Literatur:</w:t>
      </w:r>
      <w:r w:rsidRPr="00580F1D">
        <w:rPr>
          <w:b/>
          <w:sz w:val="22"/>
          <w:szCs w:val="22"/>
          <w:lang w:val="en-US"/>
        </w:rPr>
        <w:t xml:space="preserve"> </w:t>
      </w:r>
      <w:r w:rsidRPr="00580F1D">
        <w:rPr>
          <w:sz w:val="22"/>
          <w:szCs w:val="22"/>
          <w:lang w:val="en-US"/>
        </w:rPr>
        <w:t>Albaum, G.; Peterson, R.A. (1984): Empirical Research in International</w:t>
      </w:r>
      <w:r w:rsidRPr="00580F1D">
        <w:rPr>
          <w:spacing w:val="40"/>
          <w:sz w:val="22"/>
          <w:szCs w:val="22"/>
          <w:lang w:val="en-US"/>
        </w:rPr>
        <w:t xml:space="preserve"> </w:t>
      </w:r>
      <w:r w:rsidRPr="00580F1D">
        <w:rPr>
          <w:sz w:val="22"/>
          <w:szCs w:val="22"/>
          <w:lang w:val="en-US"/>
        </w:rPr>
        <w:t>Marketing. 1976-1982, Journal of International Business Studies, 15(1): 161-173.</w:t>
      </w:r>
      <w:r w:rsidRPr="00580F1D">
        <w:rPr>
          <w:spacing w:val="40"/>
          <w:sz w:val="22"/>
          <w:szCs w:val="22"/>
          <w:lang w:val="en-US"/>
        </w:rPr>
        <w:t xml:space="preserve"> </w:t>
      </w:r>
      <w:r w:rsidRPr="00580F1D">
        <w:rPr>
          <w:sz w:val="22"/>
          <w:szCs w:val="22"/>
          <w:lang w:val="en-US"/>
        </w:rPr>
        <w:t>Al-</w:t>
      </w:r>
      <w:r w:rsidRPr="00580F1D">
        <w:rPr>
          <w:spacing w:val="40"/>
          <w:sz w:val="22"/>
          <w:szCs w:val="22"/>
          <w:lang w:val="en-US"/>
        </w:rPr>
        <w:t xml:space="preserve"> </w:t>
      </w:r>
      <w:r w:rsidRPr="00580F1D">
        <w:rPr>
          <w:sz w:val="22"/>
          <w:szCs w:val="22"/>
          <w:lang w:val="en-US"/>
        </w:rPr>
        <w:t>Makaty, S.S.; van Tübergen, G.N.; Withlow, S.S.; Boyd, D.A. (1996): Attitudes toward</w:t>
      </w:r>
      <w:r w:rsidRPr="00580F1D">
        <w:rPr>
          <w:spacing w:val="40"/>
          <w:sz w:val="22"/>
          <w:szCs w:val="22"/>
          <w:lang w:val="en-US"/>
        </w:rPr>
        <w:t xml:space="preserve"> </w:t>
      </w:r>
      <w:r w:rsidRPr="00580F1D">
        <w:rPr>
          <w:sz w:val="22"/>
          <w:szCs w:val="22"/>
          <w:lang w:val="en-US"/>
        </w:rPr>
        <w:t>Advertising</w:t>
      </w:r>
      <w:r w:rsidRPr="00580F1D">
        <w:rPr>
          <w:spacing w:val="-3"/>
          <w:sz w:val="22"/>
          <w:szCs w:val="22"/>
          <w:lang w:val="en-US"/>
        </w:rPr>
        <w:t xml:space="preserve"> </w:t>
      </w:r>
      <w:r w:rsidRPr="00580F1D">
        <w:rPr>
          <w:sz w:val="22"/>
          <w:szCs w:val="22"/>
          <w:lang w:val="en-US"/>
        </w:rPr>
        <w:t>in</w:t>
      </w:r>
      <w:r w:rsidRPr="00580F1D">
        <w:rPr>
          <w:spacing w:val="-1"/>
          <w:sz w:val="22"/>
          <w:szCs w:val="22"/>
          <w:lang w:val="en-US"/>
        </w:rPr>
        <w:t xml:space="preserve"> </w:t>
      </w:r>
      <w:r w:rsidRPr="00580F1D">
        <w:rPr>
          <w:sz w:val="22"/>
          <w:szCs w:val="22"/>
          <w:lang w:val="en-US"/>
        </w:rPr>
        <w:t>Islam, Journal</w:t>
      </w:r>
      <w:r w:rsidRPr="00580F1D">
        <w:rPr>
          <w:spacing w:val="-3"/>
          <w:sz w:val="22"/>
          <w:szCs w:val="22"/>
          <w:lang w:val="en-US"/>
        </w:rPr>
        <w:t xml:space="preserve"> </w:t>
      </w:r>
      <w:r w:rsidRPr="00580F1D">
        <w:rPr>
          <w:sz w:val="22"/>
          <w:szCs w:val="22"/>
          <w:lang w:val="en-US"/>
        </w:rPr>
        <w:t>of</w:t>
      </w:r>
      <w:r w:rsidRPr="00580F1D">
        <w:rPr>
          <w:spacing w:val="-3"/>
          <w:sz w:val="22"/>
          <w:szCs w:val="22"/>
          <w:lang w:val="en-US"/>
        </w:rPr>
        <w:t xml:space="preserve"> </w:t>
      </w:r>
      <w:r w:rsidRPr="00580F1D">
        <w:rPr>
          <w:sz w:val="22"/>
          <w:szCs w:val="22"/>
          <w:lang w:val="en-US"/>
        </w:rPr>
        <w:t>Advertising</w:t>
      </w:r>
      <w:r w:rsidRPr="00580F1D">
        <w:rPr>
          <w:spacing w:val="-1"/>
          <w:sz w:val="22"/>
          <w:szCs w:val="22"/>
          <w:lang w:val="en-US"/>
        </w:rPr>
        <w:t xml:space="preserve"> </w:t>
      </w:r>
      <w:r w:rsidRPr="00580F1D">
        <w:rPr>
          <w:sz w:val="22"/>
          <w:szCs w:val="22"/>
          <w:lang w:val="en-US"/>
        </w:rPr>
        <w:t>Research, 36(3):</w:t>
      </w:r>
      <w:r w:rsidRPr="00580F1D">
        <w:rPr>
          <w:spacing w:val="-3"/>
          <w:sz w:val="22"/>
          <w:szCs w:val="22"/>
          <w:lang w:val="en-US"/>
        </w:rPr>
        <w:t xml:space="preserve"> </w:t>
      </w:r>
      <w:r w:rsidRPr="00580F1D">
        <w:rPr>
          <w:sz w:val="22"/>
          <w:szCs w:val="22"/>
          <w:lang w:val="en-US"/>
        </w:rPr>
        <w:t>16-26.</w:t>
      </w:r>
      <w:r w:rsidRPr="00580F1D">
        <w:rPr>
          <w:spacing w:val="74"/>
          <w:sz w:val="22"/>
          <w:szCs w:val="22"/>
          <w:lang w:val="en-US"/>
        </w:rPr>
        <w:t xml:space="preserve"> </w:t>
      </w:r>
      <w:r w:rsidRPr="00580F1D">
        <w:rPr>
          <w:sz w:val="22"/>
          <w:szCs w:val="22"/>
          <w:lang w:val="en-US"/>
        </w:rPr>
        <w:t>Aulakh,</w:t>
      </w:r>
      <w:r w:rsidRPr="00580F1D">
        <w:rPr>
          <w:spacing w:val="-1"/>
          <w:sz w:val="22"/>
          <w:szCs w:val="22"/>
          <w:lang w:val="en-US"/>
        </w:rPr>
        <w:t xml:space="preserve"> </w:t>
      </w:r>
      <w:r w:rsidRPr="00580F1D">
        <w:rPr>
          <w:sz w:val="22"/>
          <w:szCs w:val="22"/>
          <w:lang w:val="en-US"/>
        </w:rPr>
        <w:t>P.S.;</w:t>
      </w:r>
      <w:r w:rsidRPr="00580F1D">
        <w:rPr>
          <w:spacing w:val="-3"/>
          <w:sz w:val="22"/>
          <w:szCs w:val="22"/>
          <w:lang w:val="en-US"/>
        </w:rPr>
        <w:t xml:space="preserve"> </w:t>
      </w:r>
      <w:r w:rsidR="00580F1D" w:rsidRPr="00580F1D">
        <w:rPr>
          <w:sz w:val="22"/>
          <w:szCs w:val="22"/>
          <w:lang w:val="en-US"/>
        </w:rPr>
        <w:t xml:space="preserve">Kotabe, </w:t>
      </w:r>
      <w:r w:rsidRPr="00580F1D">
        <w:rPr>
          <w:sz w:val="22"/>
          <w:szCs w:val="22"/>
          <w:lang w:val="en-US"/>
        </w:rPr>
        <w:t>M.</w:t>
      </w:r>
      <w:r w:rsidRPr="00580F1D">
        <w:rPr>
          <w:spacing w:val="-2"/>
          <w:sz w:val="22"/>
          <w:szCs w:val="22"/>
          <w:lang w:val="en-US"/>
        </w:rPr>
        <w:t xml:space="preserve"> </w:t>
      </w:r>
      <w:r w:rsidRPr="00580F1D">
        <w:rPr>
          <w:sz w:val="22"/>
          <w:szCs w:val="22"/>
          <w:lang w:val="en-US"/>
        </w:rPr>
        <w:t>(1993):</w:t>
      </w:r>
      <w:r w:rsidRPr="00580F1D">
        <w:rPr>
          <w:spacing w:val="-4"/>
          <w:sz w:val="22"/>
          <w:szCs w:val="22"/>
          <w:lang w:val="en-US"/>
        </w:rPr>
        <w:t xml:space="preserve"> </w:t>
      </w:r>
      <w:r w:rsidRPr="00580F1D">
        <w:rPr>
          <w:sz w:val="22"/>
          <w:szCs w:val="22"/>
          <w:lang w:val="en-US"/>
        </w:rPr>
        <w:t>An</w:t>
      </w:r>
      <w:r w:rsidRPr="00580F1D">
        <w:rPr>
          <w:spacing w:val="-4"/>
          <w:sz w:val="22"/>
          <w:szCs w:val="22"/>
          <w:lang w:val="en-US"/>
        </w:rPr>
        <w:t xml:space="preserve"> </w:t>
      </w:r>
      <w:r w:rsidRPr="00580F1D">
        <w:rPr>
          <w:sz w:val="22"/>
          <w:szCs w:val="22"/>
          <w:lang w:val="en-US"/>
        </w:rPr>
        <w:t>Assessment</w:t>
      </w:r>
      <w:r w:rsidRPr="00580F1D">
        <w:rPr>
          <w:spacing w:val="-7"/>
          <w:sz w:val="22"/>
          <w:szCs w:val="22"/>
          <w:lang w:val="en-US"/>
        </w:rPr>
        <w:t xml:space="preserve"> </w:t>
      </w:r>
      <w:r w:rsidRPr="00580F1D">
        <w:rPr>
          <w:sz w:val="22"/>
          <w:szCs w:val="22"/>
          <w:lang w:val="en-US"/>
        </w:rPr>
        <w:t>of</w:t>
      </w:r>
      <w:r w:rsidRPr="00580F1D">
        <w:rPr>
          <w:spacing w:val="-4"/>
          <w:sz w:val="22"/>
          <w:szCs w:val="22"/>
          <w:lang w:val="en-US"/>
        </w:rPr>
        <w:t xml:space="preserve"> </w:t>
      </w:r>
      <w:r w:rsidRPr="00580F1D">
        <w:rPr>
          <w:sz w:val="22"/>
          <w:szCs w:val="22"/>
          <w:lang w:val="en-US"/>
        </w:rPr>
        <w:t>Theoretical</w:t>
      </w:r>
      <w:r w:rsidRPr="00580F1D">
        <w:rPr>
          <w:spacing w:val="-4"/>
          <w:sz w:val="22"/>
          <w:szCs w:val="22"/>
          <w:lang w:val="en-US"/>
        </w:rPr>
        <w:t xml:space="preserve"> </w:t>
      </w:r>
      <w:r w:rsidRPr="00580F1D">
        <w:rPr>
          <w:sz w:val="22"/>
          <w:szCs w:val="22"/>
          <w:lang w:val="en-US"/>
        </w:rPr>
        <w:t>and</w:t>
      </w:r>
      <w:r w:rsidRPr="00580F1D">
        <w:rPr>
          <w:spacing w:val="-6"/>
          <w:sz w:val="22"/>
          <w:szCs w:val="22"/>
          <w:lang w:val="en-US"/>
        </w:rPr>
        <w:t xml:space="preserve"> </w:t>
      </w:r>
      <w:r w:rsidRPr="00580F1D">
        <w:rPr>
          <w:sz w:val="22"/>
          <w:szCs w:val="22"/>
          <w:lang w:val="en-US"/>
        </w:rPr>
        <w:t>Methodological</w:t>
      </w:r>
      <w:r w:rsidRPr="00580F1D">
        <w:rPr>
          <w:spacing w:val="-2"/>
          <w:sz w:val="22"/>
          <w:szCs w:val="22"/>
          <w:lang w:val="en-US"/>
        </w:rPr>
        <w:t xml:space="preserve"> </w:t>
      </w:r>
      <w:r w:rsidRPr="00580F1D">
        <w:rPr>
          <w:sz w:val="22"/>
          <w:szCs w:val="22"/>
          <w:lang w:val="en-US"/>
        </w:rPr>
        <w:t>Development</w:t>
      </w:r>
      <w:r w:rsidRPr="00580F1D">
        <w:rPr>
          <w:spacing w:val="-4"/>
          <w:sz w:val="22"/>
          <w:szCs w:val="22"/>
          <w:lang w:val="en-US"/>
        </w:rPr>
        <w:t xml:space="preserve"> </w:t>
      </w:r>
      <w:r w:rsidRPr="00580F1D">
        <w:rPr>
          <w:sz w:val="22"/>
          <w:szCs w:val="22"/>
          <w:lang w:val="en-US"/>
        </w:rPr>
        <w:t>in</w:t>
      </w:r>
      <w:r w:rsidRPr="00580F1D">
        <w:rPr>
          <w:spacing w:val="-2"/>
          <w:sz w:val="22"/>
          <w:szCs w:val="22"/>
          <w:lang w:val="en-US"/>
        </w:rPr>
        <w:t xml:space="preserve"> </w:t>
      </w:r>
      <w:r w:rsidRPr="00580F1D">
        <w:rPr>
          <w:sz w:val="22"/>
          <w:szCs w:val="22"/>
          <w:lang w:val="en-US"/>
        </w:rPr>
        <w:t>International</w:t>
      </w:r>
      <w:r w:rsidRPr="00580F1D">
        <w:rPr>
          <w:spacing w:val="40"/>
          <w:sz w:val="22"/>
          <w:szCs w:val="22"/>
          <w:lang w:val="en-US"/>
        </w:rPr>
        <w:t xml:space="preserve"> </w:t>
      </w:r>
      <w:r w:rsidRPr="00580F1D">
        <w:rPr>
          <w:sz w:val="22"/>
          <w:szCs w:val="22"/>
          <w:lang w:val="en-US"/>
        </w:rPr>
        <w:t>Marketing. 1980-1990, Journal of International Marketing, 1(2): 5-28.</w:t>
      </w:r>
      <w:r w:rsidRPr="00580F1D">
        <w:rPr>
          <w:spacing w:val="40"/>
          <w:sz w:val="22"/>
          <w:szCs w:val="22"/>
          <w:lang w:val="en-US"/>
        </w:rPr>
        <w:t xml:space="preserve"> </w:t>
      </w:r>
      <w:r w:rsidRPr="00580F1D">
        <w:rPr>
          <w:sz w:val="22"/>
          <w:szCs w:val="22"/>
          <w:lang w:val="en-US"/>
        </w:rPr>
        <w:t>Bartels, R. (1971):</w:t>
      </w:r>
      <w:r w:rsidRPr="00580F1D">
        <w:rPr>
          <w:spacing w:val="40"/>
          <w:sz w:val="22"/>
          <w:szCs w:val="22"/>
          <w:lang w:val="en-US"/>
        </w:rPr>
        <w:t xml:space="preserve"> </w:t>
      </w:r>
      <w:r w:rsidRPr="00580F1D">
        <w:rPr>
          <w:sz w:val="22"/>
          <w:szCs w:val="22"/>
          <w:lang w:val="en-US"/>
        </w:rPr>
        <w:t>Marketing Theory and Metatheory, 2nd Ed., Homewood/IL: Irwin.</w:t>
      </w:r>
      <w:r w:rsidRPr="00580F1D">
        <w:rPr>
          <w:spacing w:val="40"/>
          <w:sz w:val="22"/>
          <w:szCs w:val="22"/>
          <w:lang w:val="en-US"/>
        </w:rPr>
        <w:t xml:space="preserve"> </w:t>
      </w:r>
      <w:r w:rsidRPr="00580F1D">
        <w:rPr>
          <w:sz w:val="22"/>
          <w:szCs w:val="22"/>
        </w:rPr>
        <w:t>Bauer, E. (2009):</w:t>
      </w:r>
      <w:r w:rsidRPr="00580F1D">
        <w:rPr>
          <w:spacing w:val="40"/>
          <w:sz w:val="22"/>
          <w:szCs w:val="22"/>
        </w:rPr>
        <w:t xml:space="preserve"> </w:t>
      </w:r>
      <w:r w:rsidRPr="00580F1D">
        <w:rPr>
          <w:sz w:val="22"/>
          <w:szCs w:val="22"/>
        </w:rPr>
        <w:t>Internationale</w:t>
      </w:r>
      <w:r w:rsidRPr="00580F1D">
        <w:rPr>
          <w:spacing w:val="28"/>
          <w:sz w:val="22"/>
          <w:szCs w:val="22"/>
        </w:rPr>
        <w:t xml:space="preserve"> </w:t>
      </w:r>
      <w:r w:rsidRPr="00580F1D">
        <w:rPr>
          <w:sz w:val="22"/>
          <w:szCs w:val="22"/>
        </w:rPr>
        <w:t>Marketingforschung,</w:t>
      </w:r>
      <w:r w:rsidRPr="00580F1D">
        <w:rPr>
          <w:spacing w:val="28"/>
          <w:sz w:val="22"/>
          <w:szCs w:val="22"/>
        </w:rPr>
        <w:t xml:space="preserve"> </w:t>
      </w:r>
      <w:r w:rsidRPr="00580F1D">
        <w:rPr>
          <w:sz w:val="22"/>
          <w:szCs w:val="22"/>
        </w:rPr>
        <w:t>4.Aufl.,</w:t>
      </w:r>
      <w:r w:rsidRPr="00580F1D">
        <w:rPr>
          <w:spacing w:val="28"/>
          <w:sz w:val="22"/>
          <w:szCs w:val="22"/>
        </w:rPr>
        <w:t xml:space="preserve"> </w:t>
      </w:r>
      <w:r w:rsidRPr="00580F1D">
        <w:rPr>
          <w:sz w:val="22"/>
          <w:szCs w:val="22"/>
        </w:rPr>
        <w:t>München:</w:t>
      </w:r>
      <w:r w:rsidRPr="00580F1D">
        <w:rPr>
          <w:spacing w:val="31"/>
          <w:sz w:val="22"/>
          <w:szCs w:val="22"/>
        </w:rPr>
        <w:t xml:space="preserve"> </w:t>
      </w:r>
      <w:r w:rsidRPr="00580F1D">
        <w:rPr>
          <w:sz w:val="22"/>
          <w:szCs w:val="22"/>
        </w:rPr>
        <w:t>Oldenbourg.</w:t>
      </w:r>
      <w:r w:rsidRPr="00580F1D">
        <w:rPr>
          <w:spacing w:val="32"/>
          <w:sz w:val="22"/>
          <w:szCs w:val="22"/>
        </w:rPr>
        <w:t xml:space="preserve"> </w:t>
      </w:r>
      <w:r w:rsidRPr="00580F1D">
        <w:rPr>
          <w:sz w:val="22"/>
          <w:szCs w:val="22"/>
        </w:rPr>
        <w:t>Gaugler;</w:t>
      </w:r>
      <w:r w:rsidRPr="00580F1D">
        <w:rPr>
          <w:spacing w:val="29"/>
          <w:sz w:val="22"/>
          <w:szCs w:val="22"/>
        </w:rPr>
        <w:t xml:space="preserve"> </w:t>
      </w:r>
      <w:r w:rsidRPr="00580F1D">
        <w:rPr>
          <w:sz w:val="22"/>
          <w:szCs w:val="22"/>
        </w:rPr>
        <w:t>E.</w:t>
      </w:r>
      <w:r w:rsidRPr="00580F1D">
        <w:rPr>
          <w:spacing w:val="32"/>
          <w:sz w:val="22"/>
          <w:szCs w:val="22"/>
        </w:rPr>
        <w:t xml:space="preserve"> </w:t>
      </w:r>
      <w:r w:rsidRPr="00580F1D">
        <w:rPr>
          <w:sz w:val="22"/>
          <w:szCs w:val="22"/>
        </w:rPr>
        <w:t>(1998):</w:t>
      </w:r>
      <w:r w:rsidR="00C33A6A" w:rsidRPr="00580F1D">
        <w:rPr>
          <w:sz w:val="22"/>
          <w:szCs w:val="22"/>
        </w:rPr>
        <w:t xml:space="preserve"> </w:t>
      </w:r>
      <w:r w:rsidRPr="00580F1D">
        <w:rPr>
          <w:sz w:val="22"/>
          <w:szCs w:val="22"/>
        </w:rPr>
        <w:t>Hundert</w:t>
      </w:r>
      <w:r w:rsidRPr="00580F1D">
        <w:rPr>
          <w:spacing w:val="-10"/>
          <w:sz w:val="22"/>
          <w:szCs w:val="22"/>
        </w:rPr>
        <w:t xml:space="preserve"> </w:t>
      </w:r>
      <w:r w:rsidRPr="00580F1D">
        <w:rPr>
          <w:sz w:val="22"/>
          <w:szCs w:val="22"/>
        </w:rPr>
        <w:t>Jahre</w:t>
      </w:r>
      <w:r w:rsidRPr="00580F1D">
        <w:rPr>
          <w:spacing w:val="-10"/>
          <w:sz w:val="22"/>
          <w:szCs w:val="22"/>
        </w:rPr>
        <w:t xml:space="preserve"> </w:t>
      </w:r>
      <w:r w:rsidRPr="00580F1D">
        <w:rPr>
          <w:sz w:val="22"/>
          <w:szCs w:val="22"/>
        </w:rPr>
        <w:t>Betriebswirtschaftslehre,</w:t>
      </w:r>
      <w:r w:rsidRPr="00580F1D">
        <w:rPr>
          <w:spacing w:val="-9"/>
          <w:sz w:val="22"/>
          <w:szCs w:val="22"/>
        </w:rPr>
        <w:t xml:space="preserve"> </w:t>
      </w:r>
      <w:r w:rsidRPr="00580F1D">
        <w:rPr>
          <w:sz w:val="22"/>
          <w:szCs w:val="22"/>
        </w:rPr>
        <w:t>FBS-Schriftenreihe</w:t>
      </w:r>
      <w:r w:rsidRPr="00580F1D">
        <w:rPr>
          <w:spacing w:val="-9"/>
          <w:sz w:val="22"/>
          <w:szCs w:val="22"/>
        </w:rPr>
        <w:t xml:space="preserve"> </w:t>
      </w:r>
      <w:r w:rsidRPr="00580F1D">
        <w:rPr>
          <w:sz w:val="22"/>
          <w:szCs w:val="22"/>
        </w:rPr>
        <w:t>53,</w:t>
      </w:r>
      <w:r w:rsidRPr="00580F1D">
        <w:rPr>
          <w:spacing w:val="-10"/>
          <w:sz w:val="22"/>
          <w:szCs w:val="22"/>
        </w:rPr>
        <w:t xml:space="preserve"> </w:t>
      </w:r>
      <w:r w:rsidRPr="00580F1D">
        <w:rPr>
          <w:sz w:val="22"/>
          <w:szCs w:val="22"/>
        </w:rPr>
        <w:t>Mannheim</w:t>
      </w:r>
      <w:r w:rsidRPr="00580F1D">
        <w:rPr>
          <w:spacing w:val="-10"/>
          <w:sz w:val="22"/>
          <w:szCs w:val="22"/>
        </w:rPr>
        <w:t xml:space="preserve"> </w:t>
      </w:r>
      <w:r w:rsidRPr="00580F1D">
        <w:rPr>
          <w:sz w:val="22"/>
          <w:szCs w:val="22"/>
        </w:rPr>
        <w:t>1998.</w:t>
      </w:r>
      <w:r w:rsidRPr="00580F1D">
        <w:rPr>
          <w:spacing w:val="58"/>
          <w:sz w:val="22"/>
          <w:szCs w:val="22"/>
        </w:rPr>
        <w:t xml:space="preserve"> </w:t>
      </w:r>
      <w:r w:rsidRPr="00580F1D">
        <w:rPr>
          <w:spacing w:val="-2"/>
          <w:sz w:val="22"/>
          <w:szCs w:val="22"/>
        </w:rPr>
        <w:t>Hammer,</w:t>
      </w:r>
      <w:r w:rsidR="00C33A6A" w:rsidRPr="00580F1D">
        <w:rPr>
          <w:spacing w:val="-2"/>
          <w:sz w:val="22"/>
          <w:szCs w:val="22"/>
        </w:rPr>
        <w:t xml:space="preserve"> </w:t>
      </w:r>
      <w:r w:rsidRPr="00580F1D">
        <w:rPr>
          <w:sz w:val="22"/>
          <w:szCs w:val="22"/>
        </w:rPr>
        <w:t>R.M. (1993): Strategische Planung in Familienunternehmungen, in: Hammer, R.M. (Hrsg.),</w:t>
      </w:r>
      <w:r w:rsidRPr="00580F1D">
        <w:rPr>
          <w:spacing w:val="40"/>
          <w:sz w:val="22"/>
          <w:szCs w:val="22"/>
        </w:rPr>
        <w:t xml:space="preserve"> </w:t>
      </w:r>
      <w:r w:rsidRPr="00580F1D">
        <w:rPr>
          <w:sz w:val="22"/>
          <w:szCs w:val="22"/>
        </w:rPr>
        <w:t>Strategisches Management global, 257-268, Wiesbaden: Gabler.</w:t>
      </w:r>
      <w:r w:rsidRPr="00580F1D">
        <w:rPr>
          <w:spacing w:val="40"/>
          <w:sz w:val="22"/>
          <w:szCs w:val="22"/>
        </w:rPr>
        <w:t xml:space="preserve"> </w:t>
      </w:r>
      <w:r w:rsidRPr="00580F1D">
        <w:rPr>
          <w:sz w:val="22"/>
          <w:szCs w:val="22"/>
        </w:rPr>
        <w:t>Hermanns, A. (1995):</w:t>
      </w:r>
      <w:r w:rsidRPr="00580F1D">
        <w:rPr>
          <w:spacing w:val="40"/>
          <w:sz w:val="22"/>
          <w:szCs w:val="22"/>
        </w:rPr>
        <w:t xml:space="preserve"> </w:t>
      </w:r>
      <w:r w:rsidRPr="00580F1D">
        <w:rPr>
          <w:sz w:val="22"/>
          <w:szCs w:val="22"/>
        </w:rPr>
        <w:t>Aufgaben des internationalen Marketing-Managements, in Hermanns A.; Wißmeier U.K.</w:t>
      </w:r>
      <w:r w:rsidRPr="00580F1D">
        <w:rPr>
          <w:spacing w:val="40"/>
          <w:sz w:val="22"/>
          <w:szCs w:val="22"/>
        </w:rPr>
        <w:t xml:space="preserve"> </w:t>
      </w:r>
      <w:r w:rsidRPr="00580F1D">
        <w:rPr>
          <w:sz w:val="22"/>
          <w:szCs w:val="22"/>
        </w:rPr>
        <w:t>(Hrsg.),</w:t>
      </w:r>
      <w:r w:rsidRPr="00580F1D">
        <w:rPr>
          <w:spacing w:val="-10"/>
          <w:sz w:val="22"/>
          <w:szCs w:val="22"/>
        </w:rPr>
        <w:t xml:space="preserve"> </w:t>
      </w:r>
      <w:r w:rsidRPr="00580F1D">
        <w:rPr>
          <w:sz w:val="22"/>
          <w:szCs w:val="22"/>
        </w:rPr>
        <w:t>Internationales</w:t>
      </w:r>
      <w:r w:rsidRPr="00580F1D">
        <w:rPr>
          <w:spacing w:val="-10"/>
          <w:sz w:val="22"/>
          <w:szCs w:val="22"/>
        </w:rPr>
        <w:t xml:space="preserve"> </w:t>
      </w:r>
      <w:r w:rsidRPr="00580F1D">
        <w:rPr>
          <w:sz w:val="22"/>
          <w:szCs w:val="22"/>
        </w:rPr>
        <w:t>Marketing-Management,</w:t>
      </w:r>
      <w:r w:rsidRPr="00580F1D">
        <w:rPr>
          <w:spacing w:val="-10"/>
          <w:sz w:val="22"/>
          <w:szCs w:val="22"/>
        </w:rPr>
        <w:t xml:space="preserve"> </w:t>
      </w:r>
      <w:r w:rsidRPr="00580F1D">
        <w:rPr>
          <w:sz w:val="22"/>
          <w:szCs w:val="22"/>
        </w:rPr>
        <w:t>München</w:t>
      </w:r>
      <w:r w:rsidRPr="00580F1D">
        <w:rPr>
          <w:spacing w:val="-10"/>
          <w:sz w:val="22"/>
          <w:szCs w:val="22"/>
        </w:rPr>
        <w:t xml:space="preserve"> </w:t>
      </w:r>
      <w:r w:rsidRPr="00580F1D">
        <w:rPr>
          <w:sz w:val="22"/>
          <w:szCs w:val="22"/>
        </w:rPr>
        <w:t>1995:</w:t>
      </w:r>
      <w:r w:rsidRPr="00580F1D">
        <w:rPr>
          <w:spacing w:val="-10"/>
          <w:sz w:val="22"/>
          <w:szCs w:val="22"/>
        </w:rPr>
        <w:t xml:space="preserve"> </w:t>
      </w:r>
      <w:r w:rsidRPr="00580F1D">
        <w:rPr>
          <w:sz w:val="22"/>
          <w:szCs w:val="22"/>
        </w:rPr>
        <w:t>23-68.</w:t>
      </w:r>
      <w:r w:rsidRPr="00580F1D">
        <w:rPr>
          <w:spacing w:val="11"/>
          <w:sz w:val="22"/>
          <w:szCs w:val="22"/>
        </w:rPr>
        <w:t xml:space="preserve"> </w:t>
      </w:r>
      <w:r w:rsidRPr="00580F1D">
        <w:rPr>
          <w:sz w:val="22"/>
          <w:szCs w:val="22"/>
        </w:rPr>
        <w:t>Jaensch,</w:t>
      </w:r>
      <w:r w:rsidRPr="00580F1D">
        <w:rPr>
          <w:spacing w:val="-10"/>
          <w:sz w:val="22"/>
          <w:szCs w:val="22"/>
        </w:rPr>
        <w:t xml:space="preserve"> </w:t>
      </w:r>
      <w:r w:rsidRPr="00580F1D">
        <w:rPr>
          <w:sz w:val="22"/>
          <w:szCs w:val="22"/>
        </w:rPr>
        <w:t>G.</w:t>
      </w:r>
      <w:r w:rsidRPr="00580F1D">
        <w:rPr>
          <w:spacing w:val="-9"/>
          <w:sz w:val="22"/>
          <w:szCs w:val="22"/>
        </w:rPr>
        <w:t xml:space="preserve"> </w:t>
      </w:r>
      <w:r w:rsidRPr="00580F1D">
        <w:rPr>
          <w:sz w:val="22"/>
          <w:szCs w:val="22"/>
        </w:rPr>
        <w:t>(1989):</w:t>
      </w:r>
      <w:r w:rsidRPr="00580F1D">
        <w:rPr>
          <w:spacing w:val="40"/>
          <w:sz w:val="22"/>
          <w:szCs w:val="22"/>
        </w:rPr>
        <w:t xml:space="preserve"> </w:t>
      </w:r>
      <w:r w:rsidRPr="00580F1D">
        <w:rPr>
          <w:sz w:val="22"/>
          <w:szCs w:val="22"/>
        </w:rPr>
        <w:t>Unternehmensführung in den USA aus deutscher Sicht, Die Betriebswirtschaft, 49(3): 275-286.</w:t>
      </w:r>
      <w:r w:rsidRPr="00580F1D">
        <w:rPr>
          <w:spacing w:val="40"/>
          <w:sz w:val="22"/>
          <w:szCs w:val="22"/>
        </w:rPr>
        <w:t xml:space="preserve"> </w:t>
      </w:r>
      <w:r w:rsidRPr="00580F1D">
        <w:rPr>
          <w:sz w:val="22"/>
          <w:szCs w:val="22"/>
        </w:rPr>
        <w:t>Koch, E. (1998): Internationale Wirtschaftsbeziehungen, 2.Aufl., München: Vahlen.</w:t>
      </w:r>
      <w:r w:rsidRPr="00580F1D">
        <w:rPr>
          <w:spacing w:val="40"/>
          <w:sz w:val="22"/>
          <w:szCs w:val="22"/>
        </w:rPr>
        <w:t xml:space="preserve"> </w:t>
      </w:r>
      <w:r w:rsidRPr="00580F1D">
        <w:rPr>
          <w:sz w:val="22"/>
          <w:szCs w:val="22"/>
        </w:rPr>
        <w:t>Kotler, P. (1972): Marketing Management, 2nd Ed., Englewood Cliffs/NJ: Prentice-Hall.</w:t>
      </w:r>
      <w:r w:rsidRPr="00580F1D">
        <w:rPr>
          <w:spacing w:val="40"/>
          <w:sz w:val="22"/>
          <w:szCs w:val="22"/>
        </w:rPr>
        <w:t xml:space="preserve"> </w:t>
      </w:r>
      <w:r w:rsidRPr="00580F1D">
        <w:rPr>
          <w:sz w:val="22"/>
          <w:szCs w:val="22"/>
          <w:lang w:val="en-US"/>
        </w:rPr>
        <w:t>Kutschker, M.; Schmid, S. (2011): Internationales Management, 7.</w:t>
      </w:r>
      <w:r w:rsidR="00580F1D">
        <w:rPr>
          <w:sz w:val="22"/>
          <w:szCs w:val="22"/>
          <w:lang w:val="en-US"/>
        </w:rPr>
        <w:t xml:space="preserve"> A</w:t>
      </w:r>
      <w:r w:rsidRPr="00580F1D">
        <w:rPr>
          <w:sz w:val="22"/>
          <w:szCs w:val="22"/>
          <w:lang w:val="en-US"/>
        </w:rPr>
        <w:t>ufl., München:</w:t>
      </w:r>
      <w:r w:rsidRPr="00580F1D">
        <w:rPr>
          <w:spacing w:val="40"/>
          <w:sz w:val="22"/>
          <w:szCs w:val="22"/>
          <w:lang w:val="en-US"/>
        </w:rPr>
        <w:t xml:space="preserve"> </w:t>
      </w:r>
      <w:r w:rsidRPr="00580F1D">
        <w:rPr>
          <w:sz w:val="22"/>
          <w:szCs w:val="22"/>
          <w:lang w:val="en-US"/>
        </w:rPr>
        <w:t>Oldenbourg.</w:t>
      </w:r>
      <w:r w:rsidRPr="00580F1D">
        <w:rPr>
          <w:spacing w:val="40"/>
          <w:sz w:val="22"/>
          <w:szCs w:val="22"/>
          <w:lang w:val="en-US"/>
        </w:rPr>
        <w:t xml:space="preserve"> </w:t>
      </w:r>
      <w:r w:rsidRPr="00580F1D">
        <w:rPr>
          <w:sz w:val="22"/>
          <w:szCs w:val="22"/>
          <w:lang w:val="en-US"/>
        </w:rPr>
        <w:t>Li, T.; Cavusgil, S.T. (1995): A Classification and Assessment of Research</w:t>
      </w:r>
      <w:r w:rsidRPr="00580F1D">
        <w:rPr>
          <w:spacing w:val="40"/>
          <w:sz w:val="22"/>
          <w:szCs w:val="22"/>
          <w:lang w:val="en-US"/>
        </w:rPr>
        <w:t xml:space="preserve"> </w:t>
      </w:r>
      <w:r w:rsidRPr="00580F1D">
        <w:rPr>
          <w:sz w:val="22"/>
          <w:szCs w:val="22"/>
          <w:lang w:val="en-US"/>
        </w:rPr>
        <w:t>Streams in International Marketing, International Business Review, 4(3): 251-277.</w:t>
      </w:r>
      <w:r w:rsidRPr="00580F1D">
        <w:rPr>
          <w:spacing w:val="40"/>
          <w:sz w:val="22"/>
          <w:szCs w:val="22"/>
          <w:lang w:val="en-US"/>
        </w:rPr>
        <w:t xml:space="preserve"> </w:t>
      </w:r>
      <w:r w:rsidRPr="00580F1D">
        <w:rPr>
          <w:sz w:val="22"/>
          <w:szCs w:val="22"/>
        </w:rPr>
        <w:t>Macharzina, K. (1989): Internationale Betriebswirtschaftslehre, in: Macharzina, K.; Welge, M.K.</w:t>
      </w:r>
      <w:r w:rsidRPr="00580F1D">
        <w:rPr>
          <w:spacing w:val="-10"/>
          <w:sz w:val="22"/>
          <w:szCs w:val="22"/>
        </w:rPr>
        <w:t xml:space="preserve"> </w:t>
      </w:r>
      <w:r w:rsidRPr="00580F1D">
        <w:rPr>
          <w:sz w:val="22"/>
          <w:szCs w:val="22"/>
        </w:rPr>
        <w:t>(Hrsg.),</w:t>
      </w:r>
      <w:r w:rsidRPr="00580F1D">
        <w:rPr>
          <w:spacing w:val="-10"/>
          <w:sz w:val="22"/>
          <w:szCs w:val="22"/>
        </w:rPr>
        <w:t xml:space="preserve"> </w:t>
      </w:r>
      <w:r w:rsidRPr="00580F1D">
        <w:rPr>
          <w:sz w:val="22"/>
          <w:szCs w:val="22"/>
        </w:rPr>
        <w:t>Handwörterbuch</w:t>
      </w:r>
      <w:r w:rsidRPr="00580F1D">
        <w:rPr>
          <w:spacing w:val="-10"/>
          <w:sz w:val="22"/>
          <w:szCs w:val="22"/>
        </w:rPr>
        <w:t xml:space="preserve"> </w:t>
      </w:r>
      <w:r w:rsidRPr="00580F1D">
        <w:rPr>
          <w:sz w:val="22"/>
          <w:szCs w:val="22"/>
        </w:rPr>
        <w:t>Export</w:t>
      </w:r>
      <w:r w:rsidRPr="00580F1D">
        <w:rPr>
          <w:spacing w:val="-10"/>
          <w:sz w:val="22"/>
          <w:szCs w:val="22"/>
        </w:rPr>
        <w:t xml:space="preserve"> </w:t>
      </w:r>
      <w:r w:rsidRPr="00580F1D">
        <w:rPr>
          <w:sz w:val="22"/>
          <w:szCs w:val="22"/>
        </w:rPr>
        <w:t>und</w:t>
      </w:r>
      <w:r w:rsidRPr="00580F1D">
        <w:rPr>
          <w:spacing w:val="-10"/>
          <w:sz w:val="22"/>
          <w:szCs w:val="22"/>
        </w:rPr>
        <w:t xml:space="preserve"> </w:t>
      </w:r>
      <w:r w:rsidRPr="00580F1D">
        <w:rPr>
          <w:sz w:val="22"/>
          <w:szCs w:val="22"/>
        </w:rPr>
        <w:t>Internationale</w:t>
      </w:r>
      <w:r w:rsidRPr="00580F1D">
        <w:rPr>
          <w:spacing w:val="-10"/>
          <w:sz w:val="22"/>
          <w:szCs w:val="22"/>
        </w:rPr>
        <w:t xml:space="preserve"> </w:t>
      </w:r>
      <w:r w:rsidRPr="00580F1D">
        <w:rPr>
          <w:sz w:val="22"/>
          <w:szCs w:val="22"/>
        </w:rPr>
        <w:t>Unternehmung,</w:t>
      </w:r>
      <w:r w:rsidRPr="00580F1D">
        <w:rPr>
          <w:spacing w:val="-10"/>
          <w:sz w:val="22"/>
          <w:szCs w:val="22"/>
        </w:rPr>
        <w:t xml:space="preserve"> </w:t>
      </w:r>
      <w:r w:rsidRPr="00580F1D">
        <w:rPr>
          <w:sz w:val="22"/>
          <w:szCs w:val="22"/>
        </w:rPr>
        <w:t>903-914,</w:t>
      </w:r>
      <w:r w:rsidRPr="00580F1D">
        <w:rPr>
          <w:spacing w:val="-10"/>
          <w:sz w:val="22"/>
          <w:szCs w:val="22"/>
        </w:rPr>
        <w:t xml:space="preserve"> </w:t>
      </w:r>
      <w:r w:rsidRPr="00580F1D">
        <w:rPr>
          <w:sz w:val="22"/>
          <w:szCs w:val="22"/>
        </w:rPr>
        <w:t>Stuttgart:</w:t>
      </w:r>
      <w:r w:rsidRPr="00580F1D">
        <w:rPr>
          <w:spacing w:val="40"/>
          <w:sz w:val="22"/>
          <w:szCs w:val="22"/>
        </w:rPr>
        <w:t xml:space="preserve"> </w:t>
      </w:r>
      <w:r w:rsidRPr="00580F1D">
        <w:rPr>
          <w:sz w:val="22"/>
          <w:szCs w:val="22"/>
        </w:rPr>
        <w:t>Schäffer-Poeschel.</w:t>
      </w:r>
      <w:r w:rsidRPr="00580F1D">
        <w:rPr>
          <w:spacing w:val="80"/>
          <w:sz w:val="22"/>
          <w:szCs w:val="22"/>
        </w:rPr>
        <w:t xml:space="preserve"> </w:t>
      </w:r>
      <w:r w:rsidRPr="00580F1D">
        <w:rPr>
          <w:sz w:val="22"/>
          <w:szCs w:val="22"/>
          <w:lang w:val="en-US"/>
        </w:rPr>
        <w:t>Macharzina, K.;</w:t>
      </w:r>
      <w:r w:rsidRPr="00580F1D">
        <w:rPr>
          <w:spacing w:val="-1"/>
          <w:sz w:val="22"/>
          <w:szCs w:val="22"/>
          <w:lang w:val="en-US"/>
        </w:rPr>
        <w:t xml:space="preserve"> </w:t>
      </w:r>
      <w:r w:rsidRPr="00580F1D">
        <w:rPr>
          <w:sz w:val="22"/>
          <w:szCs w:val="22"/>
          <w:lang w:val="en-US"/>
        </w:rPr>
        <w:t>Engelhard, J. (1991): Paradigm</w:t>
      </w:r>
      <w:r w:rsidRPr="00580F1D">
        <w:rPr>
          <w:spacing w:val="-1"/>
          <w:sz w:val="22"/>
          <w:szCs w:val="22"/>
          <w:lang w:val="en-US"/>
        </w:rPr>
        <w:t xml:space="preserve"> </w:t>
      </w:r>
      <w:r w:rsidRPr="00580F1D">
        <w:rPr>
          <w:sz w:val="22"/>
          <w:szCs w:val="22"/>
          <w:lang w:val="en-US"/>
        </w:rPr>
        <w:t>Shift</w:t>
      </w:r>
      <w:r w:rsidRPr="00580F1D">
        <w:rPr>
          <w:spacing w:val="-2"/>
          <w:sz w:val="22"/>
          <w:szCs w:val="22"/>
          <w:lang w:val="en-US"/>
        </w:rPr>
        <w:t xml:space="preserve"> </w:t>
      </w:r>
      <w:r w:rsidRPr="00580F1D">
        <w:rPr>
          <w:sz w:val="22"/>
          <w:szCs w:val="22"/>
          <w:lang w:val="en-US"/>
        </w:rPr>
        <w:t>in International</w:t>
      </w:r>
      <w:r w:rsidRPr="00580F1D">
        <w:rPr>
          <w:spacing w:val="40"/>
          <w:sz w:val="22"/>
          <w:szCs w:val="22"/>
          <w:lang w:val="en-US"/>
        </w:rPr>
        <w:t xml:space="preserve"> </w:t>
      </w:r>
      <w:r w:rsidRPr="00580F1D">
        <w:rPr>
          <w:sz w:val="22"/>
          <w:szCs w:val="22"/>
          <w:lang w:val="en-US"/>
        </w:rPr>
        <w:t>Business Research. From Partist and Eclectic Approaches to the GAINS Paradigm,</w:t>
      </w:r>
      <w:r w:rsidRPr="00580F1D">
        <w:rPr>
          <w:spacing w:val="40"/>
          <w:sz w:val="22"/>
          <w:szCs w:val="22"/>
          <w:lang w:val="en-US"/>
        </w:rPr>
        <w:t xml:space="preserve"> </w:t>
      </w:r>
      <w:r w:rsidRPr="00580F1D">
        <w:rPr>
          <w:sz w:val="22"/>
          <w:szCs w:val="22"/>
          <w:lang w:val="en-US"/>
        </w:rPr>
        <w:t>Management International Review, 31, Special Issue: 23-43.</w:t>
      </w:r>
      <w:r w:rsidRPr="00580F1D">
        <w:rPr>
          <w:spacing w:val="40"/>
          <w:sz w:val="22"/>
          <w:szCs w:val="22"/>
          <w:lang w:val="en-US"/>
        </w:rPr>
        <w:t xml:space="preserve"> </w:t>
      </w:r>
      <w:r w:rsidRPr="00580F1D">
        <w:rPr>
          <w:sz w:val="22"/>
          <w:szCs w:val="22"/>
          <w:lang w:val="en-US"/>
        </w:rPr>
        <w:t>Monye, S.O. (1995): An</w:t>
      </w:r>
      <w:r w:rsidRPr="00580F1D">
        <w:rPr>
          <w:spacing w:val="40"/>
          <w:sz w:val="22"/>
          <w:szCs w:val="22"/>
          <w:lang w:val="en-US"/>
        </w:rPr>
        <w:t xml:space="preserve"> </w:t>
      </w:r>
      <w:r w:rsidRPr="00580F1D">
        <w:rPr>
          <w:sz w:val="22"/>
          <w:szCs w:val="22"/>
          <w:lang w:val="en-US"/>
        </w:rPr>
        <w:t>Empirical Assessment of the Need for Specialist Education and Training, International</w:t>
      </w:r>
      <w:r w:rsidRPr="00580F1D">
        <w:rPr>
          <w:spacing w:val="40"/>
          <w:sz w:val="22"/>
          <w:szCs w:val="22"/>
          <w:lang w:val="en-US"/>
        </w:rPr>
        <w:t xml:space="preserve"> </w:t>
      </w:r>
      <w:r w:rsidRPr="00580F1D">
        <w:rPr>
          <w:sz w:val="22"/>
          <w:szCs w:val="22"/>
          <w:lang w:val="en-US"/>
        </w:rPr>
        <w:t>Marketing Review, 12(3): 5-14.</w:t>
      </w:r>
      <w:r w:rsidRPr="00580F1D">
        <w:rPr>
          <w:spacing w:val="40"/>
          <w:sz w:val="22"/>
          <w:szCs w:val="22"/>
          <w:lang w:val="en-US"/>
        </w:rPr>
        <w:t xml:space="preserve"> </w:t>
      </w:r>
      <w:r w:rsidRPr="00580F1D">
        <w:rPr>
          <w:sz w:val="22"/>
          <w:szCs w:val="22"/>
        </w:rPr>
        <w:t>Müller, S.; Kornmeier, M. (2000). Internationale</w:t>
      </w:r>
      <w:r w:rsidRPr="00580F1D">
        <w:rPr>
          <w:spacing w:val="40"/>
          <w:sz w:val="22"/>
          <w:szCs w:val="22"/>
        </w:rPr>
        <w:t xml:space="preserve"> </w:t>
      </w:r>
      <w:r w:rsidRPr="00580F1D">
        <w:rPr>
          <w:sz w:val="22"/>
          <w:szCs w:val="22"/>
        </w:rPr>
        <w:t>Wettbewerbsfähigkeit. Irrungen und Wirrungen der Standortdiskussion, München: Vahlen.</w:t>
      </w:r>
      <w:r w:rsidRPr="00580F1D">
        <w:rPr>
          <w:spacing w:val="40"/>
          <w:sz w:val="22"/>
          <w:szCs w:val="22"/>
        </w:rPr>
        <w:t xml:space="preserve"> </w:t>
      </w:r>
      <w:r w:rsidRPr="00580F1D">
        <w:rPr>
          <w:sz w:val="22"/>
          <w:szCs w:val="22"/>
        </w:rPr>
        <w:t>Müller, S.; Kornmeier, M. (2002): Strategisches Internationales Management, München:</w:t>
      </w:r>
      <w:r w:rsidRPr="00580F1D">
        <w:rPr>
          <w:spacing w:val="40"/>
          <w:sz w:val="22"/>
          <w:szCs w:val="22"/>
        </w:rPr>
        <w:t xml:space="preserve"> </w:t>
      </w:r>
      <w:r w:rsidRPr="00580F1D">
        <w:rPr>
          <w:sz w:val="22"/>
          <w:szCs w:val="22"/>
        </w:rPr>
        <w:t>Vahlen.</w:t>
      </w:r>
      <w:r w:rsidRPr="00580F1D">
        <w:rPr>
          <w:spacing w:val="40"/>
          <w:sz w:val="22"/>
          <w:szCs w:val="22"/>
        </w:rPr>
        <w:t xml:space="preserve"> </w:t>
      </w:r>
      <w:r w:rsidRPr="00580F1D">
        <w:rPr>
          <w:sz w:val="22"/>
          <w:szCs w:val="22"/>
        </w:rPr>
        <w:t xml:space="preserve">Perry, A.C. (1990): International versus Domestic Marketing. </w:t>
      </w:r>
      <w:r w:rsidRPr="00580F1D">
        <w:rPr>
          <w:sz w:val="22"/>
          <w:szCs w:val="22"/>
          <w:lang w:val="en-US"/>
        </w:rPr>
        <w:t>Four Conceptual</w:t>
      </w:r>
      <w:r w:rsidRPr="00580F1D">
        <w:rPr>
          <w:spacing w:val="40"/>
          <w:sz w:val="22"/>
          <w:szCs w:val="22"/>
          <w:lang w:val="en-US"/>
        </w:rPr>
        <w:t xml:space="preserve"> </w:t>
      </w:r>
      <w:r w:rsidRPr="00580F1D">
        <w:rPr>
          <w:sz w:val="22"/>
          <w:szCs w:val="22"/>
          <w:lang w:val="en-US"/>
        </w:rPr>
        <w:t>Perspectives, European Journal of Marketing, 24(6): 41-54.</w:t>
      </w:r>
      <w:r w:rsidRPr="00580F1D">
        <w:rPr>
          <w:spacing w:val="40"/>
          <w:sz w:val="22"/>
          <w:szCs w:val="22"/>
          <w:lang w:val="en-US"/>
        </w:rPr>
        <w:t xml:space="preserve"> </w:t>
      </w:r>
      <w:r w:rsidRPr="00580F1D">
        <w:rPr>
          <w:sz w:val="22"/>
          <w:szCs w:val="22"/>
          <w:lang w:val="en-US"/>
        </w:rPr>
        <w:t>Podsiadlowski, A. (1996):</w:t>
      </w:r>
      <w:r w:rsidRPr="00580F1D">
        <w:rPr>
          <w:spacing w:val="40"/>
          <w:sz w:val="22"/>
          <w:szCs w:val="22"/>
          <w:lang w:val="en-US"/>
        </w:rPr>
        <w:t xml:space="preserve"> </w:t>
      </w:r>
      <w:r w:rsidRPr="00580F1D">
        <w:rPr>
          <w:sz w:val="22"/>
          <w:szCs w:val="22"/>
          <w:lang w:val="en-US"/>
        </w:rPr>
        <w:t>Internationale Kompetenz, io-Management, 65(1/2): 74-77.</w:t>
      </w:r>
      <w:r w:rsidRPr="00580F1D">
        <w:rPr>
          <w:spacing w:val="40"/>
          <w:sz w:val="22"/>
          <w:szCs w:val="22"/>
          <w:lang w:val="en-US"/>
        </w:rPr>
        <w:t xml:space="preserve"> </w:t>
      </w:r>
      <w:r w:rsidRPr="00580F1D">
        <w:rPr>
          <w:sz w:val="22"/>
          <w:szCs w:val="22"/>
          <w:lang w:val="en-US"/>
        </w:rPr>
        <w:t>Robinson, R.D. (1978): Inter-</w:t>
      </w:r>
      <w:r w:rsidRPr="00580F1D">
        <w:rPr>
          <w:spacing w:val="40"/>
          <w:sz w:val="22"/>
          <w:szCs w:val="22"/>
          <w:lang w:val="en-US"/>
        </w:rPr>
        <w:t xml:space="preserve"> </w:t>
      </w:r>
      <w:r w:rsidRPr="00580F1D">
        <w:rPr>
          <w:sz w:val="22"/>
          <w:szCs w:val="22"/>
          <w:lang w:val="en-US"/>
        </w:rPr>
        <w:t>national Business</w:t>
      </w:r>
      <w:r w:rsidRPr="00580F1D">
        <w:rPr>
          <w:spacing w:val="-1"/>
          <w:sz w:val="22"/>
          <w:szCs w:val="22"/>
          <w:lang w:val="en-US"/>
        </w:rPr>
        <w:t xml:space="preserve"> </w:t>
      </w:r>
      <w:r w:rsidRPr="00580F1D">
        <w:rPr>
          <w:sz w:val="22"/>
          <w:szCs w:val="22"/>
          <w:lang w:val="en-US"/>
        </w:rPr>
        <w:t>Management, Hinsdale/IL: Dryden.</w:t>
      </w:r>
      <w:r w:rsidRPr="00580F1D">
        <w:rPr>
          <w:spacing w:val="40"/>
          <w:sz w:val="22"/>
          <w:szCs w:val="22"/>
          <w:lang w:val="en-US"/>
        </w:rPr>
        <w:t xml:space="preserve"> </w:t>
      </w:r>
      <w:r w:rsidRPr="00580F1D">
        <w:rPr>
          <w:sz w:val="22"/>
          <w:szCs w:val="22"/>
        </w:rPr>
        <w:t>Schmid, S. (1996): Multikulturalität</w:t>
      </w:r>
      <w:r w:rsidRPr="00580F1D">
        <w:rPr>
          <w:spacing w:val="40"/>
          <w:sz w:val="22"/>
          <w:szCs w:val="22"/>
        </w:rPr>
        <w:t xml:space="preserve"> </w:t>
      </w:r>
      <w:r w:rsidRPr="00580F1D">
        <w:rPr>
          <w:sz w:val="22"/>
          <w:szCs w:val="22"/>
        </w:rPr>
        <w:t>in der internationalen Unternehmung, Wiesbaden: Gabler.</w:t>
      </w:r>
      <w:r w:rsidRPr="00580F1D">
        <w:rPr>
          <w:spacing w:val="40"/>
          <w:sz w:val="22"/>
          <w:szCs w:val="22"/>
        </w:rPr>
        <w:t xml:space="preserve"> </w:t>
      </w:r>
      <w:r w:rsidRPr="00580F1D">
        <w:rPr>
          <w:sz w:val="22"/>
          <w:szCs w:val="22"/>
        </w:rPr>
        <w:t>Usunier, J.-C. (1990): French</w:t>
      </w:r>
      <w:r w:rsidRPr="00580F1D">
        <w:rPr>
          <w:spacing w:val="40"/>
          <w:sz w:val="22"/>
          <w:szCs w:val="22"/>
        </w:rPr>
        <w:t xml:space="preserve"> </w:t>
      </w:r>
      <w:r w:rsidRPr="00580F1D">
        <w:rPr>
          <w:sz w:val="22"/>
          <w:szCs w:val="22"/>
        </w:rPr>
        <w:t>International Business Education, European Management Journal, 8(3): 388-393.</w:t>
      </w:r>
      <w:r w:rsidRPr="00580F1D">
        <w:rPr>
          <w:spacing w:val="40"/>
          <w:sz w:val="22"/>
          <w:szCs w:val="22"/>
        </w:rPr>
        <w:t xml:space="preserve"> </w:t>
      </w:r>
      <w:r w:rsidRPr="00580F1D">
        <w:rPr>
          <w:sz w:val="22"/>
          <w:szCs w:val="22"/>
        </w:rPr>
        <w:t>Wilde,</w:t>
      </w:r>
      <w:r w:rsidRPr="00580F1D">
        <w:rPr>
          <w:spacing w:val="40"/>
          <w:sz w:val="22"/>
          <w:szCs w:val="22"/>
        </w:rPr>
        <w:t xml:space="preserve"> </w:t>
      </w:r>
      <w:r w:rsidRPr="00580F1D">
        <w:rPr>
          <w:sz w:val="22"/>
          <w:szCs w:val="22"/>
        </w:rPr>
        <w:t>K.D.; Schweiger, A. (1995): Marketing-Informationssysteme, in: Tietz, B.; Köhler, R.;</w:t>
      </w:r>
      <w:r w:rsidRPr="00580F1D">
        <w:rPr>
          <w:spacing w:val="40"/>
          <w:sz w:val="22"/>
          <w:szCs w:val="22"/>
        </w:rPr>
        <w:t xml:space="preserve"> </w:t>
      </w:r>
      <w:r w:rsidRPr="00580F1D">
        <w:rPr>
          <w:sz w:val="22"/>
          <w:szCs w:val="22"/>
        </w:rPr>
        <w:t>Zentes,</w:t>
      </w:r>
      <w:r w:rsidRPr="00580F1D">
        <w:rPr>
          <w:spacing w:val="-2"/>
          <w:sz w:val="22"/>
          <w:szCs w:val="22"/>
        </w:rPr>
        <w:t xml:space="preserve"> </w:t>
      </w:r>
      <w:r w:rsidRPr="00580F1D">
        <w:rPr>
          <w:sz w:val="22"/>
          <w:szCs w:val="22"/>
        </w:rPr>
        <w:t>B.</w:t>
      </w:r>
      <w:r w:rsidRPr="00580F1D">
        <w:rPr>
          <w:spacing w:val="-2"/>
          <w:sz w:val="22"/>
          <w:szCs w:val="22"/>
        </w:rPr>
        <w:t xml:space="preserve"> </w:t>
      </w:r>
      <w:r w:rsidRPr="00580F1D">
        <w:rPr>
          <w:sz w:val="22"/>
          <w:szCs w:val="22"/>
        </w:rPr>
        <w:t>(Hrsg.),</w:t>
      </w:r>
      <w:r w:rsidRPr="00580F1D">
        <w:rPr>
          <w:spacing w:val="-2"/>
          <w:sz w:val="22"/>
          <w:szCs w:val="22"/>
        </w:rPr>
        <w:t xml:space="preserve"> </w:t>
      </w:r>
      <w:r w:rsidRPr="00580F1D">
        <w:rPr>
          <w:sz w:val="22"/>
          <w:szCs w:val="22"/>
        </w:rPr>
        <w:t>Handwörterbuch</w:t>
      </w:r>
      <w:r w:rsidRPr="00580F1D">
        <w:rPr>
          <w:spacing w:val="-2"/>
          <w:sz w:val="22"/>
          <w:szCs w:val="22"/>
        </w:rPr>
        <w:t xml:space="preserve"> </w:t>
      </w:r>
      <w:r w:rsidRPr="00580F1D">
        <w:rPr>
          <w:sz w:val="22"/>
          <w:szCs w:val="22"/>
        </w:rPr>
        <w:t>des</w:t>
      </w:r>
      <w:r w:rsidRPr="00580F1D">
        <w:rPr>
          <w:spacing w:val="-3"/>
          <w:sz w:val="22"/>
          <w:szCs w:val="22"/>
        </w:rPr>
        <w:t xml:space="preserve"> </w:t>
      </w:r>
      <w:r w:rsidRPr="00580F1D">
        <w:rPr>
          <w:sz w:val="22"/>
          <w:szCs w:val="22"/>
        </w:rPr>
        <w:t>Marketing,</w:t>
      </w:r>
      <w:r w:rsidRPr="00580F1D">
        <w:rPr>
          <w:spacing w:val="-2"/>
          <w:sz w:val="22"/>
          <w:szCs w:val="22"/>
        </w:rPr>
        <w:t xml:space="preserve"> </w:t>
      </w:r>
      <w:r w:rsidRPr="00580F1D">
        <w:rPr>
          <w:sz w:val="22"/>
          <w:szCs w:val="22"/>
        </w:rPr>
        <w:t>2.Aufl.,</w:t>
      </w:r>
      <w:r w:rsidRPr="00580F1D">
        <w:rPr>
          <w:spacing w:val="-2"/>
          <w:sz w:val="22"/>
          <w:szCs w:val="22"/>
        </w:rPr>
        <w:t xml:space="preserve"> </w:t>
      </w:r>
      <w:r w:rsidRPr="00580F1D">
        <w:rPr>
          <w:sz w:val="22"/>
          <w:szCs w:val="22"/>
        </w:rPr>
        <w:t>1554-1566,</w:t>
      </w:r>
      <w:r w:rsidRPr="00580F1D">
        <w:rPr>
          <w:spacing w:val="-2"/>
          <w:sz w:val="22"/>
          <w:szCs w:val="22"/>
        </w:rPr>
        <w:t xml:space="preserve"> </w:t>
      </w:r>
      <w:r w:rsidRPr="00580F1D">
        <w:rPr>
          <w:sz w:val="22"/>
          <w:szCs w:val="22"/>
        </w:rPr>
        <w:t>Stuttgart: Schäffer-</w:t>
      </w:r>
      <w:r w:rsidRPr="00580F1D">
        <w:rPr>
          <w:spacing w:val="40"/>
          <w:sz w:val="22"/>
          <w:szCs w:val="22"/>
        </w:rPr>
        <w:t xml:space="preserve"> </w:t>
      </w:r>
      <w:r w:rsidRPr="00580F1D">
        <w:rPr>
          <w:sz w:val="22"/>
          <w:szCs w:val="22"/>
        </w:rPr>
        <w:t>Poeschel.</w:t>
      </w:r>
      <w:r w:rsidRPr="00580F1D">
        <w:rPr>
          <w:spacing w:val="40"/>
          <w:sz w:val="22"/>
          <w:szCs w:val="22"/>
        </w:rPr>
        <w:t xml:space="preserve"> </w:t>
      </w:r>
      <w:r w:rsidRPr="00580F1D">
        <w:rPr>
          <w:sz w:val="22"/>
          <w:szCs w:val="22"/>
        </w:rPr>
        <w:t>Wißmeier, U.K. (1992): Strategien im internationalen Marketing. Ein</w:t>
      </w:r>
      <w:r w:rsidRPr="00580F1D">
        <w:rPr>
          <w:spacing w:val="40"/>
          <w:sz w:val="22"/>
          <w:szCs w:val="22"/>
        </w:rPr>
        <w:t xml:space="preserve"> </w:t>
      </w:r>
      <w:r w:rsidRPr="00580F1D">
        <w:rPr>
          <w:sz w:val="22"/>
          <w:szCs w:val="22"/>
        </w:rPr>
        <w:t>entscheidungsorientierter Ansatz, Wiesbaden: Gabler.</w:t>
      </w:r>
    </w:p>
    <w:p w14:paraId="36D9BEA6" w14:textId="77777777" w:rsidR="00FF7799" w:rsidRPr="00E73F6F" w:rsidRDefault="00FF7799" w:rsidP="007C0767">
      <w:pPr>
        <w:pStyle w:val="StandardText"/>
      </w:pPr>
    </w:p>
    <w:p w14:paraId="5A73A82A" w14:textId="77777777" w:rsidR="00FF7799" w:rsidRPr="00E445CF" w:rsidRDefault="00FF7799" w:rsidP="002A0928">
      <w:pPr>
        <w:pStyle w:val="berschrift1"/>
        <w:rPr>
          <w:bCs w:val="0"/>
          <w:color w:val="2E74B5"/>
          <w:sz w:val="22"/>
        </w:rPr>
      </w:pPr>
      <w:r w:rsidRPr="00E445CF">
        <w:rPr>
          <w:bCs w:val="0"/>
          <w:color w:val="2E74B5"/>
          <w:sz w:val="22"/>
        </w:rPr>
        <w:t>Internationalisierung</w:t>
      </w:r>
    </w:p>
    <w:p w14:paraId="22074680" w14:textId="77777777" w:rsidR="00FF7799" w:rsidRPr="00E73F6F" w:rsidRDefault="00FF7799" w:rsidP="0099659C">
      <w:pPr>
        <w:pStyle w:val="StandardText"/>
      </w:pPr>
      <w:r w:rsidRPr="00E73F6F">
        <w:t>mehrdeutiger</w:t>
      </w:r>
      <w:r w:rsidRPr="00E73F6F">
        <w:rPr>
          <w:spacing w:val="-5"/>
        </w:rPr>
        <w:t xml:space="preserve"> </w:t>
      </w:r>
      <w:r w:rsidRPr="00E73F6F">
        <w:t>Begriff.</w:t>
      </w:r>
      <w:r w:rsidRPr="00E73F6F">
        <w:rPr>
          <w:spacing w:val="-3"/>
        </w:rPr>
        <w:t xml:space="preserve"> </w:t>
      </w:r>
      <w:r w:rsidRPr="00E73F6F">
        <w:t>Als</w:t>
      </w:r>
      <w:r w:rsidRPr="00E73F6F">
        <w:rPr>
          <w:spacing w:val="-3"/>
        </w:rPr>
        <w:t xml:space="preserve"> </w:t>
      </w:r>
      <w:r w:rsidR="00580F1D">
        <w:t>I</w:t>
      </w:r>
      <w:r w:rsidRPr="00E73F6F">
        <w:t>nternationalisierung</w:t>
      </w:r>
      <w:r w:rsidRPr="00E73F6F">
        <w:rPr>
          <w:spacing w:val="-4"/>
        </w:rPr>
        <w:t xml:space="preserve"> </w:t>
      </w:r>
      <w:r w:rsidRPr="00E73F6F">
        <w:t>werden</w:t>
      </w:r>
      <w:r w:rsidRPr="00E73F6F">
        <w:rPr>
          <w:spacing w:val="-3"/>
        </w:rPr>
        <w:t xml:space="preserve"> </w:t>
      </w:r>
      <w:r w:rsidRPr="00E73F6F">
        <w:rPr>
          <w:spacing w:val="-2"/>
        </w:rPr>
        <w:t>bezeichnet:</w:t>
      </w:r>
    </w:p>
    <w:p w14:paraId="0C285DEA" w14:textId="77777777" w:rsidR="00FF7799" w:rsidRPr="00E73F6F" w:rsidRDefault="00FF7799">
      <w:pPr>
        <w:pStyle w:val="StandardText"/>
        <w:numPr>
          <w:ilvl w:val="0"/>
          <w:numId w:val="11"/>
        </w:numPr>
        <w:ind w:left="426" w:hanging="426"/>
      </w:pPr>
      <w:r w:rsidRPr="00E73F6F">
        <w:rPr>
          <w:spacing w:val="-2"/>
        </w:rPr>
        <w:t>jegliche</w:t>
      </w:r>
      <w:r w:rsidRPr="00E73F6F">
        <w:tab/>
      </w:r>
      <w:r w:rsidRPr="00E73F6F">
        <w:rPr>
          <w:spacing w:val="-4"/>
        </w:rPr>
        <w:t>Art</w:t>
      </w:r>
      <w:r w:rsidRPr="00E73F6F">
        <w:tab/>
      </w:r>
      <w:r w:rsidRPr="00E73F6F">
        <w:rPr>
          <w:spacing w:val="-4"/>
        </w:rPr>
        <w:t>der</w:t>
      </w:r>
      <w:r w:rsidRPr="00E73F6F">
        <w:tab/>
      </w:r>
      <w:r w:rsidRPr="00E73F6F">
        <w:rPr>
          <w:spacing w:val="-2"/>
        </w:rPr>
        <w:t>Aufnahme</w:t>
      </w:r>
      <w:r w:rsidRPr="00E73F6F">
        <w:tab/>
      </w:r>
      <w:r w:rsidRPr="00E73F6F">
        <w:rPr>
          <w:spacing w:val="-4"/>
        </w:rPr>
        <w:t>einer</w:t>
      </w:r>
      <w:r w:rsidRPr="00E73F6F">
        <w:t xml:space="preserve"> </w:t>
      </w:r>
      <w:r w:rsidRPr="00E73F6F">
        <w:rPr>
          <w:spacing w:val="-2"/>
        </w:rPr>
        <w:t>grenzüberschreitenden Unternehmenstätigkeit,</w:t>
      </w:r>
    </w:p>
    <w:p w14:paraId="03A7A371" w14:textId="77777777" w:rsidR="00FF7799" w:rsidRPr="00E73F6F" w:rsidRDefault="00FF7799">
      <w:pPr>
        <w:pStyle w:val="StandardText"/>
        <w:numPr>
          <w:ilvl w:val="0"/>
          <w:numId w:val="11"/>
        </w:numPr>
        <w:ind w:left="426" w:hanging="426"/>
      </w:pPr>
      <w:r w:rsidRPr="00E73F6F">
        <w:t>die</w:t>
      </w:r>
      <w:r w:rsidRPr="00E73F6F">
        <w:rPr>
          <w:spacing w:val="-8"/>
        </w:rPr>
        <w:t xml:space="preserve"> </w:t>
      </w:r>
      <w:r w:rsidRPr="00E73F6F">
        <w:t>charakteristische</w:t>
      </w:r>
      <w:r w:rsidRPr="00E73F6F">
        <w:rPr>
          <w:spacing w:val="-8"/>
        </w:rPr>
        <w:t xml:space="preserve"> </w:t>
      </w:r>
      <w:r w:rsidRPr="00E73F6F">
        <w:t>Abfolge</w:t>
      </w:r>
      <w:r w:rsidRPr="00E73F6F">
        <w:rPr>
          <w:spacing w:val="-11"/>
        </w:rPr>
        <w:t xml:space="preserve"> </w:t>
      </w:r>
      <w:r w:rsidRPr="00E73F6F">
        <w:t>von</w:t>
      </w:r>
      <w:r w:rsidRPr="00E73F6F">
        <w:rPr>
          <w:spacing w:val="-9"/>
        </w:rPr>
        <w:t xml:space="preserve"> </w:t>
      </w:r>
      <w:r w:rsidRPr="00E73F6F">
        <w:t>Markteintrittsstrategien</w:t>
      </w:r>
      <w:r w:rsidRPr="00E73F6F">
        <w:rPr>
          <w:spacing w:val="-7"/>
        </w:rPr>
        <w:t xml:space="preserve"> </w:t>
      </w:r>
      <w:r w:rsidRPr="00E73F6F">
        <w:t>im</w:t>
      </w:r>
      <w:r w:rsidRPr="00E73F6F">
        <w:rPr>
          <w:spacing w:val="-8"/>
        </w:rPr>
        <w:t xml:space="preserve"> </w:t>
      </w:r>
      <w:r w:rsidRPr="00E73F6F">
        <w:t>Zeitverlauf</w:t>
      </w:r>
      <w:r w:rsidRPr="00E73F6F">
        <w:rPr>
          <w:spacing w:val="-8"/>
        </w:rPr>
        <w:t xml:space="preserve"> </w:t>
      </w:r>
      <w:r w:rsidRPr="00E73F6F">
        <w:t xml:space="preserve">(z.B. indirekter Export </w:t>
      </w:r>
      <w:r w:rsidRPr="00E73F6F">
        <w:rPr>
          <w:rFonts w:ascii="Cambria Math" w:hAnsi="Cambria Math" w:cs="Cambria Math"/>
        </w:rPr>
        <w:t>⇒</w:t>
      </w:r>
      <w:r w:rsidRPr="00E73F6F">
        <w:t xml:space="preserve"> Direktinvestition),</w:t>
      </w:r>
    </w:p>
    <w:p w14:paraId="5135D9D3" w14:textId="77777777" w:rsidR="00FF7799" w:rsidRPr="00E73F6F" w:rsidRDefault="00FF7799">
      <w:pPr>
        <w:pStyle w:val="StandardText"/>
        <w:numPr>
          <w:ilvl w:val="0"/>
          <w:numId w:val="11"/>
        </w:numPr>
        <w:ind w:left="426" w:hanging="426"/>
      </w:pPr>
      <w:r w:rsidRPr="00E73F6F">
        <w:t>der</w:t>
      </w:r>
      <w:r w:rsidRPr="00E73F6F">
        <w:rPr>
          <w:spacing w:val="24"/>
        </w:rPr>
        <w:t xml:space="preserve"> </w:t>
      </w:r>
      <w:r w:rsidRPr="00E73F6F">
        <w:t>Lernprozess,</w:t>
      </w:r>
      <w:r w:rsidRPr="00E73F6F">
        <w:rPr>
          <w:spacing w:val="27"/>
        </w:rPr>
        <w:t xml:space="preserve"> </w:t>
      </w:r>
      <w:r w:rsidRPr="00E73F6F">
        <w:t>den</w:t>
      </w:r>
      <w:r w:rsidRPr="00E73F6F">
        <w:rPr>
          <w:spacing w:val="25"/>
        </w:rPr>
        <w:t xml:space="preserve"> </w:t>
      </w:r>
      <w:r w:rsidRPr="00E73F6F">
        <w:t>ein</w:t>
      </w:r>
      <w:r w:rsidRPr="00E73F6F">
        <w:rPr>
          <w:spacing w:val="28"/>
        </w:rPr>
        <w:t xml:space="preserve"> </w:t>
      </w:r>
      <w:r w:rsidRPr="00E73F6F">
        <w:t>Unternehmen</w:t>
      </w:r>
      <w:r w:rsidRPr="00E73F6F">
        <w:rPr>
          <w:spacing w:val="27"/>
        </w:rPr>
        <w:t xml:space="preserve"> </w:t>
      </w:r>
      <w:r w:rsidRPr="00E73F6F">
        <w:t>im</w:t>
      </w:r>
      <w:r w:rsidRPr="00E73F6F">
        <w:rPr>
          <w:spacing w:val="26"/>
        </w:rPr>
        <w:t xml:space="preserve"> </w:t>
      </w:r>
      <w:r w:rsidRPr="00E73F6F">
        <w:t>Laufe</w:t>
      </w:r>
      <w:r w:rsidRPr="00E73F6F">
        <w:rPr>
          <w:spacing w:val="25"/>
        </w:rPr>
        <w:t xml:space="preserve"> </w:t>
      </w:r>
      <w:r w:rsidRPr="00E73F6F">
        <w:t>seines</w:t>
      </w:r>
      <w:r w:rsidRPr="00E73F6F">
        <w:rPr>
          <w:spacing w:val="26"/>
        </w:rPr>
        <w:t xml:space="preserve"> </w:t>
      </w:r>
      <w:r w:rsidRPr="00E73F6F">
        <w:t xml:space="preserve">Auslandsgeschäfts </w:t>
      </w:r>
      <w:r w:rsidRPr="00E73F6F">
        <w:rPr>
          <w:spacing w:val="-2"/>
        </w:rPr>
        <w:t>durchläuft,</w:t>
      </w:r>
    </w:p>
    <w:p w14:paraId="19F26133" w14:textId="77777777" w:rsidR="00FF7799" w:rsidRPr="00E73F6F" w:rsidRDefault="00FF7799">
      <w:pPr>
        <w:pStyle w:val="StandardText"/>
        <w:numPr>
          <w:ilvl w:val="0"/>
          <w:numId w:val="11"/>
        </w:numPr>
        <w:ind w:left="426" w:hanging="426"/>
      </w:pPr>
      <w:r w:rsidRPr="00E73F6F">
        <w:t>eine Führungskonzeption, die alle unternehmerischen Entscheidungen an den Anforderungen des Weltmarktes ausrichtet.</w:t>
      </w:r>
    </w:p>
    <w:p w14:paraId="0287AA70" w14:textId="77777777" w:rsidR="00FF7799" w:rsidRPr="00E73F6F" w:rsidRDefault="00FF7799" w:rsidP="00862DBA">
      <w:pPr>
        <w:spacing w:before="9"/>
        <w:rPr>
          <w:sz w:val="24"/>
          <w:szCs w:val="24"/>
        </w:rPr>
      </w:pPr>
    </w:p>
    <w:p w14:paraId="29A2340D" w14:textId="77777777" w:rsidR="00FF7799" w:rsidRPr="00BF2DBF" w:rsidRDefault="00FF7799" w:rsidP="002A0928">
      <w:pPr>
        <w:pStyle w:val="berschrift1"/>
        <w:rPr>
          <w:bCs w:val="0"/>
          <w:color w:val="2E74B5"/>
          <w:sz w:val="22"/>
        </w:rPr>
      </w:pPr>
      <w:r w:rsidRPr="00BF2DBF">
        <w:rPr>
          <w:bCs w:val="0"/>
          <w:color w:val="2E74B5"/>
          <w:sz w:val="22"/>
        </w:rPr>
        <w:t>Intra-industrieller Handel</w:t>
      </w:r>
    </w:p>
    <w:p w14:paraId="4EB39464" w14:textId="77777777" w:rsidR="00FF7799" w:rsidRPr="00E73F6F" w:rsidRDefault="00FF7799" w:rsidP="0099659C">
      <w:pPr>
        <w:pStyle w:val="StandardText"/>
        <w:rPr>
          <w:spacing w:val="-2"/>
        </w:rPr>
      </w:pPr>
      <w:r w:rsidRPr="00E73F6F">
        <w:t>liegt vor, wenn Volkswirtschaften (zumeist Industrienationen) Güter derselben Kategorie</w:t>
      </w:r>
      <w:r w:rsidRPr="00E73F6F">
        <w:rPr>
          <w:spacing w:val="-10"/>
        </w:rPr>
        <w:t xml:space="preserve"> </w:t>
      </w:r>
      <w:r w:rsidRPr="00E73F6F">
        <w:t>bzw.</w:t>
      </w:r>
      <w:r w:rsidRPr="00E73F6F">
        <w:rPr>
          <w:spacing w:val="-10"/>
        </w:rPr>
        <w:t xml:space="preserve"> </w:t>
      </w:r>
      <w:r w:rsidRPr="00E73F6F">
        <w:t>desselben</w:t>
      </w:r>
      <w:r w:rsidRPr="00E73F6F">
        <w:rPr>
          <w:spacing w:val="-9"/>
        </w:rPr>
        <w:t xml:space="preserve"> </w:t>
      </w:r>
      <w:r w:rsidRPr="00E73F6F">
        <w:t>Sektors</w:t>
      </w:r>
      <w:r w:rsidRPr="00E73F6F">
        <w:rPr>
          <w:spacing w:val="-11"/>
        </w:rPr>
        <w:t xml:space="preserve"> </w:t>
      </w:r>
      <w:r w:rsidRPr="00E73F6F">
        <w:t>importieren</w:t>
      </w:r>
      <w:r w:rsidRPr="00E73F6F">
        <w:rPr>
          <w:spacing w:val="-9"/>
        </w:rPr>
        <w:t xml:space="preserve"> </w:t>
      </w:r>
      <w:r w:rsidRPr="00E73F6F">
        <w:t>und</w:t>
      </w:r>
      <w:r w:rsidRPr="00E73F6F">
        <w:rPr>
          <w:spacing w:val="-9"/>
        </w:rPr>
        <w:t xml:space="preserve"> </w:t>
      </w:r>
      <w:r w:rsidRPr="00E73F6F">
        <w:t>exportieren.</w:t>
      </w:r>
      <w:r w:rsidRPr="00E73F6F">
        <w:rPr>
          <w:spacing w:val="-10"/>
        </w:rPr>
        <w:t xml:space="preserve"> </w:t>
      </w:r>
      <w:r w:rsidRPr="00E73F6F">
        <w:t>So</w:t>
      </w:r>
      <w:r w:rsidRPr="00E73F6F">
        <w:rPr>
          <w:spacing w:val="-9"/>
        </w:rPr>
        <w:t xml:space="preserve"> </w:t>
      </w:r>
      <w:r w:rsidRPr="00E73F6F">
        <w:t>exportieren</w:t>
      </w:r>
      <w:r w:rsidRPr="00E73F6F">
        <w:rPr>
          <w:spacing w:val="-9"/>
        </w:rPr>
        <w:t xml:space="preserve"> </w:t>
      </w:r>
      <w:r w:rsidRPr="00E73F6F">
        <w:t xml:space="preserve">und importieren Deutschland, </w:t>
      </w:r>
      <w:r w:rsidRPr="00E73F6F">
        <w:lastRenderedPageBreak/>
        <w:t xml:space="preserve">Frankreich, Japan etc. Automobile. Von inter- industriellem Handel spricht man, wenn Güter einer Kategorie (z.B. Autos) exportiert und Güter einer anderen Kategorie (z.B. Lebensmittel) importiert </w:t>
      </w:r>
      <w:r w:rsidRPr="00E73F6F">
        <w:rPr>
          <w:spacing w:val="-2"/>
        </w:rPr>
        <w:t>werden.</w:t>
      </w:r>
    </w:p>
    <w:p w14:paraId="5A509D9D" w14:textId="77777777" w:rsidR="00FF7799" w:rsidRPr="00E73F6F" w:rsidRDefault="00FF7799" w:rsidP="0099659C">
      <w:pPr>
        <w:pStyle w:val="StandardText"/>
      </w:pPr>
    </w:p>
    <w:p w14:paraId="61BB6F58" w14:textId="77777777" w:rsidR="00FF7799" w:rsidRPr="00BF2DBF" w:rsidRDefault="00FF7799" w:rsidP="002A0928">
      <w:pPr>
        <w:pStyle w:val="berschrift1"/>
        <w:rPr>
          <w:bCs w:val="0"/>
          <w:color w:val="2E74B5"/>
          <w:sz w:val="22"/>
        </w:rPr>
      </w:pPr>
      <w:r w:rsidRPr="00BF2DBF">
        <w:rPr>
          <w:bCs w:val="0"/>
          <w:color w:val="2E74B5"/>
          <w:sz w:val="22"/>
        </w:rPr>
        <w:t>Involvement</w:t>
      </w:r>
    </w:p>
    <w:p w14:paraId="6EAB5E9B" w14:textId="77777777" w:rsidR="00FF7799" w:rsidRDefault="00FF7799" w:rsidP="007B6B40">
      <w:pPr>
        <w:pStyle w:val="StandardText"/>
      </w:pPr>
      <w:r w:rsidRPr="00E73F6F">
        <w:t>“Konstrukt, welches den Grad der Ich-Beteiligung, d.h. das Engagement eines Individuums bei einem Verhalten wiedergibt. Die Stärke des Involvements eines Konsumenten</w:t>
      </w:r>
      <w:r w:rsidRPr="00E73F6F">
        <w:rPr>
          <w:spacing w:val="-12"/>
        </w:rPr>
        <w:t xml:space="preserve"> </w:t>
      </w:r>
      <w:r w:rsidRPr="00E73F6F">
        <w:t>bspw.</w:t>
      </w:r>
      <w:r w:rsidRPr="00E73F6F">
        <w:rPr>
          <w:spacing w:val="-11"/>
        </w:rPr>
        <w:t xml:space="preserve"> </w:t>
      </w:r>
      <w:r w:rsidRPr="00E73F6F">
        <w:t>bei</w:t>
      </w:r>
      <w:r w:rsidRPr="00E73F6F">
        <w:rPr>
          <w:spacing w:val="-11"/>
        </w:rPr>
        <w:t xml:space="preserve"> </w:t>
      </w:r>
      <w:r w:rsidRPr="00E73F6F">
        <w:t>einer</w:t>
      </w:r>
      <w:r w:rsidRPr="00E73F6F">
        <w:rPr>
          <w:spacing w:val="-11"/>
        </w:rPr>
        <w:t xml:space="preserve"> </w:t>
      </w:r>
      <w:r w:rsidRPr="00E73F6F">
        <w:t>Kaufentscheidung</w:t>
      </w:r>
      <w:r w:rsidRPr="00E73F6F">
        <w:rPr>
          <w:spacing w:val="-12"/>
        </w:rPr>
        <w:t xml:space="preserve"> </w:t>
      </w:r>
      <w:r w:rsidRPr="00E73F6F">
        <w:t>gibt</w:t>
      </w:r>
      <w:r w:rsidRPr="00E73F6F">
        <w:rPr>
          <w:spacing w:val="-11"/>
        </w:rPr>
        <w:t xml:space="preserve"> </w:t>
      </w:r>
      <w:r w:rsidRPr="00E73F6F">
        <w:t>Aufschluss</w:t>
      </w:r>
      <w:r w:rsidRPr="00E73F6F">
        <w:rPr>
          <w:spacing w:val="-11"/>
        </w:rPr>
        <w:t xml:space="preserve"> </w:t>
      </w:r>
      <w:r w:rsidRPr="00E73F6F">
        <w:t>darüber,</w:t>
      </w:r>
      <w:r w:rsidRPr="00E73F6F">
        <w:rPr>
          <w:spacing w:val="-11"/>
        </w:rPr>
        <w:t xml:space="preserve"> </w:t>
      </w:r>
      <w:r w:rsidRPr="00E73F6F">
        <w:t>wie</w:t>
      </w:r>
      <w:r w:rsidRPr="00E73F6F">
        <w:rPr>
          <w:spacing w:val="-12"/>
        </w:rPr>
        <w:t xml:space="preserve"> </w:t>
      </w:r>
      <w:r w:rsidRPr="00E73F6F">
        <w:t>groß seine Bereitschaft zur aktiven Informationssuche und -aufnahme im Vorfeld der Kaufentscheidung ist“ (Nieschlag et al. 2002, S.1284). Aufgrund des unterschiedlichen Involvements, welches sie bei Konsumenten auslösen, werden High- und Low Involvementprodukte unterschieden.</w:t>
      </w:r>
    </w:p>
    <w:p w14:paraId="3F593FC5" w14:textId="77777777" w:rsidR="00FF7799" w:rsidRPr="00580F1D" w:rsidRDefault="00FF7799" w:rsidP="007B6B40">
      <w:pPr>
        <w:pStyle w:val="StandardText"/>
        <w:rPr>
          <w:sz w:val="22"/>
          <w:szCs w:val="22"/>
        </w:rPr>
      </w:pPr>
      <w:r w:rsidRPr="00580F1D">
        <w:rPr>
          <w:b/>
          <w:i/>
          <w:sz w:val="22"/>
          <w:szCs w:val="22"/>
        </w:rPr>
        <w:t>Literatur</w:t>
      </w:r>
      <w:r w:rsidRPr="00580F1D">
        <w:rPr>
          <w:i/>
          <w:sz w:val="22"/>
          <w:szCs w:val="22"/>
        </w:rPr>
        <w:t>:</w:t>
      </w:r>
      <w:r w:rsidRPr="00580F1D">
        <w:rPr>
          <w:sz w:val="22"/>
          <w:szCs w:val="22"/>
        </w:rPr>
        <w:t xml:space="preserve"> Nieschlag, R.; Dichtl, E.; Hörschgen, H. (2002): Marketing, 19.Aufl., Berlin:</w:t>
      </w:r>
      <w:r w:rsidRPr="00580F1D">
        <w:rPr>
          <w:spacing w:val="40"/>
          <w:sz w:val="22"/>
          <w:szCs w:val="22"/>
        </w:rPr>
        <w:t xml:space="preserve"> </w:t>
      </w:r>
      <w:r w:rsidRPr="00580F1D">
        <w:rPr>
          <w:sz w:val="22"/>
          <w:szCs w:val="22"/>
        </w:rPr>
        <w:t>Duncker &amp; Humblot.</w:t>
      </w:r>
    </w:p>
    <w:p w14:paraId="5DF02BED" w14:textId="77777777" w:rsidR="00FF7799" w:rsidRPr="00E35FFF" w:rsidRDefault="00FF7799" w:rsidP="002A0928">
      <w:pPr>
        <w:pStyle w:val="berschrift1"/>
        <w:rPr>
          <w:lang w:val="en-US"/>
        </w:rPr>
      </w:pPr>
      <w:r w:rsidRPr="00BF2DBF">
        <w:rPr>
          <w:bCs w:val="0"/>
          <w:color w:val="2E74B5"/>
          <w:sz w:val="22"/>
        </w:rPr>
        <w:t>Irradiation</w:t>
      </w:r>
      <w:r w:rsidRPr="00E35FFF">
        <w:rPr>
          <w:spacing w:val="-3"/>
          <w:lang w:val="en-US"/>
        </w:rPr>
        <w:t xml:space="preserve"> </w:t>
      </w:r>
      <w:r w:rsidRPr="00E35FFF">
        <w:rPr>
          <w:b w:val="0"/>
          <w:lang w:val="en-US"/>
        </w:rPr>
        <w:t>→</w:t>
      </w:r>
      <w:r w:rsidRPr="00E35FFF">
        <w:rPr>
          <w:b w:val="0"/>
          <w:spacing w:val="-1"/>
          <w:lang w:val="en-US"/>
        </w:rPr>
        <w:t xml:space="preserve"> </w:t>
      </w:r>
      <w:r w:rsidRPr="00E35FFF">
        <w:rPr>
          <w:b w:val="0"/>
          <w:lang w:val="en-US"/>
        </w:rPr>
        <w:t>Country</w:t>
      </w:r>
      <w:r w:rsidRPr="00E35FFF">
        <w:rPr>
          <w:b w:val="0"/>
          <w:spacing w:val="-3"/>
          <w:lang w:val="en-US"/>
        </w:rPr>
        <w:t xml:space="preserve"> </w:t>
      </w:r>
      <w:r w:rsidRPr="00E35FFF">
        <w:rPr>
          <w:b w:val="0"/>
          <w:lang w:val="en-US"/>
        </w:rPr>
        <w:t>of</w:t>
      </w:r>
      <w:r w:rsidRPr="00E35FFF">
        <w:rPr>
          <w:b w:val="0"/>
          <w:spacing w:val="-1"/>
          <w:lang w:val="en-US"/>
        </w:rPr>
        <w:t xml:space="preserve"> </w:t>
      </w:r>
      <w:r w:rsidRPr="00E35FFF">
        <w:rPr>
          <w:b w:val="0"/>
          <w:spacing w:val="-2"/>
          <w:lang w:val="en-US"/>
        </w:rPr>
        <w:t>Origin</w:t>
      </w:r>
    </w:p>
    <w:p w14:paraId="61D20840" w14:textId="77777777" w:rsidR="00FF7799" w:rsidRPr="00BF2DBF" w:rsidRDefault="00FF7799" w:rsidP="009E4161">
      <w:pPr>
        <w:pStyle w:val="berschrift1"/>
        <w:rPr>
          <w:bCs w:val="0"/>
          <w:color w:val="2E74B5"/>
          <w:sz w:val="22"/>
        </w:rPr>
      </w:pPr>
      <w:r w:rsidRPr="00BF2DBF">
        <w:rPr>
          <w:bCs w:val="0"/>
          <w:color w:val="2E74B5"/>
          <w:sz w:val="22"/>
        </w:rPr>
        <w:t>Islam</w:t>
      </w:r>
    </w:p>
    <w:p w14:paraId="51936155" w14:textId="77777777" w:rsidR="00FF7799" w:rsidRPr="00580F1D" w:rsidRDefault="00FF7799" w:rsidP="007B6B40">
      <w:pPr>
        <w:pStyle w:val="StandardTextkursiv"/>
        <w:rPr>
          <w:i w:val="0"/>
          <w:lang w:val="en-US"/>
        </w:rPr>
      </w:pPr>
      <w:r w:rsidRPr="00580F1D">
        <w:rPr>
          <w:i w:val="0"/>
          <w:lang w:val="en-US"/>
        </w:rPr>
        <w:t>1 Geschichte</w:t>
      </w:r>
    </w:p>
    <w:p w14:paraId="1E09CACE" w14:textId="77777777" w:rsidR="00FF7799" w:rsidRPr="00580F1D" w:rsidRDefault="00FF7799" w:rsidP="007B6B40">
      <w:pPr>
        <w:pStyle w:val="StandardText"/>
      </w:pPr>
      <w:r w:rsidRPr="00580F1D">
        <w:t>Der Islam (arab. = sich Gottes Willen unterwerfen) ist die jüngste der drei monotheistischen</w:t>
      </w:r>
      <w:r w:rsidRPr="00580F1D">
        <w:rPr>
          <w:spacing w:val="-6"/>
        </w:rPr>
        <w:t xml:space="preserve"> </w:t>
      </w:r>
      <w:r w:rsidRPr="00580F1D">
        <w:t>Weltreligionen.</w:t>
      </w:r>
      <w:r w:rsidRPr="00580F1D">
        <w:rPr>
          <w:spacing w:val="-4"/>
        </w:rPr>
        <w:t xml:space="preserve"> </w:t>
      </w:r>
      <w:r w:rsidRPr="00580F1D">
        <w:t>Hedschra,</w:t>
      </w:r>
      <w:r w:rsidRPr="00580F1D">
        <w:rPr>
          <w:spacing w:val="-7"/>
        </w:rPr>
        <w:t xml:space="preserve"> </w:t>
      </w:r>
      <w:r w:rsidRPr="00580F1D">
        <w:t>die</w:t>
      </w:r>
      <w:r w:rsidRPr="00580F1D">
        <w:rPr>
          <w:spacing w:val="-8"/>
        </w:rPr>
        <w:t xml:space="preserve"> </w:t>
      </w:r>
      <w:r w:rsidRPr="00580F1D">
        <w:t>islamische</w:t>
      </w:r>
      <w:r w:rsidRPr="00580F1D">
        <w:rPr>
          <w:spacing w:val="-6"/>
        </w:rPr>
        <w:t xml:space="preserve"> </w:t>
      </w:r>
      <w:r w:rsidRPr="00580F1D">
        <w:t>Zeitrechnung,</w:t>
      </w:r>
      <w:r w:rsidRPr="00580F1D">
        <w:rPr>
          <w:spacing w:val="-7"/>
        </w:rPr>
        <w:t xml:space="preserve"> </w:t>
      </w:r>
      <w:r w:rsidRPr="00580F1D">
        <w:t>beginnt 622</w:t>
      </w:r>
      <w:r w:rsidRPr="00580F1D">
        <w:rPr>
          <w:spacing w:val="-12"/>
        </w:rPr>
        <w:t xml:space="preserve"> </w:t>
      </w:r>
      <w:r w:rsidRPr="00580F1D">
        <w:t>n.</w:t>
      </w:r>
      <w:r w:rsidRPr="00580F1D">
        <w:rPr>
          <w:spacing w:val="-9"/>
        </w:rPr>
        <w:t xml:space="preserve"> </w:t>
      </w:r>
      <w:r w:rsidRPr="00580F1D">
        <w:t>Chr.,</w:t>
      </w:r>
      <w:r w:rsidRPr="00580F1D">
        <w:rPr>
          <w:spacing w:val="-11"/>
        </w:rPr>
        <w:t xml:space="preserve"> </w:t>
      </w:r>
      <w:r w:rsidRPr="00580F1D">
        <w:t>als</w:t>
      </w:r>
      <w:r w:rsidRPr="00580F1D">
        <w:rPr>
          <w:spacing w:val="-10"/>
        </w:rPr>
        <w:t xml:space="preserve"> </w:t>
      </w:r>
      <w:r w:rsidRPr="00580F1D">
        <w:t>der</w:t>
      </w:r>
      <w:r w:rsidRPr="00580F1D">
        <w:rPr>
          <w:spacing w:val="-11"/>
        </w:rPr>
        <w:t xml:space="preserve"> </w:t>
      </w:r>
      <w:r w:rsidRPr="00580F1D">
        <w:t>Prophet</w:t>
      </w:r>
      <w:r w:rsidRPr="00580F1D">
        <w:rPr>
          <w:spacing w:val="-11"/>
        </w:rPr>
        <w:t xml:space="preserve"> </w:t>
      </w:r>
      <w:r w:rsidRPr="00580F1D">
        <w:t>Mohammed</w:t>
      </w:r>
      <w:r w:rsidRPr="00580F1D">
        <w:rPr>
          <w:spacing w:val="-9"/>
        </w:rPr>
        <w:t xml:space="preserve"> </w:t>
      </w:r>
      <w:r w:rsidRPr="00580F1D">
        <w:t>von</w:t>
      </w:r>
      <w:r w:rsidRPr="00580F1D">
        <w:rPr>
          <w:spacing w:val="-11"/>
        </w:rPr>
        <w:t xml:space="preserve"> </w:t>
      </w:r>
      <w:r w:rsidRPr="00580F1D">
        <w:t>Mekka</w:t>
      </w:r>
      <w:r w:rsidRPr="00580F1D">
        <w:rPr>
          <w:spacing w:val="-12"/>
        </w:rPr>
        <w:t xml:space="preserve"> </w:t>
      </w:r>
      <w:r w:rsidRPr="00580F1D">
        <w:t>nach</w:t>
      </w:r>
      <w:r w:rsidRPr="00580F1D">
        <w:rPr>
          <w:spacing w:val="-10"/>
        </w:rPr>
        <w:t xml:space="preserve"> </w:t>
      </w:r>
      <w:r w:rsidRPr="00580F1D">
        <w:t>Medina</w:t>
      </w:r>
      <w:r w:rsidRPr="00580F1D">
        <w:rPr>
          <w:spacing w:val="-12"/>
        </w:rPr>
        <w:t xml:space="preserve"> </w:t>
      </w:r>
      <w:r w:rsidRPr="00580F1D">
        <w:t>emigrierte.</w:t>
      </w:r>
      <w:r w:rsidRPr="00580F1D">
        <w:rPr>
          <w:spacing w:val="-9"/>
        </w:rPr>
        <w:t xml:space="preserve"> </w:t>
      </w:r>
      <w:r w:rsidRPr="00580F1D">
        <w:t>Seine Lehre hatte Erfolg, weil sie die Gefühls- und Glaubenswelt der Araber und Beduinen, deren Lebensform, Stammesbewusstsein und Traditionen sowie die Tugenden der Vorfahren achtete. Wie andere Religionsstifter respektierte auch Muhamad (= der Gepriesene) aus taktischen Gründen die bestehenden (heidnischen) Bräuche und Traditionen. Deshalb etwa erklärte er die Ka’ba (schwarzer Stein in Mekka) zum größten Heiligtum</w:t>
      </w:r>
      <w:r w:rsidR="00926A05">
        <w:t xml:space="preserve"> (vgl. von Glasenapp 1992, S.364ff.</w:t>
      </w:r>
      <w:r w:rsidRPr="00580F1D">
        <w:t>). Gefördert wurde die Religionsgründung möglicherweise aber noch mehr dadurch,</w:t>
      </w:r>
      <w:r w:rsidRPr="00580F1D">
        <w:rPr>
          <w:spacing w:val="-11"/>
        </w:rPr>
        <w:t xml:space="preserve"> </w:t>
      </w:r>
      <w:r w:rsidRPr="00580F1D">
        <w:t>dass</w:t>
      </w:r>
      <w:r w:rsidRPr="00580F1D">
        <w:rPr>
          <w:spacing w:val="-11"/>
        </w:rPr>
        <w:t xml:space="preserve"> </w:t>
      </w:r>
      <w:r w:rsidRPr="00580F1D">
        <w:t>sich</w:t>
      </w:r>
      <w:r w:rsidRPr="00580F1D">
        <w:rPr>
          <w:spacing w:val="-8"/>
        </w:rPr>
        <w:t xml:space="preserve"> </w:t>
      </w:r>
      <w:r w:rsidRPr="00580F1D">
        <w:t>in</w:t>
      </w:r>
      <w:r w:rsidRPr="00580F1D">
        <w:rPr>
          <w:spacing w:val="-9"/>
        </w:rPr>
        <w:t xml:space="preserve"> </w:t>
      </w:r>
      <w:r w:rsidRPr="00580F1D">
        <w:t>diesem</w:t>
      </w:r>
      <w:r w:rsidRPr="00580F1D">
        <w:rPr>
          <w:spacing w:val="-11"/>
        </w:rPr>
        <w:t xml:space="preserve"> </w:t>
      </w:r>
      <w:r w:rsidRPr="00580F1D">
        <w:t>Jahrhundert</w:t>
      </w:r>
      <w:r w:rsidRPr="00580F1D">
        <w:rPr>
          <w:spacing w:val="-12"/>
        </w:rPr>
        <w:t xml:space="preserve"> </w:t>
      </w:r>
      <w:r w:rsidRPr="00580F1D">
        <w:t>die</w:t>
      </w:r>
      <w:r w:rsidRPr="00580F1D">
        <w:rPr>
          <w:spacing w:val="-10"/>
        </w:rPr>
        <w:t xml:space="preserve"> </w:t>
      </w:r>
      <w:r w:rsidRPr="00580F1D">
        <w:t>traditionelle</w:t>
      </w:r>
      <w:r w:rsidRPr="00580F1D">
        <w:rPr>
          <w:spacing w:val="-11"/>
        </w:rPr>
        <w:t xml:space="preserve"> </w:t>
      </w:r>
      <w:r w:rsidRPr="00580F1D">
        <w:t>Stammesgesellschaft</w:t>
      </w:r>
      <w:r w:rsidRPr="00580F1D">
        <w:rPr>
          <w:spacing w:val="-10"/>
        </w:rPr>
        <w:t xml:space="preserve"> </w:t>
      </w:r>
      <w:r w:rsidRPr="00580F1D">
        <w:t>der Beduinen zunehmend auflöste und die in den Wüstengebieten Arabiens nomadisierenden Menschen in dem neuen Glauben ihre Identität (wieder-)fanden (vgl. Antes 1997, S.23f.).</w:t>
      </w:r>
    </w:p>
    <w:p w14:paraId="78B5FAE7" w14:textId="77777777" w:rsidR="00FF7799" w:rsidRPr="00580F1D" w:rsidRDefault="00FF7799" w:rsidP="007B6B40">
      <w:pPr>
        <w:pStyle w:val="StandardText"/>
      </w:pPr>
      <w:r w:rsidRPr="00580F1D">
        <w:t>Mohammed wurde Oberhaupt eines Staatswesens, das sich rasch über den gesamten</w:t>
      </w:r>
      <w:r w:rsidRPr="00580F1D">
        <w:rPr>
          <w:spacing w:val="-8"/>
        </w:rPr>
        <w:t xml:space="preserve"> </w:t>
      </w:r>
      <w:r w:rsidRPr="00580F1D">
        <w:t>arabischen</w:t>
      </w:r>
      <w:r w:rsidRPr="00580F1D">
        <w:rPr>
          <w:spacing w:val="-8"/>
        </w:rPr>
        <w:t xml:space="preserve"> </w:t>
      </w:r>
      <w:r w:rsidRPr="00580F1D">
        <w:t>Raum</w:t>
      </w:r>
      <w:r w:rsidRPr="00580F1D">
        <w:rPr>
          <w:spacing w:val="-9"/>
        </w:rPr>
        <w:t xml:space="preserve"> </w:t>
      </w:r>
      <w:r w:rsidRPr="00580F1D">
        <w:t>ausdehnte.</w:t>
      </w:r>
      <w:r w:rsidRPr="00580F1D">
        <w:rPr>
          <w:spacing w:val="-10"/>
        </w:rPr>
        <w:t xml:space="preserve"> </w:t>
      </w:r>
      <w:r w:rsidRPr="00580F1D">
        <w:t>Seine</w:t>
      </w:r>
      <w:r w:rsidRPr="00580F1D">
        <w:rPr>
          <w:spacing w:val="-8"/>
        </w:rPr>
        <w:t xml:space="preserve"> </w:t>
      </w:r>
      <w:r w:rsidRPr="00580F1D">
        <w:t>Nachfolger,</w:t>
      </w:r>
      <w:r w:rsidRPr="00580F1D">
        <w:rPr>
          <w:spacing w:val="-8"/>
        </w:rPr>
        <w:t xml:space="preserve"> </w:t>
      </w:r>
      <w:r w:rsidRPr="00580F1D">
        <w:t>die</w:t>
      </w:r>
      <w:r w:rsidRPr="00580F1D">
        <w:rPr>
          <w:spacing w:val="-8"/>
        </w:rPr>
        <w:t xml:space="preserve"> </w:t>
      </w:r>
      <w:r w:rsidRPr="00580F1D">
        <w:t>Kalifen,</w:t>
      </w:r>
      <w:r w:rsidRPr="00580F1D">
        <w:rPr>
          <w:spacing w:val="-8"/>
        </w:rPr>
        <w:t xml:space="preserve"> </w:t>
      </w:r>
      <w:r w:rsidRPr="00580F1D">
        <w:t>unterwarfen innerhalb von wenigen Jahrzehnten den Vorderen Orient und eroberten im 8. Jahrhundert</w:t>
      </w:r>
      <w:r w:rsidRPr="00580F1D">
        <w:rPr>
          <w:spacing w:val="-11"/>
        </w:rPr>
        <w:t xml:space="preserve"> </w:t>
      </w:r>
      <w:r w:rsidRPr="00580F1D">
        <w:t>große</w:t>
      </w:r>
      <w:r w:rsidRPr="00580F1D">
        <w:rPr>
          <w:spacing w:val="-9"/>
        </w:rPr>
        <w:t xml:space="preserve"> </w:t>
      </w:r>
      <w:r w:rsidRPr="00580F1D">
        <w:t>Teile</w:t>
      </w:r>
      <w:r w:rsidRPr="00580F1D">
        <w:rPr>
          <w:spacing w:val="-9"/>
        </w:rPr>
        <w:t xml:space="preserve"> </w:t>
      </w:r>
      <w:r w:rsidRPr="00580F1D">
        <w:t>Spaniens.</w:t>
      </w:r>
      <w:r w:rsidRPr="00580F1D">
        <w:rPr>
          <w:spacing w:val="-11"/>
        </w:rPr>
        <w:t xml:space="preserve"> </w:t>
      </w:r>
      <w:r w:rsidRPr="00580F1D">
        <w:t>Nach</w:t>
      </w:r>
      <w:r w:rsidRPr="00580F1D">
        <w:rPr>
          <w:spacing w:val="-8"/>
        </w:rPr>
        <w:t xml:space="preserve"> </w:t>
      </w:r>
      <w:r w:rsidRPr="00580F1D">
        <w:t>dem</w:t>
      </w:r>
      <w:r w:rsidRPr="00580F1D">
        <w:rPr>
          <w:spacing w:val="-10"/>
        </w:rPr>
        <w:t xml:space="preserve"> </w:t>
      </w:r>
      <w:r w:rsidRPr="00580F1D">
        <w:t>Niedergang</w:t>
      </w:r>
      <w:r w:rsidRPr="00580F1D">
        <w:rPr>
          <w:spacing w:val="-7"/>
        </w:rPr>
        <w:t xml:space="preserve"> </w:t>
      </w:r>
      <w:r w:rsidRPr="00580F1D">
        <w:t>des</w:t>
      </w:r>
      <w:r w:rsidRPr="00580F1D">
        <w:rPr>
          <w:spacing w:val="-9"/>
        </w:rPr>
        <w:t xml:space="preserve"> </w:t>
      </w:r>
      <w:r w:rsidRPr="00580F1D">
        <w:t>Kalifenreichs</w:t>
      </w:r>
      <w:r w:rsidRPr="00580F1D">
        <w:rPr>
          <w:spacing w:val="-10"/>
        </w:rPr>
        <w:t xml:space="preserve"> </w:t>
      </w:r>
      <w:r w:rsidRPr="00580F1D">
        <w:t>gelang im 10. Jahrhundert die Islamisierung der Türkei und im 11. Jahrhundert Indiens. Während des Osmanischen Reichs fasste der Islam auch in Teilen Europas Fuß, im 16. Jahrhundert in Indonesien und im 20. Jahrhundert zunehmend auf dem afrikanischen Kontinent. Mittlerweile dominiert diese Religion im Vorderen Orient,</w:t>
      </w:r>
      <w:r w:rsidRPr="00580F1D">
        <w:rPr>
          <w:spacing w:val="-6"/>
        </w:rPr>
        <w:t xml:space="preserve"> </w:t>
      </w:r>
      <w:r w:rsidRPr="00580F1D">
        <w:t>in</w:t>
      </w:r>
      <w:r w:rsidRPr="00580F1D">
        <w:rPr>
          <w:spacing w:val="-6"/>
        </w:rPr>
        <w:t xml:space="preserve"> </w:t>
      </w:r>
      <w:r w:rsidRPr="00580F1D">
        <w:t>Nordafrika,</w:t>
      </w:r>
      <w:r w:rsidRPr="00580F1D">
        <w:rPr>
          <w:spacing w:val="-6"/>
        </w:rPr>
        <w:t xml:space="preserve"> </w:t>
      </w:r>
      <w:r w:rsidRPr="00580F1D">
        <w:t>in</w:t>
      </w:r>
      <w:r w:rsidRPr="00580F1D">
        <w:rPr>
          <w:spacing w:val="-6"/>
        </w:rPr>
        <w:t xml:space="preserve"> </w:t>
      </w:r>
      <w:r w:rsidRPr="00580F1D">
        <w:t>Pakistan,</w:t>
      </w:r>
      <w:r w:rsidRPr="00580F1D">
        <w:rPr>
          <w:spacing w:val="-6"/>
        </w:rPr>
        <w:t xml:space="preserve"> </w:t>
      </w:r>
      <w:r w:rsidRPr="00580F1D">
        <w:t>im</w:t>
      </w:r>
      <w:r w:rsidRPr="00580F1D">
        <w:rPr>
          <w:spacing w:val="-6"/>
        </w:rPr>
        <w:t xml:space="preserve"> </w:t>
      </w:r>
      <w:r w:rsidRPr="00580F1D">
        <w:t>Irak</w:t>
      </w:r>
      <w:r w:rsidRPr="00580F1D">
        <w:rPr>
          <w:spacing w:val="-6"/>
        </w:rPr>
        <w:t xml:space="preserve"> </w:t>
      </w:r>
      <w:r w:rsidRPr="00580F1D">
        <w:t>und</w:t>
      </w:r>
      <w:r w:rsidRPr="00580F1D">
        <w:rPr>
          <w:spacing w:val="-6"/>
        </w:rPr>
        <w:t xml:space="preserve"> </w:t>
      </w:r>
      <w:r w:rsidRPr="00580F1D">
        <w:t>im</w:t>
      </w:r>
      <w:r w:rsidRPr="00580F1D">
        <w:rPr>
          <w:spacing w:val="-6"/>
        </w:rPr>
        <w:t xml:space="preserve"> </w:t>
      </w:r>
      <w:r w:rsidRPr="00580F1D">
        <w:t>Iran</w:t>
      </w:r>
      <w:r w:rsidRPr="00580F1D">
        <w:rPr>
          <w:spacing w:val="-6"/>
        </w:rPr>
        <w:t xml:space="preserve"> </w:t>
      </w:r>
      <w:r w:rsidRPr="00580F1D">
        <w:t>sowie</w:t>
      </w:r>
      <w:r w:rsidRPr="00580F1D">
        <w:rPr>
          <w:spacing w:val="-7"/>
        </w:rPr>
        <w:t xml:space="preserve"> </w:t>
      </w:r>
      <w:r w:rsidRPr="00580F1D">
        <w:t>in</w:t>
      </w:r>
      <w:r w:rsidRPr="00580F1D">
        <w:rPr>
          <w:spacing w:val="-6"/>
        </w:rPr>
        <w:t xml:space="preserve"> </w:t>
      </w:r>
      <w:r w:rsidRPr="00580F1D">
        <w:t>Indonesien.</w:t>
      </w:r>
      <w:r w:rsidRPr="00580F1D">
        <w:rPr>
          <w:spacing w:val="-6"/>
        </w:rPr>
        <w:t xml:space="preserve"> </w:t>
      </w:r>
      <w:r w:rsidRPr="00580F1D">
        <w:t>Starke muslimische Gemeinschaften haben sich weiterhin in Albanien, Bosnien- Herzegowina, Zentralasien, aber auch in Indien, China und auf den Philippinen gebildet. In nahezu allen Ländern, in welchen die muslimische Bevölkerung überwiegt,</w:t>
      </w:r>
      <w:r w:rsidRPr="00580F1D">
        <w:rPr>
          <w:spacing w:val="-9"/>
        </w:rPr>
        <w:t xml:space="preserve"> </w:t>
      </w:r>
      <w:r w:rsidRPr="00580F1D">
        <w:t>ist</w:t>
      </w:r>
      <w:r w:rsidRPr="00580F1D">
        <w:rPr>
          <w:spacing w:val="-10"/>
        </w:rPr>
        <w:t xml:space="preserve"> </w:t>
      </w:r>
      <w:r w:rsidRPr="00580F1D">
        <w:t>der</w:t>
      </w:r>
      <w:r w:rsidRPr="00580F1D">
        <w:rPr>
          <w:spacing w:val="-10"/>
        </w:rPr>
        <w:t xml:space="preserve"> </w:t>
      </w:r>
      <w:r w:rsidRPr="00580F1D">
        <w:t>Islam</w:t>
      </w:r>
      <w:r w:rsidRPr="00580F1D">
        <w:rPr>
          <w:spacing w:val="-9"/>
        </w:rPr>
        <w:t xml:space="preserve"> </w:t>
      </w:r>
      <w:r w:rsidRPr="00580F1D">
        <w:t>Staatsreligion;</w:t>
      </w:r>
      <w:r w:rsidRPr="00580F1D">
        <w:rPr>
          <w:spacing w:val="-10"/>
        </w:rPr>
        <w:t xml:space="preserve"> </w:t>
      </w:r>
      <w:r w:rsidRPr="00580F1D">
        <w:t>denn</w:t>
      </w:r>
      <w:r w:rsidRPr="00580F1D">
        <w:rPr>
          <w:spacing w:val="-5"/>
        </w:rPr>
        <w:t xml:space="preserve"> </w:t>
      </w:r>
      <w:r w:rsidRPr="00580F1D">
        <w:t>als</w:t>
      </w:r>
      <w:r w:rsidRPr="00580F1D">
        <w:rPr>
          <w:spacing w:val="-10"/>
        </w:rPr>
        <w:t xml:space="preserve"> </w:t>
      </w:r>
      <w:r w:rsidRPr="00580F1D">
        <w:t>nichtmissionierende</w:t>
      </w:r>
      <w:r w:rsidRPr="00580F1D">
        <w:rPr>
          <w:spacing w:val="-9"/>
        </w:rPr>
        <w:t xml:space="preserve"> </w:t>
      </w:r>
      <w:r w:rsidRPr="00580F1D">
        <w:t>Religion</w:t>
      </w:r>
      <w:r w:rsidRPr="00580F1D">
        <w:rPr>
          <w:spacing w:val="-9"/>
        </w:rPr>
        <w:t xml:space="preserve"> </w:t>
      </w:r>
      <w:r w:rsidRPr="00580F1D">
        <w:t>liegt dem Islam weniger daran, die Ungläubigen zu bekehren, als seinen Herrschaftsbereich</w:t>
      </w:r>
      <w:r w:rsidRPr="00580F1D">
        <w:rPr>
          <w:spacing w:val="32"/>
        </w:rPr>
        <w:t xml:space="preserve"> </w:t>
      </w:r>
      <w:r w:rsidRPr="00580F1D">
        <w:t>auszudehnen,</w:t>
      </w:r>
      <w:r w:rsidRPr="00580F1D">
        <w:rPr>
          <w:spacing w:val="34"/>
        </w:rPr>
        <w:t xml:space="preserve"> </w:t>
      </w:r>
      <w:r w:rsidRPr="00580F1D">
        <w:t>gegebenenfalls</w:t>
      </w:r>
      <w:r w:rsidRPr="00580F1D">
        <w:rPr>
          <w:spacing w:val="32"/>
        </w:rPr>
        <w:t xml:space="preserve"> </w:t>
      </w:r>
      <w:r w:rsidRPr="00580F1D">
        <w:t>mit</w:t>
      </w:r>
      <w:r w:rsidRPr="00580F1D">
        <w:rPr>
          <w:spacing w:val="33"/>
        </w:rPr>
        <w:t xml:space="preserve"> </w:t>
      </w:r>
      <w:r w:rsidRPr="00580F1D">
        <w:t>Hilfe</w:t>
      </w:r>
      <w:r w:rsidRPr="00580F1D">
        <w:rPr>
          <w:spacing w:val="32"/>
        </w:rPr>
        <w:t xml:space="preserve"> </w:t>
      </w:r>
      <w:r w:rsidRPr="00580F1D">
        <w:t>des</w:t>
      </w:r>
      <w:r w:rsidRPr="00580F1D">
        <w:rPr>
          <w:spacing w:val="37"/>
        </w:rPr>
        <w:t xml:space="preserve"> </w:t>
      </w:r>
      <w:r w:rsidRPr="00580F1D">
        <w:rPr>
          <w:spacing w:val="-2"/>
        </w:rPr>
        <w:t xml:space="preserve">Dschihad </w:t>
      </w:r>
      <w:r w:rsidRPr="00580F1D">
        <w:t>(„Heiliger</w:t>
      </w:r>
      <w:r w:rsidRPr="00580F1D">
        <w:rPr>
          <w:spacing w:val="-3"/>
        </w:rPr>
        <w:t xml:space="preserve"> </w:t>
      </w:r>
      <w:r w:rsidRPr="00580F1D">
        <w:rPr>
          <w:spacing w:val="-2"/>
        </w:rPr>
        <w:t>Krieg“).</w:t>
      </w:r>
    </w:p>
    <w:p w14:paraId="7867675A" w14:textId="77777777" w:rsidR="00FF7799" w:rsidRPr="00E73F6F" w:rsidRDefault="00FF7799" w:rsidP="007B6B40">
      <w:pPr>
        <w:pStyle w:val="StandardText"/>
      </w:pPr>
      <w:r w:rsidRPr="00580F1D">
        <w:t>Wie in den übrigen Weltreligionen, so haben sich auch im Islam verschiedene Strömungen entwickelt: ca. 90% aller Muslime sind Sunniten, ca. 10% Charidschiten sowie Schiiten. Als Anhänger der Partei (arab. = Schia) des 4. Kalifen Ali Ibn Abi Talib erkennen die Schiiten nur</w:t>
      </w:r>
      <w:r w:rsidRPr="00E73F6F">
        <w:t xml:space="preserve"> </w:t>
      </w:r>
      <w:r w:rsidRPr="00E73F6F">
        <w:lastRenderedPageBreak/>
        <w:t>dessen Nachkommen als rechtmäßige</w:t>
      </w:r>
      <w:r w:rsidRPr="00E73F6F">
        <w:rPr>
          <w:spacing w:val="-5"/>
        </w:rPr>
        <w:t xml:space="preserve"> </w:t>
      </w:r>
      <w:r w:rsidRPr="00E73F6F">
        <w:t>Imame</w:t>
      </w:r>
      <w:r w:rsidRPr="00E73F6F">
        <w:rPr>
          <w:spacing w:val="-5"/>
        </w:rPr>
        <w:t xml:space="preserve"> </w:t>
      </w:r>
      <w:r w:rsidRPr="00E73F6F">
        <w:t>an.</w:t>
      </w:r>
      <w:r w:rsidRPr="00E73F6F">
        <w:rPr>
          <w:spacing w:val="-3"/>
        </w:rPr>
        <w:t xml:space="preserve"> </w:t>
      </w:r>
      <w:r w:rsidRPr="00E73F6F">
        <w:t>Im</w:t>
      </w:r>
      <w:r w:rsidRPr="00E73F6F">
        <w:rPr>
          <w:spacing w:val="-5"/>
        </w:rPr>
        <w:t xml:space="preserve"> </w:t>
      </w:r>
      <w:r w:rsidRPr="00E73F6F">
        <w:t>Iran</w:t>
      </w:r>
      <w:r w:rsidRPr="00E73F6F">
        <w:rPr>
          <w:spacing w:val="-4"/>
        </w:rPr>
        <w:t xml:space="preserve"> </w:t>
      </w:r>
      <w:r w:rsidRPr="00E73F6F">
        <w:t>und</w:t>
      </w:r>
      <w:r w:rsidRPr="00E73F6F">
        <w:rPr>
          <w:spacing w:val="-4"/>
        </w:rPr>
        <w:t xml:space="preserve"> </w:t>
      </w:r>
      <w:r w:rsidRPr="00E73F6F">
        <w:t>im</w:t>
      </w:r>
      <w:r w:rsidRPr="00E73F6F">
        <w:rPr>
          <w:spacing w:val="-5"/>
        </w:rPr>
        <w:t xml:space="preserve"> </w:t>
      </w:r>
      <w:r w:rsidRPr="00E73F6F">
        <w:t>Irak</w:t>
      </w:r>
      <w:r w:rsidRPr="00E73F6F">
        <w:rPr>
          <w:spacing w:val="-4"/>
        </w:rPr>
        <w:t xml:space="preserve"> </w:t>
      </w:r>
      <w:r w:rsidRPr="00E73F6F">
        <w:t>stellen</w:t>
      </w:r>
      <w:r w:rsidRPr="00E73F6F">
        <w:rPr>
          <w:spacing w:val="-4"/>
        </w:rPr>
        <w:t xml:space="preserve"> </w:t>
      </w:r>
      <w:r w:rsidRPr="00E73F6F">
        <w:t>sie</w:t>
      </w:r>
      <w:r w:rsidRPr="00E73F6F">
        <w:rPr>
          <w:spacing w:val="-5"/>
        </w:rPr>
        <w:t xml:space="preserve"> </w:t>
      </w:r>
      <w:r w:rsidRPr="00E73F6F">
        <w:t>die</w:t>
      </w:r>
      <w:r w:rsidRPr="00E73F6F">
        <w:rPr>
          <w:spacing w:val="-5"/>
        </w:rPr>
        <w:t xml:space="preserve"> </w:t>
      </w:r>
      <w:r w:rsidRPr="00E73F6F">
        <w:t>Bevölkerungsmehrheit, zerfallen aber in mehrere Richtungen (z.B. Ismailiten, Zaiditen, Imamiten).</w:t>
      </w:r>
    </w:p>
    <w:p w14:paraId="31F4D637" w14:textId="77777777" w:rsidR="00FF7799" w:rsidRPr="00E73F6F" w:rsidRDefault="00FF7799" w:rsidP="007B6B40">
      <w:pPr>
        <w:pStyle w:val="StandardText"/>
      </w:pPr>
      <w:r w:rsidRPr="00E73F6F">
        <w:t>Die beiden Hauptbekenntnisse unterscheiden sich vor allem darin, wie sie die Schari’a anwenden. Während die Schiiten auch das Urteil kompetenter Moslems als relevant erachten, beantworten die Sunniten Rechtsfragen ausschließlich auf der Basis von Koran und Sunna. Die Wahhabiten, eine radikal-konservative Strömung innerhalb der Sunniten, verbieten sogar die Interpretation beider Schriften und legen diese streng gemäß Wortlaut aus (vgl. Ettlinger 1987, S.44). Ihr</w:t>
      </w:r>
      <w:r w:rsidRPr="00E73F6F">
        <w:rPr>
          <w:spacing w:val="1"/>
        </w:rPr>
        <w:t xml:space="preserve"> </w:t>
      </w:r>
      <w:r w:rsidRPr="00E73F6F">
        <w:t>religiöser</w:t>
      </w:r>
      <w:r w:rsidRPr="00E73F6F">
        <w:rPr>
          <w:spacing w:val="-2"/>
        </w:rPr>
        <w:t xml:space="preserve"> </w:t>
      </w:r>
      <w:r w:rsidRPr="00E73F6F">
        <w:t>und</w:t>
      </w:r>
      <w:r w:rsidRPr="00E73F6F">
        <w:rPr>
          <w:spacing w:val="1"/>
        </w:rPr>
        <w:t xml:space="preserve"> </w:t>
      </w:r>
      <w:r w:rsidRPr="00E73F6F">
        <w:t>weltlicher Führer ist</w:t>
      </w:r>
      <w:r w:rsidRPr="00E73F6F">
        <w:rPr>
          <w:spacing w:val="1"/>
        </w:rPr>
        <w:t xml:space="preserve"> </w:t>
      </w:r>
      <w:r w:rsidRPr="00E73F6F">
        <w:t>der</w:t>
      </w:r>
      <w:r w:rsidRPr="00E73F6F">
        <w:rPr>
          <w:spacing w:val="-1"/>
        </w:rPr>
        <w:t xml:space="preserve"> </w:t>
      </w:r>
      <w:r w:rsidRPr="00E73F6F">
        <w:t>König</w:t>
      </w:r>
      <w:r w:rsidRPr="00E73F6F">
        <w:rPr>
          <w:spacing w:val="-1"/>
        </w:rPr>
        <w:t xml:space="preserve"> </w:t>
      </w:r>
      <w:r w:rsidRPr="00E73F6F">
        <w:t>von</w:t>
      </w:r>
      <w:r w:rsidRPr="00E73F6F">
        <w:rPr>
          <w:spacing w:val="-1"/>
        </w:rPr>
        <w:t xml:space="preserve"> </w:t>
      </w:r>
      <w:r w:rsidRPr="00E73F6F">
        <w:t>Saudi-Arabien,</w:t>
      </w:r>
      <w:r w:rsidRPr="00E73F6F">
        <w:rPr>
          <w:spacing w:val="1"/>
        </w:rPr>
        <w:t xml:space="preserve"> </w:t>
      </w:r>
      <w:r w:rsidRPr="00E73F6F">
        <w:t xml:space="preserve">weshalb </w:t>
      </w:r>
      <w:r w:rsidRPr="00E73F6F">
        <w:rPr>
          <w:spacing w:val="-5"/>
        </w:rPr>
        <w:t xml:space="preserve">die </w:t>
      </w:r>
      <w:r w:rsidRPr="00E73F6F">
        <w:t>„Saudis“ seit jeher als die konservativsten Muslime gelten (vgl. Culpan 1985). Während etwa in den Vereinigten Arabischen Emiraten der Koran „großzügig interpretiert“</w:t>
      </w:r>
      <w:r w:rsidRPr="00E73F6F">
        <w:rPr>
          <w:spacing w:val="-1"/>
        </w:rPr>
        <w:t xml:space="preserve"> </w:t>
      </w:r>
      <w:r w:rsidRPr="00E73F6F">
        <w:t>wird und</w:t>
      </w:r>
      <w:r w:rsidRPr="00E73F6F">
        <w:rPr>
          <w:spacing w:val="-1"/>
        </w:rPr>
        <w:t xml:space="preserve"> </w:t>
      </w:r>
      <w:r w:rsidRPr="00E73F6F">
        <w:t>deshalb auch Alkohollizenzen erhältlich sind, ist in Saudi-Arabien selbst andersgläubigen Ausländern der Konsum alkoholischer Getränke verboten. Als Charidschiten werden die Anhänger der ältesten islamischen Sekte bezeichnet, die heute noch in Nordafrika und Oman vertreten ist.</w:t>
      </w:r>
    </w:p>
    <w:p w14:paraId="18CAD2D3" w14:textId="77777777" w:rsidR="00FF7799" w:rsidRPr="00E73F6F" w:rsidRDefault="00FF7799" w:rsidP="007B6B40">
      <w:pPr>
        <w:pStyle w:val="StandardText"/>
        <w:rPr>
          <w:color w:val="FF0000"/>
        </w:rPr>
      </w:pPr>
    </w:p>
    <w:p w14:paraId="3806B022" w14:textId="77777777" w:rsidR="00FF7799" w:rsidRPr="00580F1D" w:rsidRDefault="00FF7799" w:rsidP="007B6B40">
      <w:pPr>
        <w:pStyle w:val="StandardTextkursiv"/>
        <w:rPr>
          <w:i w:val="0"/>
        </w:rPr>
      </w:pPr>
      <w:r w:rsidRPr="00580F1D">
        <w:rPr>
          <w:i w:val="0"/>
        </w:rPr>
        <w:t>2 Glaubensbekenntnis &amp;</w:t>
      </w:r>
      <w:r w:rsidRPr="00580F1D">
        <w:rPr>
          <w:i w:val="0"/>
          <w:spacing w:val="-1"/>
        </w:rPr>
        <w:t xml:space="preserve"> </w:t>
      </w:r>
      <w:r w:rsidRPr="00580F1D">
        <w:rPr>
          <w:i w:val="0"/>
          <w:spacing w:val="-2"/>
        </w:rPr>
        <w:t>Symbol</w:t>
      </w:r>
    </w:p>
    <w:p w14:paraId="739FED21" w14:textId="77777777" w:rsidR="00FF7799" w:rsidRPr="00E73F6F" w:rsidRDefault="00FF7799" w:rsidP="00C33A6A">
      <w:pPr>
        <w:pStyle w:val="StandardText"/>
      </w:pPr>
      <w:r w:rsidRPr="00580F1D">
        <w:t>Das</w:t>
      </w:r>
      <w:r w:rsidRPr="00580F1D">
        <w:rPr>
          <w:spacing w:val="-9"/>
        </w:rPr>
        <w:t xml:space="preserve"> </w:t>
      </w:r>
      <w:r w:rsidRPr="00580F1D">
        <w:t>islamische</w:t>
      </w:r>
      <w:r w:rsidRPr="00580F1D">
        <w:rPr>
          <w:spacing w:val="-7"/>
        </w:rPr>
        <w:t xml:space="preserve"> </w:t>
      </w:r>
      <w:r w:rsidRPr="00580F1D">
        <w:t>Glaubensbekenntnis</w:t>
      </w:r>
      <w:r w:rsidRPr="00580F1D">
        <w:rPr>
          <w:spacing w:val="-7"/>
        </w:rPr>
        <w:t xml:space="preserve"> </w:t>
      </w:r>
      <w:r w:rsidRPr="00580F1D">
        <w:t>('schahada')</w:t>
      </w:r>
      <w:r w:rsidRPr="00580F1D">
        <w:rPr>
          <w:spacing w:val="-9"/>
        </w:rPr>
        <w:t xml:space="preserve"> </w:t>
      </w:r>
      <w:r w:rsidRPr="00580F1D">
        <w:t>lautet:</w:t>
      </w:r>
      <w:r w:rsidRPr="00580F1D">
        <w:rPr>
          <w:spacing w:val="-8"/>
        </w:rPr>
        <w:t xml:space="preserve"> </w:t>
      </w:r>
      <w:r w:rsidRPr="00580F1D">
        <w:t>„Es</w:t>
      </w:r>
      <w:r w:rsidRPr="00580F1D">
        <w:rPr>
          <w:spacing w:val="-9"/>
        </w:rPr>
        <w:t xml:space="preserve"> </w:t>
      </w:r>
      <w:r w:rsidRPr="00580F1D">
        <w:t>gibt</w:t>
      </w:r>
      <w:r w:rsidRPr="00580F1D">
        <w:rPr>
          <w:spacing w:val="-8"/>
        </w:rPr>
        <w:t xml:space="preserve"> </w:t>
      </w:r>
      <w:r w:rsidRPr="00580F1D">
        <w:t>keinen</w:t>
      </w:r>
      <w:r w:rsidRPr="00580F1D">
        <w:rPr>
          <w:spacing w:val="-8"/>
        </w:rPr>
        <w:t xml:space="preserve"> </w:t>
      </w:r>
      <w:r w:rsidRPr="00580F1D">
        <w:t>Gott</w:t>
      </w:r>
      <w:r w:rsidRPr="00580F1D">
        <w:rPr>
          <w:spacing w:val="-8"/>
        </w:rPr>
        <w:t xml:space="preserve"> </w:t>
      </w:r>
      <w:r w:rsidRPr="00580F1D">
        <w:t>außer Gott, und Muhammad ist der Gesandte Gottes.“ Das arabische Schriftbild dieses Glaubensbekenntnisses ist das eigentliche Symbol des Islam. Im Vergleich</w:t>
      </w:r>
      <w:r w:rsidRPr="00E73F6F">
        <w:t xml:space="preserve"> dazu ist die im Westen als Halbmond bezeichnete Mondsichel ein eher weltliches </w:t>
      </w:r>
      <w:r w:rsidRPr="00E73F6F">
        <w:rPr>
          <w:spacing w:val="-2"/>
        </w:rPr>
        <w:t>Symbol.</w:t>
      </w:r>
    </w:p>
    <w:p w14:paraId="5958F097" w14:textId="77777777" w:rsidR="00FF7799" w:rsidRPr="00E73F6F" w:rsidRDefault="00FF7799" w:rsidP="007B6B40">
      <w:pPr>
        <w:spacing w:before="9"/>
        <w:jc w:val="center"/>
        <w:rPr>
          <w:sz w:val="24"/>
          <w:szCs w:val="24"/>
        </w:rPr>
      </w:pPr>
    </w:p>
    <w:p w14:paraId="4412B662" w14:textId="77777777" w:rsidR="00FF7799" w:rsidRPr="00E73F6F" w:rsidRDefault="00FF7799" w:rsidP="007B6B40">
      <w:pPr>
        <w:jc w:val="center"/>
        <w:rPr>
          <w:sz w:val="24"/>
          <w:szCs w:val="24"/>
        </w:rPr>
      </w:pPr>
      <w:r w:rsidRPr="00E73F6F">
        <w:rPr>
          <w:noProof/>
          <w:sz w:val="24"/>
          <w:szCs w:val="24"/>
          <w:lang w:eastAsia="de-DE"/>
        </w:rPr>
        <mc:AlternateContent>
          <mc:Choice Requires="wpg">
            <w:drawing>
              <wp:inline distT="0" distB="0" distL="0" distR="0" wp14:anchorId="39212E67" wp14:editId="48FE027B">
                <wp:extent cx="3683000" cy="1739264"/>
                <wp:effectExtent l="0" t="0" r="0" b="3810"/>
                <wp:docPr id="2296081" name="Group 10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00" cy="1739264"/>
                          <a:chOff x="0" y="0"/>
                          <a:chExt cx="3683000" cy="1739264"/>
                        </a:xfrm>
                      </wpg:grpSpPr>
                      <pic:pic xmlns:pic="http://schemas.openxmlformats.org/drawingml/2006/picture">
                        <pic:nvPicPr>
                          <pic:cNvPr id="2296082" name="Image 1075"/>
                          <pic:cNvPicPr/>
                        </pic:nvPicPr>
                        <pic:blipFill>
                          <a:blip r:embed="rId81" cstate="print"/>
                          <a:stretch>
                            <a:fillRect/>
                          </a:stretch>
                        </pic:blipFill>
                        <pic:spPr>
                          <a:xfrm>
                            <a:off x="1028503" y="22968"/>
                            <a:ext cx="1615116" cy="1614896"/>
                          </a:xfrm>
                          <a:prstGeom prst="rect">
                            <a:avLst/>
                          </a:prstGeom>
                        </pic:spPr>
                      </pic:pic>
                      <wps:wsp>
                        <wps:cNvPr id="2296083" name="Graphic 1076"/>
                        <wps:cNvSpPr/>
                        <wps:spPr>
                          <a:xfrm>
                            <a:off x="0" y="0"/>
                            <a:ext cx="3683000" cy="1739264"/>
                          </a:xfrm>
                          <a:custGeom>
                            <a:avLst/>
                            <a:gdLst/>
                            <a:ahLst/>
                            <a:cxnLst/>
                            <a:rect l="l" t="t" r="r" b="b"/>
                            <a:pathLst>
                              <a:path w="3683000" h="1739264">
                                <a:moveTo>
                                  <a:pt x="3676764" y="1733169"/>
                                </a:moveTo>
                                <a:lnTo>
                                  <a:pt x="6096" y="1733169"/>
                                </a:lnTo>
                                <a:lnTo>
                                  <a:pt x="6096" y="6223"/>
                                </a:lnTo>
                                <a:lnTo>
                                  <a:pt x="0" y="6223"/>
                                </a:lnTo>
                                <a:lnTo>
                                  <a:pt x="0" y="1733169"/>
                                </a:lnTo>
                                <a:lnTo>
                                  <a:pt x="0" y="1739265"/>
                                </a:lnTo>
                                <a:lnTo>
                                  <a:pt x="6096" y="1739265"/>
                                </a:lnTo>
                                <a:lnTo>
                                  <a:pt x="3676764" y="1739265"/>
                                </a:lnTo>
                                <a:lnTo>
                                  <a:pt x="3676764" y="1733169"/>
                                </a:lnTo>
                                <a:close/>
                              </a:path>
                              <a:path w="3683000" h="1739264">
                                <a:moveTo>
                                  <a:pt x="3676764" y="0"/>
                                </a:moveTo>
                                <a:lnTo>
                                  <a:pt x="6096" y="0"/>
                                </a:lnTo>
                                <a:lnTo>
                                  <a:pt x="0" y="0"/>
                                </a:lnTo>
                                <a:lnTo>
                                  <a:pt x="0" y="6096"/>
                                </a:lnTo>
                                <a:lnTo>
                                  <a:pt x="6096" y="6096"/>
                                </a:lnTo>
                                <a:lnTo>
                                  <a:pt x="3676764" y="6096"/>
                                </a:lnTo>
                                <a:lnTo>
                                  <a:pt x="3676764" y="0"/>
                                </a:lnTo>
                                <a:close/>
                              </a:path>
                              <a:path w="3683000" h="1739264">
                                <a:moveTo>
                                  <a:pt x="3682936" y="6223"/>
                                </a:moveTo>
                                <a:lnTo>
                                  <a:pt x="3676853" y="6223"/>
                                </a:lnTo>
                                <a:lnTo>
                                  <a:pt x="3676853" y="1733169"/>
                                </a:lnTo>
                                <a:lnTo>
                                  <a:pt x="3676853" y="1739265"/>
                                </a:lnTo>
                                <a:lnTo>
                                  <a:pt x="3682936" y="1739265"/>
                                </a:lnTo>
                                <a:lnTo>
                                  <a:pt x="3682936" y="1733169"/>
                                </a:lnTo>
                                <a:lnTo>
                                  <a:pt x="3682936" y="6223"/>
                                </a:lnTo>
                                <a:close/>
                              </a:path>
                              <a:path w="3683000" h="1739264">
                                <a:moveTo>
                                  <a:pt x="3682936" y="0"/>
                                </a:moveTo>
                                <a:lnTo>
                                  <a:pt x="3676853" y="0"/>
                                </a:lnTo>
                                <a:lnTo>
                                  <a:pt x="3676853" y="6096"/>
                                </a:lnTo>
                                <a:lnTo>
                                  <a:pt x="3682936" y="6096"/>
                                </a:lnTo>
                                <a:lnTo>
                                  <a:pt x="368293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9A8FD84" id="Group 1074" o:spid="_x0000_s1026" style="width:290pt;height:136.95pt;mso-position-horizontal-relative:char;mso-position-vertical-relative:line" coordsize="36830,173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">
                <v:shape id="Image 1075" o:spid="_x0000_s1027" type="#_x0000_t75" style="position:absolute;left:10285;top:229;width:16151;height:161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">
                  <v:imagedata r:id="rId82" o:title=""/>
                </v:shape>
                <v:shape id="Graphic 1076" o:spid="_x0000_s1028" style="position:absolute;width:36830;height:17392;visibility:visible;mso-wrap-style:square;v-text-anchor:top" coordsize="3683000,1739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" path="m3676764,1733169r-3670668,l6096,6223,,6223,,1733169r,6096l6096,1739265r3670668,l3676764,1733169xem3676764,l6096,,,,,6096r6096,l3676764,6096r,-6096xem3682936,6223r-6083,l3676853,1733169r,6096l3682936,1739265r,-6096l3682936,6223xem3682936,r-6083,l3676853,6096r6083,l3682936,xe" fillcolor="black" stroked="f">
                  <v:path arrowok="t"/>
                </v:shape>
                <w10:anchorlock/>
              </v:group>
            </w:pict>
          </mc:Fallback>
        </mc:AlternateContent>
      </w:r>
    </w:p>
    <w:p w14:paraId="1CEBAC2A" w14:textId="77777777" w:rsidR="00FF7799" w:rsidRPr="00E73F6F" w:rsidRDefault="00FF7799" w:rsidP="007B6B40">
      <w:pPr>
        <w:pStyle w:val="StandardText"/>
      </w:pPr>
    </w:p>
    <w:p w14:paraId="18388394" w14:textId="77777777" w:rsidR="00FF7799" w:rsidRPr="00580F1D" w:rsidRDefault="00FF7799" w:rsidP="007B6B40">
      <w:pPr>
        <w:pStyle w:val="StandardTextkursiv"/>
        <w:rPr>
          <w:i w:val="0"/>
        </w:rPr>
      </w:pPr>
      <w:r w:rsidRPr="00580F1D">
        <w:rPr>
          <w:i w:val="0"/>
        </w:rPr>
        <w:t>3 Grundzüge der Lehre</w:t>
      </w:r>
    </w:p>
    <w:p w14:paraId="4B1C80B5" w14:textId="77777777" w:rsidR="00FF7799" w:rsidRPr="00580F1D" w:rsidRDefault="00FF7799" w:rsidP="007B6B40">
      <w:pPr>
        <w:pStyle w:val="StandardText"/>
      </w:pPr>
      <w:r w:rsidRPr="00580F1D">
        <w:t>Alle Menschen sind gleich und gehören dem großen Bund an (vgl. Tworuschka 1995, S.527f.). Im Gegensatz zum eher maskulinen Christentum</w:t>
      </w:r>
      <w:r w:rsidRPr="00580F1D">
        <w:rPr>
          <w:spacing w:val="-2"/>
        </w:rPr>
        <w:t xml:space="preserve"> </w:t>
      </w:r>
      <w:r w:rsidRPr="00580F1D">
        <w:t>versteht sich der Islam als feminin (Rahim = Mutterschoß), als Religion der Barmherzigkeit (= Rahma). Zu Barmherzigkeit</w:t>
      </w:r>
      <w:r w:rsidRPr="00580F1D">
        <w:rPr>
          <w:spacing w:val="-1"/>
        </w:rPr>
        <w:t xml:space="preserve"> </w:t>
      </w:r>
      <w:r w:rsidRPr="00580F1D">
        <w:t>hat</w:t>
      </w:r>
      <w:r w:rsidRPr="00580F1D">
        <w:rPr>
          <w:spacing w:val="-1"/>
        </w:rPr>
        <w:t xml:space="preserve"> </w:t>
      </w:r>
      <w:r w:rsidRPr="00580F1D">
        <w:t>sich auch</w:t>
      </w:r>
      <w:r w:rsidRPr="00580F1D">
        <w:rPr>
          <w:spacing w:val="-1"/>
        </w:rPr>
        <w:t xml:space="preserve"> </w:t>
      </w:r>
      <w:r w:rsidRPr="00580F1D">
        <w:t>Gott</w:t>
      </w:r>
      <w:r w:rsidRPr="00580F1D">
        <w:rPr>
          <w:spacing w:val="-1"/>
        </w:rPr>
        <w:t xml:space="preserve"> </w:t>
      </w:r>
      <w:r w:rsidRPr="00580F1D">
        <w:t>verpflichtet, wenn</w:t>
      </w:r>
      <w:r w:rsidRPr="00580F1D">
        <w:rPr>
          <w:spacing w:val="-1"/>
        </w:rPr>
        <w:t xml:space="preserve"> </w:t>
      </w:r>
      <w:r w:rsidRPr="00580F1D">
        <w:t>er am Jüngsten Tag richten wird.</w:t>
      </w:r>
    </w:p>
    <w:p w14:paraId="1F828595" w14:textId="77777777" w:rsidR="00FF7799" w:rsidRPr="00580F1D" w:rsidRDefault="00FF7799" w:rsidP="007B6B40">
      <w:pPr>
        <w:pStyle w:val="StandardText"/>
      </w:pPr>
      <w:r w:rsidRPr="00580F1D">
        <w:t>Der Islam ist keine formal organisierte Kirche wie die katholischen oder die protestantischen Kirchen, sondern vorrangig eine Gesetzesreligion. Die islamischen Rechtsgelehrten entwarfen eine umfassende religiöse Pflichtenlehre (Schari’a), welche zum einen den Koran (= das oft zu Lesende) und zum</w:t>
      </w:r>
      <w:r w:rsidRPr="00580F1D">
        <w:rPr>
          <w:spacing w:val="-1"/>
        </w:rPr>
        <w:t xml:space="preserve"> </w:t>
      </w:r>
      <w:r w:rsidRPr="00580F1D">
        <w:t>anderen die Sunna Hadith umfasst. Beide heiligen Schriften basieren auf den Reden und Handlungen Mohammeds und zählen nach wie vor zu den primären Quellen des islamischen Rechtssystems. Folglich beziehen sich die noch heute maßgeblichen Präzedenzfälle</w:t>
      </w:r>
      <w:r w:rsidRPr="00580F1D">
        <w:rPr>
          <w:spacing w:val="-12"/>
        </w:rPr>
        <w:t xml:space="preserve"> </w:t>
      </w:r>
      <w:r w:rsidRPr="00580F1D">
        <w:t>auf</w:t>
      </w:r>
      <w:r w:rsidRPr="00580F1D">
        <w:rPr>
          <w:spacing w:val="-11"/>
        </w:rPr>
        <w:t xml:space="preserve"> </w:t>
      </w:r>
      <w:r w:rsidRPr="00580F1D">
        <w:t>Vorfälle,</w:t>
      </w:r>
      <w:r w:rsidRPr="00580F1D">
        <w:rPr>
          <w:spacing w:val="-11"/>
        </w:rPr>
        <w:t xml:space="preserve"> </w:t>
      </w:r>
      <w:r w:rsidRPr="00580F1D">
        <w:t>die</w:t>
      </w:r>
      <w:r w:rsidRPr="00580F1D">
        <w:rPr>
          <w:spacing w:val="-11"/>
        </w:rPr>
        <w:t xml:space="preserve"> </w:t>
      </w:r>
      <w:r w:rsidRPr="00580F1D">
        <w:t>sich</w:t>
      </w:r>
      <w:r w:rsidRPr="00580F1D">
        <w:rPr>
          <w:spacing w:val="-12"/>
        </w:rPr>
        <w:t xml:space="preserve"> </w:t>
      </w:r>
      <w:r w:rsidRPr="00580F1D">
        <w:t>zu</w:t>
      </w:r>
      <w:r w:rsidRPr="00580F1D">
        <w:rPr>
          <w:spacing w:val="-11"/>
        </w:rPr>
        <w:t xml:space="preserve"> </w:t>
      </w:r>
      <w:r w:rsidRPr="00580F1D">
        <w:t>Zeiten</w:t>
      </w:r>
      <w:r w:rsidRPr="00580F1D">
        <w:rPr>
          <w:spacing w:val="-11"/>
        </w:rPr>
        <w:t xml:space="preserve"> </w:t>
      </w:r>
      <w:r w:rsidRPr="00580F1D">
        <w:t>des</w:t>
      </w:r>
      <w:r w:rsidRPr="00580F1D">
        <w:rPr>
          <w:spacing w:val="-11"/>
        </w:rPr>
        <w:t xml:space="preserve"> </w:t>
      </w:r>
      <w:r w:rsidRPr="00580F1D">
        <w:t>Religionsstifters</w:t>
      </w:r>
      <w:r w:rsidRPr="00580F1D">
        <w:rPr>
          <w:spacing w:val="-12"/>
        </w:rPr>
        <w:t xml:space="preserve"> </w:t>
      </w:r>
      <w:r w:rsidRPr="00580F1D">
        <w:t>ereigneten.</w:t>
      </w:r>
      <w:r w:rsidRPr="00580F1D">
        <w:rPr>
          <w:spacing w:val="-11"/>
        </w:rPr>
        <w:t xml:space="preserve"> </w:t>
      </w:r>
      <w:r w:rsidRPr="00580F1D">
        <w:t>Der dritte Pfeiler des Islam ist Idjma: der Konsens aller islamischen Rechtsgelehrten.</w:t>
      </w:r>
    </w:p>
    <w:p w14:paraId="6D4B7932" w14:textId="77777777" w:rsidR="00FF7799" w:rsidRPr="00E73F6F" w:rsidRDefault="00FF7799" w:rsidP="007B6B40">
      <w:pPr>
        <w:pStyle w:val="StandardText"/>
      </w:pPr>
      <w:r w:rsidRPr="00580F1D">
        <w:t>In dem Maße, wie die Schari’a dogmatisch</w:t>
      </w:r>
      <w:r w:rsidRPr="00E73F6F">
        <w:t xml:space="preserve"> ausgelegt wird, macht sich der Islam einen totalitären Anspruch zu eigen, der in unauflösbarem Wiederspruch zu den Vorstellungen von Freiheit, </w:t>
      </w:r>
      <w:r w:rsidRPr="00E73F6F">
        <w:lastRenderedPageBreak/>
        <w:t>Demokratie, Pluralismus und Rechtstaatlichkeit westlicher Prägung steht. Dass die fundamentalistischen Strömungen zur Dogmatisierung tendieren, ist indessen kein Spezifikum des Islam, sondern lässt sich auch bei anderen Religionen beobachten.</w:t>
      </w:r>
    </w:p>
    <w:p w14:paraId="03756BBA" w14:textId="77777777" w:rsidR="00FF7799" w:rsidRPr="00E73F6F" w:rsidRDefault="00FF7799" w:rsidP="007B6B40">
      <w:pPr>
        <w:pStyle w:val="StandardText"/>
      </w:pPr>
      <w:r w:rsidRPr="00E73F6F">
        <w:t>In vielen islamischen Staaten beeinflusst bzw. prägt die Schari’a zunehmend wieder das gesellschaftliche, wirtschaftliche und politische Leben. Da der Koran, die „Offenbarung Gottes an die Propheten“ (vgl. Ghaussy/Fritz-Aßmus 1988, S.440), nur wenige Vorschriften und Anweisungen zu allgemeinen Rechtsfragen enthält, hat sich die Sunna zum primären Bezugspunkt von Entscheidungen aller Art entwickelt. Deshalb werden gesellschaftliche, ökonomische und politische Problemstellungen zumeist untrennbar mit religiösen Prinzipien verbunden.</w:t>
      </w:r>
    </w:p>
    <w:p w14:paraId="4AB27C16" w14:textId="77777777" w:rsidR="00FF7799" w:rsidRPr="00E73F6F" w:rsidRDefault="00FF7799" w:rsidP="007B6B40">
      <w:pPr>
        <w:pStyle w:val="StandardText"/>
      </w:pPr>
      <w:r w:rsidRPr="00E73F6F">
        <w:t>Aus der Schari’a ergeben sich die fünf Grundpflichten gegenüber dem Schöpfer und</w:t>
      </w:r>
      <w:r w:rsidRPr="00E73F6F">
        <w:rPr>
          <w:spacing w:val="29"/>
        </w:rPr>
        <w:t xml:space="preserve"> </w:t>
      </w:r>
      <w:r w:rsidRPr="00E73F6F">
        <w:t>den</w:t>
      </w:r>
      <w:r w:rsidRPr="00E73F6F">
        <w:rPr>
          <w:spacing w:val="31"/>
        </w:rPr>
        <w:t xml:space="preserve"> </w:t>
      </w:r>
      <w:r w:rsidRPr="00E73F6F">
        <w:t>Mitmenschen,</w:t>
      </w:r>
      <w:r w:rsidRPr="00E73F6F">
        <w:rPr>
          <w:spacing w:val="31"/>
        </w:rPr>
        <w:t xml:space="preserve"> </w:t>
      </w:r>
      <w:r w:rsidRPr="00E73F6F">
        <w:t>welche</w:t>
      </w:r>
      <w:r w:rsidRPr="00E73F6F">
        <w:rPr>
          <w:spacing w:val="29"/>
        </w:rPr>
        <w:t xml:space="preserve"> </w:t>
      </w:r>
      <w:r w:rsidRPr="00E73F6F">
        <w:t>jeder</w:t>
      </w:r>
      <w:r w:rsidRPr="00E73F6F">
        <w:rPr>
          <w:spacing w:val="30"/>
        </w:rPr>
        <w:t xml:space="preserve"> </w:t>
      </w:r>
      <w:r w:rsidRPr="00E73F6F">
        <w:t>Muslim</w:t>
      </w:r>
      <w:r w:rsidRPr="00E73F6F">
        <w:rPr>
          <w:spacing w:val="30"/>
        </w:rPr>
        <w:t xml:space="preserve"> </w:t>
      </w:r>
      <w:r w:rsidRPr="00E73F6F">
        <w:t>zu</w:t>
      </w:r>
      <w:r w:rsidRPr="00E73F6F">
        <w:rPr>
          <w:spacing w:val="31"/>
        </w:rPr>
        <w:t xml:space="preserve"> </w:t>
      </w:r>
      <w:r w:rsidRPr="00E73F6F">
        <w:t>erfüllen</w:t>
      </w:r>
      <w:r w:rsidRPr="00E73F6F">
        <w:rPr>
          <w:spacing w:val="31"/>
        </w:rPr>
        <w:t xml:space="preserve"> </w:t>
      </w:r>
      <w:r w:rsidRPr="00E73F6F">
        <w:t>hat:</w:t>
      </w:r>
      <w:r w:rsidRPr="00E73F6F">
        <w:rPr>
          <w:spacing w:val="37"/>
        </w:rPr>
        <w:t xml:space="preserve"> </w:t>
      </w:r>
      <w:r w:rsidRPr="00E73F6F">
        <w:t>Schahada,</w:t>
      </w:r>
      <w:r w:rsidRPr="00E73F6F">
        <w:rPr>
          <w:spacing w:val="31"/>
        </w:rPr>
        <w:t xml:space="preserve"> </w:t>
      </w:r>
      <w:r w:rsidRPr="00E73F6F">
        <w:rPr>
          <w:spacing w:val="-2"/>
        </w:rPr>
        <w:t>Salat,</w:t>
      </w:r>
    </w:p>
    <w:p w14:paraId="3C4F36B4" w14:textId="77777777" w:rsidR="00FF7799" w:rsidRPr="00E73F6F" w:rsidRDefault="00FF7799" w:rsidP="007B6B40">
      <w:pPr>
        <w:pStyle w:val="StandardText"/>
      </w:pPr>
      <w:r w:rsidRPr="00E73F6F">
        <w:t>Sakat,</w:t>
      </w:r>
      <w:r w:rsidRPr="00E73F6F">
        <w:rPr>
          <w:spacing w:val="-2"/>
        </w:rPr>
        <w:t xml:space="preserve"> </w:t>
      </w:r>
      <w:r w:rsidRPr="00E73F6F">
        <w:t>Saum</w:t>
      </w:r>
      <w:r w:rsidRPr="00E73F6F">
        <w:rPr>
          <w:spacing w:val="-5"/>
        </w:rPr>
        <w:t xml:space="preserve"> </w:t>
      </w:r>
      <w:r w:rsidRPr="00E73F6F">
        <w:t>und</w:t>
      </w:r>
      <w:r w:rsidRPr="00E73F6F">
        <w:rPr>
          <w:spacing w:val="-3"/>
        </w:rPr>
        <w:t xml:space="preserve"> </w:t>
      </w:r>
      <w:r w:rsidRPr="00E73F6F">
        <w:t>Hadsch.</w:t>
      </w:r>
      <w:r w:rsidRPr="00E73F6F">
        <w:rPr>
          <w:spacing w:val="-2"/>
        </w:rPr>
        <w:t xml:space="preserve"> </w:t>
      </w:r>
      <w:r w:rsidRPr="00E73F6F">
        <w:t>Diese</w:t>
      </w:r>
      <w:r w:rsidRPr="00E73F6F">
        <w:rPr>
          <w:spacing w:val="-3"/>
        </w:rPr>
        <w:t xml:space="preserve"> </w:t>
      </w:r>
      <w:r w:rsidRPr="00E73F6F">
        <w:t>„fünf</w:t>
      </w:r>
      <w:r w:rsidRPr="00E73F6F">
        <w:rPr>
          <w:spacing w:val="-2"/>
        </w:rPr>
        <w:t xml:space="preserve"> </w:t>
      </w:r>
      <w:r w:rsidRPr="00E73F6F">
        <w:t>Säulen“</w:t>
      </w:r>
      <w:r w:rsidRPr="00E73F6F">
        <w:rPr>
          <w:spacing w:val="-3"/>
        </w:rPr>
        <w:t xml:space="preserve"> </w:t>
      </w:r>
      <w:r w:rsidRPr="00E73F6F">
        <w:t>weisen</w:t>
      </w:r>
      <w:r w:rsidRPr="00E73F6F">
        <w:rPr>
          <w:spacing w:val="-1"/>
        </w:rPr>
        <w:t xml:space="preserve"> </w:t>
      </w:r>
      <w:r w:rsidRPr="00E73F6F">
        <w:t>aber</w:t>
      </w:r>
      <w:r w:rsidRPr="00E73F6F">
        <w:rPr>
          <w:spacing w:val="-2"/>
        </w:rPr>
        <w:t xml:space="preserve"> </w:t>
      </w:r>
      <w:r w:rsidRPr="00E73F6F">
        <w:t>nicht</w:t>
      </w:r>
      <w:r w:rsidRPr="00E73F6F">
        <w:rPr>
          <w:spacing w:val="-2"/>
        </w:rPr>
        <w:t xml:space="preserve"> </w:t>
      </w:r>
      <w:r w:rsidRPr="00E73F6F">
        <w:t>nur</w:t>
      </w:r>
      <w:r w:rsidRPr="00E73F6F">
        <w:rPr>
          <w:spacing w:val="-2"/>
        </w:rPr>
        <w:t xml:space="preserve"> </w:t>
      </w:r>
      <w:r w:rsidRPr="00E73F6F">
        <w:t>den</w:t>
      </w:r>
      <w:r w:rsidRPr="00E73F6F">
        <w:rPr>
          <w:spacing w:val="-1"/>
        </w:rPr>
        <w:t xml:space="preserve"> </w:t>
      </w:r>
      <w:r w:rsidRPr="00E73F6F">
        <w:t>Weg</w:t>
      </w:r>
      <w:r w:rsidRPr="00E73F6F">
        <w:rPr>
          <w:spacing w:val="-4"/>
        </w:rPr>
        <w:t xml:space="preserve"> </w:t>
      </w:r>
      <w:r w:rsidRPr="00E73F6F">
        <w:t>der Erlösung (d.h. ins Jenseits); schon im Diesseits sollen sie die Gleichheit, Zusammengehörigkeit und Solidarität aller Gläubigen gewährleisten.</w:t>
      </w:r>
    </w:p>
    <w:p w14:paraId="45F261A5" w14:textId="77777777" w:rsidR="00FF7799" w:rsidRPr="00E73F6F" w:rsidRDefault="00FF7799" w:rsidP="00BF2DBF">
      <w:pPr>
        <w:pStyle w:val="StandardTextAufzhlung"/>
        <w:ind w:left="426"/>
      </w:pPr>
      <w:r w:rsidRPr="00E73F6F">
        <w:t>Schahada:</w:t>
      </w:r>
      <w:r w:rsidRPr="00E73F6F">
        <w:rPr>
          <w:spacing w:val="-12"/>
        </w:rPr>
        <w:t xml:space="preserve"> </w:t>
      </w:r>
      <w:r w:rsidRPr="00E73F6F">
        <w:t>Wer</w:t>
      </w:r>
      <w:r w:rsidRPr="00E73F6F">
        <w:rPr>
          <w:spacing w:val="-11"/>
        </w:rPr>
        <w:t xml:space="preserve"> </w:t>
      </w:r>
      <w:r w:rsidRPr="00E73F6F">
        <w:t>das</w:t>
      </w:r>
      <w:r w:rsidRPr="00E73F6F">
        <w:rPr>
          <w:spacing w:val="-11"/>
        </w:rPr>
        <w:t xml:space="preserve"> </w:t>
      </w:r>
      <w:r w:rsidRPr="00E73F6F">
        <w:t>Glaubensbekenntnis</w:t>
      </w:r>
      <w:r w:rsidRPr="00E73F6F">
        <w:rPr>
          <w:spacing w:val="-11"/>
        </w:rPr>
        <w:t xml:space="preserve"> </w:t>
      </w:r>
      <w:r w:rsidRPr="00E73F6F">
        <w:t>(„Es</w:t>
      </w:r>
      <w:r w:rsidRPr="00E73F6F">
        <w:rPr>
          <w:spacing w:val="-12"/>
        </w:rPr>
        <w:t xml:space="preserve"> </w:t>
      </w:r>
      <w:r w:rsidRPr="00E73F6F">
        <w:t>gibt</w:t>
      </w:r>
      <w:r w:rsidRPr="00E73F6F">
        <w:rPr>
          <w:spacing w:val="-11"/>
        </w:rPr>
        <w:t xml:space="preserve"> </w:t>
      </w:r>
      <w:r w:rsidRPr="00E73F6F">
        <w:t>keinen</w:t>
      </w:r>
      <w:r w:rsidRPr="00E73F6F">
        <w:rPr>
          <w:spacing w:val="-11"/>
        </w:rPr>
        <w:t xml:space="preserve"> </w:t>
      </w:r>
      <w:r w:rsidRPr="00E73F6F">
        <w:t>Gott</w:t>
      </w:r>
      <w:r w:rsidRPr="00E73F6F">
        <w:rPr>
          <w:spacing w:val="-11"/>
        </w:rPr>
        <w:t xml:space="preserve"> </w:t>
      </w:r>
      <w:r w:rsidRPr="00E73F6F">
        <w:t>außer</w:t>
      </w:r>
      <w:r w:rsidRPr="00E73F6F">
        <w:rPr>
          <w:spacing w:val="-12"/>
        </w:rPr>
        <w:t xml:space="preserve"> </w:t>
      </w:r>
      <w:r w:rsidRPr="00E73F6F">
        <w:rPr>
          <w:i/>
        </w:rPr>
        <w:t>Allah</w:t>
      </w:r>
      <w:r w:rsidRPr="00E73F6F">
        <w:t>,</w:t>
      </w:r>
      <w:r w:rsidRPr="00E73F6F">
        <w:rPr>
          <w:spacing w:val="-11"/>
        </w:rPr>
        <w:t xml:space="preserve"> </w:t>
      </w:r>
      <w:r w:rsidRPr="00E73F6F">
        <w:t xml:space="preserve">und </w:t>
      </w:r>
      <w:r w:rsidRPr="00E73F6F">
        <w:rPr>
          <w:i/>
        </w:rPr>
        <w:t xml:space="preserve">Mohammed </w:t>
      </w:r>
      <w:r w:rsidRPr="00E73F6F">
        <w:t>ist der Gesandte Gottes“) bewusst vor anderen ablegt, dokumentiert seine Zugehörigkeit zur islamischen Glaubensgemeinschaft.</w:t>
      </w:r>
    </w:p>
    <w:p w14:paraId="7E98D100" w14:textId="77777777" w:rsidR="00FF7799" w:rsidRPr="00E73F6F" w:rsidRDefault="00FF7799" w:rsidP="00BF2DBF">
      <w:pPr>
        <w:pStyle w:val="StandardTextAufzhlung"/>
        <w:ind w:left="426"/>
      </w:pPr>
      <w:r w:rsidRPr="00E73F6F">
        <w:t>Salat: Das rituelle Pflichtgebet wird fünfmal täglich zu festgelegten Tageszeiten und in bestimmter Körperhaltung verrichtet; hinzu kommen freiwillige (spontane) Gebete.</w:t>
      </w:r>
    </w:p>
    <w:p w14:paraId="4796F9F1" w14:textId="77777777" w:rsidR="00FF7799" w:rsidRPr="00E73F6F" w:rsidRDefault="00FF7799" w:rsidP="00BF2DBF">
      <w:pPr>
        <w:pStyle w:val="StandardTextAufzhlung"/>
        <w:ind w:left="426"/>
      </w:pPr>
      <w:r w:rsidRPr="00E73F6F">
        <w:t>Sakat: Wohlhabende tragen Verantwortung für arme Menschen. Allerdings genügt es nicht, Almosen zu geben. Vielmehr haben die Armen Anrecht auf einen bestimmten Teil des Vermögens der Reichen.</w:t>
      </w:r>
    </w:p>
    <w:p w14:paraId="25B8BD3A" w14:textId="77777777" w:rsidR="00BF2DBF" w:rsidRDefault="00BF2DBF" w:rsidP="007B6B40">
      <w:pPr>
        <w:pStyle w:val="StandardText"/>
      </w:pPr>
    </w:p>
    <w:p w14:paraId="05FF5FA8" w14:textId="6C737E14" w:rsidR="00FF7799" w:rsidRPr="00E73F6F" w:rsidRDefault="00FF7799" w:rsidP="007B6B40">
      <w:pPr>
        <w:pStyle w:val="StandardText"/>
      </w:pPr>
      <w:r w:rsidRPr="00E73F6F">
        <w:t>„Saudi-Arabiens System der sozialen Sicherung stützt sich auf drei ungleiche Säulen.</w:t>
      </w:r>
      <w:r w:rsidRPr="00E73F6F">
        <w:rPr>
          <w:spacing w:val="40"/>
        </w:rPr>
        <w:t xml:space="preserve"> </w:t>
      </w:r>
      <w:r w:rsidRPr="00E73F6F">
        <w:t>Zunächst wendet sich der Bedürftige an seine Familie, so dass der Vater für den</w:t>
      </w:r>
      <w:r w:rsidRPr="00E73F6F">
        <w:rPr>
          <w:spacing w:val="40"/>
        </w:rPr>
        <w:t xml:space="preserve"> </w:t>
      </w:r>
      <w:r w:rsidRPr="00E73F6F">
        <w:t>Lebensunterhalt seiner arbeitslosen Kinder aufkommt. Ist die Familie zu arm, hat sie</w:t>
      </w:r>
      <w:r w:rsidRPr="00E73F6F">
        <w:rPr>
          <w:spacing w:val="40"/>
        </w:rPr>
        <w:t xml:space="preserve"> </w:t>
      </w:r>
      <w:r w:rsidRPr="00E73F6F">
        <w:t>Anspruch</w:t>
      </w:r>
      <w:r w:rsidRPr="00E73F6F">
        <w:rPr>
          <w:spacing w:val="-10"/>
        </w:rPr>
        <w:t xml:space="preserve"> </w:t>
      </w:r>
      <w:r w:rsidRPr="00E73F6F">
        <w:t>auf</w:t>
      </w:r>
      <w:r w:rsidRPr="00E73F6F">
        <w:rPr>
          <w:spacing w:val="-10"/>
        </w:rPr>
        <w:t xml:space="preserve"> </w:t>
      </w:r>
      <w:r w:rsidRPr="00E73F6F">
        <w:t>die</w:t>
      </w:r>
      <w:r w:rsidRPr="00E73F6F">
        <w:rPr>
          <w:spacing w:val="-10"/>
        </w:rPr>
        <w:t xml:space="preserve"> </w:t>
      </w:r>
      <w:r w:rsidRPr="00E73F6F">
        <w:t>islamische</w:t>
      </w:r>
      <w:r w:rsidRPr="00E73F6F">
        <w:rPr>
          <w:spacing w:val="-10"/>
        </w:rPr>
        <w:t xml:space="preserve"> </w:t>
      </w:r>
      <w:r w:rsidRPr="00E73F6F">
        <w:t>Almosensteuer</w:t>
      </w:r>
      <w:r w:rsidRPr="00E73F6F">
        <w:rPr>
          <w:spacing w:val="-7"/>
        </w:rPr>
        <w:t xml:space="preserve"> </w:t>
      </w:r>
      <w:r w:rsidRPr="00E73F6F">
        <w:t>Sakat.</w:t>
      </w:r>
      <w:r w:rsidRPr="00E73F6F">
        <w:rPr>
          <w:spacing w:val="-10"/>
        </w:rPr>
        <w:t xml:space="preserve"> </w:t>
      </w:r>
      <w:r w:rsidRPr="00E73F6F">
        <w:t>Jeder</w:t>
      </w:r>
      <w:r w:rsidRPr="00E73F6F">
        <w:rPr>
          <w:spacing w:val="-10"/>
        </w:rPr>
        <w:t xml:space="preserve"> </w:t>
      </w:r>
      <w:r w:rsidRPr="00E73F6F">
        <w:t>Muslim</w:t>
      </w:r>
      <w:r w:rsidRPr="00E73F6F">
        <w:rPr>
          <w:spacing w:val="-10"/>
        </w:rPr>
        <w:t xml:space="preserve"> </w:t>
      </w:r>
      <w:r w:rsidRPr="00E73F6F">
        <w:t>ist</w:t>
      </w:r>
      <w:r w:rsidRPr="00E73F6F">
        <w:rPr>
          <w:spacing w:val="-9"/>
        </w:rPr>
        <w:t xml:space="preserve"> </w:t>
      </w:r>
      <w:r w:rsidRPr="00E73F6F">
        <w:t>verpflichtet,</w:t>
      </w:r>
      <w:r w:rsidRPr="00E73F6F">
        <w:rPr>
          <w:spacing w:val="-10"/>
        </w:rPr>
        <w:t xml:space="preserve"> </w:t>
      </w:r>
      <w:r w:rsidRPr="00E73F6F">
        <w:t>im</w:t>
      </w:r>
      <w:r w:rsidRPr="00E73F6F">
        <w:rPr>
          <w:spacing w:val="-10"/>
        </w:rPr>
        <w:t xml:space="preserve"> </w:t>
      </w:r>
      <w:r w:rsidRPr="00E73F6F">
        <w:t>Jahr</w:t>
      </w:r>
      <w:r w:rsidRPr="00E73F6F">
        <w:rPr>
          <w:spacing w:val="40"/>
        </w:rPr>
        <w:t xml:space="preserve"> </w:t>
      </w:r>
      <w:r w:rsidRPr="00E73F6F">
        <w:t>2,5% seines Vermögens oberhalb eines steuerfreien Mindestbetrags als Almosen an</w:t>
      </w:r>
      <w:r w:rsidRPr="00E73F6F">
        <w:rPr>
          <w:spacing w:val="40"/>
        </w:rPr>
        <w:t xml:space="preserve"> </w:t>
      </w:r>
      <w:r w:rsidRPr="00E73F6F">
        <w:t>Bedürftige zu zahlen, entweder direkt in seiner Umgebung oder an eine zentrale</w:t>
      </w:r>
      <w:r w:rsidRPr="00E73F6F">
        <w:rPr>
          <w:spacing w:val="40"/>
        </w:rPr>
        <w:t xml:space="preserve"> </w:t>
      </w:r>
      <w:r w:rsidRPr="00E73F6F">
        <w:t>Einrichtung, die dem Finanzministerium angegliedert ist. Diese hat jedoch keine</w:t>
      </w:r>
      <w:r w:rsidRPr="00E73F6F">
        <w:rPr>
          <w:spacing w:val="40"/>
        </w:rPr>
        <w:t xml:space="preserve"> </w:t>
      </w:r>
      <w:r w:rsidRPr="00E73F6F">
        <w:t>Vollmacht, die Sakat einzutreiben. Deren Zahlung ist vom Willen des Einzelnen</w:t>
      </w:r>
      <w:r w:rsidRPr="00E73F6F">
        <w:rPr>
          <w:spacing w:val="40"/>
        </w:rPr>
        <w:t xml:space="preserve"> </w:t>
      </w:r>
      <w:r w:rsidRPr="00E73F6F">
        <w:t>abhängig. Als dritte Möglichkeit können sich die Bedürftigen an das „Ministerium für</w:t>
      </w:r>
      <w:r w:rsidRPr="00E73F6F">
        <w:rPr>
          <w:spacing w:val="40"/>
        </w:rPr>
        <w:t xml:space="preserve"> </w:t>
      </w:r>
      <w:r w:rsidRPr="00E73F6F">
        <w:t>soziale Angelegenheiten“ wenden, das aus dem Staatshaushalt gespeist wird. Eine</w:t>
      </w:r>
      <w:r w:rsidRPr="00E73F6F">
        <w:rPr>
          <w:spacing w:val="40"/>
        </w:rPr>
        <w:t xml:space="preserve"> </w:t>
      </w:r>
      <w:r w:rsidRPr="00E73F6F">
        <w:t>Einkommenssteuer wird nicht erhoben“ (Hermann 2002, S.16).</w:t>
      </w:r>
    </w:p>
    <w:p w14:paraId="31055FFD" w14:textId="77777777" w:rsidR="00FF7799" w:rsidRPr="00E73F6F" w:rsidRDefault="00FF7799" w:rsidP="007B6B40">
      <w:pPr>
        <w:pStyle w:val="StandardText"/>
      </w:pPr>
      <w:r w:rsidRPr="00E73F6F">
        <w:t>Mag diese weit gefasste Fürsorgepflicht auch häufig eher (fromme) Theorie als Praxis sein: In anderer Hinsicht ist Sakat noch heute</w:t>
      </w:r>
      <w:r w:rsidRPr="00E73F6F">
        <w:rPr>
          <w:spacing w:val="-1"/>
        </w:rPr>
        <w:t xml:space="preserve"> </w:t>
      </w:r>
      <w:r w:rsidRPr="00E73F6F">
        <w:t>wesentlicher</w:t>
      </w:r>
      <w:r w:rsidRPr="00E73F6F">
        <w:rPr>
          <w:spacing w:val="-1"/>
        </w:rPr>
        <w:t xml:space="preserve"> </w:t>
      </w:r>
      <w:r w:rsidRPr="00E73F6F">
        <w:t>Bestandteil des Sozialsystems der islamischen Welt. Da man gemäß dem „Gebot der Mildtätigkeit“ Bedürftigen aus ihrer finanziellen Not helfen soll, wäre es unehrenhaft, Geld gegen Zinsen zu verleihen. Dies</w:t>
      </w:r>
      <w:r w:rsidRPr="00E73F6F">
        <w:rPr>
          <w:spacing w:val="-1"/>
        </w:rPr>
        <w:t xml:space="preserve"> </w:t>
      </w:r>
      <w:r w:rsidRPr="00E73F6F">
        <w:t>gilt als Wucher</w:t>
      </w:r>
      <w:r w:rsidRPr="00E73F6F">
        <w:rPr>
          <w:spacing w:val="-1"/>
        </w:rPr>
        <w:t xml:space="preserve"> </w:t>
      </w:r>
      <w:r w:rsidRPr="00E73F6F">
        <w:t>und wird, wie in allen Offenbarungsreligionen (d.h. auch im Judentum und Christentum), verdammt. Deshalb untersagt der Koran (neben Glücksspiel und Spekulation) ausdrücklich d</w:t>
      </w:r>
      <w:r w:rsidR="00580F1D">
        <w:t>en Zins, verstanden als ein im V</w:t>
      </w:r>
      <w:r w:rsidRPr="00E73F6F">
        <w:t>orhinein festgesetzter Preis für ein Darlehen (vgl. Ghaussy/Fritz-Aßmus 1988, S.441). „Und was immer ihr an Riba verleiht, damit es sich mit dem Gut der Menschen mehre, es vermehrt sich nicht vor Allah“ (Sure 30 : 39). „Ihr Gläubigen! Fürchtet Gott! Und lasst künftig das Zinsnehmen bleiben“ (</w:t>
      </w:r>
      <w:r w:rsidR="00580F1D">
        <w:t>Sure 2</w:t>
      </w:r>
      <w:r w:rsidRPr="00E73F6F">
        <w:t>: 278).</w:t>
      </w:r>
    </w:p>
    <w:p w14:paraId="364029FA" w14:textId="77777777" w:rsidR="00FF7799" w:rsidRPr="00E73F6F" w:rsidRDefault="00FF7799" w:rsidP="00BF2DBF">
      <w:pPr>
        <w:pStyle w:val="StandardTextAufzhlung"/>
        <w:ind w:left="284"/>
      </w:pPr>
      <w:r w:rsidRPr="00E73F6F">
        <w:t>Saum: Während des Monats Ramadan muss jeder gesunde Erwachsene von der Morgendämmerung bis zum Sonnenuntergang auf Nahrungsmittel, Getränke</w:t>
      </w:r>
      <w:r w:rsidRPr="00E73F6F">
        <w:rPr>
          <w:spacing w:val="-1"/>
        </w:rPr>
        <w:t xml:space="preserve"> </w:t>
      </w:r>
      <w:r w:rsidRPr="00E73F6F">
        <w:t>oder</w:t>
      </w:r>
      <w:r w:rsidRPr="00E73F6F">
        <w:rPr>
          <w:spacing w:val="-1"/>
        </w:rPr>
        <w:t xml:space="preserve"> </w:t>
      </w:r>
      <w:r w:rsidRPr="00E73F6F">
        <w:t>sonstige</w:t>
      </w:r>
      <w:r w:rsidRPr="00E73F6F">
        <w:rPr>
          <w:spacing w:val="-1"/>
        </w:rPr>
        <w:t xml:space="preserve"> </w:t>
      </w:r>
      <w:r w:rsidRPr="00E73F6F">
        <w:t>Genussmittel (z.B. Tabak)</w:t>
      </w:r>
      <w:r w:rsidRPr="00E73F6F">
        <w:rPr>
          <w:spacing w:val="-3"/>
        </w:rPr>
        <w:t xml:space="preserve"> </w:t>
      </w:r>
      <w:r w:rsidRPr="00E73F6F">
        <w:t>verzichten. Das</w:t>
      </w:r>
      <w:r w:rsidRPr="00E73F6F">
        <w:rPr>
          <w:spacing w:val="-3"/>
        </w:rPr>
        <w:t xml:space="preserve"> </w:t>
      </w:r>
      <w:r w:rsidRPr="00E73F6F">
        <w:t>Fasten soll dem</w:t>
      </w:r>
      <w:r w:rsidRPr="00E73F6F">
        <w:rPr>
          <w:spacing w:val="-12"/>
        </w:rPr>
        <w:t xml:space="preserve"> </w:t>
      </w:r>
      <w:r w:rsidRPr="00E73F6F">
        <w:t>Gläubigen</w:t>
      </w:r>
      <w:r w:rsidRPr="00E73F6F">
        <w:rPr>
          <w:spacing w:val="-11"/>
        </w:rPr>
        <w:t xml:space="preserve"> </w:t>
      </w:r>
      <w:r w:rsidRPr="00E73F6F">
        <w:t>eine</w:t>
      </w:r>
      <w:r w:rsidRPr="00E73F6F">
        <w:rPr>
          <w:spacing w:val="-11"/>
        </w:rPr>
        <w:t xml:space="preserve"> </w:t>
      </w:r>
      <w:r w:rsidRPr="00E73F6F">
        <w:t>realistische</w:t>
      </w:r>
      <w:r w:rsidRPr="00E73F6F">
        <w:rPr>
          <w:spacing w:val="-11"/>
        </w:rPr>
        <w:t xml:space="preserve"> </w:t>
      </w:r>
      <w:r w:rsidRPr="00E73F6F">
        <w:t>Vorstellung</w:t>
      </w:r>
      <w:r w:rsidRPr="00E73F6F">
        <w:rPr>
          <w:spacing w:val="-12"/>
        </w:rPr>
        <w:t xml:space="preserve"> </w:t>
      </w:r>
      <w:r w:rsidRPr="00E73F6F">
        <w:t>von</w:t>
      </w:r>
      <w:r w:rsidRPr="00E73F6F">
        <w:rPr>
          <w:spacing w:val="-11"/>
        </w:rPr>
        <w:t xml:space="preserve"> </w:t>
      </w:r>
      <w:r w:rsidRPr="00E73F6F">
        <w:t>Hunger</w:t>
      </w:r>
      <w:r w:rsidRPr="00E73F6F">
        <w:rPr>
          <w:spacing w:val="-11"/>
        </w:rPr>
        <w:t xml:space="preserve"> </w:t>
      </w:r>
      <w:r w:rsidRPr="00E73F6F">
        <w:t>und</w:t>
      </w:r>
      <w:r w:rsidRPr="00E73F6F">
        <w:rPr>
          <w:spacing w:val="-11"/>
        </w:rPr>
        <w:t xml:space="preserve"> </w:t>
      </w:r>
      <w:r w:rsidRPr="00E73F6F">
        <w:t>Durst</w:t>
      </w:r>
      <w:r w:rsidRPr="00E73F6F">
        <w:rPr>
          <w:spacing w:val="-12"/>
        </w:rPr>
        <w:t xml:space="preserve"> </w:t>
      </w:r>
      <w:r w:rsidRPr="00E73F6F">
        <w:t xml:space="preserve">vermitteln. Diese Erfahrung lehrt einerseits Verzicht und Mitgefühl </w:t>
      </w:r>
      <w:r w:rsidRPr="00E73F6F">
        <w:lastRenderedPageBreak/>
        <w:t>für</w:t>
      </w:r>
      <w:r w:rsidRPr="00E73F6F">
        <w:rPr>
          <w:spacing w:val="-1"/>
        </w:rPr>
        <w:t xml:space="preserve"> </w:t>
      </w:r>
      <w:r w:rsidRPr="00E73F6F">
        <w:t>Menschen, die</w:t>
      </w:r>
      <w:r w:rsidRPr="00E73F6F">
        <w:rPr>
          <w:spacing w:val="-1"/>
        </w:rPr>
        <w:t xml:space="preserve"> </w:t>
      </w:r>
      <w:r w:rsidRPr="00E73F6F">
        <w:t>in Not geraten sind. Andererseits dient das Fasten dem Ziel, sich in Geduld und Selbstbeherrschung zu üben. Das abendliche Fastenbrechen wird häufig gemeinsam</w:t>
      </w:r>
      <w:r w:rsidRPr="00E73F6F">
        <w:rPr>
          <w:spacing w:val="-7"/>
        </w:rPr>
        <w:t xml:space="preserve"> </w:t>
      </w:r>
      <w:r w:rsidRPr="00E73F6F">
        <w:t>mit</w:t>
      </w:r>
      <w:r w:rsidRPr="00E73F6F">
        <w:rPr>
          <w:spacing w:val="-6"/>
        </w:rPr>
        <w:t xml:space="preserve"> </w:t>
      </w:r>
      <w:r w:rsidRPr="00E73F6F">
        <w:t>Nachbarn</w:t>
      </w:r>
      <w:r w:rsidRPr="00E73F6F">
        <w:rPr>
          <w:spacing w:val="-5"/>
        </w:rPr>
        <w:t xml:space="preserve"> </w:t>
      </w:r>
      <w:r w:rsidRPr="00E73F6F">
        <w:t>und</w:t>
      </w:r>
      <w:r w:rsidRPr="00E73F6F">
        <w:rPr>
          <w:spacing w:val="-5"/>
        </w:rPr>
        <w:t xml:space="preserve"> </w:t>
      </w:r>
      <w:r w:rsidRPr="00E73F6F">
        <w:t>Freunden</w:t>
      </w:r>
      <w:r w:rsidRPr="00E73F6F">
        <w:rPr>
          <w:spacing w:val="-5"/>
        </w:rPr>
        <w:t xml:space="preserve"> </w:t>
      </w:r>
      <w:r w:rsidRPr="00E73F6F">
        <w:t>begangen.</w:t>
      </w:r>
      <w:r w:rsidRPr="00E73F6F">
        <w:rPr>
          <w:spacing w:val="-6"/>
        </w:rPr>
        <w:t xml:space="preserve"> </w:t>
      </w:r>
      <w:r w:rsidRPr="00E73F6F">
        <w:t>Der</w:t>
      </w:r>
      <w:r w:rsidRPr="00E73F6F">
        <w:rPr>
          <w:spacing w:val="-2"/>
        </w:rPr>
        <w:t xml:space="preserve"> </w:t>
      </w:r>
      <w:r w:rsidRPr="00E73F6F">
        <w:t>Ramadan</w:t>
      </w:r>
      <w:r w:rsidRPr="00E73F6F">
        <w:rPr>
          <w:spacing w:val="-4"/>
        </w:rPr>
        <w:t xml:space="preserve"> </w:t>
      </w:r>
      <w:r w:rsidRPr="00E73F6F">
        <w:t>selbst</w:t>
      </w:r>
      <w:r w:rsidRPr="00E73F6F">
        <w:rPr>
          <w:spacing w:val="-6"/>
        </w:rPr>
        <w:t xml:space="preserve"> </w:t>
      </w:r>
      <w:r w:rsidRPr="00E73F6F">
        <w:t>findet mit dem Zuckerfest sein Ende.</w:t>
      </w:r>
    </w:p>
    <w:p w14:paraId="56973715" w14:textId="77777777" w:rsidR="00FF7799" w:rsidRPr="00E73F6F" w:rsidRDefault="00FF7799" w:rsidP="00BF2DBF">
      <w:pPr>
        <w:pStyle w:val="StandardTextAufzhlung"/>
        <w:ind w:left="284"/>
      </w:pPr>
      <w:r w:rsidRPr="00E73F6F">
        <w:t>Hadsch:</w:t>
      </w:r>
      <w:r w:rsidRPr="00E73F6F">
        <w:rPr>
          <w:spacing w:val="-5"/>
        </w:rPr>
        <w:t xml:space="preserve"> </w:t>
      </w:r>
      <w:r w:rsidRPr="00E73F6F">
        <w:t>Jeder</w:t>
      </w:r>
      <w:r w:rsidRPr="00E73F6F">
        <w:rPr>
          <w:spacing w:val="-5"/>
        </w:rPr>
        <w:t xml:space="preserve"> </w:t>
      </w:r>
      <w:r w:rsidRPr="00E73F6F">
        <w:t>Moslem</w:t>
      </w:r>
      <w:r w:rsidRPr="00E73F6F">
        <w:rPr>
          <w:spacing w:val="-6"/>
        </w:rPr>
        <w:t xml:space="preserve"> </w:t>
      </w:r>
      <w:r w:rsidRPr="00E73F6F">
        <w:t>sollte</w:t>
      </w:r>
      <w:r w:rsidRPr="00E73F6F">
        <w:rPr>
          <w:spacing w:val="-6"/>
        </w:rPr>
        <w:t xml:space="preserve"> </w:t>
      </w:r>
      <w:r w:rsidRPr="00E73F6F">
        <w:t>mindestens</w:t>
      </w:r>
      <w:r w:rsidRPr="00E73F6F">
        <w:rPr>
          <w:spacing w:val="-6"/>
        </w:rPr>
        <w:t xml:space="preserve"> </w:t>
      </w:r>
      <w:r w:rsidRPr="00E73F6F">
        <w:t>einmal</w:t>
      </w:r>
      <w:r w:rsidRPr="00E73F6F">
        <w:rPr>
          <w:spacing w:val="-5"/>
        </w:rPr>
        <w:t xml:space="preserve"> </w:t>
      </w:r>
      <w:r w:rsidRPr="00E73F6F">
        <w:t>in</w:t>
      </w:r>
      <w:r w:rsidRPr="00E73F6F">
        <w:rPr>
          <w:spacing w:val="-6"/>
        </w:rPr>
        <w:t xml:space="preserve"> </w:t>
      </w:r>
      <w:r w:rsidRPr="00E73F6F">
        <w:t>seinem</w:t>
      </w:r>
      <w:r w:rsidRPr="00E73F6F">
        <w:rPr>
          <w:spacing w:val="-6"/>
        </w:rPr>
        <w:t xml:space="preserve"> </w:t>
      </w:r>
      <w:r w:rsidRPr="00E73F6F">
        <w:t>Leben</w:t>
      </w:r>
      <w:r w:rsidRPr="00E73F6F">
        <w:rPr>
          <w:spacing w:val="-7"/>
        </w:rPr>
        <w:t xml:space="preserve"> </w:t>
      </w:r>
      <w:r w:rsidRPr="00E73F6F">
        <w:t>nach</w:t>
      </w:r>
      <w:r w:rsidRPr="00E73F6F">
        <w:rPr>
          <w:spacing w:val="-4"/>
        </w:rPr>
        <w:t xml:space="preserve"> </w:t>
      </w:r>
      <w:r w:rsidRPr="00E73F6F">
        <w:t>Mekka pilgern, sofern er dazu gesundheitlich und finanziell in der Lage ist. Da eine Reise nach Mekka (bspw. von Malaysia aus) aber mehr als zwei Drittel des durchschnittlichen Pro-Kopf-Jahreseinkommens kosten kann, bleibt vielen Gläubigen diese Pilgerreise verwehrt. Möglicherweise deshalb gilt die fünfte Pflicht nicht als notwendige Voraussetzung für absolute Erlösung.</w:t>
      </w:r>
    </w:p>
    <w:p w14:paraId="0229039D" w14:textId="77777777" w:rsidR="00FF7799" w:rsidRPr="00E73F6F" w:rsidRDefault="00FF7799" w:rsidP="00862DBA">
      <w:pPr>
        <w:spacing w:before="5"/>
        <w:rPr>
          <w:sz w:val="24"/>
          <w:szCs w:val="24"/>
        </w:rPr>
      </w:pPr>
    </w:p>
    <w:p w14:paraId="7A7C4F7C" w14:textId="77777777" w:rsidR="00FF7799" w:rsidRPr="00580F1D" w:rsidRDefault="00FF7799" w:rsidP="007B6B40">
      <w:pPr>
        <w:pStyle w:val="StandardTextkursiv"/>
        <w:rPr>
          <w:i w:val="0"/>
        </w:rPr>
      </w:pPr>
      <w:r w:rsidRPr="00580F1D">
        <w:rPr>
          <w:i w:val="0"/>
        </w:rPr>
        <w:t>4 Ökonomisch</w:t>
      </w:r>
      <w:r w:rsidRPr="00580F1D">
        <w:rPr>
          <w:i w:val="0"/>
          <w:spacing w:val="-1"/>
        </w:rPr>
        <w:t xml:space="preserve"> </w:t>
      </w:r>
      <w:r w:rsidRPr="00580F1D">
        <w:rPr>
          <w:i w:val="0"/>
        </w:rPr>
        <w:t>relevante</w:t>
      </w:r>
      <w:r w:rsidRPr="00580F1D">
        <w:rPr>
          <w:i w:val="0"/>
          <w:spacing w:val="-1"/>
        </w:rPr>
        <w:t xml:space="preserve"> </w:t>
      </w:r>
      <w:r w:rsidRPr="00580F1D">
        <w:rPr>
          <w:i w:val="0"/>
          <w:spacing w:val="-2"/>
        </w:rPr>
        <w:t>Verhaltensweisen</w:t>
      </w:r>
    </w:p>
    <w:p w14:paraId="0E0243C2" w14:textId="77777777" w:rsidR="00FF7799" w:rsidRPr="00E73F6F" w:rsidRDefault="00FF7799" w:rsidP="00036DC6">
      <w:pPr>
        <w:pStyle w:val="StandardText"/>
      </w:pPr>
      <w:r w:rsidRPr="00E73F6F">
        <w:t>Muslime</w:t>
      </w:r>
      <w:r w:rsidRPr="00E73F6F">
        <w:rPr>
          <w:spacing w:val="-12"/>
        </w:rPr>
        <w:t xml:space="preserve"> </w:t>
      </w:r>
      <w:r w:rsidRPr="00E73F6F">
        <w:t>verquicken</w:t>
      </w:r>
      <w:r w:rsidRPr="00E73F6F">
        <w:rPr>
          <w:spacing w:val="-11"/>
        </w:rPr>
        <w:t xml:space="preserve"> </w:t>
      </w:r>
      <w:r w:rsidRPr="00E73F6F">
        <w:t>die</w:t>
      </w:r>
      <w:r w:rsidRPr="00E73F6F">
        <w:rPr>
          <w:spacing w:val="-11"/>
        </w:rPr>
        <w:t xml:space="preserve"> </w:t>
      </w:r>
      <w:r w:rsidRPr="00E73F6F">
        <w:t>marktwirtschaftliche</w:t>
      </w:r>
      <w:r w:rsidRPr="00E73F6F">
        <w:rPr>
          <w:spacing w:val="-11"/>
        </w:rPr>
        <w:t xml:space="preserve"> </w:t>
      </w:r>
      <w:r w:rsidRPr="00E73F6F">
        <w:t>Ordnung</w:t>
      </w:r>
      <w:r w:rsidRPr="00E73F6F">
        <w:rPr>
          <w:spacing w:val="-12"/>
        </w:rPr>
        <w:t xml:space="preserve"> </w:t>
      </w:r>
      <w:r w:rsidRPr="00E73F6F">
        <w:t>(Recht</w:t>
      </w:r>
      <w:r w:rsidRPr="00E73F6F">
        <w:rPr>
          <w:spacing w:val="-11"/>
        </w:rPr>
        <w:t xml:space="preserve"> </w:t>
      </w:r>
      <w:r w:rsidRPr="00E73F6F">
        <w:t>auf</w:t>
      </w:r>
      <w:r w:rsidRPr="00E73F6F">
        <w:rPr>
          <w:spacing w:val="-11"/>
        </w:rPr>
        <w:t xml:space="preserve"> </w:t>
      </w:r>
      <w:r w:rsidRPr="00E73F6F">
        <w:t>Privateigentum, Vertragsfreiheit,</w:t>
      </w:r>
      <w:r w:rsidRPr="00E73F6F">
        <w:rPr>
          <w:spacing w:val="-12"/>
        </w:rPr>
        <w:t xml:space="preserve"> </w:t>
      </w:r>
      <w:r w:rsidRPr="00E73F6F">
        <w:t>freie</w:t>
      </w:r>
      <w:r w:rsidRPr="00E73F6F">
        <w:rPr>
          <w:spacing w:val="-11"/>
        </w:rPr>
        <w:t xml:space="preserve"> </w:t>
      </w:r>
      <w:r w:rsidRPr="00E73F6F">
        <w:t>Presse,</w:t>
      </w:r>
      <w:r w:rsidRPr="00E73F6F">
        <w:rPr>
          <w:spacing w:val="-10"/>
        </w:rPr>
        <w:t xml:space="preserve"> </w:t>
      </w:r>
      <w:r w:rsidRPr="00E73F6F">
        <w:t>Leistungsprinzip,</w:t>
      </w:r>
      <w:r w:rsidRPr="00E73F6F">
        <w:rPr>
          <w:spacing w:val="-10"/>
        </w:rPr>
        <w:t xml:space="preserve"> </w:t>
      </w:r>
      <w:r w:rsidRPr="00E73F6F">
        <w:t>Gewinnstreben),</w:t>
      </w:r>
      <w:r w:rsidRPr="00E73F6F">
        <w:rPr>
          <w:spacing w:val="-12"/>
        </w:rPr>
        <w:t xml:space="preserve"> </w:t>
      </w:r>
      <w:r w:rsidRPr="00E73F6F">
        <w:t>die</w:t>
      </w:r>
      <w:r w:rsidRPr="00E73F6F">
        <w:rPr>
          <w:spacing w:val="-11"/>
        </w:rPr>
        <w:t xml:space="preserve"> </w:t>
      </w:r>
      <w:r w:rsidRPr="00E73F6F">
        <w:t>sie</w:t>
      </w:r>
      <w:r w:rsidRPr="00E73F6F">
        <w:rPr>
          <w:spacing w:val="-11"/>
        </w:rPr>
        <w:t xml:space="preserve"> </w:t>
      </w:r>
      <w:r w:rsidRPr="00E73F6F">
        <w:t xml:space="preserve">prinzipiell anerkennen, mit einer stark moralischen Komponente (vgl. o.V. 2002, S.5). Aber eine umfassende „islamische“ Arbeits- oder Führungsethik wurde bislang nicht formuliert. Die vor allem in Pakistan </w:t>
      </w:r>
      <w:r w:rsidRPr="00580F1D">
        <w:t>vorangetriebenen Islamic Economics beschränken</w:t>
      </w:r>
      <w:r w:rsidRPr="00E73F6F">
        <w:t xml:space="preserve"> auf Aussagen gesamtwirtschaftlicher Art.</w:t>
      </w:r>
    </w:p>
    <w:p w14:paraId="07EE2FB0" w14:textId="77777777" w:rsidR="00FF7799" w:rsidRPr="00E73F6F" w:rsidRDefault="00FF7799" w:rsidP="00036DC6">
      <w:pPr>
        <w:pStyle w:val="StandardText"/>
      </w:pPr>
      <w:r w:rsidRPr="00E73F6F">
        <w:t>Dennoch nehmen zahlreiche Gebote erheblichen Einfluss auf das private und das berufliche Leben:</w:t>
      </w:r>
    </w:p>
    <w:p w14:paraId="57A82DFB" w14:textId="77777777" w:rsidR="00FF7799" w:rsidRPr="00580F1D" w:rsidRDefault="00FF7799" w:rsidP="00BF2DBF">
      <w:pPr>
        <w:pStyle w:val="StandardTextAufzhlung"/>
        <w:ind w:left="567"/>
      </w:pPr>
      <w:r w:rsidRPr="00580F1D">
        <w:t>Gemeinschaftsorientiertes Denken (Umma): Fördert das Zusammenleben, nicht aber den ökonomischen Wettbewerb (zwischen Moslems).</w:t>
      </w:r>
    </w:p>
    <w:p w14:paraId="69F8D51E" w14:textId="77777777" w:rsidR="00FF7799" w:rsidRPr="00580F1D" w:rsidRDefault="00FF7799" w:rsidP="00BF2DBF">
      <w:pPr>
        <w:pStyle w:val="StandardTextAufzhlung"/>
        <w:ind w:left="567"/>
      </w:pPr>
      <w:r w:rsidRPr="00580F1D">
        <w:t>Mäßigung: Warnt nicht nur vor ungezügeltem Erwerbsstreben, sondern ausdrücklich auch vor übermäßiger Spendengabe (Sure 25, 67).</w:t>
      </w:r>
    </w:p>
    <w:p w14:paraId="0A14BF10" w14:textId="77777777" w:rsidR="00FF7799" w:rsidRPr="00580F1D" w:rsidRDefault="00FF7799" w:rsidP="00BF2DBF">
      <w:pPr>
        <w:pStyle w:val="StandardTextAufzhlung"/>
        <w:ind w:left="567"/>
      </w:pPr>
      <w:r w:rsidRPr="00580F1D">
        <w:t>Wissenserwerb:</w:t>
      </w:r>
      <w:r w:rsidRPr="00580F1D">
        <w:rPr>
          <w:spacing w:val="-7"/>
        </w:rPr>
        <w:t xml:space="preserve"> </w:t>
      </w:r>
      <w:r w:rsidRPr="00580F1D">
        <w:t>„Du</w:t>
      </w:r>
      <w:r w:rsidRPr="00580F1D">
        <w:rPr>
          <w:spacing w:val="-7"/>
        </w:rPr>
        <w:t xml:space="preserve"> </w:t>
      </w:r>
      <w:r w:rsidRPr="00580F1D">
        <w:t>musst</w:t>
      </w:r>
      <w:r w:rsidRPr="00580F1D">
        <w:rPr>
          <w:spacing w:val="-7"/>
        </w:rPr>
        <w:t xml:space="preserve"> </w:t>
      </w:r>
      <w:r w:rsidRPr="00580F1D">
        <w:t>dein</w:t>
      </w:r>
      <w:r w:rsidRPr="00580F1D">
        <w:rPr>
          <w:spacing w:val="-6"/>
        </w:rPr>
        <w:t xml:space="preserve"> </w:t>
      </w:r>
      <w:r w:rsidRPr="00580F1D">
        <w:t>Leben</w:t>
      </w:r>
      <w:r w:rsidRPr="00580F1D">
        <w:rPr>
          <w:spacing w:val="-7"/>
        </w:rPr>
        <w:t xml:space="preserve"> </w:t>
      </w:r>
      <w:r w:rsidRPr="00580F1D">
        <w:t>lang</w:t>
      </w:r>
      <w:r w:rsidRPr="00580F1D">
        <w:rPr>
          <w:spacing w:val="-7"/>
        </w:rPr>
        <w:t xml:space="preserve"> </w:t>
      </w:r>
      <w:r w:rsidRPr="00580F1D">
        <w:t>lernen!“</w:t>
      </w:r>
      <w:r w:rsidRPr="00580F1D">
        <w:rPr>
          <w:spacing w:val="-8"/>
        </w:rPr>
        <w:t xml:space="preserve"> </w:t>
      </w:r>
      <w:r w:rsidRPr="00580F1D">
        <w:t>Mit</w:t>
      </w:r>
      <w:r w:rsidRPr="00580F1D">
        <w:rPr>
          <w:spacing w:val="-7"/>
        </w:rPr>
        <w:t xml:space="preserve"> </w:t>
      </w:r>
      <w:r w:rsidRPr="00580F1D">
        <w:t>diesem</w:t>
      </w:r>
      <w:r w:rsidRPr="00580F1D">
        <w:rPr>
          <w:spacing w:val="-8"/>
        </w:rPr>
        <w:t xml:space="preserve"> </w:t>
      </w:r>
      <w:r w:rsidRPr="00580F1D">
        <w:t>Satz</w:t>
      </w:r>
      <w:r w:rsidRPr="00580F1D">
        <w:rPr>
          <w:spacing w:val="-8"/>
        </w:rPr>
        <w:t xml:space="preserve"> </w:t>
      </w:r>
      <w:r w:rsidRPr="00580F1D">
        <w:t>aus</w:t>
      </w:r>
      <w:r w:rsidRPr="00580F1D">
        <w:rPr>
          <w:spacing w:val="-8"/>
        </w:rPr>
        <w:t xml:space="preserve"> </w:t>
      </w:r>
      <w:r w:rsidRPr="00580F1D">
        <w:t>dem Koran</w:t>
      </w:r>
      <w:r w:rsidRPr="00580F1D">
        <w:rPr>
          <w:spacing w:val="-12"/>
        </w:rPr>
        <w:t xml:space="preserve"> </w:t>
      </w:r>
      <w:r w:rsidRPr="00580F1D">
        <w:t>ließ</w:t>
      </w:r>
      <w:r w:rsidRPr="00580F1D">
        <w:rPr>
          <w:spacing w:val="-11"/>
        </w:rPr>
        <w:t xml:space="preserve"> </w:t>
      </w:r>
      <w:r w:rsidRPr="00580F1D">
        <w:t>Kemal</w:t>
      </w:r>
      <w:r w:rsidRPr="00580F1D">
        <w:rPr>
          <w:spacing w:val="-11"/>
        </w:rPr>
        <w:t xml:space="preserve"> </w:t>
      </w:r>
      <w:r w:rsidRPr="00580F1D">
        <w:t>Attatürk</w:t>
      </w:r>
      <w:r w:rsidRPr="00580F1D">
        <w:rPr>
          <w:spacing w:val="-11"/>
        </w:rPr>
        <w:t xml:space="preserve"> </w:t>
      </w:r>
      <w:r w:rsidRPr="00580F1D">
        <w:t>das</w:t>
      </w:r>
      <w:r w:rsidRPr="00580F1D">
        <w:rPr>
          <w:spacing w:val="-12"/>
        </w:rPr>
        <w:t xml:space="preserve"> </w:t>
      </w:r>
      <w:r w:rsidRPr="00580F1D">
        <w:t>Portal</w:t>
      </w:r>
      <w:r w:rsidRPr="00580F1D">
        <w:rPr>
          <w:spacing w:val="-11"/>
        </w:rPr>
        <w:t xml:space="preserve"> </w:t>
      </w:r>
      <w:r w:rsidRPr="00580F1D">
        <w:t>der</w:t>
      </w:r>
      <w:r w:rsidRPr="00580F1D">
        <w:rPr>
          <w:spacing w:val="-11"/>
        </w:rPr>
        <w:t xml:space="preserve"> </w:t>
      </w:r>
      <w:r w:rsidRPr="00580F1D">
        <w:t>ersten</w:t>
      </w:r>
      <w:r w:rsidRPr="00580F1D">
        <w:rPr>
          <w:spacing w:val="-9"/>
        </w:rPr>
        <w:t xml:space="preserve"> </w:t>
      </w:r>
      <w:r w:rsidRPr="00580F1D">
        <w:t>Universität</w:t>
      </w:r>
      <w:r w:rsidRPr="00580F1D">
        <w:rPr>
          <w:spacing w:val="-12"/>
        </w:rPr>
        <w:t xml:space="preserve"> </w:t>
      </w:r>
      <w:r w:rsidRPr="00580F1D">
        <w:t>in</w:t>
      </w:r>
      <w:r w:rsidRPr="00580F1D">
        <w:rPr>
          <w:spacing w:val="-11"/>
        </w:rPr>
        <w:t xml:space="preserve"> </w:t>
      </w:r>
      <w:r w:rsidRPr="00580F1D">
        <w:t>Ankara,</w:t>
      </w:r>
      <w:r w:rsidRPr="00580F1D">
        <w:rPr>
          <w:spacing w:val="-10"/>
        </w:rPr>
        <w:t xml:space="preserve"> </w:t>
      </w:r>
      <w:r w:rsidRPr="00580F1D">
        <w:t>die</w:t>
      </w:r>
      <w:r w:rsidRPr="00580F1D">
        <w:rPr>
          <w:spacing w:val="-12"/>
        </w:rPr>
        <w:t xml:space="preserve"> </w:t>
      </w:r>
      <w:r w:rsidRPr="00580F1D">
        <w:t>dem europäischen Vorbild folgte, schmücken.</w:t>
      </w:r>
    </w:p>
    <w:p w14:paraId="58F27026" w14:textId="77777777" w:rsidR="00FF7799" w:rsidRPr="00580F1D" w:rsidRDefault="00FF7799" w:rsidP="00BF2DBF">
      <w:pPr>
        <w:pStyle w:val="StandardTextAufzhlung"/>
        <w:ind w:left="567"/>
      </w:pPr>
      <w:r w:rsidRPr="00580F1D">
        <w:t>Verlangen nach Wahrhaftigkeit: Untersagt ausdrücklich Betrug im gesamten Wirtschafts- und Rechtsverkehr (z.B. beim Abwiegen von Waren).</w:t>
      </w:r>
    </w:p>
    <w:p w14:paraId="12DE1295" w14:textId="77777777" w:rsidR="00BF2DBF" w:rsidRDefault="00BF2DBF" w:rsidP="00862DBA">
      <w:pPr>
        <w:spacing w:before="120"/>
        <w:jc w:val="both"/>
        <w:rPr>
          <w:sz w:val="24"/>
          <w:szCs w:val="24"/>
        </w:rPr>
      </w:pPr>
    </w:p>
    <w:p w14:paraId="67C54981" w14:textId="3193EC54" w:rsidR="00FF7799" w:rsidRPr="00580F1D" w:rsidRDefault="00FF7799" w:rsidP="00862DBA">
      <w:pPr>
        <w:spacing w:before="120"/>
        <w:jc w:val="both"/>
        <w:rPr>
          <w:sz w:val="24"/>
          <w:szCs w:val="24"/>
        </w:rPr>
      </w:pPr>
      <w:r w:rsidRPr="00580F1D">
        <w:rPr>
          <w:sz w:val="24"/>
          <w:szCs w:val="24"/>
        </w:rPr>
        <w:t xml:space="preserve">Wie alle Religionen, so spricht </w:t>
      </w:r>
      <w:r w:rsidRPr="00580F1D">
        <w:rPr>
          <w:rStyle w:val="StandardTextZchn1"/>
        </w:rPr>
        <w:t>auch der Islam zahlreiche Verbote aus, z.B. die üble Nachrede in Sure 49, das Brechen von Schwüren und Eiden (Sure 16) sowie Diebstahl und Ehebruch (Sure 5). Andere allgemeine Verbote sind spezifisch für den Islam (z.B. Alkoholgenuss). Schließlich gibt es eine Reihe speziell formulierter Verbote, die für die Geschäftstätigkeit unmittelbar bedeutsam sind. Hierzu zählen das unnötige Horten von Vorräten und die Berechnung von Zinsen jeglicher Art. Verboten sind weiterhin Bestechung und falsche Gewichte. Gleiches gilt für Einkünfte durch unaufrichtiges Handeln (z.B. Zauberei), Handel mit verbotener Ware (Rauschgift, alkoholische Getränke), widerrechtliche Inbesitznahme (Diebstahl, Raub) und Spekulation</w:t>
      </w:r>
      <w:r w:rsidRPr="00580F1D">
        <w:rPr>
          <w:sz w:val="24"/>
          <w:szCs w:val="24"/>
        </w:rPr>
        <w:t>.</w:t>
      </w:r>
    </w:p>
    <w:p w14:paraId="16A1C2B1" w14:textId="77777777" w:rsidR="00926A05" w:rsidRDefault="00580F1D" w:rsidP="00926A05">
      <w:pPr>
        <w:pStyle w:val="StandardText"/>
      </w:pPr>
      <w:r w:rsidRPr="00D60D29">
        <w:rPr>
          <w:b/>
          <w:i/>
          <w:sz w:val="22"/>
          <w:szCs w:val="22"/>
        </w:rPr>
        <w:t>Literatur</w:t>
      </w:r>
      <w:r w:rsidRPr="00D60D29">
        <w:rPr>
          <w:i/>
          <w:sz w:val="22"/>
          <w:szCs w:val="22"/>
        </w:rPr>
        <w:t>:</w:t>
      </w:r>
      <w:r w:rsidRPr="00D60D29">
        <w:rPr>
          <w:spacing w:val="9"/>
          <w:sz w:val="22"/>
          <w:szCs w:val="22"/>
        </w:rPr>
        <w:t xml:space="preserve"> </w:t>
      </w:r>
      <w:r w:rsidR="00C35CF8" w:rsidRPr="00C35CF8">
        <w:rPr>
          <w:sz w:val="22"/>
          <w:szCs w:val="22"/>
          <w:lang w:eastAsia="en-US"/>
        </w:rPr>
        <w:t xml:space="preserve">Antes, P. (1997): Der Islam als politischer Faktor, 3. </w:t>
      </w:r>
      <w:r w:rsidR="00C35CF8" w:rsidRPr="00C35CF8">
        <w:rPr>
          <w:sz w:val="22"/>
          <w:szCs w:val="22"/>
          <w:lang w:val="en-US" w:eastAsia="en-US"/>
        </w:rPr>
        <w:t>Aufl., Bonn 1997. Culpan, R. (1985): The Saudi Arabian Marketing Environment: A Critical Appraisal, in: JIMMR, Vol.10 (1985), No.3, pp.129-141.</w:t>
      </w:r>
      <w:r w:rsidR="00C35CF8">
        <w:rPr>
          <w:sz w:val="22"/>
          <w:szCs w:val="22"/>
          <w:lang w:val="en-US" w:eastAsia="en-US"/>
        </w:rPr>
        <w:t xml:space="preserve">  </w:t>
      </w:r>
      <w:r w:rsidR="00C35CF8" w:rsidRPr="00C35CF8">
        <w:rPr>
          <w:sz w:val="22"/>
          <w:szCs w:val="22"/>
          <w:lang w:eastAsia="en-US"/>
        </w:rPr>
        <w:t>Ettlinger, D. (1987): Geschäftsabwicklung in den Ländern der arabischen Halbinsel, Wien 1987.</w:t>
      </w:r>
      <w:r w:rsidR="00C35CF8">
        <w:rPr>
          <w:sz w:val="22"/>
          <w:szCs w:val="22"/>
          <w:lang w:eastAsia="en-US"/>
        </w:rPr>
        <w:t xml:space="preserve">  </w:t>
      </w:r>
      <w:r w:rsidR="00C35CF8" w:rsidRPr="00C35CF8">
        <w:rPr>
          <w:sz w:val="22"/>
          <w:szCs w:val="22"/>
          <w:lang w:eastAsia="en-US"/>
        </w:rPr>
        <w:t>Gelbrich, K. Müller, S. (2023): Interreligiöses Marketing, S. 61ff., Berlin: de Gruyter.   Ghaussy, G. A.; Fritz-Aßmuß, D. (1988): Elemente einer islamischen Wirtschaftslehre, in: WiSt, 17.Jg. (1988), Nr.9,</w:t>
      </w:r>
      <w:r w:rsidR="00C35CF8">
        <w:rPr>
          <w:sz w:val="22"/>
          <w:szCs w:val="22"/>
          <w:lang w:eastAsia="en-US"/>
        </w:rPr>
        <w:t xml:space="preserve"> S.439-444.  </w:t>
      </w:r>
      <w:r w:rsidR="00C35CF8" w:rsidRPr="00C35CF8">
        <w:rPr>
          <w:sz w:val="22"/>
          <w:szCs w:val="22"/>
          <w:lang w:eastAsia="en-US"/>
        </w:rPr>
        <w:t xml:space="preserve">Tworuschka, M. (1995): Islam, in: Drehsen, V.; Häring, H.; Kuschel, K.-J.; Siemers, H.; Baumotte, M. (Hrsg.) (1995): Wörterbuch des Christentums, </w:t>
      </w:r>
      <w:r w:rsidR="00C35CF8">
        <w:rPr>
          <w:sz w:val="22"/>
          <w:szCs w:val="22"/>
          <w:lang w:eastAsia="en-US"/>
        </w:rPr>
        <w:t>527-529, München</w:t>
      </w:r>
      <w:r w:rsidR="00C35CF8" w:rsidRPr="00926A05">
        <w:rPr>
          <w:sz w:val="22"/>
          <w:szCs w:val="22"/>
          <w:lang w:eastAsia="en-US"/>
        </w:rPr>
        <w:t>.</w:t>
      </w:r>
      <w:r w:rsidR="00926A05" w:rsidRPr="00926A05">
        <w:rPr>
          <w:bCs/>
          <w:sz w:val="22"/>
          <w:szCs w:val="22"/>
          <w:lang w:eastAsia="en-US"/>
        </w:rPr>
        <w:t xml:space="preserve">  </w:t>
      </w:r>
      <w:r w:rsidR="00926A05" w:rsidRPr="00926A05">
        <w:t>von Glasenapp, H. (2011): Die fünf Weltreligionen, 5. Aufl., München: Hugendubel (Diederichs Gelbe Reihe</w:t>
      </w:r>
      <w:r w:rsidR="00926A05" w:rsidRPr="00E73F6F">
        <w:t>).</w:t>
      </w:r>
    </w:p>
    <w:p w14:paraId="56B6B832" w14:textId="77777777" w:rsidR="00C35CF8" w:rsidRPr="00C35CF8" w:rsidRDefault="00C35CF8" w:rsidP="00C35CF8">
      <w:pPr>
        <w:pStyle w:val="Literatur"/>
        <w:numPr>
          <w:ilvl w:val="0"/>
          <w:numId w:val="0"/>
        </w:numPr>
        <w:rPr>
          <w:bCs w:val="0"/>
          <w:sz w:val="22"/>
          <w:szCs w:val="22"/>
          <w:lang w:eastAsia="en-US"/>
        </w:rPr>
      </w:pPr>
    </w:p>
    <w:p w14:paraId="3AC54356" w14:textId="77777777" w:rsidR="00C35CF8" w:rsidRPr="00543858" w:rsidRDefault="00C35CF8" w:rsidP="00C35CF8">
      <w:pPr>
        <w:pStyle w:val="Literatur"/>
        <w:numPr>
          <w:ilvl w:val="0"/>
          <w:numId w:val="0"/>
        </w:numPr>
        <w:ind w:left="426"/>
      </w:pPr>
    </w:p>
    <w:p w14:paraId="3CB506AB" w14:textId="77777777" w:rsidR="00C35CF8" w:rsidRDefault="00C35CF8" w:rsidP="00C35CF8">
      <w:pPr>
        <w:pStyle w:val="Literatur"/>
        <w:numPr>
          <w:ilvl w:val="0"/>
          <w:numId w:val="0"/>
        </w:numPr>
        <w:ind w:left="786" w:hanging="360"/>
        <w:rPr>
          <w:bCs w:val="0"/>
          <w:sz w:val="22"/>
          <w:szCs w:val="22"/>
          <w:lang w:eastAsia="en-US"/>
        </w:rPr>
      </w:pPr>
    </w:p>
    <w:p w14:paraId="07CDB274" w14:textId="77777777" w:rsidR="00C35CF8" w:rsidRPr="00FA39D9" w:rsidRDefault="00C35CF8" w:rsidP="00C35CF8">
      <w:pPr>
        <w:pStyle w:val="Literatur"/>
        <w:numPr>
          <w:ilvl w:val="0"/>
          <w:numId w:val="0"/>
        </w:numPr>
        <w:ind w:left="426"/>
      </w:pPr>
      <w:r w:rsidRPr="00C35CF8">
        <w:rPr>
          <w:bCs w:val="0"/>
          <w:sz w:val="22"/>
          <w:szCs w:val="22"/>
          <w:lang w:eastAsia="en-US"/>
        </w:rPr>
        <w:t>.</w:t>
      </w:r>
    </w:p>
    <w:p w14:paraId="7943C7EE" w14:textId="77777777" w:rsidR="00FF7799" w:rsidRPr="00BF2DBF" w:rsidRDefault="00FF7799" w:rsidP="009E4161">
      <w:pPr>
        <w:pStyle w:val="berschrift1"/>
        <w:rPr>
          <w:bCs w:val="0"/>
          <w:color w:val="2E74B5"/>
          <w:sz w:val="22"/>
        </w:rPr>
      </w:pPr>
      <w:r w:rsidRPr="00BF2DBF">
        <w:rPr>
          <w:bCs w:val="0"/>
          <w:color w:val="2E74B5"/>
          <w:sz w:val="22"/>
        </w:rPr>
        <w:lastRenderedPageBreak/>
        <w:t>Ja-Sage-Tenden</w:t>
      </w:r>
      <w:bookmarkStart w:id="49" w:name="_Toc306054017"/>
      <w:r w:rsidRPr="00BF2DBF">
        <w:rPr>
          <w:bCs w:val="0"/>
          <w:color w:val="2E74B5"/>
          <w:sz w:val="22"/>
        </w:rPr>
        <w:t>z (Akquieszenz</w:t>
      </w:r>
      <w:bookmarkEnd w:id="49"/>
      <w:r w:rsidRPr="00BF2DBF">
        <w:rPr>
          <w:bCs w:val="0"/>
          <w:color w:val="2E74B5"/>
          <w:sz w:val="22"/>
        </w:rPr>
        <w:t>)</w:t>
      </w:r>
    </w:p>
    <w:p w14:paraId="3859F3B7" w14:textId="77777777" w:rsidR="00FF7799" w:rsidRPr="00580F1D" w:rsidRDefault="00FF7799" w:rsidP="00862DBA">
      <w:pPr>
        <w:spacing w:before="120"/>
        <w:jc w:val="both"/>
        <w:rPr>
          <w:sz w:val="24"/>
          <w:szCs w:val="24"/>
        </w:rPr>
      </w:pPr>
      <w:r w:rsidRPr="00580F1D">
        <w:rPr>
          <w:sz w:val="24"/>
          <w:szCs w:val="24"/>
        </w:rPr>
        <w:t>Antwort</w:t>
      </w:r>
      <w:r w:rsidR="00C35CF8">
        <w:rPr>
          <w:sz w:val="24"/>
          <w:szCs w:val="24"/>
        </w:rPr>
        <w:t>tendenz von Auskunftspersonen (</w:t>
      </w:r>
      <w:r w:rsidR="00C35CF8">
        <w:rPr>
          <w:sz w:val="24"/>
          <w:szCs w:val="24"/>
        </w:rPr>
        <w:sym w:font="Symbol" w:char="F0DE"/>
      </w:r>
      <w:r w:rsidR="00C35CF8">
        <w:rPr>
          <w:sz w:val="24"/>
          <w:szCs w:val="24"/>
        </w:rPr>
        <w:t xml:space="preserve"> </w:t>
      </w:r>
      <w:r w:rsidRPr="00580F1D">
        <w:rPr>
          <w:sz w:val="24"/>
          <w:szCs w:val="24"/>
        </w:rPr>
        <w:t>Antworttendenz), die sich darin äußert, dass Fragen, unabhängig vom Inhalt der Frage, lieber bejaht als abgelehnt werden (bzw. Statements zugestimmt). Besonders bei persönlichen Befragungen muss mit diesem Verzerrungseffekt gerechnet werden, weil viele dem Interviewleiter nur ungern widersprechen. Denn man möchte keine für beide Seiten unangenehme Situation provozieren. Andere befürchten, eine ablehnende Antwort mit mehr Aufwand begründen zu müssen als eine zustimmende Antwort</w:t>
      </w:r>
    </w:p>
    <w:p w14:paraId="6DE78FDD" w14:textId="77777777" w:rsidR="00FF7799" w:rsidRPr="00E73F6F" w:rsidRDefault="00FF7799" w:rsidP="00862DBA">
      <w:pPr>
        <w:spacing w:before="120"/>
        <w:jc w:val="both"/>
        <w:rPr>
          <w:sz w:val="24"/>
          <w:szCs w:val="24"/>
        </w:rPr>
      </w:pPr>
      <w:r w:rsidRPr="00580F1D">
        <w:rPr>
          <w:sz w:val="24"/>
          <w:szCs w:val="24"/>
        </w:rPr>
        <w:t>Frageformate, bei denen die Befragten zustimmend oder ablehnend reagieren sollen, erhöhen somit die Wahrscheinlichkeit, dass Auskunftspersonen eher eine der positiven Antwortkategorien ankreuzen als eine der negativen. als ein „Ja“. Ländervergleichende Studien zeigen, dass</w:t>
      </w:r>
      <w:r w:rsidRPr="00E73F6F">
        <w:rPr>
          <w:sz w:val="24"/>
          <w:szCs w:val="24"/>
        </w:rPr>
        <w:t xml:space="preserve"> die Intensität dieser Antworttendenz in Abhängigkeit von der Herkunft der Befragten variiert: Für das Ja-Sagen besonders anfällig sind bspw. …</w:t>
      </w:r>
    </w:p>
    <w:p w14:paraId="67871010" w14:textId="77777777" w:rsidR="00FF7799" w:rsidRPr="00E73F6F" w:rsidRDefault="00FF7799" w:rsidP="006D28E0">
      <w:pPr>
        <w:pStyle w:val="StandardTextAufzhlung"/>
        <w:ind w:left="426"/>
      </w:pPr>
      <w:r w:rsidRPr="00E73F6F">
        <w:t>Griechen (im Vergleich zu anderen Europäern; vgl. Van Herk 2000),</w:t>
      </w:r>
    </w:p>
    <w:p w14:paraId="43801C8A" w14:textId="77777777" w:rsidR="00FF7799" w:rsidRPr="00E73F6F" w:rsidRDefault="00FF7799" w:rsidP="006D28E0">
      <w:pPr>
        <w:pStyle w:val="StandardTextAufzhlung"/>
        <w:ind w:left="426"/>
      </w:pPr>
      <w:r w:rsidRPr="00E73F6F">
        <w:t>Koreaner (im Vergleich zu US-Amerikanern; vgl. Locke/Baik 2009).</w:t>
      </w:r>
    </w:p>
    <w:p w14:paraId="56AA5B6A" w14:textId="77777777" w:rsidR="006D28E0" w:rsidRDefault="006D28E0" w:rsidP="00036DC6">
      <w:pPr>
        <w:pStyle w:val="StandardText"/>
      </w:pPr>
    </w:p>
    <w:p w14:paraId="24D3B519" w14:textId="5C30C960" w:rsidR="00FF7799" w:rsidRPr="00E73F6F" w:rsidRDefault="00FF7799" w:rsidP="00036DC6">
      <w:pPr>
        <w:pStyle w:val="StandardText"/>
      </w:pPr>
      <w:r w:rsidRPr="00E73F6F">
        <w:t xml:space="preserve">Überdies wurden zahlreiche länderspezifische Soziodemografika ermittelt, welche die Ja-Sage-Tendenz (wie auch die Neigung zu Extremantworten) begünstigen. Zu diesen Moderatoren zählen geringes Bildungs- und Wohlstandsniveau, eingeschränkte politische Freiheit, unterentwickeltes Demokratieverständnis sowie Anfälligkeit für </w:t>
      </w:r>
      <w:r w:rsidR="001E3F06">
        <w:sym w:font="Symbol" w:char="F0DE"/>
      </w:r>
      <w:r w:rsidR="001E3F06">
        <w:t xml:space="preserve"> </w:t>
      </w:r>
      <w:r w:rsidRPr="00E73F6F">
        <w:t>Korruption (vgl. Meisenberg/‌Williams 2008).</w:t>
      </w:r>
    </w:p>
    <w:p w14:paraId="68D74730" w14:textId="77777777" w:rsidR="00FF7799" w:rsidRPr="00E73F6F" w:rsidRDefault="00FF7799" w:rsidP="00036DC6">
      <w:pPr>
        <w:pStyle w:val="StandardText"/>
      </w:pPr>
      <w:r w:rsidRPr="00E73F6F">
        <w:t xml:space="preserve">Die kulturvergleichende Forschung hat für drei </w:t>
      </w:r>
      <w:r w:rsidRPr="00E73F6F">
        <w:rPr>
          <w:i/>
        </w:rPr>
        <w:t>Hofstede</w:t>
      </w:r>
      <w:r w:rsidRPr="00E73F6F">
        <w:t>-Kulturdimensionen einen systematischen zwischen Landeskultur und Anfälligkeit für die Ja-Sage-Tendenz beschrieben:</w:t>
      </w:r>
    </w:p>
    <w:p w14:paraId="25D2E4BD" w14:textId="77777777" w:rsidR="00FF7799" w:rsidRPr="00E73F6F" w:rsidRDefault="00FF7799" w:rsidP="006D28E0">
      <w:pPr>
        <w:pStyle w:val="StandardTextAufzhlung"/>
        <w:ind w:left="426"/>
      </w:pPr>
      <w:r w:rsidRPr="00E73F6F">
        <w:t>Kollektivismus (weil Konformität in kollektivistischen Ländern einen hohen Stellenwert besitzt; z.B. Smith 2004; Van Herk et al. 2004; Locke/Baik 2009).</w:t>
      </w:r>
    </w:p>
    <w:p w14:paraId="269DFA82" w14:textId="77777777" w:rsidR="00FF7799" w:rsidRPr="00E73F6F" w:rsidRDefault="00FF7799" w:rsidP="006D28E0">
      <w:pPr>
        <w:pStyle w:val="StandardTextAufzhlung"/>
        <w:ind w:left="426"/>
      </w:pPr>
      <w:r w:rsidRPr="00E73F6F">
        <w:t xml:space="preserve">Akzeptanz von Machtdistanz (weil Befragte aus machtdistanten Ländern mit zustimmenden Antworten ihre Ergebenheit gegenüber Höhergestellten zum Ausdruck bringen) </w:t>
      </w:r>
    </w:p>
    <w:p w14:paraId="15A00A85" w14:textId="77777777" w:rsidR="00FF7799" w:rsidRPr="00E73F6F" w:rsidRDefault="00FF7799" w:rsidP="006D28E0">
      <w:pPr>
        <w:pStyle w:val="StandardTextAufzhlung"/>
        <w:ind w:left="426"/>
      </w:pPr>
      <w:r w:rsidRPr="00E73F6F">
        <w:t xml:space="preserve">Feminität (weil Befragte aus femininen Ländern so ihre Bescheidenheit zum Ausdruck; z.B. Harzing 2006; Johnson et al. 2005). </w:t>
      </w:r>
    </w:p>
    <w:p w14:paraId="37C05A1F" w14:textId="77777777" w:rsidR="00FF7799" w:rsidRPr="00E73F6F" w:rsidRDefault="00FF7799" w:rsidP="00862DBA">
      <w:pPr>
        <w:spacing w:before="120"/>
        <w:jc w:val="both"/>
        <w:rPr>
          <w:sz w:val="24"/>
          <w:szCs w:val="24"/>
        </w:rPr>
      </w:pPr>
    </w:p>
    <w:p w14:paraId="694E2DE0" w14:textId="77777777" w:rsidR="00FF7799" w:rsidRDefault="00FF7799" w:rsidP="00036DC6">
      <w:pPr>
        <w:pStyle w:val="StandardText"/>
        <w:rPr>
          <w:sz w:val="22"/>
          <w:szCs w:val="22"/>
        </w:rPr>
      </w:pPr>
      <w:r w:rsidRPr="00926A05">
        <w:rPr>
          <w:b/>
          <w:i/>
          <w:sz w:val="22"/>
          <w:szCs w:val="22"/>
          <w:lang w:val="en-US"/>
        </w:rPr>
        <w:t>Literatur</w:t>
      </w:r>
      <w:r w:rsidRPr="00926A05">
        <w:rPr>
          <w:i/>
          <w:sz w:val="22"/>
          <w:szCs w:val="22"/>
          <w:lang w:val="en-US"/>
        </w:rPr>
        <w:t>:</w:t>
      </w:r>
      <w:r w:rsidRPr="00926A05">
        <w:rPr>
          <w:sz w:val="22"/>
          <w:szCs w:val="22"/>
          <w:lang w:val="en-US"/>
        </w:rPr>
        <w:t xml:space="preserve"> Harzing, A.-W. (2006): Response Styles in Cross-National Survey Research. A 26-Country Study, International Journal of Cross Cultural Management, 6(2): 243-266. Johnson, T.; Kulesa, P.; Cho, Y.I.; Shavitt, S. (2005): The Relation between Culture and Response Styles. Evidence from 19 Countries, Journal of Cross-Cultural Psychology, 36(2): 264-277. Locke, K.D.; Baik, K.D. (2009): Does an Acquiescent Response Style Explain Why Koreans Are Less Consistent than Americans? Journal of Cross-Cultural Psychology, 40(2): 319</w:t>
      </w:r>
      <w:r w:rsidRPr="00926A05">
        <w:rPr>
          <w:sz w:val="22"/>
          <w:szCs w:val="22"/>
          <w:lang w:val="en-US"/>
        </w:rPr>
        <w:noBreakHyphen/>
        <w:t>323. Meisenberg, G.; Williams, A. (2008): Are Acquiescent and Extreme Response Styles Related to Low Intelligence and Education? Personality and Individual Differences, 44(7): 1539</w:t>
      </w:r>
      <w:r w:rsidRPr="00926A05">
        <w:rPr>
          <w:sz w:val="22"/>
          <w:szCs w:val="22"/>
          <w:lang w:val="en-US"/>
        </w:rPr>
        <w:noBreakHyphen/>
        <w:t xml:space="preserve">1550. Smith, P.B. (2004): Acquiescent Response Bias as an Aspect of Cultural Communication Style, Journal of Cross-Cultural Psychology, 35(1): 50-61. Van Herk, H. (2000): Equivalence in a Cross-National Context: Methodological &amp; Empirical Issues in Marketing Research, Doctoral Diss., Department of Marketing, Tilburg University. Van Herk, H., Poortinga, Y. H., &amp; Verhallen, T. M. (2004). Response styles in rating scales: Evidence of method bias in data from six EU countries. </w:t>
      </w:r>
      <w:r w:rsidRPr="00926A05">
        <w:rPr>
          <w:sz w:val="22"/>
          <w:szCs w:val="22"/>
        </w:rPr>
        <w:t>Journal of Cross-Cultural Psychology, 35(3), 346-360.</w:t>
      </w:r>
    </w:p>
    <w:p w14:paraId="256CEE82" w14:textId="77777777" w:rsidR="006D28E0" w:rsidRPr="00926A05" w:rsidRDefault="006D28E0" w:rsidP="00036DC6">
      <w:pPr>
        <w:pStyle w:val="StandardText"/>
        <w:rPr>
          <w:sz w:val="22"/>
          <w:szCs w:val="22"/>
        </w:rPr>
      </w:pPr>
    </w:p>
    <w:p w14:paraId="495E7C5D" w14:textId="77777777" w:rsidR="00835A0E" w:rsidRPr="006D28E0" w:rsidRDefault="00835A0E" w:rsidP="006D28E0">
      <w:pPr>
        <w:pStyle w:val="berschrift1"/>
        <w:rPr>
          <w:bCs w:val="0"/>
          <w:color w:val="2E74B5"/>
          <w:sz w:val="22"/>
        </w:rPr>
      </w:pPr>
      <w:r w:rsidRPr="006D28E0">
        <w:rPr>
          <w:bCs w:val="0"/>
          <w:color w:val="2E74B5"/>
          <w:sz w:val="22"/>
        </w:rPr>
        <w:t>Joint Venture</w:t>
      </w:r>
    </w:p>
    <w:p w14:paraId="48D5DFE4" w14:textId="77777777" w:rsidR="00835A0E" w:rsidRPr="007F69DA" w:rsidRDefault="00835A0E" w:rsidP="00835A0E">
      <w:pPr>
        <w:pStyle w:val="Erlaeuterung"/>
        <w:rPr>
          <w:bCs w:val="0"/>
          <w:sz w:val="24"/>
          <w:szCs w:val="24"/>
          <w:lang w:eastAsia="en-US" w:bidi="en-US"/>
        </w:rPr>
      </w:pPr>
      <w:r w:rsidRPr="007F69DA">
        <w:rPr>
          <w:bCs w:val="0"/>
          <w:sz w:val="24"/>
          <w:szCs w:val="24"/>
          <w:lang w:eastAsia="en-US" w:bidi="en-US"/>
        </w:rPr>
        <w:t xml:space="preserve">Gemeinschaftsunternehmen, gegründet von zwei oder mehr Partnern, von denen im internationalen Fall mindestens einer bzw. das gesamte Joint Venture im Ausland residiert. Das Joint </w:t>
      </w:r>
      <w:r w:rsidRPr="007F69DA">
        <w:rPr>
          <w:bCs w:val="0"/>
          <w:sz w:val="24"/>
          <w:szCs w:val="24"/>
          <w:lang w:eastAsia="en-US" w:bidi="en-US"/>
        </w:rPr>
        <w:lastRenderedPageBreak/>
        <w:t xml:space="preserve">Venture ist eine spezielle Form der kooperativen Markterschließung. Abhängig von der Zahl der Kooperationspartner, dem Gegenstand und dem geographischen Erstreckungsbereich sowie zahlreichen anderen Kriterien lassen sich die verschiedensten Spielarten unterscheiden, z.B. das horizontale vom vertikalen Joint Venture (vgl. Tab. 1). </w:t>
      </w:r>
    </w:p>
    <w:p w14:paraId="4FFAFB14" w14:textId="77777777" w:rsidR="00835A0E" w:rsidRPr="007F69DA" w:rsidRDefault="00835A0E" w:rsidP="00835A0E">
      <w:pPr>
        <w:pStyle w:val="Erlaeuterung"/>
        <w:rPr>
          <w:bCs w:val="0"/>
          <w:sz w:val="24"/>
          <w:szCs w:val="24"/>
          <w:lang w:eastAsia="en-US" w:bidi="en-US"/>
        </w:rPr>
      </w:pPr>
    </w:p>
    <w:p w14:paraId="6A7F1284" w14:textId="77777777" w:rsidR="00835A0E" w:rsidRPr="00544326" w:rsidRDefault="00835A0E" w:rsidP="00835A0E">
      <w:pPr>
        <w:pStyle w:val="Beschriftung"/>
      </w:pPr>
      <w:r w:rsidRPr="00544326">
        <w:t>Tab. 1: Varianten eines Joint Venture</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94"/>
        <w:gridCol w:w="4753"/>
      </w:tblGrid>
      <w:tr w:rsidR="00835A0E" w:rsidRPr="007F69DA" w14:paraId="65AE084F" w14:textId="77777777" w:rsidTr="00F46ACB">
        <w:tc>
          <w:tcPr>
            <w:tcW w:w="2694" w:type="dxa"/>
            <w:shd w:val="clear" w:color="auto" w:fill="FFC000"/>
          </w:tcPr>
          <w:p w14:paraId="27F65382" w14:textId="77777777" w:rsidR="00835A0E" w:rsidRPr="007F69DA" w:rsidRDefault="00835A0E" w:rsidP="00F46ACB">
            <w:pPr>
              <w:pStyle w:val="Erlaeuterung"/>
              <w:spacing w:before="44" w:after="44" w:line="160" w:lineRule="exact"/>
              <w:rPr>
                <w:b/>
                <w:sz w:val="20"/>
              </w:rPr>
            </w:pPr>
            <w:r w:rsidRPr="007F69DA">
              <w:rPr>
                <w:b/>
                <w:bCs w:val="0"/>
                <w:sz w:val="20"/>
              </w:rPr>
              <w:t>Differenzierungskriterium</w:t>
            </w:r>
          </w:p>
        </w:tc>
        <w:tc>
          <w:tcPr>
            <w:tcW w:w="4753" w:type="dxa"/>
            <w:shd w:val="clear" w:color="auto" w:fill="FFC000"/>
          </w:tcPr>
          <w:p w14:paraId="2FEE57E0" w14:textId="77777777" w:rsidR="00835A0E" w:rsidRPr="007F69DA" w:rsidRDefault="00835A0E" w:rsidP="00F46ACB">
            <w:pPr>
              <w:spacing w:before="44" w:after="44" w:line="160" w:lineRule="exact"/>
              <w:rPr>
                <w:b/>
                <w:bCs/>
                <w:sz w:val="20"/>
                <w:szCs w:val="20"/>
              </w:rPr>
            </w:pPr>
            <w:r w:rsidRPr="007F69DA">
              <w:rPr>
                <w:b/>
                <w:bCs/>
                <w:sz w:val="20"/>
                <w:szCs w:val="20"/>
              </w:rPr>
              <w:t>Ausprägungsform</w:t>
            </w:r>
          </w:p>
        </w:tc>
      </w:tr>
      <w:tr w:rsidR="00835A0E" w:rsidRPr="007F69DA" w14:paraId="6BDF10EE" w14:textId="77777777" w:rsidTr="00F46ACB">
        <w:tc>
          <w:tcPr>
            <w:tcW w:w="2694" w:type="dxa"/>
            <w:shd w:val="clear" w:color="auto" w:fill="FFF2CC" w:themeFill="accent4" w:themeFillTint="33"/>
          </w:tcPr>
          <w:p w14:paraId="6081BA08" w14:textId="77777777" w:rsidR="00835A0E" w:rsidRPr="007F69DA" w:rsidRDefault="00835A0E" w:rsidP="00F46ACB">
            <w:pPr>
              <w:pStyle w:val="Erlaeuterung"/>
              <w:spacing w:before="42" w:after="42" w:line="160" w:lineRule="exact"/>
              <w:jc w:val="left"/>
              <w:rPr>
                <w:sz w:val="20"/>
              </w:rPr>
            </w:pPr>
            <w:r w:rsidRPr="007F69DA">
              <w:rPr>
                <w:bCs w:val="0"/>
                <w:sz w:val="20"/>
              </w:rPr>
              <w:t xml:space="preserve">Zahl der </w:t>
            </w:r>
            <w:r w:rsidRPr="007F69DA">
              <w:rPr>
                <w:bCs w:val="0"/>
                <w:sz w:val="20"/>
              </w:rPr>
              <w:br/>
              <w:t>Kooperationspartner</w:t>
            </w:r>
          </w:p>
        </w:tc>
        <w:tc>
          <w:tcPr>
            <w:tcW w:w="4753" w:type="dxa"/>
            <w:shd w:val="clear" w:color="auto" w:fill="FFF2CC" w:themeFill="accent4" w:themeFillTint="33"/>
          </w:tcPr>
          <w:p w14:paraId="6BCA9DFE" w14:textId="77777777" w:rsidR="00835A0E" w:rsidRPr="007F69DA" w:rsidRDefault="00835A0E">
            <w:pPr>
              <w:widowControl/>
              <w:numPr>
                <w:ilvl w:val="0"/>
                <w:numId w:val="38"/>
              </w:numPr>
              <w:tabs>
                <w:tab w:val="clear" w:pos="720"/>
              </w:tabs>
              <w:autoSpaceDE/>
              <w:autoSpaceDN/>
              <w:spacing w:before="42" w:after="42" w:line="160" w:lineRule="exact"/>
              <w:ind w:left="249" w:hanging="232"/>
              <w:rPr>
                <w:sz w:val="20"/>
                <w:szCs w:val="20"/>
              </w:rPr>
            </w:pPr>
            <w:r w:rsidRPr="007F69DA">
              <w:rPr>
                <w:sz w:val="20"/>
                <w:szCs w:val="20"/>
              </w:rPr>
              <w:t>Joint Venture mit einem Partner</w:t>
            </w:r>
          </w:p>
          <w:p w14:paraId="571C185A" w14:textId="77777777" w:rsidR="00835A0E" w:rsidRPr="007F69DA" w:rsidRDefault="00835A0E">
            <w:pPr>
              <w:widowControl/>
              <w:numPr>
                <w:ilvl w:val="0"/>
                <w:numId w:val="38"/>
              </w:numPr>
              <w:tabs>
                <w:tab w:val="clear" w:pos="720"/>
              </w:tabs>
              <w:autoSpaceDE/>
              <w:autoSpaceDN/>
              <w:spacing w:before="42" w:after="42" w:line="160" w:lineRule="exact"/>
              <w:ind w:left="249" w:hanging="232"/>
              <w:rPr>
                <w:sz w:val="20"/>
                <w:szCs w:val="20"/>
              </w:rPr>
            </w:pPr>
            <w:r w:rsidRPr="007F69DA">
              <w:rPr>
                <w:sz w:val="20"/>
                <w:szCs w:val="20"/>
              </w:rPr>
              <w:t>Joint Venture mit mehreren Partnern</w:t>
            </w:r>
          </w:p>
        </w:tc>
      </w:tr>
      <w:tr w:rsidR="00835A0E" w:rsidRPr="007F69DA" w14:paraId="47080340" w14:textId="77777777" w:rsidTr="00F46ACB">
        <w:tc>
          <w:tcPr>
            <w:tcW w:w="2694" w:type="dxa"/>
            <w:shd w:val="clear" w:color="auto" w:fill="FFF2CC" w:themeFill="accent4" w:themeFillTint="33"/>
          </w:tcPr>
          <w:p w14:paraId="67996B4D" w14:textId="77777777" w:rsidR="00835A0E" w:rsidRPr="007F69DA" w:rsidRDefault="00835A0E" w:rsidP="00F46ACB">
            <w:pPr>
              <w:pStyle w:val="Erlaeuterung"/>
              <w:spacing w:before="42" w:after="42" w:line="160" w:lineRule="exact"/>
              <w:jc w:val="left"/>
              <w:rPr>
                <w:sz w:val="20"/>
              </w:rPr>
            </w:pPr>
            <w:r w:rsidRPr="007F69DA">
              <w:rPr>
                <w:bCs w:val="0"/>
                <w:sz w:val="20"/>
              </w:rPr>
              <w:t xml:space="preserve">Sachlicher </w:t>
            </w:r>
            <w:r w:rsidRPr="007F69DA">
              <w:rPr>
                <w:bCs w:val="0"/>
                <w:sz w:val="20"/>
              </w:rPr>
              <w:br/>
              <w:t>Kooperationsbereich</w:t>
            </w:r>
          </w:p>
        </w:tc>
        <w:tc>
          <w:tcPr>
            <w:tcW w:w="4753" w:type="dxa"/>
            <w:shd w:val="clear" w:color="auto" w:fill="FFF2CC" w:themeFill="accent4" w:themeFillTint="33"/>
          </w:tcPr>
          <w:p w14:paraId="03B65818" w14:textId="77777777" w:rsidR="00835A0E" w:rsidRPr="007F69DA" w:rsidRDefault="00835A0E">
            <w:pPr>
              <w:widowControl/>
              <w:numPr>
                <w:ilvl w:val="0"/>
                <w:numId w:val="38"/>
              </w:numPr>
              <w:tabs>
                <w:tab w:val="clear" w:pos="720"/>
              </w:tabs>
              <w:autoSpaceDE/>
              <w:autoSpaceDN/>
              <w:spacing w:before="42" w:after="42" w:line="160" w:lineRule="exact"/>
              <w:ind w:left="249" w:hanging="231"/>
              <w:rPr>
                <w:sz w:val="20"/>
                <w:szCs w:val="20"/>
              </w:rPr>
            </w:pPr>
            <w:r w:rsidRPr="007F69DA">
              <w:rPr>
                <w:sz w:val="20"/>
                <w:szCs w:val="20"/>
              </w:rPr>
              <w:t>Joint Venture in einer Wertschöpfungsaktivität</w:t>
            </w:r>
          </w:p>
          <w:p w14:paraId="055E5282" w14:textId="77777777" w:rsidR="00835A0E" w:rsidRPr="007F69DA" w:rsidRDefault="00835A0E">
            <w:pPr>
              <w:widowControl/>
              <w:numPr>
                <w:ilvl w:val="0"/>
                <w:numId w:val="38"/>
              </w:numPr>
              <w:tabs>
                <w:tab w:val="clear" w:pos="720"/>
              </w:tabs>
              <w:autoSpaceDE/>
              <w:autoSpaceDN/>
              <w:spacing w:before="42" w:after="42" w:line="160" w:lineRule="exact"/>
              <w:ind w:left="249" w:hanging="231"/>
              <w:rPr>
                <w:sz w:val="20"/>
                <w:szCs w:val="20"/>
              </w:rPr>
            </w:pPr>
            <w:r w:rsidRPr="007F69DA">
              <w:rPr>
                <w:sz w:val="20"/>
                <w:szCs w:val="20"/>
              </w:rPr>
              <w:t>Joint Ventures in mehreren Wertschöpfungsaktivitäten</w:t>
            </w:r>
          </w:p>
          <w:p w14:paraId="0E900B23" w14:textId="77777777" w:rsidR="00835A0E" w:rsidRPr="007F69DA" w:rsidRDefault="00835A0E">
            <w:pPr>
              <w:widowControl/>
              <w:numPr>
                <w:ilvl w:val="0"/>
                <w:numId w:val="38"/>
              </w:numPr>
              <w:tabs>
                <w:tab w:val="clear" w:pos="720"/>
              </w:tabs>
              <w:autoSpaceDE/>
              <w:autoSpaceDN/>
              <w:spacing w:before="42" w:after="42" w:line="160" w:lineRule="exact"/>
              <w:ind w:left="249" w:hanging="231"/>
              <w:rPr>
                <w:sz w:val="20"/>
                <w:szCs w:val="20"/>
              </w:rPr>
            </w:pPr>
            <w:r w:rsidRPr="007F69DA">
              <w:rPr>
                <w:sz w:val="20"/>
                <w:szCs w:val="20"/>
              </w:rPr>
              <w:t>Gesamtunternehmerisches, funktionsübergreifendes Joint Venture</w:t>
            </w:r>
          </w:p>
        </w:tc>
      </w:tr>
      <w:tr w:rsidR="00835A0E" w:rsidRPr="007F69DA" w14:paraId="63E5AEA1" w14:textId="77777777" w:rsidTr="00F46ACB">
        <w:tc>
          <w:tcPr>
            <w:tcW w:w="2694" w:type="dxa"/>
            <w:shd w:val="clear" w:color="auto" w:fill="FFF2CC" w:themeFill="accent4" w:themeFillTint="33"/>
          </w:tcPr>
          <w:p w14:paraId="1971774F" w14:textId="77777777" w:rsidR="00835A0E" w:rsidRPr="007F69DA" w:rsidRDefault="00835A0E" w:rsidP="00F46ACB">
            <w:pPr>
              <w:pStyle w:val="Erlaeuterung"/>
              <w:spacing w:before="42" w:after="42" w:line="160" w:lineRule="exact"/>
              <w:jc w:val="left"/>
              <w:rPr>
                <w:sz w:val="20"/>
              </w:rPr>
            </w:pPr>
            <w:r w:rsidRPr="007F69DA">
              <w:rPr>
                <w:bCs w:val="0"/>
                <w:sz w:val="20"/>
              </w:rPr>
              <w:t>Standort</w:t>
            </w:r>
          </w:p>
        </w:tc>
        <w:tc>
          <w:tcPr>
            <w:tcW w:w="4753" w:type="dxa"/>
            <w:shd w:val="clear" w:color="auto" w:fill="FFF2CC" w:themeFill="accent4" w:themeFillTint="33"/>
          </w:tcPr>
          <w:p w14:paraId="30FAC8FF" w14:textId="77777777" w:rsidR="00835A0E" w:rsidRPr="007F69DA" w:rsidRDefault="00835A0E">
            <w:pPr>
              <w:widowControl/>
              <w:numPr>
                <w:ilvl w:val="0"/>
                <w:numId w:val="38"/>
              </w:numPr>
              <w:tabs>
                <w:tab w:val="clear" w:pos="720"/>
              </w:tabs>
              <w:autoSpaceDE/>
              <w:autoSpaceDN/>
              <w:spacing w:before="42" w:after="42" w:line="160" w:lineRule="exact"/>
              <w:ind w:left="249" w:hanging="231"/>
              <w:rPr>
                <w:sz w:val="20"/>
                <w:szCs w:val="20"/>
              </w:rPr>
            </w:pPr>
            <w:r w:rsidRPr="007F69DA">
              <w:rPr>
                <w:sz w:val="20"/>
                <w:szCs w:val="20"/>
              </w:rPr>
              <w:t>Joint Venture mit Sitz im Stammland eines Kooperationspart</w:t>
            </w:r>
            <w:r w:rsidRPr="007F69DA">
              <w:rPr>
                <w:sz w:val="20"/>
                <w:szCs w:val="20"/>
              </w:rPr>
              <w:softHyphen/>
              <w:t>ners</w:t>
            </w:r>
          </w:p>
          <w:p w14:paraId="1FFDBA6D" w14:textId="77777777" w:rsidR="00835A0E" w:rsidRPr="007F69DA" w:rsidRDefault="00835A0E">
            <w:pPr>
              <w:widowControl/>
              <w:numPr>
                <w:ilvl w:val="0"/>
                <w:numId w:val="38"/>
              </w:numPr>
              <w:tabs>
                <w:tab w:val="clear" w:pos="720"/>
              </w:tabs>
              <w:autoSpaceDE/>
              <w:autoSpaceDN/>
              <w:spacing w:before="42" w:after="42" w:line="160" w:lineRule="exact"/>
              <w:ind w:left="249" w:hanging="231"/>
              <w:rPr>
                <w:sz w:val="20"/>
                <w:szCs w:val="20"/>
              </w:rPr>
            </w:pPr>
            <w:r w:rsidRPr="007F69DA">
              <w:rPr>
                <w:sz w:val="20"/>
                <w:szCs w:val="20"/>
              </w:rPr>
              <w:t>Joint Venture in einem Drittland</w:t>
            </w:r>
          </w:p>
        </w:tc>
      </w:tr>
      <w:tr w:rsidR="00835A0E" w:rsidRPr="007F69DA" w14:paraId="060DE143" w14:textId="77777777" w:rsidTr="00F46ACB">
        <w:tc>
          <w:tcPr>
            <w:tcW w:w="2694" w:type="dxa"/>
            <w:shd w:val="clear" w:color="auto" w:fill="FFF2CC" w:themeFill="accent4" w:themeFillTint="33"/>
          </w:tcPr>
          <w:p w14:paraId="7D6937D1" w14:textId="77777777" w:rsidR="00835A0E" w:rsidRPr="007F69DA" w:rsidRDefault="00835A0E" w:rsidP="00F46ACB">
            <w:pPr>
              <w:pStyle w:val="Erlaeuterung"/>
              <w:spacing w:before="42" w:after="42" w:line="160" w:lineRule="exact"/>
              <w:jc w:val="left"/>
              <w:rPr>
                <w:sz w:val="20"/>
              </w:rPr>
            </w:pPr>
            <w:r w:rsidRPr="007F69DA">
              <w:rPr>
                <w:bCs w:val="0"/>
                <w:sz w:val="20"/>
              </w:rPr>
              <w:t xml:space="preserve">Geographischer </w:t>
            </w:r>
            <w:r w:rsidRPr="007F69DA">
              <w:rPr>
                <w:bCs w:val="0"/>
                <w:sz w:val="20"/>
              </w:rPr>
              <w:br/>
              <w:t>Kooperationsbereich</w:t>
            </w:r>
          </w:p>
        </w:tc>
        <w:tc>
          <w:tcPr>
            <w:tcW w:w="4753" w:type="dxa"/>
            <w:shd w:val="clear" w:color="auto" w:fill="FFF2CC" w:themeFill="accent4" w:themeFillTint="33"/>
          </w:tcPr>
          <w:p w14:paraId="488F4B41" w14:textId="77777777" w:rsidR="00835A0E" w:rsidRPr="007F69DA" w:rsidRDefault="00835A0E">
            <w:pPr>
              <w:widowControl/>
              <w:numPr>
                <w:ilvl w:val="0"/>
                <w:numId w:val="38"/>
              </w:numPr>
              <w:tabs>
                <w:tab w:val="clear" w:pos="720"/>
              </w:tabs>
              <w:autoSpaceDE/>
              <w:autoSpaceDN/>
              <w:spacing w:before="42" w:after="42" w:line="160" w:lineRule="exact"/>
              <w:ind w:left="249" w:hanging="231"/>
              <w:rPr>
                <w:sz w:val="20"/>
                <w:szCs w:val="20"/>
              </w:rPr>
            </w:pPr>
            <w:r w:rsidRPr="007F69DA">
              <w:rPr>
                <w:sz w:val="20"/>
                <w:szCs w:val="20"/>
              </w:rPr>
              <w:t>Lokales Joint Venture für ein bestimmtes Gastland</w:t>
            </w:r>
          </w:p>
          <w:p w14:paraId="3C46E00B" w14:textId="77777777" w:rsidR="00835A0E" w:rsidRPr="007F69DA" w:rsidRDefault="00835A0E">
            <w:pPr>
              <w:pStyle w:val="Fuzeile"/>
              <w:numPr>
                <w:ilvl w:val="0"/>
                <w:numId w:val="38"/>
              </w:numPr>
              <w:tabs>
                <w:tab w:val="clear" w:pos="720"/>
                <w:tab w:val="clear" w:pos="6237"/>
              </w:tabs>
              <w:spacing w:before="42" w:after="42" w:line="160" w:lineRule="exact"/>
              <w:ind w:left="249" w:hanging="231"/>
              <w:jc w:val="left"/>
              <w:rPr>
                <w:sz w:val="20"/>
              </w:rPr>
            </w:pPr>
            <w:r w:rsidRPr="007F69DA">
              <w:rPr>
                <w:sz w:val="20"/>
              </w:rPr>
              <w:t>Joint Venture für eine bestimmte Region oder den Weltmarkt</w:t>
            </w:r>
          </w:p>
        </w:tc>
      </w:tr>
      <w:tr w:rsidR="00835A0E" w:rsidRPr="007F69DA" w14:paraId="7DC40713" w14:textId="77777777" w:rsidTr="00F46ACB">
        <w:tc>
          <w:tcPr>
            <w:tcW w:w="2694" w:type="dxa"/>
            <w:shd w:val="clear" w:color="auto" w:fill="FFF2CC" w:themeFill="accent4" w:themeFillTint="33"/>
          </w:tcPr>
          <w:p w14:paraId="5D8783F5" w14:textId="77777777" w:rsidR="00835A0E" w:rsidRPr="007F69DA" w:rsidRDefault="00835A0E" w:rsidP="00F46ACB">
            <w:pPr>
              <w:pStyle w:val="Erlaeuterung"/>
              <w:spacing w:before="42" w:after="42" w:line="160" w:lineRule="exact"/>
              <w:jc w:val="left"/>
              <w:rPr>
                <w:sz w:val="20"/>
              </w:rPr>
            </w:pPr>
            <w:r w:rsidRPr="007F69DA">
              <w:rPr>
                <w:bCs w:val="0"/>
                <w:sz w:val="20"/>
              </w:rPr>
              <w:t>Kooperationsrichtung</w:t>
            </w:r>
          </w:p>
        </w:tc>
        <w:tc>
          <w:tcPr>
            <w:tcW w:w="4753" w:type="dxa"/>
            <w:shd w:val="clear" w:color="auto" w:fill="FFF2CC" w:themeFill="accent4" w:themeFillTint="33"/>
          </w:tcPr>
          <w:p w14:paraId="32DE25D2" w14:textId="77777777" w:rsidR="00835A0E" w:rsidRPr="007F69DA" w:rsidRDefault="00835A0E">
            <w:pPr>
              <w:widowControl/>
              <w:numPr>
                <w:ilvl w:val="0"/>
                <w:numId w:val="38"/>
              </w:numPr>
              <w:tabs>
                <w:tab w:val="clear" w:pos="720"/>
              </w:tabs>
              <w:autoSpaceDE/>
              <w:autoSpaceDN/>
              <w:spacing w:before="42" w:after="42" w:line="160" w:lineRule="exact"/>
              <w:ind w:left="249" w:hanging="231"/>
              <w:rPr>
                <w:sz w:val="20"/>
                <w:szCs w:val="20"/>
              </w:rPr>
            </w:pPr>
            <w:r w:rsidRPr="007F69DA">
              <w:rPr>
                <w:sz w:val="20"/>
                <w:szCs w:val="20"/>
              </w:rPr>
              <w:t xml:space="preserve">Horizontales Joint Venture </w:t>
            </w:r>
          </w:p>
          <w:p w14:paraId="0F5DBEA3" w14:textId="77777777" w:rsidR="00835A0E" w:rsidRPr="007F69DA" w:rsidRDefault="00835A0E">
            <w:pPr>
              <w:widowControl/>
              <w:numPr>
                <w:ilvl w:val="0"/>
                <w:numId w:val="38"/>
              </w:numPr>
              <w:tabs>
                <w:tab w:val="clear" w:pos="720"/>
              </w:tabs>
              <w:autoSpaceDE/>
              <w:autoSpaceDN/>
              <w:spacing w:before="42" w:after="42" w:line="160" w:lineRule="exact"/>
              <w:ind w:left="249" w:hanging="231"/>
              <w:rPr>
                <w:sz w:val="20"/>
                <w:szCs w:val="20"/>
              </w:rPr>
            </w:pPr>
            <w:r w:rsidRPr="007F69DA">
              <w:rPr>
                <w:sz w:val="20"/>
                <w:szCs w:val="20"/>
              </w:rPr>
              <w:t>Vertikales Joint Venture</w:t>
            </w:r>
          </w:p>
          <w:p w14:paraId="1A67226C" w14:textId="77777777" w:rsidR="00835A0E" w:rsidRPr="007F69DA" w:rsidRDefault="00835A0E">
            <w:pPr>
              <w:widowControl/>
              <w:numPr>
                <w:ilvl w:val="0"/>
                <w:numId w:val="38"/>
              </w:numPr>
              <w:tabs>
                <w:tab w:val="clear" w:pos="720"/>
              </w:tabs>
              <w:autoSpaceDE/>
              <w:autoSpaceDN/>
              <w:spacing w:before="42" w:after="42" w:line="160" w:lineRule="exact"/>
              <w:ind w:left="249" w:hanging="231"/>
              <w:rPr>
                <w:sz w:val="20"/>
                <w:szCs w:val="20"/>
              </w:rPr>
            </w:pPr>
            <w:r w:rsidRPr="007F69DA">
              <w:rPr>
                <w:sz w:val="20"/>
                <w:szCs w:val="20"/>
              </w:rPr>
              <w:t>Konzentrisches Joint Venture</w:t>
            </w:r>
          </w:p>
          <w:p w14:paraId="01A04D59" w14:textId="77777777" w:rsidR="00835A0E" w:rsidRPr="007F69DA" w:rsidRDefault="00835A0E">
            <w:pPr>
              <w:widowControl/>
              <w:numPr>
                <w:ilvl w:val="0"/>
                <w:numId w:val="38"/>
              </w:numPr>
              <w:tabs>
                <w:tab w:val="clear" w:pos="720"/>
              </w:tabs>
              <w:autoSpaceDE/>
              <w:autoSpaceDN/>
              <w:spacing w:before="42" w:after="42" w:line="160" w:lineRule="exact"/>
              <w:ind w:left="249" w:hanging="231"/>
              <w:rPr>
                <w:sz w:val="20"/>
                <w:szCs w:val="20"/>
              </w:rPr>
            </w:pPr>
            <w:r w:rsidRPr="007F69DA">
              <w:rPr>
                <w:sz w:val="20"/>
                <w:szCs w:val="20"/>
              </w:rPr>
              <w:t>Konglomerates Joint Venture</w:t>
            </w:r>
          </w:p>
        </w:tc>
      </w:tr>
      <w:tr w:rsidR="00835A0E" w:rsidRPr="007F69DA" w14:paraId="124DF3C8" w14:textId="77777777" w:rsidTr="00F46ACB">
        <w:tc>
          <w:tcPr>
            <w:tcW w:w="2694" w:type="dxa"/>
            <w:shd w:val="clear" w:color="auto" w:fill="FFF2CC" w:themeFill="accent4" w:themeFillTint="33"/>
          </w:tcPr>
          <w:p w14:paraId="64506980" w14:textId="77777777" w:rsidR="00835A0E" w:rsidRPr="007F69DA" w:rsidRDefault="00835A0E" w:rsidP="00F46ACB">
            <w:pPr>
              <w:pStyle w:val="Erlaeuterung"/>
              <w:spacing w:before="42" w:after="42" w:line="160" w:lineRule="exact"/>
              <w:jc w:val="left"/>
              <w:rPr>
                <w:sz w:val="20"/>
              </w:rPr>
            </w:pPr>
            <w:r w:rsidRPr="007F69DA">
              <w:rPr>
                <w:bCs w:val="0"/>
                <w:sz w:val="20"/>
              </w:rPr>
              <w:t>Kapitalbeteiligung/</w:t>
            </w:r>
            <w:r w:rsidRPr="007F69DA">
              <w:rPr>
                <w:bCs w:val="0"/>
                <w:sz w:val="20"/>
              </w:rPr>
              <w:br/>
              <w:t>Stimmrechtsbeteiligung</w:t>
            </w:r>
          </w:p>
        </w:tc>
        <w:tc>
          <w:tcPr>
            <w:tcW w:w="4753" w:type="dxa"/>
            <w:shd w:val="clear" w:color="auto" w:fill="FFF2CC" w:themeFill="accent4" w:themeFillTint="33"/>
          </w:tcPr>
          <w:p w14:paraId="7BEC33C8" w14:textId="77777777" w:rsidR="00835A0E" w:rsidRPr="007F69DA" w:rsidRDefault="00835A0E">
            <w:pPr>
              <w:widowControl/>
              <w:numPr>
                <w:ilvl w:val="0"/>
                <w:numId w:val="38"/>
              </w:numPr>
              <w:tabs>
                <w:tab w:val="clear" w:pos="720"/>
              </w:tabs>
              <w:autoSpaceDE/>
              <w:autoSpaceDN/>
              <w:spacing w:before="42" w:after="42" w:line="160" w:lineRule="exact"/>
              <w:ind w:left="249" w:hanging="231"/>
              <w:rPr>
                <w:sz w:val="20"/>
                <w:szCs w:val="20"/>
              </w:rPr>
            </w:pPr>
            <w:r w:rsidRPr="007F69DA">
              <w:rPr>
                <w:sz w:val="20"/>
                <w:szCs w:val="20"/>
              </w:rPr>
              <w:t>Gleiche Anteile der Partner</w:t>
            </w:r>
          </w:p>
          <w:p w14:paraId="2F8B6928" w14:textId="77777777" w:rsidR="00835A0E" w:rsidRPr="007F69DA" w:rsidRDefault="00835A0E">
            <w:pPr>
              <w:widowControl/>
              <w:numPr>
                <w:ilvl w:val="0"/>
                <w:numId w:val="38"/>
              </w:numPr>
              <w:tabs>
                <w:tab w:val="clear" w:pos="720"/>
              </w:tabs>
              <w:autoSpaceDE/>
              <w:autoSpaceDN/>
              <w:spacing w:before="42" w:after="42" w:line="160" w:lineRule="exact"/>
              <w:ind w:left="249" w:hanging="231"/>
              <w:rPr>
                <w:sz w:val="20"/>
                <w:szCs w:val="20"/>
              </w:rPr>
            </w:pPr>
            <w:r w:rsidRPr="007F69DA">
              <w:rPr>
                <w:sz w:val="20"/>
                <w:szCs w:val="20"/>
              </w:rPr>
              <w:t>Ungleiche Anteile der Partner</w:t>
            </w:r>
          </w:p>
        </w:tc>
      </w:tr>
      <w:tr w:rsidR="00835A0E" w:rsidRPr="007F69DA" w14:paraId="65E5B306" w14:textId="77777777" w:rsidTr="00F46ACB">
        <w:tc>
          <w:tcPr>
            <w:tcW w:w="2694" w:type="dxa"/>
            <w:shd w:val="clear" w:color="auto" w:fill="FFF2CC" w:themeFill="accent4" w:themeFillTint="33"/>
          </w:tcPr>
          <w:p w14:paraId="538E07BD" w14:textId="77777777" w:rsidR="00835A0E" w:rsidRPr="007F69DA" w:rsidRDefault="00835A0E" w:rsidP="00F46ACB">
            <w:pPr>
              <w:pStyle w:val="Erlaeuterung"/>
              <w:spacing w:before="42" w:after="42" w:line="160" w:lineRule="exact"/>
              <w:jc w:val="left"/>
              <w:rPr>
                <w:sz w:val="20"/>
              </w:rPr>
            </w:pPr>
            <w:r w:rsidRPr="007F69DA">
              <w:rPr>
                <w:bCs w:val="0"/>
                <w:sz w:val="20"/>
              </w:rPr>
              <w:t xml:space="preserve">Zeitlicher Horizont </w:t>
            </w:r>
            <w:r w:rsidRPr="007F69DA">
              <w:rPr>
                <w:bCs w:val="0"/>
                <w:sz w:val="20"/>
              </w:rPr>
              <w:br/>
              <w:t>der Kooperation</w:t>
            </w:r>
          </w:p>
        </w:tc>
        <w:tc>
          <w:tcPr>
            <w:tcW w:w="4753" w:type="dxa"/>
            <w:shd w:val="clear" w:color="auto" w:fill="FFF2CC" w:themeFill="accent4" w:themeFillTint="33"/>
          </w:tcPr>
          <w:p w14:paraId="0ACBAD76" w14:textId="77777777" w:rsidR="00835A0E" w:rsidRPr="007F69DA" w:rsidRDefault="00835A0E">
            <w:pPr>
              <w:widowControl/>
              <w:numPr>
                <w:ilvl w:val="0"/>
                <w:numId w:val="38"/>
              </w:numPr>
              <w:tabs>
                <w:tab w:val="clear" w:pos="720"/>
              </w:tabs>
              <w:autoSpaceDE/>
              <w:autoSpaceDN/>
              <w:spacing w:before="42" w:after="42" w:line="160" w:lineRule="exact"/>
              <w:ind w:left="249" w:hanging="231"/>
              <w:rPr>
                <w:sz w:val="20"/>
                <w:szCs w:val="20"/>
              </w:rPr>
            </w:pPr>
            <w:r w:rsidRPr="007F69DA">
              <w:rPr>
                <w:sz w:val="20"/>
                <w:szCs w:val="20"/>
              </w:rPr>
              <w:t>Joint Venture auf Zeit</w:t>
            </w:r>
          </w:p>
          <w:p w14:paraId="42CA4C80" w14:textId="77777777" w:rsidR="00835A0E" w:rsidRPr="007F69DA" w:rsidRDefault="00835A0E">
            <w:pPr>
              <w:widowControl/>
              <w:numPr>
                <w:ilvl w:val="0"/>
                <w:numId w:val="38"/>
              </w:numPr>
              <w:tabs>
                <w:tab w:val="clear" w:pos="720"/>
              </w:tabs>
              <w:autoSpaceDE/>
              <w:autoSpaceDN/>
              <w:spacing w:before="42" w:after="42" w:line="160" w:lineRule="exact"/>
              <w:ind w:left="249" w:hanging="231"/>
              <w:rPr>
                <w:sz w:val="20"/>
                <w:szCs w:val="20"/>
              </w:rPr>
            </w:pPr>
            <w:r w:rsidRPr="007F69DA">
              <w:rPr>
                <w:sz w:val="20"/>
                <w:szCs w:val="20"/>
              </w:rPr>
              <w:t>Joint Venture ohne zeitliche Befristung</w:t>
            </w:r>
          </w:p>
        </w:tc>
      </w:tr>
    </w:tbl>
    <w:p w14:paraId="3811D5EE" w14:textId="77777777" w:rsidR="00835A0E" w:rsidRPr="007F69DA" w:rsidRDefault="00835A0E" w:rsidP="00835A0E">
      <w:pPr>
        <w:pStyle w:val="Quelle"/>
        <w:spacing w:before="60"/>
        <w:rPr>
          <w:sz w:val="20"/>
        </w:rPr>
      </w:pPr>
      <w:r w:rsidRPr="007F69DA">
        <w:rPr>
          <w:sz w:val="20"/>
        </w:rPr>
        <w:t>Quelle:</w:t>
      </w:r>
      <w:r w:rsidRPr="007F69DA">
        <w:rPr>
          <w:sz w:val="20"/>
        </w:rPr>
        <w:tab/>
        <w:t>Kutschker/Schmid (2011, S.889).</w:t>
      </w:r>
    </w:p>
    <w:p w14:paraId="1F48E2C1" w14:textId="77777777" w:rsidR="00835A0E" w:rsidRPr="007F69DA" w:rsidRDefault="00835A0E" w:rsidP="00835A0E">
      <w:pPr>
        <w:pStyle w:val="Erlaeuterung"/>
        <w:rPr>
          <w:bCs w:val="0"/>
          <w:sz w:val="24"/>
          <w:szCs w:val="24"/>
          <w:lang w:eastAsia="en-US" w:bidi="en-US"/>
        </w:rPr>
      </w:pPr>
    </w:p>
    <w:p w14:paraId="4A2FD10B" w14:textId="77777777" w:rsidR="00835A0E" w:rsidRPr="007F69DA" w:rsidRDefault="00835A0E" w:rsidP="00835A0E">
      <w:pPr>
        <w:pStyle w:val="Erlaeuterung"/>
        <w:rPr>
          <w:bCs w:val="0"/>
          <w:sz w:val="24"/>
          <w:szCs w:val="24"/>
          <w:lang w:eastAsia="en-US" w:bidi="en-US"/>
        </w:rPr>
      </w:pPr>
    </w:p>
    <w:p w14:paraId="27735F0D" w14:textId="77777777" w:rsidR="00835A0E" w:rsidRPr="007F69DA" w:rsidRDefault="00835A0E" w:rsidP="00835A0E">
      <w:pPr>
        <w:pStyle w:val="Erlaeuterung"/>
        <w:rPr>
          <w:bCs w:val="0"/>
          <w:sz w:val="24"/>
          <w:szCs w:val="24"/>
          <w:lang w:eastAsia="en-US" w:bidi="en-US"/>
        </w:rPr>
      </w:pPr>
      <w:r w:rsidRPr="007F69DA">
        <w:rPr>
          <w:bCs w:val="0"/>
          <w:sz w:val="24"/>
          <w:szCs w:val="24"/>
          <w:lang w:eastAsia="en-US" w:bidi="en-US"/>
        </w:rPr>
        <w:t>Für das Joint Venture ist, wie für die 100%-Tochtergesellschaft, im Regelfall ein hohes Maß an unmittelbarer Interaktion mit den ausländischen Kunden, Mitarbeitern, Intermediären und der Lan</w:t>
      </w:r>
      <w:r w:rsidRPr="007F69DA">
        <w:rPr>
          <w:bCs w:val="0"/>
          <w:sz w:val="24"/>
          <w:szCs w:val="24"/>
          <w:lang w:eastAsia="en-US" w:bidi="en-US"/>
        </w:rPr>
        <w:softHyphen/>
        <w:t>deskultur charakteristisch. Deshalb setzt diese Strategie im Regelfall ein überdurchschnittliches Maß an kultureller Offenheit und eine unterdurchschnittliche psychische Distanz voraus (</w:t>
      </w:r>
      <w:r w:rsidRPr="007F69DA">
        <w:rPr>
          <w:bCs w:val="0"/>
          <w:sz w:val="24"/>
          <w:szCs w:val="24"/>
          <w:lang w:eastAsia="en-US" w:bidi="en-US"/>
        </w:rPr>
        <w:sym w:font="Symbol" w:char="F0DE"/>
      </w:r>
      <w:r w:rsidRPr="007F69DA">
        <w:rPr>
          <w:bCs w:val="0"/>
          <w:sz w:val="24"/>
          <w:szCs w:val="24"/>
          <w:lang w:eastAsia="en-US" w:bidi="en-US"/>
        </w:rPr>
        <w:t xml:space="preserve"> Distanzforschung). Die zahlreichen Argumente, ein Joint Venture einzugehen (vgl. Tab. 2), lassen sich zu drei Faktoren verdichten. Mit Hilfe des Partners möchte man …</w:t>
      </w:r>
    </w:p>
    <w:p w14:paraId="10123737" w14:textId="77777777" w:rsidR="00835A0E" w:rsidRPr="007F69DA" w:rsidRDefault="00835A0E">
      <w:pPr>
        <w:pStyle w:val="Punkt"/>
        <w:numPr>
          <w:ilvl w:val="0"/>
          <w:numId w:val="37"/>
        </w:numPr>
        <w:tabs>
          <w:tab w:val="clear" w:pos="357"/>
        </w:tabs>
        <w:rPr>
          <w:sz w:val="24"/>
          <w:szCs w:val="24"/>
          <w:lang w:eastAsia="en-US" w:bidi="en-US"/>
        </w:rPr>
      </w:pPr>
      <w:r w:rsidRPr="007F69DA">
        <w:rPr>
          <w:sz w:val="24"/>
          <w:szCs w:val="24"/>
          <w:lang w:eastAsia="en-US" w:bidi="en-US"/>
        </w:rPr>
        <w:t>ineffiziente Transaktionen vermeiden,</w:t>
      </w:r>
    </w:p>
    <w:p w14:paraId="25DCE304" w14:textId="77777777" w:rsidR="00835A0E" w:rsidRPr="007F69DA" w:rsidRDefault="00835A0E">
      <w:pPr>
        <w:pStyle w:val="Punkt"/>
        <w:numPr>
          <w:ilvl w:val="0"/>
          <w:numId w:val="37"/>
        </w:numPr>
        <w:tabs>
          <w:tab w:val="clear" w:pos="357"/>
        </w:tabs>
        <w:rPr>
          <w:sz w:val="24"/>
          <w:szCs w:val="24"/>
          <w:lang w:eastAsia="en-US" w:bidi="en-US"/>
        </w:rPr>
      </w:pPr>
      <w:r w:rsidRPr="007F69DA">
        <w:rPr>
          <w:sz w:val="24"/>
          <w:szCs w:val="24"/>
          <w:lang w:eastAsia="en-US" w:bidi="en-US"/>
        </w:rPr>
        <w:t>die eigene Wettbewerbsposition stärken und/oder</w:t>
      </w:r>
    </w:p>
    <w:p w14:paraId="25FDE679" w14:textId="77777777" w:rsidR="00835A0E" w:rsidRPr="007F69DA" w:rsidRDefault="00835A0E">
      <w:pPr>
        <w:pStyle w:val="Punkt"/>
        <w:numPr>
          <w:ilvl w:val="0"/>
          <w:numId w:val="37"/>
        </w:numPr>
        <w:tabs>
          <w:tab w:val="clear" w:pos="357"/>
        </w:tabs>
        <w:rPr>
          <w:sz w:val="24"/>
          <w:szCs w:val="24"/>
          <w:lang w:eastAsia="en-US" w:bidi="en-US"/>
        </w:rPr>
      </w:pPr>
      <w:r w:rsidRPr="007F69DA">
        <w:rPr>
          <w:sz w:val="24"/>
          <w:szCs w:val="24"/>
          <w:lang w:eastAsia="en-US" w:bidi="en-US"/>
        </w:rPr>
        <w:t>den organisationalen Wissenstransfer optimieren.</w:t>
      </w:r>
    </w:p>
    <w:p w14:paraId="187F7784" w14:textId="77777777" w:rsidR="00835A0E" w:rsidRPr="007F69DA" w:rsidRDefault="00835A0E" w:rsidP="00835A0E">
      <w:pPr>
        <w:pStyle w:val="Erlaeuterung"/>
      </w:pPr>
    </w:p>
    <w:p w14:paraId="6D18C856" w14:textId="77777777" w:rsidR="00835A0E" w:rsidRPr="00544326" w:rsidRDefault="00835A0E" w:rsidP="00835A0E">
      <w:pPr>
        <w:spacing w:before="60" w:line="360" w:lineRule="auto"/>
        <w:jc w:val="center"/>
        <w:rPr>
          <w:i/>
          <w:szCs w:val="24"/>
          <w:lang w:eastAsia="de-DE"/>
        </w:rPr>
      </w:pPr>
      <w:r w:rsidRPr="00544326">
        <w:rPr>
          <w:i/>
          <w:szCs w:val="24"/>
          <w:lang w:eastAsia="de-DE"/>
        </w:rPr>
        <w:t>Tab. 2: Argumente für bzw. gegen ein internationales Joint Venture</w:t>
      </w:r>
    </w:p>
    <w:tbl>
      <w:tblPr>
        <w:tblStyle w:val="Tabellenraster"/>
        <w:tblW w:w="0" w:type="auto"/>
        <w:tblLook w:val="04A0" w:firstRow="1" w:lastRow="0" w:firstColumn="1" w:lastColumn="0" w:noHBand="0" w:noVBand="1"/>
      </w:tblPr>
      <w:tblGrid>
        <w:gridCol w:w="4532"/>
        <w:gridCol w:w="4530"/>
      </w:tblGrid>
      <w:tr w:rsidR="00835A0E" w:rsidRPr="007F69DA" w14:paraId="5F1A7C27" w14:textId="77777777" w:rsidTr="00F46ACB">
        <w:tc>
          <w:tcPr>
            <w:tcW w:w="4606" w:type="dxa"/>
            <w:shd w:val="clear" w:color="auto" w:fill="FFC000"/>
          </w:tcPr>
          <w:p w14:paraId="6ACA6CB9" w14:textId="77777777" w:rsidR="00835A0E" w:rsidRPr="007F69DA" w:rsidRDefault="00835A0E" w:rsidP="00F46ACB">
            <w:pPr>
              <w:spacing w:before="60" w:line="360" w:lineRule="auto"/>
              <w:jc w:val="center"/>
            </w:pPr>
            <w:r w:rsidRPr="007F69DA">
              <w:t>Vorteile</w:t>
            </w:r>
          </w:p>
        </w:tc>
        <w:tc>
          <w:tcPr>
            <w:tcW w:w="4606" w:type="dxa"/>
            <w:shd w:val="clear" w:color="auto" w:fill="FFC000"/>
          </w:tcPr>
          <w:p w14:paraId="72B9DB2F" w14:textId="77777777" w:rsidR="00835A0E" w:rsidRPr="007F69DA" w:rsidRDefault="00835A0E" w:rsidP="00F46ACB">
            <w:pPr>
              <w:spacing w:before="60" w:line="360" w:lineRule="auto"/>
              <w:jc w:val="center"/>
            </w:pPr>
            <w:r w:rsidRPr="007F69DA">
              <w:t>Nachteile</w:t>
            </w:r>
          </w:p>
        </w:tc>
      </w:tr>
      <w:tr w:rsidR="00835A0E" w:rsidRPr="007F69DA" w14:paraId="6A15DB7C" w14:textId="77777777" w:rsidTr="00F46ACB">
        <w:tc>
          <w:tcPr>
            <w:tcW w:w="4606" w:type="dxa"/>
            <w:shd w:val="clear" w:color="auto" w:fill="FFF2CC" w:themeFill="accent4" w:themeFillTint="33"/>
          </w:tcPr>
          <w:p w14:paraId="1619DB88" w14:textId="77777777" w:rsidR="00835A0E" w:rsidRPr="007F69DA" w:rsidRDefault="00835A0E">
            <w:pPr>
              <w:widowControl/>
              <w:numPr>
                <w:ilvl w:val="0"/>
                <w:numId w:val="39"/>
              </w:numPr>
              <w:autoSpaceDE/>
              <w:autoSpaceDN/>
              <w:spacing w:before="60"/>
              <w:ind w:left="426" w:hanging="284"/>
              <w:jc w:val="both"/>
            </w:pPr>
            <w:r w:rsidRPr="007F69DA">
              <w:t>geringerer Kapitalaufwand und geringeres Risiko als beim Alleingang</w:t>
            </w:r>
          </w:p>
          <w:p w14:paraId="7907B171" w14:textId="77777777" w:rsidR="00835A0E" w:rsidRPr="007F69DA" w:rsidRDefault="00835A0E">
            <w:pPr>
              <w:widowControl/>
              <w:numPr>
                <w:ilvl w:val="0"/>
                <w:numId w:val="39"/>
              </w:numPr>
              <w:autoSpaceDE/>
              <w:autoSpaceDN/>
              <w:spacing w:before="60"/>
              <w:ind w:left="426" w:hanging="284"/>
              <w:jc w:val="both"/>
            </w:pPr>
            <w:r w:rsidRPr="007F69DA">
              <w:t>Umgehung von Local Content-Vorschriften u.a. Handelshemmnissen</w:t>
            </w:r>
          </w:p>
          <w:p w14:paraId="372F2F5E" w14:textId="77777777" w:rsidR="00835A0E" w:rsidRPr="007F69DA" w:rsidRDefault="00835A0E">
            <w:pPr>
              <w:widowControl/>
              <w:numPr>
                <w:ilvl w:val="0"/>
                <w:numId w:val="39"/>
              </w:numPr>
              <w:autoSpaceDE/>
              <w:autoSpaceDN/>
              <w:spacing w:before="60"/>
              <w:ind w:left="426" w:hanging="284"/>
              <w:jc w:val="both"/>
            </w:pPr>
            <w:r w:rsidRPr="007F69DA">
              <w:t>Zugang zu regionalen Ressourcen</w:t>
            </w:r>
          </w:p>
          <w:p w14:paraId="2838F19B" w14:textId="77777777" w:rsidR="00835A0E" w:rsidRPr="007F69DA" w:rsidRDefault="00835A0E">
            <w:pPr>
              <w:widowControl/>
              <w:numPr>
                <w:ilvl w:val="0"/>
                <w:numId w:val="39"/>
              </w:numPr>
              <w:autoSpaceDE/>
              <w:autoSpaceDN/>
              <w:spacing w:before="60"/>
              <w:ind w:left="426" w:hanging="284"/>
              <w:jc w:val="both"/>
            </w:pPr>
            <w:r w:rsidRPr="007F69DA">
              <w:t>Umgehung von Regelungen, die im Gastland die Gründung von Tochtergesellschaften oder den Kauf inländischer Unternehmen untersagen</w:t>
            </w:r>
          </w:p>
          <w:p w14:paraId="2B999396" w14:textId="77777777" w:rsidR="00835A0E" w:rsidRPr="007F69DA" w:rsidRDefault="00835A0E">
            <w:pPr>
              <w:widowControl/>
              <w:numPr>
                <w:ilvl w:val="0"/>
                <w:numId w:val="39"/>
              </w:numPr>
              <w:autoSpaceDE/>
              <w:autoSpaceDN/>
              <w:spacing w:before="60"/>
              <w:ind w:left="426" w:hanging="284"/>
              <w:jc w:val="both"/>
            </w:pPr>
            <w:r w:rsidRPr="007F69DA">
              <w:t>Schaffung oder Veränderung von Marktbarrieren</w:t>
            </w:r>
          </w:p>
          <w:p w14:paraId="3DBFB7E3" w14:textId="77777777" w:rsidR="00835A0E" w:rsidRPr="007F69DA" w:rsidRDefault="00835A0E">
            <w:pPr>
              <w:widowControl/>
              <w:numPr>
                <w:ilvl w:val="0"/>
                <w:numId w:val="39"/>
              </w:numPr>
              <w:autoSpaceDE/>
              <w:autoSpaceDN/>
              <w:spacing w:before="60"/>
              <w:ind w:left="426" w:hanging="284"/>
              <w:jc w:val="both"/>
            </w:pPr>
            <w:r w:rsidRPr="007F69DA">
              <w:t>Imagevorteile („lokales Unternehmen“)</w:t>
            </w:r>
          </w:p>
          <w:p w14:paraId="7EFE437F" w14:textId="77777777" w:rsidR="00835A0E" w:rsidRPr="007F69DA" w:rsidRDefault="00835A0E">
            <w:pPr>
              <w:widowControl/>
              <w:numPr>
                <w:ilvl w:val="0"/>
                <w:numId w:val="39"/>
              </w:numPr>
              <w:autoSpaceDE/>
              <w:autoSpaceDN/>
              <w:spacing w:before="60"/>
              <w:ind w:left="426" w:hanging="284"/>
              <w:jc w:val="both"/>
            </w:pPr>
            <w:r w:rsidRPr="007F69DA">
              <w:lastRenderedPageBreak/>
              <w:t>Inanspruchnahme von Förderprogrammen oder Subventionen im Gastland</w:t>
            </w:r>
          </w:p>
          <w:p w14:paraId="7B705CA3" w14:textId="77777777" w:rsidR="00835A0E" w:rsidRPr="007F69DA" w:rsidRDefault="00835A0E">
            <w:pPr>
              <w:widowControl/>
              <w:numPr>
                <w:ilvl w:val="0"/>
                <w:numId w:val="39"/>
              </w:numPr>
              <w:autoSpaceDE/>
              <w:autoSpaceDN/>
              <w:spacing w:before="60"/>
              <w:ind w:left="426" w:hanging="284"/>
              <w:jc w:val="both"/>
              <w:rPr>
                <w:lang w:val="en-US"/>
              </w:rPr>
            </w:pPr>
            <w:r w:rsidRPr="007F69DA">
              <w:rPr>
                <w:lang w:val="en-US"/>
              </w:rPr>
              <w:t xml:space="preserve">Synergieeffekte (Know how, F+E, Distribution etc.) </w:t>
            </w:r>
          </w:p>
        </w:tc>
        <w:tc>
          <w:tcPr>
            <w:tcW w:w="4606" w:type="dxa"/>
            <w:shd w:val="clear" w:color="auto" w:fill="FFF2CC" w:themeFill="accent4" w:themeFillTint="33"/>
          </w:tcPr>
          <w:p w14:paraId="209EE303" w14:textId="77777777" w:rsidR="00835A0E" w:rsidRPr="007F69DA" w:rsidRDefault="00835A0E">
            <w:pPr>
              <w:widowControl/>
              <w:numPr>
                <w:ilvl w:val="0"/>
                <w:numId w:val="40"/>
              </w:numPr>
              <w:autoSpaceDE/>
              <w:autoSpaceDN/>
              <w:spacing w:before="60"/>
              <w:ind w:left="356" w:hanging="284"/>
              <w:jc w:val="both"/>
            </w:pPr>
            <w:r w:rsidRPr="007F69DA">
              <w:lastRenderedPageBreak/>
              <w:t>hohe Kontroll- und Steuerungsaufwendungen</w:t>
            </w:r>
          </w:p>
          <w:p w14:paraId="0A779F11" w14:textId="77777777" w:rsidR="00835A0E" w:rsidRPr="007F69DA" w:rsidRDefault="00835A0E">
            <w:pPr>
              <w:widowControl/>
              <w:numPr>
                <w:ilvl w:val="0"/>
                <w:numId w:val="40"/>
              </w:numPr>
              <w:autoSpaceDE/>
              <w:autoSpaceDN/>
              <w:spacing w:before="60"/>
              <w:ind w:left="356" w:hanging="284"/>
            </w:pPr>
            <w:r w:rsidRPr="007F69DA">
              <w:t>Gefahr unternehmerischer Konflikte (Ziel-, Strategie-, Mittel- und Gewinnverwendungs-konflikte)</w:t>
            </w:r>
          </w:p>
          <w:p w14:paraId="2A1E12C3" w14:textId="77777777" w:rsidR="00835A0E" w:rsidRPr="007F69DA" w:rsidRDefault="00835A0E">
            <w:pPr>
              <w:widowControl/>
              <w:numPr>
                <w:ilvl w:val="0"/>
                <w:numId w:val="40"/>
              </w:numPr>
              <w:autoSpaceDE/>
              <w:autoSpaceDN/>
              <w:spacing w:before="60"/>
              <w:ind w:left="356" w:hanging="284"/>
              <w:jc w:val="both"/>
            </w:pPr>
            <w:r w:rsidRPr="007F69DA">
              <w:t>Gefahr soziokultureller Konflikte</w:t>
            </w:r>
          </w:p>
          <w:p w14:paraId="5EC29688" w14:textId="77777777" w:rsidR="00835A0E" w:rsidRPr="007F69DA" w:rsidRDefault="00835A0E">
            <w:pPr>
              <w:widowControl/>
              <w:numPr>
                <w:ilvl w:val="0"/>
                <w:numId w:val="40"/>
              </w:numPr>
              <w:autoSpaceDE/>
              <w:autoSpaceDN/>
              <w:spacing w:before="60"/>
              <w:ind w:left="356" w:hanging="284"/>
              <w:jc w:val="both"/>
            </w:pPr>
            <w:r w:rsidRPr="007F69DA">
              <w:t>Verlust von Einfluss- und Kontrollmöglichkeiten</w:t>
            </w:r>
          </w:p>
        </w:tc>
      </w:tr>
    </w:tbl>
    <w:p w14:paraId="63921C74" w14:textId="77777777" w:rsidR="00835A0E" w:rsidRPr="007F69DA" w:rsidRDefault="00835A0E" w:rsidP="00835A0E">
      <w:pPr>
        <w:spacing w:before="60" w:line="360" w:lineRule="auto"/>
        <w:jc w:val="both"/>
        <w:rPr>
          <w:sz w:val="20"/>
          <w:szCs w:val="20"/>
          <w:lang w:eastAsia="de-DE"/>
        </w:rPr>
      </w:pPr>
      <w:r w:rsidRPr="007F69DA">
        <w:rPr>
          <w:sz w:val="20"/>
          <w:szCs w:val="20"/>
          <w:lang w:eastAsia="de-DE"/>
        </w:rPr>
        <w:t xml:space="preserve">Quelle: Zentes et al. (2013, S.258), geringfügig verändert und erweitert. </w:t>
      </w:r>
    </w:p>
    <w:p w14:paraId="775A8A5E" w14:textId="77777777" w:rsidR="00835A0E" w:rsidRPr="007F69DA" w:rsidRDefault="00835A0E" w:rsidP="00835A0E">
      <w:pPr>
        <w:pStyle w:val="Erlaeuterung"/>
        <w:rPr>
          <w:bCs w:val="0"/>
          <w:sz w:val="24"/>
          <w:szCs w:val="24"/>
          <w:lang w:eastAsia="en-US" w:bidi="en-US"/>
        </w:rPr>
      </w:pPr>
    </w:p>
    <w:p w14:paraId="677B3E7E" w14:textId="77777777" w:rsidR="00835A0E" w:rsidRPr="007F69DA" w:rsidRDefault="00835A0E" w:rsidP="00835A0E">
      <w:pPr>
        <w:pStyle w:val="Erlaeuterung"/>
        <w:rPr>
          <w:bCs w:val="0"/>
          <w:sz w:val="24"/>
          <w:szCs w:val="24"/>
          <w:lang w:eastAsia="en-US" w:bidi="en-US"/>
        </w:rPr>
      </w:pPr>
      <w:r w:rsidRPr="007F69DA">
        <w:rPr>
          <w:bCs w:val="0"/>
          <w:sz w:val="24"/>
          <w:szCs w:val="24"/>
          <w:lang w:eastAsia="en-US" w:bidi="en-US"/>
        </w:rPr>
        <w:t xml:space="preserve">Mit Hilfe des Loose Tight-Ansatzes können die beteiligten Unternehmen versuchen, zwischen zwei gegensätzlichen Zielen einen Kompromiss zu finden: einerseits dem </w:t>
      </w:r>
      <w:r w:rsidRPr="007F69DA">
        <w:rPr>
          <w:bCs w:val="0"/>
          <w:sz w:val="24"/>
          <w:szCs w:val="24"/>
          <w:lang w:eastAsia="en-US" w:bidi="en-US"/>
        </w:rPr>
        <w:sym w:font="Symbol" w:char="F0DE"/>
      </w:r>
      <w:r w:rsidRPr="007F69DA">
        <w:rPr>
          <w:bCs w:val="0"/>
          <w:sz w:val="24"/>
          <w:szCs w:val="24"/>
          <w:lang w:eastAsia="en-US" w:bidi="en-US"/>
        </w:rPr>
        <w:t> Bedürfnis der Mutter</w:t>
      </w:r>
      <w:r w:rsidRPr="007F69DA">
        <w:rPr>
          <w:bCs w:val="0"/>
          <w:sz w:val="24"/>
          <w:szCs w:val="24"/>
          <w:lang w:eastAsia="en-US" w:bidi="en-US"/>
        </w:rPr>
        <w:softHyphen/>
        <w:t>ge</w:t>
      </w:r>
      <w:r w:rsidRPr="007F69DA">
        <w:rPr>
          <w:bCs w:val="0"/>
          <w:sz w:val="24"/>
          <w:szCs w:val="24"/>
          <w:lang w:eastAsia="en-US" w:bidi="en-US"/>
        </w:rPr>
        <w:softHyphen/>
        <w:t>sellschaften, das Joint Venture zu kontrollieren, und andererseits der Notwendigkeit, diesem die erforderliche unternehmerische Selbständigkeit zu gewähren, Dazu werden zunächst die kontrollbedürftigen Leistungsprozesse identifiziert. Die im zweiten Schritt festzulegenden Kontrollrechte der Muttergesellschaft richten sich u.a. nach der Notwendigkeit, die Interessen der Aktionäre zu schützen (z.B. wenn es um Leistungsüberwachung oder Kapitalverteilung geht). Entscheidungen, welche das Tagesgeschäft betreffen, sollten von der Kontrolle ausgenommen sein. Was von strategischer Bedeutung und mithin kontrollpflichtig ist, muss im Vorhinein festgelegt werden.</w:t>
      </w:r>
    </w:p>
    <w:p w14:paraId="7E195BD5" w14:textId="77777777" w:rsidR="00835A0E" w:rsidRPr="007F69DA" w:rsidRDefault="00835A0E" w:rsidP="00835A0E">
      <w:pPr>
        <w:pStyle w:val="Erlaeuterung"/>
        <w:rPr>
          <w:bCs w:val="0"/>
          <w:sz w:val="24"/>
          <w:szCs w:val="24"/>
          <w:lang w:eastAsia="en-US" w:bidi="en-US"/>
        </w:rPr>
      </w:pPr>
    </w:p>
    <w:p w14:paraId="2DE50872" w14:textId="77777777" w:rsidR="00835A0E" w:rsidRPr="007F69DA" w:rsidRDefault="00835A0E" w:rsidP="00835A0E">
      <w:pPr>
        <w:pStyle w:val="Erlaeuterung"/>
        <w:rPr>
          <w:bCs w:val="0"/>
          <w:sz w:val="24"/>
          <w:szCs w:val="24"/>
          <w:lang w:eastAsia="en-US" w:bidi="en-US"/>
        </w:rPr>
      </w:pPr>
      <w:r w:rsidRPr="007F69DA">
        <w:rPr>
          <w:bCs w:val="0"/>
          <w:sz w:val="24"/>
          <w:szCs w:val="24"/>
          <w:lang w:eastAsia="en-US" w:bidi="en-US"/>
        </w:rPr>
        <w:t xml:space="preserve">Ein Joint Venture-Vertrag sollte Folgendes regeln: strategische Vision und geplante Geschäftstätigkeit des Joint Venture, Gewinn- bzw. Verlustverteilung und -verwendung, Besetzung und erforderliche Kompetenz von Führungspositionen und Aufsichtsgremien, Markenrechte, Lizenzgebühren für Leistungen, welche die Partner in das Joint Venture einbringen, Ausstiegsregelungen und Gerichtsstand. Aber auch dann scheitert, wie eine Reihe von Studien gezeigt hat, nahezu jedes zweite Gemeinschaftsunternehmen, viele von ihnen an „gravierenden Kulturunterschieden“. So halten es Mitglieder asiatischer Kulturen nicht für verwerflich, Produkte ihrer Kooperationspartner (unrechtmäßig) zu imitieren oder sich deren Know how anzueignen. Denn in diesem </w:t>
      </w:r>
      <w:r w:rsidRPr="007F69DA">
        <w:rPr>
          <w:bCs w:val="0"/>
          <w:sz w:val="24"/>
          <w:szCs w:val="24"/>
          <w:lang w:eastAsia="en-US" w:bidi="en-US"/>
        </w:rPr>
        <w:sym w:font="Symbol" w:char="F0DE"/>
      </w:r>
      <w:r w:rsidRPr="007F69DA">
        <w:rPr>
          <w:bCs w:val="0"/>
          <w:sz w:val="24"/>
          <w:szCs w:val="24"/>
          <w:lang w:eastAsia="en-US" w:bidi="en-US"/>
        </w:rPr>
        <w:t xml:space="preserve"> Kulturraum besitzt Imitation keinen negativen Beigeschmack wie im abendländischen Verständnis. Mit den </w:t>
      </w:r>
      <w:r w:rsidRPr="007F69DA">
        <w:rPr>
          <w:bCs w:val="0"/>
          <w:sz w:val="24"/>
          <w:szCs w:val="24"/>
          <w:lang w:eastAsia="en-US" w:bidi="en-US"/>
        </w:rPr>
        <w:sym w:font="Symbol" w:char="F0DE"/>
      </w:r>
      <w:r w:rsidRPr="007F69DA">
        <w:rPr>
          <w:bCs w:val="0"/>
          <w:sz w:val="24"/>
          <w:szCs w:val="24"/>
          <w:lang w:eastAsia="en-US" w:bidi="en-US"/>
        </w:rPr>
        <w:t xml:space="preserve"> Kon</w:t>
      </w:r>
      <w:r w:rsidRPr="007F69DA">
        <w:rPr>
          <w:bCs w:val="0"/>
          <w:sz w:val="24"/>
          <w:szCs w:val="24"/>
          <w:lang w:eastAsia="en-US" w:bidi="en-US"/>
        </w:rPr>
        <w:softHyphen/>
        <w:t>flikten, wie sie auch und gerade für Joint Venture charakteristisch sind (vgl. Tab. 3), befasst sich u.a. die Mana</w:t>
      </w:r>
      <w:r w:rsidRPr="007F69DA">
        <w:rPr>
          <w:bCs w:val="0"/>
          <w:sz w:val="24"/>
          <w:szCs w:val="24"/>
          <w:lang w:eastAsia="en-US" w:bidi="en-US"/>
        </w:rPr>
        <w:softHyphen/>
        <w:t xml:space="preserve">gement Event-Theorie. </w:t>
      </w:r>
    </w:p>
    <w:p w14:paraId="4681BFE0" w14:textId="77777777" w:rsidR="00835A0E" w:rsidRPr="007F69DA" w:rsidRDefault="00835A0E" w:rsidP="00835A0E">
      <w:pPr>
        <w:pStyle w:val="Erlaeuterung"/>
        <w:rPr>
          <w:bCs w:val="0"/>
          <w:sz w:val="24"/>
          <w:szCs w:val="24"/>
          <w:lang w:eastAsia="en-US" w:bidi="en-US"/>
        </w:rPr>
      </w:pPr>
    </w:p>
    <w:p w14:paraId="7AAAD2A2" w14:textId="77777777" w:rsidR="00835A0E" w:rsidRPr="00544326" w:rsidRDefault="00835A0E" w:rsidP="00835A0E">
      <w:pPr>
        <w:pStyle w:val="Beschriftung"/>
        <w:spacing w:line="240" w:lineRule="auto"/>
      </w:pPr>
      <w:r w:rsidRPr="00544326">
        <w:t xml:space="preserve">Tab. 3: Wechselseitige Schuldzuweisung der Partnerunternehmen eines </w:t>
      </w:r>
    </w:p>
    <w:p w14:paraId="065F7E07" w14:textId="77777777" w:rsidR="00835A0E" w:rsidRPr="00544326" w:rsidRDefault="00835A0E" w:rsidP="00835A0E">
      <w:pPr>
        <w:pStyle w:val="Beschriftung"/>
        <w:spacing w:line="240" w:lineRule="auto"/>
      </w:pPr>
      <w:r w:rsidRPr="00544326">
        <w:t>deutsch-russischen Joint Ventures</w:t>
      </w:r>
    </w:p>
    <w:tbl>
      <w:tblPr>
        <w:tblW w:w="89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70"/>
        <w:gridCol w:w="4394"/>
      </w:tblGrid>
      <w:tr w:rsidR="00835A0E" w:rsidRPr="007F69DA" w14:paraId="7E76D742" w14:textId="77777777" w:rsidTr="00F46ACB">
        <w:tc>
          <w:tcPr>
            <w:tcW w:w="4570" w:type="dxa"/>
            <w:tcBorders>
              <w:bottom w:val="single" w:sz="4" w:space="0" w:color="auto"/>
            </w:tcBorders>
            <w:shd w:val="clear" w:color="auto" w:fill="FFC000"/>
          </w:tcPr>
          <w:p w14:paraId="187278AF" w14:textId="77777777" w:rsidR="00835A0E" w:rsidRPr="007F69DA" w:rsidRDefault="00835A0E" w:rsidP="00F46ACB">
            <w:pPr>
              <w:spacing w:before="60" w:after="60"/>
              <w:jc w:val="center"/>
              <w:rPr>
                <w:b/>
                <w:sz w:val="20"/>
                <w:szCs w:val="20"/>
              </w:rPr>
            </w:pPr>
            <w:r w:rsidRPr="007F69DA">
              <w:rPr>
                <w:b/>
                <w:sz w:val="20"/>
                <w:szCs w:val="20"/>
              </w:rPr>
              <w:t>Sicht deutscher</w:t>
            </w:r>
            <w:r w:rsidRPr="007F69DA">
              <w:rPr>
                <w:b/>
                <w:sz w:val="20"/>
                <w:szCs w:val="20"/>
              </w:rPr>
              <w:br/>
              <w:t>Führungskräfte</w:t>
            </w:r>
          </w:p>
        </w:tc>
        <w:tc>
          <w:tcPr>
            <w:tcW w:w="4394" w:type="dxa"/>
            <w:tcBorders>
              <w:bottom w:val="single" w:sz="4" w:space="0" w:color="auto"/>
            </w:tcBorders>
            <w:shd w:val="clear" w:color="auto" w:fill="FFC000"/>
          </w:tcPr>
          <w:p w14:paraId="7A8C9681" w14:textId="77777777" w:rsidR="00835A0E" w:rsidRPr="007F69DA" w:rsidRDefault="00835A0E" w:rsidP="00F46ACB">
            <w:pPr>
              <w:spacing w:before="60" w:after="60"/>
              <w:jc w:val="center"/>
              <w:rPr>
                <w:b/>
                <w:sz w:val="20"/>
                <w:szCs w:val="20"/>
              </w:rPr>
            </w:pPr>
            <w:r w:rsidRPr="007F69DA">
              <w:rPr>
                <w:b/>
                <w:sz w:val="20"/>
                <w:szCs w:val="20"/>
              </w:rPr>
              <w:t>Sicht mittel- und</w:t>
            </w:r>
            <w:r w:rsidRPr="007F69DA">
              <w:rPr>
                <w:b/>
                <w:sz w:val="20"/>
                <w:szCs w:val="20"/>
              </w:rPr>
              <w:br/>
              <w:t>osteuropäischer Führungskräfte</w:t>
            </w:r>
          </w:p>
        </w:tc>
      </w:tr>
      <w:tr w:rsidR="00835A0E" w:rsidRPr="007F69DA" w14:paraId="3AECFA1E" w14:textId="77777777" w:rsidTr="00F46ACB">
        <w:tc>
          <w:tcPr>
            <w:tcW w:w="4570" w:type="dxa"/>
            <w:tcBorders>
              <w:bottom w:val="nil"/>
            </w:tcBorders>
            <w:shd w:val="clear" w:color="auto" w:fill="FFF2CC" w:themeFill="accent4" w:themeFillTint="33"/>
          </w:tcPr>
          <w:p w14:paraId="302CFDAE" w14:textId="77777777" w:rsidR="00835A0E" w:rsidRPr="007F69DA" w:rsidRDefault="00835A0E" w:rsidP="00F46ACB">
            <w:pPr>
              <w:spacing w:before="60"/>
              <w:jc w:val="both"/>
              <w:rPr>
                <w:sz w:val="20"/>
                <w:szCs w:val="20"/>
              </w:rPr>
            </w:pPr>
            <w:r w:rsidRPr="007F69DA">
              <w:rPr>
                <w:sz w:val="20"/>
                <w:szCs w:val="20"/>
              </w:rPr>
              <w:t xml:space="preserve"> Osteuropäische Führungskräfte …</w:t>
            </w:r>
          </w:p>
          <w:p w14:paraId="490CDC0B" w14:textId="77777777" w:rsidR="00835A0E" w:rsidRPr="007F69DA" w:rsidRDefault="00835A0E">
            <w:pPr>
              <w:widowControl/>
              <w:numPr>
                <w:ilvl w:val="0"/>
                <w:numId w:val="40"/>
              </w:numPr>
              <w:tabs>
                <w:tab w:val="left" w:pos="113"/>
              </w:tabs>
              <w:autoSpaceDE/>
              <w:autoSpaceDN/>
              <w:spacing w:before="60"/>
              <w:ind w:left="356" w:hanging="284"/>
              <w:jc w:val="both"/>
              <w:rPr>
                <w:sz w:val="20"/>
                <w:szCs w:val="20"/>
              </w:rPr>
            </w:pPr>
            <w:r w:rsidRPr="007F69DA">
              <w:rPr>
                <w:sz w:val="20"/>
                <w:szCs w:val="20"/>
              </w:rPr>
              <w:t>argumentieren vielfach anhand relativ unwichtiger Details, während dringende Probleme oft viel zu spät angesprochen werden.</w:t>
            </w:r>
          </w:p>
          <w:p w14:paraId="0D62780D" w14:textId="77777777" w:rsidR="00835A0E" w:rsidRPr="007F69DA" w:rsidRDefault="00835A0E">
            <w:pPr>
              <w:widowControl/>
              <w:numPr>
                <w:ilvl w:val="0"/>
                <w:numId w:val="40"/>
              </w:numPr>
              <w:tabs>
                <w:tab w:val="left" w:pos="113"/>
              </w:tabs>
              <w:autoSpaceDE/>
              <w:autoSpaceDN/>
              <w:spacing w:before="60"/>
              <w:ind w:left="356" w:hanging="284"/>
              <w:jc w:val="both"/>
              <w:rPr>
                <w:sz w:val="20"/>
                <w:szCs w:val="20"/>
              </w:rPr>
            </w:pPr>
            <w:r w:rsidRPr="007F69DA">
              <w:rPr>
                <w:sz w:val="20"/>
                <w:szCs w:val="20"/>
              </w:rPr>
              <w:t>verschieben wichtige Entscheidungen („sitzen sie aus“ oder“ delegieren sie nach oben“).</w:t>
            </w:r>
          </w:p>
          <w:p w14:paraId="15A44D56" w14:textId="77777777" w:rsidR="00835A0E" w:rsidRPr="007F69DA" w:rsidRDefault="00835A0E">
            <w:pPr>
              <w:widowControl/>
              <w:numPr>
                <w:ilvl w:val="0"/>
                <w:numId w:val="40"/>
              </w:numPr>
              <w:tabs>
                <w:tab w:val="left" w:pos="113"/>
              </w:tabs>
              <w:autoSpaceDE/>
              <w:autoSpaceDN/>
              <w:spacing w:before="60"/>
              <w:ind w:left="356" w:hanging="284"/>
              <w:jc w:val="both"/>
              <w:rPr>
                <w:sz w:val="20"/>
                <w:szCs w:val="20"/>
              </w:rPr>
            </w:pPr>
            <w:r w:rsidRPr="007F69DA">
              <w:rPr>
                <w:sz w:val="20"/>
                <w:szCs w:val="20"/>
              </w:rPr>
              <w:t>veranstalten Besprechungen und Verhandlungen häufig ohne klare Struktur bzw. roten Faden (stattdessen mit vermeintlichen philosophischen Erkenntnissen gespicktes „Palaver“).</w:t>
            </w:r>
          </w:p>
          <w:p w14:paraId="5B37A213" w14:textId="77777777" w:rsidR="00835A0E" w:rsidRPr="007F69DA" w:rsidRDefault="00835A0E">
            <w:pPr>
              <w:widowControl/>
              <w:numPr>
                <w:ilvl w:val="0"/>
                <w:numId w:val="40"/>
              </w:numPr>
              <w:tabs>
                <w:tab w:val="left" w:pos="113"/>
              </w:tabs>
              <w:autoSpaceDE/>
              <w:autoSpaceDN/>
              <w:spacing w:before="60"/>
              <w:ind w:left="356" w:hanging="284"/>
              <w:jc w:val="both"/>
              <w:rPr>
                <w:sz w:val="20"/>
                <w:szCs w:val="20"/>
              </w:rPr>
            </w:pPr>
            <w:r w:rsidRPr="007F69DA">
              <w:rPr>
                <w:sz w:val="20"/>
                <w:szCs w:val="20"/>
              </w:rPr>
              <w:t>argumentieren zumeist sehr vage (auf Grundlage allgemeiner moralischer Werte).</w:t>
            </w:r>
          </w:p>
          <w:p w14:paraId="005197D6" w14:textId="77777777" w:rsidR="00835A0E" w:rsidRPr="007F69DA" w:rsidRDefault="00835A0E">
            <w:pPr>
              <w:widowControl/>
              <w:numPr>
                <w:ilvl w:val="0"/>
                <w:numId w:val="40"/>
              </w:numPr>
              <w:tabs>
                <w:tab w:val="left" w:pos="113"/>
              </w:tabs>
              <w:autoSpaceDE/>
              <w:autoSpaceDN/>
              <w:spacing w:before="60"/>
              <w:ind w:left="356" w:hanging="284"/>
              <w:jc w:val="both"/>
              <w:rPr>
                <w:sz w:val="20"/>
                <w:szCs w:val="20"/>
              </w:rPr>
            </w:pPr>
            <w:r w:rsidRPr="007F69DA">
              <w:rPr>
                <w:sz w:val="20"/>
                <w:szCs w:val="20"/>
              </w:rPr>
              <w:t>entwickeln selten kontrovers zu diskutiere Alternativen.</w:t>
            </w:r>
          </w:p>
          <w:p w14:paraId="553A938E" w14:textId="77777777" w:rsidR="00835A0E" w:rsidRPr="007F69DA" w:rsidRDefault="00835A0E">
            <w:pPr>
              <w:widowControl/>
              <w:numPr>
                <w:ilvl w:val="0"/>
                <w:numId w:val="40"/>
              </w:numPr>
              <w:autoSpaceDE/>
              <w:autoSpaceDN/>
              <w:spacing w:before="60"/>
              <w:ind w:left="356" w:hanging="284"/>
              <w:jc w:val="both"/>
              <w:rPr>
                <w:sz w:val="20"/>
                <w:szCs w:val="20"/>
              </w:rPr>
            </w:pPr>
            <w:r w:rsidRPr="007F69DA">
              <w:rPr>
                <w:sz w:val="20"/>
                <w:szCs w:val="20"/>
              </w:rPr>
              <w:t xml:space="preserve">bedenken mögliche Folgewirkungen unterschiedlicher Alternativen oft nicht. </w:t>
            </w:r>
          </w:p>
          <w:p w14:paraId="433B8BE0" w14:textId="77777777" w:rsidR="00835A0E" w:rsidRPr="007F69DA" w:rsidRDefault="00835A0E">
            <w:pPr>
              <w:widowControl/>
              <w:numPr>
                <w:ilvl w:val="0"/>
                <w:numId w:val="40"/>
              </w:numPr>
              <w:autoSpaceDE/>
              <w:autoSpaceDN/>
              <w:spacing w:before="60"/>
              <w:ind w:left="356" w:hanging="284"/>
              <w:jc w:val="both"/>
              <w:rPr>
                <w:sz w:val="20"/>
                <w:szCs w:val="20"/>
              </w:rPr>
            </w:pPr>
            <w:r w:rsidRPr="007F69DA">
              <w:rPr>
                <w:sz w:val="20"/>
                <w:szCs w:val="20"/>
              </w:rPr>
              <w:lastRenderedPageBreak/>
              <w:t>benötigen für die Entscheidungsfindung häufig ausgesprochen viel Zeit.</w:t>
            </w:r>
          </w:p>
          <w:p w14:paraId="5E71D7B5" w14:textId="77777777" w:rsidR="00835A0E" w:rsidRPr="007F69DA" w:rsidRDefault="00835A0E">
            <w:pPr>
              <w:widowControl/>
              <w:numPr>
                <w:ilvl w:val="0"/>
                <w:numId w:val="40"/>
              </w:numPr>
              <w:autoSpaceDE/>
              <w:autoSpaceDN/>
              <w:spacing w:before="60"/>
              <w:ind w:left="356" w:hanging="284"/>
              <w:jc w:val="both"/>
              <w:rPr>
                <w:sz w:val="20"/>
                <w:szCs w:val="20"/>
              </w:rPr>
            </w:pPr>
            <w:r w:rsidRPr="007F69DA">
              <w:rPr>
                <w:sz w:val="20"/>
                <w:szCs w:val="20"/>
              </w:rPr>
              <w:t xml:space="preserve">berücksichtigen Kosten und Effizienz von Entscheidungen kaum. </w:t>
            </w:r>
          </w:p>
          <w:p w14:paraId="506D1198" w14:textId="77777777" w:rsidR="00835A0E" w:rsidRPr="007F69DA" w:rsidRDefault="00835A0E">
            <w:pPr>
              <w:widowControl/>
              <w:numPr>
                <w:ilvl w:val="0"/>
                <w:numId w:val="40"/>
              </w:numPr>
              <w:autoSpaceDE/>
              <w:autoSpaceDN/>
              <w:spacing w:before="60"/>
              <w:ind w:left="356" w:hanging="284"/>
              <w:jc w:val="both"/>
              <w:rPr>
                <w:sz w:val="20"/>
                <w:szCs w:val="20"/>
              </w:rPr>
            </w:pPr>
            <w:r w:rsidRPr="007F69DA">
              <w:rPr>
                <w:sz w:val="20"/>
                <w:szCs w:val="20"/>
              </w:rPr>
              <w:t>sehen ihre häufig vagen Entscheidungen zumeist nicht als verbindlich an.</w:t>
            </w:r>
          </w:p>
          <w:p w14:paraId="0348E211" w14:textId="77777777" w:rsidR="00835A0E" w:rsidRPr="007F69DA" w:rsidRDefault="00835A0E">
            <w:pPr>
              <w:widowControl/>
              <w:numPr>
                <w:ilvl w:val="0"/>
                <w:numId w:val="40"/>
              </w:numPr>
              <w:autoSpaceDE/>
              <w:autoSpaceDN/>
              <w:spacing w:before="60"/>
              <w:ind w:left="356" w:hanging="284"/>
              <w:jc w:val="both"/>
              <w:rPr>
                <w:sz w:val="20"/>
                <w:szCs w:val="20"/>
              </w:rPr>
            </w:pPr>
            <w:r w:rsidRPr="007F69DA">
              <w:rPr>
                <w:sz w:val="20"/>
                <w:szCs w:val="20"/>
              </w:rPr>
              <w:t>verdrängen Konflikte.</w:t>
            </w:r>
          </w:p>
          <w:p w14:paraId="1E156498" w14:textId="77777777" w:rsidR="00835A0E" w:rsidRPr="007F69DA" w:rsidRDefault="00835A0E">
            <w:pPr>
              <w:widowControl/>
              <w:numPr>
                <w:ilvl w:val="0"/>
                <w:numId w:val="40"/>
              </w:numPr>
              <w:tabs>
                <w:tab w:val="left" w:pos="113"/>
              </w:tabs>
              <w:autoSpaceDE/>
              <w:autoSpaceDN/>
              <w:spacing w:before="60"/>
              <w:ind w:left="356" w:hanging="284"/>
              <w:jc w:val="both"/>
              <w:rPr>
                <w:sz w:val="20"/>
                <w:szCs w:val="20"/>
              </w:rPr>
            </w:pPr>
            <w:r w:rsidRPr="007F69DA">
              <w:rPr>
                <w:sz w:val="20"/>
                <w:szCs w:val="20"/>
              </w:rPr>
              <w:t>sind häufig wenig kompromissbereit.</w:t>
            </w:r>
          </w:p>
        </w:tc>
        <w:tc>
          <w:tcPr>
            <w:tcW w:w="4394" w:type="dxa"/>
            <w:tcBorders>
              <w:bottom w:val="nil"/>
            </w:tcBorders>
            <w:shd w:val="clear" w:color="auto" w:fill="FFF2CC" w:themeFill="accent4" w:themeFillTint="33"/>
          </w:tcPr>
          <w:p w14:paraId="35C0DA76" w14:textId="77777777" w:rsidR="00835A0E" w:rsidRPr="007F69DA" w:rsidRDefault="00835A0E" w:rsidP="00F46ACB">
            <w:pPr>
              <w:tabs>
                <w:tab w:val="left" w:pos="113"/>
              </w:tabs>
              <w:spacing w:before="60"/>
              <w:ind w:left="72"/>
              <w:jc w:val="both"/>
              <w:rPr>
                <w:sz w:val="20"/>
                <w:szCs w:val="20"/>
              </w:rPr>
            </w:pPr>
            <w:r w:rsidRPr="007F69DA">
              <w:rPr>
                <w:sz w:val="20"/>
                <w:szCs w:val="20"/>
              </w:rPr>
              <w:lastRenderedPageBreak/>
              <w:t>Deutsche Führungskräfte …</w:t>
            </w:r>
          </w:p>
          <w:p w14:paraId="4289B709" w14:textId="77777777" w:rsidR="00835A0E" w:rsidRPr="007F69DA" w:rsidRDefault="00835A0E">
            <w:pPr>
              <w:widowControl/>
              <w:numPr>
                <w:ilvl w:val="0"/>
                <w:numId w:val="40"/>
              </w:numPr>
              <w:tabs>
                <w:tab w:val="left" w:pos="113"/>
              </w:tabs>
              <w:autoSpaceDE/>
              <w:autoSpaceDN/>
              <w:spacing w:before="60"/>
              <w:ind w:left="356" w:hanging="284"/>
              <w:jc w:val="both"/>
              <w:rPr>
                <w:sz w:val="20"/>
                <w:szCs w:val="20"/>
              </w:rPr>
            </w:pPr>
            <w:r w:rsidRPr="007F69DA">
              <w:rPr>
                <w:sz w:val="20"/>
                <w:szCs w:val="20"/>
              </w:rPr>
              <w:t>sind mit den vergleichsweise schwierigen Lebensbedingungen übermäßig unzufrieden und erschweren damit die Zusammenarbeit.</w:t>
            </w:r>
          </w:p>
          <w:p w14:paraId="383FA9C3" w14:textId="77777777" w:rsidR="00835A0E" w:rsidRPr="007F69DA" w:rsidRDefault="00835A0E">
            <w:pPr>
              <w:widowControl/>
              <w:numPr>
                <w:ilvl w:val="0"/>
                <w:numId w:val="40"/>
              </w:numPr>
              <w:tabs>
                <w:tab w:val="left" w:pos="113"/>
              </w:tabs>
              <w:autoSpaceDE/>
              <w:autoSpaceDN/>
              <w:spacing w:before="60"/>
              <w:ind w:left="356" w:hanging="284"/>
              <w:jc w:val="both"/>
              <w:rPr>
                <w:sz w:val="20"/>
                <w:szCs w:val="20"/>
              </w:rPr>
            </w:pPr>
            <w:r w:rsidRPr="007F69DA">
              <w:rPr>
                <w:sz w:val="20"/>
                <w:szCs w:val="20"/>
              </w:rPr>
              <w:t xml:space="preserve">sind häufig wenig bereit, sich den Bedingungen des Gastlandes anzupassen (z.B. die Landessprache zu erlernen). </w:t>
            </w:r>
          </w:p>
          <w:p w14:paraId="7D608157" w14:textId="77777777" w:rsidR="00835A0E" w:rsidRPr="007F69DA" w:rsidRDefault="00835A0E">
            <w:pPr>
              <w:widowControl/>
              <w:numPr>
                <w:ilvl w:val="0"/>
                <w:numId w:val="40"/>
              </w:numPr>
              <w:tabs>
                <w:tab w:val="left" w:pos="113"/>
              </w:tabs>
              <w:autoSpaceDE/>
              <w:autoSpaceDN/>
              <w:spacing w:before="60"/>
              <w:ind w:left="356" w:hanging="284"/>
              <w:jc w:val="both"/>
              <w:rPr>
                <w:sz w:val="20"/>
                <w:szCs w:val="20"/>
              </w:rPr>
            </w:pPr>
            <w:r w:rsidRPr="007F69DA">
              <w:rPr>
                <w:sz w:val="20"/>
                <w:szCs w:val="20"/>
              </w:rPr>
              <w:t>nehmen die spezifischen Bedingungen des Gastlandes häufig nur sehr oberflächlich wahr und berücksichtigen sie bei ihren Entscheidungen nicht hinreichend.</w:t>
            </w:r>
          </w:p>
          <w:p w14:paraId="7A4EEF32" w14:textId="77777777" w:rsidR="00835A0E" w:rsidRPr="007F69DA" w:rsidRDefault="00835A0E">
            <w:pPr>
              <w:widowControl/>
              <w:numPr>
                <w:ilvl w:val="0"/>
                <w:numId w:val="40"/>
              </w:numPr>
              <w:tabs>
                <w:tab w:val="left" w:pos="113"/>
              </w:tabs>
              <w:autoSpaceDE/>
              <w:autoSpaceDN/>
              <w:spacing w:before="60"/>
              <w:ind w:left="356" w:hanging="284"/>
              <w:jc w:val="both"/>
              <w:rPr>
                <w:sz w:val="20"/>
                <w:szCs w:val="20"/>
              </w:rPr>
            </w:pPr>
            <w:r w:rsidRPr="007F69DA">
              <w:rPr>
                <w:sz w:val="20"/>
                <w:szCs w:val="20"/>
              </w:rPr>
              <w:t>behandeln uns häufig nicht als gleichberechtigte Partner, sondern nur als geduldete „Zuarbeiter“.</w:t>
            </w:r>
          </w:p>
          <w:p w14:paraId="413B5676" w14:textId="77777777" w:rsidR="00835A0E" w:rsidRPr="007F69DA" w:rsidRDefault="00835A0E">
            <w:pPr>
              <w:widowControl/>
              <w:numPr>
                <w:ilvl w:val="0"/>
                <w:numId w:val="40"/>
              </w:numPr>
              <w:tabs>
                <w:tab w:val="left" w:pos="113"/>
              </w:tabs>
              <w:autoSpaceDE/>
              <w:autoSpaceDN/>
              <w:spacing w:before="60"/>
              <w:ind w:left="356" w:hanging="284"/>
              <w:jc w:val="both"/>
              <w:rPr>
                <w:sz w:val="20"/>
                <w:szCs w:val="20"/>
              </w:rPr>
            </w:pPr>
            <w:r w:rsidRPr="007F69DA">
              <w:rPr>
                <w:sz w:val="20"/>
                <w:szCs w:val="20"/>
              </w:rPr>
              <w:t>unterschätzen häufig die Qualifikationen und Problemlösungsfähigkeiten der inländischen Führungskräfte.</w:t>
            </w:r>
          </w:p>
          <w:p w14:paraId="1C70CC1B" w14:textId="77777777" w:rsidR="00835A0E" w:rsidRPr="007F69DA" w:rsidRDefault="00835A0E">
            <w:pPr>
              <w:widowControl/>
              <w:numPr>
                <w:ilvl w:val="0"/>
                <w:numId w:val="40"/>
              </w:numPr>
              <w:tabs>
                <w:tab w:val="left" w:pos="113"/>
              </w:tabs>
              <w:autoSpaceDE/>
              <w:autoSpaceDN/>
              <w:spacing w:before="60"/>
              <w:ind w:left="356" w:hanging="284"/>
              <w:jc w:val="both"/>
              <w:rPr>
                <w:sz w:val="20"/>
                <w:szCs w:val="20"/>
              </w:rPr>
            </w:pPr>
            <w:r w:rsidRPr="007F69DA">
              <w:rPr>
                <w:sz w:val="20"/>
                <w:szCs w:val="20"/>
              </w:rPr>
              <w:lastRenderedPageBreak/>
              <w:t>haben häufig eine materialistische und stark profitorientierte Einstellung und vernachlässigen soziale Ziele.</w:t>
            </w:r>
          </w:p>
          <w:p w14:paraId="2E52D61E" w14:textId="77777777" w:rsidR="00835A0E" w:rsidRPr="007F69DA" w:rsidRDefault="00835A0E">
            <w:pPr>
              <w:widowControl/>
              <w:numPr>
                <w:ilvl w:val="0"/>
                <w:numId w:val="40"/>
              </w:numPr>
              <w:tabs>
                <w:tab w:val="left" w:pos="113"/>
              </w:tabs>
              <w:autoSpaceDE/>
              <w:autoSpaceDN/>
              <w:spacing w:before="60"/>
              <w:ind w:left="356" w:hanging="284"/>
              <w:jc w:val="both"/>
              <w:rPr>
                <w:sz w:val="20"/>
                <w:szCs w:val="20"/>
              </w:rPr>
            </w:pPr>
            <w:r w:rsidRPr="007F69DA">
              <w:rPr>
                <w:sz w:val="20"/>
                <w:szCs w:val="20"/>
              </w:rPr>
              <w:t>sehen westliche Management-Techniken zumeist als grundsätzlich überlegen an und präferieren eine sehr rationale Vorgehensweise, die jedoch den dynamischen und tiefgreifenden Veränderungen des Gastlandes nicht gerecht wird.</w:t>
            </w:r>
          </w:p>
        </w:tc>
      </w:tr>
      <w:tr w:rsidR="00835A0E" w:rsidRPr="007F69DA" w14:paraId="6479A7D5" w14:textId="77777777" w:rsidTr="00F46ACB">
        <w:tc>
          <w:tcPr>
            <w:tcW w:w="4570" w:type="dxa"/>
            <w:tcBorders>
              <w:top w:val="nil"/>
            </w:tcBorders>
            <w:shd w:val="clear" w:color="auto" w:fill="FFF2CC" w:themeFill="accent4" w:themeFillTint="33"/>
          </w:tcPr>
          <w:p w14:paraId="304413BC" w14:textId="77777777" w:rsidR="00835A0E" w:rsidRPr="007F69DA" w:rsidRDefault="00835A0E" w:rsidP="00F46ACB">
            <w:pPr>
              <w:spacing w:before="60"/>
              <w:ind w:left="356"/>
              <w:jc w:val="both"/>
              <w:rPr>
                <w:sz w:val="20"/>
                <w:szCs w:val="20"/>
              </w:rPr>
            </w:pPr>
          </w:p>
        </w:tc>
        <w:tc>
          <w:tcPr>
            <w:tcW w:w="4394" w:type="dxa"/>
            <w:tcBorders>
              <w:top w:val="nil"/>
            </w:tcBorders>
            <w:shd w:val="clear" w:color="auto" w:fill="FFF2CC" w:themeFill="accent4" w:themeFillTint="33"/>
          </w:tcPr>
          <w:p w14:paraId="3EB5EE09" w14:textId="77777777" w:rsidR="00835A0E" w:rsidRPr="007F69DA" w:rsidRDefault="00835A0E" w:rsidP="00F46ACB">
            <w:pPr>
              <w:tabs>
                <w:tab w:val="left" w:pos="113"/>
              </w:tabs>
              <w:spacing w:before="60"/>
              <w:ind w:left="72"/>
              <w:jc w:val="both"/>
              <w:rPr>
                <w:sz w:val="20"/>
                <w:szCs w:val="20"/>
              </w:rPr>
            </w:pPr>
          </w:p>
        </w:tc>
      </w:tr>
    </w:tbl>
    <w:p w14:paraId="2A288B0B" w14:textId="77777777" w:rsidR="00835A0E" w:rsidRPr="007F69DA" w:rsidRDefault="00835A0E" w:rsidP="00835A0E">
      <w:pPr>
        <w:pStyle w:val="Quelle"/>
      </w:pPr>
      <w:r w:rsidRPr="007F69DA">
        <w:t>Quelle:</w:t>
      </w:r>
      <w:r w:rsidRPr="007F69DA">
        <w:tab/>
        <w:t>eigene Darstellung auf der Basis von Holtbrügge (1995, S.132).</w:t>
      </w:r>
    </w:p>
    <w:p w14:paraId="706AF7B7" w14:textId="77777777" w:rsidR="00835A0E" w:rsidRPr="007F69DA" w:rsidRDefault="00835A0E" w:rsidP="00835A0E">
      <w:pPr>
        <w:pStyle w:val="Erlaeuterung"/>
        <w:rPr>
          <w:bCs w:val="0"/>
          <w:sz w:val="24"/>
          <w:szCs w:val="24"/>
          <w:lang w:eastAsia="en-US" w:bidi="en-US"/>
        </w:rPr>
      </w:pPr>
    </w:p>
    <w:p w14:paraId="52AE15B3" w14:textId="77777777" w:rsidR="00835A0E" w:rsidRPr="007F69DA" w:rsidRDefault="00835A0E" w:rsidP="00835A0E">
      <w:pPr>
        <w:pStyle w:val="Erlaeuterung"/>
        <w:rPr>
          <w:bCs w:val="0"/>
          <w:sz w:val="24"/>
          <w:szCs w:val="24"/>
          <w:lang w:eastAsia="en-US" w:bidi="en-US"/>
        </w:rPr>
      </w:pPr>
      <w:r w:rsidRPr="007F69DA">
        <w:rPr>
          <w:bCs w:val="0"/>
          <w:sz w:val="24"/>
          <w:szCs w:val="24"/>
          <w:lang w:eastAsia="en-US" w:bidi="en-US"/>
        </w:rPr>
        <w:t>Wechselseitiges Vertrauen ist entscheiden für den Erfolg von Gemeinschaftsunternehmen spielt. Dies beweist u.a. der Fall Covisint, eine im Jahr 2000 von DaimlerChrysler, Ford und General Motors gegründete elektronische Einkaufsplattform (vgl. Kisiel 2002). Neben der Unvereinbarkeit der deutschen und der amerikanischen Vision vom Automobil (hochpreisiges Luxusgut vs. preiswertes Convenience-Gut) sowie inkompatibler technischer Standards der Betreiber der Plattform sorgte wechselseitiges Misstrauen dafür, dass Covisint Ende 2003 mit einem Verlust von 400 Mio. $ an Free Markets verkauft wurde. Offensichtlich wogen die in der Beschaffung erzielbaren Kostenvorteile die Furcht der Verantwortlichen vor Know how-Abfluss nicht auf. Denn DaimlerChrysler, Ford und General Motors sind auf dem Weltmarkt vor allem Konkurrenten. Die Zulieferer wiederum fürchteten, die gemeinsame Plattform werde für Preistransparenz sorgen und letztlich den Kostendruck erhöhen.</w:t>
      </w:r>
    </w:p>
    <w:p w14:paraId="7B83555B" w14:textId="77777777" w:rsidR="00835A0E" w:rsidRPr="007F69DA" w:rsidRDefault="00835A0E" w:rsidP="00835A0E">
      <w:pPr>
        <w:pStyle w:val="Erlaeuterung"/>
        <w:rPr>
          <w:bCs w:val="0"/>
          <w:sz w:val="24"/>
          <w:szCs w:val="24"/>
          <w:lang w:eastAsia="en-US" w:bidi="en-US"/>
        </w:rPr>
      </w:pPr>
    </w:p>
    <w:p w14:paraId="786E8262" w14:textId="77777777" w:rsidR="00835A0E" w:rsidRPr="007F69DA" w:rsidRDefault="00835A0E" w:rsidP="00835A0E">
      <w:pPr>
        <w:pStyle w:val="Erlaeuterung"/>
        <w:rPr>
          <w:bCs w:val="0"/>
          <w:sz w:val="24"/>
          <w:szCs w:val="24"/>
          <w:lang w:eastAsia="en-US" w:bidi="en-US"/>
        </w:rPr>
      </w:pPr>
      <w:r w:rsidRPr="007F69DA">
        <w:rPr>
          <w:bCs w:val="0"/>
          <w:sz w:val="24"/>
          <w:szCs w:val="24"/>
          <w:lang w:eastAsia="en-US" w:bidi="en-US"/>
        </w:rPr>
        <w:t>Über die Probleme, unter denen gerade auch deutsch-französische Gemeinschaftsunternehmen immer wieder leiden, wurde vielfach berichtet. Breuer/de Bartha (2012) haben ihre langjährigen Erfahrungen in den „Zehn Todsünden deutsch-französischer Joint Ventures“ zusammengefasst. Häufig unterschätzt wird in diesem Zusammenhang die Rolle, welche asymmetrische emotionale Beziehungen dabei spielen: Gemäß einer Umfrage des in Paris beheimateten Ifop-Instituts empfinden 65% der Deutschen Sympathie für ihre linksrheinischen Nachbarn, während nur 26% der Franzosen entsprechend fühlen (vgl. Wernicke 2014).</w:t>
      </w:r>
    </w:p>
    <w:p w14:paraId="428CF365" w14:textId="77777777" w:rsidR="00835A0E" w:rsidRPr="007F69DA" w:rsidRDefault="00835A0E" w:rsidP="00835A0E">
      <w:pPr>
        <w:pStyle w:val="Erlaeuterung"/>
        <w:rPr>
          <w:bCs w:val="0"/>
          <w:sz w:val="24"/>
          <w:szCs w:val="24"/>
          <w:lang w:eastAsia="en-US" w:bidi="en-US"/>
        </w:rPr>
      </w:pPr>
    </w:p>
    <w:p w14:paraId="34624508" w14:textId="77777777" w:rsidR="00835A0E" w:rsidRPr="007F69DA" w:rsidRDefault="00835A0E" w:rsidP="00835A0E">
      <w:pPr>
        <w:shd w:val="clear" w:color="auto" w:fill="DEEAF6" w:themeFill="accent1" w:themeFillTint="33"/>
        <w:jc w:val="center"/>
        <w:rPr>
          <w:sz w:val="20"/>
          <w:szCs w:val="20"/>
        </w:rPr>
      </w:pPr>
      <w:r w:rsidRPr="007F69DA">
        <w:rPr>
          <w:sz w:val="20"/>
          <w:szCs w:val="20"/>
        </w:rPr>
        <w:t>„Zehn Todsünden bei deutsch-französischen Joint Ventures</w:t>
      </w:r>
    </w:p>
    <w:p w14:paraId="38FF077E" w14:textId="77777777" w:rsidR="00835A0E" w:rsidRPr="007F69DA" w:rsidRDefault="00835A0E" w:rsidP="00835A0E">
      <w:pPr>
        <w:shd w:val="clear" w:color="auto" w:fill="DEEAF6" w:themeFill="accent1" w:themeFillTint="33"/>
        <w:rPr>
          <w:sz w:val="20"/>
          <w:szCs w:val="20"/>
        </w:rPr>
      </w:pPr>
      <w:r w:rsidRPr="007F69DA">
        <w:rPr>
          <w:sz w:val="20"/>
          <w:szCs w:val="20"/>
        </w:rPr>
        <w:t>1. Unterschiedliche Ziele stillschweigend übergehen: Den Deutschen geht es um Geld, den Franzosen um die Macht.</w:t>
      </w:r>
    </w:p>
    <w:p w14:paraId="2ACF4078" w14:textId="77777777" w:rsidR="00835A0E" w:rsidRPr="007F69DA" w:rsidRDefault="00835A0E" w:rsidP="00835A0E">
      <w:pPr>
        <w:shd w:val="clear" w:color="auto" w:fill="DEEAF6" w:themeFill="accent1" w:themeFillTint="33"/>
        <w:rPr>
          <w:sz w:val="20"/>
          <w:szCs w:val="20"/>
        </w:rPr>
      </w:pPr>
      <w:r w:rsidRPr="007F69DA">
        <w:rPr>
          <w:sz w:val="20"/>
          <w:szCs w:val="20"/>
        </w:rPr>
        <w:t>2. Argumentieren wie in der eigenen Managementkultur: Deutsche wollen überzeugen, Franzosen verführt werden.</w:t>
      </w:r>
    </w:p>
    <w:p w14:paraId="6BE9114F" w14:textId="77777777" w:rsidR="00835A0E" w:rsidRPr="007F69DA" w:rsidRDefault="00835A0E" w:rsidP="00835A0E">
      <w:pPr>
        <w:shd w:val="clear" w:color="auto" w:fill="DEEAF6" w:themeFill="accent1" w:themeFillTint="33"/>
        <w:rPr>
          <w:sz w:val="20"/>
          <w:szCs w:val="20"/>
        </w:rPr>
      </w:pPr>
      <w:r w:rsidRPr="007F69DA">
        <w:rPr>
          <w:sz w:val="20"/>
          <w:szCs w:val="20"/>
        </w:rPr>
        <w:t>3. Sich auf den Wortlaut von Verträgen verlassen: Die Deutschen halten sich ans Komma, die Franzosen an den Geist der Abmachungen.</w:t>
      </w:r>
    </w:p>
    <w:p w14:paraId="6749FC1B" w14:textId="77777777" w:rsidR="00835A0E" w:rsidRPr="007F69DA" w:rsidRDefault="00835A0E" w:rsidP="00835A0E">
      <w:pPr>
        <w:shd w:val="clear" w:color="auto" w:fill="DEEAF6" w:themeFill="accent1" w:themeFillTint="33"/>
        <w:rPr>
          <w:sz w:val="20"/>
          <w:szCs w:val="20"/>
        </w:rPr>
      </w:pPr>
      <w:r w:rsidRPr="007F69DA">
        <w:rPr>
          <w:sz w:val="20"/>
          <w:szCs w:val="20"/>
        </w:rPr>
        <w:t>4. Zu viele faule Kompromisse schließen: Deutsche akzeptieren Kompromisse aus Vernunftgründen. Franzosen werden durch Kompromisse demotiviert und brechen bei erster Gelegenheit aus.</w:t>
      </w:r>
    </w:p>
    <w:p w14:paraId="1C59941E" w14:textId="77777777" w:rsidR="00835A0E" w:rsidRPr="007F69DA" w:rsidRDefault="00835A0E" w:rsidP="00835A0E">
      <w:pPr>
        <w:shd w:val="clear" w:color="auto" w:fill="DEEAF6" w:themeFill="accent1" w:themeFillTint="33"/>
        <w:rPr>
          <w:sz w:val="20"/>
          <w:szCs w:val="20"/>
        </w:rPr>
      </w:pPr>
      <w:r w:rsidRPr="007F69DA">
        <w:rPr>
          <w:sz w:val="20"/>
          <w:szCs w:val="20"/>
        </w:rPr>
        <w:t>5. An die Verbindlichkeit von Organigrammen glauben: In Deutschland bestimmt die Funktion die Person, in Frankreich die Person die Funktion.</w:t>
      </w:r>
    </w:p>
    <w:p w14:paraId="3394037D" w14:textId="77777777" w:rsidR="00835A0E" w:rsidRPr="007F69DA" w:rsidRDefault="00835A0E" w:rsidP="00835A0E">
      <w:pPr>
        <w:shd w:val="clear" w:color="auto" w:fill="DEEAF6" w:themeFill="accent1" w:themeFillTint="33"/>
        <w:rPr>
          <w:sz w:val="20"/>
          <w:szCs w:val="20"/>
        </w:rPr>
      </w:pPr>
      <w:r w:rsidRPr="007F69DA">
        <w:rPr>
          <w:sz w:val="20"/>
          <w:szCs w:val="20"/>
        </w:rPr>
        <w:t>6. Arbeitsgruppen unvorbereitet ins kalte Wasser werfen: Die Deutschen werden durch französische Improvisation verunsichert, die Franzosen fühlen sich durch deutsche Systematik und Planung eingeengt.</w:t>
      </w:r>
    </w:p>
    <w:p w14:paraId="50569BEA" w14:textId="77777777" w:rsidR="00835A0E" w:rsidRPr="007F69DA" w:rsidRDefault="00835A0E" w:rsidP="00835A0E">
      <w:pPr>
        <w:shd w:val="clear" w:color="auto" w:fill="DEEAF6" w:themeFill="accent1" w:themeFillTint="33"/>
        <w:rPr>
          <w:sz w:val="20"/>
          <w:szCs w:val="20"/>
        </w:rPr>
      </w:pPr>
      <w:r w:rsidRPr="007F69DA">
        <w:rPr>
          <w:sz w:val="20"/>
          <w:szCs w:val="20"/>
        </w:rPr>
        <w:t>7. Spezialisten mit Generalisten zusammensetzen: Sachkompetente Deutsche empfinden Franzosen als substanzlos, brillante französische Generalisten halten deutsche Spezialisten für kleinkarierte Fachidioten.</w:t>
      </w:r>
    </w:p>
    <w:p w14:paraId="25A8411E" w14:textId="77777777" w:rsidR="00835A0E" w:rsidRPr="007F69DA" w:rsidRDefault="00835A0E" w:rsidP="00835A0E">
      <w:pPr>
        <w:shd w:val="clear" w:color="auto" w:fill="DEEAF6" w:themeFill="accent1" w:themeFillTint="33"/>
        <w:rPr>
          <w:sz w:val="20"/>
          <w:szCs w:val="20"/>
        </w:rPr>
      </w:pPr>
      <w:r w:rsidRPr="007F69DA">
        <w:rPr>
          <w:sz w:val="20"/>
          <w:szCs w:val="20"/>
        </w:rPr>
        <w:t>8. Machtverhältnisse absichtlich offen lassen: Der Deutsche hat Angst, vom Franzosen übervorteilt zu werden, der Franzose fürchtet, vom Deutschen überrollt zu werden.</w:t>
      </w:r>
    </w:p>
    <w:p w14:paraId="42D6DEF6" w14:textId="77777777" w:rsidR="00835A0E" w:rsidRPr="007F69DA" w:rsidRDefault="00835A0E" w:rsidP="00835A0E">
      <w:pPr>
        <w:shd w:val="clear" w:color="auto" w:fill="DEEAF6" w:themeFill="accent1" w:themeFillTint="33"/>
        <w:rPr>
          <w:sz w:val="20"/>
          <w:szCs w:val="20"/>
        </w:rPr>
      </w:pPr>
      <w:r w:rsidRPr="007F69DA">
        <w:rPr>
          <w:sz w:val="20"/>
          <w:szCs w:val="20"/>
        </w:rPr>
        <w:t>9. Einen Deutschen und einen Franzosen zu Chefs machen: Beide arbeiten gegeneinander. Der deutsche Fachmann, der sein Konzept durchzieht, und der französische Stratege, der Schach spielt.</w:t>
      </w:r>
    </w:p>
    <w:p w14:paraId="48344CA6" w14:textId="77777777" w:rsidR="00835A0E" w:rsidRPr="007F69DA" w:rsidRDefault="00835A0E" w:rsidP="00835A0E">
      <w:pPr>
        <w:shd w:val="clear" w:color="auto" w:fill="DEEAF6" w:themeFill="accent1" w:themeFillTint="33"/>
        <w:rPr>
          <w:sz w:val="20"/>
          <w:szCs w:val="20"/>
        </w:rPr>
      </w:pPr>
      <w:r w:rsidRPr="007F69DA">
        <w:rPr>
          <w:sz w:val="20"/>
          <w:szCs w:val="20"/>
        </w:rPr>
        <w:t>10. Sich blind auf Sprachkenntnisse verlassen: Wenn die emotionale Basis nicht stimmt, helfen auch die besten Sprachkenntnisse nichts“ (Breuer/de Bartha 2012, S.405f.).</w:t>
      </w:r>
    </w:p>
    <w:p w14:paraId="196D4882" w14:textId="77777777" w:rsidR="00835A0E" w:rsidRPr="007F69DA" w:rsidRDefault="00835A0E" w:rsidP="00835A0E">
      <w:pPr>
        <w:pStyle w:val="Erlaeuterung"/>
        <w:rPr>
          <w:bCs w:val="0"/>
          <w:sz w:val="24"/>
          <w:szCs w:val="24"/>
          <w:lang w:eastAsia="en-US" w:bidi="en-US"/>
        </w:rPr>
      </w:pPr>
    </w:p>
    <w:p w14:paraId="108372A7" w14:textId="77777777" w:rsidR="00835A0E" w:rsidRPr="007F69DA" w:rsidRDefault="00835A0E" w:rsidP="006D28E0">
      <w:pPr>
        <w:pStyle w:val="Literatur"/>
        <w:numPr>
          <w:ilvl w:val="0"/>
          <w:numId w:val="0"/>
        </w:numPr>
        <w:spacing w:line="240" w:lineRule="auto"/>
        <w:rPr>
          <w:sz w:val="22"/>
        </w:rPr>
      </w:pPr>
      <w:r w:rsidRPr="006D28E0">
        <w:rPr>
          <w:b/>
          <w:bCs w:val="0"/>
          <w:i/>
          <w:sz w:val="22"/>
          <w:lang w:val="en-US"/>
        </w:rPr>
        <w:lastRenderedPageBreak/>
        <w:t>Literatur</w:t>
      </w:r>
      <w:r w:rsidRPr="00544326">
        <w:rPr>
          <w:i/>
          <w:sz w:val="22"/>
          <w:lang w:val="en-US"/>
        </w:rPr>
        <w:t>:</w:t>
      </w:r>
      <w:r w:rsidRPr="007F69DA">
        <w:rPr>
          <w:sz w:val="22"/>
          <w:lang w:val="en-US"/>
        </w:rPr>
        <w:t xml:space="preserve"> Bamford, J.; Ernst, D.; Fubini, D. G. (2004): Launching a world-class joint venture, Harvard Business Review, 82(2), 90-100.   </w:t>
      </w:r>
      <w:r w:rsidRPr="007F69DA">
        <w:rPr>
          <w:sz w:val="22"/>
          <w:szCs w:val="22"/>
        </w:rPr>
        <w:t xml:space="preserve">Breuer, J.P.; de Bartha, P. (2012): Deutsch-französische Geschäftsbeziehungen erfolgreich managen, 4. Aufl., Wiesbaden: Gabler Springer.   </w:t>
      </w:r>
      <w:r w:rsidRPr="007F69DA">
        <w:rPr>
          <w:sz w:val="22"/>
        </w:rPr>
        <w:t xml:space="preserve">Holtbrügge, D. (1995): Personalmanagement Multinationaler Unternehmungen in Osteuropa, Diss., Wiesbaden: Gabler.   </w:t>
      </w:r>
      <w:r w:rsidRPr="007F69DA">
        <w:rPr>
          <w:sz w:val="22"/>
          <w:lang w:val="en-US"/>
        </w:rPr>
        <w:t xml:space="preserve">Killing, P. (2013): Strategies for Joint Venture Success, London/New York: Routledge.  Kisiel, R. (2002): Covisint gets one last chance, Automotive News Europe, July 8, p. 3.   Kogut, B. (1988): Joint Ventures. Theoretical and Empirical Perspectives, Strategic Management Journal, 9(4): 169-185  . Kutschker, M.; Schmid, S. (2011): Internationales Management, 7. Aufl., München: Oldenbourg.   Le Nguyen, H.; Larimo, J. (2011): Determinants of Conflict Management Strategies in International Joint Ventures: An Integrative Theoretical Framework, Journal of Transnational Management, 16(2): 116-132.   </w:t>
      </w:r>
      <w:r w:rsidRPr="007F69DA">
        <w:rPr>
          <w:sz w:val="22"/>
        </w:rPr>
        <w:t xml:space="preserve">Raffée, H.; Eisele, J. (1994): Joint Ventures. Nur die Hälfte floriert, Harvard Business Manager, 16(3): 17-22.   Wernicke, C. (2014): Heller denn je. Die Franzosen schätzen den Nachbarn sehr, lieben ihn aber nicht, Süddeutsche Zeitung, 70(300): 2.   </w:t>
      </w:r>
      <w:r w:rsidRPr="007F69DA">
        <w:rPr>
          <w:sz w:val="22"/>
          <w:lang w:val="en-US"/>
        </w:rPr>
        <w:t xml:space="preserve">Yan, A., &amp; Luo, Y. (2016). International Joint Ventures: Theory and Practice, London/New York: Routledge.  </w:t>
      </w:r>
      <w:r w:rsidRPr="007F69DA">
        <w:rPr>
          <w:sz w:val="22"/>
        </w:rPr>
        <w:t>Zentes, J.; Swoboda, B.; Schramm-Klein, H. (2013): Internationales Marketing, 3. Aufl., München: Vahlen.</w:t>
      </w:r>
    </w:p>
    <w:p w14:paraId="1DD238D4" w14:textId="77777777" w:rsidR="00835A0E" w:rsidRPr="007F69DA" w:rsidRDefault="00835A0E" w:rsidP="00835A0E">
      <w:pPr>
        <w:rPr>
          <w:szCs w:val="20"/>
          <w:lang w:eastAsia="de-DE"/>
        </w:rPr>
      </w:pPr>
    </w:p>
    <w:p w14:paraId="5D0B82FD" w14:textId="77777777" w:rsidR="00FF7799" w:rsidRPr="006D28E0" w:rsidRDefault="00FF7799" w:rsidP="009E4161">
      <w:pPr>
        <w:pStyle w:val="berschrift1"/>
        <w:rPr>
          <w:bCs w:val="0"/>
          <w:color w:val="2E74B5"/>
          <w:sz w:val="22"/>
        </w:rPr>
      </w:pPr>
      <w:r w:rsidRPr="006D28E0">
        <w:rPr>
          <w:bCs w:val="0"/>
          <w:color w:val="2E74B5"/>
          <w:sz w:val="22"/>
        </w:rPr>
        <w:t>Judentum</w:t>
      </w:r>
    </w:p>
    <w:p w14:paraId="1DAD088B" w14:textId="77777777" w:rsidR="00FF7799" w:rsidRPr="00926A05" w:rsidRDefault="00FF7799" w:rsidP="00036DC6">
      <w:pPr>
        <w:pStyle w:val="StandardTextkursiv"/>
        <w:rPr>
          <w:i w:val="0"/>
        </w:rPr>
      </w:pPr>
      <w:r w:rsidRPr="00926A05">
        <w:rPr>
          <w:i w:val="0"/>
        </w:rPr>
        <w:t>1 Geschichte</w:t>
      </w:r>
    </w:p>
    <w:p w14:paraId="122D6DCD" w14:textId="77777777" w:rsidR="00FF7799" w:rsidRPr="00E73F6F" w:rsidRDefault="00FF7799" w:rsidP="00C57646">
      <w:pPr>
        <w:pStyle w:val="StandardText"/>
      </w:pPr>
      <w:r w:rsidRPr="00E73F6F">
        <w:t xml:space="preserve">Gestiftet </w:t>
      </w:r>
      <w:r w:rsidRPr="00926A05">
        <w:t>durch Moses aus dem</w:t>
      </w:r>
      <w:r w:rsidRPr="00E73F6F">
        <w:t xml:space="preserve"> Stamm Juda nach seinem Offenbarungserlebnis (am Berg Horeb auf</w:t>
      </w:r>
      <w:r w:rsidRPr="00E73F6F">
        <w:rPr>
          <w:spacing w:val="-1"/>
        </w:rPr>
        <w:t xml:space="preserve"> </w:t>
      </w:r>
      <w:r w:rsidRPr="00E73F6F">
        <w:t>der Halbinsel Sinai), entstand das Judentum ca. 1250</w:t>
      </w:r>
      <w:r w:rsidRPr="00E73F6F">
        <w:rPr>
          <w:spacing w:val="-2"/>
        </w:rPr>
        <w:t xml:space="preserve"> </w:t>
      </w:r>
      <w:r w:rsidRPr="00E73F6F">
        <w:t>v. Chr. in Kanaan. Nach der endgültigen Zerstörung Jerusalems und des Tempels (70 n. Chr.) lebten die Juden fast zwei Jahrtausende lang in der Diaspora, wobei die meisten</w:t>
      </w:r>
      <w:r w:rsidRPr="00E73F6F">
        <w:rPr>
          <w:spacing w:val="-1"/>
        </w:rPr>
        <w:t xml:space="preserve"> </w:t>
      </w:r>
      <w:r w:rsidRPr="00E73F6F">
        <w:t>von</w:t>
      </w:r>
      <w:r w:rsidRPr="00E73F6F">
        <w:rPr>
          <w:spacing w:val="-2"/>
        </w:rPr>
        <w:t xml:space="preserve"> </w:t>
      </w:r>
      <w:r w:rsidRPr="00E73F6F">
        <w:t>ihnen</w:t>
      </w:r>
      <w:r w:rsidRPr="00E73F6F">
        <w:rPr>
          <w:spacing w:val="-2"/>
        </w:rPr>
        <w:t xml:space="preserve"> </w:t>
      </w:r>
      <w:r w:rsidRPr="00E73F6F">
        <w:t>anfänglich</w:t>
      </w:r>
      <w:r w:rsidRPr="00E73F6F">
        <w:rPr>
          <w:spacing w:val="-2"/>
        </w:rPr>
        <w:t xml:space="preserve"> </w:t>
      </w:r>
      <w:r w:rsidRPr="00E73F6F">
        <w:t>in</w:t>
      </w:r>
      <w:r w:rsidRPr="00E73F6F">
        <w:rPr>
          <w:spacing w:val="-2"/>
        </w:rPr>
        <w:t xml:space="preserve"> </w:t>
      </w:r>
      <w:r w:rsidRPr="00E73F6F">
        <w:t>Europa,</w:t>
      </w:r>
      <w:r w:rsidRPr="00E73F6F">
        <w:rPr>
          <w:spacing w:val="-1"/>
        </w:rPr>
        <w:t xml:space="preserve"> </w:t>
      </w:r>
      <w:r w:rsidRPr="00E73F6F">
        <w:t>später</w:t>
      </w:r>
      <w:r w:rsidRPr="00E73F6F">
        <w:rPr>
          <w:spacing w:val="-2"/>
        </w:rPr>
        <w:t xml:space="preserve"> </w:t>
      </w:r>
      <w:r w:rsidRPr="00E73F6F">
        <w:t>auch</w:t>
      </w:r>
      <w:r w:rsidRPr="00E73F6F">
        <w:rPr>
          <w:spacing w:val="-2"/>
        </w:rPr>
        <w:t xml:space="preserve"> </w:t>
      </w:r>
      <w:r w:rsidRPr="00E73F6F">
        <w:t>in</w:t>
      </w:r>
      <w:r w:rsidRPr="00E73F6F">
        <w:rPr>
          <w:spacing w:val="-2"/>
        </w:rPr>
        <w:t xml:space="preserve"> </w:t>
      </w:r>
      <w:r w:rsidRPr="00E73F6F">
        <w:t>Nordamerika</w:t>
      </w:r>
      <w:r w:rsidRPr="00E73F6F">
        <w:rPr>
          <w:spacing w:val="-2"/>
        </w:rPr>
        <w:t xml:space="preserve"> </w:t>
      </w:r>
      <w:r w:rsidRPr="00E73F6F">
        <w:t>Exil</w:t>
      </w:r>
      <w:r w:rsidRPr="00E73F6F">
        <w:rPr>
          <w:spacing w:val="-2"/>
        </w:rPr>
        <w:t xml:space="preserve"> </w:t>
      </w:r>
      <w:r w:rsidRPr="00E73F6F">
        <w:t>fanden. Innerhalb</w:t>
      </w:r>
      <w:r w:rsidRPr="00E73F6F">
        <w:rPr>
          <w:spacing w:val="40"/>
        </w:rPr>
        <w:t xml:space="preserve"> </w:t>
      </w:r>
      <w:r w:rsidRPr="00E73F6F">
        <w:t>Europas</w:t>
      </w:r>
      <w:r w:rsidRPr="00E73F6F">
        <w:rPr>
          <w:spacing w:val="42"/>
        </w:rPr>
        <w:t xml:space="preserve"> </w:t>
      </w:r>
      <w:r w:rsidRPr="00E73F6F">
        <w:t>entwickelte</w:t>
      </w:r>
      <w:r w:rsidRPr="00E73F6F">
        <w:rPr>
          <w:spacing w:val="42"/>
        </w:rPr>
        <w:t xml:space="preserve"> </w:t>
      </w:r>
      <w:r w:rsidRPr="00E73F6F">
        <w:t>sich</w:t>
      </w:r>
      <w:r w:rsidRPr="00E73F6F">
        <w:rPr>
          <w:spacing w:val="42"/>
        </w:rPr>
        <w:t xml:space="preserve"> </w:t>
      </w:r>
      <w:r w:rsidRPr="00E73F6F">
        <w:t>zunächst</w:t>
      </w:r>
      <w:r w:rsidRPr="00E73F6F">
        <w:rPr>
          <w:spacing w:val="42"/>
        </w:rPr>
        <w:t xml:space="preserve"> </w:t>
      </w:r>
      <w:r w:rsidRPr="00E73F6F">
        <w:t>Spanien</w:t>
      </w:r>
      <w:r w:rsidRPr="00E73F6F">
        <w:rPr>
          <w:spacing w:val="41"/>
        </w:rPr>
        <w:t xml:space="preserve"> </w:t>
      </w:r>
      <w:r w:rsidRPr="00E73F6F">
        <w:t>zum</w:t>
      </w:r>
      <w:r w:rsidRPr="00E73F6F">
        <w:rPr>
          <w:spacing w:val="41"/>
        </w:rPr>
        <w:t xml:space="preserve"> </w:t>
      </w:r>
      <w:r w:rsidRPr="00E73F6F">
        <w:t>geistigen</w:t>
      </w:r>
      <w:r w:rsidRPr="00E73F6F">
        <w:rPr>
          <w:spacing w:val="43"/>
        </w:rPr>
        <w:t xml:space="preserve"> </w:t>
      </w:r>
      <w:r w:rsidRPr="00E73F6F">
        <w:rPr>
          <w:spacing w:val="-2"/>
        </w:rPr>
        <w:t>Zentrum</w:t>
      </w:r>
      <w:r w:rsidR="00B85FE4">
        <w:rPr>
          <w:spacing w:val="-2"/>
        </w:rPr>
        <w:t xml:space="preserve"> </w:t>
      </w:r>
      <w:r w:rsidRPr="00E73F6F">
        <w:t>dieser Glaubensgemeinschaft. Mit Vollendung der Reconquista, der Rückeroberung</w:t>
      </w:r>
      <w:r w:rsidRPr="00E73F6F">
        <w:rPr>
          <w:spacing w:val="-10"/>
        </w:rPr>
        <w:t xml:space="preserve"> </w:t>
      </w:r>
      <w:r w:rsidRPr="00E73F6F">
        <w:t>der</w:t>
      </w:r>
      <w:r w:rsidRPr="00E73F6F">
        <w:rPr>
          <w:spacing w:val="-9"/>
        </w:rPr>
        <w:t xml:space="preserve"> </w:t>
      </w:r>
      <w:r w:rsidRPr="00E73F6F">
        <w:t>von</w:t>
      </w:r>
      <w:r w:rsidRPr="00E73F6F">
        <w:rPr>
          <w:spacing w:val="-10"/>
        </w:rPr>
        <w:t xml:space="preserve"> </w:t>
      </w:r>
      <w:r w:rsidRPr="00E73F6F">
        <w:t>Muslimen</w:t>
      </w:r>
      <w:r w:rsidRPr="00E73F6F">
        <w:rPr>
          <w:spacing w:val="-8"/>
        </w:rPr>
        <w:t xml:space="preserve"> </w:t>
      </w:r>
      <w:r w:rsidRPr="00E73F6F">
        <w:t>in</w:t>
      </w:r>
      <w:r w:rsidRPr="00E73F6F">
        <w:rPr>
          <w:spacing w:val="-8"/>
        </w:rPr>
        <w:t xml:space="preserve"> </w:t>
      </w:r>
      <w:r w:rsidRPr="00E73F6F">
        <w:t>Spanien</w:t>
      </w:r>
      <w:r w:rsidRPr="00E73F6F">
        <w:rPr>
          <w:spacing w:val="-10"/>
        </w:rPr>
        <w:t xml:space="preserve"> </w:t>
      </w:r>
      <w:r w:rsidRPr="00E73F6F">
        <w:t>besetzten</w:t>
      </w:r>
      <w:r w:rsidRPr="00E73F6F">
        <w:rPr>
          <w:spacing w:val="-8"/>
        </w:rPr>
        <w:t xml:space="preserve"> </w:t>
      </w:r>
      <w:r w:rsidRPr="00E73F6F">
        <w:t>Gebiete</w:t>
      </w:r>
      <w:r w:rsidRPr="00E73F6F">
        <w:rPr>
          <w:spacing w:val="-9"/>
        </w:rPr>
        <w:t xml:space="preserve"> </w:t>
      </w:r>
      <w:r w:rsidRPr="00E73F6F">
        <w:t>durch</w:t>
      </w:r>
      <w:r w:rsidRPr="00E73F6F">
        <w:rPr>
          <w:spacing w:val="-8"/>
        </w:rPr>
        <w:t xml:space="preserve"> </w:t>
      </w:r>
      <w:r w:rsidRPr="00E73F6F">
        <w:t>Christen</w:t>
      </w:r>
      <w:r w:rsidRPr="00E73F6F">
        <w:rPr>
          <w:spacing w:val="-6"/>
        </w:rPr>
        <w:t xml:space="preserve"> </w:t>
      </w:r>
      <w:r w:rsidRPr="00E73F6F">
        <w:t xml:space="preserve">im Jahre 1492 verlagerte sich der Schwerpunkt dann nach Osteuropa, insb. nach </w:t>
      </w:r>
      <w:r w:rsidRPr="00E73F6F">
        <w:rPr>
          <w:spacing w:val="-2"/>
        </w:rPr>
        <w:t>Polen.</w:t>
      </w:r>
    </w:p>
    <w:p w14:paraId="73DA18E0" w14:textId="77777777" w:rsidR="00FF7799" w:rsidRPr="00E73F6F" w:rsidRDefault="00FF7799" w:rsidP="00C57646">
      <w:pPr>
        <w:pStyle w:val="StandardText"/>
      </w:pPr>
      <w:r w:rsidRPr="00E73F6F">
        <w:t>In der Balfour-Deklaration von 1917 setzte sich die britische Regierung für den Zionismus ein und sagte zu, in Palästina, das der Völkerbund 1920 zum Mandatsgebiet Großbritanniens bestimmt hatte, den Aufbau einer „natürlichen Heimstätte der Juden“ zu unterstützen. Starken Zulauf und nahezu weltweite Unterstützung</w:t>
      </w:r>
      <w:r w:rsidRPr="00E73F6F">
        <w:rPr>
          <w:spacing w:val="-12"/>
        </w:rPr>
        <w:t xml:space="preserve"> </w:t>
      </w:r>
      <w:r w:rsidRPr="00E73F6F">
        <w:t>erhielt</w:t>
      </w:r>
      <w:r w:rsidRPr="00E73F6F">
        <w:rPr>
          <w:spacing w:val="-11"/>
        </w:rPr>
        <w:t xml:space="preserve"> </w:t>
      </w:r>
      <w:r w:rsidRPr="00E73F6F">
        <w:t>die</w:t>
      </w:r>
      <w:r w:rsidRPr="00E73F6F">
        <w:rPr>
          <w:spacing w:val="-11"/>
        </w:rPr>
        <w:t xml:space="preserve"> </w:t>
      </w:r>
      <w:r w:rsidRPr="00E73F6F">
        <w:t>zionistische</w:t>
      </w:r>
      <w:r w:rsidRPr="00E73F6F">
        <w:rPr>
          <w:spacing w:val="-11"/>
        </w:rPr>
        <w:t xml:space="preserve"> </w:t>
      </w:r>
      <w:r w:rsidRPr="00E73F6F">
        <w:t>Bewegung</w:t>
      </w:r>
      <w:r w:rsidRPr="00E73F6F">
        <w:rPr>
          <w:spacing w:val="-12"/>
        </w:rPr>
        <w:t xml:space="preserve"> </w:t>
      </w:r>
      <w:r w:rsidRPr="00E73F6F">
        <w:t>nach</w:t>
      </w:r>
      <w:r w:rsidRPr="00E73F6F">
        <w:rPr>
          <w:spacing w:val="-11"/>
        </w:rPr>
        <w:t xml:space="preserve"> </w:t>
      </w:r>
      <w:r w:rsidRPr="00E73F6F">
        <w:t>dem</w:t>
      </w:r>
      <w:r w:rsidRPr="00E73F6F">
        <w:rPr>
          <w:spacing w:val="-11"/>
        </w:rPr>
        <w:t xml:space="preserve"> </w:t>
      </w:r>
      <w:r w:rsidRPr="00E73F6F">
        <w:t>Holocaust,</w:t>
      </w:r>
      <w:r w:rsidRPr="00E73F6F">
        <w:rPr>
          <w:spacing w:val="-11"/>
        </w:rPr>
        <w:t xml:space="preserve"> </w:t>
      </w:r>
      <w:r w:rsidRPr="00E73F6F">
        <w:t>als</w:t>
      </w:r>
      <w:r w:rsidRPr="00E73F6F">
        <w:rPr>
          <w:spacing w:val="-12"/>
        </w:rPr>
        <w:t xml:space="preserve"> </w:t>
      </w:r>
      <w:r w:rsidRPr="00E73F6F">
        <w:t>während der nationalsozialistischen Terrorherrschaft über weite Teile Europas ein Drittel des jüdischen Volkes vernichtet wurde.</w:t>
      </w:r>
    </w:p>
    <w:p w14:paraId="10F94D8D" w14:textId="77777777" w:rsidR="00FF7799" w:rsidRPr="00E73F6F" w:rsidRDefault="00FF7799" w:rsidP="00C57646">
      <w:pPr>
        <w:pStyle w:val="StandardText"/>
      </w:pPr>
      <w:r w:rsidRPr="00E73F6F">
        <w:t>Aber erst die Gründung Israels im Jahre 1948 stellte die Einheit von Nation und Religion</w:t>
      </w:r>
      <w:r w:rsidRPr="00E73F6F">
        <w:rPr>
          <w:spacing w:val="-7"/>
        </w:rPr>
        <w:t xml:space="preserve"> </w:t>
      </w:r>
      <w:r w:rsidRPr="00E73F6F">
        <w:t>sowie</w:t>
      </w:r>
      <w:r w:rsidRPr="00E73F6F">
        <w:rPr>
          <w:spacing w:val="-11"/>
        </w:rPr>
        <w:t xml:space="preserve"> </w:t>
      </w:r>
      <w:r w:rsidRPr="00E73F6F">
        <w:t>das</w:t>
      </w:r>
      <w:r w:rsidRPr="00E73F6F">
        <w:rPr>
          <w:spacing w:val="-8"/>
        </w:rPr>
        <w:t xml:space="preserve"> </w:t>
      </w:r>
      <w:r w:rsidRPr="00E73F6F">
        <w:t>Judentum</w:t>
      </w:r>
      <w:r w:rsidRPr="00E73F6F">
        <w:rPr>
          <w:spacing w:val="-9"/>
        </w:rPr>
        <w:t xml:space="preserve"> </w:t>
      </w:r>
      <w:r w:rsidRPr="00E73F6F">
        <w:t>als</w:t>
      </w:r>
      <w:r w:rsidRPr="00E73F6F">
        <w:rPr>
          <w:spacing w:val="-8"/>
        </w:rPr>
        <w:t xml:space="preserve"> </w:t>
      </w:r>
      <w:r w:rsidRPr="00E73F6F">
        <w:t>reale</w:t>
      </w:r>
      <w:r w:rsidRPr="00E73F6F">
        <w:rPr>
          <w:spacing w:val="-6"/>
        </w:rPr>
        <w:t xml:space="preserve"> </w:t>
      </w:r>
      <w:r w:rsidRPr="00E73F6F">
        <w:t>Gemeinschaft</w:t>
      </w:r>
      <w:r w:rsidRPr="00E73F6F">
        <w:rPr>
          <w:spacing w:val="-7"/>
        </w:rPr>
        <w:t xml:space="preserve"> </w:t>
      </w:r>
      <w:r w:rsidRPr="00E73F6F">
        <w:t>wieder</w:t>
      </w:r>
      <w:r w:rsidRPr="00E73F6F">
        <w:rPr>
          <w:spacing w:val="-8"/>
        </w:rPr>
        <w:t xml:space="preserve"> </w:t>
      </w:r>
      <w:r w:rsidRPr="00E73F6F">
        <w:t>her.</w:t>
      </w:r>
      <w:r w:rsidRPr="00E73F6F">
        <w:rPr>
          <w:spacing w:val="-7"/>
        </w:rPr>
        <w:t xml:space="preserve"> </w:t>
      </w:r>
      <w:r w:rsidRPr="00E73F6F">
        <w:t>Heute</w:t>
      </w:r>
      <w:r w:rsidRPr="00E73F6F">
        <w:rPr>
          <w:spacing w:val="-8"/>
        </w:rPr>
        <w:t xml:space="preserve"> </w:t>
      </w:r>
      <w:r w:rsidRPr="00E73F6F">
        <w:t>lassen</w:t>
      </w:r>
      <w:r w:rsidRPr="00E73F6F">
        <w:rPr>
          <w:spacing w:val="-7"/>
        </w:rPr>
        <w:t xml:space="preserve"> </w:t>
      </w:r>
      <w:r w:rsidRPr="00E73F6F">
        <w:t>sich folgende</w:t>
      </w:r>
      <w:r w:rsidRPr="00E73F6F">
        <w:rPr>
          <w:spacing w:val="-12"/>
        </w:rPr>
        <w:t xml:space="preserve"> </w:t>
      </w:r>
      <w:r w:rsidRPr="00E73F6F">
        <w:t>Hauptströmungen</w:t>
      </w:r>
      <w:r w:rsidRPr="00E73F6F">
        <w:rPr>
          <w:spacing w:val="-11"/>
        </w:rPr>
        <w:t xml:space="preserve"> </w:t>
      </w:r>
      <w:r w:rsidRPr="00E73F6F">
        <w:t>unterscheiden:</w:t>
      </w:r>
      <w:r w:rsidRPr="00E73F6F">
        <w:rPr>
          <w:spacing w:val="-11"/>
        </w:rPr>
        <w:t xml:space="preserve"> </w:t>
      </w:r>
      <w:r w:rsidRPr="00E73F6F">
        <w:t>orthodoxes,</w:t>
      </w:r>
      <w:r w:rsidRPr="00E73F6F">
        <w:rPr>
          <w:spacing w:val="-11"/>
        </w:rPr>
        <w:t xml:space="preserve"> </w:t>
      </w:r>
      <w:r w:rsidRPr="00E73F6F">
        <w:t>liberales</w:t>
      </w:r>
      <w:r w:rsidRPr="00E73F6F">
        <w:rPr>
          <w:spacing w:val="-12"/>
        </w:rPr>
        <w:t xml:space="preserve"> </w:t>
      </w:r>
      <w:r w:rsidRPr="00E73F6F">
        <w:t>und</w:t>
      </w:r>
      <w:r w:rsidRPr="00E73F6F">
        <w:rPr>
          <w:spacing w:val="-11"/>
        </w:rPr>
        <w:t xml:space="preserve"> </w:t>
      </w:r>
      <w:r w:rsidRPr="00E73F6F">
        <w:t>konservatives Judentum sowie Rekonstruktionismus.</w:t>
      </w:r>
    </w:p>
    <w:p w14:paraId="4720DD95" w14:textId="77777777" w:rsidR="00FF7799" w:rsidRPr="00E73F6F" w:rsidRDefault="00FF7799" w:rsidP="00C57646">
      <w:pPr>
        <w:pStyle w:val="StandardText"/>
      </w:pPr>
    </w:p>
    <w:p w14:paraId="52E18248" w14:textId="77777777" w:rsidR="00FF7799" w:rsidRPr="00926A05" w:rsidRDefault="00FF7799" w:rsidP="00036DC6">
      <w:pPr>
        <w:pStyle w:val="StandardTextkursiv"/>
        <w:rPr>
          <w:i w:val="0"/>
        </w:rPr>
      </w:pPr>
      <w:r w:rsidRPr="00926A05">
        <w:rPr>
          <w:i w:val="0"/>
        </w:rPr>
        <w:t>2 Glaubensbekenntnis &amp; Symbol</w:t>
      </w:r>
    </w:p>
    <w:p w14:paraId="304FE63D" w14:textId="77777777" w:rsidR="00FF7799" w:rsidRPr="00E73F6F" w:rsidRDefault="00FF7799" w:rsidP="00862DBA">
      <w:pPr>
        <w:spacing w:before="120"/>
        <w:jc w:val="both"/>
        <w:rPr>
          <w:sz w:val="24"/>
          <w:szCs w:val="24"/>
        </w:rPr>
      </w:pPr>
      <w:r w:rsidRPr="00E73F6F">
        <w:rPr>
          <w:sz w:val="24"/>
          <w:szCs w:val="24"/>
        </w:rPr>
        <w:t>Im</w:t>
      </w:r>
      <w:r w:rsidRPr="00E73F6F">
        <w:rPr>
          <w:spacing w:val="-4"/>
          <w:sz w:val="24"/>
          <w:szCs w:val="24"/>
        </w:rPr>
        <w:t xml:space="preserve"> </w:t>
      </w:r>
      <w:r w:rsidRPr="00E73F6F">
        <w:rPr>
          <w:sz w:val="24"/>
          <w:szCs w:val="24"/>
        </w:rPr>
        <w:t>Sch'ma</w:t>
      </w:r>
      <w:r w:rsidRPr="00E73F6F">
        <w:rPr>
          <w:spacing w:val="-4"/>
          <w:sz w:val="24"/>
          <w:szCs w:val="24"/>
        </w:rPr>
        <w:t xml:space="preserve"> </w:t>
      </w:r>
      <w:r w:rsidRPr="00E73F6F">
        <w:rPr>
          <w:sz w:val="24"/>
          <w:szCs w:val="24"/>
        </w:rPr>
        <w:t>Israel,</w:t>
      </w:r>
      <w:r w:rsidRPr="00E73F6F">
        <w:rPr>
          <w:spacing w:val="-2"/>
          <w:sz w:val="24"/>
          <w:szCs w:val="24"/>
        </w:rPr>
        <w:t xml:space="preserve"> </w:t>
      </w:r>
      <w:r w:rsidRPr="00E73F6F">
        <w:rPr>
          <w:sz w:val="24"/>
          <w:szCs w:val="24"/>
        </w:rPr>
        <w:t>dem</w:t>
      </w:r>
      <w:r w:rsidRPr="00E73F6F">
        <w:rPr>
          <w:spacing w:val="-4"/>
          <w:sz w:val="24"/>
          <w:szCs w:val="24"/>
        </w:rPr>
        <w:t xml:space="preserve"> </w:t>
      </w:r>
      <w:r w:rsidRPr="00E73F6F">
        <w:rPr>
          <w:sz w:val="24"/>
          <w:szCs w:val="24"/>
        </w:rPr>
        <w:t>Glaubensbekenntnis</w:t>
      </w:r>
      <w:r w:rsidRPr="00E73F6F">
        <w:rPr>
          <w:spacing w:val="-5"/>
          <w:sz w:val="24"/>
          <w:szCs w:val="24"/>
        </w:rPr>
        <w:t xml:space="preserve"> </w:t>
      </w:r>
      <w:r w:rsidRPr="00E73F6F">
        <w:rPr>
          <w:sz w:val="24"/>
          <w:szCs w:val="24"/>
        </w:rPr>
        <w:t>der</w:t>
      </w:r>
      <w:r w:rsidRPr="00E73F6F">
        <w:rPr>
          <w:spacing w:val="-3"/>
          <w:sz w:val="24"/>
          <w:szCs w:val="24"/>
        </w:rPr>
        <w:t xml:space="preserve"> </w:t>
      </w:r>
      <w:r w:rsidRPr="00E73F6F">
        <w:rPr>
          <w:sz w:val="24"/>
          <w:szCs w:val="24"/>
        </w:rPr>
        <w:t>Juden,</w:t>
      </w:r>
      <w:r w:rsidRPr="00E73F6F">
        <w:rPr>
          <w:spacing w:val="-5"/>
          <w:sz w:val="24"/>
          <w:szCs w:val="24"/>
        </w:rPr>
        <w:t xml:space="preserve"> </w:t>
      </w:r>
      <w:r w:rsidRPr="00E73F6F">
        <w:rPr>
          <w:sz w:val="24"/>
          <w:szCs w:val="24"/>
        </w:rPr>
        <w:t>heißt es:</w:t>
      </w:r>
      <w:r w:rsidRPr="00E73F6F">
        <w:rPr>
          <w:spacing w:val="-6"/>
          <w:sz w:val="24"/>
          <w:szCs w:val="24"/>
        </w:rPr>
        <w:t xml:space="preserve"> </w:t>
      </w:r>
      <w:r w:rsidRPr="00E73F6F">
        <w:rPr>
          <w:sz w:val="24"/>
          <w:szCs w:val="24"/>
        </w:rPr>
        <w:t>„Höre</w:t>
      </w:r>
      <w:r w:rsidRPr="00E73F6F">
        <w:rPr>
          <w:spacing w:val="-4"/>
          <w:sz w:val="24"/>
          <w:szCs w:val="24"/>
        </w:rPr>
        <w:t xml:space="preserve"> </w:t>
      </w:r>
      <w:r w:rsidRPr="00E73F6F">
        <w:rPr>
          <w:sz w:val="24"/>
          <w:szCs w:val="24"/>
        </w:rPr>
        <w:t>Israel!</w:t>
      </w:r>
      <w:r w:rsidRPr="00E73F6F">
        <w:rPr>
          <w:spacing w:val="-3"/>
          <w:sz w:val="24"/>
          <w:szCs w:val="24"/>
        </w:rPr>
        <w:t xml:space="preserve"> </w:t>
      </w:r>
      <w:r w:rsidRPr="00E73F6F">
        <w:rPr>
          <w:sz w:val="24"/>
          <w:szCs w:val="24"/>
        </w:rPr>
        <w:t>Gott unser</w:t>
      </w:r>
      <w:r w:rsidRPr="00E73F6F">
        <w:rPr>
          <w:spacing w:val="-4"/>
          <w:sz w:val="24"/>
          <w:szCs w:val="24"/>
        </w:rPr>
        <w:t xml:space="preserve"> </w:t>
      </w:r>
      <w:r w:rsidRPr="00E73F6F">
        <w:rPr>
          <w:sz w:val="24"/>
          <w:szCs w:val="24"/>
        </w:rPr>
        <w:t>Herr</w:t>
      </w:r>
      <w:r w:rsidRPr="00E73F6F">
        <w:rPr>
          <w:spacing w:val="-4"/>
          <w:sz w:val="24"/>
          <w:szCs w:val="24"/>
        </w:rPr>
        <w:t xml:space="preserve"> </w:t>
      </w:r>
      <w:r w:rsidRPr="00E73F6F">
        <w:rPr>
          <w:sz w:val="24"/>
          <w:szCs w:val="24"/>
        </w:rPr>
        <w:t>ist</w:t>
      </w:r>
      <w:r w:rsidRPr="00E73F6F">
        <w:rPr>
          <w:spacing w:val="-4"/>
          <w:sz w:val="24"/>
          <w:szCs w:val="24"/>
        </w:rPr>
        <w:t xml:space="preserve"> </w:t>
      </w:r>
      <w:r w:rsidRPr="00E73F6F">
        <w:rPr>
          <w:sz w:val="24"/>
          <w:szCs w:val="24"/>
        </w:rPr>
        <w:t>ein</w:t>
      </w:r>
      <w:r w:rsidRPr="00E73F6F">
        <w:rPr>
          <w:spacing w:val="-3"/>
          <w:sz w:val="24"/>
          <w:szCs w:val="24"/>
        </w:rPr>
        <w:t xml:space="preserve"> </w:t>
      </w:r>
      <w:r w:rsidRPr="00E73F6F">
        <w:rPr>
          <w:sz w:val="24"/>
          <w:szCs w:val="24"/>
        </w:rPr>
        <w:t>einziger</w:t>
      </w:r>
      <w:r w:rsidRPr="00E73F6F">
        <w:rPr>
          <w:spacing w:val="-4"/>
          <w:sz w:val="24"/>
          <w:szCs w:val="24"/>
        </w:rPr>
        <w:t xml:space="preserve"> </w:t>
      </w:r>
      <w:r w:rsidRPr="00E73F6F">
        <w:rPr>
          <w:sz w:val="24"/>
          <w:szCs w:val="24"/>
        </w:rPr>
        <w:t>Gott!</w:t>
      </w:r>
      <w:r w:rsidRPr="00E73F6F">
        <w:rPr>
          <w:spacing w:val="-4"/>
          <w:sz w:val="24"/>
          <w:szCs w:val="24"/>
        </w:rPr>
        <w:t xml:space="preserve"> </w:t>
      </w:r>
      <w:r w:rsidRPr="00E73F6F">
        <w:rPr>
          <w:sz w:val="24"/>
          <w:szCs w:val="24"/>
        </w:rPr>
        <w:t>Darum</w:t>
      </w:r>
      <w:r w:rsidRPr="00E73F6F">
        <w:rPr>
          <w:spacing w:val="-5"/>
          <w:sz w:val="24"/>
          <w:szCs w:val="24"/>
        </w:rPr>
        <w:t xml:space="preserve"> </w:t>
      </w:r>
      <w:r w:rsidRPr="00E73F6F">
        <w:rPr>
          <w:sz w:val="24"/>
          <w:szCs w:val="24"/>
        </w:rPr>
        <w:t>sollst</w:t>
      </w:r>
      <w:r w:rsidRPr="00E73F6F">
        <w:rPr>
          <w:spacing w:val="-4"/>
          <w:sz w:val="24"/>
          <w:szCs w:val="24"/>
        </w:rPr>
        <w:t xml:space="preserve"> </w:t>
      </w:r>
      <w:r w:rsidRPr="00E73F6F">
        <w:rPr>
          <w:sz w:val="24"/>
          <w:szCs w:val="24"/>
        </w:rPr>
        <w:t>du</w:t>
      </w:r>
      <w:r w:rsidRPr="00E73F6F">
        <w:rPr>
          <w:spacing w:val="-3"/>
          <w:sz w:val="24"/>
          <w:szCs w:val="24"/>
        </w:rPr>
        <w:t xml:space="preserve"> </w:t>
      </w:r>
      <w:r w:rsidRPr="00E73F6F">
        <w:rPr>
          <w:sz w:val="24"/>
          <w:szCs w:val="24"/>
        </w:rPr>
        <w:t>den</w:t>
      </w:r>
      <w:r w:rsidRPr="00E73F6F">
        <w:rPr>
          <w:spacing w:val="-3"/>
          <w:sz w:val="24"/>
          <w:szCs w:val="24"/>
        </w:rPr>
        <w:t xml:space="preserve"> </w:t>
      </w:r>
      <w:r w:rsidRPr="00E73F6F">
        <w:rPr>
          <w:sz w:val="24"/>
          <w:szCs w:val="24"/>
        </w:rPr>
        <w:t>Herrn</w:t>
      </w:r>
      <w:r w:rsidRPr="00E73F6F">
        <w:rPr>
          <w:spacing w:val="-3"/>
          <w:sz w:val="24"/>
          <w:szCs w:val="24"/>
        </w:rPr>
        <w:t xml:space="preserve"> </w:t>
      </w:r>
      <w:r w:rsidRPr="00E73F6F">
        <w:rPr>
          <w:sz w:val="24"/>
          <w:szCs w:val="24"/>
        </w:rPr>
        <w:t>deinen</w:t>
      </w:r>
      <w:r w:rsidRPr="00E73F6F">
        <w:rPr>
          <w:spacing w:val="-6"/>
          <w:sz w:val="24"/>
          <w:szCs w:val="24"/>
        </w:rPr>
        <w:t xml:space="preserve"> </w:t>
      </w:r>
      <w:r w:rsidRPr="00E73F6F">
        <w:rPr>
          <w:sz w:val="24"/>
          <w:szCs w:val="24"/>
        </w:rPr>
        <w:t>Gott</w:t>
      </w:r>
      <w:r w:rsidRPr="00E73F6F">
        <w:rPr>
          <w:spacing w:val="-4"/>
          <w:sz w:val="24"/>
          <w:szCs w:val="24"/>
        </w:rPr>
        <w:t xml:space="preserve"> </w:t>
      </w:r>
      <w:r w:rsidRPr="00E73F6F">
        <w:rPr>
          <w:sz w:val="24"/>
          <w:szCs w:val="24"/>
        </w:rPr>
        <w:t>lieben</w:t>
      </w:r>
      <w:r w:rsidRPr="00E73F6F">
        <w:rPr>
          <w:spacing w:val="-3"/>
          <w:sz w:val="24"/>
          <w:szCs w:val="24"/>
        </w:rPr>
        <w:t xml:space="preserve"> </w:t>
      </w:r>
      <w:r w:rsidRPr="00E73F6F">
        <w:rPr>
          <w:sz w:val="24"/>
          <w:szCs w:val="24"/>
        </w:rPr>
        <w:t>mit ganzem</w:t>
      </w:r>
      <w:r w:rsidRPr="00E73F6F">
        <w:rPr>
          <w:spacing w:val="-12"/>
          <w:sz w:val="24"/>
          <w:szCs w:val="24"/>
        </w:rPr>
        <w:t xml:space="preserve"> </w:t>
      </w:r>
      <w:r w:rsidRPr="00E73F6F">
        <w:rPr>
          <w:sz w:val="24"/>
          <w:szCs w:val="24"/>
        </w:rPr>
        <w:t>Herzen,</w:t>
      </w:r>
      <w:r w:rsidRPr="00E73F6F">
        <w:rPr>
          <w:spacing w:val="-11"/>
          <w:sz w:val="24"/>
          <w:szCs w:val="24"/>
        </w:rPr>
        <w:t xml:space="preserve"> </w:t>
      </w:r>
      <w:r w:rsidRPr="00E73F6F">
        <w:rPr>
          <w:sz w:val="24"/>
          <w:szCs w:val="24"/>
        </w:rPr>
        <w:t>mit</w:t>
      </w:r>
      <w:r w:rsidRPr="00E73F6F">
        <w:rPr>
          <w:spacing w:val="-11"/>
          <w:sz w:val="24"/>
          <w:szCs w:val="24"/>
        </w:rPr>
        <w:t xml:space="preserve"> </w:t>
      </w:r>
      <w:r w:rsidRPr="00E73F6F">
        <w:rPr>
          <w:sz w:val="24"/>
          <w:szCs w:val="24"/>
        </w:rPr>
        <w:t>ganzer</w:t>
      </w:r>
      <w:r w:rsidRPr="00E73F6F">
        <w:rPr>
          <w:spacing w:val="-11"/>
          <w:sz w:val="24"/>
          <w:szCs w:val="24"/>
        </w:rPr>
        <w:t xml:space="preserve"> </w:t>
      </w:r>
      <w:r w:rsidRPr="00E73F6F">
        <w:rPr>
          <w:sz w:val="24"/>
          <w:szCs w:val="24"/>
        </w:rPr>
        <w:t>Seele</w:t>
      </w:r>
      <w:r w:rsidRPr="00E73F6F">
        <w:rPr>
          <w:spacing w:val="-9"/>
          <w:sz w:val="24"/>
          <w:szCs w:val="24"/>
        </w:rPr>
        <w:t xml:space="preserve"> </w:t>
      </w:r>
      <w:r w:rsidRPr="00E73F6F">
        <w:rPr>
          <w:sz w:val="24"/>
          <w:szCs w:val="24"/>
        </w:rPr>
        <w:t>und</w:t>
      </w:r>
      <w:r w:rsidRPr="00E73F6F">
        <w:rPr>
          <w:spacing w:val="-10"/>
          <w:sz w:val="24"/>
          <w:szCs w:val="24"/>
        </w:rPr>
        <w:t xml:space="preserve"> </w:t>
      </w:r>
      <w:r w:rsidRPr="00E73F6F">
        <w:rPr>
          <w:sz w:val="24"/>
          <w:szCs w:val="24"/>
        </w:rPr>
        <w:t>mit</w:t>
      </w:r>
      <w:r w:rsidRPr="00E73F6F">
        <w:rPr>
          <w:spacing w:val="-12"/>
          <w:sz w:val="24"/>
          <w:szCs w:val="24"/>
        </w:rPr>
        <w:t xml:space="preserve"> </w:t>
      </w:r>
      <w:r w:rsidRPr="00E73F6F">
        <w:rPr>
          <w:sz w:val="24"/>
          <w:szCs w:val="24"/>
        </w:rPr>
        <w:t>ganzer</w:t>
      </w:r>
      <w:r w:rsidRPr="00E73F6F">
        <w:rPr>
          <w:spacing w:val="-10"/>
          <w:sz w:val="24"/>
          <w:szCs w:val="24"/>
        </w:rPr>
        <w:t xml:space="preserve"> </w:t>
      </w:r>
      <w:r w:rsidRPr="00E73F6F">
        <w:rPr>
          <w:sz w:val="24"/>
          <w:szCs w:val="24"/>
        </w:rPr>
        <w:t>Kraft!</w:t>
      </w:r>
      <w:r w:rsidRPr="00E73F6F">
        <w:rPr>
          <w:spacing w:val="-11"/>
          <w:sz w:val="24"/>
          <w:szCs w:val="24"/>
        </w:rPr>
        <w:t xml:space="preserve"> </w:t>
      </w:r>
      <w:r w:rsidRPr="00E73F6F">
        <w:rPr>
          <w:sz w:val="24"/>
          <w:szCs w:val="24"/>
        </w:rPr>
        <w:t>(Dt</w:t>
      </w:r>
      <w:r w:rsidRPr="00E73F6F">
        <w:rPr>
          <w:spacing w:val="-11"/>
          <w:sz w:val="24"/>
          <w:szCs w:val="24"/>
        </w:rPr>
        <w:t xml:space="preserve"> </w:t>
      </w:r>
      <w:r w:rsidRPr="00E73F6F">
        <w:rPr>
          <w:sz w:val="24"/>
          <w:szCs w:val="24"/>
        </w:rPr>
        <w:t>6</w:t>
      </w:r>
      <w:r w:rsidRPr="00E73F6F">
        <w:rPr>
          <w:spacing w:val="-10"/>
          <w:sz w:val="24"/>
          <w:szCs w:val="24"/>
        </w:rPr>
        <w:t xml:space="preserve"> </w:t>
      </w:r>
      <w:r w:rsidRPr="00E73F6F">
        <w:rPr>
          <w:sz w:val="24"/>
          <w:szCs w:val="24"/>
        </w:rPr>
        <w:t>4</w:t>
      </w:r>
      <w:r w:rsidRPr="00E73F6F">
        <w:rPr>
          <w:spacing w:val="-11"/>
          <w:sz w:val="24"/>
          <w:szCs w:val="24"/>
        </w:rPr>
        <w:t xml:space="preserve"> </w:t>
      </w:r>
      <w:r w:rsidRPr="00E73F6F">
        <w:rPr>
          <w:sz w:val="24"/>
          <w:szCs w:val="24"/>
        </w:rPr>
        <w:t>f)“.</w:t>
      </w:r>
      <w:r w:rsidRPr="00E73F6F">
        <w:rPr>
          <w:spacing w:val="-11"/>
          <w:sz w:val="24"/>
          <w:szCs w:val="24"/>
        </w:rPr>
        <w:t xml:space="preserve"> </w:t>
      </w:r>
      <w:r w:rsidRPr="00E73F6F">
        <w:rPr>
          <w:sz w:val="24"/>
          <w:szCs w:val="24"/>
        </w:rPr>
        <w:t>Der</w:t>
      </w:r>
      <w:r w:rsidRPr="00E73F6F">
        <w:rPr>
          <w:spacing w:val="-11"/>
          <w:sz w:val="24"/>
          <w:szCs w:val="24"/>
        </w:rPr>
        <w:t xml:space="preserve"> </w:t>
      </w:r>
      <w:r w:rsidRPr="00E73F6F">
        <w:rPr>
          <w:sz w:val="24"/>
          <w:szCs w:val="24"/>
        </w:rPr>
        <w:t>Davidstern ist</w:t>
      </w:r>
      <w:r w:rsidRPr="00E73F6F">
        <w:rPr>
          <w:spacing w:val="-10"/>
          <w:sz w:val="24"/>
          <w:szCs w:val="24"/>
        </w:rPr>
        <w:t xml:space="preserve"> </w:t>
      </w:r>
      <w:r w:rsidRPr="00E73F6F">
        <w:rPr>
          <w:sz w:val="24"/>
          <w:szCs w:val="24"/>
        </w:rPr>
        <w:t>das</w:t>
      </w:r>
      <w:r w:rsidRPr="00E73F6F">
        <w:rPr>
          <w:spacing w:val="-10"/>
          <w:sz w:val="24"/>
          <w:szCs w:val="24"/>
        </w:rPr>
        <w:t xml:space="preserve"> </w:t>
      </w:r>
      <w:r w:rsidRPr="00E73F6F">
        <w:rPr>
          <w:sz w:val="24"/>
          <w:szCs w:val="24"/>
        </w:rPr>
        <w:t>neuzeitliche</w:t>
      </w:r>
      <w:r w:rsidRPr="00E73F6F">
        <w:rPr>
          <w:spacing w:val="-10"/>
          <w:sz w:val="24"/>
          <w:szCs w:val="24"/>
        </w:rPr>
        <w:t xml:space="preserve"> </w:t>
      </w:r>
      <w:r w:rsidRPr="00E73F6F">
        <w:rPr>
          <w:sz w:val="24"/>
          <w:szCs w:val="24"/>
        </w:rPr>
        <w:t>Symbol</w:t>
      </w:r>
      <w:r w:rsidRPr="00E73F6F">
        <w:rPr>
          <w:spacing w:val="-11"/>
          <w:sz w:val="24"/>
          <w:szCs w:val="24"/>
        </w:rPr>
        <w:t xml:space="preserve"> </w:t>
      </w:r>
      <w:r w:rsidRPr="00E73F6F">
        <w:rPr>
          <w:sz w:val="24"/>
          <w:szCs w:val="24"/>
        </w:rPr>
        <w:t>des</w:t>
      </w:r>
      <w:r w:rsidRPr="00E73F6F">
        <w:rPr>
          <w:spacing w:val="-10"/>
          <w:sz w:val="24"/>
          <w:szCs w:val="24"/>
        </w:rPr>
        <w:t xml:space="preserve"> </w:t>
      </w:r>
      <w:r w:rsidRPr="00E73F6F">
        <w:rPr>
          <w:sz w:val="24"/>
          <w:szCs w:val="24"/>
        </w:rPr>
        <w:t>jüdischen</w:t>
      </w:r>
      <w:r w:rsidRPr="00E73F6F">
        <w:rPr>
          <w:spacing w:val="-9"/>
          <w:sz w:val="24"/>
          <w:szCs w:val="24"/>
        </w:rPr>
        <w:t xml:space="preserve"> </w:t>
      </w:r>
      <w:r w:rsidRPr="00E73F6F">
        <w:rPr>
          <w:sz w:val="24"/>
          <w:szCs w:val="24"/>
        </w:rPr>
        <w:t>Volkes.</w:t>
      </w:r>
      <w:r w:rsidRPr="00E73F6F">
        <w:rPr>
          <w:spacing w:val="-9"/>
          <w:sz w:val="24"/>
          <w:szCs w:val="24"/>
        </w:rPr>
        <w:t xml:space="preserve"> </w:t>
      </w:r>
      <w:r w:rsidRPr="00E73F6F">
        <w:rPr>
          <w:sz w:val="24"/>
          <w:szCs w:val="24"/>
        </w:rPr>
        <w:t>Manche</w:t>
      </w:r>
      <w:r w:rsidRPr="00E73F6F">
        <w:rPr>
          <w:spacing w:val="-12"/>
          <w:sz w:val="24"/>
          <w:szCs w:val="24"/>
        </w:rPr>
        <w:t xml:space="preserve"> </w:t>
      </w:r>
      <w:r w:rsidRPr="00E73F6F">
        <w:rPr>
          <w:sz w:val="24"/>
          <w:szCs w:val="24"/>
        </w:rPr>
        <w:t>deuten</w:t>
      </w:r>
      <w:r w:rsidRPr="00E73F6F">
        <w:rPr>
          <w:spacing w:val="-11"/>
          <w:sz w:val="24"/>
          <w:szCs w:val="24"/>
        </w:rPr>
        <w:t xml:space="preserve"> </w:t>
      </w:r>
      <w:r w:rsidRPr="00E73F6F">
        <w:rPr>
          <w:sz w:val="24"/>
          <w:szCs w:val="24"/>
        </w:rPr>
        <w:t>das</w:t>
      </w:r>
      <w:r w:rsidRPr="00E73F6F">
        <w:rPr>
          <w:spacing w:val="-5"/>
          <w:sz w:val="24"/>
          <w:szCs w:val="24"/>
        </w:rPr>
        <w:t xml:space="preserve"> </w:t>
      </w:r>
      <w:r w:rsidRPr="00E73F6F">
        <w:rPr>
          <w:sz w:val="24"/>
          <w:szCs w:val="24"/>
        </w:rPr>
        <w:t>Hexagramm als Sinnbild der Beziehung zwischen Menschen und Gott, andere als Symbol der sechs Tage währenden Erschaffung der Erde (und das innere Sechseck als Erinnerung an den siebenten Tag der Schöpfungsgeschichte, den Ruhetag).</w:t>
      </w:r>
    </w:p>
    <w:p w14:paraId="04408316" w14:textId="77777777" w:rsidR="00FF7799" w:rsidRPr="00E73F6F" w:rsidRDefault="00FF7799" w:rsidP="00C57646">
      <w:pPr>
        <w:jc w:val="center"/>
        <w:rPr>
          <w:sz w:val="24"/>
          <w:szCs w:val="24"/>
        </w:rPr>
      </w:pPr>
    </w:p>
    <w:p w14:paraId="39F19D10" w14:textId="77777777" w:rsidR="00FF7799" w:rsidRPr="00E73F6F" w:rsidRDefault="00FF7799" w:rsidP="00C57646">
      <w:pPr>
        <w:spacing w:before="4"/>
        <w:jc w:val="center"/>
        <w:rPr>
          <w:sz w:val="24"/>
          <w:szCs w:val="24"/>
        </w:rPr>
      </w:pPr>
      <w:r w:rsidRPr="00E73F6F">
        <w:rPr>
          <w:noProof/>
          <w:sz w:val="24"/>
          <w:szCs w:val="24"/>
          <w:lang w:eastAsia="de-DE"/>
        </w:rPr>
        <w:lastRenderedPageBreak/>
        <mc:AlternateContent>
          <mc:Choice Requires="wpg">
            <w:drawing>
              <wp:inline distT="0" distB="0" distL="0" distR="0" wp14:anchorId="53B1F316" wp14:editId="6CC77AFE">
                <wp:extent cx="3701415" cy="1754505"/>
                <wp:effectExtent l="0" t="0" r="0" b="0"/>
                <wp:docPr id="2296078" name="Group 10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01415" cy="1754505"/>
                          <a:chOff x="0" y="0"/>
                          <a:chExt cx="3701415" cy="1754505"/>
                        </a:xfrm>
                      </wpg:grpSpPr>
                      <pic:pic xmlns:pic="http://schemas.openxmlformats.org/drawingml/2006/picture">
                        <pic:nvPicPr>
                          <pic:cNvPr id="2296079" name="Image 1078"/>
                          <pic:cNvPicPr/>
                        </pic:nvPicPr>
                        <pic:blipFill>
                          <a:blip r:embed="rId83" cstate="print"/>
                          <a:stretch>
                            <a:fillRect/>
                          </a:stretch>
                        </pic:blipFill>
                        <pic:spPr>
                          <a:xfrm>
                            <a:off x="1034987" y="24158"/>
                            <a:ext cx="1635991" cy="1619721"/>
                          </a:xfrm>
                          <a:prstGeom prst="rect">
                            <a:avLst/>
                          </a:prstGeom>
                        </pic:spPr>
                      </pic:pic>
                      <wps:wsp>
                        <wps:cNvPr id="2296080" name="Graphic 1079"/>
                        <wps:cNvSpPr/>
                        <wps:spPr>
                          <a:xfrm>
                            <a:off x="0" y="0"/>
                            <a:ext cx="3701415" cy="1754505"/>
                          </a:xfrm>
                          <a:custGeom>
                            <a:avLst/>
                            <a:gdLst/>
                            <a:ahLst/>
                            <a:cxnLst/>
                            <a:rect l="l" t="t" r="r" b="b"/>
                            <a:pathLst>
                              <a:path w="3701415" h="1754505">
                                <a:moveTo>
                                  <a:pt x="3695065" y="1748409"/>
                                </a:moveTo>
                                <a:lnTo>
                                  <a:pt x="6096" y="1748409"/>
                                </a:lnTo>
                                <a:lnTo>
                                  <a:pt x="6096" y="6223"/>
                                </a:lnTo>
                                <a:lnTo>
                                  <a:pt x="0" y="6223"/>
                                </a:lnTo>
                                <a:lnTo>
                                  <a:pt x="0" y="1748409"/>
                                </a:lnTo>
                                <a:lnTo>
                                  <a:pt x="0" y="1754505"/>
                                </a:lnTo>
                                <a:lnTo>
                                  <a:pt x="6096" y="1754505"/>
                                </a:lnTo>
                                <a:lnTo>
                                  <a:pt x="3695065" y="1754505"/>
                                </a:lnTo>
                                <a:lnTo>
                                  <a:pt x="3695065" y="1748409"/>
                                </a:lnTo>
                                <a:close/>
                              </a:path>
                              <a:path w="3701415" h="1754505">
                                <a:moveTo>
                                  <a:pt x="3695065" y="0"/>
                                </a:moveTo>
                                <a:lnTo>
                                  <a:pt x="6096" y="0"/>
                                </a:lnTo>
                                <a:lnTo>
                                  <a:pt x="0" y="0"/>
                                </a:lnTo>
                                <a:lnTo>
                                  <a:pt x="0" y="6096"/>
                                </a:lnTo>
                                <a:lnTo>
                                  <a:pt x="6096" y="6096"/>
                                </a:lnTo>
                                <a:lnTo>
                                  <a:pt x="3695065" y="6096"/>
                                </a:lnTo>
                                <a:lnTo>
                                  <a:pt x="3695065" y="0"/>
                                </a:lnTo>
                                <a:close/>
                              </a:path>
                              <a:path w="3701415" h="1754505">
                                <a:moveTo>
                                  <a:pt x="3701224" y="6223"/>
                                </a:moveTo>
                                <a:lnTo>
                                  <a:pt x="3695141" y="6223"/>
                                </a:lnTo>
                                <a:lnTo>
                                  <a:pt x="3695141" y="1748409"/>
                                </a:lnTo>
                                <a:lnTo>
                                  <a:pt x="3695141" y="1754505"/>
                                </a:lnTo>
                                <a:lnTo>
                                  <a:pt x="3701224" y="1754505"/>
                                </a:lnTo>
                                <a:lnTo>
                                  <a:pt x="3701224" y="1748409"/>
                                </a:lnTo>
                                <a:lnTo>
                                  <a:pt x="3701224" y="6223"/>
                                </a:lnTo>
                                <a:close/>
                              </a:path>
                              <a:path w="3701415" h="1754505">
                                <a:moveTo>
                                  <a:pt x="3701224" y="0"/>
                                </a:moveTo>
                                <a:lnTo>
                                  <a:pt x="3695141" y="0"/>
                                </a:lnTo>
                                <a:lnTo>
                                  <a:pt x="3695141" y="6096"/>
                                </a:lnTo>
                                <a:lnTo>
                                  <a:pt x="3701224" y="6096"/>
                                </a:lnTo>
                                <a:lnTo>
                                  <a:pt x="370122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F8DF2F1" id="Group 1077" o:spid="_x0000_s1026" style="width:291.45pt;height:138.15pt;mso-position-horizontal-relative:char;mso-position-vertical-relative:line" coordsize="37014,17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">
                <v:shape id="Image 1078" o:spid="_x0000_s1027" type="#_x0000_t75" style="position:absolute;left:10349;top:241;width:16360;height:161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">
                  <v:imagedata r:id="rId84" o:title=""/>
                </v:shape>
                <v:shape id="Graphic 1079" o:spid="_x0000_s1028" style="position:absolute;width:37014;height:17545;visibility:visible;mso-wrap-style:square;v-text-anchor:top" coordsize="3701415,1754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" path="m3695065,1748409r-3688969,l6096,6223,,6223,,1748409r,6096l6096,1754505r3688969,l3695065,1748409xem3695065,l6096,,,,,6096r6096,l3695065,6096r,-6096xem3701224,6223r-6083,l3695141,1748409r,6096l3701224,1754505r,-6096l3701224,6223xem3701224,r-6083,l3695141,6096r6083,l3701224,xe" fillcolor="black" stroked="f">
                  <v:path arrowok="t"/>
                </v:shape>
                <w10:anchorlock/>
              </v:group>
            </w:pict>
          </mc:Fallback>
        </mc:AlternateContent>
      </w:r>
    </w:p>
    <w:p w14:paraId="05233FE4" w14:textId="77777777" w:rsidR="00FF7799" w:rsidRPr="00E73F6F" w:rsidRDefault="00FF7799" w:rsidP="00C57646">
      <w:pPr>
        <w:jc w:val="center"/>
        <w:rPr>
          <w:sz w:val="24"/>
          <w:szCs w:val="24"/>
        </w:rPr>
      </w:pPr>
    </w:p>
    <w:p w14:paraId="3456AF79" w14:textId="77777777" w:rsidR="00FF7799" w:rsidRPr="00E73F6F" w:rsidRDefault="00FF7799" w:rsidP="00862DBA">
      <w:pPr>
        <w:spacing w:before="2"/>
        <w:rPr>
          <w:sz w:val="24"/>
          <w:szCs w:val="24"/>
        </w:rPr>
      </w:pPr>
    </w:p>
    <w:p w14:paraId="7C967DC9" w14:textId="77777777" w:rsidR="00FF7799" w:rsidRPr="00926A05" w:rsidRDefault="00FF7799" w:rsidP="00036DC6">
      <w:pPr>
        <w:pStyle w:val="StandardTextkursiv"/>
        <w:rPr>
          <w:i w:val="0"/>
        </w:rPr>
      </w:pPr>
      <w:r w:rsidRPr="00926A05">
        <w:rPr>
          <w:i w:val="0"/>
        </w:rPr>
        <w:t>3 Grundzüge der Lehre</w:t>
      </w:r>
    </w:p>
    <w:p w14:paraId="34647724" w14:textId="77777777" w:rsidR="00FF7799" w:rsidRPr="00926A05" w:rsidRDefault="00FF7799" w:rsidP="00C57646">
      <w:pPr>
        <w:pStyle w:val="StandardText"/>
      </w:pPr>
      <w:r w:rsidRPr="00926A05">
        <w:t>Im</w:t>
      </w:r>
      <w:r w:rsidRPr="00926A05">
        <w:rPr>
          <w:spacing w:val="-3"/>
        </w:rPr>
        <w:t xml:space="preserve"> </w:t>
      </w:r>
      <w:r w:rsidRPr="00926A05">
        <w:t>Mittelpunkt</w:t>
      </w:r>
      <w:r w:rsidRPr="00926A05">
        <w:rPr>
          <w:spacing w:val="-2"/>
        </w:rPr>
        <w:t xml:space="preserve"> </w:t>
      </w:r>
      <w:r w:rsidRPr="00926A05">
        <w:t>des</w:t>
      </w:r>
      <w:r w:rsidRPr="00926A05">
        <w:rPr>
          <w:spacing w:val="-3"/>
        </w:rPr>
        <w:t xml:space="preserve"> </w:t>
      </w:r>
      <w:r w:rsidRPr="00926A05">
        <w:t>Judentums</w:t>
      </w:r>
      <w:r w:rsidRPr="00926A05">
        <w:rPr>
          <w:spacing w:val="-3"/>
        </w:rPr>
        <w:t xml:space="preserve"> </w:t>
      </w:r>
      <w:r w:rsidRPr="00926A05">
        <w:t>steht</w:t>
      </w:r>
      <w:r w:rsidRPr="00926A05">
        <w:rPr>
          <w:spacing w:val="-2"/>
        </w:rPr>
        <w:t xml:space="preserve"> </w:t>
      </w:r>
      <w:r w:rsidRPr="00926A05">
        <w:t>der</w:t>
      </w:r>
      <w:r w:rsidRPr="00926A05">
        <w:rPr>
          <w:spacing w:val="-2"/>
        </w:rPr>
        <w:t xml:space="preserve"> </w:t>
      </w:r>
      <w:r w:rsidRPr="00926A05">
        <w:t>Glaube</w:t>
      </w:r>
      <w:r w:rsidRPr="00926A05">
        <w:rPr>
          <w:spacing w:val="-3"/>
        </w:rPr>
        <w:t xml:space="preserve"> </w:t>
      </w:r>
      <w:r w:rsidRPr="00926A05">
        <w:t>an</w:t>
      </w:r>
      <w:r w:rsidRPr="00926A05">
        <w:rPr>
          <w:spacing w:val="-1"/>
        </w:rPr>
        <w:t xml:space="preserve"> </w:t>
      </w:r>
      <w:r w:rsidRPr="00926A05">
        <w:t>Jahwe</w:t>
      </w:r>
      <w:r w:rsidRPr="00926A05">
        <w:rPr>
          <w:spacing w:val="-3"/>
        </w:rPr>
        <w:t xml:space="preserve"> </w:t>
      </w:r>
      <w:r w:rsidRPr="00926A05">
        <w:t>(=</w:t>
      </w:r>
      <w:r w:rsidRPr="00926A05">
        <w:rPr>
          <w:spacing w:val="-3"/>
        </w:rPr>
        <w:t xml:space="preserve"> </w:t>
      </w:r>
      <w:r w:rsidRPr="00926A05">
        <w:t>der</w:t>
      </w:r>
      <w:r w:rsidRPr="00926A05">
        <w:rPr>
          <w:spacing w:val="-2"/>
        </w:rPr>
        <w:t xml:space="preserve"> </w:t>
      </w:r>
      <w:r w:rsidRPr="00926A05">
        <w:t>„ICH</w:t>
      </w:r>
      <w:r w:rsidRPr="00926A05">
        <w:rPr>
          <w:spacing w:val="-3"/>
        </w:rPr>
        <w:t xml:space="preserve"> </w:t>
      </w:r>
      <w:r w:rsidRPr="00926A05">
        <w:t>BIN</w:t>
      </w:r>
      <w:r w:rsidRPr="00926A05">
        <w:rPr>
          <w:spacing w:val="-3"/>
        </w:rPr>
        <w:t xml:space="preserve"> </w:t>
      </w:r>
      <w:r w:rsidRPr="00926A05">
        <w:t>DA“). Er ist Schöpfer der Welt, der sich dem Menschen offenbart und in Gestalt Abrahams</w:t>
      </w:r>
      <w:r w:rsidRPr="00926A05">
        <w:rPr>
          <w:spacing w:val="-5"/>
        </w:rPr>
        <w:t xml:space="preserve"> </w:t>
      </w:r>
      <w:r w:rsidRPr="00926A05">
        <w:t>das</w:t>
      </w:r>
      <w:r w:rsidRPr="00926A05">
        <w:rPr>
          <w:spacing w:val="-2"/>
        </w:rPr>
        <w:t xml:space="preserve"> </w:t>
      </w:r>
      <w:r w:rsidRPr="00926A05">
        <w:t>Volk</w:t>
      </w:r>
      <w:r w:rsidRPr="00926A05">
        <w:rPr>
          <w:spacing w:val="-1"/>
        </w:rPr>
        <w:t xml:space="preserve"> </w:t>
      </w:r>
      <w:r w:rsidRPr="00926A05">
        <w:t>Israel</w:t>
      </w:r>
      <w:r w:rsidRPr="00926A05">
        <w:rPr>
          <w:spacing w:val="-2"/>
        </w:rPr>
        <w:t xml:space="preserve"> </w:t>
      </w:r>
      <w:r w:rsidRPr="00926A05">
        <w:t>erwählt</w:t>
      </w:r>
      <w:r w:rsidRPr="00926A05">
        <w:rPr>
          <w:spacing w:val="-3"/>
        </w:rPr>
        <w:t xml:space="preserve"> </w:t>
      </w:r>
      <w:r w:rsidRPr="00926A05">
        <w:t>hat:</w:t>
      </w:r>
      <w:r w:rsidRPr="00926A05">
        <w:rPr>
          <w:spacing w:val="-3"/>
        </w:rPr>
        <w:t xml:space="preserve"> </w:t>
      </w:r>
      <w:r w:rsidRPr="00926A05">
        <w:t>dazu</w:t>
      </w:r>
      <w:r w:rsidRPr="00926A05">
        <w:rPr>
          <w:spacing w:val="-3"/>
        </w:rPr>
        <w:t xml:space="preserve"> </w:t>
      </w:r>
      <w:r w:rsidRPr="00926A05">
        <w:t>bestimmt,</w:t>
      </w:r>
      <w:r w:rsidRPr="00926A05">
        <w:rPr>
          <w:spacing w:val="-4"/>
        </w:rPr>
        <w:t xml:space="preserve"> </w:t>
      </w:r>
      <w:r w:rsidRPr="00926A05">
        <w:t>den</w:t>
      </w:r>
      <w:r w:rsidRPr="00926A05">
        <w:rPr>
          <w:spacing w:val="-1"/>
        </w:rPr>
        <w:t xml:space="preserve"> </w:t>
      </w:r>
      <w:r w:rsidRPr="00926A05">
        <w:t>rechtmäßigen</w:t>
      </w:r>
      <w:r w:rsidRPr="00926A05">
        <w:rPr>
          <w:spacing w:val="-1"/>
        </w:rPr>
        <w:t xml:space="preserve"> </w:t>
      </w:r>
      <w:r w:rsidRPr="00926A05">
        <w:rPr>
          <w:spacing w:val="-2"/>
        </w:rPr>
        <w:t>Glauben</w:t>
      </w:r>
      <w:r w:rsidR="00B85FE4" w:rsidRPr="00926A05">
        <w:rPr>
          <w:spacing w:val="-2"/>
        </w:rPr>
        <w:t xml:space="preserve"> </w:t>
      </w:r>
      <w:r w:rsidRPr="00926A05">
        <w:t>in der Welt zu bekennen. Äußeres Zeichen des Abraham-Bundes ist die Beschneidung. Religiösen Rang besitzen in dieser Offenbarungsreligion ausschließlich Thora bzw. Halacha (d.h. der gesetzliche Teil der jüdischen Überlieferung sowie einzelne Bestimmungen). Als schriftliche Thora umfasst die Halacha die Gebote der Fünf Bücher Moses, während sich in der mündlichen Thora deren Interpretation findet. Heilige Stätte ist die Klagemauer in Jerusalem. Als Kultstätten gelten der Tempel, die Synagoge sowie die Wohnungen und Häuser der Gläubigen.</w:t>
      </w:r>
    </w:p>
    <w:p w14:paraId="0D3B61F2" w14:textId="77777777" w:rsidR="00FF7799" w:rsidRPr="00E73F6F" w:rsidRDefault="00FF7799" w:rsidP="00C57646">
      <w:pPr>
        <w:pStyle w:val="StandardText"/>
      </w:pPr>
      <w:r w:rsidRPr="00926A05">
        <w:t>Grundsätzlich</w:t>
      </w:r>
      <w:r w:rsidRPr="00926A05">
        <w:rPr>
          <w:spacing w:val="-3"/>
        </w:rPr>
        <w:t xml:space="preserve"> </w:t>
      </w:r>
      <w:r w:rsidRPr="00926A05">
        <w:t>sind</w:t>
      </w:r>
      <w:r w:rsidRPr="00926A05">
        <w:rPr>
          <w:spacing w:val="-4"/>
        </w:rPr>
        <w:t xml:space="preserve"> </w:t>
      </w:r>
      <w:r w:rsidRPr="00926A05">
        <w:t>dem</w:t>
      </w:r>
      <w:r w:rsidRPr="00926A05">
        <w:rPr>
          <w:spacing w:val="-4"/>
        </w:rPr>
        <w:t xml:space="preserve"> </w:t>
      </w:r>
      <w:r w:rsidRPr="00926A05">
        <w:t>Judentum</w:t>
      </w:r>
      <w:r w:rsidRPr="00926A05">
        <w:rPr>
          <w:spacing w:val="-6"/>
        </w:rPr>
        <w:t xml:space="preserve"> </w:t>
      </w:r>
      <w:r w:rsidRPr="00926A05">
        <w:t>Dogmen</w:t>
      </w:r>
      <w:r w:rsidRPr="00926A05">
        <w:rPr>
          <w:spacing w:val="-3"/>
        </w:rPr>
        <w:t xml:space="preserve"> </w:t>
      </w:r>
      <w:r w:rsidRPr="00926A05">
        <w:t>zwar</w:t>
      </w:r>
      <w:r w:rsidRPr="00926A05">
        <w:rPr>
          <w:spacing w:val="-4"/>
        </w:rPr>
        <w:t xml:space="preserve"> </w:t>
      </w:r>
      <w:r w:rsidRPr="00926A05">
        <w:t>fremd;</w:t>
      </w:r>
      <w:r w:rsidRPr="00926A05">
        <w:rPr>
          <w:spacing w:val="-5"/>
        </w:rPr>
        <w:t xml:space="preserve"> </w:t>
      </w:r>
      <w:r w:rsidRPr="00926A05">
        <w:t>gleichwohl</w:t>
      </w:r>
      <w:r w:rsidRPr="00926A05">
        <w:rPr>
          <w:spacing w:val="-5"/>
        </w:rPr>
        <w:t xml:space="preserve"> </w:t>
      </w:r>
      <w:r w:rsidRPr="00926A05">
        <w:t>finden</w:t>
      </w:r>
      <w:r w:rsidRPr="00926A05">
        <w:rPr>
          <w:spacing w:val="-4"/>
        </w:rPr>
        <w:t xml:space="preserve"> </w:t>
      </w:r>
      <w:r w:rsidRPr="00926A05">
        <w:t>sich</w:t>
      </w:r>
      <w:r w:rsidRPr="00926A05">
        <w:rPr>
          <w:spacing w:val="-4"/>
        </w:rPr>
        <w:t xml:space="preserve"> </w:t>
      </w:r>
      <w:r w:rsidRPr="00926A05">
        <w:t>in den Schriften einige</w:t>
      </w:r>
      <w:r w:rsidRPr="00926A05">
        <w:rPr>
          <w:spacing w:val="-1"/>
        </w:rPr>
        <w:t xml:space="preserve"> </w:t>
      </w:r>
      <w:r w:rsidRPr="00926A05">
        <w:t>Hinweise</w:t>
      </w:r>
      <w:r w:rsidRPr="00926A05">
        <w:rPr>
          <w:spacing w:val="-1"/>
        </w:rPr>
        <w:t xml:space="preserve"> </w:t>
      </w:r>
      <w:r w:rsidRPr="00926A05">
        <w:t>auf</w:t>
      </w:r>
      <w:r w:rsidRPr="00926A05">
        <w:rPr>
          <w:spacing w:val="-1"/>
        </w:rPr>
        <w:t xml:space="preserve"> </w:t>
      </w:r>
      <w:r w:rsidRPr="00926A05">
        <w:t>Rechtgläubigkeit, so</w:t>
      </w:r>
      <w:r w:rsidRPr="00926A05">
        <w:rPr>
          <w:spacing w:val="-3"/>
        </w:rPr>
        <w:t xml:space="preserve"> </w:t>
      </w:r>
      <w:r w:rsidRPr="00926A05">
        <w:t>das</w:t>
      </w:r>
      <w:r w:rsidRPr="00926A05">
        <w:rPr>
          <w:spacing w:val="-1"/>
        </w:rPr>
        <w:t xml:space="preserve"> </w:t>
      </w:r>
      <w:r w:rsidRPr="00926A05">
        <w:t>Bekenntnis</w:t>
      </w:r>
      <w:r w:rsidRPr="00926A05">
        <w:rPr>
          <w:spacing w:val="-1"/>
        </w:rPr>
        <w:t xml:space="preserve"> </w:t>
      </w:r>
      <w:r w:rsidRPr="00926A05">
        <w:t>zu Jahwe. Auch</w:t>
      </w:r>
      <w:r w:rsidRPr="00926A05">
        <w:rPr>
          <w:spacing w:val="-7"/>
        </w:rPr>
        <w:t xml:space="preserve"> </w:t>
      </w:r>
      <w:r w:rsidRPr="00926A05">
        <w:t>die</w:t>
      </w:r>
      <w:r w:rsidRPr="00926A05">
        <w:rPr>
          <w:spacing w:val="-8"/>
        </w:rPr>
        <w:t xml:space="preserve"> </w:t>
      </w:r>
      <w:r w:rsidRPr="00926A05">
        <w:t>sog.</w:t>
      </w:r>
      <w:r w:rsidRPr="00926A05">
        <w:rPr>
          <w:spacing w:val="-9"/>
        </w:rPr>
        <w:t xml:space="preserve"> </w:t>
      </w:r>
      <w:r w:rsidRPr="00926A05">
        <w:t>Orthopraxie</w:t>
      </w:r>
      <w:r w:rsidRPr="00926A05">
        <w:rPr>
          <w:spacing w:val="-8"/>
        </w:rPr>
        <w:t xml:space="preserve"> </w:t>
      </w:r>
      <w:r w:rsidRPr="00926A05">
        <w:t>zählt</w:t>
      </w:r>
      <w:r w:rsidRPr="00926A05">
        <w:rPr>
          <w:spacing w:val="-7"/>
        </w:rPr>
        <w:t xml:space="preserve"> </w:t>
      </w:r>
      <w:r w:rsidRPr="00926A05">
        <w:t>hierzu:</w:t>
      </w:r>
      <w:r w:rsidRPr="00926A05">
        <w:rPr>
          <w:spacing w:val="-7"/>
        </w:rPr>
        <w:t xml:space="preserve"> </w:t>
      </w:r>
      <w:r w:rsidRPr="00926A05">
        <w:t>Die</w:t>
      </w:r>
      <w:r w:rsidRPr="00926A05">
        <w:rPr>
          <w:spacing w:val="-8"/>
        </w:rPr>
        <w:t xml:space="preserve"> </w:t>
      </w:r>
      <w:r w:rsidRPr="00926A05">
        <w:t>Aufgabe,</w:t>
      </w:r>
      <w:r w:rsidRPr="00926A05">
        <w:rPr>
          <w:spacing w:val="-9"/>
        </w:rPr>
        <w:t xml:space="preserve"> </w:t>
      </w:r>
      <w:r w:rsidRPr="00926A05">
        <w:t>Gottes</w:t>
      </w:r>
      <w:r w:rsidRPr="00926A05">
        <w:rPr>
          <w:spacing w:val="-8"/>
        </w:rPr>
        <w:t xml:space="preserve"> </w:t>
      </w:r>
      <w:r w:rsidRPr="00926A05">
        <w:t>Willen,</w:t>
      </w:r>
      <w:r w:rsidRPr="00926A05">
        <w:rPr>
          <w:spacing w:val="-7"/>
        </w:rPr>
        <w:t xml:space="preserve"> </w:t>
      </w:r>
      <w:r w:rsidRPr="00926A05">
        <w:t>wie</w:t>
      </w:r>
      <w:r w:rsidRPr="00926A05">
        <w:rPr>
          <w:spacing w:val="-8"/>
        </w:rPr>
        <w:t xml:space="preserve"> </w:t>
      </w:r>
      <w:r w:rsidRPr="00926A05">
        <w:t>er</w:t>
      </w:r>
      <w:r w:rsidRPr="00926A05">
        <w:rPr>
          <w:spacing w:val="-3"/>
        </w:rPr>
        <w:t xml:space="preserve"> </w:t>
      </w:r>
      <w:r w:rsidRPr="00926A05">
        <w:t>Moses am</w:t>
      </w:r>
      <w:r w:rsidRPr="00926A05">
        <w:rPr>
          <w:spacing w:val="-3"/>
        </w:rPr>
        <w:t xml:space="preserve"> </w:t>
      </w:r>
      <w:r w:rsidRPr="00926A05">
        <w:t>Berg</w:t>
      </w:r>
      <w:r w:rsidRPr="00926A05">
        <w:rPr>
          <w:spacing w:val="-1"/>
        </w:rPr>
        <w:t xml:space="preserve"> </w:t>
      </w:r>
      <w:r w:rsidRPr="00926A05">
        <w:t>Horeb</w:t>
      </w:r>
      <w:r w:rsidRPr="00926A05">
        <w:rPr>
          <w:spacing w:val="-1"/>
        </w:rPr>
        <w:t xml:space="preserve"> </w:t>
      </w:r>
      <w:r w:rsidRPr="00926A05">
        <w:t>auf</w:t>
      </w:r>
      <w:r w:rsidRPr="00926A05">
        <w:rPr>
          <w:spacing w:val="-4"/>
        </w:rPr>
        <w:t xml:space="preserve"> </w:t>
      </w:r>
      <w:r w:rsidRPr="00926A05">
        <w:t>der</w:t>
      </w:r>
      <w:r w:rsidRPr="00926A05">
        <w:rPr>
          <w:spacing w:val="-2"/>
        </w:rPr>
        <w:t xml:space="preserve"> </w:t>
      </w:r>
      <w:r w:rsidRPr="00926A05">
        <w:t>Halbinsel</w:t>
      </w:r>
      <w:r w:rsidRPr="00926A05">
        <w:rPr>
          <w:spacing w:val="-4"/>
        </w:rPr>
        <w:t xml:space="preserve"> </w:t>
      </w:r>
      <w:r w:rsidRPr="00926A05">
        <w:t>Sinai</w:t>
      </w:r>
      <w:r w:rsidRPr="00926A05">
        <w:rPr>
          <w:spacing w:val="-4"/>
        </w:rPr>
        <w:t xml:space="preserve"> </w:t>
      </w:r>
      <w:r w:rsidRPr="00926A05">
        <w:t>offenbart</w:t>
      </w:r>
      <w:r w:rsidRPr="00926A05">
        <w:rPr>
          <w:spacing w:val="-4"/>
        </w:rPr>
        <w:t xml:space="preserve"> </w:t>
      </w:r>
      <w:r w:rsidRPr="00926A05">
        <w:t>wurde,</w:t>
      </w:r>
      <w:r w:rsidRPr="00926A05">
        <w:rPr>
          <w:spacing w:val="-4"/>
        </w:rPr>
        <w:t xml:space="preserve"> </w:t>
      </w:r>
      <w:r w:rsidRPr="00926A05">
        <w:t>zu</w:t>
      </w:r>
      <w:r w:rsidRPr="00926A05">
        <w:rPr>
          <w:spacing w:val="-1"/>
        </w:rPr>
        <w:t xml:space="preserve"> </w:t>
      </w:r>
      <w:r w:rsidRPr="00926A05">
        <w:t>erfüllen.</w:t>
      </w:r>
      <w:r w:rsidRPr="00926A05">
        <w:rPr>
          <w:spacing w:val="-2"/>
        </w:rPr>
        <w:t xml:space="preserve"> </w:t>
      </w:r>
      <w:r w:rsidRPr="00926A05">
        <w:t>Weiterhin</w:t>
      </w:r>
      <w:r w:rsidRPr="00926A05">
        <w:rPr>
          <w:spacing w:val="-1"/>
        </w:rPr>
        <w:t xml:space="preserve"> </w:t>
      </w:r>
      <w:r w:rsidRPr="00926A05">
        <w:t>ist es Aufgabe der Gläubigen, die kommende Herrschaft</w:t>
      </w:r>
      <w:r w:rsidRPr="00E73F6F">
        <w:t xml:space="preserve"> Gottes zu verkündigen und den Inhalt der Offenbarung „rein“ zu bewahren. Dies alles verpflichtete das erwählte</w:t>
      </w:r>
      <w:r w:rsidRPr="00E73F6F">
        <w:rPr>
          <w:spacing w:val="-6"/>
        </w:rPr>
        <w:t xml:space="preserve"> </w:t>
      </w:r>
      <w:r w:rsidRPr="00E73F6F">
        <w:t>Volk</w:t>
      </w:r>
      <w:r w:rsidRPr="00E73F6F">
        <w:rPr>
          <w:spacing w:val="-9"/>
        </w:rPr>
        <w:t xml:space="preserve"> </w:t>
      </w:r>
      <w:r w:rsidRPr="00E73F6F">
        <w:t>der</w:t>
      </w:r>
      <w:r w:rsidRPr="00E73F6F">
        <w:rPr>
          <w:spacing w:val="-5"/>
        </w:rPr>
        <w:t xml:space="preserve"> </w:t>
      </w:r>
      <w:r w:rsidRPr="00E73F6F">
        <w:t>Juden</w:t>
      </w:r>
      <w:r w:rsidRPr="00E73F6F">
        <w:rPr>
          <w:spacing w:val="-5"/>
        </w:rPr>
        <w:t xml:space="preserve"> </w:t>
      </w:r>
      <w:r w:rsidRPr="00E73F6F">
        <w:t>zu</w:t>
      </w:r>
      <w:r w:rsidRPr="00E73F6F">
        <w:rPr>
          <w:spacing w:val="-7"/>
        </w:rPr>
        <w:t xml:space="preserve"> </w:t>
      </w:r>
      <w:r w:rsidRPr="00E73F6F">
        <w:t>religiöser</w:t>
      </w:r>
      <w:r w:rsidRPr="00E73F6F">
        <w:rPr>
          <w:spacing w:val="-5"/>
        </w:rPr>
        <w:t xml:space="preserve"> </w:t>
      </w:r>
      <w:r w:rsidRPr="00E73F6F">
        <w:t>und</w:t>
      </w:r>
      <w:r w:rsidRPr="00E73F6F">
        <w:rPr>
          <w:spacing w:val="-7"/>
        </w:rPr>
        <w:t xml:space="preserve"> </w:t>
      </w:r>
      <w:r w:rsidRPr="00E73F6F">
        <w:t>sozialer</w:t>
      </w:r>
      <w:r w:rsidRPr="00E73F6F">
        <w:rPr>
          <w:spacing w:val="-8"/>
        </w:rPr>
        <w:t xml:space="preserve"> </w:t>
      </w:r>
      <w:r w:rsidRPr="00E73F6F">
        <w:t>Solidarität</w:t>
      </w:r>
      <w:r w:rsidRPr="00E73F6F">
        <w:rPr>
          <w:spacing w:val="-7"/>
        </w:rPr>
        <w:t xml:space="preserve"> </w:t>
      </w:r>
      <w:r w:rsidRPr="00E73F6F">
        <w:t>und</w:t>
      </w:r>
      <w:r w:rsidRPr="00E73F6F">
        <w:rPr>
          <w:spacing w:val="-7"/>
        </w:rPr>
        <w:t xml:space="preserve"> </w:t>
      </w:r>
      <w:r w:rsidRPr="00E73F6F">
        <w:t>verschwor</w:t>
      </w:r>
      <w:r w:rsidRPr="00E73F6F">
        <w:rPr>
          <w:spacing w:val="-5"/>
        </w:rPr>
        <w:t xml:space="preserve"> </w:t>
      </w:r>
      <w:r w:rsidRPr="00E73F6F">
        <w:t>es</w:t>
      </w:r>
      <w:r w:rsidRPr="00E73F6F">
        <w:rPr>
          <w:spacing w:val="-6"/>
        </w:rPr>
        <w:t xml:space="preserve"> </w:t>
      </w:r>
      <w:r w:rsidRPr="00E73F6F">
        <w:t>zu einer Schicksalsgemeinschaft, welche durch zahlreiche konkrete Verhaltensvorschriften</w:t>
      </w:r>
      <w:r w:rsidRPr="00E73F6F">
        <w:rPr>
          <w:spacing w:val="-12"/>
        </w:rPr>
        <w:t xml:space="preserve"> </w:t>
      </w:r>
      <w:r w:rsidRPr="00E73F6F">
        <w:t>(vgl.</w:t>
      </w:r>
      <w:r w:rsidRPr="00E73F6F">
        <w:rPr>
          <w:spacing w:val="-9"/>
        </w:rPr>
        <w:t xml:space="preserve"> </w:t>
      </w:r>
      <w:r w:rsidRPr="00E73F6F">
        <w:t>Tab.),</w:t>
      </w:r>
      <w:r w:rsidRPr="00E73F6F">
        <w:rPr>
          <w:spacing w:val="-10"/>
        </w:rPr>
        <w:t xml:space="preserve"> </w:t>
      </w:r>
      <w:r w:rsidRPr="00E73F6F">
        <w:t>Bräuche</w:t>
      </w:r>
      <w:r w:rsidRPr="00E73F6F">
        <w:rPr>
          <w:spacing w:val="-11"/>
        </w:rPr>
        <w:t xml:space="preserve"> </w:t>
      </w:r>
      <w:r w:rsidRPr="00E73F6F">
        <w:t>(z.B.</w:t>
      </w:r>
      <w:r w:rsidRPr="00E73F6F">
        <w:rPr>
          <w:spacing w:val="-12"/>
        </w:rPr>
        <w:t xml:space="preserve"> </w:t>
      </w:r>
      <w:r w:rsidRPr="00E73F6F">
        <w:t>die</w:t>
      </w:r>
      <w:r w:rsidRPr="00E73F6F">
        <w:rPr>
          <w:spacing w:val="-11"/>
        </w:rPr>
        <w:t xml:space="preserve"> </w:t>
      </w:r>
      <w:r w:rsidRPr="00E73F6F">
        <w:t>Feier</w:t>
      </w:r>
      <w:r w:rsidRPr="00E73F6F">
        <w:rPr>
          <w:spacing w:val="-10"/>
        </w:rPr>
        <w:t xml:space="preserve"> </w:t>
      </w:r>
      <w:r w:rsidRPr="00E73F6F">
        <w:t>des</w:t>
      </w:r>
      <w:r w:rsidRPr="00E73F6F">
        <w:rPr>
          <w:spacing w:val="-12"/>
        </w:rPr>
        <w:t xml:space="preserve"> </w:t>
      </w:r>
      <w:r w:rsidRPr="00E73F6F">
        <w:t>Sabbat)</w:t>
      </w:r>
      <w:r w:rsidRPr="00E73F6F">
        <w:rPr>
          <w:spacing w:val="-10"/>
        </w:rPr>
        <w:t xml:space="preserve"> </w:t>
      </w:r>
      <w:r w:rsidRPr="00E73F6F">
        <w:t>und</w:t>
      </w:r>
      <w:r w:rsidRPr="00E73F6F">
        <w:rPr>
          <w:spacing w:val="-9"/>
        </w:rPr>
        <w:t xml:space="preserve"> </w:t>
      </w:r>
      <w:r w:rsidRPr="00E73F6F">
        <w:t>rituelle Gebote (z.B. Hygienevorschriften oder die Art der Zubereitung von koscheren Speisen) vertieft und symbolisiert wurde.</w:t>
      </w:r>
    </w:p>
    <w:p w14:paraId="3A29276E" w14:textId="77777777" w:rsidR="00FF7799" w:rsidRPr="00E73F6F" w:rsidRDefault="00FF7799" w:rsidP="00C57646">
      <w:pPr>
        <w:pStyle w:val="StandardText"/>
      </w:pPr>
      <w:r w:rsidRPr="00E73F6F">
        <w:t>Maßgeblich aber ist das Gebot der Nächstenliebe (vgl. Maser 1995, S.568ff.). Ohne Ansehen der Volkszugehörigkeit oder der Abstammung gelten alle Menschen als eigenständige Persönlichkeiten und gleichwertig. In der Halacha findet sich das Doppelprinzip „Souveränität Gottes und Heiligkeit des Individuums“</w:t>
      </w:r>
      <w:r w:rsidRPr="00E73F6F">
        <w:rPr>
          <w:spacing w:val="-6"/>
        </w:rPr>
        <w:t xml:space="preserve"> </w:t>
      </w:r>
      <w:r w:rsidRPr="00E73F6F">
        <w:t>(vgl.</w:t>
      </w:r>
      <w:r w:rsidRPr="00E73F6F">
        <w:rPr>
          <w:spacing w:val="-6"/>
        </w:rPr>
        <w:t xml:space="preserve"> </w:t>
      </w:r>
      <w:r w:rsidRPr="00E73F6F">
        <w:t>Belkin</w:t>
      </w:r>
      <w:r w:rsidRPr="00E73F6F">
        <w:rPr>
          <w:spacing w:val="-7"/>
        </w:rPr>
        <w:t xml:space="preserve"> </w:t>
      </w:r>
      <w:r w:rsidRPr="00E73F6F">
        <w:t>1960,</w:t>
      </w:r>
      <w:r w:rsidRPr="00E73F6F">
        <w:rPr>
          <w:spacing w:val="-6"/>
        </w:rPr>
        <w:t xml:space="preserve"> </w:t>
      </w:r>
      <w:r w:rsidRPr="00E73F6F">
        <w:t>S.15f.).</w:t>
      </w:r>
      <w:r w:rsidRPr="00E73F6F">
        <w:rPr>
          <w:spacing w:val="-7"/>
        </w:rPr>
        <w:t xml:space="preserve"> </w:t>
      </w:r>
      <w:r w:rsidRPr="00E73F6F">
        <w:t>Pflicht</w:t>
      </w:r>
      <w:r w:rsidRPr="00E73F6F">
        <w:rPr>
          <w:spacing w:val="-5"/>
        </w:rPr>
        <w:t xml:space="preserve"> </w:t>
      </w:r>
      <w:r w:rsidRPr="00E73F6F">
        <w:t>der</w:t>
      </w:r>
      <w:r w:rsidRPr="00E73F6F">
        <w:rPr>
          <w:spacing w:val="-7"/>
        </w:rPr>
        <w:t xml:space="preserve"> </w:t>
      </w:r>
      <w:r w:rsidRPr="00E73F6F">
        <w:t>Gläubigen</w:t>
      </w:r>
      <w:r w:rsidRPr="00E73F6F">
        <w:rPr>
          <w:spacing w:val="-6"/>
        </w:rPr>
        <w:t xml:space="preserve"> </w:t>
      </w:r>
      <w:r w:rsidRPr="00E73F6F">
        <w:t>ist</w:t>
      </w:r>
      <w:r w:rsidRPr="00E73F6F">
        <w:rPr>
          <w:spacing w:val="-5"/>
        </w:rPr>
        <w:t xml:space="preserve"> </w:t>
      </w:r>
      <w:r w:rsidRPr="00E73F6F">
        <w:t>es</w:t>
      </w:r>
      <w:r w:rsidRPr="00E73F6F">
        <w:rPr>
          <w:spacing w:val="-6"/>
        </w:rPr>
        <w:t xml:space="preserve"> </w:t>
      </w:r>
      <w:r w:rsidRPr="00E73F6F">
        <w:t>deshalb</w:t>
      </w:r>
      <w:r w:rsidRPr="00E73F6F">
        <w:rPr>
          <w:spacing w:val="-6"/>
        </w:rPr>
        <w:t xml:space="preserve"> </w:t>
      </w:r>
      <w:r w:rsidRPr="00E73F6F">
        <w:t>nicht nur, die Riten zu befolgen, sondern auch, Arme und Waisen, Begräbnis- Bruderschaften,</w:t>
      </w:r>
      <w:r w:rsidRPr="00E73F6F">
        <w:rPr>
          <w:spacing w:val="-10"/>
        </w:rPr>
        <w:t xml:space="preserve"> </w:t>
      </w:r>
      <w:r w:rsidRPr="00E73F6F">
        <w:t>Frauenverbände</w:t>
      </w:r>
      <w:r w:rsidRPr="00E73F6F">
        <w:rPr>
          <w:spacing w:val="-11"/>
        </w:rPr>
        <w:t xml:space="preserve"> </w:t>
      </w:r>
      <w:r w:rsidRPr="00E73F6F">
        <w:t>etc.</w:t>
      </w:r>
      <w:r w:rsidRPr="00E73F6F">
        <w:rPr>
          <w:spacing w:val="-7"/>
        </w:rPr>
        <w:t xml:space="preserve"> </w:t>
      </w:r>
      <w:r w:rsidRPr="00E73F6F">
        <w:t>zu</w:t>
      </w:r>
      <w:r w:rsidRPr="00E73F6F">
        <w:rPr>
          <w:spacing w:val="-7"/>
        </w:rPr>
        <w:t xml:space="preserve"> </w:t>
      </w:r>
      <w:r w:rsidRPr="00E73F6F">
        <w:t>unterstützen.</w:t>
      </w:r>
      <w:r w:rsidRPr="00E73F6F">
        <w:rPr>
          <w:spacing w:val="-7"/>
        </w:rPr>
        <w:t xml:space="preserve"> </w:t>
      </w:r>
      <w:r w:rsidRPr="00E73F6F">
        <w:t>Zusammen</w:t>
      </w:r>
      <w:r w:rsidRPr="00E73F6F">
        <w:rPr>
          <w:spacing w:val="-7"/>
        </w:rPr>
        <w:t xml:space="preserve"> </w:t>
      </w:r>
      <w:r w:rsidRPr="00E73F6F">
        <w:t>mit</w:t>
      </w:r>
      <w:r w:rsidRPr="00E73F6F">
        <w:rPr>
          <w:spacing w:val="-7"/>
        </w:rPr>
        <w:t xml:space="preserve"> </w:t>
      </w:r>
      <w:r w:rsidRPr="00E73F6F">
        <w:t>den</w:t>
      </w:r>
      <w:r w:rsidRPr="00E73F6F">
        <w:rPr>
          <w:spacing w:val="-9"/>
        </w:rPr>
        <w:t xml:space="preserve"> </w:t>
      </w:r>
      <w:r w:rsidRPr="00E73F6F">
        <w:t>über</w:t>
      </w:r>
      <w:r w:rsidRPr="00E73F6F">
        <w:rPr>
          <w:spacing w:val="-10"/>
        </w:rPr>
        <w:t xml:space="preserve"> </w:t>
      </w:r>
      <w:r w:rsidRPr="00E73F6F">
        <w:t>den Tag verteilten Gebeten dient Wohltätigkeit dem Ziel, das Leben zu heiligen.</w:t>
      </w:r>
    </w:p>
    <w:p w14:paraId="57DA685F" w14:textId="77777777" w:rsidR="00FF7799" w:rsidRPr="00E73F6F" w:rsidRDefault="00FF7799" w:rsidP="00C57646">
      <w:pPr>
        <w:pStyle w:val="StandardText"/>
      </w:pPr>
      <w:r w:rsidRPr="00E73F6F">
        <w:t>Die Rabbiner bemühten sich nie um einen logischen Aufbau der jüdischen Religionslehre. Deshalb sind bis heute alle Versuche, die jüdische Theologie zu systematisieren, mehr oder minder gescheitert (vgl. Donin 1987). Dem Judentum war vielmehr daran gelegen, Bräuche zu entwickeln und einen Kodex religiöser Handlungen festzulegen, welche mehr als das religiöse Leben regeln. Folglich repräsentierte das Rabbinat nicht nur die religiöse Autorität des Judentums, sondern verkörperte und gewährleistete auch die im Talmud begründete Rechtstradition. Zwar entspringen diese sowie die Bräuche des Judentums theologischen und moralischen Begriffen bzw. Theorien. Wahrnehmbar sind jedoch nicht diese Konstrukte, sondern nur die daraus abgeleiteten religiösen Taten.</w:t>
      </w:r>
      <w:r w:rsidRPr="00E73F6F">
        <w:rPr>
          <w:spacing w:val="-5"/>
        </w:rPr>
        <w:t xml:space="preserve"> </w:t>
      </w:r>
      <w:r w:rsidRPr="00E73F6F">
        <w:t>Große</w:t>
      </w:r>
      <w:r w:rsidRPr="00E73F6F">
        <w:rPr>
          <w:spacing w:val="-6"/>
        </w:rPr>
        <w:t xml:space="preserve"> </w:t>
      </w:r>
      <w:r w:rsidRPr="00E73F6F">
        <w:t>Rabbiner</w:t>
      </w:r>
      <w:r w:rsidRPr="00E73F6F">
        <w:rPr>
          <w:spacing w:val="-8"/>
        </w:rPr>
        <w:t xml:space="preserve"> </w:t>
      </w:r>
      <w:r w:rsidRPr="00E73F6F">
        <w:t>legten</w:t>
      </w:r>
      <w:r w:rsidRPr="00E73F6F">
        <w:rPr>
          <w:spacing w:val="-7"/>
        </w:rPr>
        <w:t xml:space="preserve"> </w:t>
      </w:r>
      <w:r w:rsidRPr="00E73F6F">
        <w:t>deshalb</w:t>
      </w:r>
      <w:r w:rsidRPr="00E73F6F">
        <w:rPr>
          <w:spacing w:val="-4"/>
        </w:rPr>
        <w:t xml:space="preserve"> </w:t>
      </w:r>
      <w:r w:rsidRPr="00E73F6F">
        <w:t>vor</w:t>
      </w:r>
      <w:r w:rsidRPr="00E73F6F">
        <w:rPr>
          <w:spacing w:val="-8"/>
        </w:rPr>
        <w:t xml:space="preserve"> </w:t>
      </w:r>
      <w:r w:rsidRPr="00E73F6F">
        <w:t>allem</w:t>
      </w:r>
      <w:r w:rsidRPr="00E73F6F">
        <w:rPr>
          <w:spacing w:val="-5"/>
        </w:rPr>
        <w:t xml:space="preserve"> </w:t>
      </w:r>
      <w:r w:rsidRPr="00E73F6F">
        <w:t>Wert</w:t>
      </w:r>
      <w:r w:rsidRPr="00E73F6F">
        <w:rPr>
          <w:spacing w:val="-5"/>
        </w:rPr>
        <w:t xml:space="preserve"> </w:t>
      </w:r>
      <w:r w:rsidRPr="00E73F6F">
        <w:t>auf</w:t>
      </w:r>
      <w:r w:rsidRPr="00E73F6F">
        <w:rPr>
          <w:spacing w:val="-8"/>
        </w:rPr>
        <w:t xml:space="preserve"> </w:t>
      </w:r>
      <w:r w:rsidRPr="00E73F6F">
        <w:t>die</w:t>
      </w:r>
      <w:r w:rsidRPr="00E73F6F">
        <w:rPr>
          <w:spacing w:val="-6"/>
        </w:rPr>
        <w:t xml:space="preserve"> </w:t>
      </w:r>
      <w:r w:rsidRPr="00E73F6F">
        <w:t>'minjan</w:t>
      </w:r>
      <w:r w:rsidRPr="00E73F6F">
        <w:rPr>
          <w:spacing w:val="-4"/>
        </w:rPr>
        <w:t xml:space="preserve"> </w:t>
      </w:r>
      <w:r w:rsidRPr="00E73F6F">
        <w:t xml:space="preserve">ha-mitzwot', die Klassifizierung der 613 religiösen Pflichten, welche die Thora dem Juden </w:t>
      </w:r>
      <w:r w:rsidRPr="00E73F6F">
        <w:rPr>
          <w:spacing w:val="-2"/>
        </w:rPr>
        <w:t>auferlegt.</w:t>
      </w:r>
    </w:p>
    <w:p w14:paraId="70E2F44D" w14:textId="77777777" w:rsidR="00FF7799" w:rsidRPr="00E73F6F" w:rsidRDefault="00FF7799" w:rsidP="00C57646">
      <w:pPr>
        <w:pStyle w:val="StandardText"/>
      </w:pPr>
      <w:r w:rsidRPr="00E73F6F">
        <w:lastRenderedPageBreak/>
        <w:t>Die</w:t>
      </w:r>
      <w:r w:rsidRPr="00E73F6F">
        <w:rPr>
          <w:spacing w:val="-2"/>
        </w:rPr>
        <w:t xml:space="preserve"> </w:t>
      </w:r>
      <w:r w:rsidRPr="00E73F6F">
        <w:t>Halacha</w:t>
      </w:r>
      <w:r w:rsidRPr="00E73F6F">
        <w:rPr>
          <w:spacing w:val="-3"/>
        </w:rPr>
        <w:t xml:space="preserve"> </w:t>
      </w:r>
      <w:r w:rsidRPr="00E73F6F">
        <w:t>(=</w:t>
      </w:r>
      <w:r w:rsidRPr="00E73F6F">
        <w:rPr>
          <w:spacing w:val="-1"/>
        </w:rPr>
        <w:t xml:space="preserve"> </w:t>
      </w:r>
      <w:r w:rsidRPr="00E73F6F">
        <w:t>„der</w:t>
      </w:r>
      <w:r w:rsidRPr="00E73F6F">
        <w:rPr>
          <w:spacing w:val="-2"/>
        </w:rPr>
        <w:t xml:space="preserve"> </w:t>
      </w:r>
      <w:r w:rsidRPr="00E73F6F">
        <w:t>Weg,</w:t>
      </w:r>
      <w:r w:rsidRPr="00E73F6F">
        <w:rPr>
          <w:spacing w:val="-2"/>
        </w:rPr>
        <w:t xml:space="preserve"> </w:t>
      </w:r>
      <w:r w:rsidRPr="00E73F6F">
        <w:t>den</w:t>
      </w:r>
      <w:r w:rsidRPr="00E73F6F">
        <w:rPr>
          <w:spacing w:val="-2"/>
        </w:rPr>
        <w:t xml:space="preserve"> </w:t>
      </w:r>
      <w:r w:rsidRPr="00E73F6F">
        <w:t>man</w:t>
      </w:r>
      <w:r w:rsidRPr="00E73F6F">
        <w:rPr>
          <w:spacing w:val="-2"/>
        </w:rPr>
        <w:t xml:space="preserve"> </w:t>
      </w:r>
      <w:r w:rsidRPr="00E73F6F">
        <w:t>beschreitet“)</w:t>
      </w:r>
      <w:r w:rsidRPr="00E73F6F">
        <w:rPr>
          <w:spacing w:val="-2"/>
        </w:rPr>
        <w:t xml:space="preserve"> </w:t>
      </w:r>
      <w:r w:rsidRPr="00E73F6F">
        <w:t>verkörpert</w:t>
      </w:r>
      <w:r w:rsidRPr="00E73F6F">
        <w:rPr>
          <w:spacing w:val="-2"/>
        </w:rPr>
        <w:t xml:space="preserve"> </w:t>
      </w:r>
      <w:r w:rsidRPr="00E73F6F">
        <w:t>zugleich</w:t>
      </w:r>
      <w:r w:rsidRPr="00E73F6F">
        <w:rPr>
          <w:spacing w:val="-2"/>
        </w:rPr>
        <w:t xml:space="preserve"> </w:t>
      </w:r>
      <w:r w:rsidRPr="00E73F6F">
        <w:t>das</w:t>
      </w:r>
      <w:r w:rsidRPr="00E73F6F">
        <w:rPr>
          <w:spacing w:val="-3"/>
        </w:rPr>
        <w:t xml:space="preserve"> </w:t>
      </w:r>
      <w:r w:rsidRPr="00E73F6F">
        <w:t>jüdische Rechtssystem</w:t>
      </w:r>
      <w:r w:rsidRPr="00E73F6F">
        <w:rPr>
          <w:spacing w:val="-12"/>
        </w:rPr>
        <w:t xml:space="preserve"> </w:t>
      </w:r>
      <w:r w:rsidRPr="00E73F6F">
        <w:t>und</w:t>
      </w:r>
      <w:r w:rsidRPr="00E73F6F">
        <w:rPr>
          <w:spacing w:val="-11"/>
        </w:rPr>
        <w:t xml:space="preserve"> </w:t>
      </w:r>
      <w:r w:rsidRPr="00E73F6F">
        <w:t>einen</w:t>
      </w:r>
      <w:r w:rsidRPr="00E73F6F">
        <w:rPr>
          <w:spacing w:val="-11"/>
        </w:rPr>
        <w:t xml:space="preserve"> </w:t>
      </w:r>
      <w:r w:rsidRPr="00E73F6F">
        <w:t>wichtigen</w:t>
      </w:r>
      <w:r w:rsidRPr="00E73F6F">
        <w:rPr>
          <w:spacing w:val="-11"/>
        </w:rPr>
        <w:t xml:space="preserve"> </w:t>
      </w:r>
      <w:r w:rsidRPr="00E73F6F">
        <w:t>Teil</w:t>
      </w:r>
      <w:r w:rsidRPr="00E73F6F">
        <w:rPr>
          <w:spacing w:val="-12"/>
        </w:rPr>
        <w:t xml:space="preserve"> </w:t>
      </w:r>
      <w:r w:rsidRPr="00E73F6F">
        <w:t>der</w:t>
      </w:r>
      <w:r w:rsidRPr="00E73F6F">
        <w:rPr>
          <w:spacing w:val="-11"/>
        </w:rPr>
        <w:t xml:space="preserve"> </w:t>
      </w:r>
      <w:r w:rsidRPr="00E73F6F">
        <w:t>Theologie</w:t>
      </w:r>
      <w:r w:rsidRPr="00E73F6F">
        <w:rPr>
          <w:spacing w:val="-11"/>
        </w:rPr>
        <w:t xml:space="preserve"> </w:t>
      </w:r>
      <w:r w:rsidRPr="00E73F6F">
        <w:t>des</w:t>
      </w:r>
      <w:r w:rsidRPr="00E73F6F">
        <w:rPr>
          <w:spacing w:val="-11"/>
        </w:rPr>
        <w:t xml:space="preserve"> </w:t>
      </w:r>
      <w:r w:rsidRPr="00E73F6F">
        <w:t>Judentums.</w:t>
      </w:r>
      <w:r w:rsidRPr="00E73F6F">
        <w:rPr>
          <w:spacing w:val="-12"/>
        </w:rPr>
        <w:t xml:space="preserve"> </w:t>
      </w:r>
      <w:r w:rsidRPr="00E73F6F">
        <w:t>Sie</w:t>
      </w:r>
      <w:r w:rsidRPr="00E73F6F">
        <w:rPr>
          <w:spacing w:val="-11"/>
        </w:rPr>
        <w:t xml:space="preserve"> </w:t>
      </w:r>
      <w:r w:rsidRPr="00E73F6F">
        <w:t>setzt</w:t>
      </w:r>
      <w:r w:rsidRPr="00E73F6F">
        <w:rPr>
          <w:spacing w:val="-11"/>
        </w:rPr>
        <w:t xml:space="preserve"> </w:t>
      </w:r>
      <w:r w:rsidRPr="00E73F6F">
        <w:t>sich wenig mit theoretischen und hauptsächlich mit praktischen Problemen auseinander. Die Gläubigen sollen die Gebote ('mitzwot') zu jeder Zeit richtig anwenden können. Die Halacha beruht auf den Satzungen und Geboten der schriftlichen und mündlichen Tora sowie auf der rabbinischen Gesetzgebung. Hinzu</w:t>
      </w:r>
      <w:r w:rsidRPr="00E73F6F">
        <w:rPr>
          <w:spacing w:val="22"/>
        </w:rPr>
        <w:t xml:space="preserve"> </w:t>
      </w:r>
      <w:r w:rsidRPr="00E73F6F">
        <w:t>kommen</w:t>
      </w:r>
      <w:r w:rsidRPr="00E73F6F">
        <w:rPr>
          <w:spacing w:val="24"/>
        </w:rPr>
        <w:t xml:space="preserve"> </w:t>
      </w:r>
      <w:r w:rsidRPr="00E73F6F">
        <w:t>Verfügungen</w:t>
      </w:r>
      <w:r w:rsidRPr="00E73F6F">
        <w:rPr>
          <w:spacing w:val="23"/>
        </w:rPr>
        <w:t xml:space="preserve"> </w:t>
      </w:r>
      <w:r w:rsidRPr="00E73F6F">
        <w:t>und</w:t>
      </w:r>
      <w:r w:rsidRPr="00E73F6F">
        <w:rPr>
          <w:spacing w:val="24"/>
        </w:rPr>
        <w:t xml:space="preserve"> </w:t>
      </w:r>
      <w:r w:rsidRPr="00E73F6F">
        <w:t>religionsgerichtliche</w:t>
      </w:r>
      <w:r w:rsidRPr="00E73F6F">
        <w:rPr>
          <w:spacing w:val="23"/>
        </w:rPr>
        <w:t xml:space="preserve"> </w:t>
      </w:r>
      <w:r w:rsidRPr="00E73F6F">
        <w:t>Entscheidungen,</w:t>
      </w:r>
      <w:r w:rsidRPr="00E73F6F">
        <w:rPr>
          <w:spacing w:val="23"/>
        </w:rPr>
        <w:t xml:space="preserve"> </w:t>
      </w:r>
      <w:r w:rsidRPr="00E73F6F">
        <w:rPr>
          <w:spacing w:val="-2"/>
        </w:rPr>
        <w:t>welche</w:t>
      </w:r>
      <w:r w:rsidR="00B85FE4">
        <w:rPr>
          <w:spacing w:val="-2"/>
        </w:rPr>
        <w:t xml:space="preserve"> </w:t>
      </w:r>
      <w:r w:rsidRPr="00E73F6F">
        <w:t>die großen rabbinischen Gelehrten in Form von Kommentaren dokumentiert haben. Zusammen bilden diese</w:t>
      </w:r>
      <w:r w:rsidRPr="00E73F6F">
        <w:rPr>
          <w:spacing w:val="40"/>
        </w:rPr>
        <w:t xml:space="preserve"> </w:t>
      </w:r>
      <w:r w:rsidRPr="00E73F6F">
        <w:t>Schriften und Präzedenzfälle die Grundlage aktueller religionsgerichtlicher Entscheidungen. Im Gegensatz zu den von Rabbinern formulierten 'mitzwot', die unter bestimmten Bedingungen von dazu befugten Gelehrten modifiziert werden können, sind die göttlichen 'mitzwot' unveränderlich. Davon abzugrenzen sind die 'minhag', wie die weniger verbindlichen, z.B. regionalen Bräuche genannt werden.</w:t>
      </w:r>
    </w:p>
    <w:p w14:paraId="4DC32E79" w14:textId="77777777" w:rsidR="00FF7799" w:rsidRPr="00E73F6F" w:rsidRDefault="00FF7799" w:rsidP="00C57646">
      <w:pPr>
        <w:pStyle w:val="StandardText"/>
      </w:pPr>
      <w:r w:rsidRPr="00E73F6F">
        <w:t>Letztlich aber erfasst die Halacha jegliche Form von Beziehung, sei es zwischen Menschen oder zwischen Mensch und Gott. Deshalb bezieht sich diese Schrift nicht</w:t>
      </w:r>
      <w:r w:rsidRPr="00E73F6F">
        <w:rPr>
          <w:spacing w:val="-9"/>
        </w:rPr>
        <w:t xml:space="preserve"> </w:t>
      </w:r>
      <w:r w:rsidRPr="00E73F6F">
        <w:t>nur</w:t>
      </w:r>
      <w:r w:rsidRPr="00E73F6F">
        <w:rPr>
          <w:spacing w:val="-9"/>
        </w:rPr>
        <w:t xml:space="preserve"> </w:t>
      </w:r>
      <w:r w:rsidRPr="00E73F6F">
        <w:t>auf</w:t>
      </w:r>
      <w:r w:rsidRPr="00E73F6F">
        <w:rPr>
          <w:spacing w:val="-7"/>
        </w:rPr>
        <w:t xml:space="preserve"> </w:t>
      </w:r>
      <w:r w:rsidRPr="00E73F6F">
        <w:t>Ritual</w:t>
      </w:r>
      <w:r w:rsidRPr="00E73F6F">
        <w:rPr>
          <w:spacing w:val="-6"/>
        </w:rPr>
        <w:t xml:space="preserve"> </w:t>
      </w:r>
      <w:r w:rsidRPr="00E73F6F">
        <w:t>und</w:t>
      </w:r>
      <w:r w:rsidRPr="00E73F6F">
        <w:rPr>
          <w:spacing w:val="-8"/>
        </w:rPr>
        <w:t xml:space="preserve"> </w:t>
      </w:r>
      <w:r w:rsidRPr="00E73F6F">
        <w:t>Religion,</w:t>
      </w:r>
      <w:r w:rsidRPr="00E73F6F">
        <w:rPr>
          <w:spacing w:val="-11"/>
        </w:rPr>
        <w:t xml:space="preserve"> </w:t>
      </w:r>
      <w:r w:rsidRPr="00E73F6F">
        <w:t>sondern</w:t>
      </w:r>
      <w:r w:rsidRPr="00E73F6F">
        <w:rPr>
          <w:spacing w:val="-6"/>
        </w:rPr>
        <w:t xml:space="preserve"> </w:t>
      </w:r>
      <w:r w:rsidRPr="00E73F6F">
        <w:t>auch</w:t>
      </w:r>
      <w:r w:rsidRPr="00E73F6F">
        <w:rPr>
          <w:spacing w:val="-6"/>
        </w:rPr>
        <w:t xml:space="preserve"> </w:t>
      </w:r>
      <w:r w:rsidRPr="00E73F6F">
        <w:t>auf</w:t>
      </w:r>
      <w:r w:rsidRPr="00E73F6F">
        <w:rPr>
          <w:spacing w:val="-7"/>
        </w:rPr>
        <w:t xml:space="preserve"> </w:t>
      </w:r>
      <w:r w:rsidRPr="00E73F6F">
        <w:t>Moral</w:t>
      </w:r>
      <w:r w:rsidRPr="00E73F6F">
        <w:rPr>
          <w:spacing w:val="-6"/>
        </w:rPr>
        <w:t xml:space="preserve"> </w:t>
      </w:r>
      <w:r w:rsidRPr="00E73F6F">
        <w:t>und</w:t>
      </w:r>
      <w:r w:rsidRPr="00E73F6F">
        <w:rPr>
          <w:spacing w:val="-8"/>
        </w:rPr>
        <w:t xml:space="preserve"> </w:t>
      </w:r>
      <w:r w:rsidRPr="00E73F6F">
        <w:t>Ethik</w:t>
      </w:r>
      <w:r w:rsidRPr="00E73F6F">
        <w:rPr>
          <w:spacing w:val="-8"/>
        </w:rPr>
        <w:t xml:space="preserve"> </w:t>
      </w:r>
      <w:r w:rsidRPr="00E73F6F">
        <w:t>und</w:t>
      </w:r>
      <w:r w:rsidRPr="00E73F6F">
        <w:rPr>
          <w:spacing w:val="-6"/>
        </w:rPr>
        <w:t xml:space="preserve"> </w:t>
      </w:r>
      <w:r w:rsidRPr="00E73F6F">
        <w:t>sogar</w:t>
      </w:r>
      <w:r w:rsidRPr="00E73F6F">
        <w:rPr>
          <w:spacing w:val="-7"/>
        </w:rPr>
        <w:t xml:space="preserve"> </w:t>
      </w:r>
      <w:r w:rsidRPr="00E73F6F">
        <w:t>auf das Zivil- und Kriminalrecht. Wie die jüdische Religion, so ist auch die Halacha omnipräsent.</w:t>
      </w:r>
      <w:r w:rsidRPr="00E73F6F">
        <w:rPr>
          <w:spacing w:val="-6"/>
        </w:rPr>
        <w:t xml:space="preserve"> </w:t>
      </w:r>
      <w:r w:rsidRPr="00E73F6F">
        <w:t>Sie</w:t>
      </w:r>
      <w:r w:rsidRPr="00E73F6F">
        <w:rPr>
          <w:spacing w:val="-8"/>
        </w:rPr>
        <w:t xml:space="preserve"> </w:t>
      </w:r>
      <w:r w:rsidRPr="00E73F6F">
        <w:t>gilt</w:t>
      </w:r>
      <w:r w:rsidRPr="00E73F6F">
        <w:rPr>
          <w:spacing w:val="-7"/>
        </w:rPr>
        <w:t xml:space="preserve"> </w:t>
      </w:r>
      <w:r w:rsidRPr="00E73F6F">
        <w:t>für</w:t>
      </w:r>
      <w:r w:rsidRPr="00E73F6F">
        <w:rPr>
          <w:spacing w:val="-8"/>
        </w:rPr>
        <w:t xml:space="preserve"> </w:t>
      </w:r>
      <w:r w:rsidRPr="00E73F6F">
        <w:t>alle</w:t>
      </w:r>
      <w:r w:rsidRPr="00E73F6F">
        <w:rPr>
          <w:spacing w:val="-6"/>
        </w:rPr>
        <w:t xml:space="preserve"> </w:t>
      </w:r>
      <w:r w:rsidRPr="00E73F6F">
        <w:t>Bereiche</w:t>
      </w:r>
      <w:r w:rsidRPr="00E73F6F">
        <w:rPr>
          <w:spacing w:val="-6"/>
        </w:rPr>
        <w:t xml:space="preserve"> </w:t>
      </w:r>
      <w:r w:rsidRPr="00E73F6F">
        <w:t>menschlichen</w:t>
      </w:r>
      <w:r w:rsidRPr="00E73F6F">
        <w:rPr>
          <w:spacing w:val="-4"/>
        </w:rPr>
        <w:t xml:space="preserve"> </w:t>
      </w:r>
      <w:r w:rsidRPr="00E73F6F">
        <w:t>Verhaltens</w:t>
      </w:r>
      <w:r w:rsidRPr="00E73F6F">
        <w:rPr>
          <w:spacing w:val="-6"/>
        </w:rPr>
        <w:t xml:space="preserve"> </w:t>
      </w:r>
      <w:r w:rsidRPr="00E73F6F">
        <w:t>(vgl.</w:t>
      </w:r>
      <w:r w:rsidRPr="00E73F6F">
        <w:rPr>
          <w:spacing w:val="-5"/>
        </w:rPr>
        <w:t xml:space="preserve"> </w:t>
      </w:r>
      <w:r w:rsidRPr="00E73F6F">
        <w:t>Donin</w:t>
      </w:r>
      <w:r w:rsidRPr="00E73F6F">
        <w:rPr>
          <w:spacing w:val="-6"/>
        </w:rPr>
        <w:t xml:space="preserve"> </w:t>
      </w:r>
      <w:r w:rsidRPr="00E73F6F">
        <w:t xml:space="preserve">1987, </w:t>
      </w:r>
      <w:r w:rsidRPr="00E73F6F">
        <w:rPr>
          <w:spacing w:val="-2"/>
        </w:rPr>
        <w:t>S.31f.).</w:t>
      </w:r>
    </w:p>
    <w:p w14:paraId="53DAC594" w14:textId="77777777" w:rsidR="00FF7799" w:rsidRPr="00E73F6F" w:rsidRDefault="00FF7799" w:rsidP="00C57646">
      <w:pPr>
        <w:pStyle w:val="StandardText"/>
      </w:pPr>
      <w:r w:rsidRPr="00E73F6F">
        <w:t>Ein orthodoxer Jude hat sich zu mäßigen und darf nur solche Dinge verlangen, ohne die er nicht überleben kann (vgl. Tab. 1). Weitere Verhaltensvorschriften besagen, dass der Rechtgläubige koscher zu essen, den Sabbat zu halten und die Synagoge zu besuchen hat. Männer müssen mehr 'mizwot' befolgen als Frauen.</w:t>
      </w:r>
    </w:p>
    <w:p w14:paraId="0ADA8EA5" w14:textId="77777777" w:rsidR="00FF7799" w:rsidRPr="007D6CC1" w:rsidRDefault="00FF7799" w:rsidP="00862DBA">
      <w:pPr>
        <w:spacing w:before="9"/>
        <w:rPr>
          <w:i/>
          <w:iCs/>
          <w:sz w:val="24"/>
          <w:szCs w:val="24"/>
        </w:rPr>
      </w:pPr>
    </w:p>
    <w:p w14:paraId="7D9EF52D" w14:textId="77777777" w:rsidR="00FF7799" w:rsidRPr="007D6CC1" w:rsidRDefault="00FF7799" w:rsidP="00C57646">
      <w:pPr>
        <w:pStyle w:val="BeschriftungTab"/>
        <w:rPr>
          <w:i/>
          <w:iCs/>
        </w:rPr>
      </w:pPr>
      <w:r w:rsidRPr="007D6CC1">
        <w:rPr>
          <w:i/>
          <w:iCs/>
        </w:rPr>
        <w:t>Tab. 1: Regeln</w:t>
      </w:r>
      <w:r w:rsidRPr="007D6CC1">
        <w:rPr>
          <w:i/>
          <w:iCs/>
          <w:spacing w:val="-1"/>
        </w:rPr>
        <w:t xml:space="preserve"> </w:t>
      </w:r>
      <w:r w:rsidRPr="007D6CC1">
        <w:rPr>
          <w:i/>
          <w:iCs/>
        </w:rPr>
        <w:t>der</w:t>
      </w:r>
      <w:r w:rsidRPr="007D6CC1">
        <w:rPr>
          <w:i/>
          <w:iCs/>
          <w:spacing w:val="-1"/>
        </w:rPr>
        <w:t xml:space="preserve"> </w:t>
      </w:r>
      <w:r w:rsidRPr="007D6CC1">
        <w:rPr>
          <w:i/>
          <w:iCs/>
        </w:rPr>
        <w:t>Lebensführung</w:t>
      </w:r>
      <w:r w:rsidRPr="007D6CC1">
        <w:rPr>
          <w:i/>
          <w:iCs/>
          <w:spacing w:val="-3"/>
        </w:rPr>
        <w:t xml:space="preserve"> </w:t>
      </w:r>
      <w:r w:rsidRPr="007D6CC1">
        <w:rPr>
          <w:i/>
          <w:iCs/>
        </w:rPr>
        <w:t>gemäß</w:t>
      </w:r>
      <w:r w:rsidRPr="007D6CC1">
        <w:rPr>
          <w:i/>
          <w:iCs/>
          <w:spacing w:val="-2"/>
        </w:rPr>
        <w:t xml:space="preserve"> </w:t>
      </w:r>
      <w:r w:rsidRPr="007D6CC1">
        <w:rPr>
          <w:i/>
          <w:iCs/>
        </w:rPr>
        <w:t>der</w:t>
      </w:r>
      <w:r w:rsidRPr="007D6CC1">
        <w:rPr>
          <w:i/>
          <w:iCs/>
          <w:spacing w:val="-1"/>
        </w:rPr>
        <w:t xml:space="preserve"> </w:t>
      </w:r>
      <w:r w:rsidRPr="007D6CC1">
        <w:rPr>
          <w:i/>
          <w:iCs/>
          <w:spacing w:val="-2"/>
        </w:rPr>
        <w:t>Halacha</w:t>
      </w:r>
    </w:p>
    <w:tbl>
      <w:tblPr>
        <w:tblStyle w:val="TableNormal"/>
        <w:tblW w:w="5000" w:type="pct"/>
        <w:jc w:val="right"/>
        <w:tblLook w:val="01E0" w:firstRow="1" w:lastRow="1" w:firstColumn="1" w:lastColumn="1" w:noHBand="0" w:noVBand="0"/>
      </w:tblPr>
      <w:tblGrid>
        <w:gridCol w:w="1134"/>
        <w:gridCol w:w="7938"/>
      </w:tblGrid>
      <w:tr w:rsidR="00FF7799" w:rsidRPr="00E73F6F" w14:paraId="67815E2A" w14:textId="77777777" w:rsidTr="00C57646">
        <w:trPr>
          <w:trHeight w:val="333"/>
          <w:tblHeader/>
          <w:jc w:val="right"/>
        </w:trPr>
        <w:tc>
          <w:tcPr>
            <w:tcW w:w="625" w:type="pct"/>
            <w:tcBorders>
              <w:top w:val="single" w:sz="4" w:space="0" w:color="auto"/>
            </w:tcBorders>
            <w:shd w:val="clear" w:color="auto" w:fill="FFC000" w:themeFill="accent4"/>
          </w:tcPr>
          <w:p w14:paraId="5630CA1D" w14:textId="77777777" w:rsidR="00FF7799" w:rsidRPr="00E73F6F" w:rsidRDefault="00FF7799" w:rsidP="00C57646">
            <w:pPr>
              <w:pStyle w:val="StandardText"/>
              <w:spacing w:after="120"/>
              <w:rPr>
                <w:b/>
                <w:lang w:val="de-DE"/>
              </w:rPr>
            </w:pPr>
            <w:r w:rsidRPr="00E73F6F">
              <w:rPr>
                <w:b/>
                <w:lang w:val="de-DE"/>
              </w:rPr>
              <w:t>Kapitel</w:t>
            </w:r>
          </w:p>
        </w:tc>
        <w:tc>
          <w:tcPr>
            <w:tcW w:w="4375" w:type="pct"/>
            <w:tcBorders>
              <w:top w:val="single" w:sz="4" w:space="0" w:color="auto"/>
            </w:tcBorders>
            <w:shd w:val="clear" w:color="auto" w:fill="FFC000" w:themeFill="accent4"/>
          </w:tcPr>
          <w:p w14:paraId="28C6A3A9" w14:textId="77777777" w:rsidR="00FF7799" w:rsidRPr="00E73F6F" w:rsidRDefault="00FF7799" w:rsidP="00C57646">
            <w:pPr>
              <w:pStyle w:val="StandardText"/>
              <w:spacing w:after="120"/>
              <w:rPr>
                <w:b/>
                <w:lang w:val="de-DE"/>
              </w:rPr>
            </w:pPr>
            <w:r w:rsidRPr="00E73F6F">
              <w:rPr>
                <w:b/>
                <w:lang w:val="de-DE"/>
              </w:rPr>
              <w:t>Gegenstand</w:t>
            </w:r>
            <w:r w:rsidRPr="00E73F6F">
              <w:rPr>
                <w:b/>
                <w:spacing w:val="-6"/>
                <w:lang w:val="de-DE"/>
              </w:rPr>
              <w:t xml:space="preserve"> </w:t>
            </w:r>
            <w:r w:rsidRPr="00E73F6F">
              <w:rPr>
                <w:b/>
                <w:lang w:val="de-DE"/>
              </w:rPr>
              <w:t>der</w:t>
            </w:r>
            <w:r w:rsidRPr="00E73F6F">
              <w:rPr>
                <w:b/>
                <w:spacing w:val="-6"/>
                <w:lang w:val="de-DE"/>
              </w:rPr>
              <w:t xml:space="preserve"> </w:t>
            </w:r>
            <w:r w:rsidRPr="00E73F6F">
              <w:rPr>
                <w:b/>
                <w:lang w:val="de-DE"/>
              </w:rPr>
              <w:t>Vorschrift</w:t>
            </w:r>
          </w:p>
        </w:tc>
      </w:tr>
      <w:tr w:rsidR="00FF7799" w:rsidRPr="00E73F6F" w14:paraId="5451B059" w14:textId="77777777" w:rsidTr="00926A05">
        <w:trPr>
          <w:trHeight w:val="328"/>
          <w:jc w:val="right"/>
        </w:trPr>
        <w:tc>
          <w:tcPr>
            <w:tcW w:w="625" w:type="pct"/>
            <w:tcBorders>
              <w:bottom w:val="single" w:sz="4" w:space="0" w:color="000000"/>
            </w:tcBorders>
            <w:shd w:val="clear" w:color="auto" w:fill="FFF2CC" w:themeFill="accent4" w:themeFillTint="33"/>
          </w:tcPr>
          <w:p w14:paraId="69064DF1" w14:textId="77777777" w:rsidR="00FF7799" w:rsidRPr="00E73F6F" w:rsidRDefault="00FF7799" w:rsidP="00C57646">
            <w:pPr>
              <w:pStyle w:val="StandardText"/>
              <w:spacing w:beforeLines="20" w:before="48"/>
              <w:rPr>
                <w:lang w:val="de-DE"/>
              </w:rPr>
            </w:pPr>
            <w:r w:rsidRPr="00E73F6F">
              <w:rPr>
                <w:lang w:val="de-DE"/>
              </w:rPr>
              <w:t>1</w:t>
            </w:r>
            <w:r w:rsidRPr="00E73F6F">
              <w:rPr>
                <w:spacing w:val="2"/>
                <w:lang w:val="de-DE"/>
              </w:rPr>
              <w:t xml:space="preserve"> </w:t>
            </w:r>
            <w:r w:rsidRPr="00E73F6F">
              <w:rPr>
                <w:lang w:val="de-DE"/>
              </w:rPr>
              <w:t>-</w:t>
            </w:r>
            <w:r w:rsidRPr="00E73F6F">
              <w:rPr>
                <w:spacing w:val="-3"/>
                <w:lang w:val="de-DE"/>
              </w:rPr>
              <w:t xml:space="preserve"> </w:t>
            </w:r>
            <w:r w:rsidRPr="00E73F6F">
              <w:rPr>
                <w:spacing w:val="-5"/>
                <w:lang w:val="de-DE"/>
              </w:rPr>
              <w:t>28</w:t>
            </w:r>
          </w:p>
        </w:tc>
        <w:tc>
          <w:tcPr>
            <w:tcW w:w="4375" w:type="pct"/>
            <w:tcBorders>
              <w:bottom w:val="single" w:sz="4" w:space="0" w:color="000000"/>
            </w:tcBorders>
          </w:tcPr>
          <w:p w14:paraId="31E90AD7" w14:textId="77777777" w:rsidR="00FF7799" w:rsidRPr="00E73F6F" w:rsidRDefault="00FF7799" w:rsidP="00C57646">
            <w:pPr>
              <w:pStyle w:val="StandardText"/>
              <w:spacing w:beforeLines="20" w:before="48"/>
              <w:rPr>
                <w:lang w:val="de-DE"/>
              </w:rPr>
            </w:pPr>
            <w:r w:rsidRPr="00E73F6F">
              <w:rPr>
                <w:lang w:val="de-DE"/>
              </w:rPr>
              <w:t>Das</w:t>
            </w:r>
            <w:r w:rsidRPr="00E73F6F">
              <w:rPr>
                <w:spacing w:val="-3"/>
                <w:lang w:val="de-DE"/>
              </w:rPr>
              <w:t xml:space="preserve"> </w:t>
            </w:r>
            <w:r w:rsidRPr="00E73F6F">
              <w:rPr>
                <w:lang w:val="de-DE"/>
              </w:rPr>
              <w:t>Morgengebet</w:t>
            </w:r>
          </w:p>
        </w:tc>
      </w:tr>
      <w:tr w:rsidR="00FF7799" w:rsidRPr="00E73F6F" w14:paraId="5A81C598" w14:textId="77777777" w:rsidTr="00926A05">
        <w:trPr>
          <w:trHeight w:val="321"/>
          <w:jc w:val="right"/>
        </w:trPr>
        <w:tc>
          <w:tcPr>
            <w:tcW w:w="625" w:type="pct"/>
            <w:tcBorders>
              <w:top w:val="single" w:sz="4" w:space="0" w:color="000000"/>
              <w:bottom w:val="single" w:sz="4" w:space="0" w:color="000000"/>
            </w:tcBorders>
            <w:shd w:val="clear" w:color="auto" w:fill="FFF2CC" w:themeFill="accent4" w:themeFillTint="33"/>
          </w:tcPr>
          <w:p w14:paraId="5CE722CB" w14:textId="77777777" w:rsidR="00FF7799" w:rsidRPr="00E73F6F" w:rsidRDefault="00FF7799" w:rsidP="00C57646">
            <w:pPr>
              <w:pStyle w:val="StandardText"/>
              <w:spacing w:beforeLines="20" w:before="48"/>
              <w:rPr>
                <w:lang w:val="de-DE"/>
              </w:rPr>
            </w:pPr>
            <w:r w:rsidRPr="00E73F6F">
              <w:rPr>
                <w:lang w:val="de-DE"/>
              </w:rPr>
              <w:t>29</w:t>
            </w:r>
            <w:r w:rsidRPr="00E73F6F">
              <w:rPr>
                <w:spacing w:val="-1"/>
                <w:lang w:val="de-DE"/>
              </w:rPr>
              <w:t xml:space="preserve"> </w:t>
            </w:r>
            <w:r w:rsidRPr="00E73F6F">
              <w:rPr>
                <w:lang w:val="de-DE"/>
              </w:rPr>
              <w:t xml:space="preserve">- </w:t>
            </w:r>
            <w:r w:rsidRPr="00E73F6F">
              <w:rPr>
                <w:spacing w:val="-5"/>
                <w:lang w:val="de-DE"/>
              </w:rPr>
              <w:t>34</w:t>
            </w:r>
          </w:p>
        </w:tc>
        <w:tc>
          <w:tcPr>
            <w:tcW w:w="4375" w:type="pct"/>
            <w:tcBorders>
              <w:top w:val="single" w:sz="4" w:space="0" w:color="000000"/>
              <w:bottom w:val="single" w:sz="4" w:space="0" w:color="000000"/>
            </w:tcBorders>
          </w:tcPr>
          <w:p w14:paraId="2A2EA522" w14:textId="77777777" w:rsidR="00FF7799" w:rsidRPr="00E73F6F" w:rsidRDefault="00FF7799" w:rsidP="00C57646">
            <w:pPr>
              <w:pStyle w:val="StandardText"/>
              <w:spacing w:beforeLines="20" w:before="48"/>
              <w:rPr>
                <w:lang w:val="de-DE"/>
              </w:rPr>
            </w:pPr>
            <w:r w:rsidRPr="00E73F6F">
              <w:rPr>
                <w:lang w:val="de-DE"/>
              </w:rPr>
              <w:t>Die</w:t>
            </w:r>
            <w:r w:rsidRPr="00E73F6F">
              <w:rPr>
                <w:spacing w:val="-4"/>
                <w:lang w:val="de-DE"/>
              </w:rPr>
              <w:t xml:space="preserve"> </w:t>
            </w:r>
            <w:r w:rsidRPr="00E73F6F">
              <w:rPr>
                <w:lang w:val="de-DE"/>
              </w:rPr>
              <w:t>Lebensführung</w:t>
            </w:r>
            <w:r w:rsidRPr="00E73F6F">
              <w:rPr>
                <w:spacing w:val="-6"/>
                <w:lang w:val="de-DE"/>
              </w:rPr>
              <w:t xml:space="preserve"> </w:t>
            </w:r>
            <w:r w:rsidRPr="00E73F6F">
              <w:rPr>
                <w:lang w:val="de-DE"/>
              </w:rPr>
              <w:t>(z.B.</w:t>
            </w:r>
            <w:r w:rsidRPr="00E73F6F">
              <w:rPr>
                <w:spacing w:val="-6"/>
                <w:lang w:val="de-DE"/>
              </w:rPr>
              <w:t xml:space="preserve"> </w:t>
            </w:r>
            <w:r w:rsidRPr="00E73F6F">
              <w:rPr>
                <w:lang w:val="de-DE"/>
              </w:rPr>
              <w:t>Tugenden,</w:t>
            </w:r>
            <w:r w:rsidRPr="00E73F6F">
              <w:rPr>
                <w:spacing w:val="-8"/>
                <w:lang w:val="de-DE"/>
              </w:rPr>
              <w:t xml:space="preserve"> </w:t>
            </w:r>
            <w:r w:rsidRPr="00E73F6F">
              <w:rPr>
                <w:lang w:val="de-DE"/>
              </w:rPr>
              <w:t>Verbot</w:t>
            </w:r>
            <w:r w:rsidRPr="00E73F6F">
              <w:rPr>
                <w:spacing w:val="-6"/>
                <w:lang w:val="de-DE"/>
              </w:rPr>
              <w:t xml:space="preserve"> </w:t>
            </w:r>
            <w:r w:rsidRPr="00E73F6F">
              <w:rPr>
                <w:lang w:val="de-DE"/>
              </w:rPr>
              <w:t>der</w:t>
            </w:r>
            <w:r w:rsidRPr="00E73F6F">
              <w:rPr>
                <w:spacing w:val="-5"/>
                <w:lang w:val="de-DE"/>
              </w:rPr>
              <w:t xml:space="preserve"> </w:t>
            </w:r>
            <w:r w:rsidRPr="00E73F6F">
              <w:rPr>
                <w:lang w:val="de-DE"/>
              </w:rPr>
              <w:t>Verleumdung)</w:t>
            </w:r>
          </w:p>
        </w:tc>
      </w:tr>
      <w:tr w:rsidR="00FF7799" w:rsidRPr="00E73F6F" w14:paraId="0AD83378" w14:textId="77777777" w:rsidTr="00926A05">
        <w:trPr>
          <w:trHeight w:val="323"/>
          <w:jc w:val="right"/>
        </w:trPr>
        <w:tc>
          <w:tcPr>
            <w:tcW w:w="625" w:type="pct"/>
            <w:tcBorders>
              <w:top w:val="single" w:sz="4" w:space="0" w:color="000000"/>
              <w:bottom w:val="single" w:sz="4" w:space="0" w:color="000000"/>
            </w:tcBorders>
            <w:shd w:val="clear" w:color="auto" w:fill="FFF2CC" w:themeFill="accent4" w:themeFillTint="33"/>
          </w:tcPr>
          <w:p w14:paraId="3F86338F" w14:textId="77777777" w:rsidR="00FF7799" w:rsidRPr="00E73F6F" w:rsidRDefault="00FF7799" w:rsidP="00C57646">
            <w:pPr>
              <w:pStyle w:val="StandardText"/>
              <w:spacing w:beforeLines="20" w:before="48"/>
              <w:rPr>
                <w:lang w:val="de-DE"/>
              </w:rPr>
            </w:pPr>
            <w:r w:rsidRPr="00E73F6F">
              <w:rPr>
                <w:lang w:val="de-DE"/>
              </w:rPr>
              <w:t>35</w:t>
            </w:r>
            <w:r w:rsidRPr="00E73F6F">
              <w:rPr>
                <w:spacing w:val="-1"/>
                <w:lang w:val="de-DE"/>
              </w:rPr>
              <w:t xml:space="preserve"> </w:t>
            </w:r>
            <w:r w:rsidRPr="00E73F6F">
              <w:rPr>
                <w:lang w:val="de-DE"/>
              </w:rPr>
              <w:t xml:space="preserve">- </w:t>
            </w:r>
            <w:r w:rsidRPr="00E73F6F">
              <w:rPr>
                <w:spacing w:val="-5"/>
                <w:lang w:val="de-DE"/>
              </w:rPr>
              <w:t>61</w:t>
            </w:r>
          </w:p>
        </w:tc>
        <w:tc>
          <w:tcPr>
            <w:tcW w:w="4375" w:type="pct"/>
            <w:tcBorders>
              <w:top w:val="single" w:sz="4" w:space="0" w:color="000000"/>
              <w:bottom w:val="single" w:sz="4" w:space="0" w:color="000000"/>
            </w:tcBorders>
          </w:tcPr>
          <w:p w14:paraId="1A74B88A" w14:textId="77777777" w:rsidR="00FF7799" w:rsidRPr="00E73F6F" w:rsidRDefault="00FF7799" w:rsidP="00C57646">
            <w:pPr>
              <w:pStyle w:val="StandardText"/>
              <w:spacing w:beforeLines="20" w:before="48"/>
              <w:rPr>
                <w:lang w:val="de-DE"/>
              </w:rPr>
            </w:pPr>
            <w:r w:rsidRPr="00E73F6F">
              <w:rPr>
                <w:lang w:val="de-DE"/>
              </w:rPr>
              <w:t>Speisegesetze</w:t>
            </w:r>
          </w:p>
        </w:tc>
      </w:tr>
      <w:tr w:rsidR="00FF7799" w:rsidRPr="00E73F6F" w14:paraId="366EA782" w14:textId="77777777" w:rsidTr="00926A05">
        <w:trPr>
          <w:trHeight w:val="1552"/>
          <w:jc w:val="right"/>
        </w:trPr>
        <w:tc>
          <w:tcPr>
            <w:tcW w:w="625" w:type="pct"/>
            <w:tcBorders>
              <w:top w:val="single" w:sz="4" w:space="0" w:color="000000"/>
              <w:bottom w:val="single" w:sz="4" w:space="0" w:color="000000"/>
            </w:tcBorders>
            <w:shd w:val="clear" w:color="auto" w:fill="FFF2CC" w:themeFill="accent4" w:themeFillTint="33"/>
          </w:tcPr>
          <w:p w14:paraId="233B31F3" w14:textId="77777777" w:rsidR="00FF7799" w:rsidRPr="00E73F6F" w:rsidRDefault="00FF7799" w:rsidP="00C57646">
            <w:pPr>
              <w:pStyle w:val="StandardText"/>
              <w:spacing w:beforeLines="20" w:before="48"/>
              <w:rPr>
                <w:lang w:val="de-DE"/>
              </w:rPr>
            </w:pPr>
            <w:r w:rsidRPr="00E73F6F">
              <w:rPr>
                <w:lang w:val="de-DE"/>
              </w:rPr>
              <w:t>62</w:t>
            </w:r>
            <w:r w:rsidRPr="00E73F6F">
              <w:rPr>
                <w:spacing w:val="-1"/>
                <w:lang w:val="de-DE"/>
              </w:rPr>
              <w:t xml:space="preserve"> </w:t>
            </w:r>
            <w:r w:rsidRPr="00E73F6F">
              <w:rPr>
                <w:lang w:val="de-DE"/>
              </w:rPr>
              <w:t xml:space="preserve">- </w:t>
            </w:r>
            <w:r w:rsidRPr="00E73F6F">
              <w:rPr>
                <w:spacing w:val="-5"/>
                <w:lang w:val="de-DE"/>
              </w:rPr>
              <w:t>67</w:t>
            </w:r>
          </w:p>
        </w:tc>
        <w:tc>
          <w:tcPr>
            <w:tcW w:w="4375" w:type="pct"/>
            <w:tcBorders>
              <w:top w:val="single" w:sz="4" w:space="0" w:color="000000"/>
              <w:bottom w:val="single" w:sz="4" w:space="0" w:color="000000"/>
            </w:tcBorders>
          </w:tcPr>
          <w:p w14:paraId="30F80953" w14:textId="77777777" w:rsidR="00FF7799" w:rsidRPr="00E73F6F" w:rsidRDefault="00FF7799" w:rsidP="00C57646">
            <w:pPr>
              <w:pStyle w:val="StandardText"/>
              <w:spacing w:beforeLines="20" w:before="48"/>
              <w:rPr>
                <w:lang w:val="de-DE"/>
              </w:rPr>
            </w:pPr>
            <w:r w:rsidRPr="00E73F6F">
              <w:rPr>
                <w:lang w:val="de-DE"/>
              </w:rPr>
              <w:t>Das</w:t>
            </w:r>
            <w:r w:rsidRPr="00E73F6F">
              <w:rPr>
                <w:spacing w:val="-3"/>
                <w:lang w:val="de-DE"/>
              </w:rPr>
              <w:t xml:space="preserve"> </w:t>
            </w:r>
            <w:r w:rsidRPr="00E73F6F">
              <w:rPr>
                <w:lang w:val="de-DE"/>
              </w:rPr>
              <w:t>Berufsleben</w:t>
            </w:r>
          </w:p>
          <w:p w14:paraId="368A8B05" w14:textId="77777777" w:rsidR="00FF7799" w:rsidRPr="00E73F6F" w:rsidRDefault="00FF7799" w:rsidP="00C57646">
            <w:pPr>
              <w:pStyle w:val="StandardText"/>
              <w:spacing w:beforeLines="20" w:before="48"/>
              <w:rPr>
                <w:lang w:val="de-DE"/>
              </w:rPr>
            </w:pPr>
            <w:r w:rsidRPr="00E73F6F">
              <w:rPr>
                <w:lang w:val="de-DE"/>
              </w:rPr>
              <w:t>Vorschriften</w:t>
            </w:r>
            <w:r w:rsidRPr="00E73F6F">
              <w:rPr>
                <w:spacing w:val="-5"/>
                <w:lang w:val="de-DE"/>
              </w:rPr>
              <w:t xml:space="preserve"> </w:t>
            </w:r>
            <w:r w:rsidRPr="00E73F6F">
              <w:rPr>
                <w:lang w:val="de-DE"/>
              </w:rPr>
              <w:t>für</w:t>
            </w:r>
            <w:r w:rsidRPr="00E73F6F">
              <w:rPr>
                <w:spacing w:val="-8"/>
                <w:lang w:val="de-DE"/>
              </w:rPr>
              <w:t xml:space="preserve"> </w:t>
            </w:r>
            <w:r w:rsidRPr="00E73F6F">
              <w:rPr>
                <w:lang w:val="de-DE"/>
              </w:rPr>
              <w:t>das</w:t>
            </w:r>
            <w:r w:rsidRPr="00E73F6F">
              <w:rPr>
                <w:spacing w:val="-8"/>
                <w:lang w:val="de-DE"/>
              </w:rPr>
              <w:t xml:space="preserve"> </w:t>
            </w:r>
            <w:r w:rsidRPr="00E73F6F">
              <w:rPr>
                <w:lang w:val="de-DE"/>
              </w:rPr>
              <w:t>Erwerbsleben</w:t>
            </w:r>
            <w:r w:rsidRPr="00E73F6F">
              <w:rPr>
                <w:spacing w:val="-4"/>
                <w:lang w:val="de-DE"/>
              </w:rPr>
              <w:t xml:space="preserve"> </w:t>
            </w:r>
            <w:r w:rsidRPr="00E73F6F">
              <w:rPr>
                <w:lang w:val="de-DE"/>
              </w:rPr>
              <w:t>(Kap.</w:t>
            </w:r>
            <w:r w:rsidRPr="00E73F6F">
              <w:rPr>
                <w:spacing w:val="-7"/>
                <w:lang w:val="de-DE"/>
              </w:rPr>
              <w:t xml:space="preserve"> </w:t>
            </w:r>
            <w:r w:rsidRPr="00E73F6F">
              <w:rPr>
                <w:spacing w:val="-5"/>
                <w:lang w:val="de-DE"/>
              </w:rPr>
              <w:t>62)</w:t>
            </w:r>
          </w:p>
          <w:p w14:paraId="7C041ECC" w14:textId="77777777" w:rsidR="00FF7799" w:rsidRPr="00E73F6F" w:rsidRDefault="00FF7799" w:rsidP="00C57646">
            <w:pPr>
              <w:pStyle w:val="StandardText"/>
              <w:spacing w:beforeLines="20" w:before="48"/>
              <w:rPr>
                <w:lang w:val="de-DE"/>
              </w:rPr>
            </w:pPr>
            <w:r w:rsidRPr="00E73F6F">
              <w:rPr>
                <w:lang w:val="de-DE"/>
              </w:rPr>
              <w:t>Das</w:t>
            </w:r>
            <w:r w:rsidRPr="00E73F6F">
              <w:rPr>
                <w:spacing w:val="-4"/>
                <w:lang w:val="de-DE"/>
              </w:rPr>
              <w:t xml:space="preserve"> </w:t>
            </w:r>
            <w:r w:rsidRPr="00E73F6F">
              <w:rPr>
                <w:lang w:val="de-DE"/>
              </w:rPr>
              <w:t>Verbot,</w:t>
            </w:r>
            <w:r w:rsidRPr="00E73F6F">
              <w:rPr>
                <w:spacing w:val="-3"/>
                <w:lang w:val="de-DE"/>
              </w:rPr>
              <w:t xml:space="preserve"> </w:t>
            </w:r>
            <w:r w:rsidRPr="00E73F6F">
              <w:rPr>
                <w:lang w:val="de-DE"/>
              </w:rPr>
              <w:t>mit</w:t>
            </w:r>
            <w:r w:rsidRPr="00E73F6F">
              <w:rPr>
                <w:spacing w:val="-5"/>
                <w:lang w:val="de-DE"/>
              </w:rPr>
              <w:t xml:space="preserve"> </w:t>
            </w:r>
            <w:r w:rsidRPr="00E73F6F">
              <w:rPr>
                <w:lang w:val="de-DE"/>
              </w:rPr>
              <w:t>Worten</w:t>
            </w:r>
            <w:r w:rsidRPr="00E73F6F">
              <w:rPr>
                <w:spacing w:val="-3"/>
                <w:lang w:val="de-DE"/>
              </w:rPr>
              <w:t xml:space="preserve"> </w:t>
            </w:r>
            <w:r w:rsidRPr="00E73F6F">
              <w:rPr>
                <w:lang w:val="de-DE"/>
              </w:rPr>
              <w:t>zu</w:t>
            </w:r>
            <w:r w:rsidRPr="00E73F6F">
              <w:rPr>
                <w:spacing w:val="-5"/>
                <w:lang w:val="de-DE"/>
              </w:rPr>
              <w:t xml:space="preserve"> </w:t>
            </w:r>
            <w:r w:rsidRPr="00E73F6F">
              <w:rPr>
                <w:lang w:val="de-DE"/>
              </w:rPr>
              <w:t>kränken</w:t>
            </w:r>
            <w:r w:rsidRPr="00E73F6F">
              <w:rPr>
                <w:spacing w:val="-5"/>
                <w:lang w:val="de-DE"/>
              </w:rPr>
              <w:t xml:space="preserve"> </w:t>
            </w:r>
            <w:r w:rsidRPr="00E73F6F">
              <w:rPr>
                <w:lang w:val="de-DE"/>
              </w:rPr>
              <w:t>und</w:t>
            </w:r>
            <w:r w:rsidRPr="00E73F6F">
              <w:rPr>
                <w:spacing w:val="-5"/>
                <w:lang w:val="de-DE"/>
              </w:rPr>
              <w:t xml:space="preserve"> </w:t>
            </w:r>
            <w:r w:rsidRPr="00E73F6F">
              <w:rPr>
                <w:lang w:val="de-DE"/>
              </w:rPr>
              <w:t>Menschen</w:t>
            </w:r>
            <w:r w:rsidRPr="00E73F6F">
              <w:rPr>
                <w:spacing w:val="-3"/>
                <w:lang w:val="de-DE"/>
              </w:rPr>
              <w:t xml:space="preserve"> </w:t>
            </w:r>
            <w:r w:rsidRPr="00E73F6F">
              <w:rPr>
                <w:lang w:val="de-DE"/>
              </w:rPr>
              <w:t>zu</w:t>
            </w:r>
            <w:r w:rsidRPr="00E73F6F">
              <w:rPr>
                <w:spacing w:val="-5"/>
                <w:lang w:val="de-DE"/>
              </w:rPr>
              <w:t xml:space="preserve"> </w:t>
            </w:r>
            <w:r w:rsidRPr="00E73F6F">
              <w:rPr>
                <w:lang w:val="de-DE"/>
              </w:rPr>
              <w:t>täuschen</w:t>
            </w:r>
            <w:r w:rsidRPr="00E73F6F">
              <w:rPr>
                <w:spacing w:val="-3"/>
                <w:lang w:val="de-DE"/>
              </w:rPr>
              <w:t xml:space="preserve"> </w:t>
            </w:r>
            <w:r w:rsidRPr="00E73F6F">
              <w:rPr>
                <w:lang w:val="de-DE"/>
              </w:rPr>
              <w:t>(Kap.</w:t>
            </w:r>
            <w:r w:rsidRPr="00E73F6F">
              <w:rPr>
                <w:spacing w:val="-6"/>
                <w:lang w:val="de-DE"/>
              </w:rPr>
              <w:t xml:space="preserve"> </w:t>
            </w:r>
            <w:r w:rsidRPr="00E73F6F">
              <w:rPr>
                <w:lang w:val="de-DE"/>
              </w:rPr>
              <w:t>63)</w:t>
            </w:r>
            <w:r w:rsidRPr="00E73F6F">
              <w:rPr>
                <w:spacing w:val="40"/>
                <w:lang w:val="de-DE"/>
              </w:rPr>
              <w:t xml:space="preserve"> </w:t>
            </w:r>
            <w:r w:rsidRPr="00E73F6F">
              <w:rPr>
                <w:lang w:val="de-DE"/>
              </w:rPr>
              <w:t>Nicht mit verbotenen Dingen Geschäfte betreiben (Kap. 64)</w:t>
            </w:r>
          </w:p>
          <w:p w14:paraId="451E6C19" w14:textId="77777777" w:rsidR="00FF7799" w:rsidRPr="00E73F6F" w:rsidRDefault="00FF7799" w:rsidP="00C57646">
            <w:pPr>
              <w:pStyle w:val="StandardText"/>
              <w:spacing w:beforeLines="20" w:before="48"/>
              <w:rPr>
                <w:lang w:val="de-DE"/>
              </w:rPr>
            </w:pPr>
            <w:r w:rsidRPr="00E73F6F">
              <w:rPr>
                <w:lang w:val="de-DE"/>
              </w:rPr>
              <w:t>Vorschriften</w:t>
            </w:r>
            <w:r w:rsidRPr="00E73F6F">
              <w:rPr>
                <w:spacing w:val="-6"/>
                <w:lang w:val="de-DE"/>
              </w:rPr>
              <w:t xml:space="preserve"> </w:t>
            </w:r>
            <w:r w:rsidRPr="00E73F6F">
              <w:rPr>
                <w:lang w:val="de-DE"/>
              </w:rPr>
              <w:t>über</w:t>
            </w:r>
            <w:r w:rsidRPr="00E73F6F">
              <w:rPr>
                <w:spacing w:val="-7"/>
                <w:lang w:val="de-DE"/>
              </w:rPr>
              <w:t xml:space="preserve"> </w:t>
            </w:r>
            <w:r w:rsidRPr="00E73F6F">
              <w:rPr>
                <w:lang w:val="de-DE"/>
              </w:rPr>
              <w:t>Zinsen</w:t>
            </w:r>
            <w:r w:rsidRPr="00E73F6F">
              <w:rPr>
                <w:spacing w:val="-3"/>
                <w:lang w:val="de-DE"/>
              </w:rPr>
              <w:t xml:space="preserve"> </w:t>
            </w:r>
            <w:r w:rsidRPr="00E73F6F">
              <w:rPr>
                <w:lang w:val="de-DE"/>
              </w:rPr>
              <w:t>(Kap.</w:t>
            </w:r>
            <w:r w:rsidRPr="00E73F6F">
              <w:rPr>
                <w:spacing w:val="-6"/>
                <w:lang w:val="de-DE"/>
              </w:rPr>
              <w:t xml:space="preserve"> </w:t>
            </w:r>
            <w:r w:rsidRPr="00E73F6F">
              <w:rPr>
                <w:spacing w:val="-5"/>
                <w:lang w:val="de-DE"/>
              </w:rPr>
              <w:t>65)</w:t>
            </w:r>
          </w:p>
          <w:p w14:paraId="3B25DBD1" w14:textId="77777777" w:rsidR="00FF7799" w:rsidRPr="00E73F6F" w:rsidRDefault="00FF7799" w:rsidP="00C57646">
            <w:pPr>
              <w:pStyle w:val="StandardText"/>
              <w:spacing w:beforeLines="20" w:before="48"/>
              <w:rPr>
                <w:lang w:val="de-DE"/>
              </w:rPr>
            </w:pPr>
            <w:r w:rsidRPr="00E73F6F">
              <w:rPr>
                <w:lang w:val="de-DE"/>
              </w:rPr>
              <w:t>Vorschriften</w:t>
            </w:r>
            <w:r w:rsidRPr="00E73F6F">
              <w:rPr>
                <w:spacing w:val="-5"/>
                <w:lang w:val="de-DE"/>
              </w:rPr>
              <w:t xml:space="preserve"> </w:t>
            </w:r>
            <w:r w:rsidRPr="00E73F6F">
              <w:rPr>
                <w:lang w:val="de-DE"/>
              </w:rPr>
              <w:t>für</w:t>
            </w:r>
            <w:r w:rsidRPr="00E73F6F">
              <w:rPr>
                <w:spacing w:val="-9"/>
                <w:lang w:val="de-DE"/>
              </w:rPr>
              <w:t xml:space="preserve"> </w:t>
            </w:r>
            <w:r w:rsidRPr="00E73F6F">
              <w:rPr>
                <w:lang w:val="de-DE"/>
              </w:rPr>
              <w:t>den</w:t>
            </w:r>
            <w:r w:rsidRPr="00E73F6F">
              <w:rPr>
                <w:spacing w:val="-5"/>
                <w:lang w:val="de-DE"/>
              </w:rPr>
              <w:t xml:space="preserve"> </w:t>
            </w:r>
            <w:r w:rsidRPr="00E73F6F">
              <w:rPr>
                <w:lang w:val="de-DE"/>
              </w:rPr>
              <w:t>Geschäftsvertrag</w:t>
            </w:r>
            <w:r w:rsidRPr="00E73F6F">
              <w:rPr>
                <w:spacing w:val="-7"/>
                <w:lang w:val="de-DE"/>
              </w:rPr>
              <w:t xml:space="preserve"> </w:t>
            </w:r>
            <w:r w:rsidRPr="00E73F6F">
              <w:rPr>
                <w:lang w:val="de-DE"/>
              </w:rPr>
              <w:t>Iska</w:t>
            </w:r>
            <w:r w:rsidRPr="00E73F6F">
              <w:rPr>
                <w:spacing w:val="-5"/>
                <w:lang w:val="de-DE"/>
              </w:rPr>
              <w:t xml:space="preserve"> </w:t>
            </w:r>
            <w:r w:rsidRPr="00E73F6F">
              <w:rPr>
                <w:lang w:val="de-DE"/>
              </w:rPr>
              <w:t>(Kap.</w:t>
            </w:r>
            <w:r w:rsidRPr="00E73F6F">
              <w:rPr>
                <w:spacing w:val="-8"/>
                <w:lang w:val="de-DE"/>
              </w:rPr>
              <w:t xml:space="preserve"> </w:t>
            </w:r>
            <w:r w:rsidRPr="00E73F6F">
              <w:rPr>
                <w:lang w:val="de-DE"/>
              </w:rPr>
              <w:t>66)</w:t>
            </w:r>
            <w:r w:rsidRPr="00E73F6F">
              <w:rPr>
                <w:spacing w:val="40"/>
                <w:lang w:val="de-DE"/>
              </w:rPr>
              <w:t xml:space="preserve"> </w:t>
            </w:r>
            <w:r w:rsidRPr="00E73F6F">
              <w:rPr>
                <w:lang w:val="de-DE"/>
              </w:rPr>
              <w:t>Vorschriften für Gelübde und Schwüre (Kap. 67)</w:t>
            </w:r>
          </w:p>
        </w:tc>
      </w:tr>
      <w:tr w:rsidR="00FF7799" w:rsidRPr="00E73F6F" w14:paraId="382F7D51" w14:textId="77777777" w:rsidTr="00926A05">
        <w:trPr>
          <w:trHeight w:val="321"/>
          <w:jc w:val="right"/>
        </w:trPr>
        <w:tc>
          <w:tcPr>
            <w:tcW w:w="625" w:type="pct"/>
            <w:tcBorders>
              <w:top w:val="single" w:sz="4" w:space="0" w:color="000000"/>
              <w:bottom w:val="single" w:sz="4" w:space="0" w:color="000000"/>
            </w:tcBorders>
            <w:shd w:val="clear" w:color="auto" w:fill="FFF2CC" w:themeFill="accent4" w:themeFillTint="33"/>
          </w:tcPr>
          <w:p w14:paraId="4E1D041C" w14:textId="77777777" w:rsidR="00FF7799" w:rsidRPr="00E73F6F" w:rsidRDefault="00FF7799" w:rsidP="00C57646">
            <w:pPr>
              <w:pStyle w:val="StandardText"/>
              <w:spacing w:beforeLines="20" w:before="48"/>
              <w:rPr>
                <w:lang w:val="de-DE"/>
              </w:rPr>
            </w:pPr>
            <w:r w:rsidRPr="00E73F6F">
              <w:rPr>
                <w:spacing w:val="-5"/>
                <w:lang w:val="de-DE"/>
              </w:rPr>
              <w:t>68</w:t>
            </w:r>
          </w:p>
        </w:tc>
        <w:tc>
          <w:tcPr>
            <w:tcW w:w="4375" w:type="pct"/>
            <w:tcBorders>
              <w:top w:val="single" w:sz="4" w:space="0" w:color="000000"/>
              <w:bottom w:val="single" w:sz="4" w:space="0" w:color="000000"/>
            </w:tcBorders>
          </w:tcPr>
          <w:p w14:paraId="4A3396DD" w14:textId="77777777" w:rsidR="00FF7799" w:rsidRPr="00E73F6F" w:rsidRDefault="00FF7799" w:rsidP="00C57646">
            <w:pPr>
              <w:pStyle w:val="StandardText"/>
              <w:spacing w:beforeLines="20" w:before="48"/>
              <w:rPr>
                <w:lang w:val="de-DE"/>
              </w:rPr>
            </w:pPr>
            <w:r w:rsidRPr="00E73F6F">
              <w:rPr>
                <w:lang w:val="de-DE"/>
              </w:rPr>
              <w:t>Vorschriften</w:t>
            </w:r>
            <w:r w:rsidRPr="00E73F6F">
              <w:rPr>
                <w:spacing w:val="-3"/>
                <w:lang w:val="de-DE"/>
              </w:rPr>
              <w:t xml:space="preserve"> </w:t>
            </w:r>
            <w:r w:rsidRPr="00E73F6F">
              <w:rPr>
                <w:lang w:val="de-DE"/>
              </w:rPr>
              <w:t>für</w:t>
            </w:r>
            <w:r w:rsidRPr="00E73F6F">
              <w:rPr>
                <w:spacing w:val="-6"/>
                <w:lang w:val="de-DE"/>
              </w:rPr>
              <w:t xml:space="preserve"> </w:t>
            </w:r>
            <w:r w:rsidRPr="00E73F6F">
              <w:rPr>
                <w:lang w:val="de-DE"/>
              </w:rPr>
              <w:t>das</w:t>
            </w:r>
            <w:r w:rsidRPr="00E73F6F">
              <w:rPr>
                <w:spacing w:val="-4"/>
                <w:lang w:val="de-DE"/>
              </w:rPr>
              <w:t xml:space="preserve"> </w:t>
            </w:r>
            <w:r w:rsidRPr="00E73F6F">
              <w:rPr>
                <w:lang w:val="de-DE"/>
              </w:rPr>
              <w:t>Gebet</w:t>
            </w:r>
            <w:r w:rsidRPr="00E73F6F">
              <w:rPr>
                <w:spacing w:val="-4"/>
                <w:lang w:val="de-DE"/>
              </w:rPr>
              <w:t xml:space="preserve"> </w:t>
            </w:r>
            <w:r w:rsidRPr="00E73F6F">
              <w:rPr>
                <w:lang w:val="de-DE"/>
              </w:rPr>
              <w:t>auf</w:t>
            </w:r>
            <w:r w:rsidRPr="00E73F6F">
              <w:rPr>
                <w:spacing w:val="-4"/>
                <w:lang w:val="de-DE"/>
              </w:rPr>
              <w:t xml:space="preserve"> </w:t>
            </w:r>
            <w:r w:rsidRPr="00E73F6F">
              <w:rPr>
                <w:lang w:val="de-DE"/>
              </w:rPr>
              <w:t>der</w:t>
            </w:r>
            <w:r w:rsidRPr="00E73F6F">
              <w:rPr>
                <w:spacing w:val="-6"/>
                <w:lang w:val="de-DE"/>
              </w:rPr>
              <w:t xml:space="preserve"> </w:t>
            </w:r>
            <w:r w:rsidRPr="00E73F6F">
              <w:rPr>
                <w:lang w:val="de-DE"/>
              </w:rPr>
              <w:t>Reise</w:t>
            </w:r>
            <w:r w:rsidRPr="00E73F6F">
              <w:rPr>
                <w:spacing w:val="-6"/>
                <w:lang w:val="de-DE"/>
              </w:rPr>
              <w:t xml:space="preserve"> </w:t>
            </w:r>
            <w:r w:rsidRPr="00E73F6F">
              <w:rPr>
                <w:lang w:val="de-DE"/>
              </w:rPr>
              <w:t>und</w:t>
            </w:r>
            <w:r w:rsidRPr="00E73F6F">
              <w:rPr>
                <w:spacing w:val="-4"/>
                <w:lang w:val="de-DE"/>
              </w:rPr>
              <w:t xml:space="preserve"> </w:t>
            </w:r>
            <w:r w:rsidRPr="00E73F6F">
              <w:rPr>
                <w:lang w:val="de-DE"/>
              </w:rPr>
              <w:t xml:space="preserve">andere </w:t>
            </w:r>
            <w:r w:rsidRPr="00E73F6F">
              <w:rPr>
                <w:spacing w:val="-4"/>
                <w:lang w:val="de-DE"/>
              </w:rPr>
              <w:t>Dinge</w:t>
            </w:r>
          </w:p>
        </w:tc>
      </w:tr>
      <w:tr w:rsidR="00FF7799" w:rsidRPr="00E73F6F" w14:paraId="1C619DB1" w14:textId="77777777" w:rsidTr="00926A05">
        <w:trPr>
          <w:trHeight w:val="323"/>
          <w:jc w:val="right"/>
        </w:trPr>
        <w:tc>
          <w:tcPr>
            <w:tcW w:w="625" w:type="pct"/>
            <w:tcBorders>
              <w:top w:val="single" w:sz="4" w:space="0" w:color="000000"/>
              <w:bottom w:val="single" w:sz="4" w:space="0" w:color="000000"/>
            </w:tcBorders>
            <w:shd w:val="clear" w:color="auto" w:fill="FFF2CC" w:themeFill="accent4" w:themeFillTint="33"/>
          </w:tcPr>
          <w:p w14:paraId="10E76EE2" w14:textId="77777777" w:rsidR="00FF7799" w:rsidRPr="00E73F6F" w:rsidRDefault="00FF7799" w:rsidP="00C57646">
            <w:pPr>
              <w:pStyle w:val="StandardText"/>
              <w:spacing w:beforeLines="20" w:before="48"/>
              <w:rPr>
                <w:lang w:val="de-DE"/>
              </w:rPr>
            </w:pPr>
            <w:r w:rsidRPr="00E73F6F">
              <w:rPr>
                <w:spacing w:val="-5"/>
                <w:lang w:val="de-DE"/>
              </w:rPr>
              <w:t>69</w:t>
            </w:r>
          </w:p>
        </w:tc>
        <w:tc>
          <w:tcPr>
            <w:tcW w:w="4375" w:type="pct"/>
            <w:tcBorders>
              <w:top w:val="single" w:sz="4" w:space="0" w:color="000000"/>
              <w:bottom w:val="single" w:sz="4" w:space="0" w:color="000000"/>
            </w:tcBorders>
          </w:tcPr>
          <w:p w14:paraId="1995A181" w14:textId="77777777" w:rsidR="00FF7799" w:rsidRPr="00E73F6F" w:rsidRDefault="00FF7799" w:rsidP="00C57646">
            <w:pPr>
              <w:pStyle w:val="StandardText"/>
              <w:spacing w:beforeLines="20" w:before="48"/>
              <w:rPr>
                <w:lang w:val="de-DE"/>
              </w:rPr>
            </w:pPr>
            <w:r w:rsidRPr="00E73F6F">
              <w:rPr>
                <w:lang w:val="de-DE"/>
              </w:rPr>
              <w:t>Das</w:t>
            </w:r>
            <w:r w:rsidRPr="00E73F6F">
              <w:rPr>
                <w:spacing w:val="-6"/>
                <w:lang w:val="de-DE"/>
              </w:rPr>
              <w:t xml:space="preserve"> </w:t>
            </w:r>
            <w:r w:rsidRPr="00E73F6F">
              <w:rPr>
                <w:lang w:val="de-DE"/>
              </w:rPr>
              <w:t>Mincha-Gebet</w:t>
            </w:r>
            <w:r w:rsidRPr="00E73F6F">
              <w:rPr>
                <w:spacing w:val="-4"/>
                <w:lang w:val="de-DE"/>
              </w:rPr>
              <w:t xml:space="preserve"> </w:t>
            </w:r>
            <w:r w:rsidRPr="00E73F6F">
              <w:rPr>
                <w:lang w:val="de-DE"/>
              </w:rPr>
              <w:t>[Nachmittagsgebet]</w:t>
            </w:r>
          </w:p>
        </w:tc>
      </w:tr>
      <w:tr w:rsidR="00FF7799" w:rsidRPr="00E73F6F" w14:paraId="3ED7A033" w14:textId="77777777" w:rsidTr="00926A05">
        <w:trPr>
          <w:trHeight w:val="321"/>
          <w:jc w:val="right"/>
        </w:trPr>
        <w:tc>
          <w:tcPr>
            <w:tcW w:w="625" w:type="pct"/>
            <w:tcBorders>
              <w:top w:val="single" w:sz="4" w:space="0" w:color="000000"/>
              <w:bottom w:val="single" w:sz="4" w:space="0" w:color="000000"/>
            </w:tcBorders>
            <w:shd w:val="clear" w:color="auto" w:fill="FFF2CC" w:themeFill="accent4" w:themeFillTint="33"/>
          </w:tcPr>
          <w:p w14:paraId="67EB623F" w14:textId="77777777" w:rsidR="00FF7799" w:rsidRPr="00E73F6F" w:rsidRDefault="00FF7799" w:rsidP="00C57646">
            <w:pPr>
              <w:pStyle w:val="StandardText"/>
              <w:spacing w:beforeLines="20" w:before="48"/>
              <w:rPr>
                <w:lang w:val="de-DE"/>
              </w:rPr>
            </w:pPr>
            <w:r w:rsidRPr="00E73F6F">
              <w:rPr>
                <w:spacing w:val="-5"/>
                <w:lang w:val="de-DE"/>
              </w:rPr>
              <w:t>70</w:t>
            </w:r>
          </w:p>
        </w:tc>
        <w:tc>
          <w:tcPr>
            <w:tcW w:w="4375" w:type="pct"/>
            <w:tcBorders>
              <w:top w:val="single" w:sz="4" w:space="0" w:color="000000"/>
              <w:bottom w:val="single" w:sz="4" w:space="0" w:color="000000"/>
            </w:tcBorders>
          </w:tcPr>
          <w:p w14:paraId="4C24E7A6" w14:textId="77777777" w:rsidR="00FF7799" w:rsidRPr="00E73F6F" w:rsidRDefault="00FF7799" w:rsidP="00C57646">
            <w:pPr>
              <w:pStyle w:val="StandardText"/>
              <w:spacing w:beforeLines="20" w:before="48"/>
              <w:rPr>
                <w:lang w:val="de-DE"/>
              </w:rPr>
            </w:pPr>
            <w:r w:rsidRPr="00E73F6F">
              <w:rPr>
                <w:lang w:val="de-DE"/>
              </w:rPr>
              <w:t>Das</w:t>
            </w:r>
            <w:r w:rsidRPr="00E73F6F">
              <w:rPr>
                <w:spacing w:val="-5"/>
                <w:lang w:val="de-DE"/>
              </w:rPr>
              <w:t xml:space="preserve"> </w:t>
            </w:r>
            <w:r w:rsidRPr="00E73F6F">
              <w:rPr>
                <w:lang w:val="de-DE"/>
              </w:rPr>
              <w:t>Maariw-Gebet</w:t>
            </w:r>
            <w:r w:rsidRPr="00E73F6F">
              <w:rPr>
                <w:spacing w:val="-4"/>
                <w:lang w:val="de-DE"/>
              </w:rPr>
              <w:t xml:space="preserve"> </w:t>
            </w:r>
            <w:r w:rsidRPr="00E73F6F">
              <w:rPr>
                <w:lang w:val="de-DE"/>
              </w:rPr>
              <w:t>[Abendgebet]</w:t>
            </w:r>
          </w:p>
        </w:tc>
      </w:tr>
      <w:tr w:rsidR="00FF7799" w:rsidRPr="00E73F6F" w14:paraId="093AB005" w14:textId="77777777" w:rsidTr="00926A05">
        <w:trPr>
          <w:trHeight w:val="323"/>
          <w:jc w:val="right"/>
        </w:trPr>
        <w:tc>
          <w:tcPr>
            <w:tcW w:w="625" w:type="pct"/>
            <w:tcBorders>
              <w:top w:val="single" w:sz="4" w:space="0" w:color="000000"/>
              <w:bottom w:val="single" w:sz="4" w:space="0" w:color="000000"/>
            </w:tcBorders>
            <w:shd w:val="clear" w:color="auto" w:fill="FFF2CC" w:themeFill="accent4" w:themeFillTint="33"/>
          </w:tcPr>
          <w:p w14:paraId="712996A5" w14:textId="77777777" w:rsidR="00FF7799" w:rsidRPr="00E73F6F" w:rsidRDefault="00FF7799" w:rsidP="00C57646">
            <w:pPr>
              <w:pStyle w:val="StandardText"/>
              <w:spacing w:beforeLines="20" w:before="48"/>
              <w:rPr>
                <w:lang w:val="de-DE"/>
              </w:rPr>
            </w:pPr>
            <w:r w:rsidRPr="00E73F6F">
              <w:rPr>
                <w:spacing w:val="-5"/>
                <w:lang w:val="de-DE"/>
              </w:rPr>
              <w:t>71</w:t>
            </w:r>
          </w:p>
        </w:tc>
        <w:tc>
          <w:tcPr>
            <w:tcW w:w="4375" w:type="pct"/>
            <w:tcBorders>
              <w:top w:val="single" w:sz="4" w:space="0" w:color="000000"/>
              <w:bottom w:val="single" w:sz="4" w:space="0" w:color="000000"/>
            </w:tcBorders>
          </w:tcPr>
          <w:p w14:paraId="63853B24" w14:textId="77777777" w:rsidR="00FF7799" w:rsidRPr="00E73F6F" w:rsidRDefault="00FF7799" w:rsidP="00C57646">
            <w:pPr>
              <w:pStyle w:val="StandardText"/>
              <w:spacing w:beforeLines="20" w:before="48"/>
              <w:rPr>
                <w:lang w:val="de-DE"/>
              </w:rPr>
            </w:pPr>
            <w:r w:rsidRPr="00E73F6F">
              <w:rPr>
                <w:lang w:val="de-DE"/>
              </w:rPr>
              <w:t>Ordnung</w:t>
            </w:r>
            <w:r w:rsidRPr="00E73F6F">
              <w:rPr>
                <w:spacing w:val="-5"/>
                <w:lang w:val="de-DE"/>
              </w:rPr>
              <w:t xml:space="preserve"> </w:t>
            </w:r>
            <w:r w:rsidRPr="00E73F6F">
              <w:rPr>
                <w:lang w:val="de-DE"/>
              </w:rPr>
              <w:t>für</w:t>
            </w:r>
            <w:r w:rsidRPr="00E73F6F">
              <w:rPr>
                <w:spacing w:val="-6"/>
                <w:lang w:val="de-DE"/>
              </w:rPr>
              <w:t xml:space="preserve"> </w:t>
            </w:r>
            <w:r w:rsidRPr="00E73F6F">
              <w:rPr>
                <w:lang w:val="de-DE"/>
              </w:rPr>
              <w:t>die</w:t>
            </w:r>
            <w:r w:rsidRPr="00E73F6F">
              <w:rPr>
                <w:spacing w:val="-5"/>
                <w:lang w:val="de-DE"/>
              </w:rPr>
              <w:t xml:space="preserve"> </w:t>
            </w:r>
            <w:r w:rsidRPr="00E73F6F">
              <w:rPr>
                <w:spacing w:val="-4"/>
                <w:lang w:val="de-DE"/>
              </w:rPr>
              <w:t>Nacht</w:t>
            </w:r>
          </w:p>
        </w:tc>
      </w:tr>
      <w:tr w:rsidR="00FF7799" w:rsidRPr="00E73F6F" w14:paraId="153BFEDF" w14:textId="77777777" w:rsidTr="00926A05">
        <w:trPr>
          <w:trHeight w:val="321"/>
          <w:jc w:val="right"/>
        </w:trPr>
        <w:tc>
          <w:tcPr>
            <w:tcW w:w="625" w:type="pct"/>
            <w:tcBorders>
              <w:top w:val="single" w:sz="4" w:space="0" w:color="000000"/>
              <w:bottom w:val="single" w:sz="4" w:space="0" w:color="000000"/>
            </w:tcBorders>
            <w:shd w:val="clear" w:color="auto" w:fill="FFF2CC" w:themeFill="accent4" w:themeFillTint="33"/>
          </w:tcPr>
          <w:p w14:paraId="2B7F5E6C" w14:textId="77777777" w:rsidR="00FF7799" w:rsidRPr="00E73F6F" w:rsidRDefault="00FF7799" w:rsidP="00C57646">
            <w:pPr>
              <w:pStyle w:val="StandardText"/>
              <w:spacing w:beforeLines="20" w:before="48"/>
              <w:rPr>
                <w:lang w:val="de-DE"/>
              </w:rPr>
            </w:pPr>
            <w:r w:rsidRPr="00E73F6F">
              <w:rPr>
                <w:lang w:val="de-DE"/>
              </w:rPr>
              <w:t>72</w:t>
            </w:r>
            <w:r w:rsidRPr="00E73F6F">
              <w:rPr>
                <w:spacing w:val="-1"/>
                <w:lang w:val="de-DE"/>
              </w:rPr>
              <w:t xml:space="preserve"> </w:t>
            </w:r>
            <w:r w:rsidRPr="00E73F6F">
              <w:rPr>
                <w:lang w:val="de-DE"/>
              </w:rPr>
              <w:t xml:space="preserve">- </w:t>
            </w:r>
            <w:r w:rsidRPr="00E73F6F">
              <w:rPr>
                <w:spacing w:val="-5"/>
                <w:lang w:val="de-DE"/>
              </w:rPr>
              <w:t>96</w:t>
            </w:r>
          </w:p>
        </w:tc>
        <w:tc>
          <w:tcPr>
            <w:tcW w:w="4375" w:type="pct"/>
            <w:tcBorders>
              <w:top w:val="single" w:sz="4" w:space="0" w:color="000000"/>
              <w:bottom w:val="single" w:sz="4" w:space="0" w:color="000000"/>
            </w:tcBorders>
          </w:tcPr>
          <w:p w14:paraId="50562E53" w14:textId="77777777" w:rsidR="00FF7799" w:rsidRPr="00E73F6F" w:rsidRDefault="00FF7799" w:rsidP="00C57646">
            <w:pPr>
              <w:pStyle w:val="StandardText"/>
              <w:spacing w:beforeLines="20" w:before="48"/>
              <w:rPr>
                <w:lang w:val="de-DE"/>
              </w:rPr>
            </w:pPr>
            <w:r w:rsidRPr="00E73F6F">
              <w:rPr>
                <w:lang w:val="de-DE"/>
              </w:rPr>
              <w:t>Der</w:t>
            </w:r>
            <w:r w:rsidRPr="00E73F6F">
              <w:rPr>
                <w:spacing w:val="-4"/>
                <w:lang w:val="de-DE"/>
              </w:rPr>
              <w:t xml:space="preserve"> </w:t>
            </w:r>
            <w:r w:rsidRPr="00E73F6F">
              <w:rPr>
                <w:lang w:val="de-DE"/>
              </w:rPr>
              <w:t>Sabbat</w:t>
            </w:r>
          </w:p>
        </w:tc>
      </w:tr>
      <w:tr w:rsidR="00FF7799" w:rsidRPr="00E73F6F" w14:paraId="5538F885" w14:textId="77777777" w:rsidTr="00926A05">
        <w:trPr>
          <w:trHeight w:val="323"/>
          <w:jc w:val="right"/>
        </w:trPr>
        <w:tc>
          <w:tcPr>
            <w:tcW w:w="625" w:type="pct"/>
            <w:tcBorders>
              <w:top w:val="single" w:sz="4" w:space="0" w:color="000000"/>
              <w:bottom w:val="single" w:sz="4" w:space="0" w:color="000000"/>
            </w:tcBorders>
            <w:shd w:val="clear" w:color="auto" w:fill="FFF2CC" w:themeFill="accent4" w:themeFillTint="33"/>
          </w:tcPr>
          <w:p w14:paraId="39AD66E3" w14:textId="77777777" w:rsidR="00FF7799" w:rsidRPr="00E73F6F" w:rsidRDefault="00FF7799" w:rsidP="00C57646">
            <w:pPr>
              <w:pStyle w:val="StandardText"/>
              <w:spacing w:beforeLines="20" w:before="48"/>
              <w:rPr>
                <w:lang w:val="de-DE"/>
              </w:rPr>
            </w:pPr>
            <w:r w:rsidRPr="00E73F6F">
              <w:rPr>
                <w:spacing w:val="-5"/>
                <w:lang w:val="de-DE"/>
              </w:rPr>
              <w:t>97</w:t>
            </w:r>
          </w:p>
        </w:tc>
        <w:tc>
          <w:tcPr>
            <w:tcW w:w="4375" w:type="pct"/>
            <w:tcBorders>
              <w:top w:val="single" w:sz="4" w:space="0" w:color="000000"/>
              <w:bottom w:val="single" w:sz="4" w:space="0" w:color="000000"/>
            </w:tcBorders>
          </w:tcPr>
          <w:p w14:paraId="4C50DCF1" w14:textId="77777777" w:rsidR="00FF7799" w:rsidRPr="00E73F6F" w:rsidRDefault="00FF7799" w:rsidP="00C57646">
            <w:pPr>
              <w:pStyle w:val="StandardText"/>
              <w:spacing w:beforeLines="20" w:before="48"/>
              <w:rPr>
                <w:lang w:val="de-DE"/>
              </w:rPr>
            </w:pPr>
            <w:r w:rsidRPr="00E73F6F">
              <w:rPr>
                <w:lang w:val="de-DE"/>
              </w:rPr>
              <w:t>Vorschriften</w:t>
            </w:r>
            <w:r w:rsidRPr="00E73F6F">
              <w:rPr>
                <w:spacing w:val="-5"/>
                <w:lang w:val="de-DE"/>
              </w:rPr>
              <w:t xml:space="preserve"> </w:t>
            </w:r>
            <w:r w:rsidRPr="00E73F6F">
              <w:rPr>
                <w:lang w:val="de-DE"/>
              </w:rPr>
              <w:t>für</w:t>
            </w:r>
            <w:r w:rsidRPr="00E73F6F">
              <w:rPr>
                <w:spacing w:val="-7"/>
                <w:lang w:val="de-DE"/>
              </w:rPr>
              <w:t xml:space="preserve"> </w:t>
            </w:r>
            <w:r w:rsidRPr="00E73F6F">
              <w:rPr>
                <w:lang w:val="de-DE"/>
              </w:rPr>
              <w:t>den</w:t>
            </w:r>
            <w:r w:rsidRPr="00E73F6F">
              <w:rPr>
                <w:spacing w:val="-6"/>
                <w:lang w:val="de-DE"/>
              </w:rPr>
              <w:t xml:space="preserve"> </w:t>
            </w:r>
            <w:r w:rsidRPr="00E73F6F">
              <w:rPr>
                <w:lang w:val="de-DE"/>
              </w:rPr>
              <w:t>Monatsanfang</w:t>
            </w:r>
            <w:r w:rsidRPr="00E73F6F">
              <w:rPr>
                <w:spacing w:val="-6"/>
                <w:lang w:val="de-DE"/>
              </w:rPr>
              <w:t xml:space="preserve"> </w:t>
            </w:r>
            <w:r w:rsidRPr="00E73F6F">
              <w:rPr>
                <w:lang w:val="de-DE"/>
              </w:rPr>
              <w:t>und</w:t>
            </w:r>
            <w:r w:rsidRPr="00E73F6F">
              <w:rPr>
                <w:spacing w:val="-6"/>
                <w:lang w:val="de-DE"/>
              </w:rPr>
              <w:t xml:space="preserve"> </w:t>
            </w:r>
            <w:r w:rsidRPr="00E73F6F">
              <w:rPr>
                <w:lang w:val="de-DE"/>
              </w:rPr>
              <w:t>die</w:t>
            </w:r>
            <w:r w:rsidRPr="00E73F6F">
              <w:rPr>
                <w:spacing w:val="-7"/>
                <w:lang w:val="de-DE"/>
              </w:rPr>
              <w:t xml:space="preserve"> </w:t>
            </w:r>
            <w:r w:rsidRPr="00E73F6F">
              <w:rPr>
                <w:lang w:val="de-DE"/>
              </w:rPr>
              <w:t>Heiligung</w:t>
            </w:r>
            <w:r w:rsidRPr="00E73F6F">
              <w:rPr>
                <w:spacing w:val="-6"/>
                <w:lang w:val="de-DE"/>
              </w:rPr>
              <w:t xml:space="preserve"> </w:t>
            </w:r>
            <w:r w:rsidRPr="00E73F6F">
              <w:rPr>
                <w:lang w:val="de-DE"/>
              </w:rPr>
              <w:t>beim Neumond</w:t>
            </w:r>
          </w:p>
        </w:tc>
      </w:tr>
      <w:tr w:rsidR="00FF7799" w:rsidRPr="00E73F6F" w14:paraId="2F6C25BC" w14:textId="77777777" w:rsidTr="00926A05">
        <w:trPr>
          <w:trHeight w:val="321"/>
          <w:jc w:val="right"/>
        </w:trPr>
        <w:tc>
          <w:tcPr>
            <w:tcW w:w="625" w:type="pct"/>
            <w:tcBorders>
              <w:top w:val="single" w:sz="4" w:space="0" w:color="000000"/>
              <w:bottom w:val="single" w:sz="4" w:space="0" w:color="000000"/>
            </w:tcBorders>
            <w:shd w:val="clear" w:color="auto" w:fill="FFF2CC" w:themeFill="accent4" w:themeFillTint="33"/>
          </w:tcPr>
          <w:p w14:paraId="05A2E089" w14:textId="77777777" w:rsidR="00FF7799" w:rsidRPr="00E73F6F" w:rsidRDefault="00FF7799" w:rsidP="00C57646">
            <w:pPr>
              <w:pStyle w:val="StandardText"/>
              <w:spacing w:beforeLines="20" w:before="48"/>
              <w:rPr>
                <w:lang w:val="de-DE"/>
              </w:rPr>
            </w:pPr>
            <w:r w:rsidRPr="00E73F6F">
              <w:rPr>
                <w:lang w:val="de-DE"/>
              </w:rPr>
              <w:t>98</w:t>
            </w:r>
            <w:r w:rsidRPr="00E73F6F">
              <w:rPr>
                <w:spacing w:val="-1"/>
                <w:lang w:val="de-DE"/>
              </w:rPr>
              <w:t xml:space="preserve"> </w:t>
            </w:r>
            <w:r w:rsidRPr="00E73F6F">
              <w:rPr>
                <w:lang w:val="de-DE"/>
              </w:rPr>
              <w:t xml:space="preserve">- </w:t>
            </w:r>
            <w:r w:rsidRPr="00E73F6F">
              <w:rPr>
                <w:spacing w:val="-5"/>
                <w:lang w:val="de-DE"/>
              </w:rPr>
              <w:t>103</w:t>
            </w:r>
          </w:p>
        </w:tc>
        <w:tc>
          <w:tcPr>
            <w:tcW w:w="4375" w:type="pct"/>
            <w:tcBorders>
              <w:top w:val="single" w:sz="4" w:space="0" w:color="000000"/>
              <w:bottom w:val="single" w:sz="4" w:space="0" w:color="000000"/>
            </w:tcBorders>
          </w:tcPr>
          <w:p w14:paraId="548C8F8E" w14:textId="77777777" w:rsidR="00FF7799" w:rsidRPr="00E73F6F" w:rsidRDefault="00FF7799" w:rsidP="00C57646">
            <w:pPr>
              <w:pStyle w:val="StandardText"/>
              <w:spacing w:beforeLines="20" w:before="48"/>
              <w:rPr>
                <w:lang w:val="de-DE"/>
              </w:rPr>
            </w:pPr>
            <w:r w:rsidRPr="00E73F6F">
              <w:rPr>
                <w:lang w:val="de-DE"/>
              </w:rPr>
              <w:t xml:space="preserve">Jom </w:t>
            </w:r>
            <w:r w:rsidRPr="00E73F6F">
              <w:rPr>
                <w:spacing w:val="-5"/>
                <w:lang w:val="de-DE"/>
              </w:rPr>
              <w:t>Tow</w:t>
            </w:r>
          </w:p>
        </w:tc>
      </w:tr>
      <w:tr w:rsidR="00FF7799" w:rsidRPr="00E73F6F" w14:paraId="1EF22892" w14:textId="77777777" w:rsidTr="00926A05">
        <w:trPr>
          <w:trHeight w:val="323"/>
          <w:jc w:val="right"/>
        </w:trPr>
        <w:tc>
          <w:tcPr>
            <w:tcW w:w="625" w:type="pct"/>
            <w:tcBorders>
              <w:top w:val="single" w:sz="4" w:space="0" w:color="000000"/>
              <w:bottom w:val="single" w:sz="4" w:space="0" w:color="000000"/>
            </w:tcBorders>
            <w:shd w:val="clear" w:color="auto" w:fill="FFF2CC" w:themeFill="accent4" w:themeFillTint="33"/>
          </w:tcPr>
          <w:p w14:paraId="62F06D65" w14:textId="77777777" w:rsidR="00FF7799" w:rsidRPr="00E73F6F" w:rsidRDefault="00FF7799" w:rsidP="00C57646">
            <w:pPr>
              <w:pStyle w:val="StandardText"/>
              <w:spacing w:beforeLines="20" w:before="48"/>
              <w:rPr>
                <w:lang w:val="de-DE"/>
              </w:rPr>
            </w:pPr>
            <w:r w:rsidRPr="00E73F6F">
              <w:rPr>
                <w:lang w:val="de-DE"/>
              </w:rPr>
              <w:t>104 -</w:t>
            </w:r>
            <w:r w:rsidRPr="00E73F6F">
              <w:rPr>
                <w:spacing w:val="-3"/>
                <w:lang w:val="de-DE"/>
              </w:rPr>
              <w:t xml:space="preserve"> </w:t>
            </w:r>
            <w:r w:rsidRPr="00E73F6F">
              <w:rPr>
                <w:spacing w:val="-5"/>
                <w:lang w:val="de-DE"/>
              </w:rPr>
              <w:t>106</w:t>
            </w:r>
          </w:p>
        </w:tc>
        <w:tc>
          <w:tcPr>
            <w:tcW w:w="4375" w:type="pct"/>
            <w:tcBorders>
              <w:top w:val="single" w:sz="4" w:space="0" w:color="000000"/>
              <w:bottom w:val="single" w:sz="4" w:space="0" w:color="000000"/>
            </w:tcBorders>
          </w:tcPr>
          <w:p w14:paraId="3CA19C33" w14:textId="77777777" w:rsidR="00FF7799" w:rsidRPr="00E73F6F" w:rsidRDefault="00FF7799" w:rsidP="00C57646">
            <w:pPr>
              <w:pStyle w:val="StandardText"/>
              <w:spacing w:beforeLines="20" w:before="48"/>
              <w:rPr>
                <w:lang w:val="de-DE"/>
              </w:rPr>
            </w:pPr>
            <w:r w:rsidRPr="00E73F6F">
              <w:rPr>
                <w:lang w:val="de-DE"/>
              </w:rPr>
              <w:t>Chol</w:t>
            </w:r>
            <w:r w:rsidRPr="00E73F6F">
              <w:rPr>
                <w:spacing w:val="-5"/>
                <w:lang w:val="de-DE"/>
              </w:rPr>
              <w:t xml:space="preserve"> </w:t>
            </w:r>
            <w:r w:rsidRPr="00E73F6F">
              <w:rPr>
                <w:lang w:val="de-DE"/>
              </w:rPr>
              <w:t>Hamoed</w:t>
            </w:r>
            <w:r w:rsidRPr="00E73F6F">
              <w:rPr>
                <w:spacing w:val="-3"/>
                <w:lang w:val="de-DE"/>
              </w:rPr>
              <w:t xml:space="preserve"> </w:t>
            </w:r>
            <w:r w:rsidRPr="00E73F6F">
              <w:rPr>
                <w:lang w:val="de-DE"/>
              </w:rPr>
              <w:t>(Zwischenfeiertage)</w:t>
            </w:r>
          </w:p>
        </w:tc>
      </w:tr>
      <w:tr w:rsidR="00FF7799" w:rsidRPr="00E73F6F" w14:paraId="2653FA92" w14:textId="77777777" w:rsidTr="00926A05">
        <w:trPr>
          <w:trHeight w:val="321"/>
          <w:jc w:val="right"/>
        </w:trPr>
        <w:tc>
          <w:tcPr>
            <w:tcW w:w="625" w:type="pct"/>
            <w:tcBorders>
              <w:top w:val="single" w:sz="4" w:space="0" w:color="000000"/>
              <w:bottom w:val="single" w:sz="4" w:space="0" w:color="000000"/>
            </w:tcBorders>
            <w:shd w:val="clear" w:color="auto" w:fill="FFF2CC" w:themeFill="accent4" w:themeFillTint="33"/>
          </w:tcPr>
          <w:p w14:paraId="4B0B2CEC" w14:textId="77777777" w:rsidR="00FF7799" w:rsidRPr="00E73F6F" w:rsidRDefault="00FF7799" w:rsidP="00C57646">
            <w:pPr>
              <w:pStyle w:val="StandardText"/>
              <w:spacing w:beforeLines="20" w:before="48"/>
              <w:rPr>
                <w:lang w:val="de-DE"/>
              </w:rPr>
            </w:pPr>
            <w:r w:rsidRPr="00E73F6F">
              <w:rPr>
                <w:lang w:val="de-DE"/>
              </w:rPr>
              <w:t>107 -</w:t>
            </w:r>
            <w:r w:rsidRPr="00E73F6F">
              <w:rPr>
                <w:spacing w:val="-3"/>
                <w:lang w:val="de-DE"/>
              </w:rPr>
              <w:t xml:space="preserve"> </w:t>
            </w:r>
            <w:r w:rsidRPr="00E73F6F">
              <w:rPr>
                <w:spacing w:val="-5"/>
                <w:lang w:val="de-DE"/>
              </w:rPr>
              <w:t>120</w:t>
            </w:r>
          </w:p>
        </w:tc>
        <w:tc>
          <w:tcPr>
            <w:tcW w:w="4375" w:type="pct"/>
            <w:tcBorders>
              <w:top w:val="single" w:sz="4" w:space="0" w:color="000000"/>
              <w:bottom w:val="single" w:sz="4" w:space="0" w:color="000000"/>
            </w:tcBorders>
          </w:tcPr>
          <w:p w14:paraId="06C7494E" w14:textId="77777777" w:rsidR="00FF7799" w:rsidRPr="00E73F6F" w:rsidRDefault="00FF7799" w:rsidP="00C57646">
            <w:pPr>
              <w:pStyle w:val="StandardText"/>
              <w:spacing w:beforeLines="20" w:before="48"/>
              <w:rPr>
                <w:lang w:val="de-DE"/>
              </w:rPr>
            </w:pPr>
            <w:r w:rsidRPr="00E73F6F">
              <w:rPr>
                <w:lang w:val="de-DE"/>
              </w:rPr>
              <w:t>Pessach</w:t>
            </w:r>
          </w:p>
        </w:tc>
      </w:tr>
      <w:tr w:rsidR="00FF7799" w:rsidRPr="00E73F6F" w14:paraId="54C987DE" w14:textId="77777777" w:rsidTr="00926A05">
        <w:tblPrEx>
          <w:jc w:val="left"/>
        </w:tblPrEx>
        <w:trPr>
          <w:trHeight w:val="323"/>
        </w:trPr>
        <w:tc>
          <w:tcPr>
            <w:tcW w:w="625" w:type="pct"/>
            <w:tcBorders>
              <w:top w:val="single" w:sz="6" w:space="0" w:color="000000"/>
              <w:bottom w:val="single" w:sz="4" w:space="0" w:color="000000"/>
            </w:tcBorders>
            <w:shd w:val="clear" w:color="auto" w:fill="FFF2CC" w:themeFill="accent4" w:themeFillTint="33"/>
          </w:tcPr>
          <w:p w14:paraId="7EC08695" w14:textId="77777777" w:rsidR="00FF7799" w:rsidRPr="00E73F6F" w:rsidRDefault="00FF7799" w:rsidP="00C57646">
            <w:pPr>
              <w:pStyle w:val="StandardText"/>
              <w:spacing w:beforeLines="20" w:before="48"/>
              <w:rPr>
                <w:lang w:val="de-DE"/>
              </w:rPr>
            </w:pPr>
            <w:r w:rsidRPr="00E73F6F">
              <w:rPr>
                <w:lang w:val="de-DE"/>
              </w:rPr>
              <w:t>121 -</w:t>
            </w:r>
            <w:r w:rsidRPr="00E73F6F">
              <w:rPr>
                <w:spacing w:val="-3"/>
                <w:lang w:val="de-DE"/>
              </w:rPr>
              <w:t xml:space="preserve"> </w:t>
            </w:r>
            <w:r w:rsidRPr="00E73F6F">
              <w:rPr>
                <w:spacing w:val="-5"/>
                <w:lang w:val="de-DE"/>
              </w:rPr>
              <w:t>127</w:t>
            </w:r>
          </w:p>
        </w:tc>
        <w:tc>
          <w:tcPr>
            <w:tcW w:w="4375" w:type="pct"/>
            <w:tcBorders>
              <w:top w:val="single" w:sz="6" w:space="0" w:color="000000"/>
              <w:bottom w:val="single" w:sz="4" w:space="0" w:color="000000"/>
            </w:tcBorders>
          </w:tcPr>
          <w:p w14:paraId="3AF7F046" w14:textId="77777777" w:rsidR="00FF7799" w:rsidRPr="00E73F6F" w:rsidRDefault="00FF7799" w:rsidP="00C57646">
            <w:pPr>
              <w:pStyle w:val="StandardText"/>
              <w:spacing w:beforeLines="20" w:before="48"/>
              <w:rPr>
                <w:lang w:val="de-DE"/>
              </w:rPr>
            </w:pPr>
            <w:r w:rsidRPr="00E73F6F">
              <w:rPr>
                <w:lang w:val="de-DE"/>
              </w:rPr>
              <w:t>Fasttage</w:t>
            </w:r>
          </w:p>
        </w:tc>
      </w:tr>
      <w:tr w:rsidR="00FF7799" w:rsidRPr="00E73F6F" w14:paraId="440C4992" w14:textId="77777777" w:rsidTr="00926A05">
        <w:tblPrEx>
          <w:jc w:val="left"/>
        </w:tblPrEx>
        <w:trPr>
          <w:trHeight w:val="321"/>
        </w:trPr>
        <w:tc>
          <w:tcPr>
            <w:tcW w:w="625" w:type="pct"/>
            <w:tcBorders>
              <w:top w:val="single" w:sz="4" w:space="0" w:color="000000"/>
              <w:bottom w:val="single" w:sz="4" w:space="0" w:color="000000"/>
            </w:tcBorders>
            <w:shd w:val="clear" w:color="auto" w:fill="FFF2CC" w:themeFill="accent4" w:themeFillTint="33"/>
          </w:tcPr>
          <w:p w14:paraId="526E32B4" w14:textId="77777777" w:rsidR="00FF7799" w:rsidRPr="00E73F6F" w:rsidRDefault="00FF7799" w:rsidP="00C57646">
            <w:pPr>
              <w:pStyle w:val="StandardText"/>
              <w:spacing w:beforeLines="20" w:before="48"/>
              <w:rPr>
                <w:lang w:val="de-DE"/>
              </w:rPr>
            </w:pPr>
            <w:r w:rsidRPr="00E73F6F">
              <w:rPr>
                <w:lang w:val="de-DE"/>
              </w:rPr>
              <w:t>128 -</w:t>
            </w:r>
            <w:r w:rsidRPr="00E73F6F">
              <w:rPr>
                <w:spacing w:val="-3"/>
                <w:lang w:val="de-DE"/>
              </w:rPr>
              <w:t xml:space="preserve"> </w:t>
            </w:r>
            <w:r w:rsidRPr="00E73F6F">
              <w:rPr>
                <w:spacing w:val="-5"/>
                <w:lang w:val="de-DE"/>
              </w:rPr>
              <w:t>133</w:t>
            </w:r>
          </w:p>
        </w:tc>
        <w:tc>
          <w:tcPr>
            <w:tcW w:w="4375" w:type="pct"/>
            <w:tcBorders>
              <w:top w:val="single" w:sz="4" w:space="0" w:color="000000"/>
              <w:bottom w:val="single" w:sz="4" w:space="0" w:color="000000"/>
            </w:tcBorders>
          </w:tcPr>
          <w:p w14:paraId="689C022C" w14:textId="77777777" w:rsidR="00FF7799" w:rsidRPr="00E73F6F" w:rsidRDefault="00FF7799" w:rsidP="00C57646">
            <w:pPr>
              <w:pStyle w:val="StandardText"/>
              <w:spacing w:beforeLines="20" w:before="48"/>
              <w:rPr>
                <w:lang w:val="de-DE"/>
              </w:rPr>
            </w:pPr>
            <w:r w:rsidRPr="00E73F6F">
              <w:rPr>
                <w:lang w:val="de-DE"/>
              </w:rPr>
              <w:t>Die</w:t>
            </w:r>
            <w:r w:rsidRPr="00E73F6F">
              <w:rPr>
                <w:spacing w:val="-8"/>
                <w:lang w:val="de-DE"/>
              </w:rPr>
              <w:t xml:space="preserve"> </w:t>
            </w:r>
            <w:r w:rsidRPr="00E73F6F">
              <w:rPr>
                <w:lang w:val="de-DE"/>
              </w:rPr>
              <w:t>ehrfurchtbaren</w:t>
            </w:r>
            <w:r w:rsidRPr="00E73F6F">
              <w:rPr>
                <w:spacing w:val="-6"/>
                <w:lang w:val="de-DE"/>
              </w:rPr>
              <w:t xml:space="preserve"> </w:t>
            </w:r>
            <w:r w:rsidRPr="00E73F6F">
              <w:rPr>
                <w:spacing w:val="-4"/>
                <w:lang w:val="de-DE"/>
              </w:rPr>
              <w:t>Tage</w:t>
            </w:r>
          </w:p>
        </w:tc>
      </w:tr>
      <w:tr w:rsidR="00FF7799" w:rsidRPr="00E73F6F" w14:paraId="4CE84F38" w14:textId="77777777" w:rsidTr="00926A05">
        <w:tblPrEx>
          <w:jc w:val="left"/>
        </w:tblPrEx>
        <w:trPr>
          <w:trHeight w:val="323"/>
        </w:trPr>
        <w:tc>
          <w:tcPr>
            <w:tcW w:w="625" w:type="pct"/>
            <w:tcBorders>
              <w:top w:val="single" w:sz="4" w:space="0" w:color="000000"/>
              <w:bottom w:val="single" w:sz="4" w:space="0" w:color="000000"/>
            </w:tcBorders>
            <w:shd w:val="clear" w:color="auto" w:fill="FFF2CC" w:themeFill="accent4" w:themeFillTint="33"/>
          </w:tcPr>
          <w:p w14:paraId="266F3BFC" w14:textId="77777777" w:rsidR="00FF7799" w:rsidRPr="00E73F6F" w:rsidRDefault="00FF7799" w:rsidP="00C57646">
            <w:pPr>
              <w:pStyle w:val="StandardText"/>
              <w:spacing w:beforeLines="20" w:before="48"/>
              <w:rPr>
                <w:lang w:val="de-DE"/>
              </w:rPr>
            </w:pPr>
            <w:r w:rsidRPr="00E73F6F">
              <w:rPr>
                <w:lang w:val="de-DE"/>
              </w:rPr>
              <w:lastRenderedPageBreak/>
              <w:t>134 -</w:t>
            </w:r>
            <w:r w:rsidRPr="00E73F6F">
              <w:rPr>
                <w:spacing w:val="-3"/>
                <w:lang w:val="de-DE"/>
              </w:rPr>
              <w:t xml:space="preserve"> </w:t>
            </w:r>
            <w:r w:rsidRPr="00E73F6F">
              <w:rPr>
                <w:spacing w:val="-5"/>
                <w:lang w:val="de-DE"/>
              </w:rPr>
              <w:t>138</w:t>
            </w:r>
          </w:p>
        </w:tc>
        <w:tc>
          <w:tcPr>
            <w:tcW w:w="4375" w:type="pct"/>
            <w:tcBorders>
              <w:top w:val="single" w:sz="4" w:space="0" w:color="000000"/>
              <w:bottom w:val="single" w:sz="4" w:space="0" w:color="000000"/>
            </w:tcBorders>
          </w:tcPr>
          <w:p w14:paraId="145CF323" w14:textId="77777777" w:rsidR="00FF7799" w:rsidRPr="00E73F6F" w:rsidRDefault="00FF7799" w:rsidP="00C57646">
            <w:pPr>
              <w:pStyle w:val="StandardText"/>
              <w:spacing w:beforeLines="20" w:before="48"/>
              <w:rPr>
                <w:lang w:val="de-DE"/>
              </w:rPr>
            </w:pPr>
            <w:r w:rsidRPr="00E73F6F">
              <w:rPr>
                <w:lang w:val="de-DE"/>
              </w:rPr>
              <w:t>Sukkot</w:t>
            </w:r>
            <w:r w:rsidRPr="00E73F6F">
              <w:rPr>
                <w:spacing w:val="-6"/>
                <w:lang w:val="de-DE"/>
              </w:rPr>
              <w:t xml:space="preserve"> </w:t>
            </w:r>
            <w:r w:rsidRPr="00E73F6F">
              <w:rPr>
                <w:lang w:val="de-DE"/>
              </w:rPr>
              <w:t>(Laubhüttenfest)</w:t>
            </w:r>
          </w:p>
        </w:tc>
      </w:tr>
      <w:tr w:rsidR="00FF7799" w:rsidRPr="00E73F6F" w14:paraId="7C6BBD2B" w14:textId="77777777" w:rsidTr="00926A05">
        <w:tblPrEx>
          <w:jc w:val="left"/>
        </w:tblPrEx>
        <w:trPr>
          <w:trHeight w:val="321"/>
        </w:trPr>
        <w:tc>
          <w:tcPr>
            <w:tcW w:w="625" w:type="pct"/>
            <w:tcBorders>
              <w:top w:val="single" w:sz="4" w:space="0" w:color="000000"/>
              <w:bottom w:val="single" w:sz="4" w:space="0" w:color="000000"/>
            </w:tcBorders>
            <w:shd w:val="clear" w:color="auto" w:fill="FFF2CC" w:themeFill="accent4" w:themeFillTint="33"/>
          </w:tcPr>
          <w:p w14:paraId="0733F874" w14:textId="77777777" w:rsidR="00FF7799" w:rsidRPr="00E73F6F" w:rsidRDefault="00FF7799" w:rsidP="00C57646">
            <w:pPr>
              <w:pStyle w:val="StandardText"/>
              <w:spacing w:beforeLines="20" w:before="48"/>
              <w:rPr>
                <w:lang w:val="de-DE"/>
              </w:rPr>
            </w:pPr>
            <w:r w:rsidRPr="00E73F6F">
              <w:rPr>
                <w:spacing w:val="-5"/>
                <w:lang w:val="de-DE"/>
              </w:rPr>
              <w:t>139</w:t>
            </w:r>
          </w:p>
        </w:tc>
        <w:tc>
          <w:tcPr>
            <w:tcW w:w="4375" w:type="pct"/>
            <w:tcBorders>
              <w:top w:val="single" w:sz="4" w:space="0" w:color="000000"/>
              <w:bottom w:val="single" w:sz="4" w:space="0" w:color="000000"/>
            </w:tcBorders>
          </w:tcPr>
          <w:p w14:paraId="6FCF3D33" w14:textId="77777777" w:rsidR="00FF7799" w:rsidRPr="00E73F6F" w:rsidRDefault="00FF7799" w:rsidP="00C57646">
            <w:pPr>
              <w:pStyle w:val="StandardText"/>
              <w:spacing w:beforeLines="20" w:before="48"/>
              <w:rPr>
                <w:lang w:val="de-DE"/>
              </w:rPr>
            </w:pPr>
            <w:r w:rsidRPr="00E73F6F">
              <w:rPr>
                <w:lang w:val="de-DE"/>
              </w:rPr>
              <w:t>Chanukka</w:t>
            </w:r>
          </w:p>
        </w:tc>
      </w:tr>
      <w:tr w:rsidR="00FF7799" w:rsidRPr="00E73F6F" w14:paraId="55D1CF18" w14:textId="77777777" w:rsidTr="00926A05">
        <w:tblPrEx>
          <w:jc w:val="left"/>
        </w:tblPrEx>
        <w:trPr>
          <w:trHeight w:val="323"/>
        </w:trPr>
        <w:tc>
          <w:tcPr>
            <w:tcW w:w="625" w:type="pct"/>
            <w:tcBorders>
              <w:top w:val="single" w:sz="4" w:space="0" w:color="000000"/>
              <w:bottom w:val="single" w:sz="4" w:space="0" w:color="000000"/>
            </w:tcBorders>
            <w:shd w:val="clear" w:color="auto" w:fill="FFF2CC" w:themeFill="accent4" w:themeFillTint="33"/>
          </w:tcPr>
          <w:p w14:paraId="4C450D56" w14:textId="77777777" w:rsidR="00FF7799" w:rsidRPr="00E73F6F" w:rsidRDefault="00FF7799" w:rsidP="00C57646">
            <w:pPr>
              <w:pStyle w:val="StandardText"/>
              <w:spacing w:beforeLines="20" w:before="48"/>
              <w:rPr>
                <w:lang w:val="de-DE"/>
              </w:rPr>
            </w:pPr>
            <w:r w:rsidRPr="00E73F6F">
              <w:rPr>
                <w:spacing w:val="-5"/>
                <w:lang w:val="de-DE"/>
              </w:rPr>
              <w:t>140</w:t>
            </w:r>
          </w:p>
        </w:tc>
        <w:tc>
          <w:tcPr>
            <w:tcW w:w="4375" w:type="pct"/>
            <w:tcBorders>
              <w:top w:val="single" w:sz="4" w:space="0" w:color="000000"/>
              <w:bottom w:val="single" w:sz="4" w:space="0" w:color="000000"/>
            </w:tcBorders>
          </w:tcPr>
          <w:p w14:paraId="101D79AE" w14:textId="77777777" w:rsidR="00FF7799" w:rsidRPr="00E73F6F" w:rsidRDefault="00FF7799" w:rsidP="00C57646">
            <w:pPr>
              <w:pStyle w:val="StandardText"/>
              <w:spacing w:beforeLines="20" w:before="48"/>
              <w:rPr>
                <w:lang w:val="de-DE"/>
              </w:rPr>
            </w:pPr>
            <w:r w:rsidRPr="00E73F6F">
              <w:rPr>
                <w:lang w:val="de-DE"/>
              </w:rPr>
              <w:t>Die Ordnung</w:t>
            </w:r>
            <w:r w:rsidRPr="00E73F6F">
              <w:rPr>
                <w:spacing w:val="-4"/>
                <w:lang w:val="de-DE"/>
              </w:rPr>
              <w:t xml:space="preserve"> </w:t>
            </w:r>
            <w:r w:rsidRPr="00E73F6F">
              <w:rPr>
                <w:lang w:val="de-DE"/>
              </w:rPr>
              <w:t>der</w:t>
            </w:r>
            <w:r w:rsidRPr="00E73F6F">
              <w:rPr>
                <w:spacing w:val="-6"/>
                <w:lang w:val="de-DE"/>
              </w:rPr>
              <w:t xml:space="preserve"> </w:t>
            </w:r>
            <w:r w:rsidRPr="00E73F6F">
              <w:rPr>
                <w:lang w:val="de-DE"/>
              </w:rPr>
              <w:t>vier</w:t>
            </w:r>
            <w:r w:rsidRPr="00E73F6F">
              <w:rPr>
                <w:spacing w:val="-3"/>
                <w:lang w:val="de-DE"/>
              </w:rPr>
              <w:t xml:space="preserve"> </w:t>
            </w:r>
            <w:r w:rsidRPr="00E73F6F">
              <w:rPr>
                <w:lang w:val="de-DE"/>
              </w:rPr>
              <w:t>Abschnitte</w:t>
            </w:r>
          </w:p>
        </w:tc>
      </w:tr>
      <w:tr w:rsidR="00FF7799" w:rsidRPr="00E73F6F" w14:paraId="262C8A8E" w14:textId="77777777" w:rsidTr="00926A05">
        <w:tblPrEx>
          <w:jc w:val="left"/>
        </w:tblPrEx>
        <w:trPr>
          <w:trHeight w:val="321"/>
        </w:trPr>
        <w:tc>
          <w:tcPr>
            <w:tcW w:w="625" w:type="pct"/>
            <w:tcBorders>
              <w:top w:val="single" w:sz="4" w:space="0" w:color="000000"/>
              <w:bottom w:val="single" w:sz="4" w:space="0" w:color="000000"/>
            </w:tcBorders>
            <w:shd w:val="clear" w:color="auto" w:fill="FFF2CC" w:themeFill="accent4" w:themeFillTint="33"/>
          </w:tcPr>
          <w:p w14:paraId="6D029F1D" w14:textId="77777777" w:rsidR="00FF7799" w:rsidRPr="00E73F6F" w:rsidRDefault="00FF7799" w:rsidP="00C57646">
            <w:pPr>
              <w:pStyle w:val="StandardText"/>
              <w:spacing w:beforeLines="20" w:before="48"/>
              <w:rPr>
                <w:lang w:val="de-DE"/>
              </w:rPr>
            </w:pPr>
            <w:r w:rsidRPr="00E73F6F">
              <w:rPr>
                <w:lang w:val="de-DE"/>
              </w:rPr>
              <w:t>141 -</w:t>
            </w:r>
            <w:r w:rsidRPr="00E73F6F">
              <w:rPr>
                <w:spacing w:val="-3"/>
                <w:lang w:val="de-DE"/>
              </w:rPr>
              <w:t xml:space="preserve"> </w:t>
            </w:r>
            <w:r w:rsidRPr="00E73F6F">
              <w:rPr>
                <w:spacing w:val="-5"/>
                <w:lang w:val="de-DE"/>
              </w:rPr>
              <w:t>142</w:t>
            </w:r>
          </w:p>
        </w:tc>
        <w:tc>
          <w:tcPr>
            <w:tcW w:w="4375" w:type="pct"/>
            <w:tcBorders>
              <w:top w:val="single" w:sz="4" w:space="0" w:color="000000"/>
              <w:bottom w:val="single" w:sz="4" w:space="0" w:color="000000"/>
            </w:tcBorders>
          </w:tcPr>
          <w:p w14:paraId="189EFBBF" w14:textId="77777777" w:rsidR="00FF7799" w:rsidRPr="00E73F6F" w:rsidRDefault="00FF7799" w:rsidP="00C57646">
            <w:pPr>
              <w:pStyle w:val="StandardText"/>
              <w:spacing w:beforeLines="20" w:before="48"/>
              <w:rPr>
                <w:lang w:val="de-DE"/>
              </w:rPr>
            </w:pPr>
            <w:r w:rsidRPr="00E73F6F">
              <w:rPr>
                <w:lang w:val="de-DE"/>
              </w:rPr>
              <w:t>Purim</w:t>
            </w:r>
          </w:p>
        </w:tc>
      </w:tr>
      <w:tr w:rsidR="00FF7799" w:rsidRPr="00E73F6F" w14:paraId="3E3BC470" w14:textId="77777777" w:rsidTr="00926A05">
        <w:tblPrEx>
          <w:jc w:val="left"/>
        </w:tblPrEx>
        <w:trPr>
          <w:trHeight w:val="323"/>
        </w:trPr>
        <w:tc>
          <w:tcPr>
            <w:tcW w:w="625" w:type="pct"/>
            <w:tcBorders>
              <w:top w:val="single" w:sz="4" w:space="0" w:color="000000"/>
              <w:bottom w:val="single" w:sz="4" w:space="0" w:color="000000"/>
            </w:tcBorders>
            <w:shd w:val="clear" w:color="auto" w:fill="FFF2CC" w:themeFill="accent4" w:themeFillTint="33"/>
          </w:tcPr>
          <w:p w14:paraId="15CC3DF5" w14:textId="77777777" w:rsidR="00FF7799" w:rsidRPr="00E73F6F" w:rsidRDefault="00FF7799" w:rsidP="00C57646">
            <w:pPr>
              <w:pStyle w:val="StandardText"/>
              <w:spacing w:beforeLines="20" w:before="48"/>
              <w:rPr>
                <w:lang w:val="de-DE"/>
              </w:rPr>
            </w:pPr>
            <w:r w:rsidRPr="00E73F6F">
              <w:rPr>
                <w:lang w:val="de-DE"/>
              </w:rPr>
              <w:t>143 -</w:t>
            </w:r>
            <w:r w:rsidRPr="00E73F6F">
              <w:rPr>
                <w:spacing w:val="-3"/>
                <w:lang w:val="de-DE"/>
              </w:rPr>
              <w:t xml:space="preserve"> </w:t>
            </w:r>
            <w:r w:rsidRPr="00E73F6F">
              <w:rPr>
                <w:spacing w:val="-5"/>
                <w:lang w:val="de-DE"/>
              </w:rPr>
              <w:t>144</w:t>
            </w:r>
          </w:p>
        </w:tc>
        <w:tc>
          <w:tcPr>
            <w:tcW w:w="4375" w:type="pct"/>
            <w:tcBorders>
              <w:top w:val="single" w:sz="4" w:space="0" w:color="000000"/>
              <w:bottom w:val="single" w:sz="4" w:space="0" w:color="000000"/>
            </w:tcBorders>
          </w:tcPr>
          <w:p w14:paraId="5771A7B6" w14:textId="77777777" w:rsidR="00FF7799" w:rsidRPr="00E73F6F" w:rsidRDefault="00FF7799" w:rsidP="00C57646">
            <w:pPr>
              <w:pStyle w:val="StandardText"/>
              <w:spacing w:beforeLines="20" w:before="48"/>
              <w:rPr>
                <w:lang w:val="de-DE"/>
              </w:rPr>
            </w:pPr>
            <w:r w:rsidRPr="00E73F6F">
              <w:rPr>
                <w:lang w:val="de-DE"/>
              </w:rPr>
              <w:t>Verehrung</w:t>
            </w:r>
            <w:r w:rsidRPr="00E73F6F">
              <w:rPr>
                <w:spacing w:val="-5"/>
                <w:lang w:val="de-DE"/>
              </w:rPr>
              <w:t xml:space="preserve"> </w:t>
            </w:r>
            <w:r w:rsidRPr="00E73F6F">
              <w:rPr>
                <w:lang w:val="de-DE"/>
              </w:rPr>
              <w:t>der</w:t>
            </w:r>
            <w:r w:rsidRPr="00E73F6F">
              <w:rPr>
                <w:spacing w:val="-7"/>
                <w:lang w:val="de-DE"/>
              </w:rPr>
              <w:t xml:space="preserve"> </w:t>
            </w:r>
            <w:r w:rsidRPr="00E73F6F">
              <w:rPr>
                <w:lang w:val="de-DE"/>
              </w:rPr>
              <w:t>Eltern</w:t>
            </w:r>
            <w:r w:rsidRPr="00E73F6F">
              <w:rPr>
                <w:spacing w:val="-5"/>
                <w:lang w:val="de-DE"/>
              </w:rPr>
              <w:t xml:space="preserve"> </w:t>
            </w:r>
            <w:r w:rsidRPr="00E73F6F">
              <w:rPr>
                <w:lang w:val="de-DE"/>
              </w:rPr>
              <w:t>und</w:t>
            </w:r>
            <w:r w:rsidRPr="00E73F6F">
              <w:rPr>
                <w:spacing w:val="-3"/>
                <w:lang w:val="de-DE"/>
              </w:rPr>
              <w:t xml:space="preserve"> </w:t>
            </w:r>
            <w:r w:rsidRPr="00E73F6F">
              <w:rPr>
                <w:lang w:val="de-DE"/>
              </w:rPr>
              <w:t>Lehrer</w:t>
            </w:r>
          </w:p>
        </w:tc>
      </w:tr>
      <w:tr w:rsidR="00FF7799" w:rsidRPr="00E73F6F" w14:paraId="68E758BE" w14:textId="77777777" w:rsidTr="00926A05">
        <w:tblPrEx>
          <w:jc w:val="left"/>
        </w:tblPrEx>
        <w:trPr>
          <w:trHeight w:val="321"/>
        </w:trPr>
        <w:tc>
          <w:tcPr>
            <w:tcW w:w="625" w:type="pct"/>
            <w:tcBorders>
              <w:top w:val="single" w:sz="4" w:space="0" w:color="000000"/>
              <w:bottom w:val="single" w:sz="4" w:space="0" w:color="000000"/>
            </w:tcBorders>
            <w:shd w:val="clear" w:color="auto" w:fill="FFF2CC" w:themeFill="accent4" w:themeFillTint="33"/>
          </w:tcPr>
          <w:p w14:paraId="15EBD5EE" w14:textId="77777777" w:rsidR="00FF7799" w:rsidRPr="00E73F6F" w:rsidRDefault="00FF7799" w:rsidP="00C57646">
            <w:pPr>
              <w:pStyle w:val="StandardText"/>
              <w:spacing w:beforeLines="20" w:before="48"/>
              <w:rPr>
                <w:lang w:val="de-DE"/>
              </w:rPr>
            </w:pPr>
            <w:r w:rsidRPr="00E73F6F">
              <w:rPr>
                <w:lang w:val="de-DE"/>
              </w:rPr>
              <w:t>145 -</w:t>
            </w:r>
            <w:r w:rsidRPr="00E73F6F">
              <w:rPr>
                <w:spacing w:val="-3"/>
                <w:lang w:val="de-DE"/>
              </w:rPr>
              <w:t xml:space="preserve"> </w:t>
            </w:r>
            <w:r w:rsidRPr="00E73F6F">
              <w:rPr>
                <w:spacing w:val="-5"/>
                <w:lang w:val="de-DE"/>
              </w:rPr>
              <w:t>152</w:t>
            </w:r>
          </w:p>
        </w:tc>
        <w:tc>
          <w:tcPr>
            <w:tcW w:w="4375" w:type="pct"/>
            <w:tcBorders>
              <w:top w:val="single" w:sz="4" w:space="0" w:color="000000"/>
              <w:bottom w:val="single" w:sz="4" w:space="0" w:color="000000"/>
            </w:tcBorders>
          </w:tcPr>
          <w:p w14:paraId="137ACBC1" w14:textId="77777777" w:rsidR="00FF7799" w:rsidRPr="00E73F6F" w:rsidRDefault="00FF7799" w:rsidP="00C57646">
            <w:pPr>
              <w:pStyle w:val="StandardText"/>
              <w:spacing w:beforeLines="20" w:before="48"/>
              <w:rPr>
                <w:lang w:val="de-DE"/>
              </w:rPr>
            </w:pPr>
            <w:r w:rsidRPr="00E73F6F">
              <w:rPr>
                <w:lang w:val="de-DE"/>
              </w:rPr>
              <w:t>Die Eheschließung</w:t>
            </w:r>
          </w:p>
        </w:tc>
      </w:tr>
      <w:tr w:rsidR="00FF7799" w:rsidRPr="00E73F6F" w14:paraId="2DCC9CBC" w14:textId="77777777" w:rsidTr="00926A05">
        <w:tblPrEx>
          <w:jc w:val="left"/>
        </w:tblPrEx>
        <w:trPr>
          <w:trHeight w:val="323"/>
        </w:trPr>
        <w:tc>
          <w:tcPr>
            <w:tcW w:w="625" w:type="pct"/>
            <w:tcBorders>
              <w:top w:val="single" w:sz="4" w:space="0" w:color="000000"/>
              <w:bottom w:val="single" w:sz="4" w:space="0" w:color="000000"/>
            </w:tcBorders>
            <w:shd w:val="clear" w:color="auto" w:fill="FFF2CC" w:themeFill="accent4" w:themeFillTint="33"/>
          </w:tcPr>
          <w:p w14:paraId="0E44629E" w14:textId="77777777" w:rsidR="00FF7799" w:rsidRPr="00E73F6F" w:rsidRDefault="00FF7799" w:rsidP="00C57646">
            <w:pPr>
              <w:pStyle w:val="StandardText"/>
              <w:spacing w:beforeLines="20" w:before="48"/>
              <w:rPr>
                <w:lang w:val="de-DE"/>
              </w:rPr>
            </w:pPr>
            <w:r w:rsidRPr="00E73F6F">
              <w:rPr>
                <w:lang w:val="de-DE"/>
              </w:rPr>
              <w:t>153 -</w:t>
            </w:r>
            <w:r w:rsidRPr="00E73F6F">
              <w:rPr>
                <w:spacing w:val="-3"/>
                <w:lang w:val="de-DE"/>
              </w:rPr>
              <w:t xml:space="preserve"> </w:t>
            </w:r>
            <w:r w:rsidRPr="00E73F6F">
              <w:rPr>
                <w:spacing w:val="-5"/>
                <w:lang w:val="de-DE"/>
              </w:rPr>
              <w:t>162</w:t>
            </w:r>
          </w:p>
        </w:tc>
        <w:tc>
          <w:tcPr>
            <w:tcW w:w="4375" w:type="pct"/>
            <w:tcBorders>
              <w:top w:val="single" w:sz="4" w:space="0" w:color="000000"/>
              <w:bottom w:val="single" w:sz="4" w:space="0" w:color="000000"/>
            </w:tcBorders>
          </w:tcPr>
          <w:p w14:paraId="708808F5" w14:textId="77777777" w:rsidR="00FF7799" w:rsidRPr="00E73F6F" w:rsidRDefault="00FF7799" w:rsidP="00C57646">
            <w:pPr>
              <w:pStyle w:val="StandardText"/>
              <w:spacing w:beforeLines="20" w:before="48"/>
              <w:rPr>
                <w:lang w:val="de-DE"/>
              </w:rPr>
            </w:pPr>
            <w:r w:rsidRPr="00E73F6F">
              <w:rPr>
                <w:lang w:val="de-DE"/>
              </w:rPr>
              <w:t>Die Absonderung</w:t>
            </w:r>
          </w:p>
        </w:tc>
      </w:tr>
      <w:tr w:rsidR="00FF7799" w:rsidRPr="00E73F6F" w14:paraId="3BF33CBA" w14:textId="77777777" w:rsidTr="00926A05">
        <w:tblPrEx>
          <w:jc w:val="left"/>
        </w:tblPrEx>
        <w:trPr>
          <w:trHeight w:val="321"/>
        </w:trPr>
        <w:tc>
          <w:tcPr>
            <w:tcW w:w="625" w:type="pct"/>
            <w:tcBorders>
              <w:top w:val="single" w:sz="4" w:space="0" w:color="000000"/>
              <w:bottom w:val="single" w:sz="4" w:space="0" w:color="000000"/>
            </w:tcBorders>
            <w:shd w:val="clear" w:color="auto" w:fill="FFF2CC" w:themeFill="accent4" w:themeFillTint="33"/>
          </w:tcPr>
          <w:p w14:paraId="1DA5AA59" w14:textId="77777777" w:rsidR="00FF7799" w:rsidRPr="00E73F6F" w:rsidRDefault="00FF7799" w:rsidP="00C57646">
            <w:pPr>
              <w:pStyle w:val="StandardText"/>
              <w:spacing w:beforeLines="20" w:before="48"/>
              <w:rPr>
                <w:lang w:val="de-DE"/>
              </w:rPr>
            </w:pPr>
            <w:r w:rsidRPr="00E73F6F">
              <w:rPr>
                <w:lang w:val="de-DE"/>
              </w:rPr>
              <w:t>163 -</w:t>
            </w:r>
            <w:r w:rsidRPr="00E73F6F">
              <w:rPr>
                <w:spacing w:val="-3"/>
                <w:lang w:val="de-DE"/>
              </w:rPr>
              <w:t xml:space="preserve"> </w:t>
            </w:r>
            <w:r w:rsidRPr="00E73F6F">
              <w:rPr>
                <w:spacing w:val="-5"/>
                <w:lang w:val="de-DE"/>
              </w:rPr>
              <w:t>165</w:t>
            </w:r>
          </w:p>
        </w:tc>
        <w:tc>
          <w:tcPr>
            <w:tcW w:w="4375" w:type="pct"/>
            <w:tcBorders>
              <w:top w:val="single" w:sz="4" w:space="0" w:color="000000"/>
              <w:bottom w:val="single" w:sz="4" w:space="0" w:color="000000"/>
            </w:tcBorders>
          </w:tcPr>
          <w:p w14:paraId="7784C7D5" w14:textId="77777777" w:rsidR="00FF7799" w:rsidRPr="00E73F6F" w:rsidRDefault="00FF7799" w:rsidP="00C57646">
            <w:pPr>
              <w:pStyle w:val="StandardText"/>
              <w:spacing w:beforeLines="20" w:before="48"/>
              <w:rPr>
                <w:lang w:val="de-DE"/>
              </w:rPr>
            </w:pPr>
            <w:r w:rsidRPr="00E73F6F">
              <w:rPr>
                <w:lang w:val="de-DE"/>
              </w:rPr>
              <w:t>Vorschriften</w:t>
            </w:r>
            <w:r w:rsidRPr="00E73F6F">
              <w:rPr>
                <w:spacing w:val="-6"/>
                <w:lang w:val="de-DE"/>
              </w:rPr>
              <w:t xml:space="preserve"> </w:t>
            </w:r>
            <w:r w:rsidRPr="00E73F6F">
              <w:rPr>
                <w:lang w:val="de-DE"/>
              </w:rPr>
              <w:t>dem</w:t>
            </w:r>
            <w:r w:rsidRPr="00E73F6F">
              <w:rPr>
                <w:spacing w:val="-6"/>
                <w:lang w:val="de-DE"/>
              </w:rPr>
              <w:t xml:space="preserve"> </w:t>
            </w:r>
            <w:r w:rsidRPr="00E73F6F">
              <w:rPr>
                <w:lang w:val="de-DE"/>
              </w:rPr>
              <w:t>Kinde</w:t>
            </w:r>
            <w:r w:rsidRPr="00E73F6F">
              <w:rPr>
                <w:spacing w:val="-6"/>
                <w:lang w:val="de-DE"/>
              </w:rPr>
              <w:t xml:space="preserve"> </w:t>
            </w:r>
            <w:r w:rsidRPr="00E73F6F">
              <w:rPr>
                <w:lang w:val="de-DE"/>
              </w:rPr>
              <w:t>gegenüber</w:t>
            </w:r>
          </w:p>
        </w:tc>
      </w:tr>
      <w:tr w:rsidR="00FF7799" w:rsidRPr="00E73F6F" w14:paraId="7A18CF06" w14:textId="77777777" w:rsidTr="00926A05">
        <w:tblPrEx>
          <w:jc w:val="left"/>
        </w:tblPrEx>
        <w:trPr>
          <w:trHeight w:val="323"/>
        </w:trPr>
        <w:tc>
          <w:tcPr>
            <w:tcW w:w="625" w:type="pct"/>
            <w:tcBorders>
              <w:top w:val="single" w:sz="4" w:space="0" w:color="000000"/>
              <w:bottom w:val="single" w:sz="4" w:space="0" w:color="000000"/>
            </w:tcBorders>
            <w:shd w:val="clear" w:color="auto" w:fill="FFF2CC" w:themeFill="accent4" w:themeFillTint="33"/>
          </w:tcPr>
          <w:p w14:paraId="7D6D7944" w14:textId="77777777" w:rsidR="00FF7799" w:rsidRPr="00E73F6F" w:rsidRDefault="00FF7799" w:rsidP="00C57646">
            <w:pPr>
              <w:pStyle w:val="StandardText"/>
              <w:spacing w:beforeLines="20" w:before="48"/>
              <w:rPr>
                <w:lang w:val="de-DE"/>
              </w:rPr>
            </w:pPr>
            <w:r w:rsidRPr="00E73F6F">
              <w:rPr>
                <w:lang w:val="de-DE"/>
              </w:rPr>
              <w:t>166 -</w:t>
            </w:r>
            <w:r w:rsidRPr="00E73F6F">
              <w:rPr>
                <w:spacing w:val="-3"/>
                <w:lang w:val="de-DE"/>
              </w:rPr>
              <w:t xml:space="preserve"> </w:t>
            </w:r>
            <w:r w:rsidRPr="00E73F6F">
              <w:rPr>
                <w:spacing w:val="-5"/>
                <w:lang w:val="de-DE"/>
              </w:rPr>
              <w:t>171</w:t>
            </w:r>
          </w:p>
        </w:tc>
        <w:tc>
          <w:tcPr>
            <w:tcW w:w="4375" w:type="pct"/>
            <w:tcBorders>
              <w:top w:val="single" w:sz="4" w:space="0" w:color="000000"/>
              <w:bottom w:val="single" w:sz="4" w:space="0" w:color="000000"/>
            </w:tcBorders>
          </w:tcPr>
          <w:p w14:paraId="6BD233C4" w14:textId="77777777" w:rsidR="00FF7799" w:rsidRPr="00E73F6F" w:rsidRDefault="00FF7799" w:rsidP="00C57646">
            <w:pPr>
              <w:pStyle w:val="StandardText"/>
              <w:spacing w:beforeLines="20" w:before="48"/>
              <w:rPr>
                <w:lang w:val="de-DE"/>
              </w:rPr>
            </w:pPr>
            <w:r w:rsidRPr="00E73F6F">
              <w:rPr>
                <w:lang w:val="de-DE"/>
              </w:rPr>
              <w:t>Verbot</w:t>
            </w:r>
            <w:r w:rsidRPr="00E73F6F">
              <w:rPr>
                <w:spacing w:val="-9"/>
                <w:lang w:val="de-DE"/>
              </w:rPr>
              <w:t xml:space="preserve"> </w:t>
            </w:r>
            <w:r w:rsidRPr="00E73F6F">
              <w:rPr>
                <w:lang w:val="de-DE"/>
              </w:rPr>
              <w:t>unjüdischer</w:t>
            </w:r>
            <w:r w:rsidRPr="00E73F6F">
              <w:rPr>
                <w:spacing w:val="-8"/>
                <w:lang w:val="de-DE"/>
              </w:rPr>
              <w:t xml:space="preserve"> </w:t>
            </w:r>
            <w:r w:rsidRPr="00E73F6F">
              <w:rPr>
                <w:lang w:val="de-DE"/>
              </w:rPr>
              <w:t>Führung</w:t>
            </w:r>
            <w:r w:rsidRPr="00E73F6F">
              <w:rPr>
                <w:spacing w:val="-6"/>
                <w:lang w:val="de-DE"/>
              </w:rPr>
              <w:t xml:space="preserve"> </w:t>
            </w:r>
            <w:r w:rsidRPr="00E73F6F">
              <w:rPr>
                <w:lang w:val="de-DE"/>
              </w:rPr>
              <w:t>(z.B.</w:t>
            </w:r>
            <w:r w:rsidRPr="00E73F6F">
              <w:rPr>
                <w:spacing w:val="-9"/>
                <w:lang w:val="de-DE"/>
              </w:rPr>
              <w:t xml:space="preserve"> </w:t>
            </w:r>
            <w:r w:rsidRPr="00E73F6F">
              <w:rPr>
                <w:lang w:val="de-DE"/>
              </w:rPr>
              <w:t>Aberglauben;</w:t>
            </w:r>
            <w:r w:rsidRPr="00E73F6F">
              <w:rPr>
                <w:spacing w:val="-6"/>
                <w:lang w:val="de-DE"/>
              </w:rPr>
              <w:t xml:space="preserve"> </w:t>
            </w:r>
            <w:r w:rsidRPr="00E73F6F">
              <w:rPr>
                <w:lang w:val="de-DE"/>
              </w:rPr>
              <w:t>Götzendienst;</w:t>
            </w:r>
          </w:p>
        </w:tc>
      </w:tr>
      <w:tr w:rsidR="00FF7799" w:rsidRPr="00E73F6F" w14:paraId="5DAA8621" w14:textId="77777777" w:rsidTr="00926A05">
        <w:tblPrEx>
          <w:jc w:val="left"/>
        </w:tblPrEx>
        <w:trPr>
          <w:trHeight w:val="321"/>
        </w:trPr>
        <w:tc>
          <w:tcPr>
            <w:tcW w:w="625" w:type="pct"/>
            <w:tcBorders>
              <w:top w:val="single" w:sz="4" w:space="0" w:color="000000"/>
              <w:bottom w:val="single" w:sz="4" w:space="0" w:color="000000"/>
            </w:tcBorders>
            <w:shd w:val="clear" w:color="auto" w:fill="FFF2CC" w:themeFill="accent4" w:themeFillTint="33"/>
          </w:tcPr>
          <w:p w14:paraId="24CB1DE1" w14:textId="77777777" w:rsidR="00FF7799" w:rsidRPr="00E73F6F" w:rsidRDefault="00FF7799" w:rsidP="00C57646">
            <w:pPr>
              <w:pStyle w:val="StandardText"/>
              <w:spacing w:beforeLines="20" w:before="48"/>
              <w:rPr>
                <w:lang w:val="de-DE"/>
              </w:rPr>
            </w:pPr>
          </w:p>
        </w:tc>
        <w:tc>
          <w:tcPr>
            <w:tcW w:w="4375" w:type="pct"/>
            <w:tcBorders>
              <w:top w:val="single" w:sz="4" w:space="0" w:color="000000"/>
              <w:bottom w:val="single" w:sz="4" w:space="0" w:color="000000"/>
            </w:tcBorders>
          </w:tcPr>
          <w:p w14:paraId="1F460E97" w14:textId="77777777" w:rsidR="00FF7799" w:rsidRPr="00E73F6F" w:rsidRDefault="00FF7799" w:rsidP="00C57646">
            <w:pPr>
              <w:pStyle w:val="StandardText"/>
              <w:spacing w:beforeLines="20" w:before="48"/>
              <w:rPr>
                <w:lang w:val="de-DE"/>
              </w:rPr>
            </w:pPr>
            <w:r w:rsidRPr="00E73F6F">
              <w:rPr>
                <w:lang w:val="de-DE"/>
              </w:rPr>
              <w:t>Entfernen</w:t>
            </w:r>
            <w:r w:rsidRPr="00E73F6F">
              <w:rPr>
                <w:spacing w:val="-7"/>
                <w:lang w:val="de-DE"/>
              </w:rPr>
              <w:t xml:space="preserve"> </w:t>
            </w:r>
            <w:r w:rsidRPr="00E73F6F">
              <w:rPr>
                <w:lang w:val="de-DE"/>
              </w:rPr>
              <w:t>der</w:t>
            </w:r>
            <w:r w:rsidRPr="00E73F6F">
              <w:rPr>
                <w:spacing w:val="-5"/>
                <w:lang w:val="de-DE"/>
              </w:rPr>
              <w:t xml:space="preserve"> </w:t>
            </w:r>
            <w:r w:rsidRPr="00E73F6F">
              <w:rPr>
                <w:lang w:val="de-DE"/>
              </w:rPr>
              <w:t>Ecken</w:t>
            </w:r>
            <w:r w:rsidRPr="00E73F6F">
              <w:rPr>
                <w:spacing w:val="-5"/>
                <w:lang w:val="de-DE"/>
              </w:rPr>
              <w:t xml:space="preserve"> </w:t>
            </w:r>
            <w:r w:rsidRPr="00E73F6F">
              <w:rPr>
                <w:lang w:val="de-DE"/>
              </w:rPr>
              <w:t>des</w:t>
            </w:r>
            <w:r w:rsidRPr="00E73F6F">
              <w:rPr>
                <w:spacing w:val="-4"/>
                <w:lang w:val="de-DE"/>
              </w:rPr>
              <w:t xml:space="preserve"> </w:t>
            </w:r>
            <w:r w:rsidRPr="00E73F6F">
              <w:rPr>
                <w:lang w:val="de-DE"/>
              </w:rPr>
              <w:t>Haupthaares</w:t>
            </w:r>
            <w:r w:rsidRPr="00E73F6F">
              <w:rPr>
                <w:spacing w:val="-6"/>
                <w:lang w:val="de-DE"/>
              </w:rPr>
              <w:t xml:space="preserve"> </w:t>
            </w:r>
            <w:r w:rsidRPr="00E73F6F">
              <w:rPr>
                <w:lang w:val="de-DE"/>
              </w:rPr>
              <w:t>und</w:t>
            </w:r>
            <w:r w:rsidRPr="00E73F6F">
              <w:rPr>
                <w:spacing w:val="-4"/>
                <w:lang w:val="de-DE"/>
              </w:rPr>
              <w:t xml:space="preserve"> </w:t>
            </w:r>
            <w:r w:rsidRPr="00E73F6F">
              <w:rPr>
                <w:lang w:val="de-DE"/>
              </w:rPr>
              <w:t>des Bartes)</w:t>
            </w:r>
          </w:p>
        </w:tc>
      </w:tr>
      <w:tr w:rsidR="00FF7799" w:rsidRPr="00E73F6F" w14:paraId="353AF27D" w14:textId="77777777" w:rsidTr="00926A05">
        <w:tblPrEx>
          <w:jc w:val="left"/>
        </w:tblPrEx>
        <w:trPr>
          <w:trHeight w:val="323"/>
        </w:trPr>
        <w:tc>
          <w:tcPr>
            <w:tcW w:w="625" w:type="pct"/>
            <w:tcBorders>
              <w:top w:val="single" w:sz="4" w:space="0" w:color="000000"/>
              <w:bottom w:val="single" w:sz="4" w:space="0" w:color="000000"/>
            </w:tcBorders>
            <w:shd w:val="clear" w:color="auto" w:fill="FFF2CC" w:themeFill="accent4" w:themeFillTint="33"/>
          </w:tcPr>
          <w:p w14:paraId="71E88091" w14:textId="77777777" w:rsidR="00FF7799" w:rsidRPr="00E73F6F" w:rsidRDefault="00FF7799" w:rsidP="00C57646">
            <w:pPr>
              <w:pStyle w:val="StandardText"/>
              <w:spacing w:beforeLines="20" w:before="48"/>
              <w:rPr>
                <w:lang w:val="de-DE"/>
              </w:rPr>
            </w:pPr>
            <w:r w:rsidRPr="00E73F6F">
              <w:rPr>
                <w:lang w:val="de-DE"/>
              </w:rPr>
              <w:t>172 -</w:t>
            </w:r>
            <w:r w:rsidRPr="00E73F6F">
              <w:rPr>
                <w:spacing w:val="-3"/>
                <w:lang w:val="de-DE"/>
              </w:rPr>
              <w:t xml:space="preserve"> </w:t>
            </w:r>
            <w:r w:rsidRPr="00E73F6F">
              <w:rPr>
                <w:spacing w:val="-5"/>
                <w:lang w:val="de-DE"/>
              </w:rPr>
              <w:t>178</w:t>
            </w:r>
          </w:p>
        </w:tc>
        <w:tc>
          <w:tcPr>
            <w:tcW w:w="4375" w:type="pct"/>
            <w:tcBorders>
              <w:top w:val="single" w:sz="4" w:space="0" w:color="000000"/>
              <w:bottom w:val="single" w:sz="4" w:space="0" w:color="000000"/>
            </w:tcBorders>
          </w:tcPr>
          <w:p w14:paraId="7F99400B" w14:textId="77777777" w:rsidR="00FF7799" w:rsidRPr="00E73F6F" w:rsidRDefault="00FF7799" w:rsidP="00C57646">
            <w:pPr>
              <w:pStyle w:val="StandardText"/>
              <w:spacing w:beforeLines="20" w:before="48"/>
              <w:rPr>
                <w:lang w:val="de-DE"/>
              </w:rPr>
            </w:pPr>
            <w:r w:rsidRPr="00E73F6F">
              <w:rPr>
                <w:lang w:val="de-DE"/>
              </w:rPr>
              <w:t>Vorschriften</w:t>
            </w:r>
            <w:r w:rsidRPr="00E73F6F">
              <w:rPr>
                <w:spacing w:val="-4"/>
                <w:lang w:val="de-DE"/>
              </w:rPr>
              <w:t xml:space="preserve"> </w:t>
            </w:r>
            <w:r w:rsidRPr="00E73F6F">
              <w:rPr>
                <w:lang w:val="de-DE"/>
              </w:rPr>
              <w:t>für</w:t>
            </w:r>
            <w:r w:rsidRPr="00E73F6F">
              <w:rPr>
                <w:spacing w:val="-6"/>
                <w:lang w:val="de-DE"/>
              </w:rPr>
              <w:t xml:space="preserve"> </w:t>
            </w:r>
            <w:r w:rsidRPr="00E73F6F">
              <w:rPr>
                <w:lang w:val="de-DE"/>
              </w:rPr>
              <w:t>Feld,</w:t>
            </w:r>
            <w:r w:rsidRPr="00E73F6F">
              <w:rPr>
                <w:spacing w:val="-4"/>
                <w:lang w:val="de-DE"/>
              </w:rPr>
              <w:t xml:space="preserve"> </w:t>
            </w:r>
            <w:r w:rsidRPr="00E73F6F">
              <w:rPr>
                <w:lang w:val="de-DE"/>
              </w:rPr>
              <w:t>Vieh</w:t>
            </w:r>
            <w:r w:rsidRPr="00E73F6F">
              <w:rPr>
                <w:spacing w:val="-6"/>
                <w:lang w:val="de-DE"/>
              </w:rPr>
              <w:t xml:space="preserve"> </w:t>
            </w:r>
            <w:r w:rsidRPr="00E73F6F">
              <w:rPr>
                <w:lang w:val="de-DE"/>
              </w:rPr>
              <w:t>und</w:t>
            </w:r>
            <w:r w:rsidRPr="00E73F6F">
              <w:rPr>
                <w:spacing w:val="-3"/>
                <w:lang w:val="de-DE"/>
              </w:rPr>
              <w:t xml:space="preserve"> </w:t>
            </w:r>
            <w:r w:rsidRPr="00E73F6F">
              <w:rPr>
                <w:lang w:val="de-DE"/>
              </w:rPr>
              <w:t>Gewand</w:t>
            </w:r>
          </w:p>
        </w:tc>
      </w:tr>
      <w:tr w:rsidR="00FF7799" w:rsidRPr="00E73F6F" w14:paraId="5D79D58A" w14:textId="77777777" w:rsidTr="00926A05">
        <w:tblPrEx>
          <w:jc w:val="left"/>
        </w:tblPrEx>
        <w:trPr>
          <w:trHeight w:val="2548"/>
        </w:trPr>
        <w:tc>
          <w:tcPr>
            <w:tcW w:w="625" w:type="pct"/>
            <w:tcBorders>
              <w:top w:val="single" w:sz="4" w:space="0" w:color="000000"/>
              <w:bottom w:val="single" w:sz="4" w:space="0" w:color="000000"/>
            </w:tcBorders>
            <w:shd w:val="clear" w:color="auto" w:fill="FFF2CC" w:themeFill="accent4" w:themeFillTint="33"/>
          </w:tcPr>
          <w:p w14:paraId="31756F11" w14:textId="77777777" w:rsidR="00FF7799" w:rsidRPr="00E73F6F" w:rsidRDefault="00FF7799" w:rsidP="00C57646">
            <w:pPr>
              <w:pStyle w:val="StandardText"/>
              <w:spacing w:beforeLines="20" w:before="48"/>
              <w:rPr>
                <w:lang w:val="de-DE"/>
              </w:rPr>
            </w:pPr>
            <w:r w:rsidRPr="00E73F6F">
              <w:rPr>
                <w:lang w:val="de-DE"/>
              </w:rPr>
              <w:t>79 -</w:t>
            </w:r>
            <w:r w:rsidRPr="00E73F6F">
              <w:rPr>
                <w:spacing w:val="-3"/>
                <w:lang w:val="de-DE"/>
              </w:rPr>
              <w:t xml:space="preserve"> </w:t>
            </w:r>
            <w:r w:rsidRPr="00E73F6F">
              <w:rPr>
                <w:spacing w:val="-5"/>
                <w:lang w:val="de-DE"/>
              </w:rPr>
              <w:t>189</w:t>
            </w:r>
          </w:p>
        </w:tc>
        <w:tc>
          <w:tcPr>
            <w:tcW w:w="4375" w:type="pct"/>
            <w:tcBorders>
              <w:top w:val="single" w:sz="4" w:space="0" w:color="000000"/>
              <w:bottom w:val="single" w:sz="4" w:space="0" w:color="000000"/>
            </w:tcBorders>
          </w:tcPr>
          <w:p w14:paraId="0132A7DC" w14:textId="77777777" w:rsidR="00FF7799" w:rsidRPr="00E73F6F" w:rsidRDefault="00FF7799" w:rsidP="00C57646">
            <w:pPr>
              <w:pStyle w:val="StandardText"/>
              <w:spacing w:beforeLines="20" w:before="48"/>
              <w:rPr>
                <w:lang w:val="de-DE"/>
              </w:rPr>
            </w:pPr>
            <w:r w:rsidRPr="00E73F6F">
              <w:rPr>
                <w:lang w:val="de-DE"/>
              </w:rPr>
              <w:t>Vorschriften</w:t>
            </w:r>
            <w:r w:rsidRPr="00E73F6F">
              <w:rPr>
                <w:spacing w:val="-4"/>
                <w:lang w:val="de-DE"/>
              </w:rPr>
              <w:t xml:space="preserve"> </w:t>
            </w:r>
            <w:r w:rsidRPr="00E73F6F">
              <w:rPr>
                <w:lang w:val="de-DE"/>
              </w:rPr>
              <w:t>für</w:t>
            </w:r>
            <w:r w:rsidRPr="00E73F6F">
              <w:rPr>
                <w:spacing w:val="-6"/>
                <w:lang w:val="de-DE"/>
              </w:rPr>
              <w:t xml:space="preserve"> </w:t>
            </w:r>
            <w:r w:rsidRPr="00E73F6F">
              <w:rPr>
                <w:lang w:val="de-DE"/>
              </w:rPr>
              <w:t>das</w:t>
            </w:r>
            <w:r w:rsidRPr="00E73F6F">
              <w:rPr>
                <w:spacing w:val="-4"/>
                <w:lang w:val="de-DE"/>
              </w:rPr>
              <w:t xml:space="preserve"> </w:t>
            </w:r>
            <w:r w:rsidRPr="00E73F6F">
              <w:rPr>
                <w:lang w:val="de-DE"/>
              </w:rPr>
              <w:t>Geschäftsleben</w:t>
            </w:r>
          </w:p>
          <w:p w14:paraId="0F5E5DBE" w14:textId="77777777" w:rsidR="00FF7799" w:rsidRPr="00E73F6F" w:rsidRDefault="00FF7799" w:rsidP="00C57646">
            <w:pPr>
              <w:pStyle w:val="StandardText"/>
              <w:spacing w:beforeLines="20" w:before="48"/>
              <w:rPr>
                <w:lang w:val="de-DE"/>
              </w:rPr>
            </w:pPr>
            <w:r w:rsidRPr="00E73F6F">
              <w:rPr>
                <w:lang w:val="de-DE"/>
              </w:rPr>
              <w:t>Vorschriften</w:t>
            </w:r>
            <w:r w:rsidRPr="00E73F6F">
              <w:rPr>
                <w:spacing w:val="-4"/>
                <w:lang w:val="de-DE"/>
              </w:rPr>
              <w:t xml:space="preserve"> </w:t>
            </w:r>
            <w:r w:rsidRPr="00E73F6F">
              <w:rPr>
                <w:lang w:val="de-DE"/>
              </w:rPr>
              <w:t>für</w:t>
            </w:r>
            <w:r w:rsidRPr="00E73F6F">
              <w:rPr>
                <w:spacing w:val="-8"/>
                <w:lang w:val="de-DE"/>
              </w:rPr>
              <w:t xml:space="preserve"> </w:t>
            </w:r>
            <w:r w:rsidRPr="00E73F6F">
              <w:rPr>
                <w:lang w:val="de-DE"/>
              </w:rPr>
              <w:t>die</w:t>
            </w:r>
            <w:r w:rsidRPr="00E73F6F">
              <w:rPr>
                <w:spacing w:val="-4"/>
                <w:lang w:val="de-DE"/>
              </w:rPr>
              <w:t xml:space="preserve"> </w:t>
            </w:r>
            <w:r w:rsidRPr="00E73F6F">
              <w:rPr>
                <w:lang w:val="de-DE"/>
              </w:rPr>
              <w:t>Gewährung eines</w:t>
            </w:r>
            <w:r w:rsidRPr="00E73F6F">
              <w:rPr>
                <w:spacing w:val="-7"/>
                <w:lang w:val="de-DE"/>
              </w:rPr>
              <w:t xml:space="preserve"> </w:t>
            </w:r>
            <w:r w:rsidRPr="00E73F6F">
              <w:rPr>
                <w:lang w:val="de-DE"/>
              </w:rPr>
              <w:t>Darlehens</w:t>
            </w:r>
            <w:r w:rsidRPr="00E73F6F">
              <w:rPr>
                <w:spacing w:val="-5"/>
                <w:lang w:val="de-DE"/>
              </w:rPr>
              <w:t xml:space="preserve"> </w:t>
            </w:r>
            <w:r w:rsidRPr="00E73F6F">
              <w:rPr>
                <w:lang w:val="de-DE"/>
              </w:rPr>
              <w:t>(Kap.</w:t>
            </w:r>
            <w:r w:rsidRPr="00E73F6F">
              <w:rPr>
                <w:spacing w:val="-7"/>
                <w:lang w:val="de-DE"/>
              </w:rPr>
              <w:t xml:space="preserve"> </w:t>
            </w:r>
            <w:r w:rsidRPr="00E73F6F">
              <w:rPr>
                <w:lang w:val="de-DE"/>
              </w:rPr>
              <w:t>179)</w:t>
            </w:r>
            <w:r w:rsidRPr="00E73F6F">
              <w:rPr>
                <w:spacing w:val="40"/>
                <w:lang w:val="de-DE"/>
              </w:rPr>
              <w:t xml:space="preserve"> </w:t>
            </w:r>
            <w:r w:rsidRPr="00E73F6F">
              <w:rPr>
                <w:lang w:val="de-DE"/>
              </w:rPr>
              <w:t>Vorschriften für den Erlass von Darlehen (Kap. 180)</w:t>
            </w:r>
          </w:p>
          <w:p w14:paraId="323F0C0E" w14:textId="77777777" w:rsidR="00FF7799" w:rsidRPr="00E73F6F" w:rsidRDefault="00FF7799" w:rsidP="00C57646">
            <w:pPr>
              <w:pStyle w:val="StandardText"/>
              <w:spacing w:beforeLines="20" w:before="48"/>
              <w:rPr>
                <w:lang w:val="de-DE"/>
              </w:rPr>
            </w:pPr>
            <w:r w:rsidRPr="00E73F6F">
              <w:rPr>
                <w:lang w:val="de-DE"/>
              </w:rPr>
              <w:t>Vorschriften für</w:t>
            </w:r>
            <w:r w:rsidRPr="00E73F6F">
              <w:rPr>
                <w:spacing w:val="-6"/>
                <w:lang w:val="de-DE"/>
              </w:rPr>
              <w:t xml:space="preserve"> </w:t>
            </w:r>
            <w:r w:rsidRPr="00E73F6F">
              <w:rPr>
                <w:lang w:val="de-DE"/>
              </w:rPr>
              <w:t>den</w:t>
            </w:r>
            <w:r w:rsidRPr="00E73F6F">
              <w:rPr>
                <w:spacing w:val="-4"/>
                <w:lang w:val="de-DE"/>
              </w:rPr>
              <w:t xml:space="preserve"> </w:t>
            </w:r>
            <w:r w:rsidRPr="00E73F6F">
              <w:rPr>
                <w:lang w:val="de-DE"/>
              </w:rPr>
              <w:t>Kläger,</w:t>
            </w:r>
            <w:r w:rsidRPr="00E73F6F">
              <w:rPr>
                <w:spacing w:val="-5"/>
                <w:lang w:val="de-DE"/>
              </w:rPr>
              <w:t xml:space="preserve"> </w:t>
            </w:r>
            <w:r w:rsidRPr="00E73F6F">
              <w:rPr>
                <w:lang w:val="de-DE"/>
              </w:rPr>
              <w:t>den</w:t>
            </w:r>
            <w:r w:rsidRPr="00E73F6F">
              <w:rPr>
                <w:spacing w:val="-1"/>
                <w:lang w:val="de-DE"/>
              </w:rPr>
              <w:t xml:space="preserve"> </w:t>
            </w:r>
            <w:r w:rsidRPr="00E73F6F">
              <w:rPr>
                <w:lang w:val="de-DE"/>
              </w:rPr>
              <w:t>Beklagten</w:t>
            </w:r>
            <w:r w:rsidRPr="00E73F6F">
              <w:rPr>
                <w:spacing w:val="-4"/>
                <w:lang w:val="de-DE"/>
              </w:rPr>
              <w:t xml:space="preserve"> </w:t>
            </w:r>
            <w:r w:rsidRPr="00E73F6F">
              <w:rPr>
                <w:lang w:val="de-DE"/>
              </w:rPr>
              <w:t>und</w:t>
            </w:r>
            <w:r w:rsidRPr="00E73F6F">
              <w:rPr>
                <w:spacing w:val="-4"/>
                <w:lang w:val="de-DE"/>
              </w:rPr>
              <w:t xml:space="preserve"> </w:t>
            </w:r>
            <w:r w:rsidRPr="00E73F6F">
              <w:rPr>
                <w:lang w:val="de-DE"/>
              </w:rPr>
              <w:t>die Zeugen</w:t>
            </w:r>
            <w:r w:rsidRPr="00E73F6F">
              <w:rPr>
                <w:spacing w:val="-4"/>
                <w:lang w:val="de-DE"/>
              </w:rPr>
              <w:t xml:space="preserve"> </w:t>
            </w:r>
            <w:r w:rsidRPr="00E73F6F">
              <w:rPr>
                <w:lang w:val="de-DE"/>
              </w:rPr>
              <w:t>(Kap.</w:t>
            </w:r>
            <w:r w:rsidRPr="00E73F6F">
              <w:rPr>
                <w:spacing w:val="-5"/>
                <w:lang w:val="de-DE"/>
              </w:rPr>
              <w:t xml:space="preserve"> </w:t>
            </w:r>
            <w:r w:rsidRPr="00E73F6F">
              <w:rPr>
                <w:lang w:val="de-DE"/>
              </w:rPr>
              <w:t>181)</w:t>
            </w:r>
            <w:r w:rsidRPr="00E73F6F">
              <w:rPr>
                <w:spacing w:val="40"/>
                <w:lang w:val="de-DE"/>
              </w:rPr>
              <w:t xml:space="preserve"> </w:t>
            </w:r>
            <w:r w:rsidRPr="00E73F6F">
              <w:rPr>
                <w:lang w:val="de-DE"/>
              </w:rPr>
              <w:t>Vorschriften für den Diebstahl und Raub (Kap. 182)</w:t>
            </w:r>
          </w:p>
          <w:p w14:paraId="37BE45BF" w14:textId="77777777" w:rsidR="00FF7799" w:rsidRPr="00E73F6F" w:rsidRDefault="00FF7799" w:rsidP="00C57646">
            <w:pPr>
              <w:pStyle w:val="StandardText"/>
              <w:spacing w:beforeLines="20" w:before="48"/>
              <w:rPr>
                <w:lang w:val="de-DE"/>
              </w:rPr>
            </w:pPr>
            <w:r w:rsidRPr="00E73F6F">
              <w:rPr>
                <w:lang w:val="de-DE"/>
              </w:rPr>
              <w:t>Vorschriften</w:t>
            </w:r>
            <w:r w:rsidRPr="00E73F6F">
              <w:rPr>
                <w:spacing w:val="-4"/>
                <w:lang w:val="de-DE"/>
              </w:rPr>
              <w:t xml:space="preserve"> </w:t>
            </w:r>
            <w:r w:rsidRPr="00E73F6F">
              <w:rPr>
                <w:lang w:val="de-DE"/>
              </w:rPr>
              <w:t>für</w:t>
            </w:r>
            <w:r w:rsidRPr="00E73F6F">
              <w:rPr>
                <w:spacing w:val="-8"/>
                <w:lang w:val="de-DE"/>
              </w:rPr>
              <w:t xml:space="preserve"> </w:t>
            </w:r>
            <w:r w:rsidRPr="00E73F6F">
              <w:rPr>
                <w:lang w:val="de-DE"/>
              </w:rPr>
              <w:t>Beschädigung</w:t>
            </w:r>
            <w:r w:rsidRPr="00E73F6F">
              <w:rPr>
                <w:spacing w:val="-6"/>
                <w:lang w:val="de-DE"/>
              </w:rPr>
              <w:t xml:space="preserve"> </w:t>
            </w:r>
            <w:r w:rsidRPr="00E73F6F">
              <w:rPr>
                <w:lang w:val="de-DE"/>
              </w:rPr>
              <w:t>fremden</w:t>
            </w:r>
            <w:r w:rsidRPr="00E73F6F">
              <w:rPr>
                <w:spacing w:val="-4"/>
                <w:lang w:val="de-DE"/>
              </w:rPr>
              <w:t xml:space="preserve"> </w:t>
            </w:r>
            <w:r w:rsidRPr="00E73F6F">
              <w:rPr>
                <w:lang w:val="de-DE"/>
              </w:rPr>
              <w:t>Vermögens</w:t>
            </w:r>
            <w:r w:rsidRPr="00E73F6F">
              <w:rPr>
                <w:spacing w:val="-5"/>
                <w:lang w:val="de-DE"/>
              </w:rPr>
              <w:t xml:space="preserve"> </w:t>
            </w:r>
            <w:r w:rsidRPr="00E73F6F">
              <w:rPr>
                <w:lang w:val="de-DE"/>
              </w:rPr>
              <w:t>(Kap.</w:t>
            </w:r>
            <w:r w:rsidRPr="00E73F6F">
              <w:rPr>
                <w:spacing w:val="-7"/>
                <w:lang w:val="de-DE"/>
              </w:rPr>
              <w:t xml:space="preserve"> </w:t>
            </w:r>
            <w:r w:rsidRPr="00E73F6F">
              <w:rPr>
                <w:lang w:val="de-DE"/>
              </w:rPr>
              <w:t>183)</w:t>
            </w:r>
            <w:r w:rsidRPr="00E73F6F">
              <w:rPr>
                <w:spacing w:val="40"/>
                <w:lang w:val="de-DE"/>
              </w:rPr>
              <w:t xml:space="preserve"> </w:t>
            </w:r>
            <w:r w:rsidRPr="00E73F6F">
              <w:rPr>
                <w:lang w:val="de-DE"/>
              </w:rPr>
              <w:t>Vorschriften für Körperverletzungen (Kap. 184)</w:t>
            </w:r>
          </w:p>
          <w:p w14:paraId="19868B9D" w14:textId="77777777" w:rsidR="00FF7799" w:rsidRPr="00E73F6F" w:rsidRDefault="00FF7799" w:rsidP="00C57646">
            <w:pPr>
              <w:pStyle w:val="StandardText"/>
              <w:spacing w:beforeLines="20" w:before="48"/>
              <w:rPr>
                <w:lang w:val="de-DE"/>
              </w:rPr>
            </w:pPr>
            <w:r w:rsidRPr="00E73F6F">
              <w:rPr>
                <w:lang w:val="de-DE"/>
              </w:rPr>
              <w:t>Vorschriften</w:t>
            </w:r>
            <w:r w:rsidRPr="00E73F6F">
              <w:rPr>
                <w:spacing w:val="-5"/>
                <w:lang w:val="de-DE"/>
              </w:rPr>
              <w:t xml:space="preserve"> </w:t>
            </w:r>
            <w:r w:rsidRPr="00E73F6F">
              <w:rPr>
                <w:lang w:val="de-DE"/>
              </w:rPr>
              <w:t>für</w:t>
            </w:r>
            <w:r w:rsidRPr="00E73F6F">
              <w:rPr>
                <w:spacing w:val="-6"/>
                <w:lang w:val="de-DE"/>
              </w:rPr>
              <w:t xml:space="preserve"> </w:t>
            </w:r>
            <w:r w:rsidRPr="00E73F6F">
              <w:rPr>
                <w:lang w:val="de-DE"/>
              </w:rPr>
              <w:t>Leihen</w:t>
            </w:r>
            <w:r w:rsidRPr="00E73F6F">
              <w:rPr>
                <w:spacing w:val="-7"/>
                <w:lang w:val="de-DE"/>
              </w:rPr>
              <w:t xml:space="preserve"> </w:t>
            </w:r>
            <w:r w:rsidRPr="00E73F6F">
              <w:rPr>
                <w:lang w:val="de-DE"/>
              </w:rPr>
              <w:t>und</w:t>
            </w:r>
            <w:r w:rsidRPr="00E73F6F">
              <w:rPr>
                <w:spacing w:val="-6"/>
                <w:lang w:val="de-DE"/>
              </w:rPr>
              <w:t xml:space="preserve"> </w:t>
            </w:r>
            <w:r w:rsidRPr="00E73F6F">
              <w:rPr>
                <w:lang w:val="de-DE"/>
              </w:rPr>
              <w:t>Mieten</w:t>
            </w:r>
            <w:r w:rsidRPr="00E73F6F">
              <w:rPr>
                <w:spacing w:val="-4"/>
                <w:lang w:val="de-DE"/>
              </w:rPr>
              <w:t xml:space="preserve"> </w:t>
            </w:r>
            <w:r w:rsidRPr="00E73F6F">
              <w:rPr>
                <w:lang w:val="de-DE"/>
              </w:rPr>
              <w:t>(Kap.</w:t>
            </w:r>
            <w:r w:rsidRPr="00E73F6F">
              <w:rPr>
                <w:spacing w:val="-7"/>
                <w:lang w:val="de-DE"/>
              </w:rPr>
              <w:t xml:space="preserve"> </w:t>
            </w:r>
            <w:r w:rsidRPr="00E73F6F">
              <w:rPr>
                <w:spacing w:val="-4"/>
                <w:lang w:val="de-DE"/>
              </w:rPr>
              <w:t>185)</w:t>
            </w:r>
          </w:p>
          <w:p w14:paraId="59A6D250" w14:textId="77777777" w:rsidR="00FF7799" w:rsidRPr="00E73F6F" w:rsidRDefault="00FF7799" w:rsidP="00C57646">
            <w:pPr>
              <w:pStyle w:val="StandardText"/>
              <w:spacing w:beforeLines="20" w:before="48"/>
              <w:rPr>
                <w:lang w:val="de-DE"/>
              </w:rPr>
            </w:pPr>
            <w:r w:rsidRPr="00E73F6F">
              <w:rPr>
                <w:lang w:val="de-DE"/>
              </w:rPr>
              <w:t>Du sollst</w:t>
            </w:r>
            <w:r w:rsidRPr="00E73F6F">
              <w:rPr>
                <w:spacing w:val="-4"/>
                <w:lang w:val="de-DE"/>
              </w:rPr>
              <w:t xml:space="preserve"> </w:t>
            </w:r>
            <w:r w:rsidRPr="00E73F6F">
              <w:rPr>
                <w:lang w:val="de-DE"/>
              </w:rPr>
              <w:t>dem</w:t>
            </w:r>
            <w:r w:rsidRPr="00E73F6F">
              <w:rPr>
                <w:spacing w:val="-3"/>
                <w:lang w:val="de-DE"/>
              </w:rPr>
              <w:t xml:space="preserve"> </w:t>
            </w:r>
            <w:r w:rsidRPr="00E73F6F">
              <w:rPr>
                <w:lang w:val="de-DE"/>
              </w:rPr>
              <w:t>Ochsen</w:t>
            </w:r>
            <w:r w:rsidRPr="00E73F6F">
              <w:rPr>
                <w:spacing w:val="-4"/>
                <w:lang w:val="de-DE"/>
              </w:rPr>
              <w:t xml:space="preserve"> </w:t>
            </w:r>
            <w:r w:rsidRPr="00E73F6F">
              <w:rPr>
                <w:lang w:val="de-DE"/>
              </w:rPr>
              <w:t>nicht</w:t>
            </w:r>
            <w:r w:rsidRPr="00E73F6F">
              <w:rPr>
                <w:spacing w:val="-4"/>
                <w:lang w:val="de-DE"/>
              </w:rPr>
              <w:t xml:space="preserve"> </w:t>
            </w:r>
            <w:r w:rsidRPr="00E73F6F">
              <w:rPr>
                <w:lang w:val="de-DE"/>
              </w:rPr>
              <w:t>das</w:t>
            </w:r>
            <w:r w:rsidRPr="00E73F6F">
              <w:rPr>
                <w:spacing w:val="-8"/>
                <w:lang w:val="de-DE"/>
              </w:rPr>
              <w:t xml:space="preserve"> </w:t>
            </w:r>
            <w:r w:rsidRPr="00E73F6F">
              <w:rPr>
                <w:lang w:val="de-DE"/>
              </w:rPr>
              <w:t>Maul</w:t>
            </w:r>
            <w:r w:rsidRPr="00E73F6F">
              <w:rPr>
                <w:spacing w:val="-4"/>
                <w:lang w:val="de-DE"/>
              </w:rPr>
              <w:t xml:space="preserve"> </w:t>
            </w:r>
            <w:r w:rsidRPr="00E73F6F">
              <w:rPr>
                <w:lang w:val="de-DE"/>
              </w:rPr>
              <w:t>verbinden</w:t>
            </w:r>
            <w:r w:rsidRPr="00E73F6F">
              <w:rPr>
                <w:spacing w:val="-4"/>
                <w:lang w:val="de-DE"/>
              </w:rPr>
              <w:t xml:space="preserve"> </w:t>
            </w:r>
            <w:r w:rsidRPr="00E73F6F">
              <w:rPr>
                <w:lang w:val="de-DE"/>
              </w:rPr>
              <w:t>(Kap.</w:t>
            </w:r>
            <w:r w:rsidRPr="00E73F6F">
              <w:rPr>
                <w:spacing w:val="-5"/>
                <w:lang w:val="de-DE"/>
              </w:rPr>
              <w:t xml:space="preserve"> </w:t>
            </w:r>
            <w:r w:rsidRPr="00E73F6F">
              <w:rPr>
                <w:lang w:val="de-DE"/>
              </w:rPr>
              <w:t>186)</w:t>
            </w:r>
            <w:r w:rsidRPr="00E73F6F">
              <w:rPr>
                <w:spacing w:val="40"/>
                <w:lang w:val="de-DE"/>
              </w:rPr>
              <w:t xml:space="preserve"> </w:t>
            </w:r>
            <w:r w:rsidRPr="00E73F6F">
              <w:rPr>
                <w:lang w:val="de-DE"/>
              </w:rPr>
              <w:t>Vorschriften für Verlorenes und Gefundenes (Kap. 187)</w:t>
            </w:r>
            <w:r w:rsidRPr="00E73F6F">
              <w:rPr>
                <w:spacing w:val="40"/>
                <w:lang w:val="de-DE"/>
              </w:rPr>
              <w:t xml:space="preserve"> </w:t>
            </w:r>
            <w:r w:rsidRPr="00E73F6F">
              <w:rPr>
                <w:lang w:val="de-DE"/>
              </w:rPr>
              <w:t>Vorschriften für anvertrautes Gut (Kap. 188)</w:t>
            </w:r>
          </w:p>
          <w:p w14:paraId="6FDF1D74" w14:textId="77777777" w:rsidR="00FF7799" w:rsidRPr="00E73F6F" w:rsidRDefault="00FF7799" w:rsidP="00C57646">
            <w:pPr>
              <w:pStyle w:val="StandardText"/>
              <w:spacing w:beforeLines="20" w:before="48"/>
              <w:rPr>
                <w:lang w:val="de-DE"/>
              </w:rPr>
            </w:pPr>
            <w:r w:rsidRPr="00E73F6F">
              <w:rPr>
                <w:lang w:val="de-DE"/>
              </w:rPr>
              <w:t>Vorschriften</w:t>
            </w:r>
            <w:r w:rsidRPr="00E73F6F">
              <w:rPr>
                <w:spacing w:val="-6"/>
                <w:lang w:val="de-DE"/>
              </w:rPr>
              <w:t xml:space="preserve"> </w:t>
            </w:r>
            <w:r w:rsidRPr="00E73F6F">
              <w:rPr>
                <w:lang w:val="de-DE"/>
              </w:rPr>
              <w:t>für</w:t>
            </w:r>
            <w:r w:rsidRPr="00E73F6F">
              <w:rPr>
                <w:spacing w:val="-5"/>
                <w:lang w:val="de-DE"/>
              </w:rPr>
              <w:t xml:space="preserve"> </w:t>
            </w:r>
            <w:r w:rsidRPr="00E73F6F">
              <w:rPr>
                <w:lang w:val="de-DE"/>
              </w:rPr>
              <w:t>Abladen</w:t>
            </w:r>
            <w:r w:rsidRPr="00E73F6F">
              <w:rPr>
                <w:spacing w:val="-7"/>
                <w:lang w:val="de-DE"/>
              </w:rPr>
              <w:t xml:space="preserve"> </w:t>
            </w:r>
            <w:r w:rsidRPr="00E73F6F">
              <w:rPr>
                <w:lang w:val="de-DE"/>
              </w:rPr>
              <w:t>und</w:t>
            </w:r>
            <w:r w:rsidRPr="00E73F6F">
              <w:rPr>
                <w:spacing w:val="-7"/>
                <w:lang w:val="de-DE"/>
              </w:rPr>
              <w:t xml:space="preserve"> </w:t>
            </w:r>
            <w:r w:rsidRPr="00E73F6F">
              <w:rPr>
                <w:lang w:val="de-DE"/>
              </w:rPr>
              <w:t>Aufladen</w:t>
            </w:r>
            <w:r w:rsidRPr="00E73F6F">
              <w:rPr>
                <w:spacing w:val="-5"/>
                <w:lang w:val="de-DE"/>
              </w:rPr>
              <w:t xml:space="preserve"> </w:t>
            </w:r>
            <w:r w:rsidRPr="00E73F6F">
              <w:rPr>
                <w:lang w:val="de-DE"/>
              </w:rPr>
              <w:t>(Kap.</w:t>
            </w:r>
            <w:r w:rsidRPr="00E73F6F">
              <w:rPr>
                <w:spacing w:val="-7"/>
                <w:lang w:val="de-DE"/>
              </w:rPr>
              <w:t xml:space="preserve"> </w:t>
            </w:r>
            <w:r w:rsidRPr="00E73F6F">
              <w:rPr>
                <w:spacing w:val="-4"/>
                <w:lang w:val="de-DE"/>
              </w:rPr>
              <w:t>189)</w:t>
            </w:r>
          </w:p>
        </w:tc>
      </w:tr>
      <w:tr w:rsidR="00FF7799" w:rsidRPr="00E73F6F" w14:paraId="43346950" w14:textId="77777777" w:rsidTr="00926A05">
        <w:tblPrEx>
          <w:jc w:val="left"/>
        </w:tblPrEx>
        <w:trPr>
          <w:trHeight w:val="321"/>
        </w:trPr>
        <w:tc>
          <w:tcPr>
            <w:tcW w:w="625" w:type="pct"/>
            <w:tcBorders>
              <w:top w:val="single" w:sz="4" w:space="0" w:color="000000"/>
              <w:bottom w:val="single" w:sz="4" w:space="0" w:color="000000"/>
            </w:tcBorders>
            <w:shd w:val="clear" w:color="auto" w:fill="FFF2CC" w:themeFill="accent4" w:themeFillTint="33"/>
          </w:tcPr>
          <w:p w14:paraId="2601E647" w14:textId="77777777" w:rsidR="00FF7799" w:rsidRPr="00E73F6F" w:rsidRDefault="00FF7799" w:rsidP="00C57646">
            <w:pPr>
              <w:pStyle w:val="StandardText"/>
              <w:spacing w:beforeLines="20" w:before="48"/>
              <w:rPr>
                <w:lang w:val="de-DE"/>
              </w:rPr>
            </w:pPr>
            <w:r w:rsidRPr="00E73F6F">
              <w:rPr>
                <w:lang w:val="de-DE"/>
              </w:rPr>
              <w:t>190 -</w:t>
            </w:r>
            <w:r w:rsidRPr="00E73F6F">
              <w:rPr>
                <w:spacing w:val="-3"/>
                <w:lang w:val="de-DE"/>
              </w:rPr>
              <w:t xml:space="preserve"> </w:t>
            </w:r>
            <w:r w:rsidRPr="00E73F6F">
              <w:rPr>
                <w:spacing w:val="-5"/>
                <w:lang w:val="de-DE"/>
              </w:rPr>
              <w:t>194</w:t>
            </w:r>
          </w:p>
        </w:tc>
        <w:tc>
          <w:tcPr>
            <w:tcW w:w="4375" w:type="pct"/>
            <w:tcBorders>
              <w:top w:val="single" w:sz="4" w:space="0" w:color="000000"/>
              <w:bottom w:val="single" w:sz="4" w:space="0" w:color="000000"/>
            </w:tcBorders>
          </w:tcPr>
          <w:p w14:paraId="31EBEEC9" w14:textId="77777777" w:rsidR="00FF7799" w:rsidRPr="00E73F6F" w:rsidRDefault="00FF7799" w:rsidP="00C57646">
            <w:pPr>
              <w:pStyle w:val="StandardText"/>
              <w:spacing w:beforeLines="20" w:before="48"/>
              <w:rPr>
                <w:lang w:val="de-DE"/>
              </w:rPr>
            </w:pPr>
            <w:r w:rsidRPr="00E73F6F">
              <w:rPr>
                <w:lang w:val="de-DE"/>
              </w:rPr>
              <w:t>Hütung</w:t>
            </w:r>
            <w:r w:rsidRPr="00E73F6F">
              <w:rPr>
                <w:spacing w:val="-5"/>
                <w:lang w:val="de-DE"/>
              </w:rPr>
              <w:t xml:space="preserve"> </w:t>
            </w:r>
            <w:r w:rsidRPr="00E73F6F">
              <w:rPr>
                <w:lang w:val="de-DE"/>
              </w:rPr>
              <w:t>des</w:t>
            </w:r>
            <w:r w:rsidRPr="00E73F6F">
              <w:rPr>
                <w:spacing w:val="-9"/>
                <w:lang w:val="de-DE"/>
              </w:rPr>
              <w:t xml:space="preserve"> </w:t>
            </w:r>
            <w:r w:rsidRPr="00E73F6F">
              <w:rPr>
                <w:lang w:val="de-DE"/>
              </w:rPr>
              <w:t>Körpers,</w:t>
            </w:r>
            <w:r w:rsidRPr="00E73F6F">
              <w:rPr>
                <w:spacing w:val="-5"/>
                <w:lang w:val="de-DE"/>
              </w:rPr>
              <w:t xml:space="preserve"> </w:t>
            </w:r>
            <w:r w:rsidRPr="00E73F6F">
              <w:rPr>
                <w:lang w:val="de-DE"/>
              </w:rPr>
              <w:t>auch</w:t>
            </w:r>
            <w:r w:rsidRPr="00E73F6F">
              <w:rPr>
                <w:spacing w:val="-5"/>
                <w:lang w:val="de-DE"/>
              </w:rPr>
              <w:t xml:space="preserve"> </w:t>
            </w:r>
            <w:r w:rsidRPr="00E73F6F">
              <w:rPr>
                <w:lang w:val="de-DE"/>
              </w:rPr>
              <w:t>desjenigen</w:t>
            </w:r>
            <w:r w:rsidRPr="00E73F6F">
              <w:rPr>
                <w:spacing w:val="-5"/>
                <w:lang w:val="de-DE"/>
              </w:rPr>
              <w:t xml:space="preserve"> </w:t>
            </w:r>
            <w:r w:rsidRPr="00E73F6F">
              <w:rPr>
                <w:lang w:val="de-DE"/>
              </w:rPr>
              <w:t>des</w:t>
            </w:r>
            <w:r w:rsidRPr="00E73F6F">
              <w:rPr>
                <w:spacing w:val="-5"/>
                <w:lang w:val="de-DE"/>
              </w:rPr>
              <w:t xml:space="preserve"> </w:t>
            </w:r>
            <w:r w:rsidRPr="00E73F6F">
              <w:rPr>
                <w:lang w:val="de-DE"/>
              </w:rPr>
              <w:t>Tieres</w:t>
            </w:r>
          </w:p>
        </w:tc>
      </w:tr>
      <w:tr w:rsidR="00FF7799" w:rsidRPr="00E73F6F" w14:paraId="581416E4" w14:textId="77777777" w:rsidTr="00926A05">
        <w:tblPrEx>
          <w:jc w:val="left"/>
        </w:tblPrEx>
        <w:trPr>
          <w:trHeight w:val="323"/>
        </w:trPr>
        <w:tc>
          <w:tcPr>
            <w:tcW w:w="625" w:type="pct"/>
            <w:tcBorders>
              <w:top w:val="single" w:sz="4" w:space="0" w:color="000000"/>
              <w:bottom w:val="single" w:sz="4" w:space="0" w:color="000000"/>
            </w:tcBorders>
            <w:shd w:val="clear" w:color="auto" w:fill="FFF2CC" w:themeFill="accent4" w:themeFillTint="33"/>
          </w:tcPr>
          <w:p w14:paraId="4CB9092A" w14:textId="77777777" w:rsidR="00FF7799" w:rsidRPr="00E73F6F" w:rsidRDefault="00FF7799" w:rsidP="00C57646">
            <w:pPr>
              <w:pStyle w:val="StandardText"/>
              <w:spacing w:beforeLines="20" w:before="48"/>
              <w:rPr>
                <w:lang w:val="de-DE"/>
              </w:rPr>
            </w:pPr>
            <w:r w:rsidRPr="00E73F6F">
              <w:rPr>
                <w:lang w:val="de-DE"/>
              </w:rPr>
              <w:t>195 -</w:t>
            </w:r>
            <w:r w:rsidRPr="00E73F6F">
              <w:rPr>
                <w:spacing w:val="-3"/>
                <w:lang w:val="de-DE"/>
              </w:rPr>
              <w:t xml:space="preserve"> </w:t>
            </w:r>
            <w:r w:rsidRPr="00E73F6F">
              <w:rPr>
                <w:spacing w:val="-5"/>
                <w:lang w:val="de-DE"/>
              </w:rPr>
              <w:t>221</w:t>
            </w:r>
          </w:p>
        </w:tc>
        <w:tc>
          <w:tcPr>
            <w:tcW w:w="4375" w:type="pct"/>
            <w:tcBorders>
              <w:top w:val="single" w:sz="4" w:space="0" w:color="000000"/>
              <w:bottom w:val="single" w:sz="4" w:space="0" w:color="000000"/>
            </w:tcBorders>
          </w:tcPr>
          <w:p w14:paraId="71A167B2" w14:textId="77777777" w:rsidR="00FF7799" w:rsidRPr="00E73F6F" w:rsidRDefault="00FF7799" w:rsidP="00C57646">
            <w:pPr>
              <w:pStyle w:val="StandardText"/>
              <w:spacing w:beforeLines="20" w:before="48"/>
              <w:rPr>
                <w:lang w:val="de-DE"/>
              </w:rPr>
            </w:pPr>
            <w:r w:rsidRPr="00E73F6F">
              <w:rPr>
                <w:lang w:val="de-DE"/>
              </w:rPr>
              <w:t>Trauervorschriften</w:t>
            </w:r>
          </w:p>
        </w:tc>
      </w:tr>
    </w:tbl>
    <w:p w14:paraId="15BF1327" w14:textId="77777777" w:rsidR="00FF7799" w:rsidRPr="00E73F6F" w:rsidRDefault="00FF7799" w:rsidP="00C57646">
      <w:pPr>
        <w:pStyle w:val="Quellen"/>
      </w:pPr>
      <w:r w:rsidRPr="00E73F6F">
        <w:t>Quelle:</w:t>
      </w:r>
      <w:r w:rsidRPr="00E73F6F">
        <w:rPr>
          <w:spacing w:val="56"/>
        </w:rPr>
        <w:t xml:space="preserve"> </w:t>
      </w:r>
      <w:r w:rsidRPr="00E73F6F">
        <w:t>Rabbi</w:t>
      </w:r>
      <w:r w:rsidRPr="00E73F6F">
        <w:rPr>
          <w:spacing w:val="-1"/>
        </w:rPr>
        <w:t xml:space="preserve"> </w:t>
      </w:r>
      <w:r w:rsidRPr="00E73F6F">
        <w:t>Schelomo Ganzfried</w:t>
      </w:r>
      <w:r w:rsidRPr="00E73F6F">
        <w:rPr>
          <w:spacing w:val="-1"/>
        </w:rPr>
        <w:t xml:space="preserve"> </w:t>
      </w:r>
      <w:r w:rsidRPr="00E73F6F">
        <w:t>(1804-1886);</w:t>
      </w:r>
      <w:r w:rsidRPr="00E73F6F">
        <w:rPr>
          <w:spacing w:val="-3"/>
        </w:rPr>
        <w:t xml:space="preserve"> </w:t>
      </w:r>
      <w:r w:rsidRPr="00E73F6F">
        <w:t>übersetzt</w:t>
      </w:r>
      <w:r w:rsidRPr="00E73F6F">
        <w:rPr>
          <w:spacing w:val="-2"/>
        </w:rPr>
        <w:t xml:space="preserve"> </w:t>
      </w:r>
      <w:r w:rsidRPr="00E73F6F">
        <w:t>von</w:t>
      </w:r>
      <w:r w:rsidRPr="00E73F6F">
        <w:rPr>
          <w:spacing w:val="-3"/>
        </w:rPr>
        <w:t xml:space="preserve"> </w:t>
      </w:r>
      <w:r w:rsidRPr="00E73F6F">
        <w:t>Selig</w:t>
      </w:r>
      <w:r w:rsidRPr="00E73F6F">
        <w:rPr>
          <w:spacing w:val="-3"/>
        </w:rPr>
        <w:t xml:space="preserve"> </w:t>
      </w:r>
      <w:r w:rsidRPr="00E73F6F">
        <w:rPr>
          <w:spacing w:val="-2"/>
        </w:rPr>
        <w:t>Bamberger.</w:t>
      </w:r>
    </w:p>
    <w:p w14:paraId="5E4E8F57" w14:textId="77777777" w:rsidR="00FF7799" w:rsidRPr="00926A05" w:rsidRDefault="00FF7799" w:rsidP="00862DBA">
      <w:pPr>
        <w:rPr>
          <w:sz w:val="24"/>
          <w:szCs w:val="24"/>
        </w:rPr>
      </w:pPr>
    </w:p>
    <w:p w14:paraId="06DDE416" w14:textId="77777777" w:rsidR="00FF7799" w:rsidRPr="00926A05" w:rsidRDefault="00FF7799" w:rsidP="00036DC6">
      <w:pPr>
        <w:pStyle w:val="StandardTextkursiv"/>
        <w:rPr>
          <w:i w:val="0"/>
        </w:rPr>
      </w:pPr>
      <w:r w:rsidRPr="00926A05">
        <w:rPr>
          <w:i w:val="0"/>
        </w:rPr>
        <w:t>4 Ökonomisch relevante Verhaltensregeln</w:t>
      </w:r>
    </w:p>
    <w:p w14:paraId="0983CD8D" w14:textId="77777777" w:rsidR="00FF7799" w:rsidRPr="00E73F6F" w:rsidRDefault="00FF7799" w:rsidP="00C57646">
      <w:pPr>
        <w:pStyle w:val="StandardText"/>
      </w:pPr>
      <w:r w:rsidRPr="00E73F6F">
        <w:t>Jeder Jude ist verpflichtet, Almosen zu geben (mindestens 10% des Nettoverdienstes eines Jahres; Kap. 34: Mildtätigkeit). Auch arme Menschen, die selbst Almosen bzw. Sozialhilfe beziehen, müssen einen Teil davon abgeben.</w:t>
      </w:r>
    </w:p>
    <w:p w14:paraId="20715E7C" w14:textId="77777777" w:rsidR="00FF7799" w:rsidRPr="00E73F6F" w:rsidRDefault="00FF7799" w:rsidP="00C57646">
      <w:pPr>
        <w:pStyle w:val="StandardText"/>
      </w:pPr>
      <w:r w:rsidRPr="00E73F6F">
        <w:t>Die Kaschrut, die Speisegesetze, enthalten gleichfalls wesentliche Vorschriften. Verzehrt</w:t>
      </w:r>
      <w:r w:rsidRPr="00E73F6F">
        <w:rPr>
          <w:spacing w:val="-12"/>
        </w:rPr>
        <w:t xml:space="preserve"> </w:t>
      </w:r>
      <w:r w:rsidRPr="00E73F6F">
        <w:t>werden</w:t>
      </w:r>
      <w:r w:rsidRPr="00E73F6F">
        <w:rPr>
          <w:spacing w:val="-11"/>
        </w:rPr>
        <w:t xml:space="preserve"> </w:t>
      </w:r>
      <w:r w:rsidRPr="00E73F6F">
        <w:t>darf</w:t>
      </w:r>
      <w:r w:rsidRPr="00E73F6F">
        <w:rPr>
          <w:spacing w:val="-11"/>
        </w:rPr>
        <w:t xml:space="preserve"> </w:t>
      </w:r>
      <w:r w:rsidRPr="00E73F6F">
        <w:t>nur</w:t>
      </w:r>
      <w:r w:rsidRPr="00E73F6F">
        <w:rPr>
          <w:spacing w:val="-11"/>
        </w:rPr>
        <w:t xml:space="preserve"> </w:t>
      </w:r>
      <w:r w:rsidRPr="00E73F6F">
        <w:t>Fleisch</w:t>
      </w:r>
      <w:r w:rsidRPr="00E73F6F">
        <w:rPr>
          <w:spacing w:val="-12"/>
        </w:rPr>
        <w:t xml:space="preserve"> </w:t>
      </w:r>
      <w:r w:rsidRPr="00E73F6F">
        <w:t>von</w:t>
      </w:r>
      <w:r w:rsidRPr="00E73F6F">
        <w:rPr>
          <w:spacing w:val="-11"/>
        </w:rPr>
        <w:t xml:space="preserve"> </w:t>
      </w:r>
      <w:r w:rsidRPr="00E73F6F">
        <w:t>solchen</w:t>
      </w:r>
      <w:r w:rsidRPr="00E73F6F">
        <w:rPr>
          <w:spacing w:val="-11"/>
        </w:rPr>
        <w:t xml:space="preserve"> </w:t>
      </w:r>
      <w:r w:rsidRPr="00E73F6F">
        <w:t>Tieren,</w:t>
      </w:r>
      <w:r w:rsidRPr="00E73F6F">
        <w:rPr>
          <w:spacing w:val="-11"/>
        </w:rPr>
        <w:t xml:space="preserve"> </w:t>
      </w:r>
      <w:r w:rsidRPr="00E73F6F">
        <w:t>die</w:t>
      </w:r>
      <w:r w:rsidRPr="00E73F6F">
        <w:rPr>
          <w:spacing w:val="-12"/>
        </w:rPr>
        <w:t xml:space="preserve"> </w:t>
      </w:r>
      <w:r w:rsidRPr="00E73F6F">
        <w:t>sowohl</w:t>
      </w:r>
      <w:r w:rsidRPr="00E73F6F">
        <w:rPr>
          <w:spacing w:val="-11"/>
        </w:rPr>
        <w:t xml:space="preserve"> </w:t>
      </w:r>
      <w:r w:rsidRPr="00E73F6F">
        <w:t>Wiederkäuer</w:t>
      </w:r>
      <w:r w:rsidRPr="00E73F6F">
        <w:rPr>
          <w:spacing w:val="-11"/>
        </w:rPr>
        <w:t xml:space="preserve"> </w:t>
      </w:r>
      <w:r w:rsidRPr="00E73F6F">
        <w:t>sind als auch gespaltene Klauen besitzen (z.B. Schafe, Kühe). Unrein ist hingegen das Fleisch von</w:t>
      </w:r>
      <w:r w:rsidRPr="00E73F6F">
        <w:rPr>
          <w:spacing w:val="-2"/>
        </w:rPr>
        <w:t xml:space="preserve"> </w:t>
      </w:r>
      <w:r w:rsidRPr="00E73F6F">
        <w:t>Schweinen,</w:t>
      </w:r>
      <w:r w:rsidRPr="00E73F6F">
        <w:rPr>
          <w:spacing w:val="-2"/>
        </w:rPr>
        <w:t xml:space="preserve"> </w:t>
      </w:r>
      <w:r w:rsidRPr="00E73F6F">
        <w:t>Pferden,</w:t>
      </w:r>
      <w:r w:rsidRPr="00E73F6F">
        <w:rPr>
          <w:spacing w:val="-3"/>
        </w:rPr>
        <w:t xml:space="preserve"> </w:t>
      </w:r>
      <w:r w:rsidRPr="00E73F6F">
        <w:t>Kamelen oder</w:t>
      </w:r>
      <w:r w:rsidRPr="00E73F6F">
        <w:rPr>
          <w:spacing w:val="-1"/>
        </w:rPr>
        <w:t xml:space="preserve"> </w:t>
      </w:r>
      <w:r w:rsidRPr="00E73F6F">
        <w:t>Hasen.</w:t>
      </w:r>
      <w:r w:rsidRPr="00E73F6F">
        <w:rPr>
          <w:spacing w:val="-3"/>
        </w:rPr>
        <w:t xml:space="preserve"> </w:t>
      </w:r>
      <w:r w:rsidRPr="00E73F6F">
        <w:t>Weil</w:t>
      </w:r>
      <w:r w:rsidRPr="00E73F6F">
        <w:rPr>
          <w:spacing w:val="-3"/>
        </w:rPr>
        <w:t xml:space="preserve"> </w:t>
      </w:r>
      <w:r w:rsidRPr="00E73F6F">
        <w:t>der</w:t>
      </w:r>
      <w:r w:rsidRPr="00E73F6F">
        <w:rPr>
          <w:spacing w:val="-1"/>
        </w:rPr>
        <w:t xml:space="preserve"> </w:t>
      </w:r>
      <w:r w:rsidRPr="00E73F6F">
        <w:t>Genuss</w:t>
      </w:r>
      <w:r w:rsidRPr="00E73F6F">
        <w:rPr>
          <w:spacing w:val="-2"/>
        </w:rPr>
        <w:t xml:space="preserve"> </w:t>
      </w:r>
      <w:r w:rsidRPr="00E73F6F">
        <w:t>von</w:t>
      </w:r>
      <w:r w:rsidRPr="00E73F6F">
        <w:rPr>
          <w:spacing w:val="-2"/>
        </w:rPr>
        <w:t xml:space="preserve"> </w:t>
      </w:r>
      <w:r w:rsidRPr="00E73F6F">
        <w:t>Blut strengstens</w:t>
      </w:r>
      <w:r w:rsidRPr="00E73F6F">
        <w:rPr>
          <w:spacing w:val="-9"/>
        </w:rPr>
        <w:t xml:space="preserve"> </w:t>
      </w:r>
      <w:r w:rsidRPr="00E73F6F">
        <w:t>untersagt</w:t>
      </w:r>
      <w:r w:rsidRPr="00E73F6F">
        <w:rPr>
          <w:spacing w:val="-8"/>
        </w:rPr>
        <w:t xml:space="preserve"> </w:t>
      </w:r>
      <w:r w:rsidRPr="00E73F6F">
        <w:t>ist,</w:t>
      </w:r>
      <w:r w:rsidRPr="00E73F6F">
        <w:rPr>
          <w:spacing w:val="-6"/>
        </w:rPr>
        <w:t xml:space="preserve"> </w:t>
      </w:r>
      <w:r w:rsidRPr="00E73F6F">
        <w:t>sollte</w:t>
      </w:r>
      <w:r w:rsidRPr="00E73F6F">
        <w:rPr>
          <w:spacing w:val="-9"/>
        </w:rPr>
        <w:t xml:space="preserve"> </w:t>
      </w:r>
      <w:r w:rsidRPr="00E73F6F">
        <w:t>beim</w:t>
      </w:r>
      <w:r w:rsidRPr="00E73F6F">
        <w:rPr>
          <w:spacing w:val="-9"/>
        </w:rPr>
        <w:t xml:space="preserve"> </w:t>
      </w:r>
      <w:r w:rsidRPr="00E73F6F">
        <w:t>Schlachten</w:t>
      </w:r>
      <w:r w:rsidRPr="00E73F6F">
        <w:rPr>
          <w:spacing w:val="-6"/>
        </w:rPr>
        <w:t xml:space="preserve"> </w:t>
      </w:r>
      <w:r w:rsidRPr="00E73F6F">
        <w:t>der</w:t>
      </w:r>
      <w:r w:rsidRPr="00E73F6F">
        <w:rPr>
          <w:spacing w:val="-8"/>
        </w:rPr>
        <w:t xml:space="preserve"> </w:t>
      </w:r>
      <w:r w:rsidRPr="00E73F6F">
        <w:t>Tiere</w:t>
      </w:r>
      <w:r w:rsidRPr="00E73F6F">
        <w:rPr>
          <w:spacing w:val="-9"/>
        </w:rPr>
        <w:t xml:space="preserve"> </w:t>
      </w:r>
      <w:r w:rsidRPr="00E73F6F">
        <w:t>möglichst</w:t>
      </w:r>
      <w:r w:rsidRPr="00E73F6F">
        <w:rPr>
          <w:spacing w:val="-9"/>
        </w:rPr>
        <w:t xml:space="preserve"> </w:t>
      </w:r>
      <w:r w:rsidRPr="00E73F6F">
        <w:t>wenig</w:t>
      </w:r>
      <w:r w:rsidRPr="00E73F6F">
        <w:rPr>
          <w:spacing w:val="-7"/>
        </w:rPr>
        <w:t xml:space="preserve"> </w:t>
      </w:r>
      <w:r w:rsidRPr="00E73F6F">
        <w:t>Blut</w:t>
      </w:r>
      <w:r w:rsidRPr="00E73F6F">
        <w:rPr>
          <w:spacing w:val="-9"/>
        </w:rPr>
        <w:t xml:space="preserve"> </w:t>
      </w:r>
      <w:r w:rsidRPr="00E73F6F">
        <w:rPr>
          <w:spacing w:val="-5"/>
        </w:rPr>
        <w:t>im</w:t>
      </w:r>
      <w:r w:rsidR="00B85FE4">
        <w:rPr>
          <w:spacing w:val="-5"/>
        </w:rPr>
        <w:t xml:space="preserve"> </w:t>
      </w:r>
      <w:r w:rsidRPr="00E73F6F">
        <w:t>Tierkörper zurückbleiben. Deshalb werden die Tiere geschlachtet, indem man sie mit einem einzigen raschen Schnitt durch die Halsschlagader tötet und, um das noch vorhandene Blut zu entfernen, sie anschließend mit Salz</w:t>
      </w:r>
      <w:r w:rsidRPr="00E73F6F">
        <w:rPr>
          <w:spacing w:val="-1"/>
        </w:rPr>
        <w:t xml:space="preserve"> </w:t>
      </w:r>
      <w:r w:rsidRPr="00E73F6F">
        <w:t>und Wasser reinigt („schächten“).</w:t>
      </w:r>
      <w:r w:rsidRPr="00E73F6F">
        <w:rPr>
          <w:spacing w:val="-2"/>
        </w:rPr>
        <w:t xml:space="preserve"> </w:t>
      </w:r>
      <w:r w:rsidRPr="00E73F6F">
        <w:t>Da</w:t>
      </w:r>
      <w:r w:rsidRPr="00E73F6F">
        <w:rPr>
          <w:spacing w:val="-4"/>
        </w:rPr>
        <w:t xml:space="preserve"> </w:t>
      </w:r>
      <w:r w:rsidRPr="00E73F6F">
        <w:t>die</w:t>
      </w:r>
      <w:r w:rsidRPr="00E73F6F">
        <w:rPr>
          <w:spacing w:val="-3"/>
        </w:rPr>
        <w:t xml:space="preserve"> </w:t>
      </w:r>
      <w:r w:rsidRPr="00E73F6F">
        <w:t>meisten</w:t>
      </w:r>
      <w:r w:rsidRPr="00E73F6F">
        <w:rPr>
          <w:spacing w:val="-2"/>
        </w:rPr>
        <w:t xml:space="preserve"> </w:t>
      </w:r>
      <w:r w:rsidRPr="00E73F6F">
        <w:t>Lebensmittel</w:t>
      </w:r>
      <w:r w:rsidRPr="00E73F6F">
        <w:rPr>
          <w:spacing w:val="-3"/>
        </w:rPr>
        <w:t xml:space="preserve"> </w:t>
      </w:r>
      <w:r w:rsidRPr="00E73F6F">
        <w:t>Geschmacksverstärker,</w:t>
      </w:r>
      <w:r w:rsidRPr="00E73F6F">
        <w:rPr>
          <w:spacing w:val="-2"/>
        </w:rPr>
        <w:t xml:space="preserve"> </w:t>
      </w:r>
      <w:r w:rsidRPr="00E73F6F">
        <w:t>Emulgatoren, Konservierungsstoffe</w:t>
      </w:r>
      <w:r w:rsidRPr="00E73F6F">
        <w:rPr>
          <w:spacing w:val="-12"/>
        </w:rPr>
        <w:t xml:space="preserve"> </w:t>
      </w:r>
      <w:r w:rsidRPr="00E73F6F">
        <w:t>o.ä.</w:t>
      </w:r>
      <w:r w:rsidRPr="00E73F6F">
        <w:rPr>
          <w:spacing w:val="-10"/>
        </w:rPr>
        <w:t xml:space="preserve"> </w:t>
      </w:r>
      <w:r w:rsidRPr="00E73F6F">
        <w:t>enthalten,</w:t>
      </w:r>
      <w:r w:rsidRPr="00E73F6F">
        <w:rPr>
          <w:spacing w:val="-11"/>
        </w:rPr>
        <w:t xml:space="preserve"> </w:t>
      </w:r>
      <w:r w:rsidRPr="00E73F6F">
        <w:t>die</w:t>
      </w:r>
      <w:r w:rsidRPr="00E73F6F">
        <w:rPr>
          <w:spacing w:val="-12"/>
        </w:rPr>
        <w:t xml:space="preserve"> </w:t>
      </w:r>
      <w:r w:rsidRPr="00E73F6F">
        <w:t>teilweise</w:t>
      </w:r>
      <w:r w:rsidRPr="00E73F6F">
        <w:rPr>
          <w:spacing w:val="-11"/>
        </w:rPr>
        <w:t xml:space="preserve"> </w:t>
      </w:r>
      <w:r w:rsidRPr="00E73F6F">
        <w:t>aus</w:t>
      </w:r>
      <w:r w:rsidRPr="00E73F6F">
        <w:rPr>
          <w:spacing w:val="-11"/>
        </w:rPr>
        <w:t xml:space="preserve"> </w:t>
      </w:r>
      <w:r w:rsidRPr="00E73F6F">
        <w:t>tierischen</w:t>
      </w:r>
      <w:r w:rsidRPr="00E73F6F">
        <w:rPr>
          <w:spacing w:val="-10"/>
        </w:rPr>
        <w:t xml:space="preserve"> </w:t>
      </w:r>
      <w:r w:rsidRPr="00E73F6F">
        <w:t>Stoffen</w:t>
      </w:r>
      <w:r w:rsidRPr="00E73F6F">
        <w:rPr>
          <w:spacing w:val="-10"/>
        </w:rPr>
        <w:t xml:space="preserve"> </w:t>
      </w:r>
      <w:r w:rsidRPr="00E73F6F">
        <w:t xml:space="preserve">hergestellt sind, dürfen Rechtgläubige zahlreiche Lebensmittel nicht verzehren, es sei denn, die Verpackung gibt eindeutig Auskunft über die Zusammensetzung des Erzeugnisses. Folglich verbietet sich Gläubigen auch der Besuch nichtjüdischer </w:t>
      </w:r>
      <w:r w:rsidRPr="00E73F6F">
        <w:rPr>
          <w:spacing w:val="-2"/>
        </w:rPr>
        <w:t>Restaurants.</w:t>
      </w:r>
    </w:p>
    <w:p w14:paraId="384280BB" w14:textId="77777777" w:rsidR="00FF7799" w:rsidRPr="00E73F6F" w:rsidRDefault="00FF7799" w:rsidP="00C57646">
      <w:pPr>
        <w:pStyle w:val="StandardText"/>
      </w:pPr>
      <w:r w:rsidRPr="00E73F6F">
        <w:lastRenderedPageBreak/>
        <w:t>Weiterhin unterliegt das Geschäftsleben zahlreichen detaillierten Vorschriften: vom Gewähren und Erlassen von Darlehen bis hin zum Auf- und Abladen (Kap. 179-189). In Kap. 62ff. gibt die Halacha u.a. vor: „Wenn ihr einer dem anderen etwas verkaufet oder aus der Hand des anderen kaufet, übervorteilt nicht einer seinen Bruder! (Leviticus 25, 14).</w:t>
      </w:r>
    </w:p>
    <w:p w14:paraId="6A515CEC" w14:textId="77777777" w:rsidR="00FF7799" w:rsidRDefault="00FF7799" w:rsidP="00C57646">
      <w:pPr>
        <w:pStyle w:val="StandardText"/>
      </w:pPr>
      <w:r w:rsidRPr="00E73F6F">
        <w:t>Zwar besagt die oberste Maxime, dass die Wirtschaftstätigkeit auf das zum Überleben erforderliche Maß zu beschränken sei. Aber das Menschenbild des Judentums billigt dem Einzelnen die „Fähigkeit zur verantworteten Freiheit“ zu und damit eine wesentliche Voraussetzung unternehmerischen Handelns.</w:t>
      </w:r>
    </w:p>
    <w:p w14:paraId="4E66C584" w14:textId="77777777" w:rsidR="00FF7799" w:rsidRPr="005B7E3A" w:rsidRDefault="00FF7799" w:rsidP="00C57646">
      <w:pPr>
        <w:pStyle w:val="StandardText"/>
        <w:rPr>
          <w:sz w:val="22"/>
          <w:szCs w:val="22"/>
        </w:rPr>
      </w:pPr>
      <w:r w:rsidRPr="005B7E3A">
        <w:rPr>
          <w:b/>
          <w:i/>
          <w:sz w:val="22"/>
          <w:szCs w:val="22"/>
          <w:lang w:val="en-US"/>
        </w:rPr>
        <w:t>Literatur</w:t>
      </w:r>
      <w:r w:rsidRPr="005B7E3A">
        <w:rPr>
          <w:i/>
          <w:sz w:val="22"/>
          <w:szCs w:val="22"/>
          <w:lang w:val="en-US"/>
        </w:rPr>
        <w:t>:</w:t>
      </w:r>
      <w:r w:rsidRPr="005B7E3A">
        <w:rPr>
          <w:sz w:val="22"/>
          <w:szCs w:val="22"/>
          <w:lang w:val="en-US"/>
        </w:rPr>
        <w:t xml:space="preserve"> Belkin, S. (1960): In His Image. The Jewish Philosophy of Man as Expressed in</w:t>
      </w:r>
      <w:r w:rsidRPr="005B7E3A">
        <w:rPr>
          <w:spacing w:val="40"/>
          <w:sz w:val="22"/>
          <w:szCs w:val="22"/>
          <w:lang w:val="en-US"/>
        </w:rPr>
        <w:t xml:space="preserve"> </w:t>
      </w:r>
      <w:r w:rsidRPr="005B7E3A">
        <w:rPr>
          <w:sz w:val="22"/>
          <w:szCs w:val="22"/>
          <w:lang w:val="en-US"/>
        </w:rPr>
        <w:t>Rabbinic Tradition, Westport/CT: Greenwood.</w:t>
      </w:r>
      <w:r w:rsidRPr="005B7E3A">
        <w:rPr>
          <w:spacing w:val="40"/>
          <w:sz w:val="22"/>
          <w:szCs w:val="22"/>
          <w:lang w:val="en-US"/>
        </w:rPr>
        <w:t xml:space="preserve"> </w:t>
      </w:r>
      <w:r w:rsidRPr="005B7E3A">
        <w:rPr>
          <w:sz w:val="22"/>
          <w:szCs w:val="22"/>
        </w:rPr>
        <w:t>Donin, C.H. (1987): Jüdisches Leben,</w:t>
      </w:r>
      <w:r w:rsidRPr="005B7E3A">
        <w:rPr>
          <w:spacing w:val="40"/>
          <w:sz w:val="22"/>
          <w:szCs w:val="22"/>
        </w:rPr>
        <w:t xml:space="preserve"> </w:t>
      </w:r>
      <w:r w:rsidRPr="005B7E3A">
        <w:rPr>
          <w:sz w:val="22"/>
          <w:szCs w:val="22"/>
        </w:rPr>
        <w:t>Jerusalem: Verlag und Buchvertrieb Morascha.</w:t>
      </w:r>
      <w:r w:rsidRPr="005B7E3A">
        <w:rPr>
          <w:spacing w:val="40"/>
          <w:sz w:val="22"/>
          <w:szCs w:val="22"/>
        </w:rPr>
        <w:t xml:space="preserve"> </w:t>
      </w:r>
      <w:r w:rsidRPr="005B7E3A">
        <w:rPr>
          <w:sz w:val="22"/>
          <w:szCs w:val="22"/>
        </w:rPr>
        <w:t>Maser, P. (1995): Judentum, in: Drehsen,</w:t>
      </w:r>
      <w:r w:rsidRPr="005B7E3A">
        <w:rPr>
          <w:spacing w:val="40"/>
          <w:sz w:val="22"/>
          <w:szCs w:val="22"/>
        </w:rPr>
        <w:t xml:space="preserve"> </w:t>
      </w:r>
      <w:r w:rsidRPr="005B7E3A">
        <w:rPr>
          <w:sz w:val="22"/>
          <w:szCs w:val="22"/>
        </w:rPr>
        <w:t>V.;</w:t>
      </w:r>
      <w:r w:rsidRPr="005B7E3A">
        <w:rPr>
          <w:spacing w:val="-1"/>
          <w:sz w:val="22"/>
          <w:szCs w:val="22"/>
        </w:rPr>
        <w:t xml:space="preserve"> </w:t>
      </w:r>
      <w:r w:rsidRPr="005B7E3A">
        <w:rPr>
          <w:sz w:val="22"/>
          <w:szCs w:val="22"/>
        </w:rPr>
        <w:t>Häring,</w:t>
      </w:r>
      <w:r w:rsidRPr="005B7E3A">
        <w:rPr>
          <w:spacing w:val="-4"/>
          <w:sz w:val="22"/>
          <w:szCs w:val="22"/>
        </w:rPr>
        <w:t xml:space="preserve"> </w:t>
      </w:r>
      <w:r w:rsidRPr="005B7E3A">
        <w:rPr>
          <w:sz w:val="22"/>
          <w:szCs w:val="22"/>
        </w:rPr>
        <w:t>H.;</w:t>
      </w:r>
      <w:r w:rsidRPr="005B7E3A">
        <w:rPr>
          <w:spacing w:val="-3"/>
          <w:sz w:val="22"/>
          <w:szCs w:val="22"/>
        </w:rPr>
        <w:t xml:space="preserve"> </w:t>
      </w:r>
      <w:r w:rsidRPr="005B7E3A">
        <w:rPr>
          <w:sz w:val="22"/>
          <w:szCs w:val="22"/>
        </w:rPr>
        <w:t>Kuschel,</w:t>
      </w:r>
      <w:r w:rsidRPr="005B7E3A">
        <w:rPr>
          <w:spacing w:val="-6"/>
          <w:sz w:val="22"/>
          <w:szCs w:val="22"/>
        </w:rPr>
        <w:t xml:space="preserve"> </w:t>
      </w:r>
      <w:r w:rsidRPr="005B7E3A">
        <w:rPr>
          <w:sz w:val="22"/>
          <w:szCs w:val="22"/>
        </w:rPr>
        <w:t>K.-J.;</w:t>
      </w:r>
      <w:r w:rsidRPr="005B7E3A">
        <w:rPr>
          <w:spacing w:val="-1"/>
          <w:sz w:val="22"/>
          <w:szCs w:val="22"/>
        </w:rPr>
        <w:t xml:space="preserve"> </w:t>
      </w:r>
      <w:r w:rsidRPr="005B7E3A">
        <w:rPr>
          <w:sz w:val="22"/>
          <w:szCs w:val="22"/>
        </w:rPr>
        <w:t>Siemers,</w:t>
      </w:r>
      <w:r w:rsidRPr="005B7E3A">
        <w:rPr>
          <w:spacing w:val="-1"/>
          <w:sz w:val="22"/>
          <w:szCs w:val="22"/>
        </w:rPr>
        <w:t xml:space="preserve"> </w:t>
      </w:r>
      <w:r w:rsidRPr="005B7E3A">
        <w:rPr>
          <w:sz w:val="22"/>
          <w:szCs w:val="22"/>
        </w:rPr>
        <w:t>H.</w:t>
      </w:r>
      <w:r w:rsidRPr="005B7E3A">
        <w:rPr>
          <w:spacing w:val="-1"/>
          <w:sz w:val="22"/>
          <w:szCs w:val="22"/>
        </w:rPr>
        <w:t xml:space="preserve"> </w:t>
      </w:r>
      <w:r w:rsidRPr="005B7E3A">
        <w:rPr>
          <w:sz w:val="22"/>
          <w:szCs w:val="22"/>
        </w:rPr>
        <w:t>(Hrsg.),</w:t>
      </w:r>
      <w:r w:rsidRPr="005B7E3A">
        <w:rPr>
          <w:spacing w:val="-1"/>
          <w:sz w:val="22"/>
          <w:szCs w:val="22"/>
        </w:rPr>
        <w:t xml:space="preserve"> </w:t>
      </w:r>
      <w:r w:rsidRPr="005B7E3A">
        <w:rPr>
          <w:sz w:val="22"/>
          <w:szCs w:val="22"/>
        </w:rPr>
        <w:t>Wörterbuch</w:t>
      </w:r>
      <w:r w:rsidRPr="005B7E3A">
        <w:rPr>
          <w:spacing w:val="-3"/>
          <w:sz w:val="22"/>
          <w:szCs w:val="22"/>
        </w:rPr>
        <w:t xml:space="preserve"> </w:t>
      </w:r>
      <w:r w:rsidRPr="005B7E3A">
        <w:rPr>
          <w:sz w:val="22"/>
          <w:szCs w:val="22"/>
        </w:rPr>
        <w:t>des</w:t>
      </w:r>
      <w:r w:rsidRPr="005B7E3A">
        <w:rPr>
          <w:spacing w:val="-4"/>
          <w:sz w:val="22"/>
          <w:szCs w:val="22"/>
        </w:rPr>
        <w:t xml:space="preserve"> </w:t>
      </w:r>
      <w:r w:rsidRPr="005B7E3A">
        <w:rPr>
          <w:sz w:val="22"/>
          <w:szCs w:val="22"/>
        </w:rPr>
        <w:t>Christentums,</w:t>
      </w:r>
      <w:r w:rsidRPr="005B7E3A">
        <w:rPr>
          <w:spacing w:val="-4"/>
          <w:sz w:val="22"/>
          <w:szCs w:val="22"/>
        </w:rPr>
        <w:t xml:space="preserve"> </w:t>
      </w:r>
      <w:r w:rsidRPr="005B7E3A">
        <w:rPr>
          <w:sz w:val="22"/>
          <w:szCs w:val="22"/>
        </w:rPr>
        <w:t>568-570,</w:t>
      </w:r>
      <w:r w:rsidRPr="005B7E3A">
        <w:rPr>
          <w:spacing w:val="40"/>
          <w:sz w:val="22"/>
          <w:szCs w:val="22"/>
        </w:rPr>
        <w:t xml:space="preserve"> </w:t>
      </w:r>
      <w:r w:rsidRPr="005B7E3A">
        <w:rPr>
          <w:sz w:val="22"/>
          <w:szCs w:val="22"/>
        </w:rPr>
        <w:t>München: Orbis.</w:t>
      </w:r>
      <w:r w:rsidRPr="005B7E3A">
        <w:rPr>
          <w:spacing w:val="40"/>
          <w:sz w:val="22"/>
          <w:szCs w:val="22"/>
        </w:rPr>
        <w:t xml:space="preserve"> </w:t>
      </w:r>
      <w:r w:rsidRPr="005B7E3A">
        <w:rPr>
          <w:sz w:val="22"/>
          <w:szCs w:val="22"/>
        </w:rPr>
        <w:t>von Glasenapp, H. (2011): Die fünf Weltreligionen, 5. Aufl., 74 – 141,</w:t>
      </w:r>
      <w:r w:rsidRPr="005B7E3A">
        <w:rPr>
          <w:spacing w:val="40"/>
          <w:sz w:val="22"/>
          <w:szCs w:val="22"/>
        </w:rPr>
        <w:t xml:space="preserve"> </w:t>
      </w:r>
      <w:r w:rsidRPr="005B7E3A">
        <w:rPr>
          <w:sz w:val="22"/>
          <w:szCs w:val="22"/>
        </w:rPr>
        <w:t>München: Hugendubel (Diederichs Gelbe Reihe).</w:t>
      </w:r>
    </w:p>
    <w:p w14:paraId="57B4357D" w14:textId="77777777" w:rsidR="00B85FE4" w:rsidRPr="00E73F6F" w:rsidRDefault="00B85FE4" w:rsidP="00C57646">
      <w:pPr>
        <w:pStyle w:val="StandardText"/>
      </w:pPr>
    </w:p>
    <w:p w14:paraId="3774E2C3" w14:textId="77777777" w:rsidR="00FF7799" w:rsidRPr="00E73F6F" w:rsidRDefault="00FF7799" w:rsidP="009E3860">
      <w:pPr>
        <w:pStyle w:val="berschrift1"/>
      </w:pPr>
      <w:r w:rsidRPr="004F48E5">
        <w:rPr>
          <w:bCs w:val="0"/>
          <w:color w:val="2E74B5"/>
          <w:sz w:val="22"/>
        </w:rPr>
        <w:t>Junktimgeschäft</w:t>
      </w:r>
      <w:r w:rsidRPr="00E73F6F">
        <w:rPr>
          <w:spacing w:val="-12"/>
        </w:rPr>
        <w:t xml:space="preserve"> </w:t>
      </w:r>
      <w:r w:rsidRPr="00E73F6F">
        <w:rPr>
          <w:b w:val="0"/>
        </w:rPr>
        <w:t>→</w:t>
      </w:r>
      <w:r w:rsidRPr="00E73F6F">
        <w:rPr>
          <w:b w:val="0"/>
          <w:spacing w:val="-5"/>
        </w:rPr>
        <w:t xml:space="preserve"> </w:t>
      </w:r>
      <w:r w:rsidRPr="00E73F6F">
        <w:rPr>
          <w:b w:val="0"/>
        </w:rPr>
        <w:t>Kompensationsgeschäfte</w:t>
      </w:r>
    </w:p>
    <w:p w14:paraId="1A2C3154" w14:textId="77777777" w:rsidR="00FF7799" w:rsidRPr="004F48E5" w:rsidRDefault="00FF7799" w:rsidP="009E3860">
      <w:pPr>
        <w:pStyle w:val="berschrift1"/>
        <w:rPr>
          <w:bCs w:val="0"/>
          <w:color w:val="2E74B5"/>
          <w:sz w:val="22"/>
        </w:rPr>
      </w:pPr>
      <w:r w:rsidRPr="004F48E5">
        <w:rPr>
          <w:bCs w:val="0"/>
          <w:color w:val="2E74B5"/>
          <w:sz w:val="22"/>
        </w:rPr>
        <w:t>Kaizen</w:t>
      </w:r>
    </w:p>
    <w:p w14:paraId="2C6D18DE" w14:textId="77777777" w:rsidR="00FF7799" w:rsidRDefault="00FF7799" w:rsidP="005C1BC0">
      <w:pPr>
        <w:pStyle w:val="StandardText"/>
        <w:rPr>
          <w:spacing w:val="-2"/>
        </w:rPr>
      </w:pPr>
      <w:r w:rsidRPr="00E73F6F">
        <w:t>in Japan entwickelte Form des Qualitätsmanagements, für das ein evolutionäres Verständnis</w:t>
      </w:r>
      <w:r w:rsidRPr="00E73F6F">
        <w:rPr>
          <w:spacing w:val="-10"/>
        </w:rPr>
        <w:t xml:space="preserve"> </w:t>
      </w:r>
      <w:r w:rsidRPr="00E73F6F">
        <w:t>des</w:t>
      </w:r>
      <w:r w:rsidRPr="00E73F6F">
        <w:rPr>
          <w:spacing w:val="-11"/>
        </w:rPr>
        <w:t xml:space="preserve"> </w:t>
      </w:r>
      <w:r w:rsidRPr="00E73F6F">
        <w:t>Wertschöpfungsprozesses</w:t>
      </w:r>
      <w:r w:rsidRPr="00E73F6F">
        <w:rPr>
          <w:spacing w:val="-11"/>
        </w:rPr>
        <w:t xml:space="preserve"> </w:t>
      </w:r>
      <w:r w:rsidRPr="00E73F6F">
        <w:t>zentral</w:t>
      </w:r>
      <w:r w:rsidRPr="00E73F6F">
        <w:rPr>
          <w:spacing w:val="-10"/>
        </w:rPr>
        <w:t xml:space="preserve"> </w:t>
      </w:r>
      <w:r w:rsidRPr="00E73F6F">
        <w:t>ist.</w:t>
      </w:r>
      <w:r w:rsidRPr="00E73F6F">
        <w:rPr>
          <w:spacing w:val="-9"/>
        </w:rPr>
        <w:t xml:space="preserve"> </w:t>
      </w:r>
      <w:r w:rsidRPr="00E73F6F">
        <w:t>Kai</w:t>
      </w:r>
      <w:r w:rsidRPr="00E73F6F">
        <w:rPr>
          <w:spacing w:val="-10"/>
        </w:rPr>
        <w:t xml:space="preserve"> </w:t>
      </w:r>
      <w:r w:rsidRPr="00E73F6F">
        <w:t>zen</w:t>
      </w:r>
      <w:r w:rsidRPr="00E73F6F">
        <w:rPr>
          <w:spacing w:val="-7"/>
        </w:rPr>
        <w:t xml:space="preserve"> </w:t>
      </w:r>
      <w:r w:rsidRPr="00E73F6F">
        <w:rPr>
          <w:i/>
        </w:rPr>
        <w:t>(kai</w:t>
      </w:r>
      <w:r w:rsidRPr="00E73F6F">
        <w:rPr>
          <w:i/>
          <w:spacing w:val="-9"/>
        </w:rPr>
        <w:t xml:space="preserve"> </w:t>
      </w:r>
      <w:r w:rsidRPr="00E73F6F">
        <w:t>=</w:t>
      </w:r>
      <w:r w:rsidRPr="00E73F6F">
        <w:rPr>
          <w:spacing w:val="-11"/>
        </w:rPr>
        <w:t xml:space="preserve"> </w:t>
      </w:r>
      <w:r w:rsidRPr="00E73F6F">
        <w:t xml:space="preserve">Veränderung, </w:t>
      </w:r>
      <w:r w:rsidRPr="00E73F6F">
        <w:rPr>
          <w:i/>
        </w:rPr>
        <w:t xml:space="preserve">zen </w:t>
      </w:r>
      <w:r w:rsidRPr="00E73F6F">
        <w:t>= zum Besseren) strebt keine „revolutionären“, d.h. sprunghafte, mehr oder minder punktuelle Verbesserungen an, sondern einen kontinuierlichen Verbesserungsprozess (KVP), an dem alle Mitarbeiter, Abteilungen, Funktionen etc. des Unternehmens mitwirken. Kaizen ist mehr als systematisches Qualitätsmanagement</w:t>
      </w:r>
      <w:r w:rsidRPr="00E73F6F">
        <w:rPr>
          <w:spacing w:val="-12"/>
        </w:rPr>
        <w:t xml:space="preserve"> </w:t>
      </w:r>
      <w:r w:rsidRPr="00E73F6F">
        <w:t>(d.h.</w:t>
      </w:r>
      <w:r w:rsidRPr="00E73F6F">
        <w:rPr>
          <w:spacing w:val="-10"/>
        </w:rPr>
        <w:t xml:space="preserve"> </w:t>
      </w:r>
      <w:r w:rsidRPr="00E73F6F">
        <w:t>Kostensenkung,</w:t>
      </w:r>
      <w:r w:rsidRPr="00E73F6F">
        <w:rPr>
          <w:spacing w:val="-10"/>
        </w:rPr>
        <w:t xml:space="preserve"> </w:t>
      </w:r>
      <w:r w:rsidRPr="00E73F6F">
        <w:t>Qualitätssicherung</w:t>
      </w:r>
      <w:r w:rsidRPr="00E73F6F">
        <w:rPr>
          <w:spacing w:val="-12"/>
        </w:rPr>
        <w:t xml:space="preserve"> </w:t>
      </w:r>
      <w:r w:rsidRPr="00E73F6F">
        <w:t>und</w:t>
      </w:r>
      <w:r w:rsidRPr="00E73F6F">
        <w:rPr>
          <w:spacing w:val="-11"/>
        </w:rPr>
        <w:t xml:space="preserve"> </w:t>
      </w:r>
      <w:r w:rsidRPr="00E73F6F">
        <w:t xml:space="preserve">Zeiteffizienz). Als umfassende Managementphilosophie hat Kaizen die Identifikation aller Beteiligten mit dem Unternehmen zum Ziel sowie die Verstetigung des Change </w:t>
      </w:r>
      <w:r w:rsidRPr="00E73F6F">
        <w:rPr>
          <w:spacing w:val="-2"/>
        </w:rPr>
        <w:t>Managements.</w:t>
      </w:r>
    </w:p>
    <w:p w14:paraId="705FBCB6" w14:textId="77777777" w:rsidR="00FF7799" w:rsidRPr="005B7E3A" w:rsidRDefault="00FF7799" w:rsidP="005C1BC0">
      <w:pPr>
        <w:pStyle w:val="StandardText"/>
        <w:rPr>
          <w:sz w:val="22"/>
          <w:szCs w:val="22"/>
        </w:rPr>
      </w:pPr>
      <w:r w:rsidRPr="005B7E3A">
        <w:rPr>
          <w:b/>
          <w:i/>
          <w:sz w:val="22"/>
          <w:szCs w:val="22"/>
        </w:rPr>
        <w:t>Literatur</w:t>
      </w:r>
      <w:r w:rsidRPr="005B7E3A">
        <w:rPr>
          <w:i/>
          <w:sz w:val="22"/>
          <w:szCs w:val="22"/>
        </w:rPr>
        <w:t>:</w:t>
      </w:r>
      <w:r w:rsidRPr="005B7E3A">
        <w:rPr>
          <w:sz w:val="22"/>
          <w:szCs w:val="22"/>
        </w:rPr>
        <w:t xml:space="preserve"> Koch, S. (2015): Einführung in das Management von Geschäftsprozessen. Six</w:t>
      </w:r>
      <w:r w:rsidRPr="005B7E3A">
        <w:rPr>
          <w:spacing w:val="40"/>
          <w:sz w:val="22"/>
          <w:szCs w:val="22"/>
        </w:rPr>
        <w:t xml:space="preserve"> </w:t>
      </w:r>
      <w:r w:rsidRPr="005B7E3A">
        <w:rPr>
          <w:sz w:val="22"/>
          <w:szCs w:val="22"/>
        </w:rPr>
        <w:t>Sigma, Kaizen und TQM, Berlin: Springer.</w:t>
      </w:r>
    </w:p>
    <w:p w14:paraId="23D77792" w14:textId="77777777" w:rsidR="00FF7799" w:rsidRPr="004F48E5" w:rsidRDefault="00FF7799" w:rsidP="009E3860">
      <w:pPr>
        <w:pStyle w:val="berschrift1"/>
        <w:rPr>
          <w:bCs w:val="0"/>
          <w:color w:val="2E74B5"/>
          <w:sz w:val="22"/>
        </w:rPr>
      </w:pPr>
      <w:r w:rsidRPr="004F48E5">
        <w:rPr>
          <w:bCs w:val="0"/>
          <w:color w:val="2E74B5"/>
          <w:sz w:val="22"/>
        </w:rPr>
        <w:t>Kalligraphie</w:t>
      </w:r>
    </w:p>
    <w:p w14:paraId="1C12F3C8" w14:textId="77777777" w:rsidR="00FF7799" w:rsidRPr="00E73F6F" w:rsidRDefault="00FF7799" w:rsidP="00862DBA">
      <w:pPr>
        <w:spacing w:before="58"/>
        <w:jc w:val="both"/>
        <w:rPr>
          <w:rStyle w:val="StandardTextZchn1"/>
        </w:rPr>
      </w:pPr>
      <w:r w:rsidRPr="00E73F6F">
        <w:rPr>
          <w:sz w:val="24"/>
          <w:szCs w:val="24"/>
        </w:rPr>
        <w:t xml:space="preserve">im </w:t>
      </w:r>
      <w:r w:rsidRPr="00E73F6F">
        <w:rPr>
          <w:rStyle w:val="StandardTextZchn1"/>
        </w:rPr>
        <w:t>ostasiatischen Kulturraum verbreitete Kunst des Schönschreibens von Hand (z.B. mit Pinsel und Tusche)</w:t>
      </w:r>
    </w:p>
    <w:p w14:paraId="1E1F0E09" w14:textId="77777777" w:rsidR="00FF7799" w:rsidRPr="00E73F6F" w:rsidRDefault="00FF7799" w:rsidP="009E3860">
      <w:pPr>
        <w:pStyle w:val="berschrift1"/>
      </w:pPr>
      <w:r w:rsidRPr="004F48E5">
        <w:rPr>
          <w:bCs w:val="0"/>
          <w:color w:val="2E74B5"/>
          <w:sz w:val="22"/>
        </w:rPr>
        <w:t>Karma</w:t>
      </w:r>
      <w:r w:rsidRPr="00E73F6F">
        <w:t xml:space="preserve"> </w:t>
      </w:r>
      <w:r w:rsidRPr="00E73F6F">
        <w:rPr>
          <w:b w:val="0"/>
        </w:rPr>
        <w:t>→ Hinduismus</w:t>
      </w:r>
    </w:p>
    <w:p w14:paraId="286A2299" w14:textId="77777777" w:rsidR="00FF7799" w:rsidRPr="00E73F6F" w:rsidRDefault="00FF7799" w:rsidP="009E3860">
      <w:pPr>
        <w:pStyle w:val="berschrift1"/>
      </w:pPr>
      <w:r w:rsidRPr="004F48E5">
        <w:rPr>
          <w:bCs w:val="0"/>
          <w:color w:val="2E74B5"/>
          <w:sz w:val="22"/>
        </w:rPr>
        <w:t xml:space="preserve">Kaufbereitschaft </w:t>
      </w:r>
      <w:r w:rsidRPr="00E73F6F">
        <w:rPr>
          <w:b w:val="0"/>
        </w:rPr>
        <w:t>→</w:t>
      </w:r>
      <w:r w:rsidRPr="00E73F6F">
        <w:rPr>
          <w:b w:val="0"/>
          <w:spacing w:val="-3"/>
        </w:rPr>
        <w:t xml:space="preserve"> </w:t>
      </w:r>
      <w:r w:rsidRPr="00E73F6F">
        <w:rPr>
          <w:b w:val="0"/>
        </w:rPr>
        <w:t>Bereitschaft</w:t>
      </w:r>
      <w:r w:rsidRPr="00E73F6F">
        <w:rPr>
          <w:b w:val="0"/>
          <w:spacing w:val="-3"/>
        </w:rPr>
        <w:t xml:space="preserve"> </w:t>
      </w:r>
      <w:r w:rsidRPr="00E73F6F">
        <w:rPr>
          <w:b w:val="0"/>
        </w:rPr>
        <w:t>zum</w:t>
      </w:r>
      <w:r w:rsidRPr="00E73F6F">
        <w:rPr>
          <w:b w:val="0"/>
          <w:spacing w:val="-4"/>
        </w:rPr>
        <w:t xml:space="preserve"> </w:t>
      </w:r>
      <w:r w:rsidRPr="00E73F6F">
        <w:rPr>
          <w:b w:val="0"/>
        </w:rPr>
        <w:t>Kauf</w:t>
      </w:r>
      <w:r w:rsidRPr="00E73F6F">
        <w:rPr>
          <w:b w:val="0"/>
          <w:spacing w:val="-3"/>
        </w:rPr>
        <w:t xml:space="preserve"> </w:t>
      </w:r>
      <w:r w:rsidRPr="00E73F6F">
        <w:rPr>
          <w:b w:val="0"/>
        </w:rPr>
        <w:t>ausländischer</w:t>
      </w:r>
      <w:r w:rsidRPr="00E73F6F">
        <w:rPr>
          <w:b w:val="0"/>
          <w:spacing w:val="-3"/>
        </w:rPr>
        <w:t xml:space="preserve"> </w:t>
      </w:r>
      <w:r w:rsidRPr="00E73F6F">
        <w:rPr>
          <w:b w:val="0"/>
        </w:rPr>
        <w:t>Produkte</w:t>
      </w:r>
    </w:p>
    <w:p w14:paraId="0ABE0B52" w14:textId="77777777" w:rsidR="00FF7799" w:rsidRPr="00E73F6F" w:rsidRDefault="00FF7799" w:rsidP="009E3860">
      <w:pPr>
        <w:pStyle w:val="berschrift1"/>
      </w:pPr>
      <w:r w:rsidRPr="004F48E5">
        <w:rPr>
          <w:bCs w:val="0"/>
          <w:color w:val="2E74B5"/>
          <w:sz w:val="22"/>
        </w:rPr>
        <w:t>Kausalitätsbedürfnis</w:t>
      </w:r>
      <w:r w:rsidRPr="00E73F6F">
        <w:t xml:space="preserve"> </w:t>
      </w:r>
      <w:r w:rsidRPr="00E73F6F">
        <w:rPr>
          <w:b w:val="0"/>
        </w:rPr>
        <w:t>→ Auswirkungen der Landeskultur</w:t>
      </w:r>
      <w:r w:rsidRPr="00E73F6F">
        <w:t xml:space="preserve"> </w:t>
      </w:r>
    </w:p>
    <w:p w14:paraId="37C5040F" w14:textId="77777777" w:rsidR="00FF7799" w:rsidRPr="004F48E5" w:rsidRDefault="00FF7799" w:rsidP="009E3860">
      <w:pPr>
        <w:pStyle w:val="berschrift1"/>
        <w:rPr>
          <w:bCs w:val="0"/>
          <w:color w:val="2E74B5"/>
          <w:sz w:val="22"/>
        </w:rPr>
      </w:pPr>
      <w:r w:rsidRPr="004F48E5">
        <w:rPr>
          <w:bCs w:val="0"/>
          <w:color w:val="2E74B5"/>
          <w:sz w:val="22"/>
        </w:rPr>
        <w:t>Kindchenschema</w:t>
      </w:r>
    </w:p>
    <w:p w14:paraId="1C3980ED" w14:textId="77777777" w:rsidR="00FF7799" w:rsidRDefault="00FF7799" w:rsidP="005C1BC0">
      <w:pPr>
        <w:pStyle w:val="StandardText"/>
      </w:pPr>
      <w:r w:rsidRPr="00E73F6F">
        <w:t>bildlich-grafische Darstellung von Kindern oder Jungtieren, welche aufgrund bestimmter</w:t>
      </w:r>
      <w:r w:rsidRPr="00E73F6F">
        <w:rPr>
          <w:spacing w:val="40"/>
        </w:rPr>
        <w:t xml:space="preserve"> </w:t>
      </w:r>
      <w:r w:rsidRPr="00E73F6F">
        <w:t>Körperproportionen beim Betrachter den Beschützerinstinkt wecken und sympathisch wirken. Die allermeisten Menschen reagieren darauf automatisch,</w:t>
      </w:r>
      <w:r w:rsidRPr="00E73F6F">
        <w:rPr>
          <w:spacing w:val="-1"/>
        </w:rPr>
        <w:t xml:space="preserve"> </w:t>
      </w:r>
      <w:r w:rsidRPr="00E73F6F">
        <w:t>emotional</w:t>
      </w:r>
      <w:r w:rsidRPr="00E73F6F">
        <w:rPr>
          <w:spacing w:val="-3"/>
        </w:rPr>
        <w:t xml:space="preserve"> </w:t>
      </w:r>
      <w:r w:rsidRPr="00E73F6F">
        <w:t>und</w:t>
      </w:r>
      <w:r w:rsidRPr="00E73F6F">
        <w:rPr>
          <w:spacing w:val="-1"/>
        </w:rPr>
        <w:t xml:space="preserve"> </w:t>
      </w:r>
      <w:r w:rsidRPr="00E73F6F">
        <w:t>stereotyp –</w:t>
      </w:r>
      <w:r w:rsidRPr="00E73F6F">
        <w:rPr>
          <w:spacing w:val="-2"/>
        </w:rPr>
        <w:t xml:space="preserve"> </w:t>
      </w:r>
      <w:r w:rsidRPr="00E73F6F">
        <w:t>insb.</w:t>
      </w:r>
      <w:r w:rsidRPr="00E73F6F">
        <w:rPr>
          <w:spacing w:val="-1"/>
        </w:rPr>
        <w:t xml:space="preserve"> </w:t>
      </w:r>
      <w:r w:rsidRPr="00E73F6F">
        <w:t>mit Zuwendung</w:t>
      </w:r>
      <w:r w:rsidRPr="00E73F6F">
        <w:rPr>
          <w:spacing w:val="-2"/>
        </w:rPr>
        <w:t xml:space="preserve"> </w:t>
      </w:r>
      <w:r w:rsidRPr="00E73F6F">
        <w:t>und</w:t>
      </w:r>
      <w:r w:rsidRPr="00E73F6F">
        <w:rPr>
          <w:spacing w:val="-4"/>
        </w:rPr>
        <w:t xml:space="preserve"> </w:t>
      </w:r>
      <w:r w:rsidRPr="00E73F6F">
        <w:t>Fürsorglichkeit (vgl. Müller/Gelbrich 2015, S.592f.; Kroeber-Riel/Gröppel-Klein 2019, S.78ff.).</w:t>
      </w:r>
    </w:p>
    <w:p w14:paraId="6513D6E4" w14:textId="77777777" w:rsidR="00FF7799" w:rsidRPr="005B7E3A" w:rsidRDefault="00FF7799" w:rsidP="005C1BC0">
      <w:pPr>
        <w:pStyle w:val="StandardText"/>
        <w:rPr>
          <w:sz w:val="22"/>
          <w:szCs w:val="22"/>
        </w:rPr>
      </w:pPr>
      <w:r w:rsidRPr="005B7E3A">
        <w:rPr>
          <w:b/>
          <w:i/>
          <w:sz w:val="22"/>
          <w:szCs w:val="22"/>
        </w:rPr>
        <w:lastRenderedPageBreak/>
        <w:t>Literatur</w:t>
      </w:r>
      <w:r w:rsidRPr="005B7E3A">
        <w:rPr>
          <w:i/>
          <w:sz w:val="22"/>
          <w:szCs w:val="22"/>
        </w:rPr>
        <w:t xml:space="preserve">: </w:t>
      </w:r>
      <w:r w:rsidRPr="005B7E3A">
        <w:rPr>
          <w:sz w:val="22"/>
          <w:szCs w:val="22"/>
        </w:rPr>
        <w:t>Kroeber-Riel, W.; Gröppel-Klein, A. (2019): Konsumentenverhalten, 11.Aufl.,</w:t>
      </w:r>
      <w:r w:rsidRPr="005B7E3A">
        <w:rPr>
          <w:spacing w:val="40"/>
          <w:sz w:val="22"/>
          <w:szCs w:val="22"/>
        </w:rPr>
        <w:t xml:space="preserve"> </w:t>
      </w:r>
      <w:r w:rsidRPr="005B7E3A">
        <w:rPr>
          <w:sz w:val="22"/>
          <w:szCs w:val="22"/>
        </w:rPr>
        <w:t>München: Vahlen.</w:t>
      </w:r>
      <w:r w:rsidRPr="005B7E3A">
        <w:rPr>
          <w:spacing w:val="40"/>
          <w:sz w:val="22"/>
          <w:szCs w:val="22"/>
        </w:rPr>
        <w:t xml:space="preserve"> </w:t>
      </w:r>
      <w:r w:rsidRPr="005B7E3A">
        <w:rPr>
          <w:sz w:val="22"/>
          <w:szCs w:val="22"/>
        </w:rPr>
        <w:t>Müller, S.; Gelbrich, K. (2015): Interkulturelles Marketing, 2.Aufl.,</w:t>
      </w:r>
      <w:r w:rsidRPr="005B7E3A">
        <w:rPr>
          <w:spacing w:val="40"/>
          <w:sz w:val="22"/>
          <w:szCs w:val="22"/>
        </w:rPr>
        <w:t xml:space="preserve"> </w:t>
      </w:r>
      <w:r w:rsidRPr="005B7E3A">
        <w:rPr>
          <w:sz w:val="22"/>
          <w:szCs w:val="22"/>
        </w:rPr>
        <w:t>München:</w:t>
      </w:r>
      <w:r w:rsidRPr="005B7E3A">
        <w:rPr>
          <w:spacing w:val="-2"/>
          <w:sz w:val="22"/>
          <w:szCs w:val="22"/>
        </w:rPr>
        <w:t xml:space="preserve"> </w:t>
      </w:r>
      <w:r w:rsidRPr="005B7E3A">
        <w:rPr>
          <w:sz w:val="22"/>
          <w:szCs w:val="22"/>
        </w:rPr>
        <w:t>Vahlen.</w:t>
      </w:r>
      <w:r w:rsidRPr="005B7E3A">
        <w:rPr>
          <w:spacing w:val="40"/>
          <w:sz w:val="22"/>
          <w:szCs w:val="22"/>
        </w:rPr>
        <w:t xml:space="preserve"> </w:t>
      </w:r>
      <w:r w:rsidRPr="005B7E3A">
        <w:rPr>
          <w:sz w:val="22"/>
          <w:szCs w:val="22"/>
        </w:rPr>
        <w:t>Schweiger,</w:t>
      </w:r>
      <w:r w:rsidRPr="005B7E3A">
        <w:rPr>
          <w:spacing w:val="-5"/>
          <w:sz w:val="22"/>
          <w:szCs w:val="22"/>
        </w:rPr>
        <w:t xml:space="preserve"> </w:t>
      </w:r>
      <w:r w:rsidRPr="005B7E3A">
        <w:rPr>
          <w:sz w:val="22"/>
          <w:szCs w:val="22"/>
        </w:rPr>
        <w:t>G.;</w:t>
      </w:r>
      <w:r w:rsidRPr="005B7E3A">
        <w:rPr>
          <w:spacing w:val="-6"/>
          <w:sz w:val="22"/>
          <w:szCs w:val="22"/>
        </w:rPr>
        <w:t xml:space="preserve"> </w:t>
      </w:r>
      <w:r w:rsidRPr="005B7E3A">
        <w:rPr>
          <w:sz w:val="22"/>
          <w:szCs w:val="22"/>
        </w:rPr>
        <w:t>Schrattenecker,</w:t>
      </w:r>
      <w:r w:rsidRPr="005B7E3A">
        <w:rPr>
          <w:spacing w:val="-2"/>
          <w:sz w:val="22"/>
          <w:szCs w:val="22"/>
        </w:rPr>
        <w:t xml:space="preserve"> </w:t>
      </w:r>
      <w:r w:rsidRPr="005B7E3A">
        <w:rPr>
          <w:sz w:val="22"/>
          <w:szCs w:val="22"/>
        </w:rPr>
        <w:t>G.</w:t>
      </w:r>
      <w:r w:rsidRPr="005B7E3A">
        <w:rPr>
          <w:spacing w:val="-2"/>
          <w:sz w:val="22"/>
          <w:szCs w:val="22"/>
        </w:rPr>
        <w:t xml:space="preserve"> </w:t>
      </w:r>
      <w:r w:rsidRPr="005B7E3A">
        <w:rPr>
          <w:sz w:val="22"/>
          <w:szCs w:val="22"/>
        </w:rPr>
        <w:t>(2009):</w:t>
      </w:r>
      <w:r w:rsidRPr="005B7E3A">
        <w:rPr>
          <w:spacing w:val="-4"/>
          <w:sz w:val="22"/>
          <w:szCs w:val="22"/>
        </w:rPr>
        <w:t xml:space="preserve"> </w:t>
      </w:r>
      <w:r w:rsidRPr="005B7E3A">
        <w:rPr>
          <w:sz w:val="22"/>
          <w:szCs w:val="22"/>
        </w:rPr>
        <w:t>Werbung,</w:t>
      </w:r>
      <w:r w:rsidRPr="005B7E3A">
        <w:rPr>
          <w:spacing w:val="-5"/>
          <w:sz w:val="22"/>
          <w:szCs w:val="22"/>
        </w:rPr>
        <w:t xml:space="preserve"> </w:t>
      </w:r>
      <w:r w:rsidRPr="005B7E3A">
        <w:rPr>
          <w:sz w:val="22"/>
          <w:szCs w:val="22"/>
        </w:rPr>
        <w:t>7.</w:t>
      </w:r>
      <w:r w:rsidRPr="005B7E3A">
        <w:rPr>
          <w:spacing w:val="-2"/>
          <w:sz w:val="22"/>
          <w:szCs w:val="22"/>
        </w:rPr>
        <w:t xml:space="preserve"> </w:t>
      </w:r>
      <w:r w:rsidRPr="005B7E3A">
        <w:rPr>
          <w:sz w:val="22"/>
          <w:szCs w:val="22"/>
        </w:rPr>
        <w:t>Aufl., Stuttgart:</w:t>
      </w:r>
      <w:r w:rsidRPr="005B7E3A">
        <w:rPr>
          <w:spacing w:val="40"/>
          <w:sz w:val="22"/>
          <w:szCs w:val="22"/>
        </w:rPr>
        <w:t xml:space="preserve"> </w:t>
      </w:r>
      <w:r w:rsidRPr="005B7E3A">
        <w:rPr>
          <w:sz w:val="22"/>
          <w:szCs w:val="22"/>
        </w:rPr>
        <w:t>Lucius &amp; Lucius.</w:t>
      </w:r>
    </w:p>
    <w:p w14:paraId="4527DE04" w14:textId="77777777" w:rsidR="00FF7799" w:rsidRPr="005B7E3A" w:rsidRDefault="00FF7799" w:rsidP="005C1BC0">
      <w:pPr>
        <w:pStyle w:val="StandardText"/>
        <w:rPr>
          <w:sz w:val="22"/>
          <w:szCs w:val="22"/>
        </w:rPr>
      </w:pPr>
    </w:p>
    <w:p w14:paraId="257D1C97" w14:textId="77777777" w:rsidR="00FF7799" w:rsidRPr="00E73F6F" w:rsidRDefault="00FF7799" w:rsidP="008412AB">
      <w:pPr>
        <w:pStyle w:val="berschrift1"/>
      </w:pPr>
      <w:r w:rsidRPr="004F48E5">
        <w:rPr>
          <w:bCs w:val="0"/>
          <w:color w:val="2E74B5"/>
          <w:sz w:val="22"/>
        </w:rPr>
        <w:t xml:space="preserve">Kluckhohn &amp; Strodtbeck </w:t>
      </w:r>
      <w:r w:rsidRPr="00E73F6F">
        <w:rPr>
          <w:b w:val="0"/>
        </w:rPr>
        <w:t>→</w:t>
      </w:r>
      <w:r w:rsidRPr="00E73F6F">
        <w:rPr>
          <w:b w:val="0"/>
          <w:spacing w:val="-2"/>
        </w:rPr>
        <w:t xml:space="preserve"> </w:t>
      </w:r>
      <w:r w:rsidRPr="00E73F6F">
        <w:rPr>
          <w:b w:val="0"/>
        </w:rPr>
        <w:t>Fundamentale</w:t>
      </w:r>
      <w:r w:rsidRPr="00E73F6F">
        <w:rPr>
          <w:b w:val="0"/>
          <w:spacing w:val="-2"/>
        </w:rPr>
        <w:t xml:space="preserve"> Orientierungen</w:t>
      </w:r>
    </w:p>
    <w:p w14:paraId="4BBE9E3A" w14:textId="77777777" w:rsidR="00FF7799" w:rsidRPr="004F48E5" w:rsidRDefault="00FF7799" w:rsidP="004F48E5">
      <w:pPr>
        <w:pStyle w:val="StandardText"/>
        <w:rPr>
          <w:b/>
          <w:color w:val="2E74B5"/>
          <w:sz w:val="22"/>
          <w:szCs w:val="22"/>
          <w:lang w:eastAsia="en-US"/>
        </w:rPr>
      </w:pPr>
      <w:r w:rsidRPr="004F48E5">
        <w:rPr>
          <w:b/>
          <w:color w:val="2E74B5"/>
          <w:sz w:val="22"/>
          <w:szCs w:val="22"/>
          <w:lang w:eastAsia="en-US"/>
        </w:rPr>
        <w:t>Knock Off</w:t>
      </w:r>
    </w:p>
    <w:p w14:paraId="6AC8FAF3" w14:textId="77777777" w:rsidR="00FF7799" w:rsidRPr="00E73F6F" w:rsidRDefault="00FF7799" w:rsidP="005C1BC0">
      <w:pPr>
        <w:pStyle w:val="StandardText"/>
      </w:pPr>
      <w:r w:rsidRPr="00E73F6F">
        <w:t>Produkt, welches dem Originalprodukt erheblich ähnelt (z.B. hinsichtlich dem Leistungsgegenstand, der Namensgebung oder der Produktgestaltung), ohne jedoch das Original zu imitieren. Vom Grad der Nachahmung hängt es ab, ob Knock</w:t>
      </w:r>
      <w:r w:rsidRPr="00E73F6F">
        <w:rPr>
          <w:spacing w:val="80"/>
        </w:rPr>
        <w:t xml:space="preserve"> </w:t>
      </w:r>
      <w:r w:rsidRPr="00E73F6F">
        <w:t>Offs</w:t>
      </w:r>
      <w:r w:rsidRPr="00E73F6F">
        <w:rPr>
          <w:spacing w:val="80"/>
        </w:rPr>
        <w:t xml:space="preserve"> </w:t>
      </w:r>
      <w:r w:rsidRPr="00E73F6F">
        <w:t>Unterkategorien</w:t>
      </w:r>
      <w:r w:rsidRPr="00E73F6F">
        <w:rPr>
          <w:spacing w:val="80"/>
        </w:rPr>
        <w:t xml:space="preserve"> </w:t>
      </w:r>
      <w:r w:rsidRPr="00E73F6F">
        <w:t>der</w:t>
      </w:r>
      <w:r w:rsidRPr="00E73F6F">
        <w:rPr>
          <w:spacing w:val="80"/>
        </w:rPr>
        <w:t xml:space="preserve"> </w:t>
      </w:r>
      <w:r w:rsidRPr="00E73F6F">
        <w:t>Produkt-</w:t>
      </w:r>
      <w:r w:rsidRPr="00E73F6F">
        <w:rPr>
          <w:spacing w:val="80"/>
        </w:rPr>
        <w:t xml:space="preserve"> </w:t>
      </w:r>
      <w:r w:rsidRPr="00E73F6F">
        <w:t>und</w:t>
      </w:r>
      <w:r w:rsidRPr="00E73F6F">
        <w:rPr>
          <w:spacing w:val="80"/>
        </w:rPr>
        <w:t xml:space="preserve"> </w:t>
      </w:r>
      <w:r w:rsidRPr="00E73F6F">
        <w:t>Markenpiraterie</w:t>
      </w:r>
      <w:r w:rsidRPr="00E73F6F">
        <w:rPr>
          <w:spacing w:val="80"/>
        </w:rPr>
        <w:t xml:space="preserve"> </w:t>
      </w:r>
      <w:r w:rsidRPr="00E73F6F">
        <w:t>sind</w:t>
      </w:r>
      <w:r w:rsidRPr="00E73F6F">
        <w:rPr>
          <w:spacing w:val="80"/>
        </w:rPr>
        <w:t xml:space="preserve"> </w:t>
      </w:r>
      <w:r w:rsidRPr="00E73F6F">
        <w:t>und wie</w:t>
      </w:r>
      <w:r w:rsidRPr="00E73F6F">
        <w:rPr>
          <w:spacing w:val="-4"/>
        </w:rPr>
        <w:t xml:space="preserve"> </w:t>
      </w:r>
      <w:r w:rsidRPr="00E73F6F">
        <w:t>Plagiate und Raubkopien das Recht auf geistiges Eigentum verletzen. Knock Offs werden auch als ‘look alike‘ oder ‘sound alike‘ bezeichnet.</w:t>
      </w:r>
    </w:p>
    <w:p w14:paraId="3B501AFD" w14:textId="77777777" w:rsidR="00FF7799" w:rsidRPr="005B7E3A" w:rsidRDefault="00FF7799" w:rsidP="005C1BC0">
      <w:pPr>
        <w:pStyle w:val="StandardText"/>
        <w:rPr>
          <w:sz w:val="22"/>
          <w:szCs w:val="22"/>
        </w:rPr>
      </w:pPr>
      <w:r w:rsidRPr="005B7E3A">
        <w:rPr>
          <w:b/>
          <w:i/>
          <w:sz w:val="22"/>
          <w:szCs w:val="22"/>
        </w:rPr>
        <w:t>Literatur:</w:t>
      </w:r>
      <w:r w:rsidRPr="005B7E3A">
        <w:rPr>
          <w:b/>
          <w:sz w:val="22"/>
          <w:szCs w:val="22"/>
        </w:rPr>
        <w:t xml:space="preserve"> </w:t>
      </w:r>
      <w:r w:rsidRPr="005B7E3A">
        <w:rPr>
          <w:sz w:val="22"/>
          <w:szCs w:val="22"/>
        </w:rPr>
        <w:t>von Welser, M.; González, A. (2007): Marken- und Produktpiraterie. Strategien</w:t>
      </w:r>
      <w:r w:rsidRPr="005B7E3A">
        <w:rPr>
          <w:spacing w:val="40"/>
          <w:sz w:val="22"/>
          <w:szCs w:val="22"/>
        </w:rPr>
        <w:t xml:space="preserve"> </w:t>
      </w:r>
      <w:r w:rsidRPr="005B7E3A">
        <w:rPr>
          <w:sz w:val="22"/>
          <w:szCs w:val="22"/>
        </w:rPr>
        <w:t>und Lösungsansätze zu ihrer Bekämpfung, Weinheim: Wiley-VCH.</w:t>
      </w:r>
    </w:p>
    <w:p w14:paraId="0B28262B" w14:textId="77777777" w:rsidR="00B85FE4" w:rsidRPr="005B7E3A" w:rsidRDefault="00B85FE4" w:rsidP="005C1BC0">
      <w:pPr>
        <w:pStyle w:val="StandardText"/>
        <w:rPr>
          <w:sz w:val="22"/>
          <w:szCs w:val="22"/>
        </w:rPr>
      </w:pPr>
    </w:p>
    <w:p w14:paraId="1E4CF353" w14:textId="77777777" w:rsidR="00FF7799" w:rsidRDefault="00FF7799" w:rsidP="00260649">
      <w:pPr>
        <w:pStyle w:val="berschrift1"/>
        <w:rPr>
          <w:b w:val="0"/>
          <w:spacing w:val="-2"/>
        </w:rPr>
      </w:pPr>
      <w:r w:rsidRPr="004F48E5">
        <w:rPr>
          <w:bCs w:val="0"/>
          <w:color w:val="2E74B5"/>
          <w:sz w:val="22"/>
        </w:rPr>
        <w:t>Kommunikation</w:t>
      </w:r>
      <w:r w:rsidRPr="00E73F6F">
        <w:t xml:space="preserve"> </w:t>
      </w:r>
      <w:r w:rsidRPr="00E73F6F">
        <w:rPr>
          <w:b w:val="0"/>
        </w:rPr>
        <w:t xml:space="preserve">→ Direktheit der Kommunikation; → Kommunikation, </w:t>
      </w:r>
      <w:r w:rsidRPr="00E73F6F">
        <w:rPr>
          <w:b w:val="0"/>
          <w:spacing w:val="-2"/>
        </w:rPr>
        <w:t>paraverbale</w:t>
      </w:r>
    </w:p>
    <w:p w14:paraId="2A6741E4" w14:textId="77777777" w:rsidR="001E58F5" w:rsidRPr="007F69DA" w:rsidRDefault="001E58F5" w:rsidP="001E58F5">
      <w:pPr>
        <w:keepNext/>
        <w:keepLines/>
        <w:spacing w:before="240"/>
        <w:jc w:val="both"/>
        <w:outlineLvl w:val="1"/>
        <w:rPr>
          <w:b/>
          <w:color w:val="2E74B5"/>
        </w:rPr>
      </w:pPr>
      <w:r w:rsidRPr="007F69DA">
        <w:rPr>
          <w:b/>
          <w:color w:val="2E74B5"/>
        </w:rPr>
        <w:t>Kommunikation, interpersonelle</w:t>
      </w:r>
    </w:p>
    <w:p w14:paraId="5657900F" w14:textId="77777777" w:rsidR="001E58F5" w:rsidRPr="007F69DA" w:rsidRDefault="001E58F5" w:rsidP="001E58F5">
      <w:pPr>
        <w:pStyle w:val="Erlaeuterung"/>
        <w:rPr>
          <w:bCs w:val="0"/>
          <w:sz w:val="24"/>
          <w:szCs w:val="24"/>
          <w:lang w:eastAsia="en-US" w:bidi="en-US"/>
        </w:rPr>
      </w:pPr>
    </w:p>
    <w:p w14:paraId="783E6D2E"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1. Grundlagen</w:t>
      </w:r>
    </w:p>
    <w:p w14:paraId="0DEF86D5"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Vielfach sind Ratschläge von Freunden und Bekannten – z.B. in Gestalt von Kaufempfehlungen – wirksamer als Werbebotschaften, welche über die Massenmedien verbreitet werden. Denn Menschen, die man persönlich kennt, vertraut man im Regelfall, zumal dann, wenn sie keinen unmittelbaren Vorteil davon haben, wenn man ihrer Empfehlung folgt. Bei einer Anzeige oder einem TV-Spot hingegen sind Beeinflussungsabsicht und Eigeninteresse offenkundig. Auch der Einsatz von Testimonials vermag an der Glaubwürdigkeitsproblematik professioneller Werbung im Regelfall wenig zu ändern. Mündliche Empfehlungen von Privatpersonen werden in der einschlägigen Literatur als ‘WoM‘ bezeichnet: Word of Mouth. Sie wirken dann besonders gut, wenn die Empfehlung von einer Person ausgesprochen wurde, welche der In-Group des Rezipienten angehört (vgl. Keller 2007).</w:t>
      </w:r>
    </w:p>
    <w:p w14:paraId="39145C71" w14:textId="77777777" w:rsidR="001E58F5" w:rsidRPr="007F69DA" w:rsidRDefault="001E58F5" w:rsidP="001E58F5">
      <w:pPr>
        <w:pStyle w:val="Erlaeuterung"/>
        <w:rPr>
          <w:bCs w:val="0"/>
          <w:sz w:val="24"/>
          <w:szCs w:val="24"/>
          <w:lang w:eastAsia="en-US" w:bidi="en-US"/>
        </w:rPr>
      </w:pPr>
    </w:p>
    <w:p w14:paraId="5D2B2454"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Allerdings fallen persönliche Empfehlungen häufig übertrieben oder in anderer Weise ungenau aus. Wie die einschlägige empirische Forschung aufzeigen konnte, sprechen Konsumenten mit größerer Wahrscheinlichkeit Empfehlungen aus, wenn es sich um hedonistische Produkte handelt, die für ihr Selbstbild relevant sind, während es offenbar weniger reizvoll ist, utilitaristische, d.h. „nur“ nützliche Produkte zu empfehlen (vgl. Kakar 2013; Chung/Darke 2006). Im Rahmen ihres Impression Managements (vgl. Mummendey/Bolten 1998; Schlenker 1980) stellen viele den Nutzen, den ihnen hedonistische Produkte verschaffen, übertrieben dar, um Eindruck zu hinterlassen. Denn darauf zielt diese Beeinflussungsstrategie: Kontrolle und Steuerung des Eindrucks, den man bei seinen Mitmenschen hinterlässt.</w:t>
      </w:r>
    </w:p>
    <w:p w14:paraId="5B1D9D14" w14:textId="77777777" w:rsidR="001E58F5" w:rsidRPr="007F69DA" w:rsidRDefault="001E58F5" w:rsidP="001E58F5">
      <w:pPr>
        <w:pStyle w:val="Erlaeuterung"/>
        <w:rPr>
          <w:bCs w:val="0"/>
          <w:sz w:val="24"/>
          <w:szCs w:val="24"/>
          <w:lang w:eastAsia="en-US" w:bidi="en-US"/>
        </w:rPr>
      </w:pPr>
    </w:p>
    <w:p w14:paraId="1A1FFE0E"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2  Einfluss der Landeskultur</w:t>
      </w:r>
    </w:p>
    <w:p w14:paraId="5862273E" w14:textId="77777777" w:rsidR="001E58F5" w:rsidRPr="007F69DA" w:rsidRDefault="001E58F5" w:rsidP="001E58F5">
      <w:pPr>
        <w:pStyle w:val="Erlaeuterung"/>
        <w:rPr>
          <w:bCs w:val="0"/>
          <w:sz w:val="24"/>
          <w:szCs w:val="24"/>
          <w:lang w:eastAsia="en-US" w:bidi="en-US"/>
        </w:rPr>
      </w:pPr>
    </w:p>
    <w:p w14:paraId="48884C4A"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2.1  Traditionelles WoM</w:t>
      </w:r>
    </w:p>
    <w:p w14:paraId="2FE399C3" w14:textId="77777777" w:rsidR="001E58F5" w:rsidRPr="007F69DA" w:rsidRDefault="001E58F5" w:rsidP="001E58F5">
      <w:pPr>
        <w:pStyle w:val="Erlaeuterung"/>
        <w:rPr>
          <w:bCs w:val="0"/>
          <w:sz w:val="24"/>
          <w:szCs w:val="24"/>
          <w:lang w:eastAsia="en-US" w:bidi="en-US"/>
        </w:rPr>
      </w:pPr>
    </w:p>
    <w:p w14:paraId="498E9060" w14:textId="77777777" w:rsidR="001E58F5" w:rsidRPr="004F48E5" w:rsidRDefault="001E58F5" w:rsidP="001E58F5">
      <w:pPr>
        <w:pStyle w:val="Erlaeuterung"/>
        <w:rPr>
          <w:bCs w:val="0"/>
          <w:i/>
          <w:iCs/>
          <w:sz w:val="24"/>
          <w:szCs w:val="24"/>
          <w:lang w:eastAsia="en-US" w:bidi="en-US"/>
        </w:rPr>
      </w:pPr>
      <w:r w:rsidRPr="004F48E5">
        <w:rPr>
          <w:bCs w:val="0"/>
          <w:i/>
          <w:iCs/>
          <w:sz w:val="24"/>
          <w:szCs w:val="24"/>
          <w:lang w:eastAsia="en-US" w:bidi="en-US"/>
        </w:rPr>
        <w:t>Individualismus vs. Kollektivismus</w:t>
      </w:r>
    </w:p>
    <w:p w14:paraId="7D45981A"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 xml:space="preserve">Angehörige des kollektivistischen Kulturkreises im Allgemeinen und Chinesen im Besonderen sind für zahlreiche Beeinflussungsstrategien empfänglicher als Individualisten. Wenn Chinesen </w:t>
      </w:r>
      <w:r w:rsidRPr="007F69DA">
        <w:rPr>
          <w:bCs w:val="0"/>
          <w:sz w:val="24"/>
          <w:szCs w:val="24"/>
          <w:lang w:eastAsia="en-US" w:bidi="en-US"/>
        </w:rPr>
        <w:lastRenderedPageBreak/>
        <w:t>Entscheidungen zu fällen haben, dann verlassen sie sich mehr auf Empfehlungen, d.h. auf Informationen, die sie von anderen Menschen erhalten, als Amerikaner, die stärker den eigenen Erfahrungen vertrauen (vgl. Doran 2002). Kollektivisten sind aber nicht nur durch Empfehlungen stärker beeinflussbar als Individualisten, sondern sprechen auch selbst häufiger Empfehlungen aus als diese.</w:t>
      </w:r>
    </w:p>
    <w:p w14:paraId="71E9067E" w14:textId="77777777" w:rsidR="001E58F5" w:rsidRPr="007F69DA" w:rsidRDefault="001E58F5" w:rsidP="001E58F5">
      <w:pPr>
        <w:pStyle w:val="Erlaeuterung"/>
        <w:rPr>
          <w:bCs w:val="0"/>
          <w:sz w:val="24"/>
          <w:szCs w:val="24"/>
          <w:lang w:eastAsia="en-US" w:bidi="en-US"/>
        </w:rPr>
      </w:pPr>
    </w:p>
    <w:p w14:paraId="13AB0317"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D’Rozario/Choudhury (2008) haben diese Effekte durch den Vergleich von Chinesen mit Armeniern, die tendenziell individualistische Werte vertreten, und US-Amerikanern nachgewiesen. In dem Maße jedoch, wie sich armenische und chinesische Einwanderer in die amerikanische Kultur inte</w:t>
      </w:r>
      <w:r w:rsidRPr="007F69DA">
        <w:rPr>
          <w:bCs w:val="0"/>
          <w:sz w:val="24"/>
          <w:szCs w:val="24"/>
          <w:lang w:eastAsia="en-US" w:bidi="en-US"/>
        </w:rPr>
        <w:softHyphen/>
        <w:t>grieren, verflüchtigen sich diese Unterschiede. Denn es kommt zur Akkulturation: zur Übernahme der Normen und Werte der in diesem Fall individualistischen Kultur des Gastlandes.</w:t>
      </w:r>
    </w:p>
    <w:p w14:paraId="22A251D0" w14:textId="77777777" w:rsidR="001E58F5" w:rsidRPr="007F69DA" w:rsidRDefault="001E58F5" w:rsidP="001E58F5">
      <w:pPr>
        <w:pStyle w:val="Erlaeuterung"/>
        <w:rPr>
          <w:bCs w:val="0"/>
          <w:sz w:val="24"/>
          <w:szCs w:val="24"/>
          <w:lang w:eastAsia="en-US" w:bidi="en-US"/>
        </w:rPr>
      </w:pPr>
    </w:p>
    <w:p w14:paraId="482964D7" w14:textId="77777777" w:rsidR="001E58F5" w:rsidRPr="007F69DA" w:rsidRDefault="001E58F5" w:rsidP="001E58F5">
      <w:pPr>
        <w:pStyle w:val="Erlaeuterung"/>
        <w:shd w:val="clear" w:color="auto" w:fill="DEEAF6" w:themeFill="accent1" w:themeFillTint="33"/>
        <w:jc w:val="center"/>
        <w:rPr>
          <w:bCs w:val="0"/>
          <w:sz w:val="24"/>
          <w:szCs w:val="24"/>
          <w:lang w:eastAsia="en-US" w:bidi="en-US"/>
        </w:rPr>
      </w:pPr>
      <w:r w:rsidRPr="007F69DA">
        <w:rPr>
          <w:bCs w:val="0"/>
          <w:sz w:val="24"/>
          <w:szCs w:val="24"/>
          <w:lang w:eastAsia="en-US" w:bidi="en-US"/>
        </w:rPr>
        <w:t>BzzAgent</w:t>
      </w:r>
    </w:p>
    <w:p w14:paraId="770E627F" w14:textId="77777777" w:rsidR="001E58F5" w:rsidRPr="007F69DA" w:rsidRDefault="001E58F5" w:rsidP="001E58F5">
      <w:pPr>
        <w:pStyle w:val="Erlaeuterung"/>
        <w:shd w:val="clear" w:color="auto" w:fill="DEEAF6" w:themeFill="accent1" w:themeFillTint="33"/>
        <w:rPr>
          <w:bCs w:val="0"/>
          <w:sz w:val="24"/>
          <w:szCs w:val="24"/>
          <w:lang w:eastAsia="en-US" w:bidi="en-US"/>
        </w:rPr>
      </w:pPr>
      <w:r w:rsidRPr="007F69DA">
        <w:rPr>
          <w:bCs w:val="0"/>
          <w:sz w:val="24"/>
          <w:szCs w:val="24"/>
          <w:lang w:eastAsia="en-US" w:bidi="en-US"/>
        </w:rPr>
        <w:t>K. Bollaert schwärmt von ihrem neuen Augen-Gel. „Mit No Puffery wirke ich immer frisch und ausgeglichen“, freut sich die 32-Jährige aus Brooklyn, die das Produkt auch anderen wärmsten ans Herz legt. Sie empfiehlt es ihrer Freundin nach einer durchwachten Nacht und ihrer Kollegin vor einem wichtigen Meeting. Neulich hat sie es sogar öffentlich gewürdigt, und zwar ausgerechnet beim Begräbnis ihres Großvaters. Man habe ihr dort ständig versichert, wie fantastisch sie aussehe – trotz des Kummers. K. Bollaert arbeitet nicht für den Kosmetikhersteller. Zumindest nicht im landläufigen Sinn. Sie zählt vielmehr zu den 60.000 Vertretern von BzzAgent. Die Agentur mit dem lautmalerischen Namen steht für eine Gruppe von Werbeshops, die sich einzig damit beschäftigen, „buzz“ zu generieren, das heißt, diverse Produkte ebenso zwanglos wie zielbewusst ins Gespräch zu bringen“ (Schwerdt 2005, S.24).</w:t>
      </w:r>
    </w:p>
    <w:p w14:paraId="7DE58C88" w14:textId="77777777" w:rsidR="001E58F5" w:rsidRPr="007F69DA" w:rsidRDefault="001E58F5" w:rsidP="001E58F5">
      <w:pPr>
        <w:spacing w:before="240" w:after="60"/>
        <w:ind w:left="284" w:rightChars="921" w:right="2026"/>
      </w:pPr>
    </w:p>
    <w:p w14:paraId="6A4D3AE9" w14:textId="77777777" w:rsidR="001E58F5" w:rsidRPr="007F69DA" w:rsidRDefault="001E58F5" w:rsidP="001E58F5">
      <w:pPr>
        <w:pStyle w:val="Erlaeuterung"/>
        <w:rPr>
          <w:bCs w:val="0"/>
          <w:sz w:val="24"/>
          <w:szCs w:val="24"/>
          <w:lang w:val="en-US" w:eastAsia="en-US" w:bidi="en-US"/>
        </w:rPr>
      </w:pPr>
      <w:r w:rsidRPr="007F69DA">
        <w:rPr>
          <w:bCs w:val="0"/>
          <w:sz w:val="24"/>
          <w:szCs w:val="24"/>
          <w:lang w:eastAsia="en-US" w:bidi="en-US"/>
        </w:rPr>
        <w:t xml:space="preserve">Keine Regel ohne Ausnahme: Individualistische Konsumenten sind überproportional für Empfehlungen empfänglich, die ihr Selbstbild berühren (vgl. Chung/Darke 2006). Auch konnten Lam et al. (2009, S.64ff.) nachweisen, dass individualistische Probanden (= australische Studenten; IDV = 90) häufiger als die kollektivistische Vergleichsgruppe ’Out Group-WoM’ betreiben. Damit ist gemeint, dass sie auch Menschen, die nicht ihrer primären Bezugsgruppe angehören, über neue Produkte, Marken etc. informieren („I share information about new brands and products with people other than my close friends or family”; Lam et al. 2009, S.66). </w:t>
      </w:r>
      <w:r w:rsidRPr="007F69DA">
        <w:rPr>
          <w:bCs w:val="0"/>
          <w:sz w:val="24"/>
          <w:szCs w:val="24"/>
          <w:lang w:val="en-US" w:eastAsia="en-US" w:bidi="en-US"/>
        </w:rPr>
        <w:t>Die in Singapur befragten asiatischen Studenten (IDV = 20) präferierten hingegen ’In Group-WoM’: „I like introducing new brands and products only to my close friends or family”.</w:t>
      </w:r>
    </w:p>
    <w:p w14:paraId="2FD9E013" w14:textId="77777777" w:rsidR="001E58F5" w:rsidRPr="007F69DA" w:rsidRDefault="001E58F5" w:rsidP="001E58F5">
      <w:pPr>
        <w:pStyle w:val="Erlaeuterung"/>
        <w:rPr>
          <w:bCs w:val="0"/>
          <w:sz w:val="24"/>
          <w:szCs w:val="24"/>
          <w:lang w:val="en-US" w:eastAsia="en-US" w:bidi="en-US"/>
        </w:rPr>
      </w:pPr>
    </w:p>
    <w:p w14:paraId="5476142A"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w:t>
      </w:r>
    </w:p>
    <w:p w14:paraId="50F0723D"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Word-of-Mouth-Strategien sind im Übrigen nicht nur im B-to-C-Bereich, sondern auch im B-to-B-Bereich kultursensibel, etwa beim Erwerb von Dienstleistungen (vgl. Money et al. 1998). So fordern amerikanische Manager, bevor sie eine Geschäftsbeziehung anbahnen, weniger Referenzen über den potentiellen Geschäftspartner an als japanische Manager, die für vergleichbare Unternehmen arbeiten. Denn Teil der Kommunikationsstrategie japanischer Unternehmen ist es, stabile Referenznetzwerke zu etablieren und zu nutzen.</w:t>
      </w:r>
    </w:p>
    <w:p w14:paraId="335B65FA" w14:textId="77777777" w:rsidR="001E58F5" w:rsidRPr="007F69DA" w:rsidRDefault="001E58F5" w:rsidP="001E58F5">
      <w:pPr>
        <w:spacing w:line="360" w:lineRule="auto"/>
        <w:ind w:right="-851"/>
      </w:pPr>
    </w:p>
    <w:p w14:paraId="5463FD2A" w14:textId="77777777" w:rsidR="001E58F5" w:rsidRPr="004F48E5" w:rsidRDefault="001E58F5" w:rsidP="001E58F5">
      <w:pPr>
        <w:pStyle w:val="Erlaeuterung"/>
        <w:rPr>
          <w:bCs w:val="0"/>
          <w:i/>
          <w:iCs/>
          <w:sz w:val="24"/>
          <w:szCs w:val="24"/>
          <w:lang w:eastAsia="en-US" w:bidi="en-US"/>
        </w:rPr>
      </w:pPr>
      <w:r w:rsidRPr="004F48E5">
        <w:rPr>
          <w:bCs w:val="0"/>
          <w:i/>
          <w:iCs/>
          <w:sz w:val="24"/>
          <w:szCs w:val="24"/>
          <w:lang w:eastAsia="en-US" w:bidi="en-US"/>
        </w:rPr>
        <w:t>Maskulinität vs. Feminität</w:t>
      </w:r>
    </w:p>
    <w:p w14:paraId="1AF409D4"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In einer frühen ländervergleichenden Studie untersuchte das US-amerikanische Marktforschungsunternehmen Yankelovich Partners Inc. 1993, wie Ratschläge von Freunden in sieben Industrienationen wirken. Zwar lassen Datenstruktur und geringe Fallzahl keine Signifikanzprüfung zu. Aber die veröffentlichten Daten legen die Vermutung nahe, dass feminine Gesell</w:t>
      </w:r>
      <w:r w:rsidRPr="007F69DA">
        <w:rPr>
          <w:bCs w:val="0"/>
          <w:sz w:val="24"/>
          <w:szCs w:val="24"/>
          <w:lang w:eastAsia="en-US" w:bidi="en-US"/>
        </w:rPr>
        <w:lastRenderedPageBreak/>
        <w:t>schaften für WoM ein günstiges Umfeld bieten, während in maskulinen Gesellschaften Empfehlungen von Freunden häufiger auf taube Ohren treffen. Als Ex post-Erklärung bietet sich die ausgeprägte Beziehungsorientierung femininer Gesellschaften an.</w:t>
      </w:r>
    </w:p>
    <w:p w14:paraId="1F29CE21" w14:textId="77777777" w:rsidR="001E58F5" w:rsidRPr="007F69DA" w:rsidRDefault="001E58F5" w:rsidP="001E58F5">
      <w:pPr>
        <w:spacing w:before="240" w:after="60" w:line="360" w:lineRule="auto"/>
        <w:ind w:left="284" w:rightChars="921" w:right="2026"/>
        <w:rPr>
          <w:b/>
        </w:rPr>
      </w:pPr>
    </w:p>
    <w:p w14:paraId="21D57FBD" w14:textId="77777777" w:rsidR="001E58F5" w:rsidRPr="004F48E5" w:rsidRDefault="001E58F5" w:rsidP="001E58F5">
      <w:pPr>
        <w:pStyle w:val="Erlaeuterung"/>
        <w:rPr>
          <w:bCs w:val="0"/>
          <w:i/>
          <w:iCs/>
          <w:sz w:val="24"/>
          <w:szCs w:val="24"/>
          <w:lang w:eastAsia="en-US" w:bidi="en-US"/>
        </w:rPr>
      </w:pPr>
      <w:r w:rsidRPr="004F48E5">
        <w:rPr>
          <w:bCs w:val="0"/>
          <w:i/>
          <w:iCs/>
          <w:sz w:val="24"/>
          <w:szCs w:val="24"/>
          <w:lang w:eastAsia="en-US" w:bidi="en-US"/>
        </w:rPr>
        <w:t>Ungewissheitsvermeidung</w:t>
      </w:r>
    </w:p>
    <w:p w14:paraId="16922E89"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Persönliche Empfehlungen stärken die Zufriedenheit mit einer erhaltenen Dienstleistung. Dieser Effekt fällt bei Angehörigen von ungewissheitsmeidenden Gesellschaften signifikant stärker aus als bei Angehörigen ungewissheitstoleranter Gesellschaften (vgl. Schumann et al. 2010). Erklären lässt sich dies damit, dass die meisten Dienstleistungen ein Erfahrungsgut sind, dessen Eigenschaften sich dem Käufer nicht unmittelbar erschließen. Empfehlungen sind in einer solchen Situation geeignet, Unsicherheit, die im Regelfall insb. Unsicherheitsmeider deshalb empfinden, zu reduzieren.</w:t>
      </w:r>
    </w:p>
    <w:p w14:paraId="010FEC14" w14:textId="77777777" w:rsidR="001E58F5" w:rsidRPr="007F69DA" w:rsidRDefault="001E58F5" w:rsidP="001E58F5">
      <w:pPr>
        <w:ind w:right="-851"/>
      </w:pPr>
    </w:p>
    <w:p w14:paraId="5AE0787B"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2.2  eWOM</w:t>
      </w:r>
    </w:p>
    <w:p w14:paraId="707AEFE2"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 xml:space="preserve">Dank des Internets können persönliche Empfehlungen im Extremfall weltweit verbreitet werden und Menschen, die sich nicht kennen und nie kennenlernen werden, beeinflussen. Dennoch profitiert auch das „elektronische Word-of-Mouth“ von dem Glaubwürdigkeitsbonus, den persönliche Empfehlungen gemessen an professionellen Empfehlungen (bspw. von Marketingabteilungen) haben (vgl. Gruen et al. 2006; Bickart/Schindler 2001). Deshalb integrieren immer mehr Unternehmen eWoM in ihren Kommunikationsmix (bspw. in Gestalt von ‘discussion boards‘). </w:t>
      </w:r>
    </w:p>
    <w:p w14:paraId="50265BE2" w14:textId="48513019" w:rsidR="001E58F5" w:rsidRPr="007F69DA" w:rsidRDefault="001E58F5" w:rsidP="0097093C">
      <w:pPr>
        <w:keepNext/>
        <w:keepLines/>
        <w:spacing w:before="240"/>
        <w:jc w:val="both"/>
        <w:outlineLvl w:val="1"/>
        <w:rPr>
          <w:bCs/>
          <w:sz w:val="24"/>
          <w:szCs w:val="24"/>
          <w:lang w:bidi="en-US"/>
        </w:rPr>
      </w:pPr>
      <w:r w:rsidRPr="007F69DA">
        <w:rPr>
          <w:sz w:val="24"/>
          <w:szCs w:val="24"/>
          <w:lang w:bidi="en-US"/>
        </w:rPr>
        <w:t>Da die verschiedenen Landeskulturen kulturspezifisches Mediennutzungs- und Kommunikationsverhalten begünstigen (vgl. Kim et al. 2011; Pfeil et al. 2006, Chau et al. 2002), kann sich die nahezu unbegrenzte Reichweite elektronischer Empfehlungen für die Unternehmenskommunikation allerdings als ein gravierendes Problem erweisen. So fällt es Nutzern schwerer, sich auf Webseiten zu orientieren, die von Kulturfremden erstellt wurden (vs. von Angehörigen der eigenen Kultur; vgl. Faiola/Matei 2005). Mehr noch als derartige kognitiven Effekte sind die verschiedenen emotionalen Effekte bedeutsam. Vertrauen etwa ist gerade für Interaktionen im Internet unerlässlich. Wie Griffith et al. (2000) berichteten, entstehen online vertrauensvolle Beziehungen mit größerer Wahrscheinlichkeit dann, wenn die kulturelle Distanz zwischen den Beteiligten gering ist (</w:t>
      </w:r>
      <w:r w:rsidRPr="007F69DA">
        <w:rPr>
          <w:sz w:val="24"/>
          <w:szCs w:val="24"/>
          <w:lang w:bidi="en-US"/>
        </w:rPr>
        <w:sym w:font="Symbol" w:char="F0DE"/>
      </w:r>
      <w:r w:rsidRPr="007F69DA">
        <w:rPr>
          <w:sz w:val="24"/>
          <w:szCs w:val="24"/>
          <w:lang w:bidi="en-US"/>
        </w:rPr>
        <w:t xml:space="preserve"> Distanz, kulturelle). Die Wahrscheinlichkeit der Teilnahme an einer Online-Auktion (eBay) bspw. hängt nur in Gesellschaften wie Frankreich, wo der Grad an zwischenmenschlichem Vertrauen gering ist, von der Bewertung des Verkäufers ab. In vergleichsweise vertrauensvollen Gesellschaften wie Kanada, wo 52% der Bevölkerung der Aussage „most people can be trusted“ zustimmen (vs. 23% in Frankreich; vgl. Inglehart 1997)</w:t>
      </w:r>
      <w:r w:rsidR="0097093C">
        <w:rPr>
          <w:sz w:val="24"/>
          <w:szCs w:val="24"/>
          <w:lang w:bidi="en-US"/>
        </w:rPr>
        <w:t>,</w:t>
      </w:r>
      <w:r w:rsidRPr="007F69DA">
        <w:rPr>
          <w:sz w:val="24"/>
          <w:szCs w:val="24"/>
          <w:lang w:bidi="en-US"/>
        </w:rPr>
        <w:t xml:space="preserve"> ist dieser Zusammenhang nicht nachweisbar (vgl. Vishwanath 2004). </w:t>
      </w:r>
    </w:p>
    <w:p w14:paraId="6A9FD10E" w14:textId="77777777" w:rsidR="001E58F5" w:rsidRPr="007F69DA" w:rsidRDefault="001E58F5" w:rsidP="001E58F5">
      <w:pPr>
        <w:spacing w:line="360" w:lineRule="auto"/>
        <w:ind w:left="284" w:right="-851"/>
      </w:pPr>
    </w:p>
    <w:p w14:paraId="1023EBC4"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 xml:space="preserve">Ein spezieller Forschungszweig befasst sich mit der Motivation der Teilnehmer von Internetforen (vgl. Cheung et al. 2007). Dabei zeigte sich, dass US-amerikanische Diskutanten häufiger als andere Informationen zur Verfügung stellen, während die Beiträge in chinesischen Internetforen eher emotional formuliert sind. Zahlreiche Beiträge sind weniger von Produktkenntnis als von </w:t>
      </w:r>
      <w:r w:rsidRPr="007F69DA">
        <w:rPr>
          <w:rFonts w:ascii="Cambria Math" w:hAnsi="Cambria Math" w:cs="Cambria Math"/>
          <w:bCs w:val="0"/>
          <w:sz w:val="24"/>
          <w:szCs w:val="24"/>
          <w:lang w:eastAsia="en-US" w:bidi="en-US"/>
        </w:rPr>
        <w:t>⇒</w:t>
      </w:r>
      <w:r w:rsidRPr="007F69DA">
        <w:rPr>
          <w:bCs w:val="0"/>
          <w:sz w:val="24"/>
          <w:szCs w:val="24"/>
          <w:lang w:eastAsia="en-US" w:bidi="en-US"/>
        </w:rPr>
        <w:t xml:space="preserve"> Animosität geprägt. Fong/Burton (2006) sehen durch ihre Untersuchung die These, dass Angehörige individualistischer Kulturen in derartigen Foren überdurchschnittlich häufig die Rolle des Informationsgebers übernehmen und Angehörige kollektivistischer Kulturen die Rolle des Informationssuchers, bestätigt. Begründen lässt sich dieser Unterschied damit, dass individualistische Kulturen den Einzelnen dazu ermutigen, seinen Überzeugungen Ausdruck zu verleihen und diesen auch zu folgen. Für Kollektivisten haben hingegen Informationen, die sie innerhalb ihrer Referenzgruppe gewinnen, Vorrang, zumal dieses In Group-Informations- und Kommunikationsverhalten die Gruppenbindung stärkt (Laroche et al. 2005; Wong/Chan 1999).</w:t>
      </w:r>
    </w:p>
    <w:p w14:paraId="4D188456" w14:textId="77777777" w:rsidR="001E58F5" w:rsidRPr="007F69DA" w:rsidRDefault="001E58F5" w:rsidP="001E58F5">
      <w:pPr>
        <w:pStyle w:val="Erlaeuterung"/>
        <w:rPr>
          <w:bCs w:val="0"/>
          <w:sz w:val="24"/>
          <w:szCs w:val="24"/>
          <w:lang w:eastAsia="en-US" w:bidi="en-US"/>
        </w:rPr>
      </w:pPr>
    </w:p>
    <w:p w14:paraId="4099B1AE" w14:textId="77777777" w:rsidR="001E58F5" w:rsidRPr="007F69DA" w:rsidRDefault="001E58F5" w:rsidP="004F48E5">
      <w:pPr>
        <w:pStyle w:val="Literatur"/>
        <w:numPr>
          <w:ilvl w:val="0"/>
          <w:numId w:val="0"/>
        </w:numPr>
        <w:spacing w:line="240" w:lineRule="auto"/>
        <w:rPr>
          <w:sz w:val="22"/>
          <w:szCs w:val="22"/>
        </w:rPr>
      </w:pPr>
      <w:r w:rsidRPr="004F48E5">
        <w:rPr>
          <w:b/>
          <w:bCs w:val="0"/>
          <w:i/>
          <w:sz w:val="22"/>
          <w:szCs w:val="22"/>
          <w:u w:val="single"/>
          <w:lang w:val="en-US"/>
        </w:rPr>
        <w:t>Literatur</w:t>
      </w:r>
      <w:r w:rsidRPr="00544326">
        <w:rPr>
          <w:i/>
          <w:sz w:val="22"/>
          <w:szCs w:val="22"/>
          <w:lang w:val="en-US"/>
        </w:rPr>
        <w:t>:</w:t>
      </w:r>
      <w:r w:rsidRPr="007F69DA">
        <w:rPr>
          <w:sz w:val="22"/>
          <w:szCs w:val="22"/>
          <w:lang w:val="en-US"/>
        </w:rPr>
        <w:t xml:space="preserve"> Bickart, B.; Schindler, R.M. (2001): Internet Forums as Influential Sources of Consumer Information, Journal of Interactive Marketing, 15(3): 31-40.   Chau, P. Y.; Cole, M.; Massey, A.P.; Montoya-Weiss, M.; O'Keefe, R.M. (2002): Cultural Differences in the Online Behavior of Consumers, </w:t>
      </w:r>
      <w:r w:rsidRPr="007F69DA">
        <w:rPr>
          <w:iCs/>
          <w:sz w:val="22"/>
          <w:szCs w:val="22"/>
          <w:lang w:val="en-US"/>
        </w:rPr>
        <w:t>Communications of the ACM</w:t>
      </w:r>
      <w:r w:rsidRPr="007F69DA">
        <w:rPr>
          <w:sz w:val="22"/>
          <w:szCs w:val="22"/>
          <w:lang w:val="en-US"/>
        </w:rPr>
        <w:t xml:space="preserve">, </w:t>
      </w:r>
      <w:r w:rsidRPr="007F69DA">
        <w:rPr>
          <w:iCs/>
          <w:sz w:val="22"/>
          <w:szCs w:val="22"/>
          <w:lang w:val="en-US"/>
        </w:rPr>
        <w:t>45</w:t>
      </w:r>
      <w:r w:rsidRPr="007F69DA">
        <w:rPr>
          <w:sz w:val="22"/>
          <w:szCs w:val="22"/>
          <w:lang w:val="en-US"/>
        </w:rPr>
        <w:t xml:space="preserve">(10): 138-143.   </w:t>
      </w:r>
      <w:r w:rsidRPr="007F69DA">
        <w:rPr>
          <w:color w:val="000000"/>
          <w:sz w:val="22"/>
          <w:szCs w:val="22"/>
          <w:lang w:val="en-US"/>
        </w:rPr>
        <w:t>Chung, C.M.Y.; Darke, P.R. (2006): The Consumer as Advocate. Self-Relevance, Culture, and Word-of-Mouth, Marketing Letters, 17(4): 269-279.</w:t>
      </w:r>
      <w:r w:rsidRPr="007F69DA">
        <w:rPr>
          <w:sz w:val="22"/>
          <w:szCs w:val="22"/>
          <w:lang w:val="en-US"/>
        </w:rPr>
        <w:t xml:space="preserve">   </w:t>
      </w:r>
      <w:r w:rsidRPr="007F69DA">
        <w:rPr>
          <w:sz w:val="22"/>
          <w:szCs w:val="22"/>
          <w:lang w:val="en-GB"/>
        </w:rPr>
        <w:t xml:space="preserve">D’Rozario, D.; Choudhury, P.K. (2000): Effect of Assimilation on Consumer Susceptibility to Interpersonal Influence, Journal of Consumer Marketing, 17(4): 290-307.    </w:t>
      </w:r>
      <w:r w:rsidRPr="007F69DA">
        <w:rPr>
          <w:sz w:val="22"/>
          <w:szCs w:val="22"/>
          <w:lang w:val="en-US"/>
        </w:rPr>
        <w:t xml:space="preserve">Doran, K. (2002): Lessons Learned in Cross-Cultural Research of Chinese and North American Consumers, Journal of Business Research, 55(10): 823-829.   Faiola, A.; Matei, S.A. (2005): Cultural Cognitive Style and Web Design. Beyond a Behavioral Inquiry into Computer-Mediated Communication, Journal of Computer-Mediated Communication, 11(1): 375-394.   Fong, J.; Burton, S. (2006): Online Word-of-Mouth. A Comparison of American and Chinese Discussion Boards, Asia Pacific Journal of Marketing and Logistics, 18(2): 146-156.   Griffith, D.A.; Hu, M.Y.; Ryans Jr, J.K. (2000): Process Standardization across Intra-and Inter-Cultural Relationships, Journal of International Business Studies, 31(2): 303-324.   Gruen, T.W.; Osmonbekov, T.; Czaplewski, A.J. (2006): eWOM. The Impact of Customer-to-Customer Online Know-how Exchange on Customer Value and Loyalty; Journal of Business Research, 59(4): 449-456.   Inglehart, R. (1977): The Silent Revolution. Changing Values and Political Styles among Western Publics, Princeton/NJ: Princeton University Press.   Kakar, A.K. (2013): Exploring the Impact of Hedomic and Utalitarian Value of Information Systems on User Loyality and Word-of-Mouth, in: Proceedings of the Southern Association for Information Systems Conference, 76-81, Savannah/GA, USA, March 8th–9th.   Keller, E. (2007): Unleashing the Power of Word of Mouth. Creating Brand Advocacy to Drive Growth, Journal of Advertising Research, 47(4): 448-452.   Kim, Y.; Sohn, D.; Choi, S.M. (2011): Cultural Difference in Motivations for Using Social Network Sites. A Comparative Study of American and Korean College Students, Computers in Human Behavior, 27(1): 365-372.   Lam, D.; Lee, A.; Mizerski, R. (2009): The Effects of Cultural Values in Word-of-Mouth Communication, Journal of International Marketing, 17(3): 55-70.   Laroche, M.; Kalamas, M., Cleveland, M. (2005): “I” versus “we”. How Individualists and Collectivists Use Information Sources to Formulate their Service Expectations, International Marketing Review, 22(3): 279-308.   </w:t>
      </w:r>
      <w:r w:rsidRPr="007F69DA">
        <w:rPr>
          <w:sz w:val="22"/>
          <w:szCs w:val="22"/>
          <w:lang w:val="en-GB"/>
        </w:rPr>
        <w:t xml:space="preserve">Money, R.B.; Gilly, M.C.; Graham, J.L. (1998): Explorations of National Culture and Word-of-Mouth Referral Behavior in the Purchase of Industrial Services in the United States and Japan, Journal of Marketing, 62(4): 76-87.   </w:t>
      </w:r>
      <w:r w:rsidRPr="007F69DA">
        <w:rPr>
          <w:sz w:val="22"/>
          <w:szCs w:val="22"/>
        </w:rPr>
        <w:t xml:space="preserve">Mummendey, H.D.; Bolten, H.-G. (1998): Die Impression-Management-Theorie, in: Frey, D.; Irle, M. (Hrsg.), Theorien der Sozialpsychologie, Bd.II: Informationsverarbeitungstheorien, 3.Aufl., 57-78, Bern: Huber.   </w:t>
      </w:r>
      <w:r w:rsidRPr="007F69DA">
        <w:rPr>
          <w:sz w:val="22"/>
          <w:szCs w:val="22"/>
          <w:lang w:val="en-US"/>
        </w:rPr>
        <w:t xml:space="preserve">Pfeil, U.; Zaphiris, P.; Ang, C.S. (2006): Cultural Differences in Collaborative Authoring of Wikipedia, Journal of Computer-Mediated Communication, 12(1): 88-113.   Schlenker, B.R. (1980): Impression Management. The Self-Concept, Social Identity, and Interpersonal Relations, 21-43, Monterey/CA: Brooks/Cole.   Schumann, J.H.; von Wangenheim, F.; Stringfellow, A.; Yang, Z.; Blazevic, V.; Praxmarer, S.; Shainesh, G.; Komor, M.; Shannon, R.M.; Jiménez, F.R. (2010a): Cross-Cultural Differences in the Effect of Received Word-of-Mouth Referral in Relational Service Exchange, Journal of International Marketing, 18(3): 62-80.   Schumann, J.H.; von Wangenheim, F.V.; Stringfellow, A.; Yang, Z.; Praxmarer, S.; Jimenez, F.R.; Komor, M. (2010b): Drivers of Trust in Relational Service Exchange. Understanding the Importance of Cross-Cultural Differences, Journal of Service Research, 13(4): 453-468.   </w:t>
      </w:r>
      <w:r w:rsidRPr="007F69DA">
        <w:rPr>
          <w:color w:val="000000"/>
          <w:sz w:val="22"/>
          <w:szCs w:val="22"/>
        </w:rPr>
        <w:t>Schwerdt, Y. (2005): Buzz erstaunt. Amerikanische Unternehmen überlassen die Mundpropaganda nicht mehr dem Zufall, Absatzwirtschaft, 48(2): 24.</w:t>
      </w:r>
      <w:r w:rsidRPr="007F69DA">
        <w:rPr>
          <w:sz w:val="22"/>
          <w:szCs w:val="22"/>
        </w:rPr>
        <w:t xml:space="preserve">   </w:t>
      </w:r>
      <w:r w:rsidRPr="007F69DA">
        <w:rPr>
          <w:sz w:val="22"/>
          <w:szCs w:val="22"/>
          <w:lang w:val="en-US"/>
        </w:rPr>
        <w:t xml:space="preserve">Vishwanath, A. (2004): Manifestations of Interpersonal Trust in Online Interaction. A Cross-Cultural Study Comparing the Differential Utilization of Seller Ratings by eBay Participants in Canada, France, and Germany, New Media &amp; Society, 6(2): 219-234.   Wong, Y.H.; Chan, R.Y.K. (1999): Relationship Marketing in China. </w:t>
      </w:r>
      <w:r w:rsidRPr="007F69DA">
        <w:rPr>
          <w:sz w:val="22"/>
          <w:szCs w:val="22"/>
        </w:rPr>
        <w:t>Guanxi, Favouritism and Adaptation, Journal of Business Ethics, 22(2): 107-118.</w:t>
      </w:r>
    </w:p>
    <w:p w14:paraId="63424344" w14:textId="77777777" w:rsidR="001E58F5" w:rsidRPr="007F69DA" w:rsidRDefault="001E58F5" w:rsidP="001E58F5">
      <w:pPr>
        <w:pStyle w:val="Erlaeuterung"/>
        <w:rPr>
          <w:bCs w:val="0"/>
          <w:sz w:val="22"/>
          <w:szCs w:val="22"/>
          <w:lang w:eastAsia="en-US" w:bidi="en-US"/>
        </w:rPr>
      </w:pPr>
    </w:p>
    <w:p w14:paraId="001B667E" w14:textId="77777777" w:rsidR="001E58F5" w:rsidRPr="007F69DA" w:rsidRDefault="001E58F5" w:rsidP="001E58F5">
      <w:pPr>
        <w:pStyle w:val="Erlaeuterung"/>
        <w:rPr>
          <w:bCs w:val="0"/>
          <w:sz w:val="24"/>
          <w:szCs w:val="24"/>
          <w:lang w:eastAsia="en-US" w:bidi="en-US"/>
        </w:rPr>
      </w:pPr>
    </w:p>
    <w:p w14:paraId="091F775F" w14:textId="77777777" w:rsidR="00FF7799" w:rsidRPr="004F48E5" w:rsidRDefault="00FF7799" w:rsidP="008412AB">
      <w:pPr>
        <w:pStyle w:val="berschrift1"/>
        <w:rPr>
          <w:bCs w:val="0"/>
          <w:color w:val="2E74B5"/>
          <w:sz w:val="22"/>
        </w:rPr>
      </w:pPr>
      <w:r w:rsidRPr="004F48E5">
        <w:rPr>
          <w:bCs w:val="0"/>
          <w:color w:val="2E74B5"/>
          <w:sz w:val="22"/>
        </w:rPr>
        <w:t>Kommunikation, intra- vs. interkulturelle</w:t>
      </w:r>
    </w:p>
    <w:p w14:paraId="17331E2D" w14:textId="77777777" w:rsidR="00FF7799" w:rsidRPr="00E73F6F" w:rsidRDefault="005B7E3A" w:rsidP="005C1BC0">
      <w:pPr>
        <w:pStyle w:val="StandardText"/>
      </w:pPr>
      <w:r>
        <w:t xml:space="preserve">unterscheiden sich in einem wichtigen „Punkt“. </w:t>
      </w:r>
      <w:r w:rsidR="00FF7799" w:rsidRPr="00E73F6F">
        <w:t xml:space="preserve">Menschen </w:t>
      </w:r>
      <w:r>
        <w:t xml:space="preserve">können </w:t>
      </w:r>
      <w:r w:rsidR="00FF7799" w:rsidRPr="00E73F6F">
        <w:t xml:space="preserve">mit Angehörigen der eigenen Kultur intuitiv kommunizieren, weil im Regelfall erwartetes und praktiziertes Verhalten </w:t>
      </w:r>
      <w:r w:rsidR="00FF7799" w:rsidRPr="00E73F6F">
        <w:lastRenderedPageBreak/>
        <w:t>(einschließlich Kommunikation) einander weitgehend entsprechen</w:t>
      </w:r>
      <w:r>
        <w:t xml:space="preserve"> (= intra</w:t>
      </w:r>
      <w:r w:rsidRPr="00E73F6F">
        <w:t>kulturelle Kommunikation)</w:t>
      </w:r>
      <w:r w:rsidR="00FF7799" w:rsidRPr="00E73F6F">
        <w:t>. Bei der Kommunikation mit Kulturfremden (= interkulturelle Kommunikation) kommt es hingegen häufig zu Missverständnissen, weil beide Seiten Unterschiedliches erwarten. Dies gilt auch und gerade für die scheinbar simple Unterscheidung von „Ja“ und „Nein“, von Zustimmung</w:t>
      </w:r>
      <w:r w:rsidR="00FF7799" w:rsidRPr="00E73F6F">
        <w:rPr>
          <w:spacing w:val="-4"/>
        </w:rPr>
        <w:t xml:space="preserve"> </w:t>
      </w:r>
      <w:r w:rsidR="00FF7799" w:rsidRPr="00E73F6F">
        <w:t>und</w:t>
      </w:r>
      <w:r w:rsidR="00FF7799" w:rsidRPr="00E73F6F">
        <w:rPr>
          <w:spacing w:val="-4"/>
        </w:rPr>
        <w:t xml:space="preserve"> </w:t>
      </w:r>
      <w:r w:rsidR="00FF7799" w:rsidRPr="00E73F6F">
        <w:t>Ablehnung</w:t>
      </w:r>
      <w:r w:rsidR="00FF7799" w:rsidRPr="00E73F6F">
        <w:rPr>
          <w:spacing w:val="-2"/>
        </w:rPr>
        <w:t xml:space="preserve"> </w:t>
      </w:r>
      <w:r w:rsidR="00FF7799" w:rsidRPr="00E73F6F">
        <w:t>–</w:t>
      </w:r>
      <w:r w:rsidR="00FF7799" w:rsidRPr="00E73F6F">
        <w:rPr>
          <w:spacing w:val="-6"/>
        </w:rPr>
        <w:t xml:space="preserve"> </w:t>
      </w:r>
      <w:r w:rsidR="00FF7799" w:rsidRPr="00E73F6F">
        <w:t>unter</w:t>
      </w:r>
      <w:r w:rsidR="00FF7799" w:rsidRPr="00E73F6F">
        <w:rPr>
          <w:spacing w:val="-6"/>
        </w:rPr>
        <w:t xml:space="preserve"> </w:t>
      </w:r>
      <w:r w:rsidR="00FF7799" w:rsidRPr="00E73F6F">
        <w:t>anderem</w:t>
      </w:r>
      <w:r w:rsidR="00FF7799" w:rsidRPr="00E73F6F">
        <w:rPr>
          <w:spacing w:val="-6"/>
        </w:rPr>
        <w:t xml:space="preserve"> </w:t>
      </w:r>
      <w:r w:rsidR="00FF7799" w:rsidRPr="00E73F6F">
        <w:t>deshalb,</w:t>
      </w:r>
      <w:r w:rsidR="00FF7799" w:rsidRPr="00E73F6F">
        <w:rPr>
          <w:spacing w:val="-5"/>
        </w:rPr>
        <w:t xml:space="preserve"> </w:t>
      </w:r>
      <w:r w:rsidR="00FF7799" w:rsidRPr="00E73F6F">
        <w:t>weil</w:t>
      </w:r>
      <w:r w:rsidR="00FF7799" w:rsidRPr="00E73F6F">
        <w:rPr>
          <w:spacing w:val="-5"/>
        </w:rPr>
        <w:t xml:space="preserve"> </w:t>
      </w:r>
      <w:r w:rsidR="00FF7799" w:rsidRPr="00E73F6F">
        <w:t>Nein</w:t>
      </w:r>
      <w:r w:rsidR="00FF7799" w:rsidRPr="00E73F6F">
        <w:rPr>
          <w:spacing w:val="-4"/>
        </w:rPr>
        <w:t xml:space="preserve"> </w:t>
      </w:r>
      <w:r w:rsidR="00FF7799" w:rsidRPr="00E73F6F">
        <w:t>„für</w:t>
      </w:r>
      <w:r w:rsidR="00FF7799" w:rsidRPr="00E73F6F">
        <w:rPr>
          <w:spacing w:val="-5"/>
        </w:rPr>
        <w:t xml:space="preserve"> </w:t>
      </w:r>
      <w:r w:rsidR="00FF7799" w:rsidRPr="00E73F6F">
        <w:t>zwei</w:t>
      </w:r>
      <w:r w:rsidR="00FF7799" w:rsidRPr="00E73F6F">
        <w:rPr>
          <w:spacing w:val="-5"/>
        </w:rPr>
        <w:t xml:space="preserve"> </w:t>
      </w:r>
      <w:r w:rsidR="00FF7799" w:rsidRPr="00E73F6F">
        <w:t>Drittel der Weltbevölkerung, beispielsweise aus Kulturen in Asien, Südamerika und Afrika, in vielen Situationen nicht zum aktiven Wortschatz zählt. Oft ist man verpflichtet,</w:t>
      </w:r>
      <w:r w:rsidR="00FF7799" w:rsidRPr="00E73F6F">
        <w:rPr>
          <w:spacing w:val="-12"/>
        </w:rPr>
        <w:t xml:space="preserve"> </w:t>
      </w:r>
      <w:r w:rsidR="00FF7799" w:rsidRPr="00E73F6F">
        <w:t>Ja</w:t>
      </w:r>
      <w:r w:rsidR="00FF7799" w:rsidRPr="00E73F6F">
        <w:rPr>
          <w:spacing w:val="-11"/>
        </w:rPr>
        <w:t xml:space="preserve"> </w:t>
      </w:r>
      <w:r w:rsidR="00FF7799" w:rsidRPr="00E73F6F">
        <w:t>zu</w:t>
      </w:r>
      <w:r w:rsidR="00FF7799" w:rsidRPr="00E73F6F">
        <w:rPr>
          <w:spacing w:val="-9"/>
        </w:rPr>
        <w:t xml:space="preserve"> </w:t>
      </w:r>
      <w:r w:rsidR="00FF7799" w:rsidRPr="00E73F6F">
        <w:t>sagen,</w:t>
      </w:r>
      <w:r w:rsidR="00FF7799" w:rsidRPr="00E73F6F">
        <w:rPr>
          <w:spacing w:val="-11"/>
        </w:rPr>
        <w:t xml:space="preserve"> </w:t>
      </w:r>
      <w:r w:rsidR="00FF7799" w:rsidRPr="00E73F6F">
        <w:t>um</w:t>
      </w:r>
      <w:r w:rsidR="00FF7799" w:rsidRPr="00E73F6F">
        <w:rPr>
          <w:spacing w:val="-12"/>
        </w:rPr>
        <w:t xml:space="preserve"> </w:t>
      </w:r>
      <w:r w:rsidR="00FF7799" w:rsidRPr="00E73F6F">
        <w:t>das</w:t>
      </w:r>
      <w:r w:rsidR="00FF7799" w:rsidRPr="00E73F6F">
        <w:rPr>
          <w:spacing w:val="-11"/>
        </w:rPr>
        <w:t xml:space="preserve"> </w:t>
      </w:r>
      <w:r w:rsidR="00FF7799" w:rsidRPr="00E73F6F">
        <w:t>Gesicht</w:t>
      </w:r>
      <w:r w:rsidR="00FF7799" w:rsidRPr="00E73F6F">
        <w:rPr>
          <w:spacing w:val="-9"/>
        </w:rPr>
        <w:t xml:space="preserve"> </w:t>
      </w:r>
      <w:r w:rsidR="00FF7799" w:rsidRPr="00E73F6F">
        <w:t>des</w:t>
      </w:r>
      <w:r w:rsidR="00FF7799" w:rsidRPr="00E73F6F">
        <w:rPr>
          <w:spacing w:val="-11"/>
        </w:rPr>
        <w:t xml:space="preserve"> </w:t>
      </w:r>
      <w:r w:rsidR="00FF7799" w:rsidRPr="00E73F6F">
        <w:t>Gegenübers</w:t>
      </w:r>
      <w:r w:rsidR="00FF7799" w:rsidRPr="00E73F6F">
        <w:rPr>
          <w:spacing w:val="-12"/>
        </w:rPr>
        <w:t xml:space="preserve"> </w:t>
      </w:r>
      <w:r w:rsidR="00FF7799" w:rsidRPr="00E73F6F">
        <w:t>und</w:t>
      </w:r>
      <w:r w:rsidR="00FF7799" w:rsidRPr="00E73F6F">
        <w:rPr>
          <w:spacing w:val="-10"/>
        </w:rPr>
        <w:t xml:space="preserve"> </w:t>
      </w:r>
      <w:r w:rsidR="00FF7799" w:rsidRPr="00E73F6F">
        <w:t>damit</w:t>
      </w:r>
      <w:r w:rsidR="00FF7799" w:rsidRPr="00E73F6F">
        <w:rPr>
          <w:spacing w:val="-10"/>
        </w:rPr>
        <w:t xml:space="preserve"> </w:t>
      </w:r>
      <w:r w:rsidR="00FF7799" w:rsidRPr="00E73F6F">
        <w:t>den</w:t>
      </w:r>
      <w:r w:rsidR="00FF7799" w:rsidRPr="00E73F6F">
        <w:rPr>
          <w:spacing w:val="-9"/>
        </w:rPr>
        <w:t xml:space="preserve"> </w:t>
      </w:r>
      <w:r w:rsidR="00FF7799" w:rsidRPr="00E73F6F">
        <w:t>Status</w:t>
      </w:r>
      <w:r w:rsidR="00FF7799" w:rsidRPr="00E73F6F">
        <w:rPr>
          <w:spacing w:val="-12"/>
        </w:rPr>
        <w:t xml:space="preserve"> </w:t>
      </w:r>
      <w:r w:rsidR="00FF7799" w:rsidRPr="00E73F6F">
        <w:t>quo zu wahren“ (Härdle 2020, S.21).</w:t>
      </w:r>
    </w:p>
    <w:p w14:paraId="1F1973B3" w14:textId="77777777" w:rsidR="00FF7799" w:rsidRPr="00E73F6F" w:rsidRDefault="00FF7799" w:rsidP="005C1BC0">
      <w:pPr>
        <w:pStyle w:val="StandardText"/>
      </w:pPr>
      <w:r w:rsidRPr="00E73F6F">
        <w:t>Beispiel Teamwork: „In überwiegend individualistisch und nur moderat hierarchisch geprägten Kulturen sind die Kommunikationskanäle in beide Richtungen offen. Wenn also ein Teammitglied etwas nicht verstanden hat, erwarten wir, dass es nachfragt (…). In Kulturen, die eher kollektivistisch und hierarchisch</w:t>
      </w:r>
      <w:r w:rsidRPr="00E73F6F">
        <w:rPr>
          <w:spacing w:val="-12"/>
        </w:rPr>
        <w:t xml:space="preserve"> </w:t>
      </w:r>
      <w:r w:rsidRPr="00E73F6F">
        <w:t>geprägt</w:t>
      </w:r>
      <w:r w:rsidRPr="00E73F6F">
        <w:rPr>
          <w:spacing w:val="-11"/>
        </w:rPr>
        <w:t xml:space="preserve"> </w:t>
      </w:r>
      <w:r w:rsidRPr="00E73F6F">
        <w:t>sind</w:t>
      </w:r>
      <w:r w:rsidRPr="00E73F6F">
        <w:rPr>
          <w:spacing w:val="-11"/>
        </w:rPr>
        <w:t xml:space="preserve"> </w:t>
      </w:r>
      <w:r w:rsidRPr="00E73F6F">
        <w:t>und</w:t>
      </w:r>
      <w:r w:rsidRPr="00E73F6F">
        <w:rPr>
          <w:spacing w:val="-11"/>
        </w:rPr>
        <w:t xml:space="preserve"> </w:t>
      </w:r>
      <w:r w:rsidRPr="00E73F6F">
        <w:t>die</w:t>
      </w:r>
      <w:r w:rsidRPr="00E73F6F">
        <w:rPr>
          <w:spacing w:val="-12"/>
        </w:rPr>
        <w:t xml:space="preserve"> </w:t>
      </w:r>
      <w:r w:rsidRPr="00E73F6F">
        <w:t>Kommunikationskanäle</w:t>
      </w:r>
      <w:r w:rsidRPr="00E73F6F">
        <w:rPr>
          <w:spacing w:val="-11"/>
        </w:rPr>
        <w:t xml:space="preserve"> </w:t>
      </w:r>
      <w:r w:rsidRPr="00E73F6F">
        <w:t>nur</w:t>
      </w:r>
      <w:r w:rsidRPr="00E73F6F">
        <w:rPr>
          <w:spacing w:val="-11"/>
        </w:rPr>
        <w:t xml:space="preserve"> </w:t>
      </w:r>
      <w:r w:rsidRPr="00E73F6F">
        <w:t>von</w:t>
      </w:r>
      <w:r w:rsidRPr="00E73F6F">
        <w:rPr>
          <w:spacing w:val="-11"/>
        </w:rPr>
        <w:t xml:space="preserve"> </w:t>
      </w:r>
      <w:r w:rsidRPr="00E73F6F">
        <w:t>oben</w:t>
      </w:r>
      <w:r w:rsidRPr="00E73F6F">
        <w:rPr>
          <w:spacing w:val="-12"/>
        </w:rPr>
        <w:t xml:space="preserve"> </w:t>
      </w:r>
      <w:r w:rsidRPr="00E73F6F">
        <w:t>nach</w:t>
      </w:r>
      <w:r w:rsidRPr="00E73F6F">
        <w:rPr>
          <w:spacing w:val="-10"/>
        </w:rPr>
        <w:t xml:space="preserve"> </w:t>
      </w:r>
      <w:r w:rsidRPr="00E73F6F">
        <w:t>unten offen, liegt die Verantwortung beim Trainer. Er/Sie muss sicherstellen, dass vermitteltes</w:t>
      </w:r>
      <w:r w:rsidRPr="00E73F6F">
        <w:rPr>
          <w:spacing w:val="41"/>
        </w:rPr>
        <w:t xml:space="preserve"> </w:t>
      </w:r>
      <w:r w:rsidRPr="00E73F6F">
        <w:t>Wissen</w:t>
      </w:r>
      <w:r w:rsidRPr="00E73F6F">
        <w:rPr>
          <w:spacing w:val="45"/>
        </w:rPr>
        <w:t xml:space="preserve"> </w:t>
      </w:r>
      <w:r w:rsidRPr="00E73F6F">
        <w:t>klar,</w:t>
      </w:r>
      <w:r w:rsidRPr="00E73F6F">
        <w:rPr>
          <w:spacing w:val="44"/>
        </w:rPr>
        <w:t xml:space="preserve"> </w:t>
      </w:r>
      <w:r w:rsidRPr="00E73F6F">
        <w:t>eindeutig</w:t>
      </w:r>
      <w:r w:rsidRPr="00E73F6F">
        <w:rPr>
          <w:spacing w:val="42"/>
        </w:rPr>
        <w:t xml:space="preserve"> </w:t>
      </w:r>
      <w:r w:rsidRPr="00E73F6F">
        <w:t>und</w:t>
      </w:r>
      <w:r w:rsidRPr="00E73F6F">
        <w:rPr>
          <w:spacing w:val="42"/>
        </w:rPr>
        <w:t xml:space="preserve"> </w:t>
      </w:r>
      <w:r w:rsidRPr="00E73F6F">
        <w:t>vollständig</w:t>
      </w:r>
      <w:r w:rsidRPr="00E73F6F">
        <w:rPr>
          <w:spacing w:val="45"/>
        </w:rPr>
        <w:t xml:space="preserve"> </w:t>
      </w:r>
      <w:r w:rsidRPr="00E73F6F">
        <w:t>ist“</w:t>
      </w:r>
      <w:r w:rsidRPr="00E73F6F">
        <w:rPr>
          <w:spacing w:val="43"/>
        </w:rPr>
        <w:t xml:space="preserve"> </w:t>
      </w:r>
      <w:r w:rsidRPr="00E73F6F">
        <w:t>(Härdle</w:t>
      </w:r>
      <w:r w:rsidRPr="00E73F6F">
        <w:rPr>
          <w:spacing w:val="43"/>
        </w:rPr>
        <w:t xml:space="preserve"> </w:t>
      </w:r>
      <w:r w:rsidRPr="00E73F6F">
        <w:t>2020,</w:t>
      </w:r>
      <w:r w:rsidRPr="00E73F6F">
        <w:rPr>
          <w:spacing w:val="45"/>
        </w:rPr>
        <w:t xml:space="preserve"> </w:t>
      </w:r>
      <w:r w:rsidRPr="00E73F6F">
        <w:rPr>
          <w:spacing w:val="-2"/>
        </w:rPr>
        <w:t>S.21).</w:t>
      </w:r>
      <w:r w:rsidR="00B85FE4">
        <w:rPr>
          <w:spacing w:val="-2"/>
        </w:rPr>
        <w:t xml:space="preserve"> </w:t>
      </w:r>
      <w:r w:rsidRPr="00E73F6F">
        <w:t>Nachfragen,</w:t>
      </w:r>
      <w:r w:rsidRPr="00E73F6F">
        <w:rPr>
          <w:spacing w:val="-7"/>
        </w:rPr>
        <w:t xml:space="preserve"> </w:t>
      </w:r>
      <w:r w:rsidRPr="00E73F6F">
        <w:t>Bitten</w:t>
      </w:r>
      <w:r w:rsidRPr="00E73F6F">
        <w:rPr>
          <w:spacing w:val="-9"/>
        </w:rPr>
        <w:t xml:space="preserve"> </w:t>
      </w:r>
      <w:r w:rsidRPr="00E73F6F">
        <w:t>um</w:t>
      </w:r>
      <w:r w:rsidRPr="00E73F6F">
        <w:rPr>
          <w:spacing w:val="-9"/>
        </w:rPr>
        <w:t xml:space="preserve"> </w:t>
      </w:r>
      <w:r w:rsidRPr="00E73F6F">
        <w:t>Wiederholung</w:t>
      </w:r>
      <w:r w:rsidRPr="00E73F6F">
        <w:rPr>
          <w:spacing w:val="-9"/>
        </w:rPr>
        <w:t xml:space="preserve"> </w:t>
      </w:r>
      <w:r w:rsidRPr="00E73F6F">
        <w:t>oder</w:t>
      </w:r>
      <w:r w:rsidRPr="00E73F6F">
        <w:rPr>
          <w:spacing w:val="-8"/>
        </w:rPr>
        <w:t xml:space="preserve"> </w:t>
      </w:r>
      <w:r w:rsidRPr="00E73F6F">
        <w:t>andersartige</w:t>
      </w:r>
      <w:r w:rsidRPr="00E73F6F">
        <w:rPr>
          <w:spacing w:val="-8"/>
        </w:rPr>
        <w:t xml:space="preserve"> </w:t>
      </w:r>
      <w:r w:rsidRPr="00E73F6F">
        <w:t>Erklärung</w:t>
      </w:r>
      <w:r w:rsidRPr="00E73F6F">
        <w:rPr>
          <w:spacing w:val="-9"/>
        </w:rPr>
        <w:t xml:space="preserve"> </w:t>
      </w:r>
      <w:r w:rsidRPr="00E73F6F">
        <w:t>würden</w:t>
      </w:r>
      <w:r w:rsidRPr="00E73F6F">
        <w:rPr>
          <w:spacing w:val="-9"/>
        </w:rPr>
        <w:t xml:space="preserve"> </w:t>
      </w:r>
      <w:r w:rsidRPr="00E73F6F">
        <w:t>dort</w:t>
      </w:r>
      <w:r w:rsidRPr="00E73F6F">
        <w:rPr>
          <w:spacing w:val="-10"/>
        </w:rPr>
        <w:t xml:space="preserve"> </w:t>
      </w:r>
      <w:r w:rsidRPr="00E73F6F">
        <w:t>als Kritik am Trainer aufgefasst.</w:t>
      </w:r>
    </w:p>
    <w:p w14:paraId="2E785B37" w14:textId="77777777" w:rsidR="00FF7799" w:rsidRDefault="00FF7799" w:rsidP="005C1BC0">
      <w:pPr>
        <w:pStyle w:val="StandardText"/>
      </w:pPr>
      <w:r w:rsidRPr="00E73F6F">
        <w:t>„Ähnliches gilt für das Problemlösungsverhalten in Teams mit mehreren Hierarchieebenen. Wir erwarten hierzulande, dass sich Mitarbeiter mit eigenen Ideen in den Lösungsprozess einbringen, auch wenn diese nicht identisch mit denen des ‘Seniors‘ sind. In einem Land mit ausgeprägter Hierarchie hingegen wartet man oft vergeblich auf Ideen der Teammitglieder: Solange</w:t>
      </w:r>
      <w:r w:rsidRPr="00E73F6F">
        <w:rPr>
          <w:spacing w:val="-3"/>
        </w:rPr>
        <w:t xml:space="preserve"> </w:t>
      </w:r>
      <w:r w:rsidRPr="00E73F6F">
        <w:t>die nicht sicher sind,</w:t>
      </w:r>
      <w:r w:rsidRPr="00E73F6F">
        <w:rPr>
          <w:spacing w:val="-4"/>
        </w:rPr>
        <w:t xml:space="preserve"> </w:t>
      </w:r>
      <w:r w:rsidRPr="00E73F6F">
        <w:t>dass</w:t>
      </w:r>
      <w:r w:rsidRPr="00E73F6F">
        <w:rPr>
          <w:spacing w:val="-3"/>
        </w:rPr>
        <w:t xml:space="preserve"> </w:t>
      </w:r>
      <w:r w:rsidRPr="00E73F6F">
        <w:t>die</w:t>
      </w:r>
      <w:r w:rsidRPr="00E73F6F">
        <w:rPr>
          <w:spacing w:val="-2"/>
        </w:rPr>
        <w:t xml:space="preserve"> </w:t>
      </w:r>
      <w:r w:rsidRPr="00E73F6F">
        <w:t>eigenen</w:t>
      </w:r>
      <w:r w:rsidRPr="00E73F6F">
        <w:rPr>
          <w:spacing w:val="-3"/>
        </w:rPr>
        <w:t xml:space="preserve"> </w:t>
      </w:r>
      <w:r w:rsidRPr="00E73F6F">
        <w:t>Ideen</w:t>
      </w:r>
      <w:r w:rsidRPr="00E73F6F">
        <w:rPr>
          <w:spacing w:val="-3"/>
        </w:rPr>
        <w:t xml:space="preserve"> </w:t>
      </w:r>
      <w:r w:rsidRPr="00E73F6F">
        <w:t>denen</w:t>
      </w:r>
      <w:r w:rsidRPr="00E73F6F">
        <w:rPr>
          <w:spacing w:val="-1"/>
        </w:rPr>
        <w:t xml:space="preserve"> </w:t>
      </w:r>
      <w:r w:rsidRPr="00E73F6F">
        <w:t>der</w:t>
      </w:r>
      <w:r w:rsidRPr="00E73F6F">
        <w:rPr>
          <w:spacing w:val="-2"/>
        </w:rPr>
        <w:t xml:space="preserve"> </w:t>
      </w:r>
      <w:r w:rsidRPr="00E73F6F">
        <w:t>Führungskraft</w:t>
      </w:r>
      <w:r w:rsidRPr="00E73F6F">
        <w:rPr>
          <w:spacing w:val="-2"/>
        </w:rPr>
        <w:t xml:space="preserve"> </w:t>
      </w:r>
      <w:r w:rsidRPr="00E73F6F">
        <w:t>entsprechen,</w:t>
      </w:r>
      <w:r w:rsidRPr="00E73F6F">
        <w:rPr>
          <w:spacing w:val="-4"/>
        </w:rPr>
        <w:t xml:space="preserve"> </w:t>
      </w:r>
      <w:r w:rsidRPr="00E73F6F">
        <w:t>passiert</w:t>
      </w:r>
      <w:r w:rsidRPr="00E73F6F">
        <w:rPr>
          <w:spacing w:val="-2"/>
        </w:rPr>
        <w:t xml:space="preserve"> </w:t>
      </w:r>
      <w:r w:rsidRPr="00E73F6F">
        <w:t>nichts. Deutsche</w:t>
      </w:r>
      <w:r w:rsidRPr="00E73F6F">
        <w:rPr>
          <w:spacing w:val="-11"/>
        </w:rPr>
        <w:t xml:space="preserve"> </w:t>
      </w:r>
      <w:r w:rsidRPr="00E73F6F">
        <w:t>Produktionsleiter</w:t>
      </w:r>
      <w:r w:rsidRPr="00E73F6F">
        <w:rPr>
          <w:spacing w:val="-10"/>
        </w:rPr>
        <w:t xml:space="preserve"> </w:t>
      </w:r>
      <w:r w:rsidRPr="00E73F6F">
        <w:t>kostet</w:t>
      </w:r>
      <w:r w:rsidRPr="00E73F6F">
        <w:rPr>
          <w:spacing w:val="-12"/>
        </w:rPr>
        <w:t xml:space="preserve"> </w:t>
      </w:r>
      <w:r w:rsidRPr="00E73F6F">
        <w:t>es</w:t>
      </w:r>
      <w:r w:rsidRPr="00E73F6F">
        <w:rPr>
          <w:spacing w:val="-10"/>
        </w:rPr>
        <w:t xml:space="preserve"> </w:t>
      </w:r>
      <w:r w:rsidRPr="00E73F6F">
        <w:t>an</w:t>
      </w:r>
      <w:r w:rsidRPr="00E73F6F">
        <w:rPr>
          <w:spacing w:val="-9"/>
        </w:rPr>
        <w:t xml:space="preserve"> </w:t>
      </w:r>
      <w:r w:rsidRPr="00E73F6F">
        <w:t>den</w:t>
      </w:r>
      <w:r w:rsidRPr="00E73F6F">
        <w:rPr>
          <w:spacing w:val="-6"/>
        </w:rPr>
        <w:t xml:space="preserve"> </w:t>
      </w:r>
      <w:r w:rsidRPr="00E73F6F">
        <w:t>Werkbänken</w:t>
      </w:r>
      <w:r w:rsidRPr="00E73F6F">
        <w:rPr>
          <w:spacing w:val="-9"/>
        </w:rPr>
        <w:t xml:space="preserve"> </w:t>
      </w:r>
      <w:r w:rsidRPr="00E73F6F">
        <w:t>und</w:t>
      </w:r>
      <w:r w:rsidRPr="00E73F6F">
        <w:rPr>
          <w:spacing w:val="-9"/>
        </w:rPr>
        <w:t xml:space="preserve"> </w:t>
      </w:r>
      <w:r w:rsidRPr="00E73F6F">
        <w:t>Fließbändern</w:t>
      </w:r>
      <w:r w:rsidRPr="00E73F6F">
        <w:rPr>
          <w:spacing w:val="-9"/>
        </w:rPr>
        <w:t xml:space="preserve"> </w:t>
      </w:r>
      <w:r w:rsidRPr="00E73F6F">
        <w:t>Asiens viel</w:t>
      </w:r>
      <w:r w:rsidRPr="00E73F6F">
        <w:rPr>
          <w:spacing w:val="-5"/>
        </w:rPr>
        <w:t xml:space="preserve"> </w:t>
      </w:r>
      <w:r w:rsidRPr="00E73F6F">
        <w:t>Zeit,</w:t>
      </w:r>
      <w:r w:rsidRPr="00E73F6F">
        <w:rPr>
          <w:spacing w:val="-5"/>
        </w:rPr>
        <w:t xml:space="preserve"> </w:t>
      </w:r>
      <w:r w:rsidRPr="00E73F6F">
        <w:t>ihre</w:t>
      </w:r>
      <w:r w:rsidRPr="00E73F6F">
        <w:rPr>
          <w:spacing w:val="-6"/>
        </w:rPr>
        <w:t xml:space="preserve"> </w:t>
      </w:r>
      <w:r w:rsidRPr="00E73F6F">
        <w:t>Mitarbeiter</w:t>
      </w:r>
      <w:r w:rsidRPr="00E73F6F">
        <w:rPr>
          <w:spacing w:val="-5"/>
        </w:rPr>
        <w:t xml:space="preserve"> </w:t>
      </w:r>
      <w:r w:rsidRPr="00E73F6F">
        <w:t>so</w:t>
      </w:r>
      <w:r w:rsidRPr="00E73F6F">
        <w:rPr>
          <w:spacing w:val="-5"/>
        </w:rPr>
        <w:t xml:space="preserve"> </w:t>
      </w:r>
      <w:r w:rsidRPr="00E73F6F">
        <w:t>auszubilden,</w:t>
      </w:r>
      <w:r w:rsidRPr="00E73F6F">
        <w:rPr>
          <w:spacing w:val="-7"/>
        </w:rPr>
        <w:t xml:space="preserve"> </w:t>
      </w:r>
      <w:r w:rsidRPr="00E73F6F">
        <w:t>dass</w:t>
      </w:r>
      <w:r w:rsidRPr="00E73F6F">
        <w:rPr>
          <w:spacing w:val="-6"/>
        </w:rPr>
        <w:t xml:space="preserve"> </w:t>
      </w:r>
      <w:r w:rsidRPr="00E73F6F">
        <w:t>sie</w:t>
      </w:r>
      <w:r w:rsidRPr="00E73F6F">
        <w:rPr>
          <w:spacing w:val="-6"/>
        </w:rPr>
        <w:t xml:space="preserve"> </w:t>
      </w:r>
      <w:r w:rsidRPr="00E73F6F">
        <w:t>Probleme</w:t>
      </w:r>
      <w:r w:rsidRPr="00E73F6F">
        <w:rPr>
          <w:spacing w:val="-6"/>
        </w:rPr>
        <w:t xml:space="preserve"> </w:t>
      </w:r>
      <w:r w:rsidRPr="00E73F6F">
        <w:t>im</w:t>
      </w:r>
      <w:r w:rsidRPr="00E73F6F">
        <w:rPr>
          <w:spacing w:val="-6"/>
        </w:rPr>
        <w:t xml:space="preserve"> </w:t>
      </w:r>
      <w:r w:rsidRPr="00E73F6F">
        <w:t>Produktionsablauf melden, Verbesserungsvorschläge machen und Feedback geben. Denn nach ihrer Logik bedeuten diese Aktionen einen möglichen Gesichtsverlust für die Führungskraft“ (Härdle 2020, S.21).</w:t>
      </w:r>
    </w:p>
    <w:p w14:paraId="5A5027DE" w14:textId="77777777" w:rsidR="00FF7799" w:rsidRPr="005B7E3A" w:rsidRDefault="00FF7799" w:rsidP="005C1BC0">
      <w:pPr>
        <w:pStyle w:val="StandardText"/>
        <w:rPr>
          <w:spacing w:val="-4"/>
          <w:sz w:val="22"/>
          <w:szCs w:val="22"/>
        </w:rPr>
      </w:pPr>
      <w:r w:rsidRPr="005B7E3A">
        <w:rPr>
          <w:b/>
          <w:i/>
          <w:sz w:val="22"/>
          <w:szCs w:val="22"/>
        </w:rPr>
        <w:t>Literatur</w:t>
      </w:r>
      <w:r w:rsidRPr="005B7E3A">
        <w:rPr>
          <w:i/>
          <w:sz w:val="22"/>
          <w:szCs w:val="22"/>
        </w:rPr>
        <w:t>:</w:t>
      </w:r>
      <w:r w:rsidRPr="005B7E3A">
        <w:rPr>
          <w:spacing w:val="-2"/>
          <w:sz w:val="22"/>
          <w:szCs w:val="22"/>
        </w:rPr>
        <w:t xml:space="preserve"> </w:t>
      </w:r>
      <w:r w:rsidRPr="005B7E3A">
        <w:rPr>
          <w:sz w:val="22"/>
          <w:szCs w:val="22"/>
        </w:rPr>
        <w:t>Härdle,</w:t>
      </w:r>
      <w:r w:rsidRPr="005B7E3A">
        <w:rPr>
          <w:spacing w:val="-5"/>
          <w:sz w:val="22"/>
          <w:szCs w:val="22"/>
        </w:rPr>
        <w:t xml:space="preserve"> </w:t>
      </w:r>
      <w:r w:rsidRPr="005B7E3A">
        <w:rPr>
          <w:sz w:val="22"/>
          <w:szCs w:val="22"/>
        </w:rPr>
        <w:t>B.</w:t>
      </w:r>
      <w:r w:rsidRPr="005B7E3A">
        <w:rPr>
          <w:spacing w:val="-2"/>
          <w:sz w:val="22"/>
          <w:szCs w:val="22"/>
        </w:rPr>
        <w:t xml:space="preserve"> </w:t>
      </w:r>
      <w:r w:rsidRPr="005B7E3A">
        <w:rPr>
          <w:sz w:val="22"/>
          <w:szCs w:val="22"/>
        </w:rPr>
        <w:t>(2020):</w:t>
      </w:r>
      <w:r w:rsidRPr="005B7E3A">
        <w:rPr>
          <w:spacing w:val="-3"/>
          <w:sz w:val="22"/>
          <w:szCs w:val="22"/>
        </w:rPr>
        <w:t xml:space="preserve"> </w:t>
      </w:r>
      <w:r w:rsidRPr="005B7E3A">
        <w:rPr>
          <w:sz w:val="22"/>
          <w:szCs w:val="22"/>
        </w:rPr>
        <w:t>Wenn</w:t>
      </w:r>
      <w:r w:rsidRPr="005B7E3A">
        <w:rPr>
          <w:spacing w:val="-4"/>
          <w:sz w:val="22"/>
          <w:szCs w:val="22"/>
        </w:rPr>
        <w:t xml:space="preserve"> </w:t>
      </w:r>
      <w:r w:rsidRPr="005B7E3A">
        <w:rPr>
          <w:sz w:val="22"/>
          <w:szCs w:val="22"/>
        </w:rPr>
        <w:t>ein</w:t>
      </w:r>
      <w:r w:rsidRPr="005B7E3A">
        <w:rPr>
          <w:spacing w:val="-4"/>
          <w:sz w:val="22"/>
          <w:szCs w:val="22"/>
        </w:rPr>
        <w:t xml:space="preserve"> </w:t>
      </w:r>
      <w:r w:rsidRPr="005B7E3A">
        <w:rPr>
          <w:sz w:val="22"/>
          <w:szCs w:val="22"/>
        </w:rPr>
        <w:t>Ja</w:t>
      </w:r>
      <w:r w:rsidRPr="005B7E3A">
        <w:rPr>
          <w:spacing w:val="-4"/>
          <w:sz w:val="22"/>
          <w:szCs w:val="22"/>
        </w:rPr>
        <w:t xml:space="preserve"> </w:t>
      </w:r>
      <w:r w:rsidRPr="005B7E3A">
        <w:rPr>
          <w:sz w:val="22"/>
          <w:szCs w:val="22"/>
        </w:rPr>
        <w:t>ein</w:t>
      </w:r>
      <w:r w:rsidRPr="005B7E3A">
        <w:rPr>
          <w:spacing w:val="-4"/>
          <w:sz w:val="22"/>
          <w:szCs w:val="22"/>
        </w:rPr>
        <w:t xml:space="preserve"> </w:t>
      </w:r>
      <w:r w:rsidRPr="005B7E3A">
        <w:rPr>
          <w:sz w:val="22"/>
          <w:szCs w:val="22"/>
        </w:rPr>
        <w:t>Jein</w:t>
      </w:r>
      <w:r w:rsidRPr="005B7E3A">
        <w:rPr>
          <w:spacing w:val="-4"/>
          <w:sz w:val="22"/>
          <w:szCs w:val="22"/>
        </w:rPr>
        <w:t xml:space="preserve"> </w:t>
      </w:r>
      <w:r w:rsidRPr="005B7E3A">
        <w:rPr>
          <w:sz w:val="22"/>
          <w:szCs w:val="22"/>
        </w:rPr>
        <w:t>ist,</w:t>
      </w:r>
      <w:r w:rsidRPr="005B7E3A">
        <w:rPr>
          <w:spacing w:val="-5"/>
          <w:sz w:val="22"/>
          <w:szCs w:val="22"/>
        </w:rPr>
        <w:t xml:space="preserve"> </w:t>
      </w:r>
      <w:r w:rsidRPr="005B7E3A">
        <w:rPr>
          <w:sz w:val="22"/>
          <w:szCs w:val="22"/>
        </w:rPr>
        <w:t>Süddeutsche</w:t>
      </w:r>
      <w:r w:rsidRPr="005B7E3A">
        <w:rPr>
          <w:spacing w:val="-6"/>
          <w:sz w:val="22"/>
          <w:szCs w:val="22"/>
        </w:rPr>
        <w:t xml:space="preserve"> </w:t>
      </w:r>
      <w:r w:rsidRPr="005B7E3A">
        <w:rPr>
          <w:sz w:val="22"/>
          <w:szCs w:val="22"/>
        </w:rPr>
        <w:t>Zeitung,</w:t>
      </w:r>
      <w:r w:rsidRPr="005B7E3A">
        <w:rPr>
          <w:spacing w:val="-5"/>
          <w:sz w:val="22"/>
          <w:szCs w:val="22"/>
        </w:rPr>
        <w:t xml:space="preserve"> </w:t>
      </w:r>
      <w:r w:rsidRPr="005B7E3A">
        <w:rPr>
          <w:sz w:val="22"/>
          <w:szCs w:val="22"/>
        </w:rPr>
        <w:t xml:space="preserve">281: </w:t>
      </w:r>
      <w:r w:rsidRPr="005B7E3A">
        <w:rPr>
          <w:spacing w:val="-4"/>
          <w:sz w:val="22"/>
          <w:szCs w:val="22"/>
        </w:rPr>
        <w:t>21.</w:t>
      </w:r>
    </w:p>
    <w:p w14:paraId="50165626" w14:textId="77777777" w:rsidR="00FF7799" w:rsidRPr="005B7E3A" w:rsidRDefault="00FF7799" w:rsidP="005C1BC0">
      <w:pPr>
        <w:pStyle w:val="StandardText"/>
        <w:rPr>
          <w:sz w:val="22"/>
          <w:szCs w:val="22"/>
        </w:rPr>
      </w:pPr>
    </w:p>
    <w:p w14:paraId="03F3DC3B" w14:textId="77777777" w:rsidR="00FF7799" w:rsidRPr="004F48E5" w:rsidRDefault="00FF7799" w:rsidP="008412AB">
      <w:pPr>
        <w:pStyle w:val="berschrift1"/>
        <w:rPr>
          <w:bCs w:val="0"/>
          <w:color w:val="2E74B5"/>
          <w:sz w:val="22"/>
        </w:rPr>
      </w:pPr>
      <w:r w:rsidRPr="004F48E5">
        <w:rPr>
          <w:bCs w:val="0"/>
          <w:color w:val="2E74B5"/>
          <w:sz w:val="22"/>
        </w:rPr>
        <w:t>Kommunikation, paraverbale</w:t>
      </w:r>
    </w:p>
    <w:p w14:paraId="3D54708A" w14:textId="77777777" w:rsidR="00FF7799" w:rsidRPr="00E73F6F" w:rsidRDefault="00FF7799" w:rsidP="00205FBE">
      <w:pPr>
        <w:pStyle w:val="StandardText"/>
      </w:pPr>
      <w:r w:rsidRPr="00E73F6F">
        <w:t>umfasst</w:t>
      </w:r>
      <w:r w:rsidRPr="00E73F6F">
        <w:rPr>
          <w:spacing w:val="32"/>
        </w:rPr>
        <w:t xml:space="preserve"> </w:t>
      </w:r>
      <w:r w:rsidRPr="00E73F6F">
        <w:t>alle</w:t>
      </w:r>
      <w:r w:rsidRPr="00E73F6F">
        <w:rPr>
          <w:spacing w:val="31"/>
        </w:rPr>
        <w:t xml:space="preserve"> </w:t>
      </w:r>
      <w:r w:rsidRPr="00E73F6F">
        <w:t>Formen</w:t>
      </w:r>
      <w:r w:rsidRPr="00E73F6F">
        <w:rPr>
          <w:spacing w:val="30"/>
        </w:rPr>
        <w:t xml:space="preserve"> </w:t>
      </w:r>
      <w:r w:rsidRPr="00E73F6F">
        <w:t>der</w:t>
      </w:r>
      <w:r w:rsidRPr="00E73F6F">
        <w:rPr>
          <w:spacing w:val="33"/>
        </w:rPr>
        <w:t xml:space="preserve"> </w:t>
      </w:r>
      <w:r w:rsidRPr="00E73F6F">
        <w:t>bspw.</w:t>
      </w:r>
      <w:r w:rsidRPr="00E73F6F">
        <w:rPr>
          <w:spacing w:val="29"/>
        </w:rPr>
        <w:t xml:space="preserve"> </w:t>
      </w:r>
      <w:r w:rsidRPr="00E73F6F">
        <w:t>mündlich-akustischen</w:t>
      </w:r>
      <w:r w:rsidRPr="00E73F6F">
        <w:rPr>
          <w:spacing w:val="33"/>
        </w:rPr>
        <w:t xml:space="preserve"> </w:t>
      </w:r>
      <w:r w:rsidRPr="00E73F6F">
        <w:t>Kommunikation,</w:t>
      </w:r>
      <w:r w:rsidRPr="00E73F6F">
        <w:rPr>
          <w:spacing w:val="33"/>
        </w:rPr>
        <w:t xml:space="preserve"> </w:t>
      </w:r>
      <w:r w:rsidRPr="00E73F6F">
        <w:rPr>
          <w:spacing w:val="-2"/>
        </w:rPr>
        <w:t xml:space="preserve">welche </w:t>
      </w:r>
      <w:r w:rsidRPr="00E73F6F">
        <w:t>„neben“ (= para) der verbalen Kommunikation eingesetzt werden. So vermittelt die Tonhöhe wichtige Informationen, bspw. über den Status, das Geschlecht und die emotionale Verfassung der Sprecher. Gleiches gilt für Stimmlage und Lautstärke. Sprecherwechsel werden, kulturraumspezifisch, durch Heben oder Senken der Tonhöhe, durch Intensivieren oder Vermindern der Lautstärke bzw. durch längeres oder kürzeres Schweigen des Sprechers eingeleitet. Schweigen kann</w:t>
      </w:r>
      <w:r w:rsidRPr="00E73F6F">
        <w:rPr>
          <w:spacing w:val="-12"/>
        </w:rPr>
        <w:t xml:space="preserve"> </w:t>
      </w:r>
      <w:r w:rsidRPr="00E73F6F">
        <w:t>weiterhin</w:t>
      </w:r>
      <w:r w:rsidRPr="00E73F6F">
        <w:rPr>
          <w:spacing w:val="-11"/>
        </w:rPr>
        <w:t xml:space="preserve"> </w:t>
      </w:r>
      <w:r w:rsidRPr="00E73F6F">
        <w:t>Ausdruck</w:t>
      </w:r>
      <w:r w:rsidRPr="00E73F6F">
        <w:rPr>
          <w:spacing w:val="-11"/>
        </w:rPr>
        <w:t xml:space="preserve"> </w:t>
      </w:r>
      <w:r w:rsidRPr="00E73F6F">
        <w:t>von</w:t>
      </w:r>
      <w:r w:rsidRPr="00E73F6F">
        <w:rPr>
          <w:spacing w:val="-11"/>
        </w:rPr>
        <w:t xml:space="preserve"> </w:t>
      </w:r>
      <w:r w:rsidRPr="00E73F6F">
        <w:t>Freundschaft</w:t>
      </w:r>
      <w:r w:rsidRPr="00E73F6F">
        <w:rPr>
          <w:spacing w:val="-12"/>
        </w:rPr>
        <w:t xml:space="preserve"> </w:t>
      </w:r>
      <w:r w:rsidRPr="00E73F6F">
        <w:t>und</w:t>
      </w:r>
      <w:r w:rsidRPr="00E73F6F">
        <w:rPr>
          <w:spacing w:val="-11"/>
        </w:rPr>
        <w:t xml:space="preserve"> </w:t>
      </w:r>
      <w:r w:rsidRPr="00E73F6F">
        <w:t>wechselseitigem</w:t>
      </w:r>
      <w:r w:rsidRPr="00E73F6F">
        <w:rPr>
          <w:spacing w:val="-11"/>
        </w:rPr>
        <w:t xml:space="preserve"> </w:t>
      </w:r>
      <w:r w:rsidRPr="00E73F6F">
        <w:t>Verständnis,</w:t>
      </w:r>
      <w:r w:rsidRPr="00E73F6F">
        <w:rPr>
          <w:spacing w:val="-11"/>
        </w:rPr>
        <w:t xml:space="preserve"> </w:t>
      </w:r>
      <w:r w:rsidRPr="00E73F6F">
        <w:t xml:space="preserve">aber auch Mittel der Konfrontation oder Eingeständnis einer Niederlage (Fehlers etc.) </w:t>
      </w:r>
      <w:r w:rsidRPr="00E73F6F">
        <w:rPr>
          <w:spacing w:val="-2"/>
        </w:rPr>
        <w:t>sein.</w:t>
      </w:r>
    </w:p>
    <w:p w14:paraId="6B6E454F" w14:textId="77777777" w:rsidR="00FF7799" w:rsidRDefault="00FF7799" w:rsidP="00205FBE">
      <w:pPr>
        <w:pStyle w:val="StandardText"/>
        <w:rPr>
          <w:spacing w:val="-2"/>
          <w:sz w:val="22"/>
          <w:szCs w:val="22"/>
        </w:rPr>
      </w:pPr>
      <w:r w:rsidRPr="005B7E3A">
        <w:rPr>
          <w:b/>
          <w:i/>
          <w:sz w:val="22"/>
          <w:szCs w:val="22"/>
        </w:rPr>
        <w:t>Literatur:</w:t>
      </w:r>
      <w:r w:rsidRPr="005B7E3A">
        <w:rPr>
          <w:b/>
          <w:sz w:val="22"/>
          <w:szCs w:val="22"/>
        </w:rPr>
        <w:t xml:space="preserve"> </w:t>
      </w:r>
      <w:r w:rsidRPr="005B7E3A">
        <w:rPr>
          <w:sz w:val="22"/>
          <w:szCs w:val="22"/>
        </w:rPr>
        <w:t>Müller, S.; Gelbrich, K. (2013): Interkulturelle Kommunikation, München:</w:t>
      </w:r>
      <w:r w:rsidRPr="005B7E3A">
        <w:rPr>
          <w:spacing w:val="40"/>
          <w:sz w:val="22"/>
          <w:szCs w:val="22"/>
        </w:rPr>
        <w:t xml:space="preserve"> </w:t>
      </w:r>
      <w:r w:rsidRPr="005B7E3A">
        <w:rPr>
          <w:spacing w:val="-2"/>
          <w:sz w:val="22"/>
          <w:szCs w:val="22"/>
        </w:rPr>
        <w:t>Vahlen.</w:t>
      </w:r>
    </w:p>
    <w:p w14:paraId="6ADFC6F7" w14:textId="77777777" w:rsidR="004F48E5" w:rsidRPr="005B7E3A" w:rsidRDefault="004F48E5" w:rsidP="00205FBE">
      <w:pPr>
        <w:pStyle w:val="StandardText"/>
        <w:rPr>
          <w:sz w:val="22"/>
          <w:szCs w:val="22"/>
        </w:rPr>
      </w:pPr>
    </w:p>
    <w:p w14:paraId="048160A1" w14:textId="77777777" w:rsidR="001E58F5" w:rsidRPr="007F69DA" w:rsidRDefault="001E58F5" w:rsidP="001E58F5">
      <w:pPr>
        <w:keepNext/>
        <w:keepLines/>
        <w:spacing w:before="240"/>
        <w:jc w:val="both"/>
        <w:outlineLvl w:val="1"/>
      </w:pPr>
      <w:r w:rsidRPr="004F48E5">
        <w:rPr>
          <w:b/>
          <w:color w:val="2E74B5"/>
        </w:rPr>
        <w:t>Kommunikationsfähigkeit, interkulturelle</w:t>
      </w:r>
      <w:r w:rsidRPr="007F69DA">
        <w:rPr>
          <w:b/>
          <w:color w:val="2E74B5"/>
        </w:rPr>
        <w:t xml:space="preserve"> </w:t>
      </w:r>
      <w:r w:rsidRPr="007F69DA">
        <w:sym w:font="Symbol" w:char="F0AE"/>
      </w:r>
      <w:r w:rsidRPr="007F69DA">
        <w:t xml:space="preserve"> Kompetenz, interkulturelle</w:t>
      </w:r>
    </w:p>
    <w:p w14:paraId="5B6DF4EA" w14:textId="77777777" w:rsidR="00FF7799" w:rsidRPr="004F48E5" w:rsidRDefault="00FF7799" w:rsidP="00260649">
      <w:pPr>
        <w:pStyle w:val="berschrift1"/>
        <w:rPr>
          <w:bCs w:val="0"/>
          <w:color w:val="2E74B5"/>
          <w:sz w:val="22"/>
        </w:rPr>
      </w:pPr>
      <w:r w:rsidRPr="004F48E5">
        <w:rPr>
          <w:bCs w:val="0"/>
          <w:color w:val="2E74B5"/>
          <w:sz w:val="22"/>
        </w:rPr>
        <w:t>Kompensationsgeschäfte</w:t>
      </w:r>
    </w:p>
    <w:p w14:paraId="24599F8F" w14:textId="77777777" w:rsidR="00FF7799" w:rsidRPr="00E73F6F" w:rsidRDefault="00FF7799" w:rsidP="00131E3E">
      <w:pPr>
        <w:pStyle w:val="StandardText"/>
      </w:pPr>
      <w:r w:rsidRPr="00E73F6F">
        <w:t>Urform wirtschaftlichen Handelns. Kennzeichnend für diese Spielart des internationalen Handels ist, dass einem Geschäft (unmittelbar oder mit einer gewissen zeitlichen Verzögerung) ein Gegengeschäft folgt. Dabei muss sich der Exporteur zumeist mit einem geringeren Erlös zufrieden geben und sich auf komplexere, d.h. risikoreichere Transaktionen einlassen (vgl. Berndt et al. 1997, S.237; Weigand 1993, S.65ff.).</w:t>
      </w:r>
    </w:p>
    <w:p w14:paraId="1D4AFE0E" w14:textId="77777777" w:rsidR="00FF7799" w:rsidRPr="00E73F6F" w:rsidRDefault="00FF7799" w:rsidP="00862DBA">
      <w:pPr>
        <w:spacing w:before="10"/>
        <w:rPr>
          <w:sz w:val="24"/>
          <w:szCs w:val="24"/>
        </w:rPr>
      </w:pPr>
    </w:p>
    <w:p w14:paraId="61010F0A" w14:textId="77777777" w:rsidR="00FF7799" w:rsidRPr="005B7E3A" w:rsidRDefault="00FF7799" w:rsidP="00687806">
      <w:pPr>
        <w:pStyle w:val="StandardTextkursiv"/>
        <w:rPr>
          <w:i w:val="0"/>
        </w:rPr>
      </w:pPr>
      <w:r w:rsidRPr="005B7E3A">
        <w:rPr>
          <w:i w:val="0"/>
        </w:rPr>
        <w:lastRenderedPageBreak/>
        <w:t>1 Überblick</w:t>
      </w:r>
    </w:p>
    <w:p w14:paraId="00AAD611" w14:textId="77777777" w:rsidR="00FF7799" w:rsidRPr="005B7E3A" w:rsidRDefault="00FF7799" w:rsidP="00687806">
      <w:pPr>
        <w:pStyle w:val="StandardTextkursiv"/>
        <w:rPr>
          <w:i w:val="0"/>
        </w:rPr>
      </w:pPr>
      <w:r w:rsidRPr="005B7E3A">
        <w:rPr>
          <w:i w:val="0"/>
        </w:rPr>
        <w:t>1.1 Handelskompensationsgeschäfte</w:t>
      </w:r>
    </w:p>
    <w:p w14:paraId="34E2FF13" w14:textId="77777777" w:rsidR="00FF7799" w:rsidRPr="00E73F6F" w:rsidRDefault="00FF7799" w:rsidP="00687806">
      <w:pPr>
        <w:pStyle w:val="StandardText"/>
      </w:pPr>
      <w:r w:rsidRPr="00E73F6F">
        <w:t>Bartering ist die älteste und „primitivste“ Form des internationalen Handels: Exporteur</w:t>
      </w:r>
      <w:r w:rsidRPr="00E73F6F">
        <w:rPr>
          <w:spacing w:val="-6"/>
        </w:rPr>
        <w:t xml:space="preserve"> </w:t>
      </w:r>
      <w:r w:rsidRPr="00E73F6F">
        <w:t>und</w:t>
      </w:r>
      <w:r w:rsidRPr="00E73F6F">
        <w:rPr>
          <w:spacing w:val="-4"/>
        </w:rPr>
        <w:t xml:space="preserve"> </w:t>
      </w:r>
      <w:r w:rsidRPr="00E73F6F">
        <w:t>Importeur</w:t>
      </w:r>
      <w:r w:rsidRPr="00E73F6F">
        <w:rPr>
          <w:spacing w:val="-6"/>
        </w:rPr>
        <w:t xml:space="preserve"> </w:t>
      </w:r>
      <w:r w:rsidRPr="00E73F6F">
        <w:t>tauschen</w:t>
      </w:r>
      <w:r w:rsidRPr="00E73F6F">
        <w:rPr>
          <w:spacing w:val="-4"/>
        </w:rPr>
        <w:t xml:space="preserve"> </w:t>
      </w:r>
      <w:r w:rsidRPr="00E73F6F">
        <w:t>unmittelbar</w:t>
      </w:r>
      <w:r w:rsidRPr="00E73F6F">
        <w:rPr>
          <w:spacing w:val="-5"/>
        </w:rPr>
        <w:t xml:space="preserve"> </w:t>
      </w:r>
      <w:r w:rsidRPr="00E73F6F">
        <w:t>reale</w:t>
      </w:r>
      <w:r w:rsidRPr="00E73F6F">
        <w:rPr>
          <w:spacing w:val="-5"/>
        </w:rPr>
        <w:t xml:space="preserve"> </w:t>
      </w:r>
      <w:r w:rsidRPr="00E73F6F">
        <w:t>Waren</w:t>
      </w:r>
      <w:r w:rsidRPr="00E73F6F">
        <w:rPr>
          <w:spacing w:val="-5"/>
        </w:rPr>
        <w:t xml:space="preserve"> </w:t>
      </w:r>
      <w:r w:rsidRPr="00E73F6F">
        <w:t>und</w:t>
      </w:r>
      <w:r w:rsidRPr="00E73F6F">
        <w:rPr>
          <w:spacing w:val="-4"/>
        </w:rPr>
        <w:t xml:space="preserve"> </w:t>
      </w:r>
      <w:r w:rsidRPr="00E73F6F">
        <w:t>Dienstleistungen „Zug um Zug“. Weil es häufig schwierig ist, für die Gegenleistung (z.B. Bananen, die für eine Lieferung Landmaschinen in Zahlung gegeben werden sollen)</w:t>
      </w:r>
      <w:r w:rsidRPr="00E73F6F">
        <w:rPr>
          <w:spacing w:val="-4"/>
        </w:rPr>
        <w:t xml:space="preserve"> </w:t>
      </w:r>
      <w:r w:rsidRPr="00E73F6F">
        <w:t>eine</w:t>
      </w:r>
      <w:r w:rsidRPr="00E73F6F">
        <w:rPr>
          <w:spacing w:val="-5"/>
        </w:rPr>
        <w:t xml:space="preserve"> </w:t>
      </w:r>
      <w:r w:rsidRPr="00E73F6F">
        <w:t>Verwertungsmöglichkeit</w:t>
      </w:r>
      <w:r w:rsidRPr="00E73F6F">
        <w:rPr>
          <w:spacing w:val="-4"/>
        </w:rPr>
        <w:t xml:space="preserve"> </w:t>
      </w:r>
      <w:r w:rsidRPr="00E73F6F">
        <w:t>zu</w:t>
      </w:r>
      <w:r w:rsidRPr="00E73F6F">
        <w:rPr>
          <w:spacing w:val="-3"/>
        </w:rPr>
        <w:t xml:space="preserve"> </w:t>
      </w:r>
      <w:r w:rsidRPr="00E73F6F">
        <w:t>finden,</w:t>
      </w:r>
      <w:r w:rsidRPr="00E73F6F">
        <w:rPr>
          <w:spacing w:val="-6"/>
        </w:rPr>
        <w:t xml:space="preserve"> </w:t>
      </w:r>
      <w:r w:rsidRPr="00E73F6F">
        <w:t>kommt</w:t>
      </w:r>
      <w:r w:rsidRPr="00E73F6F">
        <w:rPr>
          <w:spacing w:val="-4"/>
        </w:rPr>
        <w:t xml:space="preserve"> </w:t>
      </w:r>
      <w:r w:rsidRPr="00E73F6F">
        <w:t>das</w:t>
      </w:r>
      <w:r w:rsidRPr="00E73F6F">
        <w:rPr>
          <w:spacing w:val="-4"/>
        </w:rPr>
        <w:t xml:space="preserve"> </w:t>
      </w:r>
      <w:r w:rsidRPr="00E73F6F">
        <w:t>reine</w:t>
      </w:r>
      <w:r w:rsidRPr="00E73F6F">
        <w:rPr>
          <w:spacing w:val="-5"/>
        </w:rPr>
        <w:t xml:space="preserve"> </w:t>
      </w:r>
      <w:r w:rsidRPr="00E73F6F">
        <w:t>Barter-Geschäft relativ</w:t>
      </w:r>
      <w:r w:rsidRPr="00E73F6F">
        <w:rPr>
          <w:spacing w:val="-3"/>
        </w:rPr>
        <w:t xml:space="preserve"> </w:t>
      </w:r>
      <w:r w:rsidRPr="00E73F6F">
        <w:t>selten vor.</w:t>
      </w:r>
      <w:r w:rsidRPr="00E73F6F">
        <w:rPr>
          <w:spacing w:val="-2"/>
        </w:rPr>
        <w:t xml:space="preserve"> </w:t>
      </w:r>
      <w:r w:rsidRPr="00E73F6F">
        <w:t>Dies</w:t>
      </w:r>
      <w:r w:rsidRPr="00E73F6F">
        <w:rPr>
          <w:spacing w:val="-1"/>
        </w:rPr>
        <w:t xml:space="preserve"> </w:t>
      </w:r>
      <w:r w:rsidRPr="00E73F6F">
        <w:t>ist</w:t>
      </w:r>
      <w:r w:rsidRPr="00E73F6F">
        <w:rPr>
          <w:spacing w:val="-3"/>
        </w:rPr>
        <w:t xml:space="preserve"> </w:t>
      </w:r>
      <w:r w:rsidRPr="00E73F6F">
        <w:t>insofern</w:t>
      </w:r>
      <w:r w:rsidRPr="00E73F6F">
        <w:rPr>
          <w:spacing w:val="-1"/>
        </w:rPr>
        <w:t xml:space="preserve"> </w:t>
      </w:r>
      <w:r w:rsidRPr="00E73F6F">
        <w:t>erstaunlich,</w:t>
      </w:r>
      <w:r w:rsidRPr="00E73F6F">
        <w:rPr>
          <w:spacing w:val="-1"/>
        </w:rPr>
        <w:t xml:space="preserve"> </w:t>
      </w:r>
      <w:r w:rsidRPr="00E73F6F">
        <w:t>als</w:t>
      </w:r>
      <w:r w:rsidRPr="00E73F6F">
        <w:rPr>
          <w:spacing w:val="-1"/>
        </w:rPr>
        <w:t xml:space="preserve"> </w:t>
      </w:r>
      <w:r w:rsidRPr="00E73F6F">
        <w:t>es,</w:t>
      </w:r>
      <w:r w:rsidRPr="00E73F6F">
        <w:rPr>
          <w:spacing w:val="-2"/>
        </w:rPr>
        <w:t xml:space="preserve"> </w:t>
      </w:r>
      <w:r w:rsidRPr="00E73F6F">
        <w:t>zumindest</w:t>
      </w:r>
      <w:r w:rsidRPr="00E73F6F">
        <w:rPr>
          <w:spacing w:val="-1"/>
        </w:rPr>
        <w:t xml:space="preserve"> </w:t>
      </w:r>
      <w:r w:rsidRPr="00E73F6F">
        <w:t>theoretisch,</w:t>
      </w:r>
      <w:r w:rsidRPr="00E73F6F">
        <w:rPr>
          <w:spacing w:val="-1"/>
        </w:rPr>
        <w:t xml:space="preserve"> </w:t>
      </w:r>
      <w:r w:rsidRPr="00E73F6F">
        <w:rPr>
          <w:spacing w:val="-5"/>
        </w:rPr>
        <w:t xml:space="preserve">zum </w:t>
      </w:r>
      <w:r w:rsidRPr="00E73F6F">
        <w:rPr>
          <w:spacing w:val="-4"/>
        </w:rPr>
        <w:t>→</w:t>
      </w:r>
      <w:r w:rsidRPr="00E73F6F">
        <w:rPr>
          <w:spacing w:val="-3"/>
        </w:rPr>
        <w:t xml:space="preserve"> </w:t>
      </w:r>
      <w:r w:rsidRPr="00E73F6F">
        <w:t>Dumping</w:t>
      </w:r>
      <w:r w:rsidRPr="00E73F6F">
        <w:rPr>
          <w:spacing w:val="-4"/>
        </w:rPr>
        <w:t xml:space="preserve"> </w:t>
      </w:r>
      <w:r w:rsidRPr="00E73F6F">
        <w:t>genutzt</w:t>
      </w:r>
      <w:r w:rsidRPr="00E73F6F">
        <w:rPr>
          <w:spacing w:val="-5"/>
        </w:rPr>
        <w:t xml:space="preserve"> </w:t>
      </w:r>
      <w:r w:rsidRPr="00E73F6F">
        <w:t>werden</w:t>
      </w:r>
      <w:r w:rsidRPr="00E73F6F">
        <w:rPr>
          <w:spacing w:val="-4"/>
        </w:rPr>
        <w:t xml:space="preserve"> </w:t>
      </w:r>
      <w:r w:rsidRPr="00E73F6F">
        <w:t>könnte.</w:t>
      </w:r>
      <w:r w:rsidRPr="00E73F6F">
        <w:rPr>
          <w:spacing w:val="-3"/>
        </w:rPr>
        <w:t xml:space="preserve"> </w:t>
      </w:r>
      <w:r w:rsidRPr="00E73F6F">
        <w:t>Denn</w:t>
      </w:r>
      <w:r w:rsidRPr="00E73F6F">
        <w:rPr>
          <w:spacing w:val="-4"/>
        </w:rPr>
        <w:t xml:space="preserve"> </w:t>
      </w:r>
      <w:r w:rsidRPr="00E73F6F">
        <w:t>beim</w:t>
      </w:r>
      <w:r w:rsidRPr="00E73F6F">
        <w:rPr>
          <w:spacing w:val="-3"/>
        </w:rPr>
        <w:t xml:space="preserve"> </w:t>
      </w:r>
      <w:r w:rsidRPr="00E73F6F">
        <w:t>Bartering</w:t>
      </w:r>
      <w:r w:rsidRPr="00E73F6F">
        <w:rPr>
          <w:spacing w:val="-2"/>
        </w:rPr>
        <w:t xml:space="preserve"> </w:t>
      </w:r>
      <w:r w:rsidRPr="00E73F6F">
        <w:t>werden</w:t>
      </w:r>
      <w:r w:rsidRPr="00E73F6F">
        <w:rPr>
          <w:spacing w:val="-4"/>
        </w:rPr>
        <w:t xml:space="preserve"> </w:t>
      </w:r>
      <w:r w:rsidRPr="00E73F6F">
        <w:t>die</w:t>
      </w:r>
      <w:r w:rsidRPr="00E73F6F">
        <w:rPr>
          <w:spacing w:val="-3"/>
        </w:rPr>
        <w:t xml:space="preserve"> </w:t>
      </w:r>
      <w:r w:rsidRPr="00E73F6F">
        <w:t>Leistungen in</w:t>
      </w:r>
      <w:r w:rsidRPr="00E73F6F">
        <w:rPr>
          <w:spacing w:val="-1"/>
        </w:rPr>
        <w:t xml:space="preserve"> </w:t>
      </w:r>
      <w:r w:rsidRPr="00E73F6F">
        <w:t>keiner</w:t>
      </w:r>
      <w:r w:rsidRPr="00E73F6F">
        <w:rPr>
          <w:spacing w:val="-2"/>
        </w:rPr>
        <w:t xml:space="preserve"> </w:t>
      </w:r>
      <w:r w:rsidRPr="00E73F6F">
        <w:t>Währung fakturiert,</w:t>
      </w:r>
      <w:r w:rsidRPr="00E73F6F">
        <w:rPr>
          <w:spacing w:val="-2"/>
        </w:rPr>
        <w:t xml:space="preserve"> </w:t>
      </w:r>
      <w:r w:rsidRPr="00E73F6F">
        <w:t>weshalb</w:t>
      </w:r>
      <w:r w:rsidRPr="00E73F6F">
        <w:rPr>
          <w:spacing w:val="-3"/>
        </w:rPr>
        <w:t xml:space="preserve"> </w:t>
      </w:r>
      <w:r w:rsidRPr="00E73F6F">
        <w:t>die</w:t>
      </w:r>
      <w:r w:rsidRPr="00E73F6F">
        <w:rPr>
          <w:spacing w:val="-2"/>
        </w:rPr>
        <w:t xml:space="preserve"> </w:t>
      </w:r>
      <w:r w:rsidRPr="00E73F6F">
        <w:t>implizit</w:t>
      </w:r>
      <w:r w:rsidRPr="00E73F6F">
        <w:rPr>
          <w:spacing w:val="-4"/>
        </w:rPr>
        <w:t xml:space="preserve"> </w:t>
      </w:r>
      <w:r w:rsidRPr="00E73F6F">
        <w:t>zugrunde</w:t>
      </w:r>
      <w:r w:rsidRPr="00E73F6F">
        <w:rPr>
          <w:spacing w:val="-3"/>
        </w:rPr>
        <w:t xml:space="preserve"> </w:t>
      </w:r>
      <w:r w:rsidRPr="00E73F6F">
        <w:t>gelegten</w:t>
      </w:r>
      <w:r w:rsidRPr="00E73F6F">
        <w:rPr>
          <w:spacing w:val="-1"/>
        </w:rPr>
        <w:t xml:space="preserve"> </w:t>
      </w:r>
      <w:r w:rsidRPr="00E73F6F">
        <w:t>Preise</w:t>
      </w:r>
      <w:r w:rsidRPr="00E73F6F">
        <w:rPr>
          <w:spacing w:val="-3"/>
        </w:rPr>
        <w:t xml:space="preserve"> </w:t>
      </w:r>
      <w:r w:rsidRPr="00E73F6F">
        <w:t>nicht offen in Erscheinung treten.</w:t>
      </w:r>
    </w:p>
    <w:p w14:paraId="03605EE3" w14:textId="77777777" w:rsidR="00FF7799" w:rsidRPr="00E73F6F" w:rsidRDefault="00FF7799" w:rsidP="00687806">
      <w:pPr>
        <w:pStyle w:val="StandardText"/>
      </w:pPr>
      <w:r w:rsidRPr="00E73F6F">
        <w:t>Um</w:t>
      </w:r>
      <w:r w:rsidRPr="00E73F6F">
        <w:rPr>
          <w:spacing w:val="-4"/>
        </w:rPr>
        <w:t xml:space="preserve"> </w:t>
      </w:r>
      <w:r w:rsidRPr="00E73F6F">
        <w:t>ein</w:t>
      </w:r>
      <w:r w:rsidRPr="00E73F6F">
        <w:rPr>
          <w:spacing w:val="-2"/>
        </w:rPr>
        <w:t xml:space="preserve"> </w:t>
      </w:r>
      <w:r w:rsidRPr="00E73F6F">
        <w:t>Kompensationsgeschäft</w:t>
      </w:r>
      <w:r w:rsidRPr="00E73F6F">
        <w:rPr>
          <w:spacing w:val="-3"/>
        </w:rPr>
        <w:t xml:space="preserve"> </w:t>
      </w:r>
      <w:r w:rsidRPr="00E73F6F">
        <w:t>im</w:t>
      </w:r>
      <w:r w:rsidRPr="00E73F6F">
        <w:rPr>
          <w:spacing w:val="-4"/>
        </w:rPr>
        <w:t xml:space="preserve"> </w:t>
      </w:r>
      <w:r w:rsidRPr="00E73F6F">
        <w:t>engeren</w:t>
      </w:r>
      <w:r w:rsidRPr="00E73F6F">
        <w:rPr>
          <w:spacing w:val="-2"/>
        </w:rPr>
        <w:t xml:space="preserve"> </w:t>
      </w:r>
      <w:r w:rsidRPr="00E73F6F">
        <w:t>Sinne</w:t>
      </w:r>
      <w:r w:rsidRPr="00E73F6F">
        <w:rPr>
          <w:spacing w:val="-6"/>
        </w:rPr>
        <w:t xml:space="preserve"> </w:t>
      </w:r>
      <w:r w:rsidRPr="00E73F6F">
        <w:t>handelt</w:t>
      </w:r>
      <w:r w:rsidRPr="00E73F6F">
        <w:rPr>
          <w:spacing w:val="-5"/>
        </w:rPr>
        <w:t xml:space="preserve"> </w:t>
      </w:r>
      <w:r w:rsidRPr="00E73F6F">
        <w:t>es</w:t>
      </w:r>
      <w:r w:rsidRPr="00E73F6F">
        <w:rPr>
          <w:spacing w:val="-3"/>
        </w:rPr>
        <w:t xml:space="preserve"> </w:t>
      </w:r>
      <w:r w:rsidRPr="00E73F6F">
        <w:t>sich,</w:t>
      </w:r>
      <w:r w:rsidRPr="00E73F6F">
        <w:rPr>
          <w:spacing w:val="-5"/>
        </w:rPr>
        <w:t xml:space="preserve"> </w:t>
      </w:r>
      <w:r w:rsidRPr="00E73F6F">
        <w:t>wenn</w:t>
      </w:r>
      <w:r w:rsidRPr="00E73F6F">
        <w:rPr>
          <w:spacing w:val="-2"/>
        </w:rPr>
        <w:t xml:space="preserve"> </w:t>
      </w:r>
      <w:r w:rsidR="00D42EC4">
        <w:rPr>
          <w:spacing w:val="-2"/>
        </w:rPr>
        <w:sym w:font="Symbol" w:char="F0DE"/>
      </w:r>
      <w:r w:rsidR="00D42EC4">
        <w:rPr>
          <w:spacing w:val="-2"/>
        </w:rPr>
        <w:t xml:space="preserve"> </w:t>
      </w:r>
      <w:r w:rsidRPr="00E73F6F">
        <w:t>Export und Import zwar in einer bestimmten Währung fakturiert, aber</w:t>
      </w:r>
      <w:r w:rsidRPr="00E73F6F">
        <w:rPr>
          <w:spacing w:val="-1"/>
        </w:rPr>
        <w:t xml:space="preserve"> </w:t>
      </w:r>
      <w:r w:rsidRPr="00E73F6F">
        <w:t>durch einen gemeinsamen</w:t>
      </w:r>
      <w:r w:rsidRPr="00E73F6F">
        <w:rPr>
          <w:spacing w:val="-4"/>
        </w:rPr>
        <w:t xml:space="preserve"> </w:t>
      </w:r>
      <w:r w:rsidRPr="00E73F6F">
        <w:t>Vertrag</w:t>
      </w:r>
      <w:r w:rsidRPr="00E73F6F">
        <w:rPr>
          <w:spacing w:val="-4"/>
        </w:rPr>
        <w:t xml:space="preserve"> </w:t>
      </w:r>
      <w:r w:rsidRPr="00E73F6F">
        <w:t>geregelt</w:t>
      </w:r>
      <w:r w:rsidRPr="00E73F6F">
        <w:rPr>
          <w:spacing w:val="-5"/>
        </w:rPr>
        <w:t xml:space="preserve"> </w:t>
      </w:r>
      <w:r w:rsidRPr="00E73F6F">
        <w:t>werden.</w:t>
      </w:r>
      <w:r w:rsidRPr="00E73F6F">
        <w:rPr>
          <w:spacing w:val="-5"/>
        </w:rPr>
        <w:t xml:space="preserve"> </w:t>
      </w:r>
      <w:r w:rsidRPr="00E73F6F">
        <w:t>Weiterhin</w:t>
      </w:r>
      <w:r w:rsidRPr="00E73F6F">
        <w:rPr>
          <w:spacing w:val="-6"/>
        </w:rPr>
        <w:t xml:space="preserve"> </w:t>
      </w:r>
      <w:r w:rsidRPr="00E73F6F">
        <w:t>verpflichtet</w:t>
      </w:r>
      <w:r w:rsidRPr="00E73F6F">
        <w:rPr>
          <w:spacing w:val="-5"/>
        </w:rPr>
        <w:t xml:space="preserve"> </w:t>
      </w:r>
      <w:r w:rsidRPr="00E73F6F">
        <w:t>sich</w:t>
      </w:r>
      <w:r w:rsidRPr="00E73F6F">
        <w:rPr>
          <w:spacing w:val="-6"/>
        </w:rPr>
        <w:t xml:space="preserve"> </w:t>
      </w:r>
      <w:r w:rsidRPr="00E73F6F">
        <w:t>der Exporteur, Waren des Partnerlandes bis zu einem bestimmten Prozentsatz des Wertes der eigenen Lieferung abzunehmen (= Kompensationsquote).</w:t>
      </w:r>
    </w:p>
    <w:p w14:paraId="2324E76C" w14:textId="77777777" w:rsidR="00FF7799" w:rsidRPr="00E73F6F" w:rsidRDefault="00FF7799" w:rsidP="00687806">
      <w:pPr>
        <w:pStyle w:val="StandardText"/>
      </w:pPr>
      <w:r w:rsidRPr="00E73F6F">
        <w:t>Das Rückkaufgeschäft zeichnet sich durch ein langfristiges Zahlungsziel aus. Denn</w:t>
      </w:r>
      <w:r w:rsidRPr="00E73F6F">
        <w:rPr>
          <w:spacing w:val="-2"/>
        </w:rPr>
        <w:t xml:space="preserve"> </w:t>
      </w:r>
      <w:r w:rsidRPr="00E73F6F">
        <w:t>bezahlt</w:t>
      </w:r>
      <w:r w:rsidRPr="00E73F6F">
        <w:rPr>
          <w:spacing w:val="-3"/>
        </w:rPr>
        <w:t xml:space="preserve"> </w:t>
      </w:r>
      <w:r w:rsidRPr="00E73F6F">
        <w:t>wird</w:t>
      </w:r>
      <w:r w:rsidRPr="00E73F6F">
        <w:rPr>
          <w:spacing w:val="-4"/>
        </w:rPr>
        <w:t xml:space="preserve"> </w:t>
      </w:r>
      <w:r w:rsidRPr="00E73F6F">
        <w:t>ganz</w:t>
      </w:r>
      <w:r w:rsidRPr="00E73F6F">
        <w:rPr>
          <w:spacing w:val="-4"/>
        </w:rPr>
        <w:t xml:space="preserve"> </w:t>
      </w:r>
      <w:r w:rsidRPr="00E73F6F">
        <w:t>oder</w:t>
      </w:r>
      <w:r w:rsidRPr="00E73F6F">
        <w:rPr>
          <w:spacing w:val="-3"/>
        </w:rPr>
        <w:t xml:space="preserve"> </w:t>
      </w:r>
      <w:r w:rsidRPr="00E73F6F">
        <w:t>teilweise mit</w:t>
      </w:r>
      <w:r w:rsidRPr="00E73F6F">
        <w:rPr>
          <w:spacing w:val="-3"/>
        </w:rPr>
        <w:t xml:space="preserve"> </w:t>
      </w:r>
      <w:r w:rsidRPr="00E73F6F">
        <w:t>Ware</w:t>
      </w:r>
      <w:r w:rsidRPr="00E73F6F">
        <w:rPr>
          <w:spacing w:val="-4"/>
        </w:rPr>
        <w:t xml:space="preserve"> </w:t>
      </w:r>
      <w:r w:rsidRPr="00E73F6F">
        <w:t>oder</w:t>
      </w:r>
      <w:r w:rsidRPr="00E73F6F">
        <w:rPr>
          <w:spacing w:val="-3"/>
        </w:rPr>
        <w:t xml:space="preserve"> </w:t>
      </w:r>
      <w:r w:rsidRPr="00E73F6F">
        <w:t>Dienstleistung,</w:t>
      </w:r>
      <w:r w:rsidRPr="00E73F6F">
        <w:rPr>
          <w:spacing w:val="-3"/>
        </w:rPr>
        <w:t xml:space="preserve"> </w:t>
      </w:r>
      <w:r w:rsidRPr="00E73F6F">
        <w:t>welche</w:t>
      </w:r>
      <w:r w:rsidRPr="00E73F6F">
        <w:rPr>
          <w:spacing w:val="-6"/>
        </w:rPr>
        <w:t xml:space="preserve"> </w:t>
      </w:r>
      <w:r w:rsidRPr="00E73F6F">
        <w:t>der Abnehmer mithilfe der vom Exporteur gelieferten Anlagen, Ausrüstung, Technologie etc. herstellt.</w:t>
      </w:r>
    </w:p>
    <w:p w14:paraId="59CED7DD" w14:textId="56D3FBAF" w:rsidR="00FF7799" w:rsidRPr="00E73F6F" w:rsidRDefault="00FF7799" w:rsidP="00687806">
      <w:pPr>
        <w:pStyle w:val="StandardText"/>
      </w:pPr>
      <w:r w:rsidRPr="00E73F6F">
        <w:t>Beim Parallelgeschäft verkauft der Exporteur Ware, Technologie und/oder Dienstleistung an einen Importeur und verpflichtet sich, innerhalb eines bestimmten Zeitraums von diesem Güter (im vereinbarten Gegenwert) abzunehmen, die nicht mithilfe der exportierten Technologie hergestellt wurden. Die Vermarktung übernimmt im Normalfall ein auf Warentauschgeschäfte spezialisiertes Handelshaus. Während beim Parallelgeschäft die Importleistung allenfalls</w:t>
      </w:r>
      <w:r w:rsidRPr="00E73F6F">
        <w:rPr>
          <w:spacing w:val="-3"/>
        </w:rPr>
        <w:t xml:space="preserve"> </w:t>
      </w:r>
      <w:r w:rsidRPr="00E73F6F">
        <w:t>zeitgleich</w:t>
      </w:r>
      <w:r w:rsidRPr="00E73F6F">
        <w:rPr>
          <w:spacing w:val="-2"/>
        </w:rPr>
        <w:t xml:space="preserve"> </w:t>
      </w:r>
      <w:r w:rsidRPr="00E73F6F">
        <w:t>mit,</w:t>
      </w:r>
      <w:r w:rsidRPr="00E73F6F">
        <w:rPr>
          <w:spacing w:val="-5"/>
        </w:rPr>
        <w:t xml:space="preserve"> </w:t>
      </w:r>
      <w:r w:rsidRPr="00E73F6F">
        <w:t>im</w:t>
      </w:r>
      <w:r w:rsidRPr="00E73F6F">
        <w:rPr>
          <w:spacing w:val="-3"/>
        </w:rPr>
        <w:t xml:space="preserve"> </w:t>
      </w:r>
      <w:r w:rsidRPr="00E73F6F">
        <w:t>Regelfall</w:t>
      </w:r>
      <w:r w:rsidRPr="00E73F6F">
        <w:rPr>
          <w:spacing w:val="-3"/>
        </w:rPr>
        <w:t xml:space="preserve"> </w:t>
      </w:r>
      <w:r w:rsidRPr="00E73F6F">
        <w:t>aber</w:t>
      </w:r>
      <w:r w:rsidRPr="00E73F6F">
        <w:rPr>
          <w:spacing w:val="-3"/>
        </w:rPr>
        <w:t xml:space="preserve"> </w:t>
      </w:r>
      <w:r w:rsidRPr="00E73F6F">
        <w:t>nach</w:t>
      </w:r>
      <w:r w:rsidRPr="00E73F6F">
        <w:rPr>
          <w:spacing w:val="-4"/>
        </w:rPr>
        <w:t xml:space="preserve"> </w:t>
      </w:r>
      <w:r w:rsidRPr="00E73F6F">
        <w:t>der</w:t>
      </w:r>
      <w:r w:rsidRPr="00E73F6F">
        <w:rPr>
          <w:spacing w:val="-3"/>
        </w:rPr>
        <w:t xml:space="preserve"> </w:t>
      </w:r>
      <w:r w:rsidRPr="00E73F6F">
        <w:t>Exportleistung</w:t>
      </w:r>
      <w:r w:rsidRPr="00E73F6F">
        <w:rPr>
          <w:spacing w:val="-4"/>
        </w:rPr>
        <w:t xml:space="preserve"> </w:t>
      </w:r>
      <w:r w:rsidRPr="00E73F6F">
        <w:t>geliefert</w:t>
      </w:r>
      <w:r w:rsidRPr="00E73F6F">
        <w:rPr>
          <w:spacing w:val="-3"/>
        </w:rPr>
        <w:t xml:space="preserve"> </w:t>
      </w:r>
      <w:r w:rsidRPr="00E73F6F">
        <w:t>wird, liegt beim Junktimgeschäft der Import zeitlich vor dem Export. Hierdurch kann das Partnerland frühzeitig in den Besitz der Devisen kommen, die es für den Import der Leistung benötigt.</w:t>
      </w:r>
    </w:p>
    <w:p w14:paraId="6F3C0F43" w14:textId="77777777" w:rsidR="00FF7799" w:rsidRPr="00E73F6F" w:rsidRDefault="00FF7799" w:rsidP="00687806">
      <w:pPr>
        <w:pStyle w:val="StandardText"/>
      </w:pPr>
    </w:p>
    <w:p w14:paraId="6E227AEB" w14:textId="77777777" w:rsidR="00FF7799" w:rsidRPr="005B7E3A" w:rsidRDefault="00FF7799" w:rsidP="00687806">
      <w:pPr>
        <w:pStyle w:val="StandardTextkursiv"/>
        <w:rPr>
          <w:i w:val="0"/>
        </w:rPr>
      </w:pPr>
      <w:r w:rsidRPr="005B7E3A">
        <w:rPr>
          <w:i w:val="0"/>
        </w:rPr>
        <w:t>1.2 Industriekompensationsgeschäfte</w:t>
      </w:r>
    </w:p>
    <w:p w14:paraId="3BD273B2" w14:textId="6403204F" w:rsidR="00FF7799" w:rsidRPr="00E73F6F" w:rsidRDefault="00FF7799" w:rsidP="00687806">
      <w:pPr>
        <w:pStyle w:val="StandardText"/>
      </w:pPr>
      <w:r w:rsidRPr="00E73F6F">
        <w:t>Im Gegensatz zu den verschiedenen Erscheinungsformen der Handelskompensation, die eher kurzfristig orientiert und letztlich den herkömmlichen Import/Export-Geschäften vergleichbar sind, versteht man unter Industriekompensation (vgl. Abb. 1) eher langfristig angelegte Gegengeschäfte, die auf einer Stufe mit Kooperationen und Direktinvestitionen stehen.</w:t>
      </w:r>
    </w:p>
    <w:p w14:paraId="13AD43EA" w14:textId="77777777" w:rsidR="00FF7799" w:rsidRPr="00E73F6F" w:rsidRDefault="00FF7799" w:rsidP="00687806">
      <w:pPr>
        <w:pStyle w:val="StandardText"/>
      </w:pPr>
    </w:p>
    <w:p w14:paraId="79133016" w14:textId="77777777" w:rsidR="00FF7799" w:rsidRPr="005B7E3A" w:rsidRDefault="00FF7799" w:rsidP="00687806">
      <w:pPr>
        <w:pStyle w:val="StandardTextkursiv"/>
        <w:rPr>
          <w:i w:val="0"/>
        </w:rPr>
      </w:pPr>
      <w:r w:rsidRPr="005B7E3A">
        <w:rPr>
          <w:i w:val="0"/>
        </w:rPr>
        <w:t>1.3 Finanzkompensationsgeschäfte</w:t>
      </w:r>
    </w:p>
    <w:p w14:paraId="7028B227" w14:textId="77777777" w:rsidR="00FF7799" w:rsidRPr="00E73F6F" w:rsidRDefault="00FF7799" w:rsidP="00687806">
      <w:pPr>
        <w:pStyle w:val="StandardText"/>
      </w:pPr>
      <w:r w:rsidRPr="00E73F6F">
        <w:t>Finanzkompensationen zählen hingegen nicht zu den Kompensationsgeschäften im engeren Sinn. Hierbei handelt es sich um Instrumente der Außenhandelsfinanzierung, primär dazu bestimmt, internationale Transferzahlungen zu erleichtern.</w:t>
      </w:r>
    </w:p>
    <w:p w14:paraId="64476D3D" w14:textId="77777777" w:rsidR="00FF7799" w:rsidRPr="00E73F6F" w:rsidRDefault="00FF7799" w:rsidP="00687806">
      <w:pPr>
        <w:pStyle w:val="StandardText"/>
      </w:pPr>
    </w:p>
    <w:p w14:paraId="2336ACBB" w14:textId="77777777" w:rsidR="00FF7799" w:rsidRPr="00C76DC3" w:rsidRDefault="00FF7799" w:rsidP="00B063A8">
      <w:pPr>
        <w:pStyle w:val="BeschriftungTab"/>
        <w:rPr>
          <w:i/>
          <w:iCs/>
          <w:spacing w:val="-2"/>
        </w:rPr>
      </w:pPr>
      <w:r w:rsidRPr="00C76DC3">
        <w:rPr>
          <w:i/>
          <w:iCs/>
        </w:rPr>
        <w:t>Abb. 1: Erscheinungsformen</w:t>
      </w:r>
      <w:r w:rsidRPr="00C76DC3">
        <w:rPr>
          <w:i/>
          <w:iCs/>
          <w:spacing w:val="-2"/>
        </w:rPr>
        <w:t xml:space="preserve"> </w:t>
      </w:r>
      <w:r w:rsidRPr="00C76DC3">
        <w:rPr>
          <w:i/>
          <w:iCs/>
        </w:rPr>
        <w:t xml:space="preserve">von </w:t>
      </w:r>
      <w:r w:rsidR="00B063A8" w:rsidRPr="00C76DC3">
        <w:rPr>
          <w:i/>
          <w:iCs/>
          <w:spacing w:val="-2"/>
        </w:rPr>
        <w:t>Kompensationsgeschäften</w:t>
      </w:r>
    </w:p>
    <w:p w14:paraId="038D472C" w14:textId="77777777" w:rsidR="00B063A8" w:rsidRDefault="00821E44" w:rsidP="00B063A8">
      <w:pPr>
        <w:pStyle w:val="BeschriftungTab"/>
        <w:rPr>
          <w:spacing w:val="-2"/>
        </w:rPr>
      </w:pPr>
      <w:r>
        <w:rPr>
          <w:noProof/>
          <w:spacing w:val="-2"/>
        </w:rPr>
        <w:lastRenderedPageBreak/>
        <w:drawing>
          <wp:inline distT="0" distB="0" distL="0" distR="0" wp14:anchorId="3BC6409C" wp14:editId="3FA96E86">
            <wp:extent cx="5667698" cy="1981200"/>
            <wp:effectExtent l="0" t="0" r="9525" b="0"/>
            <wp:docPr id="89" name="Grafik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678553" cy="1984994"/>
                    </a:xfrm>
                    <a:prstGeom prst="rect">
                      <a:avLst/>
                    </a:prstGeom>
                    <a:noFill/>
                  </pic:spPr>
                </pic:pic>
              </a:graphicData>
            </a:graphic>
          </wp:inline>
        </w:drawing>
      </w:r>
    </w:p>
    <w:p w14:paraId="5DF0102A" w14:textId="77777777" w:rsidR="00FF7799" w:rsidRPr="00E73F6F" w:rsidRDefault="00FF7799" w:rsidP="00687806">
      <w:pPr>
        <w:pStyle w:val="Quellen"/>
      </w:pPr>
      <w:r w:rsidRPr="00E73F6F">
        <w:rPr>
          <w:spacing w:val="-2"/>
        </w:rPr>
        <w:t>Quelle:</w:t>
      </w:r>
      <w:r w:rsidRPr="00E73F6F">
        <w:t xml:space="preserve"> Fantapié</w:t>
      </w:r>
      <w:r w:rsidRPr="00E73F6F">
        <w:rPr>
          <w:spacing w:val="-4"/>
        </w:rPr>
        <w:t xml:space="preserve"> </w:t>
      </w:r>
      <w:r w:rsidRPr="00E73F6F">
        <w:t>Altobelli (1994,</w:t>
      </w:r>
      <w:r w:rsidRPr="00E73F6F">
        <w:rPr>
          <w:spacing w:val="-2"/>
        </w:rPr>
        <w:t xml:space="preserve"> </w:t>
      </w:r>
      <w:r w:rsidRPr="00E73F6F">
        <w:rPr>
          <w:spacing w:val="-4"/>
        </w:rPr>
        <w:t>S.9).</w:t>
      </w:r>
    </w:p>
    <w:p w14:paraId="5DA90967" w14:textId="77777777" w:rsidR="00FF7799" w:rsidRPr="00E73F6F" w:rsidRDefault="00FF7799" w:rsidP="00862DBA">
      <w:pPr>
        <w:rPr>
          <w:sz w:val="24"/>
          <w:szCs w:val="24"/>
        </w:rPr>
      </w:pPr>
    </w:p>
    <w:p w14:paraId="38DA8EB5" w14:textId="77777777" w:rsidR="00FF7799" w:rsidRPr="00B063A8" w:rsidRDefault="00FF7799" w:rsidP="00687806">
      <w:pPr>
        <w:pStyle w:val="StandardTextkursiv"/>
        <w:rPr>
          <w:i w:val="0"/>
        </w:rPr>
      </w:pPr>
      <w:r w:rsidRPr="00B063A8">
        <w:rPr>
          <w:i w:val="0"/>
        </w:rPr>
        <w:t>2 Bedeutung für den internationalen Handel</w:t>
      </w:r>
    </w:p>
    <w:p w14:paraId="33A18AE0" w14:textId="77777777" w:rsidR="00FF7799" w:rsidRPr="00E73F6F" w:rsidRDefault="00FF7799" w:rsidP="00687806">
      <w:pPr>
        <w:pStyle w:val="StandardText"/>
      </w:pPr>
      <w:r w:rsidRPr="00E73F6F">
        <w:t>Über</w:t>
      </w:r>
      <w:r w:rsidRPr="00E73F6F">
        <w:rPr>
          <w:spacing w:val="-4"/>
        </w:rPr>
        <w:t xml:space="preserve"> </w:t>
      </w:r>
      <w:r w:rsidRPr="00E73F6F">
        <w:t>die</w:t>
      </w:r>
      <w:r w:rsidRPr="00E73F6F">
        <w:rPr>
          <w:spacing w:val="-4"/>
        </w:rPr>
        <w:t xml:space="preserve"> </w:t>
      </w:r>
      <w:r w:rsidRPr="00E73F6F">
        <w:t>wirtschaftliche</w:t>
      </w:r>
      <w:r w:rsidRPr="00E73F6F">
        <w:rPr>
          <w:spacing w:val="-5"/>
        </w:rPr>
        <w:t xml:space="preserve"> </w:t>
      </w:r>
      <w:r w:rsidRPr="00E73F6F">
        <w:t>Bedeutung</w:t>
      </w:r>
      <w:r w:rsidRPr="00E73F6F">
        <w:rPr>
          <w:spacing w:val="-5"/>
        </w:rPr>
        <w:t xml:space="preserve"> </w:t>
      </w:r>
      <w:r w:rsidRPr="00E73F6F">
        <w:t>von</w:t>
      </w:r>
      <w:r w:rsidRPr="00E73F6F">
        <w:rPr>
          <w:spacing w:val="-3"/>
        </w:rPr>
        <w:t xml:space="preserve"> </w:t>
      </w:r>
      <w:r w:rsidRPr="00E73F6F">
        <w:t>Kompensationsgeschäften</w:t>
      </w:r>
      <w:r w:rsidRPr="00E73F6F">
        <w:rPr>
          <w:spacing w:val="-6"/>
        </w:rPr>
        <w:t xml:space="preserve"> </w:t>
      </w:r>
      <w:r w:rsidRPr="00E73F6F">
        <w:t>herrscht</w:t>
      </w:r>
      <w:r w:rsidRPr="00E73F6F">
        <w:rPr>
          <w:spacing w:val="-4"/>
        </w:rPr>
        <w:t xml:space="preserve"> </w:t>
      </w:r>
      <w:r w:rsidRPr="00E73F6F">
        <w:t>große Uneinigkeit.</w:t>
      </w:r>
      <w:r w:rsidRPr="00E73F6F">
        <w:rPr>
          <w:spacing w:val="-10"/>
        </w:rPr>
        <w:t xml:space="preserve"> </w:t>
      </w:r>
      <w:r w:rsidRPr="00E73F6F">
        <w:t>Die</w:t>
      </w:r>
      <w:r w:rsidRPr="00E73F6F">
        <w:rPr>
          <w:spacing w:val="-10"/>
        </w:rPr>
        <w:t xml:space="preserve"> </w:t>
      </w:r>
      <w:r w:rsidRPr="00E73F6F">
        <w:t>Angaben</w:t>
      </w:r>
      <w:r w:rsidRPr="00E73F6F">
        <w:rPr>
          <w:spacing w:val="-9"/>
        </w:rPr>
        <w:t xml:space="preserve"> </w:t>
      </w:r>
      <w:r w:rsidRPr="00E73F6F">
        <w:t>schwanken</w:t>
      </w:r>
      <w:r w:rsidRPr="00E73F6F">
        <w:rPr>
          <w:spacing w:val="-9"/>
        </w:rPr>
        <w:t xml:space="preserve"> </w:t>
      </w:r>
      <w:r w:rsidRPr="00E73F6F">
        <w:t>zwischen</w:t>
      </w:r>
      <w:r w:rsidRPr="00E73F6F">
        <w:rPr>
          <w:spacing w:val="-9"/>
        </w:rPr>
        <w:t xml:space="preserve"> </w:t>
      </w:r>
      <w:r w:rsidRPr="00E73F6F">
        <w:t>5</w:t>
      </w:r>
      <w:r w:rsidRPr="00E73F6F">
        <w:rPr>
          <w:spacing w:val="-10"/>
        </w:rPr>
        <w:t xml:space="preserve"> </w:t>
      </w:r>
      <w:r w:rsidRPr="00E73F6F">
        <w:t>und</w:t>
      </w:r>
      <w:r w:rsidRPr="00E73F6F">
        <w:rPr>
          <w:spacing w:val="-9"/>
        </w:rPr>
        <w:t xml:space="preserve"> </w:t>
      </w:r>
      <w:r w:rsidRPr="00E73F6F">
        <w:t>25%</w:t>
      </w:r>
      <w:r w:rsidRPr="00E73F6F">
        <w:rPr>
          <w:spacing w:val="-9"/>
        </w:rPr>
        <w:t xml:space="preserve"> </w:t>
      </w:r>
      <w:r w:rsidRPr="00E73F6F">
        <w:t>Anteil</w:t>
      </w:r>
      <w:r w:rsidRPr="00E73F6F">
        <w:rPr>
          <w:spacing w:val="-11"/>
        </w:rPr>
        <w:t xml:space="preserve"> </w:t>
      </w:r>
      <w:r w:rsidRPr="00E73F6F">
        <w:t>am</w:t>
      </w:r>
      <w:r w:rsidRPr="00E73F6F">
        <w:rPr>
          <w:spacing w:val="-10"/>
        </w:rPr>
        <w:t xml:space="preserve"> </w:t>
      </w:r>
      <w:r w:rsidRPr="00E73F6F">
        <w:t>Welthandel, je</w:t>
      </w:r>
      <w:r w:rsidRPr="00E73F6F">
        <w:rPr>
          <w:spacing w:val="-1"/>
        </w:rPr>
        <w:t xml:space="preserve"> </w:t>
      </w:r>
      <w:r w:rsidRPr="00E73F6F">
        <w:t>nachdem, welche</w:t>
      </w:r>
      <w:r w:rsidRPr="00E73F6F">
        <w:rPr>
          <w:spacing w:val="-1"/>
        </w:rPr>
        <w:t xml:space="preserve"> </w:t>
      </w:r>
      <w:r w:rsidRPr="00E73F6F">
        <w:t>Abgrenzung</w:t>
      </w:r>
      <w:r w:rsidRPr="00E73F6F">
        <w:rPr>
          <w:spacing w:val="-2"/>
        </w:rPr>
        <w:t xml:space="preserve"> </w:t>
      </w:r>
      <w:r w:rsidRPr="00E73F6F">
        <w:t>man wählt. Entscheidend ist</w:t>
      </w:r>
      <w:r w:rsidRPr="00E73F6F">
        <w:rPr>
          <w:spacing w:val="-3"/>
        </w:rPr>
        <w:t xml:space="preserve"> </w:t>
      </w:r>
      <w:r w:rsidRPr="00E73F6F">
        <w:t>vor</w:t>
      </w:r>
      <w:r w:rsidRPr="00E73F6F">
        <w:rPr>
          <w:spacing w:val="-1"/>
        </w:rPr>
        <w:t xml:space="preserve"> </w:t>
      </w:r>
      <w:r w:rsidRPr="00E73F6F">
        <w:t>allem, ob</w:t>
      </w:r>
      <w:r w:rsidRPr="00E73F6F">
        <w:rPr>
          <w:spacing w:val="-2"/>
        </w:rPr>
        <w:t xml:space="preserve"> </w:t>
      </w:r>
      <w:r w:rsidRPr="00E73F6F">
        <w:t>dabei Finanz-Kompensationen</w:t>
      </w:r>
      <w:r w:rsidRPr="00E73F6F">
        <w:rPr>
          <w:spacing w:val="-2"/>
        </w:rPr>
        <w:t xml:space="preserve"> </w:t>
      </w:r>
      <w:r w:rsidRPr="00E73F6F">
        <w:t>berücksichtigt</w:t>
      </w:r>
      <w:r w:rsidRPr="00E73F6F">
        <w:rPr>
          <w:spacing w:val="-2"/>
        </w:rPr>
        <w:t xml:space="preserve"> </w:t>
      </w:r>
      <w:r w:rsidRPr="00E73F6F">
        <w:t>werden</w:t>
      </w:r>
      <w:r w:rsidRPr="00E73F6F">
        <w:rPr>
          <w:spacing w:val="-2"/>
        </w:rPr>
        <w:t xml:space="preserve"> </w:t>
      </w:r>
      <w:r w:rsidRPr="00E73F6F">
        <w:t>oder nicht.</w:t>
      </w:r>
      <w:r w:rsidRPr="00E73F6F">
        <w:rPr>
          <w:spacing w:val="-2"/>
        </w:rPr>
        <w:t xml:space="preserve"> </w:t>
      </w:r>
      <w:r w:rsidRPr="00E73F6F">
        <w:t>Aufgrund</w:t>
      </w:r>
      <w:r w:rsidRPr="00E73F6F">
        <w:rPr>
          <w:spacing w:val="-2"/>
        </w:rPr>
        <w:t xml:space="preserve"> </w:t>
      </w:r>
      <w:r w:rsidRPr="00E73F6F">
        <w:t>zusätzlicher Risiken und Kosten (z.B. für Broker, Clearing-Stellen, Barter-Clubs etc.) schneiden</w:t>
      </w:r>
      <w:r w:rsidRPr="00E73F6F">
        <w:rPr>
          <w:spacing w:val="-3"/>
        </w:rPr>
        <w:t xml:space="preserve"> </w:t>
      </w:r>
      <w:r w:rsidRPr="00E73F6F">
        <w:t>Gegengeschäfte</w:t>
      </w:r>
      <w:r w:rsidRPr="00E73F6F">
        <w:rPr>
          <w:spacing w:val="-4"/>
        </w:rPr>
        <w:t xml:space="preserve"> </w:t>
      </w:r>
      <w:r w:rsidRPr="00E73F6F">
        <w:t>im</w:t>
      </w:r>
      <w:r w:rsidRPr="00E73F6F">
        <w:rPr>
          <w:spacing w:val="-5"/>
        </w:rPr>
        <w:t xml:space="preserve"> </w:t>
      </w:r>
      <w:r w:rsidRPr="00E73F6F">
        <w:t>Vergleich</w:t>
      </w:r>
      <w:r w:rsidRPr="00E73F6F">
        <w:rPr>
          <w:spacing w:val="-3"/>
        </w:rPr>
        <w:t xml:space="preserve"> </w:t>
      </w:r>
      <w:r w:rsidRPr="00E73F6F">
        <w:t>zum</w:t>
      </w:r>
      <w:r w:rsidRPr="00E73F6F">
        <w:rPr>
          <w:spacing w:val="-6"/>
        </w:rPr>
        <w:t xml:space="preserve"> </w:t>
      </w:r>
      <w:r w:rsidRPr="00E73F6F">
        <w:t>klassischen</w:t>
      </w:r>
      <w:r w:rsidRPr="00E73F6F">
        <w:rPr>
          <w:spacing w:val="-3"/>
        </w:rPr>
        <w:t xml:space="preserve"> </w:t>
      </w:r>
      <w:r w:rsidRPr="00E73F6F">
        <w:t>Handel</w:t>
      </w:r>
      <w:r w:rsidRPr="00E73F6F">
        <w:rPr>
          <w:spacing w:val="-7"/>
        </w:rPr>
        <w:t xml:space="preserve"> </w:t>
      </w:r>
      <w:r w:rsidRPr="00E73F6F">
        <w:t>meist</w:t>
      </w:r>
      <w:r w:rsidRPr="00E73F6F">
        <w:rPr>
          <w:spacing w:val="-4"/>
        </w:rPr>
        <w:t xml:space="preserve"> </w:t>
      </w:r>
      <w:r w:rsidRPr="00E73F6F">
        <w:t>schlechter ab,</w:t>
      </w:r>
      <w:r w:rsidRPr="00E73F6F">
        <w:rPr>
          <w:spacing w:val="-7"/>
        </w:rPr>
        <w:t xml:space="preserve"> </w:t>
      </w:r>
      <w:r w:rsidRPr="00E73F6F">
        <w:t>wenn</w:t>
      </w:r>
      <w:r w:rsidRPr="00E73F6F">
        <w:rPr>
          <w:spacing w:val="-7"/>
        </w:rPr>
        <w:t xml:space="preserve"> </w:t>
      </w:r>
      <w:r w:rsidRPr="00E73F6F">
        <w:t>man</w:t>
      </w:r>
      <w:r w:rsidRPr="00E73F6F">
        <w:rPr>
          <w:spacing w:val="-9"/>
        </w:rPr>
        <w:t xml:space="preserve"> </w:t>
      </w:r>
      <w:r w:rsidRPr="00E73F6F">
        <w:t>ihren</w:t>
      </w:r>
      <w:r w:rsidRPr="00E73F6F">
        <w:rPr>
          <w:spacing w:val="-9"/>
        </w:rPr>
        <w:t xml:space="preserve"> </w:t>
      </w:r>
      <w:r w:rsidRPr="00E73F6F">
        <w:t>Erfolg</w:t>
      </w:r>
      <w:r w:rsidRPr="00E73F6F">
        <w:rPr>
          <w:spacing w:val="-7"/>
        </w:rPr>
        <w:t xml:space="preserve"> </w:t>
      </w:r>
      <w:r w:rsidRPr="00E73F6F">
        <w:t>am</w:t>
      </w:r>
      <w:r w:rsidRPr="00E73F6F">
        <w:rPr>
          <w:spacing w:val="-9"/>
        </w:rPr>
        <w:t xml:space="preserve"> </w:t>
      </w:r>
      <w:r w:rsidRPr="00E73F6F">
        <w:t>kurzfristigen,</w:t>
      </w:r>
      <w:r w:rsidRPr="00E73F6F">
        <w:rPr>
          <w:spacing w:val="-7"/>
        </w:rPr>
        <w:t xml:space="preserve"> </w:t>
      </w:r>
      <w:r w:rsidRPr="00E73F6F">
        <w:t>monetären</w:t>
      </w:r>
      <w:r w:rsidRPr="00E73F6F">
        <w:rPr>
          <w:spacing w:val="-7"/>
        </w:rPr>
        <w:t xml:space="preserve"> </w:t>
      </w:r>
      <w:r w:rsidRPr="00E73F6F">
        <w:t>Ertrag</w:t>
      </w:r>
      <w:r w:rsidRPr="00E73F6F">
        <w:rPr>
          <w:spacing w:val="-9"/>
        </w:rPr>
        <w:t xml:space="preserve"> </w:t>
      </w:r>
      <w:r w:rsidRPr="00E73F6F">
        <w:t>misst.</w:t>
      </w:r>
      <w:r w:rsidRPr="00E73F6F">
        <w:rPr>
          <w:spacing w:val="-7"/>
        </w:rPr>
        <w:t xml:space="preserve"> </w:t>
      </w:r>
      <w:r w:rsidRPr="00E73F6F">
        <w:t>Wichtiger</w:t>
      </w:r>
      <w:r w:rsidRPr="00E73F6F">
        <w:rPr>
          <w:spacing w:val="-8"/>
        </w:rPr>
        <w:t xml:space="preserve"> </w:t>
      </w:r>
      <w:r w:rsidRPr="00E73F6F">
        <w:t>ist häufig ihre strategische Perspektive, d.h. die Möglichkeit, mit ihrer Hilfe langfristige Geschäftsbeziehungen aufzubauen (vgl. Diller 2008, S.466).</w:t>
      </w:r>
    </w:p>
    <w:p w14:paraId="57597409" w14:textId="58ECB051" w:rsidR="00FF7799" w:rsidRPr="00F74287" w:rsidRDefault="00FF7799" w:rsidP="00687806">
      <w:pPr>
        <w:pStyle w:val="StandardText"/>
        <w:rPr>
          <w:sz w:val="22"/>
          <w:szCs w:val="22"/>
          <w:lang w:val="en-US"/>
        </w:rPr>
      </w:pPr>
      <w:r w:rsidRPr="00B063A8">
        <w:rPr>
          <w:b/>
          <w:i/>
          <w:sz w:val="22"/>
          <w:szCs w:val="22"/>
        </w:rPr>
        <w:t>Literatur</w:t>
      </w:r>
      <w:r w:rsidRPr="00B063A8">
        <w:rPr>
          <w:i/>
          <w:sz w:val="22"/>
          <w:szCs w:val="22"/>
        </w:rPr>
        <w:t>:</w:t>
      </w:r>
      <w:r w:rsidRPr="00B063A8">
        <w:rPr>
          <w:sz w:val="22"/>
          <w:szCs w:val="22"/>
        </w:rPr>
        <w:t xml:space="preserve"> Berndt, R.;</w:t>
      </w:r>
      <w:r w:rsidR="0097093C">
        <w:rPr>
          <w:sz w:val="22"/>
          <w:szCs w:val="22"/>
        </w:rPr>
        <w:t xml:space="preserve"> </w:t>
      </w:r>
      <w:r w:rsidRPr="00B063A8">
        <w:rPr>
          <w:sz w:val="22"/>
          <w:szCs w:val="22"/>
        </w:rPr>
        <w:t>Fantapié Altobelli, C.;</w:t>
      </w:r>
      <w:r w:rsidRPr="00B063A8">
        <w:rPr>
          <w:spacing w:val="-1"/>
          <w:sz w:val="22"/>
          <w:szCs w:val="22"/>
        </w:rPr>
        <w:t xml:space="preserve"> </w:t>
      </w:r>
      <w:r w:rsidRPr="00B063A8">
        <w:rPr>
          <w:sz w:val="22"/>
          <w:szCs w:val="22"/>
        </w:rPr>
        <w:t>Sander, M. (1997): Internationale Marketing-</w:t>
      </w:r>
      <w:r w:rsidRPr="00B063A8">
        <w:rPr>
          <w:spacing w:val="40"/>
          <w:sz w:val="22"/>
          <w:szCs w:val="22"/>
        </w:rPr>
        <w:t xml:space="preserve"> </w:t>
      </w:r>
      <w:r w:rsidRPr="00B063A8">
        <w:rPr>
          <w:sz w:val="22"/>
          <w:szCs w:val="22"/>
        </w:rPr>
        <w:t>Politik, Berlin: Springer.</w:t>
      </w:r>
      <w:r w:rsidRPr="00B063A8">
        <w:rPr>
          <w:spacing w:val="40"/>
          <w:sz w:val="22"/>
          <w:szCs w:val="22"/>
        </w:rPr>
        <w:t xml:space="preserve"> </w:t>
      </w:r>
      <w:r w:rsidR="00B063A8" w:rsidRPr="00B063A8">
        <w:rPr>
          <w:spacing w:val="40"/>
          <w:sz w:val="22"/>
          <w:szCs w:val="22"/>
        </w:rPr>
        <w:t xml:space="preserve"> </w:t>
      </w:r>
      <w:r w:rsidRPr="00B063A8">
        <w:rPr>
          <w:sz w:val="22"/>
          <w:szCs w:val="22"/>
        </w:rPr>
        <w:t>Diller, H. (2008): Preispolitik, 4.Aufl., Stuttgart: Kohlhammer.</w:t>
      </w:r>
      <w:r w:rsidRPr="00B063A8">
        <w:rPr>
          <w:spacing w:val="40"/>
          <w:sz w:val="22"/>
          <w:szCs w:val="22"/>
        </w:rPr>
        <w:t xml:space="preserve"> </w:t>
      </w:r>
      <w:r w:rsidRPr="00B063A8">
        <w:rPr>
          <w:sz w:val="22"/>
          <w:szCs w:val="22"/>
        </w:rPr>
        <w:t>Fantapié Altobelli, C. (1994): Kompensationsgeschäfte im internationalen Marketing,</w:t>
      </w:r>
      <w:r w:rsidRPr="00B063A8">
        <w:rPr>
          <w:spacing w:val="40"/>
          <w:sz w:val="22"/>
          <w:szCs w:val="22"/>
        </w:rPr>
        <w:t xml:space="preserve"> </w:t>
      </w:r>
      <w:r w:rsidRPr="00B063A8">
        <w:rPr>
          <w:sz w:val="22"/>
          <w:szCs w:val="22"/>
        </w:rPr>
        <w:t>Heidelberg: Springer.</w:t>
      </w:r>
      <w:r w:rsidRPr="00B063A8">
        <w:rPr>
          <w:spacing w:val="40"/>
          <w:sz w:val="22"/>
          <w:szCs w:val="22"/>
        </w:rPr>
        <w:t xml:space="preserve"> </w:t>
      </w:r>
      <w:r w:rsidRPr="00F74287">
        <w:rPr>
          <w:sz w:val="22"/>
          <w:szCs w:val="22"/>
          <w:lang w:val="en-US"/>
        </w:rPr>
        <w:t xml:space="preserve">Weigand, R.E. (1993): Reciprocal Trading. </w:t>
      </w:r>
      <w:r w:rsidRPr="00B063A8">
        <w:rPr>
          <w:sz w:val="22"/>
          <w:szCs w:val="22"/>
          <w:lang w:val="en-US"/>
        </w:rPr>
        <w:t>Putting Numbers to</w:t>
      </w:r>
      <w:r w:rsidRPr="00B063A8">
        <w:rPr>
          <w:spacing w:val="40"/>
          <w:sz w:val="22"/>
          <w:szCs w:val="22"/>
          <w:lang w:val="en-US"/>
        </w:rPr>
        <w:t xml:space="preserve"> </w:t>
      </w:r>
      <w:r w:rsidRPr="00B063A8">
        <w:rPr>
          <w:sz w:val="22"/>
          <w:szCs w:val="22"/>
          <w:lang w:val="en-US"/>
        </w:rPr>
        <w:t>Prices, Columbia Journal of World Business, 29(2): 7-25.</w:t>
      </w:r>
    </w:p>
    <w:p w14:paraId="1DC5741C" w14:textId="77777777" w:rsidR="00FF7799" w:rsidRPr="004F48E5" w:rsidRDefault="00FF7799" w:rsidP="008412AB">
      <w:pPr>
        <w:pStyle w:val="berschrift1"/>
        <w:rPr>
          <w:bCs w:val="0"/>
          <w:color w:val="2E74B5"/>
          <w:sz w:val="22"/>
        </w:rPr>
      </w:pPr>
      <w:r w:rsidRPr="004F48E5">
        <w:rPr>
          <w:bCs w:val="0"/>
          <w:color w:val="2E74B5"/>
          <w:sz w:val="22"/>
        </w:rPr>
        <w:t>Kompetenz, emotionale</w:t>
      </w:r>
    </w:p>
    <w:p w14:paraId="3B040CCC" w14:textId="77777777" w:rsidR="00FF7799" w:rsidRDefault="00FF7799" w:rsidP="00862DBA">
      <w:pPr>
        <w:spacing w:before="99" w:line="254" w:lineRule="auto"/>
        <w:jc w:val="both"/>
        <w:rPr>
          <w:spacing w:val="-2"/>
          <w:sz w:val="24"/>
          <w:szCs w:val="24"/>
        </w:rPr>
      </w:pPr>
      <w:r w:rsidRPr="00E73F6F">
        <w:rPr>
          <w:sz w:val="24"/>
          <w:szCs w:val="24"/>
        </w:rPr>
        <w:t xml:space="preserve">Fähigkeit, konstruktiv mit eigenen und fremden Gefühlen umzugehen (vor allem mit belastenden bzw. „negativen“ Emotionen wie Wut, Zorn etc.). Emotionale Kompetenz ist Voraussetzung für eine angemessene Auseinandersetzung mit der sozialen Umwelt. Sie wird deshalb häufig auch mit emotionaler Intelligenz </w:t>
      </w:r>
      <w:r w:rsidRPr="00E73F6F">
        <w:rPr>
          <w:spacing w:val="-2"/>
          <w:sz w:val="24"/>
          <w:szCs w:val="24"/>
        </w:rPr>
        <w:t>gleichgesetzt.</w:t>
      </w:r>
    </w:p>
    <w:p w14:paraId="256BB18C" w14:textId="77777777" w:rsidR="00FF7799" w:rsidRPr="00E35FFF" w:rsidRDefault="00FF7799" w:rsidP="00862DBA">
      <w:pPr>
        <w:spacing w:before="50"/>
        <w:jc w:val="both"/>
        <w:rPr>
          <w:sz w:val="24"/>
          <w:szCs w:val="24"/>
          <w:lang w:val="en-US"/>
        </w:rPr>
      </w:pPr>
      <w:r w:rsidRPr="00B063A8">
        <w:rPr>
          <w:b/>
          <w:i/>
        </w:rPr>
        <w:t>Literatur</w:t>
      </w:r>
      <w:r w:rsidRPr="00B063A8">
        <w:rPr>
          <w:i/>
        </w:rPr>
        <w:t>:</w:t>
      </w:r>
      <w:r w:rsidRPr="00B063A8">
        <w:t xml:space="preserve"> Brehm, M. (2001): Emotionsarbeit und emotionale Kompetenz,</w:t>
      </w:r>
      <w:r w:rsidRPr="00B063A8">
        <w:rPr>
          <w:spacing w:val="40"/>
        </w:rPr>
        <w:t xml:space="preserve"> </w:t>
      </w:r>
      <w:r w:rsidRPr="00B063A8">
        <w:t>Wirtschaftswissenschaftliches Studium, 30(7): 350-354.</w:t>
      </w:r>
      <w:r w:rsidRPr="00B063A8">
        <w:rPr>
          <w:spacing w:val="40"/>
        </w:rPr>
        <w:t xml:space="preserve"> </w:t>
      </w:r>
      <w:r w:rsidRPr="00B063A8">
        <w:rPr>
          <w:lang w:val="en-US"/>
        </w:rPr>
        <w:t>Saarni, C. (1999): The</w:t>
      </w:r>
      <w:r w:rsidRPr="00B063A8">
        <w:rPr>
          <w:spacing w:val="40"/>
          <w:lang w:val="en-US"/>
        </w:rPr>
        <w:t xml:space="preserve"> </w:t>
      </w:r>
      <w:r w:rsidRPr="00B063A8">
        <w:rPr>
          <w:lang w:val="en-US"/>
        </w:rPr>
        <w:t>Development of Emotional Competence, New York: Guilford Press</w:t>
      </w:r>
      <w:r w:rsidRPr="00E35FFF">
        <w:rPr>
          <w:sz w:val="24"/>
          <w:szCs w:val="24"/>
          <w:lang w:val="en-US"/>
        </w:rPr>
        <w:t>.</w:t>
      </w:r>
    </w:p>
    <w:p w14:paraId="2F870D9E" w14:textId="77777777" w:rsidR="00B85FE4" w:rsidRPr="00E35FFF" w:rsidRDefault="00B85FE4" w:rsidP="00862DBA">
      <w:pPr>
        <w:spacing w:before="50"/>
        <w:jc w:val="both"/>
        <w:rPr>
          <w:sz w:val="24"/>
          <w:szCs w:val="24"/>
          <w:lang w:val="en-US"/>
        </w:rPr>
      </w:pPr>
    </w:p>
    <w:p w14:paraId="1F134DE1" w14:textId="77777777" w:rsidR="001E58F5" w:rsidRPr="007F69DA" w:rsidRDefault="001E58F5" w:rsidP="001E58F5">
      <w:pPr>
        <w:keepNext/>
        <w:keepLines/>
        <w:spacing w:before="240"/>
        <w:jc w:val="both"/>
        <w:outlineLvl w:val="1"/>
        <w:rPr>
          <w:b/>
          <w:color w:val="2E74B5"/>
        </w:rPr>
      </w:pPr>
      <w:r w:rsidRPr="007F69DA">
        <w:rPr>
          <w:b/>
          <w:color w:val="2E74B5"/>
        </w:rPr>
        <w:t>Kompetenz, interkulturelle</w:t>
      </w:r>
    </w:p>
    <w:p w14:paraId="429F8063" w14:textId="77777777" w:rsidR="001E58F5" w:rsidRPr="007F69DA" w:rsidRDefault="001E58F5" w:rsidP="001E58F5">
      <w:pPr>
        <w:spacing w:line="360" w:lineRule="auto"/>
        <w:jc w:val="both"/>
        <w:rPr>
          <w:szCs w:val="24"/>
          <w:lang w:bidi="en-US"/>
        </w:rPr>
      </w:pPr>
    </w:p>
    <w:p w14:paraId="7C0D3306" w14:textId="77777777" w:rsidR="001E58F5" w:rsidRPr="007F69DA" w:rsidRDefault="001E58F5" w:rsidP="001E58F5">
      <w:pPr>
        <w:spacing w:line="360" w:lineRule="auto"/>
        <w:jc w:val="both"/>
        <w:rPr>
          <w:szCs w:val="24"/>
          <w:lang w:bidi="en-US"/>
        </w:rPr>
      </w:pPr>
      <w:r w:rsidRPr="007F69DA">
        <w:rPr>
          <w:szCs w:val="24"/>
          <w:lang w:bidi="en-US"/>
        </w:rPr>
        <w:t>1  Grundlagen</w:t>
      </w:r>
    </w:p>
    <w:p w14:paraId="216B5DF3" w14:textId="77777777" w:rsidR="001E58F5" w:rsidRPr="007F69DA" w:rsidRDefault="001E58F5" w:rsidP="001E58F5">
      <w:pPr>
        <w:jc w:val="both"/>
        <w:rPr>
          <w:szCs w:val="24"/>
          <w:lang w:bidi="en-US"/>
        </w:rPr>
      </w:pPr>
      <w:r w:rsidRPr="007F69DA">
        <w:rPr>
          <w:szCs w:val="24"/>
          <w:lang w:bidi="en-US"/>
        </w:rPr>
        <w:t xml:space="preserve">Es hat sich gezeigt, dass der Erfolg internationaler Geschäftskontakte nicht zuletzt davon abhängt, wie gut man sich auf die ausländischen Partner einstellen und mit diesen interagieren kann. Denn die Ansichten darüber, wie Verhandlungen ablaufen sollten, wie man erfolgversprechend kommuniziert und kooperiert: dies alles unterscheidet sich von Kultur zu Kultur. Unternehmen, die Mitarbeiter </w:t>
      </w:r>
      <w:r w:rsidRPr="007F69DA">
        <w:rPr>
          <w:bCs/>
          <w:szCs w:val="24"/>
          <w:lang w:bidi="en-US"/>
        </w:rPr>
        <w:t>für längere Zeit</w:t>
      </w:r>
      <w:r w:rsidRPr="007F69DA">
        <w:rPr>
          <w:szCs w:val="24"/>
          <w:lang w:bidi="en-US"/>
        </w:rPr>
        <w:t xml:space="preserve"> ins Ausland </w:t>
      </w:r>
      <w:r w:rsidRPr="007F69DA">
        <w:rPr>
          <w:bCs/>
          <w:szCs w:val="24"/>
          <w:lang w:bidi="en-US"/>
        </w:rPr>
        <w:t>entsenden</w:t>
      </w:r>
      <w:r w:rsidRPr="007F69DA">
        <w:rPr>
          <w:szCs w:val="24"/>
          <w:lang w:bidi="en-US"/>
        </w:rPr>
        <w:t>, erwarten von diesen daher als Schlüsselqualifikation interkulturelle Kompetenz (vgl. Graf/Harland 2005). Expatriates (</w:t>
      </w:r>
      <w:r w:rsidRPr="007F69DA">
        <w:rPr>
          <w:szCs w:val="24"/>
          <w:lang w:bidi="en-US"/>
        </w:rPr>
        <w:sym w:font="Symbol" w:char="F0DE"/>
      </w:r>
      <w:r w:rsidRPr="007F69DA">
        <w:rPr>
          <w:szCs w:val="24"/>
          <w:lang w:bidi="en-US"/>
        </w:rPr>
        <w:t xml:space="preserve"> Auslandsentsendung) müssen einerseits in der Lage sein, eigene Ziele zu erreichen (= Effektivität). Andererseits sollten sie auch bereit und fähig sein, die </w:t>
      </w:r>
      <w:r w:rsidRPr="007F69DA">
        <w:rPr>
          <w:szCs w:val="24"/>
          <w:lang w:bidi="en-US"/>
        </w:rPr>
        <w:lastRenderedPageBreak/>
        <w:t xml:space="preserve">Ziele ihrer ausländischen Geschäftspartner sowie deren Regeln sozialen Verhaltens zu achten (= Angemessenheit). </w:t>
      </w:r>
    </w:p>
    <w:p w14:paraId="2EFFF4FE" w14:textId="77777777" w:rsidR="001E58F5" w:rsidRPr="007F69DA" w:rsidRDefault="001E58F5" w:rsidP="001E58F5">
      <w:pPr>
        <w:jc w:val="both"/>
        <w:rPr>
          <w:szCs w:val="24"/>
          <w:lang w:bidi="en-US"/>
        </w:rPr>
      </w:pPr>
    </w:p>
    <w:p w14:paraId="2C667337" w14:textId="77777777" w:rsidR="001E58F5" w:rsidRPr="007F69DA" w:rsidRDefault="001E58F5" w:rsidP="001E58F5">
      <w:pPr>
        <w:spacing w:line="360" w:lineRule="auto"/>
        <w:jc w:val="both"/>
        <w:rPr>
          <w:szCs w:val="24"/>
          <w:lang w:bidi="en-US"/>
        </w:rPr>
      </w:pPr>
      <w:r w:rsidRPr="007F69DA">
        <w:rPr>
          <w:szCs w:val="24"/>
          <w:lang w:bidi="en-US"/>
        </w:rPr>
        <w:t>2  Dimensionen interkultureller Kompetenz</w:t>
      </w:r>
    </w:p>
    <w:p w14:paraId="715ECEA2" w14:textId="45842604" w:rsidR="001E58F5" w:rsidRPr="004F48E5" w:rsidRDefault="004F48E5" w:rsidP="001E58F5">
      <w:pPr>
        <w:jc w:val="both"/>
        <w:rPr>
          <w:szCs w:val="24"/>
          <w:lang w:bidi="en-US"/>
        </w:rPr>
      </w:pPr>
      <w:r w:rsidRPr="004F48E5">
        <w:rPr>
          <w:szCs w:val="24"/>
          <w:lang w:bidi="en-US"/>
        </w:rPr>
        <w:t xml:space="preserve">2.1 </w:t>
      </w:r>
      <w:r w:rsidR="001E58F5" w:rsidRPr="004F48E5">
        <w:rPr>
          <w:szCs w:val="24"/>
          <w:lang w:bidi="en-US"/>
        </w:rPr>
        <w:t>Überblick</w:t>
      </w:r>
    </w:p>
    <w:p w14:paraId="5D2A0BE5" w14:textId="77777777" w:rsidR="001E58F5" w:rsidRPr="007F69DA" w:rsidRDefault="001E58F5" w:rsidP="001E58F5">
      <w:pPr>
        <w:jc w:val="both"/>
        <w:rPr>
          <w:szCs w:val="24"/>
          <w:lang w:bidi="en-US"/>
        </w:rPr>
      </w:pPr>
      <w:r w:rsidRPr="007F69DA">
        <w:rPr>
          <w:szCs w:val="24"/>
          <w:lang w:bidi="en-US"/>
        </w:rPr>
        <w:t>Seit mehr als fünf Jahrzehnten untersuchen Sozial- und Kommunikationswissenschaftler, Anthropologen, Psychologen und Betriebswirtschaftler das Konstrukt der interkulturellen Kompetenz. Einigkeit besteht insofern, als es sich dabei um ein latentes Konstrukt handelt. Denn interkulturelle Kompetenz ist nicht unmittelbar beobachtbar und nicht direkt messbar (vgl. Cui/Awa 1992, S.311). Es wird allgemein davon ausgegangen, dass dieses Konstrukt aus drei Dimensionen besteht. Die Dimension …</w:t>
      </w:r>
    </w:p>
    <w:p w14:paraId="31173186" w14:textId="77777777" w:rsidR="001E58F5" w:rsidRPr="007F69DA" w:rsidRDefault="001E58F5">
      <w:pPr>
        <w:widowControl/>
        <w:numPr>
          <w:ilvl w:val="0"/>
          <w:numId w:val="29"/>
        </w:numPr>
        <w:autoSpaceDE/>
        <w:autoSpaceDN/>
        <w:spacing w:after="200"/>
        <w:ind w:left="426"/>
        <w:contextualSpacing/>
        <w:jc w:val="both"/>
        <w:rPr>
          <w:szCs w:val="24"/>
          <w:lang w:bidi="en-US"/>
        </w:rPr>
      </w:pPr>
      <w:r w:rsidRPr="007F69DA">
        <w:rPr>
          <w:szCs w:val="24"/>
          <w:lang w:bidi="en-US"/>
        </w:rPr>
        <w:t>Affekt beschreibt Eigenschaften, die eine interkulturell kompetente Person besitzen sollte, z.B. Einfühlungsvermögen (vgl. Spitzberg 1989, S.245).</w:t>
      </w:r>
    </w:p>
    <w:p w14:paraId="61D3B9A5" w14:textId="77777777" w:rsidR="001E58F5" w:rsidRPr="007F69DA" w:rsidRDefault="001E58F5">
      <w:pPr>
        <w:widowControl/>
        <w:numPr>
          <w:ilvl w:val="0"/>
          <w:numId w:val="29"/>
        </w:numPr>
        <w:autoSpaceDE/>
        <w:autoSpaceDN/>
        <w:spacing w:after="200"/>
        <w:ind w:left="426"/>
        <w:contextualSpacing/>
        <w:jc w:val="both"/>
        <w:rPr>
          <w:szCs w:val="24"/>
          <w:lang w:bidi="en-US"/>
        </w:rPr>
      </w:pPr>
      <w:r w:rsidRPr="007F69DA">
        <w:rPr>
          <w:szCs w:val="24"/>
          <w:lang w:bidi="en-US"/>
        </w:rPr>
        <w:t>Kognition umfasst das Wissen und die Erfahrungen einer Person, z.B. ihr Wissen über das Zielland (vgl. Müller/Gelbrich 2001, S.267).</w:t>
      </w:r>
    </w:p>
    <w:p w14:paraId="1285D239" w14:textId="77777777" w:rsidR="001E58F5" w:rsidRPr="007F69DA" w:rsidRDefault="001E58F5">
      <w:pPr>
        <w:widowControl/>
        <w:numPr>
          <w:ilvl w:val="0"/>
          <w:numId w:val="29"/>
        </w:numPr>
        <w:autoSpaceDE/>
        <w:autoSpaceDN/>
        <w:spacing w:after="200"/>
        <w:ind w:left="426"/>
        <w:contextualSpacing/>
        <w:jc w:val="both"/>
        <w:rPr>
          <w:szCs w:val="24"/>
          <w:lang w:bidi="en-US"/>
        </w:rPr>
      </w:pPr>
      <w:r w:rsidRPr="007F69DA">
        <w:rPr>
          <w:szCs w:val="24"/>
          <w:lang w:bidi="en-US"/>
        </w:rPr>
        <w:t xml:space="preserve">Handlungskompetenz repräsentiert die Fertigkeiten und Fähigkeiten, über die eine Person mit interkultureller Kompetenz verfügen sollte, z.B. Ambiguitätstoleranz oder Respekt vor anderen Kulturen (vgl. Ruben 1976, S.339ff.). </w:t>
      </w:r>
    </w:p>
    <w:p w14:paraId="32DEA209" w14:textId="77777777" w:rsidR="001E58F5" w:rsidRPr="007F69DA" w:rsidRDefault="001E58F5" w:rsidP="004F48E5">
      <w:pPr>
        <w:spacing w:after="200"/>
        <w:ind w:left="426"/>
        <w:contextualSpacing/>
        <w:jc w:val="both"/>
        <w:rPr>
          <w:szCs w:val="24"/>
          <w:lang w:bidi="en-US"/>
        </w:rPr>
      </w:pPr>
    </w:p>
    <w:p w14:paraId="21FAF821" w14:textId="77777777" w:rsidR="001E58F5" w:rsidRPr="007F69DA" w:rsidRDefault="001E58F5" w:rsidP="001E58F5">
      <w:pPr>
        <w:jc w:val="both"/>
        <w:rPr>
          <w:szCs w:val="24"/>
          <w:lang w:bidi="en-US"/>
        </w:rPr>
      </w:pPr>
      <w:r w:rsidRPr="007F69DA">
        <w:rPr>
          <w:szCs w:val="24"/>
          <w:lang w:bidi="en-US"/>
        </w:rPr>
        <w:t>Als gemeinsamen Nenner der mittlerweile unübersehbaren Vielfalt an Definitionen (vgl. Deardorff 2006, S.241) schlugen Müller/Gelbrich (2001, S.248) „Effektivität“ und „Angemessenheit“ vor. Demzufolge ist eine Person, die mit Angehörigen eines anderen Kulturkreises effektiv und angemessen interagiert, interkulturell kompetent (vgl. Abb. 1):</w:t>
      </w:r>
    </w:p>
    <w:p w14:paraId="340DE10E" w14:textId="77777777" w:rsidR="001E58F5" w:rsidRPr="007F69DA" w:rsidRDefault="001E58F5" w:rsidP="001E58F5">
      <w:pPr>
        <w:jc w:val="both"/>
        <w:rPr>
          <w:szCs w:val="24"/>
          <w:lang w:bidi="en-US"/>
        </w:rPr>
      </w:pPr>
    </w:p>
    <w:p w14:paraId="137FB27A" w14:textId="77777777" w:rsidR="001E58F5" w:rsidRPr="00544326" w:rsidRDefault="001E58F5" w:rsidP="001E58F5">
      <w:pPr>
        <w:spacing w:after="120"/>
        <w:jc w:val="center"/>
        <w:rPr>
          <w:i/>
          <w:szCs w:val="24"/>
          <w:lang w:eastAsia="de-DE"/>
        </w:rPr>
      </w:pPr>
      <w:bookmarkStart w:id="50" w:name="_Ref46747700"/>
      <w:r w:rsidRPr="00544326">
        <w:rPr>
          <w:i/>
          <w:szCs w:val="24"/>
          <w:lang w:eastAsia="de-DE"/>
        </w:rPr>
        <w:t>Abb.</w:t>
      </w:r>
      <w:bookmarkEnd w:id="50"/>
      <w:r w:rsidRPr="00544326">
        <w:rPr>
          <w:i/>
          <w:szCs w:val="24"/>
          <w:lang w:eastAsia="de-DE"/>
        </w:rPr>
        <w:t xml:space="preserve"> 1: Interkulturelle Kompetenz &amp; Auslandserfolg</w:t>
      </w:r>
    </w:p>
    <w:p w14:paraId="24EEA460" w14:textId="77777777" w:rsidR="001E58F5" w:rsidRPr="007F69DA" w:rsidRDefault="001E58F5" w:rsidP="001E58F5">
      <w:pPr>
        <w:spacing w:after="120"/>
        <w:jc w:val="center"/>
        <w:rPr>
          <w:szCs w:val="24"/>
          <w:lang w:eastAsia="de-DE"/>
        </w:rPr>
      </w:pPr>
      <w:r w:rsidRPr="007F69DA">
        <w:rPr>
          <w:noProof/>
          <w:szCs w:val="24"/>
          <w:lang w:eastAsia="de-DE"/>
        </w:rPr>
        <w:drawing>
          <wp:inline distT="0" distB="0" distL="0" distR="0" wp14:anchorId="7BEC5FC5" wp14:editId="3622FA89">
            <wp:extent cx="6138278" cy="4743450"/>
            <wp:effectExtent l="0" t="0" r="0" b="0"/>
            <wp:docPr id="258699084" name="Grafik 258699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6145689" cy="4749177"/>
                    </a:xfrm>
                    <a:prstGeom prst="rect">
                      <a:avLst/>
                    </a:prstGeom>
                    <a:noFill/>
                  </pic:spPr>
                </pic:pic>
              </a:graphicData>
            </a:graphic>
          </wp:inline>
        </w:drawing>
      </w:r>
    </w:p>
    <w:p w14:paraId="7224B73C" w14:textId="77777777" w:rsidR="001E58F5" w:rsidRPr="007F69DA" w:rsidRDefault="001E58F5" w:rsidP="001E58F5">
      <w:pPr>
        <w:spacing w:before="120" w:line="360" w:lineRule="auto"/>
        <w:ind w:left="709" w:hanging="709"/>
        <w:jc w:val="both"/>
        <w:rPr>
          <w:sz w:val="20"/>
          <w:szCs w:val="20"/>
          <w:lang w:eastAsia="de-DE"/>
        </w:rPr>
      </w:pPr>
      <w:r w:rsidRPr="007F69DA">
        <w:rPr>
          <w:sz w:val="20"/>
          <w:szCs w:val="20"/>
          <w:lang w:eastAsia="de-DE"/>
        </w:rPr>
        <w:t>Quelle:  Müller/Gelbrich (2001, S.252).</w:t>
      </w:r>
    </w:p>
    <w:p w14:paraId="05967A21" w14:textId="77777777" w:rsidR="001E58F5" w:rsidRPr="007F69DA" w:rsidRDefault="001E58F5" w:rsidP="001E58F5">
      <w:pPr>
        <w:spacing w:line="360" w:lineRule="auto"/>
        <w:jc w:val="both"/>
        <w:rPr>
          <w:szCs w:val="24"/>
          <w:lang w:bidi="en-US"/>
        </w:rPr>
      </w:pPr>
    </w:p>
    <w:p w14:paraId="78D7E4E1" w14:textId="77777777" w:rsidR="001E58F5" w:rsidRPr="007F69DA" w:rsidRDefault="001E58F5">
      <w:pPr>
        <w:widowControl/>
        <w:numPr>
          <w:ilvl w:val="0"/>
          <w:numId w:val="32"/>
        </w:numPr>
        <w:autoSpaceDE/>
        <w:autoSpaceDN/>
        <w:spacing w:before="60"/>
        <w:ind w:left="284"/>
        <w:jc w:val="both"/>
        <w:rPr>
          <w:szCs w:val="24"/>
          <w:lang w:eastAsia="de-DE"/>
        </w:rPr>
      </w:pPr>
      <w:r w:rsidRPr="007F69DA">
        <w:rPr>
          <w:bCs/>
          <w:szCs w:val="24"/>
          <w:lang w:eastAsia="de-DE"/>
        </w:rPr>
        <w:t>Effektiv</w:t>
      </w:r>
      <w:r w:rsidRPr="007F69DA">
        <w:rPr>
          <w:szCs w:val="24"/>
          <w:lang w:eastAsia="de-DE"/>
        </w:rPr>
        <w:t xml:space="preserve"> sind Expatriates, wenn sie im Ausland stabile soziale Beziehungen knüpfen, d.h. unter den Einheimischen Freunde und Bekannte gewinnen (= soziale Anpassung). Zudem müssen sie den Anforderungen des Arbeitslebens gerecht werden</w:t>
      </w:r>
      <w:r w:rsidRPr="007F69DA">
        <w:rPr>
          <w:szCs w:val="24"/>
          <w:lang w:eastAsia="de-DE"/>
        </w:rPr>
        <w:br/>
        <w:t xml:space="preserve">(= berufliche Anpassung), mit dem Ergebnis seines Auslandsaufenthaltes zufrieden sein und ihre Mission nicht vorzeitig beenden (wollen). </w:t>
      </w:r>
    </w:p>
    <w:p w14:paraId="0D7481FB" w14:textId="77777777" w:rsidR="001E58F5" w:rsidRPr="007F69DA" w:rsidRDefault="001E58F5">
      <w:pPr>
        <w:widowControl/>
        <w:numPr>
          <w:ilvl w:val="0"/>
          <w:numId w:val="32"/>
        </w:numPr>
        <w:autoSpaceDE/>
        <w:autoSpaceDN/>
        <w:spacing w:before="60"/>
        <w:ind w:left="284"/>
        <w:jc w:val="both"/>
        <w:rPr>
          <w:szCs w:val="24"/>
          <w:lang w:eastAsia="de-DE"/>
        </w:rPr>
      </w:pPr>
      <w:r w:rsidRPr="007F69DA">
        <w:rPr>
          <w:szCs w:val="24"/>
          <w:lang w:eastAsia="de-DE"/>
        </w:rPr>
        <w:t xml:space="preserve">Erfolgreich ist ein Auslandseinsatz aber erst dann, wenn auch die ausländischen Partner davon überzeugt sind, dass sich ihr Gegenüber </w:t>
      </w:r>
      <w:r w:rsidRPr="007F69DA">
        <w:rPr>
          <w:bCs/>
          <w:szCs w:val="24"/>
          <w:lang w:eastAsia="de-DE"/>
        </w:rPr>
        <w:t>angemessen</w:t>
      </w:r>
      <w:r w:rsidRPr="007F69DA">
        <w:rPr>
          <w:szCs w:val="24"/>
          <w:lang w:eastAsia="de-DE"/>
        </w:rPr>
        <w:t xml:space="preserve"> verhält (d.h. ihre Gefühle respektiert, die Regeln des Gastlandes beachtet und sich fair verhält). </w:t>
      </w:r>
    </w:p>
    <w:p w14:paraId="49AB1F93" w14:textId="77777777" w:rsidR="001E58F5" w:rsidRPr="007F69DA" w:rsidRDefault="001E58F5" w:rsidP="001E58F5">
      <w:pPr>
        <w:spacing w:before="60"/>
        <w:ind w:left="720"/>
        <w:jc w:val="both"/>
        <w:rPr>
          <w:szCs w:val="24"/>
          <w:lang w:eastAsia="de-DE"/>
        </w:rPr>
      </w:pPr>
    </w:p>
    <w:p w14:paraId="44E71661" w14:textId="77777777" w:rsidR="001E58F5" w:rsidRPr="007F69DA" w:rsidRDefault="001E58F5" w:rsidP="001E58F5">
      <w:pPr>
        <w:spacing w:before="120" w:after="120"/>
        <w:jc w:val="both"/>
        <w:rPr>
          <w:b/>
          <w:bCs/>
          <w:lang w:bidi="en-US"/>
        </w:rPr>
      </w:pPr>
      <w:bookmarkStart w:id="51" w:name="_Toc69872116"/>
    </w:p>
    <w:p w14:paraId="7052681E" w14:textId="5F87DDB7" w:rsidR="001E58F5" w:rsidRPr="007F69DA" w:rsidRDefault="004F48E5" w:rsidP="001E58F5">
      <w:pPr>
        <w:spacing w:before="120" w:after="120"/>
        <w:jc w:val="both"/>
        <w:rPr>
          <w:iCs/>
          <w:lang w:eastAsia="de-DE"/>
        </w:rPr>
      </w:pPr>
      <w:r>
        <w:rPr>
          <w:iCs/>
          <w:lang w:eastAsia="de-DE"/>
        </w:rPr>
        <w:t xml:space="preserve">2.2 </w:t>
      </w:r>
      <w:r w:rsidR="001E58F5" w:rsidRPr="007F69DA">
        <w:rPr>
          <w:iCs/>
          <w:lang w:eastAsia="de-DE"/>
        </w:rPr>
        <w:t xml:space="preserve">Affektive </w:t>
      </w:r>
      <w:bookmarkEnd w:id="51"/>
      <w:r w:rsidR="001E58F5" w:rsidRPr="007F69DA">
        <w:rPr>
          <w:iCs/>
          <w:lang w:eastAsia="de-DE"/>
        </w:rPr>
        <w:t>Dimension</w:t>
      </w:r>
    </w:p>
    <w:p w14:paraId="247141C8" w14:textId="77777777" w:rsidR="001E58F5" w:rsidRPr="007F69DA" w:rsidRDefault="001E58F5" w:rsidP="001E58F5">
      <w:pPr>
        <w:jc w:val="both"/>
        <w:rPr>
          <w:lang w:bidi="en-US"/>
        </w:rPr>
      </w:pPr>
      <w:r w:rsidRPr="007F69DA">
        <w:rPr>
          <w:bCs/>
          <w:lang w:bidi="en-US"/>
        </w:rPr>
        <w:t>(1) Kultureller Relativismus. Dieses auch als Ethnorelativismus bezeichnete Konstrukt ist das Gegenteil von Ethnozentrismus. Dieser</w:t>
      </w:r>
      <w:r w:rsidRPr="007F69DA">
        <w:rPr>
          <w:lang w:bidi="en-US"/>
        </w:rPr>
        <w:t xml:space="preserve"> lässt sich vereinfacht als „Egoismus auf kollektiver Ebene“ beschreiben. Ethnozentrische Menschen begreifen die eigene Kultur als Maß aller Dinge und werten andere ab. Dies hindert sie daran, mit Angehörigen anderer Kulturen „auf Augenhöhe“ zu interagieren und deren Verhaltensregeln, Traditionen etc. zu achten. Daraus erwachsen häufig Konflikte, weshalb ethnozentrische Expatriates den Unternehmenserfolg gefährden. Kulturrelativisten, welche von der prinzipiellen Gleichwertigkeit der verschiedenen Landeskulturen überzeugt sind, bieten demgegenüber bessere Voraussetzungen für einen erfolgreichen Verlauf einer Entsendung </w:t>
      </w:r>
      <w:r w:rsidRPr="007F69DA">
        <w:rPr>
          <w:szCs w:val="24"/>
          <w:lang w:bidi="en-US"/>
        </w:rPr>
        <w:t>(</w:t>
      </w:r>
      <w:r w:rsidRPr="007F69DA">
        <w:rPr>
          <w:szCs w:val="24"/>
          <w:lang w:bidi="en-US"/>
        </w:rPr>
        <w:sym w:font="Symbol" w:char="F0DE"/>
      </w:r>
      <w:r w:rsidRPr="007F69DA">
        <w:rPr>
          <w:szCs w:val="24"/>
          <w:lang w:bidi="en-US"/>
        </w:rPr>
        <w:t xml:space="preserve"> Auslandsentsendung)</w:t>
      </w:r>
      <w:r w:rsidRPr="007F69DA">
        <w:rPr>
          <w:lang w:bidi="en-US"/>
        </w:rPr>
        <w:t xml:space="preserve">. </w:t>
      </w:r>
    </w:p>
    <w:p w14:paraId="27F56B4D" w14:textId="77777777" w:rsidR="001E58F5" w:rsidRPr="007F69DA" w:rsidRDefault="001E58F5" w:rsidP="001E58F5">
      <w:pPr>
        <w:jc w:val="both"/>
        <w:rPr>
          <w:lang w:bidi="en-US"/>
        </w:rPr>
      </w:pPr>
    </w:p>
    <w:p w14:paraId="0D22340E" w14:textId="77777777" w:rsidR="001E58F5" w:rsidRPr="007F69DA" w:rsidRDefault="001E58F5" w:rsidP="001E58F5">
      <w:pPr>
        <w:spacing w:after="120"/>
        <w:jc w:val="both"/>
        <w:rPr>
          <w:lang w:bidi="en-US"/>
        </w:rPr>
      </w:pPr>
      <w:r w:rsidRPr="007F69DA">
        <w:rPr>
          <w:lang w:bidi="en-US"/>
        </w:rPr>
        <w:t xml:space="preserve">(2) Unvoreingenommenheit. Wir alle haben bestimmte Vorstellungen davon, wie sich ein „typischer“ Franzose, Brite oder Japaner verhält bzw. woran man ihn erkennt. Derartige Vor- bzw. Vorausurteile können durchaus hilfreich sein, wenn es gilt, andere in kurzer Zeit und ohne großen kognitiven Aufwand einzuschätzen (etwa in Low Involvement-Situationen, wenn diese Art der Urteilsbildung keinen entscheidenden Einfluss auf unser Verhalten nimmt). Sind sie jedoch diskriminierend, d.h. negativ ausgeprägt sowie änderungsresistent, dann wirken Vorurteile in Gestalt von Länder- bzw. Nationalitätenstereotypen häufig kontraproduktiv: Wer ausländische Geschäftspartner, Kunden etc. voreingenommen „in eine bestimmte Schublade steckt“ und nicht bereit ist, von seinen (negativen) Ansichten abzulassen, wird nicht in der Lage sein, neue, realitätsgerechtere Informationen aufzunehmen. </w:t>
      </w:r>
      <w:r w:rsidRPr="007F69DA">
        <w:rPr>
          <w:bCs/>
          <w:lang w:bidi="en-US"/>
        </w:rPr>
        <w:t>Unvoreingenommenheit</w:t>
      </w:r>
      <w:r w:rsidRPr="007F69DA">
        <w:rPr>
          <w:lang w:bidi="en-US"/>
        </w:rPr>
        <w:t xml:space="preserve"> ist daher gleichfalls eine wichtige Facette interkultureller Kompetenz.</w:t>
      </w:r>
    </w:p>
    <w:p w14:paraId="7433B0B5" w14:textId="77777777" w:rsidR="001E58F5" w:rsidRPr="007F69DA" w:rsidRDefault="001E58F5" w:rsidP="001E58F5">
      <w:pPr>
        <w:spacing w:after="120"/>
        <w:jc w:val="both"/>
        <w:rPr>
          <w:lang w:bidi="en-US"/>
        </w:rPr>
      </w:pPr>
    </w:p>
    <w:p w14:paraId="7E0F15B9" w14:textId="77777777" w:rsidR="001E58F5" w:rsidRPr="007F69DA" w:rsidRDefault="001E58F5" w:rsidP="001E58F5">
      <w:pPr>
        <w:pBdr>
          <w:top w:val="single" w:sz="4" w:space="1" w:color="auto"/>
          <w:left w:val="single" w:sz="4" w:space="4" w:color="auto"/>
          <w:bottom w:val="single" w:sz="4" w:space="1" w:color="auto"/>
          <w:right w:val="single" w:sz="4" w:space="4" w:color="auto"/>
        </w:pBdr>
        <w:shd w:val="clear" w:color="auto" w:fill="DEEAF6" w:themeFill="accent1" w:themeFillTint="33"/>
        <w:jc w:val="center"/>
        <w:rPr>
          <w:lang w:bidi="en-US"/>
        </w:rPr>
      </w:pPr>
      <w:r w:rsidRPr="007F69DA">
        <w:rPr>
          <w:lang w:bidi="en-US"/>
        </w:rPr>
        <w:t>Wechselseitige Vorurteile</w:t>
      </w:r>
    </w:p>
    <w:p w14:paraId="23C151B8" w14:textId="77777777" w:rsidR="001E58F5" w:rsidRPr="007F69DA" w:rsidRDefault="001E58F5" w:rsidP="001E58F5">
      <w:pPr>
        <w:pBdr>
          <w:top w:val="single" w:sz="4" w:space="1" w:color="auto"/>
          <w:left w:val="single" w:sz="4" w:space="4" w:color="auto"/>
          <w:bottom w:val="single" w:sz="4" w:space="1" w:color="auto"/>
          <w:right w:val="single" w:sz="4" w:space="4" w:color="auto"/>
        </w:pBdr>
        <w:shd w:val="clear" w:color="auto" w:fill="DEEAF6" w:themeFill="accent1" w:themeFillTint="33"/>
        <w:spacing w:before="180" w:after="180"/>
        <w:jc w:val="both"/>
        <w:rPr>
          <w:lang w:eastAsia="de-DE"/>
        </w:rPr>
      </w:pPr>
      <w:r w:rsidRPr="007F69DA">
        <w:rPr>
          <w:lang w:eastAsia="de-DE"/>
        </w:rPr>
        <w:t>Briten über Deutsche:</w:t>
      </w:r>
    </w:p>
    <w:p w14:paraId="4A68CEE5" w14:textId="77777777" w:rsidR="001E58F5" w:rsidRPr="007F69DA" w:rsidRDefault="001E58F5">
      <w:pPr>
        <w:widowControl/>
        <w:numPr>
          <w:ilvl w:val="0"/>
          <w:numId w:val="27"/>
        </w:numPr>
        <w:pBdr>
          <w:top w:val="single" w:sz="4" w:space="1" w:color="auto"/>
          <w:left w:val="single" w:sz="4" w:space="4" w:color="auto"/>
          <w:bottom w:val="single" w:sz="4" w:space="1" w:color="auto"/>
          <w:right w:val="single" w:sz="4" w:space="4" w:color="auto"/>
        </w:pBdr>
        <w:shd w:val="clear" w:color="auto" w:fill="DEEAF6" w:themeFill="accent1" w:themeFillTint="33"/>
        <w:tabs>
          <w:tab w:val="clear" w:pos="360"/>
        </w:tabs>
        <w:autoSpaceDE/>
        <w:autoSpaceDN/>
        <w:spacing w:before="60"/>
        <w:jc w:val="both"/>
        <w:rPr>
          <w:bCs/>
          <w:lang w:eastAsia="de-DE"/>
        </w:rPr>
      </w:pPr>
      <w:r w:rsidRPr="007F69DA">
        <w:rPr>
          <w:bCs/>
          <w:lang w:eastAsia="de-DE"/>
        </w:rPr>
        <w:t>„Deutsche schauen immer auf die Uhr. Außerhalb der Arbeitszeit kann man sie nicht erreichen.“</w:t>
      </w:r>
    </w:p>
    <w:p w14:paraId="31D5F2DF" w14:textId="77777777" w:rsidR="001E58F5" w:rsidRPr="007F69DA" w:rsidRDefault="001E58F5">
      <w:pPr>
        <w:widowControl/>
        <w:numPr>
          <w:ilvl w:val="0"/>
          <w:numId w:val="27"/>
        </w:numPr>
        <w:pBdr>
          <w:top w:val="single" w:sz="4" w:space="1" w:color="auto"/>
          <w:left w:val="single" w:sz="4" w:space="4" w:color="auto"/>
          <w:bottom w:val="single" w:sz="4" w:space="1" w:color="auto"/>
          <w:right w:val="single" w:sz="4" w:space="4" w:color="auto"/>
        </w:pBdr>
        <w:shd w:val="clear" w:color="auto" w:fill="DEEAF6" w:themeFill="accent1" w:themeFillTint="33"/>
        <w:tabs>
          <w:tab w:val="clear" w:pos="360"/>
        </w:tabs>
        <w:autoSpaceDE/>
        <w:autoSpaceDN/>
        <w:spacing w:before="60"/>
        <w:jc w:val="both"/>
        <w:rPr>
          <w:bCs/>
          <w:lang w:eastAsia="de-DE"/>
        </w:rPr>
      </w:pPr>
      <w:r w:rsidRPr="007F69DA">
        <w:rPr>
          <w:bCs/>
          <w:lang w:eastAsia="de-DE"/>
        </w:rPr>
        <w:t>„Den Deutschen kann man keine Aufgaben geben, sondern nur Anweisungen.“</w:t>
      </w:r>
    </w:p>
    <w:p w14:paraId="77D31A05" w14:textId="77777777" w:rsidR="001E58F5" w:rsidRPr="007F69DA" w:rsidRDefault="001E58F5" w:rsidP="001E58F5">
      <w:pPr>
        <w:pBdr>
          <w:top w:val="single" w:sz="4" w:space="1" w:color="auto"/>
          <w:left w:val="single" w:sz="4" w:space="4" w:color="auto"/>
          <w:bottom w:val="single" w:sz="4" w:space="1" w:color="auto"/>
          <w:right w:val="single" w:sz="4" w:space="4" w:color="auto"/>
        </w:pBdr>
        <w:shd w:val="clear" w:color="auto" w:fill="DEEAF6" w:themeFill="accent1" w:themeFillTint="33"/>
        <w:spacing w:before="180" w:after="180"/>
        <w:jc w:val="both"/>
        <w:rPr>
          <w:lang w:eastAsia="de-DE"/>
        </w:rPr>
      </w:pPr>
      <w:r w:rsidRPr="007F69DA">
        <w:rPr>
          <w:lang w:eastAsia="de-DE"/>
        </w:rPr>
        <w:t>Deutsche über Briten:</w:t>
      </w:r>
    </w:p>
    <w:p w14:paraId="789A16D1" w14:textId="77777777" w:rsidR="001E58F5" w:rsidRPr="007F69DA" w:rsidRDefault="001E58F5">
      <w:pPr>
        <w:widowControl/>
        <w:numPr>
          <w:ilvl w:val="0"/>
          <w:numId w:val="27"/>
        </w:numPr>
        <w:pBdr>
          <w:top w:val="single" w:sz="4" w:space="1" w:color="auto"/>
          <w:left w:val="single" w:sz="4" w:space="4" w:color="auto"/>
          <w:bottom w:val="single" w:sz="4" w:space="1" w:color="auto"/>
          <w:right w:val="single" w:sz="4" w:space="4" w:color="auto"/>
        </w:pBdr>
        <w:shd w:val="clear" w:color="auto" w:fill="DEEAF6" w:themeFill="accent1" w:themeFillTint="33"/>
        <w:tabs>
          <w:tab w:val="clear" w:pos="360"/>
        </w:tabs>
        <w:autoSpaceDE/>
        <w:autoSpaceDN/>
        <w:spacing w:before="60"/>
        <w:jc w:val="both"/>
        <w:rPr>
          <w:bCs/>
          <w:lang w:eastAsia="de-DE"/>
        </w:rPr>
      </w:pPr>
      <w:r w:rsidRPr="007F69DA">
        <w:rPr>
          <w:bCs/>
          <w:lang w:eastAsia="de-DE"/>
        </w:rPr>
        <w:t>„Briten lieben es, Entscheidungen zu treffen – auch wenn sie kaum Ahnung haben.“</w:t>
      </w:r>
    </w:p>
    <w:p w14:paraId="4A6A4A6F" w14:textId="77777777" w:rsidR="001E58F5" w:rsidRPr="007F69DA" w:rsidRDefault="001E58F5">
      <w:pPr>
        <w:widowControl/>
        <w:numPr>
          <w:ilvl w:val="0"/>
          <w:numId w:val="27"/>
        </w:numPr>
        <w:pBdr>
          <w:top w:val="single" w:sz="4" w:space="1" w:color="auto"/>
          <w:left w:val="single" w:sz="4" w:space="4" w:color="auto"/>
          <w:bottom w:val="single" w:sz="4" w:space="1" w:color="auto"/>
          <w:right w:val="single" w:sz="4" w:space="4" w:color="auto"/>
        </w:pBdr>
        <w:shd w:val="clear" w:color="auto" w:fill="DEEAF6" w:themeFill="accent1" w:themeFillTint="33"/>
        <w:tabs>
          <w:tab w:val="clear" w:pos="360"/>
        </w:tabs>
        <w:autoSpaceDE/>
        <w:autoSpaceDN/>
        <w:spacing w:before="60"/>
        <w:jc w:val="both"/>
        <w:rPr>
          <w:bCs/>
          <w:lang w:eastAsia="de-DE"/>
        </w:rPr>
      </w:pPr>
      <w:r w:rsidRPr="007F69DA">
        <w:rPr>
          <w:bCs/>
          <w:lang w:eastAsia="de-DE"/>
        </w:rPr>
        <w:t>„In Großbritannien will jeder ein Manager sein, aber keiner will arbeiten“ (Kerber 1998, S.34).</w:t>
      </w:r>
    </w:p>
    <w:p w14:paraId="6AB65D90" w14:textId="77777777" w:rsidR="001E58F5" w:rsidRPr="007F69DA" w:rsidRDefault="001E58F5" w:rsidP="001E58F5">
      <w:pPr>
        <w:spacing w:after="120" w:line="360" w:lineRule="auto"/>
        <w:jc w:val="both"/>
        <w:rPr>
          <w:szCs w:val="24"/>
          <w:lang w:bidi="en-US"/>
        </w:rPr>
      </w:pPr>
    </w:p>
    <w:p w14:paraId="713043F6" w14:textId="77777777" w:rsidR="001E58F5" w:rsidRPr="007F69DA" w:rsidRDefault="001E58F5" w:rsidP="001E58F5">
      <w:pPr>
        <w:jc w:val="both"/>
        <w:rPr>
          <w:szCs w:val="24"/>
          <w:lang w:bidi="en-US"/>
        </w:rPr>
      </w:pPr>
      <w:r w:rsidRPr="007F69DA">
        <w:rPr>
          <w:szCs w:val="24"/>
          <w:lang w:bidi="en-US"/>
        </w:rPr>
        <w:t>Aufgrund der Zwangläufigkeit stereotypisierender Informationsverarbeitung sind auch vermeintlich rational denkende Manager vor solchen Vorurteilen bzw. „Laientheorien“ nicht gefeit (vgl. Thomas 2006).</w:t>
      </w:r>
    </w:p>
    <w:p w14:paraId="63AC2EB9" w14:textId="77777777" w:rsidR="001E58F5" w:rsidRPr="007F69DA" w:rsidRDefault="001E58F5" w:rsidP="001E58F5">
      <w:pPr>
        <w:jc w:val="both"/>
        <w:rPr>
          <w:szCs w:val="24"/>
          <w:lang w:bidi="en-US"/>
        </w:rPr>
      </w:pPr>
    </w:p>
    <w:p w14:paraId="5F8960DF" w14:textId="77777777" w:rsidR="001E58F5" w:rsidRPr="007F69DA" w:rsidRDefault="001E58F5" w:rsidP="001E58F5">
      <w:pPr>
        <w:jc w:val="both"/>
        <w:rPr>
          <w:szCs w:val="24"/>
          <w:lang w:bidi="en-US"/>
        </w:rPr>
      </w:pPr>
      <w:r w:rsidRPr="007F69DA">
        <w:rPr>
          <w:szCs w:val="24"/>
          <w:lang w:bidi="en-US"/>
        </w:rPr>
        <w:t xml:space="preserve">(3) Offenheit. Dieses Konstrukt beschreibt im Allgemeinen die Bereitschaft, Neues zu lernen. Auf einen Auslandsaufenthalt bezogen meint Offenheit die Absicht bzw. Fähigkeit, neuartige Erfahrungen mit Angehörigen anderer Kulturen zu sammeln, sich für die fremde Erfahrungswelt zu interessieren und auf </w:t>
      </w:r>
      <w:r w:rsidRPr="007F69DA">
        <w:rPr>
          <w:szCs w:val="24"/>
          <w:lang w:bidi="en-US"/>
        </w:rPr>
        <w:lastRenderedPageBreak/>
        <w:t>diesem Wege hinzuzulernen. Expatriates, die meinen, bereits alles zu wissen, werden kaum Erfolg haben.</w:t>
      </w:r>
    </w:p>
    <w:p w14:paraId="345639E8" w14:textId="77777777" w:rsidR="001E58F5" w:rsidRPr="007F69DA" w:rsidRDefault="001E58F5" w:rsidP="001E58F5">
      <w:pPr>
        <w:jc w:val="both"/>
        <w:rPr>
          <w:szCs w:val="24"/>
          <w:lang w:bidi="en-US"/>
        </w:rPr>
      </w:pPr>
    </w:p>
    <w:p w14:paraId="6AF84C86" w14:textId="77777777" w:rsidR="001E58F5" w:rsidRPr="007F69DA" w:rsidRDefault="001E58F5" w:rsidP="001E58F5">
      <w:pPr>
        <w:jc w:val="both"/>
        <w:rPr>
          <w:szCs w:val="24"/>
          <w:lang w:bidi="en-US"/>
        </w:rPr>
      </w:pPr>
      <w:r w:rsidRPr="007F69DA">
        <w:rPr>
          <w:bCs/>
          <w:szCs w:val="24"/>
          <w:lang w:bidi="en-US"/>
        </w:rPr>
        <w:t>(4) Einfühlungsvermögen</w:t>
      </w:r>
      <w:r w:rsidRPr="007F69DA">
        <w:rPr>
          <w:szCs w:val="24"/>
          <w:lang w:bidi="en-US"/>
        </w:rPr>
        <w:t>. Die Fähigkeit, sich in die Lage eines anderen zu versetzen und ihm mitfühlend zu begegnen, wird häufig auch als auch Empathie bezeichnet. Nur wer einen Sachverhalt auch aus dem Blickwinkel seines Gegenübers betrachten kann, verschafft sich ein vollständiges Bild der Lage. Somit ist Empathie gleichfalls eine wichtige Voraussetzung für einen erfolgreichen Auslandseinsatz (vgl. Thomas 2014).</w:t>
      </w:r>
    </w:p>
    <w:p w14:paraId="529CA950" w14:textId="77777777" w:rsidR="001E58F5" w:rsidRPr="007F69DA" w:rsidRDefault="001E58F5" w:rsidP="001E58F5">
      <w:pPr>
        <w:spacing w:line="360" w:lineRule="auto"/>
        <w:jc w:val="both"/>
        <w:rPr>
          <w:szCs w:val="24"/>
          <w:lang w:bidi="en-US"/>
        </w:rPr>
      </w:pPr>
    </w:p>
    <w:p w14:paraId="5F184CFC" w14:textId="77777777" w:rsidR="001E58F5" w:rsidRPr="007F69DA" w:rsidRDefault="001E58F5" w:rsidP="001E58F5">
      <w:pPr>
        <w:pBdr>
          <w:top w:val="single" w:sz="4" w:space="1" w:color="auto"/>
          <w:left w:val="single" w:sz="4" w:space="4" w:color="auto"/>
          <w:bottom w:val="single" w:sz="4" w:space="1" w:color="auto"/>
          <w:right w:val="single" w:sz="4" w:space="4" w:color="auto"/>
        </w:pBdr>
        <w:shd w:val="clear" w:color="auto" w:fill="DEEAF6" w:themeFill="accent1" w:themeFillTint="33"/>
        <w:jc w:val="center"/>
        <w:rPr>
          <w:lang w:bidi="en-US"/>
        </w:rPr>
      </w:pPr>
      <w:r w:rsidRPr="007F69DA">
        <w:rPr>
          <w:lang w:bidi="en-US"/>
        </w:rPr>
        <w:t>jen – wa – simpatía</w:t>
      </w:r>
    </w:p>
    <w:p w14:paraId="424E411B" w14:textId="77777777" w:rsidR="001E58F5" w:rsidRPr="007F69DA" w:rsidRDefault="001E58F5" w:rsidP="001E58F5">
      <w:pPr>
        <w:pBdr>
          <w:top w:val="single" w:sz="4" w:space="1" w:color="auto"/>
          <w:left w:val="single" w:sz="4" w:space="4" w:color="auto"/>
          <w:bottom w:val="single" w:sz="4" w:space="1" w:color="auto"/>
          <w:right w:val="single" w:sz="4" w:space="4" w:color="auto"/>
        </w:pBdr>
        <w:shd w:val="clear" w:color="auto" w:fill="DEEAF6" w:themeFill="accent1" w:themeFillTint="33"/>
        <w:jc w:val="center"/>
        <w:rPr>
          <w:lang w:bidi="en-US"/>
        </w:rPr>
      </w:pPr>
    </w:p>
    <w:p w14:paraId="4F246F51" w14:textId="77777777" w:rsidR="001E58F5" w:rsidRPr="007F69DA" w:rsidRDefault="001E58F5" w:rsidP="001E58F5">
      <w:pPr>
        <w:pBdr>
          <w:top w:val="single" w:sz="4" w:space="1" w:color="auto"/>
          <w:left w:val="single" w:sz="4" w:space="4" w:color="auto"/>
          <w:bottom w:val="single" w:sz="4" w:space="1" w:color="auto"/>
          <w:right w:val="single" w:sz="4" w:space="4" w:color="auto"/>
        </w:pBdr>
        <w:shd w:val="clear" w:color="auto" w:fill="DEEAF6" w:themeFill="accent1" w:themeFillTint="33"/>
        <w:jc w:val="both"/>
        <w:rPr>
          <w:lang w:bidi="en-US"/>
        </w:rPr>
      </w:pPr>
      <w:r w:rsidRPr="007F69DA">
        <w:rPr>
          <w:lang w:bidi="en-US"/>
        </w:rPr>
        <w:t>„Im immer noch stark konfuzianisch geprägten China wird als höchste Tugend ‘jen‘ angesehen, die Fähigkeit, mit anderen in ehrlicher, höflicher und bescheidener Weise zu interagieren. In Japan wiederum gilt es als entscheidend, das ‘wa‘ nicht zu stören, worunter harmonische, von gegenseitigem Respekt geprägte Interaktionen verstanden werden. In südamerikanischen Kulturen schließlich wird ‘simpatía‘ hoch geschätzt, die Fähigkeit, die Gefühle anderer zu erkennen und zu respektieren“ (Asendorpf/Neyer, 2012, S.392)</w:t>
      </w:r>
    </w:p>
    <w:p w14:paraId="43CF4D58" w14:textId="77777777" w:rsidR="001E58F5" w:rsidRPr="007F69DA" w:rsidRDefault="001E58F5" w:rsidP="001E58F5">
      <w:pPr>
        <w:spacing w:line="360" w:lineRule="auto"/>
        <w:jc w:val="center"/>
        <w:rPr>
          <w:sz w:val="18"/>
          <w:szCs w:val="18"/>
          <w:lang w:bidi="en-US"/>
        </w:rPr>
      </w:pPr>
    </w:p>
    <w:p w14:paraId="02D6F76C" w14:textId="77777777" w:rsidR="001E58F5" w:rsidRPr="007F69DA" w:rsidRDefault="001E58F5" w:rsidP="001E58F5">
      <w:pPr>
        <w:spacing w:line="360" w:lineRule="auto"/>
        <w:jc w:val="both"/>
        <w:rPr>
          <w:szCs w:val="24"/>
          <w:lang w:bidi="en-US"/>
        </w:rPr>
      </w:pPr>
    </w:p>
    <w:p w14:paraId="0BDEA488" w14:textId="62F1E718" w:rsidR="001E58F5" w:rsidRPr="007F69DA" w:rsidRDefault="004F48E5" w:rsidP="001E58F5">
      <w:pPr>
        <w:spacing w:before="120" w:after="120"/>
        <w:jc w:val="both"/>
        <w:rPr>
          <w:iCs/>
          <w:szCs w:val="24"/>
          <w:lang w:eastAsia="de-DE"/>
        </w:rPr>
      </w:pPr>
      <w:bookmarkStart w:id="52" w:name="_Toc69872117"/>
      <w:r>
        <w:rPr>
          <w:iCs/>
          <w:szCs w:val="24"/>
          <w:lang w:eastAsia="de-DE"/>
        </w:rPr>
        <w:t xml:space="preserve">2.3 </w:t>
      </w:r>
      <w:r w:rsidR="001E58F5" w:rsidRPr="007F69DA">
        <w:rPr>
          <w:iCs/>
          <w:szCs w:val="24"/>
          <w:lang w:eastAsia="de-DE"/>
        </w:rPr>
        <w:t xml:space="preserve">Kognitive </w:t>
      </w:r>
      <w:bookmarkEnd w:id="52"/>
      <w:r w:rsidR="001E58F5" w:rsidRPr="007F69DA">
        <w:rPr>
          <w:iCs/>
          <w:szCs w:val="24"/>
          <w:lang w:eastAsia="de-DE"/>
        </w:rPr>
        <w:t>Dimension</w:t>
      </w:r>
    </w:p>
    <w:p w14:paraId="775AB505" w14:textId="044428D0" w:rsidR="001E58F5" w:rsidRPr="007F69DA" w:rsidRDefault="001E58F5" w:rsidP="001E58F5">
      <w:pPr>
        <w:jc w:val="both"/>
        <w:rPr>
          <w:szCs w:val="24"/>
          <w:lang w:bidi="en-US"/>
        </w:rPr>
      </w:pPr>
      <w:r w:rsidRPr="007F69DA">
        <w:rPr>
          <w:szCs w:val="24"/>
          <w:lang w:bidi="en-US"/>
        </w:rPr>
        <w:t>(1) K</w:t>
      </w:r>
      <w:r w:rsidRPr="007F69DA">
        <w:rPr>
          <w:bCs/>
          <w:szCs w:val="24"/>
          <w:lang w:bidi="en-US"/>
        </w:rPr>
        <w:t>ulturelles Bewusstsein</w:t>
      </w:r>
      <w:r w:rsidRPr="007F69DA">
        <w:rPr>
          <w:szCs w:val="24"/>
          <w:lang w:bidi="en-US"/>
        </w:rPr>
        <w:t xml:space="preserve">. Interkulturelle Kompetenz bedarf auch der Fähigkeit, zu erkennen und zu respektieren, dass Menschen, die in unterschiedlichen Kulturen aufgewachsen sind, auf eine jeweils eigene Art fühlen, denken und handeln. Dieses Wissen hilft zu verstehen, dass ein Lateinamerikaner nicht lügt, wenn er die Frage, wann ein Auftrag erledigt sein wird, scheinbar </w:t>
      </w:r>
      <w:r w:rsidR="004F48E5" w:rsidRPr="007F69DA">
        <w:rPr>
          <w:szCs w:val="24"/>
          <w:lang w:bidi="en-US"/>
        </w:rPr>
        <w:t>wider besseres Wissen</w:t>
      </w:r>
      <w:r w:rsidRPr="007F69DA">
        <w:rPr>
          <w:szCs w:val="24"/>
          <w:lang w:bidi="en-US"/>
        </w:rPr>
        <w:t xml:space="preserve"> mit </w:t>
      </w:r>
      <w:r w:rsidRPr="007F69DA">
        <w:rPr>
          <w:bCs/>
          <w:szCs w:val="24"/>
          <w:lang w:bidi="en-US"/>
        </w:rPr>
        <w:t>‘</w:t>
      </w:r>
      <w:r w:rsidRPr="007F69DA">
        <w:rPr>
          <w:szCs w:val="24"/>
          <w:lang w:val="es-CR" w:bidi="en-US"/>
        </w:rPr>
        <w:t>mañana</w:t>
      </w:r>
      <w:r w:rsidRPr="007F69DA">
        <w:rPr>
          <w:bCs/>
          <w:szCs w:val="24"/>
          <w:lang w:bidi="en-US"/>
        </w:rPr>
        <w:t>‘</w:t>
      </w:r>
      <w:r w:rsidRPr="007F69DA">
        <w:rPr>
          <w:szCs w:val="24"/>
          <w:lang w:bidi="en-US"/>
        </w:rPr>
        <w:t xml:space="preserve"> beantwortet. Denn </w:t>
      </w:r>
      <w:r w:rsidRPr="007F69DA">
        <w:rPr>
          <w:bCs/>
          <w:szCs w:val="24"/>
          <w:lang w:bidi="en-US"/>
        </w:rPr>
        <w:t>‘</w:t>
      </w:r>
      <w:r w:rsidRPr="007F69DA">
        <w:rPr>
          <w:szCs w:val="24"/>
          <w:lang w:val="es-CR" w:bidi="en-US"/>
        </w:rPr>
        <w:t>mañana</w:t>
      </w:r>
      <w:r w:rsidRPr="007F69DA">
        <w:rPr>
          <w:bCs/>
          <w:szCs w:val="24"/>
          <w:lang w:bidi="en-US"/>
        </w:rPr>
        <w:t>‘</w:t>
      </w:r>
      <w:r w:rsidRPr="007F69DA">
        <w:rPr>
          <w:szCs w:val="24"/>
          <w:lang w:bidi="en-US"/>
        </w:rPr>
        <w:t xml:space="preserve"> bedeutet eben nicht „morgen“, wie wir zu wissen meinen, sondern „wird erledigt, aber nicht heute“.</w:t>
      </w:r>
    </w:p>
    <w:p w14:paraId="6DDF79D0" w14:textId="77777777" w:rsidR="001E58F5" w:rsidRPr="007F69DA" w:rsidRDefault="001E58F5" w:rsidP="001E58F5">
      <w:pPr>
        <w:jc w:val="both"/>
        <w:rPr>
          <w:szCs w:val="24"/>
          <w:lang w:bidi="en-US"/>
        </w:rPr>
      </w:pPr>
    </w:p>
    <w:p w14:paraId="31511EF8" w14:textId="77777777" w:rsidR="001E58F5" w:rsidRPr="007F69DA" w:rsidRDefault="001E58F5" w:rsidP="001E58F5">
      <w:pPr>
        <w:jc w:val="both"/>
        <w:rPr>
          <w:szCs w:val="24"/>
          <w:lang w:bidi="en-US"/>
        </w:rPr>
      </w:pPr>
      <w:r w:rsidRPr="007F69DA">
        <w:rPr>
          <w:szCs w:val="24"/>
          <w:lang w:bidi="en-US"/>
        </w:rPr>
        <w:t xml:space="preserve">(2) Selbstachtsamkeit. Diese Subdimension interkultureller Kompetenz erfasst </w:t>
      </w:r>
      <w:r w:rsidRPr="007F69DA">
        <w:rPr>
          <w:bCs/>
          <w:szCs w:val="24"/>
          <w:lang w:bidi="en-US"/>
        </w:rPr>
        <w:t>‘self awareness‘</w:t>
      </w:r>
      <w:r w:rsidRPr="007F69DA">
        <w:rPr>
          <w:szCs w:val="24"/>
          <w:lang w:bidi="en-US"/>
        </w:rPr>
        <w:t>. Ist die Auskunftsperson sich ihrer selbst bewusst – im Sinne von Selbstgewahrsamkeit und nicht von Selbstbewusstsein – und bereit, das eigene Verhalten zu hinterfragen. Wie Empathie und kulturelles Bewusstsein hilft Selbstachtsamkeit dabei, die eigene Position zu hinterfragen und sich vorbehaltlos auf den Umgang mit Kulturfremden einzulassen.</w:t>
      </w:r>
    </w:p>
    <w:p w14:paraId="101DD40F" w14:textId="77777777" w:rsidR="001E58F5" w:rsidRPr="007F69DA" w:rsidRDefault="001E58F5" w:rsidP="001E58F5">
      <w:pPr>
        <w:jc w:val="both"/>
        <w:rPr>
          <w:szCs w:val="24"/>
          <w:lang w:bidi="en-US"/>
        </w:rPr>
      </w:pPr>
    </w:p>
    <w:p w14:paraId="635CED42" w14:textId="77777777" w:rsidR="001E58F5" w:rsidRPr="007F69DA" w:rsidRDefault="001E58F5" w:rsidP="001E58F5">
      <w:pPr>
        <w:jc w:val="both"/>
        <w:rPr>
          <w:szCs w:val="24"/>
          <w:lang w:bidi="en-US"/>
        </w:rPr>
      </w:pPr>
      <w:r w:rsidRPr="007F69DA">
        <w:rPr>
          <w:szCs w:val="24"/>
          <w:lang w:bidi="en-US"/>
        </w:rPr>
        <w:t xml:space="preserve">(3) Selbstbewusstsein. Kulturelles Bewusstsein (‘cultural awareness‘) und Selbstachtsamkeit (‘self awareness‘) versetzen Entsandte in die Lage, angemessen zu handeln (d.h. den Erwartungen der Verhandlungspartner zu entsprechen), und Selbstbewusstsein, effektiv zu handeln. Denn Entsandte sollen nicht die eigene kulturelle Identität verneinen und sich der fremden Kultur bedingungslos unterordnen. Sie streben </w:t>
      </w:r>
      <w:r w:rsidRPr="007F69DA">
        <w:rPr>
          <w:bCs/>
          <w:szCs w:val="24"/>
          <w:lang w:bidi="en-US"/>
        </w:rPr>
        <w:t>selbstbewusst</w:t>
      </w:r>
      <w:r w:rsidRPr="007F69DA">
        <w:rPr>
          <w:szCs w:val="24"/>
          <w:lang w:bidi="en-US"/>
        </w:rPr>
        <w:t xml:space="preserve"> danach, ihre eigenen Ziele zu erreichen.</w:t>
      </w:r>
    </w:p>
    <w:p w14:paraId="7F06E473" w14:textId="77777777" w:rsidR="001E58F5" w:rsidRPr="007F69DA" w:rsidRDefault="001E58F5" w:rsidP="001E58F5">
      <w:pPr>
        <w:jc w:val="both"/>
        <w:rPr>
          <w:szCs w:val="24"/>
          <w:lang w:bidi="en-US"/>
        </w:rPr>
      </w:pPr>
    </w:p>
    <w:p w14:paraId="46770A0F" w14:textId="77777777" w:rsidR="001E58F5" w:rsidRPr="007F69DA" w:rsidRDefault="001E58F5" w:rsidP="001E58F5">
      <w:pPr>
        <w:jc w:val="both"/>
        <w:rPr>
          <w:szCs w:val="24"/>
          <w:lang w:bidi="en-US"/>
        </w:rPr>
      </w:pPr>
      <w:r w:rsidRPr="007F69DA">
        <w:rPr>
          <w:bCs/>
          <w:szCs w:val="24"/>
          <w:lang w:bidi="en-US"/>
        </w:rPr>
        <w:t>(4) Realistische Erwartungen.</w:t>
      </w:r>
      <w:r w:rsidRPr="007F69DA">
        <w:rPr>
          <w:szCs w:val="24"/>
          <w:lang w:bidi="en-US"/>
        </w:rPr>
        <w:t xml:space="preserve"> Wer weiß, was ihn im Gastland erwartet, wird weniger leicht enttäuscht und daher mit seinem Aufenthalt zufriedener sein als ein Kollege, der mit allzu idealisierenden Vorstellungen seine Aufgabe in einer Auslandsniederlassung übernommen hat. Realistische Erwartungen sorgen dafür, dass die Honeymoon-Phase nicht allzu überschwänglich und der anschließende </w:t>
      </w:r>
      <w:r w:rsidRPr="007F69DA">
        <w:rPr>
          <w:szCs w:val="24"/>
          <w:lang w:bidi="en-US"/>
        </w:rPr>
        <w:sym w:font="Symbol" w:char="F0DE"/>
      </w:r>
      <w:r w:rsidRPr="007F69DA">
        <w:rPr>
          <w:szCs w:val="24"/>
          <w:lang w:bidi="en-US"/>
        </w:rPr>
        <w:t xml:space="preserve"> Kulturschock nicht allzu heftig ausfallen.</w:t>
      </w:r>
    </w:p>
    <w:p w14:paraId="5FC9CC12" w14:textId="77777777" w:rsidR="001E58F5" w:rsidRPr="007F69DA" w:rsidRDefault="001E58F5" w:rsidP="001E58F5">
      <w:pPr>
        <w:jc w:val="both"/>
        <w:rPr>
          <w:szCs w:val="24"/>
          <w:lang w:bidi="en-US"/>
        </w:rPr>
      </w:pPr>
    </w:p>
    <w:p w14:paraId="5BA6BA96" w14:textId="767CE173" w:rsidR="001E58F5" w:rsidRPr="007F69DA" w:rsidRDefault="004F48E5" w:rsidP="001E58F5">
      <w:pPr>
        <w:spacing w:before="120" w:after="120"/>
        <w:jc w:val="both"/>
        <w:rPr>
          <w:iCs/>
          <w:szCs w:val="24"/>
          <w:lang w:eastAsia="de-DE"/>
        </w:rPr>
      </w:pPr>
      <w:r>
        <w:rPr>
          <w:iCs/>
          <w:szCs w:val="24"/>
          <w:lang w:eastAsia="de-DE"/>
        </w:rPr>
        <w:t xml:space="preserve">2.4 </w:t>
      </w:r>
      <w:r w:rsidR="001E58F5" w:rsidRPr="007F69DA">
        <w:rPr>
          <w:iCs/>
          <w:szCs w:val="24"/>
          <w:lang w:eastAsia="de-DE"/>
        </w:rPr>
        <w:t>Handlungsdimension</w:t>
      </w:r>
    </w:p>
    <w:p w14:paraId="2650E37C" w14:textId="77777777" w:rsidR="001E58F5" w:rsidRPr="007F69DA" w:rsidRDefault="001E58F5" w:rsidP="001E58F5">
      <w:pPr>
        <w:spacing w:after="360"/>
        <w:jc w:val="both"/>
        <w:rPr>
          <w:szCs w:val="24"/>
          <w:lang w:bidi="en-US"/>
        </w:rPr>
      </w:pPr>
      <w:r w:rsidRPr="007F69DA">
        <w:rPr>
          <w:szCs w:val="24"/>
          <w:lang w:bidi="en-US"/>
        </w:rPr>
        <w:t xml:space="preserve">(1) Respekt. Wer die Grundregeln menschlicher Kommunikation beachtet – d.h. höflich und zugewandt ist, andere Ansichten anerkennt etc. – wird allein schon aufgrund der Reziprozitätsnorm mehr Entgegenkommen erwarten können als jemand, der durch Körperhaltung, Mimik und mit Worten zu erkennen gibt, dass er seinen Verhandlungspartner nicht ernst nimmt oder ablehnt. </w:t>
      </w:r>
    </w:p>
    <w:p w14:paraId="0833E178" w14:textId="77777777" w:rsidR="001E58F5" w:rsidRPr="007F69DA" w:rsidRDefault="001E58F5" w:rsidP="001E58F5">
      <w:pPr>
        <w:pBdr>
          <w:top w:val="single" w:sz="4" w:space="0" w:color="auto"/>
          <w:left w:val="single" w:sz="4" w:space="4" w:color="auto"/>
          <w:bottom w:val="single" w:sz="4" w:space="1" w:color="auto"/>
          <w:right w:val="single" w:sz="4" w:space="4" w:color="auto"/>
        </w:pBdr>
        <w:shd w:val="clear" w:color="auto" w:fill="DEEAF6" w:themeFill="accent1" w:themeFillTint="33"/>
        <w:spacing w:after="360"/>
        <w:jc w:val="center"/>
        <w:rPr>
          <w:lang w:bidi="en-US"/>
        </w:rPr>
      </w:pPr>
      <w:r w:rsidRPr="007F69DA">
        <w:rPr>
          <w:lang w:bidi="en-US"/>
        </w:rPr>
        <w:t>Alltägliche  Unhöflichkeit</w:t>
      </w:r>
    </w:p>
    <w:p w14:paraId="495D6EC4" w14:textId="77777777" w:rsidR="001E58F5" w:rsidRPr="007F69DA" w:rsidRDefault="001E58F5">
      <w:pPr>
        <w:widowControl/>
        <w:numPr>
          <w:ilvl w:val="0"/>
          <w:numId w:val="27"/>
        </w:numPr>
        <w:pBdr>
          <w:top w:val="single" w:sz="4" w:space="0" w:color="auto"/>
          <w:left w:val="single" w:sz="4" w:space="4" w:color="auto"/>
          <w:bottom w:val="single" w:sz="4" w:space="1" w:color="auto"/>
          <w:right w:val="single" w:sz="4" w:space="4" w:color="auto"/>
        </w:pBdr>
        <w:shd w:val="clear" w:color="auto" w:fill="DEEAF6" w:themeFill="accent1" w:themeFillTint="33"/>
        <w:tabs>
          <w:tab w:val="clear" w:pos="360"/>
        </w:tabs>
        <w:autoSpaceDE/>
        <w:autoSpaceDN/>
        <w:spacing w:line="264" w:lineRule="auto"/>
        <w:jc w:val="both"/>
        <w:rPr>
          <w:bCs/>
          <w:lang w:eastAsia="de-DE"/>
        </w:rPr>
      </w:pPr>
      <w:r w:rsidRPr="007F69DA">
        <w:rPr>
          <w:bCs/>
          <w:lang w:eastAsia="de-DE"/>
        </w:rPr>
        <w:lastRenderedPageBreak/>
        <w:t>Während der Unterhaltung schaut Ihr Gesprächspartner immer wieder auf den Monitor seines PCs, ruft E-Mails ab etc.</w:t>
      </w:r>
    </w:p>
    <w:p w14:paraId="206F3B8F" w14:textId="77777777" w:rsidR="001E58F5" w:rsidRPr="007F69DA" w:rsidRDefault="001E58F5">
      <w:pPr>
        <w:widowControl/>
        <w:numPr>
          <w:ilvl w:val="0"/>
          <w:numId w:val="27"/>
        </w:numPr>
        <w:pBdr>
          <w:top w:val="single" w:sz="4" w:space="0" w:color="auto"/>
          <w:left w:val="single" w:sz="4" w:space="4" w:color="auto"/>
          <w:bottom w:val="single" w:sz="4" w:space="1" w:color="auto"/>
          <w:right w:val="single" w:sz="4" w:space="4" w:color="auto"/>
        </w:pBdr>
        <w:shd w:val="clear" w:color="auto" w:fill="DEEAF6" w:themeFill="accent1" w:themeFillTint="33"/>
        <w:tabs>
          <w:tab w:val="clear" w:pos="360"/>
        </w:tabs>
        <w:autoSpaceDE/>
        <w:autoSpaceDN/>
        <w:spacing w:line="264" w:lineRule="auto"/>
        <w:jc w:val="both"/>
        <w:rPr>
          <w:bCs/>
          <w:lang w:eastAsia="de-DE"/>
        </w:rPr>
      </w:pPr>
      <w:r w:rsidRPr="007F69DA">
        <w:rPr>
          <w:bCs/>
          <w:lang w:eastAsia="de-DE"/>
        </w:rPr>
        <w:t>Ihr Gesprächspartner schaut wiederholt auf seine Armbanduhr.</w:t>
      </w:r>
    </w:p>
    <w:p w14:paraId="664C9512" w14:textId="77777777" w:rsidR="001E58F5" w:rsidRPr="007F69DA" w:rsidRDefault="001E58F5">
      <w:pPr>
        <w:widowControl/>
        <w:numPr>
          <w:ilvl w:val="0"/>
          <w:numId w:val="27"/>
        </w:numPr>
        <w:pBdr>
          <w:top w:val="single" w:sz="4" w:space="0" w:color="auto"/>
          <w:left w:val="single" w:sz="4" w:space="4" w:color="auto"/>
          <w:bottom w:val="single" w:sz="4" w:space="1" w:color="auto"/>
          <w:right w:val="single" w:sz="4" w:space="4" w:color="auto"/>
        </w:pBdr>
        <w:shd w:val="clear" w:color="auto" w:fill="DEEAF6" w:themeFill="accent1" w:themeFillTint="33"/>
        <w:tabs>
          <w:tab w:val="clear" w:pos="360"/>
        </w:tabs>
        <w:autoSpaceDE/>
        <w:autoSpaceDN/>
        <w:spacing w:line="264" w:lineRule="auto"/>
        <w:jc w:val="both"/>
        <w:rPr>
          <w:bCs/>
          <w:lang w:eastAsia="de-DE"/>
        </w:rPr>
      </w:pPr>
      <w:r w:rsidRPr="007F69DA">
        <w:rPr>
          <w:bCs/>
          <w:lang w:eastAsia="de-DE"/>
        </w:rPr>
        <w:t>Während eines Telefonats hören Sie im Hintergrund die Tastatur des PCs ihres Gesprächspartners klappern.</w:t>
      </w:r>
    </w:p>
    <w:p w14:paraId="22FFAF41" w14:textId="77777777" w:rsidR="001E58F5" w:rsidRPr="007F69DA" w:rsidRDefault="001E58F5">
      <w:pPr>
        <w:widowControl/>
        <w:numPr>
          <w:ilvl w:val="0"/>
          <w:numId w:val="27"/>
        </w:numPr>
        <w:pBdr>
          <w:top w:val="single" w:sz="4" w:space="0" w:color="auto"/>
          <w:left w:val="single" w:sz="4" w:space="4" w:color="auto"/>
          <w:bottom w:val="single" w:sz="4" w:space="1" w:color="auto"/>
          <w:right w:val="single" w:sz="4" w:space="4" w:color="auto"/>
        </w:pBdr>
        <w:shd w:val="clear" w:color="auto" w:fill="DEEAF6" w:themeFill="accent1" w:themeFillTint="33"/>
        <w:tabs>
          <w:tab w:val="clear" w:pos="360"/>
        </w:tabs>
        <w:autoSpaceDE/>
        <w:autoSpaceDN/>
        <w:spacing w:line="264" w:lineRule="auto"/>
        <w:jc w:val="both"/>
        <w:rPr>
          <w:bCs/>
          <w:sz w:val="18"/>
          <w:szCs w:val="18"/>
          <w:lang w:eastAsia="de-DE"/>
        </w:rPr>
      </w:pPr>
      <w:r w:rsidRPr="007F69DA">
        <w:rPr>
          <w:bCs/>
          <w:lang w:eastAsia="de-DE"/>
        </w:rPr>
        <w:t>Zu einem Treffen, um das Sie gebeten haben, schickt ein Geschäftspartner ohne Begründung einen Stellvertreter.</w:t>
      </w:r>
    </w:p>
    <w:p w14:paraId="45F310AD" w14:textId="77777777" w:rsidR="001E58F5" w:rsidRPr="007F69DA" w:rsidRDefault="001E58F5" w:rsidP="001E58F5">
      <w:pPr>
        <w:spacing w:before="60" w:line="360" w:lineRule="auto"/>
        <w:jc w:val="both"/>
        <w:rPr>
          <w:szCs w:val="24"/>
          <w:lang w:eastAsia="de-DE"/>
        </w:rPr>
      </w:pPr>
    </w:p>
    <w:p w14:paraId="18D3A24E" w14:textId="77777777" w:rsidR="001E58F5" w:rsidRPr="007F69DA" w:rsidRDefault="001E58F5" w:rsidP="001E58F5">
      <w:pPr>
        <w:jc w:val="both"/>
        <w:rPr>
          <w:szCs w:val="24"/>
          <w:lang w:bidi="en-US"/>
        </w:rPr>
      </w:pPr>
      <w:r w:rsidRPr="007F69DA">
        <w:rPr>
          <w:szCs w:val="24"/>
          <w:lang w:bidi="en-US"/>
        </w:rPr>
        <w:t xml:space="preserve">Manche Formen der Respektbezeugung (bzw. Unhöflichkeit) allerdings unterscheiden sich von Land zu Land. So gilt es nicht überall als höflich, sich bei seinem Gastgeber mit einem Blumenstrauß zu bedanken. Nicht überall ist es verpönt, mit der linken, der „unreinen Hand“ bestimmte Tätigkeiten (z.B. Essen) zu vollziehen. Aber es gibt einige </w:t>
      </w:r>
      <w:r w:rsidRPr="007F69DA">
        <w:rPr>
          <w:bCs/>
          <w:szCs w:val="24"/>
          <w:lang w:bidi="en-US"/>
        </w:rPr>
        <w:t>universelle Verhaltensweisen</w:t>
      </w:r>
      <w:r w:rsidRPr="007F69DA">
        <w:rPr>
          <w:szCs w:val="24"/>
          <w:lang w:bidi="en-US"/>
        </w:rPr>
        <w:t>, die in jeder Kultur als höflich gelten und die Verständigung erleichtern (vgl. Tab. 1).</w:t>
      </w:r>
    </w:p>
    <w:p w14:paraId="0A063B91" w14:textId="77777777" w:rsidR="001E58F5" w:rsidRPr="007F69DA" w:rsidRDefault="001E58F5" w:rsidP="001E58F5">
      <w:pPr>
        <w:spacing w:line="360" w:lineRule="auto"/>
        <w:jc w:val="both"/>
        <w:rPr>
          <w:szCs w:val="24"/>
          <w:lang w:bidi="en-US"/>
        </w:rPr>
      </w:pPr>
    </w:p>
    <w:p w14:paraId="2C27EA1E" w14:textId="77777777" w:rsidR="001E58F5" w:rsidRPr="00544326" w:rsidRDefault="001E58F5" w:rsidP="001E58F5">
      <w:pPr>
        <w:spacing w:after="120" w:line="360" w:lineRule="auto"/>
        <w:jc w:val="center"/>
        <w:rPr>
          <w:i/>
          <w:szCs w:val="20"/>
          <w:lang w:eastAsia="de-DE"/>
        </w:rPr>
      </w:pPr>
      <w:r w:rsidRPr="00544326">
        <w:rPr>
          <w:i/>
          <w:szCs w:val="20"/>
          <w:lang w:eastAsia="de-DE"/>
        </w:rPr>
        <w:t xml:space="preserve">Tab. 1: Regeln für respektvolles Verhalten in interkulturellen Verhandlungen </w:t>
      </w:r>
    </w:p>
    <w:tbl>
      <w:tblPr>
        <w:tblW w:w="5202" w:type="pct"/>
        <w:tblBorders>
          <w:top w:val="single" w:sz="4" w:space="0" w:color="auto"/>
          <w:left w:val="single" w:sz="4" w:space="0" w:color="auto"/>
          <w:bottom w:val="single" w:sz="4" w:space="0" w:color="auto"/>
          <w:right w:val="single" w:sz="4" w:space="0" w:color="auto"/>
          <w:insideH w:val="single" w:sz="4" w:space="0" w:color="auto"/>
        </w:tblBorders>
        <w:tblCellMar>
          <w:left w:w="70" w:type="dxa"/>
          <w:right w:w="70" w:type="dxa"/>
        </w:tblCellMar>
        <w:tblLook w:val="0000" w:firstRow="0" w:lastRow="0" w:firstColumn="0" w:lastColumn="0" w:noHBand="0" w:noVBand="0"/>
      </w:tblPr>
      <w:tblGrid>
        <w:gridCol w:w="4176"/>
        <w:gridCol w:w="353"/>
        <w:gridCol w:w="4386"/>
        <w:gridCol w:w="147"/>
        <w:gridCol w:w="206"/>
        <w:gridCol w:w="160"/>
      </w:tblGrid>
      <w:tr w:rsidR="001E58F5" w:rsidRPr="007F69DA" w14:paraId="38158A95" w14:textId="77777777" w:rsidTr="0023089B">
        <w:trPr>
          <w:gridAfter w:val="2"/>
          <w:wAfter w:w="195" w:type="pct"/>
          <w:trHeight w:val="476"/>
        </w:trPr>
        <w:tc>
          <w:tcPr>
            <w:tcW w:w="4805" w:type="pct"/>
            <w:gridSpan w:val="4"/>
            <w:shd w:val="clear" w:color="auto" w:fill="FFC000"/>
          </w:tcPr>
          <w:p w14:paraId="124D3C78" w14:textId="77777777" w:rsidR="001E58F5" w:rsidRPr="007F69DA" w:rsidRDefault="001E58F5" w:rsidP="00F46ACB">
            <w:pPr>
              <w:spacing w:before="50" w:after="50"/>
              <w:jc w:val="center"/>
              <w:rPr>
                <w:bCs/>
                <w:lang w:eastAsia="de-DE"/>
              </w:rPr>
            </w:pPr>
            <w:r w:rsidRPr="007F69DA">
              <w:rPr>
                <w:b/>
                <w:bCs/>
                <w:lang w:eastAsia="de-DE"/>
              </w:rPr>
              <w:t>Verbale</w:t>
            </w:r>
            <w:r w:rsidRPr="007F69DA">
              <w:rPr>
                <w:b/>
                <w:lang w:eastAsia="de-DE"/>
              </w:rPr>
              <w:t xml:space="preserve"> Kommunikation</w:t>
            </w:r>
          </w:p>
        </w:tc>
      </w:tr>
      <w:tr w:rsidR="001E58F5" w:rsidRPr="007F69DA" w14:paraId="05B02BC7" w14:textId="77777777" w:rsidTr="0023089B">
        <w:tc>
          <w:tcPr>
            <w:tcW w:w="2402" w:type="pct"/>
            <w:gridSpan w:val="2"/>
            <w:shd w:val="clear" w:color="auto" w:fill="DEEAF6" w:themeFill="accent1" w:themeFillTint="33"/>
          </w:tcPr>
          <w:p w14:paraId="2D723871" w14:textId="77777777" w:rsidR="001E58F5" w:rsidRPr="007F69DA" w:rsidRDefault="001E58F5" w:rsidP="00F46ACB">
            <w:pPr>
              <w:tabs>
                <w:tab w:val="left" w:pos="3753"/>
              </w:tabs>
              <w:spacing w:before="50" w:after="50"/>
              <w:jc w:val="both"/>
              <w:rPr>
                <w:bCs/>
                <w:lang w:eastAsia="de-DE"/>
              </w:rPr>
            </w:pPr>
            <w:r w:rsidRPr="007F69DA">
              <w:rPr>
                <w:bCs/>
                <w:lang w:eastAsia="de-DE"/>
              </w:rPr>
              <w:t>Durch Blickkontakt, Fragen und Wiederholungen zeigen, dass man „aktiv“ zuhört</w:t>
            </w:r>
          </w:p>
        </w:tc>
        <w:tc>
          <w:tcPr>
            <w:tcW w:w="2513" w:type="pct"/>
            <w:gridSpan w:val="3"/>
            <w:shd w:val="clear" w:color="auto" w:fill="DEEAF6" w:themeFill="accent1" w:themeFillTint="33"/>
          </w:tcPr>
          <w:p w14:paraId="11EC1761" w14:textId="77777777" w:rsidR="001E58F5" w:rsidRPr="007F69DA" w:rsidRDefault="001E58F5" w:rsidP="00F46ACB">
            <w:pPr>
              <w:spacing w:before="50" w:after="50"/>
              <w:jc w:val="both"/>
              <w:rPr>
                <w:bCs/>
                <w:lang w:eastAsia="de-DE"/>
              </w:rPr>
            </w:pPr>
          </w:p>
        </w:tc>
        <w:tc>
          <w:tcPr>
            <w:tcW w:w="85" w:type="pct"/>
            <w:shd w:val="clear" w:color="auto" w:fill="DEEAF6" w:themeFill="accent1" w:themeFillTint="33"/>
          </w:tcPr>
          <w:p w14:paraId="29498CED" w14:textId="77777777" w:rsidR="001E58F5" w:rsidRPr="007F69DA" w:rsidRDefault="001E58F5" w:rsidP="00F46ACB">
            <w:pPr>
              <w:spacing w:before="50" w:after="50"/>
              <w:jc w:val="both"/>
              <w:rPr>
                <w:bCs/>
                <w:lang w:eastAsia="de-DE"/>
              </w:rPr>
            </w:pPr>
          </w:p>
        </w:tc>
      </w:tr>
      <w:tr w:rsidR="001E58F5" w:rsidRPr="007F69DA" w14:paraId="7DC42AE4" w14:textId="77777777" w:rsidTr="0023089B">
        <w:tc>
          <w:tcPr>
            <w:tcW w:w="2402" w:type="pct"/>
            <w:gridSpan w:val="2"/>
            <w:shd w:val="clear" w:color="auto" w:fill="DEEAF6" w:themeFill="accent1" w:themeFillTint="33"/>
          </w:tcPr>
          <w:p w14:paraId="528C364D" w14:textId="77777777" w:rsidR="001E58F5" w:rsidRPr="007F69DA" w:rsidRDefault="001E58F5" w:rsidP="00F46ACB">
            <w:pPr>
              <w:tabs>
                <w:tab w:val="left" w:pos="3753"/>
              </w:tabs>
              <w:spacing w:before="50" w:after="50"/>
              <w:jc w:val="both"/>
              <w:rPr>
                <w:bCs/>
                <w:lang w:eastAsia="de-DE"/>
              </w:rPr>
            </w:pPr>
            <w:r w:rsidRPr="007F69DA">
              <w:rPr>
                <w:bCs/>
                <w:lang w:eastAsia="de-DE"/>
              </w:rPr>
              <w:t>Nachfragen, um sicherzugehen, dass man sein Gegenüber verstanden hat</w:t>
            </w:r>
          </w:p>
        </w:tc>
        <w:tc>
          <w:tcPr>
            <w:tcW w:w="2513" w:type="pct"/>
            <w:gridSpan w:val="3"/>
            <w:shd w:val="clear" w:color="auto" w:fill="DEEAF6" w:themeFill="accent1" w:themeFillTint="33"/>
          </w:tcPr>
          <w:p w14:paraId="680C0CF9" w14:textId="77777777" w:rsidR="001E58F5" w:rsidRPr="007F69DA" w:rsidRDefault="001E58F5" w:rsidP="00F46ACB">
            <w:pPr>
              <w:spacing w:before="50" w:after="50"/>
              <w:jc w:val="both"/>
              <w:rPr>
                <w:bCs/>
                <w:lang w:eastAsia="de-DE"/>
              </w:rPr>
            </w:pPr>
          </w:p>
        </w:tc>
        <w:tc>
          <w:tcPr>
            <w:tcW w:w="85" w:type="pct"/>
            <w:shd w:val="clear" w:color="auto" w:fill="DEEAF6" w:themeFill="accent1" w:themeFillTint="33"/>
          </w:tcPr>
          <w:p w14:paraId="315AA6F7" w14:textId="77777777" w:rsidR="001E58F5" w:rsidRPr="007F69DA" w:rsidRDefault="001E58F5" w:rsidP="00F46ACB">
            <w:pPr>
              <w:spacing w:before="50" w:after="50"/>
              <w:jc w:val="both"/>
              <w:rPr>
                <w:bCs/>
                <w:lang w:eastAsia="de-DE"/>
              </w:rPr>
            </w:pPr>
          </w:p>
        </w:tc>
      </w:tr>
      <w:tr w:rsidR="001E58F5" w:rsidRPr="007F69DA" w14:paraId="58E27676" w14:textId="77777777" w:rsidTr="0023089B">
        <w:tc>
          <w:tcPr>
            <w:tcW w:w="2402" w:type="pct"/>
            <w:gridSpan w:val="2"/>
            <w:shd w:val="clear" w:color="auto" w:fill="DEEAF6" w:themeFill="accent1" w:themeFillTint="33"/>
          </w:tcPr>
          <w:p w14:paraId="69AE72DF" w14:textId="77777777" w:rsidR="001E58F5" w:rsidRPr="007F69DA" w:rsidRDefault="001E58F5" w:rsidP="00F46ACB">
            <w:pPr>
              <w:tabs>
                <w:tab w:val="left" w:pos="3753"/>
              </w:tabs>
              <w:spacing w:before="50" w:after="50"/>
              <w:jc w:val="both"/>
              <w:rPr>
                <w:bCs/>
                <w:lang w:eastAsia="de-DE"/>
              </w:rPr>
            </w:pPr>
            <w:r w:rsidRPr="007F69DA">
              <w:rPr>
                <w:bCs/>
                <w:lang w:eastAsia="de-DE"/>
              </w:rPr>
              <w:t>Nachfragen, um sicherzugehen, dass der Gesprächspartner verstanden hat</w:t>
            </w:r>
          </w:p>
        </w:tc>
        <w:tc>
          <w:tcPr>
            <w:tcW w:w="2513" w:type="pct"/>
            <w:gridSpan w:val="3"/>
            <w:shd w:val="clear" w:color="auto" w:fill="DEEAF6" w:themeFill="accent1" w:themeFillTint="33"/>
          </w:tcPr>
          <w:p w14:paraId="6479D390" w14:textId="77777777" w:rsidR="001E58F5" w:rsidRPr="007F69DA" w:rsidRDefault="001E58F5" w:rsidP="00F46ACB">
            <w:pPr>
              <w:spacing w:before="50" w:after="50"/>
              <w:jc w:val="both"/>
              <w:rPr>
                <w:bCs/>
                <w:lang w:eastAsia="de-DE"/>
              </w:rPr>
            </w:pPr>
          </w:p>
        </w:tc>
        <w:tc>
          <w:tcPr>
            <w:tcW w:w="85" w:type="pct"/>
            <w:shd w:val="clear" w:color="auto" w:fill="DEEAF6" w:themeFill="accent1" w:themeFillTint="33"/>
          </w:tcPr>
          <w:p w14:paraId="30B63380" w14:textId="77777777" w:rsidR="001E58F5" w:rsidRPr="007F69DA" w:rsidRDefault="001E58F5" w:rsidP="00F46ACB">
            <w:pPr>
              <w:spacing w:before="50" w:after="50"/>
              <w:jc w:val="both"/>
              <w:rPr>
                <w:bCs/>
                <w:lang w:eastAsia="de-DE"/>
              </w:rPr>
            </w:pPr>
          </w:p>
        </w:tc>
      </w:tr>
      <w:tr w:rsidR="001E58F5" w:rsidRPr="007F69DA" w14:paraId="7EC01E35" w14:textId="77777777" w:rsidTr="0023089B">
        <w:tc>
          <w:tcPr>
            <w:tcW w:w="2402" w:type="pct"/>
            <w:gridSpan w:val="2"/>
            <w:shd w:val="clear" w:color="auto" w:fill="DEEAF6" w:themeFill="accent1" w:themeFillTint="33"/>
          </w:tcPr>
          <w:p w14:paraId="02E77938" w14:textId="77777777" w:rsidR="001E58F5" w:rsidRPr="007F69DA" w:rsidRDefault="001E58F5" w:rsidP="00F46ACB">
            <w:pPr>
              <w:tabs>
                <w:tab w:val="left" w:pos="3753"/>
              </w:tabs>
              <w:spacing w:before="50" w:after="50"/>
              <w:jc w:val="both"/>
              <w:rPr>
                <w:bCs/>
                <w:lang w:eastAsia="de-DE"/>
              </w:rPr>
            </w:pPr>
            <w:r w:rsidRPr="007F69DA">
              <w:rPr>
                <w:bCs/>
                <w:lang w:eastAsia="de-DE"/>
              </w:rPr>
              <w:t>Implizite Botschaften vermeiden (Metaphern, Sprichwörter, Wortspiele)</w:t>
            </w:r>
          </w:p>
        </w:tc>
        <w:tc>
          <w:tcPr>
            <w:tcW w:w="2513" w:type="pct"/>
            <w:gridSpan w:val="3"/>
            <w:shd w:val="clear" w:color="auto" w:fill="DEEAF6" w:themeFill="accent1" w:themeFillTint="33"/>
          </w:tcPr>
          <w:p w14:paraId="0521FF7C" w14:textId="77777777" w:rsidR="001E58F5" w:rsidRPr="007F69DA" w:rsidRDefault="001E58F5" w:rsidP="00F46ACB">
            <w:pPr>
              <w:spacing w:before="50" w:after="50"/>
              <w:jc w:val="both"/>
              <w:rPr>
                <w:bCs/>
                <w:lang w:eastAsia="de-DE"/>
              </w:rPr>
            </w:pPr>
          </w:p>
        </w:tc>
        <w:tc>
          <w:tcPr>
            <w:tcW w:w="85" w:type="pct"/>
            <w:shd w:val="clear" w:color="auto" w:fill="DEEAF6" w:themeFill="accent1" w:themeFillTint="33"/>
          </w:tcPr>
          <w:p w14:paraId="0452FCFD" w14:textId="77777777" w:rsidR="001E58F5" w:rsidRPr="007F69DA" w:rsidRDefault="001E58F5" w:rsidP="00F46ACB">
            <w:pPr>
              <w:spacing w:before="50" w:after="50"/>
              <w:jc w:val="both"/>
              <w:rPr>
                <w:bCs/>
                <w:lang w:eastAsia="de-DE"/>
              </w:rPr>
            </w:pPr>
          </w:p>
        </w:tc>
      </w:tr>
      <w:tr w:rsidR="001E58F5" w:rsidRPr="007F69DA" w14:paraId="631445DB" w14:textId="77777777" w:rsidTr="0023089B">
        <w:tc>
          <w:tcPr>
            <w:tcW w:w="2402" w:type="pct"/>
            <w:gridSpan w:val="2"/>
            <w:shd w:val="clear" w:color="auto" w:fill="DEEAF6" w:themeFill="accent1" w:themeFillTint="33"/>
          </w:tcPr>
          <w:p w14:paraId="2B53E3ED" w14:textId="77777777" w:rsidR="001E58F5" w:rsidRPr="007F69DA" w:rsidRDefault="001E58F5" w:rsidP="00F46ACB">
            <w:pPr>
              <w:tabs>
                <w:tab w:val="left" w:pos="3753"/>
              </w:tabs>
              <w:spacing w:before="50" w:after="50"/>
              <w:jc w:val="both"/>
              <w:rPr>
                <w:bCs/>
                <w:lang w:eastAsia="de-DE"/>
              </w:rPr>
            </w:pPr>
            <w:r w:rsidRPr="007F69DA">
              <w:rPr>
                <w:bCs/>
                <w:lang w:eastAsia="de-DE"/>
              </w:rPr>
              <w:t>Die eigene Sprache langsam und deutlich sprechen, aber nicht zu langsam und überdeutlich</w:t>
            </w:r>
          </w:p>
        </w:tc>
        <w:tc>
          <w:tcPr>
            <w:tcW w:w="2513" w:type="pct"/>
            <w:gridSpan w:val="3"/>
            <w:shd w:val="clear" w:color="auto" w:fill="DEEAF6" w:themeFill="accent1" w:themeFillTint="33"/>
          </w:tcPr>
          <w:p w14:paraId="4C5BB3AB" w14:textId="77777777" w:rsidR="001E58F5" w:rsidRPr="007F69DA" w:rsidRDefault="001E58F5" w:rsidP="00F46ACB">
            <w:pPr>
              <w:spacing w:before="50" w:after="50"/>
              <w:jc w:val="both"/>
              <w:rPr>
                <w:bCs/>
                <w:lang w:eastAsia="de-DE"/>
              </w:rPr>
            </w:pPr>
          </w:p>
        </w:tc>
        <w:tc>
          <w:tcPr>
            <w:tcW w:w="85" w:type="pct"/>
            <w:shd w:val="clear" w:color="auto" w:fill="DEEAF6" w:themeFill="accent1" w:themeFillTint="33"/>
          </w:tcPr>
          <w:p w14:paraId="75088647" w14:textId="77777777" w:rsidR="001E58F5" w:rsidRPr="007F69DA" w:rsidRDefault="001E58F5" w:rsidP="00F46ACB">
            <w:pPr>
              <w:spacing w:before="50" w:after="50"/>
              <w:jc w:val="both"/>
              <w:rPr>
                <w:bCs/>
                <w:lang w:eastAsia="de-DE"/>
              </w:rPr>
            </w:pPr>
          </w:p>
        </w:tc>
      </w:tr>
      <w:tr w:rsidR="001E58F5" w:rsidRPr="007F69DA" w14:paraId="29CCDF4F" w14:textId="77777777" w:rsidTr="0023089B">
        <w:tc>
          <w:tcPr>
            <w:tcW w:w="2402" w:type="pct"/>
            <w:gridSpan w:val="2"/>
            <w:shd w:val="clear" w:color="auto" w:fill="DEEAF6" w:themeFill="accent1" w:themeFillTint="33"/>
          </w:tcPr>
          <w:p w14:paraId="1BC8CA56" w14:textId="77777777" w:rsidR="001E58F5" w:rsidRPr="007F69DA" w:rsidRDefault="001E58F5" w:rsidP="00F46ACB">
            <w:pPr>
              <w:tabs>
                <w:tab w:val="left" w:pos="3753"/>
              </w:tabs>
              <w:spacing w:before="50" w:after="50"/>
              <w:jc w:val="both"/>
              <w:rPr>
                <w:bCs/>
                <w:lang w:eastAsia="de-DE"/>
              </w:rPr>
            </w:pPr>
            <w:r w:rsidRPr="007F69DA">
              <w:rPr>
                <w:bCs/>
                <w:lang w:eastAsia="de-DE"/>
              </w:rPr>
              <w:t>Einfache Wörter und Satzkonstruktionen benutzen</w:t>
            </w:r>
          </w:p>
        </w:tc>
        <w:tc>
          <w:tcPr>
            <w:tcW w:w="2513" w:type="pct"/>
            <w:gridSpan w:val="3"/>
            <w:shd w:val="clear" w:color="auto" w:fill="DEEAF6" w:themeFill="accent1" w:themeFillTint="33"/>
          </w:tcPr>
          <w:p w14:paraId="01070EAD" w14:textId="77777777" w:rsidR="001E58F5" w:rsidRPr="007F69DA" w:rsidRDefault="001E58F5" w:rsidP="00F46ACB">
            <w:pPr>
              <w:spacing w:before="50" w:after="50"/>
              <w:jc w:val="both"/>
              <w:rPr>
                <w:bCs/>
                <w:lang w:eastAsia="de-DE"/>
              </w:rPr>
            </w:pPr>
          </w:p>
        </w:tc>
        <w:tc>
          <w:tcPr>
            <w:tcW w:w="85" w:type="pct"/>
            <w:shd w:val="clear" w:color="auto" w:fill="DEEAF6" w:themeFill="accent1" w:themeFillTint="33"/>
          </w:tcPr>
          <w:p w14:paraId="06CAB6A0" w14:textId="77777777" w:rsidR="001E58F5" w:rsidRPr="007F69DA" w:rsidRDefault="001E58F5" w:rsidP="00F46ACB">
            <w:pPr>
              <w:spacing w:before="50" w:after="50"/>
              <w:jc w:val="both"/>
              <w:rPr>
                <w:bCs/>
                <w:lang w:eastAsia="de-DE"/>
              </w:rPr>
            </w:pPr>
          </w:p>
        </w:tc>
      </w:tr>
      <w:tr w:rsidR="001E58F5" w:rsidRPr="007F69DA" w14:paraId="6030D698" w14:textId="77777777" w:rsidTr="0023089B">
        <w:tc>
          <w:tcPr>
            <w:tcW w:w="2402" w:type="pct"/>
            <w:gridSpan w:val="2"/>
            <w:shd w:val="clear" w:color="auto" w:fill="DEEAF6" w:themeFill="accent1" w:themeFillTint="33"/>
          </w:tcPr>
          <w:p w14:paraId="339FAE1B" w14:textId="77777777" w:rsidR="001E58F5" w:rsidRPr="007F69DA" w:rsidRDefault="001E58F5" w:rsidP="00F46ACB">
            <w:pPr>
              <w:tabs>
                <w:tab w:val="left" w:pos="3753"/>
              </w:tabs>
              <w:spacing w:before="50" w:after="50"/>
              <w:jc w:val="both"/>
              <w:rPr>
                <w:bCs/>
                <w:lang w:eastAsia="de-DE"/>
              </w:rPr>
            </w:pPr>
            <w:r w:rsidRPr="007F69DA">
              <w:rPr>
                <w:bCs/>
                <w:lang w:eastAsia="de-DE"/>
              </w:rPr>
              <w:t>Dauer und Intensität des Blickkontakts den jeweiligen Gepflogenheiten anpassen</w:t>
            </w:r>
          </w:p>
        </w:tc>
        <w:tc>
          <w:tcPr>
            <w:tcW w:w="2513" w:type="pct"/>
            <w:gridSpan w:val="3"/>
            <w:shd w:val="clear" w:color="auto" w:fill="DEEAF6" w:themeFill="accent1" w:themeFillTint="33"/>
          </w:tcPr>
          <w:p w14:paraId="0FE7202F" w14:textId="77777777" w:rsidR="001E58F5" w:rsidRPr="007F69DA" w:rsidRDefault="001E58F5" w:rsidP="00F46ACB">
            <w:pPr>
              <w:spacing w:before="50" w:after="50"/>
              <w:jc w:val="both"/>
              <w:rPr>
                <w:bCs/>
                <w:lang w:eastAsia="de-DE"/>
              </w:rPr>
            </w:pPr>
          </w:p>
        </w:tc>
        <w:tc>
          <w:tcPr>
            <w:tcW w:w="85" w:type="pct"/>
            <w:shd w:val="clear" w:color="auto" w:fill="DEEAF6" w:themeFill="accent1" w:themeFillTint="33"/>
          </w:tcPr>
          <w:p w14:paraId="30CA6927" w14:textId="77777777" w:rsidR="001E58F5" w:rsidRPr="007F69DA" w:rsidRDefault="001E58F5" w:rsidP="00F46ACB">
            <w:pPr>
              <w:spacing w:before="50" w:after="50"/>
              <w:jc w:val="both"/>
              <w:rPr>
                <w:bCs/>
                <w:lang w:eastAsia="de-DE"/>
              </w:rPr>
            </w:pPr>
          </w:p>
        </w:tc>
      </w:tr>
      <w:tr w:rsidR="001E58F5" w:rsidRPr="007F69DA" w14:paraId="00E49116" w14:textId="77777777" w:rsidTr="0023089B">
        <w:trPr>
          <w:gridAfter w:val="2"/>
          <w:wAfter w:w="195" w:type="pct"/>
        </w:trPr>
        <w:tc>
          <w:tcPr>
            <w:tcW w:w="4805" w:type="pct"/>
            <w:gridSpan w:val="4"/>
            <w:shd w:val="clear" w:color="auto" w:fill="FFC000"/>
          </w:tcPr>
          <w:p w14:paraId="4CA56A1C" w14:textId="77777777" w:rsidR="001E58F5" w:rsidRPr="007F69DA" w:rsidRDefault="001E58F5" w:rsidP="00F46ACB">
            <w:pPr>
              <w:tabs>
                <w:tab w:val="left" w:pos="3753"/>
              </w:tabs>
              <w:spacing w:before="50" w:after="50"/>
              <w:jc w:val="center"/>
              <w:rPr>
                <w:bCs/>
                <w:lang w:eastAsia="de-DE"/>
              </w:rPr>
            </w:pPr>
            <w:r w:rsidRPr="007F69DA">
              <w:rPr>
                <w:b/>
                <w:bCs/>
                <w:lang w:eastAsia="de-DE"/>
              </w:rPr>
              <w:t>Non-verbale</w:t>
            </w:r>
            <w:r w:rsidRPr="007F69DA">
              <w:rPr>
                <w:b/>
                <w:lang w:eastAsia="de-DE"/>
              </w:rPr>
              <w:t xml:space="preserve"> Kommunikation</w:t>
            </w:r>
          </w:p>
        </w:tc>
      </w:tr>
      <w:tr w:rsidR="001E58F5" w:rsidRPr="007F69DA" w14:paraId="6B69BEA3" w14:textId="77777777" w:rsidTr="0023089B">
        <w:trPr>
          <w:gridAfter w:val="2"/>
          <w:wAfter w:w="195" w:type="pct"/>
        </w:trPr>
        <w:tc>
          <w:tcPr>
            <w:tcW w:w="2215" w:type="pct"/>
            <w:shd w:val="clear" w:color="auto" w:fill="DEEAF6" w:themeFill="accent1" w:themeFillTint="33"/>
          </w:tcPr>
          <w:p w14:paraId="5B9EB575" w14:textId="77777777" w:rsidR="001E58F5" w:rsidRPr="007F69DA" w:rsidRDefault="001E58F5" w:rsidP="00F46ACB">
            <w:pPr>
              <w:tabs>
                <w:tab w:val="left" w:pos="3753"/>
              </w:tabs>
              <w:spacing w:before="50" w:after="50"/>
              <w:jc w:val="both"/>
              <w:rPr>
                <w:bCs/>
                <w:lang w:eastAsia="de-DE"/>
              </w:rPr>
            </w:pPr>
            <w:r w:rsidRPr="007F69DA">
              <w:rPr>
                <w:bCs/>
                <w:lang w:eastAsia="de-DE"/>
              </w:rPr>
              <w:t>Körperliche Distanz zum Gesprächspartner dem jeweiligen Kulturkreis anpassen</w:t>
            </w:r>
          </w:p>
        </w:tc>
        <w:tc>
          <w:tcPr>
            <w:tcW w:w="2513" w:type="pct"/>
            <w:gridSpan w:val="2"/>
            <w:shd w:val="clear" w:color="auto" w:fill="DEEAF6" w:themeFill="accent1" w:themeFillTint="33"/>
          </w:tcPr>
          <w:p w14:paraId="72A439BF" w14:textId="77777777" w:rsidR="001E58F5" w:rsidRPr="007F69DA" w:rsidRDefault="001E58F5" w:rsidP="00F46ACB">
            <w:pPr>
              <w:spacing w:before="50" w:after="50"/>
              <w:jc w:val="both"/>
              <w:rPr>
                <w:bCs/>
                <w:lang w:eastAsia="de-DE"/>
              </w:rPr>
            </w:pPr>
          </w:p>
        </w:tc>
        <w:tc>
          <w:tcPr>
            <w:tcW w:w="78" w:type="pct"/>
            <w:shd w:val="clear" w:color="auto" w:fill="DEEAF6" w:themeFill="accent1" w:themeFillTint="33"/>
          </w:tcPr>
          <w:p w14:paraId="21483D70" w14:textId="77777777" w:rsidR="001E58F5" w:rsidRPr="007F69DA" w:rsidRDefault="001E58F5" w:rsidP="00F46ACB">
            <w:pPr>
              <w:spacing w:before="50" w:after="50"/>
              <w:jc w:val="both"/>
              <w:rPr>
                <w:bCs/>
                <w:lang w:eastAsia="de-DE"/>
              </w:rPr>
            </w:pPr>
          </w:p>
        </w:tc>
      </w:tr>
      <w:tr w:rsidR="001E58F5" w:rsidRPr="007F69DA" w14:paraId="2772E93B" w14:textId="77777777" w:rsidTr="0023089B">
        <w:trPr>
          <w:gridAfter w:val="2"/>
          <w:wAfter w:w="195" w:type="pct"/>
        </w:trPr>
        <w:tc>
          <w:tcPr>
            <w:tcW w:w="2215" w:type="pct"/>
            <w:shd w:val="clear" w:color="auto" w:fill="DEEAF6" w:themeFill="accent1" w:themeFillTint="33"/>
          </w:tcPr>
          <w:p w14:paraId="52C361F5" w14:textId="77777777" w:rsidR="001E58F5" w:rsidRPr="007F69DA" w:rsidRDefault="001E58F5" w:rsidP="00F46ACB">
            <w:pPr>
              <w:tabs>
                <w:tab w:val="left" w:pos="3753"/>
              </w:tabs>
              <w:spacing w:before="50" w:after="50"/>
              <w:jc w:val="both"/>
              <w:rPr>
                <w:bCs/>
                <w:lang w:eastAsia="de-DE"/>
              </w:rPr>
            </w:pPr>
            <w:r w:rsidRPr="007F69DA">
              <w:rPr>
                <w:bCs/>
                <w:lang w:eastAsia="de-DE"/>
              </w:rPr>
              <w:t>Länge und Rhythmus der Gesprächspausen dem jeweiligen Kulturkreis anpassen</w:t>
            </w:r>
          </w:p>
        </w:tc>
        <w:tc>
          <w:tcPr>
            <w:tcW w:w="2513" w:type="pct"/>
            <w:gridSpan w:val="2"/>
            <w:shd w:val="clear" w:color="auto" w:fill="DEEAF6" w:themeFill="accent1" w:themeFillTint="33"/>
          </w:tcPr>
          <w:p w14:paraId="2C91DFD4" w14:textId="77777777" w:rsidR="001E58F5" w:rsidRPr="007F69DA" w:rsidRDefault="001E58F5" w:rsidP="00F46ACB">
            <w:pPr>
              <w:spacing w:before="50" w:after="50"/>
              <w:jc w:val="both"/>
              <w:rPr>
                <w:bCs/>
                <w:lang w:eastAsia="de-DE"/>
              </w:rPr>
            </w:pPr>
          </w:p>
        </w:tc>
        <w:tc>
          <w:tcPr>
            <w:tcW w:w="78" w:type="pct"/>
            <w:shd w:val="clear" w:color="auto" w:fill="DEEAF6" w:themeFill="accent1" w:themeFillTint="33"/>
          </w:tcPr>
          <w:p w14:paraId="73448A19" w14:textId="77777777" w:rsidR="001E58F5" w:rsidRPr="007F69DA" w:rsidRDefault="001E58F5" w:rsidP="00F46ACB">
            <w:pPr>
              <w:spacing w:before="50" w:after="50"/>
              <w:jc w:val="both"/>
              <w:rPr>
                <w:bCs/>
                <w:lang w:eastAsia="de-DE"/>
              </w:rPr>
            </w:pPr>
          </w:p>
        </w:tc>
      </w:tr>
    </w:tbl>
    <w:p w14:paraId="7E6A318E" w14:textId="77777777" w:rsidR="001E58F5" w:rsidRPr="007F69DA" w:rsidRDefault="001E58F5" w:rsidP="001E58F5">
      <w:pPr>
        <w:spacing w:before="120" w:line="360" w:lineRule="auto"/>
        <w:ind w:left="709" w:hanging="709"/>
        <w:jc w:val="both"/>
        <w:rPr>
          <w:sz w:val="20"/>
          <w:szCs w:val="20"/>
          <w:lang w:eastAsia="de-DE"/>
        </w:rPr>
      </w:pPr>
      <w:r w:rsidRPr="007F69DA">
        <w:rPr>
          <w:sz w:val="20"/>
          <w:szCs w:val="20"/>
          <w:lang w:eastAsia="de-DE"/>
        </w:rPr>
        <w:t xml:space="preserve">Quelle: </w:t>
      </w:r>
      <w:r w:rsidRPr="007F69DA">
        <w:rPr>
          <w:sz w:val="20"/>
          <w:szCs w:val="20"/>
          <w:lang w:eastAsia="de-DE"/>
        </w:rPr>
        <w:tab/>
        <w:t>Blom/Meier (2002, S.279f.).</w:t>
      </w:r>
    </w:p>
    <w:p w14:paraId="4AFC0C79" w14:textId="77777777" w:rsidR="001E58F5" w:rsidRPr="007F69DA" w:rsidRDefault="001E58F5" w:rsidP="001E58F5">
      <w:pPr>
        <w:spacing w:before="120" w:line="360" w:lineRule="auto"/>
        <w:ind w:left="709" w:hanging="709"/>
        <w:jc w:val="both"/>
        <w:rPr>
          <w:sz w:val="18"/>
          <w:szCs w:val="20"/>
          <w:lang w:eastAsia="de-DE"/>
        </w:rPr>
      </w:pPr>
    </w:p>
    <w:p w14:paraId="42774969" w14:textId="77777777" w:rsidR="001E58F5" w:rsidRPr="007F69DA" w:rsidRDefault="001E58F5" w:rsidP="001E58F5">
      <w:pPr>
        <w:spacing w:before="60"/>
        <w:jc w:val="both"/>
        <w:rPr>
          <w:szCs w:val="24"/>
          <w:lang w:eastAsia="de-DE"/>
        </w:rPr>
      </w:pPr>
      <w:r w:rsidRPr="007F69DA">
        <w:rPr>
          <w:szCs w:val="24"/>
          <w:lang w:eastAsia="de-DE"/>
        </w:rPr>
        <w:t>(2) F</w:t>
      </w:r>
      <w:r w:rsidRPr="007F69DA">
        <w:rPr>
          <w:bCs/>
          <w:szCs w:val="24"/>
          <w:lang w:eastAsia="de-DE"/>
        </w:rPr>
        <w:t>lexibilität.</w:t>
      </w:r>
      <w:r w:rsidRPr="007F69DA">
        <w:rPr>
          <w:szCs w:val="24"/>
          <w:lang w:eastAsia="de-DE"/>
        </w:rPr>
        <w:t xml:space="preserve"> Im Vorteil ist auch, wer sich auf wechselnde oder ungewohnte Situationen, wie sie häufig bei Auslandsgeschäften vorkommen, einstellen kann. Flexibilität muss bspw. ein Deutscher beweisen, wenn er von seinen japanischen Geschäftspartnern gebeten wird, in einer Karaoke-Bar ein heimisches Volkslied zu singen. Eine Ablehnung wäre ein Affront. Wer hingegen ein „Am Brunnen vor dem Tore“ oder „sah’ ein Knab’ ein Röslein stehn“ zum Besten gibt, kann sich der Anerkennung seiner Geschäftspartner sicher sein, so bescheiden seine Sangeskunst auch sein mag (vgl. Köglmayr/Müller 1983).</w:t>
      </w:r>
    </w:p>
    <w:p w14:paraId="7548179C" w14:textId="77777777" w:rsidR="001E58F5" w:rsidRPr="007F69DA" w:rsidRDefault="001E58F5" w:rsidP="001E58F5">
      <w:pPr>
        <w:spacing w:before="60"/>
        <w:jc w:val="both"/>
        <w:rPr>
          <w:szCs w:val="24"/>
          <w:lang w:eastAsia="de-DE"/>
        </w:rPr>
      </w:pPr>
    </w:p>
    <w:p w14:paraId="69BEAD09" w14:textId="77777777" w:rsidR="001E58F5" w:rsidRPr="007F69DA" w:rsidRDefault="001E58F5" w:rsidP="001E58F5">
      <w:pPr>
        <w:jc w:val="both"/>
        <w:rPr>
          <w:szCs w:val="24"/>
          <w:lang w:bidi="en-US"/>
        </w:rPr>
      </w:pPr>
      <w:r w:rsidRPr="007F69DA">
        <w:rPr>
          <w:bCs/>
          <w:szCs w:val="24"/>
          <w:lang w:bidi="en-US"/>
        </w:rPr>
        <w:lastRenderedPageBreak/>
        <w:t xml:space="preserve">(3) Sprach- </w:t>
      </w:r>
      <w:r w:rsidRPr="007F69DA">
        <w:rPr>
          <w:szCs w:val="24"/>
          <w:lang w:bidi="en-US"/>
        </w:rPr>
        <w:t xml:space="preserve">und </w:t>
      </w:r>
      <w:r w:rsidRPr="007F69DA">
        <w:rPr>
          <w:bCs/>
          <w:szCs w:val="24"/>
          <w:lang w:bidi="en-US"/>
        </w:rPr>
        <w:t>Kommunikationsfertigkeiten</w:t>
      </w:r>
      <w:r w:rsidRPr="007F69DA">
        <w:rPr>
          <w:szCs w:val="24"/>
          <w:lang w:bidi="en-US"/>
        </w:rPr>
        <w:t xml:space="preserve">. Sie erleichtern naturgemäß die Gesprächsführung, garantieren jedoch keinen Verhandlungserfolg. Wichtiger ist es häufig, das eigene Sprechtempo der Sprachkompetenz des Gegenübers anzupassen und implizite Botschaften, die leicht missverstanden werden können, zu vermeiden. Gleiches gilt für Ironie, doppelte Verneinung etc. Deutsche, die in ihrer Muttersprache mit Ausländern verhandeln, sollten bedenken, dass die deutsche Sprache für die meisten Fremden ein Martyrium ist. So zumindest erlebte es </w:t>
      </w:r>
      <w:r w:rsidRPr="007F69DA">
        <w:rPr>
          <w:iCs/>
          <w:szCs w:val="24"/>
          <w:lang w:bidi="en-US"/>
        </w:rPr>
        <w:t xml:space="preserve">Mark Twain </w:t>
      </w:r>
      <w:r w:rsidRPr="007F69DA">
        <w:rPr>
          <w:szCs w:val="24"/>
          <w:lang w:bidi="en-US"/>
        </w:rPr>
        <w:t>während einer sechsmonatigen Europareise und beschrieb es auf amüsante Weise in seinem 1880 erschienen Buch „A Tramp Abroad“. Probleme bereiteten ihm vor allem die Artikel und „Substantiv-Ungetüme“ wie Generalstaatsverordnetenversammlung oder Altertumswissenschaften (vgl. Twain 1880).</w:t>
      </w:r>
    </w:p>
    <w:p w14:paraId="53012BBA" w14:textId="77777777" w:rsidR="001E58F5" w:rsidRPr="007F69DA" w:rsidRDefault="001E58F5" w:rsidP="001E58F5">
      <w:pPr>
        <w:jc w:val="both"/>
        <w:rPr>
          <w:szCs w:val="24"/>
          <w:lang w:bidi="en-US"/>
        </w:rPr>
      </w:pPr>
    </w:p>
    <w:p w14:paraId="6EF76944" w14:textId="77777777" w:rsidR="001E58F5" w:rsidRPr="007F69DA" w:rsidRDefault="001E58F5" w:rsidP="001E58F5">
      <w:pPr>
        <w:jc w:val="both"/>
        <w:rPr>
          <w:szCs w:val="24"/>
          <w:lang w:bidi="en-US"/>
        </w:rPr>
      </w:pPr>
      <w:r w:rsidRPr="007F69DA">
        <w:rPr>
          <w:bCs/>
          <w:szCs w:val="24"/>
          <w:lang w:bidi="en-US"/>
        </w:rPr>
        <w:t>(4) Ambiguitätstoleranz.</w:t>
      </w:r>
      <w:r w:rsidRPr="007F69DA">
        <w:rPr>
          <w:szCs w:val="24"/>
          <w:lang w:bidi="en-US"/>
        </w:rPr>
        <w:t xml:space="preserve"> Mehrdeutiges, Widersprüchliches etc. „nebeneinander stehen lassen“ zu können, ohne sich daran zu stören bzw. auf Auflösung des Widerspruchs zu drängen, kann im Ausland bzw. bei der Begegnung mit Ausländern gleichfalls hilfreich sein. Denn deren Verhaltensweisen mögen auf den ersten Blick bisweilen widersprüchlich bzw. auf andere Weise unverständlich erscheinen. Während Angehörige des individualistischen Kulturkreises dazu neigen, Gegensätzliches und Ungewohntes zu hinterfragen, gehen bspw. Inder mit solchen Situationen gelassener um. Sie leben in einer vom polytheistischen Hinduismus nachhaltig geprägten Gesellschaft, die verschiedene Meinungen, Werte und Weltanschauungen prinzipiell akzeptiert (vgl. </w:t>
      </w:r>
      <w:r w:rsidRPr="007F69DA">
        <w:rPr>
          <w:iCs/>
          <w:szCs w:val="24"/>
          <w:lang w:bidi="en-US"/>
        </w:rPr>
        <w:t>Müller/Gelbrich 2014</w:t>
      </w:r>
      <w:r w:rsidRPr="007F69DA">
        <w:rPr>
          <w:szCs w:val="24"/>
          <w:lang w:bidi="en-US"/>
        </w:rPr>
        <w:t>).</w:t>
      </w:r>
    </w:p>
    <w:p w14:paraId="248E48B8" w14:textId="77777777" w:rsidR="001E58F5" w:rsidRPr="007F69DA" w:rsidRDefault="001E58F5" w:rsidP="001E58F5">
      <w:pPr>
        <w:jc w:val="both"/>
        <w:rPr>
          <w:szCs w:val="24"/>
          <w:lang w:bidi="en-US"/>
        </w:rPr>
      </w:pPr>
    </w:p>
    <w:p w14:paraId="01888DCB" w14:textId="77777777" w:rsidR="001E58F5" w:rsidRPr="007F69DA" w:rsidRDefault="001E58F5" w:rsidP="001E58F5">
      <w:pPr>
        <w:jc w:val="both"/>
        <w:rPr>
          <w:lang w:bidi="en-US"/>
        </w:rPr>
      </w:pPr>
    </w:p>
    <w:p w14:paraId="6EB45B24" w14:textId="77777777" w:rsidR="001E58F5" w:rsidRPr="007F69DA" w:rsidRDefault="001E58F5" w:rsidP="001E58F5">
      <w:pPr>
        <w:spacing w:line="360" w:lineRule="auto"/>
        <w:jc w:val="both"/>
        <w:rPr>
          <w:szCs w:val="24"/>
          <w:lang w:bidi="en-US"/>
        </w:rPr>
      </w:pPr>
      <w:r w:rsidRPr="007F69DA">
        <w:rPr>
          <w:szCs w:val="24"/>
          <w:lang w:bidi="en-US"/>
        </w:rPr>
        <w:t>3 Paradoxon der interkulturellen Kompetenz</w:t>
      </w:r>
    </w:p>
    <w:p w14:paraId="18196F57" w14:textId="77777777" w:rsidR="001E58F5" w:rsidRPr="007F69DA" w:rsidRDefault="001E58F5" w:rsidP="001E58F5">
      <w:pPr>
        <w:jc w:val="both"/>
        <w:rPr>
          <w:szCs w:val="24"/>
          <w:lang w:bidi="en-US"/>
        </w:rPr>
      </w:pPr>
      <w:r w:rsidRPr="007F69DA">
        <w:rPr>
          <w:szCs w:val="24"/>
          <w:lang w:bidi="en-US"/>
        </w:rPr>
        <w:t>Die Diskussion über interkulturelle Kompetenz verläuft häufig eindimensional. Manager A passt sich der Kultur des Landes, in das er entsandt wurde oder mit dem er auf andere Weise interagiert, mehr oder weniger an. Was aber geschieht, wenn nicht nur Manager A sich kompetent verhält, sondern auch seine Geschäftspartner in dem Gastland – wenn also bspw. Deutsche sich den Gepflogenheiten der chinesischen Gesellschaft anpassen und deren chinesischen Kollegen sich gleichzeitig der Gepflogenheiten des Westens?</w:t>
      </w:r>
    </w:p>
    <w:p w14:paraId="22D113FB" w14:textId="77777777" w:rsidR="001E58F5" w:rsidRPr="007F69DA" w:rsidRDefault="001E58F5" w:rsidP="001E58F5">
      <w:pPr>
        <w:spacing w:line="360" w:lineRule="auto"/>
        <w:jc w:val="both"/>
        <w:rPr>
          <w:szCs w:val="24"/>
          <w:lang w:bidi="en-US"/>
        </w:rPr>
      </w:pPr>
    </w:p>
    <w:p w14:paraId="49F84093" w14:textId="77777777" w:rsidR="001E58F5" w:rsidRPr="007F69DA" w:rsidRDefault="001E58F5" w:rsidP="001E58F5">
      <w:pPr>
        <w:pBdr>
          <w:top w:val="single" w:sz="4" w:space="1" w:color="auto"/>
          <w:left w:val="single" w:sz="4" w:space="4" w:color="auto"/>
          <w:bottom w:val="single" w:sz="4" w:space="1" w:color="auto"/>
          <w:right w:val="single" w:sz="4" w:space="4" w:color="auto"/>
        </w:pBdr>
        <w:shd w:val="clear" w:color="auto" w:fill="DEEAF6" w:themeFill="accent1" w:themeFillTint="33"/>
        <w:spacing w:line="360" w:lineRule="auto"/>
        <w:jc w:val="center"/>
        <w:rPr>
          <w:lang w:bidi="en-US"/>
        </w:rPr>
      </w:pPr>
      <w:r w:rsidRPr="007F69DA">
        <w:rPr>
          <w:lang w:bidi="en-US"/>
        </w:rPr>
        <w:t>Mail aus Peking</w:t>
      </w:r>
    </w:p>
    <w:p w14:paraId="53D230AD" w14:textId="77777777" w:rsidR="001E58F5" w:rsidRPr="007F69DA" w:rsidRDefault="001E58F5" w:rsidP="001E58F5">
      <w:pPr>
        <w:pBdr>
          <w:top w:val="single" w:sz="4" w:space="1" w:color="auto"/>
          <w:left w:val="single" w:sz="4" w:space="4" w:color="auto"/>
          <w:bottom w:val="single" w:sz="4" w:space="1" w:color="auto"/>
          <w:right w:val="single" w:sz="4" w:space="4" w:color="auto"/>
        </w:pBdr>
        <w:shd w:val="clear" w:color="auto" w:fill="DEEAF6" w:themeFill="accent1" w:themeFillTint="33"/>
        <w:jc w:val="both"/>
        <w:rPr>
          <w:lang w:bidi="en-US"/>
        </w:rPr>
      </w:pPr>
      <w:r w:rsidRPr="007F69DA">
        <w:rPr>
          <w:lang w:bidi="en-US"/>
        </w:rPr>
        <w:t xml:space="preserve">„Ich wollte mich gerade von einem neu gewonnenen chinesischen Freund verabschieden, da war er auch schon wieder: der peinliche Moment. Wie den neuen Freunden aus anderen </w:t>
      </w:r>
      <w:r w:rsidRPr="007F69DA">
        <w:rPr>
          <w:bCs/>
          <w:lang w:bidi="en-US"/>
        </w:rPr>
        <w:t>Kulturkreisen Tschüss sagen? Traditionell knurrt der Pekinger einmal versöhnlich zum</w:t>
      </w:r>
      <w:r w:rsidRPr="007F69DA">
        <w:rPr>
          <w:lang w:bidi="en-US"/>
        </w:rPr>
        <w:t xml:space="preserve"> Abschied und ist auch schon davongeschlappt. Viele junge Chinesen haben sich indessen daran gewöhnt, von Ausländern gedrückt zu werden – und schauen gekränkt, wenn diese umarmungslos davontrotten. Was also tun?“ (Köckritz 2014, S.8).</w:t>
      </w:r>
    </w:p>
    <w:p w14:paraId="41A23E8E" w14:textId="77777777" w:rsidR="001E58F5" w:rsidRPr="007F69DA" w:rsidRDefault="001E58F5" w:rsidP="001E58F5">
      <w:pPr>
        <w:spacing w:line="360" w:lineRule="auto"/>
        <w:jc w:val="both"/>
        <w:rPr>
          <w:sz w:val="18"/>
          <w:szCs w:val="18"/>
          <w:lang w:bidi="en-US"/>
        </w:rPr>
      </w:pPr>
    </w:p>
    <w:p w14:paraId="0846A209" w14:textId="77777777" w:rsidR="001E58F5" w:rsidRPr="007F69DA" w:rsidRDefault="001E58F5" w:rsidP="001E58F5">
      <w:pPr>
        <w:jc w:val="both"/>
        <w:rPr>
          <w:lang w:bidi="en-US"/>
        </w:rPr>
      </w:pPr>
    </w:p>
    <w:p w14:paraId="18C2DB95" w14:textId="77777777" w:rsidR="001E58F5" w:rsidRPr="007F69DA" w:rsidRDefault="001E58F5" w:rsidP="001E58F5">
      <w:pPr>
        <w:spacing w:line="360" w:lineRule="auto"/>
        <w:jc w:val="both"/>
        <w:rPr>
          <w:szCs w:val="24"/>
          <w:lang w:bidi="en-US"/>
        </w:rPr>
      </w:pPr>
      <w:r w:rsidRPr="007F69DA">
        <w:rPr>
          <w:szCs w:val="24"/>
          <w:lang w:bidi="en-US"/>
        </w:rPr>
        <w:t xml:space="preserve">4  Validierung </w:t>
      </w:r>
    </w:p>
    <w:p w14:paraId="066EB255" w14:textId="64C716C2" w:rsidR="001E58F5" w:rsidRPr="007F69DA" w:rsidRDefault="0023089B" w:rsidP="001E58F5">
      <w:pPr>
        <w:spacing w:line="360" w:lineRule="auto"/>
        <w:jc w:val="both"/>
        <w:rPr>
          <w:szCs w:val="24"/>
          <w:lang w:bidi="en-US"/>
        </w:rPr>
      </w:pPr>
      <w:r>
        <w:rPr>
          <w:szCs w:val="24"/>
          <w:lang w:bidi="en-US"/>
        </w:rPr>
        <w:t xml:space="preserve">4.1 </w:t>
      </w:r>
      <w:r w:rsidR="001E58F5" w:rsidRPr="007F69DA">
        <w:rPr>
          <w:szCs w:val="24"/>
          <w:lang w:bidi="en-US"/>
        </w:rPr>
        <w:t>Konstruktvalidität</w:t>
      </w:r>
    </w:p>
    <w:p w14:paraId="5FBC1A21" w14:textId="77777777" w:rsidR="001E58F5" w:rsidRPr="007F69DA" w:rsidRDefault="001E58F5" w:rsidP="001E58F5">
      <w:pPr>
        <w:spacing w:before="60"/>
        <w:jc w:val="both"/>
        <w:rPr>
          <w:szCs w:val="24"/>
          <w:lang w:eastAsia="de-DE"/>
        </w:rPr>
      </w:pPr>
      <w:r w:rsidRPr="007F69DA">
        <w:rPr>
          <w:szCs w:val="24"/>
          <w:lang w:eastAsia="de-DE"/>
        </w:rPr>
        <w:t>Die Mehrzahl der Studien befasst sich mit der Konstruktvalidität: Welcher Zusammenhang besteht zwischen interkultureller Kompetenz und anderen psychischen Konstrukten (z.B. ‘big five‘ der Persönlichkeitsfaktoren; vgl. Burke et al. 2009)? Da Entsandte einen Auslandsaufenthalt mitunter aus Gründen abbrechen, die nichts mit (mangelnder) Kompetenz zu tun haben, sondern z.B. politisch, familiär oder gesundheitlich bedingt sind, ist der tatsächliche Abbruch einer Entsendung vielfach kein valides Erfolgskriterium. Auch wird die vorzeitige Rückreise erfolgloser Entsandter häufig offiziell nicht als Misserfolg, sondern als Versetzung deklariert oder mit externen Widrigkeiten begründet. Problematisch ist weiterhin, dass hierzu häufig Studenten befragt werden. Da sie bei ihren Auslandsaufenthalten aber wahrscheinlich weniger Leistungsdruck verspüren als Expatriates, sind derartige Studien nur bedingt aussagefähig (vgl. Gelbrich 2008, S.269).</w:t>
      </w:r>
    </w:p>
    <w:p w14:paraId="4E43471E" w14:textId="77777777" w:rsidR="001E58F5" w:rsidRPr="007F69DA" w:rsidRDefault="001E58F5" w:rsidP="001E58F5">
      <w:pPr>
        <w:jc w:val="both"/>
        <w:rPr>
          <w:szCs w:val="24"/>
          <w:lang w:bidi="en-US"/>
        </w:rPr>
      </w:pPr>
    </w:p>
    <w:p w14:paraId="060C2FA8" w14:textId="261893FA" w:rsidR="001E58F5" w:rsidRPr="007F69DA" w:rsidRDefault="0023089B" w:rsidP="001E58F5">
      <w:pPr>
        <w:jc w:val="both"/>
        <w:rPr>
          <w:szCs w:val="24"/>
          <w:lang w:bidi="en-US"/>
        </w:rPr>
      </w:pPr>
      <w:r>
        <w:rPr>
          <w:szCs w:val="24"/>
          <w:lang w:bidi="en-US"/>
        </w:rPr>
        <w:t xml:space="preserve">4.2 </w:t>
      </w:r>
      <w:r w:rsidR="001E58F5" w:rsidRPr="007F69DA">
        <w:rPr>
          <w:szCs w:val="24"/>
          <w:lang w:bidi="en-US"/>
        </w:rPr>
        <w:t>Diskriminanzvalidität</w:t>
      </w:r>
    </w:p>
    <w:p w14:paraId="1C8CE6C6" w14:textId="77777777" w:rsidR="001E58F5" w:rsidRPr="007F69DA" w:rsidRDefault="001E58F5" w:rsidP="001E58F5">
      <w:pPr>
        <w:jc w:val="both"/>
        <w:rPr>
          <w:szCs w:val="24"/>
          <w:lang w:bidi="en-US"/>
        </w:rPr>
      </w:pPr>
      <w:r w:rsidRPr="007F69DA">
        <w:rPr>
          <w:szCs w:val="24"/>
          <w:lang w:bidi="en-US"/>
        </w:rPr>
        <w:t>Nachteilig ist auch die terminologisch-konzeptionelle Heterogenität dieses Forschungsfeldes. Sind „kulturelle Intelligenz“, „interkulturelle Sensibiliät“, „interkulturelle Kommunikationsfähigkeit“ oder „in</w:t>
      </w:r>
      <w:r w:rsidRPr="007F69DA">
        <w:rPr>
          <w:szCs w:val="24"/>
          <w:lang w:bidi="en-US"/>
        </w:rPr>
        <w:lastRenderedPageBreak/>
        <w:t>terkulturelle Handlungskompetenz“ lediglich andersartige verbale Etikettierungen oder inhaltlich andersartige Konstrukte? Zumeist werden diese Bezeichnungen gleichgesetzt, ohne die Diskriminanzvalidität der verschiedenen Vorschläge zu diskutieren (vgl. Sinicrope et al. 2007, S.3; Straub 2007, S.35; Deardorff 2006, S.247; Spitzberg 1989, S.242).</w:t>
      </w:r>
    </w:p>
    <w:p w14:paraId="647DE9E2" w14:textId="77777777" w:rsidR="001E58F5" w:rsidRPr="007F69DA" w:rsidRDefault="001E58F5" w:rsidP="001E58F5">
      <w:pPr>
        <w:jc w:val="both"/>
        <w:rPr>
          <w:b/>
          <w:szCs w:val="24"/>
          <w:lang w:bidi="en-US"/>
        </w:rPr>
      </w:pPr>
    </w:p>
    <w:p w14:paraId="4D826688" w14:textId="77777777" w:rsidR="001E58F5" w:rsidRPr="007F69DA" w:rsidRDefault="001E58F5" w:rsidP="001E58F5">
      <w:pPr>
        <w:jc w:val="both"/>
        <w:rPr>
          <w:szCs w:val="24"/>
          <w:lang w:bidi="en-US"/>
        </w:rPr>
      </w:pPr>
      <w:bookmarkStart w:id="53" w:name="_Toc332275553"/>
      <w:bookmarkStart w:id="54" w:name="_Toc417287364"/>
      <w:r w:rsidRPr="007F69DA">
        <w:rPr>
          <w:szCs w:val="24"/>
          <w:lang w:bidi="en-US"/>
        </w:rPr>
        <w:t>(1) Kulturelle Intelligenz</w:t>
      </w:r>
      <w:bookmarkEnd w:id="53"/>
      <w:bookmarkEnd w:id="54"/>
      <w:r w:rsidRPr="007F69DA">
        <w:rPr>
          <w:szCs w:val="24"/>
          <w:lang w:bidi="en-US"/>
        </w:rPr>
        <w:t xml:space="preserve">. Dieses Konstrukt erfasst die Fähigkeit einer Person, sich in interkulturellen Kontaktsituationen neuartigen sozialen Bedingungen anzupassen. Dazu bedarf es u.a. der Fähigkeit und Bereitschaft, Informationen außerhalb des bisherigen eigenen Erfahrungsbereiches zu sammeln, und Beharrlichkeit. Denn in interkulturellen Kontaktsituationen sind Hemmnisse und Rückschläge unvermeidbar (vgl. Ang et al. 2007). </w:t>
      </w:r>
    </w:p>
    <w:p w14:paraId="1EA44AAC" w14:textId="77777777" w:rsidR="001E58F5" w:rsidRPr="007F69DA" w:rsidRDefault="001E58F5" w:rsidP="001E58F5">
      <w:pPr>
        <w:jc w:val="both"/>
        <w:rPr>
          <w:szCs w:val="24"/>
          <w:lang w:bidi="en-US"/>
        </w:rPr>
      </w:pPr>
    </w:p>
    <w:p w14:paraId="1FD1651B" w14:textId="77777777" w:rsidR="001E58F5" w:rsidRPr="007F69DA" w:rsidRDefault="001E58F5" w:rsidP="001E58F5">
      <w:pPr>
        <w:jc w:val="both"/>
        <w:rPr>
          <w:szCs w:val="24"/>
          <w:lang w:bidi="en-US"/>
        </w:rPr>
      </w:pPr>
      <w:r w:rsidRPr="007F69DA">
        <w:rPr>
          <w:szCs w:val="24"/>
          <w:lang w:bidi="en-US"/>
        </w:rPr>
        <w:t xml:space="preserve">(2) Interkulturelle Sensibilität. </w:t>
      </w:r>
      <w:r w:rsidRPr="007F69DA">
        <w:rPr>
          <w:iCs/>
          <w:szCs w:val="24"/>
          <w:lang w:bidi="en-US"/>
        </w:rPr>
        <w:t>Chen/Starosta</w:t>
      </w:r>
      <w:r w:rsidRPr="007F69DA">
        <w:rPr>
          <w:szCs w:val="24"/>
          <w:lang w:bidi="en-US"/>
        </w:rPr>
        <w:t xml:space="preserve"> (1996) konzeptionalisierten interkulturelle Sensibilität als affektive Komponente von interkultureller Kompetenz: als Akzeptanz bzw. Wertschätzung einer fremden Kultur. Für die Fähigkeit, die emotionalen Anteile einer interkulturellen Interaktion wahrzunehmen und zu würdigen, sind gemäß diesem Ansatz folgende Merkmale bedeutsam: Aufgeschlossenheit, Selbstwertgefühl, soziale Entspanntheit und Un</w:t>
      </w:r>
      <w:r w:rsidRPr="007F69DA">
        <w:rPr>
          <w:szCs w:val="24"/>
          <w:lang w:bidi="en-US"/>
        </w:rPr>
        <w:softHyphen/>
        <w:t>vor</w:t>
      </w:r>
      <w:r w:rsidRPr="007F69DA">
        <w:rPr>
          <w:szCs w:val="24"/>
          <w:lang w:bidi="en-US"/>
        </w:rPr>
        <w:softHyphen/>
        <w:t>eingenommenheit. Später operationalisierten Chen/Starosta (2000) interkulturelle Sensibilität als eigenständiges Konstrukt. Der Fragebogen der deutschsprachigen Adaption der Intercultural Sensitivity Scale (ISS) umfasst 22 fünfstufige Items, die fünf Subdimensionen bilden:</w:t>
      </w:r>
    </w:p>
    <w:p w14:paraId="3F206E43" w14:textId="77777777" w:rsidR="001E58F5" w:rsidRPr="007F69DA" w:rsidRDefault="001E58F5">
      <w:pPr>
        <w:widowControl/>
        <w:numPr>
          <w:ilvl w:val="0"/>
          <w:numId w:val="28"/>
        </w:numPr>
        <w:autoSpaceDE/>
        <w:autoSpaceDN/>
        <w:spacing w:before="60"/>
        <w:ind w:left="426"/>
        <w:jc w:val="both"/>
        <w:rPr>
          <w:szCs w:val="24"/>
          <w:lang w:eastAsia="de-DE"/>
        </w:rPr>
      </w:pPr>
      <w:r w:rsidRPr="007F69DA">
        <w:rPr>
          <w:szCs w:val="24"/>
          <w:lang w:eastAsia="de-DE"/>
        </w:rPr>
        <w:t>Engagement (z.B. „Ich gehe gerne mit Menschen aus anderen Kulturen um.“),</w:t>
      </w:r>
    </w:p>
    <w:p w14:paraId="5A32D5AF" w14:textId="77777777" w:rsidR="001E58F5" w:rsidRPr="007F69DA" w:rsidRDefault="001E58F5">
      <w:pPr>
        <w:widowControl/>
        <w:numPr>
          <w:ilvl w:val="0"/>
          <w:numId w:val="28"/>
        </w:numPr>
        <w:autoSpaceDE/>
        <w:autoSpaceDN/>
        <w:spacing w:before="60"/>
        <w:ind w:left="426"/>
        <w:jc w:val="both"/>
        <w:rPr>
          <w:szCs w:val="24"/>
          <w:lang w:eastAsia="de-DE"/>
        </w:rPr>
      </w:pPr>
      <w:r w:rsidRPr="007F69DA">
        <w:rPr>
          <w:szCs w:val="24"/>
          <w:lang w:eastAsia="de-DE"/>
        </w:rPr>
        <w:t>Respekt vor kulturellen Unterschieden (z.B. „Ich respektiere die Werte von Menschen aus anderen Kul</w:t>
      </w:r>
      <w:r w:rsidRPr="007F69DA">
        <w:rPr>
          <w:szCs w:val="24"/>
          <w:lang w:eastAsia="de-DE"/>
        </w:rPr>
        <w:softHyphen/>
        <w:t>turen.“),</w:t>
      </w:r>
    </w:p>
    <w:p w14:paraId="6B3C7024" w14:textId="77777777" w:rsidR="001E58F5" w:rsidRPr="007F69DA" w:rsidRDefault="001E58F5">
      <w:pPr>
        <w:widowControl/>
        <w:numPr>
          <w:ilvl w:val="0"/>
          <w:numId w:val="28"/>
        </w:numPr>
        <w:autoSpaceDE/>
        <w:autoSpaceDN/>
        <w:spacing w:before="60"/>
        <w:ind w:left="426"/>
        <w:jc w:val="both"/>
        <w:rPr>
          <w:szCs w:val="24"/>
          <w:lang w:eastAsia="de-DE"/>
        </w:rPr>
      </w:pPr>
      <w:r w:rsidRPr="007F69DA">
        <w:rPr>
          <w:szCs w:val="24"/>
          <w:lang w:eastAsia="de-DE"/>
        </w:rPr>
        <w:t>Selbstsicherheit (z.B. „Ich bin selbstsicher, wenn ich mit Menschen aus anderen Kulturen umgehe.“),</w:t>
      </w:r>
    </w:p>
    <w:p w14:paraId="08A6FF8E" w14:textId="77777777" w:rsidR="001E58F5" w:rsidRPr="007F69DA" w:rsidRDefault="001E58F5">
      <w:pPr>
        <w:widowControl/>
        <w:numPr>
          <w:ilvl w:val="0"/>
          <w:numId w:val="28"/>
        </w:numPr>
        <w:autoSpaceDE/>
        <w:autoSpaceDN/>
        <w:spacing w:before="60"/>
        <w:ind w:left="426"/>
        <w:jc w:val="both"/>
        <w:rPr>
          <w:szCs w:val="24"/>
          <w:lang w:eastAsia="de-DE"/>
        </w:rPr>
      </w:pPr>
      <w:r w:rsidRPr="007F69DA">
        <w:rPr>
          <w:szCs w:val="24"/>
          <w:lang w:eastAsia="de-DE"/>
        </w:rPr>
        <w:t>Freude (z.B. Verneinung des Statements: „Ich gerate schnell aus der Fassung, wenn ich mit Menschen aus anderen Kulturen um</w:t>
      </w:r>
      <w:r w:rsidRPr="007F69DA">
        <w:rPr>
          <w:szCs w:val="24"/>
          <w:lang w:eastAsia="de-DE"/>
        </w:rPr>
        <w:softHyphen/>
        <w:t>gehe.“),</w:t>
      </w:r>
    </w:p>
    <w:p w14:paraId="09A6A269" w14:textId="77777777" w:rsidR="001E58F5" w:rsidRPr="007F69DA" w:rsidRDefault="001E58F5">
      <w:pPr>
        <w:widowControl/>
        <w:numPr>
          <w:ilvl w:val="0"/>
          <w:numId w:val="28"/>
        </w:numPr>
        <w:autoSpaceDE/>
        <w:autoSpaceDN/>
        <w:spacing w:before="60"/>
        <w:ind w:left="426"/>
        <w:jc w:val="both"/>
        <w:rPr>
          <w:szCs w:val="24"/>
          <w:lang w:eastAsia="de-DE"/>
        </w:rPr>
      </w:pPr>
      <w:r w:rsidRPr="007F69DA">
        <w:rPr>
          <w:szCs w:val="24"/>
          <w:lang w:eastAsia="de-DE"/>
        </w:rPr>
        <w:t>Aufmerksamkeit (z.B. „Ich beobachte sehr aufmerksam, wenn ich mit Menschen aus anderen Kulturen umgehe.“).</w:t>
      </w:r>
    </w:p>
    <w:p w14:paraId="58B155FB" w14:textId="77777777" w:rsidR="001E58F5" w:rsidRPr="007F69DA" w:rsidRDefault="001E58F5" w:rsidP="001E58F5">
      <w:pPr>
        <w:spacing w:before="60"/>
        <w:jc w:val="both"/>
        <w:rPr>
          <w:szCs w:val="24"/>
          <w:lang w:eastAsia="de-DE"/>
        </w:rPr>
      </w:pPr>
    </w:p>
    <w:p w14:paraId="263C7519" w14:textId="77777777" w:rsidR="001E58F5" w:rsidRPr="007F69DA" w:rsidRDefault="001E58F5" w:rsidP="001E58F5">
      <w:pPr>
        <w:jc w:val="both"/>
        <w:rPr>
          <w:szCs w:val="24"/>
          <w:lang w:bidi="en-US"/>
        </w:rPr>
      </w:pPr>
      <w:r w:rsidRPr="007F69DA">
        <w:rPr>
          <w:szCs w:val="24"/>
          <w:lang w:bidi="en-US"/>
        </w:rPr>
        <w:t xml:space="preserve">(3) Interkulturelle Kommunikationsfähigkeit. Dieses Konstrukt wird teils als zentrale Facette interkultureller Kompetenz beschrieben (bspw. </w:t>
      </w:r>
      <w:r w:rsidRPr="007F69DA">
        <w:rPr>
          <w:iCs/>
          <w:szCs w:val="24"/>
          <w:lang w:bidi="en-US"/>
        </w:rPr>
        <w:t xml:space="preserve">Gudykunst/Lee 2001) </w:t>
      </w:r>
      <w:r w:rsidRPr="007F69DA">
        <w:rPr>
          <w:szCs w:val="24"/>
          <w:lang w:bidi="en-US"/>
        </w:rPr>
        <w:t xml:space="preserve">und teils mit dieser gleichgesetzt (vgl. Spitzberg 2000). Als Operationalisierung hat die Behavioral Assessment Scale for Intercultural Communication Effectiveness (BASIC) besondere Bedeutung erlangt (vgl. Olebe/Koester 1989; 1988). Interkulturelle Kommunikationsfähigkeit manifestiert sich demzufolge als …: </w:t>
      </w:r>
    </w:p>
    <w:p w14:paraId="7864FDAC" w14:textId="77777777" w:rsidR="001E58F5" w:rsidRPr="007F69DA" w:rsidRDefault="001E58F5">
      <w:pPr>
        <w:widowControl/>
        <w:numPr>
          <w:ilvl w:val="0"/>
          <w:numId w:val="31"/>
        </w:numPr>
        <w:autoSpaceDE/>
        <w:autoSpaceDN/>
        <w:spacing w:before="60"/>
        <w:ind w:left="426"/>
        <w:jc w:val="both"/>
        <w:rPr>
          <w:szCs w:val="24"/>
          <w:lang w:eastAsia="de-DE"/>
        </w:rPr>
      </w:pPr>
      <w:r w:rsidRPr="007F69DA">
        <w:rPr>
          <w:szCs w:val="24"/>
          <w:lang w:eastAsia="de-DE"/>
        </w:rPr>
        <w:t xml:space="preserve">Respekt: Fähigkeit, Angehörige anderer Kulturen zu achten. </w:t>
      </w:r>
    </w:p>
    <w:p w14:paraId="55649529" w14:textId="77777777" w:rsidR="001E58F5" w:rsidRPr="007F69DA" w:rsidRDefault="001E58F5">
      <w:pPr>
        <w:widowControl/>
        <w:numPr>
          <w:ilvl w:val="0"/>
          <w:numId w:val="31"/>
        </w:numPr>
        <w:autoSpaceDE/>
        <w:autoSpaceDN/>
        <w:spacing w:before="60"/>
        <w:ind w:left="426"/>
        <w:jc w:val="both"/>
        <w:rPr>
          <w:szCs w:val="24"/>
          <w:lang w:eastAsia="de-DE"/>
        </w:rPr>
      </w:pPr>
      <w:r w:rsidRPr="007F69DA">
        <w:rPr>
          <w:szCs w:val="24"/>
          <w:lang w:eastAsia="de-DE"/>
        </w:rPr>
        <w:t>Bewertung: Fähigkeit, anderen in einer nicht wertenden Weise zu begegnen.</w:t>
      </w:r>
    </w:p>
    <w:p w14:paraId="0EBB3278" w14:textId="77777777" w:rsidR="001E58F5" w:rsidRPr="007F69DA" w:rsidRDefault="001E58F5">
      <w:pPr>
        <w:widowControl/>
        <w:numPr>
          <w:ilvl w:val="0"/>
          <w:numId w:val="31"/>
        </w:numPr>
        <w:autoSpaceDE/>
        <w:autoSpaceDN/>
        <w:spacing w:before="60"/>
        <w:ind w:left="426"/>
        <w:jc w:val="both"/>
        <w:rPr>
          <w:szCs w:val="24"/>
          <w:lang w:eastAsia="de-DE"/>
        </w:rPr>
      </w:pPr>
      <w:r w:rsidRPr="007F69DA">
        <w:rPr>
          <w:szCs w:val="24"/>
          <w:lang w:eastAsia="de-DE"/>
        </w:rPr>
        <w:t>Ursachenzuschreibung: Fähigkeit, eigenes Verhalten und das Verhalten anderer Personen sachgerecht erklären zu können.</w:t>
      </w:r>
    </w:p>
    <w:p w14:paraId="3E8BE0A3" w14:textId="77777777" w:rsidR="001E58F5" w:rsidRPr="007F69DA" w:rsidRDefault="001E58F5">
      <w:pPr>
        <w:widowControl/>
        <w:numPr>
          <w:ilvl w:val="0"/>
          <w:numId w:val="31"/>
        </w:numPr>
        <w:autoSpaceDE/>
        <w:autoSpaceDN/>
        <w:spacing w:before="60"/>
        <w:ind w:left="426"/>
        <w:jc w:val="both"/>
        <w:rPr>
          <w:szCs w:val="24"/>
          <w:lang w:eastAsia="de-DE"/>
        </w:rPr>
      </w:pPr>
      <w:r w:rsidRPr="007F69DA">
        <w:rPr>
          <w:szCs w:val="24"/>
          <w:lang w:eastAsia="de-DE"/>
        </w:rPr>
        <w:t>Aufgabenorientiertes und verhaltensorientiertes Rollenverhalten: Fähigkeit, sich in verschiedenen Situationen angemessen aufgabenorientiert, sozial und emotional zu verhalten.</w:t>
      </w:r>
    </w:p>
    <w:p w14:paraId="1735AC27" w14:textId="77777777" w:rsidR="001E58F5" w:rsidRPr="007F69DA" w:rsidRDefault="001E58F5">
      <w:pPr>
        <w:widowControl/>
        <w:numPr>
          <w:ilvl w:val="0"/>
          <w:numId w:val="31"/>
        </w:numPr>
        <w:autoSpaceDE/>
        <w:autoSpaceDN/>
        <w:spacing w:before="60"/>
        <w:ind w:left="426"/>
        <w:jc w:val="both"/>
        <w:rPr>
          <w:szCs w:val="24"/>
          <w:lang w:eastAsia="de-DE"/>
        </w:rPr>
      </w:pPr>
      <w:r w:rsidRPr="007F69DA">
        <w:rPr>
          <w:szCs w:val="24"/>
          <w:lang w:eastAsia="de-DE"/>
        </w:rPr>
        <w:t>Interaktionskompetenz: Fähigkeit, zwischenmenschliche Begegnungen aktiv zu gestalten.</w:t>
      </w:r>
    </w:p>
    <w:p w14:paraId="011A0CF8" w14:textId="77777777" w:rsidR="001E58F5" w:rsidRPr="007F69DA" w:rsidRDefault="001E58F5">
      <w:pPr>
        <w:widowControl/>
        <w:numPr>
          <w:ilvl w:val="0"/>
          <w:numId w:val="31"/>
        </w:numPr>
        <w:autoSpaceDE/>
        <w:autoSpaceDN/>
        <w:spacing w:before="60"/>
        <w:ind w:left="426"/>
        <w:jc w:val="both"/>
        <w:rPr>
          <w:szCs w:val="24"/>
          <w:lang w:eastAsia="de-DE"/>
        </w:rPr>
      </w:pPr>
      <w:r w:rsidRPr="007F69DA">
        <w:rPr>
          <w:szCs w:val="24"/>
          <w:lang w:eastAsia="de-DE"/>
        </w:rPr>
        <w:t>Ambiguitätstoleranz: Fähigkeit, neue, mehrdeutige Situationen zu akzeptieren.</w:t>
      </w:r>
    </w:p>
    <w:p w14:paraId="5F702D6E" w14:textId="77777777" w:rsidR="001E58F5" w:rsidRPr="007F69DA" w:rsidRDefault="001E58F5" w:rsidP="001E58F5">
      <w:pPr>
        <w:jc w:val="both"/>
        <w:rPr>
          <w:szCs w:val="24"/>
          <w:lang w:bidi="en-US"/>
        </w:rPr>
      </w:pPr>
    </w:p>
    <w:p w14:paraId="6D8BBCA9" w14:textId="77777777" w:rsidR="001E58F5" w:rsidRPr="007F69DA" w:rsidRDefault="001E58F5" w:rsidP="001E58F5">
      <w:pPr>
        <w:jc w:val="both"/>
        <w:rPr>
          <w:szCs w:val="24"/>
          <w:lang w:bidi="en-US"/>
        </w:rPr>
      </w:pPr>
    </w:p>
    <w:p w14:paraId="24D193AF" w14:textId="77777777" w:rsidR="001E58F5" w:rsidRPr="007F69DA" w:rsidRDefault="001E58F5" w:rsidP="001E58F5">
      <w:pPr>
        <w:jc w:val="both"/>
        <w:rPr>
          <w:szCs w:val="24"/>
          <w:lang w:bidi="en-US"/>
        </w:rPr>
      </w:pPr>
      <w:r w:rsidRPr="007F69DA">
        <w:rPr>
          <w:szCs w:val="24"/>
          <w:lang w:bidi="en-US"/>
        </w:rPr>
        <w:t xml:space="preserve">(4) Interkulturelle Handlungskompetenz. Kühlmann/Stahl (1998) haben die kritischen Ereignisse, welche mehr als 300 deutsche Fach- und Führungskräfte kurz nach einem Auslandsaufenthalt berichteten, analysiert und daraus einen Katalog jener Merkmale bzw. Persönlichkeitseigenschaften extrahiert, welche interkulturelle Handlungskompetenz ausmachen. Im Einzelnen sind dies Ambiguitätstoleranz, Verhaltensflexibilität, Zielorientierung und Kontaktfreudigkeit. Weiterhin tragen folgende Eigenschaften bzw. Fähigkeiten zu interkultureller Handlungskompetenz bei: Empathie, Polyzentrismus und meta-kommunikative Kompetenz. Entscheidend aber ist die Fähigkeit zur Variation und Anpassung wichtiger </w:t>
      </w:r>
      <w:r w:rsidRPr="007F69DA">
        <w:rPr>
          <w:szCs w:val="24"/>
          <w:lang w:bidi="en-US"/>
        </w:rPr>
        <w:lastRenderedPageBreak/>
        <w:t xml:space="preserve">Verhaltensparameter wie Führungsstil, Verhandlungsstil oder Konfliktlösungsstrategie an die jeweiligen fremdkulturellen Bedingungen. </w:t>
      </w:r>
    </w:p>
    <w:p w14:paraId="171B76D2" w14:textId="77777777" w:rsidR="001E58F5" w:rsidRPr="007F69DA" w:rsidRDefault="001E58F5" w:rsidP="001E58F5">
      <w:pPr>
        <w:jc w:val="both"/>
        <w:rPr>
          <w:szCs w:val="24"/>
          <w:lang w:bidi="en-US"/>
        </w:rPr>
      </w:pPr>
    </w:p>
    <w:p w14:paraId="13AA0C64" w14:textId="71DD2C36" w:rsidR="001E58F5" w:rsidRPr="007F69DA" w:rsidRDefault="0023089B" w:rsidP="001E58F5">
      <w:pPr>
        <w:jc w:val="both"/>
        <w:rPr>
          <w:szCs w:val="24"/>
          <w:lang w:bidi="en-US"/>
        </w:rPr>
      </w:pPr>
      <w:r>
        <w:rPr>
          <w:szCs w:val="24"/>
          <w:lang w:bidi="en-US"/>
        </w:rPr>
        <w:t xml:space="preserve">4.3 </w:t>
      </w:r>
      <w:r w:rsidR="001E58F5" w:rsidRPr="007F69DA">
        <w:rPr>
          <w:szCs w:val="24"/>
          <w:lang w:bidi="en-US"/>
        </w:rPr>
        <w:t>Vorhersagevalidität</w:t>
      </w:r>
    </w:p>
    <w:p w14:paraId="7DAA1158" w14:textId="77777777" w:rsidR="001E58F5" w:rsidRPr="007F69DA" w:rsidRDefault="001E58F5" w:rsidP="001E58F5">
      <w:pPr>
        <w:jc w:val="both"/>
        <w:rPr>
          <w:szCs w:val="24"/>
          <w:lang w:bidi="en-US"/>
        </w:rPr>
      </w:pPr>
      <w:r w:rsidRPr="007F69DA">
        <w:rPr>
          <w:szCs w:val="24"/>
          <w:lang w:bidi="en-US"/>
        </w:rPr>
        <w:t>Aus betriebswirtschaftlicher Sicht besonders interessant sind jene Arbeiten, die versuchen, den Einfluss der interkulturellen Kompetenz auf den Unternehmenserfolg im Ausland zu bestimmen. Dafür bedarf es valider Erfolgskriterien.</w:t>
      </w:r>
    </w:p>
    <w:p w14:paraId="006865F1" w14:textId="77777777" w:rsidR="001E58F5" w:rsidRPr="007F69DA" w:rsidRDefault="001E58F5" w:rsidP="001E58F5">
      <w:pPr>
        <w:jc w:val="both"/>
        <w:rPr>
          <w:szCs w:val="24"/>
          <w:lang w:bidi="en-US"/>
        </w:rPr>
      </w:pPr>
    </w:p>
    <w:p w14:paraId="401B8387" w14:textId="77777777" w:rsidR="001E58F5" w:rsidRPr="007F69DA" w:rsidRDefault="001E58F5" w:rsidP="001E58F5">
      <w:pPr>
        <w:jc w:val="both"/>
        <w:rPr>
          <w:szCs w:val="24"/>
          <w:lang w:bidi="en-US"/>
        </w:rPr>
      </w:pPr>
      <w:r w:rsidRPr="007F69DA">
        <w:rPr>
          <w:szCs w:val="24"/>
          <w:lang w:bidi="en-US"/>
        </w:rPr>
        <w:t>(1) Quantitative Erfolgskriterien. Neben andere befassten sich in diesem Zusammenhang u.a. Colakoglu/Caligiuri (2008) und McNulty (2008) mit wirtschaftlichen Kennzahlen. Allerdings sind der Abbruch eines Auslandsengagements oder einer Entsendung bzw. das Volumen der erzielten Geschäftsabschlüsse oder der Folgeaufträge nicht zwangsläufig valide Indikatoren von Auslandserfolg. So kommt es vor, dass ein Entsandter seinen Auslandsaufenthalt aus familiären Gründen oder auf Wunsch seines Unternehmens vorzeitig beendet. In diesem Fall handelt es sich nicht um berufliches Versagen, weshalb die Zahl der vorzeitigen Abbrüche kein eindeutiges (Miss-)Erfolgskriterium ist. Gleiches gilt, wenn der vorzeitige Abbruch auf externe Gründe zurückzuführen ist, etwa einen Bürgerkrieg im Gastland. McNulty (2008, S.38f.) schlug deshalb den Re</w:t>
      </w:r>
      <w:r w:rsidRPr="007F69DA">
        <w:rPr>
          <w:szCs w:val="24"/>
          <w:u w:val="single"/>
          <w:lang w:bidi="en-US"/>
        </w:rPr>
        <w:t>t</w:t>
      </w:r>
      <w:r w:rsidRPr="007F69DA">
        <w:rPr>
          <w:szCs w:val="24"/>
          <w:lang w:bidi="en-US"/>
        </w:rPr>
        <w:t xml:space="preserve">urn on Investment (ROI) als quantitatives Kriterium vor. Allerdings lässt sich dieses dem einzelnen Expatriate zumeist nicht eindeutig zuordnen lassen. Dies ist insbesondere dann der Fall, wenn sich dessen Aufgabenspektrum nicht auf Verkauf oder den Abschluss von Verträgen beschränkt. </w:t>
      </w:r>
    </w:p>
    <w:p w14:paraId="7A9195A0" w14:textId="77777777" w:rsidR="001E58F5" w:rsidRPr="007F69DA" w:rsidRDefault="001E58F5" w:rsidP="001E58F5">
      <w:pPr>
        <w:jc w:val="both"/>
        <w:rPr>
          <w:szCs w:val="24"/>
          <w:lang w:bidi="en-US"/>
        </w:rPr>
      </w:pPr>
    </w:p>
    <w:p w14:paraId="3E262392" w14:textId="77777777" w:rsidR="001E58F5" w:rsidRPr="007F69DA" w:rsidRDefault="001E58F5" w:rsidP="001E58F5">
      <w:pPr>
        <w:jc w:val="both"/>
        <w:rPr>
          <w:szCs w:val="24"/>
          <w:lang w:bidi="en-US"/>
        </w:rPr>
      </w:pPr>
      <w:r w:rsidRPr="007F69DA">
        <w:rPr>
          <w:szCs w:val="24"/>
          <w:lang w:bidi="en-US"/>
        </w:rPr>
        <w:t>(2) Qualitative Erfolgskriterien. Daher wird in der Forschung zur Bestimmung der Vorhersagevalidität interkultureller Kompetenz gerne auf qualitative Erfolgskriterien zurückgegriffen, welche in Abb. 1 dargestellt sind und die …</w:t>
      </w:r>
    </w:p>
    <w:p w14:paraId="582F6909" w14:textId="77777777" w:rsidR="001E58F5" w:rsidRPr="007F69DA" w:rsidRDefault="001E58F5">
      <w:pPr>
        <w:widowControl/>
        <w:numPr>
          <w:ilvl w:val="0"/>
          <w:numId w:val="33"/>
        </w:numPr>
        <w:autoSpaceDE/>
        <w:autoSpaceDN/>
        <w:ind w:left="426"/>
        <w:contextualSpacing/>
        <w:jc w:val="both"/>
        <w:rPr>
          <w:szCs w:val="24"/>
          <w:lang w:bidi="en-US"/>
        </w:rPr>
      </w:pPr>
      <w:r w:rsidRPr="007F69DA">
        <w:rPr>
          <w:szCs w:val="24"/>
          <w:lang w:bidi="en-US"/>
        </w:rPr>
        <w:t>Effektivität (z.B. soziale Anpassung, berufliche Anpassung, Zufriedenheit mit dem Auslandsaufenthalt) oder</w:t>
      </w:r>
    </w:p>
    <w:p w14:paraId="2DDD65AC" w14:textId="77777777" w:rsidR="001E58F5" w:rsidRPr="007F69DA" w:rsidRDefault="001E58F5">
      <w:pPr>
        <w:widowControl/>
        <w:numPr>
          <w:ilvl w:val="0"/>
          <w:numId w:val="33"/>
        </w:numPr>
        <w:autoSpaceDE/>
        <w:autoSpaceDN/>
        <w:ind w:left="426"/>
        <w:contextualSpacing/>
        <w:jc w:val="both"/>
        <w:rPr>
          <w:szCs w:val="24"/>
          <w:lang w:bidi="en-US"/>
        </w:rPr>
      </w:pPr>
      <w:r w:rsidRPr="007F69DA">
        <w:rPr>
          <w:szCs w:val="24"/>
          <w:lang w:bidi="en-US"/>
        </w:rPr>
        <w:t xml:space="preserve">Angemessenheit (z.B. Einhaltung von Normen und Regeln, Wahrung des Gesichts) </w:t>
      </w:r>
    </w:p>
    <w:p w14:paraId="21924470" w14:textId="77777777" w:rsidR="001E58F5" w:rsidRPr="007F69DA" w:rsidRDefault="001E58F5" w:rsidP="001E58F5">
      <w:pPr>
        <w:ind w:left="720"/>
        <w:contextualSpacing/>
        <w:jc w:val="both"/>
        <w:rPr>
          <w:szCs w:val="24"/>
          <w:lang w:bidi="en-US"/>
        </w:rPr>
      </w:pPr>
    </w:p>
    <w:p w14:paraId="03584512" w14:textId="77777777" w:rsidR="001E58F5" w:rsidRPr="007F69DA" w:rsidRDefault="001E58F5" w:rsidP="001E58F5">
      <w:pPr>
        <w:jc w:val="both"/>
        <w:rPr>
          <w:szCs w:val="24"/>
          <w:lang w:bidi="en-US"/>
        </w:rPr>
      </w:pPr>
      <w:r w:rsidRPr="007F69DA">
        <w:rPr>
          <w:szCs w:val="24"/>
          <w:lang w:bidi="en-US"/>
        </w:rPr>
        <w:t xml:space="preserve">des Expatriates messen. So zeigt Gelbrich (2004, S.270), dass Offenheit, Einfühlungsvermögen und realistische Erwartungen die berufliche Anpassung fördern, Einfühlungsvermögen, realistische Erwartungen, Kommunikationsfähigkeit und Selbstbewusstsein die soziale Anpassung und Offenheit, realistische Erwartungen, Kommunikationsfähigkeit und Selbstbewusstsein die Zufriedenheit mit dem Auslandsaufenthalt. </w:t>
      </w:r>
    </w:p>
    <w:p w14:paraId="6C5E88D8" w14:textId="77777777" w:rsidR="001E58F5" w:rsidRPr="007F69DA" w:rsidRDefault="001E58F5" w:rsidP="001E58F5">
      <w:pPr>
        <w:jc w:val="both"/>
        <w:rPr>
          <w:szCs w:val="24"/>
          <w:lang w:bidi="en-US"/>
        </w:rPr>
      </w:pPr>
    </w:p>
    <w:p w14:paraId="01B4C759" w14:textId="77777777" w:rsidR="001E58F5" w:rsidRPr="007F69DA" w:rsidRDefault="001E58F5" w:rsidP="001E58F5">
      <w:pPr>
        <w:jc w:val="both"/>
        <w:rPr>
          <w:szCs w:val="24"/>
          <w:lang w:bidi="en-US"/>
        </w:rPr>
      </w:pPr>
      <w:r w:rsidRPr="007F69DA">
        <w:rPr>
          <w:szCs w:val="24"/>
          <w:lang w:bidi="en-US"/>
        </w:rPr>
        <w:t xml:space="preserve">Allerdings wirken diese Erfolgsfaktoren nicht unabhängig voneinander, sondern korrelieren. So fördern die berufliche und die soziale Anpassung des Expatriates seine Zufriedenheit mit dem Auslandsaufenthalt, was wiederum seine Abbruchwahrscheinlichkeit mindert (vgl. Gelbrich 2008). Mitarbeiterzufriedenheit wiederum fördert auch "harte" Erfolgskriterien (Kim/Slocum 2008). Denn zufriedene Mitarbeiter tragen dazu bei, dass das Unternehmen seine Produktivität steigern kann (Patterson et al. 2004, S.206). </w:t>
      </w:r>
    </w:p>
    <w:p w14:paraId="0F5064FF" w14:textId="77777777" w:rsidR="001E58F5" w:rsidRPr="007F69DA" w:rsidRDefault="001E58F5" w:rsidP="001E58F5">
      <w:pPr>
        <w:jc w:val="both"/>
        <w:rPr>
          <w:szCs w:val="24"/>
          <w:lang w:bidi="en-US"/>
        </w:rPr>
      </w:pPr>
    </w:p>
    <w:p w14:paraId="1A3F3EF1" w14:textId="77777777" w:rsidR="001E58F5" w:rsidRPr="007F69DA" w:rsidRDefault="001E58F5" w:rsidP="001E58F5">
      <w:pPr>
        <w:jc w:val="both"/>
        <w:rPr>
          <w:szCs w:val="24"/>
          <w:lang w:bidi="en-US"/>
        </w:rPr>
      </w:pPr>
      <w:r w:rsidRPr="007F69DA">
        <w:rPr>
          <w:szCs w:val="24"/>
          <w:lang w:bidi="en-US"/>
        </w:rPr>
        <w:t xml:space="preserve">Weiterhin ist zu beachten, dass berufliche Anpassung die Zufriedenheit mit dem Auslandsaufenthalt vor allem dann fördert (und damit den Abbruchwunsch mindert), wenn es sich um einen langen Aufenthalt (mehr als 30 Wochen) in einem kulturell entfernten Gastland handelt (z.B. Japan) handelt (vgl. Gelbrich 2008, S.265). Soziale Anpassung wiederum erhöht die Zufriedenheit (und mindert damit den Abbruchwunsch) dann besonders stark, wenn die Betroffenen lange Zeit ins Ausland gehen, unabhängig von der kulturellen Distanz des Gastlandes (vgl. Abb. 2). </w:t>
      </w:r>
    </w:p>
    <w:p w14:paraId="075E65CB" w14:textId="77777777" w:rsidR="001E58F5" w:rsidRPr="007F69DA" w:rsidRDefault="001E58F5" w:rsidP="001E58F5">
      <w:pPr>
        <w:jc w:val="both"/>
        <w:rPr>
          <w:lang w:bidi="en-US"/>
        </w:rPr>
      </w:pPr>
    </w:p>
    <w:p w14:paraId="4B73BFBD" w14:textId="77777777" w:rsidR="001E58F5" w:rsidRPr="00544326" w:rsidRDefault="001E58F5" w:rsidP="001E58F5">
      <w:pPr>
        <w:jc w:val="center"/>
        <w:rPr>
          <w:i/>
          <w:szCs w:val="24"/>
          <w:lang w:bidi="en-US"/>
        </w:rPr>
      </w:pPr>
      <w:r w:rsidRPr="00544326">
        <w:rPr>
          <w:i/>
          <w:szCs w:val="24"/>
          <w:lang w:bidi="en-US"/>
        </w:rPr>
        <w:t xml:space="preserve">Abb. 2: Einfluss der beruflichen und der sozialen Anpassung auf die </w:t>
      </w:r>
      <w:r w:rsidRPr="00544326">
        <w:rPr>
          <w:i/>
          <w:szCs w:val="24"/>
          <w:lang w:bidi="en-US"/>
        </w:rPr>
        <w:br/>
        <w:t xml:space="preserve">Zufriedenheit mit dem Auslandsaufenthalt </w:t>
      </w:r>
    </w:p>
    <w:p w14:paraId="328F88D5" w14:textId="77777777" w:rsidR="001E58F5" w:rsidRPr="007F69DA" w:rsidRDefault="001E58F5" w:rsidP="001E58F5">
      <w:pPr>
        <w:spacing w:line="360" w:lineRule="auto"/>
        <w:jc w:val="both"/>
        <w:rPr>
          <w:szCs w:val="24"/>
          <w:lang w:bidi="en-US"/>
        </w:rPr>
      </w:pPr>
      <w:r w:rsidRPr="007F69DA">
        <w:rPr>
          <w:noProof/>
          <w:szCs w:val="24"/>
          <w:lang w:eastAsia="de-DE"/>
        </w:rPr>
        <w:lastRenderedPageBreak/>
        <w:drawing>
          <wp:inline distT="0" distB="0" distL="0" distR="0" wp14:anchorId="76F217E2" wp14:editId="408B2932">
            <wp:extent cx="5691789" cy="3162300"/>
            <wp:effectExtent l="0" t="0" r="4445" b="0"/>
            <wp:docPr id="1518027214" name="Grafik 1518027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707977" cy="3171294"/>
                    </a:xfrm>
                    <a:prstGeom prst="rect">
                      <a:avLst/>
                    </a:prstGeom>
                    <a:noFill/>
                  </pic:spPr>
                </pic:pic>
              </a:graphicData>
            </a:graphic>
          </wp:inline>
        </w:drawing>
      </w:r>
    </w:p>
    <w:p w14:paraId="47811EAF" w14:textId="77777777" w:rsidR="001E58F5" w:rsidRPr="007F69DA" w:rsidRDefault="001E58F5" w:rsidP="001E58F5">
      <w:pPr>
        <w:spacing w:line="360" w:lineRule="auto"/>
        <w:jc w:val="both"/>
        <w:rPr>
          <w:sz w:val="18"/>
          <w:szCs w:val="18"/>
          <w:lang w:bidi="en-US"/>
        </w:rPr>
      </w:pPr>
      <w:r w:rsidRPr="007F69DA">
        <w:rPr>
          <w:sz w:val="18"/>
          <w:szCs w:val="18"/>
          <w:lang w:bidi="en-US"/>
        </w:rPr>
        <w:t>Quelle: Gelbrich (2008, S.265).</w:t>
      </w:r>
    </w:p>
    <w:p w14:paraId="3F82E81B" w14:textId="77777777" w:rsidR="001E58F5" w:rsidRPr="007F69DA" w:rsidRDefault="001E58F5" w:rsidP="001E58F5">
      <w:pPr>
        <w:jc w:val="both"/>
        <w:rPr>
          <w:lang w:bidi="en-US"/>
        </w:rPr>
      </w:pPr>
    </w:p>
    <w:p w14:paraId="1C0F270E" w14:textId="77777777" w:rsidR="001E58F5" w:rsidRPr="007F69DA" w:rsidRDefault="001E58F5" w:rsidP="001E58F5">
      <w:pPr>
        <w:jc w:val="both"/>
        <w:rPr>
          <w:szCs w:val="24"/>
          <w:lang w:bidi="en-US"/>
        </w:rPr>
      </w:pPr>
      <w:r w:rsidRPr="007F69DA">
        <w:rPr>
          <w:szCs w:val="24"/>
          <w:lang w:bidi="en-US"/>
        </w:rPr>
        <w:t xml:space="preserve">Aus diesem Befund lassen sich Handlungsempfehlungen für die Gestaltung interkultureller Trainingsmaßnahmen ableiten. Wer nur kurzzeitig in ein kulturell andersartiges Land wie Japan entsandt wird, sollte vor allem in der Lage sein, sich an das Arbeitsleben anzupassen. Er muss z.B. lernen, sich auf möglicherweise unterschiedliche Leistungsanforderungen einzustellen. Wer lange ins Ausland geht – egal wohin – muss sich auch und vor allem sozial integrieren. Ein interkulturelles Training sollte in diesem Falle u.a. einen Schwerpunkt auf Sprachfertigkeiten, Kulturstandards etc. legen. </w:t>
      </w:r>
    </w:p>
    <w:p w14:paraId="0C5A165C" w14:textId="77777777" w:rsidR="001E58F5" w:rsidRPr="007F69DA" w:rsidRDefault="001E58F5" w:rsidP="001E58F5">
      <w:pPr>
        <w:jc w:val="both"/>
        <w:rPr>
          <w:szCs w:val="24"/>
          <w:lang w:bidi="en-US"/>
        </w:rPr>
      </w:pPr>
    </w:p>
    <w:p w14:paraId="77188BD4" w14:textId="77777777" w:rsidR="001E58F5" w:rsidRPr="007F69DA" w:rsidRDefault="001E58F5" w:rsidP="001E58F5">
      <w:pPr>
        <w:jc w:val="both"/>
        <w:rPr>
          <w:szCs w:val="24"/>
          <w:lang w:bidi="en-US"/>
        </w:rPr>
      </w:pPr>
      <w:r w:rsidRPr="007F69DA">
        <w:rPr>
          <w:szCs w:val="24"/>
          <w:lang w:bidi="en-US"/>
        </w:rPr>
        <w:t>(2) Qualitative Erfolgskriterien. Hierzu zählen „Anpassung“, „Arbeitszufriedenheit“, „Abbruchabsicht“, „Einhaltung von Normen und Regeln“ sowie „Wahrung des Gesichts“. Allerdings können diese Erfolgskriterien nicht unabhängig voneinander betrachtet werden können, da sie – wie etwa Mitarbeiterzufriedenheit und Produktivität – miteinander korrelieren (vgl. Gelbrich 2008; Kim/Slocum 2008). Denn zufriedene Mitarbeiter tragen dazu bei, dass das Unternehmen seine Produktivität steigern kann (Patterson et al. 2004, S.206). Zudem ist anzunehmen, dass zufriedene Mitarbeiter seltener kündigen und zielgerichteter mit Kollegen kommunizieren, was hilft, Doppelarbeit zu vermeiden. Auch trägt Arbeitszufriedenheit zu einem besseren Betriebsklima bei. Insbesondere im Kontext von Auslandsentsendungen verursachen neuartige Lernsituationen psychischen Stress (vgl. Liu/Lee 2008, S.180; Black et al. 1991, S.132). Zufriedene Mitarbeiter können damit im Regelfall besser umgehen, da sie sich ihrem Unternehmen verpflichtet fühlen.</w:t>
      </w:r>
    </w:p>
    <w:p w14:paraId="03B93E01" w14:textId="77777777" w:rsidR="001E58F5" w:rsidRPr="007F69DA" w:rsidRDefault="001E58F5" w:rsidP="001E58F5">
      <w:pPr>
        <w:jc w:val="both"/>
        <w:rPr>
          <w:szCs w:val="24"/>
          <w:lang w:bidi="en-US"/>
        </w:rPr>
      </w:pPr>
    </w:p>
    <w:p w14:paraId="748C54BF" w14:textId="77777777" w:rsidR="001E58F5" w:rsidRPr="007F69DA" w:rsidRDefault="001E58F5" w:rsidP="001E58F5">
      <w:pPr>
        <w:jc w:val="both"/>
        <w:rPr>
          <w:lang w:bidi="en-US"/>
        </w:rPr>
      </w:pPr>
      <w:r w:rsidRPr="007F69DA">
        <w:rPr>
          <w:szCs w:val="24"/>
          <w:lang w:bidi="en-US"/>
        </w:rPr>
        <w:t>Folgende Antezedenzen interkultureller Kompetenz fördern die Zufriedenheit mit dem Auslandsaufenthalt sowie die berufliche Anpassung und die soziale Anpassung fördern: Mitgefühl, Offenheit, realistische Erwartungen, kommunikative Fähigkeiten und Selbstvertrauen. Hohe Zufriedenheit und gute berufliche Anpassung reduzieren die Wahrscheinlichkeit eines frühzeitigen Abbruchs, nicht jedoch eine gute soziale Anpassung (vgl. Gelbrich 2004, S.270).</w:t>
      </w:r>
      <w:r w:rsidRPr="007F69DA">
        <w:rPr>
          <w:lang w:bidi="en-US"/>
        </w:rPr>
        <w:t xml:space="preserve"> </w:t>
      </w:r>
    </w:p>
    <w:p w14:paraId="469C1FEB" w14:textId="77777777" w:rsidR="001E58F5" w:rsidRPr="007F69DA" w:rsidRDefault="001E58F5" w:rsidP="001E58F5">
      <w:pPr>
        <w:jc w:val="both"/>
        <w:rPr>
          <w:lang w:bidi="en-US"/>
        </w:rPr>
      </w:pPr>
    </w:p>
    <w:p w14:paraId="6E815003" w14:textId="77777777" w:rsidR="001E58F5" w:rsidRPr="007F69DA" w:rsidRDefault="001E58F5" w:rsidP="001E58F5">
      <w:pPr>
        <w:jc w:val="both"/>
        <w:rPr>
          <w:lang w:bidi="en-US"/>
        </w:rPr>
      </w:pPr>
      <w:r w:rsidRPr="007F69DA">
        <w:rPr>
          <w:noProof/>
          <w:szCs w:val="24"/>
          <w:lang w:eastAsia="de-DE"/>
        </w:rPr>
        <w:lastRenderedPageBreak/>
        <mc:AlternateContent>
          <mc:Choice Requires="wps">
            <w:drawing>
              <wp:anchor distT="45720" distB="45720" distL="114300" distR="114300" simplePos="0" relativeHeight="252035072" behindDoc="0" locked="0" layoutInCell="1" allowOverlap="1" wp14:anchorId="35B832D0" wp14:editId="7682329F">
                <wp:simplePos x="0" y="0"/>
                <wp:positionH relativeFrom="margin">
                  <wp:posOffset>0</wp:posOffset>
                </wp:positionH>
                <wp:positionV relativeFrom="paragraph">
                  <wp:posOffset>207010</wp:posOffset>
                </wp:positionV>
                <wp:extent cx="5686425" cy="1676400"/>
                <wp:effectExtent l="0" t="0" r="28575" b="19050"/>
                <wp:wrapSquare wrapText="bothSides"/>
                <wp:docPr id="1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6425" cy="1676400"/>
                        </a:xfrm>
                        <a:prstGeom prst="rect">
                          <a:avLst/>
                        </a:prstGeom>
                        <a:solidFill>
                          <a:srgbClr val="FFFFFF"/>
                        </a:solidFill>
                        <a:ln w="9525">
                          <a:solidFill>
                            <a:srgbClr val="000000"/>
                          </a:solidFill>
                          <a:miter lim="800000"/>
                          <a:headEnd/>
                          <a:tailEnd/>
                        </a:ln>
                      </wps:spPr>
                      <wps:txbx>
                        <w:txbxContent>
                          <w:p w14:paraId="216F3714" w14:textId="77777777" w:rsidR="001E58F5" w:rsidRPr="00803BD1" w:rsidRDefault="001E58F5" w:rsidP="001E58F5">
                            <w:pPr>
                              <w:shd w:val="clear" w:color="auto" w:fill="DEEAF6" w:themeFill="accent1" w:themeFillTint="33"/>
                            </w:pPr>
                            <w:r w:rsidRPr="00B24483">
                              <w:rPr>
                                <w:sz w:val="48"/>
                                <w:szCs w:val="48"/>
                              </w:rPr>
                              <w:sym w:font="Wingdings 2" w:char="F045"/>
                            </w:r>
                            <w:r w:rsidRPr="002C6FFE">
                              <w:t xml:space="preserve"> </w:t>
                            </w:r>
                            <w:r w:rsidRPr="00803BD1">
                              <w:t xml:space="preserve">Interkulturelle Kompetenz ist ein </w:t>
                            </w:r>
                            <w:r w:rsidRPr="00803BD1">
                              <w:rPr>
                                <w:bCs/>
                              </w:rPr>
                              <w:t>mehrdimensionales Konstrukt</w:t>
                            </w:r>
                            <w:r w:rsidRPr="00803BD1">
                              <w:t>, bestehend aus der affektiven Dimension (= Gefühle), der kognitiven Dimension (= Wissen und Gedanken) und der Handlungsdimension (= Verhalten). Bezogen auf die Situation von Expatriates lässt sich daraus ableiten, dass diese voraussichtlich erfolgreich sein – also im Ausland effektiv und angemessen handeln – werden, wenn sie u.a. …</w:t>
                            </w:r>
                          </w:p>
                          <w:p w14:paraId="42A0ACD8" w14:textId="77777777" w:rsidR="001E58F5" w:rsidRPr="00803BD1" w:rsidRDefault="001E58F5">
                            <w:pPr>
                              <w:pStyle w:val="Listenabsatz"/>
                              <w:widowControl/>
                              <w:numPr>
                                <w:ilvl w:val="0"/>
                                <w:numId w:val="30"/>
                              </w:numPr>
                              <w:shd w:val="clear" w:color="auto" w:fill="DEEAF6" w:themeFill="accent1" w:themeFillTint="33"/>
                              <w:autoSpaceDE/>
                              <w:autoSpaceDN/>
                              <w:contextualSpacing/>
                            </w:pPr>
                            <w:r w:rsidRPr="00803BD1">
                              <w:t>unvoreingenommen und offen sind (= affektive Komponente) sowie</w:t>
                            </w:r>
                          </w:p>
                          <w:p w14:paraId="2913A540" w14:textId="77777777" w:rsidR="001E58F5" w:rsidRPr="00803BD1" w:rsidRDefault="001E58F5">
                            <w:pPr>
                              <w:pStyle w:val="Listenabsatz"/>
                              <w:widowControl/>
                              <w:numPr>
                                <w:ilvl w:val="0"/>
                                <w:numId w:val="30"/>
                              </w:numPr>
                              <w:shd w:val="clear" w:color="auto" w:fill="DEEAF6" w:themeFill="accent1" w:themeFillTint="33"/>
                              <w:autoSpaceDE/>
                              <w:autoSpaceDN/>
                              <w:contextualSpacing/>
                            </w:pPr>
                            <w:r w:rsidRPr="00803BD1">
                              <w:t xml:space="preserve">selbstbewusst und realistisch (= kognitive Komponente) sowie </w:t>
                            </w:r>
                          </w:p>
                          <w:p w14:paraId="71B7465D" w14:textId="77777777" w:rsidR="001E58F5" w:rsidRPr="00803BD1" w:rsidRDefault="001E58F5">
                            <w:pPr>
                              <w:pStyle w:val="Listenabsatz"/>
                              <w:widowControl/>
                              <w:numPr>
                                <w:ilvl w:val="0"/>
                                <w:numId w:val="30"/>
                              </w:numPr>
                              <w:shd w:val="clear" w:color="auto" w:fill="DEEAF6" w:themeFill="accent1" w:themeFillTint="33"/>
                              <w:autoSpaceDE/>
                              <w:autoSpaceDN/>
                              <w:contextualSpacing/>
                            </w:pPr>
                            <w:r w:rsidRPr="00803BD1">
                              <w:t>respektvoll und sprachfertig (= Handlungskomponente).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B832D0" id="_x0000_s1066" type="#_x0000_t202" style="position:absolute;left:0;text-align:left;margin-left:0;margin-top:16.3pt;width:447.75pt;height:132pt;z-index:2520350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">
                <v:textbox>
                  <w:txbxContent>
                    <w:p w14:paraId="216F3714" w14:textId="77777777" w:rsidR="001E58F5" w:rsidRPr="00803BD1" w:rsidRDefault="001E58F5" w:rsidP="001E58F5">
                      <w:pPr>
                        <w:shd w:val="clear" w:color="auto" w:fill="DEEAF6" w:themeFill="accent1" w:themeFillTint="33"/>
                      </w:pPr>
                      <w:r w:rsidRPr="00B24483">
                        <w:rPr>
                          <w:sz w:val="48"/>
                          <w:szCs w:val="48"/>
                        </w:rPr>
                        <w:sym w:font="Wingdings 2" w:char="F045"/>
                      </w:r>
                      <w:r w:rsidRPr="002C6FFE">
                        <w:t xml:space="preserve"> </w:t>
                      </w:r>
                      <w:r w:rsidRPr="00803BD1">
                        <w:t xml:space="preserve">Interkulturelle Kompetenz ist ein </w:t>
                      </w:r>
                      <w:r w:rsidRPr="00803BD1">
                        <w:rPr>
                          <w:bCs/>
                        </w:rPr>
                        <w:t>mehrdimensionales Konstrukt</w:t>
                      </w:r>
                      <w:r w:rsidRPr="00803BD1">
                        <w:t>, bestehend aus der affektiven Dimension (= Gefühle), der kognitiven Dimension (= Wissen und Gedanken) und der Handlungsdimension (= Verhalten). Bezogen auf die Situation von Expatriates lässt sich daraus ableiten, dass diese voraussichtlich erfolgreich sein – also im Ausland effektiv und angemessen handeln – werden, wenn sie u.a. …</w:t>
                      </w:r>
                    </w:p>
                    <w:p w14:paraId="42A0ACD8" w14:textId="77777777" w:rsidR="001E58F5" w:rsidRPr="00803BD1" w:rsidRDefault="001E58F5">
                      <w:pPr>
                        <w:pStyle w:val="Listenabsatz"/>
                        <w:widowControl/>
                        <w:numPr>
                          <w:ilvl w:val="0"/>
                          <w:numId w:val="30"/>
                        </w:numPr>
                        <w:shd w:val="clear" w:color="auto" w:fill="DEEAF6" w:themeFill="accent1" w:themeFillTint="33"/>
                        <w:autoSpaceDE/>
                        <w:autoSpaceDN/>
                        <w:contextualSpacing/>
                      </w:pPr>
                      <w:r w:rsidRPr="00803BD1">
                        <w:t>unvoreingenommen und offen sind (= affektive Komponente) sowie</w:t>
                      </w:r>
                    </w:p>
                    <w:p w14:paraId="2913A540" w14:textId="77777777" w:rsidR="001E58F5" w:rsidRPr="00803BD1" w:rsidRDefault="001E58F5">
                      <w:pPr>
                        <w:pStyle w:val="Listenabsatz"/>
                        <w:widowControl/>
                        <w:numPr>
                          <w:ilvl w:val="0"/>
                          <w:numId w:val="30"/>
                        </w:numPr>
                        <w:shd w:val="clear" w:color="auto" w:fill="DEEAF6" w:themeFill="accent1" w:themeFillTint="33"/>
                        <w:autoSpaceDE/>
                        <w:autoSpaceDN/>
                        <w:contextualSpacing/>
                      </w:pPr>
                      <w:r w:rsidRPr="00803BD1">
                        <w:t xml:space="preserve">selbstbewusst und realistisch (= kognitive Komponente) sowie </w:t>
                      </w:r>
                    </w:p>
                    <w:p w14:paraId="71B7465D" w14:textId="77777777" w:rsidR="001E58F5" w:rsidRPr="00803BD1" w:rsidRDefault="001E58F5">
                      <w:pPr>
                        <w:pStyle w:val="Listenabsatz"/>
                        <w:widowControl/>
                        <w:numPr>
                          <w:ilvl w:val="0"/>
                          <w:numId w:val="30"/>
                        </w:numPr>
                        <w:shd w:val="clear" w:color="auto" w:fill="DEEAF6" w:themeFill="accent1" w:themeFillTint="33"/>
                        <w:autoSpaceDE/>
                        <w:autoSpaceDN/>
                        <w:contextualSpacing/>
                      </w:pPr>
                      <w:r w:rsidRPr="00803BD1">
                        <w:t>respektvoll und sprachfertig (= Handlungskomponente).</w:t>
                      </w:r>
                    </w:p>
                  </w:txbxContent>
                </v:textbox>
                <w10:wrap type="square" anchorx="margin"/>
              </v:shape>
            </w:pict>
          </mc:Fallback>
        </mc:AlternateContent>
      </w:r>
    </w:p>
    <w:p w14:paraId="71E77487" w14:textId="77777777" w:rsidR="001E58F5" w:rsidRPr="007F69DA" w:rsidRDefault="001E58F5" w:rsidP="001E58F5">
      <w:pPr>
        <w:jc w:val="both"/>
        <w:rPr>
          <w:lang w:bidi="en-US"/>
        </w:rPr>
      </w:pPr>
    </w:p>
    <w:p w14:paraId="576E5F8B" w14:textId="77777777" w:rsidR="001E58F5" w:rsidRPr="007F69DA" w:rsidRDefault="001E58F5" w:rsidP="0023089B">
      <w:pPr>
        <w:pStyle w:val="Literatur"/>
        <w:numPr>
          <w:ilvl w:val="0"/>
          <w:numId w:val="0"/>
        </w:numPr>
        <w:spacing w:line="240" w:lineRule="auto"/>
        <w:rPr>
          <w:sz w:val="22"/>
          <w:szCs w:val="22"/>
        </w:rPr>
      </w:pPr>
      <w:r w:rsidRPr="0023089B">
        <w:rPr>
          <w:b/>
          <w:bCs w:val="0"/>
          <w:i/>
          <w:sz w:val="22"/>
          <w:szCs w:val="22"/>
        </w:rPr>
        <w:t>Literatur</w:t>
      </w:r>
      <w:r w:rsidRPr="0023089B">
        <w:rPr>
          <w:i/>
          <w:sz w:val="22"/>
          <w:szCs w:val="22"/>
        </w:rPr>
        <w:t xml:space="preserve">: </w:t>
      </w:r>
      <w:r w:rsidRPr="007F69DA">
        <w:rPr>
          <w:sz w:val="22"/>
          <w:szCs w:val="22"/>
        </w:rPr>
        <w:t xml:space="preserve">Asendorpf, J.B.; Neyer, F.J. (2012): Psychologie der Persönlichkeit, 5. Aufl., Berlin: Springer.   Blom, H.; Meier, H. (2002): Interkulturelles Management, Herne: Verlag Neue Wirtschaftsbriefe.   </w:t>
      </w:r>
      <w:r w:rsidRPr="007F69DA">
        <w:rPr>
          <w:iCs/>
          <w:sz w:val="22"/>
          <w:szCs w:val="22"/>
          <w:lang w:val="en-US"/>
        </w:rPr>
        <w:t>Burke, M.J.; Watkins, M.B.; Guzman, E. (2009): Performing in a Multi-Cultural Context. The Role of Personality, International Journal of Intercultural Relations, 33(6): 475-485.</w:t>
      </w:r>
      <w:r w:rsidRPr="007F69DA">
        <w:rPr>
          <w:sz w:val="22"/>
          <w:szCs w:val="22"/>
          <w:lang w:val="en-US"/>
        </w:rPr>
        <w:t xml:space="preserve">   </w:t>
      </w:r>
      <w:r w:rsidRPr="007F69DA">
        <w:rPr>
          <w:iCs/>
          <w:sz w:val="22"/>
          <w:szCs w:val="22"/>
          <w:lang w:val="en-GB"/>
        </w:rPr>
        <w:t>Chen, G.-M.; Starosta, W.J. (1996)</w:t>
      </w:r>
      <w:r w:rsidRPr="007F69DA">
        <w:rPr>
          <w:sz w:val="22"/>
          <w:szCs w:val="22"/>
          <w:lang w:val="en-GB"/>
        </w:rPr>
        <w:t xml:space="preserve">: Intercultural Communication Competence. A Synthesis, Communication Yearbook, 19: 353-383.   </w:t>
      </w:r>
      <w:r w:rsidRPr="007F69DA">
        <w:rPr>
          <w:sz w:val="22"/>
          <w:szCs w:val="22"/>
          <w:lang w:val="en-US"/>
        </w:rPr>
        <w:t>Chen, G.-M.; Starosta, W.J. (1998): A Review of the Concept of Intercultural Sensitivity, Human Communication, 1(1): 1</w:t>
      </w:r>
      <w:r w:rsidRPr="007F69DA">
        <w:rPr>
          <w:sz w:val="22"/>
          <w:szCs w:val="22"/>
          <w:lang w:val="en-US"/>
        </w:rPr>
        <w:noBreakHyphen/>
        <w:t xml:space="preserve">16.   </w:t>
      </w:r>
      <w:r w:rsidRPr="007F69DA">
        <w:rPr>
          <w:sz w:val="22"/>
          <w:szCs w:val="22"/>
          <w:lang w:val="en-GB"/>
        </w:rPr>
        <w:t xml:space="preserve">Chen, G.-M.; Starosta, W.J. (2000): The Development and Validation of the Intercultural Comunication Sensitivity Scale, Human Communication, 3(1): 1-15.   </w:t>
      </w:r>
      <w:r w:rsidRPr="007F69DA">
        <w:rPr>
          <w:sz w:val="22"/>
          <w:szCs w:val="22"/>
          <w:lang w:val="en-US"/>
        </w:rPr>
        <w:t xml:space="preserve">Colakoglu, S.; Caligiuri, P. (2008): Cultural Distance, Expatriate Staffing and Subsidiary Performance. The Case of US Subsidiaries of Multinational Corporations, International Journal of Human Resource Management, 19(2): 223-239.   Cui, G.; Awa, N.E. (1992): Measuring Intercultural Effectiveness. An Integrative Approach, International Journal of Intercultural Relations, 16(3): 311-328.   </w:t>
      </w:r>
      <w:r w:rsidRPr="007F69DA">
        <w:rPr>
          <w:sz w:val="22"/>
          <w:szCs w:val="22"/>
          <w:lang w:val="en-GB"/>
        </w:rPr>
        <w:t xml:space="preserve">Deardorff, D.K. (2006): Identification and Assessment of Intercultural Competence as a Student Outcome of Internationalization, Journal of Studies in International Education, 10(3): 241-266.   Gelbrich, K. (2004): The Relationship between Intercultural Competence and Expatriate Success. A Structural Equation Model, Die Unternehmung, 58(3/4): 261-278.   </w:t>
      </w:r>
      <w:r w:rsidRPr="007F69DA">
        <w:rPr>
          <w:sz w:val="22"/>
          <w:szCs w:val="22"/>
          <w:lang w:val="en-US"/>
        </w:rPr>
        <w:t xml:space="preserve">Gelbrich, K. (2008): A Contingency Model of Cross-Cultural Adjustment, Die Unternehmung, 62(3): 255-273.   Graf, A.; Harland, L.K. (2005): Expatriate Selection. Evaluating the Discriminant, Convergent, and Predictive Validity of Five Measures of Interpersonal and Intercultural Competence, Journal of Leadership &amp; Organizational Studies, 11(2): 46-62.   </w:t>
      </w:r>
      <w:r w:rsidRPr="007F69DA">
        <w:rPr>
          <w:sz w:val="22"/>
          <w:szCs w:val="22"/>
          <w:lang w:val="en-GB"/>
        </w:rPr>
        <w:t xml:space="preserve">Gudykunst, W.B.; Lee, C.M. (2001): Cross-Cultural Communication Theories, in: Gudykunst, W.B.; Mody, B. (Eds.), Handbook of International and Intercultural Communication, 25-50, Thousand Oaks/CA: Sage.   </w:t>
      </w:r>
      <w:r w:rsidRPr="007F69DA">
        <w:rPr>
          <w:sz w:val="22"/>
          <w:szCs w:val="22"/>
        </w:rPr>
        <w:t xml:space="preserve">Kerber, B. (1998): Hitler, Klinsman, Mataus. Don’t Know any other Footballer? Psychologie Heute, 25(2): 30-35.   </w:t>
      </w:r>
      <w:r w:rsidRPr="007F69DA">
        <w:rPr>
          <w:sz w:val="22"/>
          <w:szCs w:val="22"/>
          <w:lang w:val="en-US"/>
        </w:rPr>
        <w:t xml:space="preserve">Kim, K.; Slocum, J.W. Jr (2008): Individual Differences and Expatriate Assignment Effectiveness. The Case of U.S.-Based Korean Expatriates, Journal of World Business, 43(1): 109-126.   Köckritz, A. (2014): Mail aus Peking, Süddeutsche Zeitung, 70(23): 8.   </w:t>
      </w:r>
      <w:r w:rsidRPr="007F69DA">
        <w:rPr>
          <w:iCs/>
          <w:sz w:val="22"/>
          <w:szCs w:val="22"/>
          <w:lang w:val="en-US"/>
        </w:rPr>
        <w:t>Koester, J.; Olebe, M. (1988): The Behavioral Assessment Scale for Intercultural Communication Effectiveness, International Journal of Intercultural Relations, 12(3): 233-246.</w:t>
      </w:r>
      <w:r w:rsidRPr="007F69DA">
        <w:rPr>
          <w:sz w:val="22"/>
          <w:szCs w:val="22"/>
          <w:lang w:val="en-US"/>
        </w:rPr>
        <w:t xml:space="preserve">   </w:t>
      </w:r>
      <w:r w:rsidRPr="007F69DA">
        <w:rPr>
          <w:sz w:val="22"/>
          <w:szCs w:val="22"/>
        </w:rPr>
        <w:t xml:space="preserve">Köglmayr, H.G.; Müller, S. (1983): Empirische Forschung in Japan, Planung &amp; Analyse, 10(11/12): 512-518.   </w:t>
      </w:r>
      <w:r w:rsidRPr="007F69DA">
        <w:rPr>
          <w:sz w:val="22"/>
          <w:szCs w:val="22"/>
          <w:lang w:val="en-US"/>
        </w:rPr>
        <w:t xml:space="preserve">Liu, C.-H.; Lee, H.-W. (2008): A Proposed Model of Expatriates in Multinational Corporations, Cross Cultural Management, 15(2): 176-193. </w:t>
      </w:r>
      <w:r w:rsidRPr="007F69DA">
        <w:rPr>
          <w:sz w:val="22"/>
          <w:szCs w:val="22"/>
          <w:lang w:val="en-GB"/>
        </w:rPr>
        <w:t xml:space="preserve">McNulty, Y. (2008): How a Major Multinational Is Working to Overcome the Barriers to Improved Expatriate ROI, Global Business and Organizational Excellence, 27(3): 38-47.   </w:t>
      </w:r>
      <w:r w:rsidRPr="007F69DA">
        <w:rPr>
          <w:sz w:val="22"/>
          <w:szCs w:val="22"/>
        </w:rPr>
        <w:t xml:space="preserve">Müller, S.; Gelbrich, K. (2001): Interkulturelle Kompetenz als neuartige Anforderung an Entsandte. Status quo und Perspektiven der Forschung, Zeitschrift für betriebswirtschaftliche Forschung, 53(5): 246-272.   </w:t>
      </w:r>
      <w:r w:rsidRPr="007F69DA">
        <w:rPr>
          <w:sz w:val="22"/>
          <w:szCs w:val="22"/>
          <w:lang w:val="en-US"/>
        </w:rPr>
        <w:t xml:space="preserve">Olebe, M.; Koester, J. (1989): Exploring the Cross-Cultural Equivalence of the Behavioral Assessment Scale for Intercultural Communication, International Journal of Intercultural Relations, 13(3): 333-347.  Patterson, M.; Warr, P.; West, M. (2004): Organizational Climate and Company Productivity. The Role of Employee Affect and Employee Level, Journal of Occupational and Organizational Psychology, 77(2): 193-216.   Ruben, B.D. (1976): Assessing Communication Competency for Intercultural Adaption, Group &amp; Organization Studies, 1(3): 334-354.   </w:t>
      </w:r>
      <w:r w:rsidRPr="007F69DA">
        <w:rPr>
          <w:sz w:val="22"/>
          <w:szCs w:val="22"/>
          <w:lang w:val="en-GB"/>
        </w:rPr>
        <w:t xml:space="preserve">Sinicrope, C.; Norris, J.; Watanabe, Y. (2007): Understanding and Assessing Intercultural Competence: A Summary of Theory, Research, and Practice, Second Language Studies, 26(1): 1-58.   </w:t>
      </w:r>
      <w:r w:rsidRPr="007F69DA">
        <w:rPr>
          <w:sz w:val="22"/>
          <w:szCs w:val="22"/>
          <w:lang w:val="en-US"/>
        </w:rPr>
        <w:t xml:space="preserve">Spitzberg, B.H. (1989): Issues in the Development of a Theory of Interpersonal Competence in the Intercultural Context, International Journal of Intercultural Relations, 13(3): 241-268.   </w:t>
      </w:r>
      <w:r w:rsidRPr="007F69DA">
        <w:rPr>
          <w:iCs/>
          <w:sz w:val="22"/>
          <w:szCs w:val="22"/>
          <w:lang w:val="en-GB"/>
        </w:rPr>
        <w:t>Spitzberg, B.H. (2000)</w:t>
      </w:r>
      <w:r w:rsidRPr="007F69DA">
        <w:rPr>
          <w:sz w:val="22"/>
          <w:szCs w:val="22"/>
          <w:lang w:val="en-GB"/>
        </w:rPr>
        <w:t xml:space="preserve">: A Model of Intercultural Communication Competence, in: Samovar, L.; Porter, </w:t>
      </w:r>
      <w:r w:rsidRPr="007F69DA">
        <w:rPr>
          <w:sz w:val="22"/>
          <w:szCs w:val="22"/>
          <w:lang w:val="en-GB"/>
        </w:rPr>
        <w:lastRenderedPageBreak/>
        <w:t xml:space="preserve">R. (Ed.), Intercultural Communication. </w:t>
      </w:r>
      <w:r w:rsidRPr="007F69DA">
        <w:rPr>
          <w:sz w:val="22"/>
          <w:szCs w:val="22"/>
        </w:rPr>
        <w:t>A Reader, 375-387, Belmont/CA: Wadsworth.  Straub, J.; Weidemann, A.; Weidemann D. (Hrsg.) (2007): Handbuch interkulturelle Kommunikation und Kompetenz, Stuttgart: Metzler.  Thomas, A. (2006): Die Bedeutung von Vorurteil und Stereotyp im interkulturellen Handeln, interculture journal: Online Zeitschrift für interkulturelle Studien, 5(2): 3-20.   Thomas, A. (2014): Perspektivenübernahme und Empathie, in, Thomas, A. (Hrsg.), Wie Fremdes vertraut werden kann, 179-196, Wiesbaden: Springer.   Twain, M. (1880): The Awful German Language, New York.</w:t>
      </w:r>
    </w:p>
    <w:p w14:paraId="4054451E" w14:textId="77777777" w:rsidR="001E58F5" w:rsidRPr="007F69DA" w:rsidRDefault="001E58F5" w:rsidP="0023089B">
      <w:pPr>
        <w:pStyle w:val="Literatur"/>
        <w:numPr>
          <w:ilvl w:val="0"/>
          <w:numId w:val="0"/>
        </w:numPr>
        <w:spacing w:line="240" w:lineRule="auto"/>
        <w:rPr>
          <w:sz w:val="22"/>
          <w:szCs w:val="22"/>
        </w:rPr>
      </w:pPr>
    </w:p>
    <w:p w14:paraId="6B22445B" w14:textId="77777777" w:rsidR="00FF7799" w:rsidRPr="00E73F6F" w:rsidRDefault="00FF7799" w:rsidP="0097093C">
      <w:pPr>
        <w:keepNext/>
        <w:keepLines/>
        <w:spacing w:before="240"/>
        <w:jc w:val="both"/>
        <w:outlineLvl w:val="1"/>
      </w:pPr>
      <w:r w:rsidRPr="0097093C">
        <w:rPr>
          <w:b/>
          <w:color w:val="2E74B5"/>
        </w:rPr>
        <w:t>Kompetenz, interreligiöse</w:t>
      </w:r>
      <w:r w:rsidRPr="0097093C">
        <w:rPr>
          <w:b/>
          <w:color w:val="2E74B5"/>
        </w:rPr>
        <w:tab/>
      </w:r>
      <w:r w:rsidRPr="00E73F6F">
        <w:t xml:space="preserve"> </w:t>
      </w:r>
    </w:p>
    <w:p w14:paraId="1CA54EB9" w14:textId="77777777" w:rsidR="00FF7799" w:rsidRDefault="00FF7799" w:rsidP="00205FBE">
      <w:pPr>
        <w:pStyle w:val="StandardText"/>
        <w:rPr>
          <w:rFonts w:eastAsia="Calibri"/>
        </w:rPr>
      </w:pPr>
      <w:r w:rsidRPr="00E73F6F">
        <w:rPr>
          <w:rFonts w:eastAsia="Calibri"/>
        </w:rPr>
        <w:t>Fähigkeit, mit Andersgläubig</w:t>
      </w:r>
      <w:r w:rsidR="00B063A8">
        <w:rPr>
          <w:rFonts w:eastAsia="Calibri"/>
        </w:rPr>
        <w:t>en angemessen zu interagieren (</w:t>
      </w:r>
      <w:r w:rsidR="00B063A8">
        <w:rPr>
          <w:rFonts w:eastAsia="Calibri"/>
        </w:rPr>
        <w:sym w:font="Symbol" w:char="F0DE"/>
      </w:r>
      <w:r w:rsidRPr="00E73F6F">
        <w:rPr>
          <w:rFonts w:eastAsia="Calibri"/>
        </w:rPr>
        <w:t xml:space="preserve"> Konfession). Dabei wird </w:t>
      </w:r>
      <w:r w:rsidR="00B063A8">
        <w:rPr>
          <w:rFonts w:eastAsia="Calibri"/>
        </w:rPr>
        <w:sym w:font="Symbol" w:char="F0DE"/>
      </w:r>
      <w:r w:rsidRPr="00E73F6F">
        <w:rPr>
          <w:rFonts w:eastAsia="Calibri"/>
        </w:rPr>
        <w:t xml:space="preserve"> Religion als „Schlüssel“ zum Verstehen anderskultureller Gruppen sowie zur bewussten Auseinandersetzung mit eigenkulturellen Besonderheiten gesehen. </w:t>
      </w:r>
    </w:p>
    <w:p w14:paraId="0CC9C5D5" w14:textId="77777777" w:rsidR="00FF7799" w:rsidRPr="00B063A8" w:rsidRDefault="00FF7799" w:rsidP="00205FBE">
      <w:pPr>
        <w:pStyle w:val="StandardText"/>
        <w:rPr>
          <w:rFonts w:eastAsia="Calibri"/>
          <w:sz w:val="22"/>
          <w:szCs w:val="22"/>
        </w:rPr>
      </w:pPr>
      <w:r w:rsidRPr="00B063A8">
        <w:rPr>
          <w:rFonts w:eastAsia="Calibri"/>
          <w:b/>
          <w:i/>
          <w:sz w:val="22"/>
          <w:szCs w:val="22"/>
        </w:rPr>
        <w:t>Literatur</w:t>
      </w:r>
      <w:r w:rsidRPr="00B063A8">
        <w:rPr>
          <w:rFonts w:eastAsia="Calibri"/>
          <w:i/>
          <w:sz w:val="22"/>
          <w:szCs w:val="22"/>
        </w:rPr>
        <w:t>:</w:t>
      </w:r>
      <w:r w:rsidRPr="00B063A8">
        <w:rPr>
          <w:rFonts w:eastAsia="Calibri"/>
          <w:sz w:val="22"/>
          <w:szCs w:val="22"/>
        </w:rPr>
        <w:t xml:space="preserve"> Schreijäck, T. (Hrsg.): Religionsdialog im Wandel. Interkulturelle und interreligiöse Kommunikations- und Handlungskompetenzen auf dem Weg in die Weltgesellschaft, Münster 2003. </w:t>
      </w:r>
    </w:p>
    <w:p w14:paraId="33B73FD1" w14:textId="77777777" w:rsidR="00B85FE4" w:rsidRPr="00E73F6F" w:rsidRDefault="00B85FE4" w:rsidP="00205FBE">
      <w:pPr>
        <w:pStyle w:val="StandardText"/>
        <w:rPr>
          <w:rFonts w:eastAsia="Calibri"/>
        </w:rPr>
      </w:pPr>
    </w:p>
    <w:p w14:paraId="1817FAB0" w14:textId="77777777" w:rsidR="00FF7799" w:rsidRPr="0097093C" w:rsidRDefault="00FF7799" w:rsidP="0097093C">
      <w:pPr>
        <w:keepNext/>
        <w:keepLines/>
        <w:spacing w:before="240"/>
        <w:jc w:val="both"/>
        <w:outlineLvl w:val="1"/>
        <w:rPr>
          <w:b/>
          <w:color w:val="2E74B5"/>
        </w:rPr>
      </w:pPr>
      <w:r w:rsidRPr="0097093C">
        <w:rPr>
          <w:b/>
          <w:color w:val="2E74B5"/>
        </w:rPr>
        <w:t>Komplexität</w:t>
      </w:r>
    </w:p>
    <w:p w14:paraId="6AF8E988" w14:textId="77777777" w:rsidR="00FF7799" w:rsidRPr="00E73F6F" w:rsidRDefault="00FF7799" w:rsidP="00862DBA">
      <w:pPr>
        <w:spacing w:before="60"/>
        <w:jc w:val="both"/>
        <w:rPr>
          <w:sz w:val="24"/>
          <w:szCs w:val="24"/>
        </w:rPr>
      </w:pPr>
      <w:r w:rsidRPr="00E73F6F">
        <w:rPr>
          <w:rStyle w:val="StandardTextZchn1"/>
        </w:rPr>
        <w:t>Vielfalt und Vielschichtigkeit der Elemente eines Systems sowie der Beziehungen, die zwischen diesen Elementen bestehen. Wie Bronner (1992) darlegt, steigt der Komplexitätsgrad von Entscheidungen</w:t>
      </w:r>
      <w:r w:rsidRPr="00E73F6F">
        <w:rPr>
          <w:sz w:val="24"/>
          <w:szCs w:val="24"/>
        </w:rPr>
        <w:t>, wenn …</w:t>
      </w:r>
    </w:p>
    <w:p w14:paraId="6A23FE11" w14:textId="77777777" w:rsidR="00FF7799" w:rsidRPr="00E73F6F" w:rsidRDefault="00FF7799" w:rsidP="0097093C">
      <w:pPr>
        <w:pStyle w:val="StandardTextAufzhlung"/>
        <w:ind w:left="426"/>
      </w:pPr>
      <w:r w:rsidRPr="00E73F6F">
        <w:t>viele</w:t>
      </w:r>
      <w:r w:rsidRPr="00E73F6F">
        <w:rPr>
          <w:spacing w:val="-6"/>
        </w:rPr>
        <w:t xml:space="preserve"> </w:t>
      </w:r>
      <w:r w:rsidRPr="00E73F6F">
        <w:t>Funktionsbereiche</w:t>
      </w:r>
      <w:r w:rsidRPr="00E73F6F">
        <w:rPr>
          <w:spacing w:val="-6"/>
        </w:rPr>
        <w:t xml:space="preserve"> </w:t>
      </w:r>
      <w:r w:rsidRPr="00E73F6F">
        <w:t>des</w:t>
      </w:r>
      <w:r w:rsidRPr="00E73F6F">
        <w:rPr>
          <w:spacing w:val="-5"/>
        </w:rPr>
        <w:t xml:space="preserve"> </w:t>
      </w:r>
      <w:r w:rsidRPr="00E73F6F">
        <w:t>Unternehmens</w:t>
      </w:r>
      <w:r w:rsidRPr="00E73F6F">
        <w:rPr>
          <w:spacing w:val="-5"/>
        </w:rPr>
        <w:t xml:space="preserve"> </w:t>
      </w:r>
      <w:r w:rsidRPr="00E73F6F">
        <w:t>davon</w:t>
      </w:r>
      <w:r w:rsidRPr="00E73F6F">
        <w:rPr>
          <w:spacing w:val="-6"/>
        </w:rPr>
        <w:t xml:space="preserve"> </w:t>
      </w:r>
      <w:r w:rsidRPr="00E73F6F">
        <w:t>betroffen</w:t>
      </w:r>
      <w:r w:rsidRPr="00E73F6F">
        <w:rPr>
          <w:spacing w:val="-4"/>
        </w:rPr>
        <w:t xml:space="preserve"> </w:t>
      </w:r>
      <w:r w:rsidRPr="00E73F6F">
        <w:t>sind</w:t>
      </w:r>
      <w:r w:rsidRPr="00E73F6F">
        <w:rPr>
          <w:spacing w:val="-6"/>
        </w:rPr>
        <w:t xml:space="preserve"> </w:t>
      </w:r>
      <w:r w:rsidRPr="00E73F6F">
        <w:t>bzw. aus anderen Gründen am Entscheidungsprozess beteiligt werden,</w:t>
      </w:r>
    </w:p>
    <w:p w14:paraId="01D6AF2A" w14:textId="77777777" w:rsidR="00FF7799" w:rsidRPr="00E73F6F" w:rsidRDefault="00FF7799" w:rsidP="0097093C">
      <w:pPr>
        <w:pStyle w:val="StandardTextAufzhlung"/>
        <w:ind w:left="426"/>
      </w:pPr>
      <w:r w:rsidRPr="00E73F6F">
        <w:t>das</w:t>
      </w:r>
      <w:r w:rsidRPr="00E73F6F">
        <w:rPr>
          <w:spacing w:val="-5"/>
        </w:rPr>
        <w:t xml:space="preserve"> </w:t>
      </w:r>
      <w:r w:rsidRPr="00E73F6F">
        <w:t>Unternehmen</w:t>
      </w:r>
      <w:r w:rsidRPr="00E73F6F">
        <w:rPr>
          <w:spacing w:val="-4"/>
        </w:rPr>
        <w:t xml:space="preserve"> </w:t>
      </w:r>
      <w:r w:rsidRPr="00E73F6F">
        <w:t>innovative</w:t>
      </w:r>
      <w:r w:rsidRPr="00E73F6F">
        <w:rPr>
          <w:spacing w:val="-6"/>
        </w:rPr>
        <w:t xml:space="preserve"> </w:t>
      </w:r>
      <w:r w:rsidRPr="00E73F6F">
        <w:t>Entscheidungen</w:t>
      </w:r>
      <w:r w:rsidRPr="00E73F6F">
        <w:rPr>
          <w:spacing w:val="-6"/>
        </w:rPr>
        <w:t xml:space="preserve"> </w:t>
      </w:r>
      <w:r w:rsidRPr="00E73F6F">
        <w:t>fällen</w:t>
      </w:r>
      <w:r w:rsidRPr="00E73F6F">
        <w:rPr>
          <w:spacing w:val="-4"/>
        </w:rPr>
        <w:t xml:space="preserve"> </w:t>
      </w:r>
      <w:r w:rsidRPr="00E73F6F">
        <w:t>muss,</w:t>
      </w:r>
      <w:r w:rsidRPr="00E73F6F">
        <w:rPr>
          <w:spacing w:val="-5"/>
        </w:rPr>
        <w:t xml:space="preserve"> </w:t>
      </w:r>
      <w:r w:rsidRPr="00E73F6F">
        <w:t>für</w:t>
      </w:r>
      <w:r w:rsidRPr="00E73F6F">
        <w:rPr>
          <w:spacing w:val="-7"/>
        </w:rPr>
        <w:t xml:space="preserve"> </w:t>
      </w:r>
      <w:r w:rsidRPr="00E73F6F">
        <w:t>die bewährte Handlungsroutinen fehlen,</w:t>
      </w:r>
    </w:p>
    <w:p w14:paraId="240AA1B2" w14:textId="77777777" w:rsidR="00FF7799" w:rsidRPr="00E73F6F" w:rsidRDefault="00FF7799" w:rsidP="0097093C">
      <w:pPr>
        <w:pStyle w:val="StandardTextAufzhlung"/>
        <w:ind w:left="426"/>
      </w:pPr>
      <w:r w:rsidRPr="00E73F6F">
        <w:t>die Informationsgrundlage ungenügend ist, so dass den Führungskräften</w:t>
      </w:r>
      <w:r w:rsidRPr="00E73F6F">
        <w:rPr>
          <w:spacing w:val="-8"/>
        </w:rPr>
        <w:t xml:space="preserve"> </w:t>
      </w:r>
      <w:r w:rsidRPr="00E73F6F">
        <w:t>das</w:t>
      </w:r>
      <w:r w:rsidRPr="00E73F6F">
        <w:rPr>
          <w:spacing w:val="-6"/>
        </w:rPr>
        <w:t xml:space="preserve"> </w:t>
      </w:r>
      <w:r w:rsidRPr="00E73F6F">
        <w:t>Risiko</w:t>
      </w:r>
      <w:r w:rsidRPr="00E73F6F">
        <w:rPr>
          <w:spacing w:val="-5"/>
        </w:rPr>
        <w:t xml:space="preserve"> </w:t>
      </w:r>
      <w:r w:rsidRPr="00E73F6F">
        <w:t>einer</w:t>
      </w:r>
      <w:r w:rsidRPr="00E73F6F">
        <w:rPr>
          <w:spacing w:val="-8"/>
        </w:rPr>
        <w:t xml:space="preserve"> </w:t>
      </w:r>
      <w:r w:rsidRPr="00E73F6F">
        <w:t>Fehlentscheidung</w:t>
      </w:r>
      <w:r w:rsidRPr="00E73F6F">
        <w:rPr>
          <w:spacing w:val="-7"/>
        </w:rPr>
        <w:t xml:space="preserve"> </w:t>
      </w:r>
      <w:r w:rsidRPr="00E73F6F">
        <w:t>vergleichsweise groß erscheint,</w:t>
      </w:r>
    </w:p>
    <w:p w14:paraId="46E9EF6D" w14:textId="77777777" w:rsidR="00FF7799" w:rsidRPr="00E73F6F" w:rsidRDefault="00FF7799" w:rsidP="0097093C">
      <w:pPr>
        <w:pStyle w:val="StandardTextAufzhlung"/>
        <w:ind w:left="426"/>
      </w:pPr>
      <w:r w:rsidRPr="00E73F6F">
        <w:t>viele Informationen zu verarbeiten sind. Die Informationsmenge wiederum hängt ab von der Zahl der zur Lösung des Problems bereitstehenden</w:t>
      </w:r>
      <w:r w:rsidRPr="00E73F6F">
        <w:rPr>
          <w:spacing w:val="-5"/>
        </w:rPr>
        <w:t xml:space="preserve"> </w:t>
      </w:r>
      <w:r w:rsidRPr="00E73F6F">
        <w:t>Optionen</w:t>
      </w:r>
      <w:r w:rsidRPr="00E73F6F">
        <w:rPr>
          <w:spacing w:val="-5"/>
        </w:rPr>
        <w:t xml:space="preserve"> </w:t>
      </w:r>
      <w:r w:rsidRPr="00E73F6F">
        <w:t>(z.B.</w:t>
      </w:r>
      <w:r w:rsidRPr="00E73F6F">
        <w:rPr>
          <w:spacing w:val="-4"/>
        </w:rPr>
        <w:t xml:space="preserve"> </w:t>
      </w:r>
      <w:r w:rsidRPr="00E73F6F">
        <w:t>Länder,</w:t>
      </w:r>
      <w:r w:rsidRPr="00E73F6F">
        <w:rPr>
          <w:spacing w:val="-4"/>
        </w:rPr>
        <w:t xml:space="preserve"> </w:t>
      </w:r>
      <w:r w:rsidRPr="00E73F6F">
        <w:t>Strategien)</w:t>
      </w:r>
      <w:r w:rsidRPr="00E73F6F">
        <w:rPr>
          <w:spacing w:val="-6"/>
        </w:rPr>
        <w:t xml:space="preserve"> </w:t>
      </w:r>
      <w:r w:rsidRPr="00E73F6F">
        <w:t>und</w:t>
      </w:r>
      <w:r w:rsidRPr="00E73F6F">
        <w:rPr>
          <w:spacing w:val="-4"/>
        </w:rPr>
        <w:t xml:space="preserve"> </w:t>
      </w:r>
      <w:r w:rsidRPr="00E73F6F">
        <w:t>der</w:t>
      </w:r>
      <w:r w:rsidRPr="00E73F6F">
        <w:rPr>
          <w:spacing w:val="-6"/>
        </w:rPr>
        <w:t xml:space="preserve"> </w:t>
      </w:r>
      <w:r w:rsidRPr="00E73F6F">
        <w:t>dafür maßgeblichen Bewertungskriterien (vgl. Tab. 1).</w:t>
      </w:r>
    </w:p>
    <w:p w14:paraId="1792F733" w14:textId="77777777" w:rsidR="00FF7799" w:rsidRPr="00E73F6F" w:rsidRDefault="00FF7799" w:rsidP="0097093C">
      <w:pPr>
        <w:pStyle w:val="StandardText"/>
        <w:ind w:left="426"/>
      </w:pPr>
    </w:p>
    <w:p w14:paraId="7C2227C1" w14:textId="77777777" w:rsidR="00FF7799" w:rsidRPr="007D6CC1" w:rsidRDefault="00FF7799" w:rsidP="00177021">
      <w:pPr>
        <w:pStyle w:val="BeschriftungTab"/>
        <w:rPr>
          <w:i/>
          <w:iCs/>
        </w:rPr>
      </w:pPr>
      <w:r w:rsidRPr="007D6CC1">
        <w:rPr>
          <w:i/>
          <w:iCs/>
        </w:rPr>
        <w:t>Tab.</w:t>
      </w:r>
      <w:r w:rsidRPr="007D6CC1">
        <w:rPr>
          <w:i/>
          <w:iCs/>
          <w:spacing w:val="-5"/>
        </w:rPr>
        <w:t xml:space="preserve"> </w:t>
      </w:r>
      <w:r w:rsidRPr="007D6CC1">
        <w:rPr>
          <w:i/>
          <w:iCs/>
        </w:rPr>
        <w:t>1:</w:t>
      </w:r>
      <w:r w:rsidRPr="007D6CC1">
        <w:rPr>
          <w:i/>
          <w:iCs/>
          <w:spacing w:val="-8"/>
        </w:rPr>
        <w:t xml:space="preserve"> </w:t>
      </w:r>
      <w:r w:rsidRPr="007D6CC1">
        <w:rPr>
          <w:i/>
          <w:iCs/>
        </w:rPr>
        <w:t>Zur</w:t>
      </w:r>
      <w:r w:rsidRPr="007D6CC1">
        <w:rPr>
          <w:i/>
          <w:iCs/>
          <w:spacing w:val="-9"/>
        </w:rPr>
        <w:t xml:space="preserve"> </w:t>
      </w:r>
      <w:r w:rsidRPr="007D6CC1">
        <w:rPr>
          <w:i/>
          <w:iCs/>
        </w:rPr>
        <w:t>Vorbereitung</w:t>
      </w:r>
      <w:r w:rsidRPr="007D6CC1">
        <w:rPr>
          <w:i/>
          <w:iCs/>
          <w:spacing w:val="-7"/>
        </w:rPr>
        <w:t xml:space="preserve"> </w:t>
      </w:r>
      <w:r w:rsidRPr="007D6CC1">
        <w:rPr>
          <w:i/>
          <w:iCs/>
        </w:rPr>
        <w:t>einer</w:t>
      </w:r>
      <w:r w:rsidRPr="007D6CC1">
        <w:rPr>
          <w:i/>
          <w:iCs/>
          <w:spacing w:val="-6"/>
        </w:rPr>
        <w:t xml:space="preserve"> </w:t>
      </w:r>
      <w:r w:rsidRPr="007D6CC1">
        <w:rPr>
          <w:i/>
          <w:iCs/>
        </w:rPr>
        <w:t xml:space="preserve">Markteintrittsentscheidung auszufüllende Datenmatrix </w:t>
      </w:r>
      <w:r w:rsidRPr="007D6CC1">
        <w:rPr>
          <w:i/>
          <w:iCs/>
        </w:rPr>
        <w:br/>
        <w:t>(Ausschnitt)</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6"/>
        <w:gridCol w:w="472"/>
        <w:gridCol w:w="471"/>
        <w:gridCol w:w="477"/>
        <w:gridCol w:w="471"/>
        <w:gridCol w:w="471"/>
        <w:gridCol w:w="471"/>
        <w:gridCol w:w="471"/>
        <w:gridCol w:w="471"/>
        <w:gridCol w:w="471"/>
        <w:gridCol w:w="471"/>
        <w:gridCol w:w="471"/>
        <w:gridCol w:w="468"/>
      </w:tblGrid>
      <w:tr w:rsidR="00FF7799" w:rsidRPr="00E73F6F" w14:paraId="290BF8C7" w14:textId="77777777" w:rsidTr="00177021">
        <w:trPr>
          <w:trHeight w:val="553"/>
          <w:tblHeader/>
        </w:trPr>
        <w:tc>
          <w:tcPr>
            <w:tcW w:w="1879" w:type="pct"/>
            <w:vMerge w:val="restart"/>
            <w:shd w:val="clear" w:color="auto" w:fill="FFC000" w:themeFill="accent4"/>
          </w:tcPr>
          <w:p w14:paraId="455C1B36" w14:textId="77777777" w:rsidR="00FF7799" w:rsidRPr="00E73F6F" w:rsidRDefault="00FF7799" w:rsidP="00177021">
            <w:pPr>
              <w:pStyle w:val="StandardText"/>
              <w:spacing w:line="360" w:lineRule="auto"/>
              <w:jc w:val="left"/>
              <w:rPr>
                <w:b/>
                <w:i/>
                <w:lang w:val="de-DE"/>
              </w:rPr>
            </w:pPr>
            <w:r w:rsidRPr="00E73F6F">
              <w:rPr>
                <w:b/>
                <w:spacing w:val="-2"/>
                <w:lang w:val="de-DE"/>
              </w:rPr>
              <w:lastRenderedPageBreak/>
              <w:t>Land</w:t>
            </w:r>
          </w:p>
          <w:p w14:paraId="798CC972" w14:textId="77777777" w:rsidR="00FF7799" w:rsidRPr="00E73F6F" w:rsidRDefault="00FF7799" w:rsidP="00177021">
            <w:pPr>
              <w:pStyle w:val="StandardText"/>
              <w:jc w:val="right"/>
              <w:rPr>
                <w:b/>
                <w:lang w:val="de-DE"/>
              </w:rPr>
            </w:pPr>
            <w:r w:rsidRPr="00E73F6F">
              <w:rPr>
                <w:b/>
                <w:lang w:val="de-DE"/>
              </w:rPr>
              <w:t>Strategie</w:t>
            </w:r>
          </w:p>
          <w:p w14:paraId="29190AA9" w14:textId="77777777" w:rsidR="00FF7799" w:rsidRPr="00E73F6F" w:rsidRDefault="00FF7799" w:rsidP="00177021">
            <w:pPr>
              <w:pStyle w:val="StandardText"/>
              <w:jc w:val="left"/>
              <w:rPr>
                <w:b/>
                <w:i/>
                <w:lang w:val="de-DE"/>
              </w:rPr>
            </w:pPr>
          </w:p>
          <w:p w14:paraId="40BAACC4" w14:textId="77777777" w:rsidR="00FF7799" w:rsidRPr="00E73F6F" w:rsidRDefault="00FF7799" w:rsidP="00177021">
            <w:pPr>
              <w:pStyle w:val="StandardText"/>
              <w:jc w:val="left"/>
              <w:rPr>
                <w:b/>
                <w:i/>
                <w:lang w:val="de-DE"/>
              </w:rPr>
            </w:pPr>
          </w:p>
          <w:p w14:paraId="5482BDF5" w14:textId="77777777" w:rsidR="00FF7799" w:rsidRPr="00E73F6F" w:rsidRDefault="00FF7799" w:rsidP="00177021">
            <w:pPr>
              <w:pStyle w:val="StandardText"/>
              <w:jc w:val="left"/>
              <w:rPr>
                <w:b/>
                <w:i/>
                <w:lang w:val="de-DE"/>
              </w:rPr>
            </w:pPr>
          </w:p>
          <w:p w14:paraId="36BE4947" w14:textId="77777777" w:rsidR="00FF7799" w:rsidRPr="00E73F6F" w:rsidRDefault="00FF7799" w:rsidP="00177021">
            <w:pPr>
              <w:pStyle w:val="StandardText"/>
              <w:jc w:val="left"/>
              <w:rPr>
                <w:i/>
                <w:lang w:val="de-DE"/>
              </w:rPr>
            </w:pPr>
            <w:r w:rsidRPr="00E73F6F">
              <w:rPr>
                <w:b/>
                <w:spacing w:val="-2"/>
                <w:lang w:val="de-DE"/>
              </w:rPr>
              <w:t>Bewertungskriterium</w:t>
            </w:r>
          </w:p>
        </w:tc>
        <w:tc>
          <w:tcPr>
            <w:tcW w:w="783" w:type="pct"/>
            <w:gridSpan w:val="3"/>
            <w:shd w:val="clear" w:color="auto" w:fill="FFC000" w:themeFill="accent4"/>
          </w:tcPr>
          <w:p w14:paraId="3D0E0A80" w14:textId="77777777" w:rsidR="00FF7799" w:rsidRPr="00E73F6F" w:rsidRDefault="00FF7799" w:rsidP="00177021">
            <w:pPr>
              <w:pStyle w:val="StandardText"/>
              <w:jc w:val="center"/>
              <w:rPr>
                <w:spacing w:val="-2"/>
                <w:lang w:val="de-DE"/>
              </w:rPr>
            </w:pPr>
            <w:r w:rsidRPr="00E73F6F">
              <w:rPr>
                <w:spacing w:val="-2"/>
                <w:lang w:val="de-DE"/>
              </w:rPr>
              <w:t>Ägypten</w:t>
            </w:r>
          </w:p>
        </w:tc>
        <w:tc>
          <w:tcPr>
            <w:tcW w:w="780" w:type="pct"/>
            <w:gridSpan w:val="3"/>
            <w:shd w:val="clear" w:color="auto" w:fill="FFC000" w:themeFill="accent4"/>
          </w:tcPr>
          <w:p w14:paraId="5EB5A4F1" w14:textId="77777777" w:rsidR="00FF7799" w:rsidRPr="00E73F6F" w:rsidRDefault="00FF7799" w:rsidP="00177021">
            <w:pPr>
              <w:pStyle w:val="StandardText"/>
              <w:jc w:val="center"/>
              <w:rPr>
                <w:spacing w:val="-2"/>
                <w:lang w:val="de-DE"/>
              </w:rPr>
            </w:pPr>
            <w:r w:rsidRPr="00E73F6F">
              <w:rPr>
                <w:spacing w:val="-2"/>
                <w:lang w:val="de-DE"/>
              </w:rPr>
              <w:t>China</w:t>
            </w:r>
          </w:p>
        </w:tc>
        <w:tc>
          <w:tcPr>
            <w:tcW w:w="780" w:type="pct"/>
            <w:gridSpan w:val="3"/>
            <w:shd w:val="clear" w:color="auto" w:fill="FFC000" w:themeFill="accent4"/>
          </w:tcPr>
          <w:p w14:paraId="7985A696" w14:textId="77777777" w:rsidR="00FF7799" w:rsidRPr="00E73F6F" w:rsidRDefault="00FF7799" w:rsidP="00177021">
            <w:pPr>
              <w:pStyle w:val="StandardText"/>
              <w:jc w:val="center"/>
              <w:rPr>
                <w:spacing w:val="-2"/>
                <w:lang w:val="de-DE"/>
              </w:rPr>
            </w:pPr>
            <w:r w:rsidRPr="00E73F6F">
              <w:rPr>
                <w:spacing w:val="-2"/>
                <w:lang w:val="de-DE"/>
              </w:rPr>
              <w:t>Kanada</w:t>
            </w:r>
          </w:p>
        </w:tc>
        <w:tc>
          <w:tcPr>
            <w:tcW w:w="778" w:type="pct"/>
            <w:gridSpan w:val="3"/>
            <w:shd w:val="clear" w:color="auto" w:fill="FFC000" w:themeFill="accent4"/>
          </w:tcPr>
          <w:p w14:paraId="1754BE0F" w14:textId="77777777" w:rsidR="00FF7799" w:rsidRPr="00E73F6F" w:rsidRDefault="00FF7799" w:rsidP="00177021">
            <w:pPr>
              <w:pStyle w:val="StandardText"/>
              <w:jc w:val="center"/>
              <w:rPr>
                <w:spacing w:val="-2"/>
                <w:lang w:val="de-DE"/>
              </w:rPr>
            </w:pPr>
            <w:r w:rsidRPr="00E73F6F">
              <w:rPr>
                <w:spacing w:val="-2"/>
                <w:lang w:val="de-DE"/>
              </w:rPr>
              <w:t>Venezuela</w:t>
            </w:r>
          </w:p>
        </w:tc>
      </w:tr>
      <w:tr w:rsidR="00FF7799" w:rsidRPr="00E73F6F" w14:paraId="269FB3C1" w14:textId="77777777" w:rsidTr="00177021">
        <w:trPr>
          <w:trHeight w:val="2112"/>
          <w:tblHeader/>
        </w:trPr>
        <w:tc>
          <w:tcPr>
            <w:tcW w:w="1879" w:type="pct"/>
            <w:vMerge/>
            <w:shd w:val="clear" w:color="auto" w:fill="FFC000" w:themeFill="accent4"/>
          </w:tcPr>
          <w:p w14:paraId="4B53AE07" w14:textId="77777777" w:rsidR="00FF7799" w:rsidRPr="00E73F6F" w:rsidRDefault="00FF7799" w:rsidP="00177021">
            <w:pPr>
              <w:pStyle w:val="StandardText"/>
              <w:jc w:val="left"/>
              <w:rPr>
                <w:lang w:val="de-DE"/>
              </w:rPr>
            </w:pPr>
          </w:p>
        </w:tc>
        <w:tc>
          <w:tcPr>
            <w:tcW w:w="260" w:type="pct"/>
            <w:shd w:val="clear" w:color="auto" w:fill="FFC000" w:themeFill="accent4"/>
            <w:textDirection w:val="btLr"/>
          </w:tcPr>
          <w:p w14:paraId="6448242C" w14:textId="77777777" w:rsidR="00FF7799" w:rsidRPr="00E73F6F" w:rsidRDefault="00FF7799" w:rsidP="00177021">
            <w:pPr>
              <w:pStyle w:val="StandardText"/>
              <w:rPr>
                <w:lang w:val="de-DE"/>
              </w:rPr>
            </w:pPr>
            <w:r w:rsidRPr="00E73F6F">
              <w:rPr>
                <w:spacing w:val="-2"/>
                <w:lang w:val="de-DE"/>
              </w:rPr>
              <w:t>Lizenz-Vergabe</w:t>
            </w:r>
          </w:p>
        </w:tc>
        <w:tc>
          <w:tcPr>
            <w:tcW w:w="260" w:type="pct"/>
            <w:shd w:val="clear" w:color="auto" w:fill="FFC000" w:themeFill="accent4"/>
            <w:textDirection w:val="btLr"/>
          </w:tcPr>
          <w:p w14:paraId="3EA09FD3" w14:textId="77777777" w:rsidR="00FF7799" w:rsidRPr="00E73F6F" w:rsidRDefault="00FF7799" w:rsidP="00177021">
            <w:pPr>
              <w:pStyle w:val="StandardText"/>
              <w:rPr>
                <w:lang w:val="de-DE"/>
              </w:rPr>
            </w:pPr>
            <w:r w:rsidRPr="00E73F6F">
              <w:rPr>
                <w:lang w:val="de-DE"/>
              </w:rPr>
              <w:t>Joint</w:t>
            </w:r>
            <w:r w:rsidRPr="00E73F6F">
              <w:rPr>
                <w:spacing w:val="-5"/>
                <w:lang w:val="de-DE"/>
              </w:rPr>
              <w:t xml:space="preserve"> </w:t>
            </w:r>
            <w:r w:rsidRPr="00E73F6F">
              <w:rPr>
                <w:spacing w:val="-2"/>
                <w:lang w:val="de-DE"/>
              </w:rPr>
              <w:t>Venture</w:t>
            </w:r>
          </w:p>
        </w:tc>
        <w:tc>
          <w:tcPr>
            <w:tcW w:w="263" w:type="pct"/>
            <w:shd w:val="clear" w:color="auto" w:fill="FFC000" w:themeFill="accent4"/>
            <w:textDirection w:val="btLr"/>
          </w:tcPr>
          <w:p w14:paraId="33203473" w14:textId="77777777" w:rsidR="00FF7799" w:rsidRPr="00E73F6F" w:rsidRDefault="00FF7799" w:rsidP="00177021">
            <w:pPr>
              <w:pStyle w:val="StandardText"/>
              <w:rPr>
                <w:lang w:val="de-DE"/>
              </w:rPr>
            </w:pPr>
            <w:r w:rsidRPr="00E73F6F">
              <w:rPr>
                <w:spacing w:val="-2"/>
                <w:lang w:val="de-DE"/>
              </w:rPr>
              <w:t>Tochterunternehmen</w:t>
            </w:r>
          </w:p>
        </w:tc>
        <w:tc>
          <w:tcPr>
            <w:tcW w:w="260" w:type="pct"/>
            <w:shd w:val="clear" w:color="auto" w:fill="FFC000" w:themeFill="accent4"/>
            <w:textDirection w:val="btLr"/>
          </w:tcPr>
          <w:p w14:paraId="7588EE99" w14:textId="77777777" w:rsidR="00FF7799" w:rsidRPr="00E73F6F" w:rsidRDefault="00FF7799" w:rsidP="00177021">
            <w:pPr>
              <w:pStyle w:val="StandardText"/>
              <w:rPr>
                <w:lang w:val="de-DE"/>
              </w:rPr>
            </w:pPr>
            <w:r w:rsidRPr="00E73F6F">
              <w:rPr>
                <w:spacing w:val="-2"/>
                <w:lang w:val="de-DE"/>
              </w:rPr>
              <w:t>Lizenz-Vergabe</w:t>
            </w:r>
          </w:p>
        </w:tc>
        <w:tc>
          <w:tcPr>
            <w:tcW w:w="260" w:type="pct"/>
            <w:shd w:val="clear" w:color="auto" w:fill="FFC000" w:themeFill="accent4"/>
            <w:textDirection w:val="btLr"/>
          </w:tcPr>
          <w:p w14:paraId="21366715" w14:textId="77777777" w:rsidR="00FF7799" w:rsidRPr="00E73F6F" w:rsidRDefault="00FF7799" w:rsidP="00177021">
            <w:pPr>
              <w:pStyle w:val="StandardText"/>
              <w:rPr>
                <w:lang w:val="de-DE"/>
              </w:rPr>
            </w:pPr>
            <w:r w:rsidRPr="00E73F6F">
              <w:rPr>
                <w:lang w:val="de-DE"/>
              </w:rPr>
              <w:t>Joint</w:t>
            </w:r>
            <w:r w:rsidRPr="00E73F6F">
              <w:rPr>
                <w:spacing w:val="-5"/>
                <w:lang w:val="de-DE"/>
              </w:rPr>
              <w:t xml:space="preserve"> </w:t>
            </w:r>
            <w:r w:rsidRPr="00E73F6F">
              <w:rPr>
                <w:spacing w:val="-2"/>
                <w:lang w:val="de-DE"/>
              </w:rPr>
              <w:t>Venture</w:t>
            </w:r>
          </w:p>
        </w:tc>
        <w:tc>
          <w:tcPr>
            <w:tcW w:w="260" w:type="pct"/>
            <w:shd w:val="clear" w:color="auto" w:fill="FFC000" w:themeFill="accent4"/>
            <w:textDirection w:val="btLr"/>
          </w:tcPr>
          <w:p w14:paraId="3F1D6214" w14:textId="77777777" w:rsidR="00FF7799" w:rsidRPr="00E73F6F" w:rsidRDefault="00FF7799" w:rsidP="00177021">
            <w:pPr>
              <w:pStyle w:val="StandardText"/>
              <w:rPr>
                <w:lang w:val="de-DE"/>
              </w:rPr>
            </w:pPr>
            <w:r w:rsidRPr="00E73F6F">
              <w:rPr>
                <w:spacing w:val="-2"/>
                <w:lang w:val="de-DE"/>
              </w:rPr>
              <w:t>Tochterunternehmen</w:t>
            </w:r>
          </w:p>
        </w:tc>
        <w:tc>
          <w:tcPr>
            <w:tcW w:w="260" w:type="pct"/>
            <w:shd w:val="clear" w:color="auto" w:fill="FFC000" w:themeFill="accent4"/>
            <w:textDirection w:val="btLr"/>
          </w:tcPr>
          <w:p w14:paraId="65485DC0" w14:textId="77777777" w:rsidR="00FF7799" w:rsidRPr="00E73F6F" w:rsidRDefault="00FF7799" w:rsidP="00177021">
            <w:pPr>
              <w:pStyle w:val="StandardText"/>
              <w:rPr>
                <w:lang w:val="de-DE"/>
              </w:rPr>
            </w:pPr>
            <w:r w:rsidRPr="00E73F6F">
              <w:rPr>
                <w:spacing w:val="-2"/>
                <w:lang w:val="de-DE"/>
              </w:rPr>
              <w:t>Lizenz-Vergabe</w:t>
            </w:r>
          </w:p>
        </w:tc>
        <w:tc>
          <w:tcPr>
            <w:tcW w:w="260" w:type="pct"/>
            <w:shd w:val="clear" w:color="auto" w:fill="FFC000" w:themeFill="accent4"/>
            <w:textDirection w:val="btLr"/>
          </w:tcPr>
          <w:p w14:paraId="24416957" w14:textId="77777777" w:rsidR="00FF7799" w:rsidRPr="00E73F6F" w:rsidRDefault="00FF7799" w:rsidP="00177021">
            <w:pPr>
              <w:pStyle w:val="StandardText"/>
              <w:rPr>
                <w:lang w:val="de-DE"/>
              </w:rPr>
            </w:pPr>
            <w:r w:rsidRPr="00E73F6F">
              <w:rPr>
                <w:lang w:val="de-DE"/>
              </w:rPr>
              <w:t>Joint</w:t>
            </w:r>
            <w:r w:rsidRPr="00E73F6F">
              <w:rPr>
                <w:spacing w:val="-5"/>
                <w:lang w:val="de-DE"/>
              </w:rPr>
              <w:t xml:space="preserve"> </w:t>
            </w:r>
            <w:r w:rsidRPr="00E73F6F">
              <w:rPr>
                <w:spacing w:val="-2"/>
                <w:lang w:val="de-DE"/>
              </w:rPr>
              <w:t>Venture</w:t>
            </w:r>
          </w:p>
        </w:tc>
        <w:tc>
          <w:tcPr>
            <w:tcW w:w="260" w:type="pct"/>
            <w:shd w:val="clear" w:color="auto" w:fill="FFC000" w:themeFill="accent4"/>
            <w:textDirection w:val="btLr"/>
          </w:tcPr>
          <w:p w14:paraId="7C72F93B" w14:textId="77777777" w:rsidR="00FF7799" w:rsidRPr="00E73F6F" w:rsidRDefault="00FF7799" w:rsidP="00177021">
            <w:pPr>
              <w:pStyle w:val="StandardText"/>
              <w:rPr>
                <w:lang w:val="de-DE"/>
              </w:rPr>
            </w:pPr>
            <w:r w:rsidRPr="00E73F6F">
              <w:rPr>
                <w:spacing w:val="-2"/>
                <w:lang w:val="de-DE"/>
              </w:rPr>
              <w:t>Tochterunternehmen</w:t>
            </w:r>
          </w:p>
        </w:tc>
        <w:tc>
          <w:tcPr>
            <w:tcW w:w="260" w:type="pct"/>
            <w:shd w:val="clear" w:color="auto" w:fill="FFC000" w:themeFill="accent4"/>
            <w:textDirection w:val="btLr"/>
          </w:tcPr>
          <w:p w14:paraId="61D04956" w14:textId="77777777" w:rsidR="00FF7799" w:rsidRPr="00E73F6F" w:rsidRDefault="00FF7799" w:rsidP="00177021">
            <w:pPr>
              <w:pStyle w:val="StandardText"/>
              <w:rPr>
                <w:lang w:val="de-DE"/>
              </w:rPr>
            </w:pPr>
            <w:r w:rsidRPr="00E73F6F">
              <w:rPr>
                <w:spacing w:val="-2"/>
                <w:lang w:val="de-DE"/>
              </w:rPr>
              <w:t>Lizenz-Vergabe</w:t>
            </w:r>
          </w:p>
        </w:tc>
        <w:tc>
          <w:tcPr>
            <w:tcW w:w="260" w:type="pct"/>
            <w:shd w:val="clear" w:color="auto" w:fill="FFC000" w:themeFill="accent4"/>
            <w:textDirection w:val="btLr"/>
          </w:tcPr>
          <w:p w14:paraId="0E9A60A8" w14:textId="77777777" w:rsidR="00FF7799" w:rsidRPr="00E73F6F" w:rsidRDefault="00FF7799" w:rsidP="00177021">
            <w:pPr>
              <w:pStyle w:val="StandardText"/>
              <w:rPr>
                <w:lang w:val="de-DE"/>
              </w:rPr>
            </w:pPr>
            <w:r w:rsidRPr="00E73F6F">
              <w:rPr>
                <w:lang w:val="de-DE"/>
              </w:rPr>
              <w:t>Joint</w:t>
            </w:r>
            <w:r w:rsidRPr="00E73F6F">
              <w:rPr>
                <w:spacing w:val="-5"/>
                <w:lang w:val="de-DE"/>
              </w:rPr>
              <w:t xml:space="preserve"> </w:t>
            </w:r>
            <w:r w:rsidRPr="00E73F6F">
              <w:rPr>
                <w:spacing w:val="-2"/>
                <w:lang w:val="de-DE"/>
              </w:rPr>
              <w:t>Venture</w:t>
            </w:r>
          </w:p>
        </w:tc>
        <w:tc>
          <w:tcPr>
            <w:tcW w:w="258" w:type="pct"/>
            <w:shd w:val="clear" w:color="auto" w:fill="FFC000" w:themeFill="accent4"/>
            <w:textDirection w:val="btLr"/>
          </w:tcPr>
          <w:p w14:paraId="537ABC89" w14:textId="77777777" w:rsidR="00FF7799" w:rsidRPr="00E73F6F" w:rsidRDefault="00FF7799" w:rsidP="00177021">
            <w:pPr>
              <w:pStyle w:val="StandardText"/>
              <w:rPr>
                <w:lang w:val="de-DE"/>
              </w:rPr>
            </w:pPr>
            <w:r w:rsidRPr="00E73F6F">
              <w:rPr>
                <w:spacing w:val="-2"/>
                <w:lang w:val="de-DE"/>
              </w:rPr>
              <w:t>Tochterunternehmen</w:t>
            </w:r>
          </w:p>
        </w:tc>
      </w:tr>
      <w:tr w:rsidR="00FF7799" w:rsidRPr="00E73F6F" w14:paraId="30F5FD7C" w14:textId="77777777" w:rsidTr="00B063A8">
        <w:trPr>
          <w:trHeight w:val="292"/>
          <w:tblHeader/>
        </w:trPr>
        <w:tc>
          <w:tcPr>
            <w:tcW w:w="1879" w:type="pct"/>
            <w:shd w:val="clear" w:color="auto" w:fill="FFF2CC" w:themeFill="accent4" w:themeFillTint="33"/>
          </w:tcPr>
          <w:p w14:paraId="57BFC0BD" w14:textId="77777777" w:rsidR="00FF7799" w:rsidRPr="00E73F6F" w:rsidRDefault="00FF7799" w:rsidP="00177021">
            <w:pPr>
              <w:pStyle w:val="StandardText"/>
              <w:jc w:val="left"/>
              <w:rPr>
                <w:lang w:val="de-DE"/>
              </w:rPr>
            </w:pPr>
            <w:r w:rsidRPr="00E73F6F">
              <w:rPr>
                <w:spacing w:val="-2"/>
                <w:lang w:val="de-DE"/>
              </w:rPr>
              <w:t>Marktpotential</w:t>
            </w:r>
          </w:p>
        </w:tc>
        <w:tc>
          <w:tcPr>
            <w:tcW w:w="260" w:type="pct"/>
          </w:tcPr>
          <w:p w14:paraId="7251F364" w14:textId="77777777" w:rsidR="00FF7799" w:rsidRPr="00E73F6F" w:rsidRDefault="00FF7799" w:rsidP="00177021">
            <w:pPr>
              <w:pStyle w:val="StandardText"/>
              <w:rPr>
                <w:lang w:val="de-DE"/>
              </w:rPr>
            </w:pPr>
          </w:p>
        </w:tc>
        <w:tc>
          <w:tcPr>
            <w:tcW w:w="260" w:type="pct"/>
          </w:tcPr>
          <w:p w14:paraId="4CF33046" w14:textId="77777777" w:rsidR="00FF7799" w:rsidRPr="00E73F6F" w:rsidRDefault="00FF7799" w:rsidP="00177021">
            <w:pPr>
              <w:pStyle w:val="StandardText"/>
              <w:rPr>
                <w:lang w:val="de-DE"/>
              </w:rPr>
            </w:pPr>
          </w:p>
        </w:tc>
        <w:tc>
          <w:tcPr>
            <w:tcW w:w="263" w:type="pct"/>
          </w:tcPr>
          <w:p w14:paraId="288FCB77" w14:textId="77777777" w:rsidR="00FF7799" w:rsidRPr="00E73F6F" w:rsidRDefault="00FF7799" w:rsidP="00177021">
            <w:pPr>
              <w:pStyle w:val="StandardText"/>
              <w:rPr>
                <w:lang w:val="de-DE"/>
              </w:rPr>
            </w:pPr>
          </w:p>
        </w:tc>
        <w:tc>
          <w:tcPr>
            <w:tcW w:w="260" w:type="pct"/>
          </w:tcPr>
          <w:p w14:paraId="2F7D6C7F" w14:textId="77777777" w:rsidR="00FF7799" w:rsidRPr="00E73F6F" w:rsidRDefault="00FF7799" w:rsidP="00177021">
            <w:pPr>
              <w:pStyle w:val="StandardText"/>
              <w:rPr>
                <w:lang w:val="de-DE"/>
              </w:rPr>
            </w:pPr>
          </w:p>
        </w:tc>
        <w:tc>
          <w:tcPr>
            <w:tcW w:w="260" w:type="pct"/>
          </w:tcPr>
          <w:p w14:paraId="79B81CEC" w14:textId="77777777" w:rsidR="00FF7799" w:rsidRPr="00E73F6F" w:rsidRDefault="00FF7799" w:rsidP="00177021">
            <w:pPr>
              <w:pStyle w:val="StandardText"/>
              <w:rPr>
                <w:lang w:val="de-DE"/>
              </w:rPr>
            </w:pPr>
          </w:p>
        </w:tc>
        <w:tc>
          <w:tcPr>
            <w:tcW w:w="260" w:type="pct"/>
          </w:tcPr>
          <w:p w14:paraId="273A934E" w14:textId="77777777" w:rsidR="00FF7799" w:rsidRPr="00E73F6F" w:rsidRDefault="00FF7799" w:rsidP="00177021">
            <w:pPr>
              <w:pStyle w:val="StandardText"/>
              <w:rPr>
                <w:lang w:val="de-DE"/>
              </w:rPr>
            </w:pPr>
          </w:p>
        </w:tc>
        <w:tc>
          <w:tcPr>
            <w:tcW w:w="260" w:type="pct"/>
          </w:tcPr>
          <w:p w14:paraId="0D31DDB2" w14:textId="77777777" w:rsidR="00FF7799" w:rsidRPr="00E73F6F" w:rsidRDefault="00FF7799" w:rsidP="00177021">
            <w:pPr>
              <w:pStyle w:val="StandardText"/>
              <w:rPr>
                <w:lang w:val="de-DE"/>
              </w:rPr>
            </w:pPr>
          </w:p>
        </w:tc>
        <w:tc>
          <w:tcPr>
            <w:tcW w:w="260" w:type="pct"/>
          </w:tcPr>
          <w:p w14:paraId="4D12BEA5" w14:textId="77777777" w:rsidR="00FF7799" w:rsidRPr="00E73F6F" w:rsidRDefault="00FF7799" w:rsidP="00177021">
            <w:pPr>
              <w:pStyle w:val="StandardText"/>
              <w:rPr>
                <w:lang w:val="de-DE"/>
              </w:rPr>
            </w:pPr>
          </w:p>
        </w:tc>
        <w:tc>
          <w:tcPr>
            <w:tcW w:w="260" w:type="pct"/>
          </w:tcPr>
          <w:p w14:paraId="632896A2" w14:textId="77777777" w:rsidR="00FF7799" w:rsidRPr="00E73F6F" w:rsidRDefault="00FF7799" w:rsidP="00177021">
            <w:pPr>
              <w:pStyle w:val="StandardText"/>
              <w:rPr>
                <w:lang w:val="de-DE"/>
              </w:rPr>
            </w:pPr>
          </w:p>
        </w:tc>
        <w:tc>
          <w:tcPr>
            <w:tcW w:w="260" w:type="pct"/>
          </w:tcPr>
          <w:p w14:paraId="2727A4C3" w14:textId="77777777" w:rsidR="00FF7799" w:rsidRPr="00E73F6F" w:rsidRDefault="00FF7799" w:rsidP="00177021">
            <w:pPr>
              <w:pStyle w:val="StandardText"/>
              <w:rPr>
                <w:lang w:val="de-DE"/>
              </w:rPr>
            </w:pPr>
          </w:p>
        </w:tc>
        <w:tc>
          <w:tcPr>
            <w:tcW w:w="260" w:type="pct"/>
          </w:tcPr>
          <w:p w14:paraId="36E89380" w14:textId="77777777" w:rsidR="00FF7799" w:rsidRPr="00E73F6F" w:rsidRDefault="00FF7799" w:rsidP="00177021">
            <w:pPr>
              <w:pStyle w:val="StandardText"/>
              <w:rPr>
                <w:lang w:val="de-DE"/>
              </w:rPr>
            </w:pPr>
          </w:p>
        </w:tc>
        <w:tc>
          <w:tcPr>
            <w:tcW w:w="258" w:type="pct"/>
          </w:tcPr>
          <w:p w14:paraId="136F53FE" w14:textId="77777777" w:rsidR="00FF7799" w:rsidRPr="00E73F6F" w:rsidRDefault="00FF7799" w:rsidP="00177021">
            <w:pPr>
              <w:pStyle w:val="StandardText"/>
              <w:rPr>
                <w:lang w:val="de-DE"/>
              </w:rPr>
            </w:pPr>
          </w:p>
        </w:tc>
      </w:tr>
      <w:tr w:rsidR="00FF7799" w:rsidRPr="00E73F6F" w14:paraId="253EFD3D" w14:textId="77777777" w:rsidTr="00B063A8">
        <w:trPr>
          <w:trHeight w:val="294"/>
          <w:tblHeader/>
        </w:trPr>
        <w:tc>
          <w:tcPr>
            <w:tcW w:w="1879" w:type="pct"/>
            <w:shd w:val="clear" w:color="auto" w:fill="FFF2CC" w:themeFill="accent4" w:themeFillTint="33"/>
          </w:tcPr>
          <w:p w14:paraId="680A3917" w14:textId="77777777" w:rsidR="00FF7799" w:rsidRPr="00E73F6F" w:rsidRDefault="00FF7799" w:rsidP="00177021">
            <w:pPr>
              <w:pStyle w:val="StandardText"/>
              <w:jc w:val="left"/>
              <w:rPr>
                <w:lang w:val="de-DE"/>
              </w:rPr>
            </w:pPr>
            <w:r w:rsidRPr="00E73F6F">
              <w:rPr>
                <w:spacing w:val="-2"/>
                <w:lang w:val="de-DE"/>
              </w:rPr>
              <w:t>Risiken</w:t>
            </w:r>
          </w:p>
        </w:tc>
        <w:tc>
          <w:tcPr>
            <w:tcW w:w="260" w:type="pct"/>
          </w:tcPr>
          <w:p w14:paraId="6B3D064A" w14:textId="77777777" w:rsidR="00FF7799" w:rsidRPr="00E73F6F" w:rsidRDefault="00FF7799" w:rsidP="00177021">
            <w:pPr>
              <w:pStyle w:val="StandardText"/>
              <w:rPr>
                <w:lang w:val="de-DE"/>
              </w:rPr>
            </w:pPr>
          </w:p>
        </w:tc>
        <w:tc>
          <w:tcPr>
            <w:tcW w:w="260" w:type="pct"/>
          </w:tcPr>
          <w:p w14:paraId="1F27240B" w14:textId="77777777" w:rsidR="00FF7799" w:rsidRPr="00E73F6F" w:rsidRDefault="00FF7799" w:rsidP="00177021">
            <w:pPr>
              <w:pStyle w:val="StandardText"/>
              <w:rPr>
                <w:lang w:val="de-DE"/>
              </w:rPr>
            </w:pPr>
          </w:p>
        </w:tc>
        <w:tc>
          <w:tcPr>
            <w:tcW w:w="263" w:type="pct"/>
          </w:tcPr>
          <w:p w14:paraId="3B9E87D9" w14:textId="77777777" w:rsidR="00FF7799" w:rsidRPr="00E73F6F" w:rsidRDefault="00FF7799" w:rsidP="00177021">
            <w:pPr>
              <w:pStyle w:val="StandardText"/>
              <w:rPr>
                <w:lang w:val="de-DE"/>
              </w:rPr>
            </w:pPr>
          </w:p>
        </w:tc>
        <w:tc>
          <w:tcPr>
            <w:tcW w:w="260" w:type="pct"/>
          </w:tcPr>
          <w:p w14:paraId="4BCE5F1B" w14:textId="77777777" w:rsidR="00FF7799" w:rsidRPr="00E73F6F" w:rsidRDefault="00FF7799" w:rsidP="00177021">
            <w:pPr>
              <w:pStyle w:val="StandardText"/>
              <w:rPr>
                <w:lang w:val="de-DE"/>
              </w:rPr>
            </w:pPr>
          </w:p>
        </w:tc>
        <w:tc>
          <w:tcPr>
            <w:tcW w:w="260" w:type="pct"/>
          </w:tcPr>
          <w:p w14:paraId="47236F64" w14:textId="77777777" w:rsidR="00FF7799" w:rsidRPr="00E73F6F" w:rsidRDefault="00FF7799" w:rsidP="00177021">
            <w:pPr>
              <w:pStyle w:val="StandardText"/>
              <w:rPr>
                <w:lang w:val="de-DE"/>
              </w:rPr>
            </w:pPr>
          </w:p>
        </w:tc>
        <w:tc>
          <w:tcPr>
            <w:tcW w:w="260" w:type="pct"/>
          </w:tcPr>
          <w:p w14:paraId="35752E57" w14:textId="77777777" w:rsidR="00FF7799" w:rsidRPr="00E73F6F" w:rsidRDefault="00FF7799" w:rsidP="00177021">
            <w:pPr>
              <w:pStyle w:val="StandardText"/>
              <w:rPr>
                <w:lang w:val="de-DE"/>
              </w:rPr>
            </w:pPr>
          </w:p>
        </w:tc>
        <w:tc>
          <w:tcPr>
            <w:tcW w:w="260" w:type="pct"/>
          </w:tcPr>
          <w:p w14:paraId="6B7F7F5E" w14:textId="77777777" w:rsidR="00FF7799" w:rsidRPr="00E73F6F" w:rsidRDefault="00FF7799" w:rsidP="00177021">
            <w:pPr>
              <w:pStyle w:val="StandardText"/>
              <w:rPr>
                <w:lang w:val="de-DE"/>
              </w:rPr>
            </w:pPr>
          </w:p>
        </w:tc>
        <w:tc>
          <w:tcPr>
            <w:tcW w:w="260" w:type="pct"/>
          </w:tcPr>
          <w:p w14:paraId="15462918" w14:textId="77777777" w:rsidR="00FF7799" w:rsidRPr="00E73F6F" w:rsidRDefault="00FF7799" w:rsidP="00177021">
            <w:pPr>
              <w:pStyle w:val="StandardText"/>
              <w:rPr>
                <w:lang w:val="de-DE"/>
              </w:rPr>
            </w:pPr>
          </w:p>
        </w:tc>
        <w:tc>
          <w:tcPr>
            <w:tcW w:w="260" w:type="pct"/>
          </w:tcPr>
          <w:p w14:paraId="3FA33F95" w14:textId="77777777" w:rsidR="00FF7799" w:rsidRPr="00E73F6F" w:rsidRDefault="00FF7799" w:rsidP="00177021">
            <w:pPr>
              <w:pStyle w:val="StandardText"/>
              <w:rPr>
                <w:lang w:val="de-DE"/>
              </w:rPr>
            </w:pPr>
          </w:p>
        </w:tc>
        <w:tc>
          <w:tcPr>
            <w:tcW w:w="260" w:type="pct"/>
          </w:tcPr>
          <w:p w14:paraId="74CB0401" w14:textId="77777777" w:rsidR="00FF7799" w:rsidRPr="00E73F6F" w:rsidRDefault="00FF7799" w:rsidP="00177021">
            <w:pPr>
              <w:pStyle w:val="StandardText"/>
              <w:rPr>
                <w:lang w:val="de-DE"/>
              </w:rPr>
            </w:pPr>
          </w:p>
        </w:tc>
        <w:tc>
          <w:tcPr>
            <w:tcW w:w="260" w:type="pct"/>
          </w:tcPr>
          <w:p w14:paraId="2B658224" w14:textId="77777777" w:rsidR="00FF7799" w:rsidRPr="00E73F6F" w:rsidRDefault="00FF7799" w:rsidP="00177021">
            <w:pPr>
              <w:pStyle w:val="StandardText"/>
              <w:rPr>
                <w:lang w:val="de-DE"/>
              </w:rPr>
            </w:pPr>
          </w:p>
        </w:tc>
        <w:tc>
          <w:tcPr>
            <w:tcW w:w="258" w:type="pct"/>
          </w:tcPr>
          <w:p w14:paraId="703E6895" w14:textId="77777777" w:rsidR="00FF7799" w:rsidRPr="00E73F6F" w:rsidRDefault="00FF7799" w:rsidP="00177021">
            <w:pPr>
              <w:pStyle w:val="StandardText"/>
              <w:rPr>
                <w:lang w:val="de-DE"/>
              </w:rPr>
            </w:pPr>
          </w:p>
        </w:tc>
      </w:tr>
      <w:tr w:rsidR="00FF7799" w:rsidRPr="00E73F6F" w14:paraId="01DD63FF" w14:textId="77777777" w:rsidTr="00B063A8">
        <w:trPr>
          <w:trHeight w:val="312"/>
          <w:tblHeader/>
        </w:trPr>
        <w:tc>
          <w:tcPr>
            <w:tcW w:w="1879" w:type="pct"/>
            <w:shd w:val="clear" w:color="auto" w:fill="FFF2CC" w:themeFill="accent4" w:themeFillTint="33"/>
          </w:tcPr>
          <w:p w14:paraId="7C85D038" w14:textId="77777777" w:rsidR="00FF7799" w:rsidRPr="00E73F6F" w:rsidRDefault="00FF7799" w:rsidP="00177021">
            <w:pPr>
              <w:pStyle w:val="StandardText"/>
              <w:jc w:val="left"/>
              <w:rPr>
                <w:lang w:val="de-DE"/>
              </w:rPr>
            </w:pPr>
            <w:r w:rsidRPr="00E73F6F">
              <w:rPr>
                <w:spacing w:val="-2"/>
                <w:lang w:val="de-DE"/>
              </w:rPr>
              <w:t>Transferierbarkeit</w:t>
            </w:r>
            <w:r w:rsidRPr="00E73F6F">
              <w:rPr>
                <w:spacing w:val="20"/>
                <w:lang w:val="de-DE"/>
              </w:rPr>
              <w:t xml:space="preserve"> </w:t>
            </w:r>
            <w:r w:rsidRPr="00E73F6F">
              <w:rPr>
                <w:spacing w:val="-5"/>
                <w:lang w:val="de-DE"/>
              </w:rPr>
              <w:t xml:space="preserve">von </w:t>
            </w:r>
            <w:r w:rsidRPr="00E73F6F">
              <w:rPr>
                <w:spacing w:val="-2"/>
                <w:lang w:val="de-DE"/>
              </w:rPr>
              <w:t>Gewinnen</w:t>
            </w:r>
          </w:p>
        </w:tc>
        <w:tc>
          <w:tcPr>
            <w:tcW w:w="260" w:type="pct"/>
          </w:tcPr>
          <w:p w14:paraId="3491E3FD" w14:textId="77777777" w:rsidR="00FF7799" w:rsidRPr="00E73F6F" w:rsidRDefault="00FF7799" w:rsidP="00177021">
            <w:pPr>
              <w:pStyle w:val="StandardText"/>
              <w:rPr>
                <w:lang w:val="de-DE"/>
              </w:rPr>
            </w:pPr>
          </w:p>
        </w:tc>
        <w:tc>
          <w:tcPr>
            <w:tcW w:w="260" w:type="pct"/>
          </w:tcPr>
          <w:p w14:paraId="5BE42D43" w14:textId="77777777" w:rsidR="00FF7799" w:rsidRPr="00E73F6F" w:rsidRDefault="00FF7799" w:rsidP="00177021">
            <w:pPr>
              <w:pStyle w:val="StandardText"/>
              <w:rPr>
                <w:lang w:val="de-DE"/>
              </w:rPr>
            </w:pPr>
          </w:p>
        </w:tc>
        <w:tc>
          <w:tcPr>
            <w:tcW w:w="263" w:type="pct"/>
          </w:tcPr>
          <w:p w14:paraId="5BA940B3" w14:textId="77777777" w:rsidR="00FF7799" w:rsidRPr="00E73F6F" w:rsidRDefault="00FF7799" w:rsidP="00177021">
            <w:pPr>
              <w:pStyle w:val="StandardText"/>
              <w:rPr>
                <w:lang w:val="de-DE"/>
              </w:rPr>
            </w:pPr>
          </w:p>
        </w:tc>
        <w:tc>
          <w:tcPr>
            <w:tcW w:w="260" w:type="pct"/>
          </w:tcPr>
          <w:p w14:paraId="0723F94F" w14:textId="77777777" w:rsidR="00FF7799" w:rsidRPr="00E73F6F" w:rsidRDefault="00FF7799" w:rsidP="00177021">
            <w:pPr>
              <w:pStyle w:val="StandardText"/>
              <w:rPr>
                <w:lang w:val="de-DE"/>
              </w:rPr>
            </w:pPr>
          </w:p>
        </w:tc>
        <w:tc>
          <w:tcPr>
            <w:tcW w:w="260" w:type="pct"/>
          </w:tcPr>
          <w:p w14:paraId="0A1FFCDB" w14:textId="77777777" w:rsidR="00FF7799" w:rsidRPr="00E73F6F" w:rsidRDefault="00FF7799" w:rsidP="00177021">
            <w:pPr>
              <w:pStyle w:val="StandardText"/>
              <w:rPr>
                <w:lang w:val="de-DE"/>
              </w:rPr>
            </w:pPr>
          </w:p>
        </w:tc>
        <w:tc>
          <w:tcPr>
            <w:tcW w:w="260" w:type="pct"/>
          </w:tcPr>
          <w:p w14:paraId="08341708" w14:textId="77777777" w:rsidR="00FF7799" w:rsidRPr="00E73F6F" w:rsidRDefault="00FF7799" w:rsidP="00177021">
            <w:pPr>
              <w:pStyle w:val="StandardText"/>
              <w:rPr>
                <w:lang w:val="de-DE"/>
              </w:rPr>
            </w:pPr>
          </w:p>
        </w:tc>
        <w:tc>
          <w:tcPr>
            <w:tcW w:w="260" w:type="pct"/>
          </w:tcPr>
          <w:p w14:paraId="51644D98" w14:textId="77777777" w:rsidR="00FF7799" w:rsidRPr="00E73F6F" w:rsidRDefault="00FF7799" w:rsidP="00177021">
            <w:pPr>
              <w:pStyle w:val="StandardText"/>
              <w:rPr>
                <w:lang w:val="de-DE"/>
              </w:rPr>
            </w:pPr>
          </w:p>
        </w:tc>
        <w:tc>
          <w:tcPr>
            <w:tcW w:w="260" w:type="pct"/>
          </w:tcPr>
          <w:p w14:paraId="1001A932" w14:textId="77777777" w:rsidR="00FF7799" w:rsidRPr="00E73F6F" w:rsidRDefault="00FF7799" w:rsidP="00177021">
            <w:pPr>
              <w:pStyle w:val="StandardText"/>
              <w:rPr>
                <w:lang w:val="de-DE"/>
              </w:rPr>
            </w:pPr>
          </w:p>
        </w:tc>
        <w:tc>
          <w:tcPr>
            <w:tcW w:w="260" w:type="pct"/>
          </w:tcPr>
          <w:p w14:paraId="2AC4A900" w14:textId="77777777" w:rsidR="00FF7799" w:rsidRPr="00E73F6F" w:rsidRDefault="00FF7799" w:rsidP="00177021">
            <w:pPr>
              <w:pStyle w:val="StandardText"/>
              <w:rPr>
                <w:lang w:val="de-DE"/>
              </w:rPr>
            </w:pPr>
          </w:p>
        </w:tc>
        <w:tc>
          <w:tcPr>
            <w:tcW w:w="260" w:type="pct"/>
          </w:tcPr>
          <w:p w14:paraId="55942390" w14:textId="77777777" w:rsidR="00FF7799" w:rsidRPr="00E73F6F" w:rsidRDefault="00FF7799" w:rsidP="00177021">
            <w:pPr>
              <w:pStyle w:val="StandardText"/>
              <w:rPr>
                <w:lang w:val="de-DE"/>
              </w:rPr>
            </w:pPr>
          </w:p>
        </w:tc>
        <w:tc>
          <w:tcPr>
            <w:tcW w:w="260" w:type="pct"/>
          </w:tcPr>
          <w:p w14:paraId="2F253EDA" w14:textId="77777777" w:rsidR="00FF7799" w:rsidRPr="00E73F6F" w:rsidRDefault="00FF7799" w:rsidP="00177021">
            <w:pPr>
              <w:pStyle w:val="StandardText"/>
              <w:rPr>
                <w:lang w:val="de-DE"/>
              </w:rPr>
            </w:pPr>
          </w:p>
        </w:tc>
        <w:tc>
          <w:tcPr>
            <w:tcW w:w="258" w:type="pct"/>
          </w:tcPr>
          <w:p w14:paraId="42E90E7B" w14:textId="77777777" w:rsidR="00FF7799" w:rsidRPr="00E73F6F" w:rsidRDefault="00FF7799" w:rsidP="00177021">
            <w:pPr>
              <w:pStyle w:val="StandardText"/>
              <w:rPr>
                <w:lang w:val="de-DE"/>
              </w:rPr>
            </w:pPr>
          </w:p>
        </w:tc>
      </w:tr>
      <w:tr w:rsidR="00FF7799" w:rsidRPr="00E73F6F" w14:paraId="64BF3D7A" w14:textId="77777777" w:rsidTr="00B063A8">
        <w:trPr>
          <w:trHeight w:val="292"/>
          <w:tblHeader/>
        </w:trPr>
        <w:tc>
          <w:tcPr>
            <w:tcW w:w="1879" w:type="pct"/>
            <w:shd w:val="clear" w:color="auto" w:fill="FFF2CC" w:themeFill="accent4" w:themeFillTint="33"/>
          </w:tcPr>
          <w:p w14:paraId="2551E2EA" w14:textId="77777777" w:rsidR="00FF7799" w:rsidRPr="00E73F6F" w:rsidRDefault="00FF7799" w:rsidP="00177021">
            <w:pPr>
              <w:pStyle w:val="StandardText"/>
              <w:jc w:val="left"/>
              <w:rPr>
                <w:lang w:val="de-DE"/>
              </w:rPr>
            </w:pPr>
            <w:r w:rsidRPr="00E73F6F">
              <w:rPr>
                <w:lang w:val="de-DE"/>
              </w:rPr>
              <w:t>Schutz</w:t>
            </w:r>
            <w:r w:rsidRPr="00E73F6F">
              <w:rPr>
                <w:spacing w:val="-8"/>
                <w:lang w:val="de-DE"/>
              </w:rPr>
              <w:t xml:space="preserve"> </w:t>
            </w:r>
            <w:r w:rsidRPr="00E73F6F">
              <w:rPr>
                <w:lang w:val="de-DE"/>
              </w:rPr>
              <w:t>geistigen</w:t>
            </w:r>
            <w:r w:rsidRPr="00E73F6F">
              <w:rPr>
                <w:spacing w:val="-7"/>
                <w:lang w:val="de-DE"/>
              </w:rPr>
              <w:t xml:space="preserve"> </w:t>
            </w:r>
            <w:r w:rsidRPr="00E73F6F">
              <w:rPr>
                <w:spacing w:val="-2"/>
                <w:lang w:val="de-DE"/>
              </w:rPr>
              <w:t>Eigentums</w:t>
            </w:r>
          </w:p>
        </w:tc>
        <w:tc>
          <w:tcPr>
            <w:tcW w:w="260" w:type="pct"/>
          </w:tcPr>
          <w:p w14:paraId="517AE41B" w14:textId="77777777" w:rsidR="00FF7799" w:rsidRPr="00E73F6F" w:rsidRDefault="00FF7799" w:rsidP="00177021">
            <w:pPr>
              <w:pStyle w:val="StandardText"/>
              <w:rPr>
                <w:lang w:val="de-DE"/>
              </w:rPr>
            </w:pPr>
          </w:p>
        </w:tc>
        <w:tc>
          <w:tcPr>
            <w:tcW w:w="260" w:type="pct"/>
          </w:tcPr>
          <w:p w14:paraId="728DBA05" w14:textId="77777777" w:rsidR="00FF7799" w:rsidRPr="00E73F6F" w:rsidRDefault="00FF7799" w:rsidP="00177021">
            <w:pPr>
              <w:pStyle w:val="StandardText"/>
              <w:rPr>
                <w:lang w:val="de-DE"/>
              </w:rPr>
            </w:pPr>
          </w:p>
        </w:tc>
        <w:tc>
          <w:tcPr>
            <w:tcW w:w="263" w:type="pct"/>
          </w:tcPr>
          <w:p w14:paraId="42264655" w14:textId="77777777" w:rsidR="00FF7799" w:rsidRPr="00E73F6F" w:rsidRDefault="00FF7799" w:rsidP="00177021">
            <w:pPr>
              <w:pStyle w:val="StandardText"/>
              <w:rPr>
                <w:lang w:val="de-DE"/>
              </w:rPr>
            </w:pPr>
          </w:p>
        </w:tc>
        <w:tc>
          <w:tcPr>
            <w:tcW w:w="260" w:type="pct"/>
          </w:tcPr>
          <w:p w14:paraId="5164EFBD" w14:textId="77777777" w:rsidR="00FF7799" w:rsidRPr="00E73F6F" w:rsidRDefault="00FF7799" w:rsidP="00177021">
            <w:pPr>
              <w:pStyle w:val="StandardText"/>
              <w:rPr>
                <w:lang w:val="de-DE"/>
              </w:rPr>
            </w:pPr>
          </w:p>
        </w:tc>
        <w:tc>
          <w:tcPr>
            <w:tcW w:w="260" w:type="pct"/>
          </w:tcPr>
          <w:p w14:paraId="284DFCBB" w14:textId="77777777" w:rsidR="00FF7799" w:rsidRPr="00E73F6F" w:rsidRDefault="00FF7799" w:rsidP="00177021">
            <w:pPr>
              <w:pStyle w:val="StandardText"/>
              <w:rPr>
                <w:lang w:val="de-DE"/>
              </w:rPr>
            </w:pPr>
          </w:p>
        </w:tc>
        <w:tc>
          <w:tcPr>
            <w:tcW w:w="260" w:type="pct"/>
          </w:tcPr>
          <w:p w14:paraId="52E547F5" w14:textId="77777777" w:rsidR="00FF7799" w:rsidRPr="00E73F6F" w:rsidRDefault="00FF7799" w:rsidP="00177021">
            <w:pPr>
              <w:pStyle w:val="StandardText"/>
              <w:rPr>
                <w:lang w:val="de-DE"/>
              </w:rPr>
            </w:pPr>
          </w:p>
        </w:tc>
        <w:tc>
          <w:tcPr>
            <w:tcW w:w="260" w:type="pct"/>
          </w:tcPr>
          <w:p w14:paraId="41065A6B" w14:textId="77777777" w:rsidR="00FF7799" w:rsidRPr="00E73F6F" w:rsidRDefault="00FF7799" w:rsidP="00177021">
            <w:pPr>
              <w:pStyle w:val="StandardText"/>
              <w:rPr>
                <w:lang w:val="de-DE"/>
              </w:rPr>
            </w:pPr>
          </w:p>
        </w:tc>
        <w:tc>
          <w:tcPr>
            <w:tcW w:w="260" w:type="pct"/>
          </w:tcPr>
          <w:p w14:paraId="2BC7A199" w14:textId="77777777" w:rsidR="00FF7799" w:rsidRPr="00E73F6F" w:rsidRDefault="00FF7799" w:rsidP="00177021">
            <w:pPr>
              <w:pStyle w:val="StandardText"/>
              <w:rPr>
                <w:lang w:val="de-DE"/>
              </w:rPr>
            </w:pPr>
          </w:p>
        </w:tc>
        <w:tc>
          <w:tcPr>
            <w:tcW w:w="260" w:type="pct"/>
          </w:tcPr>
          <w:p w14:paraId="248F458C" w14:textId="77777777" w:rsidR="00FF7799" w:rsidRPr="00E73F6F" w:rsidRDefault="00FF7799" w:rsidP="00177021">
            <w:pPr>
              <w:pStyle w:val="StandardText"/>
              <w:rPr>
                <w:lang w:val="de-DE"/>
              </w:rPr>
            </w:pPr>
          </w:p>
        </w:tc>
        <w:tc>
          <w:tcPr>
            <w:tcW w:w="260" w:type="pct"/>
          </w:tcPr>
          <w:p w14:paraId="276BD2F8" w14:textId="77777777" w:rsidR="00FF7799" w:rsidRPr="00E73F6F" w:rsidRDefault="00FF7799" w:rsidP="00177021">
            <w:pPr>
              <w:pStyle w:val="StandardText"/>
              <w:rPr>
                <w:lang w:val="de-DE"/>
              </w:rPr>
            </w:pPr>
          </w:p>
        </w:tc>
        <w:tc>
          <w:tcPr>
            <w:tcW w:w="260" w:type="pct"/>
          </w:tcPr>
          <w:p w14:paraId="6E893607" w14:textId="77777777" w:rsidR="00FF7799" w:rsidRPr="00E73F6F" w:rsidRDefault="00FF7799" w:rsidP="00177021">
            <w:pPr>
              <w:pStyle w:val="StandardText"/>
              <w:rPr>
                <w:lang w:val="de-DE"/>
              </w:rPr>
            </w:pPr>
          </w:p>
        </w:tc>
        <w:tc>
          <w:tcPr>
            <w:tcW w:w="258" w:type="pct"/>
          </w:tcPr>
          <w:p w14:paraId="20EAA4C1" w14:textId="77777777" w:rsidR="00FF7799" w:rsidRPr="00E73F6F" w:rsidRDefault="00FF7799" w:rsidP="00177021">
            <w:pPr>
              <w:pStyle w:val="StandardText"/>
              <w:rPr>
                <w:lang w:val="de-DE"/>
              </w:rPr>
            </w:pPr>
          </w:p>
        </w:tc>
      </w:tr>
      <w:tr w:rsidR="00FF7799" w:rsidRPr="00E73F6F" w14:paraId="4FA72B09" w14:textId="77777777" w:rsidTr="00B063A8">
        <w:trPr>
          <w:trHeight w:val="563"/>
          <w:tblHeader/>
        </w:trPr>
        <w:tc>
          <w:tcPr>
            <w:tcW w:w="1879" w:type="pct"/>
            <w:shd w:val="clear" w:color="auto" w:fill="FFF2CC" w:themeFill="accent4" w:themeFillTint="33"/>
          </w:tcPr>
          <w:p w14:paraId="17A66876" w14:textId="77777777" w:rsidR="00FF7799" w:rsidRPr="00E73F6F" w:rsidRDefault="00FF7799" w:rsidP="00177021">
            <w:pPr>
              <w:pStyle w:val="StandardText"/>
              <w:jc w:val="left"/>
              <w:rPr>
                <w:lang w:val="de-DE"/>
              </w:rPr>
            </w:pPr>
            <w:r w:rsidRPr="00E73F6F">
              <w:rPr>
                <w:spacing w:val="-2"/>
                <w:lang w:val="de-DE"/>
              </w:rPr>
              <w:t>Transparenz</w:t>
            </w:r>
            <w:r w:rsidRPr="00E73F6F">
              <w:rPr>
                <w:spacing w:val="11"/>
                <w:lang w:val="de-DE"/>
              </w:rPr>
              <w:t xml:space="preserve"> </w:t>
            </w:r>
            <w:r w:rsidRPr="00E73F6F">
              <w:rPr>
                <w:spacing w:val="-5"/>
                <w:lang w:val="de-DE"/>
              </w:rPr>
              <w:t xml:space="preserve">und </w:t>
            </w:r>
            <w:r w:rsidRPr="00E73F6F">
              <w:rPr>
                <w:lang w:val="de-DE"/>
              </w:rPr>
              <w:t>Verlässlichkeit</w:t>
            </w:r>
            <w:r w:rsidRPr="00E73F6F">
              <w:rPr>
                <w:spacing w:val="-10"/>
                <w:lang w:val="de-DE"/>
              </w:rPr>
              <w:t xml:space="preserve"> </w:t>
            </w:r>
            <w:r w:rsidRPr="00E73F6F">
              <w:rPr>
                <w:lang w:val="de-DE"/>
              </w:rPr>
              <w:t>des</w:t>
            </w:r>
            <w:r w:rsidRPr="00E73F6F">
              <w:rPr>
                <w:spacing w:val="40"/>
                <w:lang w:val="de-DE"/>
              </w:rPr>
              <w:t xml:space="preserve"> </w:t>
            </w:r>
            <w:r w:rsidRPr="00E73F6F">
              <w:rPr>
                <w:spacing w:val="-2"/>
                <w:lang w:val="de-DE"/>
              </w:rPr>
              <w:t>Rechtssystems</w:t>
            </w:r>
          </w:p>
        </w:tc>
        <w:tc>
          <w:tcPr>
            <w:tcW w:w="260" w:type="pct"/>
          </w:tcPr>
          <w:p w14:paraId="660222FF" w14:textId="77777777" w:rsidR="00FF7799" w:rsidRPr="00E73F6F" w:rsidRDefault="00FF7799" w:rsidP="00177021">
            <w:pPr>
              <w:pStyle w:val="StandardText"/>
              <w:rPr>
                <w:lang w:val="de-DE"/>
              </w:rPr>
            </w:pPr>
          </w:p>
        </w:tc>
        <w:tc>
          <w:tcPr>
            <w:tcW w:w="260" w:type="pct"/>
          </w:tcPr>
          <w:p w14:paraId="7B059050" w14:textId="77777777" w:rsidR="00FF7799" w:rsidRPr="00E73F6F" w:rsidRDefault="00FF7799" w:rsidP="00177021">
            <w:pPr>
              <w:pStyle w:val="StandardText"/>
              <w:rPr>
                <w:lang w:val="de-DE"/>
              </w:rPr>
            </w:pPr>
          </w:p>
        </w:tc>
        <w:tc>
          <w:tcPr>
            <w:tcW w:w="263" w:type="pct"/>
          </w:tcPr>
          <w:p w14:paraId="1F7E3AAF" w14:textId="77777777" w:rsidR="00FF7799" w:rsidRPr="00E73F6F" w:rsidRDefault="00FF7799" w:rsidP="00177021">
            <w:pPr>
              <w:pStyle w:val="StandardText"/>
              <w:rPr>
                <w:lang w:val="de-DE"/>
              </w:rPr>
            </w:pPr>
          </w:p>
        </w:tc>
        <w:tc>
          <w:tcPr>
            <w:tcW w:w="260" w:type="pct"/>
          </w:tcPr>
          <w:p w14:paraId="489E1B86" w14:textId="77777777" w:rsidR="00FF7799" w:rsidRPr="00E73F6F" w:rsidRDefault="00FF7799" w:rsidP="00177021">
            <w:pPr>
              <w:pStyle w:val="StandardText"/>
              <w:rPr>
                <w:lang w:val="de-DE"/>
              </w:rPr>
            </w:pPr>
          </w:p>
        </w:tc>
        <w:tc>
          <w:tcPr>
            <w:tcW w:w="260" w:type="pct"/>
          </w:tcPr>
          <w:p w14:paraId="7492B63F" w14:textId="77777777" w:rsidR="00FF7799" w:rsidRPr="00E73F6F" w:rsidRDefault="00FF7799" w:rsidP="00177021">
            <w:pPr>
              <w:pStyle w:val="StandardText"/>
              <w:rPr>
                <w:lang w:val="de-DE"/>
              </w:rPr>
            </w:pPr>
          </w:p>
        </w:tc>
        <w:tc>
          <w:tcPr>
            <w:tcW w:w="260" w:type="pct"/>
          </w:tcPr>
          <w:p w14:paraId="3B669589" w14:textId="77777777" w:rsidR="00FF7799" w:rsidRPr="00E73F6F" w:rsidRDefault="00FF7799" w:rsidP="00177021">
            <w:pPr>
              <w:pStyle w:val="StandardText"/>
              <w:rPr>
                <w:lang w:val="de-DE"/>
              </w:rPr>
            </w:pPr>
          </w:p>
        </w:tc>
        <w:tc>
          <w:tcPr>
            <w:tcW w:w="260" w:type="pct"/>
          </w:tcPr>
          <w:p w14:paraId="69836BFA" w14:textId="77777777" w:rsidR="00FF7799" w:rsidRPr="00E73F6F" w:rsidRDefault="00FF7799" w:rsidP="00177021">
            <w:pPr>
              <w:pStyle w:val="StandardText"/>
              <w:rPr>
                <w:lang w:val="de-DE"/>
              </w:rPr>
            </w:pPr>
          </w:p>
        </w:tc>
        <w:tc>
          <w:tcPr>
            <w:tcW w:w="260" w:type="pct"/>
          </w:tcPr>
          <w:p w14:paraId="71D25366" w14:textId="77777777" w:rsidR="00FF7799" w:rsidRPr="00E73F6F" w:rsidRDefault="00FF7799" w:rsidP="00177021">
            <w:pPr>
              <w:pStyle w:val="StandardText"/>
              <w:rPr>
                <w:lang w:val="de-DE"/>
              </w:rPr>
            </w:pPr>
          </w:p>
        </w:tc>
        <w:tc>
          <w:tcPr>
            <w:tcW w:w="260" w:type="pct"/>
          </w:tcPr>
          <w:p w14:paraId="2CD65A61" w14:textId="77777777" w:rsidR="00FF7799" w:rsidRPr="00E73F6F" w:rsidRDefault="00FF7799" w:rsidP="00177021">
            <w:pPr>
              <w:pStyle w:val="StandardText"/>
              <w:rPr>
                <w:lang w:val="de-DE"/>
              </w:rPr>
            </w:pPr>
          </w:p>
        </w:tc>
        <w:tc>
          <w:tcPr>
            <w:tcW w:w="260" w:type="pct"/>
          </w:tcPr>
          <w:p w14:paraId="36560B7D" w14:textId="77777777" w:rsidR="00FF7799" w:rsidRPr="00E73F6F" w:rsidRDefault="00FF7799" w:rsidP="00177021">
            <w:pPr>
              <w:pStyle w:val="StandardText"/>
              <w:rPr>
                <w:lang w:val="de-DE"/>
              </w:rPr>
            </w:pPr>
          </w:p>
        </w:tc>
        <w:tc>
          <w:tcPr>
            <w:tcW w:w="260" w:type="pct"/>
          </w:tcPr>
          <w:p w14:paraId="1E03827E" w14:textId="77777777" w:rsidR="00FF7799" w:rsidRPr="00E73F6F" w:rsidRDefault="00FF7799" w:rsidP="00177021">
            <w:pPr>
              <w:pStyle w:val="StandardText"/>
              <w:rPr>
                <w:lang w:val="de-DE"/>
              </w:rPr>
            </w:pPr>
          </w:p>
        </w:tc>
        <w:tc>
          <w:tcPr>
            <w:tcW w:w="258" w:type="pct"/>
          </w:tcPr>
          <w:p w14:paraId="07B1EB93" w14:textId="77777777" w:rsidR="00FF7799" w:rsidRPr="00E73F6F" w:rsidRDefault="00FF7799" w:rsidP="00177021">
            <w:pPr>
              <w:pStyle w:val="StandardText"/>
              <w:rPr>
                <w:lang w:val="de-DE"/>
              </w:rPr>
            </w:pPr>
          </w:p>
        </w:tc>
      </w:tr>
      <w:tr w:rsidR="00FF7799" w:rsidRPr="00E73F6F" w14:paraId="62579BFE" w14:textId="77777777" w:rsidTr="00B063A8">
        <w:trPr>
          <w:trHeight w:val="295"/>
          <w:tblHeader/>
        </w:trPr>
        <w:tc>
          <w:tcPr>
            <w:tcW w:w="1879" w:type="pct"/>
            <w:shd w:val="clear" w:color="auto" w:fill="FFF2CC" w:themeFill="accent4" w:themeFillTint="33"/>
          </w:tcPr>
          <w:p w14:paraId="5B2AE0CB" w14:textId="77777777" w:rsidR="00FF7799" w:rsidRPr="00E73F6F" w:rsidRDefault="00FF7799" w:rsidP="00177021">
            <w:pPr>
              <w:pStyle w:val="StandardText"/>
              <w:jc w:val="left"/>
              <w:rPr>
                <w:lang w:val="de-DE"/>
              </w:rPr>
            </w:pPr>
            <w:r w:rsidRPr="00E73F6F">
              <w:rPr>
                <w:spacing w:val="-2"/>
                <w:lang w:val="de-DE"/>
              </w:rPr>
              <w:t>Infrastruktur</w:t>
            </w:r>
          </w:p>
        </w:tc>
        <w:tc>
          <w:tcPr>
            <w:tcW w:w="260" w:type="pct"/>
          </w:tcPr>
          <w:p w14:paraId="16FEB480" w14:textId="77777777" w:rsidR="00FF7799" w:rsidRPr="00E73F6F" w:rsidRDefault="00FF7799" w:rsidP="00177021">
            <w:pPr>
              <w:pStyle w:val="StandardText"/>
              <w:rPr>
                <w:lang w:val="de-DE"/>
              </w:rPr>
            </w:pPr>
          </w:p>
        </w:tc>
        <w:tc>
          <w:tcPr>
            <w:tcW w:w="260" w:type="pct"/>
          </w:tcPr>
          <w:p w14:paraId="445F436E" w14:textId="77777777" w:rsidR="00FF7799" w:rsidRPr="00E73F6F" w:rsidRDefault="00FF7799" w:rsidP="00177021">
            <w:pPr>
              <w:pStyle w:val="StandardText"/>
              <w:rPr>
                <w:lang w:val="de-DE"/>
              </w:rPr>
            </w:pPr>
          </w:p>
        </w:tc>
        <w:tc>
          <w:tcPr>
            <w:tcW w:w="263" w:type="pct"/>
          </w:tcPr>
          <w:p w14:paraId="15AA9DE4" w14:textId="77777777" w:rsidR="00FF7799" w:rsidRPr="00E73F6F" w:rsidRDefault="00FF7799" w:rsidP="00177021">
            <w:pPr>
              <w:pStyle w:val="StandardText"/>
              <w:rPr>
                <w:lang w:val="de-DE"/>
              </w:rPr>
            </w:pPr>
          </w:p>
        </w:tc>
        <w:tc>
          <w:tcPr>
            <w:tcW w:w="260" w:type="pct"/>
          </w:tcPr>
          <w:p w14:paraId="4D77FFE1" w14:textId="77777777" w:rsidR="00FF7799" w:rsidRPr="00E73F6F" w:rsidRDefault="00FF7799" w:rsidP="00177021">
            <w:pPr>
              <w:pStyle w:val="StandardText"/>
              <w:rPr>
                <w:lang w:val="de-DE"/>
              </w:rPr>
            </w:pPr>
          </w:p>
        </w:tc>
        <w:tc>
          <w:tcPr>
            <w:tcW w:w="260" w:type="pct"/>
          </w:tcPr>
          <w:p w14:paraId="0FA04298" w14:textId="77777777" w:rsidR="00FF7799" w:rsidRPr="00E73F6F" w:rsidRDefault="00FF7799" w:rsidP="00177021">
            <w:pPr>
              <w:pStyle w:val="StandardText"/>
              <w:rPr>
                <w:lang w:val="de-DE"/>
              </w:rPr>
            </w:pPr>
          </w:p>
        </w:tc>
        <w:tc>
          <w:tcPr>
            <w:tcW w:w="260" w:type="pct"/>
          </w:tcPr>
          <w:p w14:paraId="12276B42" w14:textId="77777777" w:rsidR="00FF7799" w:rsidRPr="00E73F6F" w:rsidRDefault="00FF7799" w:rsidP="00177021">
            <w:pPr>
              <w:pStyle w:val="StandardText"/>
              <w:rPr>
                <w:lang w:val="de-DE"/>
              </w:rPr>
            </w:pPr>
          </w:p>
        </w:tc>
        <w:tc>
          <w:tcPr>
            <w:tcW w:w="260" w:type="pct"/>
          </w:tcPr>
          <w:p w14:paraId="0D4A72A2" w14:textId="77777777" w:rsidR="00FF7799" w:rsidRPr="00E73F6F" w:rsidRDefault="00FF7799" w:rsidP="00177021">
            <w:pPr>
              <w:pStyle w:val="StandardText"/>
              <w:rPr>
                <w:lang w:val="de-DE"/>
              </w:rPr>
            </w:pPr>
          </w:p>
        </w:tc>
        <w:tc>
          <w:tcPr>
            <w:tcW w:w="260" w:type="pct"/>
          </w:tcPr>
          <w:p w14:paraId="7C1C7868" w14:textId="77777777" w:rsidR="00FF7799" w:rsidRPr="00E73F6F" w:rsidRDefault="00FF7799" w:rsidP="00177021">
            <w:pPr>
              <w:pStyle w:val="StandardText"/>
              <w:rPr>
                <w:lang w:val="de-DE"/>
              </w:rPr>
            </w:pPr>
          </w:p>
        </w:tc>
        <w:tc>
          <w:tcPr>
            <w:tcW w:w="260" w:type="pct"/>
          </w:tcPr>
          <w:p w14:paraId="6B441987" w14:textId="77777777" w:rsidR="00FF7799" w:rsidRPr="00E73F6F" w:rsidRDefault="00FF7799" w:rsidP="00177021">
            <w:pPr>
              <w:pStyle w:val="StandardText"/>
              <w:rPr>
                <w:lang w:val="de-DE"/>
              </w:rPr>
            </w:pPr>
          </w:p>
        </w:tc>
        <w:tc>
          <w:tcPr>
            <w:tcW w:w="260" w:type="pct"/>
          </w:tcPr>
          <w:p w14:paraId="2E9431AD" w14:textId="77777777" w:rsidR="00FF7799" w:rsidRPr="00E73F6F" w:rsidRDefault="00FF7799" w:rsidP="00177021">
            <w:pPr>
              <w:pStyle w:val="StandardText"/>
              <w:rPr>
                <w:lang w:val="de-DE"/>
              </w:rPr>
            </w:pPr>
          </w:p>
        </w:tc>
        <w:tc>
          <w:tcPr>
            <w:tcW w:w="260" w:type="pct"/>
          </w:tcPr>
          <w:p w14:paraId="06428767" w14:textId="77777777" w:rsidR="00FF7799" w:rsidRPr="00E73F6F" w:rsidRDefault="00FF7799" w:rsidP="00177021">
            <w:pPr>
              <w:pStyle w:val="StandardText"/>
              <w:rPr>
                <w:lang w:val="de-DE"/>
              </w:rPr>
            </w:pPr>
          </w:p>
        </w:tc>
        <w:tc>
          <w:tcPr>
            <w:tcW w:w="258" w:type="pct"/>
          </w:tcPr>
          <w:p w14:paraId="41512DD2" w14:textId="77777777" w:rsidR="00FF7799" w:rsidRPr="00E73F6F" w:rsidRDefault="00FF7799" w:rsidP="00177021">
            <w:pPr>
              <w:pStyle w:val="StandardText"/>
              <w:rPr>
                <w:lang w:val="de-DE"/>
              </w:rPr>
            </w:pPr>
          </w:p>
        </w:tc>
      </w:tr>
      <w:tr w:rsidR="00FF7799" w:rsidRPr="00E73F6F" w14:paraId="3AB3DC5C" w14:textId="77777777" w:rsidTr="00B063A8">
        <w:trPr>
          <w:trHeight w:val="294"/>
          <w:tblHeader/>
        </w:trPr>
        <w:tc>
          <w:tcPr>
            <w:tcW w:w="1879" w:type="pct"/>
            <w:shd w:val="clear" w:color="auto" w:fill="FFF2CC" w:themeFill="accent4" w:themeFillTint="33"/>
          </w:tcPr>
          <w:p w14:paraId="56083CC8" w14:textId="77777777" w:rsidR="00FF7799" w:rsidRPr="00E73F6F" w:rsidRDefault="00FF7799" w:rsidP="00177021">
            <w:pPr>
              <w:pStyle w:val="StandardText"/>
              <w:jc w:val="left"/>
              <w:rPr>
                <w:lang w:val="de-DE"/>
              </w:rPr>
            </w:pPr>
            <w:r w:rsidRPr="00E73F6F">
              <w:rPr>
                <w:spacing w:val="-2"/>
                <w:lang w:val="de-DE"/>
              </w:rPr>
              <w:t>Konkurrenzintensität</w:t>
            </w:r>
          </w:p>
        </w:tc>
        <w:tc>
          <w:tcPr>
            <w:tcW w:w="260" w:type="pct"/>
          </w:tcPr>
          <w:p w14:paraId="1510B8DF" w14:textId="77777777" w:rsidR="00FF7799" w:rsidRPr="00E73F6F" w:rsidRDefault="00FF7799" w:rsidP="00177021">
            <w:pPr>
              <w:pStyle w:val="StandardText"/>
              <w:rPr>
                <w:lang w:val="de-DE"/>
              </w:rPr>
            </w:pPr>
          </w:p>
        </w:tc>
        <w:tc>
          <w:tcPr>
            <w:tcW w:w="260" w:type="pct"/>
          </w:tcPr>
          <w:p w14:paraId="3D911249" w14:textId="77777777" w:rsidR="00FF7799" w:rsidRPr="00E73F6F" w:rsidRDefault="00FF7799" w:rsidP="00177021">
            <w:pPr>
              <w:pStyle w:val="StandardText"/>
              <w:rPr>
                <w:lang w:val="de-DE"/>
              </w:rPr>
            </w:pPr>
          </w:p>
        </w:tc>
        <w:tc>
          <w:tcPr>
            <w:tcW w:w="263" w:type="pct"/>
          </w:tcPr>
          <w:p w14:paraId="01775B1B" w14:textId="77777777" w:rsidR="00FF7799" w:rsidRPr="00E73F6F" w:rsidRDefault="00FF7799" w:rsidP="00177021">
            <w:pPr>
              <w:pStyle w:val="StandardText"/>
              <w:rPr>
                <w:lang w:val="de-DE"/>
              </w:rPr>
            </w:pPr>
          </w:p>
        </w:tc>
        <w:tc>
          <w:tcPr>
            <w:tcW w:w="260" w:type="pct"/>
          </w:tcPr>
          <w:p w14:paraId="5AEED374" w14:textId="77777777" w:rsidR="00FF7799" w:rsidRPr="00E73F6F" w:rsidRDefault="00FF7799" w:rsidP="00177021">
            <w:pPr>
              <w:pStyle w:val="StandardText"/>
              <w:rPr>
                <w:lang w:val="de-DE"/>
              </w:rPr>
            </w:pPr>
          </w:p>
        </w:tc>
        <w:tc>
          <w:tcPr>
            <w:tcW w:w="260" w:type="pct"/>
          </w:tcPr>
          <w:p w14:paraId="1732EF46" w14:textId="77777777" w:rsidR="00FF7799" w:rsidRPr="00E73F6F" w:rsidRDefault="00FF7799" w:rsidP="00177021">
            <w:pPr>
              <w:pStyle w:val="StandardText"/>
              <w:rPr>
                <w:lang w:val="de-DE"/>
              </w:rPr>
            </w:pPr>
          </w:p>
        </w:tc>
        <w:tc>
          <w:tcPr>
            <w:tcW w:w="260" w:type="pct"/>
          </w:tcPr>
          <w:p w14:paraId="1811FF1D" w14:textId="77777777" w:rsidR="00FF7799" w:rsidRPr="00E73F6F" w:rsidRDefault="00FF7799" w:rsidP="00177021">
            <w:pPr>
              <w:pStyle w:val="StandardText"/>
              <w:rPr>
                <w:lang w:val="de-DE"/>
              </w:rPr>
            </w:pPr>
          </w:p>
        </w:tc>
        <w:tc>
          <w:tcPr>
            <w:tcW w:w="260" w:type="pct"/>
          </w:tcPr>
          <w:p w14:paraId="0574B53C" w14:textId="77777777" w:rsidR="00FF7799" w:rsidRPr="00E73F6F" w:rsidRDefault="00FF7799" w:rsidP="00177021">
            <w:pPr>
              <w:pStyle w:val="StandardText"/>
              <w:rPr>
                <w:lang w:val="de-DE"/>
              </w:rPr>
            </w:pPr>
          </w:p>
        </w:tc>
        <w:tc>
          <w:tcPr>
            <w:tcW w:w="260" w:type="pct"/>
          </w:tcPr>
          <w:p w14:paraId="69596D07" w14:textId="77777777" w:rsidR="00FF7799" w:rsidRPr="00E73F6F" w:rsidRDefault="00FF7799" w:rsidP="00177021">
            <w:pPr>
              <w:pStyle w:val="StandardText"/>
              <w:rPr>
                <w:lang w:val="de-DE"/>
              </w:rPr>
            </w:pPr>
          </w:p>
        </w:tc>
        <w:tc>
          <w:tcPr>
            <w:tcW w:w="260" w:type="pct"/>
          </w:tcPr>
          <w:p w14:paraId="26B88228" w14:textId="77777777" w:rsidR="00FF7799" w:rsidRPr="00E73F6F" w:rsidRDefault="00FF7799" w:rsidP="00177021">
            <w:pPr>
              <w:pStyle w:val="StandardText"/>
              <w:rPr>
                <w:lang w:val="de-DE"/>
              </w:rPr>
            </w:pPr>
          </w:p>
        </w:tc>
        <w:tc>
          <w:tcPr>
            <w:tcW w:w="260" w:type="pct"/>
          </w:tcPr>
          <w:p w14:paraId="0F65FF7E" w14:textId="77777777" w:rsidR="00FF7799" w:rsidRPr="00E73F6F" w:rsidRDefault="00FF7799" w:rsidP="00177021">
            <w:pPr>
              <w:pStyle w:val="StandardText"/>
              <w:rPr>
                <w:lang w:val="de-DE"/>
              </w:rPr>
            </w:pPr>
          </w:p>
        </w:tc>
        <w:tc>
          <w:tcPr>
            <w:tcW w:w="260" w:type="pct"/>
          </w:tcPr>
          <w:p w14:paraId="570738C6" w14:textId="77777777" w:rsidR="00FF7799" w:rsidRPr="00E73F6F" w:rsidRDefault="00FF7799" w:rsidP="00177021">
            <w:pPr>
              <w:pStyle w:val="StandardText"/>
              <w:rPr>
                <w:lang w:val="de-DE"/>
              </w:rPr>
            </w:pPr>
          </w:p>
        </w:tc>
        <w:tc>
          <w:tcPr>
            <w:tcW w:w="258" w:type="pct"/>
          </w:tcPr>
          <w:p w14:paraId="4B19E004" w14:textId="77777777" w:rsidR="00FF7799" w:rsidRPr="00E73F6F" w:rsidRDefault="00FF7799" w:rsidP="00177021">
            <w:pPr>
              <w:pStyle w:val="StandardText"/>
              <w:rPr>
                <w:lang w:val="de-DE"/>
              </w:rPr>
            </w:pPr>
          </w:p>
        </w:tc>
      </w:tr>
      <w:tr w:rsidR="00FF7799" w:rsidRPr="00E73F6F" w14:paraId="247045CB" w14:textId="77777777" w:rsidTr="00B063A8">
        <w:trPr>
          <w:trHeight w:val="292"/>
          <w:tblHeader/>
        </w:trPr>
        <w:tc>
          <w:tcPr>
            <w:tcW w:w="1879" w:type="pct"/>
            <w:shd w:val="clear" w:color="auto" w:fill="FFF2CC" w:themeFill="accent4" w:themeFillTint="33"/>
          </w:tcPr>
          <w:p w14:paraId="21198646" w14:textId="77777777" w:rsidR="00FF7799" w:rsidRPr="00E73F6F" w:rsidRDefault="00FF7799" w:rsidP="00177021">
            <w:pPr>
              <w:pStyle w:val="StandardText"/>
              <w:jc w:val="left"/>
              <w:rPr>
                <w:lang w:val="de-DE"/>
              </w:rPr>
            </w:pPr>
            <w:r w:rsidRPr="00E73F6F">
              <w:rPr>
                <w:lang w:val="de-DE"/>
              </w:rPr>
              <w:t>Verfügbarkeit</w:t>
            </w:r>
            <w:r w:rsidRPr="00E73F6F">
              <w:rPr>
                <w:spacing w:val="-8"/>
                <w:lang w:val="de-DE"/>
              </w:rPr>
              <w:t xml:space="preserve"> </w:t>
            </w:r>
            <w:r w:rsidRPr="00E73F6F">
              <w:rPr>
                <w:lang w:val="de-DE"/>
              </w:rPr>
              <w:t>von</w:t>
            </w:r>
            <w:r w:rsidRPr="00E73F6F">
              <w:rPr>
                <w:spacing w:val="-7"/>
                <w:lang w:val="de-DE"/>
              </w:rPr>
              <w:t xml:space="preserve"> </w:t>
            </w:r>
            <w:r w:rsidRPr="00E73F6F">
              <w:rPr>
                <w:spacing w:val="-2"/>
                <w:lang w:val="de-DE"/>
              </w:rPr>
              <w:t>Zulieferern</w:t>
            </w:r>
          </w:p>
        </w:tc>
        <w:tc>
          <w:tcPr>
            <w:tcW w:w="260" w:type="pct"/>
          </w:tcPr>
          <w:p w14:paraId="6B40DE87" w14:textId="77777777" w:rsidR="00FF7799" w:rsidRPr="00E73F6F" w:rsidRDefault="00FF7799" w:rsidP="00177021">
            <w:pPr>
              <w:pStyle w:val="StandardText"/>
              <w:rPr>
                <w:lang w:val="de-DE"/>
              </w:rPr>
            </w:pPr>
          </w:p>
        </w:tc>
        <w:tc>
          <w:tcPr>
            <w:tcW w:w="260" w:type="pct"/>
          </w:tcPr>
          <w:p w14:paraId="32A5DC9A" w14:textId="77777777" w:rsidR="00FF7799" w:rsidRPr="00E73F6F" w:rsidRDefault="00FF7799" w:rsidP="00177021">
            <w:pPr>
              <w:pStyle w:val="StandardText"/>
              <w:rPr>
                <w:lang w:val="de-DE"/>
              </w:rPr>
            </w:pPr>
          </w:p>
        </w:tc>
        <w:tc>
          <w:tcPr>
            <w:tcW w:w="263" w:type="pct"/>
          </w:tcPr>
          <w:p w14:paraId="200CC7A7" w14:textId="77777777" w:rsidR="00FF7799" w:rsidRPr="00E73F6F" w:rsidRDefault="00FF7799" w:rsidP="00177021">
            <w:pPr>
              <w:pStyle w:val="StandardText"/>
              <w:rPr>
                <w:lang w:val="de-DE"/>
              </w:rPr>
            </w:pPr>
          </w:p>
        </w:tc>
        <w:tc>
          <w:tcPr>
            <w:tcW w:w="260" w:type="pct"/>
          </w:tcPr>
          <w:p w14:paraId="255424FD" w14:textId="77777777" w:rsidR="00FF7799" w:rsidRPr="00E73F6F" w:rsidRDefault="00FF7799" w:rsidP="00177021">
            <w:pPr>
              <w:pStyle w:val="StandardText"/>
              <w:rPr>
                <w:lang w:val="de-DE"/>
              </w:rPr>
            </w:pPr>
          </w:p>
        </w:tc>
        <w:tc>
          <w:tcPr>
            <w:tcW w:w="260" w:type="pct"/>
          </w:tcPr>
          <w:p w14:paraId="281BD727" w14:textId="77777777" w:rsidR="00FF7799" w:rsidRPr="00E73F6F" w:rsidRDefault="00FF7799" w:rsidP="00177021">
            <w:pPr>
              <w:pStyle w:val="StandardText"/>
              <w:rPr>
                <w:lang w:val="de-DE"/>
              </w:rPr>
            </w:pPr>
          </w:p>
        </w:tc>
        <w:tc>
          <w:tcPr>
            <w:tcW w:w="260" w:type="pct"/>
          </w:tcPr>
          <w:p w14:paraId="4F19B375" w14:textId="77777777" w:rsidR="00FF7799" w:rsidRPr="00E73F6F" w:rsidRDefault="00FF7799" w:rsidP="00177021">
            <w:pPr>
              <w:pStyle w:val="StandardText"/>
              <w:rPr>
                <w:lang w:val="de-DE"/>
              </w:rPr>
            </w:pPr>
          </w:p>
        </w:tc>
        <w:tc>
          <w:tcPr>
            <w:tcW w:w="260" w:type="pct"/>
          </w:tcPr>
          <w:p w14:paraId="28066380" w14:textId="77777777" w:rsidR="00FF7799" w:rsidRPr="00E73F6F" w:rsidRDefault="00FF7799" w:rsidP="00177021">
            <w:pPr>
              <w:pStyle w:val="StandardText"/>
              <w:rPr>
                <w:lang w:val="de-DE"/>
              </w:rPr>
            </w:pPr>
          </w:p>
        </w:tc>
        <w:tc>
          <w:tcPr>
            <w:tcW w:w="260" w:type="pct"/>
          </w:tcPr>
          <w:p w14:paraId="1823F0BB" w14:textId="77777777" w:rsidR="00FF7799" w:rsidRPr="00E73F6F" w:rsidRDefault="00FF7799" w:rsidP="00177021">
            <w:pPr>
              <w:pStyle w:val="StandardText"/>
              <w:rPr>
                <w:lang w:val="de-DE"/>
              </w:rPr>
            </w:pPr>
          </w:p>
        </w:tc>
        <w:tc>
          <w:tcPr>
            <w:tcW w:w="260" w:type="pct"/>
          </w:tcPr>
          <w:p w14:paraId="35D6F77F" w14:textId="77777777" w:rsidR="00FF7799" w:rsidRPr="00E73F6F" w:rsidRDefault="00FF7799" w:rsidP="00177021">
            <w:pPr>
              <w:pStyle w:val="StandardText"/>
              <w:rPr>
                <w:lang w:val="de-DE"/>
              </w:rPr>
            </w:pPr>
          </w:p>
        </w:tc>
        <w:tc>
          <w:tcPr>
            <w:tcW w:w="260" w:type="pct"/>
          </w:tcPr>
          <w:p w14:paraId="12E19A82" w14:textId="77777777" w:rsidR="00FF7799" w:rsidRPr="00E73F6F" w:rsidRDefault="00FF7799" w:rsidP="00177021">
            <w:pPr>
              <w:pStyle w:val="StandardText"/>
              <w:rPr>
                <w:lang w:val="de-DE"/>
              </w:rPr>
            </w:pPr>
          </w:p>
        </w:tc>
        <w:tc>
          <w:tcPr>
            <w:tcW w:w="260" w:type="pct"/>
          </w:tcPr>
          <w:p w14:paraId="73F118C2" w14:textId="77777777" w:rsidR="00FF7799" w:rsidRPr="00E73F6F" w:rsidRDefault="00FF7799" w:rsidP="00177021">
            <w:pPr>
              <w:pStyle w:val="StandardText"/>
              <w:rPr>
                <w:lang w:val="de-DE"/>
              </w:rPr>
            </w:pPr>
          </w:p>
        </w:tc>
        <w:tc>
          <w:tcPr>
            <w:tcW w:w="258" w:type="pct"/>
          </w:tcPr>
          <w:p w14:paraId="034FB8C6" w14:textId="77777777" w:rsidR="00FF7799" w:rsidRPr="00E73F6F" w:rsidRDefault="00FF7799" w:rsidP="00177021">
            <w:pPr>
              <w:pStyle w:val="StandardText"/>
              <w:rPr>
                <w:lang w:val="de-DE"/>
              </w:rPr>
            </w:pPr>
          </w:p>
        </w:tc>
      </w:tr>
      <w:tr w:rsidR="00FF7799" w:rsidRPr="00E73F6F" w14:paraId="38CE7C00" w14:textId="77777777" w:rsidTr="00B063A8">
        <w:trPr>
          <w:trHeight w:val="294"/>
          <w:tblHeader/>
        </w:trPr>
        <w:tc>
          <w:tcPr>
            <w:tcW w:w="1879" w:type="pct"/>
            <w:shd w:val="clear" w:color="auto" w:fill="FFF2CC" w:themeFill="accent4" w:themeFillTint="33"/>
          </w:tcPr>
          <w:p w14:paraId="023249A1" w14:textId="77777777" w:rsidR="00FF7799" w:rsidRPr="00E73F6F" w:rsidRDefault="00FF7799" w:rsidP="00177021">
            <w:pPr>
              <w:pStyle w:val="StandardText"/>
              <w:jc w:val="left"/>
              <w:rPr>
                <w:lang w:val="de-DE"/>
              </w:rPr>
            </w:pPr>
            <w:r w:rsidRPr="00E73F6F">
              <w:rPr>
                <w:spacing w:val="-2"/>
                <w:lang w:val="de-DE"/>
              </w:rPr>
              <w:t>Human-Kapital</w:t>
            </w:r>
          </w:p>
        </w:tc>
        <w:tc>
          <w:tcPr>
            <w:tcW w:w="260" w:type="pct"/>
          </w:tcPr>
          <w:p w14:paraId="5E3F578A" w14:textId="77777777" w:rsidR="00FF7799" w:rsidRPr="00E73F6F" w:rsidRDefault="00FF7799" w:rsidP="00177021">
            <w:pPr>
              <w:pStyle w:val="StandardText"/>
              <w:rPr>
                <w:lang w:val="de-DE"/>
              </w:rPr>
            </w:pPr>
          </w:p>
        </w:tc>
        <w:tc>
          <w:tcPr>
            <w:tcW w:w="260" w:type="pct"/>
          </w:tcPr>
          <w:p w14:paraId="3F0E2FDD" w14:textId="77777777" w:rsidR="00FF7799" w:rsidRPr="00E73F6F" w:rsidRDefault="00FF7799" w:rsidP="00177021">
            <w:pPr>
              <w:pStyle w:val="StandardText"/>
              <w:rPr>
                <w:lang w:val="de-DE"/>
              </w:rPr>
            </w:pPr>
          </w:p>
        </w:tc>
        <w:tc>
          <w:tcPr>
            <w:tcW w:w="263" w:type="pct"/>
          </w:tcPr>
          <w:p w14:paraId="1E4EFCE4" w14:textId="77777777" w:rsidR="00FF7799" w:rsidRPr="00E73F6F" w:rsidRDefault="00FF7799" w:rsidP="00177021">
            <w:pPr>
              <w:pStyle w:val="StandardText"/>
              <w:rPr>
                <w:lang w:val="de-DE"/>
              </w:rPr>
            </w:pPr>
          </w:p>
        </w:tc>
        <w:tc>
          <w:tcPr>
            <w:tcW w:w="260" w:type="pct"/>
          </w:tcPr>
          <w:p w14:paraId="574874DE" w14:textId="77777777" w:rsidR="00FF7799" w:rsidRPr="00E73F6F" w:rsidRDefault="00FF7799" w:rsidP="00177021">
            <w:pPr>
              <w:pStyle w:val="StandardText"/>
              <w:rPr>
                <w:lang w:val="de-DE"/>
              </w:rPr>
            </w:pPr>
          </w:p>
        </w:tc>
        <w:tc>
          <w:tcPr>
            <w:tcW w:w="260" w:type="pct"/>
          </w:tcPr>
          <w:p w14:paraId="11B851C7" w14:textId="77777777" w:rsidR="00FF7799" w:rsidRPr="00E73F6F" w:rsidRDefault="00FF7799" w:rsidP="00177021">
            <w:pPr>
              <w:pStyle w:val="StandardText"/>
              <w:rPr>
                <w:lang w:val="de-DE"/>
              </w:rPr>
            </w:pPr>
          </w:p>
        </w:tc>
        <w:tc>
          <w:tcPr>
            <w:tcW w:w="260" w:type="pct"/>
          </w:tcPr>
          <w:p w14:paraId="6725ECB3" w14:textId="77777777" w:rsidR="00FF7799" w:rsidRPr="00E73F6F" w:rsidRDefault="00FF7799" w:rsidP="00177021">
            <w:pPr>
              <w:pStyle w:val="StandardText"/>
              <w:rPr>
                <w:lang w:val="de-DE"/>
              </w:rPr>
            </w:pPr>
          </w:p>
        </w:tc>
        <w:tc>
          <w:tcPr>
            <w:tcW w:w="260" w:type="pct"/>
          </w:tcPr>
          <w:p w14:paraId="34F66BB7" w14:textId="77777777" w:rsidR="00FF7799" w:rsidRPr="00E73F6F" w:rsidRDefault="00FF7799" w:rsidP="00177021">
            <w:pPr>
              <w:pStyle w:val="StandardText"/>
              <w:rPr>
                <w:lang w:val="de-DE"/>
              </w:rPr>
            </w:pPr>
          </w:p>
        </w:tc>
        <w:tc>
          <w:tcPr>
            <w:tcW w:w="260" w:type="pct"/>
          </w:tcPr>
          <w:p w14:paraId="6C8F1967" w14:textId="77777777" w:rsidR="00FF7799" w:rsidRPr="00E73F6F" w:rsidRDefault="00FF7799" w:rsidP="00177021">
            <w:pPr>
              <w:pStyle w:val="StandardText"/>
              <w:rPr>
                <w:lang w:val="de-DE"/>
              </w:rPr>
            </w:pPr>
          </w:p>
        </w:tc>
        <w:tc>
          <w:tcPr>
            <w:tcW w:w="260" w:type="pct"/>
          </w:tcPr>
          <w:p w14:paraId="48CE8106" w14:textId="77777777" w:rsidR="00FF7799" w:rsidRPr="00E73F6F" w:rsidRDefault="00FF7799" w:rsidP="00177021">
            <w:pPr>
              <w:pStyle w:val="StandardText"/>
              <w:rPr>
                <w:lang w:val="de-DE"/>
              </w:rPr>
            </w:pPr>
          </w:p>
        </w:tc>
        <w:tc>
          <w:tcPr>
            <w:tcW w:w="260" w:type="pct"/>
          </w:tcPr>
          <w:p w14:paraId="35389FB8" w14:textId="77777777" w:rsidR="00FF7799" w:rsidRPr="00E73F6F" w:rsidRDefault="00FF7799" w:rsidP="00177021">
            <w:pPr>
              <w:pStyle w:val="StandardText"/>
              <w:rPr>
                <w:lang w:val="de-DE"/>
              </w:rPr>
            </w:pPr>
          </w:p>
        </w:tc>
        <w:tc>
          <w:tcPr>
            <w:tcW w:w="260" w:type="pct"/>
          </w:tcPr>
          <w:p w14:paraId="585415D5" w14:textId="77777777" w:rsidR="00FF7799" w:rsidRPr="00E73F6F" w:rsidRDefault="00FF7799" w:rsidP="00177021">
            <w:pPr>
              <w:pStyle w:val="StandardText"/>
              <w:rPr>
                <w:lang w:val="de-DE"/>
              </w:rPr>
            </w:pPr>
          </w:p>
        </w:tc>
        <w:tc>
          <w:tcPr>
            <w:tcW w:w="258" w:type="pct"/>
          </w:tcPr>
          <w:p w14:paraId="2CD66ADD" w14:textId="77777777" w:rsidR="00FF7799" w:rsidRPr="00E73F6F" w:rsidRDefault="00FF7799" w:rsidP="00177021">
            <w:pPr>
              <w:pStyle w:val="StandardText"/>
              <w:rPr>
                <w:lang w:val="de-DE"/>
              </w:rPr>
            </w:pPr>
          </w:p>
        </w:tc>
      </w:tr>
    </w:tbl>
    <w:p w14:paraId="6477CC10" w14:textId="77777777" w:rsidR="00FF7799" w:rsidRPr="00E73F6F" w:rsidRDefault="00FF7799" w:rsidP="00862DBA">
      <w:pPr>
        <w:jc w:val="both"/>
        <w:rPr>
          <w:i/>
          <w:sz w:val="24"/>
          <w:szCs w:val="24"/>
        </w:rPr>
      </w:pPr>
    </w:p>
    <w:p w14:paraId="62DC6743" w14:textId="77777777" w:rsidR="00FF7799" w:rsidRPr="00E73F6F" w:rsidRDefault="00FF7799" w:rsidP="00B417A5">
      <w:pPr>
        <w:pStyle w:val="StandardText"/>
      </w:pPr>
      <w:r w:rsidRPr="00E73F6F">
        <w:t>In</w:t>
      </w:r>
      <w:r w:rsidRPr="00E73F6F">
        <w:rPr>
          <w:spacing w:val="-1"/>
        </w:rPr>
        <w:t xml:space="preserve"> </w:t>
      </w:r>
      <w:r w:rsidRPr="00E73F6F">
        <w:t>dieser Matrix sind jedoch ausschließlich übergeordnete Entscheidungskriterien und diese auch lediglich auszugsweise berücksichtigt. Der „wahre“ Komplexitätsgrad realer Entscheidungen lässt sich nur ermessen, wenn man, wie dies in Tab. 2 beispielhaft für das Kriterium „Risiken“ geschieht, die Zeilen und Spalten der Entscheidungsmatrix differenzierter betrachtet.</w:t>
      </w:r>
    </w:p>
    <w:p w14:paraId="3C72734B" w14:textId="77777777" w:rsidR="00FF7799" w:rsidRPr="00E73F6F" w:rsidRDefault="00FF7799" w:rsidP="00B417A5">
      <w:pPr>
        <w:pStyle w:val="StandardText"/>
      </w:pPr>
    </w:p>
    <w:p w14:paraId="0DBDEB0D" w14:textId="77777777" w:rsidR="00FF7799" w:rsidRPr="007D6CC1" w:rsidRDefault="00FF7799" w:rsidP="00177021">
      <w:pPr>
        <w:pStyle w:val="BeschriftungTab"/>
        <w:rPr>
          <w:i/>
          <w:iCs/>
        </w:rPr>
      </w:pPr>
      <w:r w:rsidRPr="007D6CC1">
        <w:rPr>
          <w:i/>
          <w:iCs/>
        </w:rPr>
        <w:t>Tab. 2:</w:t>
      </w:r>
      <w:r w:rsidRPr="007D6CC1">
        <w:rPr>
          <w:i/>
          <w:iCs/>
          <w:spacing w:val="-2"/>
        </w:rPr>
        <w:t xml:space="preserve"> </w:t>
      </w:r>
      <w:r w:rsidRPr="007D6CC1">
        <w:rPr>
          <w:i/>
          <w:iCs/>
        </w:rPr>
        <w:t xml:space="preserve">Risiken im </w:t>
      </w:r>
      <w:r w:rsidRPr="007D6CC1">
        <w:rPr>
          <w:i/>
          <w:iCs/>
          <w:spacing w:val="-2"/>
        </w:rPr>
        <w:t>Auslandsgeschäft</w:t>
      </w:r>
    </w:p>
    <w:tbl>
      <w:tblPr>
        <w:tblStyle w:val="TableNormal"/>
        <w:tblW w:w="0" w:type="auto"/>
        <w:tblLayout w:type="fixed"/>
        <w:tblLook w:val="01E0" w:firstRow="1" w:lastRow="1" w:firstColumn="1" w:lastColumn="1" w:noHBand="0" w:noVBand="0"/>
      </w:tblPr>
      <w:tblGrid>
        <w:gridCol w:w="4536"/>
        <w:gridCol w:w="4536"/>
      </w:tblGrid>
      <w:tr w:rsidR="00FF7799" w:rsidRPr="00E73F6F" w14:paraId="3F17F51C" w14:textId="77777777" w:rsidTr="00177021">
        <w:trPr>
          <w:trHeight w:val="522"/>
          <w:tblHeader/>
        </w:trPr>
        <w:tc>
          <w:tcPr>
            <w:tcW w:w="4536" w:type="dxa"/>
            <w:tcBorders>
              <w:top w:val="single" w:sz="4" w:space="0" w:color="000000"/>
              <w:bottom w:val="single" w:sz="4" w:space="0" w:color="000000"/>
            </w:tcBorders>
            <w:shd w:val="clear" w:color="auto" w:fill="FFC000"/>
          </w:tcPr>
          <w:p w14:paraId="49EF0D4A" w14:textId="77777777" w:rsidR="00FF7799" w:rsidRPr="00E73F6F" w:rsidRDefault="00FF7799" w:rsidP="00177021">
            <w:pPr>
              <w:pStyle w:val="StandardText"/>
              <w:spacing w:after="120"/>
              <w:jc w:val="center"/>
              <w:rPr>
                <w:b/>
                <w:lang w:val="de-DE"/>
              </w:rPr>
            </w:pPr>
            <w:r w:rsidRPr="00E73F6F">
              <w:rPr>
                <w:b/>
                <w:lang w:val="de-DE"/>
              </w:rPr>
              <w:t>Risiken</w:t>
            </w:r>
            <w:r w:rsidRPr="00E73F6F">
              <w:rPr>
                <w:b/>
                <w:spacing w:val="-2"/>
                <w:lang w:val="de-DE"/>
              </w:rPr>
              <w:t xml:space="preserve"> </w:t>
            </w:r>
            <w:r w:rsidRPr="00E73F6F">
              <w:rPr>
                <w:b/>
                <w:spacing w:val="-5"/>
                <w:lang w:val="de-DE"/>
              </w:rPr>
              <w:t xml:space="preserve">des </w:t>
            </w:r>
            <w:r w:rsidRPr="00E73F6F">
              <w:rPr>
                <w:b/>
                <w:spacing w:val="-2"/>
                <w:lang w:val="de-DE"/>
              </w:rPr>
              <w:t>nicht-ökonomischen</w:t>
            </w:r>
            <w:r w:rsidRPr="00E73F6F">
              <w:rPr>
                <w:b/>
                <w:spacing w:val="23"/>
                <w:lang w:val="de-DE"/>
              </w:rPr>
              <w:t xml:space="preserve"> </w:t>
            </w:r>
            <w:r w:rsidRPr="00E73F6F">
              <w:rPr>
                <w:b/>
                <w:spacing w:val="-2"/>
                <w:lang w:val="de-DE"/>
              </w:rPr>
              <w:t>Umfelds</w:t>
            </w:r>
          </w:p>
        </w:tc>
        <w:tc>
          <w:tcPr>
            <w:tcW w:w="4536" w:type="dxa"/>
            <w:tcBorders>
              <w:top w:val="single" w:sz="4" w:space="0" w:color="000000"/>
              <w:bottom w:val="single" w:sz="4" w:space="0" w:color="000000"/>
            </w:tcBorders>
            <w:shd w:val="clear" w:color="auto" w:fill="FFC000"/>
          </w:tcPr>
          <w:p w14:paraId="72DDB93B" w14:textId="77777777" w:rsidR="00FF7799" w:rsidRPr="00E73F6F" w:rsidRDefault="00FF7799" w:rsidP="00177021">
            <w:pPr>
              <w:pStyle w:val="StandardText"/>
              <w:spacing w:after="120"/>
              <w:jc w:val="center"/>
              <w:rPr>
                <w:b/>
                <w:lang w:val="de-DE"/>
              </w:rPr>
            </w:pPr>
            <w:r w:rsidRPr="00E73F6F">
              <w:rPr>
                <w:b/>
                <w:spacing w:val="-2"/>
                <w:lang w:val="de-DE"/>
              </w:rPr>
              <w:t>Ökonomische</w:t>
            </w:r>
            <w:r w:rsidRPr="00E73F6F">
              <w:rPr>
                <w:b/>
                <w:spacing w:val="40"/>
                <w:lang w:val="de-DE"/>
              </w:rPr>
              <w:t xml:space="preserve"> </w:t>
            </w:r>
            <w:r w:rsidRPr="00E73F6F">
              <w:rPr>
                <w:b/>
                <w:spacing w:val="-2"/>
                <w:lang w:val="de-DE"/>
              </w:rPr>
              <w:t>Risiken</w:t>
            </w:r>
          </w:p>
        </w:tc>
      </w:tr>
      <w:tr w:rsidR="00FF7799" w:rsidRPr="00E73F6F" w14:paraId="4C89DD01" w14:textId="77777777" w:rsidTr="008412AB">
        <w:trPr>
          <w:trHeight w:val="283"/>
        </w:trPr>
        <w:tc>
          <w:tcPr>
            <w:tcW w:w="4536" w:type="dxa"/>
            <w:tcBorders>
              <w:top w:val="single" w:sz="4" w:space="0" w:color="000000"/>
            </w:tcBorders>
          </w:tcPr>
          <w:p w14:paraId="15230393" w14:textId="77777777" w:rsidR="00FF7799" w:rsidRPr="00E73F6F" w:rsidRDefault="00FF7799" w:rsidP="00177021">
            <w:pPr>
              <w:pStyle w:val="StandardText"/>
              <w:spacing w:after="120"/>
              <w:rPr>
                <w:b/>
                <w:lang w:val="de-DE"/>
              </w:rPr>
            </w:pPr>
            <w:r w:rsidRPr="00E73F6F">
              <w:rPr>
                <w:b/>
                <w:lang w:val="de-DE"/>
              </w:rPr>
              <w:t>Politisches</w:t>
            </w:r>
            <w:r w:rsidRPr="00E73F6F">
              <w:rPr>
                <w:b/>
                <w:spacing w:val="-8"/>
                <w:lang w:val="de-DE"/>
              </w:rPr>
              <w:t xml:space="preserve"> </w:t>
            </w:r>
            <w:r w:rsidRPr="00E73F6F">
              <w:rPr>
                <w:b/>
                <w:spacing w:val="-2"/>
                <w:lang w:val="de-DE"/>
              </w:rPr>
              <w:t>Risiko</w:t>
            </w:r>
          </w:p>
        </w:tc>
        <w:tc>
          <w:tcPr>
            <w:tcW w:w="4536" w:type="dxa"/>
            <w:tcBorders>
              <w:top w:val="single" w:sz="4" w:space="0" w:color="000000"/>
            </w:tcBorders>
          </w:tcPr>
          <w:p w14:paraId="7B4CCE0E" w14:textId="77777777" w:rsidR="00FF7799" w:rsidRPr="00E73F6F" w:rsidRDefault="00FF7799" w:rsidP="00177021">
            <w:pPr>
              <w:pStyle w:val="StandardText"/>
              <w:spacing w:after="120"/>
              <w:rPr>
                <w:b/>
                <w:lang w:val="de-DE"/>
              </w:rPr>
            </w:pPr>
            <w:r w:rsidRPr="00E73F6F">
              <w:rPr>
                <w:b/>
                <w:spacing w:val="-2"/>
                <w:lang w:val="de-DE"/>
              </w:rPr>
              <w:t>Makro-ökonomische</w:t>
            </w:r>
            <w:r w:rsidRPr="00E73F6F">
              <w:rPr>
                <w:b/>
                <w:spacing w:val="21"/>
                <w:lang w:val="de-DE"/>
              </w:rPr>
              <w:t xml:space="preserve"> </w:t>
            </w:r>
            <w:r w:rsidRPr="00E73F6F">
              <w:rPr>
                <w:b/>
                <w:spacing w:val="-2"/>
                <w:lang w:val="de-DE"/>
              </w:rPr>
              <w:t>Risiken</w:t>
            </w:r>
          </w:p>
        </w:tc>
      </w:tr>
      <w:tr w:rsidR="00FF7799" w:rsidRPr="00E73F6F" w14:paraId="79C8A3B0" w14:textId="77777777" w:rsidTr="008412AB">
        <w:trPr>
          <w:trHeight w:val="1120"/>
        </w:trPr>
        <w:tc>
          <w:tcPr>
            <w:tcW w:w="4536" w:type="dxa"/>
            <w:tcBorders>
              <w:bottom w:val="single" w:sz="4" w:space="0" w:color="000000"/>
            </w:tcBorders>
          </w:tcPr>
          <w:p w14:paraId="5FF05B2F" w14:textId="77777777" w:rsidR="00FF7799" w:rsidRPr="00E73F6F" w:rsidRDefault="00FF7799" w:rsidP="0097093C">
            <w:pPr>
              <w:pStyle w:val="StandardTextAufzhlung"/>
              <w:ind w:left="426"/>
              <w:jc w:val="left"/>
              <w:rPr>
                <w:lang w:val="de-DE"/>
              </w:rPr>
            </w:pPr>
            <w:r w:rsidRPr="00E73F6F">
              <w:rPr>
                <w:lang w:val="de-DE"/>
              </w:rPr>
              <w:t>Aufruhr,</w:t>
            </w:r>
            <w:r w:rsidRPr="00E73F6F">
              <w:rPr>
                <w:spacing w:val="-8"/>
                <w:lang w:val="de-DE"/>
              </w:rPr>
              <w:t xml:space="preserve"> </w:t>
            </w:r>
            <w:r w:rsidRPr="00E73F6F">
              <w:rPr>
                <w:lang w:val="de-DE"/>
              </w:rPr>
              <w:t>soziale</w:t>
            </w:r>
            <w:r w:rsidRPr="00E73F6F">
              <w:rPr>
                <w:spacing w:val="-9"/>
                <w:lang w:val="de-DE"/>
              </w:rPr>
              <w:t xml:space="preserve"> </w:t>
            </w:r>
            <w:r w:rsidRPr="00E73F6F">
              <w:rPr>
                <w:lang w:val="de-DE"/>
              </w:rPr>
              <w:t>Konflikte,</w:t>
            </w:r>
            <w:r w:rsidRPr="00E73F6F">
              <w:rPr>
                <w:spacing w:val="-9"/>
                <w:lang w:val="de-DE"/>
              </w:rPr>
              <w:t xml:space="preserve"> </w:t>
            </w:r>
            <w:r w:rsidRPr="00E73F6F">
              <w:rPr>
                <w:spacing w:val="-4"/>
                <w:lang w:val="de-DE"/>
              </w:rPr>
              <w:t>Krieg</w:t>
            </w:r>
          </w:p>
          <w:p w14:paraId="22E70287" w14:textId="77777777" w:rsidR="00FF7799" w:rsidRPr="00E73F6F" w:rsidRDefault="00FF7799" w:rsidP="0097093C">
            <w:pPr>
              <w:pStyle w:val="StandardTextAufzhlung"/>
              <w:ind w:left="426"/>
              <w:rPr>
                <w:lang w:val="de-DE"/>
              </w:rPr>
            </w:pPr>
            <w:r w:rsidRPr="00E73F6F">
              <w:rPr>
                <w:lang w:val="de-DE"/>
              </w:rPr>
              <w:t>Beschlagnahme</w:t>
            </w:r>
            <w:r w:rsidRPr="00E73F6F">
              <w:rPr>
                <w:spacing w:val="-10"/>
                <w:lang w:val="de-DE"/>
              </w:rPr>
              <w:t xml:space="preserve"> </w:t>
            </w:r>
            <w:r w:rsidRPr="00E73F6F">
              <w:rPr>
                <w:lang w:val="de-DE"/>
              </w:rPr>
              <w:t>der</w:t>
            </w:r>
            <w:r w:rsidRPr="00E73F6F">
              <w:rPr>
                <w:spacing w:val="-6"/>
                <w:lang w:val="de-DE"/>
              </w:rPr>
              <w:t xml:space="preserve"> </w:t>
            </w:r>
            <w:r w:rsidRPr="00E73F6F">
              <w:rPr>
                <w:spacing w:val="-4"/>
                <w:lang w:val="de-DE"/>
              </w:rPr>
              <w:t>Ware</w:t>
            </w:r>
          </w:p>
          <w:p w14:paraId="1358B077" w14:textId="77777777" w:rsidR="00FF7799" w:rsidRPr="00E73F6F" w:rsidRDefault="00FF7799" w:rsidP="0097093C">
            <w:pPr>
              <w:pStyle w:val="StandardTextAufzhlung"/>
              <w:ind w:left="426"/>
              <w:jc w:val="left"/>
              <w:rPr>
                <w:lang w:val="de-DE"/>
              </w:rPr>
            </w:pPr>
            <w:r w:rsidRPr="00E73F6F">
              <w:rPr>
                <w:lang w:val="de-DE"/>
              </w:rPr>
              <w:t>Politisch motivierte Eingriffe in den</w:t>
            </w:r>
            <w:r w:rsidRPr="00E73F6F">
              <w:rPr>
                <w:spacing w:val="40"/>
                <w:lang w:val="de-DE"/>
              </w:rPr>
              <w:t xml:space="preserve"> </w:t>
            </w:r>
            <w:r w:rsidRPr="00E73F6F">
              <w:rPr>
                <w:lang w:val="de-DE"/>
              </w:rPr>
              <w:t>Außenhandel</w:t>
            </w:r>
            <w:r w:rsidRPr="00E73F6F">
              <w:rPr>
                <w:spacing w:val="-10"/>
                <w:lang w:val="de-DE"/>
              </w:rPr>
              <w:t xml:space="preserve"> </w:t>
            </w:r>
            <w:r w:rsidRPr="00E73F6F">
              <w:rPr>
                <w:lang w:val="de-DE"/>
              </w:rPr>
              <w:t>(Protektionismus,</w:t>
            </w:r>
            <w:r w:rsidRPr="00E73F6F">
              <w:rPr>
                <w:spacing w:val="-10"/>
                <w:lang w:val="de-DE"/>
              </w:rPr>
              <w:t xml:space="preserve"> </w:t>
            </w:r>
            <w:r w:rsidRPr="00E73F6F">
              <w:rPr>
                <w:lang w:val="de-DE"/>
              </w:rPr>
              <w:t>tarifäre</w:t>
            </w:r>
            <w:r w:rsidRPr="00E73F6F">
              <w:rPr>
                <w:spacing w:val="40"/>
                <w:lang w:val="de-DE"/>
              </w:rPr>
              <w:t xml:space="preserve"> </w:t>
            </w:r>
            <w:r w:rsidRPr="00E73F6F">
              <w:rPr>
                <w:lang w:val="de-DE"/>
              </w:rPr>
              <w:t>und nicht-tarifäre Handelshemmnisse)</w:t>
            </w:r>
          </w:p>
        </w:tc>
        <w:tc>
          <w:tcPr>
            <w:tcW w:w="4536" w:type="dxa"/>
            <w:tcBorders>
              <w:bottom w:val="single" w:sz="4" w:space="0" w:color="000000"/>
            </w:tcBorders>
          </w:tcPr>
          <w:p w14:paraId="4C767A47" w14:textId="77777777" w:rsidR="00FF7799" w:rsidRPr="00E73F6F" w:rsidRDefault="00FF7799" w:rsidP="0097093C">
            <w:pPr>
              <w:pStyle w:val="StandardTextAufzhlung"/>
              <w:ind w:left="426"/>
              <w:rPr>
                <w:lang w:val="de-DE"/>
              </w:rPr>
            </w:pPr>
            <w:r w:rsidRPr="00E73F6F">
              <w:rPr>
                <w:spacing w:val="-2"/>
                <w:lang w:val="de-DE"/>
              </w:rPr>
              <w:t>Konjunkturelles</w:t>
            </w:r>
            <w:r w:rsidRPr="00E73F6F">
              <w:rPr>
                <w:spacing w:val="17"/>
                <w:lang w:val="de-DE"/>
              </w:rPr>
              <w:t xml:space="preserve"> </w:t>
            </w:r>
            <w:r w:rsidRPr="00E73F6F">
              <w:rPr>
                <w:spacing w:val="-2"/>
                <w:lang w:val="de-DE"/>
              </w:rPr>
              <w:t>Risiko</w:t>
            </w:r>
          </w:p>
          <w:p w14:paraId="783DE6B5" w14:textId="77777777" w:rsidR="00FF7799" w:rsidRPr="00E73F6F" w:rsidRDefault="00FF7799" w:rsidP="0097093C">
            <w:pPr>
              <w:pStyle w:val="StandardTextAufzhlung"/>
              <w:ind w:left="426"/>
              <w:jc w:val="left"/>
              <w:rPr>
                <w:lang w:val="de-DE"/>
              </w:rPr>
            </w:pPr>
            <w:r w:rsidRPr="00E73F6F">
              <w:rPr>
                <w:lang w:val="de-DE"/>
              </w:rPr>
              <w:t>Währungsrisiko</w:t>
            </w:r>
            <w:r w:rsidRPr="00E73F6F">
              <w:rPr>
                <w:spacing w:val="-10"/>
                <w:lang w:val="de-DE"/>
              </w:rPr>
              <w:t xml:space="preserve"> </w:t>
            </w:r>
            <w:r w:rsidRPr="00E73F6F">
              <w:rPr>
                <w:lang w:val="de-DE"/>
              </w:rPr>
              <w:t>(Wechselkursrisiko,</w:t>
            </w:r>
            <w:r w:rsidRPr="00E73F6F">
              <w:rPr>
                <w:spacing w:val="40"/>
                <w:lang w:val="de-DE"/>
              </w:rPr>
              <w:t xml:space="preserve"> </w:t>
            </w:r>
            <w:r w:rsidRPr="00E73F6F">
              <w:rPr>
                <w:lang w:val="de-DE"/>
              </w:rPr>
              <w:t>Konvertierungs-</w:t>
            </w:r>
            <w:r w:rsidRPr="00E73F6F">
              <w:rPr>
                <w:spacing w:val="-10"/>
                <w:lang w:val="de-DE"/>
              </w:rPr>
              <w:t xml:space="preserve"> </w:t>
            </w:r>
            <w:r w:rsidRPr="00E73F6F">
              <w:rPr>
                <w:lang w:val="de-DE"/>
              </w:rPr>
              <w:t>und</w:t>
            </w:r>
            <w:r w:rsidRPr="00E73F6F">
              <w:rPr>
                <w:spacing w:val="-8"/>
                <w:lang w:val="de-DE"/>
              </w:rPr>
              <w:t xml:space="preserve"> </w:t>
            </w:r>
            <w:r w:rsidRPr="00E73F6F">
              <w:rPr>
                <w:lang w:val="de-DE"/>
              </w:rPr>
              <w:t>Transferrisiko)</w:t>
            </w:r>
          </w:p>
        </w:tc>
      </w:tr>
      <w:tr w:rsidR="00FF7799" w:rsidRPr="00E73F6F" w14:paraId="74A7D141" w14:textId="77777777" w:rsidTr="008412AB">
        <w:trPr>
          <w:trHeight w:val="299"/>
        </w:trPr>
        <w:tc>
          <w:tcPr>
            <w:tcW w:w="4536" w:type="dxa"/>
            <w:tcBorders>
              <w:top w:val="single" w:sz="4" w:space="0" w:color="000000"/>
            </w:tcBorders>
          </w:tcPr>
          <w:p w14:paraId="213C938C" w14:textId="77777777" w:rsidR="00FF7799" w:rsidRPr="00E73F6F" w:rsidRDefault="00FF7799" w:rsidP="0097093C">
            <w:pPr>
              <w:pStyle w:val="StandardText"/>
              <w:spacing w:after="120"/>
              <w:ind w:left="426"/>
              <w:rPr>
                <w:b/>
                <w:lang w:val="de-DE"/>
              </w:rPr>
            </w:pPr>
            <w:r w:rsidRPr="00E73F6F">
              <w:rPr>
                <w:b/>
                <w:lang w:val="de-DE"/>
              </w:rPr>
              <w:t>Administratives</w:t>
            </w:r>
            <w:r w:rsidRPr="00E73F6F">
              <w:rPr>
                <w:b/>
                <w:spacing w:val="-10"/>
                <w:lang w:val="de-DE"/>
              </w:rPr>
              <w:t xml:space="preserve"> </w:t>
            </w:r>
            <w:r w:rsidRPr="00E73F6F">
              <w:rPr>
                <w:b/>
                <w:spacing w:val="-2"/>
                <w:lang w:val="de-DE"/>
              </w:rPr>
              <w:t>Risiko</w:t>
            </w:r>
          </w:p>
        </w:tc>
        <w:tc>
          <w:tcPr>
            <w:tcW w:w="4536" w:type="dxa"/>
            <w:tcBorders>
              <w:top w:val="single" w:sz="4" w:space="0" w:color="000000"/>
            </w:tcBorders>
          </w:tcPr>
          <w:p w14:paraId="2BF51809" w14:textId="77777777" w:rsidR="00FF7799" w:rsidRPr="00E73F6F" w:rsidRDefault="00FF7799" w:rsidP="0097093C">
            <w:pPr>
              <w:pStyle w:val="StandardText"/>
              <w:spacing w:after="120"/>
              <w:ind w:left="426"/>
              <w:rPr>
                <w:b/>
                <w:lang w:val="de-DE"/>
              </w:rPr>
            </w:pPr>
            <w:r w:rsidRPr="00E73F6F">
              <w:rPr>
                <w:b/>
                <w:spacing w:val="-2"/>
                <w:lang w:val="de-DE"/>
              </w:rPr>
              <w:t>Mikro-ökonomische</w:t>
            </w:r>
            <w:r w:rsidRPr="00E73F6F">
              <w:rPr>
                <w:b/>
                <w:spacing w:val="21"/>
                <w:lang w:val="de-DE"/>
              </w:rPr>
              <w:t xml:space="preserve"> </w:t>
            </w:r>
            <w:r w:rsidRPr="00E73F6F">
              <w:rPr>
                <w:b/>
                <w:spacing w:val="-2"/>
                <w:lang w:val="de-DE"/>
              </w:rPr>
              <w:t>Risiken</w:t>
            </w:r>
          </w:p>
        </w:tc>
      </w:tr>
      <w:tr w:rsidR="00FF7799" w:rsidRPr="00E73F6F" w14:paraId="55D39CE6" w14:textId="77777777" w:rsidTr="008412AB">
        <w:trPr>
          <w:trHeight w:val="1517"/>
        </w:trPr>
        <w:tc>
          <w:tcPr>
            <w:tcW w:w="4536" w:type="dxa"/>
            <w:tcBorders>
              <w:bottom w:val="single" w:sz="4" w:space="0" w:color="000000"/>
            </w:tcBorders>
          </w:tcPr>
          <w:p w14:paraId="6513AF76" w14:textId="77777777" w:rsidR="00FF7799" w:rsidRPr="00E73F6F" w:rsidRDefault="00FF7799" w:rsidP="0097093C">
            <w:pPr>
              <w:pStyle w:val="StandardTextAufzhlung"/>
              <w:ind w:left="426"/>
              <w:rPr>
                <w:lang w:val="de-DE"/>
              </w:rPr>
            </w:pPr>
            <w:r w:rsidRPr="00E73F6F">
              <w:rPr>
                <w:lang w:val="de-DE"/>
              </w:rPr>
              <w:t>Bürokratie</w:t>
            </w:r>
          </w:p>
          <w:p w14:paraId="3F3F1DA8" w14:textId="77777777" w:rsidR="00FF7799" w:rsidRPr="00E73F6F" w:rsidRDefault="00FF7799" w:rsidP="0097093C">
            <w:pPr>
              <w:pStyle w:val="StandardTextAufzhlung"/>
              <w:ind w:left="426"/>
              <w:jc w:val="left"/>
              <w:rPr>
                <w:lang w:val="de-DE"/>
              </w:rPr>
            </w:pPr>
            <w:r w:rsidRPr="00E73F6F">
              <w:rPr>
                <w:lang w:val="de-DE"/>
              </w:rPr>
              <w:t>Unfähigkeit</w:t>
            </w:r>
            <w:r w:rsidRPr="00E73F6F">
              <w:rPr>
                <w:spacing w:val="-10"/>
                <w:lang w:val="de-DE"/>
              </w:rPr>
              <w:t xml:space="preserve"> </w:t>
            </w:r>
            <w:r w:rsidRPr="00E73F6F">
              <w:rPr>
                <w:lang w:val="de-DE"/>
              </w:rPr>
              <w:t>der</w:t>
            </w:r>
            <w:r w:rsidRPr="00E73F6F">
              <w:rPr>
                <w:spacing w:val="-10"/>
                <w:lang w:val="de-DE"/>
              </w:rPr>
              <w:t xml:space="preserve"> </w:t>
            </w:r>
            <w:r w:rsidRPr="00E73F6F">
              <w:rPr>
                <w:lang w:val="de-DE"/>
              </w:rPr>
              <w:t>öffentlichen</w:t>
            </w:r>
            <w:r w:rsidRPr="00E73F6F">
              <w:rPr>
                <w:spacing w:val="40"/>
                <w:lang w:val="de-DE"/>
              </w:rPr>
              <w:t xml:space="preserve"> </w:t>
            </w:r>
            <w:r w:rsidRPr="00E73F6F">
              <w:rPr>
                <w:lang w:val="de-DE"/>
              </w:rPr>
              <w:t>Verwaltungen</w:t>
            </w:r>
          </w:p>
        </w:tc>
        <w:tc>
          <w:tcPr>
            <w:tcW w:w="4536" w:type="dxa"/>
            <w:tcBorders>
              <w:bottom w:val="single" w:sz="4" w:space="0" w:color="000000"/>
            </w:tcBorders>
          </w:tcPr>
          <w:p w14:paraId="73617D0F" w14:textId="77777777" w:rsidR="00FF7799" w:rsidRPr="00E73F6F" w:rsidRDefault="00FF7799" w:rsidP="0097093C">
            <w:pPr>
              <w:pStyle w:val="StandardTextAufzhlung"/>
              <w:ind w:left="426"/>
              <w:jc w:val="left"/>
              <w:rPr>
                <w:lang w:val="de-DE"/>
              </w:rPr>
            </w:pPr>
            <w:r w:rsidRPr="00E73F6F">
              <w:rPr>
                <w:lang w:val="de-DE"/>
              </w:rPr>
              <w:t>Markteintrittsrisiko</w:t>
            </w:r>
            <w:r w:rsidRPr="00E73F6F">
              <w:rPr>
                <w:spacing w:val="-10"/>
                <w:lang w:val="de-DE"/>
              </w:rPr>
              <w:t xml:space="preserve"> </w:t>
            </w:r>
            <w:r w:rsidRPr="00E73F6F">
              <w:rPr>
                <w:lang w:val="de-DE"/>
              </w:rPr>
              <w:t>(Bedarfsrisiko,</w:t>
            </w:r>
            <w:r w:rsidRPr="00E73F6F">
              <w:rPr>
                <w:spacing w:val="40"/>
                <w:lang w:val="de-DE"/>
              </w:rPr>
              <w:t xml:space="preserve"> </w:t>
            </w:r>
            <w:r w:rsidRPr="00E73F6F">
              <w:rPr>
                <w:lang w:val="de-DE"/>
              </w:rPr>
              <w:t>Wettbewerbsrisiko)</w:t>
            </w:r>
          </w:p>
          <w:p w14:paraId="7E07B024" w14:textId="77777777" w:rsidR="00FF7799" w:rsidRPr="00E73F6F" w:rsidRDefault="00FF7799" w:rsidP="0097093C">
            <w:pPr>
              <w:pStyle w:val="StandardTextAufzhlung"/>
              <w:ind w:left="426"/>
              <w:jc w:val="left"/>
              <w:rPr>
                <w:lang w:val="de-DE"/>
              </w:rPr>
            </w:pPr>
            <w:r w:rsidRPr="00E73F6F">
              <w:rPr>
                <w:lang w:val="de-DE"/>
              </w:rPr>
              <w:t>Marktbearbeitungsrisiko</w:t>
            </w:r>
            <w:r w:rsidRPr="00E73F6F">
              <w:rPr>
                <w:spacing w:val="-10"/>
                <w:lang w:val="de-DE"/>
              </w:rPr>
              <w:t xml:space="preserve"> </w:t>
            </w:r>
            <w:r w:rsidRPr="00E73F6F">
              <w:rPr>
                <w:lang w:val="de-DE"/>
              </w:rPr>
              <w:t>(Risiken</w:t>
            </w:r>
            <w:r w:rsidRPr="00E73F6F">
              <w:rPr>
                <w:spacing w:val="-10"/>
                <w:lang w:val="de-DE"/>
              </w:rPr>
              <w:t xml:space="preserve"> </w:t>
            </w:r>
            <w:r w:rsidRPr="00E73F6F">
              <w:rPr>
                <w:lang w:val="de-DE"/>
              </w:rPr>
              <w:t>der</w:t>
            </w:r>
            <w:r w:rsidRPr="00E73F6F">
              <w:rPr>
                <w:spacing w:val="40"/>
                <w:lang w:val="de-DE"/>
              </w:rPr>
              <w:t xml:space="preserve"> </w:t>
            </w:r>
            <w:r w:rsidRPr="00E73F6F">
              <w:rPr>
                <w:lang w:val="de-DE"/>
              </w:rPr>
              <w:t>Produkt-, Preis-, Distributions- und</w:t>
            </w:r>
            <w:r w:rsidRPr="00E73F6F">
              <w:rPr>
                <w:spacing w:val="40"/>
                <w:lang w:val="de-DE"/>
              </w:rPr>
              <w:t xml:space="preserve"> </w:t>
            </w:r>
            <w:r w:rsidRPr="00E73F6F">
              <w:rPr>
                <w:lang w:val="de-DE"/>
              </w:rPr>
              <w:t>Kommunikationspolitik)</w:t>
            </w:r>
          </w:p>
          <w:p w14:paraId="07FD537C" w14:textId="77777777" w:rsidR="00FF7799" w:rsidRPr="00E73F6F" w:rsidRDefault="00FF7799" w:rsidP="0097093C">
            <w:pPr>
              <w:pStyle w:val="StandardTextAufzhlung"/>
              <w:ind w:left="426"/>
              <w:jc w:val="left"/>
              <w:rPr>
                <w:lang w:val="de-DE"/>
              </w:rPr>
            </w:pPr>
            <w:r w:rsidRPr="00E73F6F">
              <w:rPr>
                <w:lang w:val="de-DE"/>
              </w:rPr>
              <w:t>Vertragserfüllungsrisiko</w:t>
            </w:r>
            <w:r w:rsidRPr="00E73F6F">
              <w:rPr>
                <w:spacing w:val="27"/>
                <w:lang w:val="de-DE"/>
              </w:rPr>
              <w:t xml:space="preserve"> </w:t>
            </w:r>
            <w:r w:rsidRPr="00E73F6F">
              <w:rPr>
                <w:lang w:val="de-DE"/>
              </w:rPr>
              <w:t>(Schuldnerrisiko)</w:t>
            </w:r>
          </w:p>
          <w:p w14:paraId="1C788002" w14:textId="77777777" w:rsidR="00FF7799" w:rsidRPr="00E73F6F" w:rsidRDefault="00FF7799" w:rsidP="0097093C">
            <w:pPr>
              <w:pStyle w:val="StandardTextAufzhlung"/>
              <w:ind w:left="426"/>
              <w:jc w:val="left"/>
              <w:rPr>
                <w:lang w:val="de-DE"/>
              </w:rPr>
            </w:pPr>
            <w:r w:rsidRPr="00E73F6F">
              <w:rPr>
                <w:lang w:val="de-DE"/>
              </w:rPr>
              <w:lastRenderedPageBreak/>
              <w:t>Transport-</w:t>
            </w:r>
            <w:r w:rsidRPr="00E73F6F">
              <w:rPr>
                <w:spacing w:val="-7"/>
                <w:lang w:val="de-DE"/>
              </w:rPr>
              <w:t xml:space="preserve"> </w:t>
            </w:r>
            <w:r w:rsidRPr="00E73F6F">
              <w:rPr>
                <w:lang w:val="de-DE"/>
              </w:rPr>
              <w:t>und</w:t>
            </w:r>
            <w:r w:rsidRPr="00E73F6F">
              <w:rPr>
                <w:spacing w:val="-5"/>
                <w:lang w:val="de-DE"/>
              </w:rPr>
              <w:t xml:space="preserve"> </w:t>
            </w:r>
            <w:r w:rsidRPr="00E73F6F">
              <w:rPr>
                <w:lang w:val="de-DE"/>
              </w:rPr>
              <w:t>Lagerrisiko</w:t>
            </w:r>
          </w:p>
        </w:tc>
      </w:tr>
      <w:tr w:rsidR="00FF7799" w:rsidRPr="00E73F6F" w14:paraId="497F5A46" w14:textId="77777777" w:rsidTr="008412AB">
        <w:trPr>
          <w:trHeight w:val="337"/>
        </w:trPr>
        <w:tc>
          <w:tcPr>
            <w:tcW w:w="4536" w:type="dxa"/>
            <w:tcBorders>
              <w:top w:val="single" w:sz="4" w:space="0" w:color="000000"/>
            </w:tcBorders>
          </w:tcPr>
          <w:p w14:paraId="32370B08" w14:textId="77777777" w:rsidR="00FF7799" w:rsidRPr="00E73F6F" w:rsidRDefault="00FF7799" w:rsidP="0097093C">
            <w:pPr>
              <w:pStyle w:val="StandardText"/>
              <w:spacing w:after="120"/>
              <w:ind w:left="426"/>
              <w:jc w:val="center"/>
              <w:rPr>
                <w:b/>
                <w:lang w:val="de-DE"/>
              </w:rPr>
            </w:pPr>
            <w:r w:rsidRPr="00E73F6F">
              <w:rPr>
                <w:b/>
                <w:spacing w:val="-2"/>
                <w:lang w:val="de-DE"/>
              </w:rPr>
              <w:lastRenderedPageBreak/>
              <w:t>Rechtssicherheits-Risiko</w:t>
            </w:r>
          </w:p>
        </w:tc>
        <w:tc>
          <w:tcPr>
            <w:tcW w:w="4536" w:type="dxa"/>
            <w:tcBorders>
              <w:top w:val="single" w:sz="4" w:space="0" w:color="000000"/>
            </w:tcBorders>
          </w:tcPr>
          <w:p w14:paraId="04AF05D4" w14:textId="77777777" w:rsidR="00FF7799" w:rsidRPr="00E73F6F" w:rsidRDefault="00FF7799" w:rsidP="0097093C">
            <w:pPr>
              <w:pStyle w:val="StandardText"/>
              <w:spacing w:after="120"/>
              <w:ind w:left="426"/>
              <w:jc w:val="center"/>
              <w:rPr>
                <w:b/>
                <w:lang w:val="de-DE"/>
              </w:rPr>
            </w:pPr>
            <w:r w:rsidRPr="00E73F6F">
              <w:rPr>
                <w:b/>
                <w:lang w:val="de-DE"/>
              </w:rPr>
              <w:t>Kulturelles</w:t>
            </w:r>
            <w:r w:rsidRPr="00E73F6F">
              <w:rPr>
                <w:b/>
                <w:spacing w:val="-10"/>
                <w:lang w:val="de-DE"/>
              </w:rPr>
              <w:t xml:space="preserve"> </w:t>
            </w:r>
            <w:r w:rsidRPr="00E73F6F">
              <w:rPr>
                <w:b/>
                <w:spacing w:val="-2"/>
                <w:lang w:val="de-DE"/>
              </w:rPr>
              <w:t>Risiko</w:t>
            </w:r>
          </w:p>
        </w:tc>
      </w:tr>
      <w:tr w:rsidR="00FF7799" w:rsidRPr="00E73F6F" w14:paraId="0D95B827" w14:textId="77777777" w:rsidTr="008412AB">
        <w:trPr>
          <w:trHeight w:val="393"/>
        </w:trPr>
        <w:tc>
          <w:tcPr>
            <w:tcW w:w="4536" w:type="dxa"/>
            <w:tcBorders>
              <w:bottom w:val="single" w:sz="4" w:space="0" w:color="000000"/>
            </w:tcBorders>
          </w:tcPr>
          <w:p w14:paraId="35B71B7A" w14:textId="77777777" w:rsidR="00FF7799" w:rsidRPr="00E73F6F" w:rsidRDefault="00FF7799" w:rsidP="0097093C">
            <w:pPr>
              <w:pStyle w:val="StandardTextAufzhlung"/>
              <w:ind w:left="426"/>
              <w:jc w:val="left"/>
              <w:rPr>
                <w:lang w:val="de-DE"/>
              </w:rPr>
            </w:pPr>
            <w:r w:rsidRPr="00E73F6F">
              <w:rPr>
                <w:lang w:val="de-DE"/>
              </w:rPr>
              <w:t>Allgemeine</w:t>
            </w:r>
            <w:r w:rsidRPr="00E73F6F">
              <w:rPr>
                <w:spacing w:val="-10"/>
                <w:lang w:val="de-DE"/>
              </w:rPr>
              <w:t xml:space="preserve"> </w:t>
            </w:r>
            <w:r w:rsidRPr="00E73F6F">
              <w:rPr>
                <w:lang w:val="de-DE"/>
              </w:rPr>
              <w:t>gesetzliche</w:t>
            </w:r>
            <w:r w:rsidRPr="00E73F6F">
              <w:rPr>
                <w:spacing w:val="40"/>
                <w:lang w:val="de-DE"/>
              </w:rPr>
              <w:t xml:space="preserve"> </w:t>
            </w:r>
            <w:r w:rsidRPr="00E73F6F">
              <w:rPr>
                <w:lang w:val="de-DE"/>
              </w:rPr>
              <w:t>Rahmenbedingungen</w:t>
            </w:r>
          </w:p>
          <w:p w14:paraId="4CA5EE50" w14:textId="77777777" w:rsidR="00FF7799" w:rsidRPr="00E73F6F" w:rsidRDefault="00FF7799" w:rsidP="0097093C">
            <w:pPr>
              <w:pStyle w:val="StandardTextAufzhlung"/>
              <w:ind w:left="426"/>
              <w:jc w:val="left"/>
              <w:rPr>
                <w:lang w:val="de-DE"/>
              </w:rPr>
            </w:pPr>
            <w:r w:rsidRPr="00E73F6F">
              <w:rPr>
                <w:lang w:val="de-DE"/>
              </w:rPr>
              <w:t>Durchsetzbarkeit von Verträgen</w:t>
            </w:r>
            <w:r w:rsidRPr="00E73F6F">
              <w:rPr>
                <w:spacing w:val="40"/>
                <w:lang w:val="de-DE"/>
              </w:rPr>
              <w:t xml:space="preserve"> </w:t>
            </w:r>
            <w:r w:rsidRPr="00E73F6F">
              <w:rPr>
                <w:lang w:val="de-DE"/>
              </w:rPr>
              <w:t>(Inkassorisiko,</w:t>
            </w:r>
            <w:r w:rsidRPr="00E73F6F">
              <w:rPr>
                <w:spacing w:val="-10"/>
                <w:lang w:val="de-DE"/>
              </w:rPr>
              <w:t xml:space="preserve"> </w:t>
            </w:r>
            <w:r w:rsidRPr="00E73F6F">
              <w:rPr>
                <w:lang w:val="de-DE"/>
              </w:rPr>
              <w:t>Prozessführungsrisiko-)</w:t>
            </w:r>
          </w:p>
          <w:p w14:paraId="14B4487C" w14:textId="77777777" w:rsidR="00FF7799" w:rsidRPr="00E73F6F" w:rsidRDefault="00FF7799" w:rsidP="0097093C">
            <w:pPr>
              <w:pStyle w:val="StandardTextAufzhlung"/>
              <w:ind w:left="426"/>
              <w:jc w:val="left"/>
              <w:rPr>
                <w:lang w:val="de-DE"/>
              </w:rPr>
            </w:pPr>
            <w:r w:rsidRPr="00E73F6F">
              <w:rPr>
                <w:lang w:val="de-DE"/>
              </w:rPr>
              <w:t>Usancen</w:t>
            </w:r>
            <w:r w:rsidRPr="00E73F6F">
              <w:rPr>
                <w:spacing w:val="-3"/>
                <w:lang w:val="de-DE"/>
              </w:rPr>
              <w:t xml:space="preserve"> </w:t>
            </w:r>
            <w:r w:rsidRPr="00E73F6F">
              <w:rPr>
                <w:lang w:val="de-DE"/>
              </w:rPr>
              <w:t>der</w:t>
            </w:r>
            <w:r w:rsidRPr="00E73F6F">
              <w:rPr>
                <w:spacing w:val="-3"/>
                <w:lang w:val="de-DE"/>
              </w:rPr>
              <w:t xml:space="preserve"> </w:t>
            </w:r>
            <w:r w:rsidRPr="00E73F6F">
              <w:rPr>
                <w:lang w:val="de-DE"/>
              </w:rPr>
              <w:t>Vertragsgestaltung</w:t>
            </w:r>
          </w:p>
        </w:tc>
        <w:tc>
          <w:tcPr>
            <w:tcW w:w="4536" w:type="dxa"/>
            <w:tcBorders>
              <w:bottom w:val="single" w:sz="4" w:space="0" w:color="000000"/>
            </w:tcBorders>
          </w:tcPr>
          <w:p w14:paraId="634D7338" w14:textId="77777777" w:rsidR="00FF7799" w:rsidRPr="00E73F6F" w:rsidRDefault="00FF7799" w:rsidP="0097093C">
            <w:pPr>
              <w:pStyle w:val="StandardTextAufzhlung"/>
              <w:ind w:left="426"/>
              <w:jc w:val="left"/>
              <w:rPr>
                <w:lang w:val="de-DE"/>
              </w:rPr>
            </w:pPr>
            <w:r w:rsidRPr="00E73F6F">
              <w:rPr>
                <w:lang w:val="de-DE"/>
              </w:rPr>
              <w:t>Sprache</w:t>
            </w:r>
          </w:p>
          <w:p w14:paraId="2D4A11B2" w14:textId="77777777" w:rsidR="00FF7799" w:rsidRPr="00E73F6F" w:rsidRDefault="00FF7799" w:rsidP="0097093C">
            <w:pPr>
              <w:pStyle w:val="StandardTextAufzhlung"/>
              <w:ind w:left="426"/>
              <w:jc w:val="left"/>
              <w:rPr>
                <w:lang w:val="de-DE"/>
              </w:rPr>
            </w:pPr>
            <w:r w:rsidRPr="00E73F6F">
              <w:rPr>
                <w:lang w:val="de-DE"/>
              </w:rPr>
              <w:t>Lebensart</w:t>
            </w:r>
          </w:p>
        </w:tc>
      </w:tr>
    </w:tbl>
    <w:p w14:paraId="43C66584" w14:textId="77777777" w:rsidR="00FF7799" w:rsidRPr="00E73F6F" w:rsidRDefault="00FF7799" w:rsidP="0097093C">
      <w:pPr>
        <w:ind w:left="426"/>
        <w:rPr>
          <w:i/>
          <w:sz w:val="24"/>
          <w:szCs w:val="24"/>
        </w:rPr>
      </w:pPr>
    </w:p>
    <w:p w14:paraId="2D315F62" w14:textId="77777777" w:rsidR="00FF7799" w:rsidRPr="00E73F6F" w:rsidRDefault="00FF7799" w:rsidP="00862DBA">
      <w:pPr>
        <w:spacing w:before="3"/>
        <w:rPr>
          <w:i/>
          <w:sz w:val="24"/>
          <w:szCs w:val="24"/>
        </w:rPr>
      </w:pP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9062"/>
      </w:tblGrid>
      <w:tr w:rsidR="00FF7799" w:rsidRPr="00B85FE4" w14:paraId="5658EAE4" w14:textId="77777777" w:rsidTr="00B063A8">
        <w:trPr>
          <w:trHeight w:val="1176"/>
        </w:trPr>
        <w:tc>
          <w:tcPr>
            <w:tcW w:w="5000" w:type="pct"/>
            <w:shd w:val="clear" w:color="auto" w:fill="DEEAF6" w:themeFill="accent1" w:themeFillTint="33"/>
            <w:tcMar>
              <w:left w:w="28" w:type="dxa"/>
              <w:right w:w="28" w:type="dxa"/>
            </w:tcMar>
          </w:tcPr>
          <w:p w14:paraId="5A24F1B1" w14:textId="77777777" w:rsidR="00FF7799" w:rsidRPr="00B85FE4" w:rsidRDefault="00FF7799" w:rsidP="00A640DC">
            <w:pPr>
              <w:pStyle w:val="Standardklein"/>
              <w:spacing w:before="120" w:after="120"/>
            </w:pPr>
            <w:r w:rsidRPr="00B85FE4">
              <w:t>„Confronted with the complexity of export pricing, most managers feel overwhelmed.</w:t>
            </w:r>
            <w:r w:rsidRPr="00B85FE4">
              <w:rPr>
                <w:spacing w:val="40"/>
              </w:rPr>
              <w:t xml:space="preserve"> </w:t>
            </w:r>
            <w:r w:rsidRPr="00B85FE4">
              <w:t>Moreover,</w:t>
            </w:r>
            <w:r w:rsidRPr="00B85FE4">
              <w:rPr>
                <w:spacing w:val="-1"/>
              </w:rPr>
              <w:t xml:space="preserve"> </w:t>
            </w:r>
            <w:r w:rsidRPr="00B85FE4">
              <w:t>they</w:t>
            </w:r>
            <w:r w:rsidRPr="00B85FE4">
              <w:rPr>
                <w:spacing w:val="-1"/>
              </w:rPr>
              <w:t xml:space="preserve"> </w:t>
            </w:r>
            <w:r w:rsidRPr="00B85FE4">
              <w:t>are</w:t>
            </w:r>
            <w:r w:rsidRPr="00B85FE4">
              <w:rPr>
                <w:spacing w:val="-1"/>
              </w:rPr>
              <w:t xml:space="preserve"> </w:t>
            </w:r>
            <w:r w:rsidRPr="00B85FE4">
              <w:t>aware</w:t>
            </w:r>
            <w:r w:rsidRPr="00B85FE4">
              <w:rPr>
                <w:spacing w:val="-1"/>
              </w:rPr>
              <w:t xml:space="preserve"> </w:t>
            </w:r>
            <w:r w:rsidRPr="00B85FE4">
              <w:t>of</w:t>
            </w:r>
            <w:r w:rsidRPr="00B85FE4">
              <w:rPr>
                <w:spacing w:val="-3"/>
              </w:rPr>
              <w:t xml:space="preserve"> </w:t>
            </w:r>
            <w:r w:rsidRPr="00B85FE4">
              <w:t>the</w:t>
            </w:r>
            <w:r w:rsidRPr="00B85FE4">
              <w:rPr>
                <w:spacing w:val="-1"/>
              </w:rPr>
              <w:t xml:space="preserve"> </w:t>
            </w:r>
            <w:r w:rsidRPr="00B85FE4">
              <w:t>powerful</w:t>
            </w:r>
            <w:r w:rsidRPr="00B85FE4">
              <w:rPr>
                <w:spacing w:val="-1"/>
              </w:rPr>
              <w:t xml:space="preserve"> </w:t>
            </w:r>
            <w:r w:rsidRPr="00B85FE4">
              <w:t>impact</w:t>
            </w:r>
            <w:r w:rsidRPr="00B85FE4">
              <w:rPr>
                <w:spacing w:val="-1"/>
              </w:rPr>
              <w:t xml:space="preserve"> </w:t>
            </w:r>
            <w:r w:rsidRPr="00B85FE4">
              <w:t>of pricing</w:t>
            </w:r>
            <w:r w:rsidRPr="00B85FE4">
              <w:rPr>
                <w:spacing w:val="-1"/>
              </w:rPr>
              <w:t xml:space="preserve"> </w:t>
            </w:r>
            <w:r w:rsidRPr="00B85FE4">
              <w:t>decisions</w:t>
            </w:r>
            <w:r w:rsidRPr="00B85FE4">
              <w:rPr>
                <w:spacing w:val="-2"/>
              </w:rPr>
              <w:t xml:space="preserve"> </w:t>
            </w:r>
            <w:r w:rsidRPr="00B85FE4">
              <w:t>on</w:t>
            </w:r>
            <w:r w:rsidRPr="00B85FE4">
              <w:rPr>
                <w:spacing w:val="-1"/>
              </w:rPr>
              <w:t xml:space="preserve"> </w:t>
            </w:r>
            <w:r w:rsidRPr="00B85FE4">
              <w:t>their companies'</w:t>
            </w:r>
            <w:r w:rsidRPr="00B85FE4">
              <w:rPr>
                <w:spacing w:val="40"/>
              </w:rPr>
              <w:t xml:space="preserve"> </w:t>
            </w:r>
            <w:r w:rsidRPr="00B85FE4">
              <w:t>prosperity and growth. Not surprisingly, the few existing empirical studies have pointed</w:t>
            </w:r>
            <w:r w:rsidRPr="00B85FE4">
              <w:rPr>
                <w:spacing w:val="40"/>
              </w:rPr>
              <w:t xml:space="preserve"> </w:t>
            </w:r>
            <w:r w:rsidRPr="00B85FE4">
              <w:t>out that managers judge international pricing to be among the most crucial decisions in</w:t>
            </w:r>
            <w:r w:rsidRPr="00B85FE4">
              <w:rPr>
                <w:spacing w:val="40"/>
              </w:rPr>
              <w:t xml:space="preserve"> </w:t>
            </w:r>
            <w:r w:rsidRPr="00B85FE4">
              <w:t>their business practice. At the same time, however, they admit the lack of a systematic</w:t>
            </w:r>
            <w:r w:rsidRPr="00B85FE4">
              <w:rPr>
                <w:spacing w:val="40"/>
              </w:rPr>
              <w:t xml:space="preserve"> </w:t>
            </w:r>
            <w:r w:rsidRPr="00B85FE4">
              <w:t>approach to these issues, leaving the decisions to intuition and prior experiences.“ Stöttinger</w:t>
            </w:r>
            <w:r w:rsidRPr="00B85FE4">
              <w:rPr>
                <w:spacing w:val="-5"/>
              </w:rPr>
              <w:t xml:space="preserve"> </w:t>
            </w:r>
            <w:r w:rsidRPr="00B85FE4">
              <w:t>(2001,</w:t>
            </w:r>
            <w:r w:rsidRPr="00B85FE4">
              <w:rPr>
                <w:spacing w:val="-3"/>
              </w:rPr>
              <w:t xml:space="preserve"> </w:t>
            </w:r>
            <w:r w:rsidRPr="00B85FE4">
              <w:rPr>
                <w:spacing w:val="-2"/>
              </w:rPr>
              <w:t>S.41)</w:t>
            </w:r>
          </w:p>
        </w:tc>
      </w:tr>
    </w:tbl>
    <w:p w14:paraId="2C3813A2" w14:textId="77777777" w:rsidR="00FF7799" w:rsidRDefault="00FF7799" w:rsidP="00A640DC">
      <w:pPr>
        <w:pStyle w:val="StandardText"/>
      </w:pPr>
    </w:p>
    <w:p w14:paraId="7E55E96B" w14:textId="77777777" w:rsidR="00FF7799" w:rsidRPr="00E73F6F" w:rsidRDefault="00FF7799" w:rsidP="00A640DC">
      <w:pPr>
        <w:pStyle w:val="StandardText"/>
      </w:pPr>
      <w:r w:rsidRPr="00E73F6F">
        <w:t>Grenzüberschreitende Marktbearbeitung ist in hohem Maße komplex (vgl. Backhaus/Voeth 2010, S.18ff.). Weil deshalb Entscheidungen im Allgemeinen und Preisentscheidungen im Besonderen höchst sorgfältig vorbereitet werden müssen, wachsen die Anforderungen an die Fähigkeiten und Fertigkeiten des Managements. Dass im Regelfall mehrere Länder zu bearbeiten bzw. zu beobachten sind, bedeutet eben nicht nur eine proportionale Vervielfachung, sondern eine Potenzierung der Anstrengungen und Schwierigkeiten. Verfolgen schließlich, was keineswegs die Ausnahme ist, die an einer Entscheidung beteiligten Funktionsbereiche oder die davon betroffenen Tochtergesellschaften widersprüchliche</w:t>
      </w:r>
      <w:r w:rsidRPr="00E73F6F">
        <w:rPr>
          <w:spacing w:val="-2"/>
        </w:rPr>
        <w:t xml:space="preserve"> </w:t>
      </w:r>
      <w:r w:rsidRPr="00E73F6F">
        <w:t>Ziele,</w:t>
      </w:r>
      <w:r w:rsidRPr="00E73F6F">
        <w:rPr>
          <w:spacing w:val="1"/>
        </w:rPr>
        <w:t xml:space="preserve"> </w:t>
      </w:r>
      <w:r w:rsidRPr="00E73F6F">
        <w:t>die aufeinander abgestimmt</w:t>
      </w:r>
      <w:r w:rsidRPr="00E73F6F">
        <w:rPr>
          <w:spacing w:val="1"/>
        </w:rPr>
        <w:t xml:space="preserve"> </w:t>
      </w:r>
      <w:r w:rsidRPr="00E73F6F">
        <w:t>werden</w:t>
      </w:r>
      <w:r w:rsidRPr="00E73F6F">
        <w:rPr>
          <w:spacing w:val="1"/>
        </w:rPr>
        <w:t xml:space="preserve"> </w:t>
      </w:r>
      <w:r w:rsidRPr="00E73F6F">
        <w:t>müssen,</w:t>
      </w:r>
      <w:r w:rsidRPr="00E73F6F">
        <w:rPr>
          <w:spacing w:val="1"/>
        </w:rPr>
        <w:t xml:space="preserve"> </w:t>
      </w:r>
      <w:r w:rsidRPr="00E73F6F">
        <w:t>so</w:t>
      </w:r>
      <w:r w:rsidRPr="00E73F6F">
        <w:rPr>
          <w:spacing w:val="1"/>
        </w:rPr>
        <w:t xml:space="preserve"> </w:t>
      </w:r>
      <w:r w:rsidRPr="00E73F6F">
        <w:t>erhält</w:t>
      </w:r>
      <w:r w:rsidRPr="00E73F6F">
        <w:rPr>
          <w:spacing w:val="1"/>
        </w:rPr>
        <w:t xml:space="preserve"> </w:t>
      </w:r>
      <w:r w:rsidRPr="00E73F6F">
        <w:rPr>
          <w:spacing w:val="-5"/>
        </w:rPr>
        <w:t xml:space="preserve">die </w:t>
      </w:r>
      <w:r w:rsidRPr="00E73F6F">
        <w:t xml:space="preserve">Komplexität eine zusätzliche, eine emotionale Dimension. Konflikte sind etwa dann nahezu unausweichlich, wenn der Finanz-Vorstand mithilfe des Auslandsgeschäfts den 'cash flow' des Unternehmens maximieren möchte, während der Marketing-Vorstand z.B. den kostspieligen Aufbau einer Tochtergesellschaft in Erwägung ziehen mag, um Handelshemmnisse, die den Zugang zu dem betreffenden Auslandsmarkt erschweren, dauerhaft umgehen zu </w:t>
      </w:r>
      <w:r w:rsidRPr="00E73F6F">
        <w:rPr>
          <w:spacing w:val="-2"/>
        </w:rPr>
        <w:t>können</w:t>
      </w:r>
      <w:r w:rsidR="00063AB1">
        <w:rPr>
          <w:spacing w:val="-2"/>
        </w:rPr>
        <w:t xml:space="preserve"> (</w:t>
      </w:r>
      <w:r w:rsidR="00063AB1">
        <w:rPr>
          <w:spacing w:val="-2"/>
        </w:rPr>
        <w:sym w:font="Symbol" w:char="F0DE"/>
      </w:r>
      <w:r w:rsidR="00063AB1">
        <w:rPr>
          <w:spacing w:val="-2"/>
        </w:rPr>
        <w:t xml:space="preserve"> Protektionismus)</w:t>
      </w:r>
      <w:r w:rsidRPr="00E73F6F">
        <w:rPr>
          <w:spacing w:val="-2"/>
        </w:rPr>
        <w:t>.</w:t>
      </w:r>
    </w:p>
    <w:p w14:paraId="40E89738" w14:textId="77777777" w:rsidR="00FF7799" w:rsidRPr="00E73F6F" w:rsidRDefault="00FF7799" w:rsidP="00A640DC">
      <w:pPr>
        <w:pStyle w:val="StandardText"/>
      </w:pPr>
      <w:r w:rsidRPr="00E73F6F">
        <w:t>Nehmen wir nun aus Gründen der Einfachheit an, ein national agierendes Unternehmen</w:t>
      </w:r>
      <w:r w:rsidRPr="00E73F6F">
        <w:rPr>
          <w:spacing w:val="-7"/>
        </w:rPr>
        <w:t xml:space="preserve"> </w:t>
      </w:r>
      <w:r w:rsidRPr="00E73F6F">
        <w:t>stehe</w:t>
      </w:r>
      <w:r w:rsidRPr="00E73F6F">
        <w:rPr>
          <w:spacing w:val="-11"/>
        </w:rPr>
        <w:t xml:space="preserve"> </w:t>
      </w:r>
      <w:r w:rsidRPr="00E73F6F">
        <w:t>nur</w:t>
      </w:r>
      <w:r w:rsidRPr="00E73F6F">
        <w:rPr>
          <w:spacing w:val="-10"/>
        </w:rPr>
        <w:t xml:space="preserve"> </w:t>
      </w:r>
      <w:r w:rsidRPr="00E73F6F">
        <w:t>mit</w:t>
      </w:r>
      <w:r w:rsidRPr="00E73F6F">
        <w:rPr>
          <w:spacing w:val="-7"/>
        </w:rPr>
        <w:t xml:space="preserve"> </w:t>
      </w:r>
      <w:r w:rsidRPr="00E73F6F">
        <w:t>zwei</w:t>
      </w:r>
      <w:r w:rsidRPr="00E73F6F">
        <w:rPr>
          <w:spacing w:val="-10"/>
        </w:rPr>
        <w:t xml:space="preserve"> </w:t>
      </w:r>
      <w:r w:rsidRPr="00E73F6F">
        <w:t>weiteren</w:t>
      </w:r>
      <w:r w:rsidRPr="00E73F6F">
        <w:rPr>
          <w:spacing w:val="-7"/>
        </w:rPr>
        <w:t xml:space="preserve"> </w:t>
      </w:r>
      <w:r w:rsidRPr="00E73F6F">
        <w:t>Subsystemen</w:t>
      </w:r>
      <w:r w:rsidRPr="00E73F6F">
        <w:rPr>
          <w:spacing w:val="-7"/>
        </w:rPr>
        <w:t xml:space="preserve"> </w:t>
      </w:r>
      <w:r w:rsidRPr="00E73F6F">
        <w:t>(z.B.</w:t>
      </w:r>
      <w:r w:rsidRPr="00E73F6F">
        <w:rPr>
          <w:spacing w:val="-7"/>
        </w:rPr>
        <w:t xml:space="preserve"> </w:t>
      </w:r>
      <w:r w:rsidRPr="00E73F6F">
        <w:t>ein</w:t>
      </w:r>
      <w:r w:rsidRPr="00E73F6F">
        <w:rPr>
          <w:spacing w:val="-7"/>
        </w:rPr>
        <w:t xml:space="preserve"> </w:t>
      </w:r>
      <w:r w:rsidRPr="00E73F6F">
        <w:t>Lieferant</w:t>
      </w:r>
      <w:r w:rsidRPr="00E73F6F">
        <w:rPr>
          <w:spacing w:val="-7"/>
        </w:rPr>
        <w:t xml:space="preserve"> </w:t>
      </w:r>
      <w:r w:rsidRPr="00E73F6F">
        <w:t>und</w:t>
      </w:r>
      <w:r w:rsidRPr="00E73F6F">
        <w:rPr>
          <w:spacing w:val="-7"/>
        </w:rPr>
        <w:t xml:space="preserve"> </w:t>
      </w:r>
      <w:r w:rsidRPr="00E73F6F">
        <w:t>ein Handelsunternehmen) in Beziehung, so hat es insgesamt drei Interaktionsebenen zu</w:t>
      </w:r>
      <w:r w:rsidRPr="00E73F6F">
        <w:rPr>
          <w:spacing w:val="-5"/>
        </w:rPr>
        <w:t xml:space="preserve"> </w:t>
      </w:r>
      <w:r w:rsidRPr="00E73F6F">
        <w:t>koordinieren</w:t>
      </w:r>
      <w:r w:rsidRPr="00E73F6F">
        <w:rPr>
          <w:spacing w:val="-5"/>
        </w:rPr>
        <w:t xml:space="preserve"> </w:t>
      </w:r>
      <w:r w:rsidRPr="00E73F6F">
        <w:t>(vgl.</w:t>
      </w:r>
      <w:r w:rsidRPr="00E73F6F">
        <w:rPr>
          <w:spacing w:val="-6"/>
        </w:rPr>
        <w:t xml:space="preserve"> </w:t>
      </w:r>
      <w:r w:rsidRPr="00E73F6F">
        <w:t>Abb.</w:t>
      </w:r>
      <w:r w:rsidRPr="00E73F6F">
        <w:rPr>
          <w:spacing w:val="-8"/>
        </w:rPr>
        <w:t xml:space="preserve"> </w:t>
      </w:r>
      <w:r w:rsidRPr="00E73F6F">
        <w:t>1/I).</w:t>
      </w:r>
      <w:r w:rsidRPr="00E73F6F">
        <w:rPr>
          <w:spacing w:val="-8"/>
        </w:rPr>
        <w:t xml:space="preserve"> </w:t>
      </w:r>
      <w:r w:rsidRPr="00E73F6F">
        <w:t>Anlässlich</w:t>
      </w:r>
      <w:r w:rsidRPr="00E73F6F">
        <w:rPr>
          <w:spacing w:val="-6"/>
        </w:rPr>
        <w:t xml:space="preserve"> </w:t>
      </w:r>
      <w:r w:rsidRPr="00E73F6F">
        <w:t>der</w:t>
      </w:r>
      <w:r w:rsidRPr="00E73F6F">
        <w:rPr>
          <w:spacing w:val="-6"/>
        </w:rPr>
        <w:t xml:space="preserve"> </w:t>
      </w:r>
      <w:r w:rsidRPr="00E73F6F">
        <w:t>Ausdehnung</w:t>
      </w:r>
      <w:r w:rsidRPr="00E73F6F">
        <w:rPr>
          <w:spacing w:val="-8"/>
        </w:rPr>
        <w:t xml:space="preserve"> </w:t>
      </w:r>
      <w:r w:rsidRPr="00E73F6F">
        <w:t>der</w:t>
      </w:r>
      <w:r w:rsidRPr="00E73F6F">
        <w:rPr>
          <w:spacing w:val="-6"/>
        </w:rPr>
        <w:t xml:space="preserve"> </w:t>
      </w:r>
      <w:r w:rsidRPr="00E73F6F">
        <w:t>Geschäftstätigkeit auf ein weiteres Land seien vier zusätzliche Einflussgrößen zu beachten (z.B. andersartiges Rechtssystem, lokale Konkurrenten, Logistik-Dienstleister). Die Verdreifachung</w:t>
      </w:r>
      <w:r w:rsidRPr="00E73F6F">
        <w:rPr>
          <w:spacing w:val="-7"/>
        </w:rPr>
        <w:t xml:space="preserve"> </w:t>
      </w:r>
      <w:r w:rsidRPr="00E73F6F">
        <w:t>der</w:t>
      </w:r>
      <w:r w:rsidRPr="00E73F6F">
        <w:rPr>
          <w:spacing w:val="-5"/>
        </w:rPr>
        <w:t xml:space="preserve"> </w:t>
      </w:r>
      <w:r w:rsidRPr="00E73F6F">
        <w:t>Zahl</w:t>
      </w:r>
      <w:r w:rsidRPr="00E73F6F">
        <w:rPr>
          <w:spacing w:val="-7"/>
        </w:rPr>
        <w:t xml:space="preserve"> </w:t>
      </w:r>
      <w:r w:rsidRPr="00E73F6F">
        <w:t>der</w:t>
      </w:r>
      <w:r w:rsidRPr="00E73F6F">
        <w:rPr>
          <w:spacing w:val="-5"/>
        </w:rPr>
        <w:t xml:space="preserve"> </w:t>
      </w:r>
      <w:r w:rsidRPr="00E73F6F">
        <w:t>Interaktionspartner</w:t>
      </w:r>
      <w:r w:rsidRPr="00E73F6F">
        <w:rPr>
          <w:spacing w:val="-5"/>
        </w:rPr>
        <w:t xml:space="preserve"> </w:t>
      </w:r>
      <w:r w:rsidRPr="00E73F6F">
        <w:t>(von</w:t>
      </w:r>
      <w:r w:rsidRPr="00E73F6F">
        <w:rPr>
          <w:spacing w:val="-4"/>
        </w:rPr>
        <w:t xml:space="preserve"> </w:t>
      </w:r>
      <w:r w:rsidRPr="00E73F6F">
        <w:t>zwei</w:t>
      </w:r>
      <w:r w:rsidRPr="00E73F6F">
        <w:rPr>
          <w:spacing w:val="-5"/>
        </w:rPr>
        <w:t xml:space="preserve"> </w:t>
      </w:r>
      <w:r w:rsidRPr="00E73F6F">
        <w:t>auf</w:t>
      </w:r>
      <w:r w:rsidRPr="00E73F6F">
        <w:rPr>
          <w:spacing w:val="-5"/>
        </w:rPr>
        <w:t xml:space="preserve"> </w:t>
      </w:r>
      <w:r w:rsidRPr="00E73F6F">
        <w:t>sechs)</w:t>
      </w:r>
      <w:r w:rsidRPr="00E73F6F">
        <w:rPr>
          <w:spacing w:val="-6"/>
        </w:rPr>
        <w:t xml:space="preserve"> </w:t>
      </w:r>
      <w:r w:rsidRPr="00E73F6F">
        <w:t>bewirkt</w:t>
      </w:r>
      <w:r w:rsidRPr="00E73F6F">
        <w:rPr>
          <w:spacing w:val="-5"/>
        </w:rPr>
        <w:t xml:space="preserve"> </w:t>
      </w:r>
      <w:r w:rsidRPr="00E73F6F">
        <w:t>rein rechnerisch eine Versiebenfachung der Anzahl der relevanten Beziehungen (vgl. Abb. 1/II). Das Unternehmen agiert nunmehr auf 21 Interaktionsebenen und hat diese zu koordinieren.</w:t>
      </w:r>
    </w:p>
    <w:p w14:paraId="35FE282B" w14:textId="77777777" w:rsidR="00FF7799" w:rsidRPr="00E73F6F" w:rsidRDefault="00FF7799" w:rsidP="00A640DC">
      <w:pPr>
        <w:pStyle w:val="StandardText"/>
      </w:pPr>
    </w:p>
    <w:p w14:paraId="7257D7E1" w14:textId="77777777" w:rsidR="00FF7799" w:rsidRPr="00C76DC3" w:rsidRDefault="00FF7799" w:rsidP="00A640DC">
      <w:pPr>
        <w:pStyle w:val="BeschriftungTab"/>
        <w:rPr>
          <w:i/>
          <w:iCs/>
        </w:rPr>
      </w:pPr>
      <w:r w:rsidRPr="00C76DC3">
        <w:rPr>
          <w:i/>
          <w:iCs/>
        </w:rPr>
        <w:t>Abb.</w:t>
      </w:r>
      <w:r w:rsidRPr="00C76DC3">
        <w:rPr>
          <w:i/>
          <w:iCs/>
          <w:spacing w:val="-2"/>
        </w:rPr>
        <w:t xml:space="preserve"> </w:t>
      </w:r>
      <w:r w:rsidRPr="00C76DC3">
        <w:rPr>
          <w:i/>
          <w:iCs/>
        </w:rPr>
        <w:t>1: Komplexität</w:t>
      </w:r>
      <w:r w:rsidRPr="00C76DC3">
        <w:rPr>
          <w:i/>
          <w:iCs/>
          <w:spacing w:val="-2"/>
        </w:rPr>
        <w:t xml:space="preserve"> </w:t>
      </w:r>
      <w:r w:rsidRPr="00C76DC3">
        <w:rPr>
          <w:i/>
          <w:iCs/>
        </w:rPr>
        <w:t>als</w:t>
      </w:r>
      <w:r w:rsidRPr="00C76DC3">
        <w:rPr>
          <w:i/>
          <w:iCs/>
          <w:spacing w:val="-1"/>
        </w:rPr>
        <w:t xml:space="preserve"> </w:t>
      </w:r>
      <w:r w:rsidRPr="00C76DC3">
        <w:rPr>
          <w:i/>
          <w:iCs/>
        </w:rPr>
        <w:t>Folge</w:t>
      </w:r>
      <w:r w:rsidRPr="00C76DC3">
        <w:rPr>
          <w:i/>
          <w:iCs/>
          <w:spacing w:val="-3"/>
        </w:rPr>
        <w:t xml:space="preserve"> </w:t>
      </w:r>
      <w:r w:rsidRPr="00C76DC3">
        <w:rPr>
          <w:i/>
          <w:iCs/>
        </w:rPr>
        <w:t xml:space="preserve">der </w:t>
      </w:r>
      <w:r w:rsidRPr="00C76DC3">
        <w:rPr>
          <w:i/>
          <w:iCs/>
          <w:spacing w:val="-2"/>
        </w:rPr>
        <w:t>Internationalisierung</w:t>
      </w:r>
    </w:p>
    <w:p w14:paraId="2F01BFE9" w14:textId="77777777" w:rsidR="00FF7799" w:rsidRPr="00E73F6F" w:rsidRDefault="00821E44" w:rsidP="008412AB">
      <w:pPr>
        <w:spacing w:before="5"/>
        <w:jc w:val="center"/>
        <w:rPr>
          <w:i/>
          <w:sz w:val="24"/>
          <w:szCs w:val="24"/>
        </w:rPr>
      </w:pPr>
      <w:r>
        <w:rPr>
          <w:i/>
          <w:noProof/>
          <w:sz w:val="24"/>
          <w:szCs w:val="24"/>
          <w:lang w:eastAsia="de-DE"/>
        </w:rPr>
        <w:lastRenderedPageBreak/>
        <w:drawing>
          <wp:inline distT="0" distB="0" distL="0" distR="0" wp14:anchorId="6201D9F4" wp14:editId="7C134638">
            <wp:extent cx="5662503" cy="3733800"/>
            <wp:effectExtent l="0" t="0" r="0" b="0"/>
            <wp:docPr id="90" name="Grafik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674951" cy="3742008"/>
                    </a:xfrm>
                    <a:prstGeom prst="rect">
                      <a:avLst/>
                    </a:prstGeom>
                    <a:noFill/>
                  </pic:spPr>
                </pic:pic>
              </a:graphicData>
            </a:graphic>
          </wp:inline>
        </w:drawing>
      </w:r>
    </w:p>
    <w:p w14:paraId="712C1A25" w14:textId="77777777" w:rsidR="00FF7799" w:rsidRPr="00E73F6F" w:rsidRDefault="00FF7799" w:rsidP="00862DBA">
      <w:pPr>
        <w:rPr>
          <w:i/>
          <w:sz w:val="24"/>
          <w:szCs w:val="24"/>
        </w:rPr>
      </w:pPr>
    </w:p>
    <w:p w14:paraId="43F3E8BD" w14:textId="77777777" w:rsidR="00FF7799" w:rsidRPr="00E73F6F" w:rsidRDefault="00FF7799" w:rsidP="00B417A5">
      <w:pPr>
        <w:pStyle w:val="StandardText"/>
      </w:pPr>
      <w:r w:rsidRPr="00E73F6F">
        <w:t>Für international tätige Unternehmen bedeutet dies konkret: Mit zunehmender Anzahl an Interaktionspartnern bzw. Einflussgrößen wird es immer dringlicher, die Unternehmenstätigkeit länderübergreifend zu koordinieren. Das dazu erforderliche Internationale Marketing-Management hat vor allem das Auslandsgeschäft zu steuern und organisatorisch zu verankern.</w:t>
      </w:r>
    </w:p>
    <w:p w14:paraId="7F3478B1" w14:textId="77777777" w:rsidR="00FF7799" w:rsidRPr="00E73F6F" w:rsidRDefault="00FF7799" w:rsidP="00B417A5">
      <w:pPr>
        <w:pStyle w:val="StandardText"/>
      </w:pPr>
      <w:r w:rsidRPr="00E73F6F">
        <w:t>Im</w:t>
      </w:r>
      <w:r w:rsidRPr="00E73F6F">
        <w:rPr>
          <w:spacing w:val="-5"/>
        </w:rPr>
        <w:t xml:space="preserve"> </w:t>
      </w:r>
      <w:r w:rsidRPr="00E73F6F">
        <w:t>Einzelnen sind</w:t>
      </w:r>
      <w:r w:rsidRPr="00E73F6F">
        <w:rPr>
          <w:spacing w:val="-2"/>
        </w:rPr>
        <w:t xml:space="preserve"> </w:t>
      </w:r>
      <w:r w:rsidRPr="00E73F6F">
        <w:t>dabei</w:t>
      </w:r>
      <w:r w:rsidRPr="00E73F6F">
        <w:rPr>
          <w:spacing w:val="-3"/>
        </w:rPr>
        <w:t xml:space="preserve"> </w:t>
      </w:r>
      <w:r w:rsidRPr="00E73F6F">
        <w:t>u.a.</w:t>
      </w:r>
      <w:r w:rsidRPr="00E73F6F">
        <w:rPr>
          <w:spacing w:val="-1"/>
        </w:rPr>
        <w:t xml:space="preserve"> </w:t>
      </w:r>
      <w:r w:rsidRPr="00E73F6F">
        <w:t>folgende</w:t>
      </w:r>
      <w:r w:rsidRPr="00E73F6F">
        <w:rPr>
          <w:spacing w:val="2"/>
        </w:rPr>
        <w:t xml:space="preserve"> </w:t>
      </w:r>
      <w:r w:rsidRPr="00E73F6F">
        <w:t>Aufgaben</w:t>
      </w:r>
      <w:r w:rsidRPr="00E73F6F">
        <w:rPr>
          <w:spacing w:val="1"/>
        </w:rPr>
        <w:t xml:space="preserve"> </w:t>
      </w:r>
      <w:r w:rsidRPr="00E73F6F">
        <w:t>zu</w:t>
      </w:r>
      <w:r w:rsidRPr="00E73F6F">
        <w:rPr>
          <w:spacing w:val="-2"/>
        </w:rPr>
        <w:t xml:space="preserve"> bewältigen:</w:t>
      </w:r>
    </w:p>
    <w:p w14:paraId="1B071CEF" w14:textId="77777777" w:rsidR="00FF7799" w:rsidRPr="00E73F6F" w:rsidRDefault="00FF7799" w:rsidP="0097093C">
      <w:pPr>
        <w:pStyle w:val="StandardTextAufzhlung"/>
        <w:ind w:left="426"/>
      </w:pPr>
      <w:r w:rsidRPr="00E73F6F">
        <w:t>Anpassung</w:t>
      </w:r>
      <w:r w:rsidRPr="00E73F6F">
        <w:rPr>
          <w:spacing w:val="-6"/>
        </w:rPr>
        <w:t xml:space="preserve"> </w:t>
      </w:r>
      <w:r w:rsidRPr="00E73F6F">
        <w:t>der</w:t>
      </w:r>
      <w:r w:rsidRPr="00E73F6F">
        <w:rPr>
          <w:spacing w:val="-6"/>
        </w:rPr>
        <w:t xml:space="preserve"> </w:t>
      </w:r>
      <w:r w:rsidRPr="00E73F6F">
        <w:t>Unternehmensstruktur</w:t>
      </w:r>
      <w:r w:rsidRPr="00E73F6F">
        <w:rPr>
          <w:spacing w:val="-6"/>
        </w:rPr>
        <w:t xml:space="preserve"> </w:t>
      </w:r>
      <w:r w:rsidRPr="00E73F6F">
        <w:t>an</w:t>
      </w:r>
      <w:r w:rsidRPr="00E73F6F">
        <w:rPr>
          <w:spacing w:val="-6"/>
        </w:rPr>
        <w:t xml:space="preserve"> </w:t>
      </w:r>
      <w:r w:rsidRPr="00E73F6F">
        <w:t>neuartige</w:t>
      </w:r>
      <w:r w:rsidRPr="00E73F6F">
        <w:rPr>
          <w:spacing w:val="-7"/>
        </w:rPr>
        <w:t xml:space="preserve"> </w:t>
      </w:r>
      <w:r w:rsidRPr="00E73F6F">
        <w:t>Umweltbedingungen (z.B. durch Einrichtung einer International Division),</w:t>
      </w:r>
    </w:p>
    <w:p w14:paraId="7AEDAF66" w14:textId="77777777" w:rsidR="00FF7799" w:rsidRPr="00E73F6F" w:rsidRDefault="00FF7799" w:rsidP="0097093C">
      <w:pPr>
        <w:pStyle w:val="StandardTextAufzhlung"/>
        <w:ind w:left="426"/>
      </w:pPr>
      <w:r w:rsidRPr="00E73F6F">
        <w:t>Zuteilung</w:t>
      </w:r>
      <w:r w:rsidRPr="00E73F6F">
        <w:rPr>
          <w:spacing w:val="-5"/>
        </w:rPr>
        <w:t xml:space="preserve"> </w:t>
      </w:r>
      <w:r w:rsidRPr="00E73F6F">
        <w:t>der</w:t>
      </w:r>
      <w:r w:rsidRPr="00E73F6F">
        <w:rPr>
          <w:spacing w:val="-4"/>
        </w:rPr>
        <w:t xml:space="preserve"> </w:t>
      </w:r>
      <w:r w:rsidRPr="00E73F6F">
        <w:t>Vertriebsverantwortung</w:t>
      </w:r>
      <w:r w:rsidRPr="00E73F6F">
        <w:rPr>
          <w:spacing w:val="-3"/>
        </w:rPr>
        <w:t xml:space="preserve"> </w:t>
      </w:r>
      <w:r w:rsidRPr="00E73F6F">
        <w:t>für</w:t>
      </w:r>
      <w:r w:rsidRPr="00E73F6F">
        <w:rPr>
          <w:spacing w:val="-6"/>
        </w:rPr>
        <w:t xml:space="preserve"> </w:t>
      </w:r>
      <w:r w:rsidRPr="00E73F6F">
        <w:t>die</w:t>
      </w:r>
      <w:r w:rsidRPr="00E73F6F">
        <w:rPr>
          <w:spacing w:val="-6"/>
        </w:rPr>
        <w:t xml:space="preserve"> </w:t>
      </w:r>
      <w:r w:rsidRPr="00E73F6F">
        <w:t>Produkte</w:t>
      </w:r>
      <w:r w:rsidRPr="00E73F6F">
        <w:rPr>
          <w:spacing w:val="-4"/>
        </w:rPr>
        <w:t xml:space="preserve"> </w:t>
      </w:r>
      <w:r w:rsidRPr="00E73F6F">
        <w:t>(z.B.</w:t>
      </w:r>
      <w:r w:rsidRPr="00E73F6F">
        <w:rPr>
          <w:spacing w:val="-6"/>
        </w:rPr>
        <w:t xml:space="preserve"> </w:t>
      </w:r>
      <w:r w:rsidRPr="00E73F6F">
        <w:t>durch</w:t>
      </w:r>
      <w:r w:rsidRPr="00E73F6F">
        <w:rPr>
          <w:spacing w:val="-7"/>
        </w:rPr>
        <w:t xml:space="preserve"> </w:t>
      </w:r>
      <w:r w:rsidRPr="00E73F6F">
        <w:t>eine Profit Center-Struktur),</w:t>
      </w:r>
    </w:p>
    <w:p w14:paraId="0B6ECD33" w14:textId="77777777" w:rsidR="00FF7799" w:rsidRPr="00E73F6F" w:rsidRDefault="00FF7799" w:rsidP="0097093C">
      <w:pPr>
        <w:pStyle w:val="StandardTextAufzhlung"/>
        <w:ind w:left="426"/>
      </w:pPr>
      <w:r w:rsidRPr="00E73F6F">
        <w:t>Gestaltung</w:t>
      </w:r>
      <w:r w:rsidRPr="00E73F6F">
        <w:rPr>
          <w:spacing w:val="-6"/>
        </w:rPr>
        <w:t xml:space="preserve"> </w:t>
      </w:r>
      <w:r w:rsidRPr="00E73F6F">
        <w:t>der</w:t>
      </w:r>
      <w:r w:rsidRPr="00E73F6F">
        <w:rPr>
          <w:spacing w:val="-5"/>
        </w:rPr>
        <w:t xml:space="preserve"> </w:t>
      </w:r>
      <w:r w:rsidRPr="00E73F6F">
        <w:t>Beziehung</w:t>
      </w:r>
      <w:r w:rsidRPr="00E73F6F">
        <w:rPr>
          <w:spacing w:val="-4"/>
        </w:rPr>
        <w:t xml:space="preserve"> </w:t>
      </w:r>
      <w:r w:rsidRPr="00E73F6F">
        <w:t>zu</w:t>
      </w:r>
      <w:r w:rsidRPr="00E73F6F">
        <w:rPr>
          <w:spacing w:val="-6"/>
        </w:rPr>
        <w:t xml:space="preserve"> </w:t>
      </w:r>
      <w:r w:rsidRPr="00E73F6F">
        <w:t>Kooperationspartnern</w:t>
      </w:r>
      <w:r w:rsidRPr="00E73F6F">
        <w:rPr>
          <w:spacing w:val="-4"/>
        </w:rPr>
        <w:t xml:space="preserve"> </w:t>
      </w:r>
      <w:r w:rsidRPr="00E73F6F">
        <w:t>(z.B.</w:t>
      </w:r>
      <w:r w:rsidRPr="00E73F6F">
        <w:rPr>
          <w:spacing w:val="-5"/>
        </w:rPr>
        <w:t xml:space="preserve"> </w:t>
      </w:r>
      <w:r w:rsidRPr="00E73F6F">
        <w:t>in</w:t>
      </w:r>
      <w:r w:rsidRPr="00E73F6F">
        <w:rPr>
          <w:spacing w:val="-4"/>
        </w:rPr>
        <w:t xml:space="preserve"> </w:t>
      </w:r>
      <w:r w:rsidRPr="00E73F6F">
        <w:t>Gestalt</w:t>
      </w:r>
      <w:r w:rsidRPr="00E73F6F">
        <w:rPr>
          <w:spacing w:val="-5"/>
        </w:rPr>
        <w:t xml:space="preserve"> </w:t>
      </w:r>
      <w:r w:rsidRPr="00E73F6F">
        <w:t>eines Equity-Joint Venture</w:t>
      </w:r>
      <w:r w:rsidR="00AA49CE">
        <w:t xml:space="preserve">; </w:t>
      </w:r>
      <w:r w:rsidR="00AA49CE">
        <w:sym w:font="Symbol" w:char="F0DE"/>
      </w:r>
      <w:r w:rsidR="00AA49CE">
        <w:t xml:space="preserve"> Joint Venture</w:t>
      </w:r>
      <w:r w:rsidRPr="00E73F6F">
        <w:t>),</w:t>
      </w:r>
    </w:p>
    <w:p w14:paraId="34C2DBCB" w14:textId="77777777" w:rsidR="00FF7799" w:rsidRPr="00E73F6F" w:rsidRDefault="00FF7799" w:rsidP="0097093C">
      <w:pPr>
        <w:pStyle w:val="StandardTextAufzhlung"/>
        <w:ind w:left="426"/>
      </w:pPr>
      <w:r w:rsidRPr="00E73F6F">
        <w:t>Koordination</w:t>
      </w:r>
      <w:r w:rsidRPr="00E73F6F">
        <w:rPr>
          <w:spacing w:val="-7"/>
        </w:rPr>
        <w:t xml:space="preserve"> </w:t>
      </w:r>
      <w:r w:rsidRPr="00E73F6F">
        <w:t>des</w:t>
      </w:r>
      <w:r w:rsidRPr="00E73F6F">
        <w:rPr>
          <w:spacing w:val="-6"/>
        </w:rPr>
        <w:t xml:space="preserve"> </w:t>
      </w:r>
      <w:r w:rsidRPr="00E73F6F">
        <w:t>Planungsprozesses</w:t>
      </w:r>
      <w:r w:rsidRPr="00E73F6F">
        <w:rPr>
          <w:spacing w:val="-6"/>
        </w:rPr>
        <w:t xml:space="preserve"> </w:t>
      </w:r>
      <w:r w:rsidRPr="00E73F6F">
        <w:t>(z.B.</w:t>
      </w:r>
      <w:r w:rsidRPr="00E73F6F">
        <w:rPr>
          <w:spacing w:val="-6"/>
        </w:rPr>
        <w:t xml:space="preserve"> </w:t>
      </w:r>
      <w:r w:rsidRPr="00E73F6F">
        <w:t>zwischen</w:t>
      </w:r>
      <w:r w:rsidRPr="00E73F6F">
        <w:rPr>
          <w:spacing w:val="-5"/>
        </w:rPr>
        <w:t xml:space="preserve"> </w:t>
      </w:r>
      <w:r w:rsidRPr="00E73F6F">
        <w:t>Stammhaus</w:t>
      </w:r>
      <w:r w:rsidRPr="00E73F6F">
        <w:rPr>
          <w:spacing w:val="-6"/>
        </w:rPr>
        <w:t xml:space="preserve"> </w:t>
      </w:r>
      <w:r w:rsidRPr="00E73F6F">
        <w:t xml:space="preserve">und </w:t>
      </w:r>
      <w:r w:rsidRPr="00E73F6F">
        <w:rPr>
          <w:spacing w:val="-2"/>
        </w:rPr>
        <w:t>Tochtergesellschaft).</w:t>
      </w:r>
    </w:p>
    <w:p w14:paraId="6B2AFA3B" w14:textId="77777777" w:rsidR="0097093C" w:rsidRDefault="0097093C" w:rsidP="00B417A5">
      <w:pPr>
        <w:pStyle w:val="StandardText"/>
      </w:pPr>
    </w:p>
    <w:p w14:paraId="3276D26A" w14:textId="0C7121D1" w:rsidR="00FF7799" w:rsidRDefault="00FF7799" w:rsidP="00B417A5">
      <w:pPr>
        <w:pStyle w:val="StandardText"/>
      </w:pPr>
      <w:r w:rsidRPr="00E73F6F">
        <w:t>Im Zusammenhang</w:t>
      </w:r>
      <w:r w:rsidR="00B063A8">
        <w:t xml:space="preserve"> mit der als Reorganisation der</w:t>
      </w:r>
      <w:r w:rsidRPr="00E73F6F">
        <w:rPr>
          <w:spacing w:val="-4"/>
        </w:rPr>
        <w:t xml:space="preserve"> </w:t>
      </w:r>
      <w:r w:rsidRPr="00E73F6F">
        <w:t>Wertschöpfungsketten bezeichneten</w:t>
      </w:r>
      <w:r w:rsidRPr="00E73F6F">
        <w:rPr>
          <w:spacing w:val="-12"/>
        </w:rPr>
        <w:t xml:space="preserve"> </w:t>
      </w:r>
      <w:r w:rsidRPr="00E73F6F">
        <w:t>Fragmentierung</w:t>
      </w:r>
      <w:r w:rsidRPr="00E73F6F">
        <w:rPr>
          <w:spacing w:val="-11"/>
        </w:rPr>
        <w:t xml:space="preserve"> </w:t>
      </w:r>
      <w:r w:rsidRPr="00E73F6F">
        <w:t>und</w:t>
      </w:r>
      <w:r w:rsidRPr="00E73F6F">
        <w:rPr>
          <w:spacing w:val="-11"/>
        </w:rPr>
        <w:t xml:space="preserve"> </w:t>
      </w:r>
      <w:r w:rsidRPr="00E73F6F">
        <w:t>globalen</w:t>
      </w:r>
      <w:r w:rsidRPr="00E73F6F">
        <w:rPr>
          <w:spacing w:val="-11"/>
        </w:rPr>
        <w:t xml:space="preserve"> </w:t>
      </w:r>
      <w:r w:rsidRPr="00E73F6F">
        <w:t>Optimierung</w:t>
      </w:r>
      <w:r w:rsidRPr="00E73F6F">
        <w:rPr>
          <w:spacing w:val="-12"/>
        </w:rPr>
        <w:t xml:space="preserve"> </w:t>
      </w:r>
      <w:r w:rsidRPr="00E73F6F">
        <w:t>der</w:t>
      </w:r>
      <w:r w:rsidRPr="00E73F6F">
        <w:rPr>
          <w:spacing w:val="-11"/>
        </w:rPr>
        <w:t xml:space="preserve"> </w:t>
      </w:r>
      <w:r w:rsidRPr="00E73F6F">
        <w:t>Leistungsprozesse</w:t>
      </w:r>
      <w:r w:rsidRPr="00E73F6F">
        <w:rPr>
          <w:spacing w:val="-11"/>
        </w:rPr>
        <w:t xml:space="preserve"> </w:t>
      </w:r>
      <w:r w:rsidRPr="00E73F6F">
        <w:t>hat sich der damit verbundene Zuwachs an Komplexität der Organisation dieser Leistungsprozesse als eines der - häufig unterschätzten - Schlüsselprobleme erwiesen. Um die so genannten Komplexitätstreiber identifizieren und verändern zu</w:t>
      </w:r>
      <w:r w:rsidRPr="00E73F6F">
        <w:rPr>
          <w:spacing w:val="-5"/>
        </w:rPr>
        <w:t xml:space="preserve"> </w:t>
      </w:r>
      <w:r w:rsidRPr="00E73F6F">
        <w:t>können,</w:t>
      </w:r>
      <w:r w:rsidRPr="00E73F6F">
        <w:rPr>
          <w:spacing w:val="-5"/>
        </w:rPr>
        <w:t xml:space="preserve"> </w:t>
      </w:r>
      <w:r w:rsidRPr="00E73F6F">
        <w:t>muss</w:t>
      </w:r>
      <w:r w:rsidRPr="00E73F6F">
        <w:rPr>
          <w:spacing w:val="-6"/>
        </w:rPr>
        <w:t xml:space="preserve"> </w:t>
      </w:r>
      <w:r w:rsidRPr="00E73F6F">
        <w:t>zunächst</w:t>
      </w:r>
      <w:r w:rsidRPr="00E73F6F">
        <w:rPr>
          <w:spacing w:val="-5"/>
        </w:rPr>
        <w:t xml:space="preserve"> </w:t>
      </w:r>
      <w:r w:rsidRPr="00E73F6F">
        <w:t>die</w:t>
      </w:r>
      <w:r w:rsidRPr="00E73F6F">
        <w:rPr>
          <w:spacing w:val="-6"/>
        </w:rPr>
        <w:t xml:space="preserve"> </w:t>
      </w:r>
      <w:r w:rsidRPr="00E73F6F">
        <w:t>Struktur</w:t>
      </w:r>
      <w:r w:rsidRPr="00E73F6F">
        <w:rPr>
          <w:spacing w:val="-5"/>
        </w:rPr>
        <w:t xml:space="preserve"> </w:t>
      </w:r>
      <w:r w:rsidRPr="00E73F6F">
        <w:t>der</w:t>
      </w:r>
      <w:r w:rsidRPr="00E73F6F">
        <w:rPr>
          <w:spacing w:val="-8"/>
        </w:rPr>
        <w:t xml:space="preserve"> </w:t>
      </w:r>
      <w:r w:rsidRPr="00E73F6F">
        <w:t>Leistungsprozesse</w:t>
      </w:r>
      <w:r w:rsidRPr="00E73F6F">
        <w:rPr>
          <w:spacing w:val="-6"/>
        </w:rPr>
        <w:t xml:space="preserve"> </w:t>
      </w:r>
      <w:r w:rsidRPr="00E73F6F">
        <w:t>transparent</w:t>
      </w:r>
      <w:r w:rsidRPr="00E73F6F">
        <w:rPr>
          <w:spacing w:val="-5"/>
        </w:rPr>
        <w:t xml:space="preserve"> </w:t>
      </w:r>
      <w:r w:rsidRPr="00E73F6F">
        <w:t>gemacht werden.</w:t>
      </w:r>
      <w:r w:rsidRPr="00E73F6F">
        <w:rPr>
          <w:spacing w:val="-12"/>
        </w:rPr>
        <w:t xml:space="preserve"> </w:t>
      </w:r>
      <w:r w:rsidRPr="00E73F6F">
        <w:t>Im</w:t>
      </w:r>
      <w:r w:rsidRPr="00E73F6F">
        <w:rPr>
          <w:spacing w:val="-11"/>
        </w:rPr>
        <w:t xml:space="preserve"> </w:t>
      </w:r>
      <w:r w:rsidRPr="00E73F6F">
        <w:t>Beschaffungswesen</w:t>
      </w:r>
      <w:r w:rsidRPr="00E73F6F">
        <w:rPr>
          <w:spacing w:val="-11"/>
        </w:rPr>
        <w:t xml:space="preserve"> </w:t>
      </w:r>
      <w:r w:rsidRPr="00E73F6F">
        <w:t>(Global</w:t>
      </w:r>
      <w:r w:rsidRPr="00E73F6F">
        <w:rPr>
          <w:spacing w:val="-12"/>
        </w:rPr>
        <w:t xml:space="preserve"> </w:t>
      </w:r>
      <w:r w:rsidRPr="00E73F6F">
        <w:t>Sourcing)</w:t>
      </w:r>
      <w:r w:rsidRPr="00E73F6F">
        <w:rPr>
          <w:spacing w:val="-11"/>
        </w:rPr>
        <w:t xml:space="preserve"> </w:t>
      </w:r>
      <w:r w:rsidRPr="00E73F6F">
        <w:t>besteht</w:t>
      </w:r>
      <w:r w:rsidRPr="00E73F6F">
        <w:rPr>
          <w:spacing w:val="-11"/>
        </w:rPr>
        <w:t xml:space="preserve"> </w:t>
      </w:r>
      <w:r w:rsidRPr="00E73F6F">
        <w:t>eines</w:t>
      </w:r>
      <w:r w:rsidRPr="00E73F6F">
        <w:rPr>
          <w:spacing w:val="-11"/>
        </w:rPr>
        <w:t xml:space="preserve"> </w:t>
      </w:r>
      <w:r w:rsidRPr="00E73F6F">
        <w:t>der</w:t>
      </w:r>
      <w:r w:rsidRPr="00E73F6F">
        <w:rPr>
          <w:spacing w:val="-12"/>
        </w:rPr>
        <w:t xml:space="preserve"> </w:t>
      </w:r>
      <w:r w:rsidRPr="00E73F6F">
        <w:t>wichtigsten Instrumente</w:t>
      </w:r>
      <w:r w:rsidRPr="00E73F6F">
        <w:rPr>
          <w:spacing w:val="-8"/>
        </w:rPr>
        <w:t xml:space="preserve"> </w:t>
      </w:r>
      <w:r w:rsidRPr="00E73F6F">
        <w:t>der</w:t>
      </w:r>
      <w:r w:rsidRPr="00E73F6F">
        <w:rPr>
          <w:spacing w:val="-5"/>
        </w:rPr>
        <w:t xml:space="preserve"> </w:t>
      </w:r>
      <w:r w:rsidRPr="00E73F6F">
        <w:t>Komplexitätsreduktion</w:t>
      </w:r>
      <w:r w:rsidRPr="00E73F6F">
        <w:rPr>
          <w:spacing w:val="-6"/>
        </w:rPr>
        <w:t xml:space="preserve"> </w:t>
      </w:r>
      <w:r w:rsidRPr="00E73F6F">
        <w:t>darin,</w:t>
      </w:r>
      <w:r w:rsidRPr="00E73F6F">
        <w:rPr>
          <w:spacing w:val="-5"/>
        </w:rPr>
        <w:t xml:space="preserve"> </w:t>
      </w:r>
      <w:r w:rsidRPr="00E73F6F">
        <w:t>ausgewählten</w:t>
      </w:r>
      <w:r w:rsidRPr="00E73F6F">
        <w:rPr>
          <w:spacing w:val="-4"/>
        </w:rPr>
        <w:t xml:space="preserve"> </w:t>
      </w:r>
      <w:r w:rsidRPr="00E73F6F">
        <w:t>Lieferanten,</w:t>
      </w:r>
      <w:r w:rsidRPr="00E73F6F">
        <w:rPr>
          <w:spacing w:val="-5"/>
        </w:rPr>
        <w:t xml:space="preserve"> </w:t>
      </w:r>
      <w:r w:rsidRPr="00E73F6F">
        <w:t>Märkten und/oder Kunden die Lead-Funktion zuzuweisen und sie zu Schlüssellieferanten</w:t>
      </w:r>
      <w:r w:rsidRPr="00E73F6F">
        <w:rPr>
          <w:spacing w:val="-8"/>
        </w:rPr>
        <w:t xml:space="preserve"> </w:t>
      </w:r>
      <w:r w:rsidRPr="00E73F6F">
        <w:t>zu</w:t>
      </w:r>
      <w:r w:rsidRPr="00E73F6F">
        <w:rPr>
          <w:spacing w:val="-8"/>
        </w:rPr>
        <w:t xml:space="preserve"> </w:t>
      </w:r>
      <w:r w:rsidRPr="00E73F6F">
        <w:t>machen</w:t>
      </w:r>
      <w:r w:rsidRPr="00E73F6F">
        <w:rPr>
          <w:spacing w:val="-8"/>
        </w:rPr>
        <w:t xml:space="preserve"> </w:t>
      </w:r>
      <w:r w:rsidRPr="00E73F6F">
        <w:t>(bspw.</w:t>
      </w:r>
      <w:r w:rsidRPr="00E73F6F">
        <w:rPr>
          <w:spacing w:val="-8"/>
        </w:rPr>
        <w:t xml:space="preserve"> </w:t>
      </w:r>
      <w:r w:rsidRPr="00E73F6F">
        <w:t>um</w:t>
      </w:r>
      <w:r w:rsidRPr="00E73F6F">
        <w:rPr>
          <w:spacing w:val="-11"/>
        </w:rPr>
        <w:t xml:space="preserve"> </w:t>
      </w:r>
      <w:r w:rsidRPr="00E73F6F">
        <w:t>die</w:t>
      </w:r>
      <w:r w:rsidRPr="00E73F6F">
        <w:rPr>
          <w:spacing w:val="-9"/>
        </w:rPr>
        <w:t xml:space="preserve"> </w:t>
      </w:r>
      <w:r w:rsidRPr="00E73F6F">
        <w:t>Zahl</w:t>
      </w:r>
      <w:r w:rsidRPr="00E73F6F">
        <w:rPr>
          <w:spacing w:val="-8"/>
        </w:rPr>
        <w:t xml:space="preserve"> </w:t>
      </w:r>
      <w:r w:rsidRPr="00E73F6F">
        <w:t>der</w:t>
      </w:r>
      <w:r w:rsidRPr="00E73F6F">
        <w:rPr>
          <w:spacing w:val="-10"/>
        </w:rPr>
        <w:t xml:space="preserve"> </w:t>
      </w:r>
      <w:r w:rsidRPr="00E73F6F">
        <w:t>Lieferanten,</w:t>
      </w:r>
      <w:r w:rsidRPr="00E73F6F">
        <w:rPr>
          <w:spacing w:val="-10"/>
        </w:rPr>
        <w:t xml:space="preserve"> </w:t>
      </w:r>
      <w:r w:rsidRPr="00E73F6F">
        <w:t>mit</w:t>
      </w:r>
      <w:r w:rsidRPr="00E73F6F">
        <w:rPr>
          <w:spacing w:val="-3"/>
        </w:rPr>
        <w:t xml:space="preserve"> </w:t>
      </w:r>
      <w:r w:rsidRPr="00E73F6F">
        <w:t>denen</w:t>
      </w:r>
      <w:r w:rsidRPr="00E73F6F">
        <w:rPr>
          <w:spacing w:val="-8"/>
        </w:rPr>
        <w:t xml:space="preserve"> </w:t>
      </w:r>
      <w:r w:rsidRPr="00E73F6F">
        <w:t xml:space="preserve">das Unternehmen direkten und zumeist kostspieligen Kontakt hält, drastisch zu reduzieren). Weitere Maßnahmen betreffen die </w:t>
      </w:r>
      <w:r w:rsidR="00B063A8">
        <w:rPr>
          <w:spacing w:val="-4"/>
        </w:rPr>
        <w:sym w:font="Symbol" w:char="F0DE"/>
      </w:r>
      <w:r w:rsidRPr="00E73F6F">
        <w:rPr>
          <w:spacing w:val="-4"/>
        </w:rPr>
        <w:t xml:space="preserve"> </w:t>
      </w:r>
      <w:r w:rsidRPr="00E73F6F">
        <w:t>Standardisierung, bis hin zur Modularisierung von Produkten und Prozessen, ein kundenwertorientiertes Management des Kundenportfolios sowie die Dezentralisierung von Kompetenz und Verantwortung.</w:t>
      </w:r>
    </w:p>
    <w:p w14:paraId="1372F3EB" w14:textId="77777777" w:rsidR="00FF7799" w:rsidRPr="00B063A8" w:rsidRDefault="00FF7799" w:rsidP="00B417A5">
      <w:pPr>
        <w:pStyle w:val="StandardText"/>
        <w:rPr>
          <w:sz w:val="22"/>
          <w:szCs w:val="22"/>
        </w:rPr>
      </w:pPr>
      <w:r w:rsidRPr="00B063A8">
        <w:rPr>
          <w:b/>
          <w:i/>
          <w:sz w:val="22"/>
          <w:szCs w:val="22"/>
          <w:lang w:val="en-US"/>
        </w:rPr>
        <w:t>Literatur</w:t>
      </w:r>
      <w:r w:rsidRPr="00B063A8">
        <w:rPr>
          <w:i/>
          <w:sz w:val="22"/>
          <w:szCs w:val="22"/>
          <w:lang w:val="en-US"/>
        </w:rPr>
        <w:t xml:space="preserve">: </w:t>
      </w:r>
      <w:r w:rsidRPr="00B063A8">
        <w:rPr>
          <w:sz w:val="22"/>
          <w:szCs w:val="22"/>
          <w:lang w:val="en-US"/>
        </w:rPr>
        <w:t>Albaum, G.; Peterson, R.A. (1984): Empirical Research in International</w:t>
      </w:r>
      <w:r w:rsidRPr="00B063A8">
        <w:rPr>
          <w:spacing w:val="40"/>
          <w:sz w:val="22"/>
          <w:szCs w:val="22"/>
          <w:lang w:val="en-US"/>
        </w:rPr>
        <w:t xml:space="preserve"> </w:t>
      </w:r>
      <w:r w:rsidRPr="00B063A8">
        <w:rPr>
          <w:sz w:val="22"/>
          <w:szCs w:val="22"/>
          <w:lang w:val="en-US"/>
        </w:rPr>
        <w:t>Marketing. 1976-1982, Journal of International Business Studies, 15(1): 161-173.</w:t>
      </w:r>
      <w:r w:rsidRPr="00B063A8">
        <w:rPr>
          <w:spacing w:val="40"/>
          <w:sz w:val="22"/>
          <w:szCs w:val="22"/>
          <w:lang w:val="en-US"/>
        </w:rPr>
        <w:t xml:space="preserve"> </w:t>
      </w:r>
      <w:r w:rsidRPr="00B063A8">
        <w:rPr>
          <w:sz w:val="22"/>
          <w:szCs w:val="22"/>
          <w:lang w:val="en-US"/>
        </w:rPr>
        <w:t>Al-</w:t>
      </w:r>
      <w:r w:rsidRPr="00B063A8">
        <w:rPr>
          <w:spacing w:val="40"/>
          <w:sz w:val="22"/>
          <w:szCs w:val="22"/>
          <w:lang w:val="en-US"/>
        </w:rPr>
        <w:t xml:space="preserve"> </w:t>
      </w:r>
      <w:r w:rsidRPr="00B063A8">
        <w:rPr>
          <w:sz w:val="22"/>
          <w:szCs w:val="22"/>
          <w:lang w:val="en-US"/>
        </w:rPr>
        <w:t xml:space="preserve">Makaty, S.S.; van Tübergen, G.N.; </w:t>
      </w:r>
      <w:r w:rsidRPr="00B063A8">
        <w:rPr>
          <w:sz w:val="22"/>
          <w:szCs w:val="22"/>
          <w:lang w:val="en-US"/>
        </w:rPr>
        <w:lastRenderedPageBreak/>
        <w:t>Withlow, S.S.; Boyd, D.A. (1996): Attitudes toward</w:t>
      </w:r>
      <w:r w:rsidRPr="00B063A8">
        <w:rPr>
          <w:spacing w:val="40"/>
          <w:sz w:val="22"/>
          <w:szCs w:val="22"/>
          <w:lang w:val="en-US"/>
        </w:rPr>
        <w:t xml:space="preserve"> </w:t>
      </w:r>
      <w:r w:rsidRPr="00B063A8">
        <w:rPr>
          <w:sz w:val="22"/>
          <w:szCs w:val="22"/>
          <w:lang w:val="en-US"/>
        </w:rPr>
        <w:t>Advertising</w:t>
      </w:r>
      <w:r w:rsidRPr="00B063A8">
        <w:rPr>
          <w:spacing w:val="-3"/>
          <w:sz w:val="22"/>
          <w:szCs w:val="22"/>
          <w:lang w:val="en-US"/>
        </w:rPr>
        <w:t xml:space="preserve"> </w:t>
      </w:r>
      <w:r w:rsidRPr="00B063A8">
        <w:rPr>
          <w:sz w:val="22"/>
          <w:szCs w:val="22"/>
          <w:lang w:val="en-US"/>
        </w:rPr>
        <w:t>in</w:t>
      </w:r>
      <w:r w:rsidRPr="00B063A8">
        <w:rPr>
          <w:spacing w:val="-1"/>
          <w:sz w:val="22"/>
          <w:szCs w:val="22"/>
          <w:lang w:val="en-US"/>
        </w:rPr>
        <w:t xml:space="preserve"> </w:t>
      </w:r>
      <w:r w:rsidRPr="00B063A8">
        <w:rPr>
          <w:sz w:val="22"/>
          <w:szCs w:val="22"/>
          <w:lang w:val="en-US"/>
        </w:rPr>
        <w:t>Islam,</w:t>
      </w:r>
      <w:r w:rsidRPr="00B063A8">
        <w:rPr>
          <w:spacing w:val="-4"/>
          <w:sz w:val="22"/>
          <w:szCs w:val="22"/>
          <w:lang w:val="en-US"/>
        </w:rPr>
        <w:t xml:space="preserve"> </w:t>
      </w:r>
      <w:r w:rsidRPr="00B063A8">
        <w:rPr>
          <w:sz w:val="22"/>
          <w:szCs w:val="22"/>
          <w:lang w:val="en-US"/>
        </w:rPr>
        <w:t>Journal</w:t>
      </w:r>
      <w:r w:rsidRPr="00B063A8">
        <w:rPr>
          <w:spacing w:val="-3"/>
          <w:sz w:val="22"/>
          <w:szCs w:val="22"/>
          <w:lang w:val="en-US"/>
        </w:rPr>
        <w:t xml:space="preserve"> </w:t>
      </w:r>
      <w:r w:rsidRPr="00B063A8">
        <w:rPr>
          <w:sz w:val="22"/>
          <w:szCs w:val="22"/>
          <w:lang w:val="en-US"/>
        </w:rPr>
        <w:t>of</w:t>
      </w:r>
      <w:r w:rsidRPr="00B063A8">
        <w:rPr>
          <w:spacing w:val="-3"/>
          <w:sz w:val="22"/>
          <w:szCs w:val="22"/>
          <w:lang w:val="en-US"/>
        </w:rPr>
        <w:t xml:space="preserve"> </w:t>
      </w:r>
      <w:r w:rsidRPr="00B063A8">
        <w:rPr>
          <w:sz w:val="22"/>
          <w:szCs w:val="22"/>
          <w:lang w:val="en-US"/>
        </w:rPr>
        <w:t>Advertising</w:t>
      </w:r>
      <w:r w:rsidRPr="00B063A8">
        <w:rPr>
          <w:spacing w:val="-3"/>
          <w:sz w:val="22"/>
          <w:szCs w:val="22"/>
          <w:lang w:val="en-US"/>
        </w:rPr>
        <w:t xml:space="preserve"> </w:t>
      </w:r>
      <w:r w:rsidRPr="00B063A8">
        <w:rPr>
          <w:sz w:val="22"/>
          <w:szCs w:val="22"/>
          <w:lang w:val="en-US"/>
        </w:rPr>
        <w:t>Research,</w:t>
      </w:r>
      <w:r w:rsidRPr="00B063A8">
        <w:rPr>
          <w:spacing w:val="-1"/>
          <w:sz w:val="22"/>
          <w:szCs w:val="22"/>
          <w:lang w:val="en-US"/>
        </w:rPr>
        <w:t xml:space="preserve"> </w:t>
      </w:r>
      <w:r w:rsidRPr="00B063A8">
        <w:rPr>
          <w:sz w:val="22"/>
          <w:szCs w:val="22"/>
          <w:lang w:val="en-US"/>
        </w:rPr>
        <w:t>36(3):</w:t>
      </w:r>
      <w:r w:rsidRPr="00B063A8">
        <w:rPr>
          <w:spacing w:val="-3"/>
          <w:sz w:val="22"/>
          <w:szCs w:val="22"/>
          <w:lang w:val="en-US"/>
        </w:rPr>
        <w:t xml:space="preserve"> </w:t>
      </w:r>
      <w:r w:rsidRPr="00B063A8">
        <w:rPr>
          <w:sz w:val="22"/>
          <w:szCs w:val="22"/>
          <w:lang w:val="en-US"/>
        </w:rPr>
        <w:t>16-26.</w:t>
      </w:r>
      <w:r w:rsidRPr="00B063A8">
        <w:rPr>
          <w:spacing w:val="73"/>
          <w:sz w:val="22"/>
          <w:szCs w:val="22"/>
          <w:lang w:val="en-US"/>
        </w:rPr>
        <w:t xml:space="preserve"> </w:t>
      </w:r>
      <w:r w:rsidRPr="00B063A8">
        <w:rPr>
          <w:sz w:val="22"/>
          <w:szCs w:val="22"/>
          <w:lang w:val="en-US"/>
        </w:rPr>
        <w:t>Aulakh,</w:t>
      </w:r>
      <w:r w:rsidRPr="00B063A8">
        <w:rPr>
          <w:spacing w:val="-4"/>
          <w:sz w:val="22"/>
          <w:szCs w:val="22"/>
          <w:lang w:val="en-US"/>
        </w:rPr>
        <w:t xml:space="preserve"> </w:t>
      </w:r>
      <w:r w:rsidRPr="00B063A8">
        <w:rPr>
          <w:sz w:val="22"/>
          <w:szCs w:val="22"/>
          <w:lang w:val="en-US"/>
        </w:rPr>
        <w:t>P.S.;</w:t>
      </w:r>
      <w:r w:rsidRPr="00B063A8">
        <w:rPr>
          <w:spacing w:val="-3"/>
          <w:sz w:val="22"/>
          <w:szCs w:val="22"/>
          <w:lang w:val="en-US"/>
        </w:rPr>
        <w:t xml:space="preserve"> </w:t>
      </w:r>
      <w:r w:rsidRPr="00B063A8">
        <w:rPr>
          <w:sz w:val="22"/>
          <w:szCs w:val="22"/>
          <w:lang w:val="en-US"/>
        </w:rPr>
        <w:t>Kotabe, M.</w:t>
      </w:r>
      <w:r w:rsidRPr="00B063A8">
        <w:rPr>
          <w:spacing w:val="-3"/>
          <w:sz w:val="22"/>
          <w:szCs w:val="22"/>
          <w:lang w:val="en-US"/>
        </w:rPr>
        <w:t xml:space="preserve"> </w:t>
      </w:r>
      <w:r w:rsidRPr="00B063A8">
        <w:rPr>
          <w:sz w:val="22"/>
          <w:szCs w:val="22"/>
          <w:lang w:val="en-US"/>
        </w:rPr>
        <w:t>(1993):</w:t>
      </w:r>
      <w:r w:rsidRPr="00B063A8">
        <w:rPr>
          <w:spacing w:val="-4"/>
          <w:sz w:val="22"/>
          <w:szCs w:val="22"/>
          <w:lang w:val="en-US"/>
        </w:rPr>
        <w:t xml:space="preserve"> </w:t>
      </w:r>
      <w:r w:rsidRPr="00B063A8">
        <w:rPr>
          <w:sz w:val="22"/>
          <w:szCs w:val="22"/>
          <w:lang w:val="en-US"/>
        </w:rPr>
        <w:t>An</w:t>
      </w:r>
      <w:r w:rsidRPr="00B063A8">
        <w:rPr>
          <w:spacing w:val="-4"/>
          <w:sz w:val="22"/>
          <w:szCs w:val="22"/>
          <w:lang w:val="en-US"/>
        </w:rPr>
        <w:t xml:space="preserve"> </w:t>
      </w:r>
      <w:r w:rsidRPr="00B063A8">
        <w:rPr>
          <w:sz w:val="22"/>
          <w:szCs w:val="22"/>
          <w:lang w:val="en-US"/>
        </w:rPr>
        <w:t>Assessment</w:t>
      </w:r>
      <w:r w:rsidRPr="00B063A8">
        <w:rPr>
          <w:spacing w:val="-7"/>
          <w:sz w:val="22"/>
          <w:szCs w:val="22"/>
          <w:lang w:val="en-US"/>
        </w:rPr>
        <w:t xml:space="preserve"> </w:t>
      </w:r>
      <w:r w:rsidRPr="00B063A8">
        <w:rPr>
          <w:sz w:val="22"/>
          <w:szCs w:val="22"/>
          <w:lang w:val="en-US"/>
        </w:rPr>
        <w:t>of</w:t>
      </w:r>
      <w:r w:rsidRPr="00B063A8">
        <w:rPr>
          <w:spacing w:val="-4"/>
          <w:sz w:val="22"/>
          <w:szCs w:val="22"/>
          <w:lang w:val="en-US"/>
        </w:rPr>
        <w:t xml:space="preserve"> </w:t>
      </w:r>
      <w:r w:rsidRPr="00B063A8">
        <w:rPr>
          <w:sz w:val="22"/>
          <w:szCs w:val="22"/>
          <w:lang w:val="en-US"/>
        </w:rPr>
        <w:t>Theoretical</w:t>
      </w:r>
      <w:r w:rsidRPr="00B063A8">
        <w:rPr>
          <w:spacing w:val="-4"/>
          <w:sz w:val="22"/>
          <w:szCs w:val="22"/>
          <w:lang w:val="en-US"/>
        </w:rPr>
        <w:t xml:space="preserve"> </w:t>
      </w:r>
      <w:r w:rsidRPr="00B063A8">
        <w:rPr>
          <w:sz w:val="22"/>
          <w:szCs w:val="22"/>
          <w:lang w:val="en-US"/>
        </w:rPr>
        <w:t>and</w:t>
      </w:r>
      <w:r w:rsidRPr="00B063A8">
        <w:rPr>
          <w:spacing w:val="-6"/>
          <w:sz w:val="22"/>
          <w:szCs w:val="22"/>
          <w:lang w:val="en-US"/>
        </w:rPr>
        <w:t xml:space="preserve"> </w:t>
      </w:r>
      <w:r w:rsidRPr="00B063A8">
        <w:rPr>
          <w:sz w:val="22"/>
          <w:szCs w:val="22"/>
          <w:lang w:val="en-US"/>
        </w:rPr>
        <w:t>Methodological</w:t>
      </w:r>
      <w:r w:rsidRPr="00B063A8">
        <w:rPr>
          <w:spacing w:val="-3"/>
          <w:sz w:val="22"/>
          <w:szCs w:val="22"/>
          <w:lang w:val="en-US"/>
        </w:rPr>
        <w:t xml:space="preserve"> </w:t>
      </w:r>
      <w:r w:rsidRPr="00B063A8">
        <w:rPr>
          <w:sz w:val="22"/>
          <w:szCs w:val="22"/>
          <w:lang w:val="en-US"/>
        </w:rPr>
        <w:t>Development</w:t>
      </w:r>
      <w:r w:rsidRPr="00B063A8">
        <w:rPr>
          <w:spacing w:val="-4"/>
          <w:sz w:val="22"/>
          <w:szCs w:val="22"/>
          <w:lang w:val="en-US"/>
        </w:rPr>
        <w:t xml:space="preserve"> </w:t>
      </w:r>
      <w:r w:rsidRPr="00B063A8">
        <w:rPr>
          <w:sz w:val="22"/>
          <w:szCs w:val="22"/>
          <w:lang w:val="en-US"/>
        </w:rPr>
        <w:t>in</w:t>
      </w:r>
      <w:r w:rsidRPr="00B063A8">
        <w:rPr>
          <w:spacing w:val="-3"/>
          <w:sz w:val="22"/>
          <w:szCs w:val="22"/>
          <w:lang w:val="en-US"/>
        </w:rPr>
        <w:t xml:space="preserve"> </w:t>
      </w:r>
      <w:r w:rsidRPr="00B063A8">
        <w:rPr>
          <w:sz w:val="22"/>
          <w:szCs w:val="22"/>
          <w:lang w:val="en-US"/>
        </w:rPr>
        <w:t>International</w:t>
      </w:r>
      <w:r w:rsidRPr="00B063A8">
        <w:rPr>
          <w:spacing w:val="40"/>
          <w:sz w:val="22"/>
          <w:szCs w:val="22"/>
          <w:lang w:val="en-US"/>
        </w:rPr>
        <w:t xml:space="preserve"> </w:t>
      </w:r>
      <w:r w:rsidRPr="00B063A8">
        <w:rPr>
          <w:sz w:val="22"/>
          <w:szCs w:val="22"/>
          <w:lang w:val="en-US"/>
        </w:rPr>
        <w:t>Marketing.</w:t>
      </w:r>
      <w:r w:rsidRPr="00B063A8">
        <w:rPr>
          <w:spacing w:val="-10"/>
          <w:sz w:val="22"/>
          <w:szCs w:val="22"/>
          <w:lang w:val="en-US"/>
        </w:rPr>
        <w:t xml:space="preserve"> </w:t>
      </w:r>
      <w:r w:rsidRPr="00B063A8">
        <w:rPr>
          <w:sz w:val="22"/>
          <w:szCs w:val="22"/>
          <w:lang w:val="en-US"/>
        </w:rPr>
        <w:t>1980-1990,</w:t>
      </w:r>
      <w:r w:rsidRPr="00B063A8">
        <w:rPr>
          <w:spacing w:val="-10"/>
          <w:sz w:val="22"/>
          <w:szCs w:val="22"/>
          <w:lang w:val="en-US"/>
        </w:rPr>
        <w:t xml:space="preserve"> </w:t>
      </w:r>
      <w:r w:rsidRPr="00B063A8">
        <w:rPr>
          <w:sz w:val="22"/>
          <w:szCs w:val="22"/>
          <w:lang w:val="en-US"/>
        </w:rPr>
        <w:t>Journal</w:t>
      </w:r>
      <w:r w:rsidRPr="00B063A8">
        <w:rPr>
          <w:spacing w:val="-10"/>
          <w:sz w:val="22"/>
          <w:szCs w:val="22"/>
          <w:lang w:val="en-US"/>
        </w:rPr>
        <w:t xml:space="preserve"> </w:t>
      </w:r>
      <w:r w:rsidRPr="00B063A8">
        <w:rPr>
          <w:sz w:val="22"/>
          <w:szCs w:val="22"/>
          <w:lang w:val="en-US"/>
        </w:rPr>
        <w:t>of</w:t>
      </w:r>
      <w:r w:rsidRPr="00B063A8">
        <w:rPr>
          <w:spacing w:val="-10"/>
          <w:sz w:val="22"/>
          <w:szCs w:val="22"/>
          <w:lang w:val="en-US"/>
        </w:rPr>
        <w:t xml:space="preserve"> </w:t>
      </w:r>
      <w:r w:rsidRPr="00B063A8">
        <w:rPr>
          <w:sz w:val="22"/>
          <w:szCs w:val="22"/>
          <w:lang w:val="en-US"/>
        </w:rPr>
        <w:t>International</w:t>
      </w:r>
      <w:r w:rsidRPr="00B063A8">
        <w:rPr>
          <w:spacing w:val="-10"/>
          <w:sz w:val="22"/>
          <w:szCs w:val="22"/>
          <w:lang w:val="en-US"/>
        </w:rPr>
        <w:t xml:space="preserve"> </w:t>
      </w:r>
      <w:r w:rsidRPr="00B063A8">
        <w:rPr>
          <w:sz w:val="22"/>
          <w:szCs w:val="22"/>
          <w:lang w:val="en-US"/>
        </w:rPr>
        <w:t>Marketing,</w:t>
      </w:r>
      <w:r w:rsidRPr="00B063A8">
        <w:rPr>
          <w:spacing w:val="-10"/>
          <w:sz w:val="22"/>
          <w:szCs w:val="22"/>
          <w:lang w:val="en-US"/>
        </w:rPr>
        <w:t xml:space="preserve"> </w:t>
      </w:r>
      <w:r w:rsidRPr="00B063A8">
        <w:rPr>
          <w:sz w:val="22"/>
          <w:szCs w:val="22"/>
          <w:lang w:val="en-US"/>
        </w:rPr>
        <w:t>1(2):</w:t>
      </w:r>
      <w:r w:rsidRPr="00B063A8">
        <w:rPr>
          <w:spacing w:val="-10"/>
          <w:sz w:val="22"/>
          <w:szCs w:val="22"/>
          <w:lang w:val="en-US"/>
        </w:rPr>
        <w:t xml:space="preserve"> </w:t>
      </w:r>
      <w:r w:rsidRPr="00B063A8">
        <w:rPr>
          <w:sz w:val="22"/>
          <w:szCs w:val="22"/>
          <w:lang w:val="en-US"/>
        </w:rPr>
        <w:t>5-28.</w:t>
      </w:r>
      <w:r w:rsidRPr="00B063A8">
        <w:rPr>
          <w:spacing w:val="80"/>
          <w:sz w:val="22"/>
          <w:szCs w:val="22"/>
          <w:lang w:val="en-US"/>
        </w:rPr>
        <w:t xml:space="preserve"> </w:t>
      </w:r>
      <w:r w:rsidRPr="00B063A8">
        <w:rPr>
          <w:sz w:val="22"/>
          <w:szCs w:val="22"/>
          <w:lang w:val="en-US"/>
        </w:rPr>
        <w:t>Backhaus,</w:t>
      </w:r>
      <w:r w:rsidRPr="00B063A8">
        <w:rPr>
          <w:spacing w:val="-10"/>
          <w:sz w:val="22"/>
          <w:szCs w:val="22"/>
          <w:lang w:val="en-US"/>
        </w:rPr>
        <w:t xml:space="preserve"> </w:t>
      </w:r>
      <w:r w:rsidRPr="00B063A8">
        <w:rPr>
          <w:sz w:val="22"/>
          <w:szCs w:val="22"/>
          <w:lang w:val="en-US"/>
        </w:rPr>
        <w:t>K.,</w:t>
      </w:r>
      <w:r w:rsidRPr="00B063A8">
        <w:rPr>
          <w:spacing w:val="-10"/>
          <w:sz w:val="22"/>
          <w:szCs w:val="22"/>
          <w:lang w:val="en-US"/>
        </w:rPr>
        <w:t xml:space="preserve"> </w:t>
      </w:r>
      <w:r w:rsidRPr="00B063A8">
        <w:rPr>
          <w:sz w:val="22"/>
          <w:szCs w:val="22"/>
          <w:lang w:val="en-US"/>
        </w:rPr>
        <w:t>Voeth, M. (2010): Internationales Marketing, 6.Aufl., Stuttgart: Schäffer-Poeschel.</w:t>
      </w:r>
      <w:r w:rsidRPr="00B063A8">
        <w:rPr>
          <w:spacing w:val="80"/>
          <w:sz w:val="22"/>
          <w:szCs w:val="22"/>
          <w:lang w:val="en-US"/>
        </w:rPr>
        <w:t xml:space="preserve"> </w:t>
      </w:r>
      <w:r w:rsidRPr="00B063A8">
        <w:rPr>
          <w:sz w:val="22"/>
          <w:szCs w:val="22"/>
          <w:lang w:val="en-US"/>
        </w:rPr>
        <w:t>Bartels, R.</w:t>
      </w:r>
      <w:r w:rsidRPr="00B063A8">
        <w:rPr>
          <w:spacing w:val="40"/>
          <w:sz w:val="22"/>
          <w:szCs w:val="22"/>
          <w:lang w:val="en-US"/>
        </w:rPr>
        <w:t xml:space="preserve"> </w:t>
      </w:r>
      <w:r w:rsidRPr="00B063A8">
        <w:rPr>
          <w:sz w:val="22"/>
          <w:szCs w:val="22"/>
          <w:lang w:val="en-US"/>
        </w:rPr>
        <w:t>(1971):</w:t>
      </w:r>
      <w:r w:rsidRPr="00B063A8">
        <w:rPr>
          <w:spacing w:val="-10"/>
          <w:sz w:val="22"/>
          <w:szCs w:val="22"/>
          <w:lang w:val="en-US"/>
        </w:rPr>
        <w:t xml:space="preserve"> </w:t>
      </w:r>
      <w:r w:rsidRPr="00B063A8">
        <w:rPr>
          <w:sz w:val="22"/>
          <w:szCs w:val="22"/>
          <w:lang w:val="en-US"/>
        </w:rPr>
        <w:t>Marketing</w:t>
      </w:r>
      <w:r w:rsidRPr="00B063A8">
        <w:rPr>
          <w:spacing w:val="-10"/>
          <w:sz w:val="22"/>
          <w:szCs w:val="22"/>
          <w:lang w:val="en-US"/>
        </w:rPr>
        <w:t xml:space="preserve"> </w:t>
      </w:r>
      <w:r w:rsidRPr="00B063A8">
        <w:rPr>
          <w:sz w:val="22"/>
          <w:szCs w:val="22"/>
          <w:lang w:val="en-US"/>
        </w:rPr>
        <w:t>Theory</w:t>
      </w:r>
      <w:r w:rsidRPr="00B063A8">
        <w:rPr>
          <w:spacing w:val="-10"/>
          <w:sz w:val="22"/>
          <w:szCs w:val="22"/>
          <w:lang w:val="en-US"/>
        </w:rPr>
        <w:t xml:space="preserve"> </w:t>
      </w:r>
      <w:r w:rsidRPr="00B063A8">
        <w:rPr>
          <w:sz w:val="22"/>
          <w:szCs w:val="22"/>
          <w:lang w:val="en-US"/>
        </w:rPr>
        <w:t>and</w:t>
      </w:r>
      <w:r w:rsidRPr="00B063A8">
        <w:rPr>
          <w:spacing w:val="-10"/>
          <w:sz w:val="22"/>
          <w:szCs w:val="22"/>
          <w:lang w:val="en-US"/>
        </w:rPr>
        <w:t xml:space="preserve"> </w:t>
      </w:r>
      <w:r w:rsidRPr="00B063A8">
        <w:rPr>
          <w:sz w:val="22"/>
          <w:szCs w:val="22"/>
          <w:lang w:val="en-US"/>
        </w:rPr>
        <w:t>Metatheory,</w:t>
      </w:r>
      <w:r w:rsidRPr="00B063A8">
        <w:rPr>
          <w:spacing w:val="-10"/>
          <w:sz w:val="22"/>
          <w:szCs w:val="22"/>
          <w:lang w:val="en-US"/>
        </w:rPr>
        <w:t xml:space="preserve"> </w:t>
      </w:r>
      <w:r w:rsidRPr="00B063A8">
        <w:rPr>
          <w:sz w:val="22"/>
          <w:szCs w:val="22"/>
          <w:lang w:val="en-US"/>
        </w:rPr>
        <w:t>2nd</w:t>
      </w:r>
      <w:r w:rsidRPr="00B063A8">
        <w:rPr>
          <w:spacing w:val="-10"/>
          <w:sz w:val="22"/>
          <w:szCs w:val="22"/>
          <w:lang w:val="en-US"/>
        </w:rPr>
        <w:t xml:space="preserve"> </w:t>
      </w:r>
      <w:r w:rsidRPr="00B063A8">
        <w:rPr>
          <w:sz w:val="22"/>
          <w:szCs w:val="22"/>
          <w:lang w:val="en-US"/>
        </w:rPr>
        <w:t>Ed.,</w:t>
      </w:r>
      <w:r w:rsidRPr="00B063A8">
        <w:rPr>
          <w:spacing w:val="-10"/>
          <w:sz w:val="22"/>
          <w:szCs w:val="22"/>
          <w:lang w:val="en-US"/>
        </w:rPr>
        <w:t xml:space="preserve"> </w:t>
      </w:r>
      <w:r w:rsidRPr="00B063A8">
        <w:rPr>
          <w:sz w:val="22"/>
          <w:szCs w:val="22"/>
          <w:lang w:val="en-US"/>
        </w:rPr>
        <w:t>Homewood/IL:</w:t>
      </w:r>
      <w:r w:rsidRPr="00B063A8">
        <w:rPr>
          <w:spacing w:val="-10"/>
          <w:sz w:val="22"/>
          <w:szCs w:val="22"/>
          <w:lang w:val="en-US"/>
        </w:rPr>
        <w:t xml:space="preserve"> </w:t>
      </w:r>
      <w:r w:rsidRPr="00B063A8">
        <w:rPr>
          <w:sz w:val="22"/>
          <w:szCs w:val="22"/>
          <w:lang w:val="en-US"/>
        </w:rPr>
        <w:t>Irwin.</w:t>
      </w:r>
      <w:r w:rsidRPr="00B063A8">
        <w:rPr>
          <w:spacing w:val="12"/>
          <w:sz w:val="22"/>
          <w:szCs w:val="22"/>
          <w:lang w:val="en-US"/>
        </w:rPr>
        <w:t xml:space="preserve"> </w:t>
      </w:r>
      <w:r w:rsidRPr="00B063A8">
        <w:rPr>
          <w:sz w:val="22"/>
          <w:szCs w:val="22"/>
        </w:rPr>
        <w:t>Bauer,</w:t>
      </w:r>
      <w:r w:rsidRPr="00B063A8">
        <w:rPr>
          <w:spacing w:val="-10"/>
          <w:sz w:val="22"/>
          <w:szCs w:val="22"/>
        </w:rPr>
        <w:t xml:space="preserve"> </w:t>
      </w:r>
      <w:r w:rsidRPr="00B063A8">
        <w:rPr>
          <w:sz w:val="22"/>
          <w:szCs w:val="22"/>
        </w:rPr>
        <w:t>E.</w:t>
      </w:r>
      <w:r w:rsidRPr="00B063A8">
        <w:rPr>
          <w:spacing w:val="-10"/>
          <w:sz w:val="22"/>
          <w:szCs w:val="22"/>
        </w:rPr>
        <w:t xml:space="preserve"> </w:t>
      </w:r>
      <w:r w:rsidRPr="00B063A8">
        <w:rPr>
          <w:sz w:val="22"/>
          <w:szCs w:val="22"/>
        </w:rPr>
        <w:t>(2009):</w:t>
      </w:r>
      <w:r w:rsidRPr="00B063A8">
        <w:rPr>
          <w:spacing w:val="40"/>
          <w:sz w:val="22"/>
          <w:szCs w:val="22"/>
        </w:rPr>
        <w:t xml:space="preserve"> </w:t>
      </w:r>
      <w:r w:rsidRPr="00B063A8">
        <w:rPr>
          <w:sz w:val="22"/>
          <w:szCs w:val="22"/>
        </w:rPr>
        <w:t>Internationale Marketingforschung, 4.Aufl., München: Oldenbourg.</w:t>
      </w:r>
      <w:r w:rsidRPr="00B063A8">
        <w:rPr>
          <w:spacing w:val="40"/>
          <w:sz w:val="22"/>
          <w:szCs w:val="22"/>
        </w:rPr>
        <w:t xml:space="preserve"> </w:t>
      </w:r>
      <w:r w:rsidRPr="00B063A8">
        <w:rPr>
          <w:sz w:val="22"/>
          <w:szCs w:val="22"/>
        </w:rPr>
        <w:t>Bronner, R. (1992):</w:t>
      </w:r>
      <w:r w:rsidRPr="00B063A8">
        <w:rPr>
          <w:spacing w:val="40"/>
          <w:sz w:val="22"/>
          <w:szCs w:val="22"/>
        </w:rPr>
        <w:t xml:space="preserve"> </w:t>
      </w:r>
      <w:r w:rsidRPr="00B063A8">
        <w:rPr>
          <w:sz w:val="22"/>
          <w:szCs w:val="22"/>
        </w:rPr>
        <w:t>Komplexität, in: Frese E. (Hrsg.), Handwörterbuch der Organisation, 3.Aufl., 1121-1130,</w:t>
      </w:r>
      <w:r w:rsidRPr="00B063A8">
        <w:rPr>
          <w:spacing w:val="40"/>
          <w:sz w:val="22"/>
          <w:szCs w:val="22"/>
        </w:rPr>
        <w:t xml:space="preserve"> </w:t>
      </w:r>
      <w:r w:rsidRPr="00B063A8">
        <w:rPr>
          <w:sz w:val="22"/>
          <w:szCs w:val="22"/>
        </w:rPr>
        <w:t>Stuttgart: Schäffer-Poeschel.</w:t>
      </w:r>
      <w:r w:rsidRPr="00B063A8">
        <w:rPr>
          <w:spacing w:val="40"/>
          <w:sz w:val="22"/>
          <w:szCs w:val="22"/>
        </w:rPr>
        <w:t xml:space="preserve"> </w:t>
      </w:r>
      <w:r w:rsidRPr="00B063A8">
        <w:rPr>
          <w:sz w:val="22"/>
          <w:szCs w:val="22"/>
        </w:rPr>
        <w:t>Gaugler; E. (1998): Hundert Jahre Betriebswirtschaftslehre,</w:t>
      </w:r>
      <w:r w:rsidRPr="00B063A8">
        <w:rPr>
          <w:spacing w:val="40"/>
          <w:sz w:val="22"/>
          <w:szCs w:val="22"/>
        </w:rPr>
        <w:t xml:space="preserve"> </w:t>
      </w:r>
      <w:r w:rsidRPr="00B063A8">
        <w:rPr>
          <w:sz w:val="22"/>
          <w:szCs w:val="22"/>
        </w:rPr>
        <w:t>FBS-Schriftenreihe, 53. Hammer, R.M. (1993): Strategische Planung in</w:t>
      </w:r>
      <w:r w:rsidRPr="00B063A8">
        <w:rPr>
          <w:spacing w:val="40"/>
          <w:sz w:val="22"/>
          <w:szCs w:val="22"/>
        </w:rPr>
        <w:t xml:space="preserve"> </w:t>
      </w:r>
      <w:r w:rsidRPr="00B063A8">
        <w:rPr>
          <w:sz w:val="22"/>
          <w:szCs w:val="22"/>
        </w:rPr>
        <w:t>Familienunternehmungen, in: Hammer, R.M. (Hrsg.), Strategisches Management global,</w:t>
      </w:r>
      <w:r w:rsidRPr="00B063A8">
        <w:rPr>
          <w:spacing w:val="40"/>
          <w:sz w:val="22"/>
          <w:szCs w:val="22"/>
        </w:rPr>
        <w:t xml:space="preserve"> </w:t>
      </w:r>
      <w:r w:rsidRPr="00B063A8">
        <w:rPr>
          <w:sz w:val="22"/>
          <w:szCs w:val="22"/>
        </w:rPr>
        <w:t>257-268, Wiesbaden: Gabler.</w:t>
      </w:r>
      <w:r w:rsidRPr="00B063A8">
        <w:rPr>
          <w:spacing w:val="40"/>
          <w:sz w:val="22"/>
          <w:szCs w:val="22"/>
        </w:rPr>
        <w:t xml:space="preserve"> </w:t>
      </w:r>
      <w:r w:rsidRPr="00B063A8">
        <w:rPr>
          <w:sz w:val="22"/>
          <w:szCs w:val="22"/>
        </w:rPr>
        <w:t>Hermanns, A. (1995): Aufgaben des internationalen</w:t>
      </w:r>
      <w:r w:rsidRPr="00B063A8">
        <w:rPr>
          <w:spacing w:val="40"/>
          <w:sz w:val="22"/>
          <w:szCs w:val="22"/>
        </w:rPr>
        <w:t xml:space="preserve"> </w:t>
      </w:r>
      <w:r w:rsidRPr="00B063A8">
        <w:rPr>
          <w:sz w:val="22"/>
          <w:szCs w:val="22"/>
        </w:rPr>
        <w:t>Marketing-Managements, in: Hermanns A.; Wißmeier U.K. (Hrsg.), Internationales</w:t>
      </w:r>
      <w:r w:rsidRPr="00B063A8">
        <w:rPr>
          <w:spacing w:val="40"/>
          <w:sz w:val="22"/>
          <w:szCs w:val="22"/>
        </w:rPr>
        <w:t xml:space="preserve"> </w:t>
      </w:r>
      <w:r w:rsidRPr="00B063A8">
        <w:rPr>
          <w:sz w:val="22"/>
          <w:szCs w:val="22"/>
        </w:rPr>
        <w:t>Marketing-Management,</w:t>
      </w:r>
      <w:r w:rsidRPr="00B063A8">
        <w:rPr>
          <w:spacing w:val="-10"/>
          <w:sz w:val="22"/>
          <w:szCs w:val="22"/>
        </w:rPr>
        <w:t xml:space="preserve"> </w:t>
      </w:r>
      <w:r w:rsidRPr="00B063A8">
        <w:rPr>
          <w:sz w:val="22"/>
          <w:szCs w:val="22"/>
        </w:rPr>
        <w:t>München</w:t>
      </w:r>
      <w:r w:rsidRPr="00B063A8">
        <w:rPr>
          <w:spacing w:val="-9"/>
          <w:sz w:val="22"/>
          <w:szCs w:val="22"/>
        </w:rPr>
        <w:t xml:space="preserve"> </w:t>
      </w:r>
      <w:r w:rsidRPr="00B063A8">
        <w:rPr>
          <w:sz w:val="22"/>
          <w:szCs w:val="22"/>
        </w:rPr>
        <w:t>1995,</w:t>
      </w:r>
      <w:r w:rsidRPr="00B063A8">
        <w:rPr>
          <w:spacing w:val="-9"/>
          <w:sz w:val="22"/>
          <w:szCs w:val="22"/>
        </w:rPr>
        <w:t xml:space="preserve"> </w:t>
      </w:r>
      <w:r w:rsidRPr="00B063A8">
        <w:rPr>
          <w:sz w:val="22"/>
          <w:szCs w:val="22"/>
        </w:rPr>
        <w:t>23-68.</w:t>
      </w:r>
      <w:r w:rsidRPr="00B063A8">
        <w:rPr>
          <w:spacing w:val="40"/>
          <w:sz w:val="22"/>
          <w:szCs w:val="22"/>
        </w:rPr>
        <w:t xml:space="preserve"> </w:t>
      </w:r>
      <w:r w:rsidRPr="00B063A8">
        <w:rPr>
          <w:sz w:val="22"/>
          <w:szCs w:val="22"/>
        </w:rPr>
        <w:t>Jaensch,</w:t>
      </w:r>
      <w:r w:rsidRPr="00B063A8">
        <w:rPr>
          <w:spacing w:val="-9"/>
          <w:sz w:val="22"/>
          <w:szCs w:val="22"/>
        </w:rPr>
        <w:t xml:space="preserve"> </w:t>
      </w:r>
      <w:r w:rsidRPr="00B063A8">
        <w:rPr>
          <w:sz w:val="22"/>
          <w:szCs w:val="22"/>
        </w:rPr>
        <w:t>G.</w:t>
      </w:r>
      <w:r w:rsidRPr="00B063A8">
        <w:rPr>
          <w:spacing w:val="-9"/>
          <w:sz w:val="22"/>
          <w:szCs w:val="22"/>
        </w:rPr>
        <w:t xml:space="preserve"> </w:t>
      </w:r>
      <w:r w:rsidRPr="00B063A8">
        <w:rPr>
          <w:sz w:val="22"/>
          <w:szCs w:val="22"/>
        </w:rPr>
        <w:t>(1989):</w:t>
      </w:r>
      <w:r w:rsidRPr="00B063A8">
        <w:rPr>
          <w:spacing w:val="-9"/>
          <w:sz w:val="22"/>
          <w:szCs w:val="22"/>
        </w:rPr>
        <w:t xml:space="preserve"> </w:t>
      </w:r>
      <w:r w:rsidRPr="00B063A8">
        <w:rPr>
          <w:sz w:val="22"/>
          <w:szCs w:val="22"/>
        </w:rPr>
        <w:t>Unternehmensführung</w:t>
      </w:r>
      <w:r w:rsidRPr="00B063A8">
        <w:rPr>
          <w:spacing w:val="40"/>
          <w:sz w:val="22"/>
          <w:szCs w:val="22"/>
        </w:rPr>
        <w:t xml:space="preserve"> </w:t>
      </w:r>
      <w:r w:rsidRPr="00B063A8">
        <w:rPr>
          <w:sz w:val="22"/>
          <w:szCs w:val="22"/>
        </w:rPr>
        <w:t>in</w:t>
      </w:r>
      <w:r w:rsidRPr="00B063A8">
        <w:rPr>
          <w:spacing w:val="-1"/>
          <w:sz w:val="22"/>
          <w:szCs w:val="22"/>
        </w:rPr>
        <w:t xml:space="preserve"> </w:t>
      </w:r>
      <w:r w:rsidRPr="00B063A8">
        <w:rPr>
          <w:sz w:val="22"/>
          <w:szCs w:val="22"/>
        </w:rPr>
        <w:t>den</w:t>
      </w:r>
      <w:r w:rsidRPr="00B063A8">
        <w:rPr>
          <w:spacing w:val="-1"/>
          <w:sz w:val="22"/>
          <w:szCs w:val="22"/>
        </w:rPr>
        <w:t xml:space="preserve"> </w:t>
      </w:r>
      <w:r w:rsidRPr="00B063A8">
        <w:rPr>
          <w:sz w:val="22"/>
          <w:szCs w:val="22"/>
        </w:rPr>
        <w:t>USA aus</w:t>
      </w:r>
      <w:r w:rsidRPr="00B063A8">
        <w:rPr>
          <w:spacing w:val="-2"/>
          <w:sz w:val="22"/>
          <w:szCs w:val="22"/>
        </w:rPr>
        <w:t xml:space="preserve"> </w:t>
      </w:r>
      <w:r w:rsidRPr="00B063A8">
        <w:rPr>
          <w:sz w:val="22"/>
          <w:szCs w:val="22"/>
        </w:rPr>
        <w:t>deutscher Sicht, Die</w:t>
      </w:r>
      <w:r w:rsidRPr="00B063A8">
        <w:rPr>
          <w:spacing w:val="-1"/>
          <w:sz w:val="22"/>
          <w:szCs w:val="22"/>
        </w:rPr>
        <w:t xml:space="preserve"> </w:t>
      </w:r>
      <w:r w:rsidRPr="00B063A8">
        <w:rPr>
          <w:sz w:val="22"/>
          <w:szCs w:val="22"/>
        </w:rPr>
        <w:t>Betriebswirtschaft, 49(3):</w:t>
      </w:r>
      <w:r w:rsidRPr="00B063A8">
        <w:rPr>
          <w:spacing w:val="-1"/>
          <w:sz w:val="22"/>
          <w:szCs w:val="22"/>
        </w:rPr>
        <w:t xml:space="preserve"> </w:t>
      </w:r>
      <w:r w:rsidRPr="00B063A8">
        <w:rPr>
          <w:sz w:val="22"/>
          <w:szCs w:val="22"/>
        </w:rPr>
        <w:t>275-286.</w:t>
      </w:r>
      <w:r w:rsidRPr="00B063A8">
        <w:rPr>
          <w:spacing w:val="80"/>
          <w:sz w:val="22"/>
          <w:szCs w:val="22"/>
        </w:rPr>
        <w:t xml:space="preserve"> </w:t>
      </w:r>
      <w:r w:rsidRPr="00B063A8">
        <w:rPr>
          <w:sz w:val="22"/>
          <w:szCs w:val="22"/>
        </w:rPr>
        <w:t>Koch, E. (1998):</w:t>
      </w:r>
      <w:r w:rsidRPr="00B063A8">
        <w:rPr>
          <w:spacing w:val="40"/>
          <w:sz w:val="22"/>
          <w:szCs w:val="22"/>
        </w:rPr>
        <w:t xml:space="preserve"> </w:t>
      </w:r>
      <w:r w:rsidRPr="00B063A8">
        <w:rPr>
          <w:sz w:val="22"/>
          <w:szCs w:val="22"/>
        </w:rPr>
        <w:t>Internationale Wirtschaftsbeziehungen, 2.Aufl., München: Vahlen.</w:t>
      </w:r>
      <w:r w:rsidRPr="00B063A8">
        <w:rPr>
          <w:spacing w:val="80"/>
          <w:sz w:val="22"/>
          <w:szCs w:val="22"/>
        </w:rPr>
        <w:t xml:space="preserve"> </w:t>
      </w:r>
      <w:r w:rsidRPr="00B063A8">
        <w:rPr>
          <w:sz w:val="22"/>
          <w:szCs w:val="22"/>
        </w:rPr>
        <w:t>Kotler, P. (1972):</w:t>
      </w:r>
      <w:r w:rsidRPr="00B063A8">
        <w:rPr>
          <w:spacing w:val="40"/>
          <w:sz w:val="22"/>
          <w:szCs w:val="22"/>
        </w:rPr>
        <w:t xml:space="preserve"> </w:t>
      </w:r>
      <w:r w:rsidRPr="00B063A8">
        <w:rPr>
          <w:sz w:val="22"/>
          <w:szCs w:val="22"/>
        </w:rPr>
        <w:t>Marketing Management, 2nd Ed., Englewood Cliffs/NJ: Prentice-Hall.</w:t>
      </w:r>
      <w:r w:rsidRPr="00B063A8">
        <w:rPr>
          <w:spacing w:val="80"/>
          <w:sz w:val="22"/>
          <w:szCs w:val="22"/>
        </w:rPr>
        <w:t xml:space="preserve"> </w:t>
      </w:r>
      <w:r w:rsidRPr="00B063A8">
        <w:rPr>
          <w:sz w:val="22"/>
          <w:szCs w:val="22"/>
          <w:lang w:val="en-US"/>
        </w:rPr>
        <w:t>Kutschker, M.;</w:t>
      </w:r>
      <w:r w:rsidRPr="00B063A8">
        <w:rPr>
          <w:spacing w:val="40"/>
          <w:sz w:val="22"/>
          <w:szCs w:val="22"/>
          <w:lang w:val="en-US"/>
        </w:rPr>
        <w:t xml:space="preserve"> </w:t>
      </w:r>
      <w:r w:rsidRPr="00B063A8">
        <w:rPr>
          <w:sz w:val="22"/>
          <w:szCs w:val="22"/>
          <w:lang w:val="en-US"/>
        </w:rPr>
        <w:t>Schmid, S. (2011): Internationales Management, 7.Aufl., München: Oldenbourg.</w:t>
      </w:r>
      <w:r w:rsidRPr="00B063A8">
        <w:rPr>
          <w:spacing w:val="80"/>
          <w:sz w:val="22"/>
          <w:szCs w:val="22"/>
          <w:lang w:val="en-US"/>
        </w:rPr>
        <w:t xml:space="preserve"> </w:t>
      </w:r>
      <w:r w:rsidRPr="00B063A8">
        <w:rPr>
          <w:sz w:val="22"/>
          <w:szCs w:val="22"/>
          <w:lang w:val="en-US"/>
        </w:rPr>
        <w:t>Li, T.;</w:t>
      </w:r>
      <w:r w:rsidRPr="00B063A8">
        <w:rPr>
          <w:spacing w:val="40"/>
          <w:sz w:val="22"/>
          <w:szCs w:val="22"/>
          <w:lang w:val="en-US"/>
        </w:rPr>
        <w:t xml:space="preserve"> </w:t>
      </w:r>
      <w:r w:rsidRPr="00B063A8">
        <w:rPr>
          <w:sz w:val="22"/>
          <w:szCs w:val="22"/>
          <w:lang w:val="en-US"/>
        </w:rPr>
        <w:t>Cavusgil,</w:t>
      </w:r>
      <w:r w:rsidRPr="00B063A8">
        <w:rPr>
          <w:spacing w:val="-7"/>
          <w:sz w:val="22"/>
          <w:szCs w:val="22"/>
          <w:lang w:val="en-US"/>
        </w:rPr>
        <w:t xml:space="preserve"> </w:t>
      </w:r>
      <w:r w:rsidRPr="00B063A8">
        <w:rPr>
          <w:sz w:val="22"/>
          <w:szCs w:val="22"/>
          <w:lang w:val="en-US"/>
        </w:rPr>
        <w:t>S.T.</w:t>
      </w:r>
      <w:r w:rsidRPr="00B063A8">
        <w:rPr>
          <w:spacing w:val="-6"/>
          <w:sz w:val="22"/>
          <w:szCs w:val="22"/>
          <w:lang w:val="en-US"/>
        </w:rPr>
        <w:t xml:space="preserve"> </w:t>
      </w:r>
      <w:r w:rsidRPr="00B063A8">
        <w:rPr>
          <w:sz w:val="22"/>
          <w:szCs w:val="22"/>
          <w:lang w:val="en-US"/>
        </w:rPr>
        <w:t>(1995):</w:t>
      </w:r>
      <w:r w:rsidRPr="00B063A8">
        <w:rPr>
          <w:spacing w:val="-7"/>
          <w:sz w:val="22"/>
          <w:szCs w:val="22"/>
          <w:lang w:val="en-US"/>
        </w:rPr>
        <w:t xml:space="preserve"> </w:t>
      </w:r>
      <w:r w:rsidRPr="00B063A8">
        <w:rPr>
          <w:sz w:val="22"/>
          <w:szCs w:val="22"/>
          <w:lang w:val="en-US"/>
        </w:rPr>
        <w:t>A</w:t>
      </w:r>
      <w:r w:rsidRPr="00B063A8">
        <w:rPr>
          <w:spacing w:val="-8"/>
          <w:sz w:val="22"/>
          <w:szCs w:val="22"/>
          <w:lang w:val="en-US"/>
        </w:rPr>
        <w:t xml:space="preserve"> </w:t>
      </w:r>
      <w:r w:rsidRPr="00B063A8">
        <w:rPr>
          <w:sz w:val="22"/>
          <w:szCs w:val="22"/>
          <w:lang w:val="en-US"/>
        </w:rPr>
        <w:t>Classification</w:t>
      </w:r>
      <w:r w:rsidRPr="00B063A8">
        <w:rPr>
          <w:spacing w:val="-7"/>
          <w:sz w:val="22"/>
          <w:szCs w:val="22"/>
          <w:lang w:val="en-US"/>
        </w:rPr>
        <w:t xml:space="preserve"> </w:t>
      </w:r>
      <w:r w:rsidRPr="00B063A8">
        <w:rPr>
          <w:sz w:val="22"/>
          <w:szCs w:val="22"/>
          <w:lang w:val="en-US"/>
        </w:rPr>
        <w:t>and</w:t>
      </w:r>
      <w:r w:rsidRPr="00B063A8">
        <w:rPr>
          <w:spacing w:val="-4"/>
          <w:sz w:val="22"/>
          <w:szCs w:val="22"/>
          <w:lang w:val="en-US"/>
        </w:rPr>
        <w:t xml:space="preserve"> </w:t>
      </w:r>
      <w:r w:rsidRPr="00B063A8">
        <w:rPr>
          <w:sz w:val="22"/>
          <w:szCs w:val="22"/>
          <w:lang w:val="en-US"/>
        </w:rPr>
        <w:t>Assessment</w:t>
      </w:r>
      <w:r w:rsidRPr="00B063A8">
        <w:rPr>
          <w:spacing w:val="-7"/>
          <w:sz w:val="22"/>
          <w:szCs w:val="22"/>
          <w:lang w:val="en-US"/>
        </w:rPr>
        <w:t xml:space="preserve"> </w:t>
      </w:r>
      <w:r w:rsidRPr="00B063A8">
        <w:rPr>
          <w:sz w:val="22"/>
          <w:szCs w:val="22"/>
          <w:lang w:val="en-US"/>
        </w:rPr>
        <w:t>of</w:t>
      </w:r>
      <w:r w:rsidRPr="00B063A8">
        <w:rPr>
          <w:spacing w:val="-8"/>
          <w:sz w:val="22"/>
          <w:szCs w:val="22"/>
          <w:lang w:val="en-US"/>
        </w:rPr>
        <w:t xml:space="preserve"> </w:t>
      </w:r>
      <w:r w:rsidRPr="00B063A8">
        <w:rPr>
          <w:sz w:val="22"/>
          <w:szCs w:val="22"/>
          <w:lang w:val="en-US"/>
        </w:rPr>
        <w:t>Research</w:t>
      </w:r>
      <w:r w:rsidRPr="00B063A8">
        <w:rPr>
          <w:spacing w:val="-4"/>
          <w:sz w:val="22"/>
          <w:szCs w:val="22"/>
          <w:lang w:val="en-US"/>
        </w:rPr>
        <w:t xml:space="preserve"> </w:t>
      </w:r>
      <w:r w:rsidRPr="00B063A8">
        <w:rPr>
          <w:sz w:val="22"/>
          <w:szCs w:val="22"/>
          <w:lang w:val="en-US"/>
        </w:rPr>
        <w:t>Streams</w:t>
      </w:r>
      <w:r w:rsidRPr="00B063A8">
        <w:rPr>
          <w:spacing w:val="-1"/>
          <w:sz w:val="22"/>
          <w:szCs w:val="22"/>
          <w:lang w:val="en-US"/>
        </w:rPr>
        <w:t xml:space="preserve"> </w:t>
      </w:r>
      <w:r w:rsidRPr="00B063A8">
        <w:rPr>
          <w:sz w:val="22"/>
          <w:szCs w:val="22"/>
          <w:lang w:val="en-US"/>
        </w:rPr>
        <w:t>in</w:t>
      </w:r>
      <w:r w:rsidRPr="00B063A8">
        <w:rPr>
          <w:spacing w:val="-4"/>
          <w:sz w:val="22"/>
          <w:szCs w:val="22"/>
          <w:lang w:val="en-US"/>
        </w:rPr>
        <w:t xml:space="preserve"> </w:t>
      </w:r>
      <w:r w:rsidRPr="00B063A8">
        <w:rPr>
          <w:sz w:val="22"/>
          <w:szCs w:val="22"/>
          <w:lang w:val="en-US"/>
        </w:rPr>
        <w:t>International Marketing, International Business Review, 4(3): 251-277.</w:t>
      </w:r>
      <w:r w:rsidRPr="00B063A8">
        <w:rPr>
          <w:spacing w:val="80"/>
          <w:sz w:val="22"/>
          <w:szCs w:val="22"/>
          <w:lang w:val="en-US"/>
        </w:rPr>
        <w:t xml:space="preserve"> </w:t>
      </w:r>
      <w:r w:rsidRPr="00B063A8">
        <w:rPr>
          <w:sz w:val="22"/>
          <w:szCs w:val="22"/>
        </w:rPr>
        <w:t>Macharzina, K. (1989):</w:t>
      </w:r>
      <w:r w:rsidRPr="00B063A8">
        <w:rPr>
          <w:spacing w:val="40"/>
          <w:sz w:val="22"/>
          <w:szCs w:val="22"/>
        </w:rPr>
        <w:t xml:space="preserve"> </w:t>
      </w:r>
      <w:r w:rsidRPr="00B063A8">
        <w:rPr>
          <w:sz w:val="22"/>
          <w:szCs w:val="22"/>
        </w:rPr>
        <w:t>Internationale Betriebswirtschaftslehre, in: Macharzina, K.; Welge, M.K. (Hrsg.),</w:t>
      </w:r>
      <w:r w:rsidRPr="00B063A8">
        <w:rPr>
          <w:spacing w:val="40"/>
          <w:sz w:val="22"/>
          <w:szCs w:val="22"/>
        </w:rPr>
        <w:t xml:space="preserve"> </w:t>
      </w:r>
      <w:r w:rsidRPr="00B063A8">
        <w:rPr>
          <w:sz w:val="22"/>
          <w:szCs w:val="22"/>
        </w:rPr>
        <w:t>Handwörterbuch Export und Internationale Unternehmung, 903-914, Stuttgart: Schäffer-</w:t>
      </w:r>
      <w:r w:rsidRPr="00B063A8">
        <w:rPr>
          <w:spacing w:val="40"/>
          <w:sz w:val="22"/>
          <w:szCs w:val="22"/>
        </w:rPr>
        <w:t xml:space="preserve"> </w:t>
      </w:r>
      <w:r w:rsidRPr="00B063A8">
        <w:rPr>
          <w:sz w:val="22"/>
          <w:szCs w:val="22"/>
        </w:rPr>
        <w:t>Poeschel.</w:t>
      </w:r>
      <w:r w:rsidRPr="00B063A8">
        <w:rPr>
          <w:spacing w:val="40"/>
          <w:sz w:val="22"/>
          <w:szCs w:val="22"/>
        </w:rPr>
        <w:t xml:space="preserve"> </w:t>
      </w:r>
      <w:r w:rsidRPr="00B063A8">
        <w:rPr>
          <w:sz w:val="22"/>
          <w:szCs w:val="22"/>
          <w:lang w:val="en-US"/>
        </w:rPr>
        <w:t>Macharzina, K.; Engelhard, J. (1991): Paradigm Shift in International Business</w:t>
      </w:r>
      <w:r w:rsidRPr="00B063A8">
        <w:rPr>
          <w:spacing w:val="40"/>
          <w:sz w:val="22"/>
          <w:szCs w:val="22"/>
          <w:lang w:val="en-US"/>
        </w:rPr>
        <w:t xml:space="preserve"> </w:t>
      </w:r>
      <w:r w:rsidRPr="00B063A8">
        <w:rPr>
          <w:sz w:val="22"/>
          <w:szCs w:val="22"/>
          <w:lang w:val="en-US"/>
        </w:rPr>
        <w:t>Research. From Partist and Eclectic Approaches to the GAINS Paradigm, Management</w:t>
      </w:r>
      <w:r w:rsidRPr="00B063A8">
        <w:rPr>
          <w:spacing w:val="40"/>
          <w:sz w:val="22"/>
          <w:szCs w:val="22"/>
          <w:lang w:val="en-US"/>
        </w:rPr>
        <w:t xml:space="preserve"> </w:t>
      </w:r>
      <w:r w:rsidRPr="00B063A8">
        <w:rPr>
          <w:sz w:val="22"/>
          <w:szCs w:val="22"/>
          <w:lang w:val="en-US"/>
        </w:rPr>
        <w:t>International Review, 31, Special Issue: 23-43.</w:t>
      </w:r>
      <w:r w:rsidRPr="00B063A8">
        <w:rPr>
          <w:spacing w:val="40"/>
          <w:sz w:val="22"/>
          <w:szCs w:val="22"/>
          <w:lang w:val="en-US"/>
        </w:rPr>
        <w:t xml:space="preserve"> </w:t>
      </w:r>
      <w:r w:rsidRPr="00B063A8">
        <w:rPr>
          <w:sz w:val="22"/>
          <w:szCs w:val="22"/>
          <w:lang w:val="en-US"/>
        </w:rPr>
        <w:t>Monye, S.O. (1995): An Empirical</w:t>
      </w:r>
      <w:r w:rsidRPr="00B063A8">
        <w:rPr>
          <w:spacing w:val="40"/>
          <w:sz w:val="22"/>
          <w:szCs w:val="22"/>
          <w:lang w:val="en-US"/>
        </w:rPr>
        <w:t xml:space="preserve"> </w:t>
      </w:r>
      <w:r w:rsidRPr="00B063A8">
        <w:rPr>
          <w:sz w:val="22"/>
          <w:szCs w:val="22"/>
          <w:lang w:val="en-US"/>
        </w:rPr>
        <w:t>Assessment of the Need for Specialist Education and Training, International Marketing</w:t>
      </w:r>
      <w:r w:rsidRPr="00B063A8">
        <w:rPr>
          <w:spacing w:val="40"/>
          <w:sz w:val="22"/>
          <w:szCs w:val="22"/>
          <w:lang w:val="en-US"/>
        </w:rPr>
        <w:t xml:space="preserve"> </w:t>
      </w:r>
      <w:r w:rsidRPr="00B063A8">
        <w:rPr>
          <w:sz w:val="22"/>
          <w:szCs w:val="22"/>
          <w:lang w:val="en-US"/>
        </w:rPr>
        <w:t xml:space="preserve">Review, 12(3): 5-14. </w:t>
      </w:r>
      <w:r w:rsidRPr="00B063A8">
        <w:rPr>
          <w:sz w:val="22"/>
          <w:szCs w:val="22"/>
        </w:rPr>
        <w:t>Müller, S.; Kornmeier, M. (2000): Internationale</w:t>
      </w:r>
      <w:r w:rsidRPr="00B063A8">
        <w:rPr>
          <w:spacing w:val="40"/>
          <w:sz w:val="22"/>
          <w:szCs w:val="22"/>
        </w:rPr>
        <w:t xml:space="preserve"> </w:t>
      </w:r>
      <w:r w:rsidRPr="00B063A8">
        <w:rPr>
          <w:sz w:val="22"/>
          <w:szCs w:val="22"/>
        </w:rPr>
        <w:t>Wettbewerbsfähigkeit. Irrungen und Wirrungen der Standortdiskussion, München: Vahlen.</w:t>
      </w:r>
      <w:r w:rsidRPr="00B063A8">
        <w:rPr>
          <w:spacing w:val="40"/>
          <w:sz w:val="22"/>
          <w:szCs w:val="22"/>
        </w:rPr>
        <w:t xml:space="preserve"> </w:t>
      </w:r>
      <w:r w:rsidRPr="00B063A8">
        <w:rPr>
          <w:sz w:val="22"/>
          <w:szCs w:val="22"/>
        </w:rPr>
        <w:t>Müller, S.; Kornmeier, M. (2002): Strategisches Internationales Management, München:</w:t>
      </w:r>
      <w:r w:rsidRPr="00B063A8">
        <w:rPr>
          <w:spacing w:val="40"/>
          <w:sz w:val="22"/>
          <w:szCs w:val="22"/>
        </w:rPr>
        <w:t xml:space="preserve"> </w:t>
      </w:r>
      <w:r w:rsidRPr="00B063A8">
        <w:rPr>
          <w:sz w:val="22"/>
          <w:szCs w:val="22"/>
        </w:rPr>
        <w:t>Vahlen.</w:t>
      </w:r>
      <w:r w:rsidRPr="00B063A8">
        <w:rPr>
          <w:spacing w:val="40"/>
          <w:sz w:val="22"/>
          <w:szCs w:val="22"/>
        </w:rPr>
        <w:t xml:space="preserve"> </w:t>
      </w:r>
      <w:r w:rsidRPr="00B063A8">
        <w:rPr>
          <w:sz w:val="22"/>
          <w:szCs w:val="22"/>
        </w:rPr>
        <w:t xml:space="preserve">Perry, A.C. (1990): International versus Domestic Marketing. </w:t>
      </w:r>
      <w:r w:rsidRPr="00B063A8">
        <w:rPr>
          <w:sz w:val="22"/>
          <w:szCs w:val="22"/>
          <w:lang w:val="en-US"/>
        </w:rPr>
        <w:t>Four Conceptual</w:t>
      </w:r>
      <w:r w:rsidRPr="00B063A8">
        <w:rPr>
          <w:spacing w:val="40"/>
          <w:sz w:val="22"/>
          <w:szCs w:val="22"/>
          <w:lang w:val="en-US"/>
        </w:rPr>
        <w:t xml:space="preserve"> </w:t>
      </w:r>
      <w:r w:rsidRPr="00B063A8">
        <w:rPr>
          <w:sz w:val="22"/>
          <w:szCs w:val="22"/>
          <w:lang w:val="en-US"/>
        </w:rPr>
        <w:t>Perspectives, European Journal of Marketing, 24(6): 41-54.</w:t>
      </w:r>
      <w:r w:rsidRPr="00B063A8">
        <w:rPr>
          <w:spacing w:val="80"/>
          <w:sz w:val="22"/>
          <w:szCs w:val="22"/>
          <w:lang w:val="en-US"/>
        </w:rPr>
        <w:t xml:space="preserve"> </w:t>
      </w:r>
      <w:r w:rsidRPr="00B063A8">
        <w:rPr>
          <w:sz w:val="22"/>
          <w:szCs w:val="22"/>
          <w:lang w:val="en-US"/>
        </w:rPr>
        <w:t>Podsiadlowski, A. (1996):</w:t>
      </w:r>
      <w:r w:rsidRPr="00B063A8">
        <w:rPr>
          <w:spacing w:val="40"/>
          <w:sz w:val="22"/>
          <w:szCs w:val="22"/>
          <w:lang w:val="en-US"/>
        </w:rPr>
        <w:t xml:space="preserve"> </w:t>
      </w:r>
      <w:r w:rsidRPr="00B063A8">
        <w:rPr>
          <w:sz w:val="22"/>
          <w:szCs w:val="22"/>
          <w:lang w:val="en-US"/>
        </w:rPr>
        <w:t xml:space="preserve">Internationale Kompetenz, io-Management, 65(1/2): 74-77. </w:t>
      </w:r>
      <w:r w:rsidRPr="00B063A8">
        <w:rPr>
          <w:sz w:val="22"/>
          <w:szCs w:val="22"/>
        </w:rPr>
        <w:t>Robinson, R.D. (1978):</w:t>
      </w:r>
      <w:r w:rsidRPr="00B063A8">
        <w:rPr>
          <w:spacing w:val="40"/>
          <w:sz w:val="22"/>
          <w:szCs w:val="22"/>
        </w:rPr>
        <w:t xml:space="preserve"> </w:t>
      </w:r>
      <w:r w:rsidRPr="00B063A8">
        <w:rPr>
          <w:sz w:val="22"/>
          <w:szCs w:val="22"/>
        </w:rPr>
        <w:t>International Business Management, Hinsdale/IL: Dryden.</w:t>
      </w:r>
      <w:r w:rsidRPr="00B063A8">
        <w:rPr>
          <w:spacing w:val="40"/>
          <w:sz w:val="22"/>
          <w:szCs w:val="22"/>
        </w:rPr>
        <w:t xml:space="preserve"> </w:t>
      </w:r>
      <w:r w:rsidRPr="00B063A8">
        <w:rPr>
          <w:sz w:val="22"/>
          <w:szCs w:val="22"/>
        </w:rPr>
        <w:t>Schmid, S. (1996):</w:t>
      </w:r>
      <w:r w:rsidRPr="00B063A8">
        <w:rPr>
          <w:spacing w:val="40"/>
          <w:sz w:val="22"/>
          <w:szCs w:val="22"/>
        </w:rPr>
        <w:t xml:space="preserve"> </w:t>
      </w:r>
      <w:r w:rsidRPr="00B063A8">
        <w:rPr>
          <w:sz w:val="22"/>
          <w:szCs w:val="22"/>
        </w:rPr>
        <w:t>Multikulturalität in der internationalen Unternehmung, Wiesbaden: Gabler.</w:t>
      </w:r>
      <w:r w:rsidRPr="00B063A8">
        <w:rPr>
          <w:spacing w:val="40"/>
          <w:sz w:val="22"/>
          <w:szCs w:val="22"/>
        </w:rPr>
        <w:t xml:space="preserve"> </w:t>
      </w:r>
      <w:r w:rsidRPr="00B063A8">
        <w:rPr>
          <w:sz w:val="22"/>
          <w:szCs w:val="22"/>
          <w:lang w:val="en-US"/>
        </w:rPr>
        <w:t>Stöttinger, B.</w:t>
      </w:r>
      <w:r w:rsidRPr="00B063A8">
        <w:rPr>
          <w:spacing w:val="40"/>
          <w:sz w:val="22"/>
          <w:szCs w:val="22"/>
          <w:lang w:val="en-US"/>
        </w:rPr>
        <w:t xml:space="preserve"> </w:t>
      </w:r>
      <w:r w:rsidRPr="00B063A8">
        <w:rPr>
          <w:sz w:val="22"/>
          <w:szCs w:val="22"/>
          <w:lang w:val="en-US"/>
        </w:rPr>
        <w:t>(2001): Strategic Export Pricing. A Long and Winding Road, Journal of International</w:t>
      </w:r>
      <w:r w:rsidRPr="00B063A8">
        <w:rPr>
          <w:spacing w:val="40"/>
          <w:sz w:val="22"/>
          <w:szCs w:val="22"/>
          <w:lang w:val="en-US"/>
        </w:rPr>
        <w:t xml:space="preserve"> </w:t>
      </w:r>
      <w:r w:rsidRPr="00B063A8">
        <w:rPr>
          <w:sz w:val="22"/>
          <w:szCs w:val="22"/>
          <w:lang w:val="en-US"/>
        </w:rPr>
        <w:t>Marketing, 9(1): 40-63.</w:t>
      </w:r>
      <w:r w:rsidRPr="00B063A8">
        <w:rPr>
          <w:spacing w:val="40"/>
          <w:sz w:val="22"/>
          <w:szCs w:val="22"/>
          <w:lang w:val="en-US"/>
        </w:rPr>
        <w:t xml:space="preserve"> </w:t>
      </w:r>
      <w:r w:rsidRPr="00B063A8">
        <w:rPr>
          <w:sz w:val="22"/>
          <w:szCs w:val="22"/>
          <w:lang w:val="en-US"/>
        </w:rPr>
        <w:t>Usunier, J.-C. (1990): French International Business Education,</w:t>
      </w:r>
      <w:r w:rsidRPr="00B063A8">
        <w:rPr>
          <w:spacing w:val="40"/>
          <w:sz w:val="22"/>
          <w:szCs w:val="22"/>
          <w:lang w:val="en-US"/>
        </w:rPr>
        <w:t xml:space="preserve"> </w:t>
      </w:r>
      <w:r w:rsidRPr="00B063A8">
        <w:rPr>
          <w:sz w:val="22"/>
          <w:szCs w:val="22"/>
          <w:lang w:val="en-US"/>
        </w:rPr>
        <w:t>European Management Journal, 8(3): 388-393.</w:t>
      </w:r>
      <w:r w:rsidRPr="00B063A8">
        <w:rPr>
          <w:spacing w:val="40"/>
          <w:sz w:val="22"/>
          <w:szCs w:val="22"/>
          <w:lang w:val="en-US"/>
        </w:rPr>
        <w:t xml:space="preserve"> </w:t>
      </w:r>
      <w:r w:rsidRPr="00B063A8">
        <w:rPr>
          <w:sz w:val="22"/>
          <w:szCs w:val="22"/>
        </w:rPr>
        <w:t>Wilde, K.D.; Schweiger, A. (1995):</w:t>
      </w:r>
      <w:r w:rsidRPr="00B063A8">
        <w:rPr>
          <w:spacing w:val="40"/>
          <w:sz w:val="22"/>
          <w:szCs w:val="22"/>
        </w:rPr>
        <w:t xml:space="preserve"> </w:t>
      </w:r>
      <w:r w:rsidRPr="00B063A8">
        <w:rPr>
          <w:sz w:val="22"/>
          <w:szCs w:val="22"/>
        </w:rPr>
        <w:t>Marketing-Informationssysteme, in: Tietz, B.; Köhler, R.; Zentes, B. (Hrsg.),</w:t>
      </w:r>
      <w:r w:rsidRPr="00B063A8">
        <w:rPr>
          <w:spacing w:val="40"/>
          <w:sz w:val="22"/>
          <w:szCs w:val="22"/>
        </w:rPr>
        <w:t xml:space="preserve"> </w:t>
      </w:r>
      <w:r w:rsidRPr="00B063A8">
        <w:rPr>
          <w:sz w:val="22"/>
          <w:szCs w:val="22"/>
        </w:rPr>
        <w:t>Handwörterbuch des Marketing, 2.Aufl., 1554-1566, Stuttgart: Schäffer-Poeschel.</w:t>
      </w:r>
      <w:r w:rsidRPr="00B063A8">
        <w:rPr>
          <w:spacing w:val="40"/>
          <w:sz w:val="22"/>
          <w:szCs w:val="22"/>
        </w:rPr>
        <w:t xml:space="preserve"> </w:t>
      </w:r>
      <w:r w:rsidRPr="00B063A8">
        <w:rPr>
          <w:sz w:val="22"/>
          <w:szCs w:val="22"/>
        </w:rPr>
        <w:t>Wißmeier, U.K. (1992): Strategien im internationalen Marketing. Ein</w:t>
      </w:r>
      <w:r w:rsidRPr="00B063A8">
        <w:rPr>
          <w:spacing w:val="40"/>
          <w:sz w:val="22"/>
          <w:szCs w:val="22"/>
        </w:rPr>
        <w:t xml:space="preserve"> </w:t>
      </w:r>
      <w:r w:rsidRPr="00B063A8">
        <w:rPr>
          <w:sz w:val="22"/>
          <w:szCs w:val="22"/>
        </w:rPr>
        <w:t xml:space="preserve">entscheidungsorientierter Ansatz, Wiesbaden: Gabler. </w:t>
      </w:r>
    </w:p>
    <w:p w14:paraId="3C0435D2" w14:textId="77777777" w:rsidR="00FF7799" w:rsidRPr="00E73F6F" w:rsidRDefault="00FF7799" w:rsidP="00B417A5">
      <w:pPr>
        <w:pStyle w:val="StandardText"/>
      </w:pPr>
    </w:p>
    <w:p w14:paraId="08917CA7" w14:textId="77777777" w:rsidR="00FF7799" w:rsidRPr="0097093C" w:rsidRDefault="00FF7799" w:rsidP="0097093C">
      <w:pPr>
        <w:keepNext/>
        <w:keepLines/>
        <w:spacing w:before="240"/>
        <w:jc w:val="both"/>
        <w:outlineLvl w:val="1"/>
        <w:rPr>
          <w:b/>
          <w:color w:val="2E74B5"/>
        </w:rPr>
      </w:pPr>
      <w:r w:rsidRPr="0097093C">
        <w:rPr>
          <w:b/>
          <w:color w:val="2E74B5"/>
        </w:rPr>
        <w:t xml:space="preserve">Konfessionen, christliche </w:t>
      </w:r>
    </w:p>
    <w:p w14:paraId="5067D175" w14:textId="77777777" w:rsidR="00FF7799" w:rsidRPr="00B063A8" w:rsidRDefault="00FF7799" w:rsidP="00687806">
      <w:pPr>
        <w:pStyle w:val="StandardTextkursiv"/>
        <w:rPr>
          <w:i w:val="0"/>
        </w:rPr>
      </w:pPr>
      <w:r w:rsidRPr="00B063A8">
        <w:rPr>
          <w:i w:val="0"/>
        </w:rPr>
        <w:t>1 Geschichte</w:t>
      </w:r>
    </w:p>
    <w:p w14:paraId="39DB5796" w14:textId="77777777" w:rsidR="00FF7799" w:rsidRPr="00B063A8" w:rsidRDefault="00FF7799" w:rsidP="00687806">
      <w:pPr>
        <w:pStyle w:val="StandardText"/>
      </w:pPr>
      <w:r w:rsidRPr="00B063A8">
        <w:t>Die fundamentalen Aussagen des Christentums sind im Apostolischen Glaubensbekenntnis formuliert. Da sie aber auf unterschiedliche Weise interpretiert</w:t>
      </w:r>
      <w:r w:rsidRPr="00B063A8">
        <w:rPr>
          <w:spacing w:val="-12"/>
        </w:rPr>
        <w:t xml:space="preserve"> </w:t>
      </w:r>
      <w:r w:rsidRPr="00B063A8">
        <w:t>werden,</w:t>
      </w:r>
      <w:r w:rsidRPr="00B063A8">
        <w:rPr>
          <w:spacing w:val="-10"/>
        </w:rPr>
        <w:t xml:space="preserve"> </w:t>
      </w:r>
      <w:r w:rsidRPr="00B063A8">
        <w:t>entwickelte</w:t>
      </w:r>
      <w:r w:rsidRPr="00B063A8">
        <w:rPr>
          <w:spacing w:val="-12"/>
        </w:rPr>
        <w:t xml:space="preserve"> </w:t>
      </w:r>
      <w:r w:rsidRPr="00B063A8">
        <w:t>sich</w:t>
      </w:r>
      <w:r w:rsidRPr="00B063A8">
        <w:rPr>
          <w:spacing w:val="-9"/>
        </w:rPr>
        <w:t xml:space="preserve"> </w:t>
      </w:r>
      <w:r w:rsidRPr="00B063A8">
        <w:t>trotz</w:t>
      </w:r>
      <w:r w:rsidRPr="00B063A8">
        <w:rPr>
          <w:spacing w:val="-12"/>
        </w:rPr>
        <w:t xml:space="preserve"> </w:t>
      </w:r>
      <w:r w:rsidRPr="00B063A8">
        <w:t>gemeinsamer</w:t>
      </w:r>
      <w:r w:rsidRPr="00B063A8">
        <w:rPr>
          <w:spacing w:val="-10"/>
        </w:rPr>
        <w:t xml:space="preserve"> </w:t>
      </w:r>
      <w:r w:rsidRPr="00B063A8">
        <w:t>historischer</w:t>
      </w:r>
      <w:r w:rsidRPr="00B063A8">
        <w:rPr>
          <w:spacing w:val="-11"/>
        </w:rPr>
        <w:t xml:space="preserve"> </w:t>
      </w:r>
      <w:r w:rsidRPr="00B063A8">
        <w:t>Wurzeln</w:t>
      </w:r>
      <w:r w:rsidRPr="00B063A8">
        <w:rPr>
          <w:spacing w:val="-10"/>
        </w:rPr>
        <w:t xml:space="preserve"> </w:t>
      </w:r>
      <w:r w:rsidRPr="00B063A8">
        <w:t>eine Vielzahl</w:t>
      </w:r>
      <w:r w:rsidRPr="00B063A8">
        <w:rPr>
          <w:spacing w:val="-12"/>
        </w:rPr>
        <w:t xml:space="preserve"> </w:t>
      </w:r>
      <w:r w:rsidRPr="00B063A8">
        <w:t>von</w:t>
      </w:r>
      <w:r w:rsidRPr="00B063A8">
        <w:rPr>
          <w:spacing w:val="-11"/>
        </w:rPr>
        <w:t xml:space="preserve"> </w:t>
      </w:r>
      <w:r w:rsidRPr="00B063A8">
        <w:t>christlichen</w:t>
      </w:r>
      <w:r w:rsidRPr="00B063A8">
        <w:rPr>
          <w:spacing w:val="-11"/>
        </w:rPr>
        <w:t xml:space="preserve"> </w:t>
      </w:r>
      <w:r w:rsidRPr="00B063A8">
        <w:t>Konfessionen,</w:t>
      </w:r>
      <w:r w:rsidRPr="00B063A8">
        <w:rPr>
          <w:spacing w:val="-11"/>
        </w:rPr>
        <w:t xml:space="preserve"> </w:t>
      </w:r>
      <w:r w:rsidRPr="00B063A8">
        <w:t>mit</w:t>
      </w:r>
      <w:r w:rsidRPr="00B063A8">
        <w:rPr>
          <w:spacing w:val="-12"/>
        </w:rPr>
        <w:t xml:space="preserve"> </w:t>
      </w:r>
      <w:r w:rsidRPr="00B063A8">
        <w:t>teilweise</w:t>
      </w:r>
      <w:r w:rsidRPr="00B063A8">
        <w:rPr>
          <w:spacing w:val="-11"/>
        </w:rPr>
        <w:t xml:space="preserve"> </w:t>
      </w:r>
      <w:r w:rsidRPr="00B063A8">
        <w:t>bedeutsamen</w:t>
      </w:r>
      <w:r w:rsidRPr="00B063A8">
        <w:rPr>
          <w:spacing w:val="-11"/>
        </w:rPr>
        <w:t xml:space="preserve"> </w:t>
      </w:r>
      <w:r w:rsidRPr="00B063A8">
        <w:t>Unterschieden. Zu nennen sind insb. die katholische (vor allem römisch-katholische, orthodoxe, anglikanische</w:t>
      </w:r>
      <w:r w:rsidRPr="00B063A8">
        <w:rPr>
          <w:spacing w:val="12"/>
        </w:rPr>
        <w:t xml:space="preserve"> </w:t>
      </w:r>
      <w:r w:rsidRPr="00B063A8">
        <w:t>und</w:t>
      </w:r>
      <w:r w:rsidRPr="00B063A8">
        <w:rPr>
          <w:spacing w:val="19"/>
        </w:rPr>
        <w:t xml:space="preserve"> </w:t>
      </w:r>
      <w:r w:rsidRPr="00B063A8">
        <w:t>altkatholische</w:t>
      </w:r>
      <w:r w:rsidRPr="00B063A8">
        <w:rPr>
          <w:spacing w:val="13"/>
        </w:rPr>
        <w:t xml:space="preserve"> </w:t>
      </w:r>
      <w:r w:rsidRPr="00B063A8">
        <w:t>Kirche)</w:t>
      </w:r>
      <w:r w:rsidRPr="00B063A8">
        <w:rPr>
          <w:spacing w:val="18"/>
        </w:rPr>
        <w:t xml:space="preserve"> </w:t>
      </w:r>
      <w:r w:rsidRPr="00B063A8">
        <w:t>sowie</w:t>
      </w:r>
      <w:r w:rsidRPr="00B063A8">
        <w:rPr>
          <w:spacing w:val="15"/>
        </w:rPr>
        <w:t xml:space="preserve"> </w:t>
      </w:r>
      <w:r w:rsidRPr="00B063A8">
        <w:t>die</w:t>
      </w:r>
      <w:r w:rsidRPr="00B063A8">
        <w:rPr>
          <w:spacing w:val="18"/>
        </w:rPr>
        <w:t xml:space="preserve"> </w:t>
      </w:r>
      <w:r w:rsidRPr="00B063A8">
        <w:t>im</w:t>
      </w:r>
      <w:r w:rsidRPr="00B063A8">
        <w:rPr>
          <w:spacing w:val="15"/>
        </w:rPr>
        <w:t xml:space="preserve"> </w:t>
      </w:r>
      <w:r w:rsidRPr="00B063A8">
        <w:t>Verlauf</w:t>
      </w:r>
      <w:r w:rsidRPr="00B063A8">
        <w:rPr>
          <w:spacing w:val="16"/>
        </w:rPr>
        <w:t xml:space="preserve"> </w:t>
      </w:r>
      <w:r w:rsidRPr="00B063A8">
        <w:t>der</w:t>
      </w:r>
      <w:r w:rsidRPr="00B063A8">
        <w:rPr>
          <w:spacing w:val="18"/>
        </w:rPr>
        <w:t xml:space="preserve"> </w:t>
      </w:r>
      <w:r w:rsidRPr="00B063A8">
        <w:rPr>
          <w:spacing w:val="-2"/>
        </w:rPr>
        <w:t>Reformation</w:t>
      </w:r>
      <w:r w:rsidR="00B063A8" w:rsidRPr="00B063A8">
        <w:t xml:space="preserve"> </w:t>
      </w:r>
      <w:r w:rsidRPr="00B063A8">
        <w:t>entstandenen protestantischen bzw. evangelischen Kirchen (vgl. Baumann 1995, S.597f.; von Thadden/Klingebiel 1995, S.1007f.).</w:t>
      </w:r>
    </w:p>
    <w:p w14:paraId="2EBBE66B" w14:textId="77777777" w:rsidR="00FF7799" w:rsidRPr="00B063A8" w:rsidRDefault="00FF7799" w:rsidP="00687806">
      <w:pPr>
        <w:pStyle w:val="StandardText"/>
      </w:pPr>
      <w:r w:rsidRPr="00B063A8">
        <w:t>Zu einer ersten, dauerhaften Kirchenspaltung (Schisma) kam es anlässlich der Christianisierung</w:t>
      </w:r>
      <w:r w:rsidRPr="00B063A8">
        <w:rPr>
          <w:spacing w:val="-8"/>
        </w:rPr>
        <w:t xml:space="preserve"> </w:t>
      </w:r>
      <w:r w:rsidRPr="00B063A8">
        <w:t>der</w:t>
      </w:r>
      <w:r w:rsidRPr="00B063A8">
        <w:rPr>
          <w:spacing w:val="-6"/>
        </w:rPr>
        <w:t xml:space="preserve"> </w:t>
      </w:r>
      <w:r w:rsidRPr="00B063A8">
        <w:t>romanischen</w:t>
      </w:r>
      <w:r w:rsidRPr="00B063A8">
        <w:rPr>
          <w:spacing w:val="-5"/>
        </w:rPr>
        <w:t xml:space="preserve"> </w:t>
      </w:r>
      <w:r w:rsidRPr="00B063A8">
        <w:t>und</w:t>
      </w:r>
      <w:r w:rsidRPr="00B063A8">
        <w:rPr>
          <w:spacing w:val="-8"/>
        </w:rPr>
        <w:t xml:space="preserve"> </w:t>
      </w:r>
      <w:r w:rsidRPr="00B063A8">
        <w:t>der</w:t>
      </w:r>
      <w:r w:rsidRPr="00B063A8">
        <w:rPr>
          <w:spacing w:val="-6"/>
        </w:rPr>
        <w:t xml:space="preserve"> </w:t>
      </w:r>
      <w:r w:rsidRPr="00B063A8">
        <w:t>slawischen</w:t>
      </w:r>
      <w:r w:rsidRPr="00B063A8">
        <w:rPr>
          <w:spacing w:val="-5"/>
        </w:rPr>
        <w:t xml:space="preserve"> </w:t>
      </w:r>
      <w:r w:rsidRPr="00B063A8">
        <w:t>Völker.</w:t>
      </w:r>
      <w:r w:rsidRPr="00B063A8">
        <w:rPr>
          <w:spacing w:val="-6"/>
        </w:rPr>
        <w:t xml:space="preserve"> </w:t>
      </w:r>
      <w:r w:rsidRPr="00B063A8">
        <w:t>Damals</w:t>
      </w:r>
      <w:r w:rsidRPr="00B063A8">
        <w:rPr>
          <w:spacing w:val="-6"/>
        </w:rPr>
        <w:t xml:space="preserve"> </w:t>
      </w:r>
      <w:r w:rsidRPr="00B063A8">
        <w:t>wichen</w:t>
      </w:r>
      <w:r w:rsidRPr="00B063A8">
        <w:rPr>
          <w:spacing w:val="-5"/>
        </w:rPr>
        <w:t xml:space="preserve"> </w:t>
      </w:r>
      <w:r w:rsidRPr="00B063A8">
        <w:t>die Überzeugungen und Auffassungen, vor allem in Bezug auf die Oberhoheit des Bischofs von Rom (d.h. des Papstes), immer mehr voneinander ab. 1054 spaltete sich das Christentum dann in eine West- und eine Ostkirche. Letztere wird auch orthodoxe Kirche genannt.</w:t>
      </w:r>
    </w:p>
    <w:p w14:paraId="798350F0" w14:textId="77777777" w:rsidR="00FF7799" w:rsidRPr="00B063A8" w:rsidRDefault="00FF7799" w:rsidP="00687806">
      <w:pPr>
        <w:pStyle w:val="StandardText"/>
      </w:pPr>
      <w:r w:rsidRPr="00B063A8">
        <w:lastRenderedPageBreak/>
        <w:t>Im späten Mittelalter verstärkte sich die Kritik an zahlreichen Missständen und Ärgernissen (insb. am</w:t>
      </w:r>
      <w:r w:rsidRPr="00B063A8">
        <w:rPr>
          <w:spacing w:val="-1"/>
        </w:rPr>
        <w:t xml:space="preserve"> </w:t>
      </w:r>
      <w:r w:rsidRPr="00B063A8">
        <w:t>Schisma, am</w:t>
      </w:r>
      <w:r w:rsidRPr="00B063A8">
        <w:rPr>
          <w:spacing w:val="-1"/>
        </w:rPr>
        <w:t xml:space="preserve"> </w:t>
      </w:r>
      <w:r w:rsidRPr="00B063A8">
        <w:t>machtpolitischen</w:t>
      </w:r>
      <w:r w:rsidRPr="00B063A8">
        <w:rPr>
          <w:spacing w:val="-1"/>
        </w:rPr>
        <w:t xml:space="preserve"> </w:t>
      </w:r>
      <w:r w:rsidRPr="00B063A8">
        <w:t>Streben</w:t>
      </w:r>
      <w:r w:rsidRPr="00B063A8">
        <w:rPr>
          <w:spacing w:val="-1"/>
        </w:rPr>
        <w:t xml:space="preserve"> </w:t>
      </w:r>
      <w:r w:rsidRPr="00B063A8">
        <w:t>des Papstes</w:t>
      </w:r>
      <w:r w:rsidRPr="00B063A8">
        <w:rPr>
          <w:spacing w:val="-1"/>
        </w:rPr>
        <w:t xml:space="preserve"> </w:t>
      </w:r>
      <w:r w:rsidRPr="00B063A8">
        <w:t>und am Ablasshandel). Reformation und Gegenreformation waren die Folge. Unter dem Einfluss von M. Luther, U. Zwingli und J. Calvin sagten sich im 16. und 17. Jahrhundert</w:t>
      </w:r>
      <w:r w:rsidRPr="00B063A8">
        <w:rPr>
          <w:spacing w:val="-6"/>
        </w:rPr>
        <w:t xml:space="preserve"> </w:t>
      </w:r>
      <w:r w:rsidRPr="00B063A8">
        <w:t>die</w:t>
      </w:r>
      <w:r w:rsidRPr="00B063A8">
        <w:rPr>
          <w:spacing w:val="-10"/>
        </w:rPr>
        <w:t xml:space="preserve"> </w:t>
      </w:r>
      <w:r w:rsidRPr="00B063A8">
        <w:t>protestantische</w:t>
      </w:r>
      <w:r w:rsidRPr="00B063A8">
        <w:rPr>
          <w:spacing w:val="-7"/>
        </w:rPr>
        <w:t xml:space="preserve"> </w:t>
      </w:r>
      <w:r w:rsidRPr="00B063A8">
        <w:t>sowie</w:t>
      </w:r>
      <w:r w:rsidRPr="00B063A8">
        <w:rPr>
          <w:spacing w:val="-7"/>
        </w:rPr>
        <w:t xml:space="preserve"> </w:t>
      </w:r>
      <w:r w:rsidRPr="00B063A8">
        <w:t>die</w:t>
      </w:r>
      <w:r w:rsidRPr="00B063A8">
        <w:rPr>
          <w:spacing w:val="-7"/>
        </w:rPr>
        <w:t xml:space="preserve"> </w:t>
      </w:r>
      <w:r w:rsidRPr="00B063A8">
        <w:t>evangelische</w:t>
      </w:r>
      <w:r w:rsidRPr="00B063A8">
        <w:rPr>
          <w:spacing w:val="-7"/>
        </w:rPr>
        <w:t xml:space="preserve"> </w:t>
      </w:r>
      <w:r w:rsidRPr="00B063A8">
        <w:t>Kirche</w:t>
      </w:r>
      <w:r w:rsidRPr="00B063A8">
        <w:rPr>
          <w:spacing w:val="-7"/>
        </w:rPr>
        <w:t xml:space="preserve"> </w:t>
      </w:r>
      <w:r w:rsidRPr="00B063A8">
        <w:t>von</w:t>
      </w:r>
      <w:r w:rsidRPr="00B063A8">
        <w:rPr>
          <w:spacing w:val="-8"/>
        </w:rPr>
        <w:t xml:space="preserve"> </w:t>
      </w:r>
      <w:r w:rsidRPr="00B063A8">
        <w:t>der</w:t>
      </w:r>
      <w:r w:rsidRPr="00B063A8">
        <w:rPr>
          <w:spacing w:val="-7"/>
        </w:rPr>
        <w:t xml:space="preserve"> </w:t>
      </w:r>
      <w:r w:rsidRPr="00B063A8">
        <w:t>Westkirche los. Eine Schlüsselrolle spielte dabei die Streitschrift „An den christlichen Adel deutscher Nation, von des christlichen Standes Besserung“, in der M. Luther im Jahre</w:t>
      </w:r>
      <w:r w:rsidRPr="00B063A8">
        <w:rPr>
          <w:spacing w:val="-12"/>
        </w:rPr>
        <w:t xml:space="preserve"> </w:t>
      </w:r>
      <w:r w:rsidRPr="00B063A8">
        <w:t>1520</w:t>
      </w:r>
      <w:r w:rsidRPr="00B063A8">
        <w:rPr>
          <w:spacing w:val="-11"/>
        </w:rPr>
        <w:t xml:space="preserve"> </w:t>
      </w:r>
      <w:r w:rsidRPr="00B063A8">
        <w:t>seine</w:t>
      </w:r>
      <w:r w:rsidRPr="00B063A8">
        <w:rPr>
          <w:spacing w:val="-11"/>
        </w:rPr>
        <w:t xml:space="preserve"> </w:t>
      </w:r>
      <w:r w:rsidRPr="00B063A8">
        <w:t>Vorwürfe</w:t>
      </w:r>
      <w:r w:rsidRPr="00B063A8">
        <w:rPr>
          <w:spacing w:val="-11"/>
        </w:rPr>
        <w:t xml:space="preserve"> </w:t>
      </w:r>
      <w:r w:rsidRPr="00B063A8">
        <w:t>gegen</w:t>
      </w:r>
      <w:r w:rsidRPr="00B063A8">
        <w:rPr>
          <w:spacing w:val="-12"/>
        </w:rPr>
        <w:t xml:space="preserve"> </w:t>
      </w:r>
      <w:r w:rsidRPr="00B063A8">
        <w:t>die</w:t>
      </w:r>
      <w:r w:rsidRPr="00B063A8">
        <w:rPr>
          <w:spacing w:val="-11"/>
        </w:rPr>
        <w:t xml:space="preserve"> </w:t>
      </w:r>
      <w:r w:rsidRPr="00B063A8">
        <w:t>(katholische)</w:t>
      </w:r>
      <w:r w:rsidRPr="00B063A8">
        <w:rPr>
          <w:spacing w:val="-11"/>
        </w:rPr>
        <w:t xml:space="preserve"> </w:t>
      </w:r>
      <w:r w:rsidRPr="00B063A8">
        <w:t>Kirche</w:t>
      </w:r>
      <w:r w:rsidRPr="00B063A8">
        <w:rPr>
          <w:spacing w:val="-11"/>
        </w:rPr>
        <w:t xml:space="preserve"> </w:t>
      </w:r>
      <w:r w:rsidRPr="00B063A8">
        <w:t>theologisch</w:t>
      </w:r>
      <w:r w:rsidRPr="00B063A8">
        <w:rPr>
          <w:spacing w:val="-10"/>
        </w:rPr>
        <w:t xml:space="preserve"> </w:t>
      </w:r>
      <w:r w:rsidRPr="00B063A8">
        <w:t>begründete. Aus der institutionellen, primär am Selbsterhalt interessierten Sicht dieser streng hierarchisch strukturierten Institution war daran besonders gefährlich, dass M. Luther die Unfehlbarkeit von Papst und Konzil bestritt. Jeder einzelne Gläubige sei</w:t>
      </w:r>
      <w:r w:rsidRPr="00B063A8">
        <w:rPr>
          <w:spacing w:val="-12"/>
        </w:rPr>
        <w:t xml:space="preserve"> </w:t>
      </w:r>
      <w:r w:rsidRPr="00B063A8">
        <w:t>im</w:t>
      </w:r>
      <w:r w:rsidRPr="00B063A8">
        <w:rPr>
          <w:spacing w:val="-11"/>
        </w:rPr>
        <w:t xml:space="preserve"> </w:t>
      </w:r>
      <w:r w:rsidRPr="00B063A8">
        <w:t>Stand</w:t>
      </w:r>
      <w:r w:rsidRPr="00B063A8">
        <w:rPr>
          <w:spacing w:val="-11"/>
        </w:rPr>
        <w:t xml:space="preserve"> </w:t>
      </w:r>
      <w:r w:rsidRPr="00B063A8">
        <w:t>des</w:t>
      </w:r>
      <w:r w:rsidRPr="00B063A8">
        <w:rPr>
          <w:spacing w:val="-11"/>
        </w:rPr>
        <w:t xml:space="preserve"> </w:t>
      </w:r>
      <w:r w:rsidRPr="00B063A8">
        <w:t>Priestertums.</w:t>
      </w:r>
      <w:r w:rsidRPr="00B063A8">
        <w:rPr>
          <w:spacing w:val="-12"/>
        </w:rPr>
        <w:t xml:space="preserve"> </w:t>
      </w:r>
      <w:r w:rsidRPr="00B063A8">
        <w:t>Und</w:t>
      </w:r>
      <w:r w:rsidRPr="00B063A8">
        <w:rPr>
          <w:spacing w:val="-11"/>
        </w:rPr>
        <w:t xml:space="preserve"> </w:t>
      </w:r>
      <w:r w:rsidRPr="00B063A8">
        <w:t>Gott</w:t>
      </w:r>
      <w:r w:rsidRPr="00B063A8">
        <w:rPr>
          <w:spacing w:val="-11"/>
        </w:rPr>
        <w:t xml:space="preserve"> </w:t>
      </w:r>
      <w:r w:rsidRPr="00B063A8">
        <w:t>spreche</w:t>
      </w:r>
      <w:r w:rsidRPr="00B063A8">
        <w:rPr>
          <w:spacing w:val="-11"/>
        </w:rPr>
        <w:t xml:space="preserve"> </w:t>
      </w:r>
      <w:r w:rsidRPr="00B063A8">
        <w:t>direkt</w:t>
      </w:r>
      <w:r w:rsidRPr="00B063A8">
        <w:rPr>
          <w:spacing w:val="-12"/>
        </w:rPr>
        <w:t xml:space="preserve"> </w:t>
      </w:r>
      <w:r w:rsidRPr="00B063A8">
        <w:t>durch</w:t>
      </w:r>
      <w:r w:rsidRPr="00B063A8">
        <w:rPr>
          <w:spacing w:val="-11"/>
        </w:rPr>
        <w:t xml:space="preserve"> </w:t>
      </w:r>
      <w:r w:rsidRPr="00B063A8">
        <w:t>die</w:t>
      </w:r>
      <w:r w:rsidRPr="00B063A8">
        <w:rPr>
          <w:spacing w:val="-11"/>
        </w:rPr>
        <w:t xml:space="preserve"> </w:t>
      </w:r>
      <w:r w:rsidRPr="00B063A8">
        <w:t>Bibel,</w:t>
      </w:r>
      <w:r w:rsidRPr="00B063A8">
        <w:rPr>
          <w:spacing w:val="-11"/>
        </w:rPr>
        <w:t xml:space="preserve"> </w:t>
      </w:r>
      <w:r w:rsidRPr="00B063A8">
        <w:t>jeder</w:t>
      </w:r>
      <w:r w:rsidRPr="00B063A8">
        <w:rPr>
          <w:spacing w:val="-12"/>
        </w:rPr>
        <w:t xml:space="preserve"> </w:t>
      </w:r>
      <w:r w:rsidRPr="00B063A8">
        <w:t>könne im</w:t>
      </w:r>
      <w:r w:rsidRPr="00B063A8">
        <w:rPr>
          <w:spacing w:val="-6"/>
        </w:rPr>
        <w:t xml:space="preserve"> </w:t>
      </w:r>
      <w:r w:rsidRPr="00B063A8">
        <w:t>Gebet</w:t>
      </w:r>
      <w:r w:rsidRPr="00B063A8">
        <w:rPr>
          <w:spacing w:val="-7"/>
        </w:rPr>
        <w:t xml:space="preserve"> </w:t>
      </w:r>
      <w:r w:rsidRPr="00B063A8">
        <w:t>frei</w:t>
      </w:r>
      <w:r w:rsidRPr="00B063A8">
        <w:rPr>
          <w:spacing w:val="-7"/>
        </w:rPr>
        <w:t xml:space="preserve"> </w:t>
      </w:r>
      <w:r w:rsidRPr="00B063A8">
        <w:t>zu</w:t>
      </w:r>
      <w:r w:rsidRPr="00B063A8">
        <w:rPr>
          <w:spacing w:val="-4"/>
        </w:rPr>
        <w:t xml:space="preserve"> </w:t>
      </w:r>
      <w:r w:rsidRPr="00B063A8">
        <w:t>Gott</w:t>
      </w:r>
      <w:r w:rsidRPr="00B063A8">
        <w:rPr>
          <w:spacing w:val="-7"/>
        </w:rPr>
        <w:t xml:space="preserve"> </w:t>
      </w:r>
      <w:r w:rsidRPr="00B063A8">
        <w:t>sprechen,</w:t>
      </w:r>
      <w:r w:rsidRPr="00B063A8">
        <w:rPr>
          <w:spacing w:val="-7"/>
        </w:rPr>
        <w:t xml:space="preserve"> </w:t>
      </w:r>
      <w:r w:rsidRPr="00B063A8">
        <w:t>ohne</w:t>
      </w:r>
      <w:r w:rsidRPr="00B063A8">
        <w:rPr>
          <w:spacing w:val="-8"/>
        </w:rPr>
        <w:t xml:space="preserve"> </w:t>
      </w:r>
      <w:r w:rsidRPr="00B063A8">
        <w:t>Vermittler</w:t>
      </w:r>
      <w:r w:rsidRPr="00B063A8">
        <w:rPr>
          <w:spacing w:val="-8"/>
        </w:rPr>
        <w:t xml:space="preserve"> </w:t>
      </w:r>
      <w:r w:rsidRPr="00B063A8">
        <w:t>(wie</w:t>
      </w:r>
      <w:r w:rsidRPr="00B063A8">
        <w:rPr>
          <w:spacing w:val="-8"/>
        </w:rPr>
        <w:t xml:space="preserve"> </w:t>
      </w:r>
      <w:r w:rsidRPr="00B063A8">
        <w:t>Kirche,</w:t>
      </w:r>
      <w:r w:rsidRPr="00B063A8">
        <w:rPr>
          <w:spacing w:val="-7"/>
        </w:rPr>
        <w:t xml:space="preserve"> </w:t>
      </w:r>
      <w:r w:rsidRPr="00B063A8">
        <w:t>Sakramente,</w:t>
      </w:r>
      <w:r w:rsidRPr="00B063A8">
        <w:rPr>
          <w:spacing w:val="-7"/>
        </w:rPr>
        <w:t xml:space="preserve"> </w:t>
      </w:r>
      <w:r w:rsidRPr="00B063A8">
        <w:t>Priester oder Heilige).</w:t>
      </w:r>
    </w:p>
    <w:p w14:paraId="3DC4FEA0" w14:textId="77777777" w:rsidR="00FF7799" w:rsidRPr="00B063A8" w:rsidRDefault="00FF7799" w:rsidP="00687806">
      <w:pPr>
        <w:pStyle w:val="StandardText"/>
      </w:pPr>
      <w:r w:rsidRPr="00B063A8">
        <w:t>Die</w:t>
      </w:r>
      <w:r w:rsidRPr="00B063A8">
        <w:rPr>
          <w:spacing w:val="-8"/>
        </w:rPr>
        <w:t xml:space="preserve"> </w:t>
      </w:r>
      <w:r w:rsidRPr="00B063A8">
        <w:t>größte</w:t>
      </w:r>
      <w:r w:rsidRPr="00B063A8">
        <w:rPr>
          <w:spacing w:val="-8"/>
        </w:rPr>
        <w:t xml:space="preserve"> </w:t>
      </w:r>
      <w:r w:rsidRPr="00B063A8">
        <w:t>Wirkung</w:t>
      </w:r>
      <w:r w:rsidRPr="00B063A8">
        <w:rPr>
          <w:spacing w:val="-7"/>
        </w:rPr>
        <w:t xml:space="preserve"> </w:t>
      </w:r>
      <w:r w:rsidRPr="00B063A8">
        <w:t>entfaltete</w:t>
      </w:r>
      <w:r w:rsidRPr="00B063A8">
        <w:rPr>
          <w:spacing w:val="-8"/>
        </w:rPr>
        <w:t xml:space="preserve"> </w:t>
      </w:r>
      <w:r w:rsidRPr="00B063A8">
        <w:t>jedoch</w:t>
      </w:r>
      <w:r w:rsidRPr="00B063A8">
        <w:rPr>
          <w:spacing w:val="-4"/>
        </w:rPr>
        <w:t xml:space="preserve"> </w:t>
      </w:r>
      <w:r w:rsidRPr="00B063A8">
        <w:t>M.</w:t>
      </w:r>
      <w:r w:rsidRPr="00B063A8">
        <w:rPr>
          <w:spacing w:val="-10"/>
        </w:rPr>
        <w:t xml:space="preserve"> </w:t>
      </w:r>
      <w:r w:rsidRPr="00B063A8">
        <w:t>Luthers</w:t>
      </w:r>
      <w:r w:rsidRPr="00B063A8">
        <w:rPr>
          <w:spacing w:val="-7"/>
        </w:rPr>
        <w:t xml:space="preserve"> </w:t>
      </w:r>
      <w:r w:rsidRPr="00B063A8">
        <w:t>Rechtfertigungslehre,</w:t>
      </w:r>
      <w:r w:rsidRPr="00B063A8">
        <w:rPr>
          <w:spacing w:val="-7"/>
        </w:rPr>
        <w:t xml:space="preserve"> </w:t>
      </w:r>
      <w:r w:rsidRPr="00B063A8">
        <w:t>welche</w:t>
      </w:r>
      <w:r w:rsidRPr="00B063A8">
        <w:rPr>
          <w:spacing w:val="-8"/>
        </w:rPr>
        <w:t xml:space="preserve"> </w:t>
      </w:r>
      <w:r w:rsidRPr="00B063A8">
        <w:t>für die protestantische Kirche maßgeblich ist. Demnach belohnt Gott nicht die guten Werke, sondern erlöst aus Gnade jene Menschen, welche zwar sündigen, aber dennoch glauben. Die reformierten Kirchen hingegen gehen vom Prinzip der Prädestination</w:t>
      </w:r>
      <w:r w:rsidRPr="00B063A8">
        <w:rPr>
          <w:spacing w:val="-11"/>
        </w:rPr>
        <w:t xml:space="preserve"> </w:t>
      </w:r>
      <w:r w:rsidRPr="00B063A8">
        <w:t>aus:</w:t>
      </w:r>
      <w:r w:rsidRPr="00B063A8">
        <w:rPr>
          <w:spacing w:val="-10"/>
        </w:rPr>
        <w:t xml:space="preserve"> </w:t>
      </w:r>
      <w:r w:rsidRPr="00B063A8">
        <w:t>Jeder</w:t>
      </w:r>
      <w:r w:rsidRPr="00B063A8">
        <w:rPr>
          <w:spacing w:val="-12"/>
        </w:rPr>
        <w:t xml:space="preserve"> </w:t>
      </w:r>
      <w:r w:rsidRPr="00B063A8">
        <w:t>Einzelne</w:t>
      </w:r>
      <w:r w:rsidRPr="00B063A8">
        <w:rPr>
          <w:spacing w:val="-11"/>
        </w:rPr>
        <w:t xml:space="preserve"> </w:t>
      </w:r>
      <w:r w:rsidRPr="00B063A8">
        <w:t>sei</w:t>
      </w:r>
      <w:r w:rsidRPr="00B063A8">
        <w:rPr>
          <w:spacing w:val="-9"/>
        </w:rPr>
        <w:t xml:space="preserve"> </w:t>
      </w:r>
      <w:r w:rsidRPr="00B063A8">
        <w:t>erwählt.</w:t>
      </w:r>
      <w:r w:rsidRPr="00B063A8">
        <w:rPr>
          <w:spacing w:val="-12"/>
        </w:rPr>
        <w:t xml:space="preserve"> </w:t>
      </w:r>
      <w:r w:rsidRPr="00B063A8">
        <w:t>Sie</w:t>
      </w:r>
      <w:r w:rsidRPr="00B063A8">
        <w:rPr>
          <w:spacing w:val="-11"/>
        </w:rPr>
        <w:t xml:space="preserve"> </w:t>
      </w:r>
      <w:r w:rsidRPr="00B063A8">
        <w:t>berufen</w:t>
      </w:r>
      <w:r w:rsidRPr="00B063A8">
        <w:rPr>
          <w:spacing w:val="-10"/>
        </w:rPr>
        <w:t xml:space="preserve"> </w:t>
      </w:r>
      <w:r w:rsidRPr="00B063A8">
        <w:t>sich</w:t>
      </w:r>
      <w:r w:rsidRPr="00B063A8">
        <w:rPr>
          <w:spacing w:val="-11"/>
        </w:rPr>
        <w:t xml:space="preserve"> </w:t>
      </w:r>
      <w:r w:rsidRPr="00B063A8">
        <w:t>dabei</w:t>
      </w:r>
      <w:r w:rsidRPr="00B063A8">
        <w:rPr>
          <w:spacing w:val="-10"/>
        </w:rPr>
        <w:t xml:space="preserve"> </w:t>
      </w:r>
      <w:r w:rsidRPr="00B063A8">
        <w:t>auf</w:t>
      </w:r>
      <w:r w:rsidRPr="00B063A8">
        <w:rPr>
          <w:spacing w:val="-8"/>
        </w:rPr>
        <w:t xml:space="preserve"> </w:t>
      </w:r>
      <w:r w:rsidRPr="00B063A8">
        <w:t>J.</w:t>
      </w:r>
      <w:r w:rsidRPr="00B063A8">
        <w:rPr>
          <w:spacing w:val="-10"/>
        </w:rPr>
        <w:t xml:space="preserve"> </w:t>
      </w:r>
      <w:r w:rsidRPr="00B063A8">
        <w:t>Calvin, der als theologische Leitideen u.a. die Souveränität und Ehre Gottes, die Einzigartigkeit von Jesus Christus sowie das Wort Gottes als ausschließliches Kriterium</w:t>
      </w:r>
      <w:r w:rsidRPr="00B063A8">
        <w:rPr>
          <w:spacing w:val="-6"/>
        </w:rPr>
        <w:t xml:space="preserve"> </w:t>
      </w:r>
      <w:r w:rsidRPr="00B063A8">
        <w:t>der</w:t>
      </w:r>
      <w:r w:rsidRPr="00B063A8">
        <w:rPr>
          <w:spacing w:val="-5"/>
        </w:rPr>
        <w:t xml:space="preserve"> </w:t>
      </w:r>
      <w:r w:rsidRPr="00B063A8">
        <w:t>Wahrheit</w:t>
      </w:r>
      <w:r w:rsidRPr="00B063A8">
        <w:rPr>
          <w:spacing w:val="-7"/>
        </w:rPr>
        <w:t xml:space="preserve"> </w:t>
      </w:r>
      <w:r w:rsidRPr="00B063A8">
        <w:t>und</w:t>
      </w:r>
      <w:r w:rsidRPr="00B063A8">
        <w:rPr>
          <w:spacing w:val="-4"/>
        </w:rPr>
        <w:t xml:space="preserve"> </w:t>
      </w:r>
      <w:r w:rsidRPr="00B063A8">
        <w:t>Gerechtigkeit</w:t>
      </w:r>
      <w:r w:rsidRPr="00B063A8">
        <w:rPr>
          <w:spacing w:val="-5"/>
        </w:rPr>
        <w:t xml:space="preserve"> </w:t>
      </w:r>
      <w:r w:rsidRPr="00B063A8">
        <w:t>lehrte.</w:t>
      </w:r>
      <w:r w:rsidRPr="00B063A8">
        <w:rPr>
          <w:spacing w:val="-5"/>
        </w:rPr>
        <w:t xml:space="preserve"> </w:t>
      </w:r>
      <w:r w:rsidRPr="00B063A8">
        <w:t>Der</w:t>
      </w:r>
      <w:r w:rsidRPr="00B063A8">
        <w:rPr>
          <w:spacing w:val="-5"/>
        </w:rPr>
        <w:t xml:space="preserve"> </w:t>
      </w:r>
      <w:r w:rsidRPr="00B063A8">
        <w:t>Calvinismus</w:t>
      </w:r>
      <w:r w:rsidRPr="00B063A8">
        <w:rPr>
          <w:spacing w:val="-8"/>
        </w:rPr>
        <w:t xml:space="preserve"> </w:t>
      </w:r>
      <w:r w:rsidRPr="00B063A8">
        <w:t>reformierte</w:t>
      </w:r>
      <w:r w:rsidRPr="00B063A8">
        <w:rPr>
          <w:spacing w:val="-6"/>
        </w:rPr>
        <w:t xml:space="preserve"> </w:t>
      </w:r>
      <w:r w:rsidRPr="00B063A8">
        <w:t>die Kirchen weiter Teile Westeuropas (Frankreich, Niederlande, Schottland) und Osteuropas (z.B. Ungarn).</w:t>
      </w:r>
    </w:p>
    <w:p w14:paraId="49690848" w14:textId="77777777" w:rsidR="00FF7799" w:rsidRPr="00B063A8" w:rsidRDefault="00FF7799" w:rsidP="00687806">
      <w:pPr>
        <w:pStyle w:val="StandardText"/>
      </w:pPr>
    </w:p>
    <w:p w14:paraId="5D6F88EC" w14:textId="77777777" w:rsidR="00FF7799" w:rsidRPr="00B063A8" w:rsidRDefault="00FF7799" w:rsidP="00687806">
      <w:pPr>
        <w:pStyle w:val="StandardTextkursiv"/>
        <w:rPr>
          <w:i w:val="0"/>
        </w:rPr>
      </w:pPr>
      <w:r w:rsidRPr="00B063A8">
        <w:rPr>
          <w:i w:val="0"/>
        </w:rPr>
        <w:t>2 Grundzüge der Lehre</w:t>
      </w:r>
    </w:p>
    <w:p w14:paraId="1AE4AC9D" w14:textId="77777777" w:rsidR="00FF7799" w:rsidRPr="00B063A8" w:rsidRDefault="00FF7799" w:rsidP="00687806">
      <w:pPr>
        <w:pStyle w:val="StandardText"/>
      </w:pPr>
      <w:r w:rsidRPr="00B063A8">
        <w:t>Die Gesamtheit der Konfessionen bzw. kirchlichen Gemeinschaften, die sich auf Jesus von Nazareth berufen, wird in der Alltagssprache als Christentum bezeichnet.</w:t>
      </w:r>
      <w:r w:rsidRPr="00B063A8">
        <w:rPr>
          <w:spacing w:val="-12"/>
        </w:rPr>
        <w:t xml:space="preserve"> </w:t>
      </w:r>
      <w:r w:rsidRPr="00B063A8">
        <w:t>Den</w:t>
      </w:r>
      <w:r w:rsidRPr="00B063A8">
        <w:rPr>
          <w:spacing w:val="-11"/>
        </w:rPr>
        <w:t xml:space="preserve"> </w:t>
      </w:r>
      <w:r w:rsidRPr="00B063A8">
        <w:t>Christen</w:t>
      </w:r>
      <w:r w:rsidRPr="00B063A8">
        <w:rPr>
          <w:spacing w:val="-11"/>
        </w:rPr>
        <w:t xml:space="preserve"> </w:t>
      </w:r>
      <w:r w:rsidRPr="00B063A8">
        <w:t>gemeinsam</w:t>
      </w:r>
      <w:r w:rsidRPr="00B063A8">
        <w:rPr>
          <w:spacing w:val="-11"/>
        </w:rPr>
        <w:t xml:space="preserve"> </w:t>
      </w:r>
      <w:r w:rsidRPr="00B063A8">
        <w:t>ist</w:t>
      </w:r>
      <w:r w:rsidRPr="00B063A8">
        <w:rPr>
          <w:spacing w:val="-12"/>
        </w:rPr>
        <w:t xml:space="preserve"> </w:t>
      </w:r>
      <w:r w:rsidRPr="00B063A8">
        <w:t>die</w:t>
      </w:r>
      <w:r w:rsidRPr="00B063A8">
        <w:rPr>
          <w:spacing w:val="-11"/>
        </w:rPr>
        <w:t xml:space="preserve"> </w:t>
      </w:r>
      <w:r w:rsidRPr="00B063A8">
        <w:t>Vorstellung</w:t>
      </w:r>
      <w:r w:rsidRPr="00B063A8">
        <w:rPr>
          <w:spacing w:val="-11"/>
        </w:rPr>
        <w:t xml:space="preserve"> </w:t>
      </w:r>
      <w:r w:rsidRPr="00B063A8">
        <w:t>eines</w:t>
      </w:r>
      <w:r w:rsidRPr="00B063A8">
        <w:rPr>
          <w:spacing w:val="-11"/>
        </w:rPr>
        <w:t xml:space="preserve"> </w:t>
      </w:r>
      <w:r w:rsidRPr="00B063A8">
        <w:t>persönlichen</w:t>
      </w:r>
      <w:r w:rsidRPr="00B063A8">
        <w:rPr>
          <w:spacing w:val="-12"/>
        </w:rPr>
        <w:t xml:space="preserve"> </w:t>
      </w:r>
      <w:r w:rsidRPr="00B063A8">
        <w:t>Gottes. Hinzu kommt das Bewusstsein, eine Gemeinschaft zu bilden, die</w:t>
      </w:r>
      <w:r w:rsidRPr="00B063A8">
        <w:rPr>
          <w:spacing w:val="-2"/>
        </w:rPr>
        <w:t xml:space="preserve"> </w:t>
      </w:r>
      <w:r w:rsidRPr="00B063A8">
        <w:t>durch die Taufe sichtbar wird. Im Zentrum des christlichen Glaubens steht Jesus Christus, der als Gottes Sohn durch seinen Tod am Kreuz und seine Auferstehung von den Toten die Menschen von der Erbsünde erlöst hat. Maßgeblich für diese Lehre ist weiterhin</w:t>
      </w:r>
      <w:r w:rsidRPr="00B063A8">
        <w:rPr>
          <w:spacing w:val="-6"/>
        </w:rPr>
        <w:t xml:space="preserve"> </w:t>
      </w:r>
      <w:r w:rsidRPr="00B063A8">
        <w:t>das</w:t>
      </w:r>
      <w:r w:rsidRPr="00B063A8">
        <w:rPr>
          <w:spacing w:val="-6"/>
        </w:rPr>
        <w:t xml:space="preserve"> </w:t>
      </w:r>
      <w:r w:rsidRPr="00B063A8">
        <w:t>„Reich</w:t>
      </w:r>
      <w:r w:rsidRPr="00B063A8">
        <w:rPr>
          <w:spacing w:val="-5"/>
        </w:rPr>
        <w:t xml:space="preserve"> </w:t>
      </w:r>
      <w:r w:rsidRPr="00B063A8">
        <w:t>Gottes“,</w:t>
      </w:r>
      <w:r w:rsidRPr="00B063A8">
        <w:rPr>
          <w:spacing w:val="-5"/>
        </w:rPr>
        <w:t xml:space="preserve"> </w:t>
      </w:r>
      <w:r w:rsidRPr="00B063A8">
        <w:t>das</w:t>
      </w:r>
      <w:r w:rsidRPr="00B063A8">
        <w:rPr>
          <w:spacing w:val="-8"/>
        </w:rPr>
        <w:t xml:space="preserve"> </w:t>
      </w:r>
      <w:r w:rsidRPr="00B063A8">
        <w:t>im</w:t>
      </w:r>
      <w:r w:rsidRPr="00B063A8">
        <w:rPr>
          <w:spacing w:val="-6"/>
        </w:rPr>
        <w:t xml:space="preserve"> </w:t>
      </w:r>
      <w:r w:rsidRPr="00B063A8">
        <w:t>Alten</w:t>
      </w:r>
      <w:r w:rsidRPr="00B063A8">
        <w:rPr>
          <w:spacing w:val="-7"/>
        </w:rPr>
        <w:t xml:space="preserve"> </w:t>
      </w:r>
      <w:r w:rsidRPr="00B063A8">
        <w:t>Testament</w:t>
      </w:r>
      <w:r w:rsidRPr="00B063A8">
        <w:rPr>
          <w:spacing w:val="-5"/>
        </w:rPr>
        <w:t xml:space="preserve"> </w:t>
      </w:r>
      <w:r w:rsidRPr="00B063A8">
        <w:t>verheißen</w:t>
      </w:r>
      <w:r w:rsidRPr="00B063A8">
        <w:rPr>
          <w:spacing w:val="-4"/>
        </w:rPr>
        <w:t xml:space="preserve"> </w:t>
      </w:r>
      <w:r w:rsidRPr="00B063A8">
        <w:t>wurde</w:t>
      </w:r>
      <w:r w:rsidRPr="00B063A8">
        <w:rPr>
          <w:spacing w:val="-8"/>
        </w:rPr>
        <w:t xml:space="preserve"> </w:t>
      </w:r>
      <w:r w:rsidRPr="00B063A8">
        <w:t>und</w:t>
      </w:r>
      <w:r w:rsidRPr="00B063A8">
        <w:rPr>
          <w:spacing w:val="-4"/>
        </w:rPr>
        <w:t xml:space="preserve"> </w:t>
      </w:r>
      <w:r w:rsidRPr="00B063A8">
        <w:t>in</w:t>
      </w:r>
      <w:r w:rsidRPr="00B063A8">
        <w:rPr>
          <w:spacing w:val="-7"/>
        </w:rPr>
        <w:t xml:space="preserve"> </w:t>
      </w:r>
      <w:r w:rsidRPr="00B063A8">
        <w:t>der Person</w:t>
      </w:r>
      <w:r w:rsidRPr="00B063A8">
        <w:rPr>
          <w:spacing w:val="-2"/>
        </w:rPr>
        <w:t xml:space="preserve"> </w:t>
      </w:r>
      <w:r w:rsidRPr="00B063A8">
        <w:t>Jesu</w:t>
      </w:r>
      <w:r w:rsidRPr="00B063A8">
        <w:rPr>
          <w:spacing w:val="-1"/>
        </w:rPr>
        <w:t xml:space="preserve"> </w:t>
      </w:r>
      <w:r w:rsidRPr="00B063A8">
        <w:t>Christi</w:t>
      </w:r>
      <w:r w:rsidRPr="00B063A8">
        <w:rPr>
          <w:spacing w:val="-2"/>
        </w:rPr>
        <w:t xml:space="preserve"> </w:t>
      </w:r>
      <w:r w:rsidRPr="00B063A8">
        <w:t>begonnen</w:t>
      </w:r>
      <w:r w:rsidRPr="00B063A8">
        <w:rPr>
          <w:spacing w:val="-3"/>
        </w:rPr>
        <w:t xml:space="preserve"> </w:t>
      </w:r>
      <w:r w:rsidRPr="00B063A8">
        <w:t>hat. Indem</w:t>
      </w:r>
      <w:r w:rsidRPr="00B063A8">
        <w:rPr>
          <w:spacing w:val="-3"/>
        </w:rPr>
        <w:t xml:space="preserve"> </w:t>
      </w:r>
      <w:r w:rsidRPr="00B063A8">
        <w:t>es</w:t>
      </w:r>
      <w:r w:rsidRPr="00B063A8">
        <w:rPr>
          <w:spacing w:val="-2"/>
        </w:rPr>
        <w:t xml:space="preserve"> </w:t>
      </w:r>
      <w:r w:rsidRPr="00B063A8">
        <w:t>Vergebung</w:t>
      </w:r>
      <w:r w:rsidRPr="00B063A8">
        <w:rPr>
          <w:spacing w:val="-3"/>
        </w:rPr>
        <w:t xml:space="preserve"> </w:t>
      </w:r>
      <w:r w:rsidRPr="00B063A8">
        <w:t>und</w:t>
      </w:r>
      <w:r w:rsidRPr="00B063A8">
        <w:rPr>
          <w:spacing w:val="-3"/>
        </w:rPr>
        <w:t xml:space="preserve"> </w:t>
      </w:r>
      <w:r w:rsidRPr="00B063A8">
        <w:t>Versöhnung</w:t>
      </w:r>
      <w:r w:rsidRPr="00B063A8">
        <w:rPr>
          <w:spacing w:val="-3"/>
        </w:rPr>
        <w:t xml:space="preserve"> </w:t>
      </w:r>
      <w:r w:rsidRPr="00B063A8">
        <w:t>Vorrang gab</w:t>
      </w:r>
      <w:r w:rsidRPr="00B063A8">
        <w:rPr>
          <w:spacing w:val="-12"/>
        </w:rPr>
        <w:t xml:space="preserve"> </w:t>
      </w:r>
      <w:r w:rsidRPr="00B063A8">
        <w:t>gegenüber</w:t>
      </w:r>
      <w:r w:rsidRPr="00B063A8">
        <w:rPr>
          <w:spacing w:val="-11"/>
        </w:rPr>
        <w:t xml:space="preserve"> </w:t>
      </w:r>
      <w:r w:rsidRPr="00B063A8">
        <w:t>dem</w:t>
      </w:r>
      <w:r w:rsidRPr="00B063A8">
        <w:rPr>
          <w:spacing w:val="-11"/>
        </w:rPr>
        <w:t xml:space="preserve"> </w:t>
      </w:r>
      <w:r w:rsidRPr="00B063A8">
        <w:t>alttestamentarischen</w:t>
      </w:r>
      <w:r w:rsidRPr="00B063A8">
        <w:rPr>
          <w:spacing w:val="-11"/>
        </w:rPr>
        <w:t xml:space="preserve"> </w:t>
      </w:r>
      <w:r w:rsidRPr="00B063A8">
        <w:t>„Auge</w:t>
      </w:r>
      <w:r w:rsidRPr="00B063A8">
        <w:rPr>
          <w:spacing w:val="-12"/>
        </w:rPr>
        <w:t xml:space="preserve"> </w:t>
      </w:r>
      <w:r w:rsidRPr="00B063A8">
        <w:t>um</w:t>
      </w:r>
      <w:r w:rsidRPr="00B063A8">
        <w:rPr>
          <w:spacing w:val="-11"/>
        </w:rPr>
        <w:t xml:space="preserve"> </w:t>
      </w:r>
      <w:r w:rsidRPr="00B063A8">
        <w:t>Auge,</w:t>
      </w:r>
      <w:r w:rsidRPr="00B063A8">
        <w:rPr>
          <w:spacing w:val="-11"/>
        </w:rPr>
        <w:t xml:space="preserve"> </w:t>
      </w:r>
      <w:r w:rsidRPr="00B063A8">
        <w:t>Zahn</w:t>
      </w:r>
      <w:r w:rsidRPr="00B063A8">
        <w:rPr>
          <w:spacing w:val="-11"/>
        </w:rPr>
        <w:t xml:space="preserve"> </w:t>
      </w:r>
      <w:r w:rsidRPr="00B063A8">
        <w:t>um</w:t>
      </w:r>
      <w:r w:rsidRPr="00B063A8">
        <w:rPr>
          <w:spacing w:val="-12"/>
        </w:rPr>
        <w:t xml:space="preserve"> </w:t>
      </w:r>
      <w:r w:rsidRPr="00B063A8">
        <w:t>Zahn“,</w:t>
      </w:r>
      <w:r w:rsidRPr="00B063A8">
        <w:rPr>
          <w:spacing w:val="-7"/>
        </w:rPr>
        <w:t xml:space="preserve"> </w:t>
      </w:r>
      <w:r w:rsidRPr="00B063A8">
        <w:t>leistete das Christentum einen wichtigen Beitrag zur Menschheitsgeschichte: Christen sollen vergeben, weil Gott den Menschen vergeben hat, dass sie seinen Sohn getötet haben.</w:t>
      </w:r>
    </w:p>
    <w:p w14:paraId="51BEC592" w14:textId="77777777" w:rsidR="00FF7799" w:rsidRPr="00B063A8" w:rsidRDefault="00FF7799" w:rsidP="00687806">
      <w:pPr>
        <w:pStyle w:val="StandardText"/>
        <w:rPr>
          <w:sz w:val="22"/>
          <w:szCs w:val="22"/>
        </w:rPr>
      </w:pPr>
      <w:r w:rsidRPr="005571CB">
        <w:rPr>
          <w:b/>
          <w:i/>
          <w:sz w:val="22"/>
          <w:szCs w:val="22"/>
        </w:rPr>
        <w:t>Literatur:</w:t>
      </w:r>
      <w:r w:rsidRPr="005571CB">
        <w:rPr>
          <w:b/>
          <w:i/>
          <w:spacing w:val="40"/>
          <w:sz w:val="22"/>
          <w:szCs w:val="22"/>
        </w:rPr>
        <w:t xml:space="preserve"> </w:t>
      </w:r>
      <w:r w:rsidRPr="00B063A8">
        <w:rPr>
          <w:sz w:val="22"/>
          <w:szCs w:val="22"/>
        </w:rPr>
        <w:t>Baumann, U. (1995): Katholisch, in: Drehsen, V.; Häring, H.; Kuschel, K.-J.;</w:t>
      </w:r>
      <w:r w:rsidRPr="00B063A8">
        <w:rPr>
          <w:spacing w:val="40"/>
          <w:sz w:val="22"/>
          <w:szCs w:val="22"/>
        </w:rPr>
        <w:t xml:space="preserve"> </w:t>
      </w:r>
      <w:r w:rsidRPr="00B063A8">
        <w:rPr>
          <w:sz w:val="22"/>
          <w:szCs w:val="22"/>
        </w:rPr>
        <w:t>Siemers, H. (Hrsg.), Wörterbuch des Christentums, 597-598, München: Orbis.</w:t>
      </w:r>
      <w:r w:rsidRPr="00B063A8">
        <w:rPr>
          <w:spacing w:val="80"/>
          <w:sz w:val="22"/>
          <w:szCs w:val="22"/>
        </w:rPr>
        <w:t xml:space="preserve"> </w:t>
      </w:r>
      <w:r w:rsidRPr="00B063A8">
        <w:rPr>
          <w:sz w:val="22"/>
          <w:szCs w:val="22"/>
        </w:rPr>
        <w:t>von</w:t>
      </w:r>
      <w:r w:rsidRPr="00B063A8">
        <w:rPr>
          <w:spacing w:val="40"/>
          <w:sz w:val="22"/>
          <w:szCs w:val="22"/>
        </w:rPr>
        <w:t xml:space="preserve"> </w:t>
      </w:r>
      <w:r w:rsidRPr="00B063A8">
        <w:rPr>
          <w:sz w:val="22"/>
          <w:szCs w:val="22"/>
        </w:rPr>
        <w:t>Glasenapp,</w:t>
      </w:r>
      <w:r w:rsidRPr="00B063A8">
        <w:rPr>
          <w:spacing w:val="-7"/>
          <w:sz w:val="22"/>
          <w:szCs w:val="22"/>
        </w:rPr>
        <w:t xml:space="preserve"> </w:t>
      </w:r>
      <w:r w:rsidRPr="00B063A8">
        <w:rPr>
          <w:sz w:val="22"/>
          <w:szCs w:val="22"/>
        </w:rPr>
        <w:t>H.</w:t>
      </w:r>
      <w:r w:rsidRPr="00B063A8">
        <w:rPr>
          <w:spacing w:val="-6"/>
          <w:sz w:val="22"/>
          <w:szCs w:val="22"/>
        </w:rPr>
        <w:t xml:space="preserve"> </w:t>
      </w:r>
      <w:r w:rsidRPr="00B063A8">
        <w:rPr>
          <w:sz w:val="22"/>
          <w:szCs w:val="22"/>
        </w:rPr>
        <w:t>(2011):</w:t>
      </w:r>
      <w:r w:rsidRPr="00B063A8">
        <w:rPr>
          <w:spacing w:val="-4"/>
          <w:sz w:val="22"/>
          <w:szCs w:val="22"/>
        </w:rPr>
        <w:t xml:space="preserve"> </w:t>
      </w:r>
      <w:r w:rsidRPr="00B063A8">
        <w:rPr>
          <w:sz w:val="22"/>
          <w:szCs w:val="22"/>
        </w:rPr>
        <w:t>Die</w:t>
      </w:r>
      <w:r w:rsidRPr="00B063A8">
        <w:rPr>
          <w:spacing w:val="-5"/>
          <w:sz w:val="22"/>
          <w:szCs w:val="22"/>
        </w:rPr>
        <w:t xml:space="preserve"> </w:t>
      </w:r>
      <w:r w:rsidRPr="00B063A8">
        <w:rPr>
          <w:sz w:val="22"/>
          <w:szCs w:val="22"/>
        </w:rPr>
        <w:t>fünf</w:t>
      </w:r>
      <w:r w:rsidRPr="00B063A8">
        <w:rPr>
          <w:spacing w:val="-6"/>
          <w:sz w:val="22"/>
          <w:szCs w:val="22"/>
        </w:rPr>
        <w:t xml:space="preserve"> </w:t>
      </w:r>
      <w:r w:rsidRPr="00B063A8">
        <w:rPr>
          <w:sz w:val="22"/>
          <w:szCs w:val="22"/>
        </w:rPr>
        <w:t>Weltreligionen,</w:t>
      </w:r>
      <w:r w:rsidRPr="00B063A8">
        <w:rPr>
          <w:spacing w:val="-7"/>
          <w:sz w:val="22"/>
          <w:szCs w:val="22"/>
        </w:rPr>
        <w:t xml:space="preserve"> </w:t>
      </w:r>
      <w:r w:rsidRPr="00B063A8">
        <w:rPr>
          <w:sz w:val="22"/>
          <w:szCs w:val="22"/>
        </w:rPr>
        <w:t>5.</w:t>
      </w:r>
      <w:r w:rsidRPr="00B063A8">
        <w:rPr>
          <w:spacing w:val="-5"/>
          <w:sz w:val="22"/>
          <w:szCs w:val="22"/>
        </w:rPr>
        <w:t xml:space="preserve"> </w:t>
      </w:r>
      <w:r w:rsidRPr="00B063A8">
        <w:rPr>
          <w:sz w:val="22"/>
          <w:szCs w:val="22"/>
        </w:rPr>
        <w:t>Aufl.,</w:t>
      </w:r>
      <w:r w:rsidRPr="00B063A8">
        <w:rPr>
          <w:spacing w:val="-7"/>
          <w:sz w:val="22"/>
          <w:szCs w:val="22"/>
        </w:rPr>
        <w:t xml:space="preserve"> </w:t>
      </w:r>
      <w:r w:rsidRPr="00B063A8">
        <w:rPr>
          <w:sz w:val="22"/>
          <w:szCs w:val="22"/>
        </w:rPr>
        <w:t>München:</w:t>
      </w:r>
      <w:r w:rsidRPr="00B063A8">
        <w:rPr>
          <w:spacing w:val="-7"/>
          <w:sz w:val="22"/>
          <w:szCs w:val="22"/>
        </w:rPr>
        <w:t xml:space="preserve"> </w:t>
      </w:r>
      <w:r w:rsidRPr="00B063A8">
        <w:rPr>
          <w:sz w:val="22"/>
          <w:szCs w:val="22"/>
        </w:rPr>
        <w:t>Hugendubel</w:t>
      </w:r>
      <w:r w:rsidRPr="00B063A8">
        <w:rPr>
          <w:spacing w:val="-7"/>
          <w:sz w:val="22"/>
          <w:szCs w:val="22"/>
        </w:rPr>
        <w:t xml:space="preserve"> </w:t>
      </w:r>
      <w:r w:rsidRPr="00B063A8">
        <w:rPr>
          <w:sz w:val="22"/>
          <w:szCs w:val="22"/>
        </w:rPr>
        <w:t>(Diederichs</w:t>
      </w:r>
      <w:r w:rsidRPr="00B063A8">
        <w:rPr>
          <w:spacing w:val="40"/>
          <w:sz w:val="22"/>
          <w:szCs w:val="22"/>
        </w:rPr>
        <w:t xml:space="preserve"> </w:t>
      </w:r>
      <w:r w:rsidRPr="00B063A8">
        <w:rPr>
          <w:sz w:val="22"/>
          <w:szCs w:val="22"/>
        </w:rPr>
        <w:t>Gelbe Reihe).</w:t>
      </w:r>
      <w:r w:rsidRPr="00B063A8">
        <w:rPr>
          <w:spacing w:val="40"/>
          <w:sz w:val="22"/>
          <w:szCs w:val="22"/>
        </w:rPr>
        <w:t xml:space="preserve"> </w:t>
      </w:r>
      <w:r w:rsidRPr="00B063A8">
        <w:rPr>
          <w:sz w:val="22"/>
          <w:szCs w:val="22"/>
        </w:rPr>
        <w:t>von Thadden, R.; Klingebiel, T. (1995): Protestantismus, in: Drehsen, V.;</w:t>
      </w:r>
      <w:r w:rsidRPr="00B063A8">
        <w:rPr>
          <w:spacing w:val="40"/>
          <w:sz w:val="22"/>
          <w:szCs w:val="22"/>
        </w:rPr>
        <w:t xml:space="preserve"> </w:t>
      </w:r>
      <w:r w:rsidRPr="00B063A8">
        <w:rPr>
          <w:sz w:val="22"/>
          <w:szCs w:val="22"/>
        </w:rPr>
        <w:t>Häring, H.; Kuschel, K.-J.; Siemers, H. (Hrsg.), Wörterbuch des Christentums, 1007-1008,</w:t>
      </w:r>
      <w:r w:rsidRPr="00B063A8">
        <w:rPr>
          <w:spacing w:val="40"/>
          <w:sz w:val="22"/>
          <w:szCs w:val="22"/>
        </w:rPr>
        <w:t xml:space="preserve"> </w:t>
      </w:r>
      <w:r w:rsidRPr="00B063A8">
        <w:rPr>
          <w:sz w:val="22"/>
          <w:szCs w:val="22"/>
        </w:rPr>
        <w:t>München: Orbis.</w:t>
      </w:r>
    </w:p>
    <w:p w14:paraId="1EAE5745" w14:textId="77777777" w:rsidR="00FF7799" w:rsidRPr="00B063A8" w:rsidRDefault="00FF7799" w:rsidP="00687806">
      <w:pPr>
        <w:pStyle w:val="StandardText"/>
        <w:rPr>
          <w:sz w:val="22"/>
          <w:szCs w:val="22"/>
        </w:rPr>
      </w:pPr>
    </w:p>
    <w:p w14:paraId="2156B4C1" w14:textId="77777777" w:rsidR="00FF7799" w:rsidRPr="0097093C" w:rsidRDefault="00FF7799" w:rsidP="0097093C">
      <w:pPr>
        <w:keepNext/>
        <w:keepLines/>
        <w:spacing w:before="240"/>
        <w:jc w:val="both"/>
        <w:outlineLvl w:val="1"/>
        <w:rPr>
          <w:b/>
          <w:color w:val="2E74B5"/>
        </w:rPr>
      </w:pPr>
      <w:r w:rsidRPr="0097093C">
        <w:rPr>
          <w:b/>
          <w:color w:val="2E74B5"/>
        </w:rPr>
        <w:t>Konflikte</w:t>
      </w:r>
    </w:p>
    <w:p w14:paraId="16611CEB" w14:textId="77777777" w:rsidR="00FF7799" w:rsidRPr="00E73F6F" w:rsidRDefault="00FF7799" w:rsidP="00687806">
      <w:pPr>
        <w:pStyle w:val="StandardText"/>
      </w:pPr>
      <w:r w:rsidRPr="00E73F6F">
        <w:t xml:space="preserve">entstehen, wenn unvereinbare Bedürfnisse, Interessen bzw. Werte aufeinandertreffen. Das erweiterte Dual Concern-Modell </w:t>
      </w:r>
      <w:r w:rsidRPr="005571CB">
        <w:t>von M.A. Rahim</w:t>
      </w:r>
      <w:r w:rsidRPr="00E73F6F">
        <w:rPr>
          <w:i/>
        </w:rPr>
        <w:t xml:space="preserve"> </w:t>
      </w:r>
      <w:r w:rsidRPr="00E73F6F">
        <w:t>(vgl. Abb. 1) beschreibt vier Konfliktstile: Art und Weise des Umgangs mit und der Lösung von Konflikten durch Individuen.</w:t>
      </w:r>
    </w:p>
    <w:p w14:paraId="269F1DD1" w14:textId="77777777" w:rsidR="00FF7799" w:rsidRPr="00E73F6F" w:rsidRDefault="00FF7799" w:rsidP="00687806">
      <w:pPr>
        <w:pStyle w:val="StandardText"/>
      </w:pPr>
    </w:p>
    <w:p w14:paraId="4147A87A" w14:textId="77777777" w:rsidR="00FF7799" w:rsidRPr="00C76DC3" w:rsidRDefault="00FF7799" w:rsidP="00F93A37">
      <w:pPr>
        <w:pStyle w:val="BeschriftungTab"/>
        <w:rPr>
          <w:i/>
          <w:iCs/>
          <w:spacing w:val="-2"/>
        </w:rPr>
      </w:pPr>
      <w:r w:rsidRPr="00C76DC3">
        <w:rPr>
          <w:i/>
          <w:iCs/>
        </w:rPr>
        <w:t>Abb.</w:t>
      </w:r>
      <w:r w:rsidRPr="00C76DC3">
        <w:rPr>
          <w:i/>
          <w:iCs/>
          <w:spacing w:val="-2"/>
        </w:rPr>
        <w:t xml:space="preserve"> </w:t>
      </w:r>
      <w:r w:rsidRPr="00C76DC3">
        <w:rPr>
          <w:i/>
          <w:iCs/>
        </w:rPr>
        <w:t>1:</w:t>
      </w:r>
      <w:r w:rsidRPr="00C76DC3">
        <w:rPr>
          <w:i/>
          <w:iCs/>
          <w:spacing w:val="-2"/>
        </w:rPr>
        <w:t xml:space="preserve"> </w:t>
      </w:r>
      <w:r w:rsidRPr="00C76DC3">
        <w:rPr>
          <w:i/>
          <w:iCs/>
        </w:rPr>
        <w:t>Erweitertes Dual Concern-</w:t>
      </w:r>
      <w:r w:rsidRPr="00C76DC3">
        <w:rPr>
          <w:i/>
          <w:iCs/>
          <w:spacing w:val="-2"/>
        </w:rPr>
        <w:t>Modell</w:t>
      </w:r>
    </w:p>
    <w:p w14:paraId="75172A15" w14:textId="77777777" w:rsidR="00926158" w:rsidRPr="00E73F6F" w:rsidRDefault="00926158" w:rsidP="00F93A37">
      <w:pPr>
        <w:pStyle w:val="BeschriftungTab"/>
      </w:pPr>
      <w:r>
        <w:rPr>
          <w:noProof/>
        </w:rPr>
        <w:lastRenderedPageBreak/>
        <w:drawing>
          <wp:inline distT="0" distB="0" distL="0" distR="0" wp14:anchorId="0A79D7B8" wp14:editId="7F556D9B">
            <wp:extent cx="5634556" cy="2568540"/>
            <wp:effectExtent l="0" t="0" r="4445" b="3810"/>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648651" cy="2574966"/>
                    </a:xfrm>
                    <a:prstGeom prst="rect">
                      <a:avLst/>
                    </a:prstGeom>
                    <a:noFill/>
                  </pic:spPr>
                </pic:pic>
              </a:graphicData>
            </a:graphic>
          </wp:inline>
        </w:drawing>
      </w:r>
    </w:p>
    <w:p w14:paraId="14B658B3" w14:textId="77777777" w:rsidR="00FF7799" w:rsidRPr="00E73F6F" w:rsidRDefault="00FF7799" w:rsidP="00687806">
      <w:pPr>
        <w:pStyle w:val="Quellen"/>
      </w:pPr>
      <w:r w:rsidRPr="00E73F6F">
        <w:t>Quelle:</w:t>
      </w:r>
      <w:r w:rsidRPr="00E73F6F">
        <w:rPr>
          <w:spacing w:val="-6"/>
        </w:rPr>
        <w:t xml:space="preserve"> </w:t>
      </w:r>
      <w:r w:rsidRPr="00E73F6F">
        <w:t>Rahim</w:t>
      </w:r>
      <w:r w:rsidRPr="00E73F6F">
        <w:rPr>
          <w:spacing w:val="-7"/>
        </w:rPr>
        <w:t xml:space="preserve"> </w:t>
      </w:r>
      <w:r w:rsidRPr="00E73F6F">
        <w:t>(1983,</w:t>
      </w:r>
      <w:r w:rsidRPr="00E73F6F">
        <w:rPr>
          <w:spacing w:val="-6"/>
        </w:rPr>
        <w:t xml:space="preserve"> </w:t>
      </w:r>
      <w:r w:rsidRPr="00E73F6F">
        <w:t>S.369);</w:t>
      </w:r>
      <w:r w:rsidRPr="00E73F6F">
        <w:rPr>
          <w:spacing w:val="-6"/>
        </w:rPr>
        <w:t xml:space="preserve"> </w:t>
      </w:r>
      <w:r w:rsidRPr="00E73F6F">
        <w:t>eigene</w:t>
      </w:r>
      <w:r w:rsidRPr="00E73F6F">
        <w:rPr>
          <w:spacing w:val="-6"/>
        </w:rPr>
        <w:t xml:space="preserve"> </w:t>
      </w:r>
      <w:r w:rsidRPr="00E73F6F">
        <w:rPr>
          <w:spacing w:val="-2"/>
        </w:rPr>
        <w:t>Übersetzung.</w:t>
      </w:r>
    </w:p>
    <w:p w14:paraId="32758240" w14:textId="77777777" w:rsidR="00FF7799" w:rsidRPr="00E73F6F" w:rsidRDefault="00FF7799" w:rsidP="00862DBA">
      <w:pPr>
        <w:rPr>
          <w:sz w:val="24"/>
          <w:szCs w:val="24"/>
        </w:rPr>
      </w:pPr>
    </w:p>
    <w:p w14:paraId="6112A611" w14:textId="77777777" w:rsidR="00FF7799" w:rsidRPr="005571CB" w:rsidRDefault="00FF7799" w:rsidP="00687806">
      <w:pPr>
        <w:pStyle w:val="StandardText"/>
      </w:pPr>
      <w:r w:rsidRPr="005571CB">
        <w:t>Diese Konfliktstile ergeben sich, wenn man zwei Dimensionen des Konfliktverhaltens</w:t>
      </w:r>
      <w:r w:rsidRPr="005571CB">
        <w:rPr>
          <w:spacing w:val="-2"/>
        </w:rPr>
        <w:t xml:space="preserve"> </w:t>
      </w:r>
      <w:r w:rsidRPr="005571CB">
        <w:t>miteinander</w:t>
      </w:r>
      <w:r w:rsidRPr="005571CB">
        <w:rPr>
          <w:spacing w:val="-4"/>
        </w:rPr>
        <w:t xml:space="preserve"> </w:t>
      </w:r>
      <w:r w:rsidRPr="005571CB">
        <w:t>kombiniert.</w:t>
      </w:r>
      <w:r w:rsidRPr="005571CB">
        <w:rPr>
          <w:spacing w:val="-1"/>
        </w:rPr>
        <w:t xml:space="preserve"> </w:t>
      </w:r>
      <w:r w:rsidRPr="005571CB">
        <w:t>Im</w:t>
      </w:r>
      <w:r w:rsidRPr="005571CB">
        <w:rPr>
          <w:spacing w:val="-2"/>
        </w:rPr>
        <w:t xml:space="preserve"> </w:t>
      </w:r>
      <w:r w:rsidRPr="005571CB">
        <w:t>Konfliktfall</w:t>
      </w:r>
      <w:r w:rsidRPr="005571CB">
        <w:rPr>
          <w:spacing w:val="-4"/>
        </w:rPr>
        <w:t xml:space="preserve"> </w:t>
      </w:r>
      <w:r w:rsidRPr="005571CB">
        <w:t>kann</w:t>
      </w:r>
      <w:r w:rsidRPr="005571CB">
        <w:rPr>
          <w:spacing w:val="-3"/>
        </w:rPr>
        <w:t xml:space="preserve"> </w:t>
      </w:r>
      <w:r w:rsidRPr="005571CB">
        <w:t>man</w:t>
      </w:r>
      <w:r w:rsidRPr="005571CB">
        <w:rPr>
          <w:spacing w:val="-1"/>
        </w:rPr>
        <w:t xml:space="preserve"> </w:t>
      </w:r>
      <w:r w:rsidRPr="005571CB">
        <w:t>sich an</w:t>
      </w:r>
      <w:r w:rsidRPr="005571CB">
        <w:rPr>
          <w:spacing w:val="-3"/>
        </w:rPr>
        <w:t xml:space="preserve"> </w:t>
      </w:r>
      <w:r w:rsidRPr="005571CB">
        <w:t>den eigenen Zielen und/oder an den Zielen anderer orientieren. M.A. Rahim ergänzt dieses Portfolio um den Konfliktstil „Kompromiss“, dem Streben nach Interessenausgleich</w:t>
      </w:r>
      <w:r w:rsidRPr="005571CB">
        <w:rPr>
          <w:spacing w:val="-12"/>
        </w:rPr>
        <w:t xml:space="preserve"> </w:t>
      </w:r>
      <w:r w:rsidRPr="005571CB">
        <w:t>zwischen</w:t>
      </w:r>
      <w:r w:rsidRPr="005571CB">
        <w:rPr>
          <w:spacing w:val="-11"/>
        </w:rPr>
        <w:t xml:space="preserve"> </w:t>
      </w:r>
      <w:r w:rsidRPr="005571CB">
        <w:t>den</w:t>
      </w:r>
      <w:r w:rsidRPr="005571CB">
        <w:rPr>
          <w:spacing w:val="-11"/>
        </w:rPr>
        <w:t xml:space="preserve"> </w:t>
      </w:r>
      <w:r w:rsidRPr="005571CB">
        <w:t>Konfliktparteien:</w:t>
      </w:r>
      <w:r w:rsidRPr="005571CB">
        <w:rPr>
          <w:spacing w:val="-11"/>
        </w:rPr>
        <w:t xml:space="preserve"> </w:t>
      </w:r>
      <w:r w:rsidRPr="005571CB">
        <w:t>Nach</w:t>
      </w:r>
      <w:r w:rsidRPr="005571CB">
        <w:rPr>
          <w:spacing w:val="-11"/>
        </w:rPr>
        <w:t xml:space="preserve"> </w:t>
      </w:r>
      <w:r w:rsidRPr="005571CB">
        <w:t>dem</w:t>
      </w:r>
      <w:r w:rsidRPr="005571CB">
        <w:rPr>
          <w:spacing w:val="-11"/>
        </w:rPr>
        <w:t xml:space="preserve"> </w:t>
      </w:r>
      <w:r w:rsidRPr="005571CB">
        <w:t>Prinzip</w:t>
      </w:r>
      <w:r w:rsidRPr="005571CB">
        <w:rPr>
          <w:spacing w:val="-10"/>
        </w:rPr>
        <w:t xml:space="preserve"> </w:t>
      </w:r>
      <w:r w:rsidRPr="005571CB">
        <w:t>'no-win-no- lose' wird der Konflikt dadurch gelöst bzw. bewältigt, dass man einen für beide Seiten akzeptablen Mittelweg sucht. Es hat sich gezeigt, dass Mitglieder individualistischer Gesellschaften die Mehrzahl dieser Konfliktstile (außer Dominanz)</w:t>
      </w:r>
      <w:r w:rsidRPr="005571CB">
        <w:rPr>
          <w:spacing w:val="-4"/>
        </w:rPr>
        <w:t xml:space="preserve"> </w:t>
      </w:r>
      <w:r w:rsidRPr="005571CB">
        <w:t>anders</w:t>
      </w:r>
      <w:r w:rsidRPr="005571CB">
        <w:rPr>
          <w:spacing w:val="-4"/>
        </w:rPr>
        <w:t xml:space="preserve"> </w:t>
      </w:r>
      <w:r w:rsidRPr="005571CB">
        <w:t>interpretieren</w:t>
      </w:r>
      <w:r w:rsidRPr="005571CB">
        <w:rPr>
          <w:spacing w:val="-8"/>
        </w:rPr>
        <w:t xml:space="preserve"> </w:t>
      </w:r>
      <w:r w:rsidRPr="005571CB">
        <w:t>und</w:t>
      </w:r>
      <w:r w:rsidRPr="005571CB">
        <w:rPr>
          <w:spacing w:val="-8"/>
        </w:rPr>
        <w:t xml:space="preserve"> </w:t>
      </w:r>
      <w:r w:rsidRPr="005571CB">
        <w:t>handhaben</w:t>
      </w:r>
      <w:r w:rsidRPr="005571CB">
        <w:rPr>
          <w:spacing w:val="-5"/>
        </w:rPr>
        <w:t xml:space="preserve"> </w:t>
      </w:r>
      <w:r w:rsidRPr="005571CB">
        <w:t>als</w:t>
      </w:r>
      <w:r w:rsidRPr="005571CB">
        <w:rPr>
          <w:spacing w:val="-4"/>
        </w:rPr>
        <w:t xml:space="preserve"> </w:t>
      </w:r>
      <w:r w:rsidRPr="005571CB">
        <w:t>Angehörige</w:t>
      </w:r>
      <w:r w:rsidRPr="005571CB">
        <w:rPr>
          <w:spacing w:val="-7"/>
        </w:rPr>
        <w:t xml:space="preserve"> </w:t>
      </w:r>
      <w:r w:rsidRPr="005571CB">
        <w:t>kollektivistischer Kulturen.</w:t>
      </w:r>
      <w:r w:rsidRPr="005571CB">
        <w:rPr>
          <w:spacing w:val="-7"/>
        </w:rPr>
        <w:t xml:space="preserve"> </w:t>
      </w:r>
      <w:r w:rsidRPr="005571CB">
        <w:t>So</w:t>
      </w:r>
      <w:r w:rsidRPr="005571CB">
        <w:rPr>
          <w:spacing w:val="-9"/>
        </w:rPr>
        <w:t xml:space="preserve"> </w:t>
      </w:r>
      <w:r w:rsidRPr="005571CB">
        <w:t>verbinden</w:t>
      </w:r>
      <w:r w:rsidRPr="005571CB">
        <w:rPr>
          <w:spacing w:val="-6"/>
        </w:rPr>
        <w:t xml:space="preserve"> </w:t>
      </w:r>
      <w:r w:rsidRPr="005571CB">
        <w:t>Kollektivisten</w:t>
      </w:r>
      <w:r w:rsidRPr="005571CB">
        <w:rPr>
          <w:spacing w:val="-6"/>
        </w:rPr>
        <w:t xml:space="preserve"> </w:t>
      </w:r>
      <w:r w:rsidRPr="005571CB">
        <w:t>mit</w:t>
      </w:r>
      <w:r w:rsidRPr="005571CB">
        <w:rPr>
          <w:spacing w:val="-9"/>
        </w:rPr>
        <w:t xml:space="preserve"> </w:t>
      </w:r>
      <w:r w:rsidRPr="005571CB">
        <w:t>dem</w:t>
      </w:r>
      <w:r w:rsidRPr="005571CB">
        <w:rPr>
          <w:spacing w:val="-8"/>
        </w:rPr>
        <w:t xml:space="preserve"> </w:t>
      </w:r>
      <w:r w:rsidRPr="005571CB">
        <w:t>Konfliktlösungsstil</w:t>
      </w:r>
      <w:r w:rsidRPr="005571CB">
        <w:rPr>
          <w:spacing w:val="-9"/>
        </w:rPr>
        <w:t xml:space="preserve"> </w:t>
      </w:r>
      <w:r w:rsidRPr="005571CB">
        <w:t>„Vermeidung“ einerseits die Möglichkeit, dadurch bestehende soziale Beziehungen nicht zu gefährden.</w:t>
      </w:r>
      <w:r w:rsidRPr="005571CB">
        <w:rPr>
          <w:spacing w:val="13"/>
        </w:rPr>
        <w:t xml:space="preserve"> </w:t>
      </w:r>
      <w:r w:rsidRPr="005571CB">
        <w:t>Andererseits</w:t>
      </w:r>
      <w:r w:rsidRPr="005571CB">
        <w:rPr>
          <w:spacing w:val="18"/>
        </w:rPr>
        <w:t xml:space="preserve"> </w:t>
      </w:r>
      <w:r w:rsidRPr="005571CB">
        <w:t>wollen</w:t>
      </w:r>
      <w:r w:rsidRPr="005571CB">
        <w:rPr>
          <w:spacing w:val="18"/>
        </w:rPr>
        <w:t xml:space="preserve"> </w:t>
      </w:r>
      <w:r w:rsidRPr="005571CB">
        <w:t>sie</w:t>
      </w:r>
      <w:r w:rsidRPr="005571CB">
        <w:rPr>
          <w:spacing w:val="18"/>
        </w:rPr>
        <w:t xml:space="preserve"> </w:t>
      </w:r>
      <w:r w:rsidRPr="005571CB">
        <w:t>mit</w:t>
      </w:r>
      <w:r w:rsidRPr="005571CB">
        <w:rPr>
          <w:spacing w:val="18"/>
        </w:rPr>
        <w:t xml:space="preserve"> </w:t>
      </w:r>
      <w:r w:rsidRPr="005571CB">
        <w:t>dessen</w:t>
      </w:r>
      <w:r w:rsidRPr="005571CB">
        <w:rPr>
          <w:spacing w:val="18"/>
        </w:rPr>
        <w:t xml:space="preserve"> </w:t>
      </w:r>
      <w:r w:rsidRPr="005571CB">
        <w:t>Hilfe</w:t>
      </w:r>
      <w:r w:rsidRPr="005571CB">
        <w:rPr>
          <w:spacing w:val="15"/>
        </w:rPr>
        <w:t xml:space="preserve"> </w:t>
      </w:r>
      <w:r w:rsidRPr="005571CB">
        <w:t>die</w:t>
      </w:r>
      <w:r w:rsidRPr="005571CB">
        <w:rPr>
          <w:spacing w:val="18"/>
        </w:rPr>
        <w:t xml:space="preserve"> </w:t>
      </w:r>
      <w:r w:rsidRPr="005571CB">
        <w:t>eigenen</w:t>
      </w:r>
      <w:r w:rsidRPr="005571CB">
        <w:rPr>
          <w:spacing w:val="16"/>
        </w:rPr>
        <w:t xml:space="preserve"> </w:t>
      </w:r>
      <w:r w:rsidRPr="005571CB">
        <w:t>Ziele</w:t>
      </w:r>
      <w:r w:rsidRPr="005571CB">
        <w:rPr>
          <w:spacing w:val="18"/>
        </w:rPr>
        <w:t xml:space="preserve"> </w:t>
      </w:r>
      <w:r w:rsidRPr="005571CB">
        <w:rPr>
          <w:spacing w:val="-2"/>
        </w:rPr>
        <w:t xml:space="preserve">dennoch, </w:t>
      </w:r>
      <w:r w:rsidRPr="005571CB">
        <w:t>d.h. indirekt durchsetzen, indem sie Dritte an der Konfliktlösung beteiligen. Aus individualistischer Sicht hingegen setzt Konfliktvermeidung voraus, dass keiner der beteiligten Parteien besonders daran gelegen ist, eigene Ziele zu verfolgen.</w:t>
      </w:r>
    </w:p>
    <w:p w14:paraId="2379CBB2" w14:textId="77777777" w:rsidR="00FF7799" w:rsidRPr="00926158" w:rsidRDefault="00FF7799" w:rsidP="00687806">
      <w:pPr>
        <w:pStyle w:val="StandardText"/>
        <w:rPr>
          <w:sz w:val="22"/>
          <w:szCs w:val="22"/>
          <w:lang w:val="en-US"/>
        </w:rPr>
      </w:pPr>
      <w:r w:rsidRPr="00926158">
        <w:rPr>
          <w:b/>
          <w:i/>
          <w:sz w:val="22"/>
          <w:szCs w:val="22"/>
          <w:lang w:val="en-US"/>
        </w:rPr>
        <w:t>Literatur</w:t>
      </w:r>
      <w:r w:rsidRPr="00926158">
        <w:rPr>
          <w:i/>
          <w:sz w:val="22"/>
          <w:szCs w:val="22"/>
          <w:lang w:val="en-US"/>
        </w:rPr>
        <w:t>:</w:t>
      </w:r>
      <w:r w:rsidRPr="00926158">
        <w:rPr>
          <w:sz w:val="22"/>
          <w:szCs w:val="22"/>
          <w:lang w:val="en-US"/>
        </w:rPr>
        <w:t xml:space="preserve"> Rahim, M.A. (1983): A Measure of Styles of Handling Interpersonal Conflict,</w:t>
      </w:r>
      <w:r w:rsidRPr="00926158">
        <w:rPr>
          <w:spacing w:val="40"/>
          <w:sz w:val="22"/>
          <w:szCs w:val="22"/>
          <w:lang w:val="en-US"/>
        </w:rPr>
        <w:t xml:space="preserve"> </w:t>
      </w:r>
      <w:r w:rsidRPr="00926158">
        <w:rPr>
          <w:sz w:val="22"/>
          <w:szCs w:val="22"/>
          <w:lang w:val="en-US"/>
        </w:rPr>
        <w:t>Academy</w:t>
      </w:r>
      <w:r w:rsidRPr="00926158">
        <w:rPr>
          <w:spacing w:val="-1"/>
          <w:sz w:val="22"/>
          <w:szCs w:val="22"/>
          <w:lang w:val="en-US"/>
        </w:rPr>
        <w:t xml:space="preserve"> </w:t>
      </w:r>
      <w:r w:rsidRPr="00926158">
        <w:rPr>
          <w:sz w:val="22"/>
          <w:szCs w:val="22"/>
          <w:lang w:val="en-US"/>
        </w:rPr>
        <w:t>of</w:t>
      </w:r>
      <w:r w:rsidRPr="00926158">
        <w:rPr>
          <w:spacing w:val="-3"/>
          <w:sz w:val="22"/>
          <w:szCs w:val="22"/>
          <w:lang w:val="en-US"/>
        </w:rPr>
        <w:t xml:space="preserve"> </w:t>
      </w:r>
      <w:r w:rsidRPr="00926158">
        <w:rPr>
          <w:sz w:val="22"/>
          <w:szCs w:val="22"/>
          <w:lang w:val="en-US"/>
        </w:rPr>
        <w:t>Management</w:t>
      </w:r>
      <w:r w:rsidRPr="00926158">
        <w:rPr>
          <w:spacing w:val="-1"/>
          <w:sz w:val="22"/>
          <w:szCs w:val="22"/>
          <w:lang w:val="en-US"/>
        </w:rPr>
        <w:t xml:space="preserve"> </w:t>
      </w:r>
      <w:r w:rsidRPr="00926158">
        <w:rPr>
          <w:sz w:val="22"/>
          <w:szCs w:val="22"/>
          <w:lang w:val="en-US"/>
        </w:rPr>
        <w:t>Journal,</w:t>
      </w:r>
      <w:r w:rsidRPr="00926158">
        <w:rPr>
          <w:spacing w:val="-1"/>
          <w:sz w:val="22"/>
          <w:szCs w:val="22"/>
          <w:lang w:val="en-US"/>
        </w:rPr>
        <w:t xml:space="preserve"> </w:t>
      </w:r>
      <w:r w:rsidRPr="00926158">
        <w:rPr>
          <w:sz w:val="22"/>
          <w:szCs w:val="22"/>
          <w:lang w:val="en-US"/>
        </w:rPr>
        <w:t>26: 368-376.</w:t>
      </w:r>
      <w:r w:rsidRPr="00926158">
        <w:rPr>
          <w:spacing w:val="80"/>
          <w:sz w:val="22"/>
          <w:szCs w:val="22"/>
          <w:lang w:val="en-US"/>
        </w:rPr>
        <w:t xml:space="preserve"> </w:t>
      </w:r>
      <w:r w:rsidRPr="00926158">
        <w:rPr>
          <w:sz w:val="22"/>
          <w:szCs w:val="22"/>
          <w:lang w:val="en-US"/>
        </w:rPr>
        <w:t>Rahim,</w:t>
      </w:r>
      <w:r w:rsidRPr="00926158">
        <w:rPr>
          <w:spacing w:val="-1"/>
          <w:sz w:val="22"/>
          <w:szCs w:val="22"/>
          <w:lang w:val="en-US"/>
        </w:rPr>
        <w:t xml:space="preserve"> </w:t>
      </w:r>
      <w:r w:rsidRPr="00926158">
        <w:rPr>
          <w:sz w:val="22"/>
          <w:szCs w:val="22"/>
          <w:lang w:val="en-US"/>
        </w:rPr>
        <w:t>M.A. (2002):</w:t>
      </w:r>
      <w:r w:rsidRPr="00926158">
        <w:rPr>
          <w:spacing w:val="-1"/>
          <w:sz w:val="22"/>
          <w:szCs w:val="22"/>
          <w:lang w:val="en-US"/>
        </w:rPr>
        <w:t xml:space="preserve"> </w:t>
      </w:r>
      <w:r w:rsidRPr="00926158">
        <w:rPr>
          <w:sz w:val="22"/>
          <w:szCs w:val="22"/>
          <w:lang w:val="en-US"/>
        </w:rPr>
        <w:t>Toward</w:t>
      </w:r>
      <w:r w:rsidRPr="00926158">
        <w:rPr>
          <w:spacing w:val="-1"/>
          <w:sz w:val="22"/>
          <w:szCs w:val="22"/>
          <w:lang w:val="en-US"/>
        </w:rPr>
        <w:t xml:space="preserve"> </w:t>
      </w:r>
      <w:r w:rsidRPr="00926158">
        <w:rPr>
          <w:sz w:val="22"/>
          <w:szCs w:val="22"/>
          <w:lang w:val="en-US"/>
        </w:rPr>
        <w:t>a</w:t>
      </w:r>
      <w:r w:rsidRPr="00926158">
        <w:rPr>
          <w:spacing w:val="-1"/>
          <w:sz w:val="22"/>
          <w:szCs w:val="22"/>
          <w:lang w:val="en-US"/>
        </w:rPr>
        <w:t xml:space="preserve"> </w:t>
      </w:r>
      <w:r w:rsidRPr="00926158">
        <w:rPr>
          <w:sz w:val="22"/>
          <w:szCs w:val="22"/>
          <w:lang w:val="en-US"/>
        </w:rPr>
        <w:t>Theory</w:t>
      </w:r>
      <w:r w:rsidRPr="00926158">
        <w:rPr>
          <w:spacing w:val="-1"/>
          <w:sz w:val="22"/>
          <w:szCs w:val="22"/>
          <w:lang w:val="en-US"/>
        </w:rPr>
        <w:t xml:space="preserve"> </w:t>
      </w:r>
      <w:r w:rsidRPr="00926158">
        <w:rPr>
          <w:sz w:val="22"/>
          <w:szCs w:val="22"/>
          <w:lang w:val="en-US"/>
        </w:rPr>
        <w:t>of</w:t>
      </w:r>
      <w:r w:rsidRPr="00926158">
        <w:rPr>
          <w:spacing w:val="40"/>
          <w:sz w:val="22"/>
          <w:szCs w:val="22"/>
          <w:lang w:val="en-US"/>
        </w:rPr>
        <w:t xml:space="preserve"> </w:t>
      </w:r>
      <w:r w:rsidRPr="00926158">
        <w:rPr>
          <w:sz w:val="22"/>
          <w:szCs w:val="22"/>
          <w:lang w:val="en-US"/>
        </w:rPr>
        <w:t>Managing Organizational Conflict, International Journal of Management, 13: 206-235.</w:t>
      </w:r>
    </w:p>
    <w:p w14:paraId="12882643" w14:textId="77777777" w:rsidR="00FF7799" w:rsidRPr="00E35FFF" w:rsidRDefault="00FF7799" w:rsidP="00687806">
      <w:pPr>
        <w:pStyle w:val="StandardText"/>
        <w:rPr>
          <w:lang w:val="en-US"/>
        </w:rPr>
      </w:pPr>
    </w:p>
    <w:p w14:paraId="0C308D78" w14:textId="77777777" w:rsidR="00FF7799" w:rsidRPr="0097093C" w:rsidRDefault="00FF7799" w:rsidP="0097093C">
      <w:pPr>
        <w:keepNext/>
        <w:keepLines/>
        <w:spacing w:before="240"/>
        <w:jc w:val="both"/>
        <w:outlineLvl w:val="1"/>
        <w:rPr>
          <w:b/>
          <w:color w:val="2E74B5"/>
        </w:rPr>
      </w:pPr>
      <w:r w:rsidRPr="0097093C">
        <w:rPr>
          <w:b/>
          <w:color w:val="2E74B5"/>
        </w:rPr>
        <w:t>Konfuzianismus</w:t>
      </w:r>
    </w:p>
    <w:p w14:paraId="3DAFDFC1" w14:textId="77777777" w:rsidR="00FF7799" w:rsidRPr="00926158" w:rsidRDefault="00FF7799" w:rsidP="00687806">
      <w:pPr>
        <w:pStyle w:val="StandardTextkursiv"/>
        <w:rPr>
          <w:i w:val="0"/>
        </w:rPr>
      </w:pPr>
      <w:r w:rsidRPr="00926158">
        <w:rPr>
          <w:i w:val="0"/>
        </w:rPr>
        <w:t>1 Geschichte</w:t>
      </w:r>
    </w:p>
    <w:p w14:paraId="1F27BA92" w14:textId="77777777" w:rsidR="00FF7799" w:rsidRPr="00926158" w:rsidRDefault="00FF7799" w:rsidP="00687806">
      <w:pPr>
        <w:spacing w:before="121"/>
        <w:jc w:val="both"/>
        <w:rPr>
          <w:sz w:val="24"/>
          <w:szCs w:val="24"/>
        </w:rPr>
      </w:pPr>
      <w:r w:rsidRPr="00926158">
        <w:rPr>
          <w:sz w:val="24"/>
          <w:szCs w:val="24"/>
        </w:rPr>
        <w:t>Konfuzius (Kung Fu-tzu) lebte von 551 (oder 552) bis 479 v. Chr. Er betrachtete Moral</w:t>
      </w:r>
      <w:r w:rsidRPr="00926158">
        <w:rPr>
          <w:spacing w:val="-10"/>
          <w:sz w:val="24"/>
          <w:szCs w:val="24"/>
        </w:rPr>
        <w:t xml:space="preserve"> </w:t>
      </w:r>
      <w:r w:rsidRPr="00926158">
        <w:rPr>
          <w:sz w:val="24"/>
          <w:szCs w:val="24"/>
        </w:rPr>
        <w:t>als</w:t>
      </w:r>
      <w:r w:rsidRPr="00926158">
        <w:rPr>
          <w:spacing w:val="-10"/>
          <w:sz w:val="24"/>
          <w:szCs w:val="24"/>
        </w:rPr>
        <w:t xml:space="preserve"> </w:t>
      </w:r>
      <w:r w:rsidRPr="00926158">
        <w:rPr>
          <w:sz w:val="24"/>
          <w:szCs w:val="24"/>
        </w:rPr>
        <w:t>wesentliche</w:t>
      </w:r>
      <w:r w:rsidRPr="00926158">
        <w:rPr>
          <w:spacing w:val="-11"/>
          <w:sz w:val="24"/>
          <w:szCs w:val="24"/>
        </w:rPr>
        <w:t xml:space="preserve"> </w:t>
      </w:r>
      <w:r w:rsidRPr="00926158">
        <w:rPr>
          <w:sz w:val="24"/>
          <w:szCs w:val="24"/>
        </w:rPr>
        <w:t>Voraussetzung</w:t>
      </w:r>
      <w:r w:rsidRPr="00926158">
        <w:rPr>
          <w:spacing w:val="-11"/>
          <w:sz w:val="24"/>
          <w:szCs w:val="24"/>
        </w:rPr>
        <w:t xml:space="preserve"> </w:t>
      </w:r>
      <w:r w:rsidRPr="00926158">
        <w:rPr>
          <w:sz w:val="24"/>
          <w:szCs w:val="24"/>
        </w:rPr>
        <w:t>für</w:t>
      </w:r>
      <w:r w:rsidRPr="00926158">
        <w:rPr>
          <w:spacing w:val="-10"/>
          <w:sz w:val="24"/>
          <w:szCs w:val="24"/>
        </w:rPr>
        <w:t xml:space="preserve"> </w:t>
      </w:r>
      <w:r w:rsidRPr="00926158">
        <w:rPr>
          <w:sz w:val="24"/>
          <w:szCs w:val="24"/>
        </w:rPr>
        <w:t>eine</w:t>
      </w:r>
      <w:r w:rsidRPr="00926158">
        <w:rPr>
          <w:spacing w:val="-11"/>
          <w:sz w:val="24"/>
          <w:szCs w:val="24"/>
        </w:rPr>
        <w:t xml:space="preserve"> </w:t>
      </w:r>
      <w:r w:rsidRPr="00926158">
        <w:rPr>
          <w:sz w:val="24"/>
          <w:szCs w:val="24"/>
        </w:rPr>
        <w:t>geordnete</w:t>
      </w:r>
      <w:r w:rsidRPr="00926158">
        <w:rPr>
          <w:spacing w:val="-11"/>
          <w:sz w:val="24"/>
          <w:szCs w:val="24"/>
        </w:rPr>
        <w:t xml:space="preserve"> </w:t>
      </w:r>
      <w:r w:rsidRPr="00926158">
        <w:rPr>
          <w:sz w:val="24"/>
          <w:szCs w:val="24"/>
        </w:rPr>
        <w:t>Gesellschaft</w:t>
      </w:r>
      <w:r w:rsidRPr="00926158">
        <w:rPr>
          <w:spacing w:val="-10"/>
          <w:sz w:val="24"/>
          <w:szCs w:val="24"/>
        </w:rPr>
        <w:t xml:space="preserve"> </w:t>
      </w:r>
      <w:r w:rsidRPr="00926158">
        <w:rPr>
          <w:sz w:val="24"/>
          <w:szCs w:val="24"/>
        </w:rPr>
        <w:t>(vgl.</w:t>
      </w:r>
      <w:r w:rsidRPr="00926158">
        <w:rPr>
          <w:spacing w:val="-10"/>
          <w:sz w:val="24"/>
          <w:szCs w:val="24"/>
        </w:rPr>
        <w:t xml:space="preserve"> </w:t>
      </w:r>
      <w:r w:rsidRPr="00926158">
        <w:rPr>
          <w:sz w:val="24"/>
          <w:szCs w:val="24"/>
        </w:rPr>
        <w:t>Seiwert 1995a/b). Anfangs erlangte seine Lehre zunächst nur begrenzte Bedeutung; rund 300 Jahre nach seinem Tode wurden in China sogar seine sämtlichen Schriften verbrannt. In der anschließenden Han-Dynastie (206 v. Chr. bis 220 n. Chr.) gewann der Konfuzianismus zwar wieder an Einfluss. Doch erst ca. 1000 n. Chr. hielt er – inzwischen mit einigen buddhistischen Elementen verschmolzen – als Neokonfuzianismus in ganz Ostasien Einzug.</w:t>
      </w:r>
    </w:p>
    <w:p w14:paraId="522D2324" w14:textId="77777777" w:rsidR="00FF7799" w:rsidRPr="00926158" w:rsidRDefault="00FF7799" w:rsidP="00687806">
      <w:pPr>
        <w:spacing w:before="121"/>
        <w:jc w:val="both"/>
        <w:rPr>
          <w:sz w:val="24"/>
          <w:szCs w:val="24"/>
        </w:rPr>
      </w:pPr>
      <w:r w:rsidRPr="00926158">
        <w:rPr>
          <w:sz w:val="24"/>
          <w:szCs w:val="24"/>
        </w:rPr>
        <w:t>Zusammen</w:t>
      </w:r>
      <w:r w:rsidRPr="00926158">
        <w:rPr>
          <w:spacing w:val="38"/>
          <w:sz w:val="24"/>
          <w:szCs w:val="24"/>
        </w:rPr>
        <w:t xml:space="preserve"> </w:t>
      </w:r>
      <w:r w:rsidRPr="00926158">
        <w:rPr>
          <w:sz w:val="24"/>
          <w:szCs w:val="24"/>
        </w:rPr>
        <w:t>mit</w:t>
      </w:r>
      <w:r w:rsidRPr="00926158">
        <w:rPr>
          <w:spacing w:val="37"/>
          <w:sz w:val="24"/>
          <w:szCs w:val="24"/>
        </w:rPr>
        <w:t xml:space="preserve"> </w:t>
      </w:r>
      <w:r w:rsidRPr="00926158">
        <w:rPr>
          <w:sz w:val="24"/>
          <w:szCs w:val="24"/>
        </w:rPr>
        <w:t>dem</w:t>
      </w:r>
      <w:r w:rsidRPr="00926158">
        <w:rPr>
          <w:spacing w:val="37"/>
          <w:sz w:val="24"/>
          <w:szCs w:val="24"/>
        </w:rPr>
        <w:t xml:space="preserve"> </w:t>
      </w:r>
      <w:r w:rsidRPr="00926158">
        <w:rPr>
          <w:sz w:val="24"/>
          <w:szCs w:val="24"/>
        </w:rPr>
        <w:t>Buddhismus</w:t>
      </w:r>
      <w:r w:rsidRPr="00926158">
        <w:rPr>
          <w:spacing w:val="38"/>
          <w:sz w:val="24"/>
          <w:szCs w:val="24"/>
        </w:rPr>
        <w:t xml:space="preserve"> </w:t>
      </w:r>
      <w:r w:rsidRPr="00926158">
        <w:rPr>
          <w:sz w:val="24"/>
          <w:szCs w:val="24"/>
        </w:rPr>
        <w:t>und</w:t>
      </w:r>
      <w:r w:rsidRPr="00926158">
        <w:rPr>
          <w:spacing w:val="37"/>
          <w:sz w:val="24"/>
          <w:szCs w:val="24"/>
        </w:rPr>
        <w:t xml:space="preserve"> </w:t>
      </w:r>
      <w:r w:rsidRPr="00926158">
        <w:rPr>
          <w:sz w:val="24"/>
          <w:szCs w:val="24"/>
        </w:rPr>
        <w:t>dem</w:t>
      </w:r>
      <w:r w:rsidRPr="00926158">
        <w:rPr>
          <w:spacing w:val="38"/>
          <w:sz w:val="24"/>
          <w:szCs w:val="24"/>
        </w:rPr>
        <w:t xml:space="preserve"> </w:t>
      </w:r>
      <w:r w:rsidRPr="00926158">
        <w:rPr>
          <w:sz w:val="24"/>
          <w:szCs w:val="24"/>
        </w:rPr>
        <w:t>Taoismus</w:t>
      </w:r>
      <w:r w:rsidRPr="00926158">
        <w:rPr>
          <w:spacing w:val="37"/>
          <w:sz w:val="24"/>
          <w:szCs w:val="24"/>
        </w:rPr>
        <w:t xml:space="preserve"> </w:t>
      </w:r>
      <w:r w:rsidRPr="00926158">
        <w:rPr>
          <w:sz w:val="24"/>
          <w:szCs w:val="24"/>
        </w:rPr>
        <w:t>hat</w:t>
      </w:r>
      <w:r w:rsidRPr="00926158">
        <w:rPr>
          <w:spacing w:val="38"/>
          <w:sz w:val="24"/>
          <w:szCs w:val="24"/>
        </w:rPr>
        <w:t xml:space="preserve"> </w:t>
      </w:r>
      <w:r w:rsidRPr="00926158">
        <w:rPr>
          <w:sz w:val="24"/>
          <w:szCs w:val="24"/>
        </w:rPr>
        <w:t>der</w:t>
      </w:r>
      <w:r w:rsidRPr="00926158">
        <w:rPr>
          <w:spacing w:val="37"/>
          <w:sz w:val="24"/>
          <w:szCs w:val="24"/>
        </w:rPr>
        <w:t xml:space="preserve"> </w:t>
      </w:r>
      <w:r w:rsidRPr="00926158">
        <w:rPr>
          <w:spacing w:val="-2"/>
          <w:sz w:val="24"/>
          <w:szCs w:val="24"/>
        </w:rPr>
        <w:t>(Neo-</w:t>
      </w:r>
      <w:r w:rsidRPr="00926158">
        <w:rPr>
          <w:sz w:val="24"/>
          <w:szCs w:val="24"/>
        </w:rPr>
        <w:t>)Konfuzianismus insb. China, Japan und Korea nachhaltig beeinflusst. In China war dieser Verhaltenskodex von Beginn der Han-Dynastie (206 v. Chr.) bis zum Ende des Kaiserreiches (1911) sogar Staatsdoktrin (vgl. Zinsius 1996, S.25ff.). Andere Länder folgten diesem Beispiel (z.B. die koreanische Li-</w:t>
      </w:r>
      <w:r w:rsidRPr="00926158">
        <w:rPr>
          <w:sz w:val="24"/>
          <w:szCs w:val="24"/>
        </w:rPr>
        <w:lastRenderedPageBreak/>
        <w:t>Dynastie; 1392- 1910).</w:t>
      </w:r>
      <w:r w:rsidRPr="00926158">
        <w:rPr>
          <w:spacing w:val="-12"/>
          <w:sz w:val="24"/>
          <w:szCs w:val="24"/>
        </w:rPr>
        <w:t xml:space="preserve"> </w:t>
      </w:r>
      <w:r w:rsidRPr="00926158">
        <w:rPr>
          <w:sz w:val="24"/>
          <w:szCs w:val="24"/>
        </w:rPr>
        <w:t>Abgesehen</w:t>
      </w:r>
      <w:r w:rsidRPr="00926158">
        <w:rPr>
          <w:spacing w:val="-11"/>
          <w:sz w:val="24"/>
          <w:szCs w:val="24"/>
        </w:rPr>
        <w:t xml:space="preserve"> </w:t>
      </w:r>
      <w:r w:rsidRPr="00926158">
        <w:rPr>
          <w:sz w:val="24"/>
          <w:szCs w:val="24"/>
        </w:rPr>
        <w:t>von</w:t>
      </w:r>
      <w:r w:rsidRPr="00926158">
        <w:rPr>
          <w:spacing w:val="-11"/>
          <w:sz w:val="24"/>
          <w:szCs w:val="24"/>
        </w:rPr>
        <w:t xml:space="preserve"> </w:t>
      </w:r>
      <w:r w:rsidRPr="00926158">
        <w:rPr>
          <w:sz w:val="24"/>
          <w:szCs w:val="24"/>
        </w:rPr>
        <w:t>einigen</w:t>
      </w:r>
      <w:r w:rsidRPr="00926158">
        <w:rPr>
          <w:spacing w:val="-11"/>
          <w:sz w:val="24"/>
          <w:szCs w:val="24"/>
        </w:rPr>
        <w:t xml:space="preserve"> </w:t>
      </w:r>
      <w:r w:rsidRPr="00926158">
        <w:rPr>
          <w:sz w:val="24"/>
          <w:szCs w:val="24"/>
        </w:rPr>
        <w:t>kurzen</w:t>
      </w:r>
      <w:r w:rsidRPr="00926158">
        <w:rPr>
          <w:spacing w:val="-12"/>
          <w:sz w:val="24"/>
          <w:szCs w:val="24"/>
        </w:rPr>
        <w:t xml:space="preserve"> </w:t>
      </w:r>
      <w:r w:rsidRPr="00926158">
        <w:rPr>
          <w:sz w:val="24"/>
          <w:szCs w:val="24"/>
        </w:rPr>
        <w:t>Phasen,</w:t>
      </w:r>
      <w:r w:rsidRPr="00926158">
        <w:rPr>
          <w:spacing w:val="-11"/>
          <w:sz w:val="24"/>
          <w:szCs w:val="24"/>
        </w:rPr>
        <w:t xml:space="preserve"> </w:t>
      </w:r>
      <w:r w:rsidRPr="00926158">
        <w:rPr>
          <w:sz w:val="24"/>
          <w:szCs w:val="24"/>
        </w:rPr>
        <w:t>in</w:t>
      </w:r>
      <w:r w:rsidRPr="00926158">
        <w:rPr>
          <w:spacing w:val="-11"/>
          <w:sz w:val="24"/>
          <w:szCs w:val="24"/>
        </w:rPr>
        <w:t xml:space="preserve"> </w:t>
      </w:r>
      <w:r w:rsidRPr="00926158">
        <w:rPr>
          <w:sz w:val="24"/>
          <w:szCs w:val="24"/>
        </w:rPr>
        <w:t>denen</w:t>
      </w:r>
      <w:r w:rsidRPr="00926158">
        <w:rPr>
          <w:spacing w:val="-11"/>
          <w:sz w:val="24"/>
          <w:szCs w:val="24"/>
        </w:rPr>
        <w:t xml:space="preserve"> </w:t>
      </w:r>
      <w:r w:rsidRPr="00926158">
        <w:rPr>
          <w:sz w:val="24"/>
          <w:szCs w:val="24"/>
        </w:rPr>
        <w:t>Buddhismus</w:t>
      </w:r>
      <w:r w:rsidRPr="00926158">
        <w:rPr>
          <w:spacing w:val="-12"/>
          <w:sz w:val="24"/>
          <w:szCs w:val="24"/>
        </w:rPr>
        <w:t xml:space="preserve"> </w:t>
      </w:r>
      <w:r w:rsidRPr="00926158">
        <w:rPr>
          <w:sz w:val="24"/>
          <w:szCs w:val="24"/>
        </w:rPr>
        <w:t>und</w:t>
      </w:r>
      <w:r w:rsidRPr="00926158">
        <w:rPr>
          <w:spacing w:val="-11"/>
          <w:sz w:val="24"/>
          <w:szCs w:val="24"/>
        </w:rPr>
        <w:t xml:space="preserve"> </w:t>
      </w:r>
      <w:r w:rsidRPr="00926158">
        <w:rPr>
          <w:sz w:val="24"/>
          <w:szCs w:val="24"/>
        </w:rPr>
        <w:t>Taoismus für das philosophische</w:t>
      </w:r>
      <w:r w:rsidRPr="00926158">
        <w:rPr>
          <w:spacing w:val="-3"/>
          <w:sz w:val="24"/>
          <w:szCs w:val="24"/>
        </w:rPr>
        <w:t xml:space="preserve"> </w:t>
      </w:r>
      <w:r w:rsidRPr="00926158">
        <w:rPr>
          <w:sz w:val="24"/>
          <w:szCs w:val="24"/>
        </w:rPr>
        <w:t>und religiöse</w:t>
      </w:r>
      <w:r w:rsidRPr="00926158">
        <w:rPr>
          <w:spacing w:val="-1"/>
          <w:sz w:val="24"/>
          <w:szCs w:val="24"/>
        </w:rPr>
        <w:t xml:space="preserve"> </w:t>
      </w:r>
      <w:r w:rsidRPr="00926158">
        <w:rPr>
          <w:sz w:val="24"/>
          <w:szCs w:val="24"/>
        </w:rPr>
        <w:t>Leben in China bedeutsam</w:t>
      </w:r>
      <w:r w:rsidRPr="00926158">
        <w:rPr>
          <w:spacing w:val="-1"/>
          <w:sz w:val="24"/>
          <w:szCs w:val="24"/>
        </w:rPr>
        <w:t xml:space="preserve"> </w:t>
      </w:r>
      <w:r w:rsidRPr="00926158">
        <w:rPr>
          <w:sz w:val="24"/>
          <w:szCs w:val="24"/>
        </w:rPr>
        <w:t>waren, prägte</w:t>
      </w:r>
      <w:r w:rsidRPr="00926158">
        <w:rPr>
          <w:spacing w:val="-2"/>
          <w:sz w:val="24"/>
          <w:szCs w:val="24"/>
        </w:rPr>
        <w:t xml:space="preserve"> </w:t>
      </w:r>
      <w:r w:rsidRPr="00926158">
        <w:rPr>
          <w:sz w:val="24"/>
          <w:szCs w:val="24"/>
        </w:rPr>
        <w:t>der Konfuzianismus die Wertvorstellungen vieler asiatischer Gesellschaften nicht weniger</w:t>
      </w:r>
      <w:r w:rsidRPr="00926158">
        <w:rPr>
          <w:spacing w:val="-5"/>
          <w:sz w:val="24"/>
          <w:szCs w:val="24"/>
        </w:rPr>
        <w:t xml:space="preserve"> </w:t>
      </w:r>
      <w:r w:rsidRPr="00926158">
        <w:rPr>
          <w:sz w:val="24"/>
          <w:szCs w:val="24"/>
        </w:rPr>
        <w:t>einschneidend,</w:t>
      </w:r>
      <w:r w:rsidRPr="00926158">
        <w:rPr>
          <w:spacing w:val="-7"/>
          <w:sz w:val="24"/>
          <w:szCs w:val="24"/>
        </w:rPr>
        <w:t xml:space="preserve"> </w:t>
      </w:r>
      <w:r w:rsidRPr="00926158">
        <w:rPr>
          <w:sz w:val="24"/>
          <w:szCs w:val="24"/>
        </w:rPr>
        <w:t>als</w:t>
      </w:r>
      <w:r w:rsidRPr="00926158">
        <w:rPr>
          <w:spacing w:val="-8"/>
          <w:sz w:val="24"/>
          <w:szCs w:val="24"/>
        </w:rPr>
        <w:t xml:space="preserve"> </w:t>
      </w:r>
      <w:r w:rsidRPr="00926158">
        <w:rPr>
          <w:sz w:val="24"/>
          <w:szCs w:val="24"/>
        </w:rPr>
        <w:t>die</w:t>
      </w:r>
      <w:r w:rsidRPr="00926158">
        <w:rPr>
          <w:spacing w:val="-8"/>
          <w:sz w:val="24"/>
          <w:szCs w:val="24"/>
        </w:rPr>
        <w:t xml:space="preserve"> </w:t>
      </w:r>
      <w:r w:rsidRPr="00926158">
        <w:rPr>
          <w:sz w:val="24"/>
          <w:szCs w:val="24"/>
        </w:rPr>
        <w:t>hellenistische</w:t>
      </w:r>
      <w:r w:rsidRPr="00926158">
        <w:rPr>
          <w:spacing w:val="-8"/>
          <w:sz w:val="24"/>
          <w:szCs w:val="24"/>
        </w:rPr>
        <w:t xml:space="preserve"> </w:t>
      </w:r>
      <w:r w:rsidRPr="00926158">
        <w:rPr>
          <w:sz w:val="24"/>
          <w:szCs w:val="24"/>
        </w:rPr>
        <w:t>Philosophie</w:t>
      </w:r>
      <w:r w:rsidRPr="00926158">
        <w:rPr>
          <w:spacing w:val="-8"/>
          <w:sz w:val="24"/>
          <w:szCs w:val="24"/>
        </w:rPr>
        <w:t xml:space="preserve"> </w:t>
      </w:r>
      <w:r w:rsidRPr="00926158">
        <w:rPr>
          <w:sz w:val="24"/>
          <w:szCs w:val="24"/>
        </w:rPr>
        <w:t>und</w:t>
      </w:r>
      <w:r w:rsidRPr="00926158">
        <w:rPr>
          <w:spacing w:val="-7"/>
          <w:sz w:val="24"/>
          <w:szCs w:val="24"/>
        </w:rPr>
        <w:t xml:space="preserve"> </w:t>
      </w:r>
      <w:r w:rsidRPr="00926158">
        <w:rPr>
          <w:sz w:val="24"/>
          <w:szCs w:val="24"/>
        </w:rPr>
        <w:t>das</w:t>
      </w:r>
      <w:r w:rsidRPr="00926158">
        <w:rPr>
          <w:spacing w:val="-8"/>
          <w:sz w:val="24"/>
          <w:szCs w:val="24"/>
        </w:rPr>
        <w:t xml:space="preserve"> </w:t>
      </w:r>
      <w:r w:rsidRPr="00926158">
        <w:rPr>
          <w:sz w:val="24"/>
          <w:szCs w:val="24"/>
        </w:rPr>
        <w:t>Christentum</w:t>
      </w:r>
      <w:r w:rsidRPr="00926158">
        <w:rPr>
          <w:spacing w:val="-6"/>
          <w:sz w:val="24"/>
          <w:szCs w:val="24"/>
        </w:rPr>
        <w:t xml:space="preserve"> </w:t>
      </w:r>
      <w:r w:rsidRPr="00926158">
        <w:rPr>
          <w:sz w:val="24"/>
          <w:szCs w:val="24"/>
        </w:rPr>
        <w:t>die abendländische</w:t>
      </w:r>
      <w:r w:rsidRPr="00926158">
        <w:rPr>
          <w:spacing w:val="-12"/>
          <w:sz w:val="24"/>
          <w:szCs w:val="24"/>
        </w:rPr>
        <w:t xml:space="preserve"> </w:t>
      </w:r>
      <w:r w:rsidRPr="00926158">
        <w:rPr>
          <w:sz w:val="24"/>
          <w:szCs w:val="24"/>
        </w:rPr>
        <w:t>Kultur</w:t>
      </w:r>
      <w:r w:rsidRPr="00926158">
        <w:rPr>
          <w:spacing w:val="-11"/>
          <w:sz w:val="24"/>
          <w:szCs w:val="24"/>
        </w:rPr>
        <w:t xml:space="preserve"> </w:t>
      </w:r>
      <w:r w:rsidRPr="00926158">
        <w:rPr>
          <w:sz w:val="24"/>
          <w:szCs w:val="24"/>
        </w:rPr>
        <w:t>geformt</w:t>
      </w:r>
      <w:r w:rsidRPr="00926158">
        <w:rPr>
          <w:spacing w:val="-11"/>
          <w:sz w:val="24"/>
          <w:szCs w:val="24"/>
        </w:rPr>
        <w:t xml:space="preserve"> </w:t>
      </w:r>
      <w:r w:rsidRPr="00926158">
        <w:rPr>
          <w:sz w:val="24"/>
          <w:szCs w:val="24"/>
        </w:rPr>
        <w:t>haben</w:t>
      </w:r>
      <w:r w:rsidRPr="00926158">
        <w:rPr>
          <w:spacing w:val="-11"/>
          <w:sz w:val="24"/>
          <w:szCs w:val="24"/>
        </w:rPr>
        <w:t xml:space="preserve"> </w:t>
      </w:r>
      <w:r w:rsidRPr="00926158">
        <w:rPr>
          <w:sz w:val="24"/>
          <w:szCs w:val="24"/>
        </w:rPr>
        <w:t>(vgl.</w:t>
      </w:r>
      <w:r w:rsidRPr="00926158">
        <w:rPr>
          <w:spacing w:val="-12"/>
          <w:sz w:val="24"/>
          <w:szCs w:val="24"/>
        </w:rPr>
        <w:t xml:space="preserve"> </w:t>
      </w:r>
      <w:r w:rsidRPr="00926158">
        <w:rPr>
          <w:sz w:val="24"/>
          <w:szCs w:val="24"/>
        </w:rPr>
        <w:t>Morley</w:t>
      </w:r>
      <w:r w:rsidRPr="00926158">
        <w:rPr>
          <w:spacing w:val="-11"/>
          <w:sz w:val="24"/>
          <w:szCs w:val="24"/>
        </w:rPr>
        <w:t xml:space="preserve"> </w:t>
      </w:r>
      <w:r w:rsidRPr="00926158">
        <w:rPr>
          <w:sz w:val="24"/>
          <w:szCs w:val="24"/>
        </w:rPr>
        <w:t>1998,</w:t>
      </w:r>
      <w:r w:rsidRPr="00926158">
        <w:rPr>
          <w:spacing w:val="-10"/>
          <w:sz w:val="24"/>
          <w:szCs w:val="24"/>
        </w:rPr>
        <w:t xml:space="preserve"> </w:t>
      </w:r>
      <w:r w:rsidRPr="00926158">
        <w:rPr>
          <w:sz w:val="24"/>
          <w:szCs w:val="24"/>
        </w:rPr>
        <w:t>S.17).</w:t>
      </w:r>
      <w:r w:rsidRPr="00926158">
        <w:rPr>
          <w:spacing w:val="-12"/>
          <w:sz w:val="24"/>
          <w:szCs w:val="24"/>
        </w:rPr>
        <w:t xml:space="preserve"> </w:t>
      </w:r>
      <w:r w:rsidRPr="00926158">
        <w:rPr>
          <w:sz w:val="24"/>
          <w:szCs w:val="24"/>
        </w:rPr>
        <w:t>Deshalb</w:t>
      </w:r>
      <w:r w:rsidRPr="00926158">
        <w:rPr>
          <w:spacing w:val="-10"/>
          <w:sz w:val="24"/>
          <w:szCs w:val="24"/>
        </w:rPr>
        <w:t xml:space="preserve"> </w:t>
      </w:r>
      <w:r w:rsidRPr="00926158">
        <w:rPr>
          <w:sz w:val="24"/>
          <w:szCs w:val="24"/>
        </w:rPr>
        <w:t>kann</w:t>
      </w:r>
      <w:r w:rsidRPr="00926158">
        <w:rPr>
          <w:spacing w:val="-9"/>
          <w:sz w:val="24"/>
          <w:szCs w:val="24"/>
        </w:rPr>
        <w:t xml:space="preserve"> </w:t>
      </w:r>
      <w:r w:rsidRPr="00926158">
        <w:rPr>
          <w:sz w:val="24"/>
          <w:szCs w:val="24"/>
        </w:rPr>
        <w:t>man die konfuzianische und die (traditionelle) chinesische Gesellschaftsordnung nahezu gleichsetzen.</w:t>
      </w:r>
    </w:p>
    <w:p w14:paraId="28AA0D72" w14:textId="77777777" w:rsidR="00FF7799" w:rsidRPr="00926158" w:rsidRDefault="00FF7799" w:rsidP="00862DBA">
      <w:pPr>
        <w:spacing w:before="119"/>
        <w:jc w:val="both"/>
        <w:rPr>
          <w:sz w:val="24"/>
          <w:szCs w:val="24"/>
        </w:rPr>
      </w:pPr>
      <w:r w:rsidRPr="00926158">
        <w:rPr>
          <w:sz w:val="24"/>
          <w:szCs w:val="24"/>
        </w:rPr>
        <w:t>Nach</w:t>
      </w:r>
      <w:r w:rsidRPr="00926158">
        <w:rPr>
          <w:spacing w:val="-9"/>
          <w:sz w:val="24"/>
          <w:szCs w:val="24"/>
        </w:rPr>
        <w:t xml:space="preserve"> </w:t>
      </w:r>
      <w:r w:rsidRPr="00926158">
        <w:rPr>
          <w:sz w:val="24"/>
          <w:szCs w:val="24"/>
        </w:rPr>
        <w:t>1949</w:t>
      </w:r>
      <w:r w:rsidRPr="00926158">
        <w:rPr>
          <w:spacing w:val="-9"/>
          <w:sz w:val="24"/>
          <w:szCs w:val="24"/>
        </w:rPr>
        <w:t xml:space="preserve"> </w:t>
      </w:r>
      <w:r w:rsidRPr="00926158">
        <w:rPr>
          <w:sz w:val="24"/>
          <w:szCs w:val="24"/>
        </w:rPr>
        <w:t>übernahmen</w:t>
      </w:r>
      <w:r w:rsidRPr="00926158">
        <w:rPr>
          <w:spacing w:val="-9"/>
          <w:sz w:val="24"/>
          <w:szCs w:val="24"/>
        </w:rPr>
        <w:t xml:space="preserve"> </w:t>
      </w:r>
      <w:r w:rsidRPr="00926158">
        <w:rPr>
          <w:sz w:val="24"/>
          <w:szCs w:val="24"/>
        </w:rPr>
        <w:t>die</w:t>
      </w:r>
      <w:r w:rsidRPr="00926158">
        <w:rPr>
          <w:spacing w:val="-11"/>
          <w:sz w:val="24"/>
          <w:szCs w:val="24"/>
        </w:rPr>
        <w:t xml:space="preserve"> </w:t>
      </w:r>
      <w:r w:rsidRPr="00926158">
        <w:rPr>
          <w:sz w:val="24"/>
          <w:szCs w:val="24"/>
        </w:rPr>
        <w:t>Kommunisten</w:t>
      </w:r>
      <w:r w:rsidRPr="00926158">
        <w:rPr>
          <w:spacing w:val="-10"/>
          <w:sz w:val="24"/>
          <w:szCs w:val="24"/>
        </w:rPr>
        <w:t xml:space="preserve"> </w:t>
      </w:r>
      <w:r w:rsidRPr="00926158">
        <w:rPr>
          <w:sz w:val="24"/>
          <w:szCs w:val="24"/>
        </w:rPr>
        <w:t>das</w:t>
      </w:r>
      <w:r w:rsidRPr="00926158">
        <w:rPr>
          <w:spacing w:val="-11"/>
          <w:sz w:val="24"/>
          <w:szCs w:val="24"/>
        </w:rPr>
        <w:t xml:space="preserve"> </w:t>
      </w:r>
      <w:r w:rsidRPr="00926158">
        <w:rPr>
          <w:sz w:val="24"/>
          <w:szCs w:val="24"/>
        </w:rPr>
        <w:t>autoritäre</w:t>
      </w:r>
      <w:r w:rsidRPr="00926158">
        <w:rPr>
          <w:spacing w:val="-11"/>
          <w:sz w:val="24"/>
          <w:szCs w:val="24"/>
        </w:rPr>
        <w:t xml:space="preserve"> </w:t>
      </w:r>
      <w:r w:rsidRPr="00926158">
        <w:rPr>
          <w:sz w:val="24"/>
          <w:szCs w:val="24"/>
        </w:rPr>
        <w:t>Erbe</w:t>
      </w:r>
      <w:r w:rsidRPr="00926158">
        <w:rPr>
          <w:spacing w:val="-11"/>
          <w:sz w:val="24"/>
          <w:szCs w:val="24"/>
        </w:rPr>
        <w:t xml:space="preserve"> </w:t>
      </w:r>
      <w:r w:rsidRPr="00926158">
        <w:rPr>
          <w:sz w:val="24"/>
          <w:szCs w:val="24"/>
        </w:rPr>
        <w:t>der</w:t>
      </w:r>
      <w:r w:rsidRPr="00926158">
        <w:rPr>
          <w:spacing w:val="-10"/>
          <w:sz w:val="24"/>
          <w:szCs w:val="24"/>
        </w:rPr>
        <w:t xml:space="preserve"> </w:t>
      </w:r>
      <w:r w:rsidRPr="00926158">
        <w:rPr>
          <w:sz w:val="24"/>
          <w:szCs w:val="24"/>
        </w:rPr>
        <w:t>konfuzianischen Staatslehre und damit das prinzipielle Misstrauen gegenüber inoffiziellen, d.h. nichtstaatlichen Organisationen. Auch die Überzeugung, dass staatliche Macht unteilbar sei und deshalb hochgradig zentralistisch ausgeübt werden müsse, zählt zu den unseligen und auf lange Sicht ineffizienten Hinterlassenschaften des Konfuzianismus (vgl. Heilmann 1997, S.41ff.).</w:t>
      </w:r>
    </w:p>
    <w:p w14:paraId="1ED2A170" w14:textId="77777777" w:rsidR="00FF7799" w:rsidRPr="00926158" w:rsidRDefault="00FF7799" w:rsidP="00862DBA">
      <w:pPr>
        <w:spacing w:before="10"/>
        <w:rPr>
          <w:sz w:val="24"/>
          <w:szCs w:val="24"/>
        </w:rPr>
      </w:pPr>
    </w:p>
    <w:p w14:paraId="1188030F" w14:textId="77777777" w:rsidR="00FF7799" w:rsidRPr="00926158" w:rsidRDefault="00FF7799" w:rsidP="00687806">
      <w:pPr>
        <w:pStyle w:val="StandardTextkursiv"/>
        <w:rPr>
          <w:i w:val="0"/>
        </w:rPr>
      </w:pPr>
      <w:r w:rsidRPr="00926158">
        <w:rPr>
          <w:i w:val="0"/>
        </w:rPr>
        <w:t>2 Glaubensbekenntnis &amp; Symbol</w:t>
      </w:r>
    </w:p>
    <w:p w14:paraId="29EA00DC" w14:textId="77777777" w:rsidR="00FF7799" w:rsidRPr="00926158" w:rsidRDefault="00FF7799" w:rsidP="00862DBA">
      <w:pPr>
        <w:spacing w:before="120"/>
        <w:jc w:val="both"/>
        <w:rPr>
          <w:sz w:val="24"/>
          <w:szCs w:val="24"/>
        </w:rPr>
      </w:pPr>
      <w:r w:rsidRPr="00926158">
        <w:rPr>
          <w:sz w:val="24"/>
          <w:szCs w:val="24"/>
        </w:rPr>
        <w:t>Im engeren Wortsinn lassen sich dem Konfuzianismus weder Symbole noch ein Glaubensbekenntnis</w:t>
      </w:r>
      <w:r w:rsidRPr="00926158">
        <w:rPr>
          <w:spacing w:val="-4"/>
          <w:sz w:val="24"/>
          <w:szCs w:val="24"/>
        </w:rPr>
        <w:t xml:space="preserve"> </w:t>
      </w:r>
      <w:r w:rsidRPr="00926158">
        <w:rPr>
          <w:sz w:val="24"/>
          <w:szCs w:val="24"/>
        </w:rPr>
        <w:t>zuordnen.</w:t>
      </w:r>
      <w:r w:rsidRPr="00926158">
        <w:rPr>
          <w:spacing w:val="-4"/>
          <w:sz w:val="24"/>
          <w:szCs w:val="24"/>
        </w:rPr>
        <w:t xml:space="preserve"> </w:t>
      </w:r>
      <w:r w:rsidRPr="00926158">
        <w:rPr>
          <w:sz w:val="24"/>
          <w:szCs w:val="24"/>
        </w:rPr>
        <w:t>Vielmehr</w:t>
      </w:r>
      <w:r w:rsidRPr="00926158">
        <w:rPr>
          <w:spacing w:val="-4"/>
          <w:sz w:val="24"/>
          <w:szCs w:val="24"/>
        </w:rPr>
        <w:t xml:space="preserve"> </w:t>
      </w:r>
      <w:r w:rsidRPr="00926158">
        <w:rPr>
          <w:sz w:val="24"/>
          <w:szCs w:val="24"/>
        </w:rPr>
        <w:t>wurde</w:t>
      </w:r>
      <w:r w:rsidRPr="00926158">
        <w:rPr>
          <w:spacing w:val="-1"/>
          <w:sz w:val="24"/>
          <w:szCs w:val="24"/>
        </w:rPr>
        <w:t xml:space="preserve"> </w:t>
      </w:r>
      <w:r w:rsidRPr="00926158">
        <w:rPr>
          <w:sz w:val="24"/>
          <w:szCs w:val="24"/>
        </w:rPr>
        <w:t>Konfuzius</w:t>
      </w:r>
      <w:r w:rsidRPr="00926158">
        <w:rPr>
          <w:spacing w:val="-4"/>
          <w:sz w:val="24"/>
          <w:szCs w:val="24"/>
        </w:rPr>
        <w:t xml:space="preserve"> </w:t>
      </w:r>
      <w:r w:rsidRPr="00926158">
        <w:rPr>
          <w:sz w:val="24"/>
          <w:szCs w:val="24"/>
        </w:rPr>
        <w:t>selbst</w:t>
      </w:r>
      <w:r w:rsidRPr="00926158">
        <w:rPr>
          <w:spacing w:val="-4"/>
          <w:sz w:val="24"/>
          <w:szCs w:val="24"/>
        </w:rPr>
        <w:t xml:space="preserve"> </w:t>
      </w:r>
      <w:r w:rsidRPr="00926158">
        <w:rPr>
          <w:sz w:val="24"/>
          <w:szCs w:val="24"/>
        </w:rPr>
        <w:t>zum</w:t>
      </w:r>
      <w:r w:rsidRPr="00926158">
        <w:rPr>
          <w:spacing w:val="-4"/>
          <w:sz w:val="24"/>
          <w:szCs w:val="24"/>
        </w:rPr>
        <w:t xml:space="preserve"> </w:t>
      </w:r>
      <w:r w:rsidRPr="00926158">
        <w:rPr>
          <w:sz w:val="24"/>
          <w:szCs w:val="24"/>
        </w:rPr>
        <w:t>Symbol</w:t>
      </w:r>
      <w:r w:rsidRPr="00926158">
        <w:rPr>
          <w:spacing w:val="-5"/>
          <w:sz w:val="24"/>
          <w:szCs w:val="24"/>
        </w:rPr>
        <w:t xml:space="preserve"> </w:t>
      </w:r>
      <w:r w:rsidRPr="00926158">
        <w:rPr>
          <w:sz w:val="24"/>
          <w:szCs w:val="24"/>
        </w:rPr>
        <w:t>der traditionellen</w:t>
      </w:r>
      <w:r w:rsidRPr="00926158">
        <w:rPr>
          <w:spacing w:val="-6"/>
          <w:sz w:val="24"/>
          <w:szCs w:val="24"/>
        </w:rPr>
        <w:t xml:space="preserve"> </w:t>
      </w:r>
      <w:r w:rsidRPr="00926158">
        <w:rPr>
          <w:sz w:val="24"/>
          <w:szCs w:val="24"/>
        </w:rPr>
        <w:t>chinesischen</w:t>
      </w:r>
      <w:r w:rsidRPr="00926158">
        <w:rPr>
          <w:spacing w:val="-5"/>
          <w:sz w:val="24"/>
          <w:szCs w:val="24"/>
        </w:rPr>
        <w:t xml:space="preserve"> </w:t>
      </w:r>
      <w:r w:rsidRPr="00926158">
        <w:rPr>
          <w:sz w:val="24"/>
          <w:szCs w:val="24"/>
        </w:rPr>
        <w:t>Kultur.</w:t>
      </w:r>
      <w:r w:rsidRPr="00926158">
        <w:rPr>
          <w:spacing w:val="-5"/>
          <w:sz w:val="24"/>
          <w:szCs w:val="24"/>
        </w:rPr>
        <w:t xml:space="preserve"> </w:t>
      </w:r>
      <w:r w:rsidRPr="00926158">
        <w:rPr>
          <w:sz w:val="24"/>
          <w:szCs w:val="24"/>
        </w:rPr>
        <w:t>Symbolartige</w:t>
      </w:r>
      <w:r w:rsidRPr="00926158">
        <w:rPr>
          <w:spacing w:val="-8"/>
          <w:sz w:val="24"/>
          <w:szCs w:val="24"/>
        </w:rPr>
        <w:t xml:space="preserve"> </w:t>
      </w:r>
      <w:r w:rsidRPr="00926158">
        <w:rPr>
          <w:sz w:val="24"/>
          <w:szCs w:val="24"/>
        </w:rPr>
        <w:t>Eigenschaften</w:t>
      </w:r>
      <w:r w:rsidRPr="00926158">
        <w:rPr>
          <w:spacing w:val="-7"/>
          <w:sz w:val="24"/>
          <w:szCs w:val="24"/>
        </w:rPr>
        <w:t xml:space="preserve"> </w:t>
      </w:r>
      <w:r w:rsidRPr="00926158">
        <w:rPr>
          <w:sz w:val="24"/>
          <w:szCs w:val="24"/>
        </w:rPr>
        <w:t>besitzen</w:t>
      </w:r>
      <w:r w:rsidRPr="00926158">
        <w:rPr>
          <w:spacing w:val="-5"/>
          <w:sz w:val="24"/>
          <w:szCs w:val="24"/>
        </w:rPr>
        <w:t xml:space="preserve"> </w:t>
      </w:r>
      <w:r w:rsidRPr="00926158">
        <w:rPr>
          <w:sz w:val="24"/>
          <w:szCs w:val="24"/>
        </w:rPr>
        <w:t>allenfalls der Aprikosenbaum, unter dem Konfuzius seine Schüler unterrichtet haben soll, oder</w:t>
      </w:r>
      <w:r w:rsidRPr="00926158">
        <w:rPr>
          <w:spacing w:val="-5"/>
          <w:sz w:val="24"/>
          <w:szCs w:val="24"/>
        </w:rPr>
        <w:t xml:space="preserve"> </w:t>
      </w:r>
      <w:r w:rsidRPr="00926158">
        <w:rPr>
          <w:sz w:val="24"/>
          <w:szCs w:val="24"/>
        </w:rPr>
        <w:t>die</w:t>
      </w:r>
      <w:r w:rsidRPr="00926158">
        <w:rPr>
          <w:spacing w:val="-6"/>
          <w:sz w:val="24"/>
          <w:szCs w:val="24"/>
        </w:rPr>
        <w:t xml:space="preserve"> </w:t>
      </w:r>
      <w:r w:rsidRPr="00926158">
        <w:rPr>
          <w:sz w:val="24"/>
          <w:szCs w:val="24"/>
        </w:rPr>
        <w:t>figürliche</w:t>
      </w:r>
      <w:r w:rsidRPr="00926158">
        <w:rPr>
          <w:spacing w:val="-6"/>
          <w:sz w:val="24"/>
          <w:szCs w:val="24"/>
        </w:rPr>
        <w:t xml:space="preserve"> </w:t>
      </w:r>
      <w:r w:rsidRPr="00926158">
        <w:rPr>
          <w:sz w:val="24"/>
          <w:szCs w:val="24"/>
        </w:rPr>
        <w:t>Ausstattung</w:t>
      </w:r>
      <w:r w:rsidRPr="00926158">
        <w:rPr>
          <w:spacing w:val="-4"/>
          <w:sz w:val="24"/>
          <w:szCs w:val="24"/>
        </w:rPr>
        <w:t xml:space="preserve"> </w:t>
      </w:r>
      <w:r w:rsidRPr="00926158">
        <w:rPr>
          <w:sz w:val="24"/>
          <w:szCs w:val="24"/>
        </w:rPr>
        <w:t>des</w:t>
      </w:r>
      <w:r w:rsidRPr="00926158">
        <w:rPr>
          <w:spacing w:val="-6"/>
          <w:sz w:val="24"/>
          <w:szCs w:val="24"/>
        </w:rPr>
        <w:t xml:space="preserve"> </w:t>
      </w:r>
      <w:r w:rsidRPr="00926158">
        <w:rPr>
          <w:sz w:val="24"/>
          <w:szCs w:val="24"/>
        </w:rPr>
        <w:t>Konfuziustempel</w:t>
      </w:r>
      <w:r w:rsidRPr="00926158">
        <w:rPr>
          <w:spacing w:val="-5"/>
          <w:sz w:val="24"/>
          <w:szCs w:val="24"/>
        </w:rPr>
        <w:t xml:space="preserve"> </w:t>
      </w:r>
      <w:r w:rsidRPr="00926158">
        <w:rPr>
          <w:sz w:val="24"/>
          <w:szCs w:val="24"/>
        </w:rPr>
        <w:t>in</w:t>
      </w:r>
      <w:r w:rsidRPr="00926158">
        <w:rPr>
          <w:spacing w:val="-4"/>
          <w:sz w:val="24"/>
          <w:szCs w:val="24"/>
        </w:rPr>
        <w:t xml:space="preserve"> </w:t>
      </w:r>
      <w:r w:rsidRPr="00926158">
        <w:rPr>
          <w:sz w:val="24"/>
          <w:szCs w:val="24"/>
        </w:rPr>
        <w:t>Qufu</w:t>
      </w:r>
      <w:r w:rsidRPr="00926158">
        <w:rPr>
          <w:spacing w:val="-4"/>
          <w:sz w:val="24"/>
          <w:szCs w:val="24"/>
        </w:rPr>
        <w:t xml:space="preserve"> </w:t>
      </w:r>
      <w:r w:rsidRPr="00926158">
        <w:rPr>
          <w:sz w:val="24"/>
          <w:szCs w:val="24"/>
        </w:rPr>
        <w:t>(z.B.</w:t>
      </w:r>
      <w:r w:rsidRPr="00926158">
        <w:rPr>
          <w:spacing w:val="-7"/>
          <w:sz w:val="24"/>
          <w:szCs w:val="24"/>
        </w:rPr>
        <w:t xml:space="preserve"> </w:t>
      </w:r>
      <w:r w:rsidRPr="00926158">
        <w:rPr>
          <w:sz w:val="24"/>
          <w:szCs w:val="24"/>
        </w:rPr>
        <w:t>Pferde,</w:t>
      </w:r>
      <w:r w:rsidRPr="00926158">
        <w:rPr>
          <w:spacing w:val="-5"/>
          <w:sz w:val="24"/>
          <w:szCs w:val="24"/>
        </w:rPr>
        <w:t xml:space="preserve"> </w:t>
      </w:r>
      <w:r w:rsidRPr="00926158">
        <w:rPr>
          <w:sz w:val="24"/>
          <w:szCs w:val="24"/>
        </w:rPr>
        <w:t>welche den Beamtenstatus symbolisieren) bzw. die von chinesischen Kaisern am Grab gepflanzten Zypressen (als Symbol der immerwährenden Gültigkeit der Lehre). Die in kaiserlichem Gelb gefärbten Dachziegel des Tempels sind in diesem Zusammenhang ebenso zu erwähnen wie die Drachen, die das Dach beschützen und</w:t>
      </w:r>
      <w:r w:rsidRPr="00926158">
        <w:rPr>
          <w:spacing w:val="-12"/>
          <w:sz w:val="24"/>
          <w:szCs w:val="24"/>
        </w:rPr>
        <w:t xml:space="preserve"> </w:t>
      </w:r>
      <w:r w:rsidRPr="00926158">
        <w:rPr>
          <w:sz w:val="24"/>
          <w:szCs w:val="24"/>
        </w:rPr>
        <w:t>als</w:t>
      </w:r>
      <w:r w:rsidRPr="00926158">
        <w:rPr>
          <w:spacing w:val="-11"/>
          <w:sz w:val="24"/>
          <w:szCs w:val="24"/>
        </w:rPr>
        <w:t xml:space="preserve"> </w:t>
      </w:r>
      <w:r w:rsidRPr="00926158">
        <w:rPr>
          <w:sz w:val="24"/>
          <w:szCs w:val="24"/>
        </w:rPr>
        <w:t>Symbol</w:t>
      </w:r>
      <w:r w:rsidRPr="00926158">
        <w:rPr>
          <w:spacing w:val="-11"/>
          <w:sz w:val="24"/>
          <w:szCs w:val="24"/>
        </w:rPr>
        <w:t xml:space="preserve"> </w:t>
      </w:r>
      <w:r w:rsidRPr="00926158">
        <w:rPr>
          <w:sz w:val="24"/>
          <w:szCs w:val="24"/>
        </w:rPr>
        <w:t>für</w:t>
      </w:r>
      <w:r w:rsidRPr="00926158">
        <w:rPr>
          <w:spacing w:val="-11"/>
          <w:sz w:val="24"/>
          <w:szCs w:val="24"/>
        </w:rPr>
        <w:t xml:space="preserve"> </w:t>
      </w:r>
      <w:r w:rsidRPr="00926158">
        <w:rPr>
          <w:sz w:val="24"/>
          <w:szCs w:val="24"/>
        </w:rPr>
        <w:t>den</w:t>
      </w:r>
      <w:r w:rsidRPr="00926158">
        <w:rPr>
          <w:spacing w:val="-12"/>
          <w:sz w:val="24"/>
          <w:szCs w:val="24"/>
        </w:rPr>
        <w:t xml:space="preserve"> </w:t>
      </w:r>
      <w:r w:rsidRPr="00926158">
        <w:rPr>
          <w:sz w:val="24"/>
          <w:szCs w:val="24"/>
        </w:rPr>
        <w:t>Himmelssohn</w:t>
      </w:r>
      <w:r w:rsidRPr="00926158">
        <w:rPr>
          <w:spacing w:val="-11"/>
          <w:sz w:val="24"/>
          <w:szCs w:val="24"/>
        </w:rPr>
        <w:t xml:space="preserve"> </w:t>
      </w:r>
      <w:r w:rsidRPr="00926158">
        <w:rPr>
          <w:sz w:val="24"/>
          <w:szCs w:val="24"/>
        </w:rPr>
        <w:t>gelten.</w:t>
      </w:r>
      <w:r w:rsidRPr="00926158">
        <w:rPr>
          <w:spacing w:val="-11"/>
          <w:sz w:val="24"/>
          <w:szCs w:val="24"/>
        </w:rPr>
        <w:t xml:space="preserve"> </w:t>
      </w:r>
      <w:r w:rsidRPr="00926158">
        <w:rPr>
          <w:sz w:val="24"/>
          <w:szCs w:val="24"/>
        </w:rPr>
        <w:t>Beispielhaft</w:t>
      </w:r>
      <w:r w:rsidRPr="00926158">
        <w:rPr>
          <w:spacing w:val="-11"/>
          <w:sz w:val="24"/>
          <w:szCs w:val="24"/>
        </w:rPr>
        <w:t xml:space="preserve"> </w:t>
      </w:r>
      <w:r w:rsidRPr="00926158">
        <w:rPr>
          <w:sz w:val="24"/>
          <w:szCs w:val="24"/>
        </w:rPr>
        <w:t>zu</w:t>
      </w:r>
      <w:r w:rsidRPr="00926158">
        <w:rPr>
          <w:spacing w:val="-12"/>
          <w:sz w:val="24"/>
          <w:szCs w:val="24"/>
        </w:rPr>
        <w:t xml:space="preserve"> </w:t>
      </w:r>
      <w:r w:rsidRPr="00926158">
        <w:rPr>
          <w:sz w:val="24"/>
          <w:szCs w:val="24"/>
        </w:rPr>
        <w:t>nennen</w:t>
      </w:r>
      <w:r w:rsidRPr="00926158">
        <w:rPr>
          <w:spacing w:val="-11"/>
          <w:sz w:val="24"/>
          <w:szCs w:val="24"/>
        </w:rPr>
        <w:t xml:space="preserve"> </w:t>
      </w:r>
      <w:r w:rsidRPr="00926158">
        <w:rPr>
          <w:sz w:val="24"/>
          <w:szCs w:val="24"/>
        </w:rPr>
        <w:t>sind</w:t>
      </w:r>
      <w:r w:rsidRPr="00926158">
        <w:rPr>
          <w:spacing w:val="-11"/>
          <w:sz w:val="24"/>
          <w:szCs w:val="24"/>
        </w:rPr>
        <w:t xml:space="preserve"> </w:t>
      </w:r>
      <w:r w:rsidRPr="00926158">
        <w:rPr>
          <w:sz w:val="24"/>
          <w:szCs w:val="24"/>
        </w:rPr>
        <w:t>weiterhin Schildkröten, die ein langes Lebens symbolisieren, und Lehrsätze des Meisters tragen. Allerdings hat Konfuzius selbst kein schriftliches Zeugnis hinterlassen. Ähnlich der christlichen Lehre wurde seine Moral- und Staatslehre Generationen später niedergeschrieben.</w:t>
      </w:r>
    </w:p>
    <w:p w14:paraId="112FCA6C" w14:textId="77777777" w:rsidR="00FF7799" w:rsidRPr="00926158" w:rsidRDefault="00FF7799" w:rsidP="00862DBA">
      <w:pPr>
        <w:spacing w:before="120"/>
        <w:jc w:val="both"/>
        <w:rPr>
          <w:sz w:val="24"/>
          <w:szCs w:val="24"/>
        </w:rPr>
      </w:pPr>
    </w:p>
    <w:p w14:paraId="7175442F" w14:textId="77777777" w:rsidR="00FF7799" w:rsidRPr="00926158" w:rsidRDefault="00FF7799" w:rsidP="00687806">
      <w:pPr>
        <w:pStyle w:val="StandardTextkursiv"/>
        <w:rPr>
          <w:i w:val="0"/>
        </w:rPr>
      </w:pPr>
      <w:r w:rsidRPr="00926158">
        <w:rPr>
          <w:i w:val="0"/>
        </w:rPr>
        <w:t>3 Grundzüge der Lehre</w:t>
      </w:r>
    </w:p>
    <w:p w14:paraId="3AC5ACB2" w14:textId="77777777" w:rsidR="00FF7799" w:rsidRPr="00926158" w:rsidRDefault="00FF7799" w:rsidP="00B85FE4">
      <w:pPr>
        <w:pStyle w:val="Listenabsatz"/>
        <w:tabs>
          <w:tab w:val="left" w:pos="1333"/>
        </w:tabs>
        <w:spacing w:before="120"/>
        <w:ind w:left="0" w:firstLine="0"/>
        <w:rPr>
          <w:sz w:val="24"/>
          <w:szCs w:val="24"/>
        </w:rPr>
      </w:pPr>
      <w:r w:rsidRPr="00926158">
        <w:rPr>
          <w:sz w:val="24"/>
          <w:szCs w:val="24"/>
        </w:rPr>
        <w:t>In deren Mittelpunkt steht der edle, d.h. moralisch handelnde Mensch, der in Harmonie mit dem Universum lebt und die soziale Ordnung wahrt, indem er die anderen Menschen entsprechend</w:t>
      </w:r>
      <w:r w:rsidRPr="00926158">
        <w:rPr>
          <w:spacing w:val="-2"/>
          <w:sz w:val="24"/>
          <w:szCs w:val="24"/>
        </w:rPr>
        <w:t xml:space="preserve"> </w:t>
      </w:r>
      <w:r w:rsidRPr="00926158">
        <w:rPr>
          <w:sz w:val="24"/>
          <w:szCs w:val="24"/>
        </w:rPr>
        <w:t>dem</w:t>
      </w:r>
      <w:r w:rsidRPr="00926158">
        <w:rPr>
          <w:spacing w:val="-1"/>
          <w:sz w:val="24"/>
          <w:szCs w:val="24"/>
        </w:rPr>
        <w:t xml:space="preserve"> </w:t>
      </w:r>
      <w:r w:rsidRPr="00926158">
        <w:rPr>
          <w:sz w:val="24"/>
          <w:szCs w:val="24"/>
        </w:rPr>
        <w:t>jeweiligen hierarchischen Verhältnis achtet und</w:t>
      </w:r>
      <w:r w:rsidRPr="00926158">
        <w:rPr>
          <w:spacing w:val="-10"/>
          <w:sz w:val="24"/>
          <w:szCs w:val="24"/>
        </w:rPr>
        <w:t xml:space="preserve"> </w:t>
      </w:r>
      <w:r w:rsidRPr="00926158">
        <w:rPr>
          <w:sz w:val="24"/>
          <w:szCs w:val="24"/>
        </w:rPr>
        <w:t>die</w:t>
      </w:r>
      <w:r w:rsidRPr="00926158">
        <w:rPr>
          <w:spacing w:val="-7"/>
          <w:sz w:val="24"/>
          <w:szCs w:val="24"/>
        </w:rPr>
        <w:t xml:space="preserve"> </w:t>
      </w:r>
      <w:r w:rsidRPr="00926158">
        <w:rPr>
          <w:sz w:val="24"/>
          <w:szCs w:val="24"/>
        </w:rPr>
        <w:t>Ahnen</w:t>
      </w:r>
      <w:r w:rsidRPr="00926158">
        <w:rPr>
          <w:spacing w:val="-8"/>
          <w:sz w:val="24"/>
          <w:szCs w:val="24"/>
        </w:rPr>
        <w:t xml:space="preserve"> </w:t>
      </w:r>
      <w:r w:rsidRPr="00926158">
        <w:rPr>
          <w:sz w:val="24"/>
          <w:szCs w:val="24"/>
        </w:rPr>
        <w:t>verehrt.</w:t>
      </w:r>
      <w:r w:rsidRPr="00926158">
        <w:rPr>
          <w:spacing w:val="-8"/>
          <w:sz w:val="24"/>
          <w:szCs w:val="24"/>
        </w:rPr>
        <w:t xml:space="preserve"> </w:t>
      </w:r>
      <w:r w:rsidRPr="00926158">
        <w:rPr>
          <w:sz w:val="24"/>
          <w:szCs w:val="24"/>
        </w:rPr>
        <w:t>Er</w:t>
      </w:r>
      <w:r w:rsidRPr="00926158">
        <w:rPr>
          <w:spacing w:val="-9"/>
          <w:sz w:val="24"/>
          <w:szCs w:val="24"/>
        </w:rPr>
        <w:t xml:space="preserve"> </w:t>
      </w:r>
      <w:r w:rsidRPr="00926158">
        <w:rPr>
          <w:sz w:val="24"/>
          <w:szCs w:val="24"/>
        </w:rPr>
        <w:t>hat</w:t>
      </w:r>
      <w:r w:rsidRPr="00926158">
        <w:rPr>
          <w:spacing w:val="-6"/>
          <w:sz w:val="24"/>
          <w:szCs w:val="24"/>
        </w:rPr>
        <w:t xml:space="preserve"> </w:t>
      </w:r>
      <w:r w:rsidRPr="00926158">
        <w:rPr>
          <w:sz w:val="24"/>
          <w:szCs w:val="24"/>
        </w:rPr>
        <w:t>sittliche</w:t>
      </w:r>
      <w:r w:rsidRPr="00926158">
        <w:rPr>
          <w:spacing w:val="-7"/>
          <w:sz w:val="24"/>
          <w:szCs w:val="24"/>
        </w:rPr>
        <w:t xml:space="preserve"> </w:t>
      </w:r>
      <w:r w:rsidRPr="00926158">
        <w:rPr>
          <w:sz w:val="24"/>
          <w:szCs w:val="24"/>
        </w:rPr>
        <w:t>Normen</w:t>
      </w:r>
      <w:r w:rsidRPr="00926158">
        <w:rPr>
          <w:spacing w:val="-6"/>
          <w:sz w:val="24"/>
          <w:szCs w:val="24"/>
        </w:rPr>
        <w:t xml:space="preserve"> </w:t>
      </w:r>
      <w:r w:rsidRPr="00926158">
        <w:rPr>
          <w:sz w:val="24"/>
          <w:szCs w:val="24"/>
        </w:rPr>
        <w:t>('li')</w:t>
      </w:r>
      <w:r w:rsidRPr="00926158">
        <w:rPr>
          <w:spacing w:val="-7"/>
          <w:sz w:val="24"/>
          <w:szCs w:val="24"/>
        </w:rPr>
        <w:t xml:space="preserve"> </w:t>
      </w:r>
      <w:r w:rsidRPr="00926158">
        <w:rPr>
          <w:sz w:val="24"/>
          <w:szCs w:val="24"/>
        </w:rPr>
        <w:t>zu</w:t>
      </w:r>
      <w:r w:rsidRPr="00926158">
        <w:rPr>
          <w:spacing w:val="-8"/>
          <w:sz w:val="24"/>
          <w:szCs w:val="24"/>
        </w:rPr>
        <w:t xml:space="preserve"> </w:t>
      </w:r>
      <w:r w:rsidRPr="00926158">
        <w:rPr>
          <w:sz w:val="24"/>
          <w:szCs w:val="24"/>
        </w:rPr>
        <w:t>befolgen,</w:t>
      </w:r>
      <w:r w:rsidRPr="00926158">
        <w:rPr>
          <w:spacing w:val="-9"/>
          <w:sz w:val="24"/>
          <w:szCs w:val="24"/>
        </w:rPr>
        <w:t xml:space="preserve"> </w:t>
      </w:r>
      <w:r w:rsidRPr="00926158">
        <w:rPr>
          <w:sz w:val="24"/>
          <w:szCs w:val="24"/>
        </w:rPr>
        <w:t>um</w:t>
      </w:r>
      <w:r w:rsidRPr="00926158">
        <w:rPr>
          <w:spacing w:val="-8"/>
          <w:sz w:val="24"/>
          <w:szCs w:val="24"/>
        </w:rPr>
        <w:t xml:space="preserve"> </w:t>
      </w:r>
      <w:r w:rsidRPr="00926158">
        <w:rPr>
          <w:sz w:val="24"/>
          <w:szCs w:val="24"/>
        </w:rPr>
        <w:t>dem</w:t>
      </w:r>
      <w:r w:rsidRPr="00926158">
        <w:rPr>
          <w:spacing w:val="-8"/>
          <w:sz w:val="24"/>
          <w:szCs w:val="24"/>
        </w:rPr>
        <w:t xml:space="preserve"> </w:t>
      </w:r>
      <w:r w:rsidRPr="00926158">
        <w:rPr>
          <w:sz w:val="24"/>
          <w:szCs w:val="24"/>
        </w:rPr>
        <w:t>höchsten Ideal zu entsprechen: Humanität ('jen'). Der Konfuzianismus ist keine Religion; denn er beruft sich nicht auf Gott und befasst sich auch nicht mit den „letzten Fragen“ menschlicher Existenz, d.h. dem Leben nach dem Tod (vgl. von Glasenapp</w:t>
      </w:r>
      <w:r w:rsidRPr="00926158">
        <w:rPr>
          <w:spacing w:val="36"/>
          <w:sz w:val="24"/>
          <w:szCs w:val="24"/>
        </w:rPr>
        <w:t xml:space="preserve"> </w:t>
      </w:r>
      <w:r w:rsidRPr="00926158">
        <w:rPr>
          <w:sz w:val="24"/>
          <w:szCs w:val="24"/>
        </w:rPr>
        <w:t>2011).</w:t>
      </w:r>
      <w:r w:rsidRPr="00926158">
        <w:rPr>
          <w:spacing w:val="36"/>
          <w:sz w:val="24"/>
          <w:szCs w:val="24"/>
        </w:rPr>
        <w:t xml:space="preserve"> </w:t>
      </w:r>
      <w:r w:rsidRPr="00926158">
        <w:rPr>
          <w:sz w:val="24"/>
          <w:szCs w:val="24"/>
        </w:rPr>
        <w:t>Formal</w:t>
      </w:r>
      <w:r w:rsidRPr="00926158">
        <w:rPr>
          <w:spacing w:val="36"/>
          <w:sz w:val="24"/>
          <w:szCs w:val="24"/>
        </w:rPr>
        <w:t xml:space="preserve"> </w:t>
      </w:r>
      <w:r w:rsidRPr="00926158">
        <w:rPr>
          <w:sz w:val="24"/>
          <w:szCs w:val="24"/>
        </w:rPr>
        <w:t>gesehen</w:t>
      </w:r>
      <w:r w:rsidRPr="00926158">
        <w:rPr>
          <w:spacing w:val="36"/>
          <w:sz w:val="24"/>
          <w:szCs w:val="24"/>
        </w:rPr>
        <w:t xml:space="preserve"> </w:t>
      </w:r>
      <w:r w:rsidRPr="00926158">
        <w:rPr>
          <w:sz w:val="24"/>
          <w:szCs w:val="24"/>
        </w:rPr>
        <w:t>handelt</w:t>
      </w:r>
      <w:r w:rsidRPr="00926158">
        <w:rPr>
          <w:spacing w:val="36"/>
          <w:sz w:val="24"/>
          <w:szCs w:val="24"/>
        </w:rPr>
        <w:t xml:space="preserve"> </w:t>
      </w:r>
      <w:r w:rsidRPr="00926158">
        <w:rPr>
          <w:sz w:val="24"/>
          <w:szCs w:val="24"/>
        </w:rPr>
        <w:t>es</w:t>
      </w:r>
      <w:r w:rsidRPr="00926158">
        <w:rPr>
          <w:spacing w:val="35"/>
          <w:sz w:val="24"/>
          <w:szCs w:val="24"/>
        </w:rPr>
        <w:t xml:space="preserve"> </w:t>
      </w:r>
      <w:r w:rsidRPr="00926158">
        <w:rPr>
          <w:sz w:val="24"/>
          <w:szCs w:val="24"/>
        </w:rPr>
        <w:t>sich</w:t>
      </w:r>
      <w:r w:rsidRPr="00926158">
        <w:rPr>
          <w:spacing w:val="36"/>
          <w:sz w:val="24"/>
          <w:szCs w:val="24"/>
        </w:rPr>
        <w:t xml:space="preserve"> </w:t>
      </w:r>
      <w:r w:rsidRPr="00926158">
        <w:rPr>
          <w:sz w:val="24"/>
          <w:szCs w:val="24"/>
        </w:rPr>
        <w:t>einerseits</w:t>
      </w:r>
      <w:r w:rsidRPr="00926158">
        <w:rPr>
          <w:spacing w:val="35"/>
          <w:sz w:val="24"/>
          <w:szCs w:val="24"/>
        </w:rPr>
        <w:t xml:space="preserve"> </w:t>
      </w:r>
      <w:r w:rsidRPr="00926158">
        <w:rPr>
          <w:sz w:val="24"/>
          <w:szCs w:val="24"/>
        </w:rPr>
        <w:t>um</w:t>
      </w:r>
      <w:r w:rsidRPr="00926158">
        <w:rPr>
          <w:spacing w:val="34"/>
          <w:sz w:val="24"/>
          <w:szCs w:val="24"/>
        </w:rPr>
        <w:t xml:space="preserve"> </w:t>
      </w:r>
      <w:r w:rsidRPr="00926158">
        <w:rPr>
          <w:sz w:val="24"/>
          <w:szCs w:val="24"/>
        </w:rPr>
        <w:t>eine</w:t>
      </w:r>
      <w:r w:rsidRPr="00926158">
        <w:rPr>
          <w:spacing w:val="35"/>
          <w:sz w:val="24"/>
          <w:szCs w:val="24"/>
        </w:rPr>
        <w:t xml:space="preserve"> </w:t>
      </w:r>
      <w:r w:rsidRPr="00926158">
        <w:rPr>
          <w:sz w:val="24"/>
          <w:szCs w:val="24"/>
        </w:rPr>
        <w:t>(Moral-/Sozial-)Philosophie bzw. Ethik, welche die ideale Gesellschaftsordnung zu gewährleisten sucht und von den Menschen „Selbstverbesserung“ fordert. Andererseits</w:t>
      </w:r>
      <w:r w:rsidRPr="00926158">
        <w:rPr>
          <w:spacing w:val="-1"/>
          <w:sz w:val="24"/>
          <w:szCs w:val="24"/>
        </w:rPr>
        <w:t xml:space="preserve"> </w:t>
      </w:r>
      <w:r w:rsidRPr="00926158">
        <w:rPr>
          <w:sz w:val="24"/>
          <w:szCs w:val="24"/>
        </w:rPr>
        <w:t>ist der</w:t>
      </w:r>
      <w:r w:rsidRPr="00926158">
        <w:rPr>
          <w:spacing w:val="-1"/>
          <w:sz w:val="24"/>
          <w:szCs w:val="24"/>
        </w:rPr>
        <w:t xml:space="preserve"> </w:t>
      </w:r>
      <w:r w:rsidRPr="00926158">
        <w:rPr>
          <w:sz w:val="24"/>
          <w:szCs w:val="24"/>
        </w:rPr>
        <w:t>Konfuzianismus</w:t>
      </w:r>
      <w:r w:rsidRPr="00926158">
        <w:rPr>
          <w:spacing w:val="-1"/>
          <w:sz w:val="24"/>
          <w:szCs w:val="24"/>
        </w:rPr>
        <w:t xml:space="preserve"> </w:t>
      </w:r>
      <w:r w:rsidRPr="00926158">
        <w:rPr>
          <w:sz w:val="24"/>
          <w:szCs w:val="24"/>
        </w:rPr>
        <w:t>eine</w:t>
      </w:r>
      <w:r w:rsidRPr="00926158">
        <w:rPr>
          <w:spacing w:val="-1"/>
          <w:sz w:val="24"/>
          <w:szCs w:val="24"/>
        </w:rPr>
        <w:t xml:space="preserve"> </w:t>
      </w:r>
      <w:r w:rsidRPr="00926158">
        <w:rPr>
          <w:sz w:val="24"/>
          <w:szCs w:val="24"/>
        </w:rPr>
        <w:t>(praktische)</w:t>
      </w:r>
      <w:r w:rsidRPr="00926158">
        <w:rPr>
          <w:spacing w:val="-1"/>
          <w:sz w:val="24"/>
          <w:szCs w:val="24"/>
        </w:rPr>
        <w:t xml:space="preserve"> </w:t>
      </w:r>
      <w:r w:rsidRPr="00926158">
        <w:rPr>
          <w:sz w:val="24"/>
          <w:szCs w:val="24"/>
        </w:rPr>
        <w:t>Staatslehre.</w:t>
      </w:r>
      <w:r w:rsidRPr="00926158">
        <w:rPr>
          <w:spacing w:val="-2"/>
          <w:sz w:val="24"/>
          <w:szCs w:val="24"/>
        </w:rPr>
        <w:t xml:space="preserve"> </w:t>
      </w:r>
      <w:r w:rsidRPr="00926158">
        <w:rPr>
          <w:sz w:val="24"/>
          <w:szCs w:val="24"/>
        </w:rPr>
        <w:t>Deren</w:t>
      </w:r>
      <w:r w:rsidRPr="00E73F6F">
        <w:rPr>
          <w:sz w:val="24"/>
          <w:szCs w:val="24"/>
        </w:rPr>
        <w:t xml:space="preserve"> </w:t>
      </w:r>
      <w:r w:rsidRPr="00926158">
        <w:rPr>
          <w:sz w:val="24"/>
          <w:szCs w:val="24"/>
        </w:rPr>
        <w:t>oberstes Ziel ist Stabilität. Deshalb strebt der Konfuzianismus in jeder Hinsicht nach Ordnung: Ordnung durch hierarchische Struktur.</w:t>
      </w:r>
    </w:p>
    <w:p w14:paraId="4C7EF89D" w14:textId="77777777" w:rsidR="00FF7799" w:rsidRPr="00926158" w:rsidRDefault="00FF7799" w:rsidP="00862DBA">
      <w:pPr>
        <w:pStyle w:val="Listenabsatz"/>
        <w:tabs>
          <w:tab w:val="left" w:pos="1321"/>
        </w:tabs>
        <w:spacing w:before="122"/>
        <w:ind w:left="0" w:firstLine="0"/>
        <w:rPr>
          <w:sz w:val="24"/>
          <w:szCs w:val="24"/>
        </w:rPr>
      </w:pPr>
      <w:r w:rsidRPr="00926158">
        <w:rPr>
          <w:sz w:val="24"/>
          <w:szCs w:val="24"/>
        </w:rPr>
        <w:t>Die</w:t>
      </w:r>
      <w:r w:rsidRPr="00926158">
        <w:rPr>
          <w:spacing w:val="-9"/>
          <w:sz w:val="24"/>
          <w:szCs w:val="24"/>
        </w:rPr>
        <w:t xml:space="preserve"> </w:t>
      </w:r>
      <w:r w:rsidRPr="00926158">
        <w:rPr>
          <w:sz w:val="24"/>
          <w:szCs w:val="24"/>
        </w:rPr>
        <w:t>fünf</w:t>
      </w:r>
      <w:r w:rsidRPr="00926158">
        <w:rPr>
          <w:spacing w:val="-9"/>
          <w:sz w:val="24"/>
          <w:szCs w:val="24"/>
        </w:rPr>
        <w:t xml:space="preserve"> </w:t>
      </w:r>
      <w:r w:rsidRPr="00926158">
        <w:rPr>
          <w:sz w:val="24"/>
          <w:szCs w:val="24"/>
        </w:rPr>
        <w:t>konfuzianischen</w:t>
      </w:r>
      <w:r w:rsidRPr="00926158">
        <w:rPr>
          <w:spacing w:val="-6"/>
          <w:sz w:val="24"/>
          <w:szCs w:val="24"/>
        </w:rPr>
        <w:t xml:space="preserve"> </w:t>
      </w:r>
      <w:r w:rsidRPr="00926158">
        <w:rPr>
          <w:sz w:val="24"/>
          <w:szCs w:val="24"/>
        </w:rPr>
        <w:t>Kardinaltugenden</w:t>
      </w:r>
      <w:r w:rsidRPr="00926158">
        <w:rPr>
          <w:spacing w:val="-8"/>
          <w:sz w:val="24"/>
          <w:szCs w:val="24"/>
        </w:rPr>
        <w:t xml:space="preserve"> </w:t>
      </w:r>
      <w:r w:rsidRPr="00926158">
        <w:rPr>
          <w:sz w:val="24"/>
          <w:szCs w:val="24"/>
        </w:rPr>
        <w:t>sollen</w:t>
      </w:r>
      <w:r w:rsidRPr="00926158">
        <w:rPr>
          <w:spacing w:val="-8"/>
          <w:sz w:val="24"/>
          <w:szCs w:val="24"/>
        </w:rPr>
        <w:t xml:space="preserve"> </w:t>
      </w:r>
      <w:r w:rsidRPr="00926158">
        <w:rPr>
          <w:sz w:val="24"/>
          <w:szCs w:val="24"/>
        </w:rPr>
        <w:t>dem</w:t>
      </w:r>
      <w:r w:rsidRPr="00926158">
        <w:rPr>
          <w:spacing w:val="-7"/>
          <w:sz w:val="24"/>
          <w:szCs w:val="24"/>
        </w:rPr>
        <w:t xml:space="preserve"> </w:t>
      </w:r>
      <w:r w:rsidRPr="00926158">
        <w:rPr>
          <w:sz w:val="24"/>
          <w:szCs w:val="24"/>
        </w:rPr>
        <w:t>Einzelnen,</w:t>
      </w:r>
      <w:r w:rsidRPr="00926158">
        <w:rPr>
          <w:spacing w:val="-8"/>
          <w:sz w:val="24"/>
          <w:szCs w:val="24"/>
        </w:rPr>
        <w:t xml:space="preserve"> </w:t>
      </w:r>
      <w:r w:rsidRPr="00926158">
        <w:rPr>
          <w:sz w:val="24"/>
          <w:szCs w:val="24"/>
        </w:rPr>
        <w:t>der</w:t>
      </w:r>
      <w:r w:rsidRPr="00926158">
        <w:rPr>
          <w:spacing w:val="-7"/>
          <w:sz w:val="24"/>
          <w:szCs w:val="24"/>
        </w:rPr>
        <w:t xml:space="preserve"> </w:t>
      </w:r>
      <w:r w:rsidRPr="00926158">
        <w:rPr>
          <w:sz w:val="24"/>
          <w:szCs w:val="24"/>
        </w:rPr>
        <w:t>Familie sowie dem Staat Moral bzw. Menschlichkeit vermitteln: gegenseitige Liebe, Rechtschaffenheit, Weisheit, Sittlichkeit und Aufrichtigkeit. „Liebe“ wird allerdings als pflichtgemäßes Verhalten in den zwischenmenschlichen Beziehungen verstanden, das sich in den fünf Pflichtverhältnissen konkretisiert (vgl. Dülfer 1996, S.306f.). In autoritärer Weise regeln sie die wechselseitigen Beziehungen zwischen</w:t>
      </w:r>
    </w:p>
    <w:p w14:paraId="3E14719B" w14:textId="77777777" w:rsidR="00FF7799" w:rsidRPr="00926158" w:rsidRDefault="00FF7799" w:rsidP="0097093C">
      <w:pPr>
        <w:pStyle w:val="StandardTextAufzhlung"/>
        <w:ind w:left="426"/>
      </w:pPr>
      <w:r w:rsidRPr="00926158">
        <w:t>Eltern &amp;</w:t>
      </w:r>
      <w:r w:rsidRPr="00926158">
        <w:rPr>
          <w:spacing w:val="-1"/>
        </w:rPr>
        <w:t xml:space="preserve"> </w:t>
      </w:r>
      <w:r w:rsidRPr="00926158">
        <w:t>Kindern,</w:t>
      </w:r>
    </w:p>
    <w:p w14:paraId="31572798" w14:textId="77777777" w:rsidR="00FF7799" w:rsidRPr="00926158" w:rsidRDefault="00FF7799" w:rsidP="0097093C">
      <w:pPr>
        <w:pStyle w:val="StandardTextAufzhlung"/>
        <w:ind w:left="426"/>
      </w:pPr>
      <w:r w:rsidRPr="00926158">
        <w:t>Herrscher</w:t>
      </w:r>
      <w:r w:rsidRPr="00926158">
        <w:rPr>
          <w:spacing w:val="-3"/>
        </w:rPr>
        <w:t xml:space="preserve"> </w:t>
      </w:r>
      <w:r w:rsidRPr="00926158">
        <w:t>&amp; Untertanen,</w:t>
      </w:r>
    </w:p>
    <w:p w14:paraId="7796B55A" w14:textId="77777777" w:rsidR="00FF7799" w:rsidRPr="00926158" w:rsidRDefault="00FF7799" w:rsidP="0097093C">
      <w:pPr>
        <w:pStyle w:val="StandardTextAufzhlung"/>
        <w:ind w:left="426"/>
      </w:pPr>
      <w:r w:rsidRPr="00926158">
        <w:t>älteren</w:t>
      </w:r>
      <w:r w:rsidRPr="00926158">
        <w:rPr>
          <w:spacing w:val="-1"/>
        </w:rPr>
        <w:t xml:space="preserve"> </w:t>
      </w:r>
      <w:r w:rsidRPr="00926158">
        <w:t>&amp; jüngeren Geschwistern,</w:t>
      </w:r>
    </w:p>
    <w:p w14:paraId="6BB8344E" w14:textId="77777777" w:rsidR="00FF7799" w:rsidRPr="00926158" w:rsidRDefault="00FF7799" w:rsidP="0097093C">
      <w:pPr>
        <w:pStyle w:val="StandardTextAufzhlung"/>
        <w:ind w:left="426"/>
      </w:pPr>
      <w:r w:rsidRPr="00926158">
        <w:t>Mann</w:t>
      </w:r>
      <w:r w:rsidRPr="00926158">
        <w:rPr>
          <w:spacing w:val="-1"/>
        </w:rPr>
        <w:t xml:space="preserve"> </w:t>
      </w:r>
      <w:r w:rsidRPr="00926158">
        <w:t>&amp; Frau sowie</w:t>
      </w:r>
    </w:p>
    <w:p w14:paraId="14BB82DC" w14:textId="77777777" w:rsidR="00FF7799" w:rsidRPr="00926158" w:rsidRDefault="00FF7799" w:rsidP="00B85FE4">
      <w:pPr>
        <w:pStyle w:val="StandardTextAufzhlung"/>
      </w:pPr>
      <w:r w:rsidRPr="00926158">
        <w:lastRenderedPageBreak/>
        <w:t>Freund</w:t>
      </w:r>
      <w:r w:rsidRPr="00926158">
        <w:rPr>
          <w:spacing w:val="-3"/>
        </w:rPr>
        <w:t xml:space="preserve"> </w:t>
      </w:r>
      <w:r w:rsidRPr="00926158">
        <w:t>&amp;</w:t>
      </w:r>
      <w:r w:rsidRPr="00926158">
        <w:rPr>
          <w:spacing w:val="-1"/>
        </w:rPr>
        <w:t xml:space="preserve"> </w:t>
      </w:r>
      <w:r w:rsidRPr="00926158">
        <w:t>Freund.</w:t>
      </w:r>
    </w:p>
    <w:p w14:paraId="7897E266" w14:textId="77777777" w:rsidR="00FF7799" w:rsidRPr="00926158" w:rsidRDefault="00FF7799" w:rsidP="00862DBA">
      <w:pPr>
        <w:spacing w:before="143"/>
        <w:jc w:val="both"/>
        <w:rPr>
          <w:sz w:val="24"/>
          <w:szCs w:val="24"/>
        </w:rPr>
      </w:pPr>
      <w:r w:rsidRPr="00926158">
        <w:rPr>
          <w:sz w:val="24"/>
          <w:szCs w:val="24"/>
        </w:rPr>
        <w:t>In jedem Pflichtverhältnis ist jeweils der Stärkere zur Fürsorge gegenüber dem Schwächeren verpflichtet und dieser zu Gehorsam gegenüber dem Stärkeren.</w:t>
      </w:r>
    </w:p>
    <w:p w14:paraId="75D550E6" w14:textId="77777777" w:rsidR="00FF7799" w:rsidRPr="00926158" w:rsidRDefault="00FF7799" w:rsidP="00862DBA">
      <w:pPr>
        <w:spacing w:before="119"/>
        <w:jc w:val="both"/>
        <w:rPr>
          <w:sz w:val="24"/>
          <w:szCs w:val="24"/>
        </w:rPr>
      </w:pPr>
      <w:r w:rsidRPr="00926158">
        <w:rPr>
          <w:sz w:val="24"/>
          <w:szCs w:val="24"/>
        </w:rPr>
        <w:t>Anfangs war</w:t>
      </w:r>
      <w:r w:rsidRPr="00926158">
        <w:rPr>
          <w:spacing w:val="-1"/>
          <w:sz w:val="24"/>
          <w:szCs w:val="24"/>
        </w:rPr>
        <w:t xml:space="preserve"> </w:t>
      </w:r>
      <w:r w:rsidRPr="00926158">
        <w:rPr>
          <w:sz w:val="24"/>
          <w:szCs w:val="24"/>
        </w:rPr>
        <w:t>der Konfuzianismus insofern revolutionär, als er</w:t>
      </w:r>
      <w:r w:rsidRPr="00926158">
        <w:rPr>
          <w:spacing w:val="-1"/>
          <w:sz w:val="24"/>
          <w:szCs w:val="24"/>
        </w:rPr>
        <w:t xml:space="preserve"> </w:t>
      </w:r>
      <w:r w:rsidRPr="00926158">
        <w:rPr>
          <w:sz w:val="24"/>
          <w:szCs w:val="24"/>
        </w:rPr>
        <w:t>die</w:t>
      </w:r>
      <w:r w:rsidRPr="00926158">
        <w:rPr>
          <w:spacing w:val="-1"/>
          <w:sz w:val="24"/>
          <w:szCs w:val="24"/>
        </w:rPr>
        <w:t xml:space="preserve"> </w:t>
      </w:r>
      <w:r w:rsidRPr="00926158">
        <w:rPr>
          <w:sz w:val="24"/>
          <w:szCs w:val="24"/>
        </w:rPr>
        <w:t>damals übliche Legitimation der Herrschenden durch Geburtsrecht bzw. Abstammung in Frage stellte. Gemessen an der Verpflichtung zu moralischem Verhalten sei die genealogische</w:t>
      </w:r>
      <w:r w:rsidRPr="00926158">
        <w:rPr>
          <w:spacing w:val="-11"/>
          <w:sz w:val="24"/>
          <w:szCs w:val="24"/>
        </w:rPr>
        <w:t xml:space="preserve"> </w:t>
      </w:r>
      <w:r w:rsidRPr="00926158">
        <w:rPr>
          <w:sz w:val="24"/>
          <w:szCs w:val="24"/>
        </w:rPr>
        <w:t>Begründung</w:t>
      </w:r>
      <w:r w:rsidRPr="00926158">
        <w:rPr>
          <w:spacing w:val="-11"/>
          <w:sz w:val="24"/>
          <w:szCs w:val="24"/>
        </w:rPr>
        <w:t xml:space="preserve"> </w:t>
      </w:r>
      <w:r w:rsidRPr="00926158">
        <w:rPr>
          <w:sz w:val="24"/>
          <w:szCs w:val="24"/>
        </w:rPr>
        <w:t>von</w:t>
      </w:r>
      <w:r w:rsidRPr="00926158">
        <w:rPr>
          <w:spacing w:val="-9"/>
          <w:sz w:val="24"/>
          <w:szCs w:val="24"/>
        </w:rPr>
        <w:t xml:space="preserve"> </w:t>
      </w:r>
      <w:r w:rsidRPr="00926158">
        <w:rPr>
          <w:sz w:val="24"/>
          <w:szCs w:val="24"/>
        </w:rPr>
        <w:t>Macht</w:t>
      </w:r>
      <w:r w:rsidRPr="00926158">
        <w:rPr>
          <w:spacing w:val="-10"/>
          <w:sz w:val="24"/>
          <w:szCs w:val="24"/>
        </w:rPr>
        <w:t xml:space="preserve"> </w:t>
      </w:r>
      <w:r w:rsidRPr="00926158">
        <w:rPr>
          <w:sz w:val="24"/>
          <w:szCs w:val="24"/>
        </w:rPr>
        <w:t>nachrangig.</w:t>
      </w:r>
      <w:r w:rsidRPr="00926158">
        <w:rPr>
          <w:spacing w:val="-10"/>
          <w:sz w:val="24"/>
          <w:szCs w:val="24"/>
        </w:rPr>
        <w:t xml:space="preserve"> </w:t>
      </w:r>
      <w:r w:rsidRPr="00926158">
        <w:rPr>
          <w:sz w:val="24"/>
          <w:szCs w:val="24"/>
        </w:rPr>
        <w:t>Im</w:t>
      </w:r>
      <w:r w:rsidRPr="00926158">
        <w:rPr>
          <w:spacing w:val="-11"/>
          <w:sz w:val="24"/>
          <w:szCs w:val="24"/>
        </w:rPr>
        <w:t xml:space="preserve"> </w:t>
      </w:r>
      <w:r w:rsidRPr="00926158">
        <w:rPr>
          <w:sz w:val="24"/>
          <w:szCs w:val="24"/>
        </w:rPr>
        <w:t>Laufe</w:t>
      </w:r>
      <w:r w:rsidRPr="00926158">
        <w:rPr>
          <w:spacing w:val="-11"/>
          <w:sz w:val="24"/>
          <w:szCs w:val="24"/>
        </w:rPr>
        <w:t xml:space="preserve"> </w:t>
      </w:r>
      <w:r w:rsidRPr="00926158">
        <w:rPr>
          <w:sz w:val="24"/>
          <w:szCs w:val="24"/>
        </w:rPr>
        <w:t>der</w:t>
      </w:r>
      <w:r w:rsidRPr="00926158">
        <w:rPr>
          <w:spacing w:val="-10"/>
          <w:sz w:val="24"/>
          <w:szCs w:val="24"/>
        </w:rPr>
        <w:t xml:space="preserve"> </w:t>
      </w:r>
      <w:r w:rsidRPr="00926158">
        <w:rPr>
          <w:sz w:val="24"/>
          <w:szCs w:val="24"/>
        </w:rPr>
        <w:t>Zeit</w:t>
      </w:r>
      <w:r w:rsidRPr="00926158">
        <w:rPr>
          <w:spacing w:val="-10"/>
          <w:sz w:val="24"/>
          <w:szCs w:val="24"/>
        </w:rPr>
        <w:t xml:space="preserve"> </w:t>
      </w:r>
      <w:r w:rsidRPr="00926158">
        <w:rPr>
          <w:sz w:val="24"/>
          <w:szCs w:val="24"/>
        </w:rPr>
        <w:t>jedoch</w:t>
      </w:r>
      <w:r w:rsidRPr="00926158">
        <w:rPr>
          <w:spacing w:val="-4"/>
          <w:sz w:val="24"/>
          <w:szCs w:val="24"/>
        </w:rPr>
        <w:t xml:space="preserve"> </w:t>
      </w:r>
      <w:r w:rsidRPr="00926158">
        <w:rPr>
          <w:sz w:val="24"/>
          <w:szCs w:val="24"/>
        </w:rPr>
        <w:t>traten verschiedene Sekundärtugenden immer mehr in den Vordergrund und sorgten für eine zunehmend konservative Ausrichtung der Lehre:</w:t>
      </w:r>
    </w:p>
    <w:p w14:paraId="138D6C7C" w14:textId="77777777" w:rsidR="00FF7799" w:rsidRPr="00926158" w:rsidRDefault="00FF7799" w:rsidP="0097093C">
      <w:pPr>
        <w:pStyle w:val="StandardTextAufzhlung"/>
        <w:ind w:left="426"/>
      </w:pPr>
      <w:r w:rsidRPr="00926158">
        <w:t>Disziplin</w:t>
      </w:r>
      <w:r w:rsidRPr="00926158">
        <w:rPr>
          <w:spacing w:val="-1"/>
        </w:rPr>
        <w:t xml:space="preserve"> </w:t>
      </w:r>
      <w:r w:rsidRPr="00926158">
        <w:t>&amp;</w:t>
      </w:r>
      <w:r w:rsidRPr="00926158">
        <w:rPr>
          <w:spacing w:val="-2"/>
        </w:rPr>
        <w:t xml:space="preserve"> </w:t>
      </w:r>
      <w:r w:rsidRPr="00926158">
        <w:t>Respekt</w:t>
      </w:r>
      <w:r w:rsidRPr="00926158">
        <w:rPr>
          <w:spacing w:val="-2"/>
        </w:rPr>
        <w:t xml:space="preserve"> </w:t>
      </w:r>
      <w:r w:rsidRPr="00926158">
        <w:t>vor</w:t>
      </w:r>
      <w:r w:rsidRPr="00926158">
        <w:rPr>
          <w:spacing w:val="-1"/>
        </w:rPr>
        <w:t xml:space="preserve"> </w:t>
      </w:r>
      <w:r w:rsidRPr="00926158">
        <w:rPr>
          <w:spacing w:val="-2"/>
        </w:rPr>
        <w:t>Autorität,</w:t>
      </w:r>
    </w:p>
    <w:p w14:paraId="33879E4D" w14:textId="77777777" w:rsidR="00FF7799" w:rsidRPr="00926158" w:rsidRDefault="00FF7799" w:rsidP="0097093C">
      <w:pPr>
        <w:pStyle w:val="StandardTextAufzhlung"/>
        <w:ind w:left="426"/>
      </w:pPr>
      <w:r w:rsidRPr="00926158">
        <w:t>Lernen &amp;</w:t>
      </w:r>
      <w:r w:rsidRPr="00926158">
        <w:rPr>
          <w:spacing w:val="-1"/>
        </w:rPr>
        <w:t xml:space="preserve"> </w:t>
      </w:r>
      <w:r w:rsidRPr="00926158">
        <w:rPr>
          <w:spacing w:val="-2"/>
        </w:rPr>
        <w:t>Gelehrsamkeit,</w:t>
      </w:r>
    </w:p>
    <w:p w14:paraId="74D0ADDC" w14:textId="77777777" w:rsidR="00FF7799" w:rsidRPr="00926158" w:rsidRDefault="00FF7799" w:rsidP="0097093C">
      <w:pPr>
        <w:pStyle w:val="StandardTextAufzhlung"/>
        <w:ind w:left="426"/>
      </w:pPr>
      <w:r w:rsidRPr="00926158">
        <w:t>Akzeptanz</w:t>
      </w:r>
      <w:r w:rsidRPr="00926158">
        <w:rPr>
          <w:spacing w:val="-3"/>
        </w:rPr>
        <w:t xml:space="preserve"> </w:t>
      </w:r>
      <w:r w:rsidRPr="00926158">
        <w:t>von Hierarchie</w:t>
      </w:r>
      <w:r w:rsidRPr="00926158">
        <w:rPr>
          <w:spacing w:val="-2"/>
        </w:rPr>
        <w:t xml:space="preserve"> </w:t>
      </w:r>
      <w:r w:rsidRPr="00926158">
        <w:t>&amp;</w:t>
      </w:r>
      <w:r w:rsidRPr="00926158">
        <w:rPr>
          <w:spacing w:val="-2"/>
        </w:rPr>
        <w:t xml:space="preserve"> </w:t>
      </w:r>
      <w:r w:rsidRPr="00926158">
        <w:t>Akzeptanz</w:t>
      </w:r>
      <w:r w:rsidRPr="00926158">
        <w:rPr>
          <w:spacing w:val="-2"/>
        </w:rPr>
        <w:t xml:space="preserve"> </w:t>
      </w:r>
      <w:r w:rsidRPr="00926158">
        <w:t>des</w:t>
      </w:r>
      <w:r w:rsidRPr="00926158">
        <w:rPr>
          <w:spacing w:val="-1"/>
        </w:rPr>
        <w:t xml:space="preserve"> </w:t>
      </w:r>
      <w:r w:rsidRPr="00926158">
        <w:rPr>
          <w:spacing w:val="-2"/>
        </w:rPr>
        <w:t>Senioritätsprinzips,</w:t>
      </w:r>
    </w:p>
    <w:p w14:paraId="04AAD27A" w14:textId="77777777" w:rsidR="00FF7799" w:rsidRPr="00926158" w:rsidRDefault="00FF7799" w:rsidP="0097093C">
      <w:pPr>
        <w:pStyle w:val="StandardTextAufzhlung"/>
        <w:ind w:left="426"/>
      </w:pPr>
      <w:r w:rsidRPr="00926158">
        <w:t>Loyalität</w:t>
      </w:r>
      <w:r w:rsidRPr="00926158">
        <w:rPr>
          <w:spacing w:val="-2"/>
        </w:rPr>
        <w:t xml:space="preserve"> </w:t>
      </w:r>
      <w:r w:rsidRPr="00926158">
        <w:t>&amp; Bereitschaft</w:t>
      </w:r>
      <w:r w:rsidRPr="00926158">
        <w:rPr>
          <w:spacing w:val="-1"/>
        </w:rPr>
        <w:t xml:space="preserve"> </w:t>
      </w:r>
      <w:r w:rsidRPr="00926158">
        <w:t>zur</w:t>
      </w:r>
      <w:r w:rsidRPr="00926158">
        <w:rPr>
          <w:spacing w:val="-1"/>
        </w:rPr>
        <w:t xml:space="preserve"> </w:t>
      </w:r>
      <w:r w:rsidRPr="00926158">
        <w:t>Anpassung an</w:t>
      </w:r>
      <w:r w:rsidRPr="00926158">
        <w:rPr>
          <w:spacing w:val="-2"/>
        </w:rPr>
        <w:t xml:space="preserve"> </w:t>
      </w:r>
      <w:r w:rsidRPr="00926158">
        <w:t>die</w:t>
      </w:r>
      <w:r w:rsidRPr="00926158">
        <w:rPr>
          <w:spacing w:val="-4"/>
        </w:rPr>
        <w:t xml:space="preserve"> </w:t>
      </w:r>
      <w:r w:rsidRPr="00926158">
        <w:t>gegebene</w:t>
      </w:r>
      <w:r w:rsidRPr="00926158">
        <w:rPr>
          <w:spacing w:val="-2"/>
        </w:rPr>
        <w:t xml:space="preserve"> Ordnung,</w:t>
      </w:r>
    </w:p>
    <w:p w14:paraId="2859480C" w14:textId="77777777" w:rsidR="00FF7799" w:rsidRPr="00926158" w:rsidRDefault="00FF7799" w:rsidP="0097093C">
      <w:pPr>
        <w:pStyle w:val="StandardTextAufzhlung"/>
        <w:ind w:left="426"/>
      </w:pPr>
      <w:r w:rsidRPr="00926158">
        <w:t>Genügsamkeit</w:t>
      </w:r>
      <w:r w:rsidRPr="00926158">
        <w:rPr>
          <w:spacing w:val="-2"/>
        </w:rPr>
        <w:t xml:space="preserve"> </w:t>
      </w:r>
      <w:r w:rsidRPr="00926158">
        <w:t>sowie</w:t>
      </w:r>
      <w:r w:rsidRPr="00926158">
        <w:rPr>
          <w:spacing w:val="-3"/>
        </w:rPr>
        <w:t xml:space="preserve"> </w:t>
      </w:r>
      <w:r w:rsidRPr="00926158">
        <w:t>Sparsamkeit</w:t>
      </w:r>
      <w:r w:rsidRPr="00926158">
        <w:rPr>
          <w:spacing w:val="-2"/>
        </w:rPr>
        <w:t xml:space="preserve"> </w:t>
      </w:r>
      <w:r w:rsidRPr="00926158">
        <w:t>&amp;</w:t>
      </w:r>
      <w:r w:rsidRPr="00926158">
        <w:rPr>
          <w:spacing w:val="-2"/>
        </w:rPr>
        <w:t xml:space="preserve"> </w:t>
      </w:r>
      <w:r w:rsidRPr="00926158">
        <w:t>Fleiß,</w:t>
      </w:r>
      <w:r w:rsidRPr="00926158">
        <w:rPr>
          <w:spacing w:val="-2"/>
        </w:rPr>
        <w:t xml:space="preserve"> </w:t>
      </w:r>
      <w:r w:rsidRPr="00926158">
        <w:t>Strebsamkeit</w:t>
      </w:r>
      <w:r w:rsidRPr="00926158">
        <w:rPr>
          <w:spacing w:val="-2"/>
        </w:rPr>
        <w:t xml:space="preserve"> </w:t>
      </w:r>
      <w:r w:rsidRPr="00926158">
        <w:t>sowie</w:t>
      </w:r>
      <w:r w:rsidRPr="00926158">
        <w:rPr>
          <w:spacing w:val="-2"/>
        </w:rPr>
        <w:t xml:space="preserve"> Ausdauer.</w:t>
      </w:r>
    </w:p>
    <w:p w14:paraId="042DB0E8" w14:textId="77777777" w:rsidR="00FF7799" w:rsidRPr="00926158" w:rsidRDefault="00FF7799" w:rsidP="0097093C">
      <w:pPr>
        <w:spacing w:before="9"/>
        <w:ind w:left="426"/>
        <w:rPr>
          <w:sz w:val="24"/>
          <w:szCs w:val="24"/>
        </w:rPr>
      </w:pPr>
    </w:p>
    <w:p w14:paraId="67E85EC3" w14:textId="77777777" w:rsidR="00FF7799" w:rsidRPr="00926158" w:rsidRDefault="00FF7799" w:rsidP="00B85FE4">
      <w:pPr>
        <w:jc w:val="both"/>
        <w:rPr>
          <w:sz w:val="24"/>
          <w:szCs w:val="24"/>
        </w:rPr>
      </w:pPr>
      <w:r w:rsidRPr="00926158">
        <w:rPr>
          <w:sz w:val="24"/>
          <w:szCs w:val="24"/>
        </w:rPr>
        <w:t>Als</w:t>
      </w:r>
      <w:r w:rsidRPr="00926158">
        <w:rPr>
          <w:spacing w:val="-2"/>
          <w:sz w:val="24"/>
          <w:szCs w:val="24"/>
        </w:rPr>
        <w:t xml:space="preserve"> </w:t>
      </w:r>
      <w:r w:rsidRPr="00926158">
        <w:rPr>
          <w:sz w:val="24"/>
          <w:szCs w:val="24"/>
        </w:rPr>
        <w:t>„asiatische</w:t>
      </w:r>
      <w:r w:rsidRPr="00926158">
        <w:rPr>
          <w:spacing w:val="-2"/>
          <w:sz w:val="24"/>
          <w:szCs w:val="24"/>
        </w:rPr>
        <w:t xml:space="preserve"> </w:t>
      </w:r>
      <w:r w:rsidRPr="00926158">
        <w:rPr>
          <w:sz w:val="24"/>
          <w:szCs w:val="24"/>
        </w:rPr>
        <w:t>Tugenden“</w:t>
      </w:r>
      <w:r w:rsidRPr="00926158">
        <w:rPr>
          <w:spacing w:val="-2"/>
          <w:sz w:val="24"/>
          <w:szCs w:val="24"/>
        </w:rPr>
        <w:t xml:space="preserve"> </w:t>
      </w:r>
      <w:r w:rsidRPr="00926158">
        <w:rPr>
          <w:sz w:val="24"/>
          <w:szCs w:val="24"/>
        </w:rPr>
        <w:t>wurden</w:t>
      </w:r>
      <w:r w:rsidRPr="00926158">
        <w:rPr>
          <w:spacing w:val="-1"/>
          <w:sz w:val="24"/>
          <w:szCs w:val="24"/>
        </w:rPr>
        <w:t xml:space="preserve"> </w:t>
      </w:r>
      <w:r w:rsidRPr="00926158">
        <w:rPr>
          <w:sz w:val="24"/>
          <w:szCs w:val="24"/>
        </w:rPr>
        <w:t>sie,</w:t>
      </w:r>
      <w:r w:rsidRPr="00926158">
        <w:rPr>
          <w:spacing w:val="-1"/>
          <w:sz w:val="24"/>
          <w:szCs w:val="24"/>
        </w:rPr>
        <w:t xml:space="preserve"> </w:t>
      </w:r>
      <w:r w:rsidRPr="00926158">
        <w:rPr>
          <w:sz w:val="24"/>
          <w:szCs w:val="24"/>
        </w:rPr>
        <w:t>in</w:t>
      </w:r>
      <w:r w:rsidRPr="00926158">
        <w:rPr>
          <w:spacing w:val="-1"/>
          <w:sz w:val="24"/>
          <w:szCs w:val="24"/>
        </w:rPr>
        <w:t xml:space="preserve"> </w:t>
      </w:r>
      <w:r w:rsidRPr="00926158">
        <w:rPr>
          <w:sz w:val="24"/>
          <w:szCs w:val="24"/>
        </w:rPr>
        <w:t>Konkurrenz</w:t>
      </w:r>
      <w:r w:rsidRPr="00926158">
        <w:rPr>
          <w:spacing w:val="-2"/>
          <w:sz w:val="24"/>
          <w:szCs w:val="24"/>
        </w:rPr>
        <w:t xml:space="preserve"> </w:t>
      </w:r>
      <w:r w:rsidRPr="00926158">
        <w:rPr>
          <w:sz w:val="24"/>
          <w:szCs w:val="24"/>
        </w:rPr>
        <w:t>zur</w:t>
      </w:r>
      <w:r w:rsidRPr="00926158">
        <w:rPr>
          <w:spacing w:val="-4"/>
          <w:sz w:val="24"/>
          <w:szCs w:val="24"/>
        </w:rPr>
        <w:t xml:space="preserve"> </w:t>
      </w:r>
      <w:r w:rsidRPr="00926158">
        <w:rPr>
          <w:sz w:val="24"/>
          <w:szCs w:val="24"/>
        </w:rPr>
        <w:t>Protestantismus-These, als leistungsfördernd angesehen und für den wirtschaftlichen Aufstieg einiger Volkswirtschaften dieser Region zu Industrienationen und OECD-Mitgliedern verantwortlich</w:t>
      </w:r>
      <w:r w:rsidRPr="00926158">
        <w:rPr>
          <w:spacing w:val="-6"/>
          <w:sz w:val="24"/>
          <w:szCs w:val="24"/>
        </w:rPr>
        <w:t xml:space="preserve"> </w:t>
      </w:r>
      <w:r w:rsidRPr="00926158">
        <w:rPr>
          <w:sz w:val="24"/>
          <w:szCs w:val="24"/>
        </w:rPr>
        <w:t>gemacht</w:t>
      </w:r>
      <w:r w:rsidRPr="00926158">
        <w:rPr>
          <w:spacing w:val="-6"/>
          <w:sz w:val="24"/>
          <w:szCs w:val="24"/>
        </w:rPr>
        <w:t xml:space="preserve"> </w:t>
      </w:r>
      <w:r w:rsidRPr="00926158">
        <w:rPr>
          <w:sz w:val="24"/>
          <w:szCs w:val="24"/>
        </w:rPr>
        <w:t>(z.B.</w:t>
      </w:r>
      <w:r w:rsidRPr="00926158">
        <w:rPr>
          <w:spacing w:val="-9"/>
          <w:sz w:val="24"/>
          <w:szCs w:val="24"/>
        </w:rPr>
        <w:t xml:space="preserve"> </w:t>
      </w:r>
      <w:r w:rsidRPr="00926158">
        <w:rPr>
          <w:sz w:val="24"/>
          <w:szCs w:val="24"/>
        </w:rPr>
        <w:t>Südkorea</w:t>
      </w:r>
      <w:r w:rsidRPr="00926158">
        <w:rPr>
          <w:spacing w:val="-7"/>
          <w:sz w:val="24"/>
          <w:szCs w:val="24"/>
        </w:rPr>
        <w:t xml:space="preserve"> </w:t>
      </w:r>
      <w:r w:rsidRPr="00926158">
        <w:rPr>
          <w:sz w:val="24"/>
          <w:szCs w:val="24"/>
        </w:rPr>
        <w:t>nach</w:t>
      </w:r>
      <w:r w:rsidRPr="00926158">
        <w:rPr>
          <w:spacing w:val="-8"/>
          <w:sz w:val="24"/>
          <w:szCs w:val="24"/>
        </w:rPr>
        <w:t xml:space="preserve"> </w:t>
      </w:r>
      <w:r w:rsidRPr="00926158">
        <w:rPr>
          <w:sz w:val="24"/>
          <w:szCs w:val="24"/>
        </w:rPr>
        <w:t>1953).</w:t>
      </w:r>
      <w:r w:rsidRPr="00926158">
        <w:rPr>
          <w:spacing w:val="-8"/>
          <w:sz w:val="24"/>
          <w:szCs w:val="24"/>
        </w:rPr>
        <w:t xml:space="preserve"> </w:t>
      </w:r>
      <w:r w:rsidRPr="00926158">
        <w:rPr>
          <w:sz w:val="24"/>
          <w:szCs w:val="24"/>
        </w:rPr>
        <w:t>In</w:t>
      </w:r>
      <w:r w:rsidRPr="00926158">
        <w:rPr>
          <w:spacing w:val="-8"/>
          <w:sz w:val="24"/>
          <w:szCs w:val="24"/>
        </w:rPr>
        <w:t xml:space="preserve"> </w:t>
      </w:r>
      <w:r w:rsidRPr="00926158">
        <w:rPr>
          <w:sz w:val="24"/>
          <w:szCs w:val="24"/>
        </w:rPr>
        <w:t>der</w:t>
      </w:r>
      <w:r w:rsidRPr="00926158">
        <w:rPr>
          <w:spacing w:val="-7"/>
          <w:sz w:val="24"/>
          <w:szCs w:val="24"/>
        </w:rPr>
        <w:t xml:space="preserve"> </w:t>
      </w:r>
      <w:r w:rsidRPr="00926158">
        <w:rPr>
          <w:sz w:val="24"/>
          <w:szCs w:val="24"/>
        </w:rPr>
        <w:t>Folge</w:t>
      </w:r>
      <w:r w:rsidRPr="00926158">
        <w:rPr>
          <w:spacing w:val="-7"/>
          <w:sz w:val="24"/>
          <w:szCs w:val="24"/>
        </w:rPr>
        <w:t xml:space="preserve"> </w:t>
      </w:r>
      <w:r w:rsidRPr="00926158">
        <w:rPr>
          <w:sz w:val="24"/>
          <w:szCs w:val="24"/>
        </w:rPr>
        <w:t>wandelte</w:t>
      </w:r>
      <w:r w:rsidRPr="00926158">
        <w:rPr>
          <w:spacing w:val="-7"/>
          <w:sz w:val="24"/>
          <w:szCs w:val="24"/>
        </w:rPr>
        <w:t xml:space="preserve"> </w:t>
      </w:r>
      <w:r w:rsidRPr="00926158">
        <w:rPr>
          <w:sz w:val="24"/>
          <w:szCs w:val="24"/>
        </w:rPr>
        <w:t>sich</w:t>
      </w:r>
      <w:r w:rsidRPr="00926158">
        <w:rPr>
          <w:spacing w:val="-8"/>
          <w:sz w:val="24"/>
          <w:szCs w:val="24"/>
        </w:rPr>
        <w:t xml:space="preserve"> </w:t>
      </w:r>
      <w:r w:rsidRPr="00926158">
        <w:rPr>
          <w:sz w:val="24"/>
          <w:szCs w:val="24"/>
        </w:rPr>
        <w:t>der Konfuzianismus</w:t>
      </w:r>
      <w:r w:rsidRPr="00926158">
        <w:rPr>
          <w:spacing w:val="47"/>
          <w:sz w:val="24"/>
          <w:szCs w:val="24"/>
        </w:rPr>
        <w:t xml:space="preserve"> </w:t>
      </w:r>
      <w:r w:rsidRPr="00926158">
        <w:rPr>
          <w:sz w:val="24"/>
          <w:szCs w:val="24"/>
        </w:rPr>
        <w:t>immer</w:t>
      </w:r>
      <w:r w:rsidRPr="00926158">
        <w:rPr>
          <w:spacing w:val="51"/>
          <w:sz w:val="24"/>
          <w:szCs w:val="24"/>
        </w:rPr>
        <w:t xml:space="preserve"> </w:t>
      </w:r>
      <w:r w:rsidRPr="00926158">
        <w:rPr>
          <w:sz w:val="24"/>
          <w:szCs w:val="24"/>
        </w:rPr>
        <w:t>mehr</w:t>
      </w:r>
      <w:r w:rsidRPr="00926158">
        <w:rPr>
          <w:spacing w:val="51"/>
          <w:sz w:val="24"/>
          <w:szCs w:val="24"/>
        </w:rPr>
        <w:t xml:space="preserve"> </w:t>
      </w:r>
      <w:r w:rsidRPr="00926158">
        <w:rPr>
          <w:sz w:val="24"/>
          <w:szCs w:val="24"/>
        </w:rPr>
        <w:t>von</w:t>
      </w:r>
      <w:r w:rsidRPr="00926158">
        <w:rPr>
          <w:spacing w:val="52"/>
          <w:sz w:val="24"/>
          <w:szCs w:val="24"/>
        </w:rPr>
        <w:t xml:space="preserve"> </w:t>
      </w:r>
      <w:r w:rsidRPr="00926158">
        <w:rPr>
          <w:sz w:val="24"/>
          <w:szCs w:val="24"/>
        </w:rPr>
        <w:t>einer</w:t>
      </w:r>
      <w:r w:rsidRPr="00926158">
        <w:rPr>
          <w:spacing w:val="51"/>
          <w:sz w:val="24"/>
          <w:szCs w:val="24"/>
        </w:rPr>
        <w:t xml:space="preserve"> </w:t>
      </w:r>
      <w:r w:rsidRPr="00926158">
        <w:rPr>
          <w:sz w:val="24"/>
          <w:szCs w:val="24"/>
        </w:rPr>
        <w:t>unterstützenden</w:t>
      </w:r>
      <w:r w:rsidRPr="00926158">
        <w:rPr>
          <w:spacing w:val="50"/>
          <w:sz w:val="24"/>
          <w:szCs w:val="24"/>
        </w:rPr>
        <w:t xml:space="preserve"> </w:t>
      </w:r>
      <w:r w:rsidRPr="00926158">
        <w:rPr>
          <w:sz w:val="24"/>
          <w:szCs w:val="24"/>
        </w:rPr>
        <w:t>Morallehre</w:t>
      </w:r>
      <w:r w:rsidRPr="00926158">
        <w:rPr>
          <w:spacing w:val="50"/>
          <w:sz w:val="24"/>
          <w:szCs w:val="24"/>
        </w:rPr>
        <w:t xml:space="preserve"> </w:t>
      </w:r>
      <w:r w:rsidRPr="00926158">
        <w:rPr>
          <w:sz w:val="24"/>
          <w:szCs w:val="24"/>
        </w:rPr>
        <w:t>zu</w:t>
      </w:r>
      <w:r w:rsidRPr="00926158">
        <w:rPr>
          <w:spacing w:val="58"/>
          <w:sz w:val="24"/>
          <w:szCs w:val="24"/>
        </w:rPr>
        <w:t xml:space="preserve"> </w:t>
      </w:r>
      <w:r w:rsidRPr="00926158">
        <w:rPr>
          <w:spacing w:val="-2"/>
          <w:sz w:val="24"/>
          <w:szCs w:val="24"/>
        </w:rPr>
        <w:t>einer</w:t>
      </w:r>
      <w:r w:rsidR="00B85FE4" w:rsidRPr="00926158">
        <w:rPr>
          <w:spacing w:val="-2"/>
          <w:sz w:val="24"/>
          <w:szCs w:val="24"/>
        </w:rPr>
        <w:t xml:space="preserve"> </w:t>
      </w:r>
      <w:r w:rsidRPr="00926158">
        <w:rPr>
          <w:sz w:val="24"/>
          <w:szCs w:val="24"/>
        </w:rPr>
        <w:t>einengenden</w:t>
      </w:r>
      <w:r w:rsidRPr="00926158">
        <w:rPr>
          <w:spacing w:val="-5"/>
          <w:sz w:val="24"/>
          <w:szCs w:val="24"/>
        </w:rPr>
        <w:t xml:space="preserve"> </w:t>
      </w:r>
      <w:r w:rsidRPr="00926158">
        <w:rPr>
          <w:sz w:val="24"/>
          <w:szCs w:val="24"/>
        </w:rPr>
        <w:t>Staatsdoktrin,</w:t>
      </w:r>
      <w:r w:rsidRPr="00926158">
        <w:rPr>
          <w:spacing w:val="-8"/>
          <w:sz w:val="24"/>
          <w:szCs w:val="24"/>
        </w:rPr>
        <w:t xml:space="preserve"> </w:t>
      </w:r>
      <w:r w:rsidRPr="00926158">
        <w:rPr>
          <w:sz w:val="24"/>
          <w:szCs w:val="24"/>
        </w:rPr>
        <w:t>für</w:t>
      </w:r>
      <w:r w:rsidRPr="00926158">
        <w:rPr>
          <w:spacing w:val="-6"/>
          <w:sz w:val="24"/>
          <w:szCs w:val="24"/>
        </w:rPr>
        <w:t xml:space="preserve"> </w:t>
      </w:r>
      <w:r w:rsidRPr="00926158">
        <w:rPr>
          <w:sz w:val="24"/>
          <w:szCs w:val="24"/>
        </w:rPr>
        <w:t>welche</w:t>
      </w:r>
      <w:r w:rsidRPr="00926158">
        <w:rPr>
          <w:spacing w:val="-7"/>
          <w:sz w:val="24"/>
          <w:szCs w:val="24"/>
        </w:rPr>
        <w:t xml:space="preserve"> </w:t>
      </w:r>
      <w:r w:rsidRPr="00926158">
        <w:rPr>
          <w:sz w:val="24"/>
          <w:szCs w:val="24"/>
        </w:rPr>
        <w:t>die</w:t>
      </w:r>
      <w:r w:rsidRPr="00926158">
        <w:rPr>
          <w:spacing w:val="-7"/>
          <w:sz w:val="24"/>
          <w:szCs w:val="24"/>
        </w:rPr>
        <w:t xml:space="preserve"> </w:t>
      </w:r>
      <w:r w:rsidRPr="00926158">
        <w:rPr>
          <w:sz w:val="24"/>
          <w:szCs w:val="24"/>
        </w:rPr>
        <w:t>Fixierung</w:t>
      </w:r>
      <w:r w:rsidRPr="00926158">
        <w:rPr>
          <w:spacing w:val="-5"/>
          <w:sz w:val="24"/>
          <w:szCs w:val="24"/>
        </w:rPr>
        <w:t xml:space="preserve"> </w:t>
      </w:r>
      <w:r w:rsidRPr="00926158">
        <w:rPr>
          <w:sz w:val="24"/>
          <w:szCs w:val="24"/>
        </w:rPr>
        <w:t>auf</w:t>
      </w:r>
      <w:r w:rsidRPr="00926158">
        <w:rPr>
          <w:spacing w:val="-6"/>
          <w:sz w:val="24"/>
          <w:szCs w:val="24"/>
        </w:rPr>
        <w:t xml:space="preserve"> </w:t>
      </w:r>
      <w:r w:rsidRPr="00926158">
        <w:rPr>
          <w:sz w:val="24"/>
          <w:szCs w:val="24"/>
        </w:rPr>
        <w:t>Autorität</w:t>
      </w:r>
      <w:r w:rsidRPr="00926158">
        <w:rPr>
          <w:spacing w:val="-6"/>
          <w:sz w:val="24"/>
          <w:szCs w:val="24"/>
        </w:rPr>
        <w:t xml:space="preserve"> </w:t>
      </w:r>
      <w:r w:rsidRPr="00926158">
        <w:rPr>
          <w:sz w:val="24"/>
          <w:szCs w:val="24"/>
        </w:rPr>
        <w:t xml:space="preserve">charakteristisch </w:t>
      </w:r>
      <w:r w:rsidRPr="00926158">
        <w:rPr>
          <w:spacing w:val="-4"/>
          <w:sz w:val="24"/>
          <w:szCs w:val="24"/>
        </w:rPr>
        <w:t>ist.</w:t>
      </w:r>
    </w:p>
    <w:p w14:paraId="58885EAB" w14:textId="77777777" w:rsidR="00FF7799" w:rsidRPr="00926158" w:rsidRDefault="00FF7799" w:rsidP="00862DBA">
      <w:pPr>
        <w:pStyle w:val="Listenabsatz"/>
        <w:tabs>
          <w:tab w:val="left" w:pos="939"/>
        </w:tabs>
        <w:spacing w:before="122"/>
        <w:ind w:left="0" w:firstLine="0"/>
        <w:rPr>
          <w:sz w:val="24"/>
          <w:szCs w:val="24"/>
        </w:rPr>
      </w:pPr>
      <w:r w:rsidRPr="00926158">
        <w:rPr>
          <w:sz w:val="24"/>
          <w:szCs w:val="24"/>
        </w:rPr>
        <w:t>'Chi' ist ein zentrales Konzept der konfuzianischen Ethik. Wie 'shame' in der englischen</w:t>
      </w:r>
      <w:r w:rsidRPr="00926158">
        <w:rPr>
          <w:spacing w:val="-9"/>
          <w:sz w:val="24"/>
          <w:szCs w:val="24"/>
        </w:rPr>
        <w:t xml:space="preserve"> </w:t>
      </w:r>
      <w:r w:rsidRPr="00926158">
        <w:rPr>
          <w:sz w:val="24"/>
          <w:szCs w:val="24"/>
        </w:rPr>
        <w:t>Sprache</w:t>
      </w:r>
      <w:r w:rsidRPr="00926158">
        <w:rPr>
          <w:spacing w:val="-9"/>
          <w:sz w:val="24"/>
          <w:szCs w:val="24"/>
        </w:rPr>
        <w:t xml:space="preserve"> </w:t>
      </w:r>
      <w:r w:rsidRPr="00926158">
        <w:rPr>
          <w:sz w:val="24"/>
          <w:szCs w:val="24"/>
        </w:rPr>
        <w:t>bezeichnet</w:t>
      </w:r>
      <w:r w:rsidRPr="00926158">
        <w:rPr>
          <w:spacing w:val="-10"/>
          <w:sz w:val="24"/>
          <w:szCs w:val="24"/>
        </w:rPr>
        <w:t xml:space="preserve"> </w:t>
      </w:r>
      <w:r w:rsidRPr="00926158">
        <w:rPr>
          <w:sz w:val="24"/>
          <w:szCs w:val="24"/>
        </w:rPr>
        <w:t>es</w:t>
      </w:r>
      <w:r w:rsidRPr="00926158">
        <w:rPr>
          <w:spacing w:val="-11"/>
          <w:sz w:val="24"/>
          <w:szCs w:val="24"/>
        </w:rPr>
        <w:t xml:space="preserve"> </w:t>
      </w:r>
      <w:r w:rsidRPr="00926158">
        <w:rPr>
          <w:sz w:val="24"/>
          <w:szCs w:val="24"/>
        </w:rPr>
        <w:t>gleichermaßen</w:t>
      </w:r>
      <w:r w:rsidRPr="00926158">
        <w:rPr>
          <w:spacing w:val="-8"/>
          <w:sz w:val="24"/>
          <w:szCs w:val="24"/>
        </w:rPr>
        <w:t xml:space="preserve"> </w:t>
      </w:r>
      <w:r w:rsidRPr="00926158">
        <w:rPr>
          <w:sz w:val="24"/>
          <w:szCs w:val="24"/>
        </w:rPr>
        <w:t>Scham</w:t>
      </w:r>
      <w:r w:rsidRPr="00926158">
        <w:rPr>
          <w:spacing w:val="-9"/>
          <w:sz w:val="24"/>
          <w:szCs w:val="24"/>
        </w:rPr>
        <w:t xml:space="preserve"> </w:t>
      </w:r>
      <w:r w:rsidRPr="00926158">
        <w:rPr>
          <w:sz w:val="24"/>
          <w:szCs w:val="24"/>
        </w:rPr>
        <w:t>und</w:t>
      </w:r>
      <w:r w:rsidRPr="00926158">
        <w:rPr>
          <w:spacing w:val="-9"/>
          <w:sz w:val="24"/>
          <w:szCs w:val="24"/>
        </w:rPr>
        <w:t xml:space="preserve"> </w:t>
      </w:r>
      <w:r w:rsidRPr="00926158">
        <w:rPr>
          <w:sz w:val="24"/>
          <w:szCs w:val="24"/>
        </w:rPr>
        <w:t>Schande.</w:t>
      </w:r>
      <w:r w:rsidRPr="00926158">
        <w:rPr>
          <w:spacing w:val="-8"/>
          <w:sz w:val="24"/>
          <w:szCs w:val="24"/>
        </w:rPr>
        <w:t xml:space="preserve"> </w:t>
      </w:r>
      <w:r w:rsidRPr="00926158">
        <w:rPr>
          <w:sz w:val="24"/>
          <w:szCs w:val="24"/>
        </w:rPr>
        <w:t>Während</w:t>
      </w:r>
      <w:r w:rsidRPr="00926158">
        <w:rPr>
          <w:spacing w:val="-9"/>
          <w:sz w:val="24"/>
          <w:szCs w:val="24"/>
        </w:rPr>
        <w:t xml:space="preserve"> </w:t>
      </w:r>
      <w:r w:rsidRPr="00926158">
        <w:rPr>
          <w:sz w:val="24"/>
          <w:szCs w:val="24"/>
        </w:rPr>
        <w:t>in monotheistischen Gesellschaften Schuld die maßgebliche moralische Kategorie ist, markiert in Schamgesellschaften die Furcht vor Schande jene Grenzen, innerhalb</w:t>
      </w:r>
      <w:r w:rsidRPr="00926158">
        <w:rPr>
          <w:spacing w:val="-12"/>
          <w:sz w:val="24"/>
          <w:szCs w:val="24"/>
        </w:rPr>
        <w:t xml:space="preserve"> </w:t>
      </w:r>
      <w:r w:rsidRPr="00926158">
        <w:rPr>
          <w:sz w:val="24"/>
          <w:szCs w:val="24"/>
        </w:rPr>
        <w:t>derer</w:t>
      </w:r>
      <w:r w:rsidRPr="00926158">
        <w:rPr>
          <w:spacing w:val="-11"/>
          <w:sz w:val="24"/>
          <w:szCs w:val="24"/>
        </w:rPr>
        <w:t xml:space="preserve"> </w:t>
      </w:r>
      <w:r w:rsidRPr="00926158">
        <w:rPr>
          <w:sz w:val="24"/>
          <w:szCs w:val="24"/>
        </w:rPr>
        <w:t>das</w:t>
      </w:r>
      <w:r w:rsidRPr="00926158">
        <w:rPr>
          <w:spacing w:val="-11"/>
          <w:sz w:val="24"/>
          <w:szCs w:val="24"/>
        </w:rPr>
        <w:t xml:space="preserve"> </w:t>
      </w:r>
      <w:r w:rsidRPr="00926158">
        <w:rPr>
          <w:sz w:val="24"/>
          <w:szCs w:val="24"/>
        </w:rPr>
        <w:t>sichtbare</w:t>
      </w:r>
      <w:r w:rsidRPr="00926158">
        <w:rPr>
          <w:spacing w:val="-11"/>
          <w:sz w:val="24"/>
          <w:szCs w:val="24"/>
        </w:rPr>
        <w:t xml:space="preserve"> </w:t>
      </w:r>
      <w:r w:rsidRPr="00926158">
        <w:rPr>
          <w:sz w:val="24"/>
          <w:szCs w:val="24"/>
        </w:rPr>
        <w:t>gesellschaftliche</w:t>
      </w:r>
      <w:r w:rsidRPr="00926158">
        <w:rPr>
          <w:spacing w:val="-12"/>
          <w:sz w:val="24"/>
          <w:szCs w:val="24"/>
        </w:rPr>
        <w:t xml:space="preserve"> </w:t>
      </w:r>
      <w:r w:rsidRPr="00926158">
        <w:rPr>
          <w:sz w:val="24"/>
          <w:szCs w:val="24"/>
        </w:rPr>
        <w:t>Leben</w:t>
      </w:r>
      <w:r w:rsidRPr="00926158">
        <w:rPr>
          <w:spacing w:val="-11"/>
          <w:sz w:val="24"/>
          <w:szCs w:val="24"/>
        </w:rPr>
        <w:t xml:space="preserve"> </w:t>
      </w:r>
      <w:r w:rsidRPr="00926158">
        <w:rPr>
          <w:sz w:val="24"/>
          <w:szCs w:val="24"/>
        </w:rPr>
        <w:t>erlaubt</w:t>
      </w:r>
      <w:r w:rsidRPr="00926158">
        <w:rPr>
          <w:spacing w:val="-11"/>
          <w:sz w:val="24"/>
          <w:szCs w:val="24"/>
        </w:rPr>
        <w:t xml:space="preserve"> </w:t>
      </w:r>
      <w:r w:rsidRPr="00926158">
        <w:rPr>
          <w:sz w:val="24"/>
          <w:szCs w:val="24"/>
        </w:rPr>
        <w:t>ist.</w:t>
      </w:r>
      <w:r w:rsidRPr="00926158">
        <w:rPr>
          <w:spacing w:val="-11"/>
          <w:sz w:val="24"/>
          <w:szCs w:val="24"/>
        </w:rPr>
        <w:t xml:space="preserve"> </w:t>
      </w:r>
      <w:r w:rsidRPr="00926158">
        <w:rPr>
          <w:sz w:val="24"/>
          <w:szCs w:val="24"/>
        </w:rPr>
        <w:t>'Chi'</w:t>
      </w:r>
      <w:r w:rsidRPr="00926158">
        <w:rPr>
          <w:spacing w:val="-12"/>
          <w:sz w:val="24"/>
          <w:szCs w:val="24"/>
        </w:rPr>
        <w:t xml:space="preserve"> </w:t>
      </w:r>
      <w:r w:rsidRPr="00926158">
        <w:rPr>
          <w:sz w:val="24"/>
          <w:szCs w:val="24"/>
        </w:rPr>
        <w:t>verspürt,</w:t>
      </w:r>
      <w:r w:rsidRPr="00926158">
        <w:rPr>
          <w:spacing w:val="-11"/>
          <w:sz w:val="24"/>
          <w:szCs w:val="24"/>
        </w:rPr>
        <w:t xml:space="preserve"> </w:t>
      </w:r>
      <w:r w:rsidRPr="00926158">
        <w:rPr>
          <w:sz w:val="24"/>
          <w:szCs w:val="24"/>
        </w:rPr>
        <w:t>wer gegen 'hi' verstößt: die guten Sitten, den Anstand. Wer ungesittet und verantwortungslos handelt, stört die irdische (Gesellschafts-)Ordnung und nicht, wie in Schuldgesellschaften, die jenseitige, durch göttliche Gebote geschaffene Ordnung. Aufgabe von Erziehung ist es, den Normen, welche diese Gesellschaftsordnung ausmachen, auch in den nachfolgenden Generationen Geltung zu verschaffen (vgl. Lin 1997).</w:t>
      </w:r>
    </w:p>
    <w:p w14:paraId="02A49B52" w14:textId="77777777" w:rsidR="00FF7799" w:rsidRPr="00E73F6F" w:rsidRDefault="00FF7799" w:rsidP="00862DBA">
      <w:pPr>
        <w:spacing w:before="119"/>
        <w:jc w:val="both"/>
        <w:rPr>
          <w:spacing w:val="-2"/>
          <w:sz w:val="24"/>
          <w:szCs w:val="24"/>
        </w:rPr>
      </w:pPr>
      <w:r w:rsidRPr="00926158">
        <w:rPr>
          <w:sz w:val="24"/>
          <w:szCs w:val="24"/>
        </w:rPr>
        <w:t>In</w:t>
      </w:r>
      <w:r w:rsidRPr="00926158">
        <w:rPr>
          <w:spacing w:val="-1"/>
          <w:sz w:val="24"/>
          <w:szCs w:val="24"/>
        </w:rPr>
        <w:t xml:space="preserve"> </w:t>
      </w:r>
      <w:r w:rsidRPr="00926158">
        <w:rPr>
          <w:sz w:val="24"/>
          <w:szCs w:val="24"/>
        </w:rPr>
        <w:t>der</w:t>
      </w:r>
      <w:r w:rsidRPr="00926158">
        <w:rPr>
          <w:spacing w:val="-2"/>
          <w:sz w:val="24"/>
          <w:szCs w:val="24"/>
        </w:rPr>
        <w:t xml:space="preserve"> </w:t>
      </w:r>
      <w:r w:rsidRPr="00926158">
        <w:rPr>
          <w:sz w:val="24"/>
          <w:szCs w:val="24"/>
        </w:rPr>
        <w:t>Qing-Dynastie</w:t>
      </w:r>
      <w:r w:rsidRPr="00926158">
        <w:rPr>
          <w:spacing w:val="-2"/>
          <w:sz w:val="24"/>
          <w:szCs w:val="24"/>
        </w:rPr>
        <w:t xml:space="preserve"> </w:t>
      </w:r>
      <w:r w:rsidRPr="00926158">
        <w:rPr>
          <w:sz w:val="24"/>
          <w:szCs w:val="24"/>
        </w:rPr>
        <w:t>wurde</w:t>
      </w:r>
      <w:r w:rsidRPr="00926158">
        <w:rPr>
          <w:spacing w:val="-2"/>
          <w:sz w:val="24"/>
          <w:szCs w:val="24"/>
        </w:rPr>
        <w:t xml:space="preserve"> </w:t>
      </w:r>
      <w:r w:rsidRPr="00926158">
        <w:rPr>
          <w:sz w:val="24"/>
          <w:szCs w:val="24"/>
        </w:rPr>
        <w:t>„schamloses</w:t>
      </w:r>
      <w:r w:rsidRPr="00926158">
        <w:rPr>
          <w:spacing w:val="-2"/>
          <w:sz w:val="24"/>
          <w:szCs w:val="24"/>
        </w:rPr>
        <w:t xml:space="preserve"> </w:t>
      </w:r>
      <w:r w:rsidRPr="00926158">
        <w:rPr>
          <w:sz w:val="24"/>
          <w:szCs w:val="24"/>
        </w:rPr>
        <w:t>Verhalten“</w:t>
      </w:r>
      <w:r w:rsidRPr="00926158">
        <w:rPr>
          <w:spacing w:val="-2"/>
          <w:sz w:val="24"/>
          <w:szCs w:val="24"/>
        </w:rPr>
        <w:t xml:space="preserve"> </w:t>
      </w:r>
      <w:r w:rsidRPr="00926158">
        <w:rPr>
          <w:sz w:val="24"/>
          <w:szCs w:val="24"/>
        </w:rPr>
        <w:t>mit</w:t>
      </w:r>
      <w:r w:rsidRPr="00926158">
        <w:rPr>
          <w:spacing w:val="-1"/>
          <w:sz w:val="24"/>
          <w:szCs w:val="24"/>
        </w:rPr>
        <w:t xml:space="preserve"> </w:t>
      </w:r>
      <w:r w:rsidRPr="00926158">
        <w:rPr>
          <w:sz w:val="24"/>
          <w:szCs w:val="24"/>
        </w:rPr>
        <w:t>40</w:t>
      </w:r>
      <w:r w:rsidRPr="00926158">
        <w:rPr>
          <w:spacing w:val="-2"/>
          <w:sz w:val="24"/>
          <w:szCs w:val="24"/>
        </w:rPr>
        <w:t xml:space="preserve"> </w:t>
      </w:r>
      <w:r w:rsidRPr="00926158">
        <w:rPr>
          <w:sz w:val="24"/>
          <w:szCs w:val="24"/>
        </w:rPr>
        <w:t>Stockhieben</w:t>
      </w:r>
      <w:r w:rsidRPr="00926158">
        <w:rPr>
          <w:spacing w:val="-2"/>
          <w:sz w:val="24"/>
          <w:szCs w:val="24"/>
        </w:rPr>
        <w:t xml:space="preserve"> </w:t>
      </w:r>
      <w:r w:rsidRPr="00926158">
        <w:rPr>
          <w:sz w:val="24"/>
          <w:szCs w:val="24"/>
        </w:rPr>
        <w:t>bestraft. Vor allem aber verlor der Schamlose sein Gesicht und damit letztlich seine gesellschaftliche Stellung. Dies geschah aber erst dann, wenn „die Schande bekannt wurde, wenn die Leute darüber redeten. Vielleicht ist dies einer der Gründe für die übertriebene Geheimnistuerei, die uns bei den Chinesen auffällt, die Furcht, dass Dinge aus der Familie, aus dem Dorf, aus der Regierung an den Tag kommen könnten, die Außenstehende als Schande ansehen, die Anlass zu Gerede, vielleicht sogar zu Gelächter geben“ (Wickert 1982, S.16). Ein aktuelles Beispiel hierfür bietet der</w:t>
      </w:r>
      <w:r w:rsidRPr="00E73F6F">
        <w:rPr>
          <w:sz w:val="24"/>
          <w:szCs w:val="24"/>
        </w:rPr>
        <w:t xml:space="preserve"> missglückte Versuch, die SARS-Epidemie zu </w:t>
      </w:r>
      <w:r w:rsidRPr="00E73F6F">
        <w:rPr>
          <w:spacing w:val="-2"/>
          <w:sz w:val="24"/>
          <w:szCs w:val="24"/>
        </w:rPr>
        <w:t>vertuschen.</w:t>
      </w:r>
    </w:p>
    <w:p w14:paraId="7FE73A0E" w14:textId="77777777" w:rsidR="00FF7799" w:rsidRPr="00E73F6F" w:rsidRDefault="00FF7799" w:rsidP="00862DBA">
      <w:pPr>
        <w:spacing w:before="119"/>
        <w:jc w:val="both"/>
        <w:rPr>
          <w:sz w:val="24"/>
          <w:szCs w:val="24"/>
        </w:rPr>
      </w:pPr>
    </w:p>
    <w:p w14:paraId="64AB1DCD" w14:textId="77777777" w:rsidR="00FF7799" w:rsidRPr="00E73F6F" w:rsidRDefault="00FF7799" w:rsidP="00862DBA">
      <w:pPr>
        <w:spacing w:before="7"/>
        <w:rPr>
          <w:sz w:val="24"/>
          <w:szCs w:val="24"/>
        </w:rPr>
      </w:pPr>
      <w:r w:rsidRPr="00E73F6F">
        <w:rPr>
          <w:noProof/>
          <w:sz w:val="24"/>
          <w:szCs w:val="24"/>
          <w:lang w:eastAsia="de-DE"/>
        </w:rPr>
        <mc:AlternateContent>
          <mc:Choice Requires="wps">
            <w:drawing>
              <wp:inline distT="0" distB="0" distL="0" distR="0" wp14:anchorId="0B5AC341" wp14:editId="3401567A">
                <wp:extent cx="5716988" cy="1472515"/>
                <wp:effectExtent l="0" t="0" r="17145" b="13970"/>
                <wp:docPr id="1133" name="Textbox 1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6988" cy="1472515"/>
                        </a:xfrm>
                        <a:prstGeom prst="rect">
                          <a:avLst/>
                        </a:prstGeom>
                        <a:ln w="6096">
                          <a:solidFill>
                            <a:srgbClr val="000000"/>
                          </a:solidFill>
                          <a:prstDash val="solid"/>
                        </a:ln>
                      </wps:spPr>
                      <wps:txbx>
                        <w:txbxContent>
                          <w:p w14:paraId="6B05B2A5" w14:textId="77777777" w:rsidR="00E17A2B" w:rsidRPr="00B85FE4" w:rsidRDefault="00E17A2B" w:rsidP="00B7512C">
                            <w:pPr>
                              <w:pStyle w:val="Standardklein"/>
                              <w:shd w:val="clear" w:color="auto" w:fill="DEEAF6" w:themeFill="accent1" w:themeFillTint="33"/>
                              <w:spacing w:before="120" w:after="120"/>
                              <w:jc w:val="center"/>
                              <w:rPr>
                                <w:b/>
                              </w:rPr>
                            </w:pPr>
                            <w:r w:rsidRPr="00B85FE4">
                              <w:rPr>
                                <w:b/>
                              </w:rPr>
                              <w:t>Scham:</w:t>
                            </w:r>
                            <w:r w:rsidRPr="00B85FE4">
                              <w:rPr>
                                <w:b/>
                                <w:spacing w:val="-6"/>
                              </w:rPr>
                              <w:t xml:space="preserve"> </w:t>
                            </w:r>
                            <w:r w:rsidRPr="00B85FE4">
                              <w:rPr>
                                <w:b/>
                              </w:rPr>
                              <w:t>Furcht</w:t>
                            </w:r>
                            <w:r w:rsidRPr="00B85FE4">
                              <w:rPr>
                                <w:b/>
                                <w:spacing w:val="-3"/>
                              </w:rPr>
                              <w:t xml:space="preserve"> </w:t>
                            </w:r>
                            <w:r w:rsidRPr="00B85FE4">
                              <w:rPr>
                                <w:b/>
                              </w:rPr>
                              <w:t>vor</w:t>
                            </w:r>
                            <w:r w:rsidRPr="00B85FE4">
                              <w:rPr>
                                <w:b/>
                                <w:spacing w:val="-4"/>
                              </w:rPr>
                              <w:t xml:space="preserve"> </w:t>
                            </w:r>
                            <w:r w:rsidRPr="00B85FE4">
                              <w:rPr>
                                <w:b/>
                              </w:rPr>
                              <w:t>der</w:t>
                            </w:r>
                            <w:r w:rsidRPr="00B85FE4">
                              <w:rPr>
                                <w:b/>
                                <w:spacing w:val="-4"/>
                              </w:rPr>
                              <w:t xml:space="preserve"> </w:t>
                            </w:r>
                            <w:r w:rsidRPr="00B85FE4">
                              <w:rPr>
                                <w:b/>
                                <w:spacing w:val="-2"/>
                              </w:rPr>
                              <w:t>Schande</w:t>
                            </w:r>
                          </w:p>
                          <w:p w14:paraId="54A34F8A" w14:textId="77777777" w:rsidR="00E17A2B" w:rsidRDefault="00E17A2B" w:rsidP="00926158">
                            <w:pPr>
                              <w:pStyle w:val="Standardklein"/>
                              <w:shd w:val="clear" w:color="auto" w:fill="DEEAF6" w:themeFill="accent1" w:themeFillTint="33"/>
                              <w:spacing w:before="120" w:after="120"/>
                            </w:pPr>
                            <w:r>
                              <w:t>„Der</w:t>
                            </w:r>
                            <w:r>
                              <w:rPr>
                                <w:spacing w:val="-10"/>
                              </w:rPr>
                              <w:t xml:space="preserve"> </w:t>
                            </w:r>
                            <w:r>
                              <w:t>Meister</w:t>
                            </w:r>
                            <w:r>
                              <w:rPr>
                                <w:spacing w:val="-10"/>
                              </w:rPr>
                              <w:t xml:space="preserve"> </w:t>
                            </w:r>
                            <w:r>
                              <w:t>sprach:</w:t>
                            </w:r>
                            <w:r>
                              <w:rPr>
                                <w:spacing w:val="-10"/>
                              </w:rPr>
                              <w:t xml:space="preserve"> </w:t>
                            </w:r>
                            <w:r>
                              <w:t>Wenn</w:t>
                            </w:r>
                            <w:r>
                              <w:rPr>
                                <w:spacing w:val="-10"/>
                              </w:rPr>
                              <w:t xml:space="preserve"> </w:t>
                            </w:r>
                            <w:r>
                              <w:t>man</w:t>
                            </w:r>
                            <w:r>
                              <w:rPr>
                                <w:spacing w:val="-10"/>
                              </w:rPr>
                              <w:t xml:space="preserve"> </w:t>
                            </w:r>
                            <w:r>
                              <w:t>das</w:t>
                            </w:r>
                            <w:r>
                              <w:rPr>
                                <w:spacing w:val="-10"/>
                              </w:rPr>
                              <w:t xml:space="preserve"> </w:t>
                            </w:r>
                            <w:r>
                              <w:t>Volk</w:t>
                            </w:r>
                            <w:r>
                              <w:rPr>
                                <w:spacing w:val="-9"/>
                              </w:rPr>
                              <w:t xml:space="preserve"> </w:t>
                            </w:r>
                            <w:r>
                              <w:t>durch</w:t>
                            </w:r>
                            <w:r>
                              <w:rPr>
                                <w:spacing w:val="-10"/>
                              </w:rPr>
                              <w:t xml:space="preserve"> </w:t>
                            </w:r>
                            <w:r>
                              <w:t>Gesetze</w:t>
                            </w:r>
                            <w:r>
                              <w:rPr>
                                <w:spacing w:val="-10"/>
                              </w:rPr>
                              <w:t xml:space="preserve"> </w:t>
                            </w:r>
                            <w:r>
                              <w:t>leiten</w:t>
                            </w:r>
                            <w:r>
                              <w:rPr>
                                <w:spacing w:val="-10"/>
                              </w:rPr>
                              <w:t xml:space="preserve"> </w:t>
                            </w:r>
                            <w:r>
                              <w:t>und</w:t>
                            </w:r>
                            <w:r>
                              <w:rPr>
                                <w:spacing w:val="-10"/>
                              </w:rPr>
                              <w:t xml:space="preserve"> </w:t>
                            </w:r>
                            <w:r>
                              <w:t>durch</w:t>
                            </w:r>
                            <w:r>
                              <w:rPr>
                                <w:spacing w:val="-8"/>
                              </w:rPr>
                              <w:t xml:space="preserve"> </w:t>
                            </w:r>
                            <w:r>
                              <w:t>Strafen</w:t>
                            </w:r>
                            <w:r>
                              <w:rPr>
                                <w:spacing w:val="-10"/>
                              </w:rPr>
                              <w:t xml:space="preserve"> </w:t>
                            </w:r>
                            <w:r>
                              <w:t>in</w:t>
                            </w:r>
                            <w:r>
                              <w:rPr>
                                <w:spacing w:val="-8"/>
                              </w:rPr>
                              <w:t xml:space="preserve"> </w:t>
                            </w:r>
                            <w:r>
                              <w:t>Ordnung</w:t>
                            </w:r>
                            <w:r>
                              <w:rPr>
                                <w:spacing w:val="40"/>
                              </w:rPr>
                              <w:t xml:space="preserve"> </w:t>
                            </w:r>
                            <w:r>
                              <w:t>halten will, dann wird es versuchen, den Strafen auszuweichen, ohne sich deshalb zu</w:t>
                            </w:r>
                            <w:r>
                              <w:rPr>
                                <w:spacing w:val="40"/>
                              </w:rPr>
                              <w:t xml:space="preserve"> </w:t>
                            </w:r>
                            <w:r>
                              <w:t>schämen.</w:t>
                            </w:r>
                            <w:r>
                              <w:rPr>
                                <w:spacing w:val="-8"/>
                              </w:rPr>
                              <w:t xml:space="preserve"> </w:t>
                            </w:r>
                            <w:r>
                              <w:t>Wenn</w:t>
                            </w:r>
                            <w:r>
                              <w:rPr>
                                <w:spacing w:val="-8"/>
                              </w:rPr>
                              <w:t xml:space="preserve"> </w:t>
                            </w:r>
                            <w:r>
                              <w:t>man</w:t>
                            </w:r>
                            <w:r>
                              <w:rPr>
                                <w:spacing w:val="-8"/>
                              </w:rPr>
                              <w:t xml:space="preserve"> </w:t>
                            </w:r>
                            <w:r>
                              <w:t>das</w:t>
                            </w:r>
                            <w:r>
                              <w:rPr>
                                <w:spacing w:val="-9"/>
                              </w:rPr>
                              <w:t xml:space="preserve"> </w:t>
                            </w:r>
                            <w:r>
                              <w:t>Volk</w:t>
                            </w:r>
                            <w:r>
                              <w:rPr>
                                <w:spacing w:val="-6"/>
                              </w:rPr>
                              <w:t xml:space="preserve"> </w:t>
                            </w:r>
                            <w:r>
                              <w:t>aber</w:t>
                            </w:r>
                            <w:r>
                              <w:rPr>
                                <w:spacing w:val="-10"/>
                              </w:rPr>
                              <w:t xml:space="preserve"> </w:t>
                            </w:r>
                            <w:r>
                              <w:t>durch</w:t>
                            </w:r>
                            <w:r>
                              <w:rPr>
                                <w:spacing w:val="-8"/>
                              </w:rPr>
                              <w:t xml:space="preserve"> </w:t>
                            </w:r>
                            <w:r>
                              <w:t>Tugend</w:t>
                            </w:r>
                            <w:r>
                              <w:rPr>
                                <w:spacing w:val="-8"/>
                              </w:rPr>
                              <w:t xml:space="preserve"> </w:t>
                            </w:r>
                            <w:r>
                              <w:t>leitet</w:t>
                            </w:r>
                            <w:r>
                              <w:rPr>
                                <w:spacing w:val="-8"/>
                              </w:rPr>
                              <w:t xml:space="preserve"> </w:t>
                            </w:r>
                            <w:r>
                              <w:t>und</w:t>
                            </w:r>
                            <w:r>
                              <w:rPr>
                                <w:spacing w:val="-8"/>
                              </w:rPr>
                              <w:t xml:space="preserve"> </w:t>
                            </w:r>
                            <w:r>
                              <w:t>durch</w:t>
                            </w:r>
                            <w:r>
                              <w:rPr>
                                <w:spacing w:val="-8"/>
                              </w:rPr>
                              <w:t xml:space="preserve"> </w:t>
                            </w:r>
                            <w:r>
                              <w:t>die</w:t>
                            </w:r>
                            <w:r>
                              <w:rPr>
                                <w:spacing w:val="-6"/>
                              </w:rPr>
                              <w:t xml:space="preserve"> </w:t>
                            </w:r>
                            <w:r>
                              <w:t>Gebote</w:t>
                            </w:r>
                            <w:r>
                              <w:rPr>
                                <w:spacing w:val="-6"/>
                              </w:rPr>
                              <w:t xml:space="preserve"> </w:t>
                            </w:r>
                            <w:r>
                              <w:t>der</w:t>
                            </w:r>
                            <w:r>
                              <w:rPr>
                                <w:spacing w:val="-7"/>
                              </w:rPr>
                              <w:t xml:space="preserve"> </w:t>
                            </w:r>
                            <w:r>
                              <w:t>Sittlichkeit</w:t>
                            </w:r>
                            <w:r>
                              <w:rPr>
                                <w:spacing w:val="40"/>
                              </w:rPr>
                              <w:t xml:space="preserve"> </w:t>
                            </w:r>
                            <w:r>
                              <w:t>in Ordnung hält, wird es Scham besitzen. Gesetze können nur das äußere Verhalten des</w:t>
                            </w:r>
                            <w:r>
                              <w:rPr>
                                <w:spacing w:val="40"/>
                              </w:rPr>
                              <w:t xml:space="preserve"> </w:t>
                            </w:r>
                            <w:r>
                              <w:t>Menschen bestimmen. Die Gründe für sein Verhalten aber liegen in seinem Innern. Der</w:t>
                            </w:r>
                            <w:r>
                              <w:rPr>
                                <w:spacing w:val="40"/>
                              </w:rPr>
                              <w:t xml:space="preserve"> </w:t>
                            </w:r>
                            <w:r>
                              <w:t>vornehme, gebildete Mensch, der Edle, meidet Verbrechen nicht aus Furcht vor Strafe,</w:t>
                            </w:r>
                            <w:r>
                              <w:rPr>
                                <w:spacing w:val="40"/>
                              </w:rPr>
                              <w:t xml:space="preserve"> </w:t>
                            </w:r>
                            <w:r>
                              <w:t>sondern weil ihn die Scham, die Furcht vor Schande, davon abhält“ (Wickert 1982, S.16).</w:t>
                            </w:r>
                          </w:p>
                        </w:txbxContent>
                      </wps:txbx>
                      <wps:bodyPr wrap="square" lIns="0" tIns="0" rIns="0" bIns="0" rtlCol="0">
                        <a:noAutofit/>
                      </wps:bodyPr>
                    </wps:wsp>
                  </a:graphicData>
                </a:graphic>
              </wp:inline>
            </w:drawing>
          </mc:Choice>
          <mc:Fallback>
            <w:pict>
              <v:shape w14:anchorId="0B5AC341" id="Textbox 1133" o:spid="_x0000_s1067" type="#_x0000_t202" style="width:450.15pt;height:115.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" filled="f" strokeweight=".48pt">
                <v:path arrowok="t"/>
                <v:textbox inset="0,0,0,0">
                  <w:txbxContent>
                    <w:p w14:paraId="6B05B2A5" w14:textId="77777777" w:rsidR="00E17A2B" w:rsidRPr="00B85FE4" w:rsidRDefault="00E17A2B" w:rsidP="00B7512C">
                      <w:pPr>
                        <w:pStyle w:val="Standardklein"/>
                        <w:shd w:val="clear" w:color="auto" w:fill="DEEAF6" w:themeFill="accent1" w:themeFillTint="33"/>
                        <w:spacing w:before="120" w:after="120"/>
                        <w:jc w:val="center"/>
                        <w:rPr>
                          <w:b/>
                        </w:rPr>
                      </w:pPr>
                      <w:r w:rsidRPr="00B85FE4">
                        <w:rPr>
                          <w:b/>
                        </w:rPr>
                        <w:t>Scham:</w:t>
                      </w:r>
                      <w:r w:rsidRPr="00B85FE4">
                        <w:rPr>
                          <w:b/>
                          <w:spacing w:val="-6"/>
                        </w:rPr>
                        <w:t xml:space="preserve"> </w:t>
                      </w:r>
                      <w:r w:rsidRPr="00B85FE4">
                        <w:rPr>
                          <w:b/>
                        </w:rPr>
                        <w:t>Furcht</w:t>
                      </w:r>
                      <w:r w:rsidRPr="00B85FE4">
                        <w:rPr>
                          <w:b/>
                          <w:spacing w:val="-3"/>
                        </w:rPr>
                        <w:t xml:space="preserve"> </w:t>
                      </w:r>
                      <w:r w:rsidRPr="00B85FE4">
                        <w:rPr>
                          <w:b/>
                        </w:rPr>
                        <w:t>vor</w:t>
                      </w:r>
                      <w:r w:rsidRPr="00B85FE4">
                        <w:rPr>
                          <w:b/>
                          <w:spacing w:val="-4"/>
                        </w:rPr>
                        <w:t xml:space="preserve"> </w:t>
                      </w:r>
                      <w:r w:rsidRPr="00B85FE4">
                        <w:rPr>
                          <w:b/>
                        </w:rPr>
                        <w:t>der</w:t>
                      </w:r>
                      <w:r w:rsidRPr="00B85FE4">
                        <w:rPr>
                          <w:b/>
                          <w:spacing w:val="-4"/>
                        </w:rPr>
                        <w:t xml:space="preserve"> </w:t>
                      </w:r>
                      <w:r w:rsidRPr="00B85FE4">
                        <w:rPr>
                          <w:b/>
                          <w:spacing w:val="-2"/>
                        </w:rPr>
                        <w:t>Schande</w:t>
                      </w:r>
                    </w:p>
                    <w:p w14:paraId="54A34F8A" w14:textId="77777777" w:rsidR="00E17A2B" w:rsidRDefault="00E17A2B" w:rsidP="00926158">
                      <w:pPr>
                        <w:pStyle w:val="Standardklein"/>
                        <w:shd w:val="clear" w:color="auto" w:fill="DEEAF6" w:themeFill="accent1" w:themeFillTint="33"/>
                        <w:spacing w:before="120" w:after="120"/>
                      </w:pPr>
                      <w:r>
                        <w:t>„Der</w:t>
                      </w:r>
                      <w:r>
                        <w:rPr>
                          <w:spacing w:val="-10"/>
                        </w:rPr>
                        <w:t xml:space="preserve"> </w:t>
                      </w:r>
                      <w:r>
                        <w:t>Meister</w:t>
                      </w:r>
                      <w:r>
                        <w:rPr>
                          <w:spacing w:val="-10"/>
                        </w:rPr>
                        <w:t xml:space="preserve"> </w:t>
                      </w:r>
                      <w:r>
                        <w:t>sprach:</w:t>
                      </w:r>
                      <w:r>
                        <w:rPr>
                          <w:spacing w:val="-10"/>
                        </w:rPr>
                        <w:t xml:space="preserve"> </w:t>
                      </w:r>
                      <w:r>
                        <w:t>Wenn</w:t>
                      </w:r>
                      <w:r>
                        <w:rPr>
                          <w:spacing w:val="-10"/>
                        </w:rPr>
                        <w:t xml:space="preserve"> </w:t>
                      </w:r>
                      <w:r>
                        <w:t>man</w:t>
                      </w:r>
                      <w:r>
                        <w:rPr>
                          <w:spacing w:val="-10"/>
                        </w:rPr>
                        <w:t xml:space="preserve"> </w:t>
                      </w:r>
                      <w:r>
                        <w:t>das</w:t>
                      </w:r>
                      <w:r>
                        <w:rPr>
                          <w:spacing w:val="-10"/>
                        </w:rPr>
                        <w:t xml:space="preserve"> </w:t>
                      </w:r>
                      <w:r>
                        <w:t>Volk</w:t>
                      </w:r>
                      <w:r>
                        <w:rPr>
                          <w:spacing w:val="-9"/>
                        </w:rPr>
                        <w:t xml:space="preserve"> </w:t>
                      </w:r>
                      <w:r>
                        <w:t>durch</w:t>
                      </w:r>
                      <w:r>
                        <w:rPr>
                          <w:spacing w:val="-10"/>
                        </w:rPr>
                        <w:t xml:space="preserve"> </w:t>
                      </w:r>
                      <w:r>
                        <w:t>Gesetze</w:t>
                      </w:r>
                      <w:r>
                        <w:rPr>
                          <w:spacing w:val="-10"/>
                        </w:rPr>
                        <w:t xml:space="preserve"> </w:t>
                      </w:r>
                      <w:r>
                        <w:t>leiten</w:t>
                      </w:r>
                      <w:r>
                        <w:rPr>
                          <w:spacing w:val="-10"/>
                        </w:rPr>
                        <w:t xml:space="preserve"> </w:t>
                      </w:r>
                      <w:r>
                        <w:t>und</w:t>
                      </w:r>
                      <w:r>
                        <w:rPr>
                          <w:spacing w:val="-10"/>
                        </w:rPr>
                        <w:t xml:space="preserve"> </w:t>
                      </w:r>
                      <w:r>
                        <w:t>durch</w:t>
                      </w:r>
                      <w:r>
                        <w:rPr>
                          <w:spacing w:val="-8"/>
                        </w:rPr>
                        <w:t xml:space="preserve"> </w:t>
                      </w:r>
                      <w:r>
                        <w:t>Strafen</w:t>
                      </w:r>
                      <w:r>
                        <w:rPr>
                          <w:spacing w:val="-10"/>
                        </w:rPr>
                        <w:t xml:space="preserve"> </w:t>
                      </w:r>
                      <w:r>
                        <w:t>in</w:t>
                      </w:r>
                      <w:r>
                        <w:rPr>
                          <w:spacing w:val="-8"/>
                        </w:rPr>
                        <w:t xml:space="preserve"> </w:t>
                      </w:r>
                      <w:r>
                        <w:t>Ordnung</w:t>
                      </w:r>
                      <w:r>
                        <w:rPr>
                          <w:spacing w:val="40"/>
                        </w:rPr>
                        <w:t xml:space="preserve"> </w:t>
                      </w:r>
                      <w:r>
                        <w:t>halten will, dann wird es versuchen, den Strafen auszuweichen, ohne sich deshalb zu</w:t>
                      </w:r>
                      <w:r>
                        <w:rPr>
                          <w:spacing w:val="40"/>
                        </w:rPr>
                        <w:t xml:space="preserve"> </w:t>
                      </w:r>
                      <w:r>
                        <w:t>schämen.</w:t>
                      </w:r>
                      <w:r>
                        <w:rPr>
                          <w:spacing w:val="-8"/>
                        </w:rPr>
                        <w:t xml:space="preserve"> </w:t>
                      </w:r>
                      <w:r>
                        <w:t>Wenn</w:t>
                      </w:r>
                      <w:r>
                        <w:rPr>
                          <w:spacing w:val="-8"/>
                        </w:rPr>
                        <w:t xml:space="preserve"> </w:t>
                      </w:r>
                      <w:r>
                        <w:t>man</w:t>
                      </w:r>
                      <w:r>
                        <w:rPr>
                          <w:spacing w:val="-8"/>
                        </w:rPr>
                        <w:t xml:space="preserve"> </w:t>
                      </w:r>
                      <w:r>
                        <w:t>das</w:t>
                      </w:r>
                      <w:r>
                        <w:rPr>
                          <w:spacing w:val="-9"/>
                        </w:rPr>
                        <w:t xml:space="preserve"> </w:t>
                      </w:r>
                      <w:r>
                        <w:t>Volk</w:t>
                      </w:r>
                      <w:r>
                        <w:rPr>
                          <w:spacing w:val="-6"/>
                        </w:rPr>
                        <w:t xml:space="preserve"> </w:t>
                      </w:r>
                      <w:r>
                        <w:t>aber</w:t>
                      </w:r>
                      <w:r>
                        <w:rPr>
                          <w:spacing w:val="-10"/>
                        </w:rPr>
                        <w:t xml:space="preserve"> </w:t>
                      </w:r>
                      <w:r>
                        <w:t>durch</w:t>
                      </w:r>
                      <w:r>
                        <w:rPr>
                          <w:spacing w:val="-8"/>
                        </w:rPr>
                        <w:t xml:space="preserve"> </w:t>
                      </w:r>
                      <w:r>
                        <w:t>Tugend</w:t>
                      </w:r>
                      <w:r>
                        <w:rPr>
                          <w:spacing w:val="-8"/>
                        </w:rPr>
                        <w:t xml:space="preserve"> </w:t>
                      </w:r>
                      <w:r>
                        <w:t>leitet</w:t>
                      </w:r>
                      <w:r>
                        <w:rPr>
                          <w:spacing w:val="-8"/>
                        </w:rPr>
                        <w:t xml:space="preserve"> </w:t>
                      </w:r>
                      <w:r>
                        <w:t>und</w:t>
                      </w:r>
                      <w:r>
                        <w:rPr>
                          <w:spacing w:val="-8"/>
                        </w:rPr>
                        <w:t xml:space="preserve"> </w:t>
                      </w:r>
                      <w:r>
                        <w:t>durch</w:t>
                      </w:r>
                      <w:r>
                        <w:rPr>
                          <w:spacing w:val="-8"/>
                        </w:rPr>
                        <w:t xml:space="preserve"> </w:t>
                      </w:r>
                      <w:r>
                        <w:t>die</w:t>
                      </w:r>
                      <w:r>
                        <w:rPr>
                          <w:spacing w:val="-6"/>
                        </w:rPr>
                        <w:t xml:space="preserve"> </w:t>
                      </w:r>
                      <w:r>
                        <w:t>Gebote</w:t>
                      </w:r>
                      <w:r>
                        <w:rPr>
                          <w:spacing w:val="-6"/>
                        </w:rPr>
                        <w:t xml:space="preserve"> </w:t>
                      </w:r>
                      <w:r>
                        <w:t>der</w:t>
                      </w:r>
                      <w:r>
                        <w:rPr>
                          <w:spacing w:val="-7"/>
                        </w:rPr>
                        <w:t xml:space="preserve"> </w:t>
                      </w:r>
                      <w:r>
                        <w:t>Sittlichkeit</w:t>
                      </w:r>
                      <w:r>
                        <w:rPr>
                          <w:spacing w:val="40"/>
                        </w:rPr>
                        <w:t xml:space="preserve"> </w:t>
                      </w:r>
                      <w:r>
                        <w:t>in Ordnung hält, wird es Scham besitzen. Gesetze können nur das äußere Verhalten des</w:t>
                      </w:r>
                      <w:r>
                        <w:rPr>
                          <w:spacing w:val="40"/>
                        </w:rPr>
                        <w:t xml:space="preserve"> </w:t>
                      </w:r>
                      <w:r>
                        <w:t>Menschen bestimmen. Die Gründe für sein Verhalten aber liegen in seinem Innern. Der</w:t>
                      </w:r>
                      <w:r>
                        <w:rPr>
                          <w:spacing w:val="40"/>
                        </w:rPr>
                        <w:t xml:space="preserve"> </w:t>
                      </w:r>
                      <w:r>
                        <w:t>vornehme, gebildete Mensch, der Edle, meidet Verbrechen nicht aus Furcht vor Strafe,</w:t>
                      </w:r>
                      <w:r>
                        <w:rPr>
                          <w:spacing w:val="40"/>
                        </w:rPr>
                        <w:t xml:space="preserve"> </w:t>
                      </w:r>
                      <w:r>
                        <w:t>sondern weil ihn die Scham, die Furcht vor Schande, davon abhält“ (Wickert 1982, S.16).</w:t>
                      </w:r>
                    </w:p>
                  </w:txbxContent>
                </v:textbox>
                <w10:anchorlock/>
              </v:shape>
            </w:pict>
          </mc:Fallback>
        </mc:AlternateContent>
      </w:r>
    </w:p>
    <w:p w14:paraId="13A335D7" w14:textId="77777777" w:rsidR="00FF7799" w:rsidRPr="00926158" w:rsidRDefault="00FF7799" w:rsidP="00862DBA">
      <w:pPr>
        <w:spacing w:before="127"/>
        <w:jc w:val="both"/>
        <w:rPr>
          <w:sz w:val="24"/>
          <w:szCs w:val="24"/>
        </w:rPr>
      </w:pPr>
      <w:r w:rsidRPr="00926158">
        <w:rPr>
          <w:sz w:val="24"/>
          <w:szCs w:val="24"/>
        </w:rPr>
        <w:t>Christen können moralische Schuld durch die Beichte, Reue und/oder göttliche Gnade</w:t>
      </w:r>
      <w:r w:rsidRPr="00926158">
        <w:rPr>
          <w:spacing w:val="-6"/>
          <w:sz w:val="24"/>
          <w:szCs w:val="24"/>
        </w:rPr>
        <w:t xml:space="preserve"> </w:t>
      </w:r>
      <w:r w:rsidRPr="00926158">
        <w:rPr>
          <w:sz w:val="24"/>
          <w:szCs w:val="24"/>
        </w:rPr>
        <w:t>tilgen.</w:t>
      </w:r>
      <w:r w:rsidRPr="00926158">
        <w:rPr>
          <w:spacing w:val="-7"/>
          <w:sz w:val="24"/>
          <w:szCs w:val="24"/>
        </w:rPr>
        <w:t xml:space="preserve"> </w:t>
      </w:r>
      <w:r w:rsidRPr="00926158">
        <w:rPr>
          <w:sz w:val="24"/>
          <w:szCs w:val="24"/>
        </w:rPr>
        <w:t>Keine</w:t>
      </w:r>
      <w:r w:rsidRPr="00926158">
        <w:rPr>
          <w:spacing w:val="-7"/>
          <w:sz w:val="24"/>
          <w:szCs w:val="24"/>
        </w:rPr>
        <w:t xml:space="preserve"> </w:t>
      </w:r>
      <w:r w:rsidRPr="00926158">
        <w:rPr>
          <w:sz w:val="24"/>
          <w:szCs w:val="24"/>
        </w:rPr>
        <w:t>irdische</w:t>
      </w:r>
      <w:r w:rsidRPr="00926158">
        <w:rPr>
          <w:spacing w:val="-7"/>
          <w:sz w:val="24"/>
          <w:szCs w:val="24"/>
        </w:rPr>
        <w:t xml:space="preserve"> </w:t>
      </w:r>
      <w:r w:rsidRPr="00926158">
        <w:rPr>
          <w:sz w:val="24"/>
          <w:szCs w:val="24"/>
        </w:rPr>
        <w:t>oder</w:t>
      </w:r>
      <w:r w:rsidRPr="00926158">
        <w:rPr>
          <w:spacing w:val="-7"/>
          <w:sz w:val="24"/>
          <w:szCs w:val="24"/>
        </w:rPr>
        <w:t xml:space="preserve"> </w:t>
      </w:r>
      <w:r w:rsidRPr="00926158">
        <w:rPr>
          <w:sz w:val="24"/>
          <w:szCs w:val="24"/>
        </w:rPr>
        <w:t>spirituelle</w:t>
      </w:r>
      <w:r w:rsidRPr="00926158">
        <w:rPr>
          <w:spacing w:val="-7"/>
          <w:sz w:val="24"/>
          <w:szCs w:val="24"/>
        </w:rPr>
        <w:t xml:space="preserve"> </w:t>
      </w:r>
      <w:r w:rsidRPr="00926158">
        <w:rPr>
          <w:sz w:val="24"/>
          <w:szCs w:val="24"/>
        </w:rPr>
        <w:t>Instanz</w:t>
      </w:r>
      <w:r w:rsidRPr="00926158">
        <w:rPr>
          <w:spacing w:val="-7"/>
          <w:sz w:val="24"/>
          <w:szCs w:val="24"/>
        </w:rPr>
        <w:t xml:space="preserve"> </w:t>
      </w:r>
      <w:r w:rsidRPr="00926158">
        <w:rPr>
          <w:sz w:val="24"/>
          <w:szCs w:val="24"/>
        </w:rPr>
        <w:t>ist</w:t>
      </w:r>
      <w:r w:rsidRPr="00926158">
        <w:rPr>
          <w:spacing w:val="-7"/>
          <w:sz w:val="24"/>
          <w:szCs w:val="24"/>
        </w:rPr>
        <w:t xml:space="preserve"> </w:t>
      </w:r>
      <w:r w:rsidRPr="00926158">
        <w:rPr>
          <w:sz w:val="24"/>
          <w:szCs w:val="24"/>
        </w:rPr>
        <w:t>jedoch</w:t>
      </w:r>
      <w:r w:rsidRPr="00926158">
        <w:rPr>
          <w:spacing w:val="-7"/>
          <w:sz w:val="24"/>
          <w:szCs w:val="24"/>
        </w:rPr>
        <w:t xml:space="preserve"> </w:t>
      </w:r>
      <w:r w:rsidRPr="00926158">
        <w:rPr>
          <w:sz w:val="24"/>
          <w:szCs w:val="24"/>
        </w:rPr>
        <w:t>in</w:t>
      </w:r>
      <w:r w:rsidRPr="00926158">
        <w:rPr>
          <w:spacing w:val="-6"/>
          <w:sz w:val="24"/>
          <w:szCs w:val="24"/>
        </w:rPr>
        <w:t xml:space="preserve"> </w:t>
      </w:r>
      <w:r w:rsidRPr="00926158">
        <w:rPr>
          <w:sz w:val="24"/>
          <w:szCs w:val="24"/>
        </w:rPr>
        <w:t>der</w:t>
      </w:r>
      <w:r w:rsidRPr="00926158">
        <w:rPr>
          <w:spacing w:val="-5"/>
          <w:sz w:val="24"/>
          <w:szCs w:val="24"/>
        </w:rPr>
        <w:t xml:space="preserve"> </w:t>
      </w:r>
      <w:r w:rsidRPr="00926158">
        <w:rPr>
          <w:sz w:val="24"/>
          <w:szCs w:val="24"/>
        </w:rPr>
        <w:t>Lage,</w:t>
      </w:r>
      <w:r w:rsidRPr="00926158">
        <w:rPr>
          <w:spacing w:val="-7"/>
          <w:sz w:val="24"/>
          <w:szCs w:val="24"/>
        </w:rPr>
        <w:t xml:space="preserve"> </w:t>
      </w:r>
      <w:r w:rsidRPr="00926158">
        <w:rPr>
          <w:sz w:val="24"/>
          <w:szCs w:val="24"/>
        </w:rPr>
        <w:t>Scham zu</w:t>
      </w:r>
      <w:r w:rsidRPr="00926158">
        <w:rPr>
          <w:spacing w:val="-12"/>
          <w:sz w:val="24"/>
          <w:szCs w:val="24"/>
        </w:rPr>
        <w:t xml:space="preserve"> </w:t>
      </w:r>
      <w:r w:rsidRPr="00926158">
        <w:rPr>
          <w:sz w:val="24"/>
          <w:szCs w:val="24"/>
        </w:rPr>
        <w:t>löschen.</w:t>
      </w:r>
      <w:r w:rsidRPr="00926158">
        <w:rPr>
          <w:spacing w:val="-11"/>
          <w:sz w:val="24"/>
          <w:szCs w:val="24"/>
        </w:rPr>
        <w:t xml:space="preserve"> </w:t>
      </w:r>
      <w:r w:rsidRPr="00926158">
        <w:rPr>
          <w:sz w:val="24"/>
          <w:szCs w:val="24"/>
        </w:rPr>
        <w:t>Man</w:t>
      </w:r>
      <w:r w:rsidRPr="00926158">
        <w:rPr>
          <w:spacing w:val="-11"/>
          <w:sz w:val="24"/>
          <w:szCs w:val="24"/>
        </w:rPr>
        <w:t xml:space="preserve"> </w:t>
      </w:r>
      <w:r w:rsidRPr="00926158">
        <w:rPr>
          <w:sz w:val="24"/>
          <w:szCs w:val="24"/>
        </w:rPr>
        <w:t>kann</w:t>
      </w:r>
      <w:r w:rsidRPr="00926158">
        <w:rPr>
          <w:spacing w:val="-11"/>
          <w:sz w:val="24"/>
          <w:szCs w:val="24"/>
        </w:rPr>
        <w:t xml:space="preserve"> </w:t>
      </w:r>
      <w:r w:rsidRPr="00926158">
        <w:rPr>
          <w:sz w:val="24"/>
          <w:szCs w:val="24"/>
        </w:rPr>
        <w:t>sie</w:t>
      </w:r>
      <w:r w:rsidRPr="00926158">
        <w:rPr>
          <w:spacing w:val="-12"/>
          <w:sz w:val="24"/>
          <w:szCs w:val="24"/>
        </w:rPr>
        <w:t xml:space="preserve"> </w:t>
      </w:r>
      <w:r w:rsidRPr="00926158">
        <w:rPr>
          <w:sz w:val="24"/>
          <w:szCs w:val="24"/>
        </w:rPr>
        <w:lastRenderedPageBreak/>
        <w:t>allenfalls</w:t>
      </w:r>
      <w:r w:rsidRPr="00926158">
        <w:rPr>
          <w:spacing w:val="-11"/>
          <w:sz w:val="24"/>
          <w:szCs w:val="24"/>
        </w:rPr>
        <w:t xml:space="preserve"> </w:t>
      </w:r>
      <w:r w:rsidRPr="00926158">
        <w:rPr>
          <w:sz w:val="24"/>
          <w:szCs w:val="24"/>
        </w:rPr>
        <w:t>durch</w:t>
      </w:r>
      <w:r w:rsidRPr="00926158">
        <w:rPr>
          <w:spacing w:val="-11"/>
          <w:sz w:val="24"/>
          <w:szCs w:val="24"/>
        </w:rPr>
        <w:t xml:space="preserve"> </w:t>
      </w:r>
      <w:r w:rsidRPr="00926158">
        <w:rPr>
          <w:sz w:val="24"/>
          <w:szCs w:val="24"/>
        </w:rPr>
        <w:t>künftiges</w:t>
      </w:r>
      <w:r w:rsidRPr="00926158">
        <w:rPr>
          <w:spacing w:val="-11"/>
          <w:sz w:val="24"/>
          <w:szCs w:val="24"/>
        </w:rPr>
        <w:t xml:space="preserve"> </w:t>
      </w:r>
      <w:r w:rsidRPr="00926158">
        <w:rPr>
          <w:sz w:val="24"/>
          <w:szCs w:val="24"/>
        </w:rPr>
        <w:t>Wohlverhalten</w:t>
      </w:r>
      <w:r w:rsidRPr="00926158">
        <w:rPr>
          <w:spacing w:val="-12"/>
          <w:sz w:val="24"/>
          <w:szCs w:val="24"/>
        </w:rPr>
        <w:t xml:space="preserve"> </w:t>
      </w:r>
      <w:r w:rsidRPr="00926158">
        <w:rPr>
          <w:sz w:val="24"/>
          <w:szCs w:val="24"/>
        </w:rPr>
        <w:t>und</w:t>
      </w:r>
      <w:r w:rsidRPr="00926158">
        <w:rPr>
          <w:spacing w:val="-11"/>
          <w:sz w:val="24"/>
          <w:szCs w:val="24"/>
        </w:rPr>
        <w:t xml:space="preserve"> </w:t>
      </w:r>
      <w:r w:rsidRPr="00926158">
        <w:rPr>
          <w:sz w:val="24"/>
          <w:szCs w:val="24"/>
        </w:rPr>
        <w:t>tätige</w:t>
      </w:r>
      <w:r w:rsidRPr="00926158">
        <w:rPr>
          <w:spacing w:val="-11"/>
          <w:sz w:val="24"/>
          <w:szCs w:val="24"/>
        </w:rPr>
        <w:t xml:space="preserve"> </w:t>
      </w:r>
      <w:r w:rsidRPr="00926158">
        <w:rPr>
          <w:sz w:val="24"/>
          <w:szCs w:val="24"/>
        </w:rPr>
        <w:t>Reue mit der Zeit vergessen machen. Deshalb vermeidet es der Gebildete nach Möglichkeit,</w:t>
      </w:r>
      <w:r w:rsidRPr="00926158">
        <w:rPr>
          <w:spacing w:val="3"/>
          <w:sz w:val="24"/>
          <w:szCs w:val="24"/>
        </w:rPr>
        <w:t xml:space="preserve"> </w:t>
      </w:r>
      <w:r w:rsidRPr="00926158">
        <w:rPr>
          <w:sz w:val="24"/>
          <w:szCs w:val="24"/>
        </w:rPr>
        <w:t>anderen</w:t>
      </w:r>
      <w:r w:rsidRPr="00926158">
        <w:rPr>
          <w:spacing w:val="3"/>
          <w:sz w:val="24"/>
          <w:szCs w:val="24"/>
        </w:rPr>
        <w:t xml:space="preserve"> </w:t>
      </w:r>
      <w:r w:rsidRPr="00926158">
        <w:rPr>
          <w:sz w:val="24"/>
          <w:szCs w:val="24"/>
        </w:rPr>
        <w:t>durch</w:t>
      </w:r>
      <w:r w:rsidRPr="00926158">
        <w:rPr>
          <w:spacing w:val="5"/>
          <w:sz w:val="24"/>
          <w:szCs w:val="24"/>
        </w:rPr>
        <w:t xml:space="preserve"> </w:t>
      </w:r>
      <w:r w:rsidRPr="00926158">
        <w:rPr>
          <w:sz w:val="24"/>
          <w:szCs w:val="24"/>
        </w:rPr>
        <w:t>Vorwürfe,</w:t>
      </w:r>
      <w:r w:rsidRPr="00926158">
        <w:rPr>
          <w:spacing w:val="4"/>
          <w:sz w:val="24"/>
          <w:szCs w:val="24"/>
        </w:rPr>
        <w:t xml:space="preserve"> </w:t>
      </w:r>
      <w:r w:rsidRPr="00926158">
        <w:rPr>
          <w:sz w:val="24"/>
          <w:szCs w:val="24"/>
        </w:rPr>
        <w:t>Verdächtigungen oder</w:t>
      </w:r>
      <w:r w:rsidRPr="00926158">
        <w:rPr>
          <w:spacing w:val="4"/>
          <w:sz w:val="24"/>
          <w:szCs w:val="24"/>
        </w:rPr>
        <w:t xml:space="preserve"> </w:t>
      </w:r>
      <w:r w:rsidRPr="00926158">
        <w:rPr>
          <w:sz w:val="24"/>
          <w:szCs w:val="24"/>
        </w:rPr>
        <w:t>abwertende</w:t>
      </w:r>
      <w:r w:rsidRPr="00926158">
        <w:rPr>
          <w:spacing w:val="3"/>
          <w:sz w:val="24"/>
          <w:szCs w:val="24"/>
        </w:rPr>
        <w:t xml:space="preserve"> </w:t>
      </w:r>
      <w:r w:rsidRPr="00926158">
        <w:rPr>
          <w:spacing w:val="-2"/>
          <w:sz w:val="24"/>
          <w:szCs w:val="24"/>
        </w:rPr>
        <w:t>Gesten</w:t>
      </w:r>
      <w:r w:rsidRPr="00926158">
        <w:rPr>
          <w:sz w:val="24"/>
          <w:szCs w:val="24"/>
        </w:rPr>
        <w:t xml:space="preserve"> „das</w:t>
      </w:r>
      <w:r w:rsidRPr="00926158">
        <w:rPr>
          <w:spacing w:val="-3"/>
          <w:sz w:val="24"/>
          <w:szCs w:val="24"/>
        </w:rPr>
        <w:t xml:space="preserve"> </w:t>
      </w:r>
      <w:r w:rsidRPr="00926158">
        <w:rPr>
          <w:sz w:val="24"/>
          <w:szCs w:val="24"/>
        </w:rPr>
        <w:t>Gesicht</w:t>
      </w:r>
      <w:r w:rsidRPr="00926158">
        <w:rPr>
          <w:spacing w:val="-2"/>
          <w:sz w:val="24"/>
          <w:szCs w:val="24"/>
        </w:rPr>
        <w:t xml:space="preserve"> </w:t>
      </w:r>
      <w:r w:rsidRPr="00926158">
        <w:rPr>
          <w:sz w:val="24"/>
          <w:szCs w:val="24"/>
        </w:rPr>
        <w:t>zu</w:t>
      </w:r>
      <w:r w:rsidRPr="00926158">
        <w:rPr>
          <w:spacing w:val="-1"/>
          <w:sz w:val="24"/>
          <w:szCs w:val="24"/>
        </w:rPr>
        <w:t xml:space="preserve"> </w:t>
      </w:r>
      <w:r w:rsidRPr="00926158">
        <w:rPr>
          <w:sz w:val="24"/>
          <w:szCs w:val="24"/>
        </w:rPr>
        <w:t>nehmen“</w:t>
      </w:r>
      <w:r w:rsidRPr="00926158">
        <w:rPr>
          <w:spacing w:val="-3"/>
          <w:sz w:val="24"/>
          <w:szCs w:val="24"/>
        </w:rPr>
        <w:t xml:space="preserve"> </w:t>
      </w:r>
      <w:r w:rsidRPr="00926158">
        <w:rPr>
          <w:sz w:val="24"/>
          <w:szCs w:val="24"/>
        </w:rPr>
        <w:t>(d.h.</w:t>
      </w:r>
      <w:r w:rsidRPr="00926158">
        <w:rPr>
          <w:spacing w:val="-2"/>
          <w:sz w:val="24"/>
          <w:szCs w:val="24"/>
        </w:rPr>
        <w:t xml:space="preserve"> </w:t>
      </w:r>
      <w:r w:rsidRPr="00926158">
        <w:rPr>
          <w:sz w:val="24"/>
          <w:szCs w:val="24"/>
        </w:rPr>
        <w:t>einen Grund</w:t>
      </w:r>
      <w:r w:rsidRPr="00926158">
        <w:rPr>
          <w:spacing w:val="-3"/>
          <w:sz w:val="24"/>
          <w:szCs w:val="24"/>
        </w:rPr>
        <w:t xml:space="preserve"> </w:t>
      </w:r>
      <w:r w:rsidRPr="00926158">
        <w:rPr>
          <w:sz w:val="24"/>
          <w:szCs w:val="24"/>
        </w:rPr>
        <w:t>zu</w:t>
      </w:r>
      <w:r w:rsidRPr="00926158">
        <w:rPr>
          <w:spacing w:val="-1"/>
          <w:sz w:val="24"/>
          <w:szCs w:val="24"/>
        </w:rPr>
        <w:t xml:space="preserve"> </w:t>
      </w:r>
      <w:r w:rsidRPr="00926158">
        <w:rPr>
          <w:sz w:val="24"/>
          <w:szCs w:val="24"/>
        </w:rPr>
        <w:t>geben,</w:t>
      </w:r>
      <w:r w:rsidRPr="00926158">
        <w:rPr>
          <w:spacing w:val="-2"/>
          <w:sz w:val="24"/>
          <w:szCs w:val="24"/>
        </w:rPr>
        <w:t xml:space="preserve"> </w:t>
      </w:r>
      <w:r w:rsidRPr="00926158">
        <w:rPr>
          <w:sz w:val="24"/>
          <w:szCs w:val="24"/>
        </w:rPr>
        <w:t>sich</w:t>
      </w:r>
      <w:r w:rsidRPr="00926158">
        <w:rPr>
          <w:spacing w:val="-1"/>
          <w:sz w:val="24"/>
          <w:szCs w:val="24"/>
        </w:rPr>
        <w:t xml:space="preserve"> </w:t>
      </w:r>
      <w:r w:rsidRPr="00926158">
        <w:rPr>
          <w:sz w:val="24"/>
          <w:szCs w:val="24"/>
        </w:rPr>
        <w:t xml:space="preserve">zu </w:t>
      </w:r>
      <w:r w:rsidRPr="00926158">
        <w:rPr>
          <w:spacing w:val="-2"/>
          <w:sz w:val="24"/>
          <w:szCs w:val="24"/>
        </w:rPr>
        <w:t>schämen).</w:t>
      </w:r>
    </w:p>
    <w:p w14:paraId="77552FF3" w14:textId="77777777" w:rsidR="00FF7799" w:rsidRPr="00926158" w:rsidRDefault="00FF7799" w:rsidP="00862DBA">
      <w:pPr>
        <w:spacing w:before="119"/>
        <w:jc w:val="both"/>
        <w:rPr>
          <w:sz w:val="24"/>
          <w:szCs w:val="24"/>
        </w:rPr>
      </w:pPr>
      <w:r w:rsidRPr="00926158">
        <w:rPr>
          <w:sz w:val="24"/>
          <w:szCs w:val="24"/>
        </w:rPr>
        <w:t>Kodifizierte Rechtsnormen und die damit verbundenen Strafandrohungen kann man mit allerlei Tricks und gegebenenfalls einem fintenreichen Rechtsanwalt umgehen, nicht jedoch die verinnerlichten sozialen Normen. Deshalb wollte Konfuzius „aus den Kleinen Menschen durch Erziehung und Bildung Höhere Menschen machen, die der Gesetze nicht bedürfen, da die Scham sie davon abhalten würde, Ungehöriges zu tun“ (Wickert 1982, S.16).</w:t>
      </w:r>
    </w:p>
    <w:p w14:paraId="1A1D7BFC" w14:textId="77777777" w:rsidR="00FF7799" w:rsidRPr="00926158" w:rsidRDefault="00FF7799" w:rsidP="00862DBA">
      <w:pPr>
        <w:spacing w:before="119"/>
        <w:jc w:val="both"/>
        <w:rPr>
          <w:sz w:val="24"/>
          <w:szCs w:val="24"/>
        </w:rPr>
      </w:pPr>
    </w:p>
    <w:p w14:paraId="782A2C04" w14:textId="77777777" w:rsidR="00FF7799" w:rsidRPr="00926158" w:rsidRDefault="00FF7799" w:rsidP="00687806">
      <w:pPr>
        <w:pStyle w:val="StandardTextkursiv"/>
        <w:rPr>
          <w:i w:val="0"/>
        </w:rPr>
      </w:pPr>
      <w:r w:rsidRPr="00926158">
        <w:rPr>
          <w:i w:val="0"/>
        </w:rPr>
        <w:t>4 Ökonomisch relevante Verhaltensregeln</w:t>
      </w:r>
    </w:p>
    <w:p w14:paraId="04E77B82" w14:textId="77777777" w:rsidR="00FF7799" w:rsidRPr="00926158" w:rsidRDefault="00FF7799" w:rsidP="00687806">
      <w:pPr>
        <w:pStyle w:val="Listenabsatz"/>
        <w:tabs>
          <w:tab w:val="left" w:pos="1328"/>
        </w:tabs>
        <w:spacing w:before="120"/>
        <w:ind w:left="0" w:firstLine="0"/>
        <w:rPr>
          <w:sz w:val="24"/>
          <w:szCs w:val="24"/>
        </w:rPr>
      </w:pPr>
      <w:r w:rsidRPr="00926158">
        <w:rPr>
          <w:sz w:val="24"/>
          <w:szCs w:val="24"/>
        </w:rPr>
        <w:t xml:space="preserve">4.1 Vorsorge und Leistungsorientierung </w:t>
      </w:r>
    </w:p>
    <w:p w14:paraId="3F79ECFD" w14:textId="77777777" w:rsidR="00FF7799" w:rsidRPr="00926158" w:rsidRDefault="00FF7799" w:rsidP="009B24C2">
      <w:pPr>
        <w:pStyle w:val="StandardText"/>
      </w:pPr>
      <w:r w:rsidRPr="00926158">
        <w:t>Ahnen- und Familienkult verpflichten den Einzelnen dazu, für die Vorfahren, die Kinder und für sich selbst zu sorgen. Deshalb planen Familien wichtige Entscheidungen langfristig und betreiben gezielt Vorsorge. Auch die in konfuzianischen</w:t>
      </w:r>
      <w:r w:rsidRPr="00926158">
        <w:rPr>
          <w:spacing w:val="-2"/>
        </w:rPr>
        <w:t xml:space="preserve"> </w:t>
      </w:r>
      <w:r w:rsidRPr="00926158">
        <w:t>Gesellschaften besonders</w:t>
      </w:r>
      <w:r w:rsidRPr="00926158">
        <w:rPr>
          <w:spacing w:val="-1"/>
        </w:rPr>
        <w:t xml:space="preserve"> </w:t>
      </w:r>
      <w:r w:rsidRPr="00926158">
        <w:t>ausgeprägte</w:t>
      </w:r>
      <w:r w:rsidRPr="00926158">
        <w:rPr>
          <w:spacing w:val="-1"/>
        </w:rPr>
        <w:t xml:space="preserve"> </w:t>
      </w:r>
      <w:r w:rsidRPr="00926158">
        <w:t>Sparbereitschaft lässt sich weniger</w:t>
      </w:r>
      <w:r w:rsidRPr="00926158">
        <w:rPr>
          <w:spacing w:val="-12"/>
        </w:rPr>
        <w:t xml:space="preserve"> </w:t>
      </w:r>
      <w:r w:rsidRPr="00926158">
        <w:t>ökonomisch-rational</w:t>
      </w:r>
      <w:r w:rsidRPr="00926158">
        <w:rPr>
          <w:spacing w:val="-11"/>
        </w:rPr>
        <w:t xml:space="preserve"> </w:t>
      </w:r>
      <w:r w:rsidRPr="00926158">
        <w:t>begründen</w:t>
      </w:r>
      <w:r w:rsidRPr="00926158">
        <w:rPr>
          <w:spacing w:val="-11"/>
        </w:rPr>
        <w:t xml:space="preserve"> </w:t>
      </w:r>
      <w:r w:rsidRPr="00926158">
        <w:t>als</w:t>
      </w:r>
      <w:r w:rsidRPr="00926158">
        <w:rPr>
          <w:spacing w:val="-11"/>
        </w:rPr>
        <w:t xml:space="preserve"> </w:t>
      </w:r>
      <w:r w:rsidRPr="00926158">
        <w:t>mit</w:t>
      </w:r>
      <w:r w:rsidRPr="00926158">
        <w:rPr>
          <w:spacing w:val="-12"/>
        </w:rPr>
        <w:t xml:space="preserve"> </w:t>
      </w:r>
      <w:r w:rsidRPr="00926158">
        <w:t>der</w:t>
      </w:r>
      <w:r w:rsidRPr="00926158">
        <w:rPr>
          <w:spacing w:val="-11"/>
        </w:rPr>
        <w:t xml:space="preserve"> </w:t>
      </w:r>
      <w:r w:rsidRPr="00926158">
        <w:t>sozialen</w:t>
      </w:r>
      <w:r w:rsidRPr="00926158">
        <w:rPr>
          <w:spacing w:val="-11"/>
        </w:rPr>
        <w:t xml:space="preserve"> </w:t>
      </w:r>
      <w:r w:rsidRPr="00926158">
        <w:t>Verpflichtung,</w:t>
      </w:r>
      <w:r w:rsidRPr="00926158">
        <w:rPr>
          <w:spacing w:val="-11"/>
        </w:rPr>
        <w:t xml:space="preserve"> </w:t>
      </w:r>
      <w:r w:rsidRPr="00926158">
        <w:t>für</w:t>
      </w:r>
      <w:r w:rsidRPr="00926158">
        <w:rPr>
          <w:spacing w:val="-12"/>
        </w:rPr>
        <w:t xml:space="preserve"> </w:t>
      </w:r>
      <w:r w:rsidRPr="00926158">
        <w:t>die (Groß-)Familie (vor-)sorgen zu müssen. Vor allem aber sind Leistungsorientierung, Geduld und Ausdauer sowie die Bereitschaft zu „harter Arbeit“ wichtige Elemente der konfuzianischen Ethik. In der Debatte um die Ursachen</w:t>
      </w:r>
      <w:r w:rsidRPr="00926158">
        <w:rPr>
          <w:spacing w:val="-3"/>
        </w:rPr>
        <w:t xml:space="preserve"> </w:t>
      </w:r>
      <w:r w:rsidRPr="00926158">
        <w:t>des</w:t>
      </w:r>
      <w:r w:rsidRPr="00926158">
        <w:rPr>
          <w:spacing w:val="-5"/>
        </w:rPr>
        <w:t xml:space="preserve"> </w:t>
      </w:r>
      <w:r w:rsidRPr="00926158">
        <w:t>„asiatischen</w:t>
      </w:r>
      <w:r w:rsidRPr="00926158">
        <w:rPr>
          <w:spacing w:val="-3"/>
        </w:rPr>
        <w:t xml:space="preserve"> </w:t>
      </w:r>
      <w:r w:rsidRPr="00926158">
        <w:t>Wunders“</w:t>
      </w:r>
      <w:r w:rsidRPr="00926158">
        <w:rPr>
          <w:spacing w:val="-5"/>
        </w:rPr>
        <w:t xml:space="preserve"> </w:t>
      </w:r>
      <w:r w:rsidRPr="00926158">
        <w:t>spielen</w:t>
      </w:r>
      <w:r w:rsidRPr="00926158">
        <w:rPr>
          <w:spacing w:val="-3"/>
        </w:rPr>
        <w:t xml:space="preserve"> </w:t>
      </w:r>
      <w:r w:rsidRPr="00926158">
        <w:t>sie</w:t>
      </w:r>
      <w:r w:rsidRPr="00926158">
        <w:rPr>
          <w:spacing w:val="-5"/>
        </w:rPr>
        <w:t xml:space="preserve"> </w:t>
      </w:r>
      <w:r w:rsidRPr="00926158">
        <w:t>eine</w:t>
      </w:r>
      <w:r w:rsidRPr="00926158">
        <w:rPr>
          <w:spacing w:val="-5"/>
        </w:rPr>
        <w:t xml:space="preserve"> </w:t>
      </w:r>
      <w:r w:rsidRPr="00926158">
        <w:t>wichtige</w:t>
      </w:r>
      <w:r w:rsidRPr="00926158">
        <w:rPr>
          <w:spacing w:val="-5"/>
        </w:rPr>
        <w:t xml:space="preserve"> </w:t>
      </w:r>
      <w:r w:rsidRPr="00926158">
        <w:t>Rolle,</w:t>
      </w:r>
      <w:r w:rsidRPr="00926158">
        <w:rPr>
          <w:spacing w:val="-4"/>
        </w:rPr>
        <w:t xml:space="preserve"> </w:t>
      </w:r>
      <w:r w:rsidRPr="00926158">
        <w:t>wenn</w:t>
      </w:r>
      <w:r w:rsidRPr="00926158">
        <w:rPr>
          <w:spacing w:val="-5"/>
        </w:rPr>
        <w:t xml:space="preserve"> </w:t>
      </w:r>
      <w:r w:rsidRPr="00926158">
        <w:t>es</w:t>
      </w:r>
      <w:r w:rsidRPr="00926158">
        <w:rPr>
          <w:spacing w:val="-5"/>
        </w:rPr>
        <w:t xml:space="preserve"> </w:t>
      </w:r>
      <w:r w:rsidRPr="00926158">
        <w:t>gilt, beginnend mit den Tigerstaaten das stürmische Wachstum der ostasiatischen Volkswirtschaften zu erklären.</w:t>
      </w:r>
    </w:p>
    <w:p w14:paraId="438579AE" w14:textId="77777777" w:rsidR="00FF7799" w:rsidRPr="00926158" w:rsidRDefault="00FF7799" w:rsidP="009B24C2">
      <w:pPr>
        <w:pStyle w:val="StandardText"/>
      </w:pPr>
    </w:p>
    <w:p w14:paraId="7299E4E5" w14:textId="77777777" w:rsidR="00FF7799" w:rsidRPr="00926158" w:rsidRDefault="00FF7799" w:rsidP="009B24C2">
      <w:pPr>
        <w:pStyle w:val="StandardTextkursiv"/>
        <w:rPr>
          <w:i w:val="0"/>
        </w:rPr>
      </w:pPr>
      <w:r w:rsidRPr="00926158">
        <w:rPr>
          <w:i w:val="0"/>
        </w:rPr>
        <w:t xml:space="preserve">4.2 Verpflichtungen in </w:t>
      </w:r>
      <w:r w:rsidR="00DF5332" w:rsidRPr="00926158">
        <w:rPr>
          <w:i w:val="0"/>
        </w:rPr>
        <w:t>Hierarchien</w:t>
      </w:r>
      <w:r w:rsidRPr="00926158">
        <w:rPr>
          <w:i w:val="0"/>
        </w:rPr>
        <w:t xml:space="preserve"> </w:t>
      </w:r>
    </w:p>
    <w:p w14:paraId="14EF197C" w14:textId="77777777" w:rsidR="00FF7799" w:rsidRPr="00926158" w:rsidRDefault="00FF7799" w:rsidP="009B24C2">
      <w:pPr>
        <w:pStyle w:val="StandardText"/>
      </w:pPr>
      <w:r w:rsidRPr="00926158">
        <w:t>Die</w:t>
      </w:r>
      <w:r w:rsidRPr="00926158">
        <w:rPr>
          <w:spacing w:val="-12"/>
        </w:rPr>
        <w:t xml:space="preserve"> </w:t>
      </w:r>
      <w:r w:rsidRPr="00926158">
        <w:t>konfuzianische</w:t>
      </w:r>
      <w:r w:rsidRPr="00926158">
        <w:rPr>
          <w:spacing w:val="-10"/>
        </w:rPr>
        <w:t xml:space="preserve"> </w:t>
      </w:r>
      <w:r w:rsidRPr="00926158">
        <w:t>Ethik</w:t>
      </w:r>
      <w:r w:rsidRPr="00926158">
        <w:rPr>
          <w:spacing w:val="-11"/>
        </w:rPr>
        <w:t xml:space="preserve"> </w:t>
      </w:r>
      <w:r w:rsidRPr="00926158">
        <w:t>erlaubt</w:t>
      </w:r>
      <w:r w:rsidRPr="00926158">
        <w:rPr>
          <w:spacing w:val="-12"/>
        </w:rPr>
        <w:t xml:space="preserve"> </w:t>
      </w:r>
      <w:r w:rsidRPr="00926158">
        <w:t>Proteste</w:t>
      </w:r>
      <w:r w:rsidRPr="00926158">
        <w:rPr>
          <w:spacing w:val="-10"/>
        </w:rPr>
        <w:t xml:space="preserve"> </w:t>
      </w:r>
      <w:r w:rsidRPr="00926158">
        <w:t>bzw.</w:t>
      </w:r>
      <w:r w:rsidRPr="00926158">
        <w:rPr>
          <w:spacing w:val="-10"/>
        </w:rPr>
        <w:t xml:space="preserve"> </w:t>
      </w:r>
      <w:r w:rsidRPr="00926158">
        <w:t>Gegenmaßnahmen</w:t>
      </w:r>
      <w:r w:rsidRPr="00926158">
        <w:rPr>
          <w:spacing w:val="-9"/>
        </w:rPr>
        <w:t xml:space="preserve"> </w:t>
      </w:r>
      <w:r w:rsidRPr="00926158">
        <w:t>für</w:t>
      </w:r>
      <w:r w:rsidRPr="00926158">
        <w:rPr>
          <w:spacing w:val="-12"/>
        </w:rPr>
        <w:t xml:space="preserve"> </w:t>
      </w:r>
      <w:r w:rsidRPr="00926158">
        <w:t>den</w:t>
      </w:r>
      <w:r w:rsidRPr="00926158">
        <w:rPr>
          <w:spacing w:val="-8"/>
        </w:rPr>
        <w:t xml:space="preserve"> </w:t>
      </w:r>
      <w:r w:rsidRPr="00926158">
        <w:t>Fall, dass der hierarchisch Übergeordnete bzw. Stärkere seinen Verpflichtungen nicht nachkommt. Übertragen auf den Unternehmensalltag bedeutet dies, dass Mitarbeiter ihre Aufgaben und (vertraglichen) Pflichten strengstens erfüllen müssen;</w:t>
      </w:r>
      <w:r w:rsidRPr="00926158">
        <w:rPr>
          <w:spacing w:val="-6"/>
        </w:rPr>
        <w:t xml:space="preserve"> </w:t>
      </w:r>
      <w:r w:rsidRPr="00926158">
        <w:t>der</w:t>
      </w:r>
      <w:r w:rsidRPr="00926158">
        <w:rPr>
          <w:spacing w:val="-6"/>
        </w:rPr>
        <w:t xml:space="preserve"> </w:t>
      </w:r>
      <w:r w:rsidRPr="00926158">
        <w:t>Vorgesetzte</w:t>
      </w:r>
      <w:r w:rsidRPr="00926158">
        <w:rPr>
          <w:spacing w:val="-6"/>
        </w:rPr>
        <w:t xml:space="preserve"> </w:t>
      </w:r>
      <w:r w:rsidRPr="00926158">
        <w:t>wiederum</w:t>
      </w:r>
      <w:r w:rsidRPr="00926158">
        <w:rPr>
          <w:spacing w:val="-7"/>
        </w:rPr>
        <w:t xml:space="preserve"> </w:t>
      </w:r>
      <w:r w:rsidRPr="00926158">
        <w:t>hat</w:t>
      </w:r>
      <w:r w:rsidRPr="00926158">
        <w:rPr>
          <w:spacing w:val="-6"/>
        </w:rPr>
        <w:t xml:space="preserve"> </w:t>
      </w:r>
      <w:r w:rsidRPr="00926158">
        <w:t>für</w:t>
      </w:r>
      <w:r w:rsidRPr="00926158">
        <w:rPr>
          <w:spacing w:val="-8"/>
        </w:rPr>
        <w:t xml:space="preserve"> </w:t>
      </w:r>
      <w:r w:rsidRPr="00926158">
        <w:t>das</w:t>
      </w:r>
      <w:r w:rsidRPr="00926158">
        <w:rPr>
          <w:spacing w:val="-6"/>
        </w:rPr>
        <w:t xml:space="preserve"> </w:t>
      </w:r>
      <w:r w:rsidRPr="00926158">
        <w:t>Wohlergehen</w:t>
      </w:r>
      <w:r w:rsidRPr="00926158">
        <w:rPr>
          <w:spacing w:val="-7"/>
        </w:rPr>
        <w:t xml:space="preserve"> </w:t>
      </w:r>
      <w:r w:rsidRPr="00926158">
        <w:t>der</w:t>
      </w:r>
      <w:r w:rsidRPr="00926158">
        <w:rPr>
          <w:spacing w:val="-6"/>
        </w:rPr>
        <w:t xml:space="preserve"> </w:t>
      </w:r>
      <w:r w:rsidRPr="00926158">
        <w:t>ihm</w:t>
      </w:r>
      <w:r w:rsidRPr="00926158">
        <w:rPr>
          <w:spacing w:val="-6"/>
        </w:rPr>
        <w:t xml:space="preserve"> </w:t>
      </w:r>
      <w:r w:rsidRPr="00926158">
        <w:t>Unterstellten zu sorgen. Vergleichbar dem betriebswirtschaftlichen Koalitionsmodell trägt die wechselseitige Verpflichtung dazu bei, Konflikte zu begrenzen und betriebliche Abläufe zu harmonisieren.</w:t>
      </w:r>
    </w:p>
    <w:p w14:paraId="33B159ED" w14:textId="77777777" w:rsidR="00FF7799" w:rsidRPr="00926158" w:rsidRDefault="00FF7799" w:rsidP="009B24C2">
      <w:pPr>
        <w:pStyle w:val="StandardText"/>
      </w:pPr>
    </w:p>
    <w:p w14:paraId="35D3B58F" w14:textId="77777777" w:rsidR="00FF7799" w:rsidRPr="00926158" w:rsidRDefault="00FF7799" w:rsidP="009B24C2">
      <w:pPr>
        <w:pStyle w:val="StandardTextkursiv"/>
        <w:rPr>
          <w:i w:val="0"/>
        </w:rPr>
      </w:pPr>
      <w:r w:rsidRPr="00926158">
        <w:rPr>
          <w:i w:val="0"/>
        </w:rPr>
        <w:t xml:space="preserve">4.3 Verpflichtungen gegenüber Fremden </w:t>
      </w:r>
    </w:p>
    <w:p w14:paraId="15E90E56" w14:textId="77777777" w:rsidR="00FF7799" w:rsidRPr="00E73F6F" w:rsidRDefault="00FF7799" w:rsidP="009B24C2">
      <w:pPr>
        <w:pStyle w:val="StandardText"/>
      </w:pPr>
      <w:r w:rsidRPr="00E73F6F">
        <w:t>Während das Christentum mit Nächstenliebe auch und gerade die Verpflichtung</w:t>
      </w:r>
      <w:r w:rsidRPr="00E73F6F">
        <w:rPr>
          <w:spacing w:val="-11"/>
        </w:rPr>
        <w:t xml:space="preserve"> </w:t>
      </w:r>
      <w:r w:rsidRPr="00E73F6F">
        <w:t>gegenüber</w:t>
      </w:r>
      <w:r w:rsidRPr="00E73F6F">
        <w:rPr>
          <w:spacing w:val="-10"/>
        </w:rPr>
        <w:t xml:space="preserve"> </w:t>
      </w:r>
      <w:r w:rsidRPr="00E73F6F">
        <w:t>Fremden</w:t>
      </w:r>
      <w:r w:rsidRPr="00E73F6F">
        <w:rPr>
          <w:spacing w:val="-6"/>
        </w:rPr>
        <w:t xml:space="preserve"> </w:t>
      </w:r>
      <w:r w:rsidRPr="00E73F6F">
        <w:t>meint,</w:t>
      </w:r>
      <w:r w:rsidRPr="00E73F6F">
        <w:rPr>
          <w:spacing w:val="-9"/>
        </w:rPr>
        <w:t xml:space="preserve"> </w:t>
      </w:r>
      <w:r w:rsidRPr="00E73F6F">
        <w:t>gilt</w:t>
      </w:r>
      <w:r w:rsidRPr="00E73F6F">
        <w:rPr>
          <w:spacing w:val="-10"/>
        </w:rPr>
        <w:t xml:space="preserve"> </w:t>
      </w:r>
      <w:r w:rsidRPr="00E73F6F">
        <w:t>die</w:t>
      </w:r>
      <w:r w:rsidRPr="00E73F6F">
        <w:rPr>
          <w:spacing w:val="-11"/>
        </w:rPr>
        <w:t xml:space="preserve"> </w:t>
      </w:r>
      <w:r w:rsidRPr="00E73F6F">
        <w:t>konfuzianische</w:t>
      </w:r>
      <w:r w:rsidRPr="00E73F6F">
        <w:rPr>
          <w:spacing w:val="-11"/>
        </w:rPr>
        <w:t xml:space="preserve"> </w:t>
      </w:r>
      <w:r w:rsidRPr="00E73F6F">
        <w:t>Moral</w:t>
      </w:r>
      <w:r w:rsidRPr="00E73F6F">
        <w:rPr>
          <w:spacing w:val="-10"/>
        </w:rPr>
        <w:t xml:space="preserve"> </w:t>
      </w:r>
      <w:r w:rsidRPr="00E73F6F">
        <w:t>nur</w:t>
      </w:r>
      <w:r w:rsidRPr="00E73F6F">
        <w:rPr>
          <w:spacing w:val="-10"/>
        </w:rPr>
        <w:t xml:space="preserve"> </w:t>
      </w:r>
      <w:r w:rsidRPr="00E73F6F">
        <w:t>für</w:t>
      </w:r>
      <w:r w:rsidRPr="00E73F6F">
        <w:rPr>
          <w:spacing w:val="-10"/>
        </w:rPr>
        <w:t xml:space="preserve"> </w:t>
      </w:r>
      <w:r w:rsidRPr="00E73F6F">
        <w:t>die Familie, „unter Ausschluss der restlichen Menschheit“ (Morley 1998, S.17). Die Beziehung zu Fremden zählt nicht zu den konfuzianischen Pflichtverhältnissen (vgl. Dülfer 1996, S.307). Dies erklärt, warum eine vor einigen Jahren durchgeführte Umfrage ergab, dass Japaner weniger als die Bewohner anderer Länder bereit sind, einem in Not geratenen Fremden zu helfen.</w:t>
      </w:r>
    </w:p>
    <w:p w14:paraId="28D7B57C" w14:textId="77777777" w:rsidR="00FF7799" w:rsidRPr="00E73F6F" w:rsidRDefault="00FF7799" w:rsidP="009B24C2">
      <w:pPr>
        <w:pStyle w:val="StandardText"/>
      </w:pPr>
    </w:p>
    <w:tbl>
      <w:tblPr>
        <w:tblStyle w:val="Tabellenraster"/>
        <w:tblW w:w="0" w:type="auto"/>
        <w:tblLook w:val="04A0" w:firstRow="1" w:lastRow="0" w:firstColumn="1" w:lastColumn="0" w:noHBand="0" w:noVBand="1"/>
      </w:tblPr>
      <w:tblGrid>
        <w:gridCol w:w="9062"/>
      </w:tblGrid>
      <w:tr w:rsidR="00FF7799" w:rsidRPr="00E73F6F" w14:paraId="203A430E" w14:textId="77777777" w:rsidTr="00926158">
        <w:tc>
          <w:tcPr>
            <w:tcW w:w="9062" w:type="dxa"/>
            <w:shd w:val="clear" w:color="auto" w:fill="DEEAF6" w:themeFill="accent1" w:themeFillTint="33"/>
          </w:tcPr>
          <w:p w14:paraId="765A3162" w14:textId="77777777" w:rsidR="00FF7799" w:rsidRPr="00E73F6F" w:rsidRDefault="00FF7799" w:rsidP="00B7512C">
            <w:pPr>
              <w:pStyle w:val="Standardklein"/>
              <w:spacing w:before="120"/>
              <w:jc w:val="center"/>
              <w:rPr>
                <w:b/>
              </w:rPr>
            </w:pPr>
            <w:r w:rsidRPr="00E73F6F">
              <w:rPr>
                <w:b/>
              </w:rPr>
              <w:t>Bergkameraden</w:t>
            </w:r>
          </w:p>
          <w:p w14:paraId="7D25668C" w14:textId="77777777" w:rsidR="00FF7799" w:rsidRPr="00E73F6F" w:rsidRDefault="00FF7799" w:rsidP="009B24C2">
            <w:pPr>
              <w:pStyle w:val="Standardklein"/>
            </w:pPr>
          </w:p>
          <w:p w14:paraId="1EDC0312" w14:textId="77777777" w:rsidR="00FF7799" w:rsidRPr="00E73F6F" w:rsidRDefault="00FF7799" w:rsidP="009B24C2">
            <w:pPr>
              <w:pStyle w:val="Standardklein"/>
            </w:pPr>
            <w:r w:rsidRPr="00E73F6F">
              <w:t>„Es war</w:t>
            </w:r>
            <w:r w:rsidRPr="00E73F6F">
              <w:rPr>
                <w:spacing w:val="-1"/>
              </w:rPr>
              <w:t xml:space="preserve"> </w:t>
            </w:r>
            <w:r w:rsidRPr="00E73F6F">
              <w:t>ein wirklich historischer Moment, der Angriff</w:t>
            </w:r>
            <w:r w:rsidRPr="00E73F6F">
              <w:rPr>
                <w:spacing w:val="-1"/>
              </w:rPr>
              <w:t xml:space="preserve"> </w:t>
            </w:r>
            <w:r w:rsidRPr="00E73F6F">
              <w:t>der Sachsen auf</w:t>
            </w:r>
            <w:r w:rsidRPr="00E73F6F">
              <w:rPr>
                <w:spacing w:val="-1"/>
              </w:rPr>
              <w:t xml:space="preserve"> </w:t>
            </w:r>
            <w:r w:rsidRPr="00E73F6F">
              <w:t>den Mount Everest.</w:t>
            </w:r>
            <w:r w:rsidRPr="00E73F6F">
              <w:rPr>
                <w:spacing w:val="40"/>
              </w:rPr>
              <w:t xml:space="preserve"> </w:t>
            </w:r>
            <w:r w:rsidRPr="00E73F6F">
              <w:t>Noch nie stand ein Sachse auf dem höchsten Gipfel der Erde. Jahrelang wurde geplant,</w:t>
            </w:r>
            <w:r w:rsidRPr="00E73F6F">
              <w:rPr>
                <w:spacing w:val="40"/>
              </w:rPr>
              <w:t xml:space="preserve"> </w:t>
            </w:r>
            <w:r w:rsidRPr="00E73F6F">
              <w:t>gespart,</w:t>
            </w:r>
            <w:r w:rsidRPr="00E73F6F">
              <w:rPr>
                <w:spacing w:val="-7"/>
              </w:rPr>
              <w:t xml:space="preserve"> </w:t>
            </w:r>
            <w:r w:rsidRPr="00E73F6F">
              <w:t>mit</w:t>
            </w:r>
            <w:r w:rsidRPr="00E73F6F">
              <w:rPr>
                <w:spacing w:val="-7"/>
              </w:rPr>
              <w:t xml:space="preserve"> </w:t>
            </w:r>
            <w:r w:rsidRPr="00E73F6F">
              <w:t>Fleiß</w:t>
            </w:r>
            <w:r w:rsidRPr="00E73F6F">
              <w:rPr>
                <w:spacing w:val="-8"/>
              </w:rPr>
              <w:t xml:space="preserve"> </w:t>
            </w:r>
            <w:r w:rsidRPr="00E73F6F">
              <w:t>und</w:t>
            </w:r>
            <w:r w:rsidRPr="00E73F6F">
              <w:rPr>
                <w:spacing w:val="-7"/>
              </w:rPr>
              <w:t xml:space="preserve"> </w:t>
            </w:r>
            <w:r w:rsidRPr="00E73F6F">
              <w:t>Schweiß</w:t>
            </w:r>
            <w:r w:rsidRPr="00E73F6F">
              <w:rPr>
                <w:spacing w:val="-8"/>
              </w:rPr>
              <w:t xml:space="preserve"> </w:t>
            </w:r>
            <w:r w:rsidRPr="00E73F6F">
              <w:t>gerackert.</w:t>
            </w:r>
            <w:r w:rsidRPr="00E73F6F">
              <w:rPr>
                <w:spacing w:val="-8"/>
              </w:rPr>
              <w:t xml:space="preserve"> </w:t>
            </w:r>
            <w:r w:rsidRPr="00E73F6F">
              <w:t>Mit</w:t>
            </w:r>
            <w:r w:rsidRPr="00E73F6F">
              <w:rPr>
                <w:spacing w:val="-8"/>
              </w:rPr>
              <w:t xml:space="preserve"> </w:t>
            </w:r>
            <w:r w:rsidRPr="00E73F6F">
              <w:t>voller</w:t>
            </w:r>
            <w:r w:rsidRPr="00E73F6F">
              <w:rPr>
                <w:spacing w:val="-7"/>
              </w:rPr>
              <w:t xml:space="preserve"> </w:t>
            </w:r>
            <w:r w:rsidRPr="00E73F6F">
              <w:t>Montur</w:t>
            </w:r>
            <w:r w:rsidRPr="00E73F6F">
              <w:rPr>
                <w:spacing w:val="-7"/>
              </w:rPr>
              <w:t xml:space="preserve"> </w:t>
            </w:r>
            <w:r w:rsidRPr="00E73F6F">
              <w:t>und</w:t>
            </w:r>
            <w:r w:rsidRPr="00E73F6F">
              <w:rPr>
                <w:spacing w:val="-7"/>
              </w:rPr>
              <w:t xml:space="preserve"> </w:t>
            </w:r>
            <w:r w:rsidRPr="00E73F6F">
              <w:t>schwer</w:t>
            </w:r>
            <w:r w:rsidRPr="00E73F6F">
              <w:rPr>
                <w:spacing w:val="-10"/>
              </w:rPr>
              <w:t xml:space="preserve"> </w:t>
            </w:r>
            <w:r w:rsidRPr="00E73F6F">
              <w:t>beladen,</w:t>
            </w:r>
            <w:r w:rsidRPr="00E73F6F">
              <w:rPr>
                <w:spacing w:val="-8"/>
              </w:rPr>
              <w:t xml:space="preserve"> </w:t>
            </w:r>
            <w:r w:rsidRPr="00E73F6F">
              <w:t>die Treppe</w:t>
            </w:r>
            <w:r w:rsidRPr="00E73F6F">
              <w:rPr>
                <w:spacing w:val="40"/>
              </w:rPr>
              <w:t xml:space="preserve"> </w:t>
            </w:r>
            <w:r w:rsidRPr="00E73F6F">
              <w:t>im Hochhaus rauf und runter bis zur Erschöpfung: Die Sachsen hielten wacker durch. Am</w:t>
            </w:r>
            <w:r w:rsidRPr="00E73F6F">
              <w:rPr>
                <w:spacing w:val="40"/>
              </w:rPr>
              <w:t xml:space="preserve"> </w:t>
            </w:r>
            <w:r w:rsidRPr="00E73F6F">
              <w:t>Ende hat es dennoch nichts genutzt. Im entscheidenden Augenblick, als es endlich so weit</w:t>
            </w:r>
            <w:r w:rsidRPr="00E73F6F">
              <w:rPr>
                <w:spacing w:val="40"/>
              </w:rPr>
              <w:t xml:space="preserve"> </w:t>
            </w:r>
            <w:r w:rsidRPr="00E73F6F">
              <w:t>war oder so weit hätte sein können, stießen sie auf indische Bergsteiger, die kurz vor dem</w:t>
            </w:r>
            <w:r w:rsidRPr="00E73F6F">
              <w:rPr>
                <w:spacing w:val="40"/>
              </w:rPr>
              <w:t xml:space="preserve"> </w:t>
            </w:r>
            <w:r w:rsidRPr="00E73F6F">
              <w:t>Gipfel in Not geraten waren. Ohne Zögern verzichteten die Sachsen auf die Erfüllung ihres</w:t>
            </w:r>
            <w:r w:rsidRPr="00E73F6F">
              <w:rPr>
                <w:spacing w:val="40"/>
              </w:rPr>
              <w:t xml:space="preserve"> </w:t>
            </w:r>
            <w:r w:rsidRPr="00E73F6F">
              <w:t>Traums, um den indischen Bergkameraden Hilfe zu leisten. Zufällig wurde dann im</w:t>
            </w:r>
            <w:r w:rsidRPr="00E73F6F">
              <w:rPr>
                <w:spacing w:val="40"/>
              </w:rPr>
              <w:t xml:space="preserve"> </w:t>
            </w:r>
            <w:r w:rsidRPr="00E73F6F">
              <w:t xml:space="preserve">Basislager bekannt, dass zur gleichen Zeit </w:t>
            </w:r>
            <w:r w:rsidRPr="00E73F6F">
              <w:lastRenderedPageBreak/>
              <w:t>eine japanische Seilschaft den Gipfel erreicht</w:t>
            </w:r>
            <w:r w:rsidRPr="00E73F6F">
              <w:rPr>
                <w:spacing w:val="40"/>
              </w:rPr>
              <w:t xml:space="preserve"> </w:t>
            </w:r>
            <w:r w:rsidRPr="00E73F6F">
              <w:t>hatte. Mit versteinerter Miene bestätigten die Japaner, dass auch sie auf die Inder gestoßen</w:t>
            </w:r>
            <w:r w:rsidRPr="00E73F6F">
              <w:rPr>
                <w:spacing w:val="40"/>
              </w:rPr>
              <w:t xml:space="preserve"> </w:t>
            </w:r>
            <w:r w:rsidRPr="00E73F6F">
              <w:t>seien. Deren Lage hätten sie jedoch als hoffnungslos eingeschätzt; auch seien die eigenen</w:t>
            </w:r>
            <w:r w:rsidRPr="00E73F6F">
              <w:rPr>
                <w:spacing w:val="40"/>
              </w:rPr>
              <w:t xml:space="preserve"> </w:t>
            </w:r>
            <w:r w:rsidRPr="00E73F6F">
              <w:t>Vorräte und Kräfte bereits so erschöpft gewesen, dass sie nur noch sich selber hätten retten</w:t>
            </w:r>
            <w:r w:rsidRPr="00E73F6F">
              <w:rPr>
                <w:spacing w:val="40"/>
              </w:rPr>
              <w:t xml:space="preserve"> </w:t>
            </w:r>
            <w:r w:rsidRPr="00E73F6F">
              <w:t>können, weshalb sie die Sterbenden ihrem Schicksal überlassen mussten“ (</w:t>
            </w:r>
            <w:r w:rsidRPr="00E73F6F">
              <w:rPr>
                <w:i/>
              </w:rPr>
              <w:t>Morley</w:t>
            </w:r>
            <w:r w:rsidRPr="00E73F6F">
              <w:t xml:space="preserve"> 1998,</w:t>
            </w:r>
            <w:r w:rsidRPr="00E73F6F">
              <w:rPr>
                <w:spacing w:val="40"/>
              </w:rPr>
              <w:t xml:space="preserve"> </w:t>
            </w:r>
            <w:r w:rsidRPr="00E73F6F">
              <w:t>S.17).</w:t>
            </w:r>
          </w:p>
          <w:p w14:paraId="796E86E7" w14:textId="77777777" w:rsidR="00FF7799" w:rsidRPr="00E73F6F" w:rsidRDefault="00FF7799" w:rsidP="009B24C2">
            <w:pPr>
              <w:pStyle w:val="Standardklein"/>
            </w:pPr>
          </w:p>
        </w:tc>
      </w:tr>
    </w:tbl>
    <w:p w14:paraId="762B42BB" w14:textId="77777777" w:rsidR="00FF7799" w:rsidRPr="00E73F6F" w:rsidRDefault="00FF7799" w:rsidP="009B24C2">
      <w:pPr>
        <w:pStyle w:val="StandardText"/>
      </w:pPr>
    </w:p>
    <w:p w14:paraId="74ABE72F" w14:textId="77777777" w:rsidR="00FF7799" w:rsidRPr="00E73F6F" w:rsidRDefault="00FF7799" w:rsidP="009B24C2">
      <w:pPr>
        <w:pStyle w:val="StandardText"/>
      </w:pPr>
      <w:r w:rsidRPr="00E73F6F">
        <w:t>Bedeutsam ist die „Nichtbeziehung zu Fremden“ in vielerlei Hinsicht. Einerseits erlaubt</w:t>
      </w:r>
      <w:r w:rsidRPr="00E73F6F">
        <w:rPr>
          <w:spacing w:val="-12"/>
        </w:rPr>
        <w:t xml:space="preserve"> </w:t>
      </w:r>
      <w:r w:rsidRPr="00E73F6F">
        <w:t>sie</w:t>
      </w:r>
      <w:r w:rsidRPr="00E73F6F">
        <w:rPr>
          <w:spacing w:val="-11"/>
        </w:rPr>
        <w:t xml:space="preserve"> </w:t>
      </w:r>
      <w:r w:rsidRPr="00E73F6F">
        <w:t>es</w:t>
      </w:r>
      <w:r w:rsidRPr="00E73F6F">
        <w:rPr>
          <w:spacing w:val="-11"/>
        </w:rPr>
        <w:t xml:space="preserve"> </w:t>
      </w:r>
      <w:r w:rsidRPr="00E73F6F">
        <w:t>konfuzianisch</w:t>
      </w:r>
      <w:r w:rsidRPr="00E73F6F">
        <w:rPr>
          <w:spacing w:val="-11"/>
        </w:rPr>
        <w:t xml:space="preserve"> </w:t>
      </w:r>
      <w:r w:rsidRPr="00E73F6F">
        <w:t>geschulten</w:t>
      </w:r>
      <w:r w:rsidRPr="00E73F6F">
        <w:rPr>
          <w:spacing w:val="-10"/>
        </w:rPr>
        <w:t xml:space="preserve"> </w:t>
      </w:r>
      <w:r w:rsidRPr="00E73F6F">
        <w:t>Managern,</w:t>
      </w:r>
      <w:r w:rsidRPr="00E73F6F">
        <w:rPr>
          <w:spacing w:val="-11"/>
        </w:rPr>
        <w:t xml:space="preserve"> </w:t>
      </w:r>
      <w:r w:rsidRPr="00E73F6F">
        <w:t>den</w:t>
      </w:r>
      <w:r w:rsidRPr="00E73F6F">
        <w:rPr>
          <w:spacing w:val="-12"/>
        </w:rPr>
        <w:t xml:space="preserve"> </w:t>
      </w:r>
      <w:r w:rsidRPr="00E73F6F">
        <w:t>ökonomischen</w:t>
      </w:r>
      <w:r w:rsidRPr="00E73F6F">
        <w:rPr>
          <w:spacing w:val="-9"/>
        </w:rPr>
        <w:t xml:space="preserve"> </w:t>
      </w:r>
      <w:r w:rsidRPr="00E73F6F">
        <w:t>Wettbewerb mit</w:t>
      </w:r>
      <w:r w:rsidRPr="00E73F6F">
        <w:rPr>
          <w:spacing w:val="-9"/>
        </w:rPr>
        <w:t xml:space="preserve"> </w:t>
      </w:r>
      <w:r w:rsidRPr="00E73F6F">
        <w:t>aller</w:t>
      </w:r>
      <w:r w:rsidRPr="00E73F6F">
        <w:rPr>
          <w:spacing w:val="-7"/>
        </w:rPr>
        <w:t xml:space="preserve"> </w:t>
      </w:r>
      <w:r w:rsidRPr="00E73F6F">
        <w:t>Härte</w:t>
      </w:r>
      <w:r w:rsidRPr="00E73F6F">
        <w:rPr>
          <w:spacing w:val="-8"/>
        </w:rPr>
        <w:t xml:space="preserve"> </w:t>
      </w:r>
      <w:r w:rsidRPr="00E73F6F">
        <w:t>zu</w:t>
      </w:r>
      <w:r w:rsidRPr="00E73F6F">
        <w:rPr>
          <w:spacing w:val="-6"/>
        </w:rPr>
        <w:t xml:space="preserve"> </w:t>
      </w:r>
      <w:r w:rsidRPr="00E73F6F">
        <w:t>führen</w:t>
      </w:r>
      <w:r w:rsidRPr="00E73F6F">
        <w:rPr>
          <w:spacing w:val="-8"/>
        </w:rPr>
        <w:t xml:space="preserve"> </w:t>
      </w:r>
      <w:r w:rsidRPr="00E73F6F">
        <w:t>(vgl.</w:t>
      </w:r>
      <w:r w:rsidRPr="00E73F6F">
        <w:rPr>
          <w:spacing w:val="-7"/>
        </w:rPr>
        <w:t xml:space="preserve"> </w:t>
      </w:r>
      <w:r w:rsidRPr="00E73F6F">
        <w:t>Dülfer</w:t>
      </w:r>
      <w:r w:rsidRPr="00E73F6F">
        <w:rPr>
          <w:spacing w:val="-7"/>
        </w:rPr>
        <w:t xml:space="preserve"> </w:t>
      </w:r>
      <w:r w:rsidRPr="00E73F6F">
        <w:t>1996,</w:t>
      </w:r>
      <w:r w:rsidRPr="00E73F6F">
        <w:rPr>
          <w:spacing w:val="-9"/>
        </w:rPr>
        <w:t xml:space="preserve"> </w:t>
      </w:r>
      <w:r w:rsidRPr="00E73F6F">
        <w:t>S.307).</w:t>
      </w:r>
      <w:r w:rsidRPr="00E73F6F">
        <w:rPr>
          <w:spacing w:val="-7"/>
        </w:rPr>
        <w:t xml:space="preserve"> </w:t>
      </w:r>
      <w:r w:rsidRPr="00E73F6F">
        <w:t>Andererseits</w:t>
      </w:r>
      <w:r w:rsidRPr="00E73F6F">
        <w:rPr>
          <w:spacing w:val="-7"/>
        </w:rPr>
        <w:t xml:space="preserve"> </w:t>
      </w:r>
      <w:r w:rsidRPr="00E73F6F">
        <w:t>zwingt</w:t>
      </w:r>
      <w:r w:rsidRPr="00E73F6F">
        <w:rPr>
          <w:spacing w:val="-9"/>
        </w:rPr>
        <w:t xml:space="preserve"> </w:t>
      </w:r>
      <w:r w:rsidRPr="00E73F6F">
        <w:t>gerade</w:t>
      </w:r>
      <w:r w:rsidRPr="00E73F6F">
        <w:rPr>
          <w:spacing w:val="-10"/>
        </w:rPr>
        <w:t xml:space="preserve"> </w:t>
      </w:r>
      <w:r w:rsidRPr="00E73F6F">
        <w:rPr>
          <w:spacing w:val="-5"/>
        </w:rPr>
        <w:t xml:space="preserve">die </w:t>
      </w:r>
      <w:r w:rsidRPr="00E73F6F">
        <w:t>zunehmende</w:t>
      </w:r>
      <w:r w:rsidRPr="00E73F6F">
        <w:rPr>
          <w:spacing w:val="-6"/>
        </w:rPr>
        <w:t xml:space="preserve"> </w:t>
      </w:r>
      <w:r w:rsidRPr="00E73F6F">
        <w:t>Wettbewerbsintensität</w:t>
      </w:r>
      <w:r w:rsidRPr="00E73F6F">
        <w:rPr>
          <w:spacing w:val="-3"/>
        </w:rPr>
        <w:t xml:space="preserve"> </w:t>
      </w:r>
      <w:r w:rsidRPr="00E73F6F">
        <w:t>zu</w:t>
      </w:r>
      <w:r w:rsidRPr="00E73F6F">
        <w:rPr>
          <w:spacing w:val="-3"/>
        </w:rPr>
        <w:t xml:space="preserve"> </w:t>
      </w:r>
      <w:r w:rsidRPr="00E73F6F">
        <w:t>Kooperation.</w:t>
      </w:r>
      <w:r w:rsidRPr="00E73F6F">
        <w:rPr>
          <w:spacing w:val="-1"/>
        </w:rPr>
        <w:t xml:space="preserve"> </w:t>
      </w:r>
      <w:r w:rsidRPr="00E73F6F">
        <w:t>Dies</w:t>
      </w:r>
      <w:r w:rsidRPr="00E73F6F">
        <w:rPr>
          <w:spacing w:val="-4"/>
        </w:rPr>
        <w:t xml:space="preserve"> </w:t>
      </w:r>
      <w:r w:rsidRPr="00E73F6F">
        <w:t>widerspricht</w:t>
      </w:r>
      <w:r w:rsidRPr="00E73F6F">
        <w:rPr>
          <w:spacing w:val="-3"/>
        </w:rPr>
        <w:t xml:space="preserve"> </w:t>
      </w:r>
      <w:r w:rsidRPr="00E73F6F">
        <w:t>jedoch</w:t>
      </w:r>
      <w:r w:rsidRPr="00E73F6F">
        <w:rPr>
          <w:spacing w:val="-5"/>
        </w:rPr>
        <w:t xml:space="preserve"> </w:t>
      </w:r>
      <w:r w:rsidRPr="00E73F6F">
        <w:t>der traditionellen</w:t>
      </w:r>
      <w:r w:rsidRPr="00E73F6F">
        <w:rPr>
          <w:spacing w:val="-7"/>
        </w:rPr>
        <w:t xml:space="preserve"> </w:t>
      </w:r>
      <w:r w:rsidRPr="00E73F6F">
        <w:t>Familienorientierung</w:t>
      </w:r>
      <w:r w:rsidRPr="00E73F6F">
        <w:rPr>
          <w:spacing w:val="-7"/>
        </w:rPr>
        <w:t xml:space="preserve"> </w:t>
      </w:r>
      <w:r w:rsidRPr="00E73F6F">
        <w:t>chinesischer</w:t>
      </w:r>
      <w:r w:rsidRPr="00E73F6F">
        <w:rPr>
          <w:spacing w:val="-7"/>
        </w:rPr>
        <w:t xml:space="preserve"> </w:t>
      </w:r>
      <w:r w:rsidRPr="00E73F6F">
        <w:t>Unternehmen</w:t>
      </w:r>
      <w:r w:rsidRPr="00E73F6F">
        <w:rPr>
          <w:spacing w:val="-7"/>
        </w:rPr>
        <w:t xml:space="preserve"> </w:t>
      </w:r>
      <w:r w:rsidRPr="00E73F6F">
        <w:t>und</w:t>
      </w:r>
      <w:r w:rsidRPr="00E73F6F">
        <w:rPr>
          <w:spacing w:val="-9"/>
        </w:rPr>
        <w:t xml:space="preserve"> </w:t>
      </w:r>
      <w:r w:rsidRPr="00E73F6F">
        <w:t>deren</w:t>
      </w:r>
      <w:r w:rsidRPr="00E73F6F">
        <w:rPr>
          <w:spacing w:val="-7"/>
        </w:rPr>
        <w:t xml:space="preserve"> </w:t>
      </w:r>
      <w:r w:rsidRPr="00E73F6F">
        <w:t>Tendenz zur Abschottung gegenüber Fremden. In ungenügender kultureller Offenheit wiederum</w:t>
      </w:r>
      <w:r w:rsidRPr="00E73F6F">
        <w:rPr>
          <w:spacing w:val="-2"/>
        </w:rPr>
        <w:t xml:space="preserve"> </w:t>
      </w:r>
      <w:r w:rsidRPr="00E73F6F">
        <w:t>sieht</w:t>
      </w:r>
      <w:r w:rsidRPr="00E73F6F">
        <w:rPr>
          <w:spacing w:val="-3"/>
        </w:rPr>
        <w:t xml:space="preserve"> </w:t>
      </w:r>
      <w:r w:rsidRPr="00E73F6F">
        <w:t>Morley</w:t>
      </w:r>
      <w:r w:rsidRPr="00E73F6F">
        <w:rPr>
          <w:spacing w:val="-2"/>
        </w:rPr>
        <w:t xml:space="preserve"> </w:t>
      </w:r>
      <w:r w:rsidRPr="00E73F6F">
        <w:t>(1998,</w:t>
      </w:r>
      <w:r w:rsidRPr="00E73F6F">
        <w:rPr>
          <w:spacing w:val="-2"/>
        </w:rPr>
        <w:t xml:space="preserve"> </w:t>
      </w:r>
      <w:r w:rsidRPr="00E73F6F">
        <w:t>S.17)</w:t>
      </w:r>
      <w:r w:rsidRPr="00E73F6F">
        <w:rPr>
          <w:spacing w:val="-3"/>
        </w:rPr>
        <w:t xml:space="preserve"> </w:t>
      </w:r>
      <w:r w:rsidRPr="00E73F6F">
        <w:t>eine</w:t>
      </w:r>
      <w:r w:rsidRPr="00E73F6F">
        <w:rPr>
          <w:spacing w:val="-4"/>
        </w:rPr>
        <w:t xml:space="preserve"> </w:t>
      </w:r>
      <w:r w:rsidRPr="00E73F6F">
        <w:t>der</w:t>
      </w:r>
      <w:r w:rsidRPr="00E73F6F">
        <w:rPr>
          <w:spacing w:val="-1"/>
        </w:rPr>
        <w:t xml:space="preserve"> </w:t>
      </w:r>
      <w:r w:rsidRPr="00E73F6F">
        <w:t>Ursachen,</w:t>
      </w:r>
      <w:r w:rsidRPr="00E73F6F">
        <w:rPr>
          <w:spacing w:val="-2"/>
        </w:rPr>
        <w:t xml:space="preserve"> </w:t>
      </w:r>
      <w:r w:rsidRPr="00E73F6F">
        <w:t>warum</w:t>
      </w:r>
      <w:r w:rsidRPr="00E73F6F">
        <w:rPr>
          <w:spacing w:val="-2"/>
        </w:rPr>
        <w:t xml:space="preserve"> </w:t>
      </w:r>
      <w:r w:rsidRPr="00E73F6F">
        <w:t>Japans</w:t>
      </w:r>
      <w:r w:rsidRPr="00E73F6F">
        <w:rPr>
          <w:spacing w:val="-1"/>
        </w:rPr>
        <w:t xml:space="preserve"> </w:t>
      </w:r>
      <w:r w:rsidRPr="00E73F6F">
        <w:t>Wirtschaft ausgangs</w:t>
      </w:r>
      <w:r w:rsidRPr="00E73F6F">
        <w:rPr>
          <w:spacing w:val="-12"/>
        </w:rPr>
        <w:t xml:space="preserve"> </w:t>
      </w:r>
      <w:r w:rsidRPr="00E73F6F">
        <w:t>des</w:t>
      </w:r>
      <w:r w:rsidRPr="00E73F6F">
        <w:rPr>
          <w:spacing w:val="-11"/>
        </w:rPr>
        <w:t xml:space="preserve"> </w:t>
      </w:r>
      <w:r w:rsidRPr="00E73F6F">
        <w:t>20.</w:t>
      </w:r>
      <w:r w:rsidRPr="00E73F6F">
        <w:rPr>
          <w:spacing w:val="-11"/>
        </w:rPr>
        <w:t xml:space="preserve"> </w:t>
      </w:r>
      <w:r w:rsidRPr="00E73F6F">
        <w:t>Jahrhundert</w:t>
      </w:r>
      <w:r w:rsidRPr="00E73F6F">
        <w:rPr>
          <w:spacing w:val="-11"/>
        </w:rPr>
        <w:t xml:space="preserve"> </w:t>
      </w:r>
      <w:r w:rsidRPr="00E73F6F">
        <w:t>in</w:t>
      </w:r>
      <w:r w:rsidRPr="00E73F6F">
        <w:rPr>
          <w:spacing w:val="-12"/>
        </w:rPr>
        <w:t xml:space="preserve"> </w:t>
      </w:r>
      <w:r w:rsidRPr="00E73F6F">
        <w:t>eine</w:t>
      </w:r>
      <w:r w:rsidRPr="00E73F6F">
        <w:rPr>
          <w:spacing w:val="-11"/>
        </w:rPr>
        <w:t xml:space="preserve"> </w:t>
      </w:r>
      <w:r w:rsidRPr="00E73F6F">
        <w:t>schwere</w:t>
      </w:r>
      <w:r w:rsidRPr="00E73F6F">
        <w:rPr>
          <w:spacing w:val="-11"/>
        </w:rPr>
        <w:t xml:space="preserve"> </w:t>
      </w:r>
      <w:r w:rsidRPr="00E73F6F">
        <w:t>Krise</w:t>
      </w:r>
      <w:r w:rsidRPr="00E73F6F">
        <w:rPr>
          <w:spacing w:val="-11"/>
        </w:rPr>
        <w:t xml:space="preserve"> </w:t>
      </w:r>
      <w:r w:rsidRPr="00E73F6F">
        <w:t>geriet.</w:t>
      </w:r>
      <w:r w:rsidRPr="00E73F6F">
        <w:rPr>
          <w:spacing w:val="-12"/>
        </w:rPr>
        <w:t xml:space="preserve"> </w:t>
      </w:r>
      <w:r w:rsidRPr="00E73F6F">
        <w:t>Wer</w:t>
      </w:r>
      <w:r w:rsidRPr="00E73F6F">
        <w:rPr>
          <w:spacing w:val="-11"/>
        </w:rPr>
        <w:t xml:space="preserve"> </w:t>
      </w:r>
      <w:r w:rsidRPr="00E73F6F">
        <w:t>–</w:t>
      </w:r>
      <w:r w:rsidRPr="00E73F6F">
        <w:rPr>
          <w:spacing w:val="-11"/>
        </w:rPr>
        <w:t xml:space="preserve"> </w:t>
      </w:r>
      <w:r w:rsidRPr="00E73F6F">
        <w:t>im</w:t>
      </w:r>
      <w:r w:rsidRPr="00E73F6F">
        <w:rPr>
          <w:spacing w:val="-11"/>
        </w:rPr>
        <w:t xml:space="preserve"> </w:t>
      </w:r>
      <w:r w:rsidRPr="00E73F6F">
        <w:t>ökonomischen Sinne – kooperieren möchte, muss dazu an die Öffentlichkeit – und damit unter Fremde – gehen.</w:t>
      </w:r>
    </w:p>
    <w:p w14:paraId="01D0DB9B" w14:textId="77777777" w:rsidR="00FF7799" w:rsidRPr="00E73F6F" w:rsidRDefault="00FF7799" w:rsidP="009B24C2">
      <w:pPr>
        <w:pStyle w:val="StandardText"/>
      </w:pPr>
      <w:r w:rsidRPr="00E73F6F">
        <w:t>Welche Mittel sind im ökonomischen Wettbewerb erlaubt? Zur List etwa hat der christliche</w:t>
      </w:r>
      <w:r w:rsidRPr="00E73F6F">
        <w:rPr>
          <w:spacing w:val="-12"/>
        </w:rPr>
        <w:t xml:space="preserve"> </w:t>
      </w:r>
      <w:r w:rsidRPr="00E73F6F">
        <w:t>Kulturkreis</w:t>
      </w:r>
      <w:r w:rsidRPr="00E73F6F">
        <w:rPr>
          <w:spacing w:val="-11"/>
        </w:rPr>
        <w:t xml:space="preserve"> </w:t>
      </w:r>
      <w:r w:rsidRPr="00E73F6F">
        <w:t>ein</w:t>
      </w:r>
      <w:r w:rsidRPr="00E73F6F">
        <w:rPr>
          <w:spacing w:val="-11"/>
        </w:rPr>
        <w:t xml:space="preserve"> </w:t>
      </w:r>
      <w:r w:rsidRPr="00E73F6F">
        <w:t>gebrochenes</w:t>
      </w:r>
      <w:r w:rsidRPr="00E73F6F">
        <w:rPr>
          <w:spacing w:val="-11"/>
        </w:rPr>
        <w:t xml:space="preserve"> </w:t>
      </w:r>
      <w:r w:rsidRPr="00E73F6F">
        <w:t>Verhältnis.</w:t>
      </w:r>
      <w:r w:rsidRPr="00E73F6F">
        <w:rPr>
          <w:spacing w:val="-12"/>
        </w:rPr>
        <w:t xml:space="preserve"> </w:t>
      </w:r>
      <w:r w:rsidRPr="00E73F6F">
        <w:t>Er</w:t>
      </w:r>
      <w:r w:rsidRPr="00E73F6F">
        <w:rPr>
          <w:spacing w:val="-11"/>
        </w:rPr>
        <w:t xml:space="preserve"> </w:t>
      </w:r>
      <w:r w:rsidRPr="00E73F6F">
        <w:t>deutet</w:t>
      </w:r>
      <w:r w:rsidRPr="00E73F6F">
        <w:rPr>
          <w:spacing w:val="-11"/>
        </w:rPr>
        <w:t xml:space="preserve"> </w:t>
      </w:r>
      <w:r w:rsidRPr="00E73F6F">
        <w:t>sie</w:t>
      </w:r>
      <w:r w:rsidRPr="00E73F6F">
        <w:rPr>
          <w:spacing w:val="-11"/>
        </w:rPr>
        <w:t xml:space="preserve"> </w:t>
      </w:r>
      <w:r w:rsidRPr="00E73F6F">
        <w:t>als</w:t>
      </w:r>
      <w:r w:rsidRPr="00E73F6F">
        <w:rPr>
          <w:spacing w:val="-12"/>
        </w:rPr>
        <w:t xml:space="preserve"> </w:t>
      </w:r>
      <w:r w:rsidRPr="00E73F6F">
        <w:t>Falschheit</w:t>
      </w:r>
      <w:r w:rsidRPr="00E73F6F">
        <w:rPr>
          <w:spacing w:val="-11"/>
        </w:rPr>
        <w:t xml:space="preserve"> </w:t>
      </w:r>
      <w:r w:rsidRPr="00E73F6F">
        <w:t>oder Doppelzüngigkeit. Ganz anders konfuzianisch geprägte Gesellschaften, welche darin seit jeher einen integralen Bestandteil der Weisheit erblicken.</w:t>
      </w:r>
    </w:p>
    <w:p w14:paraId="44858194" w14:textId="77777777" w:rsidR="00FF7799" w:rsidRPr="00E73F6F" w:rsidRDefault="00FF7799" w:rsidP="009B24C2">
      <w:pPr>
        <w:pStyle w:val="StandardText"/>
      </w:pPr>
    </w:p>
    <w:tbl>
      <w:tblPr>
        <w:tblStyle w:val="Tabellenraster"/>
        <w:tblW w:w="0" w:type="auto"/>
        <w:tblLook w:val="04A0" w:firstRow="1" w:lastRow="0" w:firstColumn="1" w:lastColumn="0" w:noHBand="0" w:noVBand="1"/>
      </w:tblPr>
      <w:tblGrid>
        <w:gridCol w:w="9062"/>
      </w:tblGrid>
      <w:tr w:rsidR="00FF7799" w:rsidRPr="00E73F6F" w14:paraId="3C46FF59" w14:textId="77777777" w:rsidTr="00926158">
        <w:tc>
          <w:tcPr>
            <w:tcW w:w="9062" w:type="dxa"/>
            <w:shd w:val="clear" w:color="auto" w:fill="DEEAF6" w:themeFill="accent1" w:themeFillTint="33"/>
          </w:tcPr>
          <w:p w14:paraId="50C8F46B" w14:textId="77777777" w:rsidR="00FF7799" w:rsidRPr="00E73F6F" w:rsidRDefault="00FF7799" w:rsidP="0097093C">
            <w:pPr>
              <w:pStyle w:val="Standardklein"/>
              <w:spacing w:before="120"/>
              <w:jc w:val="center"/>
              <w:rPr>
                <w:b/>
                <w:spacing w:val="-2"/>
              </w:rPr>
            </w:pPr>
            <w:r w:rsidRPr="00E73F6F">
              <w:rPr>
                <w:b/>
              </w:rPr>
              <w:t>Weisheit</w:t>
            </w:r>
            <w:r w:rsidRPr="00E73F6F">
              <w:rPr>
                <w:b/>
                <w:spacing w:val="-5"/>
              </w:rPr>
              <w:t xml:space="preserve"> </w:t>
            </w:r>
            <w:r w:rsidRPr="00E73F6F">
              <w:rPr>
                <w:b/>
              </w:rPr>
              <w:t>oder</w:t>
            </w:r>
            <w:r w:rsidRPr="00E73F6F">
              <w:rPr>
                <w:b/>
                <w:spacing w:val="-6"/>
              </w:rPr>
              <w:t xml:space="preserve"> </w:t>
            </w:r>
            <w:r w:rsidRPr="00E73F6F">
              <w:rPr>
                <w:b/>
              </w:rPr>
              <w:t>listige</w:t>
            </w:r>
            <w:r w:rsidRPr="00E73F6F">
              <w:rPr>
                <w:b/>
                <w:spacing w:val="-5"/>
              </w:rPr>
              <w:t xml:space="preserve"> </w:t>
            </w:r>
            <w:r w:rsidRPr="00E73F6F">
              <w:rPr>
                <w:b/>
                <w:spacing w:val="-2"/>
              </w:rPr>
              <w:t>Täuschung?</w:t>
            </w:r>
          </w:p>
          <w:p w14:paraId="48557BB2" w14:textId="77777777" w:rsidR="00FF7799" w:rsidRPr="00E73F6F" w:rsidRDefault="00FF7799" w:rsidP="0097093C">
            <w:pPr>
              <w:pStyle w:val="Standardklein"/>
              <w:jc w:val="center"/>
            </w:pPr>
          </w:p>
          <w:p w14:paraId="127738CE" w14:textId="77777777" w:rsidR="00FF7799" w:rsidRPr="00E73F6F" w:rsidRDefault="00FF7799" w:rsidP="009B24C2">
            <w:pPr>
              <w:pStyle w:val="Standardklein"/>
            </w:pPr>
            <w:r w:rsidRPr="00E73F6F">
              <w:t>Konfuzius, dem eines Tages der hohe Hausbeamte Yang Huo ein Schwein geschenkt hatte,</w:t>
            </w:r>
            <w:r w:rsidRPr="00E73F6F">
              <w:rPr>
                <w:spacing w:val="40"/>
              </w:rPr>
              <w:t xml:space="preserve"> </w:t>
            </w:r>
            <w:r w:rsidRPr="00E73F6F">
              <w:t>den fälligen Dankesbesuch bewusst auf einen Tag legte, von dem er wusste, dass sein</w:t>
            </w:r>
            <w:r w:rsidRPr="00E73F6F">
              <w:rPr>
                <w:spacing w:val="40"/>
              </w:rPr>
              <w:t xml:space="preserve"> </w:t>
            </w:r>
            <w:r w:rsidRPr="00E73F6F">
              <w:t>Wohltäter nicht zu Hause sein würde. Die List bestand in diesem Fall darin, die</w:t>
            </w:r>
            <w:r w:rsidRPr="00E73F6F">
              <w:rPr>
                <w:spacing w:val="40"/>
              </w:rPr>
              <w:t xml:space="preserve"> </w:t>
            </w:r>
            <w:r w:rsidRPr="00E73F6F">
              <w:t>Höflichkeitsnorm zu erfüllen,</w:t>
            </w:r>
            <w:r w:rsidRPr="00E73F6F">
              <w:rPr>
                <w:spacing w:val="-1"/>
              </w:rPr>
              <w:t xml:space="preserve"> </w:t>
            </w:r>
            <w:r w:rsidRPr="00E73F6F">
              <w:t>ohne sich</w:t>
            </w:r>
            <w:r w:rsidRPr="00E73F6F">
              <w:rPr>
                <w:spacing w:val="-1"/>
              </w:rPr>
              <w:t xml:space="preserve"> </w:t>
            </w:r>
            <w:r w:rsidRPr="00E73F6F">
              <w:t>dem</w:t>
            </w:r>
            <w:r w:rsidRPr="00E73F6F">
              <w:rPr>
                <w:spacing w:val="-2"/>
              </w:rPr>
              <w:t xml:space="preserve"> </w:t>
            </w:r>
            <w:r w:rsidRPr="00E73F6F">
              <w:t>Schenkenden</w:t>
            </w:r>
            <w:r w:rsidRPr="00E73F6F">
              <w:rPr>
                <w:spacing w:val="-1"/>
              </w:rPr>
              <w:t xml:space="preserve"> </w:t>
            </w:r>
            <w:r w:rsidRPr="00E73F6F">
              <w:t>zu</w:t>
            </w:r>
            <w:r w:rsidRPr="00E73F6F">
              <w:rPr>
                <w:spacing w:val="-1"/>
              </w:rPr>
              <w:t xml:space="preserve"> </w:t>
            </w:r>
            <w:r w:rsidRPr="00E73F6F">
              <w:t>verpflichten</w:t>
            </w:r>
            <w:r w:rsidRPr="00E73F6F">
              <w:rPr>
                <w:spacing w:val="-1"/>
              </w:rPr>
              <w:t xml:space="preserve"> </w:t>
            </w:r>
            <w:r w:rsidRPr="00E73F6F">
              <w:t>(wie es</w:t>
            </w:r>
            <w:r w:rsidRPr="00E73F6F">
              <w:rPr>
                <w:spacing w:val="-2"/>
              </w:rPr>
              <w:t xml:space="preserve"> </w:t>
            </w:r>
            <w:r w:rsidRPr="00E73F6F">
              <w:t>natürlich</w:t>
            </w:r>
            <w:r w:rsidRPr="00E73F6F">
              <w:rPr>
                <w:spacing w:val="40"/>
              </w:rPr>
              <w:t xml:space="preserve"> </w:t>
            </w:r>
            <w:r w:rsidRPr="00E73F6F">
              <w:t>dessen</w:t>
            </w:r>
            <w:r w:rsidRPr="00E73F6F">
              <w:rPr>
                <w:spacing w:val="-4"/>
              </w:rPr>
              <w:t xml:space="preserve"> </w:t>
            </w:r>
            <w:r w:rsidRPr="00E73F6F">
              <w:t>Absicht</w:t>
            </w:r>
            <w:r w:rsidRPr="00E73F6F">
              <w:rPr>
                <w:spacing w:val="-2"/>
              </w:rPr>
              <w:t xml:space="preserve"> </w:t>
            </w:r>
            <w:r w:rsidRPr="00E73F6F">
              <w:t>war).</w:t>
            </w:r>
            <w:r w:rsidRPr="00E73F6F">
              <w:rPr>
                <w:spacing w:val="-2"/>
              </w:rPr>
              <w:t xml:space="preserve"> </w:t>
            </w:r>
            <w:r w:rsidRPr="00E73F6F">
              <w:t>Das</w:t>
            </w:r>
            <w:r w:rsidRPr="00E73F6F">
              <w:rPr>
                <w:spacing w:val="-5"/>
              </w:rPr>
              <w:t xml:space="preserve"> </w:t>
            </w:r>
            <w:r w:rsidRPr="00E73F6F">
              <w:t>christliche</w:t>
            </w:r>
            <w:r w:rsidRPr="00E73F6F">
              <w:rPr>
                <w:spacing w:val="-5"/>
              </w:rPr>
              <w:t xml:space="preserve"> </w:t>
            </w:r>
            <w:r w:rsidRPr="00E73F6F">
              <w:t>Abendland</w:t>
            </w:r>
            <w:r w:rsidRPr="00E73F6F">
              <w:rPr>
                <w:spacing w:val="-6"/>
              </w:rPr>
              <w:t xml:space="preserve"> </w:t>
            </w:r>
            <w:r w:rsidRPr="00E73F6F">
              <w:t>hat</w:t>
            </w:r>
            <w:r w:rsidRPr="00E73F6F">
              <w:rPr>
                <w:spacing w:val="-4"/>
              </w:rPr>
              <w:t xml:space="preserve"> </w:t>
            </w:r>
            <w:r w:rsidRPr="00E73F6F">
              <w:t>listiges</w:t>
            </w:r>
            <w:r w:rsidRPr="00E73F6F">
              <w:rPr>
                <w:spacing w:val="-3"/>
              </w:rPr>
              <w:t xml:space="preserve"> </w:t>
            </w:r>
            <w:r w:rsidRPr="00E73F6F">
              <w:t>Handeln</w:t>
            </w:r>
            <w:r w:rsidRPr="00E73F6F">
              <w:rPr>
                <w:spacing w:val="-4"/>
              </w:rPr>
              <w:t xml:space="preserve"> </w:t>
            </w:r>
            <w:r w:rsidRPr="00E73F6F">
              <w:t>seit</w:t>
            </w:r>
            <w:r w:rsidRPr="00E73F6F">
              <w:rPr>
                <w:spacing w:val="-4"/>
              </w:rPr>
              <w:t xml:space="preserve"> </w:t>
            </w:r>
            <w:r w:rsidRPr="00E73F6F">
              <w:t>jeher mit</w:t>
            </w:r>
            <w:r w:rsidRPr="00E73F6F">
              <w:rPr>
                <w:spacing w:val="-4"/>
              </w:rPr>
              <w:t xml:space="preserve"> </w:t>
            </w:r>
            <w:r w:rsidRPr="00E73F6F">
              <w:t>„Lug</w:t>
            </w:r>
            <w:r w:rsidRPr="00E73F6F">
              <w:rPr>
                <w:spacing w:val="-6"/>
              </w:rPr>
              <w:t xml:space="preserve"> </w:t>
            </w:r>
            <w:r w:rsidRPr="00E73F6F">
              <w:t>und</w:t>
            </w:r>
            <w:r w:rsidRPr="00E73F6F">
              <w:rPr>
                <w:spacing w:val="40"/>
              </w:rPr>
              <w:t xml:space="preserve"> </w:t>
            </w:r>
            <w:r w:rsidRPr="00E73F6F">
              <w:t>Trug“ gleichgesetzt</w:t>
            </w:r>
            <w:r w:rsidRPr="00E73F6F">
              <w:rPr>
                <w:spacing w:val="-2"/>
              </w:rPr>
              <w:t xml:space="preserve"> </w:t>
            </w:r>
            <w:r w:rsidRPr="00E73F6F">
              <w:t>und als</w:t>
            </w:r>
            <w:r w:rsidRPr="00E73F6F">
              <w:rPr>
                <w:spacing w:val="-1"/>
              </w:rPr>
              <w:t xml:space="preserve"> </w:t>
            </w:r>
            <w:r w:rsidRPr="00E73F6F">
              <w:t>„Kampfmittel</w:t>
            </w:r>
            <w:r w:rsidRPr="00E73F6F">
              <w:rPr>
                <w:spacing w:val="-2"/>
              </w:rPr>
              <w:t xml:space="preserve"> </w:t>
            </w:r>
            <w:r w:rsidRPr="00E73F6F">
              <w:t>des</w:t>
            </w:r>
            <w:r w:rsidRPr="00E73F6F">
              <w:rPr>
                <w:spacing w:val="-1"/>
              </w:rPr>
              <w:t xml:space="preserve"> </w:t>
            </w:r>
            <w:r w:rsidRPr="00E73F6F">
              <w:t>Teufels“</w:t>
            </w:r>
            <w:r w:rsidRPr="00E73F6F">
              <w:rPr>
                <w:spacing w:val="-3"/>
              </w:rPr>
              <w:t xml:space="preserve"> </w:t>
            </w:r>
            <w:r w:rsidRPr="00E73F6F">
              <w:t>diffamiert. Insofern</w:t>
            </w:r>
            <w:r w:rsidRPr="00E73F6F">
              <w:rPr>
                <w:spacing w:val="-2"/>
              </w:rPr>
              <w:t xml:space="preserve"> </w:t>
            </w:r>
            <w:r w:rsidRPr="00E73F6F">
              <w:t>ist es</w:t>
            </w:r>
            <w:r w:rsidRPr="00E73F6F">
              <w:rPr>
                <w:spacing w:val="-1"/>
              </w:rPr>
              <w:t xml:space="preserve"> </w:t>
            </w:r>
            <w:r w:rsidRPr="00E73F6F">
              <w:t>im</w:t>
            </w:r>
            <w:r w:rsidRPr="00E73F6F">
              <w:rPr>
                <w:spacing w:val="-4"/>
              </w:rPr>
              <w:t xml:space="preserve"> </w:t>
            </w:r>
            <w:r w:rsidRPr="00E73F6F">
              <w:t>Kampf</w:t>
            </w:r>
            <w:r w:rsidRPr="00E73F6F">
              <w:rPr>
                <w:spacing w:val="40"/>
              </w:rPr>
              <w:t xml:space="preserve"> </w:t>
            </w:r>
            <w:r w:rsidRPr="00E73F6F">
              <w:t>mit</w:t>
            </w:r>
            <w:r w:rsidRPr="00E73F6F">
              <w:rPr>
                <w:spacing w:val="-6"/>
              </w:rPr>
              <w:t xml:space="preserve"> </w:t>
            </w:r>
            <w:r w:rsidRPr="00E73F6F">
              <w:t>anderen</w:t>
            </w:r>
            <w:r w:rsidRPr="00E73F6F">
              <w:rPr>
                <w:spacing w:val="-6"/>
              </w:rPr>
              <w:t xml:space="preserve"> </w:t>
            </w:r>
            <w:r w:rsidRPr="00E73F6F">
              <w:t>Kulturen</w:t>
            </w:r>
            <w:r w:rsidRPr="00E73F6F">
              <w:rPr>
                <w:spacing w:val="-6"/>
              </w:rPr>
              <w:t xml:space="preserve"> </w:t>
            </w:r>
            <w:r w:rsidRPr="00E73F6F">
              <w:t>–</w:t>
            </w:r>
            <w:r w:rsidRPr="00E73F6F">
              <w:rPr>
                <w:spacing w:val="-5"/>
              </w:rPr>
              <w:t xml:space="preserve"> </w:t>
            </w:r>
            <w:r w:rsidRPr="00E73F6F">
              <w:t>und</w:t>
            </w:r>
            <w:r w:rsidRPr="00E73F6F">
              <w:rPr>
                <w:spacing w:val="-5"/>
              </w:rPr>
              <w:t xml:space="preserve"> </w:t>
            </w:r>
            <w:r w:rsidRPr="00E73F6F">
              <w:t>sei</w:t>
            </w:r>
            <w:r w:rsidRPr="00E73F6F">
              <w:rPr>
                <w:spacing w:val="-6"/>
              </w:rPr>
              <w:t xml:space="preserve"> </w:t>
            </w:r>
            <w:r w:rsidRPr="00E73F6F">
              <w:t>es</w:t>
            </w:r>
            <w:r w:rsidRPr="00E73F6F">
              <w:rPr>
                <w:spacing w:val="-8"/>
              </w:rPr>
              <w:t xml:space="preserve"> </w:t>
            </w:r>
            <w:r w:rsidRPr="00E73F6F">
              <w:t>nur</w:t>
            </w:r>
            <w:r w:rsidRPr="00E73F6F">
              <w:rPr>
                <w:spacing w:val="-9"/>
              </w:rPr>
              <w:t xml:space="preserve"> </w:t>
            </w:r>
            <w:r w:rsidRPr="00E73F6F">
              <w:t>im</w:t>
            </w:r>
            <w:r w:rsidRPr="00E73F6F">
              <w:rPr>
                <w:spacing w:val="-7"/>
              </w:rPr>
              <w:t xml:space="preserve"> </w:t>
            </w:r>
            <w:r w:rsidRPr="00E73F6F">
              <w:t>ökonomischen</w:t>
            </w:r>
            <w:r w:rsidRPr="00E73F6F">
              <w:rPr>
                <w:spacing w:val="-5"/>
              </w:rPr>
              <w:t xml:space="preserve"> </w:t>
            </w:r>
            <w:r w:rsidRPr="00E73F6F">
              <w:t>Wettbewerb</w:t>
            </w:r>
            <w:r w:rsidRPr="00E73F6F">
              <w:rPr>
                <w:spacing w:val="-5"/>
              </w:rPr>
              <w:t xml:space="preserve"> </w:t>
            </w:r>
            <w:r w:rsidRPr="00E73F6F">
              <w:t>–</w:t>
            </w:r>
            <w:r w:rsidRPr="00E73F6F">
              <w:rPr>
                <w:spacing w:val="-5"/>
              </w:rPr>
              <w:t xml:space="preserve"> </w:t>
            </w:r>
            <w:r w:rsidRPr="00E73F6F">
              <w:t>im</w:t>
            </w:r>
            <w:r w:rsidRPr="00E73F6F">
              <w:rPr>
                <w:spacing w:val="-7"/>
              </w:rPr>
              <w:t xml:space="preserve"> </w:t>
            </w:r>
            <w:r w:rsidRPr="00E73F6F">
              <w:t>Nachteil</w:t>
            </w:r>
            <w:r w:rsidRPr="00E73F6F">
              <w:rPr>
                <w:spacing w:val="-6"/>
              </w:rPr>
              <w:t xml:space="preserve"> </w:t>
            </w:r>
            <w:r w:rsidRPr="00E73F6F">
              <w:t>(vgl.</w:t>
            </w:r>
            <w:r w:rsidRPr="00E73F6F">
              <w:rPr>
                <w:spacing w:val="-6"/>
              </w:rPr>
              <w:t xml:space="preserve"> </w:t>
            </w:r>
            <w:r w:rsidRPr="00E73F6F">
              <w:t>von</w:t>
            </w:r>
            <w:r w:rsidRPr="00E73F6F">
              <w:rPr>
                <w:spacing w:val="40"/>
              </w:rPr>
              <w:t xml:space="preserve"> </w:t>
            </w:r>
            <w:r w:rsidRPr="00E73F6F">
              <w:rPr>
                <w:i/>
              </w:rPr>
              <w:t>Senger</w:t>
            </w:r>
            <w:r w:rsidRPr="00E73F6F">
              <w:rPr>
                <w:spacing w:val="-5"/>
              </w:rPr>
              <w:t xml:space="preserve"> </w:t>
            </w:r>
            <w:r w:rsidRPr="00E73F6F">
              <w:t>2007).</w:t>
            </w:r>
          </w:p>
          <w:p w14:paraId="02CAE1D9" w14:textId="77777777" w:rsidR="00FF7799" w:rsidRPr="00E73F6F" w:rsidRDefault="00FF7799" w:rsidP="009B24C2">
            <w:pPr>
              <w:pStyle w:val="Standardklein"/>
            </w:pPr>
          </w:p>
        </w:tc>
      </w:tr>
    </w:tbl>
    <w:p w14:paraId="0ABED80C" w14:textId="77777777" w:rsidR="00FF7799" w:rsidRPr="00E73F6F" w:rsidRDefault="00FF7799" w:rsidP="009B24C2">
      <w:pPr>
        <w:pStyle w:val="StandardText"/>
      </w:pPr>
    </w:p>
    <w:p w14:paraId="5672FF41" w14:textId="77777777" w:rsidR="00FF7799" w:rsidRPr="00926158" w:rsidRDefault="00FF7799" w:rsidP="009B24C2">
      <w:pPr>
        <w:pStyle w:val="StandardText"/>
        <w:rPr>
          <w:spacing w:val="-2"/>
          <w:sz w:val="22"/>
          <w:szCs w:val="22"/>
        </w:rPr>
      </w:pPr>
      <w:r w:rsidRPr="00926158">
        <w:rPr>
          <w:b/>
          <w:i/>
          <w:sz w:val="22"/>
          <w:szCs w:val="22"/>
        </w:rPr>
        <w:t>Literatur</w:t>
      </w:r>
      <w:r w:rsidRPr="00926158">
        <w:rPr>
          <w:i/>
          <w:sz w:val="22"/>
          <w:szCs w:val="22"/>
        </w:rPr>
        <w:t>:</w:t>
      </w:r>
      <w:r w:rsidRPr="00926158">
        <w:rPr>
          <w:sz w:val="22"/>
          <w:szCs w:val="22"/>
        </w:rPr>
        <w:t xml:space="preserve"> Heilmann, S. (1997): Regierungssystem und politische Entwicklung,</w:t>
      </w:r>
      <w:r w:rsidRPr="00926158">
        <w:rPr>
          <w:spacing w:val="40"/>
          <w:sz w:val="22"/>
          <w:szCs w:val="22"/>
        </w:rPr>
        <w:t xml:space="preserve"> </w:t>
      </w:r>
      <w:r w:rsidRPr="00926158">
        <w:rPr>
          <w:sz w:val="22"/>
          <w:szCs w:val="22"/>
        </w:rPr>
        <w:t>Informationen zur politischen Bildung 198, Die Volksrepublik China, 41-51, Bonn:</w:t>
      </w:r>
      <w:r w:rsidRPr="00926158">
        <w:rPr>
          <w:spacing w:val="40"/>
          <w:sz w:val="22"/>
          <w:szCs w:val="22"/>
        </w:rPr>
        <w:t xml:space="preserve"> </w:t>
      </w:r>
      <w:r w:rsidRPr="00926158">
        <w:rPr>
          <w:sz w:val="22"/>
          <w:szCs w:val="22"/>
        </w:rPr>
        <w:t>Bundeszentrale für politische Bildung.</w:t>
      </w:r>
      <w:r w:rsidRPr="00926158">
        <w:rPr>
          <w:spacing w:val="40"/>
          <w:sz w:val="22"/>
          <w:szCs w:val="22"/>
        </w:rPr>
        <w:t xml:space="preserve"> </w:t>
      </w:r>
      <w:r w:rsidRPr="00926158">
        <w:rPr>
          <w:sz w:val="22"/>
          <w:szCs w:val="22"/>
        </w:rPr>
        <w:t>Lin, D. (1997): Konfuzianische Ethik und</w:t>
      </w:r>
      <w:r w:rsidRPr="00926158">
        <w:rPr>
          <w:spacing w:val="40"/>
          <w:sz w:val="22"/>
          <w:szCs w:val="22"/>
        </w:rPr>
        <w:t xml:space="preserve"> </w:t>
      </w:r>
      <w:r w:rsidRPr="00926158">
        <w:rPr>
          <w:sz w:val="22"/>
          <w:szCs w:val="22"/>
        </w:rPr>
        <w:t>Legitimation der Herrschaft im alten China, 2.Aufl., Berlin: Duncker &amp; Humblot.</w:t>
      </w:r>
      <w:r w:rsidRPr="00926158">
        <w:rPr>
          <w:spacing w:val="40"/>
          <w:sz w:val="22"/>
          <w:szCs w:val="22"/>
        </w:rPr>
        <w:t xml:space="preserve"> </w:t>
      </w:r>
      <w:r w:rsidRPr="00926158">
        <w:rPr>
          <w:sz w:val="22"/>
          <w:szCs w:val="22"/>
        </w:rPr>
        <w:t>Morley, J.D. (1998): Konfuzianische Konfusion, Süddeutsche Zeitung, 54(98): 17.</w:t>
      </w:r>
      <w:r w:rsidRPr="00926158">
        <w:rPr>
          <w:spacing w:val="40"/>
          <w:sz w:val="22"/>
          <w:szCs w:val="22"/>
        </w:rPr>
        <w:t xml:space="preserve"> </w:t>
      </w:r>
      <w:r w:rsidRPr="00926158">
        <w:rPr>
          <w:sz w:val="22"/>
          <w:szCs w:val="22"/>
        </w:rPr>
        <w:t>Reiter, F.C.</w:t>
      </w:r>
      <w:r w:rsidRPr="00926158">
        <w:rPr>
          <w:spacing w:val="40"/>
          <w:sz w:val="22"/>
          <w:szCs w:val="22"/>
        </w:rPr>
        <w:t xml:space="preserve"> </w:t>
      </w:r>
      <w:r w:rsidRPr="00926158">
        <w:rPr>
          <w:sz w:val="22"/>
          <w:szCs w:val="22"/>
        </w:rPr>
        <w:t>(2002): Religionen in China. Geschichte, Alltag, Kultur, München: CH Beck.</w:t>
      </w:r>
      <w:r w:rsidRPr="00926158">
        <w:rPr>
          <w:spacing w:val="40"/>
          <w:sz w:val="22"/>
          <w:szCs w:val="22"/>
        </w:rPr>
        <w:t xml:space="preserve"> </w:t>
      </w:r>
      <w:r w:rsidRPr="00926158">
        <w:rPr>
          <w:sz w:val="22"/>
          <w:szCs w:val="22"/>
        </w:rPr>
        <w:t>von</w:t>
      </w:r>
      <w:r w:rsidRPr="00926158">
        <w:rPr>
          <w:spacing w:val="40"/>
          <w:sz w:val="22"/>
          <w:szCs w:val="22"/>
        </w:rPr>
        <w:t xml:space="preserve"> </w:t>
      </w:r>
      <w:r w:rsidRPr="00926158">
        <w:rPr>
          <w:sz w:val="22"/>
          <w:szCs w:val="22"/>
        </w:rPr>
        <w:t>Glasenapp, H. (2011): Die fünf Weltreligionen. Hinduismus, Buddhismus, Chinesischer</w:t>
      </w:r>
      <w:r w:rsidRPr="00926158">
        <w:rPr>
          <w:spacing w:val="40"/>
          <w:sz w:val="22"/>
          <w:szCs w:val="22"/>
        </w:rPr>
        <w:t xml:space="preserve"> </w:t>
      </w:r>
      <w:r w:rsidRPr="00926158">
        <w:rPr>
          <w:sz w:val="22"/>
          <w:szCs w:val="22"/>
        </w:rPr>
        <w:t>Universismus, Christentum, Islam, 5.Aufl., München: Diederichs.</w:t>
      </w:r>
      <w:r w:rsidRPr="00926158">
        <w:rPr>
          <w:spacing w:val="40"/>
          <w:sz w:val="22"/>
          <w:szCs w:val="22"/>
        </w:rPr>
        <w:t xml:space="preserve"> </w:t>
      </w:r>
      <w:r w:rsidRPr="00926158">
        <w:rPr>
          <w:sz w:val="22"/>
          <w:szCs w:val="22"/>
        </w:rPr>
        <w:t>von Senger, H. (2007):</w:t>
      </w:r>
      <w:r w:rsidRPr="00926158">
        <w:rPr>
          <w:spacing w:val="40"/>
          <w:sz w:val="22"/>
          <w:szCs w:val="22"/>
        </w:rPr>
        <w:t xml:space="preserve"> </w:t>
      </w:r>
      <w:r w:rsidRPr="00926158">
        <w:rPr>
          <w:sz w:val="22"/>
          <w:szCs w:val="22"/>
        </w:rPr>
        <w:t>Die Kunst der List. Strategeme durchschauen und anwenden, 5.Aufl., München: Beck.</w:t>
      </w:r>
      <w:r w:rsidRPr="00926158">
        <w:rPr>
          <w:spacing w:val="40"/>
          <w:sz w:val="22"/>
          <w:szCs w:val="22"/>
        </w:rPr>
        <w:t xml:space="preserve"> </w:t>
      </w:r>
      <w:r w:rsidRPr="00926158">
        <w:rPr>
          <w:sz w:val="22"/>
          <w:szCs w:val="22"/>
        </w:rPr>
        <w:t>Wickert, E. (1982): Die Chinesen und die Scham, Die Zeit, 37(10): 16.</w:t>
      </w:r>
      <w:r w:rsidRPr="00926158">
        <w:rPr>
          <w:spacing w:val="40"/>
          <w:sz w:val="22"/>
          <w:szCs w:val="22"/>
        </w:rPr>
        <w:t xml:space="preserve"> </w:t>
      </w:r>
      <w:r w:rsidRPr="00926158">
        <w:rPr>
          <w:sz w:val="22"/>
          <w:szCs w:val="22"/>
        </w:rPr>
        <w:t>Zinsius, B. (1996):</w:t>
      </w:r>
      <w:r w:rsidRPr="00926158">
        <w:rPr>
          <w:spacing w:val="40"/>
          <w:sz w:val="22"/>
          <w:szCs w:val="22"/>
        </w:rPr>
        <w:t xml:space="preserve"> </w:t>
      </w:r>
      <w:r w:rsidRPr="00926158">
        <w:rPr>
          <w:sz w:val="22"/>
          <w:szCs w:val="22"/>
        </w:rPr>
        <w:t>Der</w:t>
      </w:r>
      <w:r w:rsidRPr="00926158">
        <w:rPr>
          <w:spacing w:val="-3"/>
          <w:sz w:val="22"/>
          <w:szCs w:val="22"/>
        </w:rPr>
        <w:t xml:space="preserve"> </w:t>
      </w:r>
      <w:r w:rsidRPr="00926158">
        <w:rPr>
          <w:sz w:val="22"/>
          <w:szCs w:val="22"/>
        </w:rPr>
        <w:t>Schlüssel</w:t>
      </w:r>
      <w:r w:rsidRPr="00926158">
        <w:rPr>
          <w:spacing w:val="-3"/>
          <w:sz w:val="22"/>
          <w:szCs w:val="22"/>
        </w:rPr>
        <w:t xml:space="preserve"> </w:t>
      </w:r>
      <w:r w:rsidRPr="00926158">
        <w:rPr>
          <w:sz w:val="22"/>
          <w:szCs w:val="22"/>
        </w:rPr>
        <w:t>zum</w:t>
      </w:r>
      <w:r w:rsidRPr="00926158">
        <w:rPr>
          <w:spacing w:val="-2"/>
          <w:sz w:val="22"/>
          <w:szCs w:val="22"/>
        </w:rPr>
        <w:t xml:space="preserve"> </w:t>
      </w:r>
      <w:r w:rsidRPr="00926158">
        <w:rPr>
          <w:sz w:val="22"/>
          <w:szCs w:val="22"/>
        </w:rPr>
        <w:t>chinesischen</w:t>
      </w:r>
      <w:r w:rsidRPr="00926158">
        <w:rPr>
          <w:spacing w:val="-3"/>
          <w:sz w:val="22"/>
          <w:szCs w:val="22"/>
        </w:rPr>
        <w:t xml:space="preserve"> </w:t>
      </w:r>
      <w:r w:rsidRPr="00926158">
        <w:rPr>
          <w:sz w:val="22"/>
          <w:szCs w:val="22"/>
        </w:rPr>
        <w:t>Markt.</w:t>
      </w:r>
      <w:r w:rsidRPr="00926158">
        <w:rPr>
          <w:spacing w:val="-1"/>
          <w:sz w:val="22"/>
          <w:szCs w:val="22"/>
        </w:rPr>
        <w:t xml:space="preserve"> </w:t>
      </w:r>
      <w:r w:rsidRPr="00926158">
        <w:rPr>
          <w:sz w:val="22"/>
          <w:szCs w:val="22"/>
        </w:rPr>
        <w:t>Mentalität</w:t>
      </w:r>
      <w:r w:rsidRPr="00926158">
        <w:rPr>
          <w:spacing w:val="-3"/>
          <w:sz w:val="22"/>
          <w:szCs w:val="22"/>
        </w:rPr>
        <w:t xml:space="preserve"> </w:t>
      </w:r>
      <w:r w:rsidRPr="00926158">
        <w:rPr>
          <w:sz w:val="22"/>
          <w:szCs w:val="22"/>
        </w:rPr>
        <w:t>und</w:t>
      </w:r>
      <w:r w:rsidRPr="00926158">
        <w:rPr>
          <w:spacing w:val="-3"/>
          <w:sz w:val="22"/>
          <w:szCs w:val="22"/>
        </w:rPr>
        <w:t xml:space="preserve"> </w:t>
      </w:r>
      <w:r w:rsidRPr="00926158">
        <w:rPr>
          <w:sz w:val="22"/>
          <w:szCs w:val="22"/>
        </w:rPr>
        <w:t>Kultur</w:t>
      </w:r>
      <w:r w:rsidRPr="00926158">
        <w:rPr>
          <w:spacing w:val="-5"/>
          <w:sz w:val="22"/>
          <w:szCs w:val="22"/>
        </w:rPr>
        <w:t xml:space="preserve"> </w:t>
      </w:r>
      <w:r w:rsidRPr="00926158">
        <w:rPr>
          <w:sz w:val="22"/>
          <w:szCs w:val="22"/>
        </w:rPr>
        <w:t>verstehen</w:t>
      </w:r>
      <w:r w:rsidRPr="00926158">
        <w:rPr>
          <w:spacing w:val="-1"/>
          <w:sz w:val="22"/>
          <w:szCs w:val="22"/>
        </w:rPr>
        <w:t xml:space="preserve"> </w:t>
      </w:r>
      <w:r w:rsidRPr="00926158">
        <w:rPr>
          <w:sz w:val="22"/>
          <w:szCs w:val="22"/>
        </w:rPr>
        <w:t>lernen,</w:t>
      </w:r>
      <w:r w:rsidRPr="00926158">
        <w:rPr>
          <w:spacing w:val="-1"/>
          <w:sz w:val="22"/>
          <w:szCs w:val="22"/>
        </w:rPr>
        <w:t xml:space="preserve"> </w:t>
      </w:r>
      <w:r w:rsidRPr="00926158">
        <w:rPr>
          <w:sz w:val="22"/>
          <w:szCs w:val="22"/>
        </w:rPr>
        <w:t>Wiesbaden:</w:t>
      </w:r>
      <w:r w:rsidRPr="00926158">
        <w:rPr>
          <w:spacing w:val="40"/>
          <w:sz w:val="22"/>
          <w:szCs w:val="22"/>
        </w:rPr>
        <w:t xml:space="preserve"> </w:t>
      </w:r>
      <w:r w:rsidRPr="00926158">
        <w:rPr>
          <w:spacing w:val="-2"/>
          <w:sz w:val="22"/>
          <w:szCs w:val="22"/>
        </w:rPr>
        <w:t>Gabler.</w:t>
      </w:r>
    </w:p>
    <w:p w14:paraId="14B7319D" w14:textId="77777777" w:rsidR="00FF7799" w:rsidRPr="00E73F6F" w:rsidRDefault="00FF7799" w:rsidP="00502AEA">
      <w:pPr>
        <w:pStyle w:val="berschrift1"/>
      </w:pPr>
      <w:r w:rsidRPr="0097093C">
        <w:rPr>
          <w:bCs w:val="0"/>
          <w:color w:val="2E74B5"/>
          <w:sz w:val="22"/>
        </w:rPr>
        <w:t>Konsens- vs. Mehrheitsprinzip</w:t>
      </w:r>
      <w:r w:rsidRPr="00E73F6F">
        <w:rPr>
          <w:iCs/>
          <w:noProof/>
          <w:lang w:eastAsia="de-DE"/>
        </w:rPr>
        <w:t xml:space="preserve"> </w:t>
      </w:r>
      <w:r w:rsidRPr="00E73F6F">
        <w:rPr>
          <w:b w:val="0"/>
          <w:iCs/>
          <w:noProof/>
          <w:lang w:eastAsia="de-DE"/>
        </w:rPr>
        <w:t xml:space="preserve">→ </w:t>
      </w:r>
      <w:r w:rsidRPr="00E73F6F">
        <w:rPr>
          <w:b w:val="0"/>
        </w:rPr>
        <w:t>Entscheidungsfindung von Gruppen</w:t>
      </w:r>
      <w:r w:rsidRPr="00E73F6F">
        <w:t xml:space="preserve"> </w:t>
      </w:r>
    </w:p>
    <w:p w14:paraId="52F71512" w14:textId="77777777" w:rsidR="00FF7799" w:rsidRPr="00926158" w:rsidRDefault="00FF7799" w:rsidP="00260649">
      <w:pPr>
        <w:pStyle w:val="berschrift1"/>
        <w:rPr>
          <w:b w:val="0"/>
        </w:rPr>
      </w:pPr>
      <w:r w:rsidRPr="00B7512C">
        <w:rPr>
          <w:bCs w:val="0"/>
          <w:color w:val="2E74B5"/>
          <w:sz w:val="22"/>
        </w:rPr>
        <w:t>Konservatismus</w:t>
      </w:r>
      <w:r w:rsidRPr="00E73F6F">
        <w:rPr>
          <w:spacing w:val="-5"/>
        </w:rPr>
        <w:t xml:space="preserve"> </w:t>
      </w:r>
      <w:r w:rsidRPr="00926158">
        <w:rPr>
          <w:b w:val="0"/>
        </w:rPr>
        <w:t>→</w:t>
      </w:r>
      <w:r w:rsidRPr="00926158">
        <w:rPr>
          <w:b w:val="0"/>
          <w:spacing w:val="-3"/>
        </w:rPr>
        <w:t xml:space="preserve"> </w:t>
      </w:r>
      <w:r w:rsidRPr="00926158">
        <w:rPr>
          <w:b w:val="0"/>
        </w:rPr>
        <w:t>Kulturdimensionen nach Schwartz</w:t>
      </w:r>
    </w:p>
    <w:p w14:paraId="6BF046DA" w14:textId="77777777" w:rsidR="00FF7799" w:rsidRPr="00B7512C" w:rsidRDefault="00FF7799" w:rsidP="00502AEA">
      <w:pPr>
        <w:pStyle w:val="berschrift1"/>
        <w:rPr>
          <w:bCs w:val="0"/>
          <w:color w:val="2E74B5"/>
          <w:sz w:val="22"/>
        </w:rPr>
      </w:pPr>
      <w:r w:rsidRPr="00B7512C">
        <w:rPr>
          <w:bCs w:val="0"/>
          <w:color w:val="2E74B5"/>
          <w:sz w:val="22"/>
        </w:rPr>
        <w:t>Konstrukt</w:t>
      </w:r>
    </w:p>
    <w:p w14:paraId="7BDB07F0" w14:textId="77777777" w:rsidR="00FF7799" w:rsidRDefault="00FF7799" w:rsidP="009B24C2">
      <w:pPr>
        <w:pStyle w:val="StandardText"/>
      </w:pPr>
      <w:r w:rsidRPr="00E73F6F">
        <w:t>abstrakter theoretischer Begriff, welcher im Rahmen der Wissenschaftssprache einer bestimmten Disziplin der Verständigung von Wissenschaftlern dient (z.B. Ethnozentrismus). Unter Operationalisierung versteht man eine Anweisung, wie ein</w:t>
      </w:r>
      <w:r w:rsidRPr="00E73F6F">
        <w:rPr>
          <w:spacing w:val="-12"/>
        </w:rPr>
        <w:t xml:space="preserve"> </w:t>
      </w:r>
      <w:r w:rsidRPr="00E73F6F">
        <w:t>theoretisches</w:t>
      </w:r>
      <w:r w:rsidRPr="00E73F6F">
        <w:rPr>
          <w:spacing w:val="-11"/>
        </w:rPr>
        <w:t xml:space="preserve"> </w:t>
      </w:r>
      <w:r w:rsidRPr="00E73F6F">
        <w:t>Konstrukt</w:t>
      </w:r>
      <w:r w:rsidRPr="00E73F6F">
        <w:rPr>
          <w:spacing w:val="-11"/>
        </w:rPr>
        <w:t xml:space="preserve"> </w:t>
      </w:r>
      <w:r w:rsidRPr="00E73F6F">
        <w:t>in</w:t>
      </w:r>
      <w:r w:rsidRPr="00E73F6F">
        <w:rPr>
          <w:spacing w:val="-11"/>
        </w:rPr>
        <w:t xml:space="preserve"> </w:t>
      </w:r>
      <w:r w:rsidRPr="00E73F6F">
        <w:t>eine</w:t>
      </w:r>
      <w:r w:rsidRPr="00E73F6F">
        <w:rPr>
          <w:spacing w:val="-12"/>
        </w:rPr>
        <w:t xml:space="preserve"> </w:t>
      </w:r>
      <w:r w:rsidRPr="00E73F6F">
        <w:t>messbare</w:t>
      </w:r>
      <w:r w:rsidRPr="00E73F6F">
        <w:rPr>
          <w:spacing w:val="-11"/>
        </w:rPr>
        <w:t xml:space="preserve"> </w:t>
      </w:r>
      <w:r w:rsidR="009D4722">
        <w:sym w:font="Symbol" w:char="F0DE"/>
      </w:r>
      <w:r w:rsidR="009D4722">
        <w:t xml:space="preserve"> </w:t>
      </w:r>
      <w:r w:rsidRPr="00E73F6F">
        <w:t>Variable</w:t>
      </w:r>
      <w:r w:rsidRPr="00E73F6F">
        <w:rPr>
          <w:spacing w:val="-11"/>
        </w:rPr>
        <w:t xml:space="preserve"> </w:t>
      </w:r>
      <w:r w:rsidRPr="00E73F6F">
        <w:t>überführt</w:t>
      </w:r>
      <w:r w:rsidRPr="00E73F6F">
        <w:rPr>
          <w:spacing w:val="-11"/>
        </w:rPr>
        <w:t xml:space="preserve"> </w:t>
      </w:r>
      <w:r w:rsidRPr="00E73F6F">
        <w:t>wird.</w:t>
      </w:r>
      <w:r w:rsidRPr="00E73F6F">
        <w:rPr>
          <w:spacing w:val="-12"/>
        </w:rPr>
        <w:t xml:space="preserve"> </w:t>
      </w:r>
      <w:r w:rsidRPr="00E73F6F">
        <w:t xml:space="preserve">Aufgrund des Problems der konzeptionellen Äquivalenz </w:t>
      </w:r>
      <w:r w:rsidRPr="00E73F6F">
        <w:lastRenderedPageBreak/>
        <w:t>(d.h. Gleichwertigkeit bzw. Gleichartigkeit) ist Operationalisierung für die internationale bzw. interkulturelle Marktforschung eine noch bedeutsamere Aufgabe als für die nat</w:t>
      </w:r>
      <w:r w:rsidR="009D4722">
        <w:t xml:space="preserve">ionale Marktforschung und die </w:t>
      </w:r>
      <w:r w:rsidR="009D4722">
        <w:sym w:font="Symbol" w:char="F0DE"/>
      </w:r>
      <w:r w:rsidR="009D4722">
        <w:t xml:space="preserve"> </w:t>
      </w:r>
      <w:r w:rsidRPr="00E73F6F">
        <w:t>Auslandsmarktforschung. Denn formal identische Konstrukte können sich in unterschiedlichen Kulturen auf verschiedene Art und Weise</w:t>
      </w:r>
      <w:r w:rsidRPr="00E73F6F">
        <w:rPr>
          <w:spacing w:val="-10"/>
        </w:rPr>
        <w:t xml:space="preserve"> </w:t>
      </w:r>
      <w:r w:rsidRPr="00E73F6F">
        <w:t>äußern.</w:t>
      </w:r>
      <w:r w:rsidRPr="00E73F6F">
        <w:rPr>
          <w:spacing w:val="-8"/>
        </w:rPr>
        <w:t xml:space="preserve"> </w:t>
      </w:r>
      <w:r w:rsidRPr="00E73F6F">
        <w:t>Wer</w:t>
      </w:r>
      <w:r w:rsidRPr="00E73F6F">
        <w:rPr>
          <w:spacing w:val="-11"/>
        </w:rPr>
        <w:t xml:space="preserve"> </w:t>
      </w:r>
      <w:r w:rsidRPr="00E73F6F">
        <w:t>etwa</w:t>
      </w:r>
      <w:r w:rsidRPr="00E73F6F">
        <w:rPr>
          <w:spacing w:val="-10"/>
        </w:rPr>
        <w:t xml:space="preserve"> </w:t>
      </w:r>
      <w:r w:rsidRPr="00E73F6F">
        <w:t>vergleichend</w:t>
      </w:r>
      <w:r w:rsidRPr="00E73F6F">
        <w:rPr>
          <w:spacing w:val="-9"/>
        </w:rPr>
        <w:t xml:space="preserve"> </w:t>
      </w:r>
      <w:r w:rsidRPr="00E73F6F">
        <w:t>untersuchen</w:t>
      </w:r>
      <w:r w:rsidRPr="00E73F6F">
        <w:rPr>
          <w:spacing w:val="-10"/>
        </w:rPr>
        <w:t xml:space="preserve"> </w:t>
      </w:r>
      <w:r w:rsidRPr="00E73F6F">
        <w:t>will,</w:t>
      </w:r>
      <w:r w:rsidRPr="00E73F6F">
        <w:rPr>
          <w:spacing w:val="-10"/>
        </w:rPr>
        <w:t xml:space="preserve"> </w:t>
      </w:r>
      <w:r w:rsidRPr="00E73F6F">
        <w:t>welche</w:t>
      </w:r>
      <w:r w:rsidRPr="00E73F6F">
        <w:rPr>
          <w:spacing w:val="-10"/>
        </w:rPr>
        <w:t xml:space="preserve"> </w:t>
      </w:r>
      <w:r w:rsidRPr="00E73F6F">
        <w:t>Wertschätzung</w:t>
      </w:r>
      <w:r w:rsidRPr="00E73F6F">
        <w:rPr>
          <w:spacing w:val="-9"/>
        </w:rPr>
        <w:t xml:space="preserve"> </w:t>
      </w:r>
      <w:r w:rsidRPr="00E73F6F">
        <w:rPr>
          <w:spacing w:val="-5"/>
        </w:rPr>
        <w:t>die</w:t>
      </w:r>
      <w:r w:rsidRPr="00E73F6F">
        <w:t xml:space="preserve"> „Sauberkeit“ in unterschiedlichen Ländermärkten erfährt, wird höchst divergierende</w:t>
      </w:r>
      <w:r w:rsidRPr="00E73F6F">
        <w:rPr>
          <w:spacing w:val="30"/>
        </w:rPr>
        <w:t xml:space="preserve"> </w:t>
      </w:r>
      <w:r w:rsidRPr="00E73F6F">
        <w:t>Ergebnisse</w:t>
      </w:r>
      <w:r w:rsidRPr="00E73F6F">
        <w:rPr>
          <w:spacing w:val="31"/>
        </w:rPr>
        <w:t xml:space="preserve"> </w:t>
      </w:r>
      <w:r w:rsidRPr="00E73F6F">
        <w:t>erzielen,</w:t>
      </w:r>
      <w:r w:rsidRPr="00E73F6F">
        <w:rPr>
          <w:spacing w:val="31"/>
        </w:rPr>
        <w:t xml:space="preserve"> </w:t>
      </w:r>
      <w:r w:rsidRPr="00E73F6F">
        <w:t>je</w:t>
      </w:r>
      <w:r w:rsidRPr="00E73F6F">
        <w:rPr>
          <w:spacing w:val="32"/>
        </w:rPr>
        <w:t xml:space="preserve"> </w:t>
      </w:r>
      <w:r w:rsidRPr="00E73F6F">
        <w:t>nachdem,</w:t>
      </w:r>
      <w:r w:rsidRPr="00E73F6F">
        <w:rPr>
          <w:spacing w:val="31"/>
        </w:rPr>
        <w:t xml:space="preserve"> </w:t>
      </w:r>
      <w:r w:rsidRPr="00E73F6F">
        <w:t>ob</w:t>
      </w:r>
      <w:r w:rsidRPr="00E73F6F">
        <w:rPr>
          <w:spacing w:val="32"/>
        </w:rPr>
        <w:t xml:space="preserve"> </w:t>
      </w:r>
      <w:r w:rsidRPr="00E73F6F">
        <w:t>er</w:t>
      </w:r>
      <w:r w:rsidRPr="00E73F6F">
        <w:rPr>
          <w:spacing w:val="31"/>
        </w:rPr>
        <w:t xml:space="preserve"> </w:t>
      </w:r>
      <w:r w:rsidRPr="00E73F6F">
        <w:t>„Sauberkeit“</w:t>
      </w:r>
      <w:r w:rsidRPr="00E73F6F">
        <w:rPr>
          <w:spacing w:val="31"/>
        </w:rPr>
        <w:t xml:space="preserve"> </w:t>
      </w:r>
      <w:r w:rsidRPr="00E73F6F">
        <w:rPr>
          <w:spacing w:val="-5"/>
        </w:rPr>
        <w:t>als</w:t>
      </w:r>
      <w:r w:rsidRPr="00E73F6F">
        <w:t xml:space="preserve"> „regelmäßige Reinigung der Wohnung“ oder „Benutzung eines Deodorant“ operationalisiert. So fand in einer Studie die Aussage, „man muss die Wohnung dreimal</w:t>
      </w:r>
      <w:r w:rsidRPr="00E73F6F">
        <w:rPr>
          <w:spacing w:val="-5"/>
        </w:rPr>
        <w:t xml:space="preserve"> </w:t>
      </w:r>
      <w:r w:rsidRPr="00E73F6F">
        <w:t>in</w:t>
      </w:r>
      <w:r w:rsidRPr="00E73F6F">
        <w:rPr>
          <w:spacing w:val="-6"/>
        </w:rPr>
        <w:t xml:space="preserve"> </w:t>
      </w:r>
      <w:r w:rsidRPr="00E73F6F">
        <w:t>der</w:t>
      </w:r>
      <w:r w:rsidRPr="00E73F6F">
        <w:rPr>
          <w:spacing w:val="-8"/>
        </w:rPr>
        <w:t xml:space="preserve"> </w:t>
      </w:r>
      <w:r w:rsidRPr="00E73F6F">
        <w:t>Woche</w:t>
      </w:r>
      <w:r w:rsidRPr="00E73F6F">
        <w:rPr>
          <w:spacing w:val="-6"/>
        </w:rPr>
        <w:t xml:space="preserve"> </w:t>
      </w:r>
      <w:r w:rsidRPr="00E73F6F">
        <w:t>staubsaugen</w:t>
      </w:r>
      <w:r w:rsidRPr="00E73F6F">
        <w:rPr>
          <w:spacing w:val="-7"/>
        </w:rPr>
        <w:t xml:space="preserve"> </w:t>
      </w:r>
      <w:r w:rsidRPr="00E73F6F">
        <w:t>und</w:t>
      </w:r>
      <w:r w:rsidRPr="00E73F6F">
        <w:rPr>
          <w:spacing w:val="-7"/>
        </w:rPr>
        <w:t xml:space="preserve"> </w:t>
      </w:r>
      <w:r w:rsidRPr="00E73F6F">
        <w:t>putzen“</w:t>
      </w:r>
      <w:r w:rsidRPr="00E73F6F">
        <w:rPr>
          <w:spacing w:val="-8"/>
        </w:rPr>
        <w:t xml:space="preserve"> </w:t>
      </w:r>
      <w:r w:rsidRPr="00E73F6F">
        <w:t>in</w:t>
      </w:r>
      <w:r w:rsidRPr="00E73F6F">
        <w:rPr>
          <w:spacing w:val="-6"/>
        </w:rPr>
        <w:t xml:space="preserve"> </w:t>
      </w:r>
      <w:r w:rsidRPr="00E73F6F">
        <w:t>Italien</w:t>
      </w:r>
      <w:r w:rsidRPr="00E73F6F">
        <w:rPr>
          <w:spacing w:val="-7"/>
        </w:rPr>
        <w:t xml:space="preserve"> </w:t>
      </w:r>
      <w:r w:rsidRPr="00E73F6F">
        <w:t>am</w:t>
      </w:r>
      <w:r w:rsidRPr="00E73F6F">
        <w:rPr>
          <w:spacing w:val="-6"/>
        </w:rPr>
        <w:t xml:space="preserve"> </w:t>
      </w:r>
      <w:r w:rsidRPr="00E73F6F">
        <w:t>meisten</w:t>
      </w:r>
      <w:r w:rsidRPr="00E73F6F">
        <w:rPr>
          <w:spacing w:val="-5"/>
        </w:rPr>
        <w:t xml:space="preserve"> </w:t>
      </w:r>
      <w:r w:rsidRPr="00E73F6F">
        <w:t>Zustimmung (vor Großbritannien, Frankreich, Spanien, Deutschland), während mehr als alle anderen Nationen die Amerikaner davon überzeugt waren, dass</w:t>
      </w:r>
      <w:r w:rsidRPr="00E73F6F">
        <w:rPr>
          <w:spacing w:val="40"/>
        </w:rPr>
        <w:t xml:space="preserve"> </w:t>
      </w:r>
      <w:r w:rsidRPr="00E73F6F">
        <w:t>„jeder ein Deodorant benutzen sollte“. Auf den Positionen zwei und drei folgten hier mit Kanada</w:t>
      </w:r>
      <w:r w:rsidRPr="00E73F6F">
        <w:rPr>
          <w:spacing w:val="-1"/>
        </w:rPr>
        <w:t xml:space="preserve"> </w:t>
      </w:r>
      <w:r w:rsidRPr="00E73F6F">
        <w:t>und</w:t>
      </w:r>
      <w:r w:rsidRPr="00E73F6F">
        <w:rPr>
          <w:spacing w:val="-2"/>
        </w:rPr>
        <w:t xml:space="preserve"> </w:t>
      </w:r>
      <w:r w:rsidRPr="00E73F6F">
        <w:t>Großbritannien</w:t>
      </w:r>
      <w:r w:rsidRPr="00E73F6F">
        <w:rPr>
          <w:spacing w:val="-2"/>
        </w:rPr>
        <w:t xml:space="preserve"> </w:t>
      </w:r>
      <w:r w:rsidRPr="00E73F6F">
        <w:t>zwei</w:t>
      </w:r>
      <w:r w:rsidRPr="00E73F6F">
        <w:rPr>
          <w:spacing w:val="-3"/>
        </w:rPr>
        <w:t xml:space="preserve"> </w:t>
      </w:r>
      <w:r w:rsidRPr="00E73F6F">
        <w:t>weitere</w:t>
      </w:r>
      <w:r w:rsidRPr="00E73F6F">
        <w:rPr>
          <w:spacing w:val="-1"/>
        </w:rPr>
        <w:t xml:space="preserve"> </w:t>
      </w:r>
      <w:r w:rsidRPr="00E73F6F">
        <w:t>angelsächsische</w:t>
      </w:r>
      <w:r w:rsidRPr="00E73F6F">
        <w:rPr>
          <w:spacing w:val="-1"/>
        </w:rPr>
        <w:t xml:space="preserve"> </w:t>
      </w:r>
      <w:r w:rsidRPr="00E73F6F">
        <w:t>Länder,</w:t>
      </w:r>
      <w:r w:rsidRPr="00E73F6F">
        <w:rPr>
          <w:spacing w:val="-5"/>
        </w:rPr>
        <w:t xml:space="preserve"> </w:t>
      </w:r>
      <w:r w:rsidRPr="00E73F6F">
        <w:t>vor</w:t>
      </w:r>
      <w:r w:rsidRPr="00E73F6F">
        <w:rPr>
          <w:spacing w:val="-3"/>
        </w:rPr>
        <w:t xml:space="preserve"> </w:t>
      </w:r>
      <w:r w:rsidRPr="00E73F6F">
        <w:t>Italien,</w:t>
      </w:r>
      <w:r w:rsidRPr="00E73F6F">
        <w:rPr>
          <w:spacing w:val="-2"/>
        </w:rPr>
        <w:t xml:space="preserve"> </w:t>
      </w:r>
      <w:r w:rsidRPr="00E73F6F">
        <w:t>das bei dieser Operationalisierung von Sauberkeit lediglich Rang vier belegte (vgl. Plummer 1977).</w:t>
      </w:r>
    </w:p>
    <w:p w14:paraId="1CCC6E03" w14:textId="77777777" w:rsidR="00FF7799" w:rsidRPr="009D4722" w:rsidRDefault="00FF7799" w:rsidP="009B24C2">
      <w:pPr>
        <w:pStyle w:val="StandardText"/>
        <w:rPr>
          <w:sz w:val="22"/>
          <w:szCs w:val="22"/>
          <w:lang w:val="en-US"/>
        </w:rPr>
      </w:pPr>
      <w:r w:rsidRPr="009D4722">
        <w:rPr>
          <w:b/>
          <w:i/>
          <w:sz w:val="22"/>
          <w:szCs w:val="22"/>
          <w:lang w:val="en-US"/>
        </w:rPr>
        <w:t>Literatur</w:t>
      </w:r>
      <w:r w:rsidRPr="009D4722">
        <w:rPr>
          <w:i/>
          <w:sz w:val="22"/>
          <w:szCs w:val="22"/>
          <w:lang w:val="en-US"/>
        </w:rPr>
        <w:t>:</w:t>
      </w:r>
      <w:r w:rsidRPr="009D4722">
        <w:rPr>
          <w:sz w:val="22"/>
          <w:szCs w:val="22"/>
          <w:lang w:val="en-US"/>
        </w:rPr>
        <w:t xml:space="preserve"> Plummer, J.T. (1977): Consumer Focus in Cross-National Research, Journal of</w:t>
      </w:r>
      <w:r w:rsidRPr="009D4722">
        <w:rPr>
          <w:spacing w:val="40"/>
          <w:sz w:val="22"/>
          <w:szCs w:val="22"/>
          <w:lang w:val="en-US"/>
        </w:rPr>
        <w:t xml:space="preserve"> </w:t>
      </w:r>
      <w:r w:rsidRPr="009D4722">
        <w:rPr>
          <w:sz w:val="22"/>
          <w:szCs w:val="22"/>
          <w:lang w:val="en-US"/>
        </w:rPr>
        <w:t>Advertising, 6(2): 5-15.</w:t>
      </w:r>
    </w:p>
    <w:p w14:paraId="69A52B40" w14:textId="77777777" w:rsidR="00DF5332" w:rsidRPr="009D4722" w:rsidRDefault="00DF5332" w:rsidP="009B24C2">
      <w:pPr>
        <w:pStyle w:val="StandardText"/>
        <w:rPr>
          <w:sz w:val="22"/>
          <w:szCs w:val="22"/>
          <w:lang w:val="en-US"/>
        </w:rPr>
      </w:pPr>
    </w:p>
    <w:p w14:paraId="00791F01" w14:textId="77777777" w:rsidR="00FF7799" w:rsidRPr="00B7512C" w:rsidRDefault="00FF7799" w:rsidP="00B35C0E">
      <w:pPr>
        <w:pStyle w:val="berschrift1"/>
        <w:rPr>
          <w:bCs w:val="0"/>
          <w:color w:val="2E74B5"/>
          <w:sz w:val="22"/>
        </w:rPr>
      </w:pPr>
      <w:r w:rsidRPr="00B7512C">
        <w:rPr>
          <w:bCs w:val="0"/>
          <w:color w:val="2E74B5"/>
          <w:sz w:val="22"/>
        </w:rPr>
        <w:t xml:space="preserve">Konsum, demonstrativer </w:t>
      </w:r>
    </w:p>
    <w:p w14:paraId="41A71A4B" w14:textId="77777777" w:rsidR="00FF7799" w:rsidRPr="00E73F6F" w:rsidRDefault="00FF7799" w:rsidP="009B24C2">
      <w:pPr>
        <w:pStyle w:val="StandardText"/>
      </w:pPr>
      <w:r w:rsidRPr="00E73F6F">
        <w:t>Präferenz von Gütern, welche der Umwelt den sozialen Status des Käufers, Besitzers bzw. Nutzers signalisieren. In Gesellschaften, die Machtdistanz akzeptieren, ist die Neigung zu demonstrativem Konsum überdurchschnit</w:t>
      </w:r>
      <w:r w:rsidR="009D4722">
        <w:t>tlich verbreitet (</w:t>
      </w:r>
      <w:r w:rsidR="009D4722">
        <w:sym w:font="Symbol" w:char="F0DE"/>
      </w:r>
      <w:r w:rsidRPr="00E73F6F">
        <w:t xml:space="preserve"> Akzeptanz von Machtdistanz).</w:t>
      </w:r>
    </w:p>
    <w:p w14:paraId="42A87A2D" w14:textId="77777777" w:rsidR="00FF7799" w:rsidRPr="00E73F6F" w:rsidRDefault="00FF7799" w:rsidP="009B24C2">
      <w:pPr>
        <w:pStyle w:val="StandardText"/>
      </w:pPr>
    </w:p>
    <w:p w14:paraId="5463E7DD" w14:textId="77777777" w:rsidR="00FF7799" w:rsidRPr="00B7512C" w:rsidRDefault="00FF7799" w:rsidP="00B35C0E">
      <w:pPr>
        <w:pStyle w:val="berschrift1"/>
        <w:rPr>
          <w:bCs w:val="0"/>
          <w:color w:val="2E74B5"/>
          <w:sz w:val="22"/>
        </w:rPr>
      </w:pPr>
      <w:r w:rsidRPr="00B7512C">
        <w:rPr>
          <w:bCs w:val="0"/>
          <w:color w:val="2E74B5"/>
          <w:sz w:val="22"/>
        </w:rPr>
        <w:t>Konsumentenethnozentrisums</w:t>
      </w:r>
    </w:p>
    <w:p w14:paraId="17C2E91F" w14:textId="43C084EA" w:rsidR="00FF7799" w:rsidRDefault="009D4722" w:rsidP="009B24C2">
      <w:pPr>
        <w:pStyle w:val="StandardText"/>
      </w:pPr>
      <w:r>
        <w:t xml:space="preserve">spezielle Erscheinungsform von </w:t>
      </w:r>
      <w:r>
        <w:sym w:font="Symbol" w:char="F0DE"/>
      </w:r>
      <w:r w:rsidR="00FF7799" w:rsidRPr="00E73F6F">
        <w:t xml:space="preserve"> Ethnozentrismus. </w:t>
      </w:r>
      <w:r>
        <w:t xml:space="preserve">Als </w:t>
      </w:r>
      <w:r w:rsidR="00FF7799" w:rsidRPr="00E73F6F">
        <w:t xml:space="preserve">Konsumentenethnozentrismus </w:t>
      </w:r>
      <w:r>
        <w:t xml:space="preserve">wird </w:t>
      </w:r>
      <w:r w:rsidR="00FF7799" w:rsidRPr="00E73F6F">
        <w:t>die Überzeugung von Konsumenten</w:t>
      </w:r>
      <w:r>
        <w:t xml:space="preserve"> </w:t>
      </w:r>
      <w:r w:rsidRPr="00E73F6F">
        <w:t>bezeichnet</w:t>
      </w:r>
      <w:r w:rsidR="00FF7799" w:rsidRPr="00E73F6F">
        <w:t xml:space="preserve">, dass heimische Erzeugnisse </w:t>
      </w:r>
      <w:r w:rsidR="00B7512C">
        <w:t>grundsätzlich</w:t>
      </w:r>
      <w:r w:rsidR="00FF7799" w:rsidRPr="00E73F6F">
        <w:t xml:space="preserve"> besser sind als ausländische Erzeugnisse.</w:t>
      </w:r>
    </w:p>
    <w:p w14:paraId="2B7609F4" w14:textId="77777777" w:rsidR="00FF7799" w:rsidRPr="009D4722" w:rsidRDefault="00FF7799" w:rsidP="009B24C2">
      <w:pPr>
        <w:pStyle w:val="StandardText"/>
        <w:rPr>
          <w:sz w:val="22"/>
          <w:szCs w:val="22"/>
        </w:rPr>
      </w:pPr>
      <w:r w:rsidRPr="009D4722">
        <w:rPr>
          <w:b/>
          <w:i/>
          <w:sz w:val="22"/>
          <w:szCs w:val="22"/>
          <w:lang w:val="en-US"/>
        </w:rPr>
        <w:t>Literatur</w:t>
      </w:r>
      <w:r w:rsidRPr="009D4722">
        <w:rPr>
          <w:i/>
          <w:sz w:val="22"/>
          <w:szCs w:val="22"/>
          <w:lang w:val="en-US"/>
        </w:rPr>
        <w:t xml:space="preserve">: </w:t>
      </w:r>
      <w:r w:rsidRPr="009D4722">
        <w:rPr>
          <w:sz w:val="22"/>
          <w:szCs w:val="22"/>
          <w:lang w:val="en-US"/>
        </w:rPr>
        <w:t xml:space="preserve">Siamagka, N.T.; Balabanis, G. (2015): Revisiting Consumer Ethnocentrism: Review, Reconceptualization, and Empirical Testing, Journal of International Marketing, 23(3): 66-86. </w:t>
      </w:r>
      <w:r w:rsidRPr="009D4722">
        <w:rPr>
          <w:sz w:val="22"/>
          <w:szCs w:val="22"/>
        </w:rPr>
        <w:t>Sinkovics, R. (1999): Ethnozentrismus und Konsumentenverhalten, Wiesbaden: Dt. Univ.-Verlag.</w:t>
      </w:r>
    </w:p>
    <w:p w14:paraId="6A689840" w14:textId="77777777" w:rsidR="00FF7799" w:rsidRPr="00E73F6F" w:rsidRDefault="00FF7799" w:rsidP="009B24C2">
      <w:pPr>
        <w:pStyle w:val="StandardText"/>
      </w:pPr>
    </w:p>
    <w:p w14:paraId="49A5BB72" w14:textId="77777777" w:rsidR="00FF7799" w:rsidRPr="00E73F6F" w:rsidRDefault="00FF7799" w:rsidP="00B35C0E">
      <w:pPr>
        <w:pStyle w:val="berschrift1"/>
      </w:pPr>
      <w:r w:rsidRPr="00E73F6F">
        <w:t>Konsumtourismus</w:t>
      </w:r>
      <w:r w:rsidRPr="00E73F6F">
        <w:rPr>
          <w:spacing w:val="-14"/>
        </w:rPr>
        <w:t xml:space="preserve"> </w:t>
      </w:r>
      <w:r w:rsidRPr="00E73F6F">
        <w:rPr>
          <w:b w:val="0"/>
        </w:rPr>
        <w:t>→</w:t>
      </w:r>
      <w:r w:rsidRPr="00E73F6F">
        <w:rPr>
          <w:b w:val="0"/>
          <w:spacing w:val="-11"/>
        </w:rPr>
        <w:t xml:space="preserve"> </w:t>
      </w:r>
      <w:r w:rsidRPr="00E73F6F">
        <w:rPr>
          <w:b w:val="0"/>
        </w:rPr>
        <w:t>Arbitrage-</w:t>
      </w:r>
      <w:r w:rsidRPr="00E73F6F">
        <w:rPr>
          <w:b w:val="0"/>
          <w:spacing w:val="-2"/>
        </w:rPr>
        <w:t>Handel</w:t>
      </w:r>
    </w:p>
    <w:p w14:paraId="7614E957" w14:textId="77777777" w:rsidR="00FF7799" w:rsidRPr="00E73F6F" w:rsidRDefault="00FF7799" w:rsidP="00B35C0E">
      <w:pPr>
        <w:pStyle w:val="berschrift1"/>
      </w:pPr>
      <w:r w:rsidRPr="00E73F6F">
        <w:t>Kontext</w:t>
      </w:r>
      <w:r w:rsidRPr="00E73F6F">
        <w:rPr>
          <w:spacing w:val="-1"/>
        </w:rPr>
        <w:t xml:space="preserve"> </w:t>
      </w:r>
      <w:r w:rsidRPr="00E73F6F">
        <w:rPr>
          <w:b w:val="0"/>
        </w:rPr>
        <w:t>→</w:t>
      </w:r>
      <w:r w:rsidRPr="00E73F6F">
        <w:rPr>
          <w:b w:val="0"/>
          <w:spacing w:val="-3"/>
        </w:rPr>
        <w:t xml:space="preserve"> </w:t>
      </w:r>
      <w:r w:rsidRPr="00E73F6F">
        <w:rPr>
          <w:b w:val="0"/>
        </w:rPr>
        <w:t>Direktheit</w:t>
      </w:r>
      <w:r w:rsidRPr="00E73F6F">
        <w:rPr>
          <w:b w:val="0"/>
          <w:spacing w:val="-1"/>
        </w:rPr>
        <w:t xml:space="preserve"> </w:t>
      </w:r>
      <w:r w:rsidRPr="00E73F6F">
        <w:rPr>
          <w:b w:val="0"/>
        </w:rPr>
        <w:t xml:space="preserve">der </w:t>
      </w:r>
      <w:r w:rsidRPr="00E73F6F">
        <w:rPr>
          <w:b w:val="0"/>
          <w:spacing w:val="-2"/>
        </w:rPr>
        <w:t>Kommunikation</w:t>
      </w:r>
    </w:p>
    <w:p w14:paraId="1B48A226" w14:textId="77777777" w:rsidR="00FF7799" w:rsidRPr="00E73F6F" w:rsidRDefault="00FF7799" w:rsidP="00B35C0E">
      <w:pPr>
        <w:pStyle w:val="berschrift1"/>
      </w:pPr>
      <w:r w:rsidRPr="00E73F6F">
        <w:t>Kontrollüberzeugung</w:t>
      </w:r>
      <w:r w:rsidRPr="00E73F6F">
        <w:rPr>
          <w:spacing w:val="-6"/>
        </w:rPr>
        <w:t xml:space="preserve"> </w:t>
      </w:r>
      <w:r w:rsidRPr="00E73F6F">
        <w:t>vs.</w:t>
      </w:r>
      <w:r w:rsidRPr="00E73F6F">
        <w:rPr>
          <w:spacing w:val="-7"/>
        </w:rPr>
        <w:t xml:space="preserve"> </w:t>
      </w:r>
      <w:r w:rsidRPr="00E73F6F">
        <w:rPr>
          <w:spacing w:val="-2"/>
        </w:rPr>
        <w:t>Selbstregulation</w:t>
      </w:r>
    </w:p>
    <w:p w14:paraId="4C8142E0" w14:textId="77777777" w:rsidR="00FF7799" w:rsidRPr="00E73F6F" w:rsidRDefault="00FF7799" w:rsidP="00862DBA">
      <w:pPr>
        <w:spacing w:before="85"/>
        <w:jc w:val="both"/>
        <w:rPr>
          <w:sz w:val="24"/>
          <w:szCs w:val="24"/>
        </w:rPr>
      </w:pPr>
      <w:r w:rsidRPr="00E73F6F">
        <w:rPr>
          <w:sz w:val="24"/>
          <w:szCs w:val="24"/>
        </w:rPr>
        <w:t xml:space="preserve">„Selbstkontrolle ist der selbstdisziplinierende Stil der Selbststeuerung. </w:t>
      </w:r>
      <w:r w:rsidRPr="00E73F6F">
        <w:rPr>
          <w:szCs w:val="24"/>
        </w:rPr>
        <w:t>[</w:t>
      </w:r>
      <w:r w:rsidRPr="00E73F6F">
        <w:rPr>
          <w:sz w:val="24"/>
          <w:szCs w:val="24"/>
        </w:rPr>
        <w:t>…] Subjektiv ist Selbstkontrolle mit Anstrengung und Bewusstheit der volitionalen Bemühungen assoziiert. Zu den Selbstkontrollkompetenzen gehören Intentionskontrolle, Planungsfertigkeit, Impulskontrolle und Initiierungskontrolle.</w:t>
      </w:r>
      <w:r w:rsidRPr="00E73F6F">
        <w:rPr>
          <w:spacing w:val="-2"/>
          <w:sz w:val="24"/>
          <w:szCs w:val="24"/>
        </w:rPr>
        <w:t xml:space="preserve"> </w:t>
      </w:r>
      <w:r w:rsidRPr="00E73F6F">
        <w:rPr>
          <w:sz w:val="24"/>
          <w:szCs w:val="24"/>
        </w:rPr>
        <w:t>Bei</w:t>
      </w:r>
      <w:r w:rsidRPr="00E73F6F">
        <w:rPr>
          <w:spacing w:val="-5"/>
          <w:sz w:val="24"/>
          <w:szCs w:val="24"/>
        </w:rPr>
        <w:t xml:space="preserve"> </w:t>
      </w:r>
      <w:r w:rsidRPr="00E73F6F">
        <w:rPr>
          <w:sz w:val="24"/>
          <w:szCs w:val="24"/>
        </w:rPr>
        <w:t>der</w:t>
      </w:r>
      <w:r w:rsidRPr="00E73F6F">
        <w:rPr>
          <w:spacing w:val="-7"/>
          <w:sz w:val="24"/>
          <w:szCs w:val="24"/>
        </w:rPr>
        <w:t xml:space="preserve"> </w:t>
      </w:r>
      <w:r w:rsidRPr="00E73F6F">
        <w:rPr>
          <w:sz w:val="24"/>
          <w:szCs w:val="24"/>
        </w:rPr>
        <w:t>Selbstregulation</w:t>
      </w:r>
      <w:r w:rsidRPr="00E73F6F">
        <w:rPr>
          <w:spacing w:val="-6"/>
          <w:sz w:val="24"/>
          <w:szCs w:val="24"/>
        </w:rPr>
        <w:t xml:space="preserve"> </w:t>
      </w:r>
      <w:r w:rsidRPr="00E73F6F">
        <w:rPr>
          <w:sz w:val="24"/>
          <w:szCs w:val="24"/>
        </w:rPr>
        <w:t>wird</w:t>
      </w:r>
      <w:r w:rsidRPr="00E73F6F">
        <w:rPr>
          <w:spacing w:val="-6"/>
          <w:sz w:val="24"/>
          <w:szCs w:val="24"/>
        </w:rPr>
        <w:t xml:space="preserve"> </w:t>
      </w:r>
      <w:r w:rsidRPr="00E73F6F">
        <w:rPr>
          <w:sz w:val="24"/>
          <w:szCs w:val="24"/>
        </w:rPr>
        <w:t>dagegen</w:t>
      </w:r>
      <w:r w:rsidRPr="00E73F6F">
        <w:rPr>
          <w:spacing w:val="-2"/>
          <w:sz w:val="24"/>
          <w:szCs w:val="24"/>
        </w:rPr>
        <w:t xml:space="preserve"> </w:t>
      </w:r>
      <w:r w:rsidRPr="00E73F6F">
        <w:rPr>
          <w:sz w:val="24"/>
          <w:szCs w:val="24"/>
        </w:rPr>
        <w:t>versucht,</w:t>
      </w:r>
      <w:r w:rsidRPr="00E73F6F">
        <w:rPr>
          <w:spacing w:val="-4"/>
          <w:sz w:val="24"/>
          <w:szCs w:val="24"/>
        </w:rPr>
        <w:t xml:space="preserve"> </w:t>
      </w:r>
      <w:r w:rsidRPr="00E73F6F">
        <w:rPr>
          <w:sz w:val="24"/>
          <w:szCs w:val="24"/>
        </w:rPr>
        <w:t>möglichst viele psychische Subsysteme an der Planung und Durchführung einer Intention zu beteiligen. Die Subsysteme Emotion, Motivation, Aktivierung, Aufmerksamkeit, Kognition, Sensorik und Motorik «unterhalten sich» und modifizieren die Intentionen, aber auch die Inhalte der Subsysteme (widerstrebende Bedürfnisse, Gefühle usw.) derart, dass möglichst viele hinter einer gemeinsamen Intention vereinigt sind“ (Forstmeier/Rüddel 2005, S.159). Tab. 1 gibt einen Überblick.</w:t>
      </w:r>
    </w:p>
    <w:p w14:paraId="15EF78A0" w14:textId="77777777" w:rsidR="00FF7799" w:rsidRPr="007D6CC1" w:rsidRDefault="00FF7799" w:rsidP="00862DBA">
      <w:pPr>
        <w:spacing w:before="85"/>
        <w:jc w:val="both"/>
        <w:rPr>
          <w:i/>
          <w:iCs/>
          <w:sz w:val="24"/>
          <w:szCs w:val="24"/>
        </w:rPr>
      </w:pPr>
    </w:p>
    <w:p w14:paraId="1EF33F29" w14:textId="77777777" w:rsidR="00FF7799" w:rsidRPr="007D6CC1" w:rsidRDefault="00FF7799" w:rsidP="00650404">
      <w:pPr>
        <w:pStyle w:val="BeschriftungTab"/>
        <w:rPr>
          <w:i/>
          <w:iCs/>
        </w:rPr>
      </w:pPr>
      <w:r w:rsidRPr="007D6CC1">
        <w:rPr>
          <w:i/>
          <w:iCs/>
        </w:rPr>
        <w:t>Tab. 1: Selbstkontroll</w:t>
      </w:r>
      <w:r w:rsidR="009D4722" w:rsidRPr="007D6CC1">
        <w:rPr>
          <w:i/>
          <w:iCs/>
        </w:rPr>
        <w:t xml:space="preserve">e &amp; </w:t>
      </w:r>
      <w:r w:rsidRPr="007D6CC1">
        <w:rPr>
          <w:i/>
          <w:iCs/>
        </w:rPr>
        <w:t>Selbstregulation</w:t>
      </w:r>
    </w:p>
    <w:tbl>
      <w:tblPr>
        <w:tblStyle w:val="TableNormal"/>
        <w:tblW w:w="9072" w:type="dxa"/>
        <w:tblInd w:w="-5" w:type="dxa"/>
        <w:tblBorders>
          <w:top w:val="single" w:sz="4" w:space="0" w:color="auto"/>
          <w:bottom w:val="single" w:sz="4" w:space="0" w:color="auto"/>
          <w:insideH w:val="single" w:sz="4" w:space="0" w:color="auto"/>
        </w:tblBorders>
        <w:tblLayout w:type="fixed"/>
        <w:tblLook w:val="01E0" w:firstRow="1" w:lastRow="1" w:firstColumn="1" w:lastColumn="1" w:noHBand="0" w:noVBand="0"/>
      </w:tblPr>
      <w:tblGrid>
        <w:gridCol w:w="4536"/>
        <w:gridCol w:w="4536"/>
      </w:tblGrid>
      <w:tr w:rsidR="00FF7799" w:rsidRPr="00E73F6F" w14:paraId="7998F63E" w14:textId="77777777" w:rsidTr="00DF5332">
        <w:trPr>
          <w:trHeight w:val="517"/>
          <w:tblHeader/>
        </w:trPr>
        <w:tc>
          <w:tcPr>
            <w:tcW w:w="4536" w:type="dxa"/>
            <w:shd w:val="clear" w:color="auto" w:fill="FFC000"/>
            <w:tcMar>
              <w:left w:w="57" w:type="dxa"/>
              <w:right w:w="57" w:type="dxa"/>
            </w:tcMar>
          </w:tcPr>
          <w:p w14:paraId="74CAC1BC" w14:textId="77777777" w:rsidR="00FF7799" w:rsidRPr="00E73F6F" w:rsidRDefault="00FF7799" w:rsidP="00650404">
            <w:pPr>
              <w:pStyle w:val="StandardText"/>
              <w:spacing w:after="120"/>
              <w:jc w:val="center"/>
              <w:rPr>
                <w:b/>
                <w:lang w:val="de-DE"/>
              </w:rPr>
            </w:pPr>
            <w:r w:rsidRPr="00E73F6F">
              <w:rPr>
                <w:b/>
                <w:lang w:val="de-DE"/>
              </w:rPr>
              <w:t>Selbstkontrolle</w:t>
            </w:r>
          </w:p>
        </w:tc>
        <w:tc>
          <w:tcPr>
            <w:tcW w:w="4536" w:type="dxa"/>
            <w:shd w:val="clear" w:color="auto" w:fill="FFC000"/>
            <w:tcMar>
              <w:left w:w="57" w:type="dxa"/>
              <w:right w:w="57" w:type="dxa"/>
            </w:tcMar>
          </w:tcPr>
          <w:p w14:paraId="21775231" w14:textId="77777777" w:rsidR="00FF7799" w:rsidRPr="00E73F6F" w:rsidRDefault="00FF7799" w:rsidP="00650404">
            <w:pPr>
              <w:pStyle w:val="StandardText"/>
              <w:spacing w:after="120"/>
              <w:jc w:val="center"/>
              <w:rPr>
                <w:b/>
                <w:lang w:val="de-DE"/>
              </w:rPr>
            </w:pPr>
            <w:r w:rsidRPr="00E73F6F">
              <w:rPr>
                <w:b/>
                <w:lang w:val="de-DE"/>
              </w:rPr>
              <w:t>Selbstregulation</w:t>
            </w:r>
          </w:p>
        </w:tc>
      </w:tr>
      <w:tr w:rsidR="00FF7799" w:rsidRPr="00E73F6F" w14:paraId="657D7705" w14:textId="77777777" w:rsidTr="009B24C2">
        <w:trPr>
          <w:trHeight w:val="615"/>
        </w:trPr>
        <w:tc>
          <w:tcPr>
            <w:tcW w:w="4536" w:type="dxa"/>
            <w:tcMar>
              <w:left w:w="57" w:type="dxa"/>
              <w:right w:w="57" w:type="dxa"/>
            </w:tcMar>
          </w:tcPr>
          <w:p w14:paraId="7C2B9D8F" w14:textId="77777777" w:rsidR="00FF7799" w:rsidRPr="00E73F6F" w:rsidRDefault="00FF7799" w:rsidP="009B24C2">
            <w:pPr>
              <w:pStyle w:val="StandardText"/>
              <w:jc w:val="left"/>
              <w:rPr>
                <w:lang w:val="de-DE"/>
              </w:rPr>
            </w:pPr>
            <w:r w:rsidRPr="00E73F6F">
              <w:rPr>
                <w:lang w:val="de-DE"/>
              </w:rPr>
              <w:t>Ein</w:t>
            </w:r>
            <w:r w:rsidRPr="00E73F6F">
              <w:rPr>
                <w:spacing w:val="-5"/>
                <w:lang w:val="de-DE"/>
              </w:rPr>
              <w:t xml:space="preserve"> </w:t>
            </w:r>
            <w:r w:rsidRPr="00E73F6F">
              <w:rPr>
                <w:lang w:val="de-DE"/>
              </w:rPr>
              <w:t>Ziel</w:t>
            </w:r>
            <w:r w:rsidRPr="00E73F6F">
              <w:rPr>
                <w:spacing w:val="-8"/>
                <w:lang w:val="de-DE"/>
              </w:rPr>
              <w:t xml:space="preserve"> </w:t>
            </w:r>
            <w:r w:rsidRPr="00E73F6F">
              <w:rPr>
                <w:lang w:val="de-DE"/>
              </w:rPr>
              <w:t>wird</w:t>
            </w:r>
            <w:r w:rsidRPr="00E73F6F">
              <w:rPr>
                <w:spacing w:val="-7"/>
                <w:lang w:val="de-DE"/>
              </w:rPr>
              <w:t xml:space="preserve"> </w:t>
            </w:r>
            <w:r w:rsidRPr="00E73F6F">
              <w:rPr>
                <w:lang w:val="de-DE"/>
              </w:rPr>
              <w:t>verfolgt,</w:t>
            </w:r>
            <w:r w:rsidRPr="00E73F6F">
              <w:rPr>
                <w:spacing w:val="-8"/>
                <w:lang w:val="de-DE"/>
              </w:rPr>
              <w:t xml:space="preserve"> </w:t>
            </w:r>
            <w:r w:rsidRPr="00E73F6F">
              <w:rPr>
                <w:lang w:val="de-DE"/>
              </w:rPr>
              <w:t>obwohl</w:t>
            </w:r>
            <w:r w:rsidRPr="00E73F6F">
              <w:rPr>
                <w:spacing w:val="-8"/>
                <w:lang w:val="de-DE"/>
              </w:rPr>
              <w:t xml:space="preserve"> </w:t>
            </w:r>
            <w:r w:rsidRPr="00E73F6F">
              <w:rPr>
                <w:lang w:val="de-DE"/>
              </w:rPr>
              <w:t>es</w:t>
            </w:r>
            <w:r w:rsidRPr="00E73F6F">
              <w:rPr>
                <w:spacing w:val="-6"/>
                <w:lang w:val="de-DE"/>
              </w:rPr>
              <w:t xml:space="preserve"> </w:t>
            </w:r>
            <w:r w:rsidRPr="00E73F6F">
              <w:rPr>
                <w:lang w:val="de-DE"/>
              </w:rPr>
              <w:t>mit meisten psychischen Systemen in Konflikt steht.</w:t>
            </w:r>
          </w:p>
        </w:tc>
        <w:tc>
          <w:tcPr>
            <w:tcW w:w="4536" w:type="dxa"/>
            <w:tcMar>
              <w:left w:w="57" w:type="dxa"/>
              <w:right w:w="57" w:type="dxa"/>
            </w:tcMar>
          </w:tcPr>
          <w:p w14:paraId="30486CAA" w14:textId="77777777" w:rsidR="00FF7799" w:rsidRPr="00E73F6F" w:rsidRDefault="00FF7799" w:rsidP="009B24C2">
            <w:pPr>
              <w:pStyle w:val="StandardText"/>
              <w:jc w:val="left"/>
              <w:rPr>
                <w:lang w:val="de-DE"/>
              </w:rPr>
            </w:pPr>
            <w:r w:rsidRPr="00E73F6F">
              <w:rPr>
                <w:lang w:val="de-DE"/>
              </w:rPr>
              <w:t>Ein</w:t>
            </w:r>
            <w:r w:rsidRPr="00E73F6F">
              <w:rPr>
                <w:spacing w:val="-7"/>
                <w:lang w:val="de-DE"/>
              </w:rPr>
              <w:t xml:space="preserve"> </w:t>
            </w:r>
            <w:r w:rsidRPr="00E73F6F">
              <w:rPr>
                <w:lang w:val="de-DE"/>
              </w:rPr>
              <w:t>Ziel</w:t>
            </w:r>
            <w:r w:rsidRPr="00E73F6F">
              <w:rPr>
                <w:spacing w:val="-9"/>
                <w:lang w:val="de-DE"/>
              </w:rPr>
              <w:t xml:space="preserve"> </w:t>
            </w:r>
            <w:r w:rsidRPr="00E73F6F">
              <w:rPr>
                <w:lang w:val="de-DE"/>
              </w:rPr>
              <w:t>wird</w:t>
            </w:r>
            <w:r w:rsidRPr="00E73F6F">
              <w:rPr>
                <w:spacing w:val="-8"/>
                <w:lang w:val="de-DE"/>
              </w:rPr>
              <w:t xml:space="preserve"> </w:t>
            </w:r>
            <w:r w:rsidRPr="00E73F6F">
              <w:rPr>
                <w:lang w:val="de-DE"/>
              </w:rPr>
              <w:t>verfolgt,</w:t>
            </w:r>
            <w:r w:rsidRPr="00E73F6F">
              <w:rPr>
                <w:spacing w:val="-9"/>
                <w:lang w:val="de-DE"/>
              </w:rPr>
              <w:t xml:space="preserve"> </w:t>
            </w:r>
            <w:r w:rsidRPr="00E73F6F">
              <w:rPr>
                <w:lang w:val="de-DE"/>
              </w:rPr>
              <w:t>das</w:t>
            </w:r>
            <w:r w:rsidRPr="00E73F6F">
              <w:rPr>
                <w:spacing w:val="-7"/>
                <w:lang w:val="de-DE"/>
              </w:rPr>
              <w:t xml:space="preserve"> </w:t>
            </w:r>
            <w:r w:rsidRPr="00E73F6F">
              <w:rPr>
                <w:lang w:val="de-DE"/>
              </w:rPr>
              <w:t>in Einklang mit den anderen psychischen Systemen ist.</w:t>
            </w:r>
          </w:p>
        </w:tc>
      </w:tr>
      <w:tr w:rsidR="00FF7799" w:rsidRPr="00E73F6F" w14:paraId="3724CF15" w14:textId="77777777" w:rsidTr="009B24C2">
        <w:trPr>
          <w:trHeight w:val="923"/>
        </w:trPr>
        <w:tc>
          <w:tcPr>
            <w:tcW w:w="4536" w:type="dxa"/>
            <w:tcMar>
              <w:left w:w="57" w:type="dxa"/>
              <w:right w:w="57" w:type="dxa"/>
            </w:tcMar>
          </w:tcPr>
          <w:p w14:paraId="194BDCAD" w14:textId="77777777" w:rsidR="00FF7799" w:rsidRPr="00E73F6F" w:rsidRDefault="00FF7799" w:rsidP="009B24C2">
            <w:pPr>
              <w:pStyle w:val="StandardText"/>
              <w:jc w:val="left"/>
              <w:rPr>
                <w:lang w:val="de-DE"/>
              </w:rPr>
            </w:pPr>
            <w:r w:rsidRPr="00E73F6F">
              <w:rPr>
                <w:lang w:val="de-DE"/>
              </w:rPr>
              <w:t>Bei</w:t>
            </w:r>
            <w:r w:rsidRPr="00E73F6F">
              <w:rPr>
                <w:spacing w:val="-10"/>
                <w:lang w:val="de-DE"/>
              </w:rPr>
              <w:t xml:space="preserve"> </w:t>
            </w:r>
            <w:r w:rsidRPr="00E73F6F">
              <w:rPr>
                <w:lang w:val="de-DE"/>
              </w:rPr>
              <w:t>Konflikten</w:t>
            </w:r>
            <w:r w:rsidRPr="00E73F6F">
              <w:rPr>
                <w:spacing w:val="-9"/>
                <w:lang w:val="de-DE"/>
              </w:rPr>
              <w:t xml:space="preserve"> </w:t>
            </w:r>
            <w:r w:rsidRPr="00E73F6F">
              <w:rPr>
                <w:lang w:val="de-DE"/>
              </w:rPr>
              <w:t>werden</w:t>
            </w:r>
            <w:r w:rsidRPr="00E73F6F">
              <w:rPr>
                <w:spacing w:val="-9"/>
                <w:lang w:val="de-DE"/>
              </w:rPr>
              <w:t xml:space="preserve"> </w:t>
            </w:r>
            <w:r w:rsidRPr="00E73F6F">
              <w:rPr>
                <w:lang w:val="de-DE"/>
              </w:rPr>
              <w:t>entweder</w:t>
            </w:r>
            <w:r w:rsidRPr="00E73F6F">
              <w:rPr>
                <w:spacing w:val="-11"/>
                <w:lang w:val="de-DE"/>
              </w:rPr>
              <w:t xml:space="preserve"> </w:t>
            </w:r>
            <w:r w:rsidRPr="00E73F6F">
              <w:rPr>
                <w:lang w:val="de-DE"/>
              </w:rPr>
              <w:t>das Ziel oder die psychischen Prozesse, die dem Ziel zuwiderlaufen, unterdrückt.</w:t>
            </w:r>
          </w:p>
        </w:tc>
        <w:tc>
          <w:tcPr>
            <w:tcW w:w="4536" w:type="dxa"/>
            <w:tcMar>
              <w:left w:w="57" w:type="dxa"/>
              <w:right w:w="57" w:type="dxa"/>
            </w:tcMar>
          </w:tcPr>
          <w:p w14:paraId="0E5D94DE" w14:textId="77777777" w:rsidR="00FF7799" w:rsidRPr="00E73F6F" w:rsidRDefault="00FF7799" w:rsidP="009B24C2">
            <w:pPr>
              <w:pStyle w:val="StandardText"/>
              <w:jc w:val="left"/>
              <w:rPr>
                <w:lang w:val="de-DE"/>
              </w:rPr>
            </w:pPr>
            <w:r w:rsidRPr="00E73F6F">
              <w:rPr>
                <w:lang w:val="de-DE"/>
              </w:rPr>
              <w:t>Die</w:t>
            </w:r>
            <w:r w:rsidRPr="00E73F6F">
              <w:rPr>
                <w:spacing w:val="-11"/>
                <w:lang w:val="de-DE"/>
              </w:rPr>
              <w:t xml:space="preserve"> </w:t>
            </w:r>
            <w:r w:rsidRPr="00E73F6F">
              <w:rPr>
                <w:lang w:val="de-DE"/>
              </w:rPr>
              <w:t>Inhalte</w:t>
            </w:r>
            <w:r w:rsidRPr="00E73F6F">
              <w:rPr>
                <w:spacing w:val="-11"/>
                <w:lang w:val="de-DE"/>
              </w:rPr>
              <w:t xml:space="preserve"> </w:t>
            </w:r>
            <w:r w:rsidRPr="00E73F6F">
              <w:rPr>
                <w:lang w:val="de-DE"/>
              </w:rPr>
              <w:t>der</w:t>
            </w:r>
            <w:r w:rsidRPr="00E73F6F">
              <w:rPr>
                <w:spacing w:val="-10"/>
                <w:lang w:val="de-DE"/>
              </w:rPr>
              <w:t xml:space="preserve"> </w:t>
            </w:r>
            <w:r w:rsidRPr="00E73F6F">
              <w:rPr>
                <w:lang w:val="de-DE"/>
              </w:rPr>
              <w:t>anderen</w:t>
            </w:r>
            <w:r w:rsidRPr="00E73F6F">
              <w:rPr>
                <w:spacing w:val="-11"/>
                <w:lang w:val="de-DE"/>
              </w:rPr>
              <w:t xml:space="preserve"> </w:t>
            </w:r>
            <w:r w:rsidRPr="00E73F6F">
              <w:rPr>
                <w:lang w:val="de-DE"/>
              </w:rPr>
              <w:t>psychischen Systeme werden modifiziert.</w:t>
            </w:r>
          </w:p>
        </w:tc>
      </w:tr>
      <w:tr w:rsidR="00FF7799" w:rsidRPr="00E73F6F" w14:paraId="6DA92B86" w14:textId="77777777" w:rsidTr="009B24C2">
        <w:trPr>
          <w:trHeight w:val="717"/>
        </w:trPr>
        <w:tc>
          <w:tcPr>
            <w:tcW w:w="4536" w:type="dxa"/>
            <w:tcMar>
              <w:left w:w="57" w:type="dxa"/>
              <w:right w:w="57" w:type="dxa"/>
            </w:tcMar>
          </w:tcPr>
          <w:p w14:paraId="1A292894" w14:textId="77777777" w:rsidR="00FF7799" w:rsidRPr="00E73F6F" w:rsidRDefault="00FF7799" w:rsidP="009B24C2">
            <w:pPr>
              <w:pStyle w:val="StandardText"/>
              <w:jc w:val="left"/>
              <w:rPr>
                <w:lang w:val="de-DE"/>
              </w:rPr>
            </w:pPr>
            <w:r w:rsidRPr="00E73F6F">
              <w:rPr>
                <w:lang w:val="de-DE"/>
              </w:rPr>
              <w:t>Fertigkeiten:</w:t>
            </w:r>
            <w:r w:rsidRPr="00E73F6F">
              <w:rPr>
                <w:spacing w:val="-12"/>
                <w:lang w:val="de-DE"/>
              </w:rPr>
              <w:t xml:space="preserve"> </w:t>
            </w:r>
            <w:r w:rsidRPr="00E73F6F">
              <w:rPr>
                <w:lang w:val="de-DE"/>
              </w:rPr>
              <w:t>z.B.</w:t>
            </w:r>
            <w:r w:rsidRPr="00E73F6F">
              <w:rPr>
                <w:spacing w:val="-11"/>
                <w:lang w:val="de-DE"/>
              </w:rPr>
              <w:t xml:space="preserve"> </w:t>
            </w:r>
            <w:r w:rsidRPr="00E73F6F">
              <w:rPr>
                <w:lang w:val="de-DE"/>
              </w:rPr>
              <w:t>Planungsfertigkeit, Impulskontrolle</w:t>
            </w:r>
          </w:p>
        </w:tc>
        <w:tc>
          <w:tcPr>
            <w:tcW w:w="4536" w:type="dxa"/>
            <w:tcMar>
              <w:left w:w="57" w:type="dxa"/>
              <w:right w:w="57" w:type="dxa"/>
            </w:tcMar>
          </w:tcPr>
          <w:p w14:paraId="38068856" w14:textId="77777777" w:rsidR="00FF7799" w:rsidRPr="00E73F6F" w:rsidRDefault="00FF7799" w:rsidP="009B24C2">
            <w:pPr>
              <w:pStyle w:val="StandardText"/>
              <w:jc w:val="left"/>
              <w:rPr>
                <w:lang w:val="de-DE"/>
              </w:rPr>
            </w:pPr>
            <w:r w:rsidRPr="00E73F6F">
              <w:rPr>
                <w:lang w:val="de-DE"/>
              </w:rPr>
              <w:t>Fertigkeiten:</w:t>
            </w:r>
            <w:r w:rsidRPr="00E73F6F">
              <w:rPr>
                <w:spacing w:val="-12"/>
                <w:lang w:val="de-DE"/>
              </w:rPr>
              <w:t xml:space="preserve"> </w:t>
            </w:r>
            <w:r w:rsidRPr="00E73F6F">
              <w:rPr>
                <w:lang w:val="de-DE"/>
              </w:rPr>
              <w:t>z.B.</w:t>
            </w:r>
            <w:r w:rsidRPr="00E73F6F">
              <w:rPr>
                <w:spacing w:val="-11"/>
                <w:lang w:val="de-DE"/>
              </w:rPr>
              <w:t xml:space="preserve"> </w:t>
            </w:r>
            <w:r w:rsidRPr="00E73F6F">
              <w:rPr>
                <w:lang w:val="de-DE"/>
              </w:rPr>
              <w:t>Aufmerksamkeits- lenkung, Selbstmotivierung, Gefühlsmanagement</w:t>
            </w:r>
          </w:p>
        </w:tc>
      </w:tr>
      <w:tr w:rsidR="00FF7799" w:rsidRPr="00E73F6F" w14:paraId="47654E73" w14:textId="77777777" w:rsidTr="009B24C2">
        <w:trPr>
          <w:trHeight w:val="294"/>
        </w:trPr>
        <w:tc>
          <w:tcPr>
            <w:tcW w:w="4536" w:type="dxa"/>
            <w:tcMar>
              <w:left w:w="57" w:type="dxa"/>
              <w:right w:w="57" w:type="dxa"/>
            </w:tcMar>
          </w:tcPr>
          <w:p w14:paraId="0DF79D2F" w14:textId="77777777" w:rsidR="00FF7799" w:rsidRPr="00E73F6F" w:rsidRDefault="00FF7799" w:rsidP="009B24C2">
            <w:pPr>
              <w:pStyle w:val="StandardText"/>
              <w:jc w:val="left"/>
              <w:rPr>
                <w:lang w:val="de-DE"/>
              </w:rPr>
            </w:pPr>
            <w:r w:rsidRPr="00E73F6F">
              <w:rPr>
                <w:lang w:val="de-DE"/>
              </w:rPr>
              <w:t>Folge:</w:t>
            </w:r>
            <w:r w:rsidRPr="00E73F6F">
              <w:rPr>
                <w:spacing w:val="-12"/>
                <w:lang w:val="de-DE"/>
              </w:rPr>
              <w:t xml:space="preserve"> </w:t>
            </w:r>
            <w:r w:rsidRPr="00E73F6F">
              <w:rPr>
                <w:lang w:val="de-DE"/>
              </w:rPr>
              <w:t>negative</w:t>
            </w:r>
            <w:r w:rsidRPr="00E73F6F">
              <w:rPr>
                <w:spacing w:val="-11"/>
                <w:lang w:val="de-DE"/>
              </w:rPr>
              <w:t xml:space="preserve"> </w:t>
            </w:r>
            <w:r w:rsidRPr="00E73F6F">
              <w:rPr>
                <w:lang w:val="de-DE"/>
              </w:rPr>
              <w:t>Emotionen</w:t>
            </w:r>
            <w:r w:rsidRPr="00E73F6F">
              <w:rPr>
                <w:spacing w:val="-11"/>
                <w:lang w:val="de-DE"/>
              </w:rPr>
              <w:t xml:space="preserve"> </w:t>
            </w:r>
            <w:r w:rsidRPr="00E73F6F">
              <w:rPr>
                <w:lang w:val="de-DE"/>
              </w:rPr>
              <w:t>und Stress</w:t>
            </w:r>
          </w:p>
        </w:tc>
        <w:tc>
          <w:tcPr>
            <w:tcW w:w="4536" w:type="dxa"/>
            <w:tcMar>
              <w:left w:w="57" w:type="dxa"/>
              <w:right w:w="57" w:type="dxa"/>
            </w:tcMar>
          </w:tcPr>
          <w:p w14:paraId="6F55BDF5" w14:textId="77777777" w:rsidR="00FF7799" w:rsidRPr="00E73F6F" w:rsidRDefault="00FF7799" w:rsidP="009B24C2">
            <w:pPr>
              <w:pStyle w:val="StandardText"/>
              <w:jc w:val="left"/>
              <w:rPr>
                <w:lang w:val="de-DE"/>
              </w:rPr>
            </w:pPr>
            <w:r w:rsidRPr="00E73F6F">
              <w:rPr>
                <w:lang w:val="de-DE"/>
              </w:rPr>
              <w:t>Folge:</w:t>
            </w:r>
            <w:r w:rsidRPr="00E73F6F">
              <w:rPr>
                <w:spacing w:val="-11"/>
                <w:lang w:val="de-DE"/>
              </w:rPr>
              <w:t xml:space="preserve"> </w:t>
            </w:r>
            <w:r w:rsidRPr="00E73F6F">
              <w:rPr>
                <w:lang w:val="de-DE"/>
              </w:rPr>
              <w:t>positive</w:t>
            </w:r>
            <w:r w:rsidRPr="00E73F6F">
              <w:rPr>
                <w:spacing w:val="-10"/>
                <w:lang w:val="de-DE"/>
              </w:rPr>
              <w:t xml:space="preserve"> </w:t>
            </w:r>
            <w:r w:rsidRPr="00E73F6F">
              <w:rPr>
                <w:lang w:val="de-DE"/>
              </w:rPr>
              <w:t>Emotionen</w:t>
            </w:r>
            <w:r w:rsidRPr="00E73F6F">
              <w:rPr>
                <w:spacing w:val="-10"/>
                <w:lang w:val="de-DE"/>
              </w:rPr>
              <w:t xml:space="preserve"> </w:t>
            </w:r>
            <w:r w:rsidRPr="00E73F6F">
              <w:rPr>
                <w:lang w:val="de-DE"/>
              </w:rPr>
              <w:t>und</w:t>
            </w:r>
            <w:r w:rsidRPr="00E73F6F">
              <w:rPr>
                <w:spacing w:val="-9"/>
                <w:lang w:val="de-DE"/>
              </w:rPr>
              <w:t xml:space="preserve"> </w:t>
            </w:r>
            <w:r w:rsidRPr="00E73F6F">
              <w:rPr>
                <w:lang w:val="de-DE"/>
              </w:rPr>
              <w:t>leichte Bewältigung von Stress</w:t>
            </w:r>
          </w:p>
        </w:tc>
      </w:tr>
    </w:tbl>
    <w:p w14:paraId="147F61BB" w14:textId="77777777" w:rsidR="00FF7799" w:rsidRPr="00E73F6F" w:rsidRDefault="00FF7799" w:rsidP="009B24C2">
      <w:pPr>
        <w:pStyle w:val="Quellen"/>
        <w:rPr>
          <w:spacing w:val="-2"/>
        </w:rPr>
      </w:pPr>
      <w:r w:rsidRPr="00E73F6F">
        <w:t>Quelle:</w:t>
      </w:r>
      <w:r w:rsidRPr="00E73F6F">
        <w:rPr>
          <w:spacing w:val="-10"/>
        </w:rPr>
        <w:t xml:space="preserve"> </w:t>
      </w:r>
      <w:r w:rsidRPr="00E73F6F">
        <w:t>Forstmeier/Rüddel</w:t>
      </w:r>
      <w:r w:rsidRPr="00E73F6F">
        <w:rPr>
          <w:spacing w:val="-9"/>
        </w:rPr>
        <w:t xml:space="preserve"> </w:t>
      </w:r>
      <w:r w:rsidRPr="00E73F6F">
        <w:t>(2005,</w:t>
      </w:r>
      <w:r w:rsidRPr="00E73F6F">
        <w:rPr>
          <w:spacing w:val="-10"/>
        </w:rPr>
        <w:t xml:space="preserve"> </w:t>
      </w:r>
      <w:r w:rsidRPr="00E73F6F">
        <w:rPr>
          <w:spacing w:val="-2"/>
        </w:rPr>
        <w:t>S.160)</w:t>
      </w:r>
      <w:r w:rsidR="009D4722">
        <w:rPr>
          <w:spacing w:val="-2"/>
        </w:rPr>
        <w:t>.</w:t>
      </w:r>
    </w:p>
    <w:p w14:paraId="75D4EF23" w14:textId="77777777" w:rsidR="00F74287" w:rsidRDefault="00F74287" w:rsidP="009B24C2">
      <w:pPr>
        <w:pStyle w:val="StandardText"/>
        <w:rPr>
          <w:b/>
          <w:i/>
          <w:sz w:val="20"/>
        </w:rPr>
      </w:pPr>
    </w:p>
    <w:p w14:paraId="04E7185D" w14:textId="77777777" w:rsidR="00FF7799" w:rsidRPr="009D4722" w:rsidRDefault="00FF7799" w:rsidP="009B24C2">
      <w:pPr>
        <w:pStyle w:val="StandardText"/>
        <w:rPr>
          <w:sz w:val="20"/>
        </w:rPr>
      </w:pPr>
      <w:r w:rsidRPr="009D4722">
        <w:rPr>
          <w:b/>
          <w:i/>
          <w:sz w:val="20"/>
        </w:rPr>
        <w:t>Literatur</w:t>
      </w:r>
      <w:r w:rsidRPr="009D4722">
        <w:rPr>
          <w:i/>
          <w:sz w:val="20"/>
        </w:rPr>
        <w:t xml:space="preserve">: </w:t>
      </w:r>
      <w:r w:rsidRPr="009D4722">
        <w:rPr>
          <w:sz w:val="20"/>
        </w:rPr>
        <w:t>Forstmeier, S.; Rüddel, H. (2005): Zur Überlegenheit von Selbstregulation über</w:t>
      </w:r>
      <w:r w:rsidRPr="009D4722">
        <w:rPr>
          <w:spacing w:val="40"/>
          <w:sz w:val="20"/>
        </w:rPr>
        <w:t xml:space="preserve"> </w:t>
      </w:r>
      <w:r w:rsidRPr="009D4722">
        <w:rPr>
          <w:sz w:val="20"/>
        </w:rPr>
        <w:t>Selbstkontrolle in Psychotherapie und psychosomatischer Rehabilitation,</w:t>
      </w:r>
      <w:r w:rsidRPr="009D4722">
        <w:rPr>
          <w:spacing w:val="40"/>
          <w:sz w:val="20"/>
        </w:rPr>
        <w:t xml:space="preserve"> </w:t>
      </w:r>
      <w:r w:rsidRPr="009D4722">
        <w:rPr>
          <w:sz w:val="20"/>
        </w:rPr>
        <w:t>Verhaltenstherapie, 15(3): 158-166.</w:t>
      </w:r>
    </w:p>
    <w:p w14:paraId="309E6AFF" w14:textId="77777777" w:rsidR="00FF7799" w:rsidRPr="00E73F6F" w:rsidRDefault="00FF7799" w:rsidP="009B24C2">
      <w:pPr>
        <w:pStyle w:val="StandardText"/>
      </w:pPr>
    </w:p>
    <w:p w14:paraId="487B8FDA" w14:textId="77777777" w:rsidR="00FF7799" w:rsidRPr="00E73F6F" w:rsidRDefault="00FF7799" w:rsidP="00B35C0E">
      <w:pPr>
        <w:pStyle w:val="berschrift1"/>
      </w:pPr>
      <w:r w:rsidRPr="00B7512C">
        <w:rPr>
          <w:bCs w:val="0"/>
          <w:color w:val="2E74B5"/>
          <w:sz w:val="22"/>
        </w:rPr>
        <w:t>Konvergenzthese</w:t>
      </w:r>
      <w:r w:rsidRPr="00E73F6F">
        <w:t xml:space="preserve"> </w:t>
      </w:r>
      <w:r w:rsidRPr="00E73F6F">
        <w:rPr>
          <w:b w:val="0"/>
        </w:rPr>
        <w:t>→ Global Marketing</w:t>
      </w:r>
      <w:r w:rsidRPr="00E73F6F">
        <w:t xml:space="preserve"> </w:t>
      </w:r>
    </w:p>
    <w:p w14:paraId="513E70ED" w14:textId="77777777" w:rsidR="001E58F5" w:rsidRPr="007F69DA" w:rsidRDefault="001E58F5" w:rsidP="001E58F5">
      <w:pPr>
        <w:keepNext/>
        <w:keepLines/>
        <w:spacing w:before="240"/>
        <w:jc w:val="both"/>
        <w:outlineLvl w:val="1"/>
        <w:rPr>
          <w:b/>
          <w:color w:val="2E74B5"/>
        </w:rPr>
      </w:pPr>
      <w:bookmarkStart w:id="55" w:name="_Toc417287317"/>
      <w:r w:rsidRPr="007F69DA">
        <w:rPr>
          <w:b/>
          <w:color w:val="2E74B5"/>
        </w:rPr>
        <w:t>Kooperation</w:t>
      </w:r>
      <w:bookmarkEnd w:id="55"/>
    </w:p>
    <w:p w14:paraId="637F2457" w14:textId="77777777" w:rsidR="001E58F5" w:rsidRPr="007F69DA" w:rsidRDefault="001E58F5" w:rsidP="001E58F5">
      <w:pPr>
        <w:pStyle w:val="Erlaeuterung"/>
        <w:rPr>
          <w:bCs w:val="0"/>
          <w:sz w:val="24"/>
          <w:szCs w:val="24"/>
          <w:lang w:eastAsia="en-US" w:bidi="en-US"/>
        </w:rPr>
      </w:pPr>
    </w:p>
    <w:p w14:paraId="1FA1FB31"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Markteintrittsstrategie, bei der die beteiligten Unternehmen davon ausgehen, ihre Ziele gemeinsam besser erreichen zu können als auf sich alleine gestellt. Die Kooperationspartner bewahren ihre rechtliche Unabhängigkeit und agieren in den nicht-koordinierten Unternehmensbereichen weiterhin wirtschaftlich selbständig. Alle Formen zwischenbetrieblicher Kooperationen basieren auf Freiwilligkeit und können, obwohl sie zumeist längerfristig angelegt sind, jederzeit einseitig gekündigt werden. Charakteristisch ist weiterhin, dass sich die Partnerunternehmen nicht unmittelbar finanziell be</w:t>
      </w:r>
      <w:r w:rsidRPr="007F69DA">
        <w:rPr>
          <w:bCs w:val="0"/>
          <w:sz w:val="24"/>
          <w:szCs w:val="24"/>
          <w:lang w:eastAsia="en-US" w:bidi="en-US"/>
        </w:rPr>
        <w:softHyphen/>
        <w:t>teiligen, aber sich wech</w:t>
      </w:r>
      <w:r w:rsidRPr="007F69DA">
        <w:rPr>
          <w:bCs w:val="0"/>
          <w:sz w:val="24"/>
          <w:szCs w:val="24"/>
          <w:lang w:eastAsia="en-US" w:bidi="en-US"/>
        </w:rPr>
        <w:softHyphen/>
        <w:t xml:space="preserve">selseitig Zugang zu kritischen, d.h. für ihre Wettbewerbsfähigkeit maßgeblichen Ressourcen verschaffen (z.B. Rohstoffe, Vorleistungen, Know how, Geschäftskontakte). </w:t>
      </w:r>
    </w:p>
    <w:p w14:paraId="242E5B9F" w14:textId="77777777" w:rsidR="001E58F5" w:rsidRPr="007F69DA" w:rsidRDefault="001E58F5" w:rsidP="001E58F5">
      <w:pPr>
        <w:pStyle w:val="Erlaeuterung"/>
        <w:rPr>
          <w:bCs w:val="0"/>
          <w:sz w:val="24"/>
          <w:szCs w:val="24"/>
          <w:lang w:eastAsia="en-US" w:bidi="en-US"/>
        </w:rPr>
      </w:pPr>
    </w:p>
    <w:p w14:paraId="217DADEB"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 xml:space="preserve">Eine Zusammenarbeit, die mehr oder minder „zufällig“ zustande kam, jedenfalls weder schriftlich noch mündlich explizit vereinbart wurde, gilt nicht als zwischenbetriebliche Kooperation, selbst wenn sie länger andauert. Kooperieren rechtlich selbständige Unternehmen für die Dauer eines zeitlich begrenzten Projekts freiwillig, so handelt es sich um eine kurzfristige Kooperation. Sie ist charakteristisch für Virtuelle Unternehmen: zeitweise bestehende, häufig branchenübergreifende </w:t>
      </w:r>
      <w:hyperlink r:id="rId90" w:history="1">
        <w:r w:rsidRPr="007F69DA">
          <w:rPr>
            <w:bCs w:val="0"/>
            <w:sz w:val="24"/>
            <w:szCs w:val="24"/>
            <w:lang w:eastAsia="en-US" w:bidi="en-US"/>
          </w:rPr>
          <w:t>Netzwerk</w:t>
        </w:r>
      </w:hyperlink>
      <w:r w:rsidRPr="007F69DA">
        <w:rPr>
          <w:bCs w:val="0"/>
          <w:sz w:val="24"/>
          <w:szCs w:val="24"/>
          <w:lang w:eastAsia="en-US" w:bidi="en-US"/>
        </w:rPr>
        <w:t xml:space="preserve">e von rechtlich sowie wirtschaftlich weitgehend unabhängigen </w:t>
      </w:r>
      <w:hyperlink r:id="rId91" w:history="1">
        <w:r w:rsidRPr="007F69DA">
          <w:rPr>
            <w:bCs w:val="0"/>
            <w:sz w:val="24"/>
            <w:szCs w:val="24"/>
            <w:lang w:eastAsia="en-US" w:bidi="en-US"/>
          </w:rPr>
          <w:t>Unternehmen</w:t>
        </w:r>
      </w:hyperlink>
      <w:r w:rsidRPr="007F69DA">
        <w:rPr>
          <w:bCs w:val="0"/>
          <w:sz w:val="24"/>
          <w:szCs w:val="24"/>
          <w:lang w:eastAsia="en-US" w:bidi="en-US"/>
        </w:rPr>
        <w:t>, die sich freiwillig, ohne eine formale Struktur zusammenschließen, um Wissen, Kosten und Zugang zu Märkten zu teilen (vgl. Braßler/Grau 2005, S.244; Byrne et al. 1993, S.37).</w:t>
      </w:r>
    </w:p>
    <w:p w14:paraId="6D85CAF6" w14:textId="77777777" w:rsidR="001E58F5" w:rsidRPr="007F69DA" w:rsidRDefault="001E58F5" w:rsidP="001E58F5">
      <w:pPr>
        <w:pStyle w:val="Erlaeuterung"/>
        <w:rPr>
          <w:bCs w:val="0"/>
          <w:sz w:val="24"/>
          <w:szCs w:val="24"/>
          <w:lang w:eastAsia="en-US" w:bidi="en-US"/>
        </w:rPr>
      </w:pPr>
    </w:p>
    <w:p w14:paraId="40C84138"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Geboten sind kooperative Strategien vor allem bei der internationalen Vermarktung von Investi</w:t>
      </w:r>
      <w:r w:rsidRPr="007F69DA">
        <w:rPr>
          <w:bCs w:val="0"/>
          <w:sz w:val="24"/>
          <w:szCs w:val="24"/>
          <w:lang w:eastAsia="en-US" w:bidi="en-US"/>
        </w:rPr>
        <w:softHyphen/>
        <w:t>tionsgütern. Denn die gewaltigen Risiken derartiger Vorhaben sind geeignet, die Überlebensfähigkeit selbst von Großunternehmen zu gefährden. Deshalb werden Flughäfen, Kraftwerke, Staudämme etc.  im Regelfall mittels verschiedener Projektkooperationen errichtet (vgl. Backhaus/Voeth 2010).</w:t>
      </w:r>
    </w:p>
    <w:p w14:paraId="5D7AD2F0" w14:textId="77777777" w:rsidR="001E58F5" w:rsidRPr="007F69DA" w:rsidRDefault="001E58F5" w:rsidP="001E58F5">
      <w:pPr>
        <w:pStyle w:val="Erlaeuterung"/>
        <w:rPr>
          <w:bCs w:val="0"/>
          <w:sz w:val="24"/>
          <w:szCs w:val="24"/>
          <w:lang w:eastAsia="en-US" w:bidi="en-US"/>
        </w:rPr>
      </w:pPr>
    </w:p>
    <w:p w14:paraId="4BFB39F9" w14:textId="77777777" w:rsidR="001E58F5" w:rsidRPr="007F69DA" w:rsidRDefault="001E58F5" w:rsidP="001E58F5">
      <w:pPr>
        <w:pStyle w:val="Erlaeuterung"/>
        <w:rPr>
          <w:bCs w:val="0"/>
          <w:sz w:val="24"/>
          <w:szCs w:val="24"/>
          <w:lang w:eastAsia="en-US" w:bidi="en-US"/>
        </w:rPr>
      </w:pPr>
      <w:r w:rsidRPr="007F69DA">
        <w:rPr>
          <w:bCs w:val="0"/>
          <w:sz w:val="24"/>
          <w:szCs w:val="24"/>
          <w:lang w:eastAsia="en-US" w:bidi="en-US"/>
        </w:rPr>
        <w:t xml:space="preserve">Um Entstehungsbedingungen und Erfolgsaussichten zwischenbetrieblicher Kooperationen erklären zu können, rekurrieren Wissenschaftler auf unterschiedliche Theorien, vorrangig jedoch auf die Transaktionskostentheorie (vgl. Tab. 1). Denn sie wurde u.a. entwickelt, um die Gründe kooperativen Verhaltens erklären zu können (vgl. Williamson 1975; Coase 1937). Demnach arbeiten Unternehmen im Rahmen ihrer Internationalisierung dann zusammen, wenn die Kooperation anderen Möglichkeiten des Markteintritts überlegen ist (vgl. Güntzel/Reinhard 2007). Diese „anderen Möglichkeiten“ sind die hierarchischen Formen, Transaktionen zu bewältigen (z.B. 100%-Tochtergesellschaft), oder Transaktionen mit Hilfe des Marktes (z.B. direkter Export). </w:t>
      </w:r>
    </w:p>
    <w:p w14:paraId="7FEBD7CD" w14:textId="77777777" w:rsidR="001E58F5" w:rsidRPr="007F69DA" w:rsidRDefault="001E58F5" w:rsidP="001E58F5">
      <w:pPr>
        <w:spacing w:line="360" w:lineRule="auto"/>
        <w:jc w:val="both"/>
        <w:rPr>
          <w:szCs w:val="24"/>
          <w:lang w:bidi="en-US"/>
        </w:rPr>
      </w:pPr>
    </w:p>
    <w:p w14:paraId="15C2C537" w14:textId="77777777" w:rsidR="001E58F5" w:rsidRPr="00544326" w:rsidRDefault="001E58F5" w:rsidP="001E58F5">
      <w:pPr>
        <w:spacing w:after="120" w:line="360" w:lineRule="auto"/>
        <w:jc w:val="center"/>
        <w:rPr>
          <w:i/>
          <w:szCs w:val="20"/>
          <w:lang w:eastAsia="de-DE"/>
        </w:rPr>
      </w:pPr>
      <w:r w:rsidRPr="00544326">
        <w:rPr>
          <w:i/>
          <w:szCs w:val="20"/>
          <w:lang w:eastAsia="de-DE"/>
        </w:rPr>
        <w:t>Tab. 1: Kooperation als wissenschaftliches Erkenntnisobjekt</w:t>
      </w:r>
    </w:p>
    <w:tbl>
      <w:tblPr>
        <w:tblW w:w="0" w:type="auto"/>
        <w:tblInd w:w="70" w:type="dxa"/>
        <w:tblBorders>
          <w:top w:val="single" w:sz="4" w:space="0" w:color="auto"/>
          <w:left w:val="single" w:sz="4" w:space="0" w:color="auto"/>
          <w:bottom w:val="single" w:sz="4" w:space="0" w:color="auto"/>
          <w:right w:val="single" w:sz="4" w:space="0" w:color="auto"/>
        </w:tblBorders>
        <w:tblLayout w:type="fixed"/>
        <w:tblCellMar>
          <w:left w:w="56" w:type="dxa"/>
          <w:right w:w="56" w:type="dxa"/>
        </w:tblCellMar>
        <w:tblLook w:val="0000" w:firstRow="0" w:lastRow="0" w:firstColumn="0" w:lastColumn="0" w:noHBand="0" w:noVBand="0"/>
      </w:tblPr>
      <w:tblGrid>
        <w:gridCol w:w="1932"/>
        <w:gridCol w:w="2760"/>
        <w:gridCol w:w="4222"/>
      </w:tblGrid>
      <w:tr w:rsidR="001E58F5" w:rsidRPr="007F69DA" w14:paraId="5309BBF1" w14:textId="77777777" w:rsidTr="00B7512C">
        <w:trPr>
          <w:trHeight w:val="247"/>
        </w:trPr>
        <w:tc>
          <w:tcPr>
            <w:tcW w:w="1932" w:type="dxa"/>
            <w:tcBorders>
              <w:top w:val="single" w:sz="4" w:space="0" w:color="auto"/>
              <w:bottom w:val="single" w:sz="4" w:space="0" w:color="auto"/>
              <w:right w:val="single" w:sz="4" w:space="0" w:color="auto"/>
            </w:tcBorders>
            <w:shd w:val="clear" w:color="auto" w:fill="FFC000"/>
          </w:tcPr>
          <w:p w14:paraId="6C149EA0" w14:textId="77777777" w:rsidR="001E58F5" w:rsidRPr="007F69DA" w:rsidRDefault="001E58F5" w:rsidP="00F46ACB">
            <w:pPr>
              <w:spacing w:before="60" w:after="60" w:line="160" w:lineRule="exact"/>
              <w:jc w:val="center"/>
              <w:rPr>
                <w:b/>
                <w:sz w:val="20"/>
                <w:szCs w:val="20"/>
                <w:lang w:bidi="en-US"/>
              </w:rPr>
            </w:pPr>
            <w:r w:rsidRPr="007F69DA">
              <w:rPr>
                <w:b/>
                <w:sz w:val="20"/>
                <w:szCs w:val="20"/>
                <w:lang w:bidi="en-US"/>
              </w:rPr>
              <w:t>Theorie</w:t>
            </w:r>
          </w:p>
        </w:tc>
        <w:tc>
          <w:tcPr>
            <w:tcW w:w="2760" w:type="dxa"/>
            <w:tcBorders>
              <w:top w:val="single" w:sz="4" w:space="0" w:color="auto"/>
              <w:left w:val="single" w:sz="4" w:space="0" w:color="auto"/>
              <w:bottom w:val="single" w:sz="4" w:space="0" w:color="auto"/>
              <w:right w:val="nil"/>
            </w:tcBorders>
            <w:shd w:val="clear" w:color="auto" w:fill="FFC000"/>
          </w:tcPr>
          <w:p w14:paraId="6E16638C" w14:textId="77777777" w:rsidR="001E58F5" w:rsidRPr="007F69DA" w:rsidRDefault="001E58F5" w:rsidP="00F46ACB">
            <w:pPr>
              <w:spacing w:before="60" w:after="60" w:line="160" w:lineRule="exact"/>
              <w:jc w:val="center"/>
              <w:rPr>
                <w:b/>
                <w:sz w:val="20"/>
                <w:szCs w:val="20"/>
                <w:lang w:bidi="en-US"/>
              </w:rPr>
            </w:pPr>
            <w:r w:rsidRPr="007F69DA">
              <w:rPr>
                <w:b/>
                <w:sz w:val="20"/>
                <w:szCs w:val="20"/>
                <w:lang w:bidi="en-US"/>
              </w:rPr>
              <w:t>Zentrale Fragestellung</w:t>
            </w:r>
          </w:p>
        </w:tc>
        <w:tc>
          <w:tcPr>
            <w:tcW w:w="4222" w:type="dxa"/>
            <w:tcBorders>
              <w:top w:val="single" w:sz="4" w:space="0" w:color="auto"/>
              <w:left w:val="nil"/>
              <w:bottom w:val="single" w:sz="4" w:space="0" w:color="auto"/>
            </w:tcBorders>
            <w:shd w:val="clear" w:color="auto" w:fill="FFC000"/>
          </w:tcPr>
          <w:p w14:paraId="6BF5E2C6" w14:textId="77777777" w:rsidR="001E58F5" w:rsidRPr="007F69DA" w:rsidRDefault="001E58F5" w:rsidP="00F46ACB">
            <w:pPr>
              <w:spacing w:before="60" w:after="60" w:line="160" w:lineRule="exact"/>
              <w:jc w:val="center"/>
              <w:rPr>
                <w:b/>
                <w:sz w:val="20"/>
                <w:szCs w:val="20"/>
                <w:lang w:bidi="en-US"/>
              </w:rPr>
            </w:pPr>
            <w:r w:rsidRPr="007F69DA">
              <w:rPr>
                <w:b/>
                <w:sz w:val="20"/>
                <w:szCs w:val="20"/>
                <w:lang w:bidi="en-US"/>
              </w:rPr>
              <w:t>Aussage</w:t>
            </w:r>
          </w:p>
        </w:tc>
      </w:tr>
      <w:tr w:rsidR="001E58F5" w:rsidRPr="007F69DA" w14:paraId="4852A693" w14:textId="77777777" w:rsidTr="00B7512C">
        <w:trPr>
          <w:trHeight w:val="722"/>
        </w:trPr>
        <w:tc>
          <w:tcPr>
            <w:tcW w:w="1932" w:type="dxa"/>
            <w:tcBorders>
              <w:top w:val="single" w:sz="4" w:space="0" w:color="auto"/>
              <w:right w:val="single" w:sz="4" w:space="0" w:color="auto"/>
            </w:tcBorders>
            <w:shd w:val="clear" w:color="auto" w:fill="FFF2CC" w:themeFill="accent4" w:themeFillTint="33"/>
          </w:tcPr>
          <w:p w14:paraId="377BE9B0" w14:textId="77777777" w:rsidR="001E58F5" w:rsidRPr="007F69DA" w:rsidRDefault="001E58F5" w:rsidP="00F46ACB">
            <w:pPr>
              <w:spacing w:before="30" w:after="30" w:line="160" w:lineRule="exact"/>
              <w:rPr>
                <w:sz w:val="20"/>
                <w:szCs w:val="20"/>
                <w:lang w:bidi="en-US"/>
              </w:rPr>
            </w:pPr>
            <w:r w:rsidRPr="007F69DA">
              <w:rPr>
                <w:sz w:val="20"/>
                <w:szCs w:val="20"/>
                <w:lang w:bidi="en-US"/>
              </w:rPr>
              <w:t>Transaktionskosten-ansatz</w:t>
            </w:r>
          </w:p>
          <w:p w14:paraId="27C0D650" w14:textId="77777777" w:rsidR="001E58F5" w:rsidRPr="007F69DA" w:rsidRDefault="001E58F5" w:rsidP="00F46ACB">
            <w:pPr>
              <w:spacing w:before="30" w:after="30" w:line="160" w:lineRule="exact"/>
              <w:rPr>
                <w:sz w:val="20"/>
                <w:szCs w:val="20"/>
                <w:lang w:bidi="en-US"/>
              </w:rPr>
            </w:pPr>
          </w:p>
        </w:tc>
        <w:tc>
          <w:tcPr>
            <w:tcW w:w="2760" w:type="dxa"/>
            <w:tcBorders>
              <w:top w:val="single" w:sz="4" w:space="0" w:color="auto"/>
              <w:left w:val="single" w:sz="4" w:space="0" w:color="auto"/>
              <w:bottom w:val="nil"/>
              <w:right w:val="nil"/>
            </w:tcBorders>
          </w:tcPr>
          <w:p w14:paraId="2BEA7895" w14:textId="77777777" w:rsidR="001E58F5" w:rsidRPr="007F69DA" w:rsidRDefault="001E58F5">
            <w:pPr>
              <w:widowControl/>
              <w:numPr>
                <w:ilvl w:val="0"/>
                <w:numId w:val="42"/>
              </w:numPr>
              <w:tabs>
                <w:tab w:val="clear" w:pos="357"/>
              </w:tabs>
              <w:autoSpaceDE/>
              <w:autoSpaceDN/>
              <w:spacing w:before="30" w:after="30" w:line="276" w:lineRule="auto"/>
              <w:jc w:val="both"/>
              <w:rPr>
                <w:sz w:val="20"/>
                <w:szCs w:val="20"/>
                <w:lang w:bidi="en-US"/>
              </w:rPr>
            </w:pPr>
            <w:r w:rsidRPr="007F69DA">
              <w:rPr>
                <w:sz w:val="20"/>
                <w:szCs w:val="20"/>
                <w:lang w:bidi="en-US"/>
              </w:rPr>
              <w:t>Gründe für die Existenz von Kooperationen</w:t>
            </w:r>
          </w:p>
        </w:tc>
        <w:tc>
          <w:tcPr>
            <w:tcW w:w="4222" w:type="dxa"/>
            <w:tcBorders>
              <w:top w:val="single" w:sz="4" w:space="0" w:color="auto"/>
              <w:left w:val="nil"/>
            </w:tcBorders>
          </w:tcPr>
          <w:p w14:paraId="5D20A479" w14:textId="77777777" w:rsidR="001E58F5" w:rsidRPr="007F69DA" w:rsidRDefault="001E58F5">
            <w:pPr>
              <w:widowControl/>
              <w:numPr>
                <w:ilvl w:val="0"/>
                <w:numId w:val="44"/>
              </w:numPr>
              <w:tabs>
                <w:tab w:val="clear" w:pos="357"/>
              </w:tabs>
              <w:autoSpaceDE/>
              <w:autoSpaceDN/>
              <w:spacing w:before="30" w:after="40" w:line="276" w:lineRule="auto"/>
              <w:jc w:val="both"/>
              <w:rPr>
                <w:sz w:val="20"/>
                <w:szCs w:val="20"/>
                <w:lang w:bidi="en-US"/>
              </w:rPr>
            </w:pPr>
            <w:r w:rsidRPr="007F69DA">
              <w:rPr>
                <w:sz w:val="20"/>
                <w:szCs w:val="20"/>
                <w:lang w:bidi="en-US"/>
              </w:rPr>
              <w:t>Unternehmen kooperieren, wenn die Zusammenarbeit sowohl marktlichen als auch hierarchischen Transaktions</w:t>
            </w:r>
            <w:r w:rsidRPr="007F69DA">
              <w:rPr>
                <w:sz w:val="20"/>
                <w:szCs w:val="20"/>
                <w:lang w:bidi="en-US"/>
              </w:rPr>
              <w:softHyphen/>
              <w:t>formen überlegen ist.</w:t>
            </w:r>
          </w:p>
        </w:tc>
      </w:tr>
      <w:tr w:rsidR="001E58F5" w:rsidRPr="007F69DA" w14:paraId="4216886B" w14:textId="77777777" w:rsidTr="00B7512C">
        <w:trPr>
          <w:trHeight w:hRule="exact" w:val="62"/>
        </w:trPr>
        <w:tc>
          <w:tcPr>
            <w:tcW w:w="1932" w:type="dxa"/>
            <w:tcBorders>
              <w:right w:val="single" w:sz="4" w:space="0" w:color="auto"/>
            </w:tcBorders>
            <w:shd w:val="clear" w:color="auto" w:fill="FFF2CC" w:themeFill="accent4" w:themeFillTint="33"/>
          </w:tcPr>
          <w:p w14:paraId="25CD2F78" w14:textId="77777777" w:rsidR="001E58F5" w:rsidRPr="007F69DA" w:rsidRDefault="001E58F5" w:rsidP="00F46ACB">
            <w:pPr>
              <w:spacing w:before="30" w:after="30"/>
              <w:rPr>
                <w:sz w:val="20"/>
                <w:szCs w:val="20"/>
                <w:lang w:bidi="en-US"/>
              </w:rPr>
            </w:pPr>
          </w:p>
        </w:tc>
        <w:tc>
          <w:tcPr>
            <w:tcW w:w="2760" w:type="dxa"/>
            <w:tcBorders>
              <w:top w:val="nil"/>
              <w:left w:val="single" w:sz="4" w:space="0" w:color="auto"/>
              <w:bottom w:val="nil"/>
              <w:right w:val="nil"/>
            </w:tcBorders>
          </w:tcPr>
          <w:p w14:paraId="4BA2CECF" w14:textId="77777777" w:rsidR="001E58F5" w:rsidRPr="007F69DA" w:rsidRDefault="001E58F5" w:rsidP="00B7512C">
            <w:pPr>
              <w:spacing w:before="30" w:after="30" w:line="276" w:lineRule="auto"/>
              <w:rPr>
                <w:sz w:val="20"/>
                <w:szCs w:val="20"/>
                <w:lang w:bidi="en-US"/>
              </w:rPr>
            </w:pPr>
          </w:p>
        </w:tc>
        <w:tc>
          <w:tcPr>
            <w:tcW w:w="4222" w:type="dxa"/>
            <w:tcBorders>
              <w:left w:val="nil"/>
            </w:tcBorders>
          </w:tcPr>
          <w:p w14:paraId="3FE4A83A" w14:textId="77777777" w:rsidR="001E58F5" w:rsidRPr="007F69DA" w:rsidRDefault="001E58F5" w:rsidP="00B7512C">
            <w:pPr>
              <w:spacing w:before="30" w:after="30" w:line="276" w:lineRule="auto"/>
              <w:rPr>
                <w:sz w:val="20"/>
                <w:szCs w:val="20"/>
                <w:lang w:bidi="en-US"/>
              </w:rPr>
            </w:pPr>
          </w:p>
        </w:tc>
      </w:tr>
      <w:tr w:rsidR="001E58F5" w:rsidRPr="007F69DA" w14:paraId="2A64EB94" w14:textId="77777777" w:rsidTr="00B7512C">
        <w:trPr>
          <w:trHeight w:val="1208"/>
        </w:trPr>
        <w:tc>
          <w:tcPr>
            <w:tcW w:w="1932" w:type="dxa"/>
            <w:tcBorders>
              <w:right w:val="single" w:sz="4" w:space="0" w:color="auto"/>
            </w:tcBorders>
            <w:shd w:val="clear" w:color="auto" w:fill="FFF2CC" w:themeFill="accent4" w:themeFillTint="33"/>
          </w:tcPr>
          <w:p w14:paraId="757C586B" w14:textId="77777777" w:rsidR="001E58F5" w:rsidRPr="007F69DA" w:rsidRDefault="001E58F5" w:rsidP="00F46ACB">
            <w:pPr>
              <w:spacing w:before="30" w:after="30" w:line="160" w:lineRule="exact"/>
              <w:rPr>
                <w:sz w:val="20"/>
                <w:szCs w:val="20"/>
                <w:lang w:bidi="en-US"/>
              </w:rPr>
            </w:pPr>
            <w:r w:rsidRPr="007F69DA">
              <w:rPr>
                <w:sz w:val="20"/>
                <w:szCs w:val="20"/>
                <w:lang w:bidi="en-US"/>
              </w:rPr>
              <w:t>Spieltheorie</w:t>
            </w:r>
          </w:p>
          <w:p w14:paraId="3E59021F" w14:textId="77777777" w:rsidR="001E58F5" w:rsidRPr="007F69DA" w:rsidRDefault="001E58F5" w:rsidP="00F46ACB">
            <w:pPr>
              <w:spacing w:before="30" w:after="30" w:line="160" w:lineRule="exact"/>
              <w:rPr>
                <w:sz w:val="20"/>
                <w:szCs w:val="20"/>
                <w:lang w:bidi="en-US"/>
              </w:rPr>
            </w:pPr>
          </w:p>
        </w:tc>
        <w:tc>
          <w:tcPr>
            <w:tcW w:w="2760" w:type="dxa"/>
            <w:tcBorders>
              <w:top w:val="nil"/>
              <w:left w:val="single" w:sz="4" w:space="0" w:color="auto"/>
              <w:bottom w:val="nil"/>
              <w:right w:val="nil"/>
            </w:tcBorders>
          </w:tcPr>
          <w:p w14:paraId="77B345D6" w14:textId="77777777" w:rsidR="001E58F5" w:rsidRPr="007F69DA" w:rsidRDefault="001E58F5">
            <w:pPr>
              <w:widowControl/>
              <w:numPr>
                <w:ilvl w:val="0"/>
                <w:numId w:val="42"/>
              </w:numPr>
              <w:tabs>
                <w:tab w:val="clear" w:pos="357"/>
              </w:tabs>
              <w:autoSpaceDE/>
              <w:autoSpaceDN/>
              <w:spacing w:before="30" w:after="30" w:line="276" w:lineRule="auto"/>
              <w:rPr>
                <w:sz w:val="20"/>
                <w:szCs w:val="20"/>
                <w:lang w:bidi="en-US"/>
              </w:rPr>
            </w:pPr>
            <w:r w:rsidRPr="007F69DA">
              <w:rPr>
                <w:sz w:val="20"/>
                <w:szCs w:val="20"/>
                <w:lang w:bidi="en-US"/>
              </w:rPr>
              <w:t>Wechselseitiges Verhalten der Kooperationspartner</w:t>
            </w:r>
          </w:p>
          <w:p w14:paraId="338B1622" w14:textId="77777777" w:rsidR="001E58F5" w:rsidRPr="007F69DA" w:rsidRDefault="001E58F5">
            <w:pPr>
              <w:widowControl/>
              <w:numPr>
                <w:ilvl w:val="0"/>
                <w:numId w:val="42"/>
              </w:numPr>
              <w:tabs>
                <w:tab w:val="clear" w:pos="357"/>
              </w:tabs>
              <w:autoSpaceDE/>
              <w:autoSpaceDN/>
              <w:spacing w:before="30" w:after="30" w:line="276" w:lineRule="auto"/>
              <w:rPr>
                <w:sz w:val="20"/>
                <w:szCs w:val="20"/>
                <w:lang w:bidi="en-US"/>
              </w:rPr>
            </w:pPr>
            <w:r w:rsidRPr="007F69DA">
              <w:rPr>
                <w:sz w:val="20"/>
                <w:szCs w:val="20"/>
                <w:lang w:bidi="en-US"/>
              </w:rPr>
              <w:t>Einflussfaktoren der Stabilität von Kooperationen</w:t>
            </w:r>
          </w:p>
        </w:tc>
        <w:tc>
          <w:tcPr>
            <w:tcW w:w="4222" w:type="dxa"/>
            <w:tcBorders>
              <w:left w:val="nil"/>
            </w:tcBorders>
          </w:tcPr>
          <w:p w14:paraId="79DCE5B3" w14:textId="77777777" w:rsidR="001E58F5" w:rsidRPr="007F69DA" w:rsidRDefault="001E58F5">
            <w:pPr>
              <w:widowControl/>
              <w:numPr>
                <w:ilvl w:val="0"/>
                <w:numId w:val="44"/>
              </w:numPr>
              <w:tabs>
                <w:tab w:val="clear" w:pos="357"/>
              </w:tabs>
              <w:autoSpaceDE/>
              <w:autoSpaceDN/>
              <w:spacing w:before="30" w:after="40" w:line="276" w:lineRule="auto"/>
              <w:jc w:val="both"/>
              <w:rPr>
                <w:sz w:val="20"/>
                <w:szCs w:val="20"/>
                <w:lang w:bidi="en-US"/>
              </w:rPr>
            </w:pPr>
            <w:r w:rsidRPr="007F69DA">
              <w:rPr>
                <w:sz w:val="20"/>
                <w:szCs w:val="20"/>
                <w:lang w:bidi="en-US"/>
              </w:rPr>
              <w:t>Kooperationspartner verhalten sich u.a. dann nicht opportu</w:t>
            </w:r>
            <w:r w:rsidRPr="007F69DA">
              <w:rPr>
                <w:sz w:val="20"/>
                <w:szCs w:val="20"/>
                <w:lang w:bidi="en-US"/>
              </w:rPr>
              <w:softHyphen/>
              <w:t>nistisch, wenn die Zusammen</w:t>
            </w:r>
            <w:r w:rsidRPr="007F69DA">
              <w:rPr>
                <w:sz w:val="20"/>
                <w:szCs w:val="20"/>
                <w:lang w:bidi="en-US"/>
              </w:rPr>
              <w:softHyphen/>
              <w:t>arbeit mit einer Kapitalbeteiligung unterlegt wird. Denn dieses Commitment signali</w:t>
            </w:r>
            <w:r w:rsidRPr="007F69DA">
              <w:rPr>
                <w:sz w:val="20"/>
                <w:szCs w:val="20"/>
                <w:lang w:bidi="en-US"/>
              </w:rPr>
              <w:softHyphen/>
              <w:t>siert die Bereitschaft zu ko</w:t>
            </w:r>
            <w:r w:rsidRPr="007F69DA">
              <w:rPr>
                <w:sz w:val="20"/>
                <w:szCs w:val="20"/>
                <w:lang w:bidi="en-US"/>
              </w:rPr>
              <w:softHyphen/>
              <w:t>operativem Verhalten. Dadurch entsteht eine Win/Win-Situation.</w:t>
            </w:r>
          </w:p>
        </w:tc>
      </w:tr>
      <w:tr w:rsidR="001E58F5" w:rsidRPr="007F69DA" w14:paraId="104A179E" w14:textId="77777777" w:rsidTr="00B7512C">
        <w:trPr>
          <w:trHeight w:hRule="exact" w:val="62"/>
        </w:trPr>
        <w:tc>
          <w:tcPr>
            <w:tcW w:w="1932" w:type="dxa"/>
            <w:tcBorders>
              <w:right w:val="single" w:sz="4" w:space="0" w:color="auto"/>
            </w:tcBorders>
            <w:shd w:val="clear" w:color="auto" w:fill="FFF2CC" w:themeFill="accent4" w:themeFillTint="33"/>
          </w:tcPr>
          <w:p w14:paraId="7CAE67CD" w14:textId="77777777" w:rsidR="001E58F5" w:rsidRPr="007F69DA" w:rsidRDefault="001E58F5" w:rsidP="00F46ACB">
            <w:pPr>
              <w:spacing w:before="30" w:after="30"/>
              <w:rPr>
                <w:sz w:val="20"/>
                <w:szCs w:val="20"/>
                <w:lang w:bidi="en-US"/>
              </w:rPr>
            </w:pPr>
          </w:p>
        </w:tc>
        <w:tc>
          <w:tcPr>
            <w:tcW w:w="2760" w:type="dxa"/>
            <w:tcBorders>
              <w:top w:val="nil"/>
              <w:left w:val="single" w:sz="4" w:space="0" w:color="auto"/>
              <w:bottom w:val="nil"/>
              <w:right w:val="nil"/>
            </w:tcBorders>
          </w:tcPr>
          <w:p w14:paraId="49D117E9" w14:textId="77777777" w:rsidR="001E58F5" w:rsidRPr="007F69DA" w:rsidRDefault="001E58F5" w:rsidP="00B7512C">
            <w:pPr>
              <w:spacing w:before="30" w:after="30" w:line="276" w:lineRule="auto"/>
              <w:rPr>
                <w:sz w:val="20"/>
                <w:szCs w:val="20"/>
                <w:lang w:bidi="en-US"/>
              </w:rPr>
            </w:pPr>
          </w:p>
        </w:tc>
        <w:tc>
          <w:tcPr>
            <w:tcW w:w="4222" w:type="dxa"/>
            <w:tcBorders>
              <w:left w:val="nil"/>
            </w:tcBorders>
          </w:tcPr>
          <w:p w14:paraId="758F29F8" w14:textId="77777777" w:rsidR="001E58F5" w:rsidRPr="007F69DA" w:rsidRDefault="001E58F5" w:rsidP="00B7512C">
            <w:pPr>
              <w:spacing w:before="30" w:after="30" w:line="276" w:lineRule="auto"/>
              <w:rPr>
                <w:sz w:val="20"/>
                <w:szCs w:val="20"/>
                <w:lang w:bidi="en-US"/>
              </w:rPr>
            </w:pPr>
          </w:p>
        </w:tc>
      </w:tr>
      <w:tr w:rsidR="001E58F5" w:rsidRPr="007F69DA" w14:paraId="555F405E" w14:textId="77777777" w:rsidTr="00B7512C">
        <w:trPr>
          <w:trHeight w:val="2082"/>
        </w:trPr>
        <w:tc>
          <w:tcPr>
            <w:tcW w:w="1932" w:type="dxa"/>
            <w:tcBorders>
              <w:right w:val="single" w:sz="4" w:space="0" w:color="auto"/>
            </w:tcBorders>
            <w:shd w:val="clear" w:color="auto" w:fill="FFF2CC" w:themeFill="accent4" w:themeFillTint="33"/>
          </w:tcPr>
          <w:p w14:paraId="0578BA14" w14:textId="77777777" w:rsidR="001E58F5" w:rsidRPr="007F69DA" w:rsidRDefault="001E58F5" w:rsidP="00F46ACB">
            <w:pPr>
              <w:spacing w:before="30" w:after="30" w:line="160" w:lineRule="exact"/>
              <w:rPr>
                <w:sz w:val="20"/>
                <w:szCs w:val="20"/>
                <w:lang w:val="en-GB" w:bidi="en-US"/>
              </w:rPr>
            </w:pPr>
            <w:r w:rsidRPr="007F69DA">
              <w:rPr>
                <w:sz w:val="20"/>
                <w:szCs w:val="20"/>
                <w:lang w:val="en-GB" w:bidi="en-US"/>
              </w:rPr>
              <w:t>Agency-Theorie</w:t>
            </w:r>
          </w:p>
          <w:p w14:paraId="03875528" w14:textId="77777777" w:rsidR="001E58F5" w:rsidRPr="007F69DA" w:rsidRDefault="001E58F5" w:rsidP="00F46ACB">
            <w:pPr>
              <w:spacing w:before="30" w:after="30" w:line="160" w:lineRule="exact"/>
              <w:rPr>
                <w:sz w:val="20"/>
                <w:szCs w:val="20"/>
                <w:lang w:bidi="en-US"/>
              </w:rPr>
            </w:pPr>
          </w:p>
        </w:tc>
        <w:tc>
          <w:tcPr>
            <w:tcW w:w="2760" w:type="dxa"/>
            <w:tcBorders>
              <w:top w:val="nil"/>
              <w:left w:val="single" w:sz="4" w:space="0" w:color="auto"/>
              <w:bottom w:val="nil"/>
              <w:right w:val="nil"/>
            </w:tcBorders>
          </w:tcPr>
          <w:p w14:paraId="79DA825F" w14:textId="77777777" w:rsidR="001E58F5" w:rsidRPr="007F69DA" w:rsidRDefault="001E58F5">
            <w:pPr>
              <w:widowControl/>
              <w:numPr>
                <w:ilvl w:val="0"/>
                <w:numId w:val="42"/>
              </w:numPr>
              <w:tabs>
                <w:tab w:val="clear" w:pos="357"/>
              </w:tabs>
              <w:autoSpaceDE/>
              <w:autoSpaceDN/>
              <w:spacing w:before="30" w:after="30" w:line="276" w:lineRule="auto"/>
              <w:rPr>
                <w:sz w:val="20"/>
                <w:szCs w:val="20"/>
                <w:lang w:bidi="en-US"/>
              </w:rPr>
            </w:pPr>
            <w:r w:rsidRPr="007F69DA">
              <w:rPr>
                <w:sz w:val="20"/>
                <w:szCs w:val="20"/>
                <w:lang w:bidi="en-US"/>
              </w:rPr>
              <w:t>Wechselseitiges Verhalten der Kooperationspartner</w:t>
            </w:r>
          </w:p>
          <w:p w14:paraId="4EC8621C" w14:textId="77777777" w:rsidR="001E58F5" w:rsidRPr="007F69DA" w:rsidRDefault="001E58F5">
            <w:pPr>
              <w:widowControl/>
              <w:numPr>
                <w:ilvl w:val="0"/>
                <w:numId w:val="42"/>
              </w:numPr>
              <w:tabs>
                <w:tab w:val="clear" w:pos="357"/>
              </w:tabs>
              <w:autoSpaceDE/>
              <w:autoSpaceDN/>
              <w:spacing w:before="30" w:after="30" w:line="276" w:lineRule="auto"/>
              <w:rPr>
                <w:sz w:val="20"/>
                <w:szCs w:val="20"/>
                <w:lang w:bidi="en-US"/>
              </w:rPr>
            </w:pPr>
            <w:r w:rsidRPr="007F69DA">
              <w:rPr>
                <w:sz w:val="20"/>
                <w:szCs w:val="20"/>
                <w:lang w:bidi="en-US"/>
              </w:rPr>
              <w:t>Einflussfaktoren der Stabilität von Kooperationen</w:t>
            </w:r>
          </w:p>
        </w:tc>
        <w:tc>
          <w:tcPr>
            <w:tcW w:w="4222" w:type="dxa"/>
            <w:tcBorders>
              <w:left w:val="nil"/>
            </w:tcBorders>
          </w:tcPr>
          <w:p w14:paraId="78689FB7" w14:textId="77777777" w:rsidR="001E58F5" w:rsidRPr="007F69DA" w:rsidRDefault="001E58F5">
            <w:pPr>
              <w:widowControl/>
              <w:numPr>
                <w:ilvl w:val="0"/>
                <w:numId w:val="45"/>
              </w:numPr>
              <w:tabs>
                <w:tab w:val="clear" w:pos="357"/>
              </w:tabs>
              <w:autoSpaceDE/>
              <w:autoSpaceDN/>
              <w:spacing w:before="30" w:after="30" w:line="276" w:lineRule="auto"/>
              <w:jc w:val="both"/>
              <w:rPr>
                <w:sz w:val="20"/>
                <w:szCs w:val="20"/>
                <w:lang w:bidi="en-US"/>
              </w:rPr>
            </w:pPr>
            <w:r w:rsidRPr="007F69DA">
              <w:rPr>
                <w:sz w:val="20"/>
                <w:szCs w:val="20"/>
                <w:lang w:bidi="en-US"/>
              </w:rPr>
              <w:t>Das Handeln des Agenten (z.B. Ma</w:t>
            </w:r>
            <w:r w:rsidRPr="007F69DA">
              <w:rPr>
                <w:sz w:val="20"/>
                <w:szCs w:val="20"/>
                <w:lang w:bidi="en-US"/>
              </w:rPr>
              <w:softHyphen/>
              <w:t xml:space="preserve">nager) beeinflusst das Wohlergehen des Principals (z.B. Aktionär). </w:t>
            </w:r>
          </w:p>
          <w:p w14:paraId="60C41DA0" w14:textId="77777777" w:rsidR="001E58F5" w:rsidRPr="007F69DA" w:rsidRDefault="001E58F5">
            <w:pPr>
              <w:widowControl/>
              <w:numPr>
                <w:ilvl w:val="0"/>
                <w:numId w:val="45"/>
              </w:numPr>
              <w:tabs>
                <w:tab w:val="clear" w:pos="357"/>
              </w:tabs>
              <w:autoSpaceDE/>
              <w:autoSpaceDN/>
              <w:spacing w:before="30" w:after="30" w:line="276" w:lineRule="auto"/>
              <w:jc w:val="both"/>
              <w:rPr>
                <w:sz w:val="20"/>
                <w:szCs w:val="20"/>
                <w:lang w:bidi="en-US"/>
              </w:rPr>
            </w:pPr>
            <w:r w:rsidRPr="007F69DA">
              <w:rPr>
                <w:sz w:val="20"/>
                <w:szCs w:val="20"/>
                <w:lang w:bidi="en-US"/>
              </w:rPr>
              <w:t>Agenten haben einen Informations</w:t>
            </w:r>
            <w:r w:rsidRPr="007F69DA">
              <w:rPr>
                <w:sz w:val="20"/>
                <w:szCs w:val="20"/>
                <w:lang w:bidi="en-US"/>
              </w:rPr>
              <w:softHyphen/>
              <w:t xml:space="preserve">vorsprung, den sie zur Durchsetzung eigener Ziele nutzen können. </w:t>
            </w:r>
          </w:p>
          <w:p w14:paraId="5EB15D90" w14:textId="77777777" w:rsidR="001E58F5" w:rsidRPr="007F69DA" w:rsidRDefault="001E58F5">
            <w:pPr>
              <w:widowControl/>
              <w:numPr>
                <w:ilvl w:val="0"/>
                <w:numId w:val="45"/>
              </w:numPr>
              <w:tabs>
                <w:tab w:val="clear" w:pos="357"/>
              </w:tabs>
              <w:autoSpaceDE/>
              <w:autoSpaceDN/>
              <w:spacing w:before="30" w:after="40" w:line="276" w:lineRule="auto"/>
              <w:jc w:val="both"/>
              <w:rPr>
                <w:sz w:val="20"/>
                <w:szCs w:val="20"/>
                <w:lang w:bidi="en-US"/>
              </w:rPr>
            </w:pPr>
            <w:r w:rsidRPr="007F69DA">
              <w:rPr>
                <w:sz w:val="20"/>
                <w:szCs w:val="20"/>
                <w:lang w:bidi="en-US"/>
              </w:rPr>
              <w:t>In Kooperationen kommen Agency-Probleme auf zweifache Weise zum Tragen: Zum einen innerhalb der Kooperation und zum anderen zwischen dem gemeinsamen Leitungsgremium und den Führungskräften in der Ko</w:t>
            </w:r>
            <w:r w:rsidRPr="007F69DA">
              <w:rPr>
                <w:sz w:val="20"/>
                <w:szCs w:val="20"/>
                <w:lang w:bidi="en-US"/>
              </w:rPr>
              <w:softHyphen/>
              <w:t>operation.</w:t>
            </w:r>
          </w:p>
        </w:tc>
      </w:tr>
      <w:tr w:rsidR="001E58F5" w:rsidRPr="007F69DA" w14:paraId="71E880EC" w14:textId="77777777" w:rsidTr="00B7512C">
        <w:trPr>
          <w:trHeight w:hRule="exact" w:val="62"/>
        </w:trPr>
        <w:tc>
          <w:tcPr>
            <w:tcW w:w="1932" w:type="dxa"/>
            <w:tcBorders>
              <w:right w:val="single" w:sz="4" w:space="0" w:color="auto"/>
            </w:tcBorders>
            <w:shd w:val="clear" w:color="auto" w:fill="FFF2CC" w:themeFill="accent4" w:themeFillTint="33"/>
          </w:tcPr>
          <w:p w14:paraId="423534EF" w14:textId="77777777" w:rsidR="001E58F5" w:rsidRPr="007F69DA" w:rsidRDefault="001E58F5" w:rsidP="00F46ACB">
            <w:pPr>
              <w:spacing w:before="30" w:after="30"/>
              <w:rPr>
                <w:sz w:val="20"/>
                <w:szCs w:val="20"/>
                <w:lang w:bidi="en-US"/>
              </w:rPr>
            </w:pPr>
          </w:p>
        </w:tc>
        <w:tc>
          <w:tcPr>
            <w:tcW w:w="2760" w:type="dxa"/>
            <w:tcBorders>
              <w:top w:val="nil"/>
              <w:left w:val="single" w:sz="4" w:space="0" w:color="auto"/>
              <w:bottom w:val="nil"/>
              <w:right w:val="nil"/>
            </w:tcBorders>
          </w:tcPr>
          <w:p w14:paraId="0E3C860D" w14:textId="77777777" w:rsidR="001E58F5" w:rsidRPr="007F69DA" w:rsidRDefault="001E58F5" w:rsidP="00B7512C">
            <w:pPr>
              <w:spacing w:before="30" w:after="30" w:line="276" w:lineRule="auto"/>
              <w:rPr>
                <w:sz w:val="20"/>
                <w:szCs w:val="20"/>
                <w:lang w:bidi="en-US"/>
              </w:rPr>
            </w:pPr>
          </w:p>
        </w:tc>
        <w:tc>
          <w:tcPr>
            <w:tcW w:w="4222" w:type="dxa"/>
            <w:tcBorders>
              <w:left w:val="nil"/>
            </w:tcBorders>
          </w:tcPr>
          <w:p w14:paraId="42EF504D" w14:textId="77777777" w:rsidR="001E58F5" w:rsidRPr="007F69DA" w:rsidRDefault="001E58F5" w:rsidP="00B7512C">
            <w:pPr>
              <w:spacing w:before="30" w:after="30" w:line="276" w:lineRule="auto"/>
              <w:rPr>
                <w:sz w:val="20"/>
                <w:szCs w:val="20"/>
                <w:lang w:bidi="en-US"/>
              </w:rPr>
            </w:pPr>
          </w:p>
        </w:tc>
      </w:tr>
      <w:tr w:rsidR="001E58F5" w:rsidRPr="007F69DA" w14:paraId="44800D3C" w14:textId="77777777" w:rsidTr="00B7512C">
        <w:trPr>
          <w:trHeight w:val="152"/>
        </w:trPr>
        <w:tc>
          <w:tcPr>
            <w:tcW w:w="1932" w:type="dxa"/>
            <w:tcBorders>
              <w:right w:val="single" w:sz="4" w:space="0" w:color="auto"/>
            </w:tcBorders>
            <w:shd w:val="clear" w:color="auto" w:fill="FFF2CC" w:themeFill="accent4" w:themeFillTint="33"/>
          </w:tcPr>
          <w:p w14:paraId="7FA6CD99" w14:textId="77777777" w:rsidR="001E58F5" w:rsidRPr="007F69DA" w:rsidRDefault="001E58F5" w:rsidP="00F46ACB">
            <w:pPr>
              <w:spacing w:before="30" w:after="30" w:line="160" w:lineRule="exact"/>
              <w:rPr>
                <w:sz w:val="20"/>
                <w:szCs w:val="20"/>
                <w:lang w:bidi="en-US"/>
              </w:rPr>
            </w:pPr>
            <w:r w:rsidRPr="007F69DA">
              <w:rPr>
                <w:sz w:val="20"/>
                <w:szCs w:val="20"/>
                <w:lang w:bidi="en-US"/>
              </w:rPr>
              <w:t>Theorie des organi</w:t>
            </w:r>
            <w:r w:rsidRPr="007F69DA">
              <w:rPr>
                <w:sz w:val="20"/>
                <w:szCs w:val="20"/>
                <w:lang w:bidi="en-US"/>
              </w:rPr>
              <w:softHyphen/>
              <w:t>sationalen Lernens</w:t>
            </w:r>
          </w:p>
          <w:p w14:paraId="3D2A6E21" w14:textId="77777777" w:rsidR="001E58F5" w:rsidRPr="007F69DA" w:rsidRDefault="001E58F5" w:rsidP="00F46ACB">
            <w:pPr>
              <w:spacing w:before="30" w:after="30" w:line="160" w:lineRule="exact"/>
              <w:rPr>
                <w:sz w:val="20"/>
                <w:szCs w:val="20"/>
                <w:lang w:bidi="en-US"/>
              </w:rPr>
            </w:pPr>
          </w:p>
        </w:tc>
        <w:tc>
          <w:tcPr>
            <w:tcW w:w="2760" w:type="dxa"/>
            <w:tcBorders>
              <w:top w:val="nil"/>
              <w:left w:val="single" w:sz="4" w:space="0" w:color="auto"/>
              <w:bottom w:val="single" w:sz="4" w:space="0" w:color="auto"/>
              <w:right w:val="nil"/>
            </w:tcBorders>
          </w:tcPr>
          <w:p w14:paraId="1FCFB218" w14:textId="77777777" w:rsidR="001E58F5" w:rsidRPr="007F69DA" w:rsidRDefault="001E58F5">
            <w:pPr>
              <w:widowControl/>
              <w:numPr>
                <w:ilvl w:val="0"/>
                <w:numId w:val="43"/>
              </w:numPr>
              <w:tabs>
                <w:tab w:val="clear" w:pos="357"/>
              </w:tabs>
              <w:autoSpaceDE/>
              <w:autoSpaceDN/>
              <w:spacing w:before="30" w:after="30" w:line="276" w:lineRule="auto"/>
              <w:rPr>
                <w:sz w:val="20"/>
                <w:szCs w:val="20"/>
                <w:lang w:bidi="en-US"/>
              </w:rPr>
            </w:pPr>
            <w:r w:rsidRPr="007F69DA">
              <w:rPr>
                <w:sz w:val="20"/>
                <w:szCs w:val="20"/>
                <w:lang w:bidi="en-US"/>
              </w:rPr>
              <w:t xml:space="preserve">Unter welchen Bedingungen kann ein Unternehmen in einer Kooperation Know how des Partners internalisieren? </w:t>
            </w:r>
          </w:p>
          <w:p w14:paraId="7DF00ED8" w14:textId="77777777" w:rsidR="001E58F5" w:rsidRPr="007F69DA" w:rsidRDefault="001E58F5">
            <w:pPr>
              <w:widowControl/>
              <w:numPr>
                <w:ilvl w:val="0"/>
                <w:numId w:val="43"/>
              </w:numPr>
              <w:tabs>
                <w:tab w:val="clear" w:pos="357"/>
              </w:tabs>
              <w:autoSpaceDE/>
              <w:autoSpaceDN/>
              <w:spacing w:before="30" w:after="40" w:line="276" w:lineRule="auto"/>
              <w:rPr>
                <w:sz w:val="20"/>
                <w:szCs w:val="20"/>
                <w:lang w:bidi="en-US"/>
              </w:rPr>
            </w:pPr>
            <w:r w:rsidRPr="007F69DA">
              <w:rPr>
                <w:sz w:val="20"/>
                <w:szCs w:val="20"/>
                <w:lang w:bidi="en-US"/>
              </w:rPr>
              <w:t>Möglichkeiten zum Schutz des Know how vor Diffusion</w:t>
            </w:r>
          </w:p>
        </w:tc>
        <w:tc>
          <w:tcPr>
            <w:tcW w:w="4222" w:type="dxa"/>
            <w:tcBorders>
              <w:left w:val="nil"/>
              <w:bottom w:val="single" w:sz="4" w:space="0" w:color="auto"/>
            </w:tcBorders>
          </w:tcPr>
          <w:p w14:paraId="7D766349" w14:textId="77777777" w:rsidR="001E58F5" w:rsidRPr="007F69DA" w:rsidRDefault="001E58F5">
            <w:pPr>
              <w:widowControl/>
              <w:numPr>
                <w:ilvl w:val="0"/>
                <w:numId w:val="45"/>
              </w:numPr>
              <w:tabs>
                <w:tab w:val="clear" w:pos="357"/>
              </w:tabs>
              <w:autoSpaceDE/>
              <w:autoSpaceDN/>
              <w:spacing w:before="30" w:after="30" w:line="276" w:lineRule="auto"/>
              <w:jc w:val="both"/>
              <w:rPr>
                <w:sz w:val="20"/>
                <w:szCs w:val="20"/>
                <w:lang w:bidi="en-US"/>
              </w:rPr>
            </w:pPr>
            <w:r w:rsidRPr="007F69DA">
              <w:rPr>
                <w:sz w:val="20"/>
                <w:szCs w:val="20"/>
                <w:lang w:bidi="en-US"/>
              </w:rPr>
              <w:t xml:space="preserve">Kooperationen dienen in erster Linie dem Zugriff auf das Know how des Partnerunternehmens. </w:t>
            </w:r>
          </w:p>
          <w:p w14:paraId="41CBDA3C" w14:textId="77777777" w:rsidR="001E58F5" w:rsidRPr="007F69DA" w:rsidRDefault="001E58F5">
            <w:pPr>
              <w:widowControl/>
              <w:numPr>
                <w:ilvl w:val="0"/>
                <w:numId w:val="45"/>
              </w:numPr>
              <w:tabs>
                <w:tab w:val="clear" w:pos="357"/>
              </w:tabs>
              <w:autoSpaceDE/>
              <w:autoSpaceDN/>
              <w:spacing w:before="30" w:after="30" w:line="276" w:lineRule="auto"/>
              <w:jc w:val="both"/>
              <w:rPr>
                <w:sz w:val="20"/>
                <w:szCs w:val="20"/>
                <w:lang w:bidi="en-US"/>
              </w:rPr>
            </w:pPr>
            <w:r w:rsidRPr="007F69DA">
              <w:rPr>
                <w:sz w:val="20"/>
                <w:szCs w:val="20"/>
                <w:lang w:bidi="en-US"/>
              </w:rPr>
              <w:t>Der Erfolg einer Kooperation hängt vom Gleichgewicht der Partner ab.</w:t>
            </w:r>
          </w:p>
        </w:tc>
      </w:tr>
    </w:tbl>
    <w:p w14:paraId="7F887DAD" w14:textId="77777777" w:rsidR="001E58F5" w:rsidRPr="00B7512C" w:rsidRDefault="001E58F5" w:rsidP="001E58F5">
      <w:pPr>
        <w:spacing w:before="60" w:after="120"/>
        <w:ind w:left="425" w:hanging="425"/>
        <w:rPr>
          <w:sz w:val="20"/>
          <w:szCs w:val="20"/>
          <w:lang w:eastAsia="de-DE"/>
        </w:rPr>
      </w:pPr>
      <w:r w:rsidRPr="00B7512C">
        <w:rPr>
          <w:sz w:val="20"/>
          <w:szCs w:val="20"/>
          <w:lang w:eastAsia="de-DE"/>
        </w:rPr>
        <w:t>Quelle:</w:t>
      </w:r>
      <w:r w:rsidRPr="00B7512C">
        <w:rPr>
          <w:sz w:val="20"/>
          <w:szCs w:val="20"/>
          <w:lang w:eastAsia="de-DE"/>
        </w:rPr>
        <w:tab/>
        <w:t>Pausenberger/Nöcker (2000, S.395).</w:t>
      </w:r>
    </w:p>
    <w:p w14:paraId="324A4F9B" w14:textId="77777777" w:rsidR="001E58F5" w:rsidRPr="007F69DA" w:rsidRDefault="001E58F5" w:rsidP="001E58F5">
      <w:pPr>
        <w:spacing w:before="60" w:after="120"/>
        <w:ind w:left="425" w:hanging="425"/>
        <w:rPr>
          <w:sz w:val="16"/>
          <w:szCs w:val="16"/>
          <w:lang w:eastAsia="de-DE"/>
        </w:rPr>
      </w:pPr>
    </w:p>
    <w:p w14:paraId="67DCCD97" w14:textId="77777777" w:rsidR="001E58F5" w:rsidRPr="007F69DA" w:rsidRDefault="001E58F5" w:rsidP="001E58F5">
      <w:pPr>
        <w:pStyle w:val="Erlaeuterung"/>
        <w:spacing w:line="240" w:lineRule="auto"/>
        <w:rPr>
          <w:bCs w:val="0"/>
          <w:sz w:val="24"/>
          <w:szCs w:val="24"/>
          <w:lang w:eastAsia="en-US" w:bidi="en-US"/>
        </w:rPr>
      </w:pPr>
      <w:r w:rsidRPr="007F69DA">
        <w:rPr>
          <w:bCs w:val="0"/>
          <w:sz w:val="24"/>
          <w:szCs w:val="24"/>
          <w:lang w:eastAsia="en-US" w:bidi="en-US"/>
        </w:rPr>
        <w:t xml:space="preserve">Ob für den </w:t>
      </w:r>
      <w:r w:rsidRPr="007F69DA">
        <w:rPr>
          <w:bCs w:val="0"/>
          <w:sz w:val="24"/>
          <w:szCs w:val="24"/>
          <w:lang w:eastAsia="en-US" w:bidi="en-US"/>
        </w:rPr>
        <w:sym w:font="Symbol" w:char="F0DE"/>
      </w:r>
      <w:r w:rsidRPr="007F69DA">
        <w:rPr>
          <w:bCs w:val="0"/>
          <w:sz w:val="24"/>
          <w:szCs w:val="24"/>
          <w:lang w:eastAsia="en-US" w:bidi="en-US"/>
        </w:rPr>
        <w:t xml:space="preserve"> Export, eine Auslandsproduktion oder für die Zusammenarbeit mit einem ausländischen Lizenzgeber: Immer besteht die Möglichkeit, mit anderen zu kooperieren (vgl. Abb. 1). So können Exporteure eine Exportgemeinschaft bilden und komplementäre Sortimente anbieten. Weiterhin bietet es sich vielfach an, Auslandsmessen ge</w:t>
      </w:r>
      <w:r w:rsidRPr="007F69DA">
        <w:rPr>
          <w:bCs w:val="0"/>
          <w:sz w:val="24"/>
          <w:szCs w:val="24"/>
          <w:lang w:eastAsia="en-US" w:bidi="en-US"/>
        </w:rPr>
        <w:softHyphen/>
        <w:t>meinsam zu planen, zu finanzieren und durchzuführen. Das kooperative Moment der Lizenzvergabe ist beim Cross Licensing besonders offensichtlich: wenn Unternehmen gegenseitig Lizenzen tauschen (</w:t>
      </w:r>
      <w:r w:rsidRPr="007F69DA">
        <w:rPr>
          <w:bCs w:val="0"/>
          <w:sz w:val="24"/>
          <w:szCs w:val="24"/>
          <w:lang w:eastAsia="en-US" w:bidi="en-US"/>
        </w:rPr>
        <w:sym w:font="Symbol" w:char="F0DE"/>
      </w:r>
      <w:r w:rsidRPr="007F69DA">
        <w:rPr>
          <w:bCs w:val="0"/>
          <w:sz w:val="24"/>
          <w:szCs w:val="24"/>
          <w:lang w:eastAsia="en-US" w:bidi="en-US"/>
        </w:rPr>
        <w:t xml:space="preserve"> Lizenzstrategie). Bei </w:t>
      </w:r>
      <w:r w:rsidRPr="007F69DA">
        <w:rPr>
          <w:bCs w:val="0"/>
          <w:sz w:val="24"/>
          <w:szCs w:val="24"/>
          <w:lang w:eastAsia="en-US" w:bidi="en-US"/>
        </w:rPr>
        <w:sym w:font="Symbol" w:char="F0DE"/>
      </w:r>
      <w:r w:rsidRPr="007F69DA">
        <w:rPr>
          <w:bCs w:val="0"/>
          <w:sz w:val="24"/>
          <w:szCs w:val="24"/>
          <w:lang w:eastAsia="en-US" w:bidi="en-US"/>
        </w:rPr>
        <w:t xml:space="preserve"> Joint Ventures ist zu beachten, ob die Beteiligten mit (= Equity Joint </w:t>
      </w:r>
      <w:r w:rsidRPr="007F69DA">
        <w:rPr>
          <w:bCs w:val="0"/>
          <w:sz w:val="24"/>
          <w:szCs w:val="24"/>
          <w:lang w:eastAsia="en-US" w:bidi="en-US"/>
        </w:rPr>
        <w:lastRenderedPageBreak/>
        <w:t>Venture) oder ohne finanzielle Beteiligung (= Contractual Joint Venture bzw. Non-Equity Joint Venture) kooperieren. Für das Equity Joint Venture ist charakteristisch, dass Partnerunternehmen bestimmte unternehmerische Aufgaben bzw. ausgewählte betriebliche Funktionen (z.B. Vertrieb) in ein anderes Unter</w:t>
      </w:r>
      <w:r w:rsidRPr="007F69DA">
        <w:rPr>
          <w:bCs w:val="0"/>
          <w:sz w:val="24"/>
          <w:szCs w:val="24"/>
          <w:lang w:eastAsia="en-US" w:bidi="en-US"/>
        </w:rPr>
        <w:softHyphen/>
        <w:t>nehmen mit eigener Rechtspersönlichkeit ausgliedern. Die Partner teilen sich in diesem Fall sowohl Leitung und Kontrolle des Joint Venture als auch Erfolg und Verlust. Genau betrachtet handelt es sich dabei um eine Hybridstrategie, zwischen Direktinvestition und zwischenbetrieblicher Kooperation angesiedelt. Die Partner sind zwar vertraglich und kapitalmäßig aneinander gebunden, behalten aber ihre wirtschaftliche und rechtliche Selbständigkeit. Die kooperative Form der Direktinvestition kommt u.a. dann in Betracht, wenn die eigene internationale Wett</w:t>
      </w:r>
      <w:r w:rsidRPr="007F69DA">
        <w:rPr>
          <w:bCs w:val="0"/>
          <w:sz w:val="24"/>
          <w:szCs w:val="24"/>
          <w:lang w:eastAsia="en-US" w:bidi="en-US"/>
        </w:rPr>
        <w:softHyphen/>
        <w:t>bewerbsfähigkeit unter einem negativen Image des Stammlandes leidet (</w:t>
      </w:r>
      <w:r w:rsidRPr="007F69DA">
        <w:rPr>
          <w:bCs w:val="0"/>
          <w:sz w:val="24"/>
          <w:szCs w:val="24"/>
          <w:lang w:eastAsia="en-US" w:bidi="en-US"/>
        </w:rPr>
        <w:sym w:font="Symbol" w:char="F0DE"/>
      </w:r>
      <w:r w:rsidRPr="007F69DA">
        <w:rPr>
          <w:bCs w:val="0"/>
          <w:sz w:val="24"/>
          <w:szCs w:val="24"/>
          <w:lang w:eastAsia="en-US" w:bidi="en-US"/>
        </w:rPr>
        <w:t> Country-of-Origin). So könnte ein deutscher Möbelhersteller mit einem italienischen Anbieter ein Joint Venture eingehen, um sich weltweit glaubhaft als designorientiertes Unternehmen prä</w:t>
      </w:r>
      <w:r w:rsidRPr="007F69DA">
        <w:rPr>
          <w:bCs w:val="0"/>
          <w:sz w:val="24"/>
          <w:szCs w:val="24"/>
          <w:lang w:eastAsia="en-US" w:bidi="en-US"/>
        </w:rPr>
        <w:softHyphen/>
        <w:t>sentieren zu können. Kooperation ist vor allem bei der internationalen Vermarktung von Investi</w:t>
      </w:r>
      <w:r w:rsidRPr="007F69DA">
        <w:rPr>
          <w:bCs w:val="0"/>
          <w:sz w:val="24"/>
          <w:szCs w:val="24"/>
          <w:lang w:eastAsia="en-US" w:bidi="en-US"/>
        </w:rPr>
        <w:softHyphen/>
        <w:t>tionsgütern angezeigt, etwa wenn Investitionsgüterhersteller eine Anlage im Ausland gemeinsam errichten (= Projektkooperation).</w:t>
      </w:r>
    </w:p>
    <w:p w14:paraId="1CC8035B" w14:textId="77777777" w:rsidR="001E58F5" w:rsidRPr="007F69DA" w:rsidRDefault="001E58F5" w:rsidP="001E58F5">
      <w:pPr>
        <w:pStyle w:val="Erlaeuterung"/>
        <w:rPr>
          <w:bCs w:val="0"/>
          <w:sz w:val="24"/>
          <w:szCs w:val="24"/>
          <w:lang w:eastAsia="en-US" w:bidi="en-US"/>
        </w:rPr>
      </w:pPr>
    </w:p>
    <w:p w14:paraId="40358A4F" w14:textId="77777777" w:rsidR="001E58F5" w:rsidRPr="0018289F" w:rsidRDefault="001E58F5" w:rsidP="001E58F5">
      <w:pPr>
        <w:pStyle w:val="Erlaeuterung"/>
        <w:jc w:val="center"/>
        <w:rPr>
          <w:bCs w:val="0"/>
          <w:i/>
          <w:sz w:val="24"/>
          <w:szCs w:val="24"/>
          <w:lang w:eastAsia="en-US" w:bidi="en-US"/>
        </w:rPr>
      </w:pPr>
      <w:r w:rsidRPr="0018289F">
        <w:rPr>
          <w:bCs w:val="0"/>
          <w:i/>
          <w:sz w:val="24"/>
          <w:szCs w:val="24"/>
          <w:lang w:eastAsia="en-US" w:bidi="en-US"/>
        </w:rPr>
        <w:t>Abb. 1: Kooperative Formen der Internationalisierung</w:t>
      </w:r>
    </w:p>
    <w:p w14:paraId="6107C0C7" w14:textId="77777777" w:rsidR="001E58F5" w:rsidRPr="007F69DA" w:rsidRDefault="001E58F5" w:rsidP="00B7512C">
      <w:pPr>
        <w:pStyle w:val="Literatur"/>
        <w:numPr>
          <w:ilvl w:val="0"/>
          <w:numId w:val="0"/>
        </w:numPr>
        <w:spacing w:line="240" w:lineRule="auto"/>
        <w:rPr>
          <w:sz w:val="22"/>
          <w:szCs w:val="22"/>
        </w:rPr>
      </w:pPr>
      <w:r w:rsidRPr="007F69DA">
        <w:rPr>
          <w:noProof/>
          <w:sz w:val="22"/>
          <w:szCs w:val="22"/>
        </w:rPr>
        <w:drawing>
          <wp:inline distT="0" distB="0" distL="0" distR="0" wp14:anchorId="60C56086" wp14:editId="0F14D1E5">
            <wp:extent cx="5838825" cy="4089825"/>
            <wp:effectExtent l="0" t="0" r="0" b="635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849713" cy="4097452"/>
                    </a:xfrm>
                    <a:prstGeom prst="rect">
                      <a:avLst/>
                    </a:prstGeom>
                    <a:noFill/>
                  </pic:spPr>
                </pic:pic>
              </a:graphicData>
            </a:graphic>
          </wp:inline>
        </w:drawing>
      </w:r>
    </w:p>
    <w:p w14:paraId="017B8876" w14:textId="77777777" w:rsidR="001E58F5" w:rsidRPr="00B7512C" w:rsidRDefault="001E58F5" w:rsidP="001E58F5">
      <w:pPr>
        <w:spacing w:before="60" w:after="120"/>
        <w:ind w:left="425" w:hanging="425"/>
        <w:rPr>
          <w:sz w:val="20"/>
          <w:szCs w:val="20"/>
          <w:lang w:eastAsia="de-DE"/>
        </w:rPr>
      </w:pPr>
      <w:r w:rsidRPr="00B7512C">
        <w:rPr>
          <w:sz w:val="20"/>
          <w:szCs w:val="20"/>
          <w:lang w:eastAsia="de-DE"/>
        </w:rPr>
        <w:t>Quelle: Perlitz (2004, S. 537).</w:t>
      </w:r>
    </w:p>
    <w:p w14:paraId="7B2EB523" w14:textId="77777777" w:rsidR="001E58F5" w:rsidRPr="007F69DA" w:rsidRDefault="001E58F5" w:rsidP="00B7512C">
      <w:pPr>
        <w:pStyle w:val="Literatur"/>
        <w:numPr>
          <w:ilvl w:val="0"/>
          <w:numId w:val="0"/>
        </w:numPr>
        <w:spacing w:line="240" w:lineRule="auto"/>
        <w:ind w:left="426"/>
        <w:rPr>
          <w:sz w:val="22"/>
        </w:rPr>
      </w:pPr>
    </w:p>
    <w:p w14:paraId="49E7E83E" w14:textId="77777777" w:rsidR="001E58F5" w:rsidRPr="007F69DA" w:rsidRDefault="001E58F5" w:rsidP="00B7512C">
      <w:pPr>
        <w:pStyle w:val="Literatur"/>
        <w:numPr>
          <w:ilvl w:val="0"/>
          <w:numId w:val="0"/>
        </w:numPr>
        <w:spacing w:line="240" w:lineRule="auto"/>
        <w:rPr>
          <w:sz w:val="22"/>
          <w:lang w:val="en-US"/>
        </w:rPr>
      </w:pPr>
      <w:r w:rsidRPr="00B7512C">
        <w:rPr>
          <w:b/>
          <w:bCs w:val="0"/>
          <w:i/>
          <w:iCs/>
          <w:sz w:val="22"/>
        </w:rPr>
        <w:t>Literatur:</w:t>
      </w:r>
      <w:r w:rsidRPr="007F69DA">
        <w:rPr>
          <w:sz w:val="22"/>
        </w:rPr>
        <w:t xml:space="preserve"> Backhaus, K.; Voeth, M. (2010): Internationales Marketing, 6. Aufl., Stuttgart: Schäffer-Poeschel.   Braßler, A.; Grau, C. (2005): Modulare Organisationseinheiten. Eine interorganisationale Betrachtung, Teil 2, Wirtschaftswissenschaftliches Studium, 34(5): 242-250.   </w:t>
      </w:r>
      <w:r w:rsidRPr="007F69DA">
        <w:rPr>
          <w:sz w:val="22"/>
          <w:lang w:val="en-US"/>
        </w:rPr>
        <w:t xml:space="preserve">Byrne, J.; Brandt, R.; Port, O. (1993): The Virtual Corporation, International Business Week, February 8: 36-41.  </w:t>
      </w:r>
      <w:r w:rsidRPr="007F69DA">
        <w:rPr>
          <w:sz w:val="22"/>
        </w:rPr>
        <w:t xml:space="preserve">Coase, R.H. (1937): The Nature of the Firm, Economica, 4(16): 386-405.   Güntzel, J.; Reinhard, K. (2007): Transaktionskostenökonomik und Internationalisierung von Unternehmen, Wirtschaftswissenschaftliches Studium, 36(6): 284-288.   Pausenberger, E.; Nöcker, R. (2000): Kooperative Formen der Auslandsmarktbearbeitung, Zeitschrift für betriebswirtschaftliche Forschung, 52(6): 393-412.   </w:t>
      </w:r>
      <w:r w:rsidRPr="007F69DA">
        <w:rPr>
          <w:sz w:val="22"/>
          <w:lang w:val="en-US"/>
        </w:rPr>
        <w:t xml:space="preserve">Perlitz, M. (2004). </w:t>
      </w:r>
      <w:r w:rsidRPr="007F69DA">
        <w:rPr>
          <w:sz w:val="22"/>
          <w:lang w:val="en-US"/>
        </w:rPr>
        <w:lastRenderedPageBreak/>
        <w:t>Internationales Management, 5. Aufl., Stuttgart: Lucius &amp; Lucius.   Williamson, O.E. (1975): Markets and Hierarchies. Analysis and Antitrust Implications, New York: Free Press.</w:t>
      </w:r>
    </w:p>
    <w:p w14:paraId="474A8885" w14:textId="77777777" w:rsidR="00FF7799" w:rsidRPr="00B7512C" w:rsidRDefault="00FF7799" w:rsidP="00B7512C">
      <w:pPr>
        <w:keepNext/>
        <w:keepLines/>
        <w:spacing w:before="240"/>
        <w:jc w:val="both"/>
        <w:outlineLvl w:val="1"/>
        <w:rPr>
          <w:b/>
          <w:color w:val="2E74B5"/>
        </w:rPr>
      </w:pPr>
      <w:r w:rsidRPr="00B7512C">
        <w:rPr>
          <w:b/>
          <w:color w:val="2E74B5"/>
        </w:rPr>
        <w:t>Kooperationsbereitschaft</w:t>
      </w:r>
    </w:p>
    <w:p w14:paraId="1164267E" w14:textId="77777777" w:rsidR="00FF7799" w:rsidRPr="00E73F6F" w:rsidRDefault="00FF7799" w:rsidP="00EE2C69">
      <w:pPr>
        <w:pStyle w:val="StandardText"/>
      </w:pPr>
      <w:r w:rsidRPr="00E73F6F">
        <w:t>Persönlichkeitsmerkmal und Vorbedingung für kooperatives Verhalten. Kooperationsbereitschaft entfaltet sich erst ab dem 30. Lebensjahr in vollem Umfang. Dies gilt auch für vier weitere der Big Five: der fünf wichtigsten Persönlichkeitsmerkmale: Gewissenhaftigkeit und Ausgeglichenheit nehmen in dieser</w:t>
      </w:r>
      <w:r w:rsidRPr="00E73F6F">
        <w:rPr>
          <w:spacing w:val="-2"/>
        </w:rPr>
        <w:t xml:space="preserve"> </w:t>
      </w:r>
      <w:r w:rsidRPr="00E73F6F">
        <w:t>Lebensspanne</w:t>
      </w:r>
      <w:r w:rsidRPr="00E73F6F">
        <w:rPr>
          <w:spacing w:val="-2"/>
        </w:rPr>
        <w:t xml:space="preserve"> </w:t>
      </w:r>
      <w:r w:rsidRPr="00E73F6F">
        <w:t>zu,</w:t>
      </w:r>
      <w:r w:rsidRPr="00E73F6F">
        <w:rPr>
          <w:spacing w:val="-1"/>
        </w:rPr>
        <w:t xml:space="preserve"> </w:t>
      </w:r>
      <w:r w:rsidRPr="00E73F6F">
        <w:t>während</w:t>
      </w:r>
      <w:r w:rsidRPr="00E73F6F">
        <w:rPr>
          <w:spacing w:val="-3"/>
        </w:rPr>
        <w:t xml:space="preserve"> </w:t>
      </w:r>
      <w:r w:rsidRPr="00E73F6F">
        <w:t>übertriebene</w:t>
      </w:r>
      <w:r w:rsidRPr="00E73F6F">
        <w:rPr>
          <w:spacing w:val="-2"/>
        </w:rPr>
        <w:t xml:space="preserve"> </w:t>
      </w:r>
      <w:r w:rsidRPr="00E73F6F">
        <w:t>Empfindsamkeit</w:t>
      </w:r>
      <w:r w:rsidRPr="00E73F6F">
        <w:rPr>
          <w:spacing w:val="-1"/>
        </w:rPr>
        <w:t xml:space="preserve"> </w:t>
      </w:r>
      <w:r w:rsidRPr="00E73F6F">
        <w:t>und</w:t>
      </w:r>
      <w:r w:rsidRPr="00E73F6F">
        <w:rPr>
          <w:spacing w:val="-1"/>
        </w:rPr>
        <w:t xml:space="preserve"> </w:t>
      </w:r>
      <w:r w:rsidRPr="00E73F6F">
        <w:t>Extraversion nachlassen.</w:t>
      </w:r>
      <w:r w:rsidRPr="00E73F6F">
        <w:rPr>
          <w:spacing w:val="-12"/>
        </w:rPr>
        <w:t xml:space="preserve"> </w:t>
      </w:r>
      <w:r w:rsidRPr="00E73F6F">
        <w:t>Lediglich</w:t>
      </w:r>
      <w:r w:rsidRPr="00E73F6F">
        <w:rPr>
          <w:spacing w:val="-11"/>
        </w:rPr>
        <w:t xml:space="preserve"> </w:t>
      </w:r>
      <w:r w:rsidRPr="00E73F6F">
        <w:t>die</w:t>
      </w:r>
      <w:r w:rsidRPr="00E73F6F">
        <w:rPr>
          <w:spacing w:val="-11"/>
        </w:rPr>
        <w:t xml:space="preserve"> </w:t>
      </w:r>
      <w:r w:rsidRPr="00E73F6F">
        <w:t>Offenheit</w:t>
      </w:r>
      <w:r w:rsidRPr="00E73F6F">
        <w:rPr>
          <w:spacing w:val="-11"/>
        </w:rPr>
        <w:t xml:space="preserve"> </w:t>
      </w:r>
      <w:r w:rsidRPr="00E73F6F">
        <w:t>für</w:t>
      </w:r>
      <w:r w:rsidRPr="00E73F6F">
        <w:rPr>
          <w:spacing w:val="-12"/>
        </w:rPr>
        <w:t xml:space="preserve"> </w:t>
      </w:r>
      <w:r w:rsidRPr="00E73F6F">
        <w:t>neue</w:t>
      </w:r>
      <w:r w:rsidRPr="00E73F6F">
        <w:rPr>
          <w:spacing w:val="-11"/>
        </w:rPr>
        <w:t xml:space="preserve"> </w:t>
      </w:r>
      <w:r w:rsidRPr="00E73F6F">
        <w:t>Erfahrungen</w:t>
      </w:r>
      <w:r w:rsidRPr="00E73F6F">
        <w:rPr>
          <w:spacing w:val="-11"/>
        </w:rPr>
        <w:t xml:space="preserve"> </w:t>
      </w:r>
      <w:r w:rsidRPr="00E73F6F">
        <w:t>verstärkt</w:t>
      </w:r>
      <w:r w:rsidRPr="00E73F6F">
        <w:rPr>
          <w:spacing w:val="-11"/>
        </w:rPr>
        <w:t xml:space="preserve"> </w:t>
      </w:r>
      <w:r w:rsidRPr="00E73F6F">
        <w:t>sich</w:t>
      </w:r>
      <w:r w:rsidRPr="00E73F6F">
        <w:rPr>
          <w:spacing w:val="-12"/>
        </w:rPr>
        <w:t xml:space="preserve"> </w:t>
      </w:r>
      <w:r w:rsidRPr="00E73F6F">
        <w:t>im</w:t>
      </w:r>
      <w:r w:rsidRPr="00E73F6F">
        <w:rPr>
          <w:spacing w:val="-11"/>
        </w:rPr>
        <w:t xml:space="preserve"> </w:t>
      </w:r>
      <w:r w:rsidRPr="00E73F6F">
        <w:t>Verlauf des Lebens nicht (vgl. Srivastava et al. 2003). Insgesamt gesehen kann dieser Befund als gute Nachricht für die vom</w:t>
      </w:r>
      <w:r w:rsidRPr="00E73F6F">
        <w:rPr>
          <w:spacing w:val="-1"/>
        </w:rPr>
        <w:t xml:space="preserve"> </w:t>
      </w:r>
      <w:r w:rsidRPr="00E73F6F">
        <w:t>demographischen Wandel bedrohten, aber noch immer in ihrem Jugendlichkeitswahn befangenen individualistischen Gesellschaften der westlichen</w:t>
      </w:r>
      <w:r w:rsidRPr="00E73F6F">
        <w:rPr>
          <w:spacing w:val="40"/>
        </w:rPr>
        <w:t xml:space="preserve"> </w:t>
      </w:r>
      <w:r w:rsidRPr="00E73F6F">
        <w:t>Industrienationen gewertet werden. Denn die Mehrzahl</w:t>
      </w:r>
      <w:r w:rsidRPr="00E73F6F">
        <w:rPr>
          <w:spacing w:val="-12"/>
        </w:rPr>
        <w:t xml:space="preserve"> </w:t>
      </w:r>
      <w:r w:rsidRPr="00E73F6F">
        <w:t>der</w:t>
      </w:r>
      <w:r w:rsidRPr="00E73F6F">
        <w:rPr>
          <w:spacing w:val="-11"/>
        </w:rPr>
        <w:t xml:space="preserve"> </w:t>
      </w:r>
      <w:r w:rsidRPr="00E73F6F">
        <w:t>beschriebenen</w:t>
      </w:r>
      <w:r w:rsidRPr="00E73F6F">
        <w:rPr>
          <w:spacing w:val="-11"/>
        </w:rPr>
        <w:t xml:space="preserve"> </w:t>
      </w:r>
      <w:r w:rsidRPr="00E73F6F">
        <w:t>Entwicklungen</w:t>
      </w:r>
      <w:r w:rsidRPr="00E73F6F">
        <w:rPr>
          <w:spacing w:val="-11"/>
        </w:rPr>
        <w:t xml:space="preserve"> </w:t>
      </w:r>
      <w:r w:rsidRPr="00E73F6F">
        <w:t>ist</w:t>
      </w:r>
      <w:r w:rsidRPr="00E73F6F">
        <w:rPr>
          <w:spacing w:val="-12"/>
        </w:rPr>
        <w:t xml:space="preserve"> </w:t>
      </w:r>
      <w:r w:rsidRPr="00E73F6F">
        <w:t>nicht</w:t>
      </w:r>
      <w:r w:rsidRPr="00E73F6F">
        <w:rPr>
          <w:spacing w:val="-11"/>
        </w:rPr>
        <w:t xml:space="preserve"> </w:t>
      </w:r>
      <w:r w:rsidRPr="00E73F6F">
        <w:t>nur</w:t>
      </w:r>
      <w:r w:rsidRPr="00E73F6F">
        <w:rPr>
          <w:spacing w:val="-11"/>
        </w:rPr>
        <w:t xml:space="preserve"> </w:t>
      </w:r>
      <w:r w:rsidRPr="00E73F6F">
        <w:t>für</w:t>
      </w:r>
      <w:r w:rsidRPr="00E73F6F">
        <w:rPr>
          <w:spacing w:val="-11"/>
        </w:rPr>
        <w:t xml:space="preserve"> </w:t>
      </w:r>
      <w:r w:rsidRPr="00E73F6F">
        <w:t>das</w:t>
      </w:r>
      <w:r w:rsidRPr="00E73F6F">
        <w:rPr>
          <w:spacing w:val="-12"/>
        </w:rPr>
        <w:t xml:space="preserve"> </w:t>
      </w:r>
      <w:r w:rsidRPr="00E73F6F">
        <w:t>Arbeitsleben</w:t>
      </w:r>
      <w:r w:rsidRPr="00E73F6F">
        <w:rPr>
          <w:spacing w:val="-9"/>
        </w:rPr>
        <w:t xml:space="preserve"> </w:t>
      </w:r>
      <w:r w:rsidRPr="00E73F6F">
        <w:t>(z.B. erhöhte Gewissenhaftigkeit), sondern auch für das soziale Leben von Vorteil.</w:t>
      </w:r>
    </w:p>
    <w:p w14:paraId="4A2570E3" w14:textId="77777777" w:rsidR="00FF7799" w:rsidRPr="00E73F6F" w:rsidRDefault="00FF7799" w:rsidP="00EE2C69">
      <w:pPr>
        <w:pStyle w:val="StandardText"/>
      </w:pPr>
      <w:r w:rsidRPr="00E73F6F">
        <w:t xml:space="preserve">Wie ​ Gambetta (1988) berichtet, variiert das </w:t>
      </w:r>
      <w:r w:rsidR="00F74287">
        <w:rPr>
          <w:b/>
        </w:rPr>
        <w:sym w:font="Symbol" w:char="F0DE"/>
      </w:r>
      <w:r w:rsidRPr="00E73F6F">
        <w:t xml:space="preserve"> Konstrukt Kooperationsbereitschaft</w:t>
      </w:r>
      <w:r w:rsidRPr="00E73F6F">
        <w:rPr>
          <w:spacing w:val="-1"/>
        </w:rPr>
        <w:t xml:space="preserve"> </w:t>
      </w:r>
      <w:r w:rsidRPr="00E73F6F">
        <w:t>kulturspezifisch,</w:t>
      </w:r>
      <w:r w:rsidRPr="00E73F6F">
        <w:rPr>
          <w:spacing w:val="-3"/>
        </w:rPr>
        <w:t xml:space="preserve"> </w:t>
      </w:r>
      <w:r w:rsidRPr="00E73F6F">
        <w:t>d.h.</w:t>
      </w:r>
      <w:r w:rsidRPr="00E73F6F">
        <w:rPr>
          <w:spacing w:val="-3"/>
        </w:rPr>
        <w:t xml:space="preserve"> </w:t>
      </w:r>
      <w:r w:rsidRPr="00E73F6F">
        <w:t>in</w:t>
      </w:r>
      <w:r w:rsidRPr="00E73F6F">
        <w:rPr>
          <w:spacing w:val="-2"/>
        </w:rPr>
        <w:t xml:space="preserve"> </w:t>
      </w:r>
      <w:r w:rsidRPr="00E73F6F">
        <w:t>Abhängigkeit</w:t>
      </w:r>
      <w:r w:rsidRPr="00E73F6F">
        <w:rPr>
          <w:spacing w:val="-3"/>
        </w:rPr>
        <w:t xml:space="preserve"> </w:t>
      </w:r>
      <w:r w:rsidRPr="00E73F6F">
        <w:t>von</w:t>
      </w:r>
      <w:r w:rsidRPr="00E73F6F">
        <w:rPr>
          <w:spacing w:val="-4"/>
        </w:rPr>
        <w:t xml:space="preserve"> </w:t>
      </w:r>
      <w:r w:rsidRPr="00E73F6F">
        <w:t>dem</w:t>
      </w:r>
      <w:r w:rsidRPr="00E73F6F">
        <w:rPr>
          <w:spacing w:val="-4"/>
        </w:rPr>
        <w:t xml:space="preserve"> </w:t>
      </w:r>
      <w:r w:rsidRPr="00E73F6F">
        <w:t>Ausmaß an</w:t>
      </w:r>
      <w:r w:rsidRPr="00E73F6F">
        <w:rPr>
          <w:spacing w:val="-12"/>
        </w:rPr>
        <w:t xml:space="preserve"> </w:t>
      </w:r>
      <w:r w:rsidRPr="00E73F6F">
        <w:t>Vertrauen,</w:t>
      </w:r>
      <w:r w:rsidRPr="00E73F6F">
        <w:rPr>
          <w:spacing w:val="-11"/>
        </w:rPr>
        <w:t xml:space="preserve"> </w:t>
      </w:r>
      <w:r w:rsidRPr="00E73F6F">
        <w:t>das</w:t>
      </w:r>
      <w:r w:rsidRPr="00E73F6F">
        <w:rPr>
          <w:spacing w:val="-11"/>
        </w:rPr>
        <w:t xml:space="preserve"> </w:t>
      </w:r>
      <w:r w:rsidRPr="00E73F6F">
        <w:t>in</w:t>
      </w:r>
      <w:r w:rsidRPr="00E73F6F">
        <w:rPr>
          <w:spacing w:val="-11"/>
        </w:rPr>
        <w:t xml:space="preserve"> </w:t>
      </w:r>
      <w:r w:rsidRPr="00E73F6F">
        <w:t>einer</w:t>
      </w:r>
      <w:r w:rsidRPr="00E73F6F">
        <w:rPr>
          <w:spacing w:val="4"/>
        </w:rPr>
        <w:t xml:space="preserve"> </w:t>
      </w:r>
      <w:r w:rsidRPr="00E73F6F">
        <w:t>Gesellschaft</w:t>
      </w:r>
      <w:r w:rsidRPr="00E73F6F">
        <w:rPr>
          <w:spacing w:val="-11"/>
        </w:rPr>
        <w:t xml:space="preserve"> </w:t>
      </w:r>
      <w:r w:rsidRPr="00E73F6F">
        <w:t>üblicherweise</w:t>
      </w:r>
      <w:r w:rsidRPr="00E73F6F">
        <w:rPr>
          <w:spacing w:val="-12"/>
        </w:rPr>
        <w:t xml:space="preserve"> </w:t>
      </w:r>
      <w:r w:rsidRPr="00E73F6F">
        <w:t>in</w:t>
      </w:r>
      <w:r w:rsidRPr="00E73F6F">
        <w:rPr>
          <w:spacing w:val="-11"/>
        </w:rPr>
        <w:t xml:space="preserve"> </w:t>
      </w:r>
      <w:r w:rsidRPr="00E73F6F">
        <w:t>Beziehungen</w:t>
      </w:r>
      <w:r w:rsidRPr="00E73F6F">
        <w:rPr>
          <w:spacing w:val="-11"/>
        </w:rPr>
        <w:t xml:space="preserve"> </w:t>
      </w:r>
      <w:r w:rsidRPr="00E73F6F">
        <w:t>gesetzt</w:t>
      </w:r>
      <w:r w:rsidRPr="00E73F6F">
        <w:rPr>
          <w:spacing w:val="-11"/>
        </w:rPr>
        <w:t xml:space="preserve"> </w:t>
      </w:r>
      <w:r w:rsidRPr="00E73F6F">
        <w:t>wird. Amerikaner bspw. sind aufgrund ihrer geringen Ambiguitätstoleranz und ihres ausgeprägten</w:t>
      </w:r>
      <w:r w:rsidRPr="00E73F6F">
        <w:rPr>
          <w:spacing w:val="-12"/>
        </w:rPr>
        <w:t xml:space="preserve"> </w:t>
      </w:r>
      <w:r w:rsidRPr="00E73F6F">
        <w:t>Kontrollbedürfnisses</w:t>
      </w:r>
      <w:r w:rsidRPr="00E73F6F">
        <w:rPr>
          <w:spacing w:val="-11"/>
        </w:rPr>
        <w:t xml:space="preserve"> </w:t>
      </w:r>
      <w:r w:rsidRPr="00E73F6F">
        <w:t>nicht</w:t>
      </w:r>
      <w:r w:rsidRPr="00E73F6F">
        <w:rPr>
          <w:spacing w:val="-11"/>
        </w:rPr>
        <w:t xml:space="preserve"> </w:t>
      </w:r>
      <w:r w:rsidRPr="00E73F6F">
        <w:t>dafür</w:t>
      </w:r>
      <w:r w:rsidRPr="00E73F6F">
        <w:rPr>
          <w:spacing w:val="-11"/>
        </w:rPr>
        <w:t xml:space="preserve"> </w:t>
      </w:r>
      <w:r w:rsidRPr="00E73F6F">
        <w:t>prädestiniert,</w:t>
      </w:r>
      <w:r w:rsidRPr="00E73F6F">
        <w:rPr>
          <w:spacing w:val="-12"/>
        </w:rPr>
        <w:t xml:space="preserve"> </w:t>
      </w:r>
      <w:r w:rsidRPr="00E73F6F">
        <w:t>kooperative</w:t>
      </w:r>
      <w:r w:rsidRPr="00E73F6F">
        <w:rPr>
          <w:spacing w:val="-11"/>
        </w:rPr>
        <w:t xml:space="preserve"> </w:t>
      </w:r>
      <w:r w:rsidRPr="00E73F6F">
        <w:t xml:space="preserve">Allianzen erfolgreich zu gestalten. Dieses durch die Landeskultur bedingte Handicap kann jedoch durch eine „Unternehmenskultur des Vertrauens“ und einen konsensorientierten Führungsstil </w:t>
      </w:r>
      <w:r w:rsidR="00F74287">
        <w:t>kompensiert werden</w:t>
      </w:r>
      <w:r w:rsidRPr="00E73F6F">
        <w:t>.</w:t>
      </w:r>
    </w:p>
    <w:p w14:paraId="19688863" w14:textId="77777777" w:rsidR="00FF7799" w:rsidRDefault="00FF7799" w:rsidP="00EE2C69">
      <w:pPr>
        <w:pStyle w:val="StandardText"/>
        <w:rPr>
          <w:sz w:val="22"/>
          <w:szCs w:val="22"/>
          <w:lang w:val="en-US"/>
        </w:rPr>
      </w:pPr>
      <w:r w:rsidRPr="00F74287">
        <w:rPr>
          <w:b/>
          <w:i/>
          <w:sz w:val="22"/>
          <w:szCs w:val="22"/>
          <w:lang w:val="en-US"/>
        </w:rPr>
        <w:t xml:space="preserve">Literatur: </w:t>
      </w:r>
      <w:r w:rsidRPr="00F74287">
        <w:rPr>
          <w:sz w:val="22"/>
          <w:szCs w:val="22"/>
          <w:lang w:val="en-US"/>
        </w:rPr>
        <w:t>Gambetta, D. (1988): Can we Trust Trust? in: Gambetta, D. (Ed.), Making and</w:t>
      </w:r>
      <w:r w:rsidRPr="00F74287">
        <w:rPr>
          <w:spacing w:val="40"/>
          <w:sz w:val="22"/>
          <w:szCs w:val="22"/>
          <w:lang w:val="en-US"/>
        </w:rPr>
        <w:t xml:space="preserve"> </w:t>
      </w:r>
      <w:r w:rsidRPr="00F74287">
        <w:rPr>
          <w:sz w:val="22"/>
          <w:szCs w:val="22"/>
          <w:lang w:val="en-US"/>
        </w:rPr>
        <w:t>Breaking</w:t>
      </w:r>
      <w:r w:rsidRPr="00F74287">
        <w:rPr>
          <w:spacing w:val="-1"/>
          <w:sz w:val="22"/>
          <w:szCs w:val="22"/>
          <w:lang w:val="en-US"/>
        </w:rPr>
        <w:t xml:space="preserve"> </w:t>
      </w:r>
      <w:r w:rsidRPr="00F74287">
        <w:rPr>
          <w:sz w:val="22"/>
          <w:szCs w:val="22"/>
          <w:lang w:val="en-US"/>
        </w:rPr>
        <w:t>Cooperative</w:t>
      </w:r>
      <w:r w:rsidRPr="00F74287">
        <w:rPr>
          <w:spacing w:val="-4"/>
          <w:sz w:val="22"/>
          <w:szCs w:val="22"/>
          <w:lang w:val="en-US"/>
        </w:rPr>
        <w:t xml:space="preserve"> </w:t>
      </w:r>
      <w:r w:rsidRPr="00F74287">
        <w:rPr>
          <w:sz w:val="22"/>
          <w:szCs w:val="22"/>
          <w:lang w:val="en-US"/>
        </w:rPr>
        <w:t>Relations,</w:t>
      </w:r>
      <w:r w:rsidRPr="00F74287">
        <w:rPr>
          <w:spacing w:val="-1"/>
          <w:sz w:val="22"/>
          <w:szCs w:val="22"/>
          <w:lang w:val="en-US"/>
        </w:rPr>
        <w:t xml:space="preserve"> </w:t>
      </w:r>
      <w:r w:rsidRPr="00F74287">
        <w:rPr>
          <w:sz w:val="22"/>
          <w:szCs w:val="22"/>
          <w:lang w:val="en-US"/>
        </w:rPr>
        <w:t>213-237,</w:t>
      </w:r>
      <w:r w:rsidRPr="00F74287">
        <w:rPr>
          <w:spacing w:val="-4"/>
          <w:sz w:val="22"/>
          <w:szCs w:val="22"/>
          <w:lang w:val="en-US"/>
        </w:rPr>
        <w:t xml:space="preserve"> </w:t>
      </w:r>
      <w:r w:rsidRPr="00F74287">
        <w:rPr>
          <w:sz w:val="22"/>
          <w:szCs w:val="22"/>
          <w:lang w:val="en-US"/>
        </w:rPr>
        <w:t>Cambridge</w:t>
      </w:r>
      <w:r w:rsidRPr="00F74287">
        <w:rPr>
          <w:spacing w:val="-1"/>
          <w:sz w:val="22"/>
          <w:szCs w:val="22"/>
          <w:lang w:val="en-US"/>
        </w:rPr>
        <w:t xml:space="preserve"> </w:t>
      </w:r>
      <w:r w:rsidRPr="00F74287">
        <w:rPr>
          <w:sz w:val="22"/>
          <w:szCs w:val="22"/>
          <w:lang w:val="en-US"/>
        </w:rPr>
        <w:t>(UK):</w:t>
      </w:r>
      <w:r w:rsidRPr="00F74287">
        <w:rPr>
          <w:spacing w:val="-3"/>
          <w:sz w:val="22"/>
          <w:szCs w:val="22"/>
          <w:lang w:val="en-US"/>
        </w:rPr>
        <w:t xml:space="preserve"> </w:t>
      </w:r>
      <w:r w:rsidRPr="00F74287">
        <w:rPr>
          <w:sz w:val="22"/>
          <w:szCs w:val="22"/>
          <w:lang w:val="en-US"/>
        </w:rPr>
        <w:t>Blackwell.</w:t>
      </w:r>
      <w:r w:rsidRPr="00F74287">
        <w:rPr>
          <w:spacing w:val="77"/>
          <w:sz w:val="22"/>
          <w:szCs w:val="22"/>
          <w:lang w:val="en-US"/>
        </w:rPr>
        <w:t xml:space="preserve"> </w:t>
      </w:r>
      <w:r w:rsidRPr="00F74287">
        <w:rPr>
          <w:sz w:val="22"/>
          <w:szCs w:val="22"/>
          <w:lang w:val="en-US"/>
        </w:rPr>
        <w:t>Jain,</w:t>
      </w:r>
      <w:r w:rsidRPr="00F74287">
        <w:rPr>
          <w:spacing w:val="-4"/>
          <w:sz w:val="22"/>
          <w:szCs w:val="22"/>
          <w:lang w:val="en-US"/>
        </w:rPr>
        <w:t xml:space="preserve"> </w:t>
      </w:r>
      <w:r w:rsidRPr="00F74287">
        <w:rPr>
          <w:sz w:val="22"/>
          <w:szCs w:val="22"/>
          <w:lang w:val="en-US"/>
        </w:rPr>
        <w:t>S.C.;</w:t>
      </w:r>
      <w:r w:rsidRPr="00F74287">
        <w:rPr>
          <w:spacing w:val="-5"/>
          <w:sz w:val="22"/>
          <w:szCs w:val="22"/>
          <w:lang w:val="en-US"/>
        </w:rPr>
        <w:t xml:space="preserve"> </w:t>
      </w:r>
      <w:r w:rsidRPr="00F74287">
        <w:rPr>
          <w:sz w:val="22"/>
          <w:szCs w:val="22"/>
          <w:lang w:val="en-US"/>
        </w:rPr>
        <w:t>Florin, J.M. (1996): New Perspectives on Crossborder Alliances. Gaining Competitive Advantage</w:t>
      </w:r>
      <w:r w:rsidRPr="00F74287">
        <w:rPr>
          <w:spacing w:val="40"/>
          <w:sz w:val="22"/>
          <w:szCs w:val="22"/>
          <w:lang w:val="en-US"/>
        </w:rPr>
        <w:t xml:space="preserve"> </w:t>
      </w:r>
      <w:r w:rsidRPr="00F74287">
        <w:rPr>
          <w:sz w:val="22"/>
          <w:szCs w:val="22"/>
          <w:lang w:val="en-US"/>
        </w:rPr>
        <w:t>Based on Value-Added Cooperation, in: Berndt, R. (Ed.), Global Management, 113-124,</w:t>
      </w:r>
      <w:r w:rsidRPr="00F74287">
        <w:rPr>
          <w:spacing w:val="40"/>
          <w:sz w:val="22"/>
          <w:szCs w:val="22"/>
          <w:lang w:val="en-US"/>
        </w:rPr>
        <w:t xml:space="preserve"> </w:t>
      </w:r>
      <w:r w:rsidRPr="00F74287">
        <w:rPr>
          <w:sz w:val="22"/>
          <w:szCs w:val="22"/>
          <w:lang w:val="en-US"/>
        </w:rPr>
        <w:t>Berlin: Springer.</w:t>
      </w:r>
      <w:r w:rsidRPr="00F74287">
        <w:rPr>
          <w:spacing w:val="40"/>
          <w:sz w:val="22"/>
          <w:szCs w:val="22"/>
          <w:lang w:val="en-US"/>
        </w:rPr>
        <w:t xml:space="preserve"> </w:t>
      </w:r>
      <w:r w:rsidRPr="00F74287">
        <w:rPr>
          <w:sz w:val="22"/>
          <w:szCs w:val="22"/>
          <w:lang w:val="en-US"/>
        </w:rPr>
        <w:t>Srivastava, S.; John, O.; Gosling, S.; Potter, J. (2003): Development of</w:t>
      </w:r>
      <w:r w:rsidRPr="00F74287">
        <w:rPr>
          <w:spacing w:val="40"/>
          <w:sz w:val="22"/>
          <w:szCs w:val="22"/>
          <w:lang w:val="en-US"/>
        </w:rPr>
        <w:t xml:space="preserve"> </w:t>
      </w:r>
      <w:r w:rsidRPr="00F74287">
        <w:rPr>
          <w:sz w:val="22"/>
          <w:szCs w:val="22"/>
          <w:lang w:val="en-US"/>
        </w:rPr>
        <w:t>Personality in Early and Middle Adulthood. Set Like Plaster or Persistent Change? Journal</w:t>
      </w:r>
      <w:r w:rsidRPr="00F74287">
        <w:rPr>
          <w:spacing w:val="40"/>
          <w:sz w:val="22"/>
          <w:szCs w:val="22"/>
          <w:lang w:val="en-US"/>
        </w:rPr>
        <w:t xml:space="preserve"> </w:t>
      </w:r>
      <w:r w:rsidRPr="00F74287">
        <w:rPr>
          <w:sz w:val="22"/>
          <w:szCs w:val="22"/>
          <w:lang w:val="en-US"/>
        </w:rPr>
        <w:t>of Personality and Social Psychology, 84(5): 1041-1053.</w:t>
      </w:r>
    </w:p>
    <w:p w14:paraId="5207FE7E" w14:textId="77777777" w:rsidR="00B7512C" w:rsidRPr="00F74287" w:rsidRDefault="00B7512C" w:rsidP="00EE2C69">
      <w:pPr>
        <w:pStyle w:val="StandardText"/>
        <w:rPr>
          <w:sz w:val="22"/>
          <w:szCs w:val="22"/>
          <w:lang w:val="en-US"/>
        </w:rPr>
      </w:pPr>
    </w:p>
    <w:p w14:paraId="5A450239" w14:textId="77777777" w:rsidR="00FF7799" w:rsidRPr="00E73F6F" w:rsidRDefault="00FF7799" w:rsidP="00B35C0E">
      <w:pPr>
        <w:pStyle w:val="berschrift1"/>
      </w:pPr>
      <w:r w:rsidRPr="00B7512C">
        <w:rPr>
          <w:bCs w:val="0"/>
          <w:color w:val="2E74B5"/>
          <w:sz w:val="22"/>
        </w:rPr>
        <w:t xml:space="preserve">Koordinationsbedarf </w:t>
      </w:r>
      <w:r w:rsidRPr="00E73F6F">
        <w:rPr>
          <w:b w:val="0"/>
        </w:rPr>
        <w:t>→</w:t>
      </w:r>
      <w:r w:rsidRPr="00E73F6F">
        <w:rPr>
          <w:b w:val="0"/>
          <w:spacing w:val="-5"/>
        </w:rPr>
        <w:t xml:space="preserve"> </w:t>
      </w:r>
      <w:r w:rsidRPr="00E73F6F">
        <w:rPr>
          <w:b w:val="0"/>
        </w:rPr>
        <w:t>Internationales</w:t>
      </w:r>
      <w:r w:rsidRPr="00E73F6F">
        <w:rPr>
          <w:b w:val="0"/>
          <w:spacing w:val="-6"/>
        </w:rPr>
        <w:t xml:space="preserve"> </w:t>
      </w:r>
      <w:r w:rsidRPr="00E73F6F">
        <w:rPr>
          <w:b w:val="0"/>
          <w:spacing w:val="-2"/>
        </w:rPr>
        <w:t>Marketing</w:t>
      </w:r>
    </w:p>
    <w:p w14:paraId="247330C1" w14:textId="77777777" w:rsidR="00FF7799" w:rsidRPr="00B7512C" w:rsidRDefault="00FF7799" w:rsidP="00B35C0E">
      <w:pPr>
        <w:pStyle w:val="berschrift1"/>
        <w:rPr>
          <w:bCs w:val="0"/>
          <w:color w:val="2E74B5"/>
          <w:sz w:val="22"/>
        </w:rPr>
      </w:pPr>
      <w:r w:rsidRPr="00B7512C">
        <w:rPr>
          <w:bCs w:val="0"/>
          <w:color w:val="2E74B5"/>
          <w:sz w:val="22"/>
        </w:rPr>
        <w:t>Korruption</w:t>
      </w:r>
    </w:p>
    <w:p w14:paraId="7222331A" w14:textId="77777777" w:rsidR="00FF7799" w:rsidRPr="00F74287" w:rsidRDefault="00FF7799" w:rsidP="00535A87">
      <w:pPr>
        <w:pStyle w:val="StandardTextkursiv"/>
        <w:rPr>
          <w:i w:val="0"/>
        </w:rPr>
      </w:pPr>
      <w:r w:rsidRPr="00F74287">
        <w:rPr>
          <w:i w:val="0"/>
        </w:rPr>
        <w:t>1</w:t>
      </w:r>
      <w:r w:rsidRPr="00F74287">
        <w:rPr>
          <w:i w:val="0"/>
          <w:spacing w:val="46"/>
        </w:rPr>
        <w:t xml:space="preserve"> </w:t>
      </w:r>
      <w:r w:rsidRPr="00F74287">
        <w:rPr>
          <w:i w:val="0"/>
        </w:rPr>
        <w:t>Definition</w:t>
      </w:r>
    </w:p>
    <w:p w14:paraId="250F683B" w14:textId="77777777" w:rsidR="00FF7799" w:rsidRPr="00E73F6F" w:rsidRDefault="00FF7799" w:rsidP="00F3090F">
      <w:pPr>
        <w:pStyle w:val="StandardText"/>
      </w:pPr>
      <w:r w:rsidRPr="00E73F6F">
        <w:t>Missbrauch einer amtlichen Funktion zur Erlangung eines persönlichen Vorteils oder eines Vorteils für Dritte bei Eintritt eines unmittelbaren oder mittelbaren Schadens für die Allgemeinheit. Korruption begeht ebenfalls, wer einen Amtsträger zum Missbrauch seiner Funktion verleitet. Korruption …</w:t>
      </w:r>
    </w:p>
    <w:p w14:paraId="5B1E559B" w14:textId="77777777" w:rsidR="00FF7799" w:rsidRPr="00E73F6F" w:rsidRDefault="00FF7799" w:rsidP="00B7512C">
      <w:pPr>
        <w:pStyle w:val="StandardTextAufzhlung"/>
        <w:ind w:left="426"/>
      </w:pPr>
      <w:r w:rsidRPr="00E73F6F">
        <w:t>ist</w:t>
      </w:r>
      <w:r w:rsidRPr="00E73F6F">
        <w:rPr>
          <w:spacing w:val="-12"/>
        </w:rPr>
        <w:t xml:space="preserve"> </w:t>
      </w:r>
      <w:r w:rsidRPr="00E73F6F">
        <w:t>in</w:t>
      </w:r>
      <w:r w:rsidRPr="00E73F6F">
        <w:rPr>
          <w:spacing w:val="-11"/>
        </w:rPr>
        <w:t xml:space="preserve"> </w:t>
      </w:r>
      <w:r w:rsidRPr="00E73F6F">
        <w:t>der</w:t>
      </w:r>
      <w:r w:rsidRPr="00E73F6F">
        <w:rPr>
          <w:spacing w:val="-11"/>
        </w:rPr>
        <w:t xml:space="preserve"> </w:t>
      </w:r>
      <w:r w:rsidRPr="00E73F6F">
        <w:t>Regel</w:t>
      </w:r>
      <w:r w:rsidRPr="00E73F6F">
        <w:rPr>
          <w:spacing w:val="-11"/>
        </w:rPr>
        <w:t xml:space="preserve"> </w:t>
      </w:r>
      <w:r w:rsidRPr="00E73F6F">
        <w:t>strafbar</w:t>
      </w:r>
      <w:r w:rsidRPr="00E73F6F">
        <w:rPr>
          <w:spacing w:val="-12"/>
        </w:rPr>
        <w:t xml:space="preserve"> </w:t>
      </w:r>
      <w:r w:rsidRPr="00E73F6F">
        <w:t>und</w:t>
      </w:r>
      <w:r w:rsidRPr="00E73F6F">
        <w:rPr>
          <w:spacing w:val="-12"/>
        </w:rPr>
        <w:t xml:space="preserve"> </w:t>
      </w:r>
      <w:r w:rsidRPr="00E73F6F">
        <w:t>zieht</w:t>
      </w:r>
      <w:r w:rsidRPr="00E73F6F">
        <w:rPr>
          <w:spacing w:val="-14"/>
        </w:rPr>
        <w:t xml:space="preserve"> </w:t>
      </w:r>
      <w:r w:rsidRPr="00E73F6F">
        <w:t>dienst-</w:t>
      </w:r>
      <w:r w:rsidRPr="00E73F6F">
        <w:rPr>
          <w:spacing w:val="-12"/>
        </w:rPr>
        <w:t xml:space="preserve"> </w:t>
      </w:r>
      <w:r w:rsidRPr="00E73F6F">
        <w:t>und</w:t>
      </w:r>
      <w:r w:rsidRPr="00E73F6F">
        <w:rPr>
          <w:spacing w:val="-11"/>
        </w:rPr>
        <w:t xml:space="preserve"> </w:t>
      </w:r>
      <w:r w:rsidRPr="00E73F6F">
        <w:t>arbeitsrechtliche</w:t>
      </w:r>
      <w:r w:rsidRPr="00E73F6F">
        <w:rPr>
          <w:spacing w:val="-11"/>
        </w:rPr>
        <w:t xml:space="preserve"> </w:t>
      </w:r>
      <w:r w:rsidRPr="00E73F6F">
        <w:t>Sanktionen</w:t>
      </w:r>
      <w:r w:rsidRPr="00E73F6F">
        <w:rPr>
          <w:spacing w:val="-11"/>
        </w:rPr>
        <w:t xml:space="preserve"> </w:t>
      </w:r>
      <w:r w:rsidRPr="00E73F6F">
        <w:t xml:space="preserve">nach </w:t>
      </w:r>
      <w:r w:rsidRPr="00E73F6F">
        <w:rPr>
          <w:spacing w:val="-2"/>
        </w:rPr>
        <w:t>sich,</w:t>
      </w:r>
    </w:p>
    <w:p w14:paraId="35C701A9" w14:textId="77777777" w:rsidR="00FF7799" w:rsidRPr="00E73F6F" w:rsidRDefault="00FF7799" w:rsidP="00B7512C">
      <w:pPr>
        <w:pStyle w:val="StandardTextAufzhlung"/>
        <w:ind w:left="426"/>
      </w:pPr>
      <w:r w:rsidRPr="00E73F6F">
        <w:t xml:space="preserve">verzerrt den </w:t>
      </w:r>
      <w:r w:rsidRPr="00E73F6F">
        <w:rPr>
          <w:spacing w:val="-2"/>
        </w:rPr>
        <w:t>Wettbewerb,</w:t>
      </w:r>
    </w:p>
    <w:p w14:paraId="2E978EE1" w14:textId="77777777" w:rsidR="00FF7799" w:rsidRPr="00E73F6F" w:rsidRDefault="00FF7799" w:rsidP="00B7512C">
      <w:pPr>
        <w:pStyle w:val="StandardTextAufzhlung"/>
        <w:ind w:left="426"/>
      </w:pPr>
      <w:r w:rsidRPr="00E73F6F">
        <w:t>zählt</w:t>
      </w:r>
      <w:r w:rsidRPr="00E73F6F">
        <w:rPr>
          <w:spacing w:val="-3"/>
        </w:rPr>
        <w:t xml:space="preserve"> </w:t>
      </w:r>
      <w:r w:rsidRPr="00E73F6F">
        <w:t>zu</w:t>
      </w:r>
      <w:r w:rsidRPr="00E73F6F">
        <w:rPr>
          <w:spacing w:val="-2"/>
        </w:rPr>
        <w:t xml:space="preserve"> </w:t>
      </w:r>
      <w:r w:rsidRPr="00E73F6F">
        <w:t>den</w:t>
      </w:r>
      <w:r w:rsidRPr="00E73F6F">
        <w:rPr>
          <w:spacing w:val="-1"/>
        </w:rPr>
        <w:t xml:space="preserve"> </w:t>
      </w:r>
      <w:r w:rsidRPr="00E73F6F">
        <w:t>größten</w:t>
      </w:r>
      <w:r w:rsidRPr="00E73F6F">
        <w:rPr>
          <w:spacing w:val="-2"/>
        </w:rPr>
        <w:t xml:space="preserve"> </w:t>
      </w:r>
      <w:r w:rsidRPr="00E73F6F">
        <w:t>Hemmnissen</w:t>
      </w:r>
      <w:r w:rsidRPr="00E73F6F">
        <w:rPr>
          <w:spacing w:val="-2"/>
        </w:rPr>
        <w:t xml:space="preserve"> </w:t>
      </w:r>
      <w:r w:rsidRPr="00E73F6F">
        <w:t>ökonomischer</w:t>
      </w:r>
      <w:r w:rsidRPr="00E73F6F">
        <w:rPr>
          <w:spacing w:val="-2"/>
        </w:rPr>
        <w:t xml:space="preserve"> Entwicklung,</w:t>
      </w:r>
    </w:p>
    <w:p w14:paraId="07512974" w14:textId="77777777" w:rsidR="00FF7799" w:rsidRPr="00E73F6F" w:rsidRDefault="00FF7799" w:rsidP="00B7512C">
      <w:pPr>
        <w:pStyle w:val="StandardTextAufzhlung"/>
        <w:ind w:left="426"/>
      </w:pPr>
      <w:r w:rsidRPr="00E73F6F">
        <w:t>vertieft</w:t>
      </w:r>
      <w:r w:rsidRPr="00E73F6F">
        <w:rPr>
          <w:spacing w:val="-1"/>
        </w:rPr>
        <w:t xml:space="preserve"> </w:t>
      </w:r>
      <w:r w:rsidRPr="00E73F6F">
        <w:t>die</w:t>
      </w:r>
      <w:r w:rsidRPr="00E73F6F">
        <w:rPr>
          <w:spacing w:val="-1"/>
        </w:rPr>
        <w:t xml:space="preserve"> </w:t>
      </w:r>
      <w:r w:rsidRPr="00E73F6F">
        <w:t>Kluft</w:t>
      </w:r>
      <w:r w:rsidRPr="00E73F6F">
        <w:rPr>
          <w:spacing w:val="-1"/>
        </w:rPr>
        <w:t xml:space="preserve"> </w:t>
      </w:r>
      <w:r w:rsidRPr="00E73F6F">
        <w:t>zwischen</w:t>
      </w:r>
      <w:r w:rsidRPr="00E73F6F">
        <w:rPr>
          <w:spacing w:val="1"/>
        </w:rPr>
        <w:t xml:space="preserve"> </w:t>
      </w:r>
      <w:r w:rsidRPr="00E73F6F">
        <w:t>Arm</w:t>
      </w:r>
      <w:r w:rsidRPr="00E73F6F">
        <w:rPr>
          <w:spacing w:val="-3"/>
        </w:rPr>
        <w:t xml:space="preserve"> </w:t>
      </w:r>
      <w:r w:rsidRPr="00E73F6F">
        <w:t>und</w:t>
      </w:r>
      <w:r w:rsidRPr="00E73F6F">
        <w:rPr>
          <w:spacing w:val="1"/>
        </w:rPr>
        <w:t xml:space="preserve"> </w:t>
      </w:r>
      <w:r w:rsidRPr="00E73F6F">
        <w:rPr>
          <w:spacing w:val="-2"/>
        </w:rPr>
        <w:t>Reich.</w:t>
      </w:r>
    </w:p>
    <w:p w14:paraId="4FB00734" w14:textId="77777777" w:rsidR="00FF7799" w:rsidRPr="00E73F6F" w:rsidRDefault="00FF7799" w:rsidP="00F3090F">
      <w:pPr>
        <w:pStyle w:val="StandardText"/>
      </w:pPr>
      <w:r w:rsidRPr="00E73F6F">
        <w:t>Wenn bestechliche Eliten die öffentlichen Haushalte ausrauben, kann Korruption ganze Staaten zerrütten. Mangels einer nationalstaatlichen Identität fühlen solche Politiker sich nicht als „Entwicklungspatrioten“ ihrem Land, sondern, in einem tribalistischen Sinn, nur ihrem Familienclan verpflichtet. Diese Form von Korruption</w:t>
      </w:r>
      <w:r w:rsidRPr="00E73F6F">
        <w:rPr>
          <w:spacing w:val="-1"/>
        </w:rPr>
        <w:t xml:space="preserve"> </w:t>
      </w:r>
      <w:r w:rsidRPr="00E73F6F">
        <w:t>unterhöhlt</w:t>
      </w:r>
      <w:r w:rsidRPr="00E73F6F">
        <w:rPr>
          <w:spacing w:val="-4"/>
        </w:rPr>
        <w:t xml:space="preserve"> </w:t>
      </w:r>
      <w:r w:rsidRPr="00E73F6F">
        <w:t>die</w:t>
      </w:r>
      <w:r w:rsidRPr="00E73F6F">
        <w:rPr>
          <w:spacing w:val="-2"/>
        </w:rPr>
        <w:t xml:space="preserve"> </w:t>
      </w:r>
      <w:r w:rsidRPr="00E73F6F">
        <w:t>Demokratie,</w:t>
      </w:r>
      <w:r w:rsidRPr="00E73F6F">
        <w:rPr>
          <w:spacing w:val="-2"/>
        </w:rPr>
        <w:t xml:space="preserve"> </w:t>
      </w:r>
      <w:r w:rsidRPr="00E73F6F">
        <w:t>das</w:t>
      </w:r>
      <w:r w:rsidRPr="00E73F6F">
        <w:rPr>
          <w:spacing w:val="-2"/>
        </w:rPr>
        <w:t xml:space="preserve"> </w:t>
      </w:r>
      <w:r w:rsidRPr="00E73F6F">
        <w:t>Vertrauen</w:t>
      </w:r>
      <w:r w:rsidRPr="00E73F6F">
        <w:rPr>
          <w:spacing w:val="-1"/>
        </w:rPr>
        <w:t xml:space="preserve"> </w:t>
      </w:r>
      <w:r w:rsidRPr="00E73F6F">
        <w:t>in</w:t>
      </w:r>
      <w:r w:rsidRPr="00E73F6F">
        <w:rPr>
          <w:spacing w:val="-1"/>
        </w:rPr>
        <w:t xml:space="preserve"> </w:t>
      </w:r>
      <w:r w:rsidRPr="00E73F6F">
        <w:t>den</w:t>
      </w:r>
      <w:r w:rsidRPr="00E73F6F">
        <w:rPr>
          <w:spacing w:val="-1"/>
        </w:rPr>
        <w:t xml:space="preserve"> </w:t>
      </w:r>
      <w:r w:rsidRPr="00E73F6F">
        <w:t>Staat,</w:t>
      </w:r>
      <w:r w:rsidRPr="00E73F6F">
        <w:rPr>
          <w:spacing w:val="-4"/>
        </w:rPr>
        <w:t xml:space="preserve"> </w:t>
      </w:r>
      <w:r w:rsidRPr="00E73F6F">
        <w:t>die</w:t>
      </w:r>
      <w:r w:rsidRPr="00E73F6F">
        <w:rPr>
          <w:spacing w:val="-2"/>
        </w:rPr>
        <w:t xml:space="preserve"> </w:t>
      </w:r>
      <w:r w:rsidRPr="00E73F6F">
        <w:t>Legitimität von Regierungen sowie die allgemeine Moral.</w:t>
      </w:r>
    </w:p>
    <w:p w14:paraId="2F113B58" w14:textId="77777777" w:rsidR="00FF7799" w:rsidRPr="00E73F6F" w:rsidRDefault="00FF7799" w:rsidP="00F3090F">
      <w:pPr>
        <w:pStyle w:val="StandardText"/>
      </w:pPr>
    </w:p>
    <w:p w14:paraId="431E768F" w14:textId="77777777" w:rsidR="00FF7799" w:rsidRPr="00F74287" w:rsidRDefault="00FF7799" w:rsidP="00535A87">
      <w:pPr>
        <w:pStyle w:val="StandardTextkursiv"/>
        <w:rPr>
          <w:i w:val="0"/>
        </w:rPr>
      </w:pPr>
      <w:r w:rsidRPr="00F74287">
        <w:rPr>
          <w:i w:val="0"/>
        </w:rPr>
        <w:lastRenderedPageBreak/>
        <w:t>2 Messinstrumente</w:t>
      </w:r>
    </w:p>
    <w:p w14:paraId="02B732C1" w14:textId="77777777" w:rsidR="00FF7799" w:rsidRPr="00F74287" w:rsidRDefault="00FF7799" w:rsidP="00F3090F">
      <w:pPr>
        <w:pStyle w:val="StandardText"/>
      </w:pPr>
      <w:r w:rsidRPr="00E73F6F">
        <w:t xml:space="preserve">Nach Angaben der </w:t>
      </w:r>
      <w:r w:rsidRPr="00E73F6F">
        <w:rPr>
          <w:i/>
        </w:rPr>
        <w:t xml:space="preserve">Weltbank </w:t>
      </w:r>
      <w:r w:rsidRPr="00E73F6F">
        <w:t>bezahlt mehr als ein Drittel aller Unternehmen Schmiergelder, wobei manche Branchen erfahrungsgemäß besonders korruptionsanfällig</w:t>
      </w:r>
      <w:r w:rsidRPr="00E73F6F">
        <w:rPr>
          <w:spacing w:val="-12"/>
        </w:rPr>
        <w:t xml:space="preserve"> </w:t>
      </w:r>
      <w:r w:rsidRPr="00E73F6F">
        <w:t>sind</w:t>
      </w:r>
      <w:r w:rsidRPr="00E73F6F">
        <w:rPr>
          <w:spacing w:val="-11"/>
        </w:rPr>
        <w:t xml:space="preserve"> </w:t>
      </w:r>
      <w:r w:rsidRPr="00E73F6F">
        <w:t>(bspw.</w:t>
      </w:r>
      <w:r w:rsidRPr="00E73F6F">
        <w:rPr>
          <w:spacing w:val="-11"/>
        </w:rPr>
        <w:t xml:space="preserve"> </w:t>
      </w:r>
      <w:r w:rsidRPr="00E73F6F">
        <w:t>die</w:t>
      </w:r>
      <w:r w:rsidRPr="00E73F6F">
        <w:rPr>
          <w:spacing w:val="-11"/>
        </w:rPr>
        <w:t xml:space="preserve"> </w:t>
      </w:r>
      <w:r w:rsidRPr="00E73F6F">
        <w:t>Baubranche).</w:t>
      </w:r>
      <w:r w:rsidRPr="00E73F6F">
        <w:rPr>
          <w:spacing w:val="-12"/>
        </w:rPr>
        <w:t xml:space="preserve"> </w:t>
      </w:r>
      <w:r w:rsidRPr="00E73F6F">
        <w:t>Nicht</w:t>
      </w:r>
      <w:r w:rsidRPr="00E73F6F">
        <w:rPr>
          <w:spacing w:val="-11"/>
        </w:rPr>
        <w:t xml:space="preserve"> </w:t>
      </w:r>
      <w:r w:rsidRPr="00E73F6F">
        <w:t>nur</w:t>
      </w:r>
      <w:r w:rsidRPr="00E73F6F">
        <w:rPr>
          <w:spacing w:val="-11"/>
        </w:rPr>
        <w:t xml:space="preserve"> </w:t>
      </w:r>
      <w:r w:rsidRPr="00E73F6F">
        <w:t>in</w:t>
      </w:r>
      <w:r w:rsidRPr="00E73F6F">
        <w:rPr>
          <w:spacing w:val="-11"/>
        </w:rPr>
        <w:t xml:space="preserve"> </w:t>
      </w:r>
      <w:r w:rsidRPr="00E73F6F">
        <w:t>der</w:t>
      </w:r>
      <w:r w:rsidRPr="00E73F6F">
        <w:rPr>
          <w:spacing w:val="-12"/>
        </w:rPr>
        <w:t xml:space="preserve"> </w:t>
      </w:r>
      <w:r w:rsidRPr="00E73F6F">
        <w:t>Dritten</w:t>
      </w:r>
      <w:r w:rsidRPr="00E73F6F">
        <w:rPr>
          <w:spacing w:val="-11"/>
        </w:rPr>
        <w:t xml:space="preserve"> </w:t>
      </w:r>
      <w:r w:rsidRPr="00E73F6F">
        <w:t>Welt</w:t>
      </w:r>
      <w:r w:rsidRPr="00E73F6F">
        <w:rPr>
          <w:spacing w:val="-11"/>
        </w:rPr>
        <w:t xml:space="preserve"> </w:t>
      </w:r>
      <w:r w:rsidRPr="00E73F6F">
        <w:t xml:space="preserve">sind bei größeren Investitionen bis zu 20% des Auftragswertes für Bestechungsgelder vorzusehen. </w:t>
      </w:r>
      <w:r w:rsidRPr="00E73F6F">
        <w:rPr>
          <w:i/>
        </w:rPr>
        <w:t>Transparency International</w:t>
      </w:r>
      <w:r w:rsidRPr="00E73F6F">
        <w:t>, eine 1993 in Berlin gegründete unabhängige Nicht-Regierungsorganisation, befragt jährlich anerkannte Einrichtungen, Unternehmer, Manager, Beamte und Politiker aus 174 Ländern (Stand 2012) danach, inwieweit ihrem Eindruck zufolge in ihrem Land Staat und Wirtschaft</w:t>
      </w:r>
      <w:r w:rsidRPr="00E73F6F">
        <w:rPr>
          <w:spacing w:val="-12"/>
        </w:rPr>
        <w:t xml:space="preserve"> </w:t>
      </w:r>
      <w:r w:rsidRPr="00E73F6F">
        <w:t>auf</w:t>
      </w:r>
      <w:r w:rsidRPr="00E73F6F">
        <w:rPr>
          <w:spacing w:val="-11"/>
        </w:rPr>
        <w:t xml:space="preserve"> </w:t>
      </w:r>
      <w:r w:rsidRPr="00E73F6F">
        <w:t>unerlaubte</w:t>
      </w:r>
      <w:r w:rsidRPr="00E73F6F">
        <w:rPr>
          <w:spacing w:val="-11"/>
        </w:rPr>
        <w:t xml:space="preserve"> </w:t>
      </w:r>
      <w:r w:rsidRPr="00E73F6F">
        <w:t>Geschäftspraktiken</w:t>
      </w:r>
      <w:r w:rsidRPr="00E73F6F">
        <w:rPr>
          <w:spacing w:val="-11"/>
        </w:rPr>
        <w:t xml:space="preserve"> </w:t>
      </w:r>
      <w:r w:rsidRPr="00E73F6F">
        <w:t>zurückgreifen.</w:t>
      </w:r>
      <w:r w:rsidRPr="00E73F6F">
        <w:rPr>
          <w:spacing w:val="-12"/>
        </w:rPr>
        <w:t xml:space="preserve"> </w:t>
      </w:r>
      <w:r w:rsidRPr="00E73F6F">
        <w:t>Auf</w:t>
      </w:r>
      <w:r w:rsidRPr="00E73F6F">
        <w:rPr>
          <w:spacing w:val="-11"/>
        </w:rPr>
        <w:t xml:space="preserve"> </w:t>
      </w:r>
      <w:r w:rsidRPr="00E73F6F">
        <w:t>dieser</w:t>
      </w:r>
      <w:r w:rsidRPr="00E73F6F">
        <w:rPr>
          <w:spacing w:val="-11"/>
        </w:rPr>
        <w:t xml:space="preserve"> </w:t>
      </w:r>
      <w:r w:rsidRPr="00E73F6F">
        <w:t>Basis</w:t>
      </w:r>
      <w:r w:rsidRPr="00E73F6F">
        <w:rPr>
          <w:spacing w:val="-11"/>
        </w:rPr>
        <w:t xml:space="preserve"> </w:t>
      </w:r>
      <w:r w:rsidRPr="00E73F6F">
        <w:t xml:space="preserve">wird der </w:t>
      </w:r>
      <w:r w:rsidRPr="00E73F6F">
        <w:rPr>
          <w:i/>
        </w:rPr>
        <w:t>Corruption</w:t>
      </w:r>
      <w:r w:rsidRPr="00E73F6F">
        <w:rPr>
          <w:i/>
          <w:spacing w:val="-1"/>
        </w:rPr>
        <w:t xml:space="preserve"> </w:t>
      </w:r>
      <w:r w:rsidRPr="00E73F6F">
        <w:rPr>
          <w:i/>
        </w:rPr>
        <w:t>Perceptions Index</w:t>
      </w:r>
      <w:r w:rsidRPr="00E73F6F">
        <w:rPr>
          <w:i/>
          <w:spacing w:val="-3"/>
        </w:rPr>
        <w:t xml:space="preserve"> </w:t>
      </w:r>
      <w:r w:rsidRPr="00E73F6F">
        <w:rPr>
          <w:i/>
        </w:rPr>
        <w:t>(CPI)</w:t>
      </w:r>
      <w:r w:rsidRPr="00E73F6F">
        <w:rPr>
          <w:i/>
          <w:spacing w:val="-1"/>
        </w:rPr>
        <w:t xml:space="preserve"> </w:t>
      </w:r>
      <w:r w:rsidRPr="00E73F6F">
        <w:t>berechnet,</w:t>
      </w:r>
      <w:r w:rsidRPr="00E73F6F">
        <w:rPr>
          <w:spacing w:val="-1"/>
        </w:rPr>
        <w:t xml:space="preserve"> </w:t>
      </w:r>
      <w:r w:rsidRPr="00E73F6F">
        <w:t>der</w:t>
      </w:r>
      <w:r w:rsidRPr="00E73F6F">
        <w:rPr>
          <w:spacing w:val="-2"/>
        </w:rPr>
        <w:t xml:space="preserve"> </w:t>
      </w:r>
      <w:r w:rsidRPr="00E73F6F">
        <w:t>von</w:t>
      </w:r>
      <w:r w:rsidRPr="00E73F6F">
        <w:rPr>
          <w:spacing w:val="-1"/>
        </w:rPr>
        <w:t xml:space="preserve"> </w:t>
      </w:r>
      <w:r w:rsidRPr="00E73F6F">
        <w:t>0</w:t>
      </w:r>
      <w:r w:rsidRPr="00E73F6F">
        <w:rPr>
          <w:spacing w:val="-1"/>
        </w:rPr>
        <w:t xml:space="preserve"> </w:t>
      </w:r>
      <w:r w:rsidRPr="00E73F6F">
        <w:t>(= „völlig</w:t>
      </w:r>
      <w:r w:rsidRPr="00E73F6F">
        <w:rPr>
          <w:spacing w:val="-3"/>
        </w:rPr>
        <w:t xml:space="preserve"> </w:t>
      </w:r>
      <w:r w:rsidRPr="00E73F6F">
        <w:t xml:space="preserve">korruptes System“) bis 10 (= „völlig korruptionsfreies System“) reicht. Dem Ideal am nächsten kommen in dieser Erhebung regelmäßig die skandinavischen Länder (zusammen mit Neuseeland, Singapur, der Schweiz und Australien). Hingegen scheint </w:t>
      </w:r>
      <w:r w:rsidRPr="00F74287">
        <w:t>Korruption</w:t>
      </w:r>
      <w:r w:rsidRPr="00F74287">
        <w:rPr>
          <w:spacing w:val="-2"/>
        </w:rPr>
        <w:t xml:space="preserve"> </w:t>
      </w:r>
      <w:r w:rsidRPr="00F74287">
        <w:t>bspw. im</w:t>
      </w:r>
      <w:r w:rsidRPr="00F74287">
        <w:rPr>
          <w:spacing w:val="-1"/>
        </w:rPr>
        <w:t xml:space="preserve"> </w:t>
      </w:r>
      <w:r w:rsidRPr="00F74287">
        <w:t>Sudan, in Afghanistan, Haiti, Irak, Burma/Myanmar und Somalia alltäglich zu sein. Während der CPI die Empfänger von Bestechungsgeldern aus Sicht von Experten erfasst und das Global Corruption Barometer die Einschätzungen von Laien, soll der Bribe Payers Index (BPI) das Ausmaß der korrupt</w:t>
      </w:r>
      <w:r w:rsidR="00DF5332" w:rsidRPr="00F74287">
        <w:t>en</w:t>
      </w:r>
      <w:r w:rsidRPr="00F74287">
        <w:t xml:space="preserve"> Praktiken der Geberländer quantifizieren.</w:t>
      </w:r>
    </w:p>
    <w:p w14:paraId="4922D1AE" w14:textId="77777777" w:rsidR="00FF7799" w:rsidRPr="00F74287" w:rsidRDefault="00FF7799" w:rsidP="00F3090F">
      <w:pPr>
        <w:pStyle w:val="StandardText"/>
      </w:pPr>
    </w:p>
    <w:p w14:paraId="57D2E990" w14:textId="77777777" w:rsidR="00FF7799" w:rsidRPr="00F74287" w:rsidRDefault="00FF7799" w:rsidP="00535A87">
      <w:pPr>
        <w:pStyle w:val="StandardTextkursiv"/>
        <w:rPr>
          <w:i w:val="0"/>
        </w:rPr>
      </w:pPr>
      <w:r w:rsidRPr="00F74287">
        <w:rPr>
          <w:i w:val="0"/>
        </w:rPr>
        <w:t>3 Erklärungsansätze</w:t>
      </w:r>
    </w:p>
    <w:p w14:paraId="515712A0" w14:textId="77777777" w:rsidR="00FF7799" w:rsidRPr="00F74287" w:rsidRDefault="00FF7799" w:rsidP="00F3090F">
      <w:pPr>
        <w:pStyle w:val="StandardText"/>
      </w:pPr>
      <w:r w:rsidRPr="00F74287">
        <w:t>Begünstigt wird Korruption, wenn Amtsträger einen übergroßen Ermessensspielraum haben, Verwaltungsabläufe allzu komplex und die Regulierungsdichte</w:t>
      </w:r>
      <w:r w:rsidRPr="00F74287">
        <w:rPr>
          <w:spacing w:val="-12"/>
        </w:rPr>
        <w:t xml:space="preserve"> </w:t>
      </w:r>
      <w:r w:rsidRPr="00F74287">
        <w:t>hoch</w:t>
      </w:r>
      <w:r w:rsidRPr="00F74287">
        <w:rPr>
          <w:spacing w:val="-11"/>
        </w:rPr>
        <w:t xml:space="preserve"> </w:t>
      </w:r>
      <w:r w:rsidRPr="00F74287">
        <w:t>ist.</w:t>
      </w:r>
      <w:r w:rsidRPr="00F74287">
        <w:rPr>
          <w:spacing w:val="-11"/>
        </w:rPr>
        <w:t xml:space="preserve"> </w:t>
      </w:r>
      <w:r w:rsidRPr="00F74287">
        <w:t>Denn</w:t>
      </w:r>
      <w:r w:rsidRPr="00F74287">
        <w:rPr>
          <w:spacing w:val="-11"/>
        </w:rPr>
        <w:t xml:space="preserve"> </w:t>
      </w:r>
      <w:r w:rsidRPr="00F74287">
        <w:t>diese</w:t>
      </w:r>
      <w:r w:rsidRPr="00F74287">
        <w:rPr>
          <w:spacing w:val="-12"/>
        </w:rPr>
        <w:t xml:space="preserve"> </w:t>
      </w:r>
      <w:r w:rsidRPr="00F74287">
        <w:t>Bedingungen</w:t>
      </w:r>
      <w:r w:rsidRPr="00F74287">
        <w:rPr>
          <w:spacing w:val="-11"/>
        </w:rPr>
        <w:t xml:space="preserve"> </w:t>
      </w:r>
      <w:r w:rsidRPr="00F74287">
        <w:t>vermindern</w:t>
      </w:r>
      <w:r w:rsidRPr="00F74287">
        <w:rPr>
          <w:spacing w:val="-11"/>
        </w:rPr>
        <w:t xml:space="preserve"> </w:t>
      </w:r>
      <w:r w:rsidRPr="00F74287">
        <w:t>die</w:t>
      </w:r>
      <w:r w:rsidRPr="00F74287">
        <w:rPr>
          <w:spacing w:val="-11"/>
        </w:rPr>
        <w:t xml:space="preserve"> </w:t>
      </w:r>
      <w:r w:rsidRPr="00F74287">
        <w:t>Transparenz der administrativen Prozesse, weshalb eigennütziges Verhalten von Funktionsträgern nicht bzw. erst spät entdeckt wird. Auch der sich verschärfende internationale Wettbewerb trägt seinen Teil dazu bei, dass die als korru</w:t>
      </w:r>
      <w:r w:rsidR="00DF5332" w:rsidRPr="00F74287">
        <w:t>pt be</w:t>
      </w:r>
      <w:r w:rsidRPr="00F74287">
        <w:t>zeichneten</w:t>
      </w:r>
      <w:r w:rsidRPr="00F74287">
        <w:rPr>
          <w:spacing w:val="-12"/>
        </w:rPr>
        <w:t xml:space="preserve"> </w:t>
      </w:r>
      <w:r w:rsidRPr="00F74287">
        <w:t>Praktiken</w:t>
      </w:r>
      <w:r w:rsidRPr="00F74287">
        <w:rPr>
          <w:spacing w:val="-11"/>
        </w:rPr>
        <w:t xml:space="preserve"> </w:t>
      </w:r>
      <w:r w:rsidRPr="00F74287">
        <w:t>selbst</w:t>
      </w:r>
      <w:r w:rsidRPr="00F74287">
        <w:rPr>
          <w:spacing w:val="-11"/>
        </w:rPr>
        <w:t xml:space="preserve"> </w:t>
      </w:r>
      <w:r w:rsidRPr="00F74287">
        <w:t>in</w:t>
      </w:r>
      <w:r w:rsidRPr="00F74287">
        <w:rPr>
          <w:spacing w:val="-11"/>
        </w:rPr>
        <w:t xml:space="preserve"> </w:t>
      </w:r>
      <w:r w:rsidRPr="00F74287">
        <w:t>Volkswirtschaften,</w:t>
      </w:r>
      <w:r w:rsidRPr="00F74287">
        <w:rPr>
          <w:spacing w:val="-12"/>
        </w:rPr>
        <w:t xml:space="preserve"> </w:t>
      </w:r>
      <w:r w:rsidRPr="00F74287">
        <w:t>die</w:t>
      </w:r>
      <w:r w:rsidRPr="00F74287">
        <w:rPr>
          <w:spacing w:val="-11"/>
        </w:rPr>
        <w:t xml:space="preserve"> </w:t>
      </w:r>
      <w:r w:rsidRPr="00F74287">
        <w:t>dagegen</w:t>
      </w:r>
      <w:r w:rsidRPr="00F74287">
        <w:rPr>
          <w:spacing w:val="-11"/>
        </w:rPr>
        <w:t xml:space="preserve"> </w:t>
      </w:r>
      <w:r w:rsidRPr="00F74287">
        <w:t>gefeit</w:t>
      </w:r>
      <w:r w:rsidRPr="00F74287">
        <w:rPr>
          <w:spacing w:val="-11"/>
        </w:rPr>
        <w:t xml:space="preserve"> </w:t>
      </w:r>
      <w:r w:rsidRPr="00F74287">
        <w:t>schienen</w:t>
      </w:r>
      <w:r w:rsidRPr="00F74287">
        <w:rPr>
          <w:spacing w:val="-12"/>
        </w:rPr>
        <w:t xml:space="preserve"> </w:t>
      </w:r>
      <w:r w:rsidRPr="00F74287">
        <w:t>(z.B. in Deutschland), um sich greifen. Der Bau der überdimensionierten Kölner Müllverbrennungsanlage liefert dabei nur ein Beispiel unter zahllosen ähnlich gelagerten Fällen in Industrieländern. In der wissenschaftlichen Literatur werden fünf Thesen zu den Ursachen von Korruption diskutiert:</w:t>
      </w:r>
    </w:p>
    <w:p w14:paraId="147271C0" w14:textId="77777777" w:rsidR="00FF7799" w:rsidRPr="00F74287" w:rsidRDefault="00FF7799" w:rsidP="00F3090F">
      <w:pPr>
        <w:pStyle w:val="StandardText"/>
      </w:pPr>
    </w:p>
    <w:p w14:paraId="05827C44" w14:textId="77777777" w:rsidR="00FF7799" w:rsidRPr="00F74287" w:rsidRDefault="00FF7799" w:rsidP="00F3090F">
      <w:pPr>
        <w:pStyle w:val="StandardTextkursiv"/>
        <w:rPr>
          <w:i w:val="0"/>
        </w:rPr>
      </w:pPr>
      <w:r w:rsidRPr="00F74287">
        <w:rPr>
          <w:i w:val="0"/>
        </w:rPr>
        <w:t>3.1 Th</w:t>
      </w:r>
      <w:r w:rsidRPr="00F74287">
        <w:rPr>
          <w:i w:val="0"/>
          <w:spacing w:val="1"/>
        </w:rPr>
        <w:t>​</w:t>
      </w:r>
      <w:r w:rsidRPr="00F74287">
        <w:rPr>
          <w:i w:val="0"/>
        </w:rPr>
        <w:t>ese der Moralisten</w:t>
      </w:r>
    </w:p>
    <w:p w14:paraId="79E5E1F0" w14:textId="77777777" w:rsidR="00FF7799" w:rsidRPr="00F74287" w:rsidRDefault="00FF7799" w:rsidP="00F3090F">
      <w:pPr>
        <w:pStyle w:val="StandardText"/>
      </w:pPr>
      <w:r w:rsidRPr="00F74287">
        <w:t>Korruption ist Ausdruck individueller moralischer Defizite. Begünstigt wird dieses individuelle Versagen durch den allgemeinen Verfall der</w:t>
      </w:r>
      <w:r w:rsidRPr="00F74287">
        <w:rPr>
          <w:spacing w:val="-3"/>
        </w:rPr>
        <w:t xml:space="preserve"> </w:t>
      </w:r>
      <w:r w:rsidRPr="00F74287">
        <w:t>guten</w:t>
      </w:r>
      <w:r w:rsidRPr="00F74287">
        <w:rPr>
          <w:spacing w:val="-2"/>
        </w:rPr>
        <w:t xml:space="preserve"> </w:t>
      </w:r>
      <w:r w:rsidRPr="00F74287">
        <w:t>Sitten</w:t>
      </w:r>
      <w:r w:rsidRPr="00F74287">
        <w:rPr>
          <w:spacing w:val="-2"/>
        </w:rPr>
        <w:t xml:space="preserve"> </w:t>
      </w:r>
      <w:r w:rsidRPr="00F74287">
        <w:t>in</w:t>
      </w:r>
      <w:r w:rsidRPr="00F74287">
        <w:rPr>
          <w:spacing w:val="-2"/>
        </w:rPr>
        <w:t xml:space="preserve"> </w:t>
      </w:r>
      <w:r w:rsidRPr="00F74287">
        <w:t>einer</w:t>
      </w:r>
      <w:r w:rsidRPr="00F74287">
        <w:rPr>
          <w:spacing w:val="-3"/>
        </w:rPr>
        <w:t xml:space="preserve"> </w:t>
      </w:r>
      <w:r w:rsidRPr="00F74287">
        <w:t>Gesellschaft. Strittig</w:t>
      </w:r>
      <w:r w:rsidRPr="00F74287">
        <w:rPr>
          <w:spacing w:val="-2"/>
        </w:rPr>
        <w:t xml:space="preserve"> </w:t>
      </w:r>
      <w:r w:rsidRPr="00F74287">
        <w:t>ist allerdings, ob</w:t>
      </w:r>
      <w:r w:rsidRPr="00F74287">
        <w:rPr>
          <w:spacing w:val="-2"/>
        </w:rPr>
        <w:t xml:space="preserve"> </w:t>
      </w:r>
      <w:r w:rsidRPr="00F74287">
        <w:t>moralische Standards</w:t>
      </w:r>
      <w:r w:rsidRPr="00F74287">
        <w:rPr>
          <w:spacing w:val="66"/>
        </w:rPr>
        <w:t xml:space="preserve"> </w:t>
      </w:r>
      <w:r w:rsidRPr="00F74287">
        <w:t>relativ</w:t>
      </w:r>
      <w:r w:rsidRPr="00F74287">
        <w:rPr>
          <w:spacing w:val="68"/>
        </w:rPr>
        <w:t xml:space="preserve"> </w:t>
      </w:r>
      <w:r w:rsidRPr="00F74287">
        <w:t>oder</w:t>
      </w:r>
      <w:r w:rsidRPr="00F74287">
        <w:rPr>
          <w:spacing w:val="67"/>
        </w:rPr>
        <w:t xml:space="preserve"> </w:t>
      </w:r>
      <w:r w:rsidRPr="00F74287">
        <w:t>universal,</w:t>
      </w:r>
      <w:r w:rsidRPr="00F74287">
        <w:rPr>
          <w:spacing w:val="67"/>
        </w:rPr>
        <w:t xml:space="preserve"> </w:t>
      </w:r>
      <w:r w:rsidRPr="00F74287">
        <w:t>d.h.</w:t>
      </w:r>
      <w:r w:rsidRPr="00F74287">
        <w:rPr>
          <w:spacing w:val="67"/>
        </w:rPr>
        <w:t xml:space="preserve"> </w:t>
      </w:r>
      <w:r w:rsidRPr="00F74287">
        <w:t>weltweit</w:t>
      </w:r>
      <w:r w:rsidRPr="00F74287">
        <w:rPr>
          <w:spacing w:val="65"/>
        </w:rPr>
        <w:t xml:space="preserve"> </w:t>
      </w:r>
      <w:r w:rsidRPr="00F74287">
        <w:t>gültig</w:t>
      </w:r>
      <w:r w:rsidRPr="00F74287">
        <w:rPr>
          <w:spacing w:val="68"/>
        </w:rPr>
        <w:t xml:space="preserve"> </w:t>
      </w:r>
      <w:r w:rsidRPr="00F74287">
        <w:t>sind.</w:t>
      </w:r>
      <w:r w:rsidRPr="00F74287">
        <w:rPr>
          <w:spacing w:val="62"/>
        </w:rPr>
        <w:t xml:space="preserve"> </w:t>
      </w:r>
      <w:r w:rsidRPr="00F74287">
        <w:t>Muss</w:t>
      </w:r>
      <w:r w:rsidRPr="00F74287">
        <w:rPr>
          <w:spacing w:val="66"/>
        </w:rPr>
        <w:t xml:space="preserve"> </w:t>
      </w:r>
      <w:r w:rsidRPr="00F74287">
        <w:t>also</w:t>
      </w:r>
      <w:r w:rsidRPr="00F74287">
        <w:rPr>
          <w:spacing w:val="67"/>
        </w:rPr>
        <w:t xml:space="preserve"> </w:t>
      </w:r>
      <w:r w:rsidRPr="00F74287">
        <w:t>ein Unternehmen auch in einem kulturellen Umfeld, das Korruption toleriert, sich an den moralischen Standards seines Herkunftslandes orientieren?</w:t>
      </w:r>
    </w:p>
    <w:p w14:paraId="0319BEF5" w14:textId="77777777" w:rsidR="00FF7799" w:rsidRPr="00F74287" w:rsidRDefault="00FF7799" w:rsidP="00F3090F">
      <w:pPr>
        <w:pStyle w:val="StandardText"/>
      </w:pPr>
    </w:p>
    <w:p w14:paraId="0DBF7FC5" w14:textId="77777777" w:rsidR="00FF7799" w:rsidRPr="00F74287" w:rsidRDefault="00FF7799" w:rsidP="00F3090F">
      <w:pPr>
        <w:pStyle w:val="StandardTextkursiv"/>
        <w:rPr>
          <w:i w:val="0"/>
        </w:rPr>
      </w:pPr>
      <w:r w:rsidRPr="00F74287">
        <w:rPr>
          <w:i w:val="0"/>
        </w:rPr>
        <w:t>3.2 Th​ese der Funktionalisten</w:t>
      </w:r>
    </w:p>
    <w:p w14:paraId="069555FB" w14:textId="77777777" w:rsidR="00FF7799" w:rsidRPr="00F74287" w:rsidRDefault="00FF7799" w:rsidP="00F3090F">
      <w:pPr>
        <w:pStyle w:val="StandardText"/>
      </w:pPr>
      <w:r w:rsidRPr="00F74287">
        <w:t>Korruption verbessert die Funktionsfähigkeit der staatlichen Administration und fördert die wirtschaftliche Entwicklung. Korruption kann die „allokative Effizienz bürokratischer Entscheidungen“ erhöhen, da auf Dauer nur die leistungsstärksten Anbieter die erforderlichen Bestechungsgelder aufbringen können (zur Kritik dieser These vgl. F.L. Sell).</w:t>
      </w:r>
    </w:p>
    <w:p w14:paraId="2A102526" w14:textId="77777777" w:rsidR="00FF7799" w:rsidRPr="00F74287" w:rsidRDefault="00FF7799" w:rsidP="00F3090F">
      <w:pPr>
        <w:pStyle w:val="StandardText"/>
      </w:pPr>
    </w:p>
    <w:p w14:paraId="486DE7AA" w14:textId="77777777" w:rsidR="00FF7799" w:rsidRPr="00F74287" w:rsidRDefault="00FF7799" w:rsidP="00F3090F">
      <w:pPr>
        <w:pStyle w:val="StandardTextkursiv"/>
        <w:rPr>
          <w:i w:val="0"/>
        </w:rPr>
      </w:pPr>
      <w:r w:rsidRPr="00F74287">
        <w:rPr>
          <w:i w:val="0"/>
        </w:rPr>
        <w:t>3.3 Th​ese der Postfunktionalisten</w:t>
      </w:r>
    </w:p>
    <w:p w14:paraId="3B5D3BD3" w14:textId="77777777" w:rsidR="00FF7799" w:rsidRPr="00F74287" w:rsidRDefault="00FF7799" w:rsidP="00F3090F">
      <w:pPr>
        <w:pStyle w:val="StandardText"/>
      </w:pPr>
      <w:r w:rsidRPr="00F74287">
        <w:t>Sie vertreten die Gegenposition und argumentieren, dass Korruption keinen Beitrag zum Erstarken der Entwicklungsländer leistet(e). Im Gegenteil: Wie eine Umfrage der Weltbank unter ca. 3.600 Unternehmen in 69 Ländern ergeben hat, wird das Wachstum in vielen Weltregionen</w:t>
      </w:r>
      <w:r w:rsidRPr="00F74287">
        <w:rPr>
          <w:spacing w:val="-2"/>
        </w:rPr>
        <w:t xml:space="preserve"> </w:t>
      </w:r>
      <w:r w:rsidRPr="00F74287">
        <w:lastRenderedPageBreak/>
        <w:t>durch kaum</w:t>
      </w:r>
      <w:r w:rsidRPr="00F74287">
        <w:rPr>
          <w:spacing w:val="-2"/>
        </w:rPr>
        <w:t xml:space="preserve"> </w:t>
      </w:r>
      <w:r w:rsidRPr="00F74287">
        <w:t>etwas</w:t>
      </w:r>
      <w:r w:rsidRPr="00F74287">
        <w:rPr>
          <w:spacing w:val="-3"/>
        </w:rPr>
        <w:t xml:space="preserve"> </w:t>
      </w:r>
      <w:r w:rsidRPr="00F74287">
        <w:t>stärker</w:t>
      </w:r>
      <w:r w:rsidRPr="00F74287">
        <w:rPr>
          <w:spacing w:val="-1"/>
        </w:rPr>
        <w:t xml:space="preserve"> </w:t>
      </w:r>
      <w:r w:rsidRPr="00F74287">
        <w:t>gehemmt als</w:t>
      </w:r>
      <w:r w:rsidRPr="00F74287">
        <w:rPr>
          <w:spacing w:val="-1"/>
        </w:rPr>
        <w:t xml:space="preserve"> </w:t>
      </w:r>
      <w:r w:rsidRPr="00F74287">
        <w:t>durch</w:t>
      </w:r>
      <w:r w:rsidRPr="00F74287">
        <w:rPr>
          <w:spacing w:val="-2"/>
        </w:rPr>
        <w:t xml:space="preserve"> </w:t>
      </w:r>
      <w:r w:rsidRPr="00F74287">
        <w:t>Korruption. Denn ein Drittel der Auslandsschulden dieser Länder sei korruptionsbedingt. Bisweilen würden</w:t>
      </w:r>
      <w:r w:rsidRPr="00F74287">
        <w:rPr>
          <w:spacing w:val="-3"/>
        </w:rPr>
        <w:t xml:space="preserve"> </w:t>
      </w:r>
      <w:r w:rsidRPr="00F74287">
        <w:t>überdimensionierte</w:t>
      </w:r>
      <w:r w:rsidRPr="00F74287">
        <w:rPr>
          <w:spacing w:val="-2"/>
        </w:rPr>
        <w:t xml:space="preserve"> </w:t>
      </w:r>
      <w:r w:rsidRPr="00F74287">
        <w:t>Kraftwerke,</w:t>
      </w:r>
      <w:r w:rsidRPr="00F74287">
        <w:rPr>
          <w:spacing w:val="-1"/>
        </w:rPr>
        <w:t xml:space="preserve"> </w:t>
      </w:r>
      <w:r w:rsidRPr="00F74287">
        <w:t>Staudämme</w:t>
      </w:r>
      <w:r w:rsidRPr="00F74287">
        <w:rPr>
          <w:spacing w:val="-2"/>
        </w:rPr>
        <w:t xml:space="preserve"> </w:t>
      </w:r>
      <w:r w:rsidRPr="00F74287">
        <w:t>etc.</w:t>
      </w:r>
      <w:r w:rsidRPr="00F74287">
        <w:rPr>
          <w:spacing w:val="-1"/>
        </w:rPr>
        <w:t xml:space="preserve"> </w:t>
      </w:r>
      <w:r w:rsidRPr="00F74287">
        <w:t>nur</w:t>
      </w:r>
      <w:r w:rsidRPr="00F74287">
        <w:rPr>
          <w:spacing w:val="-4"/>
        </w:rPr>
        <w:t xml:space="preserve"> </w:t>
      </w:r>
      <w:r w:rsidRPr="00F74287">
        <w:t>deshalb</w:t>
      </w:r>
      <w:r w:rsidRPr="00F74287">
        <w:rPr>
          <w:spacing w:val="-3"/>
        </w:rPr>
        <w:t xml:space="preserve"> </w:t>
      </w:r>
      <w:r w:rsidRPr="00F74287">
        <w:t>gebaut,</w:t>
      </w:r>
      <w:r w:rsidRPr="00F74287">
        <w:rPr>
          <w:spacing w:val="-3"/>
        </w:rPr>
        <w:t xml:space="preserve"> </w:t>
      </w:r>
      <w:r w:rsidRPr="00F74287">
        <w:t>weil sich bei einem Großprojekt leichter Geld veruntreuen lässt als bei vielen kleinen Projekten. Da Bestechung auch dafür sorgt, dass Kredite in unverantwortlicher Weise vergeben werden, gilt Korruption überdies als eine der Ursachen internationaler Finanzkrisen. Nicht zuletzt schreckt Korruption Investoren ab.</w:t>
      </w:r>
    </w:p>
    <w:p w14:paraId="02CCEA0B" w14:textId="77777777" w:rsidR="00FF7799" w:rsidRPr="00F74287" w:rsidRDefault="00FF7799" w:rsidP="00F3090F">
      <w:pPr>
        <w:pStyle w:val="StandardText"/>
      </w:pPr>
    </w:p>
    <w:p w14:paraId="0A3B5A0D" w14:textId="77777777" w:rsidR="00FF7799" w:rsidRPr="00F74287" w:rsidRDefault="00FF7799" w:rsidP="00F3090F">
      <w:pPr>
        <w:pStyle w:val="StandardTextkursiv"/>
        <w:rPr>
          <w:i w:val="0"/>
        </w:rPr>
      </w:pPr>
      <w:r w:rsidRPr="00F74287">
        <w:rPr>
          <w:i w:val="0"/>
        </w:rPr>
        <w:t>3.4 Th​ese der Kulturalisten</w:t>
      </w:r>
    </w:p>
    <w:p w14:paraId="21FA6517" w14:textId="77777777" w:rsidR="00FF7799" w:rsidRPr="00E73F6F" w:rsidRDefault="00FF7799" w:rsidP="00F3090F">
      <w:pPr>
        <w:pStyle w:val="StandardText"/>
      </w:pPr>
      <w:r w:rsidRPr="00F74287">
        <w:t>Korruption ist im Zusammenhang mit den soziokulturellen bzw. kulturspezifischen Besonderheiten des Gebens und Nehmens</w:t>
      </w:r>
      <w:r w:rsidRPr="00F74287">
        <w:rPr>
          <w:spacing w:val="-12"/>
        </w:rPr>
        <w:t xml:space="preserve"> </w:t>
      </w:r>
      <w:r w:rsidRPr="00F74287">
        <w:t>zu</w:t>
      </w:r>
      <w:r w:rsidRPr="00F74287">
        <w:rPr>
          <w:spacing w:val="-11"/>
        </w:rPr>
        <w:t xml:space="preserve"> </w:t>
      </w:r>
      <w:r w:rsidRPr="00F74287">
        <w:t>sehen.</w:t>
      </w:r>
      <w:r w:rsidRPr="00F74287">
        <w:rPr>
          <w:spacing w:val="-11"/>
        </w:rPr>
        <w:t xml:space="preserve"> </w:t>
      </w:r>
      <w:r w:rsidRPr="00F74287">
        <w:t>Tatsächlich</w:t>
      </w:r>
      <w:r w:rsidRPr="00F74287">
        <w:rPr>
          <w:spacing w:val="-11"/>
        </w:rPr>
        <w:t xml:space="preserve"> </w:t>
      </w:r>
      <w:r w:rsidRPr="00F74287">
        <w:t>gibt</w:t>
      </w:r>
      <w:r w:rsidRPr="00F74287">
        <w:rPr>
          <w:spacing w:val="-12"/>
        </w:rPr>
        <w:t xml:space="preserve"> </w:t>
      </w:r>
      <w:r w:rsidRPr="00F74287">
        <w:t>es</w:t>
      </w:r>
      <w:r w:rsidRPr="00F74287">
        <w:rPr>
          <w:spacing w:val="-11"/>
        </w:rPr>
        <w:t xml:space="preserve"> </w:t>
      </w:r>
      <w:r w:rsidRPr="00F74287">
        <w:t>empirische</w:t>
      </w:r>
      <w:r w:rsidRPr="00F74287">
        <w:rPr>
          <w:spacing w:val="-11"/>
        </w:rPr>
        <w:t xml:space="preserve"> </w:t>
      </w:r>
      <w:r w:rsidRPr="00F74287">
        <w:t>Belege,</w:t>
      </w:r>
      <w:r w:rsidRPr="00F74287">
        <w:rPr>
          <w:spacing w:val="-11"/>
        </w:rPr>
        <w:t xml:space="preserve"> </w:t>
      </w:r>
      <w:r w:rsidRPr="00F74287">
        <w:t>welche</w:t>
      </w:r>
      <w:r w:rsidRPr="00F74287">
        <w:rPr>
          <w:spacing w:val="-12"/>
        </w:rPr>
        <w:t xml:space="preserve"> </w:t>
      </w:r>
      <w:r w:rsidRPr="00F74287">
        <w:t>diese</w:t>
      </w:r>
      <w:r w:rsidRPr="00F74287">
        <w:rPr>
          <w:spacing w:val="-11"/>
        </w:rPr>
        <w:t xml:space="preserve"> </w:t>
      </w:r>
      <w:r w:rsidRPr="00F74287">
        <w:t>Sichtweise unterstützen. Vornehmlich Länder, die, wie die Philippinen, Machtdistanz akzeptieren</w:t>
      </w:r>
      <w:r w:rsidRPr="00E73F6F">
        <w:t>, sind korruptionsanfällig (r = 0,71). Dies bedeutet, dass Angehörige von Ländern bzw. Kulturen mit großer Bereitschaft, Machtungleichgewichte und Hierarchieunterschiede zu akzeptieren, sich eher korrumpieren lassen als andere. Weiterhin hat sich gezeigt, dass individualistische Gesellschaften signifikant weniger</w:t>
      </w:r>
      <w:r w:rsidRPr="00E73F6F">
        <w:rPr>
          <w:spacing w:val="-11"/>
        </w:rPr>
        <w:t xml:space="preserve"> </w:t>
      </w:r>
      <w:r w:rsidRPr="00E73F6F">
        <w:t>anfällig</w:t>
      </w:r>
      <w:r w:rsidRPr="00E73F6F">
        <w:rPr>
          <w:spacing w:val="-9"/>
        </w:rPr>
        <w:t xml:space="preserve"> </w:t>
      </w:r>
      <w:r w:rsidRPr="00E73F6F">
        <w:t>für</w:t>
      </w:r>
      <w:r w:rsidRPr="00E73F6F">
        <w:rPr>
          <w:spacing w:val="-12"/>
        </w:rPr>
        <w:t xml:space="preserve"> </w:t>
      </w:r>
      <w:r w:rsidRPr="00E73F6F">
        <w:t>Korruption</w:t>
      </w:r>
      <w:r w:rsidRPr="00E73F6F">
        <w:rPr>
          <w:spacing w:val="-10"/>
        </w:rPr>
        <w:t xml:space="preserve"> </w:t>
      </w:r>
      <w:r w:rsidRPr="00E73F6F">
        <w:t>sind</w:t>
      </w:r>
      <w:r w:rsidRPr="00E73F6F">
        <w:rPr>
          <w:spacing w:val="-9"/>
        </w:rPr>
        <w:t xml:space="preserve"> </w:t>
      </w:r>
      <w:r w:rsidRPr="00E73F6F">
        <w:t>als</w:t>
      </w:r>
      <w:r w:rsidRPr="00E73F6F">
        <w:rPr>
          <w:spacing w:val="-12"/>
        </w:rPr>
        <w:t xml:space="preserve"> </w:t>
      </w:r>
      <w:r w:rsidRPr="00E73F6F">
        <w:t>kollektivistische</w:t>
      </w:r>
      <w:r w:rsidRPr="00E73F6F">
        <w:rPr>
          <w:spacing w:val="-10"/>
        </w:rPr>
        <w:t xml:space="preserve"> </w:t>
      </w:r>
      <w:r w:rsidRPr="00E73F6F">
        <w:t>Gesellschaften</w:t>
      </w:r>
      <w:r w:rsidRPr="00E73F6F">
        <w:rPr>
          <w:spacing w:val="-9"/>
        </w:rPr>
        <w:t xml:space="preserve"> </w:t>
      </w:r>
      <w:r w:rsidRPr="00E73F6F">
        <w:t>(r</w:t>
      </w:r>
      <w:r w:rsidRPr="00E73F6F">
        <w:rPr>
          <w:spacing w:val="-10"/>
        </w:rPr>
        <w:t xml:space="preserve"> </w:t>
      </w:r>
      <w:r w:rsidRPr="00E73F6F">
        <w:t>=</w:t>
      </w:r>
      <w:r w:rsidRPr="00E73F6F">
        <w:rPr>
          <w:spacing w:val="-11"/>
        </w:rPr>
        <w:t xml:space="preserve"> </w:t>
      </w:r>
      <w:r w:rsidRPr="00E73F6F">
        <w:t>0,67). Denn</w:t>
      </w:r>
      <w:r w:rsidRPr="00E73F6F">
        <w:rPr>
          <w:spacing w:val="64"/>
        </w:rPr>
        <w:t xml:space="preserve"> </w:t>
      </w:r>
      <w:r w:rsidRPr="00E73F6F">
        <w:t>in</w:t>
      </w:r>
      <w:r w:rsidRPr="00E73F6F">
        <w:rPr>
          <w:spacing w:val="64"/>
        </w:rPr>
        <w:t xml:space="preserve"> </w:t>
      </w:r>
      <w:r w:rsidRPr="00E73F6F">
        <w:t>letzteren</w:t>
      </w:r>
      <w:r w:rsidRPr="00E73F6F">
        <w:rPr>
          <w:spacing w:val="62"/>
        </w:rPr>
        <w:t xml:space="preserve"> </w:t>
      </w:r>
      <w:r w:rsidRPr="00E73F6F">
        <w:t>spielen</w:t>
      </w:r>
      <w:r w:rsidRPr="00E73F6F">
        <w:rPr>
          <w:spacing w:val="62"/>
        </w:rPr>
        <w:t xml:space="preserve"> </w:t>
      </w:r>
      <w:r w:rsidRPr="00E73F6F">
        <w:t>soziale</w:t>
      </w:r>
      <w:r w:rsidRPr="00E73F6F">
        <w:rPr>
          <w:spacing w:val="63"/>
        </w:rPr>
        <w:t xml:space="preserve"> </w:t>
      </w:r>
      <w:r w:rsidRPr="00E73F6F">
        <w:t>Beziehungen</w:t>
      </w:r>
      <w:r w:rsidRPr="00E73F6F">
        <w:rPr>
          <w:spacing w:val="62"/>
        </w:rPr>
        <w:t xml:space="preserve"> </w:t>
      </w:r>
      <w:r w:rsidRPr="00E73F6F">
        <w:t>und</w:t>
      </w:r>
      <w:r w:rsidRPr="00E73F6F">
        <w:rPr>
          <w:spacing w:val="64"/>
        </w:rPr>
        <w:t xml:space="preserve"> </w:t>
      </w:r>
      <w:r w:rsidRPr="00E73F6F">
        <w:t>Hierarchien,</w:t>
      </w:r>
      <w:r w:rsidRPr="00E73F6F">
        <w:rPr>
          <w:spacing w:val="64"/>
        </w:rPr>
        <w:t xml:space="preserve"> </w:t>
      </w:r>
      <w:r w:rsidRPr="00E73F6F">
        <w:t>die</w:t>
      </w:r>
      <w:r w:rsidRPr="00E73F6F">
        <w:rPr>
          <w:spacing w:val="63"/>
        </w:rPr>
        <w:t xml:space="preserve"> </w:t>
      </w:r>
      <w:r w:rsidRPr="00E73F6F">
        <w:t>durch „Zuwendungen aller Art“ zu pflegen bzw. zu würdigen sind, eine große Rolle. Die Tendenz, Ungewissheit zu vermeiden, geht mit einem leichten Hang zur Korruption einher (r = 0,39). Als Erklärung hierfür bietet sich folgende These an: Das Kontrollbedürfnis, das für diese Menschen typisch ist (= durch eigenes Handeln zukünftige Ergebnisse beeinflussen zu wollen), lässt sich auch durch „Geschenke“ befriedigen.</w:t>
      </w:r>
    </w:p>
    <w:p w14:paraId="1E04EEF3" w14:textId="77777777" w:rsidR="00FF7799" w:rsidRPr="00E73F6F" w:rsidRDefault="00FF7799" w:rsidP="00F3090F">
      <w:pPr>
        <w:pStyle w:val="StandardText"/>
      </w:pPr>
    </w:p>
    <w:p w14:paraId="3E4FB56F" w14:textId="77777777" w:rsidR="00FF7799" w:rsidRPr="00F74287" w:rsidRDefault="00FF7799" w:rsidP="00F3090F">
      <w:pPr>
        <w:pStyle w:val="StandardTextkursiv"/>
        <w:rPr>
          <w:i w:val="0"/>
        </w:rPr>
      </w:pPr>
      <w:r w:rsidRPr="00F74287">
        <w:rPr>
          <w:i w:val="0"/>
        </w:rPr>
        <w:t>3.5 Th​ese der Materialisten</w:t>
      </w:r>
    </w:p>
    <w:p w14:paraId="12F03AA8" w14:textId="77777777" w:rsidR="00FF7799" w:rsidRPr="00F74287" w:rsidRDefault="00FF7799" w:rsidP="00F3090F">
      <w:pPr>
        <w:pStyle w:val="StandardText"/>
      </w:pPr>
      <w:r w:rsidRPr="00F74287">
        <w:t>Da die individualistischen Länder, d.h. vor allem die westlichen Industrieländer, tendenziell wirtschaftlich weiterentwickelt sind als kollektivistische Gesellschaften, ist denkbar, dass Korruption nicht primär durch die Art der kulturellen Konditionierung, sondern durch das ökonomische Entwicklungsniveau eines Landes gehemmt bzw. gefördert wird. Strittig bleibt allerdings die dabei unterstellte Kausalität: „Armut führt zu Korruption“. Nicht minder plausibel ist nämlich die Annahme, dass diese Länder deshalb arm sind, weil dort korruptionsbedingt nur wenige von dem Volkseinkommen profitieren oder</w:t>
      </w:r>
      <w:r w:rsidRPr="00F74287">
        <w:rPr>
          <w:spacing w:val="-10"/>
        </w:rPr>
        <w:t xml:space="preserve"> </w:t>
      </w:r>
      <w:r w:rsidRPr="00F74287">
        <w:t>weil,</w:t>
      </w:r>
      <w:r w:rsidRPr="00F74287">
        <w:rPr>
          <w:spacing w:val="-10"/>
        </w:rPr>
        <w:t xml:space="preserve"> </w:t>
      </w:r>
      <w:r w:rsidRPr="00F74287">
        <w:t>wie</w:t>
      </w:r>
      <w:r w:rsidRPr="00F74287">
        <w:rPr>
          <w:spacing w:val="-10"/>
        </w:rPr>
        <w:t xml:space="preserve"> </w:t>
      </w:r>
      <w:r w:rsidRPr="00F74287">
        <w:t>die</w:t>
      </w:r>
      <w:r w:rsidRPr="00F74287">
        <w:rPr>
          <w:spacing w:val="-10"/>
        </w:rPr>
        <w:t xml:space="preserve"> </w:t>
      </w:r>
      <w:r w:rsidRPr="00F74287">
        <w:t>Postfunktionalisten</w:t>
      </w:r>
      <w:r w:rsidRPr="00F74287">
        <w:rPr>
          <w:spacing w:val="-9"/>
        </w:rPr>
        <w:t xml:space="preserve"> </w:t>
      </w:r>
      <w:r w:rsidRPr="00F74287">
        <w:t>es</w:t>
      </w:r>
      <w:r w:rsidRPr="00F74287">
        <w:rPr>
          <w:spacing w:val="-10"/>
        </w:rPr>
        <w:t xml:space="preserve"> </w:t>
      </w:r>
      <w:r w:rsidRPr="00F74287">
        <w:t>sehen,</w:t>
      </w:r>
      <w:r w:rsidRPr="00F74287">
        <w:rPr>
          <w:spacing w:val="-10"/>
        </w:rPr>
        <w:t xml:space="preserve"> </w:t>
      </w:r>
      <w:r w:rsidRPr="00F74287">
        <w:t>Korruption</w:t>
      </w:r>
      <w:r w:rsidRPr="00F74287">
        <w:rPr>
          <w:spacing w:val="-10"/>
        </w:rPr>
        <w:t xml:space="preserve"> </w:t>
      </w:r>
      <w:r w:rsidRPr="00F74287">
        <w:t>Entwicklung</w:t>
      </w:r>
      <w:r w:rsidRPr="00F74287">
        <w:rPr>
          <w:spacing w:val="-9"/>
        </w:rPr>
        <w:t xml:space="preserve"> </w:t>
      </w:r>
      <w:r w:rsidRPr="00F74287">
        <w:t>behindert und nicht selten verhindert.</w:t>
      </w:r>
    </w:p>
    <w:p w14:paraId="2506FA3A" w14:textId="77777777" w:rsidR="00FF7799" w:rsidRPr="00F74287" w:rsidRDefault="00FF7799" w:rsidP="00F3090F">
      <w:pPr>
        <w:pStyle w:val="Listenabsatz"/>
        <w:tabs>
          <w:tab w:val="left" w:pos="1263"/>
        </w:tabs>
        <w:spacing w:before="12" w:line="254" w:lineRule="auto"/>
        <w:ind w:left="0" w:firstLine="0"/>
        <w:rPr>
          <w:sz w:val="24"/>
          <w:szCs w:val="24"/>
        </w:rPr>
      </w:pPr>
    </w:p>
    <w:p w14:paraId="17BA4995" w14:textId="77777777" w:rsidR="00FF7799" w:rsidRPr="00E73F6F" w:rsidRDefault="00FF7799" w:rsidP="00535A87">
      <w:pPr>
        <w:pStyle w:val="BeschriftungTab"/>
      </w:pPr>
      <w:r w:rsidRPr="00E73F6F">
        <w:t>Tab 1: Rangfolge</w:t>
      </w:r>
      <w:r w:rsidRPr="00E73F6F">
        <w:rPr>
          <w:spacing w:val="-5"/>
        </w:rPr>
        <w:t xml:space="preserve"> </w:t>
      </w:r>
      <w:r w:rsidRPr="00E73F6F">
        <w:t>zunehmender</w:t>
      </w:r>
      <w:r w:rsidRPr="00E73F6F">
        <w:rPr>
          <w:spacing w:val="-3"/>
        </w:rPr>
        <w:t xml:space="preserve"> </w:t>
      </w:r>
      <w:r w:rsidRPr="00E73F6F">
        <w:t>Korruptionsanfälligkeit</w:t>
      </w:r>
      <w:r w:rsidRPr="00E73F6F">
        <w:rPr>
          <w:spacing w:val="-4"/>
        </w:rPr>
        <w:t xml:space="preserve"> </w:t>
      </w:r>
      <w:r w:rsidRPr="00E73F6F">
        <w:t>(Stand</w:t>
      </w:r>
      <w:r w:rsidRPr="00E73F6F">
        <w:rPr>
          <w:spacing w:val="-2"/>
        </w:rPr>
        <w:t xml:space="preserve"> </w:t>
      </w:r>
      <w:r w:rsidRPr="00E73F6F">
        <w:rPr>
          <w:spacing w:val="-4"/>
        </w:rPr>
        <w:t>2006)</w:t>
      </w:r>
    </w:p>
    <w:tbl>
      <w:tblPr>
        <w:tblStyle w:val="TableNormal"/>
        <w:tblW w:w="5000" w:type="pct"/>
        <w:tblBorders>
          <w:top w:val="single" w:sz="4" w:space="0" w:color="auto"/>
          <w:insideH w:val="single" w:sz="4" w:space="0" w:color="auto"/>
        </w:tblBorders>
        <w:tblLook w:val="01E0" w:firstRow="1" w:lastRow="1" w:firstColumn="1" w:lastColumn="1" w:noHBand="0" w:noVBand="0"/>
      </w:tblPr>
      <w:tblGrid>
        <w:gridCol w:w="710"/>
        <w:gridCol w:w="3121"/>
        <w:gridCol w:w="1747"/>
        <w:gridCol w:w="1747"/>
        <w:gridCol w:w="1747"/>
      </w:tblGrid>
      <w:tr w:rsidR="00FF7799" w:rsidRPr="00E73F6F" w14:paraId="6E996D5B" w14:textId="77777777" w:rsidTr="008E038E">
        <w:trPr>
          <w:trHeight w:val="558"/>
          <w:tblHeader/>
        </w:trPr>
        <w:tc>
          <w:tcPr>
            <w:tcW w:w="391" w:type="pct"/>
            <w:shd w:val="clear" w:color="auto" w:fill="FFC000"/>
          </w:tcPr>
          <w:p w14:paraId="60A589AE" w14:textId="77777777" w:rsidR="00FF7799" w:rsidRPr="00E73F6F" w:rsidRDefault="00FF7799" w:rsidP="00F3090F">
            <w:pPr>
              <w:pStyle w:val="StandardText"/>
              <w:spacing w:after="120"/>
              <w:jc w:val="center"/>
              <w:rPr>
                <w:b/>
                <w:lang w:val="de-DE"/>
              </w:rPr>
            </w:pPr>
            <w:r w:rsidRPr="00E73F6F">
              <w:rPr>
                <w:b/>
                <w:lang w:val="de-DE"/>
              </w:rPr>
              <w:t>Ran</w:t>
            </w:r>
            <w:r w:rsidRPr="00E73F6F">
              <w:rPr>
                <w:b/>
                <w:spacing w:val="-10"/>
                <w:lang w:val="de-DE"/>
              </w:rPr>
              <w:t>g</w:t>
            </w:r>
          </w:p>
        </w:tc>
        <w:tc>
          <w:tcPr>
            <w:tcW w:w="1720" w:type="pct"/>
            <w:shd w:val="clear" w:color="auto" w:fill="FFC000"/>
          </w:tcPr>
          <w:p w14:paraId="499FCD06" w14:textId="77777777" w:rsidR="00FF7799" w:rsidRPr="00E73F6F" w:rsidRDefault="00FF7799" w:rsidP="00F3090F">
            <w:pPr>
              <w:pStyle w:val="StandardText"/>
              <w:spacing w:after="120"/>
              <w:jc w:val="center"/>
              <w:rPr>
                <w:b/>
                <w:lang w:val="de-DE"/>
              </w:rPr>
            </w:pPr>
            <w:r w:rsidRPr="00E73F6F">
              <w:rPr>
                <w:b/>
                <w:lang w:val="de-DE"/>
              </w:rPr>
              <w:t>Land /</w:t>
            </w:r>
            <w:r w:rsidRPr="00E73F6F">
              <w:rPr>
                <w:b/>
                <w:spacing w:val="-1"/>
                <w:lang w:val="de-DE"/>
              </w:rPr>
              <w:t xml:space="preserve"> </w:t>
            </w:r>
            <w:r w:rsidRPr="00E73F6F">
              <w:rPr>
                <w:b/>
                <w:spacing w:val="-2"/>
                <w:lang w:val="de-DE"/>
              </w:rPr>
              <w:t>Territorium</w:t>
            </w:r>
          </w:p>
        </w:tc>
        <w:tc>
          <w:tcPr>
            <w:tcW w:w="963" w:type="pct"/>
            <w:shd w:val="clear" w:color="auto" w:fill="FFC000"/>
          </w:tcPr>
          <w:p w14:paraId="12893FD7" w14:textId="77777777" w:rsidR="00FF7799" w:rsidRPr="00E73F6F" w:rsidRDefault="00FF7799" w:rsidP="00F74287">
            <w:pPr>
              <w:pStyle w:val="StandardText"/>
              <w:spacing w:after="120" w:line="276" w:lineRule="auto"/>
              <w:jc w:val="center"/>
              <w:rPr>
                <w:b/>
                <w:lang w:val="de-DE"/>
              </w:rPr>
            </w:pPr>
            <w:r w:rsidRPr="00E73F6F">
              <w:rPr>
                <w:b/>
                <w:lang w:val="de-DE"/>
              </w:rPr>
              <w:t>CPI</w:t>
            </w:r>
            <w:r w:rsidRPr="00E73F6F">
              <w:rPr>
                <w:b/>
                <w:spacing w:val="40"/>
                <w:lang w:val="de-DE"/>
              </w:rPr>
              <w:t xml:space="preserve"> </w:t>
            </w:r>
            <w:r w:rsidRPr="00E73F6F">
              <w:rPr>
                <w:b/>
                <w:lang w:val="de-DE"/>
              </w:rPr>
              <w:t xml:space="preserve">2006 </w:t>
            </w:r>
            <w:r w:rsidRPr="00E73F6F">
              <w:rPr>
                <w:b/>
                <w:spacing w:val="-2"/>
                <w:lang w:val="de-DE"/>
              </w:rPr>
              <w:t>Punktwert</w:t>
            </w:r>
            <w:r w:rsidRPr="00E73F6F">
              <w:rPr>
                <w:b/>
                <w:spacing w:val="-2"/>
                <w:vertAlign w:val="superscript"/>
                <w:lang w:val="de-DE"/>
              </w:rPr>
              <w:t>*</w:t>
            </w:r>
          </w:p>
        </w:tc>
        <w:tc>
          <w:tcPr>
            <w:tcW w:w="963" w:type="pct"/>
            <w:shd w:val="clear" w:color="auto" w:fill="FFC000"/>
          </w:tcPr>
          <w:p w14:paraId="3662DAB8" w14:textId="77777777" w:rsidR="00FF7799" w:rsidRPr="00E73F6F" w:rsidRDefault="00FF7799" w:rsidP="00F74287">
            <w:pPr>
              <w:pStyle w:val="StandardText"/>
              <w:spacing w:after="120" w:line="276" w:lineRule="auto"/>
              <w:jc w:val="center"/>
              <w:rPr>
                <w:b/>
                <w:lang w:val="de-DE"/>
              </w:rPr>
            </w:pPr>
            <w:r w:rsidRPr="00E73F6F">
              <w:rPr>
                <w:b/>
                <w:spacing w:val="-2"/>
                <w:lang w:val="de-DE"/>
              </w:rPr>
              <w:t>Vertrauens-</w:t>
            </w:r>
            <w:r w:rsidRPr="00E73F6F">
              <w:rPr>
                <w:b/>
                <w:spacing w:val="40"/>
                <w:lang w:val="de-DE"/>
              </w:rPr>
              <w:br/>
            </w:r>
            <w:r w:rsidRPr="00E73F6F">
              <w:rPr>
                <w:b/>
                <w:spacing w:val="-2"/>
                <w:lang w:val="de-DE"/>
              </w:rPr>
              <w:t>intervall</w:t>
            </w:r>
            <w:r w:rsidRPr="00E73F6F">
              <w:rPr>
                <w:b/>
                <w:spacing w:val="-2"/>
                <w:vertAlign w:val="superscript"/>
                <w:lang w:val="de-DE"/>
              </w:rPr>
              <w:t>**</w:t>
            </w:r>
          </w:p>
        </w:tc>
        <w:tc>
          <w:tcPr>
            <w:tcW w:w="963" w:type="pct"/>
            <w:shd w:val="clear" w:color="auto" w:fill="FFC000"/>
          </w:tcPr>
          <w:p w14:paraId="096DA6DB" w14:textId="77777777" w:rsidR="00F74287" w:rsidRDefault="00FF7799" w:rsidP="00F74287">
            <w:pPr>
              <w:pStyle w:val="StandardText"/>
              <w:spacing w:after="120" w:line="180" w:lineRule="exact"/>
              <w:jc w:val="center"/>
              <w:rPr>
                <w:b/>
                <w:spacing w:val="-2"/>
                <w:lang w:val="de-DE"/>
              </w:rPr>
            </w:pPr>
            <w:r w:rsidRPr="00E73F6F">
              <w:rPr>
                <w:b/>
                <w:spacing w:val="-2"/>
                <w:lang w:val="de-DE"/>
              </w:rPr>
              <w:t>Anzahl</w:t>
            </w:r>
            <w:r w:rsidRPr="00F74287">
              <w:rPr>
                <w:b/>
                <w:spacing w:val="-2"/>
                <w:lang w:val="de-DE"/>
              </w:rPr>
              <w:t xml:space="preserve"> </w:t>
            </w:r>
          </w:p>
          <w:p w14:paraId="4EA6C326" w14:textId="77777777" w:rsidR="00FF7799" w:rsidRPr="00F74287" w:rsidRDefault="00FF7799" w:rsidP="00F74287">
            <w:pPr>
              <w:pStyle w:val="StandardText"/>
              <w:spacing w:after="120" w:line="180" w:lineRule="exact"/>
              <w:jc w:val="center"/>
              <w:rPr>
                <w:b/>
                <w:spacing w:val="-2"/>
                <w:lang w:val="de-DE"/>
              </w:rPr>
            </w:pPr>
            <w:r w:rsidRPr="00E73F6F">
              <w:rPr>
                <w:b/>
                <w:spacing w:val="-2"/>
                <w:lang w:val="de-DE"/>
              </w:rPr>
              <w:t>Studien</w:t>
            </w:r>
            <w:r w:rsidRPr="00F74287">
              <w:rPr>
                <w:b/>
                <w:spacing w:val="-2"/>
                <w:lang w:val="de-DE"/>
              </w:rPr>
              <w:t>***</w:t>
            </w:r>
          </w:p>
        </w:tc>
      </w:tr>
      <w:tr w:rsidR="00FF7799" w:rsidRPr="00E73F6F" w14:paraId="1BE4E7D1" w14:textId="77777777" w:rsidTr="008E038E">
        <w:trPr>
          <w:trHeight w:val="239"/>
        </w:trPr>
        <w:tc>
          <w:tcPr>
            <w:tcW w:w="391" w:type="pct"/>
          </w:tcPr>
          <w:p w14:paraId="0F05331F" w14:textId="77777777" w:rsidR="00FF7799" w:rsidRPr="00E73F6F" w:rsidRDefault="00FF7799" w:rsidP="00F3090F">
            <w:pPr>
              <w:pStyle w:val="StandardText"/>
              <w:jc w:val="center"/>
              <w:rPr>
                <w:lang w:val="de-DE"/>
              </w:rPr>
            </w:pPr>
            <w:r w:rsidRPr="00E73F6F">
              <w:rPr>
                <w:lang w:val="de-DE"/>
              </w:rPr>
              <w:t>1</w:t>
            </w:r>
          </w:p>
        </w:tc>
        <w:tc>
          <w:tcPr>
            <w:tcW w:w="1720" w:type="pct"/>
          </w:tcPr>
          <w:p w14:paraId="5586F7DD" w14:textId="77777777" w:rsidR="00FF7799" w:rsidRPr="00E73F6F" w:rsidRDefault="00FF7799" w:rsidP="00F3090F">
            <w:pPr>
              <w:pStyle w:val="StandardText"/>
              <w:jc w:val="left"/>
              <w:rPr>
                <w:lang w:val="de-DE"/>
              </w:rPr>
            </w:pPr>
            <w:r w:rsidRPr="00E73F6F">
              <w:rPr>
                <w:spacing w:val="-2"/>
                <w:lang w:val="de-DE"/>
              </w:rPr>
              <w:t>Finnland</w:t>
            </w:r>
          </w:p>
        </w:tc>
        <w:tc>
          <w:tcPr>
            <w:tcW w:w="963" w:type="pct"/>
          </w:tcPr>
          <w:p w14:paraId="35DFBDB1" w14:textId="77777777" w:rsidR="00FF7799" w:rsidRPr="00E73F6F" w:rsidRDefault="00FF7799" w:rsidP="00F3090F">
            <w:pPr>
              <w:pStyle w:val="StandardText"/>
              <w:jc w:val="center"/>
              <w:rPr>
                <w:lang w:val="de-DE"/>
              </w:rPr>
            </w:pPr>
            <w:r w:rsidRPr="00E73F6F">
              <w:rPr>
                <w:spacing w:val="-5"/>
                <w:lang w:val="de-DE"/>
              </w:rPr>
              <w:t>9.6</w:t>
            </w:r>
          </w:p>
        </w:tc>
        <w:tc>
          <w:tcPr>
            <w:tcW w:w="963" w:type="pct"/>
          </w:tcPr>
          <w:p w14:paraId="637CF20F" w14:textId="77777777" w:rsidR="00FF7799" w:rsidRPr="00E73F6F" w:rsidRDefault="00FF7799" w:rsidP="00F3090F">
            <w:pPr>
              <w:pStyle w:val="StandardText"/>
              <w:jc w:val="center"/>
              <w:rPr>
                <w:lang w:val="de-DE"/>
              </w:rPr>
            </w:pPr>
            <w:r w:rsidRPr="00E73F6F">
              <w:rPr>
                <w:lang w:val="de-DE"/>
              </w:rPr>
              <w:t>9.4 -</w:t>
            </w:r>
            <w:r w:rsidRPr="00E73F6F">
              <w:rPr>
                <w:spacing w:val="-3"/>
                <w:lang w:val="de-DE"/>
              </w:rPr>
              <w:t xml:space="preserve"> </w:t>
            </w:r>
            <w:r w:rsidRPr="00E73F6F">
              <w:rPr>
                <w:spacing w:val="-5"/>
                <w:lang w:val="de-DE"/>
              </w:rPr>
              <w:t>9.7</w:t>
            </w:r>
          </w:p>
        </w:tc>
        <w:tc>
          <w:tcPr>
            <w:tcW w:w="963" w:type="pct"/>
          </w:tcPr>
          <w:p w14:paraId="4B5F2395" w14:textId="77777777" w:rsidR="00FF7799" w:rsidRPr="00E73F6F" w:rsidRDefault="00FF7799" w:rsidP="00F3090F">
            <w:pPr>
              <w:pStyle w:val="StandardText"/>
              <w:jc w:val="center"/>
              <w:rPr>
                <w:lang w:val="de-DE"/>
              </w:rPr>
            </w:pPr>
            <w:r w:rsidRPr="00E73F6F">
              <w:rPr>
                <w:lang w:val="de-DE"/>
              </w:rPr>
              <w:t>7</w:t>
            </w:r>
          </w:p>
        </w:tc>
      </w:tr>
      <w:tr w:rsidR="00FF7799" w:rsidRPr="00E73F6F" w14:paraId="39236A56" w14:textId="77777777" w:rsidTr="008E038E">
        <w:trPr>
          <w:trHeight w:val="244"/>
        </w:trPr>
        <w:tc>
          <w:tcPr>
            <w:tcW w:w="391" w:type="pct"/>
          </w:tcPr>
          <w:p w14:paraId="379E0ADA" w14:textId="77777777" w:rsidR="00FF7799" w:rsidRPr="00E73F6F" w:rsidRDefault="00FF7799" w:rsidP="00F3090F">
            <w:pPr>
              <w:pStyle w:val="StandardText"/>
              <w:jc w:val="center"/>
              <w:rPr>
                <w:lang w:val="de-DE"/>
              </w:rPr>
            </w:pPr>
          </w:p>
        </w:tc>
        <w:tc>
          <w:tcPr>
            <w:tcW w:w="1720" w:type="pct"/>
          </w:tcPr>
          <w:p w14:paraId="45132370" w14:textId="77777777" w:rsidR="00FF7799" w:rsidRPr="00E73F6F" w:rsidRDefault="00FF7799" w:rsidP="00F3090F">
            <w:pPr>
              <w:pStyle w:val="StandardText"/>
              <w:jc w:val="left"/>
              <w:rPr>
                <w:lang w:val="de-DE"/>
              </w:rPr>
            </w:pPr>
            <w:r w:rsidRPr="00E73F6F">
              <w:rPr>
                <w:spacing w:val="-2"/>
                <w:lang w:val="de-DE"/>
              </w:rPr>
              <w:t>Island</w:t>
            </w:r>
          </w:p>
        </w:tc>
        <w:tc>
          <w:tcPr>
            <w:tcW w:w="963" w:type="pct"/>
          </w:tcPr>
          <w:p w14:paraId="0A435C27" w14:textId="77777777" w:rsidR="00FF7799" w:rsidRPr="00E73F6F" w:rsidRDefault="00FF7799" w:rsidP="00F3090F">
            <w:pPr>
              <w:pStyle w:val="StandardText"/>
              <w:jc w:val="center"/>
              <w:rPr>
                <w:lang w:val="de-DE"/>
              </w:rPr>
            </w:pPr>
            <w:r w:rsidRPr="00E73F6F">
              <w:rPr>
                <w:spacing w:val="-5"/>
                <w:lang w:val="de-DE"/>
              </w:rPr>
              <w:t>9.6</w:t>
            </w:r>
          </w:p>
        </w:tc>
        <w:tc>
          <w:tcPr>
            <w:tcW w:w="963" w:type="pct"/>
          </w:tcPr>
          <w:p w14:paraId="5532FD30" w14:textId="77777777" w:rsidR="00FF7799" w:rsidRPr="00E73F6F" w:rsidRDefault="00FF7799" w:rsidP="00F3090F">
            <w:pPr>
              <w:pStyle w:val="StandardText"/>
              <w:jc w:val="center"/>
              <w:rPr>
                <w:lang w:val="de-DE"/>
              </w:rPr>
            </w:pPr>
            <w:r w:rsidRPr="00E73F6F">
              <w:rPr>
                <w:lang w:val="de-DE"/>
              </w:rPr>
              <w:t>9.5 -</w:t>
            </w:r>
            <w:r w:rsidRPr="00E73F6F">
              <w:rPr>
                <w:spacing w:val="-3"/>
                <w:lang w:val="de-DE"/>
              </w:rPr>
              <w:t xml:space="preserve"> </w:t>
            </w:r>
            <w:r w:rsidRPr="00E73F6F">
              <w:rPr>
                <w:spacing w:val="-5"/>
                <w:lang w:val="de-DE"/>
              </w:rPr>
              <w:t>9.7</w:t>
            </w:r>
          </w:p>
        </w:tc>
        <w:tc>
          <w:tcPr>
            <w:tcW w:w="963" w:type="pct"/>
          </w:tcPr>
          <w:p w14:paraId="2027FD0C" w14:textId="77777777" w:rsidR="00FF7799" w:rsidRPr="00E73F6F" w:rsidRDefault="00FF7799" w:rsidP="00F3090F">
            <w:pPr>
              <w:pStyle w:val="StandardText"/>
              <w:jc w:val="center"/>
              <w:rPr>
                <w:lang w:val="de-DE"/>
              </w:rPr>
            </w:pPr>
            <w:r w:rsidRPr="00E73F6F">
              <w:rPr>
                <w:lang w:val="de-DE"/>
              </w:rPr>
              <w:t>6</w:t>
            </w:r>
          </w:p>
        </w:tc>
      </w:tr>
      <w:tr w:rsidR="00FF7799" w:rsidRPr="00E73F6F" w14:paraId="2243283C" w14:textId="77777777" w:rsidTr="008E038E">
        <w:trPr>
          <w:trHeight w:val="239"/>
        </w:trPr>
        <w:tc>
          <w:tcPr>
            <w:tcW w:w="391" w:type="pct"/>
          </w:tcPr>
          <w:p w14:paraId="1EB328D4" w14:textId="77777777" w:rsidR="00FF7799" w:rsidRPr="00E73F6F" w:rsidRDefault="00FF7799" w:rsidP="00F3090F">
            <w:pPr>
              <w:pStyle w:val="StandardText"/>
              <w:jc w:val="center"/>
              <w:rPr>
                <w:lang w:val="de-DE"/>
              </w:rPr>
            </w:pPr>
          </w:p>
        </w:tc>
        <w:tc>
          <w:tcPr>
            <w:tcW w:w="1720" w:type="pct"/>
          </w:tcPr>
          <w:p w14:paraId="5A3220B6" w14:textId="77777777" w:rsidR="00FF7799" w:rsidRPr="00E73F6F" w:rsidRDefault="00FF7799" w:rsidP="00F3090F">
            <w:pPr>
              <w:pStyle w:val="StandardText"/>
              <w:jc w:val="left"/>
              <w:rPr>
                <w:lang w:val="de-DE"/>
              </w:rPr>
            </w:pPr>
            <w:r w:rsidRPr="00E73F6F">
              <w:rPr>
                <w:spacing w:val="-2"/>
                <w:lang w:val="de-DE"/>
              </w:rPr>
              <w:t>Neuseeland</w:t>
            </w:r>
          </w:p>
        </w:tc>
        <w:tc>
          <w:tcPr>
            <w:tcW w:w="963" w:type="pct"/>
          </w:tcPr>
          <w:p w14:paraId="501DBBD6" w14:textId="77777777" w:rsidR="00FF7799" w:rsidRPr="00E73F6F" w:rsidRDefault="00FF7799" w:rsidP="00F3090F">
            <w:pPr>
              <w:pStyle w:val="StandardText"/>
              <w:jc w:val="center"/>
              <w:rPr>
                <w:lang w:val="de-DE"/>
              </w:rPr>
            </w:pPr>
            <w:r w:rsidRPr="00E73F6F">
              <w:rPr>
                <w:spacing w:val="-5"/>
                <w:lang w:val="de-DE"/>
              </w:rPr>
              <w:t>9.6</w:t>
            </w:r>
          </w:p>
        </w:tc>
        <w:tc>
          <w:tcPr>
            <w:tcW w:w="963" w:type="pct"/>
          </w:tcPr>
          <w:p w14:paraId="1FBBD2CA" w14:textId="77777777" w:rsidR="00FF7799" w:rsidRPr="00E73F6F" w:rsidRDefault="00FF7799" w:rsidP="00F3090F">
            <w:pPr>
              <w:pStyle w:val="StandardText"/>
              <w:jc w:val="center"/>
              <w:rPr>
                <w:lang w:val="de-DE"/>
              </w:rPr>
            </w:pPr>
            <w:r w:rsidRPr="00E73F6F">
              <w:rPr>
                <w:lang w:val="de-DE"/>
              </w:rPr>
              <w:t>9.4 -</w:t>
            </w:r>
            <w:r w:rsidRPr="00E73F6F">
              <w:rPr>
                <w:spacing w:val="-3"/>
                <w:lang w:val="de-DE"/>
              </w:rPr>
              <w:t xml:space="preserve"> </w:t>
            </w:r>
            <w:r w:rsidRPr="00E73F6F">
              <w:rPr>
                <w:spacing w:val="-5"/>
                <w:lang w:val="de-DE"/>
              </w:rPr>
              <w:t>9.6</w:t>
            </w:r>
          </w:p>
        </w:tc>
        <w:tc>
          <w:tcPr>
            <w:tcW w:w="963" w:type="pct"/>
          </w:tcPr>
          <w:p w14:paraId="03926541" w14:textId="77777777" w:rsidR="00FF7799" w:rsidRPr="00E73F6F" w:rsidRDefault="00FF7799" w:rsidP="00F3090F">
            <w:pPr>
              <w:pStyle w:val="StandardText"/>
              <w:jc w:val="center"/>
              <w:rPr>
                <w:lang w:val="de-DE"/>
              </w:rPr>
            </w:pPr>
            <w:r w:rsidRPr="00E73F6F">
              <w:rPr>
                <w:lang w:val="de-DE"/>
              </w:rPr>
              <w:t>7</w:t>
            </w:r>
          </w:p>
        </w:tc>
      </w:tr>
      <w:tr w:rsidR="00FF7799" w:rsidRPr="00E73F6F" w14:paraId="0865D54F" w14:textId="77777777" w:rsidTr="008E038E">
        <w:trPr>
          <w:trHeight w:val="244"/>
        </w:trPr>
        <w:tc>
          <w:tcPr>
            <w:tcW w:w="391" w:type="pct"/>
          </w:tcPr>
          <w:p w14:paraId="056B536D" w14:textId="77777777" w:rsidR="00FF7799" w:rsidRPr="00E73F6F" w:rsidRDefault="00FF7799" w:rsidP="00F3090F">
            <w:pPr>
              <w:pStyle w:val="StandardText"/>
              <w:jc w:val="center"/>
              <w:rPr>
                <w:lang w:val="de-DE"/>
              </w:rPr>
            </w:pPr>
            <w:r w:rsidRPr="00E73F6F">
              <w:rPr>
                <w:lang w:val="de-DE"/>
              </w:rPr>
              <w:t>4</w:t>
            </w:r>
          </w:p>
        </w:tc>
        <w:tc>
          <w:tcPr>
            <w:tcW w:w="1720" w:type="pct"/>
          </w:tcPr>
          <w:p w14:paraId="016C36F9" w14:textId="77777777" w:rsidR="00FF7799" w:rsidRPr="00E73F6F" w:rsidRDefault="00FF7799" w:rsidP="00F3090F">
            <w:pPr>
              <w:pStyle w:val="StandardText"/>
              <w:jc w:val="left"/>
              <w:rPr>
                <w:lang w:val="de-DE"/>
              </w:rPr>
            </w:pPr>
            <w:r w:rsidRPr="00E73F6F">
              <w:rPr>
                <w:spacing w:val="-2"/>
                <w:lang w:val="de-DE"/>
              </w:rPr>
              <w:t>Dänemark</w:t>
            </w:r>
          </w:p>
        </w:tc>
        <w:tc>
          <w:tcPr>
            <w:tcW w:w="963" w:type="pct"/>
          </w:tcPr>
          <w:p w14:paraId="2F858EAD" w14:textId="77777777" w:rsidR="00FF7799" w:rsidRPr="00E73F6F" w:rsidRDefault="00FF7799" w:rsidP="00F3090F">
            <w:pPr>
              <w:pStyle w:val="StandardText"/>
              <w:jc w:val="center"/>
              <w:rPr>
                <w:lang w:val="de-DE"/>
              </w:rPr>
            </w:pPr>
            <w:r w:rsidRPr="00E73F6F">
              <w:rPr>
                <w:spacing w:val="-5"/>
                <w:lang w:val="de-DE"/>
              </w:rPr>
              <w:t>9.5</w:t>
            </w:r>
          </w:p>
        </w:tc>
        <w:tc>
          <w:tcPr>
            <w:tcW w:w="963" w:type="pct"/>
          </w:tcPr>
          <w:p w14:paraId="31BF60BC" w14:textId="77777777" w:rsidR="00FF7799" w:rsidRPr="00E73F6F" w:rsidRDefault="00FF7799" w:rsidP="00F3090F">
            <w:pPr>
              <w:pStyle w:val="StandardText"/>
              <w:jc w:val="center"/>
              <w:rPr>
                <w:lang w:val="de-DE"/>
              </w:rPr>
            </w:pPr>
            <w:r w:rsidRPr="00E73F6F">
              <w:rPr>
                <w:lang w:val="de-DE"/>
              </w:rPr>
              <w:t>9.4 -</w:t>
            </w:r>
            <w:r w:rsidRPr="00E73F6F">
              <w:rPr>
                <w:spacing w:val="-3"/>
                <w:lang w:val="de-DE"/>
              </w:rPr>
              <w:t xml:space="preserve"> </w:t>
            </w:r>
            <w:r w:rsidRPr="00E73F6F">
              <w:rPr>
                <w:spacing w:val="-5"/>
                <w:lang w:val="de-DE"/>
              </w:rPr>
              <w:t>9.6</w:t>
            </w:r>
          </w:p>
        </w:tc>
        <w:tc>
          <w:tcPr>
            <w:tcW w:w="963" w:type="pct"/>
          </w:tcPr>
          <w:p w14:paraId="15EEE221" w14:textId="77777777" w:rsidR="00FF7799" w:rsidRPr="00E73F6F" w:rsidRDefault="00FF7799" w:rsidP="00F3090F">
            <w:pPr>
              <w:pStyle w:val="StandardText"/>
              <w:jc w:val="center"/>
              <w:rPr>
                <w:lang w:val="de-DE"/>
              </w:rPr>
            </w:pPr>
            <w:r w:rsidRPr="00E73F6F">
              <w:rPr>
                <w:lang w:val="de-DE"/>
              </w:rPr>
              <w:t>7</w:t>
            </w:r>
          </w:p>
        </w:tc>
      </w:tr>
      <w:tr w:rsidR="00FF7799" w:rsidRPr="00E73F6F" w14:paraId="5DED5FFE" w14:textId="77777777" w:rsidTr="008E038E">
        <w:trPr>
          <w:trHeight w:val="239"/>
        </w:trPr>
        <w:tc>
          <w:tcPr>
            <w:tcW w:w="391" w:type="pct"/>
          </w:tcPr>
          <w:p w14:paraId="45B4F434" w14:textId="77777777" w:rsidR="00FF7799" w:rsidRPr="00E73F6F" w:rsidRDefault="00FF7799" w:rsidP="00F3090F">
            <w:pPr>
              <w:pStyle w:val="StandardText"/>
              <w:jc w:val="center"/>
              <w:rPr>
                <w:lang w:val="de-DE"/>
              </w:rPr>
            </w:pPr>
            <w:r w:rsidRPr="00E73F6F">
              <w:rPr>
                <w:lang w:val="de-DE"/>
              </w:rPr>
              <w:t>5</w:t>
            </w:r>
          </w:p>
        </w:tc>
        <w:tc>
          <w:tcPr>
            <w:tcW w:w="1720" w:type="pct"/>
          </w:tcPr>
          <w:p w14:paraId="4A094F6F" w14:textId="77777777" w:rsidR="00FF7799" w:rsidRPr="00E73F6F" w:rsidRDefault="00FF7799" w:rsidP="00F3090F">
            <w:pPr>
              <w:pStyle w:val="StandardText"/>
              <w:jc w:val="left"/>
              <w:rPr>
                <w:lang w:val="de-DE"/>
              </w:rPr>
            </w:pPr>
            <w:r w:rsidRPr="00E73F6F">
              <w:rPr>
                <w:spacing w:val="-2"/>
                <w:lang w:val="de-DE"/>
              </w:rPr>
              <w:t>Singapur</w:t>
            </w:r>
          </w:p>
        </w:tc>
        <w:tc>
          <w:tcPr>
            <w:tcW w:w="963" w:type="pct"/>
          </w:tcPr>
          <w:p w14:paraId="62394411" w14:textId="77777777" w:rsidR="00FF7799" w:rsidRPr="00E73F6F" w:rsidRDefault="00FF7799" w:rsidP="00F3090F">
            <w:pPr>
              <w:pStyle w:val="StandardText"/>
              <w:jc w:val="center"/>
              <w:rPr>
                <w:lang w:val="de-DE"/>
              </w:rPr>
            </w:pPr>
            <w:r w:rsidRPr="00E73F6F">
              <w:rPr>
                <w:spacing w:val="-5"/>
                <w:lang w:val="de-DE"/>
              </w:rPr>
              <w:t>9.4</w:t>
            </w:r>
          </w:p>
        </w:tc>
        <w:tc>
          <w:tcPr>
            <w:tcW w:w="963" w:type="pct"/>
          </w:tcPr>
          <w:p w14:paraId="49F52BD9" w14:textId="77777777" w:rsidR="00FF7799" w:rsidRPr="00E73F6F" w:rsidRDefault="00FF7799" w:rsidP="00F3090F">
            <w:pPr>
              <w:pStyle w:val="StandardText"/>
              <w:jc w:val="center"/>
              <w:rPr>
                <w:lang w:val="de-DE"/>
              </w:rPr>
            </w:pPr>
            <w:r w:rsidRPr="00E73F6F">
              <w:rPr>
                <w:lang w:val="de-DE"/>
              </w:rPr>
              <w:t>9.2 -</w:t>
            </w:r>
            <w:r w:rsidRPr="00E73F6F">
              <w:rPr>
                <w:spacing w:val="-3"/>
                <w:lang w:val="de-DE"/>
              </w:rPr>
              <w:t xml:space="preserve"> </w:t>
            </w:r>
            <w:r w:rsidRPr="00E73F6F">
              <w:rPr>
                <w:spacing w:val="-5"/>
                <w:lang w:val="de-DE"/>
              </w:rPr>
              <w:t>9.5</w:t>
            </w:r>
          </w:p>
        </w:tc>
        <w:tc>
          <w:tcPr>
            <w:tcW w:w="963" w:type="pct"/>
          </w:tcPr>
          <w:p w14:paraId="5D9FFE58" w14:textId="77777777" w:rsidR="00FF7799" w:rsidRPr="00E73F6F" w:rsidRDefault="00FF7799" w:rsidP="00F3090F">
            <w:pPr>
              <w:pStyle w:val="StandardText"/>
              <w:jc w:val="center"/>
              <w:rPr>
                <w:lang w:val="de-DE"/>
              </w:rPr>
            </w:pPr>
            <w:r w:rsidRPr="00E73F6F">
              <w:rPr>
                <w:lang w:val="de-DE"/>
              </w:rPr>
              <w:t>9</w:t>
            </w:r>
          </w:p>
        </w:tc>
      </w:tr>
      <w:tr w:rsidR="00FF7799" w:rsidRPr="00E73F6F" w14:paraId="5E77DEEA" w14:textId="77777777" w:rsidTr="008E038E">
        <w:trPr>
          <w:trHeight w:val="244"/>
        </w:trPr>
        <w:tc>
          <w:tcPr>
            <w:tcW w:w="391" w:type="pct"/>
          </w:tcPr>
          <w:p w14:paraId="76886DEF" w14:textId="77777777" w:rsidR="00FF7799" w:rsidRPr="00E73F6F" w:rsidRDefault="00FF7799" w:rsidP="00F3090F">
            <w:pPr>
              <w:pStyle w:val="StandardText"/>
              <w:jc w:val="center"/>
              <w:rPr>
                <w:lang w:val="de-DE"/>
              </w:rPr>
            </w:pPr>
            <w:r w:rsidRPr="00E73F6F">
              <w:rPr>
                <w:lang w:val="de-DE"/>
              </w:rPr>
              <w:t>6</w:t>
            </w:r>
          </w:p>
        </w:tc>
        <w:tc>
          <w:tcPr>
            <w:tcW w:w="1720" w:type="pct"/>
          </w:tcPr>
          <w:p w14:paraId="6AEE61C8" w14:textId="77777777" w:rsidR="00FF7799" w:rsidRPr="00E73F6F" w:rsidRDefault="00FF7799" w:rsidP="00F3090F">
            <w:pPr>
              <w:pStyle w:val="StandardText"/>
              <w:jc w:val="left"/>
              <w:rPr>
                <w:lang w:val="de-DE"/>
              </w:rPr>
            </w:pPr>
            <w:r w:rsidRPr="00E73F6F">
              <w:rPr>
                <w:spacing w:val="-2"/>
                <w:lang w:val="de-DE"/>
              </w:rPr>
              <w:t>Schweden</w:t>
            </w:r>
          </w:p>
        </w:tc>
        <w:tc>
          <w:tcPr>
            <w:tcW w:w="963" w:type="pct"/>
          </w:tcPr>
          <w:p w14:paraId="562A2E84" w14:textId="77777777" w:rsidR="00FF7799" w:rsidRPr="00E73F6F" w:rsidRDefault="00FF7799" w:rsidP="00F3090F">
            <w:pPr>
              <w:pStyle w:val="StandardText"/>
              <w:jc w:val="center"/>
              <w:rPr>
                <w:lang w:val="de-DE"/>
              </w:rPr>
            </w:pPr>
            <w:r w:rsidRPr="00E73F6F">
              <w:rPr>
                <w:spacing w:val="-5"/>
                <w:lang w:val="de-DE"/>
              </w:rPr>
              <w:t>9.2</w:t>
            </w:r>
          </w:p>
        </w:tc>
        <w:tc>
          <w:tcPr>
            <w:tcW w:w="963" w:type="pct"/>
          </w:tcPr>
          <w:p w14:paraId="2B475758" w14:textId="77777777" w:rsidR="00FF7799" w:rsidRPr="00E73F6F" w:rsidRDefault="00FF7799" w:rsidP="00F3090F">
            <w:pPr>
              <w:pStyle w:val="StandardText"/>
              <w:jc w:val="center"/>
              <w:rPr>
                <w:lang w:val="de-DE"/>
              </w:rPr>
            </w:pPr>
            <w:r w:rsidRPr="00E73F6F">
              <w:rPr>
                <w:lang w:val="de-DE"/>
              </w:rPr>
              <w:t>9.0 -</w:t>
            </w:r>
            <w:r w:rsidRPr="00E73F6F">
              <w:rPr>
                <w:spacing w:val="-3"/>
                <w:lang w:val="de-DE"/>
              </w:rPr>
              <w:t xml:space="preserve"> </w:t>
            </w:r>
            <w:r w:rsidRPr="00E73F6F">
              <w:rPr>
                <w:spacing w:val="-5"/>
                <w:lang w:val="de-DE"/>
              </w:rPr>
              <w:t>9.3</w:t>
            </w:r>
          </w:p>
        </w:tc>
        <w:tc>
          <w:tcPr>
            <w:tcW w:w="963" w:type="pct"/>
          </w:tcPr>
          <w:p w14:paraId="6AEE9931" w14:textId="77777777" w:rsidR="00FF7799" w:rsidRPr="00E73F6F" w:rsidRDefault="00FF7799" w:rsidP="00F3090F">
            <w:pPr>
              <w:pStyle w:val="StandardText"/>
              <w:jc w:val="center"/>
              <w:rPr>
                <w:lang w:val="de-DE"/>
              </w:rPr>
            </w:pPr>
            <w:r w:rsidRPr="00E73F6F">
              <w:rPr>
                <w:lang w:val="de-DE"/>
              </w:rPr>
              <w:t>7</w:t>
            </w:r>
          </w:p>
        </w:tc>
      </w:tr>
      <w:tr w:rsidR="00FF7799" w:rsidRPr="00E73F6F" w14:paraId="28C82337" w14:textId="77777777" w:rsidTr="008E038E">
        <w:trPr>
          <w:trHeight w:val="240"/>
        </w:trPr>
        <w:tc>
          <w:tcPr>
            <w:tcW w:w="391" w:type="pct"/>
          </w:tcPr>
          <w:p w14:paraId="37AFA96D" w14:textId="77777777" w:rsidR="00FF7799" w:rsidRPr="00E73F6F" w:rsidRDefault="00FF7799" w:rsidP="00F3090F">
            <w:pPr>
              <w:pStyle w:val="StandardText"/>
              <w:jc w:val="center"/>
              <w:rPr>
                <w:lang w:val="de-DE"/>
              </w:rPr>
            </w:pPr>
            <w:r w:rsidRPr="00E73F6F">
              <w:rPr>
                <w:lang w:val="de-DE"/>
              </w:rPr>
              <w:t>7</w:t>
            </w:r>
          </w:p>
        </w:tc>
        <w:tc>
          <w:tcPr>
            <w:tcW w:w="1720" w:type="pct"/>
          </w:tcPr>
          <w:p w14:paraId="69037C15" w14:textId="77777777" w:rsidR="00FF7799" w:rsidRPr="00E73F6F" w:rsidRDefault="00FF7799" w:rsidP="00F3090F">
            <w:pPr>
              <w:pStyle w:val="StandardText"/>
              <w:jc w:val="left"/>
              <w:rPr>
                <w:lang w:val="de-DE"/>
              </w:rPr>
            </w:pPr>
            <w:r w:rsidRPr="00E73F6F">
              <w:rPr>
                <w:spacing w:val="-2"/>
                <w:lang w:val="de-DE"/>
              </w:rPr>
              <w:t>Schweiz</w:t>
            </w:r>
          </w:p>
        </w:tc>
        <w:tc>
          <w:tcPr>
            <w:tcW w:w="963" w:type="pct"/>
          </w:tcPr>
          <w:p w14:paraId="45BC2864" w14:textId="77777777" w:rsidR="00FF7799" w:rsidRPr="00E73F6F" w:rsidRDefault="00FF7799" w:rsidP="00F3090F">
            <w:pPr>
              <w:pStyle w:val="StandardText"/>
              <w:jc w:val="center"/>
              <w:rPr>
                <w:lang w:val="de-DE"/>
              </w:rPr>
            </w:pPr>
            <w:r w:rsidRPr="00E73F6F">
              <w:rPr>
                <w:spacing w:val="-5"/>
                <w:lang w:val="de-DE"/>
              </w:rPr>
              <w:t>9.1</w:t>
            </w:r>
          </w:p>
        </w:tc>
        <w:tc>
          <w:tcPr>
            <w:tcW w:w="963" w:type="pct"/>
          </w:tcPr>
          <w:p w14:paraId="5E665A58" w14:textId="77777777" w:rsidR="00FF7799" w:rsidRPr="00E73F6F" w:rsidRDefault="00FF7799" w:rsidP="00F3090F">
            <w:pPr>
              <w:pStyle w:val="StandardText"/>
              <w:jc w:val="center"/>
              <w:rPr>
                <w:lang w:val="de-DE"/>
              </w:rPr>
            </w:pPr>
            <w:r w:rsidRPr="00E73F6F">
              <w:rPr>
                <w:lang w:val="de-DE"/>
              </w:rPr>
              <w:t>8.9 -</w:t>
            </w:r>
            <w:r w:rsidRPr="00E73F6F">
              <w:rPr>
                <w:spacing w:val="-3"/>
                <w:lang w:val="de-DE"/>
              </w:rPr>
              <w:t xml:space="preserve"> </w:t>
            </w:r>
            <w:r w:rsidRPr="00E73F6F">
              <w:rPr>
                <w:spacing w:val="-5"/>
                <w:lang w:val="de-DE"/>
              </w:rPr>
              <w:t>9.2</w:t>
            </w:r>
          </w:p>
        </w:tc>
        <w:tc>
          <w:tcPr>
            <w:tcW w:w="963" w:type="pct"/>
          </w:tcPr>
          <w:p w14:paraId="17A4CFE4" w14:textId="77777777" w:rsidR="00FF7799" w:rsidRPr="00E73F6F" w:rsidRDefault="00FF7799" w:rsidP="00F3090F">
            <w:pPr>
              <w:pStyle w:val="StandardText"/>
              <w:jc w:val="center"/>
              <w:rPr>
                <w:lang w:val="de-DE"/>
              </w:rPr>
            </w:pPr>
            <w:r w:rsidRPr="00E73F6F">
              <w:rPr>
                <w:lang w:val="de-DE"/>
              </w:rPr>
              <w:t>7</w:t>
            </w:r>
          </w:p>
        </w:tc>
      </w:tr>
      <w:tr w:rsidR="00FF7799" w:rsidRPr="00E73F6F" w14:paraId="319AC78A" w14:textId="77777777" w:rsidTr="008E038E">
        <w:trPr>
          <w:trHeight w:val="244"/>
        </w:trPr>
        <w:tc>
          <w:tcPr>
            <w:tcW w:w="391" w:type="pct"/>
          </w:tcPr>
          <w:p w14:paraId="20FBB01A" w14:textId="77777777" w:rsidR="00FF7799" w:rsidRPr="00E73F6F" w:rsidRDefault="00FF7799" w:rsidP="00F3090F">
            <w:pPr>
              <w:pStyle w:val="StandardText"/>
              <w:jc w:val="center"/>
              <w:rPr>
                <w:lang w:val="de-DE"/>
              </w:rPr>
            </w:pPr>
            <w:r w:rsidRPr="00E73F6F">
              <w:rPr>
                <w:lang w:val="de-DE"/>
              </w:rPr>
              <w:t>8</w:t>
            </w:r>
          </w:p>
        </w:tc>
        <w:tc>
          <w:tcPr>
            <w:tcW w:w="1720" w:type="pct"/>
          </w:tcPr>
          <w:p w14:paraId="729F94FB" w14:textId="77777777" w:rsidR="00FF7799" w:rsidRPr="00E73F6F" w:rsidRDefault="00FF7799" w:rsidP="00F3090F">
            <w:pPr>
              <w:pStyle w:val="StandardText"/>
              <w:jc w:val="left"/>
              <w:rPr>
                <w:lang w:val="de-DE"/>
              </w:rPr>
            </w:pPr>
            <w:r w:rsidRPr="00E73F6F">
              <w:rPr>
                <w:spacing w:val="-2"/>
                <w:lang w:val="de-DE"/>
              </w:rPr>
              <w:t>Norwegen</w:t>
            </w:r>
          </w:p>
        </w:tc>
        <w:tc>
          <w:tcPr>
            <w:tcW w:w="963" w:type="pct"/>
          </w:tcPr>
          <w:p w14:paraId="6F236295" w14:textId="77777777" w:rsidR="00FF7799" w:rsidRPr="00E73F6F" w:rsidRDefault="00FF7799" w:rsidP="00F3090F">
            <w:pPr>
              <w:pStyle w:val="StandardText"/>
              <w:jc w:val="center"/>
              <w:rPr>
                <w:lang w:val="de-DE"/>
              </w:rPr>
            </w:pPr>
            <w:r w:rsidRPr="00E73F6F">
              <w:rPr>
                <w:spacing w:val="-5"/>
                <w:lang w:val="de-DE"/>
              </w:rPr>
              <w:t>8.8</w:t>
            </w:r>
          </w:p>
        </w:tc>
        <w:tc>
          <w:tcPr>
            <w:tcW w:w="963" w:type="pct"/>
          </w:tcPr>
          <w:p w14:paraId="3B89E2A5" w14:textId="77777777" w:rsidR="00FF7799" w:rsidRPr="00E73F6F" w:rsidRDefault="00FF7799" w:rsidP="00F3090F">
            <w:pPr>
              <w:pStyle w:val="StandardText"/>
              <w:jc w:val="center"/>
              <w:rPr>
                <w:lang w:val="de-DE"/>
              </w:rPr>
            </w:pPr>
            <w:r w:rsidRPr="00E73F6F">
              <w:rPr>
                <w:lang w:val="de-DE"/>
              </w:rPr>
              <w:t>8.4 -</w:t>
            </w:r>
            <w:r w:rsidRPr="00E73F6F">
              <w:rPr>
                <w:spacing w:val="-3"/>
                <w:lang w:val="de-DE"/>
              </w:rPr>
              <w:t xml:space="preserve"> </w:t>
            </w:r>
            <w:r w:rsidRPr="00E73F6F">
              <w:rPr>
                <w:spacing w:val="-5"/>
                <w:lang w:val="de-DE"/>
              </w:rPr>
              <w:t>9.1</w:t>
            </w:r>
          </w:p>
        </w:tc>
        <w:tc>
          <w:tcPr>
            <w:tcW w:w="963" w:type="pct"/>
          </w:tcPr>
          <w:p w14:paraId="33C898CD" w14:textId="77777777" w:rsidR="00FF7799" w:rsidRPr="00E73F6F" w:rsidRDefault="00FF7799" w:rsidP="00F3090F">
            <w:pPr>
              <w:pStyle w:val="StandardText"/>
              <w:jc w:val="center"/>
              <w:rPr>
                <w:lang w:val="de-DE"/>
              </w:rPr>
            </w:pPr>
            <w:r w:rsidRPr="00E73F6F">
              <w:rPr>
                <w:lang w:val="de-DE"/>
              </w:rPr>
              <w:t>7</w:t>
            </w:r>
          </w:p>
        </w:tc>
      </w:tr>
      <w:tr w:rsidR="00FF7799" w:rsidRPr="00E73F6F" w14:paraId="59E20458" w14:textId="77777777" w:rsidTr="008E038E">
        <w:trPr>
          <w:trHeight w:val="239"/>
        </w:trPr>
        <w:tc>
          <w:tcPr>
            <w:tcW w:w="391" w:type="pct"/>
          </w:tcPr>
          <w:p w14:paraId="19E5D586" w14:textId="77777777" w:rsidR="00FF7799" w:rsidRPr="00E73F6F" w:rsidRDefault="00FF7799" w:rsidP="00F3090F">
            <w:pPr>
              <w:pStyle w:val="StandardText"/>
              <w:jc w:val="center"/>
              <w:rPr>
                <w:lang w:val="de-DE"/>
              </w:rPr>
            </w:pPr>
            <w:r w:rsidRPr="00E73F6F">
              <w:rPr>
                <w:lang w:val="de-DE"/>
              </w:rPr>
              <w:lastRenderedPageBreak/>
              <w:t>9</w:t>
            </w:r>
          </w:p>
        </w:tc>
        <w:tc>
          <w:tcPr>
            <w:tcW w:w="1720" w:type="pct"/>
          </w:tcPr>
          <w:p w14:paraId="213D27BC" w14:textId="77777777" w:rsidR="00FF7799" w:rsidRPr="00E73F6F" w:rsidRDefault="00FF7799" w:rsidP="00F3090F">
            <w:pPr>
              <w:pStyle w:val="StandardText"/>
              <w:jc w:val="left"/>
              <w:rPr>
                <w:lang w:val="de-DE"/>
              </w:rPr>
            </w:pPr>
            <w:r w:rsidRPr="00E73F6F">
              <w:rPr>
                <w:spacing w:val="-2"/>
                <w:lang w:val="de-DE"/>
              </w:rPr>
              <w:t>Australien</w:t>
            </w:r>
          </w:p>
        </w:tc>
        <w:tc>
          <w:tcPr>
            <w:tcW w:w="963" w:type="pct"/>
          </w:tcPr>
          <w:p w14:paraId="422A17A9" w14:textId="77777777" w:rsidR="00FF7799" w:rsidRPr="00E73F6F" w:rsidRDefault="00FF7799" w:rsidP="00F3090F">
            <w:pPr>
              <w:pStyle w:val="StandardText"/>
              <w:jc w:val="center"/>
              <w:rPr>
                <w:lang w:val="de-DE"/>
              </w:rPr>
            </w:pPr>
            <w:r w:rsidRPr="00E73F6F">
              <w:rPr>
                <w:spacing w:val="-5"/>
                <w:lang w:val="de-DE"/>
              </w:rPr>
              <w:t>8.7</w:t>
            </w:r>
          </w:p>
        </w:tc>
        <w:tc>
          <w:tcPr>
            <w:tcW w:w="963" w:type="pct"/>
          </w:tcPr>
          <w:p w14:paraId="63DA895B" w14:textId="77777777" w:rsidR="00FF7799" w:rsidRPr="00E73F6F" w:rsidRDefault="00FF7799" w:rsidP="00F3090F">
            <w:pPr>
              <w:pStyle w:val="StandardText"/>
              <w:jc w:val="center"/>
              <w:rPr>
                <w:lang w:val="de-DE"/>
              </w:rPr>
            </w:pPr>
            <w:r w:rsidRPr="00E73F6F">
              <w:rPr>
                <w:lang w:val="de-DE"/>
              </w:rPr>
              <w:t>8.3 -</w:t>
            </w:r>
            <w:r w:rsidRPr="00E73F6F">
              <w:rPr>
                <w:spacing w:val="-3"/>
                <w:lang w:val="de-DE"/>
              </w:rPr>
              <w:t xml:space="preserve"> </w:t>
            </w:r>
            <w:r w:rsidRPr="00E73F6F">
              <w:rPr>
                <w:spacing w:val="-5"/>
                <w:lang w:val="de-DE"/>
              </w:rPr>
              <w:t>9.0</w:t>
            </w:r>
          </w:p>
        </w:tc>
        <w:tc>
          <w:tcPr>
            <w:tcW w:w="963" w:type="pct"/>
          </w:tcPr>
          <w:p w14:paraId="51D45587" w14:textId="77777777" w:rsidR="00FF7799" w:rsidRPr="00E73F6F" w:rsidRDefault="00FF7799" w:rsidP="00F3090F">
            <w:pPr>
              <w:pStyle w:val="StandardText"/>
              <w:jc w:val="center"/>
              <w:rPr>
                <w:lang w:val="de-DE"/>
              </w:rPr>
            </w:pPr>
            <w:r w:rsidRPr="00E73F6F">
              <w:rPr>
                <w:lang w:val="de-DE"/>
              </w:rPr>
              <w:t>8</w:t>
            </w:r>
          </w:p>
        </w:tc>
      </w:tr>
      <w:tr w:rsidR="00FF7799" w:rsidRPr="00E73F6F" w14:paraId="2BBA8921" w14:textId="77777777" w:rsidTr="008E038E">
        <w:trPr>
          <w:trHeight w:val="244"/>
        </w:trPr>
        <w:tc>
          <w:tcPr>
            <w:tcW w:w="391" w:type="pct"/>
          </w:tcPr>
          <w:p w14:paraId="4ECD77D0" w14:textId="77777777" w:rsidR="00FF7799" w:rsidRPr="00E73F6F" w:rsidRDefault="00FF7799" w:rsidP="00F3090F">
            <w:pPr>
              <w:pStyle w:val="StandardText"/>
              <w:jc w:val="center"/>
              <w:rPr>
                <w:lang w:val="de-DE"/>
              </w:rPr>
            </w:pPr>
          </w:p>
        </w:tc>
        <w:tc>
          <w:tcPr>
            <w:tcW w:w="1720" w:type="pct"/>
          </w:tcPr>
          <w:p w14:paraId="3B7A4A38" w14:textId="77777777" w:rsidR="00FF7799" w:rsidRPr="00E73F6F" w:rsidRDefault="00FF7799" w:rsidP="00F3090F">
            <w:pPr>
              <w:pStyle w:val="StandardText"/>
              <w:jc w:val="left"/>
              <w:rPr>
                <w:lang w:val="de-DE"/>
              </w:rPr>
            </w:pPr>
            <w:r w:rsidRPr="00E73F6F">
              <w:rPr>
                <w:spacing w:val="-2"/>
                <w:lang w:val="de-DE"/>
              </w:rPr>
              <w:t>Niederlande</w:t>
            </w:r>
          </w:p>
        </w:tc>
        <w:tc>
          <w:tcPr>
            <w:tcW w:w="963" w:type="pct"/>
          </w:tcPr>
          <w:p w14:paraId="5D7E1026" w14:textId="77777777" w:rsidR="00FF7799" w:rsidRPr="00E73F6F" w:rsidRDefault="00FF7799" w:rsidP="00F3090F">
            <w:pPr>
              <w:pStyle w:val="StandardText"/>
              <w:jc w:val="center"/>
              <w:rPr>
                <w:lang w:val="de-DE"/>
              </w:rPr>
            </w:pPr>
            <w:r w:rsidRPr="00E73F6F">
              <w:rPr>
                <w:spacing w:val="-5"/>
                <w:lang w:val="de-DE"/>
              </w:rPr>
              <w:t>8.7</w:t>
            </w:r>
          </w:p>
        </w:tc>
        <w:tc>
          <w:tcPr>
            <w:tcW w:w="963" w:type="pct"/>
          </w:tcPr>
          <w:p w14:paraId="483E586C" w14:textId="77777777" w:rsidR="00FF7799" w:rsidRPr="00E73F6F" w:rsidRDefault="00FF7799" w:rsidP="00F3090F">
            <w:pPr>
              <w:pStyle w:val="StandardText"/>
              <w:jc w:val="center"/>
              <w:rPr>
                <w:lang w:val="de-DE"/>
              </w:rPr>
            </w:pPr>
            <w:r w:rsidRPr="00E73F6F">
              <w:rPr>
                <w:lang w:val="de-DE"/>
              </w:rPr>
              <w:t>8.3 -</w:t>
            </w:r>
            <w:r w:rsidRPr="00E73F6F">
              <w:rPr>
                <w:spacing w:val="-3"/>
                <w:lang w:val="de-DE"/>
              </w:rPr>
              <w:t xml:space="preserve"> </w:t>
            </w:r>
            <w:r w:rsidRPr="00E73F6F">
              <w:rPr>
                <w:spacing w:val="-5"/>
                <w:lang w:val="de-DE"/>
              </w:rPr>
              <w:t>9.0</w:t>
            </w:r>
          </w:p>
        </w:tc>
        <w:tc>
          <w:tcPr>
            <w:tcW w:w="963" w:type="pct"/>
          </w:tcPr>
          <w:p w14:paraId="1AD3002D" w14:textId="77777777" w:rsidR="00FF7799" w:rsidRPr="00E73F6F" w:rsidRDefault="00FF7799" w:rsidP="00F3090F">
            <w:pPr>
              <w:pStyle w:val="StandardText"/>
              <w:jc w:val="center"/>
              <w:rPr>
                <w:lang w:val="de-DE"/>
              </w:rPr>
            </w:pPr>
            <w:r w:rsidRPr="00E73F6F">
              <w:rPr>
                <w:lang w:val="de-DE"/>
              </w:rPr>
              <w:t>7</w:t>
            </w:r>
          </w:p>
        </w:tc>
      </w:tr>
      <w:tr w:rsidR="00FF7799" w:rsidRPr="00E73F6F" w14:paraId="3A5805E3" w14:textId="77777777" w:rsidTr="008E038E">
        <w:trPr>
          <w:trHeight w:val="239"/>
        </w:trPr>
        <w:tc>
          <w:tcPr>
            <w:tcW w:w="391" w:type="pct"/>
          </w:tcPr>
          <w:p w14:paraId="2E2B751B" w14:textId="77777777" w:rsidR="00FF7799" w:rsidRPr="00E73F6F" w:rsidRDefault="00FF7799" w:rsidP="00F3090F">
            <w:pPr>
              <w:pStyle w:val="StandardText"/>
              <w:jc w:val="center"/>
              <w:rPr>
                <w:lang w:val="de-DE"/>
              </w:rPr>
            </w:pPr>
            <w:r w:rsidRPr="00E73F6F">
              <w:rPr>
                <w:spacing w:val="-5"/>
                <w:lang w:val="de-DE"/>
              </w:rPr>
              <w:t>11</w:t>
            </w:r>
          </w:p>
        </w:tc>
        <w:tc>
          <w:tcPr>
            <w:tcW w:w="1720" w:type="pct"/>
          </w:tcPr>
          <w:p w14:paraId="5438568A" w14:textId="77777777" w:rsidR="00FF7799" w:rsidRPr="00E73F6F" w:rsidRDefault="00FF7799" w:rsidP="00F3090F">
            <w:pPr>
              <w:pStyle w:val="StandardText"/>
              <w:jc w:val="left"/>
              <w:rPr>
                <w:lang w:val="de-DE"/>
              </w:rPr>
            </w:pPr>
            <w:r w:rsidRPr="00E73F6F">
              <w:rPr>
                <w:spacing w:val="-2"/>
                <w:lang w:val="de-DE"/>
              </w:rPr>
              <w:t>Österreich</w:t>
            </w:r>
          </w:p>
        </w:tc>
        <w:tc>
          <w:tcPr>
            <w:tcW w:w="963" w:type="pct"/>
          </w:tcPr>
          <w:p w14:paraId="105CBBC9" w14:textId="77777777" w:rsidR="00FF7799" w:rsidRPr="00E73F6F" w:rsidRDefault="00FF7799" w:rsidP="00F3090F">
            <w:pPr>
              <w:pStyle w:val="StandardText"/>
              <w:jc w:val="center"/>
              <w:rPr>
                <w:lang w:val="de-DE"/>
              </w:rPr>
            </w:pPr>
            <w:r w:rsidRPr="00E73F6F">
              <w:rPr>
                <w:spacing w:val="-5"/>
                <w:lang w:val="de-DE"/>
              </w:rPr>
              <w:t>8.6</w:t>
            </w:r>
          </w:p>
        </w:tc>
        <w:tc>
          <w:tcPr>
            <w:tcW w:w="963" w:type="pct"/>
          </w:tcPr>
          <w:p w14:paraId="509CC4B7" w14:textId="77777777" w:rsidR="00FF7799" w:rsidRPr="00E73F6F" w:rsidRDefault="00FF7799" w:rsidP="00F3090F">
            <w:pPr>
              <w:pStyle w:val="StandardText"/>
              <w:jc w:val="center"/>
              <w:rPr>
                <w:lang w:val="de-DE"/>
              </w:rPr>
            </w:pPr>
            <w:r w:rsidRPr="00E73F6F">
              <w:rPr>
                <w:lang w:val="de-DE"/>
              </w:rPr>
              <w:t>8.2 -</w:t>
            </w:r>
            <w:r w:rsidRPr="00E73F6F">
              <w:rPr>
                <w:spacing w:val="-3"/>
                <w:lang w:val="de-DE"/>
              </w:rPr>
              <w:t xml:space="preserve"> </w:t>
            </w:r>
            <w:r w:rsidRPr="00E73F6F">
              <w:rPr>
                <w:spacing w:val="-5"/>
                <w:lang w:val="de-DE"/>
              </w:rPr>
              <w:t>8.9</w:t>
            </w:r>
          </w:p>
        </w:tc>
        <w:tc>
          <w:tcPr>
            <w:tcW w:w="963" w:type="pct"/>
          </w:tcPr>
          <w:p w14:paraId="29339140" w14:textId="77777777" w:rsidR="00FF7799" w:rsidRPr="00E73F6F" w:rsidRDefault="00FF7799" w:rsidP="00F3090F">
            <w:pPr>
              <w:pStyle w:val="StandardText"/>
              <w:jc w:val="center"/>
              <w:rPr>
                <w:lang w:val="de-DE"/>
              </w:rPr>
            </w:pPr>
            <w:r w:rsidRPr="00E73F6F">
              <w:rPr>
                <w:lang w:val="de-DE"/>
              </w:rPr>
              <w:t>7</w:t>
            </w:r>
          </w:p>
        </w:tc>
      </w:tr>
      <w:tr w:rsidR="00FF7799" w:rsidRPr="00E73F6F" w14:paraId="0FEBA07F" w14:textId="77777777" w:rsidTr="008E038E">
        <w:trPr>
          <w:trHeight w:val="244"/>
        </w:trPr>
        <w:tc>
          <w:tcPr>
            <w:tcW w:w="391" w:type="pct"/>
          </w:tcPr>
          <w:p w14:paraId="5DE6B3CC" w14:textId="77777777" w:rsidR="00FF7799" w:rsidRPr="00E73F6F" w:rsidRDefault="00FF7799" w:rsidP="00F3090F">
            <w:pPr>
              <w:pStyle w:val="StandardText"/>
              <w:jc w:val="center"/>
              <w:rPr>
                <w:lang w:val="de-DE"/>
              </w:rPr>
            </w:pPr>
          </w:p>
        </w:tc>
        <w:tc>
          <w:tcPr>
            <w:tcW w:w="1720" w:type="pct"/>
          </w:tcPr>
          <w:p w14:paraId="768C8D3F" w14:textId="77777777" w:rsidR="00FF7799" w:rsidRPr="00E73F6F" w:rsidRDefault="00FF7799" w:rsidP="00F3090F">
            <w:pPr>
              <w:pStyle w:val="StandardText"/>
              <w:jc w:val="left"/>
              <w:rPr>
                <w:lang w:val="de-DE"/>
              </w:rPr>
            </w:pPr>
            <w:r w:rsidRPr="00E73F6F">
              <w:rPr>
                <w:spacing w:val="-2"/>
                <w:lang w:val="de-DE"/>
              </w:rPr>
              <w:t>Luxemburg</w:t>
            </w:r>
          </w:p>
        </w:tc>
        <w:tc>
          <w:tcPr>
            <w:tcW w:w="963" w:type="pct"/>
          </w:tcPr>
          <w:p w14:paraId="0913988F" w14:textId="77777777" w:rsidR="00FF7799" w:rsidRPr="00E73F6F" w:rsidRDefault="00FF7799" w:rsidP="00F3090F">
            <w:pPr>
              <w:pStyle w:val="StandardText"/>
              <w:jc w:val="center"/>
              <w:rPr>
                <w:lang w:val="de-DE"/>
              </w:rPr>
            </w:pPr>
            <w:r w:rsidRPr="00E73F6F">
              <w:rPr>
                <w:spacing w:val="-5"/>
                <w:lang w:val="de-DE"/>
              </w:rPr>
              <w:t>8.6</w:t>
            </w:r>
          </w:p>
        </w:tc>
        <w:tc>
          <w:tcPr>
            <w:tcW w:w="963" w:type="pct"/>
          </w:tcPr>
          <w:p w14:paraId="4FD0645D" w14:textId="77777777" w:rsidR="00FF7799" w:rsidRPr="00E73F6F" w:rsidRDefault="00FF7799" w:rsidP="00F3090F">
            <w:pPr>
              <w:pStyle w:val="StandardText"/>
              <w:jc w:val="center"/>
              <w:rPr>
                <w:lang w:val="de-DE"/>
              </w:rPr>
            </w:pPr>
            <w:r w:rsidRPr="00E73F6F">
              <w:rPr>
                <w:lang w:val="de-DE"/>
              </w:rPr>
              <w:t>8.1 -</w:t>
            </w:r>
            <w:r w:rsidRPr="00E73F6F">
              <w:rPr>
                <w:spacing w:val="-3"/>
                <w:lang w:val="de-DE"/>
              </w:rPr>
              <w:t xml:space="preserve"> </w:t>
            </w:r>
            <w:r w:rsidRPr="00E73F6F">
              <w:rPr>
                <w:spacing w:val="-5"/>
                <w:lang w:val="de-DE"/>
              </w:rPr>
              <w:t>9.0</w:t>
            </w:r>
          </w:p>
        </w:tc>
        <w:tc>
          <w:tcPr>
            <w:tcW w:w="963" w:type="pct"/>
          </w:tcPr>
          <w:p w14:paraId="08A72964" w14:textId="77777777" w:rsidR="00FF7799" w:rsidRPr="00E73F6F" w:rsidRDefault="00FF7799" w:rsidP="00F3090F">
            <w:pPr>
              <w:pStyle w:val="StandardText"/>
              <w:jc w:val="center"/>
              <w:rPr>
                <w:lang w:val="de-DE"/>
              </w:rPr>
            </w:pPr>
            <w:r w:rsidRPr="00E73F6F">
              <w:rPr>
                <w:lang w:val="de-DE"/>
              </w:rPr>
              <w:t>6</w:t>
            </w:r>
          </w:p>
        </w:tc>
      </w:tr>
      <w:tr w:rsidR="00FF7799" w:rsidRPr="00E73F6F" w14:paraId="1C202DA5" w14:textId="77777777" w:rsidTr="008E038E">
        <w:trPr>
          <w:trHeight w:val="239"/>
        </w:trPr>
        <w:tc>
          <w:tcPr>
            <w:tcW w:w="391" w:type="pct"/>
          </w:tcPr>
          <w:p w14:paraId="5D78E055" w14:textId="77777777" w:rsidR="00FF7799" w:rsidRPr="00E73F6F" w:rsidRDefault="00FF7799" w:rsidP="00F3090F">
            <w:pPr>
              <w:pStyle w:val="StandardText"/>
              <w:jc w:val="center"/>
              <w:rPr>
                <w:lang w:val="de-DE"/>
              </w:rPr>
            </w:pPr>
          </w:p>
        </w:tc>
        <w:tc>
          <w:tcPr>
            <w:tcW w:w="1720" w:type="pct"/>
          </w:tcPr>
          <w:p w14:paraId="0142FF90" w14:textId="77777777" w:rsidR="00FF7799" w:rsidRPr="00E73F6F" w:rsidRDefault="00FF7799" w:rsidP="00F3090F">
            <w:pPr>
              <w:pStyle w:val="StandardText"/>
              <w:jc w:val="left"/>
              <w:rPr>
                <w:lang w:val="de-DE"/>
              </w:rPr>
            </w:pPr>
            <w:r w:rsidRPr="00E73F6F">
              <w:rPr>
                <w:spacing w:val="-2"/>
                <w:lang w:val="de-DE"/>
              </w:rPr>
              <w:t>Großbritannien</w:t>
            </w:r>
          </w:p>
        </w:tc>
        <w:tc>
          <w:tcPr>
            <w:tcW w:w="963" w:type="pct"/>
          </w:tcPr>
          <w:p w14:paraId="0252F342" w14:textId="77777777" w:rsidR="00FF7799" w:rsidRPr="00E73F6F" w:rsidRDefault="00FF7799" w:rsidP="00F3090F">
            <w:pPr>
              <w:pStyle w:val="StandardText"/>
              <w:jc w:val="center"/>
              <w:rPr>
                <w:lang w:val="de-DE"/>
              </w:rPr>
            </w:pPr>
            <w:r w:rsidRPr="00E73F6F">
              <w:rPr>
                <w:spacing w:val="-5"/>
                <w:lang w:val="de-DE"/>
              </w:rPr>
              <w:t>8.6</w:t>
            </w:r>
          </w:p>
        </w:tc>
        <w:tc>
          <w:tcPr>
            <w:tcW w:w="963" w:type="pct"/>
          </w:tcPr>
          <w:p w14:paraId="434AEA71" w14:textId="77777777" w:rsidR="00FF7799" w:rsidRPr="00E73F6F" w:rsidRDefault="00FF7799" w:rsidP="00F3090F">
            <w:pPr>
              <w:pStyle w:val="StandardText"/>
              <w:jc w:val="center"/>
              <w:rPr>
                <w:lang w:val="de-DE"/>
              </w:rPr>
            </w:pPr>
            <w:r w:rsidRPr="00E73F6F">
              <w:rPr>
                <w:lang w:val="de-DE"/>
              </w:rPr>
              <w:t>8.2 -</w:t>
            </w:r>
            <w:r w:rsidRPr="00E73F6F">
              <w:rPr>
                <w:spacing w:val="-3"/>
                <w:lang w:val="de-DE"/>
              </w:rPr>
              <w:t xml:space="preserve"> </w:t>
            </w:r>
            <w:r w:rsidRPr="00E73F6F">
              <w:rPr>
                <w:spacing w:val="-5"/>
                <w:lang w:val="de-DE"/>
              </w:rPr>
              <w:t>8.9</w:t>
            </w:r>
          </w:p>
        </w:tc>
        <w:tc>
          <w:tcPr>
            <w:tcW w:w="963" w:type="pct"/>
          </w:tcPr>
          <w:p w14:paraId="2C10D09F" w14:textId="77777777" w:rsidR="00FF7799" w:rsidRPr="00E73F6F" w:rsidRDefault="00FF7799" w:rsidP="00F3090F">
            <w:pPr>
              <w:pStyle w:val="StandardText"/>
              <w:jc w:val="center"/>
              <w:rPr>
                <w:lang w:val="de-DE"/>
              </w:rPr>
            </w:pPr>
            <w:r w:rsidRPr="00E73F6F">
              <w:rPr>
                <w:lang w:val="de-DE"/>
              </w:rPr>
              <w:t>7</w:t>
            </w:r>
          </w:p>
        </w:tc>
      </w:tr>
      <w:tr w:rsidR="00FF7799" w:rsidRPr="00E73F6F" w14:paraId="5C0AB56D" w14:textId="77777777" w:rsidTr="008E038E">
        <w:trPr>
          <w:trHeight w:val="244"/>
        </w:trPr>
        <w:tc>
          <w:tcPr>
            <w:tcW w:w="391" w:type="pct"/>
          </w:tcPr>
          <w:p w14:paraId="1983CA2B" w14:textId="77777777" w:rsidR="00FF7799" w:rsidRPr="00E73F6F" w:rsidRDefault="00FF7799" w:rsidP="00F3090F">
            <w:pPr>
              <w:pStyle w:val="StandardText"/>
              <w:jc w:val="center"/>
              <w:rPr>
                <w:lang w:val="de-DE"/>
              </w:rPr>
            </w:pPr>
            <w:r w:rsidRPr="00E73F6F">
              <w:rPr>
                <w:spacing w:val="-5"/>
                <w:lang w:val="de-DE"/>
              </w:rPr>
              <w:t>14</w:t>
            </w:r>
          </w:p>
        </w:tc>
        <w:tc>
          <w:tcPr>
            <w:tcW w:w="1720" w:type="pct"/>
          </w:tcPr>
          <w:p w14:paraId="6FEF8213" w14:textId="77777777" w:rsidR="00FF7799" w:rsidRPr="00E73F6F" w:rsidRDefault="00FF7799" w:rsidP="00F3090F">
            <w:pPr>
              <w:pStyle w:val="StandardText"/>
              <w:jc w:val="left"/>
              <w:rPr>
                <w:lang w:val="de-DE"/>
              </w:rPr>
            </w:pPr>
            <w:r w:rsidRPr="00E73F6F">
              <w:rPr>
                <w:spacing w:val="-2"/>
                <w:lang w:val="de-DE"/>
              </w:rPr>
              <w:t>Kanada</w:t>
            </w:r>
          </w:p>
        </w:tc>
        <w:tc>
          <w:tcPr>
            <w:tcW w:w="963" w:type="pct"/>
          </w:tcPr>
          <w:p w14:paraId="525E046B" w14:textId="77777777" w:rsidR="00FF7799" w:rsidRPr="00E73F6F" w:rsidRDefault="00FF7799" w:rsidP="00F3090F">
            <w:pPr>
              <w:pStyle w:val="StandardText"/>
              <w:jc w:val="center"/>
              <w:rPr>
                <w:lang w:val="de-DE"/>
              </w:rPr>
            </w:pPr>
            <w:r w:rsidRPr="00E73F6F">
              <w:rPr>
                <w:spacing w:val="-5"/>
                <w:lang w:val="de-DE"/>
              </w:rPr>
              <w:t>8.5</w:t>
            </w:r>
          </w:p>
        </w:tc>
        <w:tc>
          <w:tcPr>
            <w:tcW w:w="963" w:type="pct"/>
          </w:tcPr>
          <w:p w14:paraId="7BDC5DE6" w14:textId="77777777" w:rsidR="00FF7799" w:rsidRPr="00E73F6F" w:rsidRDefault="00FF7799" w:rsidP="00F3090F">
            <w:pPr>
              <w:pStyle w:val="StandardText"/>
              <w:jc w:val="center"/>
              <w:rPr>
                <w:lang w:val="de-DE"/>
              </w:rPr>
            </w:pPr>
            <w:r w:rsidRPr="00E73F6F">
              <w:rPr>
                <w:lang w:val="de-DE"/>
              </w:rPr>
              <w:t>8.0 -</w:t>
            </w:r>
            <w:r w:rsidRPr="00E73F6F">
              <w:rPr>
                <w:spacing w:val="-3"/>
                <w:lang w:val="de-DE"/>
              </w:rPr>
              <w:t xml:space="preserve"> </w:t>
            </w:r>
            <w:r w:rsidRPr="00E73F6F">
              <w:rPr>
                <w:spacing w:val="-5"/>
                <w:lang w:val="de-DE"/>
              </w:rPr>
              <w:t>8.9</w:t>
            </w:r>
          </w:p>
        </w:tc>
        <w:tc>
          <w:tcPr>
            <w:tcW w:w="963" w:type="pct"/>
          </w:tcPr>
          <w:p w14:paraId="500B4960" w14:textId="77777777" w:rsidR="00FF7799" w:rsidRPr="00E73F6F" w:rsidRDefault="00FF7799" w:rsidP="00F3090F">
            <w:pPr>
              <w:pStyle w:val="StandardText"/>
              <w:jc w:val="center"/>
              <w:rPr>
                <w:lang w:val="de-DE"/>
              </w:rPr>
            </w:pPr>
            <w:r w:rsidRPr="00E73F6F">
              <w:rPr>
                <w:lang w:val="de-DE"/>
              </w:rPr>
              <w:t>7</w:t>
            </w:r>
          </w:p>
        </w:tc>
      </w:tr>
      <w:tr w:rsidR="00FF7799" w:rsidRPr="00E73F6F" w14:paraId="06C5C5F0" w14:textId="77777777" w:rsidTr="008E038E">
        <w:trPr>
          <w:trHeight w:val="239"/>
        </w:trPr>
        <w:tc>
          <w:tcPr>
            <w:tcW w:w="391" w:type="pct"/>
          </w:tcPr>
          <w:p w14:paraId="21DEF05D" w14:textId="77777777" w:rsidR="00FF7799" w:rsidRPr="00E73F6F" w:rsidRDefault="00FF7799" w:rsidP="00F3090F">
            <w:pPr>
              <w:pStyle w:val="StandardText"/>
              <w:jc w:val="center"/>
              <w:rPr>
                <w:lang w:val="de-DE"/>
              </w:rPr>
            </w:pPr>
            <w:r w:rsidRPr="00E73F6F">
              <w:rPr>
                <w:spacing w:val="-5"/>
                <w:lang w:val="de-DE"/>
              </w:rPr>
              <w:t>15</w:t>
            </w:r>
          </w:p>
        </w:tc>
        <w:tc>
          <w:tcPr>
            <w:tcW w:w="1720" w:type="pct"/>
          </w:tcPr>
          <w:p w14:paraId="00B7EA7E" w14:textId="77777777" w:rsidR="00FF7799" w:rsidRPr="00E73F6F" w:rsidRDefault="00FF7799" w:rsidP="00F3090F">
            <w:pPr>
              <w:pStyle w:val="StandardText"/>
              <w:jc w:val="left"/>
              <w:rPr>
                <w:lang w:val="de-DE"/>
              </w:rPr>
            </w:pPr>
            <w:r w:rsidRPr="00E73F6F">
              <w:rPr>
                <w:spacing w:val="-2"/>
                <w:lang w:val="de-DE"/>
              </w:rPr>
              <w:t>Hongkong</w:t>
            </w:r>
          </w:p>
        </w:tc>
        <w:tc>
          <w:tcPr>
            <w:tcW w:w="963" w:type="pct"/>
          </w:tcPr>
          <w:p w14:paraId="2AAB9AEC" w14:textId="77777777" w:rsidR="00FF7799" w:rsidRPr="00E73F6F" w:rsidRDefault="00FF7799" w:rsidP="00F3090F">
            <w:pPr>
              <w:pStyle w:val="StandardText"/>
              <w:jc w:val="center"/>
              <w:rPr>
                <w:lang w:val="de-DE"/>
              </w:rPr>
            </w:pPr>
            <w:r w:rsidRPr="00E73F6F">
              <w:rPr>
                <w:spacing w:val="-5"/>
                <w:lang w:val="de-DE"/>
              </w:rPr>
              <w:t>8.3</w:t>
            </w:r>
          </w:p>
        </w:tc>
        <w:tc>
          <w:tcPr>
            <w:tcW w:w="963" w:type="pct"/>
          </w:tcPr>
          <w:p w14:paraId="14631D97" w14:textId="77777777" w:rsidR="00FF7799" w:rsidRPr="00E73F6F" w:rsidRDefault="00FF7799" w:rsidP="00F3090F">
            <w:pPr>
              <w:pStyle w:val="StandardText"/>
              <w:jc w:val="center"/>
              <w:rPr>
                <w:lang w:val="de-DE"/>
              </w:rPr>
            </w:pPr>
            <w:r w:rsidRPr="00E73F6F">
              <w:rPr>
                <w:lang w:val="de-DE"/>
              </w:rPr>
              <w:t>7.7 -</w:t>
            </w:r>
            <w:r w:rsidRPr="00E73F6F">
              <w:rPr>
                <w:spacing w:val="-3"/>
                <w:lang w:val="de-DE"/>
              </w:rPr>
              <w:t xml:space="preserve"> </w:t>
            </w:r>
            <w:r w:rsidRPr="00E73F6F">
              <w:rPr>
                <w:spacing w:val="-5"/>
                <w:lang w:val="de-DE"/>
              </w:rPr>
              <w:t>8.8</w:t>
            </w:r>
          </w:p>
        </w:tc>
        <w:tc>
          <w:tcPr>
            <w:tcW w:w="963" w:type="pct"/>
          </w:tcPr>
          <w:p w14:paraId="3972DE45" w14:textId="77777777" w:rsidR="00FF7799" w:rsidRPr="00E73F6F" w:rsidRDefault="00FF7799" w:rsidP="00F3090F">
            <w:pPr>
              <w:pStyle w:val="StandardText"/>
              <w:jc w:val="center"/>
              <w:rPr>
                <w:lang w:val="de-DE"/>
              </w:rPr>
            </w:pPr>
            <w:r w:rsidRPr="00E73F6F">
              <w:rPr>
                <w:lang w:val="de-DE"/>
              </w:rPr>
              <w:t>9</w:t>
            </w:r>
          </w:p>
        </w:tc>
      </w:tr>
      <w:tr w:rsidR="00FF7799" w:rsidRPr="00E73F6F" w14:paraId="5BECF392" w14:textId="77777777" w:rsidTr="008E038E">
        <w:trPr>
          <w:trHeight w:val="244"/>
        </w:trPr>
        <w:tc>
          <w:tcPr>
            <w:tcW w:w="391" w:type="pct"/>
          </w:tcPr>
          <w:p w14:paraId="6C474148" w14:textId="77777777" w:rsidR="00FF7799" w:rsidRPr="00E73F6F" w:rsidRDefault="00FF7799" w:rsidP="00F3090F">
            <w:pPr>
              <w:pStyle w:val="StandardText"/>
              <w:jc w:val="center"/>
              <w:rPr>
                <w:lang w:val="de-DE"/>
              </w:rPr>
            </w:pPr>
            <w:r w:rsidRPr="00E73F6F">
              <w:rPr>
                <w:spacing w:val="-5"/>
                <w:lang w:val="de-DE"/>
              </w:rPr>
              <w:t>16</w:t>
            </w:r>
          </w:p>
        </w:tc>
        <w:tc>
          <w:tcPr>
            <w:tcW w:w="1720" w:type="pct"/>
          </w:tcPr>
          <w:p w14:paraId="04A050BC" w14:textId="77777777" w:rsidR="00FF7799" w:rsidRPr="00E73F6F" w:rsidRDefault="00FF7799" w:rsidP="00F3090F">
            <w:pPr>
              <w:pStyle w:val="StandardText"/>
              <w:jc w:val="left"/>
              <w:rPr>
                <w:lang w:val="de-DE"/>
              </w:rPr>
            </w:pPr>
            <w:r w:rsidRPr="00E73F6F">
              <w:rPr>
                <w:spacing w:val="-2"/>
                <w:lang w:val="de-DE"/>
              </w:rPr>
              <w:t>Deutschland</w:t>
            </w:r>
          </w:p>
        </w:tc>
        <w:tc>
          <w:tcPr>
            <w:tcW w:w="963" w:type="pct"/>
          </w:tcPr>
          <w:p w14:paraId="1545ED3A" w14:textId="77777777" w:rsidR="00FF7799" w:rsidRPr="00E73F6F" w:rsidRDefault="00FF7799" w:rsidP="00F3090F">
            <w:pPr>
              <w:pStyle w:val="StandardText"/>
              <w:jc w:val="center"/>
              <w:rPr>
                <w:lang w:val="de-DE"/>
              </w:rPr>
            </w:pPr>
            <w:r w:rsidRPr="00E73F6F">
              <w:rPr>
                <w:spacing w:val="-5"/>
                <w:lang w:val="de-DE"/>
              </w:rPr>
              <w:t>8.0</w:t>
            </w:r>
          </w:p>
        </w:tc>
        <w:tc>
          <w:tcPr>
            <w:tcW w:w="963" w:type="pct"/>
          </w:tcPr>
          <w:p w14:paraId="36AA9500" w14:textId="77777777" w:rsidR="00FF7799" w:rsidRPr="00E73F6F" w:rsidRDefault="00FF7799" w:rsidP="00F3090F">
            <w:pPr>
              <w:pStyle w:val="StandardText"/>
              <w:jc w:val="center"/>
              <w:rPr>
                <w:lang w:val="de-DE"/>
              </w:rPr>
            </w:pPr>
            <w:r w:rsidRPr="00E73F6F">
              <w:rPr>
                <w:lang w:val="de-DE"/>
              </w:rPr>
              <w:t>7.8 -</w:t>
            </w:r>
            <w:r w:rsidRPr="00E73F6F">
              <w:rPr>
                <w:spacing w:val="-3"/>
                <w:lang w:val="de-DE"/>
              </w:rPr>
              <w:t xml:space="preserve"> </w:t>
            </w:r>
            <w:r w:rsidRPr="00E73F6F">
              <w:rPr>
                <w:spacing w:val="-5"/>
                <w:lang w:val="de-DE"/>
              </w:rPr>
              <w:t>8.4</w:t>
            </w:r>
          </w:p>
        </w:tc>
        <w:tc>
          <w:tcPr>
            <w:tcW w:w="963" w:type="pct"/>
          </w:tcPr>
          <w:p w14:paraId="4922ED0D" w14:textId="77777777" w:rsidR="00FF7799" w:rsidRPr="00E73F6F" w:rsidRDefault="00FF7799" w:rsidP="00F3090F">
            <w:pPr>
              <w:pStyle w:val="StandardText"/>
              <w:jc w:val="center"/>
              <w:rPr>
                <w:lang w:val="de-DE"/>
              </w:rPr>
            </w:pPr>
            <w:r w:rsidRPr="00E73F6F">
              <w:rPr>
                <w:lang w:val="de-DE"/>
              </w:rPr>
              <w:t>7</w:t>
            </w:r>
          </w:p>
        </w:tc>
      </w:tr>
      <w:tr w:rsidR="00FF7799" w:rsidRPr="00E73F6F" w14:paraId="0C72D032" w14:textId="77777777" w:rsidTr="008E038E">
        <w:trPr>
          <w:trHeight w:val="239"/>
        </w:trPr>
        <w:tc>
          <w:tcPr>
            <w:tcW w:w="391" w:type="pct"/>
          </w:tcPr>
          <w:p w14:paraId="2C491ECD" w14:textId="77777777" w:rsidR="00FF7799" w:rsidRPr="00E73F6F" w:rsidRDefault="00FF7799" w:rsidP="00F3090F">
            <w:pPr>
              <w:pStyle w:val="StandardText"/>
              <w:jc w:val="center"/>
              <w:rPr>
                <w:lang w:val="de-DE"/>
              </w:rPr>
            </w:pPr>
            <w:r w:rsidRPr="00E73F6F">
              <w:rPr>
                <w:spacing w:val="-5"/>
                <w:lang w:val="de-DE"/>
              </w:rPr>
              <w:t>17</w:t>
            </w:r>
          </w:p>
        </w:tc>
        <w:tc>
          <w:tcPr>
            <w:tcW w:w="1720" w:type="pct"/>
          </w:tcPr>
          <w:p w14:paraId="0C2F747E" w14:textId="77777777" w:rsidR="00FF7799" w:rsidRPr="00E73F6F" w:rsidRDefault="00FF7799" w:rsidP="00F3090F">
            <w:pPr>
              <w:pStyle w:val="StandardText"/>
              <w:jc w:val="left"/>
              <w:rPr>
                <w:lang w:val="de-DE"/>
              </w:rPr>
            </w:pPr>
            <w:r w:rsidRPr="00E73F6F">
              <w:rPr>
                <w:spacing w:val="-2"/>
                <w:lang w:val="de-DE"/>
              </w:rPr>
              <w:t>Japan</w:t>
            </w:r>
          </w:p>
        </w:tc>
        <w:tc>
          <w:tcPr>
            <w:tcW w:w="963" w:type="pct"/>
          </w:tcPr>
          <w:p w14:paraId="1394CD55" w14:textId="77777777" w:rsidR="00FF7799" w:rsidRPr="00E73F6F" w:rsidRDefault="00FF7799" w:rsidP="00F3090F">
            <w:pPr>
              <w:pStyle w:val="StandardText"/>
              <w:jc w:val="center"/>
              <w:rPr>
                <w:lang w:val="de-DE"/>
              </w:rPr>
            </w:pPr>
            <w:r w:rsidRPr="00E73F6F">
              <w:rPr>
                <w:spacing w:val="-5"/>
                <w:lang w:val="de-DE"/>
              </w:rPr>
              <w:t>7.6</w:t>
            </w:r>
          </w:p>
        </w:tc>
        <w:tc>
          <w:tcPr>
            <w:tcW w:w="963" w:type="pct"/>
          </w:tcPr>
          <w:p w14:paraId="4E95FB43" w14:textId="77777777" w:rsidR="00FF7799" w:rsidRPr="00E73F6F" w:rsidRDefault="00FF7799" w:rsidP="00F3090F">
            <w:pPr>
              <w:pStyle w:val="StandardText"/>
              <w:jc w:val="center"/>
              <w:rPr>
                <w:lang w:val="de-DE"/>
              </w:rPr>
            </w:pPr>
            <w:r w:rsidRPr="00E73F6F">
              <w:rPr>
                <w:lang w:val="de-DE"/>
              </w:rPr>
              <w:t>7.0 -</w:t>
            </w:r>
            <w:r w:rsidRPr="00E73F6F">
              <w:rPr>
                <w:spacing w:val="-3"/>
                <w:lang w:val="de-DE"/>
              </w:rPr>
              <w:t xml:space="preserve"> </w:t>
            </w:r>
            <w:r w:rsidRPr="00E73F6F">
              <w:rPr>
                <w:spacing w:val="-5"/>
                <w:lang w:val="de-DE"/>
              </w:rPr>
              <w:t>8.1</w:t>
            </w:r>
          </w:p>
        </w:tc>
        <w:tc>
          <w:tcPr>
            <w:tcW w:w="963" w:type="pct"/>
          </w:tcPr>
          <w:p w14:paraId="6AD51AD2" w14:textId="77777777" w:rsidR="00FF7799" w:rsidRPr="00E73F6F" w:rsidRDefault="00FF7799" w:rsidP="00F3090F">
            <w:pPr>
              <w:pStyle w:val="StandardText"/>
              <w:jc w:val="center"/>
              <w:rPr>
                <w:lang w:val="de-DE"/>
              </w:rPr>
            </w:pPr>
            <w:r w:rsidRPr="00E73F6F">
              <w:rPr>
                <w:lang w:val="de-DE"/>
              </w:rPr>
              <w:t>9</w:t>
            </w:r>
          </w:p>
        </w:tc>
      </w:tr>
      <w:tr w:rsidR="00FF7799" w:rsidRPr="00E73F6F" w14:paraId="3B94D856" w14:textId="77777777" w:rsidTr="008E038E">
        <w:trPr>
          <w:trHeight w:val="244"/>
        </w:trPr>
        <w:tc>
          <w:tcPr>
            <w:tcW w:w="391" w:type="pct"/>
          </w:tcPr>
          <w:p w14:paraId="2BA9C2D7" w14:textId="77777777" w:rsidR="00FF7799" w:rsidRPr="00E73F6F" w:rsidRDefault="00FF7799" w:rsidP="00F3090F">
            <w:pPr>
              <w:pStyle w:val="StandardText"/>
              <w:jc w:val="center"/>
              <w:rPr>
                <w:lang w:val="de-DE"/>
              </w:rPr>
            </w:pPr>
            <w:r w:rsidRPr="00E73F6F">
              <w:rPr>
                <w:spacing w:val="-5"/>
                <w:lang w:val="de-DE"/>
              </w:rPr>
              <w:t>18</w:t>
            </w:r>
          </w:p>
        </w:tc>
        <w:tc>
          <w:tcPr>
            <w:tcW w:w="1720" w:type="pct"/>
          </w:tcPr>
          <w:p w14:paraId="2AA4802F" w14:textId="77777777" w:rsidR="00FF7799" w:rsidRPr="00E73F6F" w:rsidRDefault="00FF7799" w:rsidP="00F3090F">
            <w:pPr>
              <w:pStyle w:val="StandardText"/>
              <w:jc w:val="left"/>
              <w:rPr>
                <w:lang w:val="de-DE"/>
              </w:rPr>
            </w:pPr>
            <w:r w:rsidRPr="00E73F6F">
              <w:rPr>
                <w:spacing w:val="-2"/>
                <w:lang w:val="de-DE"/>
              </w:rPr>
              <w:t>Frankreich</w:t>
            </w:r>
          </w:p>
        </w:tc>
        <w:tc>
          <w:tcPr>
            <w:tcW w:w="963" w:type="pct"/>
          </w:tcPr>
          <w:p w14:paraId="03D648E5" w14:textId="77777777" w:rsidR="00FF7799" w:rsidRPr="00E73F6F" w:rsidRDefault="00FF7799" w:rsidP="00F3090F">
            <w:pPr>
              <w:pStyle w:val="StandardText"/>
              <w:jc w:val="center"/>
              <w:rPr>
                <w:lang w:val="de-DE"/>
              </w:rPr>
            </w:pPr>
            <w:r w:rsidRPr="00E73F6F">
              <w:rPr>
                <w:spacing w:val="-5"/>
                <w:lang w:val="de-DE"/>
              </w:rPr>
              <w:t>7.4</w:t>
            </w:r>
          </w:p>
        </w:tc>
        <w:tc>
          <w:tcPr>
            <w:tcW w:w="963" w:type="pct"/>
          </w:tcPr>
          <w:p w14:paraId="4EB7270C" w14:textId="77777777" w:rsidR="00FF7799" w:rsidRPr="00E73F6F" w:rsidRDefault="00FF7799" w:rsidP="00F3090F">
            <w:pPr>
              <w:pStyle w:val="StandardText"/>
              <w:jc w:val="center"/>
              <w:rPr>
                <w:lang w:val="de-DE"/>
              </w:rPr>
            </w:pPr>
            <w:r w:rsidRPr="00E73F6F">
              <w:rPr>
                <w:lang w:val="de-DE"/>
              </w:rPr>
              <w:t>6.7 -</w:t>
            </w:r>
            <w:r w:rsidRPr="00E73F6F">
              <w:rPr>
                <w:spacing w:val="-3"/>
                <w:lang w:val="de-DE"/>
              </w:rPr>
              <w:t xml:space="preserve"> </w:t>
            </w:r>
            <w:r w:rsidRPr="00E73F6F">
              <w:rPr>
                <w:spacing w:val="-5"/>
                <w:lang w:val="de-DE"/>
              </w:rPr>
              <w:t>7.8</w:t>
            </w:r>
          </w:p>
        </w:tc>
        <w:tc>
          <w:tcPr>
            <w:tcW w:w="963" w:type="pct"/>
          </w:tcPr>
          <w:p w14:paraId="6361D77E" w14:textId="77777777" w:rsidR="00FF7799" w:rsidRPr="00E73F6F" w:rsidRDefault="00FF7799" w:rsidP="00F3090F">
            <w:pPr>
              <w:pStyle w:val="StandardText"/>
              <w:jc w:val="center"/>
              <w:rPr>
                <w:lang w:val="de-DE"/>
              </w:rPr>
            </w:pPr>
            <w:r w:rsidRPr="00E73F6F">
              <w:rPr>
                <w:lang w:val="de-DE"/>
              </w:rPr>
              <w:t>7</w:t>
            </w:r>
          </w:p>
        </w:tc>
      </w:tr>
      <w:tr w:rsidR="00FF7799" w:rsidRPr="00E73F6F" w14:paraId="1629D122" w14:textId="77777777" w:rsidTr="008E038E">
        <w:trPr>
          <w:trHeight w:val="239"/>
        </w:trPr>
        <w:tc>
          <w:tcPr>
            <w:tcW w:w="391" w:type="pct"/>
          </w:tcPr>
          <w:p w14:paraId="583C33BB" w14:textId="77777777" w:rsidR="00FF7799" w:rsidRPr="00E73F6F" w:rsidRDefault="00FF7799" w:rsidP="00F3090F">
            <w:pPr>
              <w:pStyle w:val="StandardText"/>
              <w:jc w:val="center"/>
              <w:rPr>
                <w:lang w:val="de-DE"/>
              </w:rPr>
            </w:pPr>
          </w:p>
        </w:tc>
        <w:tc>
          <w:tcPr>
            <w:tcW w:w="1720" w:type="pct"/>
          </w:tcPr>
          <w:p w14:paraId="18997AA2" w14:textId="77777777" w:rsidR="00FF7799" w:rsidRPr="00E73F6F" w:rsidRDefault="00FF7799" w:rsidP="00F3090F">
            <w:pPr>
              <w:pStyle w:val="StandardText"/>
              <w:jc w:val="left"/>
              <w:rPr>
                <w:lang w:val="de-DE"/>
              </w:rPr>
            </w:pPr>
            <w:r w:rsidRPr="00E73F6F">
              <w:rPr>
                <w:spacing w:val="-2"/>
                <w:lang w:val="de-DE"/>
              </w:rPr>
              <w:t>Irland</w:t>
            </w:r>
          </w:p>
        </w:tc>
        <w:tc>
          <w:tcPr>
            <w:tcW w:w="963" w:type="pct"/>
          </w:tcPr>
          <w:p w14:paraId="53024954" w14:textId="77777777" w:rsidR="00FF7799" w:rsidRPr="00E73F6F" w:rsidRDefault="00FF7799" w:rsidP="00F3090F">
            <w:pPr>
              <w:pStyle w:val="StandardText"/>
              <w:jc w:val="center"/>
              <w:rPr>
                <w:lang w:val="de-DE"/>
              </w:rPr>
            </w:pPr>
            <w:r w:rsidRPr="00E73F6F">
              <w:rPr>
                <w:spacing w:val="-5"/>
                <w:lang w:val="de-DE"/>
              </w:rPr>
              <w:t>7.4</w:t>
            </w:r>
          </w:p>
        </w:tc>
        <w:tc>
          <w:tcPr>
            <w:tcW w:w="963" w:type="pct"/>
          </w:tcPr>
          <w:p w14:paraId="19C4095D" w14:textId="77777777" w:rsidR="00FF7799" w:rsidRPr="00E73F6F" w:rsidRDefault="00FF7799" w:rsidP="00F3090F">
            <w:pPr>
              <w:pStyle w:val="StandardText"/>
              <w:jc w:val="center"/>
              <w:rPr>
                <w:lang w:val="de-DE"/>
              </w:rPr>
            </w:pPr>
            <w:r w:rsidRPr="00E73F6F">
              <w:rPr>
                <w:lang w:val="de-DE"/>
              </w:rPr>
              <w:t>6.7 -</w:t>
            </w:r>
            <w:r w:rsidRPr="00E73F6F">
              <w:rPr>
                <w:spacing w:val="-3"/>
                <w:lang w:val="de-DE"/>
              </w:rPr>
              <w:t xml:space="preserve"> </w:t>
            </w:r>
            <w:r w:rsidRPr="00E73F6F">
              <w:rPr>
                <w:spacing w:val="-5"/>
                <w:lang w:val="de-DE"/>
              </w:rPr>
              <w:t>7.9</w:t>
            </w:r>
          </w:p>
        </w:tc>
        <w:tc>
          <w:tcPr>
            <w:tcW w:w="963" w:type="pct"/>
          </w:tcPr>
          <w:p w14:paraId="10A7F334" w14:textId="77777777" w:rsidR="00FF7799" w:rsidRPr="00E73F6F" w:rsidRDefault="00FF7799" w:rsidP="00F3090F">
            <w:pPr>
              <w:pStyle w:val="StandardText"/>
              <w:jc w:val="center"/>
              <w:rPr>
                <w:lang w:val="de-DE"/>
              </w:rPr>
            </w:pPr>
            <w:r w:rsidRPr="00E73F6F">
              <w:rPr>
                <w:lang w:val="de-DE"/>
              </w:rPr>
              <w:t>7</w:t>
            </w:r>
          </w:p>
        </w:tc>
      </w:tr>
      <w:tr w:rsidR="00FF7799" w:rsidRPr="00E73F6F" w14:paraId="33D39224" w14:textId="77777777" w:rsidTr="008E038E">
        <w:trPr>
          <w:trHeight w:val="244"/>
        </w:trPr>
        <w:tc>
          <w:tcPr>
            <w:tcW w:w="391" w:type="pct"/>
          </w:tcPr>
          <w:p w14:paraId="5D48C484" w14:textId="77777777" w:rsidR="00FF7799" w:rsidRPr="00E73F6F" w:rsidRDefault="00FF7799" w:rsidP="00F3090F">
            <w:pPr>
              <w:pStyle w:val="StandardText"/>
              <w:jc w:val="center"/>
              <w:rPr>
                <w:lang w:val="de-DE"/>
              </w:rPr>
            </w:pPr>
            <w:r w:rsidRPr="00E73F6F">
              <w:rPr>
                <w:spacing w:val="-5"/>
                <w:lang w:val="de-DE"/>
              </w:rPr>
              <w:t>20</w:t>
            </w:r>
          </w:p>
        </w:tc>
        <w:tc>
          <w:tcPr>
            <w:tcW w:w="1720" w:type="pct"/>
          </w:tcPr>
          <w:p w14:paraId="4BA7DA83" w14:textId="77777777" w:rsidR="00FF7799" w:rsidRPr="00E73F6F" w:rsidRDefault="00FF7799" w:rsidP="00F3090F">
            <w:pPr>
              <w:pStyle w:val="StandardText"/>
              <w:jc w:val="left"/>
              <w:rPr>
                <w:lang w:val="de-DE"/>
              </w:rPr>
            </w:pPr>
            <w:r w:rsidRPr="00E73F6F">
              <w:rPr>
                <w:spacing w:val="-2"/>
                <w:lang w:val="de-DE"/>
              </w:rPr>
              <w:t>Belgien</w:t>
            </w:r>
          </w:p>
        </w:tc>
        <w:tc>
          <w:tcPr>
            <w:tcW w:w="963" w:type="pct"/>
          </w:tcPr>
          <w:p w14:paraId="0176B646" w14:textId="77777777" w:rsidR="00FF7799" w:rsidRPr="00E73F6F" w:rsidRDefault="00FF7799" w:rsidP="00F3090F">
            <w:pPr>
              <w:pStyle w:val="StandardText"/>
              <w:jc w:val="center"/>
              <w:rPr>
                <w:lang w:val="de-DE"/>
              </w:rPr>
            </w:pPr>
            <w:r w:rsidRPr="00E73F6F">
              <w:rPr>
                <w:spacing w:val="-5"/>
                <w:lang w:val="de-DE"/>
              </w:rPr>
              <w:t>7.3</w:t>
            </w:r>
          </w:p>
        </w:tc>
        <w:tc>
          <w:tcPr>
            <w:tcW w:w="963" w:type="pct"/>
          </w:tcPr>
          <w:p w14:paraId="423B575F" w14:textId="77777777" w:rsidR="00FF7799" w:rsidRPr="00E73F6F" w:rsidRDefault="00FF7799" w:rsidP="00F3090F">
            <w:pPr>
              <w:pStyle w:val="StandardText"/>
              <w:jc w:val="center"/>
              <w:rPr>
                <w:lang w:val="de-DE"/>
              </w:rPr>
            </w:pPr>
            <w:r w:rsidRPr="00E73F6F">
              <w:rPr>
                <w:lang w:val="de-DE"/>
              </w:rPr>
              <w:t>6.6 -</w:t>
            </w:r>
            <w:r w:rsidRPr="00E73F6F">
              <w:rPr>
                <w:spacing w:val="-3"/>
                <w:lang w:val="de-DE"/>
              </w:rPr>
              <w:t xml:space="preserve"> </w:t>
            </w:r>
            <w:r w:rsidRPr="00E73F6F">
              <w:rPr>
                <w:spacing w:val="-5"/>
                <w:lang w:val="de-DE"/>
              </w:rPr>
              <w:t>7.9</w:t>
            </w:r>
          </w:p>
        </w:tc>
        <w:tc>
          <w:tcPr>
            <w:tcW w:w="963" w:type="pct"/>
          </w:tcPr>
          <w:p w14:paraId="7993BD56" w14:textId="77777777" w:rsidR="00FF7799" w:rsidRPr="00E73F6F" w:rsidRDefault="00FF7799" w:rsidP="00F3090F">
            <w:pPr>
              <w:pStyle w:val="StandardText"/>
              <w:jc w:val="center"/>
              <w:rPr>
                <w:lang w:val="de-DE"/>
              </w:rPr>
            </w:pPr>
            <w:r w:rsidRPr="00E73F6F">
              <w:rPr>
                <w:lang w:val="de-DE"/>
              </w:rPr>
              <w:t>7</w:t>
            </w:r>
          </w:p>
        </w:tc>
      </w:tr>
      <w:tr w:rsidR="00FF7799" w:rsidRPr="00E73F6F" w14:paraId="2DA817EA" w14:textId="77777777" w:rsidTr="008E038E">
        <w:trPr>
          <w:trHeight w:val="244"/>
        </w:trPr>
        <w:tc>
          <w:tcPr>
            <w:tcW w:w="391" w:type="pct"/>
          </w:tcPr>
          <w:p w14:paraId="569A3955" w14:textId="77777777" w:rsidR="00FF7799" w:rsidRPr="00E73F6F" w:rsidRDefault="00FF7799" w:rsidP="00F3090F">
            <w:pPr>
              <w:pStyle w:val="StandardText"/>
              <w:jc w:val="center"/>
              <w:rPr>
                <w:lang w:val="de-DE"/>
              </w:rPr>
            </w:pPr>
          </w:p>
        </w:tc>
        <w:tc>
          <w:tcPr>
            <w:tcW w:w="1720" w:type="pct"/>
          </w:tcPr>
          <w:p w14:paraId="75964BF1" w14:textId="77777777" w:rsidR="00FF7799" w:rsidRPr="00E73F6F" w:rsidRDefault="00FF7799" w:rsidP="00F3090F">
            <w:pPr>
              <w:pStyle w:val="StandardText"/>
              <w:jc w:val="left"/>
              <w:rPr>
                <w:lang w:val="de-DE"/>
              </w:rPr>
            </w:pPr>
            <w:r w:rsidRPr="00E73F6F">
              <w:rPr>
                <w:spacing w:val="-2"/>
                <w:lang w:val="de-DE"/>
              </w:rPr>
              <w:t>Chile</w:t>
            </w:r>
          </w:p>
        </w:tc>
        <w:tc>
          <w:tcPr>
            <w:tcW w:w="963" w:type="pct"/>
          </w:tcPr>
          <w:p w14:paraId="21EC4321" w14:textId="77777777" w:rsidR="00FF7799" w:rsidRPr="00E73F6F" w:rsidRDefault="00FF7799" w:rsidP="00F3090F">
            <w:pPr>
              <w:pStyle w:val="StandardText"/>
              <w:jc w:val="center"/>
              <w:rPr>
                <w:lang w:val="de-DE"/>
              </w:rPr>
            </w:pPr>
            <w:r w:rsidRPr="00E73F6F">
              <w:rPr>
                <w:spacing w:val="-5"/>
                <w:lang w:val="de-DE"/>
              </w:rPr>
              <w:t>7.3</w:t>
            </w:r>
          </w:p>
        </w:tc>
        <w:tc>
          <w:tcPr>
            <w:tcW w:w="963" w:type="pct"/>
          </w:tcPr>
          <w:p w14:paraId="7FD81616" w14:textId="77777777" w:rsidR="00FF7799" w:rsidRPr="00E73F6F" w:rsidRDefault="00FF7799" w:rsidP="00F3090F">
            <w:pPr>
              <w:pStyle w:val="StandardText"/>
              <w:jc w:val="center"/>
              <w:rPr>
                <w:lang w:val="de-DE"/>
              </w:rPr>
            </w:pPr>
            <w:r w:rsidRPr="00E73F6F">
              <w:rPr>
                <w:lang w:val="de-DE"/>
              </w:rPr>
              <w:t>6.6 -</w:t>
            </w:r>
            <w:r w:rsidRPr="00E73F6F">
              <w:rPr>
                <w:spacing w:val="-3"/>
                <w:lang w:val="de-DE"/>
              </w:rPr>
              <w:t xml:space="preserve"> </w:t>
            </w:r>
            <w:r w:rsidRPr="00E73F6F">
              <w:rPr>
                <w:spacing w:val="-5"/>
                <w:lang w:val="de-DE"/>
              </w:rPr>
              <w:t>7.6</w:t>
            </w:r>
          </w:p>
        </w:tc>
        <w:tc>
          <w:tcPr>
            <w:tcW w:w="963" w:type="pct"/>
          </w:tcPr>
          <w:p w14:paraId="1FD446AD" w14:textId="77777777" w:rsidR="00FF7799" w:rsidRPr="00E73F6F" w:rsidRDefault="00FF7799" w:rsidP="00F3090F">
            <w:pPr>
              <w:pStyle w:val="StandardText"/>
              <w:jc w:val="center"/>
              <w:rPr>
                <w:lang w:val="de-DE"/>
              </w:rPr>
            </w:pPr>
            <w:r w:rsidRPr="00E73F6F">
              <w:rPr>
                <w:lang w:val="de-DE"/>
              </w:rPr>
              <w:t>7</w:t>
            </w:r>
          </w:p>
        </w:tc>
      </w:tr>
      <w:tr w:rsidR="00FF7799" w:rsidRPr="00E73F6F" w14:paraId="4C5EF21F" w14:textId="77777777" w:rsidTr="008E038E">
        <w:trPr>
          <w:trHeight w:val="244"/>
        </w:trPr>
        <w:tc>
          <w:tcPr>
            <w:tcW w:w="391" w:type="pct"/>
          </w:tcPr>
          <w:p w14:paraId="24AA4746" w14:textId="77777777" w:rsidR="00FF7799" w:rsidRPr="00E73F6F" w:rsidRDefault="00FF7799" w:rsidP="00F3090F">
            <w:pPr>
              <w:pStyle w:val="StandardText"/>
              <w:jc w:val="center"/>
              <w:rPr>
                <w:lang w:val="de-DE"/>
              </w:rPr>
            </w:pPr>
          </w:p>
        </w:tc>
        <w:tc>
          <w:tcPr>
            <w:tcW w:w="1720" w:type="pct"/>
          </w:tcPr>
          <w:p w14:paraId="337D050C" w14:textId="77777777" w:rsidR="00FF7799" w:rsidRPr="00E73F6F" w:rsidRDefault="00FF7799" w:rsidP="00F3090F">
            <w:pPr>
              <w:pStyle w:val="StandardText"/>
              <w:jc w:val="left"/>
              <w:rPr>
                <w:lang w:val="de-DE"/>
              </w:rPr>
            </w:pPr>
            <w:r w:rsidRPr="00E73F6F">
              <w:rPr>
                <w:spacing w:val="-5"/>
                <w:lang w:val="de-DE"/>
              </w:rPr>
              <w:t>USA</w:t>
            </w:r>
          </w:p>
        </w:tc>
        <w:tc>
          <w:tcPr>
            <w:tcW w:w="963" w:type="pct"/>
          </w:tcPr>
          <w:p w14:paraId="5E37752C" w14:textId="77777777" w:rsidR="00FF7799" w:rsidRPr="00E73F6F" w:rsidRDefault="00FF7799" w:rsidP="00F3090F">
            <w:pPr>
              <w:pStyle w:val="StandardText"/>
              <w:jc w:val="center"/>
              <w:rPr>
                <w:lang w:val="de-DE"/>
              </w:rPr>
            </w:pPr>
            <w:r w:rsidRPr="00E73F6F">
              <w:rPr>
                <w:spacing w:val="-5"/>
                <w:lang w:val="de-DE"/>
              </w:rPr>
              <w:t>7.3</w:t>
            </w:r>
          </w:p>
        </w:tc>
        <w:tc>
          <w:tcPr>
            <w:tcW w:w="963" w:type="pct"/>
          </w:tcPr>
          <w:p w14:paraId="109714B2" w14:textId="77777777" w:rsidR="00FF7799" w:rsidRPr="00E73F6F" w:rsidRDefault="00FF7799" w:rsidP="00F3090F">
            <w:pPr>
              <w:pStyle w:val="StandardText"/>
              <w:jc w:val="center"/>
              <w:rPr>
                <w:lang w:val="de-DE"/>
              </w:rPr>
            </w:pPr>
            <w:r w:rsidRPr="00E73F6F">
              <w:rPr>
                <w:lang w:val="de-DE"/>
              </w:rPr>
              <w:t>6.6 -</w:t>
            </w:r>
            <w:r w:rsidRPr="00E73F6F">
              <w:rPr>
                <w:spacing w:val="-3"/>
                <w:lang w:val="de-DE"/>
              </w:rPr>
              <w:t xml:space="preserve"> </w:t>
            </w:r>
            <w:r w:rsidRPr="00E73F6F">
              <w:rPr>
                <w:spacing w:val="-5"/>
                <w:lang w:val="de-DE"/>
              </w:rPr>
              <w:t>7.8</w:t>
            </w:r>
          </w:p>
        </w:tc>
        <w:tc>
          <w:tcPr>
            <w:tcW w:w="963" w:type="pct"/>
          </w:tcPr>
          <w:p w14:paraId="0F019FDF" w14:textId="77777777" w:rsidR="00FF7799" w:rsidRPr="00E73F6F" w:rsidRDefault="00FF7799" w:rsidP="00F3090F">
            <w:pPr>
              <w:pStyle w:val="StandardText"/>
              <w:jc w:val="center"/>
              <w:rPr>
                <w:lang w:val="de-DE"/>
              </w:rPr>
            </w:pPr>
            <w:r w:rsidRPr="00E73F6F">
              <w:rPr>
                <w:lang w:val="de-DE"/>
              </w:rPr>
              <w:t>8</w:t>
            </w:r>
          </w:p>
        </w:tc>
      </w:tr>
      <w:tr w:rsidR="00FF7799" w:rsidRPr="00E73F6F" w14:paraId="39888FF2" w14:textId="77777777" w:rsidTr="008E038E">
        <w:trPr>
          <w:trHeight w:val="239"/>
        </w:trPr>
        <w:tc>
          <w:tcPr>
            <w:tcW w:w="391" w:type="pct"/>
          </w:tcPr>
          <w:p w14:paraId="717B6D5E" w14:textId="77777777" w:rsidR="00FF7799" w:rsidRPr="00E73F6F" w:rsidRDefault="00FF7799" w:rsidP="00F3090F">
            <w:pPr>
              <w:pStyle w:val="StandardText"/>
              <w:jc w:val="center"/>
              <w:rPr>
                <w:lang w:val="de-DE"/>
              </w:rPr>
            </w:pPr>
            <w:r w:rsidRPr="00E73F6F">
              <w:rPr>
                <w:spacing w:val="-5"/>
                <w:lang w:val="de-DE"/>
              </w:rPr>
              <w:t>23</w:t>
            </w:r>
          </w:p>
        </w:tc>
        <w:tc>
          <w:tcPr>
            <w:tcW w:w="1720" w:type="pct"/>
          </w:tcPr>
          <w:p w14:paraId="271FB4BF" w14:textId="77777777" w:rsidR="00FF7799" w:rsidRPr="00E73F6F" w:rsidRDefault="00FF7799" w:rsidP="00F3090F">
            <w:pPr>
              <w:pStyle w:val="StandardText"/>
              <w:jc w:val="left"/>
              <w:rPr>
                <w:lang w:val="de-DE"/>
              </w:rPr>
            </w:pPr>
            <w:r w:rsidRPr="00E73F6F">
              <w:rPr>
                <w:spacing w:val="-2"/>
                <w:lang w:val="de-DE"/>
              </w:rPr>
              <w:t>Spanien</w:t>
            </w:r>
          </w:p>
        </w:tc>
        <w:tc>
          <w:tcPr>
            <w:tcW w:w="963" w:type="pct"/>
          </w:tcPr>
          <w:p w14:paraId="0665D822" w14:textId="77777777" w:rsidR="00FF7799" w:rsidRPr="00E73F6F" w:rsidRDefault="00FF7799" w:rsidP="00F3090F">
            <w:pPr>
              <w:pStyle w:val="StandardText"/>
              <w:jc w:val="center"/>
              <w:rPr>
                <w:lang w:val="de-DE"/>
              </w:rPr>
            </w:pPr>
            <w:r w:rsidRPr="00E73F6F">
              <w:rPr>
                <w:spacing w:val="-5"/>
                <w:lang w:val="de-DE"/>
              </w:rPr>
              <w:t>6.8</w:t>
            </w:r>
          </w:p>
        </w:tc>
        <w:tc>
          <w:tcPr>
            <w:tcW w:w="963" w:type="pct"/>
          </w:tcPr>
          <w:p w14:paraId="0C21548A" w14:textId="77777777" w:rsidR="00FF7799" w:rsidRPr="00E73F6F" w:rsidRDefault="00FF7799" w:rsidP="00F3090F">
            <w:pPr>
              <w:pStyle w:val="StandardText"/>
              <w:jc w:val="center"/>
              <w:rPr>
                <w:lang w:val="de-DE"/>
              </w:rPr>
            </w:pPr>
            <w:r w:rsidRPr="00E73F6F">
              <w:rPr>
                <w:lang w:val="de-DE"/>
              </w:rPr>
              <w:t>6.3 -</w:t>
            </w:r>
            <w:r w:rsidRPr="00E73F6F">
              <w:rPr>
                <w:spacing w:val="-3"/>
                <w:lang w:val="de-DE"/>
              </w:rPr>
              <w:t xml:space="preserve"> </w:t>
            </w:r>
            <w:r w:rsidRPr="00E73F6F">
              <w:rPr>
                <w:spacing w:val="-5"/>
                <w:lang w:val="de-DE"/>
              </w:rPr>
              <w:t>7.2</w:t>
            </w:r>
          </w:p>
        </w:tc>
        <w:tc>
          <w:tcPr>
            <w:tcW w:w="963" w:type="pct"/>
          </w:tcPr>
          <w:p w14:paraId="75B4F0D8" w14:textId="77777777" w:rsidR="00FF7799" w:rsidRPr="00E73F6F" w:rsidRDefault="00FF7799" w:rsidP="00F3090F">
            <w:pPr>
              <w:pStyle w:val="StandardText"/>
              <w:jc w:val="center"/>
              <w:rPr>
                <w:lang w:val="de-DE"/>
              </w:rPr>
            </w:pPr>
            <w:r w:rsidRPr="00E73F6F">
              <w:rPr>
                <w:lang w:val="de-DE"/>
              </w:rPr>
              <w:t>7</w:t>
            </w:r>
          </w:p>
        </w:tc>
      </w:tr>
      <w:tr w:rsidR="00FF7799" w:rsidRPr="00E73F6F" w14:paraId="0817E390" w14:textId="77777777" w:rsidTr="008E038E">
        <w:trPr>
          <w:trHeight w:val="244"/>
        </w:trPr>
        <w:tc>
          <w:tcPr>
            <w:tcW w:w="391" w:type="pct"/>
          </w:tcPr>
          <w:p w14:paraId="47070BF5" w14:textId="77777777" w:rsidR="00FF7799" w:rsidRPr="00E73F6F" w:rsidRDefault="00FF7799" w:rsidP="00F3090F">
            <w:pPr>
              <w:pStyle w:val="StandardText"/>
              <w:jc w:val="center"/>
              <w:rPr>
                <w:lang w:val="de-DE"/>
              </w:rPr>
            </w:pPr>
            <w:r w:rsidRPr="00E73F6F">
              <w:rPr>
                <w:spacing w:val="-5"/>
                <w:lang w:val="de-DE"/>
              </w:rPr>
              <w:t>24</w:t>
            </w:r>
          </w:p>
        </w:tc>
        <w:tc>
          <w:tcPr>
            <w:tcW w:w="1720" w:type="pct"/>
          </w:tcPr>
          <w:p w14:paraId="7462960F" w14:textId="77777777" w:rsidR="00FF7799" w:rsidRPr="00E73F6F" w:rsidRDefault="00FF7799" w:rsidP="00F3090F">
            <w:pPr>
              <w:pStyle w:val="StandardText"/>
              <w:jc w:val="left"/>
              <w:rPr>
                <w:lang w:val="de-DE"/>
              </w:rPr>
            </w:pPr>
            <w:r w:rsidRPr="00E73F6F">
              <w:rPr>
                <w:spacing w:val="-2"/>
                <w:lang w:val="de-DE"/>
              </w:rPr>
              <w:t>Barbados</w:t>
            </w:r>
          </w:p>
        </w:tc>
        <w:tc>
          <w:tcPr>
            <w:tcW w:w="963" w:type="pct"/>
          </w:tcPr>
          <w:p w14:paraId="0523B869" w14:textId="77777777" w:rsidR="00FF7799" w:rsidRPr="00E73F6F" w:rsidRDefault="00FF7799" w:rsidP="00F3090F">
            <w:pPr>
              <w:pStyle w:val="StandardText"/>
              <w:jc w:val="center"/>
              <w:rPr>
                <w:lang w:val="de-DE"/>
              </w:rPr>
            </w:pPr>
            <w:r w:rsidRPr="00E73F6F">
              <w:rPr>
                <w:spacing w:val="-5"/>
                <w:lang w:val="de-DE"/>
              </w:rPr>
              <w:t>6.7</w:t>
            </w:r>
          </w:p>
        </w:tc>
        <w:tc>
          <w:tcPr>
            <w:tcW w:w="963" w:type="pct"/>
          </w:tcPr>
          <w:p w14:paraId="46664A78" w14:textId="77777777" w:rsidR="00FF7799" w:rsidRPr="00E73F6F" w:rsidRDefault="00FF7799" w:rsidP="00F3090F">
            <w:pPr>
              <w:pStyle w:val="StandardText"/>
              <w:jc w:val="center"/>
              <w:rPr>
                <w:lang w:val="de-DE"/>
              </w:rPr>
            </w:pPr>
            <w:r w:rsidRPr="00E73F6F">
              <w:rPr>
                <w:lang w:val="de-DE"/>
              </w:rPr>
              <w:t>6.0 -</w:t>
            </w:r>
            <w:r w:rsidRPr="00E73F6F">
              <w:rPr>
                <w:spacing w:val="-3"/>
                <w:lang w:val="de-DE"/>
              </w:rPr>
              <w:t xml:space="preserve"> </w:t>
            </w:r>
            <w:r w:rsidRPr="00E73F6F">
              <w:rPr>
                <w:spacing w:val="-5"/>
                <w:lang w:val="de-DE"/>
              </w:rPr>
              <w:t>7.2</w:t>
            </w:r>
          </w:p>
        </w:tc>
        <w:tc>
          <w:tcPr>
            <w:tcW w:w="963" w:type="pct"/>
          </w:tcPr>
          <w:p w14:paraId="5D43AB85" w14:textId="77777777" w:rsidR="00FF7799" w:rsidRPr="00E73F6F" w:rsidRDefault="00FF7799" w:rsidP="00F3090F">
            <w:pPr>
              <w:pStyle w:val="StandardText"/>
              <w:jc w:val="center"/>
              <w:rPr>
                <w:lang w:val="de-DE"/>
              </w:rPr>
            </w:pPr>
            <w:r w:rsidRPr="00E73F6F">
              <w:rPr>
                <w:lang w:val="de-DE"/>
              </w:rPr>
              <w:t>4</w:t>
            </w:r>
          </w:p>
        </w:tc>
      </w:tr>
      <w:tr w:rsidR="00FF7799" w:rsidRPr="00E73F6F" w14:paraId="45DFF39C" w14:textId="77777777" w:rsidTr="008E038E">
        <w:trPr>
          <w:trHeight w:val="239"/>
        </w:trPr>
        <w:tc>
          <w:tcPr>
            <w:tcW w:w="391" w:type="pct"/>
          </w:tcPr>
          <w:p w14:paraId="1781C16A" w14:textId="77777777" w:rsidR="00FF7799" w:rsidRPr="00E73F6F" w:rsidRDefault="00FF7799" w:rsidP="00F3090F">
            <w:pPr>
              <w:pStyle w:val="StandardText"/>
              <w:jc w:val="center"/>
              <w:rPr>
                <w:lang w:val="de-DE"/>
              </w:rPr>
            </w:pPr>
          </w:p>
        </w:tc>
        <w:tc>
          <w:tcPr>
            <w:tcW w:w="1720" w:type="pct"/>
          </w:tcPr>
          <w:p w14:paraId="67E5B887" w14:textId="77777777" w:rsidR="00FF7799" w:rsidRPr="00E73F6F" w:rsidRDefault="00FF7799" w:rsidP="00F3090F">
            <w:pPr>
              <w:pStyle w:val="StandardText"/>
              <w:jc w:val="left"/>
              <w:rPr>
                <w:lang w:val="de-DE"/>
              </w:rPr>
            </w:pPr>
            <w:r w:rsidRPr="00E73F6F">
              <w:rPr>
                <w:spacing w:val="-2"/>
                <w:lang w:val="de-DE"/>
              </w:rPr>
              <w:t>Estland</w:t>
            </w:r>
          </w:p>
        </w:tc>
        <w:tc>
          <w:tcPr>
            <w:tcW w:w="963" w:type="pct"/>
          </w:tcPr>
          <w:p w14:paraId="72E4F5A5" w14:textId="77777777" w:rsidR="00FF7799" w:rsidRPr="00E73F6F" w:rsidRDefault="00FF7799" w:rsidP="00F3090F">
            <w:pPr>
              <w:pStyle w:val="StandardText"/>
              <w:jc w:val="center"/>
              <w:rPr>
                <w:lang w:val="de-DE"/>
              </w:rPr>
            </w:pPr>
            <w:r w:rsidRPr="00E73F6F">
              <w:rPr>
                <w:spacing w:val="-5"/>
                <w:lang w:val="de-DE"/>
              </w:rPr>
              <w:t>6.7</w:t>
            </w:r>
          </w:p>
        </w:tc>
        <w:tc>
          <w:tcPr>
            <w:tcW w:w="963" w:type="pct"/>
          </w:tcPr>
          <w:p w14:paraId="54B0BCA4" w14:textId="77777777" w:rsidR="00FF7799" w:rsidRPr="00E73F6F" w:rsidRDefault="00FF7799" w:rsidP="00F3090F">
            <w:pPr>
              <w:pStyle w:val="StandardText"/>
              <w:jc w:val="center"/>
              <w:rPr>
                <w:lang w:val="de-DE"/>
              </w:rPr>
            </w:pPr>
            <w:r w:rsidRPr="00E73F6F">
              <w:rPr>
                <w:lang w:val="de-DE"/>
              </w:rPr>
              <w:t>6.1 -</w:t>
            </w:r>
            <w:r w:rsidRPr="00E73F6F">
              <w:rPr>
                <w:spacing w:val="-3"/>
                <w:lang w:val="de-DE"/>
              </w:rPr>
              <w:t xml:space="preserve"> </w:t>
            </w:r>
            <w:r w:rsidRPr="00E73F6F">
              <w:rPr>
                <w:spacing w:val="-5"/>
                <w:lang w:val="de-DE"/>
              </w:rPr>
              <w:t>7.4</w:t>
            </w:r>
          </w:p>
        </w:tc>
        <w:tc>
          <w:tcPr>
            <w:tcW w:w="963" w:type="pct"/>
          </w:tcPr>
          <w:p w14:paraId="1B41C99B" w14:textId="77777777" w:rsidR="00FF7799" w:rsidRPr="00E73F6F" w:rsidRDefault="00FF7799" w:rsidP="00F3090F">
            <w:pPr>
              <w:pStyle w:val="StandardText"/>
              <w:jc w:val="center"/>
              <w:rPr>
                <w:lang w:val="de-DE"/>
              </w:rPr>
            </w:pPr>
            <w:r w:rsidRPr="00E73F6F">
              <w:rPr>
                <w:lang w:val="de-DE"/>
              </w:rPr>
              <w:t>8</w:t>
            </w:r>
          </w:p>
        </w:tc>
      </w:tr>
      <w:tr w:rsidR="00FF7799" w:rsidRPr="00E73F6F" w14:paraId="0C464F94" w14:textId="77777777" w:rsidTr="008E038E">
        <w:trPr>
          <w:trHeight w:val="244"/>
        </w:trPr>
        <w:tc>
          <w:tcPr>
            <w:tcW w:w="391" w:type="pct"/>
          </w:tcPr>
          <w:p w14:paraId="3B917945" w14:textId="77777777" w:rsidR="00FF7799" w:rsidRPr="00E73F6F" w:rsidRDefault="00FF7799" w:rsidP="00F3090F">
            <w:pPr>
              <w:pStyle w:val="StandardText"/>
              <w:jc w:val="center"/>
              <w:rPr>
                <w:lang w:val="de-DE"/>
              </w:rPr>
            </w:pPr>
            <w:r w:rsidRPr="00E73F6F">
              <w:rPr>
                <w:spacing w:val="-5"/>
                <w:lang w:val="de-DE"/>
              </w:rPr>
              <w:t>26</w:t>
            </w:r>
          </w:p>
        </w:tc>
        <w:tc>
          <w:tcPr>
            <w:tcW w:w="1720" w:type="pct"/>
          </w:tcPr>
          <w:p w14:paraId="56E61E7D" w14:textId="77777777" w:rsidR="00FF7799" w:rsidRPr="00E73F6F" w:rsidRDefault="00FF7799" w:rsidP="00F3090F">
            <w:pPr>
              <w:pStyle w:val="StandardText"/>
              <w:jc w:val="left"/>
              <w:rPr>
                <w:lang w:val="de-DE"/>
              </w:rPr>
            </w:pPr>
            <w:r w:rsidRPr="00E73F6F">
              <w:rPr>
                <w:spacing w:val="-2"/>
                <w:lang w:val="de-DE"/>
              </w:rPr>
              <w:t>Macao</w:t>
            </w:r>
          </w:p>
        </w:tc>
        <w:tc>
          <w:tcPr>
            <w:tcW w:w="963" w:type="pct"/>
          </w:tcPr>
          <w:p w14:paraId="552C73C1" w14:textId="77777777" w:rsidR="00FF7799" w:rsidRPr="00E73F6F" w:rsidRDefault="00FF7799" w:rsidP="00F3090F">
            <w:pPr>
              <w:pStyle w:val="StandardText"/>
              <w:jc w:val="center"/>
              <w:rPr>
                <w:lang w:val="de-DE"/>
              </w:rPr>
            </w:pPr>
            <w:r w:rsidRPr="00E73F6F">
              <w:rPr>
                <w:spacing w:val="-5"/>
                <w:lang w:val="de-DE"/>
              </w:rPr>
              <w:t>6.6</w:t>
            </w:r>
          </w:p>
        </w:tc>
        <w:tc>
          <w:tcPr>
            <w:tcW w:w="963" w:type="pct"/>
          </w:tcPr>
          <w:p w14:paraId="2561A4DB" w14:textId="77777777" w:rsidR="00FF7799" w:rsidRPr="00E73F6F" w:rsidRDefault="00FF7799" w:rsidP="00F3090F">
            <w:pPr>
              <w:pStyle w:val="StandardText"/>
              <w:jc w:val="center"/>
              <w:rPr>
                <w:lang w:val="de-DE"/>
              </w:rPr>
            </w:pPr>
            <w:r w:rsidRPr="00E73F6F">
              <w:rPr>
                <w:lang w:val="de-DE"/>
              </w:rPr>
              <w:t>5.4 -</w:t>
            </w:r>
            <w:r w:rsidRPr="00E73F6F">
              <w:rPr>
                <w:spacing w:val="-3"/>
                <w:lang w:val="de-DE"/>
              </w:rPr>
              <w:t xml:space="preserve"> </w:t>
            </w:r>
            <w:r w:rsidRPr="00E73F6F">
              <w:rPr>
                <w:spacing w:val="-5"/>
                <w:lang w:val="de-DE"/>
              </w:rPr>
              <w:t>7.1</w:t>
            </w:r>
          </w:p>
        </w:tc>
        <w:tc>
          <w:tcPr>
            <w:tcW w:w="963" w:type="pct"/>
          </w:tcPr>
          <w:p w14:paraId="2DFE350F" w14:textId="77777777" w:rsidR="00FF7799" w:rsidRPr="00E73F6F" w:rsidRDefault="00FF7799" w:rsidP="00F3090F">
            <w:pPr>
              <w:pStyle w:val="StandardText"/>
              <w:jc w:val="center"/>
              <w:rPr>
                <w:lang w:val="de-DE"/>
              </w:rPr>
            </w:pPr>
            <w:r w:rsidRPr="00E73F6F">
              <w:rPr>
                <w:lang w:val="de-DE"/>
              </w:rPr>
              <w:t>3</w:t>
            </w:r>
          </w:p>
        </w:tc>
      </w:tr>
      <w:tr w:rsidR="00FF7799" w:rsidRPr="00E73F6F" w14:paraId="5CB80E64" w14:textId="77777777" w:rsidTr="008E038E">
        <w:trPr>
          <w:trHeight w:val="239"/>
        </w:trPr>
        <w:tc>
          <w:tcPr>
            <w:tcW w:w="391" w:type="pct"/>
          </w:tcPr>
          <w:p w14:paraId="00678D0D" w14:textId="77777777" w:rsidR="00FF7799" w:rsidRPr="00E73F6F" w:rsidRDefault="00FF7799" w:rsidP="00F3090F">
            <w:pPr>
              <w:pStyle w:val="StandardText"/>
              <w:jc w:val="center"/>
              <w:rPr>
                <w:lang w:val="de-DE"/>
              </w:rPr>
            </w:pPr>
          </w:p>
        </w:tc>
        <w:tc>
          <w:tcPr>
            <w:tcW w:w="1720" w:type="pct"/>
          </w:tcPr>
          <w:p w14:paraId="1F9AEC9D" w14:textId="77777777" w:rsidR="00FF7799" w:rsidRPr="00E73F6F" w:rsidRDefault="00FF7799" w:rsidP="00F3090F">
            <w:pPr>
              <w:pStyle w:val="StandardText"/>
              <w:jc w:val="left"/>
              <w:rPr>
                <w:lang w:val="de-DE"/>
              </w:rPr>
            </w:pPr>
            <w:r w:rsidRPr="00E73F6F">
              <w:rPr>
                <w:spacing w:val="-2"/>
                <w:lang w:val="de-DE"/>
              </w:rPr>
              <w:t>Portugal</w:t>
            </w:r>
          </w:p>
        </w:tc>
        <w:tc>
          <w:tcPr>
            <w:tcW w:w="963" w:type="pct"/>
          </w:tcPr>
          <w:p w14:paraId="1574020E" w14:textId="77777777" w:rsidR="00FF7799" w:rsidRPr="00E73F6F" w:rsidRDefault="00FF7799" w:rsidP="00F3090F">
            <w:pPr>
              <w:pStyle w:val="StandardText"/>
              <w:jc w:val="center"/>
              <w:rPr>
                <w:lang w:val="de-DE"/>
              </w:rPr>
            </w:pPr>
            <w:r w:rsidRPr="00E73F6F">
              <w:rPr>
                <w:spacing w:val="-5"/>
                <w:lang w:val="de-DE"/>
              </w:rPr>
              <w:t>6.6</w:t>
            </w:r>
          </w:p>
        </w:tc>
        <w:tc>
          <w:tcPr>
            <w:tcW w:w="963" w:type="pct"/>
          </w:tcPr>
          <w:p w14:paraId="1E7F8BBC" w14:textId="77777777" w:rsidR="00FF7799" w:rsidRPr="00E73F6F" w:rsidRDefault="00FF7799" w:rsidP="00F3090F">
            <w:pPr>
              <w:pStyle w:val="StandardText"/>
              <w:jc w:val="center"/>
              <w:rPr>
                <w:lang w:val="de-DE"/>
              </w:rPr>
            </w:pPr>
            <w:r w:rsidRPr="00E73F6F">
              <w:rPr>
                <w:lang w:val="de-DE"/>
              </w:rPr>
              <w:t>5.9 -</w:t>
            </w:r>
            <w:r w:rsidRPr="00E73F6F">
              <w:rPr>
                <w:spacing w:val="-3"/>
                <w:lang w:val="de-DE"/>
              </w:rPr>
              <w:t xml:space="preserve"> </w:t>
            </w:r>
            <w:r w:rsidRPr="00E73F6F">
              <w:rPr>
                <w:spacing w:val="-5"/>
                <w:lang w:val="de-DE"/>
              </w:rPr>
              <w:t>7.3</w:t>
            </w:r>
          </w:p>
        </w:tc>
        <w:tc>
          <w:tcPr>
            <w:tcW w:w="963" w:type="pct"/>
          </w:tcPr>
          <w:p w14:paraId="1E206B10" w14:textId="77777777" w:rsidR="00FF7799" w:rsidRPr="00E73F6F" w:rsidRDefault="00FF7799" w:rsidP="00F3090F">
            <w:pPr>
              <w:pStyle w:val="StandardText"/>
              <w:jc w:val="center"/>
              <w:rPr>
                <w:lang w:val="de-DE"/>
              </w:rPr>
            </w:pPr>
            <w:r w:rsidRPr="00E73F6F">
              <w:rPr>
                <w:lang w:val="de-DE"/>
              </w:rPr>
              <w:t>7</w:t>
            </w:r>
          </w:p>
        </w:tc>
      </w:tr>
      <w:tr w:rsidR="00FF7799" w:rsidRPr="00E73F6F" w14:paraId="7EE1D509" w14:textId="77777777" w:rsidTr="008E038E">
        <w:trPr>
          <w:trHeight w:val="244"/>
        </w:trPr>
        <w:tc>
          <w:tcPr>
            <w:tcW w:w="391" w:type="pct"/>
          </w:tcPr>
          <w:p w14:paraId="1C0CFA68" w14:textId="77777777" w:rsidR="00FF7799" w:rsidRPr="00E73F6F" w:rsidRDefault="00FF7799" w:rsidP="00F3090F">
            <w:pPr>
              <w:pStyle w:val="StandardText"/>
              <w:jc w:val="center"/>
              <w:rPr>
                <w:lang w:val="de-DE"/>
              </w:rPr>
            </w:pPr>
            <w:r w:rsidRPr="00E73F6F">
              <w:rPr>
                <w:spacing w:val="-5"/>
                <w:lang w:val="de-DE"/>
              </w:rPr>
              <w:t>28</w:t>
            </w:r>
          </w:p>
        </w:tc>
        <w:tc>
          <w:tcPr>
            <w:tcW w:w="1720" w:type="pct"/>
          </w:tcPr>
          <w:p w14:paraId="38EF26B9" w14:textId="77777777" w:rsidR="00FF7799" w:rsidRPr="00E73F6F" w:rsidRDefault="00FF7799" w:rsidP="00F3090F">
            <w:pPr>
              <w:pStyle w:val="StandardText"/>
              <w:jc w:val="left"/>
              <w:rPr>
                <w:lang w:val="de-DE"/>
              </w:rPr>
            </w:pPr>
            <w:r w:rsidRPr="00E73F6F">
              <w:rPr>
                <w:spacing w:val="-2"/>
                <w:lang w:val="de-DE"/>
              </w:rPr>
              <w:t>Malta</w:t>
            </w:r>
          </w:p>
        </w:tc>
        <w:tc>
          <w:tcPr>
            <w:tcW w:w="963" w:type="pct"/>
          </w:tcPr>
          <w:p w14:paraId="49AD50DC" w14:textId="77777777" w:rsidR="00FF7799" w:rsidRPr="00E73F6F" w:rsidRDefault="00FF7799" w:rsidP="00F3090F">
            <w:pPr>
              <w:pStyle w:val="StandardText"/>
              <w:jc w:val="center"/>
              <w:rPr>
                <w:lang w:val="de-DE"/>
              </w:rPr>
            </w:pPr>
            <w:r w:rsidRPr="00E73F6F">
              <w:rPr>
                <w:spacing w:val="-5"/>
                <w:lang w:val="de-DE"/>
              </w:rPr>
              <w:t>6.4</w:t>
            </w:r>
          </w:p>
        </w:tc>
        <w:tc>
          <w:tcPr>
            <w:tcW w:w="963" w:type="pct"/>
          </w:tcPr>
          <w:p w14:paraId="1903F6F8" w14:textId="77777777" w:rsidR="00FF7799" w:rsidRPr="00E73F6F" w:rsidRDefault="00FF7799" w:rsidP="00F3090F">
            <w:pPr>
              <w:pStyle w:val="StandardText"/>
              <w:jc w:val="center"/>
              <w:rPr>
                <w:lang w:val="de-DE"/>
              </w:rPr>
            </w:pPr>
            <w:r w:rsidRPr="00E73F6F">
              <w:rPr>
                <w:lang w:val="de-DE"/>
              </w:rPr>
              <w:t>5.4 -</w:t>
            </w:r>
            <w:r w:rsidRPr="00E73F6F">
              <w:rPr>
                <w:spacing w:val="-3"/>
                <w:lang w:val="de-DE"/>
              </w:rPr>
              <w:t xml:space="preserve"> </w:t>
            </w:r>
            <w:r w:rsidRPr="00E73F6F">
              <w:rPr>
                <w:spacing w:val="-5"/>
                <w:lang w:val="de-DE"/>
              </w:rPr>
              <w:t>7.3</w:t>
            </w:r>
          </w:p>
        </w:tc>
        <w:tc>
          <w:tcPr>
            <w:tcW w:w="963" w:type="pct"/>
          </w:tcPr>
          <w:p w14:paraId="482642EA" w14:textId="77777777" w:rsidR="00FF7799" w:rsidRPr="00E73F6F" w:rsidRDefault="00FF7799" w:rsidP="00F3090F">
            <w:pPr>
              <w:pStyle w:val="StandardText"/>
              <w:jc w:val="center"/>
              <w:rPr>
                <w:lang w:val="de-DE"/>
              </w:rPr>
            </w:pPr>
            <w:r w:rsidRPr="00E73F6F">
              <w:rPr>
                <w:lang w:val="de-DE"/>
              </w:rPr>
              <w:t>4</w:t>
            </w:r>
          </w:p>
        </w:tc>
      </w:tr>
      <w:tr w:rsidR="00FF7799" w:rsidRPr="00E73F6F" w14:paraId="7F162836" w14:textId="77777777" w:rsidTr="008E038E">
        <w:trPr>
          <w:trHeight w:val="244"/>
        </w:trPr>
        <w:tc>
          <w:tcPr>
            <w:tcW w:w="391" w:type="pct"/>
          </w:tcPr>
          <w:p w14:paraId="38B6A5CB" w14:textId="77777777" w:rsidR="00FF7799" w:rsidRPr="00E73F6F" w:rsidRDefault="00FF7799" w:rsidP="00F3090F">
            <w:pPr>
              <w:pStyle w:val="StandardText"/>
              <w:jc w:val="center"/>
              <w:rPr>
                <w:lang w:val="de-DE"/>
              </w:rPr>
            </w:pPr>
          </w:p>
        </w:tc>
        <w:tc>
          <w:tcPr>
            <w:tcW w:w="1720" w:type="pct"/>
          </w:tcPr>
          <w:p w14:paraId="52032966" w14:textId="77777777" w:rsidR="00FF7799" w:rsidRPr="00E73F6F" w:rsidRDefault="00FF7799" w:rsidP="00F3090F">
            <w:pPr>
              <w:pStyle w:val="StandardText"/>
              <w:jc w:val="left"/>
              <w:rPr>
                <w:lang w:val="de-DE"/>
              </w:rPr>
            </w:pPr>
            <w:r w:rsidRPr="00E73F6F">
              <w:rPr>
                <w:spacing w:val="-2"/>
                <w:lang w:val="de-DE"/>
              </w:rPr>
              <w:t>Slowenien</w:t>
            </w:r>
          </w:p>
        </w:tc>
        <w:tc>
          <w:tcPr>
            <w:tcW w:w="963" w:type="pct"/>
          </w:tcPr>
          <w:p w14:paraId="5E5800ED" w14:textId="77777777" w:rsidR="00FF7799" w:rsidRPr="00E73F6F" w:rsidRDefault="00FF7799" w:rsidP="00F3090F">
            <w:pPr>
              <w:pStyle w:val="StandardText"/>
              <w:jc w:val="center"/>
              <w:rPr>
                <w:lang w:val="de-DE"/>
              </w:rPr>
            </w:pPr>
            <w:r w:rsidRPr="00E73F6F">
              <w:rPr>
                <w:spacing w:val="-5"/>
                <w:lang w:val="de-DE"/>
              </w:rPr>
              <w:t>6.4</w:t>
            </w:r>
          </w:p>
        </w:tc>
        <w:tc>
          <w:tcPr>
            <w:tcW w:w="963" w:type="pct"/>
          </w:tcPr>
          <w:p w14:paraId="712859E3" w14:textId="77777777" w:rsidR="00FF7799" w:rsidRPr="00E73F6F" w:rsidRDefault="00FF7799" w:rsidP="00F3090F">
            <w:pPr>
              <w:pStyle w:val="StandardText"/>
              <w:jc w:val="center"/>
              <w:rPr>
                <w:lang w:val="de-DE"/>
              </w:rPr>
            </w:pPr>
            <w:r w:rsidRPr="00E73F6F">
              <w:rPr>
                <w:lang w:val="de-DE"/>
              </w:rPr>
              <w:t>5.7 -</w:t>
            </w:r>
            <w:r w:rsidRPr="00E73F6F">
              <w:rPr>
                <w:spacing w:val="-3"/>
                <w:lang w:val="de-DE"/>
              </w:rPr>
              <w:t xml:space="preserve"> </w:t>
            </w:r>
            <w:r w:rsidRPr="00E73F6F">
              <w:rPr>
                <w:spacing w:val="-5"/>
                <w:lang w:val="de-DE"/>
              </w:rPr>
              <w:t>7.0</w:t>
            </w:r>
          </w:p>
        </w:tc>
        <w:tc>
          <w:tcPr>
            <w:tcW w:w="963" w:type="pct"/>
          </w:tcPr>
          <w:p w14:paraId="340D58D8" w14:textId="77777777" w:rsidR="00FF7799" w:rsidRPr="00E73F6F" w:rsidRDefault="00FF7799" w:rsidP="00F3090F">
            <w:pPr>
              <w:pStyle w:val="StandardText"/>
              <w:jc w:val="center"/>
              <w:rPr>
                <w:lang w:val="de-DE"/>
              </w:rPr>
            </w:pPr>
            <w:r w:rsidRPr="00E73F6F">
              <w:rPr>
                <w:lang w:val="de-DE"/>
              </w:rPr>
              <w:t>8</w:t>
            </w:r>
          </w:p>
        </w:tc>
      </w:tr>
      <w:tr w:rsidR="00FF7799" w:rsidRPr="00E73F6F" w14:paraId="49C98E04" w14:textId="77777777" w:rsidTr="008E038E">
        <w:trPr>
          <w:trHeight w:val="239"/>
        </w:trPr>
        <w:tc>
          <w:tcPr>
            <w:tcW w:w="391" w:type="pct"/>
          </w:tcPr>
          <w:p w14:paraId="1011A657" w14:textId="77777777" w:rsidR="00FF7799" w:rsidRPr="00E73F6F" w:rsidRDefault="00FF7799" w:rsidP="00F3090F">
            <w:pPr>
              <w:pStyle w:val="StandardText"/>
              <w:jc w:val="center"/>
              <w:rPr>
                <w:lang w:val="de-DE"/>
              </w:rPr>
            </w:pPr>
          </w:p>
        </w:tc>
        <w:tc>
          <w:tcPr>
            <w:tcW w:w="1720" w:type="pct"/>
          </w:tcPr>
          <w:p w14:paraId="102721DD" w14:textId="77777777" w:rsidR="00FF7799" w:rsidRPr="00E73F6F" w:rsidRDefault="00FF7799" w:rsidP="00F3090F">
            <w:pPr>
              <w:pStyle w:val="StandardText"/>
              <w:jc w:val="left"/>
              <w:rPr>
                <w:lang w:val="de-DE"/>
              </w:rPr>
            </w:pPr>
            <w:r w:rsidRPr="00E73F6F">
              <w:rPr>
                <w:spacing w:val="-2"/>
                <w:lang w:val="de-DE"/>
              </w:rPr>
              <w:t>Uruguay</w:t>
            </w:r>
          </w:p>
        </w:tc>
        <w:tc>
          <w:tcPr>
            <w:tcW w:w="963" w:type="pct"/>
          </w:tcPr>
          <w:p w14:paraId="484ACEFC" w14:textId="77777777" w:rsidR="00FF7799" w:rsidRPr="00E73F6F" w:rsidRDefault="00FF7799" w:rsidP="00F3090F">
            <w:pPr>
              <w:pStyle w:val="StandardText"/>
              <w:jc w:val="center"/>
              <w:rPr>
                <w:lang w:val="de-DE"/>
              </w:rPr>
            </w:pPr>
            <w:r w:rsidRPr="00E73F6F">
              <w:rPr>
                <w:spacing w:val="-5"/>
                <w:lang w:val="de-DE"/>
              </w:rPr>
              <w:t>6.4</w:t>
            </w:r>
          </w:p>
        </w:tc>
        <w:tc>
          <w:tcPr>
            <w:tcW w:w="963" w:type="pct"/>
          </w:tcPr>
          <w:p w14:paraId="78F3801F" w14:textId="77777777" w:rsidR="00FF7799" w:rsidRPr="00E73F6F" w:rsidRDefault="00FF7799" w:rsidP="00F3090F">
            <w:pPr>
              <w:pStyle w:val="StandardText"/>
              <w:jc w:val="center"/>
              <w:rPr>
                <w:lang w:val="de-DE"/>
              </w:rPr>
            </w:pPr>
            <w:r w:rsidRPr="00E73F6F">
              <w:rPr>
                <w:lang w:val="de-DE"/>
              </w:rPr>
              <w:t>5.9 -</w:t>
            </w:r>
            <w:r w:rsidRPr="00E73F6F">
              <w:rPr>
                <w:spacing w:val="-3"/>
                <w:lang w:val="de-DE"/>
              </w:rPr>
              <w:t xml:space="preserve"> </w:t>
            </w:r>
            <w:r w:rsidRPr="00E73F6F">
              <w:rPr>
                <w:spacing w:val="-5"/>
                <w:lang w:val="de-DE"/>
              </w:rPr>
              <w:t>7.0</w:t>
            </w:r>
          </w:p>
        </w:tc>
        <w:tc>
          <w:tcPr>
            <w:tcW w:w="963" w:type="pct"/>
          </w:tcPr>
          <w:p w14:paraId="308718A7" w14:textId="77777777" w:rsidR="00FF7799" w:rsidRPr="00E73F6F" w:rsidRDefault="00FF7799" w:rsidP="00F3090F">
            <w:pPr>
              <w:pStyle w:val="StandardText"/>
              <w:jc w:val="center"/>
              <w:rPr>
                <w:lang w:val="de-DE"/>
              </w:rPr>
            </w:pPr>
            <w:r w:rsidRPr="00E73F6F">
              <w:rPr>
                <w:lang w:val="de-DE"/>
              </w:rPr>
              <w:t>5</w:t>
            </w:r>
          </w:p>
        </w:tc>
      </w:tr>
      <w:tr w:rsidR="00FF7799" w:rsidRPr="00E73F6F" w14:paraId="309D7751" w14:textId="77777777" w:rsidTr="008E038E">
        <w:trPr>
          <w:trHeight w:val="400"/>
        </w:trPr>
        <w:tc>
          <w:tcPr>
            <w:tcW w:w="391" w:type="pct"/>
          </w:tcPr>
          <w:p w14:paraId="545A1701" w14:textId="77777777" w:rsidR="00FF7799" w:rsidRPr="00E73F6F" w:rsidRDefault="00FF7799" w:rsidP="00F3090F">
            <w:pPr>
              <w:pStyle w:val="StandardText"/>
              <w:jc w:val="center"/>
              <w:rPr>
                <w:lang w:val="de-DE"/>
              </w:rPr>
            </w:pPr>
            <w:r w:rsidRPr="00E73F6F">
              <w:rPr>
                <w:spacing w:val="-5"/>
                <w:lang w:val="de-DE"/>
              </w:rPr>
              <w:t>31</w:t>
            </w:r>
          </w:p>
        </w:tc>
        <w:tc>
          <w:tcPr>
            <w:tcW w:w="1720" w:type="pct"/>
          </w:tcPr>
          <w:p w14:paraId="1F315C41" w14:textId="77777777" w:rsidR="00FF7799" w:rsidRPr="00E73F6F" w:rsidRDefault="00FF7799" w:rsidP="00F3090F">
            <w:pPr>
              <w:pStyle w:val="StandardText"/>
              <w:jc w:val="left"/>
              <w:rPr>
                <w:lang w:val="de-DE"/>
              </w:rPr>
            </w:pPr>
            <w:r w:rsidRPr="00E73F6F">
              <w:rPr>
                <w:spacing w:val="-2"/>
                <w:lang w:val="de-DE"/>
              </w:rPr>
              <w:t>Vereinigte</w:t>
            </w:r>
            <w:r w:rsidRPr="00E73F6F">
              <w:rPr>
                <w:lang w:val="de-DE"/>
              </w:rPr>
              <w:t xml:space="preserve"> </w:t>
            </w:r>
            <w:r w:rsidRPr="00E73F6F">
              <w:rPr>
                <w:spacing w:val="-2"/>
                <w:lang w:val="de-DE"/>
              </w:rPr>
              <w:t>Arabische</w:t>
            </w:r>
            <w:r w:rsidRPr="00E73F6F">
              <w:rPr>
                <w:spacing w:val="40"/>
                <w:lang w:val="de-DE"/>
              </w:rPr>
              <w:t xml:space="preserve"> </w:t>
            </w:r>
            <w:r w:rsidRPr="00E73F6F">
              <w:rPr>
                <w:spacing w:val="-2"/>
                <w:lang w:val="de-DE"/>
              </w:rPr>
              <w:t>Emirate</w:t>
            </w:r>
          </w:p>
        </w:tc>
        <w:tc>
          <w:tcPr>
            <w:tcW w:w="963" w:type="pct"/>
          </w:tcPr>
          <w:p w14:paraId="43ACE9C1" w14:textId="77777777" w:rsidR="00FF7799" w:rsidRPr="00E73F6F" w:rsidRDefault="00FF7799" w:rsidP="00F3090F">
            <w:pPr>
              <w:pStyle w:val="StandardText"/>
              <w:jc w:val="center"/>
              <w:rPr>
                <w:lang w:val="de-DE"/>
              </w:rPr>
            </w:pPr>
            <w:r w:rsidRPr="00E73F6F">
              <w:rPr>
                <w:spacing w:val="-5"/>
                <w:lang w:val="de-DE"/>
              </w:rPr>
              <w:t>6.2</w:t>
            </w:r>
          </w:p>
        </w:tc>
        <w:tc>
          <w:tcPr>
            <w:tcW w:w="963" w:type="pct"/>
          </w:tcPr>
          <w:p w14:paraId="5B90572B" w14:textId="77777777" w:rsidR="00FF7799" w:rsidRPr="00E73F6F" w:rsidRDefault="00FF7799" w:rsidP="00F3090F">
            <w:pPr>
              <w:pStyle w:val="StandardText"/>
              <w:jc w:val="center"/>
              <w:rPr>
                <w:lang w:val="de-DE"/>
              </w:rPr>
            </w:pPr>
            <w:r w:rsidRPr="00E73F6F">
              <w:rPr>
                <w:lang w:val="de-DE"/>
              </w:rPr>
              <w:t>5.6 -</w:t>
            </w:r>
            <w:r w:rsidRPr="00E73F6F">
              <w:rPr>
                <w:spacing w:val="-3"/>
                <w:lang w:val="de-DE"/>
              </w:rPr>
              <w:t xml:space="preserve"> </w:t>
            </w:r>
            <w:r w:rsidRPr="00E73F6F">
              <w:rPr>
                <w:spacing w:val="-5"/>
                <w:lang w:val="de-DE"/>
              </w:rPr>
              <w:t>6.9</w:t>
            </w:r>
          </w:p>
        </w:tc>
        <w:tc>
          <w:tcPr>
            <w:tcW w:w="963" w:type="pct"/>
          </w:tcPr>
          <w:p w14:paraId="4B6D0674" w14:textId="77777777" w:rsidR="00FF7799" w:rsidRPr="00E73F6F" w:rsidRDefault="00FF7799" w:rsidP="00F3090F">
            <w:pPr>
              <w:pStyle w:val="StandardText"/>
              <w:jc w:val="center"/>
              <w:rPr>
                <w:lang w:val="de-DE"/>
              </w:rPr>
            </w:pPr>
            <w:r w:rsidRPr="00E73F6F">
              <w:rPr>
                <w:lang w:val="de-DE"/>
              </w:rPr>
              <w:t>5</w:t>
            </w:r>
          </w:p>
        </w:tc>
      </w:tr>
      <w:tr w:rsidR="00FF7799" w:rsidRPr="00E73F6F" w14:paraId="7922ED3F" w14:textId="77777777" w:rsidTr="008E038E">
        <w:trPr>
          <w:trHeight w:val="239"/>
        </w:trPr>
        <w:tc>
          <w:tcPr>
            <w:tcW w:w="391" w:type="pct"/>
          </w:tcPr>
          <w:p w14:paraId="23F73CD6" w14:textId="77777777" w:rsidR="00FF7799" w:rsidRPr="00E73F6F" w:rsidRDefault="00FF7799" w:rsidP="00F3090F">
            <w:pPr>
              <w:pStyle w:val="StandardText"/>
              <w:jc w:val="center"/>
              <w:rPr>
                <w:lang w:val="de-DE"/>
              </w:rPr>
            </w:pPr>
            <w:r w:rsidRPr="00E73F6F">
              <w:rPr>
                <w:spacing w:val="-5"/>
                <w:lang w:val="de-DE"/>
              </w:rPr>
              <w:t>32</w:t>
            </w:r>
          </w:p>
        </w:tc>
        <w:tc>
          <w:tcPr>
            <w:tcW w:w="1720" w:type="pct"/>
          </w:tcPr>
          <w:p w14:paraId="5EE5B27C" w14:textId="77777777" w:rsidR="00FF7799" w:rsidRPr="00E73F6F" w:rsidRDefault="00FF7799" w:rsidP="00F3090F">
            <w:pPr>
              <w:pStyle w:val="StandardText"/>
              <w:jc w:val="left"/>
              <w:rPr>
                <w:lang w:val="de-DE"/>
              </w:rPr>
            </w:pPr>
            <w:r w:rsidRPr="00E73F6F">
              <w:rPr>
                <w:spacing w:val="-2"/>
                <w:lang w:val="de-DE"/>
              </w:rPr>
              <w:t>Bhutan</w:t>
            </w:r>
          </w:p>
        </w:tc>
        <w:tc>
          <w:tcPr>
            <w:tcW w:w="963" w:type="pct"/>
          </w:tcPr>
          <w:p w14:paraId="2CFD2999" w14:textId="77777777" w:rsidR="00FF7799" w:rsidRPr="00E73F6F" w:rsidRDefault="00FF7799" w:rsidP="00F3090F">
            <w:pPr>
              <w:pStyle w:val="StandardText"/>
              <w:jc w:val="center"/>
              <w:rPr>
                <w:lang w:val="de-DE"/>
              </w:rPr>
            </w:pPr>
            <w:r w:rsidRPr="00E73F6F">
              <w:rPr>
                <w:spacing w:val="-5"/>
                <w:lang w:val="de-DE"/>
              </w:rPr>
              <w:t>6.0</w:t>
            </w:r>
          </w:p>
        </w:tc>
        <w:tc>
          <w:tcPr>
            <w:tcW w:w="963" w:type="pct"/>
          </w:tcPr>
          <w:p w14:paraId="0731914D" w14:textId="77777777" w:rsidR="00FF7799" w:rsidRPr="00E73F6F" w:rsidRDefault="00FF7799" w:rsidP="00F3090F">
            <w:pPr>
              <w:pStyle w:val="StandardText"/>
              <w:jc w:val="center"/>
              <w:rPr>
                <w:lang w:val="de-DE"/>
              </w:rPr>
            </w:pPr>
            <w:r w:rsidRPr="00E73F6F">
              <w:rPr>
                <w:lang w:val="de-DE"/>
              </w:rPr>
              <w:t>4.1 -</w:t>
            </w:r>
            <w:r w:rsidRPr="00E73F6F">
              <w:rPr>
                <w:spacing w:val="-3"/>
                <w:lang w:val="de-DE"/>
              </w:rPr>
              <w:t xml:space="preserve"> </w:t>
            </w:r>
            <w:r w:rsidRPr="00E73F6F">
              <w:rPr>
                <w:spacing w:val="-5"/>
                <w:lang w:val="de-DE"/>
              </w:rPr>
              <w:t>7.3</w:t>
            </w:r>
          </w:p>
        </w:tc>
        <w:tc>
          <w:tcPr>
            <w:tcW w:w="963" w:type="pct"/>
          </w:tcPr>
          <w:p w14:paraId="139FEBBA" w14:textId="77777777" w:rsidR="00FF7799" w:rsidRPr="00E73F6F" w:rsidRDefault="00FF7799" w:rsidP="00F3090F">
            <w:pPr>
              <w:pStyle w:val="StandardText"/>
              <w:jc w:val="center"/>
              <w:rPr>
                <w:lang w:val="de-DE"/>
              </w:rPr>
            </w:pPr>
            <w:r w:rsidRPr="00E73F6F">
              <w:rPr>
                <w:lang w:val="de-DE"/>
              </w:rPr>
              <w:t>3</w:t>
            </w:r>
          </w:p>
        </w:tc>
      </w:tr>
      <w:tr w:rsidR="00FF7799" w:rsidRPr="00E73F6F" w14:paraId="7F5BF770" w14:textId="77777777" w:rsidTr="008E038E">
        <w:trPr>
          <w:trHeight w:val="244"/>
        </w:trPr>
        <w:tc>
          <w:tcPr>
            <w:tcW w:w="391" w:type="pct"/>
          </w:tcPr>
          <w:p w14:paraId="4BF4904F" w14:textId="77777777" w:rsidR="00FF7799" w:rsidRPr="00E73F6F" w:rsidRDefault="00FF7799" w:rsidP="00F3090F">
            <w:pPr>
              <w:pStyle w:val="StandardText"/>
              <w:jc w:val="center"/>
              <w:rPr>
                <w:lang w:val="de-DE"/>
              </w:rPr>
            </w:pPr>
          </w:p>
        </w:tc>
        <w:tc>
          <w:tcPr>
            <w:tcW w:w="1720" w:type="pct"/>
          </w:tcPr>
          <w:p w14:paraId="0050FB73" w14:textId="77777777" w:rsidR="00FF7799" w:rsidRPr="00E73F6F" w:rsidRDefault="00FF7799" w:rsidP="00F3090F">
            <w:pPr>
              <w:pStyle w:val="StandardText"/>
              <w:jc w:val="left"/>
              <w:rPr>
                <w:lang w:val="de-DE"/>
              </w:rPr>
            </w:pPr>
            <w:r w:rsidRPr="00E73F6F">
              <w:rPr>
                <w:spacing w:val="-2"/>
                <w:lang w:val="de-DE"/>
              </w:rPr>
              <w:t>Katar</w:t>
            </w:r>
          </w:p>
        </w:tc>
        <w:tc>
          <w:tcPr>
            <w:tcW w:w="963" w:type="pct"/>
          </w:tcPr>
          <w:p w14:paraId="3DCB0899" w14:textId="77777777" w:rsidR="00FF7799" w:rsidRPr="00E73F6F" w:rsidRDefault="00FF7799" w:rsidP="00F3090F">
            <w:pPr>
              <w:pStyle w:val="StandardText"/>
              <w:jc w:val="center"/>
              <w:rPr>
                <w:lang w:val="de-DE"/>
              </w:rPr>
            </w:pPr>
            <w:r w:rsidRPr="00E73F6F">
              <w:rPr>
                <w:spacing w:val="-5"/>
                <w:lang w:val="de-DE"/>
              </w:rPr>
              <w:t>6.0</w:t>
            </w:r>
          </w:p>
        </w:tc>
        <w:tc>
          <w:tcPr>
            <w:tcW w:w="963" w:type="pct"/>
          </w:tcPr>
          <w:p w14:paraId="3115BAAA" w14:textId="77777777" w:rsidR="00FF7799" w:rsidRPr="00E73F6F" w:rsidRDefault="00FF7799" w:rsidP="00F3090F">
            <w:pPr>
              <w:pStyle w:val="StandardText"/>
              <w:jc w:val="center"/>
              <w:rPr>
                <w:lang w:val="de-DE"/>
              </w:rPr>
            </w:pPr>
            <w:r w:rsidRPr="00E73F6F">
              <w:rPr>
                <w:lang w:val="de-DE"/>
              </w:rPr>
              <w:t>5.6 -</w:t>
            </w:r>
            <w:r w:rsidRPr="00E73F6F">
              <w:rPr>
                <w:spacing w:val="-3"/>
                <w:lang w:val="de-DE"/>
              </w:rPr>
              <w:t xml:space="preserve"> </w:t>
            </w:r>
            <w:r w:rsidRPr="00E73F6F">
              <w:rPr>
                <w:spacing w:val="-5"/>
                <w:lang w:val="de-DE"/>
              </w:rPr>
              <w:t>6.5</w:t>
            </w:r>
          </w:p>
        </w:tc>
        <w:tc>
          <w:tcPr>
            <w:tcW w:w="963" w:type="pct"/>
          </w:tcPr>
          <w:p w14:paraId="29A6CEE5" w14:textId="77777777" w:rsidR="00FF7799" w:rsidRPr="00E73F6F" w:rsidRDefault="00FF7799" w:rsidP="00F3090F">
            <w:pPr>
              <w:pStyle w:val="StandardText"/>
              <w:jc w:val="center"/>
              <w:rPr>
                <w:lang w:val="de-DE"/>
              </w:rPr>
            </w:pPr>
            <w:r w:rsidRPr="00E73F6F">
              <w:rPr>
                <w:lang w:val="de-DE"/>
              </w:rPr>
              <w:t>5</w:t>
            </w:r>
          </w:p>
        </w:tc>
      </w:tr>
      <w:tr w:rsidR="00FF7799" w:rsidRPr="00E73F6F" w14:paraId="48AF3CFE" w14:textId="77777777" w:rsidTr="008E038E">
        <w:trPr>
          <w:trHeight w:val="239"/>
        </w:trPr>
        <w:tc>
          <w:tcPr>
            <w:tcW w:w="391" w:type="pct"/>
          </w:tcPr>
          <w:p w14:paraId="06307223" w14:textId="77777777" w:rsidR="00FF7799" w:rsidRPr="00E73F6F" w:rsidRDefault="00FF7799" w:rsidP="00F3090F">
            <w:pPr>
              <w:pStyle w:val="StandardText"/>
              <w:jc w:val="center"/>
              <w:rPr>
                <w:lang w:val="de-DE"/>
              </w:rPr>
            </w:pPr>
            <w:r w:rsidRPr="00E73F6F">
              <w:rPr>
                <w:spacing w:val="-5"/>
                <w:lang w:val="de-DE"/>
              </w:rPr>
              <w:t>34</w:t>
            </w:r>
          </w:p>
        </w:tc>
        <w:tc>
          <w:tcPr>
            <w:tcW w:w="1720" w:type="pct"/>
          </w:tcPr>
          <w:p w14:paraId="0B97524E" w14:textId="77777777" w:rsidR="00FF7799" w:rsidRPr="00E73F6F" w:rsidRDefault="00FF7799" w:rsidP="00F3090F">
            <w:pPr>
              <w:pStyle w:val="StandardText"/>
              <w:jc w:val="left"/>
              <w:rPr>
                <w:lang w:val="de-DE"/>
              </w:rPr>
            </w:pPr>
            <w:r w:rsidRPr="00E73F6F">
              <w:rPr>
                <w:spacing w:val="-2"/>
                <w:lang w:val="de-DE"/>
              </w:rPr>
              <w:t>Israel</w:t>
            </w:r>
          </w:p>
        </w:tc>
        <w:tc>
          <w:tcPr>
            <w:tcW w:w="963" w:type="pct"/>
          </w:tcPr>
          <w:p w14:paraId="473D268B" w14:textId="77777777" w:rsidR="00FF7799" w:rsidRPr="00E73F6F" w:rsidRDefault="00FF7799" w:rsidP="00F3090F">
            <w:pPr>
              <w:pStyle w:val="StandardText"/>
              <w:jc w:val="center"/>
              <w:rPr>
                <w:lang w:val="de-DE"/>
              </w:rPr>
            </w:pPr>
            <w:r w:rsidRPr="00E73F6F">
              <w:rPr>
                <w:spacing w:val="-5"/>
                <w:lang w:val="de-DE"/>
              </w:rPr>
              <w:t>5.9</w:t>
            </w:r>
          </w:p>
        </w:tc>
        <w:tc>
          <w:tcPr>
            <w:tcW w:w="963" w:type="pct"/>
          </w:tcPr>
          <w:p w14:paraId="0FFC82C8" w14:textId="77777777" w:rsidR="00FF7799" w:rsidRPr="00E73F6F" w:rsidRDefault="00FF7799" w:rsidP="00F3090F">
            <w:pPr>
              <w:pStyle w:val="StandardText"/>
              <w:jc w:val="center"/>
              <w:rPr>
                <w:lang w:val="de-DE"/>
              </w:rPr>
            </w:pPr>
            <w:r w:rsidRPr="00E73F6F">
              <w:rPr>
                <w:lang w:val="de-DE"/>
              </w:rPr>
              <w:t>5.2 -</w:t>
            </w:r>
            <w:r w:rsidRPr="00E73F6F">
              <w:rPr>
                <w:spacing w:val="-3"/>
                <w:lang w:val="de-DE"/>
              </w:rPr>
              <w:t xml:space="preserve"> </w:t>
            </w:r>
            <w:r w:rsidRPr="00E73F6F">
              <w:rPr>
                <w:spacing w:val="-5"/>
                <w:lang w:val="de-DE"/>
              </w:rPr>
              <w:t>6.5</w:t>
            </w:r>
          </w:p>
        </w:tc>
        <w:tc>
          <w:tcPr>
            <w:tcW w:w="963" w:type="pct"/>
          </w:tcPr>
          <w:p w14:paraId="6531F5CA" w14:textId="77777777" w:rsidR="00FF7799" w:rsidRPr="00E73F6F" w:rsidRDefault="00FF7799" w:rsidP="00F3090F">
            <w:pPr>
              <w:pStyle w:val="StandardText"/>
              <w:jc w:val="center"/>
              <w:rPr>
                <w:lang w:val="de-DE"/>
              </w:rPr>
            </w:pPr>
            <w:r w:rsidRPr="00E73F6F">
              <w:rPr>
                <w:lang w:val="de-DE"/>
              </w:rPr>
              <w:t>7</w:t>
            </w:r>
          </w:p>
        </w:tc>
      </w:tr>
      <w:tr w:rsidR="00FF7799" w:rsidRPr="00E73F6F" w14:paraId="57D8B91F" w14:textId="77777777" w:rsidTr="008E038E">
        <w:trPr>
          <w:trHeight w:val="244"/>
        </w:trPr>
        <w:tc>
          <w:tcPr>
            <w:tcW w:w="391" w:type="pct"/>
          </w:tcPr>
          <w:p w14:paraId="05C3CAB9" w14:textId="77777777" w:rsidR="00FF7799" w:rsidRPr="00E73F6F" w:rsidRDefault="00FF7799" w:rsidP="00F3090F">
            <w:pPr>
              <w:pStyle w:val="StandardText"/>
              <w:jc w:val="center"/>
              <w:rPr>
                <w:lang w:val="de-DE"/>
              </w:rPr>
            </w:pPr>
          </w:p>
        </w:tc>
        <w:tc>
          <w:tcPr>
            <w:tcW w:w="1720" w:type="pct"/>
          </w:tcPr>
          <w:p w14:paraId="4344C4A4" w14:textId="77777777" w:rsidR="00FF7799" w:rsidRPr="00E73F6F" w:rsidRDefault="00FF7799" w:rsidP="00F3090F">
            <w:pPr>
              <w:pStyle w:val="StandardText"/>
              <w:jc w:val="left"/>
              <w:rPr>
                <w:lang w:val="de-DE"/>
              </w:rPr>
            </w:pPr>
            <w:r w:rsidRPr="00E73F6F">
              <w:rPr>
                <w:spacing w:val="-2"/>
                <w:lang w:val="de-DE"/>
              </w:rPr>
              <w:t>Taiwan</w:t>
            </w:r>
          </w:p>
        </w:tc>
        <w:tc>
          <w:tcPr>
            <w:tcW w:w="963" w:type="pct"/>
          </w:tcPr>
          <w:p w14:paraId="4038B293" w14:textId="77777777" w:rsidR="00FF7799" w:rsidRPr="00E73F6F" w:rsidRDefault="00FF7799" w:rsidP="00F3090F">
            <w:pPr>
              <w:pStyle w:val="StandardText"/>
              <w:jc w:val="center"/>
              <w:rPr>
                <w:lang w:val="de-DE"/>
              </w:rPr>
            </w:pPr>
            <w:r w:rsidRPr="00E73F6F">
              <w:rPr>
                <w:spacing w:val="-5"/>
                <w:lang w:val="de-DE"/>
              </w:rPr>
              <w:t>5.9</w:t>
            </w:r>
          </w:p>
        </w:tc>
        <w:tc>
          <w:tcPr>
            <w:tcW w:w="963" w:type="pct"/>
          </w:tcPr>
          <w:p w14:paraId="5A2799ED" w14:textId="77777777" w:rsidR="00FF7799" w:rsidRPr="00E73F6F" w:rsidRDefault="00FF7799" w:rsidP="00F3090F">
            <w:pPr>
              <w:pStyle w:val="StandardText"/>
              <w:jc w:val="center"/>
              <w:rPr>
                <w:lang w:val="de-DE"/>
              </w:rPr>
            </w:pPr>
            <w:r w:rsidRPr="00E73F6F">
              <w:rPr>
                <w:lang w:val="de-DE"/>
              </w:rPr>
              <w:t>5.6 -</w:t>
            </w:r>
            <w:r w:rsidRPr="00E73F6F">
              <w:rPr>
                <w:spacing w:val="-3"/>
                <w:lang w:val="de-DE"/>
              </w:rPr>
              <w:t xml:space="preserve"> </w:t>
            </w:r>
            <w:r w:rsidRPr="00E73F6F">
              <w:rPr>
                <w:spacing w:val="-5"/>
                <w:lang w:val="de-DE"/>
              </w:rPr>
              <w:t>6.2</w:t>
            </w:r>
          </w:p>
        </w:tc>
        <w:tc>
          <w:tcPr>
            <w:tcW w:w="963" w:type="pct"/>
          </w:tcPr>
          <w:p w14:paraId="3C4901D9" w14:textId="77777777" w:rsidR="00FF7799" w:rsidRPr="00E73F6F" w:rsidRDefault="00FF7799" w:rsidP="00F3090F">
            <w:pPr>
              <w:pStyle w:val="StandardText"/>
              <w:jc w:val="center"/>
              <w:rPr>
                <w:lang w:val="de-DE"/>
              </w:rPr>
            </w:pPr>
            <w:r w:rsidRPr="00E73F6F">
              <w:rPr>
                <w:lang w:val="de-DE"/>
              </w:rPr>
              <w:t>9</w:t>
            </w:r>
          </w:p>
        </w:tc>
      </w:tr>
      <w:tr w:rsidR="00FF7799" w:rsidRPr="00E73F6F" w14:paraId="101396CB" w14:textId="77777777" w:rsidTr="008E038E">
        <w:trPr>
          <w:trHeight w:val="239"/>
        </w:trPr>
        <w:tc>
          <w:tcPr>
            <w:tcW w:w="391" w:type="pct"/>
          </w:tcPr>
          <w:p w14:paraId="3042CB8E" w14:textId="77777777" w:rsidR="00FF7799" w:rsidRPr="00E73F6F" w:rsidRDefault="00FF7799" w:rsidP="00F3090F">
            <w:pPr>
              <w:pStyle w:val="StandardText"/>
              <w:jc w:val="center"/>
              <w:rPr>
                <w:lang w:val="de-DE"/>
              </w:rPr>
            </w:pPr>
            <w:r w:rsidRPr="00E73F6F">
              <w:rPr>
                <w:spacing w:val="-5"/>
                <w:lang w:val="de-DE"/>
              </w:rPr>
              <w:t>36</w:t>
            </w:r>
          </w:p>
        </w:tc>
        <w:tc>
          <w:tcPr>
            <w:tcW w:w="1720" w:type="pct"/>
          </w:tcPr>
          <w:p w14:paraId="0D87D2A4" w14:textId="77777777" w:rsidR="00FF7799" w:rsidRPr="00E73F6F" w:rsidRDefault="00FF7799" w:rsidP="00F3090F">
            <w:pPr>
              <w:pStyle w:val="StandardText"/>
              <w:jc w:val="left"/>
              <w:rPr>
                <w:lang w:val="de-DE"/>
              </w:rPr>
            </w:pPr>
            <w:r w:rsidRPr="00E73F6F">
              <w:rPr>
                <w:spacing w:val="-2"/>
                <w:lang w:val="de-DE"/>
              </w:rPr>
              <w:t>Bahrain</w:t>
            </w:r>
          </w:p>
        </w:tc>
        <w:tc>
          <w:tcPr>
            <w:tcW w:w="963" w:type="pct"/>
          </w:tcPr>
          <w:p w14:paraId="2EA89F11" w14:textId="77777777" w:rsidR="00FF7799" w:rsidRPr="00E73F6F" w:rsidRDefault="00FF7799" w:rsidP="00F3090F">
            <w:pPr>
              <w:pStyle w:val="StandardText"/>
              <w:jc w:val="center"/>
              <w:rPr>
                <w:lang w:val="de-DE"/>
              </w:rPr>
            </w:pPr>
            <w:r w:rsidRPr="00E73F6F">
              <w:rPr>
                <w:spacing w:val="-5"/>
                <w:lang w:val="de-DE"/>
              </w:rPr>
              <w:t>5.7</w:t>
            </w:r>
          </w:p>
        </w:tc>
        <w:tc>
          <w:tcPr>
            <w:tcW w:w="963" w:type="pct"/>
          </w:tcPr>
          <w:p w14:paraId="15EB1F94" w14:textId="77777777" w:rsidR="00FF7799" w:rsidRPr="00E73F6F" w:rsidRDefault="00FF7799" w:rsidP="00F3090F">
            <w:pPr>
              <w:pStyle w:val="StandardText"/>
              <w:jc w:val="center"/>
              <w:rPr>
                <w:lang w:val="de-DE"/>
              </w:rPr>
            </w:pPr>
            <w:r w:rsidRPr="00E73F6F">
              <w:rPr>
                <w:lang w:val="de-DE"/>
              </w:rPr>
              <w:t>5.3 -</w:t>
            </w:r>
            <w:r w:rsidRPr="00E73F6F">
              <w:rPr>
                <w:spacing w:val="-3"/>
                <w:lang w:val="de-DE"/>
              </w:rPr>
              <w:t xml:space="preserve"> </w:t>
            </w:r>
            <w:r w:rsidRPr="00E73F6F">
              <w:rPr>
                <w:spacing w:val="-5"/>
                <w:lang w:val="de-DE"/>
              </w:rPr>
              <w:t>6.2</w:t>
            </w:r>
          </w:p>
        </w:tc>
        <w:tc>
          <w:tcPr>
            <w:tcW w:w="963" w:type="pct"/>
          </w:tcPr>
          <w:p w14:paraId="7827206B" w14:textId="77777777" w:rsidR="00FF7799" w:rsidRPr="00E73F6F" w:rsidRDefault="00FF7799" w:rsidP="00F3090F">
            <w:pPr>
              <w:pStyle w:val="StandardText"/>
              <w:jc w:val="center"/>
              <w:rPr>
                <w:lang w:val="de-DE"/>
              </w:rPr>
            </w:pPr>
            <w:r w:rsidRPr="00E73F6F">
              <w:rPr>
                <w:lang w:val="de-DE"/>
              </w:rPr>
              <w:t>5</w:t>
            </w:r>
          </w:p>
        </w:tc>
      </w:tr>
      <w:tr w:rsidR="00FF7799" w:rsidRPr="00E73F6F" w14:paraId="2A9C1852" w14:textId="77777777" w:rsidTr="008E038E">
        <w:trPr>
          <w:trHeight w:val="241"/>
        </w:trPr>
        <w:tc>
          <w:tcPr>
            <w:tcW w:w="391" w:type="pct"/>
          </w:tcPr>
          <w:p w14:paraId="5A8CAF34" w14:textId="77777777" w:rsidR="00FF7799" w:rsidRPr="00E73F6F" w:rsidRDefault="00FF7799" w:rsidP="00F3090F">
            <w:pPr>
              <w:pStyle w:val="StandardText"/>
              <w:jc w:val="center"/>
              <w:rPr>
                <w:lang w:val="de-DE"/>
              </w:rPr>
            </w:pPr>
            <w:r w:rsidRPr="00E73F6F">
              <w:rPr>
                <w:spacing w:val="-5"/>
                <w:lang w:val="de-DE"/>
              </w:rPr>
              <w:t>37</w:t>
            </w:r>
          </w:p>
        </w:tc>
        <w:tc>
          <w:tcPr>
            <w:tcW w:w="1720" w:type="pct"/>
          </w:tcPr>
          <w:p w14:paraId="622A4657" w14:textId="77777777" w:rsidR="00FF7799" w:rsidRPr="00E73F6F" w:rsidRDefault="00FF7799" w:rsidP="00F3090F">
            <w:pPr>
              <w:pStyle w:val="StandardText"/>
              <w:jc w:val="left"/>
              <w:rPr>
                <w:lang w:val="de-DE"/>
              </w:rPr>
            </w:pPr>
            <w:r w:rsidRPr="00E73F6F">
              <w:rPr>
                <w:spacing w:val="-2"/>
                <w:lang w:val="de-DE"/>
              </w:rPr>
              <w:t>Botswana</w:t>
            </w:r>
          </w:p>
        </w:tc>
        <w:tc>
          <w:tcPr>
            <w:tcW w:w="963" w:type="pct"/>
          </w:tcPr>
          <w:p w14:paraId="0AD95964" w14:textId="77777777" w:rsidR="00FF7799" w:rsidRPr="00E73F6F" w:rsidRDefault="00FF7799" w:rsidP="00F3090F">
            <w:pPr>
              <w:pStyle w:val="StandardText"/>
              <w:jc w:val="center"/>
              <w:rPr>
                <w:lang w:val="de-DE"/>
              </w:rPr>
            </w:pPr>
            <w:r w:rsidRPr="00E73F6F">
              <w:rPr>
                <w:spacing w:val="-5"/>
                <w:lang w:val="de-DE"/>
              </w:rPr>
              <w:t>5.6</w:t>
            </w:r>
          </w:p>
        </w:tc>
        <w:tc>
          <w:tcPr>
            <w:tcW w:w="963" w:type="pct"/>
          </w:tcPr>
          <w:p w14:paraId="4F470660" w14:textId="77777777" w:rsidR="00FF7799" w:rsidRPr="00E73F6F" w:rsidRDefault="00FF7799" w:rsidP="00F3090F">
            <w:pPr>
              <w:pStyle w:val="StandardText"/>
              <w:jc w:val="center"/>
              <w:rPr>
                <w:lang w:val="de-DE"/>
              </w:rPr>
            </w:pPr>
            <w:r w:rsidRPr="00E73F6F">
              <w:rPr>
                <w:lang w:val="de-DE"/>
              </w:rPr>
              <w:t>4.8 -</w:t>
            </w:r>
            <w:r w:rsidRPr="00E73F6F">
              <w:rPr>
                <w:spacing w:val="-3"/>
                <w:lang w:val="de-DE"/>
              </w:rPr>
              <w:t xml:space="preserve"> </w:t>
            </w:r>
            <w:r w:rsidRPr="00E73F6F">
              <w:rPr>
                <w:spacing w:val="-5"/>
                <w:lang w:val="de-DE"/>
              </w:rPr>
              <w:t>6.6</w:t>
            </w:r>
          </w:p>
        </w:tc>
        <w:tc>
          <w:tcPr>
            <w:tcW w:w="963" w:type="pct"/>
          </w:tcPr>
          <w:p w14:paraId="72CC81CA" w14:textId="77777777" w:rsidR="00FF7799" w:rsidRPr="00E73F6F" w:rsidRDefault="00FF7799" w:rsidP="00F3090F">
            <w:pPr>
              <w:pStyle w:val="StandardText"/>
              <w:jc w:val="center"/>
              <w:rPr>
                <w:lang w:val="de-DE"/>
              </w:rPr>
            </w:pPr>
            <w:r w:rsidRPr="00E73F6F">
              <w:rPr>
                <w:lang w:val="de-DE"/>
              </w:rPr>
              <w:t>6</w:t>
            </w:r>
          </w:p>
        </w:tc>
      </w:tr>
      <w:tr w:rsidR="00FF7799" w:rsidRPr="00E73F6F" w14:paraId="63CBF98B" w14:textId="77777777" w:rsidTr="008E038E">
        <w:trPr>
          <w:trHeight w:val="242"/>
        </w:trPr>
        <w:tc>
          <w:tcPr>
            <w:tcW w:w="391" w:type="pct"/>
          </w:tcPr>
          <w:p w14:paraId="415DD808" w14:textId="77777777" w:rsidR="00FF7799" w:rsidRPr="00E73F6F" w:rsidRDefault="00FF7799" w:rsidP="00F3090F">
            <w:pPr>
              <w:pStyle w:val="StandardText"/>
              <w:jc w:val="center"/>
              <w:rPr>
                <w:lang w:val="de-DE"/>
              </w:rPr>
            </w:pPr>
          </w:p>
        </w:tc>
        <w:tc>
          <w:tcPr>
            <w:tcW w:w="1720" w:type="pct"/>
          </w:tcPr>
          <w:p w14:paraId="4835875E" w14:textId="77777777" w:rsidR="00FF7799" w:rsidRPr="00E73F6F" w:rsidRDefault="00FF7799" w:rsidP="00F3090F">
            <w:pPr>
              <w:pStyle w:val="StandardText"/>
              <w:jc w:val="left"/>
              <w:rPr>
                <w:lang w:val="de-DE"/>
              </w:rPr>
            </w:pPr>
            <w:r w:rsidRPr="00E73F6F">
              <w:rPr>
                <w:spacing w:val="-2"/>
                <w:lang w:val="de-DE"/>
              </w:rPr>
              <w:t>Zypern</w:t>
            </w:r>
          </w:p>
        </w:tc>
        <w:tc>
          <w:tcPr>
            <w:tcW w:w="963" w:type="pct"/>
          </w:tcPr>
          <w:p w14:paraId="48970088" w14:textId="77777777" w:rsidR="00FF7799" w:rsidRPr="00E73F6F" w:rsidRDefault="00FF7799" w:rsidP="00F3090F">
            <w:pPr>
              <w:pStyle w:val="StandardText"/>
              <w:jc w:val="center"/>
              <w:rPr>
                <w:lang w:val="de-DE"/>
              </w:rPr>
            </w:pPr>
            <w:r w:rsidRPr="00E73F6F">
              <w:rPr>
                <w:spacing w:val="-5"/>
                <w:lang w:val="de-DE"/>
              </w:rPr>
              <w:t>5.6</w:t>
            </w:r>
          </w:p>
        </w:tc>
        <w:tc>
          <w:tcPr>
            <w:tcW w:w="963" w:type="pct"/>
          </w:tcPr>
          <w:p w14:paraId="63FC4403" w14:textId="77777777" w:rsidR="00FF7799" w:rsidRPr="00E73F6F" w:rsidRDefault="00FF7799" w:rsidP="00F3090F">
            <w:pPr>
              <w:pStyle w:val="StandardText"/>
              <w:jc w:val="center"/>
              <w:rPr>
                <w:lang w:val="de-DE"/>
              </w:rPr>
            </w:pPr>
            <w:r w:rsidRPr="00E73F6F">
              <w:rPr>
                <w:lang w:val="de-DE"/>
              </w:rPr>
              <w:t>5.2 -</w:t>
            </w:r>
            <w:r w:rsidRPr="00E73F6F">
              <w:rPr>
                <w:spacing w:val="-3"/>
                <w:lang w:val="de-DE"/>
              </w:rPr>
              <w:t xml:space="preserve"> </w:t>
            </w:r>
            <w:r w:rsidRPr="00E73F6F">
              <w:rPr>
                <w:spacing w:val="-5"/>
                <w:lang w:val="de-DE"/>
              </w:rPr>
              <w:t>5.9</w:t>
            </w:r>
          </w:p>
        </w:tc>
        <w:tc>
          <w:tcPr>
            <w:tcW w:w="963" w:type="pct"/>
          </w:tcPr>
          <w:p w14:paraId="5FCA026D" w14:textId="77777777" w:rsidR="00FF7799" w:rsidRPr="00E73F6F" w:rsidRDefault="00FF7799" w:rsidP="00F3090F">
            <w:pPr>
              <w:pStyle w:val="StandardText"/>
              <w:jc w:val="center"/>
              <w:rPr>
                <w:lang w:val="de-DE"/>
              </w:rPr>
            </w:pPr>
            <w:r w:rsidRPr="00E73F6F">
              <w:rPr>
                <w:lang w:val="de-DE"/>
              </w:rPr>
              <w:t>4</w:t>
            </w:r>
          </w:p>
        </w:tc>
      </w:tr>
      <w:tr w:rsidR="00FF7799" w:rsidRPr="00E73F6F" w14:paraId="7E053563" w14:textId="77777777" w:rsidTr="008E038E">
        <w:trPr>
          <w:trHeight w:val="241"/>
        </w:trPr>
        <w:tc>
          <w:tcPr>
            <w:tcW w:w="391" w:type="pct"/>
          </w:tcPr>
          <w:p w14:paraId="2331438E" w14:textId="77777777" w:rsidR="00FF7799" w:rsidRPr="00E73F6F" w:rsidRDefault="00FF7799" w:rsidP="00F3090F">
            <w:pPr>
              <w:pStyle w:val="StandardText"/>
              <w:jc w:val="center"/>
              <w:rPr>
                <w:lang w:val="de-DE"/>
              </w:rPr>
            </w:pPr>
          </w:p>
        </w:tc>
        <w:tc>
          <w:tcPr>
            <w:tcW w:w="1720" w:type="pct"/>
          </w:tcPr>
          <w:p w14:paraId="33F9744E" w14:textId="77777777" w:rsidR="00FF7799" w:rsidRPr="00E73F6F" w:rsidRDefault="00FF7799" w:rsidP="00F3090F">
            <w:pPr>
              <w:pStyle w:val="StandardText"/>
              <w:jc w:val="left"/>
              <w:rPr>
                <w:lang w:val="de-DE"/>
              </w:rPr>
            </w:pPr>
            <w:r w:rsidRPr="00E73F6F">
              <w:rPr>
                <w:lang w:val="de-DE"/>
              </w:rPr>
              <w:t>Oman</w:t>
            </w:r>
          </w:p>
        </w:tc>
        <w:tc>
          <w:tcPr>
            <w:tcW w:w="963" w:type="pct"/>
          </w:tcPr>
          <w:p w14:paraId="03EFA663" w14:textId="77777777" w:rsidR="00FF7799" w:rsidRPr="00E73F6F" w:rsidRDefault="00FF7799" w:rsidP="00F3090F">
            <w:pPr>
              <w:pStyle w:val="StandardText"/>
              <w:jc w:val="center"/>
              <w:rPr>
                <w:lang w:val="de-DE"/>
              </w:rPr>
            </w:pPr>
            <w:r w:rsidRPr="00E73F6F">
              <w:rPr>
                <w:spacing w:val="-5"/>
                <w:lang w:val="de-DE"/>
              </w:rPr>
              <w:t>5.4</w:t>
            </w:r>
          </w:p>
        </w:tc>
        <w:tc>
          <w:tcPr>
            <w:tcW w:w="963" w:type="pct"/>
          </w:tcPr>
          <w:p w14:paraId="1BCED379" w14:textId="77777777" w:rsidR="00FF7799" w:rsidRPr="00E73F6F" w:rsidRDefault="00FF7799" w:rsidP="00F3090F">
            <w:pPr>
              <w:pStyle w:val="StandardText"/>
              <w:jc w:val="center"/>
              <w:rPr>
                <w:lang w:val="de-DE"/>
              </w:rPr>
            </w:pPr>
            <w:r w:rsidRPr="00E73F6F">
              <w:rPr>
                <w:lang w:val="de-DE"/>
              </w:rPr>
              <w:t>4.1 -</w:t>
            </w:r>
            <w:r w:rsidRPr="00E73F6F">
              <w:rPr>
                <w:spacing w:val="-3"/>
                <w:lang w:val="de-DE"/>
              </w:rPr>
              <w:t xml:space="preserve"> </w:t>
            </w:r>
            <w:r w:rsidRPr="00E73F6F">
              <w:rPr>
                <w:spacing w:val="-5"/>
                <w:lang w:val="de-DE"/>
              </w:rPr>
              <w:t>6.2</w:t>
            </w:r>
          </w:p>
        </w:tc>
        <w:tc>
          <w:tcPr>
            <w:tcW w:w="963" w:type="pct"/>
          </w:tcPr>
          <w:p w14:paraId="68938293" w14:textId="77777777" w:rsidR="00FF7799" w:rsidRPr="00E73F6F" w:rsidRDefault="00FF7799" w:rsidP="00F3090F">
            <w:pPr>
              <w:pStyle w:val="StandardText"/>
              <w:jc w:val="center"/>
              <w:rPr>
                <w:lang w:val="de-DE"/>
              </w:rPr>
            </w:pPr>
            <w:r w:rsidRPr="00E73F6F">
              <w:rPr>
                <w:lang w:val="de-DE"/>
              </w:rPr>
              <w:t>3</w:t>
            </w:r>
          </w:p>
        </w:tc>
      </w:tr>
      <w:tr w:rsidR="00FF7799" w:rsidRPr="00E73F6F" w14:paraId="5E22B25B" w14:textId="77777777" w:rsidTr="008E038E">
        <w:trPr>
          <w:trHeight w:val="242"/>
        </w:trPr>
        <w:tc>
          <w:tcPr>
            <w:tcW w:w="391" w:type="pct"/>
          </w:tcPr>
          <w:p w14:paraId="28DE1E10" w14:textId="77777777" w:rsidR="00FF7799" w:rsidRPr="00E73F6F" w:rsidRDefault="00FF7799" w:rsidP="00F3090F">
            <w:pPr>
              <w:pStyle w:val="StandardText"/>
              <w:jc w:val="center"/>
              <w:rPr>
                <w:lang w:val="de-DE"/>
              </w:rPr>
            </w:pPr>
            <w:r w:rsidRPr="00E73F6F">
              <w:rPr>
                <w:spacing w:val="-5"/>
                <w:lang w:val="de-DE"/>
              </w:rPr>
              <w:t>40</w:t>
            </w:r>
          </w:p>
        </w:tc>
        <w:tc>
          <w:tcPr>
            <w:tcW w:w="1720" w:type="pct"/>
          </w:tcPr>
          <w:p w14:paraId="6C341278" w14:textId="77777777" w:rsidR="00FF7799" w:rsidRPr="00E73F6F" w:rsidRDefault="00FF7799" w:rsidP="00F3090F">
            <w:pPr>
              <w:pStyle w:val="StandardText"/>
              <w:jc w:val="left"/>
              <w:rPr>
                <w:lang w:val="de-DE"/>
              </w:rPr>
            </w:pPr>
            <w:r w:rsidRPr="00E73F6F">
              <w:rPr>
                <w:spacing w:val="-2"/>
                <w:lang w:val="de-DE"/>
              </w:rPr>
              <w:t>Jordanien</w:t>
            </w:r>
          </w:p>
        </w:tc>
        <w:tc>
          <w:tcPr>
            <w:tcW w:w="963" w:type="pct"/>
          </w:tcPr>
          <w:p w14:paraId="24B56A73" w14:textId="77777777" w:rsidR="00FF7799" w:rsidRPr="00E73F6F" w:rsidRDefault="00FF7799" w:rsidP="00F3090F">
            <w:pPr>
              <w:pStyle w:val="StandardText"/>
              <w:jc w:val="center"/>
              <w:rPr>
                <w:lang w:val="de-DE"/>
              </w:rPr>
            </w:pPr>
            <w:r w:rsidRPr="00E73F6F">
              <w:rPr>
                <w:spacing w:val="-5"/>
                <w:lang w:val="de-DE"/>
              </w:rPr>
              <w:t>5.3</w:t>
            </w:r>
          </w:p>
        </w:tc>
        <w:tc>
          <w:tcPr>
            <w:tcW w:w="963" w:type="pct"/>
          </w:tcPr>
          <w:p w14:paraId="5EC18422" w14:textId="77777777" w:rsidR="00FF7799" w:rsidRPr="00E73F6F" w:rsidRDefault="00FF7799" w:rsidP="00F3090F">
            <w:pPr>
              <w:pStyle w:val="StandardText"/>
              <w:jc w:val="center"/>
              <w:rPr>
                <w:lang w:val="de-DE"/>
              </w:rPr>
            </w:pPr>
            <w:r w:rsidRPr="00E73F6F">
              <w:rPr>
                <w:lang w:val="de-DE"/>
              </w:rPr>
              <w:t>4.5 -</w:t>
            </w:r>
            <w:r w:rsidRPr="00E73F6F">
              <w:rPr>
                <w:spacing w:val="-3"/>
                <w:lang w:val="de-DE"/>
              </w:rPr>
              <w:t xml:space="preserve"> </w:t>
            </w:r>
            <w:r w:rsidRPr="00E73F6F">
              <w:rPr>
                <w:spacing w:val="-5"/>
                <w:lang w:val="de-DE"/>
              </w:rPr>
              <w:t>5.7</w:t>
            </w:r>
          </w:p>
        </w:tc>
        <w:tc>
          <w:tcPr>
            <w:tcW w:w="963" w:type="pct"/>
          </w:tcPr>
          <w:p w14:paraId="40F6FBB2" w14:textId="77777777" w:rsidR="00FF7799" w:rsidRPr="00E73F6F" w:rsidRDefault="00FF7799" w:rsidP="00F3090F">
            <w:pPr>
              <w:pStyle w:val="StandardText"/>
              <w:jc w:val="center"/>
              <w:rPr>
                <w:lang w:val="de-DE"/>
              </w:rPr>
            </w:pPr>
            <w:r w:rsidRPr="00E73F6F">
              <w:rPr>
                <w:lang w:val="de-DE"/>
              </w:rPr>
              <w:t>7</w:t>
            </w:r>
          </w:p>
        </w:tc>
      </w:tr>
      <w:tr w:rsidR="00FF7799" w:rsidRPr="00E73F6F" w14:paraId="7A995B8E" w14:textId="77777777" w:rsidTr="008E038E">
        <w:trPr>
          <w:trHeight w:val="241"/>
        </w:trPr>
        <w:tc>
          <w:tcPr>
            <w:tcW w:w="391" w:type="pct"/>
          </w:tcPr>
          <w:p w14:paraId="74212CF7" w14:textId="77777777" w:rsidR="00FF7799" w:rsidRPr="00E73F6F" w:rsidRDefault="00FF7799" w:rsidP="00F3090F">
            <w:pPr>
              <w:pStyle w:val="StandardText"/>
              <w:jc w:val="center"/>
              <w:rPr>
                <w:lang w:val="de-DE"/>
              </w:rPr>
            </w:pPr>
            <w:r w:rsidRPr="00E73F6F">
              <w:rPr>
                <w:spacing w:val="-5"/>
                <w:lang w:val="de-DE"/>
              </w:rPr>
              <w:lastRenderedPageBreak/>
              <w:t>41</w:t>
            </w:r>
          </w:p>
        </w:tc>
        <w:tc>
          <w:tcPr>
            <w:tcW w:w="1720" w:type="pct"/>
          </w:tcPr>
          <w:p w14:paraId="37C6ECC1" w14:textId="77777777" w:rsidR="00FF7799" w:rsidRPr="00E73F6F" w:rsidRDefault="00FF7799" w:rsidP="00F3090F">
            <w:pPr>
              <w:pStyle w:val="StandardText"/>
              <w:jc w:val="left"/>
              <w:rPr>
                <w:lang w:val="de-DE"/>
              </w:rPr>
            </w:pPr>
            <w:r w:rsidRPr="00E73F6F">
              <w:rPr>
                <w:spacing w:val="-2"/>
                <w:lang w:val="de-DE"/>
              </w:rPr>
              <w:t>Ungarn</w:t>
            </w:r>
          </w:p>
        </w:tc>
        <w:tc>
          <w:tcPr>
            <w:tcW w:w="963" w:type="pct"/>
          </w:tcPr>
          <w:p w14:paraId="657566AD" w14:textId="77777777" w:rsidR="00FF7799" w:rsidRPr="00E73F6F" w:rsidRDefault="00FF7799" w:rsidP="00F3090F">
            <w:pPr>
              <w:pStyle w:val="StandardText"/>
              <w:jc w:val="center"/>
              <w:rPr>
                <w:lang w:val="de-DE"/>
              </w:rPr>
            </w:pPr>
            <w:r w:rsidRPr="00E73F6F">
              <w:rPr>
                <w:spacing w:val="-5"/>
                <w:lang w:val="de-DE"/>
              </w:rPr>
              <w:t>5.2</w:t>
            </w:r>
          </w:p>
        </w:tc>
        <w:tc>
          <w:tcPr>
            <w:tcW w:w="963" w:type="pct"/>
          </w:tcPr>
          <w:p w14:paraId="63F0EE63" w14:textId="77777777" w:rsidR="00FF7799" w:rsidRPr="00E73F6F" w:rsidRDefault="00FF7799" w:rsidP="00F3090F">
            <w:pPr>
              <w:pStyle w:val="StandardText"/>
              <w:jc w:val="center"/>
              <w:rPr>
                <w:lang w:val="de-DE"/>
              </w:rPr>
            </w:pPr>
            <w:r w:rsidRPr="00E73F6F">
              <w:rPr>
                <w:lang w:val="de-DE"/>
              </w:rPr>
              <w:t>5.0 -</w:t>
            </w:r>
            <w:r w:rsidRPr="00E73F6F">
              <w:rPr>
                <w:spacing w:val="-3"/>
                <w:lang w:val="de-DE"/>
              </w:rPr>
              <w:t xml:space="preserve"> </w:t>
            </w:r>
            <w:r w:rsidRPr="00E73F6F">
              <w:rPr>
                <w:spacing w:val="-5"/>
                <w:lang w:val="de-DE"/>
              </w:rPr>
              <w:t>5.4</w:t>
            </w:r>
          </w:p>
        </w:tc>
        <w:tc>
          <w:tcPr>
            <w:tcW w:w="963" w:type="pct"/>
          </w:tcPr>
          <w:p w14:paraId="2CF62941" w14:textId="77777777" w:rsidR="00FF7799" w:rsidRPr="00E73F6F" w:rsidRDefault="00FF7799" w:rsidP="00F3090F">
            <w:pPr>
              <w:pStyle w:val="StandardText"/>
              <w:jc w:val="center"/>
              <w:rPr>
                <w:lang w:val="de-DE"/>
              </w:rPr>
            </w:pPr>
            <w:r w:rsidRPr="00E73F6F">
              <w:rPr>
                <w:lang w:val="de-DE"/>
              </w:rPr>
              <w:t>8</w:t>
            </w:r>
          </w:p>
        </w:tc>
      </w:tr>
      <w:tr w:rsidR="00FF7799" w:rsidRPr="00E73F6F" w14:paraId="44CAA54E" w14:textId="77777777" w:rsidTr="008E038E">
        <w:trPr>
          <w:trHeight w:val="242"/>
        </w:trPr>
        <w:tc>
          <w:tcPr>
            <w:tcW w:w="391" w:type="pct"/>
          </w:tcPr>
          <w:p w14:paraId="685A5896" w14:textId="77777777" w:rsidR="00FF7799" w:rsidRPr="00E73F6F" w:rsidRDefault="00FF7799" w:rsidP="00F3090F">
            <w:pPr>
              <w:pStyle w:val="StandardText"/>
              <w:jc w:val="center"/>
              <w:rPr>
                <w:lang w:val="de-DE"/>
              </w:rPr>
            </w:pPr>
            <w:r w:rsidRPr="00E73F6F">
              <w:rPr>
                <w:spacing w:val="-5"/>
                <w:lang w:val="de-DE"/>
              </w:rPr>
              <w:t>42</w:t>
            </w:r>
          </w:p>
        </w:tc>
        <w:tc>
          <w:tcPr>
            <w:tcW w:w="1720" w:type="pct"/>
          </w:tcPr>
          <w:p w14:paraId="6D055206" w14:textId="77777777" w:rsidR="00FF7799" w:rsidRPr="00E73F6F" w:rsidRDefault="00FF7799" w:rsidP="00F3090F">
            <w:pPr>
              <w:pStyle w:val="StandardText"/>
              <w:jc w:val="left"/>
              <w:rPr>
                <w:lang w:val="de-DE"/>
              </w:rPr>
            </w:pPr>
            <w:r w:rsidRPr="00E73F6F">
              <w:rPr>
                <w:spacing w:val="-2"/>
                <w:lang w:val="de-DE"/>
              </w:rPr>
              <w:t>Mauritius</w:t>
            </w:r>
          </w:p>
        </w:tc>
        <w:tc>
          <w:tcPr>
            <w:tcW w:w="963" w:type="pct"/>
          </w:tcPr>
          <w:p w14:paraId="0028A0BA" w14:textId="77777777" w:rsidR="00FF7799" w:rsidRPr="00E73F6F" w:rsidRDefault="00FF7799" w:rsidP="00F3090F">
            <w:pPr>
              <w:pStyle w:val="StandardText"/>
              <w:jc w:val="center"/>
              <w:rPr>
                <w:lang w:val="de-DE"/>
              </w:rPr>
            </w:pPr>
            <w:r w:rsidRPr="00E73F6F">
              <w:rPr>
                <w:spacing w:val="-5"/>
                <w:lang w:val="de-DE"/>
              </w:rPr>
              <w:t>5.1</w:t>
            </w:r>
          </w:p>
        </w:tc>
        <w:tc>
          <w:tcPr>
            <w:tcW w:w="963" w:type="pct"/>
          </w:tcPr>
          <w:p w14:paraId="31AAAC74" w14:textId="77777777" w:rsidR="00FF7799" w:rsidRPr="00E73F6F" w:rsidRDefault="00FF7799" w:rsidP="00F3090F">
            <w:pPr>
              <w:pStyle w:val="StandardText"/>
              <w:jc w:val="center"/>
              <w:rPr>
                <w:lang w:val="de-DE"/>
              </w:rPr>
            </w:pPr>
            <w:r w:rsidRPr="00E73F6F">
              <w:rPr>
                <w:lang w:val="de-DE"/>
              </w:rPr>
              <w:t>4.1 -</w:t>
            </w:r>
            <w:r w:rsidRPr="00E73F6F">
              <w:rPr>
                <w:spacing w:val="-3"/>
                <w:lang w:val="de-DE"/>
              </w:rPr>
              <w:t xml:space="preserve"> </w:t>
            </w:r>
            <w:r w:rsidRPr="00E73F6F">
              <w:rPr>
                <w:spacing w:val="-5"/>
                <w:lang w:val="de-DE"/>
              </w:rPr>
              <w:t>6.3</w:t>
            </w:r>
          </w:p>
        </w:tc>
        <w:tc>
          <w:tcPr>
            <w:tcW w:w="963" w:type="pct"/>
          </w:tcPr>
          <w:p w14:paraId="7BA6B069" w14:textId="77777777" w:rsidR="00FF7799" w:rsidRPr="00E73F6F" w:rsidRDefault="00FF7799" w:rsidP="00F3090F">
            <w:pPr>
              <w:pStyle w:val="StandardText"/>
              <w:jc w:val="center"/>
              <w:rPr>
                <w:lang w:val="de-DE"/>
              </w:rPr>
            </w:pPr>
            <w:r w:rsidRPr="00E73F6F">
              <w:rPr>
                <w:lang w:val="de-DE"/>
              </w:rPr>
              <w:t>5</w:t>
            </w:r>
          </w:p>
        </w:tc>
      </w:tr>
      <w:tr w:rsidR="00FF7799" w:rsidRPr="00E73F6F" w14:paraId="1CB0A125" w14:textId="77777777" w:rsidTr="008E038E">
        <w:trPr>
          <w:trHeight w:val="241"/>
        </w:trPr>
        <w:tc>
          <w:tcPr>
            <w:tcW w:w="391" w:type="pct"/>
          </w:tcPr>
          <w:p w14:paraId="2D34703D" w14:textId="77777777" w:rsidR="00FF7799" w:rsidRPr="00E73F6F" w:rsidRDefault="00FF7799" w:rsidP="00F3090F">
            <w:pPr>
              <w:pStyle w:val="StandardText"/>
              <w:jc w:val="center"/>
              <w:rPr>
                <w:lang w:val="de-DE"/>
              </w:rPr>
            </w:pPr>
          </w:p>
        </w:tc>
        <w:tc>
          <w:tcPr>
            <w:tcW w:w="1720" w:type="pct"/>
          </w:tcPr>
          <w:p w14:paraId="4FC291E7" w14:textId="77777777" w:rsidR="00FF7799" w:rsidRPr="00E73F6F" w:rsidRDefault="00FF7799" w:rsidP="00F3090F">
            <w:pPr>
              <w:pStyle w:val="StandardText"/>
              <w:jc w:val="left"/>
              <w:rPr>
                <w:lang w:val="de-DE"/>
              </w:rPr>
            </w:pPr>
            <w:r w:rsidRPr="00E73F6F">
              <w:rPr>
                <w:spacing w:val="-2"/>
                <w:lang w:val="de-DE"/>
              </w:rPr>
              <w:t>Südkorea</w:t>
            </w:r>
          </w:p>
        </w:tc>
        <w:tc>
          <w:tcPr>
            <w:tcW w:w="963" w:type="pct"/>
          </w:tcPr>
          <w:p w14:paraId="7664182B" w14:textId="77777777" w:rsidR="00FF7799" w:rsidRPr="00E73F6F" w:rsidRDefault="00FF7799" w:rsidP="00F3090F">
            <w:pPr>
              <w:pStyle w:val="StandardText"/>
              <w:jc w:val="center"/>
              <w:rPr>
                <w:lang w:val="de-DE"/>
              </w:rPr>
            </w:pPr>
            <w:r w:rsidRPr="00E73F6F">
              <w:rPr>
                <w:spacing w:val="-5"/>
                <w:lang w:val="de-DE"/>
              </w:rPr>
              <w:t>5.1</w:t>
            </w:r>
          </w:p>
        </w:tc>
        <w:tc>
          <w:tcPr>
            <w:tcW w:w="963" w:type="pct"/>
          </w:tcPr>
          <w:p w14:paraId="79000DDF" w14:textId="77777777" w:rsidR="00FF7799" w:rsidRPr="00E73F6F" w:rsidRDefault="00FF7799" w:rsidP="00F3090F">
            <w:pPr>
              <w:pStyle w:val="StandardText"/>
              <w:jc w:val="center"/>
              <w:rPr>
                <w:lang w:val="de-DE"/>
              </w:rPr>
            </w:pPr>
            <w:r w:rsidRPr="00E73F6F">
              <w:rPr>
                <w:lang w:val="de-DE"/>
              </w:rPr>
              <w:t>4.7 -</w:t>
            </w:r>
            <w:r w:rsidRPr="00E73F6F">
              <w:rPr>
                <w:spacing w:val="-3"/>
                <w:lang w:val="de-DE"/>
              </w:rPr>
              <w:t xml:space="preserve"> </w:t>
            </w:r>
            <w:r w:rsidRPr="00E73F6F">
              <w:rPr>
                <w:spacing w:val="-5"/>
                <w:lang w:val="de-DE"/>
              </w:rPr>
              <w:t>5.5</w:t>
            </w:r>
          </w:p>
        </w:tc>
        <w:tc>
          <w:tcPr>
            <w:tcW w:w="963" w:type="pct"/>
          </w:tcPr>
          <w:p w14:paraId="122125B7" w14:textId="77777777" w:rsidR="00FF7799" w:rsidRPr="00E73F6F" w:rsidRDefault="00FF7799" w:rsidP="00F3090F">
            <w:pPr>
              <w:pStyle w:val="StandardText"/>
              <w:jc w:val="center"/>
              <w:rPr>
                <w:lang w:val="de-DE"/>
              </w:rPr>
            </w:pPr>
            <w:r w:rsidRPr="00E73F6F">
              <w:rPr>
                <w:lang w:val="de-DE"/>
              </w:rPr>
              <w:t>9</w:t>
            </w:r>
          </w:p>
        </w:tc>
      </w:tr>
      <w:tr w:rsidR="00FF7799" w:rsidRPr="00E73F6F" w14:paraId="53A36188" w14:textId="77777777" w:rsidTr="008E038E">
        <w:trPr>
          <w:trHeight w:val="242"/>
        </w:trPr>
        <w:tc>
          <w:tcPr>
            <w:tcW w:w="391" w:type="pct"/>
          </w:tcPr>
          <w:p w14:paraId="3F22BCBE" w14:textId="77777777" w:rsidR="00FF7799" w:rsidRPr="00E73F6F" w:rsidRDefault="00FF7799" w:rsidP="00F3090F">
            <w:pPr>
              <w:pStyle w:val="StandardText"/>
              <w:jc w:val="center"/>
              <w:rPr>
                <w:lang w:val="de-DE"/>
              </w:rPr>
            </w:pPr>
            <w:r w:rsidRPr="00E73F6F">
              <w:rPr>
                <w:spacing w:val="-5"/>
                <w:lang w:val="de-DE"/>
              </w:rPr>
              <w:t>44</w:t>
            </w:r>
          </w:p>
        </w:tc>
        <w:tc>
          <w:tcPr>
            <w:tcW w:w="1720" w:type="pct"/>
          </w:tcPr>
          <w:p w14:paraId="32AF969F" w14:textId="77777777" w:rsidR="00FF7799" w:rsidRPr="00E73F6F" w:rsidRDefault="00FF7799" w:rsidP="00F3090F">
            <w:pPr>
              <w:pStyle w:val="StandardText"/>
              <w:jc w:val="left"/>
              <w:rPr>
                <w:lang w:val="de-DE"/>
              </w:rPr>
            </w:pPr>
            <w:r w:rsidRPr="00E73F6F">
              <w:rPr>
                <w:spacing w:val="-2"/>
                <w:lang w:val="de-DE"/>
              </w:rPr>
              <w:t>Malaysia</w:t>
            </w:r>
          </w:p>
        </w:tc>
        <w:tc>
          <w:tcPr>
            <w:tcW w:w="963" w:type="pct"/>
          </w:tcPr>
          <w:p w14:paraId="15322430" w14:textId="77777777" w:rsidR="00FF7799" w:rsidRPr="00E73F6F" w:rsidRDefault="00FF7799" w:rsidP="00F3090F">
            <w:pPr>
              <w:pStyle w:val="StandardText"/>
              <w:jc w:val="center"/>
              <w:rPr>
                <w:lang w:val="de-DE"/>
              </w:rPr>
            </w:pPr>
            <w:r w:rsidRPr="00E73F6F">
              <w:rPr>
                <w:spacing w:val="-5"/>
                <w:lang w:val="de-DE"/>
              </w:rPr>
              <w:t>5.0</w:t>
            </w:r>
          </w:p>
        </w:tc>
        <w:tc>
          <w:tcPr>
            <w:tcW w:w="963" w:type="pct"/>
          </w:tcPr>
          <w:p w14:paraId="3FA2F16C" w14:textId="77777777" w:rsidR="00FF7799" w:rsidRPr="00E73F6F" w:rsidRDefault="00FF7799" w:rsidP="00F3090F">
            <w:pPr>
              <w:pStyle w:val="StandardText"/>
              <w:jc w:val="center"/>
              <w:rPr>
                <w:lang w:val="de-DE"/>
              </w:rPr>
            </w:pPr>
            <w:r w:rsidRPr="00E73F6F">
              <w:rPr>
                <w:lang w:val="de-DE"/>
              </w:rPr>
              <w:t>4.5 -</w:t>
            </w:r>
            <w:r w:rsidRPr="00E73F6F">
              <w:rPr>
                <w:spacing w:val="-3"/>
                <w:lang w:val="de-DE"/>
              </w:rPr>
              <w:t xml:space="preserve"> </w:t>
            </w:r>
            <w:r w:rsidRPr="00E73F6F">
              <w:rPr>
                <w:spacing w:val="-5"/>
                <w:lang w:val="de-DE"/>
              </w:rPr>
              <w:t>5.5</w:t>
            </w:r>
          </w:p>
        </w:tc>
        <w:tc>
          <w:tcPr>
            <w:tcW w:w="963" w:type="pct"/>
          </w:tcPr>
          <w:p w14:paraId="6914879C" w14:textId="77777777" w:rsidR="00FF7799" w:rsidRPr="00E73F6F" w:rsidRDefault="00FF7799" w:rsidP="00F3090F">
            <w:pPr>
              <w:pStyle w:val="StandardText"/>
              <w:jc w:val="center"/>
              <w:rPr>
                <w:lang w:val="de-DE"/>
              </w:rPr>
            </w:pPr>
            <w:r w:rsidRPr="00E73F6F">
              <w:rPr>
                <w:lang w:val="de-DE"/>
              </w:rPr>
              <w:t>9</w:t>
            </w:r>
          </w:p>
        </w:tc>
      </w:tr>
      <w:tr w:rsidR="00FF7799" w:rsidRPr="00E73F6F" w14:paraId="509EFBCF" w14:textId="77777777" w:rsidTr="008E038E">
        <w:trPr>
          <w:trHeight w:val="242"/>
        </w:trPr>
        <w:tc>
          <w:tcPr>
            <w:tcW w:w="391" w:type="pct"/>
          </w:tcPr>
          <w:p w14:paraId="3DE193E5" w14:textId="77777777" w:rsidR="00FF7799" w:rsidRPr="00E73F6F" w:rsidRDefault="00FF7799" w:rsidP="00F3090F">
            <w:pPr>
              <w:pStyle w:val="StandardText"/>
              <w:jc w:val="center"/>
              <w:rPr>
                <w:lang w:val="de-DE"/>
              </w:rPr>
            </w:pPr>
            <w:r w:rsidRPr="00E73F6F">
              <w:rPr>
                <w:spacing w:val="-5"/>
                <w:lang w:val="de-DE"/>
              </w:rPr>
              <w:t>45</w:t>
            </w:r>
          </w:p>
        </w:tc>
        <w:tc>
          <w:tcPr>
            <w:tcW w:w="1720" w:type="pct"/>
          </w:tcPr>
          <w:p w14:paraId="11F38AD7" w14:textId="77777777" w:rsidR="00FF7799" w:rsidRPr="00E73F6F" w:rsidRDefault="00FF7799" w:rsidP="00F3090F">
            <w:pPr>
              <w:pStyle w:val="StandardText"/>
              <w:jc w:val="left"/>
              <w:rPr>
                <w:lang w:val="de-DE"/>
              </w:rPr>
            </w:pPr>
            <w:r w:rsidRPr="00E73F6F">
              <w:rPr>
                <w:spacing w:val="-2"/>
                <w:lang w:val="de-DE"/>
              </w:rPr>
              <w:t>Italien</w:t>
            </w:r>
          </w:p>
        </w:tc>
        <w:tc>
          <w:tcPr>
            <w:tcW w:w="963" w:type="pct"/>
          </w:tcPr>
          <w:p w14:paraId="47221AFE" w14:textId="77777777" w:rsidR="00FF7799" w:rsidRPr="00E73F6F" w:rsidRDefault="00FF7799" w:rsidP="00F3090F">
            <w:pPr>
              <w:pStyle w:val="StandardText"/>
              <w:jc w:val="center"/>
              <w:rPr>
                <w:lang w:val="de-DE"/>
              </w:rPr>
            </w:pPr>
            <w:r w:rsidRPr="00E73F6F">
              <w:rPr>
                <w:spacing w:val="-5"/>
                <w:lang w:val="de-DE"/>
              </w:rPr>
              <w:t>4.9</w:t>
            </w:r>
          </w:p>
        </w:tc>
        <w:tc>
          <w:tcPr>
            <w:tcW w:w="963" w:type="pct"/>
          </w:tcPr>
          <w:p w14:paraId="027267A8" w14:textId="77777777" w:rsidR="00FF7799" w:rsidRPr="00E73F6F" w:rsidRDefault="00FF7799" w:rsidP="00F3090F">
            <w:pPr>
              <w:pStyle w:val="StandardText"/>
              <w:jc w:val="center"/>
              <w:rPr>
                <w:lang w:val="de-DE"/>
              </w:rPr>
            </w:pPr>
            <w:r w:rsidRPr="00E73F6F">
              <w:rPr>
                <w:lang w:val="de-DE"/>
              </w:rPr>
              <w:t>4.4 -</w:t>
            </w:r>
            <w:r w:rsidRPr="00E73F6F">
              <w:rPr>
                <w:spacing w:val="-3"/>
                <w:lang w:val="de-DE"/>
              </w:rPr>
              <w:t xml:space="preserve"> </w:t>
            </w:r>
            <w:r w:rsidRPr="00E73F6F">
              <w:rPr>
                <w:spacing w:val="-5"/>
                <w:lang w:val="de-DE"/>
              </w:rPr>
              <w:t>5.4</w:t>
            </w:r>
          </w:p>
        </w:tc>
        <w:tc>
          <w:tcPr>
            <w:tcW w:w="963" w:type="pct"/>
          </w:tcPr>
          <w:p w14:paraId="79FF424A" w14:textId="77777777" w:rsidR="00FF7799" w:rsidRPr="00E73F6F" w:rsidRDefault="00FF7799" w:rsidP="00F3090F">
            <w:pPr>
              <w:pStyle w:val="StandardText"/>
              <w:jc w:val="center"/>
              <w:rPr>
                <w:lang w:val="de-DE"/>
              </w:rPr>
            </w:pPr>
            <w:r w:rsidRPr="00E73F6F">
              <w:rPr>
                <w:lang w:val="de-DE"/>
              </w:rPr>
              <w:t>7</w:t>
            </w:r>
          </w:p>
        </w:tc>
      </w:tr>
      <w:tr w:rsidR="00FF7799" w:rsidRPr="00E73F6F" w14:paraId="678F0DB2" w14:textId="77777777" w:rsidTr="008E038E">
        <w:trPr>
          <w:trHeight w:val="241"/>
        </w:trPr>
        <w:tc>
          <w:tcPr>
            <w:tcW w:w="391" w:type="pct"/>
          </w:tcPr>
          <w:p w14:paraId="7E2F0664" w14:textId="77777777" w:rsidR="00FF7799" w:rsidRPr="00E73F6F" w:rsidRDefault="00FF7799" w:rsidP="00F3090F">
            <w:pPr>
              <w:pStyle w:val="StandardText"/>
              <w:jc w:val="center"/>
              <w:rPr>
                <w:lang w:val="de-DE"/>
              </w:rPr>
            </w:pPr>
            <w:r w:rsidRPr="00E73F6F">
              <w:rPr>
                <w:spacing w:val="-5"/>
                <w:lang w:val="de-DE"/>
              </w:rPr>
              <w:t>46</w:t>
            </w:r>
          </w:p>
        </w:tc>
        <w:tc>
          <w:tcPr>
            <w:tcW w:w="1720" w:type="pct"/>
          </w:tcPr>
          <w:p w14:paraId="6D15347E" w14:textId="77777777" w:rsidR="00FF7799" w:rsidRPr="00E73F6F" w:rsidRDefault="00FF7799" w:rsidP="00F3090F">
            <w:pPr>
              <w:pStyle w:val="StandardText"/>
              <w:jc w:val="left"/>
              <w:rPr>
                <w:lang w:val="de-DE"/>
              </w:rPr>
            </w:pPr>
            <w:r w:rsidRPr="00E73F6F">
              <w:rPr>
                <w:spacing w:val="-2"/>
                <w:lang w:val="de-DE"/>
              </w:rPr>
              <w:t>Tschechische</w:t>
            </w:r>
            <w:r w:rsidRPr="00E73F6F">
              <w:rPr>
                <w:spacing w:val="13"/>
                <w:lang w:val="de-DE"/>
              </w:rPr>
              <w:t xml:space="preserve"> </w:t>
            </w:r>
            <w:r w:rsidRPr="00E73F6F">
              <w:rPr>
                <w:spacing w:val="-2"/>
                <w:lang w:val="de-DE"/>
              </w:rPr>
              <w:t>Republik</w:t>
            </w:r>
          </w:p>
        </w:tc>
        <w:tc>
          <w:tcPr>
            <w:tcW w:w="963" w:type="pct"/>
          </w:tcPr>
          <w:p w14:paraId="618BC3E0" w14:textId="77777777" w:rsidR="00FF7799" w:rsidRPr="00E73F6F" w:rsidRDefault="00FF7799" w:rsidP="00F3090F">
            <w:pPr>
              <w:pStyle w:val="StandardText"/>
              <w:jc w:val="center"/>
              <w:rPr>
                <w:lang w:val="de-DE"/>
              </w:rPr>
            </w:pPr>
            <w:r w:rsidRPr="00E73F6F">
              <w:rPr>
                <w:spacing w:val="-5"/>
                <w:lang w:val="de-DE"/>
              </w:rPr>
              <w:t>4.8</w:t>
            </w:r>
          </w:p>
        </w:tc>
        <w:tc>
          <w:tcPr>
            <w:tcW w:w="963" w:type="pct"/>
          </w:tcPr>
          <w:p w14:paraId="49E65D30" w14:textId="77777777" w:rsidR="00FF7799" w:rsidRPr="00E73F6F" w:rsidRDefault="00FF7799" w:rsidP="00F3090F">
            <w:pPr>
              <w:pStyle w:val="StandardText"/>
              <w:jc w:val="center"/>
              <w:rPr>
                <w:lang w:val="de-DE"/>
              </w:rPr>
            </w:pPr>
            <w:r w:rsidRPr="00E73F6F">
              <w:rPr>
                <w:lang w:val="de-DE"/>
              </w:rPr>
              <w:t>4.4 -</w:t>
            </w:r>
            <w:r w:rsidRPr="00E73F6F">
              <w:rPr>
                <w:spacing w:val="-3"/>
                <w:lang w:val="de-DE"/>
              </w:rPr>
              <w:t xml:space="preserve"> </w:t>
            </w:r>
            <w:r w:rsidRPr="00E73F6F">
              <w:rPr>
                <w:spacing w:val="-5"/>
                <w:lang w:val="de-DE"/>
              </w:rPr>
              <w:t>5.2</w:t>
            </w:r>
          </w:p>
        </w:tc>
        <w:tc>
          <w:tcPr>
            <w:tcW w:w="963" w:type="pct"/>
          </w:tcPr>
          <w:p w14:paraId="2591DB19" w14:textId="77777777" w:rsidR="00FF7799" w:rsidRPr="00E73F6F" w:rsidRDefault="00FF7799" w:rsidP="00F3090F">
            <w:pPr>
              <w:pStyle w:val="StandardText"/>
              <w:jc w:val="center"/>
              <w:rPr>
                <w:lang w:val="de-DE"/>
              </w:rPr>
            </w:pPr>
            <w:r w:rsidRPr="00E73F6F">
              <w:rPr>
                <w:lang w:val="de-DE"/>
              </w:rPr>
              <w:t>8</w:t>
            </w:r>
          </w:p>
        </w:tc>
      </w:tr>
      <w:tr w:rsidR="00FF7799" w:rsidRPr="00E73F6F" w14:paraId="120DB254" w14:textId="77777777" w:rsidTr="008E038E">
        <w:trPr>
          <w:trHeight w:val="242"/>
        </w:trPr>
        <w:tc>
          <w:tcPr>
            <w:tcW w:w="391" w:type="pct"/>
          </w:tcPr>
          <w:p w14:paraId="760D47AB" w14:textId="77777777" w:rsidR="00FF7799" w:rsidRPr="00E73F6F" w:rsidRDefault="00FF7799" w:rsidP="00F3090F">
            <w:pPr>
              <w:pStyle w:val="StandardText"/>
              <w:jc w:val="center"/>
              <w:rPr>
                <w:lang w:val="de-DE"/>
              </w:rPr>
            </w:pPr>
          </w:p>
        </w:tc>
        <w:tc>
          <w:tcPr>
            <w:tcW w:w="1720" w:type="pct"/>
          </w:tcPr>
          <w:p w14:paraId="76835B70" w14:textId="77777777" w:rsidR="00FF7799" w:rsidRPr="00E73F6F" w:rsidRDefault="00FF7799" w:rsidP="00F3090F">
            <w:pPr>
              <w:pStyle w:val="StandardText"/>
              <w:jc w:val="left"/>
              <w:rPr>
                <w:lang w:val="de-DE"/>
              </w:rPr>
            </w:pPr>
            <w:r w:rsidRPr="00E73F6F">
              <w:rPr>
                <w:spacing w:val="-2"/>
                <w:lang w:val="de-DE"/>
              </w:rPr>
              <w:t>Kuwait</w:t>
            </w:r>
          </w:p>
        </w:tc>
        <w:tc>
          <w:tcPr>
            <w:tcW w:w="963" w:type="pct"/>
          </w:tcPr>
          <w:p w14:paraId="2857BC51" w14:textId="77777777" w:rsidR="00FF7799" w:rsidRPr="00E73F6F" w:rsidRDefault="00FF7799" w:rsidP="00F3090F">
            <w:pPr>
              <w:pStyle w:val="StandardText"/>
              <w:jc w:val="center"/>
              <w:rPr>
                <w:lang w:val="de-DE"/>
              </w:rPr>
            </w:pPr>
            <w:r w:rsidRPr="00E73F6F">
              <w:rPr>
                <w:spacing w:val="-5"/>
                <w:lang w:val="de-DE"/>
              </w:rPr>
              <w:t>4.8</w:t>
            </w:r>
          </w:p>
        </w:tc>
        <w:tc>
          <w:tcPr>
            <w:tcW w:w="963" w:type="pct"/>
          </w:tcPr>
          <w:p w14:paraId="48E0472B" w14:textId="77777777" w:rsidR="00FF7799" w:rsidRPr="00E73F6F" w:rsidRDefault="00FF7799" w:rsidP="00F3090F">
            <w:pPr>
              <w:pStyle w:val="StandardText"/>
              <w:jc w:val="center"/>
              <w:rPr>
                <w:lang w:val="de-DE"/>
              </w:rPr>
            </w:pPr>
            <w:r w:rsidRPr="00E73F6F">
              <w:rPr>
                <w:lang w:val="de-DE"/>
              </w:rPr>
              <w:t>4.0 -</w:t>
            </w:r>
            <w:r w:rsidRPr="00E73F6F">
              <w:rPr>
                <w:spacing w:val="-3"/>
                <w:lang w:val="de-DE"/>
              </w:rPr>
              <w:t xml:space="preserve"> </w:t>
            </w:r>
            <w:r w:rsidRPr="00E73F6F">
              <w:rPr>
                <w:spacing w:val="-5"/>
                <w:lang w:val="de-DE"/>
              </w:rPr>
              <w:t>5.4</w:t>
            </w:r>
          </w:p>
        </w:tc>
        <w:tc>
          <w:tcPr>
            <w:tcW w:w="963" w:type="pct"/>
          </w:tcPr>
          <w:p w14:paraId="5F170AFF" w14:textId="77777777" w:rsidR="00FF7799" w:rsidRPr="00E73F6F" w:rsidRDefault="00FF7799" w:rsidP="00F3090F">
            <w:pPr>
              <w:pStyle w:val="StandardText"/>
              <w:jc w:val="center"/>
              <w:rPr>
                <w:lang w:val="de-DE"/>
              </w:rPr>
            </w:pPr>
            <w:r w:rsidRPr="00E73F6F">
              <w:rPr>
                <w:lang w:val="de-DE"/>
              </w:rPr>
              <w:t>5</w:t>
            </w:r>
          </w:p>
        </w:tc>
      </w:tr>
      <w:tr w:rsidR="00FF7799" w:rsidRPr="00E73F6F" w14:paraId="0B6515DB" w14:textId="77777777" w:rsidTr="008E038E">
        <w:trPr>
          <w:trHeight w:val="242"/>
        </w:trPr>
        <w:tc>
          <w:tcPr>
            <w:tcW w:w="391" w:type="pct"/>
          </w:tcPr>
          <w:p w14:paraId="327F0441" w14:textId="77777777" w:rsidR="00FF7799" w:rsidRPr="00E73F6F" w:rsidRDefault="00FF7799" w:rsidP="00F3090F">
            <w:pPr>
              <w:pStyle w:val="StandardText"/>
              <w:jc w:val="center"/>
              <w:rPr>
                <w:lang w:val="de-DE"/>
              </w:rPr>
            </w:pPr>
          </w:p>
        </w:tc>
        <w:tc>
          <w:tcPr>
            <w:tcW w:w="1720" w:type="pct"/>
          </w:tcPr>
          <w:p w14:paraId="4DD2ECE2" w14:textId="77777777" w:rsidR="00FF7799" w:rsidRPr="00E73F6F" w:rsidRDefault="00FF7799" w:rsidP="00F3090F">
            <w:pPr>
              <w:pStyle w:val="StandardText"/>
              <w:jc w:val="left"/>
              <w:rPr>
                <w:lang w:val="de-DE"/>
              </w:rPr>
            </w:pPr>
            <w:r w:rsidRPr="00E73F6F">
              <w:rPr>
                <w:spacing w:val="-2"/>
                <w:lang w:val="de-DE"/>
              </w:rPr>
              <w:t>Litauen</w:t>
            </w:r>
          </w:p>
        </w:tc>
        <w:tc>
          <w:tcPr>
            <w:tcW w:w="963" w:type="pct"/>
          </w:tcPr>
          <w:p w14:paraId="2FD66794" w14:textId="77777777" w:rsidR="00FF7799" w:rsidRPr="00E73F6F" w:rsidRDefault="00FF7799" w:rsidP="00F3090F">
            <w:pPr>
              <w:pStyle w:val="StandardText"/>
              <w:jc w:val="center"/>
              <w:rPr>
                <w:lang w:val="de-DE"/>
              </w:rPr>
            </w:pPr>
            <w:r w:rsidRPr="00E73F6F">
              <w:rPr>
                <w:spacing w:val="-5"/>
                <w:lang w:val="de-DE"/>
              </w:rPr>
              <w:t>4.8</w:t>
            </w:r>
          </w:p>
        </w:tc>
        <w:tc>
          <w:tcPr>
            <w:tcW w:w="963" w:type="pct"/>
          </w:tcPr>
          <w:p w14:paraId="4F506B90" w14:textId="77777777" w:rsidR="00FF7799" w:rsidRPr="00E73F6F" w:rsidRDefault="00FF7799" w:rsidP="00F3090F">
            <w:pPr>
              <w:pStyle w:val="StandardText"/>
              <w:jc w:val="center"/>
              <w:rPr>
                <w:lang w:val="de-DE"/>
              </w:rPr>
            </w:pPr>
            <w:r w:rsidRPr="00E73F6F">
              <w:rPr>
                <w:lang w:val="de-DE"/>
              </w:rPr>
              <w:t>4.2 -</w:t>
            </w:r>
            <w:r w:rsidRPr="00E73F6F">
              <w:rPr>
                <w:spacing w:val="-3"/>
                <w:lang w:val="de-DE"/>
              </w:rPr>
              <w:t xml:space="preserve"> </w:t>
            </w:r>
            <w:r w:rsidRPr="00E73F6F">
              <w:rPr>
                <w:spacing w:val="-5"/>
                <w:lang w:val="de-DE"/>
              </w:rPr>
              <w:t>5.6</w:t>
            </w:r>
          </w:p>
        </w:tc>
        <w:tc>
          <w:tcPr>
            <w:tcW w:w="963" w:type="pct"/>
          </w:tcPr>
          <w:p w14:paraId="5B3B4223" w14:textId="77777777" w:rsidR="00FF7799" w:rsidRPr="00E73F6F" w:rsidRDefault="00FF7799" w:rsidP="00F3090F">
            <w:pPr>
              <w:pStyle w:val="StandardText"/>
              <w:jc w:val="center"/>
              <w:rPr>
                <w:lang w:val="de-DE"/>
              </w:rPr>
            </w:pPr>
            <w:r w:rsidRPr="00E73F6F">
              <w:rPr>
                <w:lang w:val="de-DE"/>
              </w:rPr>
              <w:t>6</w:t>
            </w:r>
          </w:p>
        </w:tc>
      </w:tr>
      <w:tr w:rsidR="00FF7799" w:rsidRPr="00E73F6F" w14:paraId="5B1C3EE8" w14:textId="77777777" w:rsidTr="008E038E">
        <w:trPr>
          <w:trHeight w:val="242"/>
        </w:trPr>
        <w:tc>
          <w:tcPr>
            <w:tcW w:w="391" w:type="pct"/>
          </w:tcPr>
          <w:p w14:paraId="40041D91" w14:textId="77777777" w:rsidR="00FF7799" w:rsidRPr="00E73F6F" w:rsidRDefault="00FF7799" w:rsidP="00F3090F">
            <w:pPr>
              <w:pStyle w:val="StandardText"/>
              <w:jc w:val="center"/>
              <w:rPr>
                <w:lang w:val="de-DE"/>
              </w:rPr>
            </w:pPr>
            <w:r w:rsidRPr="00E73F6F">
              <w:rPr>
                <w:spacing w:val="-5"/>
                <w:lang w:val="de-DE"/>
              </w:rPr>
              <w:t>49</w:t>
            </w:r>
          </w:p>
        </w:tc>
        <w:tc>
          <w:tcPr>
            <w:tcW w:w="1720" w:type="pct"/>
          </w:tcPr>
          <w:p w14:paraId="78EF278D" w14:textId="77777777" w:rsidR="00FF7799" w:rsidRPr="00E73F6F" w:rsidRDefault="00FF7799" w:rsidP="00F3090F">
            <w:pPr>
              <w:pStyle w:val="StandardText"/>
              <w:jc w:val="left"/>
              <w:rPr>
                <w:lang w:val="de-DE"/>
              </w:rPr>
            </w:pPr>
            <w:r w:rsidRPr="00E73F6F">
              <w:rPr>
                <w:spacing w:val="-2"/>
                <w:lang w:val="de-DE"/>
              </w:rPr>
              <w:t>Lettland</w:t>
            </w:r>
          </w:p>
        </w:tc>
        <w:tc>
          <w:tcPr>
            <w:tcW w:w="963" w:type="pct"/>
          </w:tcPr>
          <w:p w14:paraId="09CD514D" w14:textId="77777777" w:rsidR="00FF7799" w:rsidRPr="00E73F6F" w:rsidRDefault="00FF7799" w:rsidP="00F3090F">
            <w:pPr>
              <w:pStyle w:val="StandardText"/>
              <w:jc w:val="center"/>
              <w:rPr>
                <w:lang w:val="de-DE"/>
              </w:rPr>
            </w:pPr>
            <w:r w:rsidRPr="00E73F6F">
              <w:rPr>
                <w:spacing w:val="-5"/>
                <w:lang w:val="de-DE"/>
              </w:rPr>
              <w:t>4.7</w:t>
            </w:r>
          </w:p>
        </w:tc>
        <w:tc>
          <w:tcPr>
            <w:tcW w:w="963" w:type="pct"/>
          </w:tcPr>
          <w:p w14:paraId="24B49ADE" w14:textId="77777777" w:rsidR="00FF7799" w:rsidRPr="00E73F6F" w:rsidRDefault="00FF7799" w:rsidP="00F3090F">
            <w:pPr>
              <w:pStyle w:val="StandardText"/>
              <w:jc w:val="center"/>
              <w:rPr>
                <w:lang w:val="de-DE"/>
              </w:rPr>
            </w:pPr>
            <w:r w:rsidRPr="00E73F6F">
              <w:rPr>
                <w:lang w:val="de-DE"/>
              </w:rPr>
              <w:t>4.0 -</w:t>
            </w:r>
            <w:r w:rsidRPr="00E73F6F">
              <w:rPr>
                <w:spacing w:val="-3"/>
                <w:lang w:val="de-DE"/>
              </w:rPr>
              <w:t xml:space="preserve"> </w:t>
            </w:r>
            <w:r w:rsidRPr="00E73F6F">
              <w:rPr>
                <w:spacing w:val="-5"/>
                <w:lang w:val="de-DE"/>
              </w:rPr>
              <w:t>5.5</w:t>
            </w:r>
          </w:p>
        </w:tc>
        <w:tc>
          <w:tcPr>
            <w:tcW w:w="963" w:type="pct"/>
          </w:tcPr>
          <w:p w14:paraId="3FA5EA59" w14:textId="77777777" w:rsidR="00FF7799" w:rsidRPr="00E73F6F" w:rsidRDefault="00FF7799" w:rsidP="00F3090F">
            <w:pPr>
              <w:pStyle w:val="StandardText"/>
              <w:jc w:val="center"/>
              <w:rPr>
                <w:lang w:val="de-DE"/>
              </w:rPr>
            </w:pPr>
            <w:r w:rsidRPr="00E73F6F">
              <w:rPr>
                <w:lang w:val="de-DE"/>
              </w:rPr>
              <w:t>6</w:t>
            </w:r>
          </w:p>
        </w:tc>
      </w:tr>
      <w:tr w:rsidR="00FF7799" w:rsidRPr="00E73F6F" w14:paraId="56FB48CD" w14:textId="77777777" w:rsidTr="008E038E">
        <w:trPr>
          <w:trHeight w:val="241"/>
        </w:trPr>
        <w:tc>
          <w:tcPr>
            <w:tcW w:w="391" w:type="pct"/>
          </w:tcPr>
          <w:p w14:paraId="65A63DAB" w14:textId="77777777" w:rsidR="00FF7799" w:rsidRPr="00E73F6F" w:rsidRDefault="00FF7799" w:rsidP="00F3090F">
            <w:pPr>
              <w:pStyle w:val="StandardText"/>
              <w:jc w:val="center"/>
              <w:rPr>
                <w:lang w:val="de-DE"/>
              </w:rPr>
            </w:pPr>
          </w:p>
        </w:tc>
        <w:tc>
          <w:tcPr>
            <w:tcW w:w="1720" w:type="pct"/>
          </w:tcPr>
          <w:p w14:paraId="3598BED6" w14:textId="77777777" w:rsidR="00FF7799" w:rsidRPr="00E73F6F" w:rsidRDefault="00FF7799" w:rsidP="00F3090F">
            <w:pPr>
              <w:pStyle w:val="StandardText"/>
              <w:jc w:val="left"/>
              <w:rPr>
                <w:lang w:val="de-DE"/>
              </w:rPr>
            </w:pPr>
            <w:r w:rsidRPr="00E73F6F">
              <w:rPr>
                <w:spacing w:val="-2"/>
                <w:lang w:val="de-DE"/>
              </w:rPr>
              <w:t>Slowakei</w:t>
            </w:r>
          </w:p>
        </w:tc>
        <w:tc>
          <w:tcPr>
            <w:tcW w:w="963" w:type="pct"/>
          </w:tcPr>
          <w:p w14:paraId="3FDDD8EE" w14:textId="77777777" w:rsidR="00FF7799" w:rsidRPr="00E73F6F" w:rsidRDefault="00FF7799" w:rsidP="00F3090F">
            <w:pPr>
              <w:pStyle w:val="StandardText"/>
              <w:jc w:val="center"/>
              <w:rPr>
                <w:lang w:val="de-DE"/>
              </w:rPr>
            </w:pPr>
            <w:r w:rsidRPr="00E73F6F">
              <w:rPr>
                <w:spacing w:val="-5"/>
                <w:lang w:val="de-DE"/>
              </w:rPr>
              <w:t>4.7</w:t>
            </w:r>
          </w:p>
        </w:tc>
        <w:tc>
          <w:tcPr>
            <w:tcW w:w="963" w:type="pct"/>
          </w:tcPr>
          <w:p w14:paraId="3CD7FD59" w14:textId="77777777" w:rsidR="00FF7799" w:rsidRPr="00E73F6F" w:rsidRDefault="00FF7799" w:rsidP="00F3090F">
            <w:pPr>
              <w:pStyle w:val="StandardText"/>
              <w:jc w:val="center"/>
              <w:rPr>
                <w:lang w:val="de-DE"/>
              </w:rPr>
            </w:pPr>
            <w:r w:rsidRPr="00E73F6F">
              <w:rPr>
                <w:lang w:val="de-DE"/>
              </w:rPr>
              <w:t>4.3 -</w:t>
            </w:r>
            <w:r w:rsidRPr="00E73F6F">
              <w:rPr>
                <w:spacing w:val="-3"/>
                <w:lang w:val="de-DE"/>
              </w:rPr>
              <w:t xml:space="preserve"> </w:t>
            </w:r>
            <w:r w:rsidRPr="00E73F6F">
              <w:rPr>
                <w:spacing w:val="-5"/>
                <w:lang w:val="de-DE"/>
              </w:rPr>
              <w:t>5.2</w:t>
            </w:r>
          </w:p>
        </w:tc>
        <w:tc>
          <w:tcPr>
            <w:tcW w:w="963" w:type="pct"/>
          </w:tcPr>
          <w:p w14:paraId="451F25D5" w14:textId="77777777" w:rsidR="00FF7799" w:rsidRPr="00E73F6F" w:rsidRDefault="00FF7799" w:rsidP="00F3090F">
            <w:pPr>
              <w:pStyle w:val="StandardText"/>
              <w:jc w:val="center"/>
              <w:rPr>
                <w:lang w:val="de-DE"/>
              </w:rPr>
            </w:pPr>
            <w:r w:rsidRPr="00E73F6F">
              <w:rPr>
                <w:lang w:val="de-DE"/>
              </w:rPr>
              <w:t>8</w:t>
            </w:r>
          </w:p>
        </w:tc>
      </w:tr>
      <w:tr w:rsidR="00FF7799" w:rsidRPr="00E73F6F" w14:paraId="23F6AD2F" w14:textId="77777777" w:rsidTr="008E038E">
        <w:trPr>
          <w:trHeight w:val="242"/>
        </w:trPr>
        <w:tc>
          <w:tcPr>
            <w:tcW w:w="391" w:type="pct"/>
          </w:tcPr>
          <w:p w14:paraId="0124B3F2" w14:textId="77777777" w:rsidR="00FF7799" w:rsidRPr="00E73F6F" w:rsidRDefault="00FF7799" w:rsidP="00F3090F">
            <w:pPr>
              <w:pStyle w:val="StandardText"/>
              <w:jc w:val="center"/>
              <w:rPr>
                <w:lang w:val="de-DE"/>
              </w:rPr>
            </w:pPr>
            <w:r w:rsidRPr="00E73F6F">
              <w:rPr>
                <w:spacing w:val="-5"/>
                <w:lang w:val="de-DE"/>
              </w:rPr>
              <w:t>51</w:t>
            </w:r>
          </w:p>
        </w:tc>
        <w:tc>
          <w:tcPr>
            <w:tcW w:w="1720" w:type="pct"/>
          </w:tcPr>
          <w:p w14:paraId="78180BB9" w14:textId="77777777" w:rsidR="00FF7799" w:rsidRPr="00E73F6F" w:rsidRDefault="00FF7799" w:rsidP="00F3090F">
            <w:pPr>
              <w:pStyle w:val="StandardText"/>
              <w:jc w:val="left"/>
              <w:rPr>
                <w:lang w:val="de-DE"/>
              </w:rPr>
            </w:pPr>
            <w:r w:rsidRPr="00E73F6F">
              <w:rPr>
                <w:spacing w:val="-2"/>
                <w:lang w:val="de-DE"/>
              </w:rPr>
              <w:t>Südafrika</w:t>
            </w:r>
          </w:p>
        </w:tc>
        <w:tc>
          <w:tcPr>
            <w:tcW w:w="963" w:type="pct"/>
          </w:tcPr>
          <w:p w14:paraId="4D86BCFB" w14:textId="77777777" w:rsidR="00FF7799" w:rsidRPr="00E73F6F" w:rsidRDefault="00FF7799" w:rsidP="00F3090F">
            <w:pPr>
              <w:pStyle w:val="StandardText"/>
              <w:jc w:val="center"/>
              <w:rPr>
                <w:lang w:val="de-DE"/>
              </w:rPr>
            </w:pPr>
            <w:r w:rsidRPr="00E73F6F">
              <w:rPr>
                <w:spacing w:val="-5"/>
                <w:lang w:val="de-DE"/>
              </w:rPr>
              <w:t>4.6</w:t>
            </w:r>
          </w:p>
        </w:tc>
        <w:tc>
          <w:tcPr>
            <w:tcW w:w="963" w:type="pct"/>
          </w:tcPr>
          <w:p w14:paraId="450CC977" w14:textId="77777777" w:rsidR="00FF7799" w:rsidRPr="00E73F6F" w:rsidRDefault="00FF7799" w:rsidP="00F3090F">
            <w:pPr>
              <w:pStyle w:val="StandardText"/>
              <w:jc w:val="center"/>
              <w:rPr>
                <w:lang w:val="de-DE"/>
              </w:rPr>
            </w:pPr>
            <w:r w:rsidRPr="00E73F6F">
              <w:rPr>
                <w:lang w:val="de-DE"/>
              </w:rPr>
              <w:t>4.1 -</w:t>
            </w:r>
            <w:r w:rsidRPr="00E73F6F">
              <w:rPr>
                <w:spacing w:val="-3"/>
                <w:lang w:val="de-DE"/>
              </w:rPr>
              <w:t xml:space="preserve"> </w:t>
            </w:r>
            <w:r w:rsidRPr="00E73F6F">
              <w:rPr>
                <w:spacing w:val="-5"/>
                <w:lang w:val="de-DE"/>
              </w:rPr>
              <w:t>5.1</w:t>
            </w:r>
          </w:p>
        </w:tc>
        <w:tc>
          <w:tcPr>
            <w:tcW w:w="963" w:type="pct"/>
          </w:tcPr>
          <w:p w14:paraId="1699C3BB" w14:textId="77777777" w:rsidR="00FF7799" w:rsidRPr="00E73F6F" w:rsidRDefault="00FF7799" w:rsidP="00F3090F">
            <w:pPr>
              <w:pStyle w:val="StandardText"/>
              <w:jc w:val="center"/>
              <w:rPr>
                <w:lang w:val="de-DE"/>
              </w:rPr>
            </w:pPr>
            <w:r w:rsidRPr="00E73F6F">
              <w:rPr>
                <w:lang w:val="de-DE"/>
              </w:rPr>
              <w:t>8</w:t>
            </w:r>
          </w:p>
        </w:tc>
      </w:tr>
      <w:tr w:rsidR="00FF7799" w:rsidRPr="00E73F6F" w14:paraId="55E9ADCF" w14:textId="77777777" w:rsidTr="008E038E">
        <w:trPr>
          <w:trHeight w:val="241"/>
        </w:trPr>
        <w:tc>
          <w:tcPr>
            <w:tcW w:w="391" w:type="pct"/>
          </w:tcPr>
          <w:p w14:paraId="495EAC28" w14:textId="77777777" w:rsidR="00FF7799" w:rsidRPr="00E73F6F" w:rsidRDefault="00FF7799" w:rsidP="00F3090F">
            <w:pPr>
              <w:pStyle w:val="StandardText"/>
              <w:jc w:val="center"/>
              <w:rPr>
                <w:lang w:val="de-DE"/>
              </w:rPr>
            </w:pPr>
          </w:p>
        </w:tc>
        <w:tc>
          <w:tcPr>
            <w:tcW w:w="1720" w:type="pct"/>
          </w:tcPr>
          <w:p w14:paraId="4FFF4A54" w14:textId="77777777" w:rsidR="00FF7799" w:rsidRPr="00E73F6F" w:rsidRDefault="00FF7799" w:rsidP="00F3090F">
            <w:pPr>
              <w:pStyle w:val="StandardText"/>
              <w:jc w:val="left"/>
              <w:rPr>
                <w:lang w:val="de-DE"/>
              </w:rPr>
            </w:pPr>
            <w:r w:rsidRPr="00E73F6F">
              <w:rPr>
                <w:spacing w:val="-2"/>
                <w:lang w:val="de-DE"/>
              </w:rPr>
              <w:t>Tunesien</w:t>
            </w:r>
          </w:p>
        </w:tc>
        <w:tc>
          <w:tcPr>
            <w:tcW w:w="963" w:type="pct"/>
          </w:tcPr>
          <w:p w14:paraId="0FD36384" w14:textId="77777777" w:rsidR="00FF7799" w:rsidRPr="00E73F6F" w:rsidRDefault="00FF7799" w:rsidP="00F3090F">
            <w:pPr>
              <w:pStyle w:val="StandardText"/>
              <w:jc w:val="center"/>
              <w:rPr>
                <w:lang w:val="de-DE"/>
              </w:rPr>
            </w:pPr>
            <w:r w:rsidRPr="00E73F6F">
              <w:rPr>
                <w:spacing w:val="-5"/>
                <w:lang w:val="de-DE"/>
              </w:rPr>
              <w:t>4.6</w:t>
            </w:r>
          </w:p>
        </w:tc>
        <w:tc>
          <w:tcPr>
            <w:tcW w:w="963" w:type="pct"/>
          </w:tcPr>
          <w:p w14:paraId="3B9D811E" w14:textId="77777777" w:rsidR="00FF7799" w:rsidRPr="00E73F6F" w:rsidRDefault="00FF7799" w:rsidP="00F3090F">
            <w:pPr>
              <w:pStyle w:val="StandardText"/>
              <w:jc w:val="center"/>
              <w:rPr>
                <w:lang w:val="de-DE"/>
              </w:rPr>
            </w:pPr>
            <w:r w:rsidRPr="00E73F6F">
              <w:rPr>
                <w:lang w:val="de-DE"/>
              </w:rPr>
              <w:t>3.9 -</w:t>
            </w:r>
            <w:r w:rsidRPr="00E73F6F">
              <w:rPr>
                <w:spacing w:val="-3"/>
                <w:lang w:val="de-DE"/>
              </w:rPr>
              <w:t xml:space="preserve"> </w:t>
            </w:r>
            <w:r w:rsidRPr="00E73F6F">
              <w:rPr>
                <w:spacing w:val="-5"/>
                <w:lang w:val="de-DE"/>
              </w:rPr>
              <w:t>5.6</w:t>
            </w:r>
          </w:p>
        </w:tc>
        <w:tc>
          <w:tcPr>
            <w:tcW w:w="963" w:type="pct"/>
          </w:tcPr>
          <w:p w14:paraId="246F1E49" w14:textId="77777777" w:rsidR="00FF7799" w:rsidRPr="00E73F6F" w:rsidRDefault="00FF7799" w:rsidP="00F3090F">
            <w:pPr>
              <w:pStyle w:val="StandardText"/>
              <w:jc w:val="center"/>
              <w:rPr>
                <w:lang w:val="de-DE"/>
              </w:rPr>
            </w:pPr>
            <w:r w:rsidRPr="00E73F6F">
              <w:rPr>
                <w:lang w:val="de-DE"/>
              </w:rPr>
              <w:t>5</w:t>
            </w:r>
          </w:p>
        </w:tc>
      </w:tr>
      <w:tr w:rsidR="00FF7799" w:rsidRPr="00E73F6F" w14:paraId="25346A22" w14:textId="77777777" w:rsidTr="008E038E">
        <w:trPr>
          <w:trHeight w:val="242"/>
        </w:trPr>
        <w:tc>
          <w:tcPr>
            <w:tcW w:w="391" w:type="pct"/>
          </w:tcPr>
          <w:p w14:paraId="00BDCF7F" w14:textId="77777777" w:rsidR="00FF7799" w:rsidRPr="00E73F6F" w:rsidRDefault="00FF7799" w:rsidP="00F3090F">
            <w:pPr>
              <w:pStyle w:val="StandardText"/>
              <w:jc w:val="center"/>
              <w:rPr>
                <w:lang w:val="de-DE"/>
              </w:rPr>
            </w:pPr>
            <w:r w:rsidRPr="00E73F6F">
              <w:rPr>
                <w:spacing w:val="-5"/>
                <w:lang w:val="de-DE"/>
              </w:rPr>
              <w:t>53</w:t>
            </w:r>
          </w:p>
        </w:tc>
        <w:tc>
          <w:tcPr>
            <w:tcW w:w="1720" w:type="pct"/>
          </w:tcPr>
          <w:p w14:paraId="0CCDE0D4" w14:textId="77777777" w:rsidR="00FF7799" w:rsidRPr="00E73F6F" w:rsidRDefault="00FF7799" w:rsidP="00F3090F">
            <w:pPr>
              <w:pStyle w:val="StandardText"/>
              <w:jc w:val="left"/>
              <w:rPr>
                <w:lang w:val="de-DE"/>
              </w:rPr>
            </w:pPr>
            <w:r w:rsidRPr="00E73F6F">
              <w:rPr>
                <w:spacing w:val="-2"/>
                <w:lang w:val="de-DE"/>
              </w:rPr>
              <w:t>Dominica</w:t>
            </w:r>
          </w:p>
        </w:tc>
        <w:tc>
          <w:tcPr>
            <w:tcW w:w="963" w:type="pct"/>
          </w:tcPr>
          <w:p w14:paraId="5136E681" w14:textId="77777777" w:rsidR="00FF7799" w:rsidRPr="00E73F6F" w:rsidRDefault="00FF7799" w:rsidP="00F3090F">
            <w:pPr>
              <w:pStyle w:val="StandardText"/>
              <w:jc w:val="center"/>
              <w:rPr>
                <w:lang w:val="de-DE"/>
              </w:rPr>
            </w:pPr>
            <w:r w:rsidRPr="00E73F6F">
              <w:rPr>
                <w:spacing w:val="-5"/>
                <w:lang w:val="de-DE"/>
              </w:rPr>
              <w:t>4.5</w:t>
            </w:r>
          </w:p>
        </w:tc>
        <w:tc>
          <w:tcPr>
            <w:tcW w:w="963" w:type="pct"/>
          </w:tcPr>
          <w:p w14:paraId="4235BEC3" w14:textId="77777777" w:rsidR="00FF7799" w:rsidRPr="00E73F6F" w:rsidRDefault="00FF7799" w:rsidP="00F3090F">
            <w:pPr>
              <w:pStyle w:val="StandardText"/>
              <w:jc w:val="center"/>
              <w:rPr>
                <w:lang w:val="de-DE"/>
              </w:rPr>
            </w:pPr>
            <w:r w:rsidRPr="00E73F6F">
              <w:rPr>
                <w:lang w:val="de-DE"/>
              </w:rPr>
              <w:t>3.5 -</w:t>
            </w:r>
            <w:r w:rsidRPr="00E73F6F">
              <w:rPr>
                <w:spacing w:val="-3"/>
                <w:lang w:val="de-DE"/>
              </w:rPr>
              <w:t xml:space="preserve"> </w:t>
            </w:r>
            <w:r w:rsidRPr="00E73F6F">
              <w:rPr>
                <w:spacing w:val="-5"/>
                <w:lang w:val="de-DE"/>
              </w:rPr>
              <w:t>5.3</w:t>
            </w:r>
          </w:p>
        </w:tc>
        <w:tc>
          <w:tcPr>
            <w:tcW w:w="963" w:type="pct"/>
          </w:tcPr>
          <w:p w14:paraId="22E4238C" w14:textId="77777777" w:rsidR="00FF7799" w:rsidRPr="00E73F6F" w:rsidRDefault="00FF7799" w:rsidP="00F3090F">
            <w:pPr>
              <w:pStyle w:val="StandardText"/>
              <w:jc w:val="center"/>
              <w:rPr>
                <w:lang w:val="de-DE"/>
              </w:rPr>
            </w:pPr>
            <w:r w:rsidRPr="00E73F6F">
              <w:rPr>
                <w:lang w:val="de-DE"/>
              </w:rPr>
              <w:t>3</w:t>
            </w:r>
          </w:p>
        </w:tc>
      </w:tr>
      <w:tr w:rsidR="00FF7799" w:rsidRPr="00E73F6F" w14:paraId="5324D787" w14:textId="77777777" w:rsidTr="008E038E">
        <w:trPr>
          <w:trHeight w:val="242"/>
        </w:trPr>
        <w:tc>
          <w:tcPr>
            <w:tcW w:w="391" w:type="pct"/>
          </w:tcPr>
          <w:p w14:paraId="66D85DA3" w14:textId="77777777" w:rsidR="00FF7799" w:rsidRPr="00E73F6F" w:rsidRDefault="00FF7799" w:rsidP="00F3090F">
            <w:pPr>
              <w:pStyle w:val="StandardText"/>
              <w:jc w:val="center"/>
              <w:rPr>
                <w:lang w:val="de-DE"/>
              </w:rPr>
            </w:pPr>
            <w:r w:rsidRPr="00E73F6F">
              <w:rPr>
                <w:spacing w:val="-5"/>
                <w:lang w:val="de-DE"/>
              </w:rPr>
              <w:t>54</w:t>
            </w:r>
          </w:p>
        </w:tc>
        <w:tc>
          <w:tcPr>
            <w:tcW w:w="1720" w:type="pct"/>
          </w:tcPr>
          <w:p w14:paraId="158D1467" w14:textId="77777777" w:rsidR="00FF7799" w:rsidRPr="00E73F6F" w:rsidRDefault="00FF7799" w:rsidP="00F3090F">
            <w:pPr>
              <w:pStyle w:val="StandardText"/>
              <w:jc w:val="left"/>
              <w:rPr>
                <w:lang w:val="de-DE"/>
              </w:rPr>
            </w:pPr>
            <w:r w:rsidRPr="00E73F6F">
              <w:rPr>
                <w:spacing w:val="-2"/>
                <w:lang w:val="de-DE"/>
              </w:rPr>
              <w:t>Griechenland</w:t>
            </w:r>
          </w:p>
        </w:tc>
        <w:tc>
          <w:tcPr>
            <w:tcW w:w="963" w:type="pct"/>
          </w:tcPr>
          <w:p w14:paraId="60547341" w14:textId="77777777" w:rsidR="00FF7799" w:rsidRPr="00E73F6F" w:rsidRDefault="00FF7799" w:rsidP="00F3090F">
            <w:pPr>
              <w:pStyle w:val="StandardText"/>
              <w:jc w:val="center"/>
              <w:rPr>
                <w:lang w:val="de-DE"/>
              </w:rPr>
            </w:pPr>
            <w:r w:rsidRPr="00E73F6F">
              <w:rPr>
                <w:spacing w:val="-5"/>
                <w:lang w:val="de-DE"/>
              </w:rPr>
              <w:t>4.4</w:t>
            </w:r>
          </w:p>
        </w:tc>
        <w:tc>
          <w:tcPr>
            <w:tcW w:w="963" w:type="pct"/>
          </w:tcPr>
          <w:p w14:paraId="22D67B87" w14:textId="77777777" w:rsidR="00FF7799" w:rsidRPr="00E73F6F" w:rsidRDefault="00FF7799" w:rsidP="00F3090F">
            <w:pPr>
              <w:pStyle w:val="StandardText"/>
              <w:jc w:val="center"/>
              <w:rPr>
                <w:lang w:val="de-DE"/>
              </w:rPr>
            </w:pPr>
            <w:r w:rsidRPr="00E73F6F">
              <w:rPr>
                <w:lang w:val="de-DE"/>
              </w:rPr>
              <w:t>3.9 -</w:t>
            </w:r>
            <w:r w:rsidRPr="00E73F6F">
              <w:rPr>
                <w:spacing w:val="-3"/>
                <w:lang w:val="de-DE"/>
              </w:rPr>
              <w:t xml:space="preserve"> </w:t>
            </w:r>
            <w:r w:rsidRPr="00E73F6F">
              <w:rPr>
                <w:spacing w:val="-5"/>
                <w:lang w:val="de-DE"/>
              </w:rPr>
              <w:t>5.0</w:t>
            </w:r>
          </w:p>
        </w:tc>
        <w:tc>
          <w:tcPr>
            <w:tcW w:w="963" w:type="pct"/>
          </w:tcPr>
          <w:p w14:paraId="194DA7A3" w14:textId="77777777" w:rsidR="00FF7799" w:rsidRPr="00E73F6F" w:rsidRDefault="00FF7799" w:rsidP="00F3090F">
            <w:pPr>
              <w:pStyle w:val="StandardText"/>
              <w:jc w:val="center"/>
              <w:rPr>
                <w:lang w:val="de-DE"/>
              </w:rPr>
            </w:pPr>
            <w:r w:rsidRPr="00E73F6F">
              <w:rPr>
                <w:lang w:val="de-DE"/>
              </w:rPr>
              <w:t>7</w:t>
            </w:r>
          </w:p>
        </w:tc>
      </w:tr>
      <w:tr w:rsidR="00FF7799" w:rsidRPr="00E73F6F" w14:paraId="05B134CF" w14:textId="77777777" w:rsidTr="008E038E">
        <w:trPr>
          <w:trHeight w:val="242"/>
        </w:trPr>
        <w:tc>
          <w:tcPr>
            <w:tcW w:w="391" w:type="pct"/>
          </w:tcPr>
          <w:p w14:paraId="476D428A" w14:textId="77777777" w:rsidR="00FF7799" w:rsidRPr="00E73F6F" w:rsidRDefault="00FF7799" w:rsidP="00F3090F">
            <w:pPr>
              <w:pStyle w:val="StandardText"/>
              <w:jc w:val="center"/>
              <w:rPr>
                <w:lang w:val="de-DE"/>
              </w:rPr>
            </w:pPr>
            <w:r w:rsidRPr="00E73F6F">
              <w:rPr>
                <w:spacing w:val="-5"/>
                <w:lang w:val="de-DE"/>
              </w:rPr>
              <w:t>55</w:t>
            </w:r>
          </w:p>
        </w:tc>
        <w:tc>
          <w:tcPr>
            <w:tcW w:w="1720" w:type="pct"/>
          </w:tcPr>
          <w:p w14:paraId="459E8292" w14:textId="77777777" w:rsidR="00FF7799" w:rsidRPr="00E73F6F" w:rsidRDefault="00FF7799" w:rsidP="00F3090F">
            <w:pPr>
              <w:pStyle w:val="StandardText"/>
              <w:jc w:val="left"/>
              <w:rPr>
                <w:lang w:val="de-DE"/>
              </w:rPr>
            </w:pPr>
            <w:r w:rsidRPr="00E73F6F">
              <w:rPr>
                <w:lang w:val="de-DE"/>
              </w:rPr>
              <w:t>Costa</w:t>
            </w:r>
            <w:r w:rsidRPr="00E73F6F">
              <w:rPr>
                <w:spacing w:val="-5"/>
                <w:lang w:val="de-DE"/>
              </w:rPr>
              <w:t xml:space="preserve"> </w:t>
            </w:r>
            <w:r w:rsidRPr="00E73F6F">
              <w:rPr>
                <w:lang w:val="de-DE"/>
              </w:rPr>
              <w:t>Rica</w:t>
            </w:r>
          </w:p>
        </w:tc>
        <w:tc>
          <w:tcPr>
            <w:tcW w:w="963" w:type="pct"/>
          </w:tcPr>
          <w:p w14:paraId="6D03FE18" w14:textId="77777777" w:rsidR="00FF7799" w:rsidRPr="00E73F6F" w:rsidRDefault="00FF7799" w:rsidP="00F3090F">
            <w:pPr>
              <w:pStyle w:val="StandardText"/>
              <w:jc w:val="center"/>
              <w:rPr>
                <w:lang w:val="de-DE"/>
              </w:rPr>
            </w:pPr>
            <w:r w:rsidRPr="00E73F6F">
              <w:rPr>
                <w:spacing w:val="-5"/>
                <w:lang w:val="de-DE"/>
              </w:rPr>
              <w:t>4.1</w:t>
            </w:r>
          </w:p>
        </w:tc>
        <w:tc>
          <w:tcPr>
            <w:tcW w:w="963" w:type="pct"/>
          </w:tcPr>
          <w:p w14:paraId="4D37BD81" w14:textId="77777777" w:rsidR="00FF7799" w:rsidRPr="00E73F6F" w:rsidRDefault="00FF7799" w:rsidP="00F3090F">
            <w:pPr>
              <w:pStyle w:val="StandardText"/>
              <w:jc w:val="center"/>
              <w:rPr>
                <w:lang w:val="de-DE"/>
              </w:rPr>
            </w:pPr>
            <w:r w:rsidRPr="00E73F6F">
              <w:rPr>
                <w:lang w:val="de-DE"/>
              </w:rPr>
              <w:t>3.3 -</w:t>
            </w:r>
            <w:r w:rsidRPr="00E73F6F">
              <w:rPr>
                <w:spacing w:val="-3"/>
                <w:lang w:val="de-DE"/>
              </w:rPr>
              <w:t xml:space="preserve"> </w:t>
            </w:r>
            <w:r w:rsidRPr="00E73F6F">
              <w:rPr>
                <w:spacing w:val="-5"/>
                <w:lang w:val="de-DE"/>
              </w:rPr>
              <w:t>4.8</w:t>
            </w:r>
          </w:p>
        </w:tc>
        <w:tc>
          <w:tcPr>
            <w:tcW w:w="963" w:type="pct"/>
          </w:tcPr>
          <w:p w14:paraId="6E6DCF28" w14:textId="77777777" w:rsidR="00FF7799" w:rsidRPr="00E73F6F" w:rsidRDefault="00FF7799" w:rsidP="00F3090F">
            <w:pPr>
              <w:pStyle w:val="StandardText"/>
              <w:jc w:val="center"/>
              <w:rPr>
                <w:lang w:val="de-DE"/>
              </w:rPr>
            </w:pPr>
            <w:r w:rsidRPr="00E73F6F">
              <w:rPr>
                <w:lang w:val="de-DE"/>
              </w:rPr>
              <w:t>5</w:t>
            </w:r>
          </w:p>
        </w:tc>
      </w:tr>
      <w:tr w:rsidR="00FF7799" w:rsidRPr="00E73F6F" w14:paraId="16210A59" w14:textId="77777777" w:rsidTr="008E038E">
        <w:trPr>
          <w:trHeight w:val="242"/>
        </w:trPr>
        <w:tc>
          <w:tcPr>
            <w:tcW w:w="391" w:type="pct"/>
          </w:tcPr>
          <w:p w14:paraId="7A43A5AA" w14:textId="77777777" w:rsidR="00FF7799" w:rsidRPr="00E73F6F" w:rsidRDefault="00FF7799" w:rsidP="00F3090F">
            <w:pPr>
              <w:pStyle w:val="StandardText"/>
              <w:jc w:val="center"/>
              <w:rPr>
                <w:lang w:val="de-DE"/>
              </w:rPr>
            </w:pPr>
          </w:p>
        </w:tc>
        <w:tc>
          <w:tcPr>
            <w:tcW w:w="1720" w:type="pct"/>
          </w:tcPr>
          <w:p w14:paraId="10375B01" w14:textId="77777777" w:rsidR="00FF7799" w:rsidRPr="00E73F6F" w:rsidRDefault="00FF7799" w:rsidP="00F3090F">
            <w:pPr>
              <w:pStyle w:val="StandardText"/>
              <w:jc w:val="left"/>
              <w:rPr>
                <w:lang w:val="de-DE"/>
              </w:rPr>
            </w:pPr>
            <w:r w:rsidRPr="00E73F6F">
              <w:rPr>
                <w:spacing w:val="-2"/>
                <w:lang w:val="de-DE"/>
              </w:rPr>
              <w:t>Namibia</w:t>
            </w:r>
          </w:p>
        </w:tc>
        <w:tc>
          <w:tcPr>
            <w:tcW w:w="963" w:type="pct"/>
          </w:tcPr>
          <w:p w14:paraId="36AAECBC" w14:textId="77777777" w:rsidR="00FF7799" w:rsidRPr="00E73F6F" w:rsidRDefault="00FF7799" w:rsidP="00F3090F">
            <w:pPr>
              <w:pStyle w:val="StandardText"/>
              <w:jc w:val="center"/>
              <w:rPr>
                <w:lang w:val="de-DE"/>
              </w:rPr>
            </w:pPr>
            <w:r w:rsidRPr="00E73F6F">
              <w:rPr>
                <w:spacing w:val="-5"/>
                <w:lang w:val="de-DE"/>
              </w:rPr>
              <w:t>4.1</w:t>
            </w:r>
          </w:p>
        </w:tc>
        <w:tc>
          <w:tcPr>
            <w:tcW w:w="963" w:type="pct"/>
          </w:tcPr>
          <w:p w14:paraId="5648CB0D" w14:textId="77777777" w:rsidR="00FF7799" w:rsidRPr="00E73F6F" w:rsidRDefault="00FF7799" w:rsidP="00F3090F">
            <w:pPr>
              <w:pStyle w:val="StandardText"/>
              <w:jc w:val="center"/>
              <w:rPr>
                <w:lang w:val="de-DE"/>
              </w:rPr>
            </w:pPr>
            <w:r w:rsidRPr="00E73F6F">
              <w:rPr>
                <w:lang w:val="de-DE"/>
              </w:rPr>
              <w:t>3.6 -</w:t>
            </w:r>
            <w:r w:rsidRPr="00E73F6F">
              <w:rPr>
                <w:spacing w:val="-3"/>
                <w:lang w:val="de-DE"/>
              </w:rPr>
              <w:t xml:space="preserve"> </w:t>
            </w:r>
            <w:r w:rsidRPr="00E73F6F">
              <w:rPr>
                <w:spacing w:val="-5"/>
                <w:lang w:val="de-DE"/>
              </w:rPr>
              <w:t>4.9</w:t>
            </w:r>
          </w:p>
        </w:tc>
        <w:tc>
          <w:tcPr>
            <w:tcW w:w="963" w:type="pct"/>
          </w:tcPr>
          <w:p w14:paraId="41A29AFF" w14:textId="77777777" w:rsidR="00FF7799" w:rsidRPr="00E73F6F" w:rsidRDefault="00FF7799" w:rsidP="00F3090F">
            <w:pPr>
              <w:pStyle w:val="StandardText"/>
              <w:jc w:val="center"/>
              <w:rPr>
                <w:lang w:val="de-DE"/>
              </w:rPr>
            </w:pPr>
            <w:r w:rsidRPr="00E73F6F">
              <w:rPr>
                <w:lang w:val="de-DE"/>
              </w:rPr>
              <w:t>6</w:t>
            </w:r>
          </w:p>
        </w:tc>
      </w:tr>
      <w:tr w:rsidR="00FF7799" w:rsidRPr="00E73F6F" w14:paraId="23F43661" w14:textId="77777777" w:rsidTr="008E038E">
        <w:trPr>
          <w:trHeight w:val="242"/>
        </w:trPr>
        <w:tc>
          <w:tcPr>
            <w:tcW w:w="391" w:type="pct"/>
          </w:tcPr>
          <w:p w14:paraId="0C96A66B" w14:textId="77777777" w:rsidR="00FF7799" w:rsidRPr="00E73F6F" w:rsidRDefault="00FF7799" w:rsidP="00F3090F">
            <w:pPr>
              <w:pStyle w:val="StandardText"/>
              <w:jc w:val="center"/>
              <w:rPr>
                <w:lang w:val="de-DE"/>
              </w:rPr>
            </w:pPr>
            <w:r w:rsidRPr="00E73F6F">
              <w:rPr>
                <w:spacing w:val="-5"/>
                <w:lang w:val="de-DE"/>
              </w:rPr>
              <w:t>57</w:t>
            </w:r>
          </w:p>
        </w:tc>
        <w:tc>
          <w:tcPr>
            <w:tcW w:w="1720" w:type="pct"/>
          </w:tcPr>
          <w:p w14:paraId="0A7AFF30" w14:textId="77777777" w:rsidR="00FF7799" w:rsidRPr="00E73F6F" w:rsidRDefault="00FF7799" w:rsidP="00F3090F">
            <w:pPr>
              <w:pStyle w:val="StandardText"/>
              <w:jc w:val="left"/>
              <w:rPr>
                <w:lang w:val="de-DE"/>
              </w:rPr>
            </w:pPr>
            <w:r w:rsidRPr="00E73F6F">
              <w:rPr>
                <w:spacing w:val="-2"/>
                <w:lang w:val="de-DE"/>
              </w:rPr>
              <w:t>Bulgarien</w:t>
            </w:r>
          </w:p>
        </w:tc>
        <w:tc>
          <w:tcPr>
            <w:tcW w:w="963" w:type="pct"/>
          </w:tcPr>
          <w:p w14:paraId="2B9C7D46" w14:textId="77777777" w:rsidR="00FF7799" w:rsidRPr="00E73F6F" w:rsidRDefault="00FF7799" w:rsidP="00F3090F">
            <w:pPr>
              <w:pStyle w:val="StandardText"/>
              <w:jc w:val="center"/>
              <w:rPr>
                <w:lang w:val="de-DE"/>
              </w:rPr>
            </w:pPr>
            <w:r w:rsidRPr="00E73F6F">
              <w:rPr>
                <w:spacing w:val="-5"/>
                <w:lang w:val="de-DE"/>
              </w:rPr>
              <w:t>4.0</w:t>
            </w:r>
          </w:p>
        </w:tc>
        <w:tc>
          <w:tcPr>
            <w:tcW w:w="963" w:type="pct"/>
          </w:tcPr>
          <w:p w14:paraId="2D7EC00C" w14:textId="77777777" w:rsidR="00FF7799" w:rsidRPr="00E73F6F" w:rsidRDefault="00FF7799" w:rsidP="00F3090F">
            <w:pPr>
              <w:pStyle w:val="StandardText"/>
              <w:jc w:val="center"/>
              <w:rPr>
                <w:lang w:val="de-DE"/>
              </w:rPr>
            </w:pPr>
            <w:r w:rsidRPr="00E73F6F">
              <w:rPr>
                <w:lang w:val="de-DE"/>
              </w:rPr>
              <w:t>3.4 -</w:t>
            </w:r>
            <w:r w:rsidRPr="00E73F6F">
              <w:rPr>
                <w:spacing w:val="-3"/>
                <w:lang w:val="de-DE"/>
              </w:rPr>
              <w:t xml:space="preserve"> </w:t>
            </w:r>
            <w:r w:rsidRPr="00E73F6F">
              <w:rPr>
                <w:spacing w:val="-5"/>
                <w:lang w:val="de-DE"/>
              </w:rPr>
              <w:t>4.8</w:t>
            </w:r>
          </w:p>
        </w:tc>
        <w:tc>
          <w:tcPr>
            <w:tcW w:w="963" w:type="pct"/>
          </w:tcPr>
          <w:p w14:paraId="729A4920" w14:textId="77777777" w:rsidR="00FF7799" w:rsidRPr="00E73F6F" w:rsidRDefault="00FF7799" w:rsidP="00F3090F">
            <w:pPr>
              <w:pStyle w:val="StandardText"/>
              <w:jc w:val="center"/>
              <w:rPr>
                <w:lang w:val="de-DE"/>
              </w:rPr>
            </w:pPr>
            <w:r w:rsidRPr="00E73F6F">
              <w:rPr>
                <w:lang w:val="de-DE"/>
              </w:rPr>
              <w:t>7</w:t>
            </w:r>
          </w:p>
        </w:tc>
      </w:tr>
      <w:tr w:rsidR="00FF7799" w:rsidRPr="00E73F6F" w14:paraId="7E475CA4" w14:textId="77777777" w:rsidTr="008E038E">
        <w:trPr>
          <w:trHeight w:val="241"/>
        </w:trPr>
        <w:tc>
          <w:tcPr>
            <w:tcW w:w="391" w:type="pct"/>
          </w:tcPr>
          <w:p w14:paraId="6AD6F47D" w14:textId="77777777" w:rsidR="00FF7799" w:rsidRPr="00E73F6F" w:rsidRDefault="00FF7799" w:rsidP="00F3090F">
            <w:pPr>
              <w:pStyle w:val="StandardText"/>
              <w:jc w:val="center"/>
              <w:rPr>
                <w:lang w:val="de-DE"/>
              </w:rPr>
            </w:pPr>
          </w:p>
        </w:tc>
        <w:tc>
          <w:tcPr>
            <w:tcW w:w="1720" w:type="pct"/>
          </w:tcPr>
          <w:p w14:paraId="536E43AA" w14:textId="77777777" w:rsidR="00FF7799" w:rsidRPr="00E73F6F" w:rsidRDefault="00FF7799" w:rsidP="00F3090F">
            <w:pPr>
              <w:pStyle w:val="StandardText"/>
              <w:jc w:val="left"/>
              <w:rPr>
                <w:lang w:val="de-DE"/>
              </w:rPr>
            </w:pPr>
            <w:r w:rsidRPr="00E73F6F">
              <w:rPr>
                <w:lang w:val="de-DE"/>
              </w:rPr>
              <w:t>El</w:t>
            </w:r>
            <w:r w:rsidRPr="00E73F6F">
              <w:rPr>
                <w:spacing w:val="1"/>
                <w:lang w:val="de-DE"/>
              </w:rPr>
              <w:t xml:space="preserve"> </w:t>
            </w:r>
            <w:r w:rsidRPr="00E73F6F">
              <w:rPr>
                <w:spacing w:val="-2"/>
                <w:lang w:val="de-DE"/>
              </w:rPr>
              <w:t>Salvador</w:t>
            </w:r>
          </w:p>
        </w:tc>
        <w:tc>
          <w:tcPr>
            <w:tcW w:w="963" w:type="pct"/>
          </w:tcPr>
          <w:p w14:paraId="4826AC18" w14:textId="77777777" w:rsidR="00FF7799" w:rsidRPr="00E73F6F" w:rsidRDefault="00FF7799" w:rsidP="00F3090F">
            <w:pPr>
              <w:pStyle w:val="StandardText"/>
              <w:jc w:val="center"/>
              <w:rPr>
                <w:lang w:val="de-DE"/>
              </w:rPr>
            </w:pPr>
            <w:r w:rsidRPr="00E73F6F">
              <w:rPr>
                <w:spacing w:val="-5"/>
                <w:lang w:val="de-DE"/>
              </w:rPr>
              <w:t>4.0</w:t>
            </w:r>
          </w:p>
        </w:tc>
        <w:tc>
          <w:tcPr>
            <w:tcW w:w="963" w:type="pct"/>
          </w:tcPr>
          <w:p w14:paraId="0EA4FEAC" w14:textId="77777777" w:rsidR="00FF7799" w:rsidRPr="00E73F6F" w:rsidRDefault="00FF7799" w:rsidP="00F3090F">
            <w:pPr>
              <w:pStyle w:val="StandardText"/>
              <w:jc w:val="center"/>
              <w:rPr>
                <w:lang w:val="de-DE"/>
              </w:rPr>
            </w:pPr>
            <w:r w:rsidRPr="00E73F6F">
              <w:rPr>
                <w:lang w:val="de-DE"/>
              </w:rPr>
              <w:t>3.2 -</w:t>
            </w:r>
            <w:r w:rsidRPr="00E73F6F">
              <w:rPr>
                <w:spacing w:val="-3"/>
                <w:lang w:val="de-DE"/>
              </w:rPr>
              <w:t xml:space="preserve"> </w:t>
            </w:r>
            <w:r w:rsidRPr="00E73F6F">
              <w:rPr>
                <w:spacing w:val="-5"/>
                <w:lang w:val="de-DE"/>
              </w:rPr>
              <w:t>4.8</w:t>
            </w:r>
          </w:p>
        </w:tc>
        <w:tc>
          <w:tcPr>
            <w:tcW w:w="963" w:type="pct"/>
          </w:tcPr>
          <w:p w14:paraId="6ACAB9D0" w14:textId="77777777" w:rsidR="00FF7799" w:rsidRPr="00E73F6F" w:rsidRDefault="00FF7799" w:rsidP="00F3090F">
            <w:pPr>
              <w:pStyle w:val="StandardText"/>
              <w:jc w:val="center"/>
              <w:rPr>
                <w:lang w:val="de-DE"/>
              </w:rPr>
            </w:pPr>
            <w:r w:rsidRPr="00E73F6F">
              <w:rPr>
                <w:lang w:val="de-DE"/>
              </w:rPr>
              <w:t>5</w:t>
            </w:r>
          </w:p>
        </w:tc>
      </w:tr>
      <w:tr w:rsidR="00FF7799" w:rsidRPr="00E73F6F" w14:paraId="0A6A4A43" w14:textId="77777777" w:rsidTr="008E038E">
        <w:trPr>
          <w:trHeight w:val="242"/>
        </w:trPr>
        <w:tc>
          <w:tcPr>
            <w:tcW w:w="391" w:type="pct"/>
          </w:tcPr>
          <w:p w14:paraId="12B9F7FE" w14:textId="77777777" w:rsidR="00FF7799" w:rsidRPr="00E73F6F" w:rsidRDefault="00FF7799" w:rsidP="00F3090F">
            <w:pPr>
              <w:pStyle w:val="StandardText"/>
              <w:jc w:val="center"/>
              <w:rPr>
                <w:lang w:val="de-DE"/>
              </w:rPr>
            </w:pPr>
            <w:r w:rsidRPr="00E73F6F">
              <w:rPr>
                <w:spacing w:val="-5"/>
                <w:lang w:val="de-DE"/>
              </w:rPr>
              <w:t>59</w:t>
            </w:r>
          </w:p>
        </w:tc>
        <w:tc>
          <w:tcPr>
            <w:tcW w:w="1720" w:type="pct"/>
          </w:tcPr>
          <w:p w14:paraId="036B7ADB" w14:textId="77777777" w:rsidR="00FF7799" w:rsidRPr="00E73F6F" w:rsidRDefault="00FF7799" w:rsidP="00F3090F">
            <w:pPr>
              <w:pStyle w:val="StandardText"/>
              <w:jc w:val="left"/>
              <w:rPr>
                <w:lang w:val="de-DE"/>
              </w:rPr>
            </w:pPr>
            <w:r w:rsidRPr="00E73F6F">
              <w:rPr>
                <w:spacing w:val="-2"/>
                <w:lang w:val="de-DE"/>
              </w:rPr>
              <w:t>Kolumbien</w:t>
            </w:r>
          </w:p>
        </w:tc>
        <w:tc>
          <w:tcPr>
            <w:tcW w:w="963" w:type="pct"/>
          </w:tcPr>
          <w:p w14:paraId="4D54E425" w14:textId="77777777" w:rsidR="00FF7799" w:rsidRPr="00E73F6F" w:rsidRDefault="00FF7799" w:rsidP="00F3090F">
            <w:pPr>
              <w:pStyle w:val="StandardText"/>
              <w:jc w:val="center"/>
              <w:rPr>
                <w:lang w:val="de-DE"/>
              </w:rPr>
            </w:pPr>
            <w:r w:rsidRPr="00E73F6F">
              <w:rPr>
                <w:spacing w:val="-5"/>
                <w:lang w:val="de-DE"/>
              </w:rPr>
              <w:t>3.9</w:t>
            </w:r>
          </w:p>
        </w:tc>
        <w:tc>
          <w:tcPr>
            <w:tcW w:w="963" w:type="pct"/>
          </w:tcPr>
          <w:p w14:paraId="4CC14F4F" w14:textId="77777777" w:rsidR="00FF7799" w:rsidRPr="00E73F6F" w:rsidRDefault="00FF7799" w:rsidP="00F3090F">
            <w:pPr>
              <w:pStyle w:val="StandardText"/>
              <w:jc w:val="center"/>
              <w:rPr>
                <w:lang w:val="de-DE"/>
              </w:rPr>
            </w:pPr>
            <w:r w:rsidRPr="00E73F6F">
              <w:rPr>
                <w:lang w:val="de-DE"/>
              </w:rPr>
              <w:t>3.5 -</w:t>
            </w:r>
            <w:r w:rsidRPr="00E73F6F">
              <w:rPr>
                <w:spacing w:val="-3"/>
                <w:lang w:val="de-DE"/>
              </w:rPr>
              <w:t xml:space="preserve"> </w:t>
            </w:r>
            <w:r w:rsidRPr="00E73F6F">
              <w:rPr>
                <w:spacing w:val="-5"/>
                <w:lang w:val="de-DE"/>
              </w:rPr>
              <w:t>4.7</w:t>
            </w:r>
          </w:p>
        </w:tc>
        <w:tc>
          <w:tcPr>
            <w:tcW w:w="963" w:type="pct"/>
          </w:tcPr>
          <w:p w14:paraId="2F0C6ACF" w14:textId="77777777" w:rsidR="00FF7799" w:rsidRPr="00E73F6F" w:rsidRDefault="00FF7799" w:rsidP="00F3090F">
            <w:pPr>
              <w:pStyle w:val="StandardText"/>
              <w:jc w:val="center"/>
              <w:rPr>
                <w:lang w:val="de-DE"/>
              </w:rPr>
            </w:pPr>
            <w:r w:rsidRPr="00E73F6F">
              <w:rPr>
                <w:lang w:val="de-DE"/>
              </w:rPr>
              <w:t>7</w:t>
            </w:r>
          </w:p>
        </w:tc>
      </w:tr>
      <w:tr w:rsidR="00FF7799" w:rsidRPr="00E73F6F" w14:paraId="589C7344" w14:textId="77777777" w:rsidTr="008E038E">
        <w:trPr>
          <w:trHeight w:val="244"/>
        </w:trPr>
        <w:tc>
          <w:tcPr>
            <w:tcW w:w="391" w:type="pct"/>
          </w:tcPr>
          <w:p w14:paraId="2AAFB59F" w14:textId="77777777" w:rsidR="00FF7799" w:rsidRPr="00E73F6F" w:rsidRDefault="00FF7799" w:rsidP="00F3090F">
            <w:pPr>
              <w:pStyle w:val="StandardText"/>
              <w:jc w:val="center"/>
              <w:rPr>
                <w:lang w:val="de-DE"/>
              </w:rPr>
            </w:pPr>
            <w:r w:rsidRPr="00E73F6F">
              <w:rPr>
                <w:spacing w:val="-5"/>
                <w:lang w:val="de-DE"/>
              </w:rPr>
              <w:t>60</w:t>
            </w:r>
          </w:p>
        </w:tc>
        <w:tc>
          <w:tcPr>
            <w:tcW w:w="1720" w:type="pct"/>
          </w:tcPr>
          <w:p w14:paraId="31D760F7" w14:textId="77777777" w:rsidR="00FF7799" w:rsidRPr="00E73F6F" w:rsidRDefault="00FF7799" w:rsidP="00F3090F">
            <w:pPr>
              <w:pStyle w:val="StandardText"/>
              <w:jc w:val="left"/>
              <w:rPr>
                <w:lang w:val="de-DE"/>
              </w:rPr>
            </w:pPr>
            <w:r w:rsidRPr="00E73F6F">
              <w:rPr>
                <w:spacing w:val="-2"/>
                <w:lang w:val="de-DE"/>
              </w:rPr>
              <w:t>Türkei</w:t>
            </w:r>
          </w:p>
        </w:tc>
        <w:tc>
          <w:tcPr>
            <w:tcW w:w="963" w:type="pct"/>
          </w:tcPr>
          <w:p w14:paraId="2EAFB328" w14:textId="77777777" w:rsidR="00FF7799" w:rsidRPr="00E73F6F" w:rsidRDefault="00FF7799" w:rsidP="00F3090F">
            <w:pPr>
              <w:pStyle w:val="StandardText"/>
              <w:jc w:val="center"/>
              <w:rPr>
                <w:lang w:val="de-DE"/>
              </w:rPr>
            </w:pPr>
            <w:r w:rsidRPr="00E73F6F">
              <w:rPr>
                <w:spacing w:val="-5"/>
                <w:lang w:val="de-DE"/>
              </w:rPr>
              <w:t>3.8</w:t>
            </w:r>
          </w:p>
        </w:tc>
        <w:tc>
          <w:tcPr>
            <w:tcW w:w="963" w:type="pct"/>
          </w:tcPr>
          <w:p w14:paraId="2578CDB0" w14:textId="77777777" w:rsidR="00FF7799" w:rsidRPr="00E73F6F" w:rsidRDefault="00FF7799" w:rsidP="00F3090F">
            <w:pPr>
              <w:pStyle w:val="StandardText"/>
              <w:jc w:val="center"/>
              <w:rPr>
                <w:lang w:val="de-DE"/>
              </w:rPr>
            </w:pPr>
            <w:r w:rsidRPr="00E73F6F">
              <w:rPr>
                <w:lang w:val="de-DE"/>
              </w:rPr>
              <w:t>3.3 -</w:t>
            </w:r>
            <w:r w:rsidRPr="00E73F6F">
              <w:rPr>
                <w:spacing w:val="-3"/>
                <w:lang w:val="de-DE"/>
              </w:rPr>
              <w:t xml:space="preserve"> </w:t>
            </w:r>
            <w:r w:rsidRPr="00E73F6F">
              <w:rPr>
                <w:spacing w:val="-5"/>
                <w:lang w:val="de-DE"/>
              </w:rPr>
              <w:t>4.2</w:t>
            </w:r>
          </w:p>
        </w:tc>
        <w:tc>
          <w:tcPr>
            <w:tcW w:w="963" w:type="pct"/>
          </w:tcPr>
          <w:p w14:paraId="2677AFB5" w14:textId="77777777" w:rsidR="00FF7799" w:rsidRPr="00E73F6F" w:rsidRDefault="00FF7799" w:rsidP="00F3090F">
            <w:pPr>
              <w:pStyle w:val="StandardText"/>
              <w:jc w:val="center"/>
              <w:rPr>
                <w:lang w:val="de-DE"/>
              </w:rPr>
            </w:pPr>
            <w:r w:rsidRPr="00E73F6F">
              <w:rPr>
                <w:lang w:val="de-DE"/>
              </w:rPr>
              <w:t>7</w:t>
            </w:r>
          </w:p>
        </w:tc>
      </w:tr>
      <w:tr w:rsidR="00FF7799" w:rsidRPr="00E73F6F" w14:paraId="2EEA8EE2" w14:textId="77777777" w:rsidTr="008E038E">
        <w:trPr>
          <w:trHeight w:val="244"/>
        </w:trPr>
        <w:tc>
          <w:tcPr>
            <w:tcW w:w="391" w:type="pct"/>
          </w:tcPr>
          <w:p w14:paraId="04FEE09B" w14:textId="77777777" w:rsidR="00FF7799" w:rsidRPr="00E73F6F" w:rsidRDefault="00FF7799" w:rsidP="00F3090F">
            <w:pPr>
              <w:pStyle w:val="StandardText"/>
              <w:jc w:val="center"/>
              <w:rPr>
                <w:lang w:val="de-DE"/>
              </w:rPr>
            </w:pPr>
            <w:r w:rsidRPr="00E73F6F">
              <w:rPr>
                <w:spacing w:val="-5"/>
                <w:lang w:val="de-DE"/>
              </w:rPr>
              <w:t>61</w:t>
            </w:r>
          </w:p>
        </w:tc>
        <w:tc>
          <w:tcPr>
            <w:tcW w:w="1720" w:type="pct"/>
          </w:tcPr>
          <w:p w14:paraId="40FB592C" w14:textId="77777777" w:rsidR="00FF7799" w:rsidRPr="00E73F6F" w:rsidRDefault="00FF7799" w:rsidP="00F3090F">
            <w:pPr>
              <w:pStyle w:val="StandardText"/>
              <w:jc w:val="left"/>
              <w:rPr>
                <w:lang w:val="de-DE"/>
              </w:rPr>
            </w:pPr>
            <w:r w:rsidRPr="00E73F6F">
              <w:rPr>
                <w:spacing w:val="-2"/>
                <w:lang w:val="de-DE"/>
              </w:rPr>
              <w:t>Jamaika</w:t>
            </w:r>
          </w:p>
        </w:tc>
        <w:tc>
          <w:tcPr>
            <w:tcW w:w="963" w:type="pct"/>
          </w:tcPr>
          <w:p w14:paraId="0598D60A" w14:textId="77777777" w:rsidR="00FF7799" w:rsidRPr="00E73F6F" w:rsidRDefault="00FF7799" w:rsidP="00F3090F">
            <w:pPr>
              <w:pStyle w:val="StandardText"/>
              <w:jc w:val="center"/>
              <w:rPr>
                <w:lang w:val="de-DE"/>
              </w:rPr>
            </w:pPr>
            <w:r w:rsidRPr="00E73F6F">
              <w:rPr>
                <w:spacing w:val="-5"/>
                <w:lang w:val="de-DE"/>
              </w:rPr>
              <w:t>3.7</w:t>
            </w:r>
          </w:p>
        </w:tc>
        <w:tc>
          <w:tcPr>
            <w:tcW w:w="963" w:type="pct"/>
          </w:tcPr>
          <w:p w14:paraId="5357E412" w14:textId="77777777" w:rsidR="00FF7799" w:rsidRPr="00E73F6F" w:rsidRDefault="00FF7799" w:rsidP="00F3090F">
            <w:pPr>
              <w:pStyle w:val="StandardText"/>
              <w:jc w:val="center"/>
              <w:rPr>
                <w:lang w:val="de-DE"/>
              </w:rPr>
            </w:pPr>
            <w:r w:rsidRPr="00E73F6F">
              <w:rPr>
                <w:lang w:val="de-DE"/>
              </w:rPr>
              <w:t>3.4 -</w:t>
            </w:r>
            <w:r w:rsidRPr="00E73F6F">
              <w:rPr>
                <w:spacing w:val="-3"/>
                <w:lang w:val="de-DE"/>
              </w:rPr>
              <w:t xml:space="preserve"> </w:t>
            </w:r>
            <w:r w:rsidRPr="00E73F6F">
              <w:rPr>
                <w:spacing w:val="-5"/>
                <w:lang w:val="de-DE"/>
              </w:rPr>
              <w:t>4.0</w:t>
            </w:r>
          </w:p>
        </w:tc>
        <w:tc>
          <w:tcPr>
            <w:tcW w:w="963" w:type="pct"/>
          </w:tcPr>
          <w:p w14:paraId="6DD56758" w14:textId="77777777" w:rsidR="00FF7799" w:rsidRPr="00E73F6F" w:rsidRDefault="00FF7799" w:rsidP="00F3090F">
            <w:pPr>
              <w:pStyle w:val="StandardText"/>
              <w:jc w:val="center"/>
              <w:rPr>
                <w:lang w:val="de-DE"/>
              </w:rPr>
            </w:pPr>
            <w:r w:rsidRPr="00E73F6F">
              <w:rPr>
                <w:lang w:val="de-DE"/>
              </w:rPr>
              <w:t>5</w:t>
            </w:r>
          </w:p>
        </w:tc>
      </w:tr>
      <w:tr w:rsidR="00FF7799" w:rsidRPr="00E73F6F" w14:paraId="025FB987" w14:textId="77777777" w:rsidTr="008E038E">
        <w:trPr>
          <w:trHeight w:val="239"/>
        </w:trPr>
        <w:tc>
          <w:tcPr>
            <w:tcW w:w="391" w:type="pct"/>
          </w:tcPr>
          <w:p w14:paraId="77784DF0" w14:textId="77777777" w:rsidR="00FF7799" w:rsidRPr="00E73F6F" w:rsidRDefault="00FF7799" w:rsidP="00F3090F">
            <w:pPr>
              <w:pStyle w:val="StandardText"/>
              <w:jc w:val="center"/>
              <w:rPr>
                <w:lang w:val="de-DE"/>
              </w:rPr>
            </w:pPr>
          </w:p>
        </w:tc>
        <w:tc>
          <w:tcPr>
            <w:tcW w:w="1720" w:type="pct"/>
          </w:tcPr>
          <w:p w14:paraId="5D52E839" w14:textId="77777777" w:rsidR="00FF7799" w:rsidRPr="00E73F6F" w:rsidRDefault="00FF7799" w:rsidP="00F3090F">
            <w:pPr>
              <w:pStyle w:val="StandardText"/>
              <w:jc w:val="left"/>
              <w:rPr>
                <w:lang w:val="de-DE"/>
              </w:rPr>
            </w:pPr>
            <w:r w:rsidRPr="00E73F6F">
              <w:rPr>
                <w:spacing w:val="-2"/>
                <w:lang w:val="de-DE"/>
              </w:rPr>
              <w:t>Polen</w:t>
            </w:r>
          </w:p>
        </w:tc>
        <w:tc>
          <w:tcPr>
            <w:tcW w:w="963" w:type="pct"/>
          </w:tcPr>
          <w:p w14:paraId="50A3AC3F" w14:textId="77777777" w:rsidR="00FF7799" w:rsidRPr="00E73F6F" w:rsidRDefault="00FF7799" w:rsidP="00F3090F">
            <w:pPr>
              <w:pStyle w:val="StandardText"/>
              <w:jc w:val="center"/>
              <w:rPr>
                <w:lang w:val="de-DE"/>
              </w:rPr>
            </w:pPr>
            <w:r w:rsidRPr="00E73F6F">
              <w:rPr>
                <w:spacing w:val="-5"/>
                <w:lang w:val="de-DE"/>
              </w:rPr>
              <w:t>3.7</w:t>
            </w:r>
          </w:p>
        </w:tc>
        <w:tc>
          <w:tcPr>
            <w:tcW w:w="963" w:type="pct"/>
          </w:tcPr>
          <w:p w14:paraId="3213C90D" w14:textId="77777777" w:rsidR="00FF7799" w:rsidRPr="00E73F6F" w:rsidRDefault="00FF7799" w:rsidP="00F3090F">
            <w:pPr>
              <w:pStyle w:val="StandardText"/>
              <w:jc w:val="center"/>
              <w:rPr>
                <w:lang w:val="de-DE"/>
              </w:rPr>
            </w:pPr>
            <w:r w:rsidRPr="00E73F6F">
              <w:rPr>
                <w:lang w:val="de-DE"/>
              </w:rPr>
              <w:t>3.2 -</w:t>
            </w:r>
            <w:r w:rsidRPr="00E73F6F">
              <w:rPr>
                <w:spacing w:val="-3"/>
                <w:lang w:val="de-DE"/>
              </w:rPr>
              <w:t xml:space="preserve"> </w:t>
            </w:r>
            <w:r w:rsidRPr="00E73F6F">
              <w:rPr>
                <w:spacing w:val="-5"/>
                <w:lang w:val="de-DE"/>
              </w:rPr>
              <w:t>4.4</w:t>
            </w:r>
          </w:p>
        </w:tc>
        <w:tc>
          <w:tcPr>
            <w:tcW w:w="963" w:type="pct"/>
          </w:tcPr>
          <w:p w14:paraId="3C14BB3C" w14:textId="77777777" w:rsidR="00FF7799" w:rsidRPr="00E73F6F" w:rsidRDefault="00FF7799" w:rsidP="00F3090F">
            <w:pPr>
              <w:pStyle w:val="StandardText"/>
              <w:jc w:val="center"/>
              <w:rPr>
                <w:lang w:val="de-DE"/>
              </w:rPr>
            </w:pPr>
            <w:r w:rsidRPr="00E73F6F">
              <w:rPr>
                <w:lang w:val="de-DE"/>
              </w:rPr>
              <w:t>8</w:t>
            </w:r>
          </w:p>
        </w:tc>
      </w:tr>
      <w:tr w:rsidR="00FF7799" w:rsidRPr="00E73F6F" w14:paraId="2095B163" w14:textId="77777777" w:rsidTr="008E038E">
        <w:trPr>
          <w:trHeight w:val="244"/>
        </w:trPr>
        <w:tc>
          <w:tcPr>
            <w:tcW w:w="391" w:type="pct"/>
          </w:tcPr>
          <w:p w14:paraId="2D5D2385" w14:textId="77777777" w:rsidR="00FF7799" w:rsidRPr="00E73F6F" w:rsidRDefault="00FF7799" w:rsidP="00F3090F">
            <w:pPr>
              <w:pStyle w:val="StandardText"/>
              <w:jc w:val="center"/>
              <w:rPr>
                <w:lang w:val="de-DE"/>
              </w:rPr>
            </w:pPr>
            <w:r w:rsidRPr="00E73F6F">
              <w:rPr>
                <w:spacing w:val="-5"/>
                <w:lang w:val="de-DE"/>
              </w:rPr>
              <w:t>63</w:t>
            </w:r>
          </w:p>
        </w:tc>
        <w:tc>
          <w:tcPr>
            <w:tcW w:w="1720" w:type="pct"/>
          </w:tcPr>
          <w:p w14:paraId="692876FD" w14:textId="77777777" w:rsidR="00FF7799" w:rsidRPr="00E73F6F" w:rsidRDefault="00FF7799" w:rsidP="00F3090F">
            <w:pPr>
              <w:pStyle w:val="StandardText"/>
              <w:jc w:val="left"/>
              <w:rPr>
                <w:lang w:val="de-DE"/>
              </w:rPr>
            </w:pPr>
            <w:r w:rsidRPr="00E73F6F">
              <w:rPr>
                <w:spacing w:val="-2"/>
                <w:lang w:val="de-DE"/>
              </w:rPr>
              <w:t>Libanon</w:t>
            </w:r>
          </w:p>
        </w:tc>
        <w:tc>
          <w:tcPr>
            <w:tcW w:w="963" w:type="pct"/>
          </w:tcPr>
          <w:p w14:paraId="5069B84D" w14:textId="77777777" w:rsidR="00FF7799" w:rsidRPr="00E73F6F" w:rsidRDefault="00FF7799" w:rsidP="00F3090F">
            <w:pPr>
              <w:pStyle w:val="StandardText"/>
              <w:jc w:val="center"/>
              <w:rPr>
                <w:lang w:val="de-DE"/>
              </w:rPr>
            </w:pPr>
            <w:r w:rsidRPr="00E73F6F">
              <w:rPr>
                <w:spacing w:val="-5"/>
                <w:lang w:val="de-DE"/>
              </w:rPr>
              <w:t>3.6</w:t>
            </w:r>
          </w:p>
        </w:tc>
        <w:tc>
          <w:tcPr>
            <w:tcW w:w="963" w:type="pct"/>
          </w:tcPr>
          <w:p w14:paraId="02D04D80" w14:textId="77777777" w:rsidR="00FF7799" w:rsidRPr="00E73F6F" w:rsidRDefault="00FF7799" w:rsidP="00F3090F">
            <w:pPr>
              <w:pStyle w:val="StandardText"/>
              <w:jc w:val="center"/>
              <w:rPr>
                <w:lang w:val="de-DE"/>
              </w:rPr>
            </w:pPr>
            <w:r w:rsidRPr="00E73F6F">
              <w:rPr>
                <w:lang w:val="de-DE"/>
              </w:rPr>
              <w:t>3.2 -</w:t>
            </w:r>
            <w:r w:rsidRPr="00E73F6F">
              <w:rPr>
                <w:spacing w:val="-3"/>
                <w:lang w:val="de-DE"/>
              </w:rPr>
              <w:t xml:space="preserve"> </w:t>
            </w:r>
            <w:r w:rsidRPr="00E73F6F">
              <w:rPr>
                <w:spacing w:val="-5"/>
                <w:lang w:val="de-DE"/>
              </w:rPr>
              <w:t>3.8</w:t>
            </w:r>
          </w:p>
        </w:tc>
        <w:tc>
          <w:tcPr>
            <w:tcW w:w="963" w:type="pct"/>
          </w:tcPr>
          <w:p w14:paraId="0C39CDB8" w14:textId="77777777" w:rsidR="00FF7799" w:rsidRPr="00E73F6F" w:rsidRDefault="00FF7799" w:rsidP="00F3090F">
            <w:pPr>
              <w:pStyle w:val="StandardText"/>
              <w:jc w:val="center"/>
              <w:rPr>
                <w:lang w:val="de-DE"/>
              </w:rPr>
            </w:pPr>
            <w:r w:rsidRPr="00E73F6F">
              <w:rPr>
                <w:lang w:val="de-DE"/>
              </w:rPr>
              <w:t>3</w:t>
            </w:r>
          </w:p>
        </w:tc>
      </w:tr>
      <w:tr w:rsidR="00FF7799" w:rsidRPr="00E73F6F" w14:paraId="29B2146A" w14:textId="77777777" w:rsidTr="008E038E">
        <w:trPr>
          <w:trHeight w:val="239"/>
        </w:trPr>
        <w:tc>
          <w:tcPr>
            <w:tcW w:w="391" w:type="pct"/>
          </w:tcPr>
          <w:p w14:paraId="29C2ED83" w14:textId="77777777" w:rsidR="00FF7799" w:rsidRPr="00E73F6F" w:rsidRDefault="00FF7799" w:rsidP="00F3090F">
            <w:pPr>
              <w:pStyle w:val="StandardText"/>
              <w:jc w:val="center"/>
              <w:rPr>
                <w:lang w:val="de-DE"/>
              </w:rPr>
            </w:pPr>
          </w:p>
        </w:tc>
        <w:tc>
          <w:tcPr>
            <w:tcW w:w="1720" w:type="pct"/>
          </w:tcPr>
          <w:p w14:paraId="361E7AEB" w14:textId="77777777" w:rsidR="00FF7799" w:rsidRPr="00E73F6F" w:rsidRDefault="00FF7799" w:rsidP="00F3090F">
            <w:pPr>
              <w:pStyle w:val="StandardText"/>
              <w:jc w:val="left"/>
              <w:rPr>
                <w:lang w:val="de-DE"/>
              </w:rPr>
            </w:pPr>
            <w:r w:rsidRPr="00E73F6F">
              <w:rPr>
                <w:spacing w:val="-2"/>
                <w:lang w:val="de-DE"/>
              </w:rPr>
              <w:t>Seychellen</w:t>
            </w:r>
          </w:p>
        </w:tc>
        <w:tc>
          <w:tcPr>
            <w:tcW w:w="963" w:type="pct"/>
          </w:tcPr>
          <w:p w14:paraId="4A5E4DAB" w14:textId="77777777" w:rsidR="00FF7799" w:rsidRPr="00E73F6F" w:rsidRDefault="00FF7799" w:rsidP="00F3090F">
            <w:pPr>
              <w:pStyle w:val="StandardText"/>
              <w:jc w:val="center"/>
              <w:rPr>
                <w:lang w:val="de-DE"/>
              </w:rPr>
            </w:pPr>
            <w:r w:rsidRPr="00E73F6F">
              <w:rPr>
                <w:spacing w:val="-5"/>
                <w:lang w:val="de-DE"/>
              </w:rPr>
              <w:t>3.6</w:t>
            </w:r>
          </w:p>
        </w:tc>
        <w:tc>
          <w:tcPr>
            <w:tcW w:w="963" w:type="pct"/>
          </w:tcPr>
          <w:p w14:paraId="1ED6756F" w14:textId="77777777" w:rsidR="00FF7799" w:rsidRPr="00E73F6F" w:rsidRDefault="00FF7799" w:rsidP="00F3090F">
            <w:pPr>
              <w:pStyle w:val="StandardText"/>
              <w:jc w:val="center"/>
              <w:rPr>
                <w:lang w:val="de-DE"/>
              </w:rPr>
            </w:pPr>
            <w:r w:rsidRPr="00E73F6F">
              <w:rPr>
                <w:lang w:val="de-DE"/>
              </w:rPr>
              <w:t>3.2 -</w:t>
            </w:r>
            <w:r w:rsidRPr="00E73F6F">
              <w:rPr>
                <w:spacing w:val="-3"/>
                <w:lang w:val="de-DE"/>
              </w:rPr>
              <w:t xml:space="preserve"> </w:t>
            </w:r>
            <w:r w:rsidRPr="00E73F6F">
              <w:rPr>
                <w:spacing w:val="-5"/>
                <w:lang w:val="de-DE"/>
              </w:rPr>
              <w:t>3.8</w:t>
            </w:r>
          </w:p>
        </w:tc>
        <w:tc>
          <w:tcPr>
            <w:tcW w:w="963" w:type="pct"/>
          </w:tcPr>
          <w:p w14:paraId="2463F4C6" w14:textId="77777777" w:rsidR="00FF7799" w:rsidRPr="00E73F6F" w:rsidRDefault="00FF7799" w:rsidP="00F3090F">
            <w:pPr>
              <w:pStyle w:val="StandardText"/>
              <w:jc w:val="center"/>
              <w:rPr>
                <w:lang w:val="de-DE"/>
              </w:rPr>
            </w:pPr>
            <w:r w:rsidRPr="00E73F6F">
              <w:rPr>
                <w:lang w:val="de-DE"/>
              </w:rPr>
              <w:t>3</w:t>
            </w:r>
          </w:p>
        </w:tc>
      </w:tr>
      <w:tr w:rsidR="00FF7799" w:rsidRPr="00E73F6F" w14:paraId="29684077" w14:textId="77777777" w:rsidTr="008E038E">
        <w:trPr>
          <w:trHeight w:val="244"/>
        </w:trPr>
        <w:tc>
          <w:tcPr>
            <w:tcW w:w="391" w:type="pct"/>
          </w:tcPr>
          <w:p w14:paraId="2FC60119" w14:textId="77777777" w:rsidR="00FF7799" w:rsidRPr="00E73F6F" w:rsidRDefault="00FF7799" w:rsidP="00F3090F">
            <w:pPr>
              <w:pStyle w:val="StandardText"/>
              <w:jc w:val="center"/>
              <w:rPr>
                <w:lang w:val="de-DE"/>
              </w:rPr>
            </w:pPr>
          </w:p>
        </w:tc>
        <w:tc>
          <w:tcPr>
            <w:tcW w:w="1720" w:type="pct"/>
          </w:tcPr>
          <w:p w14:paraId="5A24E6B6" w14:textId="77777777" w:rsidR="00FF7799" w:rsidRPr="00E73F6F" w:rsidRDefault="00FF7799" w:rsidP="00F3090F">
            <w:pPr>
              <w:pStyle w:val="StandardText"/>
              <w:jc w:val="left"/>
              <w:rPr>
                <w:lang w:val="de-DE"/>
              </w:rPr>
            </w:pPr>
            <w:r w:rsidRPr="00E73F6F">
              <w:rPr>
                <w:spacing w:val="-2"/>
                <w:lang w:val="de-DE"/>
              </w:rPr>
              <w:t>Thailand</w:t>
            </w:r>
          </w:p>
        </w:tc>
        <w:tc>
          <w:tcPr>
            <w:tcW w:w="963" w:type="pct"/>
          </w:tcPr>
          <w:p w14:paraId="54B3AAA9" w14:textId="77777777" w:rsidR="00FF7799" w:rsidRPr="00E73F6F" w:rsidRDefault="00FF7799" w:rsidP="00F3090F">
            <w:pPr>
              <w:pStyle w:val="StandardText"/>
              <w:jc w:val="center"/>
              <w:rPr>
                <w:lang w:val="de-DE"/>
              </w:rPr>
            </w:pPr>
            <w:r w:rsidRPr="00E73F6F">
              <w:rPr>
                <w:spacing w:val="-5"/>
                <w:lang w:val="de-DE"/>
              </w:rPr>
              <w:t>3.6</w:t>
            </w:r>
          </w:p>
        </w:tc>
        <w:tc>
          <w:tcPr>
            <w:tcW w:w="963" w:type="pct"/>
          </w:tcPr>
          <w:p w14:paraId="0BA6E75F" w14:textId="77777777" w:rsidR="00FF7799" w:rsidRPr="00E73F6F" w:rsidRDefault="00FF7799" w:rsidP="00F3090F">
            <w:pPr>
              <w:pStyle w:val="StandardText"/>
              <w:jc w:val="center"/>
              <w:rPr>
                <w:lang w:val="de-DE"/>
              </w:rPr>
            </w:pPr>
            <w:r w:rsidRPr="00E73F6F">
              <w:rPr>
                <w:lang w:val="de-DE"/>
              </w:rPr>
              <w:t>3.2 -</w:t>
            </w:r>
            <w:r w:rsidRPr="00E73F6F">
              <w:rPr>
                <w:spacing w:val="-3"/>
                <w:lang w:val="de-DE"/>
              </w:rPr>
              <w:t xml:space="preserve"> </w:t>
            </w:r>
            <w:r w:rsidRPr="00E73F6F">
              <w:rPr>
                <w:spacing w:val="-5"/>
                <w:lang w:val="de-DE"/>
              </w:rPr>
              <w:t>3.9</w:t>
            </w:r>
          </w:p>
        </w:tc>
        <w:tc>
          <w:tcPr>
            <w:tcW w:w="963" w:type="pct"/>
          </w:tcPr>
          <w:p w14:paraId="1D06D00D" w14:textId="77777777" w:rsidR="00FF7799" w:rsidRPr="00E73F6F" w:rsidRDefault="00FF7799" w:rsidP="00F3090F">
            <w:pPr>
              <w:pStyle w:val="StandardText"/>
              <w:jc w:val="center"/>
              <w:rPr>
                <w:lang w:val="de-DE"/>
              </w:rPr>
            </w:pPr>
            <w:r w:rsidRPr="00E73F6F">
              <w:rPr>
                <w:lang w:val="de-DE"/>
              </w:rPr>
              <w:t>9</w:t>
            </w:r>
          </w:p>
        </w:tc>
      </w:tr>
      <w:tr w:rsidR="00FF7799" w:rsidRPr="00E73F6F" w14:paraId="0DA39864" w14:textId="77777777" w:rsidTr="008E038E">
        <w:trPr>
          <w:trHeight w:val="240"/>
        </w:trPr>
        <w:tc>
          <w:tcPr>
            <w:tcW w:w="391" w:type="pct"/>
          </w:tcPr>
          <w:p w14:paraId="1F7DE27C" w14:textId="77777777" w:rsidR="00FF7799" w:rsidRPr="00E73F6F" w:rsidRDefault="00FF7799" w:rsidP="00F3090F">
            <w:pPr>
              <w:pStyle w:val="StandardText"/>
              <w:jc w:val="center"/>
              <w:rPr>
                <w:lang w:val="de-DE"/>
              </w:rPr>
            </w:pPr>
            <w:r w:rsidRPr="00E73F6F">
              <w:rPr>
                <w:spacing w:val="-5"/>
                <w:lang w:val="de-DE"/>
              </w:rPr>
              <w:t>66</w:t>
            </w:r>
          </w:p>
        </w:tc>
        <w:tc>
          <w:tcPr>
            <w:tcW w:w="1720" w:type="pct"/>
          </w:tcPr>
          <w:p w14:paraId="3B666CF0" w14:textId="77777777" w:rsidR="00FF7799" w:rsidRPr="00E73F6F" w:rsidRDefault="00FF7799" w:rsidP="00F3090F">
            <w:pPr>
              <w:pStyle w:val="StandardText"/>
              <w:jc w:val="left"/>
              <w:rPr>
                <w:lang w:val="de-DE"/>
              </w:rPr>
            </w:pPr>
            <w:r w:rsidRPr="00E73F6F">
              <w:rPr>
                <w:spacing w:val="-2"/>
                <w:lang w:val="de-DE"/>
              </w:rPr>
              <w:t>Belize</w:t>
            </w:r>
          </w:p>
        </w:tc>
        <w:tc>
          <w:tcPr>
            <w:tcW w:w="963" w:type="pct"/>
          </w:tcPr>
          <w:p w14:paraId="636E0E60" w14:textId="77777777" w:rsidR="00FF7799" w:rsidRPr="00E73F6F" w:rsidRDefault="00FF7799" w:rsidP="00F3090F">
            <w:pPr>
              <w:pStyle w:val="StandardText"/>
              <w:jc w:val="center"/>
              <w:rPr>
                <w:lang w:val="de-DE"/>
              </w:rPr>
            </w:pPr>
            <w:r w:rsidRPr="00E73F6F">
              <w:rPr>
                <w:spacing w:val="-5"/>
                <w:lang w:val="de-DE"/>
              </w:rPr>
              <w:t>3.5</w:t>
            </w:r>
          </w:p>
        </w:tc>
        <w:tc>
          <w:tcPr>
            <w:tcW w:w="963" w:type="pct"/>
          </w:tcPr>
          <w:p w14:paraId="102A54E4" w14:textId="77777777" w:rsidR="00FF7799" w:rsidRPr="00E73F6F" w:rsidRDefault="00FF7799" w:rsidP="00F3090F">
            <w:pPr>
              <w:pStyle w:val="StandardText"/>
              <w:jc w:val="center"/>
              <w:rPr>
                <w:lang w:val="de-DE"/>
              </w:rPr>
            </w:pPr>
            <w:r w:rsidRPr="00E73F6F">
              <w:rPr>
                <w:lang w:val="de-DE"/>
              </w:rPr>
              <w:t>2.3 -</w:t>
            </w:r>
            <w:r w:rsidRPr="00E73F6F">
              <w:rPr>
                <w:spacing w:val="-3"/>
                <w:lang w:val="de-DE"/>
              </w:rPr>
              <w:t xml:space="preserve"> </w:t>
            </w:r>
            <w:r w:rsidRPr="00E73F6F">
              <w:rPr>
                <w:spacing w:val="-5"/>
                <w:lang w:val="de-DE"/>
              </w:rPr>
              <w:t>4.0</w:t>
            </w:r>
          </w:p>
        </w:tc>
        <w:tc>
          <w:tcPr>
            <w:tcW w:w="963" w:type="pct"/>
          </w:tcPr>
          <w:p w14:paraId="43076467" w14:textId="77777777" w:rsidR="00FF7799" w:rsidRPr="00E73F6F" w:rsidRDefault="00FF7799" w:rsidP="00F3090F">
            <w:pPr>
              <w:pStyle w:val="StandardText"/>
              <w:jc w:val="center"/>
              <w:rPr>
                <w:lang w:val="de-DE"/>
              </w:rPr>
            </w:pPr>
            <w:r w:rsidRPr="00E73F6F">
              <w:rPr>
                <w:lang w:val="de-DE"/>
              </w:rPr>
              <w:t>3</w:t>
            </w:r>
          </w:p>
        </w:tc>
      </w:tr>
      <w:tr w:rsidR="00FF7799" w:rsidRPr="00E73F6F" w14:paraId="69DEA38A" w14:textId="77777777" w:rsidTr="008E038E">
        <w:trPr>
          <w:trHeight w:val="244"/>
        </w:trPr>
        <w:tc>
          <w:tcPr>
            <w:tcW w:w="391" w:type="pct"/>
          </w:tcPr>
          <w:p w14:paraId="5819E70E" w14:textId="77777777" w:rsidR="00FF7799" w:rsidRPr="00E73F6F" w:rsidRDefault="00FF7799" w:rsidP="00F3090F">
            <w:pPr>
              <w:pStyle w:val="StandardText"/>
              <w:jc w:val="center"/>
              <w:rPr>
                <w:lang w:val="de-DE"/>
              </w:rPr>
            </w:pPr>
          </w:p>
        </w:tc>
        <w:tc>
          <w:tcPr>
            <w:tcW w:w="1720" w:type="pct"/>
          </w:tcPr>
          <w:p w14:paraId="74C1DCCC" w14:textId="77777777" w:rsidR="00FF7799" w:rsidRPr="00E73F6F" w:rsidRDefault="00FF7799" w:rsidP="00F3090F">
            <w:pPr>
              <w:pStyle w:val="StandardText"/>
              <w:jc w:val="left"/>
              <w:rPr>
                <w:lang w:val="de-DE"/>
              </w:rPr>
            </w:pPr>
            <w:r w:rsidRPr="00E73F6F">
              <w:rPr>
                <w:lang w:val="de-DE"/>
              </w:rPr>
              <w:t>Kuba</w:t>
            </w:r>
          </w:p>
        </w:tc>
        <w:tc>
          <w:tcPr>
            <w:tcW w:w="963" w:type="pct"/>
          </w:tcPr>
          <w:p w14:paraId="4C4080B5" w14:textId="77777777" w:rsidR="00FF7799" w:rsidRPr="00E73F6F" w:rsidRDefault="00FF7799" w:rsidP="00F3090F">
            <w:pPr>
              <w:pStyle w:val="StandardText"/>
              <w:jc w:val="center"/>
              <w:rPr>
                <w:lang w:val="de-DE"/>
              </w:rPr>
            </w:pPr>
            <w:r w:rsidRPr="00E73F6F">
              <w:rPr>
                <w:spacing w:val="-5"/>
                <w:lang w:val="de-DE"/>
              </w:rPr>
              <w:t>3.5</w:t>
            </w:r>
          </w:p>
        </w:tc>
        <w:tc>
          <w:tcPr>
            <w:tcW w:w="963" w:type="pct"/>
          </w:tcPr>
          <w:p w14:paraId="619690AB" w14:textId="77777777" w:rsidR="00FF7799" w:rsidRPr="00E73F6F" w:rsidRDefault="00FF7799" w:rsidP="00F3090F">
            <w:pPr>
              <w:pStyle w:val="StandardText"/>
              <w:jc w:val="center"/>
              <w:rPr>
                <w:lang w:val="de-DE"/>
              </w:rPr>
            </w:pPr>
            <w:r w:rsidRPr="00E73F6F">
              <w:rPr>
                <w:lang w:val="de-DE"/>
              </w:rPr>
              <w:t>1.8 -</w:t>
            </w:r>
            <w:r w:rsidRPr="00E73F6F">
              <w:rPr>
                <w:spacing w:val="-3"/>
                <w:lang w:val="de-DE"/>
              </w:rPr>
              <w:t xml:space="preserve"> </w:t>
            </w:r>
            <w:r w:rsidRPr="00E73F6F">
              <w:rPr>
                <w:spacing w:val="-5"/>
                <w:lang w:val="de-DE"/>
              </w:rPr>
              <w:t>4.7</w:t>
            </w:r>
          </w:p>
        </w:tc>
        <w:tc>
          <w:tcPr>
            <w:tcW w:w="963" w:type="pct"/>
          </w:tcPr>
          <w:p w14:paraId="6838E60E" w14:textId="77777777" w:rsidR="00FF7799" w:rsidRPr="00E73F6F" w:rsidRDefault="00FF7799" w:rsidP="00F3090F">
            <w:pPr>
              <w:pStyle w:val="StandardText"/>
              <w:jc w:val="center"/>
              <w:rPr>
                <w:lang w:val="de-DE"/>
              </w:rPr>
            </w:pPr>
            <w:r w:rsidRPr="00E73F6F">
              <w:rPr>
                <w:lang w:val="de-DE"/>
              </w:rPr>
              <w:t>3</w:t>
            </w:r>
          </w:p>
        </w:tc>
      </w:tr>
      <w:tr w:rsidR="00FF7799" w:rsidRPr="00E73F6F" w14:paraId="41E1F6C0" w14:textId="77777777" w:rsidTr="008E038E">
        <w:trPr>
          <w:trHeight w:val="239"/>
        </w:trPr>
        <w:tc>
          <w:tcPr>
            <w:tcW w:w="391" w:type="pct"/>
          </w:tcPr>
          <w:p w14:paraId="1D34DA06" w14:textId="77777777" w:rsidR="00FF7799" w:rsidRPr="00E73F6F" w:rsidRDefault="00FF7799" w:rsidP="00F3090F">
            <w:pPr>
              <w:pStyle w:val="StandardText"/>
              <w:jc w:val="center"/>
              <w:rPr>
                <w:lang w:val="de-DE"/>
              </w:rPr>
            </w:pPr>
          </w:p>
        </w:tc>
        <w:tc>
          <w:tcPr>
            <w:tcW w:w="1720" w:type="pct"/>
          </w:tcPr>
          <w:p w14:paraId="0F9CD972" w14:textId="77777777" w:rsidR="00FF7799" w:rsidRPr="00E73F6F" w:rsidRDefault="00FF7799" w:rsidP="00F3090F">
            <w:pPr>
              <w:pStyle w:val="StandardText"/>
              <w:jc w:val="left"/>
              <w:rPr>
                <w:lang w:val="de-DE"/>
              </w:rPr>
            </w:pPr>
            <w:r w:rsidRPr="00E73F6F">
              <w:rPr>
                <w:spacing w:val="-2"/>
                <w:lang w:val="de-DE"/>
              </w:rPr>
              <w:t>Grenada</w:t>
            </w:r>
          </w:p>
        </w:tc>
        <w:tc>
          <w:tcPr>
            <w:tcW w:w="963" w:type="pct"/>
          </w:tcPr>
          <w:p w14:paraId="0F4EA5E9" w14:textId="77777777" w:rsidR="00FF7799" w:rsidRPr="00E73F6F" w:rsidRDefault="00FF7799" w:rsidP="00F3090F">
            <w:pPr>
              <w:pStyle w:val="StandardText"/>
              <w:jc w:val="center"/>
              <w:rPr>
                <w:lang w:val="de-DE"/>
              </w:rPr>
            </w:pPr>
            <w:r w:rsidRPr="00E73F6F">
              <w:rPr>
                <w:spacing w:val="-5"/>
                <w:lang w:val="de-DE"/>
              </w:rPr>
              <w:t>3.5</w:t>
            </w:r>
          </w:p>
        </w:tc>
        <w:tc>
          <w:tcPr>
            <w:tcW w:w="963" w:type="pct"/>
          </w:tcPr>
          <w:p w14:paraId="573F97A9" w14:textId="77777777" w:rsidR="00FF7799" w:rsidRPr="00E73F6F" w:rsidRDefault="00FF7799" w:rsidP="00F3090F">
            <w:pPr>
              <w:pStyle w:val="StandardText"/>
              <w:jc w:val="center"/>
              <w:rPr>
                <w:lang w:val="de-DE"/>
              </w:rPr>
            </w:pPr>
            <w:r w:rsidRPr="00E73F6F">
              <w:rPr>
                <w:lang w:val="de-DE"/>
              </w:rPr>
              <w:t>2.3 -</w:t>
            </w:r>
            <w:r w:rsidRPr="00E73F6F">
              <w:rPr>
                <w:spacing w:val="-3"/>
                <w:lang w:val="de-DE"/>
              </w:rPr>
              <w:t xml:space="preserve"> </w:t>
            </w:r>
            <w:r w:rsidRPr="00E73F6F">
              <w:rPr>
                <w:spacing w:val="-5"/>
                <w:lang w:val="de-DE"/>
              </w:rPr>
              <w:t>4.1</w:t>
            </w:r>
          </w:p>
        </w:tc>
        <w:tc>
          <w:tcPr>
            <w:tcW w:w="963" w:type="pct"/>
          </w:tcPr>
          <w:p w14:paraId="3DAA1B31" w14:textId="77777777" w:rsidR="00FF7799" w:rsidRPr="00E73F6F" w:rsidRDefault="00FF7799" w:rsidP="00F3090F">
            <w:pPr>
              <w:pStyle w:val="StandardText"/>
              <w:jc w:val="center"/>
              <w:rPr>
                <w:lang w:val="de-DE"/>
              </w:rPr>
            </w:pPr>
            <w:r w:rsidRPr="00E73F6F">
              <w:rPr>
                <w:lang w:val="de-DE"/>
              </w:rPr>
              <w:t>3</w:t>
            </w:r>
          </w:p>
        </w:tc>
      </w:tr>
      <w:tr w:rsidR="00FF7799" w:rsidRPr="00E73F6F" w14:paraId="49EB43DF" w14:textId="77777777" w:rsidTr="008E038E">
        <w:trPr>
          <w:trHeight w:val="244"/>
        </w:trPr>
        <w:tc>
          <w:tcPr>
            <w:tcW w:w="391" w:type="pct"/>
          </w:tcPr>
          <w:p w14:paraId="14C3F653" w14:textId="77777777" w:rsidR="00FF7799" w:rsidRPr="00E73F6F" w:rsidRDefault="00FF7799" w:rsidP="00F3090F">
            <w:pPr>
              <w:pStyle w:val="StandardText"/>
              <w:jc w:val="center"/>
              <w:rPr>
                <w:lang w:val="de-DE"/>
              </w:rPr>
            </w:pPr>
            <w:r w:rsidRPr="00E73F6F">
              <w:rPr>
                <w:spacing w:val="-5"/>
                <w:lang w:val="de-DE"/>
              </w:rPr>
              <w:t>69</w:t>
            </w:r>
          </w:p>
        </w:tc>
        <w:tc>
          <w:tcPr>
            <w:tcW w:w="1720" w:type="pct"/>
          </w:tcPr>
          <w:p w14:paraId="3CCD8813" w14:textId="77777777" w:rsidR="00FF7799" w:rsidRPr="00E73F6F" w:rsidRDefault="00FF7799" w:rsidP="00F3090F">
            <w:pPr>
              <w:pStyle w:val="StandardText"/>
              <w:jc w:val="left"/>
              <w:rPr>
                <w:lang w:val="de-DE"/>
              </w:rPr>
            </w:pPr>
            <w:r w:rsidRPr="00E73F6F">
              <w:rPr>
                <w:spacing w:val="-2"/>
                <w:lang w:val="de-DE"/>
              </w:rPr>
              <w:t>Kroatien</w:t>
            </w:r>
          </w:p>
        </w:tc>
        <w:tc>
          <w:tcPr>
            <w:tcW w:w="963" w:type="pct"/>
          </w:tcPr>
          <w:p w14:paraId="33EA040A" w14:textId="77777777" w:rsidR="00FF7799" w:rsidRPr="00E73F6F" w:rsidRDefault="00FF7799" w:rsidP="00F3090F">
            <w:pPr>
              <w:pStyle w:val="StandardText"/>
              <w:jc w:val="center"/>
              <w:rPr>
                <w:lang w:val="de-DE"/>
              </w:rPr>
            </w:pPr>
            <w:r w:rsidRPr="00E73F6F">
              <w:rPr>
                <w:spacing w:val="-5"/>
                <w:lang w:val="de-DE"/>
              </w:rPr>
              <w:t>3.4</w:t>
            </w:r>
          </w:p>
        </w:tc>
        <w:tc>
          <w:tcPr>
            <w:tcW w:w="963" w:type="pct"/>
          </w:tcPr>
          <w:p w14:paraId="33A9C3E2" w14:textId="77777777" w:rsidR="00FF7799" w:rsidRPr="00E73F6F" w:rsidRDefault="00FF7799" w:rsidP="00F3090F">
            <w:pPr>
              <w:pStyle w:val="StandardText"/>
              <w:jc w:val="center"/>
              <w:rPr>
                <w:lang w:val="de-DE"/>
              </w:rPr>
            </w:pPr>
            <w:r w:rsidRPr="00E73F6F">
              <w:rPr>
                <w:lang w:val="de-DE"/>
              </w:rPr>
              <w:t>3.1 -</w:t>
            </w:r>
            <w:r w:rsidRPr="00E73F6F">
              <w:rPr>
                <w:spacing w:val="-3"/>
                <w:lang w:val="de-DE"/>
              </w:rPr>
              <w:t xml:space="preserve"> </w:t>
            </w:r>
            <w:r w:rsidRPr="00E73F6F">
              <w:rPr>
                <w:spacing w:val="-5"/>
                <w:lang w:val="de-DE"/>
              </w:rPr>
              <w:t>3.7</w:t>
            </w:r>
          </w:p>
        </w:tc>
        <w:tc>
          <w:tcPr>
            <w:tcW w:w="963" w:type="pct"/>
          </w:tcPr>
          <w:p w14:paraId="12CC7D30" w14:textId="77777777" w:rsidR="00FF7799" w:rsidRPr="00E73F6F" w:rsidRDefault="00FF7799" w:rsidP="00F3090F">
            <w:pPr>
              <w:pStyle w:val="StandardText"/>
              <w:jc w:val="center"/>
              <w:rPr>
                <w:lang w:val="de-DE"/>
              </w:rPr>
            </w:pPr>
            <w:r w:rsidRPr="00E73F6F">
              <w:rPr>
                <w:lang w:val="de-DE"/>
              </w:rPr>
              <w:t>7</w:t>
            </w:r>
          </w:p>
        </w:tc>
      </w:tr>
      <w:tr w:rsidR="00FF7799" w:rsidRPr="00E73F6F" w14:paraId="18D12F67" w14:textId="77777777" w:rsidTr="008E038E">
        <w:trPr>
          <w:trHeight w:val="244"/>
        </w:trPr>
        <w:tc>
          <w:tcPr>
            <w:tcW w:w="391" w:type="pct"/>
          </w:tcPr>
          <w:p w14:paraId="6197AD02" w14:textId="77777777" w:rsidR="00FF7799" w:rsidRPr="00E73F6F" w:rsidRDefault="00FF7799" w:rsidP="00F3090F">
            <w:pPr>
              <w:pStyle w:val="StandardText"/>
              <w:jc w:val="center"/>
              <w:rPr>
                <w:lang w:val="de-DE"/>
              </w:rPr>
            </w:pPr>
            <w:r w:rsidRPr="00E73F6F">
              <w:rPr>
                <w:spacing w:val="-5"/>
                <w:lang w:val="de-DE"/>
              </w:rPr>
              <w:t>70</w:t>
            </w:r>
          </w:p>
        </w:tc>
        <w:tc>
          <w:tcPr>
            <w:tcW w:w="1720" w:type="pct"/>
          </w:tcPr>
          <w:p w14:paraId="12D50E41" w14:textId="77777777" w:rsidR="00FF7799" w:rsidRPr="00E73F6F" w:rsidRDefault="00FF7799" w:rsidP="00F3090F">
            <w:pPr>
              <w:pStyle w:val="StandardText"/>
              <w:jc w:val="left"/>
              <w:rPr>
                <w:lang w:val="de-DE"/>
              </w:rPr>
            </w:pPr>
            <w:r w:rsidRPr="00E73F6F">
              <w:rPr>
                <w:spacing w:val="-2"/>
                <w:lang w:val="de-DE"/>
              </w:rPr>
              <w:t>Brasilien</w:t>
            </w:r>
          </w:p>
        </w:tc>
        <w:tc>
          <w:tcPr>
            <w:tcW w:w="963" w:type="pct"/>
          </w:tcPr>
          <w:p w14:paraId="12909601" w14:textId="77777777" w:rsidR="00FF7799" w:rsidRPr="00E73F6F" w:rsidRDefault="00FF7799" w:rsidP="00F3090F">
            <w:pPr>
              <w:pStyle w:val="StandardText"/>
              <w:jc w:val="center"/>
              <w:rPr>
                <w:lang w:val="de-DE"/>
              </w:rPr>
            </w:pPr>
            <w:r w:rsidRPr="00E73F6F">
              <w:rPr>
                <w:spacing w:val="-5"/>
                <w:lang w:val="de-DE"/>
              </w:rPr>
              <w:t>3.3</w:t>
            </w:r>
          </w:p>
        </w:tc>
        <w:tc>
          <w:tcPr>
            <w:tcW w:w="963" w:type="pct"/>
          </w:tcPr>
          <w:p w14:paraId="4FD7554A" w14:textId="77777777" w:rsidR="00FF7799" w:rsidRPr="00E73F6F" w:rsidRDefault="00FF7799" w:rsidP="00F3090F">
            <w:pPr>
              <w:pStyle w:val="StandardText"/>
              <w:jc w:val="center"/>
              <w:rPr>
                <w:lang w:val="de-DE"/>
              </w:rPr>
            </w:pPr>
            <w:r w:rsidRPr="00E73F6F">
              <w:rPr>
                <w:lang w:val="de-DE"/>
              </w:rPr>
              <w:t>3.1 -</w:t>
            </w:r>
            <w:r w:rsidRPr="00E73F6F">
              <w:rPr>
                <w:spacing w:val="-3"/>
                <w:lang w:val="de-DE"/>
              </w:rPr>
              <w:t xml:space="preserve"> </w:t>
            </w:r>
            <w:r w:rsidRPr="00E73F6F">
              <w:rPr>
                <w:spacing w:val="-5"/>
                <w:lang w:val="de-DE"/>
              </w:rPr>
              <w:t>3.6</w:t>
            </w:r>
          </w:p>
        </w:tc>
        <w:tc>
          <w:tcPr>
            <w:tcW w:w="963" w:type="pct"/>
          </w:tcPr>
          <w:p w14:paraId="12EFE92D" w14:textId="77777777" w:rsidR="00FF7799" w:rsidRPr="00E73F6F" w:rsidRDefault="00FF7799" w:rsidP="00F3090F">
            <w:pPr>
              <w:pStyle w:val="StandardText"/>
              <w:jc w:val="center"/>
              <w:rPr>
                <w:lang w:val="de-DE"/>
              </w:rPr>
            </w:pPr>
            <w:r w:rsidRPr="00E73F6F">
              <w:rPr>
                <w:lang w:val="de-DE"/>
              </w:rPr>
              <w:t>7</w:t>
            </w:r>
          </w:p>
        </w:tc>
      </w:tr>
      <w:tr w:rsidR="00FF7799" w:rsidRPr="00E73F6F" w14:paraId="2CFEE584" w14:textId="77777777" w:rsidTr="008E038E">
        <w:trPr>
          <w:trHeight w:val="239"/>
        </w:trPr>
        <w:tc>
          <w:tcPr>
            <w:tcW w:w="391" w:type="pct"/>
          </w:tcPr>
          <w:p w14:paraId="2C1443E8" w14:textId="77777777" w:rsidR="00FF7799" w:rsidRPr="00E73F6F" w:rsidRDefault="00FF7799" w:rsidP="00F3090F">
            <w:pPr>
              <w:pStyle w:val="StandardText"/>
              <w:jc w:val="center"/>
              <w:rPr>
                <w:lang w:val="de-DE"/>
              </w:rPr>
            </w:pPr>
          </w:p>
        </w:tc>
        <w:tc>
          <w:tcPr>
            <w:tcW w:w="1720" w:type="pct"/>
          </w:tcPr>
          <w:p w14:paraId="207DEBAE" w14:textId="77777777" w:rsidR="00FF7799" w:rsidRPr="00E73F6F" w:rsidRDefault="00FF7799" w:rsidP="00F3090F">
            <w:pPr>
              <w:pStyle w:val="StandardText"/>
              <w:jc w:val="left"/>
              <w:rPr>
                <w:lang w:val="de-DE"/>
              </w:rPr>
            </w:pPr>
            <w:r w:rsidRPr="00E73F6F">
              <w:rPr>
                <w:spacing w:val="-2"/>
                <w:lang w:val="de-DE"/>
              </w:rPr>
              <w:t>China</w:t>
            </w:r>
          </w:p>
        </w:tc>
        <w:tc>
          <w:tcPr>
            <w:tcW w:w="963" w:type="pct"/>
          </w:tcPr>
          <w:p w14:paraId="19C7483B" w14:textId="77777777" w:rsidR="00FF7799" w:rsidRPr="00E73F6F" w:rsidRDefault="00FF7799" w:rsidP="00F3090F">
            <w:pPr>
              <w:pStyle w:val="StandardText"/>
              <w:jc w:val="center"/>
              <w:rPr>
                <w:lang w:val="de-DE"/>
              </w:rPr>
            </w:pPr>
            <w:r w:rsidRPr="00E73F6F">
              <w:rPr>
                <w:spacing w:val="-5"/>
                <w:lang w:val="de-DE"/>
              </w:rPr>
              <w:t>3.3</w:t>
            </w:r>
          </w:p>
        </w:tc>
        <w:tc>
          <w:tcPr>
            <w:tcW w:w="963" w:type="pct"/>
          </w:tcPr>
          <w:p w14:paraId="0D2AC6FE" w14:textId="77777777" w:rsidR="00FF7799" w:rsidRPr="00E73F6F" w:rsidRDefault="00FF7799" w:rsidP="00F3090F">
            <w:pPr>
              <w:pStyle w:val="StandardText"/>
              <w:jc w:val="center"/>
              <w:rPr>
                <w:lang w:val="de-DE"/>
              </w:rPr>
            </w:pPr>
            <w:r w:rsidRPr="00E73F6F">
              <w:rPr>
                <w:lang w:val="de-DE"/>
              </w:rPr>
              <w:t>3.0 -</w:t>
            </w:r>
            <w:r w:rsidRPr="00E73F6F">
              <w:rPr>
                <w:spacing w:val="-3"/>
                <w:lang w:val="de-DE"/>
              </w:rPr>
              <w:t xml:space="preserve"> </w:t>
            </w:r>
            <w:r w:rsidRPr="00E73F6F">
              <w:rPr>
                <w:spacing w:val="-5"/>
                <w:lang w:val="de-DE"/>
              </w:rPr>
              <w:t>3.6</w:t>
            </w:r>
          </w:p>
        </w:tc>
        <w:tc>
          <w:tcPr>
            <w:tcW w:w="963" w:type="pct"/>
          </w:tcPr>
          <w:p w14:paraId="3D20C3A8" w14:textId="77777777" w:rsidR="00FF7799" w:rsidRPr="00E73F6F" w:rsidRDefault="00FF7799" w:rsidP="00F3090F">
            <w:pPr>
              <w:pStyle w:val="StandardText"/>
              <w:jc w:val="center"/>
              <w:rPr>
                <w:lang w:val="de-DE"/>
              </w:rPr>
            </w:pPr>
            <w:r w:rsidRPr="00E73F6F">
              <w:rPr>
                <w:lang w:val="de-DE"/>
              </w:rPr>
              <w:t>9</w:t>
            </w:r>
          </w:p>
        </w:tc>
      </w:tr>
      <w:tr w:rsidR="00FF7799" w:rsidRPr="00E73F6F" w14:paraId="281E52A6" w14:textId="77777777" w:rsidTr="008E038E">
        <w:trPr>
          <w:trHeight w:val="244"/>
        </w:trPr>
        <w:tc>
          <w:tcPr>
            <w:tcW w:w="391" w:type="pct"/>
          </w:tcPr>
          <w:p w14:paraId="49B7B87E" w14:textId="77777777" w:rsidR="00FF7799" w:rsidRPr="00E73F6F" w:rsidRDefault="00FF7799" w:rsidP="00F3090F">
            <w:pPr>
              <w:pStyle w:val="StandardText"/>
              <w:jc w:val="center"/>
              <w:rPr>
                <w:lang w:val="de-DE"/>
              </w:rPr>
            </w:pPr>
          </w:p>
        </w:tc>
        <w:tc>
          <w:tcPr>
            <w:tcW w:w="1720" w:type="pct"/>
          </w:tcPr>
          <w:p w14:paraId="282D94D0" w14:textId="77777777" w:rsidR="00FF7799" w:rsidRPr="00E73F6F" w:rsidRDefault="00FF7799" w:rsidP="00F3090F">
            <w:pPr>
              <w:pStyle w:val="StandardText"/>
              <w:jc w:val="left"/>
              <w:rPr>
                <w:lang w:val="de-DE"/>
              </w:rPr>
            </w:pPr>
            <w:r w:rsidRPr="00E73F6F">
              <w:rPr>
                <w:spacing w:val="-2"/>
                <w:lang w:val="de-DE"/>
              </w:rPr>
              <w:t>Ägypten</w:t>
            </w:r>
          </w:p>
        </w:tc>
        <w:tc>
          <w:tcPr>
            <w:tcW w:w="963" w:type="pct"/>
          </w:tcPr>
          <w:p w14:paraId="77B2BDA2" w14:textId="77777777" w:rsidR="00FF7799" w:rsidRPr="00E73F6F" w:rsidRDefault="00FF7799" w:rsidP="00F3090F">
            <w:pPr>
              <w:pStyle w:val="StandardText"/>
              <w:jc w:val="center"/>
              <w:rPr>
                <w:lang w:val="de-DE"/>
              </w:rPr>
            </w:pPr>
            <w:r w:rsidRPr="00E73F6F">
              <w:rPr>
                <w:spacing w:val="-5"/>
                <w:lang w:val="de-DE"/>
              </w:rPr>
              <w:t>3.3</w:t>
            </w:r>
          </w:p>
        </w:tc>
        <w:tc>
          <w:tcPr>
            <w:tcW w:w="963" w:type="pct"/>
          </w:tcPr>
          <w:p w14:paraId="1F21FA65" w14:textId="77777777" w:rsidR="00FF7799" w:rsidRPr="00E73F6F" w:rsidRDefault="00FF7799" w:rsidP="00F3090F">
            <w:pPr>
              <w:pStyle w:val="StandardText"/>
              <w:jc w:val="center"/>
              <w:rPr>
                <w:lang w:val="de-DE"/>
              </w:rPr>
            </w:pPr>
            <w:r w:rsidRPr="00E73F6F">
              <w:rPr>
                <w:lang w:val="de-DE"/>
              </w:rPr>
              <w:t>3.0 -</w:t>
            </w:r>
            <w:r w:rsidRPr="00E73F6F">
              <w:rPr>
                <w:spacing w:val="-3"/>
                <w:lang w:val="de-DE"/>
              </w:rPr>
              <w:t xml:space="preserve"> </w:t>
            </w:r>
            <w:r w:rsidRPr="00E73F6F">
              <w:rPr>
                <w:spacing w:val="-5"/>
                <w:lang w:val="de-DE"/>
              </w:rPr>
              <w:t>3.7</w:t>
            </w:r>
          </w:p>
        </w:tc>
        <w:tc>
          <w:tcPr>
            <w:tcW w:w="963" w:type="pct"/>
          </w:tcPr>
          <w:p w14:paraId="758FC8FC" w14:textId="77777777" w:rsidR="00FF7799" w:rsidRPr="00E73F6F" w:rsidRDefault="00FF7799" w:rsidP="00F3090F">
            <w:pPr>
              <w:pStyle w:val="StandardText"/>
              <w:jc w:val="center"/>
              <w:rPr>
                <w:lang w:val="de-DE"/>
              </w:rPr>
            </w:pPr>
            <w:r w:rsidRPr="00E73F6F">
              <w:rPr>
                <w:lang w:val="de-DE"/>
              </w:rPr>
              <w:t>6</w:t>
            </w:r>
          </w:p>
        </w:tc>
      </w:tr>
      <w:tr w:rsidR="00FF7799" w:rsidRPr="00E73F6F" w14:paraId="38F01A41" w14:textId="77777777" w:rsidTr="008E038E">
        <w:trPr>
          <w:trHeight w:val="239"/>
        </w:trPr>
        <w:tc>
          <w:tcPr>
            <w:tcW w:w="391" w:type="pct"/>
          </w:tcPr>
          <w:p w14:paraId="2E5581BF" w14:textId="77777777" w:rsidR="00FF7799" w:rsidRPr="00E73F6F" w:rsidRDefault="00FF7799" w:rsidP="00F3090F">
            <w:pPr>
              <w:pStyle w:val="StandardText"/>
              <w:jc w:val="center"/>
              <w:rPr>
                <w:lang w:val="de-DE"/>
              </w:rPr>
            </w:pPr>
          </w:p>
        </w:tc>
        <w:tc>
          <w:tcPr>
            <w:tcW w:w="1720" w:type="pct"/>
          </w:tcPr>
          <w:p w14:paraId="215F5541" w14:textId="77777777" w:rsidR="00FF7799" w:rsidRPr="00E73F6F" w:rsidRDefault="00FF7799" w:rsidP="00F3090F">
            <w:pPr>
              <w:pStyle w:val="StandardText"/>
              <w:jc w:val="left"/>
              <w:rPr>
                <w:lang w:val="de-DE"/>
              </w:rPr>
            </w:pPr>
            <w:r w:rsidRPr="00E73F6F">
              <w:rPr>
                <w:spacing w:val="-2"/>
                <w:lang w:val="de-DE"/>
              </w:rPr>
              <w:t>Ghana</w:t>
            </w:r>
          </w:p>
        </w:tc>
        <w:tc>
          <w:tcPr>
            <w:tcW w:w="963" w:type="pct"/>
          </w:tcPr>
          <w:p w14:paraId="6156626C" w14:textId="77777777" w:rsidR="00FF7799" w:rsidRPr="00E73F6F" w:rsidRDefault="00FF7799" w:rsidP="00F3090F">
            <w:pPr>
              <w:pStyle w:val="StandardText"/>
              <w:jc w:val="center"/>
              <w:rPr>
                <w:lang w:val="de-DE"/>
              </w:rPr>
            </w:pPr>
            <w:r w:rsidRPr="00E73F6F">
              <w:rPr>
                <w:spacing w:val="-5"/>
                <w:lang w:val="de-DE"/>
              </w:rPr>
              <w:t>3.3</w:t>
            </w:r>
          </w:p>
        </w:tc>
        <w:tc>
          <w:tcPr>
            <w:tcW w:w="963" w:type="pct"/>
          </w:tcPr>
          <w:p w14:paraId="4A0AB1D5" w14:textId="77777777" w:rsidR="00FF7799" w:rsidRPr="00E73F6F" w:rsidRDefault="00FF7799" w:rsidP="00F3090F">
            <w:pPr>
              <w:pStyle w:val="StandardText"/>
              <w:jc w:val="center"/>
              <w:rPr>
                <w:lang w:val="de-DE"/>
              </w:rPr>
            </w:pPr>
            <w:r w:rsidRPr="00E73F6F">
              <w:rPr>
                <w:lang w:val="de-DE"/>
              </w:rPr>
              <w:t>3.0 -</w:t>
            </w:r>
            <w:r w:rsidRPr="00E73F6F">
              <w:rPr>
                <w:spacing w:val="-3"/>
                <w:lang w:val="de-DE"/>
              </w:rPr>
              <w:t xml:space="preserve"> </w:t>
            </w:r>
            <w:r w:rsidRPr="00E73F6F">
              <w:rPr>
                <w:spacing w:val="-5"/>
                <w:lang w:val="de-DE"/>
              </w:rPr>
              <w:t>3.6</w:t>
            </w:r>
          </w:p>
        </w:tc>
        <w:tc>
          <w:tcPr>
            <w:tcW w:w="963" w:type="pct"/>
          </w:tcPr>
          <w:p w14:paraId="1755281A" w14:textId="77777777" w:rsidR="00FF7799" w:rsidRPr="00E73F6F" w:rsidRDefault="00FF7799" w:rsidP="00F3090F">
            <w:pPr>
              <w:pStyle w:val="StandardText"/>
              <w:jc w:val="center"/>
              <w:rPr>
                <w:lang w:val="de-DE"/>
              </w:rPr>
            </w:pPr>
            <w:r w:rsidRPr="00E73F6F">
              <w:rPr>
                <w:lang w:val="de-DE"/>
              </w:rPr>
              <w:t>6</w:t>
            </w:r>
          </w:p>
        </w:tc>
      </w:tr>
      <w:tr w:rsidR="00FF7799" w:rsidRPr="00E73F6F" w14:paraId="366B318C" w14:textId="77777777" w:rsidTr="008E038E">
        <w:trPr>
          <w:trHeight w:val="244"/>
        </w:trPr>
        <w:tc>
          <w:tcPr>
            <w:tcW w:w="391" w:type="pct"/>
          </w:tcPr>
          <w:p w14:paraId="6E2BFAEA" w14:textId="77777777" w:rsidR="00FF7799" w:rsidRPr="00E73F6F" w:rsidRDefault="00FF7799" w:rsidP="00F3090F">
            <w:pPr>
              <w:pStyle w:val="StandardText"/>
              <w:jc w:val="center"/>
              <w:rPr>
                <w:lang w:val="de-DE"/>
              </w:rPr>
            </w:pPr>
          </w:p>
        </w:tc>
        <w:tc>
          <w:tcPr>
            <w:tcW w:w="1720" w:type="pct"/>
          </w:tcPr>
          <w:p w14:paraId="2845D1E7" w14:textId="77777777" w:rsidR="00FF7799" w:rsidRPr="00E73F6F" w:rsidRDefault="00FF7799" w:rsidP="00F3090F">
            <w:pPr>
              <w:pStyle w:val="StandardText"/>
              <w:jc w:val="left"/>
              <w:rPr>
                <w:lang w:val="de-DE"/>
              </w:rPr>
            </w:pPr>
            <w:r w:rsidRPr="00E73F6F">
              <w:rPr>
                <w:spacing w:val="-2"/>
                <w:lang w:val="de-DE"/>
              </w:rPr>
              <w:t>Indien</w:t>
            </w:r>
          </w:p>
        </w:tc>
        <w:tc>
          <w:tcPr>
            <w:tcW w:w="963" w:type="pct"/>
          </w:tcPr>
          <w:p w14:paraId="19925E2A" w14:textId="77777777" w:rsidR="00FF7799" w:rsidRPr="00E73F6F" w:rsidRDefault="00FF7799" w:rsidP="00F3090F">
            <w:pPr>
              <w:pStyle w:val="StandardText"/>
              <w:jc w:val="center"/>
              <w:rPr>
                <w:lang w:val="de-DE"/>
              </w:rPr>
            </w:pPr>
            <w:r w:rsidRPr="00E73F6F">
              <w:rPr>
                <w:spacing w:val="-5"/>
                <w:lang w:val="de-DE"/>
              </w:rPr>
              <w:t>3.3</w:t>
            </w:r>
          </w:p>
        </w:tc>
        <w:tc>
          <w:tcPr>
            <w:tcW w:w="963" w:type="pct"/>
          </w:tcPr>
          <w:p w14:paraId="1F334388" w14:textId="77777777" w:rsidR="00FF7799" w:rsidRPr="00E73F6F" w:rsidRDefault="00FF7799" w:rsidP="00F3090F">
            <w:pPr>
              <w:pStyle w:val="StandardText"/>
              <w:jc w:val="center"/>
              <w:rPr>
                <w:lang w:val="de-DE"/>
              </w:rPr>
            </w:pPr>
            <w:r w:rsidRPr="00E73F6F">
              <w:rPr>
                <w:lang w:val="de-DE"/>
              </w:rPr>
              <w:t>3.1 -</w:t>
            </w:r>
            <w:r w:rsidRPr="00E73F6F">
              <w:rPr>
                <w:spacing w:val="-3"/>
                <w:lang w:val="de-DE"/>
              </w:rPr>
              <w:t xml:space="preserve"> </w:t>
            </w:r>
            <w:r w:rsidRPr="00E73F6F">
              <w:rPr>
                <w:spacing w:val="-5"/>
                <w:lang w:val="de-DE"/>
              </w:rPr>
              <w:t>3.6</w:t>
            </w:r>
          </w:p>
        </w:tc>
        <w:tc>
          <w:tcPr>
            <w:tcW w:w="963" w:type="pct"/>
          </w:tcPr>
          <w:p w14:paraId="0CB27CD2" w14:textId="77777777" w:rsidR="00FF7799" w:rsidRPr="00E73F6F" w:rsidRDefault="00FF7799" w:rsidP="00F3090F">
            <w:pPr>
              <w:pStyle w:val="StandardText"/>
              <w:jc w:val="center"/>
              <w:rPr>
                <w:lang w:val="de-DE"/>
              </w:rPr>
            </w:pPr>
            <w:r w:rsidRPr="00E73F6F">
              <w:rPr>
                <w:spacing w:val="-5"/>
                <w:lang w:val="de-DE"/>
              </w:rPr>
              <w:t>10</w:t>
            </w:r>
          </w:p>
        </w:tc>
      </w:tr>
      <w:tr w:rsidR="00FF7799" w:rsidRPr="00E73F6F" w14:paraId="5AB46D91" w14:textId="77777777" w:rsidTr="008E038E">
        <w:trPr>
          <w:trHeight w:val="239"/>
        </w:trPr>
        <w:tc>
          <w:tcPr>
            <w:tcW w:w="391" w:type="pct"/>
          </w:tcPr>
          <w:p w14:paraId="4958969C" w14:textId="77777777" w:rsidR="00FF7799" w:rsidRPr="00E73F6F" w:rsidRDefault="00FF7799" w:rsidP="00F3090F">
            <w:pPr>
              <w:pStyle w:val="StandardText"/>
              <w:jc w:val="center"/>
              <w:rPr>
                <w:lang w:val="de-DE"/>
              </w:rPr>
            </w:pPr>
          </w:p>
        </w:tc>
        <w:tc>
          <w:tcPr>
            <w:tcW w:w="1720" w:type="pct"/>
          </w:tcPr>
          <w:p w14:paraId="6696B4D6" w14:textId="77777777" w:rsidR="00FF7799" w:rsidRPr="00E73F6F" w:rsidRDefault="00FF7799" w:rsidP="00F3090F">
            <w:pPr>
              <w:pStyle w:val="StandardText"/>
              <w:jc w:val="left"/>
              <w:rPr>
                <w:lang w:val="de-DE"/>
              </w:rPr>
            </w:pPr>
            <w:r w:rsidRPr="00E73F6F">
              <w:rPr>
                <w:spacing w:val="-2"/>
                <w:lang w:val="de-DE"/>
              </w:rPr>
              <w:t>Mexiko</w:t>
            </w:r>
          </w:p>
        </w:tc>
        <w:tc>
          <w:tcPr>
            <w:tcW w:w="963" w:type="pct"/>
          </w:tcPr>
          <w:p w14:paraId="3EA47199" w14:textId="77777777" w:rsidR="00FF7799" w:rsidRPr="00E73F6F" w:rsidRDefault="00FF7799" w:rsidP="00F3090F">
            <w:pPr>
              <w:pStyle w:val="StandardText"/>
              <w:jc w:val="center"/>
              <w:rPr>
                <w:lang w:val="de-DE"/>
              </w:rPr>
            </w:pPr>
            <w:r w:rsidRPr="00E73F6F">
              <w:rPr>
                <w:spacing w:val="-5"/>
                <w:lang w:val="de-DE"/>
              </w:rPr>
              <w:t>3.3</w:t>
            </w:r>
          </w:p>
        </w:tc>
        <w:tc>
          <w:tcPr>
            <w:tcW w:w="963" w:type="pct"/>
          </w:tcPr>
          <w:p w14:paraId="45A6DE16" w14:textId="77777777" w:rsidR="00FF7799" w:rsidRPr="00E73F6F" w:rsidRDefault="00FF7799" w:rsidP="00F3090F">
            <w:pPr>
              <w:pStyle w:val="StandardText"/>
              <w:jc w:val="center"/>
              <w:rPr>
                <w:lang w:val="de-DE"/>
              </w:rPr>
            </w:pPr>
            <w:r w:rsidRPr="00E73F6F">
              <w:rPr>
                <w:lang w:val="de-DE"/>
              </w:rPr>
              <w:t>3.1 -</w:t>
            </w:r>
            <w:r w:rsidRPr="00E73F6F">
              <w:rPr>
                <w:spacing w:val="-3"/>
                <w:lang w:val="de-DE"/>
              </w:rPr>
              <w:t xml:space="preserve"> </w:t>
            </w:r>
            <w:r w:rsidRPr="00E73F6F">
              <w:rPr>
                <w:spacing w:val="-5"/>
                <w:lang w:val="de-DE"/>
              </w:rPr>
              <w:t>3.4</w:t>
            </w:r>
          </w:p>
        </w:tc>
        <w:tc>
          <w:tcPr>
            <w:tcW w:w="963" w:type="pct"/>
          </w:tcPr>
          <w:p w14:paraId="2DA2D43A" w14:textId="77777777" w:rsidR="00FF7799" w:rsidRPr="00E73F6F" w:rsidRDefault="00FF7799" w:rsidP="00F3090F">
            <w:pPr>
              <w:pStyle w:val="StandardText"/>
              <w:jc w:val="center"/>
              <w:rPr>
                <w:lang w:val="de-DE"/>
              </w:rPr>
            </w:pPr>
            <w:r w:rsidRPr="00E73F6F">
              <w:rPr>
                <w:lang w:val="de-DE"/>
              </w:rPr>
              <w:t>7</w:t>
            </w:r>
          </w:p>
        </w:tc>
      </w:tr>
      <w:tr w:rsidR="00FF7799" w:rsidRPr="00E73F6F" w14:paraId="338D4858" w14:textId="77777777" w:rsidTr="008E038E">
        <w:trPr>
          <w:trHeight w:val="244"/>
        </w:trPr>
        <w:tc>
          <w:tcPr>
            <w:tcW w:w="391" w:type="pct"/>
          </w:tcPr>
          <w:p w14:paraId="56DC2BDE" w14:textId="77777777" w:rsidR="00FF7799" w:rsidRPr="00E73F6F" w:rsidRDefault="00FF7799" w:rsidP="00F3090F">
            <w:pPr>
              <w:pStyle w:val="StandardText"/>
              <w:jc w:val="center"/>
              <w:rPr>
                <w:lang w:val="de-DE"/>
              </w:rPr>
            </w:pPr>
          </w:p>
        </w:tc>
        <w:tc>
          <w:tcPr>
            <w:tcW w:w="1720" w:type="pct"/>
          </w:tcPr>
          <w:p w14:paraId="578BB578" w14:textId="77777777" w:rsidR="00FF7799" w:rsidRPr="00E73F6F" w:rsidRDefault="00FF7799" w:rsidP="00F3090F">
            <w:pPr>
              <w:pStyle w:val="StandardText"/>
              <w:jc w:val="left"/>
              <w:rPr>
                <w:lang w:val="de-DE"/>
              </w:rPr>
            </w:pPr>
            <w:r w:rsidRPr="00E73F6F">
              <w:rPr>
                <w:lang w:val="de-DE"/>
              </w:rPr>
              <w:t>Peru</w:t>
            </w:r>
          </w:p>
        </w:tc>
        <w:tc>
          <w:tcPr>
            <w:tcW w:w="963" w:type="pct"/>
          </w:tcPr>
          <w:p w14:paraId="25BDA3EC" w14:textId="77777777" w:rsidR="00FF7799" w:rsidRPr="00E73F6F" w:rsidRDefault="00FF7799" w:rsidP="00F3090F">
            <w:pPr>
              <w:pStyle w:val="StandardText"/>
              <w:jc w:val="center"/>
              <w:rPr>
                <w:lang w:val="de-DE"/>
              </w:rPr>
            </w:pPr>
            <w:r w:rsidRPr="00E73F6F">
              <w:rPr>
                <w:spacing w:val="-5"/>
                <w:lang w:val="de-DE"/>
              </w:rPr>
              <w:t>3.3</w:t>
            </w:r>
          </w:p>
        </w:tc>
        <w:tc>
          <w:tcPr>
            <w:tcW w:w="963" w:type="pct"/>
          </w:tcPr>
          <w:p w14:paraId="77465AB7" w14:textId="77777777" w:rsidR="00FF7799" w:rsidRPr="00E73F6F" w:rsidRDefault="00FF7799" w:rsidP="00F3090F">
            <w:pPr>
              <w:pStyle w:val="StandardText"/>
              <w:jc w:val="center"/>
              <w:rPr>
                <w:lang w:val="de-DE"/>
              </w:rPr>
            </w:pPr>
            <w:r w:rsidRPr="00E73F6F">
              <w:rPr>
                <w:lang w:val="de-DE"/>
              </w:rPr>
              <w:t>2.8 -</w:t>
            </w:r>
            <w:r w:rsidRPr="00E73F6F">
              <w:rPr>
                <w:spacing w:val="-3"/>
                <w:lang w:val="de-DE"/>
              </w:rPr>
              <w:t xml:space="preserve"> </w:t>
            </w:r>
            <w:r w:rsidRPr="00E73F6F">
              <w:rPr>
                <w:spacing w:val="-5"/>
                <w:lang w:val="de-DE"/>
              </w:rPr>
              <w:t>3.8</w:t>
            </w:r>
          </w:p>
        </w:tc>
        <w:tc>
          <w:tcPr>
            <w:tcW w:w="963" w:type="pct"/>
          </w:tcPr>
          <w:p w14:paraId="61131158" w14:textId="77777777" w:rsidR="00FF7799" w:rsidRPr="00E73F6F" w:rsidRDefault="00FF7799" w:rsidP="00F3090F">
            <w:pPr>
              <w:pStyle w:val="StandardText"/>
              <w:jc w:val="center"/>
              <w:rPr>
                <w:lang w:val="de-DE"/>
              </w:rPr>
            </w:pPr>
            <w:r w:rsidRPr="00E73F6F">
              <w:rPr>
                <w:lang w:val="de-DE"/>
              </w:rPr>
              <w:t>5</w:t>
            </w:r>
          </w:p>
        </w:tc>
      </w:tr>
      <w:tr w:rsidR="00FF7799" w:rsidRPr="00E73F6F" w14:paraId="5FA8369A" w14:textId="77777777" w:rsidTr="008E038E">
        <w:trPr>
          <w:trHeight w:val="239"/>
        </w:trPr>
        <w:tc>
          <w:tcPr>
            <w:tcW w:w="391" w:type="pct"/>
          </w:tcPr>
          <w:p w14:paraId="4E1D169C" w14:textId="77777777" w:rsidR="00FF7799" w:rsidRPr="00E73F6F" w:rsidRDefault="00FF7799" w:rsidP="00F3090F">
            <w:pPr>
              <w:pStyle w:val="StandardText"/>
              <w:jc w:val="center"/>
              <w:rPr>
                <w:lang w:val="de-DE"/>
              </w:rPr>
            </w:pPr>
          </w:p>
        </w:tc>
        <w:tc>
          <w:tcPr>
            <w:tcW w:w="1720" w:type="pct"/>
          </w:tcPr>
          <w:p w14:paraId="4CF932D1" w14:textId="77777777" w:rsidR="00FF7799" w:rsidRPr="00E73F6F" w:rsidRDefault="00FF7799" w:rsidP="00F3090F">
            <w:pPr>
              <w:pStyle w:val="StandardText"/>
              <w:jc w:val="left"/>
              <w:rPr>
                <w:lang w:val="de-DE"/>
              </w:rPr>
            </w:pPr>
            <w:r w:rsidRPr="00E73F6F">
              <w:rPr>
                <w:spacing w:val="-2"/>
                <w:lang w:val="de-DE"/>
              </w:rPr>
              <w:t>Saudi-Arabien</w:t>
            </w:r>
          </w:p>
        </w:tc>
        <w:tc>
          <w:tcPr>
            <w:tcW w:w="963" w:type="pct"/>
          </w:tcPr>
          <w:p w14:paraId="0F1F5518" w14:textId="77777777" w:rsidR="00FF7799" w:rsidRPr="00E73F6F" w:rsidRDefault="00FF7799" w:rsidP="00F3090F">
            <w:pPr>
              <w:pStyle w:val="StandardText"/>
              <w:jc w:val="center"/>
              <w:rPr>
                <w:lang w:val="de-DE"/>
              </w:rPr>
            </w:pPr>
            <w:r w:rsidRPr="00E73F6F">
              <w:rPr>
                <w:spacing w:val="-5"/>
                <w:lang w:val="de-DE"/>
              </w:rPr>
              <w:t>3.3</w:t>
            </w:r>
          </w:p>
        </w:tc>
        <w:tc>
          <w:tcPr>
            <w:tcW w:w="963" w:type="pct"/>
          </w:tcPr>
          <w:p w14:paraId="4010330A" w14:textId="77777777" w:rsidR="00FF7799" w:rsidRPr="00E73F6F" w:rsidRDefault="00FF7799" w:rsidP="00F3090F">
            <w:pPr>
              <w:pStyle w:val="StandardText"/>
              <w:jc w:val="center"/>
              <w:rPr>
                <w:lang w:val="de-DE"/>
              </w:rPr>
            </w:pPr>
            <w:r w:rsidRPr="00E73F6F">
              <w:rPr>
                <w:lang w:val="de-DE"/>
              </w:rPr>
              <w:t>2.2 -</w:t>
            </w:r>
            <w:r w:rsidRPr="00E73F6F">
              <w:rPr>
                <w:spacing w:val="-3"/>
                <w:lang w:val="de-DE"/>
              </w:rPr>
              <w:t xml:space="preserve"> </w:t>
            </w:r>
            <w:r w:rsidRPr="00E73F6F">
              <w:rPr>
                <w:spacing w:val="-5"/>
                <w:lang w:val="de-DE"/>
              </w:rPr>
              <w:t>3.7</w:t>
            </w:r>
          </w:p>
        </w:tc>
        <w:tc>
          <w:tcPr>
            <w:tcW w:w="963" w:type="pct"/>
          </w:tcPr>
          <w:p w14:paraId="4882DEC0" w14:textId="77777777" w:rsidR="00FF7799" w:rsidRPr="00E73F6F" w:rsidRDefault="00FF7799" w:rsidP="00F3090F">
            <w:pPr>
              <w:pStyle w:val="StandardText"/>
              <w:jc w:val="center"/>
              <w:rPr>
                <w:lang w:val="de-DE"/>
              </w:rPr>
            </w:pPr>
            <w:r w:rsidRPr="00E73F6F">
              <w:rPr>
                <w:lang w:val="de-DE"/>
              </w:rPr>
              <w:t>3</w:t>
            </w:r>
          </w:p>
        </w:tc>
      </w:tr>
      <w:tr w:rsidR="00FF7799" w:rsidRPr="00E73F6F" w14:paraId="0F09651B" w14:textId="77777777" w:rsidTr="008E038E">
        <w:trPr>
          <w:trHeight w:val="244"/>
        </w:trPr>
        <w:tc>
          <w:tcPr>
            <w:tcW w:w="391" w:type="pct"/>
          </w:tcPr>
          <w:p w14:paraId="53439D64" w14:textId="77777777" w:rsidR="00FF7799" w:rsidRPr="00E73F6F" w:rsidRDefault="00FF7799" w:rsidP="00F3090F">
            <w:pPr>
              <w:pStyle w:val="StandardText"/>
              <w:jc w:val="center"/>
              <w:rPr>
                <w:lang w:val="de-DE"/>
              </w:rPr>
            </w:pPr>
          </w:p>
        </w:tc>
        <w:tc>
          <w:tcPr>
            <w:tcW w:w="1720" w:type="pct"/>
          </w:tcPr>
          <w:p w14:paraId="63F9F14C" w14:textId="77777777" w:rsidR="00FF7799" w:rsidRPr="00E73F6F" w:rsidRDefault="00FF7799" w:rsidP="00F3090F">
            <w:pPr>
              <w:pStyle w:val="StandardText"/>
              <w:jc w:val="left"/>
              <w:rPr>
                <w:lang w:val="de-DE"/>
              </w:rPr>
            </w:pPr>
            <w:r w:rsidRPr="00E73F6F">
              <w:rPr>
                <w:spacing w:val="-2"/>
                <w:lang w:val="de-DE"/>
              </w:rPr>
              <w:t>Senegal</w:t>
            </w:r>
          </w:p>
        </w:tc>
        <w:tc>
          <w:tcPr>
            <w:tcW w:w="963" w:type="pct"/>
          </w:tcPr>
          <w:p w14:paraId="06AAE700" w14:textId="77777777" w:rsidR="00FF7799" w:rsidRPr="00E73F6F" w:rsidRDefault="00FF7799" w:rsidP="00F3090F">
            <w:pPr>
              <w:pStyle w:val="StandardText"/>
              <w:jc w:val="center"/>
              <w:rPr>
                <w:lang w:val="de-DE"/>
              </w:rPr>
            </w:pPr>
            <w:r w:rsidRPr="00E73F6F">
              <w:rPr>
                <w:spacing w:val="-5"/>
                <w:lang w:val="de-DE"/>
              </w:rPr>
              <w:t>3.3</w:t>
            </w:r>
          </w:p>
        </w:tc>
        <w:tc>
          <w:tcPr>
            <w:tcW w:w="963" w:type="pct"/>
          </w:tcPr>
          <w:p w14:paraId="656C9E2D" w14:textId="77777777" w:rsidR="00FF7799" w:rsidRPr="00E73F6F" w:rsidRDefault="00FF7799" w:rsidP="00F3090F">
            <w:pPr>
              <w:pStyle w:val="StandardText"/>
              <w:jc w:val="center"/>
              <w:rPr>
                <w:lang w:val="de-DE"/>
              </w:rPr>
            </w:pPr>
            <w:r w:rsidRPr="00E73F6F">
              <w:rPr>
                <w:lang w:val="de-DE"/>
              </w:rPr>
              <w:t>2.8 -</w:t>
            </w:r>
            <w:r w:rsidRPr="00E73F6F">
              <w:rPr>
                <w:spacing w:val="-3"/>
                <w:lang w:val="de-DE"/>
              </w:rPr>
              <w:t xml:space="preserve"> </w:t>
            </w:r>
            <w:r w:rsidRPr="00E73F6F">
              <w:rPr>
                <w:spacing w:val="-5"/>
                <w:lang w:val="de-DE"/>
              </w:rPr>
              <w:t>3.7</w:t>
            </w:r>
          </w:p>
        </w:tc>
        <w:tc>
          <w:tcPr>
            <w:tcW w:w="963" w:type="pct"/>
          </w:tcPr>
          <w:p w14:paraId="12FD0083" w14:textId="77777777" w:rsidR="00FF7799" w:rsidRPr="00E73F6F" w:rsidRDefault="00FF7799" w:rsidP="00F3090F">
            <w:pPr>
              <w:pStyle w:val="StandardText"/>
              <w:jc w:val="center"/>
              <w:rPr>
                <w:lang w:val="de-DE"/>
              </w:rPr>
            </w:pPr>
            <w:r w:rsidRPr="00E73F6F">
              <w:rPr>
                <w:lang w:val="de-DE"/>
              </w:rPr>
              <w:t>5</w:t>
            </w:r>
          </w:p>
        </w:tc>
      </w:tr>
      <w:tr w:rsidR="00FF7799" w:rsidRPr="00E73F6F" w14:paraId="5D54183C" w14:textId="77777777" w:rsidTr="008E038E">
        <w:trPr>
          <w:trHeight w:val="239"/>
        </w:trPr>
        <w:tc>
          <w:tcPr>
            <w:tcW w:w="391" w:type="pct"/>
          </w:tcPr>
          <w:p w14:paraId="7678632B" w14:textId="77777777" w:rsidR="00FF7799" w:rsidRPr="00E73F6F" w:rsidRDefault="00FF7799" w:rsidP="00F3090F">
            <w:pPr>
              <w:pStyle w:val="StandardText"/>
              <w:jc w:val="center"/>
              <w:rPr>
                <w:lang w:val="de-DE"/>
              </w:rPr>
            </w:pPr>
            <w:r w:rsidRPr="00E73F6F">
              <w:rPr>
                <w:spacing w:val="-5"/>
                <w:lang w:val="de-DE"/>
              </w:rPr>
              <w:t>79</w:t>
            </w:r>
          </w:p>
        </w:tc>
        <w:tc>
          <w:tcPr>
            <w:tcW w:w="1720" w:type="pct"/>
          </w:tcPr>
          <w:p w14:paraId="038168D4" w14:textId="77777777" w:rsidR="00FF7799" w:rsidRPr="00E73F6F" w:rsidRDefault="00FF7799" w:rsidP="00F3090F">
            <w:pPr>
              <w:pStyle w:val="StandardText"/>
              <w:jc w:val="left"/>
              <w:rPr>
                <w:lang w:val="de-DE"/>
              </w:rPr>
            </w:pPr>
            <w:r w:rsidRPr="00E73F6F">
              <w:rPr>
                <w:lang w:val="de-DE"/>
              </w:rPr>
              <w:t>Burkina</w:t>
            </w:r>
            <w:r w:rsidRPr="00E73F6F">
              <w:rPr>
                <w:spacing w:val="-8"/>
                <w:lang w:val="de-DE"/>
              </w:rPr>
              <w:t xml:space="preserve"> </w:t>
            </w:r>
            <w:r w:rsidRPr="00E73F6F">
              <w:rPr>
                <w:lang w:val="de-DE"/>
              </w:rPr>
              <w:t>Faso</w:t>
            </w:r>
          </w:p>
        </w:tc>
        <w:tc>
          <w:tcPr>
            <w:tcW w:w="963" w:type="pct"/>
          </w:tcPr>
          <w:p w14:paraId="169F3867" w14:textId="77777777" w:rsidR="00FF7799" w:rsidRPr="00E73F6F" w:rsidRDefault="00FF7799" w:rsidP="00F3090F">
            <w:pPr>
              <w:pStyle w:val="StandardText"/>
              <w:jc w:val="center"/>
              <w:rPr>
                <w:lang w:val="de-DE"/>
              </w:rPr>
            </w:pPr>
            <w:r w:rsidRPr="00E73F6F">
              <w:rPr>
                <w:spacing w:val="-5"/>
                <w:lang w:val="de-DE"/>
              </w:rPr>
              <w:t>3.2</w:t>
            </w:r>
          </w:p>
        </w:tc>
        <w:tc>
          <w:tcPr>
            <w:tcW w:w="963" w:type="pct"/>
          </w:tcPr>
          <w:p w14:paraId="75438169" w14:textId="77777777" w:rsidR="00FF7799" w:rsidRPr="00E73F6F" w:rsidRDefault="00FF7799" w:rsidP="00F3090F">
            <w:pPr>
              <w:pStyle w:val="StandardText"/>
              <w:jc w:val="center"/>
              <w:rPr>
                <w:lang w:val="de-DE"/>
              </w:rPr>
            </w:pPr>
            <w:r w:rsidRPr="00E73F6F">
              <w:rPr>
                <w:lang w:val="de-DE"/>
              </w:rPr>
              <w:t>2.8 -</w:t>
            </w:r>
            <w:r w:rsidRPr="00E73F6F">
              <w:rPr>
                <w:spacing w:val="-3"/>
                <w:lang w:val="de-DE"/>
              </w:rPr>
              <w:t xml:space="preserve"> </w:t>
            </w:r>
            <w:r w:rsidRPr="00E73F6F">
              <w:rPr>
                <w:spacing w:val="-5"/>
                <w:lang w:val="de-DE"/>
              </w:rPr>
              <w:t>3.6</w:t>
            </w:r>
          </w:p>
        </w:tc>
        <w:tc>
          <w:tcPr>
            <w:tcW w:w="963" w:type="pct"/>
          </w:tcPr>
          <w:p w14:paraId="39C8899D" w14:textId="77777777" w:rsidR="00FF7799" w:rsidRPr="00E73F6F" w:rsidRDefault="00FF7799" w:rsidP="00F3090F">
            <w:pPr>
              <w:pStyle w:val="StandardText"/>
              <w:jc w:val="center"/>
              <w:rPr>
                <w:lang w:val="de-DE"/>
              </w:rPr>
            </w:pPr>
            <w:r w:rsidRPr="00E73F6F">
              <w:rPr>
                <w:lang w:val="de-DE"/>
              </w:rPr>
              <w:t>5</w:t>
            </w:r>
          </w:p>
        </w:tc>
      </w:tr>
      <w:tr w:rsidR="00FF7799" w:rsidRPr="00E73F6F" w14:paraId="4602D91A" w14:textId="77777777" w:rsidTr="008E038E">
        <w:trPr>
          <w:trHeight w:val="244"/>
        </w:trPr>
        <w:tc>
          <w:tcPr>
            <w:tcW w:w="391" w:type="pct"/>
          </w:tcPr>
          <w:p w14:paraId="7E32AB95" w14:textId="77777777" w:rsidR="00FF7799" w:rsidRPr="00E73F6F" w:rsidRDefault="00FF7799" w:rsidP="00F3090F">
            <w:pPr>
              <w:pStyle w:val="StandardText"/>
              <w:jc w:val="center"/>
              <w:rPr>
                <w:lang w:val="de-DE"/>
              </w:rPr>
            </w:pPr>
          </w:p>
        </w:tc>
        <w:tc>
          <w:tcPr>
            <w:tcW w:w="1720" w:type="pct"/>
          </w:tcPr>
          <w:p w14:paraId="78ED61A5" w14:textId="77777777" w:rsidR="00FF7799" w:rsidRPr="00E73F6F" w:rsidRDefault="00FF7799" w:rsidP="00F3090F">
            <w:pPr>
              <w:pStyle w:val="StandardText"/>
              <w:jc w:val="left"/>
              <w:rPr>
                <w:lang w:val="de-DE"/>
              </w:rPr>
            </w:pPr>
            <w:r w:rsidRPr="00E73F6F">
              <w:rPr>
                <w:spacing w:val="-2"/>
                <w:lang w:val="de-DE"/>
              </w:rPr>
              <w:t>Lesotho</w:t>
            </w:r>
          </w:p>
        </w:tc>
        <w:tc>
          <w:tcPr>
            <w:tcW w:w="963" w:type="pct"/>
          </w:tcPr>
          <w:p w14:paraId="45C7F426" w14:textId="77777777" w:rsidR="00FF7799" w:rsidRPr="00E73F6F" w:rsidRDefault="00FF7799" w:rsidP="00F3090F">
            <w:pPr>
              <w:pStyle w:val="StandardText"/>
              <w:jc w:val="center"/>
              <w:rPr>
                <w:lang w:val="de-DE"/>
              </w:rPr>
            </w:pPr>
            <w:r w:rsidRPr="00E73F6F">
              <w:rPr>
                <w:spacing w:val="-5"/>
                <w:lang w:val="de-DE"/>
              </w:rPr>
              <w:t>3.2</w:t>
            </w:r>
          </w:p>
        </w:tc>
        <w:tc>
          <w:tcPr>
            <w:tcW w:w="963" w:type="pct"/>
          </w:tcPr>
          <w:p w14:paraId="22EE1D5D" w14:textId="77777777" w:rsidR="00FF7799" w:rsidRPr="00E73F6F" w:rsidRDefault="00FF7799" w:rsidP="00F3090F">
            <w:pPr>
              <w:pStyle w:val="StandardText"/>
              <w:jc w:val="center"/>
              <w:rPr>
                <w:lang w:val="de-DE"/>
              </w:rPr>
            </w:pPr>
            <w:r w:rsidRPr="00E73F6F">
              <w:rPr>
                <w:lang w:val="de-DE"/>
              </w:rPr>
              <w:t>2.9 -</w:t>
            </w:r>
            <w:r w:rsidRPr="00E73F6F">
              <w:rPr>
                <w:spacing w:val="-3"/>
                <w:lang w:val="de-DE"/>
              </w:rPr>
              <w:t xml:space="preserve"> </w:t>
            </w:r>
            <w:r w:rsidRPr="00E73F6F">
              <w:rPr>
                <w:spacing w:val="-5"/>
                <w:lang w:val="de-DE"/>
              </w:rPr>
              <w:t>3.6</w:t>
            </w:r>
          </w:p>
        </w:tc>
        <w:tc>
          <w:tcPr>
            <w:tcW w:w="963" w:type="pct"/>
          </w:tcPr>
          <w:p w14:paraId="23E93E2C" w14:textId="77777777" w:rsidR="00FF7799" w:rsidRPr="00E73F6F" w:rsidRDefault="00FF7799" w:rsidP="00F3090F">
            <w:pPr>
              <w:pStyle w:val="StandardText"/>
              <w:jc w:val="center"/>
              <w:rPr>
                <w:lang w:val="de-DE"/>
              </w:rPr>
            </w:pPr>
            <w:r w:rsidRPr="00E73F6F">
              <w:rPr>
                <w:lang w:val="de-DE"/>
              </w:rPr>
              <w:t>5</w:t>
            </w:r>
          </w:p>
        </w:tc>
      </w:tr>
      <w:tr w:rsidR="00FF7799" w:rsidRPr="00E73F6F" w14:paraId="34283CBA" w14:textId="77777777" w:rsidTr="008E038E">
        <w:trPr>
          <w:trHeight w:val="239"/>
        </w:trPr>
        <w:tc>
          <w:tcPr>
            <w:tcW w:w="391" w:type="pct"/>
          </w:tcPr>
          <w:p w14:paraId="764FA058" w14:textId="77777777" w:rsidR="00FF7799" w:rsidRPr="00E73F6F" w:rsidRDefault="00FF7799" w:rsidP="00F3090F">
            <w:pPr>
              <w:pStyle w:val="StandardText"/>
              <w:jc w:val="center"/>
              <w:rPr>
                <w:lang w:val="de-DE"/>
              </w:rPr>
            </w:pPr>
          </w:p>
        </w:tc>
        <w:tc>
          <w:tcPr>
            <w:tcW w:w="1720" w:type="pct"/>
          </w:tcPr>
          <w:p w14:paraId="67C7515E" w14:textId="77777777" w:rsidR="00FF7799" w:rsidRPr="00E73F6F" w:rsidRDefault="00FF7799" w:rsidP="00F3090F">
            <w:pPr>
              <w:pStyle w:val="StandardText"/>
              <w:jc w:val="left"/>
              <w:rPr>
                <w:lang w:val="de-DE"/>
              </w:rPr>
            </w:pPr>
            <w:r w:rsidRPr="00E73F6F">
              <w:rPr>
                <w:spacing w:val="-2"/>
                <w:lang w:val="de-DE"/>
              </w:rPr>
              <w:t>Moldawien</w:t>
            </w:r>
          </w:p>
        </w:tc>
        <w:tc>
          <w:tcPr>
            <w:tcW w:w="963" w:type="pct"/>
          </w:tcPr>
          <w:p w14:paraId="648977A9" w14:textId="77777777" w:rsidR="00FF7799" w:rsidRPr="00E73F6F" w:rsidRDefault="00FF7799" w:rsidP="00F3090F">
            <w:pPr>
              <w:pStyle w:val="StandardText"/>
              <w:jc w:val="center"/>
              <w:rPr>
                <w:lang w:val="de-DE"/>
              </w:rPr>
            </w:pPr>
            <w:r w:rsidRPr="00E73F6F">
              <w:rPr>
                <w:spacing w:val="-5"/>
                <w:lang w:val="de-DE"/>
              </w:rPr>
              <w:t>3.2</w:t>
            </w:r>
          </w:p>
        </w:tc>
        <w:tc>
          <w:tcPr>
            <w:tcW w:w="963" w:type="pct"/>
          </w:tcPr>
          <w:p w14:paraId="08C0798C" w14:textId="77777777" w:rsidR="00FF7799" w:rsidRPr="00E73F6F" w:rsidRDefault="00FF7799" w:rsidP="00F3090F">
            <w:pPr>
              <w:pStyle w:val="StandardText"/>
              <w:jc w:val="center"/>
              <w:rPr>
                <w:lang w:val="de-DE"/>
              </w:rPr>
            </w:pPr>
            <w:r w:rsidRPr="00E73F6F">
              <w:rPr>
                <w:lang w:val="de-DE"/>
              </w:rPr>
              <w:t>2.7 -</w:t>
            </w:r>
            <w:r w:rsidRPr="00E73F6F">
              <w:rPr>
                <w:spacing w:val="-3"/>
                <w:lang w:val="de-DE"/>
              </w:rPr>
              <w:t xml:space="preserve"> </w:t>
            </w:r>
            <w:r w:rsidRPr="00E73F6F">
              <w:rPr>
                <w:spacing w:val="-5"/>
                <w:lang w:val="de-DE"/>
              </w:rPr>
              <w:t>3.8</w:t>
            </w:r>
          </w:p>
        </w:tc>
        <w:tc>
          <w:tcPr>
            <w:tcW w:w="963" w:type="pct"/>
          </w:tcPr>
          <w:p w14:paraId="5B039998" w14:textId="77777777" w:rsidR="00FF7799" w:rsidRPr="00E73F6F" w:rsidRDefault="00FF7799" w:rsidP="00F3090F">
            <w:pPr>
              <w:pStyle w:val="StandardText"/>
              <w:jc w:val="center"/>
              <w:rPr>
                <w:lang w:val="de-DE"/>
              </w:rPr>
            </w:pPr>
            <w:r w:rsidRPr="00E73F6F">
              <w:rPr>
                <w:lang w:val="de-DE"/>
              </w:rPr>
              <w:t>7</w:t>
            </w:r>
          </w:p>
        </w:tc>
      </w:tr>
      <w:tr w:rsidR="00FF7799" w:rsidRPr="00E73F6F" w14:paraId="31F4B759" w14:textId="77777777" w:rsidTr="008E038E">
        <w:trPr>
          <w:trHeight w:val="245"/>
        </w:trPr>
        <w:tc>
          <w:tcPr>
            <w:tcW w:w="391" w:type="pct"/>
          </w:tcPr>
          <w:p w14:paraId="06AE839D" w14:textId="77777777" w:rsidR="00FF7799" w:rsidRPr="00E73F6F" w:rsidRDefault="00FF7799" w:rsidP="00F3090F">
            <w:pPr>
              <w:pStyle w:val="StandardText"/>
              <w:jc w:val="center"/>
              <w:rPr>
                <w:lang w:val="de-DE"/>
              </w:rPr>
            </w:pPr>
          </w:p>
        </w:tc>
        <w:tc>
          <w:tcPr>
            <w:tcW w:w="1720" w:type="pct"/>
          </w:tcPr>
          <w:p w14:paraId="6FFBE1EB" w14:textId="77777777" w:rsidR="00FF7799" w:rsidRPr="00E73F6F" w:rsidRDefault="00FF7799" w:rsidP="00F3090F">
            <w:pPr>
              <w:pStyle w:val="StandardText"/>
              <w:jc w:val="left"/>
              <w:rPr>
                <w:lang w:val="de-DE"/>
              </w:rPr>
            </w:pPr>
            <w:r w:rsidRPr="00E73F6F">
              <w:rPr>
                <w:spacing w:val="-2"/>
                <w:lang w:val="de-DE"/>
              </w:rPr>
              <w:t>Marokko</w:t>
            </w:r>
          </w:p>
        </w:tc>
        <w:tc>
          <w:tcPr>
            <w:tcW w:w="963" w:type="pct"/>
          </w:tcPr>
          <w:p w14:paraId="2D16E3F1" w14:textId="77777777" w:rsidR="00FF7799" w:rsidRPr="00E73F6F" w:rsidRDefault="00FF7799" w:rsidP="00F3090F">
            <w:pPr>
              <w:pStyle w:val="StandardText"/>
              <w:jc w:val="center"/>
              <w:rPr>
                <w:lang w:val="de-DE"/>
              </w:rPr>
            </w:pPr>
            <w:r w:rsidRPr="00E73F6F">
              <w:rPr>
                <w:spacing w:val="-5"/>
                <w:lang w:val="de-DE"/>
              </w:rPr>
              <w:t>3.2</w:t>
            </w:r>
          </w:p>
        </w:tc>
        <w:tc>
          <w:tcPr>
            <w:tcW w:w="963" w:type="pct"/>
          </w:tcPr>
          <w:p w14:paraId="623359DC" w14:textId="77777777" w:rsidR="00FF7799" w:rsidRPr="00E73F6F" w:rsidRDefault="00FF7799" w:rsidP="00F3090F">
            <w:pPr>
              <w:pStyle w:val="StandardText"/>
              <w:jc w:val="center"/>
              <w:rPr>
                <w:lang w:val="de-DE"/>
              </w:rPr>
            </w:pPr>
            <w:r w:rsidRPr="00E73F6F">
              <w:rPr>
                <w:lang w:val="de-DE"/>
              </w:rPr>
              <w:t>2.8 -</w:t>
            </w:r>
            <w:r w:rsidRPr="00E73F6F">
              <w:rPr>
                <w:spacing w:val="-3"/>
                <w:lang w:val="de-DE"/>
              </w:rPr>
              <w:t xml:space="preserve"> </w:t>
            </w:r>
            <w:r w:rsidRPr="00E73F6F">
              <w:rPr>
                <w:spacing w:val="-5"/>
                <w:lang w:val="de-DE"/>
              </w:rPr>
              <w:t>3.5</w:t>
            </w:r>
          </w:p>
        </w:tc>
        <w:tc>
          <w:tcPr>
            <w:tcW w:w="963" w:type="pct"/>
          </w:tcPr>
          <w:p w14:paraId="670B276F" w14:textId="77777777" w:rsidR="00FF7799" w:rsidRPr="00E73F6F" w:rsidRDefault="00FF7799" w:rsidP="00F3090F">
            <w:pPr>
              <w:pStyle w:val="StandardText"/>
              <w:jc w:val="center"/>
              <w:rPr>
                <w:lang w:val="de-DE"/>
              </w:rPr>
            </w:pPr>
            <w:r w:rsidRPr="00E73F6F">
              <w:rPr>
                <w:lang w:val="de-DE"/>
              </w:rPr>
              <w:t>6</w:t>
            </w:r>
          </w:p>
        </w:tc>
      </w:tr>
      <w:tr w:rsidR="00FF7799" w:rsidRPr="00E73F6F" w14:paraId="7EE07C94" w14:textId="77777777" w:rsidTr="008E038E">
        <w:trPr>
          <w:trHeight w:val="239"/>
        </w:trPr>
        <w:tc>
          <w:tcPr>
            <w:tcW w:w="391" w:type="pct"/>
          </w:tcPr>
          <w:p w14:paraId="142AAC00" w14:textId="77777777" w:rsidR="00FF7799" w:rsidRPr="00E73F6F" w:rsidRDefault="00FF7799" w:rsidP="00F3090F">
            <w:pPr>
              <w:pStyle w:val="StandardText"/>
              <w:jc w:val="center"/>
              <w:rPr>
                <w:lang w:val="de-DE"/>
              </w:rPr>
            </w:pPr>
          </w:p>
        </w:tc>
        <w:tc>
          <w:tcPr>
            <w:tcW w:w="1720" w:type="pct"/>
          </w:tcPr>
          <w:p w14:paraId="4415273C" w14:textId="77777777" w:rsidR="00FF7799" w:rsidRPr="00E73F6F" w:rsidRDefault="00FF7799" w:rsidP="00F3090F">
            <w:pPr>
              <w:pStyle w:val="StandardText"/>
              <w:jc w:val="left"/>
              <w:rPr>
                <w:lang w:val="de-DE"/>
              </w:rPr>
            </w:pPr>
            <w:r w:rsidRPr="00E73F6F">
              <w:rPr>
                <w:lang w:val="de-DE"/>
              </w:rPr>
              <w:t>Trinidad</w:t>
            </w:r>
            <w:r w:rsidRPr="00E73F6F">
              <w:rPr>
                <w:spacing w:val="-5"/>
                <w:lang w:val="de-DE"/>
              </w:rPr>
              <w:t xml:space="preserve"> </w:t>
            </w:r>
            <w:r w:rsidRPr="00E73F6F">
              <w:rPr>
                <w:lang w:val="de-DE"/>
              </w:rPr>
              <w:t xml:space="preserve">and </w:t>
            </w:r>
            <w:r w:rsidRPr="00E73F6F">
              <w:rPr>
                <w:spacing w:val="-2"/>
                <w:lang w:val="de-DE"/>
              </w:rPr>
              <w:t>Tobago</w:t>
            </w:r>
          </w:p>
        </w:tc>
        <w:tc>
          <w:tcPr>
            <w:tcW w:w="963" w:type="pct"/>
          </w:tcPr>
          <w:p w14:paraId="7A8EFB37" w14:textId="77777777" w:rsidR="00FF7799" w:rsidRPr="00E73F6F" w:rsidRDefault="00FF7799" w:rsidP="00F3090F">
            <w:pPr>
              <w:pStyle w:val="StandardText"/>
              <w:jc w:val="center"/>
              <w:rPr>
                <w:lang w:val="de-DE"/>
              </w:rPr>
            </w:pPr>
            <w:r w:rsidRPr="00E73F6F">
              <w:rPr>
                <w:spacing w:val="-5"/>
                <w:lang w:val="de-DE"/>
              </w:rPr>
              <w:t>3.2</w:t>
            </w:r>
          </w:p>
        </w:tc>
        <w:tc>
          <w:tcPr>
            <w:tcW w:w="963" w:type="pct"/>
          </w:tcPr>
          <w:p w14:paraId="5A4865B0" w14:textId="77777777" w:rsidR="00FF7799" w:rsidRPr="00E73F6F" w:rsidRDefault="00FF7799" w:rsidP="00F3090F">
            <w:pPr>
              <w:pStyle w:val="StandardText"/>
              <w:jc w:val="center"/>
              <w:rPr>
                <w:lang w:val="de-DE"/>
              </w:rPr>
            </w:pPr>
            <w:r w:rsidRPr="00E73F6F">
              <w:rPr>
                <w:lang w:val="de-DE"/>
              </w:rPr>
              <w:t>2.8 -</w:t>
            </w:r>
            <w:r w:rsidRPr="00E73F6F">
              <w:rPr>
                <w:spacing w:val="-3"/>
                <w:lang w:val="de-DE"/>
              </w:rPr>
              <w:t xml:space="preserve"> </w:t>
            </w:r>
            <w:r w:rsidRPr="00E73F6F">
              <w:rPr>
                <w:spacing w:val="-5"/>
                <w:lang w:val="de-DE"/>
              </w:rPr>
              <w:t>3.6</w:t>
            </w:r>
          </w:p>
        </w:tc>
        <w:tc>
          <w:tcPr>
            <w:tcW w:w="963" w:type="pct"/>
          </w:tcPr>
          <w:p w14:paraId="267202C1" w14:textId="77777777" w:rsidR="00FF7799" w:rsidRPr="00E73F6F" w:rsidRDefault="00FF7799" w:rsidP="00F3090F">
            <w:pPr>
              <w:pStyle w:val="StandardText"/>
              <w:jc w:val="center"/>
              <w:rPr>
                <w:lang w:val="de-DE"/>
              </w:rPr>
            </w:pPr>
            <w:r w:rsidRPr="00E73F6F">
              <w:rPr>
                <w:lang w:val="de-DE"/>
              </w:rPr>
              <w:t>5</w:t>
            </w:r>
          </w:p>
        </w:tc>
      </w:tr>
      <w:tr w:rsidR="00FF7799" w:rsidRPr="00E73F6F" w14:paraId="4574D77E" w14:textId="77777777" w:rsidTr="008E038E">
        <w:trPr>
          <w:trHeight w:val="244"/>
        </w:trPr>
        <w:tc>
          <w:tcPr>
            <w:tcW w:w="391" w:type="pct"/>
          </w:tcPr>
          <w:p w14:paraId="05182B23" w14:textId="77777777" w:rsidR="00FF7799" w:rsidRPr="00E73F6F" w:rsidRDefault="00FF7799" w:rsidP="00F3090F">
            <w:pPr>
              <w:pStyle w:val="StandardText"/>
              <w:jc w:val="center"/>
              <w:rPr>
                <w:lang w:val="de-DE"/>
              </w:rPr>
            </w:pPr>
            <w:r w:rsidRPr="00E73F6F">
              <w:rPr>
                <w:spacing w:val="-5"/>
                <w:lang w:val="de-DE"/>
              </w:rPr>
              <w:t>84</w:t>
            </w:r>
          </w:p>
        </w:tc>
        <w:tc>
          <w:tcPr>
            <w:tcW w:w="1720" w:type="pct"/>
          </w:tcPr>
          <w:p w14:paraId="0B3B8A73" w14:textId="77777777" w:rsidR="00FF7799" w:rsidRPr="00E73F6F" w:rsidRDefault="00FF7799" w:rsidP="00F3090F">
            <w:pPr>
              <w:pStyle w:val="StandardText"/>
              <w:jc w:val="left"/>
              <w:rPr>
                <w:lang w:val="de-DE"/>
              </w:rPr>
            </w:pPr>
            <w:r w:rsidRPr="00E73F6F">
              <w:rPr>
                <w:spacing w:val="-2"/>
                <w:lang w:val="de-DE"/>
              </w:rPr>
              <w:t>Algerien</w:t>
            </w:r>
          </w:p>
        </w:tc>
        <w:tc>
          <w:tcPr>
            <w:tcW w:w="963" w:type="pct"/>
          </w:tcPr>
          <w:p w14:paraId="063B221E" w14:textId="77777777" w:rsidR="00FF7799" w:rsidRPr="00E73F6F" w:rsidRDefault="00FF7799" w:rsidP="00F3090F">
            <w:pPr>
              <w:pStyle w:val="StandardText"/>
              <w:jc w:val="center"/>
              <w:rPr>
                <w:lang w:val="de-DE"/>
              </w:rPr>
            </w:pPr>
            <w:r w:rsidRPr="00E73F6F">
              <w:rPr>
                <w:spacing w:val="-5"/>
                <w:lang w:val="de-DE"/>
              </w:rPr>
              <w:t>3.1</w:t>
            </w:r>
          </w:p>
        </w:tc>
        <w:tc>
          <w:tcPr>
            <w:tcW w:w="963" w:type="pct"/>
          </w:tcPr>
          <w:p w14:paraId="25987F30" w14:textId="77777777" w:rsidR="00FF7799" w:rsidRPr="00E73F6F" w:rsidRDefault="00FF7799" w:rsidP="00F3090F">
            <w:pPr>
              <w:pStyle w:val="StandardText"/>
              <w:jc w:val="center"/>
              <w:rPr>
                <w:lang w:val="de-DE"/>
              </w:rPr>
            </w:pPr>
            <w:r w:rsidRPr="00E73F6F">
              <w:rPr>
                <w:lang w:val="de-DE"/>
              </w:rPr>
              <w:t>2.7 -</w:t>
            </w:r>
            <w:r w:rsidRPr="00E73F6F">
              <w:rPr>
                <w:spacing w:val="-3"/>
                <w:lang w:val="de-DE"/>
              </w:rPr>
              <w:t xml:space="preserve"> </w:t>
            </w:r>
            <w:r w:rsidRPr="00E73F6F">
              <w:rPr>
                <w:spacing w:val="-5"/>
                <w:lang w:val="de-DE"/>
              </w:rPr>
              <w:t>3.6</w:t>
            </w:r>
          </w:p>
        </w:tc>
        <w:tc>
          <w:tcPr>
            <w:tcW w:w="963" w:type="pct"/>
          </w:tcPr>
          <w:p w14:paraId="6654274E" w14:textId="77777777" w:rsidR="00FF7799" w:rsidRPr="00E73F6F" w:rsidRDefault="00FF7799" w:rsidP="00F3090F">
            <w:pPr>
              <w:pStyle w:val="StandardText"/>
              <w:jc w:val="center"/>
              <w:rPr>
                <w:lang w:val="de-DE"/>
              </w:rPr>
            </w:pPr>
            <w:r w:rsidRPr="00E73F6F">
              <w:rPr>
                <w:lang w:val="de-DE"/>
              </w:rPr>
              <w:t>5</w:t>
            </w:r>
          </w:p>
        </w:tc>
      </w:tr>
      <w:tr w:rsidR="00FF7799" w:rsidRPr="00E73F6F" w14:paraId="76EE1061" w14:textId="77777777" w:rsidTr="008E038E">
        <w:trPr>
          <w:trHeight w:val="239"/>
        </w:trPr>
        <w:tc>
          <w:tcPr>
            <w:tcW w:w="391" w:type="pct"/>
          </w:tcPr>
          <w:p w14:paraId="2E7BD5CA" w14:textId="77777777" w:rsidR="00FF7799" w:rsidRPr="00E73F6F" w:rsidRDefault="00FF7799" w:rsidP="00F3090F">
            <w:pPr>
              <w:pStyle w:val="StandardText"/>
              <w:jc w:val="center"/>
              <w:rPr>
                <w:lang w:val="de-DE"/>
              </w:rPr>
            </w:pPr>
          </w:p>
        </w:tc>
        <w:tc>
          <w:tcPr>
            <w:tcW w:w="1720" w:type="pct"/>
          </w:tcPr>
          <w:p w14:paraId="5FC57821" w14:textId="77777777" w:rsidR="00FF7799" w:rsidRPr="00E73F6F" w:rsidRDefault="00FF7799" w:rsidP="00F3090F">
            <w:pPr>
              <w:pStyle w:val="StandardText"/>
              <w:jc w:val="left"/>
              <w:rPr>
                <w:lang w:val="de-DE"/>
              </w:rPr>
            </w:pPr>
            <w:r w:rsidRPr="00E73F6F">
              <w:rPr>
                <w:spacing w:val="-2"/>
                <w:lang w:val="de-DE"/>
              </w:rPr>
              <w:t>Madagaskar</w:t>
            </w:r>
          </w:p>
        </w:tc>
        <w:tc>
          <w:tcPr>
            <w:tcW w:w="963" w:type="pct"/>
          </w:tcPr>
          <w:p w14:paraId="359E6A59" w14:textId="77777777" w:rsidR="00FF7799" w:rsidRPr="00E73F6F" w:rsidRDefault="00FF7799" w:rsidP="00F3090F">
            <w:pPr>
              <w:pStyle w:val="StandardText"/>
              <w:jc w:val="center"/>
              <w:rPr>
                <w:lang w:val="de-DE"/>
              </w:rPr>
            </w:pPr>
            <w:r w:rsidRPr="00E73F6F">
              <w:rPr>
                <w:spacing w:val="-5"/>
                <w:lang w:val="de-DE"/>
              </w:rPr>
              <w:t>3.1</w:t>
            </w:r>
          </w:p>
        </w:tc>
        <w:tc>
          <w:tcPr>
            <w:tcW w:w="963" w:type="pct"/>
          </w:tcPr>
          <w:p w14:paraId="1962A270" w14:textId="77777777" w:rsidR="00FF7799" w:rsidRPr="00E73F6F" w:rsidRDefault="00FF7799" w:rsidP="00F3090F">
            <w:pPr>
              <w:pStyle w:val="StandardText"/>
              <w:jc w:val="center"/>
              <w:rPr>
                <w:lang w:val="de-DE"/>
              </w:rPr>
            </w:pPr>
            <w:r w:rsidRPr="00E73F6F">
              <w:rPr>
                <w:lang w:val="de-DE"/>
              </w:rPr>
              <w:t>2.3 -</w:t>
            </w:r>
            <w:r w:rsidRPr="00E73F6F">
              <w:rPr>
                <w:spacing w:val="-3"/>
                <w:lang w:val="de-DE"/>
              </w:rPr>
              <w:t xml:space="preserve"> </w:t>
            </w:r>
            <w:r w:rsidRPr="00E73F6F">
              <w:rPr>
                <w:spacing w:val="-5"/>
                <w:lang w:val="de-DE"/>
              </w:rPr>
              <w:t>3.7</w:t>
            </w:r>
          </w:p>
        </w:tc>
        <w:tc>
          <w:tcPr>
            <w:tcW w:w="963" w:type="pct"/>
          </w:tcPr>
          <w:p w14:paraId="77FE6ED0" w14:textId="77777777" w:rsidR="00FF7799" w:rsidRPr="00E73F6F" w:rsidRDefault="00FF7799" w:rsidP="00F3090F">
            <w:pPr>
              <w:pStyle w:val="StandardText"/>
              <w:jc w:val="center"/>
              <w:rPr>
                <w:lang w:val="de-DE"/>
              </w:rPr>
            </w:pPr>
            <w:r w:rsidRPr="00E73F6F">
              <w:rPr>
                <w:lang w:val="de-DE"/>
              </w:rPr>
              <w:t>5</w:t>
            </w:r>
          </w:p>
        </w:tc>
      </w:tr>
      <w:tr w:rsidR="00FF7799" w:rsidRPr="00E73F6F" w14:paraId="43908AD4" w14:textId="77777777" w:rsidTr="008E038E">
        <w:trPr>
          <w:trHeight w:val="244"/>
        </w:trPr>
        <w:tc>
          <w:tcPr>
            <w:tcW w:w="391" w:type="pct"/>
          </w:tcPr>
          <w:p w14:paraId="25F74BF5" w14:textId="77777777" w:rsidR="00FF7799" w:rsidRPr="00E73F6F" w:rsidRDefault="00FF7799" w:rsidP="00F3090F">
            <w:pPr>
              <w:pStyle w:val="StandardText"/>
              <w:jc w:val="center"/>
              <w:rPr>
                <w:lang w:val="de-DE"/>
              </w:rPr>
            </w:pPr>
          </w:p>
        </w:tc>
        <w:tc>
          <w:tcPr>
            <w:tcW w:w="1720" w:type="pct"/>
          </w:tcPr>
          <w:p w14:paraId="1B29AD14" w14:textId="77777777" w:rsidR="00FF7799" w:rsidRPr="00E73F6F" w:rsidRDefault="00FF7799" w:rsidP="00F3090F">
            <w:pPr>
              <w:pStyle w:val="StandardText"/>
              <w:jc w:val="left"/>
              <w:rPr>
                <w:lang w:val="de-DE"/>
              </w:rPr>
            </w:pPr>
            <w:r w:rsidRPr="00E73F6F">
              <w:rPr>
                <w:spacing w:val="-2"/>
                <w:lang w:val="de-DE"/>
              </w:rPr>
              <w:t>Mauretanien</w:t>
            </w:r>
          </w:p>
        </w:tc>
        <w:tc>
          <w:tcPr>
            <w:tcW w:w="963" w:type="pct"/>
          </w:tcPr>
          <w:p w14:paraId="28E19F26" w14:textId="77777777" w:rsidR="00FF7799" w:rsidRPr="00E73F6F" w:rsidRDefault="00FF7799" w:rsidP="00F3090F">
            <w:pPr>
              <w:pStyle w:val="StandardText"/>
              <w:jc w:val="center"/>
              <w:rPr>
                <w:lang w:val="de-DE"/>
              </w:rPr>
            </w:pPr>
            <w:r w:rsidRPr="00E73F6F">
              <w:rPr>
                <w:spacing w:val="-5"/>
                <w:lang w:val="de-DE"/>
              </w:rPr>
              <w:t>3.1</w:t>
            </w:r>
          </w:p>
        </w:tc>
        <w:tc>
          <w:tcPr>
            <w:tcW w:w="963" w:type="pct"/>
          </w:tcPr>
          <w:p w14:paraId="72A34832" w14:textId="77777777" w:rsidR="00FF7799" w:rsidRPr="00E73F6F" w:rsidRDefault="00FF7799" w:rsidP="00F3090F">
            <w:pPr>
              <w:pStyle w:val="StandardText"/>
              <w:jc w:val="center"/>
              <w:rPr>
                <w:lang w:val="de-DE"/>
              </w:rPr>
            </w:pPr>
            <w:r w:rsidRPr="00E73F6F">
              <w:rPr>
                <w:lang w:val="de-DE"/>
              </w:rPr>
              <w:t>2.1 -</w:t>
            </w:r>
            <w:r w:rsidRPr="00E73F6F">
              <w:rPr>
                <w:spacing w:val="-3"/>
                <w:lang w:val="de-DE"/>
              </w:rPr>
              <w:t xml:space="preserve"> </w:t>
            </w:r>
            <w:r w:rsidRPr="00E73F6F">
              <w:rPr>
                <w:spacing w:val="-5"/>
                <w:lang w:val="de-DE"/>
              </w:rPr>
              <w:t>3.7</w:t>
            </w:r>
          </w:p>
        </w:tc>
        <w:tc>
          <w:tcPr>
            <w:tcW w:w="963" w:type="pct"/>
          </w:tcPr>
          <w:p w14:paraId="7D15ACBB" w14:textId="77777777" w:rsidR="00FF7799" w:rsidRPr="00E73F6F" w:rsidRDefault="00FF7799" w:rsidP="00F3090F">
            <w:pPr>
              <w:pStyle w:val="StandardText"/>
              <w:jc w:val="center"/>
              <w:rPr>
                <w:lang w:val="de-DE"/>
              </w:rPr>
            </w:pPr>
            <w:r w:rsidRPr="00E73F6F">
              <w:rPr>
                <w:lang w:val="de-DE"/>
              </w:rPr>
              <w:t>4</w:t>
            </w:r>
          </w:p>
        </w:tc>
      </w:tr>
      <w:tr w:rsidR="00FF7799" w:rsidRPr="00E73F6F" w14:paraId="3CA8827D" w14:textId="77777777" w:rsidTr="008E038E">
        <w:trPr>
          <w:trHeight w:val="239"/>
        </w:trPr>
        <w:tc>
          <w:tcPr>
            <w:tcW w:w="391" w:type="pct"/>
          </w:tcPr>
          <w:p w14:paraId="1B2ABB76" w14:textId="77777777" w:rsidR="00FF7799" w:rsidRPr="00E73F6F" w:rsidRDefault="00FF7799" w:rsidP="00F3090F">
            <w:pPr>
              <w:pStyle w:val="StandardText"/>
              <w:jc w:val="center"/>
              <w:rPr>
                <w:lang w:val="de-DE"/>
              </w:rPr>
            </w:pPr>
          </w:p>
        </w:tc>
        <w:tc>
          <w:tcPr>
            <w:tcW w:w="1720" w:type="pct"/>
          </w:tcPr>
          <w:p w14:paraId="51666C8B" w14:textId="77777777" w:rsidR="00FF7799" w:rsidRPr="00E73F6F" w:rsidRDefault="00FF7799" w:rsidP="00F3090F">
            <w:pPr>
              <w:pStyle w:val="StandardText"/>
              <w:jc w:val="left"/>
              <w:rPr>
                <w:lang w:val="de-DE"/>
              </w:rPr>
            </w:pPr>
            <w:r w:rsidRPr="00E73F6F">
              <w:rPr>
                <w:spacing w:val="-2"/>
                <w:lang w:val="de-DE"/>
              </w:rPr>
              <w:t>Panama</w:t>
            </w:r>
          </w:p>
        </w:tc>
        <w:tc>
          <w:tcPr>
            <w:tcW w:w="963" w:type="pct"/>
          </w:tcPr>
          <w:p w14:paraId="615EDFB2" w14:textId="77777777" w:rsidR="00FF7799" w:rsidRPr="00E73F6F" w:rsidRDefault="00FF7799" w:rsidP="00F3090F">
            <w:pPr>
              <w:pStyle w:val="StandardText"/>
              <w:jc w:val="center"/>
              <w:rPr>
                <w:lang w:val="de-DE"/>
              </w:rPr>
            </w:pPr>
            <w:r w:rsidRPr="00E73F6F">
              <w:rPr>
                <w:spacing w:val="-5"/>
                <w:lang w:val="de-DE"/>
              </w:rPr>
              <w:t>3.1</w:t>
            </w:r>
          </w:p>
        </w:tc>
        <w:tc>
          <w:tcPr>
            <w:tcW w:w="963" w:type="pct"/>
          </w:tcPr>
          <w:p w14:paraId="0FB88948" w14:textId="77777777" w:rsidR="00FF7799" w:rsidRPr="00E73F6F" w:rsidRDefault="00FF7799" w:rsidP="00F3090F">
            <w:pPr>
              <w:pStyle w:val="StandardText"/>
              <w:jc w:val="center"/>
              <w:rPr>
                <w:lang w:val="de-DE"/>
              </w:rPr>
            </w:pPr>
            <w:r w:rsidRPr="00E73F6F">
              <w:rPr>
                <w:lang w:val="de-DE"/>
              </w:rPr>
              <w:t>2.8 -</w:t>
            </w:r>
            <w:r w:rsidRPr="00E73F6F">
              <w:rPr>
                <w:spacing w:val="-3"/>
                <w:lang w:val="de-DE"/>
              </w:rPr>
              <w:t xml:space="preserve"> </w:t>
            </w:r>
            <w:r w:rsidRPr="00E73F6F">
              <w:rPr>
                <w:spacing w:val="-5"/>
                <w:lang w:val="de-DE"/>
              </w:rPr>
              <w:t>3.3</w:t>
            </w:r>
          </w:p>
        </w:tc>
        <w:tc>
          <w:tcPr>
            <w:tcW w:w="963" w:type="pct"/>
          </w:tcPr>
          <w:p w14:paraId="35774BED" w14:textId="77777777" w:rsidR="00FF7799" w:rsidRPr="00E73F6F" w:rsidRDefault="00FF7799" w:rsidP="00F3090F">
            <w:pPr>
              <w:pStyle w:val="StandardText"/>
              <w:jc w:val="center"/>
              <w:rPr>
                <w:lang w:val="de-DE"/>
              </w:rPr>
            </w:pPr>
            <w:r w:rsidRPr="00E73F6F">
              <w:rPr>
                <w:lang w:val="de-DE"/>
              </w:rPr>
              <w:t>5</w:t>
            </w:r>
          </w:p>
        </w:tc>
      </w:tr>
      <w:tr w:rsidR="00FF7799" w:rsidRPr="00E73F6F" w14:paraId="28E0653D" w14:textId="77777777" w:rsidTr="008E038E">
        <w:trPr>
          <w:trHeight w:val="244"/>
        </w:trPr>
        <w:tc>
          <w:tcPr>
            <w:tcW w:w="391" w:type="pct"/>
          </w:tcPr>
          <w:p w14:paraId="27A2C283" w14:textId="77777777" w:rsidR="00FF7799" w:rsidRPr="00E73F6F" w:rsidRDefault="00FF7799" w:rsidP="00F3090F">
            <w:pPr>
              <w:pStyle w:val="StandardText"/>
              <w:jc w:val="center"/>
              <w:rPr>
                <w:lang w:val="de-DE"/>
              </w:rPr>
            </w:pPr>
          </w:p>
        </w:tc>
        <w:tc>
          <w:tcPr>
            <w:tcW w:w="1720" w:type="pct"/>
          </w:tcPr>
          <w:p w14:paraId="2A0CF1E9" w14:textId="77777777" w:rsidR="00FF7799" w:rsidRPr="00E73F6F" w:rsidRDefault="00FF7799" w:rsidP="00F3090F">
            <w:pPr>
              <w:pStyle w:val="StandardText"/>
              <w:jc w:val="left"/>
              <w:rPr>
                <w:lang w:val="de-DE"/>
              </w:rPr>
            </w:pPr>
            <w:r w:rsidRPr="00E73F6F">
              <w:rPr>
                <w:spacing w:val="-2"/>
                <w:lang w:val="de-DE"/>
              </w:rPr>
              <w:t>Rumänien</w:t>
            </w:r>
          </w:p>
        </w:tc>
        <w:tc>
          <w:tcPr>
            <w:tcW w:w="963" w:type="pct"/>
          </w:tcPr>
          <w:p w14:paraId="4DA934B6" w14:textId="77777777" w:rsidR="00FF7799" w:rsidRPr="00E73F6F" w:rsidRDefault="00FF7799" w:rsidP="00F3090F">
            <w:pPr>
              <w:pStyle w:val="StandardText"/>
              <w:jc w:val="center"/>
              <w:rPr>
                <w:lang w:val="de-DE"/>
              </w:rPr>
            </w:pPr>
            <w:r w:rsidRPr="00E73F6F">
              <w:rPr>
                <w:spacing w:val="-5"/>
                <w:lang w:val="de-DE"/>
              </w:rPr>
              <w:t>3.1</w:t>
            </w:r>
          </w:p>
        </w:tc>
        <w:tc>
          <w:tcPr>
            <w:tcW w:w="963" w:type="pct"/>
          </w:tcPr>
          <w:p w14:paraId="6F580561" w14:textId="77777777" w:rsidR="00FF7799" w:rsidRPr="00E73F6F" w:rsidRDefault="00FF7799" w:rsidP="00F3090F">
            <w:pPr>
              <w:pStyle w:val="StandardText"/>
              <w:jc w:val="center"/>
              <w:rPr>
                <w:lang w:val="de-DE"/>
              </w:rPr>
            </w:pPr>
            <w:r w:rsidRPr="00E73F6F">
              <w:rPr>
                <w:lang w:val="de-DE"/>
              </w:rPr>
              <w:t>3.0 -</w:t>
            </w:r>
            <w:r w:rsidRPr="00E73F6F">
              <w:rPr>
                <w:spacing w:val="-3"/>
                <w:lang w:val="de-DE"/>
              </w:rPr>
              <w:t xml:space="preserve"> </w:t>
            </w:r>
            <w:r w:rsidRPr="00E73F6F">
              <w:rPr>
                <w:spacing w:val="-5"/>
                <w:lang w:val="de-DE"/>
              </w:rPr>
              <w:t>3.2</w:t>
            </w:r>
          </w:p>
        </w:tc>
        <w:tc>
          <w:tcPr>
            <w:tcW w:w="963" w:type="pct"/>
          </w:tcPr>
          <w:p w14:paraId="1ED33D39" w14:textId="77777777" w:rsidR="00FF7799" w:rsidRPr="00E73F6F" w:rsidRDefault="00FF7799" w:rsidP="00F3090F">
            <w:pPr>
              <w:pStyle w:val="StandardText"/>
              <w:jc w:val="center"/>
              <w:rPr>
                <w:lang w:val="de-DE"/>
              </w:rPr>
            </w:pPr>
            <w:r w:rsidRPr="00E73F6F">
              <w:rPr>
                <w:lang w:val="de-DE"/>
              </w:rPr>
              <w:t>8</w:t>
            </w:r>
          </w:p>
        </w:tc>
      </w:tr>
      <w:tr w:rsidR="00FF7799" w:rsidRPr="00E73F6F" w14:paraId="0CE2C7D3" w14:textId="77777777" w:rsidTr="008E038E">
        <w:trPr>
          <w:trHeight w:val="239"/>
        </w:trPr>
        <w:tc>
          <w:tcPr>
            <w:tcW w:w="391" w:type="pct"/>
          </w:tcPr>
          <w:p w14:paraId="43988B1C" w14:textId="77777777" w:rsidR="00FF7799" w:rsidRPr="00E73F6F" w:rsidRDefault="00FF7799" w:rsidP="00F3090F">
            <w:pPr>
              <w:pStyle w:val="StandardText"/>
              <w:jc w:val="center"/>
              <w:rPr>
                <w:lang w:val="de-DE"/>
              </w:rPr>
            </w:pPr>
          </w:p>
        </w:tc>
        <w:tc>
          <w:tcPr>
            <w:tcW w:w="1720" w:type="pct"/>
          </w:tcPr>
          <w:p w14:paraId="4E1D829E" w14:textId="77777777" w:rsidR="00FF7799" w:rsidRPr="00E73F6F" w:rsidRDefault="00FF7799" w:rsidP="00F3090F">
            <w:pPr>
              <w:pStyle w:val="StandardText"/>
              <w:jc w:val="left"/>
              <w:rPr>
                <w:lang w:val="de-DE"/>
              </w:rPr>
            </w:pPr>
            <w:r w:rsidRPr="00E73F6F">
              <w:rPr>
                <w:lang w:val="de-DE"/>
              </w:rPr>
              <w:t>Sri</w:t>
            </w:r>
            <w:r w:rsidRPr="00E73F6F">
              <w:rPr>
                <w:spacing w:val="-1"/>
                <w:lang w:val="de-DE"/>
              </w:rPr>
              <w:t xml:space="preserve"> </w:t>
            </w:r>
            <w:r w:rsidRPr="00E73F6F">
              <w:rPr>
                <w:spacing w:val="-2"/>
                <w:lang w:val="de-DE"/>
              </w:rPr>
              <w:t>Lanka</w:t>
            </w:r>
          </w:p>
        </w:tc>
        <w:tc>
          <w:tcPr>
            <w:tcW w:w="963" w:type="pct"/>
          </w:tcPr>
          <w:p w14:paraId="5D28D23F" w14:textId="77777777" w:rsidR="00FF7799" w:rsidRPr="00E73F6F" w:rsidRDefault="00FF7799" w:rsidP="00F3090F">
            <w:pPr>
              <w:pStyle w:val="StandardText"/>
              <w:jc w:val="center"/>
              <w:rPr>
                <w:lang w:val="de-DE"/>
              </w:rPr>
            </w:pPr>
            <w:r w:rsidRPr="00E73F6F">
              <w:rPr>
                <w:spacing w:val="-5"/>
                <w:lang w:val="de-DE"/>
              </w:rPr>
              <w:t>3.1</w:t>
            </w:r>
          </w:p>
        </w:tc>
        <w:tc>
          <w:tcPr>
            <w:tcW w:w="963" w:type="pct"/>
          </w:tcPr>
          <w:p w14:paraId="0216957B" w14:textId="77777777" w:rsidR="00FF7799" w:rsidRPr="00E73F6F" w:rsidRDefault="00FF7799" w:rsidP="00F3090F">
            <w:pPr>
              <w:pStyle w:val="StandardText"/>
              <w:jc w:val="center"/>
              <w:rPr>
                <w:lang w:val="de-DE"/>
              </w:rPr>
            </w:pPr>
            <w:r w:rsidRPr="00E73F6F">
              <w:rPr>
                <w:lang w:val="de-DE"/>
              </w:rPr>
              <w:t>2.7</w:t>
            </w:r>
            <w:r w:rsidRPr="00E73F6F">
              <w:rPr>
                <w:spacing w:val="-1"/>
                <w:lang w:val="de-DE"/>
              </w:rPr>
              <w:t xml:space="preserve"> </w:t>
            </w:r>
            <w:r w:rsidRPr="00E73F6F">
              <w:rPr>
                <w:lang w:val="de-DE"/>
              </w:rPr>
              <w:t>-</w:t>
            </w:r>
            <w:r w:rsidRPr="00E73F6F">
              <w:rPr>
                <w:spacing w:val="-3"/>
                <w:lang w:val="de-DE"/>
              </w:rPr>
              <w:t xml:space="preserve"> </w:t>
            </w:r>
            <w:r w:rsidRPr="00E73F6F">
              <w:rPr>
                <w:spacing w:val="-5"/>
                <w:lang w:val="de-DE"/>
              </w:rPr>
              <w:t>3.5</w:t>
            </w:r>
          </w:p>
        </w:tc>
        <w:tc>
          <w:tcPr>
            <w:tcW w:w="963" w:type="pct"/>
          </w:tcPr>
          <w:p w14:paraId="377133F3" w14:textId="77777777" w:rsidR="00FF7799" w:rsidRPr="00E73F6F" w:rsidRDefault="00FF7799" w:rsidP="00F3090F">
            <w:pPr>
              <w:pStyle w:val="StandardText"/>
              <w:jc w:val="center"/>
              <w:rPr>
                <w:lang w:val="de-DE"/>
              </w:rPr>
            </w:pPr>
            <w:r w:rsidRPr="00E73F6F">
              <w:rPr>
                <w:lang w:val="de-DE"/>
              </w:rPr>
              <w:t>6</w:t>
            </w:r>
          </w:p>
        </w:tc>
      </w:tr>
      <w:tr w:rsidR="00FF7799" w:rsidRPr="00E73F6F" w14:paraId="4CA873BB" w14:textId="77777777" w:rsidTr="008E038E">
        <w:trPr>
          <w:trHeight w:val="244"/>
        </w:trPr>
        <w:tc>
          <w:tcPr>
            <w:tcW w:w="391" w:type="pct"/>
          </w:tcPr>
          <w:p w14:paraId="7318AC43" w14:textId="77777777" w:rsidR="00FF7799" w:rsidRPr="00E73F6F" w:rsidRDefault="00FF7799" w:rsidP="00F3090F">
            <w:pPr>
              <w:pStyle w:val="StandardText"/>
              <w:jc w:val="center"/>
              <w:rPr>
                <w:lang w:val="de-DE"/>
              </w:rPr>
            </w:pPr>
            <w:r w:rsidRPr="00E73F6F">
              <w:rPr>
                <w:spacing w:val="-5"/>
                <w:lang w:val="de-DE"/>
              </w:rPr>
              <w:t>90</w:t>
            </w:r>
          </w:p>
        </w:tc>
        <w:tc>
          <w:tcPr>
            <w:tcW w:w="1720" w:type="pct"/>
          </w:tcPr>
          <w:p w14:paraId="1495728A" w14:textId="77777777" w:rsidR="00FF7799" w:rsidRPr="00E73F6F" w:rsidRDefault="00FF7799" w:rsidP="00F3090F">
            <w:pPr>
              <w:pStyle w:val="StandardText"/>
              <w:jc w:val="left"/>
              <w:rPr>
                <w:lang w:val="de-DE"/>
              </w:rPr>
            </w:pPr>
            <w:r w:rsidRPr="00E73F6F">
              <w:rPr>
                <w:spacing w:val="-2"/>
                <w:lang w:val="de-DE"/>
              </w:rPr>
              <w:t>Gabun</w:t>
            </w:r>
          </w:p>
        </w:tc>
        <w:tc>
          <w:tcPr>
            <w:tcW w:w="963" w:type="pct"/>
          </w:tcPr>
          <w:p w14:paraId="4457D6B3" w14:textId="77777777" w:rsidR="00FF7799" w:rsidRPr="00E73F6F" w:rsidRDefault="00FF7799" w:rsidP="00F3090F">
            <w:pPr>
              <w:pStyle w:val="StandardText"/>
              <w:jc w:val="center"/>
              <w:rPr>
                <w:lang w:val="de-DE"/>
              </w:rPr>
            </w:pPr>
            <w:r w:rsidRPr="00E73F6F">
              <w:rPr>
                <w:spacing w:val="-5"/>
                <w:lang w:val="de-DE"/>
              </w:rPr>
              <w:t>3.0</w:t>
            </w:r>
          </w:p>
        </w:tc>
        <w:tc>
          <w:tcPr>
            <w:tcW w:w="963" w:type="pct"/>
          </w:tcPr>
          <w:p w14:paraId="78D45E33" w14:textId="77777777" w:rsidR="00FF7799" w:rsidRPr="00E73F6F" w:rsidRDefault="00FF7799" w:rsidP="00F3090F">
            <w:pPr>
              <w:pStyle w:val="StandardText"/>
              <w:jc w:val="center"/>
              <w:rPr>
                <w:lang w:val="de-DE"/>
              </w:rPr>
            </w:pPr>
            <w:r w:rsidRPr="00E73F6F">
              <w:rPr>
                <w:lang w:val="de-DE"/>
              </w:rPr>
              <w:t>2.4 -</w:t>
            </w:r>
            <w:r w:rsidRPr="00E73F6F">
              <w:rPr>
                <w:spacing w:val="-3"/>
                <w:lang w:val="de-DE"/>
              </w:rPr>
              <w:t xml:space="preserve"> </w:t>
            </w:r>
            <w:r w:rsidRPr="00E73F6F">
              <w:rPr>
                <w:spacing w:val="-5"/>
                <w:lang w:val="de-DE"/>
              </w:rPr>
              <w:t>3.3</w:t>
            </w:r>
          </w:p>
        </w:tc>
        <w:tc>
          <w:tcPr>
            <w:tcW w:w="963" w:type="pct"/>
          </w:tcPr>
          <w:p w14:paraId="062ECE2E" w14:textId="77777777" w:rsidR="00FF7799" w:rsidRPr="00E73F6F" w:rsidRDefault="00FF7799" w:rsidP="00F3090F">
            <w:pPr>
              <w:pStyle w:val="StandardText"/>
              <w:jc w:val="center"/>
              <w:rPr>
                <w:lang w:val="de-DE"/>
              </w:rPr>
            </w:pPr>
            <w:r w:rsidRPr="00E73F6F">
              <w:rPr>
                <w:lang w:val="de-DE"/>
              </w:rPr>
              <w:t>4</w:t>
            </w:r>
          </w:p>
        </w:tc>
      </w:tr>
      <w:tr w:rsidR="00FF7799" w:rsidRPr="00E73F6F" w14:paraId="180E664F" w14:textId="77777777" w:rsidTr="008E038E">
        <w:trPr>
          <w:trHeight w:val="239"/>
        </w:trPr>
        <w:tc>
          <w:tcPr>
            <w:tcW w:w="391" w:type="pct"/>
          </w:tcPr>
          <w:p w14:paraId="756CAF89" w14:textId="77777777" w:rsidR="00FF7799" w:rsidRPr="00E73F6F" w:rsidRDefault="00FF7799" w:rsidP="00F3090F">
            <w:pPr>
              <w:pStyle w:val="StandardText"/>
              <w:jc w:val="center"/>
              <w:rPr>
                <w:lang w:val="de-DE"/>
              </w:rPr>
            </w:pPr>
          </w:p>
        </w:tc>
        <w:tc>
          <w:tcPr>
            <w:tcW w:w="1720" w:type="pct"/>
          </w:tcPr>
          <w:p w14:paraId="65971C78" w14:textId="77777777" w:rsidR="00FF7799" w:rsidRPr="00E73F6F" w:rsidRDefault="00FF7799" w:rsidP="00F3090F">
            <w:pPr>
              <w:pStyle w:val="StandardText"/>
              <w:jc w:val="left"/>
              <w:rPr>
                <w:lang w:val="de-DE"/>
              </w:rPr>
            </w:pPr>
            <w:r w:rsidRPr="00E73F6F">
              <w:rPr>
                <w:spacing w:val="-2"/>
                <w:lang w:val="de-DE"/>
              </w:rPr>
              <w:t>Serbien</w:t>
            </w:r>
          </w:p>
        </w:tc>
        <w:tc>
          <w:tcPr>
            <w:tcW w:w="963" w:type="pct"/>
          </w:tcPr>
          <w:p w14:paraId="712C119D" w14:textId="77777777" w:rsidR="00FF7799" w:rsidRPr="00E73F6F" w:rsidRDefault="00FF7799" w:rsidP="00F3090F">
            <w:pPr>
              <w:pStyle w:val="StandardText"/>
              <w:jc w:val="center"/>
              <w:rPr>
                <w:lang w:val="de-DE"/>
              </w:rPr>
            </w:pPr>
            <w:r w:rsidRPr="00E73F6F">
              <w:rPr>
                <w:spacing w:val="-5"/>
                <w:lang w:val="de-DE"/>
              </w:rPr>
              <w:t>3.0</w:t>
            </w:r>
          </w:p>
        </w:tc>
        <w:tc>
          <w:tcPr>
            <w:tcW w:w="963" w:type="pct"/>
          </w:tcPr>
          <w:p w14:paraId="42ACB510" w14:textId="77777777" w:rsidR="00FF7799" w:rsidRPr="00E73F6F" w:rsidRDefault="00FF7799" w:rsidP="00F3090F">
            <w:pPr>
              <w:pStyle w:val="StandardText"/>
              <w:jc w:val="center"/>
              <w:rPr>
                <w:lang w:val="de-DE"/>
              </w:rPr>
            </w:pPr>
            <w:r w:rsidRPr="00E73F6F">
              <w:rPr>
                <w:lang w:val="de-DE"/>
              </w:rPr>
              <w:t>2.7 -</w:t>
            </w:r>
            <w:r w:rsidRPr="00E73F6F">
              <w:rPr>
                <w:spacing w:val="-3"/>
                <w:lang w:val="de-DE"/>
              </w:rPr>
              <w:t xml:space="preserve"> </w:t>
            </w:r>
            <w:r w:rsidRPr="00E73F6F">
              <w:rPr>
                <w:spacing w:val="-5"/>
                <w:lang w:val="de-DE"/>
              </w:rPr>
              <w:t>3.3</w:t>
            </w:r>
          </w:p>
        </w:tc>
        <w:tc>
          <w:tcPr>
            <w:tcW w:w="963" w:type="pct"/>
          </w:tcPr>
          <w:p w14:paraId="76AAF88E" w14:textId="77777777" w:rsidR="00FF7799" w:rsidRPr="00E73F6F" w:rsidRDefault="00FF7799" w:rsidP="00F3090F">
            <w:pPr>
              <w:pStyle w:val="StandardText"/>
              <w:jc w:val="center"/>
              <w:rPr>
                <w:lang w:val="de-DE"/>
              </w:rPr>
            </w:pPr>
            <w:r w:rsidRPr="00E73F6F">
              <w:rPr>
                <w:lang w:val="de-DE"/>
              </w:rPr>
              <w:t>7</w:t>
            </w:r>
          </w:p>
        </w:tc>
      </w:tr>
      <w:tr w:rsidR="00FF7799" w:rsidRPr="00E73F6F" w14:paraId="5A78B65E" w14:textId="77777777" w:rsidTr="008E038E">
        <w:trPr>
          <w:trHeight w:val="244"/>
        </w:trPr>
        <w:tc>
          <w:tcPr>
            <w:tcW w:w="391" w:type="pct"/>
          </w:tcPr>
          <w:p w14:paraId="7B77AEF3" w14:textId="77777777" w:rsidR="00FF7799" w:rsidRPr="00E73F6F" w:rsidRDefault="00FF7799" w:rsidP="00F3090F">
            <w:pPr>
              <w:pStyle w:val="StandardText"/>
              <w:jc w:val="center"/>
              <w:rPr>
                <w:lang w:val="de-DE"/>
              </w:rPr>
            </w:pPr>
          </w:p>
        </w:tc>
        <w:tc>
          <w:tcPr>
            <w:tcW w:w="1720" w:type="pct"/>
          </w:tcPr>
          <w:p w14:paraId="397FA0B5" w14:textId="77777777" w:rsidR="00FF7799" w:rsidRPr="00E73F6F" w:rsidRDefault="00FF7799" w:rsidP="00F3090F">
            <w:pPr>
              <w:pStyle w:val="StandardText"/>
              <w:jc w:val="left"/>
              <w:rPr>
                <w:lang w:val="de-DE"/>
              </w:rPr>
            </w:pPr>
            <w:r w:rsidRPr="00E73F6F">
              <w:rPr>
                <w:spacing w:val="-2"/>
                <w:lang w:val="de-DE"/>
              </w:rPr>
              <w:t>Surinam</w:t>
            </w:r>
          </w:p>
        </w:tc>
        <w:tc>
          <w:tcPr>
            <w:tcW w:w="963" w:type="pct"/>
          </w:tcPr>
          <w:p w14:paraId="7045001D" w14:textId="77777777" w:rsidR="00FF7799" w:rsidRPr="00E73F6F" w:rsidRDefault="00FF7799" w:rsidP="00F3090F">
            <w:pPr>
              <w:pStyle w:val="StandardText"/>
              <w:jc w:val="center"/>
              <w:rPr>
                <w:lang w:val="de-DE"/>
              </w:rPr>
            </w:pPr>
            <w:r w:rsidRPr="00E73F6F">
              <w:rPr>
                <w:spacing w:val="-5"/>
                <w:lang w:val="de-DE"/>
              </w:rPr>
              <w:t>3.0</w:t>
            </w:r>
          </w:p>
        </w:tc>
        <w:tc>
          <w:tcPr>
            <w:tcW w:w="963" w:type="pct"/>
          </w:tcPr>
          <w:p w14:paraId="222259DD" w14:textId="77777777" w:rsidR="00FF7799" w:rsidRPr="00E73F6F" w:rsidRDefault="00FF7799" w:rsidP="00F3090F">
            <w:pPr>
              <w:pStyle w:val="StandardText"/>
              <w:jc w:val="center"/>
              <w:rPr>
                <w:lang w:val="de-DE"/>
              </w:rPr>
            </w:pPr>
            <w:r w:rsidRPr="00E73F6F">
              <w:rPr>
                <w:lang w:val="de-DE"/>
              </w:rPr>
              <w:t>2.7 -</w:t>
            </w:r>
            <w:r w:rsidRPr="00E73F6F">
              <w:rPr>
                <w:spacing w:val="-3"/>
                <w:lang w:val="de-DE"/>
              </w:rPr>
              <w:t xml:space="preserve"> </w:t>
            </w:r>
            <w:r w:rsidRPr="00E73F6F">
              <w:rPr>
                <w:spacing w:val="-5"/>
                <w:lang w:val="de-DE"/>
              </w:rPr>
              <w:t>3.3</w:t>
            </w:r>
          </w:p>
        </w:tc>
        <w:tc>
          <w:tcPr>
            <w:tcW w:w="963" w:type="pct"/>
          </w:tcPr>
          <w:p w14:paraId="1ADE3A8B" w14:textId="77777777" w:rsidR="00FF7799" w:rsidRPr="00E73F6F" w:rsidRDefault="00FF7799" w:rsidP="00F3090F">
            <w:pPr>
              <w:pStyle w:val="StandardText"/>
              <w:jc w:val="center"/>
              <w:rPr>
                <w:lang w:val="de-DE"/>
              </w:rPr>
            </w:pPr>
            <w:r w:rsidRPr="00E73F6F">
              <w:rPr>
                <w:lang w:val="de-DE"/>
              </w:rPr>
              <w:t>4</w:t>
            </w:r>
          </w:p>
        </w:tc>
      </w:tr>
      <w:tr w:rsidR="00FF7799" w:rsidRPr="00E73F6F" w14:paraId="20C9DC1A" w14:textId="77777777" w:rsidTr="008E038E">
        <w:trPr>
          <w:trHeight w:val="240"/>
        </w:trPr>
        <w:tc>
          <w:tcPr>
            <w:tcW w:w="391" w:type="pct"/>
          </w:tcPr>
          <w:p w14:paraId="63F9261D" w14:textId="77777777" w:rsidR="00FF7799" w:rsidRPr="00E73F6F" w:rsidRDefault="00FF7799" w:rsidP="00F3090F">
            <w:pPr>
              <w:pStyle w:val="StandardText"/>
              <w:jc w:val="center"/>
              <w:rPr>
                <w:lang w:val="de-DE"/>
              </w:rPr>
            </w:pPr>
            <w:r w:rsidRPr="00E73F6F">
              <w:rPr>
                <w:spacing w:val="-5"/>
                <w:lang w:val="de-DE"/>
              </w:rPr>
              <w:t>93</w:t>
            </w:r>
          </w:p>
        </w:tc>
        <w:tc>
          <w:tcPr>
            <w:tcW w:w="1720" w:type="pct"/>
          </w:tcPr>
          <w:p w14:paraId="68380AF0" w14:textId="77777777" w:rsidR="00FF7799" w:rsidRPr="00E73F6F" w:rsidRDefault="00FF7799" w:rsidP="00F3090F">
            <w:pPr>
              <w:pStyle w:val="StandardText"/>
              <w:jc w:val="left"/>
              <w:rPr>
                <w:lang w:val="de-DE"/>
              </w:rPr>
            </w:pPr>
            <w:r w:rsidRPr="00E73F6F">
              <w:rPr>
                <w:spacing w:val="-2"/>
                <w:lang w:val="de-DE"/>
              </w:rPr>
              <w:t>Argentinien</w:t>
            </w:r>
          </w:p>
        </w:tc>
        <w:tc>
          <w:tcPr>
            <w:tcW w:w="963" w:type="pct"/>
          </w:tcPr>
          <w:p w14:paraId="49088250" w14:textId="77777777" w:rsidR="00FF7799" w:rsidRPr="00E73F6F" w:rsidRDefault="00FF7799" w:rsidP="00F3090F">
            <w:pPr>
              <w:pStyle w:val="StandardText"/>
              <w:jc w:val="center"/>
              <w:rPr>
                <w:lang w:val="de-DE"/>
              </w:rPr>
            </w:pPr>
            <w:r w:rsidRPr="00E73F6F">
              <w:rPr>
                <w:spacing w:val="-5"/>
                <w:lang w:val="de-DE"/>
              </w:rPr>
              <w:t>2.9</w:t>
            </w:r>
          </w:p>
        </w:tc>
        <w:tc>
          <w:tcPr>
            <w:tcW w:w="963" w:type="pct"/>
          </w:tcPr>
          <w:p w14:paraId="667C0AD5" w14:textId="77777777" w:rsidR="00FF7799" w:rsidRPr="00E73F6F" w:rsidRDefault="00FF7799" w:rsidP="00F3090F">
            <w:pPr>
              <w:pStyle w:val="StandardText"/>
              <w:jc w:val="center"/>
              <w:rPr>
                <w:lang w:val="de-DE"/>
              </w:rPr>
            </w:pPr>
            <w:r w:rsidRPr="00E73F6F">
              <w:rPr>
                <w:lang w:val="de-DE"/>
              </w:rPr>
              <w:t>2.7 -</w:t>
            </w:r>
            <w:r w:rsidRPr="00E73F6F">
              <w:rPr>
                <w:spacing w:val="-3"/>
                <w:lang w:val="de-DE"/>
              </w:rPr>
              <w:t xml:space="preserve"> </w:t>
            </w:r>
            <w:r w:rsidRPr="00E73F6F">
              <w:rPr>
                <w:spacing w:val="-5"/>
                <w:lang w:val="de-DE"/>
              </w:rPr>
              <w:t>3.2</w:t>
            </w:r>
          </w:p>
        </w:tc>
        <w:tc>
          <w:tcPr>
            <w:tcW w:w="963" w:type="pct"/>
          </w:tcPr>
          <w:p w14:paraId="3FB86A11" w14:textId="77777777" w:rsidR="00FF7799" w:rsidRPr="00E73F6F" w:rsidRDefault="00FF7799" w:rsidP="00F3090F">
            <w:pPr>
              <w:pStyle w:val="StandardText"/>
              <w:jc w:val="center"/>
              <w:rPr>
                <w:lang w:val="de-DE"/>
              </w:rPr>
            </w:pPr>
            <w:r w:rsidRPr="00E73F6F">
              <w:rPr>
                <w:lang w:val="de-DE"/>
              </w:rPr>
              <w:t>7</w:t>
            </w:r>
          </w:p>
        </w:tc>
      </w:tr>
      <w:tr w:rsidR="00FF7799" w:rsidRPr="00E73F6F" w14:paraId="3AD7387C" w14:textId="77777777" w:rsidTr="008E038E">
        <w:trPr>
          <w:trHeight w:val="244"/>
        </w:trPr>
        <w:tc>
          <w:tcPr>
            <w:tcW w:w="391" w:type="pct"/>
          </w:tcPr>
          <w:p w14:paraId="7B0DA7AF" w14:textId="77777777" w:rsidR="00FF7799" w:rsidRPr="00E73F6F" w:rsidRDefault="00FF7799" w:rsidP="00F3090F">
            <w:pPr>
              <w:pStyle w:val="StandardText"/>
              <w:jc w:val="center"/>
              <w:rPr>
                <w:lang w:val="de-DE"/>
              </w:rPr>
            </w:pPr>
          </w:p>
        </w:tc>
        <w:tc>
          <w:tcPr>
            <w:tcW w:w="1720" w:type="pct"/>
          </w:tcPr>
          <w:p w14:paraId="55E6E766" w14:textId="77777777" w:rsidR="00FF7799" w:rsidRPr="00E73F6F" w:rsidRDefault="00FF7799" w:rsidP="00F3090F">
            <w:pPr>
              <w:pStyle w:val="StandardText"/>
              <w:jc w:val="left"/>
              <w:rPr>
                <w:lang w:val="de-DE"/>
              </w:rPr>
            </w:pPr>
            <w:r w:rsidRPr="00E73F6F">
              <w:rPr>
                <w:spacing w:val="-2"/>
                <w:lang w:val="de-DE"/>
              </w:rPr>
              <w:t>Armenien</w:t>
            </w:r>
          </w:p>
        </w:tc>
        <w:tc>
          <w:tcPr>
            <w:tcW w:w="963" w:type="pct"/>
          </w:tcPr>
          <w:p w14:paraId="16481397" w14:textId="77777777" w:rsidR="00FF7799" w:rsidRPr="00E73F6F" w:rsidRDefault="00FF7799" w:rsidP="00F3090F">
            <w:pPr>
              <w:pStyle w:val="StandardText"/>
              <w:jc w:val="center"/>
              <w:rPr>
                <w:lang w:val="de-DE"/>
              </w:rPr>
            </w:pPr>
            <w:r w:rsidRPr="00E73F6F">
              <w:rPr>
                <w:spacing w:val="-5"/>
                <w:lang w:val="de-DE"/>
              </w:rPr>
              <w:t>2.9</w:t>
            </w:r>
          </w:p>
        </w:tc>
        <w:tc>
          <w:tcPr>
            <w:tcW w:w="963" w:type="pct"/>
          </w:tcPr>
          <w:p w14:paraId="66245208" w14:textId="77777777" w:rsidR="00FF7799" w:rsidRPr="00E73F6F" w:rsidRDefault="00FF7799" w:rsidP="00F3090F">
            <w:pPr>
              <w:pStyle w:val="StandardText"/>
              <w:jc w:val="center"/>
              <w:rPr>
                <w:lang w:val="de-DE"/>
              </w:rPr>
            </w:pPr>
            <w:r w:rsidRPr="00E73F6F">
              <w:rPr>
                <w:lang w:val="de-DE"/>
              </w:rPr>
              <w:t>2.7 -</w:t>
            </w:r>
            <w:r w:rsidRPr="00E73F6F">
              <w:rPr>
                <w:spacing w:val="-3"/>
                <w:lang w:val="de-DE"/>
              </w:rPr>
              <w:t xml:space="preserve"> </w:t>
            </w:r>
            <w:r w:rsidRPr="00E73F6F">
              <w:rPr>
                <w:spacing w:val="-5"/>
                <w:lang w:val="de-DE"/>
              </w:rPr>
              <w:t>3.0</w:t>
            </w:r>
          </w:p>
        </w:tc>
        <w:tc>
          <w:tcPr>
            <w:tcW w:w="963" w:type="pct"/>
          </w:tcPr>
          <w:p w14:paraId="1A6BF65E" w14:textId="77777777" w:rsidR="00FF7799" w:rsidRPr="00E73F6F" w:rsidRDefault="00FF7799" w:rsidP="00F3090F">
            <w:pPr>
              <w:pStyle w:val="StandardText"/>
              <w:jc w:val="center"/>
              <w:rPr>
                <w:lang w:val="de-DE"/>
              </w:rPr>
            </w:pPr>
            <w:r w:rsidRPr="00E73F6F">
              <w:rPr>
                <w:lang w:val="de-DE"/>
              </w:rPr>
              <w:t>6</w:t>
            </w:r>
          </w:p>
        </w:tc>
      </w:tr>
      <w:tr w:rsidR="00FF7799" w:rsidRPr="00E73F6F" w14:paraId="7343D3EB" w14:textId="77777777" w:rsidTr="008E038E">
        <w:trPr>
          <w:trHeight w:val="239"/>
        </w:trPr>
        <w:tc>
          <w:tcPr>
            <w:tcW w:w="391" w:type="pct"/>
          </w:tcPr>
          <w:p w14:paraId="6D9EB9B2" w14:textId="77777777" w:rsidR="00FF7799" w:rsidRPr="00E73F6F" w:rsidRDefault="00FF7799" w:rsidP="00F3090F">
            <w:pPr>
              <w:pStyle w:val="StandardText"/>
              <w:jc w:val="center"/>
              <w:rPr>
                <w:lang w:val="de-DE"/>
              </w:rPr>
            </w:pPr>
          </w:p>
        </w:tc>
        <w:tc>
          <w:tcPr>
            <w:tcW w:w="1720" w:type="pct"/>
          </w:tcPr>
          <w:p w14:paraId="7D46DAE5" w14:textId="77777777" w:rsidR="00FF7799" w:rsidRPr="00E73F6F" w:rsidRDefault="00FF7799" w:rsidP="00F3090F">
            <w:pPr>
              <w:pStyle w:val="StandardText"/>
              <w:jc w:val="left"/>
              <w:rPr>
                <w:lang w:val="de-DE"/>
              </w:rPr>
            </w:pPr>
            <w:r w:rsidRPr="00E73F6F">
              <w:rPr>
                <w:lang w:val="de-DE"/>
              </w:rPr>
              <w:t>Bosnien</w:t>
            </w:r>
            <w:r w:rsidRPr="00E73F6F">
              <w:rPr>
                <w:spacing w:val="-6"/>
                <w:lang w:val="de-DE"/>
              </w:rPr>
              <w:t xml:space="preserve"> </w:t>
            </w:r>
            <w:r w:rsidRPr="00E73F6F">
              <w:rPr>
                <w:lang w:val="de-DE"/>
              </w:rPr>
              <w:t>und</w:t>
            </w:r>
            <w:r w:rsidRPr="00E73F6F">
              <w:rPr>
                <w:spacing w:val="-3"/>
                <w:lang w:val="de-DE"/>
              </w:rPr>
              <w:t xml:space="preserve"> </w:t>
            </w:r>
            <w:r w:rsidRPr="00E73F6F">
              <w:rPr>
                <w:spacing w:val="-2"/>
                <w:lang w:val="de-DE"/>
              </w:rPr>
              <w:t>Herzegowina</w:t>
            </w:r>
          </w:p>
        </w:tc>
        <w:tc>
          <w:tcPr>
            <w:tcW w:w="963" w:type="pct"/>
          </w:tcPr>
          <w:p w14:paraId="22487F80" w14:textId="77777777" w:rsidR="00FF7799" w:rsidRPr="00E73F6F" w:rsidRDefault="00FF7799" w:rsidP="00F3090F">
            <w:pPr>
              <w:pStyle w:val="StandardText"/>
              <w:jc w:val="center"/>
              <w:rPr>
                <w:lang w:val="de-DE"/>
              </w:rPr>
            </w:pPr>
            <w:r w:rsidRPr="00E73F6F">
              <w:rPr>
                <w:spacing w:val="-5"/>
                <w:lang w:val="de-DE"/>
              </w:rPr>
              <w:t>2.9</w:t>
            </w:r>
          </w:p>
        </w:tc>
        <w:tc>
          <w:tcPr>
            <w:tcW w:w="963" w:type="pct"/>
          </w:tcPr>
          <w:p w14:paraId="5250122A" w14:textId="77777777" w:rsidR="00FF7799" w:rsidRPr="00E73F6F" w:rsidRDefault="00FF7799" w:rsidP="00F3090F">
            <w:pPr>
              <w:pStyle w:val="StandardText"/>
              <w:jc w:val="center"/>
              <w:rPr>
                <w:lang w:val="de-DE"/>
              </w:rPr>
            </w:pPr>
            <w:r w:rsidRPr="00E73F6F">
              <w:rPr>
                <w:lang w:val="de-DE"/>
              </w:rPr>
              <w:t>2.7 -</w:t>
            </w:r>
            <w:r w:rsidRPr="00E73F6F">
              <w:rPr>
                <w:spacing w:val="-3"/>
                <w:lang w:val="de-DE"/>
              </w:rPr>
              <w:t xml:space="preserve"> </w:t>
            </w:r>
            <w:r w:rsidRPr="00E73F6F">
              <w:rPr>
                <w:spacing w:val="-5"/>
                <w:lang w:val="de-DE"/>
              </w:rPr>
              <w:t>3.1</w:t>
            </w:r>
          </w:p>
        </w:tc>
        <w:tc>
          <w:tcPr>
            <w:tcW w:w="963" w:type="pct"/>
          </w:tcPr>
          <w:p w14:paraId="64D5A5BB" w14:textId="77777777" w:rsidR="00FF7799" w:rsidRPr="00E73F6F" w:rsidRDefault="00FF7799" w:rsidP="00F3090F">
            <w:pPr>
              <w:pStyle w:val="StandardText"/>
              <w:jc w:val="center"/>
              <w:rPr>
                <w:lang w:val="de-DE"/>
              </w:rPr>
            </w:pPr>
            <w:r w:rsidRPr="00E73F6F">
              <w:rPr>
                <w:lang w:val="de-DE"/>
              </w:rPr>
              <w:t>6</w:t>
            </w:r>
          </w:p>
        </w:tc>
      </w:tr>
      <w:tr w:rsidR="00FF7799" w:rsidRPr="00E73F6F" w14:paraId="775BB1F0" w14:textId="77777777" w:rsidTr="008E038E">
        <w:trPr>
          <w:trHeight w:val="244"/>
        </w:trPr>
        <w:tc>
          <w:tcPr>
            <w:tcW w:w="391" w:type="pct"/>
          </w:tcPr>
          <w:p w14:paraId="0C25C82C" w14:textId="77777777" w:rsidR="00FF7799" w:rsidRPr="00E73F6F" w:rsidRDefault="00FF7799" w:rsidP="00F3090F">
            <w:pPr>
              <w:pStyle w:val="StandardText"/>
              <w:jc w:val="center"/>
              <w:rPr>
                <w:lang w:val="de-DE"/>
              </w:rPr>
            </w:pPr>
          </w:p>
        </w:tc>
        <w:tc>
          <w:tcPr>
            <w:tcW w:w="1720" w:type="pct"/>
          </w:tcPr>
          <w:p w14:paraId="207D05BF" w14:textId="77777777" w:rsidR="00FF7799" w:rsidRPr="00E73F6F" w:rsidRDefault="00FF7799" w:rsidP="00F3090F">
            <w:pPr>
              <w:pStyle w:val="StandardText"/>
              <w:jc w:val="left"/>
              <w:rPr>
                <w:lang w:val="de-DE"/>
              </w:rPr>
            </w:pPr>
            <w:r w:rsidRPr="00E73F6F">
              <w:rPr>
                <w:spacing w:val="-2"/>
                <w:lang w:val="de-DE"/>
              </w:rPr>
              <w:t>Eritrea</w:t>
            </w:r>
          </w:p>
        </w:tc>
        <w:tc>
          <w:tcPr>
            <w:tcW w:w="963" w:type="pct"/>
          </w:tcPr>
          <w:p w14:paraId="775227FB" w14:textId="77777777" w:rsidR="00FF7799" w:rsidRPr="00E73F6F" w:rsidRDefault="00FF7799" w:rsidP="00F3090F">
            <w:pPr>
              <w:pStyle w:val="StandardText"/>
              <w:jc w:val="center"/>
              <w:rPr>
                <w:lang w:val="de-DE"/>
              </w:rPr>
            </w:pPr>
            <w:r w:rsidRPr="00E73F6F">
              <w:rPr>
                <w:spacing w:val="-5"/>
                <w:lang w:val="de-DE"/>
              </w:rPr>
              <w:t>2.9</w:t>
            </w:r>
          </w:p>
        </w:tc>
        <w:tc>
          <w:tcPr>
            <w:tcW w:w="963" w:type="pct"/>
          </w:tcPr>
          <w:p w14:paraId="25D4BFD9" w14:textId="77777777" w:rsidR="00FF7799" w:rsidRPr="00E73F6F" w:rsidRDefault="00FF7799" w:rsidP="00F3090F">
            <w:pPr>
              <w:pStyle w:val="StandardText"/>
              <w:jc w:val="center"/>
              <w:rPr>
                <w:lang w:val="de-DE"/>
              </w:rPr>
            </w:pPr>
            <w:r w:rsidRPr="00E73F6F">
              <w:rPr>
                <w:lang w:val="de-DE"/>
              </w:rPr>
              <w:t>2.2 -</w:t>
            </w:r>
            <w:r w:rsidRPr="00E73F6F">
              <w:rPr>
                <w:spacing w:val="-3"/>
                <w:lang w:val="de-DE"/>
              </w:rPr>
              <w:t xml:space="preserve"> </w:t>
            </w:r>
            <w:r w:rsidRPr="00E73F6F">
              <w:rPr>
                <w:spacing w:val="-5"/>
                <w:lang w:val="de-DE"/>
              </w:rPr>
              <w:t>3.5</w:t>
            </w:r>
          </w:p>
        </w:tc>
        <w:tc>
          <w:tcPr>
            <w:tcW w:w="963" w:type="pct"/>
          </w:tcPr>
          <w:p w14:paraId="6DD09E74" w14:textId="77777777" w:rsidR="00FF7799" w:rsidRPr="00E73F6F" w:rsidRDefault="00FF7799" w:rsidP="00F3090F">
            <w:pPr>
              <w:pStyle w:val="StandardText"/>
              <w:jc w:val="center"/>
              <w:rPr>
                <w:lang w:val="de-DE"/>
              </w:rPr>
            </w:pPr>
            <w:r w:rsidRPr="00E73F6F">
              <w:rPr>
                <w:lang w:val="de-DE"/>
              </w:rPr>
              <w:t>3</w:t>
            </w:r>
          </w:p>
        </w:tc>
      </w:tr>
      <w:tr w:rsidR="00FF7799" w:rsidRPr="00E73F6F" w14:paraId="61AD8206" w14:textId="77777777" w:rsidTr="008E038E">
        <w:trPr>
          <w:trHeight w:val="239"/>
        </w:trPr>
        <w:tc>
          <w:tcPr>
            <w:tcW w:w="391" w:type="pct"/>
          </w:tcPr>
          <w:p w14:paraId="13C63050" w14:textId="77777777" w:rsidR="00FF7799" w:rsidRPr="00E73F6F" w:rsidRDefault="00FF7799" w:rsidP="00F3090F">
            <w:pPr>
              <w:pStyle w:val="StandardText"/>
              <w:jc w:val="center"/>
              <w:rPr>
                <w:lang w:val="de-DE"/>
              </w:rPr>
            </w:pPr>
          </w:p>
        </w:tc>
        <w:tc>
          <w:tcPr>
            <w:tcW w:w="1720" w:type="pct"/>
          </w:tcPr>
          <w:p w14:paraId="353824BC" w14:textId="77777777" w:rsidR="00FF7799" w:rsidRPr="00E73F6F" w:rsidRDefault="00FF7799" w:rsidP="00F3090F">
            <w:pPr>
              <w:pStyle w:val="StandardText"/>
              <w:jc w:val="left"/>
              <w:rPr>
                <w:lang w:val="de-DE"/>
              </w:rPr>
            </w:pPr>
            <w:r w:rsidRPr="00E73F6F">
              <w:rPr>
                <w:spacing w:val="-2"/>
                <w:lang w:val="de-DE"/>
              </w:rPr>
              <w:t>Syrien</w:t>
            </w:r>
          </w:p>
        </w:tc>
        <w:tc>
          <w:tcPr>
            <w:tcW w:w="963" w:type="pct"/>
          </w:tcPr>
          <w:p w14:paraId="45E61890" w14:textId="77777777" w:rsidR="00FF7799" w:rsidRPr="00E73F6F" w:rsidRDefault="00FF7799" w:rsidP="00F3090F">
            <w:pPr>
              <w:pStyle w:val="StandardText"/>
              <w:jc w:val="center"/>
              <w:rPr>
                <w:lang w:val="de-DE"/>
              </w:rPr>
            </w:pPr>
            <w:r w:rsidRPr="00E73F6F">
              <w:rPr>
                <w:spacing w:val="-5"/>
                <w:lang w:val="de-DE"/>
              </w:rPr>
              <w:t>2.9</w:t>
            </w:r>
          </w:p>
        </w:tc>
        <w:tc>
          <w:tcPr>
            <w:tcW w:w="963" w:type="pct"/>
          </w:tcPr>
          <w:p w14:paraId="2749251B" w14:textId="77777777" w:rsidR="00FF7799" w:rsidRPr="00E73F6F" w:rsidRDefault="00FF7799" w:rsidP="00F3090F">
            <w:pPr>
              <w:pStyle w:val="StandardText"/>
              <w:jc w:val="center"/>
              <w:rPr>
                <w:lang w:val="de-DE"/>
              </w:rPr>
            </w:pPr>
            <w:r w:rsidRPr="00E73F6F">
              <w:rPr>
                <w:lang w:val="de-DE"/>
              </w:rPr>
              <w:t>2.3 -</w:t>
            </w:r>
            <w:r w:rsidRPr="00E73F6F">
              <w:rPr>
                <w:spacing w:val="-3"/>
                <w:lang w:val="de-DE"/>
              </w:rPr>
              <w:t xml:space="preserve"> </w:t>
            </w:r>
            <w:r w:rsidRPr="00E73F6F">
              <w:rPr>
                <w:spacing w:val="-5"/>
                <w:lang w:val="de-DE"/>
              </w:rPr>
              <w:t>3.2</w:t>
            </w:r>
          </w:p>
        </w:tc>
        <w:tc>
          <w:tcPr>
            <w:tcW w:w="963" w:type="pct"/>
          </w:tcPr>
          <w:p w14:paraId="3C2139A7" w14:textId="77777777" w:rsidR="00FF7799" w:rsidRPr="00E73F6F" w:rsidRDefault="00FF7799" w:rsidP="00F3090F">
            <w:pPr>
              <w:pStyle w:val="StandardText"/>
              <w:jc w:val="center"/>
              <w:rPr>
                <w:lang w:val="de-DE"/>
              </w:rPr>
            </w:pPr>
            <w:r w:rsidRPr="00E73F6F">
              <w:rPr>
                <w:lang w:val="de-DE"/>
              </w:rPr>
              <w:t>3</w:t>
            </w:r>
          </w:p>
        </w:tc>
      </w:tr>
      <w:tr w:rsidR="00FF7799" w:rsidRPr="00E73F6F" w14:paraId="02B719C9" w14:textId="77777777" w:rsidTr="008E038E">
        <w:trPr>
          <w:trHeight w:val="244"/>
        </w:trPr>
        <w:tc>
          <w:tcPr>
            <w:tcW w:w="391" w:type="pct"/>
          </w:tcPr>
          <w:p w14:paraId="58620F86" w14:textId="77777777" w:rsidR="00FF7799" w:rsidRPr="00E73F6F" w:rsidRDefault="00FF7799" w:rsidP="00F3090F">
            <w:pPr>
              <w:pStyle w:val="StandardText"/>
              <w:jc w:val="center"/>
              <w:rPr>
                <w:lang w:val="de-DE"/>
              </w:rPr>
            </w:pPr>
          </w:p>
        </w:tc>
        <w:tc>
          <w:tcPr>
            <w:tcW w:w="1720" w:type="pct"/>
          </w:tcPr>
          <w:p w14:paraId="44FA5E5F" w14:textId="77777777" w:rsidR="00FF7799" w:rsidRPr="00E73F6F" w:rsidRDefault="00FF7799" w:rsidP="00F3090F">
            <w:pPr>
              <w:pStyle w:val="StandardText"/>
              <w:jc w:val="left"/>
              <w:rPr>
                <w:lang w:val="de-DE"/>
              </w:rPr>
            </w:pPr>
            <w:r w:rsidRPr="00E73F6F">
              <w:rPr>
                <w:spacing w:val="-2"/>
                <w:lang w:val="de-DE"/>
              </w:rPr>
              <w:t>Tansania</w:t>
            </w:r>
          </w:p>
        </w:tc>
        <w:tc>
          <w:tcPr>
            <w:tcW w:w="963" w:type="pct"/>
          </w:tcPr>
          <w:p w14:paraId="5403426B" w14:textId="77777777" w:rsidR="00FF7799" w:rsidRPr="00E73F6F" w:rsidRDefault="00FF7799" w:rsidP="00F3090F">
            <w:pPr>
              <w:pStyle w:val="StandardText"/>
              <w:jc w:val="center"/>
              <w:rPr>
                <w:lang w:val="de-DE"/>
              </w:rPr>
            </w:pPr>
            <w:r w:rsidRPr="00E73F6F">
              <w:rPr>
                <w:spacing w:val="-5"/>
                <w:lang w:val="de-DE"/>
              </w:rPr>
              <w:t>2.9</w:t>
            </w:r>
          </w:p>
        </w:tc>
        <w:tc>
          <w:tcPr>
            <w:tcW w:w="963" w:type="pct"/>
          </w:tcPr>
          <w:p w14:paraId="1C17EFE5" w14:textId="77777777" w:rsidR="00FF7799" w:rsidRPr="00E73F6F" w:rsidRDefault="00FF7799" w:rsidP="00F3090F">
            <w:pPr>
              <w:pStyle w:val="StandardText"/>
              <w:jc w:val="center"/>
              <w:rPr>
                <w:lang w:val="de-DE"/>
              </w:rPr>
            </w:pPr>
            <w:r w:rsidRPr="00E73F6F">
              <w:rPr>
                <w:lang w:val="de-DE"/>
              </w:rPr>
              <w:t>2.7 -</w:t>
            </w:r>
            <w:r w:rsidRPr="00E73F6F">
              <w:rPr>
                <w:spacing w:val="-3"/>
                <w:lang w:val="de-DE"/>
              </w:rPr>
              <w:t xml:space="preserve"> </w:t>
            </w:r>
            <w:r w:rsidRPr="00E73F6F">
              <w:rPr>
                <w:spacing w:val="-5"/>
                <w:lang w:val="de-DE"/>
              </w:rPr>
              <w:t>3.1</w:t>
            </w:r>
          </w:p>
        </w:tc>
        <w:tc>
          <w:tcPr>
            <w:tcW w:w="963" w:type="pct"/>
          </w:tcPr>
          <w:p w14:paraId="5D5AE2AE" w14:textId="77777777" w:rsidR="00FF7799" w:rsidRPr="00E73F6F" w:rsidRDefault="00FF7799" w:rsidP="00F3090F">
            <w:pPr>
              <w:pStyle w:val="StandardText"/>
              <w:jc w:val="center"/>
              <w:rPr>
                <w:lang w:val="de-DE"/>
              </w:rPr>
            </w:pPr>
            <w:r w:rsidRPr="00E73F6F">
              <w:rPr>
                <w:lang w:val="de-DE"/>
              </w:rPr>
              <w:t>7</w:t>
            </w:r>
          </w:p>
        </w:tc>
      </w:tr>
      <w:tr w:rsidR="00FF7799" w:rsidRPr="00E73F6F" w14:paraId="51F61D61" w14:textId="77777777" w:rsidTr="008E038E">
        <w:trPr>
          <w:trHeight w:val="242"/>
        </w:trPr>
        <w:tc>
          <w:tcPr>
            <w:tcW w:w="391" w:type="pct"/>
          </w:tcPr>
          <w:p w14:paraId="4564EF10" w14:textId="77777777" w:rsidR="00FF7799" w:rsidRPr="00E73F6F" w:rsidRDefault="00FF7799" w:rsidP="00F3090F">
            <w:pPr>
              <w:pStyle w:val="StandardText"/>
              <w:jc w:val="center"/>
              <w:rPr>
                <w:lang w:val="de-DE"/>
              </w:rPr>
            </w:pPr>
            <w:r w:rsidRPr="00E73F6F">
              <w:rPr>
                <w:spacing w:val="-5"/>
                <w:lang w:val="de-DE"/>
              </w:rPr>
              <w:t>99</w:t>
            </w:r>
          </w:p>
        </w:tc>
        <w:tc>
          <w:tcPr>
            <w:tcW w:w="1720" w:type="pct"/>
          </w:tcPr>
          <w:p w14:paraId="4C3417C0" w14:textId="77777777" w:rsidR="00FF7799" w:rsidRPr="00E73F6F" w:rsidRDefault="00FF7799" w:rsidP="00F3090F">
            <w:pPr>
              <w:pStyle w:val="StandardText"/>
              <w:jc w:val="left"/>
              <w:rPr>
                <w:lang w:val="de-DE"/>
              </w:rPr>
            </w:pPr>
            <w:r w:rsidRPr="00E73F6F">
              <w:rPr>
                <w:spacing w:val="-2"/>
                <w:lang w:val="de-DE"/>
              </w:rPr>
              <w:t>Dominikanische</w:t>
            </w:r>
            <w:r w:rsidRPr="00E73F6F">
              <w:rPr>
                <w:spacing w:val="15"/>
                <w:lang w:val="de-DE"/>
              </w:rPr>
              <w:t xml:space="preserve"> </w:t>
            </w:r>
            <w:r w:rsidRPr="00E73F6F">
              <w:rPr>
                <w:spacing w:val="-2"/>
                <w:lang w:val="de-DE"/>
              </w:rPr>
              <w:t>Republik</w:t>
            </w:r>
          </w:p>
        </w:tc>
        <w:tc>
          <w:tcPr>
            <w:tcW w:w="963" w:type="pct"/>
          </w:tcPr>
          <w:p w14:paraId="057FF08D" w14:textId="77777777" w:rsidR="00FF7799" w:rsidRPr="00E73F6F" w:rsidRDefault="00FF7799" w:rsidP="00F3090F">
            <w:pPr>
              <w:pStyle w:val="StandardText"/>
              <w:jc w:val="center"/>
              <w:rPr>
                <w:lang w:val="de-DE"/>
              </w:rPr>
            </w:pPr>
            <w:r w:rsidRPr="00E73F6F">
              <w:rPr>
                <w:spacing w:val="-5"/>
                <w:lang w:val="de-DE"/>
              </w:rPr>
              <w:t>2.8</w:t>
            </w:r>
          </w:p>
        </w:tc>
        <w:tc>
          <w:tcPr>
            <w:tcW w:w="963" w:type="pct"/>
          </w:tcPr>
          <w:p w14:paraId="183C15DC" w14:textId="77777777" w:rsidR="00FF7799" w:rsidRPr="00E73F6F" w:rsidRDefault="00FF7799" w:rsidP="00F3090F">
            <w:pPr>
              <w:pStyle w:val="StandardText"/>
              <w:jc w:val="center"/>
              <w:rPr>
                <w:lang w:val="de-DE"/>
              </w:rPr>
            </w:pPr>
            <w:r w:rsidRPr="00E73F6F">
              <w:rPr>
                <w:lang w:val="de-DE"/>
              </w:rPr>
              <w:t>2.4 -</w:t>
            </w:r>
            <w:r w:rsidRPr="00E73F6F">
              <w:rPr>
                <w:spacing w:val="-3"/>
                <w:lang w:val="de-DE"/>
              </w:rPr>
              <w:t xml:space="preserve"> </w:t>
            </w:r>
            <w:r w:rsidRPr="00E73F6F">
              <w:rPr>
                <w:spacing w:val="-5"/>
                <w:lang w:val="de-DE"/>
              </w:rPr>
              <w:t>3.2</w:t>
            </w:r>
          </w:p>
        </w:tc>
        <w:tc>
          <w:tcPr>
            <w:tcW w:w="963" w:type="pct"/>
          </w:tcPr>
          <w:p w14:paraId="541F5B15" w14:textId="77777777" w:rsidR="00FF7799" w:rsidRPr="00E73F6F" w:rsidRDefault="00FF7799" w:rsidP="00F3090F">
            <w:pPr>
              <w:pStyle w:val="StandardText"/>
              <w:jc w:val="center"/>
              <w:rPr>
                <w:lang w:val="de-DE"/>
              </w:rPr>
            </w:pPr>
            <w:r w:rsidRPr="00E73F6F">
              <w:rPr>
                <w:lang w:val="de-DE"/>
              </w:rPr>
              <w:t>5</w:t>
            </w:r>
          </w:p>
        </w:tc>
      </w:tr>
      <w:tr w:rsidR="00FF7799" w:rsidRPr="00E73F6F" w14:paraId="6A1550C6" w14:textId="77777777" w:rsidTr="008E038E">
        <w:trPr>
          <w:trHeight w:val="244"/>
        </w:trPr>
        <w:tc>
          <w:tcPr>
            <w:tcW w:w="391" w:type="pct"/>
          </w:tcPr>
          <w:p w14:paraId="69D1E987" w14:textId="77777777" w:rsidR="00FF7799" w:rsidRPr="00E73F6F" w:rsidRDefault="00FF7799" w:rsidP="00F3090F">
            <w:pPr>
              <w:pStyle w:val="StandardText"/>
              <w:jc w:val="center"/>
              <w:rPr>
                <w:lang w:val="de-DE"/>
              </w:rPr>
            </w:pPr>
          </w:p>
        </w:tc>
        <w:tc>
          <w:tcPr>
            <w:tcW w:w="1720" w:type="pct"/>
          </w:tcPr>
          <w:p w14:paraId="34F8D156" w14:textId="77777777" w:rsidR="00FF7799" w:rsidRPr="00E73F6F" w:rsidRDefault="00FF7799" w:rsidP="00F3090F">
            <w:pPr>
              <w:pStyle w:val="StandardText"/>
              <w:jc w:val="left"/>
              <w:rPr>
                <w:lang w:val="de-DE"/>
              </w:rPr>
            </w:pPr>
            <w:r w:rsidRPr="00E73F6F">
              <w:rPr>
                <w:spacing w:val="-2"/>
                <w:lang w:val="de-DE"/>
              </w:rPr>
              <w:t>Georgien</w:t>
            </w:r>
          </w:p>
        </w:tc>
        <w:tc>
          <w:tcPr>
            <w:tcW w:w="963" w:type="pct"/>
          </w:tcPr>
          <w:p w14:paraId="48839C4B" w14:textId="77777777" w:rsidR="00FF7799" w:rsidRPr="00E73F6F" w:rsidRDefault="00FF7799" w:rsidP="00F3090F">
            <w:pPr>
              <w:pStyle w:val="StandardText"/>
              <w:jc w:val="center"/>
              <w:rPr>
                <w:lang w:val="de-DE"/>
              </w:rPr>
            </w:pPr>
            <w:r w:rsidRPr="00E73F6F">
              <w:rPr>
                <w:spacing w:val="-5"/>
                <w:lang w:val="de-DE"/>
              </w:rPr>
              <w:t>2.8</w:t>
            </w:r>
          </w:p>
        </w:tc>
        <w:tc>
          <w:tcPr>
            <w:tcW w:w="963" w:type="pct"/>
          </w:tcPr>
          <w:p w14:paraId="7C0FD118" w14:textId="77777777" w:rsidR="00FF7799" w:rsidRPr="00E73F6F" w:rsidRDefault="00FF7799" w:rsidP="00F3090F">
            <w:pPr>
              <w:pStyle w:val="StandardText"/>
              <w:jc w:val="center"/>
              <w:rPr>
                <w:lang w:val="de-DE"/>
              </w:rPr>
            </w:pPr>
            <w:r w:rsidRPr="00E73F6F">
              <w:rPr>
                <w:lang w:val="de-DE"/>
              </w:rPr>
              <w:t>2.5 -</w:t>
            </w:r>
            <w:r w:rsidRPr="00E73F6F">
              <w:rPr>
                <w:spacing w:val="-3"/>
                <w:lang w:val="de-DE"/>
              </w:rPr>
              <w:t xml:space="preserve"> </w:t>
            </w:r>
            <w:r w:rsidRPr="00E73F6F">
              <w:rPr>
                <w:spacing w:val="-5"/>
                <w:lang w:val="de-DE"/>
              </w:rPr>
              <w:t>3.0</w:t>
            </w:r>
          </w:p>
        </w:tc>
        <w:tc>
          <w:tcPr>
            <w:tcW w:w="963" w:type="pct"/>
          </w:tcPr>
          <w:p w14:paraId="05D57C7C" w14:textId="77777777" w:rsidR="00FF7799" w:rsidRPr="00E73F6F" w:rsidRDefault="00FF7799" w:rsidP="00F3090F">
            <w:pPr>
              <w:pStyle w:val="StandardText"/>
              <w:jc w:val="center"/>
              <w:rPr>
                <w:lang w:val="de-DE"/>
              </w:rPr>
            </w:pPr>
            <w:r w:rsidRPr="00E73F6F">
              <w:rPr>
                <w:lang w:val="de-DE"/>
              </w:rPr>
              <w:t>6</w:t>
            </w:r>
          </w:p>
        </w:tc>
      </w:tr>
      <w:tr w:rsidR="00FF7799" w:rsidRPr="00E73F6F" w14:paraId="0425A19D" w14:textId="77777777" w:rsidTr="008E038E">
        <w:trPr>
          <w:trHeight w:val="239"/>
        </w:trPr>
        <w:tc>
          <w:tcPr>
            <w:tcW w:w="391" w:type="pct"/>
          </w:tcPr>
          <w:p w14:paraId="4EC8B0D1" w14:textId="77777777" w:rsidR="00FF7799" w:rsidRPr="00E73F6F" w:rsidRDefault="00FF7799" w:rsidP="00F3090F">
            <w:pPr>
              <w:pStyle w:val="StandardText"/>
              <w:jc w:val="center"/>
              <w:rPr>
                <w:lang w:val="de-DE"/>
              </w:rPr>
            </w:pPr>
          </w:p>
        </w:tc>
        <w:tc>
          <w:tcPr>
            <w:tcW w:w="1720" w:type="pct"/>
          </w:tcPr>
          <w:p w14:paraId="0434298E" w14:textId="77777777" w:rsidR="00FF7799" w:rsidRPr="00E73F6F" w:rsidRDefault="00FF7799" w:rsidP="00F3090F">
            <w:pPr>
              <w:pStyle w:val="StandardText"/>
              <w:jc w:val="left"/>
              <w:rPr>
                <w:lang w:val="de-DE"/>
              </w:rPr>
            </w:pPr>
            <w:r w:rsidRPr="00E73F6F">
              <w:rPr>
                <w:lang w:val="de-DE"/>
              </w:rPr>
              <w:t>Mali</w:t>
            </w:r>
          </w:p>
        </w:tc>
        <w:tc>
          <w:tcPr>
            <w:tcW w:w="963" w:type="pct"/>
          </w:tcPr>
          <w:p w14:paraId="602AE814" w14:textId="77777777" w:rsidR="00FF7799" w:rsidRPr="00E73F6F" w:rsidRDefault="00FF7799" w:rsidP="00F3090F">
            <w:pPr>
              <w:pStyle w:val="StandardText"/>
              <w:jc w:val="center"/>
              <w:rPr>
                <w:lang w:val="de-DE"/>
              </w:rPr>
            </w:pPr>
            <w:r w:rsidRPr="00E73F6F">
              <w:rPr>
                <w:spacing w:val="-5"/>
                <w:lang w:val="de-DE"/>
              </w:rPr>
              <w:t>2.8</w:t>
            </w:r>
          </w:p>
        </w:tc>
        <w:tc>
          <w:tcPr>
            <w:tcW w:w="963" w:type="pct"/>
          </w:tcPr>
          <w:p w14:paraId="691629A5" w14:textId="77777777" w:rsidR="00FF7799" w:rsidRPr="00E73F6F" w:rsidRDefault="00FF7799" w:rsidP="00F3090F">
            <w:pPr>
              <w:pStyle w:val="StandardText"/>
              <w:jc w:val="center"/>
              <w:rPr>
                <w:lang w:val="de-DE"/>
              </w:rPr>
            </w:pPr>
            <w:r w:rsidRPr="00E73F6F">
              <w:rPr>
                <w:lang w:val="de-DE"/>
              </w:rPr>
              <w:t>2.5 -</w:t>
            </w:r>
            <w:r w:rsidRPr="00E73F6F">
              <w:rPr>
                <w:spacing w:val="-3"/>
                <w:lang w:val="de-DE"/>
              </w:rPr>
              <w:t xml:space="preserve"> </w:t>
            </w:r>
            <w:r w:rsidRPr="00E73F6F">
              <w:rPr>
                <w:spacing w:val="-5"/>
                <w:lang w:val="de-DE"/>
              </w:rPr>
              <w:t>3.3</w:t>
            </w:r>
          </w:p>
        </w:tc>
        <w:tc>
          <w:tcPr>
            <w:tcW w:w="963" w:type="pct"/>
          </w:tcPr>
          <w:p w14:paraId="12488BBE" w14:textId="77777777" w:rsidR="00FF7799" w:rsidRPr="00E73F6F" w:rsidRDefault="00FF7799" w:rsidP="00F3090F">
            <w:pPr>
              <w:pStyle w:val="StandardText"/>
              <w:jc w:val="center"/>
              <w:rPr>
                <w:lang w:val="de-DE"/>
              </w:rPr>
            </w:pPr>
            <w:r w:rsidRPr="00E73F6F">
              <w:rPr>
                <w:lang w:val="de-DE"/>
              </w:rPr>
              <w:t>7</w:t>
            </w:r>
          </w:p>
        </w:tc>
      </w:tr>
      <w:tr w:rsidR="00FF7799" w:rsidRPr="00E73F6F" w14:paraId="51A5C125" w14:textId="77777777" w:rsidTr="008E038E">
        <w:trPr>
          <w:trHeight w:val="244"/>
        </w:trPr>
        <w:tc>
          <w:tcPr>
            <w:tcW w:w="391" w:type="pct"/>
          </w:tcPr>
          <w:p w14:paraId="32B5B03E" w14:textId="77777777" w:rsidR="00FF7799" w:rsidRPr="00E73F6F" w:rsidRDefault="00FF7799" w:rsidP="00F3090F">
            <w:pPr>
              <w:pStyle w:val="StandardText"/>
              <w:jc w:val="center"/>
              <w:rPr>
                <w:lang w:val="de-DE"/>
              </w:rPr>
            </w:pPr>
          </w:p>
        </w:tc>
        <w:tc>
          <w:tcPr>
            <w:tcW w:w="1720" w:type="pct"/>
          </w:tcPr>
          <w:p w14:paraId="7F371ACE" w14:textId="77777777" w:rsidR="00FF7799" w:rsidRPr="00E73F6F" w:rsidRDefault="00FF7799" w:rsidP="00F3090F">
            <w:pPr>
              <w:pStyle w:val="StandardText"/>
              <w:jc w:val="left"/>
              <w:rPr>
                <w:lang w:val="de-DE"/>
              </w:rPr>
            </w:pPr>
            <w:r w:rsidRPr="00E73F6F">
              <w:rPr>
                <w:spacing w:val="-2"/>
                <w:lang w:val="de-DE"/>
              </w:rPr>
              <w:t>Mongolei</w:t>
            </w:r>
          </w:p>
        </w:tc>
        <w:tc>
          <w:tcPr>
            <w:tcW w:w="963" w:type="pct"/>
          </w:tcPr>
          <w:p w14:paraId="000C3A57" w14:textId="77777777" w:rsidR="00FF7799" w:rsidRPr="00E73F6F" w:rsidRDefault="00FF7799" w:rsidP="00F3090F">
            <w:pPr>
              <w:pStyle w:val="StandardText"/>
              <w:jc w:val="center"/>
              <w:rPr>
                <w:lang w:val="de-DE"/>
              </w:rPr>
            </w:pPr>
            <w:r w:rsidRPr="00E73F6F">
              <w:rPr>
                <w:spacing w:val="-5"/>
                <w:lang w:val="de-DE"/>
              </w:rPr>
              <w:t>2.8</w:t>
            </w:r>
          </w:p>
        </w:tc>
        <w:tc>
          <w:tcPr>
            <w:tcW w:w="963" w:type="pct"/>
          </w:tcPr>
          <w:p w14:paraId="7026C57D" w14:textId="77777777" w:rsidR="00FF7799" w:rsidRPr="00E73F6F" w:rsidRDefault="00FF7799" w:rsidP="00F3090F">
            <w:pPr>
              <w:pStyle w:val="StandardText"/>
              <w:jc w:val="center"/>
              <w:rPr>
                <w:lang w:val="de-DE"/>
              </w:rPr>
            </w:pPr>
            <w:r w:rsidRPr="00E73F6F">
              <w:rPr>
                <w:lang w:val="de-DE"/>
              </w:rPr>
              <w:t>2.3 -</w:t>
            </w:r>
            <w:r w:rsidRPr="00E73F6F">
              <w:rPr>
                <w:spacing w:val="-3"/>
                <w:lang w:val="de-DE"/>
              </w:rPr>
              <w:t xml:space="preserve"> </w:t>
            </w:r>
            <w:r w:rsidRPr="00E73F6F">
              <w:rPr>
                <w:spacing w:val="-5"/>
                <w:lang w:val="de-DE"/>
              </w:rPr>
              <w:t>3.4</w:t>
            </w:r>
          </w:p>
        </w:tc>
        <w:tc>
          <w:tcPr>
            <w:tcW w:w="963" w:type="pct"/>
          </w:tcPr>
          <w:p w14:paraId="1A733ADC" w14:textId="77777777" w:rsidR="00FF7799" w:rsidRPr="00E73F6F" w:rsidRDefault="00FF7799" w:rsidP="00F3090F">
            <w:pPr>
              <w:pStyle w:val="StandardText"/>
              <w:jc w:val="center"/>
              <w:rPr>
                <w:lang w:val="de-DE"/>
              </w:rPr>
            </w:pPr>
            <w:r w:rsidRPr="00E73F6F">
              <w:rPr>
                <w:lang w:val="de-DE"/>
              </w:rPr>
              <w:t>5</w:t>
            </w:r>
          </w:p>
        </w:tc>
      </w:tr>
      <w:tr w:rsidR="00FF7799" w:rsidRPr="00E73F6F" w14:paraId="06F3CECE" w14:textId="77777777" w:rsidTr="008E038E">
        <w:trPr>
          <w:trHeight w:val="239"/>
        </w:trPr>
        <w:tc>
          <w:tcPr>
            <w:tcW w:w="391" w:type="pct"/>
          </w:tcPr>
          <w:p w14:paraId="5EEF7D42" w14:textId="77777777" w:rsidR="00FF7799" w:rsidRPr="00E73F6F" w:rsidRDefault="00FF7799" w:rsidP="00F3090F">
            <w:pPr>
              <w:pStyle w:val="StandardText"/>
              <w:jc w:val="center"/>
              <w:rPr>
                <w:lang w:val="de-DE"/>
              </w:rPr>
            </w:pPr>
          </w:p>
        </w:tc>
        <w:tc>
          <w:tcPr>
            <w:tcW w:w="1720" w:type="pct"/>
          </w:tcPr>
          <w:p w14:paraId="24A53E7F" w14:textId="77777777" w:rsidR="00FF7799" w:rsidRPr="00E73F6F" w:rsidRDefault="00FF7799" w:rsidP="00F3090F">
            <w:pPr>
              <w:pStyle w:val="StandardText"/>
              <w:jc w:val="left"/>
              <w:rPr>
                <w:lang w:val="de-DE"/>
              </w:rPr>
            </w:pPr>
            <w:r w:rsidRPr="00E73F6F">
              <w:rPr>
                <w:spacing w:val="-2"/>
                <w:lang w:val="de-DE"/>
              </w:rPr>
              <w:t>Mozambique</w:t>
            </w:r>
          </w:p>
        </w:tc>
        <w:tc>
          <w:tcPr>
            <w:tcW w:w="963" w:type="pct"/>
          </w:tcPr>
          <w:p w14:paraId="725B48BA" w14:textId="77777777" w:rsidR="00FF7799" w:rsidRPr="00E73F6F" w:rsidRDefault="00FF7799" w:rsidP="00F3090F">
            <w:pPr>
              <w:pStyle w:val="StandardText"/>
              <w:jc w:val="center"/>
              <w:rPr>
                <w:lang w:val="de-DE"/>
              </w:rPr>
            </w:pPr>
            <w:r w:rsidRPr="00E73F6F">
              <w:rPr>
                <w:spacing w:val="-5"/>
                <w:lang w:val="de-DE"/>
              </w:rPr>
              <w:t>2.8</w:t>
            </w:r>
          </w:p>
        </w:tc>
        <w:tc>
          <w:tcPr>
            <w:tcW w:w="963" w:type="pct"/>
          </w:tcPr>
          <w:p w14:paraId="3302096C" w14:textId="77777777" w:rsidR="00FF7799" w:rsidRPr="00E73F6F" w:rsidRDefault="00FF7799" w:rsidP="00F3090F">
            <w:pPr>
              <w:pStyle w:val="StandardText"/>
              <w:jc w:val="center"/>
              <w:rPr>
                <w:lang w:val="de-DE"/>
              </w:rPr>
            </w:pPr>
            <w:r w:rsidRPr="00E73F6F">
              <w:rPr>
                <w:lang w:val="de-DE"/>
              </w:rPr>
              <w:t>2.5 -</w:t>
            </w:r>
            <w:r w:rsidRPr="00E73F6F">
              <w:rPr>
                <w:spacing w:val="-3"/>
                <w:lang w:val="de-DE"/>
              </w:rPr>
              <w:t xml:space="preserve"> </w:t>
            </w:r>
            <w:r w:rsidRPr="00E73F6F">
              <w:rPr>
                <w:spacing w:val="-5"/>
                <w:lang w:val="de-DE"/>
              </w:rPr>
              <w:t>3.0</w:t>
            </w:r>
          </w:p>
        </w:tc>
        <w:tc>
          <w:tcPr>
            <w:tcW w:w="963" w:type="pct"/>
          </w:tcPr>
          <w:p w14:paraId="703045D4" w14:textId="77777777" w:rsidR="00FF7799" w:rsidRPr="00E73F6F" w:rsidRDefault="00FF7799" w:rsidP="00F3090F">
            <w:pPr>
              <w:pStyle w:val="StandardText"/>
              <w:jc w:val="center"/>
              <w:rPr>
                <w:lang w:val="de-DE"/>
              </w:rPr>
            </w:pPr>
            <w:r w:rsidRPr="00E73F6F">
              <w:rPr>
                <w:lang w:val="de-DE"/>
              </w:rPr>
              <w:t>7</w:t>
            </w:r>
          </w:p>
        </w:tc>
      </w:tr>
      <w:tr w:rsidR="00FF7799" w:rsidRPr="00E73F6F" w14:paraId="49C2247F" w14:textId="77777777" w:rsidTr="008E038E">
        <w:trPr>
          <w:trHeight w:val="245"/>
        </w:trPr>
        <w:tc>
          <w:tcPr>
            <w:tcW w:w="391" w:type="pct"/>
          </w:tcPr>
          <w:p w14:paraId="525160D1" w14:textId="77777777" w:rsidR="00FF7799" w:rsidRPr="00E73F6F" w:rsidRDefault="00FF7799" w:rsidP="00F3090F">
            <w:pPr>
              <w:pStyle w:val="StandardText"/>
              <w:jc w:val="center"/>
              <w:rPr>
                <w:lang w:val="de-DE"/>
              </w:rPr>
            </w:pPr>
          </w:p>
        </w:tc>
        <w:tc>
          <w:tcPr>
            <w:tcW w:w="1720" w:type="pct"/>
          </w:tcPr>
          <w:p w14:paraId="16FC23AB" w14:textId="77777777" w:rsidR="00FF7799" w:rsidRPr="00E73F6F" w:rsidRDefault="00FF7799" w:rsidP="00F3090F">
            <w:pPr>
              <w:pStyle w:val="StandardText"/>
              <w:jc w:val="left"/>
              <w:rPr>
                <w:lang w:val="de-DE"/>
              </w:rPr>
            </w:pPr>
            <w:r w:rsidRPr="00E73F6F">
              <w:rPr>
                <w:spacing w:val="-2"/>
                <w:lang w:val="de-DE"/>
              </w:rPr>
              <w:t>Ukraine</w:t>
            </w:r>
          </w:p>
        </w:tc>
        <w:tc>
          <w:tcPr>
            <w:tcW w:w="963" w:type="pct"/>
          </w:tcPr>
          <w:p w14:paraId="61F1269E" w14:textId="77777777" w:rsidR="00FF7799" w:rsidRPr="00E73F6F" w:rsidRDefault="00FF7799" w:rsidP="00F3090F">
            <w:pPr>
              <w:pStyle w:val="StandardText"/>
              <w:jc w:val="center"/>
              <w:rPr>
                <w:lang w:val="de-DE"/>
              </w:rPr>
            </w:pPr>
            <w:r w:rsidRPr="00E73F6F">
              <w:rPr>
                <w:spacing w:val="-5"/>
                <w:lang w:val="de-DE"/>
              </w:rPr>
              <w:t>2.8</w:t>
            </w:r>
          </w:p>
        </w:tc>
        <w:tc>
          <w:tcPr>
            <w:tcW w:w="963" w:type="pct"/>
          </w:tcPr>
          <w:p w14:paraId="7B6370E2" w14:textId="77777777" w:rsidR="00FF7799" w:rsidRPr="00E73F6F" w:rsidRDefault="00FF7799" w:rsidP="00F3090F">
            <w:pPr>
              <w:pStyle w:val="StandardText"/>
              <w:jc w:val="center"/>
              <w:rPr>
                <w:lang w:val="de-DE"/>
              </w:rPr>
            </w:pPr>
            <w:r w:rsidRPr="00E73F6F">
              <w:rPr>
                <w:lang w:val="de-DE"/>
              </w:rPr>
              <w:t>2.5 -</w:t>
            </w:r>
            <w:r w:rsidRPr="00E73F6F">
              <w:rPr>
                <w:spacing w:val="-3"/>
                <w:lang w:val="de-DE"/>
              </w:rPr>
              <w:t xml:space="preserve"> </w:t>
            </w:r>
            <w:r w:rsidRPr="00E73F6F">
              <w:rPr>
                <w:spacing w:val="-5"/>
                <w:lang w:val="de-DE"/>
              </w:rPr>
              <w:t>3.0</w:t>
            </w:r>
          </w:p>
        </w:tc>
        <w:tc>
          <w:tcPr>
            <w:tcW w:w="963" w:type="pct"/>
          </w:tcPr>
          <w:p w14:paraId="30EE871D" w14:textId="77777777" w:rsidR="00FF7799" w:rsidRPr="00E73F6F" w:rsidRDefault="00FF7799" w:rsidP="00F3090F">
            <w:pPr>
              <w:pStyle w:val="StandardText"/>
              <w:jc w:val="center"/>
              <w:rPr>
                <w:lang w:val="de-DE"/>
              </w:rPr>
            </w:pPr>
            <w:r w:rsidRPr="00E73F6F">
              <w:rPr>
                <w:lang w:val="de-DE"/>
              </w:rPr>
              <w:t>6</w:t>
            </w:r>
          </w:p>
        </w:tc>
      </w:tr>
      <w:tr w:rsidR="00FF7799" w:rsidRPr="00E73F6F" w14:paraId="759FD356" w14:textId="77777777" w:rsidTr="008E038E">
        <w:trPr>
          <w:trHeight w:val="239"/>
        </w:trPr>
        <w:tc>
          <w:tcPr>
            <w:tcW w:w="391" w:type="pct"/>
          </w:tcPr>
          <w:p w14:paraId="37FF087C" w14:textId="77777777" w:rsidR="00FF7799" w:rsidRPr="00E73F6F" w:rsidRDefault="00FF7799" w:rsidP="00F3090F">
            <w:pPr>
              <w:pStyle w:val="StandardText"/>
              <w:jc w:val="center"/>
              <w:rPr>
                <w:lang w:val="de-DE"/>
              </w:rPr>
            </w:pPr>
            <w:r w:rsidRPr="00E73F6F">
              <w:rPr>
                <w:spacing w:val="-5"/>
                <w:lang w:val="de-DE"/>
              </w:rPr>
              <w:lastRenderedPageBreak/>
              <w:t>105</w:t>
            </w:r>
          </w:p>
        </w:tc>
        <w:tc>
          <w:tcPr>
            <w:tcW w:w="1720" w:type="pct"/>
          </w:tcPr>
          <w:p w14:paraId="4DF5498C" w14:textId="77777777" w:rsidR="00FF7799" w:rsidRPr="00E73F6F" w:rsidRDefault="00FF7799" w:rsidP="00F3090F">
            <w:pPr>
              <w:pStyle w:val="StandardText"/>
              <w:jc w:val="left"/>
              <w:rPr>
                <w:lang w:val="de-DE"/>
              </w:rPr>
            </w:pPr>
            <w:r w:rsidRPr="00E73F6F">
              <w:rPr>
                <w:spacing w:val="-2"/>
                <w:lang w:val="de-DE"/>
              </w:rPr>
              <w:t>Bolivien</w:t>
            </w:r>
          </w:p>
        </w:tc>
        <w:tc>
          <w:tcPr>
            <w:tcW w:w="963" w:type="pct"/>
          </w:tcPr>
          <w:p w14:paraId="56136B28" w14:textId="77777777" w:rsidR="00FF7799" w:rsidRPr="00E73F6F" w:rsidRDefault="00FF7799" w:rsidP="00F3090F">
            <w:pPr>
              <w:pStyle w:val="StandardText"/>
              <w:jc w:val="center"/>
              <w:rPr>
                <w:lang w:val="de-DE"/>
              </w:rPr>
            </w:pPr>
            <w:r w:rsidRPr="00E73F6F">
              <w:rPr>
                <w:spacing w:val="-5"/>
                <w:lang w:val="de-DE"/>
              </w:rPr>
              <w:t>2.7</w:t>
            </w:r>
          </w:p>
        </w:tc>
        <w:tc>
          <w:tcPr>
            <w:tcW w:w="963" w:type="pct"/>
          </w:tcPr>
          <w:p w14:paraId="4202BB91" w14:textId="77777777" w:rsidR="00FF7799" w:rsidRPr="00E73F6F" w:rsidRDefault="00FF7799" w:rsidP="00F3090F">
            <w:pPr>
              <w:pStyle w:val="StandardText"/>
              <w:jc w:val="center"/>
              <w:rPr>
                <w:lang w:val="de-DE"/>
              </w:rPr>
            </w:pPr>
            <w:r w:rsidRPr="00E73F6F">
              <w:rPr>
                <w:lang w:val="de-DE"/>
              </w:rPr>
              <w:t>2.4 -</w:t>
            </w:r>
            <w:r w:rsidRPr="00E73F6F">
              <w:rPr>
                <w:spacing w:val="-3"/>
                <w:lang w:val="de-DE"/>
              </w:rPr>
              <w:t xml:space="preserve"> </w:t>
            </w:r>
            <w:r w:rsidRPr="00E73F6F">
              <w:rPr>
                <w:spacing w:val="-5"/>
                <w:lang w:val="de-DE"/>
              </w:rPr>
              <w:t>3.0</w:t>
            </w:r>
          </w:p>
        </w:tc>
        <w:tc>
          <w:tcPr>
            <w:tcW w:w="963" w:type="pct"/>
          </w:tcPr>
          <w:p w14:paraId="7DE281F0" w14:textId="77777777" w:rsidR="00FF7799" w:rsidRPr="00E73F6F" w:rsidRDefault="00FF7799" w:rsidP="00F3090F">
            <w:pPr>
              <w:pStyle w:val="StandardText"/>
              <w:jc w:val="center"/>
              <w:rPr>
                <w:lang w:val="de-DE"/>
              </w:rPr>
            </w:pPr>
            <w:r w:rsidRPr="00E73F6F">
              <w:rPr>
                <w:lang w:val="de-DE"/>
              </w:rPr>
              <w:t>6</w:t>
            </w:r>
          </w:p>
        </w:tc>
      </w:tr>
      <w:tr w:rsidR="00FF7799" w:rsidRPr="00E73F6F" w14:paraId="20DB7DFF" w14:textId="77777777" w:rsidTr="008E038E">
        <w:trPr>
          <w:trHeight w:val="244"/>
        </w:trPr>
        <w:tc>
          <w:tcPr>
            <w:tcW w:w="391" w:type="pct"/>
          </w:tcPr>
          <w:p w14:paraId="0F7B93E4" w14:textId="77777777" w:rsidR="00FF7799" w:rsidRPr="00E73F6F" w:rsidRDefault="00FF7799" w:rsidP="00F3090F">
            <w:pPr>
              <w:pStyle w:val="StandardText"/>
              <w:jc w:val="center"/>
              <w:rPr>
                <w:lang w:val="de-DE"/>
              </w:rPr>
            </w:pPr>
          </w:p>
        </w:tc>
        <w:tc>
          <w:tcPr>
            <w:tcW w:w="1720" w:type="pct"/>
          </w:tcPr>
          <w:p w14:paraId="12E538DE" w14:textId="77777777" w:rsidR="00FF7799" w:rsidRPr="00E73F6F" w:rsidRDefault="00FF7799" w:rsidP="00F3090F">
            <w:pPr>
              <w:pStyle w:val="StandardText"/>
              <w:jc w:val="left"/>
              <w:rPr>
                <w:lang w:val="de-DE"/>
              </w:rPr>
            </w:pPr>
            <w:r w:rsidRPr="00E73F6F">
              <w:rPr>
                <w:lang w:val="de-DE"/>
              </w:rPr>
              <w:t>Iran</w:t>
            </w:r>
          </w:p>
        </w:tc>
        <w:tc>
          <w:tcPr>
            <w:tcW w:w="963" w:type="pct"/>
          </w:tcPr>
          <w:p w14:paraId="7EC36879" w14:textId="77777777" w:rsidR="00FF7799" w:rsidRPr="00E73F6F" w:rsidRDefault="00FF7799" w:rsidP="00F3090F">
            <w:pPr>
              <w:pStyle w:val="StandardText"/>
              <w:jc w:val="center"/>
              <w:rPr>
                <w:lang w:val="de-DE"/>
              </w:rPr>
            </w:pPr>
            <w:r w:rsidRPr="00E73F6F">
              <w:rPr>
                <w:spacing w:val="-5"/>
                <w:lang w:val="de-DE"/>
              </w:rPr>
              <w:t>2.7</w:t>
            </w:r>
          </w:p>
        </w:tc>
        <w:tc>
          <w:tcPr>
            <w:tcW w:w="963" w:type="pct"/>
          </w:tcPr>
          <w:p w14:paraId="298BE345" w14:textId="77777777" w:rsidR="00FF7799" w:rsidRPr="00E73F6F" w:rsidRDefault="00FF7799" w:rsidP="00F3090F">
            <w:pPr>
              <w:pStyle w:val="StandardText"/>
              <w:jc w:val="center"/>
              <w:rPr>
                <w:lang w:val="de-DE"/>
              </w:rPr>
            </w:pPr>
            <w:r w:rsidRPr="00E73F6F">
              <w:rPr>
                <w:lang w:val="de-DE"/>
              </w:rPr>
              <w:t>2.3 -</w:t>
            </w:r>
            <w:r w:rsidRPr="00E73F6F">
              <w:rPr>
                <w:spacing w:val="-3"/>
                <w:lang w:val="de-DE"/>
              </w:rPr>
              <w:t xml:space="preserve"> </w:t>
            </w:r>
            <w:r w:rsidRPr="00E73F6F">
              <w:rPr>
                <w:spacing w:val="-5"/>
                <w:lang w:val="de-DE"/>
              </w:rPr>
              <w:t>3.1</w:t>
            </w:r>
          </w:p>
        </w:tc>
        <w:tc>
          <w:tcPr>
            <w:tcW w:w="963" w:type="pct"/>
          </w:tcPr>
          <w:p w14:paraId="769A8489" w14:textId="77777777" w:rsidR="00FF7799" w:rsidRPr="00E73F6F" w:rsidRDefault="00FF7799" w:rsidP="00F3090F">
            <w:pPr>
              <w:pStyle w:val="StandardText"/>
              <w:jc w:val="center"/>
              <w:rPr>
                <w:lang w:val="de-DE"/>
              </w:rPr>
            </w:pPr>
            <w:r w:rsidRPr="00E73F6F">
              <w:rPr>
                <w:lang w:val="de-DE"/>
              </w:rPr>
              <w:t>3</w:t>
            </w:r>
          </w:p>
        </w:tc>
      </w:tr>
      <w:tr w:rsidR="00FF7799" w:rsidRPr="00E73F6F" w14:paraId="1656548D" w14:textId="77777777" w:rsidTr="008E038E">
        <w:trPr>
          <w:trHeight w:val="244"/>
        </w:trPr>
        <w:tc>
          <w:tcPr>
            <w:tcW w:w="391" w:type="pct"/>
          </w:tcPr>
          <w:p w14:paraId="1F7D6DCA" w14:textId="77777777" w:rsidR="00FF7799" w:rsidRPr="00E73F6F" w:rsidRDefault="00FF7799" w:rsidP="00F3090F">
            <w:pPr>
              <w:pStyle w:val="StandardText"/>
              <w:jc w:val="center"/>
              <w:rPr>
                <w:lang w:val="de-DE"/>
              </w:rPr>
            </w:pPr>
          </w:p>
        </w:tc>
        <w:tc>
          <w:tcPr>
            <w:tcW w:w="1720" w:type="pct"/>
          </w:tcPr>
          <w:p w14:paraId="29E9A32B" w14:textId="77777777" w:rsidR="00FF7799" w:rsidRPr="00E73F6F" w:rsidRDefault="00FF7799" w:rsidP="00F3090F">
            <w:pPr>
              <w:pStyle w:val="StandardText"/>
              <w:jc w:val="left"/>
              <w:rPr>
                <w:lang w:val="de-DE"/>
              </w:rPr>
            </w:pPr>
            <w:r w:rsidRPr="00E73F6F">
              <w:rPr>
                <w:spacing w:val="-2"/>
                <w:lang w:val="de-DE"/>
              </w:rPr>
              <w:t>Libyen</w:t>
            </w:r>
          </w:p>
        </w:tc>
        <w:tc>
          <w:tcPr>
            <w:tcW w:w="963" w:type="pct"/>
          </w:tcPr>
          <w:p w14:paraId="032578B9" w14:textId="77777777" w:rsidR="00FF7799" w:rsidRPr="00E73F6F" w:rsidRDefault="00FF7799" w:rsidP="00F3090F">
            <w:pPr>
              <w:pStyle w:val="StandardText"/>
              <w:jc w:val="center"/>
              <w:rPr>
                <w:lang w:val="de-DE"/>
              </w:rPr>
            </w:pPr>
            <w:r w:rsidRPr="00E73F6F">
              <w:rPr>
                <w:spacing w:val="-5"/>
                <w:lang w:val="de-DE"/>
              </w:rPr>
              <w:t>2.7</w:t>
            </w:r>
          </w:p>
        </w:tc>
        <w:tc>
          <w:tcPr>
            <w:tcW w:w="963" w:type="pct"/>
          </w:tcPr>
          <w:p w14:paraId="4F950B5A" w14:textId="77777777" w:rsidR="00FF7799" w:rsidRPr="00E73F6F" w:rsidRDefault="00FF7799" w:rsidP="00F3090F">
            <w:pPr>
              <w:pStyle w:val="StandardText"/>
              <w:jc w:val="center"/>
              <w:rPr>
                <w:lang w:val="de-DE"/>
              </w:rPr>
            </w:pPr>
            <w:r w:rsidRPr="00E73F6F">
              <w:rPr>
                <w:lang w:val="de-DE"/>
              </w:rPr>
              <w:t>2.4 -</w:t>
            </w:r>
            <w:r w:rsidRPr="00E73F6F">
              <w:rPr>
                <w:spacing w:val="-3"/>
                <w:lang w:val="de-DE"/>
              </w:rPr>
              <w:t xml:space="preserve"> </w:t>
            </w:r>
            <w:r w:rsidRPr="00E73F6F">
              <w:rPr>
                <w:spacing w:val="-5"/>
                <w:lang w:val="de-DE"/>
              </w:rPr>
              <w:t>3.2</w:t>
            </w:r>
          </w:p>
        </w:tc>
        <w:tc>
          <w:tcPr>
            <w:tcW w:w="963" w:type="pct"/>
          </w:tcPr>
          <w:p w14:paraId="23E153BE" w14:textId="77777777" w:rsidR="00FF7799" w:rsidRPr="00E73F6F" w:rsidRDefault="00FF7799" w:rsidP="00F3090F">
            <w:pPr>
              <w:pStyle w:val="StandardText"/>
              <w:jc w:val="center"/>
              <w:rPr>
                <w:lang w:val="de-DE"/>
              </w:rPr>
            </w:pPr>
            <w:r w:rsidRPr="00E73F6F">
              <w:rPr>
                <w:lang w:val="de-DE"/>
              </w:rPr>
              <w:t>3</w:t>
            </w:r>
          </w:p>
        </w:tc>
      </w:tr>
      <w:tr w:rsidR="00FF7799" w:rsidRPr="00E73F6F" w14:paraId="774885B0" w14:textId="77777777" w:rsidTr="008E038E">
        <w:trPr>
          <w:trHeight w:val="239"/>
        </w:trPr>
        <w:tc>
          <w:tcPr>
            <w:tcW w:w="391" w:type="pct"/>
          </w:tcPr>
          <w:p w14:paraId="08F6655D" w14:textId="77777777" w:rsidR="00FF7799" w:rsidRPr="00E73F6F" w:rsidRDefault="00FF7799" w:rsidP="00F3090F">
            <w:pPr>
              <w:pStyle w:val="StandardText"/>
              <w:jc w:val="center"/>
              <w:rPr>
                <w:lang w:val="de-DE"/>
              </w:rPr>
            </w:pPr>
          </w:p>
        </w:tc>
        <w:tc>
          <w:tcPr>
            <w:tcW w:w="1720" w:type="pct"/>
          </w:tcPr>
          <w:p w14:paraId="6F9B66D7" w14:textId="77777777" w:rsidR="00FF7799" w:rsidRPr="00E73F6F" w:rsidRDefault="00FF7799" w:rsidP="00F3090F">
            <w:pPr>
              <w:pStyle w:val="StandardText"/>
              <w:jc w:val="left"/>
              <w:rPr>
                <w:lang w:val="de-DE"/>
              </w:rPr>
            </w:pPr>
            <w:r w:rsidRPr="00E73F6F">
              <w:rPr>
                <w:spacing w:val="-2"/>
                <w:lang w:val="de-DE"/>
              </w:rPr>
              <w:t>Mazedonien</w:t>
            </w:r>
          </w:p>
        </w:tc>
        <w:tc>
          <w:tcPr>
            <w:tcW w:w="963" w:type="pct"/>
          </w:tcPr>
          <w:p w14:paraId="37C53FF1" w14:textId="77777777" w:rsidR="00FF7799" w:rsidRPr="00E73F6F" w:rsidRDefault="00FF7799" w:rsidP="00F3090F">
            <w:pPr>
              <w:pStyle w:val="StandardText"/>
              <w:jc w:val="center"/>
              <w:rPr>
                <w:lang w:val="de-DE"/>
              </w:rPr>
            </w:pPr>
            <w:r w:rsidRPr="00E73F6F">
              <w:rPr>
                <w:spacing w:val="-5"/>
                <w:lang w:val="de-DE"/>
              </w:rPr>
              <w:t>2.7</w:t>
            </w:r>
          </w:p>
        </w:tc>
        <w:tc>
          <w:tcPr>
            <w:tcW w:w="963" w:type="pct"/>
          </w:tcPr>
          <w:p w14:paraId="2532C184" w14:textId="77777777" w:rsidR="00FF7799" w:rsidRPr="00E73F6F" w:rsidRDefault="00FF7799" w:rsidP="00F3090F">
            <w:pPr>
              <w:pStyle w:val="StandardText"/>
              <w:jc w:val="center"/>
              <w:rPr>
                <w:lang w:val="de-DE"/>
              </w:rPr>
            </w:pPr>
            <w:r w:rsidRPr="00E73F6F">
              <w:rPr>
                <w:lang w:val="de-DE"/>
              </w:rPr>
              <w:t>2.6 -</w:t>
            </w:r>
            <w:r w:rsidRPr="00E73F6F">
              <w:rPr>
                <w:spacing w:val="-3"/>
                <w:lang w:val="de-DE"/>
              </w:rPr>
              <w:t xml:space="preserve"> </w:t>
            </w:r>
            <w:r w:rsidRPr="00E73F6F">
              <w:rPr>
                <w:spacing w:val="-5"/>
                <w:lang w:val="de-DE"/>
              </w:rPr>
              <w:t>2.9</w:t>
            </w:r>
          </w:p>
        </w:tc>
        <w:tc>
          <w:tcPr>
            <w:tcW w:w="963" w:type="pct"/>
          </w:tcPr>
          <w:p w14:paraId="2736AAF0" w14:textId="77777777" w:rsidR="00FF7799" w:rsidRPr="00E73F6F" w:rsidRDefault="00FF7799" w:rsidP="00F3090F">
            <w:pPr>
              <w:pStyle w:val="StandardText"/>
              <w:jc w:val="center"/>
              <w:rPr>
                <w:lang w:val="de-DE"/>
              </w:rPr>
            </w:pPr>
            <w:r w:rsidRPr="00E73F6F">
              <w:rPr>
                <w:lang w:val="de-DE"/>
              </w:rPr>
              <w:t>6</w:t>
            </w:r>
          </w:p>
        </w:tc>
      </w:tr>
      <w:tr w:rsidR="00FF7799" w:rsidRPr="00E73F6F" w14:paraId="2B947870" w14:textId="77777777" w:rsidTr="008E038E">
        <w:trPr>
          <w:trHeight w:val="244"/>
        </w:trPr>
        <w:tc>
          <w:tcPr>
            <w:tcW w:w="391" w:type="pct"/>
          </w:tcPr>
          <w:p w14:paraId="343D9C3C" w14:textId="77777777" w:rsidR="00FF7799" w:rsidRPr="00E73F6F" w:rsidRDefault="00FF7799" w:rsidP="00F3090F">
            <w:pPr>
              <w:pStyle w:val="StandardText"/>
              <w:jc w:val="center"/>
              <w:rPr>
                <w:lang w:val="de-DE"/>
              </w:rPr>
            </w:pPr>
          </w:p>
        </w:tc>
        <w:tc>
          <w:tcPr>
            <w:tcW w:w="1720" w:type="pct"/>
          </w:tcPr>
          <w:p w14:paraId="3A9F87D5" w14:textId="77777777" w:rsidR="00FF7799" w:rsidRPr="00E73F6F" w:rsidRDefault="00FF7799" w:rsidP="00F3090F">
            <w:pPr>
              <w:pStyle w:val="StandardText"/>
              <w:jc w:val="left"/>
              <w:rPr>
                <w:lang w:val="de-DE"/>
              </w:rPr>
            </w:pPr>
            <w:r w:rsidRPr="00E73F6F">
              <w:rPr>
                <w:spacing w:val="-2"/>
                <w:lang w:val="de-DE"/>
              </w:rPr>
              <w:t>Malawi</w:t>
            </w:r>
          </w:p>
        </w:tc>
        <w:tc>
          <w:tcPr>
            <w:tcW w:w="963" w:type="pct"/>
          </w:tcPr>
          <w:p w14:paraId="152ACEA6" w14:textId="77777777" w:rsidR="00FF7799" w:rsidRPr="00E73F6F" w:rsidRDefault="00FF7799" w:rsidP="00F3090F">
            <w:pPr>
              <w:pStyle w:val="StandardText"/>
              <w:jc w:val="center"/>
              <w:rPr>
                <w:lang w:val="de-DE"/>
              </w:rPr>
            </w:pPr>
            <w:r w:rsidRPr="00E73F6F">
              <w:rPr>
                <w:spacing w:val="-5"/>
                <w:lang w:val="de-DE"/>
              </w:rPr>
              <w:t>2.7</w:t>
            </w:r>
          </w:p>
        </w:tc>
        <w:tc>
          <w:tcPr>
            <w:tcW w:w="963" w:type="pct"/>
          </w:tcPr>
          <w:p w14:paraId="264668BC" w14:textId="77777777" w:rsidR="00FF7799" w:rsidRPr="00E73F6F" w:rsidRDefault="00FF7799" w:rsidP="00F3090F">
            <w:pPr>
              <w:pStyle w:val="StandardText"/>
              <w:jc w:val="center"/>
              <w:rPr>
                <w:lang w:val="de-DE"/>
              </w:rPr>
            </w:pPr>
            <w:r w:rsidRPr="00E73F6F">
              <w:rPr>
                <w:lang w:val="de-DE"/>
              </w:rPr>
              <w:t>2.5 -</w:t>
            </w:r>
            <w:r w:rsidRPr="00E73F6F">
              <w:rPr>
                <w:spacing w:val="-3"/>
                <w:lang w:val="de-DE"/>
              </w:rPr>
              <w:t xml:space="preserve"> </w:t>
            </w:r>
            <w:r w:rsidRPr="00E73F6F">
              <w:rPr>
                <w:spacing w:val="-5"/>
                <w:lang w:val="de-DE"/>
              </w:rPr>
              <w:t>3.0</w:t>
            </w:r>
          </w:p>
        </w:tc>
        <w:tc>
          <w:tcPr>
            <w:tcW w:w="963" w:type="pct"/>
          </w:tcPr>
          <w:p w14:paraId="762CB123" w14:textId="77777777" w:rsidR="00FF7799" w:rsidRPr="00E73F6F" w:rsidRDefault="00FF7799" w:rsidP="00F3090F">
            <w:pPr>
              <w:pStyle w:val="StandardText"/>
              <w:jc w:val="center"/>
              <w:rPr>
                <w:lang w:val="de-DE"/>
              </w:rPr>
            </w:pPr>
            <w:r w:rsidRPr="00E73F6F">
              <w:rPr>
                <w:lang w:val="de-DE"/>
              </w:rPr>
              <w:t>7</w:t>
            </w:r>
          </w:p>
        </w:tc>
      </w:tr>
      <w:tr w:rsidR="00FF7799" w:rsidRPr="00E73F6F" w14:paraId="62065D59" w14:textId="77777777" w:rsidTr="008E038E">
        <w:trPr>
          <w:trHeight w:val="239"/>
        </w:trPr>
        <w:tc>
          <w:tcPr>
            <w:tcW w:w="391" w:type="pct"/>
          </w:tcPr>
          <w:p w14:paraId="79DD29BD" w14:textId="77777777" w:rsidR="00FF7799" w:rsidRPr="00E73F6F" w:rsidRDefault="00FF7799" w:rsidP="00F3090F">
            <w:pPr>
              <w:pStyle w:val="StandardText"/>
              <w:jc w:val="center"/>
              <w:rPr>
                <w:lang w:val="de-DE"/>
              </w:rPr>
            </w:pPr>
          </w:p>
        </w:tc>
        <w:tc>
          <w:tcPr>
            <w:tcW w:w="1720" w:type="pct"/>
          </w:tcPr>
          <w:p w14:paraId="34973BAF" w14:textId="77777777" w:rsidR="00FF7799" w:rsidRPr="00E73F6F" w:rsidRDefault="00FF7799" w:rsidP="00F3090F">
            <w:pPr>
              <w:pStyle w:val="StandardText"/>
              <w:jc w:val="left"/>
              <w:rPr>
                <w:lang w:val="de-DE"/>
              </w:rPr>
            </w:pPr>
            <w:r w:rsidRPr="00E73F6F">
              <w:rPr>
                <w:spacing w:val="-2"/>
                <w:lang w:val="de-DE"/>
              </w:rPr>
              <w:t>Uganda</w:t>
            </w:r>
          </w:p>
        </w:tc>
        <w:tc>
          <w:tcPr>
            <w:tcW w:w="963" w:type="pct"/>
          </w:tcPr>
          <w:p w14:paraId="28D98483" w14:textId="77777777" w:rsidR="00FF7799" w:rsidRPr="00E73F6F" w:rsidRDefault="00FF7799" w:rsidP="00F3090F">
            <w:pPr>
              <w:pStyle w:val="StandardText"/>
              <w:jc w:val="center"/>
              <w:rPr>
                <w:lang w:val="de-DE"/>
              </w:rPr>
            </w:pPr>
            <w:r w:rsidRPr="00E73F6F">
              <w:rPr>
                <w:spacing w:val="-5"/>
                <w:lang w:val="de-DE"/>
              </w:rPr>
              <w:t>2.7</w:t>
            </w:r>
          </w:p>
        </w:tc>
        <w:tc>
          <w:tcPr>
            <w:tcW w:w="963" w:type="pct"/>
          </w:tcPr>
          <w:p w14:paraId="3BBD6A8F" w14:textId="77777777" w:rsidR="00FF7799" w:rsidRPr="00E73F6F" w:rsidRDefault="00FF7799" w:rsidP="00F3090F">
            <w:pPr>
              <w:pStyle w:val="StandardText"/>
              <w:jc w:val="center"/>
              <w:rPr>
                <w:lang w:val="de-DE"/>
              </w:rPr>
            </w:pPr>
            <w:r w:rsidRPr="00E73F6F">
              <w:rPr>
                <w:lang w:val="de-DE"/>
              </w:rPr>
              <w:t>2.4 -</w:t>
            </w:r>
            <w:r w:rsidRPr="00E73F6F">
              <w:rPr>
                <w:spacing w:val="-3"/>
                <w:lang w:val="de-DE"/>
              </w:rPr>
              <w:t xml:space="preserve"> </w:t>
            </w:r>
            <w:r w:rsidRPr="00E73F6F">
              <w:rPr>
                <w:spacing w:val="-5"/>
                <w:lang w:val="de-DE"/>
              </w:rPr>
              <w:t>3.0</w:t>
            </w:r>
          </w:p>
        </w:tc>
        <w:tc>
          <w:tcPr>
            <w:tcW w:w="963" w:type="pct"/>
          </w:tcPr>
          <w:p w14:paraId="6CADC909" w14:textId="77777777" w:rsidR="00FF7799" w:rsidRPr="00E73F6F" w:rsidRDefault="00FF7799" w:rsidP="00F3090F">
            <w:pPr>
              <w:pStyle w:val="StandardText"/>
              <w:jc w:val="center"/>
              <w:rPr>
                <w:lang w:val="de-DE"/>
              </w:rPr>
            </w:pPr>
            <w:r w:rsidRPr="00E73F6F">
              <w:rPr>
                <w:lang w:val="de-DE"/>
              </w:rPr>
              <w:t>7</w:t>
            </w:r>
          </w:p>
        </w:tc>
      </w:tr>
      <w:tr w:rsidR="00FF7799" w:rsidRPr="00E73F6F" w14:paraId="35DA4FBF" w14:textId="77777777" w:rsidTr="008E038E">
        <w:trPr>
          <w:trHeight w:val="244"/>
        </w:trPr>
        <w:tc>
          <w:tcPr>
            <w:tcW w:w="391" w:type="pct"/>
          </w:tcPr>
          <w:p w14:paraId="2937FB92" w14:textId="77777777" w:rsidR="00FF7799" w:rsidRPr="00E73F6F" w:rsidRDefault="00FF7799" w:rsidP="00F3090F">
            <w:pPr>
              <w:pStyle w:val="StandardText"/>
              <w:jc w:val="center"/>
              <w:rPr>
                <w:lang w:val="de-DE"/>
              </w:rPr>
            </w:pPr>
            <w:r w:rsidRPr="00E73F6F">
              <w:rPr>
                <w:spacing w:val="-5"/>
                <w:lang w:val="de-DE"/>
              </w:rPr>
              <w:t>111</w:t>
            </w:r>
          </w:p>
        </w:tc>
        <w:tc>
          <w:tcPr>
            <w:tcW w:w="1720" w:type="pct"/>
          </w:tcPr>
          <w:p w14:paraId="63BADA84" w14:textId="77777777" w:rsidR="00FF7799" w:rsidRPr="00E73F6F" w:rsidRDefault="00FF7799" w:rsidP="00F3090F">
            <w:pPr>
              <w:pStyle w:val="StandardText"/>
              <w:jc w:val="left"/>
              <w:rPr>
                <w:lang w:val="de-DE"/>
              </w:rPr>
            </w:pPr>
            <w:r w:rsidRPr="00E73F6F">
              <w:rPr>
                <w:spacing w:val="-2"/>
                <w:lang w:val="de-DE"/>
              </w:rPr>
              <w:t>Albanien</w:t>
            </w:r>
          </w:p>
        </w:tc>
        <w:tc>
          <w:tcPr>
            <w:tcW w:w="963" w:type="pct"/>
          </w:tcPr>
          <w:p w14:paraId="125DE8ED" w14:textId="77777777" w:rsidR="00FF7799" w:rsidRPr="00E73F6F" w:rsidRDefault="00FF7799" w:rsidP="00F3090F">
            <w:pPr>
              <w:pStyle w:val="StandardText"/>
              <w:jc w:val="center"/>
              <w:rPr>
                <w:lang w:val="de-DE"/>
              </w:rPr>
            </w:pPr>
            <w:r w:rsidRPr="00E73F6F">
              <w:rPr>
                <w:spacing w:val="-5"/>
                <w:lang w:val="de-DE"/>
              </w:rPr>
              <w:t>2.6</w:t>
            </w:r>
          </w:p>
        </w:tc>
        <w:tc>
          <w:tcPr>
            <w:tcW w:w="963" w:type="pct"/>
          </w:tcPr>
          <w:p w14:paraId="37BD7FF3" w14:textId="77777777" w:rsidR="00FF7799" w:rsidRPr="00E73F6F" w:rsidRDefault="00FF7799" w:rsidP="00F3090F">
            <w:pPr>
              <w:pStyle w:val="StandardText"/>
              <w:jc w:val="center"/>
              <w:rPr>
                <w:lang w:val="de-DE"/>
              </w:rPr>
            </w:pPr>
            <w:r w:rsidRPr="00E73F6F">
              <w:rPr>
                <w:lang w:val="de-DE"/>
              </w:rPr>
              <w:t>2.4 -</w:t>
            </w:r>
            <w:r w:rsidRPr="00E73F6F">
              <w:rPr>
                <w:spacing w:val="-3"/>
                <w:lang w:val="de-DE"/>
              </w:rPr>
              <w:t xml:space="preserve"> </w:t>
            </w:r>
            <w:r w:rsidRPr="00E73F6F">
              <w:rPr>
                <w:spacing w:val="-5"/>
                <w:lang w:val="de-DE"/>
              </w:rPr>
              <w:t>2.7</w:t>
            </w:r>
          </w:p>
        </w:tc>
        <w:tc>
          <w:tcPr>
            <w:tcW w:w="963" w:type="pct"/>
          </w:tcPr>
          <w:p w14:paraId="7BE25B6D" w14:textId="77777777" w:rsidR="00FF7799" w:rsidRPr="00E73F6F" w:rsidRDefault="00FF7799" w:rsidP="00F3090F">
            <w:pPr>
              <w:pStyle w:val="StandardText"/>
              <w:jc w:val="center"/>
              <w:rPr>
                <w:lang w:val="de-DE"/>
              </w:rPr>
            </w:pPr>
            <w:r w:rsidRPr="00E73F6F">
              <w:rPr>
                <w:lang w:val="de-DE"/>
              </w:rPr>
              <w:t>5</w:t>
            </w:r>
          </w:p>
        </w:tc>
      </w:tr>
      <w:tr w:rsidR="00FF7799" w:rsidRPr="00E73F6F" w14:paraId="11940AC1" w14:textId="77777777" w:rsidTr="008E038E">
        <w:trPr>
          <w:trHeight w:val="239"/>
        </w:trPr>
        <w:tc>
          <w:tcPr>
            <w:tcW w:w="391" w:type="pct"/>
          </w:tcPr>
          <w:p w14:paraId="133222A3" w14:textId="77777777" w:rsidR="00FF7799" w:rsidRPr="00E73F6F" w:rsidRDefault="00FF7799" w:rsidP="00F3090F">
            <w:pPr>
              <w:pStyle w:val="StandardText"/>
              <w:jc w:val="center"/>
              <w:rPr>
                <w:lang w:val="de-DE"/>
              </w:rPr>
            </w:pPr>
          </w:p>
        </w:tc>
        <w:tc>
          <w:tcPr>
            <w:tcW w:w="1720" w:type="pct"/>
          </w:tcPr>
          <w:p w14:paraId="05678F4D" w14:textId="77777777" w:rsidR="00FF7799" w:rsidRPr="00E73F6F" w:rsidRDefault="00FF7799" w:rsidP="00F3090F">
            <w:pPr>
              <w:pStyle w:val="StandardText"/>
              <w:jc w:val="left"/>
              <w:rPr>
                <w:lang w:val="de-DE"/>
              </w:rPr>
            </w:pPr>
            <w:r w:rsidRPr="00E73F6F">
              <w:rPr>
                <w:spacing w:val="-2"/>
                <w:lang w:val="de-DE"/>
              </w:rPr>
              <w:t>Guatemala</w:t>
            </w:r>
          </w:p>
        </w:tc>
        <w:tc>
          <w:tcPr>
            <w:tcW w:w="963" w:type="pct"/>
          </w:tcPr>
          <w:p w14:paraId="70F12668" w14:textId="77777777" w:rsidR="00FF7799" w:rsidRPr="00E73F6F" w:rsidRDefault="00FF7799" w:rsidP="00F3090F">
            <w:pPr>
              <w:pStyle w:val="StandardText"/>
              <w:jc w:val="center"/>
              <w:rPr>
                <w:lang w:val="de-DE"/>
              </w:rPr>
            </w:pPr>
            <w:r w:rsidRPr="00E73F6F">
              <w:rPr>
                <w:spacing w:val="-5"/>
                <w:lang w:val="de-DE"/>
              </w:rPr>
              <w:t>2.6</w:t>
            </w:r>
          </w:p>
        </w:tc>
        <w:tc>
          <w:tcPr>
            <w:tcW w:w="963" w:type="pct"/>
          </w:tcPr>
          <w:p w14:paraId="6E5B4EC7" w14:textId="77777777" w:rsidR="00FF7799" w:rsidRPr="00E73F6F" w:rsidRDefault="00FF7799" w:rsidP="00F3090F">
            <w:pPr>
              <w:pStyle w:val="StandardText"/>
              <w:jc w:val="center"/>
              <w:rPr>
                <w:lang w:val="de-DE"/>
              </w:rPr>
            </w:pPr>
            <w:r w:rsidRPr="00E73F6F">
              <w:rPr>
                <w:lang w:val="de-DE"/>
              </w:rPr>
              <w:t>2.3 -</w:t>
            </w:r>
            <w:r w:rsidRPr="00E73F6F">
              <w:rPr>
                <w:spacing w:val="-3"/>
                <w:lang w:val="de-DE"/>
              </w:rPr>
              <w:t xml:space="preserve"> </w:t>
            </w:r>
            <w:r w:rsidRPr="00E73F6F">
              <w:rPr>
                <w:spacing w:val="-5"/>
                <w:lang w:val="de-DE"/>
              </w:rPr>
              <w:t>3.0</w:t>
            </w:r>
          </w:p>
        </w:tc>
        <w:tc>
          <w:tcPr>
            <w:tcW w:w="963" w:type="pct"/>
          </w:tcPr>
          <w:p w14:paraId="3FEA10D1" w14:textId="77777777" w:rsidR="00FF7799" w:rsidRPr="00E73F6F" w:rsidRDefault="00FF7799" w:rsidP="00F3090F">
            <w:pPr>
              <w:pStyle w:val="StandardText"/>
              <w:jc w:val="center"/>
              <w:rPr>
                <w:lang w:val="de-DE"/>
              </w:rPr>
            </w:pPr>
            <w:r w:rsidRPr="00E73F6F">
              <w:rPr>
                <w:lang w:val="de-DE"/>
              </w:rPr>
              <w:t>5</w:t>
            </w:r>
          </w:p>
        </w:tc>
      </w:tr>
      <w:tr w:rsidR="00FF7799" w:rsidRPr="00E73F6F" w14:paraId="482C4D8E" w14:textId="77777777" w:rsidTr="008E038E">
        <w:trPr>
          <w:trHeight w:val="241"/>
        </w:trPr>
        <w:tc>
          <w:tcPr>
            <w:tcW w:w="391" w:type="pct"/>
          </w:tcPr>
          <w:p w14:paraId="776D4602" w14:textId="77777777" w:rsidR="00FF7799" w:rsidRPr="00E73F6F" w:rsidRDefault="00FF7799" w:rsidP="00F3090F">
            <w:pPr>
              <w:pStyle w:val="StandardText"/>
              <w:jc w:val="center"/>
              <w:rPr>
                <w:lang w:val="de-DE"/>
              </w:rPr>
            </w:pPr>
          </w:p>
        </w:tc>
        <w:tc>
          <w:tcPr>
            <w:tcW w:w="1720" w:type="pct"/>
          </w:tcPr>
          <w:p w14:paraId="3623A7E6" w14:textId="77777777" w:rsidR="00FF7799" w:rsidRPr="00E73F6F" w:rsidRDefault="00FF7799" w:rsidP="00F3090F">
            <w:pPr>
              <w:pStyle w:val="StandardText"/>
              <w:jc w:val="left"/>
              <w:rPr>
                <w:lang w:val="de-DE"/>
              </w:rPr>
            </w:pPr>
            <w:r w:rsidRPr="00E73F6F">
              <w:rPr>
                <w:spacing w:val="-2"/>
                <w:lang w:val="de-DE"/>
              </w:rPr>
              <w:t>Kasachstan</w:t>
            </w:r>
          </w:p>
        </w:tc>
        <w:tc>
          <w:tcPr>
            <w:tcW w:w="963" w:type="pct"/>
          </w:tcPr>
          <w:p w14:paraId="10ECEF0F" w14:textId="77777777" w:rsidR="00FF7799" w:rsidRPr="00E73F6F" w:rsidRDefault="00FF7799" w:rsidP="00F3090F">
            <w:pPr>
              <w:pStyle w:val="StandardText"/>
              <w:jc w:val="center"/>
              <w:rPr>
                <w:lang w:val="de-DE"/>
              </w:rPr>
            </w:pPr>
            <w:r w:rsidRPr="00E73F6F">
              <w:rPr>
                <w:spacing w:val="-5"/>
                <w:lang w:val="de-DE"/>
              </w:rPr>
              <w:t>2.6</w:t>
            </w:r>
          </w:p>
        </w:tc>
        <w:tc>
          <w:tcPr>
            <w:tcW w:w="963" w:type="pct"/>
          </w:tcPr>
          <w:p w14:paraId="6C9BD761" w14:textId="77777777" w:rsidR="00FF7799" w:rsidRPr="00E73F6F" w:rsidRDefault="00FF7799" w:rsidP="00F3090F">
            <w:pPr>
              <w:pStyle w:val="StandardText"/>
              <w:jc w:val="center"/>
              <w:rPr>
                <w:lang w:val="de-DE"/>
              </w:rPr>
            </w:pPr>
            <w:r w:rsidRPr="00E73F6F">
              <w:rPr>
                <w:lang w:val="de-DE"/>
              </w:rPr>
              <w:t>2.3 -</w:t>
            </w:r>
            <w:r w:rsidRPr="00E73F6F">
              <w:rPr>
                <w:spacing w:val="-3"/>
                <w:lang w:val="de-DE"/>
              </w:rPr>
              <w:t xml:space="preserve"> </w:t>
            </w:r>
            <w:r w:rsidRPr="00E73F6F">
              <w:rPr>
                <w:spacing w:val="-5"/>
                <w:lang w:val="de-DE"/>
              </w:rPr>
              <w:t>2.8</w:t>
            </w:r>
          </w:p>
        </w:tc>
        <w:tc>
          <w:tcPr>
            <w:tcW w:w="963" w:type="pct"/>
          </w:tcPr>
          <w:p w14:paraId="31A2A8A3" w14:textId="77777777" w:rsidR="00FF7799" w:rsidRPr="00E73F6F" w:rsidRDefault="00FF7799" w:rsidP="00F3090F">
            <w:pPr>
              <w:pStyle w:val="StandardText"/>
              <w:jc w:val="center"/>
              <w:rPr>
                <w:lang w:val="de-DE"/>
              </w:rPr>
            </w:pPr>
            <w:r w:rsidRPr="00E73F6F">
              <w:rPr>
                <w:lang w:val="de-DE"/>
              </w:rPr>
              <w:t>6</w:t>
            </w:r>
          </w:p>
        </w:tc>
      </w:tr>
      <w:tr w:rsidR="00FF7799" w:rsidRPr="00E73F6F" w14:paraId="550BFD65" w14:textId="77777777" w:rsidTr="008E038E">
        <w:trPr>
          <w:trHeight w:val="242"/>
        </w:trPr>
        <w:tc>
          <w:tcPr>
            <w:tcW w:w="391" w:type="pct"/>
          </w:tcPr>
          <w:p w14:paraId="66A82058" w14:textId="77777777" w:rsidR="00FF7799" w:rsidRPr="00E73F6F" w:rsidRDefault="00FF7799" w:rsidP="00F3090F">
            <w:pPr>
              <w:pStyle w:val="StandardText"/>
              <w:jc w:val="center"/>
              <w:rPr>
                <w:lang w:val="de-DE"/>
              </w:rPr>
            </w:pPr>
          </w:p>
        </w:tc>
        <w:tc>
          <w:tcPr>
            <w:tcW w:w="1720" w:type="pct"/>
          </w:tcPr>
          <w:p w14:paraId="5AEDAF0D" w14:textId="77777777" w:rsidR="00FF7799" w:rsidRPr="00E73F6F" w:rsidRDefault="00FF7799" w:rsidP="00F3090F">
            <w:pPr>
              <w:pStyle w:val="StandardText"/>
              <w:jc w:val="left"/>
              <w:rPr>
                <w:lang w:val="de-DE"/>
              </w:rPr>
            </w:pPr>
            <w:r w:rsidRPr="00E73F6F">
              <w:rPr>
                <w:lang w:val="de-DE"/>
              </w:rPr>
              <w:t>Laos</w:t>
            </w:r>
          </w:p>
        </w:tc>
        <w:tc>
          <w:tcPr>
            <w:tcW w:w="963" w:type="pct"/>
          </w:tcPr>
          <w:p w14:paraId="6B6172D1" w14:textId="77777777" w:rsidR="00FF7799" w:rsidRPr="00E73F6F" w:rsidRDefault="00FF7799" w:rsidP="00F3090F">
            <w:pPr>
              <w:pStyle w:val="StandardText"/>
              <w:jc w:val="center"/>
              <w:rPr>
                <w:lang w:val="de-DE"/>
              </w:rPr>
            </w:pPr>
            <w:r w:rsidRPr="00E73F6F">
              <w:rPr>
                <w:spacing w:val="-5"/>
                <w:lang w:val="de-DE"/>
              </w:rPr>
              <w:t>2.6</w:t>
            </w:r>
          </w:p>
        </w:tc>
        <w:tc>
          <w:tcPr>
            <w:tcW w:w="963" w:type="pct"/>
          </w:tcPr>
          <w:p w14:paraId="147EA7C0" w14:textId="77777777" w:rsidR="00FF7799" w:rsidRPr="00E73F6F" w:rsidRDefault="00FF7799" w:rsidP="00F3090F">
            <w:pPr>
              <w:pStyle w:val="StandardText"/>
              <w:jc w:val="center"/>
              <w:rPr>
                <w:lang w:val="de-DE"/>
              </w:rPr>
            </w:pPr>
            <w:r w:rsidRPr="00E73F6F">
              <w:rPr>
                <w:lang w:val="de-DE"/>
              </w:rPr>
              <w:t>2.0 -</w:t>
            </w:r>
            <w:r w:rsidRPr="00E73F6F">
              <w:rPr>
                <w:spacing w:val="-3"/>
                <w:lang w:val="de-DE"/>
              </w:rPr>
              <w:t xml:space="preserve"> </w:t>
            </w:r>
            <w:r w:rsidRPr="00E73F6F">
              <w:rPr>
                <w:spacing w:val="-5"/>
                <w:lang w:val="de-DE"/>
              </w:rPr>
              <w:t>3.1</w:t>
            </w:r>
          </w:p>
        </w:tc>
        <w:tc>
          <w:tcPr>
            <w:tcW w:w="963" w:type="pct"/>
          </w:tcPr>
          <w:p w14:paraId="59F632E9" w14:textId="77777777" w:rsidR="00FF7799" w:rsidRPr="00E73F6F" w:rsidRDefault="00FF7799" w:rsidP="00F3090F">
            <w:pPr>
              <w:pStyle w:val="StandardText"/>
              <w:jc w:val="center"/>
              <w:rPr>
                <w:lang w:val="de-DE"/>
              </w:rPr>
            </w:pPr>
            <w:r w:rsidRPr="00E73F6F">
              <w:rPr>
                <w:lang w:val="de-DE"/>
              </w:rPr>
              <w:t>4</w:t>
            </w:r>
          </w:p>
        </w:tc>
      </w:tr>
      <w:tr w:rsidR="00FF7799" w:rsidRPr="00E73F6F" w14:paraId="7D95DAFB" w14:textId="77777777" w:rsidTr="008E038E">
        <w:trPr>
          <w:trHeight w:val="241"/>
        </w:trPr>
        <w:tc>
          <w:tcPr>
            <w:tcW w:w="391" w:type="pct"/>
          </w:tcPr>
          <w:p w14:paraId="4804E2FC" w14:textId="77777777" w:rsidR="00FF7799" w:rsidRPr="00E73F6F" w:rsidRDefault="00FF7799" w:rsidP="00F3090F">
            <w:pPr>
              <w:pStyle w:val="StandardText"/>
              <w:jc w:val="center"/>
              <w:rPr>
                <w:lang w:val="de-DE"/>
              </w:rPr>
            </w:pPr>
          </w:p>
        </w:tc>
        <w:tc>
          <w:tcPr>
            <w:tcW w:w="1720" w:type="pct"/>
          </w:tcPr>
          <w:p w14:paraId="7E84A879" w14:textId="77777777" w:rsidR="00FF7799" w:rsidRPr="00E73F6F" w:rsidRDefault="00FF7799" w:rsidP="00F3090F">
            <w:pPr>
              <w:pStyle w:val="StandardText"/>
              <w:jc w:val="left"/>
              <w:rPr>
                <w:lang w:val="de-DE"/>
              </w:rPr>
            </w:pPr>
            <w:r w:rsidRPr="00E73F6F">
              <w:rPr>
                <w:spacing w:val="-2"/>
                <w:lang w:val="de-DE"/>
              </w:rPr>
              <w:t>Nicaragua</w:t>
            </w:r>
          </w:p>
        </w:tc>
        <w:tc>
          <w:tcPr>
            <w:tcW w:w="963" w:type="pct"/>
          </w:tcPr>
          <w:p w14:paraId="42401C5F" w14:textId="77777777" w:rsidR="00FF7799" w:rsidRPr="00E73F6F" w:rsidRDefault="00FF7799" w:rsidP="00F3090F">
            <w:pPr>
              <w:pStyle w:val="StandardText"/>
              <w:jc w:val="center"/>
              <w:rPr>
                <w:lang w:val="de-DE"/>
              </w:rPr>
            </w:pPr>
            <w:r w:rsidRPr="00E73F6F">
              <w:rPr>
                <w:spacing w:val="-5"/>
                <w:lang w:val="de-DE"/>
              </w:rPr>
              <w:t>2.6</w:t>
            </w:r>
          </w:p>
        </w:tc>
        <w:tc>
          <w:tcPr>
            <w:tcW w:w="963" w:type="pct"/>
          </w:tcPr>
          <w:p w14:paraId="308D5070" w14:textId="77777777" w:rsidR="00FF7799" w:rsidRPr="00E73F6F" w:rsidRDefault="00FF7799" w:rsidP="00F3090F">
            <w:pPr>
              <w:pStyle w:val="StandardText"/>
              <w:jc w:val="center"/>
              <w:rPr>
                <w:lang w:val="de-DE"/>
              </w:rPr>
            </w:pPr>
            <w:r w:rsidRPr="00E73F6F">
              <w:rPr>
                <w:lang w:val="de-DE"/>
              </w:rPr>
              <w:t>2.4 -</w:t>
            </w:r>
            <w:r w:rsidRPr="00E73F6F">
              <w:rPr>
                <w:spacing w:val="-3"/>
                <w:lang w:val="de-DE"/>
              </w:rPr>
              <w:t xml:space="preserve"> </w:t>
            </w:r>
            <w:r w:rsidRPr="00E73F6F">
              <w:rPr>
                <w:spacing w:val="-5"/>
                <w:lang w:val="de-DE"/>
              </w:rPr>
              <w:t>2.9</w:t>
            </w:r>
          </w:p>
        </w:tc>
        <w:tc>
          <w:tcPr>
            <w:tcW w:w="963" w:type="pct"/>
          </w:tcPr>
          <w:p w14:paraId="3853B00E" w14:textId="77777777" w:rsidR="00FF7799" w:rsidRPr="00E73F6F" w:rsidRDefault="00FF7799" w:rsidP="00F3090F">
            <w:pPr>
              <w:pStyle w:val="StandardText"/>
              <w:jc w:val="center"/>
              <w:rPr>
                <w:lang w:val="de-DE"/>
              </w:rPr>
            </w:pPr>
            <w:r w:rsidRPr="00E73F6F">
              <w:rPr>
                <w:lang w:val="de-DE"/>
              </w:rPr>
              <w:t>6</w:t>
            </w:r>
          </w:p>
        </w:tc>
      </w:tr>
      <w:tr w:rsidR="00FF7799" w:rsidRPr="00E73F6F" w14:paraId="05AC8139" w14:textId="77777777" w:rsidTr="008E038E">
        <w:trPr>
          <w:trHeight w:val="242"/>
        </w:trPr>
        <w:tc>
          <w:tcPr>
            <w:tcW w:w="391" w:type="pct"/>
          </w:tcPr>
          <w:p w14:paraId="78FEBD7A" w14:textId="77777777" w:rsidR="00FF7799" w:rsidRPr="00E73F6F" w:rsidRDefault="00FF7799" w:rsidP="00F3090F">
            <w:pPr>
              <w:pStyle w:val="StandardText"/>
              <w:jc w:val="center"/>
              <w:rPr>
                <w:lang w:val="de-DE"/>
              </w:rPr>
            </w:pPr>
          </w:p>
        </w:tc>
        <w:tc>
          <w:tcPr>
            <w:tcW w:w="1720" w:type="pct"/>
          </w:tcPr>
          <w:p w14:paraId="5FB7D98B" w14:textId="77777777" w:rsidR="00FF7799" w:rsidRPr="00E73F6F" w:rsidRDefault="00FF7799" w:rsidP="00F3090F">
            <w:pPr>
              <w:pStyle w:val="StandardText"/>
              <w:jc w:val="left"/>
              <w:rPr>
                <w:lang w:val="de-DE"/>
              </w:rPr>
            </w:pPr>
            <w:r w:rsidRPr="00E73F6F">
              <w:rPr>
                <w:spacing w:val="-2"/>
                <w:lang w:val="de-DE"/>
              </w:rPr>
              <w:t>Paraguay</w:t>
            </w:r>
          </w:p>
        </w:tc>
        <w:tc>
          <w:tcPr>
            <w:tcW w:w="963" w:type="pct"/>
          </w:tcPr>
          <w:p w14:paraId="2B219CD0" w14:textId="77777777" w:rsidR="00FF7799" w:rsidRPr="00E73F6F" w:rsidRDefault="00FF7799" w:rsidP="00F3090F">
            <w:pPr>
              <w:pStyle w:val="StandardText"/>
              <w:jc w:val="center"/>
              <w:rPr>
                <w:lang w:val="de-DE"/>
              </w:rPr>
            </w:pPr>
            <w:r w:rsidRPr="00E73F6F">
              <w:rPr>
                <w:spacing w:val="-5"/>
                <w:lang w:val="de-DE"/>
              </w:rPr>
              <w:t>2.6</w:t>
            </w:r>
          </w:p>
        </w:tc>
        <w:tc>
          <w:tcPr>
            <w:tcW w:w="963" w:type="pct"/>
          </w:tcPr>
          <w:p w14:paraId="43899FF1" w14:textId="77777777" w:rsidR="00FF7799" w:rsidRPr="00E73F6F" w:rsidRDefault="00FF7799" w:rsidP="00F3090F">
            <w:pPr>
              <w:pStyle w:val="StandardText"/>
              <w:jc w:val="center"/>
              <w:rPr>
                <w:lang w:val="de-DE"/>
              </w:rPr>
            </w:pPr>
            <w:r w:rsidRPr="00E73F6F">
              <w:rPr>
                <w:lang w:val="de-DE"/>
              </w:rPr>
              <w:t>2.2 -</w:t>
            </w:r>
            <w:r w:rsidRPr="00E73F6F">
              <w:rPr>
                <w:spacing w:val="-3"/>
                <w:lang w:val="de-DE"/>
              </w:rPr>
              <w:t xml:space="preserve"> </w:t>
            </w:r>
            <w:r w:rsidRPr="00E73F6F">
              <w:rPr>
                <w:spacing w:val="-5"/>
                <w:lang w:val="de-DE"/>
              </w:rPr>
              <w:t>3.3</w:t>
            </w:r>
          </w:p>
        </w:tc>
        <w:tc>
          <w:tcPr>
            <w:tcW w:w="963" w:type="pct"/>
          </w:tcPr>
          <w:p w14:paraId="11C9CC3A" w14:textId="77777777" w:rsidR="00FF7799" w:rsidRPr="00E73F6F" w:rsidRDefault="00FF7799" w:rsidP="00F3090F">
            <w:pPr>
              <w:pStyle w:val="StandardText"/>
              <w:jc w:val="center"/>
              <w:rPr>
                <w:lang w:val="de-DE"/>
              </w:rPr>
            </w:pPr>
            <w:r w:rsidRPr="00E73F6F">
              <w:rPr>
                <w:lang w:val="de-DE"/>
              </w:rPr>
              <w:t>5</w:t>
            </w:r>
          </w:p>
        </w:tc>
      </w:tr>
      <w:tr w:rsidR="00FF7799" w:rsidRPr="00E73F6F" w14:paraId="0E941750" w14:textId="77777777" w:rsidTr="008E038E">
        <w:trPr>
          <w:trHeight w:val="241"/>
        </w:trPr>
        <w:tc>
          <w:tcPr>
            <w:tcW w:w="391" w:type="pct"/>
          </w:tcPr>
          <w:p w14:paraId="45E62B5E" w14:textId="77777777" w:rsidR="00FF7799" w:rsidRPr="00E73F6F" w:rsidRDefault="00FF7799" w:rsidP="00F3090F">
            <w:pPr>
              <w:pStyle w:val="StandardText"/>
              <w:jc w:val="center"/>
              <w:rPr>
                <w:lang w:val="de-DE"/>
              </w:rPr>
            </w:pPr>
          </w:p>
        </w:tc>
        <w:tc>
          <w:tcPr>
            <w:tcW w:w="1720" w:type="pct"/>
          </w:tcPr>
          <w:p w14:paraId="2A1A8FD0" w14:textId="77777777" w:rsidR="00FF7799" w:rsidRPr="00E73F6F" w:rsidRDefault="00FF7799" w:rsidP="00F3090F">
            <w:pPr>
              <w:pStyle w:val="StandardText"/>
              <w:jc w:val="left"/>
              <w:rPr>
                <w:lang w:val="de-DE"/>
              </w:rPr>
            </w:pPr>
            <w:r w:rsidRPr="00E73F6F">
              <w:rPr>
                <w:spacing w:val="-2"/>
                <w:lang w:val="de-DE"/>
              </w:rPr>
              <w:t>Ost-Timor</w:t>
            </w:r>
          </w:p>
        </w:tc>
        <w:tc>
          <w:tcPr>
            <w:tcW w:w="963" w:type="pct"/>
          </w:tcPr>
          <w:p w14:paraId="580BF029" w14:textId="77777777" w:rsidR="00FF7799" w:rsidRPr="00E73F6F" w:rsidRDefault="00FF7799" w:rsidP="00F3090F">
            <w:pPr>
              <w:pStyle w:val="StandardText"/>
              <w:jc w:val="center"/>
              <w:rPr>
                <w:lang w:val="de-DE"/>
              </w:rPr>
            </w:pPr>
            <w:r w:rsidRPr="00E73F6F">
              <w:rPr>
                <w:spacing w:val="-5"/>
                <w:lang w:val="de-DE"/>
              </w:rPr>
              <w:t>2.6</w:t>
            </w:r>
          </w:p>
        </w:tc>
        <w:tc>
          <w:tcPr>
            <w:tcW w:w="963" w:type="pct"/>
          </w:tcPr>
          <w:p w14:paraId="5D092750" w14:textId="77777777" w:rsidR="00FF7799" w:rsidRPr="00E73F6F" w:rsidRDefault="00FF7799" w:rsidP="00F3090F">
            <w:pPr>
              <w:pStyle w:val="StandardText"/>
              <w:jc w:val="center"/>
              <w:rPr>
                <w:lang w:val="de-DE"/>
              </w:rPr>
            </w:pPr>
            <w:r w:rsidRPr="00E73F6F">
              <w:rPr>
                <w:lang w:val="de-DE"/>
              </w:rPr>
              <w:t>2.3 -</w:t>
            </w:r>
            <w:r w:rsidRPr="00E73F6F">
              <w:rPr>
                <w:spacing w:val="-3"/>
                <w:lang w:val="de-DE"/>
              </w:rPr>
              <w:t xml:space="preserve"> </w:t>
            </w:r>
            <w:r w:rsidRPr="00E73F6F">
              <w:rPr>
                <w:spacing w:val="-5"/>
                <w:lang w:val="de-DE"/>
              </w:rPr>
              <w:t>3.0</w:t>
            </w:r>
          </w:p>
        </w:tc>
        <w:tc>
          <w:tcPr>
            <w:tcW w:w="963" w:type="pct"/>
          </w:tcPr>
          <w:p w14:paraId="433620C6" w14:textId="77777777" w:rsidR="00FF7799" w:rsidRPr="00E73F6F" w:rsidRDefault="00FF7799" w:rsidP="00F3090F">
            <w:pPr>
              <w:pStyle w:val="StandardText"/>
              <w:jc w:val="center"/>
              <w:rPr>
                <w:lang w:val="de-DE"/>
              </w:rPr>
            </w:pPr>
            <w:r w:rsidRPr="00E73F6F">
              <w:rPr>
                <w:lang w:val="de-DE"/>
              </w:rPr>
              <w:t>3</w:t>
            </w:r>
          </w:p>
        </w:tc>
      </w:tr>
      <w:tr w:rsidR="00FF7799" w:rsidRPr="00E73F6F" w14:paraId="47AEEAAC" w14:textId="77777777" w:rsidTr="008E038E">
        <w:trPr>
          <w:trHeight w:val="242"/>
        </w:trPr>
        <w:tc>
          <w:tcPr>
            <w:tcW w:w="391" w:type="pct"/>
          </w:tcPr>
          <w:p w14:paraId="624F0132" w14:textId="77777777" w:rsidR="00FF7799" w:rsidRPr="00E73F6F" w:rsidRDefault="00FF7799" w:rsidP="00F3090F">
            <w:pPr>
              <w:pStyle w:val="StandardText"/>
              <w:jc w:val="center"/>
              <w:rPr>
                <w:lang w:val="de-DE"/>
              </w:rPr>
            </w:pPr>
          </w:p>
        </w:tc>
        <w:tc>
          <w:tcPr>
            <w:tcW w:w="1720" w:type="pct"/>
          </w:tcPr>
          <w:p w14:paraId="0BEDD0A8" w14:textId="77777777" w:rsidR="00FF7799" w:rsidRPr="00E73F6F" w:rsidRDefault="00FF7799" w:rsidP="00F3090F">
            <w:pPr>
              <w:pStyle w:val="StandardText"/>
              <w:jc w:val="left"/>
              <w:rPr>
                <w:lang w:val="de-DE"/>
              </w:rPr>
            </w:pPr>
            <w:r w:rsidRPr="00E73F6F">
              <w:rPr>
                <w:spacing w:val="-2"/>
                <w:lang w:val="de-DE"/>
              </w:rPr>
              <w:t>Vietnam</w:t>
            </w:r>
          </w:p>
        </w:tc>
        <w:tc>
          <w:tcPr>
            <w:tcW w:w="963" w:type="pct"/>
          </w:tcPr>
          <w:p w14:paraId="3D6A6950" w14:textId="77777777" w:rsidR="00FF7799" w:rsidRPr="00E73F6F" w:rsidRDefault="00FF7799" w:rsidP="00F3090F">
            <w:pPr>
              <w:pStyle w:val="StandardText"/>
              <w:jc w:val="center"/>
              <w:rPr>
                <w:lang w:val="de-DE"/>
              </w:rPr>
            </w:pPr>
            <w:r w:rsidRPr="00E73F6F">
              <w:rPr>
                <w:spacing w:val="-5"/>
                <w:lang w:val="de-DE"/>
              </w:rPr>
              <w:t>2.6</w:t>
            </w:r>
          </w:p>
        </w:tc>
        <w:tc>
          <w:tcPr>
            <w:tcW w:w="963" w:type="pct"/>
          </w:tcPr>
          <w:p w14:paraId="36570951" w14:textId="77777777" w:rsidR="00FF7799" w:rsidRPr="00E73F6F" w:rsidRDefault="00FF7799" w:rsidP="00F3090F">
            <w:pPr>
              <w:pStyle w:val="StandardText"/>
              <w:jc w:val="center"/>
              <w:rPr>
                <w:lang w:val="de-DE"/>
              </w:rPr>
            </w:pPr>
            <w:r w:rsidRPr="00E73F6F">
              <w:rPr>
                <w:lang w:val="de-DE"/>
              </w:rPr>
              <w:t>2.4 -</w:t>
            </w:r>
            <w:r w:rsidRPr="00E73F6F">
              <w:rPr>
                <w:spacing w:val="-3"/>
                <w:lang w:val="de-DE"/>
              </w:rPr>
              <w:t xml:space="preserve"> </w:t>
            </w:r>
            <w:r w:rsidRPr="00E73F6F">
              <w:rPr>
                <w:spacing w:val="-5"/>
                <w:lang w:val="de-DE"/>
              </w:rPr>
              <w:t>2.9</w:t>
            </w:r>
          </w:p>
        </w:tc>
        <w:tc>
          <w:tcPr>
            <w:tcW w:w="963" w:type="pct"/>
          </w:tcPr>
          <w:p w14:paraId="440D2771" w14:textId="77777777" w:rsidR="00FF7799" w:rsidRPr="00E73F6F" w:rsidRDefault="00FF7799" w:rsidP="00F3090F">
            <w:pPr>
              <w:pStyle w:val="StandardText"/>
              <w:jc w:val="center"/>
              <w:rPr>
                <w:lang w:val="de-DE"/>
              </w:rPr>
            </w:pPr>
            <w:r w:rsidRPr="00E73F6F">
              <w:rPr>
                <w:lang w:val="de-DE"/>
              </w:rPr>
              <w:t>8</w:t>
            </w:r>
          </w:p>
        </w:tc>
      </w:tr>
      <w:tr w:rsidR="00FF7799" w:rsidRPr="00E73F6F" w14:paraId="148DC684" w14:textId="77777777" w:rsidTr="008E038E">
        <w:trPr>
          <w:trHeight w:val="241"/>
        </w:trPr>
        <w:tc>
          <w:tcPr>
            <w:tcW w:w="391" w:type="pct"/>
          </w:tcPr>
          <w:p w14:paraId="1C6DB369" w14:textId="77777777" w:rsidR="00FF7799" w:rsidRPr="00E73F6F" w:rsidRDefault="00FF7799" w:rsidP="00F3090F">
            <w:pPr>
              <w:pStyle w:val="StandardText"/>
              <w:jc w:val="center"/>
              <w:rPr>
                <w:lang w:val="de-DE"/>
              </w:rPr>
            </w:pPr>
          </w:p>
        </w:tc>
        <w:tc>
          <w:tcPr>
            <w:tcW w:w="1720" w:type="pct"/>
          </w:tcPr>
          <w:p w14:paraId="37887E57" w14:textId="77777777" w:rsidR="00FF7799" w:rsidRPr="00E73F6F" w:rsidRDefault="00FF7799" w:rsidP="00F3090F">
            <w:pPr>
              <w:pStyle w:val="StandardText"/>
              <w:jc w:val="left"/>
              <w:rPr>
                <w:lang w:val="de-DE"/>
              </w:rPr>
            </w:pPr>
            <w:r w:rsidRPr="00E73F6F">
              <w:rPr>
                <w:spacing w:val="-2"/>
                <w:lang w:val="de-DE"/>
              </w:rPr>
              <w:t>Jemen</w:t>
            </w:r>
          </w:p>
        </w:tc>
        <w:tc>
          <w:tcPr>
            <w:tcW w:w="963" w:type="pct"/>
          </w:tcPr>
          <w:p w14:paraId="0A63961E" w14:textId="77777777" w:rsidR="00FF7799" w:rsidRPr="00E73F6F" w:rsidRDefault="00FF7799" w:rsidP="00F3090F">
            <w:pPr>
              <w:pStyle w:val="StandardText"/>
              <w:jc w:val="center"/>
              <w:rPr>
                <w:lang w:val="de-DE"/>
              </w:rPr>
            </w:pPr>
            <w:r w:rsidRPr="00E73F6F">
              <w:rPr>
                <w:spacing w:val="-5"/>
                <w:lang w:val="de-DE"/>
              </w:rPr>
              <w:t>2.6</w:t>
            </w:r>
          </w:p>
        </w:tc>
        <w:tc>
          <w:tcPr>
            <w:tcW w:w="963" w:type="pct"/>
          </w:tcPr>
          <w:p w14:paraId="2982AD74" w14:textId="77777777" w:rsidR="00FF7799" w:rsidRPr="00E73F6F" w:rsidRDefault="00FF7799" w:rsidP="00F3090F">
            <w:pPr>
              <w:pStyle w:val="StandardText"/>
              <w:jc w:val="center"/>
              <w:rPr>
                <w:lang w:val="de-DE"/>
              </w:rPr>
            </w:pPr>
            <w:r w:rsidRPr="00E73F6F">
              <w:rPr>
                <w:lang w:val="de-DE"/>
              </w:rPr>
              <w:t>2.4 -</w:t>
            </w:r>
            <w:r w:rsidRPr="00E73F6F">
              <w:rPr>
                <w:spacing w:val="-3"/>
                <w:lang w:val="de-DE"/>
              </w:rPr>
              <w:t xml:space="preserve"> </w:t>
            </w:r>
            <w:r w:rsidRPr="00E73F6F">
              <w:rPr>
                <w:spacing w:val="-5"/>
                <w:lang w:val="de-DE"/>
              </w:rPr>
              <w:t>2.7</w:t>
            </w:r>
          </w:p>
        </w:tc>
        <w:tc>
          <w:tcPr>
            <w:tcW w:w="963" w:type="pct"/>
          </w:tcPr>
          <w:p w14:paraId="15450998" w14:textId="77777777" w:rsidR="00FF7799" w:rsidRPr="00E73F6F" w:rsidRDefault="00FF7799" w:rsidP="00F3090F">
            <w:pPr>
              <w:pStyle w:val="StandardText"/>
              <w:jc w:val="center"/>
              <w:rPr>
                <w:lang w:val="de-DE"/>
              </w:rPr>
            </w:pPr>
            <w:r w:rsidRPr="00E73F6F">
              <w:rPr>
                <w:lang w:val="de-DE"/>
              </w:rPr>
              <w:t>4</w:t>
            </w:r>
          </w:p>
        </w:tc>
      </w:tr>
      <w:tr w:rsidR="00FF7799" w:rsidRPr="00E73F6F" w14:paraId="094B6E6E" w14:textId="77777777" w:rsidTr="008E038E">
        <w:trPr>
          <w:trHeight w:val="242"/>
        </w:trPr>
        <w:tc>
          <w:tcPr>
            <w:tcW w:w="391" w:type="pct"/>
          </w:tcPr>
          <w:p w14:paraId="1E057592" w14:textId="77777777" w:rsidR="00FF7799" w:rsidRPr="00E73F6F" w:rsidRDefault="00FF7799" w:rsidP="00F3090F">
            <w:pPr>
              <w:pStyle w:val="StandardText"/>
              <w:jc w:val="center"/>
              <w:rPr>
                <w:lang w:val="de-DE"/>
              </w:rPr>
            </w:pPr>
          </w:p>
        </w:tc>
        <w:tc>
          <w:tcPr>
            <w:tcW w:w="1720" w:type="pct"/>
          </w:tcPr>
          <w:p w14:paraId="527C1DAE" w14:textId="77777777" w:rsidR="00FF7799" w:rsidRPr="00E73F6F" w:rsidRDefault="00FF7799" w:rsidP="00F3090F">
            <w:pPr>
              <w:pStyle w:val="StandardText"/>
              <w:jc w:val="left"/>
              <w:rPr>
                <w:lang w:val="de-DE"/>
              </w:rPr>
            </w:pPr>
            <w:r w:rsidRPr="00E73F6F">
              <w:rPr>
                <w:spacing w:val="-2"/>
                <w:lang w:val="de-DE"/>
              </w:rPr>
              <w:t>Sambia</w:t>
            </w:r>
          </w:p>
        </w:tc>
        <w:tc>
          <w:tcPr>
            <w:tcW w:w="963" w:type="pct"/>
          </w:tcPr>
          <w:p w14:paraId="7E8B8C86" w14:textId="77777777" w:rsidR="00FF7799" w:rsidRPr="00E73F6F" w:rsidRDefault="00FF7799" w:rsidP="00F3090F">
            <w:pPr>
              <w:pStyle w:val="StandardText"/>
              <w:jc w:val="center"/>
              <w:rPr>
                <w:lang w:val="de-DE"/>
              </w:rPr>
            </w:pPr>
            <w:r w:rsidRPr="00E73F6F">
              <w:rPr>
                <w:spacing w:val="-5"/>
                <w:lang w:val="de-DE"/>
              </w:rPr>
              <w:t>2.6</w:t>
            </w:r>
          </w:p>
        </w:tc>
        <w:tc>
          <w:tcPr>
            <w:tcW w:w="963" w:type="pct"/>
          </w:tcPr>
          <w:p w14:paraId="4A9AFB99" w14:textId="77777777" w:rsidR="00FF7799" w:rsidRPr="00E73F6F" w:rsidRDefault="00FF7799" w:rsidP="00F3090F">
            <w:pPr>
              <w:pStyle w:val="StandardText"/>
              <w:jc w:val="center"/>
              <w:rPr>
                <w:lang w:val="de-DE"/>
              </w:rPr>
            </w:pPr>
            <w:r w:rsidRPr="00E73F6F">
              <w:rPr>
                <w:lang w:val="de-DE"/>
              </w:rPr>
              <w:t>2.1 -</w:t>
            </w:r>
            <w:r w:rsidRPr="00E73F6F">
              <w:rPr>
                <w:spacing w:val="-3"/>
                <w:lang w:val="de-DE"/>
              </w:rPr>
              <w:t xml:space="preserve"> </w:t>
            </w:r>
            <w:r w:rsidRPr="00E73F6F">
              <w:rPr>
                <w:spacing w:val="-5"/>
                <w:lang w:val="de-DE"/>
              </w:rPr>
              <w:t>3.0</w:t>
            </w:r>
          </w:p>
        </w:tc>
        <w:tc>
          <w:tcPr>
            <w:tcW w:w="963" w:type="pct"/>
          </w:tcPr>
          <w:p w14:paraId="36B2ED6E" w14:textId="77777777" w:rsidR="00FF7799" w:rsidRPr="00E73F6F" w:rsidRDefault="00FF7799" w:rsidP="00F3090F">
            <w:pPr>
              <w:pStyle w:val="StandardText"/>
              <w:jc w:val="center"/>
              <w:rPr>
                <w:lang w:val="de-DE"/>
              </w:rPr>
            </w:pPr>
            <w:r w:rsidRPr="00E73F6F">
              <w:rPr>
                <w:lang w:val="de-DE"/>
              </w:rPr>
              <w:t>6</w:t>
            </w:r>
          </w:p>
        </w:tc>
      </w:tr>
      <w:tr w:rsidR="00FF7799" w:rsidRPr="00E73F6F" w14:paraId="6350A97E" w14:textId="77777777" w:rsidTr="008E038E">
        <w:trPr>
          <w:trHeight w:val="242"/>
        </w:trPr>
        <w:tc>
          <w:tcPr>
            <w:tcW w:w="391" w:type="pct"/>
          </w:tcPr>
          <w:p w14:paraId="2DD820CB" w14:textId="77777777" w:rsidR="00FF7799" w:rsidRPr="00E73F6F" w:rsidRDefault="00FF7799" w:rsidP="00F3090F">
            <w:pPr>
              <w:pStyle w:val="StandardText"/>
              <w:jc w:val="center"/>
              <w:rPr>
                <w:lang w:val="de-DE"/>
              </w:rPr>
            </w:pPr>
            <w:r w:rsidRPr="00E73F6F">
              <w:rPr>
                <w:spacing w:val="-5"/>
                <w:lang w:val="de-DE"/>
              </w:rPr>
              <w:t>121</w:t>
            </w:r>
          </w:p>
        </w:tc>
        <w:tc>
          <w:tcPr>
            <w:tcW w:w="1720" w:type="pct"/>
          </w:tcPr>
          <w:p w14:paraId="576ED360" w14:textId="77777777" w:rsidR="00FF7799" w:rsidRPr="00E73F6F" w:rsidRDefault="00FF7799" w:rsidP="00F3090F">
            <w:pPr>
              <w:pStyle w:val="StandardText"/>
              <w:jc w:val="left"/>
              <w:rPr>
                <w:lang w:val="de-DE"/>
              </w:rPr>
            </w:pPr>
            <w:r w:rsidRPr="00E73F6F">
              <w:rPr>
                <w:spacing w:val="-2"/>
                <w:lang w:val="de-DE"/>
              </w:rPr>
              <w:t>Benin</w:t>
            </w:r>
          </w:p>
        </w:tc>
        <w:tc>
          <w:tcPr>
            <w:tcW w:w="963" w:type="pct"/>
          </w:tcPr>
          <w:p w14:paraId="51AFFC97" w14:textId="77777777" w:rsidR="00FF7799" w:rsidRPr="00E73F6F" w:rsidRDefault="00FF7799" w:rsidP="00F3090F">
            <w:pPr>
              <w:pStyle w:val="StandardText"/>
              <w:jc w:val="center"/>
              <w:rPr>
                <w:lang w:val="de-DE"/>
              </w:rPr>
            </w:pPr>
            <w:r w:rsidRPr="00E73F6F">
              <w:rPr>
                <w:spacing w:val="-5"/>
                <w:lang w:val="de-DE"/>
              </w:rPr>
              <w:t>2.5</w:t>
            </w:r>
          </w:p>
        </w:tc>
        <w:tc>
          <w:tcPr>
            <w:tcW w:w="963" w:type="pct"/>
          </w:tcPr>
          <w:p w14:paraId="677A0A37" w14:textId="77777777" w:rsidR="00FF7799" w:rsidRPr="00E73F6F" w:rsidRDefault="00FF7799" w:rsidP="00F3090F">
            <w:pPr>
              <w:pStyle w:val="StandardText"/>
              <w:jc w:val="center"/>
              <w:rPr>
                <w:lang w:val="de-DE"/>
              </w:rPr>
            </w:pPr>
            <w:r w:rsidRPr="00E73F6F">
              <w:rPr>
                <w:lang w:val="de-DE"/>
              </w:rPr>
              <w:t>2.1 -</w:t>
            </w:r>
            <w:r w:rsidRPr="00E73F6F">
              <w:rPr>
                <w:spacing w:val="-3"/>
                <w:lang w:val="de-DE"/>
              </w:rPr>
              <w:t xml:space="preserve"> </w:t>
            </w:r>
            <w:r w:rsidRPr="00E73F6F">
              <w:rPr>
                <w:spacing w:val="-5"/>
                <w:lang w:val="de-DE"/>
              </w:rPr>
              <w:t>2.9</w:t>
            </w:r>
          </w:p>
        </w:tc>
        <w:tc>
          <w:tcPr>
            <w:tcW w:w="963" w:type="pct"/>
          </w:tcPr>
          <w:p w14:paraId="4FE6C642" w14:textId="77777777" w:rsidR="00FF7799" w:rsidRPr="00E73F6F" w:rsidRDefault="00FF7799" w:rsidP="00F3090F">
            <w:pPr>
              <w:pStyle w:val="StandardText"/>
              <w:jc w:val="center"/>
              <w:rPr>
                <w:lang w:val="de-DE"/>
              </w:rPr>
            </w:pPr>
            <w:r w:rsidRPr="00E73F6F">
              <w:rPr>
                <w:lang w:val="de-DE"/>
              </w:rPr>
              <w:t>6</w:t>
            </w:r>
          </w:p>
        </w:tc>
      </w:tr>
      <w:tr w:rsidR="00FF7799" w:rsidRPr="00E73F6F" w14:paraId="525F5ADE" w14:textId="77777777" w:rsidTr="008E038E">
        <w:trPr>
          <w:trHeight w:val="241"/>
        </w:trPr>
        <w:tc>
          <w:tcPr>
            <w:tcW w:w="391" w:type="pct"/>
          </w:tcPr>
          <w:p w14:paraId="2883269C" w14:textId="77777777" w:rsidR="00FF7799" w:rsidRPr="00E73F6F" w:rsidRDefault="00FF7799" w:rsidP="00F3090F">
            <w:pPr>
              <w:pStyle w:val="StandardText"/>
              <w:jc w:val="center"/>
              <w:rPr>
                <w:lang w:val="de-DE"/>
              </w:rPr>
            </w:pPr>
          </w:p>
        </w:tc>
        <w:tc>
          <w:tcPr>
            <w:tcW w:w="1720" w:type="pct"/>
          </w:tcPr>
          <w:p w14:paraId="4A6CEE5C" w14:textId="77777777" w:rsidR="00FF7799" w:rsidRPr="00E73F6F" w:rsidRDefault="00FF7799" w:rsidP="00F3090F">
            <w:pPr>
              <w:pStyle w:val="StandardText"/>
              <w:jc w:val="left"/>
              <w:rPr>
                <w:lang w:val="de-DE"/>
              </w:rPr>
            </w:pPr>
            <w:r w:rsidRPr="00E73F6F">
              <w:rPr>
                <w:spacing w:val="-2"/>
                <w:lang w:val="de-DE"/>
              </w:rPr>
              <w:t>Gambia</w:t>
            </w:r>
          </w:p>
        </w:tc>
        <w:tc>
          <w:tcPr>
            <w:tcW w:w="963" w:type="pct"/>
          </w:tcPr>
          <w:p w14:paraId="50012865" w14:textId="77777777" w:rsidR="00FF7799" w:rsidRPr="00E73F6F" w:rsidRDefault="00FF7799" w:rsidP="00F3090F">
            <w:pPr>
              <w:pStyle w:val="StandardText"/>
              <w:jc w:val="center"/>
              <w:rPr>
                <w:lang w:val="de-DE"/>
              </w:rPr>
            </w:pPr>
            <w:r w:rsidRPr="00E73F6F">
              <w:rPr>
                <w:spacing w:val="-5"/>
                <w:lang w:val="de-DE"/>
              </w:rPr>
              <w:t>2.5</w:t>
            </w:r>
          </w:p>
        </w:tc>
        <w:tc>
          <w:tcPr>
            <w:tcW w:w="963" w:type="pct"/>
          </w:tcPr>
          <w:p w14:paraId="577796E3" w14:textId="77777777" w:rsidR="00FF7799" w:rsidRPr="00E73F6F" w:rsidRDefault="00FF7799" w:rsidP="00F3090F">
            <w:pPr>
              <w:pStyle w:val="StandardText"/>
              <w:jc w:val="center"/>
              <w:rPr>
                <w:lang w:val="de-DE"/>
              </w:rPr>
            </w:pPr>
            <w:r w:rsidRPr="00E73F6F">
              <w:rPr>
                <w:lang w:val="de-DE"/>
              </w:rPr>
              <w:t>2.3 -</w:t>
            </w:r>
            <w:r w:rsidRPr="00E73F6F">
              <w:rPr>
                <w:spacing w:val="-3"/>
                <w:lang w:val="de-DE"/>
              </w:rPr>
              <w:t xml:space="preserve"> </w:t>
            </w:r>
            <w:r w:rsidRPr="00E73F6F">
              <w:rPr>
                <w:spacing w:val="-5"/>
                <w:lang w:val="de-DE"/>
              </w:rPr>
              <w:t>2.8</w:t>
            </w:r>
          </w:p>
        </w:tc>
        <w:tc>
          <w:tcPr>
            <w:tcW w:w="963" w:type="pct"/>
          </w:tcPr>
          <w:p w14:paraId="21E46765" w14:textId="77777777" w:rsidR="00FF7799" w:rsidRPr="00E73F6F" w:rsidRDefault="00FF7799" w:rsidP="00F3090F">
            <w:pPr>
              <w:pStyle w:val="StandardText"/>
              <w:jc w:val="center"/>
              <w:rPr>
                <w:lang w:val="de-DE"/>
              </w:rPr>
            </w:pPr>
            <w:r w:rsidRPr="00E73F6F">
              <w:rPr>
                <w:lang w:val="de-DE"/>
              </w:rPr>
              <w:t>6</w:t>
            </w:r>
          </w:p>
        </w:tc>
      </w:tr>
      <w:tr w:rsidR="00FF7799" w:rsidRPr="00E73F6F" w14:paraId="2437E16E" w14:textId="77777777" w:rsidTr="008E038E">
        <w:trPr>
          <w:trHeight w:val="242"/>
        </w:trPr>
        <w:tc>
          <w:tcPr>
            <w:tcW w:w="391" w:type="pct"/>
          </w:tcPr>
          <w:p w14:paraId="2F2DD3EF" w14:textId="77777777" w:rsidR="00FF7799" w:rsidRPr="00E73F6F" w:rsidRDefault="00FF7799" w:rsidP="00F3090F">
            <w:pPr>
              <w:pStyle w:val="StandardText"/>
              <w:jc w:val="center"/>
              <w:rPr>
                <w:lang w:val="de-DE"/>
              </w:rPr>
            </w:pPr>
          </w:p>
        </w:tc>
        <w:tc>
          <w:tcPr>
            <w:tcW w:w="1720" w:type="pct"/>
          </w:tcPr>
          <w:p w14:paraId="0C285723" w14:textId="77777777" w:rsidR="00FF7799" w:rsidRPr="00E73F6F" w:rsidRDefault="00FF7799" w:rsidP="00F3090F">
            <w:pPr>
              <w:pStyle w:val="StandardText"/>
              <w:jc w:val="left"/>
              <w:rPr>
                <w:lang w:val="de-DE"/>
              </w:rPr>
            </w:pPr>
            <w:r w:rsidRPr="00E73F6F">
              <w:rPr>
                <w:spacing w:val="-2"/>
                <w:lang w:val="de-DE"/>
              </w:rPr>
              <w:t>Guyana</w:t>
            </w:r>
          </w:p>
        </w:tc>
        <w:tc>
          <w:tcPr>
            <w:tcW w:w="963" w:type="pct"/>
          </w:tcPr>
          <w:p w14:paraId="02A38EFE" w14:textId="77777777" w:rsidR="00FF7799" w:rsidRPr="00E73F6F" w:rsidRDefault="00FF7799" w:rsidP="00F3090F">
            <w:pPr>
              <w:pStyle w:val="StandardText"/>
              <w:jc w:val="center"/>
              <w:rPr>
                <w:lang w:val="de-DE"/>
              </w:rPr>
            </w:pPr>
            <w:r w:rsidRPr="00E73F6F">
              <w:rPr>
                <w:spacing w:val="-5"/>
                <w:lang w:val="de-DE"/>
              </w:rPr>
              <w:t>2.5</w:t>
            </w:r>
          </w:p>
        </w:tc>
        <w:tc>
          <w:tcPr>
            <w:tcW w:w="963" w:type="pct"/>
          </w:tcPr>
          <w:p w14:paraId="57B15F5E" w14:textId="77777777" w:rsidR="00FF7799" w:rsidRPr="00E73F6F" w:rsidRDefault="00FF7799" w:rsidP="00F3090F">
            <w:pPr>
              <w:pStyle w:val="StandardText"/>
              <w:jc w:val="center"/>
              <w:rPr>
                <w:lang w:val="de-DE"/>
              </w:rPr>
            </w:pPr>
            <w:r w:rsidRPr="00E73F6F">
              <w:rPr>
                <w:lang w:val="de-DE"/>
              </w:rPr>
              <w:t>2.2 -</w:t>
            </w:r>
            <w:r w:rsidRPr="00E73F6F">
              <w:rPr>
                <w:spacing w:val="-3"/>
                <w:lang w:val="de-DE"/>
              </w:rPr>
              <w:t xml:space="preserve"> </w:t>
            </w:r>
            <w:r w:rsidRPr="00E73F6F">
              <w:rPr>
                <w:spacing w:val="-5"/>
                <w:lang w:val="de-DE"/>
              </w:rPr>
              <w:t>2.6</w:t>
            </w:r>
          </w:p>
        </w:tc>
        <w:tc>
          <w:tcPr>
            <w:tcW w:w="963" w:type="pct"/>
          </w:tcPr>
          <w:p w14:paraId="4AA482B9" w14:textId="77777777" w:rsidR="00FF7799" w:rsidRPr="00E73F6F" w:rsidRDefault="00FF7799" w:rsidP="00F3090F">
            <w:pPr>
              <w:pStyle w:val="StandardText"/>
              <w:jc w:val="center"/>
              <w:rPr>
                <w:lang w:val="de-DE"/>
              </w:rPr>
            </w:pPr>
            <w:r w:rsidRPr="00E73F6F">
              <w:rPr>
                <w:lang w:val="de-DE"/>
              </w:rPr>
              <w:t>5</w:t>
            </w:r>
          </w:p>
        </w:tc>
      </w:tr>
      <w:tr w:rsidR="00FF7799" w:rsidRPr="00E73F6F" w14:paraId="6927F894" w14:textId="77777777" w:rsidTr="008E038E">
        <w:trPr>
          <w:trHeight w:val="242"/>
        </w:trPr>
        <w:tc>
          <w:tcPr>
            <w:tcW w:w="391" w:type="pct"/>
          </w:tcPr>
          <w:p w14:paraId="0ECFF3DC" w14:textId="77777777" w:rsidR="00FF7799" w:rsidRPr="00E73F6F" w:rsidRDefault="00FF7799" w:rsidP="00F3090F">
            <w:pPr>
              <w:pStyle w:val="StandardText"/>
              <w:jc w:val="center"/>
              <w:rPr>
                <w:lang w:val="de-DE"/>
              </w:rPr>
            </w:pPr>
          </w:p>
        </w:tc>
        <w:tc>
          <w:tcPr>
            <w:tcW w:w="1720" w:type="pct"/>
          </w:tcPr>
          <w:p w14:paraId="5ACAE98E" w14:textId="77777777" w:rsidR="00FF7799" w:rsidRPr="00E73F6F" w:rsidRDefault="00FF7799" w:rsidP="00F3090F">
            <w:pPr>
              <w:pStyle w:val="StandardText"/>
              <w:jc w:val="left"/>
              <w:rPr>
                <w:lang w:val="de-DE"/>
              </w:rPr>
            </w:pPr>
            <w:r w:rsidRPr="00E73F6F">
              <w:rPr>
                <w:spacing w:val="-2"/>
                <w:lang w:val="de-DE"/>
              </w:rPr>
              <w:t>Honduras</w:t>
            </w:r>
          </w:p>
        </w:tc>
        <w:tc>
          <w:tcPr>
            <w:tcW w:w="963" w:type="pct"/>
          </w:tcPr>
          <w:p w14:paraId="356ED3FD" w14:textId="77777777" w:rsidR="00FF7799" w:rsidRPr="00E73F6F" w:rsidRDefault="00FF7799" w:rsidP="00F3090F">
            <w:pPr>
              <w:pStyle w:val="StandardText"/>
              <w:jc w:val="center"/>
              <w:rPr>
                <w:lang w:val="de-DE"/>
              </w:rPr>
            </w:pPr>
            <w:r w:rsidRPr="00E73F6F">
              <w:rPr>
                <w:spacing w:val="-5"/>
                <w:lang w:val="de-DE"/>
              </w:rPr>
              <w:t>2.5</w:t>
            </w:r>
          </w:p>
        </w:tc>
        <w:tc>
          <w:tcPr>
            <w:tcW w:w="963" w:type="pct"/>
          </w:tcPr>
          <w:p w14:paraId="77C75DDC" w14:textId="77777777" w:rsidR="00FF7799" w:rsidRPr="00E73F6F" w:rsidRDefault="00FF7799" w:rsidP="00F3090F">
            <w:pPr>
              <w:pStyle w:val="StandardText"/>
              <w:jc w:val="center"/>
              <w:rPr>
                <w:lang w:val="de-DE"/>
              </w:rPr>
            </w:pPr>
            <w:r w:rsidRPr="00E73F6F">
              <w:rPr>
                <w:lang w:val="de-DE"/>
              </w:rPr>
              <w:t>2.4 -</w:t>
            </w:r>
            <w:r w:rsidRPr="00E73F6F">
              <w:rPr>
                <w:spacing w:val="-3"/>
                <w:lang w:val="de-DE"/>
              </w:rPr>
              <w:t xml:space="preserve"> </w:t>
            </w:r>
            <w:r w:rsidRPr="00E73F6F">
              <w:rPr>
                <w:spacing w:val="-5"/>
                <w:lang w:val="de-DE"/>
              </w:rPr>
              <w:t>2.7</w:t>
            </w:r>
          </w:p>
        </w:tc>
        <w:tc>
          <w:tcPr>
            <w:tcW w:w="963" w:type="pct"/>
          </w:tcPr>
          <w:p w14:paraId="3668AFAB" w14:textId="77777777" w:rsidR="00FF7799" w:rsidRPr="00E73F6F" w:rsidRDefault="00FF7799" w:rsidP="00F3090F">
            <w:pPr>
              <w:pStyle w:val="StandardText"/>
              <w:jc w:val="center"/>
              <w:rPr>
                <w:lang w:val="de-DE"/>
              </w:rPr>
            </w:pPr>
            <w:r w:rsidRPr="00E73F6F">
              <w:rPr>
                <w:lang w:val="de-DE"/>
              </w:rPr>
              <w:t>6</w:t>
            </w:r>
          </w:p>
        </w:tc>
      </w:tr>
      <w:tr w:rsidR="00FF7799" w:rsidRPr="00E73F6F" w14:paraId="79060241" w14:textId="77777777" w:rsidTr="008E038E">
        <w:trPr>
          <w:trHeight w:val="242"/>
        </w:trPr>
        <w:tc>
          <w:tcPr>
            <w:tcW w:w="391" w:type="pct"/>
          </w:tcPr>
          <w:p w14:paraId="3D782E37" w14:textId="77777777" w:rsidR="00FF7799" w:rsidRPr="00E73F6F" w:rsidRDefault="00FF7799" w:rsidP="00F3090F">
            <w:pPr>
              <w:pStyle w:val="StandardText"/>
              <w:jc w:val="center"/>
              <w:rPr>
                <w:lang w:val="de-DE"/>
              </w:rPr>
            </w:pPr>
          </w:p>
        </w:tc>
        <w:tc>
          <w:tcPr>
            <w:tcW w:w="1720" w:type="pct"/>
          </w:tcPr>
          <w:p w14:paraId="4691D5C3" w14:textId="77777777" w:rsidR="00FF7799" w:rsidRPr="00E73F6F" w:rsidRDefault="00FF7799" w:rsidP="00F3090F">
            <w:pPr>
              <w:pStyle w:val="StandardText"/>
              <w:jc w:val="left"/>
              <w:rPr>
                <w:lang w:val="de-DE"/>
              </w:rPr>
            </w:pPr>
            <w:r w:rsidRPr="00E73F6F">
              <w:rPr>
                <w:spacing w:val="-2"/>
                <w:lang w:val="de-DE"/>
              </w:rPr>
              <w:t>Nepal</w:t>
            </w:r>
          </w:p>
        </w:tc>
        <w:tc>
          <w:tcPr>
            <w:tcW w:w="963" w:type="pct"/>
          </w:tcPr>
          <w:p w14:paraId="63C27540" w14:textId="77777777" w:rsidR="00FF7799" w:rsidRPr="00E73F6F" w:rsidRDefault="00FF7799" w:rsidP="00F3090F">
            <w:pPr>
              <w:pStyle w:val="StandardText"/>
              <w:jc w:val="center"/>
              <w:rPr>
                <w:lang w:val="de-DE"/>
              </w:rPr>
            </w:pPr>
            <w:r w:rsidRPr="00E73F6F">
              <w:rPr>
                <w:spacing w:val="-5"/>
                <w:lang w:val="de-DE"/>
              </w:rPr>
              <w:t>2.5</w:t>
            </w:r>
          </w:p>
        </w:tc>
        <w:tc>
          <w:tcPr>
            <w:tcW w:w="963" w:type="pct"/>
          </w:tcPr>
          <w:p w14:paraId="3619092B" w14:textId="77777777" w:rsidR="00FF7799" w:rsidRPr="00E73F6F" w:rsidRDefault="00FF7799" w:rsidP="00F3090F">
            <w:pPr>
              <w:pStyle w:val="StandardText"/>
              <w:jc w:val="center"/>
              <w:rPr>
                <w:lang w:val="de-DE"/>
              </w:rPr>
            </w:pPr>
            <w:r w:rsidRPr="00E73F6F">
              <w:rPr>
                <w:lang w:val="de-DE"/>
              </w:rPr>
              <w:t>2.3 -</w:t>
            </w:r>
            <w:r w:rsidRPr="00E73F6F">
              <w:rPr>
                <w:spacing w:val="-3"/>
                <w:lang w:val="de-DE"/>
              </w:rPr>
              <w:t xml:space="preserve"> </w:t>
            </w:r>
            <w:r w:rsidRPr="00E73F6F">
              <w:rPr>
                <w:spacing w:val="-5"/>
                <w:lang w:val="de-DE"/>
              </w:rPr>
              <w:t>2.9</w:t>
            </w:r>
          </w:p>
        </w:tc>
        <w:tc>
          <w:tcPr>
            <w:tcW w:w="963" w:type="pct"/>
          </w:tcPr>
          <w:p w14:paraId="79818631" w14:textId="77777777" w:rsidR="00FF7799" w:rsidRPr="00E73F6F" w:rsidRDefault="00FF7799" w:rsidP="00F3090F">
            <w:pPr>
              <w:pStyle w:val="StandardText"/>
              <w:jc w:val="center"/>
              <w:rPr>
                <w:lang w:val="de-DE"/>
              </w:rPr>
            </w:pPr>
            <w:r w:rsidRPr="00E73F6F">
              <w:rPr>
                <w:lang w:val="de-DE"/>
              </w:rPr>
              <w:t>5</w:t>
            </w:r>
          </w:p>
        </w:tc>
      </w:tr>
      <w:tr w:rsidR="00FF7799" w:rsidRPr="00E73F6F" w14:paraId="1515511A" w14:textId="77777777" w:rsidTr="008E038E">
        <w:trPr>
          <w:trHeight w:val="241"/>
        </w:trPr>
        <w:tc>
          <w:tcPr>
            <w:tcW w:w="391" w:type="pct"/>
          </w:tcPr>
          <w:p w14:paraId="76916C93" w14:textId="77777777" w:rsidR="00FF7799" w:rsidRPr="00E73F6F" w:rsidRDefault="00FF7799" w:rsidP="00F3090F">
            <w:pPr>
              <w:pStyle w:val="StandardText"/>
              <w:jc w:val="center"/>
              <w:rPr>
                <w:lang w:val="de-DE"/>
              </w:rPr>
            </w:pPr>
          </w:p>
        </w:tc>
        <w:tc>
          <w:tcPr>
            <w:tcW w:w="1720" w:type="pct"/>
          </w:tcPr>
          <w:p w14:paraId="43FF3212" w14:textId="77777777" w:rsidR="00FF7799" w:rsidRPr="00E73F6F" w:rsidRDefault="00FF7799" w:rsidP="00F3090F">
            <w:pPr>
              <w:pStyle w:val="StandardText"/>
              <w:jc w:val="left"/>
              <w:rPr>
                <w:lang w:val="de-DE"/>
              </w:rPr>
            </w:pPr>
            <w:r w:rsidRPr="00E73F6F">
              <w:rPr>
                <w:spacing w:val="-2"/>
                <w:lang w:val="de-DE"/>
              </w:rPr>
              <w:t>Philippinen</w:t>
            </w:r>
          </w:p>
        </w:tc>
        <w:tc>
          <w:tcPr>
            <w:tcW w:w="963" w:type="pct"/>
          </w:tcPr>
          <w:p w14:paraId="3030C152" w14:textId="77777777" w:rsidR="00FF7799" w:rsidRPr="00E73F6F" w:rsidRDefault="00FF7799" w:rsidP="00F3090F">
            <w:pPr>
              <w:pStyle w:val="StandardText"/>
              <w:jc w:val="center"/>
              <w:rPr>
                <w:lang w:val="de-DE"/>
              </w:rPr>
            </w:pPr>
            <w:r w:rsidRPr="00E73F6F">
              <w:rPr>
                <w:spacing w:val="-5"/>
                <w:lang w:val="de-DE"/>
              </w:rPr>
              <w:t>2.5</w:t>
            </w:r>
          </w:p>
        </w:tc>
        <w:tc>
          <w:tcPr>
            <w:tcW w:w="963" w:type="pct"/>
          </w:tcPr>
          <w:p w14:paraId="59752607" w14:textId="77777777" w:rsidR="00FF7799" w:rsidRPr="00E73F6F" w:rsidRDefault="00FF7799" w:rsidP="00F3090F">
            <w:pPr>
              <w:pStyle w:val="StandardText"/>
              <w:jc w:val="center"/>
              <w:rPr>
                <w:lang w:val="de-DE"/>
              </w:rPr>
            </w:pPr>
            <w:r w:rsidRPr="00E73F6F">
              <w:rPr>
                <w:lang w:val="de-DE"/>
              </w:rPr>
              <w:t>2.3 -</w:t>
            </w:r>
            <w:r w:rsidRPr="00E73F6F">
              <w:rPr>
                <w:spacing w:val="-3"/>
                <w:lang w:val="de-DE"/>
              </w:rPr>
              <w:t xml:space="preserve"> </w:t>
            </w:r>
            <w:r w:rsidRPr="00E73F6F">
              <w:rPr>
                <w:spacing w:val="-5"/>
                <w:lang w:val="de-DE"/>
              </w:rPr>
              <w:t>2.8</w:t>
            </w:r>
          </w:p>
        </w:tc>
        <w:tc>
          <w:tcPr>
            <w:tcW w:w="963" w:type="pct"/>
          </w:tcPr>
          <w:p w14:paraId="7E40C011" w14:textId="77777777" w:rsidR="00FF7799" w:rsidRPr="00E73F6F" w:rsidRDefault="00FF7799" w:rsidP="00F3090F">
            <w:pPr>
              <w:pStyle w:val="StandardText"/>
              <w:jc w:val="center"/>
              <w:rPr>
                <w:lang w:val="de-DE"/>
              </w:rPr>
            </w:pPr>
            <w:r w:rsidRPr="00E73F6F">
              <w:rPr>
                <w:lang w:val="de-DE"/>
              </w:rPr>
              <w:t>9</w:t>
            </w:r>
          </w:p>
        </w:tc>
      </w:tr>
      <w:tr w:rsidR="00FF7799" w:rsidRPr="00E73F6F" w14:paraId="64DBBDAA" w14:textId="77777777" w:rsidTr="008E038E">
        <w:trPr>
          <w:trHeight w:val="242"/>
        </w:trPr>
        <w:tc>
          <w:tcPr>
            <w:tcW w:w="391" w:type="pct"/>
          </w:tcPr>
          <w:p w14:paraId="6DD50EE9" w14:textId="77777777" w:rsidR="00FF7799" w:rsidRPr="00E73F6F" w:rsidRDefault="00FF7799" w:rsidP="00F3090F">
            <w:pPr>
              <w:pStyle w:val="StandardText"/>
              <w:jc w:val="center"/>
              <w:rPr>
                <w:lang w:val="de-DE"/>
              </w:rPr>
            </w:pPr>
          </w:p>
        </w:tc>
        <w:tc>
          <w:tcPr>
            <w:tcW w:w="1720" w:type="pct"/>
          </w:tcPr>
          <w:p w14:paraId="21A9F0E4" w14:textId="77777777" w:rsidR="00FF7799" w:rsidRPr="00E73F6F" w:rsidRDefault="00FF7799" w:rsidP="00F3090F">
            <w:pPr>
              <w:pStyle w:val="StandardText"/>
              <w:jc w:val="left"/>
              <w:rPr>
                <w:lang w:val="de-DE"/>
              </w:rPr>
            </w:pPr>
            <w:r w:rsidRPr="00E73F6F">
              <w:rPr>
                <w:spacing w:val="-2"/>
                <w:lang w:val="de-DE"/>
              </w:rPr>
              <w:t>Russland</w:t>
            </w:r>
          </w:p>
        </w:tc>
        <w:tc>
          <w:tcPr>
            <w:tcW w:w="963" w:type="pct"/>
          </w:tcPr>
          <w:p w14:paraId="0F8B1234" w14:textId="77777777" w:rsidR="00FF7799" w:rsidRPr="00E73F6F" w:rsidRDefault="00FF7799" w:rsidP="00F3090F">
            <w:pPr>
              <w:pStyle w:val="StandardText"/>
              <w:jc w:val="center"/>
              <w:rPr>
                <w:lang w:val="de-DE"/>
              </w:rPr>
            </w:pPr>
            <w:r w:rsidRPr="00E73F6F">
              <w:rPr>
                <w:spacing w:val="-5"/>
                <w:lang w:val="de-DE"/>
              </w:rPr>
              <w:t>2.5</w:t>
            </w:r>
          </w:p>
        </w:tc>
        <w:tc>
          <w:tcPr>
            <w:tcW w:w="963" w:type="pct"/>
          </w:tcPr>
          <w:p w14:paraId="65461148" w14:textId="77777777" w:rsidR="00FF7799" w:rsidRPr="00E73F6F" w:rsidRDefault="00FF7799" w:rsidP="00F3090F">
            <w:pPr>
              <w:pStyle w:val="StandardText"/>
              <w:jc w:val="center"/>
              <w:rPr>
                <w:lang w:val="de-DE"/>
              </w:rPr>
            </w:pPr>
            <w:r w:rsidRPr="00E73F6F">
              <w:rPr>
                <w:lang w:val="de-DE"/>
              </w:rPr>
              <w:t>2.3 -</w:t>
            </w:r>
            <w:r w:rsidRPr="00E73F6F">
              <w:rPr>
                <w:spacing w:val="-3"/>
                <w:lang w:val="de-DE"/>
              </w:rPr>
              <w:t xml:space="preserve"> </w:t>
            </w:r>
            <w:r w:rsidRPr="00E73F6F">
              <w:rPr>
                <w:spacing w:val="-5"/>
                <w:lang w:val="de-DE"/>
              </w:rPr>
              <w:t>2.7</w:t>
            </w:r>
          </w:p>
        </w:tc>
        <w:tc>
          <w:tcPr>
            <w:tcW w:w="963" w:type="pct"/>
          </w:tcPr>
          <w:p w14:paraId="4C11E06E" w14:textId="77777777" w:rsidR="00FF7799" w:rsidRPr="00E73F6F" w:rsidRDefault="00FF7799" w:rsidP="00F3090F">
            <w:pPr>
              <w:pStyle w:val="StandardText"/>
              <w:jc w:val="center"/>
              <w:rPr>
                <w:lang w:val="de-DE"/>
              </w:rPr>
            </w:pPr>
            <w:r w:rsidRPr="00E73F6F">
              <w:rPr>
                <w:lang w:val="de-DE"/>
              </w:rPr>
              <w:t>8</w:t>
            </w:r>
          </w:p>
        </w:tc>
      </w:tr>
      <w:tr w:rsidR="00FF7799" w:rsidRPr="00E73F6F" w14:paraId="5402298F" w14:textId="77777777" w:rsidTr="008E038E">
        <w:trPr>
          <w:trHeight w:val="241"/>
        </w:trPr>
        <w:tc>
          <w:tcPr>
            <w:tcW w:w="391" w:type="pct"/>
          </w:tcPr>
          <w:p w14:paraId="5D081D90" w14:textId="77777777" w:rsidR="00FF7799" w:rsidRPr="00E73F6F" w:rsidRDefault="00FF7799" w:rsidP="00F3090F">
            <w:pPr>
              <w:pStyle w:val="StandardText"/>
              <w:jc w:val="center"/>
              <w:rPr>
                <w:lang w:val="de-DE"/>
              </w:rPr>
            </w:pPr>
          </w:p>
        </w:tc>
        <w:tc>
          <w:tcPr>
            <w:tcW w:w="1720" w:type="pct"/>
          </w:tcPr>
          <w:p w14:paraId="1B63125A" w14:textId="77777777" w:rsidR="00FF7799" w:rsidRPr="00E73F6F" w:rsidRDefault="00FF7799" w:rsidP="00F3090F">
            <w:pPr>
              <w:pStyle w:val="StandardText"/>
              <w:jc w:val="left"/>
              <w:rPr>
                <w:lang w:val="de-DE"/>
              </w:rPr>
            </w:pPr>
            <w:r w:rsidRPr="00E73F6F">
              <w:rPr>
                <w:spacing w:val="-2"/>
                <w:lang w:val="de-DE"/>
              </w:rPr>
              <w:t>Ruanda</w:t>
            </w:r>
          </w:p>
        </w:tc>
        <w:tc>
          <w:tcPr>
            <w:tcW w:w="963" w:type="pct"/>
          </w:tcPr>
          <w:p w14:paraId="42C3D5E5" w14:textId="77777777" w:rsidR="00FF7799" w:rsidRPr="00E73F6F" w:rsidRDefault="00FF7799" w:rsidP="00F3090F">
            <w:pPr>
              <w:pStyle w:val="StandardText"/>
              <w:jc w:val="center"/>
              <w:rPr>
                <w:lang w:val="de-DE"/>
              </w:rPr>
            </w:pPr>
            <w:r w:rsidRPr="00E73F6F">
              <w:rPr>
                <w:spacing w:val="-5"/>
                <w:lang w:val="de-DE"/>
              </w:rPr>
              <w:t>2.5</w:t>
            </w:r>
          </w:p>
        </w:tc>
        <w:tc>
          <w:tcPr>
            <w:tcW w:w="963" w:type="pct"/>
          </w:tcPr>
          <w:p w14:paraId="6DF18BCE" w14:textId="77777777" w:rsidR="00FF7799" w:rsidRPr="00E73F6F" w:rsidRDefault="00FF7799" w:rsidP="00F3090F">
            <w:pPr>
              <w:pStyle w:val="StandardText"/>
              <w:jc w:val="center"/>
              <w:rPr>
                <w:lang w:val="de-DE"/>
              </w:rPr>
            </w:pPr>
            <w:r w:rsidRPr="00E73F6F">
              <w:rPr>
                <w:lang w:val="de-DE"/>
              </w:rPr>
              <w:t>2.3 -</w:t>
            </w:r>
            <w:r w:rsidRPr="00E73F6F">
              <w:rPr>
                <w:spacing w:val="-3"/>
                <w:lang w:val="de-DE"/>
              </w:rPr>
              <w:t xml:space="preserve"> </w:t>
            </w:r>
            <w:r w:rsidRPr="00E73F6F">
              <w:rPr>
                <w:spacing w:val="-5"/>
                <w:lang w:val="de-DE"/>
              </w:rPr>
              <w:t>2.6</w:t>
            </w:r>
          </w:p>
        </w:tc>
        <w:tc>
          <w:tcPr>
            <w:tcW w:w="963" w:type="pct"/>
          </w:tcPr>
          <w:p w14:paraId="668D40F7" w14:textId="77777777" w:rsidR="00FF7799" w:rsidRPr="00E73F6F" w:rsidRDefault="00FF7799" w:rsidP="00F3090F">
            <w:pPr>
              <w:pStyle w:val="StandardText"/>
              <w:jc w:val="center"/>
              <w:rPr>
                <w:lang w:val="de-DE"/>
              </w:rPr>
            </w:pPr>
            <w:r w:rsidRPr="00E73F6F">
              <w:rPr>
                <w:lang w:val="de-DE"/>
              </w:rPr>
              <w:t>3</w:t>
            </w:r>
          </w:p>
        </w:tc>
      </w:tr>
      <w:tr w:rsidR="00FF7799" w:rsidRPr="00E73F6F" w14:paraId="3D2CF46B" w14:textId="77777777" w:rsidTr="008E038E">
        <w:trPr>
          <w:trHeight w:val="242"/>
        </w:trPr>
        <w:tc>
          <w:tcPr>
            <w:tcW w:w="391" w:type="pct"/>
          </w:tcPr>
          <w:p w14:paraId="72012704" w14:textId="77777777" w:rsidR="00FF7799" w:rsidRPr="00E73F6F" w:rsidRDefault="00FF7799" w:rsidP="00F3090F">
            <w:pPr>
              <w:pStyle w:val="StandardText"/>
              <w:jc w:val="center"/>
              <w:rPr>
                <w:lang w:val="de-DE"/>
              </w:rPr>
            </w:pPr>
          </w:p>
        </w:tc>
        <w:tc>
          <w:tcPr>
            <w:tcW w:w="1720" w:type="pct"/>
          </w:tcPr>
          <w:p w14:paraId="3142BD04" w14:textId="77777777" w:rsidR="00FF7799" w:rsidRPr="00E73F6F" w:rsidRDefault="00FF7799" w:rsidP="00F3090F">
            <w:pPr>
              <w:pStyle w:val="StandardText"/>
              <w:jc w:val="left"/>
              <w:rPr>
                <w:lang w:val="de-DE"/>
              </w:rPr>
            </w:pPr>
            <w:r w:rsidRPr="00E73F6F">
              <w:rPr>
                <w:spacing w:val="-2"/>
                <w:lang w:val="de-DE"/>
              </w:rPr>
              <w:t>Swasiland</w:t>
            </w:r>
          </w:p>
        </w:tc>
        <w:tc>
          <w:tcPr>
            <w:tcW w:w="963" w:type="pct"/>
          </w:tcPr>
          <w:p w14:paraId="6859FFF8" w14:textId="77777777" w:rsidR="00FF7799" w:rsidRPr="00E73F6F" w:rsidRDefault="00FF7799" w:rsidP="00F3090F">
            <w:pPr>
              <w:pStyle w:val="StandardText"/>
              <w:jc w:val="center"/>
              <w:rPr>
                <w:lang w:val="de-DE"/>
              </w:rPr>
            </w:pPr>
            <w:r w:rsidRPr="00E73F6F">
              <w:rPr>
                <w:spacing w:val="-5"/>
                <w:lang w:val="de-DE"/>
              </w:rPr>
              <w:t>2.5</w:t>
            </w:r>
          </w:p>
        </w:tc>
        <w:tc>
          <w:tcPr>
            <w:tcW w:w="963" w:type="pct"/>
          </w:tcPr>
          <w:p w14:paraId="5FBDABCD" w14:textId="77777777" w:rsidR="00FF7799" w:rsidRPr="00E73F6F" w:rsidRDefault="00FF7799" w:rsidP="00F3090F">
            <w:pPr>
              <w:pStyle w:val="StandardText"/>
              <w:jc w:val="center"/>
              <w:rPr>
                <w:lang w:val="de-DE"/>
              </w:rPr>
            </w:pPr>
            <w:r w:rsidRPr="00E73F6F">
              <w:rPr>
                <w:lang w:val="de-DE"/>
              </w:rPr>
              <w:t>2.2 -</w:t>
            </w:r>
            <w:r w:rsidRPr="00E73F6F">
              <w:rPr>
                <w:spacing w:val="-3"/>
                <w:lang w:val="de-DE"/>
              </w:rPr>
              <w:t xml:space="preserve"> </w:t>
            </w:r>
            <w:r w:rsidRPr="00E73F6F">
              <w:rPr>
                <w:spacing w:val="-5"/>
                <w:lang w:val="de-DE"/>
              </w:rPr>
              <w:t>2.7</w:t>
            </w:r>
          </w:p>
        </w:tc>
        <w:tc>
          <w:tcPr>
            <w:tcW w:w="963" w:type="pct"/>
          </w:tcPr>
          <w:p w14:paraId="0A74C818" w14:textId="77777777" w:rsidR="00FF7799" w:rsidRPr="00E73F6F" w:rsidRDefault="00FF7799" w:rsidP="00F3090F">
            <w:pPr>
              <w:pStyle w:val="StandardText"/>
              <w:jc w:val="center"/>
              <w:rPr>
                <w:lang w:val="de-DE"/>
              </w:rPr>
            </w:pPr>
            <w:r w:rsidRPr="00E73F6F">
              <w:rPr>
                <w:lang w:val="de-DE"/>
              </w:rPr>
              <w:t>3</w:t>
            </w:r>
          </w:p>
        </w:tc>
      </w:tr>
      <w:tr w:rsidR="00FF7799" w:rsidRPr="00E73F6F" w14:paraId="6B2CBF26" w14:textId="77777777" w:rsidTr="008E038E">
        <w:trPr>
          <w:trHeight w:val="242"/>
        </w:trPr>
        <w:tc>
          <w:tcPr>
            <w:tcW w:w="391" w:type="pct"/>
          </w:tcPr>
          <w:p w14:paraId="00A99374" w14:textId="77777777" w:rsidR="00FF7799" w:rsidRPr="00E73F6F" w:rsidRDefault="00FF7799" w:rsidP="00F3090F">
            <w:pPr>
              <w:pStyle w:val="StandardText"/>
              <w:jc w:val="center"/>
              <w:rPr>
                <w:lang w:val="de-DE"/>
              </w:rPr>
            </w:pPr>
            <w:r w:rsidRPr="00E73F6F">
              <w:rPr>
                <w:spacing w:val="-5"/>
                <w:lang w:val="de-DE"/>
              </w:rPr>
              <w:t>130</w:t>
            </w:r>
          </w:p>
        </w:tc>
        <w:tc>
          <w:tcPr>
            <w:tcW w:w="1720" w:type="pct"/>
          </w:tcPr>
          <w:p w14:paraId="048A6FCF" w14:textId="77777777" w:rsidR="00FF7799" w:rsidRPr="00E73F6F" w:rsidRDefault="00FF7799" w:rsidP="00F3090F">
            <w:pPr>
              <w:pStyle w:val="StandardText"/>
              <w:jc w:val="left"/>
              <w:rPr>
                <w:lang w:val="de-DE"/>
              </w:rPr>
            </w:pPr>
            <w:r w:rsidRPr="00E73F6F">
              <w:rPr>
                <w:spacing w:val="-2"/>
                <w:lang w:val="de-DE"/>
              </w:rPr>
              <w:t>Aserbaidschan</w:t>
            </w:r>
          </w:p>
        </w:tc>
        <w:tc>
          <w:tcPr>
            <w:tcW w:w="963" w:type="pct"/>
          </w:tcPr>
          <w:p w14:paraId="4DF00130" w14:textId="77777777" w:rsidR="00FF7799" w:rsidRPr="00E73F6F" w:rsidRDefault="00FF7799" w:rsidP="00F3090F">
            <w:pPr>
              <w:pStyle w:val="StandardText"/>
              <w:jc w:val="center"/>
              <w:rPr>
                <w:lang w:val="de-DE"/>
              </w:rPr>
            </w:pPr>
            <w:r w:rsidRPr="00E73F6F">
              <w:rPr>
                <w:spacing w:val="-5"/>
                <w:lang w:val="de-DE"/>
              </w:rPr>
              <w:t>2.4</w:t>
            </w:r>
          </w:p>
        </w:tc>
        <w:tc>
          <w:tcPr>
            <w:tcW w:w="963" w:type="pct"/>
          </w:tcPr>
          <w:p w14:paraId="0B6A5B20" w14:textId="77777777" w:rsidR="00FF7799" w:rsidRPr="00E73F6F" w:rsidRDefault="00FF7799" w:rsidP="00F3090F">
            <w:pPr>
              <w:pStyle w:val="StandardText"/>
              <w:jc w:val="center"/>
              <w:rPr>
                <w:lang w:val="de-DE"/>
              </w:rPr>
            </w:pPr>
            <w:r w:rsidRPr="00E73F6F">
              <w:rPr>
                <w:lang w:val="de-DE"/>
              </w:rPr>
              <w:t>2.2 -</w:t>
            </w:r>
            <w:r w:rsidRPr="00E73F6F">
              <w:rPr>
                <w:spacing w:val="-3"/>
                <w:lang w:val="de-DE"/>
              </w:rPr>
              <w:t xml:space="preserve"> </w:t>
            </w:r>
            <w:r w:rsidRPr="00E73F6F">
              <w:rPr>
                <w:spacing w:val="-5"/>
                <w:lang w:val="de-DE"/>
              </w:rPr>
              <w:t>2.6</w:t>
            </w:r>
          </w:p>
        </w:tc>
        <w:tc>
          <w:tcPr>
            <w:tcW w:w="963" w:type="pct"/>
          </w:tcPr>
          <w:p w14:paraId="0A369632" w14:textId="77777777" w:rsidR="00FF7799" w:rsidRPr="00E73F6F" w:rsidRDefault="00FF7799" w:rsidP="00F3090F">
            <w:pPr>
              <w:pStyle w:val="StandardText"/>
              <w:jc w:val="center"/>
              <w:rPr>
                <w:lang w:val="de-DE"/>
              </w:rPr>
            </w:pPr>
            <w:r w:rsidRPr="00E73F6F">
              <w:rPr>
                <w:lang w:val="de-DE"/>
              </w:rPr>
              <w:t>7</w:t>
            </w:r>
          </w:p>
        </w:tc>
      </w:tr>
      <w:tr w:rsidR="00FF7799" w:rsidRPr="00E73F6F" w14:paraId="6E848679" w14:textId="77777777" w:rsidTr="008E038E">
        <w:trPr>
          <w:trHeight w:val="242"/>
        </w:trPr>
        <w:tc>
          <w:tcPr>
            <w:tcW w:w="391" w:type="pct"/>
          </w:tcPr>
          <w:p w14:paraId="2EADFD7B" w14:textId="77777777" w:rsidR="00FF7799" w:rsidRPr="00E73F6F" w:rsidRDefault="00FF7799" w:rsidP="00F3090F">
            <w:pPr>
              <w:pStyle w:val="StandardText"/>
              <w:jc w:val="center"/>
              <w:rPr>
                <w:lang w:val="de-DE"/>
              </w:rPr>
            </w:pPr>
          </w:p>
        </w:tc>
        <w:tc>
          <w:tcPr>
            <w:tcW w:w="1720" w:type="pct"/>
          </w:tcPr>
          <w:p w14:paraId="63E22814" w14:textId="77777777" w:rsidR="00FF7799" w:rsidRPr="00E73F6F" w:rsidRDefault="00FF7799" w:rsidP="00F3090F">
            <w:pPr>
              <w:pStyle w:val="StandardText"/>
              <w:jc w:val="left"/>
              <w:rPr>
                <w:lang w:val="de-DE"/>
              </w:rPr>
            </w:pPr>
            <w:r w:rsidRPr="00E73F6F">
              <w:rPr>
                <w:spacing w:val="-2"/>
                <w:lang w:val="de-DE"/>
              </w:rPr>
              <w:t>Burundi</w:t>
            </w:r>
          </w:p>
        </w:tc>
        <w:tc>
          <w:tcPr>
            <w:tcW w:w="963" w:type="pct"/>
          </w:tcPr>
          <w:p w14:paraId="762883A5" w14:textId="77777777" w:rsidR="00FF7799" w:rsidRPr="00E73F6F" w:rsidRDefault="00FF7799" w:rsidP="00F3090F">
            <w:pPr>
              <w:pStyle w:val="StandardText"/>
              <w:jc w:val="center"/>
              <w:rPr>
                <w:lang w:val="de-DE"/>
              </w:rPr>
            </w:pPr>
            <w:r w:rsidRPr="00E73F6F">
              <w:rPr>
                <w:spacing w:val="-5"/>
                <w:lang w:val="de-DE"/>
              </w:rPr>
              <w:t>2.4</w:t>
            </w:r>
          </w:p>
        </w:tc>
        <w:tc>
          <w:tcPr>
            <w:tcW w:w="963" w:type="pct"/>
          </w:tcPr>
          <w:p w14:paraId="0B4F3EDD" w14:textId="77777777" w:rsidR="00FF7799" w:rsidRPr="00E73F6F" w:rsidRDefault="00FF7799" w:rsidP="00F3090F">
            <w:pPr>
              <w:pStyle w:val="StandardText"/>
              <w:jc w:val="center"/>
              <w:rPr>
                <w:lang w:val="de-DE"/>
              </w:rPr>
            </w:pPr>
            <w:r w:rsidRPr="00E73F6F">
              <w:rPr>
                <w:lang w:val="de-DE"/>
              </w:rPr>
              <w:t>2.2 -</w:t>
            </w:r>
            <w:r w:rsidRPr="00E73F6F">
              <w:rPr>
                <w:spacing w:val="-3"/>
                <w:lang w:val="de-DE"/>
              </w:rPr>
              <w:t xml:space="preserve"> </w:t>
            </w:r>
            <w:r w:rsidRPr="00E73F6F">
              <w:rPr>
                <w:spacing w:val="-5"/>
                <w:lang w:val="de-DE"/>
              </w:rPr>
              <w:t>2.6</w:t>
            </w:r>
          </w:p>
        </w:tc>
        <w:tc>
          <w:tcPr>
            <w:tcW w:w="963" w:type="pct"/>
          </w:tcPr>
          <w:p w14:paraId="7A2B69BE" w14:textId="77777777" w:rsidR="00FF7799" w:rsidRPr="00E73F6F" w:rsidRDefault="00FF7799" w:rsidP="00F3090F">
            <w:pPr>
              <w:pStyle w:val="StandardText"/>
              <w:jc w:val="center"/>
              <w:rPr>
                <w:lang w:val="de-DE"/>
              </w:rPr>
            </w:pPr>
            <w:r w:rsidRPr="00E73F6F">
              <w:rPr>
                <w:lang w:val="de-DE"/>
              </w:rPr>
              <w:t>5</w:t>
            </w:r>
          </w:p>
        </w:tc>
      </w:tr>
      <w:tr w:rsidR="00FF7799" w:rsidRPr="00E73F6F" w14:paraId="557F6F55" w14:textId="77777777" w:rsidTr="008E038E">
        <w:trPr>
          <w:trHeight w:val="400"/>
        </w:trPr>
        <w:tc>
          <w:tcPr>
            <w:tcW w:w="391" w:type="pct"/>
          </w:tcPr>
          <w:p w14:paraId="6D27B1E3" w14:textId="77777777" w:rsidR="00FF7799" w:rsidRPr="00E73F6F" w:rsidRDefault="00FF7799" w:rsidP="00F3090F">
            <w:pPr>
              <w:pStyle w:val="StandardText"/>
              <w:jc w:val="center"/>
              <w:rPr>
                <w:lang w:val="de-DE"/>
              </w:rPr>
            </w:pPr>
          </w:p>
        </w:tc>
        <w:tc>
          <w:tcPr>
            <w:tcW w:w="1720" w:type="pct"/>
          </w:tcPr>
          <w:p w14:paraId="26E03AE4" w14:textId="77777777" w:rsidR="00FF7799" w:rsidRPr="00E73F6F" w:rsidRDefault="00FF7799" w:rsidP="00F3090F">
            <w:pPr>
              <w:pStyle w:val="StandardText"/>
              <w:jc w:val="left"/>
              <w:rPr>
                <w:lang w:val="de-DE"/>
              </w:rPr>
            </w:pPr>
            <w:r w:rsidRPr="00E73F6F">
              <w:rPr>
                <w:spacing w:val="-2"/>
                <w:lang w:val="de-DE"/>
              </w:rPr>
              <w:t>Zentralafrikanische</w:t>
            </w:r>
            <w:r w:rsidRPr="00E73F6F">
              <w:rPr>
                <w:spacing w:val="40"/>
                <w:lang w:val="de-DE"/>
              </w:rPr>
              <w:t xml:space="preserve"> </w:t>
            </w:r>
            <w:r w:rsidRPr="00E73F6F">
              <w:rPr>
                <w:spacing w:val="-2"/>
                <w:lang w:val="de-DE"/>
              </w:rPr>
              <w:t>Republik</w:t>
            </w:r>
          </w:p>
        </w:tc>
        <w:tc>
          <w:tcPr>
            <w:tcW w:w="963" w:type="pct"/>
          </w:tcPr>
          <w:p w14:paraId="03400630" w14:textId="77777777" w:rsidR="00FF7799" w:rsidRPr="00E73F6F" w:rsidRDefault="00FF7799" w:rsidP="00F3090F">
            <w:pPr>
              <w:pStyle w:val="StandardText"/>
              <w:jc w:val="center"/>
              <w:rPr>
                <w:lang w:val="de-DE"/>
              </w:rPr>
            </w:pPr>
            <w:r w:rsidRPr="00E73F6F">
              <w:rPr>
                <w:spacing w:val="-5"/>
                <w:lang w:val="de-DE"/>
              </w:rPr>
              <w:t>2.4</w:t>
            </w:r>
          </w:p>
        </w:tc>
        <w:tc>
          <w:tcPr>
            <w:tcW w:w="963" w:type="pct"/>
          </w:tcPr>
          <w:p w14:paraId="4A3A0C3F" w14:textId="77777777" w:rsidR="00FF7799" w:rsidRPr="00E73F6F" w:rsidRDefault="00FF7799" w:rsidP="00F3090F">
            <w:pPr>
              <w:pStyle w:val="StandardText"/>
              <w:jc w:val="center"/>
              <w:rPr>
                <w:lang w:val="de-DE"/>
              </w:rPr>
            </w:pPr>
            <w:r w:rsidRPr="00E73F6F">
              <w:rPr>
                <w:lang w:val="de-DE"/>
              </w:rPr>
              <w:t>2.2 -</w:t>
            </w:r>
            <w:r w:rsidRPr="00E73F6F">
              <w:rPr>
                <w:spacing w:val="-3"/>
                <w:lang w:val="de-DE"/>
              </w:rPr>
              <w:t xml:space="preserve"> </w:t>
            </w:r>
            <w:r w:rsidRPr="00E73F6F">
              <w:rPr>
                <w:spacing w:val="-5"/>
                <w:lang w:val="de-DE"/>
              </w:rPr>
              <w:t>2.5</w:t>
            </w:r>
          </w:p>
        </w:tc>
        <w:tc>
          <w:tcPr>
            <w:tcW w:w="963" w:type="pct"/>
          </w:tcPr>
          <w:p w14:paraId="2FF49831" w14:textId="77777777" w:rsidR="00FF7799" w:rsidRPr="00E73F6F" w:rsidRDefault="00FF7799" w:rsidP="00F3090F">
            <w:pPr>
              <w:pStyle w:val="StandardText"/>
              <w:jc w:val="center"/>
              <w:rPr>
                <w:lang w:val="de-DE"/>
              </w:rPr>
            </w:pPr>
            <w:r w:rsidRPr="00E73F6F">
              <w:rPr>
                <w:lang w:val="de-DE"/>
              </w:rPr>
              <w:t>3</w:t>
            </w:r>
          </w:p>
        </w:tc>
      </w:tr>
      <w:tr w:rsidR="00FF7799" w:rsidRPr="00E73F6F" w14:paraId="2776A500" w14:textId="77777777" w:rsidTr="008E038E">
        <w:trPr>
          <w:trHeight w:val="244"/>
        </w:trPr>
        <w:tc>
          <w:tcPr>
            <w:tcW w:w="391" w:type="pct"/>
          </w:tcPr>
          <w:p w14:paraId="14DF006D" w14:textId="77777777" w:rsidR="00FF7799" w:rsidRPr="00E73F6F" w:rsidRDefault="00FF7799" w:rsidP="00F3090F">
            <w:pPr>
              <w:pStyle w:val="StandardText"/>
              <w:jc w:val="center"/>
              <w:rPr>
                <w:lang w:val="de-DE"/>
              </w:rPr>
            </w:pPr>
          </w:p>
        </w:tc>
        <w:tc>
          <w:tcPr>
            <w:tcW w:w="1720" w:type="pct"/>
          </w:tcPr>
          <w:p w14:paraId="4A200254" w14:textId="77777777" w:rsidR="00FF7799" w:rsidRPr="00E73F6F" w:rsidRDefault="00FF7799" w:rsidP="00F3090F">
            <w:pPr>
              <w:pStyle w:val="StandardText"/>
              <w:jc w:val="left"/>
              <w:rPr>
                <w:lang w:val="de-DE"/>
              </w:rPr>
            </w:pPr>
            <w:r w:rsidRPr="00E73F6F">
              <w:rPr>
                <w:spacing w:val="-2"/>
                <w:lang w:val="de-DE"/>
              </w:rPr>
              <w:t>Äthiopien</w:t>
            </w:r>
          </w:p>
        </w:tc>
        <w:tc>
          <w:tcPr>
            <w:tcW w:w="963" w:type="pct"/>
          </w:tcPr>
          <w:p w14:paraId="49063B37" w14:textId="77777777" w:rsidR="00FF7799" w:rsidRPr="00E73F6F" w:rsidRDefault="00FF7799" w:rsidP="00F3090F">
            <w:pPr>
              <w:pStyle w:val="StandardText"/>
              <w:jc w:val="center"/>
              <w:rPr>
                <w:lang w:val="de-DE"/>
              </w:rPr>
            </w:pPr>
            <w:r w:rsidRPr="00E73F6F">
              <w:rPr>
                <w:spacing w:val="-5"/>
                <w:lang w:val="de-DE"/>
              </w:rPr>
              <w:t>2.4</w:t>
            </w:r>
          </w:p>
        </w:tc>
        <w:tc>
          <w:tcPr>
            <w:tcW w:w="963" w:type="pct"/>
          </w:tcPr>
          <w:p w14:paraId="0F1A79A3" w14:textId="77777777" w:rsidR="00FF7799" w:rsidRPr="00E73F6F" w:rsidRDefault="00FF7799" w:rsidP="00F3090F">
            <w:pPr>
              <w:pStyle w:val="StandardText"/>
              <w:jc w:val="center"/>
              <w:rPr>
                <w:lang w:val="de-DE"/>
              </w:rPr>
            </w:pPr>
            <w:r w:rsidRPr="00E73F6F">
              <w:rPr>
                <w:lang w:val="de-DE"/>
              </w:rPr>
              <w:t>2.2 -</w:t>
            </w:r>
            <w:r w:rsidRPr="00E73F6F">
              <w:rPr>
                <w:spacing w:val="-3"/>
                <w:lang w:val="de-DE"/>
              </w:rPr>
              <w:t xml:space="preserve"> </w:t>
            </w:r>
            <w:r w:rsidRPr="00E73F6F">
              <w:rPr>
                <w:spacing w:val="-5"/>
                <w:lang w:val="de-DE"/>
              </w:rPr>
              <w:t>2.6</w:t>
            </w:r>
          </w:p>
        </w:tc>
        <w:tc>
          <w:tcPr>
            <w:tcW w:w="963" w:type="pct"/>
          </w:tcPr>
          <w:p w14:paraId="05B90EBA" w14:textId="77777777" w:rsidR="00FF7799" w:rsidRPr="00E73F6F" w:rsidRDefault="00FF7799" w:rsidP="00F3090F">
            <w:pPr>
              <w:pStyle w:val="StandardText"/>
              <w:jc w:val="center"/>
              <w:rPr>
                <w:lang w:val="de-DE"/>
              </w:rPr>
            </w:pPr>
            <w:r w:rsidRPr="00E73F6F">
              <w:rPr>
                <w:lang w:val="de-DE"/>
              </w:rPr>
              <w:t>7</w:t>
            </w:r>
          </w:p>
        </w:tc>
      </w:tr>
      <w:tr w:rsidR="00FF7799" w:rsidRPr="00E73F6F" w14:paraId="5C9ED927" w14:textId="77777777" w:rsidTr="008E038E">
        <w:trPr>
          <w:trHeight w:val="239"/>
        </w:trPr>
        <w:tc>
          <w:tcPr>
            <w:tcW w:w="391" w:type="pct"/>
          </w:tcPr>
          <w:p w14:paraId="0DA4CA05" w14:textId="77777777" w:rsidR="00FF7799" w:rsidRPr="00E73F6F" w:rsidRDefault="00FF7799" w:rsidP="00F3090F">
            <w:pPr>
              <w:pStyle w:val="StandardText"/>
              <w:jc w:val="center"/>
              <w:rPr>
                <w:lang w:val="de-DE"/>
              </w:rPr>
            </w:pPr>
          </w:p>
        </w:tc>
        <w:tc>
          <w:tcPr>
            <w:tcW w:w="1720" w:type="pct"/>
          </w:tcPr>
          <w:p w14:paraId="05E6CD34" w14:textId="77777777" w:rsidR="00FF7799" w:rsidRPr="00E73F6F" w:rsidRDefault="00FF7799" w:rsidP="00F3090F">
            <w:pPr>
              <w:pStyle w:val="StandardText"/>
              <w:jc w:val="left"/>
              <w:rPr>
                <w:lang w:val="de-DE"/>
              </w:rPr>
            </w:pPr>
            <w:r w:rsidRPr="00E73F6F">
              <w:rPr>
                <w:spacing w:val="-2"/>
                <w:lang w:val="de-DE"/>
              </w:rPr>
              <w:t>Indonesien</w:t>
            </w:r>
          </w:p>
        </w:tc>
        <w:tc>
          <w:tcPr>
            <w:tcW w:w="963" w:type="pct"/>
          </w:tcPr>
          <w:p w14:paraId="025AFDE4" w14:textId="77777777" w:rsidR="00FF7799" w:rsidRPr="00E73F6F" w:rsidRDefault="00FF7799" w:rsidP="00F3090F">
            <w:pPr>
              <w:pStyle w:val="StandardText"/>
              <w:jc w:val="center"/>
              <w:rPr>
                <w:lang w:val="de-DE"/>
              </w:rPr>
            </w:pPr>
            <w:r w:rsidRPr="00E73F6F">
              <w:rPr>
                <w:spacing w:val="-5"/>
                <w:lang w:val="de-DE"/>
              </w:rPr>
              <w:t>2.4</w:t>
            </w:r>
          </w:p>
        </w:tc>
        <w:tc>
          <w:tcPr>
            <w:tcW w:w="963" w:type="pct"/>
          </w:tcPr>
          <w:p w14:paraId="77CAB791" w14:textId="77777777" w:rsidR="00FF7799" w:rsidRPr="00E73F6F" w:rsidRDefault="00FF7799" w:rsidP="00F3090F">
            <w:pPr>
              <w:pStyle w:val="StandardText"/>
              <w:jc w:val="center"/>
              <w:rPr>
                <w:lang w:val="de-DE"/>
              </w:rPr>
            </w:pPr>
            <w:r w:rsidRPr="00E73F6F">
              <w:rPr>
                <w:lang w:val="de-DE"/>
              </w:rPr>
              <w:t>2.2 -</w:t>
            </w:r>
            <w:r w:rsidRPr="00E73F6F">
              <w:rPr>
                <w:spacing w:val="-3"/>
                <w:lang w:val="de-DE"/>
              </w:rPr>
              <w:t xml:space="preserve"> </w:t>
            </w:r>
            <w:r w:rsidRPr="00E73F6F">
              <w:rPr>
                <w:spacing w:val="-5"/>
                <w:lang w:val="de-DE"/>
              </w:rPr>
              <w:t>2.6</w:t>
            </w:r>
          </w:p>
        </w:tc>
        <w:tc>
          <w:tcPr>
            <w:tcW w:w="963" w:type="pct"/>
          </w:tcPr>
          <w:p w14:paraId="36F1282B" w14:textId="77777777" w:rsidR="00FF7799" w:rsidRPr="00E73F6F" w:rsidRDefault="00FF7799" w:rsidP="00F3090F">
            <w:pPr>
              <w:pStyle w:val="StandardText"/>
              <w:jc w:val="center"/>
              <w:rPr>
                <w:lang w:val="de-DE"/>
              </w:rPr>
            </w:pPr>
            <w:r w:rsidRPr="00E73F6F">
              <w:rPr>
                <w:spacing w:val="-5"/>
                <w:lang w:val="de-DE"/>
              </w:rPr>
              <w:t>10</w:t>
            </w:r>
          </w:p>
        </w:tc>
      </w:tr>
      <w:tr w:rsidR="00FF7799" w:rsidRPr="00E73F6F" w14:paraId="319C9A82" w14:textId="77777777" w:rsidTr="008E038E">
        <w:trPr>
          <w:trHeight w:val="244"/>
        </w:trPr>
        <w:tc>
          <w:tcPr>
            <w:tcW w:w="391" w:type="pct"/>
          </w:tcPr>
          <w:p w14:paraId="54FD9DB6" w14:textId="77777777" w:rsidR="00FF7799" w:rsidRPr="00E73F6F" w:rsidRDefault="00FF7799" w:rsidP="00F3090F">
            <w:pPr>
              <w:pStyle w:val="StandardText"/>
              <w:jc w:val="center"/>
              <w:rPr>
                <w:lang w:val="de-DE"/>
              </w:rPr>
            </w:pPr>
          </w:p>
        </w:tc>
        <w:tc>
          <w:tcPr>
            <w:tcW w:w="1720" w:type="pct"/>
          </w:tcPr>
          <w:p w14:paraId="20982237" w14:textId="77777777" w:rsidR="00FF7799" w:rsidRPr="00E73F6F" w:rsidRDefault="00FF7799" w:rsidP="00F3090F">
            <w:pPr>
              <w:pStyle w:val="StandardText"/>
              <w:jc w:val="left"/>
              <w:rPr>
                <w:lang w:val="de-DE"/>
              </w:rPr>
            </w:pPr>
            <w:r w:rsidRPr="00E73F6F">
              <w:rPr>
                <w:spacing w:val="-2"/>
                <w:lang w:val="de-DE"/>
              </w:rPr>
              <w:t>Papua-Neuguinea</w:t>
            </w:r>
          </w:p>
        </w:tc>
        <w:tc>
          <w:tcPr>
            <w:tcW w:w="963" w:type="pct"/>
          </w:tcPr>
          <w:p w14:paraId="07655C52" w14:textId="77777777" w:rsidR="00FF7799" w:rsidRPr="00E73F6F" w:rsidRDefault="00FF7799" w:rsidP="00F3090F">
            <w:pPr>
              <w:pStyle w:val="StandardText"/>
              <w:jc w:val="center"/>
              <w:rPr>
                <w:lang w:val="de-DE"/>
              </w:rPr>
            </w:pPr>
            <w:r w:rsidRPr="00E73F6F">
              <w:rPr>
                <w:spacing w:val="-5"/>
                <w:lang w:val="de-DE"/>
              </w:rPr>
              <w:t>2.4</w:t>
            </w:r>
          </w:p>
        </w:tc>
        <w:tc>
          <w:tcPr>
            <w:tcW w:w="963" w:type="pct"/>
          </w:tcPr>
          <w:p w14:paraId="56935C14" w14:textId="77777777" w:rsidR="00FF7799" w:rsidRPr="00E73F6F" w:rsidRDefault="00FF7799" w:rsidP="00F3090F">
            <w:pPr>
              <w:pStyle w:val="StandardText"/>
              <w:jc w:val="center"/>
              <w:rPr>
                <w:lang w:val="de-DE"/>
              </w:rPr>
            </w:pPr>
            <w:r w:rsidRPr="00E73F6F">
              <w:rPr>
                <w:lang w:val="de-DE"/>
              </w:rPr>
              <w:t>2.3 -</w:t>
            </w:r>
            <w:r w:rsidRPr="00E73F6F">
              <w:rPr>
                <w:spacing w:val="-3"/>
                <w:lang w:val="de-DE"/>
              </w:rPr>
              <w:t xml:space="preserve"> </w:t>
            </w:r>
            <w:r w:rsidRPr="00E73F6F">
              <w:rPr>
                <w:spacing w:val="-5"/>
                <w:lang w:val="de-DE"/>
              </w:rPr>
              <w:t>2.6</w:t>
            </w:r>
          </w:p>
        </w:tc>
        <w:tc>
          <w:tcPr>
            <w:tcW w:w="963" w:type="pct"/>
          </w:tcPr>
          <w:p w14:paraId="6E403E22" w14:textId="77777777" w:rsidR="00FF7799" w:rsidRPr="00E73F6F" w:rsidRDefault="00FF7799" w:rsidP="00F3090F">
            <w:pPr>
              <w:pStyle w:val="StandardText"/>
              <w:jc w:val="center"/>
              <w:rPr>
                <w:lang w:val="de-DE"/>
              </w:rPr>
            </w:pPr>
            <w:r w:rsidRPr="00E73F6F">
              <w:rPr>
                <w:lang w:val="de-DE"/>
              </w:rPr>
              <w:t>4</w:t>
            </w:r>
          </w:p>
        </w:tc>
      </w:tr>
      <w:tr w:rsidR="00FF7799" w:rsidRPr="00E73F6F" w14:paraId="1EBD9EAE" w14:textId="77777777" w:rsidTr="008E038E">
        <w:trPr>
          <w:trHeight w:val="239"/>
        </w:trPr>
        <w:tc>
          <w:tcPr>
            <w:tcW w:w="391" w:type="pct"/>
          </w:tcPr>
          <w:p w14:paraId="5FE04651" w14:textId="77777777" w:rsidR="00FF7799" w:rsidRPr="00E73F6F" w:rsidRDefault="00FF7799" w:rsidP="00F3090F">
            <w:pPr>
              <w:pStyle w:val="StandardText"/>
              <w:jc w:val="center"/>
              <w:rPr>
                <w:lang w:val="de-DE"/>
              </w:rPr>
            </w:pPr>
          </w:p>
        </w:tc>
        <w:tc>
          <w:tcPr>
            <w:tcW w:w="1720" w:type="pct"/>
          </w:tcPr>
          <w:p w14:paraId="39F66A24" w14:textId="77777777" w:rsidR="00FF7799" w:rsidRPr="00E73F6F" w:rsidRDefault="00FF7799" w:rsidP="00F3090F">
            <w:pPr>
              <w:pStyle w:val="StandardText"/>
              <w:jc w:val="left"/>
              <w:rPr>
                <w:lang w:val="de-DE"/>
              </w:rPr>
            </w:pPr>
            <w:r w:rsidRPr="00E73F6F">
              <w:rPr>
                <w:lang w:val="de-DE"/>
              </w:rPr>
              <w:t>Togo</w:t>
            </w:r>
          </w:p>
        </w:tc>
        <w:tc>
          <w:tcPr>
            <w:tcW w:w="963" w:type="pct"/>
          </w:tcPr>
          <w:p w14:paraId="3D52C351" w14:textId="77777777" w:rsidR="00FF7799" w:rsidRPr="00E73F6F" w:rsidRDefault="00FF7799" w:rsidP="00F3090F">
            <w:pPr>
              <w:pStyle w:val="StandardText"/>
              <w:jc w:val="center"/>
              <w:rPr>
                <w:lang w:val="de-DE"/>
              </w:rPr>
            </w:pPr>
            <w:r w:rsidRPr="00E73F6F">
              <w:rPr>
                <w:spacing w:val="-5"/>
                <w:lang w:val="de-DE"/>
              </w:rPr>
              <w:t>2.4</w:t>
            </w:r>
          </w:p>
        </w:tc>
        <w:tc>
          <w:tcPr>
            <w:tcW w:w="963" w:type="pct"/>
          </w:tcPr>
          <w:p w14:paraId="2B1BC4E8" w14:textId="77777777" w:rsidR="00FF7799" w:rsidRPr="00E73F6F" w:rsidRDefault="00FF7799" w:rsidP="00F3090F">
            <w:pPr>
              <w:pStyle w:val="StandardText"/>
              <w:jc w:val="center"/>
              <w:rPr>
                <w:lang w:val="de-DE"/>
              </w:rPr>
            </w:pPr>
            <w:r w:rsidRPr="00E73F6F">
              <w:rPr>
                <w:lang w:val="de-DE"/>
              </w:rPr>
              <w:t>1.9 -</w:t>
            </w:r>
            <w:r w:rsidRPr="00E73F6F">
              <w:rPr>
                <w:spacing w:val="-3"/>
                <w:lang w:val="de-DE"/>
              </w:rPr>
              <w:t xml:space="preserve"> </w:t>
            </w:r>
            <w:r w:rsidRPr="00E73F6F">
              <w:rPr>
                <w:spacing w:val="-5"/>
                <w:lang w:val="de-DE"/>
              </w:rPr>
              <w:t>2.6</w:t>
            </w:r>
          </w:p>
        </w:tc>
        <w:tc>
          <w:tcPr>
            <w:tcW w:w="963" w:type="pct"/>
          </w:tcPr>
          <w:p w14:paraId="635DC0E3" w14:textId="77777777" w:rsidR="00FF7799" w:rsidRPr="00E73F6F" w:rsidRDefault="00FF7799" w:rsidP="00F3090F">
            <w:pPr>
              <w:pStyle w:val="StandardText"/>
              <w:jc w:val="center"/>
              <w:rPr>
                <w:lang w:val="de-DE"/>
              </w:rPr>
            </w:pPr>
            <w:r w:rsidRPr="00E73F6F">
              <w:rPr>
                <w:lang w:val="de-DE"/>
              </w:rPr>
              <w:t>3</w:t>
            </w:r>
          </w:p>
        </w:tc>
      </w:tr>
      <w:tr w:rsidR="00FF7799" w:rsidRPr="00E73F6F" w14:paraId="117D3F0B" w14:textId="77777777" w:rsidTr="008E038E">
        <w:trPr>
          <w:trHeight w:val="244"/>
        </w:trPr>
        <w:tc>
          <w:tcPr>
            <w:tcW w:w="391" w:type="pct"/>
          </w:tcPr>
          <w:p w14:paraId="6B7D475C" w14:textId="77777777" w:rsidR="00FF7799" w:rsidRPr="00E73F6F" w:rsidRDefault="00FF7799" w:rsidP="00F3090F">
            <w:pPr>
              <w:pStyle w:val="StandardText"/>
              <w:jc w:val="center"/>
              <w:rPr>
                <w:lang w:val="de-DE"/>
              </w:rPr>
            </w:pPr>
          </w:p>
        </w:tc>
        <w:tc>
          <w:tcPr>
            <w:tcW w:w="1720" w:type="pct"/>
          </w:tcPr>
          <w:p w14:paraId="40277F92" w14:textId="77777777" w:rsidR="00FF7799" w:rsidRPr="00E73F6F" w:rsidRDefault="00FF7799" w:rsidP="00F3090F">
            <w:pPr>
              <w:pStyle w:val="StandardText"/>
              <w:jc w:val="left"/>
              <w:rPr>
                <w:lang w:val="de-DE"/>
              </w:rPr>
            </w:pPr>
            <w:r w:rsidRPr="00E73F6F">
              <w:rPr>
                <w:spacing w:val="-2"/>
                <w:lang w:val="de-DE"/>
              </w:rPr>
              <w:t>Simbabwe</w:t>
            </w:r>
          </w:p>
        </w:tc>
        <w:tc>
          <w:tcPr>
            <w:tcW w:w="963" w:type="pct"/>
          </w:tcPr>
          <w:p w14:paraId="4655D44A" w14:textId="77777777" w:rsidR="00FF7799" w:rsidRPr="00E73F6F" w:rsidRDefault="00FF7799" w:rsidP="00F3090F">
            <w:pPr>
              <w:pStyle w:val="StandardText"/>
              <w:jc w:val="center"/>
              <w:rPr>
                <w:lang w:val="de-DE"/>
              </w:rPr>
            </w:pPr>
            <w:r w:rsidRPr="00E73F6F">
              <w:rPr>
                <w:spacing w:val="-5"/>
                <w:lang w:val="de-DE"/>
              </w:rPr>
              <w:t>2.4</w:t>
            </w:r>
          </w:p>
        </w:tc>
        <w:tc>
          <w:tcPr>
            <w:tcW w:w="963" w:type="pct"/>
          </w:tcPr>
          <w:p w14:paraId="65BDE2F6" w14:textId="77777777" w:rsidR="00FF7799" w:rsidRPr="00E73F6F" w:rsidRDefault="00FF7799" w:rsidP="00F3090F">
            <w:pPr>
              <w:pStyle w:val="StandardText"/>
              <w:jc w:val="center"/>
              <w:rPr>
                <w:lang w:val="de-DE"/>
              </w:rPr>
            </w:pPr>
            <w:r w:rsidRPr="00E73F6F">
              <w:rPr>
                <w:lang w:val="de-DE"/>
              </w:rPr>
              <w:t>2.0 -</w:t>
            </w:r>
            <w:r w:rsidRPr="00E73F6F">
              <w:rPr>
                <w:spacing w:val="-3"/>
                <w:lang w:val="de-DE"/>
              </w:rPr>
              <w:t xml:space="preserve"> </w:t>
            </w:r>
            <w:r w:rsidRPr="00E73F6F">
              <w:rPr>
                <w:spacing w:val="-5"/>
                <w:lang w:val="de-DE"/>
              </w:rPr>
              <w:t>2.8</w:t>
            </w:r>
          </w:p>
        </w:tc>
        <w:tc>
          <w:tcPr>
            <w:tcW w:w="963" w:type="pct"/>
          </w:tcPr>
          <w:p w14:paraId="40B8ED88" w14:textId="77777777" w:rsidR="00FF7799" w:rsidRPr="00E73F6F" w:rsidRDefault="00FF7799" w:rsidP="00F3090F">
            <w:pPr>
              <w:pStyle w:val="StandardText"/>
              <w:jc w:val="center"/>
              <w:rPr>
                <w:lang w:val="de-DE"/>
              </w:rPr>
            </w:pPr>
            <w:r w:rsidRPr="00E73F6F">
              <w:rPr>
                <w:lang w:val="de-DE"/>
              </w:rPr>
              <w:t>7</w:t>
            </w:r>
          </w:p>
        </w:tc>
      </w:tr>
      <w:tr w:rsidR="00FF7799" w:rsidRPr="00E73F6F" w14:paraId="1E4E06B0" w14:textId="77777777" w:rsidTr="008E038E">
        <w:trPr>
          <w:trHeight w:val="244"/>
        </w:trPr>
        <w:tc>
          <w:tcPr>
            <w:tcW w:w="391" w:type="pct"/>
          </w:tcPr>
          <w:p w14:paraId="0CE84B29" w14:textId="77777777" w:rsidR="00FF7799" w:rsidRPr="00E73F6F" w:rsidRDefault="00FF7799" w:rsidP="00F3090F">
            <w:pPr>
              <w:pStyle w:val="StandardText"/>
              <w:jc w:val="center"/>
              <w:rPr>
                <w:lang w:val="de-DE"/>
              </w:rPr>
            </w:pPr>
            <w:r w:rsidRPr="00E73F6F">
              <w:rPr>
                <w:spacing w:val="-5"/>
                <w:lang w:val="de-DE"/>
              </w:rPr>
              <w:t>138</w:t>
            </w:r>
          </w:p>
        </w:tc>
        <w:tc>
          <w:tcPr>
            <w:tcW w:w="1720" w:type="pct"/>
          </w:tcPr>
          <w:p w14:paraId="46982648" w14:textId="77777777" w:rsidR="00FF7799" w:rsidRPr="00E73F6F" w:rsidRDefault="00FF7799" w:rsidP="00F3090F">
            <w:pPr>
              <w:pStyle w:val="StandardText"/>
              <w:jc w:val="left"/>
              <w:rPr>
                <w:lang w:val="de-DE"/>
              </w:rPr>
            </w:pPr>
            <w:r w:rsidRPr="00E73F6F">
              <w:rPr>
                <w:spacing w:val="-2"/>
                <w:lang w:val="de-DE"/>
              </w:rPr>
              <w:t>Kamerun</w:t>
            </w:r>
          </w:p>
        </w:tc>
        <w:tc>
          <w:tcPr>
            <w:tcW w:w="963" w:type="pct"/>
          </w:tcPr>
          <w:p w14:paraId="56016F72" w14:textId="77777777" w:rsidR="00FF7799" w:rsidRPr="00E73F6F" w:rsidRDefault="00FF7799" w:rsidP="00F3090F">
            <w:pPr>
              <w:pStyle w:val="StandardText"/>
              <w:jc w:val="center"/>
              <w:rPr>
                <w:lang w:val="de-DE"/>
              </w:rPr>
            </w:pPr>
            <w:r w:rsidRPr="00E73F6F">
              <w:rPr>
                <w:spacing w:val="-5"/>
                <w:lang w:val="de-DE"/>
              </w:rPr>
              <w:t>2.3</w:t>
            </w:r>
          </w:p>
        </w:tc>
        <w:tc>
          <w:tcPr>
            <w:tcW w:w="963" w:type="pct"/>
          </w:tcPr>
          <w:p w14:paraId="101D59B5" w14:textId="77777777" w:rsidR="00FF7799" w:rsidRPr="00E73F6F" w:rsidRDefault="00FF7799" w:rsidP="00F3090F">
            <w:pPr>
              <w:pStyle w:val="StandardText"/>
              <w:jc w:val="center"/>
              <w:rPr>
                <w:lang w:val="de-DE"/>
              </w:rPr>
            </w:pPr>
            <w:r w:rsidRPr="00E73F6F">
              <w:rPr>
                <w:lang w:val="de-DE"/>
              </w:rPr>
              <w:t>2.1 -</w:t>
            </w:r>
            <w:r w:rsidRPr="00E73F6F">
              <w:rPr>
                <w:spacing w:val="-3"/>
                <w:lang w:val="de-DE"/>
              </w:rPr>
              <w:t xml:space="preserve"> </w:t>
            </w:r>
            <w:r w:rsidRPr="00E73F6F">
              <w:rPr>
                <w:spacing w:val="-5"/>
                <w:lang w:val="de-DE"/>
              </w:rPr>
              <w:t>2.5</w:t>
            </w:r>
          </w:p>
        </w:tc>
        <w:tc>
          <w:tcPr>
            <w:tcW w:w="963" w:type="pct"/>
          </w:tcPr>
          <w:p w14:paraId="510740CE" w14:textId="77777777" w:rsidR="00FF7799" w:rsidRPr="00E73F6F" w:rsidRDefault="00FF7799" w:rsidP="00F3090F">
            <w:pPr>
              <w:pStyle w:val="StandardText"/>
              <w:jc w:val="center"/>
              <w:rPr>
                <w:lang w:val="de-DE"/>
              </w:rPr>
            </w:pPr>
            <w:r w:rsidRPr="00E73F6F">
              <w:rPr>
                <w:lang w:val="de-DE"/>
              </w:rPr>
              <w:t>7</w:t>
            </w:r>
          </w:p>
        </w:tc>
      </w:tr>
      <w:tr w:rsidR="00FF7799" w:rsidRPr="00E73F6F" w14:paraId="71863E05" w14:textId="77777777" w:rsidTr="008E038E">
        <w:trPr>
          <w:trHeight w:val="244"/>
        </w:trPr>
        <w:tc>
          <w:tcPr>
            <w:tcW w:w="391" w:type="pct"/>
          </w:tcPr>
          <w:p w14:paraId="32635E56" w14:textId="77777777" w:rsidR="00FF7799" w:rsidRPr="00E73F6F" w:rsidRDefault="00FF7799" w:rsidP="00F3090F">
            <w:pPr>
              <w:pStyle w:val="StandardText"/>
              <w:jc w:val="center"/>
              <w:rPr>
                <w:lang w:val="de-DE"/>
              </w:rPr>
            </w:pPr>
          </w:p>
        </w:tc>
        <w:tc>
          <w:tcPr>
            <w:tcW w:w="1720" w:type="pct"/>
          </w:tcPr>
          <w:p w14:paraId="2926DF43" w14:textId="77777777" w:rsidR="00FF7799" w:rsidRPr="00E73F6F" w:rsidRDefault="00FF7799" w:rsidP="00F3090F">
            <w:pPr>
              <w:pStyle w:val="StandardText"/>
              <w:jc w:val="left"/>
              <w:rPr>
                <w:lang w:val="de-DE"/>
              </w:rPr>
            </w:pPr>
            <w:r w:rsidRPr="00E73F6F">
              <w:rPr>
                <w:spacing w:val="-2"/>
                <w:lang w:val="de-DE"/>
              </w:rPr>
              <w:t>Ecuador</w:t>
            </w:r>
          </w:p>
        </w:tc>
        <w:tc>
          <w:tcPr>
            <w:tcW w:w="963" w:type="pct"/>
          </w:tcPr>
          <w:p w14:paraId="534FD4E5" w14:textId="77777777" w:rsidR="00FF7799" w:rsidRPr="00E73F6F" w:rsidRDefault="00FF7799" w:rsidP="00F3090F">
            <w:pPr>
              <w:pStyle w:val="StandardText"/>
              <w:jc w:val="center"/>
              <w:rPr>
                <w:lang w:val="de-DE"/>
              </w:rPr>
            </w:pPr>
            <w:r w:rsidRPr="00E73F6F">
              <w:rPr>
                <w:spacing w:val="-5"/>
                <w:lang w:val="de-DE"/>
              </w:rPr>
              <w:t>2.3</w:t>
            </w:r>
          </w:p>
        </w:tc>
        <w:tc>
          <w:tcPr>
            <w:tcW w:w="963" w:type="pct"/>
          </w:tcPr>
          <w:p w14:paraId="38A740F0" w14:textId="77777777" w:rsidR="00FF7799" w:rsidRPr="00E73F6F" w:rsidRDefault="00FF7799" w:rsidP="00F3090F">
            <w:pPr>
              <w:pStyle w:val="StandardText"/>
              <w:jc w:val="center"/>
              <w:rPr>
                <w:lang w:val="de-DE"/>
              </w:rPr>
            </w:pPr>
            <w:r w:rsidRPr="00E73F6F">
              <w:rPr>
                <w:lang w:val="de-DE"/>
              </w:rPr>
              <w:t>2.2 -</w:t>
            </w:r>
            <w:r w:rsidRPr="00E73F6F">
              <w:rPr>
                <w:spacing w:val="-3"/>
                <w:lang w:val="de-DE"/>
              </w:rPr>
              <w:t xml:space="preserve"> </w:t>
            </w:r>
            <w:r w:rsidRPr="00E73F6F">
              <w:rPr>
                <w:spacing w:val="-5"/>
                <w:lang w:val="de-DE"/>
              </w:rPr>
              <w:t>2.5</w:t>
            </w:r>
          </w:p>
        </w:tc>
        <w:tc>
          <w:tcPr>
            <w:tcW w:w="963" w:type="pct"/>
          </w:tcPr>
          <w:p w14:paraId="037318AC" w14:textId="77777777" w:rsidR="00FF7799" w:rsidRPr="00E73F6F" w:rsidRDefault="00FF7799" w:rsidP="00F3090F">
            <w:pPr>
              <w:pStyle w:val="StandardText"/>
              <w:jc w:val="center"/>
              <w:rPr>
                <w:lang w:val="de-DE"/>
              </w:rPr>
            </w:pPr>
            <w:r w:rsidRPr="00E73F6F">
              <w:rPr>
                <w:lang w:val="de-DE"/>
              </w:rPr>
              <w:t>5</w:t>
            </w:r>
          </w:p>
        </w:tc>
      </w:tr>
      <w:tr w:rsidR="00FF7799" w:rsidRPr="00E73F6F" w14:paraId="128E4D4A" w14:textId="77777777" w:rsidTr="008E038E">
        <w:trPr>
          <w:trHeight w:val="239"/>
        </w:trPr>
        <w:tc>
          <w:tcPr>
            <w:tcW w:w="391" w:type="pct"/>
          </w:tcPr>
          <w:p w14:paraId="46064738" w14:textId="77777777" w:rsidR="00FF7799" w:rsidRPr="00E73F6F" w:rsidRDefault="00FF7799" w:rsidP="00F3090F">
            <w:pPr>
              <w:pStyle w:val="StandardText"/>
              <w:jc w:val="center"/>
              <w:rPr>
                <w:lang w:val="de-DE"/>
              </w:rPr>
            </w:pPr>
          </w:p>
        </w:tc>
        <w:tc>
          <w:tcPr>
            <w:tcW w:w="1720" w:type="pct"/>
          </w:tcPr>
          <w:p w14:paraId="79E6FD7E" w14:textId="77777777" w:rsidR="00FF7799" w:rsidRPr="00E73F6F" w:rsidRDefault="00FF7799" w:rsidP="00F3090F">
            <w:pPr>
              <w:pStyle w:val="StandardText"/>
              <w:jc w:val="left"/>
              <w:rPr>
                <w:lang w:val="de-DE"/>
              </w:rPr>
            </w:pPr>
            <w:r w:rsidRPr="00E73F6F">
              <w:rPr>
                <w:spacing w:val="-2"/>
                <w:lang w:val="de-DE"/>
              </w:rPr>
              <w:t>Niger</w:t>
            </w:r>
          </w:p>
        </w:tc>
        <w:tc>
          <w:tcPr>
            <w:tcW w:w="963" w:type="pct"/>
          </w:tcPr>
          <w:p w14:paraId="2D97B5EC" w14:textId="77777777" w:rsidR="00FF7799" w:rsidRPr="00E73F6F" w:rsidRDefault="00FF7799" w:rsidP="00F3090F">
            <w:pPr>
              <w:pStyle w:val="StandardText"/>
              <w:jc w:val="center"/>
              <w:rPr>
                <w:lang w:val="de-DE"/>
              </w:rPr>
            </w:pPr>
            <w:r w:rsidRPr="00E73F6F">
              <w:rPr>
                <w:spacing w:val="-5"/>
                <w:lang w:val="de-DE"/>
              </w:rPr>
              <w:t>2.3</w:t>
            </w:r>
          </w:p>
        </w:tc>
        <w:tc>
          <w:tcPr>
            <w:tcW w:w="963" w:type="pct"/>
          </w:tcPr>
          <w:p w14:paraId="302AEEFC" w14:textId="77777777" w:rsidR="00FF7799" w:rsidRPr="00E73F6F" w:rsidRDefault="00FF7799" w:rsidP="00F3090F">
            <w:pPr>
              <w:pStyle w:val="StandardText"/>
              <w:jc w:val="center"/>
              <w:rPr>
                <w:lang w:val="de-DE"/>
              </w:rPr>
            </w:pPr>
            <w:r w:rsidRPr="00E73F6F">
              <w:rPr>
                <w:lang w:val="de-DE"/>
              </w:rPr>
              <w:t>2.1 -</w:t>
            </w:r>
            <w:r w:rsidRPr="00E73F6F">
              <w:rPr>
                <w:spacing w:val="-3"/>
                <w:lang w:val="de-DE"/>
              </w:rPr>
              <w:t xml:space="preserve"> </w:t>
            </w:r>
            <w:r w:rsidRPr="00E73F6F">
              <w:rPr>
                <w:spacing w:val="-5"/>
                <w:lang w:val="de-DE"/>
              </w:rPr>
              <w:t>2.6</w:t>
            </w:r>
          </w:p>
        </w:tc>
        <w:tc>
          <w:tcPr>
            <w:tcW w:w="963" w:type="pct"/>
          </w:tcPr>
          <w:p w14:paraId="7A1F01A0" w14:textId="77777777" w:rsidR="00FF7799" w:rsidRPr="00E73F6F" w:rsidRDefault="00FF7799" w:rsidP="00F3090F">
            <w:pPr>
              <w:pStyle w:val="StandardText"/>
              <w:jc w:val="center"/>
              <w:rPr>
                <w:lang w:val="de-DE"/>
              </w:rPr>
            </w:pPr>
            <w:r w:rsidRPr="00E73F6F">
              <w:rPr>
                <w:lang w:val="de-DE"/>
              </w:rPr>
              <w:t>5</w:t>
            </w:r>
          </w:p>
        </w:tc>
      </w:tr>
      <w:tr w:rsidR="00FF7799" w:rsidRPr="00E73F6F" w14:paraId="4CDB7DA8" w14:textId="77777777" w:rsidTr="008E038E">
        <w:trPr>
          <w:trHeight w:val="245"/>
        </w:trPr>
        <w:tc>
          <w:tcPr>
            <w:tcW w:w="391" w:type="pct"/>
          </w:tcPr>
          <w:p w14:paraId="7837D497" w14:textId="77777777" w:rsidR="00FF7799" w:rsidRPr="00E73F6F" w:rsidRDefault="00FF7799" w:rsidP="00F3090F">
            <w:pPr>
              <w:pStyle w:val="StandardText"/>
              <w:jc w:val="center"/>
              <w:rPr>
                <w:lang w:val="de-DE"/>
              </w:rPr>
            </w:pPr>
          </w:p>
        </w:tc>
        <w:tc>
          <w:tcPr>
            <w:tcW w:w="1720" w:type="pct"/>
          </w:tcPr>
          <w:p w14:paraId="10E3945A" w14:textId="77777777" w:rsidR="00FF7799" w:rsidRPr="00E73F6F" w:rsidRDefault="00FF7799" w:rsidP="00F3090F">
            <w:pPr>
              <w:pStyle w:val="StandardText"/>
              <w:jc w:val="left"/>
              <w:rPr>
                <w:lang w:val="de-DE"/>
              </w:rPr>
            </w:pPr>
            <w:r w:rsidRPr="00E73F6F">
              <w:rPr>
                <w:spacing w:val="-2"/>
                <w:lang w:val="de-DE"/>
              </w:rPr>
              <w:t>Venezuela</w:t>
            </w:r>
          </w:p>
        </w:tc>
        <w:tc>
          <w:tcPr>
            <w:tcW w:w="963" w:type="pct"/>
          </w:tcPr>
          <w:p w14:paraId="05BEFEF7" w14:textId="77777777" w:rsidR="00FF7799" w:rsidRPr="00E73F6F" w:rsidRDefault="00FF7799" w:rsidP="00F3090F">
            <w:pPr>
              <w:pStyle w:val="StandardText"/>
              <w:jc w:val="center"/>
              <w:rPr>
                <w:lang w:val="de-DE"/>
              </w:rPr>
            </w:pPr>
            <w:r w:rsidRPr="00E73F6F">
              <w:rPr>
                <w:spacing w:val="-5"/>
                <w:lang w:val="de-DE"/>
              </w:rPr>
              <w:t>2.3</w:t>
            </w:r>
          </w:p>
        </w:tc>
        <w:tc>
          <w:tcPr>
            <w:tcW w:w="963" w:type="pct"/>
          </w:tcPr>
          <w:p w14:paraId="0B47FB09" w14:textId="77777777" w:rsidR="00FF7799" w:rsidRPr="00E73F6F" w:rsidRDefault="00FF7799" w:rsidP="00F3090F">
            <w:pPr>
              <w:pStyle w:val="StandardText"/>
              <w:jc w:val="center"/>
              <w:rPr>
                <w:lang w:val="de-DE"/>
              </w:rPr>
            </w:pPr>
            <w:r w:rsidRPr="00E73F6F">
              <w:rPr>
                <w:lang w:val="de-DE"/>
              </w:rPr>
              <w:t>2.2 -</w:t>
            </w:r>
            <w:r w:rsidRPr="00E73F6F">
              <w:rPr>
                <w:spacing w:val="-3"/>
                <w:lang w:val="de-DE"/>
              </w:rPr>
              <w:t xml:space="preserve"> </w:t>
            </w:r>
            <w:r w:rsidRPr="00E73F6F">
              <w:rPr>
                <w:spacing w:val="-5"/>
                <w:lang w:val="de-DE"/>
              </w:rPr>
              <w:t>2.4</w:t>
            </w:r>
          </w:p>
        </w:tc>
        <w:tc>
          <w:tcPr>
            <w:tcW w:w="963" w:type="pct"/>
          </w:tcPr>
          <w:p w14:paraId="63764FAD" w14:textId="77777777" w:rsidR="00FF7799" w:rsidRPr="00E73F6F" w:rsidRDefault="00FF7799" w:rsidP="00F3090F">
            <w:pPr>
              <w:pStyle w:val="StandardText"/>
              <w:jc w:val="center"/>
              <w:rPr>
                <w:lang w:val="de-DE"/>
              </w:rPr>
            </w:pPr>
            <w:r w:rsidRPr="00E73F6F">
              <w:rPr>
                <w:lang w:val="de-DE"/>
              </w:rPr>
              <w:t>7</w:t>
            </w:r>
          </w:p>
        </w:tc>
      </w:tr>
      <w:tr w:rsidR="00FF7799" w:rsidRPr="00E73F6F" w14:paraId="73DCB29E" w14:textId="77777777" w:rsidTr="008E038E">
        <w:trPr>
          <w:trHeight w:val="239"/>
        </w:trPr>
        <w:tc>
          <w:tcPr>
            <w:tcW w:w="391" w:type="pct"/>
          </w:tcPr>
          <w:p w14:paraId="1B707FC2" w14:textId="77777777" w:rsidR="00FF7799" w:rsidRPr="00E73F6F" w:rsidRDefault="00FF7799" w:rsidP="00F3090F">
            <w:pPr>
              <w:pStyle w:val="StandardText"/>
              <w:jc w:val="center"/>
              <w:rPr>
                <w:lang w:val="de-DE"/>
              </w:rPr>
            </w:pPr>
            <w:r w:rsidRPr="00E73F6F">
              <w:rPr>
                <w:spacing w:val="-5"/>
                <w:lang w:val="de-DE"/>
              </w:rPr>
              <w:t>142</w:t>
            </w:r>
          </w:p>
        </w:tc>
        <w:tc>
          <w:tcPr>
            <w:tcW w:w="1720" w:type="pct"/>
          </w:tcPr>
          <w:p w14:paraId="45E1F444" w14:textId="77777777" w:rsidR="00FF7799" w:rsidRPr="00E73F6F" w:rsidRDefault="00FF7799" w:rsidP="00F3090F">
            <w:pPr>
              <w:pStyle w:val="StandardText"/>
              <w:jc w:val="left"/>
              <w:rPr>
                <w:lang w:val="de-DE"/>
              </w:rPr>
            </w:pPr>
            <w:r w:rsidRPr="00E73F6F">
              <w:rPr>
                <w:spacing w:val="-2"/>
                <w:lang w:val="de-DE"/>
              </w:rPr>
              <w:t>Angola</w:t>
            </w:r>
          </w:p>
        </w:tc>
        <w:tc>
          <w:tcPr>
            <w:tcW w:w="963" w:type="pct"/>
          </w:tcPr>
          <w:p w14:paraId="0864B6CA" w14:textId="77777777" w:rsidR="00FF7799" w:rsidRPr="00E73F6F" w:rsidRDefault="00FF7799" w:rsidP="00F3090F">
            <w:pPr>
              <w:pStyle w:val="StandardText"/>
              <w:jc w:val="center"/>
              <w:rPr>
                <w:lang w:val="de-DE"/>
              </w:rPr>
            </w:pPr>
            <w:r w:rsidRPr="00E73F6F">
              <w:rPr>
                <w:spacing w:val="-5"/>
                <w:lang w:val="de-DE"/>
              </w:rPr>
              <w:t>2.2</w:t>
            </w:r>
          </w:p>
        </w:tc>
        <w:tc>
          <w:tcPr>
            <w:tcW w:w="963" w:type="pct"/>
          </w:tcPr>
          <w:p w14:paraId="1AC50DF2" w14:textId="77777777" w:rsidR="00FF7799" w:rsidRPr="00E73F6F" w:rsidRDefault="00FF7799" w:rsidP="00F3090F">
            <w:pPr>
              <w:pStyle w:val="StandardText"/>
              <w:jc w:val="center"/>
              <w:rPr>
                <w:lang w:val="de-DE"/>
              </w:rPr>
            </w:pPr>
            <w:r w:rsidRPr="00E73F6F">
              <w:rPr>
                <w:lang w:val="de-DE"/>
              </w:rPr>
              <w:t>1.9 -</w:t>
            </w:r>
            <w:r w:rsidRPr="00E73F6F">
              <w:rPr>
                <w:spacing w:val="-3"/>
                <w:lang w:val="de-DE"/>
              </w:rPr>
              <w:t xml:space="preserve"> </w:t>
            </w:r>
            <w:r w:rsidRPr="00E73F6F">
              <w:rPr>
                <w:spacing w:val="-5"/>
                <w:lang w:val="de-DE"/>
              </w:rPr>
              <w:t>2.4</w:t>
            </w:r>
          </w:p>
        </w:tc>
        <w:tc>
          <w:tcPr>
            <w:tcW w:w="963" w:type="pct"/>
          </w:tcPr>
          <w:p w14:paraId="14B4B6FD" w14:textId="77777777" w:rsidR="00FF7799" w:rsidRPr="00E73F6F" w:rsidRDefault="00FF7799" w:rsidP="00F3090F">
            <w:pPr>
              <w:pStyle w:val="StandardText"/>
              <w:jc w:val="center"/>
              <w:rPr>
                <w:lang w:val="de-DE"/>
              </w:rPr>
            </w:pPr>
            <w:r w:rsidRPr="00E73F6F">
              <w:rPr>
                <w:lang w:val="de-DE"/>
              </w:rPr>
              <w:t>5</w:t>
            </w:r>
          </w:p>
        </w:tc>
      </w:tr>
      <w:tr w:rsidR="00FF7799" w:rsidRPr="00E73F6F" w14:paraId="5C821A6A" w14:textId="77777777" w:rsidTr="008E038E">
        <w:trPr>
          <w:trHeight w:val="244"/>
        </w:trPr>
        <w:tc>
          <w:tcPr>
            <w:tcW w:w="391" w:type="pct"/>
          </w:tcPr>
          <w:p w14:paraId="74BD45C4" w14:textId="77777777" w:rsidR="00FF7799" w:rsidRPr="00E73F6F" w:rsidRDefault="00FF7799" w:rsidP="00F3090F">
            <w:pPr>
              <w:pStyle w:val="StandardText"/>
              <w:jc w:val="center"/>
              <w:rPr>
                <w:lang w:val="de-DE"/>
              </w:rPr>
            </w:pPr>
          </w:p>
        </w:tc>
        <w:tc>
          <w:tcPr>
            <w:tcW w:w="1720" w:type="pct"/>
          </w:tcPr>
          <w:p w14:paraId="1C2A5F79" w14:textId="77777777" w:rsidR="00FF7799" w:rsidRPr="00E73F6F" w:rsidRDefault="00FF7799" w:rsidP="00F3090F">
            <w:pPr>
              <w:pStyle w:val="StandardText"/>
              <w:jc w:val="left"/>
              <w:rPr>
                <w:lang w:val="de-DE"/>
              </w:rPr>
            </w:pPr>
            <w:r w:rsidRPr="00E73F6F">
              <w:rPr>
                <w:lang w:val="de-DE"/>
              </w:rPr>
              <w:t>Republik</w:t>
            </w:r>
            <w:r w:rsidRPr="00E73F6F">
              <w:rPr>
                <w:spacing w:val="-9"/>
                <w:lang w:val="de-DE"/>
              </w:rPr>
              <w:t xml:space="preserve"> </w:t>
            </w:r>
            <w:r w:rsidRPr="00E73F6F">
              <w:rPr>
                <w:spacing w:val="-2"/>
                <w:lang w:val="de-DE"/>
              </w:rPr>
              <w:t>Kongo</w:t>
            </w:r>
          </w:p>
        </w:tc>
        <w:tc>
          <w:tcPr>
            <w:tcW w:w="963" w:type="pct"/>
          </w:tcPr>
          <w:p w14:paraId="209D74C2" w14:textId="77777777" w:rsidR="00FF7799" w:rsidRPr="00E73F6F" w:rsidRDefault="00FF7799" w:rsidP="00F3090F">
            <w:pPr>
              <w:pStyle w:val="StandardText"/>
              <w:jc w:val="center"/>
              <w:rPr>
                <w:lang w:val="de-DE"/>
              </w:rPr>
            </w:pPr>
            <w:r w:rsidRPr="00E73F6F">
              <w:rPr>
                <w:spacing w:val="-5"/>
                <w:lang w:val="de-DE"/>
              </w:rPr>
              <w:t>2.2</w:t>
            </w:r>
          </w:p>
        </w:tc>
        <w:tc>
          <w:tcPr>
            <w:tcW w:w="963" w:type="pct"/>
          </w:tcPr>
          <w:p w14:paraId="5394FB1C" w14:textId="77777777" w:rsidR="00FF7799" w:rsidRPr="00E73F6F" w:rsidRDefault="00FF7799" w:rsidP="00F3090F">
            <w:pPr>
              <w:pStyle w:val="StandardText"/>
              <w:jc w:val="center"/>
              <w:rPr>
                <w:lang w:val="de-DE"/>
              </w:rPr>
            </w:pPr>
            <w:r w:rsidRPr="00E73F6F">
              <w:rPr>
                <w:lang w:val="de-DE"/>
              </w:rPr>
              <w:t>2.2 -</w:t>
            </w:r>
            <w:r w:rsidRPr="00E73F6F">
              <w:rPr>
                <w:spacing w:val="-3"/>
                <w:lang w:val="de-DE"/>
              </w:rPr>
              <w:t xml:space="preserve"> </w:t>
            </w:r>
            <w:r w:rsidRPr="00E73F6F">
              <w:rPr>
                <w:spacing w:val="-5"/>
                <w:lang w:val="de-DE"/>
              </w:rPr>
              <w:t>2.3</w:t>
            </w:r>
          </w:p>
        </w:tc>
        <w:tc>
          <w:tcPr>
            <w:tcW w:w="963" w:type="pct"/>
          </w:tcPr>
          <w:p w14:paraId="157249B3" w14:textId="77777777" w:rsidR="00FF7799" w:rsidRPr="00E73F6F" w:rsidRDefault="00FF7799" w:rsidP="00F3090F">
            <w:pPr>
              <w:pStyle w:val="StandardText"/>
              <w:jc w:val="center"/>
              <w:rPr>
                <w:lang w:val="de-DE"/>
              </w:rPr>
            </w:pPr>
            <w:r w:rsidRPr="00E73F6F">
              <w:rPr>
                <w:lang w:val="de-DE"/>
              </w:rPr>
              <w:t>4</w:t>
            </w:r>
          </w:p>
        </w:tc>
      </w:tr>
      <w:tr w:rsidR="00FF7799" w:rsidRPr="00E73F6F" w14:paraId="51055694" w14:textId="77777777" w:rsidTr="008E038E">
        <w:trPr>
          <w:trHeight w:val="239"/>
        </w:trPr>
        <w:tc>
          <w:tcPr>
            <w:tcW w:w="391" w:type="pct"/>
          </w:tcPr>
          <w:p w14:paraId="063C2BCE" w14:textId="77777777" w:rsidR="00FF7799" w:rsidRPr="00E73F6F" w:rsidRDefault="00FF7799" w:rsidP="00F3090F">
            <w:pPr>
              <w:pStyle w:val="StandardText"/>
              <w:jc w:val="center"/>
              <w:rPr>
                <w:lang w:val="de-DE"/>
              </w:rPr>
            </w:pPr>
          </w:p>
        </w:tc>
        <w:tc>
          <w:tcPr>
            <w:tcW w:w="1720" w:type="pct"/>
          </w:tcPr>
          <w:p w14:paraId="4D692267" w14:textId="77777777" w:rsidR="00FF7799" w:rsidRPr="00E73F6F" w:rsidRDefault="00FF7799" w:rsidP="00F3090F">
            <w:pPr>
              <w:pStyle w:val="StandardText"/>
              <w:jc w:val="left"/>
              <w:rPr>
                <w:lang w:val="de-DE"/>
              </w:rPr>
            </w:pPr>
            <w:r w:rsidRPr="00E73F6F">
              <w:rPr>
                <w:spacing w:val="-2"/>
                <w:lang w:val="de-DE"/>
              </w:rPr>
              <w:t>Kenia</w:t>
            </w:r>
          </w:p>
        </w:tc>
        <w:tc>
          <w:tcPr>
            <w:tcW w:w="963" w:type="pct"/>
          </w:tcPr>
          <w:p w14:paraId="55599578" w14:textId="77777777" w:rsidR="00FF7799" w:rsidRPr="00E73F6F" w:rsidRDefault="00FF7799" w:rsidP="00F3090F">
            <w:pPr>
              <w:pStyle w:val="StandardText"/>
              <w:jc w:val="center"/>
              <w:rPr>
                <w:lang w:val="de-DE"/>
              </w:rPr>
            </w:pPr>
            <w:r w:rsidRPr="00E73F6F">
              <w:rPr>
                <w:spacing w:val="-5"/>
                <w:lang w:val="de-DE"/>
              </w:rPr>
              <w:t>2.2</w:t>
            </w:r>
          </w:p>
        </w:tc>
        <w:tc>
          <w:tcPr>
            <w:tcW w:w="963" w:type="pct"/>
          </w:tcPr>
          <w:p w14:paraId="68C80471" w14:textId="77777777" w:rsidR="00FF7799" w:rsidRPr="00E73F6F" w:rsidRDefault="00FF7799" w:rsidP="00F3090F">
            <w:pPr>
              <w:pStyle w:val="StandardText"/>
              <w:jc w:val="center"/>
              <w:rPr>
                <w:lang w:val="de-DE"/>
              </w:rPr>
            </w:pPr>
            <w:r w:rsidRPr="00E73F6F">
              <w:rPr>
                <w:lang w:val="de-DE"/>
              </w:rPr>
              <w:t>2.0 -</w:t>
            </w:r>
            <w:r w:rsidRPr="00E73F6F">
              <w:rPr>
                <w:spacing w:val="-3"/>
                <w:lang w:val="de-DE"/>
              </w:rPr>
              <w:t xml:space="preserve"> </w:t>
            </w:r>
            <w:r w:rsidRPr="00E73F6F">
              <w:rPr>
                <w:spacing w:val="-5"/>
                <w:lang w:val="de-DE"/>
              </w:rPr>
              <w:t>2.4</w:t>
            </w:r>
          </w:p>
        </w:tc>
        <w:tc>
          <w:tcPr>
            <w:tcW w:w="963" w:type="pct"/>
          </w:tcPr>
          <w:p w14:paraId="5C5F59D0" w14:textId="77777777" w:rsidR="00FF7799" w:rsidRPr="00E73F6F" w:rsidRDefault="00FF7799" w:rsidP="00F3090F">
            <w:pPr>
              <w:pStyle w:val="StandardText"/>
              <w:jc w:val="center"/>
              <w:rPr>
                <w:lang w:val="de-DE"/>
              </w:rPr>
            </w:pPr>
            <w:r w:rsidRPr="00E73F6F">
              <w:rPr>
                <w:lang w:val="de-DE"/>
              </w:rPr>
              <w:t>7</w:t>
            </w:r>
          </w:p>
        </w:tc>
      </w:tr>
      <w:tr w:rsidR="00FF7799" w:rsidRPr="00E73F6F" w14:paraId="752D446D" w14:textId="77777777" w:rsidTr="008E038E">
        <w:trPr>
          <w:trHeight w:val="244"/>
        </w:trPr>
        <w:tc>
          <w:tcPr>
            <w:tcW w:w="391" w:type="pct"/>
          </w:tcPr>
          <w:p w14:paraId="54D759AF" w14:textId="77777777" w:rsidR="00FF7799" w:rsidRPr="00E73F6F" w:rsidRDefault="00FF7799" w:rsidP="00F3090F">
            <w:pPr>
              <w:pStyle w:val="StandardText"/>
              <w:jc w:val="center"/>
              <w:rPr>
                <w:lang w:val="de-DE"/>
              </w:rPr>
            </w:pPr>
          </w:p>
        </w:tc>
        <w:tc>
          <w:tcPr>
            <w:tcW w:w="1720" w:type="pct"/>
          </w:tcPr>
          <w:p w14:paraId="64987A52" w14:textId="77777777" w:rsidR="00FF7799" w:rsidRPr="00E73F6F" w:rsidRDefault="00FF7799" w:rsidP="00F3090F">
            <w:pPr>
              <w:pStyle w:val="StandardText"/>
              <w:jc w:val="left"/>
              <w:rPr>
                <w:lang w:val="de-DE"/>
              </w:rPr>
            </w:pPr>
            <w:r w:rsidRPr="00E73F6F">
              <w:rPr>
                <w:spacing w:val="-2"/>
                <w:lang w:val="de-DE"/>
              </w:rPr>
              <w:t>Kirgisien</w:t>
            </w:r>
          </w:p>
        </w:tc>
        <w:tc>
          <w:tcPr>
            <w:tcW w:w="963" w:type="pct"/>
          </w:tcPr>
          <w:p w14:paraId="48997D45" w14:textId="77777777" w:rsidR="00FF7799" w:rsidRPr="00E73F6F" w:rsidRDefault="00FF7799" w:rsidP="00F3090F">
            <w:pPr>
              <w:pStyle w:val="StandardText"/>
              <w:jc w:val="center"/>
              <w:rPr>
                <w:lang w:val="de-DE"/>
              </w:rPr>
            </w:pPr>
            <w:r w:rsidRPr="00E73F6F">
              <w:rPr>
                <w:spacing w:val="-5"/>
                <w:lang w:val="de-DE"/>
              </w:rPr>
              <w:t>2.2</w:t>
            </w:r>
          </w:p>
        </w:tc>
        <w:tc>
          <w:tcPr>
            <w:tcW w:w="963" w:type="pct"/>
          </w:tcPr>
          <w:p w14:paraId="4367A5F8" w14:textId="77777777" w:rsidR="00FF7799" w:rsidRPr="00E73F6F" w:rsidRDefault="00FF7799" w:rsidP="00F3090F">
            <w:pPr>
              <w:pStyle w:val="StandardText"/>
              <w:jc w:val="center"/>
              <w:rPr>
                <w:lang w:val="de-DE"/>
              </w:rPr>
            </w:pPr>
            <w:r w:rsidRPr="00E73F6F">
              <w:rPr>
                <w:lang w:val="de-DE"/>
              </w:rPr>
              <w:t>2.0 -</w:t>
            </w:r>
            <w:r w:rsidRPr="00E73F6F">
              <w:rPr>
                <w:spacing w:val="-3"/>
                <w:lang w:val="de-DE"/>
              </w:rPr>
              <w:t xml:space="preserve"> </w:t>
            </w:r>
            <w:r w:rsidRPr="00E73F6F">
              <w:rPr>
                <w:spacing w:val="-5"/>
                <w:lang w:val="de-DE"/>
              </w:rPr>
              <w:t>2.6</w:t>
            </w:r>
          </w:p>
        </w:tc>
        <w:tc>
          <w:tcPr>
            <w:tcW w:w="963" w:type="pct"/>
          </w:tcPr>
          <w:p w14:paraId="7A56F621" w14:textId="77777777" w:rsidR="00FF7799" w:rsidRPr="00E73F6F" w:rsidRDefault="00FF7799" w:rsidP="00F3090F">
            <w:pPr>
              <w:pStyle w:val="StandardText"/>
              <w:jc w:val="center"/>
              <w:rPr>
                <w:lang w:val="de-DE"/>
              </w:rPr>
            </w:pPr>
            <w:r w:rsidRPr="00E73F6F">
              <w:rPr>
                <w:lang w:val="de-DE"/>
              </w:rPr>
              <w:t>6</w:t>
            </w:r>
          </w:p>
        </w:tc>
      </w:tr>
      <w:tr w:rsidR="00FF7799" w:rsidRPr="00E73F6F" w14:paraId="1C1D05BF" w14:textId="77777777" w:rsidTr="008E038E">
        <w:trPr>
          <w:trHeight w:val="239"/>
        </w:trPr>
        <w:tc>
          <w:tcPr>
            <w:tcW w:w="391" w:type="pct"/>
          </w:tcPr>
          <w:p w14:paraId="64A6EDED" w14:textId="77777777" w:rsidR="00FF7799" w:rsidRPr="00E73F6F" w:rsidRDefault="00FF7799" w:rsidP="00F3090F">
            <w:pPr>
              <w:pStyle w:val="StandardText"/>
              <w:jc w:val="center"/>
              <w:rPr>
                <w:lang w:val="de-DE"/>
              </w:rPr>
            </w:pPr>
          </w:p>
        </w:tc>
        <w:tc>
          <w:tcPr>
            <w:tcW w:w="1720" w:type="pct"/>
          </w:tcPr>
          <w:p w14:paraId="73027F53" w14:textId="77777777" w:rsidR="00FF7799" w:rsidRPr="00E73F6F" w:rsidRDefault="00FF7799" w:rsidP="00F3090F">
            <w:pPr>
              <w:pStyle w:val="StandardText"/>
              <w:jc w:val="left"/>
              <w:rPr>
                <w:lang w:val="de-DE"/>
              </w:rPr>
            </w:pPr>
            <w:r w:rsidRPr="00E73F6F">
              <w:rPr>
                <w:spacing w:val="-2"/>
                <w:lang w:val="de-DE"/>
              </w:rPr>
              <w:t>Nigeria</w:t>
            </w:r>
          </w:p>
        </w:tc>
        <w:tc>
          <w:tcPr>
            <w:tcW w:w="963" w:type="pct"/>
          </w:tcPr>
          <w:p w14:paraId="41DB9860" w14:textId="77777777" w:rsidR="00FF7799" w:rsidRPr="00E73F6F" w:rsidRDefault="00FF7799" w:rsidP="00F3090F">
            <w:pPr>
              <w:pStyle w:val="StandardText"/>
              <w:jc w:val="center"/>
              <w:rPr>
                <w:lang w:val="de-DE"/>
              </w:rPr>
            </w:pPr>
            <w:r w:rsidRPr="00E73F6F">
              <w:rPr>
                <w:spacing w:val="-5"/>
                <w:lang w:val="de-DE"/>
              </w:rPr>
              <w:t>2.2</w:t>
            </w:r>
          </w:p>
        </w:tc>
        <w:tc>
          <w:tcPr>
            <w:tcW w:w="963" w:type="pct"/>
          </w:tcPr>
          <w:p w14:paraId="20717338" w14:textId="77777777" w:rsidR="00FF7799" w:rsidRPr="00E73F6F" w:rsidRDefault="00FF7799" w:rsidP="00F3090F">
            <w:pPr>
              <w:pStyle w:val="StandardText"/>
              <w:jc w:val="center"/>
              <w:rPr>
                <w:lang w:val="de-DE"/>
              </w:rPr>
            </w:pPr>
            <w:r w:rsidRPr="00E73F6F">
              <w:rPr>
                <w:lang w:val="de-DE"/>
              </w:rPr>
              <w:t>2.0 -</w:t>
            </w:r>
            <w:r w:rsidRPr="00E73F6F">
              <w:rPr>
                <w:spacing w:val="-3"/>
                <w:lang w:val="de-DE"/>
              </w:rPr>
              <w:t xml:space="preserve"> </w:t>
            </w:r>
            <w:r w:rsidRPr="00E73F6F">
              <w:rPr>
                <w:spacing w:val="-5"/>
                <w:lang w:val="de-DE"/>
              </w:rPr>
              <w:t>2.3</w:t>
            </w:r>
          </w:p>
        </w:tc>
        <w:tc>
          <w:tcPr>
            <w:tcW w:w="963" w:type="pct"/>
          </w:tcPr>
          <w:p w14:paraId="3B5DE4BD" w14:textId="77777777" w:rsidR="00FF7799" w:rsidRPr="00E73F6F" w:rsidRDefault="00FF7799" w:rsidP="00F3090F">
            <w:pPr>
              <w:pStyle w:val="StandardText"/>
              <w:jc w:val="center"/>
              <w:rPr>
                <w:lang w:val="de-DE"/>
              </w:rPr>
            </w:pPr>
            <w:r w:rsidRPr="00E73F6F">
              <w:rPr>
                <w:lang w:val="de-DE"/>
              </w:rPr>
              <w:t>7</w:t>
            </w:r>
          </w:p>
        </w:tc>
      </w:tr>
      <w:tr w:rsidR="00FF7799" w:rsidRPr="00E73F6F" w14:paraId="653C9F8E" w14:textId="77777777" w:rsidTr="008E038E">
        <w:trPr>
          <w:trHeight w:val="244"/>
        </w:trPr>
        <w:tc>
          <w:tcPr>
            <w:tcW w:w="391" w:type="pct"/>
          </w:tcPr>
          <w:p w14:paraId="2072371F" w14:textId="77777777" w:rsidR="00FF7799" w:rsidRPr="00E73F6F" w:rsidRDefault="00FF7799" w:rsidP="00F3090F">
            <w:pPr>
              <w:pStyle w:val="StandardText"/>
              <w:jc w:val="center"/>
              <w:rPr>
                <w:lang w:val="de-DE"/>
              </w:rPr>
            </w:pPr>
          </w:p>
        </w:tc>
        <w:tc>
          <w:tcPr>
            <w:tcW w:w="1720" w:type="pct"/>
          </w:tcPr>
          <w:p w14:paraId="58B965B8" w14:textId="77777777" w:rsidR="00FF7799" w:rsidRPr="00E73F6F" w:rsidRDefault="00FF7799" w:rsidP="00F3090F">
            <w:pPr>
              <w:pStyle w:val="StandardText"/>
              <w:jc w:val="left"/>
              <w:rPr>
                <w:lang w:val="de-DE"/>
              </w:rPr>
            </w:pPr>
            <w:r w:rsidRPr="00E73F6F">
              <w:rPr>
                <w:spacing w:val="-2"/>
                <w:lang w:val="de-DE"/>
              </w:rPr>
              <w:t>Pakistan</w:t>
            </w:r>
          </w:p>
        </w:tc>
        <w:tc>
          <w:tcPr>
            <w:tcW w:w="963" w:type="pct"/>
          </w:tcPr>
          <w:p w14:paraId="5B802C4B" w14:textId="77777777" w:rsidR="00FF7799" w:rsidRPr="00E73F6F" w:rsidRDefault="00FF7799" w:rsidP="00F3090F">
            <w:pPr>
              <w:pStyle w:val="StandardText"/>
              <w:jc w:val="center"/>
              <w:rPr>
                <w:lang w:val="de-DE"/>
              </w:rPr>
            </w:pPr>
            <w:r w:rsidRPr="00E73F6F">
              <w:rPr>
                <w:spacing w:val="-5"/>
                <w:lang w:val="de-DE"/>
              </w:rPr>
              <w:t>2.2</w:t>
            </w:r>
          </w:p>
        </w:tc>
        <w:tc>
          <w:tcPr>
            <w:tcW w:w="963" w:type="pct"/>
          </w:tcPr>
          <w:p w14:paraId="5F301B07" w14:textId="77777777" w:rsidR="00FF7799" w:rsidRPr="00E73F6F" w:rsidRDefault="00FF7799" w:rsidP="00F3090F">
            <w:pPr>
              <w:pStyle w:val="StandardText"/>
              <w:jc w:val="center"/>
              <w:rPr>
                <w:lang w:val="de-DE"/>
              </w:rPr>
            </w:pPr>
            <w:r w:rsidRPr="00E73F6F">
              <w:rPr>
                <w:lang w:val="de-DE"/>
              </w:rPr>
              <w:t>2.0 -</w:t>
            </w:r>
            <w:r w:rsidRPr="00E73F6F">
              <w:rPr>
                <w:spacing w:val="-3"/>
                <w:lang w:val="de-DE"/>
              </w:rPr>
              <w:t xml:space="preserve"> </w:t>
            </w:r>
            <w:r w:rsidRPr="00E73F6F">
              <w:rPr>
                <w:spacing w:val="-5"/>
                <w:lang w:val="de-DE"/>
              </w:rPr>
              <w:t>2.4</w:t>
            </w:r>
          </w:p>
        </w:tc>
        <w:tc>
          <w:tcPr>
            <w:tcW w:w="963" w:type="pct"/>
          </w:tcPr>
          <w:p w14:paraId="5389B6F4" w14:textId="77777777" w:rsidR="00FF7799" w:rsidRPr="00E73F6F" w:rsidRDefault="00FF7799" w:rsidP="00F3090F">
            <w:pPr>
              <w:pStyle w:val="StandardText"/>
              <w:jc w:val="center"/>
              <w:rPr>
                <w:lang w:val="de-DE"/>
              </w:rPr>
            </w:pPr>
            <w:r w:rsidRPr="00E73F6F">
              <w:rPr>
                <w:lang w:val="de-DE"/>
              </w:rPr>
              <w:t>6</w:t>
            </w:r>
          </w:p>
        </w:tc>
      </w:tr>
      <w:tr w:rsidR="00FF7799" w:rsidRPr="00E73F6F" w14:paraId="3E7E7BFB" w14:textId="77777777" w:rsidTr="008E038E">
        <w:trPr>
          <w:trHeight w:val="244"/>
        </w:trPr>
        <w:tc>
          <w:tcPr>
            <w:tcW w:w="391" w:type="pct"/>
          </w:tcPr>
          <w:p w14:paraId="61C20085" w14:textId="77777777" w:rsidR="00FF7799" w:rsidRPr="00E73F6F" w:rsidRDefault="00FF7799" w:rsidP="00F3090F">
            <w:pPr>
              <w:pStyle w:val="StandardText"/>
              <w:jc w:val="center"/>
              <w:rPr>
                <w:lang w:val="de-DE"/>
              </w:rPr>
            </w:pPr>
          </w:p>
        </w:tc>
        <w:tc>
          <w:tcPr>
            <w:tcW w:w="1720" w:type="pct"/>
          </w:tcPr>
          <w:p w14:paraId="6A9AEAC5" w14:textId="77777777" w:rsidR="00FF7799" w:rsidRPr="00E73F6F" w:rsidRDefault="00FF7799" w:rsidP="00F3090F">
            <w:pPr>
              <w:pStyle w:val="StandardText"/>
              <w:jc w:val="left"/>
              <w:rPr>
                <w:lang w:val="de-DE"/>
              </w:rPr>
            </w:pPr>
            <w:r w:rsidRPr="00E73F6F">
              <w:rPr>
                <w:lang w:val="de-DE"/>
              </w:rPr>
              <w:t xml:space="preserve">Sierra </w:t>
            </w:r>
            <w:r w:rsidRPr="00E73F6F">
              <w:rPr>
                <w:spacing w:val="-2"/>
                <w:lang w:val="de-DE"/>
              </w:rPr>
              <w:t>Leone</w:t>
            </w:r>
          </w:p>
        </w:tc>
        <w:tc>
          <w:tcPr>
            <w:tcW w:w="963" w:type="pct"/>
          </w:tcPr>
          <w:p w14:paraId="542D7C74" w14:textId="77777777" w:rsidR="00FF7799" w:rsidRPr="00E73F6F" w:rsidRDefault="00FF7799" w:rsidP="00F3090F">
            <w:pPr>
              <w:pStyle w:val="StandardText"/>
              <w:jc w:val="center"/>
              <w:rPr>
                <w:lang w:val="de-DE"/>
              </w:rPr>
            </w:pPr>
            <w:r w:rsidRPr="00E73F6F">
              <w:rPr>
                <w:spacing w:val="-5"/>
                <w:lang w:val="de-DE"/>
              </w:rPr>
              <w:t>2.2</w:t>
            </w:r>
          </w:p>
        </w:tc>
        <w:tc>
          <w:tcPr>
            <w:tcW w:w="963" w:type="pct"/>
          </w:tcPr>
          <w:p w14:paraId="700C55C4" w14:textId="77777777" w:rsidR="00FF7799" w:rsidRPr="00E73F6F" w:rsidRDefault="00FF7799" w:rsidP="00F3090F">
            <w:pPr>
              <w:pStyle w:val="StandardText"/>
              <w:jc w:val="center"/>
              <w:rPr>
                <w:lang w:val="de-DE"/>
              </w:rPr>
            </w:pPr>
            <w:r w:rsidRPr="00E73F6F">
              <w:rPr>
                <w:lang w:val="de-DE"/>
              </w:rPr>
              <w:t>2.2 -</w:t>
            </w:r>
            <w:r w:rsidRPr="00E73F6F">
              <w:rPr>
                <w:spacing w:val="-3"/>
                <w:lang w:val="de-DE"/>
              </w:rPr>
              <w:t xml:space="preserve"> </w:t>
            </w:r>
            <w:r w:rsidRPr="00E73F6F">
              <w:rPr>
                <w:spacing w:val="-5"/>
                <w:lang w:val="de-DE"/>
              </w:rPr>
              <w:t>2.3</w:t>
            </w:r>
          </w:p>
        </w:tc>
        <w:tc>
          <w:tcPr>
            <w:tcW w:w="963" w:type="pct"/>
          </w:tcPr>
          <w:p w14:paraId="24432210" w14:textId="77777777" w:rsidR="00FF7799" w:rsidRPr="00E73F6F" w:rsidRDefault="00FF7799" w:rsidP="00F3090F">
            <w:pPr>
              <w:pStyle w:val="StandardText"/>
              <w:jc w:val="center"/>
              <w:rPr>
                <w:lang w:val="de-DE"/>
              </w:rPr>
            </w:pPr>
            <w:r w:rsidRPr="00E73F6F">
              <w:rPr>
                <w:lang w:val="de-DE"/>
              </w:rPr>
              <w:t>3</w:t>
            </w:r>
          </w:p>
        </w:tc>
      </w:tr>
      <w:tr w:rsidR="00FF7799" w:rsidRPr="00E73F6F" w14:paraId="26B17C64" w14:textId="77777777" w:rsidTr="008E038E">
        <w:trPr>
          <w:trHeight w:val="239"/>
        </w:trPr>
        <w:tc>
          <w:tcPr>
            <w:tcW w:w="391" w:type="pct"/>
          </w:tcPr>
          <w:p w14:paraId="1567208E" w14:textId="77777777" w:rsidR="00FF7799" w:rsidRPr="00E73F6F" w:rsidRDefault="00FF7799" w:rsidP="00F3090F">
            <w:pPr>
              <w:pStyle w:val="StandardText"/>
              <w:jc w:val="center"/>
              <w:rPr>
                <w:lang w:val="de-DE"/>
              </w:rPr>
            </w:pPr>
          </w:p>
        </w:tc>
        <w:tc>
          <w:tcPr>
            <w:tcW w:w="1720" w:type="pct"/>
          </w:tcPr>
          <w:p w14:paraId="3058AF4B" w14:textId="77777777" w:rsidR="00FF7799" w:rsidRPr="00E73F6F" w:rsidRDefault="00FF7799" w:rsidP="00F3090F">
            <w:pPr>
              <w:pStyle w:val="StandardText"/>
              <w:jc w:val="left"/>
              <w:rPr>
                <w:lang w:val="de-DE"/>
              </w:rPr>
            </w:pPr>
            <w:r w:rsidRPr="00E73F6F">
              <w:rPr>
                <w:spacing w:val="-2"/>
                <w:lang w:val="de-DE"/>
              </w:rPr>
              <w:t>Tadschikistan</w:t>
            </w:r>
          </w:p>
        </w:tc>
        <w:tc>
          <w:tcPr>
            <w:tcW w:w="963" w:type="pct"/>
          </w:tcPr>
          <w:p w14:paraId="5549A391" w14:textId="77777777" w:rsidR="00FF7799" w:rsidRPr="00E73F6F" w:rsidRDefault="00FF7799" w:rsidP="00F3090F">
            <w:pPr>
              <w:pStyle w:val="StandardText"/>
              <w:jc w:val="center"/>
              <w:rPr>
                <w:lang w:val="de-DE"/>
              </w:rPr>
            </w:pPr>
            <w:r w:rsidRPr="00E73F6F">
              <w:rPr>
                <w:spacing w:val="-5"/>
                <w:lang w:val="de-DE"/>
              </w:rPr>
              <w:t>2.2</w:t>
            </w:r>
          </w:p>
        </w:tc>
        <w:tc>
          <w:tcPr>
            <w:tcW w:w="963" w:type="pct"/>
          </w:tcPr>
          <w:p w14:paraId="0514CAEB" w14:textId="77777777" w:rsidR="00FF7799" w:rsidRPr="00E73F6F" w:rsidRDefault="00FF7799" w:rsidP="00F3090F">
            <w:pPr>
              <w:pStyle w:val="StandardText"/>
              <w:jc w:val="center"/>
              <w:rPr>
                <w:lang w:val="de-DE"/>
              </w:rPr>
            </w:pPr>
            <w:r w:rsidRPr="00E73F6F">
              <w:rPr>
                <w:lang w:val="de-DE"/>
              </w:rPr>
              <w:t>2.0 -</w:t>
            </w:r>
            <w:r w:rsidRPr="00E73F6F">
              <w:rPr>
                <w:spacing w:val="-3"/>
                <w:lang w:val="de-DE"/>
              </w:rPr>
              <w:t xml:space="preserve"> </w:t>
            </w:r>
            <w:r w:rsidRPr="00E73F6F">
              <w:rPr>
                <w:spacing w:val="-5"/>
                <w:lang w:val="de-DE"/>
              </w:rPr>
              <w:t>2.4</w:t>
            </w:r>
          </w:p>
        </w:tc>
        <w:tc>
          <w:tcPr>
            <w:tcW w:w="963" w:type="pct"/>
          </w:tcPr>
          <w:p w14:paraId="09B959AA" w14:textId="77777777" w:rsidR="00FF7799" w:rsidRPr="00E73F6F" w:rsidRDefault="00FF7799" w:rsidP="00F3090F">
            <w:pPr>
              <w:pStyle w:val="StandardText"/>
              <w:jc w:val="center"/>
              <w:rPr>
                <w:lang w:val="de-DE"/>
              </w:rPr>
            </w:pPr>
            <w:r w:rsidRPr="00E73F6F">
              <w:rPr>
                <w:lang w:val="de-DE"/>
              </w:rPr>
              <w:t>6</w:t>
            </w:r>
          </w:p>
        </w:tc>
      </w:tr>
      <w:tr w:rsidR="00FF7799" w:rsidRPr="00E73F6F" w14:paraId="5BAA138E" w14:textId="77777777" w:rsidTr="008E038E">
        <w:trPr>
          <w:trHeight w:val="241"/>
        </w:trPr>
        <w:tc>
          <w:tcPr>
            <w:tcW w:w="391" w:type="pct"/>
          </w:tcPr>
          <w:p w14:paraId="01FDD38F" w14:textId="77777777" w:rsidR="00FF7799" w:rsidRPr="00E73F6F" w:rsidRDefault="00FF7799" w:rsidP="00F3090F">
            <w:pPr>
              <w:pStyle w:val="StandardText"/>
              <w:jc w:val="center"/>
              <w:rPr>
                <w:lang w:val="de-DE"/>
              </w:rPr>
            </w:pPr>
          </w:p>
        </w:tc>
        <w:tc>
          <w:tcPr>
            <w:tcW w:w="1720" w:type="pct"/>
          </w:tcPr>
          <w:p w14:paraId="01A9D684" w14:textId="77777777" w:rsidR="00FF7799" w:rsidRPr="00E73F6F" w:rsidRDefault="00FF7799" w:rsidP="00F3090F">
            <w:pPr>
              <w:pStyle w:val="StandardText"/>
              <w:jc w:val="left"/>
              <w:rPr>
                <w:lang w:val="de-DE"/>
              </w:rPr>
            </w:pPr>
            <w:r w:rsidRPr="00E73F6F">
              <w:rPr>
                <w:spacing w:val="-2"/>
                <w:lang w:val="de-DE"/>
              </w:rPr>
              <w:t>Turkmenistan</w:t>
            </w:r>
          </w:p>
        </w:tc>
        <w:tc>
          <w:tcPr>
            <w:tcW w:w="963" w:type="pct"/>
          </w:tcPr>
          <w:p w14:paraId="6B9736F5" w14:textId="77777777" w:rsidR="00FF7799" w:rsidRPr="00E73F6F" w:rsidRDefault="00FF7799" w:rsidP="00F3090F">
            <w:pPr>
              <w:pStyle w:val="StandardText"/>
              <w:jc w:val="center"/>
              <w:rPr>
                <w:lang w:val="de-DE"/>
              </w:rPr>
            </w:pPr>
            <w:r w:rsidRPr="00E73F6F">
              <w:rPr>
                <w:spacing w:val="-5"/>
                <w:lang w:val="de-DE"/>
              </w:rPr>
              <w:t>2.2</w:t>
            </w:r>
          </w:p>
        </w:tc>
        <w:tc>
          <w:tcPr>
            <w:tcW w:w="963" w:type="pct"/>
          </w:tcPr>
          <w:p w14:paraId="23243DE6" w14:textId="77777777" w:rsidR="00FF7799" w:rsidRPr="00E73F6F" w:rsidRDefault="00FF7799" w:rsidP="00F3090F">
            <w:pPr>
              <w:pStyle w:val="StandardText"/>
              <w:jc w:val="center"/>
              <w:rPr>
                <w:lang w:val="de-DE"/>
              </w:rPr>
            </w:pPr>
            <w:r w:rsidRPr="00E73F6F">
              <w:rPr>
                <w:lang w:val="de-DE"/>
              </w:rPr>
              <w:t>1.9 -</w:t>
            </w:r>
            <w:r w:rsidRPr="00E73F6F">
              <w:rPr>
                <w:spacing w:val="-3"/>
                <w:lang w:val="de-DE"/>
              </w:rPr>
              <w:t xml:space="preserve"> </w:t>
            </w:r>
            <w:r w:rsidRPr="00E73F6F">
              <w:rPr>
                <w:spacing w:val="-5"/>
                <w:lang w:val="de-DE"/>
              </w:rPr>
              <w:t>2.5</w:t>
            </w:r>
          </w:p>
        </w:tc>
        <w:tc>
          <w:tcPr>
            <w:tcW w:w="963" w:type="pct"/>
          </w:tcPr>
          <w:p w14:paraId="406772C0" w14:textId="77777777" w:rsidR="00FF7799" w:rsidRPr="00E73F6F" w:rsidRDefault="00FF7799" w:rsidP="00F3090F">
            <w:pPr>
              <w:pStyle w:val="StandardText"/>
              <w:jc w:val="center"/>
              <w:rPr>
                <w:lang w:val="de-DE"/>
              </w:rPr>
            </w:pPr>
            <w:r w:rsidRPr="00E73F6F">
              <w:rPr>
                <w:lang w:val="de-DE"/>
              </w:rPr>
              <w:t>4</w:t>
            </w:r>
          </w:p>
        </w:tc>
      </w:tr>
      <w:tr w:rsidR="00FF7799" w:rsidRPr="00E73F6F" w14:paraId="08737C9D" w14:textId="77777777" w:rsidTr="008E038E">
        <w:trPr>
          <w:trHeight w:val="242"/>
        </w:trPr>
        <w:tc>
          <w:tcPr>
            <w:tcW w:w="391" w:type="pct"/>
          </w:tcPr>
          <w:p w14:paraId="26BD0654" w14:textId="77777777" w:rsidR="00FF7799" w:rsidRPr="00E73F6F" w:rsidRDefault="00FF7799" w:rsidP="00F3090F">
            <w:pPr>
              <w:pStyle w:val="StandardText"/>
              <w:jc w:val="center"/>
              <w:rPr>
                <w:lang w:val="de-DE"/>
              </w:rPr>
            </w:pPr>
            <w:r w:rsidRPr="00E73F6F">
              <w:rPr>
                <w:spacing w:val="-5"/>
                <w:lang w:val="de-DE"/>
              </w:rPr>
              <w:t>151</w:t>
            </w:r>
          </w:p>
        </w:tc>
        <w:tc>
          <w:tcPr>
            <w:tcW w:w="1720" w:type="pct"/>
          </w:tcPr>
          <w:p w14:paraId="3CA892E4" w14:textId="77777777" w:rsidR="00FF7799" w:rsidRPr="00E73F6F" w:rsidRDefault="00FF7799" w:rsidP="00F3090F">
            <w:pPr>
              <w:pStyle w:val="StandardText"/>
              <w:jc w:val="left"/>
              <w:rPr>
                <w:lang w:val="de-DE"/>
              </w:rPr>
            </w:pPr>
            <w:r w:rsidRPr="00E73F6F">
              <w:rPr>
                <w:spacing w:val="-2"/>
                <w:lang w:val="de-DE"/>
              </w:rPr>
              <w:t>Weißrussland</w:t>
            </w:r>
          </w:p>
        </w:tc>
        <w:tc>
          <w:tcPr>
            <w:tcW w:w="963" w:type="pct"/>
          </w:tcPr>
          <w:p w14:paraId="2A180E85" w14:textId="77777777" w:rsidR="00FF7799" w:rsidRPr="00E73F6F" w:rsidRDefault="00FF7799" w:rsidP="00F3090F">
            <w:pPr>
              <w:pStyle w:val="StandardText"/>
              <w:jc w:val="center"/>
              <w:rPr>
                <w:lang w:val="de-DE"/>
              </w:rPr>
            </w:pPr>
            <w:r w:rsidRPr="00E73F6F">
              <w:rPr>
                <w:spacing w:val="-5"/>
                <w:lang w:val="de-DE"/>
              </w:rPr>
              <w:t>2.1</w:t>
            </w:r>
          </w:p>
        </w:tc>
        <w:tc>
          <w:tcPr>
            <w:tcW w:w="963" w:type="pct"/>
          </w:tcPr>
          <w:p w14:paraId="77F1C80C" w14:textId="77777777" w:rsidR="00FF7799" w:rsidRPr="00E73F6F" w:rsidRDefault="00FF7799" w:rsidP="00F3090F">
            <w:pPr>
              <w:pStyle w:val="StandardText"/>
              <w:jc w:val="center"/>
              <w:rPr>
                <w:lang w:val="de-DE"/>
              </w:rPr>
            </w:pPr>
            <w:r w:rsidRPr="00E73F6F">
              <w:rPr>
                <w:lang w:val="de-DE"/>
              </w:rPr>
              <w:t>1.9 -</w:t>
            </w:r>
            <w:r w:rsidRPr="00E73F6F">
              <w:rPr>
                <w:spacing w:val="-3"/>
                <w:lang w:val="de-DE"/>
              </w:rPr>
              <w:t xml:space="preserve"> </w:t>
            </w:r>
            <w:r w:rsidRPr="00E73F6F">
              <w:rPr>
                <w:spacing w:val="-5"/>
                <w:lang w:val="de-DE"/>
              </w:rPr>
              <w:t>2.2</w:t>
            </w:r>
          </w:p>
        </w:tc>
        <w:tc>
          <w:tcPr>
            <w:tcW w:w="963" w:type="pct"/>
          </w:tcPr>
          <w:p w14:paraId="11947C5B" w14:textId="77777777" w:rsidR="00FF7799" w:rsidRPr="00E73F6F" w:rsidRDefault="00FF7799" w:rsidP="00F3090F">
            <w:pPr>
              <w:pStyle w:val="StandardText"/>
              <w:jc w:val="center"/>
              <w:rPr>
                <w:lang w:val="de-DE"/>
              </w:rPr>
            </w:pPr>
            <w:r w:rsidRPr="00E73F6F">
              <w:rPr>
                <w:lang w:val="de-DE"/>
              </w:rPr>
              <w:t>4</w:t>
            </w:r>
          </w:p>
        </w:tc>
      </w:tr>
      <w:tr w:rsidR="00FF7799" w:rsidRPr="00E73F6F" w14:paraId="6C892D60" w14:textId="77777777" w:rsidTr="008E038E">
        <w:trPr>
          <w:trHeight w:val="241"/>
        </w:trPr>
        <w:tc>
          <w:tcPr>
            <w:tcW w:w="391" w:type="pct"/>
          </w:tcPr>
          <w:p w14:paraId="5180466F" w14:textId="77777777" w:rsidR="00FF7799" w:rsidRPr="00E73F6F" w:rsidRDefault="00FF7799" w:rsidP="00F3090F">
            <w:pPr>
              <w:pStyle w:val="StandardText"/>
              <w:jc w:val="center"/>
              <w:rPr>
                <w:lang w:val="de-DE"/>
              </w:rPr>
            </w:pPr>
          </w:p>
        </w:tc>
        <w:tc>
          <w:tcPr>
            <w:tcW w:w="1720" w:type="pct"/>
          </w:tcPr>
          <w:p w14:paraId="411B0164" w14:textId="77777777" w:rsidR="00FF7799" w:rsidRPr="00E73F6F" w:rsidRDefault="00FF7799" w:rsidP="00F3090F">
            <w:pPr>
              <w:pStyle w:val="StandardText"/>
              <w:jc w:val="left"/>
              <w:rPr>
                <w:lang w:val="de-DE"/>
              </w:rPr>
            </w:pPr>
            <w:r w:rsidRPr="00E73F6F">
              <w:rPr>
                <w:spacing w:val="-2"/>
                <w:lang w:val="de-DE"/>
              </w:rPr>
              <w:t>Kambodscha</w:t>
            </w:r>
          </w:p>
        </w:tc>
        <w:tc>
          <w:tcPr>
            <w:tcW w:w="963" w:type="pct"/>
          </w:tcPr>
          <w:p w14:paraId="441136D7" w14:textId="77777777" w:rsidR="00FF7799" w:rsidRPr="00E73F6F" w:rsidRDefault="00FF7799" w:rsidP="00F3090F">
            <w:pPr>
              <w:pStyle w:val="StandardText"/>
              <w:jc w:val="center"/>
              <w:rPr>
                <w:lang w:val="de-DE"/>
              </w:rPr>
            </w:pPr>
            <w:r w:rsidRPr="00E73F6F">
              <w:rPr>
                <w:spacing w:val="-5"/>
                <w:lang w:val="de-DE"/>
              </w:rPr>
              <w:t>2.1</w:t>
            </w:r>
          </w:p>
        </w:tc>
        <w:tc>
          <w:tcPr>
            <w:tcW w:w="963" w:type="pct"/>
          </w:tcPr>
          <w:p w14:paraId="6371A3F4" w14:textId="77777777" w:rsidR="00FF7799" w:rsidRPr="00E73F6F" w:rsidRDefault="00FF7799" w:rsidP="00F3090F">
            <w:pPr>
              <w:pStyle w:val="StandardText"/>
              <w:jc w:val="center"/>
              <w:rPr>
                <w:lang w:val="de-DE"/>
              </w:rPr>
            </w:pPr>
            <w:r w:rsidRPr="00E73F6F">
              <w:rPr>
                <w:lang w:val="de-DE"/>
              </w:rPr>
              <w:t>1.9 -</w:t>
            </w:r>
            <w:r w:rsidRPr="00E73F6F">
              <w:rPr>
                <w:spacing w:val="-3"/>
                <w:lang w:val="de-DE"/>
              </w:rPr>
              <w:t xml:space="preserve"> </w:t>
            </w:r>
            <w:r w:rsidRPr="00E73F6F">
              <w:rPr>
                <w:spacing w:val="-5"/>
                <w:lang w:val="de-DE"/>
              </w:rPr>
              <w:t>2.4</w:t>
            </w:r>
          </w:p>
        </w:tc>
        <w:tc>
          <w:tcPr>
            <w:tcW w:w="963" w:type="pct"/>
          </w:tcPr>
          <w:p w14:paraId="19ABBD48" w14:textId="77777777" w:rsidR="00FF7799" w:rsidRPr="00E73F6F" w:rsidRDefault="00FF7799" w:rsidP="00F3090F">
            <w:pPr>
              <w:pStyle w:val="StandardText"/>
              <w:jc w:val="center"/>
              <w:rPr>
                <w:lang w:val="de-DE"/>
              </w:rPr>
            </w:pPr>
            <w:r w:rsidRPr="00E73F6F">
              <w:rPr>
                <w:lang w:val="de-DE"/>
              </w:rPr>
              <w:t>6</w:t>
            </w:r>
          </w:p>
        </w:tc>
      </w:tr>
      <w:tr w:rsidR="00FF7799" w:rsidRPr="00E73F6F" w14:paraId="2410FBF8" w14:textId="77777777" w:rsidTr="008E038E">
        <w:trPr>
          <w:trHeight w:val="242"/>
        </w:trPr>
        <w:tc>
          <w:tcPr>
            <w:tcW w:w="391" w:type="pct"/>
          </w:tcPr>
          <w:p w14:paraId="659E9AE2" w14:textId="77777777" w:rsidR="00FF7799" w:rsidRPr="00E73F6F" w:rsidRDefault="00FF7799" w:rsidP="00F3090F">
            <w:pPr>
              <w:pStyle w:val="StandardText"/>
              <w:jc w:val="center"/>
              <w:rPr>
                <w:lang w:val="de-DE"/>
              </w:rPr>
            </w:pPr>
          </w:p>
        </w:tc>
        <w:tc>
          <w:tcPr>
            <w:tcW w:w="1720" w:type="pct"/>
          </w:tcPr>
          <w:p w14:paraId="10A8B63B" w14:textId="77777777" w:rsidR="00FF7799" w:rsidRPr="00E73F6F" w:rsidRDefault="00FF7799" w:rsidP="00F3090F">
            <w:pPr>
              <w:pStyle w:val="StandardText"/>
              <w:jc w:val="left"/>
              <w:rPr>
                <w:lang w:val="de-DE"/>
              </w:rPr>
            </w:pPr>
            <w:r w:rsidRPr="00E73F6F">
              <w:rPr>
                <w:spacing w:val="-2"/>
                <w:lang w:val="de-DE"/>
              </w:rPr>
              <w:t>Elfenbeinküste</w:t>
            </w:r>
          </w:p>
        </w:tc>
        <w:tc>
          <w:tcPr>
            <w:tcW w:w="963" w:type="pct"/>
          </w:tcPr>
          <w:p w14:paraId="3363BF04" w14:textId="77777777" w:rsidR="00FF7799" w:rsidRPr="00E73F6F" w:rsidRDefault="00FF7799" w:rsidP="00F3090F">
            <w:pPr>
              <w:pStyle w:val="StandardText"/>
              <w:jc w:val="center"/>
              <w:rPr>
                <w:lang w:val="de-DE"/>
              </w:rPr>
            </w:pPr>
            <w:r w:rsidRPr="00E73F6F">
              <w:rPr>
                <w:spacing w:val="-5"/>
                <w:lang w:val="de-DE"/>
              </w:rPr>
              <w:t>2.1</w:t>
            </w:r>
          </w:p>
        </w:tc>
        <w:tc>
          <w:tcPr>
            <w:tcW w:w="963" w:type="pct"/>
          </w:tcPr>
          <w:p w14:paraId="14A3BE2B" w14:textId="77777777" w:rsidR="00FF7799" w:rsidRPr="00E73F6F" w:rsidRDefault="00FF7799" w:rsidP="00F3090F">
            <w:pPr>
              <w:pStyle w:val="StandardText"/>
              <w:jc w:val="center"/>
              <w:rPr>
                <w:lang w:val="de-DE"/>
              </w:rPr>
            </w:pPr>
            <w:r w:rsidRPr="00E73F6F">
              <w:rPr>
                <w:lang w:val="de-DE"/>
              </w:rPr>
              <w:t>2.0 -</w:t>
            </w:r>
            <w:r w:rsidRPr="00E73F6F">
              <w:rPr>
                <w:spacing w:val="-3"/>
                <w:lang w:val="de-DE"/>
              </w:rPr>
              <w:t xml:space="preserve"> </w:t>
            </w:r>
            <w:r w:rsidRPr="00E73F6F">
              <w:rPr>
                <w:spacing w:val="-5"/>
                <w:lang w:val="de-DE"/>
              </w:rPr>
              <w:t>2.2</w:t>
            </w:r>
          </w:p>
        </w:tc>
        <w:tc>
          <w:tcPr>
            <w:tcW w:w="963" w:type="pct"/>
          </w:tcPr>
          <w:p w14:paraId="68C3368F" w14:textId="77777777" w:rsidR="00FF7799" w:rsidRPr="00E73F6F" w:rsidRDefault="00FF7799" w:rsidP="00F3090F">
            <w:pPr>
              <w:pStyle w:val="StandardText"/>
              <w:jc w:val="center"/>
              <w:rPr>
                <w:lang w:val="de-DE"/>
              </w:rPr>
            </w:pPr>
            <w:r w:rsidRPr="00E73F6F">
              <w:rPr>
                <w:lang w:val="de-DE"/>
              </w:rPr>
              <w:t>4</w:t>
            </w:r>
          </w:p>
        </w:tc>
      </w:tr>
      <w:tr w:rsidR="00FF7799" w:rsidRPr="00E73F6F" w14:paraId="1620A691" w14:textId="77777777" w:rsidTr="008E038E">
        <w:trPr>
          <w:trHeight w:val="241"/>
        </w:trPr>
        <w:tc>
          <w:tcPr>
            <w:tcW w:w="391" w:type="pct"/>
          </w:tcPr>
          <w:p w14:paraId="3A9F21C6" w14:textId="77777777" w:rsidR="00FF7799" w:rsidRPr="00E73F6F" w:rsidRDefault="00FF7799" w:rsidP="00F3090F">
            <w:pPr>
              <w:pStyle w:val="StandardText"/>
              <w:jc w:val="center"/>
              <w:rPr>
                <w:lang w:val="de-DE"/>
              </w:rPr>
            </w:pPr>
          </w:p>
        </w:tc>
        <w:tc>
          <w:tcPr>
            <w:tcW w:w="1720" w:type="pct"/>
          </w:tcPr>
          <w:p w14:paraId="05DF8A1E" w14:textId="77777777" w:rsidR="00FF7799" w:rsidRPr="00E73F6F" w:rsidRDefault="00FF7799" w:rsidP="00F3090F">
            <w:pPr>
              <w:pStyle w:val="StandardText"/>
              <w:jc w:val="left"/>
              <w:rPr>
                <w:lang w:val="de-DE"/>
              </w:rPr>
            </w:pPr>
            <w:r w:rsidRPr="00E73F6F">
              <w:rPr>
                <w:spacing w:val="-2"/>
                <w:lang w:val="de-DE"/>
              </w:rPr>
              <w:t>Äquatorialguinea</w:t>
            </w:r>
          </w:p>
        </w:tc>
        <w:tc>
          <w:tcPr>
            <w:tcW w:w="963" w:type="pct"/>
          </w:tcPr>
          <w:p w14:paraId="6BC24490" w14:textId="77777777" w:rsidR="00FF7799" w:rsidRPr="00E73F6F" w:rsidRDefault="00FF7799" w:rsidP="00F3090F">
            <w:pPr>
              <w:pStyle w:val="StandardText"/>
              <w:jc w:val="center"/>
              <w:rPr>
                <w:lang w:val="de-DE"/>
              </w:rPr>
            </w:pPr>
            <w:r w:rsidRPr="00E73F6F">
              <w:rPr>
                <w:spacing w:val="-5"/>
                <w:lang w:val="de-DE"/>
              </w:rPr>
              <w:t>2.1</w:t>
            </w:r>
          </w:p>
        </w:tc>
        <w:tc>
          <w:tcPr>
            <w:tcW w:w="963" w:type="pct"/>
          </w:tcPr>
          <w:p w14:paraId="16CD33D6" w14:textId="77777777" w:rsidR="00FF7799" w:rsidRPr="00E73F6F" w:rsidRDefault="00FF7799" w:rsidP="00F3090F">
            <w:pPr>
              <w:pStyle w:val="StandardText"/>
              <w:jc w:val="center"/>
              <w:rPr>
                <w:lang w:val="de-DE"/>
              </w:rPr>
            </w:pPr>
            <w:r w:rsidRPr="00E73F6F">
              <w:rPr>
                <w:lang w:val="de-DE"/>
              </w:rPr>
              <w:t>1.7 -</w:t>
            </w:r>
            <w:r w:rsidRPr="00E73F6F">
              <w:rPr>
                <w:spacing w:val="-3"/>
                <w:lang w:val="de-DE"/>
              </w:rPr>
              <w:t xml:space="preserve"> </w:t>
            </w:r>
            <w:r w:rsidRPr="00E73F6F">
              <w:rPr>
                <w:spacing w:val="-5"/>
                <w:lang w:val="de-DE"/>
              </w:rPr>
              <w:t>2.2</w:t>
            </w:r>
          </w:p>
        </w:tc>
        <w:tc>
          <w:tcPr>
            <w:tcW w:w="963" w:type="pct"/>
          </w:tcPr>
          <w:p w14:paraId="594A6565" w14:textId="77777777" w:rsidR="00FF7799" w:rsidRPr="00E73F6F" w:rsidRDefault="00FF7799" w:rsidP="00F3090F">
            <w:pPr>
              <w:pStyle w:val="StandardText"/>
              <w:jc w:val="center"/>
              <w:rPr>
                <w:lang w:val="de-DE"/>
              </w:rPr>
            </w:pPr>
            <w:r w:rsidRPr="00E73F6F">
              <w:rPr>
                <w:lang w:val="de-DE"/>
              </w:rPr>
              <w:t>3</w:t>
            </w:r>
          </w:p>
        </w:tc>
      </w:tr>
      <w:tr w:rsidR="00FF7799" w:rsidRPr="00E73F6F" w14:paraId="3320B7AA" w14:textId="77777777" w:rsidTr="008E038E">
        <w:trPr>
          <w:trHeight w:val="242"/>
        </w:trPr>
        <w:tc>
          <w:tcPr>
            <w:tcW w:w="391" w:type="pct"/>
          </w:tcPr>
          <w:p w14:paraId="7DA2B81A" w14:textId="77777777" w:rsidR="00FF7799" w:rsidRPr="00E73F6F" w:rsidRDefault="00FF7799" w:rsidP="00F3090F">
            <w:pPr>
              <w:pStyle w:val="StandardText"/>
              <w:jc w:val="center"/>
              <w:rPr>
                <w:lang w:val="de-DE"/>
              </w:rPr>
            </w:pPr>
          </w:p>
        </w:tc>
        <w:tc>
          <w:tcPr>
            <w:tcW w:w="1720" w:type="pct"/>
          </w:tcPr>
          <w:p w14:paraId="667DBCD2" w14:textId="77777777" w:rsidR="00FF7799" w:rsidRPr="00E73F6F" w:rsidRDefault="00FF7799" w:rsidP="00F3090F">
            <w:pPr>
              <w:pStyle w:val="StandardText"/>
              <w:jc w:val="left"/>
              <w:rPr>
                <w:lang w:val="de-DE"/>
              </w:rPr>
            </w:pPr>
            <w:r w:rsidRPr="00E73F6F">
              <w:rPr>
                <w:spacing w:val="-2"/>
                <w:lang w:val="de-DE"/>
              </w:rPr>
              <w:t>Usbekistan</w:t>
            </w:r>
          </w:p>
        </w:tc>
        <w:tc>
          <w:tcPr>
            <w:tcW w:w="963" w:type="pct"/>
          </w:tcPr>
          <w:p w14:paraId="00C1BC67" w14:textId="77777777" w:rsidR="00FF7799" w:rsidRPr="00E73F6F" w:rsidRDefault="00FF7799" w:rsidP="00F3090F">
            <w:pPr>
              <w:pStyle w:val="StandardText"/>
              <w:jc w:val="center"/>
              <w:rPr>
                <w:lang w:val="de-DE"/>
              </w:rPr>
            </w:pPr>
            <w:r w:rsidRPr="00E73F6F">
              <w:rPr>
                <w:spacing w:val="-5"/>
                <w:lang w:val="de-DE"/>
              </w:rPr>
              <w:t>2.1</w:t>
            </w:r>
          </w:p>
        </w:tc>
        <w:tc>
          <w:tcPr>
            <w:tcW w:w="963" w:type="pct"/>
          </w:tcPr>
          <w:p w14:paraId="2365756A" w14:textId="77777777" w:rsidR="00FF7799" w:rsidRPr="00E73F6F" w:rsidRDefault="00FF7799" w:rsidP="00F3090F">
            <w:pPr>
              <w:pStyle w:val="StandardText"/>
              <w:jc w:val="center"/>
              <w:rPr>
                <w:lang w:val="de-DE"/>
              </w:rPr>
            </w:pPr>
            <w:r w:rsidRPr="00E73F6F">
              <w:rPr>
                <w:lang w:val="de-DE"/>
              </w:rPr>
              <w:t>1.8 -</w:t>
            </w:r>
            <w:r w:rsidRPr="00E73F6F">
              <w:rPr>
                <w:spacing w:val="-3"/>
                <w:lang w:val="de-DE"/>
              </w:rPr>
              <w:t xml:space="preserve"> </w:t>
            </w:r>
            <w:r w:rsidRPr="00E73F6F">
              <w:rPr>
                <w:spacing w:val="-5"/>
                <w:lang w:val="de-DE"/>
              </w:rPr>
              <w:t>2.2</w:t>
            </w:r>
          </w:p>
        </w:tc>
        <w:tc>
          <w:tcPr>
            <w:tcW w:w="963" w:type="pct"/>
          </w:tcPr>
          <w:p w14:paraId="06562D9E" w14:textId="77777777" w:rsidR="00FF7799" w:rsidRPr="00E73F6F" w:rsidRDefault="00FF7799" w:rsidP="00F3090F">
            <w:pPr>
              <w:pStyle w:val="StandardText"/>
              <w:jc w:val="center"/>
              <w:rPr>
                <w:lang w:val="de-DE"/>
              </w:rPr>
            </w:pPr>
            <w:r w:rsidRPr="00E73F6F">
              <w:rPr>
                <w:lang w:val="de-DE"/>
              </w:rPr>
              <w:t>5</w:t>
            </w:r>
          </w:p>
        </w:tc>
      </w:tr>
      <w:tr w:rsidR="00FF7799" w:rsidRPr="00E73F6F" w14:paraId="48F38958" w14:textId="77777777" w:rsidTr="008E038E">
        <w:trPr>
          <w:trHeight w:val="241"/>
        </w:trPr>
        <w:tc>
          <w:tcPr>
            <w:tcW w:w="391" w:type="pct"/>
          </w:tcPr>
          <w:p w14:paraId="0932CBDE" w14:textId="77777777" w:rsidR="00FF7799" w:rsidRPr="00E73F6F" w:rsidRDefault="00FF7799" w:rsidP="00F3090F">
            <w:pPr>
              <w:pStyle w:val="StandardText"/>
              <w:jc w:val="center"/>
              <w:rPr>
                <w:lang w:val="de-DE"/>
              </w:rPr>
            </w:pPr>
            <w:r w:rsidRPr="00E73F6F">
              <w:rPr>
                <w:spacing w:val="-5"/>
                <w:lang w:val="de-DE"/>
              </w:rPr>
              <w:t>156</w:t>
            </w:r>
          </w:p>
        </w:tc>
        <w:tc>
          <w:tcPr>
            <w:tcW w:w="1720" w:type="pct"/>
          </w:tcPr>
          <w:p w14:paraId="7CC3A9F9" w14:textId="77777777" w:rsidR="00FF7799" w:rsidRPr="00E73F6F" w:rsidRDefault="00FF7799" w:rsidP="00F3090F">
            <w:pPr>
              <w:pStyle w:val="StandardText"/>
              <w:jc w:val="left"/>
              <w:rPr>
                <w:lang w:val="de-DE"/>
              </w:rPr>
            </w:pPr>
            <w:r w:rsidRPr="00E73F6F">
              <w:rPr>
                <w:spacing w:val="-2"/>
                <w:lang w:val="de-DE"/>
              </w:rPr>
              <w:t>Bangladesch</w:t>
            </w:r>
          </w:p>
        </w:tc>
        <w:tc>
          <w:tcPr>
            <w:tcW w:w="963" w:type="pct"/>
          </w:tcPr>
          <w:p w14:paraId="795C9EFE" w14:textId="77777777" w:rsidR="00FF7799" w:rsidRPr="00E73F6F" w:rsidRDefault="00FF7799" w:rsidP="00F3090F">
            <w:pPr>
              <w:pStyle w:val="StandardText"/>
              <w:jc w:val="center"/>
              <w:rPr>
                <w:lang w:val="de-DE"/>
              </w:rPr>
            </w:pPr>
            <w:r w:rsidRPr="00E73F6F">
              <w:rPr>
                <w:spacing w:val="-5"/>
                <w:lang w:val="de-DE"/>
              </w:rPr>
              <w:t>2.0</w:t>
            </w:r>
          </w:p>
        </w:tc>
        <w:tc>
          <w:tcPr>
            <w:tcW w:w="963" w:type="pct"/>
          </w:tcPr>
          <w:p w14:paraId="714C5D4C" w14:textId="77777777" w:rsidR="00FF7799" w:rsidRPr="00E73F6F" w:rsidRDefault="00FF7799" w:rsidP="00F3090F">
            <w:pPr>
              <w:pStyle w:val="StandardText"/>
              <w:jc w:val="center"/>
              <w:rPr>
                <w:lang w:val="de-DE"/>
              </w:rPr>
            </w:pPr>
            <w:r w:rsidRPr="00E73F6F">
              <w:rPr>
                <w:lang w:val="de-DE"/>
              </w:rPr>
              <w:t>1.7 -</w:t>
            </w:r>
            <w:r w:rsidRPr="00E73F6F">
              <w:rPr>
                <w:spacing w:val="-3"/>
                <w:lang w:val="de-DE"/>
              </w:rPr>
              <w:t xml:space="preserve"> </w:t>
            </w:r>
            <w:r w:rsidRPr="00E73F6F">
              <w:rPr>
                <w:spacing w:val="-5"/>
                <w:lang w:val="de-DE"/>
              </w:rPr>
              <w:t>2.2</w:t>
            </w:r>
          </w:p>
        </w:tc>
        <w:tc>
          <w:tcPr>
            <w:tcW w:w="963" w:type="pct"/>
          </w:tcPr>
          <w:p w14:paraId="19A42386" w14:textId="77777777" w:rsidR="00FF7799" w:rsidRPr="00E73F6F" w:rsidRDefault="00FF7799" w:rsidP="00F3090F">
            <w:pPr>
              <w:pStyle w:val="StandardText"/>
              <w:jc w:val="center"/>
              <w:rPr>
                <w:lang w:val="de-DE"/>
              </w:rPr>
            </w:pPr>
            <w:r w:rsidRPr="00E73F6F">
              <w:rPr>
                <w:lang w:val="de-DE"/>
              </w:rPr>
              <w:t>6</w:t>
            </w:r>
          </w:p>
        </w:tc>
      </w:tr>
      <w:tr w:rsidR="00FF7799" w:rsidRPr="00E73F6F" w14:paraId="75BBE807" w14:textId="77777777" w:rsidTr="008E038E">
        <w:trPr>
          <w:trHeight w:val="242"/>
        </w:trPr>
        <w:tc>
          <w:tcPr>
            <w:tcW w:w="391" w:type="pct"/>
          </w:tcPr>
          <w:p w14:paraId="41E8E19D" w14:textId="77777777" w:rsidR="00FF7799" w:rsidRPr="00E73F6F" w:rsidRDefault="00FF7799" w:rsidP="00F3090F">
            <w:pPr>
              <w:pStyle w:val="StandardText"/>
              <w:jc w:val="center"/>
              <w:rPr>
                <w:lang w:val="de-DE"/>
              </w:rPr>
            </w:pPr>
          </w:p>
        </w:tc>
        <w:tc>
          <w:tcPr>
            <w:tcW w:w="1720" w:type="pct"/>
          </w:tcPr>
          <w:p w14:paraId="1E242C6A" w14:textId="77777777" w:rsidR="00FF7799" w:rsidRPr="00E73F6F" w:rsidRDefault="00FF7799" w:rsidP="00F3090F">
            <w:pPr>
              <w:pStyle w:val="StandardText"/>
              <w:jc w:val="left"/>
              <w:rPr>
                <w:lang w:val="de-DE"/>
              </w:rPr>
            </w:pPr>
            <w:r w:rsidRPr="00E73F6F">
              <w:rPr>
                <w:spacing w:val="-2"/>
                <w:lang w:val="de-DE"/>
              </w:rPr>
              <w:t>Tschad</w:t>
            </w:r>
          </w:p>
        </w:tc>
        <w:tc>
          <w:tcPr>
            <w:tcW w:w="963" w:type="pct"/>
          </w:tcPr>
          <w:p w14:paraId="6CC892F5" w14:textId="77777777" w:rsidR="00FF7799" w:rsidRPr="00E73F6F" w:rsidRDefault="00FF7799" w:rsidP="00F3090F">
            <w:pPr>
              <w:pStyle w:val="StandardText"/>
              <w:jc w:val="center"/>
              <w:rPr>
                <w:lang w:val="de-DE"/>
              </w:rPr>
            </w:pPr>
            <w:r w:rsidRPr="00E73F6F">
              <w:rPr>
                <w:spacing w:val="-5"/>
                <w:lang w:val="de-DE"/>
              </w:rPr>
              <w:t>2.0</w:t>
            </w:r>
          </w:p>
        </w:tc>
        <w:tc>
          <w:tcPr>
            <w:tcW w:w="963" w:type="pct"/>
          </w:tcPr>
          <w:p w14:paraId="65BAA089" w14:textId="77777777" w:rsidR="00FF7799" w:rsidRPr="00E73F6F" w:rsidRDefault="00FF7799" w:rsidP="00F3090F">
            <w:pPr>
              <w:pStyle w:val="StandardText"/>
              <w:jc w:val="center"/>
              <w:rPr>
                <w:lang w:val="de-DE"/>
              </w:rPr>
            </w:pPr>
            <w:r w:rsidRPr="00E73F6F">
              <w:rPr>
                <w:lang w:val="de-DE"/>
              </w:rPr>
              <w:t>1.8 -</w:t>
            </w:r>
            <w:r w:rsidRPr="00E73F6F">
              <w:rPr>
                <w:spacing w:val="-3"/>
                <w:lang w:val="de-DE"/>
              </w:rPr>
              <w:t xml:space="preserve"> </w:t>
            </w:r>
            <w:r w:rsidRPr="00E73F6F">
              <w:rPr>
                <w:spacing w:val="-5"/>
                <w:lang w:val="de-DE"/>
              </w:rPr>
              <w:t>2.3</w:t>
            </w:r>
          </w:p>
        </w:tc>
        <w:tc>
          <w:tcPr>
            <w:tcW w:w="963" w:type="pct"/>
          </w:tcPr>
          <w:p w14:paraId="43AD9863" w14:textId="77777777" w:rsidR="00FF7799" w:rsidRPr="00E73F6F" w:rsidRDefault="00FF7799" w:rsidP="00F3090F">
            <w:pPr>
              <w:pStyle w:val="StandardText"/>
              <w:jc w:val="center"/>
              <w:rPr>
                <w:lang w:val="de-DE"/>
              </w:rPr>
            </w:pPr>
            <w:r w:rsidRPr="00E73F6F">
              <w:rPr>
                <w:lang w:val="de-DE"/>
              </w:rPr>
              <w:t>6</w:t>
            </w:r>
          </w:p>
        </w:tc>
      </w:tr>
      <w:tr w:rsidR="00FF7799" w:rsidRPr="00E73F6F" w14:paraId="65692331" w14:textId="77777777" w:rsidTr="008E038E">
        <w:trPr>
          <w:trHeight w:val="398"/>
        </w:trPr>
        <w:tc>
          <w:tcPr>
            <w:tcW w:w="391" w:type="pct"/>
          </w:tcPr>
          <w:p w14:paraId="44C13B1F" w14:textId="77777777" w:rsidR="00FF7799" w:rsidRPr="00E73F6F" w:rsidRDefault="00FF7799" w:rsidP="00F3090F">
            <w:pPr>
              <w:pStyle w:val="StandardText"/>
              <w:jc w:val="center"/>
              <w:rPr>
                <w:lang w:val="de-DE"/>
              </w:rPr>
            </w:pPr>
          </w:p>
        </w:tc>
        <w:tc>
          <w:tcPr>
            <w:tcW w:w="1720" w:type="pct"/>
          </w:tcPr>
          <w:p w14:paraId="4405E15D" w14:textId="77777777" w:rsidR="00FF7799" w:rsidRPr="00E73F6F" w:rsidRDefault="00FF7799" w:rsidP="008E038E">
            <w:pPr>
              <w:pStyle w:val="StandardText"/>
              <w:jc w:val="left"/>
              <w:rPr>
                <w:lang w:val="de-DE"/>
              </w:rPr>
            </w:pPr>
            <w:r w:rsidRPr="00E73F6F">
              <w:rPr>
                <w:lang w:val="de-DE"/>
              </w:rPr>
              <w:t>Demokratische</w:t>
            </w:r>
            <w:r w:rsidRPr="00E73F6F">
              <w:rPr>
                <w:spacing w:val="-10"/>
                <w:lang w:val="de-DE"/>
              </w:rPr>
              <w:t xml:space="preserve"> </w:t>
            </w:r>
            <w:r w:rsidRPr="00E73F6F">
              <w:rPr>
                <w:lang w:val="de-DE"/>
              </w:rPr>
              <w:t xml:space="preserve">Republik </w:t>
            </w:r>
            <w:r w:rsidRPr="00E73F6F">
              <w:rPr>
                <w:spacing w:val="-2"/>
                <w:lang w:val="de-DE"/>
              </w:rPr>
              <w:t>Kongo</w:t>
            </w:r>
          </w:p>
        </w:tc>
        <w:tc>
          <w:tcPr>
            <w:tcW w:w="963" w:type="pct"/>
          </w:tcPr>
          <w:p w14:paraId="30A3831B" w14:textId="77777777" w:rsidR="00FF7799" w:rsidRPr="00E73F6F" w:rsidRDefault="00FF7799" w:rsidP="00F3090F">
            <w:pPr>
              <w:pStyle w:val="StandardText"/>
              <w:jc w:val="center"/>
              <w:rPr>
                <w:lang w:val="de-DE"/>
              </w:rPr>
            </w:pPr>
            <w:r w:rsidRPr="00E73F6F">
              <w:rPr>
                <w:spacing w:val="-5"/>
                <w:lang w:val="de-DE"/>
              </w:rPr>
              <w:t>2.0</w:t>
            </w:r>
          </w:p>
        </w:tc>
        <w:tc>
          <w:tcPr>
            <w:tcW w:w="963" w:type="pct"/>
          </w:tcPr>
          <w:p w14:paraId="0BE95FE1" w14:textId="77777777" w:rsidR="00FF7799" w:rsidRPr="00E73F6F" w:rsidRDefault="00FF7799" w:rsidP="00F3090F">
            <w:pPr>
              <w:pStyle w:val="StandardText"/>
              <w:jc w:val="center"/>
              <w:rPr>
                <w:lang w:val="de-DE"/>
              </w:rPr>
            </w:pPr>
            <w:r w:rsidRPr="00E73F6F">
              <w:rPr>
                <w:lang w:val="de-DE"/>
              </w:rPr>
              <w:t>1.8 -</w:t>
            </w:r>
            <w:r w:rsidRPr="00E73F6F">
              <w:rPr>
                <w:spacing w:val="-3"/>
                <w:lang w:val="de-DE"/>
              </w:rPr>
              <w:t xml:space="preserve"> </w:t>
            </w:r>
            <w:r w:rsidRPr="00E73F6F">
              <w:rPr>
                <w:spacing w:val="-5"/>
                <w:lang w:val="de-DE"/>
              </w:rPr>
              <w:t>2.2</w:t>
            </w:r>
          </w:p>
        </w:tc>
        <w:tc>
          <w:tcPr>
            <w:tcW w:w="963" w:type="pct"/>
          </w:tcPr>
          <w:p w14:paraId="130FEFA4" w14:textId="77777777" w:rsidR="00FF7799" w:rsidRPr="00E73F6F" w:rsidRDefault="00FF7799" w:rsidP="00F3090F">
            <w:pPr>
              <w:pStyle w:val="StandardText"/>
              <w:jc w:val="center"/>
              <w:rPr>
                <w:lang w:val="de-DE"/>
              </w:rPr>
            </w:pPr>
            <w:r w:rsidRPr="00E73F6F">
              <w:rPr>
                <w:lang w:val="de-DE"/>
              </w:rPr>
              <w:t>4</w:t>
            </w:r>
          </w:p>
        </w:tc>
      </w:tr>
      <w:tr w:rsidR="00FF7799" w:rsidRPr="00E73F6F" w14:paraId="516B8675" w14:textId="77777777" w:rsidTr="008E038E">
        <w:trPr>
          <w:trHeight w:val="241"/>
        </w:trPr>
        <w:tc>
          <w:tcPr>
            <w:tcW w:w="391" w:type="pct"/>
            <w:tcBorders>
              <w:bottom w:val="single" w:sz="4" w:space="0" w:color="auto"/>
            </w:tcBorders>
          </w:tcPr>
          <w:p w14:paraId="0D780CFC" w14:textId="77777777" w:rsidR="00FF7799" w:rsidRPr="00E73F6F" w:rsidRDefault="00FF7799" w:rsidP="00F3090F">
            <w:pPr>
              <w:pStyle w:val="StandardText"/>
              <w:jc w:val="center"/>
              <w:rPr>
                <w:lang w:val="de-DE"/>
              </w:rPr>
            </w:pPr>
          </w:p>
        </w:tc>
        <w:tc>
          <w:tcPr>
            <w:tcW w:w="1720" w:type="pct"/>
            <w:tcBorders>
              <w:bottom w:val="single" w:sz="4" w:space="0" w:color="auto"/>
            </w:tcBorders>
          </w:tcPr>
          <w:p w14:paraId="5196CE87" w14:textId="77777777" w:rsidR="00FF7799" w:rsidRPr="00E73F6F" w:rsidRDefault="00FF7799" w:rsidP="00F3090F">
            <w:pPr>
              <w:pStyle w:val="StandardText"/>
              <w:jc w:val="left"/>
              <w:rPr>
                <w:lang w:val="de-DE"/>
              </w:rPr>
            </w:pPr>
            <w:r w:rsidRPr="00E73F6F">
              <w:rPr>
                <w:spacing w:val="-2"/>
                <w:lang w:val="de-DE"/>
              </w:rPr>
              <w:t>Sudan</w:t>
            </w:r>
          </w:p>
        </w:tc>
        <w:tc>
          <w:tcPr>
            <w:tcW w:w="963" w:type="pct"/>
            <w:tcBorders>
              <w:bottom w:val="single" w:sz="4" w:space="0" w:color="auto"/>
            </w:tcBorders>
          </w:tcPr>
          <w:p w14:paraId="217DE69D" w14:textId="77777777" w:rsidR="00FF7799" w:rsidRPr="00E73F6F" w:rsidRDefault="00FF7799" w:rsidP="00F3090F">
            <w:pPr>
              <w:pStyle w:val="StandardText"/>
              <w:jc w:val="center"/>
              <w:rPr>
                <w:lang w:val="de-DE"/>
              </w:rPr>
            </w:pPr>
            <w:r w:rsidRPr="00E73F6F">
              <w:rPr>
                <w:spacing w:val="-5"/>
                <w:lang w:val="de-DE"/>
              </w:rPr>
              <w:t>2.0</w:t>
            </w:r>
          </w:p>
        </w:tc>
        <w:tc>
          <w:tcPr>
            <w:tcW w:w="963" w:type="pct"/>
            <w:tcBorders>
              <w:bottom w:val="single" w:sz="4" w:space="0" w:color="auto"/>
            </w:tcBorders>
          </w:tcPr>
          <w:p w14:paraId="7604D924" w14:textId="77777777" w:rsidR="00FF7799" w:rsidRPr="00E73F6F" w:rsidRDefault="00FF7799" w:rsidP="00F3090F">
            <w:pPr>
              <w:pStyle w:val="StandardText"/>
              <w:jc w:val="center"/>
              <w:rPr>
                <w:lang w:val="de-DE"/>
              </w:rPr>
            </w:pPr>
            <w:r w:rsidRPr="00E73F6F">
              <w:rPr>
                <w:lang w:val="de-DE"/>
              </w:rPr>
              <w:t>1.8 -</w:t>
            </w:r>
            <w:r w:rsidRPr="00E73F6F">
              <w:rPr>
                <w:spacing w:val="-3"/>
                <w:lang w:val="de-DE"/>
              </w:rPr>
              <w:t xml:space="preserve"> </w:t>
            </w:r>
            <w:r w:rsidRPr="00E73F6F">
              <w:rPr>
                <w:spacing w:val="-5"/>
                <w:lang w:val="de-DE"/>
              </w:rPr>
              <w:t>2.2</w:t>
            </w:r>
          </w:p>
        </w:tc>
        <w:tc>
          <w:tcPr>
            <w:tcW w:w="963" w:type="pct"/>
            <w:tcBorders>
              <w:bottom w:val="single" w:sz="4" w:space="0" w:color="auto"/>
            </w:tcBorders>
          </w:tcPr>
          <w:p w14:paraId="330B3E8D" w14:textId="77777777" w:rsidR="00FF7799" w:rsidRPr="00E73F6F" w:rsidRDefault="00FF7799" w:rsidP="00F3090F">
            <w:pPr>
              <w:pStyle w:val="StandardText"/>
              <w:jc w:val="center"/>
              <w:rPr>
                <w:lang w:val="de-DE"/>
              </w:rPr>
            </w:pPr>
            <w:r w:rsidRPr="00E73F6F">
              <w:rPr>
                <w:lang w:val="de-DE"/>
              </w:rPr>
              <w:t>4</w:t>
            </w:r>
          </w:p>
        </w:tc>
      </w:tr>
      <w:tr w:rsidR="00FF7799" w:rsidRPr="00E73F6F" w14:paraId="6142AF54" w14:textId="77777777" w:rsidTr="008E038E">
        <w:trPr>
          <w:trHeight w:val="241"/>
        </w:trPr>
        <w:tc>
          <w:tcPr>
            <w:tcW w:w="5000" w:type="pct"/>
            <w:gridSpan w:val="5"/>
            <w:tcBorders>
              <w:bottom w:val="single" w:sz="4" w:space="0" w:color="auto"/>
            </w:tcBorders>
          </w:tcPr>
          <w:p w14:paraId="25120B2D" w14:textId="77777777" w:rsidR="00FF7799" w:rsidRPr="00E73F6F" w:rsidRDefault="00FF7799" w:rsidP="008E038E">
            <w:pPr>
              <w:pStyle w:val="Quellen"/>
              <w:rPr>
                <w:lang w:val="de-DE"/>
              </w:rPr>
            </w:pPr>
            <w:r w:rsidRPr="00E73F6F">
              <w:rPr>
                <w:vertAlign w:val="superscript"/>
                <w:lang w:val="de-DE"/>
              </w:rPr>
              <w:t>*</w:t>
            </w:r>
            <w:r w:rsidRPr="00E73F6F">
              <w:rPr>
                <w:spacing w:val="-9"/>
                <w:lang w:val="de-DE"/>
              </w:rPr>
              <w:t xml:space="preserve"> </w:t>
            </w:r>
            <w:r w:rsidRPr="00E73F6F">
              <w:rPr>
                <w:i/>
                <w:lang w:val="de-DE"/>
              </w:rPr>
              <w:t>CPI</w:t>
            </w:r>
            <w:r w:rsidRPr="00E73F6F">
              <w:rPr>
                <w:i/>
                <w:spacing w:val="-9"/>
                <w:lang w:val="de-DE"/>
              </w:rPr>
              <w:t xml:space="preserve"> </w:t>
            </w:r>
            <w:r w:rsidRPr="00E73F6F">
              <w:rPr>
                <w:i/>
                <w:lang w:val="de-DE"/>
              </w:rPr>
              <w:t>Punktwert:</w:t>
            </w:r>
            <w:r w:rsidRPr="00E73F6F">
              <w:rPr>
                <w:i/>
                <w:spacing w:val="-9"/>
                <w:lang w:val="de-DE"/>
              </w:rPr>
              <w:t xml:space="preserve"> </w:t>
            </w:r>
            <w:r w:rsidRPr="00E73F6F">
              <w:rPr>
                <w:lang w:val="de-DE"/>
              </w:rPr>
              <w:t>Bezieht</w:t>
            </w:r>
            <w:r w:rsidRPr="00E73F6F">
              <w:rPr>
                <w:spacing w:val="-7"/>
                <w:lang w:val="de-DE"/>
              </w:rPr>
              <w:t xml:space="preserve"> </w:t>
            </w:r>
            <w:r w:rsidRPr="00E73F6F">
              <w:rPr>
                <w:lang w:val="de-DE"/>
              </w:rPr>
              <w:t>sich</w:t>
            </w:r>
            <w:r w:rsidRPr="00E73F6F">
              <w:rPr>
                <w:spacing w:val="-6"/>
                <w:lang w:val="de-DE"/>
              </w:rPr>
              <w:t xml:space="preserve"> </w:t>
            </w:r>
            <w:r w:rsidRPr="00E73F6F">
              <w:rPr>
                <w:lang w:val="de-DE"/>
              </w:rPr>
              <w:t>auf</w:t>
            </w:r>
            <w:r w:rsidRPr="00E73F6F">
              <w:rPr>
                <w:spacing w:val="-7"/>
                <w:lang w:val="de-DE"/>
              </w:rPr>
              <w:t xml:space="preserve"> </w:t>
            </w:r>
            <w:r w:rsidRPr="00E73F6F">
              <w:rPr>
                <w:lang w:val="de-DE"/>
              </w:rPr>
              <w:t>das</w:t>
            </w:r>
            <w:r w:rsidRPr="00E73F6F">
              <w:rPr>
                <w:spacing w:val="-5"/>
                <w:lang w:val="de-DE"/>
              </w:rPr>
              <w:t xml:space="preserve"> </w:t>
            </w:r>
            <w:r w:rsidRPr="00E73F6F">
              <w:rPr>
                <w:lang w:val="de-DE"/>
              </w:rPr>
              <w:t>von</w:t>
            </w:r>
            <w:r w:rsidRPr="00E73F6F">
              <w:rPr>
                <w:spacing w:val="-6"/>
                <w:lang w:val="de-DE"/>
              </w:rPr>
              <w:t xml:space="preserve"> </w:t>
            </w:r>
            <w:r w:rsidRPr="00E73F6F">
              <w:rPr>
                <w:lang w:val="de-DE"/>
              </w:rPr>
              <w:t>Geschäftsleuten</w:t>
            </w:r>
            <w:r w:rsidRPr="00E73F6F">
              <w:rPr>
                <w:spacing w:val="-6"/>
                <w:lang w:val="de-DE"/>
              </w:rPr>
              <w:t xml:space="preserve"> </w:t>
            </w:r>
            <w:r w:rsidRPr="00E73F6F">
              <w:rPr>
                <w:lang w:val="de-DE"/>
              </w:rPr>
              <w:t>und</w:t>
            </w:r>
            <w:r w:rsidRPr="00E73F6F">
              <w:rPr>
                <w:spacing w:val="-6"/>
                <w:lang w:val="de-DE"/>
              </w:rPr>
              <w:t xml:space="preserve"> </w:t>
            </w:r>
            <w:r w:rsidRPr="00E73F6F">
              <w:rPr>
                <w:lang w:val="de-DE"/>
              </w:rPr>
              <w:t>Länderanalysten</w:t>
            </w:r>
            <w:r w:rsidRPr="00E73F6F">
              <w:rPr>
                <w:spacing w:val="-6"/>
                <w:lang w:val="de-DE"/>
              </w:rPr>
              <w:t xml:space="preserve"> </w:t>
            </w:r>
            <w:r w:rsidRPr="00E73F6F">
              <w:rPr>
                <w:lang w:val="de-DE"/>
              </w:rPr>
              <w:t>wahrgenommene</w:t>
            </w:r>
            <w:r w:rsidRPr="00E73F6F">
              <w:rPr>
                <w:spacing w:val="-6"/>
                <w:lang w:val="de-DE"/>
              </w:rPr>
              <w:t xml:space="preserve"> </w:t>
            </w:r>
            <w:r w:rsidRPr="00E73F6F">
              <w:rPr>
                <w:lang w:val="de-DE"/>
              </w:rPr>
              <w:t>Ausmaß</w:t>
            </w:r>
            <w:r w:rsidRPr="00E73F6F">
              <w:rPr>
                <w:spacing w:val="40"/>
                <w:lang w:val="de-DE"/>
              </w:rPr>
              <w:t xml:space="preserve"> </w:t>
            </w:r>
            <w:r w:rsidRPr="00E73F6F">
              <w:rPr>
                <w:lang w:val="de-DE"/>
              </w:rPr>
              <w:t>der</w:t>
            </w:r>
            <w:r w:rsidRPr="00E73F6F">
              <w:rPr>
                <w:spacing w:val="-9"/>
                <w:lang w:val="de-DE"/>
              </w:rPr>
              <w:t xml:space="preserve"> </w:t>
            </w:r>
            <w:r w:rsidRPr="00E73F6F">
              <w:rPr>
                <w:lang w:val="de-DE"/>
              </w:rPr>
              <w:t>Korruption</w:t>
            </w:r>
            <w:r w:rsidRPr="00E73F6F">
              <w:rPr>
                <w:spacing w:val="-9"/>
                <w:lang w:val="de-DE"/>
              </w:rPr>
              <w:t xml:space="preserve"> </w:t>
            </w:r>
            <w:r w:rsidRPr="00E73F6F">
              <w:rPr>
                <w:lang w:val="de-DE"/>
              </w:rPr>
              <w:t>und</w:t>
            </w:r>
            <w:r w:rsidRPr="00E73F6F">
              <w:rPr>
                <w:spacing w:val="-9"/>
                <w:lang w:val="de-DE"/>
              </w:rPr>
              <w:t xml:space="preserve"> </w:t>
            </w:r>
            <w:r w:rsidRPr="00E73F6F">
              <w:rPr>
                <w:lang w:val="de-DE"/>
              </w:rPr>
              <w:t>reicht</w:t>
            </w:r>
            <w:r w:rsidRPr="00E73F6F">
              <w:rPr>
                <w:spacing w:val="-8"/>
                <w:lang w:val="de-DE"/>
              </w:rPr>
              <w:t xml:space="preserve"> </w:t>
            </w:r>
            <w:r w:rsidRPr="00E73F6F">
              <w:rPr>
                <w:lang w:val="de-DE"/>
              </w:rPr>
              <w:t>von</w:t>
            </w:r>
            <w:r w:rsidRPr="00E73F6F">
              <w:rPr>
                <w:spacing w:val="-9"/>
                <w:lang w:val="de-DE"/>
              </w:rPr>
              <w:t xml:space="preserve"> </w:t>
            </w:r>
            <w:r w:rsidRPr="00E73F6F">
              <w:rPr>
                <w:lang w:val="de-DE"/>
              </w:rPr>
              <w:t>10</w:t>
            </w:r>
            <w:r w:rsidRPr="00E73F6F">
              <w:rPr>
                <w:spacing w:val="-9"/>
                <w:lang w:val="de-DE"/>
              </w:rPr>
              <w:t xml:space="preserve"> </w:t>
            </w:r>
            <w:r w:rsidRPr="00E73F6F">
              <w:rPr>
                <w:lang w:val="de-DE"/>
              </w:rPr>
              <w:t>(als</w:t>
            </w:r>
            <w:r w:rsidRPr="00E73F6F">
              <w:rPr>
                <w:spacing w:val="-9"/>
                <w:lang w:val="de-DE"/>
              </w:rPr>
              <w:t xml:space="preserve"> </w:t>
            </w:r>
            <w:r w:rsidRPr="00E73F6F">
              <w:rPr>
                <w:lang w:val="de-DE"/>
              </w:rPr>
              <w:t>frei</w:t>
            </w:r>
            <w:r w:rsidRPr="00E73F6F">
              <w:rPr>
                <w:spacing w:val="-8"/>
                <w:lang w:val="de-DE"/>
              </w:rPr>
              <w:t xml:space="preserve"> </w:t>
            </w:r>
            <w:r w:rsidRPr="00E73F6F">
              <w:rPr>
                <w:lang w:val="de-DE"/>
              </w:rPr>
              <w:t>von</w:t>
            </w:r>
            <w:r w:rsidRPr="00E73F6F">
              <w:rPr>
                <w:spacing w:val="-9"/>
                <w:lang w:val="de-DE"/>
              </w:rPr>
              <w:t xml:space="preserve"> </w:t>
            </w:r>
            <w:r w:rsidRPr="00E73F6F">
              <w:rPr>
                <w:lang w:val="de-DE"/>
              </w:rPr>
              <w:t>Korruption</w:t>
            </w:r>
            <w:r w:rsidRPr="00E73F6F">
              <w:rPr>
                <w:spacing w:val="-9"/>
                <w:lang w:val="de-DE"/>
              </w:rPr>
              <w:t xml:space="preserve"> </w:t>
            </w:r>
            <w:r w:rsidRPr="00E73F6F">
              <w:rPr>
                <w:lang w:val="de-DE"/>
              </w:rPr>
              <w:t>wahrgenommen)</w:t>
            </w:r>
            <w:r w:rsidRPr="00E73F6F">
              <w:rPr>
                <w:spacing w:val="-9"/>
                <w:lang w:val="de-DE"/>
              </w:rPr>
              <w:t xml:space="preserve"> </w:t>
            </w:r>
            <w:r w:rsidRPr="00E73F6F">
              <w:rPr>
                <w:lang w:val="de-DE"/>
              </w:rPr>
              <w:t>bis</w:t>
            </w:r>
            <w:r w:rsidRPr="00E73F6F">
              <w:rPr>
                <w:spacing w:val="-8"/>
                <w:lang w:val="de-DE"/>
              </w:rPr>
              <w:t xml:space="preserve"> </w:t>
            </w:r>
            <w:r w:rsidRPr="00E73F6F">
              <w:rPr>
                <w:lang w:val="de-DE"/>
              </w:rPr>
              <w:t>0</w:t>
            </w:r>
            <w:r w:rsidRPr="00E73F6F">
              <w:rPr>
                <w:spacing w:val="-9"/>
                <w:lang w:val="de-DE"/>
              </w:rPr>
              <w:t xml:space="preserve"> </w:t>
            </w:r>
            <w:r w:rsidRPr="00E73F6F">
              <w:rPr>
                <w:lang w:val="de-DE"/>
              </w:rPr>
              <w:t>(als</w:t>
            </w:r>
            <w:r w:rsidRPr="00E73F6F">
              <w:rPr>
                <w:spacing w:val="-9"/>
                <w:lang w:val="de-DE"/>
              </w:rPr>
              <w:t xml:space="preserve"> </w:t>
            </w:r>
            <w:r w:rsidRPr="00E73F6F">
              <w:rPr>
                <w:lang w:val="de-DE"/>
              </w:rPr>
              <w:t>extrem</w:t>
            </w:r>
            <w:r w:rsidRPr="00E73F6F">
              <w:rPr>
                <w:spacing w:val="-9"/>
                <w:lang w:val="de-DE"/>
              </w:rPr>
              <w:t xml:space="preserve"> </w:t>
            </w:r>
            <w:r w:rsidRPr="00E73F6F">
              <w:rPr>
                <w:lang w:val="de-DE"/>
              </w:rPr>
              <w:t>von</w:t>
            </w:r>
            <w:r w:rsidRPr="00E73F6F">
              <w:rPr>
                <w:spacing w:val="-8"/>
                <w:lang w:val="de-DE"/>
              </w:rPr>
              <w:t xml:space="preserve"> </w:t>
            </w:r>
            <w:r w:rsidRPr="00E73F6F">
              <w:rPr>
                <w:lang w:val="de-DE"/>
              </w:rPr>
              <w:t>Korruption</w:t>
            </w:r>
            <w:r w:rsidRPr="00E73F6F">
              <w:rPr>
                <w:spacing w:val="40"/>
                <w:lang w:val="de-DE"/>
              </w:rPr>
              <w:t xml:space="preserve"> </w:t>
            </w:r>
            <w:r w:rsidRPr="00E73F6F">
              <w:rPr>
                <w:lang w:val="de-DE"/>
              </w:rPr>
              <w:t>befallen</w:t>
            </w:r>
            <w:r w:rsidRPr="00E73F6F">
              <w:rPr>
                <w:spacing w:val="-6"/>
                <w:lang w:val="de-DE"/>
              </w:rPr>
              <w:t xml:space="preserve"> </w:t>
            </w:r>
            <w:r w:rsidRPr="00E73F6F">
              <w:rPr>
                <w:lang w:val="de-DE"/>
              </w:rPr>
              <w:t>wahrgenommen).</w:t>
            </w:r>
          </w:p>
          <w:p w14:paraId="40437A90" w14:textId="77777777" w:rsidR="00FF7799" w:rsidRPr="00E73F6F" w:rsidRDefault="00FF7799" w:rsidP="008E038E">
            <w:pPr>
              <w:pStyle w:val="Quellen"/>
              <w:rPr>
                <w:lang w:val="de-DE"/>
              </w:rPr>
            </w:pPr>
            <w:r w:rsidRPr="00E73F6F">
              <w:rPr>
                <w:vertAlign w:val="superscript"/>
                <w:lang w:val="de-DE"/>
              </w:rPr>
              <w:t>**</w:t>
            </w:r>
            <w:r w:rsidRPr="00E73F6F">
              <w:rPr>
                <w:i/>
                <w:lang w:val="de-DE"/>
              </w:rPr>
              <w:t xml:space="preserve">Vertrauensintervall: </w:t>
            </w:r>
            <w:r w:rsidRPr="00E73F6F">
              <w:rPr>
                <w:lang w:val="de-DE"/>
              </w:rPr>
              <w:t>Gibt eine Spannweite von möglichen CPI-Punktwerten an. Dies zeigt, wie die</w:t>
            </w:r>
            <w:r w:rsidRPr="00E73F6F">
              <w:rPr>
                <w:spacing w:val="40"/>
                <w:lang w:val="de-DE"/>
              </w:rPr>
              <w:t xml:space="preserve"> </w:t>
            </w:r>
            <w:r w:rsidRPr="00E73F6F">
              <w:rPr>
                <w:lang w:val="de-DE"/>
              </w:rPr>
              <w:t>Punktwerte in den einzelnen Ländern, entsprechend der Messgenauigkeit, abweichen können.</w:t>
            </w:r>
            <w:r w:rsidRPr="00E73F6F">
              <w:rPr>
                <w:spacing w:val="40"/>
                <w:lang w:val="de-DE"/>
              </w:rPr>
              <w:t xml:space="preserve"> </w:t>
            </w:r>
            <w:r w:rsidRPr="00E73F6F">
              <w:rPr>
                <w:lang w:val="de-DE"/>
              </w:rPr>
              <w:t>Normalerweise liegt der</w:t>
            </w:r>
            <w:r w:rsidRPr="00E73F6F">
              <w:rPr>
                <w:spacing w:val="-1"/>
                <w:lang w:val="de-DE"/>
              </w:rPr>
              <w:t xml:space="preserve"> </w:t>
            </w:r>
            <w:r w:rsidRPr="00E73F6F">
              <w:rPr>
                <w:lang w:val="de-DE"/>
              </w:rPr>
              <w:t>Wert mit 5%iger Wahrscheinlichkeit über</w:t>
            </w:r>
            <w:r w:rsidRPr="00E73F6F">
              <w:rPr>
                <w:spacing w:val="-1"/>
                <w:lang w:val="de-DE"/>
              </w:rPr>
              <w:t xml:space="preserve"> </w:t>
            </w:r>
            <w:r w:rsidRPr="00E73F6F">
              <w:rPr>
                <w:lang w:val="de-DE"/>
              </w:rPr>
              <w:t>dem Intervall</w:t>
            </w:r>
            <w:r w:rsidRPr="00E73F6F">
              <w:rPr>
                <w:spacing w:val="-1"/>
                <w:lang w:val="de-DE"/>
              </w:rPr>
              <w:t xml:space="preserve"> </w:t>
            </w:r>
            <w:r w:rsidRPr="00E73F6F">
              <w:rPr>
                <w:lang w:val="de-DE"/>
              </w:rPr>
              <w:t>und mit weiterer</w:t>
            </w:r>
            <w:r w:rsidRPr="00E73F6F">
              <w:rPr>
                <w:spacing w:val="-1"/>
                <w:lang w:val="de-DE"/>
              </w:rPr>
              <w:t xml:space="preserve"> </w:t>
            </w:r>
            <w:r w:rsidRPr="00E73F6F">
              <w:rPr>
                <w:lang w:val="de-DE"/>
              </w:rPr>
              <w:t>5%iger</w:t>
            </w:r>
            <w:r w:rsidRPr="00E73F6F">
              <w:rPr>
                <w:spacing w:val="40"/>
                <w:lang w:val="de-DE"/>
              </w:rPr>
              <w:t xml:space="preserve"> </w:t>
            </w:r>
            <w:r w:rsidRPr="00E73F6F">
              <w:rPr>
                <w:lang w:val="de-DE"/>
              </w:rPr>
              <w:t>Wahrscheinlichkeit</w:t>
            </w:r>
            <w:r w:rsidRPr="00E73F6F">
              <w:rPr>
                <w:spacing w:val="-7"/>
                <w:lang w:val="de-DE"/>
              </w:rPr>
              <w:t xml:space="preserve"> </w:t>
            </w:r>
            <w:r w:rsidRPr="00E73F6F">
              <w:rPr>
                <w:lang w:val="de-DE"/>
              </w:rPr>
              <w:t>unterhalb</w:t>
            </w:r>
            <w:r w:rsidRPr="00E73F6F">
              <w:rPr>
                <w:spacing w:val="-7"/>
                <w:lang w:val="de-DE"/>
              </w:rPr>
              <w:t xml:space="preserve"> </w:t>
            </w:r>
            <w:r w:rsidRPr="00E73F6F">
              <w:rPr>
                <w:lang w:val="de-DE"/>
              </w:rPr>
              <w:t>diesem.</w:t>
            </w:r>
            <w:r w:rsidRPr="00E73F6F">
              <w:rPr>
                <w:spacing w:val="-6"/>
                <w:lang w:val="de-DE"/>
              </w:rPr>
              <w:t xml:space="preserve"> </w:t>
            </w:r>
            <w:r w:rsidRPr="00E73F6F">
              <w:rPr>
                <w:lang w:val="de-DE"/>
              </w:rPr>
              <w:t>Insbesondere</w:t>
            </w:r>
            <w:r w:rsidRPr="00E73F6F">
              <w:rPr>
                <w:spacing w:val="-7"/>
                <w:lang w:val="de-DE"/>
              </w:rPr>
              <w:t xml:space="preserve"> </w:t>
            </w:r>
            <w:r w:rsidRPr="00E73F6F">
              <w:rPr>
                <w:lang w:val="de-DE"/>
              </w:rPr>
              <w:t>dann,</w:t>
            </w:r>
            <w:r w:rsidRPr="00E73F6F">
              <w:rPr>
                <w:spacing w:val="-6"/>
                <w:lang w:val="de-DE"/>
              </w:rPr>
              <w:t xml:space="preserve"> </w:t>
            </w:r>
            <w:r w:rsidRPr="00E73F6F">
              <w:rPr>
                <w:lang w:val="de-DE"/>
              </w:rPr>
              <w:t>wenn</w:t>
            </w:r>
            <w:r w:rsidRPr="00E73F6F">
              <w:rPr>
                <w:spacing w:val="-7"/>
                <w:lang w:val="de-DE"/>
              </w:rPr>
              <w:t xml:space="preserve"> </w:t>
            </w:r>
            <w:r w:rsidRPr="00E73F6F">
              <w:rPr>
                <w:lang w:val="de-DE"/>
              </w:rPr>
              <w:t>nur</w:t>
            </w:r>
            <w:r w:rsidRPr="00E73F6F">
              <w:rPr>
                <w:spacing w:val="-7"/>
                <w:lang w:val="de-DE"/>
              </w:rPr>
              <w:t xml:space="preserve"> </w:t>
            </w:r>
            <w:r w:rsidRPr="00E73F6F">
              <w:rPr>
                <w:lang w:val="de-DE"/>
              </w:rPr>
              <w:t>wenige</w:t>
            </w:r>
            <w:r w:rsidRPr="00E73F6F">
              <w:rPr>
                <w:spacing w:val="-7"/>
                <w:lang w:val="de-DE"/>
              </w:rPr>
              <w:t xml:space="preserve"> </w:t>
            </w:r>
            <w:r w:rsidRPr="00E73F6F">
              <w:rPr>
                <w:lang w:val="de-DE"/>
              </w:rPr>
              <w:t>Quellen</w:t>
            </w:r>
            <w:r w:rsidRPr="00E73F6F">
              <w:rPr>
                <w:spacing w:val="-7"/>
                <w:lang w:val="de-DE"/>
              </w:rPr>
              <w:t xml:space="preserve"> </w:t>
            </w:r>
            <w:r w:rsidRPr="00E73F6F">
              <w:rPr>
                <w:lang w:val="de-DE"/>
              </w:rPr>
              <w:t>zur</w:t>
            </w:r>
            <w:r w:rsidRPr="00E73F6F">
              <w:rPr>
                <w:spacing w:val="-7"/>
                <w:lang w:val="de-DE"/>
              </w:rPr>
              <w:t xml:space="preserve"> </w:t>
            </w:r>
            <w:r w:rsidRPr="00E73F6F">
              <w:rPr>
                <w:lang w:val="de-DE"/>
              </w:rPr>
              <w:t>Verfügung</w:t>
            </w:r>
            <w:r w:rsidRPr="00E73F6F">
              <w:rPr>
                <w:spacing w:val="-7"/>
                <w:lang w:val="de-DE"/>
              </w:rPr>
              <w:t xml:space="preserve"> </w:t>
            </w:r>
            <w:r w:rsidRPr="00E73F6F">
              <w:rPr>
                <w:lang w:val="de-DE"/>
              </w:rPr>
              <w:t>stehen,</w:t>
            </w:r>
            <w:r w:rsidRPr="00E73F6F">
              <w:rPr>
                <w:spacing w:val="40"/>
                <w:lang w:val="de-DE"/>
              </w:rPr>
              <w:t xml:space="preserve"> </w:t>
            </w:r>
            <w:r w:rsidRPr="00E73F6F">
              <w:rPr>
                <w:lang w:val="de-DE"/>
              </w:rPr>
              <w:t>ist</w:t>
            </w:r>
            <w:r w:rsidRPr="00E73F6F">
              <w:rPr>
                <w:spacing w:val="-3"/>
                <w:lang w:val="de-DE"/>
              </w:rPr>
              <w:t xml:space="preserve"> </w:t>
            </w:r>
            <w:r w:rsidRPr="00E73F6F">
              <w:rPr>
                <w:lang w:val="de-DE"/>
              </w:rPr>
              <w:t>eine</w:t>
            </w:r>
            <w:r w:rsidRPr="00E73F6F">
              <w:rPr>
                <w:spacing w:val="-2"/>
                <w:lang w:val="de-DE"/>
              </w:rPr>
              <w:t xml:space="preserve"> </w:t>
            </w:r>
            <w:r w:rsidRPr="00E73F6F">
              <w:rPr>
                <w:lang w:val="de-DE"/>
              </w:rPr>
              <w:t>erwartungstreue</w:t>
            </w:r>
            <w:r w:rsidRPr="00E73F6F">
              <w:rPr>
                <w:spacing w:val="-2"/>
                <w:lang w:val="de-DE"/>
              </w:rPr>
              <w:t xml:space="preserve"> </w:t>
            </w:r>
            <w:r w:rsidRPr="00E73F6F">
              <w:rPr>
                <w:lang w:val="de-DE"/>
              </w:rPr>
              <w:t>Schätzung</w:t>
            </w:r>
            <w:r w:rsidRPr="00E73F6F">
              <w:rPr>
                <w:spacing w:val="-3"/>
                <w:lang w:val="de-DE"/>
              </w:rPr>
              <w:t xml:space="preserve"> </w:t>
            </w:r>
            <w:r w:rsidRPr="00E73F6F">
              <w:rPr>
                <w:lang w:val="de-DE"/>
              </w:rPr>
              <w:t>des</w:t>
            </w:r>
            <w:r w:rsidRPr="00E73F6F">
              <w:rPr>
                <w:spacing w:val="-2"/>
                <w:lang w:val="de-DE"/>
              </w:rPr>
              <w:t xml:space="preserve"> </w:t>
            </w:r>
            <w:r w:rsidRPr="00E73F6F">
              <w:rPr>
                <w:lang w:val="de-DE"/>
              </w:rPr>
              <w:t>Mittelwertes</w:t>
            </w:r>
            <w:r w:rsidRPr="00E73F6F">
              <w:rPr>
                <w:spacing w:val="-1"/>
                <w:lang w:val="de-DE"/>
              </w:rPr>
              <w:t xml:space="preserve"> </w:t>
            </w:r>
            <w:r w:rsidRPr="00E73F6F">
              <w:rPr>
                <w:lang w:val="de-DE"/>
              </w:rPr>
              <w:t>nur</w:t>
            </w:r>
            <w:r w:rsidRPr="00E73F6F">
              <w:rPr>
                <w:spacing w:val="-3"/>
                <w:lang w:val="de-DE"/>
              </w:rPr>
              <w:t xml:space="preserve"> </w:t>
            </w:r>
            <w:r w:rsidRPr="00E73F6F">
              <w:rPr>
                <w:lang w:val="de-DE"/>
              </w:rPr>
              <w:t>noch</w:t>
            </w:r>
            <w:r w:rsidRPr="00E73F6F">
              <w:rPr>
                <w:spacing w:val="-3"/>
                <w:lang w:val="de-DE"/>
              </w:rPr>
              <w:t xml:space="preserve"> </w:t>
            </w:r>
            <w:r w:rsidRPr="00E73F6F">
              <w:rPr>
                <w:lang w:val="de-DE"/>
              </w:rPr>
              <w:t>mit</w:t>
            </w:r>
            <w:r w:rsidRPr="00E73F6F">
              <w:rPr>
                <w:spacing w:val="-3"/>
                <w:lang w:val="de-DE"/>
              </w:rPr>
              <w:t xml:space="preserve"> </w:t>
            </w:r>
            <w:r w:rsidRPr="00E73F6F">
              <w:rPr>
                <w:lang w:val="de-DE"/>
              </w:rPr>
              <w:t>weniger</w:t>
            </w:r>
            <w:r w:rsidRPr="00E73F6F">
              <w:rPr>
                <w:spacing w:val="-3"/>
                <w:lang w:val="de-DE"/>
              </w:rPr>
              <w:t xml:space="preserve"> </w:t>
            </w:r>
            <w:r w:rsidRPr="00E73F6F">
              <w:rPr>
                <w:lang w:val="de-DE"/>
              </w:rPr>
              <w:t>als</w:t>
            </w:r>
            <w:r w:rsidRPr="00E73F6F">
              <w:rPr>
                <w:spacing w:val="-2"/>
                <w:lang w:val="de-DE"/>
              </w:rPr>
              <w:t xml:space="preserve"> </w:t>
            </w:r>
            <w:r w:rsidRPr="00E73F6F">
              <w:rPr>
                <w:lang w:val="de-DE"/>
              </w:rPr>
              <w:t>90%iger</w:t>
            </w:r>
            <w:r w:rsidRPr="00E73F6F">
              <w:rPr>
                <w:spacing w:val="-1"/>
                <w:lang w:val="de-DE"/>
              </w:rPr>
              <w:t xml:space="preserve"> </w:t>
            </w:r>
            <w:r w:rsidRPr="00E73F6F">
              <w:rPr>
                <w:lang w:val="de-DE"/>
              </w:rPr>
              <w:t>Sicherheit</w:t>
            </w:r>
            <w:r w:rsidRPr="00E73F6F">
              <w:rPr>
                <w:spacing w:val="-3"/>
                <w:lang w:val="de-DE"/>
              </w:rPr>
              <w:t xml:space="preserve"> </w:t>
            </w:r>
            <w:r w:rsidRPr="00E73F6F">
              <w:rPr>
                <w:lang w:val="de-DE"/>
              </w:rPr>
              <w:t>möglich</w:t>
            </w:r>
          </w:p>
          <w:p w14:paraId="77C1CF82" w14:textId="77777777" w:rsidR="00FF7799" w:rsidRPr="00E73F6F" w:rsidRDefault="00FF7799" w:rsidP="008E038E">
            <w:pPr>
              <w:pStyle w:val="Quellen"/>
              <w:rPr>
                <w:spacing w:val="-2"/>
                <w:lang w:val="de-DE"/>
              </w:rPr>
            </w:pPr>
            <w:r w:rsidRPr="00E73F6F">
              <w:rPr>
                <w:vertAlign w:val="superscript"/>
                <w:lang w:val="de-DE"/>
              </w:rPr>
              <w:t>***</w:t>
            </w:r>
            <w:r w:rsidRPr="00E73F6F">
              <w:rPr>
                <w:i/>
                <w:lang w:val="de-DE"/>
              </w:rPr>
              <w:t>Verwendete Untersuchungen</w:t>
            </w:r>
            <w:r w:rsidRPr="00E73F6F">
              <w:rPr>
                <w:lang w:val="de-DE"/>
              </w:rPr>
              <w:t>: Bezieht sich auf die Anzahl der Untersuchungen, die das Abschneiden</w:t>
            </w:r>
            <w:r w:rsidRPr="00E73F6F">
              <w:rPr>
                <w:spacing w:val="40"/>
                <w:lang w:val="de-DE"/>
              </w:rPr>
              <w:t xml:space="preserve"> </w:t>
            </w:r>
            <w:r w:rsidRPr="00E73F6F">
              <w:rPr>
                <w:lang w:val="de-DE"/>
              </w:rPr>
              <w:t>eines</w:t>
            </w:r>
            <w:r w:rsidRPr="00E73F6F">
              <w:rPr>
                <w:spacing w:val="26"/>
                <w:lang w:val="de-DE"/>
              </w:rPr>
              <w:t xml:space="preserve"> </w:t>
            </w:r>
            <w:r w:rsidRPr="00E73F6F">
              <w:rPr>
                <w:lang w:val="de-DE"/>
              </w:rPr>
              <w:t>Landes</w:t>
            </w:r>
            <w:r w:rsidRPr="00E73F6F">
              <w:rPr>
                <w:spacing w:val="26"/>
                <w:lang w:val="de-DE"/>
              </w:rPr>
              <w:t xml:space="preserve"> </w:t>
            </w:r>
            <w:r w:rsidRPr="00E73F6F">
              <w:rPr>
                <w:lang w:val="de-DE"/>
              </w:rPr>
              <w:t>bewerten.</w:t>
            </w:r>
            <w:r w:rsidRPr="00E73F6F">
              <w:rPr>
                <w:spacing w:val="27"/>
                <w:lang w:val="de-DE"/>
              </w:rPr>
              <w:t xml:space="preserve"> </w:t>
            </w:r>
            <w:r w:rsidRPr="00E73F6F">
              <w:rPr>
                <w:lang w:val="de-DE"/>
              </w:rPr>
              <w:t>zwölf</w:t>
            </w:r>
            <w:r w:rsidRPr="00E73F6F">
              <w:rPr>
                <w:spacing w:val="26"/>
                <w:lang w:val="de-DE"/>
              </w:rPr>
              <w:t xml:space="preserve"> </w:t>
            </w:r>
            <w:r w:rsidRPr="00E73F6F">
              <w:rPr>
                <w:lang w:val="de-DE"/>
              </w:rPr>
              <w:t>Untersuchungen</w:t>
            </w:r>
            <w:r w:rsidRPr="00E73F6F">
              <w:rPr>
                <w:spacing w:val="25"/>
                <w:lang w:val="de-DE"/>
              </w:rPr>
              <w:t xml:space="preserve"> </w:t>
            </w:r>
            <w:r w:rsidRPr="00E73F6F">
              <w:rPr>
                <w:lang w:val="de-DE"/>
              </w:rPr>
              <w:t>wurden</w:t>
            </w:r>
            <w:r w:rsidRPr="00E73F6F">
              <w:rPr>
                <w:spacing w:val="25"/>
                <w:lang w:val="de-DE"/>
              </w:rPr>
              <w:t xml:space="preserve"> </w:t>
            </w:r>
            <w:r w:rsidRPr="00E73F6F">
              <w:rPr>
                <w:lang w:val="de-DE"/>
              </w:rPr>
              <w:t>verwendet.</w:t>
            </w:r>
            <w:r w:rsidRPr="00E73F6F">
              <w:rPr>
                <w:spacing w:val="26"/>
                <w:lang w:val="de-DE"/>
              </w:rPr>
              <w:t xml:space="preserve"> </w:t>
            </w:r>
            <w:r w:rsidRPr="00E73F6F">
              <w:rPr>
                <w:lang w:val="de-DE"/>
              </w:rPr>
              <w:t>Um</w:t>
            </w:r>
            <w:r w:rsidRPr="00E73F6F">
              <w:rPr>
                <w:spacing w:val="26"/>
                <w:lang w:val="de-DE"/>
              </w:rPr>
              <w:t xml:space="preserve"> </w:t>
            </w:r>
            <w:r w:rsidRPr="00E73F6F">
              <w:rPr>
                <w:lang w:val="de-DE"/>
              </w:rPr>
              <w:t>in</w:t>
            </w:r>
            <w:r w:rsidRPr="00E73F6F">
              <w:rPr>
                <w:spacing w:val="25"/>
                <w:lang w:val="de-DE"/>
              </w:rPr>
              <w:t xml:space="preserve"> </w:t>
            </w:r>
            <w:r w:rsidRPr="00E73F6F">
              <w:rPr>
                <w:lang w:val="de-DE"/>
              </w:rPr>
              <w:t>den</w:t>
            </w:r>
            <w:r w:rsidRPr="00E73F6F">
              <w:rPr>
                <w:spacing w:val="25"/>
                <w:lang w:val="de-DE"/>
              </w:rPr>
              <w:t xml:space="preserve"> </w:t>
            </w:r>
            <w:r w:rsidRPr="00E73F6F">
              <w:rPr>
                <w:lang w:val="de-DE"/>
              </w:rPr>
              <w:t>CPI</w:t>
            </w:r>
            <w:r w:rsidRPr="00E73F6F">
              <w:rPr>
                <w:spacing w:val="26"/>
                <w:lang w:val="de-DE"/>
              </w:rPr>
              <w:t xml:space="preserve"> </w:t>
            </w:r>
            <w:r w:rsidRPr="00E73F6F">
              <w:rPr>
                <w:lang w:val="de-DE"/>
              </w:rPr>
              <w:t>aufgenommen</w:t>
            </w:r>
            <w:r w:rsidRPr="00E73F6F">
              <w:rPr>
                <w:spacing w:val="26"/>
                <w:lang w:val="de-DE"/>
              </w:rPr>
              <w:t xml:space="preserve"> </w:t>
            </w:r>
            <w:r w:rsidRPr="00E73F6F">
              <w:rPr>
                <w:spacing w:val="-5"/>
                <w:lang w:val="de-DE"/>
              </w:rPr>
              <w:t xml:space="preserve">zu </w:t>
            </w:r>
            <w:r w:rsidRPr="00E73F6F">
              <w:rPr>
                <w:lang w:val="de-DE"/>
              </w:rPr>
              <w:t>werden,</w:t>
            </w:r>
            <w:r w:rsidRPr="00E73F6F">
              <w:rPr>
                <w:spacing w:val="-4"/>
                <w:lang w:val="de-DE"/>
              </w:rPr>
              <w:t xml:space="preserve"> </w:t>
            </w:r>
            <w:r w:rsidRPr="00E73F6F">
              <w:rPr>
                <w:lang w:val="de-DE"/>
              </w:rPr>
              <w:t>musste</w:t>
            </w:r>
            <w:r w:rsidRPr="00E73F6F">
              <w:rPr>
                <w:spacing w:val="-3"/>
                <w:lang w:val="de-DE"/>
              </w:rPr>
              <w:t xml:space="preserve"> </w:t>
            </w:r>
            <w:r w:rsidRPr="00E73F6F">
              <w:rPr>
                <w:lang w:val="de-DE"/>
              </w:rPr>
              <w:t>jedes</w:t>
            </w:r>
            <w:r w:rsidRPr="00E73F6F">
              <w:rPr>
                <w:spacing w:val="-4"/>
                <w:lang w:val="de-DE"/>
              </w:rPr>
              <w:t xml:space="preserve"> </w:t>
            </w:r>
            <w:r w:rsidRPr="00E73F6F">
              <w:rPr>
                <w:lang w:val="de-DE"/>
              </w:rPr>
              <w:t>Land</w:t>
            </w:r>
            <w:r w:rsidRPr="00E73F6F">
              <w:rPr>
                <w:spacing w:val="-5"/>
                <w:lang w:val="de-DE"/>
              </w:rPr>
              <w:t xml:space="preserve"> </w:t>
            </w:r>
            <w:r w:rsidRPr="00E73F6F">
              <w:rPr>
                <w:lang w:val="de-DE"/>
              </w:rPr>
              <w:t>in</w:t>
            </w:r>
            <w:r w:rsidRPr="00E73F6F">
              <w:rPr>
                <w:spacing w:val="-5"/>
                <w:lang w:val="de-DE"/>
              </w:rPr>
              <w:t xml:space="preserve"> </w:t>
            </w:r>
            <w:r w:rsidRPr="00E73F6F">
              <w:rPr>
                <w:lang w:val="de-DE"/>
              </w:rPr>
              <w:t>mindestens</w:t>
            </w:r>
            <w:r w:rsidRPr="00E73F6F">
              <w:rPr>
                <w:spacing w:val="-3"/>
                <w:lang w:val="de-DE"/>
              </w:rPr>
              <w:t xml:space="preserve"> </w:t>
            </w:r>
            <w:r w:rsidRPr="00E73F6F">
              <w:rPr>
                <w:lang w:val="de-DE"/>
              </w:rPr>
              <w:t>drei</w:t>
            </w:r>
            <w:r w:rsidRPr="00E73F6F">
              <w:rPr>
                <w:spacing w:val="-5"/>
                <w:lang w:val="de-DE"/>
              </w:rPr>
              <w:t xml:space="preserve"> </w:t>
            </w:r>
            <w:r w:rsidRPr="00E73F6F">
              <w:rPr>
                <w:lang w:val="de-DE"/>
              </w:rPr>
              <w:t>Untersuchungen</w:t>
            </w:r>
            <w:r w:rsidRPr="00E73F6F">
              <w:rPr>
                <w:spacing w:val="-4"/>
                <w:lang w:val="de-DE"/>
              </w:rPr>
              <w:t xml:space="preserve"> </w:t>
            </w:r>
            <w:r w:rsidRPr="00E73F6F">
              <w:rPr>
                <w:spacing w:val="-2"/>
                <w:lang w:val="de-DE"/>
              </w:rPr>
              <w:t>vorkommen.</w:t>
            </w:r>
          </w:p>
        </w:tc>
      </w:tr>
    </w:tbl>
    <w:p w14:paraId="564D0228" w14:textId="77777777" w:rsidR="00FF7799" w:rsidRPr="00E73F6F" w:rsidRDefault="00FF7799" w:rsidP="00535A87">
      <w:pPr>
        <w:pStyle w:val="Quellen"/>
      </w:pPr>
      <w:r w:rsidRPr="00E73F6F">
        <w:t>Quelle:</w:t>
      </w:r>
      <w:r w:rsidRPr="00E73F6F">
        <w:rPr>
          <w:spacing w:val="-3"/>
        </w:rPr>
        <w:t xml:space="preserve"> </w:t>
      </w:r>
      <w:r w:rsidRPr="00E73F6F">
        <w:t>Transparency</w:t>
      </w:r>
      <w:r w:rsidRPr="00E73F6F">
        <w:rPr>
          <w:spacing w:val="-3"/>
        </w:rPr>
        <w:t xml:space="preserve"> </w:t>
      </w:r>
      <w:r w:rsidRPr="00E73F6F">
        <w:rPr>
          <w:spacing w:val="-2"/>
        </w:rPr>
        <w:t>Deutschland.</w:t>
      </w:r>
    </w:p>
    <w:p w14:paraId="63588DCC" w14:textId="77777777" w:rsidR="00FF7799" w:rsidRPr="00E73F6F" w:rsidRDefault="00FF7799" w:rsidP="008E038E">
      <w:pPr>
        <w:pStyle w:val="StandardText"/>
      </w:pPr>
    </w:p>
    <w:p w14:paraId="5744C012" w14:textId="77777777" w:rsidR="00FF7799" w:rsidRPr="00E73F6F" w:rsidRDefault="00FF7799" w:rsidP="00535A87">
      <w:pPr>
        <w:pStyle w:val="StandardTextkursiv"/>
      </w:pPr>
      <w:r w:rsidRPr="00D833D6">
        <w:rPr>
          <w:i w:val="0"/>
        </w:rPr>
        <w:t>4 Gegenmaßnahmen</w:t>
      </w:r>
      <w:r w:rsidRPr="00E73F6F">
        <w:t xml:space="preserve"> </w:t>
      </w:r>
      <w:r w:rsidR="00D833D6">
        <w:rPr>
          <w:i w:val="0"/>
        </w:rPr>
        <w:sym w:font="Symbol" w:char="F0DE"/>
      </w:r>
      <w:r w:rsidR="00D833D6">
        <w:rPr>
          <w:i w:val="0"/>
        </w:rPr>
        <w:t xml:space="preserve"> </w:t>
      </w:r>
      <w:r w:rsidRPr="00E73F6F">
        <w:rPr>
          <w:i w:val="0"/>
        </w:rPr>
        <w:t>Anti-Korruptionsmaßnahmen</w:t>
      </w:r>
    </w:p>
    <w:p w14:paraId="03896123" w14:textId="77777777" w:rsidR="00D833D6" w:rsidRPr="00443B51" w:rsidRDefault="00D833D6" w:rsidP="00535A87">
      <w:pPr>
        <w:pStyle w:val="StandardText"/>
        <w:rPr>
          <w:b/>
          <w:sz w:val="22"/>
          <w:szCs w:val="22"/>
        </w:rPr>
      </w:pPr>
    </w:p>
    <w:p w14:paraId="48603316" w14:textId="77777777" w:rsidR="00FF7799" w:rsidRPr="00D833D6" w:rsidRDefault="00FF7799" w:rsidP="00535A87">
      <w:pPr>
        <w:pStyle w:val="StandardText"/>
        <w:rPr>
          <w:sz w:val="22"/>
          <w:szCs w:val="22"/>
          <w:lang w:val="en-US"/>
        </w:rPr>
      </w:pPr>
      <w:r w:rsidRPr="00D833D6">
        <w:rPr>
          <w:b/>
          <w:i/>
          <w:sz w:val="22"/>
          <w:szCs w:val="22"/>
          <w:lang w:val="en-US"/>
        </w:rPr>
        <w:t>Literatur:</w:t>
      </w:r>
      <w:r w:rsidRPr="00D833D6">
        <w:rPr>
          <w:b/>
          <w:spacing w:val="7"/>
          <w:sz w:val="22"/>
          <w:szCs w:val="22"/>
          <w:lang w:val="en-US"/>
        </w:rPr>
        <w:t xml:space="preserve"> </w:t>
      </w:r>
      <w:r w:rsidRPr="00D833D6">
        <w:rPr>
          <w:sz w:val="22"/>
          <w:szCs w:val="22"/>
          <w:lang w:val="en-US"/>
        </w:rPr>
        <w:t>Ades,</w:t>
      </w:r>
      <w:r w:rsidRPr="00D833D6">
        <w:rPr>
          <w:spacing w:val="-3"/>
          <w:sz w:val="22"/>
          <w:szCs w:val="22"/>
          <w:lang w:val="en-US"/>
        </w:rPr>
        <w:t xml:space="preserve"> </w:t>
      </w:r>
      <w:r w:rsidRPr="00D833D6">
        <w:rPr>
          <w:sz w:val="22"/>
          <w:szCs w:val="22"/>
          <w:lang w:val="en-US"/>
        </w:rPr>
        <w:t>A.;</w:t>
      </w:r>
      <w:r w:rsidRPr="00D833D6">
        <w:rPr>
          <w:spacing w:val="-4"/>
          <w:sz w:val="22"/>
          <w:szCs w:val="22"/>
          <w:lang w:val="en-US"/>
        </w:rPr>
        <w:t xml:space="preserve"> </w:t>
      </w:r>
      <w:r w:rsidRPr="00D833D6">
        <w:rPr>
          <w:sz w:val="22"/>
          <w:szCs w:val="22"/>
          <w:lang w:val="en-US"/>
        </w:rPr>
        <w:t>Di</w:t>
      </w:r>
      <w:r w:rsidRPr="00D833D6">
        <w:rPr>
          <w:spacing w:val="-3"/>
          <w:sz w:val="22"/>
          <w:szCs w:val="22"/>
          <w:lang w:val="en-US"/>
        </w:rPr>
        <w:t xml:space="preserve"> </w:t>
      </w:r>
      <w:r w:rsidRPr="00D833D6">
        <w:rPr>
          <w:sz w:val="22"/>
          <w:szCs w:val="22"/>
          <w:lang w:val="en-US"/>
        </w:rPr>
        <w:t>Tella,</w:t>
      </w:r>
      <w:r w:rsidRPr="00D833D6">
        <w:rPr>
          <w:spacing w:val="-3"/>
          <w:sz w:val="22"/>
          <w:szCs w:val="22"/>
          <w:lang w:val="en-US"/>
        </w:rPr>
        <w:t xml:space="preserve"> </w:t>
      </w:r>
      <w:r w:rsidRPr="00D833D6">
        <w:rPr>
          <w:sz w:val="22"/>
          <w:szCs w:val="22"/>
          <w:lang w:val="en-US"/>
        </w:rPr>
        <w:t>R.</w:t>
      </w:r>
      <w:r w:rsidRPr="00D833D6">
        <w:rPr>
          <w:spacing w:val="-1"/>
          <w:sz w:val="22"/>
          <w:szCs w:val="22"/>
          <w:lang w:val="en-US"/>
        </w:rPr>
        <w:t xml:space="preserve"> </w:t>
      </w:r>
      <w:r w:rsidRPr="00D833D6">
        <w:rPr>
          <w:sz w:val="22"/>
          <w:szCs w:val="22"/>
          <w:lang w:val="en-US"/>
        </w:rPr>
        <w:t>(1995):</w:t>
      </w:r>
      <w:r w:rsidRPr="00D833D6">
        <w:rPr>
          <w:spacing w:val="-3"/>
          <w:sz w:val="22"/>
          <w:szCs w:val="22"/>
          <w:lang w:val="en-US"/>
        </w:rPr>
        <w:t xml:space="preserve"> </w:t>
      </w:r>
      <w:r w:rsidRPr="00D833D6">
        <w:rPr>
          <w:sz w:val="22"/>
          <w:szCs w:val="22"/>
          <w:lang w:val="en-US"/>
        </w:rPr>
        <w:t>The</w:t>
      </w:r>
      <w:r w:rsidRPr="00D833D6">
        <w:rPr>
          <w:spacing w:val="-1"/>
          <w:sz w:val="22"/>
          <w:szCs w:val="22"/>
          <w:lang w:val="en-US"/>
        </w:rPr>
        <w:t xml:space="preserve"> </w:t>
      </w:r>
      <w:r w:rsidRPr="00D833D6">
        <w:rPr>
          <w:sz w:val="22"/>
          <w:szCs w:val="22"/>
          <w:lang w:val="en-US"/>
        </w:rPr>
        <w:t>New</w:t>
      </w:r>
      <w:r w:rsidRPr="00D833D6">
        <w:rPr>
          <w:spacing w:val="-2"/>
          <w:sz w:val="22"/>
          <w:szCs w:val="22"/>
          <w:lang w:val="en-US"/>
        </w:rPr>
        <w:t xml:space="preserve"> </w:t>
      </w:r>
      <w:r w:rsidRPr="00D833D6">
        <w:rPr>
          <w:sz w:val="22"/>
          <w:szCs w:val="22"/>
          <w:lang w:val="en-US"/>
        </w:rPr>
        <w:t>Economics</w:t>
      </w:r>
      <w:r w:rsidRPr="00D833D6">
        <w:rPr>
          <w:spacing w:val="-4"/>
          <w:sz w:val="22"/>
          <w:szCs w:val="22"/>
          <w:lang w:val="en-US"/>
        </w:rPr>
        <w:t xml:space="preserve"> </w:t>
      </w:r>
      <w:r w:rsidRPr="00D833D6">
        <w:rPr>
          <w:sz w:val="22"/>
          <w:szCs w:val="22"/>
          <w:lang w:val="en-US"/>
        </w:rPr>
        <w:t>of</w:t>
      </w:r>
      <w:r w:rsidRPr="00D833D6">
        <w:rPr>
          <w:spacing w:val="-5"/>
          <w:sz w:val="22"/>
          <w:szCs w:val="22"/>
          <w:lang w:val="en-US"/>
        </w:rPr>
        <w:t xml:space="preserve"> </w:t>
      </w:r>
      <w:r w:rsidRPr="00D833D6">
        <w:rPr>
          <w:sz w:val="22"/>
          <w:szCs w:val="22"/>
          <w:lang w:val="en-US"/>
        </w:rPr>
        <w:t>Corruption,</w:t>
      </w:r>
      <w:r w:rsidRPr="00D833D6">
        <w:rPr>
          <w:spacing w:val="-3"/>
          <w:sz w:val="22"/>
          <w:szCs w:val="22"/>
          <w:lang w:val="en-US"/>
        </w:rPr>
        <w:t xml:space="preserve"> </w:t>
      </w:r>
      <w:r w:rsidRPr="00D833D6">
        <w:rPr>
          <w:sz w:val="22"/>
          <w:szCs w:val="22"/>
          <w:lang w:val="en-US"/>
        </w:rPr>
        <w:t>in:</w:t>
      </w:r>
      <w:r w:rsidRPr="00D833D6">
        <w:rPr>
          <w:spacing w:val="-2"/>
          <w:sz w:val="22"/>
          <w:szCs w:val="22"/>
          <w:lang w:val="en-US"/>
        </w:rPr>
        <w:t xml:space="preserve"> Heywood,</w:t>
      </w:r>
      <w:r w:rsidRPr="00D833D6">
        <w:rPr>
          <w:sz w:val="22"/>
          <w:szCs w:val="22"/>
          <w:lang w:val="en-US"/>
        </w:rPr>
        <w:t xml:space="preserve"> P.</w:t>
      </w:r>
      <w:r w:rsidRPr="00D833D6">
        <w:rPr>
          <w:spacing w:val="-4"/>
          <w:sz w:val="22"/>
          <w:szCs w:val="22"/>
          <w:lang w:val="en-US"/>
        </w:rPr>
        <w:t xml:space="preserve"> </w:t>
      </w:r>
      <w:r w:rsidRPr="00D833D6">
        <w:rPr>
          <w:sz w:val="22"/>
          <w:szCs w:val="22"/>
          <w:lang w:val="en-US"/>
        </w:rPr>
        <w:t>(Ed.),</w:t>
      </w:r>
      <w:r w:rsidRPr="00D833D6">
        <w:rPr>
          <w:spacing w:val="-6"/>
          <w:sz w:val="22"/>
          <w:szCs w:val="22"/>
          <w:lang w:val="en-US"/>
        </w:rPr>
        <w:t xml:space="preserve"> </w:t>
      </w:r>
      <w:r w:rsidRPr="00D833D6">
        <w:rPr>
          <w:sz w:val="22"/>
          <w:szCs w:val="22"/>
          <w:lang w:val="en-US"/>
        </w:rPr>
        <w:t>Political</w:t>
      </w:r>
      <w:r w:rsidRPr="00D833D6">
        <w:rPr>
          <w:spacing w:val="-6"/>
          <w:sz w:val="22"/>
          <w:szCs w:val="22"/>
          <w:lang w:val="en-US"/>
        </w:rPr>
        <w:t xml:space="preserve"> </w:t>
      </w:r>
      <w:r w:rsidRPr="00D833D6">
        <w:rPr>
          <w:sz w:val="22"/>
          <w:szCs w:val="22"/>
          <w:lang w:val="en-US"/>
        </w:rPr>
        <w:t>Corruption,</w:t>
      </w:r>
      <w:r w:rsidRPr="00D833D6">
        <w:rPr>
          <w:spacing w:val="-8"/>
          <w:sz w:val="22"/>
          <w:szCs w:val="22"/>
          <w:lang w:val="en-US"/>
        </w:rPr>
        <w:t xml:space="preserve"> </w:t>
      </w:r>
      <w:r w:rsidRPr="00D833D6">
        <w:rPr>
          <w:sz w:val="22"/>
          <w:szCs w:val="22"/>
          <w:lang w:val="en-US"/>
        </w:rPr>
        <w:t>80-99,</w:t>
      </w:r>
      <w:r w:rsidRPr="00D833D6">
        <w:rPr>
          <w:spacing w:val="-6"/>
          <w:sz w:val="22"/>
          <w:szCs w:val="22"/>
          <w:lang w:val="en-US"/>
        </w:rPr>
        <w:t xml:space="preserve"> </w:t>
      </w:r>
      <w:r w:rsidRPr="00D833D6">
        <w:rPr>
          <w:sz w:val="22"/>
          <w:szCs w:val="22"/>
          <w:lang w:val="en-US"/>
        </w:rPr>
        <w:t>Exford.</w:t>
      </w:r>
      <w:r w:rsidRPr="00D833D6">
        <w:rPr>
          <w:spacing w:val="80"/>
          <w:sz w:val="22"/>
          <w:szCs w:val="22"/>
          <w:lang w:val="en-US"/>
        </w:rPr>
        <w:t xml:space="preserve"> </w:t>
      </w:r>
      <w:r w:rsidRPr="00D833D6">
        <w:rPr>
          <w:sz w:val="22"/>
          <w:szCs w:val="22"/>
          <w:lang w:val="en-US"/>
        </w:rPr>
        <w:t>Bannenberg,</w:t>
      </w:r>
      <w:r w:rsidRPr="00D833D6">
        <w:rPr>
          <w:spacing w:val="-6"/>
          <w:sz w:val="22"/>
          <w:szCs w:val="22"/>
          <w:lang w:val="en-US"/>
        </w:rPr>
        <w:t xml:space="preserve"> </w:t>
      </w:r>
      <w:r w:rsidRPr="00D833D6">
        <w:rPr>
          <w:sz w:val="22"/>
          <w:szCs w:val="22"/>
          <w:lang w:val="en-US"/>
        </w:rPr>
        <w:t>B.;</w:t>
      </w:r>
      <w:r w:rsidRPr="00D833D6">
        <w:rPr>
          <w:spacing w:val="-7"/>
          <w:sz w:val="22"/>
          <w:szCs w:val="22"/>
          <w:lang w:val="en-US"/>
        </w:rPr>
        <w:t xml:space="preserve"> </w:t>
      </w:r>
      <w:r w:rsidRPr="00D833D6">
        <w:rPr>
          <w:sz w:val="22"/>
          <w:szCs w:val="22"/>
          <w:lang w:val="en-US"/>
        </w:rPr>
        <w:t>Schaupensteiner,</w:t>
      </w:r>
      <w:r w:rsidRPr="00D833D6">
        <w:rPr>
          <w:spacing w:val="-8"/>
          <w:sz w:val="22"/>
          <w:szCs w:val="22"/>
          <w:lang w:val="en-US"/>
        </w:rPr>
        <w:t xml:space="preserve"> </w:t>
      </w:r>
      <w:r w:rsidRPr="00D833D6">
        <w:rPr>
          <w:sz w:val="22"/>
          <w:szCs w:val="22"/>
          <w:lang w:val="en-US"/>
        </w:rPr>
        <w:t>W.</w:t>
      </w:r>
      <w:r w:rsidRPr="00D833D6">
        <w:rPr>
          <w:spacing w:val="-4"/>
          <w:sz w:val="22"/>
          <w:szCs w:val="22"/>
          <w:lang w:val="en-US"/>
        </w:rPr>
        <w:t xml:space="preserve"> </w:t>
      </w:r>
      <w:r w:rsidRPr="00D833D6">
        <w:rPr>
          <w:sz w:val="22"/>
          <w:szCs w:val="22"/>
          <w:lang w:val="en-US"/>
        </w:rPr>
        <w:t>(2004):</w:t>
      </w:r>
      <w:r w:rsidRPr="00D833D6">
        <w:rPr>
          <w:spacing w:val="40"/>
          <w:sz w:val="22"/>
          <w:szCs w:val="22"/>
          <w:lang w:val="en-US"/>
        </w:rPr>
        <w:t xml:space="preserve"> </w:t>
      </w:r>
      <w:r w:rsidRPr="00D833D6">
        <w:rPr>
          <w:sz w:val="22"/>
          <w:szCs w:val="22"/>
          <w:lang w:val="en-US"/>
        </w:rPr>
        <w:t>Korruption in Deutschland, München.</w:t>
      </w:r>
      <w:r w:rsidRPr="00D833D6">
        <w:rPr>
          <w:spacing w:val="80"/>
          <w:sz w:val="22"/>
          <w:szCs w:val="22"/>
          <w:lang w:val="en-US"/>
        </w:rPr>
        <w:t xml:space="preserve"> </w:t>
      </w:r>
      <w:r w:rsidRPr="00D833D6">
        <w:rPr>
          <w:sz w:val="22"/>
          <w:szCs w:val="22"/>
          <w:lang w:val="en-US"/>
        </w:rPr>
        <w:t>Bardhan, P. (1997): Corruption and Development,</w:t>
      </w:r>
      <w:r w:rsidRPr="00D833D6">
        <w:rPr>
          <w:spacing w:val="40"/>
          <w:sz w:val="22"/>
          <w:szCs w:val="22"/>
          <w:lang w:val="en-US"/>
        </w:rPr>
        <w:t xml:space="preserve"> </w:t>
      </w:r>
      <w:r w:rsidRPr="00D833D6">
        <w:rPr>
          <w:sz w:val="22"/>
          <w:szCs w:val="22"/>
          <w:lang w:val="en-US"/>
        </w:rPr>
        <w:t>Journal of Economic Literature, 35: 1320-1346.</w:t>
      </w:r>
      <w:r w:rsidRPr="00D833D6">
        <w:rPr>
          <w:spacing w:val="40"/>
          <w:sz w:val="22"/>
          <w:szCs w:val="22"/>
          <w:lang w:val="en-US"/>
        </w:rPr>
        <w:t xml:space="preserve"> </w:t>
      </w:r>
      <w:r w:rsidRPr="00D833D6">
        <w:rPr>
          <w:sz w:val="22"/>
          <w:szCs w:val="22"/>
          <w:lang w:val="en-US"/>
        </w:rPr>
        <w:t>Goel, R.K.; Rich, D.P. (1989): On the</w:t>
      </w:r>
      <w:r w:rsidRPr="00D833D6">
        <w:rPr>
          <w:spacing w:val="40"/>
          <w:sz w:val="22"/>
          <w:szCs w:val="22"/>
          <w:lang w:val="en-US"/>
        </w:rPr>
        <w:t xml:space="preserve"> </w:t>
      </w:r>
      <w:r w:rsidRPr="00D833D6">
        <w:rPr>
          <w:sz w:val="22"/>
          <w:szCs w:val="22"/>
          <w:lang w:val="en-US"/>
        </w:rPr>
        <w:t>Economics</w:t>
      </w:r>
      <w:r w:rsidRPr="00D833D6">
        <w:rPr>
          <w:spacing w:val="-2"/>
          <w:sz w:val="22"/>
          <w:szCs w:val="22"/>
          <w:lang w:val="en-US"/>
        </w:rPr>
        <w:t xml:space="preserve"> </w:t>
      </w:r>
      <w:r w:rsidRPr="00D833D6">
        <w:rPr>
          <w:sz w:val="22"/>
          <w:szCs w:val="22"/>
          <w:lang w:val="en-US"/>
        </w:rPr>
        <w:t>for</w:t>
      </w:r>
      <w:r w:rsidRPr="00D833D6">
        <w:rPr>
          <w:spacing w:val="-3"/>
          <w:sz w:val="22"/>
          <w:szCs w:val="22"/>
          <w:lang w:val="en-US"/>
        </w:rPr>
        <w:t xml:space="preserve"> </w:t>
      </w:r>
      <w:r w:rsidRPr="00D833D6">
        <w:rPr>
          <w:sz w:val="22"/>
          <w:szCs w:val="22"/>
          <w:lang w:val="en-US"/>
        </w:rPr>
        <w:t>Taking</w:t>
      </w:r>
      <w:r w:rsidRPr="00D833D6">
        <w:rPr>
          <w:spacing w:val="-5"/>
          <w:sz w:val="22"/>
          <w:szCs w:val="22"/>
          <w:lang w:val="en-US"/>
        </w:rPr>
        <w:t xml:space="preserve"> </w:t>
      </w:r>
      <w:r w:rsidRPr="00D833D6">
        <w:rPr>
          <w:sz w:val="22"/>
          <w:szCs w:val="22"/>
          <w:lang w:val="en-US"/>
        </w:rPr>
        <w:t>Bribes,</w:t>
      </w:r>
      <w:r w:rsidRPr="00D833D6">
        <w:rPr>
          <w:spacing w:val="-4"/>
          <w:sz w:val="22"/>
          <w:szCs w:val="22"/>
          <w:lang w:val="en-US"/>
        </w:rPr>
        <w:t xml:space="preserve"> </w:t>
      </w:r>
      <w:r w:rsidRPr="00D833D6">
        <w:rPr>
          <w:sz w:val="22"/>
          <w:szCs w:val="22"/>
          <w:lang w:val="en-US"/>
        </w:rPr>
        <w:t>Public</w:t>
      </w:r>
      <w:r w:rsidRPr="00D833D6">
        <w:rPr>
          <w:spacing w:val="-6"/>
          <w:sz w:val="22"/>
          <w:szCs w:val="22"/>
          <w:lang w:val="en-US"/>
        </w:rPr>
        <w:t xml:space="preserve"> </w:t>
      </w:r>
      <w:r w:rsidRPr="00D833D6">
        <w:rPr>
          <w:sz w:val="22"/>
          <w:szCs w:val="22"/>
          <w:lang w:val="en-US"/>
        </w:rPr>
        <w:t>Choice,</w:t>
      </w:r>
      <w:r w:rsidRPr="00D833D6">
        <w:rPr>
          <w:spacing w:val="-6"/>
          <w:sz w:val="22"/>
          <w:szCs w:val="22"/>
          <w:lang w:val="en-US"/>
        </w:rPr>
        <w:t xml:space="preserve"> </w:t>
      </w:r>
      <w:r w:rsidRPr="00D833D6">
        <w:rPr>
          <w:sz w:val="22"/>
          <w:szCs w:val="22"/>
          <w:lang w:val="en-US"/>
        </w:rPr>
        <w:t>61:</w:t>
      </w:r>
      <w:r w:rsidRPr="00D833D6">
        <w:rPr>
          <w:spacing w:val="-3"/>
          <w:sz w:val="22"/>
          <w:szCs w:val="22"/>
          <w:lang w:val="en-US"/>
        </w:rPr>
        <w:t xml:space="preserve"> </w:t>
      </w:r>
      <w:r w:rsidRPr="00D833D6">
        <w:rPr>
          <w:sz w:val="22"/>
          <w:szCs w:val="22"/>
          <w:lang w:val="en-US"/>
        </w:rPr>
        <w:t>269-275.</w:t>
      </w:r>
      <w:r w:rsidRPr="00D833D6">
        <w:rPr>
          <w:spacing w:val="40"/>
          <w:sz w:val="22"/>
          <w:szCs w:val="22"/>
          <w:lang w:val="en-US"/>
        </w:rPr>
        <w:t xml:space="preserve"> </w:t>
      </w:r>
      <w:r w:rsidRPr="00D833D6">
        <w:rPr>
          <w:sz w:val="22"/>
          <w:szCs w:val="22"/>
        </w:rPr>
        <w:t>Graf</w:t>
      </w:r>
      <w:r w:rsidRPr="00D833D6">
        <w:rPr>
          <w:spacing w:val="-3"/>
          <w:sz w:val="22"/>
          <w:szCs w:val="22"/>
        </w:rPr>
        <w:t xml:space="preserve"> </w:t>
      </w:r>
      <w:r w:rsidRPr="00D833D6">
        <w:rPr>
          <w:sz w:val="22"/>
          <w:szCs w:val="22"/>
        </w:rPr>
        <w:t>Lambsdorff,</w:t>
      </w:r>
      <w:r w:rsidRPr="00D833D6">
        <w:rPr>
          <w:spacing w:val="-4"/>
          <w:sz w:val="22"/>
          <w:szCs w:val="22"/>
        </w:rPr>
        <w:t xml:space="preserve"> </w:t>
      </w:r>
      <w:r w:rsidRPr="00D833D6">
        <w:rPr>
          <w:sz w:val="22"/>
          <w:szCs w:val="22"/>
        </w:rPr>
        <w:t>J. (1997):</w:t>
      </w:r>
      <w:r w:rsidRPr="00D833D6">
        <w:rPr>
          <w:spacing w:val="-3"/>
          <w:sz w:val="22"/>
          <w:szCs w:val="22"/>
        </w:rPr>
        <w:t xml:space="preserve"> </w:t>
      </w:r>
      <w:r w:rsidRPr="00D833D6">
        <w:rPr>
          <w:sz w:val="22"/>
          <w:szCs w:val="22"/>
        </w:rPr>
        <w:t>An</w:t>
      </w:r>
      <w:r w:rsidRPr="00D833D6">
        <w:rPr>
          <w:spacing w:val="40"/>
          <w:sz w:val="22"/>
          <w:szCs w:val="22"/>
        </w:rPr>
        <w:t xml:space="preserve"> </w:t>
      </w:r>
      <w:r w:rsidRPr="00D833D6">
        <w:rPr>
          <w:sz w:val="22"/>
          <w:szCs w:val="22"/>
        </w:rPr>
        <w:t>Empirical Investigation of Bribery in International Trade, Diskussionsbeiträge aus dem</w:t>
      </w:r>
      <w:r w:rsidRPr="00D833D6">
        <w:rPr>
          <w:spacing w:val="40"/>
          <w:sz w:val="22"/>
          <w:szCs w:val="22"/>
        </w:rPr>
        <w:t xml:space="preserve"> </w:t>
      </w:r>
      <w:r w:rsidRPr="00D833D6">
        <w:rPr>
          <w:sz w:val="22"/>
          <w:szCs w:val="22"/>
        </w:rPr>
        <w:t>Volkswirtschaftlichen Seminar der Universität Göttingen Nr.92, Göttingen.</w:t>
      </w:r>
      <w:r w:rsidRPr="00D833D6">
        <w:rPr>
          <w:spacing w:val="80"/>
          <w:sz w:val="22"/>
          <w:szCs w:val="22"/>
        </w:rPr>
        <w:t xml:space="preserve"> </w:t>
      </w:r>
      <w:r w:rsidRPr="00D833D6">
        <w:rPr>
          <w:sz w:val="22"/>
          <w:szCs w:val="22"/>
          <w:lang w:val="en-US"/>
        </w:rPr>
        <w:t>Jain, A.K.</w:t>
      </w:r>
      <w:r w:rsidRPr="00D833D6">
        <w:rPr>
          <w:spacing w:val="40"/>
          <w:sz w:val="22"/>
          <w:szCs w:val="22"/>
          <w:lang w:val="en-US"/>
        </w:rPr>
        <w:t xml:space="preserve"> </w:t>
      </w:r>
      <w:r w:rsidRPr="00D833D6">
        <w:rPr>
          <w:spacing w:val="-2"/>
          <w:sz w:val="22"/>
          <w:szCs w:val="22"/>
          <w:lang w:val="en-US"/>
        </w:rPr>
        <w:t>(2001): Corruption. A</w:t>
      </w:r>
      <w:r w:rsidRPr="00D833D6">
        <w:rPr>
          <w:spacing w:val="-4"/>
          <w:sz w:val="22"/>
          <w:szCs w:val="22"/>
          <w:lang w:val="en-US"/>
        </w:rPr>
        <w:t xml:space="preserve"> </w:t>
      </w:r>
      <w:r w:rsidRPr="00D833D6">
        <w:rPr>
          <w:spacing w:val="-2"/>
          <w:sz w:val="22"/>
          <w:szCs w:val="22"/>
          <w:lang w:val="en-US"/>
        </w:rPr>
        <w:t>Review,</w:t>
      </w:r>
      <w:r w:rsidRPr="00D833D6">
        <w:rPr>
          <w:spacing w:val="-4"/>
          <w:sz w:val="22"/>
          <w:szCs w:val="22"/>
          <w:lang w:val="en-US"/>
        </w:rPr>
        <w:t xml:space="preserve"> </w:t>
      </w:r>
      <w:r w:rsidRPr="00D833D6">
        <w:rPr>
          <w:spacing w:val="-2"/>
          <w:sz w:val="22"/>
          <w:szCs w:val="22"/>
          <w:lang w:val="en-US"/>
        </w:rPr>
        <w:t>Journal</w:t>
      </w:r>
      <w:r w:rsidRPr="00D833D6">
        <w:rPr>
          <w:spacing w:val="-5"/>
          <w:sz w:val="22"/>
          <w:szCs w:val="22"/>
          <w:lang w:val="en-US"/>
        </w:rPr>
        <w:t xml:space="preserve"> </w:t>
      </w:r>
      <w:r w:rsidRPr="00D833D6">
        <w:rPr>
          <w:spacing w:val="-2"/>
          <w:sz w:val="22"/>
          <w:szCs w:val="22"/>
          <w:lang w:val="en-US"/>
        </w:rPr>
        <w:t>of</w:t>
      </w:r>
      <w:r w:rsidRPr="00D833D6">
        <w:rPr>
          <w:spacing w:val="-4"/>
          <w:sz w:val="22"/>
          <w:szCs w:val="22"/>
          <w:lang w:val="en-US"/>
        </w:rPr>
        <w:t xml:space="preserve"> </w:t>
      </w:r>
      <w:r w:rsidRPr="00D833D6">
        <w:rPr>
          <w:spacing w:val="-2"/>
          <w:sz w:val="22"/>
          <w:szCs w:val="22"/>
          <w:lang w:val="en-US"/>
        </w:rPr>
        <w:t>Economic</w:t>
      </w:r>
      <w:r w:rsidRPr="00D833D6">
        <w:rPr>
          <w:spacing w:val="-4"/>
          <w:sz w:val="22"/>
          <w:szCs w:val="22"/>
          <w:lang w:val="en-US"/>
        </w:rPr>
        <w:t xml:space="preserve"> </w:t>
      </w:r>
      <w:r w:rsidRPr="00D833D6">
        <w:rPr>
          <w:spacing w:val="-2"/>
          <w:sz w:val="22"/>
          <w:szCs w:val="22"/>
          <w:lang w:val="en-US"/>
        </w:rPr>
        <w:t>Surveys,</w:t>
      </w:r>
      <w:r w:rsidRPr="00D833D6">
        <w:rPr>
          <w:spacing w:val="-5"/>
          <w:sz w:val="22"/>
          <w:szCs w:val="22"/>
          <w:lang w:val="en-US"/>
        </w:rPr>
        <w:t xml:space="preserve"> </w:t>
      </w:r>
      <w:r w:rsidRPr="00D833D6">
        <w:rPr>
          <w:spacing w:val="-2"/>
          <w:sz w:val="22"/>
          <w:szCs w:val="22"/>
          <w:lang w:val="en-US"/>
        </w:rPr>
        <w:t>15:</w:t>
      </w:r>
      <w:r w:rsidRPr="00D833D6">
        <w:rPr>
          <w:spacing w:val="-5"/>
          <w:sz w:val="22"/>
          <w:szCs w:val="22"/>
          <w:lang w:val="en-US"/>
        </w:rPr>
        <w:t xml:space="preserve"> </w:t>
      </w:r>
      <w:r w:rsidRPr="00D833D6">
        <w:rPr>
          <w:spacing w:val="-2"/>
          <w:sz w:val="22"/>
          <w:szCs w:val="22"/>
          <w:lang w:val="en-US"/>
        </w:rPr>
        <w:t>71-121.</w:t>
      </w:r>
      <w:r w:rsidRPr="00D833D6">
        <w:rPr>
          <w:spacing w:val="35"/>
          <w:sz w:val="22"/>
          <w:szCs w:val="22"/>
          <w:lang w:val="en-US"/>
        </w:rPr>
        <w:t xml:space="preserve"> </w:t>
      </w:r>
      <w:r w:rsidRPr="00D833D6">
        <w:rPr>
          <w:spacing w:val="-2"/>
          <w:sz w:val="22"/>
          <w:szCs w:val="22"/>
          <w:lang w:val="en-US"/>
        </w:rPr>
        <w:t>Rose-Ackermann,</w:t>
      </w:r>
      <w:r w:rsidRPr="00D833D6">
        <w:rPr>
          <w:sz w:val="22"/>
          <w:szCs w:val="22"/>
          <w:lang w:val="en-US"/>
        </w:rPr>
        <w:t xml:space="preserve"> S.</w:t>
      </w:r>
      <w:r w:rsidRPr="00D833D6">
        <w:rPr>
          <w:spacing w:val="-10"/>
          <w:sz w:val="22"/>
          <w:szCs w:val="22"/>
          <w:lang w:val="en-US"/>
        </w:rPr>
        <w:t xml:space="preserve"> </w:t>
      </w:r>
      <w:r w:rsidRPr="00D833D6">
        <w:rPr>
          <w:sz w:val="22"/>
          <w:szCs w:val="22"/>
          <w:lang w:val="en-US"/>
        </w:rPr>
        <w:t>(Ed.)</w:t>
      </w:r>
      <w:r w:rsidRPr="00D833D6">
        <w:rPr>
          <w:spacing w:val="-10"/>
          <w:sz w:val="22"/>
          <w:szCs w:val="22"/>
          <w:lang w:val="en-US"/>
        </w:rPr>
        <w:t xml:space="preserve"> </w:t>
      </w:r>
      <w:r w:rsidRPr="00D833D6">
        <w:rPr>
          <w:sz w:val="22"/>
          <w:szCs w:val="22"/>
          <w:lang w:val="en-US"/>
        </w:rPr>
        <w:t>(2006):</w:t>
      </w:r>
      <w:r w:rsidRPr="00D833D6">
        <w:rPr>
          <w:spacing w:val="-10"/>
          <w:sz w:val="22"/>
          <w:szCs w:val="22"/>
          <w:lang w:val="en-US"/>
        </w:rPr>
        <w:t xml:space="preserve"> </w:t>
      </w:r>
      <w:r w:rsidRPr="00D833D6">
        <w:rPr>
          <w:sz w:val="22"/>
          <w:szCs w:val="22"/>
          <w:lang w:val="en-US"/>
        </w:rPr>
        <w:t>International</w:t>
      </w:r>
      <w:r w:rsidRPr="00D833D6">
        <w:rPr>
          <w:spacing w:val="-10"/>
          <w:sz w:val="22"/>
          <w:szCs w:val="22"/>
          <w:lang w:val="en-US"/>
        </w:rPr>
        <w:t xml:space="preserve"> </w:t>
      </w:r>
      <w:r w:rsidRPr="00D833D6">
        <w:rPr>
          <w:sz w:val="22"/>
          <w:szCs w:val="22"/>
          <w:lang w:val="en-US"/>
        </w:rPr>
        <w:t>Handbook</w:t>
      </w:r>
      <w:r w:rsidRPr="00D833D6">
        <w:rPr>
          <w:spacing w:val="-10"/>
          <w:sz w:val="22"/>
          <w:szCs w:val="22"/>
          <w:lang w:val="en-US"/>
        </w:rPr>
        <w:t xml:space="preserve"> </w:t>
      </w:r>
      <w:r w:rsidRPr="00D833D6">
        <w:rPr>
          <w:sz w:val="22"/>
          <w:szCs w:val="22"/>
          <w:lang w:val="en-US"/>
        </w:rPr>
        <w:t>on</w:t>
      </w:r>
      <w:r w:rsidRPr="00D833D6">
        <w:rPr>
          <w:spacing w:val="-10"/>
          <w:sz w:val="22"/>
          <w:szCs w:val="22"/>
          <w:lang w:val="en-US"/>
        </w:rPr>
        <w:t xml:space="preserve"> </w:t>
      </w:r>
      <w:r w:rsidRPr="00D833D6">
        <w:rPr>
          <w:sz w:val="22"/>
          <w:szCs w:val="22"/>
          <w:lang w:val="en-US"/>
        </w:rPr>
        <w:t>the</w:t>
      </w:r>
      <w:r w:rsidRPr="00D833D6">
        <w:rPr>
          <w:spacing w:val="-10"/>
          <w:sz w:val="22"/>
          <w:szCs w:val="22"/>
          <w:lang w:val="en-US"/>
        </w:rPr>
        <w:t xml:space="preserve"> </w:t>
      </w:r>
      <w:r w:rsidRPr="00D833D6">
        <w:rPr>
          <w:sz w:val="22"/>
          <w:szCs w:val="22"/>
          <w:lang w:val="en-US"/>
        </w:rPr>
        <w:t>Economics</w:t>
      </w:r>
      <w:r w:rsidRPr="00D833D6">
        <w:rPr>
          <w:spacing w:val="-10"/>
          <w:sz w:val="22"/>
          <w:szCs w:val="22"/>
          <w:lang w:val="en-US"/>
        </w:rPr>
        <w:t xml:space="preserve"> </w:t>
      </w:r>
      <w:r w:rsidRPr="00D833D6">
        <w:rPr>
          <w:sz w:val="22"/>
          <w:szCs w:val="22"/>
          <w:lang w:val="en-US"/>
        </w:rPr>
        <w:t>of</w:t>
      </w:r>
      <w:r w:rsidRPr="00D833D6">
        <w:rPr>
          <w:spacing w:val="-10"/>
          <w:sz w:val="22"/>
          <w:szCs w:val="22"/>
          <w:lang w:val="en-US"/>
        </w:rPr>
        <w:t xml:space="preserve"> </w:t>
      </w:r>
      <w:r w:rsidRPr="00D833D6">
        <w:rPr>
          <w:sz w:val="22"/>
          <w:szCs w:val="22"/>
          <w:lang w:val="en-US"/>
        </w:rPr>
        <w:t>Corruption,</w:t>
      </w:r>
      <w:r w:rsidRPr="00D833D6">
        <w:rPr>
          <w:spacing w:val="-10"/>
          <w:sz w:val="22"/>
          <w:szCs w:val="22"/>
          <w:lang w:val="en-US"/>
        </w:rPr>
        <w:t xml:space="preserve"> </w:t>
      </w:r>
      <w:r w:rsidRPr="00D833D6">
        <w:rPr>
          <w:sz w:val="22"/>
          <w:szCs w:val="22"/>
          <w:lang w:val="en-US"/>
        </w:rPr>
        <w:t>Cheltenham.</w:t>
      </w:r>
      <w:r w:rsidRPr="00D833D6">
        <w:rPr>
          <w:spacing w:val="48"/>
          <w:sz w:val="22"/>
          <w:szCs w:val="22"/>
          <w:lang w:val="en-US"/>
        </w:rPr>
        <w:t xml:space="preserve"> </w:t>
      </w:r>
      <w:r w:rsidRPr="00D833D6">
        <w:rPr>
          <w:spacing w:val="-2"/>
          <w:sz w:val="22"/>
          <w:szCs w:val="22"/>
        </w:rPr>
        <w:t>Sell,</w:t>
      </w:r>
      <w:r w:rsidRPr="00D833D6">
        <w:rPr>
          <w:sz w:val="22"/>
          <w:szCs w:val="22"/>
        </w:rPr>
        <w:t xml:space="preserve"> F.L. (1993): Ökonomik der Entwicklungsländer, Frankfurt/Main.</w:t>
      </w:r>
      <w:r w:rsidRPr="00D833D6">
        <w:rPr>
          <w:spacing w:val="80"/>
          <w:sz w:val="22"/>
          <w:szCs w:val="22"/>
        </w:rPr>
        <w:t xml:space="preserve"> </w:t>
      </w:r>
      <w:r w:rsidRPr="00D833D6">
        <w:rPr>
          <w:sz w:val="22"/>
          <w:szCs w:val="22"/>
        </w:rPr>
        <w:t>Thum, M. (2005):</w:t>
      </w:r>
      <w:r w:rsidRPr="00D833D6">
        <w:rPr>
          <w:spacing w:val="40"/>
          <w:sz w:val="22"/>
          <w:szCs w:val="22"/>
        </w:rPr>
        <w:t xml:space="preserve"> </w:t>
      </w:r>
      <w:r w:rsidRPr="00D833D6">
        <w:rPr>
          <w:sz w:val="22"/>
          <w:szCs w:val="22"/>
        </w:rPr>
        <w:t>Korruption,</w:t>
      </w:r>
      <w:r w:rsidRPr="00D833D6">
        <w:rPr>
          <w:spacing w:val="-10"/>
          <w:sz w:val="22"/>
          <w:szCs w:val="22"/>
        </w:rPr>
        <w:t xml:space="preserve"> </w:t>
      </w:r>
      <w:r w:rsidRPr="00D833D6">
        <w:rPr>
          <w:sz w:val="22"/>
          <w:szCs w:val="22"/>
        </w:rPr>
        <w:t>in:</w:t>
      </w:r>
      <w:r w:rsidRPr="00D833D6">
        <w:rPr>
          <w:spacing w:val="-10"/>
          <w:sz w:val="22"/>
          <w:szCs w:val="22"/>
        </w:rPr>
        <w:t xml:space="preserve"> </w:t>
      </w:r>
      <w:r w:rsidRPr="00D833D6">
        <w:rPr>
          <w:sz w:val="22"/>
          <w:szCs w:val="22"/>
        </w:rPr>
        <w:t>Blum,</w:t>
      </w:r>
      <w:r w:rsidRPr="00D833D6">
        <w:rPr>
          <w:spacing w:val="-10"/>
          <w:sz w:val="22"/>
          <w:szCs w:val="22"/>
        </w:rPr>
        <w:t xml:space="preserve"> </w:t>
      </w:r>
      <w:r w:rsidRPr="00D833D6">
        <w:rPr>
          <w:sz w:val="22"/>
          <w:szCs w:val="22"/>
        </w:rPr>
        <w:t>U.;</w:t>
      </w:r>
      <w:r w:rsidRPr="00D833D6">
        <w:rPr>
          <w:spacing w:val="-10"/>
          <w:sz w:val="22"/>
          <w:szCs w:val="22"/>
        </w:rPr>
        <w:t xml:space="preserve"> </w:t>
      </w:r>
      <w:r w:rsidRPr="00D833D6">
        <w:rPr>
          <w:sz w:val="22"/>
          <w:szCs w:val="22"/>
        </w:rPr>
        <w:t>Greipl,</w:t>
      </w:r>
      <w:r w:rsidRPr="00D833D6">
        <w:rPr>
          <w:spacing w:val="-10"/>
          <w:sz w:val="22"/>
          <w:szCs w:val="22"/>
        </w:rPr>
        <w:t xml:space="preserve"> </w:t>
      </w:r>
      <w:r w:rsidRPr="00D833D6">
        <w:rPr>
          <w:sz w:val="22"/>
          <w:szCs w:val="22"/>
        </w:rPr>
        <w:t>E.;</w:t>
      </w:r>
      <w:r w:rsidRPr="00D833D6">
        <w:rPr>
          <w:spacing w:val="-10"/>
          <w:sz w:val="22"/>
          <w:szCs w:val="22"/>
        </w:rPr>
        <w:t xml:space="preserve"> </w:t>
      </w:r>
      <w:r w:rsidRPr="00D833D6">
        <w:rPr>
          <w:sz w:val="22"/>
          <w:szCs w:val="22"/>
        </w:rPr>
        <w:t>Müller,</w:t>
      </w:r>
      <w:r w:rsidRPr="00D833D6">
        <w:rPr>
          <w:spacing w:val="-10"/>
          <w:sz w:val="22"/>
          <w:szCs w:val="22"/>
        </w:rPr>
        <w:t xml:space="preserve"> </w:t>
      </w:r>
      <w:r w:rsidRPr="00D833D6">
        <w:rPr>
          <w:sz w:val="22"/>
          <w:szCs w:val="22"/>
        </w:rPr>
        <w:t>S.;</w:t>
      </w:r>
      <w:r w:rsidRPr="00D833D6">
        <w:rPr>
          <w:spacing w:val="-10"/>
          <w:sz w:val="22"/>
          <w:szCs w:val="22"/>
        </w:rPr>
        <w:t xml:space="preserve"> </w:t>
      </w:r>
      <w:r w:rsidRPr="00D833D6">
        <w:rPr>
          <w:sz w:val="22"/>
          <w:szCs w:val="22"/>
        </w:rPr>
        <w:t>Uhr,</w:t>
      </w:r>
      <w:r w:rsidRPr="00D833D6">
        <w:rPr>
          <w:spacing w:val="-10"/>
          <w:sz w:val="22"/>
          <w:szCs w:val="22"/>
        </w:rPr>
        <w:t xml:space="preserve"> </w:t>
      </w:r>
      <w:r w:rsidRPr="00D833D6">
        <w:rPr>
          <w:sz w:val="22"/>
          <w:szCs w:val="22"/>
        </w:rPr>
        <w:t>W.</w:t>
      </w:r>
      <w:r w:rsidRPr="00D833D6">
        <w:rPr>
          <w:spacing w:val="-10"/>
          <w:sz w:val="22"/>
          <w:szCs w:val="22"/>
        </w:rPr>
        <w:t xml:space="preserve"> </w:t>
      </w:r>
      <w:r w:rsidRPr="00D833D6">
        <w:rPr>
          <w:sz w:val="22"/>
          <w:szCs w:val="22"/>
        </w:rPr>
        <w:t>(Hrsg.),</w:t>
      </w:r>
      <w:r w:rsidRPr="00D833D6">
        <w:rPr>
          <w:spacing w:val="-10"/>
          <w:sz w:val="22"/>
          <w:szCs w:val="22"/>
        </w:rPr>
        <w:t xml:space="preserve"> </w:t>
      </w:r>
      <w:r w:rsidRPr="00D833D6">
        <w:rPr>
          <w:sz w:val="22"/>
          <w:szCs w:val="22"/>
        </w:rPr>
        <w:t>Gesellschaftspolitik</w:t>
      </w:r>
      <w:r w:rsidRPr="00D833D6">
        <w:rPr>
          <w:spacing w:val="-10"/>
          <w:sz w:val="22"/>
          <w:szCs w:val="22"/>
        </w:rPr>
        <w:t xml:space="preserve"> </w:t>
      </w:r>
      <w:r w:rsidRPr="00D833D6">
        <w:rPr>
          <w:sz w:val="22"/>
          <w:szCs w:val="22"/>
        </w:rPr>
        <w:t>in</w:t>
      </w:r>
      <w:r w:rsidRPr="00D833D6">
        <w:rPr>
          <w:spacing w:val="-10"/>
          <w:sz w:val="22"/>
          <w:szCs w:val="22"/>
        </w:rPr>
        <w:t xml:space="preserve"> </w:t>
      </w:r>
      <w:r w:rsidRPr="00D833D6">
        <w:rPr>
          <w:sz w:val="22"/>
          <w:szCs w:val="22"/>
        </w:rPr>
        <w:t>einer</w:t>
      </w:r>
      <w:r w:rsidRPr="00D833D6">
        <w:rPr>
          <w:spacing w:val="40"/>
          <w:sz w:val="22"/>
          <w:szCs w:val="22"/>
        </w:rPr>
        <w:t xml:space="preserve"> </w:t>
      </w:r>
      <w:r w:rsidRPr="00D833D6">
        <w:rPr>
          <w:sz w:val="22"/>
          <w:szCs w:val="22"/>
        </w:rPr>
        <w:t>globalisierten Welt, 67-92, Wiesbaden.</w:t>
      </w:r>
      <w:r w:rsidRPr="00D833D6">
        <w:rPr>
          <w:spacing w:val="40"/>
          <w:sz w:val="22"/>
          <w:szCs w:val="22"/>
        </w:rPr>
        <w:t xml:space="preserve"> </w:t>
      </w:r>
      <w:r w:rsidRPr="00D833D6">
        <w:rPr>
          <w:sz w:val="22"/>
          <w:szCs w:val="22"/>
          <w:lang w:val="en-US"/>
        </w:rPr>
        <w:t>Treisann, D. (2000): The Causes of Corruption. A</w:t>
      </w:r>
      <w:r w:rsidRPr="00D833D6">
        <w:rPr>
          <w:spacing w:val="40"/>
          <w:sz w:val="22"/>
          <w:szCs w:val="22"/>
          <w:lang w:val="en-US"/>
        </w:rPr>
        <w:t xml:space="preserve"> </w:t>
      </w:r>
      <w:r w:rsidRPr="00D833D6">
        <w:rPr>
          <w:sz w:val="22"/>
          <w:szCs w:val="22"/>
          <w:lang w:val="en-US"/>
        </w:rPr>
        <w:t>Cross-National Study, Journal of Public Economics, 76: 399-457.</w:t>
      </w:r>
    </w:p>
    <w:p w14:paraId="2D94B5C0" w14:textId="77777777" w:rsidR="00FF7799" w:rsidRPr="00D833D6" w:rsidRDefault="00FF7799" w:rsidP="00535A87">
      <w:pPr>
        <w:pStyle w:val="StandardText"/>
        <w:rPr>
          <w:sz w:val="22"/>
          <w:szCs w:val="22"/>
          <w:lang w:val="en-US"/>
        </w:rPr>
      </w:pPr>
    </w:p>
    <w:p w14:paraId="3D0D49A9" w14:textId="77777777" w:rsidR="00FF7799" w:rsidRPr="00E73F6F" w:rsidRDefault="00FF7799" w:rsidP="00EF6F53">
      <w:pPr>
        <w:pStyle w:val="berschrift1"/>
      </w:pPr>
      <w:r w:rsidRPr="00B7512C">
        <w:rPr>
          <w:bCs w:val="0"/>
          <w:color w:val="2E74B5"/>
          <w:sz w:val="22"/>
        </w:rPr>
        <w:t xml:space="preserve">Kosmopolit </w:t>
      </w:r>
      <w:r w:rsidRPr="00E73F6F">
        <w:rPr>
          <w:b w:val="0"/>
        </w:rPr>
        <w:sym w:font="Symbol" w:char="F0AE"/>
      </w:r>
      <w:r w:rsidRPr="00E73F6F">
        <w:rPr>
          <w:b w:val="0"/>
        </w:rPr>
        <w:t xml:space="preserve"> Global Citizen</w:t>
      </w:r>
    </w:p>
    <w:p w14:paraId="41CFBA1A" w14:textId="77777777" w:rsidR="00FF7799" w:rsidRPr="00B7512C" w:rsidRDefault="00FF7799" w:rsidP="00EF6F53">
      <w:pPr>
        <w:pStyle w:val="berschrift1"/>
        <w:rPr>
          <w:bCs w:val="0"/>
          <w:color w:val="2E74B5"/>
          <w:sz w:val="22"/>
        </w:rPr>
      </w:pPr>
      <w:r w:rsidRPr="00B7512C">
        <w:rPr>
          <w:bCs w:val="0"/>
          <w:color w:val="2E74B5"/>
          <w:sz w:val="22"/>
        </w:rPr>
        <w:t>Kreation</w:t>
      </w:r>
    </w:p>
    <w:p w14:paraId="59234BE3" w14:textId="77777777" w:rsidR="00FF7799" w:rsidRPr="00E73F6F" w:rsidRDefault="00FF7799" w:rsidP="008E038E">
      <w:pPr>
        <w:pStyle w:val="StandardText"/>
      </w:pPr>
      <w:r w:rsidRPr="00E73F6F">
        <w:t>zählt, neben der Übersetzung und der Transliteration zu Strategien, die bei der Internationalisierung bzw. Globalisierung von Markennamen zum Einsatz kommen. Wählt ein Unternehmen die Differenzierungsstrategie, dann hat es im Extremfall</w:t>
      </w:r>
      <w:r w:rsidRPr="00E73F6F">
        <w:rPr>
          <w:spacing w:val="28"/>
        </w:rPr>
        <w:t xml:space="preserve"> </w:t>
      </w:r>
      <w:r w:rsidRPr="00E73F6F">
        <w:t>für</w:t>
      </w:r>
      <w:r w:rsidRPr="00E73F6F">
        <w:rPr>
          <w:spacing w:val="30"/>
        </w:rPr>
        <w:t xml:space="preserve"> </w:t>
      </w:r>
      <w:r w:rsidRPr="00E73F6F">
        <w:t>jedes</w:t>
      </w:r>
      <w:r w:rsidRPr="00E73F6F">
        <w:rPr>
          <w:spacing w:val="30"/>
        </w:rPr>
        <w:t xml:space="preserve"> </w:t>
      </w:r>
      <w:r w:rsidRPr="00E73F6F">
        <w:t>Zielland</w:t>
      </w:r>
      <w:r w:rsidRPr="00E73F6F">
        <w:rPr>
          <w:spacing w:val="31"/>
        </w:rPr>
        <w:t xml:space="preserve"> </w:t>
      </w:r>
      <w:r w:rsidRPr="00E73F6F">
        <w:t>einen</w:t>
      </w:r>
      <w:r w:rsidRPr="00E73F6F">
        <w:rPr>
          <w:spacing w:val="30"/>
        </w:rPr>
        <w:t xml:space="preserve"> </w:t>
      </w:r>
      <w:r w:rsidRPr="00E73F6F">
        <w:t>eigenständigen</w:t>
      </w:r>
      <w:r w:rsidRPr="00E73F6F">
        <w:rPr>
          <w:spacing w:val="31"/>
        </w:rPr>
        <w:t xml:space="preserve"> </w:t>
      </w:r>
      <w:r w:rsidRPr="00E73F6F">
        <w:t>Namen</w:t>
      </w:r>
      <w:r w:rsidRPr="00E73F6F">
        <w:rPr>
          <w:spacing w:val="31"/>
        </w:rPr>
        <w:t xml:space="preserve"> </w:t>
      </w:r>
      <w:r w:rsidRPr="00E73F6F">
        <w:t>zu</w:t>
      </w:r>
      <w:r w:rsidRPr="00E73F6F">
        <w:rPr>
          <w:spacing w:val="31"/>
        </w:rPr>
        <w:t xml:space="preserve"> </w:t>
      </w:r>
      <w:r w:rsidRPr="00E73F6F">
        <w:t>entwickeln.</w:t>
      </w:r>
      <w:r w:rsidRPr="00E73F6F">
        <w:rPr>
          <w:spacing w:val="31"/>
        </w:rPr>
        <w:t xml:space="preserve"> </w:t>
      </w:r>
      <w:r w:rsidRPr="00E73F6F">
        <w:rPr>
          <w:spacing w:val="-5"/>
        </w:rPr>
        <w:t xml:space="preserve">Die </w:t>
      </w:r>
      <w:r w:rsidRPr="00E73F6F">
        <w:t>Strategie der Kreation</w:t>
      </w:r>
      <w:r w:rsidRPr="00E73F6F">
        <w:rPr>
          <w:spacing w:val="-1"/>
        </w:rPr>
        <w:t xml:space="preserve"> </w:t>
      </w:r>
      <w:r w:rsidRPr="00E73F6F">
        <w:t>bietet sich</w:t>
      </w:r>
      <w:r w:rsidRPr="00E73F6F">
        <w:rPr>
          <w:spacing w:val="-1"/>
        </w:rPr>
        <w:t xml:space="preserve"> </w:t>
      </w:r>
      <w:r w:rsidRPr="00E73F6F">
        <w:t>zum</w:t>
      </w:r>
      <w:r w:rsidRPr="00E73F6F">
        <w:rPr>
          <w:spacing w:val="-1"/>
        </w:rPr>
        <w:t xml:space="preserve"> </w:t>
      </w:r>
      <w:r w:rsidRPr="00E73F6F">
        <w:t>einen</w:t>
      </w:r>
      <w:r w:rsidRPr="00E73F6F">
        <w:rPr>
          <w:spacing w:val="-1"/>
        </w:rPr>
        <w:t xml:space="preserve"> </w:t>
      </w:r>
      <w:r w:rsidRPr="00E73F6F">
        <w:t>dann</w:t>
      </w:r>
      <w:r w:rsidRPr="00E73F6F">
        <w:rPr>
          <w:spacing w:val="-1"/>
        </w:rPr>
        <w:t xml:space="preserve"> </w:t>
      </w:r>
      <w:r w:rsidRPr="00E73F6F">
        <w:t>an, wenn</w:t>
      </w:r>
      <w:r w:rsidRPr="00E73F6F">
        <w:rPr>
          <w:spacing w:val="-1"/>
        </w:rPr>
        <w:t xml:space="preserve"> </w:t>
      </w:r>
      <w:r w:rsidRPr="00E73F6F">
        <w:t>die Marke in</w:t>
      </w:r>
      <w:r w:rsidRPr="00E73F6F">
        <w:rPr>
          <w:spacing w:val="-1"/>
        </w:rPr>
        <w:t xml:space="preserve"> </w:t>
      </w:r>
      <w:r w:rsidRPr="00E73F6F">
        <w:t>kulturell heterogenen</w:t>
      </w:r>
      <w:r w:rsidRPr="00E73F6F">
        <w:rPr>
          <w:spacing w:val="-2"/>
        </w:rPr>
        <w:t xml:space="preserve"> </w:t>
      </w:r>
      <w:r w:rsidRPr="00E73F6F">
        <w:t>Ländermärkten</w:t>
      </w:r>
      <w:r w:rsidRPr="00E73F6F">
        <w:rPr>
          <w:spacing w:val="-2"/>
        </w:rPr>
        <w:t xml:space="preserve"> </w:t>
      </w:r>
      <w:r w:rsidRPr="00E73F6F">
        <w:t>eingesetzt</w:t>
      </w:r>
      <w:r w:rsidRPr="00E73F6F">
        <w:rPr>
          <w:spacing w:val="-3"/>
        </w:rPr>
        <w:t xml:space="preserve"> </w:t>
      </w:r>
      <w:r w:rsidRPr="00E73F6F">
        <w:t>werden</w:t>
      </w:r>
      <w:r w:rsidRPr="00E73F6F">
        <w:rPr>
          <w:spacing w:val="-2"/>
        </w:rPr>
        <w:t xml:space="preserve"> </w:t>
      </w:r>
      <w:r w:rsidRPr="00E73F6F">
        <w:t>soll.</w:t>
      </w:r>
      <w:r w:rsidRPr="00E73F6F">
        <w:rPr>
          <w:spacing w:val="-3"/>
        </w:rPr>
        <w:t xml:space="preserve"> </w:t>
      </w:r>
      <w:r w:rsidRPr="00E73F6F">
        <w:t>Zum</w:t>
      </w:r>
      <w:r w:rsidRPr="00E73F6F">
        <w:rPr>
          <w:spacing w:val="-4"/>
        </w:rPr>
        <w:t xml:space="preserve"> </w:t>
      </w:r>
      <w:r w:rsidRPr="00E73F6F">
        <w:t>anderen</w:t>
      </w:r>
      <w:r w:rsidRPr="00E73F6F">
        <w:rPr>
          <w:spacing w:val="-2"/>
        </w:rPr>
        <w:t xml:space="preserve"> </w:t>
      </w:r>
      <w:r w:rsidRPr="00E73F6F">
        <w:t>ist</w:t>
      </w:r>
      <w:r w:rsidRPr="00E73F6F">
        <w:rPr>
          <w:spacing w:val="-3"/>
        </w:rPr>
        <w:t xml:space="preserve"> </w:t>
      </w:r>
      <w:r w:rsidRPr="00E73F6F">
        <w:t>diese</w:t>
      </w:r>
      <w:r w:rsidRPr="00E73F6F">
        <w:rPr>
          <w:spacing w:val="-4"/>
        </w:rPr>
        <w:t xml:space="preserve"> </w:t>
      </w:r>
      <w:r w:rsidRPr="00E73F6F">
        <w:t>Option geboten, wenn das Unternehmen den Bezug zum Originalprodukt bewusst verschleiern möchte (z.B. um Preisdifferenzierung betreiben zu können, ohne Arbitrage fürchten zu müssen).</w:t>
      </w:r>
    </w:p>
    <w:p w14:paraId="3A233881" w14:textId="77777777" w:rsidR="00FF7799" w:rsidRPr="00E73F6F" w:rsidRDefault="00FF7799" w:rsidP="008E038E">
      <w:pPr>
        <w:pStyle w:val="StandardText"/>
      </w:pPr>
    </w:p>
    <w:p w14:paraId="32403762" w14:textId="77777777" w:rsidR="001E58F5" w:rsidRPr="007F69DA" w:rsidRDefault="001E58F5" w:rsidP="001E58F5">
      <w:pPr>
        <w:keepNext/>
        <w:keepLines/>
        <w:spacing w:before="240"/>
        <w:jc w:val="both"/>
        <w:outlineLvl w:val="1"/>
        <w:rPr>
          <w:b/>
          <w:color w:val="2E74B5"/>
        </w:rPr>
      </w:pPr>
      <w:r w:rsidRPr="007F69DA">
        <w:rPr>
          <w:b/>
          <w:color w:val="2E74B5"/>
        </w:rPr>
        <w:t xml:space="preserve">Kritik </w:t>
      </w:r>
      <w:r w:rsidRPr="007F69DA">
        <w:rPr>
          <w:szCs w:val="24"/>
        </w:rPr>
        <w:sym w:font="Symbol" w:char="F0AE"/>
      </w:r>
      <w:r w:rsidRPr="007F69DA">
        <w:rPr>
          <w:szCs w:val="24"/>
        </w:rPr>
        <w:t xml:space="preserve"> Training, interkulturelles</w:t>
      </w:r>
    </w:p>
    <w:p w14:paraId="743B7C0F" w14:textId="77777777" w:rsidR="00FF7799" w:rsidRPr="00B7512C" w:rsidRDefault="00FF7799" w:rsidP="00EF6F53">
      <w:pPr>
        <w:pStyle w:val="berschrift1"/>
        <w:rPr>
          <w:bCs w:val="0"/>
          <w:color w:val="2E74B5"/>
          <w:sz w:val="22"/>
        </w:rPr>
      </w:pPr>
      <w:r w:rsidRPr="00B7512C">
        <w:rPr>
          <w:bCs w:val="0"/>
          <w:color w:val="2E74B5"/>
          <w:sz w:val="22"/>
        </w:rPr>
        <w:t>Kultur</w:t>
      </w:r>
    </w:p>
    <w:p w14:paraId="29134B6E" w14:textId="77777777" w:rsidR="00FF7799" w:rsidRPr="00E73F6F" w:rsidRDefault="00FF7799" w:rsidP="00DA5C32">
      <w:pPr>
        <w:spacing w:before="84"/>
        <w:jc w:val="both"/>
        <w:rPr>
          <w:sz w:val="24"/>
          <w:szCs w:val="24"/>
        </w:rPr>
      </w:pPr>
      <w:r w:rsidRPr="00E73F6F">
        <w:rPr>
          <w:sz w:val="24"/>
          <w:szCs w:val="24"/>
        </w:rPr>
        <w:t xml:space="preserve">mehrdeutiges </w:t>
      </w:r>
      <w:r w:rsidRPr="00E73F6F">
        <w:rPr>
          <w:rFonts w:ascii="Cambria Math" w:hAnsi="Cambria Math" w:cs="Cambria Math"/>
          <w:sz w:val="24"/>
          <w:szCs w:val="24"/>
        </w:rPr>
        <w:t>⇒</w:t>
      </w:r>
      <w:r w:rsidRPr="00E73F6F">
        <w:rPr>
          <w:sz w:val="24"/>
          <w:szCs w:val="24"/>
        </w:rPr>
        <w:t xml:space="preserve"> Konstrukt, auf das sich zahlreiche, zum Teil höchst unterschiedliche</w:t>
      </w:r>
      <w:r w:rsidRPr="00E73F6F">
        <w:rPr>
          <w:spacing w:val="-9"/>
          <w:sz w:val="24"/>
          <w:szCs w:val="24"/>
        </w:rPr>
        <w:t xml:space="preserve"> </w:t>
      </w:r>
      <w:r w:rsidRPr="00E73F6F">
        <w:rPr>
          <w:sz w:val="24"/>
          <w:szCs w:val="24"/>
        </w:rPr>
        <w:t>Definitionen</w:t>
      </w:r>
      <w:r w:rsidRPr="00E73F6F">
        <w:rPr>
          <w:spacing w:val="-8"/>
          <w:sz w:val="24"/>
          <w:szCs w:val="24"/>
        </w:rPr>
        <w:t xml:space="preserve"> </w:t>
      </w:r>
      <w:r w:rsidRPr="00E73F6F">
        <w:rPr>
          <w:sz w:val="24"/>
          <w:szCs w:val="24"/>
        </w:rPr>
        <w:t>beziehen.</w:t>
      </w:r>
      <w:r w:rsidRPr="00E73F6F">
        <w:rPr>
          <w:spacing w:val="-8"/>
          <w:sz w:val="24"/>
          <w:szCs w:val="24"/>
        </w:rPr>
        <w:t xml:space="preserve"> </w:t>
      </w:r>
      <w:r w:rsidRPr="00E73F6F">
        <w:rPr>
          <w:sz w:val="24"/>
          <w:szCs w:val="24"/>
        </w:rPr>
        <w:t>In</w:t>
      </w:r>
      <w:r w:rsidRPr="00E73F6F">
        <w:rPr>
          <w:spacing w:val="-10"/>
          <w:sz w:val="24"/>
          <w:szCs w:val="24"/>
        </w:rPr>
        <w:t xml:space="preserve"> </w:t>
      </w:r>
      <w:r w:rsidRPr="00E73F6F">
        <w:rPr>
          <w:sz w:val="24"/>
          <w:szCs w:val="24"/>
        </w:rPr>
        <w:t>Abgrenzung</w:t>
      </w:r>
      <w:r w:rsidRPr="00E73F6F">
        <w:rPr>
          <w:spacing w:val="-8"/>
          <w:sz w:val="24"/>
          <w:szCs w:val="24"/>
        </w:rPr>
        <w:t xml:space="preserve"> </w:t>
      </w:r>
      <w:r w:rsidRPr="00E73F6F">
        <w:rPr>
          <w:sz w:val="24"/>
          <w:szCs w:val="24"/>
        </w:rPr>
        <w:t>zur</w:t>
      </w:r>
      <w:r w:rsidRPr="00E73F6F">
        <w:rPr>
          <w:spacing w:val="-9"/>
          <w:sz w:val="24"/>
          <w:szCs w:val="24"/>
        </w:rPr>
        <w:t xml:space="preserve"> </w:t>
      </w:r>
      <w:r w:rsidRPr="00E73F6F">
        <w:rPr>
          <w:sz w:val="24"/>
          <w:szCs w:val="24"/>
        </w:rPr>
        <w:t>Natur</w:t>
      </w:r>
      <w:r w:rsidRPr="00E73F6F">
        <w:rPr>
          <w:spacing w:val="-9"/>
          <w:sz w:val="24"/>
          <w:szCs w:val="24"/>
        </w:rPr>
        <w:t xml:space="preserve"> </w:t>
      </w:r>
      <w:r w:rsidRPr="00E73F6F">
        <w:rPr>
          <w:sz w:val="24"/>
          <w:szCs w:val="24"/>
        </w:rPr>
        <w:t>lässt</w:t>
      </w:r>
      <w:r w:rsidRPr="00E73F6F">
        <w:rPr>
          <w:spacing w:val="-8"/>
          <w:sz w:val="24"/>
          <w:szCs w:val="24"/>
        </w:rPr>
        <w:t xml:space="preserve"> </w:t>
      </w:r>
      <w:r w:rsidRPr="00E73F6F">
        <w:rPr>
          <w:sz w:val="24"/>
          <w:szCs w:val="24"/>
        </w:rPr>
        <w:t>sich</w:t>
      </w:r>
      <w:r w:rsidRPr="00E73F6F">
        <w:rPr>
          <w:spacing w:val="-8"/>
          <w:sz w:val="24"/>
          <w:szCs w:val="24"/>
        </w:rPr>
        <w:t xml:space="preserve"> </w:t>
      </w:r>
      <w:r w:rsidRPr="00E73F6F">
        <w:rPr>
          <w:sz w:val="24"/>
          <w:szCs w:val="24"/>
        </w:rPr>
        <w:t>Kultur als das von Menschen Geschaffene begreifen. Dazu bedienen sie sich des gemeinsamen Wissensvorrats, den ihre Lebensgemeinschaft (Gruppe, Horde, Gesellschaft</w:t>
      </w:r>
      <w:r w:rsidRPr="00E73F6F">
        <w:rPr>
          <w:spacing w:val="-7"/>
          <w:sz w:val="24"/>
          <w:szCs w:val="24"/>
        </w:rPr>
        <w:t xml:space="preserve"> </w:t>
      </w:r>
      <w:r w:rsidRPr="00E73F6F">
        <w:rPr>
          <w:sz w:val="24"/>
          <w:szCs w:val="24"/>
        </w:rPr>
        <w:t>etc.)</w:t>
      </w:r>
      <w:r w:rsidRPr="00E73F6F">
        <w:rPr>
          <w:spacing w:val="-7"/>
          <w:sz w:val="24"/>
          <w:szCs w:val="24"/>
        </w:rPr>
        <w:t xml:space="preserve"> </w:t>
      </w:r>
      <w:r w:rsidRPr="00E73F6F">
        <w:rPr>
          <w:sz w:val="24"/>
          <w:szCs w:val="24"/>
        </w:rPr>
        <w:t>teilt</w:t>
      </w:r>
      <w:r w:rsidRPr="00E73F6F">
        <w:rPr>
          <w:spacing w:val="-7"/>
          <w:sz w:val="24"/>
          <w:szCs w:val="24"/>
        </w:rPr>
        <w:t xml:space="preserve"> </w:t>
      </w:r>
      <w:r w:rsidRPr="00E73F6F">
        <w:rPr>
          <w:sz w:val="24"/>
          <w:szCs w:val="24"/>
        </w:rPr>
        <w:t>und</w:t>
      </w:r>
      <w:r w:rsidRPr="00E73F6F">
        <w:rPr>
          <w:spacing w:val="-7"/>
          <w:sz w:val="24"/>
          <w:szCs w:val="24"/>
        </w:rPr>
        <w:t xml:space="preserve"> </w:t>
      </w:r>
      <w:r w:rsidRPr="00E73F6F">
        <w:rPr>
          <w:sz w:val="24"/>
          <w:szCs w:val="24"/>
        </w:rPr>
        <w:t>der</w:t>
      </w:r>
      <w:r w:rsidRPr="00E73F6F">
        <w:rPr>
          <w:spacing w:val="-7"/>
          <w:sz w:val="24"/>
          <w:szCs w:val="24"/>
        </w:rPr>
        <w:t xml:space="preserve"> </w:t>
      </w:r>
      <w:r w:rsidRPr="00E73F6F">
        <w:rPr>
          <w:sz w:val="24"/>
          <w:szCs w:val="24"/>
        </w:rPr>
        <w:t>sie</w:t>
      </w:r>
      <w:r w:rsidRPr="00E73F6F">
        <w:rPr>
          <w:spacing w:val="-10"/>
          <w:sz w:val="24"/>
          <w:szCs w:val="24"/>
        </w:rPr>
        <w:t xml:space="preserve"> </w:t>
      </w:r>
      <w:r w:rsidRPr="00E73F6F">
        <w:rPr>
          <w:sz w:val="24"/>
          <w:szCs w:val="24"/>
        </w:rPr>
        <w:t>von</w:t>
      </w:r>
      <w:r w:rsidRPr="00E73F6F">
        <w:rPr>
          <w:spacing w:val="-8"/>
          <w:sz w:val="24"/>
          <w:szCs w:val="24"/>
        </w:rPr>
        <w:t xml:space="preserve"> </w:t>
      </w:r>
      <w:r w:rsidRPr="00E73F6F">
        <w:rPr>
          <w:sz w:val="24"/>
          <w:szCs w:val="24"/>
        </w:rPr>
        <w:t>Mitgliedern</w:t>
      </w:r>
      <w:r w:rsidRPr="00E73F6F">
        <w:rPr>
          <w:spacing w:val="-7"/>
          <w:sz w:val="24"/>
          <w:szCs w:val="24"/>
        </w:rPr>
        <w:t xml:space="preserve"> </w:t>
      </w:r>
      <w:r w:rsidRPr="00E73F6F">
        <w:rPr>
          <w:sz w:val="24"/>
          <w:szCs w:val="24"/>
        </w:rPr>
        <w:t>anderer</w:t>
      </w:r>
      <w:r w:rsidRPr="00E73F6F">
        <w:rPr>
          <w:spacing w:val="-7"/>
          <w:sz w:val="24"/>
          <w:szCs w:val="24"/>
        </w:rPr>
        <w:t xml:space="preserve"> </w:t>
      </w:r>
      <w:r w:rsidRPr="00E73F6F">
        <w:rPr>
          <w:sz w:val="24"/>
          <w:szCs w:val="24"/>
        </w:rPr>
        <w:t>Kulturen</w:t>
      </w:r>
      <w:r w:rsidRPr="00E73F6F">
        <w:rPr>
          <w:spacing w:val="-8"/>
          <w:sz w:val="24"/>
          <w:szCs w:val="24"/>
        </w:rPr>
        <w:t xml:space="preserve"> </w:t>
      </w:r>
      <w:r w:rsidRPr="00E73F6F">
        <w:rPr>
          <w:sz w:val="24"/>
          <w:szCs w:val="24"/>
        </w:rPr>
        <w:t>unterscheidet. Kulturspezifisch können auch Verhaltensweisen, Artefakte und Wahrnehmungsmuster sowie der Umgang mit und die Interpretation von Emotionen</w:t>
      </w:r>
      <w:r w:rsidRPr="00E73F6F">
        <w:rPr>
          <w:spacing w:val="-12"/>
          <w:sz w:val="24"/>
          <w:szCs w:val="24"/>
        </w:rPr>
        <w:t xml:space="preserve"> </w:t>
      </w:r>
      <w:r w:rsidRPr="00E73F6F">
        <w:rPr>
          <w:sz w:val="24"/>
          <w:szCs w:val="24"/>
        </w:rPr>
        <w:t>sein.</w:t>
      </w:r>
      <w:r w:rsidRPr="00E73F6F">
        <w:rPr>
          <w:spacing w:val="-11"/>
          <w:sz w:val="24"/>
          <w:szCs w:val="24"/>
        </w:rPr>
        <w:t xml:space="preserve"> </w:t>
      </w:r>
      <w:r w:rsidRPr="00E73F6F">
        <w:rPr>
          <w:sz w:val="24"/>
          <w:szCs w:val="24"/>
        </w:rPr>
        <w:t>Die</w:t>
      </w:r>
      <w:r w:rsidRPr="00E73F6F">
        <w:rPr>
          <w:spacing w:val="-11"/>
          <w:sz w:val="24"/>
          <w:szCs w:val="24"/>
        </w:rPr>
        <w:t xml:space="preserve"> </w:t>
      </w:r>
      <w:r w:rsidRPr="00E73F6F">
        <w:rPr>
          <w:sz w:val="24"/>
          <w:szCs w:val="24"/>
        </w:rPr>
        <w:t>so</w:t>
      </w:r>
      <w:r w:rsidRPr="00E73F6F">
        <w:rPr>
          <w:spacing w:val="-11"/>
          <w:sz w:val="24"/>
          <w:szCs w:val="24"/>
        </w:rPr>
        <w:t xml:space="preserve"> </w:t>
      </w:r>
      <w:r w:rsidRPr="00E73F6F">
        <w:rPr>
          <w:sz w:val="24"/>
          <w:szCs w:val="24"/>
        </w:rPr>
        <w:t>verstandene</w:t>
      </w:r>
      <w:r w:rsidRPr="00E73F6F">
        <w:rPr>
          <w:spacing w:val="-12"/>
          <w:sz w:val="24"/>
          <w:szCs w:val="24"/>
        </w:rPr>
        <w:t xml:space="preserve"> </w:t>
      </w:r>
      <w:r w:rsidRPr="00E73F6F">
        <w:rPr>
          <w:sz w:val="24"/>
          <w:szCs w:val="24"/>
        </w:rPr>
        <w:t>Kultur</w:t>
      </w:r>
      <w:r w:rsidRPr="00E73F6F">
        <w:rPr>
          <w:spacing w:val="-11"/>
          <w:sz w:val="24"/>
          <w:szCs w:val="24"/>
        </w:rPr>
        <w:t xml:space="preserve"> </w:t>
      </w:r>
      <w:r w:rsidRPr="00E73F6F">
        <w:rPr>
          <w:sz w:val="24"/>
          <w:szCs w:val="24"/>
        </w:rPr>
        <w:t>beeinflusst</w:t>
      </w:r>
      <w:r w:rsidRPr="00E73F6F">
        <w:rPr>
          <w:spacing w:val="-11"/>
          <w:sz w:val="24"/>
          <w:szCs w:val="24"/>
        </w:rPr>
        <w:t xml:space="preserve"> </w:t>
      </w:r>
      <w:r w:rsidRPr="00E73F6F">
        <w:rPr>
          <w:sz w:val="24"/>
          <w:szCs w:val="24"/>
        </w:rPr>
        <w:t>das</w:t>
      </w:r>
      <w:r w:rsidRPr="00E73F6F">
        <w:rPr>
          <w:spacing w:val="-11"/>
          <w:sz w:val="24"/>
          <w:szCs w:val="24"/>
        </w:rPr>
        <w:t xml:space="preserve"> </w:t>
      </w:r>
      <w:r w:rsidRPr="00E73F6F">
        <w:rPr>
          <w:sz w:val="24"/>
          <w:szCs w:val="24"/>
        </w:rPr>
        <w:t>Verhalten</w:t>
      </w:r>
      <w:r w:rsidRPr="00E73F6F">
        <w:rPr>
          <w:spacing w:val="-12"/>
          <w:sz w:val="24"/>
          <w:szCs w:val="24"/>
        </w:rPr>
        <w:t xml:space="preserve"> </w:t>
      </w:r>
      <w:r w:rsidRPr="00E73F6F">
        <w:rPr>
          <w:sz w:val="24"/>
          <w:szCs w:val="24"/>
        </w:rPr>
        <w:t>einzelner</w:t>
      </w:r>
      <w:r w:rsidRPr="00E73F6F">
        <w:rPr>
          <w:spacing w:val="-11"/>
          <w:sz w:val="24"/>
          <w:szCs w:val="24"/>
        </w:rPr>
        <w:t xml:space="preserve"> </w:t>
      </w:r>
      <w:r w:rsidRPr="00E73F6F">
        <w:rPr>
          <w:sz w:val="24"/>
          <w:szCs w:val="24"/>
        </w:rPr>
        <w:t>und bietet einer Gesellschaft, indem sie eine gemeinsame soziale Realität konstruiert, Identität</w:t>
      </w:r>
      <w:r w:rsidRPr="00E73F6F">
        <w:rPr>
          <w:spacing w:val="35"/>
          <w:sz w:val="24"/>
          <w:szCs w:val="24"/>
        </w:rPr>
        <w:t xml:space="preserve"> </w:t>
      </w:r>
      <w:r w:rsidRPr="00E73F6F">
        <w:rPr>
          <w:sz w:val="24"/>
          <w:szCs w:val="24"/>
        </w:rPr>
        <w:t>und</w:t>
      </w:r>
      <w:r w:rsidRPr="00E73F6F">
        <w:rPr>
          <w:spacing w:val="36"/>
          <w:sz w:val="24"/>
          <w:szCs w:val="24"/>
        </w:rPr>
        <w:t xml:space="preserve"> </w:t>
      </w:r>
      <w:r w:rsidRPr="00E73F6F">
        <w:rPr>
          <w:sz w:val="24"/>
          <w:szCs w:val="24"/>
        </w:rPr>
        <w:t>damit</w:t>
      </w:r>
      <w:r w:rsidRPr="00E73F6F">
        <w:rPr>
          <w:spacing w:val="37"/>
          <w:sz w:val="24"/>
          <w:szCs w:val="24"/>
        </w:rPr>
        <w:t xml:space="preserve"> </w:t>
      </w:r>
      <w:r w:rsidRPr="00E73F6F">
        <w:rPr>
          <w:sz w:val="24"/>
          <w:szCs w:val="24"/>
        </w:rPr>
        <w:t>Zusammenhalt.</w:t>
      </w:r>
      <w:r w:rsidRPr="00E73F6F">
        <w:rPr>
          <w:spacing w:val="37"/>
          <w:sz w:val="24"/>
          <w:szCs w:val="24"/>
        </w:rPr>
        <w:t xml:space="preserve"> </w:t>
      </w:r>
      <w:r w:rsidRPr="00E73F6F">
        <w:rPr>
          <w:sz w:val="24"/>
          <w:szCs w:val="24"/>
        </w:rPr>
        <w:t>Das</w:t>
      </w:r>
      <w:r w:rsidRPr="00E73F6F">
        <w:rPr>
          <w:spacing w:val="37"/>
          <w:sz w:val="24"/>
          <w:szCs w:val="24"/>
        </w:rPr>
        <w:t xml:space="preserve"> </w:t>
      </w:r>
      <w:r w:rsidRPr="00E73F6F">
        <w:rPr>
          <w:sz w:val="24"/>
          <w:szCs w:val="24"/>
        </w:rPr>
        <w:t>metaphorische</w:t>
      </w:r>
      <w:r w:rsidRPr="00E73F6F">
        <w:rPr>
          <w:spacing w:val="36"/>
          <w:sz w:val="24"/>
          <w:szCs w:val="24"/>
        </w:rPr>
        <w:t xml:space="preserve"> </w:t>
      </w:r>
      <w:r w:rsidRPr="00E73F6F">
        <w:rPr>
          <w:sz w:val="24"/>
          <w:szCs w:val="24"/>
        </w:rPr>
        <w:t>Sprachbild</w:t>
      </w:r>
      <w:r w:rsidRPr="00E73F6F">
        <w:rPr>
          <w:spacing w:val="36"/>
          <w:sz w:val="24"/>
          <w:szCs w:val="24"/>
        </w:rPr>
        <w:t xml:space="preserve"> </w:t>
      </w:r>
      <w:r w:rsidRPr="00E73F6F">
        <w:rPr>
          <w:spacing w:val="-5"/>
          <w:sz w:val="24"/>
          <w:szCs w:val="24"/>
        </w:rPr>
        <w:t xml:space="preserve">des </w:t>
      </w:r>
      <w:r w:rsidRPr="00E73F6F">
        <w:rPr>
          <w:sz w:val="24"/>
          <w:szCs w:val="24"/>
        </w:rPr>
        <w:t>„Kultureisbergs“ bringt zum Ausdruck, dass nur ein Teil dessen, was eine Kultur ausmacht, für Außenstehende sichtbar ist (vgl. Abb. 1).</w:t>
      </w:r>
    </w:p>
    <w:p w14:paraId="644177BA" w14:textId="77777777" w:rsidR="00FF7799" w:rsidRPr="00E73F6F" w:rsidRDefault="00FF7799" w:rsidP="00862DBA">
      <w:pPr>
        <w:rPr>
          <w:sz w:val="24"/>
          <w:szCs w:val="24"/>
        </w:rPr>
      </w:pPr>
    </w:p>
    <w:p w14:paraId="3E9B0053" w14:textId="77777777" w:rsidR="00FF7799" w:rsidRPr="00C76DC3" w:rsidRDefault="00FF7799" w:rsidP="00DA5C32">
      <w:pPr>
        <w:pStyle w:val="BeschriftungTab"/>
        <w:rPr>
          <w:i/>
          <w:iCs/>
        </w:rPr>
      </w:pPr>
      <w:r w:rsidRPr="00C76DC3">
        <w:rPr>
          <w:i/>
          <w:iCs/>
        </w:rPr>
        <w:t>Abb.</w:t>
      </w:r>
      <w:r w:rsidRPr="00C76DC3">
        <w:rPr>
          <w:i/>
          <w:iCs/>
          <w:spacing w:val="-3"/>
        </w:rPr>
        <w:t xml:space="preserve"> </w:t>
      </w:r>
      <w:r w:rsidRPr="00C76DC3">
        <w:rPr>
          <w:i/>
          <w:iCs/>
        </w:rPr>
        <w:t>1:</w:t>
      </w:r>
      <w:r w:rsidRPr="00C76DC3">
        <w:rPr>
          <w:i/>
          <w:iCs/>
          <w:spacing w:val="2"/>
        </w:rPr>
        <w:t xml:space="preserve"> </w:t>
      </w:r>
      <w:r w:rsidRPr="00C76DC3">
        <w:rPr>
          <w:i/>
          <w:iCs/>
        </w:rPr>
        <w:t>Kultureisberg</w:t>
      </w:r>
    </w:p>
    <w:p w14:paraId="5B683D41" w14:textId="77777777" w:rsidR="00FF7799" w:rsidRPr="00E73F6F" w:rsidRDefault="00FF7799" w:rsidP="00862DBA">
      <w:pPr>
        <w:rPr>
          <w:sz w:val="24"/>
          <w:szCs w:val="24"/>
        </w:rPr>
      </w:pPr>
    </w:p>
    <w:p w14:paraId="4902BCEE" w14:textId="77777777" w:rsidR="009B3FEE" w:rsidRDefault="009B3FEE" w:rsidP="00DF5332">
      <w:pPr>
        <w:pStyle w:val="Quellen"/>
      </w:pPr>
      <w:r>
        <w:rPr>
          <w:noProof/>
        </w:rPr>
        <w:lastRenderedPageBreak/>
        <w:drawing>
          <wp:inline distT="0" distB="0" distL="0" distR="0" wp14:anchorId="325F5333" wp14:editId="0E078CF1">
            <wp:extent cx="5721719" cy="46101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5733060" cy="4619237"/>
                    </a:xfrm>
                    <a:prstGeom prst="rect">
                      <a:avLst/>
                    </a:prstGeom>
                    <a:noFill/>
                  </pic:spPr>
                </pic:pic>
              </a:graphicData>
            </a:graphic>
          </wp:inline>
        </w:drawing>
      </w:r>
    </w:p>
    <w:p w14:paraId="0916D9E5" w14:textId="77777777" w:rsidR="00FF7799" w:rsidRPr="00E73F6F" w:rsidRDefault="00FF7799" w:rsidP="00DF5332">
      <w:pPr>
        <w:pStyle w:val="Quellen"/>
      </w:pPr>
      <w:r w:rsidRPr="00E73F6F">
        <w:t>Quelle:</w:t>
      </w:r>
      <w:r w:rsidRPr="00E73F6F">
        <w:rPr>
          <w:spacing w:val="-6"/>
        </w:rPr>
        <w:t xml:space="preserve"> </w:t>
      </w:r>
      <w:r w:rsidRPr="00E73F6F">
        <w:t>Sackman</w:t>
      </w:r>
      <w:r w:rsidRPr="00E73F6F">
        <w:rPr>
          <w:spacing w:val="-5"/>
        </w:rPr>
        <w:t xml:space="preserve"> </w:t>
      </w:r>
      <w:r w:rsidRPr="00E73F6F">
        <w:rPr>
          <w:spacing w:val="-2"/>
        </w:rPr>
        <w:t>(2002).</w:t>
      </w:r>
    </w:p>
    <w:p w14:paraId="4CB1DB17" w14:textId="77777777" w:rsidR="00FF7799" w:rsidRPr="00E73F6F" w:rsidRDefault="00FF7799" w:rsidP="00862DBA">
      <w:pPr>
        <w:rPr>
          <w:sz w:val="24"/>
          <w:szCs w:val="24"/>
        </w:rPr>
      </w:pPr>
    </w:p>
    <w:p w14:paraId="5E2EE456" w14:textId="77777777" w:rsidR="00FF7799" w:rsidRPr="00E73F6F" w:rsidRDefault="00FF7799" w:rsidP="007F412A">
      <w:pPr>
        <w:pStyle w:val="StandardText"/>
      </w:pPr>
      <w:r w:rsidRPr="00E73F6F">
        <w:t>Bereits sehr frühzeitig haben Kroeber/Kluckhohn (1952) bei einer Analyse der einschlägigen englischsprachigen Literatur 64 Definitionen von „Kultur“ erfasst. Diese lassen sich einteilen in:</w:t>
      </w:r>
    </w:p>
    <w:p w14:paraId="47FA8F0F" w14:textId="77777777" w:rsidR="00FF7799" w:rsidRPr="00E73F6F" w:rsidRDefault="00FF7799" w:rsidP="00090A54">
      <w:pPr>
        <w:pStyle w:val="StandardTextAufzhlung"/>
        <w:ind w:left="426"/>
      </w:pPr>
      <w:r w:rsidRPr="00E73F6F">
        <w:t>deskriptive</w:t>
      </w:r>
      <w:r w:rsidRPr="00E73F6F">
        <w:rPr>
          <w:spacing w:val="-1"/>
        </w:rPr>
        <w:t xml:space="preserve"> </w:t>
      </w:r>
      <w:r w:rsidRPr="00E73F6F">
        <w:rPr>
          <w:spacing w:val="-2"/>
        </w:rPr>
        <w:t>Definitionen</w:t>
      </w:r>
    </w:p>
    <w:p w14:paraId="724F07CA" w14:textId="77777777" w:rsidR="00FF7799" w:rsidRPr="00E73F6F" w:rsidRDefault="00FF7799" w:rsidP="00090A54">
      <w:pPr>
        <w:pStyle w:val="StandardTextAufzhlung"/>
        <w:ind w:left="426"/>
      </w:pPr>
      <w:r w:rsidRPr="00E73F6F">
        <w:t>historische</w:t>
      </w:r>
      <w:r w:rsidRPr="00E73F6F">
        <w:rPr>
          <w:spacing w:val="1"/>
        </w:rPr>
        <w:t xml:space="preserve"> </w:t>
      </w:r>
      <w:r w:rsidRPr="00E73F6F">
        <w:rPr>
          <w:spacing w:val="-2"/>
        </w:rPr>
        <w:t>Konzepte</w:t>
      </w:r>
    </w:p>
    <w:p w14:paraId="5CEACC50" w14:textId="77777777" w:rsidR="00FF7799" w:rsidRPr="00E73F6F" w:rsidRDefault="00FF7799" w:rsidP="00090A54">
      <w:pPr>
        <w:pStyle w:val="StandardTextAufzhlung"/>
        <w:ind w:left="426"/>
      </w:pPr>
      <w:r w:rsidRPr="00E73F6F">
        <w:t xml:space="preserve">normative </w:t>
      </w:r>
      <w:r w:rsidRPr="00E73F6F">
        <w:rPr>
          <w:spacing w:val="-2"/>
        </w:rPr>
        <w:t>Konzeptionen</w:t>
      </w:r>
    </w:p>
    <w:p w14:paraId="36AD03B0" w14:textId="77777777" w:rsidR="00FF7799" w:rsidRPr="00E73F6F" w:rsidRDefault="00FF7799" w:rsidP="00090A54">
      <w:pPr>
        <w:pStyle w:val="StandardTextAufzhlung"/>
        <w:ind w:left="426"/>
      </w:pPr>
      <w:r w:rsidRPr="00E73F6F">
        <w:t>psychologische</w:t>
      </w:r>
      <w:r w:rsidRPr="00E73F6F">
        <w:rPr>
          <w:spacing w:val="-2"/>
        </w:rPr>
        <w:t xml:space="preserve"> Ansätze</w:t>
      </w:r>
    </w:p>
    <w:p w14:paraId="26733C9F" w14:textId="77777777" w:rsidR="00FF7799" w:rsidRPr="00E73F6F" w:rsidRDefault="00FF7799" w:rsidP="00090A54">
      <w:pPr>
        <w:pStyle w:val="StandardTextAufzhlung"/>
        <w:ind w:left="426"/>
      </w:pPr>
      <w:r w:rsidRPr="00E73F6F">
        <w:t>strukturalistische</w:t>
      </w:r>
      <w:r w:rsidRPr="00E73F6F">
        <w:rPr>
          <w:spacing w:val="-1"/>
        </w:rPr>
        <w:t xml:space="preserve"> </w:t>
      </w:r>
      <w:r w:rsidRPr="00E73F6F">
        <w:rPr>
          <w:spacing w:val="-2"/>
        </w:rPr>
        <w:t>Definitionen</w:t>
      </w:r>
    </w:p>
    <w:p w14:paraId="2DE976C1" w14:textId="77777777" w:rsidR="00FF7799" w:rsidRPr="00090A54" w:rsidRDefault="00FF7799" w:rsidP="00090A54">
      <w:pPr>
        <w:pStyle w:val="StandardTextAufzhlung"/>
        <w:ind w:left="426"/>
      </w:pPr>
      <w:r w:rsidRPr="00E73F6F">
        <w:t>genetische</w:t>
      </w:r>
      <w:r w:rsidRPr="00E73F6F">
        <w:rPr>
          <w:spacing w:val="-2"/>
        </w:rPr>
        <w:t xml:space="preserve"> Betrachtungsweisen.</w:t>
      </w:r>
    </w:p>
    <w:p w14:paraId="3710BB2D" w14:textId="77777777" w:rsidR="00090A54" w:rsidRPr="00E73F6F" w:rsidRDefault="00090A54" w:rsidP="00090A54">
      <w:pPr>
        <w:pStyle w:val="StandardTextAufzhlung"/>
        <w:numPr>
          <w:ilvl w:val="0"/>
          <w:numId w:val="0"/>
        </w:numPr>
        <w:ind w:left="426"/>
      </w:pPr>
    </w:p>
    <w:p w14:paraId="707D9F87" w14:textId="77777777" w:rsidR="00FF7799" w:rsidRPr="00E73F6F" w:rsidRDefault="00FF7799" w:rsidP="007F412A">
      <w:pPr>
        <w:pStyle w:val="StandardText"/>
      </w:pPr>
      <w:r w:rsidRPr="00E73F6F">
        <w:t>Kluckhohn/Kelly (1972) reduzierten später diese Differenzierung auf den in den Kulturwissenschaften</w:t>
      </w:r>
      <w:r w:rsidRPr="00E73F6F">
        <w:rPr>
          <w:spacing w:val="-3"/>
        </w:rPr>
        <w:t xml:space="preserve"> </w:t>
      </w:r>
      <w:r w:rsidRPr="00E73F6F">
        <w:t>weit</w:t>
      </w:r>
      <w:r w:rsidRPr="00E73F6F">
        <w:rPr>
          <w:spacing w:val="-6"/>
        </w:rPr>
        <w:t xml:space="preserve"> </w:t>
      </w:r>
      <w:r w:rsidRPr="00E73F6F">
        <w:t>verbreiteten</w:t>
      </w:r>
      <w:r w:rsidRPr="00E73F6F">
        <w:rPr>
          <w:spacing w:val="-3"/>
        </w:rPr>
        <w:t xml:space="preserve"> </w:t>
      </w:r>
      <w:r w:rsidRPr="00E73F6F">
        <w:t>Dualismus,</w:t>
      </w:r>
      <w:r w:rsidRPr="00E73F6F">
        <w:rPr>
          <w:spacing w:val="-4"/>
        </w:rPr>
        <w:t xml:space="preserve"> </w:t>
      </w:r>
      <w:r w:rsidRPr="00E73F6F">
        <w:t>indem</w:t>
      </w:r>
      <w:r w:rsidRPr="00E73F6F">
        <w:rPr>
          <w:spacing w:val="-5"/>
        </w:rPr>
        <w:t xml:space="preserve"> </w:t>
      </w:r>
      <w:r w:rsidRPr="00E73F6F">
        <w:t>sie</w:t>
      </w:r>
      <w:r w:rsidRPr="00E73F6F">
        <w:rPr>
          <w:spacing w:val="-5"/>
        </w:rPr>
        <w:t xml:space="preserve"> </w:t>
      </w:r>
      <w:r w:rsidRPr="00E73F6F">
        <w:t>zwischen</w:t>
      </w:r>
      <w:r w:rsidRPr="00E73F6F">
        <w:rPr>
          <w:spacing w:val="-3"/>
        </w:rPr>
        <w:t xml:space="preserve"> </w:t>
      </w:r>
      <w:r w:rsidRPr="00E73F6F">
        <w:t>Kultur</w:t>
      </w:r>
      <w:r w:rsidRPr="00E73F6F">
        <w:rPr>
          <w:spacing w:val="-4"/>
        </w:rPr>
        <w:t xml:space="preserve"> </w:t>
      </w:r>
      <w:r w:rsidRPr="00E73F6F">
        <w:t>als deskriptivem Konstrukt und Kultur als explikativem Konstrukt unterschieden. Wenn weiterhin Bidney (1968) realistische von idealistischen Konzeptionen und Osgood (1951), Perzeptas von Conzeptas abgrenzen, so handelt es sich um Varianten des kulturwissenschaftlichen Dualismus:</w:t>
      </w:r>
    </w:p>
    <w:p w14:paraId="1E5E00F2" w14:textId="77777777" w:rsidR="00FF7799" w:rsidRPr="00E73F6F" w:rsidRDefault="00FF7799" w:rsidP="00090A54">
      <w:pPr>
        <w:pStyle w:val="StandardTextAufzhlung"/>
        <w:ind w:left="426"/>
      </w:pPr>
      <w:r w:rsidRPr="00E73F6F">
        <w:t>Kultur als integrativer Bestandteil eines sozial-kulturellen Systems (erkennbar</w:t>
      </w:r>
      <w:r w:rsidRPr="00E73F6F">
        <w:rPr>
          <w:spacing w:val="-6"/>
        </w:rPr>
        <w:t xml:space="preserve"> </w:t>
      </w:r>
      <w:r w:rsidRPr="00E73F6F">
        <w:t>an</w:t>
      </w:r>
      <w:r w:rsidRPr="00E73F6F">
        <w:rPr>
          <w:spacing w:val="-5"/>
        </w:rPr>
        <w:t xml:space="preserve"> </w:t>
      </w:r>
      <w:r w:rsidRPr="00E73F6F">
        <w:t>kulturspezifischen</w:t>
      </w:r>
      <w:r w:rsidRPr="00E73F6F">
        <w:rPr>
          <w:spacing w:val="-7"/>
        </w:rPr>
        <w:t xml:space="preserve"> </w:t>
      </w:r>
      <w:r w:rsidRPr="00E73F6F">
        <w:t>Verhaltensweisen</w:t>
      </w:r>
      <w:r w:rsidRPr="00E73F6F">
        <w:rPr>
          <w:spacing w:val="-5"/>
        </w:rPr>
        <w:t xml:space="preserve"> </w:t>
      </w:r>
      <w:r w:rsidRPr="00E73F6F">
        <w:t>und</w:t>
      </w:r>
      <w:r w:rsidRPr="00E73F6F">
        <w:rPr>
          <w:spacing w:val="-5"/>
        </w:rPr>
        <w:t xml:space="preserve"> </w:t>
      </w:r>
      <w:r w:rsidRPr="00E73F6F">
        <w:t>Artefakten)</w:t>
      </w:r>
      <w:r w:rsidRPr="00E73F6F">
        <w:rPr>
          <w:spacing w:val="-6"/>
        </w:rPr>
        <w:t xml:space="preserve"> </w:t>
      </w:r>
      <w:r w:rsidRPr="00E73F6F">
        <w:t>vs.</w:t>
      </w:r>
    </w:p>
    <w:p w14:paraId="175703FB" w14:textId="77777777" w:rsidR="00FF7799" w:rsidRPr="00E73F6F" w:rsidRDefault="00FF7799" w:rsidP="00090A54">
      <w:pPr>
        <w:pStyle w:val="StandardTextAufzhlung"/>
        <w:ind w:left="426"/>
      </w:pPr>
      <w:r w:rsidRPr="00E73F6F">
        <w:t>Kultur als Ideensystem (= Summe der Vorstellungen über Menschengruppen</w:t>
      </w:r>
      <w:r w:rsidRPr="00E73F6F">
        <w:rPr>
          <w:spacing w:val="-5"/>
        </w:rPr>
        <w:t xml:space="preserve"> </w:t>
      </w:r>
      <w:r w:rsidRPr="00E73F6F">
        <w:t>und</w:t>
      </w:r>
      <w:r w:rsidRPr="00E73F6F">
        <w:rPr>
          <w:spacing w:val="-4"/>
        </w:rPr>
        <w:t xml:space="preserve"> </w:t>
      </w:r>
      <w:r w:rsidRPr="00E73F6F">
        <w:t>deren</w:t>
      </w:r>
      <w:r w:rsidRPr="00E73F6F">
        <w:rPr>
          <w:spacing w:val="-5"/>
        </w:rPr>
        <w:t xml:space="preserve"> </w:t>
      </w:r>
      <w:r w:rsidRPr="00E73F6F">
        <w:t>Beziehungen</w:t>
      </w:r>
      <w:r w:rsidRPr="00E73F6F">
        <w:rPr>
          <w:spacing w:val="-4"/>
        </w:rPr>
        <w:t xml:space="preserve"> </w:t>
      </w:r>
      <w:r w:rsidRPr="00E73F6F">
        <w:t>in</w:t>
      </w:r>
      <w:r w:rsidRPr="00E73F6F">
        <w:rPr>
          <w:spacing w:val="-2"/>
        </w:rPr>
        <w:t xml:space="preserve"> </w:t>
      </w:r>
      <w:r w:rsidRPr="00E73F6F">
        <w:t>den</w:t>
      </w:r>
      <w:r w:rsidRPr="00E73F6F">
        <w:rPr>
          <w:spacing w:val="-4"/>
        </w:rPr>
        <w:t xml:space="preserve"> </w:t>
      </w:r>
      <w:r w:rsidRPr="00E73F6F">
        <w:t>Köpfen</w:t>
      </w:r>
      <w:r w:rsidRPr="00E73F6F">
        <w:rPr>
          <w:spacing w:val="-5"/>
        </w:rPr>
        <w:t xml:space="preserve"> </w:t>
      </w:r>
      <w:r w:rsidRPr="00E73F6F">
        <w:t>der</w:t>
      </w:r>
      <w:r w:rsidRPr="00E73F6F">
        <w:rPr>
          <w:spacing w:val="-5"/>
        </w:rPr>
        <w:t xml:space="preserve"> </w:t>
      </w:r>
      <w:r w:rsidRPr="00E73F6F">
        <w:t>Beteiligten; vgl. Keesing 1974).</w:t>
      </w:r>
    </w:p>
    <w:p w14:paraId="00407347" w14:textId="77777777" w:rsidR="00FF7799" w:rsidRPr="00E73F6F" w:rsidRDefault="00FF7799" w:rsidP="007F412A">
      <w:pPr>
        <w:pStyle w:val="StandardText"/>
      </w:pPr>
      <w:r w:rsidRPr="00E73F6F">
        <w:lastRenderedPageBreak/>
        <w:t>Allaire/Firsirotu (1984) haben versucht, die Vielfalt der Definitionen des Konstrukts Kultur zu strukturieren und den damals virulenten Dissens zwischen Anthropologen und Soziologen zu überwinden, indem sie „Kultur als ein Ideensystem“ (= anthropologischer Ansatz) von „Kultur als Komponente eines Sozialsystems“ (= soziologischer Ansatz) abgrenzten (vgl. Abb. 2).</w:t>
      </w:r>
    </w:p>
    <w:p w14:paraId="43931C05" w14:textId="77777777" w:rsidR="00FF7799" w:rsidRPr="00E73F6F" w:rsidRDefault="00FF7799" w:rsidP="007F412A">
      <w:pPr>
        <w:pStyle w:val="StandardText"/>
      </w:pPr>
    </w:p>
    <w:p w14:paraId="7DA6D29E" w14:textId="77777777" w:rsidR="00FF7799" w:rsidRPr="00C76DC3" w:rsidRDefault="00FF7799" w:rsidP="0041141A">
      <w:pPr>
        <w:pStyle w:val="BeschriftungTab"/>
        <w:rPr>
          <w:i/>
          <w:iCs/>
          <w:spacing w:val="-2"/>
        </w:rPr>
      </w:pPr>
      <w:r w:rsidRPr="00C76DC3">
        <w:rPr>
          <w:i/>
          <w:iCs/>
        </w:rPr>
        <w:t>Abb.</w:t>
      </w:r>
      <w:r w:rsidRPr="00C76DC3">
        <w:rPr>
          <w:i/>
          <w:iCs/>
          <w:spacing w:val="-2"/>
        </w:rPr>
        <w:t xml:space="preserve"> </w:t>
      </w:r>
      <w:r w:rsidRPr="00C76DC3">
        <w:rPr>
          <w:i/>
          <w:iCs/>
        </w:rPr>
        <w:t>2:</w:t>
      </w:r>
      <w:r w:rsidRPr="00C76DC3">
        <w:rPr>
          <w:i/>
          <w:iCs/>
          <w:spacing w:val="-2"/>
        </w:rPr>
        <w:t xml:space="preserve"> </w:t>
      </w:r>
      <w:r w:rsidRPr="00C76DC3">
        <w:rPr>
          <w:i/>
          <w:iCs/>
        </w:rPr>
        <w:t>Typologie der</w:t>
      </w:r>
      <w:r w:rsidRPr="00C76DC3">
        <w:rPr>
          <w:i/>
          <w:iCs/>
          <w:spacing w:val="1"/>
        </w:rPr>
        <w:t xml:space="preserve"> </w:t>
      </w:r>
      <w:r w:rsidRPr="00C76DC3">
        <w:rPr>
          <w:i/>
          <w:iCs/>
          <w:spacing w:val="-2"/>
        </w:rPr>
        <w:t xml:space="preserve">Kulturkonzepte </w:t>
      </w:r>
    </w:p>
    <w:p w14:paraId="03EAE7B8" w14:textId="77777777" w:rsidR="00B87BB8" w:rsidRPr="00E73F6F" w:rsidRDefault="008970E4" w:rsidP="0041141A">
      <w:pPr>
        <w:pStyle w:val="BeschriftungTab"/>
      </w:pPr>
      <w:r>
        <w:rPr>
          <w:noProof/>
        </w:rPr>
        <w:drawing>
          <wp:inline distT="0" distB="0" distL="0" distR="0" wp14:anchorId="52B6C2FB" wp14:editId="4862F152">
            <wp:extent cx="5633390" cy="3467100"/>
            <wp:effectExtent l="0" t="0" r="5715" b="0"/>
            <wp:docPr id="1590" name="Grafik 1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5638422" cy="3470197"/>
                    </a:xfrm>
                    <a:prstGeom prst="rect">
                      <a:avLst/>
                    </a:prstGeom>
                    <a:noFill/>
                  </pic:spPr>
                </pic:pic>
              </a:graphicData>
            </a:graphic>
          </wp:inline>
        </w:drawing>
      </w:r>
    </w:p>
    <w:p w14:paraId="4DB6D5D6" w14:textId="77777777" w:rsidR="00FF7799" w:rsidRPr="00E73F6F" w:rsidRDefault="00FF7799" w:rsidP="003D58DC">
      <w:pPr>
        <w:pStyle w:val="Quellen"/>
      </w:pPr>
      <w:r w:rsidRPr="00E73F6F">
        <w:rPr>
          <w:spacing w:val="-2"/>
        </w:rPr>
        <w:t>Quelle:</w:t>
      </w:r>
      <w:r w:rsidRPr="00E73F6F">
        <w:tab/>
        <w:t>Allaire/Firsiotu</w:t>
      </w:r>
      <w:r w:rsidRPr="00E73F6F">
        <w:rPr>
          <w:spacing w:val="-5"/>
        </w:rPr>
        <w:t xml:space="preserve"> </w:t>
      </w:r>
      <w:r w:rsidRPr="00E73F6F">
        <w:t>(1984);</w:t>
      </w:r>
      <w:r w:rsidRPr="00E73F6F">
        <w:rPr>
          <w:spacing w:val="-1"/>
        </w:rPr>
        <w:t xml:space="preserve"> </w:t>
      </w:r>
      <w:r w:rsidRPr="00E73F6F">
        <w:t>entnommen</w:t>
      </w:r>
      <w:r w:rsidRPr="00E73F6F">
        <w:rPr>
          <w:spacing w:val="-3"/>
        </w:rPr>
        <w:t xml:space="preserve"> </w:t>
      </w:r>
      <w:r w:rsidRPr="00E73F6F">
        <w:t>Meissner</w:t>
      </w:r>
      <w:r w:rsidRPr="00E73F6F">
        <w:rPr>
          <w:spacing w:val="-2"/>
        </w:rPr>
        <w:t xml:space="preserve"> </w:t>
      </w:r>
      <w:r w:rsidRPr="00E73F6F">
        <w:t>(1997,</w:t>
      </w:r>
      <w:r w:rsidRPr="00E73F6F">
        <w:rPr>
          <w:spacing w:val="2"/>
        </w:rPr>
        <w:t xml:space="preserve"> </w:t>
      </w:r>
      <w:r w:rsidRPr="00E73F6F">
        <w:rPr>
          <w:spacing w:val="-4"/>
        </w:rPr>
        <w:t>S.3).</w:t>
      </w:r>
    </w:p>
    <w:p w14:paraId="7A366082" w14:textId="77777777" w:rsidR="00FF7799" w:rsidRPr="00E73F6F" w:rsidRDefault="00FF7799" w:rsidP="00862DBA">
      <w:pPr>
        <w:rPr>
          <w:sz w:val="24"/>
          <w:szCs w:val="24"/>
        </w:rPr>
      </w:pPr>
    </w:p>
    <w:p w14:paraId="13215F67" w14:textId="77777777" w:rsidR="00FF7799" w:rsidRPr="00E73F6F" w:rsidRDefault="00FF7799" w:rsidP="003D58DC">
      <w:pPr>
        <w:pStyle w:val="StandardText"/>
        <w:rPr>
          <w:spacing w:val="-2"/>
        </w:rPr>
      </w:pPr>
      <w:r w:rsidRPr="00E73F6F">
        <w:t>Abb.</w:t>
      </w:r>
      <w:r w:rsidRPr="00E73F6F">
        <w:rPr>
          <w:spacing w:val="80"/>
          <w:w w:val="150"/>
        </w:rPr>
        <w:t xml:space="preserve"> </w:t>
      </w:r>
      <w:r w:rsidRPr="00E73F6F">
        <w:t xml:space="preserve">3 </w:t>
      </w:r>
      <w:r w:rsidRPr="00E73F6F">
        <w:rPr>
          <w:spacing w:val="-4"/>
        </w:rPr>
        <w:t>gibt einen</w:t>
      </w:r>
      <w:r w:rsidRPr="00E73F6F">
        <w:t xml:space="preserve"> </w:t>
      </w:r>
      <w:r w:rsidRPr="00E73F6F">
        <w:rPr>
          <w:spacing w:val="-2"/>
        </w:rPr>
        <w:t>Überblick</w:t>
      </w:r>
      <w:r w:rsidRPr="00E73F6F">
        <w:t xml:space="preserve"> über</w:t>
      </w:r>
      <w:r w:rsidRPr="00E73F6F">
        <w:rPr>
          <w:spacing w:val="80"/>
          <w:w w:val="150"/>
        </w:rPr>
        <w:t xml:space="preserve"> </w:t>
      </w:r>
      <w:r w:rsidRPr="00E73F6F">
        <w:t xml:space="preserve">die </w:t>
      </w:r>
      <w:r w:rsidRPr="00E73F6F">
        <w:rPr>
          <w:spacing w:val="-2"/>
        </w:rPr>
        <w:t xml:space="preserve">wichtigsten Vertreter </w:t>
      </w:r>
      <w:r w:rsidRPr="00E73F6F">
        <w:rPr>
          <w:spacing w:val="-4"/>
        </w:rPr>
        <w:t xml:space="preserve">der </w:t>
      </w:r>
      <w:r w:rsidRPr="00E73F6F">
        <w:t>dimensionsanalytischen</w:t>
      </w:r>
      <w:r w:rsidRPr="00E73F6F">
        <w:rPr>
          <w:spacing w:val="-14"/>
        </w:rPr>
        <w:t xml:space="preserve"> </w:t>
      </w:r>
      <w:r w:rsidRPr="00E73F6F">
        <w:t>kulturvergleichenden</w:t>
      </w:r>
      <w:r w:rsidRPr="00E73F6F">
        <w:rPr>
          <w:spacing w:val="-10"/>
        </w:rPr>
        <w:t xml:space="preserve"> </w:t>
      </w:r>
      <w:r w:rsidRPr="00E73F6F">
        <w:t>Forschung</w:t>
      </w:r>
      <w:r w:rsidRPr="00E73F6F">
        <w:rPr>
          <w:spacing w:val="-11"/>
        </w:rPr>
        <w:t xml:space="preserve"> </w:t>
      </w:r>
      <w:r w:rsidR="00B87BB8">
        <w:t>(</w:t>
      </w:r>
      <w:r w:rsidR="00B87BB8">
        <w:sym w:font="Symbol" w:char="F0DE"/>
      </w:r>
      <w:r w:rsidR="007F2875">
        <w:t xml:space="preserve"> </w:t>
      </w:r>
      <w:r w:rsidRPr="00E73F6F">
        <w:rPr>
          <w:spacing w:val="-2"/>
        </w:rPr>
        <w:t>Kulturdimensionen).</w:t>
      </w:r>
    </w:p>
    <w:p w14:paraId="0255B5C8" w14:textId="77777777" w:rsidR="00FF7799" w:rsidRPr="00E73F6F" w:rsidRDefault="00FF7799" w:rsidP="003D58DC">
      <w:pPr>
        <w:pStyle w:val="StandardText"/>
      </w:pPr>
    </w:p>
    <w:p w14:paraId="2D2B7873" w14:textId="77777777" w:rsidR="00FF7799" w:rsidRPr="00C76DC3" w:rsidRDefault="00FF7799" w:rsidP="003D58DC">
      <w:pPr>
        <w:pStyle w:val="BeschriftungTab"/>
        <w:rPr>
          <w:i/>
          <w:iCs/>
        </w:rPr>
      </w:pPr>
      <w:r w:rsidRPr="00C76DC3">
        <w:rPr>
          <w:i/>
          <w:iCs/>
        </w:rPr>
        <w:t>Abb.</w:t>
      </w:r>
      <w:r w:rsidRPr="00C76DC3">
        <w:rPr>
          <w:i/>
          <w:iCs/>
          <w:spacing w:val="-6"/>
        </w:rPr>
        <w:t xml:space="preserve"> </w:t>
      </w:r>
      <w:r w:rsidRPr="00C76DC3">
        <w:rPr>
          <w:i/>
          <w:iCs/>
        </w:rPr>
        <w:t>3:</w:t>
      </w:r>
      <w:r w:rsidRPr="00C76DC3">
        <w:rPr>
          <w:i/>
          <w:iCs/>
          <w:spacing w:val="-6"/>
        </w:rPr>
        <w:t xml:space="preserve"> </w:t>
      </w:r>
      <w:r w:rsidRPr="00C76DC3">
        <w:rPr>
          <w:i/>
          <w:iCs/>
        </w:rPr>
        <w:t>Führende</w:t>
      </w:r>
      <w:r w:rsidRPr="00C76DC3">
        <w:rPr>
          <w:i/>
          <w:iCs/>
          <w:spacing w:val="-5"/>
        </w:rPr>
        <w:t xml:space="preserve"> </w:t>
      </w:r>
      <w:r w:rsidRPr="00C76DC3">
        <w:rPr>
          <w:i/>
          <w:iCs/>
        </w:rPr>
        <w:t>Vertreter</w:t>
      </w:r>
      <w:r w:rsidRPr="00C76DC3">
        <w:rPr>
          <w:i/>
          <w:iCs/>
          <w:spacing w:val="-5"/>
        </w:rPr>
        <w:t xml:space="preserve"> </w:t>
      </w:r>
      <w:r w:rsidRPr="00C76DC3">
        <w:rPr>
          <w:i/>
          <w:iCs/>
        </w:rPr>
        <w:t>der</w:t>
      </w:r>
      <w:r w:rsidRPr="00C76DC3">
        <w:rPr>
          <w:i/>
          <w:iCs/>
          <w:spacing w:val="-4"/>
        </w:rPr>
        <w:t xml:space="preserve"> </w:t>
      </w:r>
      <w:r w:rsidRPr="00C76DC3">
        <w:rPr>
          <w:i/>
          <w:iCs/>
        </w:rPr>
        <w:t>dimensionsanalytischen</w:t>
      </w:r>
      <w:r w:rsidRPr="00C76DC3">
        <w:rPr>
          <w:i/>
          <w:iCs/>
          <w:spacing w:val="-3"/>
        </w:rPr>
        <w:t xml:space="preserve"> </w:t>
      </w:r>
      <w:r w:rsidRPr="00C76DC3">
        <w:rPr>
          <w:i/>
          <w:iCs/>
        </w:rPr>
        <w:t>Strömung</w:t>
      </w:r>
      <w:r w:rsidRPr="00C76DC3">
        <w:rPr>
          <w:i/>
          <w:iCs/>
          <w:spacing w:val="-8"/>
        </w:rPr>
        <w:t xml:space="preserve"> </w:t>
      </w:r>
      <w:r w:rsidRPr="00C76DC3">
        <w:rPr>
          <w:i/>
          <w:iCs/>
        </w:rPr>
        <w:t xml:space="preserve">des </w:t>
      </w:r>
      <w:r w:rsidRPr="00C76DC3">
        <w:rPr>
          <w:i/>
          <w:iCs/>
          <w:spacing w:val="-2"/>
        </w:rPr>
        <w:t>Kulturvergleichs</w:t>
      </w:r>
    </w:p>
    <w:tbl>
      <w:tblPr>
        <w:tblStyle w:val="TableNormal"/>
        <w:tblW w:w="5000" w:type="pct"/>
        <w:tblBorders>
          <w:top w:val="single" w:sz="4" w:space="0" w:color="auto"/>
          <w:bottom w:val="single" w:sz="4" w:space="0" w:color="auto"/>
          <w:insideH w:val="single" w:sz="4" w:space="0" w:color="auto"/>
        </w:tblBorders>
        <w:tblLook w:val="01E0" w:firstRow="1" w:lastRow="1" w:firstColumn="1" w:lastColumn="1" w:noHBand="0" w:noVBand="0"/>
      </w:tblPr>
      <w:tblGrid>
        <w:gridCol w:w="2127"/>
        <w:gridCol w:w="2315"/>
        <w:gridCol w:w="2315"/>
        <w:gridCol w:w="2315"/>
      </w:tblGrid>
      <w:tr w:rsidR="00FF7799" w:rsidRPr="00E73F6F" w14:paraId="1AFC0283" w14:textId="77777777" w:rsidTr="003D58DC">
        <w:trPr>
          <w:trHeight w:val="486"/>
          <w:tblHeader/>
        </w:trPr>
        <w:tc>
          <w:tcPr>
            <w:tcW w:w="1172" w:type="pct"/>
            <w:shd w:val="clear" w:color="auto" w:fill="FFC000"/>
            <w:tcMar>
              <w:left w:w="57" w:type="dxa"/>
              <w:right w:w="57" w:type="dxa"/>
            </w:tcMar>
          </w:tcPr>
          <w:p w14:paraId="77B88F7F" w14:textId="77777777" w:rsidR="00FF7799" w:rsidRPr="00E73F6F" w:rsidRDefault="00FF7799" w:rsidP="003D58DC">
            <w:pPr>
              <w:pStyle w:val="StandardText"/>
              <w:spacing w:after="120"/>
              <w:jc w:val="center"/>
              <w:rPr>
                <w:b/>
                <w:lang w:val="de-DE"/>
              </w:rPr>
            </w:pPr>
            <w:r w:rsidRPr="00E73F6F">
              <w:rPr>
                <w:b/>
                <w:lang w:val="de-DE"/>
              </w:rPr>
              <w:t>Ansatz</w:t>
            </w:r>
          </w:p>
        </w:tc>
        <w:tc>
          <w:tcPr>
            <w:tcW w:w="1276" w:type="pct"/>
            <w:shd w:val="clear" w:color="auto" w:fill="FFC000"/>
            <w:tcMar>
              <w:left w:w="57" w:type="dxa"/>
              <w:right w:w="57" w:type="dxa"/>
            </w:tcMar>
          </w:tcPr>
          <w:p w14:paraId="7E65E30F" w14:textId="77777777" w:rsidR="00FF7799" w:rsidRPr="00E73F6F" w:rsidRDefault="00FF7799" w:rsidP="003D58DC">
            <w:pPr>
              <w:pStyle w:val="StandardText"/>
              <w:spacing w:after="120"/>
              <w:jc w:val="center"/>
              <w:rPr>
                <w:b/>
                <w:lang w:val="de-DE"/>
              </w:rPr>
            </w:pPr>
            <w:r w:rsidRPr="00E73F6F">
              <w:rPr>
                <w:b/>
                <w:lang w:val="de-DE"/>
              </w:rPr>
              <w:t>Dimensionen</w:t>
            </w:r>
          </w:p>
        </w:tc>
        <w:tc>
          <w:tcPr>
            <w:tcW w:w="1276" w:type="pct"/>
            <w:shd w:val="clear" w:color="auto" w:fill="FFC000"/>
            <w:tcMar>
              <w:left w:w="57" w:type="dxa"/>
              <w:right w:w="57" w:type="dxa"/>
            </w:tcMar>
          </w:tcPr>
          <w:p w14:paraId="25C4B441" w14:textId="77777777" w:rsidR="00B87BB8" w:rsidRDefault="00FF7799" w:rsidP="00B87BB8">
            <w:pPr>
              <w:pStyle w:val="StandardText"/>
              <w:spacing w:after="120"/>
              <w:jc w:val="center"/>
              <w:rPr>
                <w:b/>
                <w:spacing w:val="40"/>
                <w:lang w:val="de-DE"/>
              </w:rPr>
            </w:pPr>
            <w:r w:rsidRPr="00E73F6F">
              <w:rPr>
                <w:b/>
                <w:lang w:val="de-DE"/>
              </w:rPr>
              <w:t>Theoretische</w:t>
            </w:r>
            <w:r w:rsidRPr="00E73F6F">
              <w:rPr>
                <w:b/>
                <w:spacing w:val="40"/>
                <w:lang w:val="de-DE"/>
              </w:rPr>
              <w:t xml:space="preserve"> </w:t>
            </w:r>
          </w:p>
          <w:p w14:paraId="0643FA8F" w14:textId="77777777" w:rsidR="00FF7799" w:rsidRPr="00E73F6F" w:rsidRDefault="00FF7799" w:rsidP="00B87BB8">
            <w:pPr>
              <w:pStyle w:val="StandardText"/>
              <w:spacing w:after="120"/>
              <w:jc w:val="center"/>
              <w:rPr>
                <w:b/>
                <w:lang w:val="de-DE"/>
              </w:rPr>
            </w:pPr>
            <w:r w:rsidRPr="00E73F6F">
              <w:rPr>
                <w:b/>
                <w:lang w:val="de-DE"/>
              </w:rPr>
              <w:t>Fundierung</w:t>
            </w:r>
          </w:p>
        </w:tc>
        <w:tc>
          <w:tcPr>
            <w:tcW w:w="1276" w:type="pct"/>
            <w:shd w:val="clear" w:color="auto" w:fill="FFC000"/>
            <w:tcMar>
              <w:left w:w="57" w:type="dxa"/>
              <w:right w:w="57" w:type="dxa"/>
            </w:tcMar>
          </w:tcPr>
          <w:p w14:paraId="78EFE45C" w14:textId="77777777" w:rsidR="00B87BB8" w:rsidRDefault="00FF7799" w:rsidP="00B87BB8">
            <w:pPr>
              <w:pStyle w:val="StandardText"/>
              <w:spacing w:after="120"/>
              <w:jc w:val="center"/>
              <w:rPr>
                <w:b/>
                <w:spacing w:val="40"/>
                <w:lang w:val="de-DE"/>
              </w:rPr>
            </w:pPr>
            <w:r w:rsidRPr="00E73F6F">
              <w:rPr>
                <w:b/>
                <w:lang w:val="de-DE"/>
              </w:rPr>
              <w:t>Empirische</w:t>
            </w:r>
            <w:r w:rsidRPr="00E73F6F">
              <w:rPr>
                <w:b/>
                <w:spacing w:val="40"/>
                <w:lang w:val="de-DE"/>
              </w:rPr>
              <w:t xml:space="preserve"> </w:t>
            </w:r>
          </w:p>
          <w:p w14:paraId="2618A844" w14:textId="77777777" w:rsidR="00FF7799" w:rsidRPr="00E73F6F" w:rsidRDefault="00FF7799" w:rsidP="00B87BB8">
            <w:pPr>
              <w:pStyle w:val="StandardText"/>
              <w:spacing w:after="120"/>
              <w:jc w:val="center"/>
              <w:rPr>
                <w:b/>
                <w:lang w:val="de-DE"/>
              </w:rPr>
            </w:pPr>
            <w:r w:rsidRPr="00E73F6F">
              <w:rPr>
                <w:b/>
                <w:lang w:val="de-DE"/>
              </w:rPr>
              <w:t>Überprüfung</w:t>
            </w:r>
          </w:p>
        </w:tc>
      </w:tr>
      <w:tr w:rsidR="00FF7799" w:rsidRPr="00E73F6F" w14:paraId="7CECFA8B" w14:textId="77777777" w:rsidTr="003D58DC">
        <w:trPr>
          <w:trHeight w:val="1062"/>
        </w:trPr>
        <w:tc>
          <w:tcPr>
            <w:tcW w:w="1172" w:type="pct"/>
            <w:shd w:val="clear" w:color="auto" w:fill="FFF2CC" w:themeFill="accent4" w:themeFillTint="33"/>
            <w:tcMar>
              <w:left w:w="57" w:type="dxa"/>
              <w:right w:w="57" w:type="dxa"/>
            </w:tcMar>
          </w:tcPr>
          <w:p w14:paraId="50F90BD8" w14:textId="77777777" w:rsidR="00FF7799" w:rsidRPr="00E73F6F" w:rsidRDefault="00FF7799" w:rsidP="003D58DC">
            <w:pPr>
              <w:pStyle w:val="StandardText"/>
              <w:jc w:val="left"/>
              <w:rPr>
                <w:lang w:val="de-DE"/>
              </w:rPr>
            </w:pPr>
            <w:r w:rsidRPr="00E73F6F">
              <w:rPr>
                <w:lang w:val="de-DE"/>
              </w:rPr>
              <w:t>Anthropologischer</w:t>
            </w:r>
            <w:r w:rsidRPr="00E73F6F">
              <w:rPr>
                <w:lang w:val="de-DE"/>
              </w:rPr>
              <w:br/>
              <w:t>Ansatz</w:t>
            </w:r>
            <w:r w:rsidRPr="00E73F6F">
              <w:rPr>
                <w:lang w:val="de-DE"/>
              </w:rPr>
              <w:br/>
              <w:t>(Kluckhohn/</w:t>
            </w:r>
            <w:r w:rsidRPr="00E73F6F">
              <w:rPr>
                <w:lang w:val="de-DE"/>
              </w:rPr>
              <w:br/>
              <w:t>Strodtbeck 1961)</w:t>
            </w:r>
          </w:p>
        </w:tc>
        <w:tc>
          <w:tcPr>
            <w:tcW w:w="1276" w:type="pct"/>
            <w:tcMar>
              <w:left w:w="57" w:type="dxa"/>
              <w:right w:w="57" w:type="dxa"/>
            </w:tcMar>
          </w:tcPr>
          <w:p w14:paraId="7D483668" w14:textId="42920134" w:rsidR="00FF7799" w:rsidRPr="00E73F6F" w:rsidRDefault="00FF7799" w:rsidP="003D58DC">
            <w:pPr>
              <w:pStyle w:val="StandardText"/>
              <w:jc w:val="left"/>
              <w:rPr>
                <w:lang w:val="de-DE"/>
              </w:rPr>
            </w:pPr>
            <w:r w:rsidRPr="00E73F6F">
              <w:rPr>
                <w:lang w:val="de-DE"/>
              </w:rPr>
              <w:t>Fünf</w:t>
            </w:r>
            <w:r w:rsidRPr="00E73F6F">
              <w:rPr>
                <w:spacing w:val="46"/>
                <w:lang w:val="de-DE"/>
              </w:rPr>
              <w:t xml:space="preserve"> </w:t>
            </w:r>
            <w:r w:rsidRPr="00E73F6F">
              <w:rPr>
                <w:lang w:val="de-DE"/>
              </w:rPr>
              <w:t>grundlegende</w:t>
            </w:r>
            <w:r w:rsidRPr="00E73F6F">
              <w:rPr>
                <w:spacing w:val="40"/>
                <w:lang w:val="de-DE"/>
              </w:rPr>
              <w:t xml:space="preserve"> </w:t>
            </w:r>
            <w:r w:rsidRPr="00E73F6F">
              <w:rPr>
                <w:lang w:val="de-DE"/>
              </w:rPr>
              <w:t>Orientierungen (Grundannahmen</w:t>
            </w:r>
            <w:r w:rsidRPr="00E73F6F">
              <w:rPr>
                <w:spacing w:val="40"/>
                <w:lang w:val="de-DE"/>
              </w:rPr>
              <w:t xml:space="preserve"> </w:t>
            </w:r>
            <w:r w:rsidRPr="00E73F6F">
              <w:rPr>
                <w:spacing w:val="-4"/>
                <w:lang w:val="de-DE"/>
              </w:rPr>
              <w:t>über</w:t>
            </w:r>
            <w:r w:rsidR="00B7512C">
              <w:rPr>
                <w:spacing w:val="-4"/>
                <w:lang w:val="de-DE"/>
              </w:rPr>
              <w:t xml:space="preserve"> </w:t>
            </w:r>
            <w:r w:rsidRPr="00E73F6F">
              <w:rPr>
                <w:spacing w:val="-4"/>
                <w:lang w:val="de-DE"/>
              </w:rPr>
              <w:t xml:space="preserve">die </w:t>
            </w:r>
            <w:r w:rsidRPr="00E73F6F">
              <w:rPr>
                <w:lang w:val="de-DE"/>
              </w:rPr>
              <w:t>menschliche</w:t>
            </w:r>
            <w:r w:rsidRPr="00E73F6F">
              <w:rPr>
                <w:spacing w:val="40"/>
                <w:lang w:val="de-DE"/>
              </w:rPr>
              <w:t xml:space="preserve"> </w:t>
            </w:r>
            <w:r w:rsidRPr="00E73F6F">
              <w:rPr>
                <w:lang w:val="de-DE"/>
              </w:rPr>
              <w:t>Existenz)</w:t>
            </w:r>
          </w:p>
        </w:tc>
        <w:tc>
          <w:tcPr>
            <w:tcW w:w="1276" w:type="pct"/>
            <w:tcMar>
              <w:left w:w="57" w:type="dxa"/>
              <w:right w:w="57" w:type="dxa"/>
            </w:tcMar>
          </w:tcPr>
          <w:p w14:paraId="565C24EC" w14:textId="77777777" w:rsidR="00FF7799" w:rsidRPr="00E73F6F" w:rsidRDefault="00FF7799" w:rsidP="003D58DC">
            <w:pPr>
              <w:pStyle w:val="StandardText"/>
              <w:jc w:val="left"/>
              <w:rPr>
                <w:lang w:val="de-DE"/>
              </w:rPr>
            </w:pPr>
            <w:r w:rsidRPr="00E73F6F">
              <w:rPr>
                <w:lang w:val="de-DE"/>
              </w:rPr>
              <w:t>Anthropologisch</w:t>
            </w:r>
          </w:p>
        </w:tc>
        <w:tc>
          <w:tcPr>
            <w:tcW w:w="1276" w:type="pct"/>
            <w:tcMar>
              <w:left w:w="57" w:type="dxa"/>
              <w:right w:w="57" w:type="dxa"/>
            </w:tcMar>
          </w:tcPr>
          <w:p w14:paraId="2801565D" w14:textId="77777777" w:rsidR="00B87BB8" w:rsidRDefault="00FF7799" w:rsidP="003D58DC">
            <w:pPr>
              <w:pStyle w:val="StandardText"/>
              <w:jc w:val="left"/>
              <w:rPr>
                <w:spacing w:val="40"/>
                <w:lang w:val="de-DE"/>
              </w:rPr>
            </w:pPr>
            <w:r w:rsidRPr="00E73F6F">
              <w:rPr>
                <w:lang w:val="de-DE"/>
              </w:rPr>
              <w:t>Nur</w:t>
            </w:r>
            <w:r w:rsidRPr="00E73F6F">
              <w:rPr>
                <w:spacing w:val="-9"/>
                <w:lang w:val="de-DE"/>
              </w:rPr>
              <w:t xml:space="preserve"> </w:t>
            </w:r>
            <w:r w:rsidRPr="00E73F6F">
              <w:rPr>
                <w:lang w:val="de-DE"/>
              </w:rPr>
              <w:t>intrakulturell</w:t>
            </w:r>
            <w:r w:rsidRPr="00E73F6F">
              <w:rPr>
                <w:spacing w:val="40"/>
                <w:lang w:val="de-DE"/>
              </w:rPr>
              <w:t xml:space="preserve"> </w:t>
            </w:r>
          </w:p>
          <w:p w14:paraId="565B0573" w14:textId="77777777" w:rsidR="00FF7799" w:rsidRPr="00E73F6F" w:rsidRDefault="00FF7799" w:rsidP="003D58DC">
            <w:pPr>
              <w:pStyle w:val="StandardText"/>
              <w:jc w:val="left"/>
              <w:rPr>
                <w:lang w:val="de-DE"/>
              </w:rPr>
            </w:pPr>
            <w:r w:rsidRPr="00E73F6F">
              <w:rPr>
                <w:lang w:val="de-DE"/>
              </w:rPr>
              <w:t>(innerhalb der</w:t>
            </w:r>
            <w:r w:rsidRPr="00E73F6F">
              <w:rPr>
                <w:spacing w:val="40"/>
                <w:lang w:val="de-DE"/>
              </w:rPr>
              <w:t xml:space="preserve"> </w:t>
            </w:r>
            <w:r w:rsidRPr="00E73F6F">
              <w:rPr>
                <w:spacing w:val="-4"/>
                <w:lang w:val="de-DE"/>
              </w:rPr>
              <w:t>USA)</w:t>
            </w:r>
          </w:p>
        </w:tc>
      </w:tr>
      <w:tr w:rsidR="00FF7799" w:rsidRPr="00E73F6F" w14:paraId="15AF0265" w14:textId="77777777" w:rsidTr="003D58DC">
        <w:trPr>
          <w:trHeight w:val="1591"/>
        </w:trPr>
        <w:tc>
          <w:tcPr>
            <w:tcW w:w="1172" w:type="pct"/>
            <w:shd w:val="clear" w:color="auto" w:fill="FFF2CC" w:themeFill="accent4" w:themeFillTint="33"/>
            <w:tcMar>
              <w:left w:w="57" w:type="dxa"/>
              <w:right w:w="57" w:type="dxa"/>
            </w:tcMar>
          </w:tcPr>
          <w:p w14:paraId="2A54AAAC" w14:textId="77777777" w:rsidR="00FF7799" w:rsidRPr="00E73F6F" w:rsidRDefault="00FF7799" w:rsidP="003D58DC">
            <w:pPr>
              <w:pStyle w:val="StandardText"/>
              <w:jc w:val="left"/>
              <w:rPr>
                <w:lang w:val="de-DE"/>
              </w:rPr>
            </w:pPr>
            <w:r w:rsidRPr="00E73F6F">
              <w:rPr>
                <w:lang w:val="de-DE"/>
              </w:rPr>
              <w:t>Kommunikations-</w:t>
            </w:r>
            <w:r w:rsidRPr="00E73F6F">
              <w:rPr>
                <w:spacing w:val="40"/>
                <w:lang w:val="de-DE"/>
              </w:rPr>
              <w:t xml:space="preserve"> </w:t>
            </w:r>
            <w:r w:rsidRPr="00E73F6F">
              <w:rPr>
                <w:lang w:val="de-DE"/>
              </w:rPr>
              <w:t>theoretischer</w:t>
            </w:r>
            <w:r w:rsidRPr="00E73F6F">
              <w:rPr>
                <w:spacing w:val="-6"/>
                <w:lang w:val="de-DE"/>
              </w:rPr>
              <w:t xml:space="preserve"> </w:t>
            </w:r>
            <w:r w:rsidRPr="00E73F6F">
              <w:rPr>
                <w:lang w:val="de-DE"/>
              </w:rPr>
              <w:t>Ansatz</w:t>
            </w:r>
            <w:r w:rsidRPr="00E73F6F">
              <w:rPr>
                <w:spacing w:val="40"/>
                <w:lang w:val="de-DE"/>
              </w:rPr>
              <w:t xml:space="preserve"> </w:t>
            </w:r>
            <w:r w:rsidRPr="00E73F6F">
              <w:rPr>
                <w:lang w:val="de-DE"/>
              </w:rPr>
              <w:t>(Hall/Hall</w:t>
            </w:r>
            <w:r w:rsidRPr="00E73F6F">
              <w:rPr>
                <w:spacing w:val="-6"/>
                <w:lang w:val="de-DE"/>
              </w:rPr>
              <w:t xml:space="preserve"> </w:t>
            </w:r>
            <w:r w:rsidRPr="00E73F6F">
              <w:rPr>
                <w:lang w:val="de-DE"/>
              </w:rPr>
              <w:t>1990)</w:t>
            </w:r>
          </w:p>
        </w:tc>
        <w:tc>
          <w:tcPr>
            <w:tcW w:w="1276" w:type="pct"/>
            <w:tcMar>
              <w:left w:w="57" w:type="dxa"/>
              <w:right w:w="57" w:type="dxa"/>
            </w:tcMar>
          </w:tcPr>
          <w:p w14:paraId="0D244BD9" w14:textId="77777777" w:rsidR="00FF7799" w:rsidRPr="00E73F6F" w:rsidRDefault="00FF7799" w:rsidP="003D58DC">
            <w:pPr>
              <w:pStyle w:val="StandardText"/>
              <w:jc w:val="left"/>
              <w:rPr>
                <w:lang w:val="de-DE"/>
              </w:rPr>
            </w:pPr>
            <w:r w:rsidRPr="00E73F6F">
              <w:rPr>
                <w:spacing w:val="-4"/>
                <w:lang w:val="de-DE"/>
              </w:rPr>
              <w:t>Vier</w:t>
            </w:r>
            <w:r w:rsidR="001B6BAE">
              <w:rPr>
                <w:lang w:val="de-DE"/>
              </w:rPr>
              <w:t xml:space="preserve"> </w:t>
            </w:r>
            <w:r w:rsidRPr="00E73F6F">
              <w:rPr>
                <w:lang w:val="de-DE"/>
              </w:rPr>
              <w:t>bipolare</w:t>
            </w:r>
            <w:r w:rsidR="001B6BAE">
              <w:rPr>
                <w:lang w:val="de-DE"/>
              </w:rPr>
              <w:br/>
              <w:t>Kultur</w:t>
            </w:r>
            <w:r w:rsidRPr="00E73F6F">
              <w:rPr>
                <w:lang w:val="de-DE"/>
              </w:rPr>
              <w:t>dimensionen</w:t>
            </w:r>
          </w:p>
        </w:tc>
        <w:tc>
          <w:tcPr>
            <w:tcW w:w="1276" w:type="pct"/>
            <w:tcMar>
              <w:left w:w="57" w:type="dxa"/>
              <w:right w:w="57" w:type="dxa"/>
            </w:tcMar>
          </w:tcPr>
          <w:p w14:paraId="447E829F" w14:textId="77777777" w:rsidR="00FF7799" w:rsidRPr="00E73F6F" w:rsidRDefault="001B6BAE" w:rsidP="003D58DC">
            <w:pPr>
              <w:pStyle w:val="StandardText"/>
              <w:jc w:val="left"/>
              <w:rPr>
                <w:lang w:val="de-DE"/>
              </w:rPr>
            </w:pPr>
            <w:r>
              <w:rPr>
                <w:lang w:val="de-DE"/>
              </w:rPr>
              <w:t xml:space="preserve">Geringe </w:t>
            </w:r>
            <w:r w:rsidR="00FF7799" w:rsidRPr="00E73F6F">
              <w:rPr>
                <w:lang w:val="de-DE"/>
              </w:rPr>
              <w:t>theoretische</w:t>
            </w:r>
            <w:r w:rsidR="00FF7799" w:rsidRPr="00E73F6F">
              <w:rPr>
                <w:spacing w:val="40"/>
                <w:lang w:val="de-DE"/>
              </w:rPr>
              <w:t xml:space="preserve"> </w:t>
            </w:r>
            <w:r w:rsidR="00FF7799" w:rsidRPr="00E73F6F">
              <w:rPr>
                <w:lang w:val="de-DE"/>
              </w:rPr>
              <w:t>Fundierung</w:t>
            </w:r>
          </w:p>
        </w:tc>
        <w:tc>
          <w:tcPr>
            <w:tcW w:w="1276" w:type="pct"/>
            <w:tcMar>
              <w:left w:w="57" w:type="dxa"/>
              <w:right w:w="57" w:type="dxa"/>
            </w:tcMar>
          </w:tcPr>
          <w:p w14:paraId="4465EFD8" w14:textId="77777777" w:rsidR="00FF7799" w:rsidRPr="00E73F6F" w:rsidRDefault="00FF7799" w:rsidP="003D58DC">
            <w:pPr>
              <w:pStyle w:val="StandardText"/>
              <w:jc w:val="left"/>
              <w:rPr>
                <w:lang w:val="de-DE"/>
              </w:rPr>
            </w:pPr>
            <w:r w:rsidRPr="00E73F6F">
              <w:rPr>
                <w:lang w:val="de-DE"/>
              </w:rPr>
              <w:t>Keine</w:t>
            </w:r>
            <w:r w:rsidRPr="00E73F6F">
              <w:rPr>
                <w:spacing w:val="40"/>
                <w:lang w:val="de-DE"/>
              </w:rPr>
              <w:t xml:space="preserve"> </w:t>
            </w:r>
            <w:r w:rsidRPr="00E73F6F">
              <w:rPr>
                <w:lang w:val="de-DE"/>
              </w:rPr>
              <w:t>methodologische</w:t>
            </w:r>
            <w:r w:rsidRPr="00E73F6F">
              <w:rPr>
                <w:spacing w:val="40"/>
                <w:lang w:val="de-DE"/>
              </w:rPr>
              <w:t xml:space="preserve"> </w:t>
            </w:r>
            <w:r w:rsidRPr="00E73F6F">
              <w:rPr>
                <w:lang w:val="de-DE"/>
              </w:rPr>
              <w:t>Transparenz:</w:t>
            </w:r>
            <w:r w:rsidRPr="00E73F6F">
              <w:rPr>
                <w:spacing w:val="40"/>
                <w:lang w:val="de-DE"/>
              </w:rPr>
              <w:t xml:space="preserve"> </w:t>
            </w:r>
            <w:r w:rsidRPr="00E73F6F">
              <w:rPr>
                <w:lang w:val="de-DE"/>
              </w:rPr>
              <w:t>Keine</w:t>
            </w:r>
            <w:r w:rsidRPr="00E73F6F">
              <w:rPr>
                <w:spacing w:val="45"/>
                <w:lang w:val="de-DE"/>
              </w:rPr>
              <w:t xml:space="preserve"> </w:t>
            </w:r>
            <w:r w:rsidRPr="00E73F6F">
              <w:rPr>
                <w:lang w:val="de-DE"/>
              </w:rPr>
              <w:t>konkreten</w:t>
            </w:r>
            <w:r w:rsidRPr="00E73F6F">
              <w:rPr>
                <w:spacing w:val="40"/>
                <w:lang w:val="de-DE"/>
              </w:rPr>
              <w:t xml:space="preserve"> </w:t>
            </w:r>
            <w:r w:rsidRPr="00E73F6F">
              <w:rPr>
                <w:lang w:val="de-DE"/>
              </w:rPr>
              <w:t>Verweise</w:t>
            </w:r>
            <w:r w:rsidRPr="00E73F6F">
              <w:rPr>
                <w:lang w:val="de-DE"/>
              </w:rPr>
              <w:tab/>
            </w:r>
            <w:r w:rsidRPr="00E73F6F">
              <w:rPr>
                <w:spacing w:val="-4"/>
                <w:lang w:val="de-DE"/>
              </w:rPr>
              <w:t>auf</w:t>
            </w:r>
            <w:r w:rsidRPr="00E73F6F">
              <w:rPr>
                <w:spacing w:val="40"/>
                <w:lang w:val="de-DE"/>
              </w:rPr>
              <w:t xml:space="preserve"> </w:t>
            </w:r>
            <w:r w:rsidRPr="00E73F6F">
              <w:rPr>
                <w:lang w:val="de-DE"/>
              </w:rPr>
              <w:t>Erhebungen</w:t>
            </w:r>
          </w:p>
        </w:tc>
      </w:tr>
      <w:tr w:rsidR="00FF7799" w:rsidRPr="00E73F6F" w14:paraId="706D2B0E" w14:textId="77777777" w:rsidTr="003D58DC">
        <w:trPr>
          <w:trHeight w:val="971"/>
        </w:trPr>
        <w:tc>
          <w:tcPr>
            <w:tcW w:w="1172" w:type="pct"/>
            <w:shd w:val="clear" w:color="auto" w:fill="FFF2CC" w:themeFill="accent4" w:themeFillTint="33"/>
            <w:tcMar>
              <w:left w:w="57" w:type="dxa"/>
              <w:right w:w="57" w:type="dxa"/>
            </w:tcMar>
          </w:tcPr>
          <w:p w14:paraId="75FB96C2" w14:textId="77777777" w:rsidR="00FF7799" w:rsidRPr="00E73F6F" w:rsidRDefault="00FF7799" w:rsidP="003D58DC">
            <w:pPr>
              <w:pStyle w:val="StandardText"/>
              <w:jc w:val="left"/>
              <w:rPr>
                <w:lang w:val="de-DE"/>
              </w:rPr>
            </w:pPr>
            <w:r w:rsidRPr="00E73F6F">
              <w:rPr>
                <w:lang w:val="de-DE"/>
              </w:rPr>
              <w:lastRenderedPageBreak/>
              <w:t>Problemlösungs-</w:t>
            </w:r>
            <w:r w:rsidRPr="00E73F6F">
              <w:rPr>
                <w:spacing w:val="40"/>
                <w:lang w:val="de-DE"/>
              </w:rPr>
              <w:t xml:space="preserve"> </w:t>
            </w:r>
            <w:r w:rsidRPr="00E73F6F">
              <w:rPr>
                <w:lang w:val="de-DE"/>
              </w:rPr>
              <w:t>orientierter Ansatz</w:t>
            </w:r>
            <w:r w:rsidRPr="00E73F6F">
              <w:rPr>
                <w:spacing w:val="40"/>
                <w:lang w:val="de-DE"/>
              </w:rPr>
              <w:t xml:space="preserve"> </w:t>
            </w:r>
            <w:r w:rsidRPr="00E73F6F">
              <w:rPr>
                <w:lang w:val="de-DE"/>
              </w:rPr>
              <w:t>(Trompenaars</w:t>
            </w:r>
            <w:r w:rsidRPr="00E73F6F">
              <w:rPr>
                <w:spacing w:val="-4"/>
                <w:lang w:val="de-DE"/>
              </w:rPr>
              <w:t xml:space="preserve"> </w:t>
            </w:r>
            <w:r w:rsidRPr="00E73F6F">
              <w:rPr>
                <w:lang w:val="de-DE"/>
              </w:rPr>
              <w:t>1993)</w:t>
            </w:r>
          </w:p>
        </w:tc>
        <w:tc>
          <w:tcPr>
            <w:tcW w:w="1276" w:type="pct"/>
            <w:tcMar>
              <w:left w:w="57" w:type="dxa"/>
              <w:right w:w="57" w:type="dxa"/>
            </w:tcMar>
          </w:tcPr>
          <w:p w14:paraId="4FD387E9" w14:textId="77777777" w:rsidR="00FF7799" w:rsidRPr="00E73F6F" w:rsidRDefault="00FF7799" w:rsidP="003D58DC">
            <w:pPr>
              <w:pStyle w:val="StandardText"/>
              <w:jc w:val="left"/>
              <w:rPr>
                <w:lang w:val="de-DE"/>
              </w:rPr>
            </w:pPr>
            <w:r w:rsidRPr="00E73F6F">
              <w:rPr>
                <w:lang w:val="de-DE"/>
              </w:rPr>
              <w:t>Sieben</w:t>
            </w:r>
            <w:r w:rsidR="001B6BAE">
              <w:rPr>
                <w:lang w:val="de-DE"/>
              </w:rPr>
              <w:t xml:space="preserve"> </w:t>
            </w:r>
            <w:r w:rsidRPr="00E73F6F">
              <w:rPr>
                <w:lang w:val="de-DE"/>
              </w:rPr>
              <w:t>bipolare</w:t>
            </w:r>
            <w:r w:rsidR="001B6BAE">
              <w:rPr>
                <w:lang w:val="de-DE"/>
              </w:rPr>
              <w:br/>
            </w:r>
            <w:r w:rsidRPr="00E73F6F">
              <w:rPr>
                <w:lang w:val="de-DE"/>
              </w:rPr>
              <w:t>Kulturdimensionen</w:t>
            </w:r>
          </w:p>
        </w:tc>
        <w:tc>
          <w:tcPr>
            <w:tcW w:w="1276" w:type="pct"/>
            <w:tcMar>
              <w:left w:w="57" w:type="dxa"/>
              <w:right w:w="57" w:type="dxa"/>
            </w:tcMar>
          </w:tcPr>
          <w:p w14:paraId="0111E42B" w14:textId="77777777" w:rsidR="00FF7799" w:rsidRPr="00E73F6F" w:rsidRDefault="00FF7799" w:rsidP="003D58DC">
            <w:pPr>
              <w:pStyle w:val="StandardText"/>
              <w:jc w:val="left"/>
              <w:rPr>
                <w:lang w:val="de-DE"/>
              </w:rPr>
            </w:pPr>
            <w:r w:rsidRPr="00E73F6F">
              <w:rPr>
                <w:lang w:val="de-DE"/>
              </w:rPr>
              <w:t>Keine</w:t>
            </w:r>
          </w:p>
        </w:tc>
        <w:tc>
          <w:tcPr>
            <w:tcW w:w="1276" w:type="pct"/>
            <w:tcMar>
              <w:left w:w="57" w:type="dxa"/>
              <w:right w:w="57" w:type="dxa"/>
            </w:tcMar>
          </w:tcPr>
          <w:p w14:paraId="266AF607" w14:textId="77777777" w:rsidR="00FF7799" w:rsidRPr="00E73F6F" w:rsidRDefault="00FF7799" w:rsidP="003D58DC">
            <w:pPr>
              <w:pStyle w:val="StandardText"/>
              <w:jc w:val="left"/>
              <w:rPr>
                <w:lang w:val="de-DE"/>
              </w:rPr>
            </w:pPr>
            <w:r w:rsidRPr="00E73F6F">
              <w:rPr>
                <w:lang w:val="de-DE"/>
              </w:rPr>
              <w:t>Breite</w:t>
            </w:r>
            <w:r w:rsidRPr="00E73F6F">
              <w:rPr>
                <w:spacing w:val="2"/>
                <w:lang w:val="de-DE"/>
              </w:rPr>
              <w:t xml:space="preserve"> </w:t>
            </w:r>
            <w:r w:rsidRPr="00E73F6F">
              <w:rPr>
                <w:lang w:val="de-DE"/>
              </w:rPr>
              <w:t>empirische</w:t>
            </w:r>
            <w:r w:rsidRPr="00E73F6F">
              <w:rPr>
                <w:spacing w:val="40"/>
                <w:lang w:val="de-DE"/>
              </w:rPr>
              <w:t xml:space="preserve"> </w:t>
            </w:r>
            <w:r w:rsidRPr="00E73F6F">
              <w:rPr>
                <w:spacing w:val="-4"/>
                <w:lang w:val="de-DE"/>
              </w:rPr>
              <w:t>Basis</w:t>
            </w:r>
            <w:r w:rsidRPr="00E73F6F">
              <w:rPr>
                <w:spacing w:val="40"/>
                <w:lang w:val="de-DE"/>
              </w:rPr>
              <w:t xml:space="preserve"> </w:t>
            </w:r>
            <w:r w:rsidRPr="00E73F6F">
              <w:rPr>
                <w:lang w:val="de-DE"/>
              </w:rPr>
              <w:t>(Auswertung</w:t>
            </w:r>
            <w:r w:rsidRPr="00E73F6F">
              <w:rPr>
                <w:spacing w:val="40"/>
                <w:lang w:val="de-DE"/>
              </w:rPr>
              <w:t xml:space="preserve"> </w:t>
            </w:r>
            <w:r w:rsidRPr="00E73F6F">
              <w:rPr>
                <w:lang w:val="de-DE"/>
              </w:rPr>
              <w:t>nicht</w:t>
            </w:r>
            <w:r w:rsidRPr="00E73F6F">
              <w:rPr>
                <w:spacing w:val="40"/>
                <w:lang w:val="de-DE"/>
              </w:rPr>
              <w:t xml:space="preserve"> </w:t>
            </w:r>
            <w:r w:rsidRPr="00E73F6F">
              <w:rPr>
                <w:lang w:val="de-DE"/>
              </w:rPr>
              <w:t>dokumentiert)</w:t>
            </w:r>
          </w:p>
        </w:tc>
      </w:tr>
      <w:tr w:rsidR="00FF7799" w:rsidRPr="00E73F6F" w14:paraId="316B3099" w14:textId="77777777" w:rsidTr="003D58DC">
        <w:trPr>
          <w:trHeight w:val="1281"/>
        </w:trPr>
        <w:tc>
          <w:tcPr>
            <w:tcW w:w="1172" w:type="pct"/>
            <w:shd w:val="clear" w:color="auto" w:fill="FFF2CC" w:themeFill="accent4" w:themeFillTint="33"/>
            <w:tcMar>
              <w:left w:w="57" w:type="dxa"/>
              <w:right w:w="57" w:type="dxa"/>
            </w:tcMar>
          </w:tcPr>
          <w:p w14:paraId="2719AC7D" w14:textId="77777777" w:rsidR="00FF7799" w:rsidRPr="00E73F6F" w:rsidRDefault="00FF7799" w:rsidP="003D58DC">
            <w:pPr>
              <w:pStyle w:val="StandardText"/>
              <w:jc w:val="left"/>
              <w:rPr>
                <w:spacing w:val="40"/>
                <w:lang w:val="de-DE"/>
              </w:rPr>
            </w:pPr>
            <w:r w:rsidRPr="00E73F6F">
              <w:rPr>
                <w:lang w:val="de-DE"/>
              </w:rPr>
              <w:t>Organisations-</w:t>
            </w:r>
            <w:r w:rsidRPr="00E73F6F">
              <w:rPr>
                <w:spacing w:val="40"/>
                <w:lang w:val="de-DE"/>
              </w:rPr>
              <w:br/>
            </w:r>
            <w:r w:rsidRPr="00E73F6F">
              <w:rPr>
                <w:lang w:val="de-DE"/>
              </w:rPr>
              <w:t>theoretischer</w:t>
            </w:r>
            <w:r w:rsidRPr="00E73F6F">
              <w:rPr>
                <w:spacing w:val="-6"/>
                <w:lang w:val="de-DE"/>
              </w:rPr>
              <w:t xml:space="preserve"> </w:t>
            </w:r>
            <w:r w:rsidRPr="00E73F6F">
              <w:rPr>
                <w:lang w:val="de-DE"/>
              </w:rPr>
              <w:t>Ansatz</w:t>
            </w:r>
            <w:r w:rsidRPr="00E73F6F">
              <w:rPr>
                <w:spacing w:val="40"/>
                <w:lang w:val="de-DE"/>
              </w:rPr>
              <w:t xml:space="preserve"> </w:t>
            </w:r>
            <w:r w:rsidRPr="00E73F6F">
              <w:rPr>
                <w:lang w:val="de-DE"/>
              </w:rPr>
              <w:t>(Hofstede</w:t>
            </w:r>
            <w:r w:rsidRPr="00E73F6F">
              <w:rPr>
                <w:spacing w:val="-4"/>
                <w:lang w:val="de-DE"/>
              </w:rPr>
              <w:t xml:space="preserve"> </w:t>
            </w:r>
            <w:r w:rsidRPr="00E73F6F">
              <w:rPr>
                <w:lang w:val="de-DE"/>
              </w:rPr>
              <w:t>2001)</w:t>
            </w:r>
          </w:p>
        </w:tc>
        <w:tc>
          <w:tcPr>
            <w:tcW w:w="1276" w:type="pct"/>
            <w:tcMar>
              <w:left w:w="57" w:type="dxa"/>
              <w:right w:w="57" w:type="dxa"/>
            </w:tcMar>
          </w:tcPr>
          <w:p w14:paraId="1EFB04F7" w14:textId="77777777" w:rsidR="00FF7799" w:rsidRPr="00E73F6F" w:rsidRDefault="00FF7799" w:rsidP="003D58DC">
            <w:pPr>
              <w:pStyle w:val="StandardText"/>
              <w:jc w:val="left"/>
              <w:rPr>
                <w:lang w:val="de-DE"/>
              </w:rPr>
            </w:pPr>
            <w:r w:rsidRPr="00E73F6F">
              <w:rPr>
                <w:lang w:val="de-DE"/>
              </w:rPr>
              <w:t>Drei bipolare und</w:t>
            </w:r>
            <w:r w:rsidRPr="00E73F6F">
              <w:rPr>
                <w:spacing w:val="40"/>
                <w:lang w:val="de-DE"/>
              </w:rPr>
              <w:t xml:space="preserve"> </w:t>
            </w:r>
            <w:r w:rsidRPr="00E73F6F">
              <w:rPr>
                <w:lang w:val="de-DE"/>
              </w:rPr>
              <w:t>zwei unipolare</w:t>
            </w:r>
            <w:r w:rsidR="001F4A8C">
              <w:rPr>
                <w:lang w:val="de-DE"/>
              </w:rPr>
              <w:br/>
            </w:r>
            <w:r w:rsidRPr="00E73F6F">
              <w:rPr>
                <w:lang w:val="de-DE"/>
              </w:rPr>
              <w:t>Kulturdimensionen</w:t>
            </w:r>
          </w:p>
        </w:tc>
        <w:tc>
          <w:tcPr>
            <w:tcW w:w="1276" w:type="pct"/>
            <w:tcMar>
              <w:left w:w="57" w:type="dxa"/>
              <w:right w:w="57" w:type="dxa"/>
            </w:tcMar>
          </w:tcPr>
          <w:p w14:paraId="1EFA2B22" w14:textId="77777777" w:rsidR="00FF7799" w:rsidRPr="00E73F6F" w:rsidRDefault="00FF7799" w:rsidP="003D58DC">
            <w:pPr>
              <w:pStyle w:val="StandardText"/>
              <w:jc w:val="left"/>
              <w:rPr>
                <w:lang w:val="de-DE"/>
              </w:rPr>
            </w:pPr>
            <w:r w:rsidRPr="00E73F6F">
              <w:rPr>
                <w:lang w:val="de-DE"/>
              </w:rPr>
              <w:t>Keine</w:t>
            </w:r>
            <w:r w:rsidRPr="00E73F6F">
              <w:rPr>
                <w:spacing w:val="40"/>
                <w:lang w:val="de-DE"/>
              </w:rPr>
              <w:t xml:space="preserve"> </w:t>
            </w:r>
            <w:r w:rsidRPr="00E73F6F">
              <w:rPr>
                <w:lang w:val="de-DE"/>
              </w:rPr>
              <w:t>(bzw.</w:t>
            </w:r>
            <w:r w:rsidRPr="00E73F6F">
              <w:rPr>
                <w:spacing w:val="40"/>
                <w:lang w:val="de-DE"/>
              </w:rPr>
              <w:t xml:space="preserve"> </w:t>
            </w:r>
            <w:r w:rsidRPr="00E73F6F">
              <w:rPr>
                <w:lang w:val="de-DE"/>
              </w:rPr>
              <w:t>nur</w:t>
            </w:r>
            <w:r w:rsidRPr="00E73F6F">
              <w:rPr>
                <w:spacing w:val="40"/>
                <w:lang w:val="de-DE"/>
              </w:rPr>
              <w:t xml:space="preserve"> </w:t>
            </w:r>
            <w:r w:rsidRPr="00E73F6F">
              <w:rPr>
                <w:lang w:val="de-DE"/>
              </w:rPr>
              <w:t>post-</w:t>
            </w:r>
            <w:r w:rsidRPr="00E73F6F">
              <w:rPr>
                <w:spacing w:val="40"/>
                <w:lang w:val="de-DE"/>
              </w:rPr>
              <w:t xml:space="preserve"> </w:t>
            </w:r>
            <w:r w:rsidRPr="00E73F6F">
              <w:rPr>
                <w:lang w:val="de-DE"/>
              </w:rPr>
              <w:t>hoc-)Erklärung</w:t>
            </w:r>
          </w:p>
        </w:tc>
        <w:tc>
          <w:tcPr>
            <w:tcW w:w="1276" w:type="pct"/>
            <w:tcMar>
              <w:left w:w="57" w:type="dxa"/>
              <w:right w:w="57" w:type="dxa"/>
            </w:tcMar>
          </w:tcPr>
          <w:p w14:paraId="7E55820D" w14:textId="77777777" w:rsidR="00FF7799" w:rsidRPr="00E73F6F" w:rsidRDefault="00FF7799" w:rsidP="003D58DC">
            <w:pPr>
              <w:pStyle w:val="StandardText"/>
              <w:jc w:val="left"/>
              <w:rPr>
                <w:lang w:val="de-DE"/>
              </w:rPr>
            </w:pPr>
            <w:r w:rsidRPr="00E73F6F">
              <w:rPr>
                <w:lang w:val="de-DE"/>
              </w:rPr>
              <w:t>Breite</w:t>
            </w:r>
            <w:r w:rsidRPr="00E73F6F">
              <w:rPr>
                <w:spacing w:val="2"/>
                <w:lang w:val="de-DE"/>
              </w:rPr>
              <w:t xml:space="preserve"> </w:t>
            </w:r>
            <w:r w:rsidRPr="00E73F6F">
              <w:rPr>
                <w:lang w:val="de-DE"/>
              </w:rPr>
              <w:t>empirische</w:t>
            </w:r>
            <w:r w:rsidRPr="00E73F6F">
              <w:rPr>
                <w:spacing w:val="40"/>
                <w:lang w:val="de-DE"/>
              </w:rPr>
              <w:t xml:space="preserve"> </w:t>
            </w:r>
            <w:r w:rsidRPr="00E73F6F">
              <w:rPr>
                <w:spacing w:val="-4"/>
                <w:lang w:val="de-DE"/>
              </w:rPr>
              <w:t>Basis</w:t>
            </w:r>
            <w:r w:rsidRPr="00E73F6F">
              <w:rPr>
                <w:spacing w:val="40"/>
                <w:lang w:val="de-DE"/>
              </w:rPr>
              <w:t xml:space="preserve"> </w:t>
            </w:r>
            <w:r w:rsidRPr="00E73F6F">
              <w:rPr>
                <w:lang w:val="de-DE"/>
              </w:rPr>
              <w:t>(Gütekriterien</w:t>
            </w:r>
            <w:r w:rsidRPr="00E73F6F">
              <w:rPr>
                <w:spacing w:val="40"/>
                <w:lang w:val="de-DE"/>
              </w:rPr>
              <w:t xml:space="preserve"> </w:t>
            </w:r>
            <w:r w:rsidRPr="00E73F6F">
              <w:rPr>
                <w:lang w:val="de-DE"/>
              </w:rPr>
              <w:t>dokumentiert,</w:t>
            </w:r>
            <w:r w:rsidRPr="00E73F6F">
              <w:rPr>
                <w:spacing w:val="40"/>
                <w:lang w:val="de-DE"/>
              </w:rPr>
              <w:t xml:space="preserve"> </w:t>
            </w:r>
            <w:r w:rsidRPr="00E73F6F">
              <w:rPr>
                <w:lang w:val="de-DE"/>
              </w:rPr>
              <w:t>geringe</w:t>
            </w:r>
            <w:r w:rsidRPr="00E73F6F">
              <w:rPr>
                <w:spacing w:val="40"/>
                <w:lang w:val="de-DE"/>
              </w:rPr>
              <w:t xml:space="preserve"> </w:t>
            </w:r>
            <w:r w:rsidRPr="00E73F6F">
              <w:rPr>
                <w:lang w:val="de-DE"/>
              </w:rPr>
              <w:t>Aktualität)</w:t>
            </w:r>
          </w:p>
        </w:tc>
      </w:tr>
      <w:tr w:rsidR="00FF7799" w:rsidRPr="00E73F6F" w14:paraId="40C83A9D" w14:textId="77777777" w:rsidTr="003D58DC">
        <w:trPr>
          <w:trHeight w:val="971"/>
        </w:trPr>
        <w:tc>
          <w:tcPr>
            <w:tcW w:w="1172" w:type="pct"/>
            <w:shd w:val="clear" w:color="auto" w:fill="FFF2CC" w:themeFill="accent4" w:themeFillTint="33"/>
            <w:tcMar>
              <w:left w:w="57" w:type="dxa"/>
              <w:right w:w="57" w:type="dxa"/>
            </w:tcMar>
          </w:tcPr>
          <w:p w14:paraId="78342B6E" w14:textId="77777777" w:rsidR="00FF7799" w:rsidRPr="00E73F6F" w:rsidRDefault="00FF7799" w:rsidP="003D58DC">
            <w:pPr>
              <w:pStyle w:val="StandardText"/>
              <w:jc w:val="left"/>
              <w:rPr>
                <w:lang w:val="de-DE"/>
              </w:rPr>
            </w:pPr>
            <w:r w:rsidRPr="00E73F6F">
              <w:rPr>
                <w:lang w:val="de-DE"/>
              </w:rPr>
              <w:t>These</w:t>
            </w:r>
            <w:r w:rsidRPr="00E73F6F">
              <w:rPr>
                <w:spacing w:val="-4"/>
                <w:lang w:val="de-DE"/>
              </w:rPr>
              <w:t xml:space="preserve"> </w:t>
            </w:r>
            <w:r w:rsidRPr="00E73F6F">
              <w:rPr>
                <w:lang w:val="de-DE"/>
              </w:rPr>
              <w:t>des</w:t>
            </w:r>
            <w:r w:rsidRPr="00E73F6F">
              <w:rPr>
                <w:spacing w:val="40"/>
                <w:lang w:val="de-DE"/>
              </w:rPr>
              <w:t xml:space="preserve"> </w:t>
            </w:r>
            <w:r w:rsidRPr="00E73F6F">
              <w:rPr>
                <w:lang w:val="de-DE"/>
              </w:rPr>
              <w:t>Wertewandels</w:t>
            </w:r>
            <w:r w:rsidRPr="00E73F6F">
              <w:rPr>
                <w:lang w:val="de-DE"/>
              </w:rPr>
              <w:br/>
              <w:t>(Inglehart</w:t>
            </w:r>
            <w:r w:rsidRPr="00E73F6F">
              <w:rPr>
                <w:spacing w:val="-9"/>
                <w:lang w:val="de-DE"/>
              </w:rPr>
              <w:t xml:space="preserve"> </w:t>
            </w:r>
            <w:r w:rsidRPr="00E73F6F">
              <w:rPr>
                <w:lang w:val="de-DE"/>
              </w:rPr>
              <w:t>1997)</w:t>
            </w:r>
          </w:p>
        </w:tc>
        <w:tc>
          <w:tcPr>
            <w:tcW w:w="1276" w:type="pct"/>
            <w:tcMar>
              <w:left w:w="57" w:type="dxa"/>
              <w:right w:w="57" w:type="dxa"/>
            </w:tcMar>
          </w:tcPr>
          <w:p w14:paraId="0473109A" w14:textId="77777777" w:rsidR="00FF7799" w:rsidRPr="00E73F6F" w:rsidRDefault="00FF7799" w:rsidP="003D58DC">
            <w:pPr>
              <w:pStyle w:val="StandardText"/>
              <w:jc w:val="left"/>
              <w:rPr>
                <w:lang w:val="de-DE"/>
              </w:rPr>
            </w:pPr>
            <w:r w:rsidRPr="00E73F6F">
              <w:rPr>
                <w:spacing w:val="-4"/>
                <w:lang w:val="de-DE"/>
              </w:rPr>
              <w:t>Zwei</w:t>
            </w:r>
            <w:r w:rsidRPr="00E73F6F">
              <w:rPr>
                <w:lang w:val="de-DE"/>
              </w:rPr>
              <w:tab/>
              <w:t>bipolare</w:t>
            </w:r>
            <w:r w:rsidR="001F4A8C">
              <w:rPr>
                <w:lang w:val="de-DE"/>
              </w:rPr>
              <w:br/>
            </w:r>
            <w:r w:rsidRPr="00E73F6F">
              <w:rPr>
                <w:lang w:val="de-DE"/>
              </w:rPr>
              <w:t>Kulturdimensionen</w:t>
            </w:r>
          </w:p>
        </w:tc>
        <w:tc>
          <w:tcPr>
            <w:tcW w:w="1276" w:type="pct"/>
            <w:tcMar>
              <w:left w:w="57" w:type="dxa"/>
              <w:right w:w="57" w:type="dxa"/>
            </w:tcMar>
          </w:tcPr>
          <w:p w14:paraId="4D509E50" w14:textId="77777777" w:rsidR="00FF7799" w:rsidRPr="00E73F6F" w:rsidRDefault="00FF7799" w:rsidP="003D58DC">
            <w:pPr>
              <w:pStyle w:val="StandardText"/>
              <w:jc w:val="left"/>
              <w:rPr>
                <w:lang w:val="de-DE"/>
              </w:rPr>
            </w:pPr>
            <w:r w:rsidRPr="00E73F6F">
              <w:rPr>
                <w:lang w:val="de-DE"/>
              </w:rPr>
              <w:t>Bedürfnispyramide,</w:t>
            </w:r>
            <w:r w:rsidRPr="00E73F6F">
              <w:rPr>
                <w:spacing w:val="40"/>
                <w:lang w:val="de-DE"/>
              </w:rPr>
              <w:t xml:space="preserve"> </w:t>
            </w:r>
            <w:r w:rsidRPr="00E73F6F">
              <w:rPr>
                <w:lang w:val="de-DE"/>
              </w:rPr>
              <w:t>Mangelhypothese,</w:t>
            </w:r>
            <w:r w:rsidRPr="00E73F6F">
              <w:rPr>
                <w:spacing w:val="40"/>
                <w:lang w:val="de-DE"/>
              </w:rPr>
              <w:t xml:space="preserve"> </w:t>
            </w:r>
            <w:r w:rsidRPr="00E73F6F">
              <w:rPr>
                <w:lang w:val="de-DE"/>
              </w:rPr>
              <w:t>Sozialisationshypothese</w:t>
            </w:r>
          </w:p>
        </w:tc>
        <w:tc>
          <w:tcPr>
            <w:tcW w:w="1276" w:type="pct"/>
            <w:tcMar>
              <w:left w:w="57" w:type="dxa"/>
              <w:right w:w="57" w:type="dxa"/>
            </w:tcMar>
          </w:tcPr>
          <w:p w14:paraId="28D65003" w14:textId="77777777" w:rsidR="00FF7799" w:rsidRPr="00E73F6F" w:rsidRDefault="00FF7799" w:rsidP="003D58DC">
            <w:pPr>
              <w:pStyle w:val="StandardText"/>
              <w:jc w:val="left"/>
              <w:rPr>
                <w:lang w:val="de-DE"/>
              </w:rPr>
            </w:pPr>
            <w:r w:rsidRPr="00E73F6F">
              <w:rPr>
                <w:lang w:val="de-DE"/>
              </w:rPr>
              <w:t>Breite</w:t>
            </w:r>
            <w:r w:rsidRPr="00E73F6F">
              <w:rPr>
                <w:spacing w:val="-9"/>
                <w:lang w:val="de-DE"/>
              </w:rPr>
              <w:t xml:space="preserve"> </w:t>
            </w:r>
            <w:r w:rsidRPr="00E73F6F">
              <w:rPr>
                <w:lang w:val="de-DE"/>
              </w:rPr>
              <w:t>empirische</w:t>
            </w:r>
            <w:r w:rsidRPr="00E73F6F">
              <w:rPr>
                <w:spacing w:val="40"/>
                <w:lang w:val="de-DE"/>
              </w:rPr>
              <w:t xml:space="preserve"> </w:t>
            </w:r>
            <w:r w:rsidRPr="00E73F6F">
              <w:rPr>
                <w:spacing w:val="-4"/>
                <w:lang w:val="de-DE"/>
              </w:rPr>
              <w:t>Basis</w:t>
            </w:r>
            <w:r w:rsidR="001F4A8C">
              <w:rPr>
                <w:lang w:val="de-DE"/>
              </w:rPr>
              <w:t xml:space="preserve"> </w:t>
            </w:r>
            <w:r w:rsidRPr="00E73F6F">
              <w:rPr>
                <w:lang w:val="de-DE"/>
              </w:rPr>
              <w:t>(hohe</w:t>
            </w:r>
            <w:r w:rsidRPr="00E73F6F">
              <w:rPr>
                <w:spacing w:val="40"/>
                <w:lang w:val="de-DE"/>
              </w:rPr>
              <w:t xml:space="preserve"> </w:t>
            </w:r>
            <w:r w:rsidRPr="00E73F6F">
              <w:rPr>
                <w:lang w:val="de-DE"/>
              </w:rPr>
              <w:t>Aktualität)</w:t>
            </w:r>
          </w:p>
        </w:tc>
      </w:tr>
      <w:tr w:rsidR="00FF7799" w:rsidRPr="00E73F6F" w14:paraId="0BE91245" w14:textId="77777777" w:rsidTr="003D58DC">
        <w:trPr>
          <w:trHeight w:val="974"/>
        </w:trPr>
        <w:tc>
          <w:tcPr>
            <w:tcW w:w="1172" w:type="pct"/>
            <w:shd w:val="clear" w:color="auto" w:fill="FFF2CC" w:themeFill="accent4" w:themeFillTint="33"/>
            <w:tcMar>
              <w:left w:w="57" w:type="dxa"/>
              <w:right w:w="57" w:type="dxa"/>
            </w:tcMar>
          </w:tcPr>
          <w:p w14:paraId="5C7D635D" w14:textId="77777777" w:rsidR="00FF7799" w:rsidRPr="00E73F6F" w:rsidRDefault="00FF7799" w:rsidP="003D58DC">
            <w:pPr>
              <w:pStyle w:val="StandardText"/>
              <w:jc w:val="left"/>
              <w:rPr>
                <w:lang w:val="de-DE"/>
              </w:rPr>
            </w:pPr>
            <w:r w:rsidRPr="00E73F6F">
              <w:rPr>
                <w:lang w:val="de-DE"/>
              </w:rPr>
              <w:t>Wertetheorie</w:t>
            </w:r>
            <w:r w:rsidRPr="00E73F6F">
              <w:rPr>
                <w:spacing w:val="40"/>
                <w:lang w:val="de-DE"/>
              </w:rPr>
              <w:t xml:space="preserve"> </w:t>
            </w:r>
            <w:r w:rsidRPr="00E73F6F">
              <w:rPr>
                <w:lang w:val="de-DE"/>
              </w:rPr>
              <w:t>(Schwartz</w:t>
            </w:r>
            <w:r w:rsidRPr="00E73F6F">
              <w:rPr>
                <w:spacing w:val="-9"/>
                <w:lang w:val="de-DE"/>
              </w:rPr>
              <w:t xml:space="preserve"> </w:t>
            </w:r>
            <w:r w:rsidRPr="00E73F6F">
              <w:rPr>
                <w:lang w:val="de-DE"/>
              </w:rPr>
              <w:t>1999,</w:t>
            </w:r>
            <w:r w:rsidRPr="00E73F6F">
              <w:rPr>
                <w:spacing w:val="-9"/>
                <w:lang w:val="de-DE"/>
              </w:rPr>
              <w:t xml:space="preserve"> </w:t>
            </w:r>
            <w:r w:rsidRPr="00E73F6F">
              <w:rPr>
                <w:lang w:val="de-DE"/>
              </w:rPr>
              <w:t>1994)</w:t>
            </w:r>
          </w:p>
        </w:tc>
        <w:tc>
          <w:tcPr>
            <w:tcW w:w="1276" w:type="pct"/>
            <w:tcMar>
              <w:left w:w="57" w:type="dxa"/>
              <w:right w:w="57" w:type="dxa"/>
            </w:tcMar>
          </w:tcPr>
          <w:p w14:paraId="5159C7D1" w14:textId="77777777" w:rsidR="00FF7799" w:rsidRPr="00E73F6F" w:rsidRDefault="001F4A8C" w:rsidP="003D58DC">
            <w:pPr>
              <w:pStyle w:val="StandardText"/>
              <w:jc w:val="left"/>
              <w:rPr>
                <w:lang w:val="de-DE"/>
              </w:rPr>
            </w:pPr>
            <w:r>
              <w:rPr>
                <w:lang w:val="de-DE"/>
              </w:rPr>
              <w:t>Sieben</w:t>
            </w:r>
            <w:r>
              <w:rPr>
                <w:lang w:val="de-DE"/>
              </w:rPr>
              <w:tab/>
              <w:t xml:space="preserve"> </w:t>
            </w:r>
            <w:r w:rsidR="00FF7799" w:rsidRPr="00E73F6F">
              <w:rPr>
                <w:lang w:val="de-DE"/>
              </w:rPr>
              <w:t>kulturelle</w:t>
            </w:r>
            <w:r w:rsidR="00FF7799" w:rsidRPr="00E73F6F">
              <w:rPr>
                <w:spacing w:val="40"/>
                <w:lang w:val="de-DE"/>
              </w:rPr>
              <w:t xml:space="preserve"> </w:t>
            </w:r>
            <w:r w:rsidR="00FF7799" w:rsidRPr="00E73F6F">
              <w:rPr>
                <w:lang w:val="de-DE"/>
              </w:rPr>
              <w:t>Werte</w:t>
            </w:r>
            <w:r w:rsidR="00FF7799" w:rsidRPr="00E73F6F">
              <w:rPr>
                <w:lang w:val="de-DE"/>
              </w:rPr>
              <w:tab/>
            </w:r>
            <w:r w:rsidR="00FF7799" w:rsidRPr="00E73F6F">
              <w:rPr>
                <w:spacing w:val="-4"/>
                <w:lang w:val="de-DE"/>
              </w:rPr>
              <w:t>auf</w:t>
            </w:r>
            <w:r>
              <w:rPr>
                <w:lang w:val="de-DE"/>
              </w:rPr>
              <w:t xml:space="preserve"> </w:t>
            </w:r>
            <w:r w:rsidR="00FF7799" w:rsidRPr="00E73F6F">
              <w:rPr>
                <w:spacing w:val="-4"/>
                <w:lang w:val="de-DE"/>
              </w:rPr>
              <w:t>drei</w:t>
            </w:r>
            <w:r>
              <w:rPr>
                <w:spacing w:val="-4"/>
                <w:lang w:val="de-DE"/>
              </w:rPr>
              <w:br/>
            </w:r>
            <w:r w:rsidR="00FF7799" w:rsidRPr="00E73F6F">
              <w:rPr>
                <w:lang w:val="de-DE"/>
              </w:rPr>
              <w:t>bipolaren</w:t>
            </w:r>
            <w:r w:rsidR="00FF7799" w:rsidRPr="00E73F6F">
              <w:rPr>
                <w:spacing w:val="40"/>
                <w:lang w:val="de-DE"/>
              </w:rPr>
              <w:t xml:space="preserve"> </w:t>
            </w:r>
            <w:r w:rsidR="00FF7799" w:rsidRPr="00E73F6F">
              <w:rPr>
                <w:lang w:val="de-DE"/>
              </w:rPr>
              <w:t>Kulturdimensionen</w:t>
            </w:r>
          </w:p>
        </w:tc>
        <w:tc>
          <w:tcPr>
            <w:tcW w:w="1276" w:type="pct"/>
            <w:tcMar>
              <w:left w:w="57" w:type="dxa"/>
              <w:right w:w="57" w:type="dxa"/>
            </w:tcMar>
          </w:tcPr>
          <w:p w14:paraId="7C537F61" w14:textId="77777777" w:rsidR="00FF7799" w:rsidRPr="00E73F6F" w:rsidRDefault="00FF7799" w:rsidP="003D58DC">
            <w:pPr>
              <w:pStyle w:val="StandardText"/>
              <w:jc w:val="left"/>
              <w:rPr>
                <w:lang w:val="de-DE"/>
              </w:rPr>
            </w:pPr>
            <w:r w:rsidRPr="00E73F6F">
              <w:rPr>
                <w:lang w:val="de-DE"/>
              </w:rPr>
              <w:t>Theorie der universellen</w:t>
            </w:r>
            <w:r w:rsidRPr="00E73F6F">
              <w:rPr>
                <w:spacing w:val="40"/>
                <w:lang w:val="de-DE"/>
              </w:rPr>
              <w:t xml:space="preserve"> </w:t>
            </w:r>
            <w:r w:rsidRPr="00E73F6F">
              <w:rPr>
                <w:lang w:val="de-DE"/>
              </w:rPr>
              <w:t>Struktur menschlicher</w:t>
            </w:r>
            <w:r w:rsidRPr="00E73F6F">
              <w:rPr>
                <w:spacing w:val="40"/>
                <w:lang w:val="de-DE"/>
              </w:rPr>
              <w:t xml:space="preserve"> </w:t>
            </w:r>
            <w:r w:rsidRPr="00E73F6F">
              <w:rPr>
                <w:lang w:val="de-DE"/>
              </w:rPr>
              <w:t>Werte</w:t>
            </w:r>
          </w:p>
        </w:tc>
        <w:tc>
          <w:tcPr>
            <w:tcW w:w="1276" w:type="pct"/>
            <w:tcMar>
              <w:left w:w="57" w:type="dxa"/>
              <w:right w:w="57" w:type="dxa"/>
            </w:tcMar>
          </w:tcPr>
          <w:p w14:paraId="2A4AA001" w14:textId="77777777" w:rsidR="00FF7799" w:rsidRPr="00E73F6F" w:rsidRDefault="00FF7799" w:rsidP="003D58DC">
            <w:pPr>
              <w:pStyle w:val="StandardText"/>
              <w:jc w:val="left"/>
              <w:rPr>
                <w:lang w:val="de-DE"/>
              </w:rPr>
            </w:pPr>
            <w:r w:rsidRPr="00E73F6F">
              <w:rPr>
                <w:lang w:val="de-DE"/>
              </w:rPr>
              <w:t>Breite</w:t>
            </w:r>
            <w:r w:rsidRPr="00E73F6F">
              <w:rPr>
                <w:spacing w:val="2"/>
                <w:lang w:val="de-DE"/>
              </w:rPr>
              <w:t xml:space="preserve"> </w:t>
            </w:r>
            <w:r w:rsidRPr="00E73F6F">
              <w:rPr>
                <w:lang w:val="de-DE"/>
              </w:rPr>
              <w:t>empirische</w:t>
            </w:r>
            <w:r w:rsidRPr="00E73F6F">
              <w:rPr>
                <w:spacing w:val="40"/>
                <w:lang w:val="de-DE"/>
              </w:rPr>
              <w:t xml:space="preserve"> </w:t>
            </w:r>
            <w:r w:rsidRPr="00E73F6F">
              <w:rPr>
                <w:spacing w:val="-4"/>
                <w:lang w:val="de-DE"/>
              </w:rPr>
              <w:t>Basis</w:t>
            </w:r>
            <w:r w:rsidR="001F4A8C">
              <w:rPr>
                <w:lang w:val="de-DE"/>
              </w:rPr>
              <w:t xml:space="preserve"> </w:t>
            </w:r>
            <w:r w:rsidRPr="00E73F6F">
              <w:rPr>
                <w:lang w:val="de-DE"/>
              </w:rPr>
              <w:t>(externe</w:t>
            </w:r>
            <w:r w:rsidRPr="00E73F6F">
              <w:rPr>
                <w:spacing w:val="40"/>
                <w:lang w:val="de-DE"/>
              </w:rPr>
              <w:t xml:space="preserve"> </w:t>
            </w:r>
            <w:r w:rsidRPr="00E73F6F">
              <w:rPr>
                <w:lang w:val="de-DE"/>
              </w:rPr>
              <w:t>Validität</w:t>
            </w:r>
            <w:r w:rsidRPr="00E73F6F">
              <w:rPr>
                <w:spacing w:val="40"/>
                <w:lang w:val="de-DE"/>
              </w:rPr>
              <w:t xml:space="preserve"> </w:t>
            </w:r>
            <w:r w:rsidRPr="00E73F6F">
              <w:rPr>
                <w:lang w:val="de-DE"/>
              </w:rPr>
              <w:t>fragwürdig)</w:t>
            </w:r>
          </w:p>
        </w:tc>
      </w:tr>
      <w:tr w:rsidR="00FF7799" w:rsidRPr="00E73F6F" w14:paraId="7DB1D097" w14:textId="77777777" w:rsidTr="003D58DC">
        <w:trPr>
          <w:trHeight w:val="1279"/>
        </w:trPr>
        <w:tc>
          <w:tcPr>
            <w:tcW w:w="1172" w:type="pct"/>
            <w:shd w:val="clear" w:color="auto" w:fill="FFF2CC" w:themeFill="accent4" w:themeFillTint="33"/>
            <w:tcMar>
              <w:left w:w="57" w:type="dxa"/>
              <w:right w:w="57" w:type="dxa"/>
            </w:tcMar>
          </w:tcPr>
          <w:p w14:paraId="076E949F" w14:textId="77777777" w:rsidR="00FF7799" w:rsidRPr="00E73F6F" w:rsidRDefault="00FF7799" w:rsidP="003D58DC">
            <w:pPr>
              <w:pStyle w:val="StandardText"/>
              <w:jc w:val="left"/>
              <w:rPr>
                <w:lang w:val="de-DE"/>
              </w:rPr>
            </w:pPr>
            <w:r w:rsidRPr="00E73F6F">
              <w:rPr>
                <w:lang w:val="de-DE"/>
              </w:rPr>
              <w:t>GLOBE</w:t>
            </w:r>
          </w:p>
          <w:p w14:paraId="38484A0A" w14:textId="77777777" w:rsidR="00FF7799" w:rsidRPr="00E73F6F" w:rsidRDefault="00FF7799" w:rsidP="003D58DC">
            <w:pPr>
              <w:pStyle w:val="StandardText"/>
              <w:jc w:val="left"/>
              <w:rPr>
                <w:lang w:val="de-DE"/>
              </w:rPr>
            </w:pPr>
            <w:r w:rsidRPr="00E73F6F">
              <w:rPr>
                <w:lang w:val="de-DE"/>
              </w:rPr>
              <w:t>(House et al.</w:t>
            </w:r>
            <w:r w:rsidRPr="00E73F6F">
              <w:rPr>
                <w:spacing w:val="-1"/>
                <w:lang w:val="de-DE"/>
              </w:rPr>
              <w:t xml:space="preserve"> </w:t>
            </w:r>
            <w:r w:rsidRPr="00E73F6F">
              <w:rPr>
                <w:lang w:val="de-DE"/>
              </w:rPr>
              <w:t>2004)</w:t>
            </w:r>
          </w:p>
        </w:tc>
        <w:tc>
          <w:tcPr>
            <w:tcW w:w="1276" w:type="pct"/>
            <w:tcMar>
              <w:left w:w="57" w:type="dxa"/>
              <w:right w:w="57" w:type="dxa"/>
            </w:tcMar>
          </w:tcPr>
          <w:p w14:paraId="484D36E7" w14:textId="77777777" w:rsidR="00FF7799" w:rsidRPr="00E73F6F" w:rsidRDefault="00FF7799" w:rsidP="003D58DC">
            <w:pPr>
              <w:pStyle w:val="StandardText"/>
              <w:jc w:val="left"/>
              <w:rPr>
                <w:lang w:val="de-DE"/>
              </w:rPr>
            </w:pPr>
            <w:r w:rsidRPr="00E73F6F">
              <w:rPr>
                <w:spacing w:val="-4"/>
                <w:lang w:val="de-DE"/>
              </w:rPr>
              <w:t>Neun</w:t>
            </w:r>
            <w:r w:rsidRPr="00E73F6F">
              <w:rPr>
                <w:spacing w:val="40"/>
                <w:lang w:val="de-DE"/>
              </w:rPr>
              <w:t xml:space="preserve"> </w:t>
            </w:r>
            <w:r w:rsidRPr="00E73F6F">
              <w:rPr>
                <w:lang w:val="de-DE"/>
              </w:rPr>
              <w:t>Kulturdimensionen</w:t>
            </w:r>
            <w:r w:rsidRPr="00E73F6F">
              <w:rPr>
                <w:spacing w:val="40"/>
                <w:lang w:val="de-DE"/>
              </w:rPr>
              <w:t xml:space="preserve"> </w:t>
            </w:r>
            <w:r w:rsidRPr="00E73F6F">
              <w:rPr>
                <w:lang w:val="de-DE"/>
              </w:rPr>
              <w:t>(differenziert</w:t>
            </w:r>
            <w:r w:rsidRPr="00E73F6F">
              <w:rPr>
                <w:spacing w:val="70"/>
                <w:lang w:val="de-DE"/>
              </w:rPr>
              <w:t xml:space="preserve"> </w:t>
            </w:r>
            <w:r w:rsidRPr="00E73F6F">
              <w:rPr>
                <w:lang w:val="de-DE"/>
              </w:rPr>
              <w:t>nach</w:t>
            </w:r>
            <w:r w:rsidRPr="00E73F6F">
              <w:rPr>
                <w:spacing w:val="40"/>
                <w:lang w:val="de-DE"/>
              </w:rPr>
              <w:t xml:space="preserve"> </w:t>
            </w:r>
            <w:r w:rsidRPr="00E73F6F">
              <w:rPr>
                <w:lang w:val="de-DE"/>
              </w:rPr>
              <w:t>Ist-</w:t>
            </w:r>
            <w:r w:rsidRPr="00E73F6F">
              <w:rPr>
                <w:spacing w:val="-9"/>
                <w:lang w:val="de-DE"/>
              </w:rPr>
              <w:t xml:space="preserve"> </w:t>
            </w:r>
            <w:r w:rsidRPr="00E73F6F">
              <w:rPr>
                <w:lang w:val="de-DE"/>
              </w:rPr>
              <w:t>vs.</w:t>
            </w:r>
            <w:r w:rsidRPr="00E73F6F">
              <w:rPr>
                <w:spacing w:val="-9"/>
                <w:lang w:val="de-DE"/>
              </w:rPr>
              <w:t xml:space="preserve"> </w:t>
            </w:r>
            <w:r w:rsidRPr="00E73F6F">
              <w:rPr>
                <w:lang w:val="de-DE"/>
              </w:rPr>
              <w:t>Soll-Zustand</w:t>
            </w:r>
            <w:r w:rsidRPr="00E73F6F">
              <w:rPr>
                <w:spacing w:val="40"/>
                <w:lang w:val="de-DE"/>
              </w:rPr>
              <w:t xml:space="preserve"> </w:t>
            </w:r>
            <w:r w:rsidRPr="00E73F6F">
              <w:rPr>
                <w:lang w:val="de-DE"/>
              </w:rPr>
              <w:t>und</w:t>
            </w:r>
            <w:r w:rsidRPr="00E73F6F">
              <w:rPr>
                <w:spacing w:val="-8"/>
                <w:lang w:val="de-DE"/>
              </w:rPr>
              <w:t xml:space="preserve"> </w:t>
            </w:r>
            <w:r w:rsidRPr="00E73F6F">
              <w:rPr>
                <w:lang w:val="de-DE"/>
              </w:rPr>
              <w:t>Gesellschaft</w:t>
            </w:r>
            <w:r w:rsidRPr="00E73F6F">
              <w:rPr>
                <w:spacing w:val="-7"/>
                <w:lang w:val="de-DE"/>
              </w:rPr>
              <w:t xml:space="preserve"> </w:t>
            </w:r>
            <w:r w:rsidRPr="00E73F6F">
              <w:rPr>
                <w:lang w:val="de-DE"/>
              </w:rPr>
              <w:t>vs.</w:t>
            </w:r>
            <w:r w:rsidRPr="00E73F6F">
              <w:rPr>
                <w:spacing w:val="40"/>
                <w:lang w:val="de-DE"/>
              </w:rPr>
              <w:t xml:space="preserve"> </w:t>
            </w:r>
            <w:r w:rsidRPr="00E73F6F">
              <w:rPr>
                <w:lang w:val="de-DE"/>
              </w:rPr>
              <w:t>Organisation)</w:t>
            </w:r>
          </w:p>
        </w:tc>
        <w:tc>
          <w:tcPr>
            <w:tcW w:w="1276" w:type="pct"/>
            <w:tcMar>
              <w:left w:w="57" w:type="dxa"/>
              <w:right w:w="57" w:type="dxa"/>
            </w:tcMar>
          </w:tcPr>
          <w:p w14:paraId="55400A84" w14:textId="77777777" w:rsidR="00FF7799" w:rsidRPr="00E73F6F" w:rsidRDefault="00FF7799" w:rsidP="003D58DC">
            <w:pPr>
              <w:pStyle w:val="StandardText"/>
              <w:jc w:val="left"/>
              <w:rPr>
                <w:lang w:val="de-DE"/>
              </w:rPr>
            </w:pPr>
            <w:r w:rsidRPr="00E73F6F">
              <w:rPr>
                <w:lang w:val="de-DE"/>
              </w:rPr>
              <w:t>Weiterentwicklung</w:t>
            </w:r>
            <w:r w:rsidRPr="00E73F6F">
              <w:rPr>
                <w:spacing w:val="69"/>
                <w:lang w:val="de-DE"/>
              </w:rPr>
              <w:t xml:space="preserve"> </w:t>
            </w:r>
            <w:r w:rsidRPr="00E73F6F">
              <w:rPr>
                <w:lang w:val="de-DE"/>
              </w:rPr>
              <w:t>von</w:t>
            </w:r>
            <w:r w:rsidRPr="00E73F6F">
              <w:rPr>
                <w:spacing w:val="40"/>
                <w:lang w:val="de-DE"/>
              </w:rPr>
              <w:t xml:space="preserve"> </w:t>
            </w:r>
            <w:r w:rsidRPr="00E73F6F">
              <w:rPr>
                <w:lang w:val="de-DE"/>
              </w:rPr>
              <w:t>Kulturkonzeptionen</w:t>
            </w:r>
            <w:r w:rsidRPr="00E73F6F">
              <w:rPr>
                <w:spacing w:val="40"/>
                <w:lang w:val="de-DE"/>
              </w:rPr>
              <w:t xml:space="preserve"> </w:t>
            </w:r>
            <w:r w:rsidRPr="00E73F6F">
              <w:rPr>
                <w:lang w:val="de-DE"/>
              </w:rPr>
              <w:t>(Fundierung:</w:t>
            </w:r>
            <w:r w:rsidRPr="00E73F6F">
              <w:rPr>
                <w:spacing w:val="40"/>
                <w:lang w:val="de-DE"/>
              </w:rPr>
              <w:t xml:space="preserve"> </w:t>
            </w:r>
            <w:r w:rsidR="00B87BB8">
              <w:rPr>
                <w:lang w:val="de-DE"/>
              </w:rPr>
              <w:t xml:space="preserve">psychologische </w:t>
            </w:r>
            <w:r w:rsidRPr="00E73F6F">
              <w:rPr>
                <w:spacing w:val="-4"/>
                <w:lang w:val="de-DE"/>
              </w:rPr>
              <w:t>und</w:t>
            </w:r>
            <w:r w:rsidRPr="00E73F6F">
              <w:rPr>
                <w:spacing w:val="40"/>
                <w:lang w:val="de-DE"/>
              </w:rPr>
              <w:t xml:space="preserve"> </w:t>
            </w:r>
            <w:r w:rsidRPr="00E73F6F">
              <w:rPr>
                <w:lang w:val="de-DE"/>
              </w:rPr>
              <w:t>soziologische</w:t>
            </w:r>
            <w:r w:rsidRPr="00E73F6F">
              <w:rPr>
                <w:spacing w:val="-4"/>
                <w:lang w:val="de-DE"/>
              </w:rPr>
              <w:t xml:space="preserve"> </w:t>
            </w:r>
            <w:r w:rsidRPr="00E73F6F">
              <w:rPr>
                <w:lang w:val="de-DE"/>
              </w:rPr>
              <w:t>Theorien)</w:t>
            </w:r>
          </w:p>
        </w:tc>
        <w:tc>
          <w:tcPr>
            <w:tcW w:w="1276" w:type="pct"/>
            <w:tcMar>
              <w:left w:w="57" w:type="dxa"/>
              <w:right w:w="57" w:type="dxa"/>
            </w:tcMar>
          </w:tcPr>
          <w:p w14:paraId="14E0588D" w14:textId="77777777" w:rsidR="00FF7799" w:rsidRPr="00E73F6F" w:rsidRDefault="00FF7799" w:rsidP="003D58DC">
            <w:pPr>
              <w:pStyle w:val="StandardText"/>
              <w:jc w:val="left"/>
              <w:rPr>
                <w:lang w:val="de-DE"/>
              </w:rPr>
            </w:pPr>
            <w:r w:rsidRPr="00E73F6F">
              <w:rPr>
                <w:lang w:val="de-DE"/>
              </w:rPr>
              <w:t>Breite</w:t>
            </w:r>
            <w:r w:rsidRPr="00E73F6F">
              <w:rPr>
                <w:spacing w:val="2"/>
                <w:lang w:val="de-DE"/>
              </w:rPr>
              <w:t xml:space="preserve"> </w:t>
            </w:r>
            <w:r w:rsidRPr="00E73F6F">
              <w:rPr>
                <w:lang w:val="de-DE"/>
              </w:rPr>
              <w:t>empirische</w:t>
            </w:r>
            <w:r w:rsidRPr="00E73F6F">
              <w:rPr>
                <w:spacing w:val="40"/>
                <w:lang w:val="de-DE"/>
              </w:rPr>
              <w:t xml:space="preserve"> </w:t>
            </w:r>
            <w:r w:rsidRPr="00E73F6F">
              <w:rPr>
                <w:spacing w:val="-4"/>
                <w:lang w:val="de-DE"/>
              </w:rPr>
              <w:t>Basis</w:t>
            </w:r>
            <w:r w:rsidR="00B87BB8">
              <w:rPr>
                <w:lang w:val="de-DE"/>
              </w:rPr>
              <w:t xml:space="preserve"> </w:t>
            </w:r>
            <w:r w:rsidRPr="00E73F6F">
              <w:rPr>
                <w:spacing w:val="-4"/>
                <w:lang w:val="de-DE"/>
              </w:rPr>
              <w:t>(Güte</w:t>
            </w:r>
            <w:r w:rsidRPr="00E73F6F">
              <w:rPr>
                <w:spacing w:val="40"/>
                <w:lang w:val="de-DE"/>
              </w:rPr>
              <w:t xml:space="preserve"> </w:t>
            </w:r>
            <w:r w:rsidRPr="00E73F6F">
              <w:rPr>
                <w:lang w:val="de-DE"/>
              </w:rPr>
              <w:t>hinreichend</w:t>
            </w:r>
            <w:r w:rsidRPr="00E73F6F">
              <w:rPr>
                <w:spacing w:val="40"/>
                <w:lang w:val="de-DE"/>
              </w:rPr>
              <w:t xml:space="preserve"> </w:t>
            </w:r>
            <w:r w:rsidRPr="00E73F6F">
              <w:rPr>
                <w:lang w:val="de-DE"/>
              </w:rPr>
              <w:t>dokumentiert)</w:t>
            </w:r>
          </w:p>
        </w:tc>
      </w:tr>
    </w:tbl>
    <w:p w14:paraId="299C39FA" w14:textId="77777777" w:rsidR="00FF7799" w:rsidRPr="00443B51" w:rsidRDefault="00FF7799" w:rsidP="003D58DC">
      <w:pPr>
        <w:pStyle w:val="Quellen"/>
        <w:rPr>
          <w:lang w:val="en-US"/>
        </w:rPr>
      </w:pPr>
      <w:r w:rsidRPr="00E73F6F">
        <w:t>Quelle:</w:t>
      </w:r>
      <w:r w:rsidRPr="00E73F6F">
        <w:rPr>
          <w:spacing w:val="-1"/>
        </w:rPr>
        <w:t xml:space="preserve"> </w:t>
      </w:r>
      <w:r w:rsidRPr="00E73F6F">
        <w:t>Eigene</w:t>
      </w:r>
      <w:r w:rsidRPr="00E73F6F">
        <w:rPr>
          <w:spacing w:val="-2"/>
        </w:rPr>
        <w:t xml:space="preserve"> </w:t>
      </w:r>
      <w:r w:rsidRPr="00E73F6F">
        <w:t>Darstellung</w:t>
      </w:r>
      <w:r w:rsidRPr="00E73F6F">
        <w:rPr>
          <w:spacing w:val="-1"/>
        </w:rPr>
        <w:t xml:space="preserve"> </w:t>
      </w:r>
      <w:r w:rsidRPr="00E73F6F">
        <w:t>in</w:t>
      </w:r>
      <w:r w:rsidRPr="00E73F6F">
        <w:rPr>
          <w:spacing w:val="-3"/>
        </w:rPr>
        <w:t xml:space="preserve"> </w:t>
      </w:r>
      <w:r w:rsidRPr="00E73F6F">
        <w:t>Anlehnung</w:t>
      </w:r>
      <w:r w:rsidRPr="00E73F6F">
        <w:rPr>
          <w:spacing w:val="-1"/>
        </w:rPr>
        <w:t xml:space="preserve"> </w:t>
      </w:r>
      <w:r w:rsidRPr="00E73F6F">
        <w:t>an</w:t>
      </w:r>
      <w:r w:rsidRPr="00E73F6F">
        <w:rPr>
          <w:spacing w:val="-1"/>
        </w:rPr>
        <w:t xml:space="preserve"> </w:t>
      </w:r>
      <w:r w:rsidRPr="00E73F6F">
        <w:t>Müller et</w:t>
      </w:r>
      <w:r w:rsidRPr="00E73F6F">
        <w:rPr>
          <w:spacing w:val="-1"/>
        </w:rPr>
        <w:t xml:space="preserve"> </w:t>
      </w:r>
      <w:r w:rsidRPr="00E73F6F">
        <w:t xml:space="preserve">al. </w:t>
      </w:r>
      <w:r w:rsidRPr="00443B51">
        <w:rPr>
          <w:lang w:val="en-US"/>
        </w:rPr>
        <w:t>(2007,</w:t>
      </w:r>
      <w:r w:rsidRPr="00443B51">
        <w:rPr>
          <w:spacing w:val="-2"/>
          <w:lang w:val="en-US"/>
        </w:rPr>
        <w:t xml:space="preserve"> S.51).</w:t>
      </w:r>
    </w:p>
    <w:p w14:paraId="6968EEE1" w14:textId="77777777" w:rsidR="00DF5332" w:rsidRPr="00443B51" w:rsidRDefault="00DF5332" w:rsidP="003D58DC">
      <w:pPr>
        <w:pStyle w:val="StandardText"/>
        <w:rPr>
          <w:b/>
          <w:lang w:val="en-US"/>
        </w:rPr>
      </w:pPr>
    </w:p>
    <w:p w14:paraId="79A11D61" w14:textId="77777777" w:rsidR="00FF7799" w:rsidRPr="00B87BB8" w:rsidRDefault="00FF7799" w:rsidP="003D58DC">
      <w:pPr>
        <w:pStyle w:val="StandardText"/>
        <w:rPr>
          <w:sz w:val="22"/>
          <w:szCs w:val="22"/>
          <w:lang w:val="en-US"/>
        </w:rPr>
      </w:pPr>
      <w:r w:rsidRPr="00B87BB8">
        <w:rPr>
          <w:b/>
          <w:i/>
          <w:sz w:val="22"/>
          <w:szCs w:val="22"/>
          <w:lang w:val="en-US"/>
        </w:rPr>
        <w:t>Literatur</w:t>
      </w:r>
      <w:r w:rsidRPr="00B87BB8">
        <w:rPr>
          <w:i/>
          <w:sz w:val="22"/>
          <w:szCs w:val="22"/>
          <w:lang w:val="en-US"/>
        </w:rPr>
        <w:t>:</w:t>
      </w:r>
      <w:r w:rsidRPr="00B87BB8">
        <w:rPr>
          <w:sz w:val="22"/>
          <w:szCs w:val="22"/>
          <w:lang w:val="en-US"/>
        </w:rPr>
        <w:t xml:space="preserve"> Allaire, Y.; Firsirotu, M. (1984): Theories of Organizational Culture,</w:t>
      </w:r>
      <w:r w:rsidRPr="00B87BB8">
        <w:rPr>
          <w:spacing w:val="40"/>
          <w:sz w:val="22"/>
          <w:szCs w:val="22"/>
          <w:lang w:val="en-US"/>
        </w:rPr>
        <w:t xml:space="preserve"> </w:t>
      </w:r>
      <w:r w:rsidRPr="00B87BB8">
        <w:rPr>
          <w:sz w:val="22"/>
          <w:szCs w:val="22"/>
          <w:lang w:val="en-US"/>
        </w:rPr>
        <w:t>Organization Studies, 5(3): 193-226.</w:t>
      </w:r>
      <w:r w:rsidRPr="00B87BB8">
        <w:rPr>
          <w:spacing w:val="40"/>
          <w:sz w:val="22"/>
          <w:szCs w:val="22"/>
          <w:lang w:val="en-US"/>
        </w:rPr>
        <w:t xml:space="preserve"> </w:t>
      </w:r>
      <w:r w:rsidRPr="00B87BB8">
        <w:rPr>
          <w:sz w:val="22"/>
          <w:szCs w:val="22"/>
          <w:lang w:val="en-US"/>
        </w:rPr>
        <w:t>Bidney, O. (1968): Theoretical Anthropology, New</w:t>
      </w:r>
      <w:r w:rsidRPr="00B87BB8">
        <w:rPr>
          <w:spacing w:val="40"/>
          <w:sz w:val="22"/>
          <w:szCs w:val="22"/>
          <w:lang w:val="en-US"/>
        </w:rPr>
        <w:t xml:space="preserve"> </w:t>
      </w:r>
      <w:r w:rsidRPr="00B87BB8">
        <w:rPr>
          <w:sz w:val="22"/>
          <w:szCs w:val="22"/>
          <w:lang w:val="en-US"/>
        </w:rPr>
        <w:t>York.</w:t>
      </w:r>
      <w:r w:rsidRPr="00B87BB8">
        <w:rPr>
          <w:spacing w:val="80"/>
          <w:sz w:val="22"/>
          <w:szCs w:val="22"/>
          <w:lang w:val="en-US"/>
        </w:rPr>
        <w:t xml:space="preserve"> </w:t>
      </w:r>
      <w:r w:rsidRPr="00B87BB8">
        <w:rPr>
          <w:sz w:val="22"/>
          <w:szCs w:val="22"/>
          <w:lang w:val="en-US"/>
        </w:rPr>
        <w:t>Hall, E.T.; Hall, M.R. (1990): Understanding Cultural Differences, Yarmouth/ME: Intercultural Press.</w:t>
      </w:r>
      <w:r w:rsidRPr="00B87BB8">
        <w:rPr>
          <w:spacing w:val="80"/>
          <w:sz w:val="22"/>
          <w:szCs w:val="22"/>
          <w:lang w:val="en-US"/>
        </w:rPr>
        <w:t xml:space="preserve"> </w:t>
      </w:r>
      <w:r w:rsidRPr="00B87BB8">
        <w:rPr>
          <w:sz w:val="22"/>
          <w:szCs w:val="22"/>
          <w:lang w:val="en-US"/>
        </w:rPr>
        <w:t>Hofstede, G. (2001): Culture´s Consequences. Comparing Values,</w:t>
      </w:r>
      <w:r w:rsidRPr="00B87BB8">
        <w:rPr>
          <w:spacing w:val="40"/>
          <w:sz w:val="22"/>
          <w:szCs w:val="22"/>
          <w:lang w:val="en-US"/>
        </w:rPr>
        <w:t xml:space="preserve"> </w:t>
      </w:r>
      <w:r w:rsidRPr="00B87BB8">
        <w:rPr>
          <w:sz w:val="22"/>
          <w:szCs w:val="22"/>
          <w:lang w:val="en-US"/>
        </w:rPr>
        <w:t>Behaviors,</w:t>
      </w:r>
      <w:r w:rsidRPr="00B87BB8">
        <w:rPr>
          <w:spacing w:val="-10"/>
          <w:sz w:val="22"/>
          <w:szCs w:val="22"/>
          <w:lang w:val="en-US"/>
        </w:rPr>
        <w:t xml:space="preserve"> </w:t>
      </w:r>
      <w:r w:rsidRPr="00B87BB8">
        <w:rPr>
          <w:sz w:val="22"/>
          <w:szCs w:val="22"/>
          <w:lang w:val="en-US"/>
        </w:rPr>
        <w:t>Institutions</w:t>
      </w:r>
      <w:r w:rsidRPr="00B87BB8">
        <w:rPr>
          <w:spacing w:val="-10"/>
          <w:sz w:val="22"/>
          <w:szCs w:val="22"/>
          <w:lang w:val="en-US"/>
        </w:rPr>
        <w:t xml:space="preserve"> </w:t>
      </w:r>
      <w:r w:rsidRPr="00B87BB8">
        <w:rPr>
          <w:sz w:val="22"/>
          <w:szCs w:val="22"/>
          <w:lang w:val="en-US"/>
        </w:rPr>
        <w:t>and</w:t>
      </w:r>
      <w:r w:rsidRPr="00B87BB8">
        <w:rPr>
          <w:spacing w:val="-10"/>
          <w:sz w:val="22"/>
          <w:szCs w:val="22"/>
          <w:lang w:val="en-US"/>
        </w:rPr>
        <w:t xml:space="preserve"> </w:t>
      </w:r>
      <w:r w:rsidRPr="00B87BB8">
        <w:rPr>
          <w:sz w:val="22"/>
          <w:szCs w:val="22"/>
          <w:lang w:val="en-US"/>
        </w:rPr>
        <w:t>Organizations</w:t>
      </w:r>
      <w:r w:rsidRPr="00B87BB8">
        <w:rPr>
          <w:spacing w:val="-10"/>
          <w:sz w:val="22"/>
          <w:szCs w:val="22"/>
          <w:lang w:val="en-US"/>
        </w:rPr>
        <w:t xml:space="preserve"> </w:t>
      </w:r>
      <w:r w:rsidRPr="00B87BB8">
        <w:rPr>
          <w:sz w:val="22"/>
          <w:szCs w:val="22"/>
          <w:lang w:val="en-US"/>
        </w:rPr>
        <w:t>across</w:t>
      </w:r>
      <w:r w:rsidRPr="00B87BB8">
        <w:rPr>
          <w:spacing w:val="-10"/>
          <w:sz w:val="22"/>
          <w:szCs w:val="22"/>
          <w:lang w:val="en-US"/>
        </w:rPr>
        <w:t xml:space="preserve"> </w:t>
      </w:r>
      <w:r w:rsidRPr="00B87BB8">
        <w:rPr>
          <w:sz w:val="22"/>
          <w:szCs w:val="22"/>
          <w:lang w:val="en-US"/>
        </w:rPr>
        <w:t>Nations,</w:t>
      </w:r>
      <w:r w:rsidRPr="00B87BB8">
        <w:rPr>
          <w:spacing w:val="-10"/>
          <w:sz w:val="22"/>
          <w:szCs w:val="22"/>
          <w:lang w:val="en-US"/>
        </w:rPr>
        <w:t xml:space="preserve"> </w:t>
      </w:r>
      <w:r w:rsidRPr="00B87BB8">
        <w:rPr>
          <w:sz w:val="22"/>
          <w:szCs w:val="22"/>
          <w:lang w:val="en-US"/>
        </w:rPr>
        <w:t>2nd</w:t>
      </w:r>
      <w:r w:rsidRPr="00B87BB8">
        <w:rPr>
          <w:spacing w:val="-10"/>
          <w:sz w:val="22"/>
          <w:szCs w:val="22"/>
          <w:lang w:val="en-US"/>
        </w:rPr>
        <w:t xml:space="preserve"> </w:t>
      </w:r>
      <w:r w:rsidRPr="00B87BB8">
        <w:rPr>
          <w:sz w:val="22"/>
          <w:szCs w:val="22"/>
          <w:lang w:val="en-US"/>
        </w:rPr>
        <w:t>Ed.,</w:t>
      </w:r>
      <w:r w:rsidRPr="00B87BB8">
        <w:rPr>
          <w:spacing w:val="-10"/>
          <w:sz w:val="22"/>
          <w:szCs w:val="22"/>
          <w:lang w:val="en-US"/>
        </w:rPr>
        <w:t xml:space="preserve"> </w:t>
      </w:r>
      <w:r w:rsidRPr="00B87BB8">
        <w:rPr>
          <w:sz w:val="22"/>
          <w:szCs w:val="22"/>
          <w:lang w:val="en-US"/>
        </w:rPr>
        <w:t>Thousand</w:t>
      </w:r>
      <w:r w:rsidRPr="00B87BB8">
        <w:rPr>
          <w:spacing w:val="-10"/>
          <w:sz w:val="22"/>
          <w:szCs w:val="22"/>
          <w:lang w:val="en-US"/>
        </w:rPr>
        <w:t xml:space="preserve"> </w:t>
      </w:r>
      <w:r w:rsidRPr="00B87BB8">
        <w:rPr>
          <w:sz w:val="22"/>
          <w:szCs w:val="22"/>
          <w:lang w:val="en-US"/>
        </w:rPr>
        <w:t>Oaks/CA:</w:t>
      </w:r>
      <w:r w:rsidRPr="00B87BB8">
        <w:rPr>
          <w:spacing w:val="-10"/>
          <w:sz w:val="22"/>
          <w:szCs w:val="22"/>
          <w:lang w:val="en-US"/>
        </w:rPr>
        <w:t xml:space="preserve"> </w:t>
      </w:r>
      <w:r w:rsidRPr="00B87BB8">
        <w:rPr>
          <w:sz w:val="22"/>
          <w:szCs w:val="22"/>
          <w:lang w:val="en-US"/>
        </w:rPr>
        <w:t>Sage.</w:t>
      </w:r>
      <w:r w:rsidRPr="00B87BB8">
        <w:rPr>
          <w:spacing w:val="40"/>
          <w:sz w:val="22"/>
          <w:szCs w:val="22"/>
          <w:lang w:val="en-US"/>
        </w:rPr>
        <w:t xml:space="preserve"> </w:t>
      </w:r>
      <w:r w:rsidRPr="00B87BB8">
        <w:rPr>
          <w:sz w:val="22"/>
          <w:szCs w:val="22"/>
          <w:lang w:val="en-US"/>
        </w:rPr>
        <w:t>House, R.J.; Hanges, P.J.; Javidan, M.; Dorfman, P.W.; Gupta, V. (2004): Culture,</w:t>
      </w:r>
      <w:r w:rsidRPr="00B87BB8">
        <w:rPr>
          <w:spacing w:val="40"/>
          <w:sz w:val="22"/>
          <w:szCs w:val="22"/>
          <w:lang w:val="en-US"/>
        </w:rPr>
        <w:t xml:space="preserve"> </w:t>
      </w:r>
      <w:r w:rsidRPr="00B87BB8">
        <w:rPr>
          <w:sz w:val="22"/>
          <w:szCs w:val="22"/>
          <w:lang w:val="en-US"/>
        </w:rPr>
        <w:t>Leadership and Organizations, The GLOBE Study of 62 Societies, Thousand Oaks/CA:</w:t>
      </w:r>
      <w:r w:rsidRPr="00B87BB8">
        <w:rPr>
          <w:spacing w:val="40"/>
          <w:sz w:val="22"/>
          <w:szCs w:val="22"/>
          <w:lang w:val="en-US"/>
        </w:rPr>
        <w:t xml:space="preserve"> </w:t>
      </w:r>
      <w:r w:rsidRPr="00B87BB8">
        <w:rPr>
          <w:sz w:val="22"/>
          <w:szCs w:val="22"/>
          <w:lang w:val="en-US"/>
        </w:rPr>
        <w:t>Sage.</w:t>
      </w:r>
      <w:r w:rsidRPr="00B87BB8">
        <w:rPr>
          <w:spacing w:val="40"/>
          <w:sz w:val="22"/>
          <w:szCs w:val="22"/>
          <w:lang w:val="en-US"/>
        </w:rPr>
        <w:t xml:space="preserve"> </w:t>
      </w:r>
      <w:r w:rsidRPr="00B87BB8">
        <w:rPr>
          <w:sz w:val="22"/>
          <w:szCs w:val="22"/>
          <w:lang w:val="en-US"/>
        </w:rPr>
        <w:t>Inglehart,</w:t>
      </w:r>
      <w:r w:rsidRPr="00B87BB8">
        <w:rPr>
          <w:spacing w:val="-7"/>
          <w:sz w:val="22"/>
          <w:szCs w:val="22"/>
          <w:lang w:val="en-US"/>
        </w:rPr>
        <w:t xml:space="preserve"> </w:t>
      </w:r>
      <w:r w:rsidRPr="00B87BB8">
        <w:rPr>
          <w:sz w:val="22"/>
          <w:szCs w:val="22"/>
          <w:lang w:val="en-US"/>
        </w:rPr>
        <w:t>R.</w:t>
      </w:r>
      <w:r w:rsidRPr="00B87BB8">
        <w:rPr>
          <w:spacing w:val="-6"/>
          <w:sz w:val="22"/>
          <w:szCs w:val="22"/>
          <w:lang w:val="en-US"/>
        </w:rPr>
        <w:t xml:space="preserve"> </w:t>
      </w:r>
      <w:r w:rsidRPr="00B87BB8">
        <w:rPr>
          <w:sz w:val="22"/>
          <w:szCs w:val="22"/>
          <w:lang w:val="en-US"/>
        </w:rPr>
        <w:t>(1997):</w:t>
      </w:r>
      <w:r w:rsidRPr="00B87BB8">
        <w:rPr>
          <w:spacing w:val="-6"/>
          <w:sz w:val="22"/>
          <w:szCs w:val="22"/>
          <w:lang w:val="en-US"/>
        </w:rPr>
        <w:t xml:space="preserve"> </w:t>
      </w:r>
      <w:r w:rsidRPr="00B87BB8">
        <w:rPr>
          <w:sz w:val="22"/>
          <w:szCs w:val="22"/>
          <w:lang w:val="en-US"/>
        </w:rPr>
        <w:t>Modernization</w:t>
      </w:r>
      <w:r w:rsidRPr="00B87BB8">
        <w:rPr>
          <w:spacing w:val="-7"/>
          <w:sz w:val="22"/>
          <w:szCs w:val="22"/>
          <w:lang w:val="en-US"/>
        </w:rPr>
        <w:t xml:space="preserve"> </w:t>
      </w:r>
      <w:r w:rsidRPr="00B87BB8">
        <w:rPr>
          <w:sz w:val="22"/>
          <w:szCs w:val="22"/>
          <w:lang w:val="en-US"/>
        </w:rPr>
        <w:t>and</w:t>
      </w:r>
      <w:r w:rsidRPr="00B87BB8">
        <w:rPr>
          <w:spacing w:val="-6"/>
          <w:sz w:val="22"/>
          <w:szCs w:val="22"/>
          <w:lang w:val="en-US"/>
        </w:rPr>
        <w:t xml:space="preserve"> </w:t>
      </w:r>
      <w:r w:rsidRPr="00B87BB8">
        <w:rPr>
          <w:sz w:val="22"/>
          <w:szCs w:val="22"/>
          <w:lang w:val="en-US"/>
        </w:rPr>
        <w:t>Postmodernization.</w:t>
      </w:r>
      <w:r w:rsidRPr="00B87BB8">
        <w:rPr>
          <w:spacing w:val="-7"/>
          <w:sz w:val="22"/>
          <w:szCs w:val="22"/>
          <w:lang w:val="en-US"/>
        </w:rPr>
        <w:t xml:space="preserve"> </w:t>
      </w:r>
      <w:r w:rsidRPr="00B87BB8">
        <w:rPr>
          <w:sz w:val="22"/>
          <w:szCs w:val="22"/>
          <w:lang w:val="en-US"/>
        </w:rPr>
        <w:t>Cultural,</w:t>
      </w:r>
      <w:r w:rsidRPr="00B87BB8">
        <w:rPr>
          <w:spacing w:val="-2"/>
          <w:sz w:val="22"/>
          <w:szCs w:val="22"/>
          <w:lang w:val="en-US"/>
        </w:rPr>
        <w:t xml:space="preserve"> </w:t>
      </w:r>
      <w:r w:rsidRPr="00B87BB8">
        <w:rPr>
          <w:sz w:val="22"/>
          <w:szCs w:val="22"/>
          <w:lang w:val="en-US"/>
        </w:rPr>
        <w:t>Economic,</w:t>
      </w:r>
      <w:r w:rsidRPr="00B87BB8">
        <w:rPr>
          <w:spacing w:val="-7"/>
          <w:sz w:val="22"/>
          <w:szCs w:val="22"/>
          <w:lang w:val="en-US"/>
        </w:rPr>
        <w:t xml:space="preserve"> </w:t>
      </w:r>
      <w:r w:rsidRPr="00B87BB8">
        <w:rPr>
          <w:sz w:val="22"/>
          <w:szCs w:val="22"/>
          <w:lang w:val="en-US"/>
        </w:rPr>
        <w:t>and</w:t>
      </w:r>
      <w:r w:rsidRPr="00B87BB8">
        <w:rPr>
          <w:spacing w:val="40"/>
          <w:sz w:val="22"/>
          <w:szCs w:val="22"/>
          <w:lang w:val="en-US"/>
        </w:rPr>
        <w:t xml:space="preserve"> </w:t>
      </w:r>
      <w:r w:rsidRPr="00B87BB8">
        <w:rPr>
          <w:sz w:val="22"/>
          <w:szCs w:val="22"/>
          <w:lang w:val="en-US"/>
        </w:rPr>
        <w:t>Political Change in 43 Societies, Princeton/NJ: Princeton University Press.</w:t>
      </w:r>
      <w:r w:rsidRPr="00B87BB8">
        <w:rPr>
          <w:spacing w:val="40"/>
          <w:sz w:val="22"/>
          <w:szCs w:val="22"/>
          <w:lang w:val="en-US"/>
        </w:rPr>
        <w:t xml:space="preserve"> </w:t>
      </w:r>
      <w:r w:rsidRPr="00B87BB8">
        <w:rPr>
          <w:sz w:val="22"/>
          <w:szCs w:val="22"/>
        </w:rPr>
        <w:t>Keesing, R.</w:t>
      </w:r>
      <w:r w:rsidRPr="00B87BB8">
        <w:rPr>
          <w:spacing w:val="40"/>
          <w:sz w:val="22"/>
          <w:szCs w:val="22"/>
        </w:rPr>
        <w:t xml:space="preserve"> </w:t>
      </w:r>
      <w:r w:rsidRPr="00B87BB8">
        <w:rPr>
          <w:sz w:val="22"/>
          <w:szCs w:val="22"/>
        </w:rPr>
        <w:t>(1974):</w:t>
      </w:r>
      <w:r w:rsidRPr="00B87BB8">
        <w:rPr>
          <w:spacing w:val="-5"/>
          <w:sz w:val="22"/>
          <w:szCs w:val="22"/>
        </w:rPr>
        <w:t xml:space="preserve"> </w:t>
      </w:r>
      <w:r w:rsidRPr="00B87BB8">
        <w:rPr>
          <w:sz w:val="22"/>
          <w:szCs w:val="22"/>
        </w:rPr>
        <w:t>Theories</w:t>
      </w:r>
      <w:r w:rsidRPr="00B87BB8">
        <w:rPr>
          <w:spacing w:val="-6"/>
          <w:sz w:val="22"/>
          <w:szCs w:val="22"/>
        </w:rPr>
        <w:t xml:space="preserve"> </w:t>
      </w:r>
      <w:r w:rsidRPr="00B87BB8">
        <w:rPr>
          <w:sz w:val="22"/>
          <w:szCs w:val="22"/>
        </w:rPr>
        <w:t>of</w:t>
      </w:r>
      <w:r w:rsidRPr="00B87BB8">
        <w:rPr>
          <w:spacing w:val="-6"/>
          <w:sz w:val="22"/>
          <w:szCs w:val="22"/>
        </w:rPr>
        <w:t xml:space="preserve"> </w:t>
      </w:r>
      <w:r w:rsidRPr="00B87BB8">
        <w:rPr>
          <w:sz w:val="22"/>
          <w:szCs w:val="22"/>
        </w:rPr>
        <w:t>Cultural,</w:t>
      </w:r>
      <w:r w:rsidRPr="00B87BB8">
        <w:rPr>
          <w:spacing w:val="-3"/>
          <w:sz w:val="22"/>
          <w:szCs w:val="22"/>
        </w:rPr>
        <w:t xml:space="preserve"> </w:t>
      </w:r>
      <w:r w:rsidRPr="00B87BB8">
        <w:rPr>
          <w:sz w:val="22"/>
          <w:szCs w:val="22"/>
        </w:rPr>
        <w:t>Annual</w:t>
      </w:r>
      <w:r w:rsidRPr="00B87BB8">
        <w:rPr>
          <w:spacing w:val="-7"/>
          <w:sz w:val="22"/>
          <w:szCs w:val="22"/>
        </w:rPr>
        <w:t xml:space="preserve"> </w:t>
      </w:r>
      <w:r w:rsidRPr="00B87BB8">
        <w:rPr>
          <w:sz w:val="22"/>
          <w:szCs w:val="22"/>
        </w:rPr>
        <w:t>Review</w:t>
      </w:r>
      <w:r w:rsidRPr="00B87BB8">
        <w:rPr>
          <w:spacing w:val="-9"/>
          <w:sz w:val="22"/>
          <w:szCs w:val="22"/>
        </w:rPr>
        <w:t xml:space="preserve"> </w:t>
      </w:r>
      <w:r w:rsidRPr="00B87BB8">
        <w:rPr>
          <w:sz w:val="22"/>
          <w:szCs w:val="22"/>
        </w:rPr>
        <w:t>of</w:t>
      </w:r>
      <w:r w:rsidRPr="00B87BB8">
        <w:rPr>
          <w:spacing w:val="-4"/>
          <w:sz w:val="22"/>
          <w:szCs w:val="22"/>
        </w:rPr>
        <w:t xml:space="preserve"> </w:t>
      </w:r>
      <w:r w:rsidRPr="00B87BB8">
        <w:rPr>
          <w:sz w:val="22"/>
          <w:szCs w:val="22"/>
        </w:rPr>
        <w:t>Anthropology,</w:t>
      </w:r>
      <w:r w:rsidRPr="00B87BB8">
        <w:rPr>
          <w:spacing w:val="-7"/>
          <w:sz w:val="22"/>
          <w:szCs w:val="22"/>
        </w:rPr>
        <w:t xml:space="preserve"> </w:t>
      </w:r>
      <w:r w:rsidRPr="00B87BB8">
        <w:rPr>
          <w:sz w:val="22"/>
          <w:szCs w:val="22"/>
        </w:rPr>
        <w:t>4(3):</w:t>
      </w:r>
      <w:r w:rsidRPr="00B87BB8">
        <w:rPr>
          <w:spacing w:val="-7"/>
          <w:sz w:val="22"/>
          <w:szCs w:val="22"/>
        </w:rPr>
        <w:t xml:space="preserve"> </w:t>
      </w:r>
      <w:r w:rsidRPr="00B87BB8">
        <w:rPr>
          <w:sz w:val="22"/>
          <w:szCs w:val="22"/>
        </w:rPr>
        <w:t>73-97.</w:t>
      </w:r>
      <w:r w:rsidRPr="00B87BB8">
        <w:rPr>
          <w:spacing w:val="40"/>
          <w:sz w:val="22"/>
          <w:szCs w:val="22"/>
        </w:rPr>
        <w:t xml:space="preserve"> </w:t>
      </w:r>
      <w:r w:rsidRPr="00B87BB8">
        <w:rPr>
          <w:sz w:val="22"/>
          <w:szCs w:val="22"/>
        </w:rPr>
        <w:t>Kluckhohn,</w:t>
      </w:r>
      <w:r w:rsidRPr="00B87BB8">
        <w:rPr>
          <w:spacing w:val="-5"/>
          <w:sz w:val="22"/>
          <w:szCs w:val="22"/>
        </w:rPr>
        <w:t xml:space="preserve"> </w:t>
      </w:r>
      <w:r w:rsidRPr="00B87BB8">
        <w:rPr>
          <w:sz w:val="22"/>
          <w:szCs w:val="22"/>
        </w:rPr>
        <w:t>C.;</w:t>
      </w:r>
      <w:r w:rsidRPr="00B87BB8">
        <w:rPr>
          <w:spacing w:val="40"/>
          <w:sz w:val="22"/>
          <w:szCs w:val="22"/>
        </w:rPr>
        <w:t xml:space="preserve"> </w:t>
      </w:r>
      <w:r w:rsidRPr="00B87BB8">
        <w:rPr>
          <w:sz w:val="22"/>
          <w:szCs w:val="22"/>
        </w:rPr>
        <w:t>Kelly, W.H. (1972): Das Konzept der Kultur, in: König, R., Schmalfuss, A. (Hrsg.),</w:t>
      </w:r>
      <w:r w:rsidRPr="00B87BB8">
        <w:rPr>
          <w:spacing w:val="40"/>
          <w:sz w:val="22"/>
          <w:szCs w:val="22"/>
        </w:rPr>
        <w:t xml:space="preserve"> </w:t>
      </w:r>
      <w:r w:rsidRPr="00B87BB8">
        <w:rPr>
          <w:sz w:val="22"/>
          <w:szCs w:val="22"/>
        </w:rPr>
        <w:t>Kulturanthropologie, 68-90, Düsseldorf.</w:t>
      </w:r>
      <w:r w:rsidRPr="00B87BB8">
        <w:rPr>
          <w:spacing w:val="40"/>
          <w:sz w:val="22"/>
          <w:szCs w:val="22"/>
        </w:rPr>
        <w:t xml:space="preserve"> </w:t>
      </w:r>
      <w:r w:rsidRPr="00B87BB8">
        <w:rPr>
          <w:sz w:val="22"/>
          <w:szCs w:val="22"/>
          <w:lang w:val="en-US"/>
        </w:rPr>
        <w:t>Kluckhohn, F.R.; Strodtbeck, F.L. (1961):</w:t>
      </w:r>
      <w:r w:rsidRPr="00B87BB8">
        <w:rPr>
          <w:spacing w:val="40"/>
          <w:sz w:val="22"/>
          <w:szCs w:val="22"/>
          <w:lang w:val="en-US"/>
        </w:rPr>
        <w:t xml:space="preserve"> </w:t>
      </w:r>
      <w:r w:rsidRPr="00B87BB8">
        <w:rPr>
          <w:sz w:val="22"/>
          <w:szCs w:val="22"/>
          <w:lang w:val="en-US"/>
        </w:rPr>
        <w:t>Variations</w:t>
      </w:r>
      <w:r w:rsidRPr="00B87BB8">
        <w:rPr>
          <w:spacing w:val="-7"/>
          <w:sz w:val="22"/>
          <w:szCs w:val="22"/>
          <w:lang w:val="en-US"/>
        </w:rPr>
        <w:t xml:space="preserve"> </w:t>
      </w:r>
      <w:r w:rsidRPr="00B87BB8">
        <w:rPr>
          <w:sz w:val="22"/>
          <w:szCs w:val="22"/>
          <w:lang w:val="en-US"/>
        </w:rPr>
        <w:t>in</w:t>
      </w:r>
      <w:r w:rsidRPr="00B87BB8">
        <w:rPr>
          <w:spacing w:val="-4"/>
          <w:sz w:val="22"/>
          <w:szCs w:val="22"/>
          <w:lang w:val="en-US"/>
        </w:rPr>
        <w:t xml:space="preserve"> </w:t>
      </w:r>
      <w:r w:rsidRPr="00B87BB8">
        <w:rPr>
          <w:sz w:val="22"/>
          <w:szCs w:val="22"/>
          <w:lang w:val="en-US"/>
        </w:rPr>
        <w:t>Value</w:t>
      </w:r>
      <w:r w:rsidRPr="00B87BB8">
        <w:rPr>
          <w:spacing w:val="-5"/>
          <w:sz w:val="22"/>
          <w:szCs w:val="22"/>
          <w:lang w:val="en-US"/>
        </w:rPr>
        <w:t xml:space="preserve"> </w:t>
      </w:r>
      <w:r w:rsidRPr="00B87BB8">
        <w:rPr>
          <w:sz w:val="22"/>
          <w:szCs w:val="22"/>
          <w:lang w:val="en-US"/>
        </w:rPr>
        <w:t>Orientations,</w:t>
      </w:r>
      <w:r w:rsidRPr="00B87BB8">
        <w:rPr>
          <w:spacing w:val="-5"/>
          <w:sz w:val="22"/>
          <w:szCs w:val="22"/>
          <w:lang w:val="en-US"/>
        </w:rPr>
        <w:t xml:space="preserve"> </w:t>
      </w:r>
      <w:r w:rsidRPr="00B87BB8">
        <w:rPr>
          <w:sz w:val="22"/>
          <w:szCs w:val="22"/>
          <w:lang w:val="en-US"/>
        </w:rPr>
        <w:t>Westport/CT:</w:t>
      </w:r>
      <w:r w:rsidRPr="00B87BB8">
        <w:rPr>
          <w:spacing w:val="-6"/>
          <w:sz w:val="22"/>
          <w:szCs w:val="22"/>
          <w:lang w:val="en-US"/>
        </w:rPr>
        <w:t xml:space="preserve"> </w:t>
      </w:r>
      <w:r w:rsidRPr="00B87BB8">
        <w:rPr>
          <w:sz w:val="22"/>
          <w:szCs w:val="22"/>
          <w:lang w:val="en-US"/>
        </w:rPr>
        <w:t>Row,</w:t>
      </w:r>
      <w:r w:rsidRPr="00B87BB8">
        <w:rPr>
          <w:spacing w:val="-6"/>
          <w:sz w:val="22"/>
          <w:szCs w:val="22"/>
          <w:lang w:val="en-US"/>
        </w:rPr>
        <w:t xml:space="preserve"> </w:t>
      </w:r>
      <w:r w:rsidRPr="00B87BB8">
        <w:rPr>
          <w:sz w:val="22"/>
          <w:szCs w:val="22"/>
          <w:lang w:val="en-US"/>
        </w:rPr>
        <w:t>Peterson</w:t>
      </w:r>
      <w:r w:rsidRPr="00B87BB8">
        <w:rPr>
          <w:spacing w:val="-6"/>
          <w:sz w:val="22"/>
          <w:szCs w:val="22"/>
          <w:lang w:val="en-US"/>
        </w:rPr>
        <w:t xml:space="preserve"> </w:t>
      </w:r>
      <w:r w:rsidRPr="00B87BB8">
        <w:rPr>
          <w:sz w:val="22"/>
          <w:szCs w:val="22"/>
          <w:lang w:val="en-US"/>
        </w:rPr>
        <w:t>&amp;</w:t>
      </w:r>
      <w:r w:rsidRPr="00B87BB8">
        <w:rPr>
          <w:spacing w:val="-5"/>
          <w:sz w:val="22"/>
          <w:szCs w:val="22"/>
          <w:lang w:val="en-US"/>
        </w:rPr>
        <w:t xml:space="preserve"> </w:t>
      </w:r>
      <w:r w:rsidRPr="00B87BB8">
        <w:rPr>
          <w:sz w:val="22"/>
          <w:szCs w:val="22"/>
          <w:lang w:val="en-US"/>
        </w:rPr>
        <w:t>Company.</w:t>
      </w:r>
      <w:r w:rsidRPr="00B87BB8">
        <w:rPr>
          <w:spacing w:val="40"/>
          <w:sz w:val="22"/>
          <w:szCs w:val="22"/>
          <w:lang w:val="en-US"/>
        </w:rPr>
        <w:t xml:space="preserve"> </w:t>
      </w:r>
      <w:r w:rsidRPr="00B87BB8">
        <w:rPr>
          <w:sz w:val="22"/>
          <w:szCs w:val="22"/>
          <w:lang w:val="en-US"/>
        </w:rPr>
        <w:t>Kroeber,</w:t>
      </w:r>
      <w:r w:rsidRPr="00B87BB8">
        <w:rPr>
          <w:spacing w:val="-5"/>
          <w:sz w:val="22"/>
          <w:szCs w:val="22"/>
          <w:lang w:val="en-US"/>
        </w:rPr>
        <w:t xml:space="preserve"> </w:t>
      </w:r>
      <w:r w:rsidRPr="00B87BB8">
        <w:rPr>
          <w:sz w:val="22"/>
          <w:szCs w:val="22"/>
          <w:lang w:val="en-US"/>
        </w:rPr>
        <w:t>A.L.,</w:t>
      </w:r>
      <w:r w:rsidRPr="00B87BB8">
        <w:rPr>
          <w:spacing w:val="40"/>
          <w:sz w:val="22"/>
          <w:szCs w:val="22"/>
          <w:lang w:val="en-US"/>
        </w:rPr>
        <w:t xml:space="preserve"> </w:t>
      </w:r>
      <w:r w:rsidRPr="00B87BB8">
        <w:rPr>
          <w:sz w:val="22"/>
          <w:szCs w:val="22"/>
          <w:lang w:val="en-US"/>
        </w:rPr>
        <w:t>Kluckhohn, C. (1952): Culture, a Critical Review of Concepts and Definitions,</w:t>
      </w:r>
      <w:r w:rsidRPr="00B87BB8">
        <w:rPr>
          <w:spacing w:val="40"/>
          <w:sz w:val="22"/>
          <w:szCs w:val="22"/>
          <w:lang w:val="en-US"/>
        </w:rPr>
        <w:t xml:space="preserve"> </w:t>
      </w:r>
      <w:r w:rsidRPr="00B87BB8">
        <w:rPr>
          <w:sz w:val="22"/>
          <w:szCs w:val="22"/>
          <w:lang w:val="en-US"/>
        </w:rPr>
        <w:t>Cambridge/MA.</w:t>
      </w:r>
      <w:r w:rsidRPr="00B87BB8">
        <w:rPr>
          <w:spacing w:val="40"/>
          <w:sz w:val="22"/>
          <w:szCs w:val="22"/>
          <w:lang w:val="en-US"/>
        </w:rPr>
        <w:t xml:space="preserve"> </w:t>
      </w:r>
      <w:r w:rsidRPr="00B87BB8">
        <w:rPr>
          <w:sz w:val="22"/>
          <w:szCs w:val="22"/>
        </w:rPr>
        <w:t>Meissner,</w:t>
      </w:r>
      <w:r w:rsidRPr="00B87BB8">
        <w:rPr>
          <w:spacing w:val="-1"/>
          <w:sz w:val="22"/>
          <w:szCs w:val="22"/>
        </w:rPr>
        <w:t xml:space="preserve"> </w:t>
      </w:r>
      <w:r w:rsidRPr="00B87BB8">
        <w:rPr>
          <w:sz w:val="22"/>
          <w:szCs w:val="22"/>
        </w:rPr>
        <w:t>H.G. (1997):</w:t>
      </w:r>
      <w:r w:rsidRPr="00B87BB8">
        <w:rPr>
          <w:spacing w:val="-1"/>
          <w:sz w:val="22"/>
          <w:szCs w:val="22"/>
        </w:rPr>
        <w:t xml:space="preserve"> </w:t>
      </w:r>
      <w:r w:rsidRPr="00B87BB8">
        <w:rPr>
          <w:sz w:val="22"/>
          <w:szCs w:val="22"/>
        </w:rPr>
        <w:t>Der</w:t>
      </w:r>
      <w:r w:rsidRPr="00B87BB8">
        <w:rPr>
          <w:spacing w:val="-3"/>
          <w:sz w:val="22"/>
          <w:szCs w:val="22"/>
        </w:rPr>
        <w:t xml:space="preserve"> </w:t>
      </w:r>
      <w:r w:rsidRPr="00B87BB8">
        <w:rPr>
          <w:sz w:val="22"/>
          <w:szCs w:val="22"/>
        </w:rPr>
        <w:t>Kulturschock</w:t>
      </w:r>
      <w:r w:rsidRPr="00B87BB8">
        <w:rPr>
          <w:spacing w:val="-3"/>
          <w:sz w:val="22"/>
          <w:szCs w:val="22"/>
        </w:rPr>
        <w:t xml:space="preserve"> </w:t>
      </w:r>
      <w:r w:rsidRPr="00B87BB8">
        <w:rPr>
          <w:sz w:val="22"/>
          <w:szCs w:val="22"/>
        </w:rPr>
        <w:t>in</w:t>
      </w:r>
      <w:r w:rsidRPr="00B87BB8">
        <w:rPr>
          <w:spacing w:val="-3"/>
          <w:sz w:val="22"/>
          <w:szCs w:val="22"/>
        </w:rPr>
        <w:t xml:space="preserve"> </w:t>
      </w:r>
      <w:r w:rsidRPr="00B87BB8">
        <w:rPr>
          <w:sz w:val="22"/>
          <w:szCs w:val="22"/>
        </w:rPr>
        <w:t>der</w:t>
      </w:r>
      <w:r w:rsidRPr="00B87BB8">
        <w:rPr>
          <w:spacing w:val="-5"/>
          <w:sz w:val="22"/>
          <w:szCs w:val="22"/>
        </w:rPr>
        <w:t xml:space="preserve"> </w:t>
      </w:r>
      <w:r w:rsidRPr="00B87BB8">
        <w:rPr>
          <w:sz w:val="22"/>
          <w:szCs w:val="22"/>
        </w:rPr>
        <w:t>Betriebswirtschaftslehre,</w:t>
      </w:r>
      <w:r w:rsidRPr="00B87BB8">
        <w:rPr>
          <w:spacing w:val="40"/>
          <w:sz w:val="22"/>
          <w:szCs w:val="22"/>
        </w:rPr>
        <w:t xml:space="preserve"> </w:t>
      </w:r>
      <w:r w:rsidRPr="00B87BB8">
        <w:rPr>
          <w:sz w:val="22"/>
          <w:szCs w:val="22"/>
        </w:rPr>
        <w:t>in: Engelhard, J. (Hrsg.), Interkulturelles Management, 1-14, Wiesbaden: Gabler.</w:t>
      </w:r>
      <w:r w:rsidRPr="00B87BB8">
        <w:rPr>
          <w:spacing w:val="80"/>
          <w:sz w:val="22"/>
          <w:szCs w:val="22"/>
        </w:rPr>
        <w:t xml:space="preserve"> </w:t>
      </w:r>
      <w:r w:rsidRPr="00B87BB8">
        <w:rPr>
          <w:sz w:val="22"/>
          <w:szCs w:val="22"/>
        </w:rPr>
        <w:t>Müller,</w:t>
      </w:r>
      <w:r w:rsidRPr="00B87BB8">
        <w:rPr>
          <w:spacing w:val="40"/>
          <w:sz w:val="22"/>
          <w:szCs w:val="22"/>
        </w:rPr>
        <w:t xml:space="preserve"> </w:t>
      </w:r>
      <w:r w:rsidRPr="00B87BB8">
        <w:rPr>
          <w:sz w:val="22"/>
          <w:szCs w:val="22"/>
        </w:rPr>
        <w:t>S.; Wünschmann, S.; Wittig, K.; Hoffmann, S. (2007): Umweltbewusstes</w:t>
      </w:r>
      <w:r w:rsidRPr="00B87BB8">
        <w:rPr>
          <w:spacing w:val="40"/>
          <w:sz w:val="22"/>
          <w:szCs w:val="22"/>
        </w:rPr>
        <w:t xml:space="preserve"> </w:t>
      </w:r>
      <w:r w:rsidRPr="00B87BB8">
        <w:rPr>
          <w:sz w:val="22"/>
          <w:szCs w:val="22"/>
        </w:rPr>
        <w:t>Konsumentenverhalten im interkulturellen Vergleich, Göttingen: Cuvillier.</w:t>
      </w:r>
      <w:r w:rsidRPr="00B87BB8">
        <w:rPr>
          <w:spacing w:val="40"/>
          <w:sz w:val="22"/>
          <w:szCs w:val="22"/>
        </w:rPr>
        <w:t xml:space="preserve"> </w:t>
      </w:r>
      <w:r w:rsidRPr="00B87BB8">
        <w:rPr>
          <w:sz w:val="22"/>
          <w:szCs w:val="22"/>
          <w:lang w:val="en-US"/>
        </w:rPr>
        <w:t>Osgood, T.</w:t>
      </w:r>
      <w:r w:rsidRPr="00B87BB8">
        <w:rPr>
          <w:spacing w:val="40"/>
          <w:sz w:val="22"/>
          <w:szCs w:val="22"/>
          <w:lang w:val="en-US"/>
        </w:rPr>
        <w:t xml:space="preserve"> </w:t>
      </w:r>
      <w:r w:rsidRPr="00B87BB8">
        <w:rPr>
          <w:sz w:val="22"/>
          <w:szCs w:val="22"/>
          <w:lang w:val="en-US"/>
        </w:rPr>
        <w:t>(1951): Culture, its Empirical and Nonempirical Character, Southwestern Journal of</w:t>
      </w:r>
      <w:r w:rsidRPr="00B87BB8">
        <w:rPr>
          <w:spacing w:val="40"/>
          <w:sz w:val="22"/>
          <w:szCs w:val="22"/>
          <w:lang w:val="en-US"/>
        </w:rPr>
        <w:t xml:space="preserve"> </w:t>
      </w:r>
      <w:r w:rsidRPr="00B87BB8">
        <w:rPr>
          <w:sz w:val="22"/>
          <w:szCs w:val="22"/>
          <w:lang w:val="en-US"/>
        </w:rPr>
        <w:t>Anthropology, 7: 202-214.</w:t>
      </w:r>
      <w:r w:rsidRPr="00B87BB8">
        <w:rPr>
          <w:spacing w:val="40"/>
          <w:sz w:val="22"/>
          <w:szCs w:val="22"/>
          <w:lang w:val="en-US"/>
        </w:rPr>
        <w:t xml:space="preserve"> </w:t>
      </w:r>
      <w:r w:rsidRPr="00B87BB8">
        <w:rPr>
          <w:sz w:val="22"/>
          <w:szCs w:val="22"/>
          <w:lang w:val="en-US"/>
        </w:rPr>
        <w:t>Sackmann, S.A. (2002): Unternehmenskultur, Neuwied:</w:t>
      </w:r>
      <w:r w:rsidRPr="00B87BB8">
        <w:rPr>
          <w:spacing w:val="40"/>
          <w:sz w:val="22"/>
          <w:szCs w:val="22"/>
          <w:lang w:val="en-US"/>
        </w:rPr>
        <w:t xml:space="preserve"> </w:t>
      </w:r>
      <w:r w:rsidRPr="00B87BB8">
        <w:rPr>
          <w:sz w:val="22"/>
          <w:szCs w:val="22"/>
          <w:lang w:val="en-US"/>
        </w:rPr>
        <w:t>Luchterhand.</w:t>
      </w:r>
      <w:r w:rsidRPr="00B87BB8">
        <w:rPr>
          <w:spacing w:val="40"/>
          <w:sz w:val="22"/>
          <w:szCs w:val="22"/>
          <w:lang w:val="en-US"/>
        </w:rPr>
        <w:t xml:space="preserve"> </w:t>
      </w:r>
      <w:r w:rsidRPr="00B87BB8">
        <w:rPr>
          <w:sz w:val="22"/>
          <w:szCs w:val="22"/>
          <w:lang w:val="en-US"/>
        </w:rPr>
        <w:t>Schwartz, S.H. (1994): Are there Universal Aspects in the Structure and</w:t>
      </w:r>
      <w:r w:rsidRPr="00B87BB8">
        <w:rPr>
          <w:spacing w:val="40"/>
          <w:sz w:val="22"/>
          <w:szCs w:val="22"/>
          <w:lang w:val="en-US"/>
        </w:rPr>
        <w:t xml:space="preserve"> </w:t>
      </w:r>
      <w:r w:rsidRPr="00B87BB8">
        <w:rPr>
          <w:sz w:val="22"/>
          <w:szCs w:val="22"/>
          <w:lang w:val="en-US"/>
        </w:rPr>
        <w:t>Contents</w:t>
      </w:r>
      <w:r w:rsidRPr="00B87BB8">
        <w:rPr>
          <w:spacing w:val="-1"/>
          <w:sz w:val="22"/>
          <w:szCs w:val="22"/>
          <w:lang w:val="en-US"/>
        </w:rPr>
        <w:t xml:space="preserve"> </w:t>
      </w:r>
      <w:r w:rsidRPr="00B87BB8">
        <w:rPr>
          <w:sz w:val="22"/>
          <w:szCs w:val="22"/>
          <w:lang w:val="en-US"/>
        </w:rPr>
        <w:t>of Human Values? Journal</w:t>
      </w:r>
      <w:r w:rsidRPr="00B87BB8">
        <w:rPr>
          <w:spacing w:val="-1"/>
          <w:sz w:val="22"/>
          <w:szCs w:val="22"/>
          <w:lang w:val="en-US"/>
        </w:rPr>
        <w:t xml:space="preserve"> </w:t>
      </w:r>
      <w:r w:rsidRPr="00B87BB8">
        <w:rPr>
          <w:sz w:val="22"/>
          <w:szCs w:val="22"/>
          <w:lang w:val="en-US"/>
        </w:rPr>
        <w:t>of Social</w:t>
      </w:r>
      <w:r w:rsidRPr="00B87BB8">
        <w:rPr>
          <w:spacing w:val="-1"/>
          <w:sz w:val="22"/>
          <w:szCs w:val="22"/>
          <w:lang w:val="en-US"/>
        </w:rPr>
        <w:t xml:space="preserve"> </w:t>
      </w:r>
      <w:r w:rsidRPr="00B87BB8">
        <w:rPr>
          <w:sz w:val="22"/>
          <w:szCs w:val="22"/>
          <w:lang w:val="en-US"/>
        </w:rPr>
        <w:t>Issues,</w:t>
      </w:r>
      <w:r w:rsidRPr="00B87BB8">
        <w:rPr>
          <w:spacing w:val="-1"/>
          <w:sz w:val="22"/>
          <w:szCs w:val="22"/>
          <w:lang w:val="en-US"/>
        </w:rPr>
        <w:t xml:space="preserve"> </w:t>
      </w:r>
      <w:r w:rsidRPr="00B87BB8">
        <w:rPr>
          <w:sz w:val="22"/>
          <w:szCs w:val="22"/>
          <w:lang w:val="en-US"/>
        </w:rPr>
        <w:t>50(4):</w:t>
      </w:r>
      <w:r w:rsidRPr="00B87BB8">
        <w:rPr>
          <w:spacing w:val="-1"/>
          <w:sz w:val="22"/>
          <w:szCs w:val="22"/>
          <w:lang w:val="en-US"/>
        </w:rPr>
        <w:t xml:space="preserve"> </w:t>
      </w:r>
      <w:r w:rsidRPr="00B87BB8">
        <w:rPr>
          <w:sz w:val="22"/>
          <w:szCs w:val="22"/>
          <w:lang w:val="en-US"/>
        </w:rPr>
        <w:t>19-45.</w:t>
      </w:r>
      <w:r w:rsidRPr="00B87BB8">
        <w:rPr>
          <w:spacing w:val="80"/>
          <w:sz w:val="22"/>
          <w:szCs w:val="22"/>
          <w:lang w:val="en-US"/>
        </w:rPr>
        <w:t xml:space="preserve"> </w:t>
      </w:r>
      <w:r w:rsidRPr="00B87BB8">
        <w:rPr>
          <w:sz w:val="22"/>
          <w:szCs w:val="22"/>
          <w:lang w:val="en-US"/>
        </w:rPr>
        <w:t>Schwartz,</w:t>
      </w:r>
      <w:r w:rsidRPr="00B87BB8">
        <w:rPr>
          <w:spacing w:val="-1"/>
          <w:sz w:val="22"/>
          <w:szCs w:val="22"/>
          <w:lang w:val="en-US"/>
        </w:rPr>
        <w:t xml:space="preserve"> </w:t>
      </w:r>
      <w:r w:rsidRPr="00B87BB8">
        <w:rPr>
          <w:sz w:val="22"/>
          <w:szCs w:val="22"/>
          <w:lang w:val="en-US"/>
        </w:rPr>
        <w:t>S.H. (1999):</w:t>
      </w:r>
      <w:r w:rsidRPr="00B87BB8">
        <w:rPr>
          <w:spacing w:val="40"/>
          <w:sz w:val="22"/>
          <w:szCs w:val="22"/>
          <w:lang w:val="en-US"/>
        </w:rPr>
        <w:t xml:space="preserve"> </w:t>
      </w:r>
      <w:r w:rsidRPr="00B87BB8">
        <w:rPr>
          <w:sz w:val="22"/>
          <w:szCs w:val="22"/>
          <w:lang w:val="en-US"/>
        </w:rPr>
        <w:t>A Theory of Cultural Values and Some Implications for Work, Applied Psychology, 48(1):</w:t>
      </w:r>
      <w:r w:rsidRPr="00B87BB8">
        <w:rPr>
          <w:spacing w:val="40"/>
          <w:sz w:val="22"/>
          <w:szCs w:val="22"/>
          <w:lang w:val="en-US"/>
        </w:rPr>
        <w:t xml:space="preserve"> </w:t>
      </w:r>
      <w:r w:rsidRPr="00B87BB8">
        <w:rPr>
          <w:sz w:val="22"/>
          <w:szCs w:val="22"/>
          <w:lang w:val="en-US"/>
        </w:rPr>
        <w:t>23-47.</w:t>
      </w:r>
      <w:r w:rsidRPr="00B87BB8">
        <w:rPr>
          <w:spacing w:val="40"/>
          <w:sz w:val="22"/>
          <w:szCs w:val="22"/>
          <w:lang w:val="en-US"/>
        </w:rPr>
        <w:t xml:space="preserve"> </w:t>
      </w:r>
      <w:r w:rsidRPr="00B87BB8">
        <w:rPr>
          <w:sz w:val="22"/>
          <w:szCs w:val="22"/>
          <w:lang w:val="en-US"/>
        </w:rPr>
        <w:t>Trompenaars, F. (1993): Riding the Waves of Culture. Understanding Cultural</w:t>
      </w:r>
      <w:r w:rsidRPr="00B87BB8">
        <w:rPr>
          <w:spacing w:val="40"/>
          <w:sz w:val="22"/>
          <w:szCs w:val="22"/>
          <w:lang w:val="en-US"/>
        </w:rPr>
        <w:t xml:space="preserve"> </w:t>
      </w:r>
      <w:r w:rsidRPr="00B87BB8">
        <w:rPr>
          <w:sz w:val="22"/>
          <w:szCs w:val="22"/>
          <w:lang w:val="en-US"/>
        </w:rPr>
        <w:t>Diversity in Business, Brealey: London.</w:t>
      </w:r>
    </w:p>
    <w:p w14:paraId="34F104CE" w14:textId="77777777" w:rsidR="00FF7799" w:rsidRPr="00E35FFF" w:rsidRDefault="00FF7799" w:rsidP="003D58DC">
      <w:pPr>
        <w:pStyle w:val="StandardText"/>
        <w:rPr>
          <w:lang w:val="en-US"/>
        </w:rPr>
      </w:pPr>
    </w:p>
    <w:p w14:paraId="1D522256" w14:textId="77777777" w:rsidR="00FF7799" w:rsidRPr="00090A54" w:rsidRDefault="00FF7799" w:rsidP="00EF6F53">
      <w:pPr>
        <w:pStyle w:val="berschrift1"/>
        <w:rPr>
          <w:bCs w:val="0"/>
          <w:color w:val="2E74B5"/>
          <w:sz w:val="22"/>
        </w:rPr>
      </w:pPr>
      <w:r w:rsidRPr="00090A54">
        <w:rPr>
          <w:bCs w:val="0"/>
          <w:color w:val="2E74B5"/>
          <w:sz w:val="22"/>
        </w:rPr>
        <w:lastRenderedPageBreak/>
        <w:t xml:space="preserve">Kultur, relationale </w:t>
      </w:r>
    </w:p>
    <w:p w14:paraId="72FC0C5D" w14:textId="77777777" w:rsidR="00FF7799" w:rsidRPr="00E73F6F" w:rsidRDefault="00FF7799" w:rsidP="003D58DC">
      <w:pPr>
        <w:pStyle w:val="StandardText"/>
      </w:pPr>
      <w:r w:rsidRPr="00E73F6F">
        <w:t>Erklärungskonzept, welches die Art der Beziehungen zwischen den Mitgliedern einer Gesellschaft sowie deren Grad an Selb</w:t>
      </w:r>
      <w:r w:rsidR="00E35FFF">
        <w:t>storientierung berücksichtigt (</w:t>
      </w:r>
      <w:r w:rsidR="00E35FFF">
        <w:sym w:font="Symbol" w:char="F0DE"/>
      </w:r>
      <w:r w:rsidRPr="00E73F6F">
        <w:t xml:space="preserve"> horizontaler vs. vertikaler Individualismus-Kollektivismus</w:t>
      </w:r>
      <w:r w:rsidR="00E35FFF">
        <w:t xml:space="preserve">; </w:t>
      </w:r>
      <w:r w:rsidR="00E35FFF">
        <w:sym w:font="Symbol" w:char="F0DE"/>
      </w:r>
      <w:r w:rsidR="00E35FFF">
        <w:t xml:space="preserve"> Selbstbild</w:t>
      </w:r>
      <w:r w:rsidRPr="00E73F6F">
        <w:t>)</w:t>
      </w:r>
    </w:p>
    <w:p w14:paraId="4A7344CB" w14:textId="77777777" w:rsidR="00FF7799" w:rsidRPr="00E73F6F" w:rsidRDefault="00FF7799" w:rsidP="003D58DC">
      <w:pPr>
        <w:pStyle w:val="StandardText"/>
      </w:pPr>
    </w:p>
    <w:p w14:paraId="43230713" w14:textId="77777777" w:rsidR="00FF7799" w:rsidRPr="00090A54" w:rsidRDefault="00FF7799" w:rsidP="00EF6F53">
      <w:pPr>
        <w:pStyle w:val="berschrift1"/>
        <w:rPr>
          <w:bCs w:val="0"/>
          <w:color w:val="2E74B5"/>
          <w:sz w:val="22"/>
        </w:rPr>
      </w:pPr>
      <w:r w:rsidRPr="00090A54">
        <w:rPr>
          <w:bCs w:val="0"/>
          <w:color w:val="2E74B5"/>
          <w:sz w:val="22"/>
        </w:rPr>
        <w:t>Kultur: Etymologie</w:t>
      </w:r>
    </w:p>
    <w:p w14:paraId="31D329E3" w14:textId="6EB9979E" w:rsidR="00FF7799" w:rsidRPr="00E73F6F" w:rsidRDefault="00FF7799" w:rsidP="003D58DC">
      <w:pPr>
        <w:pStyle w:val="StandardText"/>
      </w:pPr>
      <w:r w:rsidRPr="00E73F6F">
        <w:t>nur auf den ersten Blick vergleichsweise eindeutiger Begriff</w:t>
      </w:r>
      <w:r w:rsidR="00090A54">
        <w:t>.</w:t>
      </w:r>
      <w:r w:rsidRPr="00E73F6F">
        <w:t xml:space="preserve"> Bei näherer Betrachtung erweist „Kultur“ sich rasch als mehrdeutig. Dafür sorgt nicht zuletzt der Umstand, dass die verschiedenen wissenschaftlichen Disziplinen und intellektuellen Denktraditionen diesen Terminus in fachspezifischer und damit häufig unterschiedlicher Weise verwenden (vgl. Bahadir 1998). Im angelsächsischen Sprachraum lässt sich das Wort ‘culture‘ erstmals 1483 in gedruckter Form nachweisen: im Sinne von ‘worship‘ und ‘reverential homage‘. Gemäß</w:t>
      </w:r>
      <w:r w:rsidRPr="00E73F6F">
        <w:rPr>
          <w:spacing w:val="33"/>
        </w:rPr>
        <w:t xml:space="preserve"> </w:t>
      </w:r>
      <w:r w:rsidRPr="00E73F6F">
        <w:t>dem</w:t>
      </w:r>
      <w:r w:rsidRPr="00E73F6F">
        <w:rPr>
          <w:spacing w:val="34"/>
        </w:rPr>
        <w:t xml:space="preserve"> </w:t>
      </w:r>
      <w:r w:rsidRPr="00E73F6F">
        <w:rPr>
          <w:i/>
        </w:rPr>
        <w:t>Oxford</w:t>
      </w:r>
      <w:r w:rsidRPr="00E73F6F">
        <w:rPr>
          <w:i/>
          <w:spacing w:val="33"/>
        </w:rPr>
        <w:t xml:space="preserve"> </w:t>
      </w:r>
      <w:r w:rsidRPr="00E73F6F">
        <w:rPr>
          <w:i/>
        </w:rPr>
        <w:t>English</w:t>
      </w:r>
      <w:r w:rsidRPr="00E73F6F">
        <w:rPr>
          <w:i/>
          <w:spacing w:val="34"/>
        </w:rPr>
        <w:t xml:space="preserve"> </w:t>
      </w:r>
      <w:r w:rsidRPr="00E73F6F">
        <w:rPr>
          <w:i/>
        </w:rPr>
        <w:t>Dictionary</w:t>
      </w:r>
      <w:r w:rsidRPr="00E73F6F">
        <w:rPr>
          <w:i/>
          <w:spacing w:val="34"/>
        </w:rPr>
        <w:t xml:space="preserve"> </w:t>
      </w:r>
      <w:r w:rsidRPr="00E73F6F">
        <w:t>war</w:t>
      </w:r>
      <w:r w:rsidRPr="00E73F6F">
        <w:rPr>
          <w:spacing w:val="34"/>
        </w:rPr>
        <w:t xml:space="preserve"> </w:t>
      </w:r>
      <w:r w:rsidRPr="00E73F6F">
        <w:t>damit</w:t>
      </w:r>
      <w:r w:rsidRPr="00E73F6F">
        <w:rPr>
          <w:spacing w:val="34"/>
        </w:rPr>
        <w:t xml:space="preserve"> </w:t>
      </w:r>
      <w:r w:rsidRPr="00E73F6F">
        <w:t>„Verehrung“</w:t>
      </w:r>
      <w:r w:rsidRPr="00E73F6F">
        <w:rPr>
          <w:spacing w:val="33"/>
        </w:rPr>
        <w:t xml:space="preserve"> </w:t>
      </w:r>
      <w:r w:rsidRPr="00E73F6F">
        <w:rPr>
          <w:spacing w:val="-4"/>
        </w:rPr>
        <w:t>bzw.</w:t>
      </w:r>
      <w:r w:rsidRPr="00E73F6F">
        <w:t xml:space="preserve"> „ehrerbietende</w:t>
      </w:r>
      <w:r w:rsidRPr="00E73F6F">
        <w:rPr>
          <w:spacing w:val="-2"/>
        </w:rPr>
        <w:t xml:space="preserve"> </w:t>
      </w:r>
      <w:r w:rsidRPr="00E73F6F">
        <w:t>Huldigung“</w:t>
      </w:r>
      <w:r w:rsidRPr="00E73F6F">
        <w:rPr>
          <w:spacing w:val="-2"/>
        </w:rPr>
        <w:t xml:space="preserve"> gemeint.</w:t>
      </w:r>
    </w:p>
    <w:p w14:paraId="0CFAB5F8" w14:textId="77777777" w:rsidR="00FF7799" w:rsidRPr="00E73F6F" w:rsidRDefault="00FF7799" w:rsidP="003D58DC">
      <w:pPr>
        <w:pStyle w:val="StandardText"/>
      </w:pPr>
      <w:r w:rsidRPr="00E73F6F">
        <w:t xml:space="preserve">Das Begriffsverständnis variierte im Laufe der Zeit. Wenn </w:t>
      </w:r>
      <w:r w:rsidRPr="00E73F6F">
        <w:rPr>
          <w:i/>
        </w:rPr>
        <w:t xml:space="preserve">Cicero </w:t>
      </w:r>
      <w:r w:rsidRPr="00E73F6F">
        <w:t>mit ‘cultura animi‘ die Philosophie bezeichnete und diese von der ‘agricultura‘ abhob, so deutete sich bereits damals eine begriffliche Mehrdeutigkeit an, die auch für das Frühhochdeutsche charakteristisch war. Gemäß ersten schriftlichen Zeugnissen aus</w:t>
      </w:r>
      <w:r w:rsidRPr="00E73F6F">
        <w:rPr>
          <w:spacing w:val="-4"/>
        </w:rPr>
        <w:t xml:space="preserve"> </w:t>
      </w:r>
      <w:r w:rsidRPr="00E73F6F">
        <w:t>dem</w:t>
      </w:r>
      <w:r w:rsidRPr="00E73F6F">
        <w:rPr>
          <w:spacing w:val="-4"/>
        </w:rPr>
        <w:t xml:space="preserve"> </w:t>
      </w:r>
      <w:r w:rsidRPr="00E73F6F">
        <w:t>Jahre</w:t>
      </w:r>
      <w:r w:rsidRPr="00E73F6F">
        <w:rPr>
          <w:spacing w:val="-4"/>
        </w:rPr>
        <w:t xml:space="preserve"> </w:t>
      </w:r>
      <w:r w:rsidRPr="00E73F6F">
        <w:t>1692</w:t>
      </w:r>
      <w:r w:rsidRPr="00E73F6F">
        <w:rPr>
          <w:spacing w:val="-2"/>
        </w:rPr>
        <w:t xml:space="preserve"> </w:t>
      </w:r>
      <w:r w:rsidRPr="00E73F6F">
        <w:t>meinte</w:t>
      </w:r>
      <w:r w:rsidRPr="00E73F6F">
        <w:rPr>
          <w:spacing w:val="-4"/>
        </w:rPr>
        <w:t xml:space="preserve"> </w:t>
      </w:r>
      <w:r w:rsidRPr="00E73F6F">
        <w:t>man</w:t>
      </w:r>
      <w:r w:rsidRPr="00E73F6F">
        <w:rPr>
          <w:spacing w:val="-2"/>
        </w:rPr>
        <w:t xml:space="preserve"> </w:t>
      </w:r>
      <w:r w:rsidRPr="00E73F6F">
        <w:t>in</w:t>
      </w:r>
      <w:r w:rsidRPr="00E73F6F">
        <w:rPr>
          <w:spacing w:val="-2"/>
        </w:rPr>
        <w:t xml:space="preserve"> </w:t>
      </w:r>
      <w:r w:rsidRPr="00E73F6F">
        <w:t>dieser</w:t>
      </w:r>
      <w:r w:rsidRPr="00E73F6F">
        <w:rPr>
          <w:spacing w:val="-1"/>
        </w:rPr>
        <w:t xml:space="preserve"> </w:t>
      </w:r>
      <w:r w:rsidRPr="00E73F6F">
        <w:t>Epoche</w:t>
      </w:r>
      <w:r w:rsidRPr="00E73F6F">
        <w:rPr>
          <w:spacing w:val="-4"/>
        </w:rPr>
        <w:t xml:space="preserve"> </w:t>
      </w:r>
      <w:r w:rsidRPr="00E73F6F">
        <w:t>mit</w:t>
      </w:r>
      <w:r w:rsidRPr="00E73F6F">
        <w:rPr>
          <w:spacing w:val="-3"/>
        </w:rPr>
        <w:t xml:space="preserve"> </w:t>
      </w:r>
      <w:r w:rsidRPr="00E73F6F">
        <w:t>„Kultur“</w:t>
      </w:r>
      <w:r w:rsidRPr="00E73F6F">
        <w:rPr>
          <w:spacing w:val="-4"/>
        </w:rPr>
        <w:t xml:space="preserve"> </w:t>
      </w:r>
      <w:r w:rsidRPr="00E73F6F">
        <w:t>vor</w:t>
      </w:r>
      <w:r w:rsidRPr="00E73F6F">
        <w:rPr>
          <w:spacing w:val="-6"/>
        </w:rPr>
        <w:t xml:space="preserve"> </w:t>
      </w:r>
      <w:r w:rsidRPr="00E73F6F">
        <w:t>allem</w:t>
      </w:r>
      <w:r w:rsidRPr="00E73F6F">
        <w:rPr>
          <w:spacing w:val="-4"/>
        </w:rPr>
        <w:t xml:space="preserve"> </w:t>
      </w:r>
      <w:r w:rsidRPr="00E73F6F">
        <w:t>„Pflege“ bzw. „Ausbildung“ (vgl. Hermann 1992, S.494). Auf beide Wurzeln lässt sich vermutlich unser heutiges Wortverständnis von „kultiviert“ zurückführen.</w:t>
      </w:r>
    </w:p>
    <w:p w14:paraId="0923B008" w14:textId="77777777" w:rsidR="00FF7799" w:rsidRPr="00E73F6F" w:rsidRDefault="00FF7799" w:rsidP="003D58DC">
      <w:pPr>
        <w:pStyle w:val="StandardText"/>
      </w:pPr>
      <w:r w:rsidRPr="00E73F6F">
        <w:t>Zu</w:t>
      </w:r>
      <w:r w:rsidRPr="00E73F6F">
        <w:rPr>
          <w:spacing w:val="36"/>
        </w:rPr>
        <w:t xml:space="preserve"> </w:t>
      </w:r>
      <w:r w:rsidRPr="00E73F6F">
        <w:t>Beginn</w:t>
      </w:r>
      <w:r w:rsidRPr="00E73F6F">
        <w:rPr>
          <w:spacing w:val="34"/>
        </w:rPr>
        <w:t xml:space="preserve"> </w:t>
      </w:r>
      <w:r w:rsidRPr="00E73F6F">
        <w:t>des</w:t>
      </w:r>
      <w:r w:rsidRPr="00E73F6F">
        <w:rPr>
          <w:spacing w:val="36"/>
        </w:rPr>
        <w:t xml:space="preserve"> </w:t>
      </w:r>
      <w:r w:rsidRPr="00E73F6F">
        <w:t>20.</w:t>
      </w:r>
      <w:r w:rsidRPr="00E73F6F">
        <w:rPr>
          <w:spacing w:val="35"/>
        </w:rPr>
        <w:t xml:space="preserve"> </w:t>
      </w:r>
      <w:r w:rsidRPr="00E73F6F">
        <w:t>Jahrhunderts</w:t>
      </w:r>
      <w:r w:rsidRPr="00E73F6F">
        <w:rPr>
          <w:spacing w:val="38"/>
        </w:rPr>
        <w:t xml:space="preserve"> </w:t>
      </w:r>
      <w:r w:rsidRPr="00E73F6F">
        <w:t>wurde</w:t>
      </w:r>
      <w:r w:rsidRPr="00E73F6F">
        <w:rPr>
          <w:spacing w:val="35"/>
        </w:rPr>
        <w:t xml:space="preserve"> </w:t>
      </w:r>
      <w:r w:rsidRPr="00E73F6F">
        <w:t>die</w:t>
      </w:r>
      <w:r w:rsidRPr="00E73F6F">
        <w:rPr>
          <w:spacing w:val="35"/>
        </w:rPr>
        <w:t xml:space="preserve"> </w:t>
      </w:r>
      <w:r w:rsidRPr="00E73F6F">
        <w:t>„bedeutungsvolle“</w:t>
      </w:r>
      <w:r w:rsidRPr="00E73F6F">
        <w:rPr>
          <w:spacing w:val="35"/>
        </w:rPr>
        <w:t xml:space="preserve"> </w:t>
      </w:r>
      <w:r w:rsidRPr="00E73F6F">
        <w:t>Kultur</w:t>
      </w:r>
      <w:r w:rsidRPr="00E73F6F">
        <w:rPr>
          <w:spacing w:val="33"/>
        </w:rPr>
        <w:t xml:space="preserve"> </w:t>
      </w:r>
      <w:r w:rsidRPr="00E73F6F">
        <w:t>von</w:t>
      </w:r>
      <w:r w:rsidRPr="00E73F6F">
        <w:rPr>
          <w:spacing w:val="37"/>
        </w:rPr>
        <w:t xml:space="preserve"> </w:t>
      </w:r>
      <w:r w:rsidRPr="00E73F6F">
        <w:rPr>
          <w:spacing w:val="-5"/>
        </w:rPr>
        <w:t xml:space="preserve">der </w:t>
      </w:r>
      <w:r w:rsidRPr="00E73F6F">
        <w:t>„gleichgültigen“ Natur abgegrenzt. Diese bringt die „frei“ aus der Erde wachsenden</w:t>
      </w:r>
      <w:r w:rsidRPr="00E73F6F">
        <w:rPr>
          <w:spacing w:val="-12"/>
        </w:rPr>
        <w:t xml:space="preserve"> </w:t>
      </w:r>
      <w:r w:rsidRPr="00E73F6F">
        <w:t>(Natur-)Produkte</w:t>
      </w:r>
      <w:r w:rsidRPr="00E73F6F">
        <w:rPr>
          <w:spacing w:val="-11"/>
        </w:rPr>
        <w:t xml:space="preserve"> </w:t>
      </w:r>
      <w:r w:rsidRPr="00E73F6F">
        <w:t>hervor,</w:t>
      </w:r>
      <w:r w:rsidRPr="00E73F6F">
        <w:rPr>
          <w:spacing w:val="-11"/>
        </w:rPr>
        <w:t xml:space="preserve"> </w:t>
      </w:r>
      <w:r w:rsidRPr="00E73F6F">
        <w:t>weshalb</w:t>
      </w:r>
      <w:r w:rsidRPr="00E73F6F">
        <w:rPr>
          <w:spacing w:val="-11"/>
        </w:rPr>
        <w:t xml:space="preserve"> </w:t>
      </w:r>
      <w:r w:rsidRPr="00E73F6F">
        <w:t>Natur</w:t>
      </w:r>
      <w:r w:rsidRPr="00E73F6F">
        <w:rPr>
          <w:spacing w:val="-11"/>
        </w:rPr>
        <w:t xml:space="preserve"> </w:t>
      </w:r>
      <w:r w:rsidRPr="00E73F6F">
        <w:t>das</w:t>
      </w:r>
      <w:r w:rsidRPr="00E73F6F">
        <w:rPr>
          <w:spacing w:val="-12"/>
        </w:rPr>
        <w:t xml:space="preserve"> </w:t>
      </w:r>
      <w:r w:rsidRPr="00E73F6F">
        <w:t>„von</w:t>
      </w:r>
      <w:r w:rsidRPr="00E73F6F">
        <w:rPr>
          <w:spacing w:val="-9"/>
        </w:rPr>
        <w:t xml:space="preserve"> </w:t>
      </w:r>
      <w:r w:rsidRPr="00E73F6F">
        <w:t>selbst</w:t>
      </w:r>
      <w:r w:rsidRPr="00E73F6F">
        <w:rPr>
          <w:spacing w:val="-11"/>
        </w:rPr>
        <w:t xml:space="preserve"> </w:t>
      </w:r>
      <w:r w:rsidRPr="00E73F6F">
        <w:t>Entstandene“ verkörpert. Kultur hingegen ist das vom Menschen Geschaffene oder z.B. durch Ackern und Säen absichtlich Gepflegte (vgl. Rickert 1926, S.18):</w:t>
      </w:r>
      <w:r w:rsidRPr="00E73F6F">
        <w:rPr>
          <w:spacing w:val="-3"/>
        </w:rPr>
        <w:t xml:space="preserve"> </w:t>
      </w:r>
      <w:r w:rsidRPr="00E73F6F">
        <w:t>Ein Zustand, in dem der Mensch sich dank eigenen Tuns „als des Glücks fähig“ erweist. Der seinem</w:t>
      </w:r>
      <w:r w:rsidRPr="00E73F6F">
        <w:rPr>
          <w:spacing w:val="30"/>
        </w:rPr>
        <w:t xml:space="preserve"> </w:t>
      </w:r>
      <w:r w:rsidRPr="00E73F6F">
        <w:t>Wesen</w:t>
      </w:r>
      <w:r w:rsidRPr="00E73F6F">
        <w:rPr>
          <w:spacing w:val="31"/>
        </w:rPr>
        <w:t xml:space="preserve"> </w:t>
      </w:r>
      <w:r w:rsidRPr="00E73F6F">
        <w:t>nach</w:t>
      </w:r>
      <w:r w:rsidRPr="00E73F6F">
        <w:rPr>
          <w:spacing w:val="31"/>
        </w:rPr>
        <w:t xml:space="preserve"> </w:t>
      </w:r>
      <w:r w:rsidRPr="00E73F6F">
        <w:t>„embryonale“</w:t>
      </w:r>
      <w:r w:rsidRPr="00E73F6F">
        <w:rPr>
          <w:spacing w:val="30"/>
        </w:rPr>
        <w:t xml:space="preserve"> </w:t>
      </w:r>
      <w:r w:rsidRPr="00E73F6F">
        <w:t>Mensch,</w:t>
      </w:r>
      <w:r w:rsidRPr="00E73F6F">
        <w:rPr>
          <w:spacing w:val="30"/>
        </w:rPr>
        <w:t xml:space="preserve"> </w:t>
      </w:r>
      <w:r w:rsidRPr="00E73F6F">
        <w:t>der</w:t>
      </w:r>
      <w:r w:rsidRPr="00E73F6F">
        <w:rPr>
          <w:spacing w:val="31"/>
        </w:rPr>
        <w:t xml:space="preserve"> </w:t>
      </w:r>
      <w:r w:rsidRPr="00E73F6F">
        <w:t>ohne</w:t>
      </w:r>
      <w:r w:rsidRPr="00E73F6F">
        <w:rPr>
          <w:spacing w:val="30"/>
        </w:rPr>
        <w:t xml:space="preserve"> </w:t>
      </w:r>
      <w:r w:rsidRPr="00E73F6F">
        <w:t>eine</w:t>
      </w:r>
      <w:r w:rsidRPr="00E73F6F">
        <w:rPr>
          <w:spacing w:val="30"/>
        </w:rPr>
        <w:t xml:space="preserve"> </w:t>
      </w:r>
      <w:r w:rsidRPr="00E73F6F">
        <w:rPr>
          <w:spacing w:val="-2"/>
        </w:rPr>
        <w:t xml:space="preserve">angeborene </w:t>
      </w:r>
      <w:r w:rsidRPr="00E73F6F">
        <w:t>zweckdienliche</w:t>
      </w:r>
      <w:r w:rsidRPr="00E73F6F">
        <w:rPr>
          <w:spacing w:val="-5"/>
        </w:rPr>
        <w:t xml:space="preserve"> </w:t>
      </w:r>
      <w:r w:rsidRPr="00E73F6F">
        <w:t>Ausstattung</w:t>
      </w:r>
      <w:r w:rsidRPr="00E73F6F">
        <w:rPr>
          <w:spacing w:val="-3"/>
        </w:rPr>
        <w:t xml:space="preserve"> </w:t>
      </w:r>
      <w:r w:rsidRPr="00E73F6F">
        <w:t>an</w:t>
      </w:r>
      <w:r w:rsidRPr="00E73F6F">
        <w:rPr>
          <w:spacing w:val="-3"/>
        </w:rPr>
        <w:t xml:space="preserve"> </w:t>
      </w:r>
      <w:r w:rsidRPr="00E73F6F">
        <w:t>Sinnen,</w:t>
      </w:r>
      <w:r w:rsidRPr="00E73F6F">
        <w:rPr>
          <w:spacing w:val="-4"/>
        </w:rPr>
        <w:t xml:space="preserve"> </w:t>
      </w:r>
      <w:r w:rsidRPr="00E73F6F">
        <w:t>Instinkten</w:t>
      </w:r>
      <w:r w:rsidRPr="00E73F6F">
        <w:rPr>
          <w:spacing w:val="-5"/>
        </w:rPr>
        <w:t xml:space="preserve"> </w:t>
      </w:r>
      <w:r w:rsidRPr="00E73F6F">
        <w:t>und</w:t>
      </w:r>
      <w:r w:rsidRPr="00E73F6F">
        <w:rPr>
          <w:spacing w:val="-3"/>
        </w:rPr>
        <w:t xml:space="preserve"> </w:t>
      </w:r>
      <w:r w:rsidRPr="00E73F6F">
        <w:t>Waffen auszukommen</w:t>
      </w:r>
      <w:r w:rsidRPr="00E73F6F">
        <w:rPr>
          <w:spacing w:val="-3"/>
        </w:rPr>
        <w:t xml:space="preserve"> </w:t>
      </w:r>
      <w:r w:rsidRPr="00E73F6F">
        <w:t>hat, muss die ihn umgebende, unwirtliche bzw. feindliche Natur zu seiner menschlichen Welt umarbeiten: zur Kultur (vgl. Gehlen 1962, S.36ff.).</w:t>
      </w:r>
    </w:p>
    <w:p w14:paraId="3924DA94" w14:textId="77777777" w:rsidR="00FF7799" w:rsidRPr="00E73F6F" w:rsidRDefault="00FF7799" w:rsidP="003D58DC">
      <w:pPr>
        <w:pStyle w:val="StandardText"/>
      </w:pPr>
      <w:r w:rsidRPr="00E73F6F">
        <w:t>Erst seit Ende des 18. Jahrhunderts verwendet man den Begriff im Kontext des Vergleichs</w:t>
      </w:r>
      <w:r w:rsidRPr="00E73F6F">
        <w:rPr>
          <w:spacing w:val="-6"/>
        </w:rPr>
        <w:t xml:space="preserve"> </w:t>
      </w:r>
      <w:r w:rsidRPr="00E73F6F">
        <w:t>verschiedener</w:t>
      </w:r>
      <w:r w:rsidRPr="00E73F6F">
        <w:rPr>
          <w:spacing w:val="-5"/>
        </w:rPr>
        <w:t xml:space="preserve"> </w:t>
      </w:r>
      <w:r w:rsidRPr="00E73F6F">
        <w:t>Gesellschaften</w:t>
      </w:r>
      <w:r w:rsidRPr="00E73F6F">
        <w:rPr>
          <w:spacing w:val="-5"/>
        </w:rPr>
        <w:t xml:space="preserve"> </w:t>
      </w:r>
      <w:r w:rsidRPr="00E73F6F">
        <w:t>(z.B.</w:t>
      </w:r>
      <w:r w:rsidRPr="00E73F6F">
        <w:rPr>
          <w:spacing w:val="-5"/>
        </w:rPr>
        <w:t xml:space="preserve"> </w:t>
      </w:r>
      <w:r w:rsidRPr="00E73F6F">
        <w:t>die</w:t>
      </w:r>
      <w:r w:rsidRPr="00E73F6F">
        <w:rPr>
          <w:spacing w:val="-6"/>
        </w:rPr>
        <w:t xml:space="preserve"> </w:t>
      </w:r>
      <w:r w:rsidRPr="00E73F6F">
        <w:t>europäische,</w:t>
      </w:r>
      <w:r w:rsidRPr="00E73F6F">
        <w:rPr>
          <w:spacing w:val="-7"/>
        </w:rPr>
        <w:t xml:space="preserve"> </w:t>
      </w:r>
      <w:r w:rsidRPr="00E73F6F">
        <w:t>die</w:t>
      </w:r>
      <w:r w:rsidRPr="00E73F6F">
        <w:rPr>
          <w:spacing w:val="-8"/>
        </w:rPr>
        <w:t xml:space="preserve"> </w:t>
      </w:r>
      <w:r w:rsidRPr="00E73F6F">
        <w:t>asiatische</w:t>
      </w:r>
      <w:r w:rsidRPr="00E73F6F">
        <w:rPr>
          <w:spacing w:val="-6"/>
        </w:rPr>
        <w:t xml:space="preserve"> </w:t>
      </w:r>
      <w:r w:rsidRPr="00E73F6F">
        <w:t>oder die</w:t>
      </w:r>
      <w:r w:rsidRPr="00E73F6F">
        <w:rPr>
          <w:spacing w:val="-7"/>
        </w:rPr>
        <w:t xml:space="preserve"> </w:t>
      </w:r>
      <w:r w:rsidRPr="00E73F6F">
        <w:t>afrikanische</w:t>
      </w:r>
      <w:r w:rsidRPr="00E73F6F">
        <w:rPr>
          <w:spacing w:val="-7"/>
        </w:rPr>
        <w:t xml:space="preserve"> </w:t>
      </w:r>
      <w:r w:rsidRPr="00E73F6F">
        <w:t>Kultur).</w:t>
      </w:r>
      <w:r w:rsidRPr="00E73F6F">
        <w:rPr>
          <w:spacing w:val="-6"/>
        </w:rPr>
        <w:t xml:space="preserve"> </w:t>
      </w:r>
      <w:r w:rsidRPr="00E73F6F">
        <w:t>Weil</w:t>
      </w:r>
      <w:r w:rsidRPr="00E73F6F">
        <w:rPr>
          <w:spacing w:val="-6"/>
        </w:rPr>
        <w:t xml:space="preserve"> </w:t>
      </w:r>
      <w:r w:rsidRPr="00E73F6F">
        <w:t>letztlich</w:t>
      </w:r>
      <w:r w:rsidRPr="00E73F6F">
        <w:rPr>
          <w:spacing w:val="-6"/>
        </w:rPr>
        <w:t xml:space="preserve"> </w:t>
      </w:r>
      <w:r w:rsidRPr="00E73F6F">
        <w:t>aber</w:t>
      </w:r>
      <w:r w:rsidRPr="00E73F6F">
        <w:rPr>
          <w:spacing w:val="-7"/>
        </w:rPr>
        <w:t xml:space="preserve"> </w:t>
      </w:r>
      <w:r w:rsidRPr="00E73F6F">
        <w:t>weitgehend</w:t>
      </w:r>
      <w:r w:rsidRPr="00E73F6F">
        <w:rPr>
          <w:spacing w:val="-6"/>
        </w:rPr>
        <w:t xml:space="preserve"> </w:t>
      </w:r>
      <w:r w:rsidRPr="00E73F6F">
        <w:t>unklar</w:t>
      </w:r>
      <w:r w:rsidRPr="00E73F6F">
        <w:rPr>
          <w:spacing w:val="-7"/>
        </w:rPr>
        <w:t xml:space="preserve"> </w:t>
      </w:r>
      <w:r w:rsidRPr="00E73F6F">
        <w:t>ist,</w:t>
      </w:r>
      <w:r w:rsidRPr="00E73F6F">
        <w:rPr>
          <w:spacing w:val="-8"/>
        </w:rPr>
        <w:t xml:space="preserve"> </w:t>
      </w:r>
      <w:r w:rsidRPr="00E73F6F">
        <w:t>wie</w:t>
      </w:r>
      <w:r w:rsidRPr="00E73F6F">
        <w:rPr>
          <w:spacing w:val="-7"/>
        </w:rPr>
        <w:t xml:space="preserve"> </w:t>
      </w:r>
      <w:r w:rsidRPr="00E73F6F">
        <w:t>und</w:t>
      </w:r>
      <w:r w:rsidRPr="00E73F6F">
        <w:rPr>
          <w:spacing w:val="-6"/>
        </w:rPr>
        <w:t xml:space="preserve"> </w:t>
      </w:r>
      <w:r w:rsidRPr="00E73F6F">
        <w:t>warum Kulturen sich unterschiedlich entwickeln und was etwaige Unterschiede zu bedeuten haben, kritisieren manche mittlerweile das Konzept als beliebig und andere als eine ethnozentrische Konstruktion der Europäer: „Wer glaubt, mit unserem Kulturbegriff einfache Gesellschaften von Fischern, Jägern und Sammlern beschreiben zu können, sitzt der Selbsttäuschung der Ethnologie auf, die auch eine Erfindung der Moderne ist“ (Baeker 1985, S.1).</w:t>
      </w:r>
    </w:p>
    <w:p w14:paraId="55E23808" w14:textId="77777777" w:rsidR="00FF7799" w:rsidRPr="00E73F6F" w:rsidRDefault="00FF7799" w:rsidP="003D58DC">
      <w:pPr>
        <w:pStyle w:val="StandardText"/>
      </w:pPr>
      <w:r w:rsidRPr="00E73F6F">
        <w:t>Eine verbindliche Begriffsdefinition steht deshalb weder zur Verfügung noch ist sie</w:t>
      </w:r>
      <w:r w:rsidRPr="00E73F6F">
        <w:rPr>
          <w:spacing w:val="-7"/>
        </w:rPr>
        <w:t xml:space="preserve"> </w:t>
      </w:r>
      <w:r w:rsidRPr="00E73F6F">
        <w:t>zu</w:t>
      </w:r>
      <w:r w:rsidRPr="00E73F6F">
        <w:rPr>
          <w:spacing w:val="-5"/>
        </w:rPr>
        <w:t xml:space="preserve"> </w:t>
      </w:r>
      <w:r w:rsidRPr="00E73F6F">
        <w:t>erwarten.</w:t>
      </w:r>
      <w:r w:rsidRPr="00E73F6F">
        <w:rPr>
          <w:spacing w:val="-8"/>
        </w:rPr>
        <w:t xml:space="preserve"> </w:t>
      </w:r>
      <w:r w:rsidRPr="00E73F6F">
        <w:t>Man</w:t>
      </w:r>
      <w:r w:rsidRPr="00E73F6F">
        <w:rPr>
          <w:spacing w:val="-8"/>
        </w:rPr>
        <w:t xml:space="preserve"> </w:t>
      </w:r>
      <w:r w:rsidRPr="00E73F6F">
        <w:t>kann</w:t>
      </w:r>
      <w:r w:rsidRPr="00E73F6F">
        <w:rPr>
          <w:spacing w:val="-5"/>
        </w:rPr>
        <w:t xml:space="preserve"> </w:t>
      </w:r>
      <w:r w:rsidRPr="00E73F6F">
        <w:t>lediglich</w:t>
      </w:r>
      <w:r w:rsidRPr="00E73F6F">
        <w:rPr>
          <w:spacing w:val="-5"/>
        </w:rPr>
        <w:t xml:space="preserve"> </w:t>
      </w:r>
      <w:r w:rsidRPr="00E73F6F">
        <w:t>die</w:t>
      </w:r>
      <w:r w:rsidRPr="00E73F6F">
        <w:rPr>
          <w:spacing w:val="-9"/>
        </w:rPr>
        <w:t xml:space="preserve"> </w:t>
      </w:r>
      <w:r w:rsidRPr="00E73F6F">
        <w:t>verschiedenen</w:t>
      </w:r>
      <w:r w:rsidRPr="00E73F6F">
        <w:rPr>
          <w:spacing w:val="-5"/>
        </w:rPr>
        <w:t xml:space="preserve"> </w:t>
      </w:r>
      <w:r w:rsidRPr="00E73F6F">
        <w:t>Theorien</w:t>
      </w:r>
      <w:r w:rsidRPr="00E73F6F">
        <w:rPr>
          <w:spacing w:val="-10"/>
        </w:rPr>
        <w:t xml:space="preserve"> </w:t>
      </w:r>
      <w:r w:rsidRPr="00E73F6F">
        <w:t>bzw.</w:t>
      </w:r>
      <w:r w:rsidRPr="00E73F6F">
        <w:rPr>
          <w:spacing w:val="-6"/>
        </w:rPr>
        <w:t xml:space="preserve"> </w:t>
      </w:r>
      <w:r w:rsidRPr="00E73F6F">
        <w:t>Strömungen danach unterscheiden, ob sie sich mit der Genese von Kultur …</w:t>
      </w:r>
    </w:p>
    <w:p w14:paraId="628C63B2" w14:textId="77777777" w:rsidR="00FF7799" w:rsidRPr="00E73F6F" w:rsidRDefault="00FF7799" w:rsidP="00090A54">
      <w:pPr>
        <w:pStyle w:val="StandardTextAufzhlung"/>
        <w:ind w:left="567"/>
      </w:pPr>
      <w:r w:rsidRPr="00E73F6F">
        <w:t>mehr</w:t>
      </w:r>
      <w:r w:rsidRPr="00E73F6F">
        <w:rPr>
          <w:spacing w:val="-1"/>
        </w:rPr>
        <w:t xml:space="preserve"> </w:t>
      </w:r>
      <w:r w:rsidRPr="00E73F6F">
        <w:t>(=</w:t>
      </w:r>
      <w:r w:rsidRPr="00E73F6F">
        <w:rPr>
          <w:spacing w:val="-2"/>
        </w:rPr>
        <w:t xml:space="preserve"> </w:t>
      </w:r>
      <w:r w:rsidRPr="00E73F6F">
        <w:t>dynamische</w:t>
      </w:r>
      <w:r w:rsidRPr="00E73F6F">
        <w:rPr>
          <w:spacing w:val="-2"/>
        </w:rPr>
        <w:t xml:space="preserve"> </w:t>
      </w:r>
      <w:r w:rsidRPr="00E73F6F">
        <w:t xml:space="preserve">Konzepte) </w:t>
      </w:r>
      <w:r w:rsidRPr="00E73F6F">
        <w:rPr>
          <w:spacing w:val="-4"/>
        </w:rPr>
        <w:t>oder</w:t>
      </w:r>
    </w:p>
    <w:p w14:paraId="3ED986DF" w14:textId="77777777" w:rsidR="00FF7799" w:rsidRPr="00E73F6F" w:rsidRDefault="00FF7799" w:rsidP="00090A54">
      <w:pPr>
        <w:pStyle w:val="StandardTextAufzhlung"/>
        <w:ind w:left="567"/>
      </w:pPr>
      <w:r w:rsidRPr="00E73F6F">
        <w:t>weniger</w:t>
      </w:r>
      <w:r w:rsidRPr="00E73F6F">
        <w:rPr>
          <w:spacing w:val="-2"/>
        </w:rPr>
        <w:t xml:space="preserve"> </w:t>
      </w:r>
      <w:r w:rsidRPr="00E73F6F">
        <w:t>(=</w:t>
      </w:r>
      <w:r w:rsidRPr="00E73F6F">
        <w:rPr>
          <w:spacing w:val="-1"/>
        </w:rPr>
        <w:t xml:space="preserve"> </w:t>
      </w:r>
      <w:r w:rsidRPr="00E73F6F">
        <w:t>statische</w:t>
      </w:r>
      <w:r w:rsidRPr="00E73F6F">
        <w:rPr>
          <w:spacing w:val="-2"/>
        </w:rPr>
        <w:t xml:space="preserve"> Konzepte)</w:t>
      </w:r>
    </w:p>
    <w:p w14:paraId="3A17DF5F" w14:textId="77777777" w:rsidR="00FF7799" w:rsidRPr="00E73F6F" w:rsidRDefault="00FF7799" w:rsidP="003D58DC">
      <w:pPr>
        <w:pStyle w:val="StandardText"/>
      </w:pPr>
      <w:r w:rsidRPr="00E73F6F">
        <w:t>befassen (vgl. z.B. Williams 1976; Sobrevilla 1971). So dominierte im 19. Jahrhundert ein statisches, universal-anthropologisches Begriffsverständnis, das wesentlich zur Vermengung von „Kultur“ und „Region“ beitrug. Die verschiedenen regionalwissenschaftlichen Disziplinen (z.B. Afrikanistik, Sinologie, Indologie</w:t>
      </w:r>
      <w:r w:rsidRPr="00E73F6F">
        <w:rPr>
          <w:spacing w:val="-1"/>
        </w:rPr>
        <w:t xml:space="preserve"> </w:t>
      </w:r>
      <w:r w:rsidRPr="00E73F6F">
        <w:t>oder Orientalistik)</w:t>
      </w:r>
      <w:r w:rsidRPr="00E73F6F">
        <w:rPr>
          <w:spacing w:val="-1"/>
        </w:rPr>
        <w:t xml:space="preserve"> </w:t>
      </w:r>
      <w:r w:rsidRPr="00E73F6F">
        <w:t>setzen beide Konzepte</w:t>
      </w:r>
      <w:r w:rsidRPr="00E73F6F">
        <w:rPr>
          <w:spacing w:val="-1"/>
        </w:rPr>
        <w:t xml:space="preserve"> </w:t>
      </w:r>
      <w:r w:rsidRPr="00E73F6F">
        <w:t>noch heute</w:t>
      </w:r>
      <w:r w:rsidRPr="00E73F6F">
        <w:rPr>
          <w:spacing w:val="-1"/>
        </w:rPr>
        <w:t xml:space="preserve"> </w:t>
      </w:r>
      <w:r w:rsidRPr="00E73F6F">
        <w:t xml:space="preserve">gleich. Entsprechendes gilt für die 'area studies': Multi-disziplinäre Regionalstudien, welche die </w:t>
      </w:r>
      <w:r w:rsidRPr="00E73F6F">
        <w:lastRenderedPageBreak/>
        <w:t>politischen, sozio-ökonomischen und kulturellen Gegebenheiten z.B. Europas, Nordamerikas oder Lateinamerikas analysieren.</w:t>
      </w:r>
    </w:p>
    <w:p w14:paraId="40E1087E" w14:textId="77777777" w:rsidR="00FF7799" w:rsidRPr="00E73F6F" w:rsidRDefault="00FF7799" w:rsidP="003D58DC">
      <w:pPr>
        <w:pStyle w:val="StandardText"/>
      </w:pPr>
      <w:r w:rsidRPr="00E73F6F">
        <w:t xml:space="preserve">In der ersten Hälfte des 20. Jahrhunderts kam es dann zu einer Aufspaltung, gleichermaßen als Konsequenz und Ausdruck einer damals akuten Rivalität zwischen </w:t>
      </w:r>
      <w:r w:rsidR="00B70510">
        <w:sym w:font="Symbol" w:char="F0DE"/>
      </w:r>
      <w:r w:rsidR="00B70510">
        <w:t xml:space="preserve"> </w:t>
      </w:r>
      <w:r w:rsidRPr="00E73F6F">
        <w:t>Anthropologie und Soziologie. Im Gegensatz zu den Anthropologen, die ihre ursprüngliche</w:t>
      </w:r>
      <w:r w:rsidRPr="00E73F6F">
        <w:rPr>
          <w:spacing w:val="40"/>
        </w:rPr>
        <w:t xml:space="preserve"> </w:t>
      </w:r>
      <w:r w:rsidRPr="00E73F6F">
        <w:t>statische Konzeption beibehielten und Kultur im Sinne von Verhaltensmustern</w:t>
      </w:r>
      <w:r w:rsidRPr="00E73F6F">
        <w:rPr>
          <w:spacing w:val="40"/>
        </w:rPr>
        <w:t xml:space="preserve"> </w:t>
      </w:r>
      <w:r w:rsidRPr="00E73F6F">
        <w:t>interpretierten</w:t>
      </w:r>
      <w:r w:rsidRPr="00E73F6F">
        <w:rPr>
          <w:spacing w:val="-1"/>
        </w:rPr>
        <w:t xml:space="preserve"> </w:t>
      </w:r>
      <w:r w:rsidRPr="00E73F6F">
        <w:t>('culture</w:t>
      </w:r>
      <w:r w:rsidRPr="00E73F6F">
        <w:rPr>
          <w:spacing w:val="-2"/>
        </w:rPr>
        <w:t xml:space="preserve"> </w:t>
      </w:r>
      <w:r w:rsidRPr="00E73F6F">
        <w:t xml:space="preserve">patterns'), </w:t>
      </w:r>
      <w:r w:rsidRPr="00E73F6F">
        <w:rPr>
          <w:spacing w:val="-2"/>
        </w:rPr>
        <w:t>entwickelten</w:t>
      </w:r>
    </w:p>
    <w:p w14:paraId="140FA078" w14:textId="77777777" w:rsidR="00FF7799" w:rsidRPr="00E73F6F" w:rsidRDefault="00FF7799" w:rsidP="003D58DC">
      <w:pPr>
        <w:pStyle w:val="StandardText"/>
      </w:pPr>
      <w:r w:rsidRPr="00E73F6F">
        <w:t>Soziologen eine vergleichsweise dynamische Perspektive: Sie begriffen Gesellschaft als eine</w:t>
      </w:r>
      <w:r w:rsidRPr="00E73F6F">
        <w:rPr>
          <w:spacing w:val="-1"/>
        </w:rPr>
        <w:t xml:space="preserve"> </w:t>
      </w:r>
      <w:r w:rsidRPr="00E73F6F">
        <w:t>Sozialstruktur</w:t>
      </w:r>
      <w:r w:rsidRPr="00E73F6F">
        <w:rPr>
          <w:spacing w:val="-1"/>
        </w:rPr>
        <w:t xml:space="preserve"> </w:t>
      </w:r>
      <w:r w:rsidRPr="00E73F6F">
        <w:t>('social</w:t>
      </w:r>
      <w:r w:rsidRPr="00E73F6F">
        <w:rPr>
          <w:spacing w:val="-1"/>
        </w:rPr>
        <w:t xml:space="preserve"> </w:t>
      </w:r>
      <w:r w:rsidRPr="00E73F6F">
        <w:t>structure'), d.h. als</w:t>
      </w:r>
      <w:r w:rsidRPr="00E73F6F">
        <w:rPr>
          <w:spacing w:val="-1"/>
        </w:rPr>
        <w:t xml:space="preserve"> </w:t>
      </w:r>
      <w:r w:rsidRPr="00E73F6F">
        <w:t>ein</w:t>
      </w:r>
      <w:r w:rsidRPr="00E73F6F">
        <w:rPr>
          <w:spacing w:val="-2"/>
        </w:rPr>
        <w:t xml:space="preserve"> </w:t>
      </w:r>
      <w:r w:rsidRPr="00E73F6F">
        <w:t>Netzwerk bzw. ein System sozialer Beziehungen, für das Kultur die Inhalte ('content') zur Verfügung stellt. Was später Hofstede (1991) metaphorisch als 'software of the mind'</w:t>
      </w:r>
      <w:r w:rsidRPr="00E73F6F">
        <w:rPr>
          <w:spacing w:val="-2"/>
        </w:rPr>
        <w:t xml:space="preserve"> </w:t>
      </w:r>
      <w:r w:rsidRPr="00E73F6F">
        <w:t>und</w:t>
      </w:r>
      <w:r w:rsidRPr="00E73F6F">
        <w:rPr>
          <w:spacing w:val="-2"/>
        </w:rPr>
        <w:t xml:space="preserve"> </w:t>
      </w:r>
      <w:r w:rsidRPr="00E73F6F">
        <w:t>Jaeger</w:t>
      </w:r>
      <w:r w:rsidRPr="00E73F6F">
        <w:rPr>
          <w:spacing w:val="-1"/>
        </w:rPr>
        <w:t xml:space="preserve"> </w:t>
      </w:r>
      <w:r w:rsidRPr="00E73F6F">
        <w:t>(1986,</w:t>
      </w:r>
      <w:r w:rsidRPr="00E73F6F">
        <w:rPr>
          <w:spacing w:val="-2"/>
        </w:rPr>
        <w:t xml:space="preserve"> </w:t>
      </w:r>
      <w:r w:rsidRPr="00E73F6F">
        <w:t>S.179)</w:t>
      </w:r>
      <w:r w:rsidRPr="00E73F6F">
        <w:rPr>
          <w:spacing w:val="-3"/>
        </w:rPr>
        <w:t xml:space="preserve"> </w:t>
      </w:r>
      <w:r w:rsidRPr="00E73F6F">
        <w:t>als</w:t>
      </w:r>
      <w:r w:rsidRPr="00E73F6F">
        <w:rPr>
          <w:spacing w:val="-1"/>
        </w:rPr>
        <w:t xml:space="preserve"> </w:t>
      </w:r>
      <w:r w:rsidRPr="00E73F6F">
        <w:t>'mental</w:t>
      </w:r>
      <w:r w:rsidRPr="00E73F6F">
        <w:rPr>
          <w:spacing w:val="-1"/>
        </w:rPr>
        <w:t xml:space="preserve"> </w:t>
      </w:r>
      <w:r w:rsidRPr="00E73F6F">
        <w:t>programs</w:t>
      </w:r>
      <w:r w:rsidRPr="00E73F6F">
        <w:rPr>
          <w:spacing w:val="-1"/>
        </w:rPr>
        <w:t xml:space="preserve"> </w:t>
      </w:r>
      <w:r w:rsidRPr="00E73F6F">
        <w:t>that</w:t>
      </w:r>
      <w:r w:rsidRPr="00E73F6F">
        <w:rPr>
          <w:spacing w:val="-3"/>
        </w:rPr>
        <w:t xml:space="preserve"> </w:t>
      </w:r>
      <w:r w:rsidRPr="00E73F6F">
        <w:t>are</w:t>
      </w:r>
      <w:r w:rsidRPr="00E73F6F">
        <w:rPr>
          <w:spacing w:val="-1"/>
        </w:rPr>
        <w:t xml:space="preserve"> </w:t>
      </w:r>
      <w:r w:rsidRPr="00E73F6F">
        <w:t>shared'</w:t>
      </w:r>
      <w:r w:rsidRPr="00E73F6F">
        <w:rPr>
          <w:spacing w:val="-2"/>
        </w:rPr>
        <w:t xml:space="preserve"> </w:t>
      </w:r>
      <w:r w:rsidRPr="00E73F6F">
        <w:t>umschrieben haben,</w:t>
      </w:r>
      <w:r w:rsidRPr="00E73F6F">
        <w:rPr>
          <w:spacing w:val="-12"/>
        </w:rPr>
        <w:t xml:space="preserve"> </w:t>
      </w:r>
      <w:r w:rsidRPr="00E73F6F">
        <w:t>bezeichnet</w:t>
      </w:r>
      <w:r w:rsidRPr="00E73F6F">
        <w:rPr>
          <w:spacing w:val="-11"/>
        </w:rPr>
        <w:t xml:space="preserve"> </w:t>
      </w:r>
      <w:r w:rsidRPr="00E73F6F">
        <w:t>die</w:t>
      </w:r>
      <w:r w:rsidRPr="00E73F6F">
        <w:rPr>
          <w:spacing w:val="-11"/>
        </w:rPr>
        <w:t xml:space="preserve"> </w:t>
      </w:r>
      <w:r w:rsidRPr="00E73F6F">
        <w:t>nüchterne</w:t>
      </w:r>
      <w:r w:rsidRPr="00E73F6F">
        <w:rPr>
          <w:spacing w:val="-11"/>
        </w:rPr>
        <w:t xml:space="preserve"> </w:t>
      </w:r>
      <w:r w:rsidRPr="00E73F6F">
        <w:t>Wissenschaftssprache</w:t>
      </w:r>
      <w:r w:rsidRPr="00E73F6F">
        <w:rPr>
          <w:spacing w:val="-12"/>
        </w:rPr>
        <w:t xml:space="preserve"> </w:t>
      </w:r>
      <w:r w:rsidRPr="00E73F6F">
        <w:t>als</w:t>
      </w:r>
      <w:r w:rsidRPr="00E73F6F">
        <w:rPr>
          <w:spacing w:val="-11"/>
        </w:rPr>
        <w:t xml:space="preserve"> </w:t>
      </w:r>
      <w:r w:rsidRPr="00E73F6F">
        <w:t>die</w:t>
      </w:r>
      <w:r w:rsidRPr="00E73F6F">
        <w:rPr>
          <w:spacing w:val="-11"/>
        </w:rPr>
        <w:t xml:space="preserve"> </w:t>
      </w:r>
      <w:r w:rsidRPr="00E73F6F">
        <w:t>für</w:t>
      </w:r>
      <w:r w:rsidRPr="00E73F6F">
        <w:rPr>
          <w:spacing w:val="-11"/>
        </w:rPr>
        <w:t xml:space="preserve"> </w:t>
      </w:r>
      <w:r w:rsidRPr="00E73F6F">
        <w:t>eine</w:t>
      </w:r>
      <w:r w:rsidRPr="00E73F6F">
        <w:rPr>
          <w:spacing w:val="-12"/>
        </w:rPr>
        <w:t xml:space="preserve"> </w:t>
      </w:r>
      <w:r w:rsidRPr="00E73F6F">
        <w:t>Gesellschaft spezifische Kombination von …</w:t>
      </w:r>
    </w:p>
    <w:p w14:paraId="368BD524" w14:textId="77777777" w:rsidR="00FF7799" w:rsidRPr="00E73F6F" w:rsidRDefault="00FF7799" w:rsidP="00090A54">
      <w:pPr>
        <w:pStyle w:val="StandardTextAufzhlung"/>
        <w:ind w:left="567"/>
      </w:pPr>
      <w:r w:rsidRPr="00E73F6F">
        <w:t>Werten,</w:t>
      </w:r>
    </w:p>
    <w:p w14:paraId="2D7C8CBD" w14:textId="77777777" w:rsidR="00FF7799" w:rsidRPr="00E73F6F" w:rsidRDefault="00FF7799" w:rsidP="00090A54">
      <w:pPr>
        <w:pStyle w:val="StandardTextAufzhlung"/>
        <w:ind w:left="567"/>
      </w:pPr>
      <w:r w:rsidRPr="00E73F6F">
        <w:t>grundlegenden</w:t>
      </w:r>
      <w:r w:rsidRPr="00E73F6F">
        <w:rPr>
          <w:spacing w:val="-3"/>
        </w:rPr>
        <w:t xml:space="preserve"> </w:t>
      </w:r>
      <w:r w:rsidRPr="00E73F6F">
        <w:t>Überzeugungen</w:t>
      </w:r>
      <w:r w:rsidRPr="00E73F6F">
        <w:rPr>
          <w:spacing w:val="-4"/>
        </w:rPr>
        <w:t xml:space="preserve"> </w:t>
      </w:r>
      <w:r w:rsidRPr="00E73F6F">
        <w:rPr>
          <w:spacing w:val="-5"/>
        </w:rPr>
        <w:t>und</w:t>
      </w:r>
    </w:p>
    <w:p w14:paraId="1E2FED27" w14:textId="77777777" w:rsidR="00FF7799" w:rsidRPr="00E73F6F" w:rsidRDefault="00FF7799" w:rsidP="00090A54">
      <w:pPr>
        <w:pStyle w:val="StandardTextAufzhlung"/>
        <w:ind w:left="567"/>
      </w:pPr>
      <w:r w:rsidRPr="00E73F6F">
        <w:t>Annahmen</w:t>
      </w:r>
      <w:r w:rsidRPr="00E73F6F">
        <w:rPr>
          <w:spacing w:val="-1"/>
        </w:rPr>
        <w:t xml:space="preserve"> </w:t>
      </w:r>
      <w:r w:rsidRPr="00E73F6F">
        <w:t>(über</w:t>
      </w:r>
      <w:r w:rsidRPr="00E73F6F">
        <w:rPr>
          <w:spacing w:val="-5"/>
        </w:rPr>
        <w:t xml:space="preserve"> </w:t>
      </w:r>
      <w:r w:rsidRPr="00E73F6F">
        <w:t>die</w:t>
      </w:r>
      <w:r w:rsidRPr="00E73F6F">
        <w:rPr>
          <w:spacing w:val="-1"/>
        </w:rPr>
        <w:t xml:space="preserve"> </w:t>
      </w:r>
      <w:r w:rsidRPr="00E73F6F">
        <w:t>Welt, die Menschen etc.).</w:t>
      </w:r>
    </w:p>
    <w:p w14:paraId="2FA9B761" w14:textId="77777777" w:rsidR="00FF7799" w:rsidRPr="00E73F6F" w:rsidRDefault="00FF7799" w:rsidP="003D58DC">
      <w:pPr>
        <w:pStyle w:val="StandardText"/>
      </w:pPr>
    </w:p>
    <w:tbl>
      <w:tblPr>
        <w:tblStyle w:val="Tabellenraster"/>
        <w:tblW w:w="0" w:type="auto"/>
        <w:tblLook w:val="04A0" w:firstRow="1" w:lastRow="0" w:firstColumn="1" w:lastColumn="0" w:noHBand="0" w:noVBand="1"/>
      </w:tblPr>
      <w:tblGrid>
        <w:gridCol w:w="9062"/>
      </w:tblGrid>
      <w:tr w:rsidR="00FF7799" w:rsidRPr="00E17A2B" w14:paraId="41730C17" w14:textId="77777777" w:rsidTr="00B87BB8">
        <w:tc>
          <w:tcPr>
            <w:tcW w:w="9062" w:type="dxa"/>
            <w:shd w:val="clear" w:color="auto" w:fill="DEEAF6" w:themeFill="accent1" w:themeFillTint="33"/>
          </w:tcPr>
          <w:p w14:paraId="1CECBF49" w14:textId="77777777" w:rsidR="00FF7799" w:rsidRPr="00B87BB8" w:rsidRDefault="00FF7799" w:rsidP="003D58DC">
            <w:pPr>
              <w:pStyle w:val="Standardklein"/>
              <w:spacing w:before="120" w:after="120"/>
              <w:rPr>
                <w:sz w:val="22"/>
                <w:szCs w:val="22"/>
                <w:lang w:val="en-US"/>
              </w:rPr>
            </w:pPr>
            <w:r w:rsidRPr="00B87BB8">
              <w:rPr>
                <w:sz w:val="22"/>
                <w:szCs w:val="22"/>
                <w:lang w:val="en-US"/>
              </w:rPr>
              <w:t>„National culture is defined as the</w:t>
            </w:r>
            <w:r w:rsidRPr="00B87BB8">
              <w:rPr>
                <w:spacing w:val="40"/>
                <w:sz w:val="22"/>
                <w:szCs w:val="22"/>
                <w:lang w:val="en-US"/>
              </w:rPr>
              <w:t xml:space="preserve"> </w:t>
            </w:r>
            <w:r w:rsidRPr="00B87BB8">
              <w:rPr>
                <w:sz w:val="22"/>
                <w:szCs w:val="22"/>
                <w:lang w:val="en-US"/>
              </w:rPr>
              <w:t>values, beliefs and assumptions</w:t>
            </w:r>
            <w:r w:rsidRPr="00B87BB8">
              <w:rPr>
                <w:spacing w:val="40"/>
                <w:sz w:val="22"/>
                <w:szCs w:val="22"/>
                <w:lang w:val="en-US"/>
              </w:rPr>
              <w:t xml:space="preserve"> </w:t>
            </w:r>
            <w:r w:rsidRPr="00B87BB8">
              <w:rPr>
                <w:sz w:val="22"/>
                <w:szCs w:val="22"/>
                <w:lang w:val="en-US"/>
              </w:rPr>
              <w:t>learned in early childhood that</w:t>
            </w:r>
            <w:r w:rsidRPr="00B87BB8">
              <w:rPr>
                <w:spacing w:val="40"/>
                <w:sz w:val="22"/>
                <w:szCs w:val="22"/>
                <w:lang w:val="en-US"/>
              </w:rPr>
              <w:t xml:space="preserve"> </w:t>
            </w:r>
            <w:r w:rsidRPr="00B87BB8">
              <w:rPr>
                <w:sz w:val="22"/>
                <w:szCs w:val="22"/>
                <w:lang w:val="en-US"/>
              </w:rPr>
              <w:t>distinguish one group of people</w:t>
            </w:r>
            <w:r w:rsidRPr="00B87BB8">
              <w:rPr>
                <w:spacing w:val="40"/>
                <w:sz w:val="22"/>
                <w:szCs w:val="22"/>
                <w:lang w:val="en-US"/>
              </w:rPr>
              <w:t xml:space="preserve"> </w:t>
            </w:r>
            <w:r w:rsidRPr="00B87BB8">
              <w:rPr>
                <w:sz w:val="22"/>
                <w:szCs w:val="22"/>
                <w:lang w:val="en-US"/>
              </w:rPr>
              <w:t>from another. National culture is</w:t>
            </w:r>
            <w:r w:rsidRPr="00B87BB8">
              <w:rPr>
                <w:spacing w:val="40"/>
                <w:sz w:val="22"/>
                <w:szCs w:val="22"/>
                <w:lang w:val="en-US"/>
              </w:rPr>
              <w:t xml:space="preserve"> </w:t>
            </w:r>
            <w:r w:rsidRPr="00B87BB8">
              <w:rPr>
                <w:sz w:val="22"/>
                <w:szCs w:val="22"/>
                <w:lang w:val="en-US"/>
              </w:rPr>
              <w:t>embedded deeply in everyday life</w:t>
            </w:r>
            <w:r w:rsidRPr="00B87BB8">
              <w:rPr>
                <w:spacing w:val="40"/>
                <w:sz w:val="22"/>
                <w:szCs w:val="22"/>
                <w:lang w:val="en-US"/>
              </w:rPr>
              <w:t xml:space="preserve"> </w:t>
            </w:r>
            <w:r w:rsidRPr="00B87BB8">
              <w:rPr>
                <w:sz w:val="22"/>
                <w:szCs w:val="22"/>
                <w:lang w:val="en-US"/>
              </w:rPr>
              <w:t>and is relatively impervious to</w:t>
            </w:r>
            <w:r w:rsidRPr="00B87BB8">
              <w:rPr>
                <w:spacing w:val="40"/>
                <w:sz w:val="22"/>
                <w:szCs w:val="22"/>
                <w:lang w:val="en-US"/>
              </w:rPr>
              <w:t xml:space="preserve"> </w:t>
            </w:r>
            <w:r w:rsidRPr="00B87BB8">
              <w:rPr>
                <w:spacing w:val="-2"/>
                <w:sz w:val="22"/>
                <w:szCs w:val="22"/>
                <w:lang w:val="en-US"/>
              </w:rPr>
              <w:t>change</w:t>
            </w:r>
            <w:r w:rsidRPr="00B87BB8">
              <w:rPr>
                <w:sz w:val="22"/>
                <w:szCs w:val="22"/>
                <w:lang w:val="en-US"/>
              </w:rPr>
              <w:t>“ Newman/Nollen (1996, S.754)</w:t>
            </w:r>
            <w:r w:rsidR="00126243">
              <w:rPr>
                <w:sz w:val="22"/>
                <w:szCs w:val="22"/>
                <w:lang w:val="en-US"/>
              </w:rPr>
              <w:t>.</w:t>
            </w:r>
          </w:p>
        </w:tc>
      </w:tr>
    </w:tbl>
    <w:p w14:paraId="75A3AD83" w14:textId="77777777" w:rsidR="00FF7799" w:rsidRPr="00126243" w:rsidRDefault="00FF7799" w:rsidP="00862DBA">
      <w:pPr>
        <w:spacing w:before="90"/>
        <w:jc w:val="both"/>
        <w:rPr>
          <w:sz w:val="24"/>
          <w:szCs w:val="24"/>
          <w:lang w:val="en-US"/>
        </w:rPr>
      </w:pPr>
    </w:p>
    <w:p w14:paraId="23446EA8" w14:textId="77777777" w:rsidR="00FF7799" w:rsidRPr="00E73F6F" w:rsidRDefault="00FF7799" w:rsidP="003D58DC">
      <w:pPr>
        <w:pStyle w:val="StandardText"/>
      </w:pPr>
      <w:r w:rsidRPr="00E73F6F">
        <w:t xml:space="preserve">Ein Soziologe war es auch, der mit seinen Analysen jene kulturwissenschaftliche Forschungsrichtung begründete, in deren Tradition das Interkulturelle Marketing steht: </w:t>
      </w:r>
      <w:r w:rsidRPr="00E73F6F">
        <w:rPr>
          <w:i/>
        </w:rPr>
        <w:t>Max Weber</w:t>
      </w:r>
      <w:r w:rsidRPr="00E73F6F">
        <w:t>. Mehr noch als …</w:t>
      </w:r>
    </w:p>
    <w:p w14:paraId="1355E472" w14:textId="77777777" w:rsidR="00FF7799" w:rsidRPr="00E73F6F" w:rsidRDefault="00FF7799" w:rsidP="00090A54">
      <w:pPr>
        <w:pStyle w:val="StandardTextAufzhlung"/>
        <w:ind w:left="567"/>
      </w:pPr>
      <w:r w:rsidRPr="00E73F6F">
        <w:t>Struktur</w:t>
      </w:r>
      <w:r w:rsidRPr="00E73F6F">
        <w:rPr>
          <w:spacing w:val="-2"/>
        </w:rPr>
        <w:t xml:space="preserve"> </w:t>
      </w:r>
      <w:r w:rsidRPr="00E73F6F">
        <w:t>(„Was</w:t>
      </w:r>
      <w:r w:rsidRPr="00E73F6F">
        <w:rPr>
          <w:spacing w:val="-3"/>
        </w:rPr>
        <w:t xml:space="preserve"> </w:t>
      </w:r>
      <w:r w:rsidRPr="00E73F6F">
        <w:t>macht</w:t>
      </w:r>
      <w:r w:rsidRPr="00E73F6F">
        <w:rPr>
          <w:spacing w:val="-2"/>
        </w:rPr>
        <w:t xml:space="preserve"> </w:t>
      </w:r>
      <w:r w:rsidRPr="00E73F6F">
        <w:t>Kultur</w:t>
      </w:r>
      <w:r w:rsidRPr="00E73F6F">
        <w:rPr>
          <w:spacing w:val="-4"/>
        </w:rPr>
        <w:t xml:space="preserve"> </w:t>
      </w:r>
      <w:r w:rsidRPr="00E73F6F">
        <w:t>inhaltlich</w:t>
      </w:r>
      <w:r w:rsidRPr="00E73F6F">
        <w:rPr>
          <w:spacing w:val="-1"/>
        </w:rPr>
        <w:t xml:space="preserve"> </w:t>
      </w:r>
      <w:r w:rsidRPr="00E73F6F">
        <w:t>aus?“)</w:t>
      </w:r>
      <w:r w:rsidRPr="00E73F6F">
        <w:rPr>
          <w:spacing w:val="-1"/>
        </w:rPr>
        <w:t xml:space="preserve"> </w:t>
      </w:r>
      <w:r w:rsidRPr="00E73F6F">
        <w:rPr>
          <w:spacing w:val="-5"/>
        </w:rPr>
        <w:t>und</w:t>
      </w:r>
    </w:p>
    <w:p w14:paraId="6129B2D8" w14:textId="77777777" w:rsidR="00FF7799" w:rsidRPr="00E73F6F" w:rsidRDefault="00FF7799" w:rsidP="00090A54">
      <w:pPr>
        <w:pStyle w:val="StandardTextAufzhlung"/>
        <w:ind w:left="567"/>
      </w:pPr>
      <w:r w:rsidRPr="00E73F6F">
        <w:t>Genese („Wie und warum entwickeln sich unterschiedliche Kulturen?“) interessierten ihn die</w:t>
      </w:r>
    </w:p>
    <w:p w14:paraId="17BEE29C" w14:textId="77777777" w:rsidR="00FF7799" w:rsidRPr="00E73F6F" w:rsidRDefault="00FF7799" w:rsidP="00090A54">
      <w:pPr>
        <w:pStyle w:val="StandardTextAufzhlung"/>
        <w:ind w:left="567"/>
      </w:pPr>
      <w:r w:rsidRPr="00E73F6F">
        <w:t xml:space="preserve">Konsequenzen von Kultur und Religion z.B. für Leistungsmotivation und Erfolgsorientierung (vgl. Müller/Kornmeier 2000, S.87ff.; Inglehart 1998, </w:t>
      </w:r>
      <w:r w:rsidRPr="00E73F6F">
        <w:rPr>
          <w:spacing w:val="-2"/>
        </w:rPr>
        <w:t>S.302ff.).</w:t>
      </w:r>
    </w:p>
    <w:p w14:paraId="110841DB" w14:textId="77777777" w:rsidR="00FF7799" w:rsidRPr="00E73F6F" w:rsidRDefault="00FF7799" w:rsidP="00862DBA">
      <w:pPr>
        <w:spacing w:before="9"/>
        <w:rPr>
          <w:sz w:val="24"/>
          <w:szCs w:val="24"/>
        </w:rPr>
      </w:pPr>
    </w:p>
    <w:p w14:paraId="04D33778" w14:textId="77777777" w:rsidR="00FF7799" w:rsidRPr="00443B51" w:rsidRDefault="00FF7799" w:rsidP="003D58DC">
      <w:pPr>
        <w:pStyle w:val="StandardText"/>
        <w:rPr>
          <w:i/>
          <w:lang w:val="en-US"/>
        </w:rPr>
      </w:pPr>
      <w:r w:rsidRPr="00B87BB8">
        <w:rPr>
          <w:b/>
          <w:i/>
          <w:sz w:val="22"/>
          <w:szCs w:val="22"/>
        </w:rPr>
        <w:t>Literatur</w:t>
      </w:r>
      <w:r w:rsidRPr="00B87BB8">
        <w:rPr>
          <w:i/>
          <w:sz w:val="22"/>
          <w:szCs w:val="22"/>
        </w:rPr>
        <w:t>:</w:t>
      </w:r>
      <w:r w:rsidRPr="00B87BB8">
        <w:rPr>
          <w:sz w:val="22"/>
          <w:szCs w:val="22"/>
        </w:rPr>
        <w:t xml:space="preserve"> Baeker, G. (1985): Introduction, Revue d’Histoire de la Culture Materielle, 2:1.</w:t>
      </w:r>
      <w:r w:rsidRPr="00B87BB8">
        <w:rPr>
          <w:spacing w:val="40"/>
          <w:sz w:val="22"/>
          <w:szCs w:val="22"/>
        </w:rPr>
        <w:t xml:space="preserve"> </w:t>
      </w:r>
      <w:r w:rsidRPr="00B87BB8">
        <w:rPr>
          <w:sz w:val="22"/>
          <w:szCs w:val="22"/>
        </w:rPr>
        <w:t>Bahadir, S.A. (1998):</w:t>
      </w:r>
      <w:r w:rsidRPr="00B87BB8">
        <w:rPr>
          <w:spacing w:val="-1"/>
          <w:sz w:val="22"/>
          <w:szCs w:val="22"/>
        </w:rPr>
        <w:t xml:space="preserve"> </w:t>
      </w:r>
      <w:r w:rsidRPr="00B87BB8">
        <w:rPr>
          <w:sz w:val="22"/>
          <w:szCs w:val="22"/>
        </w:rPr>
        <w:t>Kultur</w:t>
      </w:r>
      <w:r w:rsidRPr="00B87BB8">
        <w:rPr>
          <w:spacing w:val="-3"/>
          <w:sz w:val="22"/>
          <w:szCs w:val="22"/>
        </w:rPr>
        <w:t xml:space="preserve"> </w:t>
      </w:r>
      <w:r w:rsidRPr="00B87BB8">
        <w:rPr>
          <w:sz w:val="22"/>
          <w:szCs w:val="22"/>
        </w:rPr>
        <w:t>und</w:t>
      </w:r>
      <w:r w:rsidRPr="00B87BB8">
        <w:rPr>
          <w:spacing w:val="-1"/>
          <w:sz w:val="22"/>
          <w:szCs w:val="22"/>
        </w:rPr>
        <w:t xml:space="preserve"> </w:t>
      </w:r>
      <w:r w:rsidRPr="00B87BB8">
        <w:rPr>
          <w:sz w:val="22"/>
          <w:szCs w:val="22"/>
        </w:rPr>
        <w:t>Region im</w:t>
      </w:r>
      <w:r w:rsidRPr="00B87BB8">
        <w:rPr>
          <w:spacing w:val="-2"/>
          <w:sz w:val="22"/>
          <w:szCs w:val="22"/>
        </w:rPr>
        <w:t xml:space="preserve"> </w:t>
      </w:r>
      <w:r w:rsidRPr="00B87BB8">
        <w:rPr>
          <w:sz w:val="22"/>
          <w:szCs w:val="22"/>
        </w:rPr>
        <w:t>Zeichen der Globalisierung, Diskussionspapier</w:t>
      </w:r>
      <w:r w:rsidRPr="00B87BB8">
        <w:rPr>
          <w:spacing w:val="40"/>
          <w:sz w:val="22"/>
          <w:szCs w:val="22"/>
        </w:rPr>
        <w:t xml:space="preserve"> </w:t>
      </w:r>
      <w:r w:rsidRPr="00B87BB8">
        <w:rPr>
          <w:sz w:val="22"/>
          <w:szCs w:val="22"/>
        </w:rPr>
        <w:t>zur Vorbereitung des 14. Interdisziplinären Kolloquiums des Erlanger Zentralinstituts für</w:t>
      </w:r>
      <w:r w:rsidRPr="00B87BB8">
        <w:rPr>
          <w:spacing w:val="40"/>
          <w:sz w:val="22"/>
          <w:szCs w:val="22"/>
        </w:rPr>
        <w:t xml:space="preserve"> </w:t>
      </w:r>
      <w:r w:rsidRPr="00B87BB8">
        <w:rPr>
          <w:sz w:val="22"/>
          <w:szCs w:val="22"/>
        </w:rPr>
        <w:t>Regionalforschung,</w:t>
      </w:r>
      <w:r w:rsidRPr="00B87BB8">
        <w:rPr>
          <w:spacing w:val="-10"/>
          <w:sz w:val="22"/>
          <w:szCs w:val="22"/>
        </w:rPr>
        <w:t xml:space="preserve"> </w:t>
      </w:r>
      <w:r w:rsidRPr="00B87BB8">
        <w:rPr>
          <w:sz w:val="22"/>
          <w:szCs w:val="22"/>
        </w:rPr>
        <w:t>Erlangen:</w:t>
      </w:r>
      <w:r w:rsidRPr="00B87BB8">
        <w:rPr>
          <w:spacing w:val="-10"/>
          <w:sz w:val="22"/>
          <w:szCs w:val="22"/>
        </w:rPr>
        <w:t xml:space="preserve"> </w:t>
      </w:r>
      <w:r w:rsidRPr="00B87BB8">
        <w:rPr>
          <w:sz w:val="22"/>
          <w:szCs w:val="22"/>
        </w:rPr>
        <w:t>Zentralinstitut</w:t>
      </w:r>
      <w:r w:rsidRPr="00B87BB8">
        <w:rPr>
          <w:spacing w:val="-10"/>
          <w:sz w:val="22"/>
          <w:szCs w:val="22"/>
        </w:rPr>
        <w:t xml:space="preserve"> </w:t>
      </w:r>
      <w:r w:rsidRPr="00B87BB8">
        <w:rPr>
          <w:sz w:val="22"/>
          <w:szCs w:val="22"/>
        </w:rPr>
        <w:t>für</w:t>
      </w:r>
      <w:r w:rsidRPr="00B87BB8">
        <w:rPr>
          <w:spacing w:val="-10"/>
          <w:sz w:val="22"/>
          <w:szCs w:val="22"/>
        </w:rPr>
        <w:t xml:space="preserve"> </w:t>
      </w:r>
      <w:r w:rsidRPr="00B87BB8">
        <w:rPr>
          <w:sz w:val="22"/>
          <w:szCs w:val="22"/>
        </w:rPr>
        <w:t>Regionalforschung.</w:t>
      </w:r>
      <w:r w:rsidRPr="00B87BB8">
        <w:rPr>
          <w:spacing w:val="39"/>
          <w:sz w:val="22"/>
          <w:szCs w:val="22"/>
        </w:rPr>
        <w:t xml:space="preserve"> </w:t>
      </w:r>
      <w:r w:rsidRPr="00B87BB8">
        <w:rPr>
          <w:sz w:val="22"/>
          <w:szCs w:val="22"/>
        </w:rPr>
        <w:t>Gehlen,</w:t>
      </w:r>
      <w:r w:rsidRPr="00B87BB8">
        <w:rPr>
          <w:spacing w:val="-10"/>
          <w:sz w:val="22"/>
          <w:szCs w:val="22"/>
        </w:rPr>
        <w:t xml:space="preserve"> </w:t>
      </w:r>
      <w:r w:rsidRPr="00B87BB8">
        <w:rPr>
          <w:sz w:val="22"/>
          <w:szCs w:val="22"/>
        </w:rPr>
        <w:t>A.</w:t>
      </w:r>
      <w:r w:rsidRPr="00B87BB8">
        <w:rPr>
          <w:spacing w:val="-10"/>
          <w:sz w:val="22"/>
          <w:szCs w:val="22"/>
        </w:rPr>
        <w:t xml:space="preserve"> </w:t>
      </w:r>
      <w:r w:rsidRPr="00B87BB8">
        <w:rPr>
          <w:sz w:val="22"/>
          <w:szCs w:val="22"/>
        </w:rPr>
        <w:t>(1962):</w:t>
      </w:r>
      <w:r w:rsidRPr="00B87BB8">
        <w:rPr>
          <w:spacing w:val="-10"/>
          <w:sz w:val="22"/>
          <w:szCs w:val="22"/>
        </w:rPr>
        <w:t xml:space="preserve"> </w:t>
      </w:r>
      <w:r w:rsidRPr="00B87BB8">
        <w:rPr>
          <w:sz w:val="22"/>
          <w:szCs w:val="22"/>
        </w:rPr>
        <w:t>Der</w:t>
      </w:r>
      <w:r w:rsidRPr="00B87BB8">
        <w:rPr>
          <w:spacing w:val="40"/>
          <w:sz w:val="22"/>
          <w:szCs w:val="22"/>
        </w:rPr>
        <w:t xml:space="preserve"> </w:t>
      </w:r>
      <w:r w:rsidRPr="00B87BB8">
        <w:rPr>
          <w:sz w:val="22"/>
          <w:szCs w:val="22"/>
        </w:rPr>
        <w:t>Mensch, Frankfurt/Main.</w:t>
      </w:r>
      <w:r w:rsidRPr="00B87BB8">
        <w:rPr>
          <w:spacing w:val="80"/>
          <w:sz w:val="22"/>
          <w:szCs w:val="22"/>
        </w:rPr>
        <w:t xml:space="preserve"> </w:t>
      </w:r>
      <w:r w:rsidRPr="00B87BB8">
        <w:rPr>
          <w:sz w:val="22"/>
          <w:szCs w:val="22"/>
        </w:rPr>
        <w:t>Hermann, P. (1992): Deutsches Wörterbuch, 9.Aufl., Tübingen.</w:t>
      </w:r>
      <w:r w:rsidRPr="00B87BB8">
        <w:rPr>
          <w:spacing w:val="40"/>
          <w:sz w:val="22"/>
          <w:szCs w:val="22"/>
        </w:rPr>
        <w:t xml:space="preserve"> </w:t>
      </w:r>
      <w:r w:rsidRPr="00D0171D">
        <w:rPr>
          <w:sz w:val="22"/>
          <w:szCs w:val="22"/>
          <w:lang w:val="en-US"/>
        </w:rPr>
        <w:t>Hofstede,</w:t>
      </w:r>
      <w:r w:rsidRPr="00D0171D">
        <w:rPr>
          <w:spacing w:val="-11"/>
          <w:sz w:val="22"/>
          <w:szCs w:val="22"/>
          <w:lang w:val="en-US"/>
        </w:rPr>
        <w:t xml:space="preserve"> </w:t>
      </w:r>
      <w:r w:rsidRPr="00D0171D">
        <w:rPr>
          <w:sz w:val="22"/>
          <w:szCs w:val="22"/>
          <w:lang w:val="en-US"/>
        </w:rPr>
        <w:t>G.</w:t>
      </w:r>
      <w:r w:rsidRPr="00D0171D">
        <w:rPr>
          <w:spacing w:val="-6"/>
          <w:sz w:val="22"/>
          <w:szCs w:val="22"/>
          <w:lang w:val="en-US"/>
        </w:rPr>
        <w:t xml:space="preserve"> </w:t>
      </w:r>
      <w:r w:rsidRPr="00D0171D">
        <w:rPr>
          <w:sz w:val="22"/>
          <w:szCs w:val="22"/>
          <w:lang w:val="en-US"/>
        </w:rPr>
        <w:t>(1991):</w:t>
      </w:r>
      <w:r w:rsidRPr="00D0171D">
        <w:rPr>
          <w:spacing w:val="-9"/>
          <w:sz w:val="22"/>
          <w:szCs w:val="22"/>
          <w:lang w:val="en-US"/>
        </w:rPr>
        <w:t xml:space="preserve"> </w:t>
      </w:r>
      <w:r w:rsidRPr="00D0171D">
        <w:rPr>
          <w:sz w:val="22"/>
          <w:szCs w:val="22"/>
          <w:lang w:val="en-US"/>
        </w:rPr>
        <w:t>Cultures</w:t>
      </w:r>
      <w:r w:rsidRPr="00D0171D">
        <w:rPr>
          <w:spacing w:val="-10"/>
          <w:sz w:val="22"/>
          <w:szCs w:val="22"/>
          <w:lang w:val="en-US"/>
        </w:rPr>
        <w:t xml:space="preserve"> </w:t>
      </w:r>
      <w:r w:rsidRPr="00D0171D">
        <w:rPr>
          <w:sz w:val="22"/>
          <w:szCs w:val="22"/>
          <w:lang w:val="en-US"/>
        </w:rPr>
        <w:t>and</w:t>
      </w:r>
      <w:r w:rsidRPr="00D0171D">
        <w:rPr>
          <w:spacing w:val="-6"/>
          <w:sz w:val="22"/>
          <w:szCs w:val="22"/>
          <w:lang w:val="en-US"/>
        </w:rPr>
        <w:t xml:space="preserve"> </w:t>
      </w:r>
      <w:r w:rsidRPr="00D0171D">
        <w:rPr>
          <w:sz w:val="22"/>
          <w:szCs w:val="22"/>
          <w:lang w:val="en-US"/>
        </w:rPr>
        <w:t>Organizations.</w:t>
      </w:r>
      <w:r w:rsidRPr="00D0171D">
        <w:rPr>
          <w:spacing w:val="-4"/>
          <w:sz w:val="22"/>
          <w:szCs w:val="22"/>
          <w:lang w:val="en-US"/>
        </w:rPr>
        <w:t xml:space="preserve"> </w:t>
      </w:r>
      <w:r w:rsidRPr="00D0171D">
        <w:rPr>
          <w:sz w:val="22"/>
          <w:szCs w:val="22"/>
          <w:lang w:val="en-US"/>
        </w:rPr>
        <w:t>Software</w:t>
      </w:r>
      <w:r w:rsidRPr="00D0171D">
        <w:rPr>
          <w:spacing w:val="-9"/>
          <w:sz w:val="22"/>
          <w:szCs w:val="22"/>
          <w:lang w:val="en-US"/>
        </w:rPr>
        <w:t xml:space="preserve"> </w:t>
      </w:r>
      <w:r w:rsidRPr="00D0171D">
        <w:rPr>
          <w:sz w:val="22"/>
          <w:szCs w:val="22"/>
          <w:lang w:val="en-US"/>
        </w:rPr>
        <w:t>of</w:t>
      </w:r>
      <w:r w:rsidRPr="00D0171D">
        <w:rPr>
          <w:spacing w:val="-9"/>
          <w:sz w:val="22"/>
          <w:szCs w:val="22"/>
          <w:lang w:val="en-US"/>
        </w:rPr>
        <w:t xml:space="preserve"> </w:t>
      </w:r>
      <w:r w:rsidRPr="00D0171D">
        <w:rPr>
          <w:sz w:val="22"/>
          <w:szCs w:val="22"/>
          <w:lang w:val="en-US"/>
        </w:rPr>
        <w:t>the</w:t>
      </w:r>
      <w:r w:rsidRPr="00D0171D">
        <w:rPr>
          <w:spacing w:val="-9"/>
          <w:sz w:val="22"/>
          <w:szCs w:val="22"/>
          <w:lang w:val="en-US"/>
        </w:rPr>
        <w:t xml:space="preserve"> </w:t>
      </w:r>
      <w:r w:rsidRPr="00D0171D">
        <w:rPr>
          <w:sz w:val="22"/>
          <w:szCs w:val="22"/>
          <w:lang w:val="en-US"/>
        </w:rPr>
        <w:t>Mind,</w:t>
      </w:r>
      <w:r w:rsidRPr="00D0171D">
        <w:rPr>
          <w:spacing w:val="-9"/>
          <w:sz w:val="22"/>
          <w:szCs w:val="22"/>
          <w:lang w:val="en-US"/>
        </w:rPr>
        <w:t xml:space="preserve"> </w:t>
      </w:r>
      <w:r w:rsidRPr="00D0171D">
        <w:rPr>
          <w:sz w:val="22"/>
          <w:szCs w:val="22"/>
          <w:lang w:val="en-US"/>
        </w:rPr>
        <w:t>London.</w:t>
      </w:r>
      <w:r w:rsidRPr="00D0171D">
        <w:rPr>
          <w:spacing w:val="59"/>
          <w:sz w:val="22"/>
          <w:szCs w:val="22"/>
          <w:lang w:val="en-US"/>
        </w:rPr>
        <w:t xml:space="preserve"> </w:t>
      </w:r>
      <w:r w:rsidRPr="00B87BB8">
        <w:rPr>
          <w:spacing w:val="-2"/>
          <w:sz w:val="22"/>
          <w:szCs w:val="22"/>
        </w:rPr>
        <w:t>Inglehart,</w:t>
      </w:r>
      <w:r w:rsidR="00B87BB8" w:rsidRPr="00B87BB8">
        <w:rPr>
          <w:sz w:val="22"/>
          <w:szCs w:val="22"/>
        </w:rPr>
        <w:t xml:space="preserve"> </w:t>
      </w:r>
      <w:r w:rsidRPr="00B87BB8">
        <w:rPr>
          <w:sz w:val="22"/>
          <w:szCs w:val="22"/>
        </w:rPr>
        <w:t>R. (1998): Modernisierung und Postmodernisierung. Kultureller, wirtschaftlicher und</w:t>
      </w:r>
      <w:r w:rsidRPr="00B87BB8">
        <w:rPr>
          <w:spacing w:val="40"/>
          <w:sz w:val="22"/>
          <w:szCs w:val="22"/>
        </w:rPr>
        <w:t xml:space="preserve"> </w:t>
      </w:r>
      <w:r w:rsidRPr="00B87BB8">
        <w:rPr>
          <w:sz w:val="22"/>
          <w:szCs w:val="22"/>
        </w:rPr>
        <w:t xml:space="preserve">politischer Wandel in 43 Gesellschaften, Frankfurt/Main: Campus. </w:t>
      </w:r>
      <w:r w:rsidRPr="00B87BB8">
        <w:rPr>
          <w:sz w:val="22"/>
          <w:szCs w:val="22"/>
          <w:lang w:val="en-US"/>
        </w:rPr>
        <w:t>Jaeger, A.M. (1986):</w:t>
      </w:r>
      <w:r w:rsidRPr="00B87BB8">
        <w:rPr>
          <w:spacing w:val="40"/>
          <w:sz w:val="22"/>
          <w:szCs w:val="22"/>
          <w:lang w:val="en-US"/>
        </w:rPr>
        <w:t xml:space="preserve"> </w:t>
      </w:r>
      <w:r w:rsidRPr="00B87BB8">
        <w:rPr>
          <w:sz w:val="22"/>
          <w:szCs w:val="22"/>
          <w:lang w:val="en-US"/>
        </w:rPr>
        <w:t>Organization</w:t>
      </w:r>
      <w:r w:rsidRPr="00B87BB8">
        <w:rPr>
          <w:spacing w:val="-10"/>
          <w:sz w:val="22"/>
          <w:szCs w:val="22"/>
          <w:lang w:val="en-US"/>
        </w:rPr>
        <w:t xml:space="preserve"> </w:t>
      </w:r>
      <w:r w:rsidRPr="00B87BB8">
        <w:rPr>
          <w:sz w:val="22"/>
          <w:szCs w:val="22"/>
          <w:lang w:val="en-US"/>
        </w:rPr>
        <w:t>Development</w:t>
      </w:r>
      <w:r w:rsidRPr="00B87BB8">
        <w:rPr>
          <w:spacing w:val="-10"/>
          <w:sz w:val="22"/>
          <w:szCs w:val="22"/>
          <w:lang w:val="en-US"/>
        </w:rPr>
        <w:t xml:space="preserve"> </w:t>
      </w:r>
      <w:r w:rsidRPr="00B87BB8">
        <w:rPr>
          <w:sz w:val="22"/>
          <w:szCs w:val="22"/>
          <w:lang w:val="en-US"/>
        </w:rPr>
        <w:t>and</w:t>
      </w:r>
      <w:r w:rsidRPr="00B87BB8">
        <w:rPr>
          <w:spacing w:val="-10"/>
          <w:sz w:val="22"/>
          <w:szCs w:val="22"/>
          <w:lang w:val="en-US"/>
        </w:rPr>
        <w:t xml:space="preserve"> </w:t>
      </w:r>
      <w:r w:rsidRPr="00B87BB8">
        <w:rPr>
          <w:sz w:val="22"/>
          <w:szCs w:val="22"/>
          <w:lang w:val="en-US"/>
        </w:rPr>
        <w:t>National</w:t>
      </w:r>
      <w:r w:rsidRPr="00B87BB8">
        <w:rPr>
          <w:spacing w:val="-10"/>
          <w:sz w:val="22"/>
          <w:szCs w:val="22"/>
          <w:lang w:val="en-US"/>
        </w:rPr>
        <w:t xml:space="preserve"> </w:t>
      </w:r>
      <w:r w:rsidRPr="00B87BB8">
        <w:rPr>
          <w:sz w:val="22"/>
          <w:szCs w:val="22"/>
          <w:lang w:val="en-US"/>
        </w:rPr>
        <w:t>Culture.</w:t>
      </w:r>
      <w:r w:rsidRPr="00B87BB8">
        <w:rPr>
          <w:spacing w:val="-10"/>
          <w:sz w:val="22"/>
          <w:szCs w:val="22"/>
          <w:lang w:val="en-US"/>
        </w:rPr>
        <w:t xml:space="preserve"> </w:t>
      </w:r>
      <w:r w:rsidRPr="00B87BB8">
        <w:rPr>
          <w:sz w:val="22"/>
          <w:szCs w:val="22"/>
          <w:lang w:val="en-US"/>
        </w:rPr>
        <w:t>Where’s</w:t>
      </w:r>
      <w:r w:rsidRPr="00B87BB8">
        <w:rPr>
          <w:spacing w:val="-10"/>
          <w:sz w:val="22"/>
          <w:szCs w:val="22"/>
          <w:lang w:val="en-US"/>
        </w:rPr>
        <w:t xml:space="preserve"> </w:t>
      </w:r>
      <w:r w:rsidRPr="00B87BB8">
        <w:rPr>
          <w:sz w:val="22"/>
          <w:szCs w:val="22"/>
          <w:lang w:val="en-US"/>
        </w:rPr>
        <w:t>the</w:t>
      </w:r>
      <w:r w:rsidRPr="00B87BB8">
        <w:rPr>
          <w:spacing w:val="-10"/>
          <w:sz w:val="22"/>
          <w:szCs w:val="22"/>
          <w:lang w:val="en-US"/>
        </w:rPr>
        <w:t xml:space="preserve"> </w:t>
      </w:r>
      <w:r w:rsidRPr="00B87BB8">
        <w:rPr>
          <w:sz w:val="22"/>
          <w:szCs w:val="22"/>
          <w:lang w:val="en-US"/>
        </w:rPr>
        <w:t>Fit?</w:t>
      </w:r>
      <w:r w:rsidRPr="00B87BB8">
        <w:rPr>
          <w:spacing w:val="-10"/>
          <w:sz w:val="22"/>
          <w:szCs w:val="22"/>
          <w:lang w:val="en-US"/>
        </w:rPr>
        <w:t xml:space="preserve"> </w:t>
      </w:r>
      <w:r w:rsidRPr="00B87BB8">
        <w:rPr>
          <w:sz w:val="22"/>
          <w:szCs w:val="22"/>
        </w:rPr>
        <w:t>Academy</w:t>
      </w:r>
      <w:r w:rsidRPr="00B87BB8">
        <w:rPr>
          <w:spacing w:val="-10"/>
          <w:sz w:val="22"/>
          <w:szCs w:val="22"/>
        </w:rPr>
        <w:t xml:space="preserve"> </w:t>
      </w:r>
      <w:r w:rsidRPr="00B87BB8">
        <w:rPr>
          <w:sz w:val="22"/>
          <w:szCs w:val="22"/>
        </w:rPr>
        <w:t>of</w:t>
      </w:r>
      <w:r w:rsidRPr="00B87BB8">
        <w:rPr>
          <w:spacing w:val="-10"/>
          <w:sz w:val="22"/>
          <w:szCs w:val="22"/>
        </w:rPr>
        <w:t xml:space="preserve"> </w:t>
      </w:r>
      <w:r w:rsidRPr="00B87BB8">
        <w:rPr>
          <w:sz w:val="22"/>
          <w:szCs w:val="22"/>
        </w:rPr>
        <w:t>Management</w:t>
      </w:r>
      <w:r w:rsidRPr="00B87BB8">
        <w:rPr>
          <w:spacing w:val="40"/>
          <w:sz w:val="22"/>
          <w:szCs w:val="22"/>
        </w:rPr>
        <w:t xml:space="preserve"> </w:t>
      </w:r>
      <w:r w:rsidR="00B87BB8" w:rsidRPr="00B87BB8">
        <w:rPr>
          <w:sz w:val="22"/>
          <w:szCs w:val="22"/>
        </w:rPr>
        <w:t xml:space="preserve">Review, 1: 178-190. </w:t>
      </w:r>
      <w:r w:rsidRPr="00B87BB8">
        <w:rPr>
          <w:sz w:val="22"/>
          <w:szCs w:val="22"/>
        </w:rPr>
        <w:t>Müller, S.; Kornmeier, M. (2000): Internationale</w:t>
      </w:r>
      <w:r w:rsidRPr="00B87BB8">
        <w:rPr>
          <w:spacing w:val="40"/>
          <w:sz w:val="22"/>
          <w:szCs w:val="22"/>
        </w:rPr>
        <w:t xml:space="preserve"> </w:t>
      </w:r>
      <w:r w:rsidRPr="00B87BB8">
        <w:rPr>
          <w:sz w:val="22"/>
          <w:szCs w:val="22"/>
        </w:rPr>
        <w:t>Wettbewerbsfähigkeit.</w:t>
      </w:r>
      <w:r w:rsidRPr="00B87BB8">
        <w:rPr>
          <w:spacing w:val="-6"/>
          <w:sz w:val="22"/>
          <w:szCs w:val="22"/>
        </w:rPr>
        <w:t xml:space="preserve"> </w:t>
      </w:r>
      <w:r w:rsidRPr="00B87BB8">
        <w:rPr>
          <w:sz w:val="22"/>
          <w:szCs w:val="22"/>
        </w:rPr>
        <w:t>Irrungen</w:t>
      </w:r>
      <w:r w:rsidRPr="00B87BB8">
        <w:rPr>
          <w:spacing w:val="-8"/>
          <w:sz w:val="22"/>
          <w:szCs w:val="22"/>
        </w:rPr>
        <w:t xml:space="preserve"> </w:t>
      </w:r>
      <w:r w:rsidRPr="00B87BB8">
        <w:rPr>
          <w:sz w:val="22"/>
          <w:szCs w:val="22"/>
        </w:rPr>
        <w:t>und</w:t>
      </w:r>
      <w:r w:rsidRPr="00B87BB8">
        <w:rPr>
          <w:spacing w:val="-10"/>
          <w:sz w:val="22"/>
          <w:szCs w:val="22"/>
        </w:rPr>
        <w:t xml:space="preserve"> </w:t>
      </w:r>
      <w:r w:rsidRPr="00B87BB8">
        <w:rPr>
          <w:sz w:val="22"/>
          <w:szCs w:val="22"/>
        </w:rPr>
        <w:t>Wirrungen</w:t>
      </w:r>
      <w:r w:rsidRPr="00B87BB8">
        <w:rPr>
          <w:spacing w:val="-7"/>
          <w:sz w:val="22"/>
          <w:szCs w:val="22"/>
        </w:rPr>
        <w:t xml:space="preserve"> </w:t>
      </w:r>
      <w:r w:rsidRPr="00B87BB8">
        <w:rPr>
          <w:sz w:val="22"/>
          <w:szCs w:val="22"/>
        </w:rPr>
        <w:t>der</w:t>
      </w:r>
      <w:r w:rsidRPr="00B87BB8">
        <w:rPr>
          <w:spacing w:val="-7"/>
          <w:sz w:val="22"/>
          <w:szCs w:val="22"/>
        </w:rPr>
        <w:t xml:space="preserve"> </w:t>
      </w:r>
      <w:r w:rsidRPr="00B87BB8">
        <w:rPr>
          <w:sz w:val="22"/>
          <w:szCs w:val="22"/>
        </w:rPr>
        <w:t>Standort-Diskussion,</w:t>
      </w:r>
      <w:r w:rsidRPr="00B87BB8">
        <w:rPr>
          <w:spacing w:val="-10"/>
          <w:sz w:val="22"/>
          <w:szCs w:val="22"/>
        </w:rPr>
        <w:t xml:space="preserve"> </w:t>
      </w:r>
      <w:r w:rsidRPr="00B87BB8">
        <w:rPr>
          <w:sz w:val="22"/>
          <w:szCs w:val="22"/>
        </w:rPr>
        <w:t>München:</w:t>
      </w:r>
      <w:r w:rsidRPr="00B87BB8">
        <w:rPr>
          <w:spacing w:val="-5"/>
          <w:sz w:val="22"/>
          <w:szCs w:val="22"/>
        </w:rPr>
        <w:t xml:space="preserve"> </w:t>
      </w:r>
      <w:r w:rsidRPr="00B87BB8">
        <w:rPr>
          <w:sz w:val="22"/>
          <w:szCs w:val="22"/>
        </w:rPr>
        <w:t>Vahlen.</w:t>
      </w:r>
      <w:r w:rsidRPr="00B87BB8">
        <w:rPr>
          <w:spacing w:val="40"/>
          <w:sz w:val="22"/>
          <w:szCs w:val="22"/>
        </w:rPr>
        <w:t xml:space="preserve"> </w:t>
      </w:r>
      <w:r w:rsidRPr="00B87BB8">
        <w:rPr>
          <w:sz w:val="22"/>
          <w:szCs w:val="22"/>
        </w:rPr>
        <w:t>Newman,</w:t>
      </w:r>
      <w:r w:rsidRPr="00B87BB8">
        <w:rPr>
          <w:spacing w:val="-4"/>
          <w:sz w:val="22"/>
          <w:szCs w:val="22"/>
        </w:rPr>
        <w:t xml:space="preserve"> </w:t>
      </w:r>
      <w:r w:rsidRPr="00B87BB8">
        <w:rPr>
          <w:sz w:val="22"/>
          <w:szCs w:val="22"/>
        </w:rPr>
        <w:t>K.L.;</w:t>
      </w:r>
      <w:r w:rsidRPr="00B87BB8">
        <w:rPr>
          <w:spacing w:val="-3"/>
          <w:sz w:val="22"/>
          <w:szCs w:val="22"/>
        </w:rPr>
        <w:t xml:space="preserve"> </w:t>
      </w:r>
      <w:r w:rsidRPr="00B87BB8">
        <w:rPr>
          <w:sz w:val="22"/>
          <w:szCs w:val="22"/>
        </w:rPr>
        <w:t>Nollen,</w:t>
      </w:r>
      <w:r w:rsidRPr="00B87BB8">
        <w:rPr>
          <w:spacing w:val="-6"/>
          <w:sz w:val="22"/>
          <w:szCs w:val="22"/>
        </w:rPr>
        <w:t xml:space="preserve"> </w:t>
      </w:r>
      <w:r w:rsidRPr="00B87BB8">
        <w:rPr>
          <w:sz w:val="22"/>
          <w:szCs w:val="22"/>
        </w:rPr>
        <w:t>S.D.</w:t>
      </w:r>
      <w:r w:rsidRPr="00B87BB8">
        <w:rPr>
          <w:spacing w:val="-1"/>
          <w:sz w:val="22"/>
          <w:szCs w:val="22"/>
        </w:rPr>
        <w:t xml:space="preserve"> </w:t>
      </w:r>
      <w:r w:rsidRPr="00B87BB8">
        <w:rPr>
          <w:sz w:val="22"/>
          <w:szCs w:val="22"/>
        </w:rPr>
        <w:t>(1996):</w:t>
      </w:r>
      <w:r w:rsidRPr="00B87BB8">
        <w:rPr>
          <w:spacing w:val="-3"/>
          <w:sz w:val="22"/>
          <w:szCs w:val="22"/>
        </w:rPr>
        <w:t xml:space="preserve"> </w:t>
      </w:r>
      <w:r w:rsidRPr="00B87BB8">
        <w:rPr>
          <w:sz w:val="22"/>
          <w:szCs w:val="22"/>
        </w:rPr>
        <w:t>Culture</w:t>
      </w:r>
      <w:r w:rsidRPr="00B87BB8">
        <w:rPr>
          <w:spacing w:val="-4"/>
          <w:sz w:val="22"/>
          <w:szCs w:val="22"/>
        </w:rPr>
        <w:t xml:space="preserve"> </w:t>
      </w:r>
      <w:r w:rsidRPr="00B87BB8">
        <w:rPr>
          <w:sz w:val="22"/>
          <w:szCs w:val="22"/>
        </w:rPr>
        <w:t>and</w:t>
      </w:r>
      <w:r w:rsidRPr="00B87BB8">
        <w:rPr>
          <w:spacing w:val="-3"/>
          <w:sz w:val="22"/>
          <w:szCs w:val="22"/>
        </w:rPr>
        <w:t xml:space="preserve"> </w:t>
      </w:r>
      <w:r w:rsidRPr="00B87BB8">
        <w:rPr>
          <w:sz w:val="22"/>
          <w:szCs w:val="22"/>
        </w:rPr>
        <w:t>Congruence.</w:t>
      </w:r>
      <w:r w:rsidRPr="00B87BB8">
        <w:rPr>
          <w:spacing w:val="-1"/>
          <w:sz w:val="22"/>
          <w:szCs w:val="22"/>
        </w:rPr>
        <w:t xml:space="preserve"> </w:t>
      </w:r>
      <w:r w:rsidRPr="00B87BB8">
        <w:rPr>
          <w:sz w:val="22"/>
          <w:szCs w:val="22"/>
          <w:lang w:val="en-US"/>
        </w:rPr>
        <w:t>The</w:t>
      </w:r>
      <w:r w:rsidRPr="00B87BB8">
        <w:rPr>
          <w:spacing w:val="-4"/>
          <w:sz w:val="22"/>
          <w:szCs w:val="22"/>
          <w:lang w:val="en-US"/>
        </w:rPr>
        <w:t xml:space="preserve"> </w:t>
      </w:r>
      <w:r w:rsidRPr="00B87BB8">
        <w:rPr>
          <w:sz w:val="22"/>
          <w:szCs w:val="22"/>
          <w:lang w:val="en-US"/>
        </w:rPr>
        <w:t>Fit</w:t>
      </w:r>
      <w:r w:rsidRPr="00B87BB8">
        <w:rPr>
          <w:spacing w:val="-3"/>
          <w:sz w:val="22"/>
          <w:szCs w:val="22"/>
          <w:lang w:val="en-US"/>
        </w:rPr>
        <w:t xml:space="preserve"> </w:t>
      </w:r>
      <w:r w:rsidRPr="00B87BB8">
        <w:rPr>
          <w:sz w:val="22"/>
          <w:szCs w:val="22"/>
          <w:lang w:val="en-US"/>
        </w:rPr>
        <w:t>between</w:t>
      </w:r>
      <w:r w:rsidRPr="00B87BB8">
        <w:rPr>
          <w:spacing w:val="-3"/>
          <w:sz w:val="22"/>
          <w:szCs w:val="22"/>
          <w:lang w:val="en-US"/>
        </w:rPr>
        <w:t xml:space="preserve"> </w:t>
      </w:r>
      <w:r w:rsidRPr="00B87BB8">
        <w:rPr>
          <w:sz w:val="22"/>
          <w:szCs w:val="22"/>
          <w:lang w:val="en-US"/>
        </w:rPr>
        <w:t>Management</w:t>
      </w:r>
      <w:r w:rsidRPr="00B87BB8">
        <w:rPr>
          <w:spacing w:val="40"/>
          <w:sz w:val="22"/>
          <w:szCs w:val="22"/>
          <w:lang w:val="en-US"/>
        </w:rPr>
        <w:t xml:space="preserve"> </w:t>
      </w:r>
      <w:r w:rsidRPr="00B87BB8">
        <w:rPr>
          <w:sz w:val="22"/>
          <w:szCs w:val="22"/>
          <w:lang w:val="en-US"/>
        </w:rPr>
        <w:t>Practices and National Culture, Journal of International Business Studies, 27(4): 753-779.</w:t>
      </w:r>
      <w:r w:rsidRPr="00B87BB8">
        <w:rPr>
          <w:spacing w:val="40"/>
          <w:sz w:val="22"/>
          <w:szCs w:val="22"/>
          <w:lang w:val="en-US"/>
        </w:rPr>
        <w:t xml:space="preserve"> </w:t>
      </w:r>
      <w:r w:rsidRPr="00B87BB8">
        <w:rPr>
          <w:sz w:val="22"/>
          <w:szCs w:val="22"/>
        </w:rPr>
        <w:t>Rickert, H. (1926): Kulturwissenschaft und Naturwissenschaft, 7.Aufl., Tübingen.</w:t>
      </w:r>
      <w:r w:rsidRPr="00B87BB8">
        <w:rPr>
          <w:spacing w:val="40"/>
          <w:sz w:val="22"/>
          <w:szCs w:val="22"/>
        </w:rPr>
        <w:t xml:space="preserve"> </w:t>
      </w:r>
      <w:r w:rsidRPr="00B87BB8">
        <w:rPr>
          <w:sz w:val="22"/>
          <w:szCs w:val="22"/>
        </w:rPr>
        <w:t>Sobrevilla, D. (1971): Der Ursprung des Kulturbegriffs, der Kulturphilosophie und der</w:t>
      </w:r>
      <w:r w:rsidRPr="00B87BB8">
        <w:rPr>
          <w:spacing w:val="40"/>
          <w:sz w:val="22"/>
          <w:szCs w:val="22"/>
        </w:rPr>
        <w:t xml:space="preserve"> </w:t>
      </w:r>
      <w:r w:rsidRPr="00B87BB8">
        <w:rPr>
          <w:sz w:val="22"/>
          <w:szCs w:val="22"/>
        </w:rPr>
        <w:t>Kulturkritik,</w:t>
      </w:r>
      <w:r w:rsidRPr="00B87BB8">
        <w:rPr>
          <w:spacing w:val="-4"/>
          <w:sz w:val="22"/>
          <w:szCs w:val="22"/>
        </w:rPr>
        <w:t xml:space="preserve"> </w:t>
      </w:r>
      <w:r w:rsidRPr="00B87BB8">
        <w:rPr>
          <w:sz w:val="22"/>
          <w:szCs w:val="22"/>
        </w:rPr>
        <w:t>Diss.,</w:t>
      </w:r>
      <w:r w:rsidRPr="00B87BB8">
        <w:rPr>
          <w:spacing w:val="-3"/>
          <w:sz w:val="22"/>
          <w:szCs w:val="22"/>
        </w:rPr>
        <w:t xml:space="preserve"> </w:t>
      </w:r>
      <w:r w:rsidRPr="00B87BB8">
        <w:rPr>
          <w:sz w:val="22"/>
          <w:szCs w:val="22"/>
        </w:rPr>
        <w:t>Universität</w:t>
      </w:r>
      <w:r w:rsidRPr="00B87BB8">
        <w:rPr>
          <w:spacing w:val="-6"/>
          <w:sz w:val="22"/>
          <w:szCs w:val="22"/>
        </w:rPr>
        <w:t xml:space="preserve"> </w:t>
      </w:r>
      <w:r w:rsidRPr="00B87BB8">
        <w:rPr>
          <w:sz w:val="22"/>
          <w:szCs w:val="22"/>
        </w:rPr>
        <w:t>Tübingen.</w:t>
      </w:r>
      <w:r w:rsidRPr="00B87BB8">
        <w:rPr>
          <w:spacing w:val="40"/>
          <w:sz w:val="22"/>
          <w:szCs w:val="22"/>
        </w:rPr>
        <w:t xml:space="preserve"> </w:t>
      </w:r>
      <w:r w:rsidRPr="00B87BB8">
        <w:rPr>
          <w:sz w:val="22"/>
          <w:szCs w:val="22"/>
          <w:lang w:val="en-US"/>
        </w:rPr>
        <w:t>Williams,</w:t>
      </w:r>
      <w:r w:rsidRPr="00B87BB8">
        <w:rPr>
          <w:spacing w:val="-6"/>
          <w:sz w:val="22"/>
          <w:szCs w:val="22"/>
          <w:lang w:val="en-US"/>
        </w:rPr>
        <w:t xml:space="preserve"> </w:t>
      </w:r>
      <w:r w:rsidRPr="00B87BB8">
        <w:rPr>
          <w:sz w:val="22"/>
          <w:szCs w:val="22"/>
          <w:lang w:val="en-US"/>
        </w:rPr>
        <w:t>R.</w:t>
      </w:r>
      <w:r w:rsidRPr="00B87BB8">
        <w:rPr>
          <w:spacing w:val="-5"/>
          <w:sz w:val="22"/>
          <w:szCs w:val="22"/>
          <w:lang w:val="en-US"/>
        </w:rPr>
        <w:t xml:space="preserve"> </w:t>
      </w:r>
      <w:r w:rsidRPr="00B87BB8">
        <w:rPr>
          <w:sz w:val="22"/>
          <w:szCs w:val="22"/>
          <w:lang w:val="en-US"/>
        </w:rPr>
        <w:t>(1976):</w:t>
      </w:r>
      <w:r w:rsidRPr="00B87BB8">
        <w:rPr>
          <w:spacing w:val="-6"/>
          <w:sz w:val="22"/>
          <w:szCs w:val="22"/>
          <w:lang w:val="en-US"/>
        </w:rPr>
        <w:t xml:space="preserve"> </w:t>
      </w:r>
      <w:r w:rsidRPr="00B87BB8">
        <w:rPr>
          <w:sz w:val="22"/>
          <w:szCs w:val="22"/>
          <w:lang w:val="en-US"/>
        </w:rPr>
        <w:t>Keywords.</w:t>
      </w:r>
      <w:r w:rsidRPr="00B87BB8">
        <w:rPr>
          <w:spacing w:val="-6"/>
          <w:sz w:val="22"/>
          <w:szCs w:val="22"/>
          <w:lang w:val="en-US"/>
        </w:rPr>
        <w:t xml:space="preserve"> </w:t>
      </w:r>
      <w:r w:rsidRPr="00B87BB8">
        <w:rPr>
          <w:sz w:val="22"/>
          <w:szCs w:val="22"/>
          <w:lang w:val="en-US"/>
        </w:rPr>
        <w:t>A</w:t>
      </w:r>
      <w:r w:rsidRPr="00B87BB8">
        <w:rPr>
          <w:spacing w:val="-5"/>
          <w:sz w:val="22"/>
          <w:szCs w:val="22"/>
          <w:lang w:val="en-US"/>
        </w:rPr>
        <w:t xml:space="preserve"> </w:t>
      </w:r>
      <w:r w:rsidRPr="00B87BB8">
        <w:rPr>
          <w:sz w:val="22"/>
          <w:szCs w:val="22"/>
          <w:lang w:val="en-US"/>
        </w:rPr>
        <w:t>Vocabulary</w:t>
      </w:r>
      <w:r w:rsidRPr="00B87BB8">
        <w:rPr>
          <w:spacing w:val="-6"/>
          <w:sz w:val="22"/>
          <w:szCs w:val="22"/>
          <w:lang w:val="en-US"/>
        </w:rPr>
        <w:t xml:space="preserve"> </w:t>
      </w:r>
      <w:r w:rsidRPr="00B87BB8">
        <w:rPr>
          <w:sz w:val="22"/>
          <w:szCs w:val="22"/>
          <w:lang w:val="en-US"/>
        </w:rPr>
        <w:t>of</w:t>
      </w:r>
      <w:r w:rsidRPr="00B87BB8">
        <w:rPr>
          <w:spacing w:val="40"/>
          <w:sz w:val="22"/>
          <w:szCs w:val="22"/>
          <w:lang w:val="en-US"/>
        </w:rPr>
        <w:t xml:space="preserve"> </w:t>
      </w:r>
      <w:r w:rsidRPr="00B87BB8">
        <w:rPr>
          <w:sz w:val="22"/>
          <w:szCs w:val="22"/>
          <w:lang w:val="en-US"/>
        </w:rPr>
        <w:t>Culture and Society, London: Oxford University Pres</w:t>
      </w:r>
      <w:r w:rsidRPr="00E35FFF">
        <w:rPr>
          <w:lang w:val="en-US"/>
        </w:rPr>
        <w:t>s.</w:t>
      </w:r>
    </w:p>
    <w:p w14:paraId="36039FF5" w14:textId="77777777" w:rsidR="00FF7799" w:rsidRPr="00E35FFF" w:rsidRDefault="00FF7799" w:rsidP="003D58DC">
      <w:pPr>
        <w:pStyle w:val="StandardText"/>
        <w:rPr>
          <w:lang w:val="en-US"/>
        </w:rPr>
      </w:pPr>
    </w:p>
    <w:p w14:paraId="441C37AC" w14:textId="77777777" w:rsidR="00FF7799" w:rsidRPr="00090A54" w:rsidRDefault="00FF7799" w:rsidP="00EF6F53">
      <w:pPr>
        <w:pStyle w:val="berschrift1"/>
        <w:rPr>
          <w:bCs w:val="0"/>
          <w:color w:val="2E74B5"/>
          <w:sz w:val="22"/>
        </w:rPr>
      </w:pPr>
      <w:r w:rsidRPr="00090A54">
        <w:rPr>
          <w:bCs w:val="0"/>
          <w:color w:val="2E74B5"/>
          <w:sz w:val="22"/>
        </w:rPr>
        <w:t>Kultur: Konzepte &amp; Definitionen</w:t>
      </w:r>
    </w:p>
    <w:p w14:paraId="099087C5" w14:textId="77777777" w:rsidR="00FF7799" w:rsidRPr="00B87BB8" w:rsidRDefault="00FF7799" w:rsidP="003D58DC">
      <w:pPr>
        <w:pStyle w:val="StandardTextkursiv"/>
        <w:rPr>
          <w:i w:val="0"/>
        </w:rPr>
      </w:pPr>
      <w:r w:rsidRPr="00B87BB8">
        <w:rPr>
          <w:i w:val="0"/>
        </w:rPr>
        <w:lastRenderedPageBreak/>
        <w:t>1 Wissenschaftstheoretische</w:t>
      </w:r>
      <w:r w:rsidRPr="00B87BB8">
        <w:rPr>
          <w:i w:val="0"/>
          <w:spacing w:val="-7"/>
        </w:rPr>
        <w:t xml:space="preserve"> </w:t>
      </w:r>
      <w:r w:rsidRPr="00B87BB8">
        <w:rPr>
          <w:i w:val="0"/>
          <w:spacing w:val="-2"/>
        </w:rPr>
        <w:t>Einordnung</w:t>
      </w:r>
    </w:p>
    <w:p w14:paraId="08B55295" w14:textId="77777777" w:rsidR="00FF7799" w:rsidRDefault="00FF7799" w:rsidP="00DF5332">
      <w:pPr>
        <w:pStyle w:val="StandardText"/>
      </w:pPr>
      <w:r w:rsidRPr="00E73F6F">
        <w:t>Wie viele andere Wissenschaften litt auch die kulturvergleichende Forschung an einem Mangel an theoretischer Fundierung (vgl. Holzmüller 1989). Falls überhaupt vorhanden, so wurden „Mini-Theorien“ formuliert, d.h. Theorien mit begrenzter</w:t>
      </w:r>
      <w:r w:rsidRPr="00E73F6F">
        <w:rPr>
          <w:spacing w:val="-12"/>
        </w:rPr>
        <w:t xml:space="preserve"> </w:t>
      </w:r>
      <w:r w:rsidRPr="00E73F6F">
        <w:t>Reichweite,</w:t>
      </w:r>
      <w:r w:rsidRPr="00E73F6F">
        <w:rPr>
          <w:spacing w:val="-10"/>
        </w:rPr>
        <w:t xml:space="preserve"> </w:t>
      </w:r>
      <w:r w:rsidRPr="00E73F6F">
        <w:t>die</w:t>
      </w:r>
      <w:r w:rsidRPr="00E73F6F">
        <w:rPr>
          <w:spacing w:val="-12"/>
        </w:rPr>
        <w:t xml:space="preserve"> </w:t>
      </w:r>
      <w:r w:rsidRPr="00E73F6F">
        <w:t>überdies</w:t>
      </w:r>
      <w:r w:rsidRPr="00E73F6F">
        <w:rPr>
          <w:spacing w:val="-11"/>
        </w:rPr>
        <w:t xml:space="preserve"> </w:t>
      </w:r>
      <w:r w:rsidRPr="00E73F6F">
        <w:t>zumeist</w:t>
      </w:r>
      <w:r w:rsidRPr="00E73F6F">
        <w:rPr>
          <w:spacing w:val="-10"/>
        </w:rPr>
        <w:t xml:space="preserve"> </w:t>
      </w:r>
      <w:r w:rsidRPr="00E73F6F">
        <w:t>positivistisch</w:t>
      </w:r>
      <w:r w:rsidRPr="00E73F6F">
        <w:rPr>
          <w:spacing w:val="-9"/>
        </w:rPr>
        <w:t xml:space="preserve"> </w:t>
      </w:r>
      <w:r w:rsidRPr="00E73F6F">
        <w:t>angelegt</w:t>
      </w:r>
      <w:r w:rsidRPr="00E73F6F">
        <w:rPr>
          <w:spacing w:val="-12"/>
        </w:rPr>
        <w:t xml:space="preserve"> </w:t>
      </w:r>
      <w:r w:rsidRPr="00E73F6F">
        <w:t>sind</w:t>
      </w:r>
      <w:r w:rsidRPr="00E73F6F">
        <w:rPr>
          <w:spacing w:val="-9"/>
        </w:rPr>
        <w:t xml:space="preserve"> </w:t>
      </w:r>
      <w:r w:rsidRPr="00E73F6F">
        <w:t>(vgl.</w:t>
      </w:r>
      <w:r w:rsidRPr="00E73F6F">
        <w:rPr>
          <w:spacing w:val="-7"/>
        </w:rPr>
        <w:t xml:space="preserve"> </w:t>
      </w:r>
      <w:r w:rsidRPr="00E73F6F">
        <w:t>Abb. 1). Weiterhin basierte die Mehrzahl der Studien nicht auf einem bestimmten Kulturkonzept</w:t>
      </w:r>
      <w:r w:rsidRPr="00E73F6F">
        <w:rPr>
          <w:spacing w:val="-6"/>
        </w:rPr>
        <w:t xml:space="preserve"> </w:t>
      </w:r>
      <w:r w:rsidRPr="00E73F6F">
        <w:t>(vgl.</w:t>
      </w:r>
      <w:r w:rsidRPr="00E73F6F">
        <w:rPr>
          <w:spacing w:val="-8"/>
        </w:rPr>
        <w:t xml:space="preserve"> </w:t>
      </w:r>
      <w:r w:rsidRPr="00E73F6F">
        <w:t>Sojka/Tansuhaj</w:t>
      </w:r>
      <w:r w:rsidRPr="00E73F6F">
        <w:rPr>
          <w:spacing w:val="-6"/>
        </w:rPr>
        <w:t xml:space="preserve"> </w:t>
      </w:r>
      <w:r w:rsidRPr="00E73F6F">
        <w:t>1995,</w:t>
      </w:r>
      <w:r w:rsidRPr="00E73F6F">
        <w:rPr>
          <w:spacing w:val="-8"/>
        </w:rPr>
        <w:t xml:space="preserve"> </w:t>
      </w:r>
      <w:r w:rsidRPr="00E73F6F">
        <w:t>S.469).</w:t>
      </w:r>
      <w:r w:rsidRPr="00E73F6F">
        <w:rPr>
          <w:spacing w:val="-8"/>
        </w:rPr>
        <w:t xml:space="preserve"> </w:t>
      </w:r>
      <w:r w:rsidRPr="00E73F6F">
        <w:t>Manche</w:t>
      </w:r>
      <w:r w:rsidRPr="00E73F6F">
        <w:rPr>
          <w:spacing w:val="-9"/>
        </w:rPr>
        <w:t xml:space="preserve"> </w:t>
      </w:r>
      <w:r w:rsidRPr="00E73F6F">
        <w:t>versuchten,</w:t>
      </w:r>
      <w:r w:rsidRPr="00E73F6F">
        <w:rPr>
          <w:spacing w:val="-6"/>
        </w:rPr>
        <w:t xml:space="preserve"> </w:t>
      </w:r>
      <w:r w:rsidRPr="00E73F6F">
        <w:t>ihre</w:t>
      </w:r>
      <w:r w:rsidRPr="00E73F6F">
        <w:rPr>
          <w:spacing w:val="-7"/>
        </w:rPr>
        <w:t xml:space="preserve"> </w:t>
      </w:r>
      <w:r w:rsidRPr="00E73F6F">
        <w:t>Arbeit 'ex post' mit einer theoretischen Basis „nachzurüsten“ (vgl. von Keller 1982, S.559). Andere setzten aus forschungspragmatischen Gründen Nation bzw. Land mit</w:t>
      </w:r>
      <w:r w:rsidRPr="00E73F6F">
        <w:rPr>
          <w:spacing w:val="-8"/>
        </w:rPr>
        <w:t xml:space="preserve"> </w:t>
      </w:r>
      <w:r w:rsidRPr="00E73F6F">
        <w:t>Kultur</w:t>
      </w:r>
      <w:r w:rsidRPr="00E73F6F">
        <w:rPr>
          <w:spacing w:val="-8"/>
        </w:rPr>
        <w:t xml:space="preserve"> </w:t>
      </w:r>
      <w:r w:rsidRPr="00E73F6F">
        <w:t>gleich.</w:t>
      </w:r>
      <w:r w:rsidRPr="00E73F6F">
        <w:rPr>
          <w:spacing w:val="-8"/>
        </w:rPr>
        <w:t xml:space="preserve"> </w:t>
      </w:r>
      <w:r w:rsidRPr="00E73F6F">
        <w:t>Deshalb</w:t>
      </w:r>
      <w:r w:rsidRPr="00E73F6F">
        <w:rPr>
          <w:spacing w:val="-8"/>
        </w:rPr>
        <w:t xml:space="preserve"> </w:t>
      </w:r>
      <w:r w:rsidRPr="00E73F6F">
        <w:t>waren</w:t>
      </w:r>
      <w:r w:rsidRPr="00E73F6F">
        <w:rPr>
          <w:spacing w:val="-8"/>
        </w:rPr>
        <w:t xml:space="preserve"> </w:t>
      </w:r>
      <w:r w:rsidRPr="00E73F6F">
        <w:t>die</w:t>
      </w:r>
      <w:r w:rsidRPr="00E73F6F">
        <w:rPr>
          <w:spacing w:val="-8"/>
        </w:rPr>
        <w:t xml:space="preserve"> </w:t>
      </w:r>
      <w:r w:rsidRPr="00E73F6F">
        <w:t>meisten</w:t>
      </w:r>
      <w:r w:rsidRPr="00E73F6F">
        <w:rPr>
          <w:spacing w:val="-8"/>
        </w:rPr>
        <w:t xml:space="preserve"> </w:t>
      </w:r>
      <w:r w:rsidRPr="00E73F6F">
        <w:t>Studien</w:t>
      </w:r>
      <w:r w:rsidRPr="00E73F6F">
        <w:rPr>
          <w:spacing w:val="-9"/>
        </w:rPr>
        <w:t xml:space="preserve"> </w:t>
      </w:r>
      <w:r w:rsidRPr="00E73F6F">
        <w:t>nicht</w:t>
      </w:r>
      <w:r w:rsidRPr="00E73F6F">
        <w:rPr>
          <w:spacing w:val="-10"/>
        </w:rPr>
        <w:t xml:space="preserve"> </w:t>
      </w:r>
      <w:r w:rsidRPr="00E73F6F">
        <w:t>wirklich</w:t>
      </w:r>
      <w:r w:rsidRPr="00E73F6F">
        <w:rPr>
          <w:spacing w:val="-9"/>
        </w:rPr>
        <w:t xml:space="preserve"> </w:t>
      </w:r>
      <w:r w:rsidRPr="00E73F6F">
        <w:t>interkulturell, sondern länderübergreifend.</w:t>
      </w:r>
    </w:p>
    <w:p w14:paraId="2F2DD294" w14:textId="77777777" w:rsidR="00DF5332" w:rsidRPr="00E73F6F" w:rsidRDefault="00DF5332" w:rsidP="00DF5332">
      <w:pPr>
        <w:pStyle w:val="StandardText"/>
      </w:pPr>
    </w:p>
    <w:p w14:paraId="0BF4574D" w14:textId="77777777" w:rsidR="00FF7799" w:rsidRPr="00C76DC3" w:rsidRDefault="00FF7799" w:rsidP="00DF5332">
      <w:pPr>
        <w:pStyle w:val="BeschriftungTab"/>
        <w:rPr>
          <w:i/>
          <w:iCs/>
          <w:spacing w:val="-2"/>
        </w:rPr>
      </w:pPr>
      <w:r w:rsidRPr="00C76DC3">
        <w:rPr>
          <w:i/>
          <w:iCs/>
        </w:rPr>
        <w:t>Abb.</w:t>
      </w:r>
      <w:r w:rsidRPr="00C76DC3">
        <w:rPr>
          <w:i/>
          <w:iCs/>
          <w:spacing w:val="-6"/>
        </w:rPr>
        <w:t xml:space="preserve"> </w:t>
      </w:r>
      <w:r w:rsidRPr="00C76DC3">
        <w:rPr>
          <w:i/>
          <w:iCs/>
        </w:rPr>
        <w:t>1:</w:t>
      </w:r>
      <w:r w:rsidRPr="00C76DC3">
        <w:rPr>
          <w:i/>
          <w:iCs/>
          <w:spacing w:val="-7"/>
        </w:rPr>
        <w:t xml:space="preserve"> </w:t>
      </w:r>
      <w:r w:rsidRPr="00C76DC3">
        <w:rPr>
          <w:i/>
          <w:iCs/>
        </w:rPr>
        <w:t>Methodologische</w:t>
      </w:r>
      <w:r w:rsidRPr="00C76DC3">
        <w:rPr>
          <w:i/>
          <w:iCs/>
          <w:spacing w:val="-8"/>
        </w:rPr>
        <w:t xml:space="preserve"> </w:t>
      </w:r>
      <w:r w:rsidRPr="00C76DC3">
        <w:rPr>
          <w:i/>
          <w:iCs/>
        </w:rPr>
        <w:t>Struktur</w:t>
      </w:r>
      <w:r w:rsidRPr="00C76DC3">
        <w:rPr>
          <w:i/>
          <w:iCs/>
          <w:spacing w:val="-8"/>
        </w:rPr>
        <w:t xml:space="preserve"> </w:t>
      </w:r>
      <w:r w:rsidRPr="00C76DC3">
        <w:rPr>
          <w:i/>
          <w:iCs/>
        </w:rPr>
        <w:t>der</w:t>
      </w:r>
      <w:r w:rsidRPr="00C76DC3">
        <w:rPr>
          <w:i/>
          <w:iCs/>
          <w:spacing w:val="-5"/>
        </w:rPr>
        <w:t xml:space="preserve"> </w:t>
      </w:r>
      <w:r w:rsidRPr="00C76DC3">
        <w:rPr>
          <w:i/>
          <w:iCs/>
        </w:rPr>
        <w:t xml:space="preserve">kulturvergleichenden </w:t>
      </w:r>
      <w:r w:rsidRPr="00C76DC3">
        <w:rPr>
          <w:i/>
          <w:iCs/>
          <w:spacing w:val="-2"/>
        </w:rPr>
        <w:t>Management-Forschung</w:t>
      </w:r>
    </w:p>
    <w:p w14:paraId="37C5EF27" w14:textId="77777777" w:rsidR="00B87BB8" w:rsidRPr="00E73F6F" w:rsidRDefault="00257468" w:rsidP="00DF5332">
      <w:pPr>
        <w:pStyle w:val="BeschriftungTab"/>
      </w:pPr>
      <w:r>
        <w:rPr>
          <w:noProof/>
        </w:rPr>
        <w:drawing>
          <wp:inline distT="0" distB="0" distL="0" distR="0" wp14:anchorId="16D0C456" wp14:editId="6208E025">
            <wp:extent cx="5761170" cy="4638675"/>
            <wp:effectExtent l="0" t="0" r="0" b="0"/>
            <wp:docPr id="91" name="Grafik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765633" cy="4642269"/>
                    </a:xfrm>
                    <a:prstGeom prst="rect">
                      <a:avLst/>
                    </a:prstGeom>
                    <a:noFill/>
                  </pic:spPr>
                </pic:pic>
              </a:graphicData>
            </a:graphic>
          </wp:inline>
        </w:drawing>
      </w:r>
    </w:p>
    <w:p w14:paraId="3F747E44" w14:textId="77777777" w:rsidR="00FF7799" w:rsidRPr="00E73F6F" w:rsidRDefault="00FF7799" w:rsidP="00862DBA">
      <w:pPr>
        <w:spacing w:before="151"/>
        <w:jc w:val="both"/>
        <w:rPr>
          <w:sz w:val="24"/>
          <w:szCs w:val="24"/>
        </w:rPr>
      </w:pPr>
      <w:r w:rsidRPr="00E73F6F">
        <w:rPr>
          <w:sz w:val="24"/>
          <w:szCs w:val="24"/>
        </w:rPr>
        <w:t>Quelle:</w:t>
      </w:r>
      <w:r w:rsidRPr="00E73F6F">
        <w:rPr>
          <w:spacing w:val="60"/>
          <w:sz w:val="24"/>
          <w:szCs w:val="24"/>
        </w:rPr>
        <w:t xml:space="preserve"> </w:t>
      </w:r>
      <w:r w:rsidRPr="00E73F6F">
        <w:rPr>
          <w:sz w:val="24"/>
          <w:szCs w:val="24"/>
        </w:rPr>
        <w:t>Redding</w:t>
      </w:r>
      <w:r w:rsidRPr="00E73F6F">
        <w:rPr>
          <w:spacing w:val="-2"/>
          <w:sz w:val="24"/>
          <w:szCs w:val="24"/>
        </w:rPr>
        <w:t xml:space="preserve"> </w:t>
      </w:r>
      <w:r w:rsidRPr="00E73F6F">
        <w:rPr>
          <w:sz w:val="24"/>
          <w:szCs w:val="24"/>
        </w:rPr>
        <w:t>(1994,</w:t>
      </w:r>
      <w:r w:rsidRPr="00E73F6F">
        <w:rPr>
          <w:spacing w:val="1"/>
          <w:sz w:val="24"/>
          <w:szCs w:val="24"/>
        </w:rPr>
        <w:t xml:space="preserve"> </w:t>
      </w:r>
      <w:r w:rsidRPr="00E73F6F">
        <w:rPr>
          <w:spacing w:val="-2"/>
          <w:sz w:val="24"/>
          <w:szCs w:val="24"/>
        </w:rPr>
        <w:t>S.332).</w:t>
      </w:r>
    </w:p>
    <w:p w14:paraId="731CBB09" w14:textId="77777777" w:rsidR="00FF7799" w:rsidRPr="00E73F6F" w:rsidRDefault="00FF7799" w:rsidP="00862DBA">
      <w:pPr>
        <w:rPr>
          <w:sz w:val="24"/>
          <w:szCs w:val="24"/>
        </w:rPr>
      </w:pPr>
    </w:p>
    <w:p w14:paraId="30403B49" w14:textId="77777777" w:rsidR="00FF7799" w:rsidRPr="00E73F6F" w:rsidRDefault="00FF7799" w:rsidP="00DF5332">
      <w:pPr>
        <w:pStyle w:val="StandardText"/>
      </w:pPr>
    </w:p>
    <w:p w14:paraId="2B2F3277" w14:textId="77777777" w:rsidR="00FF7799" w:rsidRPr="00B87BB8" w:rsidRDefault="00FF7799" w:rsidP="003D58DC">
      <w:pPr>
        <w:pStyle w:val="StandardTextkursiv"/>
        <w:rPr>
          <w:i w:val="0"/>
        </w:rPr>
      </w:pPr>
      <w:r w:rsidRPr="00B87BB8">
        <w:rPr>
          <w:i w:val="0"/>
        </w:rPr>
        <w:t>2 Kultur:</w:t>
      </w:r>
      <w:r w:rsidRPr="00B87BB8">
        <w:rPr>
          <w:i w:val="0"/>
          <w:spacing w:val="-5"/>
        </w:rPr>
        <w:t xml:space="preserve"> </w:t>
      </w:r>
      <w:r w:rsidRPr="00B87BB8">
        <w:rPr>
          <w:i w:val="0"/>
        </w:rPr>
        <w:t>ein</w:t>
      </w:r>
      <w:r w:rsidRPr="00B87BB8">
        <w:rPr>
          <w:i w:val="0"/>
          <w:spacing w:val="-2"/>
        </w:rPr>
        <w:t xml:space="preserve"> </w:t>
      </w:r>
      <w:r w:rsidRPr="00B87BB8">
        <w:rPr>
          <w:i w:val="0"/>
        </w:rPr>
        <w:t>„gemeinsamer</w:t>
      </w:r>
      <w:r w:rsidRPr="00B87BB8">
        <w:rPr>
          <w:i w:val="0"/>
          <w:spacing w:val="-2"/>
        </w:rPr>
        <w:t xml:space="preserve"> Wissensvorrat“</w:t>
      </w:r>
    </w:p>
    <w:p w14:paraId="4CAFDBFE" w14:textId="77777777" w:rsidR="00FF7799" w:rsidRPr="00E73F6F" w:rsidRDefault="00FF7799" w:rsidP="00DF5332">
      <w:pPr>
        <w:pStyle w:val="StandardText"/>
      </w:pPr>
      <w:r w:rsidRPr="00E73F6F">
        <w:t>Im allgemeinsten Sinn bezeichnet der Begriff „Kultur“ einen „gemeinsamen Wissensvorrat“, den eine Gruppe von Menschen teilt und der sie zugleich von Mitgliedern anderer Kulturen unterscheidet (vgl. Rohner 1984, S.114).</w:t>
      </w:r>
    </w:p>
    <w:p w14:paraId="1197742C" w14:textId="77777777" w:rsidR="00FF7799" w:rsidRPr="00E73F6F" w:rsidRDefault="00FF7799" w:rsidP="000B4618">
      <w:pPr>
        <w:pStyle w:val="StandardTextAufzhlung"/>
        <w:ind w:left="426"/>
      </w:pPr>
      <w:r w:rsidRPr="00E73F6F">
        <w:t>Kulturanthropologen und Soziologen zählen dazu nur die beobachtbaren Verhaltensweisen (z.B. Rituale, Bräuche) und Verhaltensergebnisse (z.B. Bauwerke; vgl. Bauernfeind 1995, S.17).</w:t>
      </w:r>
    </w:p>
    <w:p w14:paraId="7A5067BD" w14:textId="77777777" w:rsidR="00FF7799" w:rsidRDefault="00FF7799" w:rsidP="000B4618">
      <w:pPr>
        <w:pStyle w:val="StandardTextAufzhlung"/>
        <w:ind w:left="426"/>
      </w:pPr>
      <w:r w:rsidRPr="00E73F6F">
        <w:lastRenderedPageBreak/>
        <w:t>Kulturvergleichende Psychologen und kognitive Anthropologen hingegen subsumieren dem Konzept „gemeinsamer Wissensvorrat“ auch nicht- beobachtbare</w:t>
      </w:r>
      <w:r w:rsidRPr="00E73F6F">
        <w:rPr>
          <w:spacing w:val="-6"/>
        </w:rPr>
        <w:t xml:space="preserve"> </w:t>
      </w:r>
      <w:r w:rsidRPr="00E73F6F">
        <w:t>psychische</w:t>
      </w:r>
      <w:r w:rsidRPr="00E73F6F">
        <w:rPr>
          <w:spacing w:val="-6"/>
        </w:rPr>
        <w:t xml:space="preserve"> </w:t>
      </w:r>
      <w:r w:rsidRPr="00E73F6F">
        <w:t>Prozesse</w:t>
      </w:r>
      <w:r w:rsidRPr="00E73F6F">
        <w:rPr>
          <w:spacing w:val="-6"/>
        </w:rPr>
        <w:t xml:space="preserve"> </w:t>
      </w:r>
      <w:r w:rsidRPr="00E73F6F">
        <w:t>(z.B.</w:t>
      </w:r>
      <w:r w:rsidRPr="00E73F6F">
        <w:rPr>
          <w:spacing w:val="-5"/>
        </w:rPr>
        <w:t xml:space="preserve"> </w:t>
      </w:r>
      <w:r w:rsidRPr="00E73F6F">
        <w:t>Denken)</w:t>
      </w:r>
      <w:r w:rsidRPr="00E73F6F">
        <w:rPr>
          <w:spacing w:val="-5"/>
        </w:rPr>
        <w:t xml:space="preserve"> </w:t>
      </w:r>
      <w:r w:rsidRPr="00E73F6F">
        <w:t>sowie</w:t>
      </w:r>
      <w:r w:rsidRPr="00E73F6F">
        <w:rPr>
          <w:spacing w:val="-6"/>
        </w:rPr>
        <w:t xml:space="preserve"> </w:t>
      </w:r>
      <w:r w:rsidRPr="00E73F6F">
        <w:t>die</w:t>
      </w:r>
      <w:r w:rsidRPr="00E73F6F">
        <w:rPr>
          <w:spacing w:val="-3"/>
        </w:rPr>
        <w:t xml:space="preserve"> </w:t>
      </w:r>
      <w:r w:rsidRPr="00E73F6F">
        <w:t>Art</w:t>
      </w:r>
      <w:r w:rsidRPr="00E73F6F">
        <w:rPr>
          <w:spacing w:val="-5"/>
        </w:rPr>
        <w:t xml:space="preserve"> </w:t>
      </w:r>
      <w:r w:rsidRPr="00E73F6F">
        <w:t>und</w:t>
      </w:r>
      <w:r w:rsidRPr="00E73F6F">
        <w:rPr>
          <w:spacing w:val="-4"/>
        </w:rPr>
        <w:t xml:space="preserve"> </w:t>
      </w:r>
      <w:r w:rsidRPr="00E73F6F">
        <w:t>Weise</w:t>
      </w:r>
      <w:r w:rsidRPr="00E73F6F">
        <w:rPr>
          <w:spacing w:val="-6"/>
        </w:rPr>
        <w:t xml:space="preserve"> </w:t>
      </w:r>
      <w:r w:rsidRPr="00E73F6F">
        <w:t>der Interpretation von Emotionen (vgl. Dmoch 1997, S.82f.).</w:t>
      </w:r>
    </w:p>
    <w:p w14:paraId="3DAF9F0C" w14:textId="77777777" w:rsidR="000B4618" w:rsidRPr="00E73F6F" w:rsidRDefault="000B4618" w:rsidP="000B4618">
      <w:pPr>
        <w:pStyle w:val="StandardTextAufzhlung"/>
        <w:numPr>
          <w:ilvl w:val="0"/>
          <w:numId w:val="0"/>
        </w:numPr>
        <w:ind w:left="426"/>
      </w:pPr>
    </w:p>
    <w:p w14:paraId="79A8C0DB" w14:textId="77777777" w:rsidR="00FF7799" w:rsidRPr="00E73F6F" w:rsidRDefault="00FF7799" w:rsidP="00DF5332">
      <w:pPr>
        <w:pStyle w:val="StandardText"/>
      </w:pPr>
      <w:r w:rsidRPr="00E73F6F">
        <w:t>Neben dieser inhaltlichen Abgrenzung sind auch formale Klassifikationen möglich, z.B. den Geltungsbereich der jeweiligen Definition betreffend. Zwar stimmen alle Autoren mehr oder</w:t>
      </w:r>
      <w:r w:rsidRPr="00E73F6F">
        <w:rPr>
          <w:spacing w:val="-2"/>
        </w:rPr>
        <w:t xml:space="preserve"> </w:t>
      </w:r>
      <w:r w:rsidRPr="00E73F6F">
        <w:t>weniger darin</w:t>
      </w:r>
      <w:r w:rsidRPr="00E73F6F">
        <w:rPr>
          <w:spacing w:val="-1"/>
        </w:rPr>
        <w:t xml:space="preserve"> </w:t>
      </w:r>
      <w:r w:rsidRPr="00E73F6F">
        <w:t>überein, dass jede</w:t>
      </w:r>
      <w:r w:rsidRPr="00E73F6F">
        <w:rPr>
          <w:spacing w:val="-3"/>
        </w:rPr>
        <w:t xml:space="preserve"> </w:t>
      </w:r>
      <w:r w:rsidRPr="00E73F6F">
        <w:t>Kultur im Kern aus einer bestimmten Art von Weltsicht sowie den damit verbundenen Wertvorstellungen besteht und gleichermaßen Konsequenz wie Antezedenz von Handlungen ist. Jedoch argumentieren dabei die einen mit einer relativ engen Perspektive, wenn sie Kultur „als Komplex aus erlernten Verhaltensweisen und aus</w:t>
      </w:r>
      <w:r w:rsidRPr="00E73F6F">
        <w:rPr>
          <w:spacing w:val="-4"/>
        </w:rPr>
        <w:t xml:space="preserve"> </w:t>
      </w:r>
      <w:r w:rsidRPr="00E73F6F">
        <w:t>Verhaltensresultaten“</w:t>
      </w:r>
      <w:r w:rsidRPr="00E73F6F">
        <w:rPr>
          <w:spacing w:val="-6"/>
        </w:rPr>
        <w:t xml:space="preserve"> </w:t>
      </w:r>
      <w:r w:rsidRPr="00E73F6F">
        <w:t>(Linton</w:t>
      </w:r>
      <w:r w:rsidRPr="00E73F6F">
        <w:rPr>
          <w:spacing w:val="-4"/>
        </w:rPr>
        <w:t xml:space="preserve"> </w:t>
      </w:r>
      <w:r w:rsidRPr="00E73F6F">
        <w:t>1974,</w:t>
      </w:r>
      <w:r w:rsidRPr="00E73F6F">
        <w:rPr>
          <w:spacing w:val="-5"/>
        </w:rPr>
        <w:t xml:space="preserve"> </w:t>
      </w:r>
      <w:r w:rsidRPr="00E73F6F">
        <w:t>S.33)</w:t>
      </w:r>
      <w:r w:rsidRPr="00E73F6F">
        <w:rPr>
          <w:spacing w:val="-5"/>
        </w:rPr>
        <w:t xml:space="preserve"> </w:t>
      </w:r>
      <w:r w:rsidRPr="00E73F6F">
        <w:t>definieren</w:t>
      </w:r>
      <w:r w:rsidRPr="00E73F6F">
        <w:rPr>
          <w:spacing w:val="-4"/>
        </w:rPr>
        <w:t xml:space="preserve"> </w:t>
      </w:r>
      <w:r w:rsidRPr="00E73F6F">
        <w:t>oder</w:t>
      </w:r>
      <w:r w:rsidRPr="00E73F6F">
        <w:rPr>
          <w:spacing w:val="-5"/>
        </w:rPr>
        <w:t xml:space="preserve"> </w:t>
      </w:r>
      <w:r w:rsidRPr="00E73F6F">
        <w:t>als</w:t>
      </w:r>
      <w:r w:rsidRPr="00E73F6F">
        <w:rPr>
          <w:spacing w:val="-4"/>
        </w:rPr>
        <w:t xml:space="preserve"> </w:t>
      </w:r>
      <w:r w:rsidRPr="00E73F6F">
        <w:t>'shared</w:t>
      </w:r>
      <w:r w:rsidRPr="00E73F6F">
        <w:rPr>
          <w:spacing w:val="-3"/>
        </w:rPr>
        <w:t xml:space="preserve"> </w:t>
      </w:r>
      <w:r w:rsidRPr="00E73F6F">
        <w:t>meaning system'</w:t>
      </w:r>
      <w:r w:rsidRPr="00E73F6F">
        <w:rPr>
          <w:spacing w:val="-7"/>
        </w:rPr>
        <w:t xml:space="preserve"> </w:t>
      </w:r>
      <w:r w:rsidRPr="00E73F6F">
        <w:t>(Shweder/Le</w:t>
      </w:r>
      <w:r w:rsidRPr="00E73F6F">
        <w:rPr>
          <w:spacing w:val="-5"/>
        </w:rPr>
        <w:t xml:space="preserve"> </w:t>
      </w:r>
      <w:r w:rsidRPr="00E73F6F">
        <w:t>Vine</w:t>
      </w:r>
      <w:r w:rsidRPr="00E73F6F">
        <w:rPr>
          <w:spacing w:val="-5"/>
        </w:rPr>
        <w:t xml:space="preserve"> </w:t>
      </w:r>
      <w:r w:rsidRPr="00E73F6F">
        <w:t>1984,</w:t>
      </w:r>
      <w:r w:rsidRPr="00E73F6F">
        <w:rPr>
          <w:spacing w:val="-7"/>
        </w:rPr>
        <w:t xml:space="preserve"> </w:t>
      </w:r>
      <w:r w:rsidRPr="00E73F6F">
        <w:t>S.166).</w:t>
      </w:r>
      <w:r w:rsidRPr="00E73F6F">
        <w:rPr>
          <w:spacing w:val="-4"/>
        </w:rPr>
        <w:t xml:space="preserve"> </w:t>
      </w:r>
      <w:r w:rsidRPr="00E73F6F">
        <w:t>Andere</w:t>
      </w:r>
      <w:r w:rsidRPr="00E73F6F">
        <w:rPr>
          <w:spacing w:val="-6"/>
        </w:rPr>
        <w:t xml:space="preserve"> </w:t>
      </w:r>
      <w:r w:rsidRPr="00E73F6F">
        <w:t>hingegen</w:t>
      </w:r>
      <w:r w:rsidRPr="00E73F6F">
        <w:rPr>
          <w:spacing w:val="-6"/>
        </w:rPr>
        <w:t xml:space="preserve"> </w:t>
      </w:r>
      <w:r w:rsidRPr="00E73F6F">
        <w:t>vertreten</w:t>
      </w:r>
      <w:r w:rsidRPr="00E73F6F">
        <w:rPr>
          <w:spacing w:val="-4"/>
        </w:rPr>
        <w:t xml:space="preserve"> </w:t>
      </w:r>
      <w:r w:rsidRPr="00E73F6F">
        <w:t>eine</w:t>
      </w:r>
      <w:r w:rsidRPr="00E73F6F">
        <w:rPr>
          <w:spacing w:val="-5"/>
        </w:rPr>
        <w:t xml:space="preserve"> </w:t>
      </w:r>
      <w:r w:rsidRPr="00E73F6F">
        <w:t>eher</w:t>
      </w:r>
      <w:r w:rsidRPr="00E73F6F">
        <w:rPr>
          <w:spacing w:val="-5"/>
        </w:rPr>
        <w:t xml:space="preserve"> </w:t>
      </w:r>
      <w:r w:rsidRPr="00E73F6F">
        <w:rPr>
          <w:spacing w:val="-4"/>
        </w:rPr>
        <w:t>weit</w:t>
      </w:r>
      <w:r w:rsidR="00DF5332">
        <w:rPr>
          <w:spacing w:val="-4"/>
        </w:rPr>
        <w:t xml:space="preserve"> </w:t>
      </w:r>
      <w:r w:rsidRPr="00E73F6F">
        <w:t>gefasste</w:t>
      </w:r>
      <w:r w:rsidRPr="00E73F6F">
        <w:rPr>
          <w:spacing w:val="-6"/>
        </w:rPr>
        <w:t xml:space="preserve"> </w:t>
      </w:r>
      <w:r w:rsidRPr="00E73F6F">
        <w:t>Auffassung.</w:t>
      </w:r>
      <w:r w:rsidRPr="00E73F6F">
        <w:rPr>
          <w:spacing w:val="-7"/>
        </w:rPr>
        <w:t xml:space="preserve"> </w:t>
      </w:r>
      <w:r w:rsidRPr="00E73F6F">
        <w:t>Zu</w:t>
      </w:r>
      <w:r w:rsidRPr="00E73F6F">
        <w:rPr>
          <w:spacing w:val="-4"/>
        </w:rPr>
        <w:t xml:space="preserve"> </w:t>
      </w:r>
      <w:r w:rsidRPr="00E73F6F">
        <w:t>ihnen</w:t>
      </w:r>
      <w:r w:rsidRPr="00E73F6F">
        <w:rPr>
          <w:spacing w:val="-4"/>
        </w:rPr>
        <w:t xml:space="preserve"> </w:t>
      </w:r>
      <w:r w:rsidRPr="00E73F6F">
        <w:t>zählt</w:t>
      </w:r>
      <w:r w:rsidRPr="00E73F6F">
        <w:rPr>
          <w:spacing w:val="-5"/>
        </w:rPr>
        <w:t xml:space="preserve"> </w:t>
      </w:r>
      <w:r w:rsidRPr="00E73F6F">
        <w:t>Herskovitzs</w:t>
      </w:r>
      <w:r w:rsidRPr="00E73F6F">
        <w:rPr>
          <w:spacing w:val="-6"/>
        </w:rPr>
        <w:t xml:space="preserve"> </w:t>
      </w:r>
      <w:r w:rsidRPr="00E73F6F">
        <w:t>(1948,</w:t>
      </w:r>
      <w:r w:rsidRPr="00E73F6F">
        <w:rPr>
          <w:spacing w:val="-7"/>
        </w:rPr>
        <w:t xml:space="preserve"> </w:t>
      </w:r>
      <w:r w:rsidRPr="00E73F6F">
        <w:t>S.348),</w:t>
      </w:r>
      <w:r w:rsidRPr="00E73F6F">
        <w:rPr>
          <w:spacing w:val="-7"/>
        </w:rPr>
        <w:t xml:space="preserve"> </w:t>
      </w:r>
      <w:r w:rsidRPr="00E73F6F">
        <w:t>der</w:t>
      </w:r>
      <w:r w:rsidRPr="00E73F6F">
        <w:rPr>
          <w:spacing w:val="-5"/>
        </w:rPr>
        <w:t xml:space="preserve"> </w:t>
      </w:r>
      <w:r w:rsidRPr="00E73F6F">
        <w:t>Kultur</w:t>
      </w:r>
      <w:r w:rsidRPr="00E73F6F">
        <w:rPr>
          <w:spacing w:val="-7"/>
        </w:rPr>
        <w:t xml:space="preserve"> </w:t>
      </w:r>
      <w:r w:rsidRPr="00E73F6F">
        <w:t>als</w:t>
      </w:r>
      <w:r w:rsidRPr="00E73F6F">
        <w:rPr>
          <w:spacing w:val="-5"/>
        </w:rPr>
        <w:t xml:space="preserve"> </w:t>
      </w:r>
      <w:r w:rsidRPr="00E73F6F">
        <w:t>‘the man-made part of the environment‘ begreift.</w:t>
      </w:r>
    </w:p>
    <w:p w14:paraId="59FB93DC" w14:textId="77777777" w:rsidR="00FF7799" w:rsidRPr="00E73F6F" w:rsidRDefault="00FF7799" w:rsidP="00DF5332">
      <w:pPr>
        <w:pStyle w:val="StandardText"/>
      </w:pPr>
    </w:p>
    <w:p w14:paraId="236433F8" w14:textId="77777777" w:rsidR="00FF7799" w:rsidRPr="00B87BB8" w:rsidRDefault="00FF7799" w:rsidP="003D58DC">
      <w:pPr>
        <w:pStyle w:val="StandardTextkursiv"/>
        <w:rPr>
          <w:i w:val="0"/>
        </w:rPr>
      </w:pPr>
      <w:r w:rsidRPr="00B87BB8">
        <w:rPr>
          <w:i w:val="0"/>
        </w:rPr>
        <w:t>3 Definitionsvielfalt</w:t>
      </w:r>
      <w:r w:rsidRPr="00B87BB8">
        <w:rPr>
          <w:i w:val="0"/>
          <w:spacing w:val="-3"/>
        </w:rPr>
        <w:t xml:space="preserve"> </w:t>
      </w:r>
      <w:r w:rsidRPr="00B87BB8">
        <w:rPr>
          <w:i w:val="0"/>
        </w:rPr>
        <w:t>&amp;</w:t>
      </w:r>
      <w:r w:rsidRPr="00B87BB8">
        <w:rPr>
          <w:i w:val="0"/>
          <w:spacing w:val="-2"/>
        </w:rPr>
        <w:t xml:space="preserve"> </w:t>
      </w:r>
      <w:r w:rsidRPr="00B87BB8">
        <w:rPr>
          <w:i w:val="0"/>
        </w:rPr>
        <w:t>Ursachen</w:t>
      </w:r>
      <w:r w:rsidRPr="00B87BB8">
        <w:rPr>
          <w:i w:val="0"/>
          <w:spacing w:val="-3"/>
        </w:rPr>
        <w:t xml:space="preserve"> </w:t>
      </w:r>
      <w:r w:rsidRPr="00B87BB8">
        <w:rPr>
          <w:i w:val="0"/>
        </w:rPr>
        <w:t>des</w:t>
      </w:r>
      <w:r w:rsidRPr="00B87BB8">
        <w:rPr>
          <w:i w:val="0"/>
          <w:spacing w:val="-2"/>
        </w:rPr>
        <w:t xml:space="preserve"> Pluralismus</w:t>
      </w:r>
    </w:p>
    <w:p w14:paraId="562A6ACA" w14:textId="77777777" w:rsidR="00FF7799" w:rsidRPr="00E73F6F" w:rsidRDefault="00FF7799" w:rsidP="00DF5332">
      <w:pPr>
        <w:pStyle w:val="StandardText"/>
      </w:pPr>
      <w:r w:rsidRPr="00E73F6F">
        <w:t>Im Laufe der Wissenschaftsgeschichte schlugen Anthropologen, Historiker, Philosophen und Wirtschaftswissenschaftler entsprechend ihrer jeweiligen erkenntnistheoretischen</w:t>
      </w:r>
      <w:r w:rsidRPr="00E73F6F">
        <w:rPr>
          <w:spacing w:val="-6"/>
        </w:rPr>
        <w:t xml:space="preserve"> </w:t>
      </w:r>
      <w:r w:rsidRPr="00E73F6F">
        <w:t>Position</w:t>
      </w:r>
      <w:r w:rsidRPr="00E73F6F">
        <w:rPr>
          <w:spacing w:val="-9"/>
        </w:rPr>
        <w:t xml:space="preserve"> </w:t>
      </w:r>
      <w:r w:rsidRPr="00E73F6F">
        <w:t>teils</w:t>
      </w:r>
      <w:r w:rsidRPr="00E73F6F">
        <w:rPr>
          <w:spacing w:val="-8"/>
        </w:rPr>
        <w:t xml:space="preserve"> </w:t>
      </w:r>
      <w:r w:rsidRPr="00E73F6F">
        <w:t>ähnliche,</w:t>
      </w:r>
      <w:r w:rsidRPr="00E73F6F">
        <w:rPr>
          <w:spacing w:val="-9"/>
        </w:rPr>
        <w:t xml:space="preserve"> </w:t>
      </w:r>
      <w:r w:rsidRPr="00E73F6F">
        <w:t>teils</w:t>
      </w:r>
      <w:r w:rsidRPr="00E73F6F">
        <w:rPr>
          <w:spacing w:val="-10"/>
        </w:rPr>
        <w:t xml:space="preserve"> </w:t>
      </w:r>
      <w:r w:rsidRPr="00E73F6F">
        <w:t>unterschiedliche</w:t>
      </w:r>
      <w:r w:rsidRPr="00E73F6F">
        <w:rPr>
          <w:spacing w:val="-8"/>
        </w:rPr>
        <w:t xml:space="preserve"> </w:t>
      </w:r>
      <w:r w:rsidRPr="00E73F6F">
        <w:t>Definitionen vor. Dies hatte zur Konsequenz,</w:t>
      </w:r>
      <w:r w:rsidRPr="00E73F6F">
        <w:rPr>
          <w:spacing w:val="-2"/>
        </w:rPr>
        <w:t xml:space="preserve"> </w:t>
      </w:r>
      <w:r w:rsidRPr="00E73F6F">
        <w:t>dass</w:t>
      </w:r>
      <w:r w:rsidRPr="00E73F6F">
        <w:rPr>
          <w:spacing w:val="-1"/>
        </w:rPr>
        <w:t xml:space="preserve"> </w:t>
      </w:r>
      <w:r w:rsidRPr="00E73F6F">
        <w:t>mittlerweile eine kaum mehr überschaubare Vielzahl von Konzepten und Klassifikationsversuchen vorliegt. Kroeber/Kluckhohn (1952) wiesen in ihrer grundlegenden Analyse der amerikanischen Literatur 164 verschiedene Definitionen von Kultur nach und Allison (1995, S.92) sogar 241.</w:t>
      </w:r>
    </w:p>
    <w:p w14:paraId="344F9BFA" w14:textId="77777777" w:rsidR="00FF7799" w:rsidRPr="00E73F6F" w:rsidRDefault="00FF7799" w:rsidP="00DF5332">
      <w:pPr>
        <w:pStyle w:val="StandardText"/>
      </w:pPr>
      <w:r w:rsidRPr="00E73F6F">
        <w:t>Nicht wenige missbrauchten in der Folge diese übergroße Vielfalt als Freibrief dafür,</w:t>
      </w:r>
      <w:r w:rsidRPr="00E73F6F">
        <w:rPr>
          <w:spacing w:val="-2"/>
        </w:rPr>
        <w:t xml:space="preserve"> </w:t>
      </w:r>
      <w:r w:rsidRPr="00E73F6F">
        <w:t>nahezu willkürliche</w:t>
      </w:r>
      <w:r w:rsidRPr="00E73F6F">
        <w:rPr>
          <w:spacing w:val="-1"/>
        </w:rPr>
        <w:t xml:space="preserve"> </w:t>
      </w:r>
      <w:r w:rsidRPr="00E73F6F">
        <w:t>Operationalisierungen vorzuschlagen (vgl. Holzmüller 1989, S.1152). Neben unvereinbaren Paradigmen, Denkhaltungen und Untersuchungskonzeptionen (vgl. Wolf 1997, S.156) sorgt ein weiterer Umstand für terminologische und konzeptionelle Mehrdeutigkeit, welche den Erkenntnisprozess entscheidend behindert:</w:t>
      </w:r>
      <w:r w:rsidRPr="00E73F6F">
        <w:rPr>
          <w:spacing w:val="-1"/>
        </w:rPr>
        <w:t xml:space="preserve"> </w:t>
      </w:r>
      <w:r w:rsidRPr="00E73F6F">
        <w:t>die in</w:t>
      </w:r>
      <w:r w:rsidRPr="00E73F6F">
        <w:rPr>
          <w:spacing w:val="-1"/>
        </w:rPr>
        <w:t xml:space="preserve"> </w:t>
      </w:r>
      <w:r w:rsidRPr="00E73F6F">
        <w:t xml:space="preserve">diesem Bereich weit verbreitete atheoretische Arbeits- bzw. Forschungsweise (vgl. Ajiferuke/Boddewyn 1970, </w:t>
      </w:r>
      <w:r w:rsidRPr="00E73F6F">
        <w:rPr>
          <w:spacing w:val="-2"/>
        </w:rPr>
        <w:t>S.154).</w:t>
      </w:r>
    </w:p>
    <w:p w14:paraId="6D1FA26E" w14:textId="77777777" w:rsidR="00FF7799" w:rsidRPr="00E73F6F" w:rsidRDefault="00FF7799" w:rsidP="00DF5332">
      <w:pPr>
        <w:pStyle w:val="StandardText"/>
      </w:pPr>
      <w:r w:rsidRPr="00E73F6F">
        <w:t>Unter vergleichbaren Problemen (übertriebener definitorischer Pluralismus bei gleichzeitig ungenügender theoretischer Fundierung) litten lange Zeit auch die Studien</w:t>
      </w:r>
      <w:r w:rsidRPr="00E73F6F">
        <w:rPr>
          <w:spacing w:val="-10"/>
        </w:rPr>
        <w:t xml:space="preserve"> </w:t>
      </w:r>
      <w:r w:rsidRPr="00E73F6F">
        <w:t>zur</w:t>
      </w:r>
      <w:r w:rsidRPr="00E73F6F">
        <w:rPr>
          <w:spacing w:val="-11"/>
        </w:rPr>
        <w:t xml:space="preserve"> </w:t>
      </w:r>
      <w:r w:rsidRPr="00E73F6F">
        <w:t>Unternehmenskultur</w:t>
      </w:r>
      <w:r w:rsidRPr="00E73F6F">
        <w:rPr>
          <w:spacing w:val="-11"/>
        </w:rPr>
        <w:t xml:space="preserve"> </w:t>
      </w:r>
      <w:r w:rsidRPr="00E73F6F">
        <w:t>(vgl.</w:t>
      </w:r>
      <w:r w:rsidRPr="00E73F6F">
        <w:rPr>
          <w:spacing w:val="-10"/>
        </w:rPr>
        <w:t xml:space="preserve"> </w:t>
      </w:r>
      <w:r w:rsidRPr="00E73F6F">
        <w:t>Deshpande/Webster</w:t>
      </w:r>
      <w:r w:rsidRPr="00E73F6F">
        <w:rPr>
          <w:spacing w:val="-11"/>
        </w:rPr>
        <w:t xml:space="preserve"> </w:t>
      </w:r>
      <w:r w:rsidRPr="00E73F6F">
        <w:t>1989).</w:t>
      </w:r>
      <w:r w:rsidRPr="00E73F6F">
        <w:rPr>
          <w:spacing w:val="-11"/>
        </w:rPr>
        <w:t xml:space="preserve"> </w:t>
      </w:r>
      <w:r w:rsidRPr="00E73F6F">
        <w:t>In</w:t>
      </w:r>
      <w:r w:rsidRPr="00E73F6F">
        <w:rPr>
          <w:spacing w:val="-11"/>
        </w:rPr>
        <w:t xml:space="preserve"> </w:t>
      </w:r>
      <w:r w:rsidRPr="00E73F6F">
        <w:t>beiden</w:t>
      </w:r>
      <w:r w:rsidRPr="00E73F6F">
        <w:rPr>
          <w:spacing w:val="-10"/>
        </w:rPr>
        <w:t xml:space="preserve"> </w:t>
      </w:r>
      <w:r w:rsidRPr="00E73F6F">
        <w:t>Fällen hat zu diesem Missverhältnis beigetragen, dass die Mehrzahl der Forscher Kultur lange Zeit lediglich als Residual-Größe betrachtete, welche erst dann in die Analyse eingeführt wird, wenn andere Faktoren das Erkenntnisobjekt nicht (hinreichend) erklären können (vgl. Bhagat/McQuaid 1982).</w:t>
      </w:r>
    </w:p>
    <w:p w14:paraId="71A74347" w14:textId="77777777" w:rsidR="00FF7799" w:rsidRPr="00E73F6F" w:rsidRDefault="00FF7799" w:rsidP="00DF5332">
      <w:pPr>
        <w:pStyle w:val="StandardText"/>
      </w:pPr>
      <w:r w:rsidRPr="00E73F6F">
        <w:t>Ob man diese Flut an Definitionen, wie Meissner (1997, S.3), als Ausdruck einer intensiven wissenschaftlichen Auseinandersetzung positiv werten sollte, ist fraglich. Denn Wissenschaftler sollten überprüfbare Aussagen über die Realität formulieren.</w:t>
      </w:r>
      <w:r w:rsidRPr="00E73F6F">
        <w:rPr>
          <w:spacing w:val="-3"/>
        </w:rPr>
        <w:t xml:space="preserve"> </w:t>
      </w:r>
      <w:r w:rsidRPr="00E73F6F">
        <w:t>Dazu</w:t>
      </w:r>
      <w:r w:rsidRPr="00E73F6F">
        <w:rPr>
          <w:spacing w:val="-2"/>
        </w:rPr>
        <w:t xml:space="preserve"> </w:t>
      </w:r>
      <w:r w:rsidRPr="00E73F6F">
        <w:t>aber</w:t>
      </w:r>
      <w:r w:rsidRPr="00E73F6F">
        <w:rPr>
          <w:spacing w:val="-3"/>
        </w:rPr>
        <w:t xml:space="preserve"> </w:t>
      </w:r>
      <w:r w:rsidRPr="00E73F6F">
        <w:t>sind</w:t>
      </w:r>
      <w:r w:rsidRPr="00E73F6F">
        <w:rPr>
          <w:spacing w:val="-4"/>
        </w:rPr>
        <w:t xml:space="preserve"> </w:t>
      </w:r>
      <w:r w:rsidRPr="00E73F6F">
        <w:t>die</w:t>
      </w:r>
      <w:r w:rsidRPr="00E73F6F">
        <w:rPr>
          <w:spacing w:val="-3"/>
        </w:rPr>
        <w:t xml:space="preserve"> </w:t>
      </w:r>
      <w:r w:rsidRPr="00E73F6F">
        <w:t>Tatbestände,</w:t>
      </w:r>
      <w:r w:rsidRPr="00E73F6F">
        <w:rPr>
          <w:spacing w:val="-3"/>
        </w:rPr>
        <w:t xml:space="preserve"> </w:t>
      </w:r>
      <w:r w:rsidRPr="00E73F6F">
        <w:t>die</w:t>
      </w:r>
      <w:r w:rsidRPr="00E73F6F">
        <w:rPr>
          <w:spacing w:val="-3"/>
        </w:rPr>
        <w:t xml:space="preserve"> </w:t>
      </w:r>
      <w:r w:rsidRPr="00E73F6F">
        <w:t>zur</w:t>
      </w:r>
      <w:r w:rsidRPr="00E73F6F">
        <w:rPr>
          <w:spacing w:val="-5"/>
        </w:rPr>
        <w:t xml:space="preserve"> </w:t>
      </w:r>
      <w:r w:rsidRPr="00E73F6F">
        <w:t>Diskussion</w:t>
      </w:r>
      <w:r w:rsidRPr="00E73F6F">
        <w:rPr>
          <w:spacing w:val="-2"/>
        </w:rPr>
        <w:t xml:space="preserve"> </w:t>
      </w:r>
      <w:r w:rsidRPr="00E73F6F">
        <w:t>stehen,</w:t>
      </w:r>
      <w:r w:rsidRPr="00E73F6F">
        <w:rPr>
          <w:spacing w:val="-3"/>
        </w:rPr>
        <w:t xml:space="preserve"> </w:t>
      </w:r>
      <w:r w:rsidRPr="00E73F6F">
        <w:t>eindeutig zu definieren. Voraussetzung hierfür wiederum sind Begriffe, die Sprache und Realität</w:t>
      </w:r>
      <w:r w:rsidRPr="00E73F6F">
        <w:rPr>
          <w:spacing w:val="-2"/>
        </w:rPr>
        <w:t xml:space="preserve"> </w:t>
      </w:r>
      <w:r w:rsidRPr="00E73F6F">
        <w:t>in einer</w:t>
      </w:r>
      <w:r w:rsidRPr="00E73F6F">
        <w:rPr>
          <w:spacing w:val="-2"/>
        </w:rPr>
        <w:t xml:space="preserve"> </w:t>
      </w:r>
      <w:r w:rsidRPr="00E73F6F">
        <w:t>intersubjektiv</w:t>
      </w:r>
      <w:r w:rsidRPr="00E73F6F">
        <w:rPr>
          <w:spacing w:val="-3"/>
        </w:rPr>
        <w:t xml:space="preserve"> </w:t>
      </w:r>
      <w:r w:rsidRPr="00E73F6F">
        <w:t>nachvollziehbaren,</w:t>
      </w:r>
      <w:r w:rsidRPr="00E73F6F">
        <w:rPr>
          <w:spacing w:val="-1"/>
        </w:rPr>
        <w:t xml:space="preserve"> </w:t>
      </w:r>
      <w:r w:rsidRPr="00E73F6F">
        <w:t>eindeutigen</w:t>
      </w:r>
      <w:r w:rsidRPr="00E73F6F">
        <w:rPr>
          <w:spacing w:val="-3"/>
        </w:rPr>
        <w:t xml:space="preserve"> </w:t>
      </w:r>
      <w:r w:rsidRPr="00E73F6F">
        <w:t>Weise</w:t>
      </w:r>
      <w:r w:rsidRPr="00E73F6F">
        <w:rPr>
          <w:spacing w:val="-3"/>
        </w:rPr>
        <w:t xml:space="preserve"> </w:t>
      </w:r>
      <w:r w:rsidRPr="00E73F6F">
        <w:t>miteinander verbinden (vgl. Raffée 1974, S.26ff.). Mehrdeutige Begriffe, wie Kultur, sollten deshalb mithilfe von (operationalen) Definitionen eineindeutig in die wissenschaftliche Terminologie eingeführt werden.</w:t>
      </w:r>
    </w:p>
    <w:p w14:paraId="38CCFB98" w14:textId="77777777" w:rsidR="00FF7799" w:rsidRPr="00E73F6F" w:rsidRDefault="00FF7799" w:rsidP="00DF5332">
      <w:pPr>
        <w:pStyle w:val="StandardText"/>
      </w:pPr>
      <w:r w:rsidRPr="00E73F6F">
        <w:t xml:space="preserve">Hinzu kommt, dass manche Autoren Kultur als ein deskriptives </w:t>
      </w:r>
      <w:r w:rsidRPr="00E73F6F">
        <w:rPr>
          <w:rFonts w:ascii="Cambria Math" w:hAnsi="Cambria Math" w:cs="Cambria Math"/>
        </w:rPr>
        <w:t>⇒</w:t>
      </w:r>
      <w:r w:rsidRPr="00E73F6F">
        <w:t xml:space="preserve"> Konstrukt begreifen, das hilft, die Verhaltensmuster und Merkmale, die eine bestimmte Gruppe von</w:t>
      </w:r>
      <w:r w:rsidRPr="00E73F6F">
        <w:rPr>
          <w:spacing w:val="-1"/>
        </w:rPr>
        <w:t xml:space="preserve"> </w:t>
      </w:r>
      <w:r w:rsidRPr="00E73F6F">
        <w:t>Menschen auszeichnen,</w:t>
      </w:r>
      <w:r w:rsidRPr="00E73F6F">
        <w:rPr>
          <w:spacing w:val="-1"/>
        </w:rPr>
        <w:t xml:space="preserve"> </w:t>
      </w:r>
      <w:r w:rsidRPr="00E73F6F">
        <w:t>umfassend zu</w:t>
      </w:r>
      <w:r w:rsidRPr="00E73F6F">
        <w:rPr>
          <w:spacing w:val="-3"/>
        </w:rPr>
        <w:t xml:space="preserve"> </w:t>
      </w:r>
      <w:r w:rsidRPr="00E73F6F">
        <w:t>beschreiben.</w:t>
      </w:r>
      <w:r w:rsidRPr="00E73F6F">
        <w:rPr>
          <w:spacing w:val="-1"/>
        </w:rPr>
        <w:t xml:space="preserve"> </w:t>
      </w:r>
      <w:r w:rsidRPr="00E73F6F">
        <w:t>Andere</w:t>
      </w:r>
      <w:r w:rsidRPr="00E73F6F">
        <w:rPr>
          <w:spacing w:val="-2"/>
        </w:rPr>
        <w:t xml:space="preserve"> </w:t>
      </w:r>
      <w:r w:rsidRPr="00E73F6F">
        <w:t>hingegen billigen ihm die Funktion eines explikativen Konstrukts zu, geeignet, die interkulturelle Variabilität dieser Verhaltensmuster und Merkmale zu erklären.</w:t>
      </w:r>
    </w:p>
    <w:p w14:paraId="2ADCD95A" w14:textId="77777777" w:rsidR="00FF7799" w:rsidRPr="00E73F6F" w:rsidRDefault="00FF7799" w:rsidP="00DF5332">
      <w:pPr>
        <w:pStyle w:val="StandardText"/>
      </w:pPr>
    </w:p>
    <w:p w14:paraId="758B1115" w14:textId="77777777" w:rsidR="00FF7799" w:rsidRPr="00B87BB8" w:rsidRDefault="00FF7799" w:rsidP="003D58DC">
      <w:pPr>
        <w:pStyle w:val="StandardTextkursiv"/>
        <w:rPr>
          <w:i w:val="0"/>
        </w:rPr>
      </w:pPr>
      <w:r w:rsidRPr="00B87BB8">
        <w:rPr>
          <w:i w:val="0"/>
        </w:rPr>
        <w:t>4 Typen von</w:t>
      </w:r>
      <w:r w:rsidRPr="00B87BB8">
        <w:rPr>
          <w:i w:val="0"/>
          <w:spacing w:val="-3"/>
        </w:rPr>
        <w:t xml:space="preserve"> </w:t>
      </w:r>
      <w:r w:rsidRPr="00B87BB8">
        <w:rPr>
          <w:i w:val="0"/>
        </w:rPr>
        <w:t>Definitionen</w:t>
      </w:r>
    </w:p>
    <w:p w14:paraId="731B4617" w14:textId="77777777" w:rsidR="00FF7799" w:rsidRPr="00B87BB8" w:rsidRDefault="00FF7799" w:rsidP="00DF5332">
      <w:pPr>
        <w:pStyle w:val="StandardText"/>
      </w:pPr>
      <w:r w:rsidRPr="00B87BB8">
        <w:t>Aus erkenntnistheoretischer Sicht lassen sich die von Kroeber/Kluckhohn (1952) dokumentierten</w:t>
      </w:r>
      <w:r w:rsidRPr="00B87BB8">
        <w:rPr>
          <w:spacing w:val="4"/>
        </w:rPr>
        <w:t xml:space="preserve"> </w:t>
      </w:r>
      <w:r w:rsidRPr="00B87BB8">
        <w:t>Definitionen</w:t>
      </w:r>
      <w:r w:rsidRPr="00B87BB8">
        <w:rPr>
          <w:spacing w:val="9"/>
        </w:rPr>
        <w:t xml:space="preserve"> </w:t>
      </w:r>
      <w:r w:rsidRPr="00B87BB8">
        <w:t>zu</w:t>
      </w:r>
      <w:r w:rsidRPr="00B87BB8">
        <w:rPr>
          <w:spacing w:val="6"/>
        </w:rPr>
        <w:t xml:space="preserve"> </w:t>
      </w:r>
      <w:r w:rsidRPr="00B87BB8">
        <w:t>zwei</w:t>
      </w:r>
      <w:r w:rsidRPr="00B87BB8">
        <w:rPr>
          <w:spacing w:val="8"/>
        </w:rPr>
        <w:t xml:space="preserve"> </w:t>
      </w:r>
      <w:r w:rsidRPr="00B87BB8">
        <w:t>Klassen</w:t>
      </w:r>
      <w:r w:rsidRPr="00B87BB8">
        <w:rPr>
          <w:spacing w:val="9"/>
        </w:rPr>
        <w:t xml:space="preserve"> </w:t>
      </w:r>
      <w:r w:rsidRPr="00B87BB8">
        <w:t>zusammenfassen:</w:t>
      </w:r>
      <w:r w:rsidRPr="00B87BB8">
        <w:rPr>
          <w:spacing w:val="8"/>
        </w:rPr>
        <w:t xml:space="preserve"> </w:t>
      </w:r>
      <w:r w:rsidRPr="00B87BB8">
        <w:t>ob</w:t>
      </w:r>
      <w:r w:rsidRPr="00B87BB8">
        <w:rPr>
          <w:spacing w:val="6"/>
        </w:rPr>
        <w:t xml:space="preserve"> </w:t>
      </w:r>
      <w:r w:rsidRPr="00B87BB8">
        <w:t>sie</w:t>
      </w:r>
      <w:r w:rsidRPr="00B87BB8">
        <w:rPr>
          <w:spacing w:val="7"/>
        </w:rPr>
        <w:t xml:space="preserve"> </w:t>
      </w:r>
      <w:r w:rsidRPr="00B87BB8">
        <w:t>Kultur</w:t>
      </w:r>
      <w:r w:rsidRPr="00B87BB8">
        <w:rPr>
          <w:spacing w:val="9"/>
        </w:rPr>
        <w:t xml:space="preserve"> </w:t>
      </w:r>
      <w:r w:rsidRPr="00B87BB8">
        <w:rPr>
          <w:spacing w:val="-5"/>
        </w:rPr>
        <w:t xml:space="preserve">zu </w:t>
      </w:r>
      <w:r w:rsidRPr="00B87BB8">
        <w:t>beschreiben oder zu erklären versuchen. Natürlich ist diese Abgrenzung nicht überschneidungsfrei. Gleichwohl vermittelt sie einen ersten, pragmatischen Einblick in die Vielfalt der Erklärungsansätze.</w:t>
      </w:r>
    </w:p>
    <w:p w14:paraId="785CDD1C" w14:textId="77777777" w:rsidR="00FF7799" w:rsidRPr="00B87BB8" w:rsidRDefault="00FF7799" w:rsidP="00862DBA">
      <w:pPr>
        <w:spacing w:before="1"/>
        <w:rPr>
          <w:sz w:val="24"/>
          <w:szCs w:val="24"/>
        </w:rPr>
      </w:pPr>
    </w:p>
    <w:p w14:paraId="1D9B65A6" w14:textId="77777777" w:rsidR="00FF7799" w:rsidRPr="00B87BB8" w:rsidRDefault="00FF7799" w:rsidP="00292C31">
      <w:pPr>
        <w:pStyle w:val="StandardTextkursiv"/>
        <w:rPr>
          <w:i w:val="0"/>
        </w:rPr>
      </w:pPr>
      <w:r w:rsidRPr="00B87BB8">
        <w:rPr>
          <w:i w:val="0"/>
        </w:rPr>
        <w:t>4.1 Beschreibende Definitionen</w:t>
      </w:r>
    </w:p>
    <w:p w14:paraId="6D974920" w14:textId="77777777" w:rsidR="00FF7799" w:rsidRPr="00B87BB8" w:rsidRDefault="00FF7799" w:rsidP="00DF5332">
      <w:pPr>
        <w:pStyle w:val="StandardText"/>
      </w:pPr>
      <w:r w:rsidRPr="00B87BB8">
        <w:t>Hierzu zählen deskriptive, hitroische und stukturalistische Definitionen:</w:t>
      </w:r>
    </w:p>
    <w:p w14:paraId="5FDD36D3" w14:textId="77777777" w:rsidR="00FF7799" w:rsidRPr="00B87BB8" w:rsidRDefault="00FF7799" w:rsidP="000B4618">
      <w:pPr>
        <w:pStyle w:val="StandardTextAufzhlung"/>
        <w:ind w:left="426"/>
      </w:pPr>
      <w:r w:rsidRPr="00B87BB8">
        <w:t>Deskriptive Definitionen begnügen sich mit einer Aufzählung der 'a priori' festgelegten</w:t>
      </w:r>
      <w:r w:rsidRPr="00B87BB8">
        <w:rPr>
          <w:spacing w:val="-6"/>
        </w:rPr>
        <w:t xml:space="preserve"> </w:t>
      </w:r>
      <w:r w:rsidRPr="00B87BB8">
        <w:t>Bestandteile,</w:t>
      </w:r>
      <w:r w:rsidRPr="00B87BB8">
        <w:rPr>
          <w:spacing w:val="-6"/>
        </w:rPr>
        <w:t xml:space="preserve"> </w:t>
      </w:r>
      <w:r w:rsidRPr="00B87BB8">
        <w:t>Elemente,</w:t>
      </w:r>
      <w:r w:rsidRPr="00B87BB8">
        <w:rPr>
          <w:spacing w:val="-6"/>
        </w:rPr>
        <w:t xml:space="preserve"> </w:t>
      </w:r>
      <w:r w:rsidRPr="00B87BB8">
        <w:t>Faktoren</w:t>
      </w:r>
      <w:r w:rsidRPr="00B87BB8">
        <w:rPr>
          <w:spacing w:val="-5"/>
        </w:rPr>
        <w:t xml:space="preserve"> </w:t>
      </w:r>
      <w:r w:rsidRPr="00B87BB8">
        <w:t>etc.</w:t>
      </w:r>
      <w:r w:rsidRPr="00B87BB8">
        <w:rPr>
          <w:spacing w:val="-7"/>
        </w:rPr>
        <w:t xml:space="preserve"> </w:t>
      </w:r>
      <w:r w:rsidRPr="00B87BB8">
        <w:t>von</w:t>
      </w:r>
      <w:r w:rsidRPr="00B87BB8">
        <w:rPr>
          <w:spacing w:val="-5"/>
        </w:rPr>
        <w:t xml:space="preserve"> </w:t>
      </w:r>
      <w:r w:rsidRPr="00B87BB8">
        <w:t>Kultur.</w:t>
      </w:r>
      <w:r w:rsidRPr="00B87BB8">
        <w:rPr>
          <w:spacing w:val="-6"/>
        </w:rPr>
        <w:t xml:space="preserve"> </w:t>
      </w:r>
      <w:r w:rsidRPr="00B87BB8">
        <w:t>Im</w:t>
      </w:r>
      <w:r w:rsidRPr="00B87BB8">
        <w:rPr>
          <w:spacing w:val="-7"/>
        </w:rPr>
        <w:t xml:space="preserve"> </w:t>
      </w:r>
      <w:r w:rsidRPr="00B87BB8">
        <w:t>einfachsten</w:t>
      </w:r>
      <w:r w:rsidRPr="00B87BB8">
        <w:rPr>
          <w:spacing w:val="-5"/>
        </w:rPr>
        <w:t xml:space="preserve"> </w:t>
      </w:r>
      <w:r w:rsidRPr="00B87BB8">
        <w:t>Fall wird dabei zwischen der materiellen Kultur (= Artefakte) und der immateriellen Kultur (= Mentefakte) unterschieden.</w:t>
      </w:r>
    </w:p>
    <w:p w14:paraId="448D3390" w14:textId="77777777" w:rsidR="00FF7799" w:rsidRPr="00B87BB8" w:rsidRDefault="00FF7799" w:rsidP="000B4618">
      <w:pPr>
        <w:pStyle w:val="StandardTextAufzhlung"/>
        <w:ind w:left="426"/>
      </w:pPr>
      <w:r w:rsidRPr="00B87BB8">
        <w:t>Historische</w:t>
      </w:r>
      <w:r w:rsidRPr="00B87BB8">
        <w:rPr>
          <w:spacing w:val="-12"/>
        </w:rPr>
        <w:t xml:space="preserve"> </w:t>
      </w:r>
      <w:r w:rsidRPr="00B87BB8">
        <w:t>Definitionen</w:t>
      </w:r>
      <w:r w:rsidRPr="00B87BB8">
        <w:rPr>
          <w:spacing w:val="-11"/>
        </w:rPr>
        <w:t xml:space="preserve"> </w:t>
      </w:r>
      <w:r w:rsidRPr="00B87BB8">
        <w:t>akzentuieren</w:t>
      </w:r>
      <w:r w:rsidRPr="00B87BB8">
        <w:rPr>
          <w:spacing w:val="-11"/>
        </w:rPr>
        <w:t xml:space="preserve"> </w:t>
      </w:r>
      <w:r w:rsidRPr="00B87BB8">
        <w:t>den</w:t>
      </w:r>
      <w:r w:rsidRPr="00B87BB8">
        <w:rPr>
          <w:spacing w:val="-11"/>
        </w:rPr>
        <w:t xml:space="preserve"> </w:t>
      </w:r>
      <w:r w:rsidRPr="00B87BB8">
        <w:t>Aspekt</w:t>
      </w:r>
      <w:r w:rsidRPr="00B87BB8">
        <w:rPr>
          <w:spacing w:val="-12"/>
        </w:rPr>
        <w:t xml:space="preserve"> </w:t>
      </w:r>
      <w:r w:rsidRPr="00B87BB8">
        <w:t>der</w:t>
      </w:r>
      <w:r w:rsidRPr="00B87BB8">
        <w:rPr>
          <w:spacing w:val="-11"/>
        </w:rPr>
        <w:t xml:space="preserve"> </w:t>
      </w:r>
      <w:r w:rsidRPr="00B87BB8">
        <w:t>Stabilität:</w:t>
      </w:r>
      <w:r w:rsidRPr="00B87BB8">
        <w:rPr>
          <w:spacing w:val="-11"/>
        </w:rPr>
        <w:t xml:space="preserve"> </w:t>
      </w:r>
      <w:r w:rsidRPr="00B87BB8">
        <w:t>Kultur</w:t>
      </w:r>
      <w:r w:rsidRPr="00B87BB8">
        <w:rPr>
          <w:spacing w:val="-11"/>
        </w:rPr>
        <w:t xml:space="preserve"> </w:t>
      </w:r>
      <w:r w:rsidRPr="00B87BB8">
        <w:t>als</w:t>
      </w:r>
      <w:r w:rsidRPr="00B87BB8">
        <w:rPr>
          <w:spacing w:val="-12"/>
        </w:rPr>
        <w:t xml:space="preserve"> </w:t>
      </w:r>
      <w:r w:rsidRPr="00B87BB8">
        <w:t>das</w:t>
      </w:r>
      <w:r w:rsidRPr="00B87BB8">
        <w:rPr>
          <w:spacing w:val="-11"/>
        </w:rPr>
        <w:t xml:space="preserve"> </w:t>
      </w:r>
      <w:r w:rsidRPr="00B87BB8">
        <w:t>von Generation zu Generation überlieferte „Erbgut“ einer Gesellschaft.</w:t>
      </w:r>
    </w:p>
    <w:p w14:paraId="77FFFF44" w14:textId="77777777" w:rsidR="00FF7799" w:rsidRPr="00B87BB8" w:rsidRDefault="00FF7799" w:rsidP="000B4618">
      <w:pPr>
        <w:pStyle w:val="StandardTextAufzhlung"/>
        <w:ind w:left="426"/>
      </w:pPr>
      <w:r w:rsidRPr="00B87BB8">
        <w:t>Strukturalistische</w:t>
      </w:r>
      <w:r w:rsidRPr="00B87BB8">
        <w:rPr>
          <w:spacing w:val="-4"/>
        </w:rPr>
        <w:t xml:space="preserve"> </w:t>
      </w:r>
      <w:r w:rsidRPr="00B87BB8">
        <w:t>Definitionen legen</w:t>
      </w:r>
      <w:r w:rsidRPr="00B87BB8">
        <w:rPr>
          <w:spacing w:val="-2"/>
        </w:rPr>
        <w:t xml:space="preserve"> </w:t>
      </w:r>
      <w:r w:rsidRPr="00B87BB8">
        <w:t>das</w:t>
      </w:r>
      <w:r w:rsidRPr="00B87BB8">
        <w:rPr>
          <w:spacing w:val="-3"/>
        </w:rPr>
        <w:t xml:space="preserve"> </w:t>
      </w:r>
      <w:r w:rsidRPr="00B87BB8">
        <w:t>Hauptaugenmerk</w:t>
      </w:r>
      <w:r w:rsidRPr="00B87BB8">
        <w:rPr>
          <w:spacing w:val="-2"/>
        </w:rPr>
        <w:t xml:space="preserve"> </w:t>
      </w:r>
      <w:r w:rsidRPr="00B87BB8">
        <w:t>auf</w:t>
      </w:r>
      <w:r w:rsidRPr="00B87BB8">
        <w:rPr>
          <w:spacing w:val="-3"/>
        </w:rPr>
        <w:t xml:space="preserve"> </w:t>
      </w:r>
      <w:r w:rsidRPr="00B87BB8">
        <w:t>die</w:t>
      </w:r>
      <w:r w:rsidRPr="00B87BB8">
        <w:rPr>
          <w:spacing w:val="-6"/>
        </w:rPr>
        <w:t xml:space="preserve"> </w:t>
      </w:r>
      <w:r w:rsidRPr="00B87BB8">
        <w:t>innere</w:t>
      </w:r>
      <w:r w:rsidRPr="00B87BB8">
        <w:rPr>
          <w:spacing w:val="-4"/>
        </w:rPr>
        <w:t xml:space="preserve"> </w:t>
      </w:r>
      <w:r w:rsidRPr="00B87BB8">
        <w:t>Struktur des Erkenntnisobjekts. Zumeist handelt es sich dabei um einfachste Schichtenmodelle,</w:t>
      </w:r>
      <w:r w:rsidRPr="00B87BB8">
        <w:rPr>
          <w:spacing w:val="-12"/>
        </w:rPr>
        <w:t xml:space="preserve"> </w:t>
      </w:r>
      <w:r w:rsidRPr="00B87BB8">
        <w:t>wie</w:t>
      </w:r>
      <w:r w:rsidRPr="00B87BB8">
        <w:rPr>
          <w:spacing w:val="-11"/>
        </w:rPr>
        <w:t xml:space="preserve"> </w:t>
      </w:r>
      <w:r w:rsidRPr="00B87BB8">
        <w:t>die</w:t>
      </w:r>
      <w:r w:rsidRPr="00B87BB8">
        <w:rPr>
          <w:spacing w:val="-11"/>
        </w:rPr>
        <w:t xml:space="preserve"> </w:t>
      </w:r>
      <w:r w:rsidRPr="00B87BB8">
        <w:t>in</w:t>
      </w:r>
      <w:r w:rsidRPr="00B87BB8">
        <w:rPr>
          <w:spacing w:val="-8"/>
        </w:rPr>
        <w:t xml:space="preserve"> </w:t>
      </w:r>
      <w:r w:rsidRPr="00B87BB8">
        <w:t>Abb.</w:t>
      </w:r>
      <w:r w:rsidRPr="00B87BB8">
        <w:rPr>
          <w:spacing w:val="-11"/>
        </w:rPr>
        <w:t xml:space="preserve"> </w:t>
      </w:r>
      <w:r w:rsidRPr="00B87BB8">
        <w:t>2</w:t>
      </w:r>
      <w:r w:rsidRPr="00B87BB8">
        <w:rPr>
          <w:spacing w:val="-12"/>
        </w:rPr>
        <w:t xml:space="preserve"> </w:t>
      </w:r>
      <w:r w:rsidRPr="00B87BB8">
        <w:t>dargestellte</w:t>
      </w:r>
      <w:r w:rsidRPr="00B87BB8">
        <w:rPr>
          <w:spacing w:val="-9"/>
        </w:rPr>
        <w:t xml:space="preserve"> </w:t>
      </w:r>
      <w:r w:rsidRPr="00B87BB8">
        <w:t>„Kulturzwiebel“.</w:t>
      </w:r>
      <w:r w:rsidRPr="00B87BB8">
        <w:rPr>
          <w:spacing w:val="-10"/>
        </w:rPr>
        <w:t xml:space="preserve"> </w:t>
      </w:r>
      <w:r w:rsidRPr="00B87BB8">
        <w:t>„Im</w:t>
      </w:r>
      <w:r w:rsidRPr="00B87BB8">
        <w:rPr>
          <w:spacing w:val="-12"/>
        </w:rPr>
        <w:t xml:space="preserve"> </w:t>
      </w:r>
      <w:r w:rsidRPr="00B87BB8">
        <w:t>Inneren</w:t>
      </w:r>
      <w:r w:rsidRPr="00B87BB8">
        <w:rPr>
          <w:spacing w:val="-11"/>
        </w:rPr>
        <w:t xml:space="preserve"> </w:t>
      </w:r>
      <w:r w:rsidRPr="00B87BB8">
        <w:t>der Zwiebel befinden sich die tiefstgehenden Verinnerlichungen von Kultur, an der Oberfläche</w:t>
      </w:r>
      <w:r w:rsidRPr="00B87BB8">
        <w:rPr>
          <w:spacing w:val="-12"/>
        </w:rPr>
        <w:t xml:space="preserve"> </w:t>
      </w:r>
      <w:r w:rsidRPr="00B87BB8">
        <w:t>finden</w:t>
      </w:r>
      <w:r w:rsidRPr="00B87BB8">
        <w:rPr>
          <w:spacing w:val="-11"/>
        </w:rPr>
        <w:t xml:space="preserve"> </w:t>
      </w:r>
      <w:r w:rsidRPr="00B87BB8">
        <w:t>wir</w:t>
      </w:r>
      <w:r w:rsidRPr="00B87BB8">
        <w:rPr>
          <w:spacing w:val="-11"/>
        </w:rPr>
        <w:t xml:space="preserve"> </w:t>
      </w:r>
      <w:r w:rsidRPr="00B87BB8">
        <w:t>die</w:t>
      </w:r>
      <w:r w:rsidRPr="00B87BB8">
        <w:rPr>
          <w:spacing w:val="-11"/>
        </w:rPr>
        <w:t xml:space="preserve"> </w:t>
      </w:r>
      <w:r w:rsidRPr="00B87BB8">
        <w:t>sichtbaren</w:t>
      </w:r>
      <w:r w:rsidRPr="00B87BB8">
        <w:rPr>
          <w:spacing w:val="-12"/>
        </w:rPr>
        <w:t xml:space="preserve"> </w:t>
      </w:r>
      <w:r w:rsidRPr="00B87BB8">
        <w:t>Kulturäußerungen.</w:t>
      </w:r>
      <w:r w:rsidRPr="00B87BB8">
        <w:rPr>
          <w:spacing w:val="-11"/>
        </w:rPr>
        <w:t xml:space="preserve"> </w:t>
      </w:r>
      <w:r w:rsidRPr="00B87BB8">
        <w:t>Die</w:t>
      </w:r>
      <w:r w:rsidRPr="00B87BB8">
        <w:rPr>
          <w:spacing w:val="-11"/>
        </w:rPr>
        <w:t xml:space="preserve"> </w:t>
      </w:r>
      <w:r w:rsidRPr="00B87BB8">
        <w:t>Metapher</w:t>
      </w:r>
      <w:r w:rsidRPr="00B87BB8">
        <w:rPr>
          <w:spacing w:val="-11"/>
        </w:rPr>
        <w:t xml:space="preserve"> </w:t>
      </w:r>
      <w:r w:rsidRPr="00B87BB8">
        <w:t>der</w:t>
      </w:r>
      <w:r w:rsidRPr="00B87BB8">
        <w:rPr>
          <w:spacing w:val="-12"/>
        </w:rPr>
        <w:t xml:space="preserve"> </w:t>
      </w:r>
      <w:r w:rsidRPr="00B87BB8">
        <w:t>Zwiebel zeigt, wie die inneren Teile einer Kultur erst dann erkennbar werden, wenn die äußeren Ringe der Kulturzwiebel abgeschält werden. Sogar die Erfahrung, dass beim Schälen einer Zwiebel die Augen gereizt werden und tränen, lässt sich auf die</w:t>
      </w:r>
      <w:r w:rsidRPr="00B87BB8">
        <w:rPr>
          <w:spacing w:val="5"/>
        </w:rPr>
        <w:t xml:space="preserve"> </w:t>
      </w:r>
      <w:r w:rsidRPr="00B87BB8">
        <w:t>Begegnung</w:t>
      </w:r>
      <w:r w:rsidRPr="00B87BB8">
        <w:rPr>
          <w:spacing w:val="5"/>
        </w:rPr>
        <w:t xml:space="preserve"> </w:t>
      </w:r>
      <w:r w:rsidRPr="00B87BB8">
        <w:t>mit</w:t>
      </w:r>
      <w:r w:rsidRPr="00B87BB8">
        <w:rPr>
          <w:spacing w:val="6"/>
        </w:rPr>
        <w:t xml:space="preserve"> </w:t>
      </w:r>
      <w:r w:rsidRPr="00B87BB8">
        <w:t>einer</w:t>
      </w:r>
      <w:r w:rsidRPr="00B87BB8">
        <w:rPr>
          <w:spacing w:val="5"/>
        </w:rPr>
        <w:t xml:space="preserve"> </w:t>
      </w:r>
      <w:r w:rsidRPr="00B87BB8">
        <w:t>fremden</w:t>
      </w:r>
      <w:r w:rsidRPr="00B87BB8">
        <w:rPr>
          <w:spacing w:val="5"/>
        </w:rPr>
        <w:t xml:space="preserve"> </w:t>
      </w:r>
      <w:r w:rsidRPr="00B87BB8">
        <w:t>Kultur</w:t>
      </w:r>
      <w:r w:rsidRPr="00B87BB8">
        <w:rPr>
          <w:spacing w:val="5"/>
        </w:rPr>
        <w:t xml:space="preserve"> </w:t>
      </w:r>
      <w:r w:rsidRPr="00B87BB8">
        <w:t>übertragen:</w:t>
      </w:r>
      <w:r w:rsidRPr="00B87BB8">
        <w:rPr>
          <w:spacing w:val="4"/>
        </w:rPr>
        <w:t xml:space="preserve"> </w:t>
      </w:r>
      <w:r w:rsidRPr="00B87BB8">
        <w:t>Eine</w:t>
      </w:r>
      <w:r w:rsidRPr="00B87BB8">
        <w:rPr>
          <w:spacing w:val="5"/>
        </w:rPr>
        <w:t xml:space="preserve"> </w:t>
      </w:r>
      <w:r w:rsidRPr="00B87BB8">
        <w:t>Konfrontation</w:t>
      </w:r>
      <w:r w:rsidRPr="00B87BB8">
        <w:rPr>
          <w:spacing w:val="4"/>
        </w:rPr>
        <w:t xml:space="preserve"> </w:t>
      </w:r>
      <w:r w:rsidRPr="00B87BB8">
        <w:t>mit</w:t>
      </w:r>
      <w:r w:rsidRPr="00B87BB8">
        <w:rPr>
          <w:spacing w:val="7"/>
        </w:rPr>
        <w:t xml:space="preserve"> </w:t>
      </w:r>
      <w:r w:rsidRPr="00B87BB8">
        <w:rPr>
          <w:spacing w:val="-5"/>
        </w:rPr>
        <w:t>den</w:t>
      </w:r>
      <w:r w:rsidRPr="00B87BB8">
        <w:t xml:space="preserve"> „harten Teilen“ einer fremden Kultur, die aus ihren Grundannahmen besteht, ist oft ebenso reizbar: Man wird mit seinem eigenen Selbstverständnis konfrontiert“ (Blom/Meier 2002, S.40).</w:t>
      </w:r>
    </w:p>
    <w:p w14:paraId="32F0B962" w14:textId="77777777" w:rsidR="00FF7799" w:rsidRPr="00B87BB8" w:rsidRDefault="00FF7799" w:rsidP="00862DBA">
      <w:pPr>
        <w:rPr>
          <w:sz w:val="24"/>
          <w:szCs w:val="24"/>
        </w:rPr>
      </w:pPr>
    </w:p>
    <w:p w14:paraId="5804AACF" w14:textId="77777777" w:rsidR="00FF7799" w:rsidRPr="00C76DC3" w:rsidRDefault="00FF7799" w:rsidP="002D50A5">
      <w:pPr>
        <w:pStyle w:val="BeschriftungTab"/>
        <w:rPr>
          <w:i/>
          <w:iCs/>
        </w:rPr>
      </w:pPr>
      <w:r w:rsidRPr="00C76DC3">
        <w:rPr>
          <w:i/>
          <w:iCs/>
        </w:rPr>
        <w:t>Abb. 2: „Kulturzwiebel“</w:t>
      </w:r>
      <w:r w:rsidR="00DF5332" w:rsidRPr="00C76DC3">
        <w:rPr>
          <w:i/>
          <w:iCs/>
        </w:rPr>
        <w:t xml:space="preserve"> </w:t>
      </w:r>
      <w:r w:rsidR="004048E7" w:rsidRPr="00C76DC3">
        <w:rPr>
          <w:i/>
          <w:iCs/>
        </w:rPr>
        <w:t>&amp; „Eisbergmodell“</w:t>
      </w:r>
    </w:p>
    <w:p w14:paraId="4619A89B" w14:textId="77777777" w:rsidR="004048E7" w:rsidRDefault="004048E7" w:rsidP="002D50A5">
      <w:pPr>
        <w:pStyle w:val="BeschriftungTab"/>
      </w:pPr>
      <w:r>
        <w:rPr>
          <w:noProof/>
        </w:rPr>
        <w:lastRenderedPageBreak/>
        <w:drawing>
          <wp:inline distT="0" distB="0" distL="0" distR="0" wp14:anchorId="098BE188" wp14:editId="5657DC12">
            <wp:extent cx="5969000" cy="3775348"/>
            <wp:effectExtent l="0" t="0" r="0" b="0"/>
            <wp:docPr id="73" name="Grafik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977058" cy="3780444"/>
                    </a:xfrm>
                    <a:prstGeom prst="rect">
                      <a:avLst/>
                    </a:prstGeom>
                    <a:noFill/>
                  </pic:spPr>
                </pic:pic>
              </a:graphicData>
            </a:graphic>
          </wp:inline>
        </w:drawing>
      </w:r>
    </w:p>
    <w:p w14:paraId="6166213E" w14:textId="77777777" w:rsidR="00FF7799" w:rsidRPr="00E73F6F" w:rsidRDefault="00FF7799" w:rsidP="002D50A5">
      <w:pPr>
        <w:pStyle w:val="Quellen"/>
        <w:rPr>
          <w:spacing w:val="-2"/>
        </w:rPr>
      </w:pPr>
      <w:r w:rsidRPr="00E73F6F">
        <w:t>Quelle:</w:t>
      </w:r>
      <w:r w:rsidRPr="00E73F6F">
        <w:rPr>
          <w:spacing w:val="59"/>
        </w:rPr>
        <w:t xml:space="preserve"> </w:t>
      </w:r>
      <w:r w:rsidRPr="00E73F6F">
        <w:t>in</w:t>
      </w:r>
      <w:r w:rsidRPr="00E73F6F">
        <w:rPr>
          <w:spacing w:val="-1"/>
        </w:rPr>
        <w:t xml:space="preserve"> </w:t>
      </w:r>
      <w:r w:rsidRPr="00E73F6F">
        <w:t>Anlehnung</w:t>
      </w:r>
      <w:r w:rsidRPr="00E73F6F">
        <w:rPr>
          <w:spacing w:val="-2"/>
        </w:rPr>
        <w:t xml:space="preserve"> </w:t>
      </w:r>
      <w:r w:rsidRPr="00E73F6F">
        <w:t>Blom/Meier</w:t>
      </w:r>
      <w:r w:rsidRPr="00E73F6F">
        <w:rPr>
          <w:spacing w:val="-2"/>
        </w:rPr>
        <w:t xml:space="preserve"> </w:t>
      </w:r>
      <w:r w:rsidRPr="00E73F6F">
        <w:t>(2002,</w:t>
      </w:r>
      <w:r w:rsidRPr="00E73F6F">
        <w:rPr>
          <w:spacing w:val="1"/>
        </w:rPr>
        <w:t xml:space="preserve"> </w:t>
      </w:r>
      <w:r w:rsidRPr="00E73F6F">
        <w:rPr>
          <w:spacing w:val="-2"/>
        </w:rPr>
        <w:t>S.40).</w:t>
      </w:r>
    </w:p>
    <w:p w14:paraId="261626AF" w14:textId="77777777" w:rsidR="00FF7799" w:rsidRPr="00E73F6F" w:rsidRDefault="00FF7799" w:rsidP="00862DBA">
      <w:pPr>
        <w:spacing w:before="19"/>
        <w:jc w:val="both"/>
        <w:rPr>
          <w:sz w:val="24"/>
          <w:szCs w:val="24"/>
        </w:rPr>
      </w:pPr>
    </w:p>
    <w:p w14:paraId="3AD6D547" w14:textId="77777777" w:rsidR="00FF7799" w:rsidRPr="004048E7" w:rsidRDefault="00FF7799" w:rsidP="00292C31">
      <w:pPr>
        <w:pStyle w:val="StandardTextkursiv"/>
        <w:rPr>
          <w:i w:val="0"/>
        </w:rPr>
      </w:pPr>
      <w:r w:rsidRPr="004048E7">
        <w:rPr>
          <w:i w:val="0"/>
        </w:rPr>
        <w:t>4.2 Erklärende Definitionen</w:t>
      </w:r>
    </w:p>
    <w:p w14:paraId="5EC0C621" w14:textId="77777777" w:rsidR="00FF7799" w:rsidRPr="004048E7" w:rsidRDefault="00FF7799" w:rsidP="002D50A5">
      <w:pPr>
        <w:pStyle w:val="StandardText"/>
      </w:pPr>
      <w:r w:rsidRPr="004048E7">
        <w:t>Es lassen sich drei Typen unterscheiden:</w:t>
      </w:r>
    </w:p>
    <w:p w14:paraId="247DC8D1" w14:textId="13EAEF97" w:rsidR="00FF7799" w:rsidRPr="004048E7" w:rsidRDefault="00FF7799" w:rsidP="000B4618">
      <w:pPr>
        <w:pStyle w:val="StandardTextAufzhlung"/>
        <w:ind w:left="426"/>
      </w:pPr>
      <w:r w:rsidRPr="004048E7">
        <w:t xml:space="preserve">Normative Definitionen versuchen zu erfassen, wie und warum Kulturen Kognitionen, Emotionen und Verhaltensweisen ihrer Mitglieder bestimmen bzw. beeinflussen: durch Normen, Werte und </w:t>
      </w:r>
      <w:r w:rsidR="001E3F72">
        <w:sym w:font="Symbol" w:char="F0DE"/>
      </w:r>
      <w:r w:rsidR="001E3F72">
        <w:t xml:space="preserve"> </w:t>
      </w:r>
      <w:r w:rsidRPr="004048E7">
        <w:t>Kulturstandards.</w:t>
      </w:r>
    </w:p>
    <w:p w14:paraId="088DB1D3" w14:textId="77777777" w:rsidR="00FF7799" w:rsidRPr="004048E7" w:rsidRDefault="00FF7799" w:rsidP="000B4618">
      <w:pPr>
        <w:pStyle w:val="StandardTextAufzhlung"/>
        <w:ind w:left="426"/>
      </w:pPr>
      <w:r w:rsidRPr="004048E7">
        <w:t>Psychologische Definitionen nähern sich dem Phänomen „Kultur“ vorzugsweise aus der Perspektive der Informationsverarbeitung und der Entscheidungsfindung.</w:t>
      </w:r>
    </w:p>
    <w:p w14:paraId="3EEBB276" w14:textId="77777777" w:rsidR="00FF7799" w:rsidRPr="004048E7" w:rsidRDefault="00FF7799" w:rsidP="000B4618">
      <w:pPr>
        <w:pStyle w:val="StandardTextAufzhlung"/>
        <w:ind w:left="426"/>
      </w:pPr>
      <w:r w:rsidRPr="004048E7">
        <w:t>Genetische Definitionen schenken demgegenüber der Frage, wie Kulturen sich entwickeln und welche Funktion Symbole dabei erfüllen, größere Aufmerksamkeit. Nach Olsen (1991) verkörpern sie die oberste Ordnungsebene der sozialen Organisation menschlicher Gemeinschaften (vgl. Tab. 1).</w:t>
      </w:r>
    </w:p>
    <w:p w14:paraId="732A254B" w14:textId="77777777" w:rsidR="00FF7799" w:rsidRPr="00E73F6F" w:rsidRDefault="00FF7799" w:rsidP="000B4618">
      <w:pPr>
        <w:ind w:left="426"/>
        <w:rPr>
          <w:sz w:val="24"/>
          <w:szCs w:val="24"/>
        </w:rPr>
      </w:pPr>
    </w:p>
    <w:p w14:paraId="32E59294" w14:textId="77777777" w:rsidR="00FF7799" w:rsidRPr="007D6CC1" w:rsidRDefault="00FF7799" w:rsidP="002D50A5">
      <w:pPr>
        <w:pStyle w:val="BeschriftungTab"/>
        <w:rPr>
          <w:i/>
          <w:iCs/>
        </w:rPr>
      </w:pPr>
      <w:r w:rsidRPr="007D6CC1">
        <w:rPr>
          <w:i/>
          <w:iCs/>
        </w:rPr>
        <w:t>Tab.</w:t>
      </w:r>
      <w:r w:rsidRPr="007D6CC1">
        <w:rPr>
          <w:i/>
          <w:iCs/>
          <w:spacing w:val="-2"/>
        </w:rPr>
        <w:t xml:space="preserve"> </w:t>
      </w:r>
      <w:r w:rsidRPr="007D6CC1">
        <w:rPr>
          <w:i/>
          <w:iCs/>
        </w:rPr>
        <w:t>1:</w:t>
      </w:r>
      <w:r w:rsidRPr="007D6CC1">
        <w:rPr>
          <w:i/>
          <w:iCs/>
          <w:spacing w:val="-3"/>
        </w:rPr>
        <w:t xml:space="preserve"> </w:t>
      </w:r>
      <w:r w:rsidRPr="007D6CC1">
        <w:rPr>
          <w:i/>
          <w:iCs/>
        </w:rPr>
        <w:t>Ebenen &amp;</w:t>
      </w:r>
      <w:r w:rsidRPr="007D6CC1">
        <w:rPr>
          <w:i/>
          <w:iCs/>
          <w:spacing w:val="-3"/>
        </w:rPr>
        <w:t xml:space="preserve"> </w:t>
      </w:r>
      <w:r w:rsidRPr="007D6CC1">
        <w:rPr>
          <w:i/>
          <w:iCs/>
        </w:rPr>
        <w:t>Mechanismen sozialer</w:t>
      </w:r>
      <w:r w:rsidRPr="007D6CC1">
        <w:rPr>
          <w:i/>
          <w:iCs/>
          <w:spacing w:val="-2"/>
        </w:rPr>
        <w:t xml:space="preserve"> Organisation</w:t>
      </w:r>
    </w:p>
    <w:tbl>
      <w:tblPr>
        <w:tblStyle w:val="TableNormal"/>
        <w:tblW w:w="5000" w:type="pct"/>
        <w:tblLook w:val="01E0" w:firstRow="1" w:lastRow="1" w:firstColumn="1" w:lastColumn="1" w:noHBand="0" w:noVBand="0"/>
      </w:tblPr>
      <w:tblGrid>
        <w:gridCol w:w="2582"/>
        <w:gridCol w:w="3438"/>
        <w:gridCol w:w="3052"/>
      </w:tblGrid>
      <w:tr w:rsidR="00FF7799" w:rsidRPr="00E73F6F" w14:paraId="487B5A85" w14:textId="77777777" w:rsidTr="00DF5332">
        <w:trPr>
          <w:trHeight w:val="181"/>
          <w:tblHeader/>
        </w:trPr>
        <w:tc>
          <w:tcPr>
            <w:tcW w:w="1423" w:type="pct"/>
            <w:tcBorders>
              <w:top w:val="single" w:sz="4" w:space="0" w:color="000000"/>
              <w:bottom w:val="single" w:sz="4" w:space="0" w:color="000000"/>
            </w:tcBorders>
            <w:shd w:val="clear" w:color="auto" w:fill="FFC000"/>
          </w:tcPr>
          <w:p w14:paraId="2C34F3A3" w14:textId="77777777" w:rsidR="00FF7799" w:rsidRPr="00E73F6F" w:rsidRDefault="00FF7799" w:rsidP="002D50A5">
            <w:pPr>
              <w:pStyle w:val="StandardText"/>
              <w:spacing w:after="120"/>
              <w:jc w:val="center"/>
              <w:rPr>
                <w:b/>
                <w:lang w:val="de-DE"/>
              </w:rPr>
            </w:pPr>
            <w:r w:rsidRPr="00E73F6F">
              <w:rPr>
                <w:b/>
                <w:lang w:val="de-DE"/>
              </w:rPr>
              <w:t>Ebene</w:t>
            </w:r>
          </w:p>
        </w:tc>
        <w:tc>
          <w:tcPr>
            <w:tcW w:w="1895" w:type="pct"/>
            <w:tcBorders>
              <w:top w:val="single" w:sz="4" w:space="0" w:color="000000"/>
              <w:bottom w:val="single" w:sz="4" w:space="0" w:color="000000"/>
            </w:tcBorders>
            <w:shd w:val="clear" w:color="auto" w:fill="FFC000"/>
          </w:tcPr>
          <w:p w14:paraId="06736CB7" w14:textId="77777777" w:rsidR="00FF7799" w:rsidRPr="00E73F6F" w:rsidRDefault="00FF7799" w:rsidP="002D50A5">
            <w:pPr>
              <w:pStyle w:val="StandardText"/>
              <w:spacing w:after="120"/>
              <w:jc w:val="center"/>
              <w:rPr>
                <w:b/>
                <w:lang w:val="de-DE"/>
              </w:rPr>
            </w:pPr>
            <w:r w:rsidRPr="00E73F6F">
              <w:rPr>
                <w:b/>
                <w:lang w:val="de-DE"/>
              </w:rPr>
              <w:t>Strukturbildendes</w:t>
            </w:r>
            <w:r w:rsidRPr="00E73F6F">
              <w:rPr>
                <w:b/>
                <w:spacing w:val="21"/>
                <w:lang w:val="de-DE"/>
              </w:rPr>
              <w:t xml:space="preserve"> </w:t>
            </w:r>
            <w:r w:rsidRPr="00E73F6F">
              <w:rPr>
                <w:b/>
                <w:lang w:val="de-DE"/>
              </w:rPr>
              <w:t>Prinzip</w:t>
            </w:r>
          </w:p>
        </w:tc>
        <w:tc>
          <w:tcPr>
            <w:tcW w:w="1682" w:type="pct"/>
            <w:tcBorders>
              <w:top w:val="single" w:sz="4" w:space="0" w:color="000000"/>
              <w:bottom w:val="single" w:sz="4" w:space="0" w:color="000000"/>
            </w:tcBorders>
            <w:shd w:val="clear" w:color="auto" w:fill="FFC000"/>
          </w:tcPr>
          <w:p w14:paraId="151E5A50" w14:textId="77777777" w:rsidR="00FF7799" w:rsidRPr="00E73F6F" w:rsidRDefault="00FF7799" w:rsidP="002D50A5">
            <w:pPr>
              <w:pStyle w:val="StandardText"/>
              <w:spacing w:after="120"/>
              <w:jc w:val="center"/>
              <w:rPr>
                <w:b/>
                <w:lang w:val="de-DE"/>
              </w:rPr>
            </w:pPr>
            <w:r w:rsidRPr="00E73F6F">
              <w:rPr>
                <w:b/>
                <w:lang w:val="de-DE"/>
              </w:rPr>
              <w:t>Zentrales</w:t>
            </w:r>
            <w:r w:rsidRPr="00E73F6F">
              <w:rPr>
                <w:b/>
                <w:spacing w:val="-8"/>
                <w:lang w:val="de-DE"/>
              </w:rPr>
              <w:t xml:space="preserve"> </w:t>
            </w:r>
            <w:r w:rsidRPr="00E73F6F">
              <w:rPr>
                <w:b/>
                <w:lang w:val="de-DE"/>
              </w:rPr>
              <w:t>Konzept</w:t>
            </w:r>
          </w:p>
        </w:tc>
      </w:tr>
      <w:tr w:rsidR="00FF7799" w:rsidRPr="00E73F6F" w14:paraId="32BB42F5" w14:textId="77777777" w:rsidTr="002D50A5">
        <w:trPr>
          <w:trHeight w:val="184"/>
        </w:trPr>
        <w:tc>
          <w:tcPr>
            <w:tcW w:w="1423" w:type="pct"/>
            <w:tcBorders>
              <w:top w:val="single" w:sz="4" w:space="0" w:color="000000"/>
              <w:bottom w:val="single" w:sz="4" w:space="0" w:color="000000"/>
            </w:tcBorders>
          </w:tcPr>
          <w:p w14:paraId="3F4C87A5" w14:textId="77777777" w:rsidR="00FF7799" w:rsidRPr="00E73F6F" w:rsidRDefault="00FF7799" w:rsidP="002D50A5">
            <w:pPr>
              <w:pStyle w:val="StandardText"/>
              <w:rPr>
                <w:lang w:val="de-DE"/>
              </w:rPr>
            </w:pPr>
            <w:r w:rsidRPr="00E73F6F">
              <w:rPr>
                <w:lang w:val="de-DE"/>
              </w:rPr>
              <w:t>Symbolische</w:t>
            </w:r>
            <w:r w:rsidRPr="00E73F6F">
              <w:rPr>
                <w:spacing w:val="-10"/>
                <w:lang w:val="de-DE"/>
              </w:rPr>
              <w:t xml:space="preserve"> </w:t>
            </w:r>
            <w:r w:rsidRPr="00E73F6F">
              <w:rPr>
                <w:lang w:val="de-DE"/>
              </w:rPr>
              <w:t>Ordnung</w:t>
            </w:r>
          </w:p>
        </w:tc>
        <w:tc>
          <w:tcPr>
            <w:tcW w:w="1895" w:type="pct"/>
            <w:tcBorders>
              <w:top w:val="single" w:sz="4" w:space="0" w:color="000000"/>
              <w:bottom w:val="single" w:sz="4" w:space="0" w:color="000000"/>
            </w:tcBorders>
          </w:tcPr>
          <w:p w14:paraId="75FC8AEC" w14:textId="77777777" w:rsidR="00FF7799" w:rsidRPr="00E73F6F" w:rsidRDefault="00FF7799" w:rsidP="002D50A5">
            <w:pPr>
              <w:pStyle w:val="StandardText"/>
              <w:rPr>
                <w:lang w:val="de-DE"/>
              </w:rPr>
            </w:pPr>
            <w:r w:rsidRPr="00E73F6F">
              <w:rPr>
                <w:lang w:val="de-DE"/>
              </w:rPr>
              <w:t>Ideen</w:t>
            </w:r>
          </w:p>
        </w:tc>
        <w:tc>
          <w:tcPr>
            <w:tcW w:w="1682" w:type="pct"/>
            <w:tcBorders>
              <w:top w:val="single" w:sz="4" w:space="0" w:color="000000"/>
              <w:bottom w:val="single" w:sz="4" w:space="0" w:color="000000"/>
            </w:tcBorders>
          </w:tcPr>
          <w:p w14:paraId="746A7299" w14:textId="77777777" w:rsidR="00FF7799" w:rsidRPr="00E73F6F" w:rsidRDefault="00FF7799" w:rsidP="002D50A5">
            <w:pPr>
              <w:pStyle w:val="StandardText"/>
              <w:rPr>
                <w:lang w:val="de-DE"/>
              </w:rPr>
            </w:pPr>
            <w:r w:rsidRPr="00E73F6F">
              <w:rPr>
                <w:lang w:val="de-DE"/>
              </w:rPr>
              <w:t>Kultur</w:t>
            </w:r>
          </w:p>
        </w:tc>
      </w:tr>
      <w:tr w:rsidR="00FF7799" w:rsidRPr="00E73F6F" w14:paraId="71DB486A" w14:textId="77777777" w:rsidTr="002D50A5">
        <w:trPr>
          <w:trHeight w:val="184"/>
        </w:trPr>
        <w:tc>
          <w:tcPr>
            <w:tcW w:w="1423" w:type="pct"/>
            <w:tcBorders>
              <w:top w:val="single" w:sz="4" w:space="0" w:color="000000"/>
              <w:bottom w:val="single" w:sz="4" w:space="0" w:color="000000"/>
            </w:tcBorders>
          </w:tcPr>
          <w:p w14:paraId="55046FB8" w14:textId="77777777" w:rsidR="00FF7799" w:rsidRPr="00E73F6F" w:rsidRDefault="00FF7799" w:rsidP="002D50A5">
            <w:pPr>
              <w:pStyle w:val="StandardText"/>
              <w:rPr>
                <w:lang w:val="de-DE"/>
              </w:rPr>
            </w:pPr>
            <w:r w:rsidRPr="00E73F6F">
              <w:rPr>
                <w:lang w:val="de-DE"/>
              </w:rPr>
              <w:t>Soziale</w:t>
            </w:r>
            <w:r w:rsidRPr="00E73F6F">
              <w:rPr>
                <w:spacing w:val="-4"/>
                <w:lang w:val="de-DE"/>
              </w:rPr>
              <w:t xml:space="preserve"> </w:t>
            </w:r>
            <w:r w:rsidRPr="00E73F6F">
              <w:rPr>
                <w:lang w:val="de-DE"/>
              </w:rPr>
              <w:t>Ordnung</w:t>
            </w:r>
          </w:p>
        </w:tc>
        <w:tc>
          <w:tcPr>
            <w:tcW w:w="1895" w:type="pct"/>
            <w:tcBorders>
              <w:top w:val="single" w:sz="4" w:space="0" w:color="000000"/>
              <w:bottom w:val="single" w:sz="4" w:space="0" w:color="000000"/>
            </w:tcBorders>
          </w:tcPr>
          <w:p w14:paraId="263EC0F5" w14:textId="77777777" w:rsidR="00FF7799" w:rsidRPr="00E73F6F" w:rsidRDefault="00FF7799" w:rsidP="002D50A5">
            <w:pPr>
              <w:pStyle w:val="StandardText"/>
              <w:rPr>
                <w:lang w:val="de-DE"/>
              </w:rPr>
            </w:pPr>
            <w:r w:rsidRPr="00E73F6F">
              <w:rPr>
                <w:lang w:val="de-DE"/>
              </w:rPr>
              <w:t>Beziehungen,</w:t>
            </w:r>
            <w:r w:rsidRPr="00E73F6F">
              <w:rPr>
                <w:spacing w:val="12"/>
                <w:lang w:val="de-DE"/>
              </w:rPr>
              <w:t xml:space="preserve"> </w:t>
            </w:r>
            <w:r w:rsidRPr="00E73F6F">
              <w:rPr>
                <w:lang w:val="de-DE"/>
              </w:rPr>
              <w:t>Transaktionen</w:t>
            </w:r>
          </w:p>
        </w:tc>
        <w:tc>
          <w:tcPr>
            <w:tcW w:w="1682" w:type="pct"/>
            <w:tcBorders>
              <w:top w:val="single" w:sz="4" w:space="0" w:color="000000"/>
              <w:bottom w:val="single" w:sz="4" w:space="0" w:color="000000"/>
            </w:tcBorders>
          </w:tcPr>
          <w:p w14:paraId="507D4C0C" w14:textId="77777777" w:rsidR="00FF7799" w:rsidRPr="00E73F6F" w:rsidRDefault="00FF7799" w:rsidP="002D50A5">
            <w:pPr>
              <w:pStyle w:val="StandardText"/>
              <w:rPr>
                <w:lang w:val="de-DE"/>
              </w:rPr>
            </w:pPr>
            <w:r w:rsidRPr="00E73F6F">
              <w:rPr>
                <w:lang w:val="de-DE"/>
              </w:rPr>
              <w:t>Struktur</w:t>
            </w:r>
          </w:p>
        </w:tc>
      </w:tr>
      <w:tr w:rsidR="00FF7799" w:rsidRPr="00E73F6F" w14:paraId="08441CDB" w14:textId="77777777" w:rsidTr="002D50A5">
        <w:trPr>
          <w:trHeight w:val="184"/>
        </w:trPr>
        <w:tc>
          <w:tcPr>
            <w:tcW w:w="1423" w:type="pct"/>
            <w:tcBorders>
              <w:top w:val="single" w:sz="4" w:space="0" w:color="000000"/>
              <w:bottom w:val="single" w:sz="4" w:space="0" w:color="000000"/>
            </w:tcBorders>
          </w:tcPr>
          <w:p w14:paraId="04760578" w14:textId="77777777" w:rsidR="00FF7799" w:rsidRPr="00E73F6F" w:rsidRDefault="00FF7799" w:rsidP="002D50A5">
            <w:pPr>
              <w:pStyle w:val="StandardText"/>
              <w:rPr>
                <w:lang w:val="de-DE"/>
              </w:rPr>
            </w:pPr>
            <w:r w:rsidRPr="00E73F6F">
              <w:rPr>
                <w:lang w:val="de-DE"/>
              </w:rPr>
              <w:t>Individuelle</w:t>
            </w:r>
            <w:r w:rsidRPr="00E73F6F">
              <w:rPr>
                <w:spacing w:val="13"/>
                <w:lang w:val="de-DE"/>
              </w:rPr>
              <w:t xml:space="preserve"> </w:t>
            </w:r>
            <w:r w:rsidRPr="00E73F6F">
              <w:rPr>
                <w:lang w:val="de-DE"/>
              </w:rPr>
              <w:t>Ordnung</w:t>
            </w:r>
          </w:p>
        </w:tc>
        <w:tc>
          <w:tcPr>
            <w:tcW w:w="1895" w:type="pct"/>
            <w:tcBorders>
              <w:top w:val="single" w:sz="4" w:space="0" w:color="000000"/>
              <w:bottom w:val="single" w:sz="4" w:space="0" w:color="000000"/>
            </w:tcBorders>
          </w:tcPr>
          <w:p w14:paraId="3EBC82EB" w14:textId="77777777" w:rsidR="00FF7799" w:rsidRPr="00E73F6F" w:rsidRDefault="00FF7799" w:rsidP="002D50A5">
            <w:pPr>
              <w:pStyle w:val="StandardText"/>
              <w:rPr>
                <w:lang w:val="de-DE"/>
              </w:rPr>
            </w:pPr>
            <w:r w:rsidRPr="00E73F6F">
              <w:rPr>
                <w:lang w:val="de-DE"/>
              </w:rPr>
              <w:t>Kognitionen</w:t>
            </w:r>
            <w:r w:rsidRPr="00E73F6F">
              <w:rPr>
                <w:spacing w:val="-8"/>
                <w:lang w:val="de-DE"/>
              </w:rPr>
              <w:t xml:space="preserve"> </w:t>
            </w:r>
            <w:r w:rsidRPr="00E73F6F">
              <w:rPr>
                <w:lang w:val="de-DE"/>
              </w:rPr>
              <w:t>und</w:t>
            </w:r>
            <w:r w:rsidRPr="00E73F6F">
              <w:rPr>
                <w:spacing w:val="-7"/>
                <w:lang w:val="de-DE"/>
              </w:rPr>
              <w:t xml:space="preserve"> </w:t>
            </w:r>
            <w:r w:rsidRPr="00E73F6F">
              <w:rPr>
                <w:lang w:val="de-DE"/>
              </w:rPr>
              <w:t>Emotionen</w:t>
            </w:r>
          </w:p>
        </w:tc>
        <w:tc>
          <w:tcPr>
            <w:tcW w:w="1682" w:type="pct"/>
            <w:tcBorders>
              <w:top w:val="single" w:sz="4" w:space="0" w:color="000000"/>
              <w:bottom w:val="single" w:sz="4" w:space="0" w:color="000000"/>
            </w:tcBorders>
          </w:tcPr>
          <w:p w14:paraId="60F73F4B" w14:textId="77777777" w:rsidR="00FF7799" w:rsidRPr="00E73F6F" w:rsidRDefault="00FF7799" w:rsidP="002D50A5">
            <w:pPr>
              <w:pStyle w:val="StandardText"/>
              <w:rPr>
                <w:lang w:val="de-DE"/>
              </w:rPr>
            </w:pPr>
            <w:r w:rsidRPr="00E73F6F">
              <w:rPr>
                <w:lang w:val="de-DE"/>
              </w:rPr>
              <w:t>Persönlichkeit</w:t>
            </w:r>
          </w:p>
        </w:tc>
      </w:tr>
      <w:tr w:rsidR="00FF7799" w:rsidRPr="00E73F6F" w14:paraId="1AB8AFE0" w14:textId="77777777" w:rsidTr="002D50A5">
        <w:trPr>
          <w:trHeight w:val="184"/>
        </w:trPr>
        <w:tc>
          <w:tcPr>
            <w:tcW w:w="1423" w:type="pct"/>
            <w:tcBorders>
              <w:top w:val="single" w:sz="4" w:space="0" w:color="000000"/>
              <w:bottom w:val="single" w:sz="4" w:space="0" w:color="000000"/>
            </w:tcBorders>
          </w:tcPr>
          <w:p w14:paraId="3813B3A8" w14:textId="77777777" w:rsidR="00FF7799" w:rsidRPr="00E73F6F" w:rsidRDefault="00FF7799" w:rsidP="002D50A5">
            <w:pPr>
              <w:pStyle w:val="StandardText"/>
              <w:rPr>
                <w:lang w:val="de-DE"/>
              </w:rPr>
            </w:pPr>
            <w:r w:rsidRPr="00E73F6F">
              <w:rPr>
                <w:lang w:val="de-DE"/>
              </w:rPr>
              <w:t>Organische</w:t>
            </w:r>
            <w:r w:rsidRPr="00E73F6F">
              <w:rPr>
                <w:spacing w:val="-8"/>
                <w:lang w:val="de-DE"/>
              </w:rPr>
              <w:t xml:space="preserve"> </w:t>
            </w:r>
            <w:r w:rsidRPr="00E73F6F">
              <w:rPr>
                <w:lang w:val="de-DE"/>
              </w:rPr>
              <w:t>Ordnung</w:t>
            </w:r>
          </w:p>
        </w:tc>
        <w:tc>
          <w:tcPr>
            <w:tcW w:w="1895" w:type="pct"/>
            <w:tcBorders>
              <w:top w:val="single" w:sz="4" w:space="0" w:color="000000"/>
              <w:bottom w:val="single" w:sz="4" w:space="0" w:color="000000"/>
            </w:tcBorders>
          </w:tcPr>
          <w:p w14:paraId="66E0136A" w14:textId="77777777" w:rsidR="00FF7799" w:rsidRPr="00E73F6F" w:rsidRDefault="00FF7799" w:rsidP="002D50A5">
            <w:pPr>
              <w:pStyle w:val="StandardText"/>
              <w:rPr>
                <w:lang w:val="de-DE"/>
              </w:rPr>
            </w:pPr>
            <w:r w:rsidRPr="00E73F6F">
              <w:rPr>
                <w:lang w:val="de-DE"/>
              </w:rPr>
              <w:t>Leben</w:t>
            </w:r>
          </w:p>
        </w:tc>
        <w:tc>
          <w:tcPr>
            <w:tcW w:w="1682" w:type="pct"/>
            <w:tcBorders>
              <w:top w:val="single" w:sz="4" w:space="0" w:color="000000"/>
              <w:bottom w:val="single" w:sz="4" w:space="0" w:color="000000"/>
            </w:tcBorders>
          </w:tcPr>
          <w:p w14:paraId="3D55AC1D" w14:textId="77777777" w:rsidR="00FF7799" w:rsidRPr="00E73F6F" w:rsidRDefault="00FF7799" w:rsidP="002D50A5">
            <w:pPr>
              <w:pStyle w:val="StandardText"/>
              <w:rPr>
                <w:lang w:val="de-DE"/>
              </w:rPr>
            </w:pPr>
            <w:r w:rsidRPr="00E73F6F">
              <w:rPr>
                <w:lang w:val="de-DE"/>
              </w:rPr>
              <w:t>Organismus</w:t>
            </w:r>
          </w:p>
        </w:tc>
      </w:tr>
    </w:tbl>
    <w:p w14:paraId="3A3FE7F6" w14:textId="77777777" w:rsidR="00FF7799" w:rsidRPr="00E73F6F" w:rsidRDefault="00FF7799" w:rsidP="002D50A5">
      <w:pPr>
        <w:pStyle w:val="Quellen"/>
      </w:pPr>
      <w:r w:rsidRPr="00E73F6F">
        <w:t>Quelle:</w:t>
      </w:r>
      <w:r w:rsidRPr="00E73F6F">
        <w:rPr>
          <w:spacing w:val="57"/>
        </w:rPr>
        <w:t xml:space="preserve"> </w:t>
      </w:r>
      <w:r w:rsidRPr="00E73F6F">
        <w:t>Olsen</w:t>
      </w:r>
      <w:r w:rsidRPr="00E73F6F">
        <w:rPr>
          <w:spacing w:val="-2"/>
        </w:rPr>
        <w:t xml:space="preserve"> </w:t>
      </w:r>
      <w:r w:rsidRPr="00E73F6F">
        <w:t>(1991, S.2);</w:t>
      </w:r>
      <w:r w:rsidRPr="00E73F6F">
        <w:rPr>
          <w:spacing w:val="-3"/>
        </w:rPr>
        <w:t xml:space="preserve"> </w:t>
      </w:r>
      <w:r w:rsidRPr="00E73F6F">
        <w:t>entnommen:</w:t>
      </w:r>
      <w:r w:rsidRPr="00E73F6F">
        <w:rPr>
          <w:spacing w:val="-2"/>
        </w:rPr>
        <w:t xml:space="preserve"> </w:t>
      </w:r>
      <w:r w:rsidRPr="00E73F6F">
        <w:t>Mauritz</w:t>
      </w:r>
      <w:r w:rsidRPr="00E73F6F">
        <w:rPr>
          <w:spacing w:val="-1"/>
        </w:rPr>
        <w:t xml:space="preserve"> </w:t>
      </w:r>
      <w:r w:rsidRPr="00E73F6F">
        <w:t>(1996,</w:t>
      </w:r>
      <w:r w:rsidRPr="00E73F6F">
        <w:rPr>
          <w:spacing w:val="-1"/>
        </w:rPr>
        <w:t xml:space="preserve"> </w:t>
      </w:r>
      <w:r w:rsidRPr="00E73F6F">
        <w:t>S.23), leicht</w:t>
      </w:r>
      <w:r w:rsidRPr="00E73F6F">
        <w:rPr>
          <w:spacing w:val="-3"/>
        </w:rPr>
        <w:t xml:space="preserve"> </w:t>
      </w:r>
      <w:r w:rsidRPr="00E73F6F">
        <w:rPr>
          <w:spacing w:val="-2"/>
        </w:rPr>
        <w:t>modifiziert.</w:t>
      </w:r>
    </w:p>
    <w:p w14:paraId="40B29C10" w14:textId="77777777" w:rsidR="00FF7799" w:rsidRPr="00E73F6F" w:rsidRDefault="00FF7799" w:rsidP="002D50A5">
      <w:pPr>
        <w:pStyle w:val="StandardText"/>
      </w:pPr>
    </w:p>
    <w:p w14:paraId="1F19E788" w14:textId="77777777" w:rsidR="00FF7799" w:rsidRPr="004048E7" w:rsidRDefault="00FF7799" w:rsidP="00292C31">
      <w:pPr>
        <w:pStyle w:val="StandardTextkursiv"/>
        <w:rPr>
          <w:i w:val="0"/>
        </w:rPr>
      </w:pPr>
      <w:r w:rsidRPr="004048E7">
        <w:rPr>
          <w:i w:val="0"/>
        </w:rPr>
        <w:t>4.3 Eigenschaftskatalog</w:t>
      </w:r>
    </w:p>
    <w:p w14:paraId="3FD41E74" w14:textId="77777777" w:rsidR="00FF7799" w:rsidRPr="004048E7" w:rsidRDefault="00FF7799" w:rsidP="00292C31">
      <w:pPr>
        <w:pStyle w:val="StandardText"/>
      </w:pPr>
      <w:r w:rsidRPr="004048E7">
        <w:lastRenderedPageBreak/>
        <w:t>Einen anderen Weg, diese Vielfalt zu strukturieren, wählte von Keller (1982, S.114f.).</w:t>
      </w:r>
      <w:r w:rsidRPr="004048E7">
        <w:rPr>
          <w:spacing w:val="-7"/>
        </w:rPr>
        <w:t xml:space="preserve"> </w:t>
      </w:r>
      <w:r w:rsidRPr="004048E7">
        <w:t>In</w:t>
      </w:r>
      <w:r w:rsidRPr="004048E7">
        <w:rPr>
          <w:spacing w:val="-9"/>
        </w:rPr>
        <w:t xml:space="preserve"> </w:t>
      </w:r>
      <w:r w:rsidRPr="004048E7">
        <w:t>der</w:t>
      </w:r>
      <w:r w:rsidRPr="004048E7">
        <w:rPr>
          <w:spacing w:val="-8"/>
        </w:rPr>
        <w:t xml:space="preserve"> </w:t>
      </w:r>
      <w:r w:rsidRPr="004048E7">
        <w:t>Absicht,</w:t>
      </w:r>
      <w:r w:rsidRPr="004048E7">
        <w:rPr>
          <w:spacing w:val="-9"/>
        </w:rPr>
        <w:t xml:space="preserve"> </w:t>
      </w:r>
      <w:r w:rsidRPr="004048E7">
        <w:t>auf</w:t>
      </w:r>
      <w:r w:rsidRPr="004048E7">
        <w:rPr>
          <w:spacing w:val="-8"/>
        </w:rPr>
        <w:t xml:space="preserve"> </w:t>
      </w:r>
      <w:r w:rsidRPr="004048E7">
        <w:t>inhaltlicher</w:t>
      </w:r>
      <w:r w:rsidRPr="004048E7">
        <w:rPr>
          <w:spacing w:val="-8"/>
        </w:rPr>
        <w:t xml:space="preserve"> </w:t>
      </w:r>
      <w:r w:rsidRPr="004048E7">
        <w:t>Ebene</w:t>
      </w:r>
      <w:r w:rsidRPr="004048E7">
        <w:rPr>
          <w:spacing w:val="-8"/>
        </w:rPr>
        <w:t xml:space="preserve"> </w:t>
      </w:r>
      <w:r w:rsidRPr="004048E7">
        <w:t>einen</w:t>
      </w:r>
      <w:r w:rsidRPr="004048E7">
        <w:rPr>
          <w:spacing w:val="-9"/>
        </w:rPr>
        <w:t xml:space="preserve"> </w:t>
      </w:r>
      <w:r w:rsidRPr="004048E7">
        <w:t>gemeinsamen</w:t>
      </w:r>
      <w:r w:rsidRPr="004048E7">
        <w:rPr>
          <w:spacing w:val="-9"/>
        </w:rPr>
        <w:t xml:space="preserve"> </w:t>
      </w:r>
      <w:r w:rsidRPr="004048E7">
        <w:t>Nenner</w:t>
      </w:r>
      <w:r w:rsidRPr="004048E7">
        <w:rPr>
          <w:spacing w:val="-8"/>
        </w:rPr>
        <w:t xml:space="preserve"> </w:t>
      </w:r>
      <w:r w:rsidRPr="004048E7">
        <w:t>der</w:t>
      </w:r>
      <w:r w:rsidRPr="004048E7">
        <w:rPr>
          <w:spacing w:val="-10"/>
        </w:rPr>
        <w:t xml:space="preserve"> </w:t>
      </w:r>
      <w:r w:rsidRPr="004048E7">
        <w:t>bis zu diesem Zeitpunkt</w:t>
      </w:r>
      <w:r w:rsidRPr="004048E7">
        <w:rPr>
          <w:spacing w:val="-1"/>
        </w:rPr>
        <w:t xml:space="preserve"> </w:t>
      </w:r>
      <w:r w:rsidRPr="004048E7">
        <w:t>vorliegenden „zahllosen“</w:t>
      </w:r>
      <w:r w:rsidRPr="004048E7">
        <w:rPr>
          <w:spacing w:val="-2"/>
        </w:rPr>
        <w:t xml:space="preserve"> </w:t>
      </w:r>
      <w:r w:rsidRPr="004048E7">
        <w:t>Definitionen zu</w:t>
      </w:r>
      <w:r w:rsidRPr="004048E7">
        <w:rPr>
          <w:spacing w:val="-1"/>
        </w:rPr>
        <w:t xml:space="preserve"> </w:t>
      </w:r>
      <w:r w:rsidRPr="004048E7">
        <w:t>finden,</w:t>
      </w:r>
      <w:r w:rsidRPr="004048E7">
        <w:rPr>
          <w:spacing w:val="-1"/>
        </w:rPr>
        <w:t xml:space="preserve"> </w:t>
      </w:r>
      <w:r w:rsidRPr="004048E7">
        <w:t>diskutierte der Autor acht Eigenschaften von Kultur.</w:t>
      </w:r>
    </w:p>
    <w:p w14:paraId="47A11E02" w14:textId="77777777" w:rsidR="00FF7799" w:rsidRPr="004048E7" w:rsidRDefault="00FF7799" w:rsidP="00292C31">
      <w:pPr>
        <w:pStyle w:val="StandardText"/>
      </w:pPr>
    </w:p>
    <w:p w14:paraId="0B0912B7" w14:textId="77777777" w:rsidR="00FF7799" w:rsidRPr="000B4618" w:rsidRDefault="00FF7799" w:rsidP="005909AD">
      <w:pPr>
        <w:pStyle w:val="StandardTextkursiv"/>
        <w:rPr>
          <w:iCs/>
        </w:rPr>
      </w:pPr>
      <w:r w:rsidRPr="000B4618">
        <w:rPr>
          <w:iCs/>
        </w:rPr>
        <w:t>Artefakt</w:t>
      </w:r>
    </w:p>
    <w:p w14:paraId="761F9DBD" w14:textId="77777777" w:rsidR="00FF7799" w:rsidRPr="004048E7" w:rsidRDefault="00FF7799" w:rsidP="00292C31">
      <w:pPr>
        <w:pStyle w:val="StandardText"/>
      </w:pPr>
      <w:r w:rsidRPr="004048E7">
        <w:t>Zunächst ist Kultur ein Artefakt. In Abgrenzung zur Natur gehört dazu alles vom Menschen Geschaffene, sei es durch individuelles, sei es durch kollektives Handeln. Im Einzelnen sind dies materielle Kulturzeugnisse (z.B. Kunst- und Gebrauchsgegenstände sowie Literatur) und immaterielle Kulturzeugnisse</w:t>
      </w:r>
      <w:r w:rsidRPr="004048E7">
        <w:rPr>
          <w:spacing w:val="-8"/>
        </w:rPr>
        <w:t xml:space="preserve"> </w:t>
      </w:r>
      <w:r w:rsidRPr="004048E7">
        <w:t>(Werte,</w:t>
      </w:r>
      <w:r w:rsidRPr="004048E7">
        <w:rPr>
          <w:spacing w:val="-8"/>
        </w:rPr>
        <w:t xml:space="preserve"> </w:t>
      </w:r>
      <w:r w:rsidRPr="004048E7">
        <w:t>Einstellungen,</w:t>
      </w:r>
      <w:r w:rsidRPr="004048E7">
        <w:rPr>
          <w:spacing w:val="-8"/>
        </w:rPr>
        <w:t xml:space="preserve"> </w:t>
      </w:r>
      <w:r w:rsidRPr="004048E7">
        <w:t>Motive</w:t>
      </w:r>
      <w:r w:rsidRPr="004048E7">
        <w:rPr>
          <w:spacing w:val="-7"/>
        </w:rPr>
        <w:t xml:space="preserve"> </w:t>
      </w:r>
      <w:r w:rsidRPr="004048E7">
        <w:t>etc.)</w:t>
      </w:r>
      <w:r w:rsidRPr="004048E7">
        <w:rPr>
          <w:spacing w:val="-6"/>
        </w:rPr>
        <w:t xml:space="preserve"> </w:t>
      </w:r>
      <w:r w:rsidRPr="004048E7">
        <w:t>sowie</w:t>
      </w:r>
      <w:r w:rsidRPr="004048E7">
        <w:rPr>
          <w:spacing w:val="-9"/>
        </w:rPr>
        <w:t xml:space="preserve"> </w:t>
      </w:r>
      <w:r w:rsidRPr="004048E7">
        <w:t>die</w:t>
      </w:r>
      <w:r w:rsidRPr="004048E7">
        <w:rPr>
          <w:spacing w:val="-9"/>
        </w:rPr>
        <w:t xml:space="preserve"> </w:t>
      </w:r>
      <w:r w:rsidRPr="004048E7">
        <w:t>daraus</w:t>
      </w:r>
      <w:r w:rsidRPr="004048E7">
        <w:rPr>
          <w:spacing w:val="-7"/>
        </w:rPr>
        <w:t xml:space="preserve"> </w:t>
      </w:r>
      <w:r w:rsidRPr="004048E7">
        <w:t>abgeleiteten sozialen</w:t>
      </w:r>
      <w:r w:rsidRPr="004048E7">
        <w:rPr>
          <w:spacing w:val="-2"/>
        </w:rPr>
        <w:t xml:space="preserve"> </w:t>
      </w:r>
      <w:r w:rsidRPr="004048E7">
        <w:t>Phänomene.</w:t>
      </w:r>
      <w:r w:rsidRPr="004048E7">
        <w:rPr>
          <w:spacing w:val="-3"/>
        </w:rPr>
        <w:t xml:space="preserve"> </w:t>
      </w:r>
      <w:r w:rsidRPr="004048E7">
        <w:t>Hierzu</w:t>
      </w:r>
      <w:r w:rsidRPr="004048E7">
        <w:rPr>
          <w:spacing w:val="-2"/>
        </w:rPr>
        <w:t xml:space="preserve"> </w:t>
      </w:r>
      <w:r w:rsidRPr="004048E7">
        <w:t>zählen</w:t>
      </w:r>
      <w:r w:rsidRPr="004048E7">
        <w:rPr>
          <w:spacing w:val="-2"/>
        </w:rPr>
        <w:t xml:space="preserve"> </w:t>
      </w:r>
      <w:r w:rsidRPr="004048E7">
        <w:t>bspw.</w:t>
      </w:r>
      <w:r w:rsidRPr="004048E7">
        <w:rPr>
          <w:spacing w:val="-3"/>
        </w:rPr>
        <w:t xml:space="preserve"> </w:t>
      </w:r>
      <w:r w:rsidRPr="004048E7">
        <w:t>Sitten</w:t>
      </w:r>
      <w:r w:rsidRPr="004048E7">
        <w:rPr>
          <w:spacing w:val="-2"/>
        </w:rPr>
        <w:t xml:space="preserve"> </w:t>
      </w:r>
      <w:r w:rsidRPr="004048E7">
        <w:t>und</w:t>
      </w:r>
      <w:r w:rsidRPr="004048E7">
        <w:rPr>
          <w:spacing w:val="-2"/>
        </w:rPr>
        <w:t xml:space="preserve"> </w:t>
      </w:r>
      <w:r w:rsidRPr="004048E7">
        <w:t>Gebräuche</w:t>
      </w:r>
      <w:r w:rsidRPr="004048E7">
        <w:rPr>
          <w:spacing w:val="-4"/>
        </w:rPr>
        <w:t xml:space="preserve"> </w:t>
      </w:r>
      <w:r w:rsidRPr="004048E7">
        <w:t>oder</w:t>
      </w:r>
      <w:r w:rsidRPr="004048E7">
        <w:rPr>
          <w:spacing w:val="-3"/>
        </w:rPr>
        <w:t xml:space="preserve"> </w:t>
      </w:r>
      <w:r w:rsidRPr="004048E7">
        <w:t>Formen</w:t>
      </w:r>
      <w:r w:rsidRPr="004048E7">
        <w:rPr>
          <w:spacing w:val="-2"/>
        </w:rPr>
        <w:t xml:space="preserve"> </w:t>
      </w:r>
      <w:r w:rsidRPr="004048E7">
        <w:t>der Organisation des täglichen Lebens (z.B. Familien, Unternehmen, Institutionen aller Art).</w:t>
      </w:r>
    </w:p>
    <w:p w14:paraId="35F362C2" w14:textId="77777777" w:rsidR="00FF7799" w:rsidRPr="004048E7" w:rsidRDefault="00FF7799" w:rsidP="00292C31">
      <w:pPr>
        <w:pStyle w:val="StandardText"/>
      </w:pPr>
      <w:r w:rsidRPr="004048E7">
        <w:t>Artefakte können bisweilen verräterisch sein, wie Wittenberg (1995) am Beispiel der landestypischen Lieblingslektüre darlegt. So habe in Großbritannien in der jüngeren Vergangenheit ausgerechnet ein Kochbuch den größten Absatzerfolg erzielt und ausgerechnet in Deutschland der von dem Amerikaner D. Carnegie verfasste Titel: „Sorge dich nicht, lebe!“ (der hier mehr als 20 Jahre ununterbrochen auf der Bestsellerliste der Sachbücher stand). In einem Land, in dem es rund 10.000 verschiedene Varianten für die Zubereitung einer einzigen Nudelspeise gibt, aber nur 47 öffentliche Bibliotheken, in Italien also, ist das beliebteste Buch von schmalem Umfang und zügig zu lesen: „Der Kleine Prinz“.</w:t>
      </w:r>
    </w:p>
    <w:p w14:paraId="55207322" w14:textId="77777777" w:rsidR="00FF7799" w:rsidRPr="004048E7" w:rsidRDefault="00FF7799" w:rsidP="00292C31">
      <w:pPr>
        <w:pStyle w:val="StandardText"/>
      </w:pPr>
    </w:p>
    <w:p w14:paraId="58EDC434" w14:textId="77777777" w:rsidR="00FF7799" w:rsidRPr="000B4618" w:rsidRDefault="00FF7799" w:rsidP="005909AD">
      <w:pPr>
        <w:pStyle w:val="StandardTextkursiv"/>
        <w:rPr>
          <w:iCs/>
        </w:rPr>
      </w:pPr>
      <w:r w:rsidRPr="000B4618">
        <w:rPr>
          <w:iCs/>
        </w:rPr>
        <w:t>Soziales Phänomen</w:t>
      </w:r>
    </w:p>
    <w:p w14:paraId="348CEB76" w14:textId="77777777" w:rsidR="00FF7799" w:rsidRPr="004048E7" w:rsidRDefault="00FF7799" w:rsidP="00292C31">
      <w:pPr>
        <w:pStyle w:val="StandardText"/>
      </w:pPr>
      <w:r w:rsidRPr="004048E7">
        <w:t>Kultur verkörpert zweitens ein „überindividuelles“, vom Schicksal des Einzelnen unabhängiges kollektives bzw. soziales Phänomen. Sie kann sogar fortbestehen, wenn ihre materielle Basis, d.h. die sie tragende Gesellschaft, längst schon untergegangen ist. So lebt die (klassische) Kultur der griechisch-römischen</w:t>
      </w:r>
      <w:r w:rsidRPr="004048E7">
        <w:rPr>
          <w:spacing w:val="-10"/>
        </w:rPr>
        <w:t xml:space="preserve"> </w:t>
      </w:r>
      <w:r w:rsidRPr="004048E7">
        <w:t>Antike</w:t>
      </w:r>
      <w:r w:rsidRPr="004048E7">
        <w:rPr>
          <w:spacing w:val="-12"/>
        </w:rPr>
        <w:t xml:space="preserve"> </w:t>
      </w:r>
      <w:r w:rsidRPr="004048E7">
        <w:t>im</w:t>
      </w:r>
      <w:r w:rsidRPr="004048E7">
        <w:rPr>
          <w:spacing w:val="-9"/>
        </w:rPr>
        <w:t xml:space="preserve"> </w:t>
      </w:r>
      <w:r w:rsidRPr="004048E7">
        <w:t>humanistischen</w:t>
      </w:r>
      <w:r w:rsidRPr="004048E7">
        <w:rPr>
          <w:spacing w:val="-10"/>
        </w:rPr>
        <w:t xml:space="preserve"> </w:t>
      </w:r>
      <w:r w:rsidRPr="004048E7">
        <w:t>Bildungsideal</w:t>
      </w:r>
      <w:r w:rsidRPr="004048E7">
        <w:rPr>
          <w:spacing w:val="-11"/>
        </w:rPr>
        <w:t xml:space="preserve"> </w:t>
      </w:r>
      <w:r w:rsidRPr="004048E7">
        <w:t>fort.</w:t>
      </w:r>
      <w:r w:rsidRPr="004048E7">
        <w:rPr>
          <w:spacing w:val="-11"/>
        </w:rPr>
        <w:t xml:space="preserve"> </w:t>
      </w:r>
      <w:r w:rsidRPr="004048E7">
        <w:t>Das</w:t>
      </w:r>
      <w:r w:rsidRPr="004048E7">
        <w:rPr>
          <w:spacing w:val="-9"/>
        </w:rPr>
        <w:t xml:space="preserve"> </w:t>
      </w:r>
      <w:r w:rsidRPr="004048E7">
        <w:t>Schicksal der</w:t>
      </w:r>
      <w:r w:rsidRPr="004048E7">
        <w:rPr>
          <w:spacing w:val="-3"/>
        </w:rPr>
        <w:t xml:space="preserve"> </w:t>
      </w:r>
      <w:r w:rsidRPr="004048E7">
        <w:t>seit</w:t>
      </w:r>
      <w:r w:rsidRPr="004048E7">
        <w:rPr>
          <w:spacing w:val="-3"/>
        </w:rPr>
        <w:t xml:space="preserve"> </w:t>
      </w:r>
      <w:r w:rsidRPr="004048E7">
        <w:t>Jahrhunderten</w:t>
      </w:r>
      <w:r w:rsidRPr="004048E7">
        <w:rPr>
          <w:spacing w:val="-2"/>
        </w:rPr>
        <w:t xml:space="preserve"> </w:t>
      </w:r>
      <w:r w:rsidRPr="004048E7">
        <w:t>systematisch</w:t>
      </w:r>
      <w:r w:rsidRPr="004048E7">
        <w:rPr>
          <w:spacing w:val="-2"/>
        </w:rPr>
        <w:t xml:space="preserve"> </w:t>
      </w:r>
      <w:r w:rsidRPr="004048E7">
        <w:t>verfolgten</w:t>
      </w:r>
      <w:r w:rsidRPr="004048E7">
        <w:rPr>
          <w:spacing w:val="-2"/>
        </w:rPr>
        <w:t xml:space="preserve"> </w:t>
      </w:r>
      <w:r w:rsidRPr="004048E7">
        <w:t>Juden</w:t>
      </w:r>
      <w:r w:rsidRPr="004048E7">
        <w:rPr>
          <w:spacing w:val="-2"/>
        </w:rPr>
        <w:t xml:space="preserve"> </w:t>
      </w:r>
      <w:r w:rsidRPr="004048E7">
        <w:t>zeigt</w:t>
      </w:r>
      <w:r w:rsidRPr="004048E7">
        <w:rPr>
          <w:spacing w:val="-3"/>
        </w:rPr>
        <w:t xml:space="preserve"> </w:t>
      </w:r>
      <w:r w:rsidRPr="004048E7">
        <w:t>sogar,</w:t>
      </w:r>
      <w:r w:rsidRPr="004048E7">
        <w:rPr>
          <w:spacing w:val="-3"/>
        </w:rPr>
        <w:t xml:space="preserve"> </w:t>
      </w:r>
      <w:r w:rsidRPr="004048E7">
        <w:t>dass</w:t>
      </w:r>
      <w:r w:rsidRPr="004048E7">
        <w:rPr>
          <w:spacing w:val="-4"/>
        </w:rPr>
        <w:t xml:space="preserve"> </w:t>
      </w:r>
      <w:r w:rsidRPr="004048E7">
        <w:t>ein</w:t>
      </w:r>
      <w:r w:rsidRPr="004048E7">
        <w:rPr>
          <w:spacing w:val="-2"/>
        </w:rPr>
        <w:t xml:space="preserve"> </w:t>
      </w:r>
      <w:r w:rsidRPr="004048E7">
        <w:t>Volk</w:t>
      </w:r>
      <w:r w:rsidRPr="004048E7">
        <w:rPr>
          <w:spacing w:val="-2"/>
        </w:rPr>
        <w:t xml:space="preserve"> </w:t>
      </w:r>
      <w:r w:rsidRPr="004048E7">
        <w:t>in der Diaspora gerade wegen seiner – eng mit der Religion verbundenen – vitalen Kultur auch als Ganzes überlebt.</w:t>
      </w:r>
    </w:p>
    <w:p w14:paraId="1D31EF47" w14:textId="77777777" w:rsidR="00FF7799" w:rsidRPr="004048E7" w:rsidRDefault="00FF7799" w:rsidP="00292C31">
      <w:pPr>
        <w:pStyle w:val="StandardText"/>
      </w:pPr>
    </w:p>
    <w:p w14:paraId="1FB52F5E" w14:textId="77777777" w:rsidR="00FF7799" w:rsidRPr="000B4618" w:rsidRDefault="00FF7799" w:rsidP="005909AD">
      <w:pPr>
        <w:pStyle w:val="StandardTextkursiv"/>
        <w:rPr>
          <w:iCs/>
        </w:rPr>
      </w:pPr>
      <w:r w:rsidRPr="000B4618">
        <w:rPr>
          <w:iCs/>
        </w:rPr>
        <w:t>Soziales Erbe</w:t>
      </w:r>
    </w:p>
    <w:p w14:paraId="04E6E1F3" w14:textId="77777777" w:rsidR="00FF7799" w:rsidRPr="004048E7" w:rsidRDefault="00FF7799" w:rsidP="00292C31">
      <w:pPr>
        <w:pStyle w:val="StandardText"/>
      </w:pPr>
      <w:r w:rsidRPr="004048E7">
        <w:t>Kulturspezifisches Verhalten ist nicht genetisch determiniert, sondern wird erlernt. Deshalb kann man Kultur auch als das soziale Erbe einer Gesellschaft verstehen, als „die Summe der von Generation zu Generation weitergegebenen Überzeugungen, Verhaltensweisen und Verhaltensregeln“ (von Keller 1982, S.115f.).</w:t>
      </w:r>
    </w:p>
    <w:p w14:paraId="2876CE9E" w14:textId="77777777" w:rsidR="00FF7799" w:rsidRPr="004048E7" w:rsidRDefault="00FF7799" w:rsidP="00292C31">
      <w:pPr>
        <w:pStyle w:val="StandardText"/>
      </w:pPr>
    </w:p>
    <w:p w14:paraId="70E144BC" w14:textId="77777777" w:rsidR="00FF7799" w:rsidRPr="000B4618" w:rsidRDefault="00FF7799" w:rsidP="00DF5332">
      <w:pPr>
        <w:pStyle w:val="StandardTextkursiv"/>
        <w:rPr>
          <w:iCs/>
        </w:rPr>
      </w:pPr>
      <w:r w:rsidRPr="000B4618">
        <w:rPr>
          <w:iCs/>
        </w:rPr>
        <w:t>Symbole</w:t>
      </w:r>
    </w:p>
    <w:p w14:paraId="0D16C920" w14:textId="77777777" w:rsidR="00FF7799" w:rsidRPr="004048E7" w:rsidRDefault="00FF7799" w:rsidP="00292C31">
      <w:pPr>
        <w:pStyle w:val="StandardText"/>
      </w:pPr>
      <w:r w:rsidRPr="004048E7">
        <w:t>Um sich – nicht zuletzt künstlerisch – ausdrücken und untereinander verständigen zu können, entwickelt jede Kultur ihr eigenes symbolhaftes Zeichensystem;</w:t>
      </w:r>
      <w:r w:rsidRPr="004048E7">
        <w:rPr>
          <w:spacing w:val="-8"/>
        </w:rPr>
        <w:t xml:space="preserve"> </w:t>
      </w:r>
      <w:r w:rsidRPr="004048E7">
        <w:t>zu</w:t>
      </w:r>
      <w:r w:rsidRPr="004048E7">
        <w:rPr>
          <w:spacing w:val="-8"/>
        </w:rPr>
        <w:t xml:space="preserve"> </w:t>
      </w:r>
      <w:r w:rsidRPr="004048E7">
        <w:t>nennen</w:t>
      </w:r>
      <w:r w:rsidRPr="004048E7">
        <w:rPr>
          <w:spacing w:val="-8"/>
        </w:rPr>
        <w:t xml:space="preserve"> </w:t>
      </w:r>
      <w:r w:rsidRPr="004048E7">
        <w:t>sind</w:t>
      </w:r>
      <w:r w:rsidRPr="004048E7">
        <w:rPr>
          <w:spacing w:val="-8"/>
        </w:rPr>
        <w:t xml:space="preserve"> </w:t>
      </w:r>
      <w:r w:rsidRPr="004048E7">
        <w:t>hierbei</w:t>
      </w:r>
      <w:r w:rsidRPr="004048E7">
        <w:rPr>
          <w:spacing w:val="-8"/>
        </w:rPr>
        <w:t xml:space="preserve"> </w:t>
      </w:r>
      <w:r w:rsidRPr="004048E7">
        <w:t>Sprache,</w:t>
      </w:r>
      <w:r w:rsidRPr="004048E7">
        <w:rPr>
          <w:spacing w:val="-5"/>
        </w:rPr>
        <w:t xml:space="preserve"> </w:t>
      </w:r>
      <w:r w:rsidRPr="004048E7">
        <w:t>Kunst,</w:t>
      </w:r>
      <w:r w:rsidRPr="004048E7">
        <w:rPr>
          <w:spacing w:val="-8"/>
        </w:rPr>
        <w:t xml:space="preserve"> </w:t>
      </w:r>
      <w:r w:rsidRPr="004048E7">
        <w:t>Rituale,</w:t>
      </w:r>
      <w:r w:rsidRPr="004048E7">
        <w:rPr>
          <w:spacing w:val="-10"/>
        </w:rPr>
        <w:t xml:space="preserve"> </w:t>
      </w:r>
      <w:r w:rsidRPr="004048E7">
        <w:t>Symbole,</w:t>
      </w:r>
      <w:r w:rsidRPr="004048E7">
        <w:rPr>
          <w:spacing w:val="-8"/>
        </w:rPr>
        <w:t xml:space="preserve"> </w:t>
      </w:r>
      <w:r w:rsidRPr="004048E7">
        <w:t>Mythen etc.. So ist der für die Produktgestaltung und die Kommunikationspolitik überaus bedeutsame Symbolgehalt von Farbe kulturspezifisch zu deuten (vgl. Müller/Gelbrich 2014).</w:t>
      </w:r>
    </w:p>
    <w:p w14:paraId="3E2E8899" w14:textId="77777777" w:rsidR="00FF7799" w:rsidRPr="004048E7" w:rsidRDefault="00FF7799" w:rsidP="00292C31">
      <w:pPr>
        <w:pStyle w:val="StandardText"/>
      </w:pPr>
    </w:p>
    <w:p w14:paraId="1A3B235C" w14:textId="77777777" w:rsidR="00FF7799" w:rsidRPr="000B4618" w:rsidRDefault="00FF7799" w:rsidP="005909AD">
      <w:pPr>
        <w:pStyle w:val="StandardTextkursiv"/>
        <w:rPr>
          <w:iCs/>
        </w:rPr>
      </w:pPr>
      <w:r w:rsidRPr="000B4618">
        <w:rPr>
          <w:iCs/>
        </w:rPr>
        <w:t>Verhaltensrelevanz</w:t>
      </w:r>
    </w:p>
    <w:p w14:paraId="69C848BA" w14:textId="77777777" w:rsidR="00FF7799" w:rsidRPr="00E73F6F" w:rsidRDefault="00FF7799" w:rsidP="00292C31">
      <w:pPr>
        <w:pStyle w:val="StandardText"/>
      </w:pPr>
      <w:r w:rsidRPr="00E73F6F">
        <w:lastRenderedPageBreak/>
        <w:t>Als weiteres Kennzeichen nennt der Autor die verhaltenssteuernde Funktion von Kultur. Damit ist gemeint, dass mithilfe eines Kanons von Regeln, Normen und Kodices das Verhalten der Einzelnen aufeinander</w:t>
      </w:r>
      <w:r w:rsidRPr="00E73F6F">
        <w:rPr>
          <w:spacing w:val="-8"/>
        </w:rPr>
        <w:t xml:space="preserve"> </w:t>
      </w:r>
      <w:r w:rsidRPr="00E73F6F">
        <w:t>abgestimmt</w:t>
      </w:r>
      <w:r w:rsidRPr="00E73F6F">
        <w:rPr>
          <w:spacing w:val="-7"/>
        </w:rPr>
        <w:t xml:space="preserve"> </w:t>
      </w:r>
      <w:r w:rsidRPr="00E73F6F">
        <w:t>und</w:t>
      </w:r>
      <w:r w:rsidRPr="00E73F6F">
        <w:rPr>
          <w:spacing w:val="-7"/>
        </w:rPr>
        <w:t xml:space="preserve"> </w:t>
      </w:r>
      <w:r w:rsidRPr="00E73F6F">
        <w:t>an</w:t>
      </w:r>
      <w:r w:rsidRPr="00E73F6F">
        <w:rPr>
          <w:spacing w:val="-9"/>
        </w:rPr>
        <w:t xml:space="preserve"> </w:t>
      </w:r>
      <w:r w:rsidRPr="00E73F6F">
        <w:t>dem</w:t>
      </w:r>
      <w:r w:rsidRPr="00E73F6F">
        <w:rPr>
          <w:spacing w:val="-9"/>
        </w:rPr>
        <w:t xml:space="preserve"> </w:t>
      </w:r>
      <w:r w:rsidRPr="00E73F6F">
        <w:t>Selbstverständnis</w:t>
      </w:r>
      <w:r w:rsidRPr="00E73F6F">
        <w:rPr>
          <w:spacing w:val="-10"/>
        </w:rPr>
        <w:t xml:space="preserve"> </w:t>
      </w:r>
      <w:r w:rsidRPr="00E73F6F">
        <w:t>der</w:t>
      </w:r>
      <w:r w:rsidRPr="00E73F6F">
        <w:rPr>
          <w:spacing w:val="-8"/>
        </w:rPr>
        <w:t xml:space="preserve"> </w:t>
      </w:r>
      <w:r w:rsidRPr="00E73F6F">
        <w:t>jeweiligen</w:t>
      </w:r>
      <w:r w:rsidRPr="00E73F6F">
        <w:rPr>
          <w:spacing w:val="-7"/>
        </w:rPr>
        <w:t xml:space="preserve"> </w:t>
      </w:r>
      <w:r w:rsidRPr="00E73F6F">
        <w:t>Gesellschaft (z.B. Zukunfts- vs. Gegenwartsorientierung) ausgerichtet wird.</w:t>
      </w:r>
    </w:p>
    <w:p w14:paraId="439AEC46" w14:textId="77777777" w:rsidR="00FF7799" w:rsidRPr="00E73F6F" w:rsidRDefault="00FF7799" w:rsidP="00292C31">
      <w:pPr>
        <w:pStyle w:val="StandardText"/>
      </w:pPr>
    </w:p>
    <w:p w14:paraId="29671811" w14:textId="77777777" w:rsidR="00FF7799" w:rsidRPr="00E73F6F" w:rsidRDefault="00FF7799" w:rsidP="005909AD">
      <w:pPr>
        <w:pStyle w:val="StandardTextkursiv"/>
      </w:pPr>
      <w:r w:rsidRPr="00E73F6F">
        <w:t>Anpassung</w:t>
      </w:r>
    </w:p>
    <w:p w14:paraId="73130775" w14:textId="77777777" w:rsidR="00FF7799" w:rsidRPr="00E73F6F" w:rsidRDefault="00FF7799" w:rsidP="00292C31">
      <w:pPr>
        <w:pStyle w:val="StandardText"/>
      </w:pPr>
      <w:r w:rsidRPr="00E73F6F">
        <w:t>Indem sie möglichst widerspruchsfreie Überzeugungen und Normen vorgeben,</w:t>
      </w:r>
      <w:r w:rsidRPr="00E73F6F">
        <w:rPr>
          <w:spacing w:val="-3"/>
        </w:rPr>
        <w:t xml:space="preserve"> </w:t>
      </w:r>
      <w:r w:rsidRPr="00E73F6F">
        <w:t>sorgen</w:t>
      </w:r>
      <w:r w:rsidRPr="00E73F6F">
        <w:rPr>
          <w:spacing w:val="-2"/>
        </w:rPr>
        <w:t xml:space="preserve"> </w:t>
      </w:r>
      <w:r w:rsidRPr="00E73F6F">
        <w:t>Kulturen</w:t>
      </w:r>
      <w:r w:rsidRPr="00E73F6F">
        <w:rPr>
          <w:spacing w:val="-2"/>
        </w:rPr>
        <w:t xml:space="preserve"> </w:t>
      </w:r>
      <w:r w:rsidRPr="00E73F6F">
        <w:t>für</w:t>
      </w:r>
      <w:r w:rsidRPr="00E73F6F">
        <w:rPr>
          <w:spacing w:val="-3"/>
        </w:rPr>
        <w:t xml:space="preserve"> </w:t>
      </w:r>
      <w:r w:rsidRPr="00E73F6F">
        <w:t>die</w:t>
      </w:r>
      <w:r w:rsidRPr="00E73F6F">
        <w:rPr>
          <w:spacing w:val="-6"/>
        </w:rPr>
        <w:t xml:space="preserve"> </w:t>
      </w:r>
      <w:r w:rsidRPr="00E73F6F">
        <w:t>wechselseitige</w:t>
      </w:r>
      <w:r w:rsidRPr="00E73F6F">
        <w:rPr>
          <w:spacing w:val="-4"/>
        </w:rPr>
        <w:t xml:space="preserve"> </w:t>
      </w:r>
      <w:r w:rsidRPr="00E73F6F">
        <w:t>Anpassung</w:t>
      </w:r>
      <w:r w:rsidRPr="00E73F6F">
        <w:rPr>
          <w:spacing w:val="-2"/>
        </w:rPr>
        <w:t xml:space="preserve"> </w:t>
      </w:r>
      <w:r w:rsidRPr="00E73F6F">
        <w:t>ihrer</w:t>
      </w:r>
      <w:r w:rsidRPr="00E73F6F">
        <w:rPr>
          <w:spacing w:val="-3"/>
        </w:rPr>
        <w:t xml:space="preserve"> </w:t>
      </w:r>
      <w:r w:rsidRPr="00E73F6F">
        <w:t>Mitglieder</w:t>
      </w:r>
      <w:r w:rsidRPr="00E73F6F">
        <w:rPr>
          <w:spacing w:val="-3"/>
        </w:rPr>
        <w:t xml:space="preserve"> </w:t>
      </w:r>
      <w:r w:rsidRPr="00E73F6F">
        <w:t>und haben</w:t>
      </w:r>
      <w:r w:rsidRPr="00E73F6F">
        <w:rPr>
          <w:spacing w:val="-2"/>
        </w:rPr>
        <w:t xml:space="preserve"> </w:t>
      </w:r>
      <w:r w:rsidRPr="00E73F6F">
        <w:t>insofern auch instrumentellen Charakter.</w:t>
      </w:r>
      <w:r w:rsidRPr="00E73F6F">
        <w:rPr>
          <w:spacing w:val="-2"/>
        </w:rPr>
        <w:t xml:space="preserve"> </w:t>
      </w:r>
      <w:r w:rsidRPr="00E73F6F">
        <w:t>Zahlreiche</w:t>
      </w:r>
      <w:r w:rsidRPr="00E73F6F">
        <w:rPr>
          <w:spacing w:val="-1"/>
        </w:rPr>
        <w:t xml:space="preserve"> </w:t>
      </w:r>
      <w:r w:rsidRPr="00E73F6F">
        <w:t>Gegenkräfte</w:t>
      </w:r>
      <w:r w:rsidRPr="00E73F6F">
        <w:rPr>
          <w:spacing w:val="-1"/>
        </w:rPr>
        <w:t xml:space="preserve"> </w:t>
      </w:r>
      <w:r w:rsidRPr="00E73F6F">
        <w:t>bedingen allerdings, dass kulturelle Homogenität letztlich nicht der gesellschaftlichen Realität entspricht. Selbst im angeblich homogenen Japan ist sie primär eine Utopie</w:t>
      </w:r>
      <w:r w:rsidRPr="00E73F6F">
        <w:rPr>
          <w:spacing w:val="-12"/>
        </w:rPr>
        <w:t xml:space="preserve"> </w:t>
      </w:r>
      <w:r w:rsidRPr="00E73F6F">
        <w:t>–</w:t>
      </w:r>
      <w:r w:rsidRPr="00E73F6F">
        <w:rPr>
          <w:spacing w:val="-11"/>
        </w:rPr>
        <w:t xml:space="preserve"> </w:t>
      </w:r>
      <w:r w:rsidRPr="00E73F6F">
        <w:t>die</w:t>
      </w:r>
      <w:r w:rsidRPr="00E73F6F">
        <w:rPr>
          <w:spacing w:val="-11"/>
        </w:rPr>
        <w:t xml:space="preserve"> </w:t>
      </w:r>
      <w:r w:rsidRPr="00E73F6F">
        <w:t>im</w:t>
      </w:r>
      <w:r w:rsidRPr="00E73F6F">
        <w:rPr>
          <w:spacing w:val="-9"/>
        </w:rPr>
        <w:t xml:space="preserve"> </w:t>
      </w:r>
      <w:r w:rsidRPr="00E73F6F">
        <w:t>Übrigen</w:t>
      </w:r>
      <w:r w:rsidRPr="00E73F6F">
        <w:rPr>
          <w:spacing w:val="-10"/>
        </w:rPr>
        <w:t xml:space="preserve"> </w:t>
      </w:r>
      <w:r w:rsidRPr="00E73F6F">
        <w:t>nicht</w:t>
      </w:r>
      <w:r w:rsidRPr="00E73F6F">
        <w:rPr>
          <w:spacing w:val="-11"/>
        </w:rPr>
        <w:t xml:space="preserve"> </w:t>
      </w:r>
      <w:r w:rsidRPr="00E73F6F">
        <w:t>von</w:t>
      </w:r>
      <w:r w:rsidRPr="00E73F6F">
        <w:rPr>
          <w:spacing w:val="-10"/>
        </w:rPr>
        <w:t xml:space="preserve"> </w:t>
      </w:r>
      <w:r w:rsidRPr="00E73F6F">
        <w:t>allen</w:t>
      </w:r>
      <w:r w:rsidRPr="00E73F6F">
        <w:rPr>
          <w:spacing w:val="-10"/>
        </w:rPr>
        <w:t xml:space="preserve"> </w:t>
      </w:r>
      <w:r w:rsidRPr="00E73F6F">
        <w:t>geteilt</w:t>
      </w:r>
      <w:r w:rsidRPr="00E73F6F">
        <w:rPr>
          <w:spacing w:val="-11"/>
        </w:rPr>
        <w:t xml:space="preserve"> </w:t>
      </w:r>
      <w:r w:rsidRPr="00E73F6F">
        <w:t>wird</w:t>
      </w:r>
      <w:r w:rsidRPr="00E73F6F">
        <w:rPr>
          <w:spacing w:val="-10"/>
        </w:rPr>
        <w:t xml:space="preserve"> </w:t>
      </w:r>
      <w:r w:rsidRPr="00E73F6F">
        <w:t>(z.B.</w:t>
      </w:r>
      <w:r w:rsidRPr="00E73F6F">
        <w:rPr>
          <w:spacing w:val="-11"/>
        </w:rPr>
        <w:t xml:space="preserve"> </w:t>
      </w:r>
      <w:r w:rsidRPr="00E73F6F">
        <w:t>nicht</w:t>
      </w:r>
      <w:r w:rsidRPr="00E73F6F">
        <w:rPr>
          <w:spacing w:val="-10"/>
        </w:rPr>
        <w:t xml:space="preserve"> </w:t>
      </w:r>
      <w:r w:rsidRPr="00E73F6F">
        <w:t>von</w:t>
      </w:r>
      <w:r w:rsidRPr="00E73F6F">
        <w:rPr>
          <w:spacing w:val="-12"/>
        </w:rPr>
        <w:t xml:space="preserve"> </w:t>
      </w:r>
      <w:r w:rsidRPr="00E73F6F">
        <w:t>den</w:t>
      </w:r>
      <w:r w:rsidRPr="00E73F6F">
        <w:rPr>
          <w:spacing w:val="-7"/>
        </w:rPr>
        <w:t xml:space="preserve"> </w:t>
      </w:r>
      <w:r w:rsidRPr="00E73F6F">
        <w:t>Anhängern einer multikulturellen Gesellschaft</w:t>
      </w:r>
      <w:r w:rsidR="008702EF">
        <w:t xml:space="preserve">; </w:t>
      </w:r>
      <w:r w:rsidR="008702EF">
        <w:sym w:font="Symbol" w:char="F0DE"/>
      </w:r>
      <w:r w:rsidR="008702EF">
        <w:t xml:space="preserve"> Multikulturalismus</w:t>
      </w:r>
      <w:r w:rsidRPr="00E73F6F">
        <w:t>).</w:t>
      </w:r>
    </w:p>
    <w:p w14:paraId="3C12180D" w14:textId="77777777" w:rsidR="00FF7799" w:rsidRPr="00E73F6F" w:rsidRDefault="00FF7799" w:rsidP="00862DBA">
      <w:pPr>
        <w:rPr>
          <w:sz w:val="24"/>
          <w:szCs w:val="24"/>
        </w:rPr>
      </w:pPr>
    </w:p>
    <w:tbl>
      <w:tblPr>
        <w:tblStyle w:val="TableNormal"/>
        <w:tblW w:w="5000" w:type="pct"/>
        <w:tblBorders>
          <w:top w:val="single" w:sz="4" w:space="0" w:color="auto"/>
          <w:left w:val="single" w:sz="4" w:space="0" w:color="auto"/>
          <w:bottom w:val="single" w:sz="4" w:space="0" w:color="auto"/>
          <w:right w:val="single" w:sz="4" w:space="0" w:color="auto"/>
        </w:tblBorders>
        <w:tblCellMar>
          <w:left w:w="57" w:type="dxa"/>
          <w:right w:w="57" w:type="dxa"/>
        </w:tblCellMar>
        <w:tblLook w:val="01E0" w:firstRow="1" w:lastRow="1" w:firstColumn="1" w:lastColumn="1" w:noHBand="0" w:noVBand="0"/>
      </w:tblPr>
      <w:tblGrid>
        <w:gridCol w:w="9062"/>
      </w:tblGrid>
      <w:tr w:rsidR="00FF7799" w:rsidRPr="00E73F6F" w14:paraId="08631F84" w14:textId="77777777" w:rsidTr="004048E7">
        <w:trPr>
          <w:trHeight w:val="2297"/>
        </w:trPr>
        <w:tc>
          <w:tcPr>
            <w:tcW w:w="5000" w:type="pct"/>
            <w:shd w:val="clear" w:color="auto" w:fill="DEEAF6" w:themeFill="accent1" w:themeFillTint="33"/>
          </w:tcPr>
          <w:p w14:paraId="1D319101" w14:textId="77777777" w:rsidR="00FF7799" w:rsidRPr="001F4A8C" w:rsidRDefault="00FF7799" w:rsidP="001F4A8C">
            <w:pPr>
              <w:pStyle w:val="Standardklein"/>
              <w:spacing w:before="120"/>
              <w:jc w:val="center"/>
              <w:rPr>
                <w:lang w:val="de-DE"/>
              </w:rPr>
            </w:pPr>
            <w:r w:rsidRPr="001F4A8C">
              <w:rPr>
                <w:lang w:val="de-DE"/>
              </w:rPr>
              <w:t>Kulturelle</w:t>
            </w:r>
            <w:r w:rsidRPr="001F4A8C">
              <w:rPr>
                <w:spacing w:val="-8"/>
                <w:lang w:val="de-DE"/>
              </w:rPr>
              <w:t xml:space="preserve"> </w:t>
            </w:r>
            <w:r w:rsidRPr="001F4A8C">
              <w:rPr>
                <w:lang w:val="de-DE"/>
              </w:rPr>
              <w:t>Vielfalt</w:t>
            </w:r>
            <w:r w:rsidRPr="001F4A8C">
              <w:rPr>
                <w:spacing w:val="-5"/>
                <w:lang w:val="de-DE"/>
              </w:rPr>
              <w:t xml:space="preserve"> </w:t>
            </w:r>
            <w:r w:rsidRPr="001F4A8C">
              <w:rPr>
                <w:lang w:val="de-DE"/>
              </w:rPr>
              <w:t>und</w:t>
            </w:r>
            <w:r w:rsidRPr="001F4A8C">
              <w:rPr>
                <w:spacing w:val="-3"/>
                <w:lang w:val="de-DE"/>
              </w:rPr>
              <w:t xml:space="preserve"> </w:t>
            </w:r>
            <w:r w:rsidRPr="001F4A8C">
              <w:rPr>
                <w:spacing w:val="-2"/>
                <w:lang w:val="de-DE"/>
              </w:rPr>
              <w:t>Dynamik</w:t>
            </w:r>
          </w:p>
          <w:p w14:paraId="11948485" w14:textId="77777777" w:rsidR="00FF7799" w:rsidRPr="00E73F6F" w:rsidRDefault="00FF7799" w:rsidP="00CA7CD6">
            <w:pPr>
              <w:pStyle w:val="Standardklein"/>
              <w:rPr>
                <w:lang w:val="de-DE"/>
              </w:rPr>
            </w:pPr>
          </w:p>
          <w:p w14:paraId="09AC9BCA" w14:textId="77777777" w:rsidR="00FF7799" w:rsidRPr="00E73F6F" w:rsidRDefault="00FF7799" w:rsidP="00CA7CD6">
            <w:pPr>
              <w:pStyle w:val="Standardklein"/>
              <w:rPr>
                <w:lang w:val="de-DE"/>
              </w:rPr>
            </w:pPr>
            <w:r w:rsidRPr="00E73F6F">
              <w:rPr>
                <w:lang w:val="de-DE"/>
              </w:rPr>
              <w:t>„Kulturelle Homogenität als fugenlose, konfliktfreie Übereinstimmung</w:t>
            </w:r>
            <w:r w:rsidRPr="00E73F6F">
              <w:rPr>
                <w:spacing w:val="-1"/>
                <w:lang w:val="de-DE"/>
              </w:rPr>
              <w:t xml:space="preserve"> </w:t>
            </w:r>
            <w:r w:rsidRPr="00E73F6F">
              <w:rPr>
                <w:lang w:val="de-DE"/>
              </w:rPr>
              <w:t>kultureller</w:t>
            </w:r>
            <w:r w:rsidRPr="00E73F6F">
              <w:rPr>
                <w:spacing w:val="-1"/>
                <w:lang w:val="de-DE"/>
              </w:rPr>
              <w:t xml:space="preserve"> </w:t>
            </w:r>
            <w:r w:rsidRPr="00E73F6F">
              <w:rPr>
                <w:lang w:val="de-DE"/>
              </w:rPr>
              <w:t>Werte</w:t>
            </w:r>
            <w:r w:rsidRPr="00E73F6F">
              <w:rPr>
                <w:spacing w:val="40"/>
                <w:lang w:val="de-DE"/>
              </w:rPr>
              <w:t xml:space="preserve"> </w:t>
            </w:r>
            <w:r w:rsidRPr="00E73F6F">
              <w:rPr>
                <w:lang w:val="de-DE"/>
              </w:rPr>
              <w:t>hat es</w:t>
            </w:r>
            <w:r w:rsidRPr="00E73F6F">
              <w:rPr>
                <w:spacing w:val="-2"/>
                <w:lang w:val="de-DE"/>
              </w:rPr>
              <w:t xml:space="preserve"> </w:t>
            </w:r>
            <w:r w:rsidRPr="00E73F6F">
              <w:rPr>
                <w:lang w:val="de-DE"/>
              </w:rPr>
              <w:t>nie und nirgendwo</w:t>
            </w:r>
            <w:r w:rsidRPr="00E73F6F">
              <w:rPr>
                <w:spacing w:val="-1"/>
                <w:lang w:val="de-DE"/>
              </w:rPr>
              <w:t xml:space="preserve"> </w:t>
            </w:r>
            <w:r w:rsidRPr="00E73F6F">
              <w:rPr>
                <w:lang w:val="de-DE"/>
              </w:rPr>
              <w:t>gegeben.</w:t>
            </w:r>
            <w:r w:rsidRPr="00E73F6F">
              <w:rPr>
                <w:spacing w:val="-1"/>
                <w:lang w:val="de-DE"/>
              </w:rPr>
              <w:t xml:space="preserve"> </w:t>
            </w:r>
            <w:r w:rsidRPr="00E73F6F">
              <w:rPr>
                <w:lang w:val="de-DE"/>
              </w:rPr>
              <w:t>Keine</w:t>
            </w:r>
            <w:r w:rsidRPr="00E73F6F">
              <w:rPr>
                <w:spacing w:val="-1"/>
                <w:lang w:val="de-DE"/>
              </w:rPr>
              <w:t xml:space="preserve"> </w:t>
            </w:r>
            <w:r w:rsidRPr="00E73F6F">
              <w:rPr>
                <w:lang w:val="de-DE"/>
              </w:rPr>
              <w:t>Kultur entstand aus sich selbst heraus</w:t>
            </w:r>
            <w:r w:rsidRPr="00E73F6F">
              <w:rPr>
                <w:spacing w:val="-2"/>
                <w:lang w:val="de-DE"/>
              </w:rPr>
              <w:t xml:space="preserve"> </w:t>
            </w:r>
            <w:r w:rsidRPr="00E73F6F">
              <w:rPr>
                <w:lang w:val="de-DE"/>
              </w:rPr>
              <w:t>in</w:t>
            </w:r>
            <w:r w:rsidRPr="00E73F6F">
              <w:rPr>
                <w:spacing w:val="-1"/>
                <w:lang w:val="de-DE"/>
              </w:rPr>
              <w:t xml:space="preserve"> </w:t>
            </w:r>
            <w:r w:rsidRPr="00E73F6F">
              <w:rPr>
                <w:lang w:val="de-DE"/>
              </w:rPr>
              <w:t>einem</w:t>
            </w:r>
            <w:r w:rsidRPr="00E73F6F">
              <w:rPr>
                <w:spacing w:val="40"/>
                <w:lang w:val="de-DE"/>
              </w:rPr>
              <w:t xml:space="preserve"> </w:t>
            </w:r>
            <w:r w:rsidRPr="00E73F6F">
              <w:rPr>
                <w:lang w:val="de-DE"/>
              </w:rPr>
              <w:t>luftleeren</w:t>
            </w:r>
            <w:r w:rsidRPr="00E73F6F">
              <w:rPr>
                <w:spacing w:val="-10"/>
                <w:lang w:val="de-DE"/>
              </w:rPr>
              <w:t xml:space="preserve"> </w:t>
            </w:r>
            <w:r w:rsidRPr="00E73F6F">
              <w:rPr>
                <w:lang w:val="de-DE"/>
              </w:rPr>
              <w:t>Raum.</w:t>
            </w:r>
            <w:r w:rsidRPr="00E73F6F">
              <w:rPr>
                <w:spacing w:val="-10"/>
                <w:lang w:val="de-DE"/>
              </w:rPr>
              <w:t xml:space="preserve"> </w:t>
            </w:r>
            <w:r w:rsidRPr="00E73F6F">
              <w:rPr>
                <w:lang w:val="de-DE"/>
              </w:rPr>
              <w:t>Alle</w:t>
            </w:r>
            <w:r w:rsidRPr="00E73F6F">
              <w:rPr>
                <w:spacing w:val="-10"/>
                <w:lang w:val="de-DE"/>
              </w:rPr>
              <w:t xml:space="preserve"> </w:t>
            </w:r>
            <w:r w:rsidRPr="00E73F6F">
              <w:rPr>
                <w:lang w:val="de-DE"/>
              </w:rPr>
              <w:t>Kulturen</w:t>
            </w:r>
            <w:r w:rsidRPr="00E73F6F">
              <w:rPr>
                <w:spacing w:val="-10"/>
                <w:lang w:val="de-DE"/>
              </w:rPr>
              <w:t xml:space="preserve"> </w:t>
            </w:r>
            <w:r w:rsidRPr="00E73F6F">
              <w:rPr>
                <w:lang w:val="de-DE"/>
              </w:rPr>
              <w:t>haben</w:t>
            </w:r>
            <w:r w:rsidRPr="00E73F6F">
              <w:rPr>
                <w:spacing w:val="-10"/>
                <w:lang w:val="de-DE"/>
              </w:rPr>
              <w:t xml:space="preserve"> </w:t>
            </w:r>
            <w:r w:rsidRPr="00E73F6F">
              <w:rPr>
                <w:lang w:val="de-DE"/>
              </w:rPr>
              <w:t>sich</w:t>
            </w:r>
            <w:r w:rsidRPr="00E73F6F">
              <w:rPr>
                <w:spacing w:val="-10"/>
                <w:lang w:val="de-DE"/>
              </w:rPr>
              <w:t xml:space="preserve"> </w:t>
            </w:r>
            <w:r w:rsidRPr="00E73F6F">
              <w:rPr>
                <w:lang w:val="de-DE"/>
              </w:rPr>
              <w:t>vielmehr</w:t>
            </w:r>
            <w:r w:rsidRPr="00E73F6F">
              <w:rPr>
                <w:spacing w:val="-10"/>
                <w:lang w:val="de-DE"/>
              </w:rPr>
              <w:t xml:space="preserve"> </w:t>
            </w:r>
            <w:r w:rsidRPr="00E73F6F">
              <w:rPr>
                <w:lang w:val="de-DE"/>
              </w:rPr>
              <w:t>in</w:t>
            </w:r>
            <w:r w:rsidRPr="00E73F6F">
              <w:rPr>
                <w:spacing w:val="-10"/>
                <w:lang w:val="de-DE"/>
              </w:rPr>
              <w:t xml:space="preserve"> </w:t>
            </w:r>
            <w:r w:rsidRPr="00E73F6F">
              <w:rPr>
                <w:lang w:val="de-DE"/>
              </w:rPr>
              <w:t>einer</w:t>
            </w:r>
            <w:r w:rsidRPr="00E73F6F">
              <w:rPr>
                <w:spacing w:val="-10"/>
                <w:lang w:val="de-DE"/>
              </w:rPr>
              <w:t xml:space="preserve"> </w:t>
            </w:r>
            <w:r w:rsidRPr="00E73F6F">
              <w:rPr>
                <w:lang w:val="de-DE"/>
              </w:rPr>
              <w:t>langen</w:t>
            </w:r>
            <w:r w:rsidRPr="00E73F6F">
              <w:rPr>
                <w:spacing w:val="-10"/>
                <w:lang w:val="de-DE"/>
              </w:rPr>
              <w:t xml:space="preserve"> </w:t>
            </w:r>
            <w:r w:rsidRPr="00E73F6F">
              <w:rPr>
                <w:lang w:val="de-DE"/>
              </w:rPr>
              <w:t>Geschichte</w:t>
            </w:r>
            <w:r w:rsidRPr="00E73F6F">
              <w:rPr>
                <w:spacing w:val="-9"/>
                <w:lang w:val="de-DE"/>
              </w:rPr>
              <w:t xml:space="preserve"> </w:t>
            </w:r>
            <w:r w:rsidRPr="00E73F6F">
              <w:rPr>
                <w:lang w:val="de-DE"/>
              </w:rPr>
              <w:t>kulturellen</w:t>
            </w:r>
            <w:r w:rsidRPr="00E73F6F">
              <w:rPr>
                <w:spacing w:val="40"/>
                <w:lang w:val="de-DE"/>
              </w:rPr>
              <w:t xml:space="preserve"> </w:t>
            </w:r>
            <w:r w:rsidRPr="00E73F6F">
              <w:rPr>
                <w:lang w:val="de-DE"/>
              </w:rPr>
              <w:t>Austausches grenz- und völkerübergreifend gebildet. Über die Neuinterpretation ihrer</w:t>
            </w:r>
            <w:r w:rsidRPr="00E73F6F">
              <w:rPr>
                <w:spacing w:val="40"/>
                <w:lang w:val="de-DE"/>
              </w:rPr>
              <w:t xml:space="preserve"> </w:t>
            </w:r>
            <w:r w:rsidRPr="00E73F6F">
              <w:rPr>
                <w:lang w:val="de-DE"/>
              </w:rPr>
              <w:t>eigenen Überlieferung oder durch Austausch gab es überall kulturelle Dynamik und</w:t>
            </w:r>
            <w:r w:rsidRPr="00E73F6F">
              <w:rPr>
                <w:spacing w:val="40"/>
                <w:lang w:val="de-DE"/>
              </w:rPr>
              <w:t xml:space="preserve"> </w:t>
            </w:r>
            <w:r w:rsidRPr="00E73F6F">
              <w:rPr>
                <w:lang w:val="de-DE"/>
              </w:rPr>
              <w:t>Pluralität.</w:t>
            </w:r>
            <w:r w:rsidRPr="00E73F6F">
              <w:rPr>
                <w:spacing w:val="-3"/>
                <w:lang w:val="de-DE"/>
              </w:rPr>
              <w:t xml:space="preserve"> </w:t>
            </w:r>
            <w:r w:rsidRPr="00E73F6F">
              <w:rPr>
                <w:lang w:val="de-DE"/>
              </w:rPr>
              <w:t>In</w:t>
            </w:r>
            <w:r w:rsidRPr="00E73F6F">
              <w:rPr>
                <w:spacing w:val="-3"/>
                <w:lang w:val="de-DE"/>
              </w:rPr>
              <w:t xml:space="preserve"> </w:t>
            </w:r>
            <w:r w:rsidRPr="00E73F6F">
              <w:rPr>
                <w:lang w:val="de-DE"/>
              </w:rPr>
              <w:t>diesem</w:t>
            </w:r>
            <w:r w:rsidRPr="00E73F6F">
              <w:rPr>
                <w:spacing w:val="-4"/>
                <w:lang w:val="de-DE"/>
              </w:rPr>
              <w:t xml:space="preserve"> </w:t>
            </w:r>
            <w:r w:rsidRPr="00E73F6F">
              <w:rPr>
                <w:lang w:val="de-DE"/>
              </w:rPr>
              <w:t>Sinne</w:t>
            </w:r>
            <w:r w:rsidRPr="00E73F6F">
              <w:rPr>
                <w:spacing w:val="-3"/>
                <w:lang w:val="de-DE"/>
              </w:rPr>
              <w:t xml:space="preserve"> </w:t>
            </w:r>
            <w:r w:rsidRPr="00E73F6F">
              <w:rPr>
                <w:lang w:val="de-DE"/>
              </w:rPr>
              <w:t>waren</w:t>
            </w:r>
            <w:r w:rsidRPr="00E73F6F">
              <w:rPr>
                <w:spacing w:val="-3"/>
                <w:lang w:val="de-DE"/>
              </w:rPr>
              <w:t xml:space="preserve"> </w:t>
            </w:r>
            <w:r w:rsidRPr="00E73F6F">
              <w:rPr>
                <w:lang w:val="de-DE"/>
              </w:rPr>
              <w:t>und</w:t>
            </w:r>
            <w:r w:rsidRPr="00E73F6F">
              <w:rPr>
                <w:spacing w:val="-5"/>
                <w:lang w:val="de-DE"/>
              </w:rPr>
              <w:t xml:space="preserve"> </w:t>
            </w:r>
            <w:r w:rsidRPr="00E73F6F">
              <w:rPr>
                <w:lang w:val="de-DE"/>
              </w:rPr>
              <w:t>sind</w:t>
            </w:r>
            <w:r w:rsidRPr="00E73F6F">
              <w:rPr>
                <w:spacing w:val="-3"/>
                <w:lang w:val="de-DE"/>
              </w:rPr>
              <w:t xml:space="preserve"> </w:t>
            </w:r>
            <w:r w:rsidRPr="00E73F6F">
              <w:rPr>
                <w:lang w:val="de-DE"/>
              </w:rPr>
              <w:t>alle</w:t>
            </w:r>
            <w:r w:rsidRPr="00E73F6F">
              <w:rPr>
                <w:spacing w:val="-3"/>
                <w:lang w:val="de-DE"/>
              </w:rPr>
              <w:t xml:space="preserve"> </w:t>
            </w:r>
            <w:r w:rsidRPr="00E73F6F">
              <w:rPr>
                <w:lang w:val="de-DE"/>
              </w:rPr>
              <w:t>Gesellschaften</w:t>
            </w:r>
            <w:r w:rsidRPr="00E73F6F">
              <w:rPr>
                <w:spacing w:val="-3"/>
                <w:lang w:val="de-DE"/>
              </w:rPr>
              <w:t xml:space="preserve"> </w:t>
            </w:r>
            <w:r w:rsidRPr="00E73F6F">
              <w:rPr>
                <w:lang w:val="de-DE"/>
              </w:rPr>
              <w:t>multi-kulturell.</w:t>
            </w:r>
            <w:r w:rsidRPr="00E73F6F">
              <w:rPr>
                <w:spacing w:val="-3"/>
                <w:lang w:val="de-DE"/>
              </w:rPr>
              <w:t xml:space="preserve"> </w:t>
            </w:r>
            <w:r w:rsidRPr="00E73F6F">
              <w:rPr>
                <w:lang w:val="de-DE"/>
              </w:rPr>
              <w:t>So</w:t>
            </w:r>
            <w:r w:rsidRPr="00E73F6F">
              <w:rPr>
                <w:spacing w:val="-3"/>
                <w:lang w:val="de-DE"/>
              </w:rPr>
              <w:t xml:space="preserve"> </w:t>
            </w:r>
            <w:r w:rsidRPr="00E73F6F">
              <w:rPr>
                <w:lang w:val="de-DE"/>
              </w:rPr>
              <w:t>ist</w:t>
            </w:r>
            <w:r w:rsidRPr="00E73F6F">
              <w:rPr>
                <w:spacing w:val="-3"/>
                <w:lang w:val="de-DE"/>
              </w:rPr>
              <w:t xml:space="preserve"> </w:t>
            </w:r>
            <w:r w:rsidRPr="00E73F6F">
              <w:rPr>
                <w:lang w:val="de-DE"/>
              </w:rPr>
              <w:t>etwa</w:t>
            </w:r>
            <w:r w:rsidRPr="00E73F6F">
              <w:rPr>
                <w:spacing w:val="40"/>
                <w:lang w:val="de-DE"/>
              </w:rPr>
              <w:t xml:space="preserve"> </w:t>
            </w:r>
            <w:r w:rsidRPr="00E73F6F">
              <w:rPr>
                <w:lang w:val="de-DE"/>
              </w:rPr>
              <w:t>die</w:t>
            </w:r>
            <w:r w:rsidRPr="00E73F6F">
              <w:rPr>
                <w:spacing w:val="-9"/>
                <w:lang w:val="de-DE"/>
              </w:rPr>
              <w:t xml:space="preserve"> </w:t>
            </w:r>
            <w:r w:rsidRPr="00E73F6F">
              <w:rPr>
                <w:lang w:val="de-DE"/>
              </w:rPr>
              <w:t>japanische</w:t>
            </w:r>
            <w:r w:rsidRPr="00E73F6F">
              <w:rPr>
                <w:spacing w:val="-8"/>
                <w:lang w:val="de-DE"/>
              </w:rPr>
              <w:t xml:space="preserve"> </w:t>
            </w:r>
            <w:r w:rsidRPr="00E73F6F">
              <w:rPr>
                <w:lang w:val="de-DE"/>
              </w:rPr>
              <w:t>Kultur,</w:t>
            </w:r>
            <w:r w:rsidRPr="00E73F6F">
              <w:rPr>
                <w:spacing w:val="-8"/>
                <w:lang w:val="de-DE"/>
              </w:rPr>
              <w:t xml:space="preserve"> </w:t>
            </w:r>
            <w:r w:rsidRPr="00E73F6F">
              <w:rPr>
                <w:lang w:val="de-DE"/>
              </w:rPr>
              <w:t>die</w:t>
            </w:r>
            <w:r w:rsidRPr="00E73F6F">
              <w:rPr>
                <w:spacing w:val="-8"/>
                <w:lang w:val="de-DE"/>
              </w:rPr>
              <w:t xml:space="preserve"> </w:t>
            </w:r>
            <w:r w:rsidRPr="00E73F6F">
              <w:rPr>
                <w:lang w:val="de-DE"/>
              </w:rPr>
              <w:t>häufig</w:t>
            </w:r>
            <w:r w:rsidRPr="00E73F6F">
              <w:rPr>
                <w:spacing w:val="-8"/>
                <w:lang w:val="de-DE"/>
              </w:rPr>
              <w:t xml:space="preserve"> </w:t>
            </w:r>
            <w:r w:rsidRPr="00E73F6F">
              <w:rPr>
                <w:lang w:val="de-DE"/>
              </w:rPr>
              <w:t>als</w:t>
            </w:r>
            <w:r w:rsidRPr="00E73F6F">
              <w:rPr>
                <w:spacing w:val="-9"/>
                <w:lang w:val="de-DE"/>
              </w:rPr>
              <w:t xml:space="preserve"> </w:t>
            </w:r>
            <w:r w:rsidRPr="00E73F6F">
              <w:rPr>
                <w:lang w:val="de-DE"/>
              </w:rPr>
              <w:t>Beispiel</w:t>
            </w:r>
            <w:r w:rsidRPr="00E73F6F">
              <w:rPr>
                <w:spacing w:val="-8"/>
                <w:lang w:val="de-DE"/>
              </w:rPr>
              <w:t xml:space="preserve"> </w:t>
            </w:r>
            <w:r w:rsidRPr="00E73F6F">
              <w:rPr>
                <w:lang w:val="de-DE"/>
              </w:rPr>
              <w:t>für</w:t>
            </w:r>
            <w:r w:rsidRPr="00E73F6F">
              <w:rPr>
                <w:spacing w:val="-10"/>
                <w:lang w:val="de-DE"/>
              </w:rPr>
              <w:t xml:space="preserve"> </w:t>
            </w:r>
            <w:r w:rsidRPr="00E73F6F">
              <w:rPr>
                <w:lang w:val="de-DE"/>
              </w:rPr>
              <w:t>eine</w:t>
            </w:r>
            <w:r w:rsidRPr="00E73F6F">
              <w:rPr>
                <w:spacing w:val="-8"/>
                <w:lang w:val="de-DE"/>
              </w:rPr>
              <w:t xml:space="preserve"> </w:t>
            </w:r>
            <w:r w:rsidRPr="00E73F6F">
              <w:rPr>
                <w:lang w:val="de-DE"/>
              </w:rPr>
              <w:t>in</w:t>
            </w:r>
            <w:r w:rsidRPr="00E73F6F">
              <w:rPr>
                <w:spacing w:val="-8"/>
                <w:lang w:val="de-DE"/>
              </w:rPr>
              <w:t xml:space="preserve"> </w:t>
            </w:r>
            <w:r w:rsidRPr="00E73F6F">
              <w:rPr>
                <w:lang w:val="de-DE"/>
              </w:rPr>
              <w:t>sich</w:t>
            </w:r>
            <w:r w:rsidRPr="00E73F6F">
              <w:rPr>
                <w:spacing w:val="-8"/>
                <w:lang w:val="de-DE"/>
              </w:rPr>
              <w:t xml:space="preserve"> </w:t>
            </w:r>
            <w:r w:rsidRPr="00E73F6F">
              <w:rPr>
                <w:lang w:val="de-DE"/>
              </w:rPr>
              <w:t>ruhende,</w:t>
            </w:r>
            <w:r w:rsidRPr="00E73F6F">
              <w:rPr>
                <w:spacing w:val="-6"/>
                <w:lang w:val="de-DE"/>
              </w:rPr>
              <w:t xml:space="preserve"> </w:t>
            </w:r>
            <w:r w:rsidRPr="00E73F6F">
              <w:rPr>
                <w:lang w:val="de-DE"/>
              </w:rPr>
              <w:t>reine</w:t>
            </w:r>
            <w:r w:rsidRPr="00E73F6F">
              <w:rPr>
                <w:spacing w:val="-10"/>
                <w:lang w:val="de-DE"/>
              </w:rPr>
              <w:t xml:space="preserve"> </w:t>
            </w:r>
            <w:r w:rsidRPr="00E73F6F">
              <w:rPr>
                <w:lang w:val="de-DE"/>
              </w:rPr>
              <w:t>Nationalkultur</w:t>
            </w:r>
            <w:r w:rsidRPr="00E73F6F">
              <w:rPr>
                <w:spacing w:val="40"/>
                <w:lang w:val="de-DE"/>
              </w:rPr>
              <w:t xml:space="preserve"> </w:t>
            </w:r>
            <w:r w:rsidRPr="00E73F6F">
              <w:rPr>
                <w:lang w:val="de-DE"/>
              </w:rPr>
              <w:t>angeführt wird, zutiefst durch chinesische, indische und westliche Überlieferungen</w:t>
            </w:r>
            <w:r w:rsidRPr="00E73F6F">
              <w:rPr>
                <w:spacing w:val="40"/>
                <w:lang w:val="de-DE"/>
              </w:rPr>
              <w:t xml:space="preserve"> </w:t>
            </w:r>
            <w:r w:rsidRPr="00E73F6F">
              <w:rPr>
                <w:lang w:val="de-DE"/>
              </w:rPr>
              <w:t>geprägt</w:t>
            </w:r>
            <w:r w:rsidRPr="00E73F6F">
              <w:rPr>
                <w:spacing w:val="-7"/>
                <w:lang w:val="de-DE"/>
              </w:rPr>
              <w:t xml:space="preserve"> </w:t>
            </w:r>
            <w:r w:rsidRPr="00E73F6F">
              <w:rPr>
                <w:lang w:val="de-DE"/>
              </w:rPr>
              <w:t>worden.</w:t>
            </w:r>
            <w:r w:rsidRPr="00E73F6F">
              <w:rPr>
                <w:spacing w:val="-7"/>
                <w:lang w:val="de-DE"/>
              </w:rPr>
              <w:t xml:space="preserve"> </w:t>
            </w:r>
            <w:r w:rsidRPr="00E73F6F">
              <w:rPr>
                <w:lang w:val="de-DE"/>
              </w:rPr>
              <w:t>Aus</w:t>
            </w:r>
            <w:r w:rsidRPr="00E73F6F">
              <w:rPr>
                <w:spacing w:val="-9"/>
                <w:lang w:val="de-DE"/>
              </w:rPr>
              <w:t xml:space="preserve"> </w:t>
            </w:r>
            <w:r w:rsidRPr="00E73F6F">
              <w:rPr>
                <w:lang w:val="de-DE"/>
              </w:rPr>
              <w:t>China</w:t>
            </w:r>
            <w:r w:rsidRPr="00E73F6F">
              <w:rPr>
                <w:spacing w:val="-7"/>
                <w:lang w:val="de-DE"/>
              </w:rPr>
              <w:t xml:space="preserve"> </w:t>
            </w:r>
            <w:r w:rsidRPr="00E73F6F">
              <w:rPr>
                <w:lang w:val="de-DE"/>
              </w:rPr>
              <w:t>wurden</w:t>
            </w:r>
            <w:r w:rsidRPr="00E73F6F">
              <w:rPr>
                <w:spacing w:val="-8"/>
                <w:lang w:val="de-DE"/>
              </w:rPr>
              <w:t xml:space="preserve"> </w:t>
            </w:r>
            <w:r w:rsidRPr="00E73F6F">
              <w:rPr>
                <w:lang w:val="de-DE"/>
              </w:rPr>
              <w:t>die</w:t>
            </w:r>
            <w:r w:rsidRPr="00E73F6F">
              <w:rPr>
                <w:spacing w:val="-7"/>
                <w:lang w:val="de-DE"/>
              </w:rPr>
              <w:t xml:space="preserve"> </w:t>
            </w:r>
            <w:r w:rsidRPr="00E73F6F">
              <w:rPr>
                <w:lang w:val="de-DE"/>
              </w:rPr>
              <w:t>Schrift-</w:t>
            </w:r>
            <w:r w:rsidRPr="00E73F6F">
              <w:rPr>
                <w:spacing w:val="-10"/>
                <w:lang w:val="de-DE"/>
              </w:rPr>
              <w:t xml:space="preserve"> </w:t>
            </w:r>
            <w:r w:rsidRPr="00E73F6F">
              <w:rPr>
                <w:lang w:val="de-DE"/>
              </w:rPr>
              <w:t>und</w:t>
            </w:r>
            <w:r w:rsidRPr="00E73F6F">
              <w:rPr>
                <w:spacing w:val="-10"/>
                <w:lang w:val="de-DE"/>
              </w:rPr>
              <w:t xml:space="preserve"> </w:t>
            </w:r>
            <w:r w:rsidRPr="00E73F6F">
              <w:rPr>
                <w:lang w:val="de-DE"/>
              </w:rPr>
              <w:t>die</w:t>
            </w:r>
            <w:r w:rsidRPr="00E73F6F">
              <w:rPr>
                <w:spacing w:val="-10"/>
                <w:lang w:val="de-DE"/>
              </w:rPr>
              <w:t xml:space="preserve"> </w:t>
            </w:r>
            <w:r w:rsidRPr="00E73F6F">
              <w:rPr>
                <w:lang w:val="de-DE"/>
              </w:rPr>
              <w:t>Kunsttechniken</w:t>
            </w:r>
            <w:r w:rsidRPr="00E73F6F">
              <w:rPr>
                <w:spacing w:val="-8"/>
                <w:lang w:val="de-DE"/>
              </w:rPr>
              <w:t xml:space="preserve"> </w:t>
            </w:r>
            <w:r w:rsidRPr="00E73F6F">
              <w:rPr>
                <w:lang w:val="de-DE"/>
              </w:rPr>
              <w:t>übernommen,</w:t>
            </w:r>
            <w:r w:rsidRPr="00E73F6F">
              <w:rPr>
                <w:spacing w:val="-8"/>
                <w:lang w:val="de-DE"/>
              </w:rPr>
              <w:t xml:space="preserve"> </w:t>
            </w:r>
            <w:r w:rsidRPr="00E73F6F">
              <w:rPr>
                <w:lang w:val="de-DE"/>
              </w:rPr>
              <w:t>aus</w:t>
            </w:r>
            <w:r w:rsidRPr="00E73F6F">
              <w:rPr>
                <w:spacing w:val="40"/>
                <w:lang w:val="de-DE"/>
              </w:rPr>
              <w:t xml:space="preserve"> </w:t>
            </w:r>
            <w:r w:rsidRPr="00E73F6F">
              <w:rPr>
                <w:lang w:val="de-DE"/>
              </w:rPr>
              <w:t>Indien</w:t>
            </w:r>
            <w:r w:rsidRPr="00E73F6F">
              <w:rPr>
                <w:spacing w:val="37"/>
                <w:lang w:val="de-DE"/>
              </w:rPr>
              <w:t xml:space="preserve"> </w:t>
            </w:r>
            <w:r w:rsidRPr="00E73F6F">
              <w:rPr>
                <w:lang w:val="de-DE"/>
              </w:rPr>
              <w:t>über</w:t>
            </w:r>
            <w:r w:rsidRPr="00E73F6F">
              <w:rPr>
                <w:spacing w:val="36"/>
                <w:lang w:val="de-DE"/>
              </w:rPr>
              <w:t xml:space="preserve"> </w:t>
            </w:r>
            <w:r w:rsidRPr="00E73F6F">
              <w:rPr>
                <w:lang w:val="de-DE"/>
              </w:rPr>
              <w:t>China</w:t>
            </w:r>
            <w:r w:rsidRPr="00E73F6F">
              <w:rPr>
                <w:spacing w:val="36"/>
                <w:lang w:val="de-DE"/>
              </w:rPr>
              <w:t xml:space="preserve"> </w:t>
            </w:r>
            <w:r w:rsidRPr="00E73F6F">
              <w:rPr>
                <w:lang w:val="de-DE"/>
              </w:rPr>
              <w:t>und</w:t>
            </w:r>
            <w:r w:rsidRPr="00E73F6F">
              <w:rPr>
                <w:spacing w:val="37"/>
                <w:lang w:val="de-DE"/>
              </w:rPr>
              <w:t xml:space="preserve"> </w:t>
            </w:r>
            <w:r w:rsidRPr="00E73F6F">
              <w:rPr>
                <w:lang w:val="de-DE"/>
              </w:rPr>
              <w:t>Korea</w:t>
            </w:r>
            <w:r w:rsidRPr="00E73F6F">
              <w:rPr>
                <w:spacing w:val="36"/>
                <w:lang w:val="de-DE"/>
              </w:rPr>
              <w:t xml:space="preserve"> </w:t>
            </w:r>
            <w:r w:rsidRPr="00E73F6F">
              <w:rPr>
                <w:lang w:val="de-DE"/>
              </w:rPr>
              <w:t>der</w:t>
            </w:r>
            <w:r w:rsidRPr="00E73F6F">
              <w:rPr>
                <w:spacing w:val="36"/>
                <w:lang w:val="de-DE"/>
              </w:rPr>
              <w:t xml:space="preserve"> </w:t>
            </w:r>
            <w:r w:rsidRPr="00E73F6F">
              <w:rPr>
                <w:lang w:val="de-DE"/>
              </w:rPr>
              <w:t>Buddhismus</w:t>
            </w:r>
            <w:r w:rsidRPr="00E73F6F">
              <w:rPr>
                <w:spacing w:val="38"/>
                <w:lang w:val="de-DE"/>
              </w:rPr>
              <w:t xml:space="preserve"> </w:t>
            </w:r>
            <w:r w:rsidRPr="00E73F6F">
              <w:rPr>
                <w:lang w:val="de-DE"/>
              </w:rPr>
              <w:t>sowie</w:t>
            </w:r>
            <w:r w:rsidRPr="00E73F6F">
              <w:rPr>
                <w:spacing w:val="38"/>
                <w:lang w:val="de-DE"/>
              </w:rPr>
              <w:t xml:space="preserve"> </w:t>
            </w:r>
            <w:r w:rsidRPr="00E73F6F">
              <w:rPr>
                <w:lang w:val="de-DE"/>
              </w:rPr>
              <w:t>aus</w:t>
            </w:r>
            <w:r w:rsidRPr="00E73F6F">
              <w:rPr>
                <w:spacing w:val="36"/>
                <w:lang w:val="de-DE"/>
              </w:rPr>
              <w:t xml:space="preserve"> </w:t>
            </w:r>
            <w:r w:rsidRPr="00E73F6F">
              <w:rPr>
                <w:lang w:val="de-DE"/>
              </w:rPr>
              <w:t>Europa</w:t>
            </w:r>
            <w:r w:rsidRPr="00E73F6F">
              <w:rPr>
                <w:spacing w:val="36"/>
                <w:lang w:val="de-DE"/>
              </w:rPr>
              <w:t xml:space="preserve"> </w:t>
            </w:r>
            <w:r w:rsidRPr="00E73F6F">
              <w:rPr>
                <w:lang w:val="de-DE"/>
              </w:rPr>
              <w:t>und</w:t>
            </w:r>
            <w:r w:rsidRPr="00E73F6F">
              <w:rPr>
                <w:spacing w:val="37"/>
                <w:lang w:val="de-DE"/>
              </w:rPr>
              <w:t xml:space="preserve"> </w:t>
            </w:r>
            <w:r w:rsidRPr="00E73F6F">
              <w:rPr>
                <w:lang w:val="de-DE"/>
              </w:rPr>
              <w:t>Nordamerika</w:t>
            </w:r>
          </w:p>
          <w:p w14:paraId="3DE15413" w14:textId="77777777" w:rsidR="00FF7799" w:rsidRPr="00E73F6F" w:rsidRDefault="00FF7799" w:rsidP="00CA7CD6">
            <w:pPr>
              <w:pStyle w:val="Standardklein"/>
              <w:spacing w:after="120"/>
              <w:rPr>
                <w:lang w:val="de-DE"/>
              </w:rPr>
            </w:pPr>
            <w:r w:rsidRPr="00E73F6F">
              <w:rPr>
                <w:lang w:val="de-DE"/>
              </w:rPr>
              <w:t>Literatur,</w:t>
            </w:r>
            <w:r w:rsidRPr="00E73F6F">
              <w:rPr>
                <w:spacing w:val="-1"/>
                <w:lang w:val="de-DE"/>
              </w:rPr>
              <w:t xml:space="preserve"> </w:t>
            </w:r>
            <w:r w:rsidRPr="00E73F6F">
              <w:rPr>
                <w:lang w:val="de-DE"/>
              </w:rPr>
              <w:t>Philosophie,</w:t>
            </w:r>
            <w:r w:rsidRPr="00E73F6F">
              <w:rPr>
                <w:spacing w:val="-3"/>
                <w:lang w:val="de-DE"/>
              </w:rPr>
              <w:t xml:space="preserve"> </w:t>
            </w:r>
            <w:r w:rsidRPr="00E73F6F">
              <w:rPr>
                <w:lang w:val="de-DE"/>
              </w:rPr>
              <w:t>Kunst,</w:t>
            </w:r>
            <w:r w:rsidRPr="00E73F6F">
              <w:rPr>
                <w:spacing w:val="-1"/>
                <w:lang w:val="de-DE"/>
              </w:rPr>
              <w:t xml:space="preserve"> </w:t>
            </w:r>
            <w:r w:rsidRPr="00E73F6F">
              <w:rPr>
                <w:lang w:val="de-DE"/>
              </w:rPr>
              <w:t>moderne Wissenschaften und Technologie.</w:t>
            </w:r>
            <w:r w:rsidRPr="00E73F6F">
              <w:rPr>
                <w:spacing w:val="-1"/>
                <w:lang w:val="de-DE"/>
              </w:rPr>
              <w:t xml:space="preserve"> </w:t>
            </w:r>
            <w:r w:rsidRPr="00E73F6F">
              <w:rPr>
                <w:lang w:val="de-DE"/>
              </w:rPr>
              <w:t>In Europa</w:t>
            </w:r>
            <w:r w:rsidRPr="00E73F6F">
              <w:rPr>
                <w:spacing w:val="-1"/>
                <w:lang w:val="de-DE"/>
              </w:rPr>
              <w:t xml:space="preserve"> </w:t>
            </w:r>
            <w:r w:rsidRPr="00E73F6F">
              <w:rPr>
                <w:lang w:val="de-DE"/>
              </w:rPr>
              <w:t>kam</w:t>
            </w:r>
            <w:r w:rsidRPr="00E73F6F">
              <w:rPr>
                <w:spacing w:val="40"/>
                <w:lang w:val="de-DE"/>
              </w:rPr>
              <w:t xml:space="preserve"> </w:t>
            </w:r>
            <w:r w:rsidRPr="00E73F6F">
              <w:rPr>
                <w:lang w:val="de-DE"/>
              </w:rPr>
              <w:t>das</w:t>
            </w:r>
            <w:r w:rsidRPr="00E73F6F">
              <w:rPr>
                <w:spacing w:val="-12"/>
                <w:lang w:val="de-DE"/>
              </w:rPr>
              <w:t xml:space="preserve"> </w:t>
            </w:r>
            <w:r w:rsidRPr="00E73F6F">
              <w:rPr>
                <w:lang w:val="de-DE"/>
              </w:rPr>
              <w:t>Christentum</w:t>
            </w:r>
            <w:r w:rsidRPr="00E73F6F">
              <w:rPr>
                <w:spacing w:val="-12"/>
                <w:lang w:val="de-DE"/>
              </w:rPr>
              <w:t xml:space="preserve"> </w:t>
            </w:r>
            <w:r w:rsidRPr="00E73F6F">
              <w:rPr>
                <w:lang w:val="de-DE"/>
              </w:rPr>
              <w:t>aus</w:t>
            </w:r>
            <w:r w:rsidRPr="00E73F6F">
              <w:rPr>
                <w:spacing w:val="-12"/>
                <w:lang w:val="de-DE"/>
              </w:rPr>
              <w:t xml:space="preserve"> </w:t>
            </w:r>
            <w:r w:rsidRPr="00E73F6F">
              <w:rPr>
                <w:lang w:val="de-DE"/>
              </w:rPr>
              <w:t>den</w:t>
            </w:r>
            <w:r w:rsidRPr="00E73F6F">
              <w:rPr>
                <w:spacing w:val="-11"/>
                <w:lang w:val="de-DE"/>
              </w:rPr>
              <w:t xml:space="preserve"> </w:t>
            </w:r>
            <w:r w:rsidRPr="00E73F6F">
              <w:rPr>
                <w:lang w:val="de-DE"/>
              </w:rPr>
              <w:t>Kulturen</w:t>
            </w:r>
            <w:r w:rsidRPr="00E73F6F">
              <w:rPr>
                <w:spacing w:val="-10"/>
                <w:lang w:val="de-DE"/>
              </w:rPr>
              <w:t xml:space="preserve"> </w:t>
            </w:r>
            <w:r w:rsidRPr="00E73F6F">
              <w:rPr>
                <w:lang w:val="de-DE"/>
              </w:rPr>
              <w:t>des</w:t>
            </w:r>
            <w:r w:rsidRPr="00E73F6F">
              <w:rPr>
                <w:spacing w:val="-12"/>
                <w:lang w:val="de-DE"/>
              </w:rPr>
              <w:t xml:space="preserve"> </w:t>
            </w:r>
            <w:r w:rsidRPr="00E73F6F">
              <w:rPr>
                <w:lang w:val="de-DE"/>
              </w:rPr>
              <w:t>Nahen</w:t>
            </w:r>
            <w:r w:rsidRPr="00E73F6F">
              <w:rPr>
                <w:spacing w:val="-10"/>
                <w:lang w:val="de-DE"/>
              </w:rPr>
              <w:t xml:space="preserve"> </w:t>
            </w:r>
            <w:r w:rsidRPr="00E73F6F">
              <w:rPr>
                <w:lang w:val="de-DE"/>
              </w:rPr>
              <w:t>Ostens.</w:t>
            </w:r>
            <w:r w:rsidRPr="00E73F6F">
              <w:rPr>
                <w:spacing w:val="-11"/>
                <w:lang w:val="de-DE"/>
              </w:rPr>
              <w:t xml:space="preserve"> </w:t>
            </w:r>
            <w:r w:rsidRPr="00E73F6F">
              <w:rPr>
                <w:lang w:val="de-DE"/>
              </w:rPr>
              <w:t>Im</w:t>
            </w:r>
            <w:r w:rsidRPr="00E73F6F">
              <w:rPr>
                <w:spacing w:val="-10"/>
                <w:lang w:val="de-DE"/>
              </w:rPr>
              <w:t xml:space="preserve"> </w:t>
            </w:r>
            <w:r w:rsidRPr="00E73F6F">
              <w:rPr>
                <w:lang w:val="de-DE"/>
              </w:rPr>
              <w:t>Mittelalter</w:t>
            </w:r>
            <w:r w:rsidRPr="00E73F6F">
              <w:rPr>
                <w:spacing w:val="-13"/>
                <w:lang w:val="de-DE"/>
              </w:rPr>
              <w:t xml:space="preserve"> </w:t>
            </w:r>
            <w:r w:rsidRPr="00E73F6F">
              <w:rPr>
                <w:lang w:val="de-DE"/>
              </w:rPr>
              <w:t>und</w:t>
            </w:r>
            <w:r w:rsidRPr="00E73F6F">
              <w:rPr>
                <w:spacing w:val="-10"/>
                <w:lang w:val="de-DE"/>
              </w:rPr>
              <w:t xml:space="preserve"> </w:t>
            </w:r>
            <w:r w:rsidRPr="00E73F6F">
              <w:rPr>
                <w:lang w:val="de-DE"/>
              </w:rPr>
              <w:t>in</w:t>
            </w:r>
            <w:r w:rsidRPr="00E73F6F">
              <w:rPr>
                <w:spacing w:val="-11"/>
                <w:lang w:val="de-DE"/>
              </w:rPr>
              <w:t xml:space="preserve"> </w:t>
            </w:r>
            <w:r w:rsidRPr="00E73F6F">
              <w:rPr>
                <w:lang w:val="de-DE"/>
              </w:rPr>
              <w:t>der</w:t>
            </w:r>
            <w:r w:rsidRPr="00E73F6F">
              <w:rPr>
                <w:spacing w:val="-10"/>
                <w:lang w:val="de-DE"/>
              </w:rPr>
              <w:t xml:space="preserve"> </w:t>
            </w:r>
            <w:r w:rsidRPr="00E73F6F">
              <w:rPr>
                <w:lang w:val="de-DE"/>
              </w:rPr>
              <w:t>Renaissance erhielt</w:t>
            </w:r>
            <w:r w:rsidRPr="00E73F6F">
              <w:rPr>
                <w:spacing w:val="-3"/>
                <w:lang w:val="de-DE"/>
              </w:rPr>
              <w:t xml:space="preserve"> </w:t>
            </w:r>
            <w:r w:rsidRPr="00E73F6F">
              <w:rPr>
                <w:lang w:val="de-DE"/>
              </w:rPr>
              <w:t>die</w:t>
            </w:r>
            <w:r w:rsidRPr="00E73F6F">
              <w:rPr>
                <w:spacing w:val="-4"/>
                <w:lang w:val="de-DE"/>
              </w:rPr>
              <w:t xml:space="preserve"> </w:t>
            </w:r>
            <w:r w:rsidRPr="00E73F6F">
              <w:rPr>
                <w:lang w:val="de-DE"/>
              </w:rPr>
              <w:t>Kultur</w:t>
            </w:r>
            <w:r w:rsidRPr="00E73F6F">
              <w:rPr>
                <w:spacing w:val="-5"/>
                <w:lang w:val="de-DE"/>
              </w:rPr>
              <w:t xml:space="preserve"> </w:t>
            </w:r>
            <w:r w:rsidRPr="00E73F6F">
              <w:rPr>
                <w:lang w:val="de-DE"/>
              </w:rPr>
              <w:t>der</w:t>
            </w:r>
            <w:r w:rsidRPr="00E73F6F">
              <w:rPr>
                <w:spacing w:val="-5"/>
                <w:lang w:val="de-DE"/>
              </w:rPr>
              <w:t xml:space="preserve"> </w:t>
            </w:r>
            <w:r w:rsidRPr="00E73F6F">
              <w:rPr>
                <w:lang w:val="de-DE"/>
              </w:rPr>
              <w:t>europäischen</w:t>
            </w:r>
            <w:r w:rsidRPr="00E73F6F">
              <w:rPr>
                <w:spacing w:val="-3"/>
                <w:lang w:val="de-DE"/>
              </w:rPr>
              <w:t xml:space="preserve"> </w:t>
            </w:r>
            <w:r w:rsidRPr="00E73F6F">
              <w:rPr>
                <w:lang w:val="de-DE"/>
              </w:rPr>
              <w:t>Völker</w:t>
            </w:r>
            <w:r w:rsidRPr="00E73F6F">
              <w:rPr>
                <w:spacing w:val="-5"/>
                <w:lang w:val="de-DE"/>
              </w:rPr>
              <w:t xml:space="preserve"> </w:t>
            </w:r>
            <w:r w:rsidRPr="00E73F6F">
              <w:rPr>
                <w:lang w:val="de-DE"/>
              </w:rPr>
              <w:t>entscheidende</w:t>
            </w:r>
            <w:r w:rsidRPr="00E73F6F">
              <w:rPr>
                <w:spacing w:val="-4"/>
                <w:lang w:val="de-DE"/>
              </w:rPr>
              <w:t xml:space="preserve"> </w:t>
            </w:r>
            <w:r w:rsidRPr="00E73F6F">
              <w:rPr>
                <w:lang w:val="de-DE"/>
              </w:rPr>
              <w:t>Impulse</w:t>
            </w:r>
            <w:r w:rsidRPr="00E73F6F">
              <w:rPr>
                <w:spacing w:val="-4"/>
                <w:lang w:val="de-DE"/>
              </w:rPr>
              <w:t xml:space="preserve"> </w:t>
            </w:r>
            <w:r w:rsidRPr="00E73F6F">
              <w:rPr>
                <w:lang w:val="de-DE"/>
              </w:rPr>
              <w:t>aus</w:t>
            </w:r>
            <w:r w:rsidRPr="00E73F6F">
              <w:rPr>
                <w:spacing w:val="-4"/>
                <w:lang w:val="de-DE"/>
              </w:rPr>
              <w:t xml:space="preserve"> </w:t>
            </w:r>
            <w:r w:rsidRPr="00E73F6F">
              <w:rPr>
                <w:lang w:val="de-DE"/>
              </w:rPr>
              <w:t>der</w:t>
            </w:r>
            <w:r w:rsidRPr="00E73F6F">
              <w:rPr>
                <w:spacing w:val="-7"/>
                <w:lang w:val="de-DE"/>
              </w:rPr>
              <w:t xml:space="preserve"> </w:t>
            </w:r>
            <w:r w:rsidRPr="00E73F6F">
              <w:rPr>
                <w:lang w:val="de-DE"/>
              </w:rPr>
              <w:t>Begegnung</w:t>
            </w:r>
            <w:r w:rsidRPr="00E73F6F">
              <w:rPr>
                <w:spacing w:val="-3"/>
                <w:lang w:val="de-DE"/>
              </w:rPr>
              <w:t xml:space="preserve"> </w:t>
            </w:r>
            <w:r w:rsidRPr="00E73F6F">
              <w:rPr>
                <w:lang w:val="de-DE"/>
              </w:rPr>
              <w:t>mit</w:t>
            </w:r>
            <w:r w:rsidRPr="00E73F6F">
              <w:rPr>
                <w:spacing w:val="40"/>
                <w:lang w:val="de-DE"/>
              </w:rPr>
              <w:t xml:space="preserve"> </w:t>
            </w:r>
            <w:r w:rsidRPr="00E73F6F">
              <w:rPr>
                <w:lang w:val="de-DE"/>
              </w:rPr>
              <w:t>der</w:t>
            </w:r>
            <w:r w:rsidRPr="00E73F6F">
              <w:rPr>
                <w:spacing w:val="-10"/>
                <w:lang w:val="de-DE"/>
              </w:rPr>
              <w:t xml:space="preserve"> </w:t>
            </w:r>
            <w:r w:rsidRPr="00E73F6F">
              <w:rPr>
                <w:lang w:val="de-DE"/>
              </w:rPr>
              <w:t>Philosophie</w:t>
            </w:r>
            <w:r w:rsidRPr="00E73F6F">
              <w:rPr>
                <w:spacing w:val="-10"/>
                <w:lang w:val="de-DE"/>
              </w:rPr>
              <w:t xml:space="preserve"> </w:t>
            </w:r>
            <w:r w:rsidRPr="00E73F6F">
              <w:rPr>
                <w:lang w:val="de-DE"/>
              </w:rPr>
              <w:t>und</w:t>
            </w:r>
            <w:r w:rsidRPr="00E73F6F">
              <w:rPr>
                <w:spacing w:val="-10"/>
                <w:lang w:val="de-DE"/>
              </w:rPr>
              <w:t xml:space="preserve"> </w:t>
            </w:r>
            <w:r w:rsidRPr="00E73F6F">
              <w:rPr>
                <w:lang w:val="de-DE"/>
              </w:rPr>
              <w:t>Literatur</w:t>
            </w:r>
            <w:r w:rsidRPr="00E73F6F">
              <w:rPr>
                <w:spacing w:val="-10"/>
                <w:lang w:val="de-DE"/>
              </w:rPr>
              <w:t xml:space="preserve"> </w:t>
            </w:r>
            <w:r w:rsidRPr="00E73F6F">
              <w:rPr>
                <w:lang w:val="de-DE"/>
              </w:rPr>
              <w:t>der</w:t>
            </w:r>
            <w:r w:rsidRPr="00E73F6F">
              <w:rPr>
                <w:spacing w:val="-10"/>
                <w:lang w:val="de-DE"/>
              </w:rPr>
              <w:t xml:space="preserve"> </w:t>
            </w:r>
            <w:r w:rsidRPr="00E73F6F">
              <w:rPr>
                <w:lang w:val="de-DE"/>
              </w:rPr>
              <w:t>griechisch-römischen</w:t>
            </w:r>
            <w:r w:rsidRPr="00E73F6F">
              <w:rPr>
                <w:spacing w:val="-10"/>
                <w:lang w:val="de-DE"/>
              </w:rPr>
              <w:t xml:space="preserve"> </w:t>
            </w:r>
            <w:r w:rsidRPr="00E73F6F">
              <w:rPr>
                <w:lang w:val="de-DE"/>
              </w:rPr>
              <w:t>Antike.</w:t>
            </w:r>
            <w:r w:rsidRPr="00E73F6F">
              <w:rPr>
                <w:spacing w:val="-10"/>
                <w:lang w:val="de-DE"/>
              </w:rPr>
              <w:t xml:space="preserve"> </w:t>
            </w:r>
            <w:r w:rsidRPr="00E73F6F">
              <w:rPr>
                <w:lang w:val="de-DE"/>
              </w:rPr>
              <w:t>Vom</w:t>
            </w:r>
            <w:r w:rsidRPr="00E73F6F">
              <w:rPr>
                <w:spacing w:val="-10"/>
                <w:lang w:val="de-DE"/>
              </w:rPr>
              <w:t xml:space="preserve"> </w:t>
            </w:r>
            <w:r w:rsidRPr="00E73F6F">
              <w:rPr>
                <w:lang w:val="de-DE"/>
              </w:rPr>
              <w:t>Geist</w:t>
            </w:r>
            <w:r w:rsidRPr="00E73F6F">
              <w:rPr>
                <w:spacing w:val="-10"/>
                <w:lang w:val="de-DE"/>
              </w:rPr>
              <w:t xml:space="preserve"> </w:t>
            </w:r>
            <w:r w:rsidRPr="00E73F6F">
              <w:rPr>
                <w:lang w:val="de-DE"/>
              </w:rPr>
              <w:t>der</w:t>
            </w:r>
            <w:r w:rsidRPr="00E73F6F">
              <w:rPr>
                <w:spacing w:val="-10"/>
                <w:lang w:val="de-DE"/>
              </w:rPr>
              <w:t xml:space="preserve"> </w:t>
            </w:r>
            <w:r w:rsidRPr="00E73F6F">
              <w:rPr>
                <w:lang w:val="de-DE"/>
              </w:rPr>
              <w:t>Antike</w:t>
            </w:r>
            <w:r w:rsidRPr="00E73F6F">
              <w:rPr>
                <w:spacing w:val="-10"/>
                <w:lang w:val="de-DE"/>
              </w:rPr>
              <w:t xml:space="preserve"> </w:t>
            </w:r>
            <w:r w:rsidRPr="00E73F6F">
              <w:rPr>
                <w:lang w:val="de-DE"/>
              </w:rPr>
              <w:t>sind</w:t>
            </w:r>
            <w:r w:rsidRPr="00E73F6F">
              <w:rPr>
                <w:spacing w:val="40"/>
                <w:lang w:val="de-DE"/>
              </w:rPr>
              <w:t xml:space="preserve"> </w:t>
            </w:r>
            <w:r w:rsidRPr="00E73F6F">
              <w:rPr>
                <w:lang w:val="de-DE"/>
              </w:rPr>
              <w:t>der deutsche Idealismus, die deutsche Klassik und Romantik geprägt worden. Große</w:t>
            </w:r>
            <w:r w:rsidRPr="00E73F6F">
              <w:rPr>
                <w:spacing w:val="40"/>
                <w:lang w:val="de-DE"/>
              </w:rPr>
              <w:t xml:space="preserve"> </w:t>
            </w:r>
            <w:r w:rsidRPr="00E73F6F">
              <w:rPr>
                <w:lang w:val="de-DE"/>
              </w:rPr>
              <w:t>Werke der Weltliteratur wurden ins Deutsche übersetzt. Die Forderung nach einer unter</w:t>
            </w:r>
            <w:r w:rsidRPr="00E73F6F">
              <w:rPr>
                <w:spacing w:val="40"/>
                <w:lang w:val="de-DE"/>
              </w:rPr>
              <w:t xml:space="preserve"> </w:t>
            </w:r>
            <w:r w:rsidRPr="00E73F6F">
              <w:rPr>
                <w:lang w:val="de-DE"/>
              </w:rPr>
              <w:t>nationalen Kriterien gesäuberten Kultur zu</w:t>
            </w:r>
            <w:r w:rsidR="004048E7">
              <w:rPr>
                <w:lang w:val="de-DE"/>
              </w:rPr>
              <w:t xml:space="preserve"> erfüllen hätte skurrile Folgen</w:t>
            </w:r>
            <w:r w:rsidRPr="00E73F6F">
              <w:rPr>
                <w:lang w:val="de-DE"/>
              </w:rPr>
              <w:t xml:space="preserve">“ </w:t>
            </w:r>
            <w:r w:rsidR="00126243">
              <w:rPr>
                <w:lang w:val="de-DE"/>
              </w:rPr>
              <w:t>(</w:t>
            </w:r>
            <w:r w:rsidRPr="00E73F6F">
              <w:rPr>
                <w:lang w:val="de-DE"/>
              </w:rPr>
              <w:t>Oberndörfer</w:t>
            </w:r>
            <w:r w:rsidRPr="00E73F6F">
              <w:rPr>
                <w:spacing w:val="-6"/>
                <w:lang w:val="de-DE"/>
              </w:rPr>
              <w:t xml:space="preserve"> </w:t>
            </w:r>
            <w:r w:rsidRPr="00E73F6F">
              <w:rPr>
                <w:lang w:val="de-DE"/>
              </w:rPr>
              <w:t>1996,</w:t>
            </w:r>
            <w:r w:rsidRPr="00E73F6F">
              <w:rPr>
                <w:spacing w:val="-3"/>
                <w:lang w:val="de-DE"/>
              </w:rPr>
              <w:t xml:space="preserve"> </w:t>
            </w:r>
            <w:r w:rsidRPr="00E73F6F">
              <w:rPr>
                <w:spacing w:val="-2"/>
                <w:lang w:val="de-DE"/>
              </w:rPr>
              <w:t>S.37)</w:t>
            </w:r>
            <w:r w:rsidR="004048E7">
              <w:rPr>
                <w:spacing w:val="-2"/>
                <w:lang w:val="de-DE"/>
              </w:rPr>
              <w:t>.</w:t>
            </w:r>
          </w:p>
        </w:tc>
      </w:tr>
    </w:tbl>
    <w:p w14:paraId="5DBCD0C9" w14:textId="77777777" w:rsidR="00FF7799" w:rsidRPr="00E73F6F" w:rsidRDefault="00FF7799" w:rsidP="005909AD">
      <w:pPr>
        <w:pStyle w:val="StandardTextkursiv"/>
      </w:pPr>
    </w:p>
    <w:p w14:paraId="2FA293F3" w14:textId="77777777" w:rsidR="00FF7799" w:rsidRPr="000B4618" w:rsidRDefault="00FF7799" w:rsidP="005909AD">
      <w:pPr>
        <w:pStyle w:val="StandardTextkursiv"/>
        <w:rPr>
          <w:iCs/>
        </w:rPr>
      </w:pPr>
      <w:r w:rsidRPr="000B4618">
        <w:rPr>
          <w:iCs/>
        </w:rPr>
        <w:t>Kulturelle</w:t>
      </w:r>
      <w:r w:rsidRPr="000B4618">
        <w:rPr>
          <w:iCs/>
          <w:spacing w:val="-12"/>
        </w:rPr>
        <w:t xml:space="preserve"> </w:t>
      </w:r>
      <w:r w:rsidRPr="000B4618">
        <w:rPr>
          <w:iCs/>
        </w:rPr>
        <w:t>Evolution</w:t>
      </w:r>
    </w:p>
    <w:p w14:paraId="0B129E75" w14:textId="77777777" w:rsidR="00FF7799" w:rsidRPr="004048E7" w:rsidRDefault="00FF7799" w:rsidP="00292C31">
      <w:pPr>
        <w:pStyle w:val="StandardText"/>
      </w:pPr>
      <w:r w:rsidRPr="004048E7">
        <w:t>Kulturen</w:t>
      </w:r>
      <w:r w:rsidRPr="004048E7">
        <w:rPr>
          <w:spacing w:val="-11"/>
        </w:rPr>
        <w:t xml:space="preserve"> </w:t>
      </w:r>
      <w:r w:rsidRPr="004048E7">
        <w:t>streben</w:t>
      </w:r>
      <w:r w:rsidRPr="004048E7">
        <w:rPr>
          <w:spacing w:val="-11"/>
        </w:rPr>
        <w:t xml:space="preserve"> </w:t>
      </w:r>
      <w:r w:rsidRPr="004048E7">
        <w:t>nicht</w:t>
      </w:r>
      <w:r w:rsidRPr="004048E7">
        <w:rPr>
          <w:spacing w:val="-12"/>
        </w:rPr>
        <w:t xml:space="preserve"> </w:t>
      </w:r>
      <w:r w:rsidRPr="004048E7">
        <w:t>nur</w:t>
      </w:r>
      <w:r w:rsidRPr="004048E7">
        <w:rPr>
          <w:spacing w:val="-11"/>
        </w:rPr>
        <w:t xml:space="preserve"> </w:t>
      </w:r>
      <w:r w:rsidRPr="004048E7">
        <w:t>nach</w:t>
      </w:r>
      <w:r w:rsidRPr="004048E7">
        <w:rPr>
          <w:spacing w:val="-11"/>
        </w:rPr>
        <w:t xml:space="preserve"> </w:t>
      </w:r>
      <w:r w:rsidRPr="004048E7">
        <w:t>interner</w:t>
      </w:r>
      <w:r w:rsidRPr="004048E7">
        <w:rPr>
          <w:spacing w:val="-11"/>
        </w:rPr>
        <w:t xml:space="preserve"> </w:t>
      </w:r>
      <w:r w:rsidRPr="004048E7">
        <w:t>Konsistenz,</w:t>
      </w:r>
      <w:r w:rsidRPr="004048E7">
        <w:rPr>
          <w:spacing w:val="-12"/>
        </w:rPr>
        <w:t xml:space="preserve"> </w:t>
      </w:r>
      <w:r w:rsidRPr="004048E7">
        <w:t>sondern auch nach Akkomodation an die</w:t>
      </w:r>
      <w:r w:rsidRPr="004048E7">
        <w:rPr>
          <w:spacing w:val="-2"/>
        </w:rPr>
        <w:t xml:space="preserve"> </w:t>
      </w:r>
      <w:r w:rsidRPr="004048E7">
        <w:t>sich verändernden äußeren Lebensbedingungen. Diese Funktion begründet die dynamische Komponente des Konzepts. So zwingt die</w:t>
      </w:r>
      <w:r w:rsidRPr="004048E7">
        <w:rPr>
          <w:spacing w:val="-9"/>
        </w:rPr>
        <w:t xml:space="preserve"> </w:t>
      </w:r>
      <w:r w:rsidRPr="004048E7">
        <w:t>dauerhafte</w:t>
      </w:r>
      <w:r w:rsidRPr="004048E7">
        <w:rPr>
          <w:spacing w:val="-9"/>
        </w:rPr>
        <w:t xml:space="preserve"> </w:t>
      </w:r>
      <w:r w:rsidRPr="004048E7">
        <w:t>Einwanderung</w:t>
      </w:r>
      <w:r w:rsidRPr="004048E7">
        <w:rPr>
          <w:spacing w:val="-10"/>
        </w:rPr>
        <w:t xml:space="preserve"> </w:t>
      </w:r>
      <w:r w:rsidRPr="004048E7">
        <w:t>der</w:t>
      </w:r>
      <w:r w:rsidRPr="004048E7">
        <w:rPr>
          <w:spacing w:val="-11"/>
        </w:rPr>
        <w:t xml:space="preserve"> </w:t>
      </w:r>
      <w:r w:rsidRPr="004048E7">
        <w:t>Gastarbeiter</w:t>
      </w:r>
      <w:r w:rsidRPr="004048E7">
        <w:rPr>
          <w:spacing w:val="-9"/>
        </w:rPr>
        <w:t xml:space="preserve"> </w:t>
      </w:r>
      <w:r w:rsidRPr="004048E7">
        <w:t>die</w:t>
      </w:r>
      <w:r w:rsidRPr="004048E7">
        <w:rPr>
          <w:spacing w:val="-12"/>
        </w:rPr>
        <w:t xml:space="preserve"> </w:t>
      </w:r>
      <w:r w:rsidRPr="004048E7">
        <w:t>deutsche</w:t>
      </w:r>
      <w:r w:rsidRPr="004048E7">
        <w:rPr>
          <w:spacing w:val="-8"/>
        </w:rPr>
        <w:t xml:space="preserve"> </w:t>
      </w:r>
      <w:r w:rsidRPr="004048E7">
        <w:t>Gesellschaft</w:t>
      </w:r>
      <w:r w:rsidRPr="004048E7">
        <w:rPr>
          <w:spacing w:val="-8"/>
        </w:rPr>
        <w:t xml:space="preserve"> </w:t>
      </w:r>
      <w:r w:rsidRPr="004048E7">
        <w:t>zu</w:t>
      </w:r>
      <w:r w:rsidRPr="004048E7">
        <w:rPr>
          <w:spacing w:val="-10"/>
        </w:rPr>
        <w:t xml:space="preserve"> </w:t>
      </w:r>
      <w:r w:rsidRPr="004048E7">
        <w:t>lernen, mit kultureller</w:t>
      </w:r>
      <w:r w:rsidRPr="004048E7">
        <w:rPr>
          <w:spacing w:val="-2"/>
        </w:rPr>
        <w:t xml:space="preserve"> </w:t>
      </w:r>
      <w:r w:rsidRPr="004048E7">
        <w:t>Vielfalt innerhalb</w:t>
      </w:r>
      <w:r w:rsidRPr="004048E7">
        <w:rPr>
          <w:spacing w:val="-1"/>
        </w:rPr>
        <w:t xml:space="preserve"> </w:t>
      </w:r>
      <w:r w:rsidRPr="004048E7">
        <w:t>der Landesgrenzen</w:t>
      </w:r>
      <w:r w:rsidRPr="004048E7">
        <w:rPr>
          <w:spacing w:val="-1"/>
        </w:rPr>
        <w:t xml:space="preserve"> </w:t>
      </w:r>
      <w:r w:rsidRPr="004048E7">
        <w:t>umzugehen.</w:t>
      </w:r>
      <w:r w:rsidRPr="004048E7">
        <w:rPr>
          <w:spacing w:val="-1"/>
        </w:rPr>
        <w:t xml:space="preserve"> </w:t>
      </w:r>
      <w:r w:rsidRPr="004048E7">
        <w:t>Meist verlaufen diese Veränderungsprozesse zwar stetig, aber nahezu unmerklich (z.B. in Gestalt des Wertewandels). Daher spricht man auch von kultureller Evolution.</w:t>
      </w:r>
    </w:p>
    <w:p w14:paraId="6455A56D" w14:textId="77777777" w:rsidR="00FF7799" w:rsidRPr="004048E7" w:rsidRDefault="00FF7799" w:rsidP="00292C31">
      <w:pPr>
        <w:pStyle w:val="StandardText"/>
      </w:pPr>
    </w:p>
    <w:p w14:paraId="44B825E8" w14:textId="77777777" w:rsidR="00FF7799" w:rsidRPr="000B4618" w:rsidRDefault="00FF7799" w:rsidP="005909AD">
      <w:pPr>
        <w:pStyle w:val="StandardTextkursiv"/>
        <w:rPr>
          <w:iCs/>
        </w:rPr>
      </w:pPr>
      <w:r w:rsidRPr="000B4618">
        <w:rPr>
          <w:iCs/>
        </w:rPr>
        <w:t>Kulturwandel</w:t>
      </w:r>
    </w:p>
    <w:p w14:paraId="679310EB" w14:textId="77777777" w:rsidR="00FF7799" w:rsidRPr="004048E7" w:rsidRDefault="00FF7799" w:rsidP="00292C31">
      <w:pPr>
        <w:pStyle w:val="StandardText"/>
      </w:pPr>
      <w:r w:rsidRPr="004048E7">
        <w:t>Bisweilen ist die Umweltvariabilität allerdings so groß, dass allmähliche Anpassung nicht mehr genügt (wie unter dem Einfluss der Globalisierung). Dann sorgt das Phänomen des Kulturwandels dafür, dass Kulturen dem Selektionsdruck widerstehen und überleben (z.B. im Arbeitsleben durch Aufgabe des Ideals lebenslanger Beschäftigung).</w:t>
      </w:r>
    </w:p>
    <w:p w14:paraId="0FFCE6D5" w14:textId="77777777" w:rsidR="00FF7799" w:rsidRPr="004048E7" w:rsidRDefault="00FF7799" w:rsidP="00292C31">
      <w:pPr>
        <w:pStyle w:val="StandardText"/>
      </w:pPr>
    </w:p>
    <w:p w14:paraId="74303C96" w14:textId="77777777" w:rsidR="00FF7799" w:rsidRPr="004048E7" w:rsidRDefault="00FF7799" w:rsidP="00292C31">
      <w:pPr>
        <w:pStyle w:val="StandardTextkursiv"/>
        <w:rPr>
          <w:i w:val="0"/>
        </w:rPr>
      </w:pPr>
      <w:r w:rsidRPr="004048E7">
        <w:rPr>
          <w:i w:val="0"/>
        </w:rPr>
        <w:t>4.4 Realitätskonstruktion</w:t>
      </w:r>
    </w:p>
    <w:p w14:paraId="79914412" w14:textId="3368E7B2" w:rsidR="00FF7799" w:rsidRPr="00E73F6F" w:rsidRDefault="00FF7799" w:rsidP="00292C31">
      <w:pPr>
        <w:pStyle w:val="StandardText"/>
      </w:pPr>
      <w:r w:rsidRPr="004048E7">
        <w:t>Kulturanthropologen definieren Kultur zwar relativ</w:t>
      </w:r>
      <w:r w:rsidRPr="00E73F6F">
        <w:t xml:space="preserve"> abstrakt, aber übereinstimmend als die von den Mitgliedern einer Gesellschaft geteilten Standards des Wahrnehmens, Glaubens, Bewertens </w:t>
      </w:r>
      <w:r w:rsidRPr="00E73F6F">
        <w:lastRenderedPageBreak/>
        <w:t>und Handelns (vgl. Goodenough</w:t>
      </w:r>
      <w:r w:rsidRPr="00E73F6F">
        <w:rPr>
          <w:spacing w:val="-12"/>
        </w:rPr>
        <w:t xml:space="preserve"> </w:t>
      </w:r>
      <w:r w:rsidRPr="00E73F6F">
        <w:t>1957,</w:t>
      </w:r>
      <w:r w:rsidRPr="00E73F6F">
        <w:rPr>
          <w:spacing w:val="-11"/>
        </w:rPr>
        <w:t xml:space="preserve"> </w:t>
      </w:r>
      <w:r w:rsidRPr="00E73F6F">
        <w:t>S.60):</w:t>
      </w:r>
      <w:r w:rsidRPr="00E73F6F">
        <w:rPr>
          <w:spacing w:val="-11"/>
        </w:rPr>
        <w:t xml:space="preserve"> </w:t>
      </w:r>
      <w:r w:rsidRPr="00E73F6F">
        <w:t>d.h.</w:t>
      </w:r>
      <w:r w:rsidRPr="00E73F6F">
        <w:rPr>
          <w:spacing w:val="-11"/>
        </w:rPr>
        <w:t xml:space="preserve"> </w:t>
      </w:r>
      <w:r w:rsidRPr="00E73F6F">
        <w:t>als</w:t>
      </w:r>
      <w:r w:rsidRPr="00E73F6F">
        <w:rPr>
          <w:spacing w:val="-12"/>
        </w:rPr>
        <w:t xml:space="preserve"> </w:t>
      </w:r>
      <w:r w:rsidRPr="00E73F6F">
        <w:t>gleichsinnige</w:t>
      </w:r>
      <w:r w:rsidRPr="00E73F6F">
        <w:rPr>
          <w:spacing w:val="-11"/>
        </w:rPr>
        <w:t xml:space="preserve"> </w:t>
      </w:r>
      <w:r w:rsidRPr="00E73F6F">
        <w:t>Realitätskonstruktion.</w:t>
      </w:r>
      <w:r w:rsidRPr="00E73F6F">
        <w:rPr>
          <w:spacing w:val="-11"/>
        </w:rPr>
        <w:t xml:space="preserve"> </w:t>
      </w:r>
      <w:r w:rsidRPr="00E73F6F">
        <w:t>Im</w:t>
      </w:r>
      <w:r w:rsidRPr="00E73F6F">
        <w:rPr>
          <w:spacing w:val="-11"/>
        </w:rPr>
        <w:t xml:space="preserve"> </w:t>
      </w:r>
      <w:r w:rsidRPr="00E73F6F">
        <w:t>weiteren Verlauf der Diskussion über die daran primär beteiligten psychischen Prozesse wurden allerdings jeweils andere</w:t>
      </w:r>
      <w:r w:rsidRPr="00E73F6F">
        <w:rPr>
          <w:spacing w:val="-1"/>
        </w:rPr>
        <w:t xml:space="preserve"> </w:t>
      </w:r>
      <w:r w:rsidRPr="00E73F6F">
        <w:t>Akzente gesetzt. Demnach teilen</w:t>
      </w:r>
      <w:r w:rsidRPr="00E73F6F">
        <w:rPr>
          <w:spacing w:val="-2"/>
        </w:rPr>
        <w:t xml:space="preserve"> </w:t>
      </w:r>
      <w:r w:rsidRPr="00E73F6F">
        <w:t>die Mitglieder einer Kultur vorrangig Art und Struktur</w:t>
      </w:r>
      <w:r w:rsidR="000B4618">
        <w:t xml:space="preserve"> …</w:t>
      </w:r>
    </w:p>
    <w:p w14:paraId="54ED50DD" w14:textId="77777777" w:rsidR="00FF7799" w:rsidRPr="00E73F6F" w:rsidRDefault="00FF7799" w:rsidP="000B4618">
      <w:pPr>
        <w:pStyle w:val="StandardTextAufzhlung"/>
        <w:ind w:left="426"/>
      </w:pPr>
      <w:r w:rsidRPr="00E73F6F">
        <w:t>des Wahrnehmens,</w:t>
      </w:r>
    </w:p>
    <w:p w14:paraId="2F43FE89" w14:textId="77777777" w:rsidR="00FF7799" w:rsidRPr="00E73F6F" w:rsidRDefault="00FF7799" w:rsidP="000B4618">
      <w:pPr>
        <w:pStyle w:val="StandardTextAufzhlung"/>
        <w:ind w:left="426"/>
      </w:pPr>
      <w:r w:rsidRPr="00E73F6F">
        <w:t>der</w:t>
      </w:r>
      <w:r w:rsidRPr="00E73F6F">
        <w:rPr>
          <w:spacing w:val="-1"/>
        </w:rPr>
        <w:t xml:space="preserve"> </w:t>
      </w:r>
      <w:r w:rsidRPr="00E73F6F">
        <w:t>sozialen Normen,</w:t>
      </w:r>
    </w:p>
    <w:p w14:paraId="5E8895D9" w14:textId="77777777" w:rsidR="00FF7799" w:rsidRPr="00E73F6F" w:rsidRDefault="00FF7799" w:rsidP="000B4618">
      <w:pPr>
        <w:pStyle w:val="StandardTextAufzhlung"/>
        <w:ind w:left="426"/>
      </w:pPr>
      <w:r w:rsidRPr="00E73F6F">
        <w:t>der</w:t>
      </w:r>
      <w:r w:rsidRPr="00E73F6F">
        <w:rPr>
          <w:spacing w:val="-3"/>
        </w:rPr>
        <w:t xml:space="preserve"> </w:t>
      </w:r>
      <w:r w:rsidRPr="00E73F6F">
        <w:t>kognitiven</w:t>
      </w:r>
      <w:r w:rsidRPr="00E73F6F">
        <w:rPr>
          <w:spacing w:val="-1"/>
        </w:rPr>
        <w:t xml:space="preserve"> </w:t>
      </w:r>
      <w:r w:rsidRPr="00E73F6F">
        <w:t>Schemata,</w:t>
      </w:r>
    </w:p>
    <w:p w14:paraId="38E99BFF" w14:textId="77777777" w:rsidR="00FF7799" w:rsidRPr="00E73F6F" w:rsidRDefault="00FF7799" w:rsidP="000B4618">
      <w:pPr>
        <w:pStyle w:val="StandardTextAufzhlung"/>
        <w:ind w:left="426"/>
      </w:pPr>
      <w:r w:rsidRPr="00E73F6F">
        <w:t>des Denkens,</w:t>
      </w:r>
    </w:p>
    <w:p w14:paraId="75124A45" w14:textId="77777777" w:rsidR="00FF7799" w:rsidRPr="00E73F6F" w:rsidRDefault="00FF7799" w:rsidP="000B4618">
      <w:pPr>
        <w:pStyle w:val="StandardTextAufzhlung"/>
        <w:ind w:left="426"/>
      </w:pPr>
      <w:r w:rsidRPr="00E73F6F">
        <w:t>des</w:t>
      </w:r>
      <w:r w:rsidRPr="00E73F6F">
        <w:rPr>
          <w:spacing w:val="-3"/>
        </w:rPr>
        <w:t xml:space="preserve"> </w:t>
      </w:r>
      <w:r w:rsidRPr="00E73F6F">
        <w:t xml:space="preserve">Fühlens </w:t>
      </w:r>
      <w:r w:rsidRPr="00E73F6F">
        <w:rPr>
          <w:spacing w:val="-5"/>
        </w:rPr>
        <w:t>und</w:t>
      </w:r>
    </w:p>
    <w:p w14:paraId="59B82197" w14:textId="77777777" w:rsidR="00FF7799" w:rsidRPr="00E73F6F" w:rsidRDefault="00FF7799" w:rsidP="000B4618">
      <w:pPr>
        <w:pStyle w:val="StandardTextAufzhlung"/>
        <w:ind w:left="426"/>
      </w:pPr>
      <w:r w:rsidRPr="00E73F6F">
        <w:t>des Verhaltens.</w:t>
      </w:r>
    </w:p>
    <w:p w14:paraId="07ED86AF" w14:textId="77777777" w:rsidR="00FF7799" w:rsidRPr="00E73F6F" w:rsidRDefault="00FF7799" w:rsidP="00292C31">
      <w:pPr>
        <w:pStyle w:val="StandardText"/>
      </w:pPr>
      <w:r w:rsidRPr="00E73F6F">
        <w:t>Manche Wissenschaftler begreifen Kultur als Summe der Vorstellungen über Menschen und soziale Gruppen sowie deren Beziehungen. Diese „gedanklichen Gemeinsamkeiten“ (Schuh 1997, S.77) bilden ein System von Wissen und gelernten Standards, welches das Verhalten von Individuen und Organisation in nahezu jeder Hinsicht prägt bzw. beeinflusst: Wahrnehmungen, Überzeugungen, Bewertungen und Verhalten. Stellvertretend fü</w:t>
      </w:r>
      <w:r w:rsidR="00DF5332">
        <w:t>r diese Richtung deutet Simmet-</w:t>
      </w:r>
      <w:r w:rsidRPr="00E73F6F">
        <w:t>Blomberg (1998, S.78ff.) Kultur nicht als Umweltfaktor, welcher der ökonomischen,</w:t>
      </w:r>
      <w:r w:rsidRPr="00E73F6F">
        <w:rPr>
          <w:spacing w:val="-3"/>
        </w:rPr>
        <w:t xml:space="preserve"> </w:t>
      </w:r>
      <w:r w:rsidRPr="00E73F6F">
        <w:t>rechtlichen</w:t>
      </w:r>
      <w:r w:rsidRPr="00E73F6F">
        <w:rPr>
          <w:spacing w:val="-4"/>
        </w:rPr>
        <w:t xml:space="preserve"> </w:t>
      </w:r>
      <w:r w:rsidRPr="00E73F6F">
        <w:t>oder</w:t>
      </w:r>
      <w:r w:rsidRPr="00E73F6F">
        <w:rPr>
          <w:spacing w:val="-3"/>
        </w:rPr>
        <w:t xml:space="preserve"> </w:t>
      </w:r>
      <w:r w:rsidRPr="00E73F6F">
        <w:t>politischen</w:t>
      </w:r>
      <w:r w:rsidRPr="00E73F6F">
        <w:rPr>
          <w:spacing w:val="-2"/>
        </w:rPr>
        <w:t xml:space="preserve"> </w:t>
      </w:r>
      <w:r w:rsidRPr="00E73F6F">
        <w:t>Umwelt</w:t>
      </w:r>
      <w:r w:rsidRPr="00E73F6F">
        <w:rPr>
          <w:spacing w:val="-3"/>
        </w:rPr>
        <w:t xml:space="preserve"> </w:t>
      </w:r>
      <w:r w:rsidRPr="00E73F6F">
        <w:t>gleichgestellt</w:t>
      </w:r>
      <w:r w:rsidRPr="00E73F6F">
        <w:rPr>
          <w:spacing w:val="-3"/>
        </w:rPr>
        <w:t xml:space="preserve"> </w:t>
      </w:r>
      <w:r w:rsidRPr="00E73F6F">
        <w:t>ist,</w:t>
      </w:r>
      <w:r w:rsidRPr="00E73F6F">
        <w:rPr>
          <w:spacing w:val="-2"/>
        </w:rPr>
        <w:t xml:space="preserve"> </w:t>
      </w:r>
      <w:r w:rsidRPr="00E73F6F">
        <w:t>sondern</w:t>
      </w:r>
      <w:r w:rsidRPr="00E73F6F">
        <w:rPr>
          <w:spacing w:val="-2"/>
        </w:rPr>
        <w:t xml:space="preserve"> </w:t>
      </w:r>
      <w:r w:rsidRPr="00E73F6F">
        <w:t>als umfassendes Hintergrund-Phänomen, den genannten Faktoren eher über- als nachgeordnet (vgl. Abb. 3).</w:t>
      </w:r>
    </w:p>
    <w:p w14:paraId="3E549F79" w14:textId="77777777" w:rsidR="00FF7799" w:rsidRPr="00E73F6F" w:rsidRDefault="00FF7799" w:rsidP="00292C31">
      <w:pPr>
        <w:pStyle w:val="StandardText"/>
      </w:pPr>
    </w:p>
    <w:p w14:paraId="4F76ABC3" w14:textId="77777777" w:rsidR="00FF7799" w:rsidRPr="00C76DC3" w:rsidRDefault="00FF7799" w:rsidP="00292C31">
      <w:pPr>
        <w:pStyle w:val="BeschriftungTab"/>
        <w:rPr>
          <w:i/>
          <w:iCs/>
          <w:spacing w:val="-2"/>
        </w:rPr>
      </w:pPr>
      <w:r w:rsidRPr="00C76DC3">
        <w:rPr>
          <w:i/>
          <w:iCs/>
        </w:rPr>
        <w:t>Abb.</w:t>
      </w:r>
      <w:r w:rsidRPr="00C76DC3">
        <w:rPr>
          <w:i/>
          <w:iCs/>
          <w:spacing w:val="-2"/>
        </w:rPr>
        <w:t xml:space="preserve"> </w:t>
      </w:r>
      <w:r w:rsidRPr="00C76DC3">
        <w:rPr>
          <w:i/>
          <w:iCs/>
        </w:rPr>
        <w:t>3: Kultur als</w:t>
      </w:r>
      <w:r w:rsidR="004048E7" w:rsidRPr="00C76DC3">
        <w:rPr>
          <w:i/>
          <w:iCs/>
          <w:spacing w:val="-2"/>
        </w:rPr>
        <w:t xml:space="preserve"> Ideensystem</w:t>
      </w:r>
    </w:p>
    <w:p w14:paraId="16A84AA2" w14:textId="77777777" w:rsidR="004048E7" w:rsidRDefault="004048E7" w:rsidP="00292C31">
      <w:pPr>
        <w:pStyle w:val="BeschriftungTab"/>
        <w:rPr>
          <w:spacing w:val="-2"/>
        </w:rPr>
      </w:pPr>
      <w:r>
        <w:rPr>
          <w:noProof/>
          <w:spacing w:val="-2"/>
        </w:rPr>
        <w:drawing>
          <wp:inline distT="0" distB="0" distL="0" distR="0" wp14:anchorId="03A28B30" wp14:editId="0DC27274">
            <wp:extent cx="6068538" cy="3895725"/>
            <wp:effectExtent l="0" t="0" r="8890" b="0"/>
            <wp:docPr id="76" name="Grafik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6071785" cy="3897810"/>
                    </a:xfrm>
                    <a:prstGeom prst="rect">
                      <a:avLst/>
                    </a:prstGeom>
                    <a:noFill/>
                  </pic:spPr>
                </pic:pic>
              </a:graphicData>
            </a:graphic>
          </wp:inline>
        </w:drawing>
      </w:r>
    </w:p>
    <w:p w14:paraId="5143E6D1" w14:textId="77777777" w:rsidR="00FF7799" w:rsidRPr="00E73F6F" w:rsidRDefault="00FF7799" w:rsidP="00292C31">
      <w:pPr>
        <w:pStyle w:val="Quellen"/>
      </w:pPr>
      <w:r w:rsidRPr="00E73F6F">
        <w:rPr>
          <w:spacing w:val="-2"/>
        </w:rPr>
        <w:t>Quelle:</w:t>
      </w:r>
      <w:r w:rsidRPr="00E73F6F">
        <w:tab/>
        <w:t>Simmet-Blomberg</w:t>
      </w:r>
      <w:r w:rsidRPr="00E73F6F">
        <w:rPr>
          <w:spacing w:val="-8"/>
        </w:rPr>
        <w:t xml:space="preserve"> </w:t>
      </w:r>
      <w:r w:rsidRPr="00E73F6F">
        <w:t>(1998,</w:t>
      </w:r>
      <w:r w:rsidRPr="00E73F6F">
        <w:rPr>
          <w:spacing w:val="-6"/>
        </w:rPr>
        <w:t xml:space="preserve"> </w:t>
      </w:r>
      <w:r w:rsidRPr="00E73F6F">
        <w:rPr>
          <w:spacing w:val="-2"/>
        </w:rPr>
        <w:t>S.79).</w:t>
      </w:r>
    </w:p>
    <w:p w14:paraId="34FAC215" w14:textId="77777777" w:rsidR="00FF7799" w:rsidRPr="00E73F6F" w:rsidRDefault="00FF7799" w:rsidP="00862DBA">
      <w:pPr>
        <w:spacing w:before="1"/>
        <w:rPr>
          <w:sz w:val="24"/>
          <w:szCs w:val="24"/>
        </w:rPr>
      </w:pPr>
    </w:p>
    <w:p w14:paraId="12F47786" w14:textId="77777777" w:rsidR="00FF7799" w:rsidRPr="00E73F6F" w:rsidRDefault="00FF7799" w:rsidP="00286C29">
      <w:pPr>
        <w:pStyle w:val="StandardText"/>
      </w:pPr>
      <w:r w:rsidRPr="00E73F6F">
        <w:t xml:space="preserve">Während Kulturanthropologen weitgehend wissenschaftlich argumentieren, versteht sich die auf Harbison/Myers (1959) zurückzuführende kulturvergleichende Management-Forschung primär als anwendungsorientiert. Ihrer Auffassung zufolge umfasst Kultur die „von Menschen internalisierten und vertretenen Normen sowie Wertvorstellungen, Denkweisen, Einstellungen, </w:t>
      </w:r>
      <w:r w:rsidRPr="00E73F6F">
        <w:lastRenderedPageBreak/>
        <w:t xml:space="preserve">Überzeugungen und Regeln“ (Hentze 1987, S.171). Der dazu erforderliche Lernprozess, d.h. die individuelle Übernahme der wichtigsten Maßstäbe des sozialen Handelns, wird als Enkulturation, als Hineinwachsen des Einzelnen in einen Kulturraum bezeichnet. Ist, wie im Falle einer längerfristigen </w:t>
      </w:r>
      <w:r w:rsidR="00B83089">
        <w:sym w:font="Symbol" w:char="F0DE"/>
      </w:r>
      <w:r w:rsidR="00B83089">
        <w:t xml:space="preserve"> </w:t>
      </w:r>
      <w:r w:rsidRPr="00E73F6F">
        <w:t>Auslandsentsendung, Anpassung an eine fremde Kultur gefordert, so spricht man von Akkulturation (vgl. z.B. Reineke 1989).</w:t>
      </w:r>
    </w:p>
    <w:p w14:paraId="479A05A1" w14:textId="77777777" w:rsidR="00FF7799" w:rsidRPr="00E73F6F" w:rsidRDefault="00FF7799" w:rsidP="00286C29">
      <w:pPr>
        <w:pStyle w:val="StandardText"/>
      </w:pPr>
    </w:p>
    <w:p w14:paraId="7AD6C2EF" w14:textId="77777777" w:rsidR="00FF7799" w:rsidRPr="00A90E2D" w:rsidRDefault="00FF7799" w:rsidP="00292C31">
      <w:pPr>
        <w:pStyle w:val="StandardText"/>
        <w:rPr>
          <w:sz w:val="22"/>
          <w:szCs w:val="22"/>
        </w:rPr>
      </w:pPr>
      <w:r w:rsidRPr="00A90E2D">
        <w:rPr>
          <w:b/>
          <w:i/>
          <w:sz w:val="22"/>
          <w:szCs w:val="22"/>
          <w:lang w:val="en-US"/>
        </w:rPr>
        <w:t>Literatur</w:t>
      </w:r>
      <w:r w:rsidRPr="00A90E2D">
        <w:rPr>
          <w:i/>
          <w:sz w:val="22"/>
          <w:szCs w:val="22"/>
          <w:lang w:val="en-US"/>
        </w:rPr>
        <w:t>:</w:t>
      </w:r>
      <w:r w:rsidRPr="00A90E2D">
        <w:rPr>
          <w:spacing w:val="-2"/>
          <w:sz w:val="22"/>
          <w:szCs w:val="22"/>
          <w:lang w:val="en-US"/>
        </w:rPr>
        <w:t xml:space="preserve"> </w:t>
      </w:r>
      <w:r w:rsidRPr="00A90E2D">
        <w:rPr>
          <w:sz w:val="22"/>
          <w:szCs w:val="22"/>
          <w:lang w:val="en-US"/>
        </w:rPr>
        <w:t>Ajiferuke,</w:t>
      </w:r>
      <w:r w:rsidRPr="00A90E2D">
        <w:rPr>
          <w:spacing w:val="-5"/>
          <w:sz w:val="22"/>
          <w:szCs w:val="22"/>
          <w:lang w:val="en-US"/>
        </w:rPr>
        <w:t xml:space="preserve"> </w:t>
      </w:r>
      <w:r w:rsidRPr="00A90E2D">
        <w:rPr>
          <w:sz w:val="22"/>
          <w:szCs w:val="22"/>
          <w:lang w:val="en-US"/>
        </w:rPr>
        <w:t>M.;</w:t>
      </w:r>
      <w:r w:rsidRPr="00A90E2D">
        <w:rPr>
          <w:spacing w:val="-6"/>
          <w:sz w:val="22"/>
          <w:szCs w:val="22"/>
          <w:lang w:val="en-US"/>
        </w:rPr>
        <w:t xml:space="preserve"> </w:t>
      </w:r>
      <w:r w:rsidRPr="00A90E2D">
        <w:rPr>
          <w:sz w:val="22"/>
          <w:szCs w:val="22"/>
          <w:lang w:val="en-US"/>
        </w:rPr>
        <w:t>Boddewyn,</w:t>
      </w:r>
      <w:r w:rsidRPr="00A90E2D">
        <w:rPr>
          <w:spacing w:val="-5"/>
          <w:sz w:val="22"/>
          <w:szCs w:val="22"/>
          <w:lang w:val="en-US"/>
        </w:rPr>
        <w:t xml:space="preserve"> </w:t>
      </w:r>
      <w:r w:rsidRPr="00A90E2D">
        <w:rPr>
          <w:sz w:val="22"/>
          <w:szCs w:val="22"/>
          <w:lang w:val="en-US"/>
        </w:rPr>
        <w:t>J. (1970):</w:t>
      </w:r>
      <w:r w:rsidRPr="00A90E2D">
        <w:rPr>
          <w:spacing w:val="-2"/>
          <w:sz w:val="22"/>
          <w:szCs w:val="22"/>
          <w:lang w:val="en-US"/>
        </w:rPr>
        <w:t xml:space="preserve"> </w:t>
      </w:r>
      <w:r w:rsidRPr="00A90E2D">
        <w:rPr>
          <w:sz w:val="22"/>
          <w:szCs w:val="22"/>
          <w:lang w:val="en-US"/>
        </w:rPr>
        <w:t>'Culture'</w:t>
      </w:r>
      <w:r w:rsidRPr="00A90E2D">
        <w:rPr>
          <w:spacing w:val="-5"/>
          <w:sz w:val="22"/>
          <w:szCs w:val="22"/>
          <w:lang w:val="en-US"/>
        </w:rPr>
        <w:t xml:space="preserve"> </w:t>
      </w:r>
      <w:r w:rsidRPr="00A90E2D">
        <w:rPr>
          <w:sz w:val="22"/>
          <w:szCs w:val="22"/>
          <w:lang w:val="en-US"/>
        </w:rPr>
        <w:t>and</w:t>
      </w:r>
      <w:r w:rsidRPr="00A90E2D">
        <w:rPr>
          <w:spacing w:val="-4"/>
          <w:sz w:val="22"/>
          <w:szCs w:val="22"/>
          <w:lang w:val="en-US"/>
        </w:rPr>
        <w:t xml:space="preserve"> </w:t>
      </w:r>
      <w:r w:rsidRPr="00A90E2D">
        <w:rPr>
          <w:sz w:val="22"/>
          <w:szCs w:val="22"/>
          <w:lang w:val="en-US"/>
        </w:rPr>
        <w:t>other</w:t>
      </w:r>
      <w:r w:rsidRPr="00A90E2D">
        <w:rPr>
          <w:spacing w:val="-4"/>
          <w:sz w:val="22"/>
          <w:szCs w:val="22"/>
          <w:lang w:val="en-US"/>
        </w:rPr>
        <w:t xml:space="preserve"> </w:t>
      </w:r>
      <w:r w:rsidRPr="00A90E2D">
        <w:rPr>
          <w:sz w:val="22"/>
          <w:szCs w:val="22"/>
          <w:lang w:val="en-US"/>
        </w:rPr>
        <w:t>Explanatory</w:t>
      </w:r>
      <w:r w:rsidRPr="00A90E2D">
        <w:rPr>
          <w:spacing w:val="-2"/>
          <w:sz w:val="22"/>
          <w:szCs w:val="22"/>
          <w:lang w:val="en-US"/>
        </w:rPr>
        <w:t xml:space="preserve"> </w:t>
      </w:r>
      <w:r w:rsidRPr="00A90E2D">
        <w:rPr>
          <w:sz w:val="22"/>
          <w:szCs w:val="22"/>
          <w:lang w:val="en-US"/>
        </w:rPr>
        <w:t>Variables</w:t>
      </w:r>
      <w:r w:rsidRPr="00A90E2D">
        <w:rPr>
          <w:spacing w:val="-5"/>
          <w:sz w:val="22"/>
          <w:szCs w:val="22"/>
          <w:lang w:val="en-US"/>
        </w:rPr>
        <w:t xml:space="preserve"> </w:t>
      </w:r>
      <w:r w:rsidRPr="00A90E2D">
        <w:rPr>
          <w:sz w:val="22"/>
          <w:szCs w:val="22"/>
          <w:lang w:val="en-US"/>
        </w:rPr>
        <w:t>in</w:t>
      </w:r>
      <w:r w:rsidRPr="00A90E2D">
        <w:rPr>
          <w:spacing w:val="40"/>
          <w:sz w:val="22"/>
          <w:szCs w:val="22"/>
          <w:lang w:val="en-US"/>
        </w:rPr>
        <w:t xml:space="preserve"> </w:t>
      </w:r>
      <w:r w:rsidRPr="00A90E2D">
        <w:rPr>
          <w:sz w:val="22"/>
          <w:szCs w:val="22"/>
          <w:lang w:val="en-US"/>
        </w:rPr>
        <w:t>Comparative Management Studies, Academy of Management Journal, 13(2):153-163. Allaire,</w:t>
      </w:r>
      <w:r w:rsidRPr="00A90E2D">
        <w:rPr>
          <w:spacing w:val="-2"/>
          <w:sz w:val="22"/>
          <w:szCs w:val="22"/>
          <w:lang w:val="en-US"/>
        </w:rPr>
        <w:t xml:space="preserve"> </w:t>
      </w:r>
      <w:r w:rsidRPr="00A90E2D">
        <w:rPr>
          <w:sz w:val="22"/>
          <w:szCs w:val="22"/>
          <w:lang w:val="en-US"/>
        </w:rPr>
        <w:t>Y.;</w:t>
      </w:r>
      <w:r w:rsidRPr="00A90E2D">
        <w:rPr>
          <w:spacing w:val="-4"/>
          <w:sz w:val="22"/>
          <w:szCs w:val="22"/>
          <w:lang w:val="en-US"/>
        </w:rPr>
        <w:t xml:space="preserve"> </w:t>
      </w:r>
      <w:r w:rsidRPr="00A90E2D">
        <w:rPr>
          <w:sz w:val="22"/>
          <w:szCs w:val="22"/>
          <w:lang w:val="en-US"/>
        </w:rPr>
        <w:t>Firsirotu,</w:t>
      </w:r>
      <w:r w:rsidRPr="00A90E2D">
        <w:rPr>
          <w:spacing w:val="-5"/>
          <w:sz w:val="22"/>
          <w:szCs w:val="22"/>
          <w:lang w:val="en-US"/>
        </w:rPr>
        <w:t xml:space="preserve"> </w:t>
      </w:r>
      <w:r w:rsidRPr="00A90E2D">
        <w:rPr>
          <w:sz w:val="22"/>
          <w:szCs w:val="22"/>
          <w:lang w:val="en-US"/>
        </w:rPr>
        <w:t>M. (1984):</w:t>
      </w:r>
      <w:r w:rsidRPr="00A90E2D">
        <w:rPr>
          <w:spacing w:val="-2"/>
          <w:sz w:val="22"/>
          <w:szCs w:val="22"/>
          <w:lang w:val="en-US"/>
        </w:rPr>
        <w:t xml:space="preserve"> </w:t>
      </w:r>
      <w:r w:rsidRPr="00A90E2D">
        <w:rPr>
          <w:sz w:val="22"/>
          <w:szCs w:val="22"/>
          <w:lang w:val="en-US"/>
        </w:rPr>
        <w:t>Theories</w:t>
      </w:r>
      <w:r w:rsidRPr="00A90E2D">
        <w:rPr>
          <w:spacing w:val="-5"/>
          <w:sz w:val="22"/>
          <w:szCs w:val="22"/>
          <w:lang w:val="en-US"/>
        </w:rPr>
        <w:t xml:space="preserve"> </w:t>
      </w:r>
      <w:r w:rsidRPr="00A90E2D">
        <w:rPr>
          <w:sz w:val="22"/>
          <w:szCs w:val="22"/>
          <w:lang w:val="en-US"/>
        </w:rPr>
        <w:t>of</w:t>
      </w:r>
      <w:r w:rsidRPr="00A90E2D">
        <w:rPr>
          <w:spacing w:val="-6"/>
          <w:sz w:val="22"/>
          <w:szCs w:val="22"/>
          <w:lang w:val="en-US"/>
        </w:rPr>
        <w:t xml:space="preserve"> </w:t>
      </w:r>
      <w:r w:rsidRPr="00A90E2D">
        <w:rPr>
          <w:sz w:val="22"/>
          <w:szCs w:val="22"/>
          <w:lang w:val="en-US"/>
        </w:rPr>
        <w:t>Organizational</w:t>
      </w:r>
      <w:r w:rsidRPr="00A90E2D">
        <w:rPr>
          <w:spacing w:val="-4"/>
          <w:sz w:val="22"/>
          <w:szCs w:val="22"/>
          <w:lang w:val="en-US"/>
        </w:rPr>
        <w:t xml:space="preserve"> </w:t>
      </w:r>
      <w:r w:rsidRPr="00A90E2D">
        <w:rPr>
          <w:sz w:val="22"/>
          <w:szCs w:val="22"/>
          <w:lang w:val="en-US"/>
        </w:rPr>
        <w:t>Culture,</w:t>
      </w:r>
      <w:r w:rsidRPr="00A90E2D">
        <w:rPr>
          <w:spacing w:val="-2"/>
          <w:sz w:val="22"/>
          <w:szCs w:val="22"/>
          <w:lang w:val="en-US"/>
        </w:rPr>
        <w:t xml:space="preserve"> </w:t>
      </w:r>
      <w:r w:rsidRPr="00A90E2D">
        <w:rPr>
          <w:sz w:val="22"/>
          <w:szCs w:val="22"/>
          <w:lang w:val="en-US"/>
        </w:rPr>
        <w:t>Organization</w:t>
      </w:r>
      <w:r w:rsidRPr="00A90E2D">
        <w:rPr>
          <w:spacing w:val="-4"/>
          <w:sz w:val="22"/>
          <w:szCs w:val="22"/>
          <w:lang w:val="en-US"/>
        </w:rPr>
        <w:t xml:space="preserve"> </w:t>
      </w:r>
      <w:r w:rsidRPr="00A90E2D">
        <w:rPr>
          <w:sz w:val="22"/>
          <w:szCs w:val="22"/>
          <w:lang w:val="en-US"/>
        </w:rPr>
        <w:t>Studies,</w:t>
      </w:r>
      <w:r w:rsidRPr="00A90E2D">
        <w:rPr>
          <w:spacing w:val="40"/>
          <w:sz w:val="22"/>
          <w:szCs w:val="22"/>
          <w:lang w:val="en-US"/>
        </w:rPr>
        <w:t xml:space="preserve"> </w:t>
      </w:r>
      <w:r w:rsidRPr="00A90E2D">
        <w:rPr>
          <w:sz w:val="22"/>
          <w:szCs w:val="22"/>
          <w:lang w:val="en-US"/>
        </w:rPr>
        <w:t>5(3): 193-226.</w:t>
      </w:r>
      <w:r w:rsidRPr="00A90E2D">
        <w:rPr>
          <w:spacing w:val="80"/>
          <w:sz w:val="22"/>
          <w:szCs w:val="22"/>
          <w:lang w:val="en-US"/>
        </w:rPr>
        <w:t xml:space="preserve"> </w:t>
      </w:r>
      <w:r w:rsidRPr="00A90E2D">
        <w:rPr>
          <w:sz w:val="22"/>
          <w:szCs w:val="22"/>
          <w:lang w:val="en-US"/>
        </w:rPr>
        <w:t>Allison, R. (1995): Cross-Cultural Factors in Global Advertising, in:</w:t>
      </w:r>
      <w:r w:rsidRPr="00A90E2D">
        <w:rPr>
          <w:spacing w:val="40"/>
          <w:sz w:val="22"/>
          <w:szCs w:val="22"/>
          <w:lang w:val="en-US"/>
        </w:rPr>
        <w:t xml:space="preserve"> </w:t>
      </w:r>
      <w:r w:rsidRPr="00A90E2D">
        <w:rPr>
          <w:sz w:val="22"/>
          <w:szCs w:val="22"/>
          <w:lang w:val="en-US"/>
        </w:rPr>
        <w:t xml:space="preserve">Bolten, J. (Hrsg.), Cross Culture. </w:t>
      </w:r>
      <w:r w:rsidRPr="00A90E2D">
        <w:rPr>
          <w:sz w:val="22"/>
          <w:szCs w:val="22"/>
        </w:rPr>
        <w:t>Interkulturelles Handeln in der Wirtschaft, 2.Aufl., 92-</w:t>
      </w:r>
      <w:r w:rsidRPr="00A90E2D">
        <w:rPr>
          <w:spacing w:val="40"/>
          <w:sz w:val="22"/>
          <w:szCs w:val="22"/>
        </w:rPr>
        <w:t xml:space="preserve"> </w:t>
      </w:r>
      <w:r w:rsidRPr="00A90E2D">
        <w:rPr>
          <w:sz w:val="22"/>
          <w:szCs w:val="22"/>
        </w:rPr>
        <w:t>101, Sternenfels: Wissenschaft &amp; Praxis.</w:t>
      </w:r>
      <w:r w:rsidRPr="00A90E2D">
        <w:rPr>
          <w:spacing w:val="80"/>
          <w:sz w:val="22"/>
          <w:szCs w:val="22"/>
        </w:rPr>
        <w:t xml:space="preserve"> </w:t>
      </w:r>
      <w:r w:rsidRPr="00A90E2D">
        <w:rPr>
          <w:sz w:val="22"/>
          <w:szCs w:val="22"/>
        </w:rPr>
        <w:t>Bauernfeind, R. (1995): Sozio-Logik: der</w:t>
      </w:r>
      <w:r w:rsidRPr="00A90E2D">
        <w:rPr>
          <w:spacing w:val="40"/>
          <w:sz w:val="22"/>
          <w:szCs w:val="22"/>
        </w:rPr>
        <w:t xml:space="preserve"> </w:t>
      </w:r>
      <w:r w:rsidRPr="00A90E2D">
        <w:rPr>
          <w:sz w:val="22"/>
          <w:szCs w:val="22"/>
        </w:rPr>
        <w:t>kulturelle Code als Bedeutungs-System, Frankfurt/Main: Lang.</w:t>
      </w:r>
      <w:r w:rsidRPr="00A90E2D">
        <w:rPr>
          <w:spacing w:val="80"/>
          <w:sz w:val="22"/>
          <w:szCs w:val="22"/>
        </w:rPr>
        <w:t xml:space="preserve"> </w:t>
      </w:r>
      <w:r w:rsidRPr="00A90E2D">
        <w:rPr>
          <w:sz w:val="22"/>
          <w:szCs w:val="22"/>
          <w:lang w:val="en-US"/>
        </w:rPr>
        <w:t>Bhagat, R.S.; McQuaid, S.J. (1982): Role of Subjective Cultures in Organizations. A Review and Directions for</w:t>
      </w:r>
      <w:r w:rsidRPr="00A90E2D">
        <w:rPr>
          <w:spacing w:val="40"/>
          <w:sz w:val="22"/>
          <w:szCs w:val="22"/>
          <w:lang w:val="en-US"/>
        </w:rPr>
        <w:t xml:space="preserve"> </w:t>
      </w:r>
      <w:r w:rsidRPr="00A90E2D">
        <w:rPr>
          <w:sz w:val="22"/>
          <w:szCs w:val="22"/>
          <w:lang w:val="en-US"/>
        </w:rPr>
        <w:t>Future</w:t>
      </w:r>
      <w:r w:rsidRPr="00A90E2D">
        <w:rPr>
          <w:spacing w:val="-4"/>
          <w:sz w:val="22"/>
          <w:szCs w:val="22"/>
          <w:lang w:val="en-US"/>
        </w:rPr>
        <w:t xml:space="preserve"> </w:t>
      </w:r>
      <w:r w:rsidRPr="00A90E2D">
        <w:rPr>
          <w:sz w:val="22"/>
          <w:szCs w:val="22"/>
          <w:lang w:val="en-US"/>
        </w:rPr>
        <w:t>Research,</w:t>
      </w:r>
      <w:r w:rsidRPr="00A90E2D">
        <w:rPr>
          <w:spacing w:val="-4"/>
          <w:sz w:val="22"/>
          <w:szCs w:val="22"/>
          <w:lang w:val="en-US"/>
        </w:rPr>
        <w:t xml:space="preserve"> </w:t>
      </w:r>
      <w:r w:rsidRPr="00A90E2D">
        <w:rPr>
          <w:sz w:val="22"/>
          <w:szCs w:val="22"/>
          <w:lang w:val="en-US"/>
        </w:rPr>
        <w:t>in:</w:t>
      </w:r>
      <w:r w:rsidRPr="00A90E2D">
        <w:rPr>
          <w:spacing w:val="-3"/>
          <w:sz w:val="22"/>
          <w:szCs w:val="22"/>
          <w:lang w:val="en-US"/>
        </w:rPr>
        <w:t xml:space="preserve"> </w:t>
      </w:r>
      <w:r w:rsidRPr="00A90E2D">
        <w:rPr>
          <w:sz w:val="22"/>
          <w:szCs w:val="22"/>
          <w:lang w:val="en-US"/>
        </w:rPr>
        <w:t>Journal</w:t>
      </w:r>
      <w:r w:rsidRPr="00A90E2D">
        <w:rPr>
          <w:spacing w:val="-3"/>
          <w:sz w:val="22"/>
          <w:szCs w:val="22"/>
          <w:lang w:val="en-US"/>
        </w:rPr>
        <w:t xml:space="preserve"> </w:t>
      </w:r>
      <w:r w:rsidRPr="00A90E2D">
        <w:rPr>
          <w:sz w:val="22"/>
          <w:szCs w:val="22"/>
          <w:lang w:val="en-US"/>
        </w:rPr>
        <w:t>of</w:t>
      </w:r>
      <w:r w:rsidRPr="00A90E2D">
        <w:rPr>
          <w:spacing w:val="-3"/>
          <w:sz w:val="22"/>
          <w:szCs w:val="22"/>
          <w:lang w:val="en-US"/>
        </w:rPr>
        <w:t xml:space="preserve"> </w:t>
      </w:r>
      <w:r w:rsidRPr="00A90E2D">
        <w:rPr>
          <w:sz w:val="22"/>
          <w:szCs w:val="22"/>
          <w:lang w:val="en-US"/>
        </w:rPr>
        <w:t>Applied</w:t>
      </w:r>
      <w:r w:rsidRPr="00A90E2D">
        <w:rPr>
          <w:spacing w:val="-1"/>
          <w:sz w:val="22"/>
          <w:szCs w:val="22"/>
          <w:lang w:val="en-US"/>
        </w:rPr>
        <w:t xml:space="preserve"> </w:t>
      </w:r>
      <w:r w:rsidRPr="00A90E2D">
        <w:rPr>
          <w:sz w:val="22"/>
          <w:szCs w:val="22"/>
          <w:lang w:val="en-US"/>
        </w:rPr>
        <w:t>Psychology,</w:t>
      </w:r>
      <w:r w:rsidRPr="00A90E2D">
        <w:rPr>
          <w:spacing w:val="-3"/>
          <w:sz w:val="22"/>
          <w:szCs w:val="22"/>
          <w:lang w:val="en-US"/>
        </w:rPr>
        <w:t xml:space="preserve"> </w:t>
      </w:r>
      <w:r w:rsidRPr="00A90E2D">
        <w:rPr>
          <w:sz w:val="22"/>
          <w:szCs w:val="22"/>
          <w:lang w:val="en-US"/>
        </w:rPr>
        <w:t>67(5):</w:t>
      </w:r>
      <w:r w:rsidRPr="00A90E2D">
        <w:rPr>
          <w:spacing w:val="-3"/>
          <w:sz w:val="22"/>
          <w:szCs w:val="22"/>
          <w:lang w:val="en-US"/>
        </w:rPr>
        <w:t xml:space="preserve"> </w:t>
      </w:r>
      <w:r w:rsidRPr="00A90E2D">
        <w:rPr>
          <w:sz w:val="22"/>
          <w:szCs w:val="22"/>
          <w:lang w:val="en-US"/>
        </w:rPr>
        <w:t>653-685.</w:t>
      </w:r>
      <w:r w:rsidRPr="00A90E2D">
        <w:rPr>
          <w:spacing w:val="80"/>
          <w:sz w:val="22"/>
          <w:szCs w:val="22"/>
          <w:lang w:val="en-US"/>
        </w:rPr>
        <w:t xml:space="preserve"> </w:t>
      </w:r>
      <w:r w:rsidRPr="00A90E2D">
        <w:rPr>
          <w:sz w:val="22"/>
          <w:szCs w:val="22"/>
        </w:rPr>
        <w:t>Blom,</w:t>
      </w:r>
      <w:r w:rsidRPr="00A90E2D">
        <w:rPr>
          <w:spacing w:val="-1"/>
          <w:sz w:val="22"/>
          <w:szCs w:val="22"/>
        </w:rPr>
        <w:t xml:space="preserve"> </w:t>
      </w:r>
      <w:r w:rsidRPr="00A90E2D">
        <w:rPr>
          <w:sz w:val="22"/>
          <w:szCs w:val="22"/>
        </w:rPr>
        <w:t>H.;</w:t>
      </w:r>
      <w:r w:rsidRPr="00A90E2D">
        <w:rPr>
          <w:spacing w:val="-3"/>
          <w:sz w:val="22"/>
          <w:szCs w:val="22"/>
        </w:rPr>
        <w:t xml:space="preserve"> </w:t>
      </w:r>
      <w:r w:rsidRPr="00A90E2D">
        <w:rPr>
          <w:sz w:val="22"/>
          <w:szCs w:val="22"/>
        </w:rPr>
        <w:t>Meier,</w:t>
      </w:r>
      <w:r w:rsidRPr="00A90E2D">
        <w:rPr>
          <w:spacing w:val="-1"/>
          <w:sz w:val="22"/>
          <w:szCs w:val="22"/>
        </w:rPr>
        <w:t xml:space="preserve"> </w:t>
      </w:r>
      <w:r w:rsidRPr="00A90E2D">
        <w:rPr>
          <w:sz w:val="22"/>
          <w:szCs w:val="22"/>
        </w:rPr>
        <w:t>H.</w:t>
      </w:r>
      <w:r w:rsidRPr="00A90E2D">
        <w:rPr>
          <w:spacing w:val="40"/>
          <w:sz w:val="22"/>
          <w:szCs w:val="22"/>
        </w:rPr>
        <w:t xml:space="preserve"> </w:t>
      </w:r>
      <w:r w:rsidRPr="00A90E2D">
        <w:rPr>
          <w:sz w:val="22"/>
          <w:szCs w:val="22"/>
        </w:rPr>
        <w:t>(2002):</w:t>
      </w:r>
      <w:r w:rsidRPr="00A90E2D">
        <w:rPr>
          <w:spacing w:val="-2"/>
          <w:sz w:val="22"/>
          <w:szCs w:val="22"/>
        </w:rPr>
        <w:t xml:space="preserve"> </w:t>
      </w:r>
      <w:r w:rsidRPr="00A90E2D">
        <w:rPr>
          <w:sz w:val="22"/>
          <w:szCs w:val="22"/>
        </w:rPr>
        <w:t>Interkulturelles</w:t>
      </w:r>
      <w:r w:rsidRPr="00A90E2D">
        <w:rPr>
          <w:spacing w:val="-5"/>
          <w:sz w:val="22"/>
          <w:szCs w:val="22"/>
        </w:rPr>
        <w:t xml:space="preserve"> </w:t>
      </w:r>
      <w:r w:rsidRPr="00A90E2D">
        <w:rPr>
          <w:sz w:val="22"/>
          <w:szCs w:val="22"/>
        </w:rPr>
        <w:t>Management,</w:t>
      </w:r>
      <w:r w:rsidRPr="00A90E2D">
        <w:rPr>
          <w:spacing w:val="-7"/>
          <w:sz w:val="22"/>
          <w:szCs w:val="22"/>
        </w:rPr>
        <w:t xml:space="preserve"> </w:t>
      </w:r>
      <w:r w:rsidRPr="00A90E2D">
        <w:rPr>
          <w:sz w:val="22"/>
          <w:szCs w:val="22"/>
        </w:rPr>
        <w:t>Herne:</w:t>
      </w:r>
      <w:r w:rsidRPr="00A90E2D">
        <w:rPr>
          <w:spacing w:val="-2"/>
          <w:sz w:val="22"/>
          <w:szCs w:val="22"/>
        </w:rPr>
        <w:t xml:space="preserve"> </w:t>
      </w:r>
      <w:r w:rsidRPr="00A90E2D">
        <w:rPr>
          <w:sz w:val="22"/>
          <w:szCs w:val="22"/>
        </w:rPr>
        <w:t>Verlag</w:t>
      </w:r>
      <w:r w:rsidRPr="00A90E2D">
        <w:rPr>
          <w:spacing w:val="-2"/>
          <w:sz w:val="22"/>
          <w:szCs w:val="22"/>
        </w:rPr>
        <w:t xml:space="preserve"> </w:t>
      </w:r>
      <w:r w:rsidRPr="00A90E2D">
        <w:rPr>
          <w:sz w:val="22"/>
          <w:szCs w:val="22"/>
        </w:rPr>
        <w:t>Neue</w:t>
      </w:r>
      <w:r w:rsidRPr="00A90E2D">
        <w:rPr>
          <w:spacing w:val="-5"/>
          <w:sz w:val="22"/>
          <w:szCs w:val="22"/>
        </w:rPr>
        <w:t xml:space="preserve"> </w:t>
      </w:r>
      <w:r w:rsidRPr="00A90E2D">
        <w:rPr>
          <w:sz w:val="22"/>
          <w:szCs w:val="22"/>
        </w:rPr>
        <w:t>Wirtschaftsbriefe.</w:t>
      </w:r>
      <w:r w:rsidRPr="00A90E2D">
        <w:rPr>
          <w:spacing w:val="80"/>
          <w:w w:val="150"/>
          <w:sz w:val="22"/>
          <w:szCs w:val="22"/>
        </w:rPr>
        <w:t xml:space="preserve"> </w:t>
      </w:r>
      <w:r w:rsidRPr="00A90E2D">
        <w:rPr>
          <w:sz w:val="22"/>
          <w:szCs w:val="22"/>
          <w:lang w:val="en-US"/>
        </w:rPr>
        <w:t>Deshpande,</w:t>
      </w:r>
      <w:r w:rsidRPr="00A90E2D">
        <w:rPr>
          <w:spacing w:val="40"/>
          <w:sz w:val="22"/>
          <w:szCs w:val="22"/>
          <w:lang w:val="en-US"/>
        </w:rPr>
        <w:t xml:space="preserve"> </w:t>
      </w:r>
      <w:r w:rsidRPr="00A90E2D">
        <w:rPr>
          <w:sz w:val="22"/>
          <w:szCs w:val="22"/>
          <w:lang w:val="en-US"/>
        </w:rPr>
        <w:t>R.;</w:t>
      </w:r>
      <w:r w:rsidRPr="00A90E2D">
        <w:rPr>
          <w:spacing w:val="-2"/>
          <w:sz w:val="22"/>
          <w:szCs w:val="22"/>
          <w:lang w:val="en-US"/>
        </w:rPr>
        <w:t xml:space="preserve"> </w:t>
      </w:r>
      <w:r w:rsidRPr="00A90E2D">
        <w:rPr>
          <w:sz w:val="22"/>
          <w:szCs w:val="22"/>
          <w:lang w:val="en-US"/>
        </w:rPr>
        <w:t>Webster, F.E.</w:t>
      </w:r>
      <w:r w:rsidRPr="00A90E2D">
        <w:rPr>
          <w:spacing w:val="-2"/>
          <w:sz w:val="22"/>
          <w:szCs w:val="22"/>
          <w:lang w:val="en-US"/>
        </w:rPr>
        <w:t xml:space="preserve"> </w:t>
      </w:r>
      <w:r w:rsidRPr="00A90E2D">
        <w:rPr>
          <w:sz w:val="22"/>
          <w:szCs w:val="22"/>
          <w:lang w:val="en-US"/>
        </w:rPr>
        <w:t>Jr.</w:t>
      </w:r>
      <w:r w:rsidRPr="00A90E2D">
        <w:rPr>
          <w:spacing w:val="-3"/>
          <w:sz w:val="22"/>
          <w:szCs w:val="22"/>
          <w:lang w:val="en-US"/>
        </w:rPr>
        <w:t xml:space="preserve"> </w:t>
      </w:r>
      <w:r w:rsidRPr="00A90E2D">
        <w:rPr>
          <w:sz w:val="22"/>
          <w:szCs w:val="22"/>
          <w:lang w:val="en-US"/>
        </w:rPr>
        <w:t>(1989):</w:t>
      </w:r>
      <w:r w:rsidRPr="00A90E2D">
        <w:rPr>
          <w:spacing w:val="-2"/>
          <w:sz w:val="22"/>
          <w:szCs w:val="22"/>
          <w:lang w:val="en-US"/>
        </w:rPr>
        <w:t xml:space="preserve"> </w:t>
      </w:r>
      <w:r w:rsidRPr="00A90E2D">
        <w:rPr>
          <w:sz w:val="22"/>
          <w:szCs w:val="22"/>
          <w:lang w:val="en-US"/>
        </w:rPr>
        <w:t>Organizational Culture</w:t>
      </w:r>
      <w:r w:rsidRPr="00A90E2D">
        <w:rPr>
          <w:spacing w:val="-3"/>
          <w:sz w:val="22"/>
          <w:szCs w:val="22"/>
          <w:lang w:val="en-US"/>
        </w:rPr>
        <w:t xml:space="preserve"> </w:t>
      </w:r>
      <w:r w:rsidRPr="00A90E2D">
        <w:rPr>
          <w:sz w:val="22"/>
          <w:szCs w:val="22"/>
          <w:lang w:val="en-US"/>
        </w:rPr>
        <w:t>and</w:t>
      </w:r>
      <w:r w:rsidRPr="00A90E2D">
        <w:rPr>
          <w:spacing w:val="-2"/>
          <w:sz w:val="22"/>
          <w:szCs w:val="22"/>
          <w:lang w:val="en-US"/>
        </w:rPr>
        <w:t xml:space="preserve"> </w:t>
      </w:r>
      <w:r w:rsidRPr="00A90E2D">
        <w:rPr>
          <w:sz w:val="22"/>
          <w:szCs w:val="22"/>
          <w:lang w:val="en-US"/>
        </w:rPr>
        <w:t>Marketing. Defining</w:t>
      </w:r>
      <w:r w:rsidRPr="00A90E2D">
        <w:rPr>
          <w:spacing w:val="-2"/>
          <w:sz w:val="22"/>
          <w:szCs w:val="22"/>
          <w:lang w:val="en-US"/>
        </w:rPr>
        <w:t xml:space="preserve"> </w:t>
      </w:r>
      <w:r w:rsidRPr="00A90E2D">
        <w:rPr>
          <w:sz w:val="22"/>
          <w:szCs w:val="22"/>
          <w:lang w:val="en-US"/>
        </w:rPr>
        <w:t>the</w:t>
      </w:r>
      <w:r w:rsidRPr="00A90E2D">
        <w:rPr>
          <w:spacing w:val="-3"/>
          <w:sz w:val="22"/>
          <w:szCs w:val="22"/>
          <w:lang w:val="en-US"/>
        </w:rPr>
        <w:t xml:space="preserve"> </w:t>
      </w:r>
      <w:r w:rsidRPr="00A90E2D">
        <w:rPr>
          <w:sz w:val="22"/>
          <w:szCs w:val="22"/>
          <w:lang w:val="en-US"/>
        </w:rPr>
        <w:t>Research</w:t>
      </w:r>
      <w:r w:rsidRPr="00A90E2D">
        <w:rPr>
          <w:spacing w:val="40"/>
          <w:sz w:val="22"/>
          <w:szCs w:val="22"/>
          <w:lang w:val="en-US"/>
        </w:rPr>
        <w:t xml:space="preserve"> </w:t>
      </w:r>
      <w:r w:rsidRPr="00A90E2D">
        <w:rPr>
          <w:sz w:val="22"/>
          <w:szCs w:val="22"/>
          <w:lang w:val="en-US"/>
        </w:rPr>
        <w:t>Agenda, Journal of Marketing, 53(1): 3-15.</w:t>
      </w:r>
      <w:r w:rsidRPr="00A90E2D">
        <w:rPr>
          <w:spacing w:val="80"/>
          <w:sz w:val="22"/>
          <w:szCs w:val="22"/>
          <w:lang w:val="en-US"/>
        </w:rPr>
        <w:t xml:space="preserve"> </w:t>
      </w:r>
      <w:r w:rsidRPr="00A90E2D">
        <w:rPr>
          <w:sz w:val="22"/>
          <w:szCs w:val="22"/>
          <w:lang w:val="en-US"/>
        </w:rPr>
        <w:t>Dmoch, T. (1997): Interkulturelle Werbung,</w:t>
      </w:r>
      <w:r w:rsidRPr="00A90E2D">
        <w:rPr>
          <w:spacing w:val="40"/>
          <w:sz w:val="22"/>
          <w:szCs w:val="22"/>
          <w:lang w:val="en-US"/>
        </w:rPr>
        <w:t xml:space="preserve"> </w:t>
      </w:r>
      <w:r w:rsidRPr="00A90E2D">
        <w:rPr>
          <w:sz w:val="22"/>
          <w:szCs w:val="22"/>
          <w:lang w:val="en-US"/>
        </w:rPr>
        <w:t>Aachen: Shaker.</w:t>
      </w:r>
      <w:r w:rsidRPr="00A90E2D">
        <w:rPr>
          <w:spacing w:val="80"/>
          <w:sz w:val="22"/>
          <w:szCs w:val="22"/>
          <w:lang w:val="en-US"/>
        </w:rPr>
        <w:t xml:space="preserve"> </w:t>
      </w:r>
      <w:r w:rsidRPr="00A90E2D">
        <w:rPr>
          <w:sz w:val="22"/>
          <w:szCs w:val="22"/>
          <w:lang w:val="en-US"/>
        </w:rPr>
        <w:t>Goodenough, W.H. (1957): Cultural Anthropology and Linguistics, in:</w:t>
      </w:r>
      <w:r w:rsidRPr="00A90E2D">
        <w:rPr>
          <w:spacing w:val="40"/>
          <w:sz w:val="22"/>
          <w:szCs w:val="22"/>
          <w:lang w:val="en-US"/>
        </w:rPr>
        <w:t xml:space="preserve"> </w:t>
      </w:r>
      <w:r w:rsidRPr="00A90E2D">
        <w:rPr>
          <w:sz w:val="22"/>
          <w:szCs w:val="22"/>
          <w:lang w:val="en-US"/>
        </w:rPr>
        <w:t>Garvin, P.L. (Ed.), Report on the 7th Annual Round Table Meeting on Linguistics and</w:t>
      </w:r>
      <w:r w:rsidRPr="00A90E2D">
        <w:rPr>
          <w:spacing w:val="40"/>
          <w:sz w:val="22"/>
          <w:szCs w:val="22"/>
          <w:lang w:val="en-US"/>
        </w:rPr>
        <w:t xml:space="preserve"> </w:t>
      </w:r>
      <w:r w:rsidRPr="00A90E2D">
        <w:rPr>
          <w:sz w:val="22"/>
          <w:szCs w:val="22"/>
          <w:lang w:val="en-US"/>
        </w:rPr>
        <w:t>Language Study, 109-173, Washington D.C.</w:t>
      </w:r>
      <w:r w:rsidRPr="00A90E2D">
        <w:rPr>
          <w:spacing w:val="80"/>
          <w:sz w:val="22"/>
          <w:szCs w:val="22"/>
          <w:lang w:val="en-US"/>
        </w:rPr>
        <w:t xml:space="preserve"> </w:t>
      </w:r>
      <w:r w:rsidRPr="00A90E2D">
        <w:rPr>
          <w:sz w:val="22"/>
          <w:szCs w:val="22"/>
          <w:lang w:val="en-US"/>
        </w:rPr>
        <w:t>Harbison, F.H.;</w:t>
      </w:r>
      <w:r w:rsidRPr="00A90E2D">
        <w:rPr>
          <w:spacing w:val="-1"/>
          <w:sz w:val="22"/>
          <w:szCs w:val="22"/>
          <w:lang w:val="en-US"/>
        </w:rPr>
        <w:t xml:space="preserve"> </w:t>
      </w:r>
      <w:r w:rsidRPr="00A90E2D">
        <w:rPr>
          <w:sz w:val="22"/>
          <w:szCs w:val="22"/>
          <w:lang w:val="en-US"/>
        </w:rPr>
        <w:t>Myers, C.A. (Eds.)</w:t>
      </w:r>
      <w:r w:rsidRPr="00A90E2D">
        <w:rPr>
          <w:spacing w:val="-1"/>
          <w:sz w:val="22"/>
          <w:szCs w:val="22"/>
          <w:lang w:val="en-US"/>
        </w:rPr>
        <w:t xml:space="preserve"> </w:t>
      </w:r>
      <w:r w:rsidRPr="002B4224">
        <w:rPr>
          <w:sz w:val="22"/>
          <w:szCs w:val="22"/>
          <w:lang w:val="en-US"/>
        </w:rPr>
        <w:t>(1959):</w:t>
      </w:r>
      <w:r w:rsidRPr="002B4224">
        <w:rPr>
          <w:spacing w:val="40"/>
          <w:sz w:val="22"/>
          <w:szCs w:val="22"/>
          <w:lang w:val="en-US"/>
        </w:rPr>
        <w:t xml:space="preserve"> </w:t>
      </w:r>
      <w:r w:rsidRPr="002B4224">
        <w:rPr>
          <w:sz w:val="22"/>
          <w:szCs w:val="22"/>
          <w:lang w:val="en-US"/>
        </w:rPr>
        <w:t>Management</w:t>
      </w:r>
      <w:r w:rsidRPr="002B4224">
        <w:rPr>
          <w:spacing w:val="-1"/>
          <w:sz w:val="22"/>
          <w:szCs w:val="22"/>
          <w:lang w:val="en-US"/>
        </w:rPr>
        <w:t xml:space="preserve"> </w:t>
      </w:r>
      <w:r w:rsidRPr="002B4224">
        <w:rPr>
          <w:sz w:val="22"/>
          <w:szCs w:val="22"/>
          <w:lang w:val="en-US"/>
        </w:rPr>
        <w:t>in</w:t>
      </w:r>
      <w:r w:rsidRPr="002B4224">
        <w:rPr>
          <w:spacing w:val="-1"/>
          <w:sz w:val="22"/>
          <w:szCs w:val="22"/>
          <w:lang w:val="en-US"/>
        </w:rPr>
        <w:t xml:space="preserve"> </w:t>
      </w:r>
      <w:r w:rsidRPr="002B4224">
        <w:rPr>
          <w:sz w:val="22"/>
          <w:szCs w:val="22"/>
          <w:lang w:val="en-US"/>
        </w:rPr>
        <w:t>the</w:t>
      </w:r>
      <w:r w:rsidRPr="002B4224">
        <w:rPr>
          <w:spacing w:val="-2"/>
          <w:sz w:val="22"/>
          <w:szCs w:val="22"/>
          <w:lang w:val="en-US"/>
        </w:rPr>
        <w:t xml:space="preserve"> </w:t>
      </w:r>
      <w:r w:rsidRPr="002B4224">
        <w:rPr>
          <w:sz w:val="22"/>
          <w:szCs w:val="22"/>
          <w:lang w:val="en-US"/>
        </w:rPr>
        <w:t>Industrial</w:t>
      </w:r>
      <w:r w:rsidRPr="002B4224">
        <w:rPr>
          <w:spacing w:val="-1"/>
          <w:sz w:val="22"/>
          <w:szCs w:val="22"/>
          <w:lang w:val="en-US"/>
        </w:rPr>
        <w:t xml:space="preserve"> </w:t>
      </w:r>
      <w:r w:rsidRPr="002B4224">
        <w:rPr>
          <w:sz w:val="22"/>
          <w:szCs w:val="22"/>
          <w:lang w:val="en-US"/>
        </w:rPr>
        <w:t xml:space="preserve">World. </w:t>
      </w:r>
      <w:r w:rsidRPr="00E17A2B">
        <w:rPr>
          <w:sz w:val="22"/>
          <w:szCs w:val="22"/>
        </w:rPr>
        <w:t>An International</w:t>
      </w:r>
      <w:r w:rsidRPr="00E17A2B">
        <w:rPr>
          <w:spacing w:val="-1"/>
          <w:sz w:val="22"/>
          <w:szCs w:val="22"/>
        </w:rPr>
        <w:t xml:space="preserve"> </w:t>
      </w:r>
      <w:r w:rsidRPr="00E17A2B">
        <w:rPr>
          <w:sz w:val="22"/>
          <w:szCs w:val="22"/>
        </w:rPr>
        <w:t>Analysis, New</w:t>
      </w:r>
      <w:r w:rsidRPr="00E17A2B">
        <w:rPr>
          <w:spacing w:val="-1"/>
          <w:sz w:val="22"/>
          <w:szCs w:val="22"/>
        </w:rPr>
        <w:t xml:space="preserve"> </w:t>
      </w:r>
      <w:r w:rsidRPr="00E17A2B">
        <w:rPr>
          <w:sz w:val="22"/>
          <w:szCs w:val="22"/>
        </w:rPr>
        <w:t>York:</w:t>
      </w:r>
      <w:r w:rsidRPr="00E17A2B">
        <w:rPr>
          <w:spacing w:val="-1"/>
          <w:sz w:val="22"/>
          <w:szCs w:val="22"/>
        </w:rPr>
        <w:t xml:space="preserve"> </w:t>
      </w:r>
      <w:r w:rsidRPr="00E17A2B">
        <w:rPr>
          <w:sz w:val="22"/>
          <w:szCs w:val="22"/>
        </w:rPr>
        <w:t>McGraw-Hill.</w:t>
      </w:r>
      <w:r w:rsidRPr="00E17A2B">
        <w:rPr>
          <w:spacing w:val="40"/>
          <w:sz w:val="22"/>
          <w:szCs w:val="22"/>
        </w:rPr>
        <w:t xml:space="preserve"> </w:t>
      </w:r>
      <w:r w:rsidRPr="00A90E2D">
        <w:rPr>
          <w:sz w:val="22"/>
          <w:szCs w:val="22"/>
        </w:rPr>
        <w:t>Hentze, J. (1987): Kulturvergleichende Managementforschung, Die Unternehmung, 4(3): 170-185.</w:t>
      </w:r>
      <w:r w:rsidRPr="00A90E2D">
        <w:rPr>
          <w:spacing w:val="80"/>
          <w:sz w:val="22"/>
          <w:szCs w:val="22"/>
        </w:rPr>
        <w:t xml:space="preserve"> </w:t>
      </w:r>
      <w:r w:rsidRPr="00E17A2B">
        <w:rPr>
          <w:sz w:val="22"/>
          <w:szCs w:val="22"/>
          <w:lang w:val="en-US"/>
        </w:rPr>
        <w:t>Herskovits, M.J. (1948): Man and his Works. The Science of Cultural</w:t>
      </w:r>
      <w:r w:rsidRPr="00E17A2B">
        <w:rPr>
          <w:spacing w:val="40"/>
          <w:sz w:val="22"/>
          <w:szCs w:val="22"/>
          <w:lang w:val="en-US"/>
        </w:rPr>
        <w:t xml:space="preserve"> </w:t>
      </w:r>
      <w:r w:rsidRPr="00E17A2B">
        <w:rPr>
          <w:sz w:val="22"/>
          <w:szCs w:val="22"/>
          <w:lang w:val="en-US"/>
        </w:rPr>
        <w:t>Anthropology, New York: Knopf.</w:t>
      </w:r>
      <w:r w:rsidRPr="00E17A2B">
        <w:rPr>
          <w:spacing w:val="80"/>
          <w:sz w:val="22"/>
          <w:szCs w:val="22"/>
          <w:lang w:val="en-US"/>
        </w:rPr>
        <w:t xml:space="preserve"> </w:t>
      </w:r>
      <w:r w:rsidRPr="00A90E2D">
        <w:rPr>
          <w:sz w:val="22"/>
          <w:szCs w:val="22"/>
        </w:rPr>
        <w:t>Holzmüller, H.H. (1989): Konsumentenforschung,</w:t>
      </w:r>
      <w:r w:rsidRPr="00A90E2D">
        <w:rPr>
          <w:spacing w:val="40"/>
          <w:sz w:val="22"/>
          <w:szCs w:val="22"/>
        </w:rPr>
        <w:t xml:space="preserve"> </w:t>
      </w:r>
      <w:r w:rsidRPr="00A90E2D">
        <w:rPr>
          <w:sz w:val="22"/>
          <w:szCs w:val="22"/>
        </w:rPr>
        <w:t>interkulturelle, in: Macharzina, K.; Welge, M. K. (Hrsg.), Handwörterbuch Export und</w:t>
      </w:r>
      <w:r w:rsidRPr="00A90E2D">
        <w:rPr>
          <w:spacing w:val="40"/>
          <w:sz w:val="22"/>
          <w:szCs w:val="22"/>
        </w:rPr>
        <w:t xml:space="preserve"> </w:t>
      </w:r>
      <w:r w:rsidRPr="00A90E2D">
        <w:rPr>
          <w:sz w:val="22"/>
          <w:szCs w:val="22"/>
        </w:rPr>
        <w:t>Internationale Unternehmung, 1143-1157, Stuttgart: Schäffer-Poeschel.</w:t>
      </w:r>
      <w:r w:rsidRPr="00A90E2D">
        <w:rPr>
          <w:spacing w:val="80"/>
          <w:sz w:val="22"/>
          <w:szCs w:val="22"/>
        </w:rPr>
        <w:t xml:space="preserve"> </w:t>
      </w:r>
      <w:r w:rsidRPr="00A90E2D">
        <w:rPr>
          <w:sz w:val="22"/>
          <w:szCs w:val="22"/>
          <w:lang w:val="en-US"/>
        </w:rPr>
        <w:t>Kroeber, A.L.;</w:t>
      </w:r>
      <w:r w:rsidRPr="00A90E2D">
        <w:rPr>
          <w:spacing w:val="40"/>
          <w:sz w:val="22"/>
          <w:szCs w:val="22"/>
          <w:lang w:val="en-US"/>
        </w:rPr>
        <w:t xml:space="preserve"> </w:t>
      </w:r>
      <w:r w:rsidRPr="00A90E2D">
        <w:rPr>
          <w:sz w:val="22"/>
          <w:szCs w:val="22"/>
          <w:lang w:val="en-US"/>
        </w:rPr>
        <w:t>Kluckhohn, C. (1952): Culture. A Critical Review of Concepts and Definitions,</w:t>
      </w:r>
      <w:r w:rsidRPr="00A90E2D">
        <w:rPr>
          <w:spacing w:val="40"/>
          <w:sz w:val="22"/>
          <w:szCs w:val="22"/>
          <w:lang w:val="en-US"/>
        </w:rPr>
        <w:t xml:space="preserve"> </w:t>
      </w:r>
      <w:r w:rsidRPr="00A90E2D">
        <w:rPr>
          <w:sz w:val="22"/>
          <w:szCs w:val="22"/>
          <w:lang w:val="en-US"/>
        </w:rPr>
        <w:t>Cambridge/MA: Peabody Museum of Archaeology &amp; Ethnology, Harvard University.</w:t>
      </w:r>
      <w:r w:rsidRPr="00A90E2D">
        <w:rPr>
          <w:spacing w:val="40"/>
          <w:sz w:val="22"/>
          <w:szCs w:val="22"/>
          <w:lang w:val="en-US"/>
        </w:rPr>
        <w:t xml:space="preserve"> </w:t>
      </w:r>
      <w:r w:rsidRPr="00A90E2D">
        <w:rPr>
          <w:sz w:val="22"/>
          <w:szCs w:val="22"/>
        </w:rPr>
        <w:t>Mauritz, H. (1996): Interkulturelle Geschäftsbeziehungen, Wiesbaden: DUV.</w:t>
      </w:r>
      <w:r w:rsidRPr="00A90E2D">
        <w:rPr>
          <w:spacing w:val="80"/>
          <w:sz w:val="22"/>
          <w:szCs w:val="22"/>
        </w:rPr>
        <w:t xml:space="preserve"> </w:t>
      </w:r>
      <w:r w:rsidRPr="00A90E2D">
        <w:rPr>
          <w:sz w:val="22"/>
          <w:szCs w:val="22"/>
        </w:rPr>
        <w:t>Linton, R.</w:t>
      </w:r>
      <w:r w:rsidRPr="00A90E2D">
        <w:rPr>
          <w:spacing w:val="40"/>
          <w:sz w:val="22"/>
          <w:szCs w:val="22"/>
        </w:rPr>
        <w:t xml:space="preserve"> </w:t>
      </w:r>
      <w:r w:rsidRPr="00A90E2D">
        <w:rPr>
          <w:sz w:val="22"/>
          <w:szCs w:val="22"/>
        </w:rPr>
        <w:t>(1974): Gesellschaft, Kultur und Individuum, Frankfurt/Main: S. Fischer.</w:t>
      </w:r>
      <w:r w:rsidRPr="00A90E2D">
        <w:rPr>
          <w:spacing w:val="80"/>
          <w:sz w:val="22"/>
          <w:szCs w:val="22"/>
        </w:rPr>
        <w:t xml:space="preserve"> </w:t>
      </w:r>
      <w:r w:rsidRPr="00A90E2D">
        <w:rPr>
          <w:sz w:val="22"/>
          <w:szCs w:val="22"/>
        </w:rPr>
        <w:t>Müller, S.;</w:t>
      </w:r>
      <w:r w:rsidRPr="00A90E2D">
        <w:rPr>
          <w:spacing w:val="40"/>
          <w:sz w:val="22"/>
          <w:szCs w:val="22"/>
        </w:rPr>
        <w:t xml:space="preserve"> </w:t>
      </w:r>
      <w:r w:rsidRPr="00A90E2D">
        <w:rPr>
          <w:sz w:val="22"/>
          <w:szCs w:val="22"/>
        </w:rPr>
        <w:t>Gelbrich, K. (2014): Interkulturelle Kommunikation, München: Vahlen.</w:t>
      </w:r>
      <w:r w:rsidRPr="00A90E2D">
        <w:rPr>
          <w:spacing w:val="80"/>
          <w:sz w:val="22"/>
          <w:szCs w:val="22"/>
        </w:rPr>
        <w:t xml:space="preserve"> </w:t>
      </w:r>
      <w:r w:rsidRPr="00A90E2D">
        <w:rPr>
          <w:sz w:val="22"/>
          <w:szCs w:val="22"/>
        </w:rPr>
        <w:t>Müller, S.;</w:t>
      </w:r>
      <w:r w:rsidRPr="00A90E2D">
        <w:rPr>
          <w:spacing w:val="40"/>
          <w:sz w:val="22"/>
          <w:szCs w:val="22"/>
        </w:rPr>
        <w:t xml:space="preserve"> </w:t>
      </w:r>
      <w:r w:rsidRPr="00A90E2D">
        <w:rPr>
          <w:sz w:val="22"/>
          <w:szCs w:val="22"/>
        </w:rPr>
        <w:t>Gelbrich,</w:t>
      </w:r>
      <w:r w:rsidRPr="00A90E2D">
        <w:rPr>
          <w:spacing w:val="-5"/>
          <w:sz w:val="22"/>
          <w:szCs w:val="22"/>
        </w:rPr>
        <w:t xml:space="preserve"> </w:t>
      </w:r>
      <w:r w:rsidRPr="00A90E2D">
        <w:rPr>
          <w:sz w:val="22"/>
          <w:szCs w:val="22"/>
        </w:rPr>
        <w:t>K.</w:t>
      </w:r>
      <w:r w:rsidRPr="00A90E2D">
        <w:rPr>
          <w:spacing w:val="-1"/>
          <w:sz w:val="22"/>
          <w:szCs w:val="22"/>
        </w:rPr>
        <w:t xml:space="preserve"> </w:t>
      </w:r>
      <w:r w:rsidRPr="00A90E2D">
        <w:rPr>
          <w:sz w:val="22"/>
          <w:szCs w:val="22"/>
        </w:rPr>
        <w:t>(2015):</w:t>
      </w:r>
      <w:r w:rsidRPr="00A90E2D">
        <w:rPr>
          <w:spacing w:val="-2"/>
          <w:sz w:val="22"/>
          <w:szCs w:val="22"/>
        </w:rPr>
        <w:t xml:space="preserve"> </w:t>
      </w:r>
      <w:r w:rsidRPr="00A90E2D">
        <w:rPr>
          <w:sz w:val="22"/>
          <w:szCs w:val="22"/>
        </w:rPr>
        <w:t>Interkulturelles</w:t>
      </w:r>
      <w:r w:rsidRPr="00A90E2D">
        <w:rPr>
          <w:spacing w:val="-3"/>
          <w:sz w:val="22"/>
          <w:szCs w:val="22"/>
        </w:rPr>
        <w:t xml:space="preserve"> </w:t>
      </w:r>
      <w:r w:rsidRPr="00A90E2D">
        <w:rPr>
          <w:sz w:val="22"/>
          <w:szCs w:val="22"/>
        </w:rPr>
        <w:t>Marketing,</w:t>
      </w:r>
      <w:r w:rsidRPr="00A90E2D">
        <w:rPr>
          <w:spacing w:val="-5"/>
          <w:sz w:val="22"/>
          <w:szCs w:val="22"/>
        </w:rPr>
        <w:t xml:space="preserve"> </w:t>
      </w:r>
      <w:r w:rsidRPr="00A90E2D">
        <w:rPr>
          <w:sz w:val="22"/>
          <w:szCs w:val="22"/>
        </w:rPr>
        <w:t>2.Aufl.,</w:t>
      </w:r>
      <w:r w:rsidRPr="00A90E2D">
        <w:rPr>
          <w:spacing w:val="-5"/>
          <w:sz w:val="22"/>
          <w:szCs w:val="22"/>
        </w:rPr>
        <w:t xml:space="preserve"> </w:t>
      </w:r>
      <w:r w:rsidRPr="00A90E2D">
        <w:rPr>
          <w:sz w:val="22"/>
          <w:szCs w:val="22"/>
        </w:rPr>
        <w:t>München:</w:t>
      </w:r>
      <w:r w:rsidRPr="00A90E2D">
        <w:rPr>
          <w:spacing w:val="-4"/>
          <w:sz w:val="22"/>
          <w:szCs w:val="22"/>
        </w:rPr>
        <w:t xml:space="preserve"> </w:t>
      </w:r>
      <w:r w:rsidRPr="00A90E2D">
        <w:rPr>
          <w:sz w:val="22"/>
          <w:szCs w:val="22"/>
        </w:rPr>
        <w:t>Vahlen.</w:t>
      </w:r>
      <w:r w:rsidRPr="00A90E2D">
        <w:rPr>
          <w:spacing w:val="80"/>
          <w:sz w:val="22"/>
          <w:szCs w:val="22"/>
        </w:rPr>
        <w:t xml:space="preserve"> </w:t>
      </w:r>
      <w:r w:rsidRPr="00A90E2D">
        <w:rPr>
          <w:sz w:val="22"/>
          <w:szCs w:val="22"/>
        </w:rPr>
        <w:t>Meissner,</w:t>
      </w:r>
      <w:r w:rsidRPr="00A90E2D">
        <w:rPr>
          <w:spacing w:val="-2"/>
          <w:sz w:val="22"/>
          <w:szCs w:val="22"/>
        </w:rPr>
        <w:t xml:space="preserve"> </w:t>
      </w:r>
      <w:r w:rsidRPr="00A90E2D">
        <w:rPr>
          <w:sz w:val="22"/>
          <w:szCs w:val="22"/>
        </w:rPr>
        <w:t>H.G. (1997): Der Kulturschock in der Betriebswirtschaftslehre, in: Engelhard, J. (Hrsg.),</w:t>
      </w:r>
      <w:r w:rsidRPr="00A90E2D">
        <w:rPr>
          <w:spacing w:val="40"/>
          <w:sz w:val="22"/>
          <w:szCs w:val="22"/>
        </w:rPr>
        <w:t xml:space="preserve"> </w:t>
      </w:r>
      <w:r w:rsidRPr="00A90E2D">
        <w:rPr>
          <w:sz w:val="22"/>
          <w:szCs w:val="22"/>
        </w:rPr>
        <w:t>Interkulturelles</w:t>
      </w:r>
      <w:r w:rsidRPr="00A90E2D">
        <w:rPr>
          <w:spacing w:val="-3"/>
          <w:sz w:val="22"/>
          <w:szCs w:val="22"/>
        </w:rPr>
        <w:t xml:space="preserve"> </w:t>
      </w:r>
      <w:r w:rsidRPr="00A90E2D">
        <w:rPr>
          <w:sz w:val="22"/>
          <w:szCs w:val="22"/>
        </w:rPr>
        <w:t>Management,</w:t>
      </w:r>
      <w:r w:rsidRPr="00A90E2D">
        <w:rPr>
          <w:spacing w:val="-3"/>
          <w:sz w:val="22"/>
          <w:szCs w:val="22"/>
        </w:rPr>
        <w:t xml:space="preserve"> </w:t>
      </w:r>
      <w:r w:rsidRPr="00A90E2D">
        <w:rPr>
          <w:sz w:val="22"/>
          <w:szCs w:val="22"/>
        </w:rPr>
        <w:t>1-14,</w:t>
      </w:r>
      <w:r w:rsidRPr="00A90E2D">
        <w:rPr>
          <w:spacing w:val="-3"/>
          <w:sz w:val="22"/>
          <w:szCs w:val="22"/>
        </w:rPr>
        <w:t xml:space="preserve"> </w:t>
      </w:r>
      <w:r w:rsidRPr="00A90E2D">
        <w:rPr>
          <w:sz w:val="22"/>
          <w:szCs w:val="22"/>
        </w:rPr>
        <w:t>Wiesbaden:</w:t>
      </w:r>
      <w:r w:rsidRPr="00A90E2D">
        <w:rPr>
          <w:spacing w:val="-2"/>
          <w:sz w:val="22"/>
          <w:szCs w:val="22"/>
        </w:rPr>
        <w:t xml:space="preserve"> </w:t>
      </w:r>
      <w:r w:rsidRPr="00A90E2D">
        <w:rPr>
          <w:sz w:val="22"/>
          <w:szCs w:val="22"/>
        </w:rPr>
        <w:t>Gabler.</w:t>
      </w:r>
      <w:r w:rsidRPr="00A90E2D">
        <w:rPr>
          <w:spacing w:val="80"/>
          <w:sz w:val="22"/>
          <w:szCs w:val="22"/>
        </w:rPr>
        <w:t xml:space="preserve"> </w:t>
      </w:r>
      <w:r w:rsidRPr="00A90E2D">
        <w:rPr>
          <w:sz w:val="22"/>
          <w:szCs w:val="22"/>
        </w:rPr>
        <w:t>Raffée, H.</w:t>
      </w:r>
      <w:r w:rsidRPr="00A90E2D">
        <w:rPr>
          <w:spacing w:val="-2"/>
          <w:sz w:val="22"/>
          <w:szCs w:val="22"/>
        </w:rPr>
        <w:t xml:space="preserve"> </w:t>
      </w:r>
      <w:r w:rsidRPr="00A90E2D">
        <w:rPr>
          <w:sz w:val="22"/>
          <w:szCs w:val="22"/>
        </w:rPr>
        <w:t>(1979):</w:t>
      </w:r>
      <w:r w:rsidRPr="00A90E2D">
        <w:rPr>
          <w:spacing w:val="-2"/>
          <w:sz w:val="22"/>
          <w:szCs w:val="22"/>
        </w:rPr>
        <w:t xml:space="preserve"> </w:t>
      </w:r>
      <w:r w:rsidRPr="00A90E2D">
        <w:rPr>
          <w:sz w:val="22"/>
          <w:szCs w:val="22"/>
        </w:rPr>
        <w:t>Marketing</w:t>
      </w:r>
      <w:r w:rsidRPr="00A90E2D">
        <w:rPr>
          <w:spacing w:val="-2"/>
          <w:sz w:val="22"/>
          <w:szCs w:val="22"/>
        </w:rPr>
        <w:t xml:space="preserve"> </w:t>
      </w:r>
      <w:r w:rsidRPr="00A90E2D">
        <w:rPr>
          <w:sz w:val="22"/>
          <w:szCs w:val="22"/>
        </w:rPr>
        <w:t>und</w:t>
      </w:r>
      <w:r w:rsidRPr="00A90E2D">
        <w:rPr>
          <w:spacing w:val="40"/>
          <w:sz w:val="22"/>
          <w:szCs w:val="22"/>
        </w:rPr>
        <w:t xml:space="preserve"> </w:t>
      </w:r>
      <w:r w:rsidRPr="00A90E2D">
        <w:rPr>
          <w:sz w:val="22"/>
          <w:szCs w:val="22"/>
        </w:rPr>
        <w:t>Umwelt, Stuttgart: Poeschel.</w:t>
      </w:r>
      <w:r w:rsidRPr="00A90E2D">
        <w:rPr>
          <w:spacing w:val="80"/>
          <w:sz w:val="22"/>
          <w:szCs w:val="22"/>
        </w:rPr>
        <w:t xml:space="preserve"> </w:t>
      </w:r>
      <w:r w:rsidRPr="00A90E2D">
        <w:rPr>
          <w:sz w:val="22"/>
          <w:szCs w:val="22"/>
        </w:rPr>
        <w:t>Redding, S.G. (1994): Comparative Management Theory.</w:t>
      </w:r>
      <w:r w:rsidRPr="00A90E2D">
        <w:rPr>
          <w:spacing w:val="40"/>
          <w:sz w:val="22"/>
          <w:szCs w:val="22"/>
        </w:rPr>
        <w:t xml:space="preserve"> </w:t>
      </w:r>
      <w:r w:rsidRPr="00A90E2D">
        <w:rPr>
          <w:sz w:val="22"/>
          <w:szCs w:val="22"/>
        </w:rPr>
        <w:t>Jungle, Zoo, or Fossil Bed? Organization Studies, 15(3): 323-359.</w:t>
      </w:r>
      <w:r w:rsidRPr="00A90E2D">
        <w:rPr>
          <w:spacing w:val="80"/>
          <w:sz w:val="22"/>
          <w:szCs w:val="22"/>
        </w:rPr>
        <w:t xml:space="preserve"> </w:t>
      </w:r>
      <w:r w:rsidRPr="00A90E2D">
        <w:rPr>
          <w:sz w:val="22"/>
          <w:szCs w:val="22"/>
        </w:rPr>
        <w:t>Reineke, R.-D. (1989):</w:t>
      </w:r>
      <w:r w:rsidRPr="00A90E2D">
        <w:rPr>
          <w:spacing w:val="40"/>
          <w:sz w:val="22"/>
          <w:szCs w:val="22"/>
        </w:rPr>
        <w:t xml:space="preserve"> </w:t>
      </w:r>
      <w:r w:rsidRPr="00A90E2D">
        <w:rPr>
          <w:sz w:val="22"/>
          <w:szCs w:val="22"/>
        </w:rPr>
        <w:t>Akkulturation von Auslandsakquisitionen, Wiesbaden: Gabler.</w:t>
      </w:r>
      <w:r w:rsidRPr="00A90E2D">
        <w:rPr>
          <w:spacing w:val="80"/>
          <w:sz w:val="22"/>
          <w:szCs w:val="22"/>
        </w:rPr>
        <w:t xml:space="preserve"> </w:t>
      </w:r>
      <w:r w:rsidRPr="00A90E2D">
        <w:rPr>
          <w:sz w:val="22"/>
          <w:szCs w:val="22"/>
        </w:rPr>
        <w:t>Oberndörfer, D. (1996):</w:t>
      </w:r>
      <w:r w:rsidRPr="00A90E2D">
        <w:rPr>
          <w:spacing w:val="40"/>
          <w:sz w:val="22"/>
          <w:szCs w:val="22"/>
        </w:rPr>
        <w:t xml:space="preserve"> </w:t>
      </w:r>
      <w:r w:rsidRPr="00A90E2D">
        <w:rPr>
          <w:sz w:val="22"/>
          <w:szCs w:val="22"/>
        </w:rPr>
        <w:t>Die politische Gemeinschaft und ihre Kultur.</w:t>
      </w:r>
      <w:r w:rsidRPr="00A90E2D">
        <w:rPr>
          <w:spacing w:val="40"/>
          <w:sz w:val="22"/>
          <w:szCs w:val="22"/>
        </w:rPr>
        <w:t xml:space="preserve"> </w:t>
      </w:r>
      <w:r w:rsidRPr="00A90E2D">
        <w:rPr>
          <w:sz w:val="22"/>
          <w:szCs w:val="22"/>
        </w:rPr>
        <w:t>Zum Gegensatz zwischen kulturellem</w:t>
      </w:r>
      <w:r w:rsidRPr="00A90E2D">
        <w:rPr>
          <w:spacing w:val="40"/>
          <w:sz w:val="22"/>
          <w:szCs w:val="22"/>
        </w:rPr>
        <w:t xml:space="preserve"> </w:t>
      </w:r>
      <w:r w:rsidRPr="00A90E2D">
        <w:rPr>
          <w:sz w:val="22"/>
          <w:szCs w:val="22"/>
        </w:rPr>
        <w:t>Pluralismus und Multikulturalismus, Aus Politik und Zeitgeschichte, 46(B52/53): 37-46.</w:t>
      </w:r>
      <w:r w:rsidRPr="00A90E2D">
        <w:rPr>
          <w:spacing w:val="40"/>
          <w:sz w:val="22"/>
          <w:szCs w:val="22"/>
        </w:rPr>
        <w:t xml:space="preserve"> </w:t>
      </w:r>
      <w:r w:rsidRPr="00A90E2D">
        <w:rPr>
          <w:sz w:val="22"/>
          <w:szCs w:val="22"/>
        </w:rPr>
        <w:t>Rohner, P.M. (1984): Die Entwicklung eines schweizerischen Sprachbewusstseins bei</w:t>
      </w:r>
      <w:r w:rsidRPr="00A90E2D">
        <w:rPr>
          <w:spacing w:val="40"/>
          <w:sz w:val="22"/>
          <w:szCs w:val="22"/>
        </w:rPr>
        <w:t xml:space="preserve"> </w:t>
      </w:r>
      <w:r w:rsidRPr="00A90E2D">
        <w:rPr>
          <w:sz w:val="22"/>
          <w:szCs w:val="22"/>
        </w:rPr>
        <w:t>Johann Jacob Bodmer, Zürich: Zentralstelle der Studentenschaft.</w:t>
      </w:r>
      <w:r w:rsidRPr="00A90E2D">
        <w:rPr>
          <w:spacing w:val="80"/>
          <w:sz w:val="22"/>
          <w:szCs w:val="22"/>
        </w:rPr>
        <w:t xml:space="preserve"> </w:t>
      </w:r>
      <w:r w:rsidRPr="00A90E2D">
        <w:rPr>
          <w:sz w:val="22"/>
          <w:szCs w:val="22"/>
        </w:rPr>
        <w:t>Schuh, A. (1997):</w:t>
      </w:r>
      <w:r w:rsidRPr="00A90E2D">
        <w:rPr>
          <w:spacing w:val="40"/>
          <w:sz w:val="22"/>
          <w:szCs w:val="22"/>
        </w:rPr>
        <w:t xml:space="preserve"> </w:t>
      </w:r>
      <w:r w:rsidRPr="00A90E2D">
        <w:rPr>
          <w:sz w:val="22"/>
          <w:szCs w:val="22"/>
        </w:rPr>
        <w:t>Kulturgebundenheit als Bestimmungsfaktor internationaler Marketingstrategien im</w:t>
      </w:r>
      <w:r w:rsidRPr="00A90E2D">
        <w:rPr>
          <w:spacing w:val="40"/>
          <w:sz w:val="22"/>
          <w:szCs w:val="22"/>
        </w:rPr>
        <w:t xml:space="preserve"> </w:t>
      </w:r>
      <w:r w:rsidRPr="00A90E2D">
        <w:rPr>
          <w:sz w:val="22"/>
          <w:szCs w:val="22"/>
        </w:rPr>
        <w:t>Konsumgüterbereich, in: Engelhard, J. (Hrsg.), Interkulturelles Management, 75-94,</w:t>
      </w:r>
      <w:r w:rsidRPr="00A90E2D">
        <w:rPr>
          <w:spacing w:val="40"/>
          <w:sz w:val="22"/>
          <w:szCs w:val="22"/>
        </w:rPr>
        <w:t xml:space="preserve"> </w:t>
      </w:r>
      <w:r w:rsidRPr="00A90E2D">
        <w:rPr>
          <w:sz w:val="22"/>
          <w:szCs w:val="22"/>
        </w:rPr>
        <w:t>Wiesbaden: Gabler.</w:t>
      </w:r>
      <w:r w:rsidRPr="00A90E2D">
        <w:rPr>
          <w:spacing w:val="40"/>
          <w:sz w:val="22"/>
          <w:szCs w:val="22"/>
        </w:rPr>
        <w:t xml:space="preserve"> </w:t>
      </w:r>
      <w:r w:rsidRPr="00A90E2D">
        <w:rPr>
          <w:sz w:val="22"/>
          <w:szCs w:val="22"/>
          <w:lang w:val="en-US"/>
        </w:rPr>
        <w:t>Shweder, R.A.; LeVine, R.A. (Eds.) (1984): Culture Theory.</w:t>
      </w:r>
      <w:r w:rsidRPr="00A90E2D">
        <w:rPr>
          <w:spacing w:val="13"/>
          <w:sz w:val="22"/>
          <w:szCs w:val="22"/>
          <w:lang w:val="en-US"/>
        </w:rPr>
        <w:t xml:space="preserve"> </w:t>
      </w:r>
      <w:r w:rsidRPr="00A90E2D">
        <w:rPr>
          <w:sz w:val="22"/>
          <w:szCs w:val="22"/>
          <w:lang w:val="en-US"/>
        </w:rPr>
        <w:t>Essays</w:t>
      </w:r>
      <w:r w:rsidRPr="00A90E2D">
        <w:rPr>
          <w:spacing w:val="40"/>
          <w:sz w:val="22"/>
          <w:szCs w:val="22"/>
          <w:lang w:val="en-US"/>
        </w:rPr>
        <w:t xml:space="preserve"> </w:t>
      </w:r>
      <w:r w:rsidRPr="00A90E2D">
        <w:rPr>
          <w:sz w:val="22"/>
          <w:szCs w:val="22"/>
          <w:lang w:val="en-US"/>
        </w:rPr>
        <w:t>on Mind, Self and Emotion, Cambridge/Engl.: Cambridge University Press.</w:t>
      </w:r>
      <w:r w:rsidRPr="00A90E2D">
        <w:rPr>
          <w:spacing w:val="80"/>
          <w:sz w:val="22"/>
          <w:szCs w:val="22"/>
          <w:lang w:val="en-US"/>
        </w:rPr>
        <w:t xml:space="preserve"> </w:t>
      </w:r>
      <w:r w:rsidRPr="00A90E2D">
        <w:rPr>
          <w:sz w:val="22"/>
          <w:szCs w:val="22"/>
        </w:rPr>
        <w:t>Simmet-</w:t>
      </w:r>
      <w:r w:rsidRPr="00A90E2D">
        <w:rPr>
          <w:spacing w:val="40"/>
          <w:sz w:val="22"/>
          <w:szCs w:val="22"/>
        </w:rPr>
        <w:t xml:space="preserve"> </w:t>
      </w:r>
      <w:r w:rsidRPr="00A90E2D">
        <w:rPr>
          <w:sz w:val="22"/>
          <w:szCs w:val="22"/>
        </w:rPr>
        <w:t>Blomberg, H. (1998): Interkulturelle Marktforschung im europäischen</w:t>
      </w:r>
      <w:r w:rsidRPr="00A90E2D">
        <w:rPr>
          <w:spacing w:val="40"/>
          <w:sz w:val="22"/>
          <w:szCs w:val="22"/>
        </w:rPr>
        <w:t xml:space="preserve"> </w:t>
      </w:r>
      <w:r w:rsidRPr="00A90E2D">
        <w:rPr>
          <w:sz w:val="22"/>
          <w:szCs w:val="22"/>
        </w:rPr>
        <w:t>Transformationsprozeß, Schäffer-Poeschel: Stuttgart.</w:t>
      </w:r>
      <w:r w:rsidRPr="00A90E2D">
        <w:rPr>
          <w:spacing w:val="80"/>
          <w:sz w:val="22"/>
          <w:szCs w:val="22"/>
        </w:rPr>
        <w:t xml:space="preserve"> </w:t>
      </w:r>
      <w:r w:rsidRPr="00A90E2D">
        <w:rPr>
          <w:sz w:val="22"/>
          <w:szCs w:val="22"/>
          <w:lang w:val="en-US"/>
        </w:rPr>
        <w:t>Sojka, J.Z.; Tansuhaj, P.S. (1995):</w:t>
      </w:r>
      <w:r w:rsidRPr="00A90E2D">
        <w:rPr>
          <w:spacing w:val="40"/>
          <w:sz w:val="22"/>
          <w:szCs w:val="22"/>
          <w:lang w:val="en-US"/>
        </w:rPr>
        <w:t xml:space="preserve"> </w:t>
      </w:r>
      <w:r w:rsidRPr="00A90E2D">
        <w:rPr>
          <w:sz w:val="22"/>
          <w:szCs w:val="22"/>
          <w:lang w:val="en-US"/>
        </w:rPr>
        <w:t>Cross-Cultural Research. A Twenty-Year Review, Advances in Consumer Research, 22:</w:t>
      </w:r>
      <w:r w:rsidRPr="00A90E2D">
        <w:rPr>
          <w:spacing w:val="40"/>
          <w:sz w:val="22"/>
          <w:szCs w:val="22"/>
          <w:lang w:val="en-US"/>
        </w:rPr>
        <w:t xml:space="preserve"> </w:t>
      </w:r>
      <w:r w:rsidRPr="00A90E2D">
        <w:rPr>
          <w:sz w:val="22"/>
          <w:szCs w:val="22"/>
          <w:lang w:val="en-US"/>
        </w:rPr>
        <w:t xml:space="preserve">461-474. von Keller, E. (1982): Management in fremden Kulturen. </w:t>
      </w:r>
      <w:r w:rsidRPr="00A90E2D">
        <w:rPr>
          <w:sz w:val="22"/>
          <w:szCs w:val="22"/>
        </w:rPr>
        <w:t>Ziele, Ergebnisse und</w:t>
      </w:r>
      <w:r w:rsidRPr="00A90E2D">
        <w:rPr>
          <w:spacing w:val="40"/>
          <w:sz w:val="22"/>
          <w:szCs w:val="22"/>
        </w:rPr>
        <w:t xml:space="preserve"> </w:t>
      </w:r>
      <w:r w:rsidRPr="00A90E2D">
        <w:rPr>
          <w:sz w:val="22"/>
          <w:szCs w:val="22"/>
        </w:rPr>
        <w:t>methodische Probleme der kulturvergleichenden Managementforschung, Bern: Haupt.</w:t>
      </w:r>
      <w:r w:rsidRPr="00A90E2D">
        <w:rPr>
          <w:spacing w:val="40"/>
          <w:sz w:val="22"/>
          <w:szCs w:val="22"/>
        </w:rPr>
        <w:t xml:space="preserve"> </w:t>
      </w:r>
      <w:r w:rsidRPr="00A90E2D">
        <w:rPr>
          <w:sz w:val="22"/>
          <w:szCs w:val="22"/>
        </w:rPr>
        <w:t>Wittenberg,</w:t>
      </w:r>
      <w:r w:rsidRPr="00A90E2D">
        <w:rPr>
          <w:spacing w:val="-1"/>
          <w:sz w:val="22"/>
          <w:szCs w:val="22"/>
        </w:rPr>
        <w:t xml:space="preserve"> </w:t>
      </w:r>
      <w:r w:rsidRPr="00A90E2D">
        <w:rPr>
          <w:sz w:val="22"/>
          <w:szCs w:val="22"/>
        </w:rPr>
        <w:t>L. (1995):</w:t>
      </w:r>
      <w:r w:rsidRPr="00A90E2D">
        <w:rPr>
          <w:spacing w:val="-1"/>
          <w:sz w:val="22"/>
          <w:szCs w:val="22"/>
        </w:rPr>
        <w:t xml:space="preserve"> </w:t>
      </w:r>
      <w:r w:rsidRPr="00A90E2D">
        <w:rPr>
          <w:sz w:val="22"/>
          <w:szCs w:val="22"/>
        </w:rPr>
        <w:t>Zeige</w:t>
      </w:r>
      <w:r w:rsidRPr="00A90E2D">
        <w:rPr>
          <w:spacing w:val="-1"/>
          <w:sz w:val="22"/>
          <w:szCs w:val="22"/>
        </w:rPr>
        <w:t xml:space="preserve"> </w:t>
      </w:r>
      <w:r w:rsidRPr="00A90E2D">
        <w:rPr>
          <w:sz w:val="22"/>
          <w:szCs w:val="22"/>
        </w:rPr>
        <w:t>mir</w:t>
      </w:r>
      <w:r w:rsidRPr="00A90E2D">
        <w:rPr>
          <w:spacing w:val="-3"/>
          <w:sz w:val="22"/>
          <w:szCs w:val="22"/>
        </w:rPr>
        <w:t xml:space="preserve"> </w:t>
      </w:r>
      <w:r w:rsidRPr="00A90E2D">
        <w:rPr>
          <w:sz w:val="22"/>
          <w:szCs w:val="22"/>
        </w:rPr>
        <w:t>Dein</w:t>
      </w:r>
      <w:r w:rsidRPr="00A90E2D">
        <w:rPr>
          <w:spacing w:val="-3"/>
          <w:sz w:val="22"/>
          <w:szCs w:val="22"/>
        </w:rPr>
        <w:t xml:space="preserve"> </w:t>
      </w:r>
      <w:r w:rsidRPr="00A90E2D">
        <w:rPr>
          <w:sz w:val="22"/>
          <w:szCs w:val="22"/>
        </w:rPr>
        <w:t>Buch,</w:t>
      </w:r>
      <w:r w:rsidRPr="00A90E2D">
        <w:rPr>
          <w:spacing w:val="-1"/>
          <w:sz w:val="22"/>
          <w:szCs w:val="22"/>
        </w:rPr>
        <w:t xml:space="preserve"> </w:t>
      </w:r>
      <w:r w:rsidRPr="00A90E2D">
        <w:rPr>
          <w:sz w:val="22"/>
          <w:szCs w:val="22"/>
        </w:rPr>
        <w:t>und</w:t>
      </w:r>
      <w:r w:rsidRPr="00A90E2D">
        <w:rPr>
          <w:spacing w:val="-3"/>
          <w:sz w:val="22"/>
          <w:szCs w:val="22"/>
        </w:rPr>
        <w:t xml:space="preserve"> </w:t>
      </w:r>
      <w:r w:rsidRPr="00A90E2D">
        <w:rPr>
          <w:sz w:val="22"/>
          <w:szCs w:val="22"/>
        </w:rPr>
        <w:t>ich</w:t>
      </w:r>
      <w:r w:rsidRPr="00A90E2D">
        <w:rPr>
          <w:spacing w:val="-1"/>
          <w:sz w:val="22"/>
          <w:szCs w:val="22"/>
        </w:rPr>
        <w:t xml:space="preserve"> </w:t>
      </w:r>
      <w:r w:rsidRPr="00A90E2D">
        <w:rPr>
          <w:sz w:val="22"/>
          <w:szCs w:val="22"/>
        </w:rPr>
        <w:t>sage</w:t>
      </w:r>
      <w:r w:rsidRPr="00A90E2D">
        <w:rPr>
          <w:spacing w:val="-1"/>
          <w:sz w:val="22"/>
          <w:szCs w:val="22"/>
        </w:rPr>
        <w:t xml:space="preserve"> </w:t>
      </w:r>
      <w:r w:rsidRPr="00A90E2D">
        <w:rPr>
          <w:sz w:val="22"/>
          <w:szCs w:val="22"/>
        </w:rPr>
        <w:t>Dir,</w:t>
      </w:r>
      <w:r w:rsidRPr="00A90E2D">
        <w:rPr>
          <w:spacing w:val="-1"/>
          <w:sz w:val="22"/>
          <w:szCs w:val="22"/>
        </w:rPr>
        <w:t xml:space="preserve"> </w:t>
      </w:r>
      <w:r w:rsidRPr="00A90E2D">
        <w:rPr>
          <w:sz w:val="22"/>
          <w:szCs w:val="22"/>
        </w:rPr>
        <w:t>wer</w:t>
      </w:r>
      <w:r w:rsidRPr="00A90E2D">
        <w:rPr>
          <w:spacing w:val="-3"/>
          <w:sz w:val="22"/>
          <w:szCs w:val="22"/>
        </w:rPr>
        <w:t xml:space="preserve"> </w:t>
      </w:r>
      <w:r w:rsidRPr="00A90E2D">
        <w:rPr>
          <w:sz w:val="22"/>
          <w:szCs w:val="22"/>
        </w:rPr>
        <w:t>Du</w:t>
      </w:r>
      <w:r w:rsidRPr="00A90E2D">
        <w:rPr>
          <w:spacing w:val="-3"/>
          <w:sz w:val="22"/>
          <w:szCs w:val="22"/>
        </w:rPr>
        <w:t xml:space="preserve"> </w:t>
      </w:r>
      <w:r w:rsidRPr="00A90E2D">
        <w:rPr>
          <w:sz w:val="22"/>
          <w:szCs w:val="22"/>
        </w:rPr>
        <w:t>bist,</w:t>
      </w:r>
      <w:r w:rsidRPr="00A90E2D">
        <w:rPr>
          <w:spacing w:val="-4"/>
          <w:sz w:val="22"/>
          <w:szCs w:val="22"/>
        </w:rPr>
        <w:t xml:space="preserve"> </w:t>
      </w:r>
      <w:r w:rsidRPr="00A90E2D">
        <w:rPr>
          <w:sz w:val="22"/>
          <w:szCs w:val="22"/>
        </w:rPr>
        <w:t>in:</w:t>
      </w:r>
      <w:r w:rsidRPr="00A90E2D">
        <w:rPr>
          <w:spacing w:val="-1"/>
          <w:sz w:val="22"/>
          <w:szCs w:val="22"/>
        </w:rPr>
        <w:t xml:space="preserve"> </w:t>
      </w:r>
      <w:r w:rsidRPr="00A90E2D">
        <w:rPr>
          <w:sz w:val="22"/>
          <w:szCs w:val="22"/>
        </w:rPr>
        <w:t>Süddeutsche</w:t>
      </w:r>
      <w:r w:rsidRPr="00A90E2D">
        <w:rPr>
          <w:spacing w:val="40"/>
          <w:sz w:val="22"/>
          <w:szCs w:val="22"/>
        </w:rPr>
        <w:t xml:space="preserve"> </w:t>
      </w:r>
      <w:r w:rsidRPr="00A90E2D">
        <w:rPr>
          <w:sz w:val="22"/>
          <w:szCs w:val="22"/>
        </w:rPr>
        <w:t>Zeitung</w:t>
      </w:r>
      <w:r w:rsidRPr="00A90E2D">
        <w:rPr>
          <w:spacing w:val="-10"/>
          <w:sz w:val="22"/>
          <w:szCs w:val="22"/>
        </w:rPr>
        <w:t xml:space="preserve"> </w:t>
      </w:r>
      <w:r w:rsidRPr="00A90E2D">
        <w:rPr>
          <w:sz w:val="22"/>
          <w:szCs w:val="22"/>
        </w:rPr>
        <w:t>Magazin,</w:t>
      </w:r>
      <w:r w:rsidRPr="00A90E2D">
        <w:rPr>
          <w:spacing w:val="-10"/>
          <w:sz w:val="22"/>
          <w:szCs w:val="22"/>
        </w:rPr>
        <w:t xml:space="preserve"> </w:t>
      </w:r>
      <w:r w:rsidRPr="00A90E2D">
        <w:rPr>
          <w:sz w:val="22"/>
          <w:szCs w:val="22"/>
        </w:rPr>
        <w:t>51(50):</w:t>
      </w:r>
      <w:r w:rsidRPr="00A90E2D">
        <w:rPr>
          <w:spacing w:val="-10"/>
          <w:sz w:val="22"/>
          <w:szCs w:val="22"/>
        </w:rPr>
        <w:t xml:space="preserve"> </w:t>
      </w:r>
      <w:r w:rsidRPr="00A90E2D">
        <w:rPr>
          <w:sz w:val="22"/>
          <w:szCs w:val="22"/>
        </w:rPr>
        <w:t>18-19.</w:t>
      </w:r>
      <w:r w:rsidRPr="00A90E2D">
        <w:rPr>
          <w:spacing w:val="80"/>
          <w:sz w:val="22"/>
          <w:szCs w:val="22"/>
        </w:rPr>
        <w:t xml:space="preserve"> </w:t>
      </w:r>
      <w:r w:rsidRPr="00A90E2D">
        <w:rPr>
          <w:sz w:val="22"/>
          <w:szCs w:val="22"/>
        </w:rPr>
        <w:t>Wolf,</w:t>
      </w:r>
      <w:r w:rsidRPr="00A90E2D">
        <w:rPr>
          <w:spacing w:val="-10"/>
          <w:sz w:val="22"/>
          <w:szCs w:val="22"/>
        </w:rPr>
        <w:t xml:space="preserve"> </w:t>
      </w:r>
      <w:r w:rsidRPr="00A90E2D">
        <w:rPr>
          <w:sz w:val="22"/>
          <w:szCs w:val="22"/>
        </w:rPr>
        <w:t>J.</w:t>
      </w:r>
      <w:r w:rsidRPr="00A90E2D">
        <w:rPr>
          <w:spacing w:val="-8"/>
          <w:sz w:val="22"/>
          <w:szCs w:val="22"/>
        </w:rPr>
        <w:t xml:space="preserve"> </w:t>
      </w:r>
      <w:r w:rsidRPr="00A90E2D">
        <w:rPr>
          <w:sz w:val="22"/>
          <w:szCs w:val="22"/>
        </w:rPr>
        <w:t>(1997):</w:t>
      </w:r>
      <w:r w:rsidRPr="00A90E2D">
        <w:rPr>
          <w:spacing w:val="-8"/>
          <w:sz w:val="22"/>
          <w:szCs w:val="22"/>
        </w:rPr>
        <w:t xml:space="preserve"> </w:t>
      </w:r>
      <w:r w:rsidRPr="00A90E2D">
        <w:rPr>
          <w:sz w:val="22"/>
          <w:szCs w:val="22"/>
        </w:rPr>
        <w:t>Werteorientierte</w:t>
      </w:r>
      <w:r w:rsidRPr="00A90E2D">
        <w:rPr>
          <w:spacing w:val="-10"/>
          <w:sz w:val="22"/>
          <w:szCs w:val="22"/>
        </w:rPr>
        <w:t xml:space="preserve"> </w:t>
      </w:r>
      <w:r w:rsidRPr="00A90E2D">
        <w:rPr>
          <w:sz w:val="22"/>
          <w:szCs w:val="22"/>
        </w:rPr>
        <w:t>Kultursegmente</w:t>
      </w:r>
      <w:r w:rsidRPr="00A90E2D">
        <w:rPr>
          <w:spacing w:val="-10"/>
          <w:sz w:val="22"/>
          <w:szCs w:val="22"/>
        </w:rPr>
        <w:t xml:space="preserve"> </w:t>
      </w:r>
      <w:r w:rsidRPr="00A90E2D">
        <w:rPr>
          <w:sz w:val="22"/>
          <w:szCs w:val="22"/>
        </w:rPr>
        <w:t>und</w:t>
      </w:r>
      <w:r w:rsidRPr="00A90E2D">
        <w:rPr>
          <w:spacing w:val="-10"/>
          <w:sz w:val="22"/>
          <w:szCs w:val="22"/>
        </w:rPr>
        <w:t xml:space="preserve"> </w:t>
      </w:r>
      <w:r w:rsidRPr="00A90E2D">
        <w:rPr>
          <w:sz w:val="22"/>
          <w:szCs w:val="22"/>
        </w:rPr>
        <w:t>ihre</w:t>
      </w:r>
      <w:r w:rsidRPr="00A90E2D">
        <w:rPr>
          <w:spacing w:val="40"/>
          <w:sz w:val="22"/>
          <w:szCs w:val="22"/>
        </w:rPr>
        <w:t xml:space="preserve"> </w:t>
      </w:r>
      <w:r w:rsidRPr="00A90E2D">
        <w:rPr>
          <w:sz w:val="22"/>
          <w:szCs w:val="22"/>
        </w:rPr>
        <w:t>Relevanz</w:t>
      </w:r>
      <w:r w:rsidRPr="00A90E2D">
        <w:rPr>
          <w:spacing w:val="40"/>
          <w:sz w:val="22"/>
          <w:szCs w:val="22"/>
        </w:rPr>
        <w:t xml:space="preserve"> </w:t>
      </w:r>
      <w:r w:rsidRPr="00A90E2D">
        <w:rPr>
          <w:sz w:val="22"/>
          <w:szCs w:val="22"/>
        </w:rPr>
        <w:t>als</w:t>
      </w:r>
      <w:r w:rsidRPr="00A90E2D">
        <w:rPr>
          <w:spacing w:val="40"/>
          <w:sz w:val="22"/>
          <w:szCs w:val="22"/>
        </w:rPr>
        <w:t xml:space="preserve"> </w:t>
      </w:r>
      <w:r w:rsidRPr="00A90E2D">
        <w:rPr>
          <w:sz w:val="22"/>
          <w:szCs w:val="22"/>
        </w:rPr>
        <w:t>Prädiktoren</w:t>
      </w:r>
      <w:r w:rsidRPr="00A90E2D">
        <w:rPr>
          <w:spacing w:val="40"/>
          <w:sz w:val="22"/>
          <w:szCs w:val="22"/>
        </w:rPr>
        <w:t xml:space="preserve"> </w:t>
      </w:r>
      <w:r w:rsidRPr="00A90E2D">
        <w:rPr>
          <w:sz w:val="22"/>
          <w:szCs w:val="22"/>
        </w:rPr>
        <w:t>arbeitsplatzbezogener</w:t>
      </w:r>
      <w:r w:rsidRPr="00A90E2D">
        <w:rPr>
          <w:spacing w:val="40"/>
          <w:sz w:val="22"/>
          <w:szCs w:val="22"/>
        </w:rPr>
        <w:t xml:space="preserve"> </w:t>
      </w:r>
      <w:r w:rsidRPr="00A90E2D">
        <w:rPr>
          <w:sz w:val="22"/>
          <w:szCs w:val="22"/>
        </w:rPr>
        <w:t>Bedürfnisse,</w:t>
      </w:r>
      <w:r w:rsidRPr="00A90E2D">
        <w:rPr>
          <w:spacing w:val="40"/>
          <w:sz w:val="22"/>
          <w:szCs w:val="22"/>
        </w:rPr>
        <w:t xml:space="preserve"> </w:t>
      </w:r>
      <w:r w:rsidRPr="00A90E2D">
        <w:rPr>
          <w:sz w:val="22"/>
          <w:szCs w:val="22"/>
        </w:rPr>
        <w:t>in:</w:t>
      </w:r>
      <w:r w:rsidRPr="00A90E2D">
        <w:rPr>
          <w:spacing w:val="40"/>
          <w:sz w:val="22"/>
          <w:szCs w:val="22"/>
        </w:rPr>
        <w:t xml:space="preserve"> </w:t>
      </w:r>
      <w:r w:rsidRPr="00A90E2D">
        <w:rPr>
          <w:sz w:val="22"/>
          <w:szCs w:val="22"/>
        </w:rPr>
        <w:t>Engelhard</w:t>
      </w:r>
      <w:r w:rsidR="00A90E2D">
        <w:rPr>
          <w:sz w:val="22"/>
          <w:szCs w:val="22"/>
        </w:rPr>
        <w:t>,</w:t>
      </w:r>
      <w:r w:rsidRPr="00A90E2D">
        <w:rPr>
          <w:spacing w:val="40"/>
          <w:sz w:val="22"/>
          <w:szCs w:val="22"/>
        </w:rPr>
        <w:t xml:space="preserve"> </w:t>
      </w:r>
      <w:r w:rsidRPr="00A90E2D">
        <w:rPr>
          <w:sz w:val="22"/>
          <w:szCs w:val="22"/>
        </w:rPr>
        <w:t>J.</w:t>
      </w:r>
      <w:r w:rsidRPr="00A90E2D">
        <w:rPr>
          <w:spacing w:val="40"/>
          <w:sz w:val="22"/>
          <w:szCs w:val="22"/>
        </w:rPr>
        <w:t xml:space="preserve"> </w:t>
      </w:r>
      <w:r w:rsidRPr="00A90E2D">
        <w:rPr>
          <w:sz w:val="22"/>
          <w:szCs w:val="22"/>
        </w:rPr>
        <w:t>(Hrsg.),</w:t>
      </w:r>
      <w:r w:rsidRPr="00A90E2D">
        <w:rPr>
          <w:spacing w:val="40"/>
          <w:sz w:val="22"/>
          <w:szCs w:val="22"/>
        </w:rPr>
        <w:t xml:space="preserve"> </w:t>
      </w:r>
      <w:r w:rsidRPr="00A90E2D">
        <w:rPr>
          <w:sz w:val="22"/>
          <w:szCs w:val="22"/>
        </w:rPr>
        <w:t>Interkulturelles Management, 153-181, Wiesbaden: Gabler.</w:t>
      </w:r>
    </w:p>
    <w:p w14:paraId="1C0135AD" w14:textId="77777777" w:rsidR="00FF7799" w:rsidRPr="00E73F6F" w:rsidRDefault="00FF7799" w:rsidP="00CA7CD6">
      <w:pPr>
        <w:pStyle w:val="StandardText"/>
      </w:pPr>
    </w:p>
    <w:p w14:paraId="7574E238" w14:textId="77777777" w:rsidR="00FF7799" w:rsidRPr="00E73F6F" w:rsidRDefault="00FF7799" w:rsidP="00EF6F53">
      <w:pPr>
        <w:pStyle w:val="berschrift1"/>
      </w:pPr>
      <w:r w:rsidRPr="00090A54">
        <w:rPr>
          <w:bCs w:val="0"/>
          <w:color w:val="2E74B5"/>
          <w:sz w:val="22"/>
        </w:rPr>
        <w:t>Kulturanthropologie</w:t>
      </w:r>
      <w:r w:rsidRPr="00E73F6F">
        <w:t xml:space="preserve"> </w:t>
      </w:r>
    </w:p>
    <w:p w14:paraId="20177D46" w14:textId="77777777" w:rsidR="00FF7799" w:rsidRPr="00E73F6F" w:rsidRDefault="00FF7799" w:rsidP="00AD0C35">
      <w:pPr>
        <w:pStyle w:val="StandardText"/>
      </w:pPr>
      <w:r w:rsidRPr="00E73F6F">
        <w:lastRenderedPageBreak/>
        <w:t xml:space="preserve">Geisteswissenschaft, welche die kognitiven, emotionalen und konativen Unterschiede und Gemeinsamkeiten zwischen den Angehörigen verschiedener Kulturkreise zu identifizieren versucht. Anders als die sozialpsychologisch orientierte </w:t>
      </w:r>
      <w:r w:rsidR="00443B51">
        <w:sym w:font="Symbol" w:char="F0DE"/>
      </w:r>
      <w:r w:rsidR="00443B51">
        <w:t xml:space="preserve">  </w:t>
      </w:r>
      <w:r w:rsidRPr="00E73F6F">
        <w:t>Interkulturelle Psychologie argumentiert die Kulturanthropologie vorzugsweise differentialpsychologisch.</w:t>
      </w:r>
    </w:p>
    <w:p w14:paraId="402DB4E1" w14:textId="77777777" w:rsidR="00FF7799" w:rsidRPr="00A90E2D" w:rsidRDefault="00FF7799" w:rsidP="00AD0C35">
      <w:pPr>
        <w:pStyle w:val="StandardText"/>
        <w:rPr>
          <w:sz w:val="22"/>
          <w:szCs w:val="22"/>
        </w:rPr>
      </w:pPr>
      <w:r w:rsidRPr="00A90E2D">
        <w:rPr>
          <w:b/>
          <w:i/>
          <w:sz w:val="22"/>
          <w:szCs w:val="22"/>
        </w:rPr>
        <w:t>Literatur</w:t>
      </w:r>
      <w:r w:rsidRPr="00A90E2D">
        <w:rPr>
          <w:i/>
          <w:sz w:val="22"/>
          <w:szCs w:val="22"/>
        </w:rPr>
        <w:t>:</w:t>
      </w:r>
      <w:r w:rsidRPr="00A90E2D">
        <w:rPr>
          <w:sz w:val="22"/>
          <w:szCs w:val="22"/>
        </w:rPr>
        <w:t xml:space="preserve"> Harris, M. (1989): Kulturanthropologie. Ein Lehrbuch, Frankfurt/Main: Campus.</w:t>
      </w:r>
    </w:p>
    <w:p w14:paraId="3480FC66" w14:textId="77777777" w:rsidR="00FF7799" w:rsidRPr="00E73F6F" w:rsidRDefault="00FF7799" w:rsidP="00AD0C35">
      <w:pPr>
        <w:pStyle w:val="StandardText"/>
      </w:pPr>
    </w:p>
    <w:p w14:paraId="22975106" w14:textId="77777777" w:rsidR="001E58F5" w:rsidRPr="007F69DA" w:rsidRDefault="001E58F5" w:rsidP="001E58F5">
      <w:pPr>
        <w:keepNext/>
        <w:keepLines/>
        <w:spacing w:before="240"/>
        <w:jc w:val="both"/>
        <w:outlineLvl w:val="1"/>
        <w:rPr>
          <w:b/>
          <w:color w:val="2E74B5"/>
        </w:rPr>
      </w:pPr>
      <w:r w:rsidRPr="007F69DA">
        <w:rPr>
          <w:b/>
          <w:color w:val="2E74B5"/>
        </w:rPr>
        <w:t xml:space="preserve">Kulturdimensionen </w:t>
      </w:r>
    </w:p>
    <w:p w14:paraId="220C10B3" w14:textId="77777777" w:rsidR="001E58F5" w:rsidRPr="007F69DA" w:rsidRDefault="001E58F5" w:rsidP="001E58F5">
      <w:pPr>
        <w:rPr>
          <w:szCs w:val="24"/>
        </w:rPr>
      </w:pPr>
    </w:p>
    <w:p w14:paraId="43E95B60" w14:textId="77777777" w:rsidR="001E58F5" w:rsidRPr="007F69DA" w:rsidRDefault="001E58F5" w:rsidP="001E58F5">
      <w:pPr>
        <w:rPr>
          <w:iCs/>
        </w:rPr>
      </w:pPr>
      <w:r w:rsidRPr="007F69DA">
        <w:rPr>
          <w:szCs w:val="24"/>
        </w:rPr>
        <w:t xml:space="preserve">wichtiges „Instrument“ der kulturvergleichenden Forschung. </w:t>
      </w:r>
      <w:r w:rsidRPr="007F69DA">
        <w:rPr>
          <w:iCs/>
        </w:rPr>
        <w:t>Unter einer Dimension versteht man in der Mathematik oder im Rahmen der multivariaten Datenanalyse die kleinste Anzahl unabhängiger Koordinaten, die es erlaubt, eine Menge von Objekten hinreichend zu beschreiben. Kulturdimensionen sind solche Koordinaten. Sie reduzieren die Werte, die für eine Gesellschaft charakteristisch sind, auf wenige grundlegende „latente“, d.h. nicht unmittelbar ersichtliche Variablen. In dem durch Kulturdimensionen definierten n-dimensionalen Raum erhält jede Landeskultur eine eindeutige, quantitativ bestimmbare Position (vgl. Abb. 1).</w:t>
      </w:r>
    </w:p>
    <w:p w14:paraId="6A633C20" w14:textId="77777777" w:rsidR="001E58F5" w:rsidRPr="007F69DA" w:rsidRDefault="001E58F5" w:rsidP="001E58F5">
      <w:pPr>
        <w:rPr>
          <w:iCs/>
        </w:rPr>
      </w:pPr>
    </w:p>
    <w:p w14:paraId="7C06980C" w14:textId="77777777" w:rsidR="001E58F5" w:rsidRPr="0018289F" w:rsidRDefault="001E58F5" w:rsidP="001E58F5">
      <w:pPr>
        <w:pStyle w:val="Beschriftung"/>
        <w:rPr>
          <w:iCs/>
          <w:szCs w:val="24"/>
        </w:rPr>
      </w:pPr>
      <w:bookmarkStart w:id="56" w:name="_Ref413255826"/>
      <w:r w:rsidRPr="0018289F">
        <w:t>Abb.</w:t>
      </w:r>
      <w:bookmarkEnd w:id="56"/>
      <w:r w:rsidRPr="0018289F">
        <w:rPr>
          <w:noProof/>
        </w:rPr>
        <w:t xml:space="preserve"> 1</w:t>
      </w:r>
      <w:r w:rsidRPr="0018289F">
        <w:t xml:space="preserve">: </w:t>
      </w:r>
      <w:r w:rsidRPr="0018289F">
        <w:rPr>
          <w:iCs/>
          <w:szCs w:val="24"/>
        </w:rPr>
        <w:t xml:space="preserve">Positionierung zweier fiktiver Landeskulturen in einem dreidimensionalen Raum </w:t>
      </w:r>
    </w:p>
    <w:p w14:paraId="2404114D" w14:textId="77777777" w:rsidR="001E58F5" w:rsidRPr="007F69DA" w:rsidRDefault="001E58F5" w:rsidP="001E58F5">
      <w:pPr>
        <w:rPr>
          <w:iCs/>
        </w:rPr>
      </w:pPr>
      <w:r w:rsidRPr="007F69DA">
        <w:rPr>
          <w:iCs/>
          <w:noProof/>
          <w:lang w:eastAsia="de-DE"/>
        </w:rPr>
        <w:drawing>
          <wp:inline distT="0" distB="0" distL="0" distR="0" wp14:anchorId="773B698A" wp14:editId="3D4CBD9B">
            <wp:extent cx="5921393" cy="2705100"/>
            <wp:effectExtent l="0" t="0" r="3175" b="0"/>
            <wp:docPr id="2139605971" name="Grafik 2139605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932934" cy="2710372"/>
                    </a:xfrm>
                    <a:prstGeom prst="rect">
                      <a:avLst/>
                    </a:prstGeom>
                    <a:noFill/>
                  </pic:spPr>
                </pic:pic>
              </a:graphicData>
            </a:graphic>
          </wp:inline>
        </w:drawing>
      </w:r>
    </w:p>
    <w:p w14:paraId="1ED36C1E" w14:textId="77777777" w:rsidR="000B4618" w:rsidRDefault="000B4618" w:rsidP="001E58F5">
      <w:pPr>
        <w:rPr>
          <w:iCs/>
        </w:rPr>
      </w:pPr>
    </w:p>
    <w:p w14:paraId="4B188413" w14:textId="5720C286" w:rsidR="001E58F5" w:rsidRPr="007F69DA" w:rsidRDefault="001E58F5" w:rsidP="001E58F5">
      <w:r w:rsidRPr="007F69DA">
        <w:rPr>
          <w:iCs/>
        </w:rPr>
        <w:t>Zahlreiche Wissenschaftler haben</w:t>
      </w:r>
      <w:r w:rsidRPr="007F69DA">
        <w:t xml:space="preserve"> die für die verschiedenen Länder charakteristischen Werthaltungen empirisch erfasst und faktorenanalytisch auf die jeweils grundlegenden Dimensionen reduziert. Mit Hilfe der in Messwerten ausdrückbaren Positionierung dieser</w:t>
      </w:r>
      <w:r w:rsidRPr="007F69DA">
        <w:rPr>
          <w:noProof/>
        </w:rPr>
        <w:t xml:space="preserve"> </w:t>
      </w:r>
      <w:r w:rsidRPr="007F69DA">
        <w:t xml:space="preserve">Länder auf den im Rahmen dieser Studien identifizierten Kulturdimensionen lassen sich die verschiedenen Landeskulturen systematisch miteinander vergleichen. Besondere Bedeutung haben bislang die </w:t>
      </w:r>
      <w:r w:rsidRPr="007F69DA">
        <w:sym w:font="Symbol" w:char="F0DE"/>
      </w:r>
      <w:r w:rsidRPr="007F69DA">
        <w:t xml:space="preserve"> Hofstede- und GLOBE-Kulturdimensionen sowie, mit Abstrichen, die </w:t>
      </w:r>
      <w:r w:rsidRPr="007F69DA">
        <w:sym w:font="Symbol" w:char="F0DE"/>
      </w:r>
      <w:r w:rsidRPr="007F69DA">
        <w:t xml:space="preserve"> Kulturdimensionen nach Schwartz erlangt. </w:t>
      </w:r>
    </w:p>
    <w:p w14:paraId="068FA339" w14:textId="77777777" w:rsidR="001E58F5" w:rsidRPr="007F69DA" w:rsidRDefault="001E58F5" w:rsidP="001E58F5"/>
    <w:p w14:paraId="4F757EC6" w14:textId="77777777" w:rsidR="001E58F5" w:rsidRPr="007F69DA" w:rsidRDefault="001E58F5" w:rsidP="001E58F5">
      <w:r w:rsidRPr="007F69DA">
        <w:t>Positioniert man bspw. Deutschland,  Indien und die Niederlande auf den Hofstede-Kulturdimensionen (vgl. Abb. 2), tritt der charakteristische Unterschied zwischen Industrie- und Schwellenländern unmittelbar zutage: einerseits der ausgeprägte Individualismus der Deutschen und der Niederländer, andererseits die Neigung der Mehrzahl der Inder, Machtdistanz zu akzeptieren und solche Tugenden wertzuschätzen, die es ermöglichen, langfristige Ziele zu erreichen (z.B. Traditionsbewusstsein, Akzeptanz familiärer Verpflichtungen). Die individualistischen Industrieländer wiederum unterscheiden sich hauptsächlich durch ihre maskuline (= Deutschland) bzw. feminine Orientierung (= Niederlande).</w:t>
      </w:r>
    </w:p>
    <w:p w14:paraId="698D4D31" w14:textId="77777777" w:rsidR="001E58F5" w:rsidRPr="007F69DA" w:rsidRDefault="001E58F5" w:rsidP="001E58F5"/>
    <w:p w14:paraId="5F6AA90D" w14:textId="77777777" w:rsidR="000B4618" w:rsidRDefault="001E58F5" w:rsidP="001E58F5">
      <w:pPr>
        <w:pStyle w:val="Beschriftung"/>
        <w:spacing w:line="240" w:lineRule="auto"/>
        <w:rPr>
          <w:szCs w:val="24"/>
        </w:rPr>
      </w:pPr>
      <w:bookmarkStart w:id="57" w:name="_Ref413255852"/>
      <w:r w:rsidRPr="0018289F">
        <w:t xml:space="preserve">Abb. </w:t>
      </w:r>
      <w:bookmarkEnd w:id="57"/>
      <w:r w:rsidRPr="0018289F">
        <w:rPr>
          <w:noProof/>
        </w:rPr>
        <w:t>2</w:t>
      </w:r>
      <w:r w:rsidRPr="0018289F">
        <w:t xml:space="preserve">: </w:t>
      </w:r>
      <w:r w:rsidRPr="0018289F">
        <w:rPr>
          <w:szCs w:val="24"/>
        </w:rPr>
        <w:t xml:space="preserve">Positionierung dreier Landeskulturen im fünfdimensionalen Raum </w:t>
      </w:r>
    </w:p>
    <w:p w14:paraId="6CD733C7" w14:textId="2FE781C8" w:rsidR="001E58F5" w:rsidRPr="0018289F" w:rsidRDefault="001E58F5" w:rsidP="001E58F5">
      <w:pPr>
        <w:pStyle w:val="Beschriftung"/>
        <w:spacing w:line="240" w:lineRule="auto"/>
        <w:rPr>
          <w:szCs w:val="24"/>
        </w:rPr>
      </w:pPr>
      <w:r w:rsidRPr="0018289F">
        <w:rPr>
          <w:szCs w:val="24"/>
        </w:rPr>
        <w:t>der Hofstede-Kulturdimensionen</w:t>
      </w:r>
    </w:p>
    <w:p w14:paraId="16EA577A" w14:textId="7FF6727F" w:rsidR="001E58F5" w:rsidRPr="007F69DA" w:rsidRDefault="001E58F5" w:rsidP="000B4618">
      <w:pPr>
        <w:pStyle w:val="Literatur"/>
        <w:numPr>
          <w:ilvl w:val="0"/>
          <w:numId w:val="0"/>
        </w:numPr>
        <w:spacing w:line="240" w:lineRule="auto"/>
        <w:rPr>
          <w:b/>
          <w:sz w:val="24"/>
          <w:szCs w:val="24"/>
        </w:rPr>
      </w:pPr>
      <w:r w:rsidRPr="007F69DA">
        <w:rPr>
          <w:b/>
          <w:noProof/>
          <w:sz w:val="24"/>
          <w:szCs w:val="24"/>
        </w:rPr>
        <w:lastRenderedPageBreak/>
        <w:drawing>
          <wp:inline distT="0" distB="0" distL="0" distR="0" wp14:anchorId="4412C17E" wp14:editId="5C63D1C3">
            <wp:extent cx="5699375" cy="3429000"/>
            <wp:effectExtent l="0" t="0" r="0" b="0"/>
            <wp:docPr id="1805122619" name="Grafik 1805122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5711115" cy="3436063"/>
                    </a:xfrm>
                    <a:prstGeom prst="rect">
                      <a:avLst/>
                    </a:prstGeom>
                    <a:noFill/>
                  </pic:spPr>
                </pic:pic>
              </a:graphicData>
            </a:graphic>
          </wp:inline>
        </w:drawing>
      </w:r>
    </w:p>
    <w:p w14:paraId="372A924D" w14:textId="77777777" w:rsidR="001E58F5" w:rsidRPr="007F69DA" w:rsidRDefault="001E58F5" w:rsidP="000B4618">
      <w:pPr>
        <w:pStyle w:val="Literatur"/>
        <w:numPr>
          <w:ilvl w:val="0"/>
          <w:numId w:val="0"/>
        </w:numPr>
        <w:spacing w:line="240" w:lineRule="auto"/>
        <w:rPr>
          <w:b/>
          <w:sz w:val="24"/>
          <w:szCs w:val="24"/>
        </w:rPr>
      </w:pPr>
    </w:p>
    <w:p w14:paraId="535F94AB" w14:textId="77777777" w:rsidR="00FF7799" w:rsidRPr="000B4618" w:rsidRDefault="00FF7799" w:rsidP="000B4618">
      <w:pPr>
        <w:keepNext/>
        <w:keepLines/>
        <w:spacing w:before="240"/>
        <w:jc w:val="both"/>
        <w:outlineLvl w:val="1"/>
        <w:rPr>
          <w:b/>
          <w:color w:val="2E74B5"/>
        </w:rPr>
      </w:pPr>
      <w:r w:rsidRPr="000B4618">
        <w:rPr>
          <w:b/>
          <w:color w:val="2E74B5"/>
        </w:rPr>
        <w:t>Kulturdimensionen nach Douglas</w:t>
      </w:r>
    </w:p>
    <w:p w14:paraId="14D74621" w14:textId="77777777" w:rsidR="00FF7799" w:rsidRPr="00A90E2D" w:rsidRDefault="00FF7799" w:rsidP="00F93A37">
      <w:pPr>
        <w:pStyle w:val="StandardTextkursiv"/>
        <w:rPr>
          <w:i w:val="0"/>
        </w:rPr>
      </w:pPr>
      <w:r w:rsidRPr="00A90E2D">
        <w:rPr>
          <w:i w:val="0"/>
        </w:rPr>
        <w:t>1 Theoretische</w:t>
      </w:r>
      <w:r w:rsidRPr="00A90E2D">
        <w:rPr>
          <w:i w:val="0"/>
          <w:spacing w:val="-4"/>
        </w:rPr>
        <w:t xml:space="preserve"> </w:t>
      </w:r>
      <w:r w:rsidRPr="00A90E2D">
        <w:rPr>
          <w:i w:val="0"/>
          <w:spacing w:val="-2"/>
        </w:rPr>
        <w:t>Grundlage</w:t>
      </w:r>
    </w:p>
    <w:p w14:paraId="21AA29F2" w14:textId="77777777" w:rsidR="00FF7799" w:rsidRPr="00A90E2D" w:rsidRDefault="00FF7799" w:rsidP="00631AEF">
      <w:pPr>
        <w:pStyle w:val="StandardText"/>
      </w:pPr>
      <w:r w:rsidRPr="00A90E2D">
        <w:t>Manche</w:t>
      </w:r>
      <w:r w:rsidRPr="00A90E2D">
        <w:rPr>
          <w:spacing w:val="-4"/>
        </w:rPr>
        <w:t xml:space="preserve"> </w:t>
      </w:r>
      <w:r w:rsidRPr="00A90E2D">
        <w:t>Forscher</w:t>
      </w:r>
      <w:r w:rsidRPr="00A90E2D">
        <w:rPr>
          <w:spacing w:val="-5"/>
        </w:rPr>
        <w:t xml:space="preserve"> </w:t>
      </w:r>
      <w:r w:rsidRPr="00A90E2D">
        <w:t>begreifen</w:t>
      </w:r>
      <w:r w:rsidRPr="00A90E2D">
        <w:rPr>
          <w:spacing w:val="-5"/>
        </w:rPr>
        <w:t xml:space="preserve"> </w:t>
      </w:r>
      <w:r w:rsidRPr="00A90E2D">
        <w:t>den</w:t>
      </w:r>
      <w:r w:rsidRPr="00A90E2D">
        <w:rPr>
          <w:spacing w:val="-7"/>
        </w:rPr>
        <w:t xml:space="preserve"> </w:t>
      </w:r>
      <w:r w:rsidRPr="00A90E2D">
        <w:t>Menschen</w:t>
      </w:r>
      <w:r w:rsidRPr="00A90E2D">
        <w:rPr>
          <w:spacing w:val="-4"/>
        </w:rPr>
        <w:t xml:space="preserve"> </w:t>
      </w:r>
      <w:r w:rsidRPr="00A90E2D">
        <w:t>vorrangig</w:t>
      </w:r>
      <w:r w:rsidRPr="00A90E2D">
        <w:rPr>
          <w:spacing w:val="-3"/>
        </w:rPr>
        <w:t xml:space="preserve"> </w:t>
      </w:r>
      <w:r w:rsidRPr="00A90E2D">
        <w:t>aus</w:t>
      </w:r>
      <w:r w:rsidRPr="00A90E2D">
        <w:rPr>
          <w:spacing w:val="-6"/>
        </w:rPr>
        <w:t xml:space="preserve"> </w:t>
      </w:r>
      <w:r w:rsidRPr="00A90E2D">
        <w:t>seiner</w:t>
      </w:r>
      <w:r w:rsidRPr="00A90E2D">
        <w:rPr>
          <w:spacing w:val="-4"/>
        </w:rPr>
        <w:t xml:space="preserve"> </w:t>
      </w:r>
      <w:r w:rsidRPr="00A90E2D">
        <w:t>sozialen</w:t>
      </w:r>
      <w:r w:rsidRPr="00A90E2D">
        <w:rPr>
          <w:spacing w:val="-3"/>
        </w:rPr>
        <w:t xml:space="preserve"> </w:t>
      </w:r>
      <w:r w:rsidRPr="00A90E2D">
        <w:t>Funktion heraus. Als soziales Wesen ist der Einzelne auf das Zusammenleben mit anderen Menschen angewiesen. Dazu muss er bestimmte Regeln beachten und Gruppennormen befolgen (vgl. Karmasin/Karmasin 1997, S.18). Von diesem Gedanken ausgehend analysierte Douglas (1992) die durch kulturspezifische Regeln geformten sozialen Beziehungen, die zwischen der Gruppe (bzw. Kollektiv) und dem Einzelnen bestehen.</w:t>
      </w:r>
    </w:p>
    <w:p w14:paraId="1817E71B" w14:textId="77777777" w:rsidR="00FF7799" w:rsidRPr="00A90E2D" w:rsidRDefault="00FF7799" w:rsidP="00631AEF">
      <w:pPr>
        <w:pStyle w:val="StandardText"/>
      </w:pPr>
      <w:r w:rsidRPr="00A90E2D">
        <w:t>Die Art und Weise, wie Menschen zusammenleben, lässt sich mittels zweier Dimensionen beschreiben und systematisch miteinander vergleichen: Gruppenbindung und Grad der Wahlmöglichkeiten, welche der Einzelne in einer Gesellschaft besitzt.</w:t>
      </w:r>
    </w:p>
    <w:p w14:paraId="6809C781" w14:textId="77777777" w:rsidR="00FF7799" w:rsidRPr="00A90E2D" w:rsidRDefault="00FF7799" w:rsidP="00631AEF">
      <w:pPr>
        <w:pStyle w:val="StandardText"/>
      </w:pPr>
      <w:r w:rsidRPr="00A90E2D">
        <w:t>Gruppenbindung</w:t>
      </w:r>
      <w:r w:rsidRPr="00A90E2D">
        <w:rPr>
          <w:spacing w:val="-3"/>
        </w:rPr>
        <w:t xml:space="preserve"> </w:t>
      </w:r>
      <w:r w:rsidRPr="00A90E2D">
        <w:t>(‘group‘)</w:t>
      </w:r>
      <w:r w:rsidRPr="00A90E2D">
        <w:rPr>
          <w:spacing w:val="-6"/>
        </w:rPr>
        <w:t xml:space="preserve"> </w:t>
      </w:r>
      <w:r w:rsidRPr="00A90E2D">
        <w:t>bezeichnet</w:t>
      </w:r>
      <w:r w:rsidRPr="00A90E2D">
        <w:rPr>
          <w:spacing w:val="-6"/>
        </w:rPr>
        <w:t xml:space="preserve"> </w:t>
      </w:r>
      <w:r w:rsidRPr="00A90E2D">
        <w:t>die</w:t>
      </w:r>
      <w:r w:rsidRPr="00A90E2D">
        <w:rPr>
          <w:spacing w:val="-4"/>
        </w:rPr>
        <w:t xml:space="preserve"> </w:t>
      </w:r>
      <w:r w:rsidRPr="00A90E2D">
        <w:t>Intensität,</w:t>
      </w:r>
      <w:r w:rsidRPr="00A90E2D">
        <w:rPr>
          <w:spacing w:val="-4"/>
        </w:rPr>
        <w:t xml:space="preserve"> </w:t>
      </w:r>
      <w:r w:rsidRPr="00A90E2D">
        <w:t>mit</w:t>
      </w:r>
      <w:r w:rsidRPr="00A90E2D">
        <w:rPr>
          <w:spacing w:val="-2"/>
        </w:rPr>
        <w:t xml:space="preserve"> </w:t>
      </w:r>
      <w:r w:rsidRPr="00A90E2D">
        <w:t>der</w:t>
      </w:r>
      <w:r w:rsidRPr="00A90E2D">
        <w:rPr>
          <w:spacing w:val="-4"/>
        </w:rPr>
        <w:t xml:space="preserve"> </w:t>
      </w:r>
      <w:r w:rsidRPr="00A90E2D">
        <w:t>Gruppennormen</w:t>
      </w:r>
      <w:r w:rsidRPr="00A90E2D">
        <w:rPr>
          <w:spacing w:val="-5"/>
        </w:rPr>
        <w:t xml:space="preserve"> </w:t>
      </w:r>
      <w:r w:rsidRPr="00A90E2D">
        <w:t>und Gruppenregeln das Verhalten der Menschen prägen. Je stärker diese in eine soziale Gruppe eingebunden sind, desto mehr sind ihre Handlungsmöglichkeiten durch diese Zugehörigkeit festgelegt (z.B. im indischen Kastenwesen).</w:t>
      </w:r>
    </w:p>
    <w:p w14:paraId="5A3791C1" w14:textId="77777777" w:rsidR="00FF7799" w:rsidRPr="00A90E2D" w:rsidRDefault="00FF7799" w:rsidP="00631AEF">
      <w:pPr>
        <w:pStyle w:val="StandardText"/>
      </w:pPr>
      <w:r w:rsidRPr="00A90E2D">
        <w:t>Indikatoren</w:t>
      </w:r>
      <w:r w:rsidRPr="00A90E2D">
        <w:rPr>
          <w:spacing w:val="-3"/>
        </w:rPr>
        <w:t xml:space="preserve"> </w:t>
      </w:r>
      <w:r w:rsidRPr="00A90E2D">
        <w:t>der</w:t>
      </w:r>
      <w:r w:rsidRPr="00A90E2D">
        <w:rPr>
          <w:spacing w:val="-2"/>
        </w:rPr>
        <w:t xml:space="preserve"> </w:t>
      </w:r>
      <w:r w:rsidRPr="00A90E2D">
        <w:t>Group-Dimension sind</w:t>
      </w:r>
      <w:r w:rsidRPr="00A90E2D">
        <w:rPr>
          <w:spacing w:val="-1"/>
        </w:rPr>
        <w:t xml:space="preserve"> </w:t>
      </w:r>
      <w:r w:rsidRPr="00A90E2D">
        <w:t>die</w:t>
      </w:r>
      <w:r w:rsidRPr="00A90E2D">
        <w:rPr>
          <w:spacing w:val="-1"/>
        </w:rPr>
        <w:t xml:space="preserve"> </w:t>
      </w:r>
      <w:r w:rsidRPr="00A90E2D">
        <w:rPr>
          <w:spacing w:val="-10"/>
        </w:rPr>
        <w:t>…</w:t>
      </w:r>
    </w:p>
    <w:p w14:paraId="20DF768D" w14:textId="77777777" w:rsidR="00FF7799" w:rsidRPr="00A90E2D" w:rsidRDefault="00FF7799" w:rsidP="00D346BC">
      <w:pPr>
        <w:pStyle w:val="StandardTextAufzhlung"/>
        <w:ind w:left="426"/>
      </w:pPr>
      <w:r w:rsidRPr="00A90E2D">
        <w:t>Komplexität</w:t>
      </w:r>
      <w:r w:rsidRPr="00A90E2D">
        <w:rPr>
          <w:spacing w:val="-4"/>
        </w:rPr>
        <w:t xml:space="preserve"> </w:t>
      </w:r>
      <w:r w:rsidRPr="00A90E2D">
        <w:t>der</w:t>
      </w:r>
      <w:r w:rsidRPr="00A90E2D">
        <w:rPr>
          <w:spacing w:val="-1"/>
        </w:rPr>
        <w:t xml:space="preserve"> </w:t>
      </w:r>
      <w:r w:rsidRPr="00A90E2D">
        <w:t>hierarchischen</w:t>
      </w:r>
      <w:r w:rsidRPr="00A90E2D">
        <w:rPr>
          <w:spacing w:val="-2"/>
        </w:rPr>
        <w:t xml:space="preserve"> </w:t>
      </w:r>
      <w:r w:rsidRPr="00A90E2D">
        <w:t>Struktur</w:t>
      </w:r>
      <w:r w:rsidRPr="00A90E2D">
        <w:rPr>
          <w:spacing w:val="-2"/>
        </w:rPr>
        <w:t xml:space="preserve"> </w:t>
      </w:r>
      <w:r w:rsidRPr="00A90E2D">
        <w:t>innerhalb einer</w:t>
      </w:r>
      <w:r w:rsidRPr="00A90E2D">
        <w:rPr>
          <w:spacing w:val="-1"/>
        </w:rPr>
        <w:t xml:space="preserve"> </w:t>
      </w:r>
      <w:r w:rsidRPr="00A90E2D">
        <w:rPr>
          <w:spacing w:val="-2"/>
        </w:rPr>
        <w:t>Gruppe,</w:t>
      </w:r>
    </w:p>
    <w:p w14:paraId="37D3C61B" w14:textId="77777777" w:rsidR="00FF7799" w:rsidRPr="00A90E2D" w:rsidRDefault="00FF7799" w:rsidP="00D346BC">
      <w:pPr>
        <w:pStyle w:val="StandardTextAufzhlung"/>
        <w:ind w:left="426"/>
      </w:pPr>
      <w:r w:rsidRPr="00A90E2D">
        <w:t xml:space="preserve">Rigidität der </w:t>
      </w:r>
      <w:r w:rsidRPr="00A90E2D">
        <w:rPr>
          <w:spacing w:val="-2"/>
        </w:rPr>
        <w:t>Gruppengrenzen,</w:t>
      </w:r>
    </w:p>
    <w:p w14:paraId="5263CD34" w14:textId="77777777" w:rsidR="00FF7799" w:rsidRPr="00A90E2D" w:rsidRDefault="00FF7799" w:rsidP="00D346BC">
      <w:pPr>
        <w:pStyle w:val="StandardTextAufzhlung"/>
        <w:ind w:left="426"/>
      </w:pPr>
      <w:r w:rsidRPr="00A90E2D">
        <w:t>Höhe</w:t>
      </w:r>
      <w:r w:rsidRPr="00A90E2D">
        <w:rPr>
          <w:spacing w:val="-3"/>
        </w:rPr>
        <w:t xml:space="preserve"> </w:t>
      </w:r>
      <w:r w:rsidRPr="00A90E2D">
        <w:t>der</w:t>
      </w:r>
      <w:r w:rsidRPr="00A90E2D">
        <w:rPr>
          <w:spacing w:val="-1"/>
        </w:rPr>
        <w:t xml:space="preserve"> </w:t>
      </w:r>
      <w:r w:rsidRPr="00A90E2D">
        <w:t>Eintrittsbarrieren</w:t>
      </w:r>
      <w:r w:rsidRPr="00A90E2D">
        <w:rPr>
          <w:spacing w:val="-1"/>
        </w:rPr>
        <w:t xml:space="preserve"> </w:t>
      </w:r>
      <w:r w:rsidRPr="00A90E2D">
        <w:t>für</w:t>
      </w:r>
      <w:r w:rsidRPr="00A90E2D">
        <w:rPr>
          <w:spacing w:val="-1"/>
        </w:rPr>
        <w:t xml:space="preserve"> </w:t>
      </w:r>
      <w:r w:rsidRPr="00A90E2D">
        <w:t>Nicht-</w:t>
      </w:r>
      <w:r w:rsidRPr="00A90E2D">
        <w:rPr>
          <w:spacing w:val="-2"/>
        </w:rPr>
        <w:t>Mitglieder.</w:t>
      </w:r>
    </w:p>
    <w:p w14:paraId="08DCD682" w14:textId="77777777" w:rsidR="00D346BC" w:rsidRDefault="00D346BC" w:rsidP="00662DF1">
      <w:pPr>
        <w:pStyle w:val="StandardText"/>
      </w:pPr>
    </w:p>
    <w:p w14:paraId="59C42419" w14:textId="24DB3715" w:rsidR="00FF7799" w:rsidRPr="00A90E2D" w:rsidRDefault="00FF7799" w:rsidP="00662DF1">
      <w:pPr>
        <w:pStyle w:val="StandardText"/>
      </w:pPr>
      <w:r w:rsidRPr="00A90E2D">
        <w:t>Grad der Wahlmöglichkeiten (‘grid‘) drückt aus, in welchem Ausmaß der Einzelne</w:t>
      </w:r>
      <w:r w:rsidRPr="00A90E2D">
        <w:rPr>
          <w:spacing w:val="-4"/>
        </w:rPr>
        <w:t xml:space="preserve"> </w:t>
      </w:r>
      <w:r w:rsidRPr="00A90E2D">
        <w:t>seine</w:t>
      </w:r>
      <w:r w:rsidRPr="00A90E2D">
        <w:rPr>
          <w:spacing w:val="-3"/>
        </w:rPr>
        <w:t xml:space="preserve"> </w:t>
      </w:r>
      <w:r w:rsidRPr="00A90E2D">
        <w:t>Beziehungen</w:t>
      </w:r>
      <w:r w:rsidRPr="00A90E2D">
        <w:rPr>
          <w:spacing w:val="-3"/>
        </w:rPr>
        <w:t xml:space="preserve"> </w:t>
      </w:r>
      <w:r w:rsidRPr="00A90E2D">
        <w:t>zu</w:t>
      </w:r>
      <w:r w:rsidRPr="00A90E2D">
        <w:rPr>
          <w:spacing w:val="-1"/>
        </w:rPr>
        <w:t xml:space="preserve"> </w:t>
      </w:r>
      <w:r w:rsidRPr="00A90E2D">
        <w:t>anderen</w:t>
      </w:r>
      <w:r w:rsidRPr="00A90E2D">
        <w:rPr>
          <w:spacing w:val="-2"/>
        </w:rPr>
        <w:t xml:space="preserve"> </w:t>
      </w:r>
      <w:r w:rsidRPr="00A90E2D">
        <w:t>Gruppenmitgliedern</w:t>
      </w:r>
      <w:r w:rsidRPr="00A90E2D">
        <w:rPr>
          <w:spacing w:val="-1"/>
        </w:rPr>
        <w:t xml:space="preserve"> </w:t>
      </w:r>
      <w:r w:rsidRPr="00A90E2D">
        <w:t>selbst</w:t>
      </w:r>
      <w:r w:rsidRPr="00A90E2D">
        <w:rPr>
          <w:spacing w:val="-5"/>
        </w:rPr>
        <w:t xml:space="preserve"> </w:t>
      </w:r>
      <w:r w:rsidRPr="00A90E2D">
        <w:t>gestalten</w:t>
      </w:r>
      <w:r w:rsidRPr="00A90E2D">
        <w:rPr>
          <w:spacing w:val="-1"/>
        </w:rPr>
        <w:t xml:space="preserve"> </w:t>
      </w:r>
      <w:r w:rsidRPr="00A90E2D">
        <w:rPr>
          <w:spacing w:val="-5"/>
        </w:rPr>
        <w:t>und</w:t>
      </w:r>
      <w:r w:rsidR="00342772" w:rsidRPr="00A90E2D">
        <w:rPr>
          <w:spacing w:val="-5"/>
        </w:rPr>
        <w:t xml:space="preserve"> </w:t>
      </w:r>
      <w:r w:rsidRPr="00A90E2D">
        <w:t>„Verträge“</w:t>
      </w:r>
      <w:r w:rsidRPr="00A90E2D">
        <w:rPr>
          <w:spacing w:val="-5"/>
        </w:rPr>
        <w:t xml:space="preserve"> </w:t>
      </w:r>
      <w:r w:rsidRPr="00A90E2D">
        <w:t>frei</w:t>
      </w:r>
      <w:r w:rsidRPr="00A90E2D">
        <w:rPr>
          <w:spacing w:val="-4"/>
        </w:rPr>
        <w:t xml:space="preserve"> </w:t>
      </w:r>
      <w:r w:rsidRPr="00A90E2D">
        <w:t>aushandeln</w:t>
      </w:r>
      <w:r w:rsidRPr="00A90E2D">
        <w:rPr>
          <w:spacing w:val="-5"/>
        </w:rPr>
        <w:t xml:space="preserve"> </w:t>
      </w:r>
      <w:r w:rsidRPr="00A90E2D">
        <w:t>kann.</w:t>
      </w:r>
      <w:r w:rsidRPr="00A90E2D">
        <w:rPr>
          <w:spacing w:val="-6"/>
        </w:rPr>
        <w:t xml:space="preserve"> </w:t>
      </w:r>
      <w:r w:rsidRPr="00A90E2D">
        <w:t>Bilden</w:t>
      </w:r>
      <w:r w:rsidRPr="00A90E2D">
        <w:rPr>
          <w:spacing w:val="-5"/>
        </w:rPr>
        <w:t xml:space="preserve"> </w:t>
      </w:r>
      <w:r w:rsidRPr="00A90E2D">
        <w:t>die</w:t>
      </w:r>
      <w:r w:rsidRPr="00A90E2D">
        <w:rPr>
          <w:spacing w:val="-4"/>
        </w:rPr>
        <w:t xml:space="preserve"> </w:t>
      </w:r>
      <w:r w:rsidRPr="00A90E2D">
        <w:t>von</w:t>
      </w:r>
      <w:r w:rsidRPr="00A90E2D">
        <w:rPr>
          <w:spacing w:val="-5"/>
        </w:rPr>
        <w:t xml:space="preserve"> </w:t>
      </w:r>
      <w:r w:rsidRPr="00A90E2D">
        <w:t>außen</w:t>
      </w:r>
      <w:r w:rsidRPr="00A90E2D">
        <w:rPr>
          <w:spacing w:val="-3"/>
        </w:rPr>
        <w:t xml:space="preserve"> </w:t>
      </w:r>
      <w:r w:rsidRPr="00A90E2D">
        <w:t>vorgegebenen</w:t>
      </w:r>
      <w:r w:rsidRPr="00A90E2D">
        <w:rPr>
          <w:spacing w:val="-3"/>
        </w:rPr>
        <w:t xml:space="preserve"> </w:t>
      </w:r>
      <w:r w:rsidRPr="00A90E2D">
        <w:t>Regeln</w:t>
      </w:r>
      <w:r w:rsidRPr="00A90E2D">
        <w:rPr>
          <w:spacing w:val="-3"/>
        </w:rPr>
        <w:t xml:space="preserve"> </w:t>
      </w:r>
      <w:r w:rsidRPr="00A90E2D">
        <w:t xml:space="preserve">ein dichtes Netz an Maßgaben und Vorschriften, so sind die individuellen Wahlmöglichkeiten gering. Die Grid-Stärke lässt sich anhand folgender Indikatoren quantifizieren: </w:t>
      </w:r>
    </w:p>
    <w:p w14:paraId="54A9B59D" w14:textId="77777777" w:rsidR="00FF7799" w:rsidRPr="00A90E2D" w:rsidRDefault="00FF7799" w:rsidP="00D346BC">
      <w:pPr>
        <w:pStyle w:val="StandardTextAufzhlung"/>
        <w:ind w:left="426"/>
      </w:pPr>
      <w:r w:rsidRPr="00A90E2D">
        <w:t>Grad der Autonomie</w:t>
      </w:r>
      <w:r w:rsidRPr="00A90E2D">
        <w:rPr>
          <w:spacing w:val="-1"/>
        </w:rPr>
        <w:t xml:space="preserve"> </w:t>
      </w:r>
      <w:r w:rsidRPr="00A90E2D">
        <w:t xml:space="preserve">des </w:t>
      </w:r>
      <w:r w:rsidRPr="00A90E2D">
        <w:rPr>
          <w:spacing w:val="-2"/>
        </w:rPr>
        <w:t>Einzelnen,</w:t>
      </w:r>
    </w:p>
    <w:p w14:paraId="0DA91C68" w14:textId="77777777" w:rsidR="00FF7799" w:rsidRPr="00A90E2D" w:rsidRDefault="00FF7799" w:rsidP="00D346BC">
      <w:pPr>
        <w:pStyle w:val="StandardTextAufzhlung"/>
        <w:ind w:left="426"/>
      </w:pPr>
      <w:r w:rsidRPr="00A90E2D">
        <w:lastRenderedPageBreak/>
        <w:t>Grad der Freiheit</w:t>
      </w:r>
      <w:r w:rsidRPr="00A90E2D">
        <w:rPr>
          <w:spacing w:val="-1"/>
        </w:rPr>
        <w:t xml:space="preserve"> </w:t>
      </w:r>
      <w:r w:rsidRPr="00A90E2D">
        <w:t>und</w:t>
      </w:r>
      <w:r w:rsidRPr="00A90E2D">
        <w:rPr>
          <w:spacing w:val="-2"/>
        </w:rPr>
        <w:t xml:space="preserve"> </w:t>
      </w:r>
      <w:r w:rsidRPr="00A90E2D">
        <w:t>Fairness</w:t>
      </w:r>
      <w:r w:rsidRPr="00A90E2D">
        <w:rPr>
          <w:spacing w:val="-2"/>
        </w:rPr>
        <w:t xml:space="preserve"> </w:t>
      </w:r>
      <w:r w:rsidRPr="00A90E2D">
        <w:t xml:space="preserve">des </w:t>
      </w:r>
      <w:r w:rsidRPr="00A90E2D">
        <w:rPr>
          <w:spacing w:val="-2"/>
        </w:rPr>
        <w:t>Wettbewerbs.</w:t>
      </w:r>
    </w:p>
    <w:p w14:paraId="2BB3897D" w14:textId="77777777" w:rsidR="00FF7799" w:rsidRPr="00A90E2D" w:rsidRDefault="00FF7799" w:rsidP="00862DBA">
      <w:pPr>
        <w:rPr>
          <w:sz w:val="24"/>
          <w:szCs w:val="24"/>
        </w:rPr>
      </w:pPr>
    </w:p>
    <w:p w14:paraId="21AE53BC" w14:textId="77777777" w:rsidR="00FF7799" w:rsidRPr="00A90E2D" w:rsidRDefault="00FF7799" w:rsidP="00F93A37">
      <w:pPr>
        <w:pStyle w:val="StandardTextkursiv"/>
        <w:rPr>
          <w:i w:val="0"/>
        </w:rPr>
      </w:pPr>
      <w:r w:rsidRPr="00A90E2D">
        <w:rPr>
          <w:i w:val="0"/>
        </w:rPr>
        <w:t>2 Vier Kulturtypen</w:t>
      </w:r>
    </w:p>
    <w:p w14:paraId="37CF062D" w14:textId="77777777" w:rsidR="00FF7799" w:rsidRPr="00E73F6F" w:rsidRDefault="00FF7799" w:rsidP="00A90E2D">
      <w:pPr>
        <w:spacing w:before="103"/>
        <w:jc w:val="both"/>
        <w:rPr>
          <w:sz w:val="24"/>
          <w:szCs w:val="24"/>
        </w:rPr>
      </w:pPr>
      <w:r w:rsidRPr="00A90E2D">
        <w:rPr>
          <w:sz w:val="24"/>
          <w:szCs w:val="24"/>
        </w:rPr>
        <w:t>Aus der Kombination beider Dimensionen ergeben sich vier Kulturtypen (vgl. Abb. 1). Sie unterscheiden sich durch ihre Vorstellungen von der Natur des Menschen</w:t>
      </w:r>
      <w:r w:rsidRPr="00A90E2D">
        <w:rPr>
          <w:spacing w:val="-12"/>
          <w:sz w:val="24"/>
          <w:szCs w:val="24"/>
        </w:rPr>
        <w:t xml:space="preserve"> </w:t>
      </w:r>
      <w:r w:rsidRPr="00A90E2D">
        <w:rPr>
          <w:sz w:val="24"/>
          <w:szCs w:val="24"/>
        </w:rPr>
        <w:t>und</w:t>
      </w:r>
      <w:r w:rsidRPr="00A90E2D">
        <w:rPr>
          <w:spacing w:val="-11"/>
          <w:sz w:val="24"/>
          <w:szCs w:val="24"/>
        </w:rPr>
        <w:t xml:space="preserve"> </w:t>
      </w:r>
      <w:r w:rsidRPr="00A90E2D">
        <w:rPr>
          <w:sz w:val="24"/>
          <w:szCs w:val="24"/>
        </w:rPr>
        <w:t>dessen</w:t>
      </w:r>
      <w:r w:rsidRPr="00A90E2D">
        <w:rPr>
          <w:spacing w:val="-11"/>
          <w:sz w:val="24"/>
          <w:szCs w:val="24"/>
        </w:rPr>
        <w:t xml:space="preserve"> </w:t>
      </w:r>
      <w:r w:rsidRPr="00A90E2D">
        <w:rPr>
          <w:sz w:val="24"/>
          <w:szCs w:val="24"/>
        </w:rPr>
        <w:t>(sozialen)</w:t>
      </w:r>
      <w:r w:rsidRPr="00A90E2D">
        <w:rPr>
          <w:spacing w:val="-11"/>
          <w:sz w:val="24"/>
          <w:szCs w:val="24"/>
        </w:rPr>
        <w:t xml:space="preserve"> </w:t>
      </w:r>
      <w:r w:rsidRPr="00A90E2D">
        <w:rPr>
          <w:sz w:val="24"/>
          <w:szCs w:val="24"/>
        </w:rPr>
        <w:t>Bedürfnissen,</w:t>
      </w:r>
      <w:r w:rsidRPr="00A90E2D">
        <w:rPr>
          <w:spacing w:val="-11"/>
          <w:sz w:val="24"/>
          <w:szCs w:val="24"/>
        </w:rPr>
        <w:t xml:space="preserve"> </w:t>
      </w:r>
      <w:r w:rsidRPr="00A90E2D">
        <w:rPr>
          <w:sz w:val="24"/>
          <w:szCs w:val="24"/>
        </w:rPr>
        <w:t>die</w:t>
      </w:r>
      <w:r w:rsidRPr="00A90E2D">
        <w:rPr>
          <w:spacing w:val="-11"/>
          <w:sz w:val="24"/>
          <w:szCs w:val="24"/>
        </w:rPr>
        <w:t xml:space="preserve"> </w:t>
      </w:r>
      <w:r w:rsidRPr="00A90E2D">
        <w:rPr>
          <w:sz w:val="24"/>
          <w:szCs w:val="24"/>
        </w:rPr>
        <w:t>sie</w:t>
      </w:r>
      <w:r w:rsidRPr="00A90E2D">
        <w:rPr>
          <w:spacing w:val="-11"/>
          <w:sz w:val="24"/>
          <w:szCs w:val="24"/>
        </w:rPr>
        <w:t xml:space="preserve"> </w:t>
      </w:r>
      <w:r w:rsidRPr="00A90E2D">
        <w:rPr>
          <w:sz w:val="24"/>
          <w:szCs w:val="24"/>
        </w:rPr>
        <w:t>im</w:t>
      </w:r>
      <w:r w:rsidRPr="00A90E2D">
        <w:rPr>
          <w:spacing w:val="-11"/>
          <w:sz w:val="24"/>
          <w:szCs w:val="24"/>
        </w:rPr>
        <w:t xml:space="preserve"> </w:t>
      </w:r>
      <w:r w:rsidRPr="00A90E2D">
        <w:rPr>
          <w:sz w:val="24"/>
          <w:szCs w:val="24"/>
        </w:rPr>
        <w:t>Laufe</w:t>
      </w:r>
      <w:r w:rsidRPr="00A90E2D">
        <w:rPr>
          <w:spacing w:val="-11"/>
          <w:sz w:val="24"/>
          <w:szCs w:val="24"/>
        </w:rPr>
        <w:t xml:space="preserve"> </w:t>
      </w:r>
      <w:r w:rsidRPr="00A90E2D">
        <w:rPr>
          <w:sz w:val="24"/>
          <w:szCs w:val="24"/>
        </w:rPr>
        <w:t>der</w:t>
      </w:r>
      <w:r w:rsidRPr="00A90E2D">
        <w:rPr>
          <w:spacing w:val="-11"/>
          <w:sz w:val="24"/>
          <w:szCs w:val="24"/>
        </w:rPr>
        <w:t xml:space="preserve"> </w:t>
      </w:r>
      <w:r w:rsidRPr="00A90E2D">
        <w:rPr>
          <w:sz w:val="24"/>
          <w:szCs w:val="24"/>
        </w:rPr>
        <w:t>Zeit</w:t>
      </w:r>
      <w:r w:rsidRPr="00A90E2D">
        <w:rPr>
          <w:spacing w:val="-10"/>
          <w:sz w:val="24"/>
          <w:szCs w:val="24"/>
        </w:rPr>
        <w:t xml:space="preserve"> </w:t>
      </w:r>
      <w:r w:rsidRPr="00A90E2D">
        <w:rPr>
          <w:sz w:val="24"/>
          <w:szCs w:val="24"/>
        </w:rPr>
        <w:t>entwickelt haben.</w:t>
      </w:r>
      <w:r w:rsidRPr="00A90E2D">
        <w:rPr>
          <w:spacing w:val="-7"/>
          <w:sz w:val="24"/>
          <w:szCs w:val="24"/>
        </w:rPr>
        <w:t xml:space="preserve"> </w:t>
      </w:r>
      <w:r w:rsidRPr="00A90E2D">
        <w:rPr>
          <w:sz w:val="24"/>
          <w:szCs w:val="24"/>
        </w:rPr>
        <w:t>Man</w:t>
      </w:r>
      <w:r w:rsidRPr="00A90E2D">
        <w:rPr>
          <w:spacing w:val="-7"/>
          <w:sz w:val="24"/>
          <w:szCs w:val="24"/>
        </w:rPr>
        <w:t xml:space="preserve"> </w:t>
      </w:r>
      <w:r w:rsidRPr="00A90E2D">
        <w:rPr>
          <w:sz w:val="24"/>
          <w:szCs w:val="24"/>
        </w:rPr>
        <w:t>erkennt</w:t>
      </w:r>
      <w:r w:rsidRPr="00A90E2D">
        <w:rPr>
          <w:spacing w:val="-7"/>
          <w:sz w:val="24"/>
          <w:szCs w:val="24"/>
        </w:rPr>
        <w:t xml:space="preserve"> </w:t>
      </w:r>
      <w:r w:rsidRPr="00A90E2D">
        <w:rPr>
          <w:sz w:val="24"/>
          <w:szCs w:val="24"/>
        </w:rPr>
        <w:t>die</w:t>
      </w:r>
      <w:r w:rsidRPr="00A90E2D">
        <w:rPr>
          <w:spacing w:val="-7"/>
          <w:sz w:val="24"/>
          <w:szCs w:val="24"/>
        </w:rPr>
        <w:t xml:space="preserve"> </w:t>
      </w:r>
      <w:r w:rsidRPr="00A90E2D">
        <w:rPr>
          <w:sz w:val="24"/>
          <w:szCs w:val="24"/>
        </w:rPr>
        <w:t>einzelnen</w:t>
      </w:r>
      <w:r w:rsidRPr="00A90E2D">
        <w:rPr>
          <w:spacing w:val="-9"/>
          <w:sz w:val="24"/>
          <w:szCs w:val="24"/>
        </w:rPr>
        <w:t xml:space="preserve"> </w:t>
      </w:r>
      <w:r w:rsidRPr="00A90E2D">
        <w:rPr>
          <w:sz w:val="24"/>
          <w:szCs w:val="24"/>
        </w:rPr>
        <w:t>Kulturtypen</w:t>
      </w:r>
      <w:r w:rsidRPr="00A90E2D">
        <w:rPr>
          <w:spacing w:val="-6"/>
          <w:sz w:val="24"/>
          <w:szCs w:val="24"/>
        </w:rPr>
        <w:t xml:space="preserve"> </w:t>
      </w:r>
      <w:r w:rsidRPr="00A90E2D">
        <w:rPr>
          <w:sz w:val="24"/>
          <w:szCs w:val="24"/>
        </w:rPr>
        <w:t>weiterhin</w:t>
      </w:r>
      <w:r w:rsidRPr="00A90E2D">
        <w:rPr>
          <w:spacing w:val="-6"/>
          <w:sz w:val="24"/>
          <w:szCs w:val="24"/>
        </w:rPr>
        <w:t xml:space="preserve"> </w:t>
      </w:r>
      <w:r w:rsidRPr="00A90E2D">
        <w:rPr>
          <w:sz w:val="24"/>
          <w:szCs w:val="24"/>
        </w:rPr>
        <w:t>an</w:t>
      </w:r>
      <w:r w:rsidRPr="00A90E2D">
        <w:rPr>
          <w:spacing w:val="-7"/>
          <w:sz w:val="24"/>
          <w:szCs w:val="24"/>
        </w:rPr>
        <w:t xml:space="preserve"> </w:t>
      </w:r>
      <w:r w:rsidRPr="00A90E2D">
        <w:rPr>
          <w:sz w:val="24"/>
          <w:szCs w:val="24"/>
        </w:rPr>
        <w:t>ihrer</w:t>
      </w:r>
      <w:r w:rsidRPr="00A90E2D">
        <w:rPr>
          <w:spacing w:val="-8"/>
          <w:sz w:val="24"/>
          <w:szCs w:val="24"/>
        </w:rPr>
        <w:t xml:space="preserve"> </w:t>
      </w:r>
      <w:r w:rsidRPr="00A90E2D">
        <w:rPr>
          <w:sz w:val="24"/>
          <w:szCs w:val="24"/>
        </w:rPr>
        <w:t>spezifischen</w:t>
      </w:r>
      <w:r w:rsidRPr="00A90E2D">
        <w:rPr>
          <w:spacing w:val="-7"/>
          <w:sz w:val="24"/>
          <w:szCs w:val="24"/>
        </w:rPr>
        <w:t xml:space="preserve"> </w:t>
      </w:r>
      <w:r w:rsidRPr="00A90E2D">
        <w:rPr>
          <w:sz w:val="24"/>
          <w:szCs w:val="24"/>
        </w:rPr>
        <w:t>Art, mit Autorität, Ressourcen, Arbeit und Informationen umzugehen sowie an ihrer Risikobereitschaft. Hinzu kommen spezifische Vorstellungen von Raum, Zeit, Gerechtigkeit und unterschiedliche Formen der Organisation ihrer Institutionen. Jede</w:t>
      </w:r>
      <w:r w:rsidRPr="00A90E2D">
        <w:rPr>
          <w:spacing w:val="-4"/>
          <w:sz w:val="24"/>
          <w:szCs w:val="24"/>
        </w:rPr>
        <w:t xml:space="preserve"> </w:t>
      </w:r>
      <w:r w:rsidRPr="00A90E2D">
        <w:rPr>
          <w:sz w:val="24"/>
          <w:szCs w:val="24"/>
        </w:rPr>
        <w:t>Gesellschaft</w:t>
      </w:r>
      <w:r w:rsidRPr="00A90E2D">
        <w:rPr>
          <w:spacing w:val="-3"/>
          <w:sz w:val="24"/>
          <w:szCs w:val="24"/>
        </w:rPr>
        <w:t xml:space="preserve"> </w:t>
      </w:r>
      <w:r w:rsidRPr="00A90E2D">
        <w:rPr>
          <w:sz w:val="24"/>
          <w:szCs w:val="24"/>
        </w:rPr>
        <w:t>trägt</w:t>
      </w:r>
      <w:r w:rsidRPr="00A90E2D">
        <w:rPr>
          <w:spacing w:val="-2"/>
          <w:sz w:val="24"/>
          <w:szCs w:val="24"/>
        </w:rPr>
        <w:t xml:space="preserve"> </w:t>
      </w:r>
      <w:r w:rsidRPr="00A90E2D">
        <w:rPr>
          <w:sz w:val="24"/>
          <w:szCs w:val="24"/>
        </w:rPr>
        <w:t>zwar</w:t>
      </w:r>
      <w:r w:rsidRPr="00A90E2D">
        <w:rPr>
          <w:spacing w:val="-3"/>
          <w:sz w:val="24"/>
          <w:szCs w:val="24"/>
        </w:rPr>
        <w:t xml:space="preserve"> </w:t>
      </w:r>
      <w:r w:rsidRPr="00A90E2D">
        <w:rPr>
          <w:sz w:val="24"/>
          <w:szCs w:val="24"/>
        </w:rPr>
        <w:t>alle</w:t>
      </w:r>
      <w:r w:rsidRPr="00A90E2D">
        <w:rPr>
          <w:spacing w:val="-4"/>
          <w:sz w:val="24"/>
          <w:szCs w:val="24"/>
        </w:rPr>
        <w:t xml:space="preserve"> </w:t>
      </w:r>
      <w:r w:rsidRPr="00A90E2D">
        <w:rPr>
          <w:sz w:val="24"/>
          <w:szCs w:val="24"/>
        </w:rPr>
        <w:t>vier</w:t>
      </w:r>
      <w:r w:rsidRPr="00A90E2D">
        <w:rPr>
          <w:spacing w:val="-4"/>
          <w:sz w:val="24"/>
          <w:szCs w:val="24"/>
        </w:rPr>
        <w:t xml:space="preserve"> </w:t>
      </w:r>
      <w:r w:rsidRPr="00A90E2D">
        <w:rPr>
          <w:sz w:val="24"/>
          <w:szCs w:val="24"/>
        </w:rPr>
        <w:t>Kulturtypen</w:t>
      </w:r>
      <w:r w:rsidRPr="00A90E2D">
        <w:rPr>
          <w:spacing w:val="-2"/>
          <w:sz w:val="24"/>
          <w:szCs w:val="24"/>
        </w:rPr>
        <w:t xml:space="preserve"> </w:t>
      </w:r>
      <w:r w:rsidRPr="00A90E2D">
        <w:rPr>
          <w:sz w:val="24"/>
          <w:szCs w:val="24"/>
        </w:rPr>
        <w:t>in</w:t>
      </w:r>
      <w:r w:rsidRPr="00A90E2D">
        <w:rPr>
          <w:spacing w:val="-2"/>
          <w:sz w:val="24"/>
          <w:szCs w:val="24"/>
        </w:rPr>
        <w:t xml:space="preserve"> </w:t>
      </w:r>
      <w:r w:rsidRPr="00A90E2D">
        <w:rPr>
          <w:sz w:val="24"/>
          <w:szCs w:val="24"/>
        </w:rPr>
        <w:t>sich.</w:t>
      </w:r>
      <w:r w:rsidRPr="00A90E2D">
        <w:rPr>
          <w:spacing w:val="-5"/>
          <w:sz w:val="24"/>
          <w:szCs w:val="24"/>
        </w:rPr>
        <w:t xml:space="preserve"> </w:t>
      </w:r>
      <w:r w:rsidRPr="00A90E2D">
        <w:rPr>
          <w:sz w:val="24"/>
          <w:szCs w:val="24"/>
        </w:rPr>
        <w:t>Ein</w:t>
      </w:r>
      <w:r w:rsidRPr="00A90E2D">
        <w:rPr>
          <w:spacing w:val="-4"/>
          <w:sz w:val="24"/>
          <w:szCs w:val="24"/>
        </w:rPr>
        <w:t xml:space="preserve"> </w:t>
      </w:r>
      <w:r w:rsidRPr="00A90E2D">
        <w:rPr>
          <w:sz w:val="24"/>
          <w:szCs w:val="24"/>
        </w:rPr>
        <w:t>Typus</w:t>
      </w:r>
      <w:r w:rsidRPr="00A90E2D">
        <w:rPr>
          <w:spacing w:val="-6"/>
          <w:sz w:val="24"/>
          <w:szCs w:val="24"/>
        </w:rPr>
        <w:t xml:space="preserve"> </w:t>
      </w:r>
      <w:r w:rsidRPr="00A90E2D">
        <w:rPr>
          <w:sz w:val="24"/>
          <w:szCs w:val="24"/>
        </w:rPr>
        <w:t>aber</w:t>
      </w:r>
      <w:r w:rsidRPr="00A90E2D">
        <w:rPr>
          <w:spacing w:val="-2"/>
          <w:sz w:val="24"/>
          <w:szCs w:val="24"/>
        </w:rPr>
        <w:t xml:space="preserve"> </w:t>
      </w:r>
      <w:r w:rsidRPr="00A90E2D">
        <w:rPr>
          <w:sz w:val="24"/>
          <w:szCs w:val="24"/>
        </w:rPr>
        <w:t>ist</w:t>
      </w:r>
      <w:r w:rsidRPr="00A90E2D">
        <w:rPr>
          <w:spacing w:val="-2"/>
          <w:sz w:val="24"/>
          <w:szCs w:val="24"/>
        </w:rPr>
        <w:t xml:space="preserve"> meist</w:t>
      </w:r>
      <w:r w:rsidR="00A90E2D">
        <w:rPr>
          <w:sz w:val="24"/>
          <w:szCs w:val="24"/>
        </w:rPr>
        <w:t xml:space="preserve"> </w:t>
      </w:r>
      <w:r w:rsidRPr="00A90E2D">
        <w:rPr>
          <w:sz w:val="24"/>
          <w:szCs w:val="24"/>
        </w:rPr>
        <w:t>dominant und bestimmt bspw., was in dieser Gesellschaft als „politisch korrekt“ gilt. Schließlich lassen sich jedem Kulturtypus bestimmte Vor- und Nachteile zuschreiben.</w:t>
      </w:r>
      <w:r w:rsidRPr="00A90E2D">
        <w:rPr>
          <w:spacing w:val="-9"/>
          <w:sz w:val="24"/>
          <w:szCs w:val="24"/>
        </w:rPr>
        <w:t xml:space="preserve"> </w:t>
      </w:r>
      <w:r w:rsidRPr="00A90E2D">
        <w:rPr>
          <w:sz w:val="24"/>
          <w:szCs w:val="24"/>
        </w:rPr>
        <w:t>„Wir</w:t>
      </w:r>
      <w:r w:rsidRPr="00A90E2D">
        <w:rPr>
          <w:spacing w:val="-9"/>
          <w:sz w:val="24"/>
          <w:szCs w:val="24"/>
        </w:rPr>
        <w:t xml:space="preserve"> </w:t>
      </w:r>
      <w:r w:rsidRPr="00A90E2D">
        <w:rPr>
          <w:sz w:val="24"/>
          <w:szCs w:val="24"/>
        </w:rPr>
        <w:t>können</w:t>
      </w:r>
      <w:r w:rsidRPr="00A90E2D">
        <w:rPr>
          <w:spacing w:val="-9"/>
          <w:sz w:val="24"/>
          <w:szCs w:val="24"/>
        </w:rPr>
        <w:t xml:space="preserve"> </w:t>
      </w:r>
      <w:r w:rsidRPr="00A90E2D">
        <w:rPr>
          <w:sz w:val="24"/>
          <w:szCs w:val="24"/>
        </w:rPr>
        <w:t>uns</w:t>
      </w:r>
      <w:r w:rsidRPr="00A90E2D">
        <w:rPr>
          <w:spacing w:val="-11"/>
          <w:sz w:val="24"/>
          <w:szCs w:val="24"/>
        </w:rPr>
        <w:t xml:space="preserve"> </w:t>
      </w:r>
      <w:r w:rsidRPr="00A90E2D">
        <w:rPr>
          <w:sz w:val="24"/>
          <w:szCs w:val="24"/>
        </w:rPr>
        <w:t>nicht</w:t>
      </w:r>
      <w:r w:rsidRPr="00A90E2D">
        <w:rPr>
          <w:spacing w:val="-10"/>
          <w:sz w:val="24"/>
          <w:szCs w:val="24"/>
        </w:rPr>
        <w:t xml:space="preserve"> </w:t>
      </w:r>
      <w:r w:rsidRPr="00A90E2D">
        <w:rPr>
          <w:sz w:val="24"/>
          <w:szCs w:val="24"/>
        </w:rPr>
        <w:t>das</w:t>
      </w:r>
      <w:r w:rsidRPr="00A90E2D">
        <w:rPr>
          <w:spacing w:val="-8"/>
          <w:sz w:val="24"/>
          <w:szCs w:val="24"/>
        </w:rPr>
        <w:t xml:space="preserve"> </w:t>
      </w:r>
      <w:r w:rsidRPr="00A90E2D">
        <w:rPr>
          <w:sz w:val="24"/>
          <w:szCs w:val="24"/>
        </w:rPr>
        <w:t>Ideal</w:t>
      </w:r>
      <w:r w:rsidRPr="00A90E2D">
        <w:rPr>
          <w:spacing w:val="-10"/>
          <w:sz w:val="24"/>
          <w:szCs w:val="24"/>
        </w:rPr>
        <w:t xml:space="preserve"> </w:t>
      </w:r>
      <w:r w:rsidRPr="00A90E2D">
        <w:rPr>
          <w:sz w:val="24"/>
          <w:szCs w:val="24"/>
        </w:rPr>
        <w:t>der</w:t>
      </w:r>
      <w:r w:rsidRPr="00A90E2D">
        <w:rPr>
          <w:spacing w:val="-8"/>
          <w:sz w:val="24"/>
          <w:szCs w:val="24"/>
        </w:rPr>
        <w:t xml:space="preserve"> </w:t>
      </w:r>
      <w:r w:rsidRPr="00A90E2D">
        <w:rPr>
          <w:sz w:val="24"/>
          <w:szCs w:val="24"/>
        </w:rPr>
        <w:t>selbstgenügsamen</w:t>
      </w:r>
      <w:r w:rsidRPr="00A90E2D">
        <w:rPr>
          <w:spacing w:val="-9"/>
          <w:sz w:val="24"/>
          <w:szCs w:val="24"/>
        </w:rPr>
        <w:t xml:space="preserve"> </w:t>
      </w:r>
      <w:r w:rsidRPr="00A90E2D">
        <w:rPr>
          <w:sz w:val="24"/>
          <w:szCs w:val="24"/>
        </w:rPr>
        <w:t>Gemeinschaft erträumen, in der Eigennutz keinen Platz hat, ohne zu bedenken, dass wir dann auch Kontrolle und Unfreiheit des Einzelnen in Kauf nehmen müssten. Und wir müssen andererseits w</w:t>
      </w:r>
      <w:r w:rsidRPr="00E73F6F">
        <w:rPr>
          <w:sz w:val="24"/>
          <w:szCs w:val="24"/>
        </w:rPr>
        <w:t>issen, dass uns eine absolut gesetzte Marktwirtschaft mit ihrem Ideal des autonomen Individuums zwar Wohlstand und Fortschritt bringt, die nicht so Tüchtigen aber auch an den Rand gedrängt werden, letztlich also in der Kultur der Fatalisten enden“ (Kamins 1999, S.203).</w:t>
      </w:r>
    </w:p>
    <w:p w14:paraId="1C2CACA3" w14:textId="77777777" w:rsidR="00FF7799" w:rsidRPr="00E73F6F" w:rsidRDefault="00FF7799" w:rsidP="00862DBA">
      <w:pPr>
        <w:spacing w:before="4"/>
        <w:rPr>
          <w:sz w:val="24"/>
          <w:szCs w:val="24"/>
        </w:rPr>
      </w:pPr>
    </w:p>
    <w:p w14:paraId="78E7BD35" w14:textId="77777777" w:rsidR="00FF7799" w:rsidRPr="00C76DC3" w:rsidRDefault="00FF7799" w:rsidP="004B18FC">
      <w:pPr>
        <w:pStyle w:val="BeschriftungTab"/>
        <w:rPr>
          <w:i/>
          <w:iCs/>
          <w:spacing w:val="-2"/>
        </w:rPr>
      </w:pPr>
      <w:r w:rsidRPr="00C76DC3">
        <w:rPr>
          <w:i/>
          <w:iCs/>
        </w:rPr>
        <w:t>Abb. 1: Beziehungsorientiertes</w:t>
      </w:r>
      <w:r w:rsidRPr="00C76DC3">
        <w:rPr>
          <w:i/>
          <w:iCs/>
          <w:spacing w:val="-4"/>
        </w:rPr>
        <w:t xml:space="preserve"> </w:t>
      </w:r>
      <w:r w:rsidR="00443B51" w:rsidRPr="00C76DC3">
        <w:rPr>
          <w:i/>
          <w:iCs/>
          <w:spacing w:val="-2"/>
        </w:rPr>
        <w:t>Kulturkonzept</w:t>
      </w:r>
    </w:p>
    <w:p w14:paraId="6D528BD8" w14:textId="77777777" w:rsidR="00443B51" w:rsidRDefault="00443B51" w:rsidP="004B18FC">
      <w:pPr>
        <w:pStyle w:val="BeschriftungTab"/>
        <w:rPr>
          <w:spacing w:val="-2"/>
        </w:rPr>
      </w:pPr>
    </w:p>
    <w:p w14:paraId="12CBC566" w14:textId="77777777" w:rsidR="00443B51" w:rsidRPr="00E73F6F" w:rsidRDefault="00257468" w:rsidP="004B18FC">
      <w:pPr>
        <w:pStyle w:val="BeschriftungTab"/>
      </w:pPr>
      <w:r>
        <w:rPr>
          <w:noProof/>
        </w:rPr>
        <w:drawing>
          <wp:inline distT="0" distB="0" distL="0" distR="0" wp14:anchorId="77AD8096" wp14:editId="562B0063">
            <wp:extent cx="5839939" cy="4095750"/>
            <wp:effectExtent l="0" t="0" r="8890" b="0"/>
            <wp:docPr id="92" name="Grafik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848373" cy="4101665"/>
                    </a:xfrm>
                    <a:prstGeom prst="rect">
                      <a:avLst/>
                    </a:prstGeom>
                    <a:noFill/>
                  </pic:spPr>
                </pic:pic>
              </a:graphicData>
            </a:graphic>
          </wp:inline>
        </w:drawing>
      </w:r>
    </w:p>
    <w:p w14:paraId="2E608B22" w14:textId="77777777" w:rsidR="00FF7799" w:rsidRPr="00E73F6F" w:rsidRDefault="00FF7799" w:rsidP="00662DF1">
      <w:pPr>
        <w:pStyle w:val="Quellen"/>
      </w:pPr>
      <w:r w:rsidRPr="00E73F6F">
        <w:t>Quelle:</w:t>
      </w:r>
      <w:r w:rsidRPr="00E73F6F">
        <w:rPr>
          <w:spacing w:val="70"/>
        </w:rPr>
        <w:t xml:space="preserve"> </w:t>
      </w:r>
      <w:r w:rsidRPr="00E73F6F">
        <w:t>Douglas</w:t>
      </w:r>
      <w:r w:rsidRPr="00E73F6F">
        <w:rPr>
          <w:spacing w:val="-3"/>
        </w:rPr>
        <w:t xml:space="preserve"> </w:t>
      </w:r>
      <w:r w:rsidRPr="00E73F6F">
        <w:t>(1997,</w:t>
      </w:r>
      <w:r w:rsidRPr="00E73F6F">
        <w:rPr>
          <w:spacing w:val="-2"/>
        </w:rPr>
        <w:t xml:space="preserve"> </w:t>
      </w:r>
      <w:r w:rsidRPr="00E73F6F">
        <w:t>S.178),</w:t>
      </w:r>
      <w:r w:rsidRPr="00E73F6F">
        <w:rPr>
          <w:spacing w:val="-1"/>
        </w:rPr>
        <w:t xml:space="preserve"> </w:t>
      </w:r>
      <w:r w:rsidRPr="00E73F6F">
        <w:rPr>
          <w:spacing w:val="-2"/>
        </w:rPr>
        <w:t>modifiziert.</w:t>
      </w:r>
    </w:p>
    <w:p w14:paraId="48C67037" w14:textId="77777777" w:rsidR="00FF7799" w:rsidRPr="00E73F6F" w:rsidRDefault="00FF7799" w:rsidP="00662DF1">
      <w:pPr>
        <w:pStyle w:val="StandardText"/>
      </w:pPr>
    </w:p>
    <w:p w14:paraId="7FCBD826" w14:textId="77777777" w:rsidR="00FF7799" w:rsidRPr="00443B51" w:rsidRDefault="00FF7799" w:rsidP="00F93A37">
      <w:pPr>
        <w:pStyle w:val="StandardTextkursiv"/>
        <w:rPr>
          <w:i w:val="0"/>
        </w:rPr>
      </w:pPr>
      <w:r w:rsidRPr="00443B51">
        <w:rPr>
          <w:i w:val="0"/>
        </w:rPr>
        <w:t>2.1 Hierarchische Kultur</w:t>
      </w:r>
    </w:p>
    <w:p w14:paraId="4A3038C4" w14:textId="77777777" w:rsidR="00FF7799" w:rsidRPr="00443B51" w:rsidRDefault="00FF7799" w:rsidP="00F93A37">
      <w:pPr>
        <w:pStyle w:val="StandardText"/>
      </w:pPr>
      <w:r w:rsidRPr="00443B51">
        <w:lastRenderedPageBreak/>
        <w:t>Dieser Typus zeichnet sich dadurch aus, dass seine Mitglieder soziale Ungleichheit als gegeben und relativ unveränderbar akzeptieren. Soziale Arrangements (d.h. Verträge) sind nicht frei aushandelbar, sondern hängen von unverrückbaren Regeln sowie der gesellschaftlichen Stellung des Einzelnen ab. Zentraler Maßstab allen Handelns ist das Gemeinwohl. Ihm sind individuelle Ansprüche und Wünsche unterzuordnen. Jeder hat auf dem Platz,</w:t>
      </w:r>
      <w:r w:rsidRPr="00443B51">
        <w:rPr>
          <w:spacing w:val="-1"/>
        </w:rPr>
        <w:t xml:space="preserve"> </w:t>
      </w:r>
      <w:r w:rsidRPr="00443B51">
        <w:t>auf den ihn das Gemeinwesen stellt, sein Bestes zu leisten und so dessen Zukunft zu sichern. Solche Verhaltensweisen waren bzw. sind typisch für vorindustrielle Ständegesellschaften, Bürokratien, traditionelle Dorfkulturen, Zünfte, die Kleinfamilie des 19. Jahrhunderts oder patriarchalisch geführte Unternehmen. Aufgrund ihrer geringen sozialen Dynamik sind hierarchische Kulturen ökonomisch</w:t>
      </w:r>
      <w:r w:rsidRPr="00443B51">
        <w:rPr>
          <w:spacing w:val="40"/>
        </w:rPr>
        <w:t xml:space="preserve"> </w:t>
      </w:r>
      <w:r w:rsidRPr="00443B51">
        <w:t>vergleichsweise</w:t>
      </w:r>
      <w:r w:rsidRPr="00443B51">
        <w:rPr>
          <w:spacing w:val="40"/>
        </w:rPr>
        <w:t xml:space="preserve"> </w:t>
      </w:r>
      <w:r w:rsidRPr="00443B51">
        <w:t>wenig</w:t>
      </w:r>
      <w:r w:rsidRPr="00443B51">
        <w:rPr>
          <w:spacing w:val="40"/>
        </w:rPr>
        <w:t xml:space="preserve"> </w:t>
      </w:r>
      <w:r w:rsidRPr="00443B51">
        <w:t>erfolgreich.</w:t>
      </w:r>
      <w:r w:rsidRPr="00443B51">
        <w:rPr>
          <w:spacing w:val="40"/>
        </w:rPr>
        <w:t xml:space="preserve"> </w:t>
      </w:r>
      <w:r w:rsidRPr="00443B51">
        <w:t>Prototyp</w:t>
      </w:r>
      <w:r w:rsidRPr="00443B51">
        <w:rPr>
          <w:spacing w:val="40"/>
        </w:rPr>
        <w:t xml:space="preserve"> </w:t>
      </w:r>
      <w:r w:rsidRPr="00443B51">
        <w:t>der</w:t>
      </w:r>
      <w:r w:rsidRPr="00443B51">
        <w:rPr>
          <w:spacing w:val="40"/>
        </w:rPr>
        <w:t xml:space="preserve"> </w:t>
      </w:r>
      <w:r w:rsidRPr="00443B51">
        <w:t>hierarchischen</w:t>
      </w:r>
    </w:p>
    <w:p w14:paraId="36FEA6EC" w14:textId="77777777" w:rsidR="00FF7799" w:rsidRPr="00443B51" w:rsidRDefault="00FF7799" w:rsidP="00F93A37">
      <w:pPr>
        <w:pStyle w:val="StandardText"/>
      </w:pPr>
      <w:r w:rsidRPr="00443B51">
        <w:t>Kultur ist indessen das Militärwesen. Der Einzelne wird nicht als Individuum, sondern</w:t>
      </w:r>
      <w:r w:rsidRPr="00443B51">
        <w:rPr>
          <w:spacing w:val="-5"/>
        </w:rPr>
        <w:t xml:space="preserve"> </w:t>
      </w:r>
      <w:r w:rsidRPr="00443B51">
        <w:t>als</w:t>
      </w:r>
      <w:r w:rsidRPr="00443B51">
        <w:rPr>
          <w:spacing w:val="-6"/>
        </w:rPr>
        <w:t xml:space="preserve"> </w:t>
      </w:r>
      <w:r w:rsidRPr="00443B51">
        <w:t>Funktionsträger</w:t>
      </w:r>
      <w:r w:rsidRPr="00443B51">
        <w:rPr>
          <w:spacing w:val="-6"/>
        </w:rPr>
        <w:t xml:space="preserve"> </w:t>
      </w:r>
      <w:r w:rsidRPr="00443B51">
        <w:t>behandelt,</w:t>
      </w:r>
      <w:r w:rsidRPr="00443B51">
        <w:rPr>
          <w:spacing w:val="-8"/>
        </w:rPr>
        <w:t xml:space="preserve"> </w:t>
      </w:r>
      <w:r w:rsidRPr="00443B51">
        <w:t>der</w:t>
      </w:r>
      <w:r w:rsidRPr="00443B51">
        <w:rPr>
          <w:spacing w:val="-6"/>
        </w:rPr>
        <w:t xml:space="preserve"> </w:t>
      </w:r>
      <w:r w:rsidRPr="00443B51">
        <w:t>einer</w:t>
      </w:r>
      <w:r w:rsidRPr="00443B51">
        <w:rPr>
          <w:spacing w:val="-6"/>
        </w:rPr>
        <w:t xml:space="preserve"> </w:t>
      </w:r>
      <w:r w:rsidRPr="00443B51">
        <w:t>Vielzahl</w:t>
      </w:r>
      <w:r w:rsidRPr="00443B51">
        <w:rPr>
          <w:spacing w:val="-8"/>
        </w:rPr>
        <w:t xml:space="preserve"> </w:t>
      </w:r>
      <w:r w:rsidRPr="00443B51">
        <w:t>von</w:t>
      </w:r>
      <w:r w:rsidRPr="00443B51">
        <w:rPr>
          <w:spacing w:val="-5"/>
        </w:rPr>
        <w:t xml:space="preserve"> </w:t>
      </w:r>
      <w:r w:rsidRPr="00443B51">
        <w:t>Regeln</w:t>
      </w:r>
      <w:r w:rsidRPr="00443B51">
        <w:rPr>
          <w:spacing w:val="-5"/>
        </w:rPr>
        <w:t xml:space="preserve"> </w:t>
      </w:r>
      <w:r w:rsidRPr="00443B51">
        <w:t>unterworfen ist. Wichtige soziale Steuerungsmechanismen sind die Ehre des Gemeinwesens, wechselseitige Verpflichtung, Tradition und Ordnung.</w:t>
      </w:r>
    </w:p>
    <w:p w14:paraId="62567EE7" w14:textId="77777777" w:rsidR="00FF7799" w:rsidRPr="00443B51" w:rsidRDefault="00FF7799" w:rsidP="00F93A37">
      <w:pPr>
        <w:pStyle w:val="StandardText"/>
      </w:pPr>
      <w:r w:rsidRPr="00443B51">
        <w:t>Zu</w:t>
      </w:r>
      <w:r w:rsidRPr="00443B51">
        <w:rPr>
          <w:spacing w:val="-4"/>
        </w:rPr>
        <w:t xml:space="preserve"> </w:t>
      </w:r>
      <w:r w:rsidRPr="00443B51">
        <w:t>den</w:t>
      </w:r>
      <w:r w:rsidRPr="00443B51">
        <w:rPr>
          <w:spacing w:val="-2"/>
        </w:rPr>
        <w:t xml:space="preserve"> </w:t>
      </w:r>
      <w:r w:rsidRPr="00443B51">
        <w:t>Vorteilen</w:t>
      </w:r>
      <w:r w:rsidRPr="00443B51">
        <w:rPr>
          <w:spacing w:val="-5"/>
        </w:rPr>
        <w:t xml:space="preserve"> </w:t>
      </w:r>
      <w:r w:rsidRPr="00443B51">
        <w:t>dieses</w:t>
      </w:r>
      <w:r w:rsidRPr="00443B51">
        <w:rPr>
          <w:spacing w:val="-3"/>
        </w:rPr>
        <w:t xml:space="preserve"> </w:t>
      </w:r>
      <w:r w:rsidRPr="00443B51">
        <w:t>Kulturtyps</w:t>
      </w:r>
      <w:r w:rsidRPr="00443B51">
        <w:rPr>
          <w:spacing w:val="-3"/>
        </w:rPr>
        <w:t xml:space="preserve"> </w:t>
      </w:r>
      <w:r w:rsidRPr="00443B51">
        <w:t>im</w:t>
      </w:r>
      <w:r w:rsidRPr="00443B51">
        <w:rPr>
          <w:spacing w:val="-3"/>
        </w:rPr>
        <w:t xml:space="preserve"> </w:t>
      </w:r>
      <w:r w:rsidRPr="00443B51">
        <w:t>Allgemeinen</w:t>
      </w:r>
      <w:r w:rsidRPr="00443B51">
        <w:rPr>
          <w:spacing w:val="-2"/>
        </w:rPr>
        <w:t xml:space="preserve"> </w:t>
      </w:r>
      <w:r w:rsidRPr="00443B51">
        <w:t>und</w:t>
      </w:r>
      <w:r w:rsidRPr="00443B51">
        <w:rPr>
          <w:spacing w:val="-4"/>
        </w:rPr>
        <w:t xml:space="preserve"> </w:t>
      </w:r>
      <w:r w:rsidRPr="00443B51">
        <w:t>des</w:t>
      </w:r>
      <w:r w:rsidRPr="00443B51">
        <w:rPr>
          <w:spacing w:val="-3"/>
        </w:rPr>
        <w:t xml:space="preserve"> </w:t>
      </w:r>
      <w:r w:rsidRPr="00443B51">
        <w:t>Militärwesens</w:t>
      </w:r>
      <w:r w:rsidRPr="00443B51">
        <w:rPr>
          <w:spacing w:val="-3"/>
        </w:rPr>
        <w:t xml:space="preserve"> </w:t>
      </w:r>
      <w:r w:rsidRPr="00443B51">
        <w:t xml:space="preserve">im Besonderen zählt, dass auch nachrangige Mitglieder Schutz und Sicherheit erhalten. Allerdings sorgen vielfältige soziale Kontrollen dafür, dass derartige Gesellschaftssysteme erstarren und hierarchische Unterschiede zwischen ihren Mitgliedern konservieren. Somit besteht der entscheidende Nachteil der hierarchischen Kultur in ihrer ungenügenden Fähigkeit, sich an variable Umweltbedingungen anzupassen, und damit letztlich in begrenzter </w:t>
      </w:r>
      <w:r w:rsidRPr="00443B51">
        <w:rPr>
          <w:spacing w:val="-2"/>
        </w:rPr>
        <w:t>Überlebensfähigkeit.</w:t>
      </w:r>
    </w:p>
    <w:p w14:paraId="2B4F5596" w14:textId="77777777" w:rsidR="00FF7799" w:rsidRPr="00443B51" w:rsidRDefault="00FF7799" w:rsidP="00F93A37">
      <w:pPr>
        <w:pStyle w:val="StandardText"/>
      </w:pPr>
    </w:p>
    <w:p w14:paraId="1D932406" w14:textId="77777777" w:rsidR="00FF7799" w:rsidRPr="00443B51" w:rsidRDefault="00FF7799" w:rsidP="00F93A37">
      <w:pPr>
        <w:pStyle w:val="StandardTextkursiv"/>
        <w:rPr>
          <w:i w:val="0"/>
        </w:rPr>
      </w:pPr>
      <w:r w:rsidRPr="00443B51">
        <w:rPr>
          <w:i w:val="0"/>
        </w:rPr>
        <w:t>2.2 Individualistische Kultur</w:t>
      </w:r>
    </w:p>
    <w:p w14:paraId="30D9CD6D" w14:textId="77777777" w:rsidR="00FF7799" w:rsidRPr="00443B51" w:rsidRDefault="00FF7799" w:rsidP="00F93A37">
      <w:pPr>
        <w:pStyle w:val="StandardText"/>
      </w:pPr>
      <w:r w:rsidRPr="00443B51">
        <w:t>Als Gegentypus der hierarchischen Kultur ist die individualistische Kultur offen für Veränderung und Mobilität. Der Einzelne leitet seine gesellschaftliche Stellung</w:t>
      </w:r>
      <w:r w:rsidRPr="00443B51">
        <w:rPr>
          <w:spacing w:val="-12"/>
        </w:rPr>
        <w:t xml:space="preserve"> </w:t>
      </w:r>
      <w:r w:rsidRPr="00443B51">
        <w:t>nicht</w:t>
      </w:r>
      <w:r w:rsidRPr="00443B51">
        <w:rPr>
          <w:spacing w:val="-11"/>
        </w:rPr>
        <w:t xml:space="preserve"> </w:t>
      </w:r>
      <w:r w:rsidRPr="00443B51">
        <w:t>aus</w:t>
      </w:r>
      <w:r w:rsidRPr="00443B51">
        <w:rPr>
          <w:spacing w:val="-11"/>
        </w:rPr>
        <w:t xml:space="preserve"> </w:t>
      </w:r>
      <w:r w:rsidRPr="00443B51">
        <w:t>der</w:t>
      </w:r>
      <w:r w:rsidRPr="00443B51">
        <w:rPr>
          <w:spacing w:val="-11"/>
        </w:rPr>
        <w:t xml:space="preserve"> </w:t>
      </w:r>
      <w:r w:rsidRPr="00443B51">
        <w:t>tradierten</w:t>
      </w:r>
      <w:r w:rsidRPr="00443B51">
        <w:rPr>
          <w:spacing w:val="-12"/>
        </w:rPr>
        <w:t xml:space="preserve"> </w:t>
      </w:r>
      <w:r w:rsidRPr="00443B51">
        <w:t>hierarchischen</w:t>
      </w:r>
      <w:r w:rsidRPr="00443B51">
        <w:rPr>
          <w:spacing w:val="-10"/>
        </w:rPr>
        <w:t xml:space="preserve"> </w:t>
      </w:r>
      <w:r w:rsidRPr="00443B51">
        <w:t>Position</w:t>
      </w:r>
      <w:r w:rsidRPr="00443B51">
        <w:rPr>
          <w:spacing w:val="-9"/>
        </w:rPr>
        <w:t xml:space="preserve"> </w:t>
      </w:r>
      <w:r w:rsidRPr="00443B51">
        <w:t>seiner</w:t>
      </w:r>
      <w:r w:rsidRPr="00443B51">
        <w:rPr>
          <w:spacing w:val="-12"/>
        </w:rPr>
        <w:t xml:space="preserve"> </w:t>
      </w:r>
      <w:r w:rsidRPr="00443B51">
        <w:t>Familie</w:t>
      </w:r>
      <w:r w:rsidRPr="00443B51">
        <w:rPr>
          <w:spacing w:val="-11"/>
        </w:rPr>
        <w:t xml:space="preserve"> </w:t>
      </w:r>
      <w:r w:rsidRPr="00443B51">
        <w:t>ab,</w:t>
      </w:r>
      <w:r w:rsidRPr="00443B51">
        <w:rPr>
          <w:spacing w:val="-10"/>
        </w:rPr>
        <w:t xml:space="preserve"> </w:t>
      </w:r>
      <w:r w:rsidRPr="00443B51">
        <w:t>sondern muss</w:t>
      </w:r>
      <w:r w:rsidRPr="00443B51">
        <w:rPr>
          <w:spacing w:val="-10"/>
        </w:rPr>
        <w:t xml:space="preserve"> </w:t>
      </w:r>
      <w:r w:rsidRPr="00443B51">
        <w:t>seinen</w:t>
      </w:r>
      <w:r w:rsidRPr="00443B51">
        <w:rPr>
          <w:spacing w:val="-8"/>
        </w:rPr>
        <w:t xml:space="preserve"> </w:t>
      </w:r>
      <w:r w:rsidRPr="00443B51">
        <w:t>Status</w:t>
      </w:r>
      <w:r w:rsidRPr="00443B51">
        <w:rPr>
          <w:spacing w:val="-9"/>
        </w:rPr>
        <w:t xml:space="preserve"> </w:t>
      </w:r>
      <w:r w:rsidRPr="00443B51">
        <w:t>immer</w:t>
      </w:r>
      <w:r w:rsidRPr="00443B51">
        <w:rPr>
          <w:spacing w:val="-9"/>
        </w:rPr>
        <w:t xml:space="preserve"> </w:t>
      </w:r>
      <w:r w:rsidRPr="00443B51">
        <w:t>wieder</w:t>
      </w:r>
      <w:r w:rsidRPr="00443B51">
        <w:rPr>
          <w:spacing w:val="-11"/>
        </w:rPr>
        <w:t xml:space="preserve"> </w:t>
      </w:r>
      <w:r w:rsidRPr="00443B51">
        <w:t>durch</w:t>
      </w:r>
      <w:r w:rsidRPr="00443B51">
        <w:rPr>
          <w:spacing w:val="-10"/>
        </w:rPr>
        <w:t xml:space="preserve"> </w:t>
      </w:r>
      <w:r w:rsidRPr="00443B51">
        <w:t>entsprechende</w:t>
      </w:r>
      <w:r w:rsidRPr="00443B51">
        <w:rPr>
          <w:spacing w:val="-9"/>
        </w:rPr>
        <w:t xml:space="preserve"> </w:t>
      </w:r>
      <w:r w:rsidRPr="00443B51">
        <w:t>Leistungen</w:t>
      </w:r>
      <w:r w:rsidRPr="00443B51">
        <w:rPr>
          <w:spacing w:val="-8"/>
        </w:rPr>
        <w:t xml:space="preserve"> </w:t>
      </w:r>
      <w:r w:rsidRPr="00443B51">
        <w:t>im</w:t>
      </w:r>
      <w:r w:rsidRPr="00443B51">
        <w:rPr>
          <w:spacing w:val="-10"/>
        </w:rPr>
        <w:t xml:space="preserve"> </w:t>
      </w:r>
      <w:r w:rsidRPr="00443B51">
        <w:t>Wettbewerb mit anderen selbst begründen.</w:t>
      </w:r>
    </w:p>
    <w:p w14:paraId="2EAAA0DF" w14:textId="77777777" w:rsidR="00FF7799" w:rsidRPr="00443B51" w:rsidRDefault="00FF7799" w:rsidP="00F93A37">
      <w:pPr>
        <w:pStyle w:val="StandardText"/>
      </w:pPr>
      <w:r w:rsidRPr="00443B51">
        <w:t>Die individualistische Kultur, die vor allem die marktwirtschaftlichen Industriegesellschaften geprägt hat, ist gegenwartsorientiert. Individuelle Bedürfnisse erfahren Wertschätzung, und Gleichheit ist lediglich im Sinne von Chancengleichheit ein sozialer Wert (und nicht von Ergebnisgleichheit). Der Markt sowie ähnlich strukturierte Anreizsysteme gelten als effiziente Steuerungsinstrumente und haben Vorrang vor hierarchisch begründeten Privilegien. Folglich werden Kontrolle und Zwang seltener angewandt als in anderen Gesellschaften. Zu den Nachteilen des individualistischen Typus zählen Kurzzeitdenken und die Gefahr der Ausgrenzung von Menschen, die nicht dem Leistungsideal</w:t>
      </w:r>
      <w:r w:rsidRPr="00443B51">
        <w:rPr>
          <w:spacing w:val="-12"/>
        </w:rPr>
        <w:t xml:space="preserve"> </w:t>
      </w:r>
      <w:r w:rsidRPr="00443B51">
        <w:t>entsprechen.</w:t>
      </w:r>
      <w:r w:rsidRPr="00443B51">
        <w:rPr>
          <w:spacing w:val="-11"/>
        </w:rPr>
        <w:t xml:space="preserve"> </w:t>
      </w:r>
      <w:r w:rsidRPr="00443B51">
        <w:t>Dass</w:t>
      </w:r>
      <w:r w:rsidRPr="00443B51">
        <w:rPr>
          <w:spacing w:val="-11"/>
        </w:rPr>
        <w:t xml:space="preserve"> </w:t>
      </w:r>
      <w:r w:rsidRPr="00443B51">
        <w:t>die</w:t>
      </w:r>
      <w:r w:rsidRPr="00443B51">
        <w:rPr>
          <w:spacing w:val="-11"/>
        </w:rPr>
        <w:t xml:space="preserve"> </w:t>
      </w:r>
      <w:r w:rsidRPr="00443B51">
        <w:t>Natur</w:t>
      </w:r>
      <w:r w:rsidRPr="00443B51">
        <w:rPr>
          <w:spacing w:val="-12"/>
        </w:rPr>
        <w:t xml:space="preserve"> </w:t>
      </w:r>
      <w:r w:rsidRPr="00443B51">
        <w:t>als</w:t>
      </w:r>
      <w:r w:rsidRPr="00443B51">
        <w:rPr>
          <w:spacing w:val="-11"/>
        </w:rPr>
        <w:t xml:space="preserve"> </w:t>
      </w:r>
      <w:r w:rsidRPr="00443B51">
        <w:t>eine</w:t>
      </w:r>
      <w:r w:rsidRPr="00443B51">
        <w:rPr>
          <w:spacing w:val="-11"/>
        </w:rPr>
        <w:t xml:space="preserve"> </w:t>
      </w:r>
      <w:r w:rsidRPr="00443B51">
        <w:t>unbegrenzt</w:t>
      </w:r>
      <w:r w:rsidRPr="00443B51">
        <w:rPr>
          <w:spacing w:val="-11"/>
        </w:rPr>
        <w:t xml:space="preserve"> </w:t>
      </w:r>
      <w:r w:rsidRPr="00443B51">
        <w:t>verfügbare,</w:t>
      </w:r>
      <w:r w:rsidRPr="00443B51">
        <w:rPr>
          <w:spacing w:val="-12"/>
        </w:rPr>
        <w:t xml:space="preserve"> </w:t>
      </w:r>
      <w:r w:rsidRPr="00443B51">
        <w:t>robuste und regenerationsfähige Ressource angesehen wird, begründet einerseits den charakteristischen Optimismus, andererseits aber auch eine Tendenz, auf Kosten künftiger Generationen zu leben.</w:t>
      </w:r>
    </w:p>
    <w:p w14:paraId="62EA4F6B" w14:textId="77777777" w:rsidR="00FF7799" w:rsidRPr="00443B51" w:rsidRDefault="00FF7799" w:rsidP="00F93A37">
      <w:pPr>
        <w:pStyle w:val="StandardText"/>
      </w:pPr>
      <w:r w:rsidRPr="00443B51">
        <w:t>Der</w:t>
      </w:r>
      <w:r w:rsidRPr="00443B51">
        <w:rPr>
          <w:spacing w:val="-9"/>
        </w:rPr>
        <w:t xml:space="preserve"> </w:t>
      </w:r>
      <w:r w:rsidRPr="00443B51">
        <w:t>zentrale</w:t>
      </w:r>
      <w:r w:rsidRPr="00443B51">
        <w:rPr>
          <w:spacing w:val="-12"/>
        </w:rPr>
        <w:t xml:space="preserve"> </w:t>
      </w:r>
      <w:r w:rsidRPr="00443B51">
        <w:t>Vorteil</w:t>
      </w:r>
      <w:r w:rsidRPr="00443B51">
        <w:rPr>
          <w:spacing w:val="-10"/>
        </w:rPr>
        <w:t xml:space="preserve"> </w:t>
      </w:r>
      <w:r w:rsidRPr="00443B51">
        <w:t>dieses</w:t>
      </w:r>
      <w:r w:rsidRPr="00443B51">
        <w:rPr>
          <w:spacing w:val="-9"/>
        </w:rPr>
        <w:t xml:space="preserve"> </w:t>
      </w:r>
      <w:r w:rsidRPr="00443B51">
        <w:t>Kulturtypus</w:t>
      </w:r>
      <w:r w:rsidRPr="00443B51">
        <w:rPr>
          <w:spacing w:val="-12"/>
        </w:rPr>
        <w:t xml:space="preserve"> </w:t>
      </w:r>
      <w:r w:rsidRPr="00443B51">
        <w:t>liegt</w:t>
      </w:r>
      <w:r w:rsidRPr="00443B51">
        <w:rPr>
          <w:spacing w:val="-7"/>
        </w:rPr>
        <w:t xml:space="preserve"> </w:t>
      </w:r>
      <w:r w:rsidRPr="00443B51">
        <w:t>in</w:t>
      </w:r>
      <w:r w:rsidRPr="00443B51">
        <w:rPr>
          <w:spacing w:val="-8"/>
        </w:rPr>
        <w:t xml:space="preserve"> </w:t>
      </w:r>
      <w:r w:rsidRPr="00443B51">
        <w:t>seiner</w:t>
      </w:r>
      <w:r w:rsidRPr="00443B51">
        <w:rPr>
          <w:spacing w:val="-9"/>
        </w:rPr>
        <w:t xml:space="preserve"> </w:t>
      </w:r>
      <w:r w:rsidRPr="00443B51">
        <w:t>ökonomischen</w:t>
      </w:r>
      <w:r w:rsidRPr="00443B51">
        <w:rPr>
          <w:spacing w:val="-8"/>
        </w:rPr>
        <w:t xml:space="preserve"> </w:t>
      </w:r>
      <w:r w:rsidRPr="00443B51">
        <w:t>Effizienz. Offensichtlich sorgt das Streben nach Individualwohl unter bestimmten Rahmenbedingungen</w:t>
      </w:r>
      <w:r w:rsidRPr="00443B51">
        <w:rPr>
          <w:spacing w:val="-5"/>
        </w:rPr>
        <w:t xml:space="preserve"> </w:t>
      </w:r>
      <w:r w:rsidRPr="00443B51">
        <w:t>für</w:t>
      </w:r>
      <w:r w:rsidRPr="00443B51">
        <w:rPr>
          <w:spacing w:val="-6"/>
        </w:rPr>
        <w:t xml:space="preserve"> </w:t>
      </w:r>
      <w:r w:rsidRPr="00443B51">
        <w:t>mehr</w:t>
      </w:r>
      <w:r w:rsidRPr="00443B51">
        <w:rPr>
          <w:spacing w:val="-6"/>
        </w:rPr>
        <w:t xml:space="preserve"> </w:t>
      </w:r>
      <w:r w:rsidRPr="00443B51">
        <w:t>Gemeinwohl</w:t>
      </w:r>
      <w:r w:rsidRPr="00443B51">
        <w:rPr>
          <w:spacing w:val="-6"/>
        </w:rPr>
        <w:t xml:space="preserve"> </w:t>
      </w:r>
      <w:r w:rsidRPr="00443B51">
        <w:t>als</w:t>
      </w:r>
      <w:r w:rsidRPr="00443B51">
        <w:rPr>
          <w:spacing w:val="-6"/>
        </w:rPr>
        <w:t xml:space="preserve"> </w:t>
      </w:r>
      <w:r w:rsidRPr="00443B51">
        <w:t>jede</w:t>
      </w:r>
      <w:r w:rsidRPr="00443B51">
        <w:rPr>
          <w:spacing w:val="-7"/>
        </w:rPr>
        <w:t xml:space="preserve"> </w:t>
      </w:r>
      <w:r w:rsidRPr="00443B51">
        <w:t>andere</w:t>
      </w:r>
      <w:r w:rsidRPr="00443B51">
        <w:rPr>
          <w:spacing w:val="-7"/>
        </w:rPr>
        <w:t xml:space="preserve"> </w:t>
      </w:r>
      <w:r w:rsidRPr="00443B51">
        <w:t>Sozialordnung.</w:t>
      </w:r>
      <w:r w:rsidRPr="00443B51">
        <w:rPr>
          <w:spacing w:val="-6"/>
        </w:rPr>
        <w:t xml:space="preserve"> </w:t>
      </w:r>
      <w:r w:rsidRPr="00443B51">
        <w:t>Hinzu kommt eine überlegene Fähigkeit, Ressourcen zu erschließen und mithilfe technischer Neuerungen einen beträchtlichen Wohlstand zu schaffen.</w:t>
      </w:r>
    </w:p>
    <w:p w14:paraId="51F5B5DB" w14:textId="77777777" w:rsidR="00FF7799" w:rsidRPr="00443B51" w:rsidRDefault="00FF7799" w:rsidP="00862DBA">
      <w:pPr>
        <w:spacing w:before="10"/>
        <w:rPr>
          <w:sz w:val="24"/>
          <w:szCs w:val="24"/>
        </w:rPr>
      </w:pPr>
    </w:p>
    <w:p w14:paraId="5A4E614F" w14:textId="77777777" w:rsidR="00FF7799" w:rsidRPr="00443B51" w:rsidRDefault="00FF7799" w:rsidP="00F93A37">
      <w:pPr>
        <w:pStyle w:val="StandardTextkursiv"/>
        <w:rPr>
          <w:i w:val="0"/>
        </w:rPr>
      </w:pPr>
      <w:r w:rsidRPr="00443B51">
        <w:rPr>
          <w:i w:val="0"/>
        </w:rPr>
        <w:t>2.3 Egalitäre Kultur</w:t>
      </w:r>
    </w:p>
    <w:p w14:paraId="0BF7E9DF" w14:textId="77777777" w:rsidR="00FF7799" w:rsidRPr="00443B51" w:rsidRDefault="00FF7799" w:rsidP="00F93A37">
      <w:pPr>
        <w:pStyle w:val="StandardText"/>
      </w:pPr>
      <w:r w:rsidRPr="00443B51">
        <w:t>Sie legt großen Wert auf Zugehörigkeit zu etablierten sozialen Gruppen und Gleichheit ihrer Mitglieder. Privilegierte gesellschaftliche Positionen sind weder vererbbar</w:t>
      </w:r>
      <w:r w:rsidRPr="00443B51">
        <w:rPr>
          <w:spacing w:val="-12"/>
        </w:rPr>
        <w:t xml:space="preserve"> </w:t>
      </w:r>
      <w:r w:rsidRPr="00443B51">
        <w:t>(wie</w:t>
      </w:r>
      <w:r w:rsidRPr="00443B51">
        <w:rPr>
          <w:spacing w:val="-11"/>
        </w:rPr>
        <w:t xml:space="preserve"> </w:t>
      </w:r>
      <w:r w:rsidRPr="00443B51">
        <w:t>in</w:t>
      </w:r>
      <w:r w:rsidRPr="00443B51">
        <w:rPr>
          <w:spacing w:val="-11"/>
        </w:rPr>
        <w:t xml:space="preserve"> </w:t>
      </w:r>
      <w:r w:rsidRPr="00443B51">
        <w:t>der</w:t>
      </w:r>
      <w:r w:rsidRPr="00443B51">
        <w:rPr>
          <w:spacing w:val="-11"/>
        </w:rPr>
        <w:t xml:space="preserve"> </w:t>
      </w:r>
      <w:r w:rsidRPr="00443B51">
        <w:t>hierar</w:t>
      </w:r>
      <w:r w:rsidRPr="00443B51">
        <w:lastRenderedPageBreak/>
        <w:t>chischen</w:t>
      </w:r>
      <w:r w:rsidRPr="00443B51">
        <w:rPr>
          <w:spacing w:val="-12"/>
        </w:rPr>
        <w:t xml:space="preserve"> </w:t>
      </w:r>
      <w:r w:rsidRPr="00443B51">
        <w:t>Kultur),</w:t>
      </w:r>
      <w:r w:rsidRPr="00443B51">
        <w:rPr>
          <w:spacing w:val="-11"/>
        </w:rPr>
        <w:t xml:space="preserve"> </w:t>
      </w:r>
      <w:r w:rsidRPr="00443B51">
        <w:t>noch</w:t>
      </w:r>
      <w:r w:rsidRPr="00443B51">
        <w:rPr>
          <w:spacing w:val="-11"/>
        </w:rPr>
        <w:t xml:space="preserve"> </w:t>
      </w:r>
      <w:r w:rsidRPr="00443B51">
        <w:t>im</w:t>
      </w:r>
      <w:r w:rsidRPr="00443B51">
        <w:rPr>
          <w:spacing w:val="-11"/>
        </w:rPr>
        <w:t xml:space="preserve"> </w:t>
      </w:r>
      <w:r w:rsidRPr="00443B51">
        <w:t>Wettbewerb</w:t>
      </w:r>
      <w:r w:rsidRPr="00443B51">
        <w:rPr>
          <w:spacing w:val="-12"/>
        </w:rPr>
        <w:t xml:space="preserve"> </w:t>
      </w:r>
      <w:r w:rsidRPr="00443B51">
        <w:t>zu</w:t>
      </w:r>
      <w:r w:rsidRPr="00443B51">
        <w:rPr>
          <w:spacing w:val="-11"/>
        </w:rPr>
        <w:t xml:space="preserve"> </w:t>
      </w:r>
      <w:r w:rsidRPr="00443B51">
        <w:t>erringen</w:t>
      </w:r>
      <w:r w:rsidRPr="00443B51">
        <w:rPr>
          <w:spacing w:val="-11"/>
        </w:rPr>
        <w:t xml:space="preserve"> </w:t>
      </w:r>
      <w:r w:rsidRPr="00443B51">
        <w:t>(wie in der individualistischen Kultur). Autorität und Machtansprüche Einzelner oder bestimmter</w:t>
      </w:r>
      <w:r w:rsidRPr="00443B51">
        <w:rPr>
          <w:spacing w:val="-5"/>
        </w:rPr>
        <w:t xml:space="preserve"> </w:t>
      </w:r>
      <w:r w:rsidRPr="00443B51">
        <w:t>sozialer</w:t>
      </w:r>
      <w:r w:rsidRPr="00443B51">
        <w:rPr>
          <w:spacing w:val="-3"/>
        </w:rPr>
        <w:t xml:space="preserve"> </w:t>
      </w:r>
      <w:r w:rsidRPr="00443B51">
        <w:t>Gruppen</w:t>
      </w:r>
      <w:r w:rsidRPr="00443B51">
        <w:rPr>
          <w:spacing w:val="-4"/>
        </w:rPr>
        <w:t xml:space="preserve"> </w:t>
      </w:r>
      <w:r w:rsidRPr="00443B51">
        <w:t>werden</w:t>
      </w:r>
      <w:r w:rsidRPr="00443B51">
        <w:rPr>
          <w:spacing w:val="-4"/>
        </w:rPr>
        <w:t xml:space="preserve"> </w:t>
      </w:r>
      <w:r w:rsidRPr="00443B51">
        <w:t>ebenso</w:t>
      </w:r>
      <w:r w:rsidRPr="00443B51">
        <w:rPr>
          <w:spacing w:val="-5"/>
        </w:rPr>
        <w:t xml:space="preserve"> </w:t>
      </w:r>
      <w:r w:rsidRPr="00443B51">
        <w:t>abgelehnt</w:t>
      </w:r>
      <w:r w:rsidRPr="00443B51">
        <w:rPr>
          <w:spacing w:val="-5"/>
        </w:rPr>
        <w:t xml:space="preserve"> </w:t>
      </w:r>
      <w:r w:rsidRPr="00443B51">
        <w:t>wie</w:t>
      </w:r>
      <w:r w:rsidRPr="00443B51">
        <w:rPr>
          <w:spacing w:val="-6"/>
        </w:rPr>
        <w:t xml:space="preserve"> </w:t>
      </w:r>
      <w:r w:rsidRPr="00443B51">
        <w:t>das</w:t>
      </w:r>
      <w:r w:rsidRPr="00443B51">
        <w:rPr>
          <w:spacing w:val="-6"/>
        </w:rPr>
        <w:t xml:space="preserve"> </w:t>
      </w:r>
      <w:r w:rsidRPr="00443B51">
        <w:t>Andersartige</w:t>
      </w:r>
      <w:r w:rsidRPr="00443B51">
        <w:rPr>
          <w:spacing w:val="-6"/>
        </w:rPr>
        <w:t xml:space="preserve"> </w:t>
      </w:r>
      <w:r w:rsidRPr="00443B51">
        <w:t>bzw. der</w:t>
      </w:r>
      <w:r w:rsidRPr="00443B51">
        <w:rPr>
          <w:spacing w:val="-5"/>
        </w:rPr>
        <w:t xml:space="preserve"> </w:t>
      </w:r>
      <w:r w:rsidRPr="00443B51">
        <w:t>Fremde.</w:t>
      </w:r>
      <w:r w:rsidRPr="00443B51">
        <w:rPr>
          <w:spacing w:val="-5"/>
        </w:rPr>
        <w:t xml:space="preserve"> </w:t>
      </w:r>
      <w:r w:rsidRPr="00443B51">
        <w:t>Ohne</w:t>
      </w:r>
      <w:r w:rsidRPr="00443B51">
        <w:rPr>
          <w:spacing w:val="-6"/>
        </w:rPr>
        <w:t xml:space="preserve"> </w:t>
      </w:r>
      <w:r w:rsidRPr="00443B51">
        <w:t>eine</w:t>
      </w:r>
      <w:r w:rsidRPr="00443B51">
        <w:rPr>
          <w:spacing w:val="-6"/>
        </w:rPr>
        <w:t xml:space="preserve"> </w:t>
      </w:r>
      <w:r w:rsidRPr="00443B51">
        <w:t>straffe</w:t>
      </w:r>
      <w:r w:rsidRPr="00443B51">
        <w:rPr>
          <w:spacing w:val="-6"/>
        </w:rPr>
        <w:t xml:space="preserve"> </w:t>
      </w:r>
      <w:r w:rsidRPr="00443B51">
        <w:t>Führung</w:t>
      </w:r>
      <w:r w:rsidRPr="00443B51">
        <w:rPr>
          <w:spacing w:val="-4"/>
        </w:rPr>
        <w:t xml:space="preserve"> </w:t>
      </w:r>
      <w:r w:rsidRPr="00443B51">
        <w:t>und</w:t>
      </w:r>
      <w:r w:rsidRPr="00443B51">
        <w:rPr>
          <w:spacing w:val="-4"/>
        </w:rPr>
        <w:t xml:space="preserve"> </w:t>
      </w:r>
      <w:r w:rsidRPr="00443B51">
        <w:t>explizite</w:t>
      </w:r>
      <w:r w:rsidRPr="00443B51">
        <w:rPr>
          <w:spacing w:val="-6"/>
        </w:rPr>
        <w:t xml:space="preserve"> </w:t>
      </w:r>
      <w:r w:rsidRPr="00443B51">
        <w:t>Verhaltensregeln</w:t>
      </w:r>
      <w:r w:rsidRPr="00443B51">
        <w:rPr>
          <w:spacing w:val="-4"/>
        </w:rPr>
        <w:t xml:space="preserve"> </w:t>
      </w:r>
      <w:r w:rsidRPr="00443B51">
        <w:t>sind</w:t>
      </w:r>
      <w:r w:rsidRPr="00443B51">
        <w:rPr>
          <w:spacing w:val="-4"/>
        </w:rPr>
        <w:t xml:space="preserve"> </w:t>
      </w:r>
      <w:r w:rsidRPr="00443B51">
        <w:t>solche Kulturen ständig von der Gefahr der inneren Spaltung bedroht.</w:t>
      </w:r>
    </w:p>
    <w:p w14:paraId="40D3BF24" w14:textId="77777777" w:rsidR="00FF7799" w:rsidRPr="00443B51" w:rsidRDefault="00FF7799" w:rsidP="00F93A37">
      <w:pPr>
        <w:pStyle w:val="StandardText"/>
      </w:pPr>
      <w:r w:rsidRPr="00443B51">
        <w:t>In der hierarchischen Kultur zählt das Individuum wenig, weil es dem Gemeinwesen untergeordnet ist, und in der egalitären Kultur aufgrund der Überzeugung, dass alle ihre Mitglieder gleich sind. Dieser Typus duldet keine Autorität und lehnt das Streben nach Eigennutz, das die individualistische Kultur zulässt, ebenso ab wie eine differenzierte Sozialstruktur und verbindliche Verhaltensregeln. Hierarchische Kulturen erscheinen den Egalitären gleichermaßen unmoralisch wie gefährlich. Gegen die Gefahren, die von Andersdenkenden</w:t>
      </w:r>
      <w:r w:rsidRPr="00443B51">
        <w:rPr>
          <w:spacing w:val="49"/>
        </w:rPr>
        <w:t xml:space="preserve"> </w:t>
      </w:r>
      <w:r w:rsidRPr="00443B51">
        <w:t>(vermeintlich)</w:t>
      </w:r>
      <w:r w:rsidRPr="00443B51">
        <w:rPr>
          <w:spacing w:val="48"/>
        </w:rPr>
        <w:t xml:space="preserve"> </w:t>
      </w:r>
      <w:r w:rsidRPr="00443B51">
        <w:t>ausgehen,</w:t>
      </w:r>
      <w:r w:rsidRPr="00443B51">
        <w:rPr>
          <w:spacing w:val="49"/>
        </w:rPr>
        <w:t xml:space="preserve"> </w:t>
      </w:r>
      <w:r w:rsidRPr="00443B51">
        <w:t>hilft</w:t>
      </w:r>
      <w:r w:rsidRPr="00443B51">
        <w:rPr>
          <w:spacing w:val="49"/>
        </w:rPr>
        <w:t xml:space="preserve"> </w:t>
      </w:r>
      <w:r w:rsidRPr="00443B51">
        <w:t>nach</w:t>
      </w:r>
      <w:r w:rsidRPr="00443B51">
        <w:rPr>
          <w:spacing w:val="56"/>
        </w:rPr>
        <w:t xml:space="preserve"> </w:t>
      </w:r>
      <w:r w:rsidRPr="00443B51">
        <w:t>ihrer</w:t>
      </w:r>
      <w:r w:rsidRPr="00443B51">
        <w:rPr>
          <w:spacing w:val="52"/>
        </w:rPr>
        <w:t xml:space="preserve"> </w:t>
      </w:r>
      <w:r w:rsidRPr="00443B51">
        <w:t>Ansicht</w:t>
      </w:r>
      <w:r w:rsidRPr="00443B51">
        <w:rPr>
          <w:spacing w:val="49"/>
        </w:rPr>
        <w:t xml:space="preserve"> </w:t>
      </w:r>
      <w:r w:rsidRPr="00443B51">
        <w:t>nur</w:t>
      </w:r>
      <w:r w:rsidRPr="00443B51">
        <w:rPr>
          <w:spacing w:val="48"/>
        </w:rPr>
        <w:t xml:space="preserve"> </w:t>
      </w:r>
      <w:r w:rsidRPr="00443B51">
        <w:rPr>
          <w:spacing w:val="-4"/>
        </w:rPr>
        <w:t xml:space="preserve">eine </w:t>
      </w:r>
      <w:r w:rsidRPr="00443B51">
        <w:t>„Mauer</w:t>
      </w:r>
      <w:r w:rsidRPr="00443B51">
        <w:rPr>
          <w:spacing w:val="-2"/>
        </w:rPr>
        <w:t xml:space="preserve"> </w:t>
      </w:r>
      <w:r w:rsidRPr="00443B51">
        <w:t>der</w:t>
      </w:r>
      <w:r w:rsidRPr="00443B51">
        <w:rPr>
          <w:spacing w:val="-3"/>
        </w:rPr>
        <w:t xml:space="preserve"> </w:t>
      </w:r>
      <w:r w:rsidRPr="00443B51">
        <w:t>Tugend“.</w:t>
      </w:r>
      <w:r w:rsidRPr="00443B51">
        <w:rPr>
          <w:spacing w:val="-3"/>
        </w:rPr>
        <w:t xml:space="preserve"> </w:t>
      </w:r>
      <w:r w:rsidRPr="00443B51">
        <w:t>Mit</w:t>
      </w:r>
      <w:r w:rsidRPr="00443B51">
        <w:rPr>
          <w:spacing w:val="-1"/>
        </w:rPr>
        <w:t xml:space="preserve"> </w:t>
      </w:r>
      <w:r w:rsidRPr="00443B51">
        <w:t>ihrer</w:t>
      </w:r>
      <w:r w:rsidRPr="00443B51">
        <w:rPr>
          <w:spacing w:val="-2"/>
        </w:rPr>
        <w:t xml:space="preserve"> </w:t>
      </w:r>
      <w:r w:rsidRPr="00443B51">
        <w:t>Hilfe</w:t>
      </w:r>
      <w:r w:rsidRPr="00443B51">
        <w:rPr>
          <w:spacing w:val="-2"/>
        </w:rPr>
        <w:t xml:space="preserve"> </w:t>
      </w:r>
      <w:r w:rsidRPr="00443B51">
        <w:t>verteidigten</w:t>
      </w:r>
      <w:r w:rsidRPr="00443B51">
        <w:rPr>
          <w:spacing w:val="-3"/>
        </w:rPr>
        <w:t xml:space="preserve"> </w:t>
      </w:r>
      <w:r w:rsidRPr="00443B51">
        <w:t>sich</w:t>
      </w:r>
      <w:r w:rsidRPr="00443B51">
        <w:rPr>
          <w:spacing w:val="-3"/>
        </w:rPr>
        <w:t xml:space="preserve"> </w:t>
      </w:r>
      <w:r w:rsidRPr="00443B51">
        <w:t>die</w:t>
      </w:r>
      <w:r w:rsidRPr="00443B51">
        <w:rPr>
          <w:spacing w:val="-2"/>
        </w:rPr>
        <w:t xml:space="preserve"> </w:t>
      </w:r>
      <w:r w:rsidRPr="00443B51">
        <w:t>amerikanischen</w:t>
      </w:r>
      <w:r w:rsidRPr="00443B51">
        <w:rPr>
          <w:spacing w:val="-3"/>
        </w:rPr>
        <w:t xml:space="preserve"> </w:t>
      </w:r>
      <w:r w:rsidRPr="00443B51">
        <w:t>Siedler der</w:t>
      </w:r>
      <w:r w:rsidRPr="00443B51">
        <w:rPr>
          <w:spacing w:val="-1"/>
        </w:rPr>
        <w:t xml:space="preserve"> </w:t>
      </w:r>
      <w:r w:rsidRPr="00443B51">
        <w:t>Frühzeit,</w:t>
      </w:r>
      <w:r w:rsidRPr="00443B51">
        <w:rPr>
          <w:spacing w:val="-3"/>
        </w:rPr>
        <w:t xml:space="preserve"> </w:t>
      </w:r>
      <w:r w:rsidRPr="00443B51">
        <w:t>Sekten,</w:t>
      </w:r>
      <w:r w:rsidRPr="00443B51">
        <w:rPr>
          <w:spacing w:val="-2"/>
        </w:rPr>
        <w:t xml:space="preserve"> </w:t>
      </w:r>
      <w:r w:rsidRPr="00443B51">
        <w:t>Clans,</w:t>
      </w:r>
      <w:r w:rsidRPr="00443B51">
        <w:rPr>
          <w:spacing w:val="-3"/>
        </w:rPr>
        <w:t xml:space="preserve"> </w:t>
      </w:r>
      <w:r w:rsidRPr="00443B51">
        <w:t>Kommunarden</w:t>
      </w:r>
      <w:r w:rsidRPr="00443B51">
        <w:rPr>
          <w:spacing w:val="-2"/>
        </w:rPr>
        <w:t xml:space="preserve"> </w:t>
      </w:r>
      <w:r w:rsidRPr="00443B51">
        <w:t>der</w:t>
      </w:r>
      <w:r w:rsidRPr="00443B51">
        <w:rPr>
          <w:spacing w:val="-3"/>
        </w:rPr>
        <w:t xml:space="preserve"> </w:t>
      </w:r>
      <w:r w:rsidRPr="00443B51">
        <w:t>68er-Generation oder</w:t>
      </w:r>
      <w:r w:rsidRPr="00443B51">
        <w:rPr>
          <w:spacing w:val="-1"/>
        </w:rPr>
        <w:t xml:space="preserve"> </w:t>
      </w:r>
      <w:r w:rsidRPr="00443B51">
        <w:t>Die</w:t>
      </w:r>
      <w:r w:rsidRPr="00443B51">
        <w:rPr>
          <w:spacing w:val="-1"/>
        </w:rPr>
        <w:t xml:space="preserve"> </w:t>
      </w:r>
      <w:r w:rsidRPr="00443B51">
        <w:t>Grünen zu</w:t>
      </w:r>
      <w:r w:rsidRPr="00443B51">
        <w:rPr>
          <w:spacing w:val="-4"/>
        </w:rPr>
        <w:t xml:space="preserve"> </w:t>
      </w:r>
      <w:r w:rsidRPr="00443B51">
        <w:t>Beginn</w:t>
      </w:r>
      <w:r w:rsidRPr="00443B51">
        <w:rPr>
          <w:spacing w:val="-7"/>
        </w:rPr>
        <w:t xml:space="preserve"> </w:t>
      </w:r>
      <w:r w:rsidRPr="00443B51">
        <w:t>der</w:t>
      </w:r>
      <w:r w:rsidRPr="00443B51">
        <w:rPr>
          <w:spacing w:val="-5"/>
        </w:rPr>
        <w:t xml:space="preserve"> </w:t>
      </w:r>
      <w:r w:rsidRPr="00443B51">
        <w:t>1980er-Jahre</w:t>
      </w:r>
      <w:r w:rsidRPr="00443B51">
        <w:rPr>
          <w:spacing w:val="-6"/>
        </w:rPr>
        <w:t xml:space="preserve"> </w:t>
      </w:r>
      <w:r w:rsidRPr="00443B51">
        <w:t>gegen</w:t>
      </w:r>
      <w:r w:rsidRPr="00443B51">
        <w:rPr>
          <w:spacing w:val="-4"/>
        </w:rPr>
        <w:t xml:space="preserve"> </w:t>
      </w:r>
      <w:r w:rsidRPr="00443B51">
        <w:t>die</w:t>
      </w:r>
      <w:r w:rsidRPr="00443B51">
        <w:rPr>
          <w:spacing w:val="-6"/>
        </w:rPr>
        <w:t xml:space="preserve"> </w:t>
      </w:r>
      <w:r w:rsidRPr="00443B51">
        <w:t>Bedrohung</w:t>
      </w:r>
      <w:r w:rsidRPr="00443B51">
        <w:rPr>
          <w:spacing w:val="-7"/>
        </w:rPr>
        <w:t xml:space="preserve"> </w:t>
      </w:r>
      <w:r w:rsidRPr="00443B51">
        <w:t>durch</w:t>
      </w:r>
      <w:r w:rsidRPr="00443B51">
        <w:rPr>
          <w:spacing w:val="-4"/>
        </w:rPr>
        <w:t xml:space="preserve"> </w:t>
      </w:r>
      <w:r w:rsidRPr="00443B51">
        <w:t>Andersdenkende.</w:t>
      </w:r>
      <w:r w:rsidRPr="00443B51">
        <w:rPr>
          <w:spacing w:val="-4"/>
        </w:rPr>
        <w:t xml:space="preserve"> </w:t>
      </w:r>
      <w:r w:rsidRPr="00443B51">
        <w:t>Dass</w:t>
      </w:r>
      <w:r w:rsidRPr="00443B51">
        <w:rPr>
          <w:spacing w:val="-6"/>
        </w:rPr>
        <w:t xml:space="preserve"> </w:t>
      </w:r>
      <w:r w:rsidRPr="00443B51">
        <w:t>er wenig materialistisch ist und entsprechend seiner Langzeitorientierung äußerst sparsam mit wichtigen Ressourcen umgeht, wird diesem Kulturtypus gewöhnlich als Vorteil angerechnet.</w:t>
      </w:r>
    </w:p>
    <w:p w14:paraId="1658AB96" w14:textId="77777777" w:rsidR="00FF7799" w:rsidRPr="00443B51" w:rsidRDefault="00FF7799" w:rsidP="00F93A37">
      <w:pPr>
        <w:pStyle w:val="StandardText"/>
      </w:pPr>
      <w:r w:rsidRPr="00443B51">
        <w:t>Der maßgebliche Nachteil der egalitären Kulturen ist – nicht nur – aus ökonomischer Sicht ihr moralischer Rigorismus. Denn rigide Normen sorgen im Zusammenspiel mit einer übermäßigen Kontrolle des Einzelnen erfahrungsgemäß für geringe Effizienz.</w:t>
      </w:r>
    </w:p>
    <w:p w14:paraId="62BB555C" w14:textId="77777777" w:rsidR="00FF7799" w:rsidRPr="00443B51" w:rsidRDefault="00FF7799" w:rsidP="00F93A37">
      <w:pPr>
        <w:pStyle w:val="StandardText"/>
      </w:pPr>
    </w:p>
    <w:p w14:paraId="47C68948" w14:textId="77777777" w:rsidR="00FF7799" w:rsidRPr="00443B51" w:rsidRDefault="00FF7799" w:rsidP="00F93A37">
      <w:pPr>
        <w:pStyle w:val="StandardTextkursiv"/>
        <w:rPr>
          <w:i w:val="0"/>
        </w:rPr>
      </w:pPr>
      <w:r w:rsidRPr="00443B51">
        <w:rPr>
          <w:i w:val="0"/>
        </w:rPr>
        <w:t>2.4 Fatalistische Kultur</w:t>
      </w:r>
    </w:p>
    <w:p w14:paraId="268D6759" w14:textId="77777777" w:rsidR="00FF7799" w:rsidRPr="00E73F6F" w:rsidRDefault="00FF7799" w:rsidP="004B18FC">
      <w:pPr>
        <w:pStyle w:val="StandardText"/>
      </w:pPr>
      <w:r w:rsidRPr="00443B51">
        <w:t>Dieser</w:t>
      </w:r>
      <w:r w:rsidRPr="00443B51">
        <w:rPr>
          <w:spacing w:val="-9"/>
        </w:rPr>
        <w:t xml:space="preserve"> </w:t>
      </w:r>
      <w:r w:rsidRPr="00443B51">
        <w:t>Kulturtypus</w:t>
      </w:r>
      <w:r w:rsidRPr="00443B51">
        <w:rPr>
          <w:spacing w:val="-9"/>
        </w:rPr>
        <w:t xml:space="preserve"> </w:t>
      </w:r>
      <w:r w:rsidRPr="00443B51">
        <w:t>ist</w:t>
      </w:r>
      <w:r w:rsidRPr="00443B51">
        <w:rPr>
          <w:spacing w:val="-10"/>
        </w:rPr>
        <w:t xml:space="preserve"> </w:t>
      </w:r>
      <w:r w:rsidRPr="00443B51">
        <w:t>das</w:t>
      </w:r>
      <w:r w:rsidRPr="00443B51">
        <w:rPr>
          <w:spacing w:val="-12"/>
        </w:rPr>
        <w:t xml:space="preserve"> </w:t>
      </w:r>
      <w:r w:rsidRPr="00443B51">
        <w:t>Sammelbecken</w:t>
      </w:r>
      <w:r w:rsidRPr="00443B51">
        <w:rPr>
          <w:spacing w:val="-5"/>
        </w:rPr>
        <w:t xml:space="preserve"> </w:t>
      </w:r>
      <w:r w:rsidRPr="00443B51">
        <w:t>all</w:t>
      </w:r>
      <w:r w:rsidRPr="00443B51">
        <w:rPr>
          <w:spacing w:val="-8"/>
        </w:rPr>
        <w:t xml:space="preserve"> </w:t>
      </w:r>
      <w:r w:rsidRPr="00443B51">
        <w:t>jener,</w:t>
      </w:r>
      <w:r w:rsidRPr="00443B51">
        <w:rPr>
          <w:spacing w:val="-10"/>
        </w:rPr>
        <w:t xml:space="preserve"> </w:t>
      </w:r>
      <w:r w:rsidRPr="00443B51">
        <w:t>welche</w:t>
      </w:r>
      <w:r w:rsidRPr="00443B51">
        <w:rPr>
          <w:spacing w:val="-12"/>
        </w:rPr>
        <w:t xml:space="preserve"> </w:t>
      </w:r>
      <w:r w:rsidRPr="00443B51">
        <w:t>den</w:t>
      </w:r>
      <w:r w:rsidRPr="00443B51">
        <w:rPr>
          <w:spacing w:val="-9"/>
        </w:rPr>
        <w:t xml:space="preserve"> </w:t>
      </w:r>
      <w:r w:rsidRPr="00443B51">
        <w:t>Anforderungen und Normen ihrer Ursprungskultur nicht gerecht wurden: den Leistungsanforderungen der individualistischen</w:t>
      </w:r>
      <w:r w:rsidRPr="00E73F6F">
        <w:t xml:space="preserve"> Kultur, der Gemeinschaftsideologie der hierarchischen Kultur oder den rigiden moralischen Ansprüchen der egalitären Kultur.</w:t>
      </w:r>
    </w:p>
    <w:p w14:paraId="19C29328" w14:textId="77777777" w:rsidR="00FF7799" w:rsidRPr="00E73F6F" w:rsidRDefault="00FF7799" w:rsidP="004B18FC">
      <w:pPr>
        <w:pStyle w:val="StandardText"/>
      </w:pPr>
      <w:r w:rsidRPr="00E73F6F">
        <w:t>Streng genommen weist der Typus der „Kultur des Duldens und des unverschuldeten Ertragens“ nur Nachteile auf. Fatalisten neigen zu gelernter Hilflosigkeit und sind davon überzeugt, Spielball unbegreiflicher</w:t>
      </w:r>
      <w:r w:rsidRPr="00E73F6F">
        <w:rPr>
          <w:spacing w:val="-1"/>
        </w:rPr>
        <w:t xml:space="preserve"> </w:t>
      </w:r>
      <w:r w:rsidRPr="00E73F6F">
        <w:t>Mächte zu sein. Diese „stumme Kulturen“ (Kamins 1999, S.203) haben kein Interesse an Kommunikation und den Überzeugungen anderer. Sie sind oft beherrscht vom Glauben an überirdische, irrationale Mächte. Diese bestimmen über Glück und Unglück, weshalb (ökonomischer) Erfolg und Misserfolg (Armut) als nicht beeinflussbar</w:t>
      </w:r>
      <w:r w:rsidRPr="00E73F6F">
        <w:rPr>
          <w:spacing w:val="-12"/>
        </w:rPr>
        <w:t xml:space="preserve"> </w:t>
      </w:r>
      <w:r w:rsidRPr="00E73F6F">
        <w:t>gelten</w:t>
      </w:r>
      <w:r w:rsidRPr="00E73F6F">
        <w:rPr>
          <w:spacing w:val="-11"/>
        </w:rPr>
        <w:t xml:space="preserve"> </w:t>
      </w:r>
      <w:r w:rsidRPr="00E73F6F">
        <w:t>und</w:t>
      </w:r>
      <w:r w:rsidRPr="00E73F6F">
        <w:rPr>
          <w:spacing w:val="-11"/>
        </w:rPr>
        <w:t xml:space="preserve"> </w:t>
      </w:r>
      <w:r w:rsidRPr="00E73F6F">
        <w:t>folglich</w:t>
      </w:r>
      <w:r w:rsidRPr="00E73F6F">
        <w:rPr>
          <w:spacing w:val="-11"/>
        </w:rPr>
        <w:t xml:space="preserve"> </w:t>
      </w:r>
      <w:r w:rsidRPr="00E73F6F">
        <w:t>zu</w:t>
      </w:r>
      <w:r w:rsidRPr="00E73F6F">
        <w:rPr>
          <w:spacing w:val="-11"/>
        </w:rPr>
        <w:t xml:space="preserve"> </w:t>
      </w:r>
      <w:r w:rsidRPr="00E73F6F">
        <w:t>ertragen</w:t>
      </w:r>
      <w:r w:rsidRPr="00E73F6F">
        <w:rPr>
          <w:spacing w:val="-11"/>
        </w:rPr>
        <w:t xml:space="preserve"> </w:t>
      </w:r>
      <w:r w:rsidRPr="00E73F6F">
        <w:t>sind.</w:t>
      </w:r>
      <w:r w:rsidRPr="00E73F6F">
        <w:rPr>
          <w:spacing w:val="-10"/>
        </w:rPr>
        <w:t xml:space="preserve"> </w:t>
      </w:r>
      <w:r w:rsidRPr="00E73F6F">
        <w:t>Als</w:t>
      </w:r>
      <w:r w:rsidRPr="00E73F6F">
        <w:rPr>
          <w:spacing w:val="-11"/>
        </w:rPr>
        <w:t xml:space="preserve"> </w:t>
      </w:r>
      <w:r w:rsidRPr="00E73F6F">
        <w:t>Angehörige</w:t>
      </w:r>
      <w:r w:rsidRPr="00E73F6F">
        <w:rPr>
          <w:spacing w:val="-11"/>
        </w:rPr>
        <w:t xml:space="preserve"> </w:t>
      </w:r>
      <w:r w:rsidRPr="00E73F6F">
        <w:t>sektenähnlicher Gemeinschaften</w:t>
      </w:r>
      <w:r w:rsidRPr="00E73F6F">
        <w:rPr>
          <w:spacing w:val="-3"/>
        </w:rPr>
        <w:t xml:space="preserve"> </w:t>
      </w:r>
      <w:r w:rsidRPr="00E73F6F">
        <w:t>sind</w:t>
      </w:r>
      <w:r w:rsidRPr="00E73F6F">
        <w:rPr>
          <w:spacing w:val="-3"/>
        </w:rPr>
        <w:t xml:space="preserve"> </w:t>
      </w:r>
      <w:r w:rsidRPr="00E73F6F">
        <w:t>Fatalisten</w:t>
      </w:r>
      <w:r w:rsidRPr="00E73F6F">
        <w:rPr>
          <w:spacing w:val="-3"/>
        </w:rPr>
        <w:t xml:space="preserve"> </w:t>
      </w:r>
      <w:r w:rsidRPr="00E73F6F">
        <w:t>weiterhin</w:t>
      </w:r>
      <w:r w:rsidRPr="00E73F6F">
        <w:rPr>
          <w:spacing w:val="-2"/>
        </w:rPr>
        <w:t xml:space="preserve"> </w:t>
      </w:r>
      <w:r w:rsidRPr="00E73F6F">
        <w:t>strengen</w:t>
      </w:r>
      <w:r w:rsidRPr="00E73F6F">
        <w:rPr>
          <w:spacing w:val="-3"/>
        </w:rPr>
        <w:t xml:space="preserve"> </w:t>
      </w:r>
      <w:r w:rsidRPr="00E73F6F">
        <w:t>Verhaltensregeln</w:t>
      </w:r>
      <w:r w:rsidRPr="00E73F6F">
        <w:rPr>
          <w:spacing w:val="-3"/>
        </w:rPr>
        <w:t xml:space="preserve"> </w:t>
      </w:r>
      <w:r w:rsidRPr="00E73F6F">
        <w:t>unterworfen, die jedoch nicht für Gruppenkohäsion sorgen.</w:t>
      </w:r>
    </w:p>
    <w:p w14:paraId="5894267E" w14:textId="77777777" w:rsidR="00FF7799" w:rsidRPr="00E73F6F" w:rsidRDefault="00FF7799" w:rsidP="00862DBA">
      <w:pPr>
        <w:spacing w:before="1"/>
        <w:rPr>
          <w:sz w:val="24"/>
          <w:szCs w:val="24"/>
        </w:rPr>
      </w:pPr>
    </w:p>
    <w:p w14:paraId="46959C1F" w14:textId="77777777" w:rsidR="00FF7799" w:rsidRPr="00E73F6F" w:rsidRDefault="00FF7799" w:rsidP="00862DBA">
      <w:pPr>
        <w:jc w:val="both"/>
        <w:rPr>
          <w:sz w:val="24"/>
          <w:szCs w:val="24"/>
        </w:rPr>
      </w:pPr>
      <w:r w:rsidRPr="00E73F6F">
        <w:rPr>
          <w:sz w:val="24"/>
          <w:szCs w:val="24"/>
        </w:rPr>
        <w:t>Warum funktionieren fatalistisch strukturierte Gesellschaftssysteme dennoch? In erster Linie deshalb, weil die Mitglieder an eine übergeordnete Instanz glauben, welche ihr Schicksal</w:t>
      </w:r>
      <w:r w:rsidRPr="00E73F6F">
        <w:rPr>
          <w:spacing w:val="-2"/>
          <w:sz w:val="24"/>
          <w:szCs w:val="24"/>
        </w:rPr>
        <w:t xml:space="preserve"> </w:t>
      </w:r>
      <w:r w:rsidRPr="00E73F6F">
        <w:rPr>
          <w:sz w:val="24"/>
          <w:szCs w:val="24"/>
        </w:rPr>
        <w:t>bestimmt. Da</w:t>
      </w:r>
      <w:r w:rsidRPr="00E73F6F">
        <w:rPr>
          <w:spacing w:val="-1"/>
          <w:sz w:val="24"/>
          <w:szCs w:val="24"/>
        </w:rPr>
        <w:t xml:space="preserve"> </w:t>
      </w:r>
      <w:r w:rsidRPr="00E73F6F">
        <w:rPr>
          <w:sz w:val="24"/>
          <w:szCs w:val="24"/>
        </w:rPr>
        <w:t>dieses von Gott,</w:t>
      </w:r>
      <w:r w:rsidRPr="00E73F6F">
        <w:rPr>
          <w:spacing w:val="-1"/>
          <w:sz w:val="24"/>
          <w:szCs w:val="24"/>
        </w:rPr>
        <w:t xml:space="preserve"> </w:t>
      </w:r>
      <w:r w:rsidRPr="00E73F6F">
        <w:rPr>
          <w:sz w:val="24"/>
          <w:szCs w:val="24"/>
        </w:rPr>
        <w:t>Allah,</w:t>
      </w:r>
      <w:r w:rsidRPr="00E73F6F">
        <w:rPr>
          <w:spacing w:val="-1"/>
          <w:sz w:val="24"/>
          <w:szCs w:val="24"/>
        </w:rPr>
        <w:t xml:space="preserve"> </w:t>
      </w:r>
      <w:r w:rsidRPr="00E73F6F">
        <w:rPr>
          <w:sz w:val="24"/>
          <w:szCs w:val="24"/>
        </w:rPr>
        <w:t>den</w:t>
      </w:r>
      <w:r w:rsidRPr="00E73F6F">
        <w:rPr>
          <w:spacing w:val="-1"/>
          <w:sz w:val="24"/>
          <w:szCs w:val="24"/>
        </w:rPr>
        <w:t xml:space="preserve"> </w:t>
      </w:r>
      <w:r w:rsidRPr="00E73F6F">
        <w:rPr>
          <w:sz w:val="24"/>
          <w:szCs w:val="24"/>
        </w:rPr>
        <w:t>Sternen</w:t>
      </w:r>
      <w:r w:rsidRPr="00E73F6F">
        <w:rPr>
          <w:spacing w:val="-1"/>
          <w:sz w:val="24"/>
          <w:szCs w:val="24"/>
        </w:rPr>
        <w:t xml:space="preserve"> </w:t>
      </w:r>
      <w:r w:rsidRPr="00E73F6F">
        <w:rPr>
          <w:sz w:val="24"/>
          <w:szCs w:val="24"/>
        </w:rPr>
        <w:t>oder einer allmächtigen weltlichen Obrigkeit abhängt, gibt es weder Anlass noch Aussicht, von dem einen Kulturtyp (dessen Normen man bislang nicht gerecht wurde) zu einem anderen zu wechseln.</w:t>
      </w:r>
    </w:p>
    <w:p w14:paraId="74931DC3" w14:textId="77777777" w:rsidR="00FF7799" w:rsidRPr="00E73F6F" w:rsidRDefault="00FF7799" w:rsidP="00862DBA">
      <w:pPr>
        <w:jc w:val="both"/>
        <w:rPr>
          <w:sz w:val="24"/>
          <w:szCs w:val="24"/>
        </w:rPr>
      </w:pPr>
    </w:p>
    <w:p w14:paraId="4AE9AD23" w14:textId="77777777" w:rsidR="00FF7799" w:rsidRPr="00443B51" w:rsidRDefault="00FF7799" w:rsidP="00F93A37">
      <w:pPr>
        <w:pStyle w:val="StandardTextkursiv"/>
        <w:rPr>
          <w:i w:val="0"/>
        </w:rPr>
      </w:pPr>
      <w:r w:rsidRPr="00443B51">
        <w:rPr>
          <w:i w:val="0"/>
        </w:rPr>
        <w:t>3 Zusammenfassung</w:t>
      </w:r>
    </w:p>
    <w:p w14:paraId="01A3F5C1" w14:textId="77777777" w:rsidR="00FF7799" w:rsidRPr="00443B51" w:rsidRDefault="00FF7799" w:rsidP="004B18FC">
      <w:pPr>
        <w:pStyle w:val="StandardText"/>
      </w:pPr>
      <w:r w:rsidRPr="00443B51">
        <w:t xml:space="preserve">Der Group/Grid-Ansatz unterscheidet vier Kulturtypen, je nachdem, mit welcher Intensität Gruppennormen das Individuum binden ('group') und in welchem Maß der Einzelne seine Beziehungen zu anderen Gruppenmitgliedern frei gestalten kann ('grid'). Hierarchische Kulturen wie das Militär sind bürokratischer Natur (starke Bindung, wenig Freiheit). Marktwirtschaftliche Industriegesellschaften funktionieren hingegen nach den Prinzipien der individualistischen Kultur (schwache Bindung, große Freiheit). Egalitäre Kulturen lehnen Machtansprüche einzelner Personen wie auch von sozialen Gruppen und Institutionen ab. Ihre Schwachstelle ist ihr </w:t>
      </w:r>
      <w:r w:rsidRPr="00443B51">
        <w:lastRenderedPageBreak/>
        <w:t>moralischer Rigorismus. Der fatalistische Kulturtypus schließlich kann als Verneinung der drei anderen Kulturen verstanden werden. Fatalisten konnten (bzw. wollten) weder die Leistungsanforderungen der individualistischen Kultur erfüllen noch die rigiden moralischen Ansprüche der egalitären Kultur. Auch die Gemeinschaftsideologie der</w:t>
      </w:r>
      <w:r w:rsidRPr="00443B51">
        <w:rPr>
          <w:spacing w:val="-1"/>
        </w:rPr>
        <w:t xml:space="preserve"> </w:t>
      </w:r>
      <w:r w:rsidRPr="00443B51">
        <w:t>hierarchischen Kultur ist ihre Sache nicht.</w:t>
      </w:r>
    </w:p>
    <w:p w14:paraId="0A179F05" w14:textId="77777777" w:rsidR="00FF7799" w:rsidRPr="00443B51" w:rsidRDefault="00FF7799" w:rsidP="004B18FC">
      <w:pPr>
        <w:pStyle w:val="StandardText"/>
        <w:rPr>
          <w:sz w:val="22"/>
          <w:szCs w:val="22"/>
        </w:rPr>
      </w:pPr>
      <w:r w:rsidRPr="00443B51">
        <w:rPr>
          <w:b/>
          <w:i/>
          <w:sz w:val="22"/>
          <w:szCs w:val="22"/>
          <w:lang w:val="en-US"/>
        </w:rPr>
        <w:t>Literatur</w:t>
      </w:r>
      <w:r w:rsidRPr="00443B51">
        <w:rPr>
          <w:i/>
          <w:sz w:val="22"/>
          <w:szCs w:val="22"/>
          <w:lang w:val="en-US"/>
        </w:rPr>
        <w:t>:</w:t>
      </w:r>
      <w:r w:rsidRPr="00443B51">
        <w:rPr>
          <w:sz w:val="22"/>
          <w:szCs w:val="22"/>
          <w:lang w:val="en-US"/>
        </w:rPr>
        <w:t xml:space="preserve"> Douglas, M. (1997): Risk and Blame. Essays in Cultural Theory, London:</w:t>
      </w:r>
      <w:r w:rsidRPr="00443B51">
        <w:rPr>
          <w:spacing w:val="40"/>
          <w:sz w:val="22"/>
          <w:szCs w:val="22"/>
          <w:lang w:val="en-US"/>
        </w:rPr>
        <w:t xml:space="preserve"> </w:t>
      </w:r>
      <w:r w:rsidRPr="00443B51">
        <w:rPr>
          <w:sz w:val="22"/>
          <w:szCs w:val="22"/>
          <w:lang w:val="en-US"/>
        </w:rPr>
        <w:t>Routledge.</w:t>
      </w:r>
      <w:r w:rsidRPr="00443B51">
        <w:rPr>
          <w:spacing w:val="-5"/>
          <w:sz w:val="22"/>
          <w:szCs w:val="22"/>
          <w:lang w:val="en-US"/>
        </w:rPr>
        <w:t xml:space="preserve"> </w:t>
      </w:r>
      <w:r w:rsidRPr="00443B51">
        <w:rPr>
          <w:sz w:val="22"/>
          <w:szCs w:val="22"/>
        </w:rPr>
        <w:t>Karmasin,</w:t>
      </w:r>
      <w:r w:rsidRPr="00443B51">
        <w:rPr>
          <w:spacing w:val="-6"/>
          <w:sz w:val="22"/>
          <w:szCs w:val="22"/>
        </w:rPr>
        <w:t xml:space="preserve"> </w:t>
      </w:r>
      <w:r w:rsidRPr="00443B51">
        <w:rPr>
          <w:sz w:val="22"/>
          <w:szCs w:val="22"/>
        </w:rPr>
        <w:t>H.</w:t>
      </w:r>
      <w:r w:rsidRPr="00443B51">
        <w:rPr>
          <w:spacing w:val="-5"/>
          <w:sz w:val="22"/>
          <w:szCs w:val="22"/>
        </w:rPr>
        <w:t xml:space="preserve"> </w:t>
      </w:r>
      <w:r w:rsidRPr="00443B51">
        <w:rPr>
          <w:sz w:val="22"/>
          <w:szCs w:val="22"/>
        </w:rPr>
        <w:t>(2003):</w:t>
      </w:r>
      <w:r w:rsidRPr="00443B51">
        <w:rPr>
          <w:spacing w:val="-8"/>
          <w:sz w:val="22"/>
          <w:szCs w:val="22"/>
        </w:rPr>
        <w:t xml:space="preserve"> </w:t>
      </w:r>
      <w:r w:rsidRPr="00443B51">
        <w:rPr>
          <w:sz w:val="22"/>
          <w:szCs w:val="22"/>
        </w:rPr>
        <w:t>Merchants</w:t>
      </w:r>
      <w:r w:rsidRPr="00443B51">
        <w:rPr>
          <w:spacing w:val="-7"/>
          <w:sz w:val="22"/>
          <w:szCs w:val="22"/>
        </w:rPr>
        <w:t xml:space="preserve"> </w:t>
      </w:r>
      <w:r w:rsidRPr="00443B51">
        <w:rPr>
          <w:sz w:val="22"/>
          <w:szCs w:val="22"/>
        </w:rPr>
        <w:t>of</w:t>
      </w:r>
      <w:r w:rsidRPr="00443B51">
        <w:rPr>
          <w:spacing w:val="-7"/>
          <w:sz w:val="22"/>
          <w:szCs w:val="22"/>
        </w:rPr>
        <w:t xml:space="preserve"> </w:t>
      </w:r>
      <w:r w:rsidRPr="00443B51">
        <w:rPr>
          <w:sz w:val="22"/>
          <w:szCs w:val="22"/>
        </w:rPr>
        <w:t>Meaning.</w:t>
      </w:r>
      <w:r w:rsidRPr="00443B51">
        <w:rPr>
          <w:spacing w:val="-2"/>
          <w:sz w:val="22"/>
          <w:szCs w:val="22"/>
        </w:rPr>
        <w:t xml:space="preserve"> </w:t>
      </w:r>
      <w:r w:rsidRPr="00443B51">
        <w:rPr>
          <w:sz w:val="22"/>
          <w:szCs w:val="22"/>
        </w:rPr>
        <w:t>Der</w:t>
      </w:r>
      <w:r w:rsidRPr="00443B51">
        <w:rPr>
          <w:spacing w:val="-7"/>
          <w:sz w:val="22"/>
          <w:szCs w:val="22"/>
        </w:rPr>
        <w:t xml:space="preserve"> </w:t>
      </w:r>
      <w:r w:rsidRPr="00443B51">
        <w:rPr>
          <w:sz w:val="22"/>
          <w:szCs w:val="22"/>
        </w:rPr>
        <w:t>Beitrag</w:t>
      </w:r>
      <w:r w:rsidRPr="00443B51">
        <w:rPr>
          <w:spacing w:val="-6"/>
          <w:sz w:val="22"/>
          <w:szCs w:val="22"/>
        </w:rPr>
        <w:t xml:space="preserve"> </w:t>
      </w:r>
      <w:r w:rsidRPr="00443B51">
        <w:rPr>
          <w:sz w:val="22"/>
          <w:szCs w:val="22"/>
        </w:rPr>
        <w:t>von</w:t>
      </w:r>
      <w:r w:rsidRPr="00443B51">
        <w:rPr>
          <w:spacing w:val="-8"/>
          <w:sz w:val="22"/>
          <w:szCs w:val="22"/>
        </w:rPr>
        <w:t xml:space="preserve"> </w:t>
      </w:r>
      <w:r w:rsidRPr="00443B51">
        <w:rPr>
          <w:sz w:val="22"/>
          <w:szCs w:val="22"/>
        </w:rPr>
        <w:t>Kommunikations-</w:t>
      </w:r>
      <w:r w:rsidRPr="00443B51">
        <w:rPr>
          <w:spacing w:val="40"/>
          <w:sz w:val="22"/>
          <w:szCs w:val="22"/>
        </w:rPr>
        <w:t xml:space="preserve"> </w:t>
      </w:r>
      <w:r w:rsidRPr="00443B51">
        <w:rPr>
          <w:sz w:val="22"/>
          <w:szCs w:val="22"/>
        </w:rPr>
        <w:t>und Kulturwissenschaften im Bereich des Marktes, in: Karmasin, M.; Winter, C. (Hrsg.),</w:t>
      </w:r>
      <w:r w:rsidRPr="00443B51">
        <w:rPr>
          <w:spacing w:val="40"/>
          <w:sz w:val="22"/>
          <w:szCs w:val="22"/>
        </w:rPr>
        <w:t xml:space="preserve"> </w:t>
      </w:r>
      <w:r w:rsidRPr="00443B51">
        <w:rPr>
          <w:sz w:val="22"/>
          <w:szCs w:val="22"/>
        </w:rPr>
        <w:t>Kulturwissenschaft als Kommunikationswissenschaft, 81-105, Wiesbaden: Verlag für</w:t>
      </w:r>
      <w:r w:rsidRPr="00443B51">
        <w:rPr>
          <w:spacing w:val="40"/>
          <w:sz w:val="22"/>
          <w:szCs w:val="22"/>
        </w:rPr>
        <w:t xml:space="preserve"> </w:t>
      </w:r>
      <w:r w:rsidRPr="00443B51">
        <w:rPr>
          <w:sz w:val="22"/>
          <w:szCs w:val="22"/>
        </w:rPr>
        <w:t>Sozialwissenschaften.</w:t>
      </w:r>
      <w:r w:rsidRPr="00443B51">
        <w:rPr>
          <w:spacing w:val="40"/>
          <w:sz w:val="22"/>
          <w:szCs w:val="22"/>
        </w:rPr>
        <w:t xml:space="preserve"> </w:t>
      </w:r>
      <w:r w:rsidRPr="00443B51">
        <w:rPr>
          <w:sz w:val="22"/>
          <w:szCs w:val="22"/>
        </w:rPr>
        <w:t>Karmasin, H.; Karmasin, M. (1997): Cultural Theory. Ein neuer</w:t>
      </w:r>
      <w:r w:rsidRPr="00443B51">
        <w:rPr>
          <w:spacing w:val="40"/>
          <w:sz w:val="22"/>
          <w:szCs w:val="22"/>
        </w:rPr>
        <w:t xml:space="preserve"> </w:t>
      </w:r>
      <w:r w:rsidRPr="00443B51">
        <w:rPr>
          <w:sz w:val="22"/>
          <w:szCs w:val="22"/>
        </w:rPr>
        <w:t>Ansatz für Kommunikation,</w:t>
      </w:r>
      <w:r w:rsidRPr="00443B51">
        <w:rPr>
          <w:spacing w:val="40"/>
          <w:sz w:val="22"/>
          <w:szCs w:val="22"/>
        </w:rPr>
        <w:t xml:space="preserve"> </w:t>
      </w:r>
      <w:r w:rsidRPr="00443B51">
        <w:rPr>
          <w:sz w:val="22"/>
          <w:szCs w:val="22"/>
        </w:rPr>
        <w:t>Wien: Linde.</w:t>
      </w:r>
    </w:p>
    <w:p w14:paraId="473C353F" w14:textId="77777777" w:rsidR="00FF7799" w:rsidRPr="00443B51" w:rsidRDefault="00FF7799" w:rsidP="004B18FC">
      <w:pPr>
        <w:pStyle w:val="StandardText"/>
        <w:rPr>
          <w:sz w:val="22"/>
          <w:szCs w:val="22"/>
        </w:rPr>
      </w:pPr>
    </w:p>
    <w:p w14:paraId="6BD37A3A" w14:textId="77777777" w:rsidR="00FF7799" w:rsidRPr="00D346BC" w:rsidRDefault="00FF7799" w:rsidP="00D346BC">
      <w:pPr>
        <w:keepNext/>
        <w:keepLines/>
        <w:spacing w:before="240"/>
        <w:jc w:val="both"/>
        <w:outlineLvl w:val="1"/>
        <w:rPr>
          <w:b/>
          <w:color w:val="2E74B5"/>
        </w:rPr>
      </w:pPr>
      <w:r w:rsidRPr="00D346BC">
        <w:rPr>
          <w:b/>
          <w:color w:val="2E74B5"/>
        </w:rPr>
        <w:t xml:space="preserve">Kulturdimensionen nach Hofstede &amp; GLOBE </w:t>
      </w:r>
    </w:p>
    <w:p w14:paraId="2B04FE67" w14:textId="687197E1" w:rsidR="00126243" w:rsidRPr="007B345D" w:rsidRDefault="00126243" w:rsidP="00126243">
      <w:pPr>
        <w:pStyle w:val="Erlaeuterung"/>
        <w:rPr>
          <w:bCs w:val="0"/>
          <w:sz w:val="24"/>
        </w:rPr>
      </w:pPr>
      <w:r w:rsidRPr="007B345D">
        <w:rPr>
          <w:bCs w:val="0"/>
          <w:sz w:val="24"/>
        </w:rPr>
        <w:t xml:space="preserve">zunächst als vierdimensionales Beschreibungs- bzw. Erklärungsmodell von </w:t>
      </w:r>
      <w:r w:rsidRPr="007B345D">
        <w:rPr>
          <w:bCs w:val="0"/>
          <w:sz w:val="24"/>
        </w:rPr>
        <w:sym w:font="Symbol" w:char="F0DE"/>
      </w:r>
      <w:r w:rsidR="007B345D">
        <w:rPr>
          <w:bCs w:val="0"/>
          <w:sz w:val="24"/>
        </w:rPr>
        <w:t xml:space="preserve"> </w:t>
      </w:r>
      <w:r w:rsidRPr="007B345D">
        <w:rPr>
          <w:bCs w:val="0"/>
          <w:sz w:val="24"/>
        </w:rPr>
        <w:t xml:space="preserve">Kultur entwickelt, wurde Hofstedes Ansatz nach der Kritik an dem ihm </w:t>
      </w:r>
      <w:r w:rsidR="00D346BC" w:rsidRPr="007B345D">
        <w:rPr>
          <w:bCs w:val="0"/>
          <w:sz w:val="24"/>
        </w:rPr>
        <w:t>innewohnenden</w:t>
      </w:r>
      <w:r w:rsidRPr="007B345D">
        <w:rPr>
          <w:bCs w:val="0"/>
          <w:sz w:val="24"/>
        </w:rPr>
        <w:t xml:space="preserve"> </w:t>
      </w:r>
      <w:r w:rsidRPr="007B345D">
        <w:rPr>
          <w:bCs w:val="0"/>
          <w:sz w:val="24"/>
        </w:rPr>
        <w:sym w:font="Symbol" w:char="F0DE"/>
      </w:r>
      <w:r w:rsidRPr="007B345D">
        <w:rPr>
          <w:bCs w:val="0"/>
          <w:sz w:val="24"/>
        </w:rPr>
        <w:t xml:space="preserve"> Cultural Bias zunächst um eine fünfte </w:t>
      </w:r>
      <w:r w:rsidRPr="007B345D">
        <w:rPr>
          <w:bCs w:val="0"/>
          <w:sz w:val="24"/>
        </w:rPr>
        <w:sym w:font="Symbol" w:char="F0DE"/>
      </w:r>
      <w:r w:rsidRPr="007B345D">
        <w:rPr>
          <w:bCs w:val="0"/>
          <w:sz w:val="24"/>
        </w:rPr>
        <w:t xml:space="preserve"> Kultur</w:t>
      </w:r>
      <w:r w:rsidRPr="007B345D">
        <w:rPr>
          <w:bCs w:val="0"/>
          <w:sz w:val="24"/>
        </w:rPr>
        <w:softHyphen/>
        <w:t>dimension erweitert: konfuzianischer Dynamismus bzw. Langzeit- vs. Kurzzeitorientierung. Später kam mit Genussorientierung vs. Selbstbegerrschung eine sechste Dimension hinzu.</w:t>
      </w:r>
    </w:p>
    <w:p w14:paraId="79A08EA8" w14:textId="77777777" w:rsidR="007B345D" w:rsidRPr="007F2875" w:rsidRDefault="00126243">
      <w:pPr>
        <w:pStyle w:val="Erlaeuterung"/>
        <w:numPr>
          <w:ilvl w:val="0"/>
          <w:numId w:val="22"/>
        </w:numPr>
        <w:ind w:left="426"/>
        <w:rPr>
          <w:bCs w:val="0"/>
          <w:sz w:val="24"/>
          <w:lang w:val="en-US"/>
        </w:rPr>
      </w:pPr>
      <w:r w:rsidRPr="007F2875">
        <w:rPr>
          <w:bCs w:val="0"/>
          <w:sz w:val="24"/>
          <w:lang w:val="en-US"/>
        </w:rPr>
        <w:t>Power Distance: „The extent, to which the less powerful members of institution and organizations within a country expect and accept that power is distributed unequally” (Hofstede</w:t>
      </w:r>
      <w:r w:rsidR="007B345D" w:rsidRPr="007F2875">
        <w:rPr>
          <w:bCs w:val="0"/>
          <w:sz w:val="24"/>
          <w:lang w:val="en-US"/>
        </w:rPr>
        <w:t xml:space="preserve"> 1991</w:t>
      </w:r>
      <w:r w:rsidRPr="007F2875">
        <w:rPr>
          <w:bCs w:val="0"/>
          <w:sz w:val="24"/>
          <w:lang w:val="en-US"/>
        </w:rPr>
        <w:t>, p.28;  </w:t>
      </w:r>
      <w:r w:rsidR="007B345D" w:rsidRPr="007B345D">
        <w:rPr>
          <w:bCs w:val="0"/>
          <w:sz w:val="24"/>
        </w:rPr>
        <w:sym w:font="Symbol" w:char="F0DE"/>
      </w:r>
      <w:r w:rsidR="007B345D" w:rsidRPr="007F2875">
        <w:rPr>
          <w:bCs w:val="0"/>
          <w:sz w:val="24"/>
          <w:lang w:val="en-US"/>
        </w:rPr>
        <w:t xml:space="preserve"> </w:t>
      </w:r>
      <w:r w:rsidRPr="007F2875">
        <w:rPr>
          <w:bCs w:val="0"/>
          <w:sz w:val="24"/>
          <w:lang w:val="en-US"/>
        </w:rPr>
        <w:t>Akzeptanz von Machtdistanz).</w:t>
      </w:r>
    </w:p>
    <w:p w14:paraId="1F8DA9AF" w14:textId="77777777" w:rsidR="007B345D" w:rsidRPr="007F2875" w:rsidRDefault="00126243">
      <w:pPr>
        <w:pStyle w:val="Erlaeuterung"/>
        <w:numPr>
          <w:ilvl w:val="0"/>
          <w:numId w:val="22"/>
        </w:numPr>
        <w:ind w:left="426"/>
        <w:rPr>
          <w:bCs w:val="0"/>
          <w:sz w:val="24"/>
          <w:lang w:val="en-US"/>
        </w:rPr>
      </w:pPr>
      <w:r w:rsidRPr="007F2875">
        <w:rPr>
          <w:bCs w:val="0"/>
          <w:sz w:val="24"/>
          <w:lang w:val="en-US"/>
        </w:rPr>
        <w:t>Individualism vs. Collectivism: „Ranges from societies in which the ties between individuals are loose to societies in which people from birth onwards are integrated into strong cohesive in-groups” (Hofstede</w:t>
      </w:r>
      <w:r w:rsidR="007B345D" w:rsidRPr="007F2875">
        <w:rPr>
          <w:bCs w:val="0"/>
          <w:sz w:val="24"/>
          <w:lang w:val="en-US"/>
        </w:rPr>
        <w:t xml:space="preserve"> 1991</w:t>
      </w:r>
      <w:r w:rsidRPr="007F2875">
        <w:rPr>
          <w:bCs w:val="0"/>
          <w:sz w:val="24"/>
          <w:lang w:val="en-US"/>
        </w:rPr>
        <w:t xml:space="preserve">, p.51; </w:t>
      </w:r>
      <w:r w:rsidR="007B345D" w:rsidRPr="007B345D">
        <w:rPr>
          <w:bCs w:val="0"/>
          <w:sz w:val="24"/>
        </w:rPr>
        <w:sym w:font="Symbol" w:char="F0DE"/>
      </w:r>
      <w:r w:rsidRPr="007F2875">
        <w:rPr>
          <w:bCs w:val="0"/>
          <w:sz w:val="24"/>
          <w:lang w:val="en-US"/>
        </w:rPr>
        <w:t xml:space="preserve"> Individualismus vs. Kollektivismus). </w:t>
      </w:r>
    </w:p>
    <w:p w14:paraId="18B372B9" w14:textId="77777777" w:rsidR="007B345D" w:rsidRPr="007F2875" w:rsidRDefault="00126243">
      <w:pPr>
        <w:pStyle w:val="Erlaeuterung"/>
        <w:numPr>
          <w:ilvl w:val="0"/>
          <w:numId w:val="22"/>
        </w:numPr>
        <w:ind w:left="426"/>
        <w:rPr>
          <w:bCs w:val="0"/>
          <w:sz w:val="24"/>
          <w:lang w:val="en-US"/>
        </w:rPr>
      </w:pPr>
      <w:r w:rsidRPr="007F2875">
        <w:rPr>
          <w:bCs w:val="0"/>
          <w:sz w:val="24"/>
          <w:lang w:val="en-US"/>
        </w:rPr>
        <w:t>Masculinity vs. Femininity: „Ranges from societies in which social gender roles are clearly distinct to societies in which social gender roles overlap” (Hofstede</w:t>
      </w:r>
      <w:r w:rsidR="007B345D" w:rsidRPr="007F2875">
        <w:rPr>
          <w:bCs w:val="0"/>
          <w:sz w:val="24"/>
          <w:lang w:val="en-US"/>
        </w:rPr>
        <w:t xml:space="preserve"> 1991, p.82;  </w:t>
      </w:r>
      <w:r w:rsidR="007B345D" w:rsidRPr="007B345D">
        <w:rPr>
          <w:bCs w:val="0"/>
          <w:sz w:val="24"/>
        </w:rPr>
        <w:sym w:font="Symbol" w:char="F0DE"/>
      </w:r>
      <w:r w:rsidR="007B345D" w:rsidRPr="007F2875">
        <w:rPr>
          <w:bCs w:val="0"/>
          <w:sz w:val="24"/>
          <w:lang w:val="en-US"/>
        </w:rPr>
        <w:t xml:space="preserve"> </w:t>
      </w:r>
      <w:r w:rsidRPr="007F2875">
        <w:rPr>
          <w:bCs w:val="0"/>
          <w:sz w:val="24"/>
          <w:lang w:val="en-US"/>
        </w:rPr>
        <w:t xml:space="preserve">Maskulinität vs. Femininität). </w:t>
      </w:r>
    </w:p>
    <w:p w14:paraId="3744D602" w14:textId="77777777" w:rsidR="007B345D" w:rsidRPr="007F2875" w:rsidRDefault="00126243">
      <w:pPr>
        <w:pStyle w:val="Erlaeuterung"/>
        <w:numPr>
          <w:ilvl w:val="0"/>
          <w:numId w:val="22"/>
        </w:numPr>
        <w:ind w:left="426"/>
        <w:rPr>
          <w:bCs w:val="0"/>
          <w:sz w:val="24"/>
          <w:lang w:val="en-US"/>
        </w:rPr>
      </w:pPr>
      <w:r w:rsidRPr="007F2875">
        <w:rPr>
          <w:bCs w:val="0"/>
          <w:sz w:val="24"/>
          <w:lang w:val="en-US"/>
        </w:rPr>
        <w:t>Uncertainty Avoidance: „The extent to which the members of a culture feel threatened by uncertain or unknown situations” (Hofstede</w:t>
      </w:r>
      <w:r w:rsidR="007B345D" w:rsidRPr="007F2875">
        <w:rPr>
          <w:bCs w:val="0"/>
          <w:sz w:val="24"/>
          <w:lang w:val="en-US"/>
        </w:rPr>
        <w:t xml:space="preserve"> 1991, p.113)</w:t>
      </w:r>
      <w:r w:rsidRPr="007F2875">
        <w:rPr>
          <w:bCs w:val="0"/>
          <w:sz w:val="24"/>
          <w:lang w:val="en-US"/>
        </w:rPr>
        <w:t xml:space="preserve">. </w:t>
      </w:r>
    </w:p>
    <w:p w14:paraId="66D2EA68" w14:textId="77777777" w:rsidR="00126243" w:rsidRPr="007F2875" w:rsidRDefault="00126243">
      <w:pPr>
        <w:pStyle w:val="Erlaeuterung"/>
        <w:numPr>
          <w:ilvl w:val="0"/>
          <w:numId w:val="22"/>
        </w:numPr>
        <w:ind w:left="426"/>
        <w:rPr>
          <w:bCs w:val="0"/>
          <w:sz w:val="24"/>
          <w:lang w:val="en-US"/>
        </w:rPr>
      </w:pPr>
      <w:r w:rsidRPr="007F2875">
        <w:rPr>
          <w:bCs w:val="0"/>
          <w:sz w:val="24"/>
          <w:lang w:val="en-US"/>
        </w:rPr>
        <w:t>Confucian Dynamism: „Ranges from societies with long-term orientation to societies with short-term orientation” (Hofstede</w:t>
      </w:r>
      <w:r w:rsidR="007B345D" w:rsidRPr="007F2875">
        <w:rPr>
          <w:bCs w:val="0"/>
          <w:sz w:val="24"/>
          <w:lang w:val="en-US"/>
        </w:rPr>
        <w:t xml:space="preserve"> 1991, p.166</w:t>
      </w:r>
      <w:r w:rsidRPr="007F2875">
        <w:rPr>
          <w:bCs w:val="0"/>
          <w:sz w:val="24"/>
          <w:lang w:val="en-US"/>
        </w:rPr>
        <w:t>).</w:t>
      </w:r>
    </w:p>
    <w:p w14:paraId="44779643" w14:textId="77777777" w:rsidR="00126243" w:rsidRPr="007F2875" w:rsidRDefault="00126243" w:rsidP="00126243">
      <w:pPr>
        <w:pStyle w:val="Erlaeuterung"/>
        <w:rPr>
          <w:bCs w:val="0"/>
          <w:sz w:val="24"/>
          <w:lang w:val="en-US"/>
        </w:rPr>
      </w:pPr>
    </w:p>
    <w:p w14:paraId="3ACC5332" w14:textId="4FE924D5" w:rsidR="00FF7799" w:rsidRPr="007D6CC1" w:rsidRDefault="00FF7799" w:rsidP="004D2B16">
      <w:pPr>
        <w:pStyle w:val="BeschriftungTab"/>
        <w:rPr>
          <w:i/>
          <w:iCs/>
          <w:spacing w:val="-5"/>
        </w:rPr>
      </w:pPr>
      <w:r w:rsidRPr="007D6CC1">
        <w:rPr>
          <w:i/>
          <w:iCs/>
        </w:rPr>
        <w:t>Tab. 1: Synopse</w:t>
      </w:r>
      <w:r w:rsidRPr="007D6CC1">
        <w:rPr>
          <w:i/>
          <w:iCs/>
          <w:spacing w:val="-8"/>
        </w:rPr>
        <w:t xml:space="preserve"> </w:t>
      </w:r>
      <w:r w:rsidRPr="007D6CC1">
        <w:rPr>
          <w:i/>
          <w:iCs/>
        </w:rPr>
        <w:t>der</w:t>
      </w:r>
      <w:r w:rsidRPr="007D6CC1">
        <w:rPr>
          <w:i/>
          <w:iCs/>
          <w:spacing w:val="-5"/>
        </w:rPr>
        <w:t xml:space="preserve"> </w:t>
      </w:r>
      <w:r w:rsidRPr="007D6CC1">
        <w:rPr>
          <w:i/>
          <w:iCs/>
        </w:rPr>
        <w:t>Hofstede-</w:t>
      </w:r>
      <w:r w:rsidRPr="007D6CC1">
        <w:rPr>
          <w:i/>
          <w:iCs/>
          <w:spacing w:val="-7"/>
        </w:rPr>
        <w:t xml:space="preserve"> </w:t>
      </w:r>
      <w:r w:rsidR="007D6CC1">
        <w:rPr>
          <w:i/>
          <w:iCs/>
        </w:rPr>
        <w:t>&amp;</w:t>
      </w:r>
      <w:r w:rsidRPr="007D6CC1">
        <w:rPr>
          <w:i/>
          <w:iCs/>
          <w:spacing w:val="-6"/>
        </w:rPr>
        <w:t xml:space="preserve"> </w:t>
      </w:r>
      <w:r w:rsidRPr="007D6CC1">
        <w:rPr>
          <w:i/>
          <w:iCs/>
        </w:rPr>
        <w:t>der</w:t>
      </w:r>
      <w:r w:rsidRPr="007D6CC1">
        <w:rPr>
          <w:i/>
          <w:iCs/>
          <w:spacing w:val="-5"/>
        </w:rPr>
        <w:t xml:space="preserve"> </w:t>
      </w:r>
      <w:r w:rsidRPr="007D6CC1">
        <w:rPr>
          <w:i/>
          <w:iCs/>
        </w:rPr>
        <w:t>GLOBE-Kulturdimensionen</w:t>
      </w: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85"/>
        <w:gridCol w:w="1843"/>
        <w:gridCol w:w="5244"/>
      </w:tblGrid>
      <w:tr w:rsidR="00FF7799" w:rsidRPr="00E73F6F" w14:paraId="5BC8B674" w14:textId="77777777" w:rsidTr="00342772">
        <w:trPr>
          <w:trHeight w:val="239"/>
          <w:tblHeader/>
        </w:trPr>
        <w:tc>
          <w:tcPr>
            <w:tcW w:w="1094" w:type="pct"/>
            <w:tcBorders>
              <w:left w:val="nil"/>
              <w:bottom w:val="single" w:sz="4" w:space="0" w:color="000000"/>
              <w:right w:val="nil"/>
            </w:tcBorders>
            <w:shd w:val="clear" w:color="auto" w:fill="FFC000"/>
          </w:tcPr>
          <w:p w14:paraId="4BA06A3F" w14:textId="77777777" w:rsidR="00FF7799" w:rsidRPr="00E73F6F" w:rsidRDefault="00FF7799" w:rsidP="005F3BAD">
            <w:pPr>
              <w:pStyle w:val="StandardText"/>
              <w:spacing w:after="120"/>
              <w:jc w:val="center"/>
              <w:rPr>
                <w:b/>
                <w:lang w:val="de-DE"/>
              </w:rPr>
            </w:pPr>
            <w:r w:rsidRPr="00E73F6F">
              <w:rPr>
                <w:b/>
                <w:lang w:val="de-DE"/>
              </w:rPr>
              <w:t>Hofstede</w:t>
            </w:r>
          </w:p>
        </w:tc>
        <w:tc>
          <w:tcPr>
            <w:tcW w:w="1016" w:type="pct"/>
            <w:tcBorders>
              <w:left w:val="nil"/>
              <w:bottom w:val="single" w:sz="4" w:space="0" w:color="000000"/>
              <w:right w:val="nil"/>
            </w:tcBorders>
            <w:shd w:val="clear" w:color="auto" w:fill="FFC000"/>
          </w:tcPr>
          <w:p w14:paraId="6418DEDB" w14:textId="77777777" w:rsidR="00FF7799" w:rsidRPr="00E73F6F" w:rsidRDefault="00FF7799" w:rsidP="005F3BAD">
            <w:pPr>
              <w:pStyle w:val="StandardText"/>
              <w:spacing w:after="120"/>
              <w:jc w:val="center"/>
              <w:rPr>
                <w:b/>
                <w:lang w:val="de-DE"/>
              </w:rPr>
            </w:pPr>
            <w:r w:rsidRPr="00E73F6F">
              <w:rPr>
                <w:b/>
                <w:lang w:val="de-DE"/>
              </w:rPr>
              <w:t>GLOBE</w:t>
            </w:r>
          </w:p>
        </w:tc>
        <w:tc>
          <w:tcPr>
            <w:tcW w:w="2890" w:type="pct"/>
            <w:tcBorders>
              <w:left w:val="nil"/>
              <w:bottom w:val="single" w:sz="4" w:space="0" w:color="000000"/>
              <w:right w:val="nil"/>
            </w:tcBorders>
            <w:shd w:val="clear" w:color="auto" w:fill="FFC000"/>
          </w:tcPr>
          <w:p w14:paraId="292A6DF2" w14:textId="77777777" w:rsidR="00FF7799" w:rsidRPr="00E73F6F" w:rsidRDefault="00FF7799" w:rsidP="005F3BAD">
            <w:pPr>
              <w:pStyle w:val="StandardText"/>
              <w:spacing w:after="120"/>
              <w:jc w:val="center"/>
              <w:rPr>
                <w:b/>
                <w:lang w:val="de-DE"/>
              </w:rPr>
            </w:pPr>
            <w:r w:rsidRPr="00E73F6F">
              <w:rPr>
                <w:b/>
                <w:lang w:val="de-DE"/>
              </w:rPr>
              <w:t>Bedeutung</w:t>
            </w:r>
          </w:p>
        </w:tc>
      </w:tr>
      <w:tr w:rsidR="00FF7799" w:rsidRPr="00E73F6F" w14:paraId="52F7D60E" w14:textId="77777777" w:rsidTr="000709F3">
        <w:trPr>
          <w:trHeight w:val="645"/>
        </w:trPr>
        <w:tc>
          <w:tcPr>
            <w:tcW w:w="1094" w:type="pct"/>
            <w:tcBorders>
              <w:left w:val="nil"/>
              <w:right w:val="nil"/>
            </w:tcBorders>
            <w:shd w:val="clear" w:color="auto" w:fill="FFF2CC" w:themeFill="accent4" w:themeFillTint="33"/>
          </w:tcPr>
          <w:p w14:paraId="3E0C5C4E" w14:textId="77777777" w:rsidR="00FF7799" w:rsidRPr="00E73F6F" w:rsidRDefault="00FF7799" w:rsidP="005F3BAD">
            <w:pPr>
              <w:pStyle w:val="StandardText"/>
              <w:jc w:val="left"/>
              <w:rPr>
                <w:lang w:val="de-DE"/>
              </w:rPr>
            </w:pPr>
            <w:r w:rsidRPr="00E73F6F">
              <w:rPr>
                <w:lang w:val="de-DE"/>
              </w:rPr>
              <w:t>Akzeptanz</w:t>
            </w:r>
            <w:r w:rsidRPr="00E73F6F">
              <w:rPr>
                <w:spacing w:val="-9"/>
                <w:lang w:val="de-DE"/>
              </w:rPr>
              <w:t xml:space="preserve"> </w:t>
            </w:r>
            <w:r w:rsidRPr="00E73F6F">
              <w:rPr>
                <w:lang w:val="de-DE"/>
              </w:rPr>
              <w:t>von</w:t>
            </w:r>
            <w:r w:rsidRPr="00E73F6F">
              <w:rPr>
                <w:spacing w:val="40"/>
                <w:lang w:val="de-DE"/>
              </w:rPr>
              <w:t xml:space="preserve"> </w:t>
            </w:r>
            <w:r w:rsidRPr="00E73F6F">
              <w:rPr>
                <w:lang w:val="de-DE"/>
              </w:rPr>
              <w:t>Machtdistanz</w:t>
            </w:r>
          </w:p>
        </w:tc>
        <w:tc>
          <w:tcPr>
            <w:tcW w:w="1016" w:type="pct"/>
            <w:tcBorders>
              <w:left w:val="nil"/>
              <w:right w:val="nil"/>
            </w:tcBorders>
            <w:shd w:val="clear" w:color="auto" w:fill="FFF2CC" w:themeFill="accent4" w:themeFillTint="33"/>
          </w:tcPr>
          <w:p w14:paraId="7B3DDFD8" w14:textId="77777777" w:rsidR="00FF7799" w:rsidRPr="00E73F6F" w:rsidRDefault="00FF7799" w:rsidP="005F3BAD">
            <w:pPr>
              <w:pStyle w:val="StandardText"/>
              <w:jc w:val="left"/>
              <w:rPr>
                <w:lang w:val="de-DE"/>
              </w:rPr>
            </w:pPr>
            <w:r w:rsidRPr="00E73F6F">
              <w:rPr>
                <w:lang w:val="de-DE"/>
              </w:rPr>
              <w:t>Power</w:t>
            </w:r>
            <w:r w:rsidRPr="00E73F6F">
              <w:rPr>
                <w:spacing w:val="-5"/>
                <w:lang w:val="de-DE"/>
              </w:rPr>
              <w:t xml:space="preserve"> </w:t>
            </w:r>
            <w:r w:rsidRPr="00E73F6F">
              <w:rPr>
                <w:lang w:val="de-DE"/>
              </w:rPr>
              <w:t>Distance</w:t>
            </w:r>
          </w:p>
        </w:tc>
        <w:tc>
          <w:tcPr>
            <w:tcW w:w="2890" w:type="pct"/>
            <w:tcBorders>
              <w:left w:val="nil"/>
              <w:right w:val="nil"/>
            </w:tcBorders>
          </w:tcPr>
          <w:p w14:paraId="0FC15490" w14:textId="77777777" w:rsidR="00FF7799" w:rsidRPr="00E73F6F" w:rsidRDefault="00FF7799" w:rsidP="005F3BAD">
            <w:pPr>
              <w:pStyle w:val="StandardText"/>
              <w:jc w:val="left"/>
              <w:rPr>
                <w:lang w:val="de-DE"/>
              </w:rPr>
            </w:pPr>
            <w:r w:rsidRPr="00E73F6F">
              <w:rPr>
                <w:lang w:val="de-DE"/>
              </w:rPr>
              <w:t>Ausmaß,</w:t>
            </w:r>
            <w:r w:rsidRPr="00E73F6F">
              <w:rPr>
                <w:spacing w:val="23"/>
                <w:lang w:val="de-DE"/>
              </w:rPr>
              <w:t xml:space="preserve"> </w:t>
            </w:r>
            <w:r w:rsidRPr="00E73F6F">
              <w:rPr>
                <w:lang w:val="de-DE"/>
              </w:rPr>
              <w:t>bis</w:t>
            </w:r>
            <w:r w:rsidRPr="00E73F6F">
              <w:rPr>
                <w:spacing w:val="22"/>
                <w:lang w:val="de-DE"/>
              </w:rPr>
              <w:t xml:space="preserve"> </w:t>
            </w:r>
            <w:r w:rsidRPr="00E73F6F">
              <w:rPr>
                <w:lang w:val="de-DE"/>
              </w:rPr>
              <w:t>zu</w:t>
            </w:r>
            <w:r w:rsidRPr="00E73F6F">
              <w:rPr>
                <w:spacing w:val="22"/>
                <w:lang w:val="de-DE"/>
              </w:rPr>
              <w:t xml:space="preserve"> </w:t>
            </w:r>
            <w:r w:rsidRPr="00E73F6F">
              <w:rPr>
                <w:lang w:val="de-DE"/>
              </w:rPr>
              <w:t>welchem</w:t>
            </w:r>
            <w:r w:rsidRPr="00E73F6F">
              <w:rPr>
                <w:spacing w:val="21"/>
                <w:lang w:val="de-DE"/>
              </w:rPr>
              <w:t xml:space="preserve"> </w:t>
            </w:r>
            <w:r w:rsidRPr="00E73F6F">
              <w:rPr>
                <w:lang w:val="de-DE"/>
              </w:rPr>
              <w:t>die</w:t>
            </w:r>
            <w:r w:rsidRPr="00E73F6F">
              <w:rPr>
                <w:spacing w:val="22"/>
                <w:lang w:val="de-DE"/>
              </w:rPr>
              <w:t xml:space="preserve"> </w:t>
            </w:r>
            <w:r w:rsidRPr="00E73F6F">
              <w:rPr>
                <w:lang w:val="de-DE"/>
              </w:rPr>
              <w:t>weniger</w:t>
            </w:r>
            <w:r w:rsidRPr="00E73F6F">
              <w:rPr>
                <w:spacing w:val="23"/>
                <w:lang w:val="de-DE"/>
              </w:rPr>
              <w:t xml:space="preserve"> </w:t>
            </w:r>
            <w:r w:rsidRPr="00E73F6F">
              <w:rPr>
                <w:lang w:val="de-DE"/>
              </w:rPr>
              <w:t>mächtigen</w:t>
            </w:r>
            <w:r w:rsidRPr="00E73F6F">
              <w:rPr>
                <w:spacing w:val="40"/>
                <w:lang w:val="de-DE"/>
              </w:rPr>
              <w:t xml:space="preserve"> </w:t>
            </w:r>
            <w:r w:rsidRPr="00E73F6F">
              <w:rPr>
                <w:lang w:val="de-DE"/>
              </w:rPr>
              <w:t>Mitglieder</w:t>
            </w:r>
            <w:r w:rsidRPr="00E73F6F">
              <w:rPr>
                <w:spacing w:val="25"/>
                <w:lang w:val="de-DE"/>
              </w:rPr>
              <w:t xml:space="preserve"> </w:t>
            </w:r>
            <w:r w:rsidRPr="00E73F6F">
              <w:rPr>
                <w:lang w:val="de-DE"/>
              </w:rPr>
              <w:t>von</w:t>
            </w:r>
            <w:r w:rsidRPr="00E73F6F">
              <w:rPr>
                <w:spacing w:val="27"/>
                <w:lang w:val="de-DE"/>
              </w:rPr>
              <w:t xml:space="preserve"> </w:t>
            </w:r>
            <w:r w:rsidRPr="00E73F6F">
              <w:rPr>
                <w:lang w:val="de-DE"/>
              </w:rPr>
              <w:t>Institutionen</w:t>
            </w:r>
            <w:r w:rsidRPr="00E73F6F">
              <w:rPr>
                <w:spacing w:val="26"/>
                <w:lang w:val="de-DE"/>
              </w:rPr>
              <w:t xml:space="preserve"> </w:t>
            </w:r>
            <w:r w:rsidRPr="00E73F6F">
              <w:rPr>
                <w:lang w:val="de-DE"/>
              </w:rPr>
              <w:t>bzw.</w:t>
            </w:r>
            <w:r w:rsidRPr="00E73F6F">
              <w:rPr>
                <w:spacing w:val="28"/>
                <w:lang w:val="de-DE"/>
              </w:rPr>
              <w:t xml:space="preserve"> </w:t>
            </w:r>
            <w:r w:rsidRPr="00E73F6F">
              <w:rPr>
                <w:lang w:val="de-DE"/>
              </w:rPr>
              <w:t>Organisationen</w:t>
            </w:r>
          </w:p>
          <w:p w14:paraId="06D5CBCB" w14:textId="77777777" w:rsidR="00FF7799" w:rsidRPr="00E73F6F" w:rsidRDefault="00FF7799" w:rsidP="005F3BAD">
            <w:pPr>
              <w:pStyle w:val="StandardText"/>
              <w:jc w:val="left"/>
              <w:rPr>
                <w:lang w:val="de-DE"/>
              </w:rPr>
            </w:pPr>
            <w:r w:rsidRPr="00E73F6F">
              <w:rPr>
                <w:lang w:val="de-DE"/>
              </w:rPr>
              <w:t>eines Kulturclusters eine ungleiche Machtverteilung</w:t>
            </w:r>
            <w:r w:rsidRPr="00E73F6F">
              <w:rPr>
                <w:spacing w:val="40"/>
                <w:lang w:val="de-DE"/>
              </w:rPr>
              <w:t xml:space="preserve"> </w:t>
            </w:r>
            <w:r w:rsidRPr="00E73F6F">
              <w:rPr>
                <w:lang w:val="de-DE"/>
              </w:rPr>
              <w:t>erwarten und akzeptieren</w:t>
            </w:r>
          </w:p>
        </w:tc>
      </w:tr>
      <w:tr w:rsidR="00FF7799" w:rsidRPr="00E73F6F" w14:paraId="10A3A4DF" w14:textId="77777777" w:rsidTr="000709F3">
        <w:trPr>
          <w:trHeight w:val="482"/>
        </w:trPr>
        <w:tc>
          <w:tcPr>
            <w:tcW w:w="1094" w:type="pct"/>
            <w:vMerge w:val="restart"/>
            <w:tcBorders>
              <w:left w:val="nil"/>
              <w:right w:val="nil"/>
            </w:tcBorders>
            <w:shd w:val="clear" w:color="auto" w:fill="FFF2CC" w:themeFill="accent4" w:themeFillTint="33"/>
          </w:tcPr>
          <w:p w14:paraId="08DBB07B" w14:textId="77777777" w:rsidR="00FF7799" w:rsidRPr="00E73F6F" w:rsidRDefault="00FF7799" w:rsidP="005F3BAD">
            <w:pPr>
              <w:pStyle w:val="StandardText"/>
              <w:jc w:val="left"/>
              <w:rPr>
                <w:lang w:val="de-DE"/>
              </w:rPr>
            </w:pPr>
            <w:r w:rsidRPr="00E73F6F">
              <w:rPr>
                <w:lang w:val="de-DE"/>
              </w:rPr>
              <w:t>Individualismus</w:t>
            </w:r>
          </w:p>
          <w:p w14:paraId="6F0E068B" w14:textId="77777777" w:rsidR="00FF7799" w:rsidRPr="00E73F6F" w:rsidRDefault="00FF7799" w:rsidP="005F3BAD">
            <w:pPr>
              <w:pStyle w:val="StandardText"/>
              <w:jc w:val="left"/>
              <w:rPr>
                <w:lang w:val="de-DE"/>
              </w:rPr>
            </w:pPr>
            <w:r w:rsidRPr="00E73F6F">
              <w:rPr>
                <w:spacing w:val="-5"/>
                <w:lang w:val="de-DE"/>
              </w:rPr>
              <w:t>vs.</w:t>
            </w:r>
          </w:p>
          <w:p w14:paraId="081DF49E" w14:textId="77777777" w:rsidR="00FF7799" w:rsidRPr="00E73F6F" w:rsidRDefault="00FF7799" w:rsidP="005F3BAD">
            <w:pPr>
              <w:pStyle w:val="StandardText"/>
              <w:jc w:val="left"/>
              <w:rPr>
                <w:lang w:val="de-DE"/>
              </w:rPr>
            </w:pPr>
            <w:r w:rsidRPr="00E73F6F">
              <w:rPr>
                <w:lang w:val="de-DE"/>
              </w:rPr>
              <w:t>Kollektivismus</w:t>
            </w:r>
          </w:p>
        </w:tc>
        <w:tc>
          <w:tcPr>
            <w:tcW w:w="1016" w:type="pct"/>
            <w:tcBorders>
              <w:left w:val="nil"/>
              <w:bottom w:val="single" w:sz="4" w:space="0" w:color="000000"/>
              <w:right w:val="nil"/>
            </w:tcBorders>
            <w:shd w:val="clear" w:color="auto" w:fill="FFF2CC" w:themeFill="accent4" w:themeFillTint="33"/>
          </w:tcPr>
          <w:p w14:paraId="003DF717" w14:textId="77777777" w:rsidR="00FF7799" w:rsidRPr="00E73F6F" w:rsidRDefault="00FF7799" w:rsidP="005F3BAD">
            <w:pPr>
              <w:pStyle w:val="StandardText"/>
              <w:jc w:val="left"/>
              <w:rPr>
                <w:lang w:val="de-DE"/>
              </w:rPr>
            </w:pPr>
            <w:r w:rsidRPr="00E73F6F">
              <w:rPr>
                <w:lang w:val="de-DE"/>
              </w:rPr>
              <w:t>Institutional</w:t>
            </w:r>
            <w:r w:rsidRPr="00E73F6F">
              <w:rPr>
                <w:spacing w:val="40"/>
                <w:lang w:val="de-DE"/>
              </w:rPr>
              <w:br/>
            </w:r>
            <w:r w:rsidRPr="00E73F6F">
              <w:rPr>
                <w:lang w:val="de-DE"/>
              </w:rPr>
              <w:t>Collectivism</w:t>
            </w:r>
          </w:p>
        </w:tc>
        <w:tc>
          <w:tcPr>
            <w:tcW w:w="2890" w:type="pct"/>
            <w:tcBorders>
              <w:left w:val="nil"/>
              <w:bottom w:val="single" w:sz="4" w:space="0" w:color="000000"/>
              <w:right w:val="nil"/>
            </w:tcBorders>
          </w:tcPr>
          <w:p w14:paraId="643CEED7" w14:textId="77777777" w:rsidR="00FF7799" w:rsidRPr="00E73F6F" w:rsidRDefault="00FF7799" w:rsidP="005F3BAD">
            <w:pPr>
              <w:pStyle w:val="StandardText"/>
              <w:jc w:val="left"/>
              <w:rPr>
                <w:lang w:val="de-DE"/>
              </w:rPr>
            </w:pPr>
            <w:r w:rsidRPr="00E73F6F">
              <w:rPr>
                <w:lang w:val="de-DE"/>
              </w:rPr>
              <w:t>Gemeinschaftsorientierung</w:t>
            </w:r>
            <w:r w:rsidRPr="00E73F6F">
              <w:rPr>
                <w:lang w:val="de-DE"/>
              </w:rPr>
              <w:tab/>
              <w:t>bzgl.</w:t>
            </w:r>
            <w:r w:rsidRPr="00E73F6F">
              <w:rPr>
                <w:lang w:val="de-DE"/>
              </w:rPr>
              <w:tab/>
            </w:r>
            <w:r w:rsidRPr="00E73F6F">
              <w:rPr>
                <w:spacing w:val="-4"/>
                <w:lang w:val="de-DE"/>
              </w:rPr>
              <w:t>der</w:t>
            </w:r>
            <w:r w:rsidRPr="00E73F6F">
              <w:rPr>
                <w:spacing w:val="40"/>
                <w:lang w:val="de-DE"/>
              </w:rPr>
              <w:t xml:space="preserve"> </w:t>
            </w:r>
            <w:r w:rsidRPr="00E73F6F">
              <w:rPr>
                <w:lang w:val="de-DE"/>
              </w:rPr>
              <w:t>Gesamtgesellschaft (z.B. gemeinschaftliche</w:t>
            </w:r>
            <w:r w:rsidRPr="00E73F6F">
              <w:rPr>
                <w:spacing w:val="40"/>
                <w:lang w:val="de-DE"/>
              </w:rPr>
              <w:t xml:space="preserve"> </w:t>
            </w:r>
            <w:r w:rsidRPr="00E73F6F">
              <w:rPr>
                <w:lang w:val="de-DE"/>
              </w:rPr>
              <w:t>Ressourcenverteilungen und Handlungen)</w:t>
            </w:r>
          </w:p>
        </w:tc>
      </w:tr>
      <w:tr w:rsidR="00FF7799" w:rsidRPr="00E73F6F" w14:paraId="208C6C81" w14:textId="77777777" w:rsidTr="000709F3">
        <w:trPr>
          <w:trHeight w:val="645"/>
        </w:trPr>
        <w:tc>
          <w:tcPr>
            <w:tcW w:w="1094" w:type="pct"/>
            <w:vMerge/>
            <w:tcBorders>
              <w:left w:val="nil"/>
              <w:right w:val="nil"/>
            </w:tcBorders>
            <w:shd w:val="clear" w:color="auto" w:fill="FFF2CC" w:themeFill="accent4" w:themeFillTint="33"/>
          </w:tcPr>
          <w:p w14:paraId="70F8BD0D" w14:textId="77777777" w:rsidR="00FF7799" w:rsidRPr="00E73F6F" w:rsidRDefault="00FF7799" w:rsidP="005F3BAD">
            <w:pPr>
              <w:pStyle w:val="StandardText"/>
              <w:jc w:val="left"/>
              <w:rPr>
                <w:lang w:val="de-DE"/>
              </w:rPr>
            </w:pPr>
          </w:p>
        </w:tc>
        <w:tc>
          <w:tcPr>
            <w:tcW w:w="1016" w:type="pct"/>
            <w:tcBorders>
              <w:top w:val="single" w:sz="4" w:space="0" w:color="000000"/>
              <w:left w:val="nil"/>
              <w:right w:val="nil"/>
            </w:tcBorders>
            <w:shd w:val="clear" w:color="auto" w:fill="FFF2CC" w:themeFill="accent4" w:themeFillTint="33"/>
          </w:tcPr>
          <w:p w14:paraId="117984DA" w14:textId="77777777" w:rsidR="00FF7799" w:rsidRPr="00E73F6F" w:rsidRDefault="00FF7799" w:rsidP="005F3BAD">
            <w:pPr>
              <w:pStyle w:val="StandardText"/>
              <w:jc w:val="left"/>
              <w:rPr>
                <w:lang w:val="de-DE"/>
              </w:rPr>
            </w:pPr>
            <w:r w:rsidRPr="00E73F6F">
              <w:rPr>
                <w:lang w:val="de-DE"/>
              </w:rPr>
              <w:t>In-Group</w:t>
            </w:r>
            <w:r w:rsidRPr="00E73F6F">
              <w:rPr>
                <w:spacing w:val="40"/>
                <w:lang w:val="de-DE"/>
              </w:rPr>
              <w:br/>
            </w:r>
            <w:r w:rsidRPr="00E73F6F">
              <w:rPr>
                <w:lang w:val="de-DE"/>
              </w:rPr>
              <w:t>Collectivism</w:t>
            </w:r>
          </w:p>
        </w:tc>
        <w:tc>
          <w:tcPr>
            <w:tcW w:w="2890" w:type="pct"/>
            <w:tcBorders>
              <w:top w:val="single" w:sz="4" w:space="0" w:color="000000"/>
              <w:left w:val="nil"/>
              <w:right w:val="nil"/>
            </w:tcBorders>
          </w:tcPr>
          <w:p w14:paraId="7DEA4CAC" w14:textId="77777777" w:rsidR="00FF7799" w:rsidRPr="00E73F6F" w:rsidRDefault="00FF7799" w:rsidP="005F3BAD">
            <w:pPr>
              <w:pStyle w:val="StandardText"/>
              <w:jc w:val="left"/>
              <w:rPr>
                <w:lang w:val="de-DE"/>
              </w:rPr>
            </w:pPr>
            <w:r w:rsidRPr="00E73F6F">
              <w:rPr>
                <w:lang w:val="de-DE"/>
              </w:rPr>
              <w:t>Misst</w:t>
            </w:r>
            <w:r w:rsidRPr="00E73F6F">
              <w:rPr>
                <w:spacing w:val="-5"/>
                <w:lang w:val="de-DE"/>
              </w:rPr>
              <w:t xml:space="preserve"> </w:t>
            </w:r>
            <w:r w:rsidRPr="00E73F6F">
              <w:rPr>
                <w:lang w:val="de-DE"/>
              </w:rPr>
              <w:t>Loyalität</w:t>
            </w:r>
            <w:r w:rsidRPr="00E73F6F">
              <w:rPr>
                <w:spacing w:val="-5"/>
                <w:lang w:val="de-DE"/>
              </w:rPr>
              <w:t xml:space="preserve"> </w:t>
            </w:r>
            <w:r w:rsidRPr="00E73F6F">
              <w:rPr>
                <w:lang w:val="de-DE"/>
              </w:rPr>
              <w:t>und</w:t>
            </w:r>
            <w:r w:rsidRPr="00E73F6F">
              <w:rPr>
                <w:spacing w:val="-5"/>
                <w:lang w:val="de-DE"/>
              </w:rPr>
              <w:t xml:space="preserve"> </w:t>
            </w:r>
            <w:r w:rsidRPr="00E73F6F">
              <w:rPr>
                <w:lang w:val="de-DE"/>
              </w:rPr>
              <w:t>Zusammenhalt</w:t>
            </w:r>
            <w:r w:rsidRPr="00E73F6F">
              <w:rPr>
                <w:spacing w:val="-6"/>
                <w:lang w:val="de-DE"/>
              </w:rPr>
              <w:t xml:space="preserve"> </w:t>
            </w:r>
            <w:r w:rsidRPr="00E73F6F">
              <w:rPr>
                <w:lang w:val="de-DE"/>
              </w:rPr>
              <w:t>in</w:t>
            </w:r>
            <w:r w:rsidRPr="00E73F6F">
              <w:rPr>
                <w:spacing w:val="-5"/>
                <w:lang w:val="de-DE"/>
              </w:rPr>
              <w:t xml:space="preserve"> </w:t>
            </w:r>
            <w:r w:rsidRPr="00E73F6F">
              <w:rPr>
                <w:lang w:val="de-DE"/>
              </w:rPr>
              <w:t>Familien</w:t>
            </w:r>
            <w:r w:rsidRPr="00E73F6F">
              <w:rPr>
                <w:spacing w:val="-5"/>
                <w:lang w:val="de-DE"/>
              </w:rPr>
              <w:t xml:space="preserve"> </w:t>
            </w:r>
            <w:r w:rsidRPr="00E73F6F">
              <w:rPr>
                <w:lang w:val="de-DE"/>
              </w:rPr>
              <w:t>und</w:t>
            </w:r>
            <w:r w:rsidRPr="00E73F6F">
              <w:rPr>
                <w:spacing w:val="40"/>
                <w:lang w:val="de-DE"/>
              </w:rPr>
              <w:t xml:space="preserve"> </w:t>
            </w:r>
            <w:r w:rsidRPr="00E73F6F">
              <w:rPr>
                <w:lang w:val="de-DE"/>
              </w:rPr>
              <w:t>Unternehmen</w:t>
            </w:r>
          </w:p>
        </w:tc>
      </w:tr>
      <w:tr w:rsidR="00FF7799" w:rsidRPr="00E73F6F" w14:paraId="7B92857A" w14:textId="77777777" w:rsidTr="000709F3">
        <w:trPr>
          <w:trHeight w:val="481"/>
        </w:trPr>
        <w:tc>
          <w:tcPr>
            <w:tcW w:w="1094" w:type="pct"/>
            <w:vMerge w:val="restart"/>
            <w:tcBorders>
              <w:left w:val="nil"/>
              <w:right w:val="nil"/>
            </w:tcBorders>
            <w:shd w:val="clear" w:color="auto" w:fill="FFF2CC" w:themeFill="accent4" w:themeFillTint="33"/>
          </w:tcPr>
          <w:p w14:paraId="462B5AD1" w14:textId="77777777" w:rsidR="00FF7799" w:rsidRPr="00E73F6F" w:rsidRDefault="00FF7799" w:rsidP="005F3BAD">
            <w:pPr>
              <w:pStyle w:val="StandardText"/>
              <w:jc w:val="left"/>
              <w:rPr>
                <w:spacing w:val="40"/>
                <w:lang w:val="de-DE"/>
              </w:rPr>
            </w:pPr>
            <w:r w:rsidRPr="00E73F6F">
              <w:rPr>
                <w:lang w:val="de-DE"/>
              </w:rPr>
              <w:t>Maskulinität</w:t>
            </w:r>
          </w:p>
          <w:p w14:paraId="0847E87C" w14:textId="77777777" w:rsidR="00FF7799" w:rsidRPr="00E73F6F" w:rsidRDefault="00FF7799" w:rsidP="005F3BAD">
            <w:pPr>
              <w:pStyle w:val="StandardText"/>
              <w:jc w:val="left"/>
              <w:rPr>
                <w:spacing w:val="-4"/>
                <w:lang w:val="de-DE"/>
              </w:rPr>
            </w:pPr>
            <w:r w:rsidRPr="00E73F6F">
              <w:rPr>
                <w:spacing w:val="-4"/>
                <w:lang w:val="de-DE"/>
              </w:rPr>
              <w:t>vs.</w:t>
            </w:r>
          </w:p>
          <w:p w14:paraId="49AE8762" w14:textId="77777777" w:rsidR="00FF7799" w:rsidRPr="00E73F6F" w:rsidRDefault="00FF7799" w:rsidP="004D2B16">
            <w:pPr>
              <w:pStyle w:val="StandardText"/>
              <w:jc w:val="left"/>
              <w:rPr>
                <w:lang w:val="de-DE"/>
              </w:rPr>
            </w:pPr>
            <w:r w:rsidRPr="00E73F6F">
              <w:rPr>
                <w:spacing w:val="-4"/>
                <w:lang w:val="de-DE"/>
              </w:rPr>
              <w:lastRenderedPageBreak/>
              <w:t>Femininität</w:t>
            </w:r>
          </w:p>
        </w:tc>
        <w:tc>
          <w:tcPr>
            <w:tcW w:w="1016" w:type="pct"/>
            <w:tcBorders>
              <w:left w:val="nil"/>
              <w:right w:val="nil"/>
            </w:tcBorders>
            <w:shd w:val="clear" w:color="auto" w:fill="FFF2CC" w:themeFill="accent4" w:themeFillTint="33"/>
          </w:tcPr>
          <w:p w14:paraId="478C8621" w14:textId="77777777" w:rsidR="00FF7799" w:rsidRPr="00E73F6F" w:rsidRDefault="00FF7799" w:rsidP="005F3BAD">
            <w:pPr>
              <w:pStyle w:val="StandardText"/>
              <w:jc w:val="left"/>
              <w:rPr>
                <w:lang w:val="de-DE"/>
              </w:rPr>
            </w:pPr>
            <w:r w:rsidRPr="00E73F6F">
              <w:rPr>
                <w:lang w:val="de-DE"/>
              </w:rPr>
              <w:lastRenderedPageBreak/>
              <w:t>Assertiveness</w:t>
            </w:r>
          </w:p>
        </w:tc>
        <w:tc>
          <w:tcPr>
            <w:tcW w:w="2890" w:type="pct"/>
            <w:tcBorders>
              <w:left w:val="nil"/>
              <w:right w:val="nil"/>
            </w:tcBorders>
          </w:tcPr>
          <w:p w14:paraId="75027D6C" w14:textId="77777777" w:rsidR="00FF7799" w:rsidRPr="00E73F6F" w:rsidRDefault="00FF7799" w:rsidP="005F3BAD">
            <w:pPr>
              <w:pStyle w:val="StandardText"/>
              <w:jc w:val="left"/>
              <w:rPr>
                <w:lang w:val="de-DE"/>
              </w:rPr>
            </w:pPr>
            <w:r w:rsidRPr="00E73F6F">
              <w:rPr>
                <w:lang w:val="de-DE"/>
              </w:rPr>
              <w:t>Ausmaß</w:t>
            </w:r>
            <w:r w:rsidRPr="00E73F6F">
              <w:rPr>
                <w:spacing w:val="-9"/>
                <w:lang w:val="de-DE"/>
              </w:rPr>
              <w:t xml:space="preserve"> </w:t>
            </w:r>
            <w:r w:rsidRPr="00E73F6F">
              <w:rPr>
                <w:lang w:val="de-DE"/>
              </w:rPr>
              <w:t>der</w:t>
            </w:r>
            <w:r w:rsidRPr="00E73F6F">
              <w:rPr>
                <w:spacing w:val="-9"/>
                <w:lang w:val="de-DE"/>
              </w:rPr>
              <w:t xml:space="preserve"> </w:t>
            </w:r>
            <w:r w:rsidRPr="00E73F6F">
              <w:rPr>
                <w:lang w:val="de-DE"/>
              </w:rPr>
              <w:t>Bereitschaft,</w:t>
            </w:r>
            <w:r w:rsidRPr="00E73F6F">
              <w:rPr>
                <w:spacing w:val="-9"/>
                <w:lang w:val="de-DE"/>
              </w:rPr>
              <w:t xml:space="preserve"> </w:t>
            </w:r>
            <w:r w:rsidRPr="00E73F6F">
              <w:rPr>
                <w:lang w:val="de-DE"/>
              </w:rPr>
              <w:t>in</w:t>
            </w:r>
            <w:r w:rsidRPr="00E73F6F">
              <w:rPr>
                <w:spacing w:val="-8"/>
                <w:lang w:val="de-DE"/>
              </w:rPr>
              <w:t xml:space="preserve"> </w:t>
            </w:r>
            <w:r w:rsidRPr="00E73F6F">
              <w:rPr>
                <w:lang w:val="de-DE"/>
              </w:rPr>
              <w:t>zwischenmenschlichen</w:t>
            </w:r>
            <w:r w:rsidRPr="00E73F6F">
              <w:rPr>
                <w:spacing w:val="40"/>
                <w:lang w:val="de-DE"/>
              </w:rPr>
              <w:t xml:space="preserve"> </w:t>
            </w:r>
            <w:r w:rsidRPr="00E73F6F">
              <w:rPr>
                <w:lang w:val="de-DE"/>
              </w:rPr>
              <w:t>Beziehungen</w:t>
            </w:r>
            <w:r w:rsidRPr="00E73F6F">
              <w:rPr>
                <w:spacing w:val="-9"/>
                <w:lang w:val="de-DE"/>
              </w:rPr>
              <w:t xml:space="preserve"> </w:t>
            </w:r>
            <w:r w:rsidRPr="00E73F6F">
              <w:rPr>
                <w:lang w:val="de-DE"/>
              </w:rPr>
              <w:t>bestimmend,</w:t>
            </w:r>
            <w:r w:rsidRPr="00E73F6F">
              <w:rPr>
                <w:spacing w:val="-9"/>
                <w:lang w:val="de-DE"/>
              </w:rPr>
              <w:t xml:space="preserve"> </w:t>
            </w:r>
            <w:r w:rsidRPr="00E73F6F">
              <w:rPr>
                <w:lang w:val="de-DE"/>
              </w:rPr>
              <w:t>streitlustig</w:t>
            </w:r>
            <w:r w:rsidRPr="00E73F6F">
              <w:rPr>
                <w:spacing w:val="-9"/>
                <w:lang w:val="de-DE"/>
              </w:rPr>
              <w:t xml:space="preserve"> </w:t>
            </w:r>
            <w:r w:rsidRPr="00E73F6F">
              <w:rPr>
                <w:lang w:val="de-DE"/>
              </w:rPr>
              <w:t>und</w:t>
            </w:r>
            <w:r w:rsidRPr="00E73F6F">
              <w:rPr>
                <w:spacing w:val="-8"/>
                <w:lang w:val="de-DE"/>
              </w:rPr>
              <w:t xml:space="preserve"> </w:t>
            </w:r>
            <w:r w:rsidRPr="00E73F6F">
              <w:rPr>
                <w:lang w:val="de-DE"/>
              </w:rPr>
              <w:t>aggressiv</w:t>
            </w:r>
            <w:r w:rsidRPr="00E73F6F">
              <w:rPr>
                <w:spacing w:val="40"/>
                <w:lang w:val="de-DE"/>
              </w:rPr>
              <w:t xml:space="preserve"> </w:t>
            </w:r>
            <w:r w:rsidRPr="00E73F6F">
              <w:rPr>
                <w:lang w:val="de-DE"/>
              </w:rPr>
              <w:t>aufzutreten</w:t>
            </w:r>
          </w:p>
        </w:tc>
      </w:tr>
      <w:tr w:rsidR="00FF7799" w:rsidRPr="00E73F6F" w14:paraId="2C420414" w14:textId="77777777" w:rsidTr="000709F3">
        <w:trPr>
          <w:trHeight w:val="481"/>
        </w:trPr>
        <w:tc>
          <w:tcPr>
            <w:tcW w:w="1094" w:type="pct"/>
            <w:vMerge/>
            <w:tcBorders>
              <w:left w:val="nil"/>
              <w:right w:val="nil"/>
            </w:tcBorders>
            <w:shd w:val="clear" w:color="auto" w:fill="FFF2CC" w:themeFill="accent4" w:themeFillTint="33"/>
          </w:tcPr>
          <w:p w14:paraId="3F17933B" w14:textId="77777777" w:rsidR="00FF7799" w:rsidRPr="00E73F6F" w:rsidRDefault="00FF7799" w:rsidP="004D2B16">
            <w:pPr>
              <w:pStyle w:val="StandardText"/>
              <w:jc w:val="left"/>
              <w:rPr>
                <w:lang w:val="de-DE"/>
              </w:rPr>
            </w:pPr>
          </w:p>
        </w:tc>
        <w:tc>
          <w:tcPr>
            <w:tcW w:w="1016" w:type="pct"/>
            <w:tcBorders>
              <w:left w:val="nil"/>
              <w:right w:val="nil"/>
            </w:tcBorders>
            <w:shd w:val="clear" w:color="auto" w:fill="FFF2CC" w:themeFill="accent4" w:themeFillTint="33"/>
          </w:tcPr>
          <w:p w14:paraId="0678064B" w14:textId="77777777" w:rsidR="00FF7799" w:rsidRPr="00E73F6F" w:rsidRDefault="00FF7799" w:rsidP="004D2B16">
            <w:pPr>
              <w:pStyle w:val="StandardText"/>
              <w:jc w:val="left"/>
              <w:rPr>
                <w:lang w:val="de-DE"/>
              </w:rPr>
            </w:pPr>
            <w:r w:rsidRPr="00E73F6F">
              <w:rPr>
                <w:lang w:val="de-DE"/>
              </w:rPr>
              <w:t>Gender</w:t>
            </w:r>
            <w:r w:rsidRPr="00E73F6F">
              <w:rPr>
                <w:spacing w:val="40"/>
                <w:lang w:val="de-DE"/>
              </w:rPr>
              <w:br/>
            </w:r>
            <w:r w:rsidRPr="00E73F6F">
              <w:rPr>
                <w:lang w:val="de-DE"/>
              </w:rPr>
              <w:t>Egalitarianism</w:t>
            </w:r>
          </w:p>
        </w:tc>
        <w:tc>
          <w:tcPr>
            <w:tcW w:w="2890" w:type="pct"/>
            <w:tcBorders>
              <w:left w:val="nil"/>
              <w:right w:val="nil"/>
            </w:tcBorders>
          </w:tcPr>
          <w:p w14:paraId="45962624" w14:textId="77777777" w:rsidR="00FF7799" w:rsidRPr="00E73F6F" w:rsidRDefault="00FF7799" w:rsidP="004D2B16">
            <w:pPr>
              <w:pStyle w:val="StandardText"/>
              <w:jc w:val="left"/>
              <w:rPr>
                <w:lang w:val="de-DE"/>
              </w:rPr>
            </w:pPr>
            <w:r w:rsidRPr="00E73F6F">
              <w:rPr>
                <w:lang w:val="de-DE"/>
              </w:rPr>
              <w:t>Ausmaß</w:t>
            </w:r>
            <w:r w:rsidRPr="00E73F6F">
              <w:rPr>
                <w:spacing w:val="40"/>
                <w:lang w:val="de-DE"/>
              </w:rPr>
              <w:t xml:space="preserve"> </w:t>
            </w:r>
            <w:r w:rsidRPr="00E73F6F">
              <w:rPr>
                <w:lang w:val="de-DE"/>
              </w:rPr>
              <w:t>der</w:t>
            </w:r>
            <w:r w:rsidRPr="00E73F6F">
              <w:rPr>
                <w:spacing w:val="40"/>
                <w:lang w:val="de-DE"/>
              </w:rPr>
              <w:t xml:space="preserve"> </w:t>
            </w:r>
            <w:r w:rsidRPr="00E73F6F">
              <w:rPr>
                <w:lang w:val="de-DE"/>
              </w:rPr>
              <w:t>Bemühungen</w:t>
            </w:r>
            <w:r w:rsidRPr="00E73F6F">
              <w:rPr>
                <w:spacing w:val="40"/>
                <w:lang w:val="de-DE"/>
              </w:rPr>
              <w:t xml:space="preserve"> </w:t>
            </w:r>
            <w:r w:rsidRPr="00E73F6F">
              <w:rPr>
                <w:lang w:val="de-DE"/>
              </w:rPr>
              <w:t>eines</w:t>
            </w:r>
            <w:r w:rsidRPr="00E73F6F">
              <w:rPr>
                <w:spacing w:val="40"/>
                <w:lang w:val="de-DE"/>
              </w:rPr>
              <w:t xml:space="preserve"> </w:t>
            </w:r>
            <w:r w:rsidRPr="00E73F6F">
              <w:rPr>
                <w:lang w:val="de-DE"/>
              </w:rPr>
              <w:t>Kulturclusters,</w:t>
            </w:r>
            <w:r w:rsidRPr="00E73F6F">
              <w:rPr>
                <w:spacing w:val="40"/>
                <w:lang w:val="de-DE"/>
              </w:rPr>
              <w:t xml:space="preserve"> </w:t>
            </w:r>
            <w:r w:rsidRPr="00E73F6F">
              <w:rPr>
                <w:lang w:val="de-DE"/>
              </w:rPr>
              <w:t>Geschlechterunter-schiede zu minimieren</w:t>
            </w:r>
          </w:p>
        </w:tc>
      </w:tr>
      <w:tr w:rsidR="00FF7799" w:rsidRPr="00E73F6F" w14:paraId="623301E1" w14:textId="77777777" w:rsidTr="000709F3">
        <w:trPr>
          <w:trHeight w:val="481"/>
        </w:trPr>
        <w:tc>
          <w:tcPr>
            <w:tcW w:w="1094" w:type="pct"/>
            <w:tcBorders>
              <w:left w:val="nil"/>
              <w:right w:val="nil"/>
            </w:tcBorders>
            <w:shd w:val="clear" w:color="auto" w:fill="FFF2CC" w:themeFill="accent4" w:themeFillTint="33"/>
          </w:tcPr>
          <w:p w14:paraId="7BA3344D" w14:textId="77777777" w:rsidR="00FF7799" w:rsidRPr="00E73F6F" w:rsidRDefault="00FF7799" w:rsidP="004D2B16">
            <w:pPr>
              <w:pStyle w:val="StandardText"/>
              <w:jc w:val="left"/>
              <w:rPr>
                <w:lang w:val="de-DE"/>
              </w:rPr>
            </w:pPr>
            <w:r w:rsidRPr="00E73F6F">
              <w:rPr>
                <w:lang w:val="de-DE"/>
              </w:rPr>
              <w:t>Unsicherheits-</w:t>
            </w:r>
            <w:r w:rsidRPr="00E73F6F">
              <w:rPr>
                <w:spacing w:val="40"/>
                <w:lang w:val="de-DE"/>
              </w:rPr>
              <w:t xml:space="preserve"> </w:t>
            </w:r>
            <w:r w:rsidRPr="00E73F6F">
              <w:rPr>
                <w:lang w:val="de-DE"/>
              </w:rPr>
              <w:t>vermeidung</w:t>
            </w:r>
          </w:p>
        </w:tc>
        <w:tc>
          <w:tcPr>
            <w:tcW w:w="1016" w:type="pct"/>
            <w:tcBorders>
              <w:left w:val="nil"/>
              <w:right w:val="nil"/>
            </w:tcBorders>
            <w:shd w:val="clear" w:color="auto" w:fill="FFF2CC" w:themeFill="accent4" w:themeFillTint="33"/>
          </w:tcPr>
          <w:p w14:paraId="3F1A614A" w14:textId="77777777" w:rsidR="00FF7799" w:rsidRPr="00E73F6F" w:rsidRDefault="00FF7799" w:rsidP="004D2B16">
            <w:pPr>
              <w:pStyle w:val="StandardText"/>
              <w:jc w:val="left"/>
              <w:rPr>
                <w:lang w:val="de-DE"/>
              </w:rPr>
            </w:pPr>
            <w:r w:rsidRPr="00E73F6F">
              <w:rPr>
                <w:lang w:val="de-DE"/>
              </w:rPr>
              <w:t>Uncertainty</w:t>
            </w:r>
            <w:r w:rsidRPr="00E73F6F">
              <w:rPr>
                <w:spacing w:val="40"/>
                <w:lang w:val="de-DE"/>
              </w:rPr>
              <w:t xml:space="preserve"> </w:t>
            </w:r>
            <w:r w:rsidRPr="00E73F6F">
              <w:rPr>
                <w:lang w:val="de-DE"/>
              </w:rPr>
              <w:t>Avoidance</w:t>
            </w:r>
          </w:p>
        </w:tc>
        <w:tc>
          <w:tcPr>
            <w:tcW w:w="2890" w:type="pct"/>
            <w:tcBorders>
              <w:left w:val="nil"/>
              <w:right w:val="nil"/>
            </w:tcBorders>
          </w:tcPr>
          <w:p w14:paraId="72131C56" w14:textId="77777777" w:rsidR="00FF7799" w:rsidRPr="00E73F6F" w:rsidRDefault="00FF7799" w:rsidP="004D2B16">
            <w:pPr>
              <w:pStyle w:val="StandardText"/>
              <w:jc w:val="left"/>
              <w:rPr>
                <w:lang w:val="de-DE"/>
              </w:rPr>
            </w:pPr>
            <w:r w:rsidRPr="00E73F6F">
              <w:rPr>
                <w:lang w:val="de-DE"/>
              </w:rPr>
              <w:t>Grad,</w:t>
            </w:r>
            <w:r w:rsidRPr="00E73F6F">
              <w:rPr>
                <w:spacing w:val="-9"/>
                <w:lang w:val="de-DE"/>
              </w:rPr>
              <w:t xml:space="preserve"> </w:t>
            </w:r>
            <w:r w:rsidRPr="00E73F6F">
              <w:rPr>
                <w:lang w:val="de-DE"/>
              </w:rPr>
              <w:t>bis</w:t>
            </w:r>
            <w:r w:rsidRPr="00E73F6F">
              <w:rPr>
                <w:spacing w:val="-9"/>
                <w:lang w:val="de-DE"/>
              </w:rPr>
              <w:t xml:space="preserve"> </w:t>
            </w:r>
            <w:r w:rsidRPr="00E73F6F">
              <w:rPr>
                <w:lang w:val="de-DE"/>
              </w:rPr>
              <w:t>zu</w:t>
            </w:r>
            <w:r w:rsidRPr="00E73F6F">
              <w:rPr>
                <w:spacing w:val="-9"/>
                <w:lang w:val="de-DE"/>
              </w:rPr>
              <w:t xml:space="preserve"> </w:t>
            </w:r>
            <w:r w:rsidRPr="00E73F6F">
              <w:rPr>
                <w:lang w:val="de-DE"/>
              </w:rPr>
              <w:t>dem</w:t>
            </w:r>
            <w:r w:rsidRPr="00E73F6F">
              <w:rPr>
                <w:spacing w:val="-8"/>
                <w:lang w:val="de-DE"/>
              </w:rPr>
              <w:t xml:space="preserve"> </w:t>
            </w:r>
            <w:r w:rsidRPr="00E73F6F">
              <w:rPr>
                <w:lang w:val="de-DE"/>
              </w:rPr>
              <w:t>die</w:t>
            </w:r>
            <w:r w:rsidRPr="00E73F6F">
              <w:rPr>
                <w:spacing w:val="-9"/>
                <w:lang w:val="de-DE"/>
              </w:rPr>
              <w:t xml:space="preserve"> </w:t>
            </w:r>
            <w:r w:rsidRPr="00E73F6F">
              <w:rPr>
                <w:lang w:val="de-DE"/>
              </w:rPr>
              <w:t>Mitglieder</w:t>
            </w:r>
            <w:r w:rsidRPr="00E73F6F">
              <w:rPr>
                <w:spacing w:val="-9"/>
                <w:lang w:val="de-DE"/>
              </w:rPr>
              <w:t xml:space="preserve"> </w:t>
            </w:r>
            <w:r w:rsidRPr="00E73F6F">
              <w:rPr>
                <w:lang w:val="de-DE"/>
              </w:rPr>
              <w:t>eines</w:t>
            </w:r>
            <w:r w:rsidRPr="00E73F6F">
              <w:rPr>
                <w:spacing w:val="-9"/>
                <w:lang w:val="de-DE"/>
              </w:rPr>
              <w:t xml:space="preserve"> </w:t>
            </w:r>
            <w:r w:rsidRPr="00E73F6F">
              <w:rPr>
                <w:lang w:val="de-DE"/>
              </w:rPr>
              <w:t>Kulturclusters</w:t>
            </w:r>
            <w:r w:rsidRPr="00E73F6F">
              <w:rPr>
                <w:spacing w:val="40"/>
                <w:lang w:val="de-DE"/>
              </w:rPr>
              <w:t xml:space="preserve"> </w:t>
            </w:r>
            <w:r w:rsidRPr="00E73F6F">
              <w:rPr>
                <w:lang w:val="de-DE"/>
              </w:rPr>
              <w:t>sich durch nicht eindeutige oder</w:t>
            </w:r>
            <w:r w:rsidRPr="00E73F6F">
              <w:rPr>
                <w:spacing w:val="40"/>
                <w:lang w:val="de-DE"/>
              </w:rPr>
              <w:t xml:space="preserve"> </w:t>
            </w:r>
            <w:r w:rsidRPr="00E73F6F">
              <w:rPr>
                <w:lang w:val="de-DE"/>
              </w:rPr>
              <w:t>unbekannte</w:t>
            </w:r>
            <w:r w:rsidRPr="00E73F6F">
              <w:rPr>
                <w:spacing w:val="40"/>
                <w:lang w:val="de-DE"/>
              </w:rPr>
              <w:t xml:space="preserve"> </w:t>
            </w:r>
            <w:r w:rsidRPr="00E73F6F">
              <w:rPr>
                <w:lang w:val="de-DE"/>
              </w:rPr>
              <w:t>Situationen</w:t>
            </w:r>
            <w:r w:rsidRPr="00E73F6F">
              <w:rPr>
                <w:spacing w:val="-9"/>
                <w:lang w:val="de-DE"/>
              </w:rPr>
              <w:t xml:space="preserve"> </w:t>
            </w:r>
            <w:r w:rsidRPr="00E73F6F">
              <w:rPr>
                <w:lang w:val="de-DE"/>
              </w:rPr>
              <w:t>bedroht</w:t>
            </w:r>
            <w:r w:rsidRPr="00E73F6F">
              <w:rPr>
                <w:spacing w:val="-9"/>
                <w:lang w:val="de-DE"/>
              </w:rPr>
              <w:t xml:space="preserve"> </w:t>
            </w:r>
            <w:r w:rsidRPr="00E73F6F">
              <w:rPr>
                <w:lang w:val="de-DE"/>
              </w:rPr>
              <w:t>fühlen,</w:t>
            </w:r>
            <w:r w:rsidRPr="00E73F6F">
              <w:rPr>
                <w:spacing w:val="-9"/>
                <w:lang w:val="de-DE"/>
              </w:rPr>
              <w:t xml:space="preserve"> </w:t>
            </w:r>
            <w:r w:rsidRPr="00E73F6F">
              <w:rPr>
                <w:lang w:val="de-DE"/>
              </w:rPr>
              <w:t>bzw.</w:t>
            </w:r>
            <w:r w:rsidRPr="00E73F6F">
              <w:rPr>
                <w:spacing w:val="-8"/>
                <w:lang w:val="de-DE"/>
              </w:rPr>
              <w:t xml:space="preserve"> </w:t>
            </w:r>
            <w:r w:rsidRPr="00E73F6F">
              <w:rPr>
                <w:lang w:val="de-DE"/>
              </w:rPr>
              <w:t>bis</w:t>
            </w:r>
            <w:r w:rsidRPr="00E73F6F">
              <w:rPr>
                <w:spacing w:val="-9"/>
                <w:lang w:val="de-DE"/>
              </w:rPr>
              <w:t xml:space="preserve"> </w:t>
            </w:r>
            <w:r w:rsidRPr="00E73F6F">
              <w:rPr>
                <w:lang w:val="de-DE"/>
              </w:rPr>
              <w:t>zu</w:t>
            </w:r>
            <w:r w:rsidRPr="00E73F6F">
              <w:rPr>
                <w:spacing w:val="-9"/>
                <w:lang w:val="de-DE"/>
              </w:rPr>
              <w:t xml:space="preserve"> </w:t>
            </w:r>
            <w:r w:rsidRPr="00E73F6F">
              <w:rPr>
                <w:lang w:val="de-DE"/>
              </w:rPr>
              <w:t>dem</w:t>
            </w:r>
            <w:r w:rsidRPr="00E73F6F">
              <w:rPr>
                <w:spacing w:val="-7"/>
                <w:lang w:val="de-DE"/>
              </w:rPr>
              <w:t xml:space="preserve"> </w:t>
            </w:r>
            <w:r w:rsidRPr="00E73F6F">
              <w:rPr>
                <w:lang w:val="de-DE"/>
              </w:rPr>
              <w:t>sie</w:t>
            </w:r>
            <w:r w:rsidRPr="00E73F6F">
              <w:rPr>
                <w:spacing w:val="-9"/>
                <w:lang w:val="de-DE"/>
              </w:rPr>
              <w:t xml:space="preserve"> </w:t>
            </w:r>
            <w:r w:rsidRPr="00E73F6F">
              <w:rPr>
                <w:lang w:val="de-DE"/>
              </w:rPr>
              <w:t>sich</w:t>
            </w:r>
            <w:r w:rsidRPr="00E73F6F">
              <w:rPr>
                <w:spacing w:val="40"/>
                <w:lang w:val="de-DE"/>
              </w:rPr>
              <w:t xml:space="preserve"> </w:t>
            </w:r>
            <w:r w:rsidRPr="00E73F6F">
              <w:rPr>
                <w:lang w:val="de-DE"/>
              </w:rPr>
              <w:t>auf</w:t>
            </w:r>
            <w:r w:rsidRPr="00E73F6F">
              <w:rPr>
                <w:spacing w:val="-9"/>
                <w:lang w:val="de-DE"/>
              </w:rPr>
              <w:t xml:space="preserve"> </w:t>
            </w:r>
            <w:r w:rsidRPr="00E73F6F">
              <w:rPr>
                <w:lang w:val="de-DE"/>
              </w:rPr>
              <w:t>Normen,</w:t>
            </w:r>
            <w:r w:rsidRPr="00E73F6F">
              <w:rPr>
                <w:spacing w:val="-9"/>
                <w:lang w:val="de-DE"/>
              </w:rPr>
              <w:t xml:space="preserve"> </w:t>
            </w:r>
            <w:r w:rsidRPr="00E73F6F">
              <w:rPr>
                <w:lang w:val="de-DE"/>
              </w:rPr>
              <w:t>Regeln,</w:t>
            </w:r>
            <w:r w:rsidRPr="00E73F6F">
              <w:rPr>
                <w:spacing w:val="-9"/>
                <w:lang w:val="de-DE"/>
              </w:rPr>
              <w:t xml:space="preserve"> </w:t>
            </w:r>
            <w:r w:rsidRPr="00E73F6F">
              <w:rPr>
                <w:lang w:val="de-DE"/>
              </w:rPr>
              <w:t>Riten</w:t>
            </w:r>
            <w:r w:rsidRPr="00E73F6F">
              <w:rPr>
                <w:spacing w:val="-8"/>
                <w:lang w:val="de-DE"/>
              </w:rPr>
              <w:t xml:space="preserve"> </w:t>
            </w:r>
            <w:r w:rsidRPr="00E73F6F">
              <w:rPr>
                <w:lang w:val="de-DE"/>
              </w:rPr>
              <w:t>etc.</w:t>
            </w:r>
            <w:r w:rsidRPr="00E73F6F">
              <w:rPr>
                <w:spacing w:val="-9"/>
                <w:lang w:val="de-DE"/>
              </w:rPr>
              <w:t xml:space="preserve"> </w:t>
            </w:r>
            <w:r w:rsidRPr="00E73F6F">
              <w:rPr>
                <w:lang w:val="de-DE"/>
              </w:rPr>
              <w:t>verlassen,</w:t>
            </w:r>
            <w:r w:rsidRPr="00E73F6F">
              <w:rPr>
                <w:spacing w:val="-9"/>
                <w:lang w:val="de-DE"/>
              </w:rPr>
              <w:t xml:space="preserve"> </w:t>
            </w:r>
            <w:r w:rsidRPr="00E73F6F">
              <w:rPr>
                <w:lang w:val="de-DE"/>
              </w:rPr>
              <w:t>um</w:t>
            </w:r>
            <w:r w:rsidRPr="00E73F6F">
              <w:rPr>
                <w:spacing w:val="-9"/>
                <w:lang w:val="de-DE"/>
              </w:rPr>
              <w:t xml:space="preserve"> </w:t>
            </w:r>
            <w:r w:rsidRPr="00E73F6F">
              <w:rPr>
                <w:lang w:val="de-DE"/>
              </w:rPr>
              <w:t>solche</w:t>
            </w:r>
            <w:r w:rsidRPr="00E73F6F">
              <w:rPr>
                <w:spacing w:val="40"/>
                <w:lang w:val="de-DE"/>
              </w:rPr>
              <w:t xml:space="preserve"> </w:t>
            </w:r>
            <w:r w:rsidRPr="00E73F6F">
              <w:rPr>
                <w:lang w:val="de-DE"/>
              </w:rPr>
              <w:t>Situationen zu vermeiden</w:t>
            </w:r>
          </w:p>
        </w:tc>
      </w:tr>
      <w:tr w:rsidR="00FF7799" w:rsidRPr="00E73F6F" w14:paraId="28B6D43C" w14:textId="77777777" w:rsidTr="000709F3">
        <w:trPr>
          <w:trHeight w:val="481"/>
        </w:trPr>
        <w:tc>
          <w:tcPr>
            <w:tcW w:w="1094" w:type="pct"/>
            <w:vMerge w:val="restart"/>
            <w:tcBorders>
              <w:left w:val="nil"/>
              <w:right w:val="nil"/>
            </w:tcBorders>
            <w:shd w:val="clear" w:color="auto" w:fill="FFF2CC" w:themeFill="accent4" w:themeFillTint="33"/>
          </w:tcPr>
          <w:p w14:paraId="59DC11A4" w14:textId="77777777" w:rsidR="00FF7799" w:rsidRPr="00E73F6F" w:rsidRDefault="00FF7799" w:rsidP="004D2B16">
            <w:pPr>
              <w:pStyle w:val="StandardText"/>
              <w:jc w:val="left"/>
              <w:rPr>
                <w:lang w:val="de-DE"/>
              </w:rPr>
            </w:pPr>
            <w:r w:rsidRPr="00E73F6F">
              <w:rPr>
                <w:lang w:val="de-DE"/>
              </w:rPr>
              <w:t>Langzeit-</w:t>
            </w:r>
            <w:r w:rsidRPr="00E73F6F">
              <w:rPr>
                <w:lang w:val="de-DE"/>
              </w:rPr>
              <w:br/>
              <w:t>orientierung</w:t>
            </w:r>
          </w:p>
          <w:p w14:paraId="6A9DB8E9" w14:textId="77777777" w:rsidR="00FF7799" w:rsidRPr="00E73F6F" w:rsidRDefault="00FF7799" w:rsidP="004D2B16">
            <w:pPr>
              <w:pStyle w:val="StandardText"/>
              <w:jc w:val="left"/>
              <w:rPr>
                <w:lang w:val="de-DE"/>
              </w:rPr>
            </w:pPr>
            <w:r w:rsidRPr="00E73F6F">
              <w:rPr>
                <w:spacing w:val="-5"/>
                <w:lang w:val="de-DE"/>
              </w:rPr>
              <w:t>vs.</w:t>
            </w:r>
            <w:r w:rsidRPr="00E73F6F">
              <w:rPr>
                <w:lang w:val="de-DE"/>
              </w:rPr>
              <w:t xml:space="preserve"> </w:t>
            </w:r>
          </w:p>
          <w:p w14:paraId="3FCBB7E8" w14:textId="77777777" w:rsidR="00FF7799" w:rsidRPr="00E73F6F" w:rsidRDefault="00FF7799" w:rsidP="004D2B16">
            <w:pPr>
              <w:pStyle w:val="StandardText"/>
              <w:jc w:val="left"/>
              <w:rPr>
                <w:lang w:val="de-DE"/>
              </w:rPr>
            </w:pPr>
            <w:r w:rsidRPr="00E73F6F">
              <w:rPr>
                <w:lang w:val="de-DE"/>
              </w:rPr>
              <w:t>Kurzzeit-</w:t>
            </w:r>
            <w:r w:rsidRPr="00E73F6F">
              <w:rPr>
                <w:lang w:val="de-DE"/>
              </w:rPr>
              <w:br/>
              <w:t>orientierung</w:t>
            </w:r>
          </w:p>
        </w:tc>
        <w:tc>
          <w:tcPr>
            <w:tcW w:w="1016" w:type="pct"/>
            <w:tcBorders>
              <w:left w:val="nil"/>
              <w:right w:val="nil"/>
            </w:tcBorders>
            <w:shd w:val="clear" w:color="auto" w:fill="FFF2CC" w:themeFill="accent4" w:themeFillTint="33"/>
          </w:tcPr>
          <w:p w14:paraId="055B2364" w14:textId="77777777" w:rsidR="00FF7799" w:rsidRPr="00E73F6F" w:rsidRDefault="00FF7799" w:rsidP="004D2B16">
            <w:pPr>
              <w:pStyle w:val="StandardText"/>
              <w:jc w:val="left"/>
              <w:rPr>
                <w:lang w:val="de-DE"/>
              </w:rPr>
            </w:pPr>
            <w:r w:rsidRPr="00E73F6F">
              <w:rPr>
                <w:lang w:val="de-DE"/>
              </w:rPr>
              <w:t>Future</w:t>
            </w:r>
            <w:r w:rsidRPr="00E73F6F">
              <w:rPr>
                <w:spacing w:val="-6"/>
                <w:lang w:val="de-DE"/>
              </w:rPr>
              <w:br/>
            </w:r>
            <w:r w:rsidRPr="00E73F6F">
              <w:rPr>
                <w:lang w:val="de-DE"/>
              </w:rPr>
              <w:t>Orientation</w:t>
            </w:r>
          </w:p>
        </w:tc>
        <w:tc>
          <w:tcPr>
            <w:tcW w:w="2890" w:type="pct"/>
            <w:tcBorders>
              <w:left w:val="nil"/>
              <w:right w:val="nil"/>
            </w:tcBorders>
          </w:tcPr>
          <w:p w14:paraId="14695A38" w14:textId="77777777" w:rsidR="00FF7799" w:rsidRPr="00E73F6F" w:rsidRDefault="00FF7799" w:rsidP="004D2B16">
            <w:pPr>
              <w:pStyle w:val="StandardText"/>
              <w:jc w:val="left"/>
              <w:rPr>
                <w:lang w:val="de-DE"/>
              </w:rPr>
            </w:pPr>
            <w:r w:rsidRPr="00E73F6F">
              <w:rPr>
                <w:lang w:val="de-DE"/>
              </w:rPr>
              <w:t>Misst den Grad der zukunftsorientierten</w:t>
            </w:r>
            <w:r w:rsidRPr="00E73F6F">
              <w:rPr>
                <w:spacing w:val="40"/>
                <w:lang w:val="de-DE"/>
              </w:rPr>
              <w:t xml:space="preserve"> </w:t>
            </w:r>
            <w:r w:rsidRPr="00E73F6F">
              <w:rPr>
                <w:lang w:val="de-DE"/>
              </w:rPr>
              <w:t>Handlungen und Verhaltensweisen in einer</w:t>
            </w:r>
            <w:r w:rsidRPr="00E73F6F">
              <w:rPr>
                <w:spacing w:val="40"/>
                <w:lang w:val="de-DE"/>
              </w:rPr>
              <w:t xml:space="preserve"> </w:t>
            </w:r>
            <w:r w:rsidRPr="00E73F6F">
              <w:rPr>
                <w:lang w:val="de-DE"/>
              </w:rPr>
              <w:t>Gesellschaft</w:t>
            </w:r>
            <w:r w:rsidRPr="00E73F6F">
              <w:rPr>
                <w:spacing w:val="74"/>
                <w:lang w:val="de-DE"/>
              </w:rPr>
              <w:t xml:space="preserve"> </w:t>
            </w:r>
            <w:r w:rsidRPr="00E73F6F">
              <w:rPr>
                <w:lang w:val="de-DE"/>
              </w:rPr>
              <w:t>(z.B.</w:t>
            </w:r>
            <w:r w:rsidRPr="00E73F6F">
              <w:rPr>
                <w:spacing w:val="76"/>
                <w:lang w:val="de-DE"/>
              </w:rPr>
              <w:t xml:space="preserve"> </w:t>
            </w:r>
            <w:r w:rsidRPr="00E73F6F">
              <w:rPr>
                <w:lang w:val="de-DE"/>
              </w:rPr>
              <w:t>Belohnung</w:t>
            </w:r>
            <w:r w:rsidRPr="00E73F6F">
              <w:rPr>
                <w:spacing w:val="75"/>
                <w:lang w:val="de-DE"/>
              </w:rPr>
              <w:t xml:space="preserve"> </w:t>
            </w:r>
            <w:r w:rsidRPr="00E73F6F">
              <w:rPr>
                <w:lang w:val="de-DE"/>
              </w:rPr>
              <w:t>aufschieben,</w:t>
            </w:r>
            <w:r w:rsidRPr="00E73F6F">
              <w:rPr>
                <w:spacing w:val="76"/>
                <w:lang w:val="de-DE"/>
              </w:rPr>
              <w:t xml:space="preserve"> </w:t>
            </w:r>
            <w:r w:rsidRPr="00E73F6F">
              <w:rPr>
                <w:spacing w:val="-5"/>
                <w:lang w:val="de-DE"/>
              </w:rPr>
              <w:t>im</w:t>
            </w:r>
            <w:r w:rsidRPr="00E73F6F">
              <w:rPr>
                <w:lang w:val="de-DE"/>
              </w:rPr>
              <w:t>Voraus</w:t>
            </w:r>
            <w:r w:rsidRPr="00E73F6F">
              <w:rPr>
                <w:spacing w:val="-5"/>
                <w:lang w:val="de-DE"/>
              </w:rPr>
              <w:t xml:space="preserve"> </w:t>
            </w:r>
            <w:r w:rsidRPr="00E73F6F">
              <w:rPr>
                <w:lang w:val="de-DE"/>
              </w:rPr>
              <w:t>planen)</w:t>
            </w:r>
          </w:p>
        </w:tc>
      </w:tr>
      <w:tr w:rsidR="00FF7799" w:rsidRPr="00E73F6F" w14:paraId="5557816F" w14:textId="77777777" w:rsidTr="000709F3">
        <w:trPr>
          <w:trHeight w:val="481"/>
        </w:trPr>
        <w:tc>
          <w:tcPr>
            <w:tcW w:w="1094" w:type="pct"/>
            <w:vMerge/>
            <w:tcBorders>
              <w:left w:val="nil"/>
              <w:right w:val="nil"/>
            </w:tcBorders>
            <w:shd w:val="clear" w:color="auto" w:fill="FFF2CC" w:themeFill="accent4" w:themeFillTint="33"/>
          </w:tcPr>
          <w:p w14:paraId="08F8DCFD" w14:textId="77777777" w:rsidR="00FF7799" w:rsidRPr="00E73F6F" w:rsidRDefault="00FF7799" w:rsidP="004D2B16">
            <w:pPr>
              <w:pStyle w:val="StandardText"/>
              <w:jc w:val="left"/>
              <w:rPr>
                <w:lang w:val="de-DE"/>
              </w:rPr>
            </w:pPr>
          </w:p>
        </w:tc>
        <w:tc>
          <w:tcPr>
            <w:tcW w:w="1016" w:type="pct"/>
            <w:tcBorders>
              <w:left w:val="nil"/>
              <w:right w:val="nil"/>
            </w:tcBorders>
            <w:shd w:val="clear" w:color="auto" w:fill="FFF2CC" w:themeFill="accent4" w:themeFillTint="33"/>
          </w:tcPr>
          <w:p w14:paraId="4E428B8F" w14:textId="77777777" w:rsidR="00FF7799" w:rsidRPr="00E73F6F" w:rsidRDefault="00FF7799" w:rsidP="004D2B16">
            <w:pPr>
              <w:pStyle w:val="StandardText"/>
              <w:jc w:val="left"/>
              <w:rPr>
                <w:lang w:val="de-DE"/>
              </w:rPr>
            </w:pPr>
            <w:r w:rsidRPr="00E73F6F">
              <w:rPr>
                <w:lang w:val="de-DE"/>
              </w:rPr>
              <w:t>Performance</w:t>
            </w:r>
          </w:p>
        </w:tc>
        <w:tc>
          <w:tcPr>
            <w:tcW w:w="2890" w:type="pct"/>
            <w:tcBorders>
              <w:left w:val="nil"/>
              <w:right w:val="nil"/>
            </w:tcBorders>
          </w:tcPr>
          <w:p w14:paraId="69F0C8E2" w14:textId="77777777" w:rsidR="00FF7799" w:rsidRPr="00E73F6F" w:rsidRDefault="00FF7799" w:rsidP="004D2B16">
            <w:pPr>
              <w:pStyle w:val="StandardText"/>
              <w:jc w:val="left"/>
              <w:rPr>
                <w:lang w:val="de-DE"/>
              </w:rPr>
            </w:pPr>
            <w:r w:rsidRPr="00E73F6F">
              <w:rPr>
                <w:lang w:val="de-DE"/>
              </w:rPr>
              <w:t>Reflektiert</w:t>
            </w:r>
            <w:r w:rsidRPr="00E73F6F">
              <w:rPr>
                <w:spacing w:val="-8"/>
                <w:lang w:val="de-DE"/>
              </w:rPr>
              <w:t xml:space="preserve"> </w:t>
            </w:r>
            <w:r w:rsidRPr="00E73F6F">
              <w:rPr>
                <w:lang w:val="de-DE"/>
              </w:rPr>
              <w:t>die</w:t>
            </w:r>
            <w:r w:rsidRPr="00E73F6F">
              <w:rPr>
                <w:spacing w:val="-7"/>
                <w:lang w:val="de-DE"/>
              </w:rPr>
              <w:t xml:space="preserve"> </w:t>
            </w:r>
            <w:r w:rsidRPr="00E73F6F">
              <w:rPr>
                <w:lang w:val="de-DE"/>
              </w:rPr>
              <w:t>Bedeutung</w:t>
            </w:r>
            <w:r w:rsidRPr="00E73F6F">
              <w:rPr>
                <w:spacing w:val="-8"/>
                <w:lang w:val="de-DE"/>
              </w:rPr>
              <w:t xml:space="preserve"> </w:t>
            </w:r>
            <w:r w:rsidRPr="00E73F6F">
              <w:rPr>
                <w:lang w:val="de-DE"/>
              </w:rPr>
              <w:t>besonderer</w:t>
            </w:r>
            <w:r w:rsidRPr="00E73F6F">
              <w:rPr>
                <w:spacing w:val="-8"/>
                <w:lang w:val="de-DE"/>
              </w:rPr>
              <w:t xml:space="preserve"> </w:t>
            </w:r>
            <w:r w:rsidRPr="00E73F6F">
              <w:rPr>
                <w:lang w:val="de-DE"/>
              </w:rPr>
              <w:t>Leistungen</w:t>
            </w:r>
            <w:r w:rsidRPr="00E73F6F">
              <w:rPr>
                <w:spacing w:val="-8"/>
                <w:lang w:val="de-DE"/>
              </w:rPr>
              <w:t xml:space="preserve"> </w:t>
            </w:r>
            <w:r w:rsidRPr="00E73F6F">
              <w:rPr>
                <w:lang w:val="de-DE"/>
              </w:rPr>
              <w:t>in</w:t>
            </w:r>
            <w:r w:rsidRPr="00E73F6F">
              <w:rPr>
                <w:spacing w:val="40"/>
                <w:lang w:val="de-DE"/>
              </w:rPr>
              <w:t xml:space="preserve"> </w:t>
            </w:r>
            <w:r w:rsidRPr="00E73F6F">
              <w:rPr>
                <w:lang w:val="de-DE"/>
              </w:rPr>
              <w:t>einer</w:t>
            </w:r>
            <w:r w:rsidRPr="00E73F6F">
              <w:rPr>
                <w:spacing w:val="-5"/>
                <w:lang w:val="de-DE"/>
              </w:rPr>
              <w:t xml:space="preserve"> </w:t>
            </w:r>
            <w:r w:rsidRPr="00E73F6F">
              <w:rPr>
                <w:lang w:val="de-DE"/>
              </w:rPr>
              <w:t>Gesellschaft</w:t>
            </w:r>
            <w:r w:rsidRPr="00E73F6F">
              <w:rPr>
                <w:spacing w:val="-4"/>
                <w:lang w:val="de-DE"/>
              </w:rPr>
              <w:t xml:space="preserve"> </w:t>
            </w:r>
            <w:r w:rsidRPr="00E73F6F">
              <w:rPr>
                <w:lang w:val="de-DE"/>
              </w:rPr>
              <w:t>sowie</w:t>
            </w:r>
            <w:r w:rsidRPr="00E73F6F">
              <w:rPr>
                <w:spacing w:val="-4"/>
                <w:lang w:val="de-DE"/>
              </w:rPr>
              <w:t xml:space="preserve"> </w:t>
            </w:r>
            <w:r w:rsidRPr="00E73F6F">
              <w:rPr>
                <w:lang w:val="de-DE"/>
              </w:rPr>
              <w:t>die</w:t>
            </w:r>
            <w:r w:rsidRPr="00E73F6F">
              <w:rPr>
                <w:spacing w:val="-4"/>
                <w:lang w:val="de-DE"/>
              </w:rPr>
              <w:t xml:space="preserve"> </w:t>
            </w:r>
            <w:r w:rsidRPr="00E73F6F">
              <w:rPr>
                <w:lang w:val="de-DE"/>
              </w:rPr>
              <w:t>Bereitschaft,</w:t>
            </w:r>
            <w:r w:rsidRPr="00E73F6F">
              <w:rPr>
                <w:spacing w:val="-4"/>
                <w:lang w:val="de-DE"/>
              </w:rPr>
              <w:t xml:space="preserve"> </w:t>
            </w:r>
            <w:r w:rsidRPr="00E73F6F">
              <w:rPr>
                <w:lang w:val="de-DE"/>
              </w:rPr>
              <w:t>diesen</w:t>
            </w:r>
            <w:r w:rsidRPr="00E73F6F">
              <w:rPr>
                <w:spacing w:val="-4"/>
                <w:lang w:val="de-DE"/>
              </w:rPr>
              <w:t xml:space="preserve"> </w:t>
            </w:r>
            <w:r w:rsidRPr="00E73F6F">
              <w:rPr>
                <w:lang w:val="de-DE"/>
              </w:rPr>
              <w:t>zu</w:t>
            </w:r>
            <w:r w:rsidRPr="00E73F6F">
              <w:rPr>
                <w:spacing w:val="40"/>
                <w:lang w:val="de-DE"/>
              </w:rPr>
              <w:t xml:space="preserve"> </w:t>
            </w:r>
            <w:r w:rsidRPr="00E73F6F">
              <w:rPr>
                <w:lang w:val="de-DE"/>
              </w:rPr>
              <w:t>fördern und zu honorieren</w:t>
            </w:r>
          </w:p>
        </w:tc>
      </w:tr>
      <w:tr w:rsidR="00FF7799" w:rsidRPr="00E73F6F" w14:paraId="15BBA765" w14:textId="77777777" w:rsidTr="000709F3">
        <w:trPr>
          <w:trHeight w:val="481"/>
        </w:trPr>
        <w:tc>
          <w:tcPr>
            <w:tcW w:w="1094" w:type="pct"/>
            <w:tcBorders>
              <w:left w:val="nil"/>
              <w:bottom w:val="single" w:sz="4" w:space="0" w:color="000000"/>
              <w:right w:val="nil"/>
            </w:tcBorders>
            <w:shd w:val="clear" w:color="auto" w:fill="FFF2CC" w:themeFill="accent4" w:themeFillTint="33"/>
          </w:tcPr>
          <w:p w14:paraId="190D586B" w14:textId="77777777" w:rsidR="00FF7799" w:rsidRPr="00E73F6F" w:rsidRDefault="00FF7799" w:rsidP="004D2B16">
            <w:pPr>
              <w:pStyle w:val="StandardText"/>
              <w:jc w:val="left"/>
              <w:rPr>
                <w:lang w:val="de-DE"/>
              </w:rPr>
            </w:pPr>
          </w:p>
        </w:tc>
        <w:tc>
          <w:tcPr>
            <w:tcW w:w="1016" w:type="pct"/>
            <w:tcBorders>
              <w:left w:val="nil"/>
              <w:bottom w:val="single" w:sz="4" w:space="0" w:color="000000"/>
              <w:right w:val="nil"/>
            </w:tcBorders>
            <w:shd w:val="clear" w:color="auto" w:fill="FFF2CC" w:themeFill="accent4" w:themeFillTint="33"/>
          </w:tcPr>
          <w:p w14:paraId="3005B339" w14:textId="77777777" w:rsidR="00FF7799" w:rsidRPr="00E73F6F" w:rsidRDefault="00FF7799" w:rsidP="004D2B16">
            <w:pPr>
              <w:pStyle w:val="StandardText"/>
              <w:jc w:val="left"/>
              <w:rPr>
                <w:lang w:val="de-DE"/>
              </w:rPr>
            </w:pPr>
            <w:r w:rsidRPr="00E73F6F">
              <w:rPr>
                <w:lang w:val="de-DE"/>
              </w:rPr>
              <w:t>Humane</w:t>
            </w:r>
            <w:r w:rsidRPr="00E73F6F">
              <w:rPr>
                <w:spacing w:val="-4"/>
                <w:lang w:val="de-DE"/>
              </w:rPr>
              <w:br/>
            </w:r>
            <w:r w:rsidRPr="00E73F6F">
              <w:rPr>
                <w:lang w:val="de-DE"/>
              </w:rPr>
              <w:t>Orientation</w:t>
            </w:r>
          </w:p>
        </w:tc>
        <w:tc>
          <w:tcPr>
            <w:tcW w:w="2890" w:type="pct"/>
            <w:tcBorders>
              <w:left w:val="nil"/>
              <w:bottom w:val="single" w:sz="4" w:space="0" w:color="000000"/>
              <w:right w:val="nil"/>
            </w:tcBorders>
          </w:tcPr>
          <w:p w14:paraId="65B96DF1" w14:textId="77777777" w:rsidR="00FF7799" w:rsidRPr="00E73F6F" w:rsidRDefault="00FF7799" w:rsidP="004D2B16">
            <w:pPr>
              <w:pStyle w:val="StandardText"/>
              <w:jc w:val="left"/>
              <w:rPr>
                <w:lang w:val="de-DE"/>
              </w:rPr>
            </w:pPr>
            <w:r w:rsidRPr="00E73F6F">
              <w:rPr>
                <w:lang w:val="de-DE"/>
              </w:rPr>
              <w:t>Bemisst</w:t>
            </w:r>
            <w:r w:rsidRPr="00E73F6F">
              <w:rPr>
                <w:spacing w:val="-3"/>
                <w:lang w:val="de-DE"/>
              </w:rPr>
              <w:t xml:space="preserve"> </w:t>
            </w:r>
            <w:r w:rsidRPr="00E73F6F">
              <w:rPr>
                <w:lang w:val="de-DE"/>
              </w:rPr>
              <w:t>das</w:t>
            </w:r>
            <w:r w:rsidRPr="00E73F6F">
              <w:rPr>
                <w:spacing w:val="-5"/>
                <w:lang w:val="de-DE"/>
              </w:rPr>
              <w:t xml:space="preserve"> </w:t>
            </w:r>
            <w:r w:rsidRPr="00E73F6F">
              <w:rPr>
                <w:lang w:val="de-DE"/>
              </w:rPr>
              <w:t>Ausmaß,</w:t>
            </w:r>
            <w:r w:rsidRPr="00E73F6F">
              <w:rPr>
                <w:spacing w:val="-4"/>
                <w:lang w:val="de-DE"/>
              </w:rPr>
              <w:t xml:space="preserve"> </w:t>
            </w:r>
            <w:r w:rsidRPr="00E73F6F">
              <w:rPr>
                <w:lang w:val="de-DE"/>
              </w:rPr>
              <w:t>bis</w:t>
            </w:r>
            <w:r w:rsidRPr="00E73F6F">
              <w:rPr>
                <w:spacing w:val="-5"/>
                <w:lang w:val="de-DE"/>
              </w:rPr>
              <w:t xml:space="preserve"> </w:t>
            </w:r>
            <w:r w:rsidRPr="00E73F6F">
              <w:rPr>
                <w:lang w:val="de-DE"/>
              </w:rPr>
              <w:t>zu</w:t>
            </w:r>
            <w:r w:rsidRPr="00E73F6F">
              <w:rPr>
                <w:spacing w:val="-3"/>
                <w:lang w:val="de-DE"/>
              </w:rPr>
              <w:t xml:space="preserve"> </w:t>
            </w:r>
            <w:r w:rsidRPr="00E73F6F">
              <w:rPr>
                <w:lang w:val="de-DE"/>
              </w:rPr>
              <w:t>welchem</w:t>
            </w:r>
            <w:r w:rsidRPr="00E73F6F">
              <w:rPr>
                <w:spacing w:val="-6"/>
                <w:lang w:val="de-DE"/>
              </w:rPr>
              <w:t xml:space="preserve"> </w:t>
            </w:r>
            <w:r w:rsidRPr="00E73F6F">
              <w:rPr>
                <w:lang w:val="de-DE"/>
              </w:rPr>
              <w:t>ein</w:t>
            </w:r>
            <w:r w:rsidRPr="00E73F6F">
              <w:rPr>
                <w:spacing w:val="-6"/>
                <w:lang w:val="de-DE"/>
              </w:rPr>
              <w:t xml:space="preserve"> </w:t>
            </w:r>
            <w:r w:rsidRPr="00E73F6F">
              <w:rPr>
                <w:lang w:val="de-DE"/>
              </w:rPr>
              <w:t>Kollektiv</w:t>
            </w:r>
            <w:r w:rsidRPr="00E73F6F">
              <w:rPr>
                <w:spacing w:val="40"/>
                <w:lang w:val="de-DE"/>
              </w:rPr>
              <w:t xml:space="preserve"> </w:t>
            </w:r>
            <w:r w:rsidRPr="00E73F6F">
              <w:rPr>
                <w:lang w:val="de-DE"/>
              </w:rPr>
              <w:t>seine Mitglieder zu fairem, altruistischem,</w:t>
            </w:r>
            <w:r w:rsidRPr="00E73F6F">
              <w:rPr>
                <w:spacing w:val="40"/>
                <w:lang w:val="de-DE"/>
              </w:rPr>
              <w:t xml:space="preserve"> </w:t>
            </w:r>
            <w:r w:rsidRPr="00E73F6F">
              <w:rPr>
                <w:lang w:val="de-DE"/>
              </w:rPr>
              <w:t>generösem sowie auch zuvorkommendem</w:t>
            </w:r>
            <w:r w:rsidRPr="00E73F6F">
              <w:rPr>
                <w:spacing w:val="40"/>
                <w:lang w:val="de-DE"/>
              </w:rPr>
              <w:t xml:space="preserve"> </w:t>
            </w:r>
            <w:r w:rsidRPr="00E73F6F">
              <w:rPr>
                <w:lang w:val="de-DE"/>
              </w:rPr>
              <w:t>Verhalten ermutigt und dieses belohnt.</w:t>
            </w:r>
          </w:p>
        </w:tc>
      </w:tr>
    </w:tbl>
    <w:p w14:paraId="5B11964C" w14:textId="77777777" w:rsidR="00FF7799" w:rsidRPr="007F2875" w:rsidRDefault="00FF7799" w:rsidP="004D2B16">
      <w:pPr>
        <w:pStyle w:val="Quellen"/>
        <w:rPr>
          <w:lang w:val="en-US"/>
        </w:rPr>
      </w:pPr>
      <w:r w:rsidRPr="007F2875">
        <w:rPr>
          <w:lang w:val="en-US"/>
        </w:rPr>
        <w:t>Quelle:</w:t>
      </w:r>
      <w:r w:rsidRPr="007F2875">
        <w:rPr>
          <w:spacing w:val="-5"/>
          <w:lang w:val="en-US"/>
        </w:rPr>
        <w:t xml:space="preserve"> </w:t>
      </w:r>
      <w:r w:rsidRPr="007F2875">
        <w:rPr>
          <w:lang w:val="en-US"/>
        </w:rPr>
        <w:t>Schlaile</w:t>
      </w:r>
      <w:r w:rsidRPr="007F2875">
        <w:rPr>
          <w:spacing w:val="-7"/>
          <w:lang w:val="en-US"/>
        </w:rPr>
        <w:t xml:space="preserve"> </w:t>
      </w:r>
      <w:r w:rsidRPr="007F2875">
        <w:rPr>
          <w:lang w:val="en-US"/>
        </w:rPr>
        <w:t>(2010,</w:t>
      </w:r>
      <w:r w:rsidRPr="007F2875">
        <w:rPr>
          <w:spacing w:val="-5"/>
          <w:lang w:val="en-US"/>
        </w:rPr>
        <w:t xml:space="preserve"> </w:t>
      </w:r>
      <w:r w:rsidRPr="007F2875">
        <w:rPr>
          <w:spacing w:val="-2"/>
          <w:lang w:val="en-US"/>
        </w:rPr>
        <w:t>S.10).</w:t>
      </w:r>
    </w:p>
    <w:p w14:paraId="4CBFBBD3" w14:textId="77777777" w:rsidR="00FF7799" w:rsidRPr="007F2875" w:rsidRDefault="00FF7799" w:rsidP="00862DBA">
      <w:pPr>
        <w:spacing w:before="90"/>
        <w:jc w:val="both"/>
        <w:rPr>
          <w:b/>
          <w:sz w:val="24"/>
          <w:szCs w:val="24"/>
          <w:lang w:val="en-US"/>
        </w:rPr>
      </w:pPr>
    </w:p>
    <w:p w14:paraId="72955BCD" w14:textId="77777777" w:rsidR="00FF7799" w:rsidRPr="007F2875" w:rsidRDefault="00FF7799" w:rsidP="007B345D">
      <w:pPr>
        <w:pStyle w:val="Erlaeuterung"/>
        <w:rPr>
          <w:bCs w:val="0"/>
          <w:sz w:val="22"/>
          <w:szCs w:val="22"/>
        </w:rPr>
      </w:pPr>
      <w:r w:rsidRPr="00126243">
        <w:rPr>
          <w:b/>
          <w:i/>
          <w:sz w:val="22"/>
          <w:szCs w:val="22"/>
          <w:lang w:val="en-US"/>
        </w:rPr>
        <w:t>Literatur:</w:t>
      </w:r>
      <w:r w:rsidRPr="00126243">
        <w:rPr>
          <w:b/>
          <w:i/>
          <w:spacing w:val="-10"/>
          <w:sz w:val="22"/>
          <w:szCs w:val="22"/>
          <w:lang w:val="en-US"/>
        </w:rPr>
        <w:t xml:space="preserve"> </w:t>
      </w:r>
      <w:r w:rsidR="00126243" w:rsidRPr="00126243">
        <w:rPr>
          <w:bCs w:val="0"/>
          <w:sz w:val="22"/>
          <w:szCs w:val="22"/>
          <w:lang w:val="en-US"/>
        </w:rPr>
        <w:t xml:space="preserve">Hofstede, G. </w:t>
      </w:r>
      <w:r w:rsidR="00126243">
        <w:rPr>
          <w:bCs w:val="0"/>
          <w:sz w:val="22"/>
          <w:szCs w:val="22"/>
          <w:lang w:val="en-US"/>
        </w:rPr>
        <w:t>(1991)</w:t>
      </w:r>
      <w:r w:rsidR="00126243" w:rsidRPr="00126243">
        <w:rPr>
          <w:bCs w:val="0"/>
          <w:sz w:val="22"/>
          <w:szCs w:val="22"/>
          <w:lang w:val="en-US"/>
        </w:rPr>
        <w:t xml:space="preserve">: Cultures and Organizations. Software of the Mind, Berkshire. </w:t>
      </w:r>
      <w:r w:rsidR="007B345D">
        <w:rPr>
          <w:bCs w:val="0"/>
          <w:sz w:val="22"/>
          <w:szCs w:val="22"/>
          <w:lang w:val="en-US"/>
        </w:rPr>
        <w:t xml:space="preserve">  </w:t>
      </w:r>
      <w:r w:rsidR="00126243" w:rsidRPr="00126243">
        <w:rPr>
          <w:bCs w:val="0"/>
          <w:sz w:val="22"/>
          <w:szCs w:val="22"/>
          <w:lang w:val="en-US"/>
        </w:rPr>
        <w:t>Hofstede, G.; Bond, M.H.</w:t>
      </w:r>
      <w:r w:rsidR="00126243">
        <w:rPr>
          <w:bCs w:val="0"/>
          <w:sz w:val="22"/>
          <w:szCs w:val="22"/>
          <w:lang w:val="en-US"/>
        </w:rPr>
        <w:t xml:space="preserve"> (1988)</w:t>
      </w:r>
      <w:r w:rsidR="00126243" w:rsidRPr="00126243">
        <w:rPr>
          <w:bCs w:val="0"/>
          <w:sz w:val="22"/>
          <w:szCs w:val="22"/>
          <w:lang w:val="en-US"/>
        </w:rPr>
        <w:t>: The Confucius Connection, i</w:t>
      </w:r>
      <w:r w:rsidR="00126243">
        <w:rPr>
          <w:bCs w:val="0"/>
          <w:sz w:val="22"/>
          <w:szCs w:val="22"/>
          <w:lang w:val="en-US"/>
        </w:rPr>
        <w:t xml:space="preserve">n: Organizational Dynamics, </w:t>
      </w:r>
      <w:r w:rsidR="007B345D">
        <w:rPr>
          <w:bCs w:val="0"/>
          <w:sz w:val="22"/>
          <w:szCs w:val="22"/>
          <w:lang w:val="en-US"/>
        </w:rPr>
        <w:t>16</w:t>
      </w:r>
      <w:r w:rsidR="00126243" w:rsidRPr="00126243">
        <w:rPr>
          <w:bCs w:val="0"/>
          <w:sz w:val="22"/>
          <w:szCs w:val="22"/>
          <w:lang w:val="en-US"/>
        </w:rPr>
        <w:t>(</w:t>
      </w:r>
      <w:r w:rsidR="00126243">
        <w:rPr>
          <w:bCs w:val="0"/>
          <w:sz w:val="22"/>
          <w:szCs w:val="22"/>
          <w:lang w:val="en-US"/>
        </w:rPr>
        <w:t xml:space="preserve">4): </w:t>
      </w:r>
      <w:r w:rsidR="007B345D">
        <w:rPr>
          <w:bCs w:val="0"/>
          <w:sz w:val="22"/>
          <w:szCs w:val="22"/>
          <w:lang w:val="en-US"/>
        </w:rPr>
        <w:t xml:space="preserve">4-21.    </w:t>
      </w:r>
      <w:r w:rsidRPr="007F2875">
        <w:rPr>
          <w:sz w:val="22"/>
          <w:szCs w:val="22"/>
        </w:rPr>
        <w:t xml:space="preserve">Schlaile, M. (2010): Global Leadership im Kontext ökonomischer Moralkulturen. </w:t>
      </w:r>
      <w:r w:rsidRPr="000709F3">
        <w:rPr>
          <w:sz w:val="22"/>
          <w:szCs w:val="22"/>
        </w:rPr>
        <w:t>Eine induktiv-komparative Analyse, Hohenheimer Working Paper zur Wirtschafts und</w:t>
      </w:r>
      <w:r w:rsidRPr="000709F3">
        <w:rPr>
          <w:spacing w:val="40"/>
          <w:sz w:val="22"/>
          <w:szCs w:val="22"/>
        </w:rPr>
        <w:t xml:space="preserve"> </w:t>
      </w:r>
      <w:r w:rsidRPr="000709F3">
        <w:rPr>
          <w:sz w:val="22"/>
          <w:szCs w:val="22"/>
        </w:rPr>
        <w:t>Unternehmensethik Nr.13, Stuttgart-Hohenheim: Universität Hohenheim.</w:t>
      </w:r>
    </w:p>
    <w:p w14:paraId="66EFB29E" w14:textId="77777777" w:rsidR="00FF7799" w:rsidRPr="00E73F6F" w:rsidRDefault="00FF7799" w:rsidP="004D2B16">
      <w:pPr>
        <w:pStyle w:val="StandardText"/>
      </w:pPr>
    </w:p>
    <w:p w14:paraId="14A44E03" w14:textId="77777777" w:rsidR="00FF7799" w:rsidRPr="00E73F6F" w:rsidRDefault="00FF7799" w:rsidP="00862DBA">
      <w:pPr>
        <w:jc w:val="both"/>
        <w:rPr>
          <w:sz w:val="24"/>
          <w:szCs w:val="24"/>
        </w:rPr>
      </w:pPr>
      <w:r w:rsidRPr="00D346BC">
        <w:rPr>
          <w:b/>
          <w:color w:val="2E74B5"/>
        </w:rPr>
        <w:t>Kulturdimensionen nach Inglehart</w:t>
      </w:r>
      <w:r w:rsidRPr="00E73F6F">
        <w:rPr>
          <w:b/>
          <w:spacing w:val="-3"/>
          <w:sz w:val="24"/>
          <w:szCs w:val="24"/>
        </w:rPr>
        <w:t xml:space="preserve"> </w:t>
      </w:r>
      <w:r w:rsidRPr="00E73F6F">
        <w:rPr>
          <w:sz w:val="24"/>
          <w:szCs w:val="24"/>
        </w:rPr>
        <w:t>→</w:t>
      </w:r>
      <w:r w:rsidRPr="00E73F6F">
        <w:rPr>
          <w:spacing w:val="-5"/>
          <w:sz w:val="24"/>
          <w:szCs w:val="24"/>
        </w:rPr>
        <w:t xml:space="preserve"> </w:t>
      </w:r>
      <w:r w:rsidRPr="00E73F6F">
        <w:rPr>
          <w:sz w:val="24"/>
          <w:szCs w:val="24"/>
        </w:rPr>
        <w:t>Postmaterialismus-</w:t>
      </w:r>
      <w:r w:rsidRPr="00E73F6F">
        <w:rPr>
          <w:spacing w:val="-2"/>
          <w:sz w:val="24"/>
          <w:szCs w:val="24"/>
        </w:rPr>
        <w:t>These</w:t>
      </w:r>
    </w:p>
    <w:p w14:paraId="7E51912B" w14:textId="77777777" w:rsidR="00FF7799" w:rsidRPr="00D346BC" w:rsidRDefault="00FF7799" w:rsidP="00D12768">
      <w:pPr>
        <w:pStyle w:val="berschrift1"/>
        <w:rPr>
          <w:bCs w:val="0"/>
          <w:color w:val="2E74B5"/>
          <w:sz w:val="22"/>
        </w:rPr>
      </w:pPr>
      <w:r w:rsidRPr="00D346BC">
        <w:rPr>
          <w:bCs w:val="0"/>
          <w:color w:val="2E74B5"/>
          <w:sz w:val="22"/>
        </w:rPr>
        <w:t>Kulturdimensionen nach Pinto</w:t>
      </w:r>
    </w:p>
    <w:p w14:paraId="1A3B14C9" w14:textId="77777777" w:rsidR="00FF7799" w:rsidRPr="00E73F6F" w:rsidRDefault="00FF7799" w:rsidP="004D2B16">
      <w:pPr>
        <w:pStyle w:val="StandardText"/>
      </w:pPr>
      <w:r w:rsidRPr="00E73F6F">
        <w:t>differenzieren fein- und grobgegliederte Kulturen. Ausgehend von grundlegenden Unterschieden in den Wertesystemen der verschiedenen Gesellschaften grenzt D. Pinto die feingegliederten (= F-Kulturen) von den grobgegliederten Kulturen ab (= G-Kulturen). Die vergleichsweise traditionell-kollektivistischen F-Kulturen beschränken den Entscheidungs- und Handlungsspielraum des Einzelnen durch detaillierte Regeln und Vorschriften. Ganz anders die eher modern- individualistischen G-Kulturen, zu denen z.B. Deutschland und die Niederlande zählen: Sie gelten als sog. Schuldgesellschaften, in denen – im Gegensatz zu den Schamgesellschaften – eher abstrakte ethische Normen gelten. G-Kulturen huldigen dem Jugendkult, differenzieren wenig zwischen den Geschlechterrollen und messen dem gemeinsamen Genuss alkoholischer Geträ</w:t>
      </w:r>
      <w:r w:rsidR="00015AD7">
        <w:t>nke große Bedeutung bei (vgl. Ta</w:t>
      </w:r>
      <w:r w:rsidRPr="00E73F6F">
        <w:t>b.</w:t>
      </w:r>
      <w:r w:rsidR="00015AD7">
        <w:t xml:space="preserve"> 1</w:t>
      </w:r>
      <w:r w:rsidRPr="00E73F6F">
        <w:t>). Mischformen des F- und des G-Kulturtypus sind die lateinamerikanischen Länder (z.B. Argentinien, Brasilien) im Besonderen und alle Einwanderungsländer im Allgemeinen.</w:t>
      </w:r>
    </w:p>
    <w:p w14:paraId="679927BA" w14:textId="77777777" w:rsidR="00FF7799" w:rsidRPr="00E73F6F" w:rsidRDefault="00FF7799" w:rsidP="004D2B16">
      <w:pPr>
        <w:pStyle w:val="StandardText"/>
      </w:pPr>
    </w:p>
    <w:p w14:paraId="7995FA0F" w14:textId="77777777" w:rsidR="00FF7799" w:rsidRPr="00E73F6F" w:rsidRDefault="00FF7799" w:rsidP="00862DBA">
      <w:pPr>
        <w:spacing w:before="11"/>
        <w:rPr>
          <w:sz w:val="24"/>
          <w:szCs w:val="24"/>
        </w:rPr>
      </w:pPr>
    </w:p>
    <w:p w14:paraId="09A71C72" w14:textId="77777777" w:rsidR="00FF7799" w:rsidRPr="00E73F6F" w:rsidRDefault="00015AD7" w:rsidP="00862DBA">
      <w:pPr>
        <w:jc w:val="center"/>
        <w:rPr>
          <w:i/>
          <w:sz w:val="24"/>
          <w:szCs w:val="24"/>
        </w:rPr>
      </w:pPr>
      <w:r>
        <w:rPr>
          <w:i/>
          <w:sz w:val="24"/>
          <w:szCs w:val="24"/>
        </w:rPr>
        <w:t xml:space="preserve">Tab. 1: </w:t>
      </w:r>
      <w:r w:rsidR="00FF7799" w:rsidRPr="00E73F6F">
        <w:rPr>
          <w:i/>
          <w:sz w:val="24"/>
          <w:szCs w:val="24"/>
        </w:rPr>
        <w:t>Kulturtypologie</w:t>
      </w:r>
      <w:r w:rsidR="00FF7799" w:rsidRPr="00E73F6F">
        <w:rPr>
          <w:i/>
          <w:spacing w:val="-4"/>
          <w:sz w:val="24"/>
          <w:szCs w:val="24"/>
        </w:rPr>
        <w:t xml:space="preserve"> </w:t>
      </w:r>
      <w:r w:rsidR="00FF7799" w:rsidRPr="00E73F6F">
        <w:rPr>
          <w:i/>
          <w:sz w:val="24"/>
          <w:szCs w:val="24"/>
        </w:rPr>
        <w:t>nach</w:t>
      </w:r>
      <w:r w:rsidR="00FF7799" w:rsidRPr="00E73F6F">
        <w:rPr>
          <w:i/>
          <w:spacing w:val="-1"/>
          <w:sz w:val="24"/>
          <w:szCs w:val="24"/>
        </w:rPr>
        <w:t xml:space="preserve"> </w:t>
      </w:r>
      <w:r w:rsidR="00FF7799" w:rsidRPr="00E73F6F">
        <w:rPr>
          <w:i/>
          <w:sz w:val="24"/>
          <w:szCs w:val="24"/>
        </w:rPr>
        <w:t>Pinto</w:t>
      </w:r>
      <w:r w:rsidR="00FF7799" w:rsidRPr="00E73F6F">
        <w:rPr>
          <w:i/>
          <w:spacing w:val="-1"/>
          <w:sz w:val="24"/>
          <w:szCs w:val="24"/>
        </w:rPr>
        <w:t xml:space="preserve"> </w:t>
      </w:r>
      <w:r w:rsidR="00FF7799" w:rsidRPr="00E73F6F">
        <w:rPr>
          <w:i/>
          <w:sz w:val="24"/>
          <w:szCs w:val="24"/>
        </w:rPr>
        <w:t xml:space="preserve">im </w:t>
      </w:r>
      <w:r w:rsidR="00FF7799" w:rsidRPr="00E73F6F">
        <w:rPr>
          <w:i/>
          <w:spacing w:val="-2"/>
          <w:sz w:val="24"/>
          <w:szCs w:val="24"/>
        </w:rPr>
        <w:t>Überblick</w:t>
      </w:r>
    </w:p>
    <w:p w14:paraId="6AFAF2CA" w14:textId="77777777" w:rsidR="00FF7799" w:rsidRPr="00E73F6F" w:rsidRDefault="00FF7799" w:rsidP="00862DBA">
      <w:pPr>
        <w:spacing w:before="6"/>
        <w:rPr>
          <w:i/>
          <w:sz w:val="24"/>
          <w:szCs w:val="24"/>
        </w:rPr>
      </w:pPr>
    </w:p>
    <w:tbl>
      <w:tblPr>
        <w:tblStyle w:val="TableNormal"/>
        <w:tblW w:w="5000" w:type="pct"/>
        <w:tblBorders>
          <w:top w:val="single" w:sz="4" w:space="0" w:color="auto"/>
          <w:bottom w:val="single" w:sz="4" w:space="0" w:color="auto"/>
          <w:insideH w:val="single" w:sz="4" w:space="0" w:color="auto"/>
        </w:tblBorders>
        <w:tblCellMar>
          <w:left w:w="57" w:type="dxa"/>
          <w:right w:w="57" w:type="dxa"/>
        </w:tblCellMar>
        <w:tblLook w:val="01E0" w:firstRow="1" w:lastRow="1" w:firstColumn="1" w:lastColumn="1" w:noHBand="0" w:noVBand="0"/>
      </w:tblPr>
      <w:tblGrid>
        <w:gridCol w:w="1698"/>
        <w:gridCol w:w="3687"/>
        <w:gridCol w:w="3687"/>
      </w:tblGrid>
      <w:tr w:rsidR="00FF7799" w:rsidRPr="00E73F6F" w14:paraId="01333E4B" w14:textId="77777777" w:rsidTr="004D2B16">
        <w:trPr>
          <w:trHeight w:val="304"/>
          <w:tblHeader/>
        </w:trPr>
        <w:tc>
          <w:tcPr>
            <w:tcW w:w="936" w:type="pct"/>
            <w:shd w:val="clear" w:color="auto" w:fill="FFC000" w:themeFill="accent4"/>
          </w:tcPr>
          <w:p w14:paraId="3841241F" w14:textId="77777777" w:rsidR="00FF7799" w:rsidRPr="00E73F6F" w:rsidRDefault="00FF7799" w:rsidP="004D2B16">
            <w:pPr>
              <w:pStyle w:val="StandardText"/>
              <w:spacing w:after="120"/>
              <w:rPr>
                <w:lang w:val="de-DE"/>
              </w:rPr>
            </w:pPr>
          </w:p>
        </w:tc>
        <w:tc>
          <w:tcPr>
            <w:tcW w:w="2032" w:type="pct"/>
            <w:shd w:val="clear" w:color="auto" w:fill="FFC000" w:themeFill="accent4"/>
          </w:tcPr>
          <w:p w14:paraId="3613931A" w14:textId="77777777" w:rsidR="00FF7799" w:rsidRPr="00E73F6F" w:rsidRDefault="00FF7799" w:rsidP="004D2B16">
            <w:pPr>
              <w:pStyle w:val="StandardText"/>
              <w:spacing w:after="120"/>
              <w:jc w:val="center"/>
              <w:rPr>
                <w:b/>
                <w:lang w:val="de-DE"/>
              </w:rPr>
            </w:pPr>
            <w:r w:rsidRPr="00E73F6F">
              <w:rPr>
                <w:b/>
                <w:spacing w:val="-2"/>
                <w:lang w:val="de-DE"/>
              </w:rPr>
              <w:t>F-Kultur</w:t>
            </w:r>
          </w:p>
        </w:tc>
        <w:tc>
          <w:tcPr>
            <w:tcW w:w="2032" w:type="pct"/>
            <w:shd w:val="clear" w:color="auto" w:fill="FFC000" w:themeFill="accent4"/>
          </w:tcPr>
          <w:p w14:paraId="27FF1E1E" w14:textId="77777777" w:rsidR="00FF7799" w:rsidRPr="00E73F6F" w:rsidRDefault="00FF7799" w:rsidP="004D2B16">
            <w:pPr>
              <w:pStyle w:val="StandardText"/>
              <w:spacing w:after="120"/>
              <w:jc w:val="center"/>
              <w:rPr>
                <w:b/>
                <w:lang w:val="de-DE"/>
              </w:rPr>
            </w:pPr>
            <w:r w:rsidRPr="00E73F6F">
              <w:rPr>
                <w:b/>
                <w:spacing w:val="-2"/>
                <w:lang w:val="de-DE"/>
              </w:rPr>
              <w:t>G-Kultur</w:t>
            </w:r>
          </w:p>
        </w:tc>
      </w:tr>
      <w:tr w:rsidR="00FF7799" w:rsidRPr="00E73F6F" w14:paraId="78C5BED5" w14:textId="77777777" w:rsidTr="004D2B16">
        <w:trPr>
          <w:trHeight w:val="570"/>
        </w:trPr>
        <w:tc>
          <w:tcPr>
            <w:tcW w:w="936" w:type="pct"/>
          </w:tcPr>
          <w:p w14:paraId="25E96B1C" w14:textId="77777777" w:rsidR="00FF7799" w:rsidRPr="00E73F6F" w:rsidRDefault="00FF7799" w:rsidP="004D2B16">
            <w:pPr>
              <w:pStyle w:val="StandardText"/>
              <w:jc w:val="left"/>
              <w:rPr>
                <w:b/>
                <w:spacing w:val="40"/>
                <w:lang w:val="de-DE"/>
              </w:rPr>
            </w:pPr>
            <w:r w:rsidRPr="00E73F6F">
              <w:rPr>
                <w:b/>
                <w:spacing w:val="-2"/>
                <w:lang w:val="de-DE"/>
              </w:rPr>
              <w:t>Individuum</w:t>
            </w:r>
            <w:r w:rsidRPr="00E73F6F">
              <w:rPr>
                <w:b/>
                <w:spacing w:val="40"/>
                <w:lang w:val="de-DE"/>
              </w:rPr>
              <w:br/>
            </w:r>
            <w:r w:rsidRPr="00E73F6F">
              <w:rPr>
                <w:b/>
                <w:lang w:val="de-DE"/>
              </w:rPr>
              <w:t>und</w:t>
            </w:r>
            <w:r w:rsidRPr="00E73F6F">
              <w:rPr>
                <w:b/>
                <w:spacing w:val="-2"/>
                <w:lang w:val="de-DE"/>
              </w:rPr>
              <w:t xml:space="preserve"> Umfeld</w:t>
            </w:r>
          </w:p>
        </w:tc>
        <w:tc>
          <w:tcPr>
            <w:tcW w:w="2032" w:type="pct"/>
          </w:tcPr>
          <w:p w14:paraId="06BEDCEE" w14:textId="77777777" w:rsidR="00FF7799" w:rsidRPr="00E73F6F" w:rsidRDefault="00FF7799" w:rsidP="004D2B16">
            <w:pPr>
              <w:pStyle w:val="StandardTextAufzhlung"/>
              <w:jc w:val="left"/>
              <w:rPr>
                <w:lang w:val="de-DE"/>
              </w:rPr>
            </w:pPr>
            <w:r w:rsidRPr="00E73F6F">
              <w:rPr>
                <w:lang w:val="de-DE"/>
              </w:rPr>
              <w:t>Gruppenzugehörigkeit</w:t>
            </w:r>
          </w:p>
          <w:p w14:paraId="632E4793" w14:textId="77777777" w:rsidR="00FF7799" w:rsidRPr="00E73F6F" w:rsidRDefault="00FF7799" w:rsidP="004D2B16">
            <w:pPr>
              <w:pStyle w:val="StandardTextAufzhlung"/>
              <w:jc w:val="left"/>
              <w:rPr>
                <w:lang w:val="de-DE"/>
              </w:rPr>
            </w:pPr>
            <w:r w:rsidRPr="00E73F6F">
              <w:rPr>
                <w:lang w:val="de-DE"/>
              </w:rPr>
              <w:t>Scham</w:t>
            </w:r>
          </w:p>
        </w:tc>
        <w:tc>
          <w:tcPr>
            <w:tcW w:w="2032" w:type="pct"/>
          </w:tcPr>
          <w:p w14:paraId="017CC1F0" w14:textId="77777777" w:rsidR="00FF7799" w:rsidRPr="00E73F6F" w:rsidRDefault="00FF7799" w:rsidP="004D2B16">
            <w:pPr>
              <w:pStyle w:val="StandardTextAufzhlung"/>
              <w:jc w:val="left"/>
              <w:rPr>
                <w:lang w:val="de-DE"/>
              </w:rPr>
            </w:pPr>
            <w:r w:rsidRPr="00E73F6F">
              <w:rPr>
                <w:lang w:val="de-DE"/>
              </w:rPr>
              <w:t>Individualität</w:t>
            </w:r>
          </w:p>
          <w:p w14:paraId="2A28C2CB" w14:textId="77777777" w:rsidR="00FF7799" w:rsidRPr="00E73F6F" w:rsidRDefault="00FF7799" w:rsidP="004D2B16">
            <w:pPr>
              <w:pStyle w:val="StandardTextAufzhlung"/>
              <w:jc w:val="left"/>
              <w:rPr>
                <w:lang w:val="de-DE"/>
              </w:rPr>
            </w:pPr>
            <w:r w:rsidRPr="00E73F6F">
              <w:rPr>
                <w:lang w:val="de-DE"/>
              </w:rPr>
              <w:t>Schuld</w:t>
            </w:r>
          </w:p>
        </w:tc>
      </w:tr>
      <w:tr w:rsidR="00FF7799" w:rsidRPr="00E73F6F" w14:paraId="0D04678F" w14:textId="77777777" w:rsidTr="005F3BAD">
        <w:trPr>
          <w:trHeight w:val="1188"/>
        </w:trPr>
        <w:tc>
          <w:tcPr>
            <w:tcW w:w="936" w:type="pct"/>
          </w:tcPr>
          <w:p w14:paraId="5536FBF5" w14:textId="77777777" w:rsidR="00FF7799" w:rsidRPr="00E73F6F" w:rsidRDefault="00FF7799" w:rsidP="004D2B16">
            <w:pPr>
              <w:pStyle w:val="StandardText"/>
              <w:jc w:val="left"/>
              <w:rPr>
                <w:b/>
                <w:lang w:val="de-DE"/>
              </w:rPr>
            </w:pPr>
            <w:r w:rsidRPr="00E73F6F">
              <w:rPr>
                <w:b/>
                <w:lang w:val="de-DE"/>
              </w:rPr>
              <w:t>Status</w:t>
            </w:r>
            <w:r w:rsidRPr="00E73F6F">
              <w:rPr>
                <w:b/>
                <w:spacing w:val="-10"/>
                <w:lang w:val="de-DE"/>
              </w:rPr>
              <w:t xml:space="preserve"> </w:t>
            </w:r>
            <w:r w:rsidRPr="00E73F6F">
              <w:rPr>
                <w:b/>
                <w:lang w:val="de-DE"/>
              </w:rPr>
              <w:t>und</w:t>
            </w:r>
            <w:r w:rsidRPr="00E73F6F">
              <w:rPr>
                <w:b/>
                <w:spacing w:val="40"/>
                <w:lang w:val="de-DE"/>
              </w:rPr>
              <w:br/>
            </w:r>
            <w:r w:rsidRPr="00E73F6F">
              <w:rPr>
                <w:b/>
                <w:spacing w:val="-2"/>
                <w:lang w:val="de-DE"/>
              </w:rPr>
              <w:t>Respekt</w:t>
            </w:r>
          </w:p>
        </w:tc>
        <w:tc>
          <w:tcPr>
            <w:tcW w:w="2032" w:type="pct"/>
          </w:tcPr>
          <w:p w14:paraId="396CD0ED" w14:textId="77777777" w:rsidR="00FF7799" w:rsidRPr="00E73F6F" w:rsidRDefault="00FF7799" w:rsidP="004D2B16">
            <w:pPr>
              <w:pStyle w:val="StandardTextAufzhlung"/>
              <w:jc w:val="left"/>
              <w:rPr>
                <w:lang w:val="de-DE"/>
              </w:rPr>
            </w:pPr>
            <w:r w:rsidRPr="00E73F6F">
              <w:rPr>
                <w:lang w:val="de-DE"/>
              </w:rPr>
              <w:t>Ehre</w:t>
            </w:r>
            <w:r w:rsidRPr="00E73F6F">
              <w:rPr>
                <w:spacing w:val="-3"/>
                <w:lang w:val="de-DE"/>
              </w:rPr>
              <w:t xml:space="preserve"> </w:t>
            </w:r>
            <w:r w:rsidRPr="00E73F6F">
              <w:rPr>
                <w:lang w:val="de-DE"/>
              </w:rPr>
              <w:t>der Familie (bzw.</w:t>
            </w:r>
            <w:r w:rsidRPr="00E73F6F">
              <w:rPr>
                <w:spacing w:val="40"/>
                <w:lang w:val="de-DE"/>
              </w:rPr>
              <w:t xml:space="preserve"> </w:t>
            </w:r>
            <w:r w:rsidRPr="00E73F6F">
              <w:rPr>
                <w:lang w:val="de-DE"/>
              </w:rPr>
              <w:t>andere</w:t>
            </w:r>
            <w:r w:rsidRPr="00E73F6F">
              <w:rPr>
                <w:spacing w:val="-10"/>
                <w:lang w:val="de-DE"/>
              </w:rPr>
              <w:t xml:space="preserve"> </w:t>
            </w:r>
            <w:r w:rsidRPr="00E73F6F">
              <w:rPr>
                <w:lang w:val="de-DE"/>
              </w:rPr>
              <w:t>soziale</w:t>
            </w:r>
            <w:r w:rsidRPr="00E73F6F">
              <w:rPr>
                <w:spacing w:val="-10"/>
                <w:lang w:val="de-DE"/>
              </w:rPr>
              <w:t xml:space="preserve"> </w:t>
            </w:r>
            <w:r w:rsidRPr="00E73F6F">
              <w:rPr>
                <w:lang w:val="de-DE"/>
              </w:rPr>
              <w:t>Gruppen</w:t>
            </w:r>
          </w:p>
          <w:p w14:paraId="1E97F5A8" w14:textId="77777777" w:rsidR="00FF7799" w:rsidRPr="00E73F6F" w:rsidRDefault="00FF7799" w:rsidP="004D2B16">
            <w:pPr>
              <w:pStyle w:val="StandardTextAufzhlung"/>
              <w:jc w:val="left"/>
              <w:rPr>
                <w:lang w:val="de-DE"/>
              </w:rPr>
            </w:pPr>
            <w:r w:rsidRPr="00E73F6F">
              <w:rPr>
                <w:lang w:val="de-DE"/>
              </w:rPr>
              <w:t>Sichtbarer</w:t>
            </w:r>
            <w:r w:rsidRPr="00E73F6F">
              <w:rPr>
                <w:spacing w:val="-10"/>
                <w:lang w:val="de-DE"/>
              </w:rPr>
              <w:t xml:space="preserve"> </w:t>
            </w:r>
            <w:r w:rsidRPr="00E73F6F">
              <w:rPr>
                <w:lang w:val="de-DE"/>
              </w:rPr>
              <w:t>Reichtum</w:t>
            </w:r>
          </w:p>
          <w:p w14:paraId="46B7F48A" w14:textId="77777777" w:rsidR="00FF7799" w:rsidRPr="00E73F6F" w:rsidRDefault="00FF7799" w:rsidP="004D2B16">
            <w:pPr>
              <w:pStyle w:val="StandardTextAufzhlung"/>
              <w:jc w:val="left"/>
              <w:rPr>
                <w:lang w:val="de-DE"/>
              </w:rPr>
            </w:pPr>
            <w:r w:rsidRPr="00E73F6F">
              <w:rPr>
                <w:lang w:val="de-DE"/>
              </w:rPr>
              <w:t>Respekt</w:t>
            </w:r>
            <w:r w:rsidRPr="00E73F6F">
              <w:rPr>
                <w:spacing w:val="-4"/>
                <w:lang w:val="de-DE"/>
              </w:rPr>
              <w:t xml:space="preserve"> </w:t>
            </w:r>
            <w:r w:rsidRPr="00E73F6F">
              <w:rPr>
                <w:lang w:val="de-DE"/>
              </w:rPr>
              <w:t>vor</w:t>
            </w:r>
            <w:r w:rsidRPr="00E73F6F">
              <w:rPr>
                <w:spacing w:val="-5"/>
                <w:lang w:val="de-DE"/>
              </w:rPr>
              <w:t xml:space="preserve"> </w:t>
            </w:r>
            <w:r w:rsidRPr="00E73F6F">
              <w:rPr>
                <w:lang w:val="de-DE"/>
              </w:rPr>
              <w:t>dem</w:t>
            </w:r>
            <w:r w:rsidRPr="00E73F6F">
              <w:rPr>
                <w:spacing w:val="-5"/>
                <w:lang w:val="de-DE"/>
              </w:rPr>
              <w:t xml:space="preserve"> </w:t>
            </w:r>
            <w:r w:rsidRPr="00E73F6F">
              <w:rPr>
                <w:lang w:val="de-DE"/>
              </w:rPr>
              <w:t>Alter</w:t>
            </w:r>
          </w:p>
        </w:tc>
        <w:tc>
          <w:tcPr>
            <w:tcW w:w="2032" w:type="pct"/>
          </w:tcPr>
          <w:p w14:paraId="1A2D290D" w14:textId="77777777" w:rsidR="00FF7799" w:rsidRPr="00E73F6F" w:rsidRDefault="00FF7799" w:rsidP="004D2B16">
            <w:pPr>
              <w:pStyle w:val="StandardTextAufzhlung"/>
              <w:jc w:val="left"/>
              <w:rPr>
                <w:lang w:val="de-DE"/>
              </w:rPr>
            </w:pPr>
            <w:r w:rsidRPr="00E73F6F">
              <w:rPr>
                <w:lang w:val="de-DE"/>
              </w:rPr>
              <w:t>Persönlicher</w:t>
            </w:r>
            <w:r w:rsidRPr="00E73F6F">
              <w:rPr>
                <w:spacing w:val="-3"/>
                <w:lang w:val="de-DE"/>
              </w:rPr>
              <w:t xml:space="preserve"> </w:t>
            </w:r>
            <w:r w:rsidRPr="00E73F6F">
              <w:rPr>
                <w:lang w:val="de-DE"/>
              </w:rPr>
              <w:t>Erfolg</w:t>
            </w:r>
            <w:r w:rsidRPr="00E73F6F">
              <w:rPr>
                <w:spacing w:val="40"/>
                <w:lang w:val="de-DE"/>
              </w:rPr>
              <w:t xml:space="preserve"> </w:t>
            </w:r>
            <w:r w:rsidRPr="00E73F6F">
              <w:rPr>
                <w:lang w:val="de-DE"/>
              </w:rPr>
              <w:t>(Leistung,</w:t>
            </w:r>
            <w:r w:rsidRPr="00E73F6F">
              <w:rPr>
                <w:spacing w:val="-6"/>
                <w:lang w:val="de-DE"/>
              </w:rPr>
              <w:t xml:space="preserve"> </w:t>
            </w:r>
            <w:r w:rsidRPr="00E73F6F">
              <w:rPr>
                <w:lang w:val="de-DE"/>
              </w:rPr>
              <w:t>Persönlichkeit)</w:t>
            </w:r>
          </w:p>
          <w:p w14:paraId="518CA62C" w14:textId="77777777" w:rsidR="00FF7799" w:rsidRPr="00E73F6F" w:rsidRDefault="00FF7799" w:rsidP="004D2B16">
            <w:pPr>
              <w:pStyle w:val="StandardTextAufzhlung"/>
              <w:jc w:val="left"/>
              <w:rPr>
                <w:lang w:val="de-DE"/>
              </w:rPr>
            </w:pPr>
            <w:r w:rsidRPr="00E73F6F">
              <w:rPr>
                <w:lang w:val="de-DE"/>
              </w:rPr>
              <w:t>Innerer</w:t>
            </w:r>
            <w:r w:rsidRPr="00E73F6F">
              <w:rPr>
                <w:spacing w:val="-6"/>
                <w:lang w:val="de-DE"/>
              </w:rPr>
              <w:t xml:space="preserve"> </w:t>
            </w:r>
            <w:r w:rsidRPr="00E73F6F">
              <w:rPr>
                <w:lang w:val="de-DE"/>
              </w:rPr>
              <w:t>Reichtum</w:t>
            </w:r>
          </w:p>
          <w:p w14:paraId="1BCFC6A5" w14:textId="77777777" w:rsidR="00FF7799" w:rsidRPr="00E73F6F" w:rsidRDefault="00FF7799" w:rsidP="004D2B16">
            <w:pPr>
              <w:pStyle w:val="StandardTextAufzhlung"/>
              <w:jc w:val="left"/>
              <w:rPr>
                <w:lang w:val="de-DE"/>
              </w:rPr>
            </w:pPr>
            <w:r w:rsidRPr="00E73F6F">
              <w:rPr>
                <w:lang w:val="de-DE"/>
              </w:rPr>
              <w:t>Idealisierung</w:t>
            </w:r>
            <w:r w:rsidRPr="00E73F6F">
              <w:rPr>
                <w:spacing w:val="-8"/>
                <w:lang w:val="de-DE"/>
              </w:rPr>
              <w:t xml:space="preserve"> </w:t>
            </w:r>
            <w:r w:rsidRPr="00E73F6F">
              <w:rPr>
                <w:lang w:val="de-DE"/>
              </w:rPr>
              <w:t>der</w:t>
            </w:r>
            <w:r w:rsidRPr="00E73F6F">
              <w:rPr>
                <w:spacing w:val="-9"/>
                <w:lang w:val="de-DE"/>
              </w:rPr>
              <w:t xml:space="preserve"> </w:t>
            </w:r>
            <w:r w:rsidRPr="00E73F6F">
              <w:rPr>
                <w:lang w:val="de-DE"/>
              </w:rPr>
              <w:t>Jugend</w:t>
            </w:r>
          </w:p>
        </w:tc>
      </w:tr>
      <w:tr w:rsidR="00FF7799" w:rsidRPr="00E73F6F" w14:paraId="24918EAA" w14:textId="77777777" w:rsidTr="004D2B16">
        <w:trPr>
          <w:trHeight w:val="937"/>
        </w:trPr>
        <w:tc>
          <w:tcPr>
            <w:tcW w:w="936" w:type="pct"/>
          </w:tcPr>
          <w:p w14:paraId="7D059497" w14:textId="77777777" w:rsidR="00FF7799" w:rsidRPr="00E73F6F" w:rsidRDefault="00FF7799" w:rsidP="004D2B16">
            <w:pPr>
              <w:pStyle w:val="StandardText"/>
              <w:jc w:val="left"/>
              <w:rPr>
                <w:b/>
                <w:lang w:val="de-DE"/>
              </w:rPr>
            </w:pPr>
            <w:r w:rsidRPr="00E73F6F">
              <w:rPr>
                <w:b/>
                <w:spacing w:val="-2"/>
                <w:lang w:val="de-DE"/>
              </w:rPr>
              <w:t>Erziehungs-</w:t>
            </w:r>
            <w:r w:rsidRPr="00E73F6F">
              <w:rPr>
                <w:b/>
                <w:spacing w:val="40"/>
                <w:lang w:val="de-DE"/>
              </w:rPr>
              <w:t xml:space="preserve"> </w:t>
            </w:r>
            <w:r w:rsidRPr="00E73F6F">
              <w:rPr>
                <w:b/>
                <w:spacing w:val="-2"/>
                <w:lang w:val="de-DE"/>
              </w:rPr>
              <w:t>ziele</w:t>
            </w:r>
          </w:p>
        </w:tc>
        <w:tc>
          <w:tcPr>
            <w:tcW w:w="2032" w:type="pct"/>
          </w:tcPr>
          <w:p w14:paraId="5A22552C" w14:textId="77777777" w:rsidR="00FF7799" w:rsidRPr="00E73F6F" w:rsidRDefault="00FF7799" w:rsidP="004D2B16">
            <w:pPr>
              <w:pStyle w:val="StandardTextAufzhlung"/>
              <w:jc w:val="left"/>
              <w:rPr>
                <w:lang w:val="de-DE"/>
              </w:rPr>
            </w:pPr>
            <w:r w:rsidRPr="00E73F6F">
              <w:rPr>
                <w:lang w:val="de-DE"/>
              </w:rPr>
              <w:t>Konditionierung</w:t>
            </w:r>
            <w:r w:rsidRPr="00E73F6F">
              <w:rPr>
                <w:spacing w:val="-3"/>
                <w:lang w:val="de-DE"/>
              </w:rPr>
              <w:t xml:space="preserve"> </w:t>
            </w:r>
            <w:r w:rsidRPr="00E73F6F">
              <w:rPr>
                <w:lang w:val="de-DE"/>
              </w:rPr>
              <w:t>der</w:t>
            </w:r>
            <w:r w:rsidRPr="00E73F6F">
              <w:rPr>
                <w:spacing w:val="40"/>
                <w:lang w:val="de-DE"/>
              </w:rPr>
              <w:t xml:space="preserve"> </w:t>
            </w:r>
            <w:r w:rsidRPr="00E73F6F">
              <w:rPr>
                <w:lang w:val="de-DE"/>
              </w:rPr>
              <w:t>Gruppenzugehörigkeit</w:t>
            </w:r>
          </w:p>
          <w:p w14:paraId="722A5D9C" w14:textId="77777777" w:rsidR="00FF7799" w:rsidRPr="00E73F6F" w:rsidRDefault="00FF7799" w:rsidP="004D2B16">
            <w:pPr>
              <w:pStyle w:val="StandardTextAufzhlung"/>
              <w:jc w:val="left"/>
              <w:rPr>
                <w:lang w:val="de-DE"/>
              </w:rPr>
            </w:pPr>
            <w:r w:rsidRPr="00E73F6F">
              <w:rPr>
                <w:lang w:val="de-DE"/>
              </w:rPr>
              <w:t>Übernahme</w:t>
            </w:r>
            <w:r w:rsidRPr="00E73F6F">
              <w:rPr>
                <w:spacing w:val="-5"/>
                <w:lang w:val="de-DE"/>
              </w:rPr>
              <w:t xml:space="preserve"> </w:t>
            </w:r>
            <w:r w:rsidRPr="00E73F6F">
              <w:rPr>
                <w:lang w:val="de-DE"/>
              </w:rPr>
              <w:t>der</w:t>
            </w:r>
            <w:r w:rsidRPr="00E73F6F">
              <w:rPr>
                <w:spacing w:val="40"/>
                <w:lang w:val="de-DE"/>
              </w:rPr>
              <w:t xml:space="preserve"> </w:t>
            </w:r>
            <w:r w:rsidRPr="00E73F6F">
              <w:rPr>
                <w:lang w:val="de-DE"/>
              </w:rPr>
              <w:t>Geschlechterrolle</w:t>
            </w:r>
          </w:p>
        </w:tc>
        <w:tc>
          <w:tcPr>
            <w:tcW w:w="2032" w:type="pct"/>
          </w:tcPr>
          <w:p w14:paraId="5E5627B3" w14:textId="77777777" w:rsidR="00FF7799" w:rsidRPr="00E73F6F" w:rsidRDefault="00FF7799" w:rsidP="004D2B16">
            <w:pPr>
              <w:pStyle w:val="StandardTextAufzhlung"/>
              <w:jc w:val="left"/>
              <w:rPr>
                <w:lang w:val="de-DE"/>
              </w:rPr>
            </w:pPr>
            <w:r w:rsidRPr="00E73F6F">
              <w:rPr>
                <w:lang w:val="de-DE"/>
              </w:rPr>
              <w:t>Entfaltung</w:t>
            </w:r>
            <w:r w:rsidRPr="00E73F6F">
              <w:rPr>
                <w:spacing w:val="-10"/>
                <w:lang w:val="de-DE"/>
              </w:rPr>
              <w:t xml:space="preserve"> </w:t>
            </w:r>
            <w:r w:rsidRPr="00E73F6F">
              <w:rPr>
                <w:lang w:val="de-DE"/>
              </w:rPr>
              <w:t>der</w:t>
            </w:r>
            <w:r w:rsidRPr="00E73F6F">
              <w:rPr>
                <w:spacing w:val="40"/>
                <w:lang w:val="de-DE"/>
              </w:rPr>
              <w:t xml:space="preserve"> </w:t>
            </w:r>
            <w:r w:rsidRPr="00E73F6F">
              <w:rPr>
                <w:lang w:val="de-DE"/>
              </w:rPr>
              <w:t>Individualität</w:t>
            </w:r>
          </w:p>
          <w:p w14:paraId="2A3DEBF3" w14:textId="77777777" w:rsidR="00FF7799" w:rsidRPr="00E73F6F" w:rsidRDefault="00FF7799" w:rsidP="004D2B16">
            <w:pPr>
              <w:pStyle w:val="StandardTextAufzhlung"/>
              <w:jc w:val="left"/>
              <w:rPr>
                <w:lang w:val="de-DE"/>
              </w:rPr>
            </w:pPr>
            <w:r w:rsidRPr="00E73F6F">
              <w:rPr>
                <w:lang w:val="de-DE"/>
              </w:rPr>
              <w:t>Allgemeine</w:t>
            </w:r>
            <w:r w:rsidRPr="00E73F6F">
              <w:rPr>
                <w:spacing w:val="-10"/>
                <w:lang w:val="de-DE"/>
              </w:rPr>
              <w:t xml:space="preserve"> </w:t>
            </w:r>
            <w:r w:rsidRPr="00E73F6F">
              <w:rPr>
                <w:lang w:val="de-DE"/>
              </w:rPr>
              <w:t>menschliche</w:t>
            </w:r>
            <w:r w:rsidRPr="00E73F6F">
              <w:rPr>
                <w:spacing w:val="40"/>
                <w:lang w:val="de-DE"/>
              </w:rPr>
              <w:t xml:space="preserve"> </w:t>
            </w:r>
            <w:r w:rsidRPr="00E73F6F">
              <w:rPr>
                <w:lang w:val="de-DE"/>
              </w:rPr>
              <w:t>Prinzipien</w:t>
            </w:r>
          </w:p>
        </w:tc>
      </w:tr>
      <w:tr w:rsidR="00FF7799" w:rsidRPr="00E73F6F" w14:paraId="78096C01" w14:textId="77777777" w:rsidTr="004D2B16">
        <w:trPr>
          <w:trHeight w:val="755"/>
        </w:trPr>
        <w:tc>
          <w:tcPr>
            <w:tcW w:w="936" w:type="pct"/>
          </w:tcPr>
          <w:p w14:paraId="7F1ACADF" w14:textId="77777777" w:rsidR="00FF7799" w:rsidRPr="00E73F6F" w:rsidRDefault="00FF7799" w:rsidP="004D2B16">
            <w:pPr>
              <w:pStyle w:val="StandardText"/>
              <w:jc w:val="left"/>
              <w:rPr>
                <w:b/>
                <w:lang w:val="de-DE"/>
              </w:rPr>
            </w:pPr>
            <w:r w:rsidRPr="00E73F6F">
              <w:rPr>
                <w:b/>
                <w:spacing w:val="-2"/>
                <w:lang w:val="de-DE"/>
              </w:rPr>
              <w:t>Verhalten</w:t>
            </w:r>
          </w:p>
        </w:tc>
        <w:tc>
          <w:tcPr>
            <w:tcW w:w="2032" w:type="pct"/>
          </w:tcPr>
          <w:p w14:paraId="41E5D947" w14:textId="77777777" w:rsidR="00FF7799" w:rsidRPr="00E73F6F" w:rsidRDefault="00FF7799" w:rsidP="004D2B16">
            <w:pPr>
              <w:pStyle w:val="StandardTextAufzhlung"/>
              <w:jc w:val="left"/>
              <w:rPr>
                <w:lang w:val="de-DE"/>
              </w:rPr>
            </w:pPr>
            <w:r w:rsidRPr="00E73F6F">
              <w:rPr>
                <w:lang w:val="de-DE"/>
              </w:rPr>
              <w:t>Esskultur</w:t>
            </w:r>
          </w:p>
          <w:p w14:paraId="29CD53D5" w14:textId="77777777" w:rsidR="00FF7799" w:rsidRPr="00E73F6F" w:rsidRDefault="00FF7799" w:rsidP="004D2B16">
            <w:pPr>
              <w:pStyle w:val="StandardTextAufzhlung"/>
              <w:jc w:val="left"/>
              <w:rPr>
                <w:lang w:val="de-DE"/>
              </w:rPr>
            </w:pPr>
            <w:r w:rsidRPr="00E73F6F">
              <w:rPr>
                <w:lang w:val="de-DE"/>
              </w:rPr>
              <w:t>Emotional</w:t>
            </w:r>
            <w:r w:rsidRPr="00E73F6F">
              <w:rPr>
                <w:spacing w:val="-3"/>
                <w:lang w:val="de-DE"/>
              </w:rPr>
              <w:t xml:space="preserve"> </w:t>
            </w:r>
            <w:r w:rsidRPr="00E73F6F">
              <w:rPr>
                <w:lang w:val="de-DE"/>
              </w:rPr>
              <w:t>und</w:t>
            </w:r>
            <w:r w:rsidRPr="00E73F6F">
              <w:rPr>
                <w:spacing w:val="40"/>
                <w:lang w:val="de-DE"/>
              </w:rPr>
              <w:t xml:space="preserve"> </w:t>
            </w:r>
            <w:r w:rsidRPr="00E73F6F">
              <w:rPr>
                <w:lang w:val="de-DE"/>
              </w:rPr>
              <w:t>beziehungsorientiert</w:t>
            </w:r>
          </w:p>
        </w:tc>
        <w:tc>
          <w:tcPr>
            <w:tcW w:w="2032" w:type="pct"/>
          </w:tcPr>
          <w:p w14:paraId="4515E074" w14:textId="77777777" w:rsidR="00FF7799" w:rsidRPr="00E73F6F" w:rsidRDefault="00FF7799" w:rsidP="004D2B16">
            <w:pPr>
              <w:pStyle w:val="StandardTextAufzhlung"/>
              <w:jc w:val="left"/>
              <w:rPr>
                <w:lang w:val="de-DE"/>
              </w:rPr>
            </w:pPr>
            <w:r w:rsidRPr="00E73F6F">
              <w:rPr>
                <w:lang w:val="de-DE"/>
              </w:rPr>
              <w:t>Trinkkultur</w:t>
            </w:r>
          </w:p>
          <w:p w14:paraId="7350A651" w14:textId="77777777" w:rsidR="00FF7799" w:rsidRPr="00E73F6F" w:rsidRDefault="00FF7799" w:rsidP="004D2B16">
            <w:pPr>
              <w:pStyle w:val="StandardTextAufzhlung"/>
              <w:jc w:val="left"/>
              <w:rPr>
                <w:lang w:val="de-DE"/>
              </w:rPr>
            </w:pPr>
            <w:r w:rsidRPr="00E73F6F">
              <w:rPr>
                <w:lang w:val="de-DE"/>
              </w:rPr>
              <w:t>Rational</w:t>
            </w:r>
            <w:r w:rsidRPr="00E73F6F">
              <w:rPr>
                <w:spacing w:val="-3"/>
                <w:lang w:val="de-DE"/>
              </w:rPr>
              <w:t xml:space="preserve"> </w:t>
            </w:r>
            <w:r w:rsidRPr="00E73F6F">
              <w:rPr>
                <w:lang w:val="de-DE"/>
              </w:rPr>
              <w:t>und</w:t>
            </w:r>
            <w:r w:rsidRPr="00E73F6F">
              <w:rPr>
                <w:spacing w:val="40"/>
                <w:lang w:val="de-DE"/>
              </w:rPr>
              <w:t xml:space="preserve"> </w:t>
            </w:r>
            <w:r w:rsidRPr="00E73F6F">
              <w:rPr>
                <w:lang w:val="de-DE"/>
              </w:rPr>
              <w:t>inhaltsorientiert</w:t>
            </w:r>
          </w:p>
        </w:tc>
      </w:tr>
      <w:tr w:rsidR="00FF7799" w:rsidRPr="00E73F6F" w14:paraId="3BB17FFF" w14:textId="77777777" w:rsidTr="004D2B16">
        <w:trPr>
          <w:trHeight w:val="825"/>
        </w:trPr>
        <w:tc>
          <w:tcPr>
            <w:tcW w:w="936" w:type="pct"/>
          </w:tcPr>
          <w:p w14:paraId="1C8168DD" w14:textId="77777777" w:rsidR="00FF7799" w:rsidRPr="00E73F6F" w:rsidRDefault="00FF7799" w:rsidP="004D2B16">
            <w:pPr>
              <w:pStyle w:val="StandardText"/>
              <w:jc w:val="left"/>
              <w:rPr>
                <w:b/>
                <w:lang w:val="de-DE"/>
              </w:rPr>
            </w:pPr>
            <w:r w:rsidRPr="00E73F6F">
              <w:rPr>
                <w:b/>
                <w:spacing w:val="-2"/>
                <w:lang w:val="de-DE"/>
              </w:rPr>
              <w:t>Gesellschafts-</w:t>
            </w:r>
            <w:r w:rsidRPr="00E73F6F">
              <w:rPr>
                <w:b/>
                <w:spacing w:val="40"/>
                <w:lang w:val="de-DE"/>
              </w:rPr>
              <w:t xml:space="preserve"> </w:t>
            </w:r>
            <w:r w:rsidRPr="00E73F6F">
              <w:rPr>
                <w:b/>
                <w:spacing w:val="-2"/>
                <w:lang w:val="de-DE"/>
              </w:rPr>
              <w:t>struktur</w:t>
            </w:r>
          </w:p>
        </w:tc>
        <w:tc>
          <w:tcPr>
            <w:tcW w:w="2032" w:type="pct"/>
          </w:tcPr>
          <w:p w14:paraId="2BA09B90" w14:textId="77777777" w:rsidR="00FF7799" w:rsidRPr="00E73F6F" w:rsidRDefault="00FF7799" w:rsidP="004D2B16">
            <w:pPr>
              <w:pStyle w:val="StandardTextAufzhlung"/>
              <w:jc w:val="left"/>
              <w:rPr>
                <w:lang w:val="de-DE"/>
              </w:rPr>
            </w:pPr>
            <w:r w:rsidRPr="00E73F6F">
              <w:rPr>
                <w:lang w:val="de-DE"/>
              </w:rPr>
              <w:t>Herkunftsbestimmt</w:t>
            </w:r>
          </w:p>
          <w:p w14:paraId="4B7C9C68" w14:textId="77777777" w:rsidR="00FF7799" w:rsidRPr="00E73F6F" w:rsidRDefault="00FF7799" w:rsidP="004D2B16">
            <w:pPr>
              <w:pStyle w:val="StandardTextAufzhlung"/>
              <w:jc w:val="left"/>
              <w:rPr>
                <w:lang w:val="de-DE"/>
              </w:rPr>
            </w:pPr>
            <w:r w:rsidRPr="00E73F6F">
              <w:rPr>
                <w:lang w:val="de-DE"/>
              </w:rPr>
              <w:t>Soziale</w:t>
            </w:r>
            <w:r w:rsidRPr="00E73F6F">
              <w:rPr>
                <w:spacing w:val="-4"/>
                <w:lang w:val="de-DE"/>
              </w:rPr>
              <w:t xml:space="preserve"> </w:t>
            </w:r>
            <w:r w:rsidRPr="00E73F6F">
              <w:rPr>
                <w:lang w:val="de-DE"/>
              </w:rPr>
              <w:t>Immobilität</w:t>
            </w:r>
          </w:p>
          <w:p w14:paraId="06892B5C" w14:textId="77777777" w:rsidR="00FF7799" w:rsidRPr="00E73F6F" w:rsidRDefault="00FF7799" w:rsidP="004D2B16">
            <w:pPr>
              <w:pStyle w:val="StandardTextAufzhlung"/>
              <w:jc w:val="left"/>
              <w:rPr>
                <w:lang w:val="de-DE"/>
              </w:rPr>
            </w:pPr>
            <w:r w:rsidRPr="00E73F6F">
              <w:rPr>
                <w:lang w:val="de-DE"/>
              </w:rPr>
              <w:t>Hierarchieorientiert</w:t>
            </w:r>
          </w:p>
        </w:tc>
        <w:tc>
          <w:tcPr>
            <w:tcW w:w="2032" w:type="pct"/>
          </w:tcPr>
          <w:p w14:paraId="57511946" w14:textId="77777777" w:rsidR="00FF7799" w:rsidRPr="00E73F6F" w:rsidRDefault="00FF7799" w:rsidP="004D2B16">
            <w:pPr>
              <w:pStyle w:val="StandardTextAufzhlung"/>
              <w:jc w:val="left"/>
              <w:rPr>
                <w:lang w:val="de-DE"/>
              </w:rPr>
            </w:pPr>
            <w:r w:rsidRPr="00E73F6F">
              <w:rPr>
                <w:lang w:val="de-DE"/>
              </w:rPr>
              <w:t>Leistungsorientiert</w:t>
            </w:r>
          </w:p>
          <w:p w14:paraId="5D437CC0" w14:textId="77777777" w:rsidR="00FF7799" w:rsidRPr="00E73F6F" w:rsidRDefault="00FF7799" w:rsidP="004D2B16">
            <w:pPr>
              <w:pStyle w:val="StandardTextAufzhlung"/>
              <w:jc w:val="left"/>
              <w:rPr>
                <w:lang w:val="de-DE"/>
              </w:rPr>
            </w:pPr>
            <w:r w:rsidRPr="00E73F6F">
              <w:rPr>
                <w:lang w:val="de-DE"/>
              </w:rPr>
              <w:t>Soziale</w:t>
            </w:r>
            <w:r w:rsidRPr="00E73F6F">
              <w:rPr>
                <w:spacing w:val="-9"/>
                <w:lang w:val="de-DE"/>
              </w:rPr>
              <w:t xml:space="preserve"> </w:t>
            </w:r>
            <w:r w:rsidRPr="00E73F6F">
              <w:rPr>
                <w:lang w:val="de-DE"/>
              </w:rPr>
              <w:t>Mobilität</w:t>
            </w:r>
          </w:p>
          <w:p w14:paraId="0115C84A" w14:textId="77777777" w:rsidR="00FF7799" w:rsidRPr="00E73F6F" w:rsidRDefault="00FF7799" w:rsidP="004D2B16">
            <w:pPr>
              <w:pStyle w:val="StandardTextAufzhlung"/>
              <w:jc w:val="left"/>
              <w:rPr>
                <w:lang w:val="de-DE"/>
              </w:rPr>
            </w:pPr>
            <w:r w:rsidRPr="00E73F6F">
              <w:rPr>
                <w:lang w:val="de-DE"/>
              </w:rPr>
              <w:t>Gleichheitsorientiert</w:t>
            </w:r>
          </w:p>
        </w:tc>
      </w:tr>
      <w:tr w:rsidR="00FF7799" w:rsidRPr="00E73F6F" w14:paraId="66D8D0E1" w14:textId="77777777" w:rsidTr="004D2B16">
        <w:trPr>
          <w:trHeight w:val="1125"/>
        </w:trPr>
        <w:tc>
          <w:tcPr>
            <w:tcW w:w="936" w:type="pct"/>
          </w:tcPr>
          <w:p w14:paraId="23882D8F" w14:textId="77777777" w:rsidR="00FF7799" w:rsidRPr="00E73F6F" w:rsidRDefault="00FF7799" w:rsidP="004D2B16">
            <w:pPr>
              <w:pStyle w:val="StandardText"/>
              <w:jc w:val="left"/>
              <w:rPr>
                <w:b/>
                <w:lang w:val="de-DE"/>
              </w:rPr>
            </w:pPr>
            <w:r w:rsidRPr="00E73F6F">
              <w:rPr>
                <w:b/>
                <w:lang w:val="de-DE"/>
              </w:rPr>
              <w:t>Natur-</w:t>
            </w:r>
            <w:r w:rsidRPr="00E73F6F">
              <w:rPr>
                <w:b/>
                <w:spacing w:val="-1"/>
                <w:lang w:val="de-DE"/>
              </w:rPr>
              <w:t xml:space="preserve"> </w:t>
            </w:r>
            <w:r w:rsidRPr="00E73F6F">
              <w:rPr>
                <w:b/>
                <w:lang w:val="de-DE"/>
              </w:rPr>
              <w:t>und</w:t>
            </w:r>
            <w:r w:rsidRPr="00E73F6F">
              <w:rPr>
                <w:b/>
                <w:spacing w:val="40"/>
                <w:lang w:val="de-DE"/>
              </w:rPr>
              <w:br/>
            </w:r>
            <w:r w:rsidRPr="00E73F6F">
              <w:rPr>
                <w:b/>
                <w:spacing w:val="-2"/>
                <w:lang w:val="de-DE"/>
              </w:rPr>
              <w:t>Umweltbezug</w:t>
            </w:r>
          </w:p>
        </w:tc>
        <w:tc>
          <w:tcPr>
            <w:tcW w:w="2032" w:type="pct"/>
          </w:tcPr>
          <w:p w14:paraId="3A4896AC" w14:textId="77777777" w:rsidR="00FF7799" w:rsidRPr="00E73F6F" w:rsidRDefault="00FF7799" w:rsidP="004D2B16">
            <w:pPr>
              <w:pStyle w:val="StandardTextAufzhlung"/>
              <w:jc w:val="left"/>
              <w:rPr>
                <w:lang w:val="de-DE"/>
              </w:rPr>
            </w:pPr>
            <w:r w:rsidRPr="00E73F6F">
              <w:rPr>
                <w:lang w:val="de-DE"/>
              </w:rPr>
              <w:t>Fatalismus</w:t>
            </w:r>
          </w:p>
          <w:p w14:paraId="0DC92884" w14:textId="77777777" w:rsidR="00FF7799" w:rsidRPr="00E73F6F" w:rsidRDefault="00FF7799" w:rsidP="004D2B16">
            <w:pPr>
              <w:pStyle w:val="StandardTextAufzhlung"/>
              <w:jc w:val="left"/>
              <w:rPr>
                <w:lang w:val="de-DE"/>
              </w:rPr>
            </w:pPr>
            <w:r w:rsidRPr="00E73F6F">
              <w:rPr>
                <w:lang w:val="de-DE"/>
              </w:rPr>
              <w:t>(Zweifel</w:t>
            </w:r>
            <w:r w:rsidRPr="00E73F6F">
              <w:rPr>
                <w:spacing w:val="-10"/>
                <w:lang w:val="de-DE"/>
              </w:rPr>
              <w:t xml:space="preserve"> </w:t>
            </w:r>
            <w:r w:rsidRPr="00E73F6F">
              <w:rPr>
                <w:lang w:val="de-DE"/>
              </w:rPr>
              <w:t>an</w:t>
            </w:r>
            <w:r w:rsidRPr="00E73F6F">
              <w:rPr>
                <w:spacing w:val="-10"/>
                <w:lang w:val="de-DE"/>
              </w:rPr>
              <w:t xml:space="preserve"> </w:t>
            </w:r>
            <w:r w:rsidRPr="00E73F6F">
              <w:rPr>
                <w:lang w:val="de-DE"/>
              </w:rPr>
              <w:t>der</w:t>
            </w:r>
            <w:r w:rsidRPr="00E73F6F">
              <w:rPr>
                <w:spacing w:val="-10"/>
                <w:lang w:val="de-DE"/>
              </w:rPr>
              <w:t xml:space="preserve"> </w:t>
            </w:r>
            <w:r w:rsidRPr="00E73F6F">
              <w:rPr>
                <w:lang w:val="de-DE"/>
              </w:rPr>
              <w:t>Beherrsch-</w:t>
            </w:r>
            <w:r w:rsidRPr="00E73F6F">
              <w:rPr>
                <w:spacing w:val="40"/>
                <w:lang w:val="de-DE"/>
              </w:rPr>
              <w:t xml:space="preserve"> </w:t>
            </w:r>
            <w:r w:rsidRPr="00E73F6F">
              <w:rPr>
                <w:lang w:val="de-DE"/>
              </w:rPr>
              <w:t>und Veränderbarkeit von</w:t>
            </w:r>
            <w:r w:rsidRPr="00E73F6F">
              <w:rPr>
                <w:spacing w:val="40"/>
                <w:lang w:val="de-DE"/>
              </w:rPr>
              <w:t xml:space="preserve"> </w:t>
            </w:r>
            <w:r w:rsidRPr="00E73F6F">
              <w:rPr>
                <w:lang w:val="de-DE"/>
              </w:rPr>
              <w:t>Ereignissen)</w:t>
            </w:r>
          </w:p>
          <w:p w14:paraId="7924163C" w14:textId="77777777" w:rsidR="00FF7799" w:rsidRPr="00E73F6F" w:rsidRDefault="00FF7799" w:rsidP="004D2B16">
            <w:pPr>
              <w:pStyle w:val="StandardTextAufzhlung"/>
              <w:jc w:val="left"/>
              <w:rPr>
                <w:lang w:val="de-DE"/>
              </w:rPr>
            </w:pPr>
            <w:r w:rsidRPr="00E73F6F">
              <w:rPr>
                <w:lang w:val="de-DE"/>
              </w:rPr>
              <w:t>Fokus</w:t>
            </w:r>
            <w:r w:rsidRPr="00E73F6F">
              <w:rPr>
                <w:spacing w:val="-4"/>
                <w:lang w:val="de-DE"/>
              </w:rPr>
              <w:t xml:space="preserve"> </w:t>
            </w:r>
            <w:r w:rsidRPr="00E73F6F">
              <w:rPr>
                <w:lang w:val="de-DE"/>
              </w:rPr>
              <w:t>auf</w:t>
            </w:r>
            <w:r w:rsidRPr="00E73F6F">
              <w:rPr>
                <w:spacing w:val="-5"/>
                <w:lang w:val="de-DE"/>
              </w:rPr>
              <w:t xml:space="preserve"> </w:t>
            </w:r>
            <w:r w:rsidRPr="00E73F6F">
              <w:rPr>
                <w:lang w:val="de-DE"/>
              </w:rPr>
              <w:t>„das</w:t>
            </w:r>
            <w:r w:rsidRPr="00E73F6F">
              <w:rPr>
                <w:spacing w:val="-1"/>
                <w:lang w:val="de-DE"/>
              </w:rPr>
              <w:t xml:space="preserve"> </w:t>
            </w:r>
            <w:r w:rsidRPr="00E73F6F">
              <w:rPr>
                <w:lang w:val="de-DE"/>
              </w:rPr>
              <w:t>Ganze“</w:t>
            </w:r>
          </w:p>
        </w:tc>
        <w:tc>
          <w:tcPr>
            <w:tcW w:w="2032" w:type="pct"/>
          </w:tcPr>
          <w:p w14:paraId="7875E42B" w14:textId="77777777" w:rsidR="00FF7799" w:rsidRPr="00E73F6F" w:rsidRDefault="00FF7799" w:rsidP="004D2B16">
            <w:pPr>
              <w:pStyle w:val="StandardTextAufzhlung"/>
              <w:jc w:val="left"/>
              <w:rPr>
                <w:lang w:val="de-DE"/>
              </w:rPr>
            </w:pPr>
            <w:r w:rsidRPr="00E73F6F">
              <w:rPr>
                <w:lang w:val="de-DE"/>
              </w:rPr>
              <w:t>Lösungsorientierung</w:t>
            </w:r>
          </w:p>
          <w:p w14:paraId="5DBF46DF" w14:textId="77777777" w:rsidR="00FF7799" w:rsidRPr="00E73F6F" w:rsidRDefault="00FF7799" w:rsidP="004D2B16">
            <w:pPr>
              <w:pStyle w:val="StandardTextAufzhlung"/>
              <w:jc w:val="left"/>
              <w:rPr>
                <w:lang w:val="de-DE"/>
              </w:rPr>
            </w:pPr>
            <w:r w:rsidRPr="00E73F6F">
              <w:rPr>
                <w:lang w:val="de-DE"/>
              </w:rPr>
              <w:t>(Glaube an die Beherrsch- und</w:t>
            </w:r>
            <w:r w:rsidRPr="00E73F6F">
              <w:rPr>
                <w:spacing w:val="40"/>
                <w:lang w:val="de-DE"/>
              </w:rPr>
              <w:t xml:space="preserve"> </w:t>
            </w:r>
            <w:r w:rsidRPr="00E73F6F">
              <w:rPr>
                <w:lang w:val="de-DE"/>
              </w:rPr>
              <w:t>Veränderbarkeit</w:t>
            </w:r>
            <w:r w:rsidRPr="00E73F6F">
              <w:rPr>
                <w:spacing w:val="-10"/>
                <w:lang w:val="de-DE"/>
              </w:rPr>
              <w:t xml:space="preserve"> </w:t>
            </w:r>
            <w:r w:rsidRPr="00E73F6F">
              <w:rPr>
                <w:lang w:val="de-DE"/>
              </w:rPr>
              <w:t>von</w:t>
            </w:r>
            <w:r w:rsidRPr="00E73F6F">
              <w:rPr>
                <w:spacing w:val="-10"/>
                <w:lang w:val="de-DE"/>
              </w:rPr>
              <w:t xml:space="preserve"> </w:t>
            </w:r>
            <w:r w:rsidRPr="00E73F6F">
              <w:rPr>
                <w:lang w:val="de-DE"/>
              </w:rPr>
              <w:t>Ereignissen)</w:t>
            </w:r>
          </w:p>
          <w:p w14:paraId="0E0EBF98" w14:textId="77777777" w:rsidR="00FF7799" w:rsidRPr="00E73F6F" w:rsidRDefault="00FF7799" w:rsidP="004D2B16">
            <w:pPr>
              <w:pStyle w:val="StandardTextAufzhlung"/>
              <w:jc w:val="left"/>
              <w:rPr>
                <w:lang w:val="de-DE"/>
              </w:rPr>
            </w:pPr>
            <w:r w:rsidRPr="00E73F6F">
              <w:rPr>
                <w:lang w:val="de-DE"/>
              </w:rPr>
              <w:t>Fokus</w:t>
            </w:r>
            <w:r w:rsidRPr="00E73F6F">
              <w:rPr>
                <w:spacing w:val="-6"/>
                <w:lang w:val="de-DE"/>
              </w:rPr>
              <w:t xml:space="preserve"> </w:t>
            </w:r>
            <w:r w:rsidRPr="00E73F6F">
              <w:rPr>
                <w:lang w:val="de-DE"/>
              </w:rPr>
              <w:t>auf</w:t>
            </w:r>
            <w:r w:rsidRPr="00E73F6F">
              <w:rPr>
                <w:spacing w:val="-7"/>
                <w:lang w:val="de-DE"/>
              </w:rPr>
              <w:t xml:space="preserve"> </w:t>
            </w:r>
            <w:r w:rsidRPr="00E73F6F">
              <w:rPr>
                <w:lang w:val="de-DE"/>
              </w:rPr>
              <w:t>die</w:t>
            </w:r>
            <w:r w:rsidRPr="00E73F6F">
              <w:rPr>
                <w:spacing w:val="-6"/>
                <w:lang w:val="de-DE"/>
              </w:rPr>
              <w:t xml:space="preserve"> </w:t>
            </w:r>
            <w:r w:rsidRPr="00E73F6F">
              <w:rPr>
                <w:lang w:val="de-DE"/>
              </w:rPr>
              <w:t>Teile</w:t>
            </w:r>
            <w:r w:rsidRPr="00E73F6F">
              <w:rPr>
                <w:spacing w:val="-6"/>
                <w:lang w:val="de-DE"/>
              </w:rPr>
              <w:t xml:space="preserve"> </w:t>
            </w:r>
            <w:r w:rsidRPr="00E73F6F">
              <w:rPr>
                <w:lang w:val="de-DE"/>
              </w:rPr>
              <w:t>des</w:t>
            </w:r>
            <w:r w:rsidRPr="00E73F6F">
              <w:rPr>
                <w:spacing w:val="-5"/>
                <w:lang w:val="de-DE"/>
              </w:rPr>
              <w:t xml:space="preserve"> </w:t>
            </w:r>
            <w:r w:rsidRPr="00E73F6F">
              <w:rPr>
                <w:lang w:val="de-DE"/>
              </w:rPr>
              <w:t>Ganzen</w:t>
            </w:r>
            <w:r w:rsidRPr="00E73F6F">
              <w:rPr>
                <w:spacing w:val="-6"/>
                <w:lang w:val="de-DE"/>
              </w:rPr>
              <w:t xml:space="preserve"> </w:t>
            </w:r>
            <w:r w:rsidRPr="00E73F6F">
              <w:rPr>
                <w:lang w:val="de-DE"/>
              </w:rPr>
              <w:t>und</w:t>
            </w:r>
            <w:r w:rsidRPr="00E73F6F">
              <w:rPr>
                <w:spacing w:val="40"/>
                <w:lang w:val="de-DE"/>
              </w:rPr>
              <w:t xml:space="preserve"> </w:t>
            </w:r>
            <w:r w:rsidRPr="00E73F6F">
              <w:rPr>
                <w:lang w:val="de-DE"/>
              </w:rPr>
              <w:t>deren</w:t>
            </w:r>
            <w:r w:rsidRPr="00E73F6F">
              <w:rPr>
                <w:spacing w:val="-3"/>
                <w:lang w:val="de-DE"/>
              </w:rPr>
              <w:t xml:space="preserve"> </w:t>
            </w:r>
            <w:r w:rsidRPr="00E73F6F">
              <w:rPr>
                <w:lang w:val="de-DE"/>
              </w:rPr>
              <w:t>Zusammenwirken</w:t>
            </w:r>
          </w:p>
        </w:tc>
      </w:tr>
    </w:tbl>
    <w:p w14:paraId="26D23D74" w14:textId="77777777" w:rsidR="00FF7799" w:rsidRPr="00E73F6F" w:rsidRDefault="00FF7799" w:rsidP="004D2B16">
      <w:pPr>
        <w:pStyle w:val="Quellen"/>
      </w:pPr>
      <w:r w:rsidRPr="00E73F6F">
        <w:rPr>
          <w:spacing w:val="-2"/>
        </w:rPr>
        <w:t>Quelle:</w:t>
      </w:r>
      <w:r w:rsidRPr="00E73F6F">
        <w:tab/>
        <w:t>Pinto</w:t>
      </w:r>
      <w:r w:rsidRPr="00E73F6F">
        <w:rPr>
          <w:spacing w:val="-1"/>
        </w:rPr>
        <w:t xml:space="preserve"> </w:t>
      </w:r>
      <w:r w:rsidRPr="00E73F6F">
        <w:t>(1999, S.70ff.);</w:t>
      </w:r>
      <w:r w:rsidRPr="00E73F6F">
        <w:rPr>
          <w:spacing w:val="-1"/>
        </w:rPr>
        <w:t xml:space="preserve"> </w:t>
      </w:r>
      <w:r w:rsidRPr="00E73F6F">
        <w:t>leicht</w:t>
      </w:r>
      <w:r w:rsidRPr="00E73F6F">
        <w:rPr>
          <w:spacing w:val="-4"/>
        </w:rPr>
        <w:t xml:space="preserve"> </w:t>
      </w:r>
      <w:r w:rsidRPr="00E73F6F">
        <w:t>modifizierter</w:t>
      </w:r>
      <w:r w:rsidRPr="00E73F6F">
        <w:rPr>
          <w:spacing w:val="-3"/>
        </w:rPr>
        <w:t xml:space="preserve"> </w:t>
      </w:r>
      <w:r w:rsidRPr="00E73F6F">
        <w:t>Auszug</w:t>
      </w:r>
      <w:r w:rsidRPr="00E73F6F">
        <w:rPr>
          <w:spacing w:val="-1"/>
        </w:rPr>
        <w:t xml:space="preserve"> </w:t>
      </w:r>
      <w:r w:rsidRPr="00E73F6F">
        <w:t>auf</w:t>
      </w:r>
      <w:r w:rsidRPr="00E73F6F">
        <w:rPr>
          <w:spacing w:val="-1"/>
        </w:rPr>
        <w:t xml:space="preserve"> </w:t>
      </w:r>
      <w:r w:rsidRPr="00E73F6F">
        <w:t>der</w:t>
      </w:r>
      <w:r w:rsidRPr="00E73F6F">
        <w:rPr>
          <w:spacing w:val="-1"/>
        </w:rPr>
        <w:t xml:space="preserve"> </w:t>
      </w:r>
      <w:r w:rsidRPr="00E73F6F">
        <w:t>Basis</w:t>
      </w:r>
      <w:r w:rsidRPr="00E73F6F">
        <w:rPr>
          <w:spacing w:val="-2"/>
        </w:rPr>
        <w:t xml:space="preserve"> </w:t>
      </w:r>
      <w:r w:rsidRPr="00E73F6F">
        <w:t>von</w:t>
      </w:r>
      <w:r w:rsidRPr="00E73F6F">
        <w:rPr>
          <w:spacing w:val="-1"/>
        </w:rPr>
        <w:t xml:space="preserve"> </w:t>
      </w:r>
      <w:r w:rsidRPr="00E73F6F">
        <w:t>Blom/Meier</w:t>
      </w:r>
      <w:r w:rsidRPr="00E73F6F">
        <w:rPr>
          <w:spacing w:val="-3"/>
        </w:rPr>
        <w:t xml:space="preserve"> </w:t>
      </w:r>
      <w:r w:rsidRPr="00E73F6F">
        <w:t>(2002,</w:t>
      </w:r>
      <w:r w:rsidRPr="00E73F6F">
        <w:rPr>
          <w:spacing w:val="-2"/>
        </w:rPr>
        <w:t xml:space="preserve"> S.68).</w:t>
      </w:r>
    </w:p>
    <w:p w14:paraId="6A8C4C53" w14:textId="77777777" w:rsidR="00FF7799" w:rsidRPr="00E73F6F" w:rsidRDefault="00FF7799" w:rsidP="004D2B16">
      <w:pPr>
        <w:pStyle w:val="StandardText"/>
      </w:pPr>
    </w:p>
    <w:p w14:paraId="23590D68" w14:textId="77777777" w:rsidR="00FF7799" w:rsidRPr="000709F3" w:rsidRDefault="00FF7799" w:rsidP="004D2B16">
      <w:pPr>
        <w:pStyle w:val="StandardText"/>
      </w:pPr>
      <w:r w:rsidRPr="000709F3">
        <w:rPr>
          <w:b/>
          <w:i/>
        </w:rPr>
        <w:t xml:space="preserve">Literatur: </w:t>
      </w:r>
      <w:r w:rsidRPr="000709F3">
        <w:t>Blom, H.; Meier, H. (2002): Interkulturelles Management, Herne: Verlag Neue</w:t>
      </w:r>
      <w:r w:rsidRPr="000709F3">
        <w:rPr>
          <w:spacing w:val="40"/>
        </w:rPr>
        <w:t xml:space="preserve"> </w:t>
      </w:r>
      <w:r w:rsidRPr="000709F3">
        <w:t>Wirtschaftsbriefe.</w:t>
      </w:r>
      <w:r w:rsidRPr="000709F3">
        <w:rPr>
          <w:spacing w:val="80"/>
        </w:rPr>
        <w:t xml:space="preserve"> </w:t>
      </w:r>
      <w:r w:rsidRPr="000709F3">
        <w:t>Pinto, D. (1999): Interculturele Communicatie, 2nd Ed., Houten:</w:t>
      </w:r>
      <w:r w:rsidRPr="000709F3">
        <w:rPr>
          <w:spacing w:val="40"/>
        </w:rPr>
        <w:t xml:space="preserve"> </w:t>
      </w:r>
      <w:r w:rsidRPr="000709F3">
        <w:rPr>
          <w:spacing w:val="-2"/>
        </w:rPr>
        <w:t>Diegem.</w:t>
      </w:r>
    </w:p>
    <w:p w14:paraId="2A640EEC" w14:textId="77777777" w:rsidR="00FF7799" w:rsidRPr="00E73F6F" w:rsidRDefault="00FF7799" w:rsidP="004D2B16">
      <w:pPr>
        <w:pStyle w:val="StandardText"/>
      </w:pPr>
    </w:p>
    <w:p w14:paraId="5B9D39CA" w14:textId="77777777" w:rsidR="00FF7799" w:rsidRPr="00D346BC" w:rsidRDefault="00FF7799" w:rsidP="00D105BC">
      <w:pPr>
        <w:pStyle w:val="berschrift1"/>
        <w:rPr>
          <w:bCs w:val="0"/>
          <w:color w:val="2E74B5"/>
          <w:sz w:val="22"/>
        </w:rPr>
      </w:pPr>
      <w:r w:rsidRPr="00D346BC">
        <w:rPr>
          <w:bCs w:val="0"/>
          <w:color w:val="2E74B5"/>
          <w:sz w:val="22"/>
        </w:rPr>
        <w:t>Kulturdimensionen nach Schwartz</w:t>
      </w:r>
    </w:p>
    <w:p w14:paraId="39BEF438" w14:textId="77777777" w:rsidR="00FF7799" w:rsidRPr="000709F3" w:rsidRDefault="00FF7799" w:rsidP="004D2B16">
      <w:pPr>
        <w:pStyle w:val="StandardTextkursiv"/>
        <w:rPr>
          <w:i w:val="0"/>
        </w:rPr>
      </w:pPr>
      <w:r w:rsidRPr="000709F3">
        <w:rPr>
          <w:i w:val="0"/>
        </w:rPr>
        <w:t>1 Grundlagen</w:t>
      </w:r>
    </w:p>
    <w:p w14:paraId="6DABC927" w14:textId="77777777" w:rsidR="00FF7799" w:rsidRPr="000709F3" w:rsidRDefault="00FF7799" w:rsidP="00815338">
      <w:pPr>
        <w:pStyle w:val="StandardText"/>
      </w:pPr>
      <w:r w:rsidRPr="000709F3">
        <w:lastRenderedPageBreak/>
        <w:t>In der Tradition des anthropologischen Ansatzes und auf Basis der Vorarbeit von Rokeach (1973) über das „Wesen der menschlichen Werte“ geht Schwartz (1992) in seiner „Theorie der universellen kulturellen Werte“ davon aus, dass menschliche Gesellschaften weltweit mit den gleichen grundlegenden Problemen konfrontiert werden. Dies sind u.a.:</w:t>
      </w:r>
    </w:p>
    <w:p w14:paraId="7250E1F0" w14:textId="77777777" w:rsidR="00FF7799" w:rsidRPr="000709F3" w:rsidRDefault="00FF7799" w:rsidP="00D346BC">
      <w:pPr>
        <w:pStyle w:val="StandardTextAufzhlung"/>
        <w:ind w:left="567"/>
      </w:pPr>
      <w:r w:rsidRPr="000709F3">
        <w:t>Streben nach einem ausgewogenen Verhältnis von Individuum und Gruppe,</w:t>
      </w:r>
    </w:p>
    <w:p w14:paraId="23F8AF4C" w14:textId="77777777" w:rsidR="00FF7799" w:rsidRPr="000709F3" w:rsidRDefault="00FF7799" w:rsidP="00D346BC">
      <w:pPr>
        <w:pStyle w:val="StandardTextAufzhlung"/>
        <w:ind w:left="567"/>
      </w:pPr>
      <w:r w:rsidRPr="000709F3">
        <w:t>Wahrung der sozialen Ordnung,</w:t>
      </w:r>
    </w:p>
    <w:p w14:paraId="1669BADF" w14:textId="77777777" w:rsidR="00FF7799" w:rsidRPr="000709F3" w:rsidRDefault="00FF7799" w:rsidP="00D346BC">
      <w:pPr>
        <w:pStyle w:val="StandardTextAufzhlung"/>
        <w:ind w:left="567"/>
      </w:pPr>
      <w:r w:rsidRPr="000709F3">
        <w:t>Art des Umgangs mit der natürlichen und der sozialen Umwelt.</w:t>
      </w:r>
    </w:p>
    <w:p w14:paraId="33A51E2C" w14:textId="77777777" w:rsidR="00D346BC" w:rsidRDefault="00D346BC" w:rsidP="00815338">
      <w:pPr>
        <w:pStyle w:val="StandardText"/>
      </w:pPr>
    </w:p>
    <w:p w14:paraId="7132C2B1" w14:textId="72D36A62" w:rsidR="00FF7799" w:rsidRPr="000709F3" w:rsidRDefault="00FF7799" w:rsidP="00815338">
      <w:pPr>
        <w:pStyle w:val="StandardText"/>
      </w:pPr>
      <w:r w:rsidRPr="000709F3">
        <w:t>Individuelle Werte, welche der an der Hebrew University Jerusalem forschende Psychologe einerseits als ‘conceptions of the desirable‘ und andererseits als ‘motivational goals‘ definiert, repräsentieren alternative Wege zur Lösung dieser Schlüsselprobleme. Werte lassen sich zu Wertetypen und Wertetypen zu einem Wertesystem zusammenfassen.</w:t>
      </w:r>
    </w:p>
    <w:p w14:paraId="4363FDA8" w14:textId="77777777" w:rsidR="00FF7799" w:rsidRPr="000709F3" w:rsidRDefault="00FF7799" w:rsidP="00815338">
      <w:pPr>
        <w:pStyle w:val="StandardText"/>
      </w:pPr>
    </w:p>
    <w:p w14:paraId="6E06EB86" w14:textId="77777777" w:rsidR="00FF7799" w:rsidRPr="000709F3" w:rsidRDefault="00FF7799" w:rsidP="004D2B16">
      <w:pPr>
        <w:pStyle w:val="StandardTextkursiv"/>
        <w:rPr>
          <w:i w:val="0"/>
        </w:rPr>
      </w:pPr>
      <w:r w:rsidRPr="000709F3">
        <w:rPr>
          <w:i w:val="0"/>
        </w:rPr>
        <w:t>2 Modell der zehn universellen Wertetypen</w:t>
      </w:r>
    </w:p>
    <w:p w14:paraId="1A865730" w14:textId="77777777" w:rsidR="00FF7799" w:rsidRPr="000709F3" w:rsidRDefault="00FF7799" w:rsidP="004D2B16">
      <w:pPr>
        <w:pStyle w:val="StandardTextkursiv"/>
        <w:rPr>
          <w:i w:val="0"/>
        </w:rPr>
      </w:pPr>
      <w:r w:rsidRPr="000709F3">
        <w:rPr>
          <w:i w:val="0"/>
        </w:rPr>
        <w:t>2.1 Ursprünglicher Wertekreis</w:t>
      </w:r>
    </w:p>
    <w:p w14:paraId="2ECB884E" w14:textId="77777777" w:rsidR="00FF7799" w:rsidRPr="000709F3" w:rsidRDefault="00FF7799" w:rsidP="00815338">
      <w:pPr>
        <w:pStyle w:val="StandardText"/>
      </w:pPr>
      <w:r w:rsidRPr="000709F3">
        <w:t>Ausgehend von den 2x18 Werten des Rokeach-Wertesystems hat S.H. Schwartz in einer Vorstudie zunächst 57 (später 45) universelle Werte identifiziert, indem er Lehrer und Studenten in 38 Ländern nach den „Leitlinien ihres Lebens“ fragte (vgl. Schwartz/Sagiv 1995). Aus diesem Werteinventar, dem Schwartz Value Inventory, wurden sodann zehn Wertetypen abgeleitet (vgl. Tab. 1).</w:t>
      </w:r>
    </w:p>
    <w:p w14:paraId="5138F732" w14:textId="77777777" w:rsidR="00FF7799" w:rsidRPr="000709F3" w:rsidRDefault="00FF7799" w:rsidP="00815338">
      <w:pPr>
        <w:pStyle w:val="StandardText"/>
        <w:rPr>
          <w:lang w:bidi="en-US"/>
        </w:rPr>
      </w:pPr>
    </w:p>
    <w:p w14:paraId="1170115C" w14:textId="77777777" w:rsidR="00FF7799" w:rsidRPr="007D6CC1" w:rsidRDefault="00FF7799" w:rsidP="00815338">
      <w:pPr>
        <w:pStyle w:val="BeschriftungTab"/>
        <w:rPr>
          <w:i/>
          <w:iCs/>
          <w:lang w:bidi="en-US"/>
        </w:rPr>
      </w:pPr>
      <w:bookmarkStart w:id="58" w:name="_Ref413257137"/>
      <w:r w:rsidRPr="007D6CC1">
        <w:rPr>
          <w:i/>
          <w:iCs/>
          <w:lang w:bidi="en-US"/>
        </w:rPr>
        <w:t>Tab.</w:t>
      </w:r>
      <w:bookmarkEnd w:id="58"/>
      <w:r w:rsidRPr="007D6CC1">
        <w:rPr>
          <w:i/>
          <w:iCs/>
          <w:lang w:bidi="en-US"/>
        </w:rPr>
        <w:t xml:space="preserve"> 1: Zehngliedriges Wertesystem nach S.H. Schwartz</w:t>
      </w:r>
    </w:p>
    <w:tbl>
      <w:tblPr>
        <w:tblStyle w:val="Tabellenraster"/>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2267"/>
        <w:gridCol w:w="3403"/>
        <w:gridCol w:w="3402"/>
      </w:tblGrid>
      <w:tr w:rsidR="00FF7799" w:rsidRPr="00E73F6F" w14:paraId="252E7F3E" w14:textId="77777777" w:rsidTr="00342772">
        <w:tc>
          <w:tcPr>
            <w:tcW w:w="1249" w:type="pct"/>
            <w:shd w:val="clear" w:color="auto" w:fill="FFC000"/>
          </w:tcPr>
          <w:p w14:paraId="1356A1E2" w14:textId="77777777" w:rsidR="00FF7799" w:rsidRPr="00E73F6F" w:rsidRDefault="00FF7799" w:rsidP="00862DBA">
            <w:pPr>
              <w:widowControl/>
              <w:adjustRightInd w:val="0"/>
              <w:jc w:val="center"/>
              <w:rPr>
                <w:b/>
                <w:sz w:val="24"/>
                <w:szCs w:val="24"/>
                <w:lang w:bidi="en-US"/>
              </w:rPr>
            </w:pPr>
          </w:p>
          <w:p w14:paraId="7D8D1C10" w14:textId="77777777" w:rsidR="00FF7799" w:rsidRPr="00E73F6F" w:rsidRDefault="00FF7799" w:rsidP="00862DBA">
            <w:pPr>
              <w:widowControl/>
              <w:adjustRightInd w:val="0"/>
              <w:jc w:val="center"/>
              <w:rPr>
                <w:b/>
                <w:sz w:val="24"/>
                <w:szCs w:val="24"/>
                <w:lang w:bidi="en-US"/>
              </w:rPr>
            </w:pPr>
            <w:r w:rsidRPr="00E73F6F">
              <w:rPr>
                <w:b/>
                <w:sz w:val="24"/>
                <w:szCs w:val="24"/>
                <w:lang w:bidi="en-US"/>
              </w:rPr>
              <w:t>Wertetyp</w:t>
            </w:r>
          </w:p>
          <w:p w14:paraId="297A7E29" w14:textId="77777777" w:rsidR="00FF7799" w:rsidRPr="00E73F6F" w:rsidRDefault="00FF7799" w:rsidP="00862DBA">
            <w:pPr>
              <w:widowControl/>
              <w:adjustRightInd w:val="0"/>
              <w:jc w:val="center"/>
              <w:rPr>
                <w:b/>
                <w:sz w:val="24"/>
                <w:szCs w:val="24"/>
                <w:lang w:bidi="en-US"/>
              </w:rPr>
            </w:pPr>
          </w:p>
        </w:tc>
        <w:tc>
          <w:tcPr>
            <w:tcW w:w="1875" w:type="pct"/>
            <w:shd w:val="clear" w:color="auto" w:fill="FFC000"/>
          </w:tcPr>
          <w:p w14:paraId="5B46B78B" w14:textId="77777777" w:rsidR="00FF7799" w:rsidRPr="00E73F6F" w:rsidRDefault="00FF7799" w:rsidP="00862DBA">
            <w:pPr>
              <w:widowControl/>
              <w:adjustRightInd w:val="0"/>
              <w:jc w:val="center"/>
              <w:rPr>
                <w:b/>
                <w:sz w:val="24"/>
                <w:szCs w:val="24"/>
                <w:lang w:bidi="en-US"/>
              </w:rPr>
            </w:pPr>
          </w:p>
          <w:p w14:paraId="42FC48BB" w14:textId="77777777" w:rsidR="00FF7799" w:rsidRPr="00E73F6F" w:rsidRDefault="00FF7799" w:rsidP="00862DBA">
            <w:pPr>
              <w:widowControl/>
              <w:adjustRightInd w:val="0"/>
              <w:jc w:val="center"/>
              <w:rPr>
                <w:b/>
                <w:sz w:val="24"/>
                <w:szCs w:val="24"/>
                <w:lang w:bidi="en-US"/>
              </w:rPr>
            </w:pPr>
            <w:r w:rsidRPr="00E73F6F">
              <w:rPr>
                <w:b/>
                <w:sz w:val="24"/>
                <w:szCs w:val="24"/>
                <w:lang w:bidi="en-US"/>
              </w:rPr>
              <w:t>Definition</w:t>
            </w:r>
          </w:p>
        </w:tc>
        <w:tc>
          <w:tcPr>
            <w:tcW w:w="1875" w:type="pct"/>
            <w:shd w:val="clear" w:color="auto" w:fill="FFC000"/>
          </w:tcPr>
          <w:p w14:paraId="637F03BA" w14:textId="77777777" w:rsidR="00FF7799" w:rsidRPr="00E73F6F" w:rsidRDefault="00FF7799" w:rsidP="00862DBA">
            <w:pPr>
              <w:widowControl/>
              <w:adjustRightInd w:val="0"/>
              <w:jc w:val="center"/>
              <w:rPr>
                <w:b/>
                <w:sz w:val="24"/>
                <w:szCs w:val="24"/>
                <w:lang w:bidi="en-US"/>
              </w:rPr>
            </w:pPr>
          </w:p>
          <w:p w14:paraId="1ABECF96" w14:textId="77777777" w:rsidR="00FF7799" w:rsidRPr="00E73F6F" w:rsidRDefault="00FF7799" w:rsidP="00862DBA">
            <w:pPr>
              <w:widowControl/>
              <w:adjustRightInd w:val="0"/>
              <w:jc w:val="center"/>
              <w:rPr>
                <w:b/>
                <w:sz w:val="24"/>
                <w:szCs w:val="24"/>
                <w:lang w:bidi="en-US"/>
              </w:rPr>
            </w:pPr>
            <w:r w:rsidRPr="00E73F6F">
              <w:rPr>
                <w:b/>
                <w:sz w:val="24"/>
                <w:szCs w:val="24"/>
                <w:lang w:bidi="en-US"/>
              </w:rPr>
              <w:t>Einzelwerte</w:t>
            </w:r>
          </w:p>
        </w:tc>
      </w:tr>
      <w:tr w:rsidR="00FF7799" w:rsidRPr="00E73F6F" w14:paraId="7A7370CC" w14:textId="77777777" w:rsidTr="000709F3">
        <w:tc>
          <w:tcPr>
            <w:tcW w:w="1249" w:type="pct"/>
            <w:shd w:val="clear" w:color="auto" w:fill="FFF2CC" w:themeFill="accent4" w:themeFillTint="33"/>
          </w:tcPr>
          <w:p w14:paraId="03D42786" w14:textId="77777777" w:rsidR="00FF7799" w:rsidRPr="00E73F6F" w:rsidRDefault="00FF7799" w:rsidP="00862DBA">
            <w:pPr>
              <w:widowControl/>
              <w:tabs>
                <w:tab w:val="left" w:pos="1305"/>
              </w:tabs>
              <w:adjustRightInd w:val="0"/>
              <w:jc w:val="both"/>
              <w:rPr>
                <w:sz w:val="24"/>
                <w:szCs w:val="24"/>
                <w:lang w:bidi="en-US"/>
              </w:rPr>
            </w:pPr>
            <w:r w:rsidRPr="00E73F6F">
              <w:rPr>
                <w:sz w:val="24"/>
                <w:szCs w:val="24"/>
                <w:lang w:bidi="en-US"/>
              </w:rPr>
              <w:t>Selbstbestimmtheit</w:t>
            </w:r>
          </w:p>
          <w:p w14:paraId="7CFCE36B" w14:textId="77777777" w:rsidR="00FF7799" w:rsidRPr="00E73F6F" w:rsidRDefault="00FF7799" w:rsidP="00862DBA">
            <w:pPr>
              <w:widowControl/>
              <w:adjustRightInd w:val="0"/>
              <w:jc w:val="both"/>
              <w:rPr>
                <w:sz w:val="24"/>
                <w:szCs w:val="24"/>
                <w:lang w:bidi="en-US"/>
              </w:rPr>
            </w:pPr>
            <w:r w:rsidRPr="00E73F6F">
              <w:rPr>
                <w:sz w:val="24"/>
                <w:szCs w:val="24"/>
                <w:lang w:bidi="en-US"/>
              </w:rPr>
              <w:t>(‘self-direction‘)</w:t>
            </w:r>
          </w:p>
        </w:tc>
        <w:tc>
          <w:tcPr>
            <w:tcW w:w="1875" w:type="pct"/>
          </w:tcPr>
          <w:p w14:paraId="0CAD725D" w14:textId="77777777" w:rsidR="00FF7799" w:rsidRPr="00E73F6F" w:rsidRDefault="00FF7799" w:rsidP="00862DBA">
            <w:pPr>
              <w:widowControl/>
              <w:adjustRightInd w:val="0"/>
              <w:jc w:val="both"/>
              <w:rPr>
                <w:sz w:val="24"/>
                <w:szCs w:val="24"/>
                <w:lang w:bidi="en-US"/>
              </w:rPr>
            </w:pPr>
            <w:r w:rsidRPr="00E73F6F">
              <w:rPr>
                <w:sz w:val="24"/>
                <w:szCs w:val="24"/>
                <w:lang w:bidi="en-US"/>
              </w:rPr>
              <w:t>Unabhängiges Denken und Handeln</w:t>
            </w:r>
          </w:p>
        </w:tc>
        <w:tc>
          <w:tcPr>
            <w:tcW w:w="1875" w:type="pct"/>
          </w:tcPr>
          <w:p w14:paraId="7509223D" w14:textId="77777777" w:rsidR="00FF7799" w:rsidRPr="00E73F6F" w:rsidRDefault="00FF7799" w:rsidP="00862DBA">
            <w:pPr>
              <w:widowControl/>
              <w:adjustRightInd w:val="0"/>
              <w:jc w:val="both"/>
              <w:rPr>
                <w:sz w:val="24"/>
                <w:szCs w:val="24"/>
                <w:lang w:bidi="en-US"/>
              </w:rPr>
            </w:pPr>
            <w:r w:rsidRPr="00E73F6F">
              <w:rPr>
                <w:sz w:val="24"/>
                <w:szCs w:val="24"/>
                <w:lang w:bidi="en-US"/>
              </w:rPr>
              <w:t>Freiheit, Kreativität, Unabhängigkeit, eigene Ziele wählen, Neugierde, Selbstrespekt</w:t>
            </w:r>
          </w:p>
        </w:tc>
      </w:tr>
      <w:tr w:rsidR="00FF7799" w:rsidRPr="00E73F6F" w14:paraId="6B8AEE0D" w14:textId="77777777" w:rsidTr="000709F3">
        <w:tc>
          <w:tcPr>
            <w:tcW w:w="1249" w:type="pct"/>
            <w:shd w:val="clear" w:color="auto" w:fill="FFF2CC" w:themeFill="accent4" w:themeFillTint="33"/>
          </w:tcPr>
          <w:p w14:paraId="39BB3F04" w14:textId="77777777" w:rsidR="00FF7799" w:rsidRPr="00E73F6F" w:rsidRDefault="00FF7799" w:rsidP="00862DBA">
            <w:pPr>
              <w:widowControl/>
              <w:adjustRightInd w:val="0"/>
              <w:jc w:val="both"/>
              <w:rPr>
                <w:sz w:val="24"/>
                <w:szCs w:val="24"/>
                <w:lang w:bidi="en-US"/>
              </w:rPr>
            </w:pPr>
            <w:r w:rsidRPr="00E73F6F">
              <w:rPr>
                <w:sz w:val="24"/>
                <w:szCs w:val="24"/>
                <w:lang w:bidi="en-US"/>
              </w:rPr>
              <w:t>Anregung</w:t>
            </w:r>
          </w:p>
          <w:p w14:paraId="5F6D4E7F" w14:textId="77777777" w:rsidR="00FF7799" w:rsidRPr="00E73F6F" w:rsidRDefault="00FF7799" w:rsidP="00862DBA">
            <w:pPr>
              <w:widowControl/>
              <w:adjustRightInd w:val="0"/>
              <w:jc w:val="both"/>
              <w:rPr>
                <w:sz w:val="24"/>
                <w:szCs w:val="24"/>
                <w:lang w:bidi="en-US"/>
              </w:rPr>
            </w:pPr>
            <w:r w:rsidRPr="00E73F6F">
              <w:rPr>
                <w:sz w:val="24"/>
                <w:szCs w:val="24"/>
                <w:lang w:bidi="en-US"/>
              </w:rPr>
              <w:t>(‘stimulation‘)</w:t>
            </w:r>
          </w:p>
        </w:tc>
        <w:tc>
          <w:tcPr>
            <w:tcW w:w="1875" w:type="pct"/>
          </w:tcPr>
          <w:p w14:paraId="7F695A5D" w14:textId="77777777" w:rsidR="00FF7799" w:rsidRPr="00E73F6F" w:rsidRDefault="00FF7799" w:rsidP="00862DBA">
            <w:pPr>
              <w:widowControl/>
              <w:adjustRightInd w:val="0"/>
              <w:jc w:val="both"/>
              <w:rPr>
                <w:sz w:val="24"/>
                <w:szCs w:val="24"/>
                <w:lang w:bidi="en-US"/>
              </w:rPr>
            </w:pPr>
            <w:r w:rsidRPr="00E73F6F">
              <w:rPr>
                <w:sz w:val="24"/>
                <w:szCs w:val="24"/>
                <w:lang w:bidi="en-US"/>
              </w:rPr>
              <w:t>Verlangt nach Abwechslung und Stimulation (Ziel: ein optimales Aktivierungsniveau)</w:t>
            </w:r>
          </w:p>
        </w:tc>
        <w:tc>
          <w:tcPr>
            <w:tcW w:w="1875" w:type="pct"/>
          </w:tcPr>
          <w:p w14:paraId="07BCA823" w14:textId="77777777" w:rsidR="00FF7799" w:rsidRPr="00E73F6F" w:rsidRDefault="00FF7799" w:rsidP="00862DBA">
            <w:pPr>
              <w:widowControl/>
              <w:adjustRightInd w:val="0"/>
              <w:jc w:val="both"/>
              <w:rPr>
                <w:sz w:val="24"/>
                <w:szCs w:val="24"/>
                <w:lang w:bidi="en-US"/>
              </w:rPr>
            </w:pPr>
            <w:r w:rsidRPr="00E73F6F">
              <w:rPr>
                <w:sz w:val="24"/>
                <w:szCs w:val="24"/>
                <w:lang w:bidi="en-US"/>
              </w:rPr>
              <w:t>Ein aufregendes und abwechslungsreiches Leben, „sich trauen“</w:t>
            </w:r>
          </w:p>
        </w:tc>
      </w:tr>
      <w:tr w:rsidR="00FF7799" w:rsidRPr="00E73F6F" w14:paraId="2A59399A" w14:textId="77777777" w:rsidTr="000709F3">
        <w:tc>
          <w:tcPr>
            <w:tcW w:w="1249" w:type="pct"/>
            <w:shd w:val="clear" w:color="auto" w:fill="FFF2CC" w:themeFill="accent4" w:themeFillTint="33"/>
          </w:tcPr>
          <w:p w14:paraId="4BDB506C" w14:textId="77777777" w:rsidR="00FF7799" w:rsidRPr="00E73F6F" w:rsidRDefault="00FF7799" w:rsidP="00862DBA">
            <w:pPr>
              <w:widowControl/>
              <w:adjustRightInd w:val="0"/>
              <w:jc w:val="both"/>
              <w:rPr>
                <w:sz w:val="24"/>
                <w:szCs w:val="24"/>
                <w:lang w:bidi="en-US"/>
              </w:rPr>
            </w:pPr>
            <w:r w:rsidRPr="00E73F6F">
              <w:rPr>
                <w:sz w:val="24"/>
                <w:szCs w:val="24"/>
                <w:lang w:bidi="en-US"/>
              </w:rPr>
              <w:t>Hedonismus</w:t>
            </w:r>
          </w:p>
          <w:p w14:paraId="37A9280F" w14:textId="77777777" w:rsidR="00FF7799" w:rsidRPr="00E73F6F" w:rsidRDefault="00FF7799" w:rsidP="00862DBA">
            <w:pPr>
              <w:widowControl/>
              <w:adjustRightInd w:val="0"/>
              <w:jc w:val="both"/>
              <w:rPr>
                <w:sz w:val="24"/>
                <w:szCs w:val="24"/>
                <w:lang w:bidi="en-US"/>
              </w:rPr>
            </w:pPr>
            <w:r w:rsidRPr="00E73F6F">
              <w:rPr>
                <w:sz w:val="24"/>
                <w:szCs w:val="24"/>
                <w:lang w:bidi="en-US"/>
              </w:rPr>
              <w:t>(‘hedonism‘)</w:t>
            </w:r>
          </w:p>
        </w:tc>
        <w:tc>
          <w:tcPr>
            <w:tcW w:w="1875" w:type="pct"/>
          </w:tcPr>
          <w:p w14:paraId="6F72A5B5" w14:textId="77777777" w:rsidR="00FF7799" w:rsidRPr="00E73F6F" w:rsidRDefault="00FF7799" w:rsidP="00862DBA">
            <w:pPr>
              <w:widowControl/>
              <w:adjustRightInd w:val="0"/>
              <w:jc w:val="both"/>
              <w:rPr>
                <w:sz w:val="24"/>
                <w:szCs w:val="24"/>
                <w:lang w:bidi="en-US"/>
              </w:rPr>
            </w:pPr>
            <w:r w:rsidRPr="00E73F6F">
              <w:rPr>
                <w:sz w:val="24"/>
                <w:szCs w:val="24"/>
                <w:lang w:bidi="en-US"/>
              </w:rPr>
              <w:t>Freude und sinnliche Befriedigung</w:t>
            </w:r>
          </w:p>
        </w:tc>
        <w:tc>
          <w:tcPr>
            <w:tcW w:w="1875" w:type="pct"/>
          </w:tcPr>
          <w:p w14:paraId="1C4BFDED" w14:textId="77777777" w:rsidR="00FF7799" w:rsidRPr="00E73F6F" w:rsidRDefault="00FF7799" w:rsidP="00862DBA">
            <w:pPr>
              <w:widowControl/>
              <w:adjustRightInd w:val="0"/>
              <w:jc w:val="both"/>
              <w:rPr>
                <w:sz w:val="24"/>
                <w:szCs w:val="24"/>
                <w:lang w:bidi="en-US"/>
              </w:rPr>
            </w:pPr>
            <w:r w:rsidRPr="00E73F6F">
              <w:rPr>
                <w:sz w:val="24"/>
                <w:szCs w:val="24"/>
                <w:lang w:bidi="en-US"/>
              </w:rPr>
              <w:t>Genuss, das Leben genießen</w:t>
            </w:r>
          </w:p>
        </w:tc>
      </w:tr>
      <w:tr w:rsidR="00FF7799" w:rsidRPr="00E73F6F" w14:paraId="72261B96" w14:textId="77777777" w:rsidTr="000709F3">
        <w:tc>
          <w:tcPr>
            <w:tcW w:w="1249" w:type="pct"/>
            <w:shd w:val="clear" w:color="auto" w:fill="FFF2CC" w:themeFill="accent4" w:themeFillTint="33"/>
          </w:tcPr>
          <w:p w14:paraId="3C038DE1" w14:textId="77777777" w:rsidR="00FF7799" w:rsidRPr="00E73F6F" w:rsidRDefault="00FF7799" w:rsidP="00862DBA">
            <w:pPr>
              <w:widowControl/>
              <w:adjustRightInd w:val="0"/>
              <w:jc w:val="both"/>
              <w:rPr>
                <w:sz w:val="24"/>
                <w:szCs w:val="24"/>
                <w:lang w:bidi="en-US"/>
              </w:rPr>
            </w:pPr>
            <w:r w:rsidRPr="00E73F6F">
              <w:rPr>
                <w:sz w:val="24"/>
                <w:szCs w:val="24"/>
                <w:lang w:bidi="en-US"/>
              </w:rPr>
              <w:t>Erfolg</w:t>
            </w:r>
          </w:p>
          <w:p w14:paraId="6F66CEC5" w14:textId="77777777" w:rsidR="00FF7799" w:rsidRPr="00E73F6F" w:rsidRDefault="00FF7799" w:rsidP="00862DBA">
            <w:pPr>
              <w:widowControl/>
              <w:adjustRightInd w:val="0"/>
              <w:jc w:val="both"/>
              <w:rPr>
                <w:sz w:val="24"/>
                <w:szCs w:val="24"/>
                <w:lang w:bidi="en-US"/>
              </w:rPr>
            </w:pPr>
            <w:r w:rsidRPr="00E73F6F">
              <w:rPr>
                <w:sz w:val="24"/>
                <w:szCs w:val="24"/>
                <w:lang w:bidi="en-US"/>
              </w:rPr>
              <w:t>(‘achievement‘)</w:t>
            </w:r>
          </w:p>
        </w:tc>
        <w:tc>
          <w:tcPr>
            <w:tcW w:w="1875" w:type="pct"/>
          </w:tcPr>
          <w:p w14:paraId="56175A32" w14:textId="77777777" w:rsidR="00FF7799" w:rsidRPr="00E73F6F" w:rsidRDefault="00FF7799" w:rsidP="00862DBA">
            <w:pPr>
              <w:widowControl/>
              <w:adjustRightInd w:val="0"/>
              <w:jc w:val="both"/>
              <w:rPr>
                <w:sz w:val="24"/>
                <w:szCs w:val="24"/>
                <w:lang w:bidi="en-US"/>
              </w:rPr>
            </w:pPr>
            <w:r w:rsidRPr="00E73F6F">
              <w:rPr>
                <w:sz w:val="24"/>
                <w:szCs w:val="24"/>
                <w:lang w:bidi="en-US"/>
              </w:rPr>
              <w:t>Persönlicher Erfolg gemäß den sozialen Standards</w:t>
            </w:r>
          </w:p>
        </w:tc>
        <w:tc>
          <w:tcPr>
            <w:tcW w:w="1875" w:type="pct"/>
          </w:tcPr>
          <w:p w14:paraId="58EC091A" w14:textId="77777777" w:rsidR="00FF7799" w:rsidRPr="00E73F6F" w:rsidRDefault="00FF7799" w:rsidP="00862DBA">
            <w:pPr>
              <w:widowControl/>
              <w:adjustRightInd w:val="0"/>
              <w:jc w:val="both"/>
              <w:rPr>
                <w:sz w:val="24"/>
                <w:szCs w:val="24"/>
                <w:lang w:bidi="en-US"/>
              </w:rPr>
            </w:pPr>
            <w:r w:rsidRPr="00E73F6F">
              <w:rPr>
                <w:sz w:val="24"/>
                <w:szCs w:val="24"/>
                <w:lang w:bidi="en-US"/>
              </w:rPr>
              <w:t>Ambition, Einfluss, Können, Erfolg, Intelligenz, Selbstrespekt</w:t>
            </w:r>
          </w:p>
        </w:tc>
      </w:tr>
      <w:tr w:rsidR="00FF7799" w:rsidRPr="00E73F6F" w14:paraId="5FD920B1" w14:textId="77777777" w:rsidTr="000709F3">
        <w:tc>
          <w:tcPr>
            <w:tcW w:w="1249" w:type="pct"/>
            <w:shd w:val="clear" w:color="auto" w:fill="FFF2CC" w:themeFill="accent4" w:themeFillTint="33"/>
          </w:tcPr>
          <w:p w14:paraId="3AFD2DF9" w14:textId="77777777" w:rsidR="00FF7799" w:rsidRPr="00E73F6F" w:rsidRDefault="00FF7799" w:rsidP="00862DBA">
            <w:pPr>
              <w:widowControl/>
              <w:adjustRightInd w:val="0"/>
              <w:jc w:val="both"/>
              <w:rPr>
                <w:sz w:val="24"/>
                <w:szCs w:val="24"/>
                <w:lang w:bidi="en-US"/>
              </w:rPr>
            </w:pPr>
            <w:r w:rsidRPr="00E73F6F">
              <w:rPr>
                <w:sz w:val="24"/>
                <w:szCs w:val="24"/>
                <w:lang w:bidi="en-US"/>
              </w:rPr>
              <w:t>Macht</w:t>
            </w:r>
          </w:p>
          <w:p w14:paraId="1DD97344" w14:textId="77777777" w:rsidR="00FF7799" w:rsidRPr="00E73F6F" w:rsidRDefault="00FF7799" w:rsidP="00862DBA">
            <w:pPr>
              <w:widowControl/>
              <w:adjustRightInd w:val="0"/>
              <w:jc w:val="both"/>
              <w:rPr>
                <w:sz w:val="24"/>
                <w:szCs w:val="24"/>
                <w:lang w:bidi="en-US"/>
              </w:rPr>
            </w:pPr>
            <w:r w:rsidRPr="00E73F6F">
              <w:rPr>
                <w:sz w:val="24"/>
                <w:szCs w:val="24"/>
                <w:lang w:bidi="en-US"/>
              </w:rPr>
              <w:t>(‘power‘)</w:t>
            </w:r>
          </w:p>
        </w:tc>
        <w:tc>
          <w:tcPr>
            <w:tcW w:w="1875" w:type="pct"/>
          </w:tcPr>
          <w:p w14:paraId="3A27A7F5" w14:textId="77777777" w:rsidR="00FF7799" w:rsidRPr="00E73F6F" w:rsidRDefault="00FF7799" w:rsidP="00862DBA">
            <w:pPr>
              <w:widowControl/>
              <w:adjustRightInd w:val="0"/>
              <w:jc w:val="both"/>
              <w:rPr>
                <w:sz w:val="24"/>
                <w:szCs w:val="24"/>
                <w:lang w:bidi="en-US"/>
              </w:rPr>
            </w:pPr>
            <w:r w:rsidRPr="00E73F6F">
              <w:rPr>
                <w:sz w:val="24"/>
                <w:szCs w:val="24"/>
                <w:lang w:bidi="en-US"/>
              </w:rPr>
              <w:t>Sozialer Status, Dominanz über Menschen und Ressourcen</w:t>
            </w:r>
          </w:p>
        </w:tc>
        <w:tc>
          <w:tcPr>
            <w:tcW w:w="1875" w:type="pct"/>
          </w:tcPr>
          <w:p w14:paraId="1E633AF2" w14:textId="77777777" w:rsidR="00FF7799" w:rsidRPr="00E73F6F" w:rsidRDefault="00FF7799" w:rsidP="00862DBA">
            <w:pPr>
              <w:widowControl/>
              <w:adjustRightInd w:val="0"/>
              <w:jc w:val="both"/>
              <w:rPr>
                <w:sz w:val="24"/>
                <w:szCs w:val="24"/>
                <w:lang w:bidi="en-US"/>
              </w:rPr>
            </w:pPr>
            <w:r w:rsidRPr="00E73F6F">
              <w:rPr>
                <w:sz w:val="24"/>
                <w:szCs w:val="24"/>
                <w:lang w:bidi="en-US"/>
              </w:rPr>
              <w:t>Soziale Macht, Besitz, Autorität, Gesicht wahren, soziale Anerkennung</w:t>
            </w:r>
          </w:p>
        </w:tc>
      </w:tr>
      <w:tr w:rsidR="00FF7799" w:rsidRPr="00E73F6F" w14:paraId="36625E7D" w14:textId="77777777" w:rsidTr="000709F3">
        <w:tc>
          <w:tcPr>
            <w:tcW w:w="1249" w:type="pct"/>
            <w:shd w:val="clear" w:color="auto" w:fill="FFF2CC" w:themeFill="accent4" w:themeFillTint="33"/>
          </w:tcPr>
          <w:p w14:paraId="27C80AC8" w14:textId="77777777" w:rsidR="00FF7799" w:rsidRPr="00E73F6F" w:rsidRDefault="00FF7799" w:rsidP="00862DBA">
            <w:pPr>
              <w:widowControl/>
              <w:adjustRightInd w:val="0"/>
              <w:jc w:val="both"/>
              <w:rPr>
                <w:sz w:val="24"/>
                <w:szCs w:val="24"/>
                <w:lang w:bidi="en-US"/>
              </w:rPr>
            </w:pPr>
            <w:r w:rsidRPr="00E73F6F">
              <w:rPr>
                <w:sz w:val="24"/>
                <w:szCs w:val="24"/>
                <w:lang w:bidi="en-US"/>
              </w:rPr>
              <w:t>Sicherheit</w:t>
            </w:r>
          </w:p>
          <w:p w14:paraId="40526463" w14:textId="77777777" w:rsidR="00FF7799" w:rsidRPr="00E73F6F" w:rsidRDefault="00FF7799" w:rsidP="00862DBA">
            <w:pPr>
              <w:widowControl/>
              <w:adjustRightInd w:val="0"/>
              <w:jc w:val="both"/>
              <w:rPr>
                <w:sz w:val="24"/>
                <w:szCs w:val="24"/>
                <w:lang w:bidi="en-US"/>
              </w:rPr>
            </w:pPr>
            <w:r w:rsidRPr="00E73F6F">
              <w:rPr>
                <w:sz w:val="24"/>
                <w:szCs w:val="24"/>
                <w:lang w:bidi="en-US"/>
              </w:rPr>
              <w:t>(‘security‘)</w:t>
            </w:r>
          </w:p>
        </w:tc>
        <w:tc>
          <w:tcPr>
            <w:tcW w:w="1875" w:type="pct"/>
          </w:tcPr>
          <w:p w14:paraId="33E1F99D" w14:textId="77777777" w:rsidR="00FF7799" w:rsidRPr="00E73F6F" w:rsidRDefault="00FF7799" w:rsidP="00862DBA">
            <w:pPr>
              <w:widowControl/>
              <w:adjustRightInd w:val="0"/>
              <w:jc w:val="both"/>
              <w:rPr>
                <w:sz w:val="24"/>
                <w:szCs w:val="24"/>
                <w:lang w:bidi="en-US"/>
              </w:rPr>
            </w:pPr>
            <w:r w:rsidRPr="00E73F6F">
              <w:rPr>
                <w:sz w:val="24"/>
                <w:szCs w:val="24"/>
                <w:lang w:bidi="en-US"/>
              </w:rPr>
              <w:t>Sicherheit und Stabilität der Gesellschaft, der Beziehung und des eigenen Selbst</w:t>
            </w:r>
          </w:p>
        </w:tc>
        <w:tc>
          <w:tcPr>
            <w:tcW w:w="1875" w:type="pct"/>
          </w:tcPr>
          <w:p w14:paraId="7F31D918" w14:textId="77777777" w:rsidR="00FF7799" w:rsidRPr="00E73F6F" w:rsidRDefault="00FF7799" w:rsidP="00862DBA">
            <w:pPr>
              <w:widowControl/>
              <w:adjustRightInd w:val="0"/>
              <w:jc w:val="both"/>
              <w:rPr>
                <w:sz w:val="24"/>
                <w:szCs w:val="24"/>
                <w:lang w:bidi="en-US"/>
              </w:rPr>
            </w:pPr>
            <w:r w:rsidRPr="00E73F6F">
              <w:rPr>
                <w:sz w:val="24"/>
                <w:szCs w:val="24"/>
                <w:lang w:bidi="en-US"/>
              </w:rPr>
              <w:t>Nationale Sicherheit, Reziprozität, familiäre Sicherheit, Zugehörigkeits</w:t>
            </w:r>
            <w:r w:rsidRPr="00E73F6F">
              <w:rPr>
                <w:sz w:val="24"/>
                <w:szCs w:val="24"/>
                <w:lang w:bidi="en-US"/>
              </w:rPr>
              <w:softHyphen/>
              <w:t>gefühl</w:t>
            </w:r>
          </w:p>
        </w:tc>
      </w:tr>
      <w:tr w:rsidR="00FF7799" w:rsidRPr="00E73F6F" w14:paraId="65F40921" w14:textId="77777777" w:rsidTr="000709F3">
        <w:tc>
          <w:tcPr>
            <w:tcW w:w="1249" w:type="pct"/>
            <w:shd w:val="clear" w:color="auto" w:fill="FFF2CC" w:themeFill="accent4" w:themeFillTint="33"/>
          </w:tcPr>
          <w:p w14:paraId="76CFA31F" w14:textId="77777777" w:rsidR="00FF7799" w:rsidRPr="00E73F6F" w:rsidRDefault="00FF7799" w:rsidP="00862DBA">
            <w:pPr>
              <w:widowControl/>
              <w:adjustRightInd w:val="0"/>
              <w:jc w:val="both"/>
              <w:rPr>
                <w:sz w:val="24"/>
                <w:szCs w:val="24"/>
                <w:lang w:bidi="en-US"/>
              </w:rPr>
            </w:pPr>
            <w:r w:rsidRPr="00E73F6F">
              <w:rPr>
                <w:sz w:val="24"/>
                <w:szCs w:val="24"/>
                <w:lang w:bidi="en-US"/>
              </w:rPr>
              <w:t>Konformität</w:t>
            </w:r>
          </w:p>
          <w:p w14:paraId="16B1C191" w14:textId="77777777" w:rsidR="00FF7799" w:rsidRPr="00E73F6F" w:rsidRDefault="00FF7799" w:rsidP="00862DBA">
            <w:pPr>
              <w:widowControl/>
              <w:adjustRightInd w:val="0"/>
              <w:jc w:val="both"/>
              <w:rPr>
                <w:sz w:val="24"/>
                <w:szCs w:val="24"/>
                <w:lang w:bidi="en-US"/>
              </w:rPr>
            </w:pPr>
            <w:r w:rsidRPr="00E73F6F">
              <w:rPr>
                <w:sz w:val="24"/>
                <w:szCs w:val="24"/>
                <w:lang w:bidi="en-US"/>
              </w:rPr>
              <w:t>(‘conformity‘)</w:t>
            </w:r>
          </w:p>
        </w:tc>
        <w:tc>
          <w:tcPr>
            <w:tcW w:w="1875" w:type="pct"/>
          </w:tcPr>
          <w:p w14:paraId="3C5BA155" w14:textId="77777777" w:rsidR="00FF7799" w:rsidRPr="00E73F6F" w:rsidRDefault="00FF7799" w:rsidP="00862DBA">
            <w:pPr>
              <w:widowControl/>
              <w:adjustRightInd w:val="0"/>
              <w:jc w:val="both"/>
              <w:rPr>
                <w:sz w:val="24"/>
                <w:szCs w:val="24"/>
                <w:lang w:bidi="en-US"/>
              </w:rPr>
            </w:pPr>
            <w:r w:rsidRPr="00E73F6F">
              <w:rPr>
                <w:sz w:val="24"/>
                <w:szCs w:val="24"/>
                <w:lang w:bidi="en-US"/>
              </w:rPr>
              <w:t>Vermeiden von Handlungen und Aktionen, die andere verletzen bzw. zu normgerechten Verhalten zwingen</w:t>
            </w:r>
          </w:p>
        </w:tc>
        <w:tc>
          <w:tcPr>
            <w:tcW w:w="1875" w:type="pct"/>
          </w:tcPr>
          <w:p w14:paraId="22490290" w14:textId="77777777" w:rsidR="00FF7799" w:rsidRPr="00E73F6F" w:rsidRDefault="00FF7799" w:rsidP="00862DBA">
            <w:pPr>
              <w:widowControl/>
              <w:adjustRightInd w:val="0"/>
              <w:jc w:val="both"/>
              <w:rPr>
                <w:sz w:val="24"/>
                <w:szCs w:val="24"/>
                <w:lang w:bidi="en-US"/>
              </w:rPr>
            </w:pPr>
            <w:r w:rsidRPr="00E73F6F">
              <w:rPr>
                <w:sz w:val="24"/>
                <w:szCs w:val="24"/>
                <w:lang w:bidi="en-US"/>
              </w:rPr>
              <w:t>Gehorsam, Selbstdisziplin, Höflichkeit, ältere Menschen und Eltern ehren</w:t>
            </w:r>
          </w:p>
        </w:tc>
      </w:tr>
      <w:tr w:rsidR="00FF7799" w:rsidRPr="00E73F6F" w14:paraId="2A0391D8" w14:textId="77777777" w:rsidTr="000709F3">
        <w:tc>
          <w:tcPr>
            <w:tcW w:w="1249" w:type="pct"/>
            <w:shd w:val="clear" w:color="auto" w:fill="FFF2CC" w:themeFill="accent4" w:themeFillTint="33"/>
          </w:tcPr>
          <w:p w14:paraId="5E0F2761" w14:textId="77777777" w:rsidR="00FF7799" w:rsidRPr="00E73F6F" w:rsidRDefault="00FF7799" w:rsidP="00862DBA">
            <w:pPr>
              <w:widowControl/>
              <w:adjustRightInd w:val="0"/>
              <w:jc w:val="both"/>
              <w:rPr>
                <w:sz w:val="24"/>
                <w:szCs w:val="24"/>
                <w:lang w:bidi="en-US"/>
              </w:rPr>
            </w:pPr>
            <w:r w:rsidRPr="00E73F6F">
              <w:rPr>
                <w:sz w:val="24"/>
                <w:szCs w:val="24"/>
                <w:lang w:bidi="en-US"/>
              </w:rPr>
              <w:lastRenderedPageBreak/>
              <w:t>Tradition</w:t>
            </w:r>
          </w:p>
          <w:p w14:paraId="06669FC4" w14:textId="77777777" w:rsidR="00FF7799" w:rsidRPr="00E73F6F" w:rsidRDefault="00FF7799" w:rsidP="00862DBA">
            <w:pPr>
              <w:widowControl/>
              <w:adjustRightInd w:val="0"/>
              <w:jc w:val="both"/>
              <w:rPr>
                <w:sz w:val="24"/>
                <w:szCs w:val="24"/>
                <w:lang w:bidi="en-US"/>
              </w:rPr>
            </w:pPr>
            <w:r w:rsidRPr="00E73F6F">
              <w:rPr>
                <w:sz w:val="24"/>
                <w:szCs w:val="24"/>
                <w:lang w:bidi="en-US"/>
              </w:rPr>
              <w:t>(‘tradition‘)</w:t>
            </w:r>
          </w:p>
        </w:tc>
        <w:tc>
          <w:tcPr>
            <w:tcW w:w="1875" w:type="pct"/>
          </w:tcPr>
          <w:p w14:paraId="2A0BC86B" w14:textId="77777777" w:rsidR="00FF7799" w:rsidRPr="00E73F6F" w:rsidRDefault="00FF7799" w:rsidP="00862DBA">
            <w:pPr>
              <w:widowControl/>
              <w:adjustRightInd w:val="0"/>
              <w:jc w:val="both"/>
              <w:rPr>
                <w:sz w:val="24"/>
                <w:szCs w:val="24"/>
                <w:lang w:bidi="en-US"/>
              </w:rPr>
            </w:pPr>
            <w:r w:rsidRPr="00E73F6F">
              <w:rPr>
                <w:sz w:val="24"/>
                <w:szCs w:val="24"/>
                <w:lang w:bidi="en-US"/>
              </w:rPr>
              <w:t>Respekt vor und Verpflichtung gegenüber den kulturellen, religiösen etc. Bräuchen und Ideen</w:t>
            </w:r>
          </w:p>
        </w:tc>
        <w:tc>
          <w:tcPr>
            <w:tcW w:w="1875" w:type="pct"/>
          </w:tcPr>
          <w:p w14:paraId="21147CC7" w14:textId="77777777" w:rsidR="00FF7799" w:rsidRPr="00E73F6F" w:rsidRDefault="00FF7799" w:rsidP="00862DBA">
            <w:pPr>
              <w:widowControl/>
              <w:adjustRightInd w:val="0"/>
              <w:jc w:val="both"/>
              <w:rPr>
                <w:sz w:val="24"/>
                <w:szCs w:val="24"/>
                <w:lang w:bidi="en-US"/>
              </w:rPr>
            </w:pPr>
            <w:r w:rsidRPr="00E73F6F">
              <w:rPr>
                <w:sz w:val="24"/>
                <w:szCs w:val="24"/>
                <w:lang w:bidi="en-US"/>
              </w:rPr>
              <w:t>Traditionsbewusstsein, Hingabe, Bescheidenheit, Mäßigung</w:t>
            </w:r>
          </w:p>
        </w:tc>
      </w:tr>
      <w:tr w:rsidR="00FF7799" w:rsidRPr="00E73F6F" w14:paraId="4305B729" w14:textId="77777777" w:rsidTr="000709F3">
        <w:tc>
          <w:tcPr>
            <w:tcW w:w="1249" w:type="pct"/>
            <w:shd w:val="clear" w:color="auto" w:fill="FFF2CC" w:themeFill="accent4" w:themeFillTint="33"/>
          </w:tcPr>
          <w:p w14:paraId="65FEE41B" w14:textId="77777777" w:rsidR="00FF7799" w:rsidRPr="00E73F6F" w:rsidRDefault="00FF7799" w:rsidP="00862DBA">
            <w:pPr>
              <w:widowControl/>
              <w:adjustRightInd w:val="0"/>
              <w:jc w:val="both"/>
              <w:rPr>
                <w:sz w:val="24"/>
                <w:szCs w:val="24"/>
                <w:lang w:bidi="en-US"/>
              </w:rPr>
            </w:pPr>
            <w:r w:rsidRPr="00E73F6F">
              <w:rPr>
                <w:sz w:val="24"/>
                <w:szCs w:val="24"/>
                <w:lang w:bidi="en-US"/>
              </w:rPr>
              <w:t>Fürsorglichkeit</w:t>
            </w:r>
          </w:p>
          <w:p w14:paraId="7E81DB70" w14:textId="77777777" w:rsidR="00FF7799" w:rsidRPr="00E73F6F" w:rsidRDefault="00FF7799" w:rsidP="00862DBA">
            <w:pPr>
              <w:widowControl/>
              <w:adjustRightInd w:val="0"/>
              <w:jc w:val="both"/>
              <w:rPr>
                <w:sz w:val="24"/>
                <w:szCs w:val="24"/>
                <w:lang w:bidi="en-US"/>
              </w:rPr>
            </w:pPr>
            <w:r w:rsidRPr="00E73F6F">
              <w:rPr>
                <w:sz w:val="24"/>
                <w:szCs w:val="24"/>
                <w:lang w:bidi="en-US"/>
              </w:rPr>
              <w:t xml:space="preserve">(‘benevolence‘) </w:t>
            </w:r>
          </w:p>
        </w:tc>
        <w:tc>
          <w:tcPr>
            <w:tcW w:w="1875" w:type="pct"/>
          </w:tcPr>
          <w:p w14:paraId="56CC4CA6" w14:textId="77777777" w:rsidR="00FF7799" w:rsidRPr="00E73F6F" w:rsidRDefault="00FF7799" w:rsidP="00862DBA">
            <w:pPr>
              <w:widowControl/>
              <w:adjustRightInd w:val="0"/>
              <w:jc w:val="both"/>
              <w:rPr>
                <w:sz w:val="24"/>
                <w:szCs w:val="24"/>
                <w:lang w:bidi="en-US"/>
              </w:rPr>
            </w:pPr>
            <w:r w:rsidRPr="00E73F6F">
              <w:rPr>
                <w:sz w:val="24"/>
                <w:szCs w:val="24"/>
                <w:lang w:bidi="en-US"/>
              </w:rPr>
              <w:t>Erhalt und Förderung des Wohlergehens von nahestehenden Menschen</w:t>
            </w:r>
          </w:p>
        </w:tc>
        <w:tc>
          <w:tcPr>
            <w:tcW w:w="1875" w:type="pct"/>
          </w:tcPr>
          <w:p w14:paraId="76A56AF9" w14:textId="77777777" w:rsidR="00FF7799" w:rsidRPr="00E73F6F" w:rsidRDefault="00FF7799" w:rsidP="00862DBA">
            <w:pPr>
              <w:widowControl/>
              <w:adjustRightInd w:val="0"/>
              <w:jc w:val="both"/>
              <w:rPr>
                <w:sz w:val="24"/>
                <w:szCs w:val="24"/>
                <w:lang w:bidi="en-US"/>
              </w:rPr>
            </w:pPr>
            <w:r w:rsidRPr="00E73F6F">
              <w:rPr>
                <w:sz w:val="24"/>
                <w:szCs w:val="24"/>
                <w:lang w:bidi="en-US"/>
              </w:rPr>
              <w:t>Hilfsbereitschaft, Verantwortungsbewusstsein, Verträglichkeit, Ehrlichkeit, Loyalität, reife Liebe, Treue Freundschaft</w:t>
            </w:r>
          </w:p>
        </w:tc>
      </w:tr>
      <w:tr w:rsidR="00FF7799" w:rsidRPr="00E73F6F" w14:paraId="7DB82CCB" w14:textId="77777777" w:rsidTr="000709F3">
        <w:tc>
          <w:tcPr>
            <w:tcW w:w="1249" w:type="pct"/>
            <w:shd w:val="clear" w:color="auto" w:fill="FFF2CC" w:themeFill="accent4" w:themeFillTint="33"/>
          </w:tcPr>
          <w:p w14:paraId="4D507E87" w14:textId="77777777" w:rsidR="00FF7799" w:rsidRPr="00E73F6F" w:rsidRDefault="00FF7799" w:rsidP="00862DBA">
            <w:pPr>
              <w:widowControl/>
              <w:adjustRightInd w:val="0"/>
              <w:jc w:val="both"/>
              <w:rPr>
                <w:sz w:val="24"/>
                <w:szCs w:val="24"/>
                <w:lang w:bidi="en-US"/>
              </w:rPr>
            </w:pPr>
            <w:r w:rsidRPr="00E73F6F">
              <w:rPr>
                <w:sz w:val="24"/>
                <w:szCs w:val="24"/>
                <w:lang w:bidi="en-US"/>
              </w:rPr>
              <w:t>Universalität</w:t>
            </w:r>
          </w:p>
          <w:p w14:paraId="2412EAB2" w14:textId="77777777" w:rsidR="00FF7799" w:rsidRPr="00E73F6F" w:rsidRDefault="00FF7799" w:rsidP="00862DBA">
            <w:pPr>
              <w:widowControl/>
              <w:adjustRightInd w:val="0"/>
              <w:jc w:val="both"/>
              <w:rPr>
                <w:sz w:val="24"/>
                <w:szCs w:val="24"/>
                <w:lang w:bidi="en-US"/>
              </w:rPr>
            </w:pPr>
            <w:r w:rsidRPr="00E73F6F">
              <w:rPr>
                <w:sz w:val="24"/>
                <w:szCs w:val="24"/>
                <w:lang w:bidi="en-US"/>
              </w:rPr>
              <w:t>(‘universalism‘)</w:t>
            </w:r>
          </w:p>
        </w:tc>
        <w:tc>
          <w:tcPr>
            <w:tcW w:w="1875" w:type="pct"/>
          </w:tcPr>
          <w:p w14:paraId="04C2667D" w14:textId="77777777" w:rsidR="00FF7799" w:rsidRPr="00E73F6F" w:rsidRDefault="00FF7799" w:rsidP="00862DBA">
            <w:pPr>
              <w:widowControl/>
              <w:adjustRightInd w:val="0"/>
              <w:jc w:val="both"/>
              <w:rPr>
                <w:sz w:val="24"/>
                <w:szCs w:val="24"/>
                <w:lang w:bidi="en-US"/>
              </w:rPr>
            </w:pPr>
            <w:r w:rsidRPr="00E73F6F">
              <w:rPr>
                <w:sz w:val="24"/>
                <w:szCs w:val="24"/>
                <w:lang w:bidi="en-US"/>
              </w:rPr>
              <w:t>Verständnis, Toleranz und Schutz des Wohlergehens aller Menschen und der Natur</w:t>
            </w:r>
          </w:p>
        </w:tc>
        <w:tc>
          <w:tcPr>
            <w:tcW w:w="1875" w:type="pct"/>
          </w:tcPr>
          <w:p w14:paraId="30E28940" w14:textId="77777777" w:rsidR="00FF7799" w:rsidRPr="00E73F6F" w:rsidRDefault="00FF7799" w:rsidP="00862DBA">
            <w:pPr>
              <w:widowControl/>
              <w:adjustRightInd w:val="0"/>
              <w:jc w:val="both"/>
              <w:rPr>
                <w:sz w:val="24"/>
                <w:szCs w:val="24"/>
                <w:lang w:bidi="en-US"/>
              </w:rPr>
            </w:pPr>
            <w:r w:rsidRPr="00E73F6F">
              <w:rPr>
                <w:sz w:val="24"/>
                <w:szCs w:val="24"/>
                <w:lang w:bidi="en-US"/>
              </w:rPr>
              <w:t>Gleichheit, Einssein mit der Natur, Weisheit, soziale Gerechtigkeit, Weltoffenheit, Umweltschutz, Weltfrieden</w:t>
            </w:r>
          </w:p>
        </w:tc>
      </w:tr>
    </w:tbl>
    <w:p w14:paraId="1D9B7211" w14:textId="77777777" w:rsidR="00FF7799" w:rsidRPr="00E73F6F" w:rsidRDefault="00FF7799" w:rsidP="00815338">
      <w:pPr>
        <w:pStyle w:val="Quellen"/>
        <w:rPr>
          <w:lang w:bidi="en-US"/>
        </w:rPr>
      </w:pPr>
      <w:r w:rsidRPr="00E73F6F">
        <w:rPr>
          <w:lang w:bidi="en-US"/>
        </w:rPr>
        <w:t>Quelle: Mohler/Wohn (2005, S.3).</w:t>
      </w:r>
    </w:p>
    <w:p w14:paraId="6F73B5A3" w14:textId="77777777" w:rsidR="00FF7799" w:rsidRPr="00E73F6F" w:rsidRDefault="00FF7799" w:rsidP="00815338">
      <w:pPr>
        <w:pStyle w:val="StandardText"/>
      </w:pPr>
    </w:p>
    <w:p w14:paraId="450C28A6" w14:textId="77777777" w:rsidR="00FF7799" w:rsidRPr="00E73F6F" w:rsidRDefault="00FF7799" w:rsidP="00815338">
      <w:pPr>
        <w:pStyle w:val="StandardText"/>
      </w:pPr>
      <w:r w:rsidRPr="00E73F6F">
        <w:t xml:space="preserve">Schwartz/Bilsky (1990) unterzogen die Antworten der Auskunftspersonen einer Multidimensionalen Skalierung und stellten fest, dass die Datenstruktur in jeder Kultur hinreichend gut durch einen sog. Wertekreis abgebildet werden kann, dem eine zweidimensionale Metastruktur zugrunde liegt (vgl. auch Schwartz/Huismans 1995): </w:t>
      </w:r>
    </w:p>
    <w:p w14:paraId="7E803AA6" w14:textId="77777777" w:rsidR="00FF7799" w:rsidRPr="00E73F6F" w:rsidRDefault="00FF7799" w:rsidP="00D346BC">
      <w:pPr>
        <w:pStyle w:val="StandardTextAufzhlung"/>
        <w:ind w:left="426"/>
      </w:pPr>
      <w:r w:rsidRPr="00E73F6F">
        <w:t xml:space="preserve">Offenheit vs. Konservatismus, </w:t>
      </w:r>
    </w:p>
    <w:p w14:paraId="1856E40C" w14:textId="77777777" w:rsidR="00FF7799" w:rsidRPr="00E73F6F" w:rsidRDefault="00FF7799" w:rsidP="00D346BC">
      <w:pPr>
        <w:pStyle w:val="StandardTextAufzhlung"/>
        <w:ind w:left="426"/>
      </w:pPr>
      <w:r w:rsidRPr="00E73F6F">
        <w:t xml:space="preserve">Selbststranszendenz vs. Selbstwerterhöhung. </w:t>
      </w:r>
    </w:p>
    <w:p w14:paraId="58777002" w14:textId="77777777" w:rsidR="00FF7799" w:rsidRPr="00C76DC3" w:rsidRDefault="00FF7799" w:rsidP="00862DBA">
      <w:pPr>
        <w:spacing w:before="84"/>
        <w:jc w:val="both"/>
        <w:rPr>
          <w:i/>
          <w:iCs/>
          <w:sz w:val="24"/>
          <w:szCs w:val="24"/>
        </w:rPr>
      </w:pPr>
    </w:p>
    <w:p w14:paraId="7910D9C9" w14:textId="77777777" w:rsidR="00FF7799" w:rsidRPr="00C76DC3" w:rsidRDefault="00FF7799" w:rsidP="00815338">
      <w:pPr>
        <w:pStyle w:val="BeschriftungTab"/>
        <w:rPr>
          <w:i/>
          <w:iCs/>
        </w:rPr>
      </w:pPr>
      <w:r w:rsidRPr="00C76DC3">
        <w:rPr>
          <w:i/>
          <w:iCs/>
        </w:rPr>
        <w:t>Abb. 1: Ursprünglicher zehngliedriger Wertekreis</w:t>
      </w:r>
    </w:p>
    <w:p w14:paraId="167FE4CA" w14:textId="77777777" w:rsidR="00FF7799" w:rsidRPr="00E73F6F" w:rsidRDefault="00FF7799" w:rsidP="00815338">
      <w:pPr>
        <w:spacing w:before="84"/>
        <w:jc w:val="center"/>
        <w:rPr>
          <w:sz w:val="24"/>
          <w:szCs w:val="24"/>
        </w:rPr>
      </w:pPr>
      <w:r w:rsidRPr="00E73F6F">
        <w:rPr>
          <w:noProof/>
          <w:sz w:val="24"/>
          <w:szCs w:val="24"/>
          <w:lang w:eastAsia="de-DE"/>
        </w:rPr>
        <w:drawing>
          <wp:inline distT="0" distB="0" distL="0" distR="0" wp14:anchorId="4ABAC695" wp14:editId="7A611C31">
            <wp:extent cx="4886553" cy="3954944"/>
            <wp:effectExtent l="0" t="0" r="0" b="7620"/>
            <wp:docPr id="2295882" name="Grafik 2295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901987" cy="3967435"/>
                    </a:xfrm>
                    <a:prstGeom prst="rect">
                      <a:avLst/>
                    </a:prstGeom>
                    <a:noFill/>
                  </pic:spPr>
                </pic:pic>
              </a:graphicData>
            </a:graphic>
          </wp:inline>
        </w:drawing>
      </w:r>
    </w:p>
    <w:p w14:paraId="4378DB18" w14:textId="77777777" w:rsidR="00FF7799" w:rsidRPr="00E73F6F" w:rsidRDefault="00FF7799" w:rsidP="00815338">
      <w:pPr>
        <w:pStyle w:val="Quellen"/>
      </w:pPr>
      <w:r w:rsidRPr="00E73F6F">
        <w:t>Quelle: in Anlehnung an Schwartz (1992).</w:t>
      </w:r>
    </w:p>
    <w:p w14:paraId="0E7A0D06" w14:textId="77777777" w:rsidR="00FF7799" w:rsidRPr="00E73F6F" w:rsidRDefault="00FF7799" w:rsidP="00862DBA">
      <w:pPr>
        <w:spacing w:before="84"/>
        <w:jc w:val="both"/>
        <w:rPr>
          <w:sz w:val="24"/>
          <w:szCs w:val="24"/>
        </w:rPr>
      </w:pPr>
    </w:p>
    <w:p w14:paraId="7B5268D5" w14:textId="77777777" w:rsidR="00FF7799" w:rsidRPr="00E73F6F" w:rsidRDefault="00FF7799" w:rsidP="00815338">
      <w:pPr>
        <w:pStyle w:val="StandardText"/>
      </w:pPr>
      <w:r w:rsidRPr="00E73F6F">
        <w:t xml:space="preserve">Die bipolare Dimension „Offenheit vs. Konservatismus“ repräsentiert einerseits die universalen Werte Hedonismus, Anregung sowie Selbstbestimmtheit und andererseits die universalen </w:t>
      </w:r>
      <w:r w:rsidRPr="00E73F6F">
        <w:lastRenderedPageBreak/>
        <w:t>Werte Sicherheit, Konformität und Tradition. Auf der zweiten Dimension sind dem Pol „Selbsttranszendenz“ die Werte Universalität und Fürsorglichkeit zugeordnet. Ihm steht der Pol „Selbstwerterhöhung“ mit den Werten Erfolg und Macht gegenüber. Denn gemäß einer Annahme von S.H. Schwartz entsprechen die Wertetypen motivationalen Zielen, die sich ergänzen, aber auch miteinander konkurrieren können. „Diese Ergänzungs-/Konkurrenzstruktur lässt sich als Kreisbild darstellen. Dabei liegen ähnlichen Zielen entsprechende Wertetypen nahe beieinander und konfligierende einander gegenüber“ (Mohler/Wong 2005, S.1).</w:t>
      </w:r>
    </w:p>
    <w:p w14:paraId="238CA26D" w14:textId="77777777" w:rsidR="00FF7799" w:rsidRPr="00E73F6F" w:rsidRDefault="00FF7799" w:rsidP="00815338">
      <w:pPr>
        <w:pStyle w:val="StandardText"/>
      </w:pPr>
    </w:p>
    <w:p w14:paraId="653FEA90" w14:textId="77777777" w:rsidR="00FF7799" w:rsidRPr="00015AD7" w:rsidRDefault="00FF7799" w:rsidP="001F4D06">
      <w:pPr>
        <w:pStyle w:val="StandardTextkursiv"/>
        <w:rPr>
          <w:i w:val="0"/>
        </w:rPr>
      </w:pPr>
      <w:r w:rsidRPr="00015AD7">
        <w:rPr>
          <w:i w:val="0"/>
        </w:rPr>
        <w:t>2.2 Validierung</w:t>
      </w:r>
    </w:p>
    <w:p w14:paraId="601694A4" w14:textId="77777777" w:rsidR="00FF7799" w:rsidRPr="00015AD7" w:rsidRDefault="00FF7799" w:rsidP="00815338">
      <w:pPr>
        <w:pStyle w:val="StandardText"/>
      </w:pPr>
      <w:r w:rsidRPr="00015AD7">
        <w:t>Die universelle Gültigkeit dieses Wertesystems wurde mehrfach überprüft, etwa von Mohler/Wohn (2005) unter Verwendung von Daten des European Social Survey (ESS), der 40.856 Auskunftspersonen aus 21 Ländern umfasst. Die Mannheimer Wissenschaftler konnten die postulierte zehnteilige Wertestruktur jedoch nur für die irische Stichprobe replizieren. Aber auch dort entsprachen die Beziehungen zwischen den Wertetypen nicht dem theoretischen Modell. Vielmehr grenzten die Wertetypen „Sicherheit“ und „Fürsorglichkeit“ unmittelbar aneinander an, obwohl theoriegemäß die Wertetypen „Konformität“ und „Tradition“ zwischen ihnen liegen müssten. Davidov et al. (2008), Davidov (2008) und Davidov/Schmidt (2007) wiederum berichten, dass gemäß den von ihnen durchgeführten konfirmatorischen Mehrgruppen-Faktorenanalysen folgende Wertetypen hoch miteinander korrelieren:</w:t>
      </w:r>
    </w:p>
    <w:p w14:paraId="5D513ADB" w14:textId="77777777" w:rsidR="00FF7799" w:rsidRPr="00015AD7" w:rsidRDefault="00FF7799" w:rsidP="00D346BC">
      <w:pPr>
        <w:pStyle w:val="StandardTextAufzhlung"/>
        <w:ind w:left="426"/>
      </w:pPr>
      <w:r w:rsidRPr="00015AD7">
        <w:t>Universalität und Fürsorglichkeit,</w:t>
      </w:r>
    </w:p>
    <w:p w14:paraId="104BD740" w14:textId="77777777" w:rsidR="00FF7799" w:rsidRPr="00015AD7" w:rsidRDefault="00FF7799" w:rsidP="00D346BC">
      <w:pPr>
        <w:pStyle w:val="StandardTextAufzhlung"/>
        <w:ind w:left="426"/>
      </w:pPr>
      <w:r w:rsidRPr="00015AD7">
        <w:t>Konformität und Tradition,</w:t>
      </w:r>
    </w:p>
    <w:p w14:paraId="488D771C" w14:textId="77777777" w:rsidR="00FF7799" w:rsidRPr="00015AD7" w:rsidRDefault="00FF7799" w:rsidP="00D346BC">
      <w:pPr>
        <w:pStyle w:val="StandardTextAufzhlung"/>
        <w:ind w:left="426"/>
      </w:pPr>
      <w:r w:rsidRPr="00015AD7">
        <w:t xml:space="preserve">Macht und Erfolg. </w:t>
      </w:r>
    </w:p>
    <w:p w14:paraId="761F443C" w14:textId="77777777" w:rsidR="00FF7799" w:rsidRPr="00015AD7" w:rsidRDefault="00FF7799" w:rsidP="00815338">
      <w:pPr>
        <w:pStyle w:val="StandardText"/>
      </w:pPr>
      <w:r w:rsidRPr="00015AD7">
        <w:t>Obwohl Knoppen/Saris (2009) nachweisen konnten, dass die beschriebenen Inkonsistenzen auf methodische Besonderheiten des European Social Survey (insb. der Kurzfassung und Umformulierung des Item-Katalogs) zurückzuführen sind, hat sich in den Folgejahren die revidierte Wertetheorie durchgesetzt, welche die ursprünglich zehn auf sieben universale Werte reduziert (vgl. Schwartz 1999).</w:t>
      </w:r>
    </w:p>
    <w:p w14:paraId="2889B48C" w14:textId="77777777" w:rsidR="00FF7799" w:rsidRPr="00015AD7" w:rsidRDefault="00FF7799" w:rsidP="00815338">
      <w:pPr>
        <w:pStyle w:val="StandardText"/>
      </w:pPr>
    </w:p>
    <w:p w14:paraId="45E0375A" w14:textId="77777777" w:rsidR="00FF7799" w:rsidRPr="00015AD7" w:rsidRDefault="00FF7799" w:rsidP="001F4D06">
      <w:pPr>
        <w:pStyle w:val="StandardTextkursiv"/>
        <w:rPr>
          <w:i w:val="0"/>
        </w:rPr>
      </w:pPr>
      <w:r w:rsidRPr="00015AD7">
        <w:rPr>
          <w:i w:val="0"/>
        </w:rPr>
        <w:t>3 Modell der sieben universalen Werte</w:t>
      </w:r>
    </w:p>
    <w:p w14:paraId="45B83F07" w14:textId="77777777" w:rsidR="00FF7799" w:rsidRPr="00015AD7" w:rsidRDefault="00FF7799" w:rsidP="001F4D06">
      <w:pPr>
        <w:pStyle w:val="StandardTextkursiv"/>
        <w:rPr>
          <w:i w:val="0"/>
        </w:rPr>
      </w:pPr>
      <w:r w:rsidRPr="00015AD7">
        <w:rPr>
          <w:i w:val="0"/>
        </w:rPr>
        <w:t>3.1 Revidierter Wertekreis</w:t>
      </w:r>
    </w:p>
    <w:p w14:paraId="4856C662" w14:textId="77777777" w:rsidR="00FF7799" w:rsidRPr="00E35FFF" w:rsidRDefault="00FF7799" w:rsidP="00815338">
      <w:pPr>
        <w:pStyle w:val="StandardText"/>
        <w:rPr>
          <w:lang w:val="en-US"/>
        </w:rPr>
      </w:pPr>
      <w:r w:rsidRPr="00E73F6F">
        <w:t xml:space="preserve">Erneut ging Schwartz (1999) davon aus, dass alle Gesellschaften Wege finden müssen, wie sie die eingangs beschriebenen Grundprobleme menschlicher Existenz bewältigen können (z.B. Wahrung der sozialen Ordnung). Für jedes ihrer drei existentiellen gesellschaftlichen Probleme (‘issues‘) haben die menschlichen Gesellschaften im Laufe ihrer Entwicklungsgeschichte kulturspezifische Lösungsstrategien entwickelt. Diese sind als Wertetypen beschreibbar, angeordnet auf drei bipolaren Wertedimensionen: „Konservatismus vs. intellektuelle Autonomie“ sowie „affektive Autonomie, Hierarchie vs. Gleichheit“ und „Harmonie vs. Herrschaft“ (vgl. </w:t>
      </w:r>
      <w:r w:rsidRPr="00E73F6F">
        <w:fldChar w:fldCharType="begin"/>
      </w:r>
      <w:r w:rsidRPr="00E73F6F">
        <w:instrText xml:space="preserve"> REF _Ref413257336 \h  \* MERGEFORMAT </w:instrText>
      </w:r>
      <w:r w:rsidRPr="00E73F6F">
        <w:fldChar w:fldCharType="separate"/>
      </w:r>
      <w:r w:rsidRPr="00E73F6F">
        <w:t>Tab. 36</w:t>
      </w:r>
      <w:r w:rsidRPr="00E73F6F">
        <w:fldChar w:fldCharType="end"/>
      </w:r>
      <w:r w:rsidRPr="00E73F6F">
        <w:t xml:space="preserve">). </w:t>
      </w:r>
      <w:r w:rsidRPr="00E35FFF">
        <w:rPr>
          <w:lang w:val="en-US"/>
        </w:rPr>
        <w:t>„Seven types of values are identified, structured along three polar dimensions: Conservatism vs. Intellectual and Affective Autonomy, Hierarchy versus Egalitarianism, and Mastery vs. Harmony“ (Schwartz 1999, S.23).</w:t>
      </w:r>
    </w:p>
    <w:p w14:paraId="44058B72" w14:textId="77777777" w:rsidR="00FF7799" w:rsidRPr="00E35FFF" w:rsidRDefault="00FF7799" w:rsidP="00815338">
      <w:pPr>
        <w:pStyle w:val="StandardText"/>
        <w:rPr>
          <w:lang w:val="en-US"/>
        </w:rPr>
      </w:pPr>
    </w:p>
    <w:p w14:paraId="23C37932" w14:textId="77777777" w:rsidR="00FF7799" w:rsidRPr="007D6CC1" w:rsidRDefault="00FF7799" w:rsidP="00815338">
      <w:pPr>
        <w:pStyle w:val="BeschriftungTab"/>
        <w:rPr>
          <w:i/>
          <w:iCs/>
        </w:rPr>
      </w:pPr>
      <w:bookmarkStart w:id="59" w:name="_Ref413257336"/>
      <w:r w:rsidRPr="007D6CC1">
        <w:rPr>
          <w:i/>
          <w:iCs/>
        </w:rPr>
        <w:t>Tab.</w:t>
      </w:r>
      <w:bookmarkEnd w:id="59"/>
      <w:r w:rsidRPr="007D6CC1">
        <w:rPr>
          <w:i/>
          <w:iCs/>
        </w:rPr>
        <w:t xml:space="preserve"> </w:t>
      </w:r>
      <w:r w:rsidRPr="007D6CC1">
        <w:rPr>
          <w:i/>
          <w:iCs/>
          <w:noProof/>
        </w:rPr>
        <w:t>2</w:t>
      </w:r>
      <w:r w:rsidRPr="007D6CC1">
        <w:rPr>
          <w:i/>
          <w:iCs/>
        </w:rPr>
        <w:t>: Grundprobleme von Gesellschaften &amp; Lösungsansätze nach Schwartz</w:t>
      </w:r>
    </w:p>
    <w:tbl>
      <w:tblPr>
        <w:tblStyle w:val="Tabellenraster"/>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1561"/>
        <w:gridCol w:w="1843"/>
        <w:gridCol w:w="5668"/>
      </w:tblGrid>
      <w:tr w:rsidR="00FF7799" w:rsidRPr="00E73F6F" w14:paraId="3C984CA3" w14:textId="77777777" w:rsidTr="001C7BD7">
        <w:trPr>
          <w:tblHeader/>
        </w:trPr>
        <w:tc>
          <w:tcPr>
            <w:tcW w:w="860" w:type="pct"/>
            <w:shd w:val="clear" w:color="auto" w:fill="FFC000"/>
          </w:tcPr>
          <w:p w14:paraId="1D0D3268" w14:textId="77777777" w:rsidR="00FF7799" w:rsidRPr="00E73F6F" w:rsidRDefault="00FF7799" w:rsidP="00815338">
            <w:pPr>
              <w:pStyle w:val="StandardText"/>
              <w:spacing w:after="120"/>
              <w:jc w:val="center"/>
              <w:rPr>
                <w:b/>
              </w:rPr>
            </w:pPr>
            <w:r w:rsidRPr="00E73F6F">
              <w:rPr>
                <w:b/>
              </w:rPr>
              <w:lastRenderedPageBreak/>
              <w:t>Problem-</w:t>
            </w:r>
            <w:r w:rsidRPr="00E73F6F">
              <w:rPr>
                <w:b/>
              </w:rPr>
              <w:br/>
              <w:t>bereich</w:t>
            </w:r>
          </w:p>
        </w:tc>
        <w:tc>
          <w:tcPr>
            <w:tcW w:w="1016" w:type="pct"/>
            <w:shd w:val="clear" w:color="auto" w:fill="FFC000"/>
          </w:tcPr>
          <w:p w14:paraId="1E537EF3" w14:textId="77777777" w:rsidR="00FF7799" w:rsidRPr="00E73F6F" w:rsidRDefault="00FF7799" w:rsidP="00815338">
            <w:pPr>
              <w:pStyle w:val="StandardText"/>
              <w:spacing w:after="120"/>
              <w:jc w:val="center"/>
              <w:rPr>
                <w:b/>
              </w:rPr>
            </w:pPr>
            <w:r w:rsidRPr="00E73F6F">
              <w:rPr>
                <w:b/>
              </w:rPr>
              <w:t>Werte-</w:t>
            </w:r>
            <w:r w:rsidRPr="00E73F6F">
              <w:rPr>
                <w:b/>
              </w:rPr>
              <w:br/>
              <w:t>dimension</w:t>
            </w:r>
          </w:p>
        </w:tc>
        <w:tc>
          <w:tcPr>
            <w:tcW w:w="3124" w:type="pct"/>
            <w:shd w:val="clear" w:color="auto" w:fill="FFC000"/>
          </w:tcPr>
          <w:p w14:paraId="0439E87A" w14:textId="77777777" w:rsidR="00FF7799" w:rsidRPr="00E73F6F" w:rsidRDefault="00FF7799" w:rsidP="00815338">
            <w:pPr>
              <w:pStyle w:val="StandardText"/>
              <w:spacing w:after="120"/>
              <w:jc w:val="center"/>
              <w:rPr>
                <w:b/>
              </w:rPr>
            </w:pPr>
            <w:r w:rsidRPr="00E73F6F">
              <w:rPr>
                <w:b/>
              </w:rPr>
              <w:t>Lösungsansatz</w:t>
            </w:r>
          </w:p>
        </w:tc>
      </w:tr>
      <w:tr w:rsidR="00FF7799" w:rsidRPr="00E73F6F" w14:paraId="07E75FE7" w14:textId="77777777" w:rsidTr="00015AD7">
        <w:tc>
          <w:tcPr>
            <w:tcW w:w="860" w:type="pct"/>
            <w:shd w:val="clear" w:color="auto" w:fill="FFF2CC" w:themeFill="accent4" w:themeFillTint="33"/>
          </w:tcPr>
          <w:p w14:paraId="39C0EB85" w14:textId="77777777" w:rsidR="00FF7799" w:rsidRPr="00E73F6F" w:rsidRDefault="00FF7799" w:rsidP="001C7BD7">
            <w:pPr>
              <w:pStyle w:val="StandardText"/>
              <w:jc w:val="left"/>
            </w:pPr>
            <w:r w:rsidRPr="00E73F6F">
              <w:t xml:space="preserve">Verhältnis zwischen </w:t>
            </w:r>
            <w:r w:rsidRPr="00E73F6F">
              <w:br/>
              <w:t>Individuum &amp; Gruppe</w:t>
            </w:r>
            <w:r w:rsidRPr="00E73F6F">
              <w:br/>
            </w:r>
          </w:p>
        </w:tc>
        <w:tc>
          <w:tcPr>
            <w:tcW w:w="1016" w:type="pct"/>
          </w:tcPr>
          <w:p w14:paraId="39183325" w14:textId="77777777" w:rsidR="00FF7799" w:rsidRPr="00E73F6F" w:rsidRDefault="00FF7799" w:rsidP="001C7BD7">
            <w:pPr>
              <w:pStyle w:val="StandardText"/>
              <w:jc w:val="left"/>
            </w:pPr>
            <w:r w:rsidRPr="00E73F6F">
              <w:t>Konservatismus (‘conser</w:t>
            </w:r>
            <w:r w:rsidRPr="00E73F6F">
              <w:softHyphen/>
              <w:t>vatism‘) vs. intellektuelle Autonomie (‘intellectual auto</w:t>
            </w:r>
            <w:r w:rsidRPr="00E73F6F">
              <w:softHyphen/>
              <w:t>nomy‘) und affektive Auto</w:t>
            </w:r>
            <w:r w:rsidRPr="00E73F6F">
              <w:softHyphen/>
              <w:t>nomie (‘affective autonomy‘)</w:t>
            </w:r>
          </w:p>
        </w:tc>
        <w:tc>
          <w:tcPr>
            <w:tcW w:w="3124" w:type="pct"/>
          </w:tcPr>
          <w:p w14:paraId="706EE682" w14:textId="77777777" w:rsidR="00FF7799" w:rsidRPr="00E73F6F" w:rsidRDefault="00FF7799" w:rsidP="001C7BD7">
            <w:pPr>
              <w:pStyle w:val="StandardText"/>
              <w:jc w:val="left"/>
            </w:pPr>
            <w:r w:rsidRPr="00E73F6F">
              <w:t>Gesellschaften, die nach Möglichkeit am Status Quo festhalten und Handlungen ablehnen, welche die Gruppensolidarität und die traditionelle Ordnung gefährden, favorisieren den Wertetyp Konservatismus. Wichtig sind Sicherheit, Tradition und Anciennität.</w:t>
            </w:r>
          </w:p>
          <w:p w14:paraId="698E01C9" w14:textId="77777777" w:rsidR="00FF7799" w:rsidRPr="00E73F6F" w:rsidRDefault="00FF7799" w:rsidP="001C7BD7">
            <w:pPr>
              <w:pStyle w:val="StandardText"/>
              <w:jc w:val="left"/>
            </w:pPr>
            <w:r w:rsidRPr="00E73F6F">
              <w:t>Den Gegenpol bildet der Wertetyp Autonomie, der in intellektuelle und affektive Autonomie differenziert wird. Intellektuelle Autonomie beschreibt die Intensität, mit der Individuen ihre intellektuellen Interessen verfolgen und die Verwirklichung ihrer persönlichen Ziele erstreben. Wichtig sind Neugierde, Offenheit und Kreativität. In affektiv autonomen Gesellschaften hat das individuelle Streben nach positiven emotionalen Erlebnissen einen hohen Stellenwert. Wichtig sind Vergnügen und Abwechslung.</w:t>
            </w:r>
          </w:p>
        </w:tc>
      </w:tr>
      <w:tr w:rsidR="00FF7799" w:rsidRPr="00E73F6F" w14:paraId="3F55BF6D" w14:textId="77777777" w:rsidTr="00015AD7">
        <w:tc>
          <w:tcPr>
            <w:tcW w:w="860" w:type="pct"/>
            <w:shd w:val="clear" w:color="auto" w:fill="FFF2CC" w:themeFill="accent4" w:themeFillTint="33"/>
          </w:tcPr>
          <w:p w14:paraId="5256D943" w14:textId="77777777" w:rsidR="00FF7799" w:rsidRPr="00E73F6F" w:rsidRDefault="00FF7799" w:rsidP="001C7BD7">
            <w:pPr>
              <w:pStyle w:val="StandardText"/>
              <w:jc w:val="left"/>
            </w:pPr>
            <w:r w:rsidRPr="00E73F6F">
              <w:t xml:space="preserve">Verantwortungsvolles </w:t>
            </w:r>
            <w:r w:rsidRPr="00E73F6F">
              <w:br/>
              <w:t>soziales Verhalten</w:t>
            </w:r>
          </w:p>
        </w:tc>
        <w:tc>
          <w:tcPr>
            <w:tcW w:w="1016" w:type="pct"/>
          </w:tcPr>
          <w:p w14:paraId="68D9CFF4" w14:textId="77777777" w:rsidR="00FF7799" w:rsidRPr="00E73F6F" w:rsidRDefault="00FF7799" w:rsidP="001C7BD7">
            <w:pPr>
              <w:pStyle w:val="StandardText"/>
              <w:jc w:val="left"/>
            </w:pPr>
            <w:r w:rsidRPr="00E73F6F">
              <w:t>Hierarchie (‘hierarchy‘) vs. Gleichheit (‘egalitarianism‘)</w:t>
            </w:r>
          </w:p>
        </w:tc>
        <w:tc>
          <w:tcPr>
            <w:tcW w:w="3124" w:type="pct"/>
          </w:tcPr>
          <w:p w14:paraId="070BC412" w14:textId="77777777" w:rsidR="00FF7799" w:rsidRPr="00E73F6F" w:rsidRDefault="00FF7799" w:rsidP="001C7BD7">
            <w:pPr>
              <w:pStyle w:val="StandardText"/>
              <w:jc w:val="left"/>
            </w:pPr>
            <w:r w:rsidRPr="00E73F6F">
              <w:t>Was veranlasst Menschen, sich verantwortungsbewusst zu verhalten? In Gesellschaften, welche „Gleichheit“ favorisieren, haben die Menschen es gelernt, sich verantwortungsvoll zu verhalten, indem sie ihre eigenen Interessen zugunsten der Bedürfnisse ihrer Mitmenschen zurückstellen. Wichtig sind soziale Gerechtigkeit, Freiheit und verantwortliches Handeln.</w:t>
            </w:r>
          </w:p>
          <w:p w14:paraId="696DA6C0" w14:textId="77777777" w:rsidR="00FF7799" w:rsidRPr="00E73F6F" w:rsidRDefault="00FF7799" w:rsidP="001C7BD7">
            <w:pPr>
              <w:pStyle w:val="StandardText"/>
              <w:jc w:val="left"/>
            </w:pPr>
          </w:p>
          <w:p w14:paraId="2EA30724" w14:textId="77777777" w:rsidR="00FF7799" w:rsidRPr="00E73F6F" w:rsidRDefault="00FF7799" w:rsidP="001C7BD7">
            <w:pPr>
              <w:pStyle w:val="StandardText"/>
              <w:jc w:val="left"/>
            </w:pPr>
            <w:r w:rsidRPr="00E73F6F">
              <w:t>Angehörige von hierarchischen Gesellschaften hingegen nehmen eine ungleiche Verteilung von Macht, sozialen Rollen und Ressourcen als gegeben hin. Dort verhält sich verantwortungsvoll, wer die hierarchisch strukturierte soziale Ordnung toleriert. Wichtig sind soziale Macht, Autorität und Wohlstand.</w:t>
            </w:r>
          </w:p>
        </w:tc>
      </w:tr>
      <w:tr w:rsidR="00FF7799" w:rsidRPr="00E73F6F" w14:paraId="50DDE0A9" w14:textId="77777777" w:rsidTr="00015AD7">
        <w:tc>
          <w:tcPr>
            <w:tcW w:w="860" w:type="pct"/>
            <w:shd w:val="clear" w:color="auto" w:fill="FFF2CC" w:themeFill="accent4" w:themeFillTint="33"/>
          </w:tcPr>
          <w:p w14:paraId="579DA026" w14:textId="77777777" w:rsidR="00FF7799" w:rsidRPr="00E73F6F" w:rsidRDefault="00FF7799" w:rsidP="001C7BD7">
            <w:pPr>
              <w:pStyle w:val="StandardText"/>
              <w:jc w:val="left"/>
            </w:pPr>
            <w:r w:rsidRPr="00E73F6F">
              <w:rPr>
                <w:lang w:bidi="en-US"/>
              </w:rPr>
              <w:t>Verhältnis des Einzelnen zu seiner sozialen &amp; natürlichen Umwelt</w:t>
            </w:r>
          </w:p>
        </w:tc>
        <w:tc>
          <w:tcPr>
            <w:tcW w:w="1016" w:type="pct"/>
          </w:tcPr>
          <w:p w14:paraId="5515ACB1" w14:textId="77777777" w:rsidR="00FF7799" w:rsidRPr="00E73F6F" w:rsidRDefault="00FF7799" w:rsidP="001C7BD7">
            <w:pPr>
              <w:pStyle w:val="StandardText"/>
              <w:jc w:val="left"/>
            </w:pPr>
            <w:r w:rsidRPr="00E73F6F">
              <w:rPr>
                <w:lang w:bidi="en-US"/>
              </w:rPr>
              <w:t>Harmonie (</w:t>
            </w:r>
            <w:r w:rsidRPr="00E73F6F">
              <w:t>‘</w:t>
            </w:r>
            <w:r w:rsidRPr="00E73F6F">
              <w:rPr>
                <w:lang w:bidi="en-US"/>
              </w:rPr>
              <w:t>harmony</w:t>
            </w:r>
            <w:r w:rsidRPr="00E73F6F">
              <w:t>‘</w:t>
            </w:r>
            <w:r w:rsidRPr="00E73F6F">
              <w:rPr>
                <w:lang w:bidi="en-US"/>
              </w:rPr>
              <w:t>) vs. Herrschaft (</w:t>
            </w:r>
            <w:r w:rsidRPr="00E73F6F">
              <w:t>‘</w:t>
            </w:r>
            <w:r w:rsidRPr="00E73F6F">
              <w:rPr>
                <w:lang w:bidi="en-US"/>
              </w:rPr>
              <w:t>mastery</w:t>
            </w:r>
            <w:r w:rsidRPr="00E73F6F">
              <w:t>‘</w:t>
            </w:r>
            <w:r w:rsidRPr="00E73F6F">
              <w:rPr>
                <w:lang w:bidi="en-US"/>
              </w:rPr>
              <w:t>)</w:t>
            </w:r>
          </w:p>
        </w:tc>
        <w:tc>
          <w:tcPr>
            <w:tcW w:w="3124" w:type="pct"/>
          </w:tcPr>
          <w:p w14:paraId="3B8EE8CE" w14:textId="77777777" w:rsidR="00FF7799" w:rsidRPr="00E73F6F" w:rsidRDefault="00FF7799" w:rsidP="001C7BD7">
            <w:pPr>
              <w:pStyle w:val="StandardText"/>
              <w:jc w:val="left"/>
              <w:rPr>
                <w:lang w:bidi="en-US"/>
              </w:rPr>
            </w:pPr>
            <w:r w:rsidRPr="00E73F6F">
              <w:t xml:space="preserve">Gesellschaften, in denen es Konsens ist, dass Menschen ihre Umwelt beherrschen sollten, schätzen den Wertetyp „Herrschaft“. Wichtige Problembewältigungsstrategien sind dort </w:t>
            </w:r>
            <w:r w:rsidRPr="00E73F6F">
              <w:rPr>
                <w:lang w:bidi="en-US"/>
              </w:rPr>
              <w:t xml:space="preserve">Durchsetzungsvermögen, Ehrgeiz, Leistung und Selbstbewusstsein. </w:t>
            </w:r>
          </w:p>
          <w:p w14:paraId="7485ECE4" w14:textId="77777777" w:rsidR="00FF7799" w:rsidRPr="00E73F6F" w:rsidRDefault="00FF7799" w:rsidP="001C7BD7">
            <w:pPr>
              <w:pStyle w:val="StandardText"/>
              <w:jc w:val="left"/>
            </w:pPr>
            <w:r w:rsidRPr="00E73F6F">
              <w:rPr>
                <w:lang w:bidi="en-US"/>
              </w:rPr>
              <w:t>In Gesellschaften, die ein Leben im Einklang mit der Natur für erstrebenswert halten, erfüllt das Streben nach Harmonie die zentrale Ordnungsfunktion</w:t>
            </w:r>
          </w:p>
        </w:tc>
      </w:tr>
    </w:tbl>
    <w:p w14:paraId="6B009AB8" w14:textId="77777777" w:rsidR="00FF7799" w:rsidRPr="00E73F6F" w:rsidRDefault="00FF7799" w:rsidP="001F4D06">
      <w:pPr>
        <w:pStyle w:val="Quellen"/>
      </w:pPr>
      <w:r w:rsidRPr="00E73F6F">
        <w:rPr>
          <w:lang w:bidi="en-US"/>
        </w:rPr>
        <w:t>Quelle: eigene Darstellung auf der Basis von Schwartz (1999, S.26ff.).</w:t>
      </w:r>
    </w:p>
    <w:p w14:paraId="113C7131" w14:textId="77777777" w:rsidR="00FF7799" w:rsidRPr="00E73F6F" w:rsidRDefault="00FF7799" w:rsidP="001F4D06">
      <w:pPr>
        <w:pStyle w:val="StandardText"/>
        <w:rPr>
          <w:lang w:bidi="en-US"/>
        </w:rPr>
      </w:pPr>
    </w:p>
    <w:p w14:paraId="56CF3174" w14:textId="77777777" w:rsidR="00FF7799" w:rsidRPr="00E35FFF" w:rsidRDefault="00FF7799" w:rsidP="001F4D06">
      <w:pPr>
        <w:pStyle w:val="StandardText"/>
        <w:rPr>
          <w:lang w:val="en-US"/>
        </w:rPr>
      </w:pPr>
      <w:r w:rsidRPr="00E73F6F">
        <w:t xml:space="preserve">Der in Abb. 2 dargestellte Wertekreis („Wertesystem mit sieben Wertetypen) visualisiert diese Beziehungen. Konträre Wertetypen stehen sich, von der Mitte des Kreises aus betrachtet, gegenüber – d.h. sie schließen einander aus (z.B. Harmonie vs. Herrschaft). Wertetypen, die hoch miteinander korrelieren – d.h. die gemeinsam auftreten können –, liegen hingegen nebeneinander (z.B. „Harmonie und Gleichheit“ oder „Hierarchie und Konservatismus“). </w:t>
      </w:r>
      <w:r w:rsidRPr="00E35FFF">
        <w:rPr>
          <w:lang w:val="en-US"/>
        </w:rPr>
        <w:t xml:space="preserve">„These dynamic </w:t>
      </w:r>
      <w:r w:rsidRPr="00E35FFF">
        <w:rPr>
          <w:lang w:val="en-US"/>
        </w:rPr>
        <w:lastRenderedPageBreak/>
        <w:t xml:space="preserve">relations of contradiction and compatibility among the seven cultural value types are postulated to lead to the integrated structure of cultural value systems” (Schwartz 1999, S.29). </w:t>
      </w:r>
    </w:p>
    <w:p w14:paraId="65A90202" w14:textId="77777777" w:rsidR="00FF7799" w:rsidRPr="00E35FFF" w:rsidRDefault="00FF7799" w:rsidP="001F4D06">
      <w:pPr>
        <w:pStyle w:val="StandardText"/>
        <w:rPr>
          <w:i/>
          <w:lang w:val="en-US"/>
        </w:rPr>
      </w:pPr>
      <w:bookmarkStart w:id="60" w:name="_Ref274741368"/>
    </w:p>
    <w:p w14:paraId="1FBF02E3" w14:textId="77777777" w:rsidR="00FF7799" w:rsidRPr="00C76DC3" w:rsidRDefault="00FF7799" w:rsidP="001F4D06">
      <w:pPr>
        <w:pStyle w:val="BeschriftungTab"/>
        <w:rPr>
          <w:i/>
          <w:iCs/>
        </w:rPr>
      </w:pPr>
      <w:bookmarkStart w:id="61" w:name="_Ref413257838"/>
      <w:bookmarkEnd w:id="60"/>
      <w:r w:rsidRPr="00C76DC3">
        <w:rPr>
          <w:i/>
          <w:iCs/>
        </w:rPr>
        <w:t>Abb.</w:t>
      </w:r>
      <w:bookmarkEnd w:id="61"/>
      <w:r w:rsidRPr="00C76DC3">
        <w:rPr>
          <w:i/>
          <w:iCs/>
          <w:noProof/>
        </w:rPr>
        <w:t xml:space="preserve"> 2</w:t>
      </w:r>
      <w:r w:rsidRPr="00C76DC3">
        <w:rPr>
          <w:i/>
          <w:iCs/>
        </w:rPr>
        <w:t>: Ursprünglicher &amp; revidierter Wertekreis im Vergleich</w:t>
      </w:r>
    </w:p>
    <w:p w14:paraId="7DDE711D" w14:textId="77777777" w:rsidR="00FF7799" w:rsidRPr="00E73F6F" w:rsidRDefault="00FF7799" w:rsidP="00E61226">
      <w:pPr>
        <w:widowControl/>
        <w:autoSpaceDE/>
        <w:autoSpaceDN/>
        <w:spacing w:line="360" w:lineRule="auto"/>
        <w:jc w:val="center"/>
        <w:rPr>
          <w:sz w:val="24"/>
          <w:szCs w:val="24"/>
          <w:lang w:eastAsia="de-DE"/>
        </w:rPr>
      </w:pPr>
      <w:r w:rsidRPr="00E73F6F">
        <w:rPr>
          <w:i/>
          <w:noProof/>
          <w:sz w:val="24"/>
          <w:szCs w:val="24"/>
          <w:lang w:eastAsia="de-DE"/>
        </w:rPr>
        <w:drawing>
          <wp:inline distT="0" distB="0" distL="0" distR="0" wp14:anchorId="7A836A60" wp14:editId="1E94D858">
            <wp:extent cx="5438318" cy="2758382"/>
            <wp:effectExtent l="0" t="0" r="0" b="4445"/>
            <wp:docPr id="2295883" name="Grafik 2295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5505353" cy="2792383"/>
                    </a:xfrm>
                    <a:prstGeom prst="rect">
                      <a:avLst/>
                    </a:prstGeom>
                    <a:noFill/>
                  </pic:spPr>
                </pic:pic>
              </a:graphicData>
            </a:graphic>
          </wp:inline>
        </w:drawing>
      </w:r>
    </w:p>
    <w:p w14:paraId="59A65DA5" w14:textId="77777777" w:rsidR="00FF7799" w:rsidRPr="00E73F6F" w:rsidRDefault="00FF7799" w:rsidP="001F4D06">
      <w:pPr>
        <w:pStyle w:val="Quellen"/>
      </w:pPr>
      <w:r w:rsidRPr="00E73F6F">
        <w:t xml:space="preserve">Quelle: Schwartz (1999, 1992). </w:t>
      </w:r>
    </w:p>
    <w:p w14:paraId="5E63635F" w14:textId="77777777" w:rsidR="00015AD7" w:rsidRDefault="00015AD7" w:rsidP="001F4D06">
      <w:pPr>
        <w:pStyle w:val="StandardText"/>
      </w:pPr>
    </w:p>
    <w:p w14:paraId="25E82AF3" w14:textId="77777777" w:rsidR="00FF7799" w:rsidRPr="00E73F6F" w:rsidRDefault="00FF7799" w:rsidP="001F4D06">
      <w:pPr>
        <w:pStyle w:val="StandardText"/>
      </w:pPr>
      <w:r w:rsidRPr="00E73F6F">
        <w:t xml:space="preserve">Die Überprüfung des revidierten Modells basiert auf insgesamt 122 Stichproben aus 49 Ländern (vgl. Schwartz 1999). Zur Sicherung der externen Validität (Realitätsbezug und Verständlichkeit) wurde jede Wertvorstellung durch eine kurze Erläuterung konkretisiert (z.B. Reichtum = materieller Besitz, Geld). Mehr als 35.000 Probanden gaben auf einer siebenstufigen Skala an, wie wichtig ihnen die in der Vorläuferstudie identifizierten 56 Werte sind (0 = nicht wichtig bis 7 = sehr wichtig). Überdies konnten sie mit -1 vermerken, wenn ein Wert dem eigenen Wertesystem vollkommen widerspricht. Die interkulturelle Validität der vermuteten Wertestruktur prüfte S.H. Schwartz mittels einer Similiarity Structure Analysis (SSA): einer nicht-metrischen Multidimensionalen Skalierung (vgl. Borg/Lingoes 1987; Guttman 1968). Abb. 3 stellt das Ergebnis der Multidimensionalen Skalierung der verbliebenen 45 Items und die zwischen den einzelnen Werten bestehenden Korrelationen vor. Sie wurden anhand der für jede der 122 Stichproben berechneten mittleren Wichtigkeiten ermittelt (vgl. Schwartz 1999, S.29f.). Jeder Wert (z.B. „Einklang mit der Natur“) wird in der Grafik durch einen Punkt symbolisiert. Nahe </w:t>
      </w:r>
      <w:r w:rsidR="00342772" w:rsidRPr="00E73F6F">
        <w:t>beieinanderliegende</w:t>
      </w:r>
      <w:r w:rsidRPr="00E73F6F">
        <w:t xml:space="preserve"> Punkte bzw. Werte (z.B. „Einklang mit der Natur“ und „Umweltschutz“) signalisieren positive Korrelationen, während weit voneinander entfernt liegende Punkte (d.h. die durch sie repräsentierten Werte) negativ korrelieren (z.B. „Einklang mit der Natur“ und „das Leben genießen“). </w:t>
      </w:r>
    </w:p>
    <w:p w14:paraId="56C47448" w14:textId="77777777" w:rsidR="00FF7799" w:rsidRPr="00E73F6F" w:rsidRDefault="00FF7799" w:rsidP="001F4D06">
      <w:pPr>
        <w:pStyle w:val="StandardText"/>
        <w:rPr>
          <w:lang w:bidi="en-US"/>
        </w:rPr>
      </w:pPr>
    </w:p>
    <w:p w14:paraId="49ADDD59" w14:textId="77777777" w:rsidR="00FF7799" w:rsidRPr="00C76DC3" w:rsidRDefault="00FF7799" w:rsidP="001F4D06">
      <w:pPr>
        <w:pStyle w:val="BeschriftungTab"/>
        <w:rPr>
          <w:i/>
          <w:iCs/>
        </w:rPr>
      </w:pPr>
      <w:bookmarkStart w:id="62" w:name="_Ref413257863"/>
      <w:r w:rsidRPr="00C76DC3">
        <w:rPr>
          <w:i/>
          <w:iCs/>
        </w:rPr>
        <w:t>Abb.</w:t>
      </w:r>
      <w:bookmarkEnd w:id="62"/>
      <w:r w:rsidRPr="00C76DC3">
        <w:rPr>
          <w:i/>
          <w:iCs/>
          <w:noProof/>
        </w:rPr>
        <w:t xml:space="preserve"> 3</w:t>
      </w:r>
      <w:r w:rsidRPr="00C76DC3">
        <w:rPr>
          <w:i/>
          <w:iCs/>
        </w:rPr>
        <w:t>: Multidimensionale Skalierung interkulturell stabiler Werte &amp; Wertetypen</w:t>
      </w:r>
    </w:p>
    <w:p w14:paraId="2E118E74" w14:textId="77777777" w:rsidR="00FF7799" w:rsidRPr="00E73F6F" w:rsidRDefault="00FF7799" w:rsidP="00E61226">
      <w:pPr>
        <w:widowControl/>
        <w:autoSpaceDE/>
        <w:autoSpaceDN/>
        <w:spacing w:before="120"/>
        <w:jc w:val="center"/>
        <w:rPr>
          <w:sz w:val="24"/>
          <w:szCs w:val="24"/>
        </w:rPr>
      </w:pPr>
      <w:r w:rsidRPr="00E73F6F">
        <w:rPr>
          <w:noProof/>
          <w:sz w:val="24"/>
          <w:szCs w:val="24"/>
          <w:lang w:eastAsia="de-DE"/>
        </w:rPr>
        <w:lastRenderedPageBreak/>
        <w:drawing>
          <wp:inline distT="0" distB="0" distL="0" distR="0" wp14:anchorId="4F3C57FF" wp14:editId="5908BC09">
            <wp:extent cx="5438775" cy="5178817"/>
            <wp:effectExtent l="0" t="0" r="0" b="0"/>
            <wp:docPr id="2295884" name="Grafik 2295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462286" cy="5201205"/>
                    </a:xfrm>
                    <a:prstGeom prst="rect">
                      <a:avLst/>
                    </a:prstGeom>
                    <a:noFill/>
                  </pic:spPr>
                </pic:pic>
              </a:graphicData>
            </a:graphic>
          </wp:inline>
        </w:drawing>
      </w:r>
    </w:p>
    <w:p w14:paraId="7292B9ED" w14:textId="77777777" w:rsidR="00FF7799" w:rsidRPr="00E73F6F" w:rsidRDefault="00FF7799" w:rsidP="00815338">
      <w:pPr>
        <w:pStyle w:val="Quellen"/>
      </w:pPr>
      <w:r w:rsidRPr="00E73F6F">
        <w:t>Quelle: Schwartz (1999, S.31).</w:t>
      </w:r>
    </w:p>
    <w:p w14:paraId="01F3A560" w14:textId="77777777" w:rsidR="00FF7799" w:rsidRPr="00E73F6F" w:rsidRDefault="00FF7799" w:rsidP="00862DBA">
      <w:pPr>
        <w:widowControl/>
        <w:autoSpaceDE/>
        <w:autoSpaceDN/>
        <w:spacing w:before="120"/>
        <w:jc w:val="both"/>
        <w:rPr>
          <w:sz w:val="24"/>
          <w:szCs w:val="24"/>
        </w:rPr>
      </w:pPr>
    </w:p>
    <w:p w14:paraId="7B1BF31E" w14:textId="77777777" w:rsidR="00FF7799" w:rsidRPr="00E73F6F" w:rsidRDefault="00FF7799" w:rsidP="001F4D06">
      <w:pPr>
        <w:pStyle w:val="StandardText"/>
      </w:pPr>
      <w:r w:rsidRPr="00E73F6F">
        <w:t>Auf Basis der universalen Werte identifizierte Schwartz (1999, S.36) vier eindeutig voneinander abgrenzbare Kulturräume: Westeuropa und Osteuropa, englischsprachige Länder und Fernost. Während der englischsprachige Kulturraum hoch auf den Dimensionen „Herrschaft“ (z.B. Beherrschung der Natur) und „affektive Autonomie“ (z.B. Vergnügen, Abwechslung) lädt, stehen in Westeuropa „intellektuelle Autonomie“ (z.B. Neugierde, Offenheit) und „Gleichheit“ im Vordergrund des Wertekonsens. Für Osteuropa waren zum Zeitpunkt der Untersuchung die Wertetypen „Konservatismus“ und „Harmonie“ charakteristisch und für Fernost „Hierarchie“. Lateinamerika und die islamischen Länder konnten nicht eindeutig zugeordnet werden.</w:t>
      </w:r>
    </w:p>
    <w:p w14:paraId="7A4ABC49" w14:textId="77777777" w:rsidR="00FF7799" w:rsidRPr="00E73F6F" w:rsidRDefault="00FF7799" w:rsidP="001F4D06">
      <w:pPr>
        <w:pStyle w:val="StandardText"/>
      </w:pPr>
    </w:p>
    <w:p w14:paraId="20262D24" w14:textId="77777777" w:rsidR="00FF7799" w:rsidRPr="00015AD7" w:rsidRDefault="00FF7799" w:rsidP="001F4D06">
      <w:pPr>
        <w:pStyle w:val="StandardTextkursiv"/>
        <w:rPr>
          <w:i w:val="0"/>
        </w:rPr>
      </w:pPr>
      <w:bookmarkStart w:id="63" w:name="_Toc297282300"/>
      <w:r w:rsidRPr="00015AD7">
        <w:rPr>
          <w:i w:val="0"/>
        </w:rPr>
        <w:t>3.2 Validierung</w:t>
      </w:r>
      <w:bookmarkEnd w:id="63"/>
    </w:p>
    <w:p w14:paraId="739E71DA" w14:textId="77777777" w:rsidR="00FF7799" w:rsidRPr="00015AD7" w:rsidRDefault="00FF7799" w:rsidP="001F4D06">
      <w:pPr>
        <w:pStyle w:val="StandardText"/>
      </w:pPr>
      <w:r w:rsidRPr="00015AD7">
        <w:t>Die entscheidende Frage aber lautet: Bietet die aus der Schwartz-Studie ableitbare Wertestruktur, abgesehen von der größeren Aktualität, grundlegende Vorteile gegenüber dem 4- bzw. 5D-Modell der Landeskulturforschung (= Hofstede-Studie)? Dies ist aus mehreren Gründen eher fraglich.</w:t>
      </w:r>
    </w:p>
    <w:p w14:paraId="2082A5BE" w14:textId="77777777" w:rsidR="00FF7799" w:rsidRPr="00015AD7" w:rsidRDefault="00FF7799" w:rsidP="001F4D06">
      <w:pPr>
        <w:pStyle w:val="StandardText"/>
      </w:pPr>
    </w:p>
    <w:p w14:paraId="4F1D3314" w14:textId="77777777" w:rsidR="00FF7799" w:rsidRPr="00D346BC" w:rsidRDefault="00FF7799" w:rsidP="001F4D06">
      <w:pPr>
        <w:pStyle w:val="StandardTextkursiv"/>
        <w:rPr>
          <w:iCs/>
        </w:rPr>
      </w:pPr>
      <w:r w:rsidRPr="00D346BC">
        <w:rPr>
          <w:iCs/>
        </w:rPr>
        <w:t xml:space="preserve">Externe Validität </w:t>
      </w:r>
    </w:p>
    <w:p w14:paraId="2E3D63ED" w14:textId="77777777" w:rsidR="00FF7799" w:rsidRPr="00E73F6F" w:rsidRDefault="00FF7799" w:rsidP="001F4D06">
      <w:pPr>
        <w:pStyle w:val="StandardText"/>
      </w:pPr>
      <w:r w:rsidRPr="00E73F6F">
        <w:lastRenderedPageBreak/>
        <w:t xml:space="preserve">Mit welcher Sicherheit kann von den in einer häufig künstlichen Untersuchungssituation gewonnenen Befunden auf reale Bedingungen geschlossen werden? Diese Form von „Gültigkeit“ ist gemeint, wenn von externer Validität die Rede ist. Da Schwartz et al. ausschließlich Lehrer und Studenten – d.h. keinen repräsentativen Ausschnitt der Gesamtbevölkerung – befragten, kann deren Wertemodell keine höhere externe Validität beanspruchen als das Hofstede-Modell, das auf den Aussagen von Managern des mittleren Managements eines einzigen Unternehmens basiert. </w:t>
      </w:r>
    </w:p>
    <w:p w14:paraId="042F56E4" w14:textId="77777777" w:rsidR="00FF7799" w:rsidRPr="00E73F6F" w:rsidRDefault="00FF7799" w:rsidP="001F4D06">
      <w:pPr>
        <w:pStyle w:val="StandardText"/>
      </w:pPr>
    </w:p>
    <w:p w14:paraId="27250980" w14:textId="77777777" w:rsidR="00FF7799" w:rsidRPr="00D346BC" w:rsidRDefault="00FF7799" w:rsidP="001F4D06">
      <w:pPr>
        <w:pStyle w:val="StandardTextkursiv"/>
        <w:rPr>
          <w:iCs/>
        </w:rPr>
      </w:pPr>
      <w:r w:rsidRPr="00D346BC">
        <w:rPr>
          <w:iCs/>
        </w:rPr>
        <w:t xml:space="preserve">Prognosevalidität </w:t>
      </w:r>
    </w:p>
    <w:p w14:paraId="52EA2E78" w14:textId="77777777" w:rsidR="00FF7799" w:rsidRPr="00015AD7" w:rsidRDefault="00FF7799" w:rsidP="001F4D06">
      <w:pPr>
        <w:pStyle w:val="StandardText"/>
      </w:pPr>
      <w:r w:rsidRPr="00015AD7">
        <w:t>Die Frage, ob anhand der Schwartz-Wertedimensionen Einstellungen, Entscheidungen und Verhaltensweisen von Managern, Kunden etc. in Abhängigkeit von der jeweiligen Landeskultur besser vorhersagbar sind, als dies mit Hilfe der Hofstede-Dimensionen möglich ist, konnte bislang noch nicht beantwortet werden. Smith et al. (2002) etwa sahen mit folgender Begründung davon ab, diese Güteprüfung durchzuführen, obwohl sie in einer 47-Länderstudie die Konzepte von G. Hofstede, F. Trompenaars und S.H. Schwartz vergleichend untersuchten: „The intention of this study was not to compare the predictive validity of the prior studies but to gain the best possible single estimate of values” (Smith et al. 2002, S.198).</w:t>
      </w:r>
    </w:p>
    <w:p w14:paraId="7D05898E" w14:textId="77777777" w:rsidR="00FF7799" w:rsidRPr="00E73F6F" w:rsidRDefault="00FF7799" w:rsidP="001F4D06">
      <w:pPr>
        <w:pStyle w:val="StandardText"/>
      </w:pPr>
    </w:p>
    <w:p w14:paraId="587B163A" w14:textId="77777777" w:rsidR="00FF7799" w:rsidRPr="00D346BC" w:rsidRDefault="00FF7799" w:rsidP="001F4D06">
      <w:pPr>
        <w:pStyle w:val="StandardTextkursiv"/>
        <w:rPr>
          <w:iCs/>
        </w:rPr>
      </w:pPr>
      <w:r w:rsidRPr="00D346BC">
        <w:rPr>
          <w:iCs/>
        </w:rPr>
        <w:t xml:space="preserve">Diskriminanzvalidität </w:t>
      </w:r>
    </w:p>
    <w:p w14:paraId="0510A2D7" w14:textId="77777777" w:rsidR="00FF7799" w:rsidRPr="00015AD7" w:rsidRDefault="00FF7799" w:rsidP="001F4D06">
      <w:pPr>
        <w:pStyle w:val="StandardText"/>
      </w:pPr>
      <w:r w:rsidRPr="00015AD7">
        <w:t>Auch hierzu liegen widersprüchliche Befunde vor. Wie Steenkamp (2001, S.33) darlegt, entsprechen sich der Hofstede-Ansatz und der Schwartz-Ansatz weitgehend. Wirklich neu ist der Faktor Egalitarismus vs. Hierarchie. Er beschreibt, wie die Mitglieder einer Gesellschaft die Interessen anderer Mitglieder wahrnehmen und bewerten. Indirekt bestätigt wird die These der weitgehenden Übereinstimmung dadurch, dass die vier Kulturdimensionen, die J.-B-E.M. Steenkamp im Rahmen einer 24 Länder-Studie faktoranalytisch identifizierte, …</w:t>
      </w:r>
    </w:p>
    <w:p w14:paraId="6A43B791" w14:textId="77777777" w:rsidR="00FF7799" w:rsidRPr="00015AD7" w:rsidRDefault="00FF7799" w:rsidP="00D346BC">
      <w:pPr>
        <w:pStyle w:val="StandardTextAufzhlung"/>
        <w:ind w:left="426"/>
      </w:pPr>
      <w:r w:rsidRPr="00015AD7">
        <w:t xml:space="preserve">Autonomie vs. Kollektivismus, </w:t>
      </w:r>
    </w:p>
    <w:p w14:paraId="42E62EFC" w14:textId="77777777" w:rsidR="00FF7799" w:rsidRPr="00015AD7" w:rsidRDefault="00FF7799" w:rsidP="00D346BC">
      <w:pPr>
        <w:pStyle w:val="StandardTextAufzhlung"/>
        <w:ind w:left="426"/>
      </w:pPr>
      <w:r w:rsidRPr="00015AD7">
        <w:t xml:space="preserve">Gleichheit vs. Hierarchie, </w:t>
      </w:r>
    </w:p>
    <w:p w14:paraId="13A55650" w14:textId="77777777" w:rsidR="00FF7799" w:rsidRPr="00015AD7" w:rsidRDefault="00FF7799" w:rsidP="00D346BC">
      <w:pPr>
        <w:pStyle w:val="StandardTextAufzhlung"/>
        <w:ind w:left="426"/>
      </w:pPr>
      <w:r w:rsidRPr="00015AD7">
        <w:t xml:space="preserve">Herrschaft vs. Fürsorglichkeit, </w:t>
      </w:r>
    </w:p>
    <w:p w14:paraId="48ECE998" w14:textId="77777777" w:rsidR="00FF7799" w:rsidRPr="00015AD7" w:rsidRDefault="00FF7799" w:rsidP="00D346BC">
      <w:pPr>
        <w:pStyle w:val="StandardTextAufzhlung"/>
        <w:ind w:left="426"/>
      </w:pPr>
      <w:r w:rsidRPr="00015AD7">
        <w:t xml:space="preserve">Vermeidung von Ungewissheit, </w:t>
      </w:r>
    </w:p>
    <w:p w14:paraId="43CA3E57" w14:textId="77777777" w:rsidR="00FF7799" w:rsidRPr="00015AD7" w:rsidRDefault="00FF7799" w:rsidP="001F4D06">
      <w:pPr>
        <w:pStyle w:val="StandardText"/>
      </w:pPr>
      <w:r w:rsidRPr="00015AD7">
        <w:t xml:space="preserve">sowohl mit ausgewählten Hofstede-Dimensionen als auch mit ausgewählten Schwartz-Dimensionen korrelieren (vgl. Tab. 3). </w:t>
      </w:r>
    </w:p>
    <w:p w14:paraId="40C66C71" w14:textId="77777777" w:rsidR="00FF7799" w:rsidRPr="00E73F6F" w:rsidRDefault="00FF7799" w:rsidP="001F4D06">
      <w:pPr>
        <w:pStyle w:val="StandardText"/>
        <w:rPr>
          <w:lang w:bidi="en-US"/>
        </w:rPr>
      </w:pPr>
    </w:p>
    <w:p w14:paraId="173B06EA" w14:textId="5481DF18" w:rsidR="00FF7799" w:rsidRPr="007D6CC1" w:rsidRDefault="00FF7799" w:rsidP="001F4D06">
      <w:pPr>
        <w:pStyle w:val="BeschriftungTab"/>
        <w:rPr>
          <w:i/>
          <w:iCs/>
          <w:lang w:bidi="en-US"/>
        </w:rPr>
      </w:pPr>
      <w:bookmarkStart w:id="64" w:name="_Ref413257360"/>
      <w:r w:rsidRPr="007D6CC1">
        <w:rPr>
          <w:i/>
          <w:iCs/>
          <w:lang w:bidi="en-US"/>
        </w:rPr>
        <w:t>Tab.</w:t>
      </w:r>
      <w:bookmarkEnd w:id="64"/>
      <w:r w:rsidRPr="007D6CC1">
        <w:rPr>
          <w:i/>
          <w:iCs/>
          <w:lang w:bidi="en-US"/>
        </w:rPr>
        <w:t xml:space="preserve"> 3: Inhaltliche Über</w:t>
      </w:r>
      <w:r w:rsidR="007D6CC1">
        <w:rPr>
          <w:i/>
          <w:iCs/>
          <w:lang w:bidi="en-US"/>
        </w:rPr>
        <w:t>schneid</w:t>
      </w:r>
      <w:r w:rsidRPr="007D6CC1">
        <w:rPr>
          <w:i/>
          <w:iCs/>
          <w:lang w:bidi="en-US"/>
        </w:rPr>
        <w:t xml:space="preserve">ungen zwischen den Schwartz-Dimensionen &amp; </w:t>
      </w:r>
      <w:r w:rsidRPr="007D6CC1">
        <w:rPr>
          <w:i/>
          <w:iCs/>
          <w:lang w:bidi="en-US"/>
        </w:rPr>
        <w:br/>
        <w:t>den Hofstede-Dimensionen</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16"/>
        <w:gridCol w:w="4430"/>
        <w:gridCol w:w="2158"/>
      </w:tblGrid>
      <w:tr w:rsidR="00FF7799" w:rsidRPr="00E73F6F" w14:paraId="771EE986" w14:textId="77777777" w:rsidTr="001F4D06">
        <w:tc>
          <w:tcPr>
            <w:tcW w:w="2516" w:type="dxa"/>
            <w:tcBorders>
              <w:left w:val="nil"/>
              <w:right w:val="nil"/>
            </w:tcBorders>
            <w:shd w:val="clear" w:color="auto" w:fill="FFC000"/>
          </w:tcPr>
          <w:p w14:paraId="4E850D02" w14:textId="77777777" w:rsidR="00FF7799" w:rsidRPr="00015AD7" w:rsidRDefault="00FF7799" w:rsidP="001F4D06">
            <w:pPr>
              <w:pStyle w:val="StandardText"/>
              <w:spacing w:after="120"/>
              <w:jc w:val="center"/>
              <w:rPr>
                <w:b/>
                <w:lang w:bidi="en-US"/>
              </w:rPr>
            </w:pPr>
            <w:r w:rsidRPr="00015AD7">
              <w:rPr>
                <w:b/>
                <w:lang w:bidi="en-US"/>
              </w:rPr>
              <w:t>Kulturdimensionen nach Steenkamp (2001)</w:t>
            </w:r>
          </w:p>
        </w:tc>
        <w:tc>
          <w:tcPr>
            <w:tcW w:w="6588" w:type="dxa"/>
            <w:gridSpan w:val="2"/>
            <w:tcBorders>
              <w:left w:val="nil"/>
              <w:right w:val="nil"/>
            </w:tcBorders>
            <w:shd w:val="clear" w:color="auto" w:fill="FFC000"/>
          </w:tcPr>
          <w:p w14:paraId="6150E2F0" w14:textId="77777777" w:rsidR="00FF7799" w:rsidRPr="00015AD7" w:rsidRDefault="00FF7799" w:rsidP="001F4D06">
            <w:pPr>
              <w:pStyle w:val="StandardText"/>
              <w:spacing w:after="120"/>
              <w:jc w:val="center"/>
              <w:rPr>
                <w:b/>
                <w:lang w:bidi="en-US"/>
              </w:rPr>
            </w:pPr>
            <w:r w:rsidRPr="00015AD7">
              <w:rPr>
                <w:b/>
                <w:lang w:bidi="en-US"/>
              </w:rPr>
              <w:t xml:space="preserve">Richtung des Zusammenhangs (+/-) </w:t>
            </w:r>
            <w:r w:rsidRPr="00015AD7">
              <w:rPr>
                <w:b/>
                <w:lang w:bidi="en-US"/>
              </w:rPr>
              <w:br/>
              <w:t>zwischen den Steenkamp-Dimensionen sowie ausgewählten Schwartz- und Hofstede-Dimensionen</w:t>
            </w:r>
          </w:p>
        </w:tc>
      </w:tr>
      <w:tr w:rsidR="00FF7799" w:rsidRPr="00E73F6F" w14:paraId="06B478B4" w14:textId="77777777" w:rsidTr="00015AD7">
        <w:trPr>
          <w:trHeight w:val="797"/>
        </w:trPr>
        <w:tc>
          <w:tcPr>
            <w:tcW w:w="2516" w:type="dxa"/>
            <w:vMerge w:val="restart"/>
            <w:tcBorders>
              <w:left w:val="nil"/>
              <w:right w:val="nil"/>
            </w:tcBorders>
            <w:shd w:val="clear" w:color="auto" w:fill="FFF2CC" w:themeFill="accent4" w:themeFillTint="33"/>
            <w:vAlign w:val="center"/>
          </w:tcPr>
          <w:p w14:paraId="77F1BFCC" w14:textId="77777777" w:rsidR="00FF7799" w:rsidRPr="00E73F6F" w:rsidRDefault="00FF7799" w:rsidP="001F4D06">
            <w:pPr>
              <w:pStyle w:val="StandardText"/>
              <w:rPr>
                <w:lang w:bidi="en-US"/>
              </w:rPr>
            </w:pPr>
            <w:r w:rsidRPr="00E73F6F">
              <w:rPr>
                <w:lang w:bidi="en-US"/>
              </w:rPr>
              <w:t xml:space="preserve">Autonomie vs. </w:t>
            </w:r>
          </w:p>
          <w:p w14:paraId="1057FAB6" w14:textId="77777777" w:rsidR="00FF7799" w:rsidRPr="00E73F6F" w:rsidRDefault="00FF7799" w:rsidP="001F4D06">
            <w:pPr>
              <w:pStyle w:val="StandardText"/>
              <w:rPr>
                <w:lang w:bidi="en-US"/>
              </w:rPr>
            </w:pPr>
            <w:r w:rsidRPr="00E73F6F">
              <w:rPr>
                <w:lang w:bidi="en-US"/>
              </w:rPr>
              <w:t>Kollektivismus</w:t>
            </w:r>
          </w:p>
        </w:tc>
        <w:tc>
          <w:tcPr>
            <w:tcW w:w="4430" w:type="dxa"/>
            <w:tcBorders>
              <w:left w:val="nil"/>
              <w:bottom w:val="dashed" w:sz="4" w:space="0" w:color="auto"/>
              <w:right w:val="nil"/>
            </w:tcBorders>
          </w:tcPr>
          <w:p w14:paraId="1A39C680" w14:textId="77777777" w:rsidR="00FF7799" w:rsidRPr="00E73F6F" w:rsidRDefault="00FF7799" w:rsidP="001F4D06">
            <w:pPr>
              <w:pStyle w:val="StandardText"/>
              <w:rPr>
                <w:lang w:bidi="en-US"/>
              </w:rPr>
            </w:pPr>
            <w:r w:rsidRPr="00E73F6F">
              <w:rPr>
                <w:lang w:bidi="en-US"/>
              </w:rPr>
              <w:t>Intellektuelle Autonomie (+)</w:t>
            </w:r>
          </w:p>
          <w:p w14:paraId="3580E0B0" w14:textId="77777777" w:rsidR="00FF7799" w:rsidRPr="00E73F6F" w:rsidRDefault="00FF7799" w:rsidP="001F4D06">
            <w:pPr>
              <w:pStyle w:val="StandardText"/>
              <w:rPr>
                <w:lang w:bidi="en-US"/>
              </w:rPr>
            </w:pPr>
            <w:r w:rsidRPr="00E73F6F">
              <w:rPr>
                <w:lang w:bidi="en-US"/>
              </w:rPr>
              <w:t>Affektive Autonomie (+)</w:t>
            </w:r>
          </w:p>
          <w:p w14:paraId="2C387EA7" w14:textId="77777777" w:rsidR="00FF7799" w:rsidRPr="00E73F6F" w:rsidRDefault="00FF7799" w:rsidP="001F4D06">
            <w:pPr>
              <w:pStyle w:val="StandardText"/>
              <w:rPr>
                <w:lang w:bidi="en-US"/>
              </w:rPr>
            </w:pPr>
            <w:r w:rsidRPr="00E73F6F">
              <w:rPr>
                <w:lang w:bidi="en-US"/>
              </w:rPr>
              <w:t>Konservatismus (-)</w:t>
            </w:r>
          </w:p>
        </w:tc>
        <w:tc>
          <w:tcPr>
            <w:tcW w:w="2158" w:type="dxa"/>
            <w:tcBorders>
              <w:left w:val="nil"/>
              <w:bottom w:val="dashed" w:sz="4" w:space="0" w:color="auto"/>
              <w:right w:val="nil"/>
            </w:tcBorders>
          </w:tcPr>
          <w:p w14:paraId="0E5FA7C9" w14:textId="77777777" w:rsidR="00FF7799" w:rsidRPr="00E73F6F" w:rsidRDefault="00FF7799" w:rsidP="001F4D06">
            <w:pPr>
              <w:pStyle w:val="StandardText"/>
              <w:rPr>
                <w:lang w:bidi="en-US"/>
              </w:rPr>
            </w:pPr>
            <w:r w:rsidRPr="00E73F6F">
              <w:rPr>
                <w:lang w:bidi="en-US"/>
              </w:rPr>
              <w:t>Schwartz (1999)</w:t>
            </w:r>
          </w:p>
        </w:tc>
      </w:tr>
      <w:tr w:rsidR="00FF7799" w:rsidRPr="00E73F6F" w14:paraId="105EAD92" w14:textId="77777777" w:rsidTr="00015AD7">
        <w:tc>
          <w:tcPr>
            <w:tcW w:w="2516" w:type="dxa"/>
            <w:vMerge/>
            <w:tcBorders>
              <w:left w:val="nil"/>
              <w:right w:val="nil"/>
            </w:tcBorders>
            <w:shd w:val="clear" w:color="auto" w:fill="FFF2CC" w:themeFill="accent4" w:themeFillTint="33"/>
          </w:tcPr>
          <w:p w14:paraId="54874B16" w14:textId="77777777" w:rsidR="00FF7799" w:rsidRPr="00E73F6F" w:rsidRDefault="00FF7799" w:rsidP="001F4D06">
            <w:pPr>
              <w:pStyle w:val="StandardText"/>
              <w:rPr>
                <w:lang w:bidi="en-US"/>
              </w:rPr>
            </w:pPr>
          </w:p>
        </w:tc>
        <w:tc>
          <w:tcPr>
            <w:tcW w:w="4430" w:type="dxa"/>
            <w:tcBorders>
              <w:top w:val="dashed" w:sz="4" w:space="0" w:color="auto"/>
              <w:left w:val="nil"/>
              <w:right w:val="nil"/>
            </w:tcBorders>
          </w:tcPr>
          <w:p w14:paraId="65585F96" w14:textId="77777777" w:rsidR="00FF7799" w:rsidRPr="00E73F6F" w:rsidRDefault="00FF7799" w:rsidP="001F4D06">
            <w:pPr>
              <w:pStyle w:val="StandardText"/>
              <w:rPr>
                <w:lang w:bidi="en-US"/>
              </w:rPr>
            </w:pPr>
            <w:r w:rsidRPr="00E73F6F">
              <w:rPr>
                <w:lang w:bidi="en-US"/>
              </w:rPr>
              <w:t>Individualismus (+)</w:t>
            </w:r>
          </w:p>
          <w:p w14:paraId="0A57DA1B" w14:textId="77777777" w:rsidR="00FF7799" w:rsidRPr="00E73F6F" w:rsidRDefault="00FF7799" w:rsidP="001F4D06">
            <w:pPr>
              <w:pStyle w:val="StandardText"/>
              <w:rPr>
                <w:lang w:bidi="en-US"/>
              </w:rPr>
            </w:pPr>
            <w:r w:rsidRPr="00E73F6F">
              <w:rPr>
                <w:lang w:bidi="en-US"/>
              </w:rPr>
              <w:t>Akzeptanz von Machtdistanz (-)</w:t>
            </w:r>
          </w:p>
        </w:tc>
        <w:tc>
          <w:tcPr>
            <w:tcW w:w="2158" w:type="dxa"/>
            <w:tcBorders>
              <w:top w:val="dashed" w:sz="4" w:space="0" w:color="auto"/>
              <w:left w:val="nil"/>
              <w:right w:val="nil"/>
            </w:tcBorders>
          </w:tcPr>
          <w:p w14:paraId="675704C3" w14:textId="77777777" w:rsidR="00FF7799" w:rsidRPr="00E73F6F" w:rsidRDefault="00FF7799" w:rsidP="001F4D06">
            <w:pPr>
              <w:pStyle w:val="StandardText"/>
              <w:rPr>
                <w:lang w:bidi="en-US"/>
              </w:rPr>
            </w:pPr>
            <w:r w:rsidRPr="00E73F6F">
              <w:rPr>
                <w:lang w:bidi="en-US"/>
              </w:rPr>
              <w:t>Hofstede (2001)</w:t>
            </w:r>
          </w:p>
        </w:tc>
      </w:tr>
      <w:tr w:rsidR="00FF7799" w:rsidRPr="00E73F6F" w14:paraId="425A8ECA" w14:textId="77777777" w:rsidTr="00015AD7">
        <w:tc>
          <w:tcPr>
            <w:tcW w:w="2516" w:type="dxa"/>
            <w:tcBorders>
              <w:left w:val="nil"/>
              <w:right w:val="nil"/>
            </w:tcBorders>
            <w:shd w:val="clear" w:color="auto" w:fill="FFF2CC" w:themeFill="accent4" w:themeFillTint="33"/>
            <w:vAlign w:val="center"/>
          </w:tcPr>
          <w:p w14:paraId="1B356FC4" w14:textId="77777777" w:rsidR="00FF7799" w:rsidRPr="00E73F6F" w:rsidRDefault="00FF7799" w:rsidP="001F4D06">
            <w:pPr>
              <w:pStyle w:val="StandardText"/>
              <w:rPr>
                <w:lang w:bidi="en-US"/>
              </w:rPr>
            </w:pPr>
            <w:r w:rsidRPr="00E73F6F">
              <w:rPr>
                <w:lang w:bidi="en-US"/>
              </w:rPr>
              <w:t xml:space="preserve">Gleichheit vs. </w:t>
            </w:r>
          </w:p>
          <w:p w14:paraId="6C0D6EBE" w14:textId="77777777" w:rsidR="00FF7799" w:rsidRPr="00E73F6F" w:rsidRDefault="00FF7799" w:rsidP="001F4D06">
            <w:pPr>
              <w:pStyle w:val="StandardText"/>
              <w:rPr>
                <w:lang w:bidi="en-US"/>
              </w:rPr>
            </w:pPr>
            <w:r w:rsidRPr="00E73F6F">
              <w:rPr>
                <w:lang w:bidi="en-US"/>
              </w:rPr>
              <w:lastRenderedPageBreak/>
              <w:t>Hierarchie</w:t>
            </w:r>
          </w:p>
        </w:tc>
        <w:tc>
          <w:tcPr>
            <w:tcW w:w="4430" w:type="dxa"/>
            <w:tcBorders>
              <w:left w:val="nil"/>
              <w:right w:val="nil"/>
            </w:tcBorders>
          </w:tcPr>
          <w:p w14:paraId="5A5E663C" w14:textId="77777777" w:rsidR="00FF7799" w:rsidRPr="00E73F6F" w:rsidRDefault="00FF7799" w:rsidP="001F4D06">
            <w:pPr>
              <w:pStyle w:val="StandardText"/>
              <w:rPr>
                <w:lang w:bidi="en-US"/>
              </w:rPr>
            </w:pPr>
            <w:r w:rsidRPr="00E73F6F">
              <w:rPr>
                <w:lang w:bidi="en-US"/>
              </w:rPr>
              <w:lastRenderedPageBreak/>
              <w:t>Gleichheit (+)</w:t>
            </w:r>
          </w:p>
          <w:p w14:paraId="7284E555" w14:textId="77777777" w:rsidR="00FF7799" w:rsidRPr="00E73F6F" w:rsidRDefault="00FF7799" w:rsidP="001F4D06">
            <w:pPr>
              <w:pStyle w:val="StandardText"/>
              <w:rPr>
                <w:lang w:bidi="en-US"/>
              </w:rPr>
            </w:pPr>
            <w:r w:rsidRPr="00E73F6F">
              <w:rPr>
                <w:lang w:bidi="en-US"/>
              </w:rPr>
              <w:lastRenderedPageBreak/>
              <w:t>Harmonie (+)</w:t>
            </w:r>
          </w:p>
          <w:p w14:paraId="6F5EF067" w14:textId="77777777" w:rsidR="00FF7799" w:rsidRPr="00E73F6F" w:rsidRDefault="00FF7799" w:rsidP="001F4D06">
            <w:pPr>
              <w:pStyle w:val="StandardText"/>
              <w:rPr>
                <w:lang w:bidi="en-US"/>
              </w:rPr>
            </w:pPr>
            <w:r w:rsidRPr="00E73F6F">
              <w:rPr>
                <w:lang w:bidi="en-US"/>
              </w:rPr>
              <w:t>Hierarchie (-)</w:t>
            </w:r>
          </w:p>
        </w:tc>
        <w:tc>
          <w:tcPr>
            <w:tcW w:w="2158" w:type="dxa"/>
            <w:tcBorders>
              <w:left w:val="nil"/>
              <w:right w:val="nil"/>
            </w:tcBorders>
          </w:tcPr>
          <w:p w14:paraId="28398971" w14:textId="77777777" w:rsidR="00FF7799" w:rsidRPr="00E73F6F" w:rsidRDefault="00FF7799" w:rsidP="001F4D06">
            <w:pPr>
              <w:pStyle w:val="StandardText"/>
              <w:rPr>
                <w:lang w:bidi="en-US"/>
              </w:rPr>
            </w:pPr>
            <w:r w:rsidRPr="00E73F6F">
              <w:rPr>
                <w:lang w:bidi="en-US"/>
              </w:rPr>
              <w:lastRenderedPageBreak/>
              <w:t>Schwartz (1999)</w:t>
            </w:r>
          </w:p>
        </w:tc>
      </w:tr>
      <w:tr w:rsidR="00FF7799" w:rsidRPr="00E73F6F" w14:paraId="0527E3F7" w14:textId="77777777" w:rsidTr="00015AD7">
        <w:trPr>
          <w:trHeight w:val="260"/>
        </w:trPr>
        <w:tc>
          <w:tcPr>
            <w:tcW w:w="2516" w:type="dxa"/>
            <w:vMerge w:val="restart"/>
            <w:tcBorders>
              <w:left w:val="nil"/>
              <w:right w:val="nil"/>
            </w:tcBorders>
            <w:shd w:val="clear" w:color="auto" w:fill="FFF2CC" w:themeFill="accent4" w:themeFillTint="33"/>
            <w:vAlign w:val="center"/>
          </w:tcPr>
          <w:p w14:paraId="2724B3F3" w14:textId="77777777" w:rsidR="00FF7799" w:rsidRPr="00E73F6F" w:rsidRDefault="00FF7799" w:rsidP="001F4D06">
            <w:pPr>
              <w:pStyle w:val="StandardText"/>
              <w:rPr>
                <w:lang w:bidi="en-US"/>
              </w:rPr>
            </w:pPr>
            <w:r w:rsidRPr="00E73F6F">
              <w:rPr>
                <w:lang w:bidi="en-US"/>
              </w:rPr>
              <w:t xml:space="preserve">Herrschaft vs. </w:t>
            </w:r>
          </w:p>
          <w:p w14:paraId="46183F94" w14:textId="77777777" w:rsidR="00FF7799" w:rsidRPr="00E73F6F" w:rsidRDefault="00FF7799" w:rsidP="001F4D06">
            <w:pPr>
              <w:pStyle w:val="StandardText"/>
              <w:rPr>
                <w:lang w:bidi="en-US"/>
              </w:rPr>
            </w:pPr>
            <w:r w:rsidRPr="00E73F6F">
              <w:rPr>
                <w:lang w:bidi="en-US"/>
              </w:rPr>
              <w:t xml:space="preserve">Fürsorglichkeit </w:t>
            </w:r>
          </w:p>
        </w:tc>
        <w:tc>
          <w:tcPr>
            <w:tcW w:w="4430" w:type="dxa"/>
            <w:tcBorders>
              <w:left w:val="nil"/>
              <w:bottom w:val="dashed" w:sz="4" w:space="0" w:color="auto"/>
              <w:right w:val="nil"/>
            </w:tcBorders>
          </w:tcPr>
          <w:p w14:paraId="2B4BE37D" w14:textId="77777777" w:rsidR="00FF7799" w:rsidRPr="00E73F6F" w:rsidRDefault="00FF7799" w:rsidP="001F4D06">
            <w:pPr>
              <w:pStyle w:val="StandardText"/>
              <w:rPr>
                <w:lang w:bidi="en-US"/>
              </w:rPr>
            </w:pPr>
            <w:r w:rsidRPr="00E73F6F">
              <w:rPr>
                <w:lang w:bidi="en-US"/>
              </w:rPr>
              <w:t>Herrschaft (+)</w:t>
            </w:r>
          </w:p>
        </w:tc>
        <w:tc>
          <w:tcPr>
            <w:tcW w:w="2158" w:type="dxa"/>
            <w:tcBorders>
              <w:left w:val="nil"/>
              <w:bottom w:val="dashed" w:sz="4" w:space="0" w:color="auto"/>
              <w:right w:val="nil"/>
            </w:tcBorders>
          </w:tcPr>
          <w:p w14:paraId="1962FA45" w14:textId="77777777" w:rsidR="00FF7799" w:rsidRPr="00E73F6F" w:rsidRDefault="00FF7799" w:rsidP="001F4D06">
            <w:pPr>
              <w:pStyle w:val="StandardText"/>
              <w:rPr>
                <w:lang w:bidi="en-US"/>
              </w:rPr>
            </w:pPr>
            <w:r w:rsidRPr="00E73F6F">
              <w:rPr>
                <w:lang w:bidi="en-US"/>
              </w:rPr>
              <w:t>Schwartz (1999)</w:t>
            </w:r>
          </w:p>
        </w:tc>
      </w:tr>
      <w:tr w:rsidR="00FF7799" w:rsidRPr="00E73F6F" w14:paraId="4EAE92B5" w14:textId="77777777" w:rsidTr="00015AD7">
        <w:trPr>
          <w:trHeight w:val="166"/>
        </w:trPr>
        <w:tc>
          <w:tcPr>
            <w:tcW w:w="2516" w:type="dxa"/>
            <w:vMerge/>
            <w:tcBorders>
              <w:left w:val="nil"/>
              <w:right w:val="nil"/>
            </w:tcBorders>
            <w:shd w:val="clear" w:color="auto" w:fill="FFF2CC" w:themeFill="accent4" w:themeFillTint="33"/>
          </w:tcPr>
          <w:p w14:paraId="6661255D" w14:textId="77777777" w:rsidR="00FF7799" w:rsidRPr="00E73F6F" w:rsidRDefault="00FF7799" w:rsidP="001F4D06">
            <w:pPr>
              <w:pStyle w:val="StandardText"/>
              <w:rPr>
                <w:lang w:bidi="en-US"/>
              </w:rPr>
            </w:pPr>
          </w:p>
        </w:tc>
        <w:tc>
          <w:tcPr>
            <w:tcW w:w="4430" w:type="dxa"/>
            <w:tcBorders>
              <w:top w:val="dashed" w:sz="4" w:space="0" w:color="auto"/>
              <w:left w:val="nil"/>
              <w:right w:val="nil"/>
            </w:tcBorders>
          </w:tcPr>
          <w:p w14:paraId="37E34830" w14:textId="77777777" w:rsidR="00FF7799" w:rsidRPr="00E73F6F" w:rsidRDefault="00FF7799" w:rsidP="001F4D06">
            <w:pPr>
              <w:pStyle w:val="StandardText"/>
              <w:rPr>
                <w:lang w:bidi="en-US"/>
              </w:rPr>
            </w:pPr>
            <w:r w:rsidRPr="00E73F6F">
              <w:rPr>
                <w:lang w:bidi="en-US"/>
              </w:rPr>
              <w:t>Maskulinität (+)</w:t>
            </w:r>
          </w:p>
        </w:tc>
        <w:tc>
          <w:tcPr>
            <w:tcW w:w="2158" w:type="dxa"/>
            <w:tcBorders>
              <w:top w:val="dashed" w:sz="4" w:space="0" w:color="auto"/>
              <w:left w:val="nil"/>
              <w:right w:val="nil"/>
            </w:tcBorders>
          </w:tcPr>
          <w:p w14:paraId="25552664" w14:textId="77777777" w:rsidR="00FF7799" w:rsidRPr="00E73F6F" w:rsidRDefault="00FF7799" w:rsidP="001F4D06">
            <w:pPr>
              <w:pStyle w:val="StandardText"/>
              <w:rPr>
                <w:lang w:bidi="en-US"/>
              </w:rPr>
            </w:pPr>
            <w:r w:rsidRPr="00E73F6F">
              <w:rPr>
                <w:lang w:bidi="en-US"/>
              </w:rPr>
              <w:t>Hofstede (2001)</w:t>
            </w:r>
          </w:p>
        </w:tc>
      </w:tr>
      <w:tr w:rsidR="00FF7799" w:rsidRPr="00E73F6F" w14:paraId="10C0AB1E" w14:textId="77777777" w:rsidTr="00015AD7">
        <w:trPr>
          <w:trHeight w:val="184"/>
        </w:trPr>
        <w:tc>
          <w:tcPr>
            <w:tcW w:w="2516" w:type="dxa"/>
            <w:vMerge w:val="restart"/>
            <w:tcBorders>
              <w:left w:val="nil"/>
              <w:right w:val="nil"/>
            </w:tcBorders>
            <w:shd w:val="clear" w:color="auto" w:fill="FFF2CC" w:themeFill="accent4" w:themeFillTint="33"/>
            <w:vAlign w:val="center"/>
          </w:tcPr>
          <w:p w14:paraId="1A3F156E" w14:textId="77777777" w:rsidR="00FF7799" w:rsidRPr="00E73F6F" w:rsidRDefault="00FF7799" w:rsidP="001F4D06">
            <w:pPr>
              <w:pStyle w:val="StandardText"/>
              <w:rPr>
                <w:lang w:bidi="en-US"/>
              </w:rPr>
            </w:pPr>
            <w:r w:rsidRPr="00E73F6F">
              <w:rPr>
                <w:lang w:bidi="en-US"/>
              </w:rPr>
              <w:t xml:space="preserve">Vermeidung von </w:t>
            </w:r>
          </w:p>
          <w:p w14:paraId="0125D11D" w14:textId="77777777" w:rsidR="00FF7799" w:rsidRPr="00E73F6F" w:rsidRDefault="00FF7799" w:rsidP="001F4D06">
            <w:pPr>
              <w:pStyle w:val="StandardText"/>
              <w:rPr>
                <w:lang w:bidi="en-US"/>
              </w:rPr>
            </w:pPr>
            <w:r w:rsidRPr="00E73F6F">
              <w:rPr>
                <w:lang w:bidi="en-US"/>
              </w:rPr>
              <w:t>Ungewissheit</w:t>
            </w:r>
          </w:p>
        </w:tc>
        <w:tc>
          <w:tcPr>
            <w:tcW w:w="4430" w:type="dxa"/>
            <w:tcBorders>
              <w:left w:val="nil"/>
              <w:bottom w:val="dashed" w:sz="4" w:space="0" w:color="auto"/>
              <w:right w:val="nil"/>
            </w:tcBorders>
          </w:tcPr>
          <w:p w14:paraId="22D40933" w14:textId="77777777" w:rsidR="00FF7799" w:rsidRPr="00E73F6F" w:rsidRDefault="00FF7799" w:rsidP="001F4D06">
            <w:pPr>
              <w:pStyle w:val="StandardText"/>
              <w:rPr>
                <w:lang w:bidi="en-US"/>
              </w:rPr>
            </w:pPr>
            <w:r w:rsidRPr="00E73F6F">
              <w:rPr>
                <w:lang w:bidi="en-US"/>
              </w:rPr>
              <w:t>Harmonie (+)</w:t>
            </w:r>
          </w:p>
        </w:tc>
        <w:tc>
          <w:tcPr>
            <w:tcW w:w="2158" w:type="dxa"/>
            <w:tcBorders>
              <w:left w:val="nil"/>
              <w:bottom w:val="dashed" w:sz="4" w:space="0" w:color="auto"/>
              <w:right w:val="nil"/>
            </w:tcBorders>
          </w:tcPr>
          <w:p w14:paraId="3B719DD4" w14:textId="77777777" w:rsidR="00FF7799" w:rsidRPr="00E73F6F" w:rsidRDefault="00FF7799" w:rsidP="001F4D06">
            <w:pPr>
              <w:pStyle w:val="StandardText"/>
              <w:rPr>
                <w:lang w:bidi="en-US"/>
              </w:rPr>
            </w:pPr>
            <w:r w:rsidRPr="00E73F6F">
              <w:rPr>
                <w:lang w:bidi="en-US"/>
              </w:rPr>
              <w:t>Schwartz (1999)</w:t>
            </w:r>
          </w:p>
        </w:tc>
      </w:tr>
      <w:tr w:rsidR="00FF7799" w:rsidRPr="00E73F6F" w14:paraId="2401364C" w14:textId="77777777" w:rsidTr="00015AD7">
        <w:tc>
          <w:tcPr>
            <w:tcW w:w="2516" w:type="dxa"/>
            <w:vMerge/>
            <w:tcBorders>
              <w:left w:val="nil"/>
              <w:right w:val="nil"/>
            </w:tcBorders>
            <w:shd w:val="clear" w:color="auto" w:fill="FFF2CC" w:themeFill="accent4" w:themeFillTint="33"/>
          </w:tcPr>
          <w:p w14:paraId="4A7158A4" w14:textId="77777777" w:rsidR="00FF7799" w:rsidRPr="00E73F6F" w:rsidRDefault="00FF7799" w:rsidP="001F4D06">
            <w:pPr>
              <w:pStyle w:val="StandardText"/>
              <w:rPr>
                <w:lang w:bidi="en-US"/>
              </w:rPr>
            </w:pPr>
          </w:p>
        </w:tc>
        <w:tc>
          <w:tcPr>
            <w:tcW w:w="4430" w:type="dxa"/>
            <w:tcBorders>
              <w:top w:val="dashed" w:sz="4" w:space="0" w:color="auto"/>
              <w:left w:val="nil"/>
              <w:right w:val="nil"/>
            </w:tcBorders>
          </w:tcPr>
          <w:p w14:paraId="79627500" w14:textId="77777777" w:rsidR="00FF7799" w:rsidRPr="00E73F6F" w:rsidRDefault="00FF7799" w:rsidP="001F4D06">
            <w:pPr>
              <w:pStyle w:val="StandardText"/>
              <w:rPr>
                <w:lang w:bidi="en-US"/>
              </w:rPr>
            </w:pPr>
            <w:r w:rsidRPr="00E73F6F">
              <w:rPr>
                <w:lang w:bidi="en-US"/>
              </w:rPr>
              <w:t>Vermeidung von Ungewissheit (+)</w:t>
            </w:r>
          </w:p>
        </w:tc>
        <w:tc>
          <w:tcPr>
            <w:tcW w:w="2158" w:type="dxa"/>
            <w:tcBorders>
              <w:top w:val="dashed" w:sz="4" w:space="0" w:color="auto"/>
              <w:left w:val="nil"/>
              <w:right w:val="nil"/>
            </w:tcBorders>
          </w:tcPr>
          <w:p w14:paraId="512F70A4" w14:textId="77777777" w:rsidR="00FF7799" w:rsidRPr="00E73F6F" w:rsidRDefault="00FF7799" w:rsidP="001F4D06">
            <w:pPr>
              <w:pStyle w:val="StandardText"/>
              <w:rPr>
                <w:lang w:bidi="en-US"/>
              </w:rPr>
            </w:pPr>
            <w:r w:rsidRPr="00E73F6F">
              <w:rPr>
                <w:lang w:bidi="en-US"/>
              </w:rPr>
              <w:t>Hofstede (2001)</w:t>
            </w:r>
          </w:p>
        </w:tc>
      </w:tr>
    </w:tbl>
    <w:p w14:paraId="5D8CB89B" w14:textId="77777777" w:rsidR="00FF7799" w:rsidRPr="00E73F6F" w:rsidRDefault="00FF7799" w:rsidP="001F4D06">
      <w:pPr>
        <w:pStyle w:val="Quellen"/>
        <w:rPr>
          <w:lang w:bidi="en-US"/>
        </w:rPr>
      </w:pPr>
      <w:r w:rsidRPr="00E73F6F">
        <w:rPr>
          <w:lang w:bidi="en-US"/>
        </w:rPr>
        <w:t>Quelle: Steenkamp (2001).</w:t>
      </w:r>
    </w:p>
    <w:p w14:paraId="7A92F895" w14:textId="77777777" w:rsidR="00FF7799" w:rsidRPr="00E73F6F" w:rsidRDefault="00FF7799" w:rsidP="001F4D06">
      <w:pPr>
        <w:pStyle w:val="StandardText"/>
        <w:rPr>
          <w:lang w:bidi="en-US"/>
        </w:rPr>
      </w:pPr>
    </w:p>
    <w:p w14:paraId="73576A01" w14:textId="77777777" w:rsidR="00FF7799" w:rsidRPr="00015AD7" w:rsidRDefault="00FF7799" w:rsidP="001F4D06">
      <w:pPr>
        <w:pStyle w:val="StandardText"/>
      </w:pPr>
      <w:r w:rsidRPr="00015AD7">
        <w:t>Gegensätzliches schlussfolgerten Ng et al. (2007). Anhand der Kogut/Singh-Formel berechneten sie die kulturelle Distanz zwischen allen möglichen Paaren von 23 Ländern sowohl mittels der Hofstede- als auch mittels der Schwartz-Daten</w:t>
      </w:r>
      <w:r w:rsidR="00015AD7">
        <w:t xml:space="preserve"> (</w:t>
      </w:r>
      <w:r w:rsidR="00015AD7">
        <w:sym w:font="Symbol" w:char="F0DE"/>
      </w:r>
      <w:r w:rsidR="00015AD7">
        <w:t xml:space="preserve"> Distanz, kulturelle)</w:t>
      </w:r>
      <w:r w:rsidRPr="00015AD7">
        <w:t xml:space="preserve">. Da die Interkorrelation sich als nicht signifikant erwiesen, liegt die Vermutung nahe, dass die Hofstede-Dimensionen und die Schwartz-Dimensionen Unterschiedliches messen. Auch stellt sich die Frage, ob beide Ansätze gleichermaßen geeignet sind, den Zusammenhang zwischen den bilateralen Handelsbeziehungen zweier Länder und der zwischen diesen bestehenden kulturellen Distanz zu erfassen. Dass sich nur auf Basis der Schwartz-Dimensionen ein signifikanter negativer Zusammenhang zwischen der kulturellen Distanz und der bilateralen Export-/Importtätigkeit nachweisen lässt, ist ein weiterer indirekter Beleg für die These der Unvereinbarkeit beider Ansätze. </w:t>
      </w:r>
    </w:p>
    <w:p w14:paraId="7B8AAE8E" w14:textId="77777777" w:rsidR="00FF7799" w:rsidRPr="00015AD7" w:rsidRDefault="00FF7799" w:rsidP="001F4D06">
      <w:pPr>
        <w:pStyle w:val="StandardText"/>
        <w:rPr>
          <w:sz w:val="22"/>
          <w:szCs w:val="22"/>
          <w:lang w:val="en-US"/>
        </w:rPr>
      </w:pPr>
      <w:r w:rsidRPr="00015AD7">
        <w:rPr>
          <w:b/>
          <w:i/>
          <w:sz w:val="22"/>
          <w:szCs w:val="22"/>
          <w:lang w:val="en-US"/>
        </w:rPr>
        <w:t>Literatur</w:t>
      </w:r>
      <w:r w:rsidRPr="00015AD7">
        <w:rPr>
          <w:i/>
          <w:sz w:val="22"/>
          <w:szCs w:val="22"/>
          <w:lang w:val="en-US"/>
        </w:rPr>
        <w:t>:</w:t>
      </w:r>
      <w:r w:rsidRPr="00015AD7">
        <w:rPr>
          <w:sz w:val="22"/>
          <w:szCs w:val="22"/>
          <w:lang w:val="en-US"/>
        </w:rPr>
        <w:t xml:space="preserve"> Borg, I.; Lingoes, J.C. (1987): </w:t>
      </w:r>
      <w:r w:rsidRPr="00015AD7">
        <w:rPr>
          <w:iCs/>
          <w:sz w:val="22"/>
          <w:szCs w:val="22"/>
          <w:lang w:val="en-US"/>
        </w:rPr>
        <w:t xml:space="preserve">Multidimensional Similarity Structure Analysis, </w:t>
      </w:r>
      <w:r w:rsidRPr="00015AD7">
        <w:rPr>
          <w:sz w:val="22"/>
          <w:szCs w:val="22"/>
          <w:lang w:val="en-US"/>
        </w:rPr>
        <w:t xml:space="preserve">New York: Springer. Davidov, E.; Schmidt, P. (2007): Are Values in the Benelux Comparable? in: Loosveldt, M.; Swyngedouw, M.; Cambré, B. (Eds.), Measuring Meaningful Data in Social Research, 373-386, Leuven: Acco. Guttman, L. (1968): A General Nonmetric Technique for Finding the Smallest Coordinate Space for a Configuration of Points, </w:t>
      </w:r>
      <w:r w:rsidRPr="00015AD7">
        <w:rPr>
          <w:iCs/>
          <w:sz w:val="22"/>
          <w:szCs w:val="22"/>
          <w:lang w:val="en-US"/>
        </w:rPr>
        <w:t>Psychometrica</w:t>
      </w:r>
      <w:r w:rsidRPr="00015AD7">
        <w:rPr>
          <w:sz w:val="22"/>
          <w:szCs w:val="22"/>
          <w:lang w:val="en-US"/>
        </w:rPr>
        <w:t xml:space="preserve">, </w:t>
      </w:r>
      <w:r w:rsidRPr="00015AD7">
        <w:rPr>
          <w:iCs/>
          <w:sz w:val="22"/>
          <w:szCs w:val="22"/>
          <w:lang w:val="en-US"/>
        </w:rPr>
        <w:t xml:space="preserve">33(4): </w:t>
      </w:r>
      <w:r w:rsidRPr="00015AD7">
        <w:rPr>
          <w:sz w:val="22"/>
          <w:szCs w:val="22"/>
          <w:lang w:val="en-US"/>
        </w:rPr>
        <w:t xml:space="preserve">469–506. Knoppen, D.; Saris, W. (2009): Do We Have to Combine Values in the Schwartz’ Human Values Scale? </w:t>
      </w:r>
      <w:r w:rsidRPr="00015AD7">
        <w:rPr>
          <w:sz w:val="22"/>
          <w:szCs w:val="22"/>
        </w:rPr>
        <w:t xml:space="preserve">A Comment on the Davidov Studies, Survey Research Methods, 3(2): 91-103. Mohler, P.P.; Wohn, K. (2005): Persönliche Wertorientierungen im European Social Survey, ZUMA-Arbeitsbericht 2005/01, Mannheim: Zentrum für Umfragen, Methoden und Analysen. </w:t>
      </w:r>
      <w:r w:rsidRPr="00015AD7">
        <w:rPr>
          <w:sz w:val="22"/>
          <w:szCs w:val="22"/>
          <w:lang w:val="en-US"/>
        </w:rPr>
        <w:t>Ng, S.I.; Lee, J.A.; Soutar, G.N. (2007): Are Hofstede’s and Schwartz’s Value Frameworks Congruent? International Marketing Review, 24(2): 164-180. Rokeach, M. (1973): The Nature of Human Values, New York: Free Press. Schwartz, S.H. (1992): Universals in the Content and Structure of Values. Theoretical Advances and Empirical Tests in 20 Countries, in: Zanna, M.P. (Ed.), Advances in Experimental Social Psychology, Vol.25, 1-65, San Diego/CA: Academic Press. Schwartz, S.H. (1999): A Theory of Cultural Values and Some Implications for Work, Applied Psychology, 48(1): 23</w:t>
      </w:r>
      <w:r w:rsidRPr="00015AD7">
        <w:rPr>
          <w:sz w:val="22"/>
          <w:szCs w:val="22"/>
          <w:lang w:val="en-US"/>
        </w:rPr>
        <w:noBreakHyphen/>
        <w:t>47. Schwartz, S.H.; Bilsky, W. (1990):</w:t>
      </w:r>
      <w:r w:rsidRPr="00015AD7">
        <w:rPr>
          <w:b/>
          <w:sz w:val="22"/>
          <w:szCs w:val="22"/>
          <w:lang w:val="en-US"/>
        </w:rPr>
        <w:t xml:space="preserve"> </w:t>
      </w:r>
      <w:r w:rsidRPr="00015AD7">
        <w:rPr>
          <w:sz w:val="22"/>
          <w:szCs w:val="22"/>
          <w:lang w:val="en-US"/>
        </w:rPr>
        <w:t>Toward a Theory of the Universal Content and Structure of Values. Extensions and Cross-Cultural Replications, Journal of Personality and Social Psychology, 58(5): 878</w:t>
      </w:r>
      <w:r w:rsidRPr="00015AD7">
        <w:rPr>
          <w:sz w:val="22"/>
          <w:szCs w:val="22"/>
          <w:lang w:val="en-US"/>
        </w:rPr>
        <w:noBreakHyphen/>
        <w:t>891. Schwartz, S.H.; Huismans, S. (1995): Value Priorities and Religiosity in Four Western Religions, Social Psychology Quarterly, 58(2): 88-107. Schwartz, S.H.; Sagiv, L. (1995): Identifying Culture-Specifics in the Content and Structure of Values, Journal of Cross-Cultural Psychology, 26(1): 92</w:t>
      </w:r>
      <w:r w:rsidRPr="00015AD7">
        <w:rPr>
          <w:sz w:val="22"/>
          <w:szCs w:val="22"/>
          <w:lang w:val="en-US"/>
        </w:rPr>
        <w:noBreakHyphen/>
        <w:t>116. Smith, P.B.; Peterson, M.F.; Schwartz, S.H. (2002): Cultural Values, Sources of Guidance, and their Relevance to Managerial Behavior. A 47-Nation Study, Journal of Cross-Cultural Psychology, 33(2): 188-208. Steenkamp, J.-B.E.M. (2001): The Role of National Culture in International Marketing Research, International Marketing Review, 18(1): 30-44.</w:t>
      </w:r>
    </w:p>
    <w:p w14:paraId="12578A14" w14:textId="77777777" w:rsidR="00FF7799" w:rsidRPr="00015AD7" w:rsidRDefault="00FF7799" w:rsidP="001F4D06">
      <w:pPr>
        <w:pStyle w:val="StandardText"/>
        <w:rPr>
          <w:lang w:val="en-US"/>
        </w:rPr>
      </w:pPr>
    </w:p>
    <w:p w14:paraId="4358EAEC" w14:textId="77777777" w:rsidR="00FF7799" w:rsidRPr="00CA154B" w:rsidRDefault="00FF7799" w:rsidP="00E61226">
      <w:pPr>
        <w:pStyle w:val="berschrift1"/>
        <w:rPr>
          <w:bCs w:val="0"/>
          <w:color w:val="2E74B5"/>
          <w:sz w:val="22"/>
        </w:rPr>
      </w:pPr>
      <w:r w:rsidRPr="00CA154B">
        <w:rPr>
          <w:bCs w:val="0"/>
          <w:color w:val="2E74B5"/>
          <w:sz w:val="22"/>
        </w:rPr>
        <w:t>Kulturdimensionen nach Trompenaars</w:t>
      </w:r>
    </w:p>
    <w:p w14:paraId="4539286A" w14:textId="77777777" w:rsidR="00FF7799" w:rsidRPr="00015AD7" w:rsidRDefault="00FF7799" w:rsidP="005F3BAD">
      <w:pPr>
        <w:pStyle w:val="StandardTextkursiv"/>
        <w:rPr>
          <w:i w:val="0"/>
        </w:rPr>
      </w:pPr>
      <w:r w:rsidRPr="00015AD7">
        <w:rPr>
          <w:i w:val="0"/>
        </w:rPr>
        <w:t>1 Konzeption</w:t>
      </w:r>
      <w:r w:rsidRPr="00015AD7">
        <w:rPr>
          <w:i w:val="0"/>
          <w:spacing w:val="-2"/>
        </w:rPr>
        <w:t xml:space="preserve"> </w:t>
      </w:r>
      <w:r w:rsidRPr="00015AD7">
        <w:rPr>
          <w:i w:val="0"/>
        </w:rPr>
        <w:t>&amp;</w:t>
      </w:r>
      <w:r w:rsidRPr="00015AD7">
        <w:rPr>
          <w:i w:val="0"/>
          <w:spacing w:val="-2"/>
        </w:rPr>
        <w:t xml:space="preserve"> </w:t>
      </w:r>
      <w:r w:rsidRPr="00015AD7">
        <w:rPr>
          <w:i w:val="0"/>
        </w:rPr>
        <w:t>theoretischer</w:t>
      </w:r>
      <w:r w:rsidRPr="00015AD7">
        <w:rPr>
          <w:i w:val="0"/>
          <w:spacing w:val="-2"/>
        </w:rPr>
        <w:t xml:space="preserve"> Hintergrund</w:t>
      </w:r>
    </w:p>
    <w:p w14:paraId="3CD04BB1" w14:textId="77777777" w:rsidR="00FF7799" w:rsidRPr="00015AD7" w:rsidRDefault="00FF7799" w:rsidP="00A67B23">
      <w:pPr>
        <w:pStyle w:val="StandardText"/>
      </w:pPr>
      <w:r w:rsidRPr="00015AD7">
        <w:lastRenderedPageBreak/>
        <w:t>F. Trompenaars untersuchte kulturelle Unterschiede von Gesellschaften primär mit</w:t>
      </w:r>
      <w:r w:rsidRPr="00015AD7">
        <w:rPr>
          <w:spacing w:val="-12"/>
        </w:rPr>
        <w:t xml:space="preserve"> </w:t>
      </w:r>
      <w:r w:rsidRPr="00015AD7">
        <w:t>Blick</w:t>
      </w:r>
      <w:r w:rsidRPr="00015AD7">
        <w:rPr>
          <w:spacing w:val="-11"/>
        </w:rPr>
        <w:t xml:space="preserve"> </w:t>
      </w:r>
      <w:r w:rsidRPr="00015AD7">
        <w:t>auf</w:t>
      </w:r>
      <w:r w:rsidRPr="00015AD7">
        <w:rPr>
          <w:spacing w:val="-11"/>
        </w:rPr>
        <w:t xml:space="preserve"> </w:t>
      </w:r>
      <w:r w:rsidRPr="00015AD7">
        <w:t>„die</w:t>
      </w:r>
      <w:r w:rsidRPr="00015AD7">
        <w:rPr>
          <w:spacing w:val="-11"/>
        </w:rPr>
        <w:t xml:space="preserve"> </w:t>
      </w:r>
      <w:r w:rsidRPr="00015AD7">
        <w:t>Praxis</w:t>
      </w:r>
      <w:r w:rsidRPr="00015AD7">
        <w:rPr>
          <w:spacing w:val="-12"/>
        </w:rPr>
        <w:t xml:space="preserve"> </w:t>
      </w:r>
      <w:r w:rsidRPr="00015AD7">
        <w:t>des</w:t>
      </w:r>
      <w:r w:rsidRPr="00015AD7">
        <w:rPr>
          <w:spacing w:val="-11"/>
        </w:rPr>
        <w:t xml:space="preserve"> </w:t>
      </w:r>
      <w:r w:rsidRPr="00015AD7">
        <w:t>Wirtschaftslebens</w:t>
      </w:r>
      <w:r w:rsidRPr="00015AD7">
        <w:rPr>
          <w:spacing w:val="-11"/>
        </w:rPr>
        <w:t xml:space="preserve"> </w:t>
      </w:r>
      <w:r w:rsidRPr="00015AD7">
        <w:t>und</w:t>
      </w:r>
      <w:r w:rsidRPr="00015AD7">
        <w:rPr>
          <w:spacing w:val="-11"/>
        </w:rPr>
        <w:t xml:space="preserve"> </w:t>
      </w:r>
      <w:r w:rsidRPr="00015AD7">
        <w:t>des</w:t>
      </w:r>
      <w:r w:rsidRPr="00015AD7">
        <w:rPr>
          <w:spacing w:val="-12"/>
        </w:rPr>
        <w:t xml:space="preserve"> </w:t>
      </w:r>
      <w:r w:rsidRPr="00015AD7">
        <w:t>Managements“.</w:t>
      </w:r>
      <w:r w:rsidRPr="00015AD7">
        <w:rPr>
          <w:spacing w:val="-11"/>
        </w:rPr>
        <w:t xml:space="preserve"> </w:t>
      </w:r>
      <w:r w:rsidRPr="00015AD7">
        <w:t>Er</w:t>
      </w:r>
      <w:r w:rsidRPr="00015AD7">
        <w:rPr>
          <w:spacing w:val="-11"/>
        </w:rPr>
        <w:t xml:space="preserve"> </w:t>
      </w:r>
      <w:r w:rsidRPr="00015AD7">
        <w:t xml:space="preserve">versteht </w:t>
      </w:r>
      <w:r w:rsidR="00015AD7">
        <w:sym w:font="Symbol" w:char="F0DE"/>
      </w:r>
      <w:r w:rsidR="00015AD7">
        <w:t xml:space="preserve"> </w:t>
      </w:r>
      <w:r w:rsidRPr="00015AD7">
        <w:t>Kultur als den Weg, „auf dem menschliche Gesellschaften zur Lösung von Problemen</w:t>
      </w:r>
      <w:r w:rsidRPr="00015AD7">
        <w:rPr>
          <w:spacing w:val="-5"/>
        </w:rPr>
        <w:t xml:space="preserve"> </w:t>
      </w:r>
      <w:r w:rsidRPr="00015AD7">
        <w:t>finden“</w:t>
      </w:r>
      <w:r w:rsidRPr="00015AD7">
        <w:rPr>
          <w:spacing w:val="-7"/>
        </w:rPr>
        <w:t xml:space="preserve"> </w:t>
      </w:r>
      <w:r w:rsidRPr="00015AD7">
        <w:t>(Trompenaars</w:t>
      </w:r>
      <w:r w:rsidRPr="00015AD7">
        <w:rPr>
          <w:spacing w:val="-7"/>
        </w:rPr>
        <w:t xml:space="preserve"> </w:t>
      </w:r>
      <w:r w:rsidRPr="00015AD7">
        <w:t>1993,</w:t>
      </w:r>
      <w:r w:rsidRPr="00015AD7">
        <w:rPr>
          <w:spacing w:val="-8"/>
        </w:rPr>
        <w:t xml:space="preserve"> </w:t>
      </w:r>
      <w:r w:rsidRPr="00015AD7">
        <w:t>S.18).</w:t>
      </w:r>
      <w:r w:rsidRPr="00015AD7">
        <w:rPr>
          <w:spacing w:val="-8"/>
        </w:rPr>
        <w:t xml:space="preserve"> </w:t>
      </w:r>
      <w:r w:rsidRPr="00015AD7">
        <w:t>Diese</w:t>
      </w:r>
      <w:r w:rsidRPr="00015AD7">
        <w:rPr>
          <w:spacing w:val="-4"/>
        </w:rPr>
        <w:t xml:space="preserve"> </w:t>
      </w:r>
      <w:r w:rsidRPr="00015AD7">
        <w:t>„Wege“</w:t>
      </w:r>
      <w:r w:rsidRPr="00015AD7">
        <w:rPr>
          <w:spacing w:val="-7"/>
        </w:rPr>
        <w:t xml:space="preserve"> </w:t>
      </w:r>
      <w:r w:rsidRPr="00015AD7">
        <w:t>gleichen</w:t>
      </w:r>
      <w:r w:rsidRPr="00015AD7">
        <w:rPr>
          <w:spacing w:val="-5"/>
        </w:rPr>
        <w:t xml:space="preserve"> </w:t>
      </w:r>
      <w:r w:rsidRPr="00015AD7">
        <w:t>sich</w:t>
      </w:r>
      <w:r w:rsidRPr="00015AD7">
        <w:rPr>
          <w:spacing w:val="-5"/>
        </w:rPr>
        <w:t xml:space="preserve"> </w:t>
      </w:r>
      <w:r w:rsidRPr="00015AD7">
        <w:t>seinen Beobachtungen zufolge weltweit: Immer handele es sich um Schwierigkeiten, welche aus der Beziehung zu den Mitmenschen resultieren wie auch aus der Einstellung zu Zeit und Arbeit sowie zur Natur. Bei der Konkretisierung seines Ansatzes orientierte sich der niederländische Sozialwissenschaftler a</w:t>
      </w:r>
      <w:r w:rsidR="00015AD7">
        <w:t>n Kluckhohn/Strodtbeck (1961) (</w:t>
      </w:r>
      <w:r w:rsidR="00015AD7">
        <w:sym w:font="Symbol" w:char="F0DE"/>
      </w:r>
      <w:r w:rsidRPr="00015AD7">
        <w:t xml:space="preserve"> Kulturorientierungen nach Kluckhohn &amp; Strodtbeck)</w:t>
      </w:r>
      <w:r w:rsidRPr="00015AD7">
        <w:rPr>
          <w:spacing w:val="-10"/>
        </w:rPr>
        <w:t xml:space="preserve"> </w:t>
      </w:r>
      <w:r w:rsidRPr="00015AD7">
        <w:t>sowie</w:t>
      </w:r>
      <w:r w:rsidRPr="00015AD7">
        <w:rPr>
          <w:spacing w:val="-11"/>
        </w:rPr>
        <w:t xml:space="preserve"> </w:t>
      </w:r>
      <w:r w:rsidRPr="00015AD7">
        <w:t>an</w:t>
      </w:r>
      <w:r w:rsidRPr="00015AD7">
        <w:rPr>
          <w:spacing w:val="-11"/>
        </w:rPr>
        <w:t xml:space="preserve"> </w:t>
      </w:r>
      <w:r w:rsidRPr="00015AD7">
        <w:t>Parsons/Shils</w:t>
      </w:r>
      <w:r w:rsidRPr="00015AD7">
        <w:rPr>
          <w:spacing w:val="-11"/>
        </w:rPr>
        <w:t xml:space="preserve"> </w:t>
      </w:r>
      <w:r w:rsidRPr="00015AD7">
        <w:t>(1951,</w:t>
      </w:r>
      <w:r w:rsidRPr="00015AD7">
        <w:rPr>
          <w:spacing w:val="-10"/>
        </w:rPr>
        <w:t xml:space="preserve"> </w:t>
      </w:r>
      <w:r w:rsidRPr="00015AD7">
        <w:t>S.77).</w:t>
      </w:r>
      <w:r w:rsidRPr="00015AD7">
        <w:rPr>
          <w:spacing w:val="-10"/>
        </w:rPr>
        <w:t xml:space="preserve"> </w:t>
      </w:r>
      <w:r w:rsidRPr="00015AD7">
        <w:t>Sie</w:t>
      </w:r>
      <w:r w:rsidRPr="00015AD7">
        <w:rPr>
          <w:spacing w:val="-12"/>
        </w:rPr>
        <w:t xml:space="preserve"> </w:t>
      </w:r>
      <w:r w:rsidRPr="00015AD7">
        <w:t>beschrieben</w:t>
      </w:r>
      <w:r w:rsidRPr="00015AD7">
        <w:rPr>
          <w:spacing w:val="-6"/>
        </w:rPr>
        <w:t xml:space="preserve"> </w:t>
      </w:r>
      <w:r w:rsidRPr="00015AD7">
        <w:t>in</w:t>
      </w:r>
      <w:r w:rsidRPr="00015AD7">
        <w:rPr>
          <w:spacing w:val="-11"/>
        </w:rPr>
        <w:t xml:space="preserve"> </w:t>
      </w:r>
      <w:r w:rsidRPr="00015AD7">
        <w:t>ihrer</w:t>
      </w:r>
      <w:r w:rsidRPr="00015AD7">
        <w:rPr>
          <w:spacing w:val="-10"/>
        </w:rPr>
        <w:t xml:space="preserve"> </w:t>
      </w:r>
      <w:r w:rsidRPr="00015AD7">
        <w:t>„General Theory</w:t>
      </w:r>
      <w:r w:rsidRPr="00015AD7">
        <w:rPr>
          <w:spacing w:val="-10"/>
        </w:rPr>
        <w:t xml:space="preserve"> </w:t>
      </w:r>
      <w:r w:rsidRPr="00015AD7">
        <w:t>of</w:t>
      </w:r>
      <w:r w:rsidRPr="00015AD7">
        <w:rPr>
          <w:spacing w:val="-9"/>
        </w:rPr>
        <w:t xml:space="preserve"> </w:t>
      </w:r>
      <w:r w:rsidRPr="00015AD7">
        <w:t>Action“</w:t>
      </w:r>
      <w:r w:rsidRPr="00015AD7">
        <w:rPr>
          <w:spacing w:val="-9"/>
        </w:rPr>
        <w:t xml:space="preserve"> </w:t>
      </w:r>
      <w:r w:rsidRPr="00015AD7">
        <w:t>fünf</w:t>
      </w:r>
      <w:r w:rsidRPr="00015AD7">
        <w:rPr>
          <w:spacing w:val="-8"/>
        </w:rPr>
        <w:t xml:space="preserve"> </w:t>
      </w:r>
      <w:r w:rsidRPr="00015AD7">
        <w:t>komplexe</w:t>
      </w:r>
      <w:r w:rsidRPr="00015AD7">
        <w:rPr>
          <w:spacing w:val="-12"/>
        </w:rPr>
        <w:t xml:space="preserve"> </w:t>
      </w:r>
      <w:r w:rsidR="00015AD7">
        <w:rPr>
          <w:spacing w:val="-3"/>
        </w:rPr>
        <w:sym w:font="Symbol" w:char="F0DE"/>
      </w:r>
      <w:r w:rsidRPr="00015AD7">
        <w:rPr>
          <w:spacing w:val="-3"/>
        </w:rPr>
        <w:t xml:space="preserve"> </w:t>
      </w:r>
      <w:r w:rsidRPr="00015AD7">
        <w:t>Konstrukte,</w:t>
      </w:r>
      <w:r w:rsidRPr="00015AD7">
        <w:rPr>
          <w:spacing w:val="-9"/>
        </w:rPr>
        <w:t xml:space="preserve"> </w:t>
      </w:r>
      <w:r w:rsidRPr="00015AD7">
        <w:t>welche</w:t>
      </w:r>
      <w:r w:rsidRPr="00015AD7">
        <w:rPr>
          <w:spacing w:val="-9"/>
        </w:rPr>
        <w:t xml:space="preserve"> </w:t>
      </w:r>
      <w:r w:rsidRPr="00015AD7">
        <w:t>das</w:t>
      </w:r>
      <w:r w:rsidRPr="00015AD7">
        <w:rPr>
          <w:spacing w:val="-10"/>
        </w:rPr>
        <w:t xml:space="preserve"> </w:t>
      </w:r>
      <w:r w:rsidRPr="00015AD7">
        <w:t>menschliche</w:t>
      </w:r>
      <w:r w:rsidRPr="00015AD7">
        <w:rPr>
          <w:spacing w:val="-10"/>
        </w:rPr>
        <w:t xml:space="preserve"> </w:t>
      </w:r>
      <w:r w:rsidRPr="00015AD7">
        <w:t xml:space="preserve">Handeln </w:t>
      </w:r>
      <w:r w:rsidRPr="00015AD7">
        <w:rPr>
          <w:spacing w:val="-2"/>
        </w:rPr>
        <w:t>bestimmen:</w:t>
      </w:r>
    </w:p>
    <w:p w14:paraId="1DF48F55" w14:textId="77777777" w:rsidR="00FF7799" w:rsidRPr="00015AD7" w:rsidRDefault="00FF7799" w:rsidP="00CA154B">
      <w:pPr>
        <w:pStyle w:val="StandardTextAufzhlung"/>
        <w:ind w:left="426"/>
      </w:pPr>
      <w:r w:rsidRPr="00015AD7">
        <w:t>Universalism</w:t>
      </w:r>
      <w:r w:rsidRPr="00015AD7">
        <w:rPr>
          <w:spacing w:val="-2"/>
        </w:rPr>
        <w:t xml:space="preserve"> </w:t>
      </w:r>
      <w:r w:rsidRPr="00015AD7">
        <w:t xml:space="preserve">vs. </w:t>
      </w:r>
      <w:r w:rsidRPr="00015AD7">
        <w:rPr>
          <w:spacing w:val="-2"/>
        </w:rPr>
        <w:t>Particularism,</w:t>
      </w:r>
    </w:p>
    <w:p w14:paraId="4A2B750A" w14:textId="77777777" w:rsidR="00FF7799" w:rsidRPr="00015AD7" w:rsidRDefault="00FF7799" w:rsidP="00CA154B">
      <w:pPr>
        <w:pStyle w:val="StandardTextAufzhlung"/>
        <w:ind w:left="426"/>
        <w:rPr>
          <w:lang w:val="en-US"/>
        </w:rPr>
      </w:pPr>
      <w:r w:rsidRPr="00015AD7">
        <w:rPr>
          <w:lang w:val="en-US"/>
        </w:rPr>
        <w:t>Self-Orientation</w:t>
      </w:r>
      <w:r w:rsidRPr="00015AD7">
        <w:rPr>
          <w:spacing w:val="-3"/>
          <w:lang w:val="en-US"/>
        </w:rPr>
        <w:t xml:space="preserve"> </w:t>
      </w:r>
      <w:r w:rsidRPr="00015AD7">
        <w:rPr>
          <w:lang w:val="en-US"/>
        </w:rPr>
        <w:t>vs.</w:t>
      </w:r>
      <w:r w:rsidRPr="00015AD7">
        <w:rPr>
          <w:spacing w:val="-4"/>
          <w:lang w:val="en-US"/>
        </w:rPr>
        <w:t xml:space="preserve"> </w:t>
      </w:r>
      <w:r w:rsidRPr="00015AD7">
        <w:rPr>
          <w:lang w:val="en-US"/>
        </w:rPr>
        <w:t>Collectivity-</w:t>
      </w:r>
      <w:r w:rsidRPr="00015AD7">
        <w:rPr>
          <w:spacing w:val="-2"/>
          <w:lang w:val="en-US"/>
        </w:rPr>
        <w:t>Orientation,</w:t>
      </w:r>
    </w:p>
    <w:p w14:paraId="0035CD37" w14:textId="77777777" w:rsidR="00FF7799" w:rsidRPr="00015AD7" w:rsidRDefault="00FF7799" w:rsidP="00CA154B">
      <w:pPr>
        <w:pStyle w:val="StandardTextAufzhlung"/>
        <w:ind w:left="426"/>
      </w:pPr>
      <w:r w:rsidRPr="00015AD7">
        <w:t>Affectivity</w:t>
      </w:r>
      <w:r w:rsidRPr="00015AD7">
        <w:rPr>
          <w:spacing w:val="-1"/>
        </w:rPr>
        <w:t xml:space="preserve"> </w:t>
      </w:r>
      <w:r w:rsidRPr="00015AD7">
        <w:t>vs.</w:t>
      </w:r>
      <w:r w:rsidRPr="00015AD7">
        <w:rPr>
          <w:spacing w:val="2"/>
        </w:rPr>
        <w:t xml:space="preserve"> </w:t>
      </w:r>
      <w:r w:rsidRPr="00015AD7">
        <w:rPr>
          <w:spacing w:val="-2"/>
        </w:rPr>
        <w:t>Neutrality,</w:t>
      </w:r>
    </w:p>
    <w:p w14:paraId="2B0E5C85" w14:textId="77777777" w:rsidR="00FF7799" w:rsidRPr="00015AD7" w:rsidRDefault="00FF7799" w:rsidP="00CA154B">
      <w:pPr>
        <w:pStyle w:val="StandardTextAufzhlung"/>
        <w:ind w:left="426"/>
      </w:pPr>
      <w:r w:rsidRPr="00015AD7">
        <w:t>Specificity</w:t>
      </w:r>
      <w:r w:rsidRPr="00015AD7">
        <w:rPr>
          <w:spacing w:val="-2"/>
        </w:rPr>
        <w:t xml:space="preserve"> </w:t>
      </w:r>
      <w:r w:rsidRPr="00015AD7">
        <w:t xml:space="preserve">vs. </w:t>
      </w:r>
      <w:r w:rsidRPr="00015AD7">
        <w:rPr>
          <w:spacing w:val="-2"/>
        </w:rPr>
        <w:t>Diffuseness,</w:t>
      </w:r>
    </w:p>
    <w:p w14:paraId="6100343B" w14:textId="77777777" w:rsidR="00FF7799" w:rsidRPr="00015AD7" w:rsidRDefault="00FF7799" w:rsidP="00CA154B">
      <w:pPr>
        <w:pStyle w:val="StandardTextAufzhlung"/>
        <w:ind w:left="426"/>
      </w:pPr>
      <w:r w:rsidRPr="00015AD7">
        <w:t>Ascription</w:t>
      </w:r>
      <w:r w:rsidRPr="00015AD7">
        <w:rPr>
          <w:spacing w:val="-1"/>
        </w:rPr>
        <w:t xml:space="preserve"> </w:t>
      </w:r>
      <w:r w:rsidRPr="00015AD7">
        <w:t>vs.</w:t>
      </w:r>
      <w:r w:rsidRPr="00015AD7">
        <w:rPr>
          <w:spacing w:val="2"/>
        </w:rPr>
        <w:t xml:space="preserve"> </w:t>
      </w:r>
      <w:r w:rsidRPr="00015AD7">
        <w:rPr>
          <w:spacing w:val="-2"/>
        </w:rPr>
        <w:t>Achievement.</w:t>
      </w:r>
    </w:p>
    <w:p w14:paraId="5FE0A275" w14:textId="77777777" w:rsidR="00FF7799" w:rsidRPr="00E73F6F" w:rsidRDefault="00FF7799" w:rsidP="00862DBA">
      <w:pPr>
        <w:spacing w:before="9"/>
        <w:rPr>
          <w:sz w:val="24"/>
          <w:szCs w:val="24"/>
        </w:rPr>
      </w:pPr>
    </w:p>
    <w:p w14:paraId="47C55957" w14:textId="77777777" w:rsidR="00FF7799" w:rsidRPr="00015AD7" w:rsidRDefault="00FF7799" w:rsidP="00A67B23">
      <w:pPr>
        <w:pStyle w:val="StandardText"/>
      </w:pPr>
      <w:r w:rsidRPr="00015AD7">
        <w:t>Darüber</w:t>
      </w:r>
      <w:r w:rsidRPr="00015AD7">
        <w:rPr>
          <w:spacing w:val="-9"/>
        </w:rPr>
        <w:t xml:space="preserve"> </w:t>
      </w:r>
      <w:r w:rsidRPr="00015AD7">
        <w:t>hinaus</w:t>
      </w:r>
      <w:r w:rsidRPr="00015AD7">
        <w:rPr>
          <w:spacing w:val="-9"/>
        </w:rPr>
        <w:t xml:space="preserve"> </w:t>
      </w:r>
      <w:r w:rsidRPr="00015AD7">
        <w:t>erachtete</w:t>
      </w:r>
      <w:r w:rsidRPr="00015AD7">
        <w:rPr>
          <w:spacing w:val="-8"/>
        </w:rPr>
        <w:t xml:space="preserve"> </w:t>
      </w:r>
      <w:r w:rsidRPr="00015AD7">
        <w:t>F.</w:t>
      </w:r>
      <w:r w:rsidRPr="00015AD7">
        <w:rPr>
          <w:spacing w:val="-10"/>
        </w:rPr>
        <w:t xml:space="preserve"> </w:t>
      </w:r>
      <w:r w:rsidRPr="00015AD7">
        <w:t>Trompenaars</w:t>
      </w:r>
      <w:r w:rsidRPr="00015AD7">
        <w:rPr>
          <w:spacing w:val="-8"/>
        </w:rPr>
        <w:t xml:space="preserve"> </w:t>
      </w:r>
      <w:r w:rsidRPr="00015AD7">
        <w:t>das</w:t>
      </w:r>
      <w:r w:rsidRPr="00015AD7">
        <w:rPr>
          <w:spacing w:val="-9"/>
        </w:rPr>
        <w:t xml:space="preserve"> </w:t>
      </w:r>
      <w:r w:rsidRPr="00015AD7">
        <w:t>Zeitgefühl,</w:t>
      </w:r>
      <w:r w:rsidRPr="00015AD7">
        <w:rPr>
          <w:spacing w:val="-10"/>
        </w:rPr>
        <w:t xml:space="preserve"> </w:t>
      </w:r>
      <w:r w:rsidRPr="00015AD7">
        <w:t>das</w:t>
      </w:r>
      <w:r w:rsidRPr="00015AD7">
        <w:rPr>
          <w:spacing w:val="-9"/>
        </w:rPr>
        <w:t xml:space="preserve"> </w:t>
      </w:r>
      <w:r w:rsidRPr="00015AD7">
        <w:t>in</w:t>
      </w:r>
      <w:r w:rsidRPr="00015AD7">
        <w:rPr>
          <w:spacing w:val="-10"/>
        </w:rPr>
        <w:t xml:space="preserve"> </w:t>
      </w:r>
      <w:r w:rsidRPr="00015AD7">
        <w:t>einer</w:t>
      </w:r>
      <w:r w:rsidRPr="00015AD7">
        <w:rPr>
          <w:spacing w:val="-9"/>
        </w:rPr>
        <w:t xml:space="preserve"> </w:t>
      </w:r>
      <w:r w:rsidRPr="00015AD7">
        <w:t>Gesellschaft dominiert, und deren Beziehung zur Natur als bedeutsam.</w:t>
      </w:r>
    </w:p>
    <w:p w14:paraId="79013B97" w14:textId="77777777" w:rsidR="00FF7799" w:rsidRPr="00015AD7" w:rsidRDefault="00FF7799" w:rsidP="00A67B23">
      <w:pPr>
        <w:pStyle w:val="StandardText"/>
      </w:pPr>
      <w:r w:rsidRPr="00015AD7">
        <w:t>In Manager-Seminaren befragte F. Trompenaars etwa 15.000 Probanden aus 47 Ländern (ca. 75% Führungskräfte und 25% Verwaltungsangestellte). Im Gegensatz zu G. Hofstede, der seine Stichprobe ausschließlich unter IBM- Mitarbeitern rekrutierte, wirkten an dieser Studie verschiedene Unternehmen mit (z.B. AT&amp;T/USA, BSN/Frankreich oder Heineken/Niederlande). Das Untersuchungsziel</w:t>
      </w:r>
      <w:r w:rsidRPr="00015AD7">
        <w:rPr>
          <w:spacing w:val="46"/>
        </w:rPr>
        <w:t xml:space="preserve"> </w:t>
      </w:r>
      <w:r w:rsidRPr="00015AD7">
        <w:t>lautete,</w:t>
      </w:r>
      <w:r w:rsidRPr="00015AD7">
        <w:rPr>
          <w:spacing w:val="47"/>
        </w:rPr>
        <w:t xml:space="preserve"> </w:t>
      </w:r>
      <w:r w:rsidRPr="00015AD7">
        <w:t>universell</w:t>
      </w:r>
      <w:r w:rsidRPr="00015AD7">
        <w:rPr>
          <w:spacing w:val="47"/>
        </w:rPr>
        <w:t xml:space="preserve"> </w:t>
      </w:r>
      <w:r w:rsidRPr="00015AD7">
        <w:t>gültige</w:t>
      </w:r>
      <w:r w:rsidRPr="00015AD7">
        <w:rPr>
          <w:spacing w:val="45"/>
        </w:rPr>
        <w:t xml:space="preserve"> </w:t>
      </w:r>
      <w:r w:rsidR="007F2875">
        <w:sym w:font="Symbol" w:char="F0DE"/>
      </w:r>
      <w:r w:rsidR="007F2875">
        <w:t xml:space="preserve"> </w:t>
      </w:r>
      <w:r w:rsidRPr="00015AD7">
        <w:t>Kulturdimensionen</w:t>
      </w:r>
      <w:r w:rsidRPr="00015AD7">
        <w:rPr>
          <w:spacing w:val="46"/>
        </w:rPr>
        <w:t xml:space="preserve"> </w:t>
      </w:r>
      <w:r w:rsidRPr="00015AD7">
        <w:t>zu</w:t>
      </w:r>
      <w:r w:rsidRPr="00015AD7">
        <w:rPr>
          <w:spacing w:val="48"/>
        </w:rPr>
        <w:t xml:space="preserve"> </w:t>
      </w:r>
      <w:r w:rsidRPr="00015AD7">
        <w:rPr>
          <w:spacing w:val="-2"/>
        </w:rPr>
        <w:t xml:space="preserve">ermitteln: </w:t>
      </w:r>
      <w:r w:rsidRPr="00015AD7">
        <w:t>„shared ways</w:t>
      </w:r>
      <w:r w:rsidRPr="00015AD7">
        <w:rPr>
          <w:spacing w:val="-1"/>
        </w:rPr>
        <w:t xml:space="preserve"> </w:t>
      </w:r>
      <w:r w:rsidRPr="00015AD7">
        <w:t>groups</w:t>
      </w:r>
      <w:r w:rsidRPr="00015AD7">
        <w:rPr>
          <w:spacing w:val="-2"/>
        </w:rPr>
        <w:t xml:space="preserve"> </w:t>
      </w:r>
      <w:r w:rsidRPr="00015AD7">
        <w:t>of</w:t>
      </w:r>
      <w:r w:rsidRPr="00015AD7">
        <w:rPr>
          <w:spacing w:val="-2"/>
        </w:rPr>
        <w:t xml:space="preserve"> </w:t>
      </w:r>
      <w:r w:rsidRPr="00015AD7">
        <w:t>people</w:t>
      </w:r>
      <w:r w:rsidRPr="00015AD7">
        <w:rPr>
          <w:spacing w:val="-4"/>
        </w:rPr>
        <w:t xml:space="preserve"> </w:t>
      </w:r>
      <w:r w:rsidRPr="00015AD7">
        <w:t>understand</w:t>
      </w:r>
      <w:r w:rsidRPr="00015AD7">
        <w:rPr>
          <w:spacing w:val="1"/>
        </w:rPr>
        <w:t xml:space="preserve"> </w:t>
      </w:r>
      <w:r w:rsidRPr="00015AD7">
        <w:t>and interpret</w:t>
      </w:r>
      <w:r w:rsidRPr="00015AD7">
        <w:rPr>
          <w:spacing w:val="-1"/>
        </w:rPr>
        <w:t xml:space="preserve"> </w:t>
      </w:r>
      <w:r w:rsidRPr="00015AD7">
        <w:t>the</w:t>
      </w:r>
      <w:r w:rsidRPr="00015AD7">
        <w:rPr>
          <w:spacing w:val="-1"/>
        </w:rPr>
        <w:t xml:space="preserve"> </w:t>
      </w:r>
      <w:r w:rsidRPr="00015AD7">
        <w:rPr>
          <w:spacing w:val="-2"/>
        </w:rPr>
        <w:t>world“.</w:t>
      </w:r>
    </w:p>
    <w:p w14:paraId="3F57F9A8" w14:textId="77777777" w:rsidR="00FF7799" w:rsidRPr="00015AD7" w:rsidRDefault="00FF7799" w:rsidP="00A67B23">
      <w:pPr>
        <w:pStyle w:val="StandardText"/>
      </w:pPr>
    </w:p>
    <w:p w14:paraId="2D1167CA" w14:textId="77777777" w:rsidR="00FF7799" w:rsidRPr="00015AD7" w:rsidRDefault="00FF7799" w:rsidP="005F3BAD">
      <w:pPr>
        <w:pStyle w:val="StandardTextkursiv"/>
        <w:rPr>
          <w:i w:val="0"/>
        </w:rPr>
      </w:pPr>
      <w:r w:rsidRPr="00015AD7">
        <w:rPr>
          <w:i w:val="0"/>
        </w:rPr>
        <w:t>2 Kulturdimensionen</w:t>
      </w:r>
    </w:p>
    <w:p w14:paraId="0FC78E59" w14:textId="77777777" w:rsidR="00FF7799" w:rsidRPr="00015AD7" w:rsidRDefault="00FF7799" w:rsidP="005F3BAD">
      <w:pPr>
        <w:pStyle w:val="StandardTextkursiv"/>
        <w:rPr>
          <w:i w:val="0"/>
        </w:rPr>
      </w:pPr>
      <w:r w:rsidRPr="00015AD7">
        <w:rPr>
          <w:i w:val="0"/>
        </w:rPr>
        <w:t>2.1 Universalistische</w:t>
      </w:r>
      <w:r w:rsidRPr="00015AD7">
        <w:rPr>
          <w:i w:val="0"/>
          <w:spacing w:val="-3"/>
        </w:rPr>
        <w:t xml:space="preserve"> </w:t>
      </w:r>
      <w:r w:rsidRPr="00015AD7">
        <w:rPr>
          <w:i w:val="0"/>
        </w:rPr>
        <w:t>vs.</w:t>
      </w:r>
      <w:r w:rsidRPr="00015AD7">
        <w:rPr>
          <w:i w:val="0"/>
          <w:spacing w:val="-4"/>
        </w:rPr>
        <w:t xml:space="preserve"> </w:t>
      </w:r>
      <w:r w:rsidRPr="00015AD7">
        <w:rPr>
          <w:i w:val="0"/>
        </w:rPr>
        <w:t>partikularistische</w:t>
      </w:r>
      <w:r w:rsidRPr="00015AD7">
        <w:rPr>
          <w:i w:val="0"/>
          <w:spacing w:val="-2"/>
        </w:rPr>
        <w:t xml:space="preserve"> Orientierung</w:t>
      </w:r>
    </w:p>
    <w:p w14:paraId="75AC9743" w14:textId="77777777" w:rsidR="00FF7799" w:rsidRPr="00015AD7" w:rsidRDefault="00FF7799" w:rsidP="00A67B23">
      <w:pPr>
        <w:pStyle w:val="StandardText"/>
      </w:pPr>
      <w:r w:rsidRPr="00015AD7">
        <w:t>Legt</w:t>
      </w:r>
      <w:r w:rsidRPr="00015AD7">
        <w:rPr>
          <w:spacing w:val="-3"/>
        </w:rPr>
        <w:t xml:space="preserve"> </w:t>
      </w:r>
      <w:r w:rsidRPr="00015AD7">
        <w:t>eine</w:t>
      </w:r>
      <w:r w:rsidRPr="00015AD7">
        <w:rPr>
          <w:spacing w:val="-4"/>
        </w:rPr>
        <w:t xml:space="preserve"> </w:t>
      </w:r>
      <w:r w:rsidRPr="00015AD7">
        <w:t>Gesellschaft</w:t>
      </w:r>
      <w:r w:rsidRPr="00015AD7">
        <w:rPr>
          <w:spacing w:val="-3"/>
        </w:rPr>
        <w:t xml:space="preserve"> </w:t>
      </w:r>
      <w:r w:rsidRPr="00015AD7">
        <w:t>mehr</w:t>
      </w:r>
      <w:r w:rsidRPr="00015AD7">
        <w:rPr>
          <w:spacing w:val="-3"/>
        </w:rPr>
        <w:t xml:space="preserve"> </w:t>
      </w:r>
      <w:r w:rsidRPr="00015AD7">
        <w:t>Wert</w:t>
      </w:r>
      <w:r w:rsidRPr="00015AD7">
        <w:rPr>
          <w:spacing w:val="-3"/>
        </w:rPr>
        <w:t xml:space="preserve"> </w:t>
      </w:r>
      <w:r w:rsidRPr="00015AD7">
        <w:t>darauf,</w:t>
      </w:r>
      <w:r w:rsidRPr="00015AD7">
        <w:rPr>
          <w:spacing w:val="-5"/>
        </w:rPr>
        <w:t xml:space="preserve"> </w:t>
      </w:r>
      <w:r w:rsidRPr="00015AD7">
        <w:t>dass</w:t>
      </w:r>
      <w:r w:rsidRPr="00015AD7">
        <w:rPr>
          <w:spacing w:val="-4"/>
        </w:rPr>
        <w:t xml:space="preserve"> </w:t>
      </w:r>
      <w:r w:rsidRPr="00015AD7">
        <w:t>Regeln</w:t>
      </w:r>
      <w:r w:rsidRPr="00015AD7">
        <w:rPr>
          <w:spacing w:val="-4"/>
        </w:rPr>
        <w:t xml:space="preserve"> </w:t>
      </w:r>
      <w:r w:rsidRPr="00015AD7">
        <w:t>und</w:t>
      </w:r>
      <w:r w:rsidRPr="00015AD7">
        <w:rPr>
          <w:spacing w:val="-2"/>
        </w:rPr>
        <w:t xml:space="preserve"> </w:t>
      </w:r>
      <w:r w:rsidRPr="00015AD7">
        <w:t>Gesetze</w:t>
      </w:r>
      <w:r w:rsidRPr="00015AD7">
        <w:rPr>
          <w:spacing w:val="-2"/>
        </w:rPr>
        <w:t xml:space="preserve"> </w:t>
      </w:r>
      <w:r w:rsidRPr="00015AD7">
        <w:t>eingehalten</w:t>
      </w:r>
      <w:r w:rsidRPr="00015AD7">
        <w:rPr>
          <w:spacing w:val="-4"/>
        </w:rPr>
        <w:t xml:space="preserve"> </w:t>
      </w:r>
      <w:r w:rsidRPr="00015AD7">
        <w:t>(= Universalismus) oder dass zwischenmenschliche Beziehungen gepflegt und individuelle Interessen berücksichtigt werden (= Partikularismus)? Operationalisiert</w:t>
      </w:r>
      <w:r w:rsidRPr="00015AD7">
        <w:rPr>
          <w:spacing w:val="-12"/>
        </w:rPr>
        <w:t xml:space="preserve"> </w:t>
      </w:r>
      <w:r w:rsidRPr="00015AD7">
        <w:t>wird</w:t>
      </w:r>
      <w:r w:rsidRPr="00015AD7">
        <w:rPr>
          <w:spacing w:val="-9"/>
        </w:rPr>
        <w:t xml:space="preserve"> </w:t>
      </w:r>
      <w:r w:rsidRPr="00015AD7">
        <w:t>diese</w:t>
      </w:r>
      <w:r w:rsidRPr="00015AD7">
        <w:rPr>
          <w:spacing w:val="-11"/>
        </w:rPr>
        <w:t xml:space="preserve"> </w:t>
      </w:r>
      <w:r w:rsidRPr="00015AD7">
        <w:t>Dimension</w:t>
      </w:r>
      <w:r w:rsidRPr="00015AD7">
        <w:rPr>
          <w:spacing w:val="-11"/>
        </w:rPr>
        <w:t xml:space="preserve"> </w:t>
      </w:r>
      <w:r w:rsidRPr="00015AD7">
        <w:t>mithilfe</w:t>
      </w:r>
      <w:r w:rsidRPr="00015AD7">
        <w:rPr>
          <w:spacing w:val="-12"/>
        </w:rPr>
        <w:t xml:space="preserve"> </w:t>
      </w:r>
      <w:r w:rsidRPr="00015AD7">
        <w:t>von</w:t>
      </w:r>
      <w:r w:rsidRPr="00015AD7">
        <w:rPr>
          <w:spacing w:val="-11"/>
        </w:rPr>
        <w:t xml:space="preserve"> </w:t>
      </w:r>
      <w:r w:rsidRPr="00015AD7">
        <w:t>drei</w:t>
      </w:r>
      <w:r w:rsidRPr="00015AD7">
        <w:rPr>
          <w:spacing w:val="-10"/>
        </w:rPr>
        <w:t xml:space="preserve"> </w:t>
      </w:r>
      <w:r w:rsidRPr="00015AD7">
        <w:t>Konfliktsituationen.</w:t>
      </w:r>
      <w:r w:rsidRPr="00015AD7">
        <w:rPr>
          <w:spacing w:val="-10"/>
        </w:rPr>
        <w:t xml:space="preserve"> </w:t>
      </w:r>
      <w:r w:rsidRPr="00015AD7">
        <w:t>Eine von</w:t>
      </w:r>
      <w:r w:rsidRPr="00015AD7">
        <w:rPr>
          <w:spacing w:val="-11"/>
        </w:rPr>
        <w:t xml:space="preserve"> </w:t>
      </w:r>
      <w:r w:rsidRPr="00015AD7">
        <w:t>diesen</w:t>
      </w:r>
      <w:r w:rsidRPr="00015AD7">
        <w:rPr>
          <w:spacing w:val="-9"/>
        </w:rPr>
        <w:t xml:space="preserve"> </w:t>
      </w:r>
      <w:r w:rsidRPr="00015AD7">
        <w:t>beschreibt</w:t>
      </w:r>
      <w:r w:rsidRPr="00015AD7">
        <w:rPr>
          <w:spacing w:val="-10"/>
        </w:rPr>
        <w:t xml:space="preserve"> </w:t>
      </w:r>
      <w:r w:rsidRPr="00015AD7">
        <w:t>den</w:t>
      </w:r>
      <w:r w:rsidRPr="00015AD7">
        <w:rPr>
          <w:spacing w:val="-7"/>
        </w:rPr>
        <w:t xml:space="preserve"> </w:t>
      </w:r>
      <w:r w:rsidRPr="00015AD7">
        <w:t>Fall</w:t>
      </w:r>
      <w:r w:rsidRPr="00015AD7">
        <w:rPr>
          <w:spacing w:val="-10"/>
        </w:rPr>
        <w:t xml:space="preserve"> </w:t>
      </w:r>
      <w:r w:rsidRPr="00015AD7">
        <w:t>eines</w:t>
      </w:r>
      <w:r w:rsidRPr="00015AD7">
        <w:rPr>
          <w:spacing w:val="-8"/>
        </w:rPr>
        <w:t xml:space="preserve"> </w:t>
      </w:r>
      <w:r w:rsidRPr="00015AD7">
        <w:t>Gastronomie-Kritikers,</w:t>
      </w:r>
      <w:r w:rsidRPr="00015AD7">
        <w:rPr>
          <w:spacing w:val="-10"/>
        </w:rPr>
        <w:t xml:space="preserve"> </w:t>
      </w:r>
      <w:r w:rsidRPr="00015AD7">
        <w:t>der</w:t>
      </w:r>
      <w:r w:rsidRPr="00015AD7">
        <w:rPr>
          <w:spacing w:val="-10"/>
        </w:rPr>
        <w:t xml:space="preserve"> </w:t>
      </w:r>
      <w:r w:rsidRPr="00015AD7">
        <w:t>über</w:t>
      </w:r>
      <w:r w:rsidRPr="00015AD7">
        <w:rPr>
          <w:spacing w:val="-10"/>
        </w:rPr>
        <w:t xml:space="preserve"> </w:t>
      </w:r>
      <w:r w:rsidRPr="00015AD7">
        <w:t>das</w:t>
      </w:r>
      <w:r w:rsidRPr="00015AD7">
        <w:rPr>
          <w:spacing w:val="-11"/>
        </w:rPr>
        <w:t xml:space="preserve"> </w:t>
      </w:r>
      <w:r w:rsidRPr="00015AD7">
        <w:t>von</w:t>
      </w:r>
      <w:r w:rsidRPr="00015AD7">
        <w:rPr>
          <w:spacing w:val="-9"/>
        </w:rPr>
        <w:t xml:space="preserve"> </w:t>
      </w:r>
      <w:r w:rsidRPr="00015AD7">
        <w:t>einer Freundin</w:t>
      </w:r>
      <w:r w:rsidRPr="00015AD7">
        <w:rPr>
          <w:spacing w:val="-10"/>
        </w:rPr>
        <w:t xml:space="preserve"> </w:t>
      </w:r>
      <w:r w:rsidRPr="00015AD7">
        <w:t>eröffnete</w:t>
      </w:r>
      <w:r w:rsidRPr="00015AD7">
        <w:rPr>
          <w:spacing w:val="-9"/>
        </w:rPr>
        <w:t xml:space="preserve"> </w:t>
      </w:r>
      <w:r w:rsidRPr="00015AD7">
        <w:t>Restaurant</w:t>
      </w:r>
      <w:r w:rsidRPr="00015AD7">
        <w:rPr>
          <w:spacing w:val="-11"/>
        </w:rPr>
        <w:t xml:space="preserve"> </w:t>
      </w:r>
      <w:r w:rsidRPr="00015AD7">
        <w:t>berichten</w:t>
      </w:r>
      <w:r w:rsidRPr="00015AD7">
        <w:rPr>
          <w:spacing w:val="-8"/>
        </w:rPr>
        <w:t xml:space="preserve"> </w:t>
      </w:r>
      <w:r w:rsidRPr="00015AD7">
        <w:t>soll,</w:t>
      </w:r>
      <w:r w:rsidRPr="00015AD7">
        <w:rPr>
          <w:spacing w:val="-10"/>
        </w:rPr>
        <w:t xml:space="preserve"> </w:t>
      </w:r>
      <w:r w:rsidRPr="00015AD7">
        <w:t>dann</w:t>
      </w:r>
      <w:r w:rsidRPr="00015AD7">
        <w:rPr>
          <w:spacing w:val="-10"/>
        </w:rPr>
        <w:t xml:space="preserve"> </w:t>
      </w:r>
      <w:r w:rsidRPr="00015AD7">
        <w:t>aber</w:t>
      </w:r>
      <w:r w:rsidRPr="00015AD7">
        <w:rPr>
          <w:spacing w:val="-9"/>
        </w:rPr>
        <w:t xml:space="preserve"> </w:t>
      </w:r>
      <w:r w:rsidRPr="00015AD7">
        <w:t>wahrheitsgemäß</w:t>
      </w:r>
      <w:r w:rsidRPr="00015AD7">
        <w:rPr>
          <w:spacing w:val="-10"/>
        </w:rPr>
        <w:t xml:space="preserve"> </w:t>
      </w:r>
      <w:r w:rsidRPr="00015AD7">
        <w:t>bekunden müsste, dass</w:t>
      </w:r>
      <w:r w:rsidRPr="00015AD7">
        <w:rPr>
          <w:spacing w:val="-1"/>
        </w:rPr>
        <w:t xml:space="preserve"> </w:t>
      </w:r>
      <w:r w:rsidRPr="00015AD7">
        <w:t>er mit der Qualität des Essens unzufrieden war. Aus den Reaktionen auf die in Abb. 1 dargestellte zweite Konfliktsituation (= „Autounfall“) lässt sich ablesen, dass Südkoreaner am stärksten zum Partikularismus und Kanadier mehr als alle anderen zum Universalismus neigen</w:t>
      </w:r>
      <w:r w:rsidR="00D0171D">
        <w:t xml:space="preserve"> („</w:t>
      </w:r>
      <w:r w:rsidR="00D0171D" w:rsidRPr="00E73F6F">
        <w:rPr>
          <w:szCs w:val="24"/>
        </w:rPr>
        <w:t>Sie fahren mit einem guten Freund im Auto mit. Er verletzt einen Fußgänger. Sie wissen, dass er mindestens 50 km/h gefahren ist, wo höchstens 30 km/h erlaubt waren. Es gibt keine Zeugen.“</w:t>
      </w:r>
      <w:r w:rsidR="00D0171D">
        <w:t>).</w:t>
      </w:r>
    </w:p>
    <w:p w14:paraId="7933E89C" w14:textId="77777777" w:rsidR="00FF7799" w:rsidRPr="00E73F6F" w:rsidRDefault="00FF7799" w:rsidP="00A67B23">
      <w:pPr>
        <w:pStyle w:val="StandardText"/>
      </w:pPr>
    </w:p>
    <w:p w14:paraId="576FB1DD" w14:textId="77777777" w:rsidR="00FF7799" w:rsidRPr="00D0171D" w:rsidRDefault="00FF7799" w:rsidP="005F3BAD">
      <w:pPr>
        <w:pStyle w:val="StandardTextkursiv"/>
        <w:rPr>
          <w:i w:val="0"/>
        </w:rPr>
      </w:pPr>
      <w:r w:rsidRPr="00D0171D">
        <w:rPr>
          <w:i w:val="0"/>
        </w:rPr>
        <w:t>2.2 Individualismus</w:t>
      </w:r>
      <w:r w:rsidRPr="00D0171D">
        <w:rPr>
          <w:i w:val="0"/>
          <w:spacing w:val="-2"/>
        </w:rPr>
        <w:t xml:space="preserve"> </w:t>
      </w:r>
      <w:r w:rsidRPr="00D0171D">
        <w:rPr>
          <w:i w:val="0"/>
        </w:rPr>
        <w:t>vs.</w:t>
      </w:r>
      <w:r w:rsidRPr="00D0171D">
        <w:rPr>
          <w:i w:val="0"/>
          <w:spacing w:val="-1"/>
        </w:rPr>
        <w:t xml:space="preserve"> </w:t>
      </w:r>
      <w:r w:rsidRPr="00D0171D">
        <w:rPr>
          <w:i w:val="0"/>
          <w:spacing w:val="-2"/>
        </w:rPr>
        <w:t>Kollektivismus</w:t>
      </w:r>
    </w:p>
    <w:p w14:paraId="73075B9A" w14:textId="77777777" w:rsidR="00FF7799" w:rsidRPr="00E73F6F" w:rsidRDefault="00FF7799" w:rsidP="00A67B23">
      <w:pPr>
        <w:pStyle w:val="StandardText"/>
      </w:pPr>
      <w:r w:rsidRPr="00E73F6F">
        <w:t>Diese Kulturdimension thematisiert den Konflikt, der vielfach zwischen den Wünschen und Erwartungen des Einzelnen und den Interessen der sozialen Gruppe, der er sich zugehörig fühlt, besteht: Konzentriert sich die Grundorientierung</w:t>
      </w:r>
      <w:r w:rsidRPr="00E73F6F">
        <w:rPr>
          <w:spacing w:val="-2"/>
        </w:rPr>
        <w:t xml:space="preserve"> </w:t>
      </w:r>
      <w:r w:rsidRPr="00E73F6F">
        <w:t>einer</w:t>
      </w:r>
      <w:r w:rsidRPr="00E73F6F">
        <w:rPr>
          <w:spacing w:val="-3"/>
        </w:rPr>
        <w:t xml:space="preserve"> </w:t>
      </w:r>
      <w:r w:rsidRPr="00E73F6F">
        <w:t>Gesellschaft</w:t>
      </w:r>
      <w:r w:rsidRPr="00E73F6F">
        <w:rPr>
          <w:spacing w:val="-3"/>
        </w:rPr>
        <w:t xml:space="preserve"> </w:t>
      </w:r>
      <w:r w:rsidRPr="00E73F6F">
        <w:t>auf</w:t>
      </w:r>
      <w:r w:rsidRPr="00E73F6F">
        <w:rPr>
          <w:spacing w:val="-5"/>
        </w:rPr>
        <w:t xml:space="preserve"> </w:t>
      </w:r>
      <w:r w:rsidRPr="00E73F6F">
        <w:t>das</w:t>
      </w:r>
      <w:r w:rsidRPr="00E73F6F">
        <w:rPr>
          <w:spacing w:val="-3"/>
        </w:rPr>
        <w:t xml:space="preserve"> </w:t>
      </w:r>
      <w:r w:rsidRPr="00E73F6F">
        <w:t>Ich</w:t>
      </w:r>
      <w:r w:rsidRPr="00E73F6F">
        <w:rPr>
          <w:spacing w:val="-5"/>
        </w:rPr>
        <w:t xml:space="preserve"> </w:t>
      </w:r>
      <w:r w:rsidRPr="00E73F6F">
        <w:t>oder</w:t>
      </w:r>
      <w:r w:rsidRPr="00E73F6F">
        <w:rPr>
          <w:spacing w:val="-3"/>
        </w:rPr>
        <w:t xml:space="preserve"> </w:t>
      </w:r>
      <w:r w:rsidRPr="00E73F6F">
        <w:t>auf</w:t>
      </w:r>
      <w:r w:rsidRPr="00E73F6F">
        <w:rPr>
          <w:spacing w:val="-5"/>
        </w:rPr>
        <w:t xml:space="preserve"> </w:t>
      </w:r>
      <w:r w:rsidRPr="00E73F6F">
        <w:t>die</w:t>
      </w:r>
      <w:r w:rsidRPr="00E73F6F">
        <w:rPr>
          <w:spacing w:val="-6"/>
        </w:rPr>
        <w:t xml:space="preserve"> </w:t>
      </w:r>
      <w:r w:rsidRPr="00E73F6F">
        <w:t>Ziele</w:t>
      </w:r>
      <w:r w:rsidRPr="00E73F6F">
        <w:rPr>
          <w:spacing w:val="-3"/>
        </w:rPr>
        <w:t xml:space="preserve"> </w:t>
      </w:r>
      <w:r w:rsidRPr="00E73F6F">
        <w:t>und</w:t>
      </w:r>
      <w:r w:rsidRPr="00E73F6F">
        <w:rPr>
          <w:spacing w:val="-2"/>
        </w:rPr>
        <w:t xml:space="preserve"> </w:t>
      </w:r>
      <w:r w:rsidRPr="00E73F6F">
        <w:t xml:space="preserve">Vorgaben der Gemeinschaft? </w:t>
      </w:r>
      <w:r w:rsidR="00D0171D">
        <w:t xml:space="preserve">Operationalisiert wurde diese Kulturdimension u.a. mit dem </w:t>
      </w:r>
      <w:r w:rsidR="00D0171D" w:rsidRPr="00E73F6F">
        <w:rPr>
          <w:szCs w:val="24"/>
        </w:rPr>
        <w:t>Item: „Welche Arbeitsweise entspricht nach Ihrer Meinung besser den Bedingungen des</w:t>
      </w:r>
      <w:r w:rsidR="00D0171D" w:rsidRPr="00E73F6F">
        <w:rPr>
          <w:spacing w:val="40"/>
          <w:szCs w:val="24"/>
        </w:rPr>
        <w:t xml:space="preserve"> </w:t>
      </w:r>
      <w:r w:rsidR="00D0171D" w:rsidRPr="00E73F6F">
        <w:rPr>
          <w:szCs w:val="24"/>
        </w:rPr>
        <w:t>Arbeitslebens: Arbeit in einer Gruppe, wo jeder mit jedem zusammenarbeitet und jeder auf</w:t>
      </w:r>
      <w:r w:rsidR="00D0171D" w:rsidRPr="00E73F6F">
        <w:rPr>
          <w:spacing w:val="40"/>
          <w:szCs w:val="24"/>
        </w:rPr>
        <w:t xml:space="preserve"> </w:t>
      </w:r>
      <w:r w:rsidR="00D0171D" w:rsidRPr="00E73F6F">
        <w:rPr>
          <w:szCs w:val="24"/>
        </w:rPr>
        <w:t>den</w:t>
      </w:r>
      <w:r w:rsidR="00D0171D" w:rsidRPr="00E73F6F">
        <w:rPr>
          <w:spacing w:val="-7"/>
          <w:szCs w:val="24"/>
        </w:rPr>
        <w:t xml:space="preserve"> </w:t>
      </w:r>
      <w:r w:rsidR="00D0171D" w:rsidRPr="00E73F6F">
        <w:rPr>
          <w:szCs w:val="24"/>
        </w:rPr>
        <w:t>anderen</w:t>
      </w:r>
      <w:r w:rsidR="00D0171D" w:rsidRPr="00E73F6F">
        <w:rPr>
          <w:spacing w:val="-6"/>
          <w:szCs w:val="24"/>
        </w:rPr>
        <w:t xml:space="preserve"> </w:t>
      </w:r>
      <w:r w:rsidR="00D0171D" w:rsidRPr="00E73F6F">
        <w:rPr>
          <w:szCs w:val="24"/>
        </w:rPr>
        <w:t>zählen</w:t>
      </w:r>
      <w:r w:rsidR="00D0171D" w:rsidRPr="00E73F6F">
        <w:rPr>
          <w:spacing w:val="-6"/>
          <w:szCs w:val="24"/>
        </w:rPr>
        <w:t xml:space="preserve"> </w:t>
      </w:r>
      <w:r w:rsidR="00D0171D" w:rsidRPr="00E73F6F">
        <w:rPr>
          <w:szCs w:val="24"/>
        </w:rPr>
        <w:t>kann?</w:t>
      </w:r>
      <w:r w:rsidR="00D0171D" w:rsidRPr="00E73F6F">
        <w:rPr>
          <w:spacing w:val="-7"/>
          <w:szCs w:val="24"/>
        </w:rPr>
        <w:t xml:space="preserve"> </w:t>
      </w:r>
      <w:r w:rsidR="00D0171D" w:rsidRPr="00E73F6F">
        <w:rPr>
          <w:szCs w:val="24"/>
        </w:rPr>
        <w:t>Oder</w:t>
      </w:r>
      <w:r w:rsidR="00D0171D" w:rsidRPr="00E73F6F">
        <w:rPr>
          <w:spacing w:val="-8"/>
          <w:szCs w:val="24"/>
        </w:rPr>
        <w:t xml:space="preserve"> </w:t>
      </w:r>
      <w:r w:rsidR="00D0171D" w:rsidRPr="00E73F6F">
        <w:rPr>
          <w:szCs w:val="24"/>
        </w:rPr>
        <w:t>der</w:t>
      </w:r>
      <w:r w:rsidR="00D0171D" w:rsidRPr="00E73F6F">
        <w:rPr>
          <w:spacing w:val="-8"/>
          <w:szCs w:val="24"/>
        </w:rPr>
        <w:t xml:space="preserve"> </w:t>
      </w:r>
      <w:r w:rsidR="00D0171D" w:rsidRPr="00E73F6F">
        <w:rPr>
          <w:szCs w:val="24"/>
        </w:rPr>
        <w:t>individuelle</w:t>
      </w:r>
      <w:r w:rsidR="00D0171D" w:rsidRPr="00E73F6F">
        <w:rPr>
          <w:spacing w:val="-7"/>
          <w:szCs w:val="24"/>
        </w:rPr>
        <w:t xml:space="preserve"> </w:t>
      </w:r>
      <w:r w:rsidR="00D0171D" w:rsidRPr="00E73F6F">
        <w:rPr>
          <w:szCs w:val="24"/>
        </w:rPr>
        <w:t>Weg:</w:t>
      </w:r>
      <w:r w:rsidR="00D0171D" w:rsidRPr="00E73F6F">
        <w:rPr>
          <w:spacing w:val="-7"/>
          <w:szCs w:val="24"/>
        </w:rPr>
        <w:t xml:space="preserve"> </w:t>
      </w:r>
      <w:r w:rsidR="00D0171D" w:rsidRPr="00E73F6F">
        <w:rPr>
          <w:szCs w:val="24"/>
        </w:rPr>
        <w:t>Man</w:t>
      </w:r>
      <w:r w:rsidR="00D0171D" w:rsidRPr="00E73F6F">
        <w:rPr>
          <w:spacing w:val="-6"/>
          <w:szCs w:val="24"/>
        </w:rPr>
        <w:t xml:space="preserve"> </w:t>
      </w:r>
      <w:r w:rsidR="00D0171D" w:rsidRPr="00E73F6F">
        <w:rPr>
          <w:szCs w:val="24"/>
        </w:rPr>
        <w:t>arbeitet</w:t>
      </w:r>
      <w:r w:rsidR="00D0171D" w:rsidRPr="00E73F6F">
        <w:rPr>
          <w:spacing w:val="-7"/>
          <w:szCs w:val="24"/>
        </w:rPr>
        <w:t xml:space="preserve"> </w:t>
      </w:r>
      <w:r w:rsidR="00D0171D" w:rsidRPr="00E73F6F">
        <w:rPr>
          <w:szCs w:val="24"/>
        </w:rPr>
        <w:t>allein</w:t>
      </w:r>
      <w:r w:rsidR="00D0171D" w:rsidRPr="00E73F6F">
        <w:rPr>
          <w:spacing w:val="-6"/>
          <w:szCs w:val="24"/>
        </w:rPr>
        <w:t xml:space="preserve"> </w:t>
      </w:r>
      <w:r w:rsidR="00D0171D" w:rsidRPr="00E73F6F">
        <w:rPr>
          <w:szCs w:val="24"/>
        </w:rPr>
        <w:t>und</w:t>
      </w:r>
      <w:r w:rsidR="00D0171D" w:rsidRPr="00E73F6F">
        <w:rPr>
          <w:spacing w:val="-6"/>
          <w:szCs w:val="24"/>
        </w:rPr>
        <w:t xml:space="preserve"> </w:t>
      </w:r>
      <w:r w:rsidR="00D0171D" w:rsidRPr="00E73F6F">
        <w:rPr>
          <w:szCs w:val="24"/>
        </w:rPr>
        <w:t>ist</w:t>
      </w:r>
      <w:r w:rsidR="00D0171D" w:rsidRPr="00E73F6F">
        <w:rPr>
          <w:spacing w:val="-4"/>
          <w:szCs w:val="24"/>
        </w:rPr>
        <w:t xml:space="preserve"> </w:t>
      </w:r>
      <w:r w:rsidR="00D0171D" w:rsidRPr="00E73F6F">
        <w:rPr>
          <w:szCs w:val="24"/>
        </w:rPr>
        <w:t>weitgehend</w:t>
      </w:r>
      <w:r w:rsidR="00D0171D" w:rsidRPr="00E73F6F">
        <w:rPr>
          <w:spacing w:val="40"/>
          <w:szCs w:val="24"/>
        </w:rPr>
        <w:t xml:space="preserve"> </w:t>
      </w:r>
      <w:r w:rsidR="00D0171D" w:rsidRPr="00E73F6F">
        <w:rPr>
          <w:szCs w:val="24"/>
        </w:rPr>
        <w:t xml:space="preserve">sein </w:t>
      </w:r>
      <w:r w:rsidR="00D0171D" w:rsidRPr="00E73F6F">
        <w:rPr>
          <w:szCs w:val="24"/>
        </w:rPr>
        <w:lastRenderedPageBreak/>
        <w:t>eigener Herr?“</w:t>
      </w:r>
      <w:r w:rsidR="00D0171D">
        <w:rPr>
          <w:szCs w:val="24"/>
        </w:rPr>
        <w:t xml:space="preserve"> </w:t>
      </w:r>
      <w:r w:rsidR="00D0171D">
        <w:t xml:space="preserve">Bei allen Befragten </w:t>
      </w:r>
      <w:r w:rsidRPr="00E73F6F">
        <w:t>fand das Plädoyer für eine kollektive Arbeitsweise wenig Zustimmung.</w:t>
      </w:r>
      <w:r w:rsidRPr="00E73F6F">
        <w:rPr>
          <w:spacing w:val="-7"/>
        </w:rPr>
        <w:t xml:space="preserve"> </w:t>
      </w:r>
      <w:r w:rsidRPr="00E73F6F">
        <w:t>Selbst</w:t>
      </w:r>
      <w:r w:rsidRPr="00E73F6F">
        <w:rPr>
          <w:spacing w:val="-8"/>
        </w:rPr>
        <w:t xml:space="preserve"> </w:t>
      </w:r>
      <w:r w:rsidRPr="00E73F6F">
        <w:t>die</w:t>
      </w:r>
      <w:r w:rsidRPr="00E73F6F">
        <w:rPr>
          <w:spacing w:val="-6"/>
        </w:rPr>
        <w:t xml:space="preserve"> </w:t>
      </w:r>
      <w:r w:rsidRPr="00E73F6F">
        <w:t>Tschechen,</w:t>
      </w:r>
      <w:r w:rsidRPr="00E73F6F">
        <w:rPr>
          <w:spacing w:val="-7"/>
        </w:rPr>
        <w:t xml:space="preserve"> </w:t>
      </w:r>
      <w:r w:rsidRPr="00E73F6F">
        <w:t>die</w:t>
      </w:r>
      <w:r w:rsidRPr="00E73F6F">
        <w:rPr>
          <w:spacing w:val="-6"/>
        </w:rPr>
        <w:t xml:space="preserve"> </w:t>
      </w:r>
      <w:r w:rsidRPr="00E73F6F">
        <w:t>zum</w:t>
      </w:r>
      <w:r w:rsidRPr="00E73F6F">
        <w:rPr>
          <w:spacing w:val="-9"/>
        </w:rPr>
        <w:t xml:space="preserve"> </w:t>
      </w:r>
      <w:r w:rsidRPr="00E73F6F">
        <w:t>Zeitpunkt</w:t>
      </w:r>
      <w:r w:rsidRPr="00E73F6F">
        <w:rPr>
          <w:spacing w:val="-7"/>
        </w:rPr>
        <w:t xml:space="preserve"> </w:t>
      </w:r>
      <w:r w:rsidRPr="00E73F6F">
        <w:t>der</w:t>
      </w:r>
      <w:r w:rsidRPr="00E73F6F">
        <w:rPr>
          <w:spacing w:val="-5"/>
        </w:rPr>
        <w:t xml:space="preserve"> </w:t>
      </w:r>
      <w:r w:rsidRPr="00E73F6F">
        <w:t>Befragung</w:t>
      </w:r>
      <w:r w:rsidRPr="00E73F6F">
        <w:rPr>
          <w:spacing w:val="-7"/>
        </w:rPr>
        <w:t xml:space="preserve"> </w:t>
      </w:r>
      <w:r w:rsidRPr="00E73F6F">
        <w:t>dieser</w:t>
      </w:r>
      <w:r w:rsidRPr="00E73F6F">
        <w:rPr>
          <w:spacing w:val="-5"/>
        </w:rPr>
        <w:t xml:space="preserve"> </w:t>
      </w:r>
      <w:r w:rsidRPr="00E73F6F">
        <w:t>Form der Arbeitsorganisation noch am meisten abgewinnen konnten, stimmten knapp mehrheitlich (51 vs. 49%)</w:t>
      </w:r>
      <w:r w:rsidRPr="00E73F6F">
        <w:rPr>
          <w:spacing w:val="-1"/>
        </w:rPr>
        <w:t xml:space="preserve"> </w:t>
      </w:r>
      <w:r w:rsidRPr="00E73F6F">
        <w:t>für</w:t>
      </w:r>
      <w:r w:rsidRPr="00E73F6F">
        <w:rPr>
          <w:spacing w:val="-1"/>
        </w:rPr>
        <w:t xml:space="preserve"> </w:t>
      </w:r>
      <w:r w:rsidRPr="00E73F6F">
        <w:t>den individualistischen Ansatz: „Allein zu arbeiten und weitgehend sein eigener Herr zu sein“.</w:t>
      </w:r>
    </w:p>
    <w:p w14:paraId="7C52077F" w14:textId="77777777" w:rsidR="00FF7799" w:rsidRPr="00E73F6F" w:rsidRDefault="00FF7799" w:rsidP="00A67B23">
      <w:pPr>
        <w:pStyle w:val="StandardText"/>
      </w:pPr>
    </w:p>
    <w:p w14:paraId="71F68A58" w14:textId="77777777" w:rsidR="00FF7799" w:rsidRPr="00D0171D" w:rsidRDefault="00FF7799" w:rsidP="005F3BAD">
      <w:pPr>
        <w:pStyle w:val="StandardTextkursiv"/>
        <w:rPr>
          <w:i w:val="0"/>
        </w:rPr>
      </w:pPr>
      <w:r w:rsidRPr="00D0171D">
        <w:rPr>
          <w:i w:val="0"/>
        </w:rPr>
        <w:t>2.3 Affektivität</w:t>
      </w:r>
      <w:r w:rsidRPr="00D0171D">
        <w:rPr>
          <w:i w:val="0"/>
          <w:spacing w:val="-3"/>
        </w:rPr>
        <w:t xml:space="preserve"> </w:t>
      </w:r>
      <w:r w:rsidRPr="00D0171D">
        <w:rPr>
          <w:i w:val="0"/>
        </w:rPr>
        <w:t xml:space="preserve">vs. </w:t>
      </w:r>
      <w:r w:rsidRPr="00D0171D">
        <w:rPr>
          <w:i w:val="0"/>
          <w:spacing w:val="-2"/>
        </w:rPr>
        <w:t>Neutralität</w:t>
      </w:r>
    </w:p>
    <w:p w14:paraId="1A2651E0" w14:textId="77777777" w:rsidR="00FF7799" w:rsidRPr="00E73F6F" w:rsidRDefault="00FF7799" w:rsidP="00A67B23">
      <w:pPr>
        <w:pStyle w:val="StandardText"/>
      </w:pPr>
      <w:r w:rsidRPr="00E73F6F">
        <w:t>Wer einer emotional neutralen Kultur angehört, tendiert dazu, seine Gefühle zu kontrollieren. Ein in weiten Teilen der Welt unbestrittener Kulturstandard lautet, dass</w:t>
      </w:r>
      <w:r w:rsidRPr="00E73F6F">
        <w:rPr>
          <w:spacing w:val="-12"/>
        </w:rPr>
        <w:t xml:space="preserve"> </w:t>
      </w:r>
      <w:r w:rsidRPr="00E73F6F">
        <w:t>Gefühle</w:t>
      </w:r>
      <w:r w:rsidRPr="00E73F6F">
        <w:rPr>
          <w:spacing w:val="-11"/>
        </w:rPr>
        <w:t xml:space="preserve"> </w:t>
      </w:r>
      <w:r w:rsidRPr="00E73F6F">
        <w:t>im</w:t>
      </w:r>
      <w:r w:rsidRPr="00E73F6F">
        <w:rPr>
          <w:spacing w:val="-11"/>
        </w:rPr>
        <w:t xml:space="preserve"> </w:t>
      </w:r>
      <w:r w:rsidRPr="00E73F6F">
        <w:t>Arbeits-</w:t>
      </w:r>
      <w:r w:rsidRPr="00E73F6F">
        <w:rPr>
          <w:spacing w:val="-11"/>
        </w:rPr>
        <w:t xml:space="preserve"> </w:t>
      </w:r>
      <w:r w:rsidRPr="00E73F6F">
        <w:t>und</w:t>
      </w:r>
      <w:r w:rsidRPr="00E73F6F">
        <w:rPr>
          <w:spacing w:val="-12"/>
        </w:rPr>
        <w:t xml:space="preserve"> </w:t>
      </w:r>
      <w:r w:rsidRPr="00E73F6F">
        <w:t>Geschäftsleben</w:t>
      </w:r>
      <w:r w:rsidRPr="00E73F6F">
        <w:rPr>
          <w:spacing w:val="-11"/>
        </w:rPr>
        <w:t xml:space="preserve"> </w:t>
      </w:r>
      <w:r w:rsidRPr="00E73F6F">
        <w:t>nichts</w:t>
      </w:r>
      <w:r w:rsidRPr="00E73F6F">
        <w:rPr>
          <w:spacing w:val="-11"/>
        </w:rPr>
        <w:t xml:space="preserve"> </w:t>
      </w:r>
      <w:r w:rsidRPr="00E73F6F">
        <w:t>zu</w:t>
      </w:r>
      <w:r w:rsidRPr="00E73F6F">
        <w:rPr>
          <w:spacing w:val="-11"/>
        </w:rPr>
        <w:t xml:space="preserve"> </w:t>
      </w:r>
      <w:r w:rsidRPr="00E73F6F">
        <w:t>suchen</w:t>
      </w:r>
      <w:r w:rsidRPr="00E73F6F">
        <w:rPr>
          <w:spacing w:val="-12"/>
        </w:rPr>
        <w:t xml:space="preserve"> </w:t>
      </w:r>
      <w:r w:rsidRPr="00E73F6F">
        <w:t>haben.</w:t>
      </w:r>
      <w:r w:rsidRPr="00E73F6F">
        <w:rPr>
          <w:spacing w:val="-11"/>
        </w:rPr>
        <w:t xml:space="preserve"> </w:t>
      </w:r>
      <w:r w:rsidRPr="00E73F6F">
        <w:t>Denn</w:t>
      </w:r>
      <w:r w:rsidRPr="00E73F6F">
        <w:rPr>
          <w:spacing w:val="-11"/>
        </w:rPr>
        <w:t xml:space="preserve"> </w:t>
      </w:r>
      <w:r w:rsidRPr="00E73F6F">
        <w:t xml:space="preserve">hierbei handele es sich um rationale, auf Problemlösung ausgerichtete Interaktionen. </w:t>
      </w:r>
      <w:r w:rsidRPr="00D0171D">
        <w:t>F. Trompenaars</w:t>
      </w:r>
      <w:r w:rsidRPr="00E73F6F">
        <w:rPr>
          <w:i/>
        </w:rPr>
        <w:t xml:space="preserve"> </w:t>
      </w:r>
      <w:r w:rsidRPr="00E73F6F">
        <w:t>erhob das Ausmaß, in dem Emotionen sichtbar gemacht werden, lediglich in zehn Ländern. Unterschiede bestehen seiner Auffassung zufolge aber nicht</w:t>
      </w:r>
      <w:r w:rsidRPr="00E73F6F">
        <w:rPr>
          <w:spacing w:val="28"/>
        </w:rPr>
        <w:t xml:space="preserve"> </w:t>
      </w:r>
      <w:r w:rsidRPr="00E73F6F">
        <w:t>nur</w:t>
      </w:r>
      <w:r w:rsidRPr="00E73F6F">
        <w:rPr>
          <w:spacing w:val="29"/>
        </w:rPr>
        <w:t xml:space="preserve"> </w:t>
      </w:r>
      <w:r w:rsidRPr="00E73F6F">
        <w:t>in</w:t>
      </w:r>
      <w:r w:rsidRPr="00E73F6F">
        <w:rPr>
          <w:spacing w:val="31"/>
        </w:rPr>
        <w:t xml:space="preserve"> </w:t>
      </w:r>
      <w:r w:rsidRPr="00E73F6F">
        <w:t>der</w:t>
      </w:r>
      <w:r w:rsidRPr="00E73F6F">
        <w:rPr>
          <w:spacing w:val="29"/>
        </w:rPr>
        <w:t xml:space="preserve"> </w:t>
      </w:r>
      <w:r w:rsidRPr="00E73F6F">
        <w:t>Intensität,</w:t>
      </w:r>
      <w:r w:rsidRPr="00E73F6F">
        <w:rPr>
          <w:spacing w:val="31"/>
        </w:rPr>
        <w:t xml:space="preserve"> </w:t>
      </w:r>
      <w:r w:rsidRPr="00E73F6F">
        <w:t>sondern</w:t>
      </w:r>
      <w:r w:rsidRPr="00E73F6F">
        <w:rPr>
          <w:spacing w:val="31"/>
        </w:rPr>
        <w:t xml:space="preserve"> </w:t>
      </w:r>
      <w:r w:rsidRPr="00E73F6F">
        <w:t>auch</w:t>
      </w:r>
      <w:r w:rsidRPr="00E73F6F">
        <w:rPr>
          <w:spacing w:val="30"/>
        </w:rPr>
        <w:t xml:space="preserve"> </w:t>
      </w:r>
      <w:r w:rsidRPr="00E73F6F">
        <w:t>in</w:t>
      </w:r>
      <w:r w:rsidRPr="00E73F6F">
        <w:rPr>
          <w:spacing w:val="30"/>
        </w:rPr>
        <w:t xml:space="preserve"> </w:t>
      </w:r>
      <w:r w:rsidRPr="00E73F6F">
        <w:t>der</w:t>
      </w:r>
      <w:r w:rsidRPr="00E73F6F">
        <w:rPr>
          <w:spacing w:val="28"/>
        </w:rPr>
        <w:t xml:space="preserve"> </w:t>
      </w:r>
      <w:r w:rsidRPr="00E73F6F">
        <w:t>kulturtypischen</w:t>
      </w:r>
      <w:r w:rsidRPr="00E73F6F">
        <w:rPr>
          <w:spacing w:val="30"/>
        </w:rPr>
        <w:t xml:space="preserve"> </w:t>
      </w:r>
      <w:r w:rsidRPr="00E73F6F">
        <w:rPr>
          <w:spacing w:val="-2"/>
        </w:rPr>
        <w:t>Funktionalität.</w:t>
      </w:r>
    </w:p>
    <w:p w14:paraId="4B1FB440" w14:textId="5BD646A0" w:rsidR="00FF7799" w:rsidRPr="00E73F6F" w:rsidRDefault="00FF7799" w:rsidP="00A67B23">
      <w:pPr>
        <w:pStyle w:val="StandardText"/>
      </w:pPr>
      <w:r w:rsidRPr="00E73F6F">
        <w:t>„Amerikaner</w:t>
      </w:r>
      <w:r w:rsidRPr="00E73F6F">
        <w:rPr>
          <w:spacing w:val="15"/>
        </w:rPr>
        <w:t xml:space="preserve"> </w:t>
      </w:r>
      <w:r w:rsidRPr="00E73F6F">
        <w:t>neigen</w:t>
      </w:r>
      <w:r w:rsidRPr="00E73F6F">
        <w:rPr>
          <w:spacing w:val="19"/>
        </w:rPr>
        <w:t xml:space="preserve"> </w:t>
      </w:r>
      <w:r w:rsidRPr="00E73F6F">
        <w:t>dazu,</w:t>
      </w:r>
      <w:r w:rsidRPr="00E73F6F">
        <w:rPr>
          <w:spacing w:val="18"/>
        </w:rPr>
        <w:t xml:space="preserve"> </w:t>
      </w:r>
      <w:r w:rsidRPr="00E73F6F">
        <w:t>Emotionen</w:t>
      </w:r>
      <w:r w:rsidRPr="00E73F6F">
        <w:rPr>
          <w:spacing w:val="18"/>
        </w:rPr>
        <w:t xml:space="preserve"> </w:t>
      </w:r>
      <w:r w:rsidRPr="00E73F6F">
        <w:t>zu</w:t>
      </w:r>
      <w:r w:rsidRPr="00E73F6F">
        <w:rPr>
          <w:spacing w:val="19"/>
        </w:rPr>
        <w:t xml:space="preserve"> </w:t>
      </w:r>
      <w:r w:rsidRPr="00E73F6F">
        <w:t>zeigen,</w:t>
      </w:r>
      <w:r w:rsidRPr="00E73F6F">
        <w:rPr>
          <w:spacing w:val="18"/>
        </w:rPr>
        <w:t xml:space="preserve"> </w:t>
      </w:r>
      <w:r w:rsidRPr="00E73F6F">
        <w:t>sie</w:t>
      </w:r>
      <w:r w:rsidRPr="00E73F6F">
        <w:rPr>
          <w:spacing w:val="16"/>
        </w:rPr>
        <w:t xml:space="preserve"> </w:t>
      </w:r>
      <w:r w:rsidRPr="00E73F6F">
        <w:t>aber</w:t>
      </w:r>
      <w:r w:rsidRPr="00E73F6F">
        <w:rPr>
          <w:spacing w:val="18"/>
        </w:rPr>
        <w:t xml:space="preserve"> </w:t>
      </w:r>
      <w:r w:rsidRPr="00E73F6F">
        <w:t>von</w:t>
      </w:r>
      <w:r w:rsidRPr="00E73F6F">
        <w:rPr>
          <w:spacing w:val="19"/>
        </w:rPr>
        <w:t xml:space="preserve"> </w:t>
      </w:r>
      <w:r w:rsidRPr="00E73F6F">
        <w:t>„objektiven“</w:t>
      </w:r>
      <w:r w:rsidRPr="00E73F6F">
        <w:rPr>
          <w:spacing w:val="17"/>
        </w:rPr>
        <w:t xml:space="preserve"> </w:t>
      </w:r>
      <w:r w:rsidRPr="00E73F6F">
        <w:rPr>
          <w:spacing w:val="-5"/>
        </w:rPr>
        <w:t xml:space="preserve">und </w:t>
      </w:r>
      <w:r w:rsidRPr="00E73F6F">
        <w:t xml:space="preserve">„rationalen“ Entscheidungen </w:t>
      </w:r>
      <w:r w:rsidR="00CA154B" w:rsidRPr="00E73F6F">
        <w:t>fernzuhalten</w:t>
      </w:r>
      <w:r w:rsidRPr="00E73F6F">
        <w:t>. Italiener und südeuropäische Völker neigen</w:t>
      </w:r>
      <w:r w:rsidRPr="00E73F6F">
        <w:rPr>
          <w:spacing w:val="-9"/>
        </w:rPr>
        <w:t xml:space="preserve"> </w:t>
      </w:r>
      <w:r w:rsidRPr="00E73F6F">
        <w:t>ganz</w:t>
      </w:r>
      <w:r w:rsidRPr="00E73F6F">
        <w:rPr>
          <w:spacing w:val="-8"/>
        </w:rPr>
        <w:t xml:space="preserve"> </w:t>
      </w:r>
      <w:r w:rsidRPr="00E73F6F">
        <w:t>allgemein</w:t>
      </w:r>
      <w:r w:rsidRPr="00E73F6F">
        <w:rPr>
          <w:spacing w:val="-6"/>
        </w:rPr>
        <w:t xml:space="preserve"> </w:t>
      </w:r>
      <w:r w:rsidRPr="00E73F6F">
        <w:t>dazu,</w:t>
      </w:r>
      <w:r w:rsidRPr="00E73F6F">
        <w:rPr>
          <w:spacing w:val="-9"/>
        </w:rPr>
        <w:t xml:space="preserve"> </w:t>
      </w:r>
      <w:r w:rsidRPr="00E73F6F">
        <w:t>sie</w:t>
      </w:r>
      <w:r w:rsidRPr="00E73F6F">
        <w:rPr>
          <w:spacing w:val="-8"/>
        </w:rPr>
        <w:t xml:space="preserve"> </w:t>
      </w:r>
      <w:r w:rsidRPr="00E73F6F">
        <w:t>bei</w:t>
      </w:r>
      <w:r w:rsidRPr="00E73F6F">
        <w:rPr>
          <w:spacing w:val="-7"/>
        </w:rPr>
        <w:t xml:space="preserve"> </w:t>
      </w:r>
      <w:r w:rsidRPr="00E73F6F">
        <w:t>jeder</w:t>
      </w:r>
      <w:r w:rsidRPr="00E73F6F">
        <w:rPr>
          <w:spacing w:val="-8"/>
        </w:rPr>
        <w:t xml:space="preserve"> </w:t>
      </w:r>
      <w:r w:rsidRPr="00E73F6F">
        <w:t>Gelegenheit</w:t>
      </w:r>
      <w:r w:rsidRPr="00E73F6F">
        <w:rPr>
          <w:spacing w:val="-7"/>
        </w:rPr>
        <w:t xml:space="preserve"> </w:t>
      </w:r>
      <w:r w:rsidRPr="00E73F6F">
        <w:t>zu</w:t>
      </w:r>
      <w:r w:rsidRPr="00E73F6F">
        <w:rPr>
          <w:spacing w:val="-7"/>
        </w:rPr>
        <w:t xml:space="preserve"> </w:t>
      </w:r>
      <w:r w:rsidRPr="00E73F6F">
        <w:t>zeigen.</w:t>
      </w:r>
      <w:r w:rsidRPr="00E73F6F">
        <w:rPr>
          <w:spacing w:val="-7"/>
        </w:rPr>
        <w:t xml:space="preserve"> </w:t>
      </w:r>
      <w:r w:rsidRPr="00E73F6F">
        <w:t>Niederländer</w:t>
      </w:r>
      <w:r w:rsidRPr="00E73F6F">
        <w:rPr>
          <w:spacing w:val="-8"/>
        </w:rPr>
        <w:t xml:space="preserve"> </w:t>
      </w:r>
      <w:r w:rsidRPr="00E73F6F">
        <w:t>und Schweden dagegen wollen Emotionen weder zeigen noch bei bestimmten Fragen zulassen“ (Trompenaars 1993, S.99). Der Ex</w:t>
      </w:r>
      <w:r w:rsidR="00700F23">
        <w:t>t</w:t>
      </w:r>
      <w:r w:rsidRPr="00E73F6F">
        <w:t>remposition der japanischen Probanden</w:t>
      </w:r>
      <w:r w:rsidRPr="00E73F6F">
        <w:rPr>
          <w:spacing w:val="-12"/>
        </w:rPr>
        <w:t xml:space="preserve"> </w:t>
      </w:r>
      <w:r w:rsidRPr="00E73F6F">
        <w:t>(vgl.</w:t>
      </w:r>
      <w:r w:rsidRPr="00E73F6F">
        <w:rPr>
          <w:spacing w:val="18"/>
        </w:rPr>
        <w:t xml:space="preserve"> </w:t>
      </w:r>
      <w:r w:rsidRPr="00E73F6F">
        <w:t>Abb.</w:t>
      </w:r>
      <w:r w:rsidRPr="00E73F6F">
        <w:rPr>
          <w:spacing w:val="-11"/>
        </w:rPr>
        <w:t xml:space="preserve"> </w:t>
      </w:r>
      <w:r w:rsidR="00D0171D">
        <w:t>1</w:t>
      </w:r>
      <w:r w:rsidRPr="00E73F6F">
        <w:t>)</w:t>
      </w:r>
      <w:r w:rsidRPr="00E73F6F">
        <w:rPr>
          <w:spacing w:val="-12"/>
        </w:rPr>
        <w:t xml:space="preserve"> </w:t>
      </w:r>
      <w:r w:rsidRPr="00E73F6F">
        <w:t>entspricht</w:t>
      </w:r>
      <w:r w:rsidRPr="00E73F6F">
        <w:rPr>
          <w:spacing w:val="-11"/>
        </w:rPr>
        <w:t xml:space="preserve"> </w:t>
      </w:r>
      <w:r w:rsidRPr="00E73F6F">
        <w:t>das</w:t>
      </w:r>
      <w:r w:rsidRPr="00E73F6F">
        <w:rPr>
          <w:spacing w:val="-11"/>
        </w:rPr>
        <w:t xml:space="preserve"> </w:t>
      </w:r>
      <w:r w:rsidRPr="00E73F6F">
        <w:t>japanische</w:t>
      </w:r>
      <w:r w:rsidRPr="00E73F6F">
        <w:rPr>
          <w:spacing w:val="-11"/>
        </w:rPr>
        <w:t xml:space="preserve"> </w:t>
      </w:r>
      <w:r w:rsidRPr="00E73F6F">
        <w:t>Sprichwort:</w:t>
      </w:r>
      <w:r w:rsidRPr="00E73F6F">
        <w:rPr>
          <w:spacing w:val="-12"/>
        </w:rPr>
        <w:t xml:space="preserve"> </w:t>
      </w:r>
      <w:r w:rsidRPr="00E73F6F">
        <w:t>„Nur</w:t>
      </w:r>
      <w:r w:rsidRPr="00E73F6F">
        <w:rPr>
          <w:spacing w:val="-11"/>
        </w:rPr>
        <w:t xml:space="preserve"> </w:t>
      </w:r>
      <w:r w:rsidRPr="00E73F6F">
        <w:t>ein</w:t>
      </w:r>
      <w:r w:rsidRPr="00E73F6F">
        <w:rPr>
          <w:spacing w:val="-10"/>
        </w:rPr>
        <w:t xml:space="preserve"> </w:t>
      </w:r>
      <w:r w:rsidRPr="00E73F6F">
        <w:t>toter</w:t>
      </w:r>
      <w:r w:rsidRPr="00E73F6F">
        <w:rPr>
          <w:spacing w:val="-12"/>
        </w:rPr>
        <w:t xml:space="preserve"> </w:t>
      </w:r>
      <w:r w:rsidRPr="00E73F6F">
        <w:t>Fisch hat einen offenen Mund.“</w:t>
      </w:r>
    </w:p>
    <w:p w14:paraId="1A52C5BB" w14:textId="77777777" w:rsidR="00FF7799" w:rsidRPr="00E73F6F" w:rsidRDefault="00FF7799" w:rsidP="00A67B23">
      <w:pPr>
        <w:pStyle w:val="StandardText"/>
      </w:pPr>
    </w:p>
    <w:p w14:paraId="74785F89" w14:textId="77777777" w:rsidR="00FF7799" w:rsidRPr="00C76DC3" w:rsidRDefault="00FF7799" w:rsidP="00A67B23">
      <w:pPr>
        <w:pStyle w:val="BeschriftungTab"/>
        <w:rPr>
          <w:i/>
          <w:iCs/>
          <w:spacing w:val="-2"/>
        </w:rPr>
      </w:pPr>
      <w:r w:rsidRPr="00C76DC3">
        <w:rPr>
          <w:i/>
          <w:iCs/>
        </w:rPr>
        <w:t>Abb.</w:t>
      </w:r>
      <w:r w:rsidRPr="00C76DC3">
        <w:rPr>
          <w:i/>
          <w:iCs/>
          <w:spacing w:val="-3"/>
        </w:rPr>
        <w:t xml:space="preserve"> </w:t>
      </w:r>
      <w:r w:rsidR="00D0171D" w:rsidRPr="00C76DC3">
        <w:rPr>
          <w:i/>
          <w:iCs/>
        </w:rPr>
        <w:t>1</w:t>
      </w:r>
      <w:r w:rsidRPr="00C76DC3">
        <w:rPr>
          <w:i/>
          <w:iCs/>
        </w:rPr>
        <w:t>:</w:t>
      </w:r>
      <w:r w:rsidRPr="00C76DC3">
        <w:rPr>
          <w:i/>
          <w:iCs/>
          <w:spacing w:val="-2"/>
        </w:rPr>
        <w:t xml:space="preserve"> </w:t>
      </w:r>
      <w:r w:rsidRPr="00C76DC3">
        <w:rPr>
          <w:i/>
          <w:iCs/>
        </w:rPr>
        <w:t>Affektive</w:t>
      </w:r>
      <w:r w:rsidRPr="00C76DC3">
        <w:rPr>
          <w:i/>
          <w:iCs/>
          <w:spacing w:val="-2"/>
        </w:rPr>
        <w:t xml:space="preserve"> </w:t>
      </w:r>
      <w:r w:rsidRPr="00C76DC3">
        <w:rPr>
          <w:i/>
          <w:iCs/>
        </w:rPr>
        <w:t>Tendenz in</w:t>
      </w:r>
      <w:r w:rsidRPr="00C76DC3">
        <w:rPr>
          <w:i/>
          <w:iCs/>
          <w:spacing w:val="-2"/>
        </w:rPr>
        <w:t xml:space="preserve"> </w:t>
      </w:r>
      <w:r w:rsidRPr="00C76DC3">
        <w:rPr>
          <w:i/>
          <w:iCs/>
        </w:rPr>
        <w:t>zehn</w:t>
      </w:r>
      <w:r w:rsidRPr="00C76DC3">
        <w:rPr>
          <w:i/>
          <w:iCs/>
          <w:spacing w:val="-1"/>
        </w:rPr>
        <w:t xml:space="preserve"> </w:t>
      </w:r>
      <w:r w:rsidRPr="00C76DC3">
        <w:rPr>
          <w:i/>
          <w:iCs/>
          <w:spacing w:val="-2"/>
        </w:rPr>
        <w:t xml:space="preserve">Ländern </w:t>
      </w:r>
    </w:p>
    <w:p w14:paraId="48F60B59" w14:textId="77777777" w:rsidR="006432CB" w:rsidRDefault="00EA5D3D" w:rsidP="00A67B23">
      <w:pPr>
        <w:pStyle w:val="BeschriftungTab"/>
        <w:rPr>
          <w:spacing w:val="-2"/>
        </w:rPr>
      </w:pPr>
      <w:r>
        <w:rPr>
          <w:noProof/>
          <w:spacing w:val="-2"/>
        </w:rPr>
        <w:drawing>
          <wp:inline distT="0" distB="0" distL="0" distR="0" wp14:anchorId="3F227C69" wp14:editId="290BAB80">
            <wp:extent cx="5665135" cy="3257550"/>
            <wp:effectExtent l="0" t="0" r="0" b="0"/>
            <wp:docPr id="93" name="Grafik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671829" cy="3261399"/>
                    </a:xfrm>
                    <a:prstGeom prst="rect">
                      <a:avLst/>
                    </a:prstGeom>
                    <a:noFill/>
                  </pic:spPr>
                </pic:pic>
              </a:graphicData>
            </a:graphic>
          </wp:inline>
        </w:drawing>
      </w:r>
    </w:p>
    <w:p w14:paraId="221E237C" w14:textId="77777777" w:rsidR="00FF7799" w:rsidRPr="00E73F6F" w:rsidRDefault="00FF7799" w:rsidP="00A67B23">
      <w:pPr>
        <w:pStyle w:val="Quellen"/>
      </w:pPr>
      <w:r w:rsidRPr="00E73F6F">
        <w:t>Quelle:</w:t>
      </w:r>
      <w:r w:rsidRPr="00E73F6F">
        <w:rPr>
          <w:spacing w:val="59"/>
        </w:rPr>
        <w:t xml:space="preserve"> </w:t>
      </w:r>
      <w:r w:rsidRPr="00E73F6F">
        <w:t>Trompenaars</w:t>
      </w:r>
      <w:r w:rsidRPr="00E73F6F">
        <w:rPr>
          <w:spacing w:val="-1"/>
        </w:rPr>
        <w:t xml:space="preserve"> </w:t>
      </w:r>
      <w:r w:rsidRPr="00E73F6F">
        <w:t xml:space="preserve">(1993, </w:t>
      </w:r>
      <w:r w:rsidRPr="00E73F6F">
        <w:rPr>
          <w:spacing w:val="-2"/>
        </w:rPr>
        <w:t>S.96).</w:t>
      </w:r>
    </w:p>
    <w:p w14:paraId="794410D4" w14:textId="77777777" w:rsidR="00FF7799" w:rsidRPr="00E73F6F" w:rsidRDefault="00FF7799" w:rsidP="00A67B23">
      <w:pPr>
        <w:pStyle w:val="StandardText"/>
      </w:pPr>
    </w:p>
    <w:p w14:paraId="43468B7A" w14:textId="77777777" w:rsidR="00FF7799" w:rsidRPr="00D0171D" w:rsidRDefault="00FF7799" w:rsidP="005F3BAD">
      <w:pPr>
        <w:pStyle w:val="StandardTextkursiv"/>
        <w:rPr>
          <w:i w:val="0"/>
        </w:rPr>
      </w:pPr>
      <w:r w:rsidRPr="00D0171D">
        <w:rPr>
          <w:i w:val="0"/>
        </w:rPr>
        <w:t>2.4 Spezifität</w:t>
      </w:r>
      <w:r w:rsidRPr="00D0171D">
        <w:rPr>
          <w:i w:val="0"/>
          <w:spacing w:val="-1"/>
        </w:rPr>
        <w:t xml:space="preserve"> </w:t>
      </w:r>
      <w:r w:rsidRPr="00D0171D">
        <w:rPr>
          <w:i w:val="0"/>
        </w:rPr>
        <w:t>vs.</w:t>
      </w:r>
      <w:r w:rsidRPr="00D0171D">
        <w:rPr>
          <w:i w:val="0"/>
          <w:spacing w:val="-1"/>
        </w:rPr>
        <w:t xml:space="preserve"> </w:t>
      </w:r>
      <w:r w:rsidRPr="00D0171D">
        <w:rPr>
          <w:i w:val="0"/>
          <w:spacing w:val="-2"/>
        </w:rPr>
        <w:t>Diffusität</w:t>
      </w:r>
    </w:p>
    <w:p w14:paraId="0461A7E8" w14:textId="77777777" w:rsidR="00FF7799" w:rsidRPr="00D0171D" w:rsidRDefault="00FF7799" w:rsidP="00A67B23">
      <w:pPr>
        <w:pStyle w:val="StandardText"/>
      </w:pPr>
      <w:r w:rsidRPr="00D0171D">
        <w:t>In diffusen Kulturen durchdringen und beeinflussen sich die verschiedenen Lebensbereiche</w:t>
      </w:r>
      <w:r w:rsidRPr="00D0171D">
        <w:rPr>
          <w:spacing w:val="-6"/>
        </w:rPr>
        <w:t xml:space="preserve"> </w:t>
      </w:r>
      <w:r w:rsidRPr="00D0171D">
        <w:t>wechselseitig.</w:t>
      </w:r>
      <w:r w:rsidRPr="00D0171D">
        <w:rPr>
          <w:spacing w:val="-5"/>
        </w:rPr>
        <w:t xml:space="preserve"> </w:t>
      </w:r>
      <w:r w:rsidRPr="00D0171D">
        <w:t>Dem</w:t>
      </w:r>
      <w:r w:rsidRPr="00D0171D">
        <w:rPr>
          <w:spacing w:val="-6"/>
        </w:rPr>
        <w:t xml:space="preserve"> </w:t>
      </w:r>
      <w:r w:rsidRPr="00D0171D">
        <w:t>„Herrn</w:t>
      </w:r>
      <w:r w:rsidRPr="00D0171D">
        <w:rPr>
          <w:spacing w:val="-4"/>
        </w:rPr>
        <w:t xml:space="preserve"> </w:t>
      </w:r>
      <w:r w:rsidRPr="00D0171D">
        <w:t>Direktor“</w:t>
      </w:r>
      <w:r w:rsidRPr="00D0171D">
        <w:rPr>
          <w:spacing w:val="-6"/>
        </w:rPr>
        <w:t xml:space="preserve"> </w:t>
      </w:r>
      <w:r w:rsidRPr="00D0171D">
        <w:t>gebührt</w:t>
      </w:r>
      <w:r w:rsidRPr="00D0171D">
        <w:rPr>
          <w:spacing w:val="-5"/>
        </w:rPr>
        <w:t xml:space="preserve"> </w:t>
      </w:r>
      <w:r w:rsidRPr="00D0171D">
        <w:t>Respekt,</w:t>
      </w:r>
      <w:r w:rsidRPr="00D0171D">
        <w:rPr>
          <w:spacing w:val="-5"/>
        </w:rPr>
        <w:t xml:space="preserve"> </w:t>
      </w:r>
      <w:r w:rsidRPr="00D0171D">
        <w:t>wo</w:t>
      </w:r>
      <w:r w:rsidRPr="00D0171D">
        <w:rPr>
          <w:spacing w:val="-5"/>
        </w:rPr>
        <w:t xml:space="preserve"> </w:t>
      </w:r>
      <w:r w:rsidRPr="00D0171D">
        <w:t>immer man ihm begegnet. Spezifische Kulturen hingegen trennen die verschiedenen Lebensbereiche eindeutig voneinander</w:t>
      </w:r>
      <w:r w:rsidR="00CF151F">
        <w:t>. Gemäß dieser Studie</w:t>
      </w:r>
      <w:r w:rsidRPr="00D0171D">
        <w:t xml:space="preserve"> tendieren vor allem Chinesen zu e</w:t>
      </w:r>
      <w:r w:rsidR="00CF151F">
        <w:t xml:space="preserve">iner diffusen Lebensgestaltung, </w:t>
      </w:r>
      <w:r w:rsidRPr="00D0171D">
        <w:t xml:space="preserve">gefolgt </w:t>
      </w:r>
      <w:r w:rsidRPr="00D0171D">
        <w:lastRenderedPageBreak/>
        <w:t>von Nepalesen sowie den Bewohner</w:t>
      </w:r>
      <w:r w:rsidR="00CF151F">
        <w:t>n Burkina Fasos und Indonesiens (</w:t>
      </w:r>
      <w:r w:rsidRPr="00D0171D">
        <w:t>vgl. Trompenaars 1993, S.118). Angehörige des angelsächsischen und des deutschsprachigen</w:t>
      </w:r>
      <w:r w:rsidRPr="00D0171D">
        <w:rPr>
          <w:spacing w:val="-6"/>
        </w:rPr>
        <w:t xml:space="preserve"> </w:t>
      </w:r>
      <w:r w:rsidRPr="00D0171D">
        <w:t>Kulturraums</w:t>
      </w:r>
      <w:r w:rsidRPr="00D0171D">
        <w:rPr>
          <w:spacing w:val="-5"/>
        </w:rPr>
        <w:t xml:space="preserve"> </w:t>
      </w:r>
      <w:r w:rsidRPr="00D0171D">
        <w:t>bevorzugen</w:t>
      </w:r>
      <w:r w:rsidRPr="00D0171D">
        <w:rPr>
          <w:spacing w:val="-6"/>
        </w:rPr>
        <w:t xml:space="preserve"> </w:t>
      </w:r>
      <w:r w:rsidRPr="00D0171D">
        <w:t>hingegen</w:t>
      </w:r>
      <w:r w:rsidRPr="00D0171D">
        <w:rPr>
          <w:spacing w:val="-6"/>
        </w:rPr>
        <w:t xml:space="preserve"> </w:t>
      </w:r>
      <w:r w:rsidRPr="00D0171D">
        <w:t>den</w:t>
      </w:r>
      <w:r w:rsidRPr="00D0171D">
        <w:rPr>
          <w:spacing w:val="-6"/>
        </w:rPr>
        <w:t xml:space="preserve"> </w:t>
      </w:r>
      <w:r w:rsidRPr="00D0171D">
        <w:t>spezifischen</w:t>
      </w:r>
      <w:r w:rsidRPr="00D0171D">
        <w:rPr>
          <w:spacing w:val="-6"/>
        </w:rPr>
        <w:t xml:space="preserve"> </w:t>
      </w:r>
      <w:r w:rsidR="00CF151F">
        <w:t>Lebensstil. Operationalisiert wurde Spezifiät als „</w:t>
      </w:r>
      <w:r w:rsidR="00CF151F" w:rsidRPr="00E73F6F">
        <w:rPr>
          <w:szCs w:val="24"/>
        </w:rPr>
        <w:t>Anteil</w:t>
      </w:r>
      <w:r w:rsidR="00CF151F" w:rsidRPr="00E73F6F">
        <w:rPr>
          <w:spacing w:val="-4"/>
          <w:szCs w:val="24"/>
        </w:rPr>
        <w:t xml:space="preserve"> </w:t>
      </w:r>
      <w:r w:rsidR="00CF151F" w:rsidRPr="00E73F6F">
        <w:rPr>
          <w:szCs w:val="24"/>
        </w:rPr>
        <w:t>der</w:t>
      </w:r>
      <w:r w:rsidR="00CF151F" w:rsidRPr="00E73F6F">
        <w:rPr>
          <w:spacing w:val="-4"/>
          <w:szCs w:val="24"/>
        </w:rPr>
        <w:t xml:space="preserve"> </w:t>
      </w:r>
      <w:r w:rsidR="00CF151F" w:rsidRPr="00E73F6F">
        <w:rPr>
          <w:szCs w:val="24"/>
        </w:rPr>
        <w:t>Befragten,</w:t>
      </w:r>
      <w:r w:rsidR="00CF151F" w:rsidRPr="00E73F6F">
        <w:rPr>
          <w:spacing w:val="-5"/>
          <w:szCs w:val="24"/>
        </w:rPr>
        <w:t xml:space="preserve"> </w:t>
      </w:r>
      <w:r w:rsidR="00CF151F" w:rsidRPr="00E73F6F">
        <w:rPr>
          <w:szCs w:val="24"/>
        </w:rPr>
        <w:t>die</w:t>
      </w:r>
      <w:r w:rsidR="00CF151F" w:rsidRPr="00E73F6F">
        <w:rPr>
          <w:spacing w:val="-5"/>
          <w:szCs w:val="24"/>
        </w:rPr>
        <w:t xml:space="preserve"> </w:t>
      </w:r>
      <w:r w:rsidR="00CF151F" w:rsidRPr="00E73F6F">
        <w:rPr>
          <w:szCs w:val="24"/>
        </w:rPr>
        <w:t>ihrem</w:t>
      </w:r>
      <w:r w:rsidR="00CF151F" w:rsidRPr="00E73F6F">
        <w:rPr>
          <w:spacing w:val="-5"/>
          <w:szCs w:val="24"/>
        </w:rPr>
        <w:t xml:space="preserve"> </w:t>
      </w:r>
      <w:r w:rsidR="00CF151F" w:rsidRPr="00E73F6F">
        <w:rPr>
          <w:szCs w:val="24"/>
        </w:rPr>
        <w:t>Chef</w:t>
      </w:r>
      <w:r w:rsidR="00CF151F" w:rsidRPr="00E73F6F">
        <w:rPr>
          <w:spacing w:val="-3"/>
          <w:szCs w:val="24"/>
        </w:rPr>
        <w:t xml:space="preserve"> </w:t>
      </w:r>
      <w:r w:rsidR="00CF151F" w:rsidRPr="00CF151F">
        <w:rPr>
          <w:szCs w:val="24"/>
        </w:rPr>
        <w:t>nicht</w:t>
      </w:r>
      <w:r w:rsidR="00CF151F" w:rsidRPr="00CF151F">
        <w:rPr>
          <w:spacing w:val="-5"/>
          <w:szCs w:val="24"/>
        </w:rPr>
        <w:t xml:space="preserve"> </w:t>
      </w:r>
      <w:r w:rsidR="00CF151F" w:rsidRPr="00E73F6F">
        <w:rPr>
          <w:szCs w:val="24"/>
        </w:rPr>
        <w:t>beim</w:t>
      </w:r>
      <w:r w:rsidR="00CF151F" w:rsidRPr="00E73F6F">
        <w:rPr>
          <w:spacing w:val="-3"/>
          <w:szCs w:val="24"/>
        </w:rPr>
        <w:t xml:space="preserve"> </w:t>
      </w:r>
      <w:r w:rsidR="00CF151F" w:rsidRPr="00E73F6F">
        <w:rPr>
          <w:szCs w:val="24"/>
        </w:rPr>
        <w:t>Renovieren</w:t>
      </w:r>
      <w:r w:rsidR="00CF151F" w:rsidRPr="00E73F6F">
        <w:rPr>
          <w:spacing w:val="-2"/>
          <w:szCs w:val="24"/>
        </w:rPr>
        <w:t xml:space="preserve"> </w:t>
      </w:r>
      <w:r w:rsidR="00CF151F" w:rsidRPr="00E73F6F">
        <w:rPr>
          <w:szCs w:val="24"/>
        </w:rPr>
        <w:t>seines</w:t>
      </w:r>
      <w:r w:rsidR="00CF151F" w:rsidRPr="00E73F6F">
        <w:rPr>
          <w:spacing w:val="-3"/>
          <w:szCs w:val="24"/>
        </w:rPr>
        <w:t xml:space="preserve"> </w:t>
      </w:r>
      <w:r w:rsidR="00CF151F" w:rsidRPr="00E73F6F">
        <w:rPr>
          <w:szCs w:val="24"/>
        </w:rPr>
        <w:t>Hauses</w:t>
      </w:r>
      <w:r w:rsidR="00CF151F" w:rsidRPr="00E73F6F">
        <w:rPr>
          <w:spacing w:val="40"/>
          <w:szCs w:val="24"/>
        </w:rPr>
        <w:t xml:space="preserve"> </w:t>
      </w:r>
      <w:r w:rsidR="00CF151F" w:rsidRPr="00E73F6F">
        <w:rPr>
          <w:szCs w:val="24"/>
        </w:rPr>
        <w:t xml:space="preserve">helfen würden, </w:t>
      </w:r>
      <w:r w:rsidR="00CF151F">
        <w:rPr>
          <w:szCs w:val="24"/>
        </w:rPr>
        <w:t>wenn sie keine Lust dazu hätten.</w:t>
      </w:r>
    </w:p>
    <w:p w14:paraId="317327EE" w14:textId="77777777" w:rsidR="00CF151F" w:rsidRPr="00CF151F" w:rsidRDefault="00CF151F" w:rsidP="00CF151F">
      <w:pPr>
        <w:pStyle w:val="StandardText"/>
        <w:pBdr>
          <w:top w:val="single" w:sz="4" w:space="1" w:color="auto"/>
          <w:left w:val="single" w:sz="4" w:space="4" w:color="auto"/>
          <w:bottom w:val="single" w:sz="4" w:space="1" w:color="auto"/>
          <w:right w:val="single" w:sz="4" w:space="4" w:color="auto"/>
        </w:pBdr>
        <w:shd w:val="clear" w:color="auto" w:fill="DEEAF6" w:themeFill="accent1" w:themeFillTint="33"/>
        <w:jc w:val="center"/>
        <w:rPr>
          <w:b/>
          <w:sz w:val="22"/>
          <w:szCs w:val="22"/>
        </w:rPr>
      </w:pPr>
      <w:r w:rsidRPr="00CF151F">
        <w:rPr>
          <w:b/>
          <w:sz w:val="22"/>
          <w:szCs w:val="22"/>
        </w:rPr>
        <w:t>Dr. Fons Trompenaars</w:t>
      </w:r>
    </w:p>
    <w:p w14:paraId="29CF953A" w14:textId="77777777" w:rsidR="00FF7799" w:rsidRPr="00CF151F" w:rsidRDefault="00FF7799" w:rsidP="00CF151F">
      <w:pPr>
        <w:pStyle w:val="StandardText"/>
        <w:pBdr>
          <w:top w:val="single" w:sz="4" w:space="1" w:color="auto"/>
          <w:left w:val="single" w:sz="4" w:space="4" w:color="auto"/>
          <w:bottom w:val="single" w:sz="4" w:space="1" w:color="auto"/>
          <w:right w:val="single" w:sz="4" w:space="4" w:color="auto"/>
        </w:pBdr>
        <w:shd w:val="clear" w:color="auto" w:fill="DEEAF6" w:themeFill="accent1" w:themeFillTint="33"/>
        <w:rPr>
          <w:sz w:val="22"/>
          <w:szCs w:val="22"/>
        </w:rPr>
      </w:pPr>
      <w:r w:rsidRPr="00CF151F">
        <w:rPr>
          <w:sz w:val="22"/>
          <w:szCs w:val="22"/>
        </w:rPr>
        <w:t>„Beim Empfang anlässlich einer akademischen Feier wurde ich als Dr. Trompenaars</w:t>
      </w:r>
      <w:r w:rsidRPr="00CF151F">
        <w:rPr>
          <w:spacing w:val="40"/>
          <w:sz w:val="22"/>
          <w:szCs w:val="22"/>
        </w:rPr>
        <w:t xml:space="preserve"> </w:t>
      </w:r>
      <w:r w:rsidRPr="00CF151F">
        <w:rPr>
          <w:sz w:val="22"/>
          <w:szCs w:val="22"/>
        </w:rPr>
        <w:t>vorgestellt, doch bei der Party wenige Stunden später vor fast dem gleichen Personenkreis</w:t>
      </w:r>
      <w:r w:rsidRPr="00CF151F">
        <w:rPr>
          <w:spacing w:val="40"/>
          <w:sz w:val="22"/>
          <w:szCs w:val="22"/>
        </w:rPr>
        <w:t xml:space="preserve"> </w:t>
      </w:r>
      <w:r w:rsidRPr="00CF151F">
        <w:rPr>
          <w:sz w:val="22"/>
          <w:szCs w:val="22"/>
        </w:rPr>
        <w:t>als Fons Trompenaars. Ich bin auch schon so vorgestellt worden: »Ich möchte Sie alle</w:t>
      </w:r>
      <w:r w:rsidRPr="00CF151F">
        <w:rPr>
          <w:spacing w:val="40"/>
          <w:sz w:val="22"/>
          <w:szCs w:val="22"/>
        </w:rPr>
        <w:t xml:space="preserve"> </w:t>
      </w:r>
      <w:r w:rsidRPr="00CF151F">
        <w:rPr>
          <w:sz w:val="22"/>
          <w:szCs w:val="22"/>
        </w:rPr>
        <w:t>bekannt</w:t>
      </w:r>
      <w:r w:rsidRPr="00CF151F">
        <w:rPr>
          <w:spacing w:val="-9"/>
          <w:sz w:val="22"/>
          <w:szCs w:val="22"/>
        </w:rPr>
        <w:t xml:space="preserve"> </w:t>
      </w:r>
      <w:r w:rsidRPr="00CF151F">
        <w:rPr>
          <w:sz w:val="22"/>
          <w:szCs w:val="22"/>
        </w:rPr>
        <w:t>machen</w:t>
      </w:r>
      <w:r w:rsidRPr="00CF151F">
        <w:rPr>
          <w:spacing w:val="-9"/>
          <w:sz w:val="22"/>
          <w:szCs w:val="22"/>
        </w:rPr>
        <w:t xml:space="preserve"> </w:t>
      </w:r>
      <w:r w:rsidRPr="00CF151F">
        <w:rPr>
          <w:sz w:val="22"/>
          <w:szCs w:val="22"/>
        </w:rPr>
        <w:t>mit</w:t>
      </w:r>
      <w:r w:rsidRPr="00CF151F">
        <w:rPr>
          <w:spacing w:val="-9"/>
          <w:sz w:val="22"/>
          <w:szCs w:val="22"/>
        </w:rPr>
        <w:t xml:space="preserve"> </w:t>
      </w:r>
      <w:r w:rsidRPr="00CF151F">
        <w:rPr>
          <w:sz w:val="22"/>
          <w:szCs w:val="22"/>
        </w:rPr>
        <w:t>meinem</w:t>
      </w:r>
      <w:r w:rsidRPr="00CF151F">
        <w:rPr>
          <w:spacing w:val="-10"/>
          <w:sz w:val="22"/>
          <w:szCs w:val="22"/>
        </w:rPr>
        <w:t xml:space="preserve"> </w:t>
      </w:r>
      <w:r w:rsidRPr="00CF151F">
        <w:rPr>
          <w:sz w:val="22"/>
          <w:szCs w:val="22"/>
        </w:rPr>
        <w:t>sehr</w:t>
      </w:r>
      <w:r w:rsidRPr="00CF151F">
        <w:rPr>
          <w:spacing w:val="-10"/>
          <w:sz w:val="22"/>
          <w:szCs w:val="22"/>
        </w:rPr>
        <w:t xml:space="preserve"> </w:t>
      </w:r>
      <w:r w:rsidRPr="00CF151F">
        <w:rPr>
          <w:sz w:val="22"/>
          <w:szCs w:val="22"/>
        </w:rPr>
        <w:t>guten</w:t>
      </w:r>
      <w:r w:rsidRPr="00CF151F">
        <w:rPr>
          <w:spacing w:val="-7"/>
          <w:sz w:val="22"/>
          <w:szCs w:val="22"/>
        </w:rPr>
        <w:t xml:space="preserve"> </w:t>
      </w:r>
      <w:r w:rsidRPr="00CF151F">
        <w:rPr>
          <w:sz w:val="22"/>
          <w:szCs w:val="22"/>
        </w:rPr>
        <w:t>Freund</w:t>
      </w:r>
      <w:r w:rsidRPr="00CF151F">
        <w:rPr>
          <w:spacing w:val="-5"/>
          <w:sz w:val="22"/>
          <w:szCs w:val="22"/>
        </w:rPr>
        <w:t xml:space="preserve"> </w:t>
      </w:r>
      <w:r w:rsidRPr="00CF151F">
        <w:rPr>
          <w:sz w:val="22"/>
          <w:szCs w:val="22"/>
        </w:rPr>
        <w:t>Fons</w:t>
      </w:r>
      <w:r w:rsidRPr="00CF151F">
        <w:rPr>
          <w:spacing w:val="-10"/>
          <w:sz w:val="22"/>
          <w:szCs w:val="22"/>
        </w:rPr>
        <w:t xml:space="preserve"> </w:t>
      </w:r>
      <w:r w:rsidRPr="00CF151F">
        <w:rPr>
          <w:sz w:val="22"/>
          <w:szCs w:val="22"/>
        </w:rPr>
        <w:t>...</w:t>
      </w:r>
      <w:r w:rsidRPr="00CF151F">
        <w:rPr>
          <w:spacing w:val="-7"/>
          <w:sz w:val="22"/>
          <w:szCs w:val="22"/>
        </w:rPr>
        <w:t xml:space="preserve"> </w:t>
      </w:r>
      <w:r w:rsidRPr="00CF151F">
        <w:rPr>
          <w:sz w:val="22"/>
          <w:szCs w:val="22"/>
        </w:rPr>
        <w:t>wie</w:t>
      </w:r>
      <w:r w:rsidRPr="00CF151F">
        <w:rPr>
          <w:spacing w:val="-9"/>
          <w:sz w:val="22"/>
          <w:szCs w:val="22"/>
        </w:rPr>
        <w:t xml:space="preserve"> </w:t>
      </w:r>
      <w:r w:rsidRPr="00CF151F">
        <w:rPr>
          <w:sz w:val="22"/>
          <w:szCs w:val="22"/>
        </w:rPr>
        <w:t>war</w:t>
      </w:r>
      <w:r w:rsidRPr="00CF151F">
        <w:rPr>
          <w:spacing w:val="-10"/>
          <w:sz w:val="22"/>
          <w:szCs w:val="22"/>
        </w:rPr>
        <w:t xml:space="preserve"> </w:t>
      </w:r>
      <w:r w:rsidRPr="00CF151F">
        <w:rPr>
          <w:sz w:val="22"/>
          <w:szCs w:val="22"/>
        </w:rPr>
        <w:t>eigentlich</w:t>
      </w:r>
      <w:r w:rsidRPr="00CF151F">
        <w:rPr>
          <w:spacing w:val="-7"/>
          <w:sz w:val="22"/>
          <w:szCs w:val="22"/>
        </w:rPr>
        <w:t xml:space="preserve"> </w:t>
      </w:r>
      <w:r w:rsidRPr="00CF151F">
        <w:rPr>
          <w:sz w:val="22"/>
          <w:szCs w:val="22"/>
        </w:rPr>
        <w:t>Ihr</w:t>
      </w:r>
      <w:r w:rsidRPr="00CF151F">
        <w:rPr>
          <w:spacing w:val="-8"/>
          <w:sz w:val="22"/>
          <w:szCs w:val="22"/>
        </w:rPr>
        <w:t xml:space="preserve"> </w:t>
      </w:r>
      <w:r w:rsidRPr="00CF151F">
        <w:rPr>
          <w:sz w:val="22"/>
          <w:szCs w:val="22"/>
        </w:rPr>
        <w:t>Nachnahme?«</w:t>
      </w:r>
      <w:r w:rsidRPr="00CF151F">
        <w:rPr>
          <w:spacing w:val="40"/>
          <w:sz w:val="22"/>
          <w:szCs w:val="22"/>
        </w:rPr>
        <w:t xml:space="preserve"> </w:t>
      </w:r>
      <w:r w:rsidRPr="00CF151F">
        <w:rPr>
          <w:sz w:val="22"/>
          <w:szCs w:val="22"/>
        </w:rPr>
        <w:t>In Amerika ist ein Titel ein spezifisches Etikett für einen spezifischen Job an einem</w:t>
      </w:r>
      <w:r w:rsidRPr="00CF151F">
        <w:rPr>
          <w:spacing w:val="40"/>
          <w:sz w:val="22"/>
          <w:szCs w:val="22"/>
        </w:rPr>
        <w:t xml:space="preserve"> </w:t>
      </w:r>
      <w:r w:rsidRPr="00CF151F">
        <w:rPr>
          <w:sz w:val="22"/>
          <w:szCs w:val="22"/>
        </w:rPr>
        <w:t>spezifischen Ort“ (Trompenaars 1993, S.111).</w:t>
      </w:r>
    </w:p>
    <w:p w14:paraId="1B9C9BA7" w14:textId="77777777" w:rsidR="00FF7799" w:rsidRPr="00E73F6F" w:rsidRDefault="00FF7799" w:rsidP="00A67B23">
      <w:pPr>
        <w:pStyle w:val="StandardText"/>
      </w:pPr>
      <w:bookmarkStart w:id="65" w:name="_bookmark0"/>
      <w:bookmarkEnd w:id="65"/>
    </w:p>
    <w:p w14:paraId="620C1761" w14:textId="77777777" w:rsidR="00FF7799" w:rsidRPr="00CF151F" w:rsidRDefault="00FF7799" w:rsidP="005F3BAD">
      <w:pPr>
        <w:pStyle w:val="StandardTextkursiv"/>
        <w:rPr>
          <w:i w:val="0"/>
        </w:rPr>
      </w:pPr>
      <w:r w:rsidRPr="00CF151F">
        <w:rPr>
          <w:i w:val="0"/>
        </w:rPr>
        <w:t>2.5 Zugeschriebener</w:t>
      </w:r>
      <w:r w:rsidRPr="00CF151F">
        <w:rPr>
          <w:i w:val="0"/>
          <w:spacing w:val="-4"/>
        </w:rPr>
        <w:t xml:space="preserve"> </w:t>
      </w:r>
      <w:r w:rsidRPr="00CF151F">
        <w:rPr>
          <w:i w:val="0"/>
        </w:rPr>
        <w:t>vs.</w:t>
      </w:r>
      <w:r w:rsidRPr="00CF151F">
        <w:rPr>
          <w:i w:val="0"/>
          <w:spacing w:val="-2"/>
        </w:rPr>
        <w:t xml:space="preserve"> </w:t>
      </w:r>
      <w:r w:rsidRPr="00CF151F">
        <w:rPr>
          <w:i w:val="0"/>
        </w:rPr>
        <w:t>erworbener</w:t>
      </w:r>
      <w:r w:rsidRPr="00CF151F">
        <w:rPr>
          <w:i w:val="0"/>
          <w:spacing w:val="-2"/>
        </w:rPr>
        <w:t xml:space="preserve"> Status</w:t>
      </w:r>
    </w:p>
    <w:p w14:paraId="04E9C98C" w14:textId="77777777" w:rsidR="00FF7799" w:rsidRPr="00CF151F" w:rsidRDefault="00CF151F" w:rsidP="00CF151F">
      <w:pPr>
        <w:spacing w:before="64"/>
        <w:jc w:val="both"/>
        <w:rPr>
          <w:sz w:val="24"/>
          <w:szCs w:val="24"/>
        </w:rPr>
      </w:pPr>
      <w:r>
        <w:t>Der erworbene</w:t>
      </w:r>
      <w:r w:rsidR="00FF7799" w:rsidRPr="00E73F6F">
        <w:t xml:space="preserve"> soziale Status erwächst aus dem eigenen Handeln, der zugeschriebene Status aus dem gesellschaftlichen Sein. Aufs Ganze gesehen sind solche Gesellschaften ökonomisch erfolgreich, welche die individuelle Leistung sowohl ökonomisch als auch sozial belohnen: durch einen höheren Status derer, die Teil der 'achieving society' (McClelland 1950) sind. Operationalisiert wurde diese</w:t>
      </w:r>
      <w:r w:rsidR="00FF7799" w:rsidRPr="00E73F6F">
        <w:rPr>
          <w:spacing w:val="-1"/>
        </w:rPr>
        <w:t xml:space="preserve"> </w:t>
      </w:r>
      <w:r w:rsidR="00FF7799" w:rsidRPr="00E73F6F">
        <w:t>Dimension</w:t>
      </w:r>
      <w:r w:rsidR="00FF7799" w:rsidRPr="00E73F6F">
        <w:rPr>
          <w:spacing w:val="-2"/>
        </w:rPr>
        <w:t xml:space="preserve"> </w:t>
      </w:r>
      <w:r w:rsidR="00FF7799" w:rsidRPr="00E73F6F">
        <w:t>mithilfe</w:t>
      </w:r>
      <w:r w:rsidR="00FF7799" w:rsidRPr="00E73F6F">
        <w:rPr>
          <w:spacing w:val="-1"/>
        </w:rPr>
        <w:t xml:space="preserve"> </w:t>
      </w:r>
      <w:r w:rsidR="00FF7799" w:rsidRPr="00E73F6F">
        <w:t>zweier</w:t>
      </w:r>
      <w:r w:rsidR="00FF7799" w:rsidRPr="00E73F6F">
        <w:rPr>
          <w:spacing w:val="-3"/>
        </w:rPr>
        <w:t xml:space="preserve"> </w:t>
      </w:r>
      <w:r>
        <w:t xml:space="preserve">Fragen( </w:t>
      </w:r>
      <w:r w:rsidRPr="00E73F6F">
        <w:rPr>
          <w:sz w:val="24"/>
          <w:szCs w:val="24"/>
        </w:rPr>
        <w:t>Item A: „Das Wichtigste im Leben ist, so</w:t>
      </w:r>
      <w:r w:rsidRPr="00E73F6F">
        <w:rPr>
          <w:spacing w:val="40"/>
          <w:sz w:val="24"/>
          <w:szCs w:val="24"/>
        </w:rPr>
        <w:t xml:space="preserve"> </w:t>
      </w:r>
      <w:r w:rsidRPr="00E73F6F">
        <w:rPr>
          <w:sz w:val="24"/>
          <w:szCs w:val="24"/>
        </w:rPr>
        <w:t>zu denken und zu handeln, wie es einem</w:t>
      </w:r>
      <w:r w:rsidRPr="00E73F6F">
        <w:rPr>
          <w:spacing w:val="40"/>
          <w:sz w:val="24"/>
          <w:szCs w:val="24"/>
        </w:rPr>
        <w:t xml:space="preserve"> </w:t>
      </w:r>
      <w:r w:rsidRPr="00E73F6F">
        <w:rPr>
          <w:sz w:val="24"/>
          <w:szCs w:val="24"/>
        </w:rPr>
        <w:t>selber</w:t>
      </w:r>
      <w:r w:rsidRPr="00E73F6F">
        <w:rPr>
          <w:spacing w:val="16"/>
          <w:sz w:val="24"/>
          <w:szCs w:val="24"/>
        </w:rPr>
        <w:t xml:space="preserve"> </w:t>
      </w:r>
      <w:r w:rsidRPr="00E73F6F">
        <w:rPr>
          <w:sz w:val="24"/>
          <w:szCs w:val="24"/>
        </w:rPr>
        <w:t>am</w:t>
      </w:r>
      <w:r w:rsidRPr="00E73F6F">
        <w:rPr>
          <w:spacing w:val="15"/>
          <w:sz w:val="24"/>
          <w:szCs w:val="24"/>
        </w:rPr>
        <w:t xml:space="preserve"> </w:t>
      </w:r>
      <w:r w:rsidRPr="00E73F6F">
        <w:rPr>
          <w:sz w:val="24"/>
          <w:szCs w:val="24"/>
        </w:rPr>
        <w:t>meisten</w:t>
      </w:r>
      <w:r w:rsidRPr="00E73F6F">
        <w:rPr>
          <w:spacing w:val="15"/>
          <w:sz w:val="24"/>
          <w:szCs w:val="24"/>
        </w:rPr>
        <w:t xml:space="preserve"> </w:t>
      </w:r>
      <w:r w:rsidRPr="00E73F6F">
        <w:rPr>
          <w:sz w:val="24"/>
          <w:szCs w:val="24"/>
        </w:rPr>
        <w:t>entspricht,</w:t>
      </w:r>
      <w:r w:rsidRPr="00E73F6F">
        <w:rPr>
          <w:spacing w:val="18"/>
          <w:sz w:val="24"/>
          <w:szCs w:val="24"/>
        </w:rPr>
        <w:t xml:space="preserve"> </w:t>
      </w:r>
      <w:r w:rsidRPr="00E73F6F">
        <w:rPr>
          <w:sz w:val="24"/>
          <w:szCs w:val="24"/>
        </w:rPr>
        <w:t>selbst</w:t>
      </w:r>
      <w:r w:rsidRPr="00E73F6F">
        <w:rPr>
          <w:spacing w:val="16"/>
          <w:sz w:val="24"/>
          <w:szCs w:val="24"/>
        </w:rPr>
        <w:t xml:space="preserve"> </w:t>
      </w:r>
      <w:r w:rsidRPr="00E73F6F">
        <w:rPr>
          <w:spacing w:val="-4"/>
          <w:sz w:val="24"/>
          <w:szCs w:val="24"/>
        </w:rPr>
        <w:t xml:space="preserve">wenn </w:t>
      </w:r>
      <w:r w:rsidRPr="00E73F6F">
        <w:rPr>
          <w:sz w:val="24"/>
          <w:szCs w:val="24"/>
        </w:rPr>
        <w:t>man</w:t>
      </w:r>
      <w:r w:rsidRPr="00E73F6F">
        <w:rPr>
          <w:spacing w:val="-4"/>
          <w:sz w:val="24"/>
          <w:szCs w:val="24"/>
        </w:rPr>
        <w:t xml:space="preserve"> </w:t>
      </w:r>
      <w:r w:rsidRPr="00E73F6F">
        <w:rPr>
          <w:sz w:val="24"/>
          <w:szCs w:val="24"/>
        </w:rPr>
        <w:t>damit</w:t>
      </w:r>
      <w:r w:rsidRPr="00E73F6F">
        <w:rPr>
          <w:spacing w:val="-4"/>
          <w:sz w:val="24"/>
          <w:szCs w:val="24"/>
        </w:rPr>
        <w:t xml:space="preserve"> </w:t>
      </w:r>
      <w:r w:rsidRPr="00E73F6F">
        <w:rPr>
          <w:sz w:val="24"/>
          <w:szCs w:val="24"/>
        </w:rPr>
        <w:t>nicht</w:t>
      </w:r>
      <w:r w:rsidRPr="00E73F6F">
        <w:rPr>
          <w:spacing w:val="-3"/>
          <w:sz w:val="24"/>
          <w:szCs w:val="24"/>
        </w:rPr>
        <w:t xml:space="preserve"> </w:t>
      </w:r>
      <w:r w:rsidRPr="00E73F6F">
        <w:rPr>
          <w:sz w:val="24"/>
          <w:szCs w:val="24"/>
        </w:rPr>
        <w:t>immer</w:t>
      </w:r>
      <w:r w:rsidRPr="00E73F6F">
        <w:rPr>
          <w:spacing w:val="-6"/>
          <w:sz w:val="24"/>
          <w:szCs w:val="24"/>
        </w:rPr>
        <w:t xml:space="preserve"> </w:t>
      </w:r>
      <w:r w:rsidRPr="00E73F6F">
        <w:rPr>
          <w:sz w:val="24"/>
          <w:szCs w:val="24"/>
        </w:rPr>
        <w:t>Erfolg</w:t>
      </w:r>
      <w:r w:rsidRPr="00E73F6F">
        <w:rPr>
          <w:spacing w:val="-3"/>
          <w:sz w:val="24"/>
          <w:szCs w:val="24"/>
        </w:rPr>
        <w:t xml:space="preserve"> </w:t>
      </w:r>
      <w:r w:rsidRPr="00E73F6F">
        <w:rPr>
          <w:spacing w:val="-4"/>
          <w:sz w:val="24"/>
          <w:szCs w:val="24"/>
        </w:rPr>
        <w:t>hat.“</w:t>
      </w:r>
      <w:r>
        <w:rPr>
          <w:spacing w:val="-4"/>
          <w:sz w:val="24"/>
          <w:szCs w:val="24"/>
        </w:rPr>
        <w:t xml:space="preserve"> </w:t>
      </w:r>
      <w:r w:rsidRPr="00E73F6F">
        <w:rPr>
          <w:sz w:val="24"/>
          <w:szCs w:val="24"/>
        </w:rPr>
        <w:t>Item B: „Das Ansehen eines Menschen</w:t>
      </w:r>
      <w:r w:rsidRPr="00E73F6F">
        <w:rPr>
          <w:spacing w:val="40"/>
          <w:sz w:val="24"/>
          <w:szCs w:val="24"/>
        </w:rPr>
        <w:t xml:space="preserve"> </w:t>
      </w:r>
      <w:r w:rsidRPr="00E73F6F">
        <w:rPr>
          <w:sz w:val="24"/>
          <w:szCs w:val="24"/>
        </w:rPr>
        <w:t>hängt stark von seinem familiären</w:t>
      </w:r>
      <w:r w:rsidRPr="00E73F6F">
        <w:rPr>
          <w:spacing w:val="40"/>
          <w:sz w:val="24"/>
          <w:szCs w:val="24"/>
        </w:rPr>
        <w:t xml:space="preserve"> </w:t>
      </w:r>
      <w:r w:rsidRPr="00E73F6F">
        <w:rPr>
          <w:sz w:val="24"/>
          <w:szCs w:val="24"/>
        </w:rPr>
        <w:t>Hintergrund</w:t>
      </w:r>
      <w:r w:rsidRPr="00E73F6F">
        <w:rPr>
          <w:spacing w:val="-3"/>
          <w:sz w:val="24"/>
          <w:szCs w:val="24"/>
        </w:rPr>
        <w:t xml:space="preserve"> </w:t>
      </w:r>
      <w:r>
        <w:rPr>
          <w:sz w:val="24"/>
          <w:szCs w:val="24"/>
        </w:rPr>
        <w:t xml:space="preserve">ab.“). </w:t>
      </w:r>
      <w:r>
        <w:t xml:space="preserve">Außer </w:t>
      </w:r>
      <w:r w:rsidR="00FF7799" w:rsidRPr="00E73F6F">
        <w:t>ihren</w:t>
      </w:r>
      <w:r w:rsidR="00FF7799" w:rsidRPr="00E73F6F">
        <w:rPr>
          <w:spacing w:val="-2"/>
        </w:rPr>
        <w:t xml:space="preserve"> </w:t>
      </w:r>
      <w:r w:rsidR="00FF7799" w:rsidRPr="00E73F6F">
        <w:t>norwegischen (63%) und amerikanischen Kollegen (55%) bekennen sich lediglich kanadische Manager mehrheitlich (= 53%) dazu, dass ihnen Erfolg wichtiger ist als (idealistisch verstandene) Selbstverwirklichung. In welch hohem Maße die USA eine erfolgsorientierte Kultur sind, gibt auch ihr Spitzenplatz bei der zweiten Teilfrage</w:t>
      </w:r>
      <w:r w:rsidR="00FF7799" w:rsidRPr="00E73F6F">
        <w:rPr>
          <w:spacing w:val="-7"/>
        </w:rPr>
        <w:t xml:space="preserve"> </w:t>
      </w:r>
      <w:r w:rsidR="00FF7799" w:rsidRPr="00E73F6F">
        <w:t>zu</w:t>
      </w:r>
      <w:r w:rsidR="00FF7799" w:rsidRPr="00E73F6F">
        <w:rPr>
          <w:spacing w:val="-6"/>
        </w:rPr>
        <w:t xml:space="preserve"> </w:t>
      </w:r>
      <w:r w:rsidR="00FF7799" w:rsidRPr="00E73F6F">
        <w:t>erkennen.</w:t>
      </w:r>
      <w:r w:rsidR="00FF7799" w:rsidRPr="00E73F6F">
        <w:rPr>
          <w:spacing w:val="-6"/>
        </w:rPr>
        <w:t xml:space="preserve"> </w:t>
      </w:r>
      <w:r w:rsidR="00FF7799" w:rsidRPr="00E73F6F">
        <w:t>In</w:t>
      </w:r>
      <w:r w:rsidR="00FF7799" w:rsidRPr="00E73F6F">
        <w:rPr>
          <w:spacing w:val="-8"/>
        </w:rPr>
        <w:t xml:space="preserve"> </w:t>
      </w:r>
      <w:r w:rsidR="00FF7799" w:rsidRPr="00E73F6F">
        <w:t>der</w:t>
      </w:r>
      <w:r w:rsidR="00FF7799" w:rsidRPr="00E73F6F">
        <w:rPr>
          <w:spacing w:val="-7"/>
        </w:rPr>
        <w:t xml:space="preserve"> </w:t>
      </w:r>
      <w:r w:rsidR="00FF7799" w:rsidRPr="00E73F6F">
        <w:t>Überzeugung,</w:t>
      </w:r>
      <w:r w:rsidR="00FF7799" w:rsidRPr="00E73F6F">
        <w:rPr>
          <w:spacing w:val="-9"/>
        </w:rPr>
        <w:t xml:space="preserve"> </w:t>
      </w:r>
      <w:r w:rsidR="00FF7799" w:rsidRPr="00E73F6F">
        <w:t>dass</w:t>
      </w:r>
      <w:r w:rsidR="00FF7799" w:rsidRPr="00E73F6F">
        <w:rPr>
          <w:spacing w:val="-8"/>
        </w:rPr>
        <w:t xml:space="preserve"> </w:t>
      </w:r>
      <w:r w:rsidR="00FF7799" w:rsidRPr="00E73F6F">
        <w:t>der</w:t>
      </w:r>
      <w:r w:rsidR="00FF7799" w:rsidRPr="00E73F6F">
        <w:rPr>
          <w:spacing w:val="-7"/>
        </w:rPr>
        <w:t xml:space="preserve"> </w:t>
      </w:r>
      <w:r w:rsidR="00FF7799" w:rsidRPr="00E73F6F">
        <w:t>individuelle</w:t>
      </w:r>
      <w:r w:rsidR="00FF7799" w:rsidRPr="00E73F6F">
        <w:rPr>
          <w:spacing w:val="-7"/>
        </w:rPr>
        <w:t xml:space="preserve"> </w:t>
      </w:r>
      <w:r w:rsidR="00FF7799" w:rsidRPr="00E73F6F">
        <w:t>Status</w:t>
      </w:r>
      <w:r w:rsidR="00FF7799" w:rsidRPr="00E73F6F">
        <w:rPr>
          <w:spacing w:val="-7"/>
        </w:rPr>
        <w:t xml:space="preserve"> </w:t>
      </w:r>
      <w:r w:rsidR="00FF7799" w:rsidRPr="00E73F6F">
        <w:t>nicht</w:t>
      </w:r>
      <w:r w:rsidR="00FF7799" w:rsidRPr="00E73F6F">
        <w:rPr>
          <w:spacing w:val="-9"/>
        </w:rPr>
        <w:t xml:space="preserve"> </w:t>
      </w:r>
      <w:r w:rsidR="00FF7799" w:rsidRPr="00E73F6F">
        <w:t>vom sozialen</w:t>
      </w:r>
      <w:r w:rsidR="00FF7799" w:rsidRPr="00E73F6F">
        <w:rPr>
          <w:spacing w:val="-3"/>
        </w:rPr>
        <w:t xml:space="preserve"> </w:t>
      </w:r>
      <w:r w:rsidR="00FF7799" w:rsidRPr="00E73F6F">
        <w:t>Ansehen</w:t>
      </w:r>
      <w:r w:rsidR="00FF7799" w:rsidRPr="00E73F6F">
        <w:rPr>
          <w:spacing w:val="-8"/>
        </w:rPr>
        <w:t xml:space="preserve"> </w:t>
      </w:r>
      <w:r w:rsidR="00FF7799" w:rsidRPr="00E73F6F">
        <w:t>der</w:t>
      </w:r>
      <w:r w:rsidR="00FF7799" w:rsidRPr="00E73F6F">
        <w:rPr>
          <w:spacing w:val="-4"/>
        </w:rPr>
        <w:t xml:space="preserve"> </w:t>
      </w:r>
      <w:r w:rsidR="00FF7799" w:rsidRPr="00E73F6F">
        <w:t>Familie</w:t>
      </w:r>
      <w:r w:rsidR="00FF7799" w:rsidRPr="00E73F6F">
        <w:rPr>
          <w:spacing w:val="-4"/>
        </w:rPr>
        <w:t xml:space="preserve"> </w:t>
      </w:r>
      <w:r w:rsidR="00FF7799" w:rsidRPr="00E73F6F">
        <w:t>abhängt,</w:t>
      </w:r>
      <w:r w:rsidR="00FF7799" w:rsidRPr="00E73F6F">
        <w:rPr>
          <w:spacing w:val="-6"/>
        </w:rPr>
        <w:t xml:space="preserve"> </w:t>
      </w:r>
      <w:r w:rsidR="00FF7799" w:rsidRPr="00E73F6F">
        <w:t>werden</w:t>
      </w:r>
      <w:r w:rsidR="00FF7799" w:rsidRPr="00E73F6F">
        <w:rPr>
          <w:spacing w:val="-6"/>
        </w:rPr>
        <w:t xml:space="preserve"> </w:t>
      </w:r>
      <w:r w:rsidR="00FF7799" w:rsidRPr="00E73F6F">
        <w:t>sie</w:t>
      </w:r>
      <w:r w:rsidR="00FF7799" w:rsidRPr="00E73F6F">
        <w:rPr>
          <w:spacing w:val="-4"/>
        </w:rPr>
        <w:t xml:space="preserve"> </w:t>
      </w:r>
      <w:r w:rsidR="00FF7799" w:rsidRPr="00E73F6F">
        <w:t>nur</w:t>
      </w:r>
      <w:r w:rsidR="00FF7799" w:rsidRPr="00E73F6F">
        <w:rPr>
          <w:spacing w:val="-7"/>
        </w:rPr>
        <w:t xml:space="preserve"> </w:t>
      </w:r>
      <w:r w:rsidR="00FF7799" w:rsidRPr="00E73F6F">
        <w:t>von</w:t>
      </w:r>
      <w:r w:rsidR="00FF7799" w:rsidRPr="00E73F6F">
        <w:rPr>
          <w:spacing w:val="-6"/>
        </w:rPr>
        <w:t xml:space="preserve"> </w:t>
      </w:r>
      <w:r w:rsidR="00FF7799" w:rsidRPr="00E73F6F">
        <w:t>den</w:t>
      </w:r>
      <w:r w:rsidR="00FF7799" w:rsidRPr="00E73F6F">
        <w:rPr>
          <w:spacing w:val="-6"/>
        </w:rPr>
        <w:t xml:space="preserve"> </w:t>
      </w:r>
      <w:r w:rsidR="00FF7799" w:rsidRPr="00E73F6F">
        <w:t>Dänen</w:t>
      </w:r>
      <w:r w:rsidR="00FF7799" w:rsidRPr="00E73F6F">
        <w:rPr>
          <w:spacing w:val="2"/>
        </w:rPr>
        <w:t xml:space="preserve"> </w:t>
      </w:r>
      <w:r w:rsidR="00FF7799" w:rsidRPr="00E73F6F">
        <w:rPr>
          <w:spacing w:val="-2"/>
        </w:rPr>
        <w:t>übertroffen.</w:t>
      </w:r>
    </w:p>
    <w:p w14:paraId="17E5A327" w14:textId="77777777" w:rsidR="00FF7799" w:rsidRDefault="00FF7799" w:rsidP="00A67B23">
      <w:pPr>
        <w:pStyle w:val="StandardText"/>
        <w:rPr>
          <w:spacing w:val="-2"/>
        </w:rPr>
      </w:pPr>
      <w:r w:rsidRPr="00E73F6F">
        <w:t xml:space="preserve">Welche Konflikte zu erwarten sind, wenn beide Traditionen (zugeschriebener vs. errungener Status) in interkulturellen Interaktionen kollidieren, beschreibt eindrucksvoll das Fallbeispiel, das der Autor zur Verdeutlichung seiner These </w:t>
      </w:r>
      <w:r w:rsidRPr="00E73F6F">
        <w:rPr>
          <w:spacing w:val="-2"/>
        </w:rPr>
        <w:t>berichtet.</w:t>
      </w:r>
    </w:p>
    <w:p w14:paraId="5FB0D7D9" w14:textId="77777777" w:rsidR="002F46E5" w:rsidRDefault="002F46E5" w:rsidP="00A67B23">
      <w:pPr>
        <w:pStyle w:val="StandardText"/>
        <w:rPr>
          <w:spacing w:val="-2"/>
        </w:rPr>
      </w:pPr>
    </w:p>
    <w:p w14:paraId="1E558104" w14:textId="77777777" w:rsidR="00CF151F" w:rsidRPr="002F46E5" w:rsidRDefault="00CF151F" w:rsidP="002F46E5">
      <w:pPr>
        <w:pStyle w:val="StandardText"/>
        <w:pBdr>
          <w:top w:val="single" w:sz="4" w:space="1" w:color="auto"/>
          <w:left w:val="single" w:sz="4" w:space="4" w:color="auto"/>
          <w:bottom w:val="single" w:sz="4" w:space="1" w:color="auto"/>
          <w:right w:val="single" w:sz="4" w:space="4" w:color="auto"/>
        </w:pBdr>
        <w:shd w:val="clear" w:color="auto" w:fill="DEEAF6" w:themeFill="accent1" w:themeFillTint="33"/>
        <w:jc w:val="center"/>
        <w:rPr>
          <w:b/>
          <w:sz w:val="22"/>
          <w:szCs w:val="22"/>
        </w:rPr>
      </w:pPr>
      <w:r w:rsidRPr="002F46E5">
        <w:rPr>
          <w:b/>
          <w:spacing w:val="-2"/>
          <w:sz w:val="22"/>
          <w:szCs w:val="22"/>
        </w:rPr>
        <w:t>Herr Kahn &amp; Herr Saran</w:t>
      </w:r>
    </w:p>
    <w:p w14:paraId="5143407B" w14:textId="77777777" w:rsidR="00FF7799" w:rsidRPr="00CF151F" w:rsidRDefault="00FF7799" w:rsidP="002F46E5">
      <w:pPr>
        <w:pStyle w:val="StandardText"/>
        <w:pBdr>
          <w:top w:val="single" w:sz="4" w:space="1" w:color="auto"/>
          <w:left w:val="single" w:sz="4" w:space="4" w:color="auto"/>
          <w:bottom w:val="single" w:sz="4" w:space="1" w:color="auto"/>
          <w:right w:val="single" w:sz="4" w:space="4" w:color="auto"/>
        </w:pBdr>
        <w:shd w:val="clear" w:color="auto" w:fill="DEEAF6" w:themeFill="accent1" w:themeFillTint="33"/>
        <w:rPr>
          <w:sz w:val="22"/>
          <w:szCs w:val="22"/>
        </w:rPr>
      </w:pPr>
      <w:r w:rsidRPr="00CF151F">
        <w:rPr>
          <w:sz w:val="22"/>
          <w:szCs w:val="22"/>
        </w:rPr>
        <w:t>„Ein</w:t>
      </w:r>
      <w:r w:rsidRPr="00CF151F">
        <w:rPr>
          <w:spacing w:val="-3"/>
          <w:sz w:val="22"/>
          <w:szCs w:val="22"/>
        </w:rPr>
        <w:t xml:space="preserve"> </w:t>
      </w:r>
      <w:r w:rsidRPr="00CF151F">
        <w:rPr>
          <w:sz w:val="22"/>
          <w:szCs w:val="22"/>
        </w:rPr>
        <w:t>leistungsorientierter</w:t>
      </w:r>
      <w:r w:rsidRPr="00CF151F">
        <w:rPr>
          <w:spacing w:val="-5"/>
          <w:sz w:val="22"/>
          <w:szCs w:val="22"/>
        </w:rPr>
        <w:t xml:space="preserve"> </w:t>
      </w:r>
      <w:r w:rsidRPr="00CF151F">
        <w:rPr>
          <w:sz w:val="22"/>
          <w:szCs w:val="22"/>
        </w:rPr>
        <w:t>schwedischer</w:t>
      </w:r>
      <w:r w:rsidRPr="00CF151F">
        <w:rPr>
          <w:spacing w:val="-5"/>
          <w:sz w:val="22"/>
          <w:szCs w:val="22"/>
        </w:rPr>
        <w:t xml:space="preserve"> </w:t>
      </w:r>
      <w:r w:rsidRPr="00CF151F">
        <w:rPr>
          <w:sz w:val="22"/>
          <w:szCs w:val="22"/>
        </w:rPr>
        <w:t>Manager</w:t>
      </w:r>
      <w:r w:rsidRPr="00CF151F">
        <w:rPr>
          <w:spacing w:val="-5"/>
          <w:sz w:val="22"/>
          <w:szCs w:val="22"/>
        </w:rPr>
        <w:t xml:space="preserve"> </w:t>
      </w:r>
      <w:r w:rsidRPr="00CF151F">
        <w:rPr>
          <w:sz w:val="22"/>
          <w:szCs w:val="22"/>
        </w:rPr>
        <w:t>hatte</w:t>
      </w:r>
      <w:r w:rsidRPr="00CF151F">
        <w:rPr>
          <w:spacing w:val="-6"/>
          <w:sz w:val="22"/>
          <w:szCs w:val="22"/>
        </w:rPr>
        <w:t xml:space="preserve"> </w:t>
      </w:r>
      <w:r w:rsidRPr="00CF151F">
        <w:rPr>
          <w:sz w:val="22"/>
          <w:szCs w:val="22"/>
        </w:rPr>
        <w:t>ein</w:t>
      </w:r>
      <w:r w:rsidRPr="00CF151F">
        <w:rPr>
          <w:spacing w:val="-3"/>
          <w:sz w:val="22"/>
          <w:szCs w:val="22"/>
        </w:rPr>
        <w:t xml:space="preserve"> </w:t>
      </w:r>
      <w:r w:rsidRPr="00CF151F">
        <w:rPr>
          <w:sz w:val="22"/>
          <w:szCs w:val="22"/>
        </w:rPr>
        <w:t>Projekt</w:t>
      </w:r>
      <w:r w:rsidRPr="00CF151F">
        <w:rPr>
          <w:spacing w:val="-6"/>
          <w:sz w:val="22"/>
          <w:szCs w:val="22"/>
        </w:rPr>
        <w:t xml:space="preserve"> </w:t>
      </w:r>
      <w:r w:rsidRPr="00CF151F">
        <w:rPr>
          <w:sz w:val="22"/>
          <w:szCs w:val="22"/>
        </w:rPr>
        <w:t>in</w:t>
      </w:r>
      <w:r w:rsidRPr="00CF151F">
        <w:rPr>
          <w:spacing w:val="-5"/>
          <w:sz w:val="22"/>
          <w:szCs w:val="22"/>
        </w:rPr>
        <w:t xml:space="preserve"> </w:t>
      </w:r>
      <w:r w:rsidRPr="00CF151F">
        <w:rPr>
          <w:sz w:val="22"/>
          <w:szCs w:val="22"/>
        </w:rPr>
        <w:t>Pakistan</w:t>
      </w:r>
      <w:r w:rsidRPr="00CF151F">
        <w:rPr>
          <w:spacing w:val="-6"/>
          <w:sz w:val="22"/>
          <w:szCs w:val="22"/>
        </w:rPr>
        <w:t xml:space="preserve"> </w:t>
      </w:r>
      <w:r w:rsidRPr="00CF151F">
        <w:rPr>
          <w:sz w:val="22"/>
          <w:szCs w:val="22"/>
        </w:rPr>
        <w:t>zu</w:t>
      </w:r>
      <w:r w:rsidRPr="00CF151F">
        <w:rPr>
          <w:spacing w:val="-6"/>
          <w:sz w:val="22"/>
          <w:szCs w:val="22"/>
        </w:rPr>
        <w:t xml:space="preserve"> </w:t>
      </w:r>
      <w:r w:rsidRPr="00CF151F">
        <w:rPr>
          <w:sz w:val="22"/>
          <w:szCs w:val="22"/>
        </w:rPr>
        <w:t>leiten.</w:t>
      </w:r>
      <w:r w:rsidRPr="00CF151F">
        <w:rPr>
          <w:spacing w:val="-4"/>
          <w:sz w:val="22"/>
          <w:szCs w:val="22"/>
        </w:rPr>
        <w:t xml:space="preserve"> </w:t>
      </w:r>
      <w:r w:rsidRPr="00CF151F">
        <w:rPr>
          <w:sz w:val="22"/>
          <w:szCs w:val="22"/>
        </w:rPr>
        <w:t>Eine</w:t>
      </w:r>
      <w:r w:rsidRPr="00CF151F">
        <w:rPr>
          <w:spacing w:val="40"/>
          <w:sz w:val="22"/>
          <w:szCs w:val="22"/>
        </w:rPr>
        <w:t xml:space="preserve"> </w:t>
      </w:r>
      <w:r w:rsidRPr="00CF151F">
        <w:rPr>
          <w:sz w:val="22"/>
          <w:szCs w:val="22"/>
        </w:rPr>
        <w:t>Stelle</w:t>
      </w:r>
      <w:r w:rsidRPr="00CF151F">
        <w:rPr>
          <w:spacing w:val="-10"/>
          <w:sz w:val="22"/>
          <w:szCs w:val="22"/>
        </w:rPr>
        <w:t xml:space="preserve"> </w:t>
      </w:r>
      <w:r w:rsidRPr="00CF151F">
        <w:rPr>
          <w:sz w:val="22"/>
          <w:szCs w:val="22"/>
        </w:rPr>
        <w:t>musste</w:t>
      </w:r>
      <w:r w:rsidRPr="00CF151F">
        <w:rPr>
          <w:spacing w:val="-10"/>
          <w:sz w:val="22"/>
          <w:szCs w:val="22"/>
        </w:rPr>
        <w:t xml:space="preserve"> </w:t>
      </w:r>
      <w:r w:rsidRPr="00CF151F">
        <w:rPr>
          <w:sz w:val="22"/>
          <w:szCs w:val="22"/>
        </w:rPr>
        <w:t>neu</w:t>
      </w:r>
      <w:r w:rsidRPr="00CF151F">
        <w:rPr>
          <w:spacing w:val="-10"/>
          <w:sz w:val="22"/>
          <w:szCs w:val="22"/>
        </w:rPr>
        <w:t xml:space="preserve"> </w:t>
      </w:r>
      <w:r w:rsidRPr="00CF151F">
        <w:rPr>
          <w:sz w:val="22"/>
          <w:szCs w:val="22"/>
        </w:rPr>
        <w:t>besetzt</w:t>
      </w:r>
      <w:r w:rsidRPr="00CF151F">
        <w:rPr>
          <w:spacing w:val="-10"/>
          <w:sz w:val="22"/>
          <w:szCs w:val="22"/>
        </w:rPr>
        <w:t xml:space="preserve"> </w:t>
      </w:r>
      <w:r w:rsidRPr="00CF151F">
        <w:rPr>
          <w:sz w:val="22"/>
          <w:szCs w:val="22"/>
        </w:rPr>
        <w:t>werden,</w:t>
      </w:r>
      <w:r w:rsidRPr="00CF151F">
        <w:rPr>
          <w:spacing w:val="-10"/>
          <w:sz w:val="22"/>
          <w:szCs w:val="22"/>
        </w:rPr>
        <w:t xml:space="preserve"> </w:t>
      </w:r>
      <w:r w:rsidRPr="00CF151F">
        <w:rPr>
          <w:sz w:val="22"/>
          <w:szCs w:val="22"/>
        </w:rPr>
        <w:t>und</w:t>
      </w:r>
      <w:r w:rsidRPr="00CF151F">
        <w:rPr>
          <w:spacing w:val="-10"/>
          <w:sz w:val="22"/>
          <w:szCs w:val="22"/>
        </w:rPr>
        <w:t xml:space="preserve"> </w:t>
      </w:r>
      <w:r w:rsidRPr="00CF151F">
        <w:rPr>
          <w:sz w:val="22"/>
          <w:szCs w:val="22"/>
        </w:rPr>
        <w:t>nach</w:t>
      </w:r>
      <w:r w:rsidRPr="00CF151F">
        <w:rPr>
          <w:spacing w:val="-10"/>
          <w:sz w:val="22"/>
          <w:szCs w:val="22"/>
        </w:rPr>
        <w:t xml:space="preserve"> </w:t>
      </w:r>
      <w:r w:rsidRPr="00CF151F">
        <w:rPr>
          <w:sz w:val="22"/>
          <w:szCs w:val="22"/>
        </w:rPr>
        <w:t>sorgfältiger</w:t>
      </w:r>
      <w:r w:rsidRPr="00CF151F">
        <w:rPr>
          <w:spacing w:val="-10"/>
          <w:sz w:val="22"/>
          <w:szCs w:val="22"/>
        </w:rPr>
        <w:t xml:space="preserve"> </w:t>
      </w:r>
      <w:r w:rsidRPr="00CF151F">
        <w:rPr>
          <w:sz w:val="22"/>
          <w:szCs w:val="22"/>
        </w:rPr>
        <w:t>Prüfung</w:t>
      </w:r>
      <w:r w:rsidRPr="00CF151F">
        <w:rPr>
          <w:spacing w:val="-10"/>
          <w:sz w:val="22"/>
          <w:szCs w:val="22"/>
        </w:rPr>
        <w:t xml:space="preserve"> </w:t>
      </w:r>
      <w:r w:rsidRPr="00CF151F">
        <w:rPr>
          <w:sz w:val="22"/>
          <w:szCs w:val="22"/>
        </w:rPr>
        <w:t>wählte</w:t>
      </w:r>
      <w:r w:rsidRPr="00CF151F">
        <w:rPr>
          <w:spacing w:val="-10"/>
          <w:sz w:val="22"/>
          <w:szCs w:val="22"/>
        </w:rPr>
        <w:t xml:space="preserve"> </w:t>
      </w:r>
      <w:r w:rsidRPr="00CF151F">
        <w:rPr>
          <w:sz w:val="22"/>
          <w:szCs w:val="22"/>
        </w:rPr>
        <w:t>er</w:t>
      </w:r>
      <w:r w:rsidRPr="00CF151F">
        <w:rPr>
          <w:spacing w:val="-10"/>
          <w:sz w:val="22"/>
          <w:szCs w:val="22"/>
        </w:rPr>
        <w:t xml:space="preserve"> </w:t>
      </w:r>
      <w:r w:rsidRPr="00CF151F">
        <w:rPr>
          <w:sz w:val="22"/>
          <w:szCs w:val="22"/>
        </w:rPr>
        <w:t>einen</w:t>
      </w:r>
      <w:r w:rsidRPr="00CF151F">
        <w:rPr>
          <w:spacing w:val="-10"/>
          <w:sz w:val="22"/>
          <w:szCs w:val="22"/>
        </w:rPr>
        <w:t xml:space="preserve"> </w:t>
      </w:r>
      <w:r w:rsidRPr="00CF151F">
        <w:rPr>
          <w:sz w:val="22"/>
          <w:szCs w:val="22"/>
        </w:rPr>
        <w:t>seiner</w:t>
      </w:r>
      <w:r w:rsidRPr="00CF151F">
        <w:rPr>
          <w:spacing w:val="-10"/>
          <w:sz w:val="22"/>
          <w:szCs w:val="22"/>
        </w:rPr>
        <w:t xml:space="preserve"> </w:t>
      </w:r>
      <w:r w:rsidRPr="00CF151F">
        <w:rPr>
          <w:sz w:val="22"/>
          <w:szCs w:val="22"/>
        </w:rPr>
        <w:t>beiden</w:t>
      </w:r>
      <w:r w:rsidRPr="00CF151F">
        <w:rPr>
          <w:spacing w:val="40"/>
          <w:sz w:val="22"/>
          <w:szCs w:val="22"/>
        </w:rPr>
        <w:t xml:space="preserve"> </w:t>
      </w:r>
      <w:r w:rsidRPr="00CF151F">
        <w:rPr>
          <w:sz w:val="22"/>
          <w:szCs w:val="22"/>
        </w:rPr>
        <w:t>meistversprechenden</w:t>
      </w:r>
      <w:r w:rsidRPr="00CF151F">
        <w:rPr>
          <w:spacing w:val="27"/>
          <w:sz w:val="22"/>
          <w:szCs w:val="22"/>
        </w:rPr>
        <w:t xml:space="preserve"> </w:t>
      </w:r>
      <w:r w:rsidRPr="00CF151F">
        <w:rPr>
          <w:sz w:val="22"/>
          <w:szCs w:val="22"/>
        </w:rPr>
        <w:t>pakistanischen</w:t>
      </w:r>
      <w:r w:rsidRPr="00CF151F">
        <w:rPr>
          <w:spacing w:val="27"/>
          <w:sz w:val="22"/>
          <w:szCs w:val="22"/>
        </w:rPr>
        <w:t xml:space="preserve"> </w:t>
      </w:r>
      <w:r w:rsidRPr="00CF151F">
        <w:rPr>
          <w:sz w:val="22"/>
          <w:szCs w:val="22"/>
        </w:rPr>
        <w:t>Mitarbeiter</w:t>
      </w:r>
      <w:r w:rsidRPr="00CF151F">
        <w:rPr>
          <w:spacing w:val="28"/>
          <w:sz w:val="22"/>
          <w:szCs w:val="22"/>
        </w:rPr>
        <w:t xml:space="preserve"> </w:t>
      </w:r>
      <w:r w:rsidRPr="00CF151F">
        <w:rPr>
          <w:sz w:val="22"/>
          <w:szCs w:val="22"/>
        </w:rPr>
        <w:t>zur</w:t>
      </w:r>
      <w:r w:rsidRPr="00CF151F">
        <w:rPr>
          <w:spacing w:val="28"/>
          <w:sz w:val="22"/>
          <w:szCs w:val="22"/>
        </w:rPr>
        <w:t xml:space="preserve"> </w:t>
      </w:r>
      <w:r w:rsidRPr="00CF151F">
        <w:rPr>
          <w:sz w:val="22"/>
          <w:szCs w:val="22"/>
        </w:rPr>
        <w:t>Beförderung</w:t>
      </w:r>
      <w:r w:rsidRPr="00CF151F">
        <w:rPr>
          <w:spacing w:val="29"/>
          <w:sz w:val="22"/>
          <w:szCs w:val="22"/>
        </w:rPr>
        <w:t xml:space="preserve"> </w:t>
      </w:r>
      <w:r w:rsidRPr="00CF151F">
        <w:rPr>
          <w:sz w:val="22"/>
          <w:szCs w:val="22"/>
        </w:rPr>
        <w:t>aus.</w:t>
      </w:r>
      <w:r w:rsidRPr="00CF151F">
        <w:rPr>
          <w:spacing w:val="29"/>
          <w:sz w:val="22"/>
          <w:szCs w:val="22"/>
        </w:rPr>
        <w:t xml:space="preserve"> </w:t>
      </w:r>
      <w:r w:rsidRPr="00CF151F">
        <w:rPr>
          <w:sz w:val="22"/>
          <w:szCs w:val="22"/>
        </w:rPr>
        <w:t>Beide</w:t>
      </w:r>
      <w:r w:rsidRPr="00CF151F">
        <w:rPr>
          <w:spacing w:val="29"/>
          <w:sz w:val="22"/>
          <w:szCs w:val="22"/>
        </w:rPr>
        <w:t xml:space="preserve"> </w:t>
      </w:r>
      <w:r w:rsidRPr="00CF151F">
        <w:rPr>
          <w:sz w:val="22"/>
          <w:szCs w:val="22"/>
        </w:rPr>
        <w:t>Kandidaten verfügten über eine hervorragende Ausbildung, waren promovierte Maschinenbau-Ingenieure und galten in Pakistan als Autoritäten auf ihrem Gebiet. Obwohl beide auf</w:t>
      </w:r>
      <w:r w:rsidRPr="00CF151F">
        <w:rPr>
          <w:spacing w:val="40"/>
          <w:sz w:val="22"/>
          <w:szCs w:val="22"/>
        </w:rPr>
        <w:t xml:space="preserve"> </w:t>
      </w:r>
      <w:r w:rsidRPr="00CF151F">
        <w:rPr>
          <w:sz w:val="22"/>
          <w:szCs w:val="22"/>
        </w:rPr>
        <w:t>hervorragende Leistungen zurückblicken konnten, wurde Herr Kahn aufgrund jüngster</w:t>
      </w:r>
      <w:r w:rsidRPr="00CF151F">
        <w:rPr>
          <w:spacing w:val="40"/>
          <w:sz w:val="22"/>
          <w:szCs w:val="22"/>
        </w:rPr>
        <w:t xml:space="preserve"> </w:t>
      </w:r>
      <w:r w:rsidRPr="00CF151F">
        <w:rPr>
          <w:sz w:val="22"/>
          <w:szCs w:val="22"/>
        </w:rPr>
        <w:t>Erfolge</w:t>
      </w:r>
      <w:r w:rsidRPr="00CF151F">
        <w:rPr>
          <w:spacing w:val="-10"/>
          <w:sz w:val="22"/>
          <w:szCs w:val="22"/>
        </w:rPr>
        <w:t xml:space="preserve"> </w:t>
      </w:r>
      <w:r w:rsidRPr="00CF151F">
        <w:rPr>
          <w:sz w:val="22"/>
          <w:szCs w:val="22"/>
        </w:rPr>
        <w:t>ausgewählt.</w:t>
      </w:r>
      <w:r w:rsidRPr="00CF151F">
        <w:rPr>
          <w:spacing w:val="-10"/>
          <w:sz w:val="22"/>
          <w:szCs w:val="22"/>
        </w:rPr>
        <w:t xml:space="preserve"> </w:t>
      </w:r>
      <w:r w:rsidRPr="00CF151F">
        <w:rPr>
          <w:sz w:val="22"/>
          <w:szCs w:val="22"/>
        </w:rPr>
        <w:t>Herr</w:t>
      </w:r>
      <w:r w:rsidRPr="00CF151F">
        <w:rPr>
          <w:spacing w:val="-10"/>
          <w:sz w:val="22"/>
          <w:szCs w:val="22"/>
        </w:rPr>
        <w:t xml:space="preserve"> </w:t>
      </w:r>
      <w:r w:rsidRPr="00CF151F">
        <w:rPr>
          <w:sz w:val="22"/>
          <w:szCs w:val="22"/>
        </w:rPr>
        <w:t>Saran,</w:t>
      </w:r>
      <w:r w:rsidRPr="00CF151F">
        <w:rPr>
          <w:spacing w:val="-10"/>
          <w:sz w:val="22"/>
          <w:szCs w:val="22"/>
        </w:rPr>
        <w:t xml:space="preserve"> </w:t>
      </w:r>
      <w:r w:rsidRPr="00CF151F">
        <w:rPr>
          <w:sz w:val="22"/>
          <w:szCs w:val="22"/>
        </w:rPr>
        <w:t>der</w:t>
      </w:r>
      <w:r w:rsidRPr="00CF151F">
        <w:rPr>
          <w:spacing w:val="-10"/>
          <w:sz w:val="22"/>
          <w:szCs w:val="22"/>
        </w:rPr>
        <w:t xml:space="preserve"> </w:t>
      </w:r>
      <w:r w:rsidRPr="00CF151F">
        <w:rPr>
          <w:sz w:val="22"/>
          <w:szCs w:val="22"/>
        </w:rPr>
        <w:t>verschmähte</w:t>
      </w:r>
      <w:r w:rsidRPr="00CF151F">
        <w:rPr>
          <w:spacing w:val="-10"/>
          <w:sz w:val="22"/>
          <w:szCs w:val="22"/>
        </w:rPr>
        <w:t xml:space="preserve"> </w:t>
      </w:r>
      <w:r w:rsidRPr="00CF151F">
        <w:rPr>
          <w:sz w:val="22"/>
          <w:szCs w:val="22"/>
        </w:rPr>
        <w:t>Kandidat,</w:t>
      </w:r>
      <w:r w:rsidRPr="00CF151F">
        <w:rPr>
          <w:spacing w:val="-10"/>
          <w:sz w:val="22"/>
          <w:szCs w:val="22"/>
        </w:rPr>
        <w:t xml:space="preserve"> </w:t>
      </w:r>
      <w:r w:rsidRPr="00CF151F">
        <w:rPr>
          <w:sz w:val="22"/>
          <w:szCs w:val="22"/>
        </w:rPr>
        <w:t>war</w:t>
      </w:r>
      <w:r w:rsidRPr="00CF151F">
        <w:rPr>
          <w:spacing w:val="-10"/>
          <w:sz w:val="22"/>
          <w:szCs w:val="22"/>
        </w:rPr>
        <w:t xml:space="preserve"> </w:t>
      </w:r>
      <w:r w:rsidRPr="00CF151F">
        <w:rPr>
          <w:sz w:val="22"/>
          <w:szCs w:val="22"/>
        </w:rPr>
        <w:t>über</w:t>
      </w:r>
      <w:r w:rsidRPr="00CF151F">
        <w:rPr>
          <w:spacing w:val="-10"/>
          <w:sz w:val="22"/>
          <w:szCs w:val="22"/>
        </w:rPr>
        <w:t xml:space="preserve"> </w:t>
      </w:r>
      <w:r w:rsidRPr="00CF151F">
        <w:rPr>
          <w:sz w:val="22"/>
          <w:szCs w:val="22"/>
        </w:rPr>
        <w:t>den</w:t>
      </w:r>
      <w:r w:rsidRPr="00CF151F">
        <w:rPr>
          <w:spacing w:val="-10"/>
          <w:sz w:val="22"/>
          <w:szCs w:val="22"/>
        </w:rPr>
        <w:t xml:space="preserve"> </w:t>
      </w:r>
      <w:r w:rsidRPr="00CF151F">
        <w:rPr>
          <w:sz w:val="22"/>
          <w:szCs w:val="22"/>
        </w:rPr>
        <w:t>Lauf</w:t>
      </w:r>
      <w:r w:rsidRPr="00CF151F">
        <w:rPr>
          <w:spacing w:val="-10"/>
          <w:sz w:val="22"/>
          <w:szCs w:val="22"/>
        </w:rPr>
        <w:t xml:space="preserve"> </w:t>
      </w:r>
      <w:r w:rsidRPr="00CF151F">
        <w:rPr>
          <w:sz w:val="22"/>
          <w:szCs w:val="22"/>
        </w:rPr>
        <w:t>der</w:t>
      </w:r>
      <w:r w:rsidRPr="00CF151F">
        <w:rPr>
          <w:spacing w:val="-10"/>
          <w:sz w:val="22"/>
          <w:szCs w:val="22"/>
        </w:rPr>
        <w:t xml:space="preserve"> </w:t>
      </w:r>
      <w:r w:rsidRPr="00CF151F">
        <w:rPr>
          <w:sz w:val="22"/>
          <w:szCs w:val="22"/>
        </w:rPr>
        <w:t>Ereignisse</w:t>
      </w:r>
      <w:r w:rsidRPr="00CF151F">
        <w:rPr>
          <w:spacing w:val="40"/>
          <w:sz w:val="22"/>
          <w:szCs w:val="22"/>
        </w:rPr>
        <w:t xml:space="preserve"> </w:t>
      </w:r>
      <w:r w:rsidRPr="00CF151F">
        <w:rPr>
          <w:sz w:val="22"/>
          <w:szCs w:val="22"/>
        </w:rPr>
        <w:t>sehr</w:t>
      </w:r>
      <w:r w:rsidRPr="00CF151F">
        <w:rPr>
          <w:spacing w:val="-4"/>
          <w:sz w:val="22"/>
          <w:szCs w:val="22"/>
        </w:rPr>
        <w:t xml:space="preserve"> </w:t>
      </w:r>
      <w:r w:rsidRPr="00CF151F">
        <w:rPr>
          <w:sz w:val="22"/>
          <w:szCs w:val="22"/>
        </w:rPr>
        <w:t>verärgert. Er</w:t>
      </w:r>
      <w:r w:rsidRPr="00CF151F">
        <w:rPr>
          <w:spacing w:val="-4"/>
          <w:sz w:val="22"/>
          <w:szCs w:val="22"/>
        </w:rPr>
        <w:t xml:space="preserve"> </w:t>
      </w:r>
      <w:r w:rsidRPr="00CF151F">
        <w:rPr>
          <w:sz w:val="22"/>
          <w:szCs w:val="22"/>
        </w:rPr>
        <w:t>ging schnurstracks</w:t>
      </w:r>
      <w:r w:rsidRPr="00CF151F">
        <w:rPr>
          <w:spacing w:val="-3"/>
          <w:sz w:val="22"/>
          <w:szCs w:val="22"/>
        </w:rPr>
        <w:t xml:space="preserve"> </w:t>
      </w:r>
      <w:r w:rsidRPr="00CF151F">
        <w:rPr>
          <w:sz w:val="22"/>
          <w:szCs w:val="22"/>
        </w:rPr>
        <w:t>zu seinem</w:t>
      </w:r>
      <w:r w:rsidRPr="00CF151F">
        <w:rPr>
          <w:spacing w:val="-4"/>
          <w:sz w:val="22"/>
          <w:szCs w:val="22"/>
        </w:rPr>
        <w:t xml:space="preserve"> </w:t>
      </w:r>
      <w:r w:rsidRPr="00CF151F">
        <w:rPr>
          <w:sz w:val="22"/>
          <w:szCs w:val="22"/>
        </w:rPr>
        <w:t>schwedischen</w:t>
      </w:r>
      <w:r w:rsidRPr="00CF151F">
        <w:rPr>
          <w:spacing w:val="-2"/>
          <w:sz w:val="22"/>
          <w:szCs w:val="22"/>
        </w:rPr>
        <w:t xml:space="preserve"> </w:t>
      </w:r>
      <w:r w:rsidRPr="00CF151F">
        <w:rPr>
          <w:sz w:val="22"/>
          <w:szCs w:val="22"/>
        </w:rPr>
        <w:t>Chef</w:t>
      </w:r>
      <w:r w:rsidRPr="00CF151F">
        <w:rPr>
          <w:spacing w:val="-4"/>
          <w:sz w:val="22"/>
          <w:szCs w:val="22"/>
        </w:rPr>
        <w:t xml:space="preserve"> </w:t>
      </w:r>
      <w:r w:rsidRPr="00CF151F">
        <w:rPr>
          <w:sz w:val="22"/>
          <w:szCs w:val="22"/>
        </w:rPr>
        <w:t>und</w:t>
      </w:r>
      <w:r w:rsidRPr="00CF151F">
        <w:rPr>
          <w:spacing w:val="-2"/>
          <w:sz w:val="22"/>
          <w:szCs w:val="22"/>
        </w:rPr>
        <w:t xml:space="preserve"> </w:t>
      </w:r>
      <w:r w:rsidRPr="00CF151F">
        <w:rPr>
          <w:sz w:val="22"/>
          <w:szCs w:val="22"/>
        </w:rPr>
        <w:t>bat</w:t>
      </w:r>
      <w:r w:rsidRPr="00CF151F">
        <w:rPr>
          <w:spacing w:val="-2"/>
          <w:sz w:val="22"/>
          <w:szCs w:val="22"/>
        </w:rPr>
        <w:t xml:space="preserve"> </w:t>
      </w:r>
      <w:r w:rsidRPr="00CF151F">
        <w:rPr>
          <w:sz w:val="22"/>
          <w:szCs w:val="22"/>
        </w:rPr>
        <w:t>um</w:t>
      </w:r>
      <w:r w:rsidRPr="00CF151F">
        <w:rPr>
          <w:spacing w:val="-1"/>
          <w:sz w:val="22"/>
          <w:szCs w:val="22"/>
        </w:rPr>
        <w:t xml:space="preserve"> </w:t>
      </w:r>
      <w:r w:rsidRPr="00CF151F">
        <w:rPr>
          <w:sz w:val="22"/>
          <w:szCs w:val="22"/>
        </w:rPr>
        <w:t>Aufklärung.</w:t>
      </w:r>
      <w:r w:rsidRPr="00CF151F">
        <w:rPr>
          <w:spacing w:val="40"/>
          <w:sz w:val="22"/>
          <w:szCs w:val="22"/>
        </w:rPr>
        <w:t xml:space="preserve"> </w:t>
      </w:r>
      <w:r w:rsidRPr="00CF151F">
        <w:rPr>
          <w:sz w:val="22"/>
          <w:szCs w:val="22"/>
        </w:rPr>
        <w:t>Doch die ihm gegebenen Begründungen, die sich an den spezifischen Bedürfnissen der</w:t>
      </w:r>
      <w:r w:rsidRPr="00CF151F">
        <w:rPr>
          <w:spacing w:val="40"/>
          <w:sz w:val="22"/>
          <w:szCs w:val="22"/>
        </w:rPr>
        <w:t xml:space="preserve"> </w:t>
      </w:r>
      <w:r w:rsidRPr="00CF151F">
        <w:rPr>
          <w:sz w:val="22"/>
          <w:szCs w:val="22"/>
        </w:rPr>
        <w:t>Arbeit orientierten, konnten ihn nicht beruhigen. Wie durfte ein solcher Gesichtsverlust</w:t>
      </w:r>
      <w:r w:rsidRPr="00CF151F">
        <w:rPr>
          <w:spacing w:val="40"/>
          <w:sz w:val="22"/>
          <w:szCs w:val="22"/>
        </w:rPr>
        <w:t xml:space="preserve"> </w:t>
      </w:r>
      <w:r w:rsidRPr="00CF151F">
        <w:rPr>
          <w:sz w:val="22"/>
          <w:szCs w:val="22"/>
        </w:rPr>
        <w:t>erlaubt</w:t>
      </w:r>
      <w:r w:rsidRPr="00CF151F">
        <w:rPr>
          <w:spacing w:val="-10"/>
          <w:sz w:val="22"/>
          <w:szCs w:val="22"/>
        </w:rPr>
        <w:t xml:space="preserve"> </w:t>
      </w:r>
      <w:r w:rsidRPr="00CF151F">
        <w:rPr>
          <w:sz w:val="22"/>
          <w:szCs w:val="22"/>
        </w:rPr>
        <w:t>sein?</w:t>
      </w:r>
      <w:r w:rsidRPr="00CF151F">
        <w:rPr>
          <w:spacing w:val="-10"/>
          <w:sz w:val="22"/>
          <w:szCs w:val="22"/>
        </w:rPr>
        <w:t xml:space="preserve"> </w:t>
      </w:r>
      <w:r w:rsidRPr="00CF151F">
        <w:rPr>
          <w:sz w:val="22"/>
          <w:szCs w:val="22"/>
        </w:rPr>
        <w:t>Der</w:t>
      </w:r>
      <w:r w:rsidRPr="00CF151F">
        <w:rPr>
          <w:spacing w:val="-10"/>
          <w:sz w:val="22"/>
          <w:szCs w:val="22"/>
        </w:rPr>
        <w:t xml:space="preserve"> </w:t>
      </w:r>
      <w:r w:rsidRPr="00CF151F">
        <w:rPr>
          <w:sz w:val="22"/>
          <w:szCs w:val="22"/>
        </w:rPr>
        <w:t>schwedische</w:t>
      </w:r>
      <w:r w:rsidRPr="00CF151F">
        <w:rPr>
          <w:spacing w:val="-10"/>
          <w:sz w:val="22"/>
          <w:szCs w:val="22"/>
        </w:rPr>
        <w:t xml:space="preserve"> </w:t>
      </w:r>
      <w:r w:rsidRPr="00CF151F">
        <w:rPr>
          <w:sz w:val="22"/>
          <w:szCs w:val="22"/>
        </w:rPr>
        <w:t>Manager</w:t>
      </w:r>
      <w:r w:rsidRPr="00CF151F">
        <w:rPr>
          <w:spacing w:val="-10"/>
          <w:sz w:val="22"/>
          <w:szCs w:val="22"/>
        </w:rPr>
        <w:t xml:space="preserve"> </w:t>
      </w:r>
      <w:r w:rsidRPr="00CF151F">
        <w:rPr>
          <w:sz w:val="22"/>
          <w:szCs w:val="22"/>
        </w:rPr>
        <w:t>warb</w:t>
      </w:r>
      <w:r w:rsidRPr="00CF151F">
        <w:rPr>
          <w:spacing w:val="-10"/>
          <w:sz w:val="22"/>
          <w:szCs w:val="22"/>
        </w:rPr>
        <w:t xml:space="preserve"> </w:t>
      </w:r>
      <w:r w:rsidRPr="00CF151F">
        <w:rPr>
          <w:sz w:val="22"/>
          <w:szCs w:val="22"/>
        </w:rPr>
        <w:t>um</w:t>
      </w:r>
      <w:r w:rsidRPr="00CF151F">
        <w:rPr>
          <w:spacing w:val="-10"/>
          <w:sz w:val="22"/>
          <w:szCs w:val="22"/>
        </w:rPr>
        <w:t xml:space="preserve"> </w:t>
      </w:r>
      <w:r w:rsidRPr="00CF151F">
        <w:rPr>
          <w:sz w:val="22"/>
          <w:szCs w:val="22"/>
        </w:rPr>
        <w:t>Verständnis</w:t>
      </w:r>
      <w:r w:rsidRPr="00CF151F">
        <w:rPr>
          <w:spacing w:val="-10"/>
          <w:sz w:val="22"/>
          <w:szCs w:val="22"/>
        </w:rPr>
        <w:t xml:space="preserve"> </w:t>
      </w:r>
      <w:r w:rsidRPr="00CF151F">
        <w:rPr>
          <w:sz w:val="22"/>
          <w:szCs w:val="22"/>
        </w:rPr>
        <w:t>dafür,</w:t>
      </w:r>
      <w:r w:rsidRPr="00CF151F">
        <w:rPr>
          <w:spacing w:val="-10"/>
          <w:sz w:val="22"/>
          <w:szCs w:val="22"/>
        </w:rPr>
        <w:t xml:space="preserve"> </w:t>
      </w:r>
      <w:r w:rsidRPr="00CF151F">
        <w:rPr>
          <w:sz w:val="22"/>
          <w:szCs w:val="22"/>
        </w:rPr>
        <w:t>dass</w:t>
      </w:r>
      <w:r w:rsidRPr="00CF151F">
        <w:rPr>
          <w:spacing w:val="-10"/>
          <w:sz w:val="22"/>
          <w:szCs w:val="22"/>
        </w:rPr>
        <w:t xml:space="preserve"> </w:t>
      </w:r>
      <w:r w:rsidRPr="00CF151F">
        <w:rPr>
          <w:sz w:val="22"/>
          <w:szCs w:val="22"/>
        </w:rPr>
        <w:t>nur</w:t>
      </w:r>
      <w:r w:rsidRPr="00CF151F">
        <w:rPr>
          <w:spacing w:val="-10"/>
          <w:sz w:val="22"/>
          <w:szCs w:val="22"/>
        </w:rPr>
        <w:t xml:space="preserve"> </w:t>
      </w:r>
      <w:r w:rsidRPr="00CF151F">
        <w:rPr>
          <w:sz w:val="22"/>
          <w:szCs w:val="22"/>
        </w:rPr>
        <w:t>einer</w:t>
      </w:r>
      <w:r w:rsidRPr="00CF151F">
        <w:rPr>
          <w:spacing w:val="-10"/>
          <w:sz w:val="22"/>
          <w:szCs w:val="22"/>
        </w:rPr>
        <w:t xml:space="preserve"> </w:t>
      </w:r>
      <w:r w:rsidRPr="00CF151F">
        <w:rPr>
          <w:sz w:val="22"/>
          <w:szCs w:val="22"/>
        </w:rPr>
        <w:t>der</w:t>
      </w:r>
      <w:r w:rsidRPr="00CF151F">
        <w:rPr>
          <w:spacing w:val="-10"/>
          <w:sz w:val="22"/>
          <w:szCs w:val="22"/>
        </w:rPr>
        <w:t xml:space="preserve"> </w:t>
      </w:r>
      <w:r w:rsidRPr="00CF151F">
        <w:rPr>
          <w:sz w:val="22"/>
          <w:szCs w:val="22"/>
        </w:rPr>
        <w:t>beiden</w:t>
      </w:r>
      <w:r w:rsidRPr="00CF151F">
        <w:rPr>
          <w:spacing w:val="40"/>
          <w:sz w:val="22"/>
          <w:szCs w:val="22"/>
        </w:rPr>
        <w:t xml:space="preserve"> </w:t>
      </w:r>
      <w:r w:rsidRPr="00CF151F">
        <w:rPr>
          <w:sz w:val="22"/>
          <w:szCs w:val="22"/>
        </w:rPr>
        <w:t>befördert</w:t>
      </w:r>
      <w:r w:rsidRPr="00CF151F">
        <w:rPr>
          <w:spacing w:val="-6"/>
          <w:sz w:val="22"/>
          <w:szCs w:val="22"/>
        </w:rPr>
        <w:t xml:space="preserve"> </w:t>
      </w:r>
      <w:r w:rsidRPr="00CF151F">
        <w:rPr>
          <w:sz w:val="22"/>
          <w:szCs w:val="22"/>
        </w:rPr>
        <w:t>werden</w:t>
      </w:r>
      <w:r w:rsidRPr="00CF151F">
        <w:rPr>
          <w:spacing w:val="-7"/>
          <w:sz w:val="22"/>
          <w:szCs w:val="22"/>
        </w:rPr>
        <w:t xml:space="preserve"> </w:t>
      </w:r>
      <w:r w:rsidRPr="00CF151F">
        <w:rPr>
          <w:sz w:val="22"/>
          <w:szCs w:val="22"/>
        </w:rPr>
        <w:t>könne,</w:t>
      </w:r>
      <w:r w:rsidRPr="00CF151F">
        <w:rPr>
          <w:spacing w:val="-7"/>
          <w:sz w:val="22"/>
          <w:szCs w:val="22"/>
        </w:rPr>
        <w:t xml:space="preserve"> </w:t>
      </w:r>
      <w:r w:rsidRPr="00CF151F">
        <w:rPr>
          <w:sz w:val="22"/>
          <w:szCs w:val="22"/>
        </w:rPr>
        <w:t>weil</w:t>
      </w:r>
      <w:r w:rsidRPr="00CF151F">
        <w:rPr>
          <w:spacing w:val="-7"/>
          <w:sz w:val="22"/>
          <w:szCs w:val="22"/>
        </w:rPr>
        <w:t xml:space="preserve"> </w:t>
      </w:r>
      <w:r w:rsidRPr="00CF151F">
        <w:rPr>
          <w:sz w:val="22"/>
          <w:szCs w:val="22"/>
        </w:rPr>
        <w:t>nun</w:t>
      </w:r>
      <w:r w:rsidRPr="00CF151F">
        <w:rPr>
          <w:spacing w:val="-8"/>
          <w:sz w:val="22"/>
          <w:szCs w:val="22"/>
        </w:rPr>
        <w:t xml:space="preserve"> </w:t>
      </w:r>
      <w:r w:rsidRPr="00CF151F">
        <w:rPr>
          <w:sz w:val="22"/>
          <w:szCs w:val="22"/>
        </w:rPr>
        <w:t>einmal</w:t>
      </w:r>
      <w:r w:rsidRPr="00CF151F">
        <w:rPr>
          <w:spacing w:val="-7"/>
          <w:sz w:val="22"/>
          <w:szCs w:val="22"/>
        </w:rPr>
        <w:t xml:space="preserve"> </w:t>
      </w:r>
      <w:r w:rsidRPr="00CF151F">
        <w:rPr>
          <w:sz w:val="22"/>
          <w:szCs w:val="22"/>
        </w:rPr>
        <w:t>nur</w:t>
      </w:r>
      <w:r w:rsidRPr="00CF151F">
        <w:rPr>
          <w:spacing w:val="-9"/>
          <w:sz w:val="22"/>
          <w:szCs w:val="22"/>
        </w:rPr>
        <w:t xml:space="preserve"> </w:t>
      </w:r>
      <w:r w:rsidRPr="00CF151F">
        <w:rPr>
          <w:sz w:val="22"/>
          <w:szCs w:val="22"/>
        </w:rPr>
        <w:t>eine</w:t>
      </w:r>
      <w:r w:rsidRPr="00CF151F">
        <w:rPr>
          <w:spacing w:val="-7"/>
          <w:sz w:val="22"/>
          <w:szCs w:val="22"/>
        </w:rPr>
        <w:t xml:space="preserve"> </w:t>
      </w:r>
      <w:r w:rsidRPr="00CF151F">
        <w:rPr>
          <w:sz w:val="22"/>
          <w:szCs w:val="22"/>
        </w:rPr>
        <w:t>Position</w:t>
      </w:r>
      <w:r w:rsidRPr="00CF151F">
        <w:rPr>
          <w:spacing w:val="-7"/>
          <w:sz w:val="22"/>
          <w:szCs w:val="22"/>
        </w:rPr>
        <w:t xml:space="preserve"> </w:t>
      </w:r>
      <w:r w:rsidRPr="00CF151F">
        <w:rPr>
          <w:sz w:val="22"/>
          <w:szCs w:val="22"/>
        </w:rPr>
        <w:t>offen</w:t>
      </w:r>
      <w:r w:rsidRPr="00CF151F">
        <w:rPr>
          <w:spacing w:val="-7"/>
          <w:sz w:val="22"/>
          <w:szCs w:val="22"/>
        </w:rPr>
        <w:t xml:space="preserve"> </w:t>
      </w:r>
      <w:r w:rsidRPr="00CF151F">
        <w:rPr>
          <w:sz w:val="22"/>
          <w:szCs w:val="22"/>
        </w:rPr>
        <w:t>sei.</w:t>
      </w:r>
      <w:r w:rsidRPr="00CF151F">
        <w:rPr>
          <w:spacing w:val="-8"/>
          <w:sz w:val="22"/>
          <w:szCs w:val="22"/>
        </w:rPr>
        <w:t xml:space="preserve"> </w:t>
      </w:r>
      <w:r w:rsidRPr="00CF151F">
        <w:rPr>
          <w:sz w:val="22"/>
          <w:szCs w:val="22"/>
        </w:rPr>
        <w:t>Einer</w:t>
      </w:r>
      <w:r w:rsidRPr="00CF151F">
        <w:rPr>
          <w:spacing w:val="-10"/>
          <w:sz w:val="22"/>
          <w:szCs w:val="22"/>
        </w:rPr>
        <w:t xml:space="preserve"> </w:t>
      </w:r>
      <w:r w:rsidRPr="00CF151F">
        <w:rPr>
          <w:sz w:val="22"/>
          <w:szCs w:val="22"/>
        </w:rPr>
        <w:t>von</w:t>
      </w:r>
      <w:r w:rsidRPr="00CF151F">
        <w:rPr>
          <w:spacing w:val="-7"/>
          <w:sz w:val="22"/>
          <w:szCs w:val="22"/>
        </w:rPr>
        <w:t xml:space="preserve"> </w:t>
      </w:r>
      <w:r w:rsidRPr="00CF151F">
        <w:rPr>
          <w:sz w:val="22"/>
          <w:szCs w:val="22"/>
        </w:rPr>
        <w:t>beiden</w:t>
      </w:r>
      <w:r w:rsidRPr="00CF151F">
        <w:rPr>
          <w:spacing w:val="-7"/>
          <w:sz w:val="22"/>
          <w:szCs w:val="22"/>
        </w:rPr>
        <w:t xml:space="preserve"> </w:t>
      </w:r>
      <w:r w:rsidRPr="00CF151F">
        <w:rPr>
          <w:sz w:val="22"/>
          <w:szCs w:val="22"/>
        </w:rPr>
        <w:t>müsse</w:t>
      </w:r>
      <w:r w:rsidRPr="00CF151F">
        <w:rPr>
          <w:spacing w:val="40"/>
          <w:sz w:val="22"/>
          <w:szCs w:val="22"/>
        </w:rPr>
        <w:t xml:space="preserve"> </w:t>
      </w:r>
      <w:r w:rsidRPr="00CF151F">
        <w:rPr>
          <w:sz w:val="22"/>
          <w:szCs w:val="22"/>
        </w:rPr>
        <w:t>sich verletzt fühlen, auch wenn beide</w:t>
      </w:r>
      <w:r w:rsidRPr="00CF151F">
        <w:rPr>
          <w:spacing w:val="-1"/>
          <w:sz w:val="22"/>
          <w:szCs w:val="22"/>
        </w:rPr>
        <w:t xml:space="preserve"> </w:t>
      </w:r>
      <w:r w:rsidRPr="00CF151F">
        <w:rPr>
          <w:sz w:val="22"/>
          <w:szCs w:val="22"/>
        </w:rPr>
        <w:t>wertvolle</w:t>
      </w:r>
      <w:r w:rsidRPr="00CF151F">
        <w:rPr>
          <w:spacing w:val="-1"/>
          <w:sz w:val="22"/>
          <w:szCs w:val="22"/>
        </w:rPr>
        <w:t xml:space="preserve"> </w:t>
      </w:r>
      <w:r w:rsidRPr="00CF151F">
        <w:rPr>
          <w:sz w:val="22"/>
          <w:szCs w:val="22"/>
        </w:rPr>
        <w:t>Mitarbeiter seien. Der Zurückgesetzte</w:t>
      </w:r>
      <w:r w:rsidRPr="00CF151F">
        <w:rPr>
          <w:spacing w:val="-1"/>
          <w:sz w:val="22"/>
          <w:szCs w:val="22"/>
        </w:rPr>
        <w:t xml:space="preserve"> </w:t>
      </w:r>
      <w:r w:rsidRPr="00CF151F">
        <w:rPr>
          <w:sz w:val="22"/>
          <w:szCs w:val="22"/>
        </w:rPr>
        <w:t>blieb</w:t>
      </w:r>
      <w:r w:rsidRPr="00CF151F">
        <w:rPr>
          <w:spacing w:val="40"/>
          <w:sz w:val="22"/>
          <w:szCs w:val="22"/>
        </w:rPr>
        <w:t xml:space="preserve"> </w:t>
      </w:r>
      <w:r w:rsidRPr="00CF151F">
        <w:rPr>
          <w:sz w:val="22"/>
          <w:szCs w:val="22"/>
        </w:rPr>
        <w:t>uneinsichtig. Schließlich erfuhr der Schwede den Grund: Herr Saran hatte zwei Jahre vor</w:t>
      </w:r>
      <w:r w:rsidRPr="00CF151F">
        <w:rPr>
          <w:spacing w:val="40"/>
          <w:sz w:val="22"/>
          <w:szCs w:val="22"/>
        </w:rPr>
        <w:t xml:space="preserve"> </w:t>
      </w:r>
      <w:r w:rsidRPr="00CF151F">
        <w:rPr>
          <w:sz w:val="22"/>
          <w:szCs w:val="22"/>
        </w:rPr>
        <w:t>Herrn Kahn an der gleichen amerikanischen Universität promoviert. Deshalb wurde der</w:t>
      </w:r>
      <w:r w:rsidRPr="00CF151F">
        <w:rPr>
          <w:spacing w:val="40"/>
          <w:sz w:val="22"/>
          <w:szCs w:val="22"/>
        </w:rPr>
        <w:t xml:space="preserve"> </w:t>
      </w:r>
      <w:r w:rsidRPr="00CF151F">
        <w:rPr>
          <w:sz w:val="22"/>
          <w:szCs w:val="22"/>
        </w:rPr>
        <w:t>Status Sarans höher eingeschätzt als der seines Kollegen. Seine Familie würde das niemals</w:t>
      </w:r>
      <w:r w:rsidRPr="00CF151F">
        <w:rPr>
          <w:spacing w:val="40"/>
          <w:sz w:val="22"/>
          <w:szCs w:val="22"/>
        </w:rPr>
        <w:t xml:space="preserve"> </w:t>
      </w:r>
      <w:r w:rsidRPr="00CF151F">
        <w:rPr>
          <w:sz w:val="22"/>
          <w:szCs w:val="22"/>
        </w:rPr>
        <w:t>verstehen. Was sollte man von dieser westlichen Methode halten, die so leichtfertig mit</w:t>
      </w:r>
      <w:r w:rsidRPr="00CF151F">
        <w:rPr>
          <w:spacing w:val="40"/>
          <w:sz w:val="22"/>
          <w:szCs w:val="22"/>
        </w:rPr>
        <w:t xml:space="preserve"> </w:t>
      </w:r>
      <w:r w:rsidRPr="00CF151F">
        <w:rPr>
          <w:sz w:val="22"/>
          <w:szCs w:val="22"/>
        </w:rPr>
        <w:t>Statusfragen</w:t>
      </w:r>
      <w:r w:rsidRPr="00CF151F">
        <w:rPr>
          <w:spacing w:val="-6"/>
          <w:sz w:val="22"/>
          <w:szCs w:val="22"/>
        </w:rPr>
        <w:t xml:space="preserve"> </w:t>
      </w:r>
      <w:r w:rsidRPr="00CF151F">
        <w:rPr>
          <w:sz w:val="22"/>
          <w:szCs w:val="22"/>
        </w:rPr>
        <w:t>umging?</w:t>
      </w:r>
      <w:r w:rsidRPr="00CF151F">
        <w:rPr>
          <w:spacing w:val="-6"/>
          <w:sz w:val="22"/>
          <w:szCs w:val="22"/>
        </w:rPr>
        <w:t xml:space="preserve"> </w:t>
      </w:r>
      <w:r w:rsidRPr="00CF151F">
        <w:rPr>
          <w:sz w:val="22"/>
          <w:szCs w:val="22"/>
        </w:rPr>
        <w:t>Spielten</w:t>
      </w:r>
      <w:r w:rsidRPr="00CF151F">
        <w:rPr>
          <w:spacing w:val="-8"/>
          <w:sz w:val="22"/>
          <w:szCs w:val="22"/>
        </w:rPr>
        <w:t xml:space="preserve"> </w:t>
      </w:r>
      <w:r w:rsidRPr="00CF151F">
        <w:rPr>
          <w:sz w:val="22"/>
          <w:szCs w:val="22"/>
        </w:rPr>
        <w:t>denn</w:t>
      </w:r>
      <w:r w:rsidRPr="00CF151F">
        <w:rPr>
          <w:spacing w:val="-8"/>
          <w:sz w:val="22"/>
          <w:szCs w:val="22"/>
        </w:rPr>
        <w:t xml:space="preserve"> </w:t>
      </w:r>
      <w:r w:rsidRPr="00CF151F">
        <w:rPr>
          <w:sz w:val="22"/>
          <w:szCs w:val="22"/>
        </w:rPr>
        <w:t>nur</w:t>
      </w:r>
      <w:r w:rsidRPr="00CF151F">
        <w:rPr>
          <w:spacing w:val="-7"/>
          <w:sz w:val="22"/>
          <w:szCs w:val="22"/>
        </w:rPr>
        <w:t xml:space="preserve"> </w:t>
      </w:r>
      <w:r w:rsidRPr="00CF151F">
        <w:rPr>
          <w:sz w:val="22"/>
          <w:szCs w:val="22"/>
        </w:rPr>
        <w:t>die</w:t>
      </w:r>
      <w:r w:rsidRPr="00CF151F">
        <w:rPr>
          <w:spacing w:val="-3"/>
          <w:sz w:val="22"/>
          <w:szCs w:val="22"/>
        </w:rPr>
        <w:t xml:space="preserve"> </w:t>
      </w:r>
      <w:r w:rsidRPr="00CF151F">
        <w:rPr>
          <w:sz w:val="22"/>
          <w:szCs w:val="22"/>
        </w:rPr>
        <w:t>Leistungen</w:t>
      </w:r>
      <w:r w:rsidRPr="00CF151F">
        <w:rPr>
          <w:spacing w:val="-6"/>
          <w:sz w:val="22"/>
          <w:szCs w:val="22"/>
        </w:rPr>
        <w:t xml:space="preserve"> </w:t>
      </w:r>
      <w:r w:rsidRPr="00CF151F">
        <w:rPr>
          <w:sz w:val="22"/>
          <w:szCs w:val="22"/>
        </w:rPr>
        <w:t>der</w:t>
      </w:r>
      <w:r w:rsidRPr="00CF151F">
        <w:rPr>
          <w:spacing w:val="-7"/>
          <w:sz w:val="22"/>
          <w:szCs w:val="22"/>
        </w:rPr>
        <w:t xml:space="preserve"> </w:t>
      </w:r>
      <w:r w:rsidRPr="00CF151F">
        <w:rPr>
          <w:sz w:val="22"/>
          <w:szCs w:val="22"/>
        </w:rPr>
        <w:t>letzten</w:t>
      </w:r>
      <w:r w:rsidRPr="00CF151F">
        <w:rPr>
          <w:spacing w:val="-8"/>
          <w:sz w:val="22"/>
          <w:szCs w:val="22"/>
        </w:rPr>
        <w:t xml:space="preserve"> </w:t>
      </w:r>
      <w:r w:rsidRPr="00CF151F">
        <w:rPr>
          <w:sz w:val="22"/>
          <w:szCs w:val="22"/>
        </w:rPr>
        <w:t>paar</w:t>
      </w:r>
      <w:r w:rsidRPr="00CF151F">
        <w:rPr>
          <w:spacing w:val="-10"/>
          <w:sz w:val="22"/>
          <w:szCs w:val="22"/>
        </w:rPr>
        <w:t xml:space="preserve"> </w:t>
      </w:r>
      <w:r w:rsidRPr="00CF151F">
        <w:rPr>
          <w:sz w:val="22"/>
          <w:szCs w:val="22"/>
        </w:rPr>
        <w:t>Monate</w:t>
      </w:r>
      <w:r w:rsidRPr="00CF151F">
        <w:rPr>
          <w:spacing w:val="-6"/>
          <w:sz w:val="22"/>
          <w:szCs w:val="22"/>
        </w:rPr>
        <w:t xml:space="preserve"> </w:t>
      </w:r>
      <w:r w:rsidRPr="00CF151F">
        <w:rPr>
          <w:sz w:val="22"/>
          <w:szCs w:val="22"/>
        </w:rPr>
        <w:t>eine</w:t>
      </w:r>
      <w:r w:rsidRPr="00CF151F">
        <w:rPr>
          <w:spacing w:val="-6"/>
          <w:sz w:val="22"/>
          <w:szCs w:val="22"/>
        </w:rPr>
        <w:t xml:space="preserve"> </w:t>
      </w:r>
      <w:r w:rsidRPr="00CF151F">
        <w:rPr>
          <w:sz w:val="22"/>
          <w:szCs w:val="22"/>
        </w:rPr>
        <w:t>Rolle?“</w:t>
      </w:r>
      <w:r w:rsidRPr="00CF151F">
        <w:rPr>
          <w:spacing w:val="40"/>
          <w:sz w:val="22"/>
          <w:szCs w:val="22"/>
        </w:rPr>
        <w:t xml:space="preserve"> </w:t>
      </w:r>
      <w:r w:rsidRPr="00CF151F">
        <w:rPr>
          <w:sz w:val="22"/>
          <w:szCs w:val="22"/>
        </w:rPr>
        <w:t>(Trompenaars 1993, S.150).</w:t>
      </w:r>
    </w:p>
    <w:p w14:paraId="1C0D9A35" w14:textId="77777777" w:rsidR="00FF7799" w:rsidRPr="00CF151F" w:rsidRDefault="00FF7799" w:rsidP="002F46E5">
      <w:pPr>
        <w:pStyle w:val="StandardText"/>
        <w:pBdr>
          <w:top w:val="single" w:sz="4" w:space="1" w:color="auto"/>
          <w:left w:val="single" w:sz="4" w:space="4" w:color="auto"/>
          <w:bottom w:val="single" w:sz="4" w:space="1" w:color="auto"/>
          <w:right w:val="single" w:sz="4" w:space="4" w:color="auto"/>
        </w:pBdr>
        <w:shd w:val="clear" w:color="auto" w:fill="DEEAF6" w:themeFill="accent1" w:themeFillTint="33"/>
        <w:rPr>
          <w:sz w:val="22"/>
          <w:szCs w:val="22"/>
        </w:rPr>
      </w:pPr>
    </w:p>
    <w:p w14:paraId="50E1AFD4" w14:textId="77777777" w:rsidR="002F46E5" w:rsidRDefault="002F46E5" w:rsidP="005F3BAD">
      <w:pPr>
        <w:pStyle w:val="StandardTextkursiv"/>
      </w:pPr>
    </w:p>
    <w:p w14:paraId="7D234A47" w14:textId="77777777" w:rsidR="00FF7799" w:rsidRPr="002F46E5" w:rsidRDefault="00FF7799" w:rsidP="005F3BAD">
      <w:pPr>
        <w:pStyle w:val="StandardTextkursiv"/>
        <w:rPr>
          <w:i w:val="0"/>
        </w:rPr>
      </w:pPr>
      <w:r w:rsidRPr="002F46E5">
        <w:rPr>
          <w:i w:val="0"/>
        </w:rPr>
        <w:lastRenderedPageBreak/>
        <w:t>2.6 Zeitverständnis</w:t>
      </w:r>
    </w:p>
    <w:p w14:paraId="4DE58612" w14:textId="77777777" w:rsidR="00FF7799" w:rsidRPr="002F46E5" w:rsidRDefault="002F46E5" w:rsidP="00A67B23">
      <w:pPr>
        <w:pStyle w:val="StandardText"/>
      </w:pPr>
      <w:r>
        <w:t xml:space="preserve">Die Auffassung von </w:t>
      </w:r>
      <w:r>
        <w:sym w:font="Symbol" w:char="F0DE"/>
      </w:r>
      <w:r>
        <w:t xml:space="preserve"> </w:t>
      </w:r>
      <w:r w:rsidR="00FF7799" w:rsidRPr="00E73F6F">
        <w:t>Zeit, die sich eine Kultur zu eigen gemacht hat, und der Umgang mit ihr sind aus einem sehr pragmatischen Grund bedeutsam: für die Koordination</w:t>
      </w:r>
      <w:r w:rsidR="00FF7799" w:rsidRPr="00E73F6F">
        <w:rPr>
          <w:spacing w:val="-6"/>
        </w:rPr>
        <w:t xml:space="preserve"> </w:t>
      </w:r>
      <w:r w:rsidR="00FF7799" w:rsidRPr="00E73F6F">
        <w:t>des</w:t>
      </w:r>
      <w:r w:rsidR="00FF7799" w:rsidRPr="00E73F6F">
        <w:rPr>
          <w:spacing w:val="-6"/>
        </w:rPr>
        <w:t xml:space="preserve"> </w:t>
      </w:r>
      <w:r w:rsidR="00FF7799" w:rsidRPr="00E73F6F">
        <w:t>täglichen</w:t>
      </w:r>
      <w:r w:rsidR="00FF7799" w:rsidRPr="00E73F6F">
        <w:rPr>
          <w:spacing w:val="-7"/>
        </w:rPr>
        <w:t xml:space="preserve"> </w:t>
      </w:r>
      <w:r w:rsidR="00FF7799" w:rsidRPr="00E73F6F">
        <w:t>Lebens</w:t>
      </w:r>
      <w:r w:rsidR="00FF7799" w:rsidRPr="00E73F6F">
        <w:rPr>
          <w:spacing w:val="-6"/>
        </w:rPr>
        <w:t xml:space="preserve"> </w:t>
      </w:r>
      <w:r w:rsidR="00FF7799" w:rsidRPr="00E73F6F">
        <w:t>und</w:t>
      </w:r>
      <w:r w:rsidR="00FF7799" w:rsidRPr="00E73F6F">
        <w:rPr>
          <w:spacing w:val="-7"/>
        </w:rPr>
        <w:t xml:space="preserve"> </w:t>
      </w:r>
      <w:r w:rsidR="00FF7799" w:rsidRPr="00E73F6F">
        <w:t>die</w:t>
      </w:r>
      <w:r w:rsidR="00FF7799" w:rsidRPr="00E73F6F">
        <w:rPr>
          <w:spacing w:val="-6"/>
        </w:rPr>
        <w:t xml:space="preserve"> </w:t>
      </w:r>
      <w:r w:rsidR="00FF7799" w:rsidRPr="00E73F6F">
        <w:t>Organisation</w:t>
      </w:r>
      <w:r w:rsidR="00FF7799" w:rsidRPr="00E73F6F">
        <w:rPr>
          <w:spacing w:val="-4"/>
        </w:rPr>
        <w:t xml:space="preserve"> </w:t>
      </w:r>
      <w:r w:rsidR="00FF7799" w:rsidRPr="00E73F6F">
        <w:t>wirtschaftlicher</w:t>
      </w:r>
      <w:r w:rsidR="00FF7799" w:rsidRPr="00E73F6F">
        <w:rPr>
          <w:spacing w:val="-5"/>
        </w:rPr>
        <w:t xml:space="preserve"> </w:t>
      </w:r>
      <w:r>
        <w:t>Abläufe (</w:t>
      </w:r>
      <w:r>
        <w:sym w:font="Symbol" w:char="F0DE"/>
      </w:r>
      <w:r w:rsidR="00FF7799" w:rsidRPr="00E73F6F">
        <w:t xml:space="preserve"> Zeitstruktur). Wichtiger noch dürfte aber die grundsätzliche Funktion des Zeitverständnisses sein: Ist eine Kultur vorrangig vergangenheitsorientiert und somit bspw. mehr an der Traditionspflege als an der Zukunftssicherung </w:t>
      </w:r>
      <w:r w:rsidR="00FF7799" w:rsidRPr="002F46E5">
        <w:t>interessiert? Oder dominieren Gegenwarts- bzw. Zukunftsorientierung. Die empirischen Befunde, die F. Trompenaars hierzu präsentiert, basieren auf dem von Cottl</w:t>
      </w:r>
      <w:r>
        <w:t>e (1967) entwickelten „Kreistest“.</w:t>
      </w:r>
    </w:p>
    <w:p w14:paraId="7955392D" w14:textId="482C866B" w:rsidR="002F46E5" w:rsidRPr="002F46E5" w:rsidRDefault="002F46E5" w:rsidP="002F46E5">
      <w:pPr>
        <w:pStyle w:val="StandardText"/>
        <w:pBdr>
          <w:top w:val="single" w:sz="4" w:space="1" w:color="auto"/>
          <w:left w:val="single" w:sz="4" w:space="4" w:color="auto"/>
          <w:bottom w:val="single" w:sz="4" w:space="1" w:color="auto"/>
          <w:right w:val="single" w:sz="4" w:space="4" w:color="auto"/>
        </w:pBdr>
        <w:shd w:val="clear" w:color="auto" w:fill="DEEAF6" w:themeFill="accent1" w:themeFillTint="33"/>
        <w:jc w:val="center"/>
        <w:rPr>
          <w:sz w:val="22"/>
          <w:szCs w:val="22"/>
        </w:rPr>
      </w:pPr>
      <w:r w:rsidRPr="002F46E5">
        <w:rPr>
          <w:sz w:val="22"/>
          <w:szCs w:val="22"/>
        </w:rPr>
        <w:t xml:space="preserve">Vergangenheit, Gegenwart </w:t>
      </w:r>
      <w:r w:rsidR="00700F23">
        <w:rPr>
          <w:sz w:val="22"/>
          <w:szCs w:val="22"/>
        </w:rPr>
        <w:t xml:space="preserve">&amp; </w:t>
      </w:r>
      <w:r w:rsidRPr="002F46E5">
        <w:rPr>
          <w:sz w:val="22"/>
          <w:szCs w:val="22"/>
        </w:rPr>
        <w:t>Zukunft</w:t>
      </w:r>
    </w:p>
    <w:p w14:paraId="557F6EFA" w14:textId="77777777" w:rsidR="00FF7799" w:rsidRPr="002F46E5" w:rsidRDefault="00FF7799" w:rsidP="002F46E5">
      <w:pPr>
        <w:pStyle w:val="StandardText"/>
        <w:pBdr>
          <w:top w:val="single" w:sz="4" w:space="1" w:color="auto"/>
          <w:left w:val="single" w:sz="4" w:space="4" w:color="auto"/>
          <w:bottom w:val="single" w:sz="4" w:space="1" w:color="auto"/>
          <w:right w:val="single" w:sz="4" w:space="4" w:color="auto"/>
        </w:pBdr>
        <w:shd w:val="clear" w:color="auto" w:fill="DEEAF6" w:themeFill="accent1" w:themeFillTint="33"/>
        <w:rPr>
          <w:sz w:val="22"/>
          <w:szCs w:val="22"/>
        </w:rPr>
      </w:pPr>
      <w:r w:rsidRPr="002F46E5">
        <w:rPr>
          <w:sz w:val="22"/>
          <w:szCs w:val="22"/>
        </w:rPr>
        <w:t>„Stellen Sie sich Vergangenheit, Gegenwart und Zukunft als</w:t>
      </w:r>
      <w:r w:rsidRPr="002F46E5">
        <w:rPr>
          <w:spacing w:val="-1"/>
          <w:sz w:val="22"/>
          <w:szCs w:val="22"/>
        </w:rPr>
        <w:t xml:space="preserve"> </w:t>
      </w:r>
      <w:r w:rsidRPr="002F46E5">
        <w:rPr>
          <w:sz w:val="22"/>
          <w:szCs w:val="22"/>
        </w:rPr>
        <w:t>Kreise vor. Zeichnen Sie bitte</w:t>
      </w:r>
      <w:r w:rsidRPr="002F46E5">
        <w:rPr>
          <w:spacing w:val="40"/>
          <w:sz w:val="22"/>
          <w:szCs w:val="22"/>
        </w:rPr>
        <w:t xml:space="preserve"> </w:t>
      </w:r>
      <w:r w:rsidRPr="002F46E5">
        <w:rPr>
          <w:sz w:val="22"/>
          <w:szCs w:val="22"/>
        </w:rPr>
        <w:t>in den vorgesehenen Rahmen drei Kreise, die für Vergangenheit, Gegenwart und Zukunft</w:t>
      </w:r>
      <w:r w:rsidRPr="002F46E5">
        <w:rPr>
          <w:spacing w:val="40"/>
          <w:sz w:val="22"/>
          <w:szCs w:val="22"/>
        </w:rPr>
        <w:t xml:space="preserve"> </w:t>
      </w:r>
      <w:r w:rsidRPr="002F46E5">
        <w:rPr>
          <w:sz w:val="22"/>
          <w:szCs w:val="22"/>
        </w:rPr>
        <w:t>stehen sollen. Ordnen Sie diese Kreise nach eigenem Belieben so an, dass sie am besten</w:t>
      </w:r>
      <w:r w:rsidRPr="002F46E5">
        <w:rPr>
          <w:spacing w:val="40"/>
          <w:sz w:val="22"/>
          <w:szCs w:val="22"/>
        </w:rPr>
        <w:t xml:space="preserve"> </w:t>
      </w:r>
      <w:r w:rsidRPr="002F46E5">
        <w:rPr>
          <w:sz w:val="22"/>
          <w:szCs w:val="22"/>
        </w:rPr>
        <w:t>zeigen,</w:t>
      </w:r>
      <w:r w:rsidRPr="002F46E5">
        <w:rPr>
          <w:spacing w:val="-10"/>
          <w:sz w:val="22"/>
          <w:szCs w:val="22"/>
        </w:rPr>
        <w:t xml:space="preserve"> </w:t>
      </w:r>
      <w:r w:rsidRPr="002F46E5">
        <w:rPr>
          <w:sz w:val="22"/>
          <w:szCs w:val="22"/>
        </w:rPr>
        <w:t>wie</w:t>
      </w:r>
      <w:r w:rsidRPr="002F46E5">
        <w:rPr>
          <w:spacing w:val="-10"/>
          <w:sz w:val="22"/>
          <w:szCs w:val="22"/>
        </w:rPr>
        <w:t xml:space="preserve"> </w:t>
      </w:r>
      <w:r w:rsidRPr="002F46E5">
        <w:rPr>
          <w:sz w:val="22"/>
          <w:szCs w:val="22"/>
        </w:rPr>
        <w:t>Sie</w:t>
      </w:r>
      <w:r w:rsidRPr="002F46E5">
        <w:rPr>
          <w:spacing w:val="-9"/>
          <w:sz w:val="22"/>
          <w:szCs w:val="22"/>
        </w:rPr>
        <w:t xml:space="preserve"> </w:t>
      </w:r>
      <w:r w:rsidRPr="002F46E5">
        <w:rPr>
          <w:sz w:val="22"/>
          <w:szCs w:val="22"/>
        </w:rPr>
        <w:t>sich</w:t>
      </w:r>
      <w:r w:rsidRPr="002F46E5">
        <w:rPr>
          <w:spacing w:val="-9"/>
          <w:sz w:val="22"/>
          <w:szCs w:val="22"/>
        </w:rPr>
        <w:t xml:space="preserve"> </w:t>
      </w:r>
      <w:r w:rsidRPr="002F46E5">
        <w:rPr>
          <w:sz w:val="22"/>
          <w:szCs w:val="22"/>
        </w:rPr>
        <w:t>die</w:t>
      </w:r>
      <w:r w:rsidRPr="002F46E5">
        <w:rPr>
          <w:spacing w:val="-9"/>
          <w:sz w:val="22"/>
          <w:szCs w:val="22"/>
        </w:rPr>
        <w:t xml:space="preserve"> </w:t>
      </w:r>
      <w:r w:rsidRPr="002F46E5">
        <w:rPr>
          <w:sz w:val="22"/>
          <w:szCs w:val="22"/>
        </w:rPr>
        <w:t>Verbindung</w:t>
      </w:r>
      <w:r w:rsidRPr="002F46E5">
        <w:rPr>
          <w:spacing w:val="-10"/>
          <w:sz w:val="22"/>
          <w:szCs w:val="22"/>
        </w:rPr>
        <w:t xml:space="preserve"> </w:t>
      </w:r>
      <w:r w:rsidRPr="002F46E5">
        <w:rPr>
          <w:sz w:val="22"/>
          <w:szCs w:val="22"/>
        </w:rPr>
        <w:t>von</w:t>
      </w:r>
      <w:r w:rsidRPr="002F46E5">
        <w:rPr>
          <w:spacing w:val="-9"/>
          <w:sz w:val="22"/>
          <w:szCs w:val="22"/>
        </w:rPr>
        <w:t xml:space="preserve"> </w:t>
      </w:r>
      <w:r w:rsidRPr="002F46E5">
        <w:rPr>
          <w:sz w:val="22"/>
          <w:szCs w:val="22"/>
        </w:rPr>
        <w:t>Vergangenheit,</w:t>
      </w:r>
      <w:r w:rsidRPr="002F46E5">
        <w:rPr>
          <w:spacing w:val="-9"/>
          <w:sz w:val="22"/>
          <w:szCs w:val="22"/>
        </w:rPr>
        <w:t xml:space="preserve"> </w:t>
      </w:r>
      <w:r w:rsidRPr="002F46E5">
        <w:rPr>
          <w:sz w:val="22"/>
          <w:szCs w:val="22"/>
        </w:rPr>
        <w:t>Gegenwart</w:t>
      </w:r>
      <w:r w:rsidRPr="002F46E5">
        <w:rPr>
          <w:spacing w:val="-10"/>
          <w:sz w:val="22"/>
          <w:szCs w:val="22"/>
        </w:rPr>
        <w:t xml:space="preserve"> </w:t>
      </w:r>
      <w:r w:rsidRPr="002F46E5">
        <w:rPr>
          <w:sz w:val="22"/>
          <w:szCs w:val="22"/>
        </w:rPr>
        <w:t>und</w:t>
      </w:r>
      <w:r w:rsidRPr="002F46E5">
        <w:rPr>
          <w:spacing w:val="-9"/>
          <w:sz w:val="22"/>
          <w:szCs w:val="22"/>
        </w:rPr>
        <w:t xml:space="preserve"> </w:t>
      </w:r>
      <w:r w:rsidRPr="002F46E5">
        <w:rPr>
          <w:sz w:val="22"/>
          <w:szCs w:val="22"/>
        </w:rPr>
        <w:t>Zukunft</w:t>
      </w:r>
      <w:r w:rsidRPr="002F46E5">
        <w:rPr>
          <w:spacing w:val="-10"/>
          <w:sz w:val="22"/>
          <w:szCs w:val="22"/>
        </w:rPr>
        <w:t xml:space="preserve"> </w:t>
      </w:r>
      <w:r w:rsidRPr="002F46E5">
        <w:rPr>
          <w:sz w:val="22"/>
          <w:szCs w:val="22"/>
        </w:rPr>
        <w:t>denken.</w:t>
      </w:r>
      <w:r w:rsidRPr="002F46E5">
        <w:rPr>
          <w:spacing w:val="-9"/>
          <w:sz w:val="22"/>
          <w:szCs w:val="22"/>
        </w:rPr>
        <w:t xml:space="preserve"> </w:t>
      </w:r>
      <w:r w:rsidRPr="002F46E5">
        <w:rPr>
          <w:sz w:val="22"/>
          <w:szCs w:val="22"/>
        </w:rPr>
        <w:t>Sie</w:t>
      </w:r>
      <w:r w:rsidRPr="002F46E5">
        <w:rPr>
          <w:spacing w:val="40"/>
          <w:sz w:val="22"/>
          <w:szCs w:val="22"/>
        </w:rPr>
        <w:t xml:space="preserve"> </w:t>
      </w:r>
      <w:r w:rsidRPr="002F46E5">
        <w:rPr>
          <w:sz w:val="22"/>
          <w:szCs w:val="22"/>
        </w:rPr>
        <w:t>dürfen dabei verschieden große Kreise verwenden“ (Trompenaars 1993, S.165).</w:t>
      </w:r>
    </w:p>
    <w:p w14:paraId="14D161F0" w14:textId="77777777" w:rsidR="002F46E5" w:rsidRDefault="002F46E5" w:rsidP="00A67B23">
      <w:pPr>
        <w:pStyle w:val="StandardText"/>
      </w:pPr>
    </w:p>
    <w:p w14:paraId="3FA6E3FE" w14:textId="77777777" w:rsidR="00FF7799" w:rsidRPr="00E73F6F" w:rsidRDefault="00FF7799" w:rsidP="00A67B23">
      <w:pPr>
        <w:pStyle w:val="StandardText"/>
      </w:pPr>
      <w:r w:rsidRPr="00E73F6F">
        <w:t>In</w:t>
      </w:r>
      <w:r w:rsidRPr="00E73F6F">
        <w:rPr>
          <w:spacing w:val="80"/>
        </w:rPr>
        <w:t xml:space="preserve"> </w:t>
      </w:r>
      <w:r w:rsidRPr="00E73F6F">
        <w:t>Abb.</w:t>
      </w:r>
      <w:r w:rsidRPr="00E73F6F">
        <w:rPr>
          <w:spacing w:val="80"/>
        </w:rPr>
        <w:t xml:space="preserve"> </w:t>
      </w:r>
      <w:r w:rsidR="002F46E5">
        <w:t>2</w:t>
      </w:r>
      <w:r w:rsidRPr="00E73F6F">
        <w:rPr>
          <w:spacing w:val="80"/>
        </w:rPr>
        <w:t xml:space="preserve"> </w:t>
      </w:r>
      <w:r w:rsidRPr="00E73F6F">
        <w:t>sind</w:t>
      </w:r>
      <w:r w:rsidRPr="00E73F6F">
        <w:rPr>
          <w:spacing w:val="80"/>
        </w:rPr>
        <w:t xml:space="preserve"> </w:t>
      </w:r>
      <w:r w:rsidRPr="00E73F6F">
        <w:t>drei</w:t>
      </w:r>
      <w:r w:rsidRPr="00E73F6F">
        <w:rPr>
          <w:spacing w:val="80"/>
        </w:rPr>
        <w:t xml:space="preserve"> </w:t>
      </w:r>
      <w:r w:rsidRPr="00E73F6F">
        <w:t>Konstellationen</w:t>
      </w:r>
      <w:r w:rsidRPr="00E73F6F">
        <w:rPr>
          <w:spacing w:val="80"/>
        </w:rPr>
        <w:t xml:space="preserve"> </w:t>
      </w:r>
      <w:r w:rsidRPr="00E73F6F">
        <w:t>zu</w:t>
      </w:r>
      <w:r w:rsidRPr="00E73F6F">
        <w:rPr>
          <w:spacing w:val="80"/>
        </w:rPr>
        <w:t xml:space="preserve"> </w:t>
      </w:r>
      <w:r w:rsidRPr="00E73F6F">
        <w:t>erkennen,</w:t>
      </w:r>
      <w:r w:rsidRPr="00E73F6F">
        <w:rPr>
          <w:spacing w:val="80"/>
        </w:rPr>
        <w:t xml:space="preserve"> </w:t>
      </w:r>
      <w:r w:rsidRPr="00E73F6F">
        <w:t>die</w:t>
      </w:r>
      <w:r w:rsidRPr="00E73F6F">
        <w:rPr>
          <w:spacing w:val="80"/>
        </w:rPr>
        <w:t xml:space="preserve"> </w:t>
      </w:r>
      <w:r w:rsidRPr="00E73F6F">
        <w:t>sich</w:t>
      </w:r>
      <w:r w:rsidRPr="00E73F6F">
        <w:rPr>
          <w:spacing w:val="80"/>
        </w:rPr>
        <w:t xml:space="preserve"> </w:t>
      </w:r>
      <w:r w:rsidRPr="00E73F6F">
        <w:t>aus</w:t>
      </w:r>
      <w:r w:rsidRPr="00E73F6F">
        <w:rPr>
          <w:spacing w:val="80"/>
        </w:rPr>
        <w:t xml:space="preserve"> </w:t>
      </w:r>
      <w:r w:rsidRPr="00E73F6F">
        <w:t>dieser Versuchsanordnung ergeben haben (Allerdings bleibt unklar, wie Größe, Position und Abstände der Zeitzonen ermittelt wurden):</w:t>
      </w:r>
    </w:p>
    <w:p w14:paraId="00855CC5" w14:textId="77777777" w:rsidR="00FF7799" w:rsidRPr="00E73F6F" w:rsidRDefault="00FF7799" w:rsidP="00700F23">
      <w:pPr>
        <w:pStyle w:val="StandardTextAufzhlung"/>
        <w:ind w:left="567"/>
      </w:pPr>
      <w:r w:rsidRPr="00E73F6F">
        <w:t>Fehlen</w:t>
      </w:r>
      <w:r w:rsidRPr="00E73F6F">
        <w:rPr>
          <w:spacing w:val="-4"/>
        </w:rPr>
        <w:t xml:space="preserve"> </w:t>
      </w:r>
      <w:r w:rsidRPr="00E73F6F">
        <w:t>von</w:t>
      </w:r>
      <w:r w:rsidRPr="00E73F6F">
        <w:rPr>
          <w:spacing w:val="-2"/>
        </w:rPr>
        <w:t xml:space="preserve"> </w:t>
      </w:r>
      <w:r w:rsidRPr="00E73F6F">
        <w:t>Wechselbeziehungen</w:t>
      </w:r>
      <w:r w:rsidRPr="00E73F6F">
        <w:rPr>
          <w:spacing w:val="-3"/>
        </w:rPr>
        <w:t xml:space="preserve"> </w:t>
      </w:r>
      <w:r w:rsidRPr="00E73F6F">
        <w:t>(z.B.</w:t>
      </w:r>
      <w:r w:rsidRPr="00E73F6F">
        <w:rPr>
          <w:spacing w:val="-2"/>
        </w:rPr>
        <w:t xml:space="preserve"> Russland),</w:t>
      </w:r>
    </w:p>
    <w:p w14:paraId="1744AEB6" w14:textId="77777777" w:rsidR="00FF7799" w:rsidRPr="00E73F6F" w:rsidRDefault="00FF7799" w:rsidP="00700F23">
      <w:pPr>
        <w:pStyle w:val="StandardTextAufzhlung"/>
        <w:ind w:left="567"/>
      </w:pPr>
      <w:r w:rsidRPr="00E73F6F">
        <w:t>Überlappen</w:t>
      </w:r>
      <w:r w:rsidRPr="00E73F6F">
        <w:rPr>
          <w:spacing w:val="-2"/>
        </w:rPr>
        <w:t xml:space="preserve"> </w:t>
      </w:r>
      <w:r w:rsidRPr="00E73F6F">
        <w:t>der</w:t>
      </w:r>
      <w:r w:rsidRPr="00E73F6F">
        <w:rPr>
          <w:spacing w:val="-2"/>
        </w:rPr>
        <w:t xml:space="preserve"> </w:t>
      </w:r>
      <w:r w:rsidRPr="00E73F6F">
        <w:t>Zeitzonen (z.B.</w:t>
      </w:r>
      <w:r w:rsidRPr="00E73F6F">
        <w:rPr>
          <w:spacing w:val="-4"/>
        </w:rPr>
        <w:t xml:space="preserve"> </w:t>
      </w:r>
      <w:r w:rsidRPr="00E73F6F">
        <w:rPr>
          <w:spacing w:val="-2"/>
        </w:rPr>
        <w:t>Malaysia),</w:t>
      </w:r>
    </w:p>
    <w:p w14:paraId="40EF37FD" w14:textId="77777777" w:rsidR="00FF7799" w:rsidRPr="00E73F6F" w:rsidRDefault="00FF7799" w:rsidP="00700F23">
      <w:pPr>
        <w:pStyle w:val="StandardTextAufzhlung"/>
        <w:ind w:left="567"/>
      </w:pPr>
      <w:r w:rsidRPr="00E73F6F">
        <w:t>überschneidungsfreie</w:t>
      </w:r>
      <w:r w:rsidRPr="00E73F6F">
        <w:rPr>
          <w:spacing w:val="-2"/>
        </w:rPr>
        <w:t xml:space="preserve"> </w:t>
      </w:r>
      <w:r w:rsidRPr="00E73F6F">
        <w:t>Zonen</w:t>
      </w:r>
      <w:r w:rsidRPr="00E73F6F">
        <w:rPr>
          <w:spacing w:val="-2"/>
        </w:rPr>
        <w:t xml:space="preserve"> </w:t>
      </w:r>
      <w:r w:rsidRPr="00E73F6F">
        <w:t>(z.B.</w:t>
      </w:r>
      <w:r w:rsidRPr="00E73F6F">
        <w:rPr>
          <w:spacing w:val="-4"/>
        </w:rPr>
        <w:t xml:space="preserve"> </w:t>
      </w:r>
      <w:r w:rsidRPr="00E73F6F">
        <w:rPr>
          <w:spacing w:val="-2"/>
        </w:rPr>
        <w:t>Belgien).</w:t>
      </w:r>
    </w:p>
    <w:p w14:paraId="3443A8E9" w14:textId="77777777" w:rsidR="00FF7799" w:rsidRPr="00E73F6F" w:rsidRDefault="00FF7799" w:rsidP="005F3BAD">
      <w:pPr>
        <w:pStyle w:val="Listenabsatz"/>
        <w:tabs>
          <w:tab w:val="left" w:pos="955"/>
        </w:tabs>
        <w:ind w:left="0" w:firstLine="0"/>
        <w:jc w:val="right"/>
        <w:rPr>
          <w:sz w:val="24"/>
          <w:szCs w:val="24"/>
        </w:rPr>
      </w:pPr>
    </w:p>
    <w:p w14:paraId="22B3B316" w14:textId="77777777" w:rsidR="00FF7799" w:rsidRPr="00C76DC3" w:rsidRDefault="00FF7799" w:rsidP="005F3BAD">
      <w:pPr>
        <w:pStyle w:val="BeschriftungTab"/>
        <w:rPr>
          <w:i/>
          <w:iCs/>
        </w:rPr>
      </w:pPr>
      <w:r w:rsidRPr="00C76DC3">
        <w:rPr>
          <w:i/>
          <w:iCs/>
        </w:rPr>
        <w:t>Abb.</w:t>
      </w:r>
      <w:r w:rsidRPr="00C76DC3">
        <w:rPr>
          <w:i/>
          <w:iCs/>
          <w:spacing w:val="-3"/>
        </w:rPr>
        <w:t xml:space="preserve"> </w:t>
      </w:r>
      <w:r w:rsidR="002F46E5" w:rsidRPr="00C76DC3">
        <w:rPr>
          <w:i/>
          <w:iCs/>
        </w:rPr>
        <w:t>2</w:t>
      </w:r>
      <w:r w:rsidRPr="00C76DC3">
        <w:rPr>
          <w:i/>
          <w:iCs/>
        </w:rPr>
        <w:t>:</w:t>
      </w:r>
      <w:r w:rsidRPr="00C76DC3">
        <w:rPr>
          <w:i/>
          <w:iCs/>
          <w:spacing w:val="-3"/>
        </w:rPr>
        <w:t xml:space="preserve"> </w:t>
      </w:r>
      <w:r w:rsidRPr="00C76DC3">
        <w:rPr>
          <w:i/>
          <w:iCs/>
        </w:rPr>
        <w:t>Zeitstruktur</w:t>
      </w:r>
      <w:r w:rsidRPr="00C76DC3">
        <w:rPr>
          <w:i/>
          <w:iCs/>
          <w:spacing w:val="-3"/>
        </w:rPr>
        <w:t xml:space="preserve"> </w:t>
      </w:r>
      <w:r w:rsidRPr="00C76DC3">
        <w:rPr>
          <w:i/>
          <w:iCs/>
        </w:rPr>
        <w:t>in</w:t>
      </w:r>
      <w:r w:rsidRPr="00C76DC3">
        <w:rPr>
          <w:i/>
          <w:iCs/>
          <w:spacing w:val="-2"/>
        </w:rPr>
        <w:t xml:space="preserve"> </w:t>
      </w:r>
      <w:r w:rsidRPr="00C76DC3">
        <w:rPr>
          <w:i/>
          <w:iCs/>
        </w:rPr>
        <w:t>ausgewählten</w:t>
      </w:r>
      <w:r w:rsidRPr="00C76DC3">
        <w:rPr>
          <w:i/>
          <w:iCs/>
          <w:spacing w:val="1"/>
        </w:rPr>
        <w:t xml:space="preserve"> </w:t>
      </w:r>
      <w:r w:rsidRPr="00C76DC3">
        <w:rPr>
          <w:i/>
          <w:iCs/>
          <w:spacing w:val="-2"/>
        </w:rPr>
        <w:t>Ländern</w:t>
      </w:r>
    </w:p>
    <w:tbl>
      <w:tblPr>
        <w:tblStyle w:val="TableNormal"/>
        <w:tblW w:w="0" w:type="auto"/>
        <w:tblBorders>
          <w:top w:val="single" w:sz="6" w:space="0" w:color="000000"/>
          <w:bottom w:val="single" w:sz="6" w:space="0" w:color="000000"/>
          <w:insideH w:val="single" w:sz="6" w:space="0" w:color="000000"/>
        </w:tblBorders>
        <w:tblLayout w:type="fixed"/>
        <w:tblLook w:val="01E0" w:firstRow="1" w:lastRow="1" w:firstColumn="1" w:lastColumn="1" w:noHBand="0" w:noVBand="0"/>
      </w:tblPr>
      <w:tblGrid>
        <w:gridCol w:w="4599"/>
        <w:gridCol w:w="4324"/>
      </w:tblGrid>
      <w:tr w:rsidR="00FF7799" w:rsidRPr="00E73F6F" w14:paraId="630B1A84" w14:textId="77777777" w:rsidTr="00A67B23">
        <w:trPr>
          <w:trHeight w:val="984"/>
        </w:trPr>
        <w:tc>
          <w:tcPr>
            <w:tcW w:w="4599" w:type="dxa"/>
          </w:tcPr>
          <w:p w14:paraId="62EA0E8F" w14:textId="77777777" w:rsidR="00FF7799" w:rsidRPr="00E73F6F" w:rsidRDefault="00FF7799" w:rsidP="00862DBA">
            <w:pPr>
              <w:rPr>
                <w:i/>
                <w:sz w:val="24"/>
                <w:szCs w:val="24"/>
                <w:lang w:val="de-DE"/>
              </w:rPr>
            </w:pPr>
          </w:p>
          <w:p w14:paraId="483D6D4C" w14:textId="77777777" w:rsidR="00FF7799" w:rsidRPr="00E73F6F" w:rsidRDefault="00FF7799" w:rsidP="00862DBA">
            <w:pPr>
              <w:spacing w:before="115"/>
              <w:rPr>
                <w:sz w:val="24"/>
                <w:szCs w:val="24"/>
                <w:lang w:val="de-DE"/>
              </w:rPr>
            </w:pPr>
            <w:r w:rsidRPr="00E73F6F">
              <w:rPr>
                <w:noProof/>
                <w:sz w:val="24"/>
                <w:szCs w:val="24"/>
                <w:lang w:eastAsia="de-DE"/>
              </w:rPr>
              <mc:AlternateContent>
                <mc:Choice Requires="wpg">
                  <w:drawing>
                    <wp:anchor distT="0" distB="0" distL="0" distR="0" simplePos="0" relativeHeight="251966464" behindDoc="1" locked="0" layoutInCell="1" allowOverlap="1" wp14:anchorId="3FBF21CB" wp14:editId="22804FD9">
                      <wp:simplePos x="0" y="0"/>
                      <wp:positionH relativeFrom="column">
                        <wp:posOffset>880310</wp:posOffset>
                      </wp:positionH>
                      <wp:positionV relativeFrom="paragraph">
                        <wp:posOffset>-48791</wp:posOffset>
                      </wp:positionV>
                      <wp:extent cx="784225" cy="379095"/>
                      <wp:effectExtent l="0" t="0" r="0" b="0"/>
                      <wp:wrapNone/>
                      <wp:docPr id="1114" name="Group 13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84225" cy="379095"/>
                                <a:chOff x="0" y="0"/>
                                <a:chExt cx="784225" cy="379095"/>
                              </a:xfrm>
                            </wpg:grpSpPr>
                            <wps:wsp>
                              <wps:cNvPr id="1115" name="Graphic 1369"/>
                              <wps:cNvSpPr/>
                              <wps:spPr>
                                <a:xfrm>
                                  <a:off x="166882" y="3292"/>
                                  <a:ext cx="361315" cy="372745"/>
                                </a:xfrm>
                                <a:custGeom>
                                  <a:avLst/>
                                  <a:gdLst/>
                                  <a:ahLst/>
                                  <a:cxnLst/>
                                  <a:rect l="l" t="t" r="r" b="b"/>
                                  <a:pathLst>
                                    <a:path w="361315" h="372745">
                                      <a:moveTo>
                                        <a:pt x="180080" y="0"/>
                                      </a:moveTo>
                                      <a:lnTo>
                                        <a:pt x="171320" y="0"/>
                                      </a:lnTo>
                                      <a:lnTo>
                                        <a:pt x="161657" y="1082"/>
                                      </a:lnTo>
                                      <a:lnTo>
                                        <a:pt x="152806" y="2165"/>
                                      </a:lnTo>
                                      <a:lnTo>
                                        <a:pt x="144227" y="4331"/>
                                      </a:lnTo>
                                      <a:lnTo>
                                        <a:pt x="135466" y="6588"/>
                                      </a:lnTo>
                                      <a:lnTo>
                                        <a:pt x="126887" y="8754"/>
                                      </a:lnTo>
                                      <a:lnTo>
                                        <a:pt x="118127" y="12003"/>
                                      </a:lnTo>
                                      <a:lnTo>
                                        <a:pt x="109547" y="15071"/>
                                      </a:lnTo>
                                      <a:lnTo>
                                        <a:pt x="101871" y="18410"/>
                                      </a:lnTo>
                                      <a:lnTo>
                                        <a:pt x="94465" y="22742"/>
                                      </a:lnTo>
                                      <a:lnTo>
                                        <a:pt x="86698" y="27164"/>
                                      </a:lnTo>
                                      <a:lnTo>
                                        <a:pt x="79293" y="31587"/>
                                      </a:lnTo>
                                      <a:lnTo>
                                        <a:pt x="71616" y="36821"/>
                                      </a:lnTo>
                                      <a:lnTo>
                                        <a:pt x="65024" y="42236"/>
                                      </a:lnTo>
                                      <a:lnTo>
                                        <a:pt x="58612" y="48824"/>
                                      </a:lnTo>
                                      <a:lnTo>
                                        <a:pt x="52019" y="54329"/>
                                      </a:lnTo>
                                      <a:lnTo>
                                        <a:pt x="26099" y="90068"/>
                                      </a:lnTo>
                                      <a:lnTo>
                                        <a:pt x="21765" y="97739"/>
                                      </a:lnTo>
                                      <a:lnTo>
                                        <a:pt x="17339" y="105410"/>
                                      </a:lnTo>
                                      <a:lnTo>
                                        <a:pt x="14088" y="113894"/>
                                      </a:lnTo>
                                      <a:lnTo>
                                        <a:pt x="11017" y="122648"/>
                                      </a:lnTo>
                                      <a:lnTo>
                                        <a:pt x="7676" y="131222"/>
                                      </a:lnTo>
                                      <a:lnTo>
                                        <a:pt x="5508" y="139976"/>
                                      </a:lnTo>
                                      <a:lnTo>
                                        <a:pt x="3251" y="148730"/>
                                      </a:lnTo>
                                      <a:lnTo>
                                        <a:pt x="1083" y="157304"/>
                                      </a:lnTo>
                                      <a:lnTo>
                                        <a:pt x="0" y="167141"/>
                                      </a:lnTo>
                                      <a:lnTo>
                                        <a:pt x="0" y="176797"/>
                                      </a:lnTo>
                                      <a:lnTo>
                                        <a:pt x="0" y="185552"/>
                                      </a:lnTo>
                                      <a:lnTo>
                                        <a:pt x="0" y="195479"/>
                                      </a:lnTo>
                                      <a:lnTo>
                                        <a:pt x="0" y="205045"/>
                                      </a:lnTo>
                                      <a:lnTo>
                                        <a:pt x="1083" y="214973"/>
                                      </a:lnTo>
                                      <a:lnTo>
                                        <a:pt x="3251" y="223456"/>
                                      </a:lnTo>
                                      <a:lnTo>
                                        <a:pt x="5508" y="232210"/>
                                      </a:lnTo>
                                      <a:lnTo>
                                        <a:pt x="7676" y="241055"/>
                                      </a:lnTo>
                                      <a:lnTo>
                                        <a:pt x="11017" y="249538"/>
                                      </a:lnTo>
                                      <a:lnTo>
                                        <a:pt x="14088" y="258292"/>
                                      </a:lnTo>
                                      <a:lnTo>
                                        <a:pt x="17339" y="267046"/>
                                      </a:lnTo>
                                      <a:lnTo>
                                        <a:pt x="21765" y="274537"/>
                                      </a:lnTo>
                                      <a:lnTo>
                                        <a:pt x="26099" y="282208"/>
                                      </a:lnTo>
                                      <a:lnTo>
                                        <a:pt x="30344" y="289879"/>
                                      </a:lnTo>
                                      <a:lnTo>
                                        <a:pt x="35763" y="297280"/>
                                      </a:lnTo>
                                      <a:lnTo>
                                        <a:pt x="41272" y="303868"/>
                                      </a:lnTo>
                                      <a:lnTo>
                                        <a:pt x="46510" y="311539"/>
                                      </a:lnTo>
                                      <a:lnTo>
                                        <a:pt x="52019" y="317947"/>
                                      </a:lnTo>
                                      <a:lnTo>
                                        <a:pt x="58612" y="323362"/>
                                      </a:lnTo>
                                      <a:lnTo>
                                        <a:pt x="65024" y="329950"/>
                                      </a:lnTo>
                                      <a:lnTo>
                                        <a:pt x="71616" y="335455"/>
                                      </a:lnTo>
                                      <a:lnTo>
                                        <a:pt x="79293" y="340690"/>
                                      </a:lnTo>
                                      <a:lnTo>
                                        <a:pt x="86698" y="345112"/>
                                      </a:lnTo>
                                      <a:lnTo>
                                        <a:pt x="94465" y="349444"/>
                                      </a:lnTo>
                                      <a:lnTo>
                                        <a:pt x="101871" y="353866"/>
                                      </a:lnTo>
                                      <a:lnTo>
                                        <a:pt x="109547" y="357115"/>
                                      </a:lnTo>
                                      <a:lnTo>
                                        <a:pt x="118127" y="360183"/>
                                      </a:lnTo>
                                      <a:lnTo>
                                        <a:pt x="126887" y="363523"/>
                                      </a:lnTo>
                                      <a:lnTo>
                                        <a:pt x="135466" y="365689"/>
                                      </a:lnTo>
                                      <a:lnTo>
                                        <a:pt x="144227" y="367855"/>
                                      </a:lnTo>
                                      <a:lnTo>
                                        <a:pt x="152806" y="370111"/>
                                      </a:lnTo>
                                      <a:lnTo>
                                        <a:pt x="161657" y="371194"/>
                                      </a:lnTo>
                                      <a:lnTo>
                                        <a:pt x="171320" y="372277"/>
                                      </a:lnTo>
                                      <a:lnTo>
                                        <a:pt x="180080" y="372277"/>
                                      </a:lnTo>
                                      <a:lnTo>
                                        <a:pt x="189744" y="372277"/>
                                      </a:lnTo>
                                      <a:lnTo>
                                        <a:pt x="198504" y="371194"/>
                                      </a:lnTo>
                                      <a:lnTo>
                                        <a:pt x="208167" y="370111"/>
                                      </a:lnTo>
                                      <a:lnTo>
                                        <a:pt x="216927" y="367855"/>
                                      </a:lnTo>
                                      <a:lnTo>
                                        <a:pt x="225507" y="365689"/>
                                      </a:lnTo>
                                      <a:lnTo>
                                        <a:pt x="234267" y="363523"/>
                                      </a:lnTo>
                                      <a:lnTo>
                                        <a:pt x="242847" y="360183"/>
                                      </a:lnTo>
                                      <a:lnTo>
                                        <a:pt x="280868" y="340690"/>
                                      </a:lnTo>
                                      <a:lnTo>
                                        <a:pt x="301459" y="323362"/>
                                      </a:lnTo>
                                      <a:lnTo>
                                        <a:pt x="307871" y="317947"/>
                                      </a:lnTo>
                                      <a:lnTo>
                                        <a:pt x="314464" y="311539"/>
                                      </a:lnTo>
                                      <a:lnTo>
                                        <a:pt x="319973" y="303868"/>
                                      </a:lnTo>
                                      <a:lnTo>
                                        <a:pt x="325211" y="297280"/>
                                      </a:lnTo>
                                      <a:lnTo>
                                        <a:pt x="329636" y="289879"/>
                                      </a:lnTo>
                                      <a:lnTo>
                                        <a:pt x="335055" y="282208"/>
                                      </a:lnTo>
                                      <a:lnTo>
                                        <a:pt x="339480" y="274537"/>
                                      </a:lnTo>
                                      <a:lnTo>
                                        <a:pt x="342550" y="267046"/>
                                      </a:lnTo>
                                      <a:lnTo>
                                        <a:pt x="346976" y="258292"/>
                                      </a:lnTo>
                                      <a:lnTo>
                                        <a:pt x="350227" y="249538"/>
                                      </a:lnTo>
                                      <a:lnTo>
                                        <a:pt x="352394" y="241055"/>
                                      </a:lnTo>
                                      <a:lnTo>
                                        <a:pt x="355736" y="232210"/>
                                      </a:lnTo>
                                      <a:lnTo>
                                        <a:pt x="357723" y="223456"/>
                                      </a:lnTo>
                                      <a:lnTo>
                                        <a:pt x="358806" y="214973"/>
                                      </a:lnTo>
                                      <a:lnTo>
                                        <a:pt x="359890" y="205045"/>
                                      </a:lnTo>
                                      <a:lnTo>
                                        <a:pt x="360974" y="195479"/>
                                      </a:lnTo>
                                      <a:lnTo>
                                        <a:pt x="360974" y="185552"/>
                                      </a:lnTo>
                                      <a:lnTo>
                                        <a:pt x="360974" y="176797"/>
                                      </a:lnTo>
                                      <a:lnTo>
                                        <a:pt x="359890" y="167141"/>
                                      </a:lnTo>
                                      <a:lnTo>
                                        <a:pt x="358806" y="157304"/>
                                      </a:lnTo>
                                      <a:lnTo>
                                        <a:pt x="357723" y="148730"/>
                                      </a:lnTo>
                                      <a:lnTo>
                                        <a:pt x="355736" y="139976"/>
                                      </a:lnTo>
                                      <a:lnTo>
                                        <a:pt x="352394" y="131222"/>
                                      </a:lnTo>
                                      <a:lnTo>
                                        <a:pt x="350227" y="122648"/>
                                      </a:lnTo>
                                      <a:lnTo>
                                        <a:pt x="346976" y="113894"/>
                                      </a:lnTo>
                                      <a:lnTo>
                                        <a:pt x="342550" y="105410"/>
                                      </a:lnTo>
                                      <a:lnTo>
                                        <a:pt x="339480" y="97739"/>
                                      </a:lnTo>
                                      <a:lnTo>
                                        <a:pt x="335055" y="90068"/>
                                      </a:lnTo>
                                      <a:lnTo>
                                        <a:pt x="329636" y="82577"/>
                                      </a:lnTo>
                                      <a:lnTo>
                                        <a:pt x="325211" y="74906"/>
                                      </a:lnTo>
                                      <a:lnTo>
                                        <a:pt x="319973" y="67235"/>
                                      </a:lnTo>
                                      <a:lnTo>
                                        <a:pt x="314464" y="60647"/>
                                      </a:lnTo>
                                      <a:lnTo>
                                        <a:pt x="307871" y="54329"/>
                                      </a:lnTo>
                                      <a:lnTo>
                                        <a:pt x="301459" y="48824"/>
                                      </a:lnTo>
                                      <a:lnTo>
                                        <a:pt x="294866" y="42236"/>
                                      </a:lnTo>
                                      <a:lnTo>
                                        <a:pt x="258019" y="18410"/>
                                      </a:lnTo>
                                      <a:lnTo>
                                        <a:pt x="225507" y="6588"/>
                                      </a:lnTo>
                                      <a:lnTo>
                                        <a:pt x="216927" y="4331"/>
                                      </a:lnTo>
                                      <a:lnTo>
                                        <a:pt x="208167" y="2165"/>
                                      </a:lnTo>
                                      <a:lnTo>
                                        <a:pt x="198504" y="1082"/>
                                      </a:lnTo>
                                      <a:lnTo>
                                        <a:pt x="189744" y="0"/>
                                      </a:lnTo>
                                      <a:lnTo>
                                        <a:pt x="180080"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116" name="Image 1370"/>
                                <pic:cNvPicPr/>
                              </pic:nvPicPr>
                              <pic:blipFill>
                                <a:blip r:embed="rId105" cstate="print"/>
                                <a:stretch>
                                  <a:fillRect/>
                                </a:stretch>
                              </pic:blipFill>
                              <pic:spPr>
                                <a:xfrm>
                                  <a:off x="0" y="71657"/>
                                  <a:ext cx="234115" cy="235547"/>
                                </a:xfrm>
                                <a:prstGeom prst="rect">
                                  <a:avLst/>
                                </a:prstGeom>
                              </pic:spPr>
                            </pic:pic>
                            <wps:wsp>
                              <wps:cNvPr id="1117" name="Graphic 1371"/>
                              <wps:cNvSpPr/>
                              <wps:spPr>
                                <a:xfrm>
                                  <a:off x="166882" y="3292"/>
                                  <a:ext cx="614045" cy="372745"/>
                                </a:xfrm>
                                <a:custGeom>
                                  <a:avLst/>
                                  <a:gdLst/>
                                  <a:ahLst/>
                                  <a:cxnLst/>
                                  <a:rect l="l" t="t" r="r" b="b"/>
                                  <a:pathLst>
                                    <a:path w="614045" h="372745">
                                      <a:moveTo>
                                        <a:pt x="487952" y="59564"/>
                                      </a:moveTo>
                                      <a:lnTo>
                                        <a:pt x="481359" y="60647"/>
                                      </a:lnTo>
                                      <a:lnTo>
                                        <a:pt x="474947" y="60647"/>
                                      </a:lnTo>
                                      <a:lnTo>
                                        <a:pt x="468354" y="61820"/>
                                      </a:lnTo>
                                      <a:lnTo>
                                        <a:pt x="462845" y="62903"/>
                                      </a:lnTo>
                                      <a:lnTo>
                                        <a:pt x="456523" y="63986"/>
                                      </a:lnTo>
                                      <a:lnTo>
                                        <a:pt x="451014" y="66152"/>
                                      </a:lnTo>
                                      <a:lnTo>
                                        <a:pt x="407755" y="88985"/>
                                      </a:lnTo>
                                      <a:lnTo>
                                        <a:pt x="383823" y="116150"/>
                                      </a:lnTo>
                                      <a:lnTo>
                                        <a:pt x="377230" y="125987"/>
                                      </a:lnTo>
                                      <a:lnTo>
                                        <a:pt x="371992" y="136727"/>
                                      </a:lnTo>
                                      <a:lnTo>
                                        <a:pt x="369824" y="143315"/>
                                      </a:lnTo>
                                      <a:lnTo>
                                        <a:pt x="367567" y="148730"/>
                                      </a:lnTo>
                                      <a:lnTo>
                                        <a:pt x="366483" y="154055"/>
                                      </a:lnTo>
                                      <a:lnTo>
                                        <a:pt x="364315" y="160643"/>
                                      </a:lnTo>
                                      <a:lnTo>
                                        <a:pt x="363232" y="167141"/>
                                      </a:lnTo>
                                      <a:lnTo>
                                        <a:pt x="362058" y="173729"/>
                                      </a:lnTo>
                                      <a:lnTo>
                                        <a:pt x="362058" y="178963"/>
                                      </a:lnTo>
                                      <a:lnTo>
                                        <a:pt x="362058" y="185552"/>
                                      </a:lnTo>
                                      <a:lnTo>
                                        <a:pt x="362058" y="192140"/>
                                      </a:lnTo>
                                      <a:lnTo>
                                        <a:pt x="362058" y="198547"/>
                                      </a:lnTo>
                                      <a:lnTo>
                                        <a:pt x="363232" y="205045"/>
                                      </a:lnTo>
                                      <a:lnTo>
                                        <a:pt x="364315" y="211633"/>
                                      </a:lnTo>
                                      <a:lnTo>
                                        <a:pt x="366483" y="218222"/>
                                      </a:lnTo>
                                      <a:lnTo>
                                        <a:pt x="367567" y="223456"/>
                                      </a:lnTo>
                                      <a:lnTo>
                                        <a:pt x="369824" y="228961"/>
                                      </a:lnTo>
                                      <a:lnTo>
                                        <a:pt x="371992" y="235549"/>
                                      </a:lnTo>
                                      <a:lnTo>
                                        <a:pt x="377230" y="246289"/>
                                      </a:lnTo>
                                      <a:lnTo>
                                        <a:pt x="383823" y="256126"/>
                                      </a:lnTo>
                                      <a:lnTo>
                                        <a:pt x="390415" y="265963"/>
                                      </a:lnTo>
                                      <a:lnTo>
                                        <a:pt x="398995" y="275620"/>
                                      </a:lnTo>
                                      <a:lnTo>
                                        <a:pt x="439183" y="302785"/>
                                      </a:lnTo>
                                      <a:lnTo>
                                        <a:pt x="451014" y="306124"/>
                                      </a:lnTo>
                                      <a:lnTo>
                                        <a:pt x="456523" y="308290"/>
                                      </a:lnTo>
                                      <a:lnTo>
                                        <a:pt x="462845" y="309373"/>
                                      </a:lnTo>
                                      <a:lnTo>
                                        <a:pt x="468354" y="310456"/>
                                      </a:lnTo>
                                      <a:lnTo>
                                        <a:pt x="474947" y="311539"/>
                                      </a:lnTo>
                                      <a:lnTo>
                                        <a:pt x="481359" y="311539"/>
                                      </a:lnTo>
                                      <a:lnTo>
                                        <a:pt x="487952" y="312622"/>
                                      </a:lnTo>
                                      <a:lnTo>
                                        <a:pt x="494544" y="311539"/>
                                      </a:lnTo>
                                      <a:lnTo>
                                        <a:pt x="500866" y="311539"/>
                                      </a:lnTo>
                                      <a:lnTo>
                                        <a:pt x="507459" y="310456"/>
                                      </a:lnTo>
                                      <a:lnTo>
                                        <a:pt x="513871" y="309373"/>
                                      </a:lnTo>
                                      <a:lnTo>
                                        <a:pt x="519290" y="308290"/>
                                      </a:lnTo>
                                      <a:lnTo>
                                        <a:pt x="525882" y="306124"/>
                                      </a:lnTo>
                                      <a:lnTo>
                                        <a:pt x="531211" y="304951"/>
                                      </a:lnTo>
                                      <a:lnTo>
                                        <a:pt x="568058" y="283291"/>
                                      </a:lnTo>
                                      <a:lnTo>
                                        <a:pt x="591990" y="256126"/>
                                      </a:lnTo>
                                      <a:lnTo>
                                        <a:pt x="598583" y="246289"/>
                                      </a:lnTo>
                                      <a:lnTo>
                                        <a:pt x="603821" y="235549"/>
                                      </a:lnTo>
                                      <a:lnTo>
                                        <a:pt x="606079" y="228961"/>
                                      </a:lnTo>
                                      <a:lnTo>
                                        <a:pt x="608246" y="223456"/>
                                      </a:lnTo>
                                      <a:lnTo>
                                        <a:pt x="610414" y="218222"/>
                                      </a:lnTo>
                                      <a:lnTo>
                                        <a:pt x="611588" y="211633"/>
                                      </a:lnTo>
                                      <a:lnTo>
                                        <a:pt x="612672" y="205045"/>
                                      </a:lnTo>
                                      <a:lnTo>
                                        <a:pt x="613755" y="198547"/>
                                      </a:lnTo>
                                      <a:lnTo>
                                        <a:pt x="613755" y="192140"/>
                                      </a:lnTo>
                                      <a:lnTo>
                                        <a:pt x="613755" y="185552"/>
                                      </a:lnTo>
                                      <a:lnTo>
                                        <a:pt x="613755" y="180137"/>
                                      </a:lnTo>
                                      <a:lnTo>
                                        <a:pt x="613755" y="173729"/>
                                      </a:lnTo>
                                      <a:lnTo>
                                        <a:pt x="612672" y="167141"/>
                                      </a:lnTo>
                                      <a:lnTo>
                                        <a:pt x="611588" y="160643"/>
                                      </a:lnTo>
                                      <a:lnTo>
                                        <a:pt x="610414" y="154055"/>
                                      </a:lnTo>
                                      <a:lnTo>
                                        <a:pt x="608246" y="148730"/>
                                      </a:lnTo>
                                      <a:lnTo>
                                        <a:pt x="606079" y="143315"/>
                                      </a:lnTo>
                                      <a:lnTo>
                                        <a:pt x="603821" y="136727"/>
                                      </a:lnTo>
                                      <a:lnTo>
                                        <a:pt x="598583" y="125987"/>
                                      </a:lnTo>
                                      <a:lnTo>
                                        <a:pt x="591990" y="116150"/>
                                      </a:lnTo>
                                      <a:lnTo>
                                        <a:pt x="585398" y="106223"/>
                                      </a:lnTo>
                                      <a:lnTo>
                                        <a:pt x="547467" y="74906"/>
                                      </a:lnTo>
                                      <a:lnTo>
                                        <a:pt x="525882" y="66152"/>
                                      </a:lnTo>
                                      <a:lnTo>
                                        <a:pt x="519290" y="63986"/>
                                      </a:lnTo>
                                      <a:lnTo>
                                        <a:pt x="512697" y="62903"/>
                                      </a:lnTo>
                                      <a:lnTo>
                                        <a:pt x="507459" y="61820"/>
                                      </a:lnTo>
                                      <a:lnTo>
                                        <a:pt x="500866" y="60647"/>
                                      </a:lnTo>
                                      <a:lnTo>
                                        <a:pt x="494544" y="59564"/>
                                      </a:lnTo>
                                      <a:lnTo>
                                        <a:pt x="487952" y="59564"/>
                                      </a:lnTo>
                                    </a:path>
                                    <a:path w="614045" h="372745">
                                      <a:moveTo>
                                        <a:pt x="180080" y="0"/>
                                      </a:moveTo>
                                      <a:lnTo>
                                        <a:pt x="171320" y="0"/>
                                      </a:lnTo>
                                      <a:lnTo>
                                        <a:pt x="161657" y="1082"/>
                                      </a:lnTo>
                                      <a:lnTo>
                                        <a:pt x="152806" y="2165"/>
                                      </a:lnTo>
                                      <a:lnTo>
                                        <a:pt x="144227" y="4331"/>
                                      </a:lnTo>
                                      <a:lnTo>
                                        <a:pt x="135466" y="6588"/>
                                      </a:lnTo>
                                      <a:lnTo>
                                        <a:pt x="126887" y="8754"/>
                                      </a:lnTo>
                                      <a:lnTo>
                                        <a:pt x="118127" y="12003"/>
                                      </a:lnTo>
                                      <a:lnTo>
                                        <a:pt x="109547" y="15071"/>
                                      </a:lnTo>
                                      <a:lnTo>
                                        <a:pt x="101871" y="18410"/>
                                      </a:lnTo>
                                      <a:lnTo>
                                        <a:pt x="94465" y="22742"/>
                                      </a:lnTo>
                                      <a:lnTo>
                                        <a:pt x="86698" y="27164"/>
                                      </a:lnTo>
                                      <a:lnTo>
                                        <a:pt x="79293" y="31587"/>
                                      </a:lnTo>
                                      <a:lnTo>
                                        <a:pt x="71616" y="36821"/>
                                      </a:lnTo>
                                      <a:lnTo>
                                        <a:pt x="65024" y="42236"/>
                                      </a:lnTo>
                                      <a:lnTo>
                                        <a:pt x="58612" y="48824"/>
                                      </a:lnTo>
                                      <a:lnTo>
                                        <a:pt x="52019" y="54329"/>
                                      </a:lnTo>
                                      <a:lnTo>
                                        <a:pt x="26099" y="90068"/>
                                      </a:lnTo>
                                      <a:lnTo>
                                        <a:pt x="21765" y="97739"/>
                                      </a:lnTo>
                                      <a:lnTo>
                                        <a:pt x="17339" y="105410"/>
                                      </a:lnTo>
                                      <a:lnTo>
                                        <a:pt x="14088" y="113894"/>
                                      </a:lnTo>
                                      <a:lnTo>
                                        <a:pt x="11017" y="122648"/>
                                      </a:lnTo>
                                      <a:lnTo>
                                        <a:pt x="7676" y="131222"/>
                                      </a:lnTo>
                                      <a:lnTo>
                                        <a:pt x="5508" y="139976"/>
                                      </a:lnTo>
                                      <a:lnTo>
                                        <a:pt x="3251" y="148730"/>
                                      </a:lnTo>
                                      <a:lnTo>
                                        <a:pt x="1083" y="157304"/>
                                      </a:lnTo>
                                      <a:lnTo>
                                        <a:pt x="0" y="167141"/>
                                      </a:lnTo>
                                      <a:lnTo>
                                        <a:pt x="0" y="176797"/>
                                      </a:lnTo>
                                      <a:lnTo>
                                        <a:pt x="0" y="185552"/>
                                      </a:lnTo>
                                      <a:lnTo>
                                        <a:pt x="0" y="195479"/>
                                      </a:lnTo>
                                      <a:lnTo>
                                        <a:pt x="0" y="205045"/>
                                      </a:lnTo>
                                      <a:lnTo>
                                        <a:pt x="1083" y="214973"/>
                                      </a:lnTo>
                                      <a:lnTo>
                                        <a:pt x="3251" y="223456"/>
                                      </a:lnTo>
                                      <a:lnTo>
                                        <a:pt x="5508" y="232210"/>
                                      </a:lnTo>
                                      <a:lnTo>
                                        <a:pt x="7676" y="241055"/>
                                      </a:lnTo>
                                      <a:lnTo>
                                        <a:pt x="11017" y="249538"/>
                                      </a:lnTo>
                                      <a:lnTo>
                                        <a:pt x="14088" y="258292"/>
                                      </a:lnTo>
                                      <a:lnTo>
                                        <a:pt x="17339" y="267046"/>
                                      </a:lnTo>
                                      <a:lnTo>
                                        <a:pt x="21765" y="274537"/>
                                      </a:lnTo>
                                      <a:lnTo>
                                        <a:pt x="26099" y="282208"/>
                                      </a:lnTo>
                                      <a:lnTo>
                                        <a:pt x="30344" y="289879"/>
                                      </a:lnTo>
                                      <a:lnTo>
                                        <a:pt x="35763" y="297280"/>
                                      </a:lnTo>
                                      <a:lnTo>
                                        <a:pt x="41272" y="303868"/>
                                      </a:lnTo>
                                      <a:lnTo>
                                        <a:pt x="46510" y="311539"/>
                                      </a:lnTo>
                                      <a:lnTo>
                                        <a:pt x="52019" y="317947"/>
                                      </a:lnTo>
                                      <a:lnTo>
                                        <a:pt x="58612" y="323362"/>
                                      </a:lnTo>
                                      <a:lnTo>
                                        <a:pt x="65024" y="329950"/>
                                      </a:lnTo>
                                      <a:lnTo>
                                        <a:pt x="71616" y="335455"/>
                                      </a:lnTo>
                                      <a:lnTo>
                                        <a:pt x="79293" y="340690"/>
                                      </a:lnTo>
                                      <a:lnTo>
                                        <a:pt x="86698" y="345112"/>
                                      </a:lnTo>
                                      <a:lnTo>
                                        <a:pt x="94465" y="349444"/>
                                      </a:lnTo>
                                      <a:lnTo>
                                        <a:pt x="101871" y="353866"/>
                                      </a:lnTo>
                                      <a:lnTo>
                                        <a:pt x="109547" y="357115"/>
                                      </a:lnTo>
                                      <a:lnTo>
                                        <a:pt x="118127" y="360183"/>
                                      </a:lnTo>
                                      <a:lnTo>
                                        <a:pt x="126887" y="363523"/>
                                      </a:lnTo>
                                      <a:lnTo>
                                        <a:pt x="135466" y="365689"/>
                                      </a:lnTo>
                                      <a:lnTo>
                                        <a:pt x="144227" y="367855"/>
                                      </a:lnTo>
                                      <a:lnTo>
                                        <a:pt x="152806" y="370111"/>
                                      </a:lnTo>
                                      <a:lnTo>
                                        <a:pt x="161657" y="371194"/>
                                      </a:lnTo>
                                      <a:lnTo>
                                        <a:pt x="171320" y="372277"/>
                                      </a:lnTo>
                                      <a:lnTo>
                                        <a:pt x="180080" y="372277"/>
                                      </a:lnTo>
                                      <a:lnTo>
                                        <a:pt x="189744" y="372277"/>
                                      </a:lnTo>
                                      <a:lnTo>
                                        <a:pt x="198504" y="371194"/>
                                      </a:lnTo>
                                      <a:lnTo>
                                        <a:pt x="208167" y="370111"/>
                                      </a:lnTo>
                                      <a:lnTo>
                                        <a:pt x="216927" y="367855"/>
                                      </a:lnTo>
                                      <a:lnTo>
                                        <a:pt x="225507" y="365689"/>
                                      </a:lnTo>
                                      <a:lnTo>
                                        <a:pt x="234267" y="363523"/>
                                      </a:lnTo>
                                      <a:lnTo>
                                        <a:pt x="242847" y="360183"/>
                                      </a:lnTo>
                                      <a:lnTo>
                                        <a:pt x="280868" y="340690"/>
                                      </a:lnTo>
                                      <a:lnTo>
                                        <a:pt x="301459" y="323362"/>
                                      </a:lnTo>
                                      <a:lnTo>
                                        <a:pt x="307871" y="317947"/>
                                      </a:lnTo>
                                      <a:lnTo>
                                        <a:pt x="314464" y="311539"/>
                                      </a:lnTo>
                                      <a:lnTo>
                                        <a:pt x="319973" y="303868"/>
                                      </a:lnTo>
                                      <a:lnTo>
                                        <a:pt x="325211" y="297280"/>
                                      </a:lnTo>
                                      <a:lnTo>
                                        <a:pt x="329636" y="289879"/>
                                      </a:lnTo>
                                      <a:lnTo>
                                        <a:pt x="335055" y="282208"/>
                                      </a:lnTo>
                                      <a:lnTo>
                                        <a:pt x="339480" y="274537"/>
                                      </a:lnTo>
                                      <a:lnTo>
                                        <a:pt x="342550" y="267046"/>
                                      </a:lnTo>
                                      <a:lnTo>
                                        <a:pt x="346976" y="258292"/>
                                      </a:lnTo>
                                      <a:lnTo>
                                        <a:pt x="350227" y="249538"/>
                                      </a:lnTo>
                                      <a:lnTo>
                                        <a:pt x="352394" y="241055"/>
                                      </a:lnTo>
                                      <a:lnTo>
                                        <a:pt x="355736" y="232210"/>
                                      </a:lnTo>
                                      <a:lnTo>
                                        <a:pt x="357723" y="223456"/>
                                      </a:lnTo>
                                      <a:lnTo>
                                        <a:pt x="358806" y="214973"/>
                                      </a:lnTo>
                                      <a:lnTo>
                                        <a:pt x="359890" y="205045"/>
                                      </a:lnTo>
                                      <a:lnTo>
                                        <a:pt x="360974" y="195479"/>
                                      </a:lnTo>
                                      <a:lnTo>
                                        <a:pt x="360974" y="185552"/>
                                      </a:lnTo>
                                      <a:lnTo>
                                        <a:pt x="360974" y="176797"/>
                                      </a:lnTo>
                                      <a:lnTo>
                                        <a:pt x="359890" y="167141"/>
                                      </a:lnTo>
                                      <a:lnTo>
                                        <a:pt x="358806" y="157304"/>
                                      </a:lnTo>
                                      <a:lnTo>
                                        <a:pt x="357723" y="148730"/>
                                      </a:lnTo>
                                      <a:lnTo>
                                        <a:pt x="355736" y="139976"/>
                                      </a:lnTo>
                                      <a:lnTo>
                                        <a:pt x="352394" y="131222"/>
                                      </a:lnTo>
                                      <a:lnTo>
                                        <a:pt x="350227" y="122648"/>
                                      </a:lnTo>
                                      <a:lnTo>
                                        <a:pt x="346976" y="113894"/>
                                      </a:lnTo>
                                      <a:lnTo>
                                        <a:pt x="342550" y="105410"/>
                                      </a:lnTo>
                                      <a:lnTo>
                                        <a:pt x="339480" y="97739"/>
                                      </a:lnTo>
                                      <a:lnTo>
                                        <a:pt x="335055" y="90068"/>
                                      </a:lnTo>
                                      <a:lnTo>
                                        <a:pt x="329636" y="82577"/>
                                      </a:lnTo>
                                      <a:lnTo>
                                        <a:pt x="325211" y="74906"/>
                                      </a:lnTo>
                                      <a:lnTo>
                                        <a:pt x="319973" y="67235"/>
                                      </a:lnTo>
                                      <a:lnTo>
                                        <a:pt x="314464" y="60647"/>
                                      </a:lnTo>
                                      <a:lnTo>
                                        <a:pt x="307871" y="54329"/>
                                      </a:lnTo>
                                      <a:lnTo>
                                        <a:pt x="301459" y="48824"/>
                                      </a:lnTo>
                                      <a:lnTo>
                                        <a:pt x="294866" y="42236"/>
                                      </a:lnTo>
                                      <a:lnTo>
                                        <a:pt x="258019" y="18410"/>
                                      </a:lnTo>
                                      <a:lnTo>
                                        <a:pt x="225507" y="6588"/>
                                      </a:lnTo>
                                      <a:lnTo>
                                        <a:pt x="216927" y="4331"/>
                                      </a:lnTo>
                                      <a:lnTo>
                                        <a:pt x="208167" y="2165"/>
                                      </a:lnTo>
                                      <a:lnTo>
                                        <a:pt x="198504" y="1082"/>
                                      </a:lnTo>
                                      <a:lnTo>
                                        <a:pt x="189744" y="0"/>
                                      </a:lnTo>
                                      <a:lnTo>
                                        <a:pt x="180080"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120" name="Image 1372"/>
                                <pic:cNvPicPr/>
                              </pic:nvPicPr>
                              <pic:blipFill>
                                <a:blip r:embed="rId105" cstate="print"/>
                                <a:stretch>
                                  <a:fillRect/>
                                </a:stretch>
                              </pic:blipFill>
                              <pic:spPr>
                                <a:xfrm>
                                  <a:off x="0" y="71657"/>
                                  <a:ext cx="234115" cy="235547"/>
                                </a:xfrm>
                                <a:prstGeom prst="rect">
                                  <a:avLst/>
                                </a:prstGeom>
                              </pic:spPr>
                            </pic:pic>
                            <wps:wsp>
                              <wps:cNvPr id="1121" name="Graphic 1373"/>
                              <wps:cNvSpPr/>
                              <wps:spPr>
                                <a:xfrm>
                                  <a:off x="528940" y="62857"/>
                                  <a:ext cx="252095" cy="253365"/>
                                </a:xfrm>
                                <a:custGeom>
                                  <a:avLst/>
                                  <a:gdLst/>
                                  <a:ahLst/>
                                  <a:cxnLst/>
                                  <a:rect l="l" t="t" r="r" b="b"/>
                                  <a:pathLst>
                                    <a:path w="252095" h="253365">
                                      <a:moveTo>
                                        <a:pt x="125893" y="0"/>
                                      </a:moveTo>
                                      <a:lnTo>
                                        <a:pt x="119301" y="1082"/>
                                      </a:lnTo>
                                      <a:lnTo>
                                        <a:pt x="112889" y="1082"/>
                                      </a:lnTo>
                                      <a:lnTo>
                                        <a:pt x="106296" y="2256"/>
                                      </a:lnTo>
                                      <a:lnTo>
                                        <a:pt x="100787" y="3339"/>
                                      </a:lnTo>
                                      <a:lnTo>
                                        <a:pt x="94465" y="4422"/>
                                      </a:lnTo>
                                      <a:lnTo>
                                        <a:pt x="88956" y="6588"/>
                                      </a:lnTo>
                                      <a:lnTo>
                                        <a:pt x="45697" y="29421"/>
                                      </a:lnTo>
                                      <a:lnTo>
                                        <a:pt x="21765" y="56586"/>
                                      </a:lnTo>
                                      <a:lnTo>
                                        <a:pt x="15172" y="66423"/>
                                      </a:lnTo>
                                      <a:lnTo>
                                        <a:pt x="9934" y="77162"/>
                                      </a:lnTo>
                                      <a:lnTo>
                                        <a:pt x="7766" y="83751"/>
                                      </a:lnTo>
                                      <a:lnTo>
                                        <a:pt x="5508" y="89166"/>
                                      </a:lnTo>
                                      <a:lnTo>
                                        <a:pt x="4425" y="94490"/>
                                      </a:lnTo>
                                      <a:lnTo>
                                        <a:pt x="2257" y="101078"/>
                                      </a:lnTo>
                                      <a:lnTo>
                                        <a:pt x="1174" y="107576"/>
                                      </a:lnTo>
                                      <a:lnTo>
                                        <a:pt x="0" y="114165"/>
                                      </a:lnTo>
                                      <a:lnTo>
                                        <a:pt x="0" y="119399"/>
                                      </a:lnTo>
                                      <a:lnTo>
                                        <a:pt x="0" y="125987"/>
                                      </a:lnTo>
                                      <a:lnTo>
                                        <a:pt x="0" y="132575"/>
                                      </a:lnTo>
                                      <a:lnTo>
                                        <a:pt x="0" y="138983"/>
                                      </a:lnTo>
                                      <a:lnTo>
                                        <a:pt x="1174" y="145481"/>
                                      </a:lnTo>
                                      <a:lnTo>
                                        <a:pt x="2257" y="152069"/>
                                      </a:lnTo>
                                      <a:lnTo>
                                        <a:pt x="4425" y="158657"/>
                                      </a:lnTo>
                                      <a:lnTo>
                                        <a:pt x="5508" y="163892"/>
                                      </a:lnTo>
                                      <a:lnTo>
                                        <a:pt x="7766" y="169397"/>
                                      </a:lnTo>
                                      <a:lnTo>
                                        <a:pt x="9934" y="175985"/>
                                      </a:lnTo>
                                      <a:lnTo>
                                        <a:pt x="15172" y="186725"/>
                                      </a:lnTo>
                                      <a:lnTo>
                                        <a:pt x="21765" y="196562"/>
                                      </a:lnTo>
                                      <a:lnTo>
                                        <a:pt x="28357" y="206399"/>
                                      </a:lnTo>
                                      <a:lnTo>
                                        <a:pt x="36937" y="216056"/>
                                      </a:lnTo>
                                      <a:lnTo>
                                        <a:pt x="77125" y="243221"/>
                                      </a:lnTo>
                                      <a:lnTo>
                                        <a:pt x="88956" y="246560"/>
                                      </a:lnTo>
                                      <a:lnTo>
                                        <a:pt x="94465" y="248726"/>
                                      </a:lnTo>
                                      <a:lnTo>
                                        <a:pt x="100787" y="249809"/>
                                      </a:lnTo>
                                      <a:lnTo>
                                        <a:pt x="106296" y="250892"/>
                                      </a:lnTo>
                                      <a:lnTo>
                                        <a:pt x="112889" y="251975"/>
                                      </a:lnTo>
                                      <a:lnTo>
                                        <a:pt x="119301" y="251975"/>
                                      </a:lnTo>
                                      <a:lnTo>
                                        <a:pt x="125893" y="253058"/>
                                      </a:lnTo>
                                      <a:lnTo>
                                        <a:pt x="132486" y="251975"/>
                                      </a:lnTo>
                                      <a:lnTo>
                                        <a:pt x="138808" y="251975"/>
                                      </a:lnTo>
                                      <a:lnTo>
                                        <a:pt x="145401" y="250892"/>
                                      </a:lnTo>
                                      <a:lnTo>
                                        <a:pt x="151813" y="249809"/>
                                      </a:lnTo>
                                      <a:lnTo>
                                        <a:pt x="157232" y="248726"/>
                                      </a:lnTo>
                                      <a:lnTo>
                                        <a:pt x="163824" y="246560"/>
                                      </a:lnTo>
                                      <a:lnTo>
                                        <a:pt x="169153" y="245387"/>
                                      </a:lnTo>
                                      <a:lnTo>
                                        <a:pt x="206000" y="223727"/>
                                      </a:lnTo>
                                      <a:lnTo>
                                        <a:pt x="229932" y="196562"/>
                                      </a:lnTo>
                                      <a:lnTo>
                                        <a:pt x="236525" y="186725"/>
                                      </a:lnTo>
                                      <a:lnTo>
                                        <a:pt x="241763" y="175985"/>
                                      </a:lnTo>
                                      <a:lnTo>
                                        <a:pt x="244021" y="169397"/>
                                      </a:lnTo>
                                      <a:lnTo>
                                        <a:pt x="246188" y="163892"/>
                                      </a:lnTo>
                                      <a:lnTo>
                                        <a:pt x="248356" y="158657"/>
                                      </a:lnTo>
                                      <a:lnTo>
                                        <a:pt x="249530" y="152069"/>
                                      </a:lnTo>
                                      <a:lnTo>
                                        <a:pt x="250613" y="145481"/>
                                      </a:lnTo>
                                      <a:lnTo>
                                        <a:pt x="251697" y="138983"/>
                                      </a:lnTo>
                                      <a:lnTo>
                                        <a:pt x="251697" y="132575"/>
                                      </a:lnTo>
                                      <a:lnTo>
                                        <a:pt x="251697" y="125987"/>
                                      </a:lnTo>
                                      <a:lnTo>
                                        <a:pt x="251697" y="120572"/>
                                      </a:lnTo>
                                      <a:lnTo>
                                        <a:pt x="251697" y="114165"/>
                                      </a:lnTo>
                                      <a:lnTo>
                                        <a:pt x="250613" y="107576"/>
                                      </a:lnTo>
                                      <a:lnTo>
                                        <a:pt x="249530" y="101078"/>
                                      </a:lnTo>
                                      <a:lnTo>
                                        <a:pt x="248356" y="94490"/>
                                      </a:lnTo>
                                      <a:lnTo>
                                        <a:pt x="246188" y="89166"/>
                                      </a:lnTo>
                                      <a:lnTo>
                                        <a:pt x="244021" y="83751"/>
                                      </a:lnTo>
                                      <a:lnTo>
                                        <a:pt x="241763" y="77162"/>
                                      </a:lnTo>
                                      <a:lnTo>
                                        <a:pt x="236525" y="66423"/>
                                      </a:lnTo>
                                      <a:lnTo>
                                        <a:pt x="229932" y="56586"/>
                                      </a:lnTo>
                                      <a:lnTo>
                                        <a:pt x="223339" y="46658"/>
                                      </a:lnTo>
                                      <a:lnTo>
                                        <a:pt x="185409" y="15342"/>
                                      </a:lnTo>
                                      <a:lnTo>
                                        <a:pt x="163824" y="6588"/>
                                      </a:lnTo>
                                      <a:lnTo>
                                        <a:pt x="157232" y="4422"/>
                                      </a:lnTo>
                                      <a:lnTo>
                                        <a:pt x="150639" y="3339"/>
                                      </a:lnTo>
                                      <a:lnTo>
                                        <a:pt x="145401" y="2256"/>
                                      </a:lnTo>
                                      <a:lnTo>
                                        <a:pt x="138808" y="1082"/>
                                      </a:lnTo>
                                      <a:lnTo>
                                        <a:pt x="132486" y="0"/>
                                      </a:lnTo>
                                      <a:lnTo>
                                        <a:pt x="125893" y="0"/>
                                      </a:lnTo>
                                    </a:path>
                                  </a:pathLst>
                                </a:custGeom>
                                <a:ln w="658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D8B898E" id="Group 1368" o:spid="_x0000_s1026" style="position:absolute;margin-left:69.3pt;margin-top:-3.85pt;width:61.75pt;height:29.85pt;z-index:-251350016;mso-wrap-distance-left:0;mso-wrap-distance-right:0" coordsize="7842,37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">
                      <v:shape id="Graphic 1369" o:spid="_x0000_s1027" style="position:absolute;left:1668;top:32;width:3613;height:3728;visibility:visible;mso-wrap-style:square;v-text-anchor:top" coordsize="361315,372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" path="m180080,r-8760,l161657,1082r-8851,1083l144227,4331r-8761,2257l126887,8754r-8760,3249l109547,15071r-7676,3339l94465,22742r-7767,4422l79293,31587r-7677,5234l65024,42236r-6412,6588l52019,54329,26099,90068r-4334,7671l17339,105410r-3251,8484l11017,122648r-3341,8574l5508,139976r-2257,8754l1083,157304,,167141r,9656l,185552r,9927l,205045r1083,9928l3251,223456r2257,8754l7676,241055r3341,8483l14088,258292r3251,8754l21765,274537r4334,7671l30344,289879r5419,7401l41272,303868r5238,7671l52019,317947r6593,5415l65024,329950r6592,5505l79293,340690r7405,4422l94465,349444r7406,4422l109547,357115r8580,3068l126887,363523r8579,2166l144227,367855r8579,2256l161657,371194r9663,1083l180080,372277r9664,l198504,371194r9663,-1083l216927,367855r8580,-2166l234267,363523r8580,-3340l280868,340690r20591,-17328l307871,317947r6593,-6408l319973,303868r5238,-6588l329636,289879r5419,-7671l339480,274537r3070,-7491l346976,258292r3251,-8754l352394,241055r3342,-8845l357723,223456r1083,-8483l359890,205045r1084,-9566l360974,185552r,-8755l359890,167141r-1084,-9837l357723,148730r-1987,-8754l352394,131222r-2167,-8574l346976,113894r-4426,-8484l339480,97739r-4425,-7671l329636,82577r-4425,-7671l319973,67235r-5509,-6588l307871,54329r-6412,-5505l294866,42236,258019,18410,225507,6588,216927,4331,208167,2165,198504,1082,189744,r-9664,e" filled="f" strokeweight=".18292mm">
                        <v:path arrowok="t"/>
                      </v:shape>
                      <v:shape id="Image 1370" o:spid="_x0000_s1028" type="#_x0000_t75" style="position:absolute;top:716;width:2341;height:23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">
                        <v:imagedata r:id="rId106" o:title=""/>
                      </v:shape>
                      <v:shape id="Graphic 1371" o:spid="_x0000_s1029" style="position:absolute;left:1668;top:32;width:6141;height:3728;visibility:visible;mso-wrap-style:square;v-text-anchor:top" coordsize="614045,372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" path="m487952,59564r-6593,1083l474947,60647r-6593,1173l462845,62903r-6322,1083l451014,66152,407755,88985r-23932,27165l377230,125987r-5238,10740l369824,143315r-2257,5415l366483,154055r-2168,6588l363232,167141r-1174,6588l362058,178963r,6589l362058,192140r,6407l363232,205045r1083,6588l366483,218222r1084,5234l369824,228961r2168,6588l377230,246289r6593,9837l390415,265963r8580,9657l439183,302785r11831,3339l456523,308290r6322,1083l468354,310456r6593,1083l481359,311539r6593,1083l494544,311539r6322,l507459,310456r6412,-1083l519290,308290r6592,-2166l531211,304951r36847,-21660l591990,256126r6593,-9837l603821,235549r2258,-6588l608246,223456r2168,-5234l611588,211633r1084,-6588l613755,198547r,-6407l613755,185552r,-5415l613755,173729r-1083,-6588l611588,160643r-1174,-6588l608246,148730r-2167,-5415l603821,136727r-5238,-10740l591990,116150r-6592,-9927l547467,74906,525882,66152r-6592,-2166l512697,62903r-5238,-1083l500866,60647r-6322,-1083l487952,59564em180080,r-8760,l161657,1082r-8851,1083l144227,4331r-8761,2257l126887,8754r-8760,3249l109547,15071r-7676,3339l94465,22742r-7767,4422l79293,31587r-7677,5234l65024,42236r-6412,6588l52019,54329,26099,90068r-4334,7671l17339,105410r-3251,8484l11017,122648r-3341,8574l5508,139976r-2257,8754l1083,157304,,167141r,9656l,185552r,9927l,205045r1083,9928l3251,223456r2257,8754l7676,241055r3341,8483l14088,258292r3251,8754l21765,274537r4334,7671l30344,289879r5419,7401l41272,303868r5238,7671l52019,317947r6593,5415l65024,329950r6592,5505l79293,340690r7405,4422l94465,349444r7406,4422l109547,357115r8580,3068l126887,363523r8579,2166l144227,367855r8579,2256l161657,371194r9663,1083l180080,372277r9664,l198504,371194r9663,-1083l216927,367855r8580,-2166l234267,363523r8580,-3340l280868,340690r20591,-17328l307871,317947r6593,-6408l319973,303868r5238,-6588l329636,289879r5419,-7671l339480,274537r3070,-7491l346976,258292r3251,-8754l352394,241055r3342,-8845l357723,223456r1083,-8483l359890,205045r1084,-9566l360974,185552r,-8755l359890,167141r-1084,-9837l357723,148730r-1987,-8754l352394,131222r-2167,-8574l346976,113894r-4426,-8484l339480,97739r-4425,-7671l329636,82577r-4425,-7671l319973,67235r-5509,-6588l307871,54329r-6412,-5505l294866,42236,258019,18410,225507,6588,216927,4331,208167,2165,198504,1082,189744,r-9664,e" filled="f" strokeweight=".18292mm">
                        <v:path arrowok="t"/>
                      </v:shape>
                      <v:shape id="Image 1372" o:spid="_x0000_s1030" type="#_x0000_t75" style="position:absolute;top:716;width:2341;height:23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">
                        <v:imagedata r:id="rId106" o:title=""/>
                      </v:shape>
                      <v:shape id="Graphic 1373" o:spid="_x0000_s1031" style="position:absolute;left:5289;top:628;width:2521;height:2534;visibility:visible;mso-wrap-style:square;v-text-anchor:top" coordsize="252095,25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" path="m125893,r-6592,1082l112889,1082r-6593,1174l100787,3339,94465,4422,88956,6588,45697,29421,21765,56586r-6593,9837l9934,77162,7766,83751,5508,89166,4425,94490r-2168,6588l1174,107576,,114165r,5234l,125987r,6588l,138983r1174,6498l2257,152069r2168,6588l5508,163892r2258,5505l9934,175985r5238,10740l21765,196562r6592,9837l36937,216056r40188,27165l88956,246560r5509,2166l100787,249809r5509,1083l112889,251975r6412,l125893,253058r6593,-1083l138808,251975r6593,-1083l151813,249809r5419,-1083l163824,246560r5329,-1173l206000,223727r23932,-27165l236525,186725r5238,-10740l244021,169397r2167,-5505l248356,158657r1174,-6588l250613,145481r1084,-6498l251697,132575r,-6588l251697,120572r,-6407l250613,107576r-1083,-6498l248356,94490r-2168,-5324l244021,83751r-2258,-6589l236525,66423r-6593,-9837l223339,46658,185409,15342,163824,6588,157232,4422,150639,3339,145401,2256,138808,1082,132486,r-6593,e" filled="f" strokeweight=".18292mm">
                        <v:path arrowok="t"/>
                      </v:shape>
                    </v:group>
                  </w:pict>
                </mc:Fallback>
              </mc:AlternateContent>
            </w:r>
            <w:r w:rsidRPr="00E73F6F">
              <w:rPr>
                <w:spacing w:val="-2"/>
                <w:sz w:val="24"/>
                <w:szCs w:val="24"/>
                <w:lang w:val="de-DE"/>
              </w:rPr>
              <w:t>Indonesien</w:t>
            </w:r>
          </w:p>
        </w:tc>
        <w:tc>
          <w:tcPr>
            <w:tcW w:w="4324" w:type="dxa"/>
          </w:tcPr>
          <w:p w14:paraId="7796E548" w14:textId="77777777" w:rsidR="00FF7799" w:rsidRPr="00E73F6F" w:rsidRDefault="00FF7799" w:rsidP="00862DBA">
            <w:pPr>
              <w:rPr>
                <w:i/>
                <w:sz w:val="24"/>
                <w:szCs w:val="24"/>
                <w:lang w:val="de-DE"/>
              </w:rPr>
            </w:pPr>
          </w:p>
          <w:p w14:paraId="72E6F1D7" w14:textId="77777777" w:rsidR="00FF7799" w:rsidRPr="00E73F6F" w:rsidRDefault="00FF7799" w:rsidP="00862DBA">
            <w:pPr>
              <w:spacing w:before="115"/>
              <w:rPr>
                <w:sz w:val="24"/>
                <w:szCs w:val="24"/>
                <w:lang w:val="de-DE"/>
              </w:rPr>
            </w:pPr>
            <w:r w:rsidRPr="00E73F6F">
              <w:rPr>
                <w:spacing w:val="-2"/>
                <w:sz w:val="24"/>
                <w:szCs w:val="24"/>
                <w:lang w:val="de-DE"/>
              </w:rPr>
              <w:t>Russland</w:t>
            </w:r>
          </w:p>
          <w:p w14:paraId="20D8BA85" w14:textId="77777777" w:rsidR="00FF7799" w:rsidRPr="00E73F6F" w:rsidRDefault="00FF7799" w:rsidP="00862DBA">
            <w:pPr>
              <w:spacing w:before="7"/>
              <w:rPr>
                <w:i/>
                <w:sz w:val="24"/>
                <w:szCs w:val="24"/>
                <w:lang w:val="de-DE"/>
              </w:rPr>
            </w:pPr>
          </w:p>
          <w:p w14:paraId="35784C12" w14:textId="77777777" w:rsidR="00FF7799" w:rsidRPr="00E73F6F" w:rsidRDefault="00FF7799" w:rsidP="00862DBA">
            <w:pPr>
              <w:tabs>
                <w:tab w:val="left" w:pos="1839"/>
                <w:tab w:val="left" w:pos="2334"/>
              </w:tabs>
              <w:rPr>
                <w:sz w:val="24"/>
                <w:szCs w:val="24"/>
                <w:lang w:val="de-DE"/>
              </w:rPr>
            </w:pPr>
            <w:r w:rsidRPr="00E73F6F">
              <w:rPr>
                <w:noProof/>
                <w:sz w:val="24"/>
                <w:szCs w:val="24"/>
                <w:lang w:eastAsia="de-DE"/>
              </w:rPr>
              <mc:AlternateContent>
                <mc:Choice Requires="wpg">
                  <w:drawing>
                    <wp:anchor distT="0" distB="0" distL="0" distR="0" simplePos="0" relativeHeight="251973632" behindDoc="1" locked="0" layoutInCell="1" allowOverlap="1" wp14:anchorId="2F840F46" wp14:editId="784AC94B">
                      <wp:simplePos x="0" y="0"/>
                      <wp:positionH relativeFrom="column">
                        <wp:posOffset>802645</wp:posOffset>
                      </wp:positionH>
                      <wp:positionV relativeFrom="paragraph">
                        <wp:posOffset>-376315</wp:posOffset>
                      </wp:positionV>
                      <wp:extent cx="869950" cy="325120"/>
                      <wp:effectExtent l="0" t="0" r="0" b="0"/>
                      <wp:wrapNone/>
                      <wp:docPr id="1122" name="Group 13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69950" cy="325120"/>
                                <a:chOff x="0" y="0"/>
                                <a:chExt cx="869950" cy="325120"/>
                              </a:xfrm>
                            </wpg:grpSpPr>
                            <wps:wsp>
                              <wps:cNvPr id="1123" name="Graphic 1375"/>
                              <wps:cNvSpPr/>
                              <wps:spPr>
                                <a:xfrm>
                                  <a:off x="3292" y="36775"/>
                                  <a:ext cx="249554" cy="251460"/>
                                </a:xfrm>
                                <a:custGeom>
                                  <a:avLst/>
                                  <a:gdLst/>
                                  <a:ahLst/>
                                  <a:cxnLst/>
                                  <a:rect l="l" t="t" r="r" b="b"/>
                                  <a:pathLst>
                                    <a:path w="249554" h="251460">
                                      <a:moveTo>
                                        <a:pt x="124719" y="0"/>
                                      </a:moveTo>
                                      <a:lnTo>
                                        <a:pt x="118127" y="1173"/>
                                      </a:lnTo>
                                      <a:lnTo>
                                        <a:pt x="111624" y="1173"/>
                                      </a:lnTo>
                                      <a:lnTo>
                                        <a:pt x="105212" y="2256"/>
                                      </a:lnTo>
                                      <a:lnTo>
                                        <a:pt x="99703" y="3339"/>
                                      </a:lnTo>
                                      <a:lnTo>
                                        <a:pt x="93381" y="4422"/>
                                      </a:lnTo>
                                      <a:lnTo>
                                        <a:pt x="87872" y="6588"/>
                                      </a:lnTo>
                                      <a:lnTo>
                                        <a:pt x="45516" y="29421"/>
                                      </a:lnTo>
                                      <a:lnTo>
                                        <a:pt x="35853" y="37092"/>
                                      </a:lnTo>
                                      <a:lnTo>
                                        <a:pt x="28177" y="45575"/>
                                      </a:lnTo>
                                      <a:lnTo>
                                        <a:pt x="20681" y="55503"/>
                                      </a:lnTo>
                                      <a:lnTo>
                                        <a:pt x="15172" y="66423"/>
                                      </a:lnTo>
                                      <a:lnTo>
                                        <a:pt x="9663" y="77162"/>
                                      </a:lnTo>
                                      <a:lnTo>
                                        <a:pt x="1174" y="106493"/>
                                      </a:lnTo>
                                      <a:lnTo>
                                        <a:pt x="0" y="113082"/>
                                      </a:lnTo>
                                      <a:lnTo>
                                        <a:pt x="0" y="119489"/>
                                      </a:lnTo>
                                      <a:lnTo>
                                        <a:pt x="0" y="125987"/>
                                      </a:lnTo>
                                      <a:lnTo>
                                        <a:pt x="0" y="131492"/>
                                      </a:lnTo>
                                      <a:lnTo>
                                        <a:pt x="0" y="137900"/>
                                      </a:lnTo>
                                      <a:lnTo>
                                        <a:pt x="1174" y="144398"/>
                                      </a:lnTo>
                                      <a:lnTo>
                                        <a:pt x="15172" y="184559"/>
                                      </a:lnTo>
                                      <a:lnTo>
                                        <a:pt x="20681" y="195479"/>
                                      </a:lnTo>
                                      <a:lnTo>
                                        <a:pt x="28177" y="205316"/>
                                      </a:lnTo>
                                      <a:lnTo>
                                        <a:pt x="35853" y="213890"/>
                                      </a:lnTo>
                                      <a:lnTo>
                                        <a:pt x="45516" y="221561"/>
                                      </a:lnTo>
                                      <a:lnTo>
                                        <a:pt x="54277" y="229232"/>
                                      </a:lnTo>
                                      <a:lnTo>
                                        <a:pt x="65024" y="235549"/>
                                      </a:lnTo>
                                      <a:lnTo>
                                        <a:pt x="76042" y="241055"/>
                                      </a:lnTo>
                                      <a:lnTo>
                                        <a:pt x="81280" y="243221"/>
                                      </a:lnTo>
                                      <a:lnTo>
                                        <a:pt x="87872" y="244304"/>
                                      </a:lnTo>
                                      <a:lnTo>
                                        <a:pt x="93381" y="246560"/>
                                      </a:lnTo>
                                      <a:lnTo>
                                        <a:pt x="99703" y="247643"/>
                                      </a:lnTo>
                                      <a:lnTo>
                                        <a:pt x="105212" y="248726"/>
                                      </a:lnTo>
                                      <a:lnTo>
                                        <a:pt x="111624" y="249809"/>
                                      </a:lnTo>
                                      <a:lnTo>
                                        <a:pt x="118127" y="249809"/>
                                      </a:lnTo>
                                      <a:lnTo>
                                        <a:pt x="124719" y="250892"/>
                                      </a:lnTo>
                                      <a:lnTo>
                                        <a:pt x="131132" y="249809"/>
                                      </a:lnTo>
                                      <a:lnTo>
                                        <a:pt x="137724" y="249809"/>
                                      </a:lnTo>
                                      <a:lnTo>
                                        <a:pt x="143233" y="248726"/>
                                      </a:lnTo>
                                      <a:lnTo>
                                        <a:pt x="149555" y="247643"/>
                                      </a:lnTo>
                                      <a:lnTo>
                                        <a:pt x="156148" y="246560"/>
                                      </a:lnTo>
                                      <a:lnTo>
                                        <a:pt x="161657" y="244304"/>
                                      </a:lnTo>
                                      <a:lnTo>
                                        <a:pt x="166895" y="243221"/>
                                      </a:lnTo>
                                      <a:lnTo>
                                        <a:pt x="203832" y="221561"/>
                                      </a:lnTo>
                                      <a:lnTo>
                                        <a:pt x="234086" y="184559"/>
                                      </a:lnTo>
                                      <a:lnTo>
                                        <a:pt x="241763" y="168314"/>
                                      </a:lnTo>
                                      <a:lnTo>
                                        <a:pt x="244021" y="162809"/>
                                      </a:lnTo>
                                      <a:lnTo>
                                        <a:pt x="245104" y="156491"/>
                                      </a:lnTo>
                                      <a:lnTo>
                                        <a:pt x="247272" y="150986"/>
                                      </a:lnTo>
                                      <a:lnTo>
                                        <a:pt x="248356" y="144398"/>
                                      </a:lnTo>
                                      <a:lnTo>
                                        <a:pt x="248356" y="137900"/>
                                      </a:lnTo>
                                      <a:lnTo>
                                        <a:pt x="249439" y="131492"/>
                                      </a:lnTo>
                                      <a:lnTo>
                                        <a:pt x="249439" y="125987"/>
                                      </a:lnTo>
                                      <a:lnTo>
                                        <a:pt x="249439" y="119489"/>
                                      </a:lnTo>
                                      <a:lnTo>
                                        <a:pt x="248356" y="113082"/>
                                      </a:lnTo>
                                      <a:lnTo>
                                        <a:pt x="248356" y="106493"/>
                                      </a:lnTo>
                                      <a:lnTo>
                                        <a:pt x="247272" y="99995"/>
                                      </a:lnTo>
                                      <a:lnTo>
                                        <a:pt x="245104" y="94490"/>
                                      </a:lnTo>
                                      <a:lnTo>
                                        <a:pt x="244021" y="88083"/>
                                      </a:lnTo>
                                      <a:lnTo>
                                        <a:pt x="241763" y="82668"/>
                                      </a:lnTo>
                                      <a:lnTo>
                                        <a:pt x="239595" y="77162"/>
                                      </a:lnTo>
                                      <a:lnTo>
                                        <a:pt x="234086" y="66423"/>
                                      </a:lnTo>
                                      <a:lnTo>
                                        <a:pt x="203832" y="29421"/>
                                      </a:lnTo>
                                      <a:lnTo>
                                        <a:pt x="166895" y="7671"/>
                                      </a:lnTo>
                                      <a:lnTo>
                                        <a:pt x="161657" y="6588"/>
                                      </a:lnTo>
                                      <a:lnTo>
                                        <a:pt x="156148" y="4422"/>
                                      </a:lnTo>
                                      <a:lnTo>
                                        <a:pt x="149555" y="3339"/>
                                      </a:lnTo>
                                      <a:lnTo>
                                        <a:pt x="143233" y="2256"/>
                                      </a:lnTo>
                                      <a:lnTo>
                                        <a:pt x="137724" y="1173"/>
                                      </a:lnTo>
                                      <a:lnTo>
                                        <a:pt x="131132" y="1173"/>
                                      </a:lnTo>
                                      <a:lnTo>
                                        <a:pt x="124719"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124" name="Image 1376"/>
                                <pic:cNvPicPr/>
                              </pic:nvPicPr>
                              <pic:blipFill>
                                <a:blip r:embed="rId107" cstate="print"/>
                                <a:stretch>
                                  <a:fillRect/>
                                </a:stretch>
                              </pic:blipFill>
                              <pic:spPr>
                                <a:xfrm>
                                  <a:off x="294956" y="55412"/>
                                  <a:ext cx="212495" cy="213887"/>
                                </a:xfrm>
                                <a:prstGeom prst="rect">
                                  <a:avLst/>
                                </a:prstGeom>
                              </pic:spPr>
                            </pic:pic>
                            <wps:wsp>
                              <wps:cNvPr id="1125" name="Graphic 1377"/>
                              <wps:cNvSpPr/>
                              <wps:spPr>
                                <a:xfrm>
                                  <a:off x="3292" y="3292"/>
                                  <a:ext cx="863600" cy="318135"/>
                                </a:xfrm>
                                <a:custGeom>
                                  <a:avLst/>
                                  <a:gdLst/>
                                  <a:ahLst/>
                                  <a:cxnLst/>
                                  <a:rect l="l" t="t" r="r" b="b"/>
                                  <a:pathLst>
                                    <a:path w="863600" h="318135">
                                      <a:moveTo>
                                        <a:pt x="704699" y="0"/>
                                      </a:moveTo>
                                      <a:lnTo>
                                        <a:pt x="696119" y="0"/>
                                      </a:lnTo>
                                      <a:lnTo>
                                        <a:pt x="688443" y="1082"/>
                                      </a:lnTo>
                                      <a:lnTo>
                                        <a:pt x="679863" y="2165"/>
                                      </a:lnTo>
                                      <a:lnTo>
                                        <a:pt x="672187" y="3248"/>
                                      </a:lnTo>
                                      <a:lnTo>
                                        <a:pt x="664510" y="5505"/>
                                      </a:lnTo>
                                      <a:lnTo>
                                        <a:pt x="657014" y="7671"/>
                                      </a:lnTo>
                                      <a:lnTo>
                                        <a:pt x="650422" y="9656"/>
                                      </a:lnTo>
                                      <a:lnTo>
                                        <a:pt x="643016" y="12905"/>
                                      </a:lnTo>
                                      <a:lnTo>
                                        <a:pt x="635249" y="16244"/>
                                      </a:lnTo>
                                      <a:lnTo>
                                        <a:pt x="628928" y="19493"/>
                                      </a:lnTo>
                                      <a:lnTo>
                                        <a:pt x="622335" y="22742"/>
                                      </a:lnTo>
                                      <a:lnTo>
                                        <a:pt x="615742" y="27164"/>
                                      </a:lnTo>
                                      <a:lnTo>
                                        <a:pt x="609420" y="31587"/>
                                      </a:lnTo>
                                      <a:lnTo>
                                        <a:pt x="603911" y="36821"/>
                                      </a:lnTo>
                                      <a:lnTo>
                                        <a:pt x="598402" y="41153"/>
                                      </a:lnTo>
                                      <a:lnTo>
                                        <a:pt x="593164" y="46658"/>
                                      </a:lnTo>
                                      <a:lnTo>
                                        <a:pt x="587655" y="52163"/>
                                      </a:lnTo>
                                      <a:lnTo>
                                        <a:pt x="582146" y="57398"/>
                                      </a:lnTo>
                                      <a:lnTo>
                                        <a:pt x="577992" y="63986"/>
                                      </a:lnTo>
                                      <a:lnTo>
                                        <a:pt x="573567" y="70574"/>
                                      </a:lnTo>
                                      <a:lnTo>
                                        <a:pt x="569232" y="77162"/>
                                      </a:lnTo>
                                      <a:lnTo>
                                        <a:pt x="564807" y="83480"/>
                                      </a:lnTo>
                                      <a:lnTo>
                                        <a:pt x="561465" y="90068"/>
                                      </a:lnTo>
                                      <a:lnTo>
                                        <a:pt x="558394" y="97739"/>
                                      </a:lnTo>
                                      <a:lnTo>
                                        <a:pt x="556227" y="104057"/>
                                      </a:lnTo>
                                      <a:lnTo>
                                        <a:pt x="552976" y="111728"/>
                                      </a:lnTo>
                                      <a:lnTo>
                                        <a:pt x="550718" y="119399"/>
                                      </a:lnTo>
                                      <a:lnTo>
                                        <a:pt x="549634" y="126890"/>
                                      </a:lnTo>
                                      <a:lnTo>
                                        <a:pt x="547467" y="134561"/>
                                      </a:lnTo>
                                      <a:lnTo>
                                        <a:pt x="547467" y="143315"/>
                                      </a:lnTo>
                                      <a:lnTo>
                                        <a:pt x="546383" y="150715"/>
                                      </a:lnTo>
                                      <a:lnTo>
                                        <a:pt x="546383" y="159470"/>
                                      </a:lnTo>
                                      <a:lnTo>
                                        <a:pt x="546383" y="167141"/>
                                      </a:lnTo>
                                      <a:lnTo>
                                        <a:pt x="547467" y="174631"/>
                                      </a:lnTo>
                                      <a:lnTo>
                                        <a:pt x="547467" y="183386"/>
                                      </a:lnTo>
                                      <a:lnTo>
                                        <a:pt x="549634" y="191057"/>
                                      </a:lnTo>
                                      <a:lnTo>
                                        <a:pt x="550718" y="198547"/>
                                      </a:lnTo>
                                      <a:lnTo>
                                        <a:pt x="552976" y="206219"/>
                                      </a:lnTo>
                                      <a:lnTo>
                                        <a:pt x="556227" y="213890"/>
                                      </a:lnTo>
                                      <a:lnTo>
                                        <a:pt x="558394" y="221290"/>
                                      </a:lnTo>
                                      <a:lnTo>
                                        <a:pt x="561465" y="227878"/>
                                      </a:lnTo>
                                      <a:lnTo>
                                        <a:pt x="564807" y="234466"/>
                                      </a:lnTo>
                                      <a:lnTo>
                                        <a:pt x="569232" y="240784"/>
                                      </a:lnTo>
                                      <a:lnTo>
                                        <a:pt x="573567" y="247372"/>
                                      </a:lnTo>
                                      <a:lnTo>
                                        <a:pt x="577992" y="253960"/>
                                      </a:lnTo>
                                      <a:lnTo>
                                        <a:pt x="582146" y="260548"/>
                                      </a:lnTo>
                                      <a:lnTo>
                                        <a:pt x="587655" y="265783"/>
                                      </a:lnTo>
                                      <a:lnTo>
                                        <a:pt x="593164" y="271288"/>
                                      </a:lnTo>
                                      <a:lnTo>
                                        <a:pt x="598402" y="276703"/>
                                      </a:lnTo>
                                      <a:lnTo>
                                        <a:pt x="603911" y="281125"/>
                                      </a:lnTo>
                                      <a:lnTo>
                                        <a:pt x="609420" y="286360"/>
                                      </a:lnTo>
                                      <a:lnTo>
                                        <a:pt x="615742" y="290782"/>
                                      </a:lnTo>
                                      <a:lnTo>
                                        <a:pt x="622335" y="295114"/>
                                      </a:lnTo>
                                      <a:lnTo>
                                        <a:pt x="628928" y="298453"/>
                                      </a:lnTo>
                                      <a:lnTo>
                                        <a:pt x="635249" y="301702"/>
                                      </a:lnTo>
                                      <a:lnTo>
                                        <a:pt x="643016" y="304951"/>
                                      </a:lnTo>
                                      <a:lnTo>
                                        <a:pt x="650422" y="308290"/>
                                      </a:lnTo>
                                      <a:lnTo>
                                        <a:pt x="657014" y="310276"/>
                                      </a:lnTo>
                                      <a:lnTo>
                                        <a:pt x="664510" y="312442"/>
                                      </a:lnTo>
                                      <a:lnTo>
                                        <a:pt x="672187" y="314608"/>
                                      </a:lnTo>
                                      <a:lnTo>
                                        <a:pt x="679863" y="315691"/>
                                      </a:lnTo>
                                      <a:lnTo>
                                        <a:pt x="688443" y="316864"/>
                                      </a:lnTo>
                                      <a:lnTo>
                                        <a:pt x="696119" y="317947"/>
                                      </a:lnTo>
                                      <a:lnTo>
                                        <a:pt x="704699" y="317947"/>
                                      </a:lnTo>
                                      <a:lnTo>
                                        <a:pt x="712375" y="317947"/>
                                      </a:lnTo>
                                      <a:lnTo>
                                        <a:pt x="720955" y="316864"/>
                                      </a:lnTo>
                                      <a:lnTo>
                                        <a:pt x="728631" y="315691"/>
                                      </a:lnTo>
                                      <a:lnTo>
                                        <a:pt x="736037" y="314608"/>
                                      </a:lnTo>
                                      <a:lnTo>
                                        <a:pt x="743804" y="312442"/>
                                      </a:lnTo>
                                      <a:lnTo>
                                        <a:pt x="751209" y="310276"/>
                                      </a:lnTo>
                                      <a:lnTo>
                                        <a:pt x="758886" y="308290"/>
                                      </a:lnTo>
                                      <a:lnTo>
                                        <a:pt x="765478" y="304951"/>
                                      </a:lnTo>
                                      <a:lnTo>
                                        <a:pt x="799074" y="286360"/>
                                      </a:lnTo>
                                      <a:lnTo>
                                        <a:pt x="804402" y="281125"/>
                                      </a:lnTo>
                                      <a:lnTo>
                                        <a:pt x="810995" y="276703"/>
                                      </a:lnTo>
                                      <a:lnTo>
                                        <a:pt x="816414" y="271288"/>
                                      </a:lnTo>
                                      <a:lnTo>
                                        <a:pt x="821742" y="265783"/>
                                      </a:lnTo>
                                      <a:lnTo>
                                        <a:pt x="826077" y="260548"/>
                                      </a:lnTo>
                                      <a:lnTo>
                                        <a:pt x="831586" y="253960"/>
                                      </a:lnTo>
                                      <a:lnTo>
                                        <a:pt x="836011" y="247372"/>
                                      </a:lnTo>
                                      <a:lnTo>
                                        <a:pt x="839082" y="240784"/>
                                      </a:lnTo>
                                      <a:lnTo>
                                        <a:pt x="843417" y="234466"/>
                                      </a:lnTo>
                                      <a:lnTo>
                                        <a:pt x="846758" y="227878"/>
                                      </a:lnTo>
                                      <a:lnTo>
                                        <a:pt x="850010" y="221290"/>
                                      </a:lnTo>
                                      <a:lnTo>
                                        <a:pt x="853351" y="213890"/>
                                      </a:lnTo>
                                      <a:lnTo>
                                        <a:pt x="855338" y="206219"/>
                                      </a:lnTo>
                                      <a:lnTo>
                                        <a:pt x="857506" y="198547"/>
                                      </a:lnTo>
                                      <a:lnTo>
                                        <a:pt x="859673" y="191057"/>
                                      </a:lnTo>
                                      <a:lnTo>
                                        <a:pt x="860757" y="183386"/>
                                      </a:lnTo>
                                      <a:lnTo>
                                        <a:pt x="861931" y="174631"/>
                                      </a:lnTo>
                                      <a:lnTo>
                                        <a:pt x="861931" y="167141"/>
                                      </a:lnTo>
                                      <a:lnTo>
                                        <a:pt x="863015" y="159470"/>
                                      </a:lnTo>
                                      <a:lnTo>
                                        <a:pt x="861931" y="150715"/>
                                      </a:lnTo>
                                      <a:lnTo>
                                        <a:pt x="861931" y="143315"/>
                                      </a:lnTo>
                                      <a:lnTo>
                                        <a:pt x="860757" y="134561"/>
                                      </a:lnTo>
                                      <a:lnTo>
                                        <a:pt x="859673" y="126890"/>
                                      </a:lnTo>
                                      <a:lnTo>
                                        <a:pt x="857506" y="119399"/>
                                      </a:lnTo>
                                      <a:lnTo>
                                        <a:pt x="855338" y="111728"/>
                                      </a:lnTo>
                                      <a:lnTo>
                                        <a:pt x="853351" y="104057"/>
                                      </a:lnTo>
                                      <a:lnTo>
                                        <a:pt x="850010" y="97739"/>
                                      </a:lnTo>
                                      <a:lnTo>
                                        <a:pt x="846758" y="90068"/>
                                      </a:lnTo>
                                      <a:lnTo>
                                        <a:pt x="843417" y="83480"/>
                                      </a:lnTo>
                                      <a:lnTo>
                                        <a:pt x="839082" y="77162"/>
                                      </a:lnTo>
                                      <a:lnTo>
                                        <a:pt x="836011" y="70574"/>
                                      </a:lnTo>
                                      <a:lnTo>
                                        <a:pt x="831586" y="63986"/>
                                      </a:lnTo>
                                      <a:lnTo>
                                        <a:pt x="826077" y="57398"/>
                                      </a:lnTo>
                                      <a:lnTo>
                                        <a:pt x="821742" y="52163"/>
                                      </a:lnTo>
                                      <a:lnTo>
                                        <a:pt x="816414" y="46658"/>
                                      </a:lnTo>
                                      <a:lnTo>
                                        <a:pt x="810995" y="41153"/>
                                      </a:lnTo>
                                      <a:lnTo>
                                        <a:pt x="804402" y="36821"/>
                                      </a:lnTo>
                                      <a:lnTo>
                                        <a:pt x="799074" y="31587"/>
                                      </a:lnTo>
                                      <a:lnTo>
                                        <a:pt x="792481" y="27164"/>
                                      </a:lnTo>
                                      <a:lnTo>
                                        <a:pt x="785889" y="22742"/>
                                      </a:lnTo>
                                      <a:lnTo>
                                        <a:pt x="779567" y="19493"/>
                                      </a:lnTo>
                                      <a:lnTo>
                                        <a:pt x="772974" y="16244"/>
                                      </a:lnTo>
                                      <a:lnTo>
                                        <a:pt x="765478" y="12905"/>
                                      </a:lnTo>
                                      <a:lnTo>
                                        <a:pt x="758886" y="9656"/>
                                      </a:lnTo>
                                      <a:lnTo>
                                        <a:pt x="751209" y="7671"/>
                                      </a:lnTo>
                                      <a:lnTo>
                                        <a:pt x="743804" y="5505"/>
                                      </a:lnTo>
                                      <a:lnTo>
                                        <a:pt x="736037" y="3248"/>
                                      </a:lnTo>
                                      <a:lnTo>
                                        <a:pt x="728631" y="2165"/>
                                      </a:lnTo>
                                      <a:lnTo>
                                        <a:pt x="720955" y="1082"/>
                                      </a:lnTo>
                                      <a:lnTo>
                                        <a:pt x="712375" y="0"/>
                                      </a:lnTo>
                                      <a:lnTo>
                                        <a:pt x="704699" y="0"/>
                                      </a:lnTo>
                                    </a:path>
                                    <a:path w="863600" h="318135">
                                      <a:moveTo>
                                        <a:pt x="124719" y="33482"/>
                                      </a:moveTo>
                                      <a:lnTo>
                                        <a:pt x="118127" y="34655"/>
                                      </a:lnTo>
                                      <a:lnTo>
                                        <a:pt x="111624" y="34655"/>
                                      </a:lnTo>
                                      <a:lnTo>
                                        <a:pt x="105212" y="35738"/>
                                      </a:lnTo>
                                      <a:lnTo>
                                        <a:pt x="99703" y="36821"/>
                                      </a:lnTo>
                                      <a:lnTo>
                                        <a:pt x="93381" y="37904"/>
                                      </a:lnTo>
                                      <a:lnTo>
                                        <a:pt x="87872" y="40070"/>
                                      </a:lnTo>
                                      <a:lnTo>
                                        <a:pt x="45516" y="62903"/>
                                      </a:lnTo>
                                      <a:lnTo>
                                        <a:pt x="35853" y="70574"/>
                                      </a:lnTo>
                                      <a:lnTo>
                                        <a:pt x="28177" y="79058"/>
                                      </a:lnTo>
                                      <a:lnTo>
                                        <a:pt x="20681" y="88985"/>
                                      </a:lnTo>
                                      <a:lnTo>
                                        <a:pt x="15172" y="99905"/>
                                      </a:lnTo>
                                      <a:lnTo>
                                        <a:pt x="9663" y="110645"/>
                                      </a:lnTo>
                                      <a:lnTo>
                                        <a:pt x="1174" y="139976"/>
                                      </a:lnTo>
                                      <a:lnTo>
                                        <a:pt x="0" y="146564"/>
                                      </a:lnTo>
                                      <a:lnTo>
                                        <a:pt x="0" y="152972"/>
                                      </a:lnTo>
                                      <a:lnTo>
                                        <a:pt x="0" y="159470"/>
                                      </a:lnTo>
                                      <a:lnTo>
                                        <a:pt x="0" y="164975"/>
                                      </a:lnTo>
                                      <a:lnTo>
                                        <a:pt x="0" y="171382"/>
                                      </a:lnTo>
                                      <a:lnTo>
                                        <a:pt x="1174" y="177880"/>
                                      </a:lnTo>
                                      <a:lnTo>
                                        <a:pt x="15172" y="218041"/>
                                      </a:lnTo>
                                      <a:lnTo>
                                        <a:pt x="20681" y="228961"/>
                                      </a:lnTo>
                                      <a:lnTo>
                                        <a:pt x="28177" y="238798"/>
                                      </a:lnTo>
                                      <a:lnTo>
                                        <a:pt x="35853" y="247372"/>
                                      </a:lnTo>
                                      <a:lnTo>
                                        <a:pt x="45516" y="255043"/>
                                      </a:lnTo>
                                      <a:lnTo>
                                        <a:pt x="54277" y="262714"/>
                                      </a:lnTo>
                                      <a:lnTo>
                                        <a:pt x="65024" y="269032"/>
                                      </a:lnTo>
                                      <a:lnTo>
                                        <a:pt x="76042" y="274537"/>
                                      </a:lnTo>
                                      <a:lnTo>
                                        <a:pt x="81280" y="276703"/>
                                      </a:lnTo>
                                      <a:lnTo>
                                        <a:pt x="87872" y="277786"/>
                                      </a:lnTo>
                                      <a:lnTo>
                                        <a:pt x="93381" y="280042"/>
                                      </a:lnTo>
                                      <a:lnTo>
                                        <a:pt x="99703" y="281125"/>
                                      </a:lnTo>
                                      <a:lnTo>
                                        <a:pt x="105212" y="282208"/>
                                      </a:lnTo>
                                      <a:lnTo>
                                        <a:pt x="111624" y="283291"/>
                                      </a:lnTo>
                                      <a:lnTo>
                                        <a:pt x="118127" y="283291"/>
                                      </a:lnTo>
                                      <a:lnTo>
                                        <a:pt x="124719" y="284374"/>
                                      </a:lnTo>
                                      <a:lnTo>
                                        <a:pt x="131132" y="283291"/>
                                      </a:lnTo>
                                      <a:lnTo>
                                        <a:pt x="137724" y="283291"/>
                                      </a:lnTo>
                                      <a:lnTo>
                                        <a:pt x="143233" y="282208"/>
                                      </a:lnTo>
                                      <a:lnTo>
                                        <a:pt x="149555" y="281125"/>
                                      </a:lnTo>
                                      <a:lnTo>
                                        <a:pt x="156148" y="280042"/>
                                      </a:lnTo>
                                      <a:lnTo>
                                        <a:pt x="161657" y="277786"/>
                                      </a:lnTo>
                                      <a:lnTo>
                                        <a:pt x="166895" y="276703"/>
                                      </a:lnTo>
                                      <a:lnTo>
                                        <a:pt x="203832" y="255043"/>
                                      </a:lnTo>
                                      <a:lnTo>
                                        <a:pt x="234086" y="218041"/>
                                      </a:lnTo>
                                      <a:lnTo>
                                        <a:pt x="241763" y="201796"/>
                                      </a:lnTo>
                                      <a:lnTo>
                                        <a:pt x="244021" y="196291"/>
                                      </a:lnTo>
                                      <a:lnTo>
                                        <a:pt x="245104" y="189974"/>
                                      </a:lnTo>
                                      <a:lnTo>
                                        <a:pt x="247272" y="184469"/>
                                      </a:lnTo>
                                      <a:lnTo>
                                        <a:pt x="248356" y="177880"/>
                                      </a:lnTo>
                                      <a:lnTo>
                                        <a:pt x="248356" y="171382"/>
                                      </a:lnTo>
                                      <a:lnTo>
                                        <a:pt x="249439" y="164975"/>
                                      </a:lnTo>
                                      <a:lnTo>
                                        <a:pt x="249439" y="159470"/>
                                      </a:lnTo>
                                      <a:lnTo>
                                        <a:pt x="249439" y="152972"/>
                                      </a:lnTo>
                                      <a:lnTo>
                                        <a:pt x="248356" y="146564"/>
                                      </a:lnTo>
                                      <a:lnTo>
                                        <a:pt x="248356" y="139976"/>
                                      </a:lnTo>
                                      <a:lnTo>
                                        <a:pt x="247272" y="133478"/>
                                      </a:lnTo>
                                      <a:lnTo>
                                        <a:pt x="245104" y="127973"/>
                                      </a:lnTo>
                                      <a:lnTo>
                                        <a:pt x="244021" y="121565"/>
                                      </a:lnTo>
                                      <a:lnTo>
                                        <a:pt x="241763" y="116150"/>
                                      </a:lnTo>
                                      <a:lnTo>
                                        <a:pt x="239595" y="110645"/>
                                      </a:lnTo>
                                      <a:lnTo>
                                        <a:pt x="234086" y="99905"/>
                                      </a:lnTo>
                                      <a:lnTo>
                                        <a:pt x="203832" y="62903"/>
                                      </a:lnTo>
                                      <a:lnTo>
                                        <a:pt x="166895" y="41153"/>
                                      </a:lnTo>
                                      <a:lnTo>
                                        <a:pt x="161657" y="40070"/>
                                      </a:lnTo>
                                      <a:lnTo>
                                        <a:pt x="156148" y="37904"/>
                                      </a:lnTo>
                                      <a:lnTo>
                                        <a:pt x="149555" y="36821"/>
                                      </a:lnTo>
                                      <a:lnTo>
                                        <a:pt x="143233" y="35738"/>
                                      </a:lnTo>
                                      <a:lnTo>
                                        <a:pt x="137724" y="34655"/>
                                      </a:lnTo>
                                      <a:lnTo>
                                        <a:pt x="131132" y="34655"/>
                                      </a:lnTo>
                                      <a:lnTo>
                                        <a:pt x="124719" y="33482"/>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126" name="Image 1378"/>
                                <pic:cNvPicPr/>
                              </pic:nvPicPr>
                              <pic:blipFill>
                                <a:blip r:embed="rId107" cstate="print"/>
                                <a:stretch>
                                  <a:fillRect/>
                                </a:stretch>
                              </pic:blipFill>
                              <pic:spPr>
                                <a:xfrm>
                                  <a:off x="294956" y="55412"/>
                                  <a:ext cx="212495" cy="213887"/>
                                </a:xfrm>
                                <a:prstGeom prst="rect">
                                  <a:avLst/>
                                </a:prstGeom>
                              </pic:spPr>
                            </pic:pic>
                            <wps:wsp>
                              <wps:cNvPr id="1127" name="Graphic 1379"/>
                              <wps:cNvSpPr/>
                              <wps:spPr>
                                <a:xfrm>
                                  <a:off x="549676" y="3292"/>
                                  <a:ext cx="316865" cy="318135"/>
                                </a:xfrm>
                                <a:custGeom>
                                  <a:avLst/>
                                  <a:gdLst/>
                                  <a:ahLst/>
                                  <a:cxnLst/>
                                  <a:rect l="l" t="t" r="r" b="b"/>
                                  <a:pathLst>
                                    <a:path w="316865" h="318135">
                                      <a:moveTo>
                                        <a:pt x="158315" y="0"/>
                                      </a:moveTo>
                                      <a:lnTo>
                                        <a:pt x="149736" y="0"/>
                                      </a:lnTo>
                                      <a:lnTo>
                                        <a:pt x="142059" y="1082"/>
                                      </a:lnTo>
                                      <a:lnTo>
                                        <a:pt x="133480" y="2165"/>
                                      </a:lnTo>
                                      <a:lnTo>
                                        <a:pt x="125803" y="3248"/>
                                      </a:lnTo>
                                      <a:lnTo>
                                        <a:pt x="118127" y="5505"/>
                                      </a:lnTo>
                                      <a:lnTo>
                                        <a:pt x="110631" y="7671"/>
                                      </a:lnTo>
                                      <a:lnTo>
                                        <a:pt x="104038" y="9656"/>
                                      </a:lnTo>
                                      <a:lnTo>
                                        <a:pt x="96633" y="12905"/>
                                      </a:lnTo>
                                      <a:lnTo>
                                        <a:pt x="88866" y="16244"/>
                                      </a:lnTo>
                                      <a:lnTo>
                                        <a:pt x="82544" y="19493"/>
                                      </a:lnTo>
                                      <a:lnTo>
                                        <a:pt x="75951" y="22742"/>
                                      </a:lnTo>
                                      <a:lnTo>
                                        <a:pt x="69359" y="27164"/>
                                      </a:lnTo>
                                      <a:lnTo>
                                        <a:pt x="63037" y="31587"/>
                                      </a:lnTo>
                                      <a:lnTo>
                                        <a:pt x="57528" y="36821"/>
                                      </a:lnTo>
                                      <a:lnTo>
                                        <a:pt x="52019" y="41153"/>
                                      </a:lnTo>
                                      <a:lnTo>
                                        <a:pt x="46781" y="46658"/>
                                      </a:lnTo>
                                      <a:lnTo>
                                        <a:pt x="41272" y="52163"/>
                                      </a:lnTo>
                                      <a:lnTo>
                                        <a:pt x="35763" y="57398"/>
                                      </a:lnTo>
                                      <a:lnTo>
                                        <a:pt x="31608" y="63986"/>
                                      </a:lnTo>
                                      <a:lnTo>
                                        <a:pt x="27183" y="70574"/>
                                      </a:lnTo>
                                      <a:lnTo>
                                        <a:pt x="22848" y="77162"/>
                                      </a:lnTo>
                                      <a:lnTo>
                                        <a:pt x="18423" y="83480"/>
                                      </a:lnTo>
                                      <a:lnTo>
                                        <a:pt x="15081" y="90068"/>
                                      </a:lnTo>
                                      <a:lnTo>
                                        <a:pt x="12011" y="97739"/>
                                      </a:lnTo>
                                      <a:lnTo>
                                        <a:pt x="9843" y="104057"/>
                                      </a:lnTo>
                                      <a:lnTo>
                                        <a:pt x="6592" y="111728"/>
                                      </a:lnTo>
                                      <a:lnTo>
                                        <a:pt x="4334" y="119399"/>
                                      </a:lnTo>
                                      <a:lnTo>
                                        <a:pt x="3251" y="126890"/>
                                      </a:lnTo>
                                      <a:lnTo>
                                        <a:pt x="1083" y="134561"/>
                                      </a:lnTo>
                                      <a:lnTo>
                                        <a:pt x="1083" y="143315"/>
                                      </a:lnTo>
                                      <a:lnTo>
                                        <a:pt x="0" y="150715"/>
                                      </a:lnTo>
                                      <a:lnTo>
                                        <a:pt x="0" y="159470"/>
                                      </a:lnTo>
                                      <a:lnTo>
                                        <a:pt x="0" y="167141"/>
                                      </a:lnTo>
                                      <a:lnTo>
                                        <a:pt x="1083" y="174631"/>
                                      </a:lnTo>
                                      <a:lnTo>
                                        <a:pt x="1083" y="183386"/>
                                      </a:lnTo>
                                      <a:lnTo>
                                        <a:pt x="3251" y="191057"/>
                                      </a:lnTo>
                                      <a:lnTo>
                                        <a:pt x="4334" y="198547"/>
                                      </a:lnTo>
                                      <a:lnTo>
                                        <a:pt x="6592" y="206219"/>
                                      </a:lnTo>
                                      <a:lnTo>
                                        <a:pt x="9843" y="213890"/>
                                      </a:lnTo>
                                      <a:lnTo>
                                        <a:pt x="12011" y="221290"/>
                                      </a:lnTo>
                                      <a:lnTo>
                                        <a:pt x="15081" y="227878"/>
                                      </a:lnTo>
                                      <a:lnTo>
                                        <a:pt x="18423" y="234466"/>
                                      </a:lnTo>
                                      <a:lnTo>
                                        <a:pt x="22848" y="240784"/>
                                      </a:lnTo>
                                      <a:lnTo>
                                        <a:pt x="27183" y="247372"/>
                                      </a:lnTo>
                                      <a:lnTo>
                                        <a:pt x="31608" y="253960"/>
                                      </a:lnTo>
                                      <a:lnTo>
                                        <a:pt x="35763" y="260548"/>
                                      </a:lnTo>
                                      <a:lnTo>
                                        <a:pt x="41272" y="265783"/>
                                      </a:lnTo>
                                      <a:lnTo>
                                        <a:pt x="46781" y="271288"/>
                                      </a:lnTo>
                                      <a:lnTo>
                                        <a:pt x="52019" y="276703"/>
                                      </a:lnTo>
                                      <a:lnTo>
                                        <a:pt x="57528" y="281125"/>
                                      </a:lnTo>
                                      <a:lnTo>
                                        <a:pt x="63037" y="286360"/>
                                      </a:lnTo>
                                      <a:lnTo>
                                        <a:pt x="69359" y="290782"/>
                                      </a:lnTo>
                                      <a:lnTo>
                                        <a:pt x="75951" y="295114"/>
                                      </a:lnTo>
                                      <a:lnTo>
                                        <a:pt x="82544" y="298453"/>
                                      </a:lnTo>
                                      <a:lnTo>
                                        <a:pt x="88866" y="301702"/>
                                      </a:lnTo>
                                      <a:lnTo>
                                        <a:pt x="96633" y="304951"/>
                                      </a:lnTo>
                                      <a:lnTo>
                                        <a:pt x="104038" y="308290"/>
                                      </a:lnTo>
                                      <a:lnTo>
                                        <a:pt x="110631" y="310276"/>
                                      </a:lnTo>
                                      <a:lnTo>
                                        <a:pt x="118127" y="312442"/>
                                      </a:lnTo>
                                      <a:lnTo>
                                        <a:pt x="125803" y="314608"/>
                                      </a:lnTo>
                                      <a:lnTo>
                                        <a:pt x="133480" y="315691"/>
                                      </a:lnTo>
                                      <a:lnTo>
                                        <a:pt x="142059" y="316864"/>
                                      </a:lnTo>
                                      <a:lnTo>
                                        <a:pt x="149736" y="317947"/>
                                      </a:lnTo>
                                      <a:lnTo>
                                        <a:pt x="158315" y="317947"/>
                                      </a:lnTo>
                                      <a:lnTo>
                                        <a:pt x="165992" y="317947"/>
                                      </a:lnTo>
                                      <a:lnTo>
                                        <a:pt x="174571" y="316864"/>
                                      </a:lnTo>
                                      <a:lnTo>
                                        <a:pt x="182248" y="315691"/>
                                      </a:lnTo>
                                      <a:lnTo>
                                        <a:pt x="189653" y="314608"/>
                                      </a:lnTo>
                                      <a:lnTo>
                                        <a:pt x="197420" y="312442"/>
                                      </a:lnTo>
                                      <a:lnTo>
                                        <a:pt x="204826" y="310276"/>
                                      </a:lnTo>
                                      <a:lnTo>
                                        <a:pt x="212502" y="308290"/>
                                      </a:lnTo>
                                      <a:lnTo>
                                        <a:pt x="219095" y="304951"/>
                                      </a:lnTo>
                                      <a:lnTo>
                                        <a:pt x="252691" y="286360"/>
                                      </a:lnTo>
                                      <a:lnTo>
                                        <a:pt x="258019" y="281125"/>
                                      </a:lnTo>
                                      <a:lnTo>
                                        <a:pt x="264612" y="276703"/>
                                      </a:lnTo>
                                      <a:lnTo>
                                        <a:pt x="270030" y="271288"/>
                                      </a:lnTo>
                                      <a:lnTo>
                                        <a:pt x="275359" y="265783"/>
                                      </a:lnTo>
                                      <a:lnTo>
                                        <a:pt x="279694" y="260548"/>
                                      </a:lnTo>
                                      <a:lnTo>
                                        <a:pt x="285203" y="253960"/>
                                      </a:lnTo>
                                      <a:lnTo>
                                        <a:pt x="289628" y="247372"/>
                                      </a:lnTo>
                                      <a:lnTo>
                                        <a:pt x="292699" y="240784"/>
                                      </a:lnTo>
                                      <a:lnTo>
                                        <a:pt x="297033" y="234466"/>
                                      </a:lnTo>
                                      <a:lnTo>
                                        <a:pt x="300375" y="227878"/>
                                      </a:lnTo>
                                      <a:lnTo>
                                        <a:pt x="303626" y="221290"/>
                                      </a:lnTo>
                                      <a:lnTo>
                                        <a:pt x="306968" y="213890"/>
                                      </a:lnTo>
                                      <a:lnTo>
                                        <a:pt x="308955" y="206219"/>
                                      </a:lnTo>
                                      <a:lnTo>
                                        <a:pt x="311122" y="198547"/>
                                      </a:lnTo>
                                      <a:lnTo>
                                        <a:pt x="313289" y="191057"/>
                                      </a:lnTo>
                                      <a:lnTo>
                                        <a:pt x="314373" y="183386"/>
                                      </a:lnTo>
                                      <a:lnTo>
                                        <a:pt x="315547" y="174631"/>
                                      </a:lnTo>
                                      <a:lnTo>
                                        <a:pt x="315547" y="167141"/>
                                      </a:lnTo>
                                      <a:lnTo>
                                        <a:pt x="316631" y="159470"/>
                                      </a:lnTo>
                                      <a:lnTo>
                                        <a:pt x="315547" y="150715"/>
                                      </a:lnTo>
                                      <a:lnTo>
                                        <a:pt x="315547" y="143315"/>
                                      </a:lnTo>
                                      <a:lnTo>
                                        <a:pt x="314373" y="134561"/>
                                      </a:lnTo>
                                      <a:lnTo>
                                        <a:pt x="313289" y="126890"/>
                                      </a:lnTo>
                                      <a:lnTo>
                                        <a:pt x="311122" y="119399"/>
                                      </a:lnTo>
                                      <a:lnTo>
                                        <a:pt x="308955" y="111728"/>
                                      </a:lnTo>
                                      <a:lnTo>
                                        <a:pt x="306968" y="104057"/>
                                      </a:lnTo>
                                      <a:lnTo>
                                        <a:pt x="303626" y="97739"/>
                                      </a:lnTo>
                                      <a:lnTo>
                                        <a:pt x="300375" y="90068"/>
                                      </a:lnTo>
                                      <a:lnTo>
                                        <a:pt x="297033" y="83480"/>
                                      </a:lnTo>
                                      <a:lnTo>
                                        <a:pt x="292699" y="77162"/>
                                      </a:lnTo>
                                      <a:lnTo>
                                        <a:pt x="289628" y="70574"/>
                                      </a:lnTo>
                                      <a:lnTo>
                                        <a:pt x="285203" y="63986"/>
                                      </a:lnTo>
                                      <a:lnTo>
                                        <a:pt x="279694" y="57398"/>
                                      </a:lnTo>
                                      <a:lnTo>
                                        <a:pt x="275359" y="52163"/>
                                      </a:lnTo>
                                      <a:lnTo>
                                        <a:pt x="270030" y="46658"/>
                                      </a:lnTo>
                                      <a:lnTo>
                                        <a:pt x="264612" y="41153"/>
                                      </a:lnTo>
                                      <a:lnTo>
                                        <a:pt x="258019" y="36821"/>
                                      </a:lnTo>
                                      <a:lnTo>
                                        <a:pt x="252691" y="31587"/>
                                      </a:lnTo>
                                      <a:lnTo>
                                        <a:pt x="246098" y="27164"/>
                                      </a:lnTo>
                                      <a:lnTo>
                                        <a:pt x="239505" y="22742"/>
                                      </a:lnTo>
                                      <a:lnTo>
                                        <a:pt x="233183" y="19493"/>
                                      </a:lnTo>
                                      <a:lnTo>
                                        <a:pt x="226591" y="16244"/>
                                      </a:lnTo>
                                      <a:lnTo>
                                        <a:pt x="219095" y="12905"/>
                                      </a:lnTo>
                                      <a:lnTo>
                                        <a:pt x="212502" y="9656"/>
                                      </a:lnTo>
                                      <a:lnTo>
                                        <a:pt x="204826" y="7671"/>
                                      </a:lnTo>
                                      <a:lnTo>
                                        <a:pt x="197420" y="5505"/>
                                      </a:lnTo>
                                      <a:lnTo>
                                        <a:pt x="189653" y="3248"/>
                                      </a:lnTo>
                                      <a:lnTo>
                                        <a:pt x="182248" y="2165"/>
                                      </a:lnTo>
                                      <a:lnTo>
                                        <a:pt x="174571" y="1082"/>
                                      </a:lnTo>
                                      <a:lnTo>
                                        <a:pt x="165992" y="0"/>
                                      </a:lnTo>
                                      <a:lnTo>
                                        <a:pt x="158315" y="0"/>
                                      </a:lnTo>
                                    </a:path>
                                  </a:pathLst>
                                </a:custGeom>
                                <a:ln w="658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234F272" id="Group 1374" o:spid="_x0000_s1026" style="position:absolute;margin-left:63.2pt;margin-top:-29.65pt;width:68.5pt;height:25.6pt;z-index:-251342848;mso-wrap-distance-left:0;mso-wrap-distance-right:0" coordsize="8699,32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">
                      <v:shape id="Graphic 1375" o:spid="_x0000_s1027" style="position:absolute;left:32;top:367;width:2496;height:2515;visibility:visible;mso-wrap-style:square;v-text-anchor:top" coordsize="249554,251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" path="m124719,r-6592,1173l111624,1173r-6412,1083l99703,3339,93381,4422,87872,6588,45516,29421r-9663,7671l28177,45575r-7496,9928l15172,66423,9663,77162,1174,106493,,113082r,6407l,125987r,5505l,137900r1174,6498l15172,184559r5509,10920l28177,205316r7676,8574l45516,221561r8761,7671l65024,235549r11018,5506l81280,243221r6592,1083l93381,246560r6322,1083l105212,248726r6412,1083l118127,249809r6592,1083l131132,249809r6592,l143233,248726r6322,-1083l156148,246560r5509,-2256l166895,243221r36937,-21660l234086,184559r7677,-16245l244021,162809r1083,-6318l247272,150986r1084,-6588l248356,137900r1083,-6408l249439,125987r,-6498l248356,113082r,-6589l247272,99995r-2168,-5505l244021,88083r-2258,-5415l239595,77162,234086,66423,203832,29421,166895,7671,161657,6588,156148,4422,149555,3339,143233,2256,137724,1173r-6592,l124719,e" filled="f" strokeweight=".18292mm">
                        <v:path arrowok="t"/>
                      </v:shape>
                      <v:shape id="Image 1376" o:spid="_x0000_s1028" type="#_x0000_t75" style="position:absolute;left:2949;top:554;width:2125;height:2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">
                        <v:imagedata r:id="rId108" o:title=""/>
                      </v:shape>
                      <v:shape id="Graphic 1377" o:spid="_x0000_s1029" style="position:absolute;left:32;top:32;width:8636;height:3182;visibility:visible;mso-wrap-style:square;v-text-anchor:top" coordsize="863600,318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" path="m704699,r-8580,l688443,1082r-8580,1083l672187,3248r-7677,2257l657014,7671r-6592,1985l643016,12905r-7767,3339l628928,19493r-6593,3249l615742,27164r-6322,4423l603911,36821r-5509,4332l593164,46658r-5509,5505l582146,57398r-4154,6588l573567,70574r-4335,6588l564807,83480r-3342,6588l558394,97739r-2167,6318l552976,111728r-2258,7671l549634,126890r-2167,7671l547467,143315r-1084,7400l546383,159470r,7671l547467,174631r,8755l549634,191057r1084,7490l552976,206219r3251,7671l558394,221290r3071,6588l564807,234466r4425,6318l573567,247372r4425,6588l582146,260548r5509,5235l593164,271288r5238,5415l603911,281125r5509,5235l615742,290782r6593,4332l628928,298453r6321,3249l643016,304951r7406,3339l657014,310276r7496,2166l672187,314608r7676,1083l688443,316864r7676,1083l704699,317947r7676,l720955,316864r7676,-1173l736037,314608r7767,-2166l751209,310276r7677,-1986l765478,304951r33596,-18591l804402,281125r6593,-4422l816414,271288r5328,-5505l826077,260548r5509,-6588l836011,247372r3071,-6588l843417,234466r3341,-6588l850010,221290r3341,-7400l855338,206219r2168,-7672l859673,191057r1084,-7671l861931,174631r,-7490l863015,159470r-1084,-8755l861931,143315r-1174,-8754l859673,126890r-2167,-7491l855338,111728r-1987,-7671l850010,97739r-3252,-7671l843417,83480r-4335,-6318l836011,70574r-4425,-6588l826077,57398r-4335,-5235l816414,46658r-5419,-5505l804402,36821r-5328,-5234l792481,27164r-6592,-4422l779567,19493r-6593,-3249l765478,12905,758886,9656,751209,7671,743804,5505,736037,3248,728631,2165,720955,1082,712375,r-7676,em124719,33482r-6592,1173l111624,34655r-6412,1083l99703,36821r-6322,1083l87872,40070,45516,62903r-9663,7671l28177,79058r-7496,9927l15172,99905,9663,110645,1174,139976,,146564r,6408l,159470r,5505l,171382r1174,6498l15172,218041r5509,10920l28177,238798r7676,8574l45516,255043r8761,7671l65024,269032r11018,5505l81280,276703r6592,1083l93381,280042r6322,1083l105212,282208r6412,1083l118127,283291r6592,1083l131132,283291r6592,l143233,282208r6322,-1083l156148,280042r5509,-2256l166895,276703r36937,-21660l234086,218041r7677,-16245l244021,196291r1083,-6317l247272,184469r1084,-6589l248356,171382r1083,-6407l249439,159470r,-6498l248356,146564r,-6588l247272,133478r-2168,-5505l244021,121565r-2258,-5415l239595,110645,234086,99905,203832,62903,166895,41153r-5238,-1083l156148,37904r-6593,-1083l143233,35738r-5509,-1083l131132,34655r-6413,-1173e" filled="f" strokeweight=".18292mm">
                        <v:path arrowok="t"/>
                      </v:shape>
                      <v:shape id="Image 1378" o:spid="_x0000_s1030" type="#_x0000_t75" style="position:absolute;left:2949;top:554;width:2125;height:2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">
                        <v:imagedata r:id="rId108" o:title=""/>
                      </v:shape>
                      <v:shape id="Graphic 1379" o:spid="_x0000_s1031" style="position:absolute;left:5496;top:32;width:3169;height:3182;visibility:visible;mso-wrap-style:square;v-text-anchor:top" coordsize="316865,318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" path="m158315,r-8579,l142059,1082r-8579,1083l125803,3248r-7676,2257l110631,7671r-6593,1985l96633,12905r-7767,3339l82544,19493r-6593,3249l69359,27164r-6322,4423l57528,36821r-5509,4332l46781,46658r-5509,5505l35763,57398r-4155,6588l27183,70574r-4335,6588l18423,83480r-3342,6588l12011,97739r-2168,6318l6592,111728r-2258,7671l3251,126890r-2168,7671l1083,143315,,150715r,8755l,167141r1083,7490l1083,183386r2168,7671l4334,198547r2258,7672l9843,213890r2168,7400l15081,227878r3342,6588l22848,240784r4335,6588l31608,253960r4155,6588l41272,265783r5509,5505l52019,276703r5509,4422l63037,286360r6322,4422l75951,295114r6593,3339l88866,301702r7767,3249l104038,308290r6593,1986l118127,312442r7676,2166l133480,315691r8579,1173l149736,317947r8579,l165992,317947r8579,-1083l182248,315691r7405,-1083l197420,312442r7406,-2166l212502,308290r6593,-3339l252691,286360r5328,-5235l264612,276703r5418,-5415l275359,265783r4335,-5235l285203,253960r4425,-6588l292699,240784r4334,-6318l300375,227878r3251,-6588l306968,213890r1987,-7671l311122,198547r2167,-7490l314373,183386r1174,-8755l315547,167141r1084,-7671l315547,150715r,-7400l314373,134561r-1084,-7671l311122,119399r-2167,-7671l306968,104057r-3342,-6318l300375,90068r-3342,-6588l292699,77162r-3071,-6588l285203,63986r-5509,-6588l275359,52163r-5329,-5505l264612,41153r-6593,-4332l252691,31587r-6593,-4423l239505,22742r-6322,-3249l226591,16244r-7496,-3339l212502,9656,204826,7671,197420,5505,189653,3248,182248,2165,174571,1082,165992,r-7677,e" filled="f" strokeweight=".18292mm">
                        <v:path arrowok="t"/>
                      </v:shape>
                    </v:group>
                  </w:pict>
                </mc:Fallback>
              </mc:AlternateContent>
            </w:r>
          </w:p>
        </w:tc>
      </w:tr>
      <w:tr w:rsidR="00FF7799" w:rsidRPr="00E73F6F" w14:paraId="015F3945" w14:textId="77777777" w:rsidTr="00A67B23">
        <w:trPr>
          <w:trHeight w:val="973"/>
        </w:trPr>
        <w:tc>
          <w:tcPr>
            <w:tcW w:w="4599" w:type="dxa"/>
          </w:tcPr>
          <w:p w14:paraId="3C051AD6" w14:textId="77777777" w:rsidR="00FF7799" w:rsidRPr="00E73F6F" w:rsidRDefault="00FF7799" w:rsidP="00862DBA">
            <w:pPr>
              <w:rPr>
                <w:i/>
                <w:sz w:val="24"/>
                <w:szCs w:val="24"/>
                <w:lang w:val="de-DE"/>
              </w:rPr>
            </w:pPr>
          </w:p>
          <w:p w14:paraId="2AE35843" w14:textId="77777777" w:rsidR="00FF7799" w:rsidRPr="00E73F6F" w:rsidRDefault="00FF7799" w:rsidP="00862DBA">
            <w:pPr>
              <w:spacing w:before="1"/>
              <w:rPr>
                <w:sz w:val="24"/>
                <w:szCs w:val="24"/>
                <w:lang w:val="de-DE"/>
              </w:rPr>
            </w:pPr>
            <w:r w:rsidRPr="00E73F6F">
              <w:rPr>
                <w:noProof/>
                <w:sz w:val="24"/>
                <w:szCs w:val="24"/>
                <w:lang w:eastAsia="de-DE"/>
              </w:rPr>
              <mc:AlternateContent>
                <mc:Choice Requires="wpg">
                  <w:drawing>
                    <wp:anchor distT="0" distB="0" distL="0" distR="0" simplePos="0" relativeHeight="251967488" behindDoc="1" locked="0" layoutInCell="1" allowOverlap="1" wp14:anchorId="68192C6B" wp14:editId="28C9ED8C">
                      <wp:simplePos x="0" y="0"/>
                      <wp:positionH relativeFrom="column">
                        <wp:posOffset>1026560</wp:posOffset>
                      </wp:positionH>
                      <wp:positionV relativeFrom="paragraph">
                        <wp:posOffset>-69107</wp:posOffset>
                      </wp:positionV>
                      <wp:extent cx="492759" cy="302260"/>
                      <wp:effectExtent l="0" t="0" r="0" b="0"/>
                      <wp:wrapNone/>
                      <wp:docPr id="1128" name="Group 13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2759" cy="302260"/>
                                <a:chOff x="0" y="0"/>
                                <a:chExt cx="492759" cy="302260"/>
                              </a:xfrm>
                            </wpg:grpSpPr>
                            <pic:pic xmlns:pic="http://schemas.openxmlformats.org/drawingml/2006/picture">
                              <pic:nvPicPr>
                                <pic:cNvPr id="1129" name="Image 1381"/>
                                <pic:cNvPicPr/>
                              </pic:nvPicPr>
                              <pic:blipFill>
                                <a:blip r:embed="rId109" cstate="print"/>
                                <a:stretch>
                                  <a:fillRect/>
                                </a:stretch>
                              </pic:blipFill>
                              <pic:spPr>
                                <a:xfrm>
                                  <a:off x="0" y="43409"/>
                                  <a:ext cx="300367" cy="212714"/>
                                </a:xfrm>
                                <a:prstGeom prst="rect">
                                  <a:avLst/>
                                </a:prstGeom>
                              </pic:spPr>
                            </pic:pic>
                            <wps:wsp>
                              <wps:cNvPr id="1130" name="Graphic 1382"/>
                              <wps:cNvSpPr/>
                              <wps:spPr>
                                <a:xfrm>
                                  <a:off x="195204" y="3292"/>
                                  <a:ext cx="294005" cy="295275"/>
                                </a:xfrm>
                                <a:custGeom>
                                  <a:avLst/>
                                  <a:gdLst/>
                                  <a:ahLst/>
                                  <a:cxnLst/>
                                  <a:rect l="l" t="t" r="r" b="b"/>
                                  <a:pathLst>
                                    <a:path w="294005" h="295275">
                                      <a:moveTo>
                                        <a:pt x="146484" y="0"/>
                                      </a:moveTo>
                                      <a:lnTo>
                                        <a:pt x="138808" y="0"/>
                                      </a:lnTo>
                                      <a:lnTo>
                                        <a:pt x="132215" y="0"/>
                                      </a:lnTo>
                                      <a:lnTo>
                                        <a:pt x="124719" y="1082"/>
                                      </a:lnTo>
                                      <a:lnTo>
                                        <a:pt x="117043" y="3339"/>
                                      </a:lnTo>
                                      <a:lnTo>
                                        <a:pt x="110631" y="4422"/>
                                      </a:lnTo>
                                      <a:lnTo>
                                        <a:pt x="102954" y="6588"/>
                                      </a:lnTo>
                                      <a:lnTo>
                                        <a:pt x="96362" y="8754"/>
                                      </a:lnTo>
                                      <a:lnTo>
                                        <a:pt x="90040" y="11010"/>
                                      </a:lnTo>
                                      <a:lnTo>
                                        <a:pt x="83447" y="14078"/>
                                      </a:lnTo>
                                      <a:lnTo>
                                        <a:pt x="77035" y="17327"/>
                                      </a:lnTo>
                                      <a:lnTo>
                                        <a:pt x="70442" y="20576"/>
                                      </a:lnTo>
                                      <a:lnTo>
                                        <a:pt x="65024" y="24998"/>
                                      </a:lnTo>
                                      <a:lnTo>
                                        <a:pt x="58612" y="29421"/>
                                      </a:lnTo>
                                      <a:lnTo>
                                        <a:pt x="53103" y="33753"/>
                                      </a:lnTo>
                                      <a:lnTo>
                                        <a:pt x="43439" y="43409"/>
                                      </a:lnTo>
                                      <a:lnTo>
                                        <a:pt x="33595" y="53246"/>
                                      </a:lnTo>
                                      <a:lnTo>
                                        <a:pt x="29170" y="58481"/>
                                      </a:lnTo>
                                      <a:lnTo>
                                        <a:pt x="25016" y="65069"/>
                                      </a:lnTo>
                                      <a:lnTo>
                                        <a:pt x="21765" y="70574"/>
                                      </a:lnTo>
                                      <a:lnTo>
                                        <a:pt x="17339" y="77162"/>
                                      </a:lnTo>
                                      <a:lnTo>
                                        <a:pt x="14088" y="83480"/>
                                      </a:lnTo>
                                      <a:lnTo>
                                        <a:pt x="11830" y="90068"/>
                                      </a:lnTo>
                                      <a:lnTo>
                                        <a:pt x="8760" y="96656"/>
                                      </a:lnTo>
                                      <a:lnTo>
                                        <a:pt x="6592" y="103244"/>
                                      </a:lnTo>
                                      <a:lnTo>
                                        <a:pt x="4425" y="110645"/>
                                      </a:lnTo>
                                      <a:lnTo>
                                        <a:pt x="3251" y="117233"/>
                                      </a:lnTo>
                                      <a:lnTo>
                                        <a:pt x="2167" y="124904"/>
                                      </a:lnTo>
                                      <a:lnTo>
                                        <a:pt x="1083" y="132395"/>
                                      </a:lnTo>
                                      <a:lnTo>
                                        <a:pt x="0" y="140066"/>
                                      </a:lnTo>
                                      <a:lnTo>
                                        <a:pt x="0" y="147737"/>
                                      </a:lnTo>
                                      <a:lnTo>
                                        <a:pt x="0" y="155138"/>
                                      </a:lnTo>
                                      <a:lnTo>
                                        <a:pt x="1083" y="162809"/>
                                      </a:lnTo>
                                      <a:lnTo>
                                        <a:pt x="2167" y="169397"/>
                                      </a:lnTo>
                                      <a:lnTo>
                                        <a:pt x="3251" y="176797"/>
                                      </a:lnTo>
                                      <a:lnTo>
                                        <a:pt x="4425" y="184469"/>
                                      </a:lnTo>
                                      <a:lnTo>
                                        <a:pt x="6592" y="191057"/>
                                      </a:lnTo>
                                      <a:lnTo>
                                        <a:pt x="8760" y="197464"/>
                                      </a:lnTo>
                                      <a:lnTo>
                                        <a:pt x="11830" y="205136"/>
                                      </a:lnTo>
                                      <a:lnTo>
                                        <a:pt x="14088" y="211633"/>
                                      </a:lnTo>
                                      <a:lnTo>
                                        <a:pt x="17339" y="218222"/>
                                      </a:lnTo>
                                      <a:lnTo>
                                        <a:pt x="21765" y="223546"/>
                                      </a:lnTo>
                                      <a:lnTo>
                                        <a:pt x="25016" y="230044"/>
                                      </a:lnTo>
                                      <a:lnTo>
                                        <a:pt x="53103" y="261631"/>
                                      </a:lnTo>
                                      <a:lnTo>
                                        <a:pt x="65024" y="269122"/>
                                      </a:lnTo>
                                      <a:lnTo>
                                        <a:pt x="70442" y="273454"/>
                                      </a:lnTo>
                                      <a:lnTo>
                                        <a:pt x="77035" y="276793"/>
                                      </a:lnTo>
                                      <a:lnTo>
                                        <a:pt x="83447" y="280042"/>
                                      </a:lnTo>
                                      <a:lnTo>
                                        <a:pt x="90040" y="283291"/>
                                      </a:lnTo>
                                      <a:lnTo>
                                        <a:pt x="96362" y="285547"/>
                                      </a:lnTo>
                                      <a:lnTo>
                                        <a:pt x="102954" y="288796"/>
                                      </a:lnTo>
                                      <a:lnTo>
                                        <a:pt x="110631" y="289699"/>
                                      </a:lnTo>
                                      <a:lnTo>
                                        <a:pt x="117043" y="291865"/>
                                      </a:lnTo>
                                      <a:lnTo>
                                        <a:pt x="124719" y="292948"/>
                                      </a:lnTo>
                                      <a:lnTo>
                                        <a:pt x="132215" y="294031"/>
                                      </a:lnTo>
                                      <a:lnTo>
                                        <a:pt x="138808" y="294031"/>
                                      </a:lnTo>
                                      <a:lnTo>
                                        <a:pt x="146484" y="295114"/>
                                      </a:lnTo>
                                      <a:lnTo>
                                        <a:pt x="153890" y="294031"/>
                                      </a:lnTo>
                                      <a:lnTo>
                                        <a:pt x="161657" y="294031"/>
                                      </a:lnTo>
                                      <a:lnTo>
                                        <a:pt x="169062" y="292948"/>
                                      </a:lnTo>
                                      <a:lnTo>
                                        <a:pt x="176739" y="291865"/>
                                      </a:lnTo>
                                      <a:lnTo>
                                        <a:pt x="183151" y="289699"/>
                                      </a:lnTo>
                                      <a:lnTo>
                                        <a:pt x="190827" y="288796"/>
                                      </a:lnTo>
                                      <a:lnTo>
                                        <a:pt x="197420" y="285547"/>
                                      </a:lnTo>
                                      <a:lnTo>
                                        <a:pt x="203742" y="283291"/>
                                      </a:lnTo>
                                      <a:lnTo>
                                        <a:pt x="210335" y="280042"/>
                                      </a:lnTo>
                                      <a:lnTo>
                                        <a:pt x="216747" y="276793"/>
                                      </a:lnTo>
                                      <a:lnTo>
                                        <a:pt x="223339" y="273454"/>
                                      </a:lnTo>
                                      <a:lnTo>
                                        <a:pt x="228848" y="269122"/>
                                      </a:lnTo>
                                      <a:lnTo>
                                        <a:pt x="234086" y="266054"/>
                                      </a:lnTo>
                                      <a:lnTo>
                                        <a:pt x="240679" y="261631"/>
                                      </a:lnTo>
                                      <a:lnTo>
                                        <a:pt x="268766" y="230044"/>
                                      </a:lnTo>
                                      <a:lnTo>
                                        <a:pt x="272108" y="223546"/>
                                      </a:lnTo>
                                      <a:lnTo>
                                        <a:pt x="276442" y="218222"/>
                                      </a:lnTo>
                                      <a:lnTo>
                                        <a:pt x="279784" y="211633"/>
                                      </a:lnTo>
                                      <a:lnTo>
                                        <a:pt x="281951" y="205136"/>
                                      </a:lnTo>
                                      <a:lnTo>
                                        <a:pt x="285203" y="197464"/>
                                      </a:lnTo>
                                      <a:lnTo>
                                        <a:pt x="287190" y="191057"/>
                                      </a:lnTo>
                                      <a:lnTo>
                                        <a:pt x="289447" y="184469"/>
                                      </a:lnTo>
                                      <a:lnTo>
                                        <a:pt x="290531" y="176797"/>
                                      </a:lnTo>
                                      <a:lnTo>
                                        <a:pt x="291615" y="169397"/>
                                      </a:lnTo>
                                      <a:lnTo>
                                        <a:pt x="292699" y="162809"/>
                                      </a:lnTo>
                                      <a:lnTo>
                                        <a:pt x="293782" y="155138"/>
                                      </a:lnTo>
                                      <a:lnTo>
                                        <a:pt x="293782" y="147737"/>
                                      </a:lnTo>
                                      <a:lnTo>
                                        <a:pt x="293782" y="140066"/>
                                      </a:lnTo>
                                      <a:lnTo>
                                        <a:pt x="292699" y="132395"/>
                                      </a:lnTo>
                                      <a:lnTo>
                                        <a:pt x="291615" y="124904"/>
                                      </a:lnTo>
                                      <a:lnTo>
                                        <a:pt x="290531" y="117233"/>
                                      </a:lnTo>
                                      <a:lnTo>
                                        <a:pt x="289447" y="110645"/>
                                      </a:lnTo>
                                      <a:lnTo>
                                        <a:pt x="287190" y="103244"/>
                                      </a:lnTo>
                                      <a:lnTo>
                                        <a:pt x="285203" y="96656"/>
                                      </a:lnTo>
                                      <a:lnTo>
                                        <a:pt x="281951" y="90068"/>
                                      </a:lnTo>
                                      <a:lnTo>
                                        <a:pt x="279784" y="83480"/>
                                      </a:lnTo>
                                      <a:lnTo>
                                        <a:pt x="276442" y="77162"/>
                                      </a:lnTo>
                                      <a:lnTo>
                                        <a:pt x="272108" y="70574"/>
                                      </a:lnTo>
                                      <a:lnTo>
                                        <a:pt x="268766" y="65069"/>
                                      </a:lnTo>
                                      <a:lnTo>
                                        <a:pt x="240679" y="33753"/>
                                      </a:lnTo>
                                      <a:lnTo>
                                        <a:pt x="234086" y="29421"/>
                                      </a:lnTo>
                                      <a:lnTo>
                                        <a:pt x="228848" y="24998"/>
                                      </a:lnTo>
                                      <a:lnTo>
                                        <a:pt x="223339" y="20576"/>
                                      </a:lnTo>
                                      <a:lnTo>
                                        <a:pt x="216747" y="17327"/>
                                      </a:lnTo>
                                      <a:lnTo>
                                        <a:pt x="210335" y="14078"/>
                                      </a:lnTo>
                                      <a:lnTo>
                                        <a:pt x="176739" y="3339"/>
                                      </a:lnTo>
                                      <a:lnTo>
                                        <a:pt x="169062" y="1082"/>
                                      </a:lnTo>
                                      <a:lnTo>
                                        <a:pt x="161657" y="0"/>
                                      </a:lnTo>
                                      <a:lnTo>
                                        <a:pt x="153890" y="0"/>
                                      </a:lnTo>
                                      <a:lnTo>
                                        <a:pt x="146484"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131" name="Image 1383"/>
                                <pic:cNvPicPr/>
                              </pic:nvPicPr>
                              <pic:blipFill>
                                <a:blip r:embed="rId109" cstate="print"/>
                                <a:stretch>
                                  <a:fillRect/>
                                </a:stretch>
                              </pic:blipFill>
                              <pic:spPr>
                                <a:xfrm>
                                  <a:off x="0" y="43409"/>
                                  <a:ext cx="300367" cy="212714"/>
                                </a:xfrm>
                                <a:prstGeom prst="rect">
                                  <a:avLst/>
                                </a:prstGeom>
                              </pic:spPr>
                            </pic:pic>
                            <wps:wsp>
                              <wps:cNvPr id="1132" name="Graphic 1384"/>
                              <wps:cNvSpPr/>
                              <wps:spPr>
                                <a:xfrm>
                                  <a:off x="195204" y="3292"/>
                                  <a:ext cx="294005" cy="295275"/>
                                </a:xfrm>
                                <a:custGeom>
                                  <a:avLst/>
                                  <a:gdLst/>
                                  <a:ahLst/>
                                  <a:cxnLst/>
                                  <a:rect l="l" t="t" r="r" b="b"/>
                                  <a:pathLst>
                                    <a:path w="294005" h="295275">
                                      <a:moveTo>
                                        <a:pt x="146484" y="0"/>
                                      </a:moveTo>
                                      <a:lnTo>
                                        <a:pt x="138808" y="0"/>
                                      </a:lnTo>
                                      <a:lnTo>
                                        <a:pt x="132215" y="0"/>
                                      </a:lnTo>
                                      <a:lnTo>
                                        <a:pt x="124719" y="1082"/>
                                      </a:lnTo>
                                      <a:lnTo>
                                        <a:pt x="117043" y="3339"/>
                                      </a:lnTo>
                                      <a:lnTo>
                                        <a:pt x="110631" y="4422"/>
                                      </a:lnTo>
                                      <a:lnTo>
                                        <a:pt x="102954" y="6588"/>
                                      </a:lnTo>
                                      <a:lnTo>
                                        <a:pt x="96362" y="8754"/>
                                      </a:lnTo>
                                      <a:lnTo>
                                        <a:pt x="90040" y="11010"/>
                                      </a:lnTo>
                                      <a:lnTo>
                                        <a:pt x="83447" y="14078"/>
                                      </a:lnTo>
                                      <a:lnTo>
                                        <a:pt x="77035" y="17327"/>
                                      </a:lnTo>
                                      <a:lnTo>
                                        <a:pt x="70442" y="20576"/>
                                      </a:lnTo>
                                      <a:lnTo>
                                        <a:pt x="65024" y="24998"/>
                                      </a:lnTo>
                                      <a:lnTo>
                                        <a:pt x="58612" y="29421"/>
                                      </a:lnTo>
                                      <a:lnTo>
                                        <a:pt x="53103" y="33753"/>
                                      </a:lnTo>
                                      <a:lnTo>
                                        <a:pt x="43439" y="43409"/>
                                      </a:lnTo>
                                      <a:lnTo>
                                        <a:pt x="33595" y="53246"/>
                                      </a:lnTo>
                                      <a:lnTo>
                                        <a:pt x="29170" y="58481"/>
                                      </a:lnTo>
                                      <a:lnTo>
                                        <a:pt x="25016" y="65069"/>
                                      </a:lnTo>
                                      <a:lnTo>
                                        <a:pt x="21765" y="70574"/>
                                      </a:lnTo>
                                      <a:lnTo>
                                        <a:pt x="17339" y="77162"/>
                                      </a:lnTo>
                                      <a:lnTo>
                                        <a:pt x="14088" y="83480"/>
                                      </a:lnTo>
                                      <a:lnTo>
                                        <a:pt x="11830" y="90068"/>
                                      </a:lnTo>
                                      <a:lnTo>
                                        <a:pt x="8760" y="96656"/>
                                      </a:lnTo>
                                      <a:lnTo>
                                        <a:pt x="6592" y="103244"/>
                                      </a:lnTo>
                                      <a:lnTo>
                                        <a:pt x="4425" y="110645"/>
                                      </a:lnTo>
                                      <a:lnTo>
                                        <a:pt x="3251" y="117233"/>
                                      </a:lnTo>
                                      <a:lnTo>
                                        <a:pt x="2167" y="124904"/>
                                      </a:lnTo>
                                      <a:lnTo>
                                        <a:pt x="1083" y="132395"/>
                                      </a:lnTo>
                                      <a:lnTo>
                                        <a:pt x="0" y="140066"/>
                                      </a:lnTo>
                                      <a:lnTo>
                                        <a:pt x="0" y="147737"/>
                                      </a:lnTo>
                                      <a:lnTo>
                                        <a:pt x="0" y="155138"/>
                                      </a:lnTo>
                                      <a:lnTo>
                                        <a:pt x="1083" y="162809"/>
                                      </a:lnTo>
                                      <a:lnTo>
                                        <a:pt x="2167" y="169397"/>
                                      </a:lnTo>
                                      <a:lnTo>
                                        <a:pt x="3251" y="176797"/>
                                      </a:lnTo>
                                      <a:lnTo>
                                        <a:pt x="4425" y="184469"/>
                                      </a:lnTo>
                                      <a:lnTo>
                                        <a:pt x="6592" y="191057"/>
                                      </a:lnTo>
                                      <a:lnTo>
                                        <a:pt x="8760" y="197464"/>
                                      </a:lnTo>
                                      <a:lnTo>
                                        <a:pt x="11830" y="205136"/>
                                      </a:lnTo>
                                      <a:lnTo>
                                        <a:pt x="14088" y="211633"/>
                                      </a:lnTo>
                                      <a:lnTo>
                                        <a:pt x="17339" y="218222"/>
                                      </a:lnTo>
                                      <a:lnTo>
                                        <a:pt x="21765" y="223546"/>
                                      </a:lnTo>
                                      <a:lnTo>
                                        <a:pt x="25016" y="230044"/>
                                      </a:lnTo>
                                      <a:lnTo>
                                        <a:pt x="53103" y="261631"/>
                                      </a:lnTo>
                                      <a:lnTo>
                                        <a:pt x="65024" y="269122"/>
                                      </a:lnTo>
                                      <a:lnTo>
                                        <a:pt x="70442" y="273454"/>
                                      </a:lnTo>
                                      <a:lnTo>
                                        <a:pt x="77035" y="276793"/>
                                      </a:lnTo>
                                      <a:lnTo>
                                        <a:pt x="83447" y="280042"/>
                                      </a:lnTo>
                                      <a:lnTo>
                                        <a:pt x="90040" y="283291"/>
                                      </a:lnTo>
                                      <a:lnTo>
                                        <a:pt x="96362" y="285547"/>
                                      </a:lnTo>
                                      <a:lnTo>
                                        <a:pt x="102954" y="288796"/>
                                      </a:lnTo>
                                      <a:lnTo>
                                        <a:pt x="110631" y="289699"/>
                                      </a:lnTo>
                                      <a:lnTo>
                                        <a:pt x="117043" y="291865"/>
                                      </a:lnTo>
                                      <a:lnTo>
                                        <a:pt x="124719" y="292948"/>
                                      </a:lnTo>
                                      <a:lnTo>
                                        <a:pt x="132215" y="294031"/>
                                      </a:lnTo>
                                      <a:lnTo>
                                        <a:pt x="138808" y="294031"/>
                                      </a:lnTo>
                                      <a:lnTo>
                                        <a:pt x="146484" y="295114"/>
                                      </a:lnTo>
                                      <a:lnTo>
                                        <a:pt x="153890" y="294031"/>
                                      </a:lnTo>
                                      <a:lnTo>
                                        <a:pt x="161657" y="294031"/>
                                      </a:lnTo>
                                      <a:lnTo>
                                        <a:pt x="169062" y="292948"/>
                                      </a:lnTo>
                                      <a:lnTo>
                                        <a:pt x="176739" y="291865"/>
                                      </a:lnTo>
                                      <a:lnTo>
                                        <a:pt x="183151" y="289699"/>
                                      </a:lnTo>
                                      <a:lnTo>
                                        <a:pt x="190827" y="288796"/>
                                      </a:lnTo>
                                      <a:lnTo>
                                        <a:pt x="197420" y="285547"/>
                                      </a:lnTo>
                                      <a:lnTo>
                                        <a:pt x="203742" y="283291"/>
                                      </a:lnTo>
                                      <a:lnTo>
                                        <a:pt x="210335" y="280042"/>
                                      </a:lnTo>
                                      <a:lnTo>
                                        <a:pt x="216747" y="276793"/>
                                      </a:lnTo>
                                      <a:lnTo>
                                        <a:pt x="223339" y="273454"/>
                                      </a:lnTo>
                                      <a:lnTo>
                                        <a:pt x="228848" y="269122"/>
                                      </a:lnTo>
                                      <a:lnTo>
                                        <a:pt x="234086" y="266054"/>
                                      </a:lnTo>
                                      <a:lnTo>
                                        <a:pt x="240679" y="261631"/>
                                      </a:lnTo>
                                      <a:lnTo>
                                        <a:pt x="268766" y="230044"/>
                                      </a:lnTo>
                                      <a:lnTo>
                                        <a:pt x="272108" y="223546"/>
                                      </a:lnTo>
                                      <a:lnTo>
                                        <a:pt x="276442" y="218222"/>
                                      </a:lnTo>
                                      <a:lnTo>
                                        <a:pt x="279784" y="211633"/>
                                      </a:lnTo>
                                      <a:lnTo>
                                        <a:pt x="281951" y="205136"/>
                                      </a:lnTo>
                                      <a:lnTo>
                                        <a:pt x="285203" y="197464"/>
                                      </a:lnTo>
                                      <a:lnTo>
                                        <a:pt x="287190" y="191057"/>
                                      </a:lnTo>
                                      <a:lnTo>
                                        <a:pt x="289447" y="184469"/>
                                      </a:lnTo>
                                      <a:lnTo>
                                        <a:pt x="290531" y="176797"/>
                                      </a:lnTo>
                                      <a:lnTo>
                                        <a:pt x="291615" y="169397"/>
                                      </a:lnTo>
                                      <a:lnTo>
                                        <a:pt x="292699" y="162809"/>
                                      </a:lnTo>
                                      <a:lnTo>
                                        <a:pt x="293782" y="155138"/>
                                      </a:lnTo>
                                      <a:lnTo>
                                        <a:pt x="293782" y="147737"/>
                                      </a:lnTo>
                                      <a:lnTo>
                                        <a:pt x="293782" y="140066"/>
                                      </a:lnTo>
                                      <a:lnTo>
                                        <a:pt x="292699" y="132395"/>
                                      </a:lnTo>
                                      <a:lnTo>
                                        <a:pt x="291615" y="124904"/>
                                      </a:lnTo>
                                      <a:lnTo>
                                        <a:pt x="290531" y="117233"/>
                                      </a:lnTo>
                                      <a:lnTo>
                                        <a:pt x="289447" y="110645"/>
                                      </a:lnTo>
                                      <a:lnTo>
                                        <a:pt x="287190" y="103244"/>
                                      </a:lnTo>
                                      <a:lnTo>
                                        <a:pt x="285203" y="96656"/>
                                      </a:lnTo>
                                      <a:lnTo>
                                        <a:pt x="281951" y="90068"/>
                                      </a:lnTo>
                                      <a:lnTo>
                                        <a:pt x="279784" y="83480"/>
                                      </a:lnTo>
                                      <a:lnTo>
                                        <a:pt x="276442" y="77162"/>
                                      </a:lnTo>
                                      <a:lnTo>
                                        <a:pt x="272108" y="70574"/>
                                      </a:lnTo>
                                      <a:lnTo>
                                        <a:pt x="268766" y="65069"/>
                                      </a:lnTo>
                                      <a:lnTo>
                                        <a:pt x="240679" y="33753"/>
                                      </a:lnTo>
                                      <a:lnTo>
                                        <a:pt x="234086" y="29421"/>
                                      </a:lnTo>
                                      <a:lnTo>
                                        <a:pt x="228848" y="24998"/>
                                      </a:lnTo>
                                      <a:lnTo>
                                        <a:pt x="223339" y="20576"/>
                                      </a:lnTo>
                                      <a:lnTo>
                                        <a:pt x="216747" y="17327"/>
                                      </a:lnTo>
                                      <a:lnTo>
                                        <a:pt x="210335" y="14078"/>
                                      </a:lnTo>
                                      <a:lnTo>
                                        <a:pt x="176739" y="3339"/>
                                      </a:lnTo>
                                      <a:lnTo>
                                        <a:pt x="169062" y="1082"/>
                                      </a:lnTo>
                                      <a:lnTo>
                                        <a:pt x="161657" y="0"/>
                                      </a:lnTo>
                                      <a:lnTo>
                                        <a:pt x="153890" y="0"/>
                                      </a:lnTo>
                                      <a:lnTo>
                                        <a:pt x="146484" y="0"/>
                                      </a:lnTo>
                                    </a:path>
                                  </a:pathLst>
                                </a:custGeom>
                                <a:ln w="658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0D4FB52" id="Group 1380" o:spid="_x0000_s1026" style="position:absolute;margin-left:80.85pt;margin-top:-5.45pt;width:38.8pt;height:23.8pt;z-index:-251348992;mso-wrap-distance-left:0;mso-wrap-distance-right:0" coordsize="492759,302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">
                      <v:shape id="Image 1381" o:spid="_x0000_s1027" type="#_x0000_t75" style="position:absolute;top:43409;width:300367;height:2127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">
                        <v:imagedata r:id="rId110" o:title=""/>
                      </v:shape>
                      <v:shape id="Graphic 1382" o:spid="_x0000_s1028" style="position:absolute;left:195204;top:3292;width:294005;height:295275;visibility:visible;mso-wrap-style:square;v-text-anchor:top" coordsize="294005,295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" path="m146484,r-7676,l132215,r-7496,1082l117043,3339r-6412,1083l102954,6588,96362,8754r-6322,2256l83447,14078r-6412,3249l70442,20576r-5418,4422l58612,29421r-5509,4332l43439,43409r-9844,9837l29170,58481r-4154,6588l21765,70574r-4426,6588l14088,83480r-2258,6588l8760,96656r-2168,6588l4425,110645r-1174,6588l2167,124904r-1084,7491l,140066r,7671l,155138r1083,7671l2167,169397r1084,7400l4425,184469r2167,6588l8760,197464r3070,7672l14088,211633r3251,6589l21765,223546r3251,6498l53103,261631r11921,7491l70442,273454r6593,3339l83447,280042r6593,3249l96362,285547r6592,3249l110631,289699r6412,2166l124719,292948r7496,1083l138808,294031r7676,1083l153890,294031r7767,l169062,292948r7677,-1083l183151,289699r7676,-903l197420,285547r6322,-2256l210335,280042r6412,-3249l223339,273454r5509,-4332l234086,266054r6593,-4423l268766,230044r3342,-6498l276442,218222r3342,-6589l281951,205136r3252,-7672l287190,191057r2257,-6588l290531,176797r1084,-7400l292699,162809r1083,-7671l293782,147737r,-7671l292699,132395r-1084,-7491l290531,117233r-1084,-6588l287190,103244r-1987,-6588l281951,90068r-2167,-6588l276442,77162r-4334,-6588l268766,65069,240679,33753r-6593,-4332l228848,24998r-5509,-4422l216747,17327r-6412,-3249l176739,3339,169062,1082,161657,r-7767,l146484,e" filled="f" strokeweight=".18292mm">
                        <v:path arrowok="t"/>
                      </v:shape>
                      <v:shape id="Image 1383" o:spid="_x0000_s1029" type="#_x0000_t75" style="position:absolute;top:43409;width:300367;height:2127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">
                        <v:imagedata r:id="rId110" o:title=""/>
                      </v:shape>
                      <v:shape id="Graphic 1384" o:spid="_x0000_s1030" style="position:absolute;left:195204;top:3292;width:294005;height:295275;visibility:visible;mso-wrap-style:square;v-text-anchor:top" coordsize="294005,295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" path="m146484,r-7676,l132215,r-7496,1082l117043,3339r-6412,1083l102954,6588,96362,8754r-6322,2256l83447,14078r-6412,3249l70442,20576r-5418,4422l58612,29421r-5509,4332l43439,43409r-9844,9837l29170,58481r-4154,6588l21765,70574r-4426,6588l14088,83480r-2258,6588l8760,96656r-2168,6588l4425,110645r-1174,6588l2167,124904r-1084,7491l,140066r,7671l,155138r1083,7671l2167,169397r1084,7400l4425,184469r2167,6588l8760,197464r3070,7672l14088,211633r3251,6589l21765,223546r3251,6498l53103,261631r11921,7491l70442,273454r6593,3339l83447,280042r6593,3249l96362,285547r6592,3249l110631,289699r6412,2166l124719,292948r7496,1083l138808,294031r7676,1083l153890,294031r7767,l169062,292948r7677,-1083l183151,289699r7676,-903l197420,285547r6322,-2256l210335,280042r6412,-3249l223339,273454r5509,-4332l234086,266054r6593,-4423l268766,230044r3342,-6498l276442,218222r3342,-6589l281951,205136r3252,-7672l287190,191057r2257,-6588l290531,176797r1084,-7400l292699,162809r1083,-7671l293782,147737r,-7671l292699,132395r-1084,-7491l290531,117233r-1084,-6588l287190,103244r-1987,-6588l281951,90068r-2167,-6588l276442,77162r-4334,-6588l268766,65069,240679,33753r-6593,-4332l228848,24998r-5509,-4422l216747,17327r-6412,-3249l176739,3339,169062,1082,161657,r-7767,l146484,e" filled="f" strokeweight=".18292mm">
                        <v:path arrowok="t"/>
                      </v:shape>
                    </v:group>
                  </w:pict>
                </mc:Fallback>
              </mc:AlternateContent>
            </w:r>
            <w:r w:rsidRPr="00E73F6F">
              <w:rPr>
                <w:spacing w:val="-2"/>
                <w:sz w:val="24"/>
                <w:szCs w:val="24"/>
                <w:lang w:val="de-DE"/>
              </w:rPr>
              <w:t>Malaysia</w:t>
            </w:r>
          </w:p>
        </w:tc>
        <w:tc>
          <w:tcPr>
            <w:tcW w:w="4324" w:type="dxa"/>
          </w:tcPr>
          <w:p w14:paraId="6EBDD7FB" w14:textId="77777777" w:rsidR="00FF7799" w:rsidRPr="00E73F6F" w:rsidRDefault="00FF7799" w:rsidP="00862DBA">
            <w:pPr>
              <w:spacing w:before="6"/>
              <w:rPr>
                <w:i/>
                <w:sz w:val="24"/>
                <w:szCs w:val="24"/>
                <w:lang w:val="de-DE"/>
              </w:rPr>
            </w:pPr>
          </w:p>
          <w:p w14:paraId="0413A9A1" w14:textId="77777777" w:rsidR="00FF7799" w:rsidRPr="00E73F6F" w:rsidRDefault="00FF7799" w:rsidP="00862DBA">
            <w:pPr>
              <w:spacing w:before="1"/>
              <w:rPr>
                <w:sz w:val="24"/>
                <w:szCs w:val="24"/>
                <w:lang w:val="de-DE"/>
              </w:rPr>
            </w:pPr>
            <w:r w:rsidRPr="00E73F6F">
              <w:rPr>
                <w:noProof/>
                <w:sz w:val="24"/>
                <w:szCs w:val="24"/>
                <w:lang w:eastAsia="de-DE"/>
              </w:rPr>
              <mc:AlternateContent>
                <mc:Choice Requires="wpg">
                  <w:drawing>
                    <wp:anchor distT="0" distB="0" distL="0" distR="0" simplePos="0" relativeHeight="251974656" behindDoc="1" locked="0" layoutInCell="1" allowOverlap="1" wp14:anchorId="65AAE42E" wp14:editId="6800AE1F">
                      <wp:simplePos x="0" y="0"/>
                      <wp:positionH relativeFrom="column">
                        <wp:posOffset>911109</wp:posOffset>
                      </wp:positionH>
                      <wp:positionV relativeFrom="paragraph">
                        <wp:posOffset>-73439</wp:posOffset>
                      </wp:positionV>
                      <wp:extent cx="652780" cy="302260"/>
                      <wp:effectExtent l="0" t="0" r="0" b="0"/>
                      <wp:wrapNone/>
                      <wp:docPr id="1134" name="Group 13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2780" cy="302260"/>
                                <a:chOff x="0" y="0"/>
                                <a:chExt cx="652780" cy="302260"/>
                              </a:xfrm>
                            </wpg:grpSpPr>
                            <pic:pic xmlns:pic="http://schemas.openxmlformats.org/drawingml/2006/picture">
                              <pic:nvPicPr>
                                <pic:cNvPr id="1135" name="Image 1386"/>
                                <pic:cNvPicPr/>
                              </pic:nvPicPr>
                              <pic:blipFill>
                                <a:blip r:embed="rId111" cstate="print"/>
                                <a:stretch>
                                  <a:fillRect/>
                                </a:stretch>
                              </pic:blipFill>
                              <pic:spPr>
                                <a:xfrm>
                                  <a:off x="0" y="72740"/>
                                  <a:ext cx="152889" cy="155315"/>
                                </a:xfrm>
                                <a:prstGeom prst="rect">
                                  <a:avLst/>
                                </a:prstGeom>
                              </pic:spPr>
                            </pic:pic>
                            <wps:wsp>
                              <wps:cNvPr id="1178" name="Graphic 1387"/>
                              <wps:cNvSpPr/>
                              <wps:spPr>
                                <a:xfrm>
                                  <a:off x="355506" y="3292"/>
                                  <a:ext cx="294005" cy="295275"/>
                                </a:xfrm>
                                <a:custGeom>
                                  <a:avLst/>
                                  <a:gdLst/>
                                  <a:ahLst/>
                                  <a:cxnLst/>
                                  <a:rect l="l" t="t" r="r" b="b"/>
                                  <a:pathLst>
                                    <a:path w="294005" h="295275">
                                      <a:moveTo>
                                        <a:pt x="146484" y="0"/>
                                      </a:moveTo>
                                      <a:lnTo>
                                        <a:pt x="138808" y="0"/>
                                      </a:lnTo>
                                      <a:lnTo>
                                        <a:pt x="131312" y="0"/>
                                      </a:lnTo>
                                      <a:lnTo>
                                        <a:pt x="123636" y="1082"/>
                                      </a:lnTo>
                                      <a:lnTo>
                                        <a:pt x="117314" y="2165"/>
                                      </a:lnTo>
                                      <a:lnTo>
                                        <a:pt x="109637" y="4331"/>
                                      </a:lnTo>
                                      <a:lnTo>
                                        <a:pt x="103045" y="6497"/>
                                      </a:lnTo>
                                      <a:lnTo>
                                        <a:pt x="95549" y="8754"/>
                                      </a:lnTo>
                                      <a:lnTo>
                                        <a:pt x="88956" y="10920"/>
                                      </a:lnTo>
                                      <a:lnTo>
                                        <a:pt x="82634" y="14169"/>
                                      </a:lnTo>
                                      <a:lnTo>
                                        <a:pt x="77125" y="17237"/>
                                      </a:lnTo>
                                      <a:lnTo>
                                        <a:pt x="70533" y="20576"/>
                                      </a:lnTo>
                                      <a:lnTo>
                                        <a:pt x="64121" y="24908"/>
                                      </a:lnTo>
                                      <a:lnTo>
                                        <a:pt x="58702" y="29330"/>
                                      </a:lnTo>
                                      <a:lnTo>
                                        <a:pt x="53193" y="33753"/>
                                      </a:lnTo>
                                      <a:lnTo>
                                        <a:pt x="42446" y="42236"/>
                                      </a:lnTo>
                                      <a:lnTo>
                                        <a:pt x="33595" y="53246"/>
                                      </a:lnTo>
                                      <a:lnTo>
                                        <a:pt x="29441" y="58661"/>
                                      </a:lnTo>
                                      <a:lnTo>
                                        <a:pt x="25106" y="65069"/>
                                      </a:lnTo>
                                      <a:lnTo>
                                        <a:pt x="20681" y="70484"/>
                                      </a:lnTo>
                                      <a:lnTo>
                                        <a:pt x="17430" y="77072"/>
                                      </a:lnTo>
                                      <a:lnTo>
                                        <a:pt x="14088" y="83660"/>
                                      </a:lnTo>
                                      <a:lnTo>
                                        <a:pt x="11017" y="89978"/>
                                      </a:lnTo>
                                      <a:lnTo>
                                        <a:pt x="8850" y="96566"/>
                                      </a:lnTo>
                                      <a:lnTo>
                                        <a:pt x="6592" y="103154"/>
                                      </a:lnTo>
                                      <a:lnTo>
                                        <a:pt x="4425" y="110645"/>
                                      </a:lnTo>
                                      <a:lnTo>
                                        <a:pt x="2257" y="117233"/>
                                      </a:lnTo>
                                      <a:lnTo>
                                        <a:pt x="1174" y="124904"/>
                                      </a:lnTo>
                                      <a:lnTo>
                                        <a:pt x="0" y="132305"/>
                                      </a:lnTo>
                                      <a:lnTo>
                                        <a:pt x="0" y="139976"/>
                                      </a:lnTo>
                                      <a:lnTo>
                                        <a:pt x="0" y="147647"/>
                                      </a:lnTo>
                                      <a:lnTo>
                                        <a:pt x="0" y="155138"/>
                                      </a:lnTo>
                                      <a:lnTo>
                                        <a:pt x="0" y="162809"/>
                                      </a:lnTo>
                                      <a:lnTo>
                                        <a:pt x="1174" y="169307"/>
                                      </a:lnTo>
                                      <a:lnTo>
                                        <a:pt x="2257" y="176978"/>
                                      </a:lnTo>
                                      <a:lnTo>
                                        <a:pt x="4425" y="184469"/>
                                      </a:lnTo>
                                      <a:lnTo>
                                        <a:pt x="6592" y="191057"/>
                                      </a:lnTo>
                                      <a:lnTo>
                                        <a:pt x="8850" y="197645"/>
                                      </a:lnTo>
                                      <a:lnTo>
                                        <a:pt x="11017" y="205045"/>
                                      </a:lnTo>
                                      <a:lnTo>
                                        <a:pt x="14088" y="211633"/>
                                      </a:lnTo>
                                      <a:lnTo>
                                        <a:pt x="17430" y="217139"/>
                                      </a:lnTo>
                                      <a:lnTo>
                                        <a:pt x="20681" y="223637"/>
                                      </a:lnTo>
                                      <a:lnTo>
                                        <a:pt x="25106" y="230044"/>
                                      </a:lnTo>
                                      <a:lnTo>
                                        <a:pt x="29441" y="235549"/>
                                      </a:lnTo>
                                      <a:lnTo>
                                        <a:pt x="33595" y="240964"/>
                                      </a:lnTo>
                                      <a:lnTo>
                                        <a:pt x="42446" y="251704"/>
                                      </a:lnTo>
                                      <a:lnTo>
                                        <a:pt x="53193" y="260458"/>
                                      </a:lnTo>
                                      <a:lnTo>
                                        <a:pt x="58702" y="265963"/>
                                      </a:lnTo>
                                      <a:lnTo>
                                        <a:pt x="64121" y="269212"/>
                                      </a:lnTo>
                                      <a:lnTo>
                                        <a:pt x="70533" y="273454"/>
                                      </a:lnTo>
                                      <a:lnTo>
                                        <a:pt x="76042" y="276703"/>
                                      </a:lnTo>
                                      <a:lnTo>
                                        <a:pt x="82634" y="279952"/>
                                      </a:lnTo>
                                      <a:lnTo>
                                        <a:pt x="88956" y="283291"/>
                                      </a:lnTo>
                                      <a:lnTo>
                                        <a:pt x="95549" y="285457"/>
                                      </a:lnTo>
                                      <a:lnTo>
                                        <a:pt x="103045" y="287623"/>
                                      </a:lnTo>
                                      <a:lnTo>
                                        <a:pt x="109637" y="289879"/>
                                      </a:lnTo>
                                      <a:lnTo>
                                        <a:pt x="117314" y="292045"/>
                                      </a:lnTo>
                                      <a:lnTo>
                                        <a:pt x="123636" y="293128"/>
                                      </a:lnTo>
                                      <a:lnTo>
                                        <a:pt x="131312" y="294031"/>
                                      </a:lnTo>
                                      <a:lnTo>
                                        <a:pt x="138808" y="294031"/>
                                      </a:lnTo>
                                      <a:lnTo>
                                        <a:pt x="146484" y="295114"/>
                                      </a:lnTo>
                                      <a:lnTo>
                                        <a:pt x="153980" y="294031"/>
                                      </a:lnTo>
                                      <a:lnTo>
                                        <a:pt x="161657" y="294031"/>
                                      </a:lnTo>
                                      <a:lnTo>
                                        <a:pt x="169153" y="293128"/>
                                      </a:lnTo>
                                      <a:lnTo>
                                        <a:pt x="175745" y="292045"/>
                                      </a:lnTo>
                                      <a:lnTo>
                                        <a:pt x="183422" y="289879"/>
                                      </a:lnTo>
                                      <a:lnTo>
                                        <a:pt x="189744" y="287623"/>
                                      </a:lnTo>
                                      <a:lnTo>
                                        <a:pt x="197420" y="285457"/>
                                      </a:lnTo>
                                      <a:lnTo>
                                        <a:pt x="203832" y="283291"/>
                                      </a:lnTo>
                                      <a:lnTo>
                                        <a:pt x="210425" y="279952"/>
                                      </a:lnTo>
                                      <a:lnTo>
                                        <a:pt x="217018" y="276703"/>
                                      </a:lnTo>
                                      <a:lnTo>
                                        <a:pt x="222256" y="273454"/>
                                      </a:lnTo>
                                      <a:lnTo>
                                        <a:pt x="228848" y="269212"/>
                                      </a:lnTo>
                                      <a:lnTo>
                                        <a:pt x="234357" y="265963"/>
                                      </a:lnTo>
                                      <a:lnTo>
                                        <a:pt x="239595" y="260458"/>
                                      </a:lnTo>
                                      <a:lnTo>
                                        <a:pt x="250613" y="251704"/>
                                      </a:lnTo>
                                      <a:lnTo>
                                        <a:pt x="260277" y="240964"/>
                                      </a:lnTo>
                                      <a:lnTo>
                                        <a:pt x="264612" y="235549"/>
                                      </a:lnTo>
                                      <a:lnTo>
                                        <a:pt x="267953" y="230044"/>
                                      </a:lnTo>
                                      <a:lnTo>
                                        <a:pt x="272288" y="223637"/>
                                      </a:lnTo>
                                      <a:lnTo>
                                        <a:pt x="275359" y="217139"/>
                                      </a:lnTo>
                                      <a:lnTo>
                                        <a:pt x="278700" y="211633"/>
                                      </a:lnTo>
                                      <a:lnTo>
                                        <a:pt x="281951" y="205045"/>
                                      </a:lnTo>
                                      <a:lnTo>
                                        <a:pt x="284209" y="197645"/>
                                      </a:lnTo>
                                      <a:lnTo>
                                        <a:pt x="286377" y="191057"/>
                                      </a:lnTo>
                                      <a:lnTo>
                                        <a:pt x="288544" y="184469"/>
                                      </a:lnTo>
                                      <a:lnTo>
                                        <a:pt x="290531" y="176978"/>
                                      </a:lnTo>
                                      <a:lnTo>
                                        <a:pt x="291615" y="169307"/>
                                      </a:lnTo>
                                      <a:lnTo>
                                        <a:pt x="292789" y="162809"/>
                                      </a:lnTo>
                                      <a:lnTo>
                                        <a:pt x="292789" y="155138"/>
                                      </a:lnTo>
                                      <a:lnTo>
                                        <a:pt x="293873" y="147647"/>
                                      </a:lnTo>
                                      <a:lnTo>
                                        <a:pt x="292789" y="139976"/>
                                      </a:lnTo>
                                      <a:lnTo>
                                        <a:pt x="292789" y="132305"/>
                                      </a:lnTo>
                                      <a:lnTo>
                                        <a:pt x="291615" y="124904"/>
                                      </a:lnTo>
                                      <a:lnTo>
                                        <a:pt x="290531" y="117233"/>
                                      </a:lnTo>
                                      <a:lnTo>
                                        <a:pt x="288544" y="110645"/>
                                      </a:lnTo>
                                      <a:lnTo>
                                        <a:pt x="286377" y="103154"/>
                                      </a:lnTo>
                                      <a:lnTo>
                                        <a:pt x="284209" y="96566"/>
                                      </a:lnTo>
                                      <a:lnTo>
                                        <a:pt x="281951" y="89978"/>
                                      </a:lnTo>
                                      <a:lnTo>
                                        <a:pt x="278700" y="83660"/>
                                      </a:lnTo>
                                      <a:lnTo>
                                        <a:pt x="275359" y="77072"/>
                                      </a:lnTo>
                                      <a:lnTo>
                                        <a:pt x="272288" y="70484"/>
                                      </a:lnTo>
                                      <a:lnTo>
                                        <a:pt x="267953" y="65069"/>
                                      </a:lnTo>
                                      <a:lnTo>
                                        <a:pt x="264612" y="58661"/>
                                      </a:lnTo>
                                      <a:lnTo>
                                        <a:pt x="260277" y="53246"/>
                                      </a:lnTo>
                                      <a:lnTo>
                                        <a:pt x="250613" y="42236"/>
                                      </a:lnTo>
                                      <a:lnTo>
                                        <a:pt x="239595" y="33753"/>
                                      </a:lnTo>
                                      <a:lnTo>
                                        <a:pt x="234357" y="29330"/>
                                      </a:lnTo>
                                      <a:lnTo>
                                        <a:pt x="228848" y="24908"/>
                                      </a:lnTo>
                                      <a:lnTo>
                                        <a:pt x="222256" y="20576"/>
                                      </a:lnTo>
                                      <a:lnTo>
                                        <a:pt x="217018" y="17237"/>
                                      </a:lnTo>
                                      <a:lnTo>
                                        <a:pt x="210425" y="14169"/>
                                      </a:lnTo>
                                      <a:lnTo>
                                        <a:pt x="203832" y="10920"/>
                                      </a:lnTo>
                                      <a:lnTo>
                                        <a:pt x="197420" y="8754"/>
                                      </a:lnTo>
                                      <a:lnTo>
                                        <a:pt x="189744" y="6497"/>
                                      </a:lnTo>
                                      <a:lnTo>
                                        <a:pt x="183422" y="4331"/>
                                      </a:lnTo>
                                      <a:lnTo>
                                        <a:pt x="175745" y="2165"/>
                                      </a:lnTo>
                                      <a:lnTo>
                                        <a:pt x="169153" y="1082"/>
                                      </a:lnTo>
                                      <a:lnTo>
                                        <a:pt x="161657" y="0"/>
                                      </a:lnTo>
                                      <a:lnTo>
                                        <a:pt x="153980" y="0"/>
                                      </a:lnTo>
                                      <a:lnTo>
                                        <a:pt x="146484"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299" name="Image 1388"/>
                                <pic:cNvPicPr/>
                              </pic:nvPicPr>
                              <pic:blipFill>
                                <a:blip r:embed="rId112" cstate="print"/>
                                <a:stretch>
                                  <a:fillRect/>
                                </a:stretch>
                              </pic:blipFill>
                              <pic:spPr>
                                <a:xfrm>
                                  <a:off x="122552" y="43319"/>
                                  <a:ext cx="213669" cy="213887"/>
                                </a:xfrm>
                                <a:prstGeom prst="rect">
                                  <a:avLst/>
                                </a:prstGeom>
                              </pic:spPr>
                            </pic:pic>
                            <pic:pic xmlns:pic="http://schemas.openxmlformats.org/drawingml/2006/picture">
                              <pic:nvPicPr>
                                <pic:cNvPr id="1608" name="Image 1389"/>
                                <pic:cNvPicPr/>
                              </pic:nvPicPr>
                              <pic:blipFill>
                                <a:blip r:embed="rId111" cstate="print"/>
                                <a:stretch>
                                  <a:fillRect/>
                                </a:stretch>
                              </pic:blipFill>
                              <pic:spPr>
                                <a:xfrm>
                                  <a:off x="0" y="72740"/>
                                  <a:ext cx="152889" cy="155315"/>
                                </a:xfrm>
                                <a:prstGeom prst="rect">
                                  <a:avLst/>
                                </a:prstGeom>
                              </pic:spPr>
                            </pic:pic>
                            <wps:wsp>
                              <wps:cNvPr id="1609" name="Graphic 1390"/>
                              <wps:cNvSpPr/>
                              <wps:spPr>
                                <a:xfrm>
                                  <a:off x="355506" y="3292"/>
                                  <a:ext cx="294005" cy="295275"/>
                                </a:xfrm>
                                <a:custGeom>
                                  <a:avLst/>
                                  <a:gdLst/>
                                  <a:ahLst/>
                                  <a:cxnLst/>
                                  <a:rect l="l" t="t" r="r" b="b"/>
                                  <a:pathLst>
                                    <a:path w="294005" h="295275">
                                      <a:moveTo>
                                        <a:pt x="146484" y="0"/>
                                      </a:moveTo>
                                      <a:lnTo>
                                        <a:pt x="138808" y="0"/>
                                      </a:lnTo>
                                      <a:lnTo>
                                        <a:pt x="131312" y="0"/>
                                      </a:lnTo>
                                      <a:lnTo>
                                        <a:pt x="123636" y="1082"/>
                                      </a:lnTo>
                                      <a:lnTo>
                                        <a:pt x="117314" y="2165"/>
                                      </a:lnTo>
                                      <a:lnTo>
                                        <a:pt x="109637" y="4331"/>
                                      </a:lnTo>
                                      <a:lnTo>
                                        <a:pt x="103045" y="6497"/>
                                      </a:lnTo>
                                      <a:lnTo>
                                        <a:pt x="95549" y="8754"/>
                                      </a:lnTo>
                                      <a:lnTo>
                                        <a:pt x="88956" y="10920"/>
                                      </a:lnTo>
                                      <a:lnTo>
                                        <a:pt x="82634" y="14169"/>
                                      </a:lnTo>
                                      <a:lnTo>
                                        <a:pt x="77125" y="17237"/>
                                      </a:lnTo>
                                      <a:lnTo>
                                        <a:pt x="70533" y="20576"/>
                                      </a:lnTo>
                                      <a:lnTo>
                                        <a:pt x="64121" y="24908"/>
                                      </a:lnTo>
                                      <a:lnTo>
                                        <a:pt x="58702" y="29330"/>
                                      </a:lnTo>
                                      <a:lnTo>
                                        <a:pt x="53193" y="33753"/>
                                      </a:lnTo>
                                      <a:lnTo>
                                        <a:pt x="42446" y="42236"/>
                                      </a:lnTo>
                                      <a:lnTo>
                                        <a:pt x="33595" y="53246"/>
                                      </a:lnTo>
                                      <a:lnTo>
                                        <a:pt x="29441" y="58661"/>
                                      </a:lnTo>
                                      <a:lnTo>
                                        <a:pt x="25106" y="65069"/>
                                      </a:lnTo>
                                      <a:lnTo>
                                        <a:pt x="20681" y="70484"/>
                                      </a:lnTo>
                                      <a:lnTo>
                                        <a:pt x="17430" y="77072"/>
                                      </a:lnTo>
                                      <a:lnTo>
                                        <a:pt x="14088" y="83660"/>
                                      </a:lnTo>
                                      <a:lnTo>
                                        <a:pt x="11017" y="89978"/>
                                      </a:lnTo>
                                      <a:lnTo>
                                        <a:pt x="8850" y="96566"/>
                                      </a:lnTo>
                                      <a:lnTo>
                                        <a:pt x="6592" y="103154"/>
                                      </a:lnTo>
                                      <a:lnTo>
                                        <a:pt x="4425" y="110645"/>
                                      </a:lnTo>
                                      <a:lnTo>
                                        <a:pt x="2257" y="117233"/>
                                      </a:lnTo>
                                      <a:lnTo>
                                        <a:pt x="1174" y="124904"/>
                                      </a:lnTo>
                                      <a:lnTo>
                                        <a:pt x="0" y="132305"/>
                                      </a:lnTo>
                                      <a:lnTo>
                                        <a:pt x="0" y="139976"/>
                                      </a:lnTo>
                                      <a:lnTo>
                                        <a:pt x="0" y="147647"/>
                                      </a:lnTo>
                                      <a:lnTo>
                                        <a:pt x="0" y="155138"/>
                                      </a:lnTo>
                                      <a:lnTo>
                                        <a:pt x="0" y="162809"/>
                                      </a:lnTo>
                                      <a:lnTo>
                                        <a:pt x="1174" y="169307"/>
                                      </a:lnTo>
                                      <a:lnTo>
                                        <a:pt x="2257" y="176978"/>
                                      </a:lnTo>
                                      <a:lnTo>
                                        <a:pt x="4425" y="184469"/>
                                      </a:lnTo>
                                      <a:lnTo>
                                        <a:pt x="6592" y="191057"/>
                                      </a:lnTo>
                                      <a:lnTo>
                                        <a:pt x="8850" y="197645"/>
                                      </a:lnTo>
                                      <a:lnTo>
                                        <a:pt x="11017" y="205045"/>
                                      </a:lnTo>
                                      <a:lnTo>
                                        <a:pt x="14088" y="211633"/>
                                      </a:lnTo>
                                      <a:lnTo>
                                        <a:pt x="17430" y="217139"/>
                                      </a:lnTo>
                                      <a:lnTo>
                                        <a:pt x="20681" y="223637"/>
                                      </a:lnTo>
                                      <a:lnTo>
                                        <a:pt x="25106" y="230044"/>
                                      </a:lnTo>
                                      <a:lnTo>
                                        <a:pt x="29441" y="235549"/>
                                      </a:lnTo>
                                      <a:lnTo>
                                        <a:pt x="33595" y="240964"/>
                                      </a:lnTo>
                                      <a:lnTo>
                                        <a:pt x="42446" y="251704"/>
                                      </a:lnTo>
                                      <a:lnTo>
                                        <a:pt x="53193" y="260458"/>
                                      </a:lnTo>
                                      <a:lnTo>
                                        <a:pt x="58702" y="265963"/>
                                      </a:lnTo>
                                      <a:lnTo>
                                        <a:pt x="64121" y="269212"/>
                                      </a:lnTo>
                                      <a:lnTo>
                                        <a:pt x="70533" y="273454"/>
                                      </a:lnTo>
                                      <a:lnTo>
                                        <a:pt x="76042" y="276703"/>
                                      </a:lnTo>
                                      <a:lnTo>
                                        <a:pt x="82634" y="279952"/>
                                      </a:lnTo>
                                      <a:lnTo>
                                        <a:pt x="88956" y="283291"/>
                                      </a:lnTo>
                                      <a:lnTo>
                                        <a:pt x="95549" y="285457"/>
                                      </a:lnTo>
                                      <a:lnTo>
                                        <a:pt x="103045" y="287623"/>
                                      </a:lnTo>
                                      <a:lnTo>
                                        <a:pt x="109637" y="289879"/>
                                      </a:lnTo>
                                      <a:lnTo>
                                        <a:pt x="117314" y="292045"/>
                                      </a:lnTo>
                                      <a:lnTo>
                                        <a:pt x="123636" y="293128"/>
                                      </a:lnTo>
                                      <a:lnTo>
                                        <a:pt x="131312" y="294031"/>
                                      </a:lnTo>
                                      <a:lnTo>
                                        <a:pt x="138808" y="294031"/>
                                      </a:lnTo>
                                      <a:lnTo>
                                        <a:pt x="146484" y="295114"/>
                                      </a:lnTo>
                                      <a:lnTo>
                                        <a:pt x="153980" y="294031"/>
                                      </a:lnTo>
                                      <a:lnTo>
                                        <a:pt x="161657" y="294031"/>
                                      </a:lnTo>
                                      <a:lnTo>
                                        <a:pt x="169153" y="293128"/>
                                      </a:lnTo>
                                      <a:lnTo>
                                        <a:pt x="175745" y="292045"/>
                                      </a:lnTo>
                                      <a:lnTo>
                                        <a:pt x="183422" y="289879"/>
                                      </a:lnTo>
                                      <a:lnTo>
                                        <a:pt x="189744" y="287623"/>
                                      </a:lnTo>
                                      <a:lnTo>
                                        <a:pt x="197420" y="285457"/>
                                      </a:lnTo>
                                      <a:lnTo>
                                        <a:pt x="203832" y="283291"/>
                                      </a:lnTo>
                                      <a:lnTo>
                                        <a:pt x="210425" y="279952"/>
                                      </a:lnTo>
                                      <a:lnTo>
                                        <a:pt x="217018" y="276703"/>
                                      </a:lnTo>
                                      <a:lnTo>
                                        <a:pt x="222256" y="273454"/>
                                      </a:lnTo>
                                      <a:lnTo>
                                        <a:pt x="228848" y="269212"/>
                                      </a:lnTo>
                                      <a:lnTo>
                                        <a:pt x="234357" y="265963"/>
                                      </a:lnTo>
                                      <a:lnTo>
                                        <a:pt x="239595" y="260458"/>
                                      </a:lnTo>
                                      <a:lnTo>
                                        <a:pt x="250613" y="251704"/>
                                      </a:lnTo>
                                      <a:lnTo>
                                        <a:pt x="260277" y="240964"/>
                                      </a:lnTo>
                                      <a:lnTo>
                                        <a:pt x="264612" y="235549"/>
                                      </a:lnTo>
                                      <a:lnTo>
                                        <a:pt x="267953" y="230044"/>
                                      </a:lnTo>
                                      <a:lnTo>
                                        <a:pt x="272288" y="223637"/>
                                      </a:lnTo>
                                      <a:lnTo>
                                        <a:pt x="275359" y="217139"/>
                                      </a:lnTo>
                                      <a:lnTo>
                                        <a:pt x="278700" y="211633"/>
                                      </a:lnTo>
                                      <a:lnTo>
                                        <a:pt x="281951" y="205045"/>
                                      </a:lnTo>
                                      <a:lnTo>
                                        <a:pt x="284209" y="197645"/>
                                      </a:lnTo>
                                      <a:lnTo>
                                        <a:pt x="286377" y="191057"/>
                                      </a:lnTo>
                                      <a:lnTo>
                                        <a:pt x="288544" y="184469"/>
                                      </a:lnTo>
                                      <a:lnTo>
                                        <a:pt x="290531" y="176978"/>
                                      </a:lnTo>
                                      <a:lnTo>
                                        <a:pt x="291615" y="169307"/>
                                      </a:lnTo>
                                      <a:lnTo>
                                        <a:pt x="292789" y="162809"/>
                                      </a:lnTo>
                                      <a:lnTo>
                                        <a:pt x="292789" y="155138"/>
                                      </a:lnTo>
                                      <a:lnTo>
                                        <a:pt x="293873" y="147647"/>
                                      </a:lnTo>
                                      <a:lnTo>
                                        <a:pt x="292789" y="139976"/>
                                      </a:lnTo>
                                      <a:lnTo>
                                        <a:pt x="292789" y="132305"/>
                                      </a:lnTo>
                                      <a:lnTo>
                                        <a:pt x="291615" y="124904"/>
                                      </a:lnTo>
                                      <a:lnTo>
                                        <a:pt x="290531" y="117233"/>
                                      </a:lnTo>
                                      <a:lnTo>
                                        <a:pt x="288544" y="110645"/>
                                      </a:lnTo>
                                      <a:lnTo>
                                        <a:pt x="286377" y="103154"/>
                                      </a:lnTo>
                                      <a:lnTo>
                                        <a:pt x="284209" y="96566"/>
                                      </a:lnTo>
                                      <a:lnTo>
                                        <a:pt x="281951" y="89978"/>
                                      </a:lnTo>
                                      <a:lnTo>
                                        <a:pt x="278700" y="83660"/>
                                      </a:lnTo>
                                      <a:lnTo>
                                        <a:pt x="275359" y="77072"/>
                                      </a:lnTo>
                                      <a:lnTo>
                                        <a:pt x="272288" y="70484"/>
                                      </a:lnTo>
                                      <a:lnTo>
                                        <a:pt x="267953" y="65069"/>
                                      </a:lnTo>
                                      <a:lnTo>
                                        <a:pt x="264612" y="58661"/>
                                      </a:lnTo>
                                      <a:lnTo>
                                        <a:pt x="260277" y="53246"/>
                                      </a:lnTo>
                                      <a:lnTo>
                                        <a:pt x="250613" y="42236"/>
                                      </a:lnTo>
                                      <a:lnTo>
                                        <a:pt x="239595" y="33753"/>
                                      </a:lnTo>
                                      <a:lnTo>
                                        <a:pt x="234357" y="29330"/>
                                      </a:lnTo>
                                      <a:lnTo>
                                        <a:pt x="228848" y="24908"/>
                                      </a:lnTo>
                                      <a:lnTo>
                                        <a:pt x="222256" y="20576"/>
                                      </a:lnTo>
                                      <a:lnTo>
                                        <a:pt x="217018" y="17237"/>
                                      </a:lnTo>
                                      <a:lnTo>
                                        <a:pt x="210425" y="14169"/>
                                      </a:lnTo>
                                      <a:lnTo>
                                        <a:pt x="203832" y="10920"/>
                                      </a:lnTo>
                                      <a:lnTo>
                                        <a:pt x="197420" y="8754"/>
                                      </a:lnTo>
                                      <a:lnTo>
                                        <a:pt x="189744" y="6497"/>
                                      </a:lnTo>
                                      <a:lnTo>
                                        <a:pt x="183422" y="4331"/>
                                      </a:lnTo>
                                      <a:lnTo>
                                        <a:pt x="175745" y="2165"/>
                                      </a:lnTo>
                                      <a:lnTo>
                                        <a:pt x="169153" y="1082"/>
                                      </a:lnTo>
                                      <a:lnTo>
                                        <a:pt x="161657" y="0"/>
                                      </a:lnTo>
                                      <a:lnTo>
                                        <a:pt x="153980" y="0"/>
                                      </a:lnTo>
                                      <a:lnTo>
                                        <a:pt x="146484"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610" name="Image 1391"/>
                                <pic:cNvPicPr/>
                              </pic:nvPicPr>
                              <pic:blipFill>
                                <a:blip r:embed="rId112" cstate="print"/>
                                <a:stretch>
                                  <a:fillRect/>
                                </a:stretch>
                              </pic:blipFill>
                              <pic:spPr>
                                <a:xfrm>
                                  <a:off x="122552" y="43319"/>
                                  <a:ext cx="213669" cy="213887"/>
                                </a:xfrm>
                                <a:prstGeom prst="rect">
                                  <a:avLst/>
                                </a:prstGeom>
                              </pic:spPr>
                            </pic:pic>
                          </wpg:wgp>
                        </a:graphicData>
                      </a:graphic>
                    </wp:anchor>
                  </w:drawing>
                </mc:Choice>
                <mc:Fallback>
                  <w:pict>
                    <v:group w14:anchorId="73A12D9B" id="Group 1385" o:spid="_x0000_s1026" style="position:absolute;margin-left:71.75pt;margin-top:-5.8pt;width:51.4pt;height:23.8pt;z-index:-251341824;mso-wrap-distance-left:0;mso-wrap-distance-right:0" coordsize="6527,30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">
                      <v:shape id="Image 1386" o:spid="_x0000_s1027" type="#_x0000_t75" style="position:absolute;top:727;width:1528;height:15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">
                        <v:imagedata r:id="rId113" o:title=""/>
                      </v:shape>
                      <v:shape id="Graphic 1387" o:spid="_x0000_s1028" style="position:absolute;left:3555;top:32;width:2940;height:2953;visibility:visible;mso-wrap-style:square;v-text-anchor:top" coordsize="294005,295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" path="m146484,r-7676,l131312,r-7676,1082l117314,2165r-7677,2166l103045,6497,95549,8754r-6593,2166l82634,14169r-5509,3068l70533,20576r-6412,4332l58702,29330r-5509,4423l42446,42236,33595,53246r-4154,5415l25106,65069r-4425,5415l17430,77072r-3342,6588l11017,89978,8850,96566r-2258,6588l4425,110645r-2168,6588l1174,124904,,132305r,7671l,147647r,7491l,162809r1174,6498l2257,176978r2168,7491l6592,191057r2258,6588l11017,205045r3071,6588l17430,217139r3251,6498l25106,230044r4335,5505l33595,240964r8851,10740l53193,260458r5509,5505l64121,269212r6412,4242l76042,276703r6592,3249l88956,283291r6593,2166l103045,287623r6592,2256l117314,292045r6322,1083l131312,294031r7496,l146484,295114r7496,-1083l161657,294031r7496,-903l175745,292045r7677,-2166l189744,287623r7676,-2166l203832,283291r6593,-3339l217018,276703r5238,-3249l228848,269212r5509,-3249l239595,260458r11018,-8754l260277,240964r4335,-5415l267953,230044r4335,-6407l275359,217139r3341,-5506l281951,205045r2258,-7400l286377,191057r2167,-6588l290531,176978r1084,-7671l292789,162809r,-7671l293873,147647r-1084,-7671l292789,132305r-1174,-7401l290531,117233r-1987,-6588l286377,103154r-2168,-6588l281951,89978r-3251,-6318l275359,77072r-3071,-6588l267953,65069r-3341,-6408l260277,53246,250613,42236,239595,33753r-5238,-4423l228848,24908r-6592,-4332l217018,17237r-6593,-3068l203832,10920,197420,8754,189744,6497,183422,4331,175745,2165,169153,1082,161657,r-7677,l146484,e" filled="f" strokeweight=".18292mm">
                        <v:path arrowok="t"/>
                      </v:shape>
                      <v:shape id="Image 1388" o:spid="_x0000_s1029" type="#_x0000_t75" style="position:absolute;left:1225;top:433;width:2137;height:2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">
                        <v:imagedata r:id="rId114" o:title=""/>
                      </v:shape>
                      <v:shape id="Image 1389" o:spid="_x0000_s1030" type="#_x0000_t75" style="position:absolute;top:727;width:1528;height:15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">
                        <v:imagedata r:id="rId113" o:title=""/>
                      </v:shape>
                      <v:shape id="Graphic 1390" o:spid="_x0000_s1031" style="position:absolute;left:3555;top:32;width:2940;height:2953;visibility:visible;mso-wrap-style:square;v-text-anchor:top" coordsize="294005,295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" path="m146484,r-7676,l131312,r-7676,1082l117314,2165r-7677,2166l103045,6497,95549,8754r-6593,2166l82634,14169r-5509,3068l70533,20576r-6412,4332l58702,29330r-5509,4423l42446,42236,33595,53246r-4154,5415l25106,65069r-4425,5415l17430,77072r-3342,6588l11017,89978,8850,96566r-2258,6588l4425,110645r-2168,6588l1174,124904,,132305r,7671l,147647r,7491l,162809r1174,6498l2257,176978r2168,7491l6592,191057r2258,6588l11017,205045r3071,6588l17430,217139r3251,6498l25106,230044r4335,5505l33595,240964r8851,10740l53193,260458r5509,5505l64121,269212r6412,4242l76042,276703r6592,3249l88956,283291r6593,2166l103045,287623r6592,2256l117314,292045r6322,1083l131312,294031r7496,l146484,295114r7496,-1083l161657,294031r7496,-903l175745,292045r7677,-2166l189744,287623r7676,-2166l203832,283291r6593,-3339l217018,276703r5238,-3249l228848,269212r5509,-3249l239595,260458r11018,-8754l260277,240964r4335,-5415l267953,230044r4335,-6407l275359,217139r3341,-5506l281951,205045r2258,-7400l286377,191057r2167,-6588l290531,176978r1084,-7671l292789,162809r,-7671l293873,147647r-1084,-7671l292789,132305r-1174,-7401l290531,117233r-1987,-6588l286377,103154r-2168,-6588l281951,89978r-3251,-6318l275359,77072r-3071,-6588l267953,65069r-3341,-6408l260277,53246,250613,42236,239595,33753r-5238,-4423l228848,24908r-6592,-4332l217018,17237r-6593,-3068l203832,10920,197420,8754,189744,6497,183422,4331,175745,2165,169153,1082,161657,r-7677,l146484,e" filled="f" strokeweight=".18292mm">
                        <v:path arrowok="t"/>
                      </v:shape>
                      <v:shape id="Image 1391" o:spid="_x0000_s1032" type="#_x0000_t75" style="position:absolute;left:1225;top:433;width:2137;height:2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">
                        <v:imagedata r:id="rId114" o:title=""/>
                      </v:shape>
                    </v:group>
                  </w:pict>
                </mc:Fallback>
              </mc:AlternateContent>
            </w:r>
            <w:r w:rsidRPr="00E73F6F">
              <w:rPr>
                <w:spacing w:val="-2"/>
                <w:sz w:val="24"/>
                <w:szCs w:val="24"/>
                <w:lang w:val="de-DE"/>
              </w:rPr>
              <w:t>China</w:t>
            </w:r>
          </w:p>
        </w:tc>
      </w:tr>
      <w:tr w:rsidR="00FF7799" w:rsidRPr="00E73F6F" w14:paraId="08E96A93" w14:textId="77777777" w:rsidTr="00A67B23">
        <w:trPr>
          <w:trHeight w:val="831"/>
        </w:trPr>
        <w:tc>
          <w:tcPr>
            <w:tcW w:w="4599" w:type="dxa"/>
          </w:tcPr>
          <w:p w14:paraId="3D24ACE3" w14:textId="77777777" w:rsidR="00FF7799" w:rsidRPr="00E73F6F" w:rsidRDefault="00FF7799" w:rsidP="00862DBA">
            <w:pPr>
              <w:spacing w:before="5"/>
              <w:rPr>
                <w:i/>
                <w:sz w:val="24"/>
                <w:szCs w:val="24"/>
                <w:lang w:val="de-DE"/>
              </w:rPr>
            </w:pPr>
          </w:p>
          <w:p w14:paraId="4309495F" w14:textId="77777777" w:rsidR="00FF7799" w:rsidRPr="00E73F6F" w:rsidRDefault="00FF7799" w:rsidP="00862DBA">
            <w:pPr>
              <w:rPr>
                <w:sz w:val="24"/>
                <w:szCs w:val="24"/>
                <w:lang w:val="de-DE"/>
              </w:rPr>
            </w:pPr>
            <w:r w:rsidRPr="00E73F6F">
              <w:rPr>
                <w:noProof/>
                <w:sz w:val="24"/>
                <w:szCs w:val="24"/>
                <w:lang w:eastAsia="de-DE"/>
              </w:rPr>
              <mc:AlternateContent>
                <mc:Choice Requires="wpg">
                  <w:drawing>
                    <wp:anchor distT="0" distB="0" distL="0" distR="0" simplePos="0" relativeHeight="251968512" behindDoc="1" locked="0" layoutInCell="1" allowOverlap="1" wp14:anchorId="7D24CD4D" wp14:editId="07E4EE59">
                      <wp:simplePos x="0" y="0"/>
                      <wp:positionH relativeFrom="column">
                        <wp:posOffset>958285</wp:posOffset>
                      </wp:positionH>
                      <wp:positionV relativeFrom="paragraph">
                        <wp:posOffset>-83731</wp:posOffset>
                      </wp:positionV>
                      <wp:extent cx="628015" cy="318135"/>
                      <wp:effectExtent l="0" t="0" r="0" b="0"/>
                      <wp:wrapNone/>
                      <wp:docPr id="1611" name="Group 13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8015" cy="318135"/>
                                <a:chOff x="0" y="0"/>
                                <a:chExt cx="628015" cy="318135"/>
                              </a:xfrm>
                            </wpg:grpSpPr>
                            <wps:wsp>
                              <wps:cNvPr id="1612" name="Graphic 1393"/>
                              <wps:cNvSpPr/>
                              <wps:spPr>
                                <a:xfrm>
                                  <a:off x="314415" y="3292"/>
                                  <a:ext cx="310515" cy="311785"/>
                                </a:xfrm>
                                <a:custGeom>
                                  <a:avLst/>
                                  <a:gdLst/>
                                  <a:ahLst/>
                                  <a:cxnLst/>
                                  <a:rect l="l" t="t" r="r" b="b"/>
                                  <a:pathLst>
                                    <a:path w="310515" h="311785">
                                      <a:moveTo>
                                        <a:pt x="155064" y="0"/>
                                      </a:moveTo>
                                      <a:lnTo>
                                        <a:pt x="147568" y="0"/>
                                      </a:lnTo>
                                      <a:lnTo>
                                        <a:pt x="138808" y="1173"/>
                                      </a:lnTo>
                                      <a:lnTo>
                                        <a:pt x="131312" y="2256"/>
                                      </a:lnTo>
                                      <a:lnTo>
                                        <a:pt x="123636" y="3339"/>
                                      </a:lnTo>
                                      <a:lnTo>
                                        <a:pt x="115959" y="5505"/>
                                      </a:lnTo>
                                      <a:lnTo>
                                        <a:pt x="109547" y="7490"/>
                                      </a:lnTo>
                                      <a:lnTo>
                                        <a:pt x="101871" y="9656"/>
                                      </a:lnTo>
                                      <a:lnTo>
                                        <a:pt x="94465" y="11912"/>
                                      </a:lnTo>
                                      <a:lnTo>
                                        <a:pt x="87872" y="15161"/>
                                      </a:lnTo>
                                      <a:lnTo>
                                        <a:pt x="81280" y="18410"/>
                                      </a:lnTo>
                                      <a:lnTo>
                                        <a:pt x="74868" y="22833"/>
                                      </a:lnTo>
                                      <a:lnTo>
                                        <a:pt x="68275" y="27164"/>
                                      </a:lnTo>
                                      <a:lnTo>
                                        <a:pt x="61953" y="31406"/>
                                      </a:lnTo>
                                      <a:lnTo>
                                        <a:pt x="30344" y="62903"/>
                                      </a:lnTo>
                                      <a:lnTo>
                                        <a:pt x="22848" y="74996"/>
                                      </a:lnTo>
                                      <a:lnTo>
                                        <a:pt x="18423" y="81314"/>
                                      </a:lnTo>
                                      <a:lnTo>
                                        <a:pt x="15172" y="87902"/>
                                      </a:lnTo>
                                      <a:lnTo>
                                        <a:pt x="11830" y="95573"/>
                                      </a:lnTo>
                                      <a:lnTo>
                                        <a:pt x="9843" y="101891"/>
                                      </a:lnTo>
                                      <a:lnTo>
                                        <a:pt x="6592" y="109562"/>
                                      </a:lnTo>
                                      <a:lnTo>
                                        <a:pt x="4425" y="117233"/>
                                      </a:lnTo>
                                      <a:lnTo>
                                        <a:pt x="3341" y="124724"/>
                                      </a:lnTo>
                                      <a:lnTo>
                                        <a:pt x="2167" y="132395"/>
                                      </a:lnTo>
                                      <a:lnTo>
                                        <a:pt x="1083" y="140066"/>
                                      </a:lnTo>
                                      <a:lnTo>
                                        <a:pt x="0" y="147466"/>
                                      </a:lnTo>
                                      <a:lnTo>
                                        <a:pt x="0" y="155138"/>
                                      </a:lnTo>
                                      <a:lnTo>
                                        <a:pt x="0" y="163892"/>
                                      </a:lnTo>
                                      <a:lnTo>
                                        <a:pt x="1083" y="171382"/>
                                      </a:lnTo>
                                      <a:lnTo>
                                        <a:pt x="2167" y="179054"/>
                                      </a:lnTo>
                                      <a:lnTo>
                                        <a:pt x="3341" y="186725"/>
                                      </a:lnTo>
                                      <a:lnTo>
                                        <a:pt x="4425" y="194125"/>
                                      </a:lnTo>
                                      <a:lnTo>
                                        <a:pt x="6592" y="201796"/>
                                      </a:lnTo>
                                      <a:lnTo>
                                        <a:pt x="9843" y="209468"/>
                                      </a:lnTo>
                                      <a:lnTo>
                                        <a:pt x="11830" y="215875"/>
                                      </a:lnTo>
                                      <a:lnTo>
                                        <a:pt x="15172" y="222463"/>
                                      </a:lnTo>
                                      <a:lnTo>
                                        <a:pt x="18423" y="230135"/>
                                      </a:lnTo>
                                      <a:lnTo>
                                        <a:pt x="22848" y="236632"/>
                                      </a:lnTo>
                                      <a:lnTo>
                                        <a:pt x="26099" y="241957"/>
                                      </a:lnTo>
                                      <a:lnTo>
                                        <a:pt x="30344" y="248545"/>
                                      </a:lnTo>
                                      <a:lnTo>
                                        <a:pt x="35763" y="253960"/>
                                      </a:lnTo>
                                      <a:lnTo>
                                        <a:pt x="45426" y="265783"/>
                                      </a:lnTo>
                                      <a:lnTo>
                                        <a:pt x="56444" y="275710"/>
                                      </a:lnTo>
                                      <a:lnTo>
                                        <a:pt x="61953" y="280042"/>
                                      </a:lnTo>
                                      <a:lnTo>
                                        <a:pt x="68275" y="284194"/>
                                      </a:lnTo>
                                      <a:lnTo>
                                        <a:pt x="74868" y="288616"/>
                                      </a:lnTo>
                                      <a:lnTo>
                                        <a:pt x="109547" y="303958"/>
                                      </a:lnTo>
                                      <a:lnTo>
                                        <a:pt x="115959" y="306124"/>
                                      </a:lnTo>
                                      <a:lnTo>
                                        <a:pt x="123636" y="308110"/>
                                      </a:lnTo>
                                      <a:lnTo>
                                        <a:pt x="131312" y="309193"/>
                                      </a:lnTo>
                                      <a:lnTo>
                                        <a:pt x="138808" y="310276"/>
                                      </a:lnTo>
                                      <a:lnTo>
                                        <a:pt x="147568" y="310276"/>
                                      </a:lnTo>
                                      <a:lnTo>
                                        <a:pt x="155064" y="311359"/>
                                      </a:lnTo>
                                      <a:lnTo>
                                        <a:pt x="163824" y="310276"/>
                                      </a:lnTo>
                                      <a:lnTo>
                                        <a:pt x="171320" y="310276"/>
                                      </a:lnTo>
                                      <a:lnTo>
                                        <a:pt x="178997" y="309193"/>
                                      </a:lnTo>
                                      <a:lnTo>
                                        <a:pt x="215844" y="298453"/>
                                      </a:lnTo>
                                      <a:lnTo>
                                        <a:pt x="222256" y="295204"/>
                                      </a:lnTo>
                                      <a:lnTo>
                                        <a:pt x="228848" y="291865"/>
                                      </a:lnTo>
                                      <a:lnTo>
                                        <a:pt x="235170" y="288616"/>
                                      </a:lnTo>
                                      <a:lnTo>
                                        <a:pt x="241763" y="284194"/>
                                      </a:lnTo>
                                      <a:lnTo>
                                        <a:pt x="248356" y="280042"/>
                                      </a:lnTo>
                                      <a:lnTo>
                                        <a:pt x="279784" y="248545"/>
                                      </a:lnTo>
                                      <a:lnTo>
                                        <a:pt x="284119" y="241957"/>
                                      </a:lnTo>
                                      <a:lnTo>
                                        <a:pt x="288364" y="236632"/>
                                      </a:lnTo>
                                      <a:lnTo>
                                        <a:pt x="291615" y="230135"/>
                                      </a:lnTo>
                                      <a:lnTo>
                                        <a:pt x="294866" y="222463"/>
                                      </a:lnTo>
                                      <a:lnTo>
                                        <a:pt x="298207" y="215875"/>
                                      </a:lnTo>
                                      <a:lnTo>
                                        <a:pt x="301459" y="209468"/>
                                      </a:lnTo>
                                      <a:lnTo>
                                        <a:pt x="303716" y="201796"/>
                                      </a:lnTo>
                                      <a:lnTo>
                                        <a:pt x="305703" y="194125"/>
                                      </a:lnTo>
                                      <a:lnTo>
                                        <a:pt x="306787" y="186725"/>
                                      </a:lnTo>
                                      <a:lnTo>
                                        <a:pt x="308955" y="179054"/>
                                      </a:lnTo>
                                      <a:lnTo>
                                        <a:pt x="310038" y="171382"/>
                                      </a:lnTo>
                                      <a:lnTo>
                                        <a:pt x="310038" y="163892"/>
                                      </a:lnTo>
                                      <a:lnTo>
                                        <a:pt x="310038" y="155138"/>
                                      </a:lnTo>
                                      <a:lnTo>
                                        <a:pt x="310038" y="147466"/>
                                      </a:lnTo>
                                      <a:lnTo>
                                        <a:pt x="310038" y="140066"/>
                                      </a:lnTo>
                                      <a:lnTo>
                                        <a:pt x="308955" y="132395"/>
                                      </a:lnTo>
                                      <a:lnTo>
                                        <a:pt x="306787" y="124724"/>
                                      </a:lnTo>
                                      <a:lnTo>
                                        <a:pt x="305703" y="117233"/>
                                      </a:lnTo>
                                      <a:lnTo>
                                        <a:pt x="303716" y="109562"/>
                                      </a:lnTo>
                                      <a:lnTo>
                                        <a:pt x="301459" y="101891"/>
                                      </a:lnTo>
                                      <a:lnTo>
                                        <a:pt x="298207" y="95573"/>
                                      </a:lnTo>
                                      <a:lnTo>
                                        <a:pt x="294866" y="87902"/>
                                      </a:lnTo>
                                      <a:lnTo>
                                        <a:pt x="291615" y="81314"/>
                                      </a:lnTo>
                                      <a:lnTo>
                                        <a:pt x="288364" y="74996"/>
                                      </a:lnTo>
                                      <a:lnTo>
                                        <a:pt x="284119" y="68408"/>
                                      </a:lnTo>
                                      <a:lnTo>
                                        <a:pt x="279784" y="62903"/>
                                      </a:lnTo>
                                      <a:lnTo>
                                        <a:pt x="275359" y="56315"/>
                                      </a:lnTo>
                                      <a:lnTo>
                                        <a:pt x="264612" y="45575"/>
                                      </a:lnTo>
                                      <a:lnTo>
                                        <a:pt x="253594" y="35738"/>
                                      </a:lnTo>
                                      <a:lnTo>
                                        <a:pt x="248356" y="31406"/>
                                      </a:lnTo>
                                      <a:lnTo>
                                        <a:pt x="241763" y="27164"/>
                                      </a:lnTo>
                                      <a:lnTo>
                                        <a:pt x="235170" y="22833"/>
                                      </a:lnTo>
                                      <a:lnTo>
                                        <a:pt x="228848" y="18410"/>
                                      </a:lnTo>
                                      <a:lnTo>
                                        <a:pt x="222256" y="15161"/>
                                      </a:lnTo>
                                      <a:lnTo>
                                        <a:pt x="215844" y="11912"/>
                                      </a:lnTo>
                                      <a:lnTo>
                                        <a:pt x="208167" y="9656"/>
                                      </a:lnTo>
                                      <a:lnTo>
                                        <a:pt x="201574" y="7490"/>
                                      </a:lnTo>
                                      <a:lnTo>
                                        <a:pt x="194079" y="5505"/>
                                      </a:lnTo>
                                      <a:lnTo>
                                        <a:pt x="186402" y="3339"/>
                                      </a:lnTo>
                                      <a:lnTo>
                                        <a:pt x="178997" y="2256"/>
                                      </a:lnTo>
                                      <a:lnTo>
                                        <a:pt x="171320" y="1173"/>
                                      </a:lnTo>
                                      <a:lnTo>
                                        <a:pt x="163824" y="0"/>
                                      </a:lnTo>
                                      <a:lnTo>
                                        <a:pt x="155064"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613" name="Image 1394"/>
                                <pic:cNvPicPr/>
                              </pic:nvPicPr>
                              <pic:blipFill>
                                <a:blip r:embed="rId115" cstate="print"/>
                                <a:stretch>
                                  <a:fillRect/>
                                </a:stretch>
                              </pic:blipFill>
                              <pic:spPr>
                                <a:xfrm>
                                  <a:off x="0" y="33572"/>
                                  <a:ext cx="383815" cy="250889"/>
                                </a:xfrm>
                                <a:prstGeom prst="rect">
                                  <a:avLst/>
                                </a:prstGeom>
                              </pic:spPr>
                            </pic:pic>
                            <wps:wsp>
                              <wps:cNvPr id="1614" name="Graphic 1395"/>
                              <wps:cNvSpPr/>
                              <wps:spPr>
                                <a:xfrm>
                                  <a:off x="314415" y="3292"/>
                                  <a:ext cx="310515" cy="311785"/>
                                </a:xfrm>
                                <a:custGeom>
                                  <a:avLst/>
                                  <a:gdLst/>
                                  <a:ahLst/>
                                  <a:cxnLst/>
                                  <a:rect l="l" t="t" r="r" b="b"/>
                                  <a:pathLst>
                                    <a:path w="310515" h="311785">
                                      <a:moveTo>
                                        <a:pt x="155064" y="0"/>
                                      </a:moveTo>
                                      <a:lnTo>
                                        <a:pt x="147568" y="0"/>
                                      </a:lnTo>
                                      <a:lnTo>
                                        <a:pt x="138808" y="1173"/>
                                      </a:lnTo>
                                      <a:lnTo>
                                        <a:pt x="131312" y="2256"/>
                                      </a:lnTo>
                                      <a:lnTo>
                                        <a:pt x="123636" y="3339"/>
                                      </a:lnTo>
                                      <a:lnTo>
                                        <a:pt x="115959" y="5505"/>
                                      </a:lnTo>
                                      <a:lnTo>
                                        <a:pt x="109547" y="7490"/>
                                      </a:lnTo>
                                      <a:lnTo>
                                        <a:pt x="101871" y="9656"/>
                                      </a:lnTo>
                                      <a:lnTo>
                                        <a:pt x="94465" y="11912"/>
                                      </a:lnTo>
                                      <a:lnTo>
                                        <a:pt x="87872" y="15161"/>
                                      </a:lnTo>
                                      <a:lnTo>
                                        <a:pt x="81280" y="18410"/>
                                      </a:lnTo>
                                      <a:lnTo>
                                        <a:pt x="74868" y="22833"/>
                                      </a:lnTo>
                                      <a:lnTo>
                                        <a:pt x="68275" y="27164"/>
                                      </a:lnTo>
                                      <a:lnTo>
                                        <a:pt x="61953" y="31406"/>
                                      </a:lnTo>
                                      <a:lnTo>
                                        <a:pt x="30344" y="62903"/>
                                      </a:lnTo>
                                      <a:lnTo>
                                        <a:pt x="22848" y="74996"/>
                                      </a:lnTo>
                                      <a:lnTo>
                                        <a:pt x="18423" y="81314"/>
                                      </a:lnTo>
                                      <a:lnTo>
                                        <a:pt x="15172" y="87902"/>
                                      </a:lnTo>
                                      <a:lnTo>
                                        <a:pt x="11830" y="95573"/>
                                      </a:lnTo>
                                      <a:lnTo>
                                        <a:pt x="9843" y="101891"/>
                                      </a:lnTo>
                                      <a:lnTo>
                                        <a:pt x="6592" y="109562"/>
                                      </a:lnTo>
                                      <a:lnTo>
                                        <a:pt x="4425" y="117233"/>
                                      </a:lnTo>
                                      <a:lnTo>
                                        <a:pt x="3341" y="124724"/>
                                      </a:lnTo>
                                      <a:lnTo>
                                        <a:pt x="2167" y="132395"/>
                                      </a:lnTo>
                                      <a:lnTo>
                                        <a:pt x="1083" y="140066"/>
                                      </a:lnTo>
                                      <a:lnTo>
                                        <a:pt x="0" y="147466"/>
                                      </a:lnTo>
                                      <a:lnTo>
                                        <a:pt x="0" y="155138"/>
                                      </a:lnTo>
                                      <a:lnTo>
                                        <a:pt x="0" y="163892"/>
                                      </a:lnTo>
                                      <a:lnTo>
                                        <a:pt x="1083" y="171382"/>
                                      </a:lnTo>
                                      <a:lnTo>
                                        <a:pt x="2167" y="179054"/>
                                      </a:lnTo>
                                      <a:lnTo>
                                        <a:pt x="3341" y="186725"/>
                                      </a:lnTo>
                                      <a:lnTo>
                                        <a:pt x="4425" y="194125"/>
                                      </a:lnTo>
                                      <a:lnTo>
                                        <a:pt x="6592" y="201796"/>
                                      </a:lnTo>
                                      <a:lnTo>
                                        <a:pt x="9843" y="209468"/>
                                      </a:lnTo>
                                      <a:lnTo>
                                        <a:pt x="11830" y="215875"/>
                                      </a:lnTo>
                                      <a:lnTo>
                                        <a:pt x="15172" y="222463"/>
                                      </a:lnTo>
                                      <a:lnTo>
                                        <a:pt x="18423" y="230135"/>
                                      </a:lnTo>
                                      <a:lnTo>
                                        <a:pt x="22848" y="236632"/>
                                      </a:lnTo>
                                      <a:lnTo>
                                        <a:pt x="26099" y="241957"/>
                                      </a:lnTo>
                                      <a:lnTo>
                                        <a:pt x="30344" y="248545"/>
                                      </a:lnTo>
                                      <a:lnTo>
                                        <a:pt x="35763" y="253960"/>
                                      </a:lnTo>
                                      <a:lnTo>
                                        <a:pt x="45426" y="265783"/>
                                      </a:lnTo>
                                      <a:lnTo>
                                        <a:pt x="56444" y="275710"/>
                                      </a:lnTo>
                                      <a:lnTo>
                                        <a:pt x="61953" y="280042"/>
                                      </a:lnTo>
                                      <a:lnTo>
                                        <a:pt x="68275" y="284194"/>
                                      </a:lnTo>
                                      <a:lnTo>
                                        <a:pt x="74868" y="288616"/>
                                      </a:lnTo>
                                      <a:lnTo>
                                        <a:pt x="109547" y="303958"/>
                                      </a:lnTo>
                                      <a:lnTo>
                                        <a:pt x="115959" y="306124"/>
                                      </a:lnTo>
                                      <a:lnTo>
                                        <a:pt x="123636" y="308110"/>
                                      </a:lnTo>
                                      <a:lnTo>
                                        <a:pt x="131312" y="309193"/>
                                      </a:lnTo>
                                      <a:lnTo>
                                        <a:pt x="138808" y="310276"/>
                                      </a:lnTo>
                                      <a:lnTo>
                                        <a:pt x="147568" y="310276"/>
                                      </a:lnTo>
                                      <a:lnTo>
                                        <a:pt x="155064" y="311359"/>
                                      </a:lnTo>
                                      <a:lnTo>
                                        <a:pt x="163824" y="310276"/>
                                      </a:lnTo>
                                      <a:lnTo>
                                        <a:pt x="171320" y="310276"/>
                                      </a:lnTo>
                                      <a:lnTo>
                                        <a:pt x="178997" y="309193"/>
                                      </a:lnTo>
                                      <a:lnTo>
                                        <a:pt x="215844" y="298453"/>
                                      </a:lnTo>
                                      <a:lnTo>
                                        <a:pt x="222256" y="295204"/>
                                      </a:lnTo>
                                      <a:lnTo>
                                        <a:pt x="228848" y="291865"/>
                                      </a:lnTo>
                                      <a:lnTo>
                                        <a:pt x="235170" y="288616"/>
                                      </a:lnTo>
                                      <a:lnTo>
                                        <a:pt x="241763" y="284194"/>
                                      </a:lnTo>
                                      <a:lnTo>
                                        <a:pt x="248356" y="280042"/>
                                      </a:lnTo>
                                      <a:lnTo>
                                        <a:pt x="279784" y="248545"/>
                                      </a:lnTo>
                                      <a:lnTo>
                                        <a:pt x="284119" y="241957"/>
                                      </a:lnTo>
                                      <a:lnTo>
                                        <a:pt x="288364" y="236632"/>
                                      </a:lnTo>
                                      <a:lnTo>
                                        <a:pt x="291615" y="230135"/>
                                      </a:lnTo>
                                      <a:lnTo>
                                        <a:pt x="294866" y="222463"/>
                                      </a:lnTo>
                                      <a:lnTo>
                                        <a:pt x="298207" y="215875"/>
                                      </a:lnTo>
                                      <a:lnTo>
                                        <a:pt x="301459" y="209468"/>
                                      </a:lnTo>
                                      <a:lnTo>
                                        <a:pt x="303716" y="201796"/>
                                      </a:lnTo>
                                      <a:lnTo>
                                        <a:pt x="305703" y="194125"/>
                                      </a:lnTo>
                                      <a:lnTo>
                                        <a:pt x="306787" y="186725"/>
                                      </a:lnTo>
                                      <a:lnTo>
                                        <a:pt x="308955" y="179054"/>
                                      </a:lnTo>
                                      <a:lnTo>
                                        <a:pt x="310038" y="171382"/>
                                      </a:lnTo>
                                      <a:lnTo>
                                        <a:pt x="310038" y="163892"/>
                                      </a:lnTo>
                                      <a:lnTo>
                                        <a:pt x="310038" y="155138"/>
                                      </a:lnTo>
                                      <a:lnTo>
                                        <a:pt x="310038" y="147466"/>
                                      </a:lnTo>
                                      <a:lnTo>
                                        <a:pt x="310038" y="140066"/>
                                      </a:lnTo>
                                      <a:lnTo>
                                        <a:pt x="308955" y="132395"/>
                                      </a:lnTo>
                                      <a:lnTo>
                                        <a:pt x="306787" y="124724"/>
                                      </a:lnTo>
                                      <a:lnTo>
                                        <a:pt x="305703" y="117233"/>
                                      </a:lnTo>
                                      <a:lnTo>
                                        <a:pt x="303716" y="109562"/>
                                      </a:lnTo>
                                      <a:lnTo>
                                        <a:pt x="301459" y="101891"/>
                                      </a:lnTo>
                                      <a:lnTo>
                                        <a:pt x="298207" y="95573"/>
                                      </a:lnTo>
                                      <a:lnTo>
                                        <a:pt x="294866" y="87902"/>
                                      </a:lnTo>
                                      <a:lnTo>
                                        <a:pt x="291615" y="81314"/>
                                      </a:lnTo>
                                      <a:lnTo>
                                        <a:pt x="288364" y="74996"/>
                                      </a:lnTo>
                                      <a:lnTo>
                                        <a:pt x="284119" y="68408"/>
                                      </a:lnTo>
                                      <a:lnTo>
                                        <a:pt x="279784" y="62903"/>
                                      </a:lnTo>
                                      <a:lnTo>
                                        <a:pt x="275359" y="56315"/>
                                      </a:lnTo>
                                      <a:lnTo>
                                        <a:pt x="264612" y="45575"/>
                                      </a:lnTo>
                                      <a:lnTo>
                                        <a:pt x="253594" y="35738"/>
                                      </a:lnTo>
                                      <a:lnTo>
                                        <a:pt x="248356" y="31406"/>
                                      </a:lnTo>
                                      <a:lnTo>
                                        <a:pt x="241763" y="27164"/>
                                      </a:lnTo>
                                      <a:lnTo>
                                        <a:pt x="235170" y="22833"/>
                                      </a:lnTo>
                                      <a:lnTo>
                                        <a:pt x="228848" y="18410"/>
                                      </a:lnTo>
                                      <a:lnTo>
                                        <a:pt x="222256" y="15161"/>
                                      </a:lnTo>
                                      <a:lnTo>
                                        <a:pt x="215844" y="11912"/>
                                      </a:lnTo>
                                      <a:lnTo>
                                        <a:pt x="208167" y="9656"/>
                                      </a:lnTo>
                                      <a:lnTo>
                                        <a:pt x="201574" y="7490"/>
                                      </a:lnTo>
                                      <a:lnTo>
                                        <a:pt x="194079" y="5505"/>
                                      </a:lnTo>
                                      <a:lnTo>
                                        <a:pt x="186402" y="3339"/>
                                      </a:lnTo>
                                      <a:lnTo>
                                        <a:pt x="178997" y="2256"/>
                                      </a:lnTo>
                                      <a:lnTo>
                                        <a:pt x="171320" y="1173"/>
                                      </a:lnTo>
                                      <a:lnTo>
                                        <a:pt x="163824" y="0"/>
                                      </a:lnTo>
                                      <a:lnTo>
                                        <a:pt x="155064"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615" name="Image 1396"/>
                                <pic:cNvPicPr/>
                              </pic:nvPicPr>
                              <pic:blipFill>
                                <a:blip r:embed="rId115" cstate="print"/>
                                <a:stretch>
                                  <a:fillRect/>
                                </a:stretch>
                              </pic:blipFill>
                              <pic:spPr>
                                <a:xfrm>
                                  <a:off x="0" y="33572"/>
                                  <a:ext cx="383815" cy="250889"/>
                                </a:xfrm>
                                <a:prstGeom prst="rect">
                                  <a:avLst/>
                                </a:prstGeom>
                              </pic:spPr>
                            </pic:pic>
                          </wpg:wgp>
                        </a:graphicData>
                      </a:graphic>
                    </wp:anchor>
                  </w:drawing>
                </mc:Choice>
                <mc:Fallback>
                  <w:pict>
                    <v:group w14:anchorId="1F0B022D" id="Group 1392" o:spid="_x0000_s1026" style="position:absolute;margin-left:75.45pt;margin-top:-6.6pt;width:49.45pt;height:25.05pt;z-index:-251347968;mso-wrap-distance-left:0;mso-wrap-distance-right:0" coordsize="6280,31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">
                      <v:shape id="Graphic 1393" o:spid="_x0000_s1027" style="position:absolute;left:3144;top:32;width:3105;height:3118;visibility:visible;mso-wrap-style:square;v-text-anchor:top" coordsize="310515,311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" path="m155064,r-7496,l138808,1173r-7496,1083l123636,3339r-7677,2166l109547,7490r-7676,2166l94465,11912r-6593,3249l81280,18410r-6412,4423l68275,27164r-6322,4242l30344,62903,22848,74996r-4425,6318l15172,87902r-3342,7671l9843,101891r-3251,7671l4425,117233r-1084,7491l2167,132395r-1084,7671l,147466r,7672l,163892r1083,7490l2167,179054r1174,7671l4425,194125r2167,7671l9843,209468r1987,6407l15172,222463r3251,7672l22848,236632r3251,5325l30344,248545r5419,5415l45426,265783r11018,9927l61953,280042r6322,4152l74868,288616r34679,15342l115959,306124r7677,1986l131312,309193r7496,1083l147568,310276r7496,1083l163824,310276r7496,l178997,309193r36847,-10740l222256,295204r6592,-3339l235170,288616r6593,-4422l248356,280042r31428,-31497l284119,241957r4245,-5325l291615,230135r3251,-7672l298207,215875r3252,-6407l303716,201796r1987,-7671l306787,186725r2168,-7671l310038,171382r,-7490l310038,155138r,-7672l310038,140066r-1083,-7671l306787,124724r-1084,-7491l303716,109562r-2257,-7671l298207,95573r-3341,-7671l291615,81314r-3251,-6318l284119,68408r-4335,-5505l275359,56315,264612,45575,253594,35738r-5238,-4332l241763,27164r-6593,-4331l228848,18410r-6592,-3249l215844,11912,208167,9656,201574,7490,194079,5505,186402,3339,178997,2256,171320,1173,163824,r-8760,e" filled="f" strokeweight=".18292mm">
                        <v:path arrowok="t"/>
                      </v:shape>
                      <v:shape id="Image 1394" o:spid="_x0000_s1028" type="#_x0000_t75" style="position:absolute;top:335;width:3838;height:25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">
                        <v:imagedata r:id="rId116" o:title=""/>
                      </v:shape>
                      <v:shape id="Graphic 1395" o:spid="_x0000_s1029" style="position:absolute;left:3144;top:32;width:3105;height:3118;visibility:visible;mso-wrap-style:square;v-text-anchor:top" coordsize="310515,311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" path="m155064,r-7496,l138808,1173r-7496,1083l123636,3339r-7677,2166l109547,7490r-7676,2166l94465,11912r-6593,3249l81280,18410r-6412,4423l68275,27164r-6322,4242l30344,62903,22848,74996r-4425,6318l15172,87902r-3342,7671l9843,101891r-3251,7671l4425,117233r-1084,7491l2167,132395r-1084,7671l,147466r,7672l,163892r1083,7490l2167,179054r1174,7671l4425,194125r2167,7671l9843,209468r1987,6407l15172,222463r3251,7672l22848,236632r3251,5325l30344,248545r5419,5415l45426,265783r11018,9927l61953,280042r6322,4152l74868,288616r34679,15342l115959,306124r7677,1986l131312,309193r7496,1083l147568,310276r7496,1083l163824,310276r7496,l178997,309193r36847,-10740l222256,295204r6592,-3339l235170,288616r6593,-4422l248356,280042r31428,-31497l284119,241957r4245,-5325l291615,230135r3251,-7672l298207,215875r3252,-6407l303716,201796r1987,-7671l306787,186725r2168,-7671l310038,171382r,-7490l310038,155138r,-7672l310038,140066r-1083,-7671l306787,124724r-1084,-7491l303716,109562r-2257,-7671l298207,95573r-3341,-7671l291615,81314r-3251,-6318l284119,68408r-4335,-5505l275359,56315,264612,45575,253594,35738r-5238,-4332l241763,27164r-6593,-4331l228848,18410r-6592,-3249l215844,11912,208167,9656,201574,7490,194079,5505,186402,3339,178997,2256,171320,1173,163824,r-8760,e" filled="f" strokeweight=".18292mm">
                        <v:path arrowok="t"/>
                      </v:shape>
                      <v:shape id="Image 1396" o:spid="_x0000_s1030" type="#_x0000_t75" style="position:absolute;top:335;width:3838;height:25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">
                        <v:imagedata r:id="rId116" o:title=""/>
                      </v:shape>
                    </v:group>
                  </w:pict>
                </mc:Fallback>
              </mc:AlternateContent>
            </w:r>
            <w:r w:rsidRPr="00E73F6F">
              <w:rPr>
                <w:spacing w:val="-2"/>
                <w:sz w:val="24"/>
                <w:szCs w:val="24"/>
                <w:lang w:val="de-DE"/>
              </w:rPr>
              <w:t>Südkorea</w:t>
            </w:r>
          </w:p>
        </w:tc>
        <w:tc>
          <w:tcPr>
            <w:tcW w:w="4324" w:type="dxa"/>
          </w:tcPr>
          <w:p w14:paraId="56509CB3" w14:textId="77777777" w:rsidR="00FF7799" w:rsidRPr="00E73F6F" w:rsidRDefault="00FF7799" w:rsidP="00862DBA">
            <w:pPr>
              <w:spacing w:before="5"/>
              <w:rPr>
                <w:i/>
                <w:sz w:val="24"/>
                <w:szCs w:val="24"/>
                <w:lang w:val="de-DE"/>
              </w:rPr>
            </w:pPr>
          </w:p>
          <w:p w14:paraId="6D985B09" w14:textId="77777777" w:rsidR="00FF7799" w:rsidRPr="00E73F6F" w:rsidRDefault="00FF7799" w:rsidP="00862DBA">
            <w:pPr>
              <w:rPr>
                <w:sz w:val="24"/>
                <w:szCs w:val="24"/>
                <w:lang w:val="de-DE"/>
              </w:rPr>
            </w:pPr>
            <w:r w:rsidRPr="00E73F6F">
              <w:rPr>
                <w:noProof/>
                <w:sz w:val="24"/>
                <w:szCs w:val="24"/>
                <w:lang w:eastAsia="de-DE"/>
              </w:rPr>
              <mc:AlternateContent>
                <mc:Choice Requires="wpg">
                  <w:drawing>
                    <wp:anchor distT="0" distB="0" distL="0" distR="0" simplePos="0" relativeHeight="251975680" behindDoc="1" locked="0" layoutInCell="1" allowOverlap="1" wp14:anchorId="74988B0B" wp14:editId="1B1B267A">
                      <wp:simplePos x="0" y="0"/>
                      <wp:positionH relativeFrom="column">
                        <wp:posOffset>935945</wp:posOffset>
                      </wp:positionH>
                      <wp:positionV relativeFrom="paragraph">
                        <wp:posOffset>-72991</wp:posOffset>
                      </wp:positionV>
                      <wp:extent cx="603250" cy="300355"/>
                      <wp:effectExtent l="0" t="0" r="0" b="0"/>
                      <wp:wrapNone/>
                      <wp:docPr id="1616" name="Group 13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3250" cy="300355"/>
                                <a:chOff x="0" y="0"/>
                                <a:chExt cx="603250" cy="300355"/>
                              </a:xfrm>
                            </wpg:grpSpPr>
                            <wps:wsp>
                              <wps:cNvPr id="1617" name="Graphic 1398"/>
                              <wps:cNvSpPr/>
                              <wps:spPr>
                                <a:xfrm>
                                  <a:off x="137675" y="3292"/>
                                  <a:ext cx="293370" cy="293370"/>
                                </a:xfrm>
                                <a:custGeom>
                                  <a:avLst/>
                                  <a:gdLst/>
                                  <a:ahLst/>
                                  <a:cxnLst/>
                                  <a:rect l="l" t="t" r="r" b="b"/>
                                  <a:pathLst>
                                    <a:path w="293370" h="293370">
                                      <a:moveTo>
                                        <a:pt x="146484" y="0"/>
                                      </a:moveTo>
                                      <a:lnTo>
                                        <a:pt x="138808" y="0"/>
                                      </a:lnTo>
                                      <a:lnTo>
                                        <a:pt x="131312" y="0"/>
                                      </a:lnTo>
                                      <a:lnTo>
                                        <a:pt x="123636" y="1173"/>
                                      </a:lnTo>
                                      <a:lnTo>
                                        <a:pt x="117314" y="2256"/>
                                      </a:lnTo>
                                      <a:lnTo>
                                        <a:pt x="109637" y="4422"/>
                                      </a:lnTo>
                                      <a:lnTo>
                                        <a:pt x="103045" y="6588"/>
                                      </a:lnTo>
                                      <a:lnTo>
                                        <a:pt x="95549" y="8844"/>
                                      </a:lnTo>
                                      <a:lnTo>
                                        <a:pt x="64121" y="24998"/>
                                      </a:lnTo>
                                      <a:lnTo>
                                        <a:pt x="58612" y="28338"/>
                                      </a:lnTo>
                                      <a:lnTo>
                                        <a:pt x="28357" y="58752"/>
                                      </a:lnTo>
                                      <a:lnTo>
                                        <a:pt x="25016" y="64257"/>
                                      </a:lnTo>
                                      <a:lnTo>
                                        <a:pt x="20681" y="70574"/>
                                      </a:lnTo>
                                      <a:lnTo>
                                        <a:pt x="17339" y="76079"/>
                                      </a:lnTo>
                                      <a:lnTo>
                                        <a:pt x="14269" y="82668"/>
                                      </a:lnTo>
                                      <a:lnTo>
                                        <a:pt x="11017" y="88985"/>
                                      </a:lnTo>
                                      <a:lnTo>
                                        <a:pt x="8850" y="95573"/>
                                      </a:lnTo>
                                      <a:lnTo>
                                        <a:pt x="6592" y="103244"/>
                                      </a:lnTo>
                                      <a:lnTo>
                                        <a:pt x="4425" y="109833"/>
                                      </a:lnTo>
                                      <a:lnTo>
                                        <a:pt x="2257" y="117233"/>
                                      </a:lnTo>
                                      <a:lnTo>
                                        <a:pt x="1083" y="123821"/>
                                      </a:lnTo>
                                      <a:lnTo>
                                        <a:pt x="0" y="131492"/>
                                      </a:lnTo>
                                      <a:lnTo>
                                        <a:pt x="0" y="138983"/>
                                      </a:lnTo>
                                      <a:lnTo>
                                        <a:pt x="0" y="146654"/>
                                      </a:lnTo>
                                      <a:lnTo>
                                        <a:pt x="0" y="154325"/>
                                      </a:lnTo>
                                      <a:lnTo>
                                        <a:pt x="0" y="161726"/>
                                      </a:lnTo>
                                      <a:lnTo>
                                        <a:pt x="1083" y="169397"/>
                                      </a:lnTo>
                                      <a:lnTo>
                                        <a:pt x="2257" y="175985"/>
                                      </a:lnTo>
                                      <a:lnTo>
                                        <a:pt x="4425" y="183386"/>
                                      </a:lnTo>
                                      <a:lnTo>
                                        <a:pt x="6592" y="189974"/>
                                      </a:lnTo>
                                      <a:lnTo>
                                        <a:pt x="8850" y="196562"/>
                                      </a:lnTo>
                                      <a:lnTo>
                                        <a:pt x="11017" y="204233"/>
                                      </a:lnTo>
                                      <a:lnTo>
                                        <a:pt x="14269" y="210641"/>
                                      </a:lnTo>
                                      <a:lnTo>
                                        <a:pt x="17339" y="216056"/>
                                      </a:lnTo>
                                      <a:lnTo>
                                        <a:pt x="20681" y="222644"/>
                                      </a:lnTo>
                                      <a:lnTo>
                                        <a:pt x="25016" y="228961"/>
                                      </a:lnTo>
                                      <a:lnTo>
                                        <a:pt x="28357" y="234466"/>
                                      </a:lnTo>
                                      <a:lnTo>
                                        <a:pt x="32783" y="239972"/>
                                      </a:lnTo>
                                      <a:lnTo>
                                        <a:pt x="42446" y="250711"/>
                                      </a:lnTo>
                                      <a:lnTo>
                                        <a:pt x="53193" y="259465"/>
                                      </a:lnTo>
                                      <a:lnTo>
                                        <a:pt x="58612" y="263888"/>
                                      </a:lnTo>
                                      <a:lnTo>
                                        <a:pt x="64121" y="268220"/>
                                      </a:lnTo>
                                      <a:lnTo>
                                        <a:pt x="70533" y="272642"/>
                                      </a:lnTo>
                                      <a:lnTo>
                                        <a:pt x="76042" y="275710"/>
                                      </a:lnTo>
                                      <a:lnTo>
                                        <a:pt x="82544" y="278959"/>
                                      </a:lnTo>
                                      <a:lnTo>
                                        <a:pt x="88956" y="282208"/>
                                      </a:lnTo>
                                      <a:lnTo>
                                        <a:pt x="95549" y="284464"/>
                                      </a:lnTo>
                                      <a:lnTo>
                                        <a:pt x="103045" y="286630"/>
                                      </a:lnTo>
                                      <a:lnTo>
                                        <a:pt x="109637" y="288796"/>
                                      </a:lnTo>
                                      <a:lnTo>
                                        <a:pt x="117314" y="291053"/>
                                      </a:lnTo>
                                      <a:lnTo>
                                        <a:pt x="123636" y="292136"/>
                                      </a:lnTo>
                                      <a:lnTo>
                                        <a:pt x="131312" y="293219"/>
                                      </a:lnTo>
                                      <a:lnTo>
                                        <a:pt x="138808" y="293219"/>
                                      </a:lnTo>
                                      <a:lnTo>
                                        <a:pt x="146484" y="293219"/>
                                      </a:lnTo>
                                      <a:lnTo>
                                        <a:pt x="154161" y="293219"/>
                                      </a:lnTo>
                                      <a:lnTo>
                                        <a:pt x="161657" y="293219"/>
                                      </a:lnTo>
                                      <a:lnTo>
                                        <a:pt x="169333" y="292136"/>
                                      </a:lnTo>
                                      <a:lnTo>
                                        <a:pt x="175655" y="291053"/>
                                      </a:lnTo>
                                      <a:lnTo>
                                        <a:pt x="183331" y="288796"/>
                                      </a:lnTo>
                                      <a:lnTo>
                                        <a:pt x="189744" y="286630"/>
                                      </a:lnTo>
                                      <a:lnTo>
                                        <a:pt x="197420" y="284464"/>
                                      </a:lnTo>
                                      <a:lnTo>
                                        <a:pt x="204013" y="282208"/>
                                      </a:lnTo>
                                      <a:lnTo>
                                        <a:pt x="210425" y="278959"/>
                                      </a:lnTo>
                                      <a:lnTo>
                                        <a:pt x="216927" y="275710"/>
                                      </a:lnTo>
                                      <a:lnTo>
                                        <a:pt x="222436" y="272642"/>
                                      </a:lnTo>
                                      <a:lnTo>
                                        <a:pt x="228848" y="268220"/>
                                      </a:lnTo>
                                      <a:lnTo>
                                        <a:pt x="234357" y="263888"/>
                                      </a:lnTo>
                                      <a:lnTo>
                                        <a:pt x="239776" y="259465"/>
                                      </a:lnTo>
                                      <a:lnTo>
                                        <a:pt x="250523" y="250711"/>
                                      </a:lnTo>
                                      <a:lnTo>
                                        <a:pt x="259103" y="239972"/>
                                      </a:lnTo>
                                      <a:lnTo>
                                        <a:pt x="263528" y="234466"/>
                                      </a:lnTo>
                                      <a:lnTo>
                                        <a:pt x="267953" y="228961"/>
                                      </a:lnTo>
                                      <a:lnTo>
                                        <a:pt x="272288" y="222644"/>
                                      </a:lnTo>
                                      <a:lnTo>
                                        <a:pt x="275630" y="216056"/>
                                      </a:lnTo>
                                      <a:lnTo>
                                        <a:pt x="278700" y="210641"/>
                                      </a:lnTo>
                                      <a:lnTo>
                                        <a:pt x="281951" y="204233"/>
                                      </a:lnTo>
                                      <a:lnTo>
                                        <a:pt x="284119" y="196562"/>
                                      </a:lnTo>
                                      <a:lnTo>
                                        <a:pt x="286377" y="189974"/>
                                      </a:lnTo>
                                      <a:lnTo>
                                        <a:pt x="288544" y="183386"/>
                                      </a:lnTo>
                                      <a:lnTo>
                                        <a:pt x="290712" y="175985"/>
                                      </a:lnTo>
                                      <a:lnTo>
                                        <a:pt x="291886" y="169397"/>
                                      </a:lnTo>
                                      <a:lnTo>
                                        <a:pt x="292969" y="161726"/>
                                      </a:lnTo>
                                      <a:lnTo>
                                        <a:pt x="292969" y="154325"/>
                                      </a:lnTo>
                                      <a:lnTo>
                                        <a:pt x="292969" y="146654"/>
                                      </a:lnTo>
                                      <a:lnTo>
                                        <a:pt x="292969" y="138983"/>
                                      </a:lnTo>
                                      <a:lnTo>
                                        <a:pt x="292969" y="131492"/>
                                      </a:lnTo>
                                      <a:lnTo>
                                        <a:pt x="291886" y="123821"/>
                                      </a:lnTo>
                                      <a:lnTo>
                                        <a:pt x="290712" y="117233"/>
                                      </a:lnTo>
                                      <a:lnTo>
                                        <a:pt x="288544" y="109833"/>
                                      </a:lnTo>
                                      <a:lnTo>
                                        <a:pt x="286377" y="103244"/>
                                      </a:lnTo>
                                      <a:lnTo>
                                        <a:pt x="284119" y="95573"/>
                                      </a:lnTo>
                                      <a:lnTo>
                                        <a:pt x="281951" y="88985"/>
                                      </a:lnTo>
                                      <a:lnTo>
                                        <a:pt x="278700" y="82668"/>
                                      </a:lnTo>
                                      <a:lnTo>
                                        <a:pt x="275630" y="76079"/>
                                      </a:lnTo>
                                      <a:lnTo>
                                        <a:pt x="272288" y="70574"/>
                                      </a:lnTo>
                                      <a:lnTo>
                                        <a:pt x="267953" y="64257"/>
                                      </a:lnTo>
                                      <a:lnTo>
                                        <a:pt x="263528" y="58752"/>
                                      </a:lnTo>
                                      <a:lnTo>
                                        <a:pt x="259103" y="53246"/>
                                      </a:lnTo>
                                      <a:lnTo>
                                        <a:pt x="250523" y="42507"/>
                                      </a:lnTo>
                                      <a:lnTo>
                                        <a:pt x="239776" y="32670"/>
                                      </a:lnTo>
                                      <a:lnTo>
                                        <a:pt x="234357" y="28338"/>
                                      </a:lnTo>
                                      <a:lnTo>
                                        <a:pt x="228848" y="24998"/>
                                      </a:lnTo>
                                      <a:lnTo>
                                        <a:pt x="222436" y="20667"/>
                                      </a:lnTo>
                                      <a:lnTo>
                                        <a:pt x="215844" y="17598"/>
                                      </a:lnTo>
                                      <a:lnTo>
                                        <a:pt x="210425" y="14259"/>
                                      </a:lnTo>
                                      <a:lnTo>
                                        <a:pt x="204013" y="11010"/>
                                      </a:lnTo>
                                      <a:lnTo>
                                        <a:pt x="196336" y="8844"/>
                                      </a:lnTo>
                                      <a:lnTo>
                                        <a:pt x="189744" y="6588"/>
                                      </a:lnTo>
                                      <a:lnTo>
                                        <a:pt x="183331" y="4422"/>
                                      </a:lnTo>
                                      <a:lnTo>
                                        <a:pt x="175655" y="2256"/>
                                      </a:lnTo>
                                      <a:lnTo>
                                        <a:pt x="169333" y="1173"/>
                                      </a:lnTo>
                                      <a:lnTo>
                                        <a:pt x="161657" y="0"/>
                                      </a:lnTo>
                                      <a:lnTo>
                                        <a:pt x="154161" y="0"/>
                                      </a:lnTo>
                                      <a:lnTo>
                                        <a:pt x="146484"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618" name="Image 1399"/>
                                <pic:cNvPicPr/>
                              </pic:nvPicPr>
                              <pic:blipFill>
                                <a:blip r:embed="rId117" cstate="print"/>
                                <a:stretch>
                                  <a:fillRect/>
                                </a:stretch>
                              </pic:blipFill>
                              <pic:spPr>
                                <a:xfrm>
                                  <a:off x="0" y="56586"/>
                                  <a:ext cx="187749" cy="186632"/>
                                </a:xfrm>
                                <a:prstGeom prst="rect">
                                  <a:avLst/>
                                </a:prstGeom>
                              </pic:spPr>
                            </pic:pic>
                            <pic:pic xmlns:pic="http://schemas.openxmlformats.org/drawingml/2006/picture">
                              <pic:nvPicPr>
                                <pic:cNvPr id="1619" name="Image 1400"/>
                                <pic:cNvPicPr/>
                              </pic:nvPicPr>
                              <pic:blipFill>
                                <a:blip r:embed="rId118" cstate="print"/>
                                <a:stretch>
                                  <a:fillRect/>
                                </a:stretch>
                              </pic:blipFill>
                              <pic:spPr>
                                <a:xfrm>
                                  <a:off x="360974" y="29421"/>
                                  <a:ext cx="242026" cy="241052"/>
                                </a:xfrm>
                                <a:prstGeom prst="rect">
                                  <a:avLst/>
                                </a:prstGeom>
                              </pic:spPr>
                            </pic:pic>
                            <wps:wsp>
                              <wps:cNvPr id="1620" name="Graphic 1401"/>
                              <wps:cNvSpPr/>
                              <wps:spPr>
                                <a:xfrm>
                                  <a:off x="137675" y="3292"/>
                                  <a:ext cx="293370" cy="293370"/>
                                </a:xfrm>
                                <a:custGeom>
                                  <a:avLst/>
                                  <a:gdLst/>
                                  <a:ahLst/>
                                  <a:cxnLst/>
                                  <a:rect l="l" t="t" r="r" b="b"/>
                                  <a:pathLst>
                                    <a:path w="293370" h="293370">
                                      <a:moveTo>
                                        <a:pt x="146484" y="0"/>
                                      </a:moveTo>
                                      <a:lnTo>
                                        <a:pt x="138808" y="0"/>
                                      </a:lnTo>
                                      <a:lnTo>
                                        <a:pt x="131312" y="0"/>
                                      </a:lnTo>
                                      <a:lnTo>
                                        <a:pt x="123636" y="1173"/>
                                      </a:lnTo>
                                      <a:lnTo>
                                        <a:pt x="117314" y="2256"/>
                                      </a:lnTo>
                                      <a:lnTo>
                                        <a:pt x="109637" y="4422"/>
                                      </a:lnTo>
                                      <a:lnTo>
                                        <a:pt x="103045" y="6588"/>
                                      </a:lnTo>
                                      <a:lnTo>
                                        <a:pt x="95549" y="8844"/>
                                      </a:lnTo>
                                      <a:lnTo>
                                        <a:pt x="64121" y="24998"/>
                                      </a:lnTo>
                                      <a:lnTo>
                                        <a:pt x="58612" y="28338"/>
                                      </a:lnTo>
                                      <a:lnTo>
                                        <a:pt x="28357" y="58752"/>
                                      </a:lnTo>
                                      <a:lnTo>
                                        <a:pt x="25016" y="64257"/>
                                      </a:lnTo>
                                      <a:lnTo>
                                        <a:pt x="20681" y="70574"/>
                                      </a:lnTo>
                                      <a:lnTo>
                                        <a:pt x="17339" y="76079"/>
                                      </a:lnTo>
                                      <a:lnTo>
                                        <a:pt x="14269" y="82668"/>
                                      </a:lnTo>
                                      <a:lnTo>
                                        <a:pt x="11017" y="88985"/>
                                      </a:lnTo>
                                      <a:lnTo>
                                        <a:pt x="8850" y="95573"/>
                                      </a:lnTo>
                                      <a:lnTo>
                                        <a:pt x="6592" y="103244"/>
                                      </a:lnTo>
                                      <a:lnTo>
                                        <a:pt x="4425" y="109833"/>
                                      </a:lnTo>
                                      <a:lnTo>
                                        <a:pt x="2257" y="117233"/>
                                      </a:lnTo>
                                      <a:lnTo>
                                        <a:pt x="1083" y="123821"/>
                                      </a:lnTo>
                                      <a:lnTo>
                                        <a:pt x="0" y="131492"/>
                                      </a:lnTo>
                                      <a:lnTo>
                                        <a:pt x="0" y="138983"/>
                                      </a:lnTo>
                                      <a:lnTo>
                                        <a:pt x="0" y="146654"/>
                                      </a:lnTo>
                                      <a:lnTo>
                                        <a:pt x="0" y="154325"/>
                                      </a:lnTo>
                                      <a:lnTo>
                                        <a:pt x="0" y="161726"/>
                                      </a:lnTo>
                                      <a:lnTo>
                                        <a:pt x="1083" y="169397"/>
                                      </a:lnTo>
                                      <a:lnTo>
                                        <a:pt x="2257" y="175985"/>
                                      </a:lnTo>
                                      <a:lnTo>
                                        <a:pt x="4425" y="183386"/>
                                      </a:lnTo>
                                      <a:lnTo>
                                        <a:pt x="6592" y="189974"/>
                                      </a:lnTo>
                                      <a:lnTo>
                                        <a:pt x="8850" y="196562"/>
                                      </a:lnTo>
                                      <a:lnTo>
                                        <a:pt x="11017" y="204233"/>
                                      </a:lnTo>
                                      <a:lnTo>
                                        <a:pt x="14269" y="210641"/>
                                      </a:lnTo>
                                      <a:lnTo>
                                        <a:pt x="17339" y="216056"/>
                                      </a:lnTo>
                                      <a:lnTo>
                                        <a:pt x="20681" y="222644"/>
                                      </a:lnTo>
                                      <a:lnTo>
                                        <a:pt x="25016" y="228961"/>
                                      </a:lnTo>
                                      <a:lnTo>
                                        <a:pt x="28357" y="234466"/>
                                      </a:lnTo>
                                      <a:lnTo>
                                        <a:pt x="32783" y="239972"/>
                                      </a:lnTo>
                                      <a:lnTo>
                                        <a:pt x="42446" y="250711"/>
                                      </a:lnTo>
                                      <a:lnTo>
                                        <a:pt x="53193" y="259465"/>
                                      </a:lnTo>
                                      <a:lnTo>
                                        <a:pt x="58612" y="263888"/>
                                      </a:lnTo>
                                      <a:lnTo>
                                        <a:pt x="64121" y="268220"/>
                                      </a:lnTo>
                                      <a:lnTo>
                                        <a:pt x="70533" y="272642"/>
                                      </a:lnTo>
                                      <a:lnTo>
                                        <a:pt x="76042" y="275710"/>
                                      </a:lnTo>
                                      <a:lnTo>
                                        <a:pt x="82544" y="278959"/>
                                      </a:lnTo>
                                      <a:lnTo>
                                        <a:pt x="88956" y="282208"/>
                                      </a:lnTo>
                                      <a:lnTo>
                                        <a:pt x="95549" y="284464"/>
                                      </a:lnTo>
                                      <a:lnTo>
                                        <a:pt x="103045" y="286630"/>
                                      </a:lnTo>
                                      <a:lnTo>
                                        <a:pt x="109637" y="288796"/>
                                      </a:lnTo>
                                      <a:lnTo>
                                        <a:pt x="117314" y="291053"/>
                                      </a:lnTo>
                                      <a:lnTo>
                                        <a:pt x="123636" y="292136"/>
                                      </a:lnTo>
                                      <a:lnTo>
                                        <a:pt x="131312" y="293219"/>
                                      </a:lnTo>
                                      <a:lnTo>
                                        <a:pt x="138808" y="293219"/>
                                      </a:lnTo>
                                      <a:lnTo>
                                        <a:pt x="146484" y="293219"/>
                                      </a:lnTo>
                                      <a:lnTo>
                                        <a:pt x="154161" y="293219"/>
                                      </a:lnTo>
                                      <a:lnTo>
                                        <a:pt x="161657" y="293219"/>
                                      </a:lnTo>
                                      <a:lnTo>
                                        <a:pt x="169333" y="292136"/>
                                      </a:lnTo>
                                      <a:lnTo>
                                        <a:pt x="175655" y="291053"/>
                                      </a:lnTo>
                                      <a:lnTo>
                                        <a:pt x="183331" y="288796"/>
                                      </a:lnTo>
                                      <a:lnTo>
                                        <a:pt x="189744" y="286630"/>
                                      </a:lnTo>
                                      <a:lnTo>
                                        <a:pt x="197420" y="284464"/>
                                      </a:lnTo>
                                      <a:lnTo>
                                        <a:pt x="204013" y="282208"/>
                                      </a:lnTo>
                                      <a:lnTo>
                                        <a:pt x="210425" y="278959"/>
                                      </a:lnTo>
                                      <a:lnTo>
                                        <a:pt x="216927" y="275710"/>
                                      </a:lnTo>
                                      <a:lnTo>
                                        <a:pt x="222436" y="272642"/>
                                      </a:lnTo>
                                      <a:lnTo>
                                        <a:pt x="228848" y="268220"/>
                                      </a:lnTo>
                                      <a:lnTo>
                                        <a:pt x="234357" y="263888"/>
                                      </a:lnTo>
                                      <a:lnTo>
                                        <a:pt x="239776" y="259465"/>
                                      </a:lnTo>
                                      <a:lnTo>
                                        <a:pt x="250523" y="250711"/>
                                      </a:lnTo>
                                      <a:lnTo>
                                        <a:pt x="259103" y="239972"/>
                                      </a:lnTo>
                                      <a:lnTo>
                                        <a:pt x="263528" y="234466"/>
                                      </a:lnTo>
                                      <a:lnTo>
                                        <a:pt x="267953" y="228961"/>
                                      </a:lnTo>
                                      <a:lnTo>
                                        <a:pt x="272288" y="222644"/>
                                      </a:lnTo>
                                      <a:lnTo>
                                        <a:pt x="275630" y="216056"/>
                                      </a:lnTo>
                                      <a:lnTo>
                                        <a:pt x="278700" y="210641"/>
                                      </a:lnTo>
                                      <a:lnTo>
                                        <a:pt x="281951" y="204233"/>
                                      </a:lnTo>
                                      <a:lnTo>
                                        <a:pt x="284119" y="196562"/>
                                      </a:lnTo>
                                      <a:lnTo>
                                        <a:pt x="286377" y="189974"/>
                                      </a:lnTo>
                                      <a:lnTo>
                                        <a:pt x="288544" y="183386"/>
                                      </a:lnTo>
                                      <a:lnTo>
                                        <a:pt x="290712" y="175985"/>
                                      </a:lnTo>
                                      <a:lnTo>
                                        <a:pt x="291886" y="169397"/>
                                      </a:lnTo>
                                      <a:lnTo>
                                        <a:pt x="292969" y="161726"/>
                                      </a:lnTo>
                                      <a:lnTo>
                                        <a:pt x="292969" y="154325"/>
                                      </a:lnTo>
                                      <a:lnTo>
                                        <a:pt x="292969" y="146654"/>
                                      </a:lnTo>
                                      <a:lnTo>
                                        <a:pt x="292969" y="138983"/>
                                      </a:lnTo>
                                      <a:lnTo>
                                        <a:pt x="292969" y="131492"/>
                                      </a:lnTo>
                                      <a:lnTo>
                                        <a:pt x="291886" y="123821"/>
                                      </a:lnTo>
                                      <a:lnTo>
                                        <a:pt x="290712" y="117233"/>
                                      </a:lnTo>
                                      <a:lnTo>
                                        <a:pt x="288544" y="109833"/>
                                      </a:lnTo>
                                      <a:lnTo>
                                        <a:pt x="286377" y="103244"/>
                                      </a:lnTo>
                                      <a:lnTo>
                                        <a:pt x="284119" y="95573"/>
                                      </a:lnTo>
                                      <a:lnTo>
                                        <a:pt x="281951" y="88985"/>
                                      </a:lnTo>
                                      <a:lnTo>
                                        <a:pt x="278700" y="82668"/>
                                      </a:lnTo>
                                      <a:lnTo>
                                        <a:pt x="275630" y="76079"/>
                                      </a:lnTo>
                                      <a:lnTo>
                                        <a:pt x="272288" y="70574"/>
                                      </a:lnTo>
                                      <a:lnTo>
                                        <a:pt x="267953" y="64257"/>
                                      </a:lnTo>
                                      <a:lnTo>
                                        <a:pt x="263528" y="58752"/>
                                      </a:lnTo>
                                      <a:lnTo>
                                        <a:pt x="259103" y="53246"/>
                                      </a:lnTo>
                                      <a:lnTo>
                                        <a:pt x="250523" y="42507"/>
                                      </a:lnTo>
                                      <a:lnTo>
                                        <a:pt x="239776" y="32670"/>
                                      </a:lnTo>
                                      <a:lnTo>
                                        <a:pt x="234357" y="28338"/>
                                      </a:lnTo>
                                      <a:lnTo>
                                        <a:pt x="228848" y="24998"/>
                                      </a:lnTo>
                                      <a:lnTo>
                                        <a:pt x="222436" y="20667"/>
                                      </a:lnTo>
                                      <a:lnTo>
                                        <a:pt x="215844" y="17598"/>
                                      </a:lnTo>
                                      <a:lnTo>
                                        <a:pt x="210425" y="14259"/>
                                      </a:lnTo>
                                      <a:lnTo>
                                        <a:pt x="204013" y="11010"/>
                                      </a:lnTo>
                                      <a:lnTo>
                                        <a:pt x="196336" y="8844"/>
                                      </a:lnTo>
                                      <a:lnTo>
                                        <a:pt x="189744" y="6588"/>
                                      </a:lnTo>
                                      <a:lnTo>
                                        <a:pt x="183331" y="4422"/>
                                      </a:lnTo>
                                      <a:lnTo>
                                        <a:pt x="175655" y="2256"/>
                                      </a:lnTo>
                                      <a:lnTo>
                                        <a:pt x="169333" y="1173"/>
                                      </a:lnTo>
                                      <a:lnTo>
                                        <a:pt x="161657" y="0"/>
                                      </a:lnTo>
                                      <a:lnTo>
                                        <a:pt x="154161" y="0"/>
                                      </a:lnTo>
                                      <a:lnTo>
                                        <a:pt x="146484"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621" name="Image 1402"/>
                                <pic:cNvPicPr/>
                              </pic:nvPicPr>
                              <pic:blipFill>
                                <a:blip r:embed="rId117" cstate="print"/>
                                <a:stretch>
                                  <a:fillRect/>
                                </a:stretch>
                              </pic:blipFill>
                              <pic:spPr>
                                <a:xfrm>
                                  <a:off x="0" y="56586"/>
                                  <a:ext cx="187749" cy="186632"/>
                                </a:xfrm>
                                <a:prstGeom prst="rect">
                                  <a:avLst/>
                                </a:prstGeom>
                              </pic:spPr>
                            </pic:pic>
                            <pic:pic xmlns:pic="http://schemas.openxmlformats.org/drawingml/2006/picture">
                              <pic:nvPicPr>
                                <pic:cNvPr id="1622" name="Image 1403"/>
                                <pic:cNvPicPr/>
                              </pic:nvPicPr>
                              <pic:blipFill>
                                <a:blip r:embed="rId118" cstate="print"/>
                                <a:stretch>
                                  <a:fillRect/>
                                </a:stretch>
                              </pic:blipFill>
                              <pic:spPr>
                                <a:xfrm>
                                  <a:off x="360974" y="29421"/>
                                  <a:ext cx="242026" cy="241052"/>
                                </a:xfrm>
                                <a:prstGeom prst="rect">
                                  <a:avLst/>
                                </a:prstGeom>
                              </pic:spPr>
                            </pic:pic>
                          </wpg:wgp>
                        </a:graphicData>
                      </a:graphic>
                    </wp:anchor>
                  </w:drawing>
                </mc:Choice>
                <mc:Fallback>
                  <w:pict>
                    <v:group w14:anchorId="28471CB6" id="Group 1397" o:spid="_x0000_s1026" style="position:absolute;margin-left:73.7pt;margin-top:-5.75pt;width:47.5pt;height:23.65pt;z-index:-251340800;mso-wrap-distance-left:0;mso-wrap-distance-right:0" coordsize="6032,30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">
                      <v:shape id="Graphic 1398" o:spid="_x0000_s1027" style="position:absolute;left:1376;top:32;width:2934;height:2934;visibility:visible;mso-wrap-style:square;v-text-anchor:top" coordsize="293370,293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" path="m146484,r-7676,l131312,r-7676,1173l117314,2256r-7677,2166l103045,6588,95549,8844,64121,24998r-5509,3340l28357,58752r-3341,5505l20681,70574r-3342,5505l14269,82668r-3252,6317l8850,95573r-2258,7671l4425,109833r-2168,7400l1083,123821,,131492r,7491l,146654r,7671l,161726r1083,7671l2257,175985r2168,7401l6592,189974r2258,6588l11017,204233r3252,6408l17339,216056r3342,6588l25016,228961r3341,5505l32783,239972r9663,10739l53193,259465r5419,4423l64121,268220r6412,4422l76042,275710r6502,3249l88956,282208r6593,2256l103045,286630r6592,2166l117314,291053r6322,1083l131312,293219r7496,l146484,293219r7677,l161657,293219r7676,-1083l175655,291053r7676,-2257l189744,286630r7676,-2166l204013,282208r6412,-3249l216927,275710r5509,-3068l228848,268220r5509,-4332l239776,259465r10747,-8754l259103,239972r4425,-5506l267953,228961r4335,-6317l275630,216056r3070,-5415l281951,204233r2168,-7671l286377,189974r2167,-6588l290712,175985r1174,-6588l292969,161726r,-7401l292969,146654r,-7671l292969,131492r-1083,-7671l290712,117233r-2168,-7400l286377,103244r-2258,-7671l281951,88985r-3251,-6317l275630,76079r-3342,-5505l267953,64257r-4425,-5505l259103,53246,250523,42507,239776,32670r-5419,-4332l228848,24998r-6412,-4331l215844,17598r-5419,-3339l204013,11010,196336,8844,189744,6588,183331,4422,175655,2256,169333,1173,161657,r-7496,l146484,e" filled="f" strokeweight=".18292mm">
                        <v:path arrowok="t"/>
                      </v:shape>
                      <v:shape id="Image 1399" o:spid="_x0000_s1028" type="#_x0000_t75" style="position:absolute;top:565;width:1877;height:18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">
                        <v:imagedata r:id="rId119" o:title=""/>
                      </v:shape>
                      <v:shape id="Image 1400" o:spid="_x0000_s1029" type="#_x0000_t75" style="position:absolute;left:3609;top:294;width:2421;height:24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">
                        <v:imagedata r:id="rId120" o:title=""/>
                      </v:shape>
                      <v:shape id="Graphic 1401" o:spid="_x0000_s1030" style="position:absolute;left:1376;top:32;width:2934;height:2934;visibility:visible;mso-wrap-style:square;v-text-anchor:top" coordsize="293370,293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" path="m146484,r-7676,l131312,r-7676,1173l117314,2256r-7677,2166l103045,6588,95549,8844,64121,24998r-5509,3340l28357,58752r-3341,5505l20681,70574r-3342,5505l14269,82668r-3252,6317l8850,95573r-2258,7671l4425,109833r-2168,7400l1083,123821,,131492r,7491l,146654r,7671l,161726r1083,7671l2257,175985r2168,7401l6592,189974r2258,6588l11017,204233r3252,6408l17339,216056r3342,6588l25016,228961r3341,5505l32783,239972r9663,10739l53193,259465r5419,4423l64121,268220r6412,4422l76042,275710r6502,3249l88956,282208r6593,2256l103045,286630r6592,2166l117314,291053r6322,1083l131312,293219r7496,l146484,293219r7677,l161657,293219r7676,-1083l175655,291053r7676,-2257l189744,286630r7676,-2166l204013,282208r6412,-3249l216927,275710r5509,-3068l228848,268220r5509,-4332l239776,259465r10747,-8754l259103,239972r4425,-5506l267953,228961r4335,-6317l275630,216056r3070,-5415l281951,204233r2168,-7671l286377,189974r2167,-6588l290712,175985r1174,-6588l292969,161726r,-7401l292969,146654r,-7671l292969,131492r-1083,-7671l290712,117233r-2168,-7400l286377,103244r-2258,-7671l281951,88985r-3251,-6317l275630,76079r-3342,-5505l267953,64257r-4425,-5505l259103,53246,250523,42507,239776,32670r-5419,-4332l228848,24998r-6412,-4331l215844,17598r-5419,-3339l204013,11010,196336,8844,189744,6588,183331,4422,175655,2256,169333,1173,161657,r-7496,l146484,e" filled="f" strokeweight=".18292mm">
                        <v:path arrowok="t"/>
                      </v:shape>
                      <v:shape id="Image 1402" o:spid="_x0000_s1031" type="#_x0000_t75" style="position:absolute;top:565;width:1877;height:18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">
                        <v:imagedata r:id="rId119" o:title=""/>
                      </v:shape>
                      <v:shape id="Image 1403" o:spid="_x0000_s1032" type="#_x0000_t75" style="position:absolute;left:3609;top:294;width:2421;height:24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">
                        <v:imagedata r:id="rId120" o:title=""/>
                      </v:shape>
                    </v:group>
                  </w:pict>
                </mc:Fallback>
              </mc:AlternateContent>
            </w:r>
            <w:r w:rsidRPr="00E73F6F">
              <w:rPr>
                <w:spacing w:val="-2"/>
                <w:sz w:val="24"/>
                <w:szCs w:val="24"/>
                <w:lang w:val="de-DE"/>
              </w:rPr>
              <w:t>Venezuela</w:t>
            </w:r>
          </w:p>
        </w:tc>
      </w:tr>
      <w:tr w:rsidR="00FF7799" w:rsidRPr="00E73F6F" w14:paraId="0FC585B5" w14:textId="77777777" w:rsidTr="00A67B23">
        <w:trPr>
          <w:trHeight w:val="1019"/>
        </w:trPr>
        <w:tc>
          <w:tcPr>
            <w:tcW w:w="4599" w:type="dxa"/>
          </w:tcPr>
          <w:p w14:paraId="7DAA3814" w14:textId="77777777" w:rsidR="00FF7799" w:rsidRPr="00E73F6F" w:rsidRDefault="00FF7799" w:rsidP="00862DBA">
            <w:pPr>
              <w:rPr>
                <w:i/>
                <w:sz w:val="24"/>
                <w:szCs w:val="24"/>
                <w:lang w:val="de-DE"/>
              </w:rPr>
            </w:pPr>
          </w:p>
          <w:p w14:paraId="06365DB1" w14:textId="77777777" w:rsidR="00FF7799" w:rsidRPr="00E73F6F" w:rsidRDefault="00FF7799" w:rsidP="00862DBA">
            <w:pPr>
              <w:spacing w:before="106"/>
              <w:rPr>
                <w:sz w:val="24"/>
                <w:szCs w:val="24"/>
                <w:lang w:val="de-DE"/>
              </w:rPr>
            </w:pPr>
            <w:r w:rsidRPr="00E73F6F">
              <w:rPr>
                <w:noProof/>
                <w:sz w:val="24"/>
                <w:szCs w:val="24"/>
                <w:lang w:eastAsia="de-DE"/>
              </w:rPr>
              <mc:AlternateContent>
                <mc:Choice Requires="wpg">
                  <w:drawing>
                    <wp:anchor distT="0" distB="0" distL="0" distR="0" simplePos="0" relativeHeight="251969536" behindDoc="1" locked="0" layoutInCell="1" allowOverlap="1" wp14:anchorId="7B9FC4FF" wp14:editId="3B55710F">
                      <wp:simplePos x="0" y="0"/>
                      <wp:positionH relativeFrom="column">
                        <wp:posOffset>971200</wp:posOffset>
                      </wp:positionH>
                      <wp:positionV relativeFrom="paragraph">
                        <wp:posOffset>-25175</wp:posOffset>
                      </wp:positionV>
                      <wp:extent cx="650875" cy="311785"/>
                      <wp:effectExtent l="0" t="0" r="0" b="0"/>
                      <wp:wrapNone/>
                      <wp:docPr id="1623" name="Group 14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0875" cy="311785"/>
                                <a:chOff x="0" y="0"/>
                                <a:chExt cx="650875" cy="311785"/>
                              </a:xfrm>
                            </wpg:grpSpPr>
                            <pic:pic xmlns:pic="http://schemas.openxmlformats.org/drawingml/2006/picture">
                              <pic:nvPicPr>
                                <pic:cNvPr id="1624" name="Image 1405"/>
                                <pic:cNvPicPr/>
                              </pic:nvPicPr>
                              <pic:blipFill>
                                <a:blip r:embed="rId121" cstate="print"/>
                                <a:stretch>
                                  <a:fillRect/>
                                </a:stretch>
                              </pic:blipFill>
                              <pic:spPr>
                                <a:xfrm>
                                  <a:off x="126977" y="38085"/>
                                  <a:ext cx="250516" cy="250708"/>
                                </a:xfrm>
                                <a:prstGeom prst="rect">
                                  <a:avLst/>
                                </a:prstGeom>
                              </pic:spPr>
                            </pic:pic>
                            <wps:wsp>
                              <wps:cNvPr id="1625" name="Graphic 1406"/>
                              <wps:cNvSpPr/>
                              <wps:spPr>
                                <a:xfrm>
                                  <a:off x="321007" y="3292"/>
                                  <a:ext cx="326390" cy="305435"/>
                                </a:xfrm>
                                <a:custGeom>
                                  <a:avLst/>
                                  <a:gdLst/>
                                  <a:ahLst/>
                                  <a:cxnLst/>
                                  <a:rect l="l" t="t" r="r" b="b"/>
                                  <a:pathLst>
                                    <a:path w="326390" h="305435">
                                      <a:moveTo>
                                        <a:pt x="162741" y="0"/>
                                      </a:moveTo>
                                      <a:lnTo>
                                        <a:pt x="153980" y="0"/>
                                      </a:lnTo>
                                      <a:lnTo>
                                        <a:pt x="146304" y="0"/>
                                      </a:lnTo>
                                      <a:lnTo>
                                        <a:pt x="137724" y="1082"/>
                                      </a:lnTo>
                                      <a:lnTo>
                                        <a:pt x="130048" y="2165"/>
                                      </a:lnTo>
                                      <a:lnTo>
                                        <a:pt x="122552" y="4331"/>
                                      </a:lnTo>
                                      <a:lnTo>
                                        <a:pt x="113792" y="6588"/>
                                      </a:lnTo>
                                      <a:lnTo>
                                        <a:pt x="106296" y="8754"/>
                                      </a:lnTo>
                                      <a:lnTo>
                                        <a:pt x="99703" y="12003"/>
                                      </a:lnTo>
                                      <a:lnTo>
                                        <a:pt x="92298" y="14259"/>
                                      </a:lnTo>
                                      <a:lnTo>
                                        <a:pt x="84621" y="18591"/>
                                      </a:lnTo>
                                      <a:lnTo>
                                        <a:pt x="78028" y="21659"/>
                                      </a:lnTo>
                                      <a:lnTo>
                                        <a:pt x="71616" y="26081"/>
                                      </a:lnTo>
                                      <a:lnTo>
                                        <a:pt x="65024" y="29330"/>
                                      </a:lnTo>
                                      <a:lnTo>
                                        <a:pt x="58702" y="34836"/>
                                      </a:lnTo>
                                      <a:lnTo>
                                        <a:pt x="47684" y="44492"/>
                                      </a:lnTo>
                                      <a:lnTo>
                                        <a:pt x="42446" y="49907"/>
                                      </a:lnTo>
                                      <a:lnTo>
                                        <a:pt x="36937" y="55412"/>
                                      </a:lnTo>
                                      <a:lnTo>
                                        <a:pt x="32512" y="60918"/>
                                      </a:lnTo>
                                      <a:lnTo>
                                        <a:pt x="27093" y="67235"/>
                                      </a:lnTo>
                                      <a:lnTo>
                                        <a:pt x="22848" y="72740"/>
                                      </a:lnTo>
                                      <a:lnTo>
                                        <a:pt x="19597" y="79328"/>
                                      </a:lnTo>
                                      <a:lnTo>
                                        <a:pt x="15172" y="85917"/>
                                      </a:lnTo>
                                      <a:lnTo>
                                        <a:pt x="11921" y="92234"/>
                                      </a:lnTo>
                                      <a:lnTo>
                                        <a:pt x="9663" y="99905"/>
                                      </a:lnTo>
                                      <a:lnTo>
                                        <a:pt x="6592" y="106493"/>
                                      </a:lnTo>
                                      <a:lnTo>
                                        <a:pt x="4425" y="113894"/>
                                      </a:lnTo>
                                      <a:lnTo>
                                        <a:pt x="3341" y="121565"/>
                                      </a:lnTo>
                                      <a:lnTo>
                                        <a:pt x="1174" y="129236"/>
                                      </a:lnTo>
                                      <a:lnTo>
                                        <a:pt x="0" y="136727"/>
                                      </a:lnTo>
                                      <a:lnTo>
                                        <a:pt x="0" y="144398"/>
                                      </a:lnTo>
                                      <a:lnTo>
                                        <a:pt x="0" y="152069"/>
                                      </a:lnTo>
                                      <a:lnTo>
                                        <a:pt x="0" y="159470"/>
                                      </a:lnTo>
                                      <a:lnTo>
                                        <a:pt x="0" y="168314"/>
                                      </a:lnTo>
                                      <a:lnTo>
                                        <a:pt x="1174" y="175895"/>
                                      </a:lnTo>
                                      <a:lnTo>
                                        <a:pt x="3341" y="183386"/>
                                      </a:lnTo>
                                      <a:lnTo>
                                        <a:pt x="4425" y="189974"/>
                                      </a:lnTo>
                                      <a:lnTo>
                                        <a:pt x="6592" y="197645"/>
                                      </a:lnTo>
                                      <a:lnTo>
                                        <a:pt x="9663" y="205045"/>
                                      </a:lnTo>
                                      <a:lnTo>
                                        <a:pt x="11921" y="211633"/>
                                      </a:lnTo>
                                      <a:lnTo>
                                        <a:pt x="15172" y="218222"/>
                                      </a:lnTo>
                                      <a:lnTo>
                                        <a:pt x="19597" y="224810"/>
                                      </a:lnTo>
                                      <a:lnTo>
                                        <a:pt x="22848" y="231127"/>
                                      </a:lnTo>
                                      <a:lnTo>
                                        <a:pt x="27093" y="237715"/>
                                      </a:lnTo>
                                      <a:lnTo>
                                        <a:pt x="32512" y="243221"/>
                                      </a:lnTo>
                                      <a:lnTo>
                                        <a:pt x="36937" y="249809"/>
                                      </a:lnTo>
                                      <a:lnTo>
                                        <a:pt x="42446" y="255043"/>
                                      </a:lnTo>
                                      <a:lnTo>
                                        <a:pt x="47684" y="260548"/>
                                      </a:lnTo>
                                      <a:lnTo>
                                        <a:pt x="58702" y="270386"/>
                                      </a:lnTo>
                                      <a:lnTo>
                                        <a:pt x="65024" y="274537"/>
                                      </a:lnTo>
                                      <a:lnTo>
                                        <a:pt x="71616" y="278959"/>
                                      </a:lnTo>
                                      <a:lnTo>
                                        <a:pt x="78028" y="282208"/>
                                      </a:lnTo>
                                      <a:lnTo>
                                        <a:pt x="84621" y="286630"/>
                                      </a:lnTo>
                                      <a:lnTo>
                                        <a:pt x="92298" y="289879"/>
                                      </a:lnTo>
                                      <a:lnTo>
                                        <a:pt x="99703" y="293128"/>
                                      </a:lnTo>
                                      <a:lnTo>
                                        <a:pt x="106296" y="295385"/>
                                      </a:lnTo>
                                      <a:lnTo>
                                        <a:pt x="113792" y="297280"/>
                                      </a:lnTo>
                                      <a:lnTo>
                                        <a:pt x="122552" y="299536"/>
                                      </a:lnTo>
                                      <a:lnTo>
                                        <a:pt x="130048" y="301702"/>
                                      </a:lnTo>
                                      <a:lnTo>
                                        <a:pt x="137724" y="302785"/>
                                      </a:lnTo>
                                      <a:lnTo>
                                        <a:pt x="146304" y="303868"/>
                                      </a:lnTo>
                                      <a:lnTo>
                                        <a:pt x="153980" y="304951"/>
                                      </a:lnTo>
                                      <a:lnTo>
                                        <a:pt x="162741" y="304951"/>
                                      </a:lnTo>
                                      <a:lnTo>
                                        <a:pt x="171320" y="304951"/>
                                      </a:lnTo>
                                      <a:lnTo>
                                        <a:pt x="180080" y="303868"/>
                                      </a:lnTo>
                                      <a:lnTo>
                                        <a:pt x="187576" y="302785"/>
                                      </a:lnTo>
                                      <a:lnTo>
                                        <a:pt x="195253" y="301702"/>
                                      </a:lnTo>
                                      <a:lnTo>
                                        <a:pt x="203832" y="299536"/>
                                      </a:lnTo>
                                      <a:lnTo>
                                        <a:pt x="211509" y="297280"/>
                                      </a:lnTo>
                                      <a:lnTo>
                                        <a:pt x="219004" y="295385"/>
                                      </a:lnTo>
                                      <a:lnTo>
                                        <a:pt x="226681" y="293128"/>
                                      </a:lnTo>
                                      <a:lnTo>
                                        <a:pt x="233003" y="289879"/>
                                      </a:lnTo>
                                      <a:lnTo>
                                        <a:pt x="240679" y="286630"/>
                                      </a:lnTo>
                                      <a:lnTo>
                                        <a:pt x="247272" y="282208"/>
                                      </a:lnTo>
                                      <a:lnTo>
                                        <a:pt x="253684" y="278959"/>
                                      </a:lnTo>
                                      <a:lnTo>
                                        <a:pt x="260277" y="274537"/>
                                      </a:lnTo>
                                      <a:lnTo>
                                        <a:pt x="266869" y="270386"/>
                                      </a:lnTo>
                                      <a:lnTo>
                                        <a:pt x="278700" y="260548"/>
                                      </a:lnTo>
                                      <a:lnTo>
                                        <a:pt x="284209" y="255043"/>
                                      </a:lnTo>
                                      <a:lnTo>
                                        <a:pt x="288364" y="249809"/>
                                      </a:lnTo>
                                      <a:lnTo>
                                        <a:pt x="293873" y="243221"/>
                                      </a:lnTo>
                                      <a:lnTo>
                                        <a:pt x="298207" y="237715"/>
                                      </a:lnTo>
                                      <a:lnTo>
                                        <a:pt x="302452" y="231127"/>
                                      </a:lnTo>
                                      <a:lnTo>
                                        <a:pt x="305703" y="224810"/>
                                      </a:lnTo>
                                      <a:lnTo>
                                        <a:pt x="310129" y="218222"/>
                                      </a:lnTo>
                                      <a:lnTo>
                                        <a:pt x="313380" y="211633"/>
                                      </a:lnTo>
                                      <a:lnTo>
                                        <a:pt x="316721" y="205045"/>
                                      </a:lnTo>
                                      <a:lnTo>
                                        <a:pt x="318889" y="197645"/>
                                      </a:lnTo>
                                      <a:lnTo>
                                        <a:pt x="320876" y="189974"/>
                                      </a:lnTo>
                                      <a:lnTo>
                                        <a:pt x="323043" y="183386"/>
                                      </a:lnTo>
                                      <a:lnTo>
                                        <a:pt x="324127" y="175895"/>
                                      </a:lnTo>
                                      <a:lnTo>
                                        <a:pt x="325211" y="168314"/>
                                      </a:lnTo>
                                      <a:lnTo>
                                        <a:pt x="325211" y="159470"/>
                                      </a:lnTo>
                                      <a:lnTo>
                                        <a:pt x="326385" y="152069"/>
                                      </a:lnTo>
                                      <a:lnTo>
                                        <a:pt x="325211" y="144398"/>
                                      </a:lnTo>
                                      <a:lnTo>
                                        <a:pt x="325211" y="136727"/>
                                      </a:lnTo>
                                      <a:lnTo>
                                        <a:pt x="324127" y="129236"/>
                                      </a:lnTo>
                                      <a:lnTo>
                                        <a:pt x="323043" y="121565"/>
                                      </a:lnTo>
                                      <a:lnTo>
                                        <a:pt x="320876" y="113894"/>
                                      </a:lnTo>
                                      <a:lnTo>
                                        <a:pt x="318889" y="106493"/>
                                      </a:lnTo>
                                      <a:lnTo>
                                        <a:pt x="316721" y="99905"/>
                                      </a:lnTo>
                                      <a:lnTo>
                                        <a:pt x="313380" y="92234"/>
                                      </a:lnTo>
                                      <a:lnTo>
                                        <a:pt x="310129" y="85917"/>
                                      </a:lnTo>
                                      <a:lnTo>
                                        <a:pt x="305703" y="79328"/>
                                      </a:lnTo>
                                      <a:lnTo>
                                        <a:pt x="302452" y="72740"/>
                                      </a:lnTo>
                                      <a:lnTo>
                                        <a:pt x="298207" y="67235"/>
                                      </a:lnTo>
                                      <a:lnTo>
                                        <a:pt x="293873" y="60918"/>
                                      </a:lnTo>
                                      <a:lnTo>
                                        <a:pt x="288364" y="55412"/>
                                      </a:lnTo>
                                      <a:lnTo>
                                        <a:pt x="284209" y="49907"/>
                                      </a:lnTo>
                                      <a:lnTo>
                                        <a:pt x="278700" y="44492"/>
                                      </a:lnTo>
                                      <a:lnTo>
                                        <a:pt x="266869" y="34836"/>
                                      </a:lnTo>
                                      <a:lnTo>
                                        <a:pt x="260277" y="29330"/>
                                      </a:lnTo>
                                      <a:lnTo>
                                        <a:pt x="253684" y="26081"/>
                                      </a:lnTo>
                                      <a:lnTo>
                                        <a:pt x="247272" y="21659"/>
                                      </a:lnTo>
                                      <a:lnTo>
                                        <a:pt x="240679" y="17508"/>
                                      </a:lnTo>
                                      <a:lnTo>
                                        <a:pt x="233003" y="14259"/>
                                      </a:lnTo>
                                      <a:lnTo>
                                        <a:pt x="226681" y="12003"/>
                                      </a:lnTo>
                                      <a:lnTo>
                                        <a:pt x="219004" y="8754"/>
                                      </a:lnTo>
                                      <a:lnTo>
                                        <a:pt x="211509" y="6588"/>
                                      </a:lnTo>
                                      <a:lnTo>
                                        <a:pt x="203832" y="4331"/>
                                      </a:lnTo>
                                      <a:lnTo>
                                        <a:pt x="195253" y="2165"/>
                                      </a:lnTo>
                                      <a:lnTo>
                                        <a:pt x="187576" y="1082"/>
                                      </a:lnTo>
                                      <a:lnTo>
                                        <a:pt x="180080" y="0"/>
                                      </a:lnTo>
                                      <a:lnTo>
                                        <a:pt x="171320" y="0"/>
                                      </a:lnTo>
                                      <a:lnTo>
                                        <a:pt x="162741"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626" name="Image 1407"/>
                                <pic:cNvPicPr/>
                              </pic:nvPicPr>
                              <pic:blipFill>
                                <a:blip r:embed="rId122" cstate="print"/>
                                <a:stretch>
                                  <a:fillRect/>
                                </a:stretch>
                              </pic:blipFill>
                              <pic:spPr>
                                <a:xfrm>
                                  <a:off x="0" y="56495"/>
                                  <a:ext cx="214752" cy="213887"/>
                                </a:xfrm>
                                <a:prstGeom prst="rect">
                                  <a:avLst/>
                                </a:prstGeom>
                              </pic:spPr>
                            </pic:pic>
                            <pic:pic xmlns:pic="http://schemas.openxmlformats.org/drawingml/2006/picture">
                              <pic:nvPicPr>
                                <pic:cNvPr id="1627" name="Image 1408"/>
                                <pic:cNvPicPr/>
                              </pic:nvPicPr>
                              <pic:blipFill>
                                <a:blip r:embed="rId121" cstate="print"/>
                                <a:stretch>
                                  <a:fillRect/>
                                </a:stretch>
                              </pic:blipFill>
                              <pic:spPr>
                                <a:xfrm>
                                  <a:off x="126977" y="38085"/>
                                  <a:ext cx="250516" cy="250708"/>
                                </a:xfrm>
                                <a:prstGeom prst="rect">
                                  <a:avLst/>
                                </a:prstGeom>
                              </pic:spPr>
                            </pic:pic>
                            <wps:wsp>
                              <wps:cNvPr id="1628" name="Graphic 1409"/>
                              <wps:cNvSpPr/>
                              <wps:spPr>
                                <a:xfrm>
                                  <a:off x="321007" y="3292"/>
                                  <a:ext cx="326390" cy="305435"/>
                                </a:xfrm>
                                <a:custGeom>
                                  <a:avLst/>
                                  <a:gdLst/>
                                  <a:ahLst/>
                                  <a:cxnLst/>
                                  <a:rect l="l" t="t" r="r" b="b"/>
                                  <a:pathLst>
                                    <a:path w="326390" h="305435">
                                      <a:moveTo>
                                        <a:pt x="162741" y="0"/>
                                      </a:moveTo>
                                      <a:lnTo>
                                        <a:pt x="153980" y="0"/>
                                      </a:lnTo>
                                      <a:lnTo>
                                        <a:pt x="146304" y="0"/>
                                      </a:lnTo>
                                      <a:lnTo>
                                        <a:pt x="137724" y="1082"/>
                                      </a:lnTo>
                                      <a:lnTo>
                                        <a:pt x="130048" y="2165"/>
                                      </a:lnTo>
                                      <a:lnTo>
                                        <a:pt x="122552" y="4331"/>
                                      </a:lnTo>
                                      <a:lnTo>
                                        <a:pt x="113792" y="6588"/>
                                      </a:lnTo>
                                      <a:lnTo>
                                        <a:pt x="106296" y="8754"/>
                                      </a:lnTo>
                                      <a:lnTo>
                                        <a:pt x="99703" y="12003"/>
                                      </a:lnTo>
                                      <a:lnTo>
                                        <a:pt x="92298" y="14259"/>
                                      </a:lnTo>
                                      <a:lnTo>
                                        <a:pt x="84621" y="18591"/>
                                      </a:lnTo>
                                      <a:lnTo>
                                        <a:pt x="78028" y="21659"/>
                                      </a:lnTo>
                                      <a:lnTo>
                                        <a:pt x="71616" y="26081"/>
                                      </a:lnTo>
                                      <a:lnTo>
                                        <a:pt x="65024" y="29330"/>
                                      </a:lnTo>
                                      <a:lnTo>
                                        <a:pt x="58702" y="34836"/>
                                      </a:lnTo>
                                      <a:lnTo>
                                        <a:pt x="47684" y="44492"/>
                                      </a:lnTo>
                                      <a:lnTo>
                                        <a:pt x="42446" y="49907"/>
                                      </a:lnTo>
                                      <a:lnTo>
                                        <a:pt x="36937" y="55412"/>
                                      </a:lnTo>
                                      <a:lnTo>
                                        <a:pt x="32512" y="60918"/>
                                      </a:lnTo>
                                      <a:lnTo>
                                        <a:pt x="27093" y="67235"/>
                                      </a:lnTo>
                                      <a:lnTo>
                                        <a:pt x="22848" y="72740"/>
                                      </a:lnTo>
                                      <a:lnTo>
                                        <a:pt x="19597" y="79328"/>
                                      </a:lnTo>
                                      <a:lnTo>
                                        <a:pt x="15172" y="85917"/>
                                      </a:lnTo>
                                      <a:lnTo>
                                        <a:pt x="11921" y="92234"/>
                                      </a:lnTo>
                                      <a:lnTo>
                                        <a:pt x="9663" y="99905"/>
                                      </a:lnTo>
                                      <a:lnTo>
                                        <a:pt x="6592" y="106493"/>
                                      </a:lnTo>
                                      <a:lnTo>
                                        <a:pt x="4425" y="113894"/>
                                      </a:lnTo>
                                      <a:lnTo>
                                        <a:pt x="3341" y="121565"/>
                                      </a:lnTo>
                                      <a:lnTo>
                                        <a:pt x="1174" y="129236"/>
                                      </a:lnTo>
                                      <a:lnTo>
                                        <a:pt x="0" y="136727"/>
                                      </a:lnTo>
                                      <a:lnTo>
                                        <a:pt x="0" y="144398"/>
                                      </a:lnTo>
                                      <a:lnTo>
                                        <a:pt x="0" y="152069"/>
                                      </a:lnTo>
                                      <a:lnTo>
                                        <a:pt x="0" y="159470"/>
                                      </a:lnTo>
                                      <a:lnTo>
                                        <a:pt x="0" y="168314"/>
                                      </a:lnTo>
                                      <a:lnTo>
                                        <a:pt x="1174" y="175895"/>
                                      </a:lnTo>
                                      <a:lnTo>
                                        <a:pt x="3341" y="183386"/>
                                      </a:lnTo>
                                      <a:lnTo>
                                        <a:pt x="4425" y="189974"/>
                                      </a:lnTo>
                                      <a:lnTo>
                                        <a:pt x="6592" y="197645"/>
                                      </a:lnTo>
                                      <a:lnTo>
                                        <a:pt x="9663" y="205045"/>
                                      </a:lnTo>
                                      <a:lnTo>
                                        <a:pt x="11921" y="211633"/>
                                      </a:lnTo>
                                      <a:lnTo>
                                        <a:pt x="15172" y="218222"/>
                                      </a:lnTo>
                                      <a:lnTo>
                                        <a:pt x="19597" y="224810"/>
                                      </a:lnTo>
                                      <a:lnTo>
                                        <a:pt x="22848" y="231127"/>
                                      </a:lnTo>
                                      <a:lnTo>
                                        <a:pt x="27093" y="237715"/>
                                      </a:lnTo>
                                      <a:lnTo>
                                        <a:pt x="32512" y="243221"/>
                                      </a:lnTo>
                                      <a:lnTo>
                                        <a:pt x="36937" y="249809"/>
                                      </a:lnTo>
                                      <a:lnTo>
                                        <a:pt x="42446" y="255043"/>
                                      </a:lnTo>
                                      <a:lnTo>
                                        <a:pt x="47684" y="260548"/>
                                      </a:lnTo>
                                      <a:lnTo>
                                        <a:pt x="58702" y="270386"/>
                                      </a:lnTo>
                                      <a:lnTo>
                                        <a:pt x="65024" y="274537"/>
                                      </a:lnTo>
                                      <a:lnTo>
                                        <a:pt x="71616" y="278959"/>
                                      </a:lnTo>
                                      <a:lnTo>
                                        <a:pt x="78028" y="282208"/>
                                      </a:lnTo>
                                      <a:lnTo>
                                        <a:pt x="84621" y="286630"/>
                                      </a:lnTo>
                                      <a:lnTo>
                                        <a:pt x="92298" y="289879"/>
                                      </a:lnTo>
                                      <a:lnTo>
                                        <a:pt x="99703" y="293128"/>
                                      </a:lnTo>
                                      <a:lnTo>
                                        <a:pt x="106296" y="295385"/>
                                      </a:lnTo>
                                      <a:lnTo>
                                        <a:pt x="113792" y="297280"/>
                                      </a:lnTo>
                                      <a:lnTo>
                                        <a:pt x="122552" y="299536"/>
                                      </a:lnTo>
                                      <a:lnTo>
                                        <a:pt x="130048" y="301702"/>
                                      </a:lnTo>
                                      <a:lnTo>
                                        <a:pt x="137724" y="302785"/>
                                      </a:lnTo>
                                      <a:lnTo>
                                        <a:pt x="146304" y="303868"/>
                                      </a:lnTo>
                                      <a:lnTo>
                                        <a:pt x="153980" y="304951"/>
                                      </a:lnTo>
                                      <a:lnTo>
                                        <a:pt x="162741" y="304951"/>
                                      </a:lnTo>
                                      <a:lnTo>
                                        <a:pt x="171320" y="304951"/>
                                      </a:lnTo>
                                      <a:lnTo>
                                        <a:pt x="180080" y="303868"/>
                                      </a:lnTo>
                                      <a:lnTo>
                                        <a:pt x="187576" y="302785"/>
                                      </a:lnTo>
                                      <a:lnTo>
                                        <a:pt x="195253" y="301702"/>
                                      </a:lnTo>
                                      <a:lnTo>
                                        <a:pt x="203832" y="299536"/>
                                      </a:lnTo>
                                      <a:lnTo>
                                        <a:pt x="211509" y="297280"/>
                                      </a:lnTo>
                                      <a:lnTo>
                                        <a:pt x="219004" y="295385"/>
                                      </a:lnTo>
                                      <a:lnTo>
                                        <a:pt x="226681" y="293128"/>
                                      </a:lnTo>
                                      <a:lnTo>
                                        <a:pt x="233003" y="289879"/>
                                      </a:lnTo>
                                      <a:lnTo>
                                        <a:pt x="240679" y="286630"/>
                                      </a:lnTo>
                                      <a:lnTo>
                                        <a:pt x="247272" y="282208"/>
                                      </a:lnTo>
                                      <a:lnTo>
                                        <a:pt x="253684" y="278959"/>
                                      </a:lnTo>
                                      <a:lnTo>
                                        <a:pt x="260277" y="274537"/>
                                      </a:lnTo>
                                      <a:lnTo>
                                        <a:pt x="266869" y="270386"/>
                                      </a:lnTo>
                                      <a:lnTo>
                                        <a:pt x="278700" y="260548"/>
                                      </a:lnTo>
                                      <a:lnTo>
                                        <a:pt x="284209" y="255043"/>
                                      </a:lnTo>
                                      <a:lnTo>
                                        <a:pt x="288364" y="249809"/>
                                      </a:lnTo>
                                      <a:lnTo>
                                        <a:pt x="293873" y="243221"/>
                                      </a:lnTo>
                                      <a:lnTo>
                                        <a:pt x="298207" y="237715"/>
                                      </a:lnTo>
                                      <a:lnTo>
                                        <a:pt x="302452" y="231127"/>
                                      </a:lnTo>
                                      <a:lnTo>
                                        <a:pt x="305703" y="224810"/>
                                      </a:lnTo>
                                      <a:lnTo>
                                        <a:pt x="310129" y="218222"/>
                                      </a:lnTo>
                                      <a:lnTo>
                                        <a:pt x="313380" y="211633"/>
                                      </a:lnTo>
                                      <a:lnTo>
                                        <a:pt x="316721" y="205045"/>
                                      </a:lnTo>
                                      <a:lnTo>
                                        <a:pt x="318889" y="197645"/>
                                      </a:lnTo>
                                      <a:lnTo>
                                        <a:pt x="320876" y="189974"/>
                                      </a:lnTo>
                                      <a:lnTo>
                                        <a:pt x="323043" y="183386"/>
                                      </a:lnTo>
                                      <a:lnTo>
                                        <a:pt x="324127" y="175895"/>
                                      </a:lnTo>
                                      <a:lnTo>
                                        <a:pt x="325211" y="168314"/>
                                      </a:lnTo>
                                      <a:lnTo>
                                        <a:pt x="325211" y="159470"/>
                                      </a:lnTo>
                                      <a:lnTo>
                                        <a:pt x="326385" y="152069"/>
                                      </a:lnTo>
                                      <a:lnTo>
                                        <a:pt x="325211" y="144398"/>
                                      </a:lnTo>
                                      <a:lnTo>
                                        <a:pt x="325211" y="136727"/>
                                      </a:lnTo>
                                      <a:lnTo>
                                        <a:pt x="324127" y="129236"/>
                                      </a:lnTo>
                                      <a:lnTo>
                                        <a:pt x="323043" y="121565"/>
                                      </a:lnTo>
                                      <a:lnTo>
                                        <a:pt x="320876" y="113894"/>
                                      </a:lnTo>
                                      <a:lnTo>
                                        <a:pt x="318889" y="106493"/>
                                      </a:lnTo>
                                      <a:lnTo>
                                        <a:pt x="316721" y="99905"/>
                                      </a:lnTo>
                                      <a:lnTo>
                                        <a:pt x="313380" y="92234"/>
                                      </a:lnTo>
                                      <a:lnTo>
                                        <a:pt x="310129" y="85917"/>
                                      </a:lnTo>
                                      <a:lnTo>
                                        <a:pt x="305703" y="79328"/>
                                      </a:lnTo>
                                      <a:lnTo>
                                        <a:pt x="302452" y="72740"/>
                                      </a:lnTo>
                                      <a:lnTo>
                                        <a:pt x="298207" y="67235"/>
                                      </a:lnTo>
                                      <a:lnTo>
                                        <a:pt x="293873" y="60918"/>
                                      </a:lnTo>
                                      <a:lnTo>
                                        <a:pt x="288364" y="55412"/>
                                      </a:lnTo>
                                      <a:lnTo>
                                        <a:pt x="284209" y="49907"/>
                                      </a:lnTo>
                                      <a:lnTo>
                                        <a:pt x="278700" y="44492"/>
                                      </a:lnTo>
                                      <a:lnTo>
                                        <a:pt x="266869" y="34836"/>
                                      </a:lnTo>
                                      <a:lnTo>
                                        <a:pt x="260277" y="29330"/>
                                      </a:lnTo>
                                      <a:lnTo>
                                        <a:pt x="253684" y="26081"/>
                                      </a:lnTo>
                                      <a:lnTo>
                                        <a:pt x="247272" y="21659"/>
                                      </a:lnTo>
                                      <a:lnTo>
                                        <a:pt x="240679" y="17508"/>
                                      </a:lnTo>
                                      <a:lnTo>
                                        <a:pt x="233003" y="14259"/>
                                      </a:lnTo>
                                      <a:lnTo>
                                        <a:pt x="226681" y="12003"/>
                                      </a:lnTo>
                                      <a:lnTo>
                                        <a:pt x="219004" y="8754"/>
                                      </a:lnTo>
                                      <a:lnTo>
                                        <a:pt x="211509" y="6588"/>
                                      </a:lnTo>
                                      <a:lnTo>
                                        <a:pt x="203832" y="4331"/>
                                      </a:lnTo>
                                      <a:lnTo>
                                        <a:pt x="195253" y="2165"/>
                                      </a:lnTo>
                                      <a:lnTo>
                                        <a:pt x="187576" y="1082"/>
                                      </a:lnTo>
                                      <a:lnTo>
                                        <a:pt x="180080" y="0"/>
                                      </a:lnTo>
                                      <a:lnTo>
                                        <a:pt x="171320" y="0"/>
                                      </a:lnTo>
                                      <a:lnTo>
                                        <a:pt x="162741"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629" name="Image 1410"/>
                                <pic:cNvPicPr/>
                              </pic:nvPicPr>
                              <pic:blipFill>
                                <a:blip r:embed="rId122" cstate="print"/>
                                <a:stretch>
                                  <a:fillRect/>
                                </a:stretch>
                              </pic:blipFill>
                              <pic:spPr>
                                <a:xfrm>
                                  <a:off x="0" y="56495"/>
                                  <a:ext cx="214752" cy="213887"/>
                                </a:xfrm>
                                <a:prstGeom prst="rect">
                                  <a:avLst/>
                                </a:prstGeom>
                              </pic:spPr>
                            </pic:pic>
                          </wpg:wgp>
                        </a:graphicData>
                      </a:graphic>
                    </wp:anchor>
                  </w:drawing>
                </mc:Choice>
                <mc:Fallback>
                  <w:pict>
                    <v:group w14:anchorId="576224BC" id="Group 1404" o:spid="_x0000_s1026" style="position:absolute;margin-left:76.45pt;margin-top:-2pt;width:51.25pt;height:24.55pt;z-index:-251346944;mso-wrap-distance-left:0;mso-wrap-distance-right:0" coordsize="6508,31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">
                      <v:shape id="Image 1405" o:spid="_x0000_s1027" type="#_x0000_t75" style="position:absolute;left:1269;top:380;width:2505;height:25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">
                        <v:imagedata r:id="rId123" o:title=""/>
                      </v:shape>
                      <v:shape id="Graphic 1406" o:spid="_x0000_s1028" style="position:absolute;left:3210;top:32;width:3263;height:3055;visibility:visible;mso-wrap-style:square;v-text-anchor:top" coordsize="326390,30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" path="m162741,r-8761,l146304,r-8580,1082l130048,2165r-7496,2166l113792,6588r-7496,2166l99703,12003r-7405,2256l84621,18591r-6593,3068l71616,26081r-6592,3249l58702,34836,47684,44492r-5238,5415l36937,55412r-4425,5506l27093,67235r-4245,5505l19597,79328r-4425,6589l11921,92234,9663,99905r-3071,6588l4425,113894r-1084,7671l1174,129236,,136727r,7671l,152069r,7401l,168314r1174,7581l3341,183386r1084,6588l6592,197645r3071,7400l11921,211633r3251,6589l19597,224810r3251,6317l27093,237715r5419,5506l36937,249809r5509,5234l47684,260548r11018,9838l65024,274537r6592,4422l78028,282208r6593,4422l92298,289879r7405,3249l106296,295385r7496,1895l122552,299536r7496,2166l137724,302785r8580,1083l153980,304951r8761,l171320,304951r8760,-1083l187576,302785r7677,-1083l203832,299536r7677,-2256l219004,295385r7677,-2257l233003,289879r7676,-3249l247272,282208r6412,-3249l260277,274537r6592,-4151l278700,260548r5509,-5505l288364,249809r5509,-6588l298207,237715r4245,-6588l305703,224810r4426,-6588l313380,211633r3341,-6588l318889,197645r1987,-7671l323043,183386r1084,-7491l325211,168314r,-8844l326385,152069r-1174,-7671l325211,136727r-1084,-7491l323043,121565r-2167,-7671l318889,106493r-2168,-6588l313380,92234r-3251,-6317l305703,79328r-3251,-6588l298207,67235r-4334,-6317l288364,55412r-4155,-5505l278700,44492,266869,34836r-6592,-5506l253684,26081r-6412,-4422l240679,17508r-7676,-3249l226681,12003,219004,8754,211509,6588,203832,4331,195253,2165,187576,1082,180080,r-8760,l162741,e" filled="f" strokeweight=".18292mm">
                        <v:path arrowok="t"/>
                      </v:shape>
                      <v:shape id="Image 1407" o:spid="_x0000_s1029" type="#_x0000_t75" style="position:absolute;top:564;width:2147;height:2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">
                        <v:imagedata r:id="rId124" o:title=""/>
                      </v:shape>
                      <v:shape id="Image 1408" o:spid="_x0000_s1030" type="#_x0000_t75" style="position:absolute;left:1269;top:380;width:2505;height:25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">
                        <v:imagedata r:id="rId123" o:title=""/>
                      </v:shape>
                      <v:shape id="Graphic 1409" o:spid="_x0000_s1031" style="position:absolute;left:3210;top:32;width:3263;height:3055;visibility:visible;mso-wrap-style:square;v-text-anchor:top" coordsize="326390,30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" path="m162741,r-8761,l146304,r-8580,1082l130048,2165r-7496,2166l113792,6588r-7496,2166l99703,12003r-7405,2256l84621,18591r-6593,3068l71616,26081r-6592,3249l58702,34836,47684,44492r-5238,5415l36937,55412r-4425,5506l27093,67235r-4245,5505l19597,79328r-4425,6589l11921,92234,9663,99905r-3071,6588l4425,113894r-1084,7671l1174,129236,,136727r,7671l,152069r,7401l,168314r1174,7581l3341,183386r1084,6588l6592,197645r3071,7400l11921,211633r3251,6589l19597,224810r3251,6317l27093,237715r5419,5506l36937,249809r5509,5234l47684,260548r11018,9838l65024,274537r6592,4422l78028,282208r6593,4422l92298,289879r7405,3249l106296,295385r7496,1895l122552,299536r7496,2166l137724,302785r8580,1083l153980,304951r8761,l171320,304951r8760,-1083l187576,302785r7677,-1083l203832,299536r7677,-2256l219004,295385r7677,-2257l233003,289879r7676,-3249l247272,282208r6412,-3249l260277,274537r6592,-4151l278700,260548r5509,-5505l288364,249809r5509,-6588l298207,237715r4245,-6588l305703,224810r4426,-6588l313380,211633r3341,-6588l318889,197645r1987,-7671l323043,183386r1084,-7491l325211,168314r,-8844l326385,152069r-1174,-7671l325211,136727r-1084,-7491l323043,121565r-2167,-7671l318889,106493r-2168,-6588l313380,92234r-3251,-6317l305703,79328r-3251,-6588l298207,67235r-4334,-6317l288364,55412r-4155,-5505l278700,44492,266869,34836r-6592,-5506l253684,26081r-6412,-4422l240679,17508r-7676,-3249l226681,12003,219004,8754,211509,6588,203832,4331,195253,2165,187576,1082,180080,r-8760,l162741,e" filled="f" strokeweight=".18292mm">
                        <v:path arrowok="t"/>
                      </v:shape>
                      <v:shape id="Image 1410" o:spid="_x0000_s1032" type="#_x0000_t75" style="position:absolute;top:564;width:2147;height:2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">
                        <v:imagedata r:id="rId124" o:title=""/>
                      </v:shape>
                    </v:group>
                  </w:pict>
                </mc:Fallback>
              </mc:AlternateContent>
            </w:r>
            <w:r w:rsidRPr="00E73F6F">
              <w:rPr>
                <w:spacing w:val="-2"/>
                <w:sz w:val="24"/>
                <w:szCs w:val="24"/>
                <w:lang w:val="de-DE"/>
              </w:rPr>
              <w:t>Frankreich</w:t>
            </w:r>
          </w:p>
        </w:tc>
        <w:tc>
          <w:tcPr>
            <w:tcW w:w="4324" w:type="dxa"/>
          </w:tcPr>
          <w:p w14:paraId="6EB4FDAE" w14:textId="77777777" w:rsidR="00FF7799" w:rsidRPr="00E73F6F" w:rsidRDefault="00FF7799" w:rsidP="00862DBA">
            <w:pPr>
              <w:rPr>
                <w:i/>
                <w:sz w:val="24"/>
                <w:szCs w:val="24"/>
                <w:lang w:val="de-DE"/>
              </w:rPr>
            </w:pPr>
          </w:p>
          <w:p w14:paraId="3074E6C3" w14:textId="77777777" w:rsidR="00FF7799" w:rsidRPr="00E73F6F" w:rsidRDefault="00FF7799" w:rsidP="00862DBA">
            <w:pPr>
              <w:spacing w:before="106"/>
              <w:rPr>
                <w:sz w:val="24"/>
                <w:szCs w:val="24"/>
                <w:lang w:val="de-DE"/>
              </w:rPr>
            </w:pPr>
            <w:r w:rsidRPr="00E73F6F">
              <w:rPr>
                <w:noProof/>
                <w:sz w:val="24"/>
                <w:szCs w:val="24"/>
                <w:lang w:eastAsia="de-DE"/>
              </w:rPr>
              <mc:AlternateContent>
                <mc:Choice Requires="wpg">
                  <w:drawing>
                    <wp:anchor distT="0" distB="0" distL="0" distR="0" simplePos="0" relativeHeight="251979776" behindDoc="1" locked="0" layoutInCell="1" allowOverlap="1" wp14:anchorId="57DF2131" wp14:editId="26093F5A">
                      <wp:simplePos x="0" y="0"/>
                      <wp:positionH relativeFrom="column">
                        <wp:posOffset>937028</wp:posOffset>
                      </wp:positionH>
                      <wp:positionV relativeFrom="paragraph">
                        <wp:posOffset>-32666</wp:posOffset>
                      </wp:positionV>
                      <wp:extent cx="652145" cy="323850"/>
                      <wp:effectExtent l="0" t="0" r="0" b="0"/>
                      <wp:wrapNone/>
                      <wp:docPr id="1630" name="Group 14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2145" cy="323850"/>
                                <a:chOff x="0" y="0"/>
                                <a:chExt cx="652145" cy="323850"/>
                              </a:xfrm>
                            </wpg:grpSpPr>
                            <wps:wsp>
                              <wps:cNvPr id="1631" name="Graphic 1412"/>
                              <wps:cNvSpPr/>
                              <wps:spPr>
                                <a:xfrm>
                                  <a:off x="114014" y="3292"/>
                                  <a:ext cx="534670" cy="316865"/>
                                </a:xfrm>
                                <a:custGeom>
                                  <a:avLst/>
                                  <a:gdLst/>
                                  <a:ahLst/>
                                  <a:cxnLst/>
                                  <a:rect l="l" t="t" r="r" b="b"/>
                                  <a:pathLst>
                                    <a:path w="534670" h="316865">
                                      <a:moveTo>
                                        <a:pt x="146214" y="22833"/>
                                      </a:moveTo>
                                      <a:lnTo>
                                        <a:pt x="138718" y="22833"/>
                                      </a:lnTo>
                                      <a:lnTo>
                                        <a:pt x="131041" y="23915"/>
                                      </a:lnTo>
                                      <a:lnTo>
                                        <a:pt x="124719" y="24998"/>
                                      </a:lnTo>
                                      <a:lnTo>
                                        <a:pt x="117043" y="26081"/>
                                      </a:lnTo>
                                      <a:lnTo>
                                        <a:pt x="109367" y="27164"/>
                                      </a:lnTo>
                                      <a:lnTo>
                                        <a:pt x="102954" y="29150"/>
                                      </a:lnTo>
                                      <a:lnTo>
                                        <a:pt x="96362" y="31406"/>
                                      </a:lnTo>
                                      <a:lnTo>
                                        <a:pt x="88956" y="34655"/>
                                      </a:lnTo>
                                      <a:lnTo>
                                        <a:pt x="82363" y="36821"/>
                                      </a:lnTo>
                                      <a:lnTo>
                                        <a:pt x="76854" y="40160"/>
                                      </a:lnTo>
                                      <a:lnTo>
                                        <a:pt x="70442" y="44492"/>
                                      </a:lnTo>
                                      <a:lnTo>
                                        <a:pt x="63850" y="47831"/>
                                      </a:lnTo>
                                      <a:lnTo>
                                        <a:pt x="33595" y="75809"/>
                                      </a:lnTo>
                                      <a:lnTo>
                                        <a:pt x="29170" y="82397"/>
                                      </a:lnTo>
                                      <a:lnTo>
                                        <a:pt x="24835" y="87902"/>
                                      </a:lnTo>
                                      <a:lnTo>
                                        <a:pt x="8579" y="119489"/>
                                      </a:lnTo>
                                      <a:lnTo>
                                        <a:pt x="6321" y="125807"/>
                                      </a:lnTo>
                                      <a:lnTo>
                                        <a:pt x="4334" y="133478"/>
                                      </a:lnTo>
                                      <a:lnTo>
                                        <a:pt x="2167" y="140066"/>
                                      </a:lnTo>
                                      <a:lnTo>
                                        <a:pt x="1083" y="147466"/>
                                      </a:lnTo>
                                      <a:lnTo>
                                        <a:pt x="0" y="155138"/>
                                      </a:lnTo>
                                      <a:lnTo>
                                        <a:pt x="0" y="162809"/>
                                      </a:lnTo>
                                      <a:lnTo>
                                        <a:pt x="0" y="170299"/>
                                      </a:lnTo>
                                      <a:lnTo>
                                        <a:pt x="0" y="176888"/>
                                      </a:lnTo>
                                      <a:lnTo>
                                        <a:pt x="0" y="184559"/>
                                      </a:lnTo>
                                      <a:lnTo>
                                        <a:pt x="1083" y="191959"/>
                                      </a:lnTo>
                                      <a:lnTo>
                                        <a:pt x="2167" y="199630"/>
                                      </a:lnTo>
                                      <a:lnTo>
                                        <a:pt x="4334" y="206219"/>
                                      </a:lnTo>
                                      <a:lnTo>
                                        <a:pt x="6321" y="213709"/>
                                      </a:lnTo>
                                      <a:lnTo>
                                        <a:pt x="8579" y="220207"/>
                                      </a:lnTo>
                                      <a:lnTo>
                                        <a:pt x="10747" y="226795"/>
                                      </a:lnTo>
                                      <a:lnTo>
                                        <a:pt x="13998" y="233384"/>
                                      </a:lnTo>
                                      <a:lnTo>
                                        <a:pt x="17339" y="239701"/>
                                      </a:lnTo>
                                      <a:lnTo>
                                        <a:pt x="20590" y="246289"/>
                                      </a:lnTo>
                                      <a:lnTo>
                                        <a:pt x="24835" y="251794"/>
                                      </a:lnTo>
                                      <a:lnTo>
                                        <a:pt x="53103" y="283111"/>
                                      </a:lnTo>
                                      <a:lnTo>
                                        <a:pt x="70442" y="295204"/>
                                      </a:lnTo>
                                      <a:lnTo>
                                        <a:pt x="76854" y="299536"/>
                                      </a:lnTo>
                                      <a:lnTo>
                                        <a:pt x="82363" y="302875"/>
                                      </a:lnTo>
                                      <a:lnTo>
                                        <a:pt x="88956" y="304770"/>
                                      </a:lnTo>
                                      <a:lnTo>
                                        <a:pt x="96362" y="308110"/>
                                      </a:lnTo>
                                      <a:lnTo>
                                        <a:pt x="102954" y="310276"/>
                                      </a:lnTo>
                                      <a:lnTo>
                                        <a:pt x="109367" y="312442"/>
                                      </a:lnTo>
                                      <a:lnTo>
                                        <a:pt x="117043" y="313615"/>
                                      </a:lnTo>
                                      <a:lnTo>
                                        <a:pt x="123636" y="314698"/>
                                      </a:lnTo>
                                      <a:lnTo>
                                        <a:pt x="131041" y="315781"/>
                                      </a:lnTo>
                                      <a:lnTo>
                                        <a:pt x="138718" y="316864"/>
                                      </a:lnTo>
                                      <a:lnTo>
                                        <a:pt x="146214" y="316864"/>
                                      </a:lnTo>
                                      <a:lnTo>
                                        <a:pt x="153890" y="316864"/>
                                      </a:lnTo>
                                      <a:lnTo>
                                        <a:pt x="161386" y="315781"/>
                                      </a:lnTo>
                                      <a:lnTo>
                                        <a:pt x="169062" y="314698"/>
                                      </a:lnTo>
                                      <a:lnTo>
                                        <a:pt x="175655" y="313615"/>
                                      </a:lnTo>
                                      <a:lnTo>
                                        <a:pt x="183151" y="312442"/>
                                      </a:lnTo>
                                      <a:lnTo>
                                        <a:pt x="189744" y="310276"/>
                                      </a:lnTo>
                                      <a:lnTo>
                                        <a:pt x="197149" y="308110"/>
                                      </a:lnTo>
                                      <a:lnTo>
                                        <a:pt x="203742" y="304770"/>
                                      </a:lnTo>
                                      <a:lnTo>
                                        <a:pt x="210335" y="302875"/>
                                      </a:lnTo>
                                      <a:lnTo>
                                        <a:pt x="216747" y="299536"/>
                                      </a:lnTo>
                                      <a:lnTo>
                                        <a:pt x="222165" y="295204"/>
                                      </a:lnTo>
                                      <a:lnTo>
                                        <a:pt x="228758" y="291865"/>
                                      </a:lnTo>
                                      <a:lnTo>
                                        <a:pt x="234086" y="287533"/>
                                      </a:lnTo>
                                      <a:lnTo>
                                        <a:pt x="264341" y="258112"/>
                                      </a:lnTo>
                                      <a:lnTo>
                                        <a:pt x="267682" y="251794"/>
                                      </a:lnTo>
                                      <a:lnTo>
                                        <a:pt x="272017" y="246289"/>
                                      </a:lnTo>
                                      <a:lnTo>
                                        <a:pt x="275359" y="239701"/>
                                      </a:lnTo>
                                      <a:lnTo>
                                        <a:pt x="278610" y="233384"/>
                                      </a:lnTo>
                                      <a:lnTo>
                                        <a:pt x="281681" y="226795"/>
                                      </a:lnTo>
                                      <a:lnTo>
                                        <a:pt x="283938" y="220207"/>
                                      </a:lnTo>
                                      <a:lnTo>
                                        <a:pt x="286106" y="213709"/>
                                      </a:lnTo>
                                      <a:lnTo>
                                        <a:pt x="288273" y="206219"/>
                                      </a:lnTo>
                                      <a:lnTo>
                                        <a:pt x="290531" y="199630"/>
                                      </a:lnTo>
                                      <a:lnTo>
                                        <a:pt x="291615" y="191959"/>
                                      </a:lnTo>
                                      <a:lnTo>
                                        <a:pt x="292699" y="184559"/>
                                      </a:lnTo>
                                      <a:lnTo>
                                        <a:pt x="292699" y="176888"/>
                                      </a:lnTo>
                                      <a:lnTo>
                                        <a:pt x="293782" y="170299"/>
                                      </a:lnTo>
                                      <a:lnTo>
                                        <a:pt x="292699" y="162809"/>
                                      </a:lnTo>
                                      <a:lnTo>
                                        <a:pt x="292699" y="155138"/>
                                      </a:lnTo>
                                      <a:lnTo>
                                        <a:pt x="291615" y="147466"/>
                                      </a:lnTo>
                                      <a:lnTo>
                                        <a:pt x="290531" y="140066"/>
                                      </a:lnTo>
                                      <a:lnTo>
                                        <a:pt x="288273" y="133478"/>
                                      </a:lnTo>
                                      <a:lnTo>
                                        <a:pt x="286106" y="125807"/>
                                      </a:lnTo>
                                      <a:lnTo>
                                        <a:pt x="283938" y="119489"/>
                                      </a:lnTo>
                                      <a:lnTo>
                                        <a:pt x="281681" y="112901"/>
                                      </a:lnTo>
                                      <a:lnTo>
                                        <a:pt x="278610" y="106313"/>
                                      </a:lnTo>
                                      <a:lnTo>
                                        <a:pt x="275359" y="99725"/>
                                      </a:lnTo>
                                      <a:lnTo>
                                        <a:pt x="272017" y="93407"/>
                                      </a:lnTo>
                                      <a:lnTo>
                                        <a:pt x="267682" y="87902"/>
                                      </a:lnTo>
                                      <a:lnTo>
                                        <a:pt x="264341" y="82397"/>
                                      </a:lnTo>
                                      <a:lnTo>
                                        <a:pt x="234086" y="51983"/>
                                      </a:lnTo>
                                      <a:lnTo>
                                        <a:pt x="222165" y="44492"/>
                                      </a:lnTo>
                                      <a:lnTo>
                                        <a:pt x="216747" y="40160"/>
                                      </a:lnTo>
                                      <a:lnTo>
                                        <a:pt x="210335" y="36821"/>
                                      </a:lnTo>
                                      <a:lnTo>
                                        <a:pt x="203742" y="34655"/>
                                      </a:lnTo>
                                      <a:lnTo>
                                        <a:pt x="197149" y="31406"/>
                                      </a:lnTo>
                                      <a:lnTo>
                                        <a:pt x="189744" y="29150"/>
                                      </a:lnTo>
                                      <a:lnTo>
                                        <a:pt x="183151" y="27164"/>
                                      </a:lnTo>
                                      <a:lnTo>
                                        <a:pt x="175655" y="26081"/>
                                      </a:lnTo>
                                      <a:lnTo>
                                        <a:pt x="169062" y="24998"/>
                                      </a:lnTo>
                                      <a:lnTo>
                                        <a:pt x="161386" y="23915"/>
                                      </a:lnTo>
                                      <a:lnTo>
                                        <a:pt x="153890" y="22833"/>
                                      </a:lnTo>
                                      <a:lnTo>
                                        <a:pt x="146214" y="22833"/>
                                      </a:lnTo>
                                    </a:path>
                                    <a:path w="534670" h="316865">
                                      <a:moveTo>
                                        <a:pt x="380481" y="0"/>
                                      </a:moveTo>
                                      <a:lnTo>
                                        <a:pt x="372805" y="0"/>
                                      </a:lnTo>
                                      <a:lnTo>
                                        <a:pt x="365399" y="1173"/>
                                      </a:lnTo>
                                      <a:lnTo>
                                        <a:pt x="357723" y="2256"/>
                                      </a:lnTo>
                                      <a:lnTo>
                                        <a:pt x="320785" y="11822"/>
                                      </a:lnTo>
                                      <a:lnTo>
                                        <a:pt x="314464" y="15161"/>
                                      </a:lnTo>
                                      <a:lnTo>
                                        <a:pt x="306697" y="18410"/>
                                      </a:lnTo>
                                      <a:lnTo>
                                        <a:pt x="301278" y="22833"/>
                                      </a:lnTo>
                                      <a:lnTo>
                                        <a:pt x="294866" y="27164"/>
                                      </a:lnTo>
                                      <a:lnTo>
                                        <a:pt x="288273" y="31406"/>
                                      </a:lnTo>
                                      <a:lnTo>
                                        <a:pt x="282764" y="35738"/>
                                      </a:lnTo>
                                      <a:lnTo>
                                        <a:pt x="272017" y="45575"/>
                                      </a:lnTo>
                                      <a:lnTo>
                                        <a:pt x="262354" y="56315"/>
                                      </a:lnTo>
                                      <a:lnTo>
                                        <a:pt x="256935" y="61820"/>
                                      </a:lnTo>
                                      <a:lnTo>
                                        <a:pt x="252510" y="68408"/>
                                      </a:lnTo>
                                      <a:lnTo>
                                        <a:pt x="249168" y="74726"/>
                                      </a:lnTo>
                                      <a:lnTo>
                                        <a:pt x="245014" y="81314"/>
                                      </a:lnTo>
                                      <a:lnTo>
                                        <a:pt x="241763" y="87902"/>
                                      </a:lnTo>
                                      <a:lnTo>
                                        <a:pt x="238421" y="94490"/>
                                      </a:lnTo>
                                      <a:lnTo>
                                        <a:pt x="236254" y="101891"/>
                                      </a:lnTo>
                                      <a:lnTo>
                                        <a:pt x="233003" y="108479"/>
                                      </a:lnTo>
                                      <a:lnTo>
                                        <a:pt x="231829" y="116150"/>
                                      </a:lnTo>
                                      <a:lnTo>
                                        <a:pt x="229661" y="123641"/>
                                      </a:lnTo>
                                      <a:lnTo>
                                        <a:pt x="228758" y="131312"/>
                                      </a:lnTo>
                                      <a:lnTo>
                                        <a:pt x="227674" y="138983"/>
                                      </a:lnTo>
                                      <a:lnTo>
                                        <a:pt x="226591" y="146383"/>
                                      </a:lnTo>
                                      <a:lnTo>
                                        <a:pt x="226591" y="155138"/>
                                      </a:lnTo>
                                      <a:lnTo>
                                        <a:pt x="226591" y="162809"/>
                                      </a:lnTo>
                                      <a:lnTo>
                                        <a:pt x="227674" y="170299"/>
                                      </a:lnTo>
                                      <a:lnTo>
                                        <a:pt x="228758" y="177971"/>
                                      </a:lnTo>
                                      <a:lnTo>
                                        <a:pt x="229661" y="185642"/>
                                      </a:lnTo>
                                      <a:lnTo>
                                        <a:pt x="231829" y="193042"/>
                                      </a:lnTo>
                                      <a:lnTo>
                                        <a:pt x="233003" y="200713"/>
                                      </a:lnTo>
                                      <a:lnTo>
                                        <a:pt x="236254" y="207302"/>
                                      </a:lnTo>
                                      <a:lnTo>
                                        <a:pt x="238421" y="214792"/>
                                      </a:lnTo>
                                      <a:lnTo>
                                        <a:pt x="241763" y="221290"/>
                                      </a:lnTo>
                                      <a:lnTo>
                                        <a:pt x="245014" y="227878"/>
                                      </a:lnTo>
                                      <a:lnTo>
                                        <a:pt x="249168" y="234466"/>
                                      </a:lnTo>
                                      <a:lnTo>
                                        <a:pt x="252510" y="240874"/>
                                      </a:lnTo>
                                      <a:lnTo>
                                        <a:pt x="256935" y="247372"/>
                                      </a:lnTo>
                                      <a:lnTo>
                                        <a:pt x="262354" y="252877"/>
                                      </a:lnTo>
                                      <a:lnTo>
                                        <a:pt x="272017" y="263617"/>
                                      </a:lnTo>
                                      <a:lnTo>
                                        <a:pt x="282764" y="273454"/>
                                      </a:lnTo>
                                      <a:lnTo>
                                        <a:pt x="288273" y="277876"/>
                                      </a:lnTo>
                                      <a:lnTo>
                                        <a:pt x="294866" y="282028"/>
                                      </a:lnTo>
                                      <a:lnTo>
                                        <a:pt x="301278" y="286450"/>
                                      </a:lnTo>
                                      <a:lnTo>
                                        <a:pt x="306697" y="289699"/>
                                      </a:lnTo>
                                      <a:lnTo>
                                        <a:pt x="314464" y="294121"/>
                                      </a:lnTo>
                                      <a:lnTo>
                                        <a:pt x="320785" y="296287"/>
                                      </a:lnTo>
                                      <a:lnTo>
                                        <a:pt x="327378" y="299536"/>
                                      </a:lnTo>
                                      <a:lnTo>
                                        <a:pt x="365399" y="308110"/>
                                      </a:lnTo>
                                      <a:lnTo>
                                        <a:pt x="372805" y="308110"/>
                                      </a:lnTo>
                                      <a:lnTo>
                                        <a:pt x="380481" y="309193"/>
                                      </a:lnTo>
                                      <a:lnTo>
                                        <a:pt x="389061" y="308110"/>
                                      </a:lnTo>
                                      <a:lnTo>
                                        <a:pt x="396737" y="308110"/>
                                      </a:lnTo>
                                      <a:lnTo>
                                        <a:pt x="404233" y="307027"/>
                                      </a:lnTo>
                                      <a:lnTo>
                                        <a:pt x="441170" y="296287"/>
                                      </a:lnTo>
                                      <a:lnTo>
                                        <a:pt x="447673" y="294121"/>
                                      </a:lnTo>
                                      <a:lnTo>
                                        <a:pt x="454085" y="289699"/>
                                      </a:lnTo>
                                      <a:lnTo>
                                        <a:pt x="460678" y="286450"/>
                                      </a:lnTo>
                                      <a:lnTo>
                                        <a:pt x="467270" y="282028"/>
                                      </a:lnTo>
                                      <a:lnTo>
                                        <a:pt x="472508" y="277876"/>
                                      </a:lnTo>
                                      <a:lnTo>
                                        <a:pt x="479101" y="273454"/>
                                      </a:lnTo>
                                      <a:lnTo>
                                        <a:pt x="489848" y="263617"/>
                                      </a:lnTo>
                                      <a:lnTo>
                                        <a:pt x="499782" y="252877"/>
                                      </a:lnTo>
                                      <a:lnTo>
                                        <a:pt x="504117" y="247372"/>
                                      </a:lnTo>
                                      <a:lnTo>
                                        <a:pt x="508362" y="240874"/>
                                      </a:lnTo>
                                      <a:lnTo>
                                        <a:pt x="512697" y="234466"/>
                                      </a:lnTo>
                                      <a:lnTo>
                                        <a:pt x="516038" y="227878"/>
                                      </a:lnTo>
                                      <a:lnTo>
                                        <a:pt x="519290" y="221290"/>
                                      </a:lnTo>
                                      <a:lnTo>
                                        <a:pt x="522631" y="214792"/>
                                      </a:lnTo>
                                      <a:lnTo>
                                        <a:pt x="525702" y="207302"/>
                                      </a:lnTo>
                                      <a:lnTo>
                                        <a:pt x="527869" y="200713"/>
                                      </a:lnTo>
                                      <a:lnTo>
                                        <a:pt x="530037" y="193042"/>
                                      </a:lnTo>
                                      <a:lnTo>
                                        <a:pt x="532294" y="185642"/>
                                      </a:lnTo>
                                      <a:lnTo>
                                        <a:pt x="533378" y="177971"/>
                                      </a:lnTo>
                                      <a:lnTo>
                                        <a:pt x="534462" y="170299"/>
                                      </a:lnTo>
                                      <a:lnTo>
                                        <a:pt x="534462" y="162809"/>
                                      </a:lnTo>
                                      <a:lnTo>
                                        <a:pt x="534462" y="155138"/>
                                      </a:lnTo>
                                      <a:lnTo>
                                        <a:pt x="534462" y="146383"/>
                                      </a:lnTo>
                                      <a:lnTo>
                                        <a:pt x="534462" y="138983"/>
                                      </a:lnTo>
                                      <a:lnTo>
                                        <a:pt x="533378" y="131312"/>
                                      </a:lnTo>
                                      <a:lnTo>
                                        <a:pt x="532294" y="123641"/>
                                      </a:lnTo>
                                      <a:lnTo>
                                        <a:pt x="530037" y="116150"/>
                                      </a:lnTo>
                                      <a:lnTo>
                                        <a:pt x="527869" y="108479"/>
                                      </a:lnTo>
                                      <a:lnTo>
                                        <a:pt x="525702" y="101891"/>
                                      </a:lnTo>
                                      <a:lnTo>
                                        <a:pt x="522631" y="94490"/>
                                      </a:lnTo>
                                      <a:lnTo>
                                        <a:pt x="519290" y="87902"/>
                                      </a:lnTo>
                                      <a:lnTo>
                                        <a:pt x="516038" y="81314"/>
                                      </a:lnTo>
                                      <a:lnTo>
                                        <a:pt x="512697" y="74726"/>
                                      </a:lnTo>
                                      <a:lnTo>
                                        <a:pt x="508362" y="68408"/>
                                      </a:lnTo>
                                      <a:lnTo>
                                        <a:pt x="504117" y="61820"/>
                                      </a:lnTo>
                                      <a:lnTo>
                                        <a:pt x="499782" y="56315"/>
                                      </a:lnTo>
                                      <a:lnTo>
                                        <a:pt x="489848" y="45575"/>
                                      </a:lnTo>
                                      <a:lnTo>
                                        <a:pt x="479101" y="35738"/>
                                      </a:lnTo>
                                      <a:lnTo>
                                        <a:pt x="472508" y="31406"/>
                                      </a:lnTo>
                                      <a:lnTo>
                                        <a:pt x="467270" y="27164"/>
                                      </a:lnTo>
                                      <a:lnTo>
                                        <a:pt x="460678" y="22833"/>
                                      </a:lnTo>
                                      <a:lnTo>
                                        <a:pt x="454085" y="18410"/>
                                      </a:lnTo>
                                      <a:lnTo>
                                        <a:pt x="447673" y="15161"/>
                                      </a:lnTo>
                                      <a:lnTo>
                                        <a:pt x="441170" y="11822"/>
                                      </a:lnTo>
                                      <a:lnTo>
                                        <a:pt x="433674" y="9656"/>
                                      </a:lnTo>
                                      <a:lnTo>
                                        <a:pt x="427082" y="7490"/>
                                      </a:lnTo>
                                      <a:lnTo>
                                        <a:pt x="419405" y="5324"/>
                                      </a:lnTo>
                                      <a:lnTo>
                                        <a:pt x="411909" y="3339"/>
                                      </a:lnTo>
                                      <a:lnTo>
                                        <a:pt x="404233" y="2256"/>
                                      </a:lnTo>
                                      <a:lnTo>
                                        <a:pt x="396737" y="1173"/>
                                      </a:lnTo>
                                      <a:lnTo>
                                        <a:pt x="389061" y="0"/>
                                      </a:lnTo>
                                      <a:lnTo>
                                        <a:pt x="380481"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664" name="Image 1413"/>
                                <pic:cNvPicPr/>
                              </pic:nvPicPr>
                              <pic:blipFill>
                                <a:blip r:embed="rId125" cstate="print"/>
                                <a:stretch>
                                  <a:fillRect/>
                                </a:stretch>
                              </pic:blipFill>
                              <pic:spPr>
                                <a:xfrm>
                                  <a:off x="0" y="80231"/>
                                  <a:ext cx="183414" cy="184466"/>
                                </a:xfrm>
                                <a:prstGeom prst="rect">
                                  <a:avLst/>
                                </a:prstGeom>
                              </pic:spPr>
                            </pic:pic>
                            <wps:wsp>
                              <wps:cNvPr id="1665" name="Graphic 1414"/>
                              <wps:cNvSpPr/>
                              <wps:spPr>
                                <a:xfrm>
                                  <a:off x="114014" y="3292"/>
                                  <a:ext cx="534670" cy="316865"/>
                                </a:xfrm>
                                <a:custGeom>
                                  <a:avLst/>
                                  <a:gdLst/>
                                  <a:ahLst/>
                                  <a:cxnLst/>
                                  <a:rect l="l" t="t" r="r" b="b"/>
                                  <a:pathLst>
                                    <a:path w="534670" h="316865">
                                      <a:moveTo>
                                        <a:pt x="146214" y="22833"/>
                                      </a:moveTo>
                                      <a:lnTo>
                                        <a:pt x="138718" y="22833"/>
                                      </a:lnTo>
                                      <a:lnTo>
                                        <a:pt x="131041" y="23915"/>
                                      </a:lnTo>
                                      <a:lnTo>
                                        <a:pt x="124719" y="24998"/>
                                      </a:lnTo>
                                      <a:lnTo>
                                        <a:pt x="117043" y="26081"/>
                                      </a:lnTo>
                                      <a:lnTo>
                                        <a:pt x="109367" y="27164"/>
                                      </a:lnTo>
                                      <a:lnTo>
                                        <a:pt x="102954" y="29150"/>
                                      </a:lnTo>
                                      <a:lnTo>
                                        <a:pt x="96362" y="31406"/>
                                      </a:lnTo>
                                      <a:lnTo>
                                        <a:pt x="88956" y="34655"/>
                                      </a:lnTo>
                                      <a:lnTo>
                                        <a:pt x="82363" y="36821"/>
                                      </a:lnTo>
                                      <a:lnTo>
                                        <a:pt x="76854" y="40160"/>
                                      </a:lnTo>
                                      <a:lnTo>
                                        <a:pt x="70442" y="44492"/>
                                      </a:lnTo>
                                      <a:lnTo>
                                        <a:pt x="63850" y="47831"/>
                                      </a:lnTo>
                                      <a:lnTo>
                                        <a:pt x="33595" y="75809"/>
                                      </a:lnTo>
                                      <a:lnTo>
                                        <a:pt x="29170" y="82397"/>
                                      </a:lnTo>
                                      <a:lnTo>
                                        <a:pt x="24835" y="87902"/>
                                      </a:lnTo>
                                      <a:lnTo>
                                        <a:pt x="8579" y="119489"/>
                                      </a:lnTo>
                                      <a:lnTo>
                                        <a:pt x="6321" y="125807"/>
                                      </a:lnTo>
                                      <a:lnTo>
                                        <a:pt x="4334" y="133478"/>
                                      </a:lnTo>
                                      <a:lnTo>
                                        <a:pt x="2167" y="140066"/>
                                      </a:lnTo>
                                      <a:lnTo>
                                        <a:pt x="1083" y="147466"/>
                                      </a:lnTo>
                                      <a:lnTo>
                                        <a:pt x="0" y="155138"/>
                                      </a:lnTo>
                                      <a:lnTo>
                                        <a:pt x="0" y="162809"/>
                                      </a:lnTo>
                                      <a:lnTo>
                                        <a:pt x="0" y="170299"/>
                                      </a:lnTo>
                                      <a:lnTo>
                                        <a:pt x="0" y="176888"/>
                                      </a:lnTo>
                                      <a:lnTo>
                                        <a:pt x="0" y="184559"/>
                                      </a:lnTo>
                                      <a:lnTo>
                                        <a:pt x="1083" y="191959"/>
                                      </a:lnTo>
                                      <a:lnTo>
                                        <a:pt x="2167" y="199630"/>
                                      </a:lnTo>
                                      <a:lnTo>
                                        <a:pt x="4334" y="206219"/>
                                      </a:lnTo>
                                      <a:lnTo>
                                        <a:pt x="6321" y="213709"/>
                                      </a:lnTo>
                                      <a:lnTo>
                                        <a:pt x="8579" y="220207"/>
                                      </a:lnTo>
                                      <a:lnTo>
                                        <a:pt x="10747" y="226795"/>
                                      </a:lnTo>
                                      <a:lnTo>
                                        <a:pt x="13998" y="233384"/>
                                      </a:lnTo>
                                      <a:lnTo>
                                        <a:pt x="17339" y="239701"/>
                                      </a:lnTo>
                                      <a:lnTo>
                                        <a:pt x="20590" y="246289"/>
                                      </a:lnTo>
                                      <a:lnTo>
                                        <a:pt x="24835" y="251794"/>
                                      </a:lnTo>
                                      <a:lnTo>
                                        <a:pt x="53103" y="283111"/>
                                      </a:lnTo>
                                      <a:lnTo>
                                        <a:pt x="70442" y="295204"/>
                                      </a:lnTo>
                                      <a:lnTo>
                                        <a:pt x="76854" y="299536"/>
                                      </a:lnTo>
                                      <a:lnTo>
                                        <a:pt x="82363" y="302875"/>
                                      </a:lnTo>
                                      <a:lnTo>
                                        <a:pt x="88956" y="304770"/>
                                      </a:lnTo>
                                      <a:lnTo>
                                        <a:pt x="96362" y="308110"/>
                                      </a:lnTo>
                                      <a:lnTo>
                                        <a:pt x="102954" y="310276"/>
                                      </a:lnTo>
                                      <a:lnTo>
                                        <a:pt x="109367" y="312442"/>
                                      </a:lnTo>
                                      <a:lnTo>
                                        <a:pt x="117043" y="313615"/>
                                      </a:lnTo>
                                      <a:lnTo>
                                        <a:pt x="123636" y="314698"/>
                                      </a:lnTo>
                                      <a:lnTo>
                                        <a:pt x="131041" y="315781"/>
                                      </a:lnTo>
                                      <a:lnTo>
                                        <a:pt x="138718" y="316864"/>
                                      </a:lnTo>
                                      <a:lnTo>
                                        <a:pt x="146214" y="316864"/>
                                      </a:lnTo>
                                      <a:lnTo>
                                        <a:pt x="153890" y="316864"/>
                                      </a:lnTo>
                                      <a:lnTo>
                                        <a:pt x="161386" y="315781"/>
                                      </a:lnTo>
                                      <a:lnTo>
                                        <a:pt x="169062" y="314698"/>
                                      </a:lnTo>
                                      <a:lnTo>
                                        <a:pt x="175655" y="313615"/>
                                      </a:lnTo>
                                      <a:lnTo>
                                        <a:pt x="183151" y="312442"/>
                                      </a:lnTo>
                                      <a:lnTo>
                                        <a:pt x="189744" y="310276"/>
                                      </a:lnTo>
                                      <a:lnTo>
                                        <a:pt x="197149" y="308110"/>
                                      </a:lnTo>
                                      <a:lnTo>
                                        <a:pt x="203742" y="304770"/>
                                      </a:lnTo>
                                      <a:lnTo>
                                        <a:pt x="210335" y="302875"/>
                                      </a:lnTo>
                                      <a:lnTo>
                                        <a:pt x="216747" y="299536"/>
                                      </a:lnTo>
                                      <a:lnTo>
                                        <a:pt x="222165" y="295204"/>
                                      </a:lnTo>
                                      <a:lnTo>
                                        <a:pt x="228758" y="291865"/>
                                      </a:lnTo>
                                      <a:lnTo>
                                        <a:pt x="234086" y="287533"/>
                                      </a:lnTo>
                                      <a:lnTo>
                                        <a:pt x="264341" y="258112"/>
                                      </a:lnTo>
                                      <a:lnTo>
                                        <a:pt x="267682" y="251794"/>
                                      </a:lnTo>
                                      <a:lnTo>
                                        <a:pt x="272017" y="246289"/>
                                      </a:lnTo>
                                      <a:lnTo>
                                        <a:pt x="275359" y="239701"/>
                                      </a:lnTo>
                                      <a:lnTo>
                                        <a:pt x="278610" y="233384"/>
                                      </a:lnTo>
                                      <a:lnTo>
                                        <a:pt x="281681" y="226795"/>
                                      </a:lnTo>
                                      <a:lnTo>
                                        <a:pt x="283938" y="220207"/>
                                      </a:lnTo>
                                      <a:lnTo>
                                        <a:pt x="286106" y="213709"/>
                                      </a:lnTo>
                                      <a:lnTo>
                                        <a:pt x="288273" y="206219"/>
                                      </a:lnTo>
                                      <a:lnTo>
                                        <a:pt x="290531" y="199630"/>
                                      </a:lnTo>
                                      <a:lnTo>
                                        <a:pt x="291615" y="191959"/>
                                      </a:lnTo>
                                      <a:lnTo>
                                        <a:pt x="292699" y="184559"/>
                                      </a:lnTo>
                                      <a:lnTo>
                                        <a:pt x="292699" y="176888"/>
                                      </a:lnTo>
                                      <a:lnTo>
                                        <a:pt x="293782" y="170299"/>
                                      </a:lnTo>
                                      <a:lnTo>
                                        <a:pt x="292699" y="162809"/>
                                      </a:lnTo>
                                      <a:lnTo>
                                        <a:pt x="292699" y="155138"/>
                                      </a:lnTo>
                                      <a:lnTo>
                                        <a:pt x="291615" y="147466"/>
                                      </a:lnTo>
                                      <a:lnTo>
                                        <a:pt x="290531" y="140066"/>
                                      </a:lnTo>
                                      <a:lnTo>
                                        <a:pt x="288273" y="133478"/>
                                      </a:lnTo>
                                      <a:lnTo>
                                        <a:pt x="286106" y="125807"/>
                                      </a:lnTo>
                                      <a:lnTo>
                                        <a:pt x="283938" y="119489"/>
                                      </a:lnTo>
                                      <a:lnTo>
                                        <a:pt x="281681" y="112901"/>
                                      </a:lnTo>
                                      <a:lnTo>
                                        <a:pt x="278610" y="106313"/>
                                      </a:lnTo>
                                      <a:lnTo>
                                        <a:pt x="275359" y="99725"/>
                                      </a:lnTo>
                                      <a:lnTo>
                                        <a:pt x="272017" y="93407"/>
                                      </a:lnTo>
                                      <a:lnTo>
                                        <a:pt x="267682" y="87902"/>
                                      </a:lnTo>
                                      <a:lnTo>
                                        <a:pt x="264341" y="82397"/>
                                      </a:lnTo>
                                      <a:lnTo>
                                        <a:pt x="234086" y="51983"/>
                                      </a:lnTo>
                                      <a:lnTo>
                                        <a:pt x="222165" y="44492"/>
                                      </a:lnTo>
                                      <a:lnTo>
                                        <a:pt x="216747" y="40160"/>
                                      </a:lnTo>
                                      <a:lnTo>
                                        <a:pt x="210335" y="36821"/>
                                      </a:lnTo>
                                      <a:lnTo>
                                        <a:pt x="203742" y="34655"/>
                                      </a:lnTo>
                                      <a:lnTo>
                                        <a:pt x="197149" y="31406"/>
                                      </a:lnTo>
                                      <a:lnTo>
                                        <a:pt x="189744" y="29150"/>
                                      </a:lnTo>
                                      <a:lnTo>
                                        <a:pt x="183151" y="27164"/>
                                      </a:lnTo>
                                      <a:lnTo>
                                        <a:pt x="175655" y="26081"/>
                                      </a:lnTo>
                                      <a:lnTo>
                                        <a:pt x="169062" y="24998"/>
                                      </a:lnTo>
                                      <a:lnTo>
                                        <a:pt x="161386" y="23915"/>
                                      </a:lnTo>
                                      <a:lnTo>
                                        <a:pt x="153890" y="22833"/>
                                      </a:lnTo>
                                      <a:lnTo>
                                        <a:pt x="146214" y="22833"/>
                                      </a:lnTo>
                                    </a:path>
                                    <a:path w="534670" h="316865">
                                      <a:moveTo>
                                        <a:pt x="380481" y="0"/>
                                      </a:moveTo>
                                      <a:lnTo>
                                        <a:pt x="372805" y="0"/>
                                      </a:lnTo>
                                      <a:lnTo>
                                        <a:pt x="365399" y="1173"/>
                                      </a:lnTo>
                                      <a:lnTo>
                                        <a:pt x="357723" y="2256"/>
                                      </a:lnTo>
                                      <a:lnTo>
                                        <a:pt x="320785" y="11822"/>
                                      </a:lnTo>
                                      <a:lnTo>
                                        <a:pt x="314464" y="15161"/>
                                      </a:lnTo>
                                      <a:lnTo>
                                        <a:pt x="306697" y="18410"/>
                                      </a:lnTo>
                                      <a:lnTo>
                                        <a:pt x="301278" y="22833"/>
                                      </a:lnTo>
                                      <a:lnTo>
                                        <a:pt x="294866" y="27164"/>
                                      </a:lnTo>
                                      <a:lnTo>
                                        <a:pt x="288273" y="31406"/>
                                      </a:lnTo>
                                      <a:lnTo>
                                        <a:pt x="282764" y="35738"/>
                                      </a:lnTo>
                                      <a:lnTo>
                                        <a:pt x="272017" y="45575"/>
                                      </a:lnTo>
                                      <a:lnTo>
                                        <a:pt x="262354" y="56315"/>
                                      </a:lnTo>
                                      <a:lnTo>
                                        <a:pt x="256935" y="61820"/>
                                      </a:lnTo>
                                      <a:lnTo>
                                        <a:pt x="252510" y="68408"/>
                                      </a:lnTo>
                                      <a:lnTo>
                                        <a:pt x="249168" y="74726"/>
                                      </a:lnTo>
                                      <a:lnTo>
                                        <a:pt x="245014" y="81314"/>
                                      </a:lnTo>
                                      <a:lnTo>
                                        <a:pt x="241763" y="87902"/>
                                      </a:lnTo>
                                      <a:lnTo>
                                        <a:pt x="238421" y="94490"/>
                                      </a:lnTo>
                                      <a:lnTo>
                                        <a:pt x="236254" y="101891"/>
                                      </a:lnTo>
                                      <a:lnTo>
                                        <a:pt x="233003" y="108479"/>
                                      </a:lnTo>
                                      <a:lnTo>
                                        <a:pt x="231829" y="116150"/>
                                      </a:lnTo>
                                      <a:lnTo>
                                        <a:pt x="229661" y="123641"/>
                                      </a:lnTo>
                                      <a:lnTo>
                                        <a:pt x="228758" y="131312"/>
                                      </a:lnTo>
                                      <a:lnTo>
                                        <a:pt x="227674" y="138983"/>
                                      </a:lnTo>
                                      <a:lnTo>
                                        <a:pt x="226591" y="146383"/>
                                      </a:lnTo>
                                      <a:lnTo>
                                        <a:pt x="226591" y="155138"/>
                                      </a:lnTo>
                                      <a:lnTo>
                                        <a:pt x="226591" y="162809"/>
                                      </a:lnTo>
                                      <a:lnTo>
                                        <a:pt x="227674" y="170299"/>
                                      </a:lnTo>
                                      <a:lnTo>
                                        <a:pt x="228758" y="177971"/>
                                      </a:lnTo>
                                      <a:lnTo>
                                        <a:pt x="229661" y="185642"/>
                                      </a:lnTo>
                                      <a:lnTo>
                                        <a:pt x="231829" y="193042"/>
                                      </a:lnTo>
                                      <a:lnTo>
                                        <a:pt x="233003" y="200713"/>
                                      </a:lnTo>
                                      <a:lnTo>
                                        <a:pt x="236254" y="207302"/>
                                      </a:lnTo>
                                      <a:lnTo>
                                        <a:pt x="238421" y="214792"/>
                                      </a:lnTo>
                                      <a:lnTo>
                                        <a:pt x="241763" y="221290"/>
                                      </a:lnTo>
                                      <a:lnTo>
                                        <a:pt x="245014" y="227878"/>
                                      </a:lnTo>
                                      <a:lnTo>
                                        <a:pt x="249168" y="234466"/>
                                      </a:lnTo>
                                      <a:lnTo>
                                        <a:pt x="252510" y="240874"/>
                                      </a:lnTo>
                                      <a:lnTo>
                                        <a:pt x="256935" y="247372"/>
                                      </a:lnTo>
                                      <a:lnTo>
                                        <a:pt x="262354" y="252877"/>
                                      </a:lnTo>
                                      <a:lnTo>
                                        <a:pt x="272017" y="263617"/>
                                      </a:lnTo>
                                      <a:lnTo>
                                        <a:pt x="282764" y="273454"/>
                                      </a:lnTo>
                                      <a:lnTo>
                                        <a:pt x="288273" y="277876"/>
                                      </a:lnTo>
                                      <a:lnTo>
                                        <a:pt x="294866" y="282028"/>
                                      </a:lnTo>
                                      <a:lnTo>
                                        <a:pt x="301278" y="286450"/>
                                      </a:lnTo>
                                      <a:lnTo>
                                        <a:pt x="306697" y="289699"/>
                                      </a:lnTo>
                                      <a:lnTo>
                                        <a:pt x="314464" y="294121"/>
                                      </a:lnTo>
                                      <a:lnTo>
                                        <a:pt x="320785" y="296287"/>
                                      </a:lnTo>
                                      <a:lnTo>
                                        <a:pt x="327378" y="299536"/>
                                      </a:lnTo>
                                      <a:lnTo>
                                        <a:pt x="365399" y="308110"/>
                                      </a:lnTo>
                                      <a:lnTo>
                                        <a:pt x="372805" y="308110"/>
                                      </a:lnTo>
                                      <a:lnTo>
                                        <a:pt x="380481" y="309193"/>
                                      </a:lnTo>
                                      <a:lnTo>
                                        <a:pt x="389061" y="308110"/>
                                      </a:lnTo>
                                      <a:lnTo>
                                        <a:pt x="396737" y="308110"/>
                                      </a:lnTo>
                                      <a:lnTo>
                                        <a:pt x="404233" y="307027"/>
                                      </a:lnTo>
                                      <a:lnTo>
                                        <a:pt x="441170" y="296287"/>
                                      </a:lnTo>
                                      <a:lnTo>
                                        <a:pt x="447673" y="294121"/>
                                      </a:lnTo>
                                      <a:lnTo>
                                        <a:pt x="454085" y="289699"/>
                                      </a:lnTo>
                                      <a:lnTo>
                                        <a:pt x="460678" y="286450"/>
                                      </a:lnTo>
                                      <a:lnTo>
                                        <a:pt x="467270" y="282028"/>
                                      </a:lnTo>
                                      <a:lnTo>
                                        <a:pt x="472508" y="277876"/>
                                      </a:lnTo>
                                      <a:lnTo>
                                        <a:pt x="479101" y="273454"/>
                                      </a:lnTo>
                                      <a:lnTo>
                                        <a:pt x="489848" y="263617"/>
                                      </a:lnTo>
                                      <a:lnTo>
                                        <a:pt x="499782" y="252877"/>
                                      </a:lnTo>
                                      <a:lnTo>
                                        <a:pt x="504117" y="247372"/>
                                      </a:lnTo>
                                      <a:lnTo>
                                        <a:pt x="508362" y="240874"/>
                                      </a:lnTo>
                                      <a:lnTo>
                                        <a:pt x="512697" y="234466"/>
                                      </a:lnTo>
                                      <a:lnTo>
                                        <a:pt x="516038" y="227878"/>
                                      </a:lnTo>
                                      <a:lnTo>
                                        <a:pt x="519290" y="221290"/>
                                      </a:lnTo>
                                      <a:lnTo>
                                        <a:pt x="522631" y="214792"/>
                                      </a:lnTo>
                                      <a:lnTo>
                                        <a:pt x="525702" y="207302"/>
                                      </a:lnTo>
                                      <a:lnTo>
                                        <a:pt x="527869" y="200713"/>
                                      </a:lnTo>
                                      <a:lnTo>
                                        <a:pt x="530037" y="193042"/>
                                      </a:lnTo>
                                      <a:lnTo>
                                        <a:pt x="532294" y="185642"/>
                                      </a:lnTo>
                                      <a:lnTo>
                                        <a:pt x="533378" y="177971"/>
                                      </a:lnTo>
                                      <a:lnTo>
                                        <a:pt x="534462" y="170299"/>
                                      </a:lnTo>
                                      <a:lnTo>
                                        <a:pt x="534462" y="162809"/>
                                      </a:lnTo>
                                      <a:lnTo>
                                        <a:pt x="534462" y="155138"/>
                                      </a:lnTo>
                                      <a:lnTo>
                                        <a:pt x="534462" y="146383"/>
                                      </a:lnTo>
                                      <a:lnTo>
                                        <a:pt x="534462" y="138983"/>
                                      </a:lnTo>
                                      <a:lnTo>
                                        <a:pt x="533378" y="131312"/>
                                      </a:lnTo>
                                      <a:lnTo>
                                        <a:pt x="532294" y="123641"/>
                                      </a:lnTo>
                                      <a:lnTo>
                                        <a:pt x="530037" y="116150"/>
                                      </a:lnTo>
                                      <a:lnTo>
                                        <a:pt x="527869" y="108479"/>
                                      </a:lnTo>
                                      <a:lnTo>
                                        <a:pt x="525702" y="101891"/>
                                      </a:lnTo>
                                      <a:lnTo>
                                        <a:pt x="522631" y="94490"/>
                                      </a:lnTo>
                                      <a:lnTo>
                                        <a:pt x="519290" y="87902"/>
                                      </a:lnTo>
                                      <a:lnTo>
                                        <a:pt x="516038" y="81314"/>
                                      </a:lnTo>
                                      <a:lnTo>
                                        <a:pt x="512697" y="74726"/>
                                      </a:lnTo>
                                      <a:lnTo>
                                        <a:pt x="508362" y="68408"/>
                                      </a:lnTo>
                                      <a:lnTo>
                                        <a:pt x="504117" y="61820"/>
                                      </a:lnTo>
                                      <a:lnTo>
                                        <a:pt x="499782" y="56315"/>
                                      </a:lnTo>
                                      <a:lnTo>
                                        <a:pt x="489848" y="45575"/>
                                      </a:lnTo>
                                      <a:lnTo>
                                        <a:pt x="479101" y="35738"/>
                                      </a:lnTo>
                                      <a:lnTo>
                                        <a:pt x="472508" y="31406"/>
                                      </a:lnTo>
                                      <a:lnTo>
                                        <a:pt x="467270" y="27164"/>
                                      </a:lnTo>
                                      <a:lnTo>
                                        <a:pt x="460678" y="22833"/>
                                      </a:lnTo>
                                      <a:lnTo>
                                        <a:pt x="454085" y="18410"/>
                                      </a:lnTo>
                                      <a:lnTo>
                                        <a:pt x="447673" y="15161"/>
                                      </a:lnTo>
                                      <a:lnTo>
                                        <a:pt x="441170" y="11822"/>
                                      </a:lnTo>
                                      <a:lnTo>
                                        <a:pt x="433674" y="9656"/>
                                      </a:lnTo>
                                      <a:lnTo>
                                        <a:pt x="427082" y="7490"/>
                                      </a:lnTo>
                                      <a:lnTo>
                                        <a:pt x="419405" y="5324"/>
                                      </a:lnTo>
                                      <a:lnTo>
                                        <a:pt x="411909" y="3339"/>
                                      </a:lnTo>
                                      <a:lnTo>
                                        <a:pt x="404233" y="2256"/>
                                      </a:lnTo>
                                      <a:lnTo>
                                        <a:pt x="396737" y="1173"/>
                                      </a:lnTo>
                                      <a:lnTo>
                                        <a:pt x="389061" y="0"/>
                                      </a:lnTo>
                                      <a:lnTo>
                                        <a:pt x="380481"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666" name="Image 1415"/>
                                <pic:cNvPicPr/>
                              </pic:nvPicPr>
                              <pic:blipFill>
                                <a:blip r:embed="rId125" cstate="print"/>
                                <a:stretch>
                                  <a:fillRect/>
                                </a:stretch>
                              </pic:blipFill>
                              <pic:spPr>
                                <a:xfrm>
                                  <a:off x="0" y="80231"/>
                                  <a:ext cx="183414" cy="184466"/>
                                </a:xfrm>
                                <a:prstGeom prst="rect">
                                  <a:avLst/>
                                </a:prstGeom>
                              </pic:spPr>
                            </pic:pic>
                          </wpg:wgp>
                        </a:graphicData>
                      </a:graphic>
                    </wp:anchor>
                  </w:drawing>
                </mc:Choice>
                <mc:Fallback>
                  <w:pict>
                    <v:group w14:anchorId="745241F0" id="Group 1411" o:spid="_x0000_s1026" style="position:absolute;margin-left:73.8pt;margin-top:-2.55pt;width:51.35pt;height:25.5pt;z-index:-251336704;mso-wrap-distance-left:0;mso-wrap-distance-right:0" coordsize="6521,32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">
                      <v:shape id="Graphic 1412" o:spid="_x0000_s1027" style="position:absolute;left:1140;top:32;width:5346;height:3169;visibility:visible;mso-wrap-style:square;v-text-anchor:top" coordsize="534670,316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" path="m146214,22833r-7496,l131041,23915r-6322,1083l117043,26081r-7676,1083l102954,29150r-6592,2256l88956,34655r-6593,2166l76854,40160r-6412,4332l63850,47831,33595,75809r-4425,6588l24835,87902,8579,119489r-2258,6318l4334,133478r-2167,6588l1083,147466,,155138r,7671l,170299r,6589l,184559r1083,7400l2167,199630r2167,6589l6321,213709r2258,6498l10747,226795r3251,6589l17339,239701r3251,6588l24835,251794r28268,31317l70442,295204r6412,4332l82363,302875r6593,1895l96362,308110r6592,2166l109367,312442r7676,1173l123636,314698r7405,1083l138718,316864r7496,l153890,316864r7496,-1083l169062,314698r6593,-1083l183151,312442r6593,-2166l197149,308110r6593,-3340l210335,302875r6412,-3339l222165,295204r6593,-3339l234086,287533r30255,-29421l267682,251794r4335,-5505l275359,239701r3251,-6317l281681,226795r2257,-6588l286106,213709r2167,-7490l290531,199630r1084,-7671l292699,184559r,-7671l293782,170299r-1083,-7490l292699,155138r-1084,-7672l290531,140066r-2258,-6588l286106,125807r-2168,-6318l281681,112901r-3071,-6588l275359,99725r-3342,-6318l267682,87902r-3341,-5505l234086,51983,222165,44492r-5418,-4332l210335,36821r-6593,-2166l197149,31406r-7405,-2256l183151,27164r-7496,-1083l169062,24998r-7676,-1083l153890,22833r-7676,em380481,r-7676,l365399,1173r-7676,1083l320785,11822r-6321,3339l306697,18410r-5419,4423l294866,27164r-6593,4242l282764,35738r-10747,9837l262354,56315r-5419,5505l252510,68408r-3342,6318l245014,81314r-3251,6588l238421,94490r-2167,7401l233003,108479r-1174,7671l229661,123641r-903,7671l227674,138983r-1083,7400l226591,155138r,7671l227674,170299r1084,7672l229661,185642r2168,7400l233003,200713r3251,6589l238421,214792r3342,6498l245014,227878r4154,6588l252510,240874r4425,6498l262354,252877r9663,10740l282764,273454r5509,4422l294866,282028r6412,4422l306697,289699r7767,4422l320785,296287r6593,3249l365399,308110r7406,l380481,309193r8580,-1083l396737,308110r7496,-1083l441170,296287r6503,-2166l454085,289699r6593,-3249l467270,282028r5238,-4152l479101,273454r10747,-9837l499782,252877r4335,-5505l508362,240874r4335,-6408l516038,227878r3252,-6588l522631,214792r3071,-7490l527869,200713r2168,-7671l532294,185642r1084,-7671l534462,170299r,-7490l534462,155138r,-8755l534462,138983r-1084,-7671l532294,123641r-2257,-7491l527869,108479r-2167,-6588l522631,94490r-3341,-6588l516038,81314r-3341,-6588l508362,68408r-4245,-6588l499782,56315,489848,45575,479101,35738r-6593,-4332l467270,27164r-6592,-4331l454085,18410r-6412,-3249l441170,11822,433674,9656,427082,7490,419405,5324,411909,3339,404233,2256,396737,1173,389061,r-8580,e" filled="f" strokeweight=".18292mm">
                        <v:path arrowok="t"/>
                      </v:shape>
                      <v:shape id="Image 1413" o:spid="_x0000_s1028" type="#_x0000_t75" style="position:absolute;top:802;width:1834;height:18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">
                        <v:imagedata r:id="rId126" o:title=""/>
                      </v:shape>
                      <v:shape id="Graphic 1414" o:spid="_x0000_s1029" style="position:absolute;left:1140;top:32;width:5346;height:3169;visibility:visible;mso-wrap-style:square;v-text-anchor:top" coordsize="534670,316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" path="m146214,22833r-7496,l131041,23915r-6322,1083l117043,26081r-7676,1083l102954,29150r-6592,2256l88956,34655r-6593,2166l76854,40160r-6412,4332l63850,47831,33595,75809r-4425,6588l24835,87902,8579,119489r-2258,6318l4334,133478r-2167,6588l1083,147466,,155138r,7671l,170299r,6589l,184559r1083,7400l2167,199630r2167,6589l6321,213709r2258,6498l10747,226795r3251,6589l17339,239701r3251,6588l24835,251794r28268,31317l70442,295204r6412,4332l82363,302875r6593,1895l96362,308110r6592,2166l109367,312442r7676,1173l123636,314698r7405,1083l138718,316864r7496,l153890,316864r7496,-1083l169062,314698r6593,-1083l183151,312442r6593,-2166l197149,308110r6593,-3340l210335,302875r6412,-3339l222165,295204r6593,-3339l234086,287533r30255,-29421l267682,251794r4335,-5505l275359,239701r3251,-6317l281681,226795r2257,-6588l286106,213709r2167,-7490l290531,199630r1084,-7671l292699,184559r,-7671l293782,170299r-1083,-7490l292699,155138r-1084,-7672l290531,140066r-2258,-6588l286106,125807r-2168,-6318l281681,112901r-3071,-6588l275359,99725r-3342,-6318l267682,87902r-3341,-5505l234086,51983,222165,44492r-5418,-4332l210335,36821r-6593,-2166l197149,31406r-7405,-2256l183151,27164r-7496,-1083l169062,24998r-7676,-1083l153890,22833r-7676,em380481,r-7676,l365399,1173r-7676,1083l320785,11822r-6321,3339l306697,18410r-5419,4423l294866,27164r-6593,4242l282764,35738r-10747,9837l262354,56315r-5419,5505l252510,68408r-3342,6318l245014,81314r-3251,6588l238421,94490r-2167,7401l233003,108479r-1174,7671l229661,123641r-903,7671l227674,138983r-1083,7400l226591,155138r,7671l227674,170299r1084,7672l229661,185642r2168,7400l233003,200713r3251,6589l238421,214792r3342,6498l245014,227878r4154,6588l252510,240874r4425,6498l262354,252877r9663,10740l282764,273454r5509,4422l294866,282028r6412,4422l306697,289699r7767,4422l320785,296287r6593,3249l365399,308110r7406,l380481,309193r8580,-1083l396737,308110r7496,-1083l441170,296287r6503,-2166l454085,289699r6593,-3249l467270,282028r5238,-4152l479101,273454r10747,-9837l499782,252877r4335,-5505l508362,240874r4335,-6408l516038,227878r3252,-6588l522631,214792r3071,-7490l527869,200713r2168,-7671l532294,185642r1084,-7671l534462,170299r,-7490l534462,155138r,-8755l534462,138983r-1084,-7671l532294,123641r-2257,-7491l527869,108479r-2167,-6588l522631,94490r-3341,-6588l516038,81314r-3341,-6588l508362,68408r-4245,-6588l499782,56315,489848,45575,479101,35738r-6593,-4332l467270,27164r-6592,-4331l454085,18410r-6412,-3249l441170,11822,433674,9656,427082,7490,419405,5324,411909,3339,404233,2256,396737,1173,389061,r-8580,e" filled="f" strokeweight=".18292mm">
                        <v:path arrowok="t"/>
                      </v:shape>
                      <v:shape id="Image 1415" o:spid="_x0000_s1030" type="#_x0000_t75" style="position:absolute;top:802;width:1834;height:18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">
                        <v:imagedata r:id="rId126" o:title=""/>
                      </v:shape>
                    </v:group>
                  </w:pict>
                </mc:Fallback>
              </mc:AlternateContent>
            </w:r>
            <w:r w:rsidRPr="00E73F6F">
              <w:rPr>
                <w:spacing w:val="-2"/>
                <w:sz w:val="24"/>
                <w:szCs w:val="24"/>
                <w:lang w:val="de-DE"/>
              </w:rPr>
              <w:t>Groß-</w:t>
            </w:r>
            <w:r w:rsidRPr="00E73F6F">
              <w:rPr>
                <w:spacing w:val="-2"/>
                <w:sz w:val="24"/>
                <w:szCs w:val="24"/>
                <w:lang w:val="de-DE"/>
              </w:rPr>
              <w:br/>
              <w:t>britannien</w:t>
            </w:r>
          </w:p>
        </w:tc>
      </w:tr>
      <w:tr w:rsidR="00FF7799" w:rsidRPr="00E73F6F" w14:paraId="2DC767D9" w14:textId="77777777" w:rsidTr="00A67B23">
        <w:trPr>
          <w:trHeight w:val="936"/>
        </w:trPr>
        <w:tc>
          <w:tcPr>
            <w:tcW w:w="4599" w:type="dxa"/>
          </w:tcPr>
          <w:p w14:paraId="27A73371" w14:textId="77777777" w:rsidR="00FF7799" w:rsidRPr="00E73F6F" w:rsidRDefault="00FF7799" w:rsidP="00862DBA">
            <w:pPr>
              <w:rPr>
                <w:i/>
                <w:sz w:val="24"/>
                <w:szCs w:val="24"/>
                <w:lang w:val="de-DE"/>
              </w:rPr>
            </w:pPr>
          </w:p>
          <w:p w14:paraId="546D42DA" w14:textId="77777777" w:rsidR="00FF7799" w:rsidRPr="00E73F6F" w:rsidRDefault="00FF7799" w:rsidP="00862DBA">
            <w:pPr>
              <w:spacing w:before="117"/>
              <w:rPr>
                <w:sz w:val="24"/>
                <w:szCs w:val="24"/>
                <w:lang w:val="de-DE"/>
              </w:rPr>
            </w:pPr>
            <w:r w:rsidRPr="00E73F6F">
              <w:rPr>
                <w:noProof/>
                <w:sz w:val="24"/>
                <w:szCs w:val="24"/>
                <w:lang w:eastAsia="de-DE"/>
              </w:rPr>
              <mc:AlternateContent>
                <mc:Choice Requires="wpg">
                  <w:drawing>
                    <wp:anchor distT="0" distB="0" distL="0" distR="0" simplePos="0" relativeHeight="251972608" behindDoc="1" locked="0" layoutInCell="1" allowOverlap="1" wp14:anchorId="4BD01E69" wp14:editId="0A2B7D43">
                      <wp:simplePos x="0" y="0"/>
                      <wp:positionH relativeFrom="column">
                        <wp:posOffset>927941</wp:posOffset>
                      </wp:positionH>
                      <wp:positionV relativeFrom="paragraph">
                        <wp:posOffset>24406</wp:posOffset>
                      </wp:positionV>
                      <wp:extent cx="689610" cy="243204"/>
                      <wp:effectExtent l="0" t="0" r="0" b="0"/>
                      <wp:wrapNone/>
                      <wp:docPr id="1667" name="Group 14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9610" cy="243204"/>
                                <a:chOff x="0" y="0"/>
                                <a:chExt cx="689610" cy="243204"/>
                              </a:xfrm>
                            </wpg:grpSpPr>
                            <wps:wsp>
                              <wps:cNvPr id="1668" name="Graphic 1417"/>
                              <wps:cNvSpPr/>
                              <wps:spPr>
                                <a:xfrm>
                                  <a:off x="3292" y="3292"/>
                                  <a:ext cx="683260" cy="236854"/>
                                </a:xfrm>
                                <a:custGeom>
                                  <a:avLst/>
                                  <a:gdLst/>
                                  <a:ahLst/>
                                  <a:cxnLst/>
                                  <a:rect l="l" t="t" r="r" b="b"/>
                                  <a:pathLst>
                                    <a:path w="683260" h="236854">
                                      <a:moveTo>
                                        <a:pt x="324127" y="0"/>
                                      </a:moveTo>
                                      <a:lnTo>
                                        <a:pt x="317534" y="0"/>
                                      </a:lnTo>
                                      <a:lnTo>
                                        <a:pt x="312296" y="0"/>
                                      </a:lnTo>
                                      <a:lnTo>
                                        <a:pt x="305703" y="1082"/>
                                      </a:lnTo>
                                      <a:lnTo>
                                        <a:pt x="267682" y="13988"/>
                                      </a:lnTo>
                                      <a:lnTo>
                                        <a:pt x="249259" y="27164"/>
                                      </a:lnTo>
                                      <a:lnTo>
                                        <a:pt x="240679" y="34565"/>
                                      </a:lnTo>
                                      <a:lnTo>
                                        <a:pt x="233003" y="43319"/>
                                      </a:lnTo>
                                      <a:lnTo>
                                        <a:pt x="225507" y="51893"/>
                                      </a:lnTo>
                                      <a:lnTo>
                                        <a:pt x="220088" y="61730"/>
                                      </a:lnTo>
                                      <a:lnTo>
                                        <a:pt x="214579" y="71567"/>
                                      </a:lnTo>
                                      <a:lnTo>
                                        <a:pt x="211509" y="82307"/>
                                      </a:lnTo>
                                      <a:lnTo>
                                        <a:pt x="209251" y="88895"/>
                                      </a:lnTo>
                                      <a:lnTo>
                                        <a:pt x="208167" y="94400"/>
                                      </a:lnTo>
                                      <a:lnTo>
                                        <a:pt x="207083" y="99634"/>
                                      </a:lnTo>
                                      <a:lnTo>
                                        <a:pt x="206000" y="106223"/>
                                      </a:lnTo>
                                      <a:lnTo>
                                        <a:pt x="206000" y="111728"/>
                                      </a:lnTo>
                                      <a:lnTo>
                                        <a:pt x="206000" y="118316"/>
                                      </a:lnTo>
                                      <a:lnTo>
                                        <a:pt x="206000" y="123550"/>
                                      </a:lnTo>
                                      <a:lnTo>
                                        <a:pt x="206000" y="130139"/>
                                      </a:lnTo>
                                      <a:lnTo>
                                        <a:pt x="207083" y="135554"/>
                                      </a:lnTo>
                                      <a:lnTo>
                                        <a:pt x="208167" y="142142"/>
                                      </a:lnTo>
                                      <a:lnTo>
                                        <a:pt x="209251" y="147376"/>
                                      </a:lnTo>
                                      <a:lnTo>
                                        <a:pt x="211509" y="152881"/>
                                      </a:lnTo>
                                      <a:lnTo>
                                        <a:pt x="214579" y="163892"/>
                                      </a:lnTo>
                                      <a:lnTo>
                                        <a:pt x="220088" y="174631"/>
                                      </a:lnTo>
                                      <a:lnTo>
                                        <a:pt x="225507" y="184469"/>
                                      </a:lnTo>
                                      <a:lnTo>
                                        <a:pt x="233003" y="192952"/>
                                      </a:lnTo>
                                      <a:lnTo>
                                        <a:pt x="240679" y="201796"/>
                                      </a:lnTo>
                                      <a:lnTo>
                                        <a:pt x="277617" y="226705"/>
                                      </a:lnTo>
                                      <a:lnTo>
                                        <a:pt x="294956" y="232210"/>
                                      </a:lnTo>
                                      <a:lnTo>
                                        <a:pt x="300194" y="233293"/>
                                      </a:lnTo>
                                      <a:lnTo>
                                        <a:pt x="305703" y="234376"/>
                                      </a:lnTo>
                                      <a:lnTo>
                                        <a:pt x="312296" y="235279"/>
                                      </a:lnTo>
                                      <a:lnTo>
                                        <a:pt x="317534" y="235279"/>
                                      </a:lnTo>
                                      <a:lnTo>
                                        <a:pt x="324127" y="236362"/>
                                      </a:lnTo>
                                      <a:lnTo>
                                        <a:pt x="329636" y="236362"/>
                                      </a:lnTo>
                                      <a:lnTo>
                                        <a:pt x="335958" y="235279"/>
                                      </a:lnTo>
                                      <a:lnTo>
                                        <a:pt x="341467" y="234376"/>
                                      </a:lnTo>
                                      <a:lnTo>
                                        <a:pt x="348059" y="233293"/>
                                      </a:lnTo>
                                      <a:lnTo>
                                        <a:pt x="353297" y="232210"/>
                                      </a:lnTo>
                                      <a:lnTo>
                                        <a:pt x="358806" y="231127"/>
                                      </a:lnTo>
                                      <a:lnTo>
                                        <a:pt x="369553" y="226705"/>
                                      </a:lnTo>
                                      <a:lnTo>
                                        <a:pt x="380571" y="222373"/>
                                      </a:lnTo>
                                      <a:lnTo>
                                        <a:pt x="390235" y="215785"/>
                                      </a:lnTo>
                                      <a:lnTo>
                                        <a:pt x="421663" y="184469"/>
                                      </a:lnTo>
                                      <a:lnTo>
                                        <a:pt x="438100" y="147376"/>
                                      </a:lnTo>
                                      <a:lnTo>
                                        <a:pt x="440087" y="135554"/>
                                      </a:lnTo>
                                      <a:lnTo>
                                        <a:pt x="441170" y="130139"/>
                                      </a:lnTo>
                                      <a:lnTo>
                                        <a:pt x="441170" y="123550"/>
                                      </a:lnTo>
                                      <a:lnTo>
                                        <a:pt x="442254" y="118316"/>
                                      </a:lnTo>
                                      <a:lnTo>
                                        <a:pt x="442254" y="111728"/>
                                      </a:lnTo>
                                      <a:lnTo>
                                        <a:pt x="441170" y="106223"/>
                                      </a:lnTo>
                                      <a:lnTo>
                                        <a:pt x="440087" y="99634"/>
                                      </a:lnTo>
                                      <a:lnTo>
                                        <a:pt x="439003" y="94400"/>
                                      </a:lnTo>
                                      <a:lnTo>
                                        <a:pt x="421663" y="51893"/>
                                      </a:lnTo>
                                      <a:lnTo>
                                        <a:pt x="398995" y="27164"/>
                                      </a:lnTo>
                                      <a:lnTo>
                                        <a:pt x="390235" y="19493"/>
                                      </a:lnTo>
                                      <a:lnTo>
                                        <a:pt x="380571" y="13988"/>
                                      </a:lnTo>
                                      <a:lnTo>
                                        <a:pt x="369553" y="8483"/>
                                      </a:lnTo>
                                      <a:lnTo>
                                        <a:pt x="358806" y="5234"/>
                                      </a:lnTo>
                                      <a:lnTo>
                                        <a:pt x="353297" y="3248"/>
                                      </a:lnTo>
                                      <a:lnTo>
                                        <a:pt x="348059" y="2165"/>
                                      </a:lnTo>
                                      <a:lnTo>
                                        <a:pt x="341467" y="1082"/>
                                      </a:lnTo>
                                      <a:lnTo>
                                        <a:pt x="335958" y="0"/>
                                      </a:lnTo>
                                      <a:lnTo>
                                        <a:pt x="329636" y="0"/>
                                      </a:lnTo>
                                      <a:lnTo>
                                        <a:pt x="324127" y="0"/>
                                      </a:lnTo>
                                    </a:path>
                                    <a:path w="683260" h="236854">
                                      <a:moveTo>
                                        <a:pt x="564807" y="0"/>
                                      </a:moveTo>
                                      <a:lnTo>
                                        <a:pt x="558394" y="0"/>
                                      </a:lnTo>
                                      <a:lnTo>
                                        <a:pt x="552976" y="0"/>
                                      </a:lnTo>
                                      <a:lnTo>
                                        <a:pt x="546383" y="1082"/>
                                      </a:lnTo>
                                      <a:lnTo>
                                        <a:pt x="541055" y="2165"/>
                                      </a:lnTo>
                                      <a:lnTo>
                                        <a:pt x="534462" y="3248"/>
                                      </a:lnTo>
                                      <a:lnTo>
                                        <a:pt x="529043" y="5234"/>
                                      </a:lnTo>
                                      <a:lnTo>
                                        <a:pt x="489035" y="27164"/>
                                      </a:lnTo>
                                      <a:lnTo>
                                        <a:pt x="460678" y="61730"/>
                                      </a:lnTo>
                                      <a:lnTo>
                                        <a:pt x="452188" y="82307"/>
                                      </a:lnTo>
                                      <a:lnTo>
                                        <a:pt x="449931" y="88895"/>
                                      </a:lnTo>
                                      <a:lnTo>
                                        <a:pt x="448847" y="94400"/>
                                      </a:lnTo>
                                      <a:lnTo>
                                        <a:pt x="447763" y="99634"/>
                                      </a:lnTo>
                                      <a:lnTo>
                                        <a:pt x="446679" y="106223"/>
                                      </a:lnTo>
                                      <a:lnTo>
                                        <a:pt x="446679" y="111728"/>
                                      </a:lnTo>
                                      <a:lnTo>
                                        <a:pt x="446679" y="118316"/>
                                      </a:lnTo>
                                      <a:lnTo>
                                        <a:pt x="446679" y="123550"/>
                                      </a:lnTo>
                                      <a:lnTo>
                                        <a:pt x="446679" y="130139"/>
                                      </a:lnTo>
                                      <a:lnTo>
                                        <a:pt x="447763" y="135554"/>
                                      </a:lnTo>
                                      <a:lnTo>
                                        <a:pt x="448847" y="142142"/>
                                      </a:lnTo>
                                      <a:lnTo>
                                        <a:pt x="449931" y="147376"/>
                                      </a:lnTo>
                                      <a:lnTo>
                                        <a:pt x="452188" y="152881"/>
                                      </a:lnTo>
                                      <a:lnTo>
                                        <a:pt x="455440" y="163892"/>
                                      </a:lnTo>
                                      <a:lnTo>
                                        <a:pt x="460678" y="174631"/>
                                      </a:lnTo>
                                      <a:lnTo>
                                        <a:pt x="466187" y="184469"/>
                                      </a:lnTo>
                                      <a:lnTo>
                                        <a:pt x="473682" y="192952"/>
                                      </a:lnTo>
                                      <a:lnTo>
                                        <a:pt x="481359" y="201796"/>
                                      </a:lnTo>
                                      <a:lnTo>
                                        <a:pt x="518206" y="226705"/>
                                      </a:lnTo>
                                      <a:lnTo>
                                        <a:pt x="541055" y="233293"/>
                                      </a:lnTo>
                                      <a:lnTo>
                                        <a:pt x="546383" y="234376"/>
                                      </a:lnTo>
                                      <a:lnTo>
                                        <a:pt x="552976" y="235279"/>
                                      </a:lnTo>
                                      <a:lnTo>
                                        <a:pt x="558394" y="235279"/>
                                      </a:lnTo>
                                      <a:lnTo>
                                        <a:pt x="564807" y="236362"/>
                                      </a:lnTo>
                                      <a:lnTo>
                                        <a:pt x="570316" y="236362"/>
                                      </a:lnTo>
                                      <a:lnTo>
                                        <a:pt x="576637" y="235279"/>
                                      </a:lnTo>
                                      <a:lnTo>
                                        <a:pt x="582146" y="234376"/>
                                      </a:lnTo>
                                      <a:lnTo>
                                        <a:pt x="588739" y="233293"/>
                                      </a:lnTo>
                                      <a:lnTo>
                                        <a:pt x="593977" y="232210"/>
                                      </a:lnTo>
                                      <a:lnTo>
                                        <a:pt x="599486" y="231127"/>
                                      </a:lnTo>
                                      <a:lnTo>
                                        <a:pt x="639675" y="209468"/>
                                      </a:lnTo>
                                      <a:lnTo>
                                        <a:pt x="667761" y="174631"/>
                                      </a:lnTo>
                                      <a:lnTo>
                                        <a:pt x="678779" y="147376"/>
                                      </a:lnTo>
                                      <a:lnTo>
                                        <a:pt x="679863" y="142142"/>
                                      </a:lnTo>
                                      <a:lnTo>
                                        <a:pt x="680766" y="135554"/>
                                      </a:lnTo>
                                      <a:lnTo>
                                        <a:pt x="681850" y="130139"/>
                                      </a:lnTo>
                                      <a:lnTo>
                                        <a:pt x="681850" y="123550"/>
                                      </a:lnTo>
                                      <a:lnTo>
                                        <a:pt x="682934" y="118316"/>
                                      </a:lnTo>
                                      <a:lnTo>
                                        <a:pt x="681850" y="111728"/>
                                      </a:lnTo>
                                      <a:lnTo>
                                        <a:pt x="681850" y="106223"/>
                                      </a:lnTo>
                                      <a:lnTo>
                                        <a:pt x="680766" y="99634"/>
                                      </a:lnTo>
                                      <a:lnTo>
                                        <a:pt x="679863" y="94400"/>
                                      </a:lnTo>
                                      <a:lnTo>
                                        <a:pt x="678779" y="88895"/>
                                      </a:lnTo>
                                      <a:lnTo>
                                        <a:pt x="677696" y="82307"/>
                                      </a:lnTo>
                                      <a:lnTo>
                                        <a:pt x="673270" y="71567"/>
                                      </a:lnTo>
                                      <a:lnTo>
                                        <a:pt x="667761" y="61730"/>
                                      </a:lnTo>
                                      <a:lnTo>
                                        <a:pt x="662523" y="51893"/>
                                      </a:lnTo>
                                      <a:lnTo>
                                        <a:pt x="655931" y="43319"/>
                                      </a:lnTo>
                                      <a:lnTo>
                                        <a:pt x="648254" y="34565"/>
                                      </a:lnTo>
                                      <a:lnTo>
                                        <a:pt x="639675" y="27164"/>
                                      </a:lnTo>
                                      <a:lnTo>
                                        <a:pt x="630914" y="19493"/>
                                      </a:lnTo>
                                      <a:lnTo>
                                        <a:pt x="621251" y="13988"/>
                                      </a:lnTo>
                                      <a:lnTo>
                                        <a:pt x="610504" y="8483"/>
                                      </a:lnTo>
                                      <a:lnTo>
                                        <a:pt x="599486" y="5234"/>
                                      </a:lnTo>
                                      <a:lnTo>
                                        <a:pt x="593977" y="3248"/>
                                      </a:lnTo>
                                      <a:lnTo>
                                        <a:pt x="588739" y="2165"/>
                                      </a:lnTo>
                                      <a:lnTo>
                                        <a:pt x="582146" y="1082"/>
                                      </a:lnTo>
                                      <a:lnTo>
                                        <a:pt x="576637" y="0"/>
                                      </a:lnTo>
                                      <a:lnTo>
                                        <a:pt x="570316" y="0"/>
                                      </a:lnTo>
                                      <a:lnTo>
                                        <a:pt x="564807" y="0"/>
                                      </a:lnTo>
                                    </a:path>
                                    <a:path w="683260" h="236854">
                                      <a:moveTo>
                                        <a:pt x="118127" y="0"/>
                                      </a:moveTo>
                                      <a:lnTo>
                                        <a:pt x="111534" y="0"/>
                                      </a:lnTo>
                                      <a:lnTo>
                                        <a:pt x="106296" y="0"/>
                                      </a:lnTo>
                                      <a:lnTo>
                                        <a:pt x="99703" y="1082"/>
                                      </a:lnTo>
                                      <a:lnTo>
                                        <a:pt x="61682" y="13988"/>
                                      </a:lnTo>
                                      <a:lnTo>
                                        <a:pt x="43259" y="27164"/>
                                      </a:lnTo>
                                      <a:lnTo>
                                        <a:pt x="34679" y="34565"/>
                                      </a:lnTo>
                                      <a:lnTo>
                                        <a:pt x="9663" y="71567"/>
                                      </a:lnTo>
                                      <a:lnTo>
                                        <a:pt x="4425" y="88895"/>
                                      </a:lnTo>
                                      <a:lnTo>
                                        <a:pt x="2257" y="94400"/>
                                      </a:lnTo>
                                      <a:lnTo>
                                        <a:pt x="2257" y="99634"/>
                                      </a:lnTo>
                                      <a:lnTo>
                                        <a:pt x="1083" y="106223"/>
                                      </a:lnTo>
                                      <a:lnTo>
                                        <a:pt x="0" y="111728"/>
                                      </a:lnTo>
                                      <a:lnTo>
                                        <a:pt x="0" y="118316"/>
                                      </a:lnTo>
                                      <a:lnTo>
                                        <a:pt x="0" y="123550"/>
                                      </a:lnTo>
                                      <a:lnTo>
                                        <a:pt x="1083" y="130139"/>
                                      </a:lnTo>
                                      <a:lnTo>
                                        <a:pt x="2257" y="135554"/>
                                      </a:lnTo>
                                      <a:lnTo>
                                        <a:pt x="2257" y="142142"/>
                                      </a:lnTo>
                                      <a:lnTo>
                                        <a:pt x="4425" y="147376"/>
                                      </a:lnTo>
                                      <a:lnTo>
                                        <a:pt x="5508" y="152881"/>
                                      </a:lnTo>
                                      <a:lnTo>
                                        <a:pt x="9663" y="163892"/>
                                      </a:lnTo>
                                      <a:lnTo>
                                        <a:pt x="34679" y="201796"/>
                                      </a:lnTo>
                                      <a:lnTo>
                                        <a:pt x="71616" y="226705"/>
                                      </a:lnTo>
                                      <a:lnTo>
                                        <a:pt x="88956" y="232210"/>
                                      </a:lnTo>
                                      <a:lnTo>
                                        <a:pt x="94194" y="233293"/>
                                      </a:lnTo>
                                      <a:lnTo>
                                        <a:pt x="99703" y="234376"/>
                                      </a:lnTo>
                                      <a:lnTo>
                                        <a:pt x="106296" y="235279"/>
                                      </a:lnTo>
                                      <a:lnTo>
                                        <a:pt x="111534" y="235279"/>
                                      </a:lnTo>
                                      <a:lnTo>
                                        <a:pt x="118127" y="236362"/>
                                      </a:lnTo>
                                      <a:lnTo>
                                        <a:pt x="123636" y="236362"/>
                                      </a:lnTo>
                                      <a:lnTo>
                                        <a:pt x="130048" y="235279"/>
                                      </a:lnTo>
                                      <a:lnTo>
                                        <a:pt x="135466" y="234376"/>
                                      </a:lnTo>
                                      <a:lnTo>
                                        <a:pt x="140975" y="233293"/>
                                      </a:lnTo>
                                      <a:lnTo>
                                        <a:pt x="147388" y="232210"/>
                                      </a:lnTo>
                                      <a:lnTo>
                                        <a:pt x="152897" y="231127"/>
                                      </a:lnTo>
                                      <a:lnTo>
                                        <a:pt x="163644" y="226705"/>
                                      </a:lnTo>
                                      <a:lnTo>
                                        <a:pt x="173488" y="222373"/>
                                      </a:lnTo>
                                      <a:lnTo>
                                        <a:pt x="183151" y="215785"/>
                                      </a:lnTo>
                                      <a:lnTo>
                                        <a:pt x="192995" y="209468"/>
                                      </a:lnTo>
                                      <a:lnTo>
                                        <a:pt x="200491" y="201796"/>
                                      </a:lnTo>
                                      <a:lnTo>
                                        <a:pt x="208167" y="192952"/>
                                      </a:lnTo>
                                      <a:lnTo>
                                        <a:pt x="215663" y="184469"/>
                                      </a:lnTo>
                                      <a:lnTo>
                                        <a:pt x="221172" y="174631"/>
                                      </a:lnTo>
                                      <a:lnTo>
                                        <a:pt x="226591" y="163892"/>
                                      </a:lnTo>
                                      <a:lnTo>
                                        <a:pt x="229932" y="152881"/>
                                      </a:lnTo>
                                      <a:lnTo>
                                        <a:pt x="231919" y="147376"/>
                                      </a:lnTo>
                                      <a:lnTo>
                                        <a:pt x="233003" y="142142"/>
                                      </a:lnTo>
                                      <a:lnTo>
                                        <a:pt x="234086" y="135554"/>
                                      </a:lnTo>
                                      <a:lnTo>
                                        <a:pt x="234086" y="130139"/>
                                      </a:lnTo>
                                      <a:lnTo>
                                        <a:pt x="235170" y="123550"/>
                                      </a:lnTo>
                                      <a:lnTo>
                                        <a:pt x="235170" y="118316"/>
                                      </a:lnTo>
                                      <a:lnTo>
                                        <a:pt x="235170" y="111728"/>
                                      </a:lnTo>
                                      <a:lnTo>
                                        <a:pt x="234086" y="106223"/>
                                      </a:lnTo>
                                      <a:lnTo>
                                        <a:pt x="234086" y="99634"/>
                                      </a:lnTo>
                                      <a:lnTo>
                                        <a:pt x="233003" y="94400"/>
                                      </a:lnTo>
                                      <a:lnTo>
                                        <a:pt x="231919" y="88895"/>
                                      </a:lnTo>
                                      <a:lnTo>
                                        <a:pt x="215663" y="51893"/>
                                      </a:lnTo>
                                      <a:lnTo>
                                        <a:pt x="183151" y="19493"/>
                                      </a:lnTo>
                                      <a:lnTo>
                                        <a:pt x="152897" y="5234"/>
                                      </a:lnTo>
                                      <a:lnTo>
                                        <a:pt x="147388" y="3248"/>
                                      </a:lnTo>
                                      <a:lnTo>
                                        <a:pt x="140975" y="2165"/>
                                      </a:lnTo>
                                      <a:lnTo>
                                        <a:pt x="135466" y="1082"/>
                                      </a:lnTo>
                                      <a:lnTo>
                                        <a:pt x="130048" y="0"/>
                                      </a:lnTo>
                                      <a:lnTo>
                                        <a:pt x="123636" y="0"/>
                                      </a:lnTo>
                                      <a:lnTo>
                                        <a:pt x="118127" y="0"/>
                                      </a:lnTo>
                                    </a:path>
                                    <a:path w="683260" h="236854">
                                      <a:moveTo>
                                        <a:pt x="324127" y="0"/>
                                      </a:moveTo>
                                      <a:lnTo>
                                        <a:pt x="317534" y="0"/>
                                      </a:lnTo>
                                      <a:lnTo>
                                        <a:pt x="312296" y="0"/>
                                      </a:lnTo>
                                      <a:lnTo>
                                        <a:pt x="305703" y="1082"/>
                                      </a:lnTo>
                                      <a:lnTo>
                                        <a:pt x="267682" y="13988"/>
                                      </a:lnTo>
                                      <a:lnTo>
                                        <a:pt x="249259" y="27164"/>
                                      </a:lnTo>
                                      <a:lnTo>
                                        <a:pt x="240679" y="34565"/>
                                      </a:lnTo>
                                      <a:lnTo>
                                        <a:pt x="233003" y="43319"/>
                                      </a:lnTo>
                                      <a:lnTo>
                                        <a:pt x="225507" y="51893"/>
                                      </a:lnTo>
                                      <a:lnTo>
                                        <a:pt x="220088" y="61730"/>
                                      </a:lnTo>
                                      <a:lnTo>
                                        <a:pt x="214579" y="71567"/>
                                      </a:lnTo>
                                      <a:lnTo>
                                        <a:pt x="211509" y="82307"/>
                                      </a:lnTo>
                                      <a:lnTo>
                                        <a:pt x="209251" y="88895"/>
                                      </a:lnTo>
                                      <a:lnTo>
                                        <a:pt x="208167" y="94400"/>
                                      </a:lnTo>
                                      <a:lnTo>
                                        <a:pt x="207083" y="99634"/>
                                      </a:lnTo>
                                      <a:lnTo>
                                        <a:pt x="206000" y="106223"/>
                                      </a:lnTo>
                                      <a:lnTo>
                                        <a:pt x="206000" y="111728"/>
                                      </a:lnTo>
                                      <a:lnTo>
                                        <a:pt x="206000" y="118316"/>
                                      </a:lnTo>
                                      <a:lnTo>
                                        <a:pt x="206000" y="123550"/>
                                      </a:lnTo>
                                      <a:lnTo>
                                        <a:pt x="206000" y="130139"/>
                                      </a:lnTo>
                                      <a:lnTo>
                                        <a:pt x="207083" y="135554"/>
                                      </a:lnTo>
                                      <a:lnTo>
                                        <a:pt x="208167" y="142142"/>
                                      </a:lnTo>
                                      <a:lnTo>
                                        <a:pt x="209251" y="147376"/>
                                      </a:lnTo>
                                      <a:lnTo>
                                        <a:pt x="211509" y="152881"/>
                                      </a:lnTo>
                                      <a:lnTo>
                                        <a:pt x="214579" y="163892"/>
                                      </a:lnTo>
                                      <a:lnTo>
                                        <a:pt x="220088" y="174631"/>
                                      </a:lnTo>
                                      <a:lnTo>
                                        <a:pt x="225507" y="184469"/>
                                      </a:lnTo>
                                      <a:lnTo>
                                        <a:pt x="233003" y="192952"/>
                                      </a:lnTo>
                                      <a:lnTo>
                                        <a:pt x="240679" y="201796"/>
                                      </a:lnTo>
                                      <a:lnTo>
                                        <a:pt x="277617" y="226705"/>
                                      </a:lnTo>
                                      <a:lnTo>
                                        <a:pt x="294956" y="232210"/>
                                      </a:lnTo>
                                      <a:lnTo>
                                        <a:pt x="300194" y="233293"/>
                                      </a:lnTo>
                                      <a:lnTo>
                                        <a:pt x="305703" y="234376"/>
                                      </a:lnTo>
                                      <a:lnTo>
                                        <a:pt x="312296" y="235279"/>
                                      </a:lnTo>
                                      <a:lnTo>
                                        <a:pt x="317534" y="235279"/>
                                      </a:lnTo>
                                      <a:lnTo>
                                        <a:pt x="324127" y="236362"/>
                                      </a:lnTo>
                                      <a:lnTo>
                                        <a:pt x="329636" y="236362"/>
                                      </a:lnTo>
                                      <a:lnTo>
                                        <a:pt x="335958" y="235279"/>
                                      </a:lnTo>
                                      <a:lnTo>
                                        <a:pt x="341467" y="234376"/>
                                      </a:lnTo>
                                      <a:lnTo>
                                        <a:pt x="348059" y="233293"/>
                                      </a:lnTo>
                                      <a:lnTo>
                                        <a:pt x="353297" y="232210"/>
                                      </a:lnTo>
                                      <a:lnTo>
                                        <a:pt x="358806" y="231127"/>
                                      </a:lnTo>
                                      <a:lnTo>
                                        <a:pt x="369553" y="226705"/>
                                      </a:lnTo>
                                      <a:lnTo>
                                        <a:pt x="380571" y="222373"/>
                                      </a:lnTo>
                                      <a:lnTo>
                                        <a:pt x="390235" y="215785"/>
                                      </a:lnTo>
                                      <a:lnTo>
                                        <a:pt x="421663" y="184469"/>
                                      </a:lnTo>
                                      <a:lnTo>
                                        <a:pt x="438100" y="147376"/>
                                      </a:lnTo>
                                      <a:lnTo>
                                        <a:pt x="440087" y="135554"/>
                                      </a:lnTo>
                                      <a:lnTo>
                                        <a:pt x="441170" y="130139"/>
                                      </a:lnTo>
                                      <a:lnTo>
                                        <a:pt x="441170" y="123550"/>
                                      </a:lnTo>
                                      <a:lnTo>
                                        <a:pt x="442254" y="118316"/>
                                      </a:lnTo>
                                      <a:lnTo>
                                        <a:pt x="442254" y="111728"/>
                                      </a:lnTo>
                                      <a:lnTo>
                                        <a:pt x="441170" y="106223"/>
                                      </a:lnTo>
                                      <a:lnTo>
                                        <a:pt x="440087" y="99634"/>
                                      </a:lnTo>
                                      <a:lnTo>
                                        <a:pt x="439003" y="94400"/>
                                      </a:lnTo>
                                      <a:lnTo>
                                        <a:pt x="421663" y="51893"/>
                                      </a:lnTo>
                                      <a:lnTo>
                                        <a:pt x="398995" y="27164"/>
                                      </a:lnTo>
                                      <a:lnTo>
                                        <a:pt x="390235" y="19493"/>
                                      </a:lnTo>
                                      <a:lnTo>
                                        <a:pt x="380571" y="13988"/>
                                      </a:lnTo>
                                      <a:lnTo>
                                        <a:pt x="369553" y="8483"/>
                                      </a:lnTo>
                                      <a:lnTo>
                                        <a:pt x="358806" y="5234"/>
                                      </a:lnTo>
                                      <a:lnTo>
                                        <a:pt x="353297" y="3248"/>
                                      </a:lnTo>
                                      <a:lnTo>
                                        <a:pt x="348059" y="2165"/>
                                      </a:lnTo>
                                      <a:lnTo>
                                        <a:pt x="341467" y="1082"/>
                                      </a:lnTo>
                                      <a:lnTo>
                                        <a:pt x="335958" y="0"/>
                                      </a:lnTo>
                                      <a:lnTo>
                                        <a:pt x="329636" y="0"/>
                                      </a:lnTo>
                                      <a:lnTo>
                                        <a:pt x="324127" y="0"/>
                                      </a:lnTo>
                                    </a:path>
                                    <a:path w="683260" h="236854">
                                      <a:moveTo>
                                        <a:pt x="564807" y="0"/>
                                      </a:moveTo>
                                      <a:lnTo>
                                        <a:pt x="558394" y="0"/>
                                      </a:lnTo>
                                      <a:lnTo>
                                        <a:pt x="552976" y="0"/>
                                      </a:lnTo>
                                      <a:lnTo>
                                        <a:pt x="546383" y="1082"/>
                                      </a:lnTo>
                                      <a:lnTo>
                                        <a:pt x="541055" y="2165"/>
                                      </a:lnTo>
                                      <a:lnTo>
                                        <a:pt x="534462" y="3248"/>
                                      </a:lnTo>
                                      <a:lnTo>
                                        <a:pt x="529043" y="5234"/>
                                      </a:lnTo>
                                      <a:lnTo>
                                        <a:pt x="489035" y="27164"/>
                                      </a:lnTo>
                                      <a:lnTo>
                                        <a:pt x="460678" y="61730"/>
                                      </a:lnTo>
                                      <a:lnTo>
                                        <a:pt x="452188" y="82307"/>
                                      </a:lnTo>
                                      <a:lnTo>
                                        <a:pt x="449931" y="88895"/>
                                      </a:lnTo>
                                      <a:lnTo>
                                        <a:pt x="448847" y="94400"/>
                                      </a:lnTo>
                                      <a:lnTo>
                                        <a:pt x="447763" y="99634"/>
                                      </a:lnTo>
                                      <a:lnTo>
                                        <a:pt x="446679" y="106223"/>
                                      </a:lnTo>
                                      <a:lnTo>
                                        <a:pt x="446679" y="111728"/>
                                      </a:lnTo>
                                      <a:lnTo>
                                        <a:pt x="446679" y="118316"/>
                                      </a:lnTo>
                                      <a:lnTo>
                                        <a:pt x="446679" y="123550"/>
                                      </a:lnTo>
                                      <a:lnTo>
                                        <a:pt x="446679" y="130139"/>
                                      </a:lnTo>
                                      <a:lnTo>
                                        <a:pt x="447763" y="135554"/>
                                      </a:lnTo>
                                      <a:lnTo>
                                        <a:pt x="448847" y="142142"/>
                                      </a:lnTo>
                                      <a:lnTo>
                                        <a:pt x="449931" y="147376"/>
                                      </a:lnTo>
                                      <a:lnTo>
                                        <a:pt x="452188" y="152881"/>
                                      </a:lnTo>
                                      <a:lnTo>
                                        <a:pt x="455440" y="163892"/>
                                      </a:lnTo>
                                      <a:lnTo>
                                        <a:pt x="460678" y="174631"/>
                                      </a:lnTo>
                                      <a:lnTo>
                                        <a:pt x="466187" y="184469"/>
                                      </a:lnTo>
                                      <a:lnTo>
                                        <a:pt x="473682" y="192952"/>
                                      </a:lnTo>
                                      <a:lnTo>
                                        <a:pt x="481359" y="201796"/>
                                      </a:lnTo>
                                      <a:lnTo>
                                        <a:pt x="518206" y="226705"/>
                                      </a:lnTo>
                                      <a:lnTo>
                                        <a:pt x="541055" y="233293"/>
                                      </a:lnTo>
                                      <a:lnTo>
                                        <a:pt x="546383" y="234376"/>
                                      </a:lnTo>
                                      <a:lnTo>
                                        <a:pt x="552976" y="235279"/>
                                      </a:lnTo>
                                      <a:lnTo>
                                        <a:pt x="558394" y="235279"/>
                                      </a:lnTo>
                                      <a:lnTo>
                                        <a:pt x="564807" y="236362"/>
                                      </a:lnTo>
                                      <a:lnTo>
                                        <a:pt x="570316" y="236362"/>
                                      </a:lnTo>
                                      <a:lnTo>
                                        <a:pt x="576637" y="235279"/>
                                      </a:lnTo>
                                      <a:lnTo>
                                        <a:pt x="582146" y="234376"/>
                                      </a:lnTo>
                                      <a:lnTo>
                                        <a:pt x="588739" y="233293"/>
                                      </a:lnTo>
                                      <a:lnTo>
                                        <a:pt x="593977" y="232210"/>
                                      </a:lnTo>
                                      <a:lnTo>
                                        <a:pt x="599486" y="231127"/>
                                      </a:lnTo>
                                      <a:lnTo>
                                        <a:pt x="639675" y="209468"/>
                                      </a:lnTo>
                                      <a:lnTo>
                                        <a:pt x="667761" y="174631"/>
                                      </a:lnTo>
                                      <a:lnTo>
                                        <a:pt x="678779" y="147376"/>
                                      </a:lnTo>
                                      <a:lnTo>
                                        <a:pt x="679863" y="142142"/>
                                      </a:lnTo>
                                      <a:lnTo>
                                        <a:pt x="680766" y="135554"/>
                                      </a:lnTo>
                                      <a:lnTo>
                                        <a:pt x="681850" y="130139"/>
                                      </a:lnTo>
                                      <a:lnTo>
                                        <a:pt x="681850" y="123550"/>
                                      </a:lnTo>
                                      <a:lnTo>
                                        <a:pt x="682934" y="118316"/>
                                      </a:lnTo>
                                      <a:lnTo>
                                        <a:pt x="681850" y="111728"/>
                                      </a:lnTo>
                                      <a:lnTo>
                                        <a:pt x="681850" y="106223"/>
                                      </a:lnTo>
                                      <a:lnTo>
                                        <a:pt x="680766" y="99634"/>
                                      </a:lnTo>
                                      <a:lnTo>
                                        <a:pt x="679863" y="94400"/>
                                      </a:lnTo>
                                      <a:lnTo>
                                        <a:pt x="678779" y="88895"/>
                                      </a:lnTo>
                                      <a:lnTo>
                                        <a:pt x="677696" y="82307"/>
                                      </a:lnTo>
                                      <a:lnTo>
                                        <a:pt x="673270" y="71567"/>
                                      </a:lnTo>
                                      <a:lnTo>
                                        <a:pt x="667761" y="61730"/>
                                      </a:lnTo>
                                      <a:lnTo>
                                        <a:pt x="662523" y="51893"/>
                                      </a:lnTo>
                                      <a:lnTo>
                                        <a:pt x="655931" y="43319"/>
                                      </a:lnTo>
                                      <a:lnTo>
                                        <a:pt x="648254" y="34565"/>
                                      </a:lnTo>
                                      <a:lnTo>
                                        <a:pt x="639675" y="27164"/>
                                      </a:lnTo>
                                      <a:lnTo>
                                        <a:pt x="630914" y="19493"/>
                                      </a:lnTo>
                                      <a:lnTo>
                                        <a:pt x="621251" y="13988"/>
                                      </a:lnTo>
                                      <a:lnTo>
                                        <a:pt x="610504" y="8483"/>
                                      </a:lnTo>
                                      <a:lnTo>
                                        <a:pt x="599486" y="5234"/>
                                      </a:lnTo>
                                      <a:lnTo>
                                        <a:pt x="593977" y="3248"/>
                                      </a:lnTo>
                                      <a:lnTo>
                                        <a:pt x="588739" y="2165"/>
                                      </a:lnTo>
                                      <a:lnTo>
                                        <a:pt x="582146" y="1082"/>
                                      </a:lnTo>
                                      <a:lnTo>
                                        <a:pt x="576637" y="0"/>
                                      </a:lnTo>
                                      <a:lnTo>
                                        <a:pt x="570316" y="0"/>
                                      </a:lnTo>
                                      <a:lnTo>
                                        <a:pt x="564807" y="0"/>
                                      </a:lnTo>
                                    </a:path>
                                    <a:path w="683260" h="236854">
                                      <a:moveTo>
                                        <a:pt x="118127" y="0"/>
                                      </a:moveTo>
                                      <a:lnTo>
                                        <a:pt x="111534" y="0"/>
                                      </a:lnTo>
                                      <a:lnTo>
                                        <a:pt x="106296" y="0"/>
                                      </a:lnTo>
                                      <a:lnTo>
                                        <a:pt x="99703" y="1082"/>
                                      </a:lnTo>
                                      <a:lnTo>
                                        <a:pt x="61682" y="13988"/>
                                      </a:lnTo>
                                      <a:lnTo>
                                        <a:pt x="43259" y="27164"/>
                                      </a:lnTo>
                                      <a:lnTo>
                                        <a:pt x="34679" y="34565"/>
                                      </a:lnTo>
                                      <a:lnTo>
                                        <a:pt x="9663" y="71567"/>
                                      </a:lnTo>
                                      <a:lnTo>
                                        <a:pt x="4425" y="88895"/>
                                      </a:lnTo>
                                      <a:lnTo>
                                        <a:pt x="2257" y="94400"/>
                                      </a:lnTo>
                                      <a:lnTo>
                                        <a:pt x="2257" y="99634"/>
                                      </a:lnTo>
                                      <a:lnTo>
                                        <a:pt x="1083" y="106223"/>
                                      </a:lnTo>
                                      <a:lnTo>
                                        <a:pt x="0" y="111728"/>
                                      </a:lnTo>
                                      <a:lnTo>
                                        <a:pt x="0" y="118316"/>
                                      </a:lnTo>
                                      <a:lnTo>
                                        <a:pt x="0" y="123550"/>
                                      </a:lnTo>
                                      <a:lnTo>
                                        <a:pt x="1083" y="130139"/>
                                      </a:lnTo>
                                      <a:lnTo>
                                        <a:pt x="2257" y="135554"/>
                                      </a:lnTo>
                                      <a:lnTo>
                                        <a:pt x="2257" y="142142"/>
                                      </a:lnTo>
                                      <a:lnTo>
                                        <a:pt x="4425" y="147376"/>
                                      </a:lnTo>
                                      <a:lnTo>
                                        <a:pt x="5508" y="152881"/>
                                      </a:lnTo>
                                      <a:lnTo>
                                        <a:pt x="9663" y="163892"/>
                                      </a:lnTo>
                                      <a:lnTo>
                                        <a:pt x="34679" y="201796"/>
                                      </a:lnTo>
                                      <a:lnTo>
                                        <a:pt x="71616" y="226705"/>
                                      </a:lnTo>
                                      <a:lnTo>
                                        <a:pt x="88956" y="232210"/>
                                      </a:lnTo>
                                      <a:lnTo>
                                        <a:pt x="94194" y="233293"/>
                                      </a:lnTo>
                                      <a:lnTo>
                                        <a:pt x="99703" y="234376"/>
                                      </a:lnTo>
                                      <a:lnTo>
                                        <a:pt x="106296" y="235279"/>
                                      </a:lnTo>
                                      <a:lnTo>
                                        <a:pt x="111534" y="235279"/>
                                      </a:lnTo>
                                      <a:lnTo>
                                        <a:pt x="118127" y="236362"/>
                                      </a:lnTo>
                                      <a:lnTo>
                                        <a:pt x="123636" y="236362"/>
                                      </a:lnTo>
                                      <a:lnTo>
                                        <a:pt x="130048" y="235279"/>
                                      </a:lnTo>
                                      <a:lnTo>
                                        <a:pt x="135466" y="234376"/>
                                      </a:lnTo>
                                      <a:lnTo>
                                        <a:pt x="140975" y="233293"/>
                                      </a:lnTo>
                                      <a:lnTo>
                                        <a:pt x="147388" y="232210"/>
                                      </a:lnTo>
                                      <a:lnTo>
                                        <a:pt x="152897" y="231127"/>
                                      </a:lnTo>
                                      <a:lnTo>
                                        <a:pt x="163644" y="226705"/>
                                      </a:lnTo>
                                      <a:lnTo>
                                        <a:pt x="173488" y="222373"/>
                                      </a:lnTo>
                                      <a:lnTo>
                                        <a:pt x="183151" y="215785"/>
                                      </a:lnTo>
                                      <a:lnTo>
                                        <a:pt x="192995" y="209468"/>
                                      </a:lnTo>
                                      <a:lnTo>
                                        <a:pt x="200491" y="201796"/>
                                      </a:lnTo>
                                      <a:lnTo>
                                        <a:pt x="208167" y="192952"/>
                                      </a:lnTo>
                                      <a:lnTo>
                                        <a:pt x="215663" y="184469"/>
                                      </a:lnTo>
                                      <a:lnTo>
                                        <a:pt x="221172" y="174631"/>
                                      </a:lnTo>
                                      <a:lnTo>
                                        <a:pt x="226591" y="163892"/>
                                      </a:lnTo>
                                      <a:lnTo>
                                        <a:pt x="229932" y="152881"/>
                                      </a:lnTo>
                                      <a:lnTo>
                                        <a:pt x="231919" y="147376"/>
                                      </a:lnTo>
                                      <a:lnTo>
                                        <a:pt x="233003" y="142142"/>
                                      </a:lnTo>
                                      <a:lnTo>
                                        <a:pt x="234086" y="135554"/>
                                      </a:lnTo>
                                      <a:lnTo>
                                        <a:pt x="234086" y="130139"/>
                                      </a:lnTo>
                                      <a:lnTo>
                                        <a:pt x="235170" y="123550"/>
                                      </a:lnTo>
                                      <a:lnTo>
                                        <a:pt x="235170" y="118316"/>
                                      </a:lnTo>
                                      <a:lnTo>
                                        <a:pt x="235170" y="111728"/>
                                      </a:lnTo>
                                      <a:lnTo>
                                        <a:pt x="234086" y="106223"/>
                                      </a:lnTo>
                                      <a:lnTo>
                                        <a:pt x="234086" y="99634"/>
                                      </a:lnTo>
                                      <a:lnTo>
                                        <a:pt x="233003" y="94400"/>
                                      </a:lnTo>
                                      <a:lnTo>
                                        <a:pt x="231919" y="88895"/>
                                      </a:lnTo>
                                      <a:lnTo>
                                        <a:pt x="215663" y="51893"/>
                                      </a:lnTo>
                                      <a:lnTo>
                                        <a:pt x="183151" y="19493"/>
                                      </a:lnTo>
                                      <a:lnTo>
                                        <a:pt x="152897" y="5234"/>
                                      </a:lnTo>
                                      <a:lnTo>
                                        <a:pt x="147388" y="3248"/>
                                      </a:lnTo>
                                      <a:lnTo>
                                        <a:pt x="140975" y="2165"/>
                                      </a:lnTo>
                                      <a:lnTo>
                                        <a:pt x="135466" y="1082"/>
                                      </a:lnTo>
                                      <a:lnTo>
                                        <a:pt x="130048" y="0"/>
                                      </a:lnTo>
                                      <a:lnTo>
                                        <a:pt x="123636" y="0"/>
                                      </a:lnTo>
                                      <a:lnTo>
                                        <a:pt x="118127" y="0"/>
                                      </a:lnTo>
                                    </a:path>
                                  </a:pathLst>
                                </a:custGeom>
                                <a:ln w="658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5378557" id="Group 1416" o:spid="_x0000_s1026" style="position:absolute;margin-left:73.05pt;margin-top:1.9pt;width:54.3pt;height:19.15pt;z-index:-251343872;mso-wrap-distance-left:0;mso-wrap-distance-right:0" coordsize="6896,2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">
                      <v:shape id="Graphic 1417" o:spid="_x0000_s1027" style="position:absolute;left:32;top:32;width:6833;height:2369;visibility:visible;mso-wrap-style:square;v-text-anchor:top" coordsize="683260,236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" path="m324127,r-6593,l312296,r-6593,1082l267682,13988,249259,27164r-8580,7401l233003,43319r-7496,8574l220088,61730r-5509,9837l211509,82307r-2258,6588l208167,94400r-1084,5234l206000,106223r,5505l206000,118316r,5234l206000,130139r1083,5415l208167,142142r1084,5234l211509,152881r3070,11011l220088,174631r5419,9838l233003,192952r7676,8844l277617,226705r17339,5505l300194,233293r5509,1083l312296,235279r5238,l324127,236362r5509,l335958,235279r5509,-903l348059,233293r5238,-1083l358806,231127r10747,-4422l380571,222373r9664,-6588l421663,184469r16437,-37093l440087,135554r1083,-5415l441170,123550r1084,-5234l442254,111728r-1084,-5505l440087,99634r-1084,-5234l421663,51893,398995,27164r-8760,-7671l380571,13988,369553,8483,358806,5234,353297,3248,348059,2165,341467,1082,335958,r-6322,l324127,em564807,r-6413,l552976,r-6593,1082l541055,2165r-6593,1083l529043,5234,489035,27164,460678,61730r-8490,20577l449931,88895r-1084,5505l447763,99634r-1084,6589l446679,111728r,6588l446679,123550r,6589l447763,135554r1084,6588l449931,147376r2257,5505l455440,163892r5238,10739l466187,184469r7495,8483l481359,201796r36847,24909l541055,233293r5328,1083l552976,235279r5418,l564807,236362r5509,l576637,235279r5509,-903l588739,233293r5238,-1083l599486,231127r40189,-21659l667761,174631r11018,-27255l679863,142142r903,-6588l681850,130139r,-6589l682934,118316r-1084,-6588l681850,106223r-1084,-6589l679863,94400r-1084,-5505l677696,82307,673270,71567r-5509,-9837l662523,51893r-6592,-8574l648254,34565r-8579,-7401l630914,19493r-9663,-5505l610504,8483,599486,5234,593977,3248,588739,2165,582146,1082,576637,r-6321,l564807,em118127,r-6593,l106296,,99703,1082,61682,13988,43259,27164r-8580,7401l9663,71567,4425,88895,2257,94400r,5234l1083,106223,,111728r,6588l,123550r1083,6589l2257,135554r,6588l4425,147376r1083,5505l9663,163892r25016,37904l71616,226705r17340,5505l94194,233293r5509,1083l106296,235279r5238,l118127,236362r5509,l130048,235279r5418,-903l140975,233293r6413,-1083l152897,231127r10747,-4422l173488,222373r9663,-6588l192995,209468r7496,-7672l208167,192952r7496,-8483l221172,174631r5419,-10739l229932,152881r1987,-5505l233003,142142r1083,-6588l234086,130139r1084,-6589l235170,118316r,-6588l234086,106223r,-6589l233003,94400r-1084,-5505l215663,51893,183151,19493,152897,5234,147388,3248,140975,2165,135466,1082,130048,r-6412,l118127,em324127,r-6593,l312296,r-6593,1082l267682,13988,249259,27164r-8580,7401l233003,43319r-7496,8574l220088,61730r-5509,9837l211509,82307r-2258,6588l208167,94400r-1084,5234l206000,106223r,5505l206000,118316r,5234l206000,130139r1083,5415l208167,142142r1084,5234l211509,152881r3070,11011l220088,174631r5419,9838l233003,192952r7676,8844l277617,226705r17339,5505l300194,233293r5509,1083l312296,235279r5238,l324127,236362r5509,l335958,235279r5509,-903l348059,233293r5238,-1083l358806,231127r10747,-4422l380571,222373r9664,-6588l421663,184469r16437,-37093l440087,135554r1083,-5415l441170,123550r1084,-5234l442254,111728r-1084,-5505l440087,99634r-1084,-5234l421663,51893,398995,27164r-8760,-7671l380571,13988,369553,8483,358806,5234,353297,3248,348059,2165,341467,1082,335958,r-6322,l324127,em564807,r-6413,l552976,r-6593,1082l541055,2165r-6593,1083l529043,5234,489035,27164,460678,61730r-8490,20577l449931,88895r-1084,5505l447763,99634r-1084,6589l446679,111728r,6588l446679,123550r,6589l447763,135554r1084,6588l449931,147376r2257,5505l455440,163892r5238,10739l466187,184469r7495,8483l481359,201796r36847,24909l541055,233293r5328,1083l552976,235279r5418,l564807,236362r5509,l576637,235279r5509,-903l588739,233293r5238,-1083l599486,231127r40189,-21659l667761,174631r11018,-27255l679863,142142r903,-6588l681850,130139r,-6589l682934,118316r-1084,-6588l681850,106223r-1084,-6589l679863,94400r-1084,-5505l677696,82307,673270,71567r-5509,-9837l662523,51893r-6592,-8574l648254,34565r-8579,-7401l630914,19493r-9663,-5505l610504,8483,599486,5234,593977,3248,588739,2165,582146,1082,576637,r-6321,l564807,em118127,r-6593,l106296,,99703,1082,61682,13988,43259,27164r-8580,7401l9663,71567,4425,88895,2257,94400r,5234l1083,106223,,111728r,6588l,123550r1083,6589l2257,135554r,6588l4425,147376r1083,5505l9663,163892r25016,37904l71616,226705r17340,5505l94194,233293r5509,1083l106296,235279r5238,l118127,236362r5509,l130048,235279r5418,-903l140975,233293r6413,-1083l152897,231127r10747,-4422l173488,222373r9663,-6588l192995,209468r7496,-7672l208167,192952r7496,-8483l221172,174631r5419,-10739l229932,152881r1987,-5505l233003,142142r1083,-6588l234086,130139r1084,-6589l235170,118316r,-6588l234086,106223r,-6589l233003,94400r-1084,-5505l215663,51893,183151,19493,152897,5234,147388,3248,140975,2165,135466,1082,130048,r-6412,l118127,e" filled="f" strokeweight=".18292mm">
                        <v:path arrowok="t"/>
                      </v:shape>
                    </v:group>
                  </w:pict>
                </mc:Fallback>
              </mc:AlternateContent>
            </w:r>
            <w:r w:rsidRPr="00E73F6F">
              <w:rPr>
                <w:spacing w:val="-2"/>
                <w:sz w:val="24"/>
                <w:szCs w:val="24"/>
                <w:lang w:val="de-DE"/>
              </w:rPr>
              <w:t>Belgien</w:t>
            </w:r>
          </w:p>
        </w:tc>
        <w:tc>
          <w:tcPr>
            <w:tcW w:w="4324" w:type="dxa"/>
          </w:tcPr>
          <w:p w14:paraId="7EAA8600" w14:textId="77777777" w:rsidR="00FF7799" w:rsidRPr="00E73F6F" w:rsidRDefault="00FF7799" w:rsidP="00862DBA">
            <w:pPr>
              <w:rPr>
                <w:i/>
                <w:sz w:val="24"/>
                <w:szCs w:val="24"/>
                <w:lang w:val="de-DE"/>
              </w:rPr>
            </w:pPr>
          </w:p>
          <w:p w14:paraId="6EE3A1E9" w14:textId="77777777" w:rsidR="00FF7799" w:rsidRPr="00E73F6F" w:rsidRDefault="00FF7799" w:rsidP="00862DBA">
            <w:pPr>
              <w:spacing w:before="117"/>
              <w:rPr>
                <w:sz w:val="24"/>
                <w:szCs w:val="24"/>
                <w:lang w:val="de-DE"/>
              </w:rPr>
            </w:pPr>
            <w:r w:rsidRPr="00E73F6F">
              <w:rPr>
                <w:noProof/>
                <w:sz w:val="24"/>
                <w:szCs w:val="24"/>
                <w:lang w:eastAsia="de-DE"/>
              </w:rPr>
              <mc:AlternateContent>
                <mc:Choice Requires="wpg">
                  <w:drawing>
                    <wp:anchor distT="0" distB="0" distL="0" distR="0" simplePos="0" relativeHeight="251977728" behindDoc="1" locked="0" layoutInCell="1" allowOverlap="1" wp14:anchorId="41712205" wp14:editId="2C32F9E0">
                      <wp:simplePos x="0" y="0"/>
                      <wp:positionH relativeFrom="column">
                        <wp:posOffset>896027</wp:posOffset>
                      </wp:positionH>
                      <wp:positionV relativeFrom="paragraph">
                        <wp:posOffset>-9346</wp:posOffset>
                      </wp:positionV>
                      <wp:extent cx="695325" cy="304165"/>
                      <wp:effectExtent l="0" t="0" r="0" b="0"/>
                      <wp:wrapNone/>
                      <wp:docPr id="1669" name="Group 14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325" cy="304165"/>
                                <a:chOff x="0" y="0"/>
                                <a:chExt cx="695325" cy="304165"/>
                              </a:xfrm>
                            </wpg:grpSpPr>
                            <wps:wsp>
                              <wps:cNvPr id="1670" name="Graphic 1419"/>
                              <wps:cNvSpPr/>
                              <wps:spPr>
                                <a:xfrm>
                                  <a:off x="125574" y="3292"/>
                                  <a:ext cx="566420" cy="297815"/>
                                </a:xfrm>
                                <a:custGeom>
                                  <a:avLst/>
                                  <a:gdLst/>
                                  <a:ahLst/>
                                  <a:cxnLst/>
                                  <a:rect l="l" t="t" r="r" b="b"/>
                                  <a:pathLst>
                                    <a:path w="566420" h="297815">
                                      <a:moveTo>
                                        <a:pt x="418502" y="0"/>
                                      </a:moveTo>
                                      <a:lnTo>
                                        <a:pt x="411097" y="0"/>
                                      </a:lnTo>
                                      <a:lnTo>
                                        <a:pt x="403420" y="0"/>
                                      </a:lnTo>
                                      <a:lnTo>
                                        <a:pt x="395924" y="1082"/>
                                      </a:lnTo>
                                      <a:lnTo>
                                        <a:pt x="389332" y="2165"/>
                                      </a:lnTo>
                                      <a:lnTo>
                                        <a:pt x="381655" y="4331"/>
                                      </a:lnTo>
                                      <a:lnTo>
                                        <a:pt x="375243" y="6497"/>
                                      </a:lnTo>
                                      <a:lnTo>
                                        <a:pt x="367567" y="8754"/>
                                      </a:lnTo>
                                      <a:lnTo>
                                        <a:pt x="361245" y="10920"/>
                                      </a:lnTo>
                                      <a:lnTo>
                                        <a:pt x="354652" y="14169"/>
                                      </a:lnTo>
                                      <a:lnTo>
                                        <a:pt x="349143" y="17237"/>
                                      </a:lnTo>
                                      <a:lnTo>
                                        <a:pt x="342731" y="20576"/>
                                      </a:lnTo>
                                      <a:lnTo>
                                        <a:pt x="336138" y="24908"/>
                                      </a:lnTo>
                                      <a:lnTo>
                                        <a:pt x="330720" y="28247"/>
                                      </a:lnTo>
                                      <a:lnTo>
                                        <a:pt x="325391" y="32579"/>
                                      </a:lnTo>
                                      <a:lnTo>
                                        <a:pt x="314464" y="42236"/>
                                      </a:lnTo>
                                      <a:lnTo>
                                        <a:pt x="305884" y="53246"/>
                                      </a:lnTo>
                                      <a:lnTo>
                                        <a:pt x="301459" y="58661"/>
                                      </a:lnTo>
                                      <a:lnTo>
                                        <a:pt x="297124" y="63986"/>
                                      </a:lnTo>
                                      <a:lnTo>
                                        <a:pt x="292969" y="70484"/>
                                      </a:lnTo>
                                      <a:lnTo>
                                        <a:pt x="289628" y="75989"/>
                                      </a:lnTo>
                                      <a:lnTo>
                                        <a:pt x="286377" y="82577"/>
                                      </a:lnTo>
                                      <a:lnTo>
                                        <a:pt x="283035" y="88895"/>
                                      </a:lnTo>
                                      <a:lnTo>
                                        <a:pt x="280868" y="95483"/>
                                      </a:lnTo>
                                      <a:lnTo>
                                        <a:pt x="278610" y="103154"/>
                                      </a:lnTo>
                                      <a:lnTo>
                                        <a:pt x="276442" y="109562"/>
                                      </a:lnTo>
                                      <a:lnTo>
                                        <a:pt x="274456" y="116060"/>
                                      </a:lnTo>
                                      <a:lnTo>
                                        <a:pt x="273372" y="123731"/>
                                      </a:lnTo>
                                      <a:lnTo>
                                        <a:pt x="272288" y="131222"/>
                                      </a:lnTo>
                                      <a:lnTo>
                                        <a:pt x="272288" y="138893"/>
                                      </a:lnTo>
                                      <a:lnTo>
                                        <a:pt x="272288" y="146564"/>
                                      </a:lnTo>
                                      <a:lnTo>
                                        <a:pt x="272288" y="153964"/>
                                      </a:lnTo>
                                      <a:lnTo>
                                        <a:pt x="272288" y="160553"/>
                                      </a:lnTo>
                                      <a:lnTo>
                                        <a:pt x="273372" y="168224"/>
                                      </a:lnTo>
                                      <a:lnTo>
                                        <a:pt x="274456" y="175895"/>
                                      </a:lnTo>
                                      <a:lnTo>
                                        <a:pt x="276442" y="182303"/>
                                      </a:lnTo>
                                      <a:lnTo>
                                        <a:pt x="278610" y="189974"/>
                                      </a:lnTo>
                                      <a:lnTo>
                                        <a:pt x="280868" y="196472"/>
                                      </a:lnTo>
                                      <a:lnTo>
                                        <a:pt x="283035" y="202879"/>
                                      </a:lnTo>
                                      <a:lnTo>
                                        <a:pt x="286377" y="209468"/>
                                      </a:lnTo>
                                      <a:lnTo>
                                        <a:pt x="305884" y="238798"/>
                                      </a:lnTo>
                                      <a:lnTo>
                                        <a:pt x="314464" y="249538"/>
                                      </a:lnTo>
                                      <a:lnTo>
                                        <a:pt x="325391" y="259375"/>
                                      </a:lnTo>
                                      <a:lnTo>
                                        <a:pt x="330720" y="263797"/>
                                      </a:lnTo>
                                      <a:lnTo>
                                        <a:pt x="336138" y="267046"/>
                                      </a:lnTo>
                                      <a:lnTo>
                                        <a:pt x="342731" y="271198"/>
                                      </a:lnTo>
                                      <a:lnTo>
                                        <a:pt x="348059" y="274537"/>
                                      </a:lnTo>
                                      <a:lnTo>
                                        <a:pt x="354652" y="277786"/>
                                      </a:lnTo>
                                      <a:lnTo>
                                        <a:pt x="361245" y="281125"/>
                                      </a:lnTo>
                                      <a:lnTo>
                                        <a:pt x="367567" y="283291"/>
                                      </a:lnTo>
                                      <a:lnTo>
                                        <a:pt x="375243" y="285457"/>
                                      </a:lnTo>
                                      <a:lnTo>
                                        <a:pt x="381655" y="287623"/>
                                      </a:lnTo>
                                      <a:lnTo>
                                        <a:pt x="389332" y="289879"/>
                                      </a:lnTo>
                                      <a:lnTo>
                                        <a:pt x="395924" y="290962"/>
                                      </a:lnTo>
                                      <a:lnTo>
                                        <a:pt x="403420" y="292045"/>
                                      </a:lnTo>
                                      <a:lnTo>
                                        <a:pt x="411097" y="292045"/>
                                      </a:lnTo>
                                      <a:lnTo>
                                        <a:pt x="418502" y="292948"/>
                                      </a:lnTo>
                                      <a:lnTo>
                                        <a:pt x="426179" y="292045"/>
                                      </a:lnTo>
                                      <a:lnTo>
                                        <a:pt x="433674" y="292045"/>
                                      </a:lnTo>
                                      <a:lnTo>
                                        <a:pt x="441351" y="290962"/>
                                      </a:lnTo>
                                      <a:lnTo>
                                        <a:pt x="447944" y="289879"/>
                                      </a:lnTo>
                                      <a:lnTo>
                                        <a:pt x="455440" y="287623"/>
                                      </a:lnTo>
                                      <a:lnTo>
                                        <a:pt x="462032" y="285457"/>
                                      </a:lnTo>
                                      <a:lnTo>
                                        <a:pt x="469438" y="283291"/>
                                      </a:lnTo>
                                      <a:lnTo>
                                        <a:pt x="500866" y="267046"/>
                                      </a:lnTo>
                                      <a:lnTo>
                                        <a:pt x="506375" y="263797"/>
                                      </a:lnTo>
                                      <a:lnTo>
                                        <a:pt x="536629" y="233293"/>
                                      </a:lnTo>
                                      <a:lnTo>
                                        <a:pt x="539971" y="227878"/>
                                      </a:lnTo>
                                      <a:lnTo>
                                        <a:pt x="544306" y="222554"/>
                                      </a:lnTo>
                                      <a:lnTo>
                                        <a:pt x="560562" y="182303"/>
                                      </a:lnTo>
                                      <a:lnTo>
                                        <a:pt x="562820" y="175895"/>
                                      </a:lnTo>
                                      <a:lnTo>
                                        <a:pt x="563903" y="168224"/>
                                      </a:lnTo>
                                      <a:lnTo>
                                        <a:pt x="564987" y="160553"/>
                                      </a:lnTo>
                                      <a:lnTo>
                                        <a:pt x="564987" y="153964"/>
                                      </a:lnTo>
                                      <a:lnTo>
                                        <a:pt x="566071" y="146564"/>
                                      </a:lnTo>
                                      <a:lnTo>
                                        <a:pt x="564987" y="138893"/>
                                      </a:lnTo>
                                      <a:lnTo>
                                        <a:pt x="564987" y="131222"/>
                                      </a:lnTo>
                                      <a:lnTo>
                                        <a:pt x="563903" y="123731"/>
                                      </a:lnTo>
                                      <a:lnTo>
                                        <a:pt x="562820" y="116060"/>
                                      </a:lnTo>
                                      <a:lnTo>
                                        <a:pt x="560562" y="109562"/>
                                      </a:lnTo>
                                      <a:lnTo>
                                        <a:pt x="558394" y="103154"/>
                                      </a:lnTo>
                                      <a:lnTo>
                                        <a:pt x="539971" y="63986"/>
                                      </a:lnTo>
                                      <a:lnTo>
                                        <a:pt x="536629" y="58661"/>
                                      </a:lnTo>
                                      <a:lnTo>
                                        <a:pt x="506375" y="28247"/>
                                      </a:lnTo>
                                      <a:lnTo>
                                        <a:pt x="500866" y="24908"/>
                                      </a:lnTo>
                                      <a:lnTo>
                                        <a:pt x="494544" y="20576"/>
                                      </a:lnTo>
                                      <a:lnTo>
                                        <a:pt x="489035" y="17237"/>
                                      </a:lnTo>
                                      <a:lnTo>
                                        <a:pt x="482623" y="14169"/>
                                      </a:lnTo>
                                      <a:lnTo>
                                        <a:pt x="476030" y="10920"/>
                                      </a:lnTo>
                                      <a:lnTo>
                                        <a:pt x="469438" y="8754"/>
                                      </a:lnTo>
                                      <a:lnTo>
                                        <a:pt x="462032" y="6497"/>
                                      </a:lnTo>
                                      <a:lnTo>
                                        <a:pt x="455440" y="4331"/>
                                      </a:lnTo>
                                      <a:lnTo>
                                        <a:pt x="447944" y="2165"/>
                                      </a:lnTo>
                                      <a:lnTo>
                                        <a:pt x="441351" y="1082"/>
                                      </a:lnTo>
                                      <a:lnTo>
                                        <a:pt x="433674" y="0"/>
                                      </a:lnTo>
                                      <a:lnTo>
                                        <a:pt x="426179" y="0"/>
                                      </a:lnTo>
                                      <a:lnTo>
                                        <a:pt x="418502" y="0"/>
                                      </a:lnTo>
                                    </a:path>
                                    <a:path w="566420" h="297815">
                                      <a:moveTo>
                                        <a:pt x="137724" y="19493"/>
                                      </a:moveTo>
                                      <a:lnTo>
                                        <a:pt x="131312" y="20576"/>
                                      </a:lnTo>
                                      <a:lnTo>
                                        <a:pt x="123636" y="20576"/>
                                      </a:lnTo>
                                      <a:lnTo>
                                        <a:pt x="117224" y="21659"/>
                                      </a:lnTo>
                                      <a:lnTo>
                                        <a:pt x="110631" y="22742"/>
                                      </a:lnTo>
                                      <a:lnTo>
                                        <a:pt x="102954" y="23825"/>
                                      </a:lnTo>
                                      <a:lnTo>
                                        <a:pt x="96633" y="26081"/>
                                      </a:lnTo>
                                      <a:lnTo>
                                        <a:pt x="90040" y="28247"/>
                                      </a:lnTo>
                                      <a:lnTo>
                                        <a:pt x="84802" y="30413"/>
                                      </a:lnTo>
                                      <a:lnTo>
                                        <a:pt x="78209" y="33753"/>
                                      </a:lnTo>
                                      <a:lnTo>
                                        <a:pt x="71616" y="37002"/>
                                      </a:lnTo>
                                      <a:lnTo>
                                        <a:pt x="40188" y="60918"/>
                                      </a:lnTo>
                                      <a:lnTo>
                                        <a:pt x="16436" y="92234"/>
                                      </a:lnTo>
                                      <a:lnTo>
                                        <a:pt x="11017" y="104237"/>
                                      </a:lnTo>
                                      <a:lnTo>
                                        <a:pt x="7676" y="110645"/>
                                      </a:lnTo>
                                      <a:lnTo>
                                        <a:pt x="5508" y="117233"/>
                                      </a:lnTo>
                                      <a:lnTo>
                                        <a:pt x="4425" y="123731"/>
                                      </a:lnTo>
                                      <a:lnTo>
                                        <a:pt x="2167" y="130319"/>
                                      </a:lnTo>
                                      <a:lnTo>
                                        <a:pt x="1083" y="137810"/>
                                      </a:lnTo>
                                      <a:lnTo>
                                        <a:pt x="0" y="144398"/>
                                      </a:lnTo>
                                      <a:lnTo>
                                        <a:pt x="0" y="150896"/>
                                      </a:lnTo>
                                      <a:lnTo>
                                        <a:pt x="0" y="158387"/>
                                      </a:lnTo>
                                      <a:lnTo>
                                        <a:pt x="0" y="166058"/>
                                      </a:lnTo>
                                      <a:lnTo>
                                        <a:pt x="0" y="172646"/>
                                      </a:lnTo>
                                      <a:lnTo>
                                        <a:pt x="1083" y="178963"/>
                                      </a:lnTo>
                                      <a:lnTo>
                                        <a:pt x="2167" y="186635"/>
                                      </a:lnTo>
                                      <a:lnTo>
                                        <a:pt x="4425" y="193223"/>
                                      </a:lnTo>
                                      <a:lnTo>
                                        <a:pt x="5508" y="199540"/>
                                      </a:lnTo>
                                      <a:lnTo>
                                        <a:pt x="7676" y="206128"/>
                                      </a:lnTo>
                                      <a:lnTo>
                                        <a:pt x="11017" y="212716"/>
                                      </a:lnTo>
                                      <a:lnTo>
                                        <a:pt x="13185" y="218222"/>
                                      </a:lnTo>
                                      <a:lnTo>
                                        <a:pt x="40188" y="256126"/>
                                      </a:lnTo>
                                      <a:lnTo>
                                        <a:pt x="66288" y="276703"/>
                                      </a:lnTo>
                                      <a:lnTo>
                                        <a:pt x="71616" y="279952"/>
                                      </a:lnTo>
                                      <a:lnTo>
                                        <a:pt x="110631" y="294031"/>
                                      </a:lnTo>
                                      <a:lnTo>
                                        <a:pt x="117224" y="295114"/>
                                      </a:lnTo>
                                      <a:lnTo>
                                        <a:pt x="123636" y="296197"/>
                                      </a:lnTo>
                                      <a:lnTo>
                                        <a:pt x="131312" y="296197"/>
                                      </a:lnTo>
                                      <a:lnTo>
                                        <a:pt x="137724" y="297280"/>
                                      </a:lnTo>
                                      <a:lnTo>
                                        <a:pt x="145401" y="296197"/>
                                      </a:lnTo>
                                      <a:lnTo>
                                        <a:pt x="151993" y="296197"/>
                                      </a:lnTo>
                                      <a:lnTo>
                                        <a:pt x="159399" y="295114"/>
                                      </a:lnTo>
                                      <a:lnTo>
                                        <a:pt x="198504" y="283291"/>
                                      </a:lnTo>
                                      <a:lnTo>
                                        <a:pt x="209251" y="276703"/>
                                      </a:lnTo>
                                      <a:lnTo>
                                        <a:pt x="215844" y="273454"/>
                                      </a:lnTo>
                                      <a:lnTo>
                                        <a:pt x="245014" y="246289"/>
                                      </a:lnTo>
                                      <a:lnTo>
                                        <a:pt x="262444" y="218222"/>
                                      </a:lnTo>
                                      <a:lnTo>
                                        <a:pt x="265695" y="212716"/>
                                      </a:lnTo>
                                      <a:lnTo>
                                        <a:pt x="267863" y="206128"/>
                                      </a:lnTo>
                                      <a:lnTo>
                                        <a:pt x="270121" y="199540"/>
                                      </a:lnTo>
                                      <a:lnTo>
                                        <a:pt x="272288" y="193223"/>
                                      </a:lnTo>
                                      <a:lnTo>
                                        <a:pt x="273372" y="186635"/>
                                      </a:lnTo>
                                      <a:lnTo>
                                        <a:pt x="274456" y="178963"/>
                                      </a:lnTo>
                                      <a:lnTo>
                                        <a:pt x="275539" y="172646"/>
                                      </a:lnTo>
                                      <a:lnTo>
                                        <a:pt x="276442" y="166058"/>
                                      </a:lnTo>
                                      <a:lnTo>
                                        <a:pt x="276442" y="158387"/>
                                      </a:lnTo>
                                      <a:lnTo>
                                        <a:pt x="276442" y="150896"/>
                                      </a:lnTo>
                                      <a:lnTo>
                                        <a:pt x="275539" y="144398"/>
                                      </a:lnTo>
                                      <a:lnTo>
                                        <a:pt x="274456" y="137810"/>
                                      </a:lnTo>
                                      <a:lnTo>
                                        <a:pt x="273372" y="130319"/>
                                      </a:lnTo>
                                      <a:lnTo>
                                        <a:pt x="272288" y="123731"/>
                                      </a:lnTo>
                                      <a:lnTo>
                                        <a:pt x="270121" y="117233"/>
                                      </a:lnTo>
                                      <a:lnTo>
                                        <a:pt x="267863" y="110645"/>
                                      </a:lnTo>
                                      <a:lnTo>
                                        <a:pt x="265695" y="104237"/>
                                      </a:lnTo>
                                      <a:lnTo>
                                        <a:pt x="262444" y="98822"/>
                                      </a:lnTo>
                                      <a:lnTo>
                                        <a:pt x="259103" y="92234"/>
                                      </a:lnTo>
                                      <a:lnTo>
                                        <a:pt x="256032" y="86729"/>
                                      </a:lnTo>
                                      <a:lnTo>
                                        <a:pt x="252781" y="81494"/>
                                      </a:lnTo>
                                      <a:lnTo>
                                        <a:pt x="245014" y="70484"/>
                                      </a:lnTo>
                                      <a:lnTo>
                                        <a:pt x="235351" y="60918"/>
                                      </a:lnTo>
                                      <a:lnTo>
                                        <a:pt x="225507" y="52073"/>
                                      </a:lnTo>
                                      <a:lnTo>
                                        <a:pt x="215844" y="43319"/>
                                      </a:lnTo>
                                      <a:lnTo>
                                        <a:pt x="209251" y="40070"/>
                                      </a:lnTo>
                                      <a:lnTo>
                                        <a:pt x="204013" y="37002"/>
                                      </a:lnTo>
                                      <a:lnTo>
                                        <a:pt x="198504" y="33753"/>
                                      </a:lnTo>
                                      <a:lnTo>
                                        <a:pt x="191911" y="30413"/>
                                      </a:lnTo>
                                      <a:lnTo>
                                        <a:pt x="185589" y="28247"/>
                                      </a:lnTo>
                                      <a:lnTo>
                                        <a:pt x="178997" y="26081"/>
                                      </a:lnTo>
                                      <a:lnTo>
                                        <a:pt x="172404" y="23825"/>
                                      </a:lnTo>
                                      <a:lnTo>
                                        <a:pt x="165992" y="22742"/>
                                      </a:lnTo>
                                      <a:lnTo>
                                        <a:pt x="159399" y="21659"/>
                                      </a:lnTo>
                                      <a:lnTo>
                                        <a:pt x="151993" y="20576"/>
                                      </a:lnTo>
                                      <a:lnTo>
                                        <a:pt x="145401" y="20576"/>
                                      </a:lnTo>
                                      <a:lnTo>
                                        <a:pt x="137724" y="19493"/>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671" name="Image 1420"/>
                                <pic:cNvPicPr/>
                              </pic:nvPicPr>
                              <pic:blipFill>
                                <a:blip r:embed="rId127" cstate="print"/>
                                <a:stretch>
                                  <a:fillRect/>
                                </a:stretch>
                              </pic:blipFill>
                              <pic:spPr>
                                <a:xfrm>
                                  <a:off x="0" y="96566"/>
                                  <a:ext cx="131034" cy="130406"/>
                                </a:xfrm>
                                <a:prstGeom prst="rect">
                                  <a:avLst/>
                                </a:prstGeom>
                              </pic:spPr>
                            </pic:pic>
                            <wps:wsp>
                              <wps:cNvPr id="1672" name="Graphic 1421"/>
                              <wps:cNvSpPr/>
                              <wps:spPr>
                                <a:xfrm>
                                  <a:off x="125574" y="3292"/>
                                  <a:ext cx="566420" cy="297815"/>
                                </a:xfrm>
                                <a:custGeom>
                                  <a:avLst/>
                                  <a:gdLst/>
                                  <a:ahLst/>
                                  <a:cxnLst/>
                                  <a:rect l="l" t="t" r="r" b="b"/>
                                  <a:pathLst>
                                    <a:path w="566420" h="297815">
                                      <a:moveTo>
                                        <a:pt x="418502" y="0"/>
                                      </a:moveTo>
                                      <a:lnTo>
                                        <a:pt x="411097" y="0"/>
                                      </a:lnTo>
                                      <a:lnTo>
                                        <a:pt x="403420" y="0"/>
                                      </a:lnTo>
                                      <a:lnTo>
                                        <a:pt x="395924" y="1082"/>
                                      </a:lnTo>
                                      <a:lnTo>
                                        <a:pt x="389332" y="2165"/>
                                      </a:lnTo>
                                      <a:lnTo>
                                        <a:pt x="381655" y="4331"/>
                                      </a:lnTo>
                                      <a:lnTo>
                                        <a:pt x="375243" y="6497"/>
                                      </a:lnTo>
                                      <a:lnTo>
                                        <a:pt x="367567" y="8754"/>
                                      </a:lnTo>
                                      <a:lnTo>
                                        <a:pt x="361245" y="10920"/>
                                      </a:lnTo>
                                      <a:lnTo>
                                        <a:pt x="354652" y="14169"/>
                                      </a:lnTo>
                                      <a:lnTo>
                                        <a:pt x="349143" y="17237"/>
                                      </a:lnTo>
                                      <a:lnTo>
                                        <a:pt x="342731" y="20576"/>
                                      </a:lnTo>
                                      <a:lnTo>
                                        <a:pt x="336138" y="24908"/>
                                      </a:lnTo>
                                      <a:lnTo>
                                        <a:pt x="330720" y="28247"/>
                                      </a:lnTo>
                                      <a:lnTo>
                                        <a:pt x="325391" y="32579"/>
                                      </a:lnTo>
                                      <a:lnTo>
                                        <a:pt x="314464" y="42236"/>
                                      </a:lnTo>
                                      <a:lnTo>
                                        <a:pt x="305884" y="53246"/>
                                      </a:lnTo>
                                      <a:lnTo>
                                        <a:pt x="301459" y="58661"/>
                                      </a:lnTo>
                                      <a:lnTo>
                                        <a:pt x="297124" y="63986"/>
                                      </a:lnTo>
                                      <a:lnTo>
                                        <a:pt x="292969" y="70484"/>
                                      </a:lnTo>
                                      <a:lnTo>
                                        <a:pt x="289628" y="75989"/>
                                      </a:lnTo>
                                      <a:lnTo>
                                        <a:pt x="286377" y="82577"/>
                                      </a:lnTo>
                                      <a:lnTo>
                                        <a:pt x="283035" y="88895"/>
                                      </a:lnTo>
                                      <a:lnTo>
                                        <a:pt x="280868" y="95483"/>
                                      </a:lnTo>
                                      <a:lnTo>
                                        <a:pt x="278610" y="103154"/>
                                      </a:lnTo>
                                      <a:lnTo>
                                        <a:pt x="276442" y="109562"/>
                                      </a:lnTo>
                                      <a:lnTo>
                                        <a:pt x="274456" y="116060"/>
                                      </a:lnTo>
                                      <a:lnTo>
                                        <a:pt x="273372" y="123731"/>
                                      </a:lnTo>
                                      <a:lnTo>
                                        <a:pt x="272288" y="131222"/>
                                      </a:lnTo>
                                      <a:lnTo>
                                        <a:pt x="272288" y="138893"/>
                                      </a:lnTo>
                                      <a:lnTo>
                                        <a:pt x="272288" y="146564"/>
                                      </a:lnTo>
                                      <a:lnTo>
                                        <a:pt x="272288" y="153964"/>
                                      </a:lnTo>
                                      <a:lnTo>
                                        <a:pt x="272288" y="160553"/>
                                      </a:lnTo>
                                      <a:lnTo>
                                        <a:pt x="273372" y="168224"/>
                                      </a:lnTo>
                                      <a:lnTo>
                                        <a:pt x="274456" y="175895"/>
                                      </a:lnTo>
                                      <a:lnTo>
                                        <a:pt x="276442" y="182303"/>
                                      </a:lnTo>
                                      <a:lnTo>
                                        <a:pt x="278610" y="189974"/>
                                      </a:lnTo>
                                      <a:lnTo>
                                        <a:pt x="280868" y="196472"/>
                                      </a:lnTo>
                                      <a:lnTo>
                                        <a:pt x="283035" y="202879"/>
                                      </a:lnTo>
                                      <a:lnTo>
                                        <a:pt x="286377" y="209468"/>
                                      </a:lnTo>
                                      <a:lnTo>
                                        <a:pt x="305884" y="238798"/>
                                      </a:lnTo>
                                      <a:lnTo>
                                        <a:pt x="314464" y="249538"/>
                                      </a:lnTo>
                                      <a:lnTo>
                                        <a:pt x="325391" y="259375"/>
                                      </a:lnTo>
                                      <a:lnTo>
                                        <a:pt x="330720" y="263797"/>
                                      </a:lnTo>
                                      <a:lnTo>
                                        <a:pt x="336138" y="267046"/>
                                      </a:lnTo>
                                      <a:lnTo>
                                        <a:pt x="342731" y="271198"/>
                                      </a:lnTo>
                                      <a:lnTo>
                                        <a:pt x="348059" y="274537"/>
                                      </a:lnTo>
                                      <a:lnTo>
                                        <a:pt x="354652" y="277786"/>
                                      </a:lnTo>
                                      <a:lnTo>
                                        <a:pt x="361245" y="281125"/>
                                      </a:lnTo>
                                      <a:lnTo>
                                        <a:pt x="367567" y="283291"/>
                                      </a:lnTo>
                                      <a:lnTo>
                                        <a:pt x="375243" y="285457"/>
                                      </a:lnTo>
                                      <a:lnTo>
                                        <a:pt x="381655" y="287623"/>
                                      </a:lnTo>
                                      <a:lnTo>
                                        <a:pt x="389332" y="289879"/>
                                      </a:lnTo>
                                      <a:lnTo>
                                        <a:pt x="395924" y="290962"/>
                                      </a:lnTo>
                                      <a:lnTo>
                                        <a:pt x="403420" y="292045"/>
                                      </a:lnTo>
                                      <a:lnTo>
                                        <a:pt x="411097" y="292045"/>
                                      </a:lnTo>
                                      <a:lnTo>
                                        <a:pt x="418502" y="292948"/>
                                      </a:lnTo>
                                      <a:lnTo>
                                        <a:pt x="426179" y="292045"/>
                                      </a:lnTo>
                                      <a:lnTo>
                                        <a:pt x="433674" y="292045"/>
                                      </a:lnTo>
                                      <a:lnTo>
                                        <a:pt x="441351" y="290962"/>
                                      </a:lnTo>
                                      <a:lnTo>
                                        <a:pt x="447944" y="289879"/>
                                      </a:lnTo>
                                      <a:lnTo>
                                        <a:pt x="455440" y="287623"/>
                                      </a:lnTo>
                                      <a:lnTo>
                                        <a:pt x="462032" y="285457"/>
                                      </a:lnTo>
                                      <a:lnTo>
                                        <a:pt x="469438" y="283291"/>
                                      </a:lnTo>
                                      <a:lnTo>
                                        <a:pt x="500866" y="267046"/>
                                      </a:lnTo>
                                      <a:lnTo>
                                        <a:pt x="506375" y="263797"/>
                                      </a:lnTo>
                                      <a:lnTo>
                                        <a:pt x="536629" y="233293"/>
                                      </a:lnTo>
                                      <a:lnTo>
                                        <a:pt x="539971" y="227878"/>
                                      </a:lnTo>
                                      <a:lnTo>
                                        <a:pt x="544306" y="222554"/>
                                      </a:lnTo>
                                      <a:lnTo>
                                        <a:pt x="560562" y="182303"/>
                                      </a:lnTo>
                                      <a:lnTo>
                                        <a:pt x="562820" y="175895"/>
                                      </a:lnTo>
                                      <a:lnTo>
                                        <a:pt x="563903" y="168224"/>
                                      </a:lnTo>
                                      <a:lnTo>
                                        <a:pt x="564987" y="160553"/>
                                      </a:lnTo>
                                      <a:lnTo>
                                        <a:pt x="564987" y="153964"/>
                                      </a:lnTo>
                                      <a:lnTo>
                                        <a:pt x="566071" y="146564"/>
                                      </a:lnTo>
                                      <a:lnTo>
                                        <a:pt x="564987" y="138893"/>
                                      </a:lnTo>
                                      <a:lnTo>
                                        <a:pt x="564987" y="131222"/>
                                      </a:lnTo>
                                      <a:lnTo>
                                        <a:pt x="563903" y="123731"/>
                                      </a:lnTo>
                                      <a:lnTo>
                                        <a:pt x="562820" y="116060"/>
                                      </a:lnTo>
                                      <a:lnTo>
                                        <a:pt x="560562" y="109562"/>
                                      </a:lnTo>
                                      <a:lnTo>
                                        <a:pt x="558394" y="103154"/>
                                      </a:lnTo>
                                      <a:lnTo>
                                        <a:pt x="539971" y="63986"/>
                                      </a:lnTo>
                                      <a:lnTo>
                                        <a:pt x="536629" y="58661"/>
                                      </a:lnTo>
                                      <a:lnTo>
                                        <a:pt x="506375" y="28247"/>
                                      </a:lnTo>
                                      <a:lnTo>
                                        <a:pt x="500866" y="24908"/>
                                      </a:lnTo>
                                      <a:lnTo>
                                        <a:pt x="494544" y="20576"/>
                                      </a:lnTo>
                                      <a:lnTo>
                                        <a:pt x="489035" y="17237"/>
                                      </a:lnTo>
                                      <a:lnTo>
                                        <a:pt x="482623" y="14169"/>
                                      </a:lnTo>
                                      <a:lnTo>
                                        <a:pt x="476030" y="10920"/>
                                      </a:lnTo>
                                      <a:lnTo>
                                        <a:pt x="469438" y="8754"/>
                                      </a:lnTo>
                                      <a:lnTo>
                                        <a:pt x="462032" y="6497"/>
                                      </a:lnTo>
                                      <a:lnTo>
                                        <a:pt x="455440" y="4331"/>
                                      </a:lnTo>
                                      <a:lnTo>
                                        <a:pt x="447944" y="2165"/>
                                      </a:lnTo>
                                      <a:lnTo>
                                        <a:pt x="441351" y="1082"/>
                                      </a:lnTo>
                                      <a:lnTo>
                                        <a:pt x="433674" y="0"/>
                                      </a:lnTo>
                                      <a:lnTo>
                                        <a:pt x="426179" y="0"/>
                                      </a:lnTo>
                                      <a:lnTo>
                                        <a:pt x="418502" y="0"/>
                                      </a:lnTo>
                                    </a:path>
                                    <a:path w="566420" h="297815">
                                      <a:moveTo>
                                        <a:pt x="137724" y="19493"/>
                                      </a:moveTo>
                                      <a:lnTo>
                                        <a:pt x="131312" y="20576"/>
                                      </a:lnTo>
                                      <a:lnTo>
                                        <a:pt x="123636" y="20576"/>
                                      </a:lnTo>
                                      <a:lnTo>
                                        <a:pt x="117224" y="21659"/>
                                      </a:lnTo>
                                      <a:lnTo>
                                        <a:pt x="110631" y="22742"/>
                                      </a:lnTo>
                                      <a:lnTo>
                                        <a:pt x="102954" y="23825"/>
                                      </a:lnTo>
                                      <a:lnTo>
                                        <a:pt x="96633" y="26081"/>
                                      </a:lnTo>
                                      <a:lnTo>
                                        <a:pt x="90040" y="28247"/>
                                      </a:lnTo>
                                      <a:lnTo>
                                        <a:pt x="84802" y="30413"/>
                                      </a:lnTo>
                                      <a:lnTo>
                                        <a:pt x="78209" y="33753"/>
                                      </a:lnTo>
                                      <a:lnTo>
                                        <a:pt x="71616" y="37002"/>
                                      </a:lnTo>
                                      <a:lnTo>
                                        <a:pt x="40188" y="60918"/>
                                      </a:lnTo>
                                      <a:lnTo>
                                        <a:pt x="16436" y="92234"/>
                                      </a:lnTo>
                                      <a:lnTo>
                                        <a:pt x="11017" y="104237"/>
                                      </a:lnTo>
                                      <a:lnTo>
                                        <a:pt x="7676" y="110645"/>
                                      </a:lnTo>
                                      <a:lnTo>
                                        <a:pt x="5508" y="117233"/>
                                      </a:lnTo>
                                      <a:lnTo>
                                        <a:pt x="4425" y="123731"/>
                                      </a:lnTo>
                                      <a:lnTo>
                                        <a:pt x="2167" y="130319"/>
                                      </a:lnTo>
                                      <a:lnTo>
                                        <a:pt x="1083" y="137810"/>
                                      </a:lnTo>
                                      <a:lnTo>
                                        <a:pt x="0" y="144398"/>
                                      </a:lnTo>
                                      <a:lnTo>
                                        <a:pt x="0" y="150896"/>
                                      </a:lnTo>
                                      <a:lnTo>
                                        <a:pt x="0" y="158387"/>
                                      </a:lnTo>
                                      <a:lnTo>
                                        <a:pt x="0" y="166058"/>
                                      </a:lnTo>
                                      <a:lnTo>
                                        <a:pt x="0" y="172646"/>
                                      </a:lnTo>
                                      <a:lnTo>
                                        <a:pt x="1083" y="178963"/>
                                      </a:lnTo>
                                      <a:lnTo>
                                        <a:pt x="2167" y="186635"/>
                                      </a:lnTo>
                                      <a:lnTo>
                                        <a:pt x="4425" y="193223"/>
                                      </a:lnTo>
                                      <a:lnTo>
                                        <a:pt x="5508" y="199540"/>
                                      </a:lnTo>
                                      <a:lnTo>
                                        <a:pt x="7676" y="206128"/>
                                      </a:lnTo>
                                      <a:lnTo>
                                        <a:pt x="11017" y="212716"/>
                                      </a:lnTo>
                                      <a:lnTo>
                                        <a:pt x="13185" y="218222"/>
                                      </a:lnTo>
                                      <a:lnTo>
                                        <a:pt x="40188" y="256126"/>
                                      </a:lnTo>
                                      <a:lnTo>
                                        <a:pt x="66288" y="276703"/>
                                      </a:lnTo>
                                      <a:lnTo>
                                        <a:pt x="71616" y="279952"/>
                                      </a:lnTo>
                                      <a:lnTo>
                                        <a:pt x="110631" y="294031"/>
                                      </a:lnTo>
                                      <a:lnTo>
                                        <a:pt x="117224" y="295114"/>
                                      </a:lnTo>
                                      <a:lnTo>
                                        <a:pt x="123636" y="296197"/>
                                      </a:lnTo>
                                      <a:lnTo>
                                        <a:pt x="131312" y="296197"/>
                                      </a:lnTo>
                                      <a:lnTo>
                                        <a:pt x="137724" y="297280"/>
                                      </a:lnTo>
                                      <a:lnTo>
                                        <a:pt x="145401" y="296197"/>
                                      </a:lnTo>
                                      <a:lnTo>
                                        <a:pt x="151993" y="296197"/>
                                      </a:lnTo>
                                      <a:lnTo>
                                        <a:pt x="159399" y="295114"/>
                                      </a:lnTo>
                                      <a:lnTo>
                                        <a:pt x="198504" y="283291"/>
                                      </a:lnTo>
                                      <a:lnTo>
                                        <a:pt x="209251" y="276703"/>
                                      </a:lnTo>
                                      <a:lnTo>
                                        <a:pt x="215844" y="273454"/>
                                      </a:lnTo>
                                      <a:lnTo>
                                        <a:pt x="245014" y="246289"/>
                                      </a:lnTo>
                                      <a:lnTo>
                                        <a:pt x="262444" y="218222"/>
                                      </a:lnTo>
                                      <a:lnTo>
                                        <a:pt x="265695" y="212716"/>
                                      </a:lnTo>
                                      <a:lnTo>
                                        <a:pt x="267863" y="206128"/>
                                      </a:lnTo>
                                      <a:lnTo>
                                        <a:pt x="270121" y="199540"/>
                                      </a:lnTo>
                                      <a:lnTo>
                                        <a:pt x="272288" y="193223"/>
                                      </a:lnTo>
                                      <a:lnTo>
                                        <a:pt x="273372" y="186635"/>
                                      </a:lnTo>
                                      <a:lnTo>
                                        <a:pt x="274456" y="178963"/>
                                      </a:lnTo>
                                      <a:lnTo>
                                        <a:pt x="275539" y="172646"/>
                                      </a:lnTo>
                                      <a:lnTo>
                                        <a:pt x="276442" y="166058"/>
                                      </a:lnTo>
                                      <a:lnTo>
                                        <a:pt x="276442" y="158387"/>
                                      </a:lnTo>
                                      <a:lnTo>
                                        <a:pt x="276442" y="150896"/>
                                      </a:lnTo>
                                      <a:lnTo>
                                        <a:pt x="275539" y="144398"/>
                                      </a:lnTo>
                                      <a:lnTo>
                                        <a:pt x="274456" y="137810"/>
                                      </a:lnTo>
                                      <a:lnTo>
                                        <a:pt x="273372" y="130319"/>
                                      </a:lnTo>
                                      <a:lnTo>
                                        <a:pt x="272288" y="123731"/>
                                      </a:lnTo>
                                      <a:lnTo>
                                        <a:pt x="270121" y="117233"/>
                                      </a:lnTo>
                                      <a:lnTo>
                                        <a:pt x="267863" y="110645"/>
                                      </a:lnTo>
                                      <a:lnTo>
                                        <a:pt x="265695" y="104237"/>
                                      </a:lnTo>
                                      <a:lnTo>
                                        <a:pt x="262444" y="98822"/>
                                      </a:lnTo>
                                      <a:lnTo>
                                        <a:pt x="259103" y="92234"/>
                                      </a:lnTo>
                                      <a:lnTo>
                                        <a:pt x="256032" y="86729"/>
                                      </a:lnTo>
                                      <a:lnTo>
                                        <a:pt x="252781" y="81494"/>
                                      </a:lnTo>
                                      <a:lnTo>
                                        <a:pt x="245014" y="70484"/>
                                      </a:lnTo>
                                      <a:lnTo>
                                        <a:pt x="235351" y="60918"/>
                                      </a:lnTo>
                                      <a:lnTo>
                                        <a:pt x="225507" y="52073"/>
                                      </a:lnTo>
                                      <a:lnTo>
                                        <a:pt x="215844" y="43319"/>
                                      </a:lnTo>
                                      <a:lnTo>
                                        <a:pt x="209251" y="40070"/>
                                      </a:lnTo>
                                      <a:lnTo>
                                        <a:pt x="204013" y="37002"/>
                                      </a:lnTo>
                                      <a:lnTo>
                                        <a:pt x="198504" y="33753"/>
                                      </a:lnTo>
                                      <a:lnTo>
                                        <a:pt x="191911" y="30413"/>
                                      </a:lnTo>
                                      <a:lnTo>
                                        <a:pt x="185589" y="28247"/>
                                      </a:lnTo>
                                      <a:lnTo>
                                        <a:pt x="178997" y="26081"/>
                                      </a:lnTo>
                                      <a:lnTo>
                                        <a:pt x="172404" y="23825"/>
                                      </a:lnTo>
                                      <a:lnTo>
                                        <a:pt x="165992" y="22742"/>
                                      </a:lnTo>
                                      <a:lnTo>
                                        <a:pt x="159399" y="21659"/>
                                      </a:lnTo>
                                      <a:lnTo>
                                        <a:pt x="151993" y="20576"/>
                                      </a:lnTo>
                                      <a:lnTo>
                                        <a:pt x="145401" y="20576"/>
                                      </a:lnTo>
                                      <a:lnTo>
                                        <a:pt x="137724" y="19493"/>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673" name="Image 1422"/>
                                <pic:cNvPicPr/>
                              </pic:nvPicPr>
                              <pic:blipFill>
                                <a:blip r:embed="rId127" cstate="print"/>
                                <a:stretch>
                                  <a:fillRect/>
                                </a:stretch>
                              </pic:blipFill>
                              <pic:spPr>
                                <a:xfrm>
                                  <a:off x="0" y="96566"/>
                                  <a:ext cx="131034" cy="130406"/>
                                </a:xfrm>
                                <a:prstGeom prst="rect">
                                  <a:avLst/>
                                </a:prstGeom>
                              </pic:spPr>
                            </pic:pic>
                          </wpg:wgp>
                        </a:graphicData>
                      </a:graphic>
                    </wp:anchor>
                  </w:drawing>
                </mc:Choice>
                <mc:Fallback>
                  <w:pict>
                    <v:group w14:anchorId="195484F5" id="Group 1418" o:spid="_x0000_s1026" style="position:absolute;margin-left:70.55pt;margin-top:-.75pt;width:54.75pt;height:23.95pt;z-index:-251338752;mso-wrap-distance-left:0;mso-wrap-distance-right:0" coordsize="6953,30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">
                      <v:shape id="Graphic 1419" o:spid="_x0000_s1027" style="position:absolute;left:1255;top:32;width:5664;height:2979;visibility:visible;mso-wrap-style:square;v-text-anchor:top" coordsize="566420,297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" path="m418502,r-7405,l403420,r-7496,1082l389332,2165r-7677,2166l375243,6497r-7676,2257l361245,10920r-6593,3249l349143,17237r-6412,3339l336138,24908r-5418,3339l325391,32579r-10927,9657l305884,53246r-4425,5415l297124,63986r-4155,6498l289628,75989r-3251,6588l283035,88895r-2167,6588l278610,103154r-2168,6408l274456,116060r-1084,7671l272288,131222r,7671l272288,146564r,7400l272288,160553r1084,7671l274456,175895r1986,6408l278610,189974r2258,6498l283035,202879r3342,6589l305884,238798r8580,10740l325391,259375r5329,4422l336138,267046r6593,4152l348059,274537r6593,3249l361245,281125r6322,2166l375243,285457r6412,2166l389332,289879r6592,1083l403420,292045r7677,l418502,292948r7677,-903l433674,292045r7677,-1083l447944,289879r7496,-2256l462032,285457r7406,-2166l500866,267046r5509,-3249l536629,233293r3342,-5415l544306,222554r16256,-40251l562820,175895r1083,-7671l564987,160553r,-6589l566071,146564r-1084,-7671l564987,131222r-1084,-7491l562820,116060r-2258,-6498l558394,103154,539971,63986r-3342,-5325l506375,28247r-5509,-3339l494544,20576r-5509,-3339l482623,14169r-6593,-3249l469438,8754,462032,6497,455440,4331,447944,2165,441351,1082,433674,r-7495,l418502,em137724,19493r-6412,1083l123636,20576r-6412,1083l110631,22742r-7677,1083l96633,26081r-6593,2166l84802,30413r-6593,3340l71616,37002,40188,60918,16436,92234r-5419,12003l7676,110645r-2168,6588l4425,123731r-2258,6588l1083,137810,,144398r,6498l,158387r,7671l,172646r1083,6317l2167,186635r2258,6588l5508,199540r2168,6588l11017,212716r2168,5506l40188,256126r26100,20577l71616,279952r39015,14079l117224,295114r6412,1083l131312,296197r6412,1083l145401,296197r6592,l159399,295114r39105,-11823l209251,276703r6593,-3249l245014,246289r17430,-28067l265695,212716r2168,-6588l270121,199540r2167,-6317l273372,186635r1084,-7672l275539,172646r903,-6588l276442,158387r,-7491l275539,144398r-1083,-6588l273372,130319r-1084,-6588l270121,117233r-2258,-6588l265695,104237r-3251,-5415l259103,92234r-3071,-5505l252781,81494,245014,70484r-9663,-9566l225507,52073r-9663,-8754l209251,40070r-5238,-3068l198504,33753r-6593,-3340l185589,28247r-6592,-2166l172404,23825r-6412,-1083l159399,21659r-7406,-1083l145401,20576r-7677,-1083e" filled="f" strokeweight=".18292mm">
                        <v:path arrowok="t"/>
                      </v:shape>
                      <v:shape id="Image 1420" o:spid="_x0000_s1028" type="#_x0000_t75" style="position:absolute;top:965;width:1310;height:13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">
                        <v:imagedata r:id="rId128" o:title=""/>
                      </v:shape>
                      <v:shape id="Graphic 1421" o:spid="_x0000_s1029" style="position:absolute;left:1255;top:32;width:5664;height:2979;visibility:visible;mso-wrap-style:square;v-text-anchor:top" coordsize="566420,297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" path="m418502,r-7405,l403420,r-7496,1082l389332,2165r-7677,2166l375243,6497r-7676,2257l361245,10920r-6593,3249l349143,17237r-6412,3339l336138,24908r-5418,3339l325391,32579r-10927,9657l305884,53246r-4425,5415l297124,63986r-4155,6498l289628,75989r-3251,6588l283035,88895r-2167,6588l278610,103154r-2168,6408l274456,116060r-1084,7671l272288,131222r,7671l272288,146564r,7400l272288,160553r1084,7671l274456,175895r1986,6408l278610,189974r2258,6498l283035,202879r3342,6589l305884,238798r8580,10740l325391,259375r5329,4422l336138,267046r6593,4152l348059,274537r6593,3249l361245,281125r6322,2166l375243,285457r6412,2166l389332,289879r6592,1083l403420,292045r7677,l418502,292948r7677,-903l433674,292045r7677,-1083l447944,289879r7496,-2256l462032,285457r7406,-2166l500866,267046r5509,-3249l536629,233293r3342,-5415l544306,222554r16256,-40251l562820,175895r1083,-7671l564987,160553r,-6589l566071,146564r-1084,-7671l564987,131222r-1084,-7491l562820,116060r-2258,-6498l558394,103154,539971,63986r-3342,-5325l506375,28247r-5509,-3339l494544,20576r-5509,-3339l482623,14169r-6593,-3249l469438,8754,462032,6497,455440,4331,447944,2165,441351,1082,433674,r-7495,l418502,em137724,19493r-6412,1083l123636,20576r-6412,1083l110631,22742r-7677,1083l96633,26081r-6593,2166l84802,30413r-6593,3340l71616,37002,40188,60918,16436,92234r-5419,12003l7676,110645r-2168,6588l4425,123731r-2258,6588l1083,137810,,144398r,6498l,158387r,7671l,172646r1083,6317l2167,186635r2258,6588l5508,199540r2168,6588l11017,212716r2168,5506l40188,256126r26100,20577l71616,279952r39015,14079l117224,295114r6412,1083l131312,296197r6412,1083l145401,296197r6592,l159399,295114r39105,-11823l209251,276703r6593,-3249l245014,246289r17430,-28067l265695,212716r2168,-6588l270121,199540r2167,-6317l273372,186635r1084,-7672l275539,172646r903,-6588l276442,158387r,-7491l275539,144398r-1083,-6588l273372,130319r-1084,-6588l270121,117233r-2258,-6588l265695,104237r-3251,-5415l259103,92234r-3071,-5505l252781,81494,245014,70484r-9663,-9566l225507,52073r-9663,-8754l209251,40070r-5238,-3068l198504,33753r-6593,-3340l185589,28247r-6592,-2166l172404,23825r-6412,-1083l159399,21659r-7406,-1083l145401,20576r-7677,-1083e" filled="f" strokeweight=".18292mm">
                        <v:path arrowok="t"/>
                      </v:shape>
                      <v:shape id="Image 1422" o:spid="_x0000_s1030" type="#_x0000_t75" style="position:absolute;top:965;width:1310;height:13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">
                        <v:imagedata r:id="rId128" o:title=""/>
                      </v:shape>
                    </v:group>
                  </w:pict>
                </mc:Fallback>
              </mc:AlternateContent>
            </w:r>
            <w:r w:rsidRPr="00E73F6F">
              <w:rPr>
                <w:spacing w:val="-2"/>
                <w:sz w:val="24"/>
                <w:szCs w:val="24"/>
                <w:lang w:val="de-DE"/>
              </w:rPr>
              <w:t>Niederlande</w:t>
            </w:r>
          </w:p>
        </w:tc>
      </w:tr>
      <w:tr w:rsidR="00FF7799" w:rsidRPr="00E73F6F" w14:paraId="64594C44" w14:textId="77777777" w:rsidTr="00A67B23">
        <w:trPr>
          <w:trHeight w:val="978"/>
        </w:trPr>
        <w:tc>
          <w:tcPr>
            <w:tcW w:w="4599" w:type="dxa"/>
          </w:tcPr>
          <w:p w14:paraId="55E7C194" w14:textId="77777777" w:rsidR="00FF7799" w:rsidRPr="00E73F6F" w:rsidRDefault="00FF7799" w:rsidP="00A67B23">
            <w:pPr>
              <w:rPr>
                <w:i/>
                <w:sz w:val="24"/>
                <w:szCs w:val="24"/>
                <w:lang w:val="de-DE"/>
              </w:rPr>
            </w:pPr>
          </w:p>
          <w:p w14:paraId="36FA2B20" w14:textId="77777777" w:rsidR="00FF7799" w:rsidRPr="00E73F6F" w:rsidRDefault="00FF7799" w:rsidP="005F3BAD">
            <w:pPr>
              <w:spacing w:before="126"/>
              <w:rPr>
                <w:sz w:val="24"/>
                <w:szCs w:val="24"/>
                <w:lang w:val="de-DE"/>
              </w:rPr>
            </w:pPr>
            <w:r w:rsidRPr="00E73F6F">
              <w:rPr>
                <w:noProof/>
                <w:sz w:val="24"/>
                <w:szCs w:val="24"/>
                <w:lang w:eastAsia="de-DE"/>
              </w:rPr>
              <mc:AlternateContent>
                <mc:Choice Requires="wpg">
                  <w:drawing>
                    <wp:anchor distT="0" distB="0" distL="0" distR="0" simplePos="0" relativeHeight="251971584" behindDoc="1" locked="0" layoutInCell="1" allowOverlap="1" wp14:anchorId="3AA8DAF8" wp14:editId="7AE538B4">
                      <wp:simplePos x="0" y="0"/>
                      <wp:positionH relativeFrom="column">
                        <wp:posOffset>962620</wp:posOffset>
                      </wp:positionH>
                      <wp:positionV relativeFrom="paragraph">
                        <wp:posOffset>-23215</wp:posOffset>
                      </wp:positionV>
                      <wp:extent cx="619125" cy="322580"/>
                      <wp:effectExtent l="0" t="0" r="0" b="0"/>
                      <wp:wrapNone/>
                      <wp:docPr id="2295840" name="Group 14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9125" cy="322580"/>
                                <a:chOff x="0" y="0"/>
                                <a:chExt cx="619125" cy="322580"/>
                              </a:xfrm>
                            </wpg:grpSpPr>
                            <wps:wsp>
                              <wps:cNvPr id="2295841" name="Graphic 1424"/>
                              <wps:cNvSpPr/>
                              <wps:spPr>
                                <a:xfrm>
                                  <a:off x="301500" y="3292"/>
                                  <a:ext cx="314325" cy="316230"/>
                                </a:xfrm>
                                <a:custGeom>
                                  <a:avLst/>
                                  <a:gdLst/>
                                  <a:ahLst/>
                                  <a:cxnLst/>
                                  <a:rect l="l" t="t" r="r" b="b"/>
                                  <a:pathLst>
                                    <a:path w="314325" h="316230">
                                      <a:moveTo>
                                        <a:pt x="157051" y="0"/>
                                      </a:moveTo>
                                      <a:lnTo>
                                        <a:pt x="149555" y="0"/>
                                      </a:lnTo>
                                      <a:lnTo>
                                        <a:pt x="140795" y="1082"/>
                                      </a:lnTo>
                                      <a:lnTo>
                                        <a:pt x="133299" y="1082"/>
                                      </a:lnTo>
                                      <a:lnTo>
                                        <a:pt x="125623" y="3339"/>
                                      </a:lnTo>
                                      <a:lnTo>
                                        <a:pt x="118127" y="4422"/>
                                      </a:lnTo>
                                      <a:lnTo>
                                        <a:pt x="110450" y="6588"/>
                                      </a:lnTo>
                                      <a:lnTo>
                                        <a:pt x="103045" y="9837"/>
                                      </a:lnTo>
                                      <a:lnTo>
                                        <a:pt x="95278" y="12093"/>
                                      </a:lnTo>
                                      <a:lnTo>
                                        <a:pt x="88776" y="15161"/>
                                      </a:lnTo>
                                      <a:lnTo>
                                        <a:pt x="82363" y="18410"/>
                                      </a:lnTo>
                                      <a:lnTo>
                                        <a:pt x="75771" y="22833"/>
                                      </a:lnTo>
                                      <a:lnTo>
                                        <a:pt x="69449" y="27164"/>
                                      </a:lnTo>
                                      <a:lnTo>
                                        <a:pt x="62856" y="31587"/>
                                      </a:lnTo>
                                      <a:lnTo>
                                        <a:pt x="57347" y="35919"/>
                                      </a:lnTo>
                                      <a:lnTo>
                                        <a:pt x="50935" y="41243"/>
                                      </a:lnTo>
                                      <a:lnTo>
                                        <a:pt x="45516" y="45575"/>
                                      </a:lnTo>
                                      <a:lnTo>
                                        <a:pt x="40007" y="51080"/>
                                      </a:lnTo>
                                      <a:lnTo>
                                        <a:pt x="35853" y="57669"/>
                                      </a:lnTo>
                                      <a:lnTo>
                                        <a:pt x="30344" y="62903"/>
                                      </a:lnTo>
                                      <a:lnTo>
                                        <a:pt x="25919" y="69491"/>
                                      </a:lnTo>
                                      <a:lnTo>
                                        <a:pt x="22668" y="76079"/>
                                      </a:lnTo>
                                      <a:lnTo>
                                        <a:pt x="18423" y="82577"/>
                                      </a:lnTo>
                                      <a:lnTo>
                                        <a:pt x="15172" y="88985"/>
                                      </a:lnTo>
                                      <a:lnTo>
                                        <a:pt x="11921" y="96656"/>
                                      </a:lnTo>
                                      <a:lnTo>
                                        <a:pt x="8579" y="103244"/>
                                      </a:lnTo>
                                      <a:lnTo>
                                        <a:pt x="6412" y="110645"/>
                                      </a:lnTo>
                                      <a:lnTo>
                                        <a:pt x="4154" y="118316"/>
                                      </a:lnTo>
                                      <a:lnTo>
                                        <a:pt x="1986" y="125987"/>
                                      </a:lnTo>
                                      <a:lnTo>
                                        <a:pt x="1083" y="133478"/>
                                      </a:lnTo>
                                      <a:lnTo>
                                        <a:pt x="0" y="141149"/>
                                      </a:lnTo>
                                      <a:lnTo>
                                        <a:pt x="0" y="149903"/>
                                      </a:lnTo>
                                      <a:lnTo>
                                        <a:pt x="0" y="157304"/>
                                      </a:lnTo>
                                      <a:lnTo>
                                        <a:pt x="0" y="166058"/>
                                      </a:lnTo>
                                      <a:lnTo>
                                        <a:pt x="0" y="173729"/>
                                      </a:lnTo>
                                      <a:lnTo>
                                        <a:pt x="1083" y="181220"/>
                                      </a:lnTo>
                                      <a:lnTo>
                                        <a:pt x="1986" y="189974"/>
                                      </a:lnTo>
                                      <a:lnTo>
                                        <a:pt x="4154" y="197645"/>
                                      </a:lnTo>
                                      <a:lnTo>
                                        <a:pt x="6412" y="204053"/>
                                      </a:lnTo>
                                      <a:lnTo>
                                        <a:pt x="8579" y="211633"/>
                                      </a:lnTo>
                                      <a:lnTo>
                                        <a:pt x="11921" y="219305"/>
                                      </a:lnTo>
                                      <a:lnTo>
                                        <a:pt x="15172" y="225712"/>
                                      </a:lnTo>
                                      <a:lnTo>
                                        <a:pt x="18423" y="233384"/>
                                      </a:lnTo>
                                      <a:lnTo>
                                        <a:pt x="22668" y="239972"/>
                                      </a:lnTo>
                                      <a:lnTo>
                                        <a:pt x="25919" y="245387"/>
                                      </a:lnTo>
                                      <a:lnTo>
                                        <a:pt x="30344" y="251794"/>
                                      </a:lnTo>
                                      <a:lnTo>
                                        <a:pt x="35853" y="258382"/>
                                      </a:lnTo>
                                      <a:lnTo>
                                        <a:pt x="40007" y="263797"/>
                                      </a:lnTo>
                                      <a:lnTo>
                                        <a:pt x="45516" y="269303"/>
                                      </a:lnTo>
                                      <a:lnTo>
                                        <a:pt x="50935" y="274537"/>
                                      </a:lnTo>
                                      <a:lnTo>
                                        <a:pt x="57347" y="278959"/>
                                      </a:lnTo>
                                      <a:lnTo>
                                        <a:pt x="62856" y="284464"/>
                                      </a:lnTo>
                                      <a:lnTo>
                                        <a:pt x="69449" y="288796"/>
                                      </a:lnTo>
                                      <a:lnTo>
                                        <a:pt x="75771" y="292045"/>
                                      </a:lnTo>
                                      <a:lnTo>
                                        <a:pt x="82363" y="296287"/>
                                      </a:lnTo>
                                      <a:lnTo>
                                        <a:pt x="118127" y="310456"/>
                                      </a:lnTo>
                                      <a:lnTo>
                                        <a:pt x="125623" y="312712"/>
                                      </a:lnTo>
                                      <a:lnTo>
                                        <a:pt x="133299" y="313795"/>
                                      </a:lnTo>
                                      <a:lnTo>
                                        <a:pt x="140795" y="314878"/>
                                      </a:lnTo>
                                      <a:lnTo>
                                        <a:pt x="149555" y="314878"/>
                                      </a:lnTo>
                                      <a:lnTo>
                                        <a:pt x="157051" y="315781"/>
                                      </a:lnTo>
                                      <a:lnTo>
                                        <a:pt x="164727" y="314878"/>
                                      </a:lnTo>
                                      <a:lnTo>
                                        <a:pt x="173488" y="314878"/>
                                      </a:lnTo>
                                      <a:lnTo>
                                        <a:pt x="180983" y="313795"/>
                                      </a:lnTo>
                                      <a:lnTo>
                                        <a:pt x="188660" y="312712"/>
                                      </a:lnTo>
                                      <a:lnTo>
                                        <a:pt x="196156" y="310456"/>
                                      </a:lnTo>
                                      <a:lnTo>
                                        <a:pt x="231919" y="296287"/>
                                      </a:lnTo>
                                      <a:lnTo>
                                        <a:pt x="238512" y="292045"/>
                                      </a:lnTo>
                                      <a:lnTo>
                                        <a:pt x="244834" y="288796"/>
                                      </a:lnTo>
                                      <a:lnTo>
                                        <a:pt x="251426" y="284464"/>
                                      </a:lnTo>
                                      <a:lnTo>
                                        <a:pt x="256935" y="278959"/>
                                      </a:lnTo>
                                      <a:lnTo>
                                        <a:pt x="263347" y="274537"/>
                                      </a:lnTo>
                                      <a:lnTo>
                                        <a:pt x="268766" y="269303"/>
                                      </a:lnTo>
                                      <a:lnTo>
                                        <a:pt x="274275" y="263797"/>
                                      </a:lnTo>
                                      <a:lnTo>
                                        <a:pt x="278429" y="258382"/>
                                      </a:lnTo>
                                      <a:lnTo>
                                        <a:pt x="282855" y="251794"/>
                                      </a:lnTo>
                                      <a:lnTo>
                                        <a:pt x="287280" y="245387"/>
                                      </a:lnTo>
                                      <a:lnTo>
                                        <a:pt x="291615" y="239972"/>
                                      </a:lnTo>
                                      <a:lnTo>
                                        <a:pt x="295769" y="233384"/>
                                      </a:lnTo>
                                      <a:lnTo>
                                        <a:pt x="299111" y="225712"/>
                                      </a:lnTo>
                                      <a:lnTo>
                                        <a:pt x="302362" y="219305"/>
                                      </a:lnTo>
                                      <a:lnTo>
                                        <a:pt x="304620" y="211633"/>
                                      </a:lnTo>
                                      <a:lnTo>
                                        <a:pt x="307871" y="204053"/>
                                      </a:lnTo>
                                      <a:lnTo>
                                        <a:pt x="310038" y="197645"/>
                                      </a:lnTo>
                                      <a:lnTo>
                                        <a:pt x="311212" y="189974"/>
                                      </a:lnTo>
                                      <a:lnTo>
                                        <a:pt x="313109" y="181220"/>
                                      </a:lnTo>
                                      <a:lnTo>
                                        <a:pt x="314283" y="173729"/>
                                      </a:lnTo>
                                      <a:lnTo>
                                        <a:pt x="314283" y="166058"/>
                                      </a:lnTo>
                                      <a:lnTo>
                                        <a:pt x="314283" y="157304"/>
                                      </a:lnTo>
                                      <a:lnTo>
                                        <a:pt x="314283" y="149903"/>
                                      </a:lnTo>
                                      <a:lnTo>
                                        <a:pt x="314283" y="141149"/>
                                      </a:lnTo>
                                      <a:lnTo>
                                        <a:pt x="313109" y="133478"/>
                                      </a:lnTo>
                                      <a:lnTo>
                                        <a:pt x="311212" y="125987"/>
                                      </a:lnTo>
                                      <a:lnTo>
                                        <a:pt x="310038" y="118316"/>
                                      </a:lnTo>
                                      <a:lnTo>
                                        <a:pt x="307871" y="110645"/>
                                      </a:lnTo>
                                      <a:lnTo>
                                        <a:pt x="304620" y="103244"/>
                                      </a:lnTo>
                                      <a:lnTo>
                                        <a:pt x="302362" y="96656"/>
                                      </a:lnTo>
                                      <a:lnTo>
                                        <a:pt x="299111" y="88985"/>
                                      </a:lnTo>
                                      <a:lnTo>
                                        <a:pt x="278429" y="57669"/>
                                      </a:lnTo>
                                      <a:lnTo>
                                        <a:pt x="274275" y="51080"/>
                                      </a:lnTo>
                                      <a:lnTo>
                                        <a:pt x="268766" y="45575"/>
                                      </a:lnTo>
                                      <a:lnTo>
                                        <a:pt x="263347" y="41243"/>
                                      </a:lnTo>
                                      <a:lnTo>
                                        <a:pt x="256935" y="35919"/>
                                      </a:lnTo>
                                      <a:lnTo>
                                        <a:pt x="251426" y="31587"/>
                                      </a:lnTo>
                                      <a:lnTo>
                                        <a:pt x="244834" y="27164"/>
                                      </a:lnTo>
                                      <a:lnTo>
                                        <a:pt x="238512" y="22833"/>
                                      </a:lnTo>
                                      <a:lnTo>
                                        <a:pt x="231919" y="18410"/>
                                      </a:lnTo>
                                      <a:lnTo>
                                        <a:pt x="225507" y="15161"/>
                                      </a:lnTo>
                                      <a:lnTo>
                                        <a:pt x="218914" y="12093"/>
                                      </a:lnTo>
                                      <a:lnTo>
                                        <a:pt x="211238" y="9837"/>
                                      </a:lnTo>
                                      <a:lnTo>
                                        <a:pt x="203832" y="6588"/>
                                      </a:lnTo>
                                      <a:lnTo>
                                        <a:pt x="196156" y="4422"/>
                                      </a:lnTo>
                                      <a:lnTo>
                                        <a:pt x="188660" y="3339"/>
                                      </a:lnTo>
                                      <a:lnTo>
                                        <a:pt x="180983" y="1082"/>
                                      </a:lnTo>
                                      <a:lnTo>
                                        <a:pt x="173488" y="1082"/>
                                      </a:lnTo>
                                      <a:lnTo>
                                        <a:pt x="164727" y="0"/>
                                      </a:lnTo>
                                      <a:lnTo>
                                        <a:pt x="157051"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95842" name="Image 1425"/>
                                <pic:cNvPicPr/>
                              </pic:nvPicPr>
                              <pic:blipFill>
                                <a:blip r:embed="rId129" cstate="print"/>
                                <a:stretch>
                                  <a:fillRect/>
                                </a:stretch>
                              </pic:blipFill>
                              <pic:spPr>
                                <a:xfrm>
                                  <a:off x="0" y="40070"/>
                                  <a:ext cx="369817" cy="242135"/>
                                </a:xfrm>
                                <a:prstGeom prst="rect">
                                  <a:avLst/>
                                </a:prstGeom>
                              </pic:spPr>
                            </pic:pic>
                            <wps:wsp>
                              <wps:cNvPr id="2295843" name="Graphic 1426"/>
                              <wps:cNvSpPr/>
                              <wps:spPr>
                                <a:xfrm>
                                  <a:off x="301500" y="3292"/>
                                  <a:ext cx="314325" cy="316230"/>
                                </a:xfrm>
                                <a:custGeom>
                                  <a:avLst/>
                                  <a:gdLst/>
                                  <a:ahLst/>
                                  <a:cxnLst/>
                                  <a:rect l="l" t="t" r="r" b="b"/>
                                  <a:pathLst>
                                    <a:path w="314325" h="316230">
                                      <a:moveTo>
                                        <a:pt x="157051" y="0"/>
                                      </a:moveTo>
                                      <a:lnTo>
                                        <a:pt x="149555" y="0"/>
                                      </a:lnTo>
                                      <a:lnTo>
                                        <a:pt x="140795" y="1082"/>
                                      </a:lnTo>
                                      <a:lnTo>
                                        <a:pt x="133299" y="1082"/>
                                      </a:lnTo>
                                      <a:lnTo>
                                        <a:pt x="125623" y="3339"/>
                                      </a:lnTo>
                                      <a:lnTo>
                                        <a:pt x="118127" y="4422"/>
                                      </a:lnTo>
                                      <a:lnTo>
                                        <a:pt x="110450" y="6588"/>
                                      </a:lnTo>
                                      <a:lnTo>
                                        <a:pt x="103045" y="9837"/>
                                      </a:lnTo>
                                      <a:lnTo>
                                        <a:pt x="95278" y="12093"/>
                                      </a:lnTo>
                                      <a:lnTo>
                                        <a:pt x="88776" y="15161"/>
                                      </a:lnTo>
                                      <a:lnTo>
                                        <a:pt x="82363" y="18410"/>
                                      </a:lnTo>
                                      <a:lnTo>
                                        <a:pt x="75771" y="22833"/>
                                      </a:lnTo>
                                      <a:lnTo>
                                        <a:pt x="69449" y="27164"/>
                                      </a:lnTo>
                                      <a:lnTo>
                                        <a:pt x="62856" y="31587"/>
                                      </a:lnTo>
                                      <a:lnTo>
                                        <a:pt x="57347" y="35919"/>
                                      </a:lnTo>
                                      <a:lnTo>
                                        <a:pt x="50935" y="41243"/>
                                      </a:lnTo>
                                      <a:lnTo>
                                        <a:pt x="45516" y="45575"/>
                                      </a:lnTo>
                                      <a:lnTo>
                                        <a:pt x="40007" y="51080"/>
                                      </a:lnTo>
                                      <a:lnTo>
                                        <a:pt x="35853" y="57669"/>
                                      </a:lnTo>
                                      <a:lnTo>
                                        <a:pt x="30344" y="62903"/>
                                      </a:lnTo>
                                      <a:lnTo>
                                        <a:pt x="25919" y="69491"/>
                                      </a:lnTo>
                                      <a:lnTo>
                                        <a:pt x="22668" y="76079"/>
                                      </a:lnTo>
                                      <a:lnTo>
                                        <a:pt x="18423" y="82577"/>
                                      </a:lnTo>
                                      <a:lnTo>
                                        <a:pt x="15172" y="88985"/>
                                      </a:lnTo>
                                      <a:lnTo>
                                        <a:pt x="11921" y="96656"/>
                                      </a:lnTo>
                                      <a:lnTo>
                                        <a:pt x="8579" y="103244"/>
                                      </a:lnTo>
                                      <a:lnTo>
                                        <a:pt x="6412" y="110645"/>
                                      </a:lnTo>
                                      <a:lnTo>
                                        <a:pt x="4154" y="118316"/>
                                      </a:lnTo>
                                      <a:lnTo>
                                        <a:pt x="1986" y="125987"/>
                                      </a:lnTo>
                                      <a:lnTo>
                                        <a:pt x="1083" y="133478"/>
                                      </a:lnTo>
                                      <a:lnTo>
                                        <a:pt x="0" y="141149"/>
                                      </a:lnTo>
                                      <a:lnTo>
                                        <a:pt x="0" y="149903"/>
                                      </a:lnTo>
                                      <a:lnTo>
                                        <a:pt x="0" y="157304"/>
                                      </a:lnTo>
                                      <a:lnTo>
                                        <a:pt x="0" y="166058"/>
                                      </a:lnTo>
                                      <a:lnTo>
                                        <a:pt x="0" y="173729"/>
                                      </a:lnTo>
                                      <a:lnTo>
                                        <a:pt x="1083" y="181220"/>
                                      </a:lnTo>
                                      <a:lnTo>
                                        <a:pt x="1986" y="189974"/>
                                      </a:lnTo>
                                      <a:lnTo>
                                        <a:pt x="4154" y="197645"/>
                                      </a:lnTo>
                                      <a:lnTo>
                                        <a:pt x="6412" y="204053"/>
                                      </a:lnTo>
                                      <a:lnTo>
                                        <a:pt x="8579" y="211633"/>
                                      </a:lnTo>
                                      <a:lnTo>
                                        <a:pt x="11921" y="219305"/>
                                      </a:lnTo>
                                      <a:lnTo>
                                        <a:pt x="15172" y="225712"/>
                                      </a:lnTo>
                                      <a:lnTo>
                                        <a:pt x="18423" y="233384"/>
                                      </a:lnTo>
                                      <a:lnTo>
                                        <a:pt x="22668" y="239972"/>
                                      </a:lnTo>
                                      <a:lnTo>
                                        <a:pt x="25919" y="245387"/>
                                      </a:lnTo>
                                      <a:lnTo>
                                        <a:pt x="30344" y="251794"/>
                                      </a:lnTo>
                                      <a:lnTo>
                                        <a:pt x="35853" y="258382"/>
                                      </a:lnTo>
                                      <a:lnTo>
                                        <a:pt x="40007" y="263797"/>
                                      </a:lnTo>
                                      <a:lnTo>
                                        <a:pt x="45516" y="269303"/>
                                      </a:lnTo>
                                      <a:lnTo>
                                        <a:pt x="50935" y="274537"/>
                                      </a:lnTo>
                                      <a:lnTo>
                                        <a:pt x="57347" y="278959"/>
                                      </a:lnTo>
                                      <a:lnTo>
                                        <a:pt x="62856" y="284464"/>
                                      </a:lnTo>
                                      <a:lnTo>
                                        <a:pt x="69449" y="288796"/>
                                      </a:lnTo>
                                      <a:lnTo>
                                        <a:pt x="75771" y="292045"/>
                                      </a:lnTo>
                                      <a:lnTo>
                                        <a:pt x="82363" y="296287"/>
                                      </a:lnTo>
                                      <a:lnTo>
                                        <a:pt x="118127" y="310456"/>
                                      </a:lnTo>
                                      <a:lnTo>
                                        <a:pt x="125623" y="312712"/>
                                      </a:lnTo>
                                      <a:lnTo>
                                        <a:pt x="133299" y="313795"/>
                                      </a:lnTo>
                                      <a:lnTo>
                                        <a:pt x="140795" y="314878"/>
                                      </a:lnTo>
                                      <a:lnTo>
                                        <a:pt x="149555" y="314878"/>
                                      </a:lnTo>
                                      <a:lnTo>
                                        <a:pt x="157051" y="315781"/>
                                      </a:lnTo>
                                      <a:lnTo>
                                        <a:pt x="164727" y="314878"/>
                                      </a:lnTo>
                                      <a:lnTo>
                                        <a:pt x="173488" y="314878"/>
                                      </a:lnTo>
                                      <a:lnTo>
                                        <a:pt x="180983" y="313795"/>
                                      </a:lnTo>
                                      <a:lnTo>
                                        <a:pt x="188660" y="312712"/>
                                      </a:lnTo>
                                      <a:lnTo>
                                        <a:pt x="196156" y="310456"/>
                                      </a:lnTo>
                                      <a:lnTo>
                                        <a:pt x="231919" y="296287"/>
                                      </a:lnTo>
                                      <a:lnTo>
                                        <a:pt x="238512" y="292045"/>
                                      </a:lnTo>
                                      <a:lnTo>
                                        <a:pt x="244834" y="288796"/>
                                      </a:lnTo>
                                      <a:lnTo>
                                        <a:pt x="251426" y="284464"/>
                                      </a:lnTo>
                                      <a:lnTo>
                                        <a:pt x="256935" y="278959"/>
                                      </a:lnTo>
                                      <a:lnTo>
                                        <a:pt x="263347" y="274537"/>
                                      </a:lnTo>
                                      <a:lnTo>
                                        <a:pt x="268766" y="269303"/>
                                      </a:lnTo>
                                      <a:lnTo>
                                        <a:pt x="274275" y="263797"/>
                                      </a:lnTo>
                                      <a:lnTo>
                                        <a:pt x="278429" y="258382"/>
                                      </a:lnTo>
                                      <a:lnTo>
                                        <a:pt x="282855" y="251794"/>
                                      </a:lnTo>
                                      <a:lnTo>
                                        <a:pt x="287280" y="245387"/>
                                      </a:lnTo>
                                      <a:lnTo>
                                        <a:pt x="291615" y="239972"/>
                                      </a:lnTo>
                                      <a:lnTo>
                                        <a:pt x="295769" y="233384"/>
                                      </a:lnTo>
                                      <a:lnTo>
                                        <a:pt x="299111" y="225712"/>
                                      </a:lnTo>
                                      <a:lnTo>
                                        <a:pt x="302362" y="219305"/>
                                      </a:lnTo>
                                      <a:lnTo>
                                        <a:pt x="304620" y="211633"/>
                                      </a:lnTo>
                                      <a:lnTo>
                                        <a:pt x="307871" y="204053"/>
                                      </a:lnTo>
                                      <a:lnTo>
                                        <a:pt x="310038" y="197645"/>
                                      </a:lnTo>
                                      <a:lnTo>
                                        <a:pt x="311212" y="189974"/>
                                      </a:lnTo>
                                      <a:lnTo>
                                        <a:pt x="313109" y="181220"/>
                                      </a:lnTo>
                                      <a:lnTo>
                                        <a:pt x="314283" y="173729"/>
                                      </a:lnTo>
                                      <a:lnTo>
                                        <a:pt x="314283" y="166058"/>
                                      </a:lnTo>
                                      <a:lnTo>
                                        <a:pt x="314283" y="157304"/>
                                      </a:lnTo>
                                      <a:lnTo>
                                        <a:pt x="314283" y="149903"/>
                                      </a:lnTo>
                                      <a:lnTo>
                                        <a:pt x="314283" y="141149"/>
                                      </a:lnTo>
                                      <a:lnTo>
                                        <a:pt x="313109" y="133478"/>
                                      </a:lnTo>
                                      <a:lnTo>
                                        <a:pt x="311212" y="125987"/>
                                      </a:lnTo>
                                      <a:lnTo>
                                        <a:pt x="310038" y="118316"/>
                                      </a:lnTo>
                                      <a:lnTo>
                                        <a:pt x="307871" y="110645"/>
                                      </a:lnTo>
                                      <a:lnTo>
                                        <a:pt x="304620" y="103244"/>
                                      </a:lnTo>
                                      <a:lnTo>
                                        <a:pt x="302362" y="96656"/>
                                      </a:lnTo>
                                      <a:lnTo>
                                        <a:pt x="299111" y="88985"/>
                                      </a:lnTo>
                                      <a:lnTo>
                                        <a:pt x="278429" y="57669"/>
                                      </a:lnTo>
                                      <a:lnTo>
                                        <a:pt x="274275" y="51080"/>
                                      </a:lnTo>
                                      <a:lnTo>
                                        <a:pt x="268766" y="45575"/>
                                      </a:lnTo>
                                      <a:lnTo>
                                        <a:pt x="263347" y="41243"/>
                                      </a:lnTo>
                                      <a:lnTo>
                                        <a:pt x="256935" y="35919"/>
                                      </a:lnTo>
                                      <a:lnTo>
                                        <a:pt x="251426" y="31587"/>
                                      </a:lnTo>
                                      <a:lnTo>
                                        <a:pt x="244834" y="27164"/>
                                      </a:lnTo>
                                      <a:lnTo>
                                        <a:pt x="238512" y="22833"/>
                                      </a:lnTo>
                                      <a:lnTo>
                                        <a:pt x="231919" y="18410"/>
                                      </a:lnTo>
                                      <a:lnTo>
                                        <a:pt x="225507" y="15161"/>
                                      </a:lnTo>
                                      <a:lnTo>
                                        <a:pt x="218914" y="12093"/>
                                      </a:lnTo>
                                      <a:lnTo>
                                        <a:pt x="211238" y="9837"/>
                                      </a:lnTo>
                                      <a:lnTo>
                                        <a:pt x="203832" y="6588"/>
                                      </a:lnTo>
                                      <a:lnTo>
                                        <a:pt x="196156" y="4422"/>
                                      </a:lnTo>
                                      <a:lnTo>
                                        <a:pt x="188660" y="3339"/>
                                      </a:lnTo>
                                      <a:lnTo>
                                        <a:pt x="180983" y="1082"/>
                                      </a:lnTo>
                                      <a:lnTo>
                                        <a:pt x="173488" y="1082"/>
                                      </a:lnTo>
                                      <a:lnTo>
                                        <a:pt x="164727" y="0"/>
                                      </a:lnTo>
                                      <a:lnTo>
                                        <a:pt x="157051"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95844" name="Image 1427"/>
                                <pic:cNvPicPr/>
                              </pic:nvPicPr>
                              <pic:blipFill>
                                <a:blip r:embed="rId129" cstate="print"/>
                                <a:stretch>
                                  <a:fillRect/>
                                </a:stretch>
                              </pic:blipFill>
                              <pic:spPr>
                                <a:xfrm>
                                  <a:off x="0" y="40070"/>
                                  <a:ext cx="369817" cy="242135"/>
                                </a:xfrm>
                                <a:prstGeom prst="rect">
                                  <a:avLst/>
                                </a:prstGeom>
                              </pic:spPr>
                            </pic:pic>
                          </wpg:wgp>
                        </a:graphicData>
                      </a:graphic>
                    </wp:anchor>
                  </w:drawing>
                </mc:Choice>
                <mc:Fallback>
                  <w:pict>
                    <v:group w14:anchorId="18340C23" id="Group 1423" o:spid="_x0000_s1026" style="position:absolute;margin-left:75.8pt;margin-top:-1.85pt;width:48.75pt;height:25.4pt;z-index:-251344896;mso-wrap-distance-left:0;mso-wrap-distance-right:0" coordsize="6191,32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">
                      <v:shape id="Graphic 1424" o:spid="_x0000_s1027" style="position:absolute;left:3015;top:32;width:3143;height:3163;visibility:visible;mso-wrap-style:square;v-text-anchor:top" coordsize="314325,316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" path="m157051,r-7496,l140795,1082r-7496,l125623,3339r-7496,1083l110450,6588r-7405,3249l95278,12093r-6502,3068l82363,18410r-6592,4423l69449,27164r-6593,4423l57347,35919r-6412,5324l45516,45575r-5509,5505l35853,57669r-5509,5234l25919,69491r-3251,6588l18423,82577r-3251,6408l11921,96656r-3342,6588l6412,110645r-2258,7671l1986,125987r-903,7491l,141149r,8754l,157304r,8754l,173729r1083,7491l1986,189974r2168,7671l6412,204053r2167,7580l11921,219305r3251,6407l18423,233384r4245,6588l25919,245387r4425,6407l35853,258382r4154,5415l45516,269303r5419,5234l57347,278959r5509,5505l69449,288796r6322,3249l82363,296287r35764,14169l125623,312712r7676,1083l140795,314878r8760,l157051,315781r7676,-903l173488,314878r7495,-1083l188660,312712r7496,-2256l231919,296287r6593,-4242l244834,288796r6592,-4332l256935,278959r6412,-4422l268766,269303r5509,-5506l278429,258382r4426,-6588l287280,245387r4335,-5415l295769,233384r3342,-7672l302362,219305r2258,-7672l307871,204053r2167,-6408l311212,189974r1897,-8754l314283,173729r,-7671l314283,157304r,-7401l314283,141149r-1174,-7671l311212,125987r-1174,-7671l307871,110645r-3251,-7401l302362,96656r-3251,-7671l278429,57669r-4154,-6589l268766,45575r-5419,-4332l256935,35919r-5509,-4332l244834,27164r-6322,-4331l231919,18410r-6412,-3249l218914,12093,211238,9837,203832,6588,196156,4422,188660,3339,180983,1082r-7495,l164727,r-7676,e" filled="f" strokeweight=".18292mm">
                        <v:path arrowok="t"/>
                      </v:shape>
                      <v:shape id="Image 1425" o:spid="_x0000_s1028" type="#_x0000_t75" style="position:absolute;top:400;width:3698;height:2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">
                        <v:imagedata r:id="rId130" o:title=""/>
                      </v:shape>
                      <v:shape id="Graphic 1426" o:spid="_x0000_s1029" style="position:absolute;left:3015;top:32;width:3143;height:3163;visibility:visible;mso-wrap-style:square;v-text-anchor:top" coordsize="314325,316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" path="m157051,r-7496,l140795,1082r-7496,l125623,3339r-7496,1083l110450,6588r-7405,3249l95278,12093r-6502,3068l82363,18410r-6592,4423l69449,27164r-6593,4423l57347,35919r-6412,5324l45516,45575r-5509,5505l35853,57669r-5509,5234l25919,69491r-3251,6588l18423,82577r-3251,6408l11921,96656r-3342,6588l6412,110645r-2258,7671l1986,125987r-903,7491l,141149r,8754l,157304r,8754l,173729r1083,7491l1986,189974r2168,7671l6412,204053r2167,7580l11921,219305r3251,6407l18423,233384r4245,6588l25919,245387r4425,6407l35853,258382r4154,5415l45516,269303r5419,5234l57347,278959r5509,5505l69449,288796r6322,3249l82363,296287r35764,14169l125623,312712r7676,1083l140795,314878r8760,l157051,315781r7676,-903l173488,314878r7495,-1083l188660,312712r7496,-2256l231919,296287r6593,-4242l244834,288796r6592,-4332l256935,278959r6412,-4422l268766,269303r5509,-5506l278429,258382r4426,-6588l287280,245387r4335,-5415l295769,233384r3342,-7672l302362,219305r2258,-7672l307871,204053r2167,-6408l311212,189974r1897,-8754l314283,173729r,-7671l314283,157304r,-7401l314283,141149r-1174,-7671l311212,125987r-1174,-7671l307871,110645r-3251,-7401l302362,96656r-3251,-7671l278429,57669r-4154,-6589l268766,45575r-5419,-4332l256935,35919r-5509,-4332l244834,27164r-6322,-4331l231919,18410r-6412,-3249l218914,12093,211238,9837,203832,6588,196156,4422,188660,3339,180983,1082r-7495,l164727,r-7676,e" filled="f" strokeweight=".18292mm">
                        <v:path arrowok="t"/>
                      </v:shape>
                      <v:shape id="Image 1427" o:spid="_x0000_s1030" type="#_x0000_t75" style="position:absolute;top:400;width:3698;height:2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">
                        <v:imagedata r:id="rId130" o:title=""/>
                      </v:shape>
                    </v:group>
                  </w:pict>
                </mc:Fallback>
              </mc:AlternateContent>
            </w:r>
            <w:r w:rsidRPr="00E73F6F">
              <w:rPr>
                <w:sz w:val="24"/>
                <w:szCs w:val="24"/>
                <w:lang w:val="de-DE"/>
              </w:rPr>
              <w:t>West</w:t>
            </w:r>
            <w:r w:rsidRPr="00E73F6F">
              <w:rPr>
                <w:spacing w:val="-1"/>
                <w:sz w:val="24"/>
                <w:szCs w:val="24"/>
                <w:lang w:val="de-DE"/>
              </w:rPr>
              <w:t>-</w:t>
            </w:r>
            <w:r w:rsidRPr="00E73F6F">
              <w:rPr>
                <w:spacing w:val="-1"/>
                <w:sz w:val="24"/>
                <w:szCs w:val="24"/>
                <w:lang w:val="de-DE"/>
              </w:rPr>
              <w:br/>
            </w:r>
            <w:r w:rsidRPr="00E73F6F">
              <w:rPr>
                <w:spacing w:val="-2"/>
                <w:sz w:val="24"/>
                <w:szCs w:val="24"/>
                <w:lang w:val="de-DE"/>
              </w:rPr>
              <w:t>deutschland</w:t>
            </w:r>
          </w:p>
        </w:tc>
        <w:tc>
          <w:tcPr>
            <w:tcW w:w="4324" w:type="dxa"/>
          </w:tcPr>
          <w:p w14:paraId="365534BB" w14:textId="77777777" w:rsidR="00FF7799" w:rsidRPr="00E73F6F" w:rsidRDefault="00FF7799" w:rsidP="00862DBA">
            <w:pPr>
              <w:rPr>
                <w:i/>
                <w:sz w:val="24"/>
                <w:szCs w:val="24"/>
                <w:lang w:val="de-DE"/>
              </w:rPr>
            </w:pPr>
          </w:p>
          <w:p w14:paraId="7DD4B60F" w14:textId="77777777" w:rsidR="00FF7799" w:rsidRPr="00E73F6F" w:rsidRDefault="00FF7799" w:rsidP="00862DBA">
            <w:pPr>
              <w:spacing w:before="126"/>
              <w:rPr>
                <w:sz w:val="24"/>
                <w:szCs w:val="24"/>
                <w:lang w:val="de-DE"/>
              </w:rPr>
            </w:pPr>
            <w:r w:rsidRPr="00E73F6F">
              <w:rPr>
                <w:noProof/>
                <w:sz w:val="24"/>
                <w:szCs w:val="24"/>
                <w:lang w:eastAsia="de-DE"/>
              </w:rPr>
              <mc:AlternateContent>
                <mc:Choice Requires="wpg">
                  <w:drawing>
                    <wp:anchor distT="0" distB="0" distL="0" distR="0" simplePos="0" relativeHeight="251978752" behindDoc="1" locked="0" layoutInCell="1" allowOverlap="1" wp14:anchorId="46BD3EB6" wp14:editId="651BA68E">
                      <wp:simplePos x="0" y="0"/>
                      <wp:positionH relativeFrom="column">
                        <wp:posOffset>919689</wp:posOffset>
                      </wp:positionH>
                      <wp:positionV relativeFrom="paragraph">
                        <wp:posOffset>8372</wp:posOffset>
                      </wp:positionV>
                      <wp:extent cx="635000" cy="283845"/>
                      <wp:effectExtent l="0" t="0" r="0" b="0"/>
                      <wp:wrapNone/>
                      <wp:docPr id="2295845" name="Group 14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00" cy="283845"/>
                                <a:chOff x="0" y="0"/>
                                <a:chExt cx="635000" cy="283845"/>
                              </a:xfrm>
                            </wpg:grpSpPr>
                            <wps:wsp>
                              <wps:cNvPr id="2295846" name="Graphic 1429"/>
                              <wps:cNvSpPr/>
                              <wps:spPr>
                                <a:xfrm>
                                  <a:off x="90081" y="3292"/>
                                  <a:ext cx="278130" cy="276860"/>
                                </a:xfrm>
                                <a:custGeom>
                                  <a:avLst/>
                                  <a:gdLst/>
                                  <a:ahLst/>
                                  <a:cxnLst/>
                                  <a:rect l="l" t="t" r="r" b="b"/>
                                  <a:pathLst>
                                    <a:path w="278130" h="276860">
                                      <a:moveTo>
                                        <a:pt x="138718" y="0"/>
                                      </a:moveTo>
                                      <a:lnTo>
                                        <a:pt x="131312" y="0"/>
                                      </a:lnTo>
                                      <a:lnTo>
                                        <a:pt x="124719" y="1082"/>
                                      </a:lnTo>
                                      <a:lnTo>
                                        <a:pt x="117043" y="1082"/>
                                      </a:lnTo>
                                      <a:lnTo>
                                        <a:pt x="110631" y="3248"/>
                                      </a:lnTo>
                                      <a:lnTo>
                                        <a:pt x="104038" y="4331"/>
                                      </a:lnTo>
                                      <a:lnTo>
                                        <a:pt x="97445" y="6588"/>
                                      </a:lnTo>
                                      <a:lnTo>
                                        <a:pt x="91124" y="8483"/>
                                      </a:lnTo>
                                      <a:lnTo>
                                        <a:pt x="84531" y="10739"/>
                                      </a:lnTo>
                                      <a:lnTo>
                                        <a:pt x="78119" y="13988"/>
                                      </a:lnTo>
                                      <a:lnTo>
                                        <a:pt x="72700" y="16154"/>
                                      </a:lnTo>
                                      <a:lnTo>
                                        <a:pt x="41272" y="40070"/>
                                      </a:lnTo>
                                      <a:lnTo>
                                        <a:pt x="17339" y="72740"/>
                                      </a:lnTo>
                                      <a:lnTo>
                                        <a:pt x="13998" y="77975"/>
                                      </a:lnTo>
                                      <a:lnTo>
                                        <a:pt x="10927" y="84563"/>
                                      </a:lnTo>
                                      <a:lnTo>
                                        <a:pt x="8760" y="91151"/>
                                      </a:lnTo>
                                      <a:lnTo>
                                        <a:pt x="6592" y="97739"/>
                                      </a:lnTo>
                                      <a:lnTo>
                                        <a:pt x="4334" y="104057"/>
                                      </a:lnTo>
                                      <a:lnTo>
                                        <a:pt x="3251" y="110645"/>
                                      </a:lnTo>
                                      <a:lnTo>
                                        <a:pt x="2167" y="117233"/>
                                      </a:lnTo>
                                      <a:lnTo>
                                        <a:pt x="1083" y="123550"/>
                                      </a:lnTo>
                                      <a:lnTo>
                                        <a:pt x="0" y="131222"/>
                                      </a:lnTo>
                                      <a:lnTo>
                                        <a:pt x="0" y="138893"/>
                                      </a:lnTo>
                                      <a:lnTo>
                                        <a:pt x="0" y="145210"/>
                                      </a:lnTo>
                                      <a:lnTo>
                                        <a:pt x="6592" y="178963"/>
                                      </a:lnTo>
                                      <a:lnTo>
                                        <a:pt x="8760" y="185552"/>
                                      </a:lnTo>
                                      <a:lnTo>
                                        <a:pt x="10927" y="191959"/>
                                      </a:lnTo>
                                      <a:lnTo>
                                        <a:pt x="13998" y="198457"/>
                                      </a:lnTo>
                                      <a:lnTo>
                                        <a:pt x="17339" y="203962"/>
                                      </a:lnTo>
                                      <a:lnTo>
                                        <a:pt x="20590" y="210550"/>
                                      </a:lnTo>
                                      <a:lnTo>
                                        <a:pt x="50935" y="245206"/>
                                      </a:lnTo>
                                      <a:lnTo>
                                        <a:pt x="84531" y="265783"/>
                                      </a:lnTo>
                                      <a:lnTo>
                                        <a:pt x="91124" y="269032"/>
                                      </a:lnTo>
                                      <a:lnTo>
                                        <a:pt x="97445" y="271198"/>
                                      </a:lnTo>
                                      <a:lnTo>
                                        <a:pt x="104038" y="272371"/>
                                      </a:lnTo>
                                      <a:lnTo>
                                        <a:pt x="110631" y="274537"/>
                                      </a:lnTo>
                                      <a:lnTo>
                                        <a:pt x="117043" y="275620"/>
                                      </a:lnTo>
                                      <a:lnTo>
                                        <a:pt x="124719" y="276703"/>
                                      </a:lnTo>
                                      <a:lnTo>
                                        <a:pt x="131312" y="276703"/>
                                      </a:lnTo>
                                      <a:lnTo>
                                        <a:pt x="138718" y="276703"/>
                                      </a:lnTo>
                                      <a:lnTo>
                                        <a:pt x="145310" y="276703"/>
                                      </a:lnTo>
                                      <a:lnTo>
                                        <a:pt x="152806" y="276703"/>
                                      </a:lnTo>
                                      <a:lnTo>
                                        <a:pt x="159399" y="275620"/>
                                      </a:lnTo>
                                      <a:lnTo>
                                        <a:pt x="166895" y="274537"/>
                                      </a:lnTo>
                                      <a:lnTo>
                                        <a:pt x="173488" y="272371"/>
                                      </a:lnTo>
                                      <a:lnTo>
                                        <a:pt x="179990" y="271198"/>
                                      </a:lnTo>
                                      <a:lnTo>
                                        <a:pt x="186402" y="269032"/>
                                      </a:lnTo>
                                      <a:lnTo>
                                        <a:pt x="191911" y="265783"/>
                                      </a:lnTo>
                                      <a:lnTo>
                                        <a:pt x="198504" y="263527"/>
                                      </a:lnTo>
                                      <a:lnTo>
                                        <a:pt x="204826" y="260458"/>
                                      </a:lnTo>
                                      <a:lnTo>
                                        <a:pt x="210335" y="257209"/>
                                      </a:lnTo>
                                      <a:lnTo>
                                        <a:pt x="215844" y="252877"/>
                                      </a:lnTo>
                                      <a:lnTo>
                                        <a:pt x="226591" y="245206"/>
                                      </a:lnTo>
                                      <a:lnTo>
                                        <a:pt x="253594" y="215785"/>
                                      </a:lnTo>
                                      <a:lnTo>
                                        <a:pt x="260186" y="203962"/>
                                      </a:lnTo>
                                      <a:lnTo>
                                        <a:pt x="263438" y="198457"/>
                                      </a:lnTo>
                                      <a:lnTo>
                                        <a:pt x="265695" y="191959"/>
                                      </a:lnTo>
                                      <a:lnTo>
                                        <a:pt x="268947" y="185552"/>
                                      </a:lnTo>
                                      <a:lnTo>
                                        <a:pt x="270933" y="178963"/>
                                      </a:lnTo>
                                      <a:lnTo>
                                        <a:pt x="272017" y="172465"/>
                                      </a:lnTo>
                                      <a:lnTo>
                                        <a:pt x="274275" y="166058"/>
                                      </a:lnTo>
                                      <a:lnTo>
                                        <a:pt x="275359" y="159470"/>
                                      </a:lnTo>
                                      <a:lnTo>
                                        <a:pt x="276442" y="152881"/>
                                      </a:lnTo>
                                      <a:lnTo>
                                        <a:pt x="276442" y="145210"/>
                                      </a:lnTo>
                                      <a:lnTo>
                                        <a:pt x="277526" y="138893"/>
                                      </a:lnTo>
                                      <a:lnTo>
                                        <a:pt x="276442" y="131222"/>
                                      </a:lnTo>
                                      <a:lnTo>
                                        <a:pt x="276442" y="123550"/>
                                      </a:lnTo>
                                      <a:lnTo>
                                        <a:pt x="275359" y="117233"/>
                                      </a:lnTo>
                                      <a:lnTo>
                                        <a:pt x="274275" y="110645"/>
                                      </a:lnTo>
                                      <a:lnTo>
                                        <a:pt x="272017" y="104057"/>
                                      </a:lnTo>
                                      <a:lnTo>
                                        <a:pt x="270933" y="97739"/>
                                      </a:lnTo>
                                      <a:lnTo>
                                        <a:pt x="268947" y="91151"/>
                                      </a:lnTo>
                                      <a:lnTo>
                                        <a:pt x="265695" y="84563"/>
                                      </a:lnTo>
                                      <a:lnTo>
                                        <a:pt x="263438" y="77975"/>
                                      </a:lnTo>
                                      <a:lnTo>
                                        <a:pt x="260186" y="72740"/>
                                      </a:lnTo>
                                      <a:lnTo>
                                        <a:pt x="256845" y="66152"/>
                                      </a:lnTo>
                                      <a:lnTo>
                                        <a:pt x="253594" y="60647"/>
                                      </a:lnTo>
                                      <a:lnTo>
                                        <a:pt x="245014" y="49907"/>
                                      </a:lnTo>
                                      <a:lnTo>
                                        <a:pt x="236254" y="40070"/>
                                      </a:lnTo>
                                      <a:lnTo>
                                        <a:pt x="226591" y="31316"/>
                                      </a:lnTo>
                                      <a:lnTo>
                                        <a:pt x="215844" y="23825"/>
                                      </a:lnTo>
                                      <a:lnTo>
                                        <a:pt x="210335" y="19493"/>
                                      </a:lnTo>
                                      <a:lnTo>
                                        <a:pt x="204826" y="16154"/>
                                      </a:lnTo>
                                      <a:lnTo>
                                        <a:pt x="198504" y="13988"/>
                                      </a:lnTo>
                                      <a:lnTo>
                                        <a:pt x="191911" y="10739"/>
                                      </a:lnTo>
                                      <a:lnTo>
                                        <a:pt x="186402" y="8483"/>
                                      </a:lnTo>
                                      <a:lnTo>
                                        <a:pt x="179990" y="6588"/>
                                      </a:lnTo>
                                      <a:lnTo>
                                        <a:pt x="173488" y="4331"/>
                                      </a:lnTo>
                                      <a:lnTo>
                                        <a:pt x="166895" y="3248"/>
                                      </a:lnTo>
                                      <a:lnTo>
                                        <a:pt x="159399" y="1082"/>
                                      </a:lnTo>
                                      <a:lnTo>
                                        <a:pt x="152806" y="1082"/>
                                      </a:lnTo>
                                      <a:lnTo>
                                        <a:pt x="145310" y="0"/>
                                      </a:lnTo>
                                      <a:lnTo>
                                        <a:pt x="138718"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95847" name="Image 1430"/>
                                <pic:cNvPicPr/>
                              </pic:nvPicPr>
                              <pic:blipFill>
                                <a:blip r:embed="rId131" cstate="print"/>
                                <a:stretch>
                                  <a:fillRect/>
                                </a:stretch>
                              </pic:blipFill>
                              <pic:spPr>
                                <a:xfrm>
                                  <a:off x="0" y="76892"/>
                                  <a:ext cx="131305" cy="131489"/>
                                </a:xfrm>
                                <a:prstGeom prst="rect">
                                  <a:avLst/>
                                </a:prstGeom>
                              </pic:spPr>
                            </pic:pic>
                            <pic:pic xmlns:pic="http://schemas.openxmlformats.org/drawingml/2006/picture">
                              <pic:nvPicPr>
                                <pic:cNvPr id="2295848" name="Image 1431"/>
                                <pic:cNvPicPr/>
                              </pic:nvPicPr>
                              <pic:blipFill>
                                <a:blip r:embed="rId132" cstate="print"/>
                                <a:stretch>
                                  <a:fillRect/>
                                </a:stretch>
                              </pic:blipFill>
                              <pic:spPr>
                                <a:xfrm>
                                  <a:off x="393486" y="21659"/>
                                  <a:ext cx="240943" cy="242135"/>
                                </a:xfrm>
                                <a:prstGeom prst="rect">
                                  <a:avLst/>
                                </a:prstGeom>
                              </pic:spPr>
                            </pic:pic>
                            <wps:wsp>
                              <wps:cNvPr id="2295849" name="Graphic 1432"/>
                              <wps:cNvSpPr/>
                              <wps:spPr>
                                <a:xfrm>
                                  <a:off x="90081" y="3292"/>
                                  <a:ext cx="278130" cy="276860"/>
                                </a:xfrm>
                                <a:custGeom>
                                  <a:avLst/>
                                  <a:gdLst/>
                                  <a:ahLst/>
                                  <a:cxnLst/>
                                  <a:rect l="l" t="t" r="r" b="b"/>
                                  <a:pathLst>
                                    <a:path w="278130" h="276860">
                                      <a:moveTo>
                                        <a:pt x="138718" y="0"/>
                                      </a:moveTo>
                                      <a:lnTo>
                                        <a:pt x="131312" y="0"/>
                                      </a:lnTo>
                                      <a:lnTo>
                                        <a:pt x="124719" y="1082"/>
                                      </a:lnTo>
                                      <a:lnTo>
                                        <a:pt x="117043" y="1082"/>
                                      </a:lnTo>
                                      <a:lnTo>
                                        <a:pt x="110631" y="3248"/>
                                      </a:lnTo>
                                      <a:lnTo>
                                        <a:pt x="104038" y="4331"/>
                                      </a:lnTo>
                                      <a:lnTo>
                                        <a:pt x="97445" y="6588"/>
                                      </a:lnTo>
                                      <a:lnTo>
                                        <a:pt x="91124" y="8483"/>
                                      </a:lnTo>
                                      <a:lnTo>
                                        <a:pt x="84531" y="10739"/>
                                      </a:lnTo>
                                      <a:lnTo>
                                        <a:pt x="78119" y="13988"/>
                                      </a:lnTo>
                                      <a:lnTo>
                                        <a:pt x="72700" y="16154"/>
                                      </a:lnTo>
                                      <a:lnTo>
                                        <a:pt x="41272" y="40070"/>
                                      </a:lnTo>
                                      <a:lnTo>
                                        <a:pt x="17339" y="72740"/>
                                      </a:lnTo>
                                      <a:lnTo>
                                        <a:pt x="13998" y="77975"/>
                                      </a:lnTo>
                                      <a:lnTo>
                                        <a:pt x="10927" y="84563"/>
                                      </a:lnTo>
                                      <a:lnTo>
                                        <a:pt x="8760" y="91151"/>
                                      </a:lnTo>
                                      <a:lnTo>
                                        <a:pt x="6592" y="97739"/>
                                      </a:lnTo>
                                      <a:lnTo>
                                        <a:pt x="4334" y="104057"/>
                                      </a:lnTo>
                                      <a:lnTo>
                                        <a:pt x="3251" y="110645"/>
                                      </a:lnTo>
                                      <a:lnTo>
                                        <a:pt x="2167" y="117233"/>
                                      </a:lnTo>
                                      <a:lnTo>
                                        <a:pt x="1083" y="123550"/>
                                      </a:lnTo>
                                      <a:lnTo>
                                        <a:pt x="0" y="131222"/>
                                      </a:lnTo>
                                      <a:lnTo>
                                        <a:pt x="0" y="138893"/>
                                      </a:lnTo>
                                      <a:lnTo>
                                        <a:pt x="0" y="145210"/>
                                      </a:lnTo>
                                      <a:lnTo>
                                        <a:pt x="6592" y="178963"/>
                                      </a:lnTo>
                                      <a:lnTo>
                                        <a:pt x="8760" y="185552"/>
                                      </a:lnTo>
                                      <a:lnTo>
                                        <a:pt x="10927" y="191959"/>
                                      </a:lnTo>
                                      <a:lnTo>
                                        <a:pt x="13998" y="198457"/>
                                      </a:lnTo>
                                      <a:lnTo>
                                        <a:pt x="17339" y="203962"/>
                                      </a:lnTo>
                                      <a:lnTo>
                                        <a:pt x="20590" y="210550"/>
                                      </a:lnTo>
                                      <a:lnTo>
                                        <a:pt x="50935" y="245206"/>
                                      </a:lnTo>
                                      <a:lnTo>
                                        <a:pt x="84531" y="265783"/>
                                      </a:lnTo>
                                      <a:lnTo>
                                        <a:pt x="91124" y="269032"/>
                                      </a:lnTo>
                                      <a:lnTo>
                                        <a:pt x="97445" y="271198"/>
                                      </a:lnTo>
                                      <a:lnTo>
                                        <a:pt x="104038" y="272371"/>
                                      </a:lnTo>
                                      <a:lnTo>
                                        <a:pt x="110631" y="274537"/>
                                      </a:lnTo>
                                      <a:lnTo>
                                        <a:pt x="117043" y="275620"/>
                                      </a:lnTo>
                                      <a:lnTo>
                                        <a:pt x="124719" y="276703"/>
                                      </a:lnTo>
                                      <a:lnTo>
                                        <a:pt x="131312" y="276703"/>
                                      </a:lnTo>
                                      <a:lnTo>
                                        <a:pt x="138718" y="276703"/>
                                      </a:lnTo>
                                      <a:lnTo>
                                        <a:pt x="145310" y="276703"/>
                                      </a:lnTo>
                                      <a:lnTo>
                                        <a:pt x="152806" y="276703"/>
                                      </a:lnTo>
                                      <a:lnTo>
                                        <a:pt x="159399" y="275620"/>
                                      </a:lnTo>
                                      <a:lnTo>
                                        <a:pt x="166895" y="274537"/>
                                      </a:lnTo>
                                      <a:lnTo>
                                        <a:pt x="173488" y="272371"/>
                                      </a:lnTo>
                                      <a:lnTo>
                                        <a:pt x="179990" y="271198"/>
                                      </a:lnTo>
                                      <a:lnTo>
                                        <a:pt x="186402" y="269032"/>
                                      </a:lnTo>
                                      <a:lnTo>
                                        <a:pt x="191911" y="265783"/>
                                      </a:lnTo>
                                      <a:lnTo>
                                        <a:pt x="198504" y="263527"/>
                                      </a:lnTo>
                                      <a:lnTo>
                                        <a:pt x="204826" y="260458"/>
                                      </a:lnTo>
                                      <a:lnTo>
                                        <a:pt x="210335" y="257209"/>
                                      </a:lnTo>
                                      <a:lnTo>
                                        <a:pt x="215844" y="252877"/>
                                      </a:lnTo>
                                      <a:lnTo>
                                        <a:pt x="226591" y="245206"/>
                                      </a:lnTo>
                                      <a:lnTo>
                                        <a:pt x="253594" y="215785"/>
                                      </a:lnTo>
                                      <a:lnTo>
                                        <a:pt x="260186" y="203962"/>
                                      </a:lnTo>
                                      <a:lnTo>
                                        <a:pt x="263438" y="198457"/>
                                      </a:lnTo>
                                      <a:lnTo>
                                        <a:pt x="265695" y="191959"/>
                                      </a:lnTo>
                                      <a:lnTo>
                                        <a:pt x="268947" y="185552"/>
                                      </a:lnTo>
                                      <a:lnTo>
                                        <a:pt x="270933" y="178963"/>
                                      </a:lnTo>
                                      <a:lnTo>
                                        <a:pt x="272017" y="172465"/>
                                      </a:lnTo>
                                      <a:lnTo>
                                        <a:pt x="274275" y="166058"/>
                                      </a:lnTo>
                                      <a:lnTo>
                                        <a:pt x="275359" y="159470"/>
                                      </a:lnTo>
                                      <a:lnTo>
                                        <a:pt x="276442" y="152881"/>
                                      </a:lnTo>
                                      <a:lnTo>
                                        <a:pt x="276442" y="145210"/>
                                      </a:lnTo>
                                      <a:lnTo>
                                        <a:pt x="277526" y="138893"/>
                                      </a:lnTo>
                                      <a:lnTo>
                                        <a:pt x="276442" y="131222"/>
                                      </a:lnTo>
                                      <a:lnTo>
                                        <a:pt x="276442" y="123550"/>
                                      </a:lnTo>
                                      <a:lnTo>
                                        <a:pt x="275359" y="117233"/>
                                      </a:lnTo>
                                      <a:lnTo>
                                        <a:pt x="274275" y="110645"/>
                                      </a:lnTo>
                                      <a:lnTo>
                                        <a:pt x="272017" y="104057"/>
                                      </a:lnTo>
                                      <a:lnTo>
                                        <a:pt x="270933" y="97739"/>
                                      </a:lnTo>
                                      <a:lnTo>
                                        <a:pt x="268947" y="91151"/>
                                      </a:lnTo>
                                      <a:lnTo>
                                        <a:pt x="265695" y="84563"/>
                                      </a:lnTo>
                                      <a:lnTo>
                                        <a:pt x="263438" y="77975"/>
                                      </a:lnTo>
                                      <a:lnTo>
                                        <a:pt x="260186" y="72740"/>
                                      </a:lnTo>
                                      <a:lnTo>
                                        <a:pt x="256845" y="66152"/>
                                      </a:lnTo>
                                      <a:lnTo>
                                        <a:pt x="253594" y="60647"/>
                                      </a:lnTo>
                                      <a:lnTo>
                                        <a:pt x="245014" y="49907"/>
                                      </a:lnTo>
                                      <a:lnTo>
                                        <a:pt x="236254" y="40070"/>
                                      </a:lnTo>
                                      <a:lnTo>
                                        <a:pt x="226591" y="31316"/>
                                      </a:lnTo>
                                      <a:lnTo>
                                        <a:pt x="215844" y="23825"/>
                                      </a:lnTo>
                                      <a:lnTo>
                                        <a:pt x="210335" y="19493"/>
                                      </a:lnTo>
                                      <a:lnTo>
                                        <a:pt x="204826" y="16154"/>
                                      </a:lnTo>
                                      <a:lnTo>
                                        <a:pt x="198504" y="13988"/>
                                      </a:lnTo>
                                      <a:lnTo>
                                        <a:pt x="191911" y="10739"/>
                                      </a:lnTo>
                                      <a:lnTo>
                                        <a:pt x="186402" y="8483"/>
                                      </a:lnTo>
                                      <a:lnTo>
                                        <a:pt x="179990" y="6588"/>
                                      </a:lnTo>
                                      <a:lnTo>
                                        <a:pt x="173488" y="4331"/>
                                      </a:lnTo>
                                      <a:lnTo>
                                        <a:pt x="166895" y="3248"/>
                                      </a:lnTo>
                                      <a:lnTo>
                                        <a:pt x="159399" y="1082"/>
                                      </a:lnTo>
                                      <a:lnTo>
                                        <a:pt x="152806" y="1082"/>
                                      </a:lnTo>
                                      <a:lnTo>
                                        <a:pt x="145310" y="0"/>
                                      </a:lnTo>
                                      <a:lnTo>
                                        <a:pt x="138718"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95850" name="Image 1433"/>
                                <pic:cNvPicPr/>
                              </pic:nvPicPr>
                              <pic:blipFill>
                                <a:blip r:embed="rId131" cstate="print"/>
                                <a:stretch>
                                  <a:fillRect/>
                                </a:stretch>
                              </pic:blipFill>
                              <pic:spPr>
                                <a:xfrm>
                                  <a:off x="0" y="76892"/>
                                  <a:ext cx="131305" cy="131489"/>
                                </a:xfrm>
                                <a:prstGeom prst="rect">
                                  <a:avLst/>
                                </a:prstGeom>
                              </pic:spPr>
                            </pic:pic>
                            <pic:pic xmlns:pic="http://schemas.openxmlformats.org/drawingml/2006/picture">
                              <pic:nvPicPr>
                                <pic:cNvPr id="2295851" name="Image 1434"/>
                                <pic:cNvPicPr/>
                              </pic:nvPicPr>
                              <pic:blipFill>
                                <a:blip r:embed="rId132" cstate="print"/>
                                <a:stretch>
                                  <a:fillRect/>
                                </a:stretch>
                              </pic:blipFill>
                              <pic:spPr>
                                <a:xfrm>
                                  <a:off x="393486" y="21659"/>
                                  <a:ext cx="240943" cy="242135"/>
                                </a:xfrm>
                                <a:prstGeom prst="rect">
                                  <a:avLst/>
                                </a:prstGeom>
                              </pic:spPr>
                            </pic:pic>
                          </wpg:wgp>
                        </a:graphicData>
                      </a:graphic>
                    </wp:anchor>
                  </w:drawing>
                </mc:Choice>
                <mc:Fallback>
                  <w:pict>
                    <v:group w14:anchorId="4400F6B0" id="Group 1428" o:spid="_x0000_s1026" style="position:absolute;margin-left:72.4pt;margin-top:.65pt;width:50pt;height:22.35pt;z-index:-251337728;mso-wrap-distance-left:0;mso-wrap-distance-right:0" coordsize="6350,28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">
                      <v:shape id="Graphic 1429" o:spid="_x0000_s1027" style="position:absolute;left:900;top:32;width:2782;height:2769;visibility:visible;mso-wrap-style:square;v-text-anchor:top" coordsize="278130,276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" path="m138718,r-7406,l124719,1082r-7676,l110631,3248r-6593,1083l97445,6588,91124,8483r-6593,2256l78119,13988r-5419,2166l41272,40070,17339,72740r-3341,5235l10927,84563,8760,91151,6592,97739r-2258,6318l3251,110645r-1084,6588l1083,123550,,131222r,7671l,145210r6592,33753l8760,185552r2167,6407l13998,198457r3341,5505l20590,210550r30345,34656l84531,265783r6593,3249l97445,271198r6593,1173l110631,274537r6412,1083l124719,276703r6593,l138718,276703r6592,l152806,276703r6593,-1083l166895,274537r6593,-2166l179990,271198r6412,-2166l191911,265783r6593,-2256l204826,260458r5509,-3249l215844,252877r10747,-7671l253594,215785r6592,-11823l263438,198457r2257,-6498l268947,185552r1986,-6589l272017,172465r2258,-6407l275359,159470r1083,-6589l276442,145210r1084,-6317l276442,131222r,-7672l275359,117233r-1084,-6588l272017,104057r-1084,-6318l268947,91151r-3252,-6588l263438,77975r-3252,-5235l256845,66152r-3251,-5505l245014,49907r-8760,-9837l226591,31316,215844,23825r-5509,-4332l204826,16154r-6322,-2166l191911,10739,186402,8483,179990,6588,173488,4331,166895,3248,159399,1082r-6593,l145310,r-6592,e" filled="f" strokeweight=".18292mm">
                        <v:path arrowok="t"/>
                      </v:shape>
                      <v:shape id="Image 1430" o:spid="_x0000_s1028" type="#_x0000_t75" style="position:absolute;top:768;width:1313;height:13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">
                        <v:imagedata r:id="rId133" o:title=""/>
                      </v:shape>
                      <v:shape id="Image 1431" o:spid="_x0000_s1029" type="#_x0000_t75" style="position:absolute;left:3934;top:216;width:2410;height:24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">
                        <v:imagedata r:id="rId134" o:title=""/>
                      </v:shape>
                      <v:shape id="Graphic 1432" o:spid="_x0000_s1030" style="position:absolute;left:900;top:32;width:2782;height:2769;visibility:visible;mso-wrap-style:square;v-text-anchor:top" coordsize="278130,276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" path="m138718,r-7406,l124719,1082r-7676,l110631,3248r-6593,1083l97445,6588,91124,8483r-6593,2256l78119,13988r-5419,2166l41272,40070,17339,72740r-3341,5235l10927,84563,8760,91151,6592,97739r-2258,6318l3251,110645r-1084,6588l1083,123550,,131222r,7671l,145210r6592,33753l8760,185552r2167,6407l13998,198457r3341,5505l20590,210550r30345,34656l84531,265783r6593,3249l97445,271198r6593,1173l110631,274537r6412,1083l124719,276703r6593,l138718,276703r6592,l152806,276703r6593,-1083l166895,274537r6593,-2166l179990,271198r6412,-2166l191911,265783r6593,-2256l204826,260458r5509,-3249l215844,252877r10747,-7671l253594,215785r6592,-11823l263438,198457r2257,-6498l268947,185552r1986,-6589l272017,172465r2258,-6407l275359,159470r1083,-6589l276442,145210r1084,-6317l276442,131222r,-7672l275359,117233r-1084,-6588l272017,104057r-1084,-6318l268947,91151r-3252,-6588l263438,77975r-3252,-5235l256845,66152r-3251,-5505l245014,49907r-8760,-9837l226591,31316,215844,23825r-5509,-4332l204826,16154r-6322,-2166l191911,10739,186402,8483,179990,6588,173488,4331,166895,3248,159399,1082r-6593,l145310,r-6592,e" filled="f" strokeweight=".18292mm">
                        <v:path arrowok="t"/>
                      </v:shape>
                      <v:shape id="Image 1433" o:spid="_x0000_s1031" type="#_x0000_t75" style="position:absolute;top:768;width:1313;height:13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">
                        <v:imagedata r:id="rId133" o:title=""/>
                      </v:shape>
                      <v:shape id="Image 1434" o:spid="_x0000_s1032" type="#_x0000_t75" style="position:absolute;left:3934;top:216;width:2410;height:24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">
                        <v:imagedata r:id="rId134" o:title=""/>
                      </v:shape>
                    </v:group>
                  </w:pict>
                </mc:Fallback>
              </mc:AlternateContent>
            </w:r>
            <w:r w:rsidRPr="00E73F6F">
              <w:rPr>
                <w:spacing w:val="-2"/>
                <w:sz w:val="24"/>
                <w:szCs w:val="24"/>
                <w:lang w:val="de-DE"/>
              </w:rPr>
              <w:t>Spanien</w:t>
            </w:r>
          </w:p>
        </w:tc>
      </w:tr>
      <w:tr w:rsidR="00FF7799" w:rsidRPr="00E73F6F" w14:paraId="5D5481AF" w14:textId="77777777" w:rsidTr="00A67B23">
        <w:trPr>
          <w:trHeight w:val="960"/>
        </w:trPr>
        <w:tc>
          <w:tcPr>
            <w:tcW w:w="4599" w:type="dxa"/>
          </w:tcPr>
          <w:p w14:paraId="50CFBF6B" w14:textId="77777777" w:rsidR="00FF7799" w:rsidRPr="00E73F6F" w:rsidRDefault="00FF7799" w:rsidP="00862DBA">
            <w:pPr>
              <w:rPr>
                <w:i/>
                <w:sz w:val="24"/>
                <w:szCs w:val="24"/>
                <w:lang w:val="de-DE"/>
              </w:rPr>
            </w:pPr>
          </w:p>
          <w:p w14:paraId="4CEF493B" w14:textId="77777777" w:rsidR="00FF7799" w:rsidRPr="00E73F6F" w:rsidRDefault="00FF7799" w:rsidP="00862DBA">
            <w:pPr>
              <w:spacing w:before="137"/>
              <w:rPr>
                <w:sz w:val="24"/>
                <w:szCs w:val="24"/>
                <w:lang w:val="de-DE"/>
              </w:rPr>
            </w:pPr>
            <w:r w:rsidRPr="00E73F6F">
              <w:rPr>
                <w:noProof/>
                <w:sz w:val="24"/>
                <w:szCs w:val="24"/>
                <w:lang w:eastAsia="de-DE"/>
              </w:rPr>
              <mc:AlternateContent>
                <mc:Choice Requires="wpg">
                  <w:drawing>
                    <wp:anchor distT="0" distB="0" distL="0" distR="0" simplePos="0" relativeHeight="251970560" behindDoc="1" locked="0" layoutInCell="1" allowOverlap="1" wp14:anchorId="70D178A3" wp14:editId="2F0E0A5D">
                      <wp:simplePos x="0" y="0"/>
                      <wp:positionH relativeFrom="column">
                        <wp:posOffset>964878</wp:posOffset>
                      </wp:positionH>
                      <wp:positionV relativeFrom="paragraph">
                        <wp:posOffset>12911</wp:posOffset>
                      </wp:positionV>
                      <wp:extent cx="615950" cy="317500"/>
                      <wp:effectExtent l="0" t="0" r="0" b="0"/>
                      <wp:wrapNone/>
                      <wp:docPr id="2295852" name="Group 14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5950" cy="317500"/>
                                <a:chOff x="0" y="0"/>
                                <a:chExt cx="615950" cy="317500"/>
                              </a:xfrm>
                            </wpg:grpSpPr>
                            <pic:pic xmlns:pic="http://schemas.openxmlformats.org/drawingml/2006/picture">
                              <pic:nvPicPr>
                                <pic:cNvPr id="2295853" name="Image 1436"/>
                                <pic:cNvPicPr/>
                              </pic:nvPicPr>
                              <pic:blipFill>
                                <a:blip r:embed="rId135" cstate="print"/>
                                <a:stretch>
                                  <a:fillRect/>
                                </a:stretch>
                              </pic:blipFill>
                              <pic:spPr>
                                <a:xfrm>
                                  <a:off x="133299" y="52163"/>
                                  <a:ext cx="213578" cy="212759"/>
                                </a:xfrm>
                                <a:prstGeom prst="rect">
                                  <a:avLst/>
                                </a:prstGeom>
                              </pic:spPr>
                            </pic:pic>
                            <wps:wsp>
                              <wps:cNvPr id="2295854" name="Graphic 1437"/>
                              <wps:cNvSpPr/>
                              <wps:spPr>
                                <a:xfrm>
                                  <a:off x="302313" y="3292"/>
                                  <a:ext cx="310515" cy="310515"/>
                                </a:xfrm>
                                <a:custGeom>
                                  <a:avLst/>
                                  <a:gdLst/>
                                  <a:ahLst/>
                                  <a:cxnLst/>
                                  <a:rect l="l" t="t" r="r" b="b"/>
                                  <a:pathLst>
                                    <a:path w="310515" h="310515">
                                      <a:moveTo>
                                        <a:pt x="155064" y="0"/>
                                      </a:moveTo>
                                      <a:lnTo>
                                        <a:pt x="147568" y="0"/>
                                      </a:lnTo>
                                      <a:lnTo>
                                        <a:pt x="138808" y="1082"/>
                                      </a:lnTo>
                                      <a:lnTo>
                                        <a:pt x="131312" y="1082"/>
                                      </a:lnTo>
                                      <a:lnTo>
                                        <a:pt x="123636" y="3339"/>
                                      </a:lnTo>
                                      <a:lnTo>
                                        <a:pt x="116230" y="4422"/>
                                      </a:lnTo>
                                      <a:lnTo>
                                        <a:pt x="108463" y="6588"/>
                                      </a:lnTo>
                                      <a:lnTo>
                                        <a:pt x="102142" y="8754"/>
                                      </a:lnTo>
                                      <a:lnTo>
                                        <a:pt x="94465" y="12093"/>
                                      </a:lnTo>
                                      <a:lnTo>
                                        <a:pt x="87872" y="15161"/>
                                      </a:lnTo>
                                      <a:lnTo>
                                        <a:pt x="81460" y="18419"/>
                                      </a:lnTo>
                                      <a:lnTo>
                                        <a:pt x="74868" y="21704"/>
                                      </a:lnTo>
                                      <a:lnTo>
                                        <a:pt x="45697" y="45584"/>
                                      </a:lnTo>
                                      <a:lnTo>
                                        <a:pt x="40188" y="51062"/>
                                      </a:lnTo>
                                      <a:lnTo>
                                        <a:pt x="34679" y="56541"/>
                                      </a:lnTo>
                                      <a:lnTo>
                                        <a:pt x="30525" y="61802"/>
                                      </a:lnTo>
                                      <a:lnTo>
                                        <a:pt x="26190" y="68372"/>
                                      </a:lnTo>
                                      <a:lnTo>
                                        <a:pt x="21765" y="74951"/>
                                      </a:lnTo>
                                      <a:lnTo>
                                        <a:pt x="18513" y="81521"/>
                                      </a:lnTo>
                                      <a:lnTo>
                                        <a:pt x="15352" y="87875"/>
                                      </a:lnTo>
                                      <a:lnTo>
                                        <a:pt x="12101" y="94445"/>
                                      </a:lnTo>
                                      <a:lnTo>
                                        <a:pt x="8850" y="102116"/>
                                      </a:lnTo>
                                      <a:lnTo>
                                        <a:pt x="6592" y="108470"/>
                                      </a:lnTo>
                                      <a:lnTo>
                                        <a:pt x="4425" y="116141"/>
                                      </a:lnTo>
                                      <a:lnTo>
                                        <a:pt x="3341" y="123812"/>
                                      </a:lnTo>
                                      <a:lnTo>
                                        <a:pt x="1083" y="131258"/>
                                      </a:lnTo>
                                      <a:lnTo>
                                        <a:pt x="1083" y="138929"/>
                                      </a:lnTo>
                                      <a:lnTo>
                                        <a:pt x="0" y="147692"/>
                                      </a:lnTo>
                                      <a:lnTo>
                                        <a:pt x="0" y="155138"/>
                                      </a:lnTo>
                                      <a:lnTo>
                                        <a:pt x="0" y="162809"/>
                                      </a:lnTo>
                                      <a:lnTo>
                                        <a:pt x="1083" y="171572"/>
                                      </a:lnTo>
                                      <a:lnTo>
                                        <a:pt x="1083" y="179027"/>
                                      </a:lnTo>
                                      <a:lnTo>
                                        <a:pt x="3341" y="186689"/>
                                      </a:lnTo>
                                      <a:lnTo>
                                        <a:pt x="4425" y="194360"/>
                                      </a:lnTo>
                                      <a:lnTo>
                                        <a:pt x="6592" y="201814"/>
                                      </a:lnTo>
                                      <a:lnTo>
                                        <a:pt x="8850" y="208385"/>
                                      </a:lnTo>
                                      <a:lnTo>
                                        <a:pt x="12101" y="216056"/>
                                      </a:lnTo>
                                      <a:lnTo>
                                        <a:pt x="15352" y="222409"/>
                                      </a:lnTo>
                                      <a:lnTo>
                                        <a:pt x="18513" y="228979"/>
                                      </a:lnTo>
                                      <a:lnTo>
                                        <a:pt x="40188" y="259438"/>
                                      </a:lnTo>
                                      <a:lnTo>
                                        <a:pt x="45697" y="264917"/>
                                      </a:lnTo>
                                      <a:lnTo>
                                        <a:pt x="81460" y="291865"/>
                                      </a:lnTo>
                                      <a:lnTo>
                                        <a:pt x="87872" y="295150"/>
                                      </a:lnTo>
                                      <a:lnTo>
                                        <a:pt x="123636" y="307198"/>
                                      </a:lnTo>
                                      <a:lnTo>
                                        <a:pt x="131312" y="309391"/>
                                      </a:lnTo>
                                      <a:lnTo>
                                        <a:pt x="138808" y="310492"/>
                                      </a:lnTo>
                                      <a:lnTo>
                                        <a:pt x="147568" y="310492"/>
                                      </a:lnTo>
                                      <a:lnTo>
                                        <a:pt x="155064" y="310492"/>
                                      </a:lnTo>
                                      <a:lnTo>
                                        <a:pt x="162741" y="310492"/>
                                      </a:lnTo>
                                      <a:lnTo>
                                        <a:pt x="171320" y="310492"/>
                                      </a:lnTo>
                                      <a:lnTo>
                                        <a:pt x="178997" y="309391"/>
                                      </a:lnTo>
                                      <a:lnTo>
                                        <a:pt x="186673" y="307198"/>
                                      </a:lnTo>
                                      <a:lnTo>
                                        <a:pt x="194169" y="306106"/>
                                      </a:lnTo>
                                      <a:lnTo>
                                        <a:pt x="201845" y="303913"/>
                                      </a:lnTo>
                                      <a:lnTo>
                                        <a:pt x="208167" y="301729"/>
                                      </a:lnTo>
                                      <a:lnTo>
                                        <a:pt x="215844" y="298435"/>
                                      </a:lnTo>
                                      <a:lnTo>
                                        <a:pt x="222436" y="295150"/>
                                      </a:lnTo>
                                      <a:lnTo>
                                        <a:pt x="228848" y="291865"/>
                                      </a:lnTo>
                                      <a:lnTo>
                                        <a:pt x="235441" y="288796"/>
                                      </a:lnTo>
                                      <a:lnTo>
                                        <a:pt x="241763" y="284419"/>
                                      </a:lnTo>
                                      <a:lnTo>
                                        <a:pt x="248356" y="280033"/>
                                      </a:lnTo>
                                      <a:lnTo>
                                        <a:pt x="253865" y="275647"/>
                                      </a:lnTo>
                                      <a:lnTo>
                                        <a:pt x="284209" y="242129"/>
                                      </a:lnTo>
                                      <a:lnTo>
                                        <a:pt x="294956" y="222409"/>
                                      </a:lnTo>
                                      <a:lnTo>
                                        <a:pt x="298207" y="216056"/>
                                      </a:lnTo>
                                      <a:lnTo>
                                        <a:pt x="301549" y="208385"/>
                                      </a:lnTo>
                                      <a:lnTo>
                                        <a:pt x="303716" y="201814"/>
                                      </a:lnTo>
                                      <a:lnTo>
                                        <a:pt x="305884" y="194360"/>
                                      </a:lnTo>
                                      <a:lnTo>
                                        <a:pt x="306968" y="186689"/>
                                      </a:lnTo>
                                      <a:lnTo>
                                        <a:pt x="309225" y="179027"/>
                                      </a:lnTo>
                                      <a:lnTo>
                                        <a:pt x="310038" y="171572"/>
                                      </a:lnTo>
                                      <a:lnTo>
                                        <a:pt x="310038" y="162809"/>
                                      </a:lnTo>
                                      <a:lnTo>
                                        <a:pt x="310038" y="155138"/>
                                      </a:lnTo>
                                      <a:lnTo>
                                        <a:pt x="310038" y="147692"/>
                                      </a:lnTo>
                                      <a:lnTo>
                                        <a:pt x="310038" y="138929"/>
                                      </a:lnTo>
                                      <a:lnTo>
                                        <a:pt x="309225" y="131258"/>
                                      </a:lnTo>
                                      <a:lnTo>
                                        <a:pt x="306968" y="123812"/>
                                      </a:lnTo>
                                      <a:lnTo>
                                        <a:pt x="305884" y="116141"/>
                                      </a:lnTo>
                                      <a:lnTo>
                                        <a:pt x="303716" y="108470"/>
                                      </a:lnTo>
                                      <a:lnTo>
                                        <a:pt x="301549" y="102116"/>
                                      </a:lnTo>
                                      <a:lnTo>
                                        <a:pt x="298207" y="94445"/>
                                      </a:lnTo>
                                      <a:lnTo>
                                        <a:pt x="294956" y="87875"/>
                                      </a:lnTo>
                                      <a:lnTo>
                                        <a:pt x="291886" y="81521"/>
                                      </a:lnTo>
                                      <a:lnTo>
                                        <a:pt x="264612" y="45584"/>
                                      </a:lnTo>
                                      <a:lnTo>
                                        <a:pt x="259103" y="40106"/>
                                      </a:lnTo>
                                      <a:lnTo>
                                        <a:pt x="253865" y="34854"/>
                                      </a:lnTo>
                                      <a:lnTo>
                                        <a:pt x="248356" y="30468"/>
                                      </a:lnTo>
                                      <a:lnTo>
                                        <a:pt x="241763" y="26090"/>
                                      </a:lnTo>
                                      <a:lnTo>
                                        <a:pt x="235441" y="21704"/>
                                      </a:lnTo>
                                      <a:lnTo>
                                        <a:pt x="228848" y="18419"/>
                                      </a:lnTo>
                                      <a:lnTo>
                                        <a:pt x="222436" y="15161"/>
                                      </a:lnTo>
                                      <a:lnTo>
                                        <a:pt x="215844" y="12093"/>
                                      </a:lnTo>
                                      <a:lnTo>
                                        <a:pt x="208167" y="8754"/>
                                      </a:lnTo>
                                      <a:lnTo>
                                        <a:pt x="201845" y="6588"/>
                                      </a:lnTo>
                                      <a:lnTo>
                                        <a:pt x="194169" y="4422"/>
                                      </a:lnTo>
                                      <a:lnTo>
                                        <a:pt x="186673" y="3339"/>
                                      </a:lnTo>
                                      <a:lnTo>
                                        <a:pt x="178997" y="1082"/>
                                      </a:lnTo>
                                      <a:lnTo>
                                        <a:pt x="171320" y="1082"/>
                                      </a:lnTo>
                                      <a:lnTo>
                                        <a:pt x="162741" y="0"/>
                                      </a:lnTo>
                                      <a:lnTo>
                                        <a:pt x="155064"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95855" name="Image 1438"/>
                                <pic:cNvPicPr/>
                              </pic:nvPicPr>
                              <pic:blipFill>
                                <a:blip r:embed="rId136" cstate="print"/>
                                <a:stretch>
                                  <a:fillRect/>
                                </a:stretch>
                              </pic:blipFill>
                              <pic:spPr>
                                <a:xfrm>
                                  <a:off x="0" y="81521"/>
                                  <a:ext cx="152799" cy="154043"/>
                                </a:xfrm>
                                <a:prstGeom prst="rect">
                                  <a:avLst/>
                                </a:prstGeom>
                              </pic:spPr>
                            </pic:pic>
                            <pic:pic xmlns:pic="http://schemas.openxmlformats.org/drawingml/2006/picture">
                              <pic:nvPicPr>
                                <pic:cNvPr id="2295856" name="Image 1439"/>
                                <pic:cNvPicPr/>
                              </pic:nvPicPr>
                              <pic:blipFill>
                                <a:blip r:embed="rId135" cstate="print"/>
                                <a:stretch>
                                  <a:fillRect/>
                                </a:stretch>
                              </pic:blipFill>
                              <pic:spPr>
                                <a:xfrm>
                                  <a:off x="133299" y="52163"/>
                                  <a:ext cx="213578" cy="212759"/>
                                </a:xfrm>
                                <a:prstGeom prst="rect">
                                  <a:avLst/>
                                </a:prstGeom>
                              </pic:spPr>
                            </pic:pic>
                            <wps:wsp>
                              <wps:cNvPr id="2295857" name="Graphic 1440"/>
                              <wps:cNvSpPr/>
                              <wps:spPr>
                                <a:xfrm>
                                  <a:off x="302313" y="3292"/>
                                  <a:ext cx="310515" cy="310515"/>
                                </a:xfrm>
                                <a:custGeom>
                                  <a:avLst/>
                                  <a:gdLst/>
                                  <a:ahLst/>
                                  <a:cxnLst/>
                                  <a:rect l="l" t="t" r="r" b="b"/>
                                  <a:pathLst>
                                    <a:path w="310515" h="310515">
                                      <a:moveTo>
                                        <a:pt x="155064" y="0"/>
                                      </a:moveTo>
                                      <a:lnTo>
                                        <a:pt x="147568" y="0"/>
                                      </a:lnTo>
                                      <a:lnTo>
                                        <a:pt x="138808" y="1082"/>
                                      </a:lnTo>
                                      <a:lnTo>
                                        <a:pt x="131312" y="1082"/>
                                      </a:lnTo>
                                      <a:lnTo>
                                        <a:pt x="123636" y="3339"/>
                                      </a:lnTo>
                                      <a:lnTo>
                                        <a:pt x="116230" y="4422"/>
                                      </a:lnTo>
                                      <a:lnTo>
                                        <a:pt x="108463" y="6588"/>
                                      </a:lnTo>
                                      <a:lnTo>
                                        <a:pt x="102142" y="8754"/>
                                      </a:lnTo>
                                      <a:lnTo>
                                        <a:pt x="94465" y="12093"/>
                                      </a:lnTo>
                                      <a:lnTo>
                                        <a:pt x="87872" y="15161"/>
                                      </a:lnTo>
                                      <a:lnTo>
                                        <a:pt x="81460" y="18419"/>
                                      </a:lnTo>
                                      <a:lnTo>
                                        <a:pt x="74868" y="21704"/>
                                      </a:lnTo>
                                      <a:lnTo>
                                        <a:pt x="45697" y="45584"/>
                                      </a:lnTo>
                                      <a:lnTo>
                                        <a:pt x="40188" y="51062"/>
                                      </a:lnTo>
                                      <a:lnTo>
                                        <a:pt x="34679" y="56541"/>
                                      </a:lnTo>
                                      <a:lnTo>
                                        <a:pt x="30525" y="61802"/>
                                      </a:lnTo>
                                      <a:lnTo>
                                        <a:pt x="26190" y="68372"/>
                                      </a:lnTo>
                                      <a:lnTo>
                                        <a:pt x="21765" y="74951"/>
                                      </a:lnTo>
                                      <a:lnTo>
                                        <a:pt x="18513" y="81521"/>
                                      </a:lnTo>
                                      <a:lnTo>
                                        <a:pt x="15352" y="87875"/>
                                      </a:lnTo>
                                      <a:lnTo>
                                        <a:pt x="12101" y="94445"/>
                                      </a:lnTo>
                                      <a:lnTo>
                                        <a:pt x="8850" y="102116"/>
                                      </a:lnTo>
                                      <a:lnTo>
                                        <a:pt x="6592" y="108470"/>
                                      </a:lnTo>
                                      <a:lnTo>
                                        <a:pt x="4425" y="116141"/>
                                      </a:lnTo>
                                      <a:lnTo>
                                        <a:pt x="3341" y="123812"/>
                                      </a:lnTo>
                                      <a:lnTo>
                                        <a:pt x="1083" y="131258"/>
                                      </a:lnTo>
                                      <a:lnTo>
                                        <a:pt x="1083" y="138929"/>
                                      </a:lnTo>
                                      <a:lnTo>
                                        <a:pt x="0" y="147692"/>
                                      </a:lnTo>
                                      <a:lnTo>
                                        <a:pt x="0" y="155138"/>
                                      </a:lnTo>
                                      <a:lnTo>
                                        <a:pt x="0" y="162809"/>
                                      </a:lnTo>
                                      <a:lnTo>
                                        <a:pt x="1083" y="171572"/>
                                      </a:lnTo>
                                      <a:lnTo>
                                        <a:pt x="1083" y="179027"/>
                                      </a:lnTo>
                                      <a:lnTo>
                                        <a:pt x="3341" y="186689"/>
                                      </a:lnTo>
                                      <a:lnTo>
                                        <a:pt x="4425" y="194360"/>
                                      </a:lnTo>
                                      <a:lnTo>
                                        <a:pt x="6592" y="201814"/>
                                      </a:lnTo>
                                      <a:lnTo>
                                        <a:pt x="8850" y="208385"/>
                                      </a:lnTo>
                                      <a:lnTo>
                                        <a:pt x="12101" y="216056"/>
                                      </a:lnTo>
                                      <a:lnTo>
                                        <a:pt x="15352" y="222409"/>
                                      </a:lnTo>
                                      <a:lnTo>
                                        <a:pt x="18513" y="228979"/>
                                      </a:lnTo>
                                      <a:lnTo>
                                        <a:pt x="40188" y="259438"/>
                                      </a:lnTo>
                                      <a:lnTo>
                                        <a:pt x="45697" y="264917"/>
                                      </a:lnTo>
                                      <a:lnTo>
                                        <a:pt x="81460" y="291865"/>
                                      </a:lnTo>
                                      <a:lnTo>
                                        <a:pt x="87872" y="295150"/>
                                      </a:lnTo>
                                      <a:lnTo>
                                        <a:pt x="123636" y="307198"/>
                                      </a:lnTo>
                                      <a:lnTo>
                                        <a:pt x="131312" y="309391"/>
                                      </a:lnTo>
                                      <a:lnTo>
                                        <a:pt x="138808" y="310492"/>
                                      </a:lnTo>
                                      <a:lnTo>
                                        <a:pt x="147568" y="310492"/>
                                      </a:lnTo>
                                      <a:lnTo>
                                        <a:pt x="155064" y="310492"/>
                                      </a:lnTo>
                                      <a:lnTo>
                                        <a:pt x="162741" y="310492"/>
                                      </a:lnTo>
                                      <a:lnTo>
                                        <a:pt x="171320" y="310492"/>
                                      </a:lnTo>
                                      <a:lnTo>
                                        <a:pt x="178997" y="309391"/>
                                      </a:lnTo>
                                      <a:lnTo>
                                        <a:pt x="186673" y="307198"/>
                                      </a:lnTo>
                                      <a:lnTo>
                                        <a:pt x="194169" y="306106"/>
                                      </a:lnTo>
                                      <a:lnTo>
                                        <a:pt x="201845" y="303913"/>
                                      </a:lnTo>
                                      <a:lnTo>
                                        <a:pt x="208167" y="301729"/>
                                      </a:lnTo>
                                      <a:lnTo>
                                        <a:pt x="215844" y="298435"/>
                                      </a:lnTo>
                                      <a:lnTo>
                                        <a:pt x="222436" y="295150"/>
                                      </a:lnTo>
                                      <a:lnTo>
                                        <a:pt x="228848" y="291865"/>
                                      </a:lnTo>
                                      <a:lnTo>
                                        <a:pt x="235441" y="288796"/>
                                      </a:lnTo>
                                      <a:lnTo>
                                        <a:pt x="241763" y="284419"/>
                                      </a:lnTo>
                                      <a:lnTo>
                                        <a:pt x="248356" y="280033"/>
                                      </a:lnTo>
                                      <a:lnTo>
                                        <a:pt x="253865" y="275647"/>
                                      </a:lnTo>
                                      <a:lnTo>
                                        <a:pt x="284209" y="242129"/>
                                      </a:lnTo>
                                      <a:lnTo>
                                        <a:pt x="294956" y="222409"/>
                                      </a:lnTo>
                                      <a:lnTo>
                                        <a:pt x="298207" y="216056"/>
                                      </a:lnTo>
                                      <a:lnTo>
                                        <a:pt x="301549" y="208385"/>
                                      </a:lnTo>
                                      <a:lnTo>
                                        <a:pt x="303716" y="201814"/>
                                      </a:lnTo>
                                      <a:lnTo>
                                        <a:pt x="305884" y="194360"/>
                                      </a:lnTo>
                                      <a:lnTo>
                                        <a:pt x="306968" y="186689"/>
                                      </a:lnTo>
                                      <a:lnTo>
                                        <a:pt x="309225" y="179027"/>
                                      </a:lnTo>
                                      <a:lnTo>
                                        <a:pt x="310038" y="171572"/>
                                      </a:lnTo>
                                      <a:lnTo>
                                        <a:pt x="310038" y="162809"/>
                                      </a:lnTo>
                                      <a:lnTo>
                                        <a:pt x="310038" y="155138"/>
                                      </a:lnTo>
                                      <a:lnTo>
                                        <a:pt x="310038" y="147692"/>
                                      </a:lnTo>
                                      <a:lnTo>
                                        <a:pt x="310038" y="138929"/>
                                      </a:lnTo>
                                      <a:lnTo>
                                        <a:pt x="309225" y="131258"/>
                                      </a:lnTo>
                                      <a:lnTo>
                                        <a:pt x="306968" y="123812"/>
                                      </a:lnTo>
                                      <a:lnTo>
                                        <a:pt x="305884" y="116141"/>
                                      </a:lnTo>
                                      <a:lnTo>
                                        <a:pt x="303716" y="108470"/>
                                      </a:lnTo>
                                      <a:lnTo>
                                        <a:pt x="301549" y="102116"/>
                                      </a:lnTo>
                                      <a:lnTo>
                                        <a:pt x="298207" y="94445"/>
                                      </a:lnTo>
                                      <a:lnTo>
                                        <a:pt x="294956" y="87875"/>
                                      </a:lnTo>
                                      <a:lnTo>
                                        <a:pt x="291886" y="81521"/>
                                      </a:lnTo>
                                      <a:lnTo>
                                        <a:pt x="264612" y="45584"/>
                                      </a:lnTo>
                                      <a:lnTo>
                                        <a:pt x="259103" y="40106"/>
                                      </a:lnTo>
                                      <a:lnTo>
                                        <a:pt x="253865" y="34854"/>
                                      </a:lnTo>
                                      <a:lnTo>
                                        <a:pt x="248356" y="30468"/>
                                      </a:lnTo>
                                      <a:lnTo>
                                        <a:pt x="241763" y="26090"/>
                                      </a:lnTo>
                                      <a:lnTo>
                                        <a:pt x="235441" y="21704"/>
                                      </a:lnTo>
                                      <a:lnTo>
                                        <a:pt x="228848" y="18419"/>
                                      </a:lnTo>
                                      <a:lnTo>
                                        <a:pt x="222436" y="15161"/>
                                      </a:lnTo>
                                      <a:lnTo>
                                        <a:pt x="215844" y="12093"/>
                                      </a:lnTo>
                                      <a:lnTo>
                                        <a:pt x="208167" y="8754"/>
                                      </a:lnTo>
                                      <a:lnTo>
                                        <a:pt x="201845" y="6588"/>
                                      </a:lnTo>
                                      <a:lnTo>
                                        <a:pt x="194169" y="4422"/>
                                      </a:lnTo>
                                      <a:lnTo>
                                        <a:pt x="186673" y="3339"/>
                                      </a:lnTo>
                                      <a:lnTo>
                                        <a:pt x="178997" y="1082"/>
                                      </a:lnTo>
                                      <a:lnTo>
                                        <a:pt x="171320" y="1082"/>
                                      </a:lnTo>
                                      <a:lnTo>
                                        <a:pt x="162741" y="0"/>
                                      </a:lnTo>
                                      <a:lnTo>
                                        <a:pt x="155064"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95858" name="Image 1441"/>
                                <pic:cNvPicPr/>
                              </pic:nvPicPr>
                              <pic:blipFill>
                                <a:blip r:embed="rId136" cstate="print"/>
                                <a:stretch>
                                  <a:fillRect/>
                                </a:stretch>
                              </pic:blipFill>
                              <pic:spPr>
                                <a:xfrm>
                                  <a:off x="0" y="81521"/>
                                  <a:ext cx="152799" cy="154043"/>
                                </a:xfrm>
                                <a:prstGeom prst="rect">
                                  <a:avLst/>
                                </a:prstGeom>
                              </pic:spPr>
                            </pic:pic>
                          </wpg:wgp>
                        </a:graphicData>
                      </a:graphic>
                    </wp:anchor>
                  </w:drawing>
                </mc:Choice>
                <mc:Fallback>
                  <w:pict>
                    <v:group w14:anchorId="7438AA84" id="Group 1435" o:spid="_x0000_s1026" style="position:absolute;margin-left:75.95pt;margin-top:1pt;width:48.5pt;height:25pt;z-index:-251345920;mso-wrap-distance-left:0;mso-wrap-distance-right:0" coordsize="6159,31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">
                      <v:shape id="Image 1436" o:spid="_x0000_s1027" type="#_x0000_t75" style="position:absolute;left:1332;top:521;width:2136;height:21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">
                        <v:imagedata r:id="rId137" o:title=""/>
                      </v:shape>
                      <v:shape id="Graphic 1437" o:spid="_x0000_s1028" style="position:absolute;left:3023;top:32;width:3105;height:3106;visibility:visible;mso-wrap-style:square;v-text-anchor:top" coordsize="310515,310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" path="m155064,r-7496,l138808,1082r-7496,l123636,3339r-7406,1083l108463,6588r-6321,2166l94465,12093r-6593,3068l81460,18419r-6592,3285l45697,45584r-5509,5478l34679,56541r-4154,5261l26190,68372r-4425,6579l18513,81521r-3161,6354l12101,94445r-3251,7671l6592,108470r-2167,7671l3341,123812r-2258,7446l1083,138929,,147692r,7446l,162809r1083,8763l1083,179027r2258,7662l4425,194360r2167,7454l8850,208385r3251,7671l15352,222409r3161,6570l40188,259438r5509,5479l81460,291865r6412,3285l123636,307198r7676,2193l138808,310492r8760,l155064,310492r7677,l171320,310492r7677,-1101l186673,307198r7496,-1092l201845,303913r6322,-2184l215844,298435r6592,-3285l228848,291865r6593,-3069l241763,284419r6593,-4386l253865,275647r30344,-33518l294956,222409r3251,-6353l301549,208385r2167,-6571l305884,194360r1084,-7671l309225,179027r813,-7455l310038,162809r,-7671l310038,147692r,-8763l309225,131258r-2257,-7446l305884,116141r-2168,-7671l301549,102116r-3342,-7671l294956,87875r-3070,-6354l264612,45584r-5509,-5478l253865,34854r-5509,-4386l241763,26090r-6322,-4386l228848,18419r-6412,-3258l215844,12093,208167,8754,201845,6588,194169,4422,186673,3339,178997,1082r-7677,l162741,r-7677,e" filled="f" strokeweight=".18292mm">
                        <v:path arrowok="t"/>
                      </v:shape>
                      <v:shape id="Image 1438" o:spid="_x0000_s1029" type="#_x0000_t75" style="position:absolute;top:815;width:1527;height:1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">
                        <v:imagedata r:id="rId138" o:title=""/>
                      </v:shape>
                      <v:shape id="Image 1439" o:spid="_x0000_s1030" type="#_x0000_t75" style="position:absolute;left:1332;top:521;width:2136;height:21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">
                        <v:imagedata r:id="rId137" o:title=""/>
                      </v:shape>
                      <v:shape id="Graphic 1440" o:spid="_x0000_s1031" style="position:absolute;left:3023;top:32;width:3105;height:3106;visibility:visible;mso-wrap-style:square;v-text-anchor:top" coordsize="310515,310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" path="m155064,r-7496,l138808,1082r-7496,l123636,3339r-7406,1083l108463,6588r-6321,2166l94465,12093r-6593,3068l81460,18419r-6592,3285l45697,45584r-5509,5478l34679,56541r-4154,5261l26190,68372r-4425,6579l18513,81521r-3161,6354l12101,94445r-3251,7671l6592,108470r-2167,7671l3341,123812r-2258,7446l1083,138929,,147692r,7446l,162809r1083,8763l1083,179027r2258,7662l4425,194360r2167,7454l8850,208385r3251,7671l15352,222409r3161,6570l40188,259438r5509,5479l81460,291865r6412,3285l123636,307198r7676,2193l138808,310492r8760,l155064,310492r7677,l171320,310492r7677,-1101l186673,307198r7496,-1092l201845,303913r6322,-2184l215844,298435r6592,-3285l228848,291865r6593,-3069l241763,284419r6593,-4386l253865,275647r30344,-33518l294956,222409r3251,-6353l301549,208385r2167,-6571l305884,194360r1084,-7671l309225,179027r813,-7455l310038,162809r,-7671l310038,147692r,-8763l309225,131258r-2257,-7446l305884,116141r-2168,-7671l301549,102116r-3342,-7671l294956,87875r-3070,-6354l264612,45584r-5509,-5478l253865,34854r-5509,-4386l241763,26090r-6322,-4386l228848,18419r-6412,-3258l215844,12093,208167,8754,201845,6588,194169,4422,186673,3339,178997,1082r-7677,l162741,r-7677,e" filled="f" strokeweight=".18292mm">
                        <v:path arrowok="t"/>
                      </v:shape>
                      <v:shape id="Image 1441" o:spid="_x0000_s1032" type="#_x0000_t75" style="position:absolute;top:815;width:1527;height:1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">
                        <v:imagedata r:id="rId138" o:title=""/>
                      </v:shape>
                    </v:group>
                  </w:pict>
                </mc:Fallback>
              </mc:AlternateContent>
            </w:r>
            <w:r w:rsidRPr="00E73F6F">
              <w:rPr>
                <w:spacing w:val="-5"/>
                <w:sz w:val="24"/>
                <w:szCs w:val="24"/>
                <w:lang w:val="de-DE"/>
              </w:rPr>
              <w:t>USA</w:t>
            </w:r>
          </w:p>
        </w:tc>
        <w:tc>
          <w:tcPr>
            <w:tcW w:w="4324" w:type="dxa"/>
          </w:tcPr>
          <w:p w14:paraId="12D942B7" w14:textId="77777777" w:rsidR="00FF7799" w:rsidRPr="00E73F6F" w:rsidRDefault="00FF7799" w:rsidP="00862DBA">
            <w:pPr>
              <w:rPr>
                <w:i/>
                <w:sz w:val="24"/>
                <w:szCs w:val="24"/>
                <w:lang w:val="de-DE"/>
              </w:rPr>
            </w:pPr>
          </w:p>
          <w:p w14:paraId="33E117A2" w14:textId="77777777" w:rsidR="00FF7799" w:rsidRPr="00E73F6F" w:rsidRDefault="00FF7799" w:rsidP="00862DBA">
            <w:pPr>
              <w:spacing w:before="137"/>
              <w:rPr>
                <w:sz w:val="24"/>
                <w:szCs w:val="24"/>
                <w:lang w:val="de-DE"/>
              </w:rPr>
            </w:pPr>
            <w:r w:rsidRPr="00E73F6F">
              <w:rPr>
                <w:noProof/>
                <w:sz w:val="24"/>
                <w:szCs w:val="24"/>
                <w:lang w:eastAsia="de-DE"/>
              </w:rPr>
              <mc:AlternateContent>
                <mc:Choice Requires="wpg">
                  <w:drawing>
                    <wp:anchor distT="0" distB="0" distL="0" distR="0" simplePos="0" relativeHeight="251976704" behindDoc="1" locked="0" layoutInCell="1" allowOverlap="1" wp14:anchorId="48B06315" wp14:editId="31D5F98B">
                      <wp:simplePos x="0" y="0"/>
                      <wp:positionH relativeFrom="column">
                        <wp:posOffset>885009</wp:posOffset>
                      </wp:positionH>
                      <wp:positionV relativeFrom="paragraph">
                        <wp:posOffset>-1077</wp:posOffset>
                      </wp:positionV>
                      <wp:extent cx="706120" cy="327025"/>
                      <wp:effectExtent l="0" t="0" r="0" b="0"/>
                      <wp:wrapNone/>
                      <wp:docPr id="2295859" name="Group 14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6120" cy="327025"/>
                                <a:chOff x="0" y="0"/>
                                <a:chExt cx="706120" cy="327025"/>
                              </a:xfrm>
                            </wpg:grpSpPr>
                            <pic:pic xmlns:pic="http://schemas.openxmlformats.org/drawingml/2006/picture">
                              <pic:nvPicPr>
                                <pic:cNvPr id="2295860" name="Image 1443"/>
                                <pic:cNvPicPr/>
                              </pic:nvPicPr>
                              <pic:blipFill>
                                <a:blip r:embed="rId139" cstate="print"/>
                                <a:stretch>
                                  <a:fillRect/>
                                </a:stretch>
                              </pic:blipFill>
                              <pic:spPr>
                                <a:xfrm>
                                  <a:off x="134383" y="56288"/>
                                  <a:ext cx="213669" cy="213860"/>
                                </a:xfrm>
                                <a:prstGeom prst="rect">
                                  <a:avLst/>
                                </a:prstGeom>
                              </pic:spPr>
                            </pic:pic>
                            <wps:wsp>
                              <wps:cNvPr id="2295861" name="Graphic 1444"/>
                              <wps:cNvSpPr/>
                              <wps:spPr>
                                <a:xfrm>
                                  <a:off x="381606" y="3292"/>
                                  <a:ext cx="321310" cy="320675"/>
                                </a:xfrm>
                                <a:custGeom>
                                  <a:avLst/>
                                  <a:gdLst/>
                                  <a:ahLst/>
                                  <a:cxnLst/>
                                  <a:rect l="l" t="t" r="r" b="b"/>
                                  <a:pathLst>
                                    <a:path w="321310" h="320675">
                                      <a:moveTo>
                                        <a:pt x="160573" y="0"/>
                                      </a:moveTo>
                                      <a:lnTo>
                                        <a:pt x="151993" y="0"/>
                                      </a:lnTo>
                                      <a:lnTo>
                                        <a:pt x="143233" y="1082"/>
                                      </a:lnTo>
                                      <a:lnTo>
                                        <a:pt x="105212" y="9656"/>
                                      </a:lnTo>
                                      <a:lnTo>
                                        <a:pt x="91124" y="16154"/>
                                      </a:lnTo>
                                      <a:lnTo>
                                        <a:pt x="83447" y="19493"/>
                                      </a:lnTo>
                                      <a:lnTo>
                                        <a:pt x="77125" y="23825"/>
                                      </a:lnTo>
                                      <a:lnTo>
                                        <a:pt x="70533" y="26894"/>
                                      </a:lnTo>
                                      <a:lnTo>
                                        <a:pt x="64121" y="32408"/>
                                      </a:lnTo>
                                      <a:lnTo>
                                        <a:pt x="58702" y="36785"/>
                                      </a:lnTo>
                                      <a:lnTo>
                                        <a:pt x="52109" y="42263"/>
                                      </a:lnTo>
                                      <a:lnTo>
                                        <a:pt x="46781" y="46649"/>
                                      </a:lnTo>
                                      <a:lnTo>
                                        <a:pt x="41362" y="53003"/>
                                      </a:lnTo>
                                      <a:lnTo>
                                        <a:pt x="36937" y="58481"/>
                                      </a:lnTo>
                                      <a:lnTo>
                                        <a:pt x="31428" y="63959"/>
                                      </a:lnTo>
                                      <a:lnTo>
                                        <a:pt x="27274" y="70529"/>
                                      </a:lnTo>
                                      <a:lnTo>
                                        <a:pt x="22848" y="76883"/>
                                      </a:lnTo>
                                      <a:lnTo>
                                        <a:pt x="19597" y="83462"/>
                                      </a:lnTo>
                                      <a:lnTo>
                                        <a:pt x="15172" y="91124"/>
                                      </a:lnTo>
                                      <a:lnTo>
                                        <a:pt x="12101" y="97477"/>
                                      </a:lnTo>
                                      <a:lnTo>
                                        <a:pt x="9934" y="105149"/>
                                      </a:lnTo>
                                      <a:lnTo>
                                        <a:pt x="6592" y="112820"/>
                                      </a:lnTo>
                                      <a:lnTo>
                                        <a:pt x="4425" y="120265"/>
                                      </a:lnTo>
                                      <a:lnTo>
                                        <a:pt x="3341" y="127937"/>
                                      </a:lnTo>
                                      <a:lnTo>
                                        <a:pt x="1174" y="135608"/>
                                      </a:lnTo>
                                      <a:lnTo>
                                        <a:pt x="1174" y="143053"/>
                                      </a:lnTo>
                                      <a:lnTo>
                                        <a:pt x="0" y="151816"/>
                                      </a:lnTo>
                                      <a:lnTo>
                                        <a:pt x="0" y="160589"/>
                                      </a:lnTo>
                                      <a:lnTo>
                                        <a:pt x="0" y="168034"/>
                                      </a:lnTo>
                                      <a:lnTo>
                                        <a:pt x="1174" y="176797"/>
                                      </a:lnTo>
                                      <a:lnTo>
                                        <a:pt x="1174" y="184469"/>
                                      </a:lnTo>
                                      <a:lnTo>
                                        <a:pt x="3341" y="191914"/>
                                      </a:lnTo>
                                      <a:lnTo>
                                        <a:pt x="4425" y="199585"/>
                                      </a:lnTo>
                                      <a:lnTo>
                                        <a:pt x="6592" y="207256"/>
                                      </a:lnTo>
                                      <a:lnTo>
                                        <a:pt x="9934" y="214702"/>
                                      </a:lnTo>
                                      <a:lnTo>
                                        <a:pt x="12101" y="222373"/>
                                      </a:lnTo>
                                      <a:lnTo>
                                        <a:pt x="15172" y="228943"/>
                                      </a:lnTo>
                                      <a:lnTo>
                                        <a:pt x="19597" y="236398"/>
                                      </a:lnTo>
                                      <a:lnTo>
                                        <a:pt x="22848" y="242968"/>
                                      </a:lnTo>
                                      <a:lnTo>
                                        <a:pt x="27274" y="249547"/>
                                      </a:lnTo>
                                      <a:lnTo>
                                        <a:pt x="31428" y="256117"/>
                                      </a:lnTo>
                                      <a:lnTo>
                                        <a:pt x="36937" y="261379"/>
                                      </a:lnTo>
                                      <a:lnTo>
                                        <a:pt x="41362" y="267949"/>
                                      </a:lnTo>
                                      <a:lnTo>
                                        <a:pt x="46781" y="273427"/>
                                      </a:lnTo>
                                      <a:lnTo>
                                        <a:pt x="52109" y="278905"/>
                                      </a:lnTo>
                                      <a:lnTo>
                                        <a:pt x="58702" y="283066"/>
                                      </a:lnTo>
                                      <a:lnTo>
                                        <a:pt x="91124" y="303886"/>
                                      </a:lnTo>
                                      <a:lnTo>
                                        <a:pt x="97716" y="306945"/>
                                      </a:lnTo>
                                      <a:lnTo>
                                        <a:pt x="105212" y="310240"/>
                                      </a:lnTo>
                                      <a:lnTo>
                                        <a:pt x="112889" y="312424"/>
                                      </a:lnTo>
                                      <a:lnTo>
                                        <a:pt x="120384" y="314617"/>
                                      </a:lnTo>
                                      <a:lnTo>
                                        <a:pt x="128061" y="316810"/>
                                      </a:lnTo>
                                      <a:lnTo>
                                        <a:pt x="135557" y="317902"/>
                                      </a:lnTo>
                                      <a:lnTo>
                                        <a:pt x="143233" y="319003"/>
                                      </a:lnTo>
                                      <a:lnTo>
                                        <a:pt x="151993" y="320095"/>
                                      </a:lnTo>
                                      <a:lnTo>
                                        <a:pt x="160573" y="320095"/>
                                      </a:lnTo>
                                      <a:lnTo>
                                        <a:pt x="168249" y="320095"/>
                                      </a:lnTo>
                                      <a:lnTo>
                                        <a:pt x="208167" y="312424"/>
                                      </a:lnTo>
                                      <a:lnTo>
                                        <a:pt x="222256" y="306945"/>
                                      </a:lnTo>
                                      <a:lnTo>
                                        <a:pt x="229932" y="303886"/>
                                      </a:lnTo>
                                      <a:lnTo>
                                        <a:pt x="262444" y="283066"/>
                                      </a:lnTo>
                                      <a:lnTo>
                                        <a:pt x="267953" y="278905"/>
                                      </a:lnTo>
                                      <a:lnTo>
                                        <a:pt x="273191" y="273427"/>
                                      </a:lnTo>
                                      <a:lnTo>
                                        <a:pt x="278700" y="267949"/>
                                      </a:lnTo>
                                      <a:lnTo>
                                        <a:pt x="284209" y="261379"/>
                                      </a:lnTo>
                                      <a:lnTo>
                                        <a:pt x="288544" y="256117"/>
                                      </a:lnTo>
                                      <a:lnTo>
                                        <a:pt x="292789" y="249547"/>
                                      </a:lnTo>
                                      <a:lnTo>
                                        <a:pt x="297124" y="242968"/>
                                      </a:lnTo>
                                      <a:lnTo>
                                        <a:pt x="301549" y="236398"/>
                                      </a:lnTo>
                                      <a:lnTo>
                                        <a:pt x="304800" y="228943"/>
                                      </a:lnTo>
                                      <a:lnTo>
                                        <a:pt x="307871" y="222373"/>
                                      </a:lnTo>
                                      <a:lnTo>
                                        <a:pt x="311212" y="214702"/>
                                      </a:lnTo>
                                      <a:lnTo>
                                        <a:pt x="313380" y="207256"/>
                                      </a:lnTo>
                                      <a:lnTo>
                                        <a:pt x="315547" y="199585"/>
                                      </a:lnTo>
                                      <a:lnTo>
                                        <a:pt x="317805" y="191914"/>
                                      </a:lnTo>
                                      <a:lnTo>
                                        <a:pt x="318889" y="184469"/>
                                      </a:lnTo>
                                      <a:lnTo>
                                        <a:pt x="319973" y="176797"/>
                                      </a:lnTo>
                                      <a:lnTo>
                                        <a:pt x="319973" y="168034"/>
                                      </a:lnTo>
                                      <a:lnTo>
                                        <a:pt x="321056" y="160589"/>
                                      </a:lnTo>
                                      <a:lnTo>
                                        <a:pt x="319973" y="151816"/>
                                      </a:lnTo>
                                      <a:lnTo>
                                        <a:pt x="319973" y="143053"/>
                                      </a:lnTo>
                                      <a:lnTo>
                                        <a:pt x="318889" y="135608"/>
                                      </a:lnTo>
                                      <a:lnTo>
                                        <a:pt x="317805" y="127937"/>
                                      </a:lnTo>
                                      <a:lnTo>
                                        <a:pt x="315547" y="120265"/>
                                      </a:lnTo>
                                      <a:lnTo>
                                        <a:pt x="313380" y="112820"/>
                                      </a:lnTo>
                                      <a:lnTo>
                                        <a:pt x="311212" y="105149"/>
                                      </a:lnTo>
                                      <a:lnTo>
                                        <a:pt x="307871" y="97477"/>
                                      </a:lnTo>
                                      <a:lnTo>
                                        <a:pt x="304800" y="91124"/>
                                      </a:lnTo>
                                      <a:lnTo>
                                        <a:pt x="301549" y="83462"/>
                                      </a:lnTo>
                                      <a:lnTo>
                                        <a:pt x="297124" y="76883"/>
                                      </a:lnTo>
                                      <a:lnTo>
                                        <a:pt x="292789" y="70529"/>
                                      </a:lnTo>
                                      <a:lnTo>
                                        <a:pt x="288544" y="63959"/>
                                      </a:lnTo>
                                      <a:lnTo>
                                        <a:pt x="284209" y="58481"/>
                                      </a:lnTo>
                                      <a:lnTo>
                                        <a:pt x="278700" y="53003"/>
                                      </a:lnTo>
                                      <a:lnTo>
                                        <a:pt x="273191" y="46649"/>
                                      </a:lnTo>
                                      <a:lnTo>
                                        <a:pt x="267953" y="42263"/>
                                      </a:lnTo>
                                      <a:lnTo>
                                        <a:pt x="262444" y="36785"/>
                                      </a:lnTo>
                                      <a:lnTo>
                                        <a:pt x="255851" y="32408"/>
                                      </a:lnTo>
                                      <a:lnTo>
                                        <a:pt x="249530" y="26894"/>
                                      </a:lnTo>
                                      <a:lnTo>
                                        <a:pt x="242937" y="23825"/>
                                      </a:lnTo>
                                      <a:lnTo>
                                        <a:pt x="236525" y="19493"/>
                                      </a:lnTo>
                                      <a:lnTo>
                                        <a:pt x="229932" y="16154"/>
                                      </a:lnTo>
                                      <a:lnTo>
                                        <a:pt x="222256" y="12905"/>
                                      </a:lnTo>
                                      <a:lnTo>
                                        <a:pt x="214760" y="9656"/>
                                      </a:lnTo>
                                      <a:lnTo>
                                        <a:pt x="176829" y="1082"/>
                                      </a:lnTo>
                                      <a:lnTo>
                                        <a:pt x="168249" y="0"/>
                                      </a:lnTo>
                                      <a:lnTo>
                                        <a:pt x="160573"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95862" name="Image 1445"/>
                                <pic:cNvPicPr/>
                              </pic:nvPicPr>
                              <pic:blipFill>
                                <a:blip r:embed="rId140" cstate="print"/>
                                <a:stretch>
                                  <a:fillRect/>
                                </a:stretch>
                              </pic:blipFill>
                              <pic:spPr>
                                <a:xfrm>
                                  <a:off x="0" y="85646"/>
                                  <a:ext cx="153070" cy="155360"/>
                                </a:xfrm>
                                <a:prstGeom prst="rect">
                                  <a:avLst/>
                                </a:prstGeom>
                              </pic:spPr>
                            </pic:pic>
                            <pic:pic xmlns:pic="http://schemas.openxmlformats.org/drawingml/2006/picture">
                              <pic:nvPicPr>
                                <pic:cNvPr id="2295863" name="Image 1446"/>
                                <pic:cNvPicPr/>
                              </pic:nvPicPr>
                              <pic:blipFill>
                                <a:blip r:embed="rId139" cstate="print"/>
                                <a:stretch>
                                  <a:fillRect/>
                                </a:stretch>
                              </pic:blipFill>
                              <pic:spPr>
                                <a:xfrm>
                                  <a:off x="134383" y="56288"/>
                                  <a:ext cx="213669" cy="213860"/>
                                </a:xfrm>
                                <a:prstGeom prst="rect">
                                  <a:avLst/>
                                </a:prstGeom>
                              </pic:spPr>
                            </pic:pic>
                            <wps:wsp>
                              <wps:cNvPr id="2295864" name="Graphic 1447"/>
                              <wps:cNvSpPr/>
                              <wps:spPr>
                                <a:xfrm>
                                  <a:off x="381606" y="3292"/>
                                  <a:ext cx="321310" cy="320675"/>
                                </a:xfrm>
                                <a:custGeom>
                                  <a:avLst/>
                                  <a:gdLst/>
                                  <a:ahLst/>
                                  <a:cxnLst/>
                                  <a:rect l="l" t="t" r="r" b="b"/>
                                  <a:pathLst>
                                    <a:path w="321310" h="320675">
                                      <a:moveTo>
                                        <a:pt x="160573" y="0"/>
                                      </a:moveTo>
                                      <a:lnTo>
                                        <a:pt x="151993" y="0"/>
                                      </a:lnTo>
                                      <a:lnTo>
                                        <a:pt x="143233" y="1082"/>
                                      </a:lnTo>
                                      <a:lnTo>
                                        <a:pt x="105212" y="9656"/>
                                      </a:lnTo>
                                      <a:lnTo>
                                        <a:pt x="91124" y="16154"/>
                                      </a:lnTo>
                                      <a:lnTo>
                                        <a:pt x="83447" y="19493"/>
                                      </a:lnTo>
                                      <a:lnTo>
                                        <a:pt x="77125" y="23825"/>
                                      </a:lnTo>
                                      <a:lnTo>
                                        <a:pt x="70533" y="26894"/>
                                      </a:lnTo>
                                      <a:lnTo>
                                        <a:pt x="64121" y="32408"/>
                                      </a:lnTo>
                                      <a:lnTo>
                                        <a:pt x="58702" y="36785"/>
                                      </a:lnTo>
                                      <a:lnTo>
                                        <a:pt x="52109" y="42263"/>
                                      </a:lnTo>
                                      <a:lnTo>
                                        <a:pt x="46781" y="46649"/>
                                      </a:lnTo>
                                      <a:lnTo>
                                        <a:pt x="41362" y="53003"/>
                                      </a:lnTo>
                                      <a:lnTo>
                                        <a:pt x="36937" y="58481"/>
                                      </a:lnTo>
                                      <a:lnTo>
                                        <a:pt x="31428" y="63959"/>
                                      </a:lnTo>
                                      <a:lnTo>
                                        <a:pt x="27274" y="70529"/>
                                      </a:lnTo>
                                      <a:lnTo>
                                        <a:pt x="22848" y="76883"/>
                                      </a:lnTo>
                                      <a:lnTo>
                                        <a:pt x="19597" y="83462"/>
                                      </a:lnTo>
                                      <a:lnTo>
                                        <a:pt x="15172" y="91124"/>
                                      </a:lnTo>
                                      <a:lnTo>
                                        <a:pt x="12101" y="97477"/>
                                      </a:lnTo>
                                      <a:lnTo>
                                        <a:pt x="9934" y="105149"/>
                                      </a:lnTo>
                                      <a:lnTo>
                                        <a:pt x="6592" y="112820"/>
                                      </a:lnTo>
                                      <a:lnTo>
                                        <a:pt x="4425" y="120265"/>
                                      </a:lnTo>
                                      <a:lnTo>
                                        <a:pt x="3341" y="127937"/>
                                      </a:lnTo>
                                      <a:lnTo>
                                        <a:pt x="1174" y="135608"/>
                                      </a:lnTo>
                                      <a:lnTo>
                                        <a:pt x="1174" y="143053"/>
                                      </a:lnTo>
                                      <a:lnTo>
                                        <a:pt x="0" y="151816"/>
                                      </a:lnTo>
                                      <a:lnTo>
                                        <a:pt x="0" y="160589"/>
                                      </a:lnTo>
                                      <a:lnTo>
                                        <a:pt x="0" y="168034"/>
                                      </a:lnTo>
                                      <a:lnTo>
                                        <a:pt x="1174" y="176797"/>
                                      </a:lnTo>
                                      <a:lnTo>
                                        <a:pt x="1174" y="184469"/>
                                      </a:lnTo>
                                      <a:lnTo>
                                        <a:pt x="3341" y="191914"/>
                                      </a:lnTo>
                                      <a:lnTo>
                                        <a:pt x="4425" y="199585"/>
                                      </a:lnTo>
                                      <a:lnTo>
                                        <a:pt x="6592" y="207256"/>
                                      </a:lnTo>
                                      <a:lnTo>
                                        <a:pt x="9934" y="214702"/>
                                      </a:lnTo>
                                      <a:lnTo>
                                        <a:pt x="12101" y="222373"/>
                                      </a:lnTo>
                                      <a:lnTo>
                                        <a:pt x="15172" y="228943"/>
                                      </a:lnTo>
                                      <a:lnTo>
                                        <a:pt x="19597" y="236398"/>
                                      </a:lnTo>
                                      <a:lnTo>
                                        <a:pt x="22848" y="242968"/>
                                      </a:lnTo>
                                      <a:lnTo>
                                        <a:pt x="27274" y="249547"/>
                                      </a:lnTo>
                                      <a:lnTo>
                                        <a:pt x="31428" y="256117"/>
                                      </a:lnTo>
                                      <a:lnTo>
                                        <a:pt x="36937" y="261379"/>
                                      </a:lnTo>
                                      <a:lnTo>
                                        <a:pt x="41362" y="267949"/>
                                      </a:lnTo>
                                      <a:lnTo>
                                        <a:pt x="46781" y="273427"/>
                                      </a:lnTo>
                                      <a:lnTo>
                                        <a:pt x="52109" y="278905"/>
                                      </a:lnTo>
                                      <a:lnTo>
                                        <a:pt x="58702" y="283066"/>
                                      </a:lnTo>
                                      <a:lnTo>
                                        <a:pt x="91124" y="303886"/>
                                      </a:lnTo>
                                      <a:lnTo>
                                        <a:pt x="97716" y="306945"/>
                                      </a:lnTo>
                                      <a:lnTo>
                                        <a:pt x="105212" y="310240"/>
                                      </a:lnTo>
                                      <a:lnTo>
                                        <a:pt x="112889" y="312424"/>
                                      </a:lnTo>
                                      <a:lnTo>
                                        <a:pt x="120384" y="314617"/>
                                      </a:lnTo>
                                      <a:lnTo>
                                        <a:pt x="128061" y="316810"/>
                                      </a:lnTo>
                                      <a:lnTo>
                                        <a:pt x="135557" y="317902"/>
                                      </a:lnTo>
                                      <a:lnTo>
                                        <a:pt x="143233" y="319003"/>
                                      </a:lnTo>
                                      <a:lnTo>
                                        <a:pt x="151993" y="320095"/>
                                      </a:lnTo>
                                      <a:lnTo>
                                        <a:pt x="160573" y="320095"/>
                                      </a:lnTo>
                                      <a:lnTo>
                                        <a:pt x="168249" y="320095"/>
                                      </a:lnTo>
                                      <a:lnTo>
                                        <a:pt x="208167" y="312424"/>
                                      </a:lnTo>
                                      <a:lnTo>
                                        <a:pt x="222256" y="306945"/>
                                      </a:lnTo>
                                      <a:lnTo>
                                        <a:pt x="229932" y="303886"/>
                                      </a:lnTo>
                                      <a:lnTo>
                                        <a:pt x="262444" y="283066"/>
                                      </a:lnTo>
                                      <a:lnTo>
                                        <a:pt x="267953" y="278905"/>
                                      </a:lnTo>
                                      <a:lnTo>
                                        <a:pt x="273191" y="273427"/>
                                      </a:lnTo>
                                      <a:lnTo>
                                        <a:pt x="278700" y="267949"/>
                                      </a:lnTo>
                                      <a:lnTo>
                                        <a:pt x="284209" y="261379"/>
                                      </a:lnTo>
                                      <a:lnTo>
                                        <a:pt x="288544" y="256117"/>
                                      </a:lnTo>
                                      <a:lnTo>
                                        <a:pt x="292789" y="249547"/>
                                      </a:lnTo>
                                      <a:lnTo>
                                        <a:pt x="297124" y="242968"/>
                                      </a:lnTo>
                                      <a:lnTo>
                                        <a:pt x="301549" y="236398"/>
                                      </a:lnTo>
                                      <a:lnTo>
                                        <a:pt x="304800" y="228943"/>
                                      </a:lnTo>
                                      <a:lnTo>
                                        <a:pt x="307871" y="222373"/>
                                      </a:lnTo>
                                      <a:lnTo>
                                        <a:pt x="311212" y="214702"/>
                                      </a:lnTo>
                                      <a:lnTo>
                                        <a:pt x="313380" y="207256"/>
                                      </a:lnTo>
                                      <a:lnTo>
                                        <a:pt x="315547" y="199585"/>
                                      </a:lnTo>
                                      <a:lnTo>
                                        <a:pt x="317805" y="191914"/>
                                      </a:lnTo>
                                      <a:lnTo>
                                        <a:pt x="318889" y="184469"/>
                                      </a:lnTo>
                                      <a:lnTo>
                                        <a:pt x="319973" y="176797"/>
                                      </a:lnTo>
                                      <a:lnTo>
                                        <a:pt x="319973" y="168034"/>
                                      </a:lnTo>
                                      <a:lnTo>
                                        <a:pt x="321056" y="160589"/>
                                      </a:lnTo>
                                      <a:lnTo>
                                        <a:pt x="319973" y="151816"/>
                                      </a:lnTo>
                                      <a:lnTo>
                                        <a:pt x="319973" y="143053"/>
                                      </a:lnTo>
                                      <a:lnTo>
                                        <a:pt x="318889" y="135608"/>
                                      </a:lnTo>
                                      <a:lnTo>
                                        <a:pt x="317805" y="127937"/>
                                      </a:lnTo>
                                      <a:lnTo>
                                        <a:pt x="315547" y="120265"/>
                                      </a:lnTo>
                                      <a:lnTo>
                                        <a:pt x="313380" y="112820"/>
                                      </a:lnTo>
                                      <a:lnTo>
                                        <a:pt x="311212" y="105149"/>
                                      </a:lnTo>
                                      <a:lnTo>
                                        <a:pt x="307871" y="97477"/>
                                      </a:lnTo>
                                      <a:lnTo>
                                        <a:pt x="304800" y="91124"/>
                                      </a:lnTo>
                                      <a:lnTo>
                                        <a:pt x="301549" y="83462"/>
                                      </a:lnTo>
                                      <a:lnTo>
                                        <a:pt x="297124" y="76883"/>
                                      </a:lnTo>
                                      <a:lnTo>
                                        <a:pt x="292789" y="70529"/>
                                      </a:lnTo>
                                      <a:lnTo>
                                        <a:pt x="288544" y="63959"/>
                                      </a:lnTo>
                                      <a:lnTo>
                                        <a:pt x="284209" y="58481"/>
                                      </a:lnTo>
                                      <a:lnTo>
                                        <a:pt x="278700" y="53003"/>
                                      </a:lnTo>
                                      <a:lnTo>
                                        <a:pt x="273191" y="46649"/>
                                      </a:lnTo>
                                      <a:lnTo>
                                        <a:pt x="267953" y="42263"/>
                                      </a:lnTo>
                                      <a:lnTo>
                                        <a:pt x="262444" y="36785"/>
                                      </a:lnTo>
                                      <a:lnTo>
                                        <a:pt x="255851" y="32408"/>
                                      </a:lnTo>
                                      <a:lnTo>
                                        <a:pt x="249530" y="26894"/>
                                      </a:lnTo>
                                      <a:lnTo>
                                        <a:pt x="242937" y="23825"/>
                                      </a:lnTo>
                                      <a:lnTo>
                                        <a:pt x="236525" y="19493"/>
                                      </a:lnTo>
                                      <a:lnTo>
                                        <a:pt x="229932" y="16154"/>
                                      </a:lnTo>
                                      <a:lnTo>
                                        <a:pt x="222256" y="12905"/>
                                      </a:lnTo>
                                      <a:lnTo>
                                        <a:pt x="214760" y="9656"/>
                                      </a:lnTo>
                                      <a:lnTo>
                                        <a:pt x="176829" y="1082"/>
                                      </a:lnTo>
                                      <a:lnTo>
                                        <a:pt x="168249" y="0"/>
                                      </a:lnTo>
                                      <a:lnTo>
                                        <a:pt x="160573" y="0"/>
                                      </a:lnTo>
                                    </a:path>
                                  </a:pathLst>
                                </a:custGeom>
                                <a:ln w="65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95865" name="Image 1448"/>
                                <pic:cNvPicPr/>
                              </pic:nvPicPr>
                              <pic:blipFill>
                                <a:blip r:embed="rId140" cstate="print"/>
                                <a:stretch>
                                  <a:fillRect/>
                                </a:stretch>
                              </pic:blipFill>
                              <pic:spPr>
                                <a:xfrm>
                                  <a:off x="0" y="85646"/>
                                  <a:ext cx="153070" cy="155360"/>
                                </a:xfrm>
                                <a:prstGeom prst="rect">
                                  <a:avLst/>
                                </a:prstGeom>
                              </pic:spPr>
                            </pic:pic>
                          </wpg:wgp>
                        </a:graphicData>
                      </a:graphic>
                    </wp:anchor>
                  </w:drawing>
                </mc:Choice>
                <mc:Fallback>
                  <w:pict>
                    <v:group w14:anchorId="1C2A7411" id="Group 1442" o:spid="_x0000_s1026" style="position:absolute;margin-left:69.7pt;margin-top:-.1pt;width:55.6pt;height:25.75pt;z-index:-251339776;mso-wrap-distance-left:0;mso-wrap-distance-right:0" coordsize="7061,32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">
                      <v:shape id="Image 1443" o:spid="_x0000_s1027" type="#_x0000_t75" style="position:absolute;left:1343;top:562;width:2137;height:2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">
                        <v:imagedata r:id="rId141" o:title=""/>
                      </v:shape>
                      <v:shape id="Graphic 1444" o:spid="_x0000_s1028" style="position:absolute;left:3816;top:32;width:3213;height:3207;visibility:visible;mso-wrap-style:square;v-text-anchor:top" coordsize="321310,32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" path="m160573,r-8580,l143233,1082,105212,9656,91124,16154r-7677,3339l77125,23825r-6592,3069l64121,32408r-5419,4377l52109,42263r-5328,4386l41362,53003r-4425,5478l31428,63959r-4154,6570l22848,76883r-3251,6579l15172,91124r-3071,6353l9934,105149r-3342,7671l4425,120265r-1084,7672l1174,135608r,7445l,151816r,8773l,168034r1174,8763l1174,184469r2167,7445l4425,199585r2167,7671l9934,214702r2167,7671l15172,228943r4425,7455l22848,242968r4426,6579l31428,256117r5509,5262l41362,267949r5419,5478l52109,278905r6593,4161l91124,303886r6592,3059l105212,310240r7677,2184l120384,314617r7677,2193l135557,317902r7676,1101l151993,320095r8580,l168249,320095r39918,-7671l222256,306945r7676,-3059l262444,283066r5509,-4161l273191,273427r5509,-5478l284209,261379r4335,-5262l292789,249547r4335,-6579l301549,236398r3251,-7455l307871,222373r3341,-7671l313380,207256r2167,-7671l317805,191914r1084,-7445l319973,176797r,-8763l321056,160589r-1083,-8773l319973,143053r-1084,-7445l317805,127937r-2258,-7672l313380,112820r-2168,-7671l307871,97477r-3071,-6353l301549,83462r-4425,-6579l292789,70529r-4245,-6570l284209,58481r-5509,-5478l273191,46649r-5238,-4386l262444,36785r-6593,-4377l249530,26894r-6593,-3069l236525,19493r-6593,-3339l222256,12905,214760,9656,176829,1082,168249,r-7676,e" filled="f" strokeweight=".18292mm">
                        <v:path arrowok="t"/>
                      </v:shape>
                      <v:shape id="Image 1445" o:spid="_x0000_s1029" type="#_x0000_t75" style="position:absolute;top:856;width:1530;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">
                        <v:imagedata r:id="rId142" o:title=""/>
                      </v:shape>
                      <v:shape id="Image 1446" o:spid="_x0000_s1030" type="#_x0000_t75" style="position:absolute;left:1343;top:562;width:2137;height:2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">
                        <v:imagedata r:id="rId141" o:title=""/>
                      </v:shape>
                      <v:shape id="Graphic 1447" o:spid="_x0000_s1031" style="position:absolute;left:3816;top:32;width:3213;height:3207;visibility:visible;mso-wrap-style:square;v-text-anchor:top" coordsize="321310,32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" path="m160573,r-8580,l143233,1082,105212,9656,91124,16154r-7677,3339l77125,23825r-6592,3069l64121,32408r-5419,4377l52109,42263r-5328,4386l41362,53003r-4425,5478l31428,63959r-4154,6570l22848,76883r-3251,6579l15172,91124r-3071,6353l9934,105149r-3342,7671l4425,120265r-1084,7672l1174,135608r,7445l,151816r,8773l,168034r1174,8763l1174,184469r2167,7445l4425,199585r2167,7671l9934,214702r2167,7671l15172,228943r4425,7455l22848,242968r4426,6579l31428,256117r5509,5262l41362,267949r5419,5478l52109,278905r6593,4161l91124,303886r6592,3059l105212,310240r7677,2184l120384,314617r7677,2193l135557,317902r7676,1101l151993,320095r8580,l168249,320095r39918,-7671l222256,306945r7676,-3059l262444,283066r5509,-4161l273191,273427r5509,-5478l284209,261379r4335,-5262l292789,249547r4335,-6579l301549,236398r3251,-7455l307871,222373r3341,-7671l313380,207256r2167,-7671l317805,191914r1084,-7445l319973,176797r,-8763l321056,160589r-1083,-8773l319973,143053r-1084,-7445l317805,127937r-2258,-7672l313380,112820r-2168,-7671l307871,97477r-3071,-6353l301549,83462r-4425,-6579l292789,70529r-4245,-6570l284209,58481r-5509,-5478l273191,46649r-5238,-4386l262444,36785r-6593,-4377l249530,26894r-6593,-3069l236525,19493r-6593,-3339l222256,12905,214760,9656,176829,1082,168249,r-7676,e" filled="f" strokeweight=".18292mm">
                        <v:path arrowok="t"/>
                      </v:shape>
                      <v:shape id="Image 1448" o:spid="_x0000_s1032" type="#_x0000_t75" style="position:absolute;top:856;width:1530;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">
                        <v:imagedata r:id="rId142" o:title=""/>
                      </v:shape>
                    </v:group>
                  </w:pict>
                </mc:Fallback>
              </mc:AlternateContent>
            </w:r>
            <w:r w:rsidRPr="00E73F6F">
              <w:rPr>
                <w:spacing w:val="-2"/>
                <w:sz w:val="24"/>
                <w:szCs w:val="24"/>
                <w:lang w:val="de-DE"/>
              </w:rPr>
              <w:t>Italien</w:t>
            </w:r>
          </w:p>
        </w:tc>
      </w:tr>
      <w:tr w:rsidR="00FF7799" w:rsidRPr="00E73F6F" w14:paraId="48F4CEB9" w14:textId="77777777" w:rsidTr="00A67B23">
        <w:trPr>
          <w:trHeight w:val="576"/>
        </w:trPr>
        <w:tc>
          <w:tcPr>
            <w:tcW w:w="8923" w:type="dxa"/>
            <w:gridSpan w:val="2"/>
          </w:tcPr>
          <w:p w14:paraId="0DFFFCA1" w14:textId="77777777" w:rsidR="00FF7799" w:rsidRPr="002F46E5" w:rsidRDefault="00FF7799" w:rsidP="005F3BAD">
            <w:pPr>
              <w:pStyle w:val="Quellen"/>
              <w:rPr>
                <w:sz w:val="20"/>
                <w:lang w:val="de-DE"/>
              </w:rPr>
            </w:pPr>
            <w:r w:rsidRPr="002F46E5">
              <w:rPr>
                <w:spacing w:val="-2"/>
                <w:sz w:val="20"/>
                <w:lang w:val="de-DE"/>
              </w:rPr>
              <w:t>Legende:</w:t>
            </w:r>
            <w:r w:rsidRPr="002F46E5">
              <w:rPr>
                <w:sz w:val="20"/>
                <w:lang w:val="de-DE"/>
              </w:rPr>
              <w:tab/>
            </w:r>
          </w:p>
          <w:p w14:paraId="308B6F1A" w14:textId="77777777" w:rsidR="00FF7799" w:rsidRPr="002F46E5" w:rsidRDefault="00FF7799" w:rsidP="005F3BAD">
            <w:pPr>
              <w:pStyle w:val="Quellen"/>
              <w:rPr>
                <w:sz w:val="20"/>
                <w:lang w:val="de-DE"/>
              </w:rPr>
            </w:pPr>
            <w:r w:rsidRPr="002F46E5">
              <w:rPr>
                <w:sz w:val="20"/>
                <w:lang w:val="de-DE"/>
              </w:rPr>
              <w:t>1)</w:t>
            </w:r>
            <w:r w:rsidRPr="002F46E5">
              <w:rPr>
                <w:spacing w:val="38"/>
                <w:sz w:val="20"/>
                <w:lang w:val="de-DE"/>
              </w:rPr>
              <w:t xml:space="preserve"> </w:t>
            </w:r>
            <w:r w:rsidRPr="002F46E5">
              <w:rPr>
                <w:sz w:val="20"/>
                <w:lang w:val="de-DE"/>
              </w:rPr>
              <w:t>Linker Kreis</w:t>
            </w:r>
            <w:r w:rsidRPr="002F46E5">
              <w:rPr>
                <w:spacing w:val="-2"/>
                <w:sz w:val="20"/>
                <w:lang w:val="de-DE"/>
              </w:rPr>
              <w:t xml:space="preserve"> </w:t>
            </w:r>
            <w:r w:rsidRPr="002F46E5">
              <w:rPr>
                <w:sz w:val="20"/>
                <w:lang w:val="de-DE"/>
              </w:rPr>
              <w:t>=</w:t>
            </w:r>
            <w:r w:rsidRPr="002F46E5">
              <w:rPr>
                <w:spacing w:val="-3"/>
                <w:sz w:val="20"/>
                <w:lang w:val="de-DE"/>
              </w:rPr>
              <w:t xml:space="preserve"> </w:t>
            </w:r>
            <w:r w:rsidRPr="002F46E5">
              <w:rPr>
                <w:sz w:val="20"/>
                <w:lang w:val="de-DE"/>
              </w:rPr>
              <w:t>Vergangenheit;</w:t>
            </w:r>
            <w:r w:rsidRPr="002F46E5">
              <w:rPr>
                <w:spacing w:val="40"/>
                <w:sz w:val="20"/>
                <w:lang w:val="de-DE"/>
              </w:rPr>
              <w:t xml:space="preserve"> </w:t>
            </w:r>
            <w:r w:rsidRPr="002F46E5">
              <w:rPr>
                <w:sz w:val="20"/>
                <w:lang w:val="de-DE"/>
              </w:rPr>
              <w:t>Mittlerer Kreis</w:t>
            </w:r>
            <w:r w:rsidRPr="002F46E5">
              <w:rPr>
                <w:spacing w:val="-2"/>
                <w:sz w:val="20"/>
                <w:lang w:val="de-DE"/>
              </w:rPr>
              <w:t xml:space="preserve"> </w:t>
            </w:r>
            <w:r w:rsidRPr="002F46E5">
              <w:rPr>
                <w:sz w:val="20"/>
                <w:lang w:val="de-DE"/>
              </w:rPr>
              <w:t>=</w:t>
            </w:r>
            <w:r w:rsidRPr="002F46E5">
              <w:rPr>
                <w:spacing w:val="-3"/>
                <w:sz w:val="20"/>
                <w:lang w:val="de-DE"/>
              </w:rPr>
              <w:t xml:space="preserve"> </w:t>
            </w:r>
            <w:r w:rsidRPr="002F46E5">
              <w:rPr>
                <w:sz w:val="20"/>
                <w:lang w:val="de-DE"/>
              </w:rPr>
              <w:t>Gegenwart;</w:t>
            </w:r>
            <w:r w:rsidRPr="002F46E5">
              <w:rPr>
                <w:spacing w:val="40"/>
                <w:sz w:val="20"/>
                <w:lang w:val="de-DE"/>
              </w:rPr>
              <w:t xml:space="preserve"> </w:t>
            </w:r>
            <w:r w:rsidRPr="002F46E5">
              <w:rPr>
                <w:sz w:val="20"/>
                <w:lang w:val="de-DE"/>
              </w:rPr>
              <w:t>Rechter Kreis</w:t>
            </w:r>
            <w:r w:rsidRPr="002F46E5">
              <w:rPr>
                <w:spacing w:val="-2"/>
                <w:sz w:val="20"/>
                <w:lang w:val="de-DE"/>
              </w:rPr>
              <w:t xml:space="preserve"> </w:t>
            </w:r>
            <w:r w:rsidRPr="002F46E5">
              <w:rPr>
                <w:sz w:val="20"/>
                <w:lang w:val="de-DE"/>
              </w:rPr>
              <w:t>=</w:t>
            </w:r>
            <w:r w:rsidRPr="002F46E5">
              <w:rPr>
                <w:spacing w:val="-1"/>
                <w:sz w:val="20"/>
                <w:lang w:val="de-DE"/>
              </w:rPr>
              <w:t xml:space="preserve"> </w:t>
            </w:r>
            <w:r w:rsidRPr="002F46E5">
              <w:rPr>
                <w:spacing w:val="-2"/>
                <w:sz w:val="20"/>
                <w:lang w:val="de-DE"/>
              </w:rPr>
              <w:t>Zukunft</w:t>
            </w:r>
          </w:p>
          <w:p w14:paraId="7031FE47" w14:textId="77777777" w:rsidR="00FF7799" w:rsidRPr="00E73F6F" w:rsidRDefault="00FF7799" w:rsidP="005F3BAD">
            <w:pPr>
              <w:pStyle w:val="Quellen"/>
              <w:rPr>
                <w:lang w:val="de-DE"/>
              </w:rPr>
            </w:pPr>
            <w:r w:rsidRPr="002F46E5">
              <w:rPr>
                <w:sz w:val="20"/>
                <w:lang w:val="de-DE"/>
              </w:rPr>
              <w:t>2)</w:t>
            </w:r>
            <w:r w:rsidRPr="002F46E5">
              <w:rPr>
                <w:spacing w:val="38"/>
                <w:sz w:val="20"/>
                <w:lang w:val="de-DE"/>
              </w:rPr>
              <w:t xml:space="preserve"> </w:t>
            </w:r>
            <w:r w:rsidRPr="002F46E5">
              <w:rPr>
                <w:sz w:val="20"/>
                <w:lang w:val="de-DE"/>
              </w:rPr>
              <w:t>Die</w:t>
            </w:r>
            <w:r w:rsidRPr="002F46E5">
              <w:rPr>
                <w:spacing w:val="-2"/>
                <w:sz w:val="20"/>
                <w:lang w:val="de-DE"/>
              </w:rPr>
              <w:t xml:space="preserve"> </w:t>
            </w:r>
            <w:r w:rsidRPr="002F46E5">
              <w:rPr>
                <w:sz w:val="20"/>
                <w:lang w:val="de-DE"/>
              </w:rPr>
              <w:t>Kreisfläche</w:t>
            </w:r>
            <w:r w:rsidRPr="002F46E5">
              <w:rPr>
                <w:spacing w:val="-2"/>
                <w:sz w:val="20"/>
                <w:lang w:val="de-DE"/>
              </w:rPr>
              <w:t xml:space="preserve"> </w:t>
            </w:r>
            <w:r w:rsidRPr="002F46E5">
              <w:rPr>
                <w:sz w:val="20"/>
                <w:lang w:val="de-DE"/>
              </w:rPr>
              <w:t>symbolisiert</w:t>
            </w:r>
            <w:r w:rsidRPr="002F46E5">
              <w:rPr>
                <w:spacing w:val="-1"/>
                <w:sz w:val="20"/>
                <w:lang w:val="de-DE"/>
              </w:rPr>
              <w:t xml:space="preserve"> </w:t>
            </w:r>
            <w:r w:rsidRPr="002F46E5">
              <w:rPr>
                <w:sz w:val="20"/>
                <w:lang w:val="de-DE"/>
              </w:rPr>
              <w:t>die</w:t>
            </w:r>
            <w:r w:rsidRPr="002F46E5">
              <w:rPr>
                <w:spacing w:val="-2"/>
                <w:sz w:val="20"/>
                <w:lang w:val="de-DE"/>
              </w:rPr>
              <w:t xml:space="preserve"> </w:t>
            </w:r>
            <w:r w:rsidRPr="002F46E5">
              <w:rPr>
                <w:sz w:val="20"/>
                <w:lang w:val="de-DE"/>
              </w:rPr>
              <w:t>subjektive</w:t>
            </w:r>
            <w:r w:rsidRPr="002F46E5">
              <w:rPr>
                <w:spacing w:val="-2"/>
                <w:sz w:val="20"/>
                <w:lang w:val="de-DE"/>
              </w:rPr>
              <w:t xml:space="preserve"> Wichtigkeit</w:t>
            </w:r>
          </w:p>
        </w:tc>
      </w:tr>
    </w:tbl>
    <w:p w14:paraId="72AB5C75" w14:textId="77777777" w:rsidR="00FF7799" w:rsidRPr="00E73F6F" w:rsidRDefault="00FF7799" w:rsidP="005F3BAD">
      <w:pPr>
        <w:pStyle w:val="Quellen"/>
      </w:pPr>
      <w:r w:rsidRPr="00E73F6F">
        <w:rPr>
          <w:spacing w:val="-2"/>
        </w:rPr>
        <w:t>Quelle:</w:t>
      </w:r>
      <w:r w:rsidRPr="00E73F6F">
        <w:tab/>
        <w:t>Trompenaars</w:t>
      </w:r>
      <w:r w:rsidRPr="00E73F6F">
        <w:rPr>
          <w:spacing w:val="-8"/>
        </w:rPr>
        <w:t xml:space="preserve"> </w:t>
      </w:r>
      <w:r w:rsidRPr="00E73F6F">
        <w:t>(1993,</w:t>
      </w:r>
      <w:r w:rsidRPr="00E73F6F">
        <w:rPr>
          <w:spacing w:val="-3"/>
        </w:rPr>
        <w:t xml:space="preserve"> </w:t>
      </w:r>
      <w:r w:rsidRPr="00E73F6F">
        <w:rPr>
          <w:spacing w:val="-2"/>
        </w:rPr>
        <w:t>S.166).</w:t>
      </w:r>
    </w:p>
    <w:p w14:paraId="3306D8C2" w14:textId="77777777" w:rsidR="00FF7799" w:rsidRPr="00E73F6F" w:rsidRDefault="00FF7799" w:rsidP="005F3BAD">
      <w:pPr>
        <w:pStyle w:val="StandardText"/>
      </w:pPr>
    </w:p>
    <w:p w14:paraId="28B665D1" w14:textId="77777777" w:rsidR="00FF7799" w:rsidRPr="002F46E5" w:rsidRDefault="00FF7799" w:rsidP="005F3BAD">
      <w:pPr>
        <w:pStyle w:val="StandardTextkursiv"/>
        <w:rPr>
          <w:i w:val="0"/>
        </w:rPr>
      </w:pPr>
      <w:r w:rsidRPr="002F46E5">
        <w:rPr>
          <w:i w:val="0"/>
        </w:rPr>
        <w:t>2.7 Bezug</w:t>
      </w:r>
      <w:r w:rsidRPr="002F46E5">
        <w:rPr>
          <w:i w:val="0"/>
          <w:spacing w:val="-4"/>
        </w:rPr>
        <w:t xml:space="preserve"> </w:t>
      </w:r>
      <w:r w:rsidRPr="002F46E5">
        <w:rPr>
          <w:i w:val="0"/>
        </w:rPr>
        <w:t>zur</w:t>
      </w:r>
      <w:r w:rsidRPr="002F46E5">
        <w:rPr>
          <w:i w:val="0"/>
          <w:spacing w:val="-1"/>
        </w:rPr>
        <w:t xml:space="preserve"> </w:t>
      </w:r>
      <w:r w:rsidRPr="002F46E5">
        <w:rPr>
          <w:i w:val="0"/>
          <w:spacing w:val="-2"/>
        </w:rPr>
        <w:t>Natur</w:t>
      </w:r>
    </w:p>
    <w:p w14:paraId="786CC682" w14:textId="77777777" w:rsidR="00FF7799" w:rsidRPr="00E73F6F" w:rsidRDefault="00FF7799" w:rsidP="005F3BAD">
      <w:pPr>
        <w:pStyle w:val="StandardText"/>
      </w:pPr>
      <w:r w:rsidRPr="00E73F6F">
        <w:t>Wie gehen die Mitglieder einer Gesellschaft mit den Naturgewalten um? Dominiert die Befürchtung, die Natur bedrohe die Lebensgrundlagen der Menschheit? Oder wird die menschliche Zivilisation als Gefahr für die Natur erlebt? Vor die Alternative gestellt:</w:t>
      </w:r>
    </w:p>
    <w:p w14:paraId="0008634A" w14:textId="77777777" w:rsidR="00FF7799" w:rsidRPr="00E73F6F" w:rsidRDefault="00FF7799" w:rsidP="00700F23">
      <w:pPr>
        <w:pStyle w:val="StandardTextAufzhlung"/>
        <w:ind w:left="567"/>
      </w:pPr>
      <w:r w:rsidRPr="00E73F6F">
        <w:t>A:</w:t>
      </w:r>
      <w:r w:rsidRPr="00E73F6F">
        <w:rPr>
          <w:spacing w:val="80"/>
        </w:rPr>
        <w:t xml:space="preserve"> </w:t>
      </w:r>
      <w:r w:rsidRPr="00E73F6F">
        <w:t>Der Versuch lohnt sich, die wichtigsten Naturkräfte, wie das Wetter, zu kontrollieren, oder</w:t>
      </w:r>
    </w:p>
    <w:p w14:paraId="5CD5BD50" w14:textId="77777777" w:rsidR="00FF7799" w:rsidRPr="00E73F6F" w:rsidRDefault="00FF7799" w:rsidP="00700F23">
      <w:pPr>
        <w:pStyle w:val="StandardTextAufzhlung"/>
        <w:ind w:left="567"/>
      </w:pPr>
      <w:r w:rsidRPr="00E73F6F">
        <w:t>B:</w:t>
      </w:r>
      <w:r w:rsidRPr="00E73F6F">
        <w:rPr>
          <w:spacing w:val="40"/>
        </w:rPr>
        <w:t xml:space="preserve"> </w:t>
      </w:r>
      <w:r w:rsidRPr="00E73F6F">
        <w:t>Die Natur sollte man gewähren lassen und akzeptieren, wie sie waltet, und das Beste daraus machen,</w:t>
      </w:r>
    </w:p>
    <w:p w14:paraId="0ECC7F15" w14:textId="77777777" w:rsidR="00FF7799" w:rsidRPr="00E73F6F" w:rsidRDefault="00FF7799" w:rsidP="005F3BAD">
      <w:pPr>
        <w:pStyle w:val="StandardText"/>
      </w:pPr>
      <w:r w:rsidRPr="00E73F6F">
        <w:t>entschieden sich 50% der Portugiesen und 53% der Brasilianer für eine Strategie der externen Kontrolle, d.h. durch den Menschen (vgl. Rotter 1966). Hingegen meinte</w:t>
      </w:r>
      <w:r w:rsidRPr="00E73F6F">
        <w:rPr>
          <w:spacing w:val="-6"/>
        </w:rPr>
        <w:t xml:space="preserve"> </w:t>
      </w:r>
      <w:r w:rsidRPr="00E73F6F">
        <w:t>die</w:t>
      </w:r>
      <w:r w:rsidRPr="00E73F6F">
        <w:rPr>
          <w:spacing w:val="-6"/>
        </w:rPr>
        <w:t xml:space="preserve"> </w:t>
      </w:r>
      <w:r w:rsidRPr="00E73F6F">
        <w:t>Mehrheit</w:t>
      </w:r>
      <w:r w:rsidRPr="00E73F6F">
        <w:rPr>
          <w:spacing w:val="-5"/>
        </w:rPr>
        <w:t xml:space="preserve"> </w:t>
      </w:r>
      <w:r w:rsidRPr="00E73F6F">
        <w:t>der</w:t>
      </w:r>
      <w:r w:rsidRPr="00E73F6F">
        <w:rPr>
          <w:spacing w:val="-3"/>
        </w:rPr>
        <w:t xml:space="preserve"> </w:t>
      </w:r>
      <w:r w:rsidRPr="00E73F6F">
        <w:t>Tschechen,</w:t>
      </w:r>
      <w:r w:rsidRPr="00E73F6F">
        <w:rPr>
          <w:spacing w:val="-5"/>
        </w:rPr>
        <w:t xml:space="preserve"> </w:t>
      </w:r>
      <w:r w:rsidRPr="00E73F6F">
        <w:t>Slowaken</w:t>
      </w:r>
      <w:r w:rsidRPr="00E73F6F">
        <w:rPr>
          <w:spacing w:val="-4"/>
        </w:rPr>
        <w:t xml:space="preserve"> </w:t>
      </w:r>
      <w:r w:rsidRPr="00E73F6F">
        <w:t>und</w:t>
      </w:r>
      <w:r w:rsidRPr="00E73F6F">
        <w:rPr>
          <w:spacing w:val="-4"/>
        </w:rPr>
        <w:t xml:space="preserve"> </w:t>
      </w:r>
      <w:r w:rsidRPr="00E73F6F">
        <w:t>Japaner,</w:t>
      </w:r>
      <w:r w:rsidRPr="00E73F6F">
        <w:rPr>
          <w:spacing w:val="-7"/>
        </w:rPr>
        <w:t xml:space="preserve"> </w:t>
      </w:r>
      <w:r w:rsidRPr="00E73F6F">
        <w:t>der</w:t>
      </w:r>
      <w:r w:rsidRPr="00E73F6F">
        <w:rPr>
          <w:spacing w:val="-5"/>
        </w:rPr>
        <w:t xml:space="preserve"> </w:t>
      </w:r>
      <w:r w:rsidRPr="00E73F6F">
        <w:t>Mensch</w:t>
      </w:r>
      <w:r w:rsidRPr="00E73F6F">
        <w:rPr>
          <w:spacing w:val="-4"/>
        </w:rPr>
        <w:t xml:space="preserve"> </w:t>
      </w:r>
      <w:r w:rsidRPr="00E73F6F">
        <w:t>solle</w:t>
      </w:r>
      <w:r w:rsidRPr="00E73F6F">
        <w:rPr>
          <w:spacing w:val="-6"/>
        </w:rPr>
        <w:t xml:space="preserve"> </w:t>
      </w:r>
      <w:r w:rsidRPr="00E73F6F">
        <w:t>sich de</w:t>
      </w:r>
      <w:r w:rsidR="002F46E5">
        <w:t>r Natur unterwerfen</w:t>
      </w:r>
      <w:r w:rsidRPr="00E73F6F">
        <w:t>.</w:t>
      </w:r>
    </w:p>
    <w:p w14:paraId="563401A6" w14:textId="77777777" w:rsidR="00FF7799" w:rsidRPr="00E73F6F" w:rsidRDefault="00FF7799" w:rsidP="005F3BAD">
      <w:pPr>
        <w:pStyle w:val="StandardText"/>
      </w:pPr>
      <w:r w:rsidRPr="00E73F6F">
        <w:t>Ein wesentlich anderes Bild erhält man, wenn die Kontrollorientierung nicht mit Blick auf allgemeine Naturphänomene, sondern konkret auf das eigene Leben gemessen wird:</w:t>
      </w:r>
    </w:p>
    <w:p w14:paraId="24301FEA" w14:textId="77777777" w:rsidR="00FF7799" w:rsidRPr="00E73F6F" w:rsidRDefault="00FF7799" w:rsidP="00700F23">
      <w:pPr>
        <w:pStyle w:val="StandardTextAufzhlung"/>
        <w:ind w:left="567"/>
      </w:pPr>
      <w:r w:rsidRPr="00E73F6F">
        <w:rPr>
          <w:spacing w:val="-5"/>
        </w:rPr>
        <w:t>A:</w:t>
      </w:r>
      <w:r w:rsidRPr="00E73F6F">
        <w:t xml:space="preserve"> Was</w:t>
      </w:r>
      <w:r w:rsidRPr="00E73F6F">
        <w:rPr>
          <w:spacing w:val="-3"/>
        </w:rPr>
        <w:t xml:space="preserve"> </w:t>
      </w:r>
      <w:r w:rsidRPr="00E73F6F">
        <w:t>mir</w:t>
      </w:r>
      <w:r w:rsidRPr="00E73F6F">
        <w:rPr>
          <w:spacing w:val="-2"/>
        </w:rPr>
        <w:t xml:space="preserve"> </w:t>
      </w:r>
      <w:r w:rsidRPr="00E73F6F">
        <w:t>geschieht,</w:t>
      </w:r>
      <w:r w:rsidRPr="00E73F6F">
        <w:rPr>
          <w:spacing w:val="-1"/>
        </w:rPr>
        <w:t xml:space="preserve"> </w:t>
      </w:r>
      <w:r w:rsidRPr="00E73F6F">
        <w:t>steht</w:t>
      </w:r>
      <w:r w:rsidRPr="00E73F6F">
        <w:rPr>
          <w:spacing w:val="-2"/>
        </w:rPr>
        <w:t xml:space="preserve"> </w:t>
      </w:r>
      <w:r w:rsidRPr="00E73F6F">
        <w:t>in</w:t>
      </w:r>
      <w:r w:rsidRPr="00E73F6F">
        <w:rPr>
          <w:spacing w:val="-1"/>
        </w:rPr>
        <w:t xml:space="preserve"> </w:t>
      </w:r>
      <w:r w:rsidRPr="00E73F6F">
        <w:t>meiner</w:t>
      </w:r>
      <w:r w:rsidRPr="00E73F6F">
        <w:rPr>
          <w:spacing w:val="-1"/>
        </w:rPr>
        <w:t xml:space="preserve"> </w:t>
      </w:r>
      <w:r w:rsidRPr="00E73F6F">
        <w:t>eigenen</w:t>
      </w:r>
      <w:r w:rsidRPr="00E73F6F">
        <w:rPr>
          <w:spacing w:val="3"/>
        </w:rPr>
        <w:t xml:space="preserve"> </w:t>
      </w:r>
      <w:r w:rsidRPr="00E73F6F">
        <w:rPr>
          <w:spacing w:val="-2"/>
        </w:rPr>
        <w:t>Verantwortung.</w:t>
      </w:r>
    </w:p>
    <w:p w14:paraId="654508FB" w14:textId="77777777" w:rsidR="00FF7799" w:rsidRPr="00E73F6F" w:rsidRDefault="00FF7799" w:rsidP="00700F23">
      <w:pPr>
        <w:pStyle w:val="StandardTextAufzhlung"/>
        <w:ind w:left="567"/>
      </w:pPr>
      <w:r w:rsidRPr="00E73F6F">
        <w:rPr>
          <w:spacing w:val="-6"/>
        </w:rPr>
        <w:t>B:</w:t>
      </w:r>
      <w:r w:rsidRPr="00E73F6F">
        <w:t xml:space="preserve"> Manchmal</w:t>
      </w:r>
      <w:r w:rsidRPr="00E73F6F">
        <w:rPr>
          <w:spacing w:val="-5"/>
        </w:rPr>
        <w:t xml:space="preserve"> </w:t>
      </w:r>
      <w:r w:rsidRPr="00E73F6F">
        <w:t>habe</w:t>
      </w:r>
      <w:r w:rsidRPr="00E73F6F">
        <w:rPr>
          <w:spacing w:val="-6"/>
        </w:rPr>
        <w:t xml:space="preserve"> </w:t>
      </w:r>
      <w:r w:rsidRPr="00E73F6F">
        <w:t>ich</w:t>
      </w:r>
      <w:r w:rsidRPr="00E73F6F">
        <w:rPr>
          <w:spacing w:val="-5"/>
        </w:rPr>
        <w:t xml:space="preserve"> </w:t>
      </w:r>
      <w:r w:rsidRPr="00E73F6F">
        <w:t>das</w:t>
      </w:r>
      <w:r w:rsidRPr="00E73F6F">
        <w:rPr>
          <w:spacing w:val="-6"/>
        </w:rPr>
        <w:t xml:space="preserve"> </w:t>
      </w:r>
      <w:r w:rsidRPr="00E73F6F">
        <w:t>Gefühl,</w:t>
      </w:r>
      <w:r w:rsidRPr="00E73F6F">
        <w:rPr>
          <w:spacing w:val="-5"/>
        </w:rPr>
        <w:t xml:space="preserve"> </w:t>
      </w:r>
      <w:r w:rsidRPr="00E73F6F">
        <w:t>dass</w:t>
      </w:r>
      <w:r w:rsidRPr="00E73F6F">
        <w:rPr>
          <w:spacing w:val="-6"/>
        </w:rPr>
        <w:t xml:space="preserve"> </w:t>
      </w:r>
      <w:r w:rsidRPr="00E73F6F">
        <w:t>ich</w:t>
      </w:r>
      <w:r w:rsidRPr="00E73F6F">
        <w:rPr>
          <w:spacing w:val="-5"/>
        </w:rPr>
        <w:t xml:space="preserve"> </w:t>
      </w:r>
      <w:r w:rsidRPr="00E73F6F">
        <w:t>nicht</w:t>
      </w:r>
      <w:r w:rsidRPr="00E73F6F">
        <w:rPr>
          <w:spacing w:val="-5"/>
        </w:rPr>
        <w:t xml:space="preserve"> </w:t>
      </w:r>
      <w:r w:rsidRPr="00E73F6F">
        <w:t>genug</w:t>
      </w:r>
      <w:r w:rsidRPr="00E73F6F">
        <w:rPr>
          <w:spacing w:val="-4"/>
        </w:rPr>
        <w:t xml:space="preserve"> </w:t>
      </w:r>
      <w:r w:rsidRPr="00E73F6F">
        <w:t>Kontrolle</w:t>
      </w:r>
      <w:r w:rsidRPr="00E73F6F">
        <w:rPr>
          <w:spacing w:val="-6"/>
        </w:rPr>
        <w:t xml:space="preserve"> </w:t>
      </w:r>
      <w:r w:rsidRPr="00E73F6F">
        <w:t>über</w:t>
      </w:r>
      <w:r w:rsidRPr="00E73F6F">
        <w:rPr>
          <w:spacing w:val="-5"/>
        </w:rPr>
        <w:t xml:space="preserve"> </w:t>
      </w:r>
      <w:r w:rsidRPr="00E73F6F">
        <w:t>den Lauf meines Lebens habe.</w:t>
      </w:r>
    </w:p>
    <w:p w14:paraId="24766F22" w14:textId="77777777" w:rsidR="00FF7799" w:rsidRPr="00E73F6F" w:rsidRDefault="00FF7799" w:rsidP="005F3BAD">
      <w:pPr>
        <w:pStyle w:val="StandardText"/>
      </w:pPr>
      <w:r w:rsidRPr="00E73F6F">
        <w:t>Im Einklang mit dem nationalen Mythos („Jeder Amerikaner kann Präsident werden“) glaubten neun von zehn Amerikanern, ihres Glückes Schmied zu sein. Zu</w:t>
      </w:r>
      <w:r w:rsidRPr="00E73F6F">
        <w:rPr>
          <w:spacing w:val="-7"/>
        </w:rPr>
        <w:t xml:space="preserve"> </w:t>
      </w:r>
      <w:r w:rsidRPr="00E73F6F">
        <w:t>interner</w:t>
      </w:r>
      <w:r w:rsidRPr="00E73F6F">
        <w:rPr>
          <w:spacing w:val="-9"/>
        </w:rPr>
        <w:t xml:space="preserve"> </w:t>
      </w:r>
      <w:r w:rsidRPr="00E73F6F">
        <w:t>Kontrollüberzeugung</w:t>
      </w:r>
      <w:r w:rsidRPr="00E73F6F">
        <w:rPr>
          <w:spacing w:val="-8"/>
        </w:rPr>
        <w:t xml:space="preserve"> </w:t>
      </w:r>
      <w:r w:rsidRPr="00E73F6F">
        <w:t>neigte</w:t>
      </w:r>
      <w:r w:rsidRPr="00E73F6F">
        <w:rPr>
          <w:spacing w:val="-9"/>
        </w:rPr>
        <w:t xml:space="preserve"> </w:t>
      </w:r>
      <w:r w:rsidRPr="00E73F6F">
        <w:t>auch</w:t>
      </w:r>
      <w:r w:rsidRPr="00E73F6F">
        <w:rPr>
          <w:spacing w:val="-7"/>
        </w:rPr>
        <w:t xml:space="preserve"> </w:t>
      </w:r>
      <w:r w:rsidRPr="00E73F6F">
        <w:t>die</w:t>
      </w:r>
      <w:r w:rsidRPr="00E73F6F">
        <w:rPr>
          <w:spacing w:val="-9"/>
        </w:rPr>
        <w:t xml:space="preserve"> </w:t>
      </w:r>
      <w:r w:rsidRPr="00E73F6F">
        <w:t>weit</w:t>
      </w:r>
      <w:r w:rsidRPr="00E73F6F">
        <w:rPr>
          <w:spacing w:val="-8"/>
        </w:rPr>
        <w:t xml:space="preserve"> </w:t>
      </w:r>
      <w:r w:rsidRPr="00E73F6F">
        <w:t>überwiegende</w:t>
      </w:r>
      <w:r w:rsidRPr="00E73F6F">
        <w:rPr>
          <w:spacing w:val="-8"/>
        </w:rPr>
        <w:t xml:space="preserve"> </w:t>
      </w:r>
      <w:r w:rsidRPr="00E73F6F">
        <w:t>Mehrzahl</w:t>
      </w:r>
      <w:r w:rsidRPr="00E73F6F">
        <w:rPr>
          <w:spacing w:val="-11"/>
        </w:rPr>
        <w:t xml:space="preserve"> </w:t>
      </w:r>
      <w:r w:rsidRPr="00E73F6F">
        <w:t>der Westdeutschen. Hingegen meinten zwei Drittel der Ostdeutschen, extern ko</w:t>
      </w:r>
      <w:r w:rsidR="002F46E5">
        <w:t>ntrolliert zu sein</w:t>
      </w:r>
      <w:r w:rsidRPr="00E73F6F">
        <w:t>.</w:t>
      </w:r>
    </w:p>
    <w:p w14:paraId="6E923F0B" w14:textId="77777777" w:rsidR="002F46E5" w:rsidRDefault="002F46E5" w:rsidP="005F3BAD">
      <w:pPr>
        <w:pStyle w:val="StandardTextkursiv"/>
      </w:pPr>
    </w:p>
    <w:p w14:paraId="7B898513" w14:textId="77777777" w:rsidR="00FF7799" w:rsidRPr="002F46E5" w:rsidRDefault="00FF7799" w:rsidP="005F3BAD">
      <w:pPr>
        <w:pStyle w:val="StandardTextkursiv"/>
        <w:rPr>
          <w:i w:val="0"/>
        </w:rPr>
      </w:pPr>
      <w:r w:rsidRPr="002F46E5">
        <w:rPr>
          <w:i w:val="0"/>
        </w:rPr>
        <w:t>3 Kritische</w:t>
      </w:r>
      <w:r w:rsidRPr="002F46E5">
        <w:rPr>
          <w:i w:val="0"/>
          <w:spacing w:val="-4"/>
        </w:rPr>
        <w:t xml:space="preserve"> </w:t>
      </w:r>
      <w:r w:rsidRPr="002F46E5">
        <w:rPr>
          <w:i w:val="0"/>
          <w:spacing w:val="-2"/>
        </w:rPr>
        <w:t>Würdigung</w:t>
      </w:r>
    </w:p>
    <w:p w14:paraId="65C3224F" w14:textId="1F26B238" w:rsidR="00FF7799" w:rsidRPr="002F46E5" w:rsidRDefault="00FF7799" w:rsidP="005F3BAD">
      <w:pPr>
        <w:pStyle w:val="StandardText"/>
      </w:pPr>
      <w:r w:rsidRPr="002F46E5">
        <w:t>Die</w:t>
      </w:r>
      <w:r w:rsidRPr="002F46E5">
        <w:rPr>
          <w:spacing w:val="-6"/>
        </w:rPr>
        <w:t xml:space="preserve"> </w:t>
      </w:r>
      <w:r w:rsidRPr="002F46E5">
        <w:t>wissenschaftliche</w:t>
      </w:r>
      <w:r w:rsidRPr="002F46E5">
        <w:rPr>
          <w:spacing w:val="-6"/>
        </w:rPr>
        <w:t xml:space="preserve"> </w:t>
      </w:r>
      <w:r w:rsidRPr="002F46E5">
        <w:t>Bedeutung</w:t>
      </w:r>
      <w:r w:rsidRPr="002F46E5">
        <w:rPr>
          <w:spacing w:val="-8"/>
        </w:rPr>
        <w:t xml:space="preserve"> </w:t>
      </w:r>
      <w:r w:rsidRPr="002F46E5">
        <w:t>dieser</w:t>
      </w:r>
      <w:r w:rsidRPr="002F46E5">
        <w:rPr>
          <w:spacing w:val="-2"/>
        </w:rPr>
        <w:t xml:space="preserve"> </w:t>
      </w:r>
      <w:r w:rsidRPr="002F46E5">
        <w:t>eher</w:t>
      </w:r>
      <w:r w:rsidRPr="002F46E5">
        <w:rPr>
          <w:spacing w:val="-6"/>
        </w:rPr>
        <w:t xml:space="preserve"> </w:t>
      </w:r>
      <w:r w:rsidRPr="002F46E5">
        <w:t>populärwissenschaftlichen</w:t>
      </w:r>
      <w:r w:rsidRPr="002F46E5">
        <w:rPr>
          <w:spacing w:val="-4"/>
        </w:rPr>
        <w:t xml:space="preserve"> </w:t>
      </w:r>
      <w:r w:rsidRPr="002F46E5">
        <w:t>Arbeit</w:t>
      </w:r>
      <w:r w:rsidRPr="002F46E5">
        <w:rPr>
          <w:spacing w:val="-6"/>
        </w:rPr>
        <w:t xml:space="preserve"> </w:t>
      </w:r>
      <w:r w:rsidRPr="002F46E5">
        <w:t>ist begrenzt.</w:t>
      </w:r>
      <w:r w:rsidRPr="002F46E5">
        <w:rPr>
          <w:spacing w:val="-5"/>
        </w:rPr>
        <w:t xml:space="preserve"> </w:t>
      </w:r>
      <w:r w:rsidRPr="002F46E5">
        <w:t>Dass</w:t>
      </w:r>
      <w:r w:rsidRPr="002F46E5">
        <w:rPr>
          <w:spacing w:val="-4"/>
        </w:rPr>
        <w:t xml:space="preserve"> </w:t>
      </w:r>
      <w:r w:rsidRPr="002F46E5">
        <w:t>sie</w:t>
      </w:r>
      <w:r w:rsidRPr="002F46E5">
        <w:rPr>
          <w:spacing w:val="-4"/>
        </w:rPr>
        <w:t xml:space="preserve"> </w:t>
      </w:r>
      <w:r w:rsidRPr="002F46E5">
        <w:t>nicht</w:t>
      </w:r>
      <w:r w:rsidRPr="002F46E5">
        <w:rPr>
          <w:spacing w:val="-5"/>
        </w:rPr>
        <w:t xml:space="preserve"> </w:t>
      </w:r>
      <w:r w:rsidRPr="002F46E5">
        <w:t>auf</w:t>
      </w:r>
      <w:r w:rsidRPr="002F46E5">
        <w:rPr>
          <w:spacing w:val="-3"/>
        </w:rPr>
        <w:t xml:space="preserve"> </w:t>
      </w:r>
      <w:r w:rsidRPr="002F46E5">
        <w:t>einer</w:t>
      </w:r>
      <w:r w:rsidRPr="002F46E5">
        <w:rPr>
          <w:spacing w:val="-5"/>
        </w:rPr>
        <w:t xml:space="preserve"> </w:t>
      </w:r>
      <w:r w:rsidRPr="002F46E5">
        <w:t>Stufe</w:t>
      </w:r>
      <w:r w:rsidRPr="002F46E5">
        <w:rPr>
          <w:spacing w:val="-4"/>
        </w:rPr>
        <w:t xml:space="preserve"> </w:t>
      </w:r>
      <w:r w:rsidRPr="002F46E5">
        <w:t>mit</w:t>
      </w:r>
      <w:r w:rsidRPr="002F46E5">
        <w:rPr>
          <w:spacing w:val="-5"/>
        </w:rPr>
        <w:t xml:space="preserve"> </w:t>
      </w:r>
      <w:r w:rsidRPr="002F46E5">
        <w:t>der Hofstede-Studie</w:t>
      </w:r>
      <w:r w:rsidRPr="002F46E5">
        <w:rPr>
          <w:spacing w:val="-5"/>
        </w:rPr>
        <w:t xml:space="preserve"> </w:t>
      </w:r>
      <w:r w:rsidRPr="002F46E5">
        <w:t>oder</w:t>
      </w:r>
      <w:r w:rsidRPr="002F46E5">
        <w:rPr>
          <w:spacing w:val="-3"/>
        </w:rPr>
        <w:t xml:space="preserve"> </w:t>
      </w:r>
      <w:r w:rsidRPr="002F46E5">
        <w:t>der</w:t>
      </w:r>
      <w:r w:rsidRPr="002F46E5">
        <w:rPr>
          <w:spacing w:val="-2"/>
        </w:rPr>
        <w:t xml:space="preserve"> </w:t>
      </w:r>
      <w:r w:rsidRPr="002F46E5">
        <w:t>GLOBE- Studie steht, liegt zunächst an dem Versäumnis, das Forschungskonzept offen zu legen. Neben anderem vermisst der Leser die übliche Dokumentation von Forschungsdesign und Vorgehensweise. Die dem wissenschaftlichen Standard entsprechenden Angaben zum Untersuchungszeitraum sowie zur Zusammensetzung der Stichprobe oder zu Validität und Reliabilität der Befunde sucht der Leser gleichfalls vergebens. Auch unterlässt F. Trompenaars es weitestgehend, sein theoretisches</w:t>
      </w:r>
      <w:r w:rsidRPr="002F46E5">
        <w:rPr>
          <w:spacing w:val="-1"/>
        </w:rPr>
        <w:t xml:space="preserve"> </w:t>
      </w:r>
      <w:r w:rsidRPr="002F46E5">
        <w:t>Fundament, falls</w:t>
      </w:r>
      <w:r w:rsidRPr="002F46E5">
        <w:rPr>
          <w:spacing w:val="-1"/>
        </w:rPr>
        <w:t xml:space="preserve"> </w:t>
      </w:r>
      <w:r w:rsidRPr="002F46E5">
        <w:t>es ein solches gibt, kritisch zu diskutieren.</w:t>
      </w:r>
      <w:r w:rsidRPr="002F46E5">
        <w:rPr>
          <w:spacing w:val="-12"/>
        </w:rPr>
        <w:t xml:space="preserve"> </w:t>
      </w:r>
      <w:r w:rsidRPr="002F46E5">
        <w:t>Seine</w:t>
      </w:r>
      <w:r w:rsidRPr="002F46E5">
        <w:rPr>
          <w:spacing w:val="-11"/>
        </w:rPr>
        <w:t xml:space="preserve"> </w:t>
      </w:r>
      <w:r w:rsidRPr="002F46E5">
        <w:t>wenigen</w:t>
      </w:r>
      <w:r w:rsidRPr="002F46E5">
        <w:rPr>
          <w:spacing w:val="-11"/>
        </w:rPr>
        <w:t xml:space="preserve"> </w:t>
      </w:r>
      <w:r w:rsidRPr="002F46E5">
        <w:t>Alibi-Zitate</w:t>
      </w:r>
      <w:r w:rsidRPr="002F46E5">
        <w:rPr>
          <w:spacing w:val="-11"/>
        </w:rPr>
        <w:t xml:space="preserve"> </w:t>
      </w:r>
      <w:r w:rsidRPr="002F46E5">
        <w:t>beziehen</w:t>
      </w:r>
      <w:r w:rsidRPr="002F46E5">
        <w:rPr>
          <w:spacing w:val="-12"/>
        </w:rPr>
        <w:t xml:space="preserve"> </w:t>
      </w:r>
      <w:r w:rsidRPr="002F46E5">
        <w:t>sich</w:t>
      </w:r>
      <w:r w:rsidRPr="002F46E5">
        <w:rPr>
          <w:spacing w:val="-11"/>
        </w:rPr>
        <w:t xml:space="preserve"> </w:t>
      </w:r>
      <w:r w:rsidRPr="002F46E5">
        <w:t>auf</w:t>
      </w:r>
      <w:r w:rsidRPr="002F46E5">
        <w:rPr>
          <w:spacing w:val="-11"/>
        </w:rPr>
        <w:t xml:space="preserve"> </w:t>
      </w:r>
      <w:r w:rsidRPr="002F46E5">
        <w:t>höchst</w:t>
      </w:r>
      <w:r w:rsidRPr="002F46E5">
        <w:rPr>
          <w:spacing w:val="-11"/>
        </w:rPr>
        <w:t xml:space="preserve"> </w:t>
      </w:r>
      <w:r w:rsidRPr="002F46E5">
        <w:t>allgemeine</w:t>
      </w:r>
      <w:r w:rsidRPr="002F46E5">
        <w:rPr>
          <w:spacing w:val="-12"/>
        </w:rPr>
        <w:t xml:space="preserve"> </w:t>
      </w:r>
      <w:r w:rsidRPr="002F46E5">
        <w:t>Weise auf</w:t>
      </w:r>
      <w:r w:rsidRPr="002F46E5">
        <w:rPr>
          <w:spacing w:val="-4"/>
        </w:rPr>
        <w:t xml:space="preserve"> </w:t>
      </w:r>
      <w:r w:rsidRPr="002F46E5">
        <w:t>klassische</w:t>
      </w:r>
      <w:r w:rsidRPr="002F46E5">
        <w:rPr>
          <w:spacing w:val="-4"/>
        </w:rPr>
        <w:t xml:space="preserve"> </w:t>
      </w:r>
      <w:r w:rsidRPr="002F46E5">
        <w:t>Forschungsarbeiten</w:t>
      </w:r>
      <w:r w:rsidRPr="002F46E5">
        <w:rPr>
          <w:spacing w:val="-3"/>
        </w:rPr>
        <w:t xml:space="preserve"> </w:t>
      </w:r>
      <w:r w:rsidRPr="002F46E5">
        <w:t>aus</w:t>
      </w:r>
      <w:r w:rsidRPr="002F46E5">
        <w:rPr>
          <w:spacing w:val="-4"/>
        </w:rPr>
        <w:t xml:space="preserve"> </w:t>
      </w:r>
      <w:r w:rsidRPr="002F46E5">
        <w:t>den frühen</w:t>
      </w:r>
      <w:r w:rsidRPr="002F46E5">
        <w:rPr>
          <w:spacing w:val="-3"/>
        </w:rPr>
        <w:t xml:space="preserve"> </w:t>
      </w:r>
      <w:r w:rsidRPr="002F46E5">
        <w:t>1950er-Jahren.</w:t>
      </w:r>
      <w:r w:rsidRPr="002F46E5">
        <w:rPr>
          <w:spacing w:val="-5"/>
        </w:rPr>
        <w:t xml:space="preserve"> </w:t>
      </w:r>
      <w:r w:rsidRPr="002F46E5">
        <w:t>Hinzu</w:t>
      </w:r>
      <w:r w:rsidRPr="002F46E5">
        <w:rPr>
          <w:spacing w:val="-3"/>
        </w:rPr>
        <w:t xml:space="preserve"> </w:t>
      </w:r>
      <w:r w:rsidRPr="002F46E5">
        <w:t>kommen, wie sich am Beispiel der Dimension „spezifisch vs. diffus“ zeigen lässt,</w:t>
      </w:r>
      <w:r w:rsidRPr="00E73F6F">
        <w:t xml:space="preserve"> </w:t>
      </w:r>
      <w:r w:rsidRPr="002F46E5">
        <w:t>verschiedene</w:t>
      </w:r>
      <w:r w:rsidRPr="002F46E5">
        <w:rPr>
          <w:spacing w:val="-9"/>
        </w:rPr>
        <w:t xml:space="preserve"> </w:t>
      </w:r>
      <w:r w:rsidRPr="002F46E5">
        <w:t>Unstimmigkeiten.</w:t>
      </w:r>
      <w:r w:rsidRPr="002F46E5">
        <w:rPr>
          <w:spacing w:val="-8"/>
        </w:rPr>
        <w:t xml:space="preserve"> </w:t>
      </w:r>
      <w:r w:rsidRPr="002F46E5">
        <w:t>Nach</w:t>
      </w:r>
      <w:r w:rsidRPr="002F46E5">
        <w:rPr>
          <w:spacing w:val="-8"/>
        </w:rPr>
        <w:t xml:space="preserve"> </w:t>
      </w:r>
      <w:r w:rsidRPr="002F46E5">
        <w:t>dem</w:t>
      </w:r>
      <w:r w:rsidRPr="002F46E5">
        <w:rPr>
          <w:spacing w:val="-10"/>
        </w:rPr>
        <w:t xml:space="preserve"> </w:t>
      </w:r>
      <w:r w:rsidRPr="002F46E5">
        <w:t>von</w:t>
      </w:r>
      <w:r w:rsidRPr="002F46E5">
        <w:rPr>
          <w:spacing w:val="-8"/>
        </w:rPr>
        <w:t xml:space="preserve"> </w:t>
      </w:r>
      <w:r w:rsidRPr="002F46E5">
        <w:t>Lewin</w:t>
      </w:r>
      <w:r w:rsidRPr="002F46E5">
        <w:rPr>
          <w:spacing w:val="-7"/>
        </w:rPr>
        <w:t xml:space="preserve"> </w:t>
      </w:r>
      <w:r w:rsidRPr="002F46E5">
        <w:t>(1936)</w:t>
      </w:r>
      <w:r w:rsidRPr="002F46E5">
        <w:rPr>
          <w:spacing w:val="-9"/>
        </w:rPr>
        <w:t xml:space="preserve"> </w:t>
      </w:r>
      <w:r w:rsidRPr="002F46E5">
        <w:t>entwickelten</w:t>
      </w:r>
      <w:r w:rsidRPr="002F46E5">
        <w:rPr>
          <w:spacing w:val="-8"/>
        </w:rPr>
        <w:t xml:space="preserve"> </w:t>
      </w:r>
      <w:r w:rsidRPr="002F46E5">
        <w:t>Modell der Persönlichkeitsschichten, auf das der Autor sich lediglich per „</w:t>
      </w:r>
      <w:r w:rsidR="00700F23">
        <w:t>n</w:t>
      </w:r>
      <w:r w:rsidRPr="002F46E5">
        <w:t xml:space="preserve">ame </w:t>
      </w:r>
      <w:r w:rsidR="00700F23">
        <w:t>d</w:t>
      </w:r>
      <w:r w:rsidRPr="002F46E5">
        <w:t>ropping“ bezieht, sind die USA „spezifisch“ und Deutschland „diffus“. F. Trompenaars indessen klassifiziert beide als spezifische Kulturen, ohne den Widerspruch zu diskutieren. Im</w:t>
      </w:r>
      <w:r w:rsidRPr="002F46E5">
        <w:rPr>
          <w:spacing w:val="-1"/>
        </w:rPr>
        <w:t xml:space="preserve"> </w:t>
      </w:r>
      <w:r w:rsidRPr="002F46E5">
        <w:t xml:space="preserve">Übrigen steht hinter vielen Aussagen </w:t>
      </w:r>
      <w:r w:rsidRPr="002F46E5">
        <w:lastRenderedPageBreak/>
        <w:t>kaum mehr als die These: „Westliche Länder sind Erben des christlichen Abendlandes und östliche Länder sind durch Konfuzianismus und Buddhismus geprägt.“</w:t>
      </w:r>
    </w:p>
    <w:p w14:paraId="0A082D02" w14:textId="77777777" w:rsidR="00FF7799" w:rsidRPr="002F46E5" w:rsidRDefault="00FF7799" w:rsidP="005F3BAD">
      <w:pPr>
        <w:pStyle w:val="StandardText"/>
      </w:pPr>
      <w:r w:rsidRPr="002F46E5">
        <w:t>Weiterhin ist nicht wirklich nachvollziehbar, nach welchem Kriterium bzw. welchem Algorithmus der Autor die 16 Aussagen seines Fragebogens den sieben Kulturdimensionen zugeordnet hat. Die angebliche dimensionale Struktur dieses Ansatzes ist somit völlig offen. Auch fragt sich der Leser, wie die zwei bis drei Fragen pro Kulturdimensionen gewichtet, d.h. zu einem (Index-)Wert zusammengefasst</w:t>
      </w:r>
      <w:r w:rsidRPr="002F46E5">
        <w:rPr>
          <w:spacing w:val="-8"/>
        </w:rPr>
        <w:t xml:space="preserve"> </w:t>
      </w:r>
      <w:r w:rsidRPr="002F46E5">
        <w:t>wurden,</w:t>
      </w:r>
      <w:r w:rsidRPr="002F46E5">
        <w:rPr>
          <w:spacing w:val="-8"/>
        </w:rPr>
        <w:t xml:space="preserve"> </w:t>
      </w:r>
      <w:r w:rsidRPr="002F46E5">
        <w:t>zumal</w:t>
      </w:r>
      <w:r w:rsidRPr="002F46E5">
        <w:rPr>
          <w:spacing w:val="-11"/>
        </w:rPr>
        <w:t xml:space="preserve"> </w:t>
      </w:r>
      <w:r w:rsidRPr="002F46E5">
        <w:t>viele</w:t>
      </w:r>
      <w:r w:rsidRPr="002F46E5">
        <w:rPr>
          <w:spacing w:val="-9"/>
        </w:rPr>
        <w:t xml:space="preserve"> </w:t>
      </w:r>
      <w:r w:rsidRPr="002F46E5">
        <w:t>Länder</w:t>
      </w:r>
      <w:r w:rsidRPr="002F46E5">
        <w:rPr>
          <w:spacing w:val="-9"/>
        </w:rPr>
        <w:t xml:space="preserve"> </w:t>
      </w:r>
      <w:r w:rsidRPr="002F46E5">
        <w:t>auf</w:t>
      </w:r>
      <w:r w:rsidRPr="002F46E5">
        <w:rPr>
          <w:spacing w:val="-11"/>
        </w:rPr>
        <w:t xml:space="preserve"> </w:t>
      </w:r>
      <w:r w:rsidRPr="002F46E5">
        <w:t>den</w:t>
      </w:r>
      <w:r w:rsidRPr="002F46E5">
        <w:rPr>
          <w:spacing w:val="-8"/>
        </w:rPr>
        <w:t xml:space="preserve"> </w:t>
      </w:r>
      <w:r w:rsidRPr="002F46E5">
        <w:t>einzelnen</w:t>
      </w:r>
      <w:r w:rsidRPr="002F46E5">
        <w:rPr>
          <w:spacing w:val="-10"/>
        </w:rPr>
        <w:t xml:space="preserve"> </w:t>
      </w:r>
      <w:r w:rsidRPr="002F46E5">
        <w:t>Subskalen</w:t>
      </w:r>
      <w:r w:rsidRPr="002F46E5">
        <w:rPr>
          <w:spacing w:val="-10"/>
        </w:rPr>
        <w:t xml:space="preserve"> </w:t>
      </w:r>
      <w:r w:rsidRPr="002F46E5">
        <w:t>höchst unterschiedlich abschneiden. So nehmen die USA auf der Kulturdimension Individualismus-Kollektivismus den ersten Rang ein (zusammen mit Kanada), wenn die</w:t>
      </w:r>
      <w:r w:rsidRPr="002F46E5">
        <w:rPr>
          <w:spacing w:val="-1"/>
        </w:rPr>
        <w:t xml:space="preserve"> </w:t>
      </w:r>
      <w:r w:rsidRPr="002F46E5">
        <w:t>Einstellung zu individueller Freiheit die</w:t>
      </w:r>
      <w:r w:rsidRPr="002F46E5">
        <w:rPr>
          <w:spacing w:val="-3"/>
        </w:rPr>
        <w:t xml:space="preserve"> </w:t>
      </w:r>
      <w:r w:rsidRPr="002F46E5">
        <w:t>Messlatte</w:t>
      </w:r>
      <w:r w:rsidRPr="002F46E5">
        <w:rPr>
          <w:spacing w:val="-1"/>
        </w:rPr>
        <w:t xml:space="preserve"> </w:t>
      </w:r>
      <w:r w:rsidRPr="002F46E5">
        <w:t>ist. Fragt man jedoch nach der Bereitschaft zur Übernahme individueller Verantwortung, dann landen die</w:t>
      </w:r>
      <w:r w:rsidRPr="002F46E5">
        <w:rPr>
          <w:spacing w:val="-5"/>
        </w:rPr>
        <w:t xml:space="preserve"> </w:t>
      </w:r>
      <w:r w:rsidRPr="002F46E5">
        <w:t>USA</w:t>
      </w:r>
      <w:r w:rsidRPr="002F46E5">
        <w:rPr>
          <w:spacing w:val="-7"/>
        </w:rPr>
        <w:t xml:space="preserve"> </w:t>
      </w:r>
      <w:r w:rsidRPr="002F46E5">
        <w:t>auf</w:t>
      </w:r>
      <w:r w:rsidRPr="002F46E5">
        <w:rPr>
          <w:spacing w:val="-7"/>
        </w:rPr>
        <w:t xml:space="preserve"> </w:t>
      </w:r>
      <w:r w:rsidRPr="002F46E5">
        <w:t>Rang</w:t>
      </w:r>
      <w:r w:rsidRPr="002F46E5">
        <w:rPr>
          <w:spacing w:val="-8"/>
        </w:rPr>
        <w:t xml:space="preserve"> </w:t>
      </w:r>
      <w:r w:rsidRPr="002F46E5">
        <w:t>23,</w:t>
      </w:r>
      <w:r w:rsidRPr="002F46E5">
        <w:rPr>
          <w:spacing w:val="-8"/>
        </w:rPr>
        <w:t xml:space="preserve"> </w:t>
      </w:r>
      <w:r w:rsidRPr="002F46E5">
        <w:t>nahezu</w:t>
      </w:r>
      <w:r w:rsidRPr="002F46E5">
        <w:rPr>
          <w:spacing w:val="-6"/>
        </w:rPr>
        <w:t xml:space="preserve"> </w:t>
      </w:r>
      <w:r w:rsidRPr="002F46E5">
        <w:t>gleichauf</w:t>
      </w:r>
      <w:r w:rsidRPr="002F46E5">
        <w:rPr>
          <w:spacing w:val="-4"/>
        </w:rPr>
        <w:t xml:space="preserve"> </w:t>
      </w:r>
      <w:r w:rsidRPr="002F46E5">
        <w:t>mit</w:t>
      </w:r>
      <w:r w:rsidRPr="002F46E5">
        <w:rPr>
          <w:spacing w:val="-6"/>
        </w:rPr>
        <w:t xml:space="preserve"> </w:t>
      </w:r>
      <w:r w:rsidRPr="002F46E5">
        <w:t>Indien</w:t>
      </w:r>
      <w:r w:rsidRPr="002F46E5">
        <w:rPr>
          <w:spacing w:val="-6"/>
        </w:rPr>
        <w:t xml:space="preserve"> </w:t>
      </w:r>
      <w:r w:rsidRPr="002F46E5">
        <w:t>(!).</w:t>
      </w:r>
      <w:r w:rsidRPr="002F46E5">
        <w:rPr>
          <w:spacing w:val="-6"/>
        </w:rPr>
        <w:t xml:space="preserve"> </w:t>
      </w:r>
      <w:r w:rsidRPr="002F46E5">
        <w:t>Noch</w:t>
      </w:r>
      <w:r w:rsidRPr="002F46E5">
        <w:rPr>
          <w:spacing w:val="-3"/>
        </w:rPr>
        <w:t xml:space="preserve"> </w:t>
      </w:r>
      <w:r w:rsidRPr="002F46E5">
        <w:t>erstaunlicher:</w:t>
      </w:r>
      <w:r w:rsidRPr="002F46E5">
        <w:rPr>
          <w:spacing w:val="-4"/>
        </w:rPr>
        <w:t xml:space="preserve"> </w:t>
      </w:r>
      <w:r w:rsidRPr="002F46E5">
        <w:t>Als</w:t>
      </w:r>
      <w:r w:rsidRPr="002F46E5">
        <w:rPr>
          <w:spacing w:val="-7"/>
        </w:rPr>
        <w:t xml:space="preserve"> </w:t>
      </w:r>
      <w:r w:rsidRPr="002F46E5">
        <w:t>die größten Individualisten entpuppen sich nunmehr ausgerechnet vier ehemalige Vertreter</w:t>
      </w:r>
      <w:r w:rsidRPr="002F46E5">
        <w:rPr>
          <w:spacing w:val="69"/>
        </w:rPr>
        <w:t xml:space="preserve"> </w:t>
      </w:r>
      <w:r w:rsidRPr="002F46E5">
        <w:t>des</w:t>
      </w:r>
      <w:r w:rsidRPr="002F46E5">
        <w:rPr>
          <w:spacing w:val="72"/>
        </w:rPr>
        <w:t xml:space="preserve"> </w:t>
      </w:r>
      <w:r w:rsidRPr="002F46E5">
        <w:t>kollektivistisch-planwirtschaftlichen</w:t>
      </w:r>
      <w:r w:rsidRPr="002F46E5">
        <w:rPr>
          <w:spacing w:val="73"/>
        </w:rPr>
        <w:t xml:space="preserve"> </w:t>
      </w:r>
      <w:r w:rsidRPr="002F46E5">
        <w:t>Lagers:</w:t>
      </w:r>
      <w:r w:rsidRPr="002F46E5">
        <w:rPr>
          <w:spacing w:val="72"/>
        </w:rPr>
        <w:t xml:space="preserve"> </w:t>
      </w:r>
      <w:r w:rsidRPr="002F46E5">
        <w:t>Polen,</w:t>
      </w:r>
      <w:r w:rsidRPr="002F46E5">
        <w:rPr>
          <w:spacing w:val="73"/>
        </w:rPr>
        <w:t xml:space="preserve"> </w:t>
      </w:r>
      <w:r w:rsidRPr="002F46E5">
        <w:rPr>
          <w:spacing w:val="-2"/>
        </w:rPr>
        <w:t xml:space="preserve">Rumänien, </w:t>
      </w:r>
      <w:r w:rsidRPr="002F46E5">
        <w:t>Russland</w:t>
      </w:r>
      <w:r w:rsidRPr="002F46E5">
        <w:rPr>
          <w:spacing w:val="75"/>
        </w:rPr>
        <w:t xml:space="preserve"> </w:t>
      </w:r>
      <w:r w:rsidRPr="002F46E5">
        <w:t>und</w:t>
      </w:r>
      <w:r w:rsidRPr="002F46E5">
        <w:rPr>
          <w:spacing w:val="75"/>
        </w:rPr>
        <w:t xml:space="preserve"> </w:t>
      </w:r>
      <w:r w:rsidRPr="002F46E5">
        <w:t>Tschechoslowakei.</w:t>
      </w:r>
      <w:r w:rsidRPr="002F46E5">
        <w:rPr>
          <w:spacing w:val="76"/>
        </w:rPr>
        <w:t xml:space="preserve"> </w:t>
      </w:r>
      <w:r w:rsidRPr="002F46E5">
        <w:t>Schließlich</w:t>
      </w:r>
      <w:r w:rsidRPr="002F46E5">
        <w:rPr>
          <w:spacing w:val="75"/>
        </w:rPr>
        <w:t xml:space="preserve"> </w:t>
      </w:r>
      <w:r w:rsidRPr="002F46E5">
        <w:t>interkorrelieren</w:t>
      </w:r>
      <w:r w:rsidRPr="002F46E5">
        <w:rPr>
          <w:spacing w:val="76"/>
        </w:rPr>
        <w:t xml:space="preserve"> </w:t>
      </w:r>
      <w:r w:rsidRPr="002F46E5">
        <w:rPr>
          <w:spacing w:val="-2"/>
        </w:rPr>
        <w:t xml:space="preserve">einige </w:t>
      </w:r>
      <w:r w:rsidRPr="002F46E5">
        <w:t>„Dimensionen“ signifikant (bspw. Universalismus-Partikularismus und Individualismus-Kollektivismus mit r = 0,43). Auch lassen sich manche Fragen, wie die nach dem „Wesen von Unternehmen“ keiner Dimension zuordnen</w:t>
      </w:r>
      <w:r w:rsidR="002F46E5">
        <w:t xml:space="preserve"> („</w:t>
      </w:r>
      <w:r w:rsidR="002F46E5" w:rsidRPr="00E73F6F">
        <w:rPr>
          <w:szCs w:val="24"/>
        </w:rPr>
        <w:t>Ein Unternehmen ist ein System, das dazu dient,</w:t>
      </w:r>
      <w:r w:rsidR="002F46E5" w:rsidRPr="00E73F6F">
        <w:rPr>
          <w:spacing w:val="40"/>
          <w:szCs w:val="24"/>
        </w:rPr>
        <w:t xml:space="preserve"> </w:t>
      </w:r>
      <w:r w:rsidR="002F46E5" w:rsidRPr="00E73F6F">
        <w:rPr>
          <w:szCs w:val="24"/>
        </w:rPr>
        <w:t>Funktionen und Aufgaben auf effiziente Weise zu erfüllen</w:t>
      </w:r>
      <w:r w:rsidR="002F46E5">
        <w:rPr>
          <w:szCs w:val="24"/>
        </w:rPr>
        <w:t>.</w:t>
      </w:r>
      <w:r w:rsidR="002F46E5" w:rsidRPr="00E73F6F">
        <w:rPr>
          <w:szCs w:val="24"/>
        </w:rPr>
        <w:t>“</w:t>
      </w:r>
      <w:r w:rsidR="002F46E5">
        <w:rPr>
          <w:szCs w:val="24"/>
        </w:rPr>
        <w:t>)</w:t>
      </w:r>
      <w:r w:rsidRPr="002F46E5">
        <w:t>.</w:t>
      </w:r>
      <w:r w:rsidRPr="002F46E5">
        <w:rPr>
          <w:spacing w:val="-2"/>
        </w:rPr>
        <w:t xml:space="preserve"> </w:t>
      </w:r>
      <w:r w:rsidRPr="002F46E5">
        <w:t>Hinzu</w:t>
      </w:r>
      <w:r w:rsidRPr="002F46E5">
        <w:rPr>
          <w:spacing w:val="-2"/>
        </w:rPr>
        <w:t xml:space="preserve"> </w:t>
      </w:r>
      <w:r w:rsidRPr="002F46E5">
        <w:t>kommt, dass</w:t>
      </w:r>
      <w:r w:rsidRPr="002F46E5">
        <w:rPr>
          <w:spacing w:val="-2"/>
        </w:rPr>
        <w:t xml:space="preserve"> </w:t>
      </w:r>
      <w:r w:rsidRPr="002F46E5">
        <w:t>für</w:t>
      </w:r>
      <w:r w:rsidRPr="002F46E5">
        <w:rPr>
          <w:spacing w:val="-3"/>
        </w:rPr>
        <w:t xml:space="preserve"> </w:t>
      </w:r>
      <w:r w:rsidRPr="002F46E5">
        <w:t>die</w:t>
      </w:r>
      <w:r w:rsidRPr="002F46E5">
        <w:rPr>
          <w:spacing w:val="-1"/>
        </w:rPr>
        <w:t xml:space="preserve"> </w:t>
      </w:r>
      <w:r w:rsidRPr="002F46E5">
        <w:t>einzelnen Länder</w:t>
      </w:r>
      <w:r w:rsidRPr="002F46E5">
        <w:rPr>
          <w:spacing w:val="-1"/>
        </w:rPr>
        <w:t xml:space="preserve"> </w:t>
      </w:r>
      <w:r w:rsidRPr="002F46E5">
        <w:t>zwar</w:t>
      </w:r>
      <w:r w:rsidRPr="002F46E5">
        <w:rPr>
          <w:spacing w:val="-1"/>
        </w:rPr>
        <w:t xml:space="preserve"> </w:t>
      </w:r>
      <w:r w:rsidRPr="002F46E5">
        <w:t>deren</w:t>
      </w:r>
      <w:r w:rsidRPr="002F46E5">
        <w:rPr>
          <w:spacing w:val="-2"/>
        </w:rPr>
        <w:t xml:space="preserve"> </w:t>
      </w:r>
      <w:r w:rsidRPr="002F46E5">
        <w:t>Positionen</w:t>
      </w:r>
      <w:r w:rsidRPr="002F46E5">
        <w:rPr>
          <w:spacing w:val="-2"/>
        </w:rPr>
        <w:t xml:space="preserve"> </w:t>
      </w:r>
      <w:r w:rsidRPr="002F46E5">
        <w:t>bei den 16 Fragen, aber nicht auf den sieben Kulturdimensionen mitgeteilt werden.</w:t>
      </w:r>
    </w:p>
    <w:p w14:paraId="76B36650" w14:textId="77777777" w:rsidR="00FF7799" w:rsidRPr="00E73F6F" w:rsidRDefault="00FF7799" w:rsidP="005F3BAD">
      <w:pPr>
        <w:pStyle w:val="StandardText"/>
      </w:pPr>
      <w:r w:rsidRPr="00E73F6F">
        <w:t>Wie</w:t>
      </w:r>
      <w:r w:rsidRPr="00E73F6F">
        <w:rPr>
          <w:spacing w:val="7"/>
        </w:rPr>
        <w:t xml:space="preserve"> </w:t>
      </w:r>
      <w:r w:rsidRPr="00E73F6F">
        <w:rPr>
          <w:i/>
        </w:rPr>
        <w:t>G.</w:t>
      </w:r>
      <w:r w:rsidRPr="00E73F6F">
        <w:rPr>
          <w:i/>
          <w:spacing w:val="9"/>
        </w:rPr>
        <w:t xml:space="preserve"> </w:t>
      </w:r>
      <w:r w:rsidRPr="00E73F6F">
        <w:rPr>
          <w:i/>
        </w:rPr>
        <w:t>Hofstede</w:t>
      </w:r>
      <w:r w:rsidRPr="00E73F6F">
        <w:rPr>
          <w:i/>
          <w:spacing w:val="6"/>
        </w:rPr>
        <w:t xml:space="preserve"> </w:t>
      </w:r>
      <w:r w:rsidRPr="00E73F6F">
        <w:t>kann</w:t>
      </w:r>
      <w:r w:rsidRPr="00E73F6F">
        <w:rPr>
          <w:spacing w:val="8"/>
        </w:rPr>
        <w:t xml:space="preserve"> </w:t>
      </w:r>
      <w:r w:rsidRPr="00E73F6F">
        <w:t>der</w:t>
      </w:r>
      <w:r w:rsidRPr="00E73F6F">
        <w:rPr>
          <w:spacing w:val="9"/>
        </w:rPr>
        <w:t xml:space="preserve"> </w:t>
      </w:r>
      <w:r w:rsidRPr="00E73F6F">
        <w:t>Autor</w:t>
      </w:r>
      <w:r w:rsidRPr="00E73F6F">
        <w:rPr>
          <w:spacing w:val="6"/>
        </w:rPr>
        <w:t xml:space="preserve"> </w:t>
      </w:r>
      <w:r w:rsidRPr="00E73F6F">
        <w:t>auf</w:t>
      </w:r>
      <w:r w:rsidRPr="00E73F6F">
        <w:rPr>
          <w:spacing w:val="9"/>
        </w:rPr>
        <w:t xml:space="preserve"> </w:t>
      </w:r>
      <w:r w:rsidRPr="00E73F6F">
        <w:t>eine</w:t>
      </w:r>
      <w:r w:rsidRPr="00E73F6F">
        <w:rPr>
          <w:spacing w:val="8"/>
        </w:rPr>
        <w:t xml:space="preserve"> </w:t>
      </w:r>
      <w:r w:rsidRPr="00E73F6F">
        <w:t>beeindruckende</w:t>
      </w:r>
      <w:r w:rsidRPr="00E73F6F">
        <w:rPr>
          <w:spacing w:val="8"/>
        </w:rPr>
        <w:t xml:space="preserve"> </w:t>
      </w:r>
      <w:r w:rsidRPr="00E73F6F">
        <w:t>Datenbasis</w:t>
      </w:r>
      <w:r w:rsidRPr="00E73F6F">
        <w:rPr>
          <w:spacing w:val="8"/>
        </w:rPr>
        <w:t xml:space="preserve"> </w:t>
      </w:r>
      <w:r w:rsidRPr="00E73F6F">
        <w:rPr>
          <w:spacing w:val="-2"/>
        </w:rPr>
        <w:t xml:space="preserve">verweisen: </w:t>
      </w:r>
      <w:r w:rsidRPr="00E73F6F">
        <w:t>15.000 Manager aus 47 Länder.</w:t>
      </w:r>
      <w:r w:rsidRPr="00E73F6F">
        <w:rPr>
          <w:spacing w:val="-1"/>
        </w:rPr>
        <w:t xml:space="preserve"> </w:t>
      </w:r>
      <w:r w:rsidRPr="00E73F6F">
        <w:t>Da es sich bei ihnen aber jeweils um Teilnehmer an den</w:t>
      </w:r>
      <w:r w:rsidRPr="00E73F6F">
        <w:rPr>
          <w:spacing w:val="-1"/>
        </w:rPr>
        <w:t xml:space="preserve"> </w:t>
      </w:r>
      <w:r w:rsidRPr="00E73F6F">
        <w:t>interkulturellen</w:t>
      </w:r>
      <w:r w:rsidRPr="00E73F6F">
        <w:rPr>
          <w:spacing w:val="-1"/>
        </w:rPr>
        <w:t xml:space="preserve"> </w:t>
      </w:r>
      <w:r w:rsidRPr="00E73F6F">
        <w:t>Trainingsseminaren des Autors</w:t>
      </w:r>
      <w:r w:rsidRPr="00E73F6F">
        <w:rPr>
          <w:spacing w:val="-2"/>
        </w:rPr>
        <w:t xml:space="preserve"> </w:t>
      </w:r>
      <w:r w:rsidRPr="00E73F6F">
        <w:t>handelte,</w:t>
      </w:r>
      <w:r w:rsidRPr="00E73F6F">
        <w:rPr>
          <w:spacing w:val="-1"/>
        </w:rPr>
        <w:t xml:space="preserve"> </w:t>
      </w:r>
      <w:r w:rsidRPr="00E73F6F">
        <w:t>sind</w:t>
      </w:r>
      <w:r w:rsidRPr="00E73F6F">
        <w:rPr>
          <w:spacing w:val="-1"/>
        </w:rPr>
        <w:t xml:space="preserve"> </w:t>
      </w:r>
      <w:r w:rsidRPr="00E73F6F">
        <w:t xml:space="preserve">gravierende Stichprobenprobleme unausweichlich (mangelnde Repräsentativität, Selbstselektion etc.). Außerdem besteht Unklarheit über den </w:t>
      </w:r>
      <w:r w:rsidRPr="00E73F6F">
        <w:rPr>
          <w:spacing w:val="-2"/>
        </w:rPr>
        <w:t>Untersuchungszeitraum.</w:t>
      </w:r>
    </w:p>
    <w:p w14:paraId="5B68FAEE" w14:textId="77777777" w:rsidR="00FF7799" w:rsidRPr="002F46E5" w:rsidRDefault="00FF7799" w:rsidP="005F3BAD">
      <w:pPr>
        <w:pStyle w:val="StandardText"/>
      </w:pPr>
      <w:r w:rsidRPr="002F46E5">
        <w:t>Schließlich</w:t>
      </w:r>
      <w:r w:rsidRPr="002F46E5">
        <w:rPr>
          <w:spacing w:val="32"/>
        </w:rPr>
        <w:t xml:space="preserve"> </w:t>
      </w:r>
      <w:r w:rsidRPr="002F46E5">
        <w:t>sind</w:t>
      </w:r>
      <w:r w:rsidRPr="002F46E5">
        <w:rPr>
          <w:spacing w:val="30"/>
        </w:rPr>
        <w:t xml:space="preserve"> </w:t>
      </w:r>
      <w:r w:rsidRPr="002F46E5">
        <w:t>die</w:t>
      </w:r>
      <w:r w:rsidRPr="002F46E5">
        <w:rPr>
          <w:spacing w:val="31"/>
        </w:rPr>
        <w:t xml:space="preserve"> </w:t>
      </w:r>
      <w:r w:rsidRPr="002F46E5">
        <w:t>Konsequenzen,</w:t>
      </w:r>
      <w:r w:rsidRPr="002F46E5">
        <w:rPr>
          <w:spacing w:val="30"/>
        </w:rPr>
        <w:t xml:space="preserve"> </w:t>
      </w:r>
      <w:r w:rsidRPr="002F46E5">
        <w:t>die</w:t>
      </w:r>
      <w:r w:rsidRPr="002F46E5">
        <w:rPr>
          <w:spacing w:val="35"/>
        </w:rPr>
        <w:t xml:space="preserve"> </w:t>
      </w:r>
      <w:r w:rsidRPr="002F46E5">
        <w:t>F.</w:t>
      </w:r>
      <w:r w:rsidRPr="002F46E5">
        <w:rPr>
          <w:spacing w:val="30"/>
        </w:rPr>
        <w:t xml:space="preserve"> </w:t>
      </w:r>
      <w:r w:rsidRPr="002F46E5">
        <w:t>Trompenaars</w:t>
      </w:r>
      <w:r w:rsidRPr="002F46E5">
        <w:rPr>
          <w:spacing w:val="30"/>
        </w:rPr>
        <w:t xml:space="preserve"> </w:t>
      </w:r>
      <w:r w:rsidRPr="002F46E5">
        <w:t>unter</w:t>
      </w:r>
      <w:r w:rsidRPr="002F46E5">
        <w:rPr>
          <w:spacing w:val="29"/>
        </w:rPr>
        <w:t xml:space="preserve"> </w:t>
      </w:r>
      <w:r w:rsidRPr="002F46E5">
        <w:t>der</w:t>
      </w:r>
      <w:r w:rsidRPr="002F46E5">
        <w:rPr>
          <w:spacing w:val="32"/>
        </w:rPr>
        <w:t xml:space="preserve"> </w:t>
      </w:r>
      <w:r w:rsidRPr="002F46E5">
        <w:rPr>
          <w:spacing w:val="-2"/>
        </w:rPr>
        <w:t xml:space="preserve">Überschrift </w:t>
      </w:r>
      <w:r w:rsidRPr="002F46E5">
        <w:t>„Praktische Tipps für das Handeln in neutralen und affektiven Kulturen“ aus seinen Beobachtungen und Analysen für die Praxis zieht, häufig von geringer Aussagekraft. Bisweilen erscheinen sie geradezu naiv bzw. trivial, wie die Ratschläge, die stellvertretend für den Umgang mit Menschen aus emotional neutralen bzw. affektiven Gesellschaften ausgewählt wurden, zeigen:</w:t>
      </w:r>
    </w:p>
    <w:p w14:paraId="656F5DA4" w14:textId="77777777" w:rsidR="00FF7799" w:rsidRPr="002F46E5" w:rsidRDefault="00FF7799" w:rsidP="00700F23">
      <w:pPr>
        <w:pStyle w:val="StandardTextAufzhlung"/>
        <w:ind w:left="426"/>
      </w:pPr>
      <w:r w:rsidRPr="002F46E5">
        <w:t>„Zeigen Sie</w:t>
      </w:r>
      <w:r w:rsidRPr="002F46E5">
        <w:rPr>
          <w:spacing w:val="-4"/>
        </w:rPr>
        <w:t xml:space="preserve"> </w:t>
      </w:r>
      <w:r w:rsidRPr="002F46E5">
        <w:t>guten</w:t>
      </w:r>
      <w:r w:rsidRPr="002F46E5">
        <w:rPr>
          <w:spacing w:val="-3"/>
        </w:rPr>
        <w:t xml:space="preserve"> </w:t>
      </w:r>
      <w:r w:rsidRPr="002F46E5">
        <w:t>Willen,</w:t>
      </w:r>
      <w:r w:rsidRPr="002F46E5">
        <w:rPr>
          <w:spacing w:val="-3"/>
        </w:rPr>
        <w:t xml:space="preserve"> </w:t>
      </w:r>
      <w:r w:rsidRPr="002F46E5">
        <w:t>dann</w:t>
      </w:r>
      <w:r w:rsidRPr="002F46E5">
        <w:rPr>
          <w:spacing w:val="-2"/>
        </w:rPr>
        <w:t xml:space="preserve"> </w:t>
      </w:r>
      <w:r w:rsidRPr="002F46E5">
        <w:t>reagiert</w:t>
      </w:r>
      <w:r w:rsidRPr="002F46E5">
        <w:rPr>
          <w:spacing w:val="-1"/>
        </w:rPr>
        <w:t xml:space="preserve"> </w:t>
      </w:r>
      <w:r w:rsidRPr="002F46E5">
        <w:t>man darauf</w:t>
      </w:r>
      <w:r w:rsidRPr="002F46E5">
        <w:rPr>
          <w:spacing w:val="-1"/>
        </w:rPr>
        <w:t xml:space="preserve"> </w:t>
      </w:r>
      <w:r w:rsidRPr="002F46E5">
        <w:t xml:space="preserve">mit </w:t>
      </w:r>
      <w:r w:rsidRPr="002F46E5">
        <w:rPr>
          <w:spacing w:val="-2"/>
        </w:rPr>
        <w:t>Wärme.</w:t>
      </w:r>
    </w:p>
    <w:p w14:paraId="7C684CF8" w14:textId="77777777" w:rsidR="00FF7799" w:rsidRPr="00700F23" w:rsidRDefault="00FF7799" w:rsidP="00700F23">
      <w:pPr>
        <w:pStyle w:val="StandardTextAufzhlung"/>
        <w:ind w:left="426"/>
      </w:pPr>
      <w:r w:rsidRPr="002F46E5">
        <w:t xml:space="preserve">Wenn Sie sich gründlich vorbereiten, ist es leichter für Sie, »bei der Stange zu bleiben«, d.h. die Themen der anderen zu diskutieren“ (Trompenaars 1993, </w:t>
      </w:r>
      <w:r w:rsidRPr="002F46E5">
        <w:rPr>
          <w:spacing w:val="-2"/>
        </w:rPr>
        <w:t>S.106f.).</w:t>
      </w:r>
    </w:p>
    <w:p w14:paraId="78CB1B2F" w14:textId="77777777" w:rsidR="00700F23" w:rsidRPr="002F46E5" w:rsidRDefault="00700F23" w:rsidP="00700F23">
      <w:pPr>
        <w:pStyle w:val="StandardTextAufzhlung"/>
        <w:numPr>
          <w:ilvl w:val="0"/>
          <w:numId w:val="0"/>
        </w:numPr>
        <w:ind w:left="426"/>
      </w:pPr>
    </w:p>
    <w:p w14:paraId="485DB19E" w14:textId="77777777" w:rsidR="00FF7799" w:rsidRPr="002F46E5" w:rsidRDefault="002F46E5" w:rsidP="005F3BAD">
      <w:pPr>
        <w:pStyle w:val="StandardText"/>
        <w:rPr>
          <w:sz w:val="22"/>
          <w:szCs w:val="22"/>
          <w:lang w:val="en-US"/>
        </w:rPr>
      </w:pPr>
      <w:r>
        <w:rPr>
          <w:b/>
          <w:i/>
          <w:sz w:val="22"/>
          <w:szCs w:val="22"/>
          <w:lang w:val="en-US"/>
        </w:rPr>
        <w:t>L</w:t>
      </w:r>
      <w:r w:rsidR="00FF7799" w:rsidRPr="002F46E5">
        <w:rPr>
          <w:b/>
          <w:i/>
          <w:sz w:val="22"/>
          <w:szCs w:val="22"/>
          <w:lang w:val="en-US"/>
        </w:rPr>
        <w:t>iteratur:</w:t>
      </w:r>
      <w:r w:rsidR="00FF7799" w:rsidRPr="002F46E5">
        <w:rPr>
          <w:b/>
          <w:spacing w:val="-10"/>
          <w:sz w:val="22"/>
          <w:szCs w:val="22"/>
          <w:lang w:val="en-US"/>
        </w:rPr>
        <w:t xml:space="preserve"> </w:t>
      </w:r>
      <w:r w:rsidR="00FF7799" w:rsidRPr="002F46E5">
        <w:rPr>
          <w:sz w:val="22"/>
          <w:szCs w:val="22"/>
          <w:lang w:val="en-US"/>
        </w:rPr>
        <w:t>Cottle,</w:t>
      </w:r>
      <w:r w:rsidR="00FF7799" w:rsidRPr="002F46E5">
        <w:rPr>
          <w:spacing w:val="-10"/>
          <w:sz w:val="22"/>
          <w:szCs w:val="22"/>
          <w:lang w:val="en-US"/>
        </w:rPr>
        <w:t xml:space="preserve"> </w:t>
      </w:r>
      <w:r w:rsidR="00FF7799" w:rsidRPr="002F46E5">
        <w:rPr>
          <w:sz w:val="22"/>
          <w:szCs w:val="22"/>
          <w:lang w:val="en-US"/>
        </w:rPr>
        <w:t>T.J.</w:t>
      </w:r>
      <w:r w:rsidR="00FF7799" w:rsidRPr="002F46E5">
        <w:rPr>
          <w:spacing w:val="-10"/>
          <w:sz w:val="22"/>
          <w:szCs w:val="22"/>
          <w:lang w:val="en-US"/>
        </w:rPr>
        <w:t xml:space="preserve"> </w:t>
      </w:r>
      <w:r w:rsidR="00FF7799" w:rsidRPr="002F46E5">
        <w:rPr>
          <w:sz w:val="22"/>
          <w:szCs w:val="22"/>
          <w:lang w:val="en-US"/>
        </w:rPr>
        <w:t>(1967):</w:t>
      </w:r>
      <w:r w:rsidR="00FF7799" w:rsidRPr="002F46E5">
        <w:rPr>
          <w:spacing w:val="-10"/>
          <w:sz w:val="22"/>
          <w:szCs w:val="22"/>
          <w:lang w:val="en-US"/>
        </w:rPr>
        <w:t xml:space="preserve"> </w:t>
      </w:r>
      <w:r w:rsidR="00FF7799" w:rsidRPr="002F46E5">
        <w:rPr>
          <w:sz w:val="22"/>
          <w:szCs w:val="22"/>
          <w:lang w:val="en-US"/>
        </w:rPr>
        <w:t>The</w:t>
      </w:r>
      <w:r w:rsidR="00FF7799" w:rsidRPr="002F46E5">
        <w:rPr>
          <w:spacing w:val="-10"/>
          <w:sz w:val="22"/>
          <w:szCs w:val="22"/>
          <w:lang w:val="en-US"/>
        </w:rPr>
        <w:t xml:space="preserve"> </w:t>
      </w:r>
      <w:r w:rsidR="00FF7799" w:rsidRPr="002F46E5">
        <w:rPr>
          <w:sz w:val="22"/>
          <w:szCs w:val="22"/>
          <w:lang w:val="en-US"/>
        </w:rPr>
        <w:t>Circles</w:t>
      </w:r>
      <w:r w:rsidR="00FF7799" w:rsidRPr="002F46E5">
        <w:rPr>
          <w:spacing w:val="-10"/>
          <w:sz w:val="22"/>
          <w:szCs w:val="22"/>
          <w:lang w:val="en-US"/>
        </w:rPr>
        <w:t xml:space="preserve"> </w:t>
      </w:r>
      <w:r w:rsidR="00FF7799" w:rsidRPr="002F46E5">
        <w:rPr>
          <w:sz w:val="22"/>
          <w:szCs w:val="22"/>
          <w:lang w:val="en-US"/>
        </w:rPr>
        <w:t>Test.</w:t>
      </w:r>
      <w:r w:rsidR="00FF7799" w:rsidRPr="002F46E5">
        <w:rPr>
          <w:spacing w:val="-10"/>
          <w:sz w:val="22"/>
          <w:szCs w:val="22"/>
          <w:lang w:val="en-US"/>
        </w:rPr>
        <w:t xml:space="preserve"> </w:t>
      </w:r>
      <w:r w:rsidR="00FF7799" w:rsidRPr="002F46E5">
        <w:rPr>
          <w:sz w:val="22"/>
          <w:szCs w:val="22"/>
          <w:lang w:val="en-US"/>
        </w:rPr>
        <w:t>An</w:t>
      </w:r>
      <w:r w:rsidR="00FF7799" w:rsidRPr="002F46E5">
        <w:rPr>
          <w:spacing w:val="-10"/>
          <w:sz w:val="22"/>
          <w:szCs w:val="22"/>
          <w:lang w:val="en-US"/>
        </w:rPr>
        <w:t xml:space="preserve"> </w:t>
      </w:r>
      <w:r w:rsidR="00FF7799" w:rsidRPr="002F46E5">
        <w:rPr>
          <w:sz w:val="22"/>
          <w:szCs w:val="22"/>
          <w:lang w:val="en-US"/>
        </w:rPr>
        <w:t>investigation</w:t>
      </w:r>
      <w:r w:rsidR="00FF7799" w:rsidRPr="002F46E5">
        <w:rPr>
          <w:spacing w:val="-10"/>
          <w:sz w:val="22"/>
          <w:szCs w:val="22"/>
          <w:lang w:val="en-US"/>
        </w:rPr>
        <w:t xml:space="preserve"> </w:t>
      </w:r>
      <w:r w:rsidR="00FF7799" w:rsidRPr="002F46E5">
        <w:rPr>
          <w:sz w:val="22"/>
          <w:szCs w:val="22"/>
          <w:lang w:val="en-US"/>
        </w:rPr>
        <w:t>of</w:t>
      </w:r>
      <w:r w:rsidR="00FF7799" w:rsidRPr="002F46E5">
        <w:rPr>
          <w:spacing w:val="-10"/>
          <w:sz w:val="22"/>
          <w:szCs w:val="22"/>
          <w:lang w:val="en-US"/>
        </w:rPr>
        <w:t xml:space="preserve"> </w:t>
      </w:r>
      <w:r w:rsidR="00FF7799" w:rsidRPr="002F46E5">
        <w:rPr>
          <w:sz w:val="22"/>
          <w:szCs w:val="22"/>
          <w:lang w:val="en-US"/>
        </w:rPr>
        <w:t>Perceptions</w:t>
      </w:r>
      <w:r w:rsidR="00FF7799" w:rsidRPr="002F46E5">
        <w:rPr>
          <w:spacing w:val="-10"/>
          <w:sz w:val="22"/>
          <w:szCs w:val="22"/>
          <w:lang w:val="en-US"/>
        </w:rPr>
        <w:t xml:space="preserve"> </w:t>
      </w:r>
      <w:r w:rsidR="00FF7799" w:rsidRPr="002F46E5">
        <w:rPr>
          <w:sz w:val="22"/>
          <w:szCs w:val="22"/>
          <w:lang w:val="en-US"/>
        </w:rPr>
        <w:t>of</w:t>
      </w:r>
      <w:r w:rsidR="00FF7799" w:rsidRPr="002F46E5">
        <w:rPr>
          <w:spacing w:val="-10"/>
          <w:sz w:val="22"/>
          <w:szCs w:val="22"/>
          <w:lang w:val="en-US"/>
        </w:rPr>
        <w:t xml:space="preserve"> </w:t>
      </w:r>
      <w:r w:rsidR="00FF7799" w:rsidRPr="002F46E5">
        <w:rPr>
          <w:sz w:val="22"/>
          <w:szCs w:val="22"/>
          <w:lang w:val="en-US"/>
        </w:rPr>
        <w:t>Temporal</w:t>
      </w:r>
      <w:r w:rsidR="00FF7799" w:rsidRPr="002F46E5">
        <w:rPr>
          <w:spacing w:val="40"/>
          <w:sz w:val="22"/>
          <w:szCs w:val="22"/>
          <w:lang w:val="en-US"/>
        </w:rPr>
        <w:t xml:space="preserve"> </w:t>
      </w:r>
      <w:r w:rsidR="00FF7799" w:rsidRPr="002F46E5">
        <w:rPr>
          <w:sz w:val="22"/>
          <w:szCs w:val="22"/>
          <w:lang w:val="en-US"/>
        </w:rPr>
        <w:t>Relatedness</w:t>
      </w:r>
      <w:r w:rsidR="00FF7799" w:rsidRPr="002F46E5">
        <w:rPr>
          <w:spacing w:val="-1"/>
          <w:sz w:val="22"/>
          <w:szCs w:val="22"/>
          <w:lang w:val="en-US"/>
        </w:rPr>
        <w:t xml:space="preserve"> </w:t>
      </w:r>
      <w:r w:rsidR="00FF7799" w:rsidRPr="002F46E5">
        <w:rPr>
          <w:sz w:val="22"/>
          <w:szCs w:val="22"/>
          <w:lang w:val="en-US"/>
        </w:rPr>
        <w:t>and Dominance,</w:t>
      </w:r>
      <w:r w:rsidR="00FF7799" w:rsidRPr="002F46E5">
        <w:rPr>
          <w:spacing w:val="-2"/>
          <w:sz w:val="22"/>
          <w:szCs w:val="22"/>
          <w:lang w:val="en-US"/>
        </w:rPr>
        <w:t xml:space="preserve"> </w:t>
      </w:r>
      <w:r w:rsidR="00FF7799" w:rsidRPr="002F46E5">
        <w:rPr>
          <w:sz w:val="22"/>
          <w:szCs w:val="22"/>
          <w:lang w:val="en-US"/>
        </w:rPr>
        <w:t>Journal</w:t>
      </w:r>
      <w:r w:rsidR="00FF7799" w:rsidRPr="002F46E5">
        <w:rPr>
          <w:spacing w:val="-2"/>
          <w:sz w:val="22"/>
          <w:szCs w:val="22"/>
          <w:lang w:val="en-US"/>
        </w:rPr>
        <w:t xml:space="preserve"> </w:t>
      </w:r>
      <w:r w:rsidR="00FF7799" w:rsidRPr="002F46E5">
        <w:rPr>
          <w:sz w:val="22"/>
          <w:szCs w:val="22"/>
          <w:lang w:val="en-US"/>
        </w:rPr>
        <w:t>of</w:t>
      </w:r>
      <w:r w:rsidR="00FF7799" w:rsidRPr="002F46E5">
        <w:rPr>
          <w:spacing w:val="-1"/>
          <w:sz w:val="22"/>
          <w:szCs w:val="22"/>
          <w:lang w:val="en-US"/>
        </w:rPr>
        <w:t xml:space="preserve"> </w:t>
      </w:r>
      <w:r w:rsidR="00FF7799" w:rsidRPr="002F46E5">
        <w:rPr>
          <w:sz w:val="22"/>
          <w:szCs w:val="22"/>
          <w:lang w:val="en-US"/>
        </w:rPr>
        <w:t>Projective</w:t>
      </w:r>
      <w:r w:rsidR="00FF7799" w:rsidRPr="002F46E5">
        <w:rPr>
          <w:spacing w:val="-2"/>
          <w:sz w:val="22"/>
          <w:szCs w:val="22"/>
          <w:lang w:val="en-US"/>
        </w:rPr>
        <w:t xml:space="preserve"> </w:t>
      </w:r>
      <w:r w:rsidR="00FF7799" w:rsidRPr="002F46E5">
        <w:rPr>
          <w:sz w:val="22"/>
          <w:szCs w:val="22"/>
          <w:lang w:val="en-US"/>
        </w:rPr>
        <w:t>Techniques</w:t>
      </w:r>
      <w:r w:rsidR="00FF7799" w:rsidRPr="002F46E5">
        <w:rPr>
          <w:spacing w:val="-1"/>
          <w:sz w:val="22"/>
          <w:szCs w:val="22"/>
          <w:lang w:val="en-US"/>
        </w:rPr>
        <w:t xml:space="preserve"> </w:t>
      </w:r>
      <w:r w:rsidR="00FF7799" w:rsidRPr="002F46E5">
        <w:rPr>
          <w:sz w:val="22"/>
          <w:szCs w:val="22"/>
          <w:lang w:val="en-US"/>
        </w:rPr>
        <w:t>and Personality Assessment,</w:t>
      </w:r>
      <w:r w:rsidR="00FF7799" w:rsidRPr="002F46E5">
        <w:rPr>
          <w:spacing w:val="40"/>
          <w:sz w:val="22"/>
          <w:szCs w:val="22"/>
          <w:lang w:val="en-US"/>
        </w:rPr>
        <w:t xml:space="preserve"> </w:t>
      </w:r>
      <w:r w:rsidR="00FF7799" w:rsidRPr="002F46E5">
        <w:rPr>
          <w:sz w:val="22"/>
          <w:szCs w:val="22"/>
          <w:lang w:val="en-US"/>
        </w:rPr>
        <w:t>31(5): 58-71. Kluckhohn, F.R.; Strodtbeck, F.L. (1961): Variations in Value Orientations,</w:t>
      </w:r>
      <w:r w:rsidR="00FF7799" w:rsidRPr="002F46E5">
        <w:rPr>
          <w:spacing w:val="40"/>
          <w:sz w:val="22"/>
          <w:szCs w:val="22"/>
          <w:lang w:val="en-US"/>
        </w:rPr>
        <w:t xml:space="preserve"> </w:t>
      </w:r>
      <w:r w:rsidR="00FF7799" w:rsidRPr="002F46E5">
        <w:rPr>
          <w:sz w:val="22"/>
          <w:szCs w:val="22"/>
          <w:lang w:val="en-US"/>
        </w:rPr>
        <w:t>Westport/CT: Row, Peterson &amp; Company.</w:t>
      </w:r>
      <w:r w:rsidR="00FF7799" w:rsidRPr="002F46E5">
        <w:rPr>
          <w:spacing w:val="80"/>
          <w:sz w:val="22"/>
          <w:szCs w:val="22"/>
          <w:lang w:val="en-US"/>
        </w:rPr>
        <w:t xml:space="preserve"> </w:t>
      </w:r>
      <w:r w:rsidR="00FF7799" w:rsidRPr="002F46E5">
        <w:rPr>
          <w:sz w:val="22"/>
          <w:szCs w:val="22"/>
          <w:lang w:val="en-US"/>
        </w:rPr>
        <w:t>Lewin, K. (1936): Principles of Topological</w:t>
      </w:r>
      <w:r w:rsidR="00FF7799" w:rsidRPr="002F46E5">
        <w:rPr>
          <w:spacing w:val="40"/>
          <w:sz w:val="22"/>
          <w:szCs w:val="22"/>
          <w:lang w:val="en-US"/>
        </w:rPr>
        <w:t xml:space="preserve"> </w:t>
      </w:r>
      <w:r w:rsidR="00FF7799" w:rsidRPr="002F46E5">
        <w:rPr>
          <w:sz w:val="22"/>
          <w:szCs w:val="22"/>
          <w:lang w:val="en-US"/>
        </w:rPr>
        <w:t>Psychology, New York: McGraw-Hill.</w:t>
      </w:r>
      <w:r w:rsidR="00FF7799" w:rsidRPr="002F46E5">
        <w:rPr>
          <w:spacing w:val="80"/>
          <w:sz w:val="22"/>
          <w:szCs w:val="22"/>
          <w:lang w:val="en-US"/>
        </w:rPr>
        <w:t xml:space="preserve"> </w:t>
      </w:r>
      <w:r w:rsidR="00FF7799" w:rsidRPr="002F46E5">
        <w:rPr>
          <w:sz w:val="22"/>
          <w:szCs w:val="22"/>
          <w:lang w:val="en-US"/>
        </w:rPr>
        <w:t>Trompenaars, F. (1993a): Riding the Waves of</w:t>
      </w:r>
      <w:r w:rsidR="00FF7799" w:rsidRPr="002F46E5">
        <w:rPr>
          <w:spacing w:val="40"/>
          <w:sz w:val="22"/>
          <w:szCs w:val="22"/>
          <w:lang w:val="en-US"/>
        </w:rPr>
        <w:t xml:space="preserve"> </w:t>
      </w:r>
      <w:r w:rsidR="00FF7799" w:rsidRPr="002F46E5">
        <w:rPr>
          <w:sz w:val="22"/>
          <w:szCs w:val="22"/>
          <w:lang w:val="en-US"/>
        </w:rPr>
        <w:t xml:space="preserve">Culture. Understanding Cultural Diversity in Business, Brealey: London. </w:t>
      </w:r>
      <w:r w:rsidR="00FF7799" w:rsidRPr="002F46E5">
        <w:rPr>
          <w:sz w:val="22"/>
          <w:szCs w:val="22"/>
        </w:rPr>
        <w:t>Trompenaars, F.</w:t>
      </w:r>
      <w:r w:rsidR="00FF7799" w:rsidRPr="002F46E5">
        <w:rPr>
          <w:spacing w:val="40"/>
          <w:sz w:val="22"/>
          <w:szCs w:val="22"/>
        </w:rPr>
        <w:t xml:space="preserve"> </w:t>
      </w:r>
      <w:r w:rsidR="00FF7799" w:rsidRPr="002F46E5">
        <w:rPr>
          <w:sz w:val="22"/>
          <w:szCs w:val="22"/>
        </w:rPr>
        <w:t>(1993b): Handbuch</w:t>
      </w:r>
      <w:r w:rsidR="00FF7799" w:rsidRPr="002F46E5">
        <w:rPr>
          <w:spacing w:val="-1"/>
          <w:sz w:val="22"/>
          <w:szCs w:val="22"/>
        </w:rPr>
        <w:t xml:space="preserve"> </w:t>
      </w:r>
      <w:r w:rsidR="00FF7799" w:rsidRPr="002F46E5">
        <w:rPr>
          <w:sz w:val="22"/>
          <w:szCs w:val="22"/>
        </w:rPr>
        <w:t>globales managen. Wie man</w:t>
      </w:r>
      <w:r w:rsidR="00FF7799" w:rsidRPr="002F46E5">
        <w:rPr>
          <w:spacing w:val="-1"/>
          <w:sz w:val="22"/>
          <w:szCs w:val="22"/>
        </w:rPr>
        <w:t xml:space="preserve"> </w:t>
      </w:r>
      <w:r w:rsidR="00FF7799" w:rsidRPr="002F46E5">
        <w:rPr>
          <w:sz w:val="22"/>
          <w:szCs w:val="22"/>
        </w:rPr>
        <w:t>kulturelle Unterschiede im</w:t>
      </w:r>
      <w:r w:rsidR="00FF7799" w:rsidRPr="002F46E5">
        <w:rPr>
          <w:spacing w:val="-2"/>
          <w:sz w:val="22"/>
          <w:szCs w:val="22"/>
        </w:rPr>
        <w:t xml:space="preserve"> </w:t>
      </w:r>
      <w:r w:rsidR="00FF7799" w:rsidRPr="002F46E5">
        <w:rPr>
          <w:sz w:val="22"/>
          <w:szCs w:val="22"/>
        </w:rPr>
        <w:t>Geschäftsleben</w:t>
      </w:r>
      <w:r w:rsidR="00FF7799" w:rsidRPr="002F46E5">
        <w:rPr>
          <w:spacing w:val="40"/>
          <w:sz w:val="22"/>
          <w:szCs w:val="22"/>
        </w:rPr>
        <w:t xml:space="preserve"> </w:t>
      </w:r>
      <w:r w:rsidR="00FF7799" w:rsidRPr="002F46E5">
        <w:rPr>
          <w:sz w:val="22"/>
          <w:szCs w:val="22"/>
        </w:rPr>
        <w:t>versteht,</w:t>
      </w:r>
      <w:r w:rsidR="00FF7799" w:rsidRPr="002F46E5">
        <w:rPr>
          <w:spacing w:val="40"/>
          <w:sz w:val="22"/>
          <w:szCs w:val="22"/>
        </w:rPr>
        <w:t xml:space="preserve"> </w:t>
      </w:r>
      <w:r w:rsidR="00FF7799" w:rsidRPr="002F46E5">
        <w:rPr>
          <w:sz w:val="22"/>
          <w:szCs w:val="22"/>
        </w:rPr>
        <w:t>Düsseldorf: Econ.</w:t>
      </w:r>
      <w:r w:rsidR="00FF7799" w:rsidRPr="002F46E5">
        <w:rPr>
          <w:spacing w:val="80"/>
          <w:sz w:val="22"/>
          <w:szCs w:val="22"/>
        </w:rPr>
        <w:t xml:space="preserve"> </w:t>
      </w:r>
      <w:r w:rsidR="00FF7799" w:rsidRPr="002F46E5">
        <w:rPr>
          <w:sz w:val="22"/>
          <w:szCs w:val="22"/>
          <w:lang w:val="en-US"/>
        </w:rPr>
        <w:t>McClelland, D.C. (1961): The Achieving Society,</w:t>
      </w:r>
      <w:r w:rsidR="00FF7799" w:rsidRPr="002F46E5">
        <w:rPr>
          <w:spacing w:val="40"/>
          <w:sz w:val="22"/>
          <w:szCs w:val="22"/>
          <w:lang w:val="en-US"/>
        </w:rPr>
        <w:t xml:space="preserve"> </w:t>
      </w:r>
      <w:r w:rsidR="00FF7799" w:rsidRPr="002F46E5">
        <w:rPr>
          <w:sz w:val="22"/>
          <w:szCs w:val="22"/>
          <w:lang w:val="en-US"/>
        </w:rPr>
        <w:t>Princeton/NJ: Van Nostrand (1st Ed. = 1950).</w:t>
      </w:r>
      <w:r w:rsidR="00FF7799" w:rsidRPr="002F46E5">
        <w:rPr>
          <w:spacing w:val="80"/>
          <w:sz w:val="22"/>
          <w:szCs w:val="22"/>
          <w:lang w:val="en-US"/>
        </w:rPr>
        <w:t xml:space="preserve"> </w:t>
      </w:r>
      <w:r w:rsidR="00FF7799" w:rsidRPr="002F46E5">
        <w:rPr>
          <w:sz w:val="22"/>
          <w:szCs w:val="22"/>
          <w:lang w:val="en-US"/>
        </w:rPr>
        <w:t>Parsons, T.; Shils, E.A. with a New</w:t>
      </w:r>
      <w:r w:rsidR="00FF7799" w:rsidRPr="002F46E5">
        <w:rPr>
          <w:spacing w:val="40"/>
          <w:sz w:val="22"/>
          <w:szCs w:val="22"/>
          <w:lang w:val="en-US"/>
        </w:rPr>
        <w:t xml:space="preserve"> </w:t>
      </w:r>
      <w:r w:rsidR="00FF7799" w:rsidRPr="002F46E5">
        <w:rPr>
          <w:sz w:val="22"/>
          <w:szCs w:val="22"/>
          <w:lang w:val="en-US"/>
        </w:rPr>
        <w:t>Introduction by N.J. Smelser (2001): Toward a General Theory of Action. Theoretical</w:t>
      </w:r>
      <w:r w:rsidR="00FF7799" w:rsidRPr="002F46E5">
        <w:rPr>
          <w:spacing w:val="40"/>
          <w:sz w:val="22"/>
          <w:szCs w:val="22"/>
          <w:lang w:val="en-US"/>
        </w:rPr>
        <w:t xml:space="preserve"> </w:t>
      </w:r>
      <w:r w:rsidR="00FF7799" w:rsidRPr="002F46E5">
        <w:rPr>
          <w:sz w:val="22"/>
          <w:szCs w:val="22"/>
          <w:lang w:val="en-US"/>
        </w:rPr>
        <w:t>Foundations</w:t>
      </w:r>
      <w:r w:rsidR="00FF7799" w:rsidRPr="002F46E5">
        <w:rPr>
          <w:spacing w:val="11"/>
          <w:sz w:val="22"/>
          <w:szCs w:val="22"/>
          <w:lang w:val="en-US"/>
        </w:rPr>
        <w:t xml:space="preserve"> </w:t>
      </w:r>
      <w:r w:rsidR="00FF7799" w:rsidRPr="002F46E5">
        <w:rPr>
          <w:sz w:val="22"/>
          <w:szCs w:val="22"/>
          <w:lang w:val="en-US"/>
        </w:rPr>
        <w:t>for</w:t>
      </w:r>
      <w:r w:rsidR="00FF7799" w:rsidRPr="002F46E5">
        <w:rPr>
          <w:spacing w:val="10"/>
          <w:sz w:val="22"/>
          <w:szCs w:val="22"/>
          <w:lang w:val="en-US"/>
        </w:rPr>
        <w:t xml:space="preserve"> </w:t>
      </w:r>
      <w:r w:rsidR="00FF7799" w:rsidRPr="002F46E5">
        <w:rPr>
          <w:sz w:val="22"/>
          <w:szCs w:val="22"/>
          <w:lang w:val="en-US"/>
        </w:rPr>
        <w:t>the</w:t>
      </w:r>
      <w:r w:rsidR="00FF7799" w:rsidRPr="002F46E5">
        <w:rPr>
          <w:spacing w:val="12"/>
          <w:sz w:val="22"/>
          <w:szCs w:val="22"/>
          <w:lang w:val="en-US"/>
        </w:rPr>
        <w:t xml:space="preserve"> </w:t>
      </w:r>
      <w:r w:rsidR="00FF7799" w:rsidRPr="002F46E5">
        <w:rPr>
          <w:sz w:val="22"/>
          <w:szCs w:val="22"/>
          <w:lang w:val="en-US"/>
        </w:rPr>
        <w:t>Social</w:t>
      </w:r>
      <w:r w:rsidR="00FF7799" w:rsidRPr="002F46E5">
        <w:rPr>
          <w:spacing w:val="12"/>
          <w:sz w:val="22"/>
          <w:szCs w:val="22"/>
          <w:lang w:val="en-US"/>
        </w:rPr>
        <w:t xml:space="preserve"> </w:t>
      </w:r>
      <w:r w:rsidR="00FF7799" w:rsidRPr="002F46E5">
        <w:rPr>
          <w:sz w:val="22"/>
          <w:szCs w:val="22"/>
          <w:lang w:val="en-US"/>
        </w:rPr>
        <w:t>Sciences,</w:t>
      </w:r>
      <w:r w:rsidR="00FF7799" w:rsidRPr="002F46E5">
        <w:rPr>
          <w:spacing w:val="10"/>
          <w:sz w:val="22"/>
          <w:szCs w:val="22"/>
          <w:lang w:val="en-US"/>
        </w:rPr>
        <w:t xml:space="preserve"> </w:t>
      </w:r>
      <w:r w:rsidR="00FF7799" w:rsidRPr="002F46E5">
        <w:rPr>
          <w:sz w:val="22"/>
          <w:szCs w:val="22"/>
          <w:lang w:val="en-US"/>
        </w:rPr>
        <w:t>New</w:t>
      </w:r>
      <w:r w:rsidR="00FF7799" w:rsidRPr="002F46E5">
        <w:rPr>
          <w:spacing w:val="10"/>
          <w:sz w:val="22"/>
          <w:szCs w:val="22"/>
          <w:lang w:val="en-US"/>
        </w:rPr>
        <w:t xml:space="preserve"> </w:t>
      </w:r>
      <w:r w:rsidR="00FF7799" w:rsidRPr="002F46E5">
        <w:rPr>
          <w:sz w:val="22"/>
          <w:szCs w:val="22"/>
          <w:lang w:val="en-US"/>
        </w:rPr>
        <w:t>Brunswick/NJ:</w:t>
      </w:r>
      <w:r w:rsidR="00FF7799" w:rsidRPr="002F46E5">
        <w:rPr>
          <w:spacing w:val="10"/>
          <w:sz w:val="22"/>
          <w:szCs w:val="22"/>
          <w:lang w:val="en-US"/>
        </w:rPr>
        <w:t xml:space="preserve"> </w:t>
      </w:r>
      <w:r w:rsidR="00FF7799" w:rsidRPr="002F46E5">
        <w:rPr>
          <w:sz w:val="22"/>
          <w:szCs w:val="22"/>
          <w:lang w:val="en-US"/>
        </w:rPr>
        <w:t>Transaction.</w:t>
      </w:r>
      <w:r w:rsidR="00FF7799" w:rsidRPr="002F46E5">
        <w:rPr>
          <w:spacing w:val="11"/>
          <w:sz w:val="22"/>
          <w:szCs w:val="22"/>
          <w:lang w:val="en-US"/>
        </w:rPr>
        <w:t xml:space="preserve"> </w:t>
      </w:r>
      <w:r w:rsidR="00FF7799" w:rsidRPr="002F46E5">
        <w:rPr>
          <w:sz w:val="22"/>
          <w:szCs w:val="22"/>
          <w:lang w:val="en-US"/>
        </w:rPr>
        <w:t>(Parsons,</w:t>
      </w:r>
      <w:r w:rsidR="00FF7799" w:rsidRPr="002F46E5">
        <w:rPr>
          <w:spacing w:val="11"/>
          <w:sz w:val="22"/>
          <w:szCs w:val="22"/>
          <w:lang w:val="en-US"/>
        </w:rPr>
        <w:t xml:space="preserve"> </w:t>
      </w:r>
      <w:r w:rsidR="00FF7799" w:rsidRPr="002F46E5">
        <w:rPr>
          <w:sz w:val="22"/>
          <w:szCs w:val="22"/>
          <w:lang w:val="en-US"/>
        </w:rPr>
        <w:t>T;</w:t>
      </w:r>
      <w:r w:rsidR="00FF7799" w:rsidRPr="002F46E5">
        <w:rPr>
          <w:spacing w:val="13"/>
          <w:sz w:val="22"/>
          <w:szCs w:val="22"/>
          <w:lang w:val="en-US"/>
        </w:rPr>
        <w:t xml:space="preserve"> </w:t>
      </w:r>
      <w:r w:rsidR="00FF7799" w:rsidRPr="002F46E5">
        <w:rPr>
          <w:spacing w:val="-2"/>
          <w:sz w:val="22"/>
          <w:szCs w:val="22"/>
          <w:lang w:val="en-US"/>
        </w:rPr>
        <w:t>Shils,</w:t>
      </w:r>
      <w:r w:rsidR="00FF7799" w:rsidRPr="002F46E5">
        <w:rPr>
          <w:sz w:val="22"/>
          <w:szCs w:val="22"/>
          <w:lang w:val="en-US"/>
        </w:rPr>
        <w:t xml:space="preserve"> E.A.</w:t>
      </w:r>
      <w:r w:rsidR="00FF7799" w:rsidRPr="002F46E5">
        <w:rPr>
          <w:spacing w:val="28"/>
          <w:sz w:val="22"/>
          <w:szCs w:val="22"/>
          <w:lang w:val="en-US"/>
        </w:rPr>
        <w:t xml:space="preserve"> </w:t>
      </w:r>
      <w:r w:rsidR="00FF7799" w:rsidRPr="002F46E5">
        <w:rPr>
          <w:sz w:val="22"/>
          <w:szCs w:val="22"/>
          <w:lang w:val="en-US"/>
        </w:rPr>
        <w:t>[1951]:</w:t>
      </w:r>
      <w:r w:rsidR="00FF7799" w:rsidRPr="002F46E5">
        <w:rPr>
          <w:spacing w:val="27"/>
          <w:sz w:val="22"/>
          <w:szCs w:val="22"/>
          <w:lang w:val="en-US"/>
        </w:rPr>
        <w:t xml:space="preserve"> </w:t>
      </w:r>
      <w:r w:rsidR="00FF7799" w:rsidRPr="002F46E5">
        <w:rPr>
          <w:sz w:val="22"/>
          <w:szCs w:val="22"/>
          <w:lang w:val="en-US"/>
        </w:rPr>
        <w:t>Toward</w:t>
      </w:r>
      <w:r w:rsidR="00FF7799" w:rsidRPr="002F46E5">
        <w:rPr>
          <w:spacing w:val="28"/>
          <w:sz w:val="22"/>
          <w:szCs w:val="22"/>
          <w:lang w:val="en-US"/>
        </w:rPr>
        <w:t xml:space="preserve"> </w:t>
      </w:r>
      <w:r w:rsidR="00FF7799" w:rsidRPr="002F46E5">
        <w:rPr>
          <w:sz w:val="22"/>
          <w:szCs w:val="22"/>
          <w:lang w:val="en-US"/>
        </w:rPr>
        <w:t>a</w:t>
      </w:r>
      <w:r w:rsidR="00FF7799" w:rsidRPr="002F46E5">
        <w:rPr>
          <w:spacing w:val="27"/>
          <w:sz w:val="22"/>
          <w:szCs w:val="22"/>
          <w:lang w:val="en-US"/>
        </w:rPr>
        <w:t xml:space="preserve"> </w:t>
      </w:r>
      <w:r w:rsidR="00FF7799" w:rsidRPr="002F46E5">
        <w:rPr>
          <w:sz w:val="22"/>
          <w:szCs w:val="22"/>
          <w:lang w:val="en-US"/>
        </w:rPr>
        <w:t>General</w:t>
      </w:r>
      <w:r w:rsidR="00FF7799" w:rsidRPr="002F46E5">
        <w:rPr>
          <w:spacing w:val="27"/>
          <w:sz w:val="22"/>
          <w:szCs w:val="22"/>
          <w:lang w:val="en-US"/>
        </w:rPr>
        <w:t xml:space="preserve"> </w:t>
      </w:r>
      <w:r w:rsidR="00FF7799" w:rsidRPr="002F46E5">
        <w:rPr>
          <w:sz w:val="22"/>
          <w:szCs w:val="22"/>
          <w:lang w:val="en-US"/>
        </w:rPr>
        <w:t>Theory</w:t>
      </w:r>
      <w:r w:rsidR="00FF7799" w:rsidRPr="002F46E5">
        <w:rPr>
          <w:spacing w:val="28"/>
          <w:sz w:val="22"/>
          <w:szCs w:val="22"/>
          <w:lang w:val="en-US"/>
        </w:rPr>
        <w:t xml:space="preserve"> </w:t>
      </w:r>
      <w:r w:rsidR="00FF7799" w:rsidRPr="002F46E5">
        <w:rPr>
          <w:sz w:val="22"/>
          <w:szCs w:val="22"/>
          <w:lang w:val="en-US"/>
        </w:rPr>
        <w:t>of</w:t>
      </w:r>
      <w:r w:rsidR="00FF7799" w:rsidRPr="002F46E5">
        <w:rPr>
          <w:spacing w:val="26"/>
          <w:sz w:val="22"/>
          <w:szCs w:val="22"/>
          <w:lang w:val="en-US"/>
        </w:rPr>
        <w:t xml:space="preserve"> </w:t>
      </w:r>
      <w:r w:rsidR="00FF7799" w:rsidRPr="002F46E5">
        <w:rPr>
          <w:sz w:val="22"/>
          <w:szCs w:val="22"/>
          <w:lang w:val="en-US"/>
        </w:rPr>
        <w:t>Action,</w:t>
      </w:r>
      <w:r w:rsidR="00FF7799" w:rsidRPr="002F46E5">
        <w:rPr>
          <w:spacing w:val="27"/>
          <w:sz w:val="22"/>
          <w:szCs w:val="22"/>
          <w:lang w:val="en-US"/>
        </w:rPr>
        <w:t xml:space="preserve"> </w:t>
      </w:r>
      <w:r w:rsidR="00FF7799" w:rsidRPr="002F46E5">
        <w:rPr>
          <w:sz w:val="22"/>
          <w:szCs w:val="22"/>
          <w:lang w:val="en-US"/>
        </w:rPr>
        <w:t>Cambridge/MA:</w:t>
      </w:r>
      <w:r w:rsidR="00FF7799" w:rsidRPr="002F46E5">
        <w:rPr>
          <w:spacing w:val="30"/>
          <w:sz w:val="22"/>
          <w:szCs w:val="22"/>
          <w:lang w:val="en-US"/>
        </w:rPr>
        <w:t xml:space="preserve"> </w:t>
      </w:r>
      <w:r w:rsidR="00FF7799" w:rsidRPr="002F46E5">
        <w:rPr>
          <w:sz w:val="22"/>
          <w:szCs w:val="22"/>
          <w:lang w:val="en-US"/>
        </w:rPr>
        <w:t>Harvard</w:t>
      </w:r>
      <w:r w:rsidR="00FF7799" w:rsidRPr="002F46E5">
        <w:rPr>
          <w:spacing w:val="30"/>
          <w:sz w:val="22"/>
          <w:szCs w:val="22"/>
          <w:lang w:val="en-US"/>
        </w:rPr>
        <w:t xml:space="preserve"> </w:t>
      </w:r>
      <w:r w:rsidR="00FF7799" w:rsidRPr="002F46E5">
        <w:rPr>
          <w:spacing w:val="-2"/>
          <w:sz w:val="22"/>
          <w:szCs w:val="22"/>
          <w:lang w:val="en-US"/>
        </w:rPr>
        <w:t xml:space="preserve">University </w:t>
      </w:r>
      <w:r w:rsidR="00FF7799" w:rsidRPr="002F46E5">
        <w:rPr>
          <w:sz w:val="22"/>
          <w:szCs w:val="22"/>
          <w:lang w:val="en-US"/>
        </w:rPr>
        <w:t>Press).</w:t>
      </w:r>
      <w:r w:rsidR="00FF7799" w:rsidRPr="002F46E5">
        <w:rPr>
          <w:spacing w:val="80"/>
          <w:sz w:val="22"/>
          <w:szCs w:val="22"/>
          <w:lang w:val="en-US"/>
        </w:rPr>
        <w:t xml:space="preserve"> </w:t>
      </w:r>
      <w:r w:rsidR="00FF7799" w:rsidRPr="002F46E5">
        <w:rPr>
          <w:sz w:val="22"/>
          <w:szCs w:val="22"/>
          <w:lang w:val="en-US"/>
        </w:rPr>
        <w:t>Rotter, J.B. (1966): Generalized Expectancies for Internal vs. External Control of</w:t>
      </w:r>
      <w:r w:rsidR="00FF7799" w:rsidRPr="002F46E5">
        <w:rPr>
          <w:spacing w:val="40"/>
          <w:sz w:val="22"/>
          <w:szCs w:val="22"/>
          <w:lang w:val="en-US"/>
        </w:rPr>
        <w:t xml:space="preserve"> </w:t>
      </w:r>
      <w:r w:rsidR="00FF7799" w:rsidRPr="002F46E5">
        <w:rPr>
          <w:sz w:val="22"/>
          <w:szCs w:val="22"/>
          <w:lang w:val="en-US"/>
        </w:rPr>
        <w:t>Reinforcement, Psychological Monographs, 80(1): 1-28.</w:t>
      </w:r>
    </w:p>
    <w:p w14:paraId="4D73C70D" w14:textId="77777777" w:rsidR="00FF7799" w:rsidRPr="00E35FFF" w:rsidRDefault="00FF7799" w:rsidP="005F3BAD">
      <w:pPr>
        <w:pStyle w:val="StandardText"/>
        <w:rPr>
          <w:lang w:val="en-US"/>
        </w:rPr>
      </w:pPr>
    </w:p>
    <w:p w14:paraId="6DA81097" w14:textId="77777777" w:rsidR="00FF7799" w:rsidRPr="00700F23" w:rsidRDefault="00FF7799" w:rsidP="007419E5">
      <w:pPr>
        <w:pStyle w:val="berschrift1"/>
        <w:rPr>
          <w:bCs w:val="0"/>
          <w:color w:val="2E74B5"/>
          <w:sz w:val="22"/>
        </w:rPr>
      </w:pPr>
      <w:r w:rsidRPr="00700F23">
        <w:rPr>
          <w:bCs w:val="0"/>
          <w:color w:val="2E74B5"/>
          <w:sz w:val="22"/>
        </w:rPr>
        <w:t>Kulturignoranz</w:t>
      </w:r>
    </w:p>
    <w:p w14:paraId="63916D03" w14:textId="77777777" w:rsidR="00FF7799" w:rsidRPr="00E73F6F" w:rsidRDefault="00FF7799" w:rsidP="00EA2A58">
      <w:pPr>
        <w:pStyle w:val="StandardText"/>
      </w:pPr>
      <w:r w:rsidRPr="00E73F6F">
        <w:lastRenderedPageBreak/>
        <w:t xml:space="preserve">war bis in die 1980er-Jahre hinein unter deutschsprachigen Betriebswirtschaftlern üblich. Sie ignorierten das Phänomen „Kultur“ rundum. Zwar wiesen Schmölders/Strümpel (1968) schon in den 1960er-Jahren ausdrücklich darauf hin, dass die sog. Steuermentalität (= Grad der Akzeptanz der Steuerpflicht) in erheblichem Maße kulturellen Einflüssen unterliegt. Systematisch und in größerem Umfang befassten sich damals aber nur Psychologen, </w:t>
      </w:r>
      <w:r w:rsidR="002F46E5">
        <w:sym w:font="Symbol" w:char="F0DE"/>
      </w:r>
      <w:r w:rsidRPr="00E73F6F">
        <w:t xml:space="preserve"> Ethnologen und </w:t>
      </w:r>
      <w:r w:rsidR="002F46E5">
        <w:sym w:font="Symbol" w:char="F0DE"/>
      </w:r>
      <w:r w:rsidRPr="00E73F6F">
        <w:t xml:space="preserve"> Anthropologen mit derartigen, aus wirtschaftswissenschaftlicher Sicht „exotischen“ Fragestellungen. Rückblickend erkennt man, dass die damals gültigen Theorien der Betriebswirtschaftslehre in einem weitgehend kulturfreien Raum entwickelt wurden (vgl. Meissner 1997): zumeist ohne direkten oder indirekten Bezug zu …</w:t>
      </w:r>
    </w:p>
    <w:p w14:paraId="5D0FE52E" w14:textId="77777777" w:rsidR="00FF7799" w:rsidRPr="00E73F6F" w:rsidRDefault="00FF7799" w:rsidP="00700F23">
      <w:pPr>
        <w:pStyle w:val="StandardTextAufzhlung"/>
        <w:ind w:left="567"/>
      </w:pPr>
      <w:r w:rsidRPr="00E73F6F">
        <w:t>der jeweiligen Unternehmenskultur,</w:t>
      </w:r>
    </w:p>
    <w:p w14:paraId="45D7EE6D" w14:textId="77777777" w:rsidR="00FF7799" w:rsidRPr="00E73F6F" w:rsidRDefault="00FF7799" w:rsidP="00700F23">
      <w:pPr>
        <w:pStyle w:val="StandardTextAufzhlung"/>
        <w:ind w:left="567"/>
      </w:pPr>
      <w:r w:rsidRPr="00E73F6F">
        <w:t>den kulturell relevanten Einflüssen, die aus dem jeweiligen Umfeld (z.B. Konsumenten, Lieferanten, politisch-soziale Öffentlichkeit) erwachsen,</w:t>
      </w:r>
    </w:p>
    <w:p w14:paraId="07E2A7D7" w14:textId="77777777" w:rsidR="00FF7799" w:rsidRPr="00E73F6F" w:rsidRDefault="00FF7799" w:rsidP="00700F23">
      <w:pPr>
        <w:pStyle w:val="StandardTextAufzhlung"/>
        <w:ind w:left="567"/>
      </w:pPr>
      <w:r w:rsidRPr="00E73F6F">
        <w:t>den kulturellen Bedingungen verschiedener Länder.</w:t>
      </w:r>
    </w:p>
    <w:p w14:paraId="1D4D8739" w14:textId="77777777" w:rsidR="00FF7799" w:rsidRPr="00E73F6F" w:rsidRDefault="00FF7799" w:rsidP="00862DBA">
      <w:pPr>
        <w:pStyle w:val="Listenabsatz"/>
        <w:ind w:left="0" w:firstLine="0"/>
        <w:rPr>
          <w:sz w:val="24"/>
          <w:szCs w:val="24"/>
        </w:rPr>
      </w:pPr>
    </w:p>
    <w:p w14:paraId="42495E50" w14:textId="77777777" w:rsidR="00FF7799" w:rsidRPr="00E73F6F" w:rsidRDefault="00FF7799" w:rsidP="00EA2A58">
      <w:pPr>
        <w:pStyle w:val="StandardText"/>
      </w:pPr>
      <w:r w:rsidRPr="00E73F6F">
        <w:t>Nicht zuletzt deshalb, weil damals viele Manager und Wissenschaftler keine eigenen Erfahrungen mit fremden Ländern und Kulturen besaßen, kam es immer wieder vor, dass die „kulturignorante“ Einführung eines im Heimatmarkt erfolgreichen Produkts in einen Auslandsmarkt scheiterte. „Wahrscheinlich muss man selbst im Fernen Osten gewesen sein, um zu begreifen, wie wichtig kulturbedingt dort der Wert Genügsamkeit im Unterschied zu den westlichen Werten Anspruch, Besitz und Leistung ist und sich entsprechend auf das Konsumentenverhalten auswirkt“ (Trommsdorff 1993, S.199). Aus einem anderen, weitaus konkreteren Grund konnten die westlichen Hersteller von Geschirrspülmaschinen lange Zeit nicht in Japan Fuß fassen: Da dort täglich (weich gekochter) Reis gegessen wird, der schnell eintrocknet und deshalb nur unmittelbar nach Gebrauch leicht abgewaschen werden kann, im Regelfall also von Hand, konnten damals die allermeisten japanischen Hausfrauen keinen Sinn darin erkennen, eine solche Küchenmaschine zu kaufen. Außerdem waren viele der damals in Japan angebotenen Geräte westlichen Tellergrößen und -formen angepasst. Hinzu kam – als kaum zu überwindendes Hindernis für Großgeräte aller Art – die Beengtheit der herkömmlichen japanischen Wohnung. Während 2005 jedem Japaner im Durchschnitt 30,8 m</w:t>
      </w:r>
      <w:r w:rsidRPr="00E73F6F">
        <w:rPr>
          <w:vertAlign w:val="superscript"/>
        </w:rPr>
        <w:t>2</w:t>
      </w:r>
      <w:r w:rsidRPr="00E73F6F">
        <w:t xml:space="preserve"> Wohnfläche zur Verfügung standen, waren es in Deutschland 41,2 m</w:t>
      </w:r>
      <w:r w:rsidRPr="00E73F6F">
        <w:rPr>
          <w:vertAlign w:val="superscript"/>
        </w:rPr>
        <w:t>2</w:t>
      </w:r>
      <w:r w:rsidRPr="00E73F6F">
        <w:t>, in Österreich 42,7 m</w:t>
      </w:r>
      <w:r w:rsidRPr="00E73F6F">
        <w:rPr>
          <w:vertAlign w:val="superscript"/>
        </w:rPr>
        <w:t>2</w:t>
      </w:r>
      <w:r w:rsidRPr="00E73F6F">
        <w:t>, in der Schweiz 44,0 m</w:t>
      </w:r>
      <w:r w:rsidRPr="00E73F6F">
        <w:rPr>
          <w:vertAlign w:val="superscript"/>
        </w:rPr>
        <w:t>2</w:t>
      </w:r>
      <w:r w:rsidRPr="00E73F6F">
        <w:t>, in Dänemark 50,6 m</w:t>
      </w:r>
      <w:r w:rsidRPr="00E73F6F">
        <w:rPr>
          <w:vertAlign w:val="superscript"/>
        </w:rPr>
        <w:t>2</w:t>
      </w:r>
      <w:r w:rsidRPr="00E73F6F">
        <w:t xml:space="preserve"> und in den USA gar 68,1 m</w:t>
      </w:r>
      <w:r w:rsidRPr="00E73F6F">
        <w:rPr>
          <w:vertAlign w:val="superscript"/>
        </w:rPr>
        <w:t>2</w:t>
      </w:r>
      <w:r w:rsidRPr="00E73F6F">
        <w:t>.</w:t>
      </w:r>
    </w:p>
    <w:p w14:paraId="13B3FD47" w14:textId="77777777" w:rsidR="00FF7799" w:rsidRPr="00F760E9" w:rsidRDefault="00FF7799" w:rsidP="00EA2A58">
      <w:pPr>
        <w:pStyle w:val="StandardText"/>
      </w:pPr>
      <w:r w:rsidRPr="00F760E9">
        <w:rPr>
          <w:b/>
          <w:i/>
        </w:rPr>
        <w:t>Literatur</w:t>
      </w:r>
      <w:r w:rsidRPr="00F760E9">
        <w:rPr>
          <w:i/>
        </w:rPr>
        <w:t xml:space="preserve">: </w:t>
      </w:r>
      <w:r w:rsidRPr="00F760E9">
        <w:t>Meissner, H.G. (1997): Der Kulturschock in der Betriebswirtschaftslehre, in: Engelhard, J. (Hrsg.), Interkulturelles Management, 1-14, Wiesbaden: Gabler. Schmölders, G.; Strümpel, B. (1968): Vergleichende Finanzpsychologie. Besteuerung und Steuermentalität in einigen europäischen Ländern, Mainz: Akademie der Wissenschaften und der Literatur. Trommsdorff, G. (1993): Kulturvergleich von Emotionen beim prosozialen Handeln, in: Mandl, H. (Hrsg.), Entwicklung und Denken im kulturellen Kontext, 3-25, Göttingen: Hogrefe.</w:t>
      </w:r>
    </w:p>
    <w:p w14:paraId="7B085AF1" w14:textId="77777777" w:rsidR="00FF7799" w:rsidRPr="00F760E9" w:rsidRDefault="00FF7799" w:rsidP="00EA2A58">
      <w:pPr>
        <w:pStyle w:val="StandardText"/>
        <w:rPr>
          <w:b/>
        </w:rPr>
      </w:pPr>
    </w:p>
    <w:p w14:paraId="65A3F0CA" w14:textId="77777777" w:rsidR="001E58F5" w:rsidRPr="007F69DA" w:rsidRDefault="001E58F5" w:rsidP="001E58F5">
      <w:pPr>
        <w:keepNext/>
        <w:keepLines/>
        <w:spacing w:before="240"/>
        <w:jc w:val="both"/>
        <w:outlineLvl w:val="1"/>
        <w:rPr>
          <w:b/>
          <w:color w:val="2E74B5"/>
        </w:rPr>
      </w:pPr>
      <w:r w:rsidRPr="007F69DA">
        <w:rPr>
          <w:b/>
          <w:color w:val="2E74B5"/>
        </w:rPr>
        <w:t>Kulturimperialismus</w:t>
      </w:r>
    </w:p>
    <w:p w14:paraId="5D59677F" w14:textId="77777777" w:rsidR="001E58F5" w:rsidRPr="007F69DA" w:rsidRDefault="001E58F5" w:rsidP="00700F23">
      <w:pPr>
        <w:pStyle w:val="Literatur"/>
        <w:numPr>
          <w:ilvl w:val="0"/>
          <w:numId w:val="0"/>
        </w:numPr>
        <w:spacing w:line="240" w:lineRule="auto"/>
        <w:rPr>
          <w:sz w:val="24"/>
          <w:szCs w:val="24"/>
        </w:rPr>
      </w:pPr>
      <w:r w:rsidRPr="007F69DA">
        <w:rPr>
          <w:sz w:val="24"/>
          <w:szCs w:val="24"/>
        </w:rPr>
        <w:t>zielt darauf, fremde Länder, Märkte und Menschen den eigenen Werten zu unterwerfen</w:t>
      </w:r>
    </w:p>
    <w:p w14:paraId="49E4657A" w14:textId="77777777" w:rsidR="001E58F5" w:rsidRPr="007F69DA" w:rsidRDefault="001E58F5" w:rsidP="00700F23">
      <w:pPr>
        <w:pStyle w:val="Literatur"/>
        <w:numPr>
          <w:ilvl w:val="0"/>
          <w:numId w:val="0"/>
        </w:numPr>
        <w:spacing w:line="240" w:lineRule="auto"/>
        <w:rPr>
          <w:sz w:val="24"/>
          <w:szCs w:val="24"/>
        </w:rPr>
      </w:pPr>
    </w:p>
    <w:p w14:paraId="35360937" w14:textId="77777777" w:rsidR="001E58F5" w:rsidRPr="007F69DA" w:rsidRDefault="001E58F5" w:rsidP="001E58F5">
      <w:pPr>
        <w:keepNext/>
        <w:keepLines/>
        <w:spacing w:before="240"/>
        <w:jc w:val="both"/>
        <w:outlineLvl w:val="1"/>
        <w:rPr>
          <w:b/>
          <w:color w:val="2E74B5"/>
        </w:rPr>
      </w:pPr>
      <w:r w:rsidRPr="007F69DA">
        <w:rPr>
          <w:b/>
          <w:color w:val="2E74B5"/>
        </w:rPr>
        <w:t>Kulturintegration</w:t>
      </w:r>
    </w:p>
    <w:p w14:paraId="750C64D5" w14:textId="77777777" w:rsidR="001E58F5" w:rsidRPr="007F69DA" w:rsidRDefault="001E58F5" w:rsidP="001E58F5">
      <w:pPr>
        <w:jc w:val="both"/>
        <w:rPr>
          <w:szCs w:val="24"/>
          <w:lang w:bidi="en-US"/>
        </w:rPr>
      </w:pPr>
      <w:r w:rsidRPr="007F69DA">
        <w:rPr>
          <w:iCs/>
        </w:rPr>
        <w:t xml:space="preserve">wichtiger Baustein eines umfassenden interkulturellen Management-Ansatzes. Ausgangspunkt ist die Erkenntnis, dass international tätige Unternehmen in der Lage sein müssen, das dynamische Wechselspiel zwischen Unternehmens-, Branchen- und Landeskultur derart zu gestalten, dass auch ausländische Niederlassungen auf effiziente Weise geführt werden können (vgl. Scholz 2013; Deshpande/Webster 1989). Da bspw. die mit einer Auslandsakquisition verfolgten Ziele nur erreicht werden können, wenn </w:t>
      </w:r>
      <w:r w:rsidRPr="007F69DA">
        <w:rPr>
          <w:iCs/>
        </w:rPr>
        <w:lastRenderedPageBreak/>
        <w:t>die</w:t>
      </w:r>
      <w:r w:rsidRPr="007F69DA">
        <w:rPr>
          <w:szCs w:val="24"/>
          <w:lang w:bidi="en-US"/>
        </w:rPr>
        <w:t xml:space="preserve"> beteiligten Unter</w:t>
      </w:r>
      <w:r w:rsidRPr="007F69DA">
        <w:rPr>
          <w:szCs w:val="24"/>
          <w:lang w:bidi="en-US"/>
        </w:rPr>
        <w:softHyphen/>
        <w:t>nehmen kulturell harmonieren, wurden Tochter</w:t>
      </w:r>
      <w:r w:rsidRPr="007F69DA">
        <w:rPr>
          <w:szCs w:val="24"/>
          <w:lang w:bidi="en-US"/>
        </w:rPr>
        <w:softHyphen/>
        <w:t xml:space="preserve">unternehmen nun nicht nur als risikoreiche Investitionen, sondern auch als „kulturell zu integrierende Teile eines Unternehmensverbandes“ betrachtet. </w:t>
      </w:r>
    </w:p>
    <w:p w14:paraId="7785481F" w14:textId="77777777" w:rsidR="001E58F5" w:rsidRPr="007F69DA" w:rsidRDefault="001E58F5" w:rsidP="001E58F5">
      <w:pPr>
        <w:jc w:val="both"/>
        <w:rPr>
          <w:szCs w:val="24"/>
          <w:lang w:bidi="en-US"/>
        </w:rPr>
      </w:pPr>
    </w:p>
    <w:p w14:paraId="4F2CBA22" w14:textId="77777777" w:rsidR="001E58F5" w:rsidRPr="007F69DA" w:rsidRDefault="001E58F5" w:rsidP="001E58F5">
      <w:pPr>
        <w:spacing w:before="60" w:after="60"/>
        <w:ind w:right="57"/>
        <w:jc w:val="both"/>
        <w:rPr>
          <w:szCs w:val="24"/>
          <w:lang w:bidi="en-US"/>
        </w:rPr>
      </w:pPr>
      <w:bookmarkStart w:id="66" w:name="_Toc417287340"/>
      <w:r w:rsidRPr="007F69DA">
        <w:rPr>
          <w:szCs w:val="24"/>
          <w:lang w:bidi="en-US"/>
        </w:rPr>
        <w:t>Cultural Due Diligence</w:t>
      </w:r>
      <w:bookmarkEnd w:id="66"/>
    </w:p>
    <w:p w14:paraId="01ED8159" w14:textId="77777777" w:rsidR="001E58F5" w:rsidRPr="007F69DA" w:rsidRDefault="001E58F5" w:rsidP="001E58F5">
      <w:pPr>
        <w:spacing w:before="60" w:after="60"/>
        <w:ind w:right="57"/>
        <w:jc w:val="both"/>
        <w:rPr>
          <w:szCs w:val="24"/>
          <w:lang w:bidi="en-US"/>
        </w:rPr>
      </w:pPr>
      <w:r w:rsidRPr="007F69DA">
        <w:rPr>
          <w:szCs w:val="24"/>
          <w:lang w:bidi="en-US"/>
        </w:rPr>
        <w:t xml:space="preserve">Die ausführliche Prüfung und Bewertung von Übernahmekandidaten hinsichtlich ihrer Übereinstimmung mit dem übernehmenden Unternehmen (z.B. hinsichtlich Finanzstruktur, Organisationsstruktur, strategischer Stimmigkeit) wird als „Due Diligence“ bezeichnet (vgl. Angwin 2001). Der dem amerikanischen Kapitalmarktrecht entlehnte Begriff bedeutet „im Geschäftsverkehr erforderliche Sorgfalt“. </w:t>
      </w:r>
    </w:p>
    <w:p w14:paraId="0F87E264" w14:textId="77777777" w:rsidR="001E58F5" w:rsidRPr="007F69DA" w:rsidRDefault="001E58F5" w:rsidP="001E58F5">
      <w:pPr>
        <w:spacing w:before="60" w:after="60"/>
        <w:ind w:right="57"/>
        <w:jc w:val="both"/>
        <w:rPr>
          <w:szCs w:val="24"/>
          <w:lang w:bidi="en-US"/>
        </w:rPr>
      </w:pPr>
    </w:p>
    <w:p w14:paraId="6B04CC80" w14:textId="77777777" w:rsidR="001E58F5" w:rsidRPr="007F69DA" w:rsidRDefault="001E58F5" w:rsidP="001E58F5">
      <w:pPr>
        <w:spacing w:before="60" w:after="60"/>
        <w:ind w:right="57"/>
        <w:jc w:val="both"/>
        <w:rPr>
          <w:szCs w:val="24"/>
          <w:lang w:bidi="en-US"/>
        </w:rPr>
      </w:pPr>
      <w:r w:rsidRPr="007F69DA">
        <w:rPr>
          <w:szCs w:val="24"/>
          <w:lang w:bidi="en-US"/>
        </w:rPr>
        <w:t xml:space="preserve">„Cultural Due Diligence“ ergänzt die sog. Kaufprüfung. Dabei wird der kulturelle Fit der beteiligten Unternehmen geprüft: der Grad an landes- bzw. unternehmenskultureller Übereinstimmung. Entscheidungskriterien sind u.a. Führungsstil, Innovationsfähigkeit, Konfliktstil, Offenheit gegenüber der Unternehmensumwelt (vgl. Zimmer 2001). Besonderes Interesse gilt dem Konfliktstil. Denn zu den üblichen </w:t>
      </w:r>
      <w:r w:rsidRPr="007F69DA">
        <w:rPr>
          <w:bCs/>
          <w:szCs w:val="24"/>
          <w:lang w:bidi="en-US"/>
        </w:rPr>
        <w:t>Konfliktursachen</w:t>
      </w:r>
      <w:r w:rsidRPr="007F69DA">
        <w:rPr>
          <w:szCs w:val="24"/>
          <w:lang w:bidi="en-US"/>
        </w:rPr>
        <w:t xml:space="preserve"> (sachlich-rationale und sozial-emotionale Interessengegensätze) kommen bei grenzüberschreitenden Unternehmenszusammenschlüssen interkulturelle Missverständnisse und Unverträglichkeiten hinzu. So neigen Angehörige von maskulin-wettbewerbsorientierte Kulturen dazu, Konflikte als Machtkampf offen auszutragen (Lose/Win), während Angehörige feminin-kompromissorientierter Kulturen Win/Win-Konstellationen anstreben, etwa durch </w:t>
      </w:r>
      <w:r w:rsidRPr="007F69DA">
        <w:rPr>
          <w:szCs w:val="24"/>
          <w:lang w:bidi="en-US"/>
        </w:rPr>
        <w:sym w:font="Symbol" w:char="F0DE"/>
      </w:r>
      <w:r w:rsidRPr="007F69DA">
        <w:rPr>
          <w:szCs w:val="24"/>
          <w:lang w:bidi="en-US"/>
        </w:rPr>
        <w:t xml:space="preserve"> Kooperation oder Verhandlung (vgl. Müller/Gelbrich 2014, S.469ff.; </w:t>
      </w:r>
      <w:r w:rsidRPr="007F69DA">
        <w:rPr>
          <w:iCs/>
          <w:szCs w:val="24"/>
          <w:lang w:bidi="en-US"/>
        </w:rPr>
        <w:t>Hofstede</w:t>
      </w:r>
      <w:r w:rsidRPr="007F69DA">
        <w:rPr>
          <w:szCs w:val="24"/>
          <w:lang w:bidi="en-US"/>
        </w:rPr>
        <w:t xml:space="preserve"> 1984).</w:t>
      </w:r>
    </w:p>
    <w:p w14:paraId="322647DB" w14:textId="77777777" w:rsidR="001E58F5" w:rsidRPr="007F69DA" w:rsidRDefault="001E58F5" w:rsidP="001E58F5">
      <w:pPr>
        <w:jc w:val="both"/>
        <w:rPr>
          <w:szCs w:val="24"/>
          <w:lang w:bidi="en-US"/>
        </w:rPr>
      </w:pPr>
    </w:p>
    <w:p w14:paraId="019F720E" w14:textId="77777777" w:rsidR="001E58F5" w:rsidRPr="007F69DA" w:rsidRDefault="001E58F5" w:rsidP="001E58F5">
      <w:pPr>
        <w:jc w:val="both"/>
        <w:rPr>
          <w:szCs w:val="24"/>
          <w:lang w:bidi="en-US"/>
        </w:rPr>
      </w:pPr>
      <w:r w:rsidRPr="007F69DA">
        <w:rPr>
          <w:szCs w:val="24"/>
          <w:lang w:bidi="en-US"/>
        </w:rPr>
        <w:t>Kultureller Misfit</w:t>
      </w:r>
    </w:p>
    <w:p w14:paraId="5CE7403A" w14:textId="77777777" w:rsidR="001E58F5" w:rsidRPr="007F69DA" w:rsidRDefault="001E58F5" w:rsidP="001E58F5">
      <w:pPr>
        <w:jc w:val="both"/>
        <w:rPr>
          <w:szCs w:val="24"/>
          <w:lang w:bidi="en-US"/>
        </w:rPr>
      </w:pPr>
      <w:r w:rsidRPr="007F69DA">
        <w:rPr>
          <w:szCs w:val="24"/>
          <w:lang w:bidi="en-US"/>
        </w:rPr>
        <w:t>Die „Summe aller kulturell bedingten Unverträglichkeitsreaktionen, die […] während und nach einer Übernahme auftreten“, ist nach Hermsen (1994, S.79) der k</w:t>
      </w:r>
      <w:r w:rsidRPr="007F69DA">
        <w:rPr>
          <w:bCs/>
          <w:szCs w:val="24"/>
          <w:lang w:bidi="en-US"/>
        </w:rPr>
        <w:t>ulturelle Misfit. Derartige Friktionen zwischen dem akquirierenden und dem akquirierten Unternehmen bzw. den fusionierenden Unternehmen mindern den Shareholder Value (vgl. Datta/Puia 1995). Sie können als intra- wie auch als interkultureller Misfit zutage treten.</w:t>
      </w:r>
    </w:p>
    <w:p w14:paraId="2E97D34E" w14:textId="77777777" w:rsidR="001E58F5" w:rsidRPr="007F69DA" w:rsidRDefault="001E58F5" w:rsidP="001E58F5">
      <w:pPr>
        <w:jc w:val="both"/>
        <w:rPr>
          <w:szCs w:val="24"/>
          <w:lang w:bidi="en-US"/>
        </w:rPr>
      </w:pPr>
    </w:p>
    <w:p w14:paraId="11921B4D" w14:textId="77777777" w:rsidR="001E58F5" w:rsidRPr="007F69DA" w:rsidRDefault="001E58F5" w:rsidP="001E58F5">
      <w:pPr>
        <w:jc w:val="both"/>
        <w:rPr>
          <w:szCs w:val="24"/>
          <w:lang w:bidi="en-US"/>
        </w:rPr>
      </w:pPr>
      <w:r>
        <w:rPr>
          <w:szCs w:val="24"/>
          <w:lang w:bidi="en-US"/>
        </w:rPr>
        <w:t xml:space="preserve">(1) </w:t>
      </w:r>
      <w:r w:rsidRPr="007F69DA">
        <w:rPr>
          <w:szCs w:val="24"/>
          <w:lang w:bidi="en-US"/>
        </w:rPr>
        <w:t xml:space="preserve">Intrakultureller Misfit: Bei jeder Akquisition müssen zwei zum Teil völlig unterschiedliche Unternehmenskulturen zusammenwachsen. Das daraus erwachsende </w:t>
      </w:r>
      <w:r w:rsidRPr="007F69DA">
        <w:rPr>
          <w:bCs/>
          <w:szCs w:val="24"/>
          <w:lang w:bidi="en-US"/>
        </w:rPr>
        <w:t>Konfliktpotential</w:t>
      </w:r>
      <w:r w:rsidRPr="007F69DA">
        <w:rPr>
          <w:szCs w:val="24"/>
          <w:lang w:bidi="en-US"/>
        </w:rPr>
        <w:t xml:space="preserve"> ist selbst dann groß, wenn beide Unternehmen ein und demselben Land entstammen – und somit „nur“ die Unternehmenskulturen divergieren und nicht auch noch die Landeskulturen. Dem musste u.a. die Allianz SE</w:t>
      </w:r>
      <w:r w:rsidRPr="007F69DA">
        <w:rPr>
          <w:position w:val="6"/>
          <w:sz w:val="16"/>
          <w:szCs w:val="24"/>
          <w:lang w:bidi="en-US"/>
        </w:rPr>
        <w:footnoteReference w:id="1"/>
      </w:r>
      <w:r w:rsidRPr="007F69DA">
        <w:rPr>
          <w:szCs w:val="24"/>
          <w:vertAlign w:val="superscript"/>
          <w:lang w:bidi="en-US"/>
        </w:rPr>
        <w:t>)</w:t>
      </w:r>
      <w:r w:rsidRPr="007F69DA">
        <w:rPr>
          <w:szCs w:val="24"/>
          <w:lang w:bidi="en-US"/>
        </w:rPr>
        <w:t xml:space="preserve"> Tribut zollen. Die Münchner hatten am 23.7.2001 die Dresdner Bank AG übernommen, verkauften das Bankhaus aber am 31.8.2008 an die Commerzbank, weil nun auch sie akzeptieren mussten, was lange vorher schon bekannt war: Bankkultur und Versicherungskultur sind nicht kompatibel. Die stolzen „Dresdner“ empfanden es als unter ihrer Würde, Allianzprodukte zu verkaufen. Sie wollten Berater („Die Beraterbank“) und nicht Vertreter (bzw. gar „Drücker“) sein und lehnten diese Aufgabe mehr oder weniger offen ab (vgl. Müller-Stewens et al. 2010). </w:t>
      </w:r>
    </w:p>
    <w:p w14:paraId="2D2E02C9" w14:textId="77777777" w:rsidR="001E58F5" w:rsidRPr="007F69DA" w:rsidRDefault="001E58F5" w:rsidP="001E58F5">
      <w:pPr>
        <w:jc w:val="both"/>
        <w:rPr>
          <w:szCs w:val="24"/>
          <w:lang w:bidi="en-US"/>
        </w:rPr>
      </w:pPr>
    </w:p>
    <w:p w14:paraId="592D9A22" w14:textId="77777777" w:rsidR="001E58F5" w:rsidRPr="007F69DA" w:rsidRDefault="001E58F5" w:rsidP="001E58F5">
      <w:pPr>
        <w:jc w:val="both"/>
        <w:rPr>
          <w:szCs w:val="24"/>
          <w:lang w:bidi="en-US"/>
        </w:rPr>
      </w:pPr>
      <w:r>
        <w:rPr>
          <w:szCs w:val="24"/>
          <w:lang w:bidi="en-US"/>
        </w:rPr>
        <w:t xml:space="preserve">(2) </w:t>
      </w:r>
      <w:r w:rsidRPr="007F69DA">
        <w:rPr>
          <w:szCs w:val="24"/>
          <w:lang w:bidi="en-US"/>
        </w:rPr>
        <w:t xml:space="preserve">Interkultureller Misfit: Der interkulturelle Vergleich von </w:t>
      </w:r>
      <w:r w:rsidRPr="007F69DA">
        <w:rPr>
          <w:bCs/>
          <w:szCs w:val="24"/>
          <w:lang w:bidi="en-US"/>
        </w:rPr>
        <w:t xml:space="preserve">Unternehmensleitlinien </w:t>
      </w:r>
      <w:r w:rsidRPr="007F69DA">
        <w:rPr>
          <w:szCs w:val="24"/>
          <w:lang w:bidi="en-US"/>
        </w:rPr>
        <w:t xml:space="preserve">verdeutlicht die Unterschiedlichkeit und bisweilen Unverträglichkeit der jeweiligen Weltsicht. Inkompatible Normen und Werte, Rituale und Symbole begründen die Komplexität und Störanfälligkeit grenz- und </w:t>
      </w:r>
      <w:r w:rsidRPr="007F69DA">
        <w:rPr>
          <w:bCs/>
          <w:szCs w:val="24"/>
          <w:lang w:bidi="en-US"/>
        </w:rPr>
        <w:t xml:space="preserve">kulturübergreifender </w:t>
      </w:r>
      <w:r w:rsidRPr="007F69DA">
        <w:rPr>
          <w:szCs w:val="24"/>
          <w:lang w:bidi="en-US"/>
        </w:rPr>
        <w:t>Akquisitionen. In den Leitlinien koreanischer Unternehmen bspw. finden sich häufig Grundsätze, die aus westlicher Sicht abstrakt und übermäßig selbstbezogen wirken, scheinbar losgelöst von den konkreten Bedürfnissen der Kunden. Beschworen werden darin ein von Harmonie und Einheit geprägtes Arbeitsklima (46,4%) sowie Aufrichtigkeit und Sorgfalt (44,2%). Ganz anders lesen sich die Unternehmensleitlinien von Mövenpick: einem Prototyp der westlichen Unternehmenskultur.</w:t>
      </w:r>
    </w:p>
    <w:p w14:paraId="457EDE45" w14:textId="77777777" w:rsidR="001E58F5" w:rsidRPr="007F69DA" w:rsidRDefault="001E58F5" w:rsidP="001E58F5">
      <w:pPr>
        <w:jc w:val="both"/>
        <w:rPr>
          <w:szCs w:val="24"/>
          <w:lang w:bidi="en-US"/>
        </w:rPr>
      </w:pPr>
    </w:p>
    <w:tbl>
      <w:tblPr>
        <w:tblW w:w="8982" w:type="dxa"/>
        <w:tblInd w:w="8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85" w:type="dxa"/>
          <w:right w:w="85" w:type="dxa"/>
        </w:tblCellMar>
        <w:tblLook w:val="0000" w:firstRow="0" w:lastRow="0" w:firstColumn="0" w:lastColumn="0" w:noHBand="0" w:noVBand="0"/>
      </w:tblPr>
      <w:tblGrid>
        <w:gridCol w:w="8982"/>
      </w:tblGrid>
      <w:tr w:rsidR="001E58F5" w:rsidRPr="007F69DA" w14:paraId="42C236FC" w14:textId="77777777" w:rsidTr="00F46ACB">
        <w:tc>
          <w:tcPr>
            <w:tcW w:w="8982" w:type="dxa"/>
            <w:tcBorders>
              <w:top w:val="single" w:sz="4" w:space="0" w:color="auto"/>
              <w:left w:val="single" w:sz="4" w:space="0" w:color="auto"/>
              <w:bottom w:val="nil"/>
              <w:right w:val="nil"/>
            </w:tcBorders>
          </w:tcPr>
          <w:p w14:paraId="2F21E7B1" w14:textId="77777777" w:rsidR="001E58F5" w:rsidRPr="007F69DA" w:rsidRDefault="001E58F5" w:rsidP="00F46ACB">
            <w:pPr>
              <w:jc w:val="both"/>
              <w:rPr>
                <w:b/>
                <w:color w:val="000000"/>
                <w:sz w:val="16"/>
                <w:szCs w:val="16"/>
                <w:lang w:bidi="en-US"/>
              </w:rPr>
            </w:pPr>
          </w:p>
        </w:tc>
      </w:tr>
      <w:tr w:rsidR="001E58F5" w:rsidRPr="007F69DA" w14:paraId="15B9DB8E" w14:textId="77777777" w:rsidTr="00F46ACB">
        <w:tc>
          <w:tcPr>
            <w:tcW w:w="8982" w:type="dxa"/>
            <w:tcBorders>
              <w:top w:val="nil"/>
              <w:left w:val="single" w:sz="4" w:space="0" w:color="auto"/>
              <w:bottom w:val="nil"/>
              <w:right w:val="nil"/>
            </w:tcBorders>
            <w:shd w:val="clear" w:color="auto" w:fill="DEEAF6" w:themeFill="accent1" w:themeFillTint="33"/>
          </w:tcPr>
          <w:p w14:paraId="2FC4388A" w14:textId="77777777" w:rsidR="001E58F5" w:rsidRPr="007F69DA" w:rsidRDefault="001E58F5" w:rsidP="00F46ACB">
            <w:pPr>
              <w:jc w:val="center"/>
              <w:rPr>
                <w:b/>
                <w:sz w:val="16"/>
                <w:szCs w:val="16"/>
                <w:lang w:bidi="en-US"/>
              </w:rPr>
            </w:pPr>
            <w:r w:rsidRPr="007F69DA">
              <w:rPr>
                <w:b/>
                <w:sz w:val="16"/>
                <w:szCs w:val="16"/>
                <w:lang w:bidi="en-US"/>
              </w:rPr>
              <w:t>Unternehmensgrundsätze von Mövenpick</w:t>
            </w:r>
          </w:p>
        </w:tc>
      </w:tr>
      <w:tr w:rsidR="001E58F5" w:rsidRPr="007F69DA" w14:paraId="2CACD4D5" w14:textId="77777777" w:rsidTr="00F46ACB">
        <w:tc>
          <w:tcPr>
            <w:tcW w:w="8982" w:type="dxa"/>
            <w:tcBorders>
              <w:top w:val="nil"/>
              <w:left w:val="single" w:sz="4" w:space="0" w:color="auto"/>
              <w:bottom w:val="nil"/>
              <w:right w:val="nil"/>
            </w:tcBorders>
            <w:shd w:val="clear" w:color="auto" w:fill="DEEAF6" w:themeFill="accent1" w:themeFillTint="33"/>
          </w:tcPr>
          <w:p w14:paraId="16288CC3" w14:textId="77777777" w:rsidR="001E58F5" w:rsidRPr="007F69DA" w:rsidRDefault="001E58F5" w:rsidP="00F46ACB">
            <w:pPr>
              <w:jc w:val="both"/>
              <w:rPr>
                <w:b/>
                <w:color w:val="000000"/>
                <w:sz w:val="16"/>
                <w:szCs w:val="16"/>
                <w:lang w:bidi="en-US"/>
              </w:rPr>
            </w:pPr>
          </w:p>
        </w:tc>
      </w:tr>
      <w:tr w:rsidR="001E58F5" w:rsidRPr="007F69DA" w14:paraId="56FE9CDB" w14:textId="77777777" w:rsidTr="00F46ACB">
        <w:tc>
          <w:tcPr>
            <w:tcW w:w="8982" w:type="dxa"/>
            <w:tcBorders>
              <w:top w:val="nil"/>
              <w:left w:val="nil"/>
              <w:bottom w:val="nil"/>
              <w:right w:val="nil"/>
            </w:tcBorders>
            <w:shd w:val="clear" w:color="auto" w:fill="DEEAF6" w:themeFill="accent1" w:themeFillTint="33"/>
          </w:tcPr>
          <w:p w14:paraId="7D6DA77F" w14:textId="77777777" w:rsidR="001E58F5" w:rsidRPr="007F69DA" w:rsidRDefault="001E58F5">
            <w:pPr>
              <w:widowControl/>
              <w:numPr>
                <w:ilvl w:val="0"/>
                <w:numId w:val="60"/>
              </w:numPr>
              <w:tabs>
                <w:tab w:val="left" w:pos="397"/>
              </w:tabs>
              <w:autoSpaceDE/>
              <w:autoSpaceDN/>
              <w:spacing w:before="60"/>
              <w:ind w:left="397" w:hanging="397"/>
              <w:jc w:val="both"/>
              <w:rPr>
                <w:bCs/>
                <w:sz w:val="16"/>
                <w:szCs w:val="16"/>
                <w:lang w:eastAsia="de-DE"/>
              </w:rPr>
            </w:pPr>
            <w:r w:rsidRPr="007F69DA">
              <w:rPr>
                <w:bCs/>
                <w:sz w:val="16"/>
                <w:szCs w:val="16"/>
                <w:lang w:eastAsia="de-DE"/>
              </w:rPr>
              <w:t>In der Forderung nach höchster Qualität der Waren, die wir kaufen und verkaufen, sind wir kompromisslos.</w:t>
            </w:r>
          </w:p>
          <w:p w14:paraId="72BFB536" w14:textId="77777777" w:rsidR="001E58F5" w:rsidRPr="007F69DA" w:rsidRDefault="001E58F5">
            <w:pPr>
              <w:widowControl/>
              <w:numPr>
                <w:ilvl w:val="0"/>
                <w:numId w:val="60"/>
              </w:numPr>
              <w:tabs>
                <w:tab w:val="left" w:pos="397"/>
              </w:tabs>
              <w:autoSpaceDE/>
              <w:autoSpaceDN/>
              <w:spacing w:before="60"/>
              <w:ind w:left="397" w:hanging="397"/>
              <w:jc w:val="both"/>
              <w:rPr>
                <w:bCs/>
                <w:sz w:val="16"/>
                <w:szCs w:val="16"/>
                <w:lang w:eastAsia="de-DE"/>
              </w:rPr>
            </w:pPr>
            <w:r w:rsidRPr="007F69DA">
              <w:rPr>
                <w:bCs/>
                <w:sz w:val="16"/>
                <w:szCs w:val="16"/>
                <w:lang w:eastAsia="de-DE"/>
              </w:rPr>
              <w:t>Unser vielseitiges, wohlausgewogenes Angebot ist Ausdruck echter Lebensfreude.</w:t>
            </w:r>
          </w:p>
          <w:p w14:paraId="3F97BF0B" w14:textId="77777777" w:rsidR="001E58F5" w:rsidRPr="007F69DA" w:rsidRDefault="001E58F5">
            <w:pPr>
              <w:widowControl/>
              <w:numPr>
                <w:ilvl w:val="0"/>
                <w:numId w:val="60"/>
              </w:numPr>
              <w:tabs>
                <w:tab w:val="left" w:pos="397"/>
              </w:tabs>
              <w:autoSpaceDE/>
              <w:autoSpaceDN/>
              <w:spacing w:before="60"/>
              <w:ind w:left="397" w:hanging="397"/>
              <w:jc w:val="both"/>
              <w:rPr>
                <w:bCs/>
                <w:sz w:val="16"/>
                <w:szCs w:val="16"/>
                <w:lang w:eastAsia="de-DE"/>
              </w:rPr>
            </w:pPr>
            <w:r w:rsidRPr="007F69DA">
              <w:rPr>
                <w:bCs/>
                <w:sz w:val="16"/>
                <w:szCs w:val="16"/>
                <w:lang w:eastAsia="de-DE"/>
              </w:rPr>
              <w:lastRenderedPageBreak/>
              <w:t>An Sauberkeit und Hygiene stellen wir hohe Ansprüche.</w:t>
            </w:r>
          </w:p>
          <w:p w14:paraId="3B88EE86" w14:textId="77777777" w:rsidR="001E58F5" w:rsidRPr="007F69DA" w:rsidRDefault="001E58F5">
            <w:pPr>
              <w:widowControl/>
              <w:numPr>
                <w:ilvl w:val="0"/>
                <w:numId w:val="60"/>
              </w:numPr>
              <w:tabs>
                <w:tab w:val="left" w:pos="397"/>
              </w:tabs>
              <w:autoSpaceDE/>
              <w:autoSpaceDN/>
              <w:spacing w:before="60"/>
              <w:ind w:left="397" w:hanging="397"/>
              <w:jc w:val="both"/>
              <w:rPr>
                <w:bCs/>
                <w:sz w:val="16"/>
                <w:szCs w:val="16"/>
                <w:lang w:eastAsia="de-DE"/>
              </w:rPr>
            </w:pPr>
            <w:r w:rsidRPr="007F69DA">
              <w:rPr>
                <w:bCs/>
                <w:sz w:val="16"/>
                <w:szCs w:val="16"/>
                <w:lang w:eastAsia="de-DE"/>
              </w:rPr>
              <w:t>Die Atmosphäre in unseren Restaurants ist angenehm und entspannend.</w:t>
            </w:r>
          </w:p>
          <w:p w14:paraId="0F33693E" w14:textId="77777777" w:rsidR="001E58F5" w:rsidRPr="007F69DA" w:rsidRDefault="001E58F5">
            <w:pPr>
              <w:widowControl/>
              <w:numPr>
                <w:ilvl w:val="0"/>
                <w:numId w:val="60"/>
              </w:numPr>
              <w:tabs>
                <w:tab w:val="left" w:pos="397"/>
              </w:tabs>
              <w:autoSpaceDE/>
              <w:autoSpaceDN/>
              <w:spacing w:before="60"/>
              <w:ind w:left="397" w:hanging="397"/>
              <w:jc w:val="both"/>
              <w:rPr>
                <w:bCs/>
                <w:sz w:val="16"/>
                <w:szCs w:val="16"/>
                <w:lang w:eastAsia="de-DE"/>
              </w:rPr>
            </w:pPr>
            <w:r w:rsidRPr="007F69DA">
              <w:rPr>
                <w:bCs/>
                <w:sz w:val="16"/>
                <w:szCs w:val="16"/>
                <w:lang w:eastAsia="de-DE"/>
              </w:rPr>
              <w:t>Was wir durch unsere gute Organisation einsparen können, soll dem Gast durch Preiswürdigkeit zu Gute kommen.</w:t>
            </w:r>
          </w:p>
          <w:p w14:paraId="42592BD7" w14:textId="77777777" w:rsidR="001E58F5" w:rsidRPr="007F69DA" w:rsidRDefault="001E58F5">
            <w:pPr>
              <w:widowControl/>
              <w:numPr>
                <w:ilvl w:val="0"/>
                <w:numId w:val="60"/>
              </w:numPr>
              <w:tabs>
                <w:tab w:val="left" w:pos="397"/>
              </w:tabs>
              <w:autoSpaceDE/>
              <w:autoSpaceDN/>
              <w:spacing w:before="60"/>
              <w:ind w:left="397" w:hanging="397"/>
              <w:jc w:val="both"/>
              <w:rPr>
                <w:bCs/>
                <w:sz w:val="16"/>
                <w:szCs w:val="16"/>
                <w:lang w:eastAsia="de-DE"/>
              </w:rPr>
            </w:pPr>
            <w:r w:rsidRPr="007F69DA">
              <w:rPr>
                <w:bCs/>
                <w:sz w:val="16"/>
                <w:szCs w:val="16"/>
                <w:lang w:eastAsia="de-DE"/>
              </w:rPr>
              <w:t>Auf alles, was wir dem Gast anbieten, wollen wir selbst stolz sein dürfen.</w:t>
            </w:r>
          </w:p>
          <w:p w14:paraId="71F3B969" w14:textId="77777777" w:rsidR="001E58F5" w:rsidRPr="007F69DA" w:rsidRDefault="001E58F5">
            <w:pPr>
              <w:widowControl/>
              <w:numPr>
                <w:ilvl w:val="0"/>
                <w:numId w:val="60"/>
              </w:numPr>
              <w:tabs>
                <w:tab w:val="left" w:pos="397"/>
              </w:tabs>
              <w:autoSpaceDE/>
              <w:autoSpaceDN/>
              <w:spacing w:before="60"/>
              <w:ind w:left="397" w:hanging="397"/>
              <w:jc w:val="both"/>
              <w:rPr>
                <w:bCs/>
                <w:sz w:val="16"/>
                <w:szCs w:val="16"/>
                <w:lang w:eastAsia="de-DE"/>
              </w:rPr>
            </w:pPr>
            <w:r w:rsidRPr="007F69DA">
              <w:rPr>
                <w:bCs/>
                <w:sz w:val="16"/>
                <w:szCs w:val="16"/>
                <w:lang w:eastAsia="de-DE"/>
              </w:rPr>
              <w:t>Wir wollen unser Geschäft sauber und korrekt führen.</w:t>
            </w:r>
          </w:p>
          <w:p w14:paraId="2E1CD6F9" w14:textId="77777777" w:rsidR="001E58F5" w:rsidRPr="007F69DA" w:rsidRDefault="001E58F5">
            <w:pPr>
              <w:widowControl/>
              <w:numPr>
                <w:ilvl w:val="0"/>
                <w:numId w:val="60"/>
              </w:numPr>
              <w:tabs>
                <w:tab w:val="left" w:pos="397"/>
              </w:tabs>
              <w:autoSpaceDE/>
              <w:autoSpaceDN/>
              <w:spacing w:before="60"/>
              <w:ind w:left="397" w:hanging="397"/>
              <w:jc w:val="both"/>
              <w:rPr>
                <w:bCs/>
                <w:sz w:val="16"/>
                <w:szCs w:val="16"/>
                <w:lang w:eastAsia="de-DE"/>
              </w:rPr>
            </w:pPr>
            <w:r w:rsidRPr="007F69DA">
              <w:rPr>
                <w:bCs/>
                <w:sz w:val="16"/>
                <w:szCs w:val="16"/>
                <w:lang w:eastAsia="de-DE"/>
              </w:rPr>
              <w:t>Wir wollen unsere Gäste gut und zuvorkommend bedienen. Beanstandungen behandeln wir in jeder Beziehung großzügig.</w:t>
            </w:r>
          </w:p>
          <w:p w14:paraId="236FE29B" w14:textId="77777777" w:rsidR="001E58F5" w:rsidRPr="007F69DA" w:rsidRDefault="001E58F5">
            <w:pPr>
              <w:widowControl/>
              <w:numPr>
                <w:ilvl w:val="0"/>
                <w:numId w:val="60"/>
              </w:numPr>
              <w:tabs>
                <w:tab w:val="left" w:pos="397"/>
              </w:tabs>
              <w:autoSpaceDE/>
              <w:autoSpaceDN/>
              <w:spacing w:before="60"/>
              <w:ind w:left="397" w:hanging="397"/>
              <w:jc w:val="both"/>
              <w:rPr>
                <w:sz w:val="16"/>
                <w:szCs w:val="16"/>
                <w:lang w:eastAsia="de-DE"/>
              </w:rPr>
            </w:pPr>
            <w:r w:rsidRPr="007F69DA">
              <w:rPr>
                <w:bCs/>
                <w:sz w:val="16"/>
                <w:szCs w:val="16"/>
                <w:lang w:eastAsia="de-DE"/>
              </w:rPr>
              <w:t>Wir möchten, dass unsere Mitarbeiter wohl gelaunt und liebenswürdig sind und sich durch Kameradschaftlichkeit untereinander auszeichnen.</w:t>
            </w:r>
          </w:p>
          <w:p w14:paraId="1655071D" w14:textId="77777777" w:rsidR="001E58F5" w:rsidRPr="007F69DA" w:rsidRDefault="001E58F5">
            <w:pPr>
              <w:widowControl/>
              <w:numPr>
                <w:ilvl w:val="0"/>
                <w:numId w:val="60"/>
              </w:numPr>
              <w:tabs>
                <w:tab w:val="left" w:pos="397"/>
              </w:tabs>
              <w:autoSpaceDE/>
              <w:autoSpaceDN/>
              <w:spacing w:before="60" w:after="60"/>
              <w:ind w:left="397" w:hanging="397"/>
              <w:jc w:val="both"/>
              <w:rPr>
                <w:sz w:val="16"/>
                <w:szCs w:val="16"/>
                <w:lang w:eastAsia="de-DE"/>
              </w:rPr>
            </w:pPr>
            <w:r w:rsidRPr="007F69DA">
              <w:rPr>
                <w:bCs/>
                <w:sz w:val="16"/>
                <w:szCs w:val="16"/>
                <w:lang w:eastAsia="de-DE"/>
              </w:rPr>
              <w:t>Alles, was wir unternehmen, soll den Stempel tragen: jung, frisch, gut und freundlich.</w:t>
            </w:r>
          </w:p>
        </w:tc>
      </w:tr>
      <w:tr w:rsidR="001E58F5" w:rsidRPr="007F69DA" w14:paraId="6CE798B3" w14:textId="77777777" w:rsidTr="00F46ACB">
        <w:tc>
          <w:tcPr>
            <w:tcW w:w="8982" w:type="dxa"/>
            <w:tcBorders>
              <w:top w:val="nil"/>
              <w:left w:val="nil"/>
              <w:bottom w:val="nil"/>
              <w:right w:val="single" w:sz="4" w:space="0" w:color="auto"/>
            </w:tcBorders>
          </w:tcPr>
          <w:p w14:paraId="00D455AE" w14:textId="77777777" w:rsidR="001E58F5" w:rsidRPr="007F69DA" w:rsidRDefault="001E58F5" w:rsidP="00F46ACB">
            <w:pPr>
              <w:jc w:val="right"/>
              <w:rPr>
                <w:sz w:val="16"/>
                <w:szCs w:val="16"/>
                <w:lang w:bidi="en-US"/>
              </w:rPr>
            </w:pPr>
          </w:p>
        </w:tc>
      </w:tr>
      <w:tr w:rsidR="001E58F5" w:rsidRPr="007F69DA" w14:paraId="43D17778" w14:textId="77777777" w:rsidTr="00F46ACB">
        <w:tc>
          <w:tcPr>
            <w:tcW w:w="8982" w:type="dxa"/>
            <w:tcBorders>
              <w:top w:val="nil"/>
              <w:left w:val="nil"/>
              <w:bottom w:val="nil"/>
              <w:right w:val="single" w:sz="4" w:space="0" w:color="auto"/>
            </w:tcBorders>
          </w:tcPr>
          <w:p w14:paraId="0BD9F67B" w14:textId="77777777" w:rsidR="001E58F5" w:rsidRPr="007F69DA" w:rsidRDefault="001E58F5" w:rsidP="00F46ACB">
            <w:pPr>
              <w:jc w:val="right"/>
              <w:rPr>
                <w:sz w:val="16"/>
                <w:szCs w:val="16"/>
                <w:lang w:bidi="en-US"/>
              </w:rPr>
            </w:pPr>
          </w:p>
        </w:tc>
      </w:tr>
      <w:tr w:rsidR="001E58F5" w:rsidRPr="007F69DA" w14:paraId="349F76C0" w14:textId="77777777" w:rsidTr="00F46ACB">
        <w:tc>
          <w:tcPr>
            <w:tcW w:w="8982" w:type="dxa"/>
            <w:tcBorders>
              <w:top w:val="nil"/>
              <w:left w:val="nil"/>
              <w:bottom w:val="single" w:sz="4" w:space="0" w:color="auto"/>
              <w:right w:val="single" w:sz="4" w:space="0" w:color="auto"/>
            </w:tcBorders>
          </w:tcPr>
          <w:p w14:paraId="55E10591" w14:textId="77777777" w:rsidR="001E58F5" w:rsidRPr="007F69DA" w:rsidRDefault="001E58F5" w:rsidP="00F46ACB">
            <w:pPr>
              <w:jc w:val="both"/>
              <w:rPr>
                <w:sz w:val="16"/>
                <w:szCs w:val="16"/>
                <w:lang w:bidi="en-US"/>
              </w:rPr>
            </w:pPr>
          </w:p>
        </w:tc>
      </w:tr>
    </w:tbl>
    <w:p w14:paraId="649B6CE1" w14:textId="77777777" w:rsidR="001E58F5" w:rsidRPr="007F69DA" w:rsidRDefault="001E58F5" w:rsidP="001E58F5">
      <w:pPr>
        <w:spacing w:before="60"/>
        <w:jc w:val="both"/>
        <w:rPr>
          <w:szCs w:val="24"/>
          <w:lang w:bidi="en-US"/>
        </w:rPr>
      </w:pPr>
    </w:p>
    <w:p w14:paraId="39ACD85E" w14:textId="77777777" w:rsidR="001E58F5" w:rsidRPr="007F69DA" w:rsidRDefault="001E58F5" w:rsidP="001E58F5">
      <w:pPr>
        <w:ind w:right="1134"/>
        <w:jc w:val="both"/>
        <w:rPr>
          <w:szCs w:val="24"/>
          <w:lang w:bidi="en-US"/>
        </w:rPr>
      </w:pPr>
    </w:p>
    <w:p w14:paraId="36F565D1" w14:textId="77777777" w:rsidR="001E58F5" w:rsidRPr="007F69DA" w:rsidRDefault="001E58F5" w:rsidP="001E58F5">
      <w:pPr>
        <w:jc w:val="both"/>
        <w:rPr>
          <w:szCs w:val="24"/>
          <w:lang w:bidi="en-US"/>
        </w:rPr>
      </w:pPr>
      <w:bookmarkStart w:id="67" w:name="_Toc417287341"/>
      <w:r w:rsidRPr="007F69DA">
        <w:rPr>
          <w:szCs w:val="24"/>
          <w:lang w:bidi="en-US"/>
        </w:rPr>
        <w:t>Post Merger-Integration</w:t>
      </w:r>
      <w:bookmarkEnd w:id="67"/>
    </w:p>
    <w:p w14:paraId="7F4FCA54" w14:textId="77777777" w:rsidR="001E58F5" w:rsidRPr="007F69DA" w:rsidRDefault="001E58F5" w:rsidP="001E58F5">
      <w:pPr>
        <w:jc w:val="both"/>
        <w:rPr>
          <w:szCs w:val="24"/>
          <w:lang w:bidi="en-US"/>
        </w:rPr>
      </w:pPr>
      <w:r w:rsidRPr="007F69DA">
        <w:rPr>
          <w:szCs w:val="24"/>
          <w:lang w:bidi="en-US"/>
        </w:rPr>
        <w:t>Sollen Unternehmen trotz geringem kulturellen Fit aus übergeordneten Gründen (z.B. Erleichterung des Marktzugangs) fusioniert oder gekauft werden, dann liegt es nahe, Post Merger-Integration zu betreiben: zielorientiertes Management von Kulturunterschieden (vgl. z.B. Habeck et al. 2000). Dass dies zumeist jedoch leichter gesagt als getan ist, belegt folgendes Beispiel: Als im Oktober 2008 der japanische Finanzdienstleister Nomura das Europageschäft der insolventen Investmentbank Lehmann Brothers kaufte, erlebte die Mehrzahl der „Lehmänner“ die Integrations-Workshops weniger als Unterstützung denn als Demütigung: als Einübung in die Unterwerfung unter eine fremde Unternehmenskultur,</w:t>
      </w:r>
      <w:r w:rsidRPr="007F69DA">
        <w:rPr>
          <w:vanish/>
          <w:szCs w:val="24"/>
          <w:lang w:bidi="en-US"/>
        </w:rPr>
        <w:t xml:space="preserve"> als „Kampf der Kulturen“. Von Anfang an war die Kommunikation zwischen den risikofreudigen, liberalen Angelsachsen und den vorsichtigen, traditionsbewussten Japanern gestört. Das Fass zum Überlaufen brachte ein nach Männern und Frauen getrennter Workshop, in dessen Verlauf „die Neuen“ mit den rigiden japanischen Bekleidungsritualen vertraut gemacht wurden.</w:t>
      </w:r>
    </w:p>
    <w:p w14:paraId="3311FCB1" w14:textId="77777777" w:rsidR="001E58F5" w:rsidRPr="007F69DA" w:rsidRDefault="001E58F5" w:rsidP="001E58F5">
      <w:pPr>
        <w:ind w:right="1134"/>
        <w:jc w:val="both"/>
        <w:rPr>
          <w:szCs w:val="24"/>
          <w:lang w:bidi="en-US"/>
        </w:rPr>
      </w:pPr>
    </w:p>
    <w:p w14:paraId="5417D5A9" w14:textId="77777777" w:rsidR="001E58F5" w:rsidRPr="007F69DA" w:rsidRDefault="001E58F5" w:rsidP="001E58F5">
      <w:pPr>
        <w:jc w:val="both"/>
        <w:rPr>
          <w:szCs w:val="24"/>
          <w:lang w:bidi="en-US"/>
        </w:rPr>
      </w:pPr>
    </w:p>
    <w:p w14:paraId="316C998D" w14:textId="77777777" w:rsidR="001E58F5" w:rsidRPr="007F69DA" w:rsidRDefault="001E58F5" w:rsidP="001E58F5">
      <w:pPr>
        <w:spacing w:after="120"/>
        <w:jc w:val="both"/>
        <w:rPr>
          <w:bCs/>
          <w:noProof/>
          <w:szCs w:val="24"/>
          <w:lang w:eastAsia="de-DE"/>
        </w:rPr>
      </w:pPr>
      <w:r w:rsidRPr="007F69DA">
        <w:rPr>
          <w:bCs/>
          <w:noProof/>
          <w:szCs w:val="24"/>
          <w:lang w:eastAsia="de-DE"/>
        </w:rPr>
        <w:t>Einfluss der Landeskultur</w:t>
      </w:r>
    </w:p>
    <w:p w14:paraId="2E4B71F1" w14:textId="77777777" w:rsidR="001E58F5" w:rsidRPr="007F69DA" w:rsidRDefault="001E58F5" w:rsidP="001E58F5">
      <w:pPr>
        <w:jc w:val="both"/>
        <w:rPr>
          <w:szCs w:val="24"/>
          <w:lang w:bidi="en-US"/>
        </w:rPr>
      </w:pPr>
      <w:r w:rsidRPr="007F69DA">
        <w:rPr>
          <w:szCs w:val="24"/>
          <w:lang w:bidi="en-US"/>
        </w:rPr>
        <w:t>Akzeptanz von Machtdistanz: Wie die</w:t>
      </w:r>
      <w:r w:rsidRPr="007F69DA">
        <w:rPr>
          <w:iCs/>
          <w:szCs w:val="24"/>
          <w:lang w:bidi="en-US"/>
        </w:rPr>
        <w:t xml:space="preserve"> Organisationsforschung</w:t>
      </w:r>
      <w:r w:rsidRPr="007F69DA">
        <w:rPr>
          <w:szCs w:val="24"/>
          <w:lang w:bidi="en-US"/>
        </w:rPr>
        <w:t xml:space="preserve"> zeigen konnte, sind in Gesellschaften, welche Machtdistanz prinzipiell akzeptieren, die Mehrzahl der Unternehmen stärker zentralisiert und hierarchisch organisiert als in egalitären Gesellschaften. Auch beteiligen Führungskräfte, die an den „Kult der Hierarchie“ gewöhnt sind (z.B. in französischen Unternehmen), ihre Mitarbeiter weniger an wichtigen Entscheidungen als Führungskräfte, für die der „Kult der Gleichheit“ gilt (z.B. in skandinavischen Unternehmen). Die geringe Partizipationsmöglichkeit bedingt ein schwächeres Involvement der Mitarbeiter und in der Folge Defizite der Unternehmen auf verschiedenen Leistungsebenen (z.B. Unternehmenswachstum, finanzieller Erfolg; vgl. z.B. Denision/Mishra 1995). Daraus folgt, dass das Personalmanagement des fusionierten Unternehmens erhebliche Probleme zu bewältigen hat, wenn das eine Unternehmen aus Südostasien stammt (Malaysia: PDI = 104, Philippinen = 94, Indonesien = 78) und das andere aus Nordeuropa (Dänemark: PDI = 18, Schweden = 31, Norwegen = 31, Finnland = 33).</w:t>
      </w:r>
    </w:p>
    <w:p w14:paraId="1F5EFB7A" w14:textId="77777777" w:rsidR="001E58F5" w:rsidRPr="007F69DA" w:rsidRDefault="001E58F5" w:rsidP="001E58F5">
      <w:pPr>
        <w:jc w:val="both"/>
        <w:rPr>
          <w:bCs/>
          <w:szCs w:val="24"/>
          <w:lang w:eastAsia="de-DE"/>
        </w:rPr>
      </w:pPr>
    </w:p>
    <w:p w14:paraId="19E23164" w14:textId="77777777" w:rsidR="001E58F5" w:rsidRPr="007F69DA" w:rsidRDefault="001E58F5" w:rsidP="001E58F5">
      <w:pPr>
        <w:jc w:val="both"/>
        <w:rPr>
          <w:bCs/>
          <w:szCs w:val="24"/>
          <w:lang w:val="en-US" w:eastAsia="de-DE"/>
        </w:rPr>
      </w:pPr>
      <w:r w:rsidRPr="007F69DA">
        <w:rPr>
          <w:bCs/>
          <w:szCs w:val="24"/>
          <w:lang w:eastAsia="de-DE"/>
        </w:rPr>
        <w:t xml:space="preserve">Dabei ist allerdings zu bedenken, dass Partizipation nicht ‘a priori‘ ein Erfolgsfaktor ist, sondern nur dann, wenn Landeskultur und folglich Erwartungen sowie tief sitzende Überzeugungen von Management und Mitarbeitern kongruent sind. </w:t>
      </w:r>
      <w:r w:rsidRPr="007F69DA">
        <w:rPr>
          <w:bCs/>
          <w:szCs w:val="24"/>
          <w:lang w:val="en-GB" w:eastAsia="de-DE"/>
        </w:rPr>
        <w:t>„The efficacy of participation in high power distance cultures is doubtful. Employees in high power distance cultures are likely to view participative management with fear, distrust and disrespect because participation is not consistent with the national culture. Managers who encourage participation in these countries are likely to be seen as weak and incompetent. Morris/Pavett (1992) for example, found participative management to be related positively to performance in the U.S. but not in Mexico. More authoritarian management practices were effective in Mexico but not in the U.S. Jaeger (1986) argues that management initiatives such as team building are not effective in high power distance cultures because employees from different levels in the organization are not comfortable interacting face-to-face in a group” (</w:t>
      </w:r>
      <w:r w:rsidRPr="007F69DA">
        <w:rPr>
          <w:bCs/>
          <w:szCs w:val="24"/>
          <w:lang w:val="en-US" w:eastAsia="de-DE"/>
        </w:rPr>
        <w:t>Newman/Nollen 1996, S.756).</w:t>
      </w:r>
    </w:p>
    <w:p w14:paraId="158D9A67" w14:textId="77777777" w:rsidR="001E58F5" w:rsidRPr="007F69DA" w:rsidRDefault="001E58F5" w:rsidP="001E58F5">
      <w:pPr>
        <w:jc w:val="both"/>
        <w:rPr>
          <w:sz w:val="20"/>
          <w:szCs w:val="20"/>
          <w:lang w:val="en-US" w:bidi="en-US"/>
        </w:rPr>
      </w:pPr>
    </w:p>
    <w:p w14:paraId="7469296C" w14:textId="77777777" w:rsidR="001E58F5" w:rsidRPr="007F69DA" w:rsidRDefault="001E58F5" w:rsidP="001E58F5">
      <w:pPr>
        <w:jc w:val="both"/>
        <w:rPr>
          <w:iCs/>
          <w:szCs w:val="24"/>
          <w:lang w:bidi="en-US"/>
        </w:rPr>
      </w:pPr>
      <w:r w:rsidRPr="007F69DA">
        <w:rPr>
          <w:iCs/>
          <w:szCs w:val="24"/>
          <w:lang w:bidi="en-US"/>
        </w:rPr>
        <w:t xml:space="preserve">Ungewissheitsvermeidung: </w:t>
      </w:r>
      <w:r w:rsidRPr="007F69DA">
        <w:rPr>
          <w:szCs w:val="24"/>
          <w:lang w:bidi="en-US"/>
        </w:rPr>
        <w:t>Begreift man Management als die Bewertung und Handhabung von Risiken, so wird die Schlüsselrolle, welche diese Kulturdimension im Integrationsprozess spielt, offensichtlich (vgl. Morosini/Singh 1994). Denn Akquisitionen lösen bei den Mitarbeitern und auch bei vielen Führungskräften das Gefühl des Kontrollverlustes aus, wecken allerlei Befürchtungen (etwa Möglichkeit des Arbeitsplatzverlustes) und fordern die in dem Unternehmen bislang unstrittigen Normen und Werte heraus (vgl. Sarala 2010).</w:t>
      </w:r>
    </w:p>
    <w:p w14:paraId="0167036F" w14:textId="77777777" w:rsidR="001E58F5" w:rsidRPr="007F69DA" w:rsidRDefault="001E58F5" w:rsidP="001E58F5">
      <w:pPr>
        <w:jc w:val="both"/>
        <w:rPr>
          <w:szCs w:val="24"/>
          <w:lang w:bidi="en-US"/>
        </w:rPr>
      </w:pPr>
    </w:p>
    <w:p w14:paraId="67FB5BB7" w14:textId="77777777" w:rsidR="001E58F5" w:rsidRPr="007F69DA" w:rsidRDefault="001E58F5" w:rsidP="001E58F5">
      <w:pPr>
        <w:jc w:val="both"/>
        <w:rPr>
          <w:szCs w:val="24"/>
          <w:lang w:bidi="en-US"/>
        </w:rPr>
      </w:pPr>
      <w:r w:rsidRPr="007F69DA">
        <w:rPr>
          <w:szCs w:val="24"/>
          <w:lang w:bidi="en-US"/>
        </w:rPr>
        <w:lastRenderedPageBreak/>
        <w:t>Gravierende Unterschiede im Streben nach Unsicherheitsmeidung tangieren zahlreiche Unternehmensfunktionen. Wer Ungewissheit nicht als existenzbedrohend, sondern als unvermeidbaren Teil menschlicher Existenz begreift, wird …</w:t>
      </w:r>
    </w:p>
    <w:p w14:paraId="30FA63A2" w14:textId="77777777" w:rsidR="001E58F5" w:rsidRPr="007F69DA" w:rsidRDefault="001E58F5">
      <w:pPr>
        <w:widowControl/>
        <w:numPr>
          <w:ilvl w:val="0"/>
          <w:numId w:val="61"/>
        </w:numPr>
        <w:autoSpaceDE/>
        <w:autoSpaceDN/>
        <w:contextualSpacing/>
        <w:jc w:val="both"/>
        <w:rPr>
          <w:szCs w:val="24"/>
          <w:lang w:bidi="en-US"/>
        </w:rPr>
      </w:pPr>
      <w:r w:rsidRPr="007F69DA">
        <w:rPr>
          <w:szCs w:val="24"/>
          <w:lang w:bidi="en-US"/>
        </w:rPr>
        <w:t xml:space="preserve">Innovationen gegenüber aufgeschlossen sein, </w:t>
      </w:r>
    </w:p>
    <w:p w14:paraId="10CD0F3A" w14:textId="77777777" w:rsidR="001E58F5" w:rsidRPr="007F69DA" w:rsidRDefault="001E58F5">
      <w:pPr>
        <w:widowControl/>
        <w:numPr>
          <w:ilvl w:val="0"/>
          <w:numId w:val="61"/>
        </w:numPr>
        <w:autoSpaceDE/>
        <w:autoSpaceDN/>
        <w:contextualSpacing/>
        <w:jc w:val="both"/>
        <w:rPr>
          <w:szCs w:val="24"/>
          <w:lang w:bidi="en-US"/>
        </w:rPr>
      </w:pPr>
      <w:r w:rsidRPr="007F69DA">
        <w:rPr>
          <w:szCs w:val="24"/>
          <w:lang w:bidi="en-US"/>
        </w:rPr>
        <w:t>das Controlling auf das unbedingt Notwendige beschränken,</w:t>
      </w:r>
    </w:p>
    <w:p w14:paraId="25CDE197" w14:textId="77777777" w:rsidR="001E58F5" w:rsidRPr="007F69DA" w:rsidRDefault="001E58F5">
      <w:pPr>
        <w:widowControl/>
        <w:numPr>
          <w:ilvl w:val="0"/>
          <w:numId w:val="61"/>
        </w:numPr>
        <w:autoSpaceDE/>
        <w:autoSpaceDN/>
        <w:contextualSpacing/>
        <w:jc w:val="both"/>
        <w:rPr>
          <w:szCs w:val="24"/>
          <w:lang w:bidi="en-US"/>
        </w:rPr>
      </w:pPr>
      <w:r w:rsidRPr="007F69DA">
        <w:rPr>
          <w:szCs w:val="24"/>
          <w:lang w:bidi="en-US"/>
        </w:rPr>
        <w:t>den partizipativen Führungsstil  bevorzugen etc.</w:t>
      </w:r>
    </w:p>
    <w:p w14:paraId="66541633" w14:textId="77777777" w:rsidR="001E58F5" w:rsidRPr="007F69DA" w:rsidRDefault="001E58F5" w:rsidP="001E58F5">
      <w:pPr>
        <w:spacing w:after="120"/>
        <w:jc w:val="both"/>
        <w:rPr>
          <w:szCs w:val="24"/>
          <w:lang w:bidi="en-US"/>
        </w:rPr>
      </w:pPr>
    </w:p>
    <w:p w14:paraId="42E49325" w14:textId="77777777" w:rsidR="001E58F5" w:rsidRPr="007F69DA" w:rsidRDefault="001E58F5" w:rsidP="001E58F5">
      <w:pPr>
        <w:spacing w:after="120"/>
        <w:jc w:val="both"/>
        <w:rPr>
          <w:szCs w:val="24"/>
          <w:lang w:bidi="en-US"/>
        </w:rPr>
      </w:pPr>
      <w:r w:rsidRPr="007F69DA">
        <w:rPr>
          <w:szCs w:val="24"/>
          <w:lang w:bidi="en-US"/>
        </w:rPr>
        <w:t>Es liegt somit auf der Hand, dass der kulturbedingt unterschiedliche Umgang mit Risiken im Rahmen von Post Merger-Programmen besondere Aufmerksamkeit erfahren sollte. Dies gilt vor allem dann, wenn das eine Unternehmen aus dem unsicherheitstoleranten nordwesteuropäischen Raum stammt und das andere aus dem unsicherheitsaversen südeuropäischen Raum.</w:t>
      </w:r>
    </w:p>
    <w:p w14:paraId="55EDCC81" w14:textId="77777777" w:rsidR="001E58F5" w:rsidRPr="007F69DA" w:rsidRDefault="001E58F5" w:rsidP="001E58F5">
      <w:pPr>
        <w:spacing w:after="120"/>
        <w:jc w:val="both"/>
        <w:rPr>
          <w:bCs/>
          <w:iCs/>
          <w:noProof/>
          <w:szCs w:val="24"/>
          <w:lang w:eastAsia="de-DE"/>
        </w:rPr>
      </w:pPr>
    </w:p>
    <w:p w14:paraId="1ECB5771" w14:textId="77777777" w:rsidR="001E58F5" w:rsidRPr="007F69DA" w:rsidRDefault="001E58F5" w:rsidP="001E58F5">
      <w:pPr>
        <w:jc w:val="both"/>
        <w:rPr>
          <w:szCs w:val="24"/>
          <w:lang w:bidi="en-US"/>
        </w:rPr>
      </w:pPr>
      <w:bookmarkStart w:id="68" w:name="_Toc332275541"/>
      <w:bookmarkStart w:id="69" w:name="_Toc417287342"/>
      <w:r w:rsidRPr="007F69DA">
        <w:rPr>
          <w:szCs w:val="24"/>
          <w:lang w:bidi="en-US"/>
        </w:rPr>
        <w:t>Dekulturation</w:t>
      </w:r>
      <w:bookmarkEnd w:id="68"/>
      <w:bookmarkEnd w:id="69"/>
      <w:r w:rsidRPr="007F69DA">
        <w:rPr>
          <w:szCs w:val="24"/>
          <w:lang w:bidi="en-US"/>
        </w:rPr>
        <w:t xml:space="preserve"> </w:t>
      </w:r>
    </w:p>
    <w:p w14:paraId="79E65713" w14:textId="77777777" w:rsidR="001E58F5" w:rsidRPr="007F69DA" w:rsidRDefault="001E58F5" w:rsidP="001E58F5">
      <w:pPr>
        <w:jc w:val="both"/>
        <w:rPr>
          <w:szCs w:val="24"/>
          <w:lang w:bidi="en-US"/>
        </w:rPr>
      </w:pPr>
      <w:r w:rsidRPr="007F69DA">
        <w:rPr>
          <w:szCs w:val="24"/>
          <w:lang w:bidi="en-US"/>
        </w:rPr>
        <w:t xml:space="preserve">Vielfach schlägt jedoch der Versuch der wechselseitigen </w:t>
      </w:r>
      <w:r w:rsidRPr="007F69DA">
        <w:rPr>
          <w:iCs/>
          <w:szCs w:val="24"/>
          <w:lang w:bidi="en-US"/>
        </w:rPr>
        <w:t>Anpassung</w:t>
      </w:r>
      <w:r w:rsidRPr="007F69DA">
        <w:rPr>
          <w:szCs w:val="24"/>
          <w:lang w:bidi="en-US"/>
        </w:rPr>
        <w:t xml:space="preserve"> der Unternehmenskulturen fehl. Leidet darunter auch die Unternehmenskultur des akquirierten Unternehmens, so spricht man von Dekulturation (vgl. Wirtz 2003, S.317). Ein untrügliches Symptom von Dekulturation ist </w:t>
      </w:r>
      <w:r w:rsidRPr="007F69DA">
        <w:rPr>
          <w:iCs/>
          <w:szCs w:val="24"/>
          <w:lang w:bidi="en-US"/>
        </w:rPr>
        <w:t>‘brain drain‘</w:t>
      </w:r>
      <w:r w:rsidRPr="007F69DA">
        <w:rPr>
          <w:szCs w:val="24"/>
          <w:lang w:bidi="en-US"/>
        </w:rPr>
        <w:t>: die gehäufte Abwanderung qualifizierter Mitarbeiter. Zumeist sind die einzelnen Unternehmensbereiche in unterschiedlichem Maße von dieser Entwicklung betroffen. So mögen die F+E-Abteilungen beider Unternehmen konstruktiv zusammenarbeiten, während es häufig schwerer fällt, die Marketingabteilungen zu koordinieren. Denn sie werden in ihrer täglichen Arbeit durch die jeweilige Landeskultur stärker beeinflusst als andere (vgl. Hausmann 2002). Weiterhin hat sich gezeigt, dass divergierende Unternehmenskulturen soziale Konflikte innerhalb des Unternehmensverbundes schüren, während unterschiedliche Ausprägungen der Landeskulturen eher konfliktdämpfend wirken (vgl. Vaara et al. 2012).</w:t>
      </w:r>
    </w:p>
    <w:p w14:paraId="14A7699E" w14:textId="77777777" w:rsidR="001E58F5" w:rsidRPr="007F69DA" w:rsidRDefault="001E58F5" w:rsidP="001E58F5">
      <w:pPr>
        <w:spacing w:line="360" w:lineRule="auto"/>
        <w:jc w:val="both"/>
        <w:rPr>
          <w:b/>
          <w:szCs w:val="24"/>
          <w:lang w:bidi="en-US"/>
        </w:rPr>
      </w:pPr>
    </w:p>
    <w:p w14:paraId="06AC9C41" w14:textId="1BE353A9" w:rsidR="001E58F5" w:rsidRPr="00700F23" w:rsidRDefault="001E58F5" w:rsidP="00700F23">
      <w:pPr>
        <w:jc w:val="both"/>
        <w:rPr>
          <w:lang w:bidi="en-US"/>
        </w:rPr>
      </w:pPr>
      <w:r w:rsidRPr="00700F23">
        <w:rPr>
          <w:b/>
          <w:bCs/>
          <w:i/>
          <w:lang w:val="en-US" w:bidi="en-US"/>
        </w:rPr>
        <w:t>Literatur:</w:t>
      </w:r>
      <w:r w:rsidRPr="007F69DA">
        <w:rPr>
          <w:lang w:val="en-US" w:bidi="en-US"/>
        </w:rPr>
        <w:t xml:space="preserve"> </w:t>
      </w:r>
      <w:r w:rsidRPr="007F69DA">
        <w:rPr>
          <w:lang w:val="en-US"/>
        </w:rPr>
        <w:t xml:space="preserve">Angwin, D. (2001): Mergers &amp; Acquisitions across European Borders. National Perspectives on Pre-Acquisition Due Diligence and the Use of Professional Advisers, Journal of World Business, 36 (1): 32-57.   </w:t>
      </w:r>
      <w:r w:rsidRPr="007F69DA">
        <w:rPr>
          <w:lang w:val="fr-FR"/>
        </w:rPr>
        <w:t xml:space="preserve">Datta, D.K.; Puia, G. (1995): Cross-Border Acquisitions. </w:t>
      </w:r>
      <w:r w:rsidRPr="007F69DA">
        <w:rPr>
          <w:lang w:val="en-US"/>
        </w:rPr>
        <w:t xml:space="preserve">An Examination of the Influence of Relatedness and Cultural Fit on Shareholder Value Creation in US Acquiring Firms, Management International Review, 35(4): 337-359.   </w:t>
      </w:r>
      <w:r w:rsidRPr="007F69DA">
        <w:rPr>
          <w:iCs/>
          <w:lang w:val="en-GB"/>
        </w:rPr>
        <w:t>Denision, D.R.; Mishra, A.K. (1995)</w:t>
      </w:r>
      <w:r w:rsidRPr="007F69DA">
        <w:rPr>
          <w:lang w:val="en-GB"/>
        </w:rPr>
        <w:t xml:space="preserve">: Toward a Theory of Organizational Culture and Effectiveness, Organization Science, 6(2): 204-223.   </w:t>
      </w:r>
      <w:r w:rsidRPr="007F69DA">
        <w:rPr>
          <w:lang w:val="en-US"/>
        </w:rPr>
        <w:t xml:space="preserve">Deshpande, R.; Webster Jr., F.E. (1989): Organizational Culture and Marketing. Defining the Research Agenda, Journal of Marketing, 53(1): 3-15.   Habeck, M.M.; Kröger, F.; Träm, M.R. (2000): After the Merger. Seven Rules for Successful Post-Merger Integration, Harlow: Prentice Hall.   </w:t>
      </w:r>
      <w:r w:rsidRPr="007F69DA">
        <w:t xml:space="preserve">Habeck, M.M.; Kröger, F.; Träm, M.R. (2002): Wi(e)der das Fusionsfieber. Die sieben Schlüsselfaktoren erfolgreicher Fusionen, 2. Aufl., Wiesbaden: Gabler.  </w:t>
      </w:r>
      <w:r w:rsidRPr="007F69DA">
        <w:rPr>
          <w:iCs/>
        </w:rPr>
        <w:t xml:space="preserve">Hausmann, H. (2002): Kulturelle Integrationsprobleme bei internationalen Mergers &amp; Acquisitions, in: Macharzina, K.; Oesterle, M.-J. (Hrsg.), Handbuch Internationales Management, 2. Aufl., 909-921, Wiesbaden: Gabler.   </w:t>
      </w:r>
      <w:r w:rsidRPr="007F69DA">
        <w:t xml:space="preserve">Hermsen, C. (1994): Mergers &amp; Acquisitions. Integrationsmanagement von Akquisitionsprojekten, Hallstadt: Rosch-Buch.   </w:t>
      </w:r>
      <w:r w:rsidRPr="007F69DA">
        <w:rPr>
          <w:lang w:val="en-US"/>
        </w:rPr>
        <w:t xml:space="preserve">Hofstede, G. (1984): Cultural Dimensions in Management and Planning, Asia Pacific Journal of Management, 1(2): 81-99.   </w:t>
      </w:r>
      <w:r w:rsidRPr="007F69DA">
        <w:rPr>
          <w:iCs/>
          <w:lang w:val="en-US"/>
        </w:rPr>
        <w:t>Jaeger, A.M.</w:t>
      </w:r>
      <w:r w:rsidRPr="007F69DA">
        <w:rPr>
          <w:lang w:val="en-US"/>
        </w:rPr>
        <w:t xml:space="preserve"> (1986): Organization Development and National Culture. Where’s the Fit? Academy of Management Review, 11(1): 178-190.   Morosini, P.; Singh, H. (1994): Post-Cross-Border Acquisitions. Implementing ‘National Culture-Compatible’ Strategies to Improve Performance, European Management Journal, 12(4): 390-400.   </w:t>
      </w:r>
      <w:r w:rsidRPr="007F69DA">
        <w:rPr>
          <w:iCs/>
          <w:lang w:val="en-GB"/>
        </w:rPr>
        <w:t>Morris, T.; Pavett, S.M.</w:t>
      </w:r>
      <w:r w:rsidRPr="007F69DA">
        <w:rPr>
          <w:lang w:val="en-GB"/>
        </w:rPr>
        <w:t xml:space="preserve"> (1992): Management Style and Productivity in Two Cultures, Journal of International Business Studies, 23(1): 169-179.   </w:t>
      </w:r>
      <w:r w:rsidRPr="007F69DA">
        <w:t xml:space="preserve">Müller, S.; Gelbrich, K. (2014): Interkulturelle Kommunikation, München: Vahlen.   Müller-Stewens, G.; Kunisch, S.; Binder, A. (Hrsg.) </w:t>
      </w:r>
      <w:r w:rsidRPr="007F69DA">
        <w:rPr>
          <w:lang w:val="en-US"/>
        </w:rPr>
        <w:t xml:space="preserve">(2010). Mergers &amp; Acquisitions, Stuttgart: Schäffer-Poeschel.   Newman, K.L.; Nollen, S.D. (1996): Culture and Congruence. The Fit between Management Practices and National Culture, Journal of International Business Studies, 27(4): 753-779.   Sarala, R.M. (2010): The Impact of Cultural Differences and Acculturation Factors on Post-Acquisition Conflict, Scandinavian Journal of Management, 26(1): 38-56.   Scholz, C. (2013): Personalmanagement, 6.Aufl., München: Vahlen.   Vaara, E.; Sarala, R.; Stahl, G.K.; Björkman, I. (2012): The Impact of Organizational and National Cultural Differences on Social Conflict and Knowledge Transfer in International Acquisitions, Journal of Management Studies, 49(1): 1-27.   </w:t>
      </w:r>
      <w:r w:rsidRPr="007F69DA">
        <w:t>Wirtz, B.W. (2003): Mergers &amp; Acquisitions Management, Berlin: Springer. Zimmer, A. (2001): Unternehmenskultur und Cultural Due Diligence bei Mergers &amp; Acquisitions. Aachen: Shaker.</w:t>
      </w:r>
    </w:p>
    <w:p w14:paraId="2D283547" w14:textId="77777777" w:rsidR="00FF7799" w:rsidRPr="00700F23" w:rsidRDefault="00FF7799" w:rsidP="00700F23">
      <w:pPr>
        <w:keepNext/>
        <w:keepLines/>
        <w:spacing w:before="240"/>
        <w:jc w:val="both"/>
        <w:outlineLvl w:val="1"/>
        <w:rPr>
          <w:b/>
          <w:color w:val="2E74B5"/>
        </w:rPr>
      </w:pPr>
      <w:r w:rsidRPr="00700F23">
        <w:rPr>
          <w:b/>
          <w:color w:val="2E74B5"/>
        </w:rPr>
        <w:lastRenderedPageBreak/>
        <w:t>Kulturismus/Universalismus-Debatte</w:t>
      </w:r>
    </w:p>
    <w:p w14:paraId="7A90ACDF" w14:textId="77777777" w:rsidR="00FF7799" w:rsidRDefault="00FF7799" w:rsidP="00EA2A58">
      <w:pPr>
        <w:pStyle w:val="StandardText"/>
      </w:pPr>
      <w:r w:rsidRPr="00E73F6F">
        <w:t>wurde in den 1970er-Jahren vorrangig im Managementbereich geführt und später vom Marketing aufgegriffen. Die Kernfrage dieser Diskussion lautete: Sind Theorien und Instrumente von kulturellen Einflüssen unabhängig oder müssen sie den jeweiligen kulturellen Bedingungen angepasst werden (vgl. Schmid 1996, S.272ff.)?</w:t>
      </w:r>
    </w:p>
    <w:p w14:paraId="4731ECD1" w14:textId="77777777" w:rsidR="00700F23" w:rsidRDefault="00700F23" w:rsidP="00EA2A58">
      <w:pPr>
        <w:pStyle w:val="StandardText"/>
      </w:pPr>
    </w:p>
    <w:p w14:paraId="1B44DD2D" w14:textId="77777777" w:rsidR="00FF7799" w:rsidRPr="00E73F6F" w:rsidRDefault="00FF7799" w:rsidP="00E1375A">
      <w:pPr>
        <w:pStyle w:val="StandardTextAufzhlung"/>
        <w:ind w:left="284"/>
      </w:pPr>
      <w:r w:rsidRPr="00E73F6F">
        <w:t>Als Anhänger der Culture Free-These argumentierten die Universalisten, dass die meisten Managementtechniken weltweit unverändert einsetzbar seien. Mögliche Unterschiede in den kulturellen Umweltbedingungen ließen sich auf den unterschiedlichen wirtschaftlichen Entwicklungsstand zurückführen und würden gemäß der Konvergenz-These durch Industrialisierung und Modernisierung zusehends aufgehoben.</w:t>
      </w:r>
    </w:p>
    <w:p w14:paraId="3BE5CC0F" w14:textId="77777777" w:rsidR="00FF7799" w:rsidRPr="00E73F6F" w:rsidRDefault="00FF7799" w:rsidP="00E1375A">
      <w:pPr>
        <w:pStyle w:val="StandardTextAufzhlung"/>
        <w:ind w:left="284"/>
      </w:pPr>
      <w:r w:rsidRPr="00E73F6F">
        <w:t xml:space="preserve">Die Kulturisten vertraten die im deutschsprachigen Raum auch Kulturismus-These genannte Culture Bound-These. Sie waren der Meinung, dass die jeweiligen kulturellen Bedingungen spezifische Anforderungen stellen. Deshalb seien die klassischen, überwiegend im westlichen Kulturkreis entwickelten Theorien nur dort aussagefähig und nicht auf andere Kulturen übertragbar. Daran ändere auch die durch die zunehmende Industrialisierung bedingte Angleichung der grundlegenden Lebensverhältnisse nichts Entscheidendes. Denn die tiefverwurzelten kulturellen Unterschiede bestünden fort. </w:t>
      </w:r>
    </w:p>
    <w:p w14:paraId="79D22493" w14:textId="77777777" w:rsidR="00FF7799" w:rsidRPr="00E73F6F" w:rsidRDefault="00FF7799" w:rsidP="00EA2A58">
      <w:pPr>
        <w:pStyle w:val="StandardText"/>
      </w:pPr>
      <w:r w:rsidRPr="00E73F6F">
        <w:t>Die letztlich naive Frage, welche der beiden Extrempositionen „die richtige“ sei, beantwortete von Keller (1982, S.543f.) salomonisch. Die „harten“ Funktionen der Betriebswirtschaftslehre (z.B. Investitionsrechnung, Finanzierung, Kostenrechnung) seien eher ‘culture free‘, die „weichen“ Funktionen hingegen ‘culture bound‘. Hierzu zählen insb. Marketing, Organisation und Management (z.B. Führungsstil, Verhältnis zwischen Vorgesetzten und Mitarbeitern, Konfliktmanagement, Motivation oder Arbeitsverhalten).</w:t>
      </w:r>
    </w:p>
    <w:p w14:paraId="0DD22666" w14:textId="77777777" w:rsidR="00FF7799" w:rsidRPr="00F760E9" w:rsidRDefault="00FF7799" w:rsidP="00EA2A58">
      <w:pPr>
        <w:pStyle w:val="StandardText"/>
        <w:rPr>
          <w:sz w:val="22"/>
          <w:szCs w:val="22"/>
        </w:rPr>
      </w:pPr>
      <w:r w:rsidRPr="00F760E9">
        <w:rPr>
          <w:b/>
          <w:i/>
          <w:sz w:val="22"/>
          <w:szCs w:val="22"/>
        </w:rPr>
        <w:t>Literatur</w:t>
      </w:r>
      <w:r w:rsidRPr="00F760E9">
        <w:rPr>
          <w:i/>
          <w:sz w:val="22"/>
          <w:szCs w:val="22"/>
        </w:rPr>
        <w:t>:</w:t>
      </w:r>
      <w:r w:rsidRPr="00F760E9">
        <w:rPr>
          <w:sz w:val="22"/>
          <w:szCs w:val="22"/>
        </w:rPr>
        <w:t xml:space="preserve"> von Keller, E. (1982): Management in fremden Kulturen. Ziele, Ergebnisse und methodische Probleme der kulturvergleichenden Managementforschung, Bern: Haupt. Schmid, S. (1996): Multikulturalität in der internationalen Unternehmung, Wiesbaden: Gabler.</w:t>
      </w:r>
    </w:p>
    <w:p w14:paraId="5217C86F" w14:textId="77777777" w:rsidR="00FF7799" w:rsidRPr="00E73F6F" w:rsidRDefault="00FF7799" w:rsidP="00EA2A58">
      <w:pPr>
        <w:pStyle w:val="StandardText"/>
      </w:pPr>
    </w:p>
    <w:p w14:paraId="757118B2" w14:textId="77777777" w:rsidR="00FF7799" w:rsidRPr="00700F23" w:rsidRDefault="00FF7799" w:rsidP="00700F23">
      <w:pPr>
        <w:keepNext/>
        <w:keepLines/>
        <w:spacing w:before="240"/>
        <w:jc w:val="both"/>
        <w:outlineLvl w:val="1"/>
        <w:rPr>
          <w:b/>
          <w:color w:val="2E74B5"/>
        </w:rPr>
      </w:pPr>
      <w:r w:rsidRPr="00700F23">
        <w:rPr>
          <w:b/>
          <w:color w:val="2E74B5"/>
        </w:rPr>
        <w:t>Kulturkritik</w:t>
      </w:r>
    </w:p>
    <w:p w14:paraId="0ECD64B8" w14:textId="77777777" w:rsidR="00FF7799" w:rsidRPr="00FF00B7" w:rsidRDefault="00FF7799" w:rsidP="00EA2A58">
      <w:pPr>
        <w:pStyle w:val="StandardText"/>
      </w:pPr>
      <w:r w:rsidRPr="00FF00B7">
        <w:t>befasst sich mit dem (vermeintlichen oder tatsächlichen) Verfall kultureller Normen und Werte in der realen Gegenwart einer bestimmten Gesellschaft. Die als unerträglich bzw. beklagenswert erlebte Diskrepanz zwischen Ideal und Realität ist zentrales Motiv der Kulturkritik, wobei das Gegenwartsbild durch die idealisierende Wahrnehmung der Vergangenheit und Projektion von Wunschbildern in Zukunftsutopien fast zwangsläufig übermäßig pessimistisch gezeichnet wird. Abweichungen werden auch nicht als Kulturwandel bzw. Wertewandel,</w:t>
      </w:r>
      <w:r w:rsidRPr="00FF00B7">
        <w:rPr>
          <w:spacing w:val="-1"/>
        </w:rPr>
        <w:t xml:space="preserve"> </w:t>
      </w:r>
      <w:r w:rsidRPr="00FF00B7">
        <w:t>sondern als</w:t>
      </w:r>
      <w:r w:rsidRPr="00FF00B7">
        <w:rPr>
          <w:spacing w:val="-2"/>
        </w:rPr>
        <w:t xml:space="preserve"> </w:t>
      </w:r>
      <w:r w:rsidRPr="00FF00B7">
        <w:t>Verfall</w:t>
      </w:r>
      <w:r w:rsidRPr="00FF00B7">
        <w:rPr>
          <w:spacing w:val="-3"/>
        </w:rPr>
        <w:t xml:space="preserve"> </w:t>
      </w:r>
      <w:r w:rsidRPr="00FF00B7">
        <w:t>von</w:t>
      </w:r>
      <w:r w:rsidRPr="00FF00B7">
        <w:rPr>
          <w:spacing w:val="-3"/>
        </w:rPr>
        <w:t xml:space="preserve"> </w:t>
      </w:r>
      <w:r w:rsidRPr="00FF00B7">
        <w:t>Werten</w:t>
      </w:r>
      <w:r w:rsidRPr="00FF00B7">
        <w:rPr>
          <w:spacing w:val="-3"/>
        </w:rPr>
        <w:t xml:space="preserve"> </w:t>
      </w:r>
      <w:r w:rsidRPr="00FF00B7">
        <w:t>gedeutet.</w:t>
      </w:r>
      <w:r w:rsidRPr="00FF00B7">
        <w:rPr>
          <w:spacing w:val="-1"/>
        </w:rPr>
        <w:t xml:space="preserve"> </w:t>
      </w:r>
      <w:r w:rsidRPr="00FF00B7">
        <w:t>Der</w:t>
      </w:r>
      <w:r w:rsidRPr="00FF00B7">
        <w:rPr>
          <w:spacing w:val="-4"/>
        </w:rPr>
        <w:t xml:space="preserve"> </w:t>
      </w:r>
      <w:r w:rsidRPr="00FF00B7">
        <w:t>gesellschaftliche</w:t>
      </w:r>
      <w:r w:rsidRPr="00FF00B7">
        <w:rPr>
          <w:spacing w:val="-2"/>
        </w:rPr>
        <w:t xml:space="preserve"> </w:t>
      </w:r>
      <w:r w:rsidRPr="00FF00B7">
        <w:t>und fortschrittsskeptische Grundtenor</w:t>
      </w:r>
      <w:r w:rsidRPr="00FF00B7">
        <w:rPr>
          <w:spacing w:val="-1"/>
        </w:rPr>
        <w:t xml:space="preserve"> </w:t>
      </w:r>
      <w:r w:rsidRPr="00FF00B7">
        <w:t>der Kulturkritik prägte schon die</w:t>
      </w:r>
      <w:r w:rsidRPr="00FF00B7">
        <w:rPr>
          <w:spacing w:val="-1"/>
        </w:rPr>
        <w:t xml:space="preserve"> </w:t>
      </w:r>
      <w:r w:rsidRPr="00FF00B7">
        <w:t>Werke von A. de</w:t>
      </w:r>
      <w:r w:rsidRPr="00FF00B7">
        <w:rPr>
          <w:spacing w:val="-9"/>
        </w:rPr>
        <w:t xml:space="preserve"> </w:t>
      </w:r>
      <w:r w:rsidRPr="00FF00B7">
        <w:t>Tocqueville</w:t>
      </w:r>
      <w:r w:rsidRPr="00FF00B7">
        <w:rPr>
          <w:spacing w:val="-11"/>
        </w:rPr>
        <w:t xml:space="preserve"> </w:t>
      </w:r>
      <w:r w:rsidRPr="00FF00B7">
        <w:t>und</w:t>
      </w:r>
      <w:r w:rsidRPr="00FF00B7">
        <w:rPr>
          <w:spacing w:val="-7"/>
        </w:rPr>
        <w:t xml:space="preserve"> </w:t>
      </w:r>
      <w:r w:rsidRPr="00FF00B7">
        <w:t>J.J.</w:t>
      </w:r>
      <w:r w:rsidRPr="00FF00B7">
        <w:rPr>
          <w:spacing w:val="-10"/>
        </w:rPr>
        <w:t xml:space="preserve"> </w:t>
      </w:r>
      <w:r w:rsidRPr="00FF00B7">
        <w:t>Rousseau.</w:t>
      </w:r>
      <w:r w:rsidRPr="00FF00B7">
        <w:rPr>
          <w:spacing w:val="-10"/>
        </w:rPr>
        <w:t xml:space="preserve"> </w:t>
      </w:r>
      <w:r w:rsidRPr="00FF00B7">
        <w:t>Letzterer</w:t>
      </w:r>
      <w:r w:rsidRPr="00FF00B7">
        <w:rPr>
          <w:spacing w:val="-9"/>
        </w:rPr>
        <w:t xml:space="preserve"> </w:t>
      </w:r>
      <w:r w:rsidRPr="00FF00B7">
        <w:t>stellte</w:t>
      </w:r>
      <w:r w:rsidRPr="00FF00B7">
        <w:rPr>
          <w:spacing w:val="-9"/>
        </w:rPr>
        <w:t xml:space="preserve"> </w:t>
      </w:r>
      <w:r w:rsidRPr="00FF00B7">
        <w:t>die</w:t>
      </w:r>
      <w:r w:rsidRPr="00FF00B7">
        <w:rPr>
          <w:spacing w:val="-9"/>
        </w:rPr>
        <w:t xml:space="preserve"> </w:t>
      </w:r>
      <w:r w:rsidRPr="00FF00B7">
        <w:t>als</w:t>
      </w:r>
      <w:r w:rsidRPr="00FF00B7">
        <w:rPr>
          <w:spacing w:val="-9"/>
        </w:rPr>
        <w:t xml:space="preserve"> </w:t>
      </w:r>
      <w:r w:rsidRPr="00FF00B7">
        <w:t>„vernünftig“</w:t>
      </w:r>
      <w:r w:rsidRPr="00FF00B7">
        <w:rPr>
          <w:spacing w:val="-9"/>
        </w:rPr>
        <w:t xml:space="preserve"> </w:t>
      </w:r>
      <w:r w:rsidRPr="00FF00B7">
        <w:t>angesehene Ordnung der Natur den mehr oder weniger degenerierten Erscheinungen der Zivilisation</w:t>
      </w:r>
      <w:r w:rsidRPr="00FF00B7">
        <w:rPr>
          <w:spacing w:val="-3"/>
        </w:rPr>
        <w:t xml:space="preserve"> </w:t>
      </w:r>
      <w:r w:rsidRPr="00FF00B7">
        <w:t>gegenüber.</w:t>
      </w:r>
      <w:r w:rsidRPr="00FF00B7">
        <w:rPr>
          <w:spacing w:val="-4"/>
        </w:rPr>
        <w:t xml:space="preserve"> </w:t>
      </w:r>
      <w:r w:rsidRPr="00FF00B7">
        <w:t>Einflussreiche</w:t>
      </w:r>
      <w:r w:rsidRPr="00FF00B7">
        <w:rPr>
          <w:spacing w:val="-2"/>
        </w:rPr>
        <w:t xml:space="preserve"> </w:t>
      </w:r>
      <w:r w:rsidRPr="00FF00B7">
        <w:t>Vertreter</w:t>
      </w:r>
      <w:r w:rsidRPr="00FF00B7">
        <w:rPr>
          <w:spacing w:val="-2"/>
        </w:rPr>
        <w:t xml:space="preserve"> </w:t>
      </w:r>
      <w:r w:rsidRPr="00FF00B7">
        <w:t>der</w:t>
      </w:r>
      <w:r w:rsidRPr="00FF00B7">
        <w:rPr>
          <w:spacing w:val="-2"/>
        </w:rPr>
        <w:t xml:space="preserve"> </w:t>
      </w:r>
      <w:r w:rsidRPr="00FF00B7">
        <w:t>kulturkritischen</w:t>
      </w:r>
      <w:r w:rsidRPr="00FF00B7">
        <w:rPr>
          <w:spacing w:val="-1"/>
        </w:rPr>
        <w:t xml:space="preserve"> </w:t>
      </w:r>
      <w:r w:rsidRPr="00FF00B7">
        <w:t>Position</w:t>
      </w:r>
      <w:r w:rsidRPr="00FF00B7">
        <w:rPr>
          <w:spacing w:val="-1"/>
        </w:rPr>
        <w:t xml:space="preserve"> </w:t>
      </w:r>
      <w:r w:rsidRPr="00FF00B7">
        <w:t xml:space="preserve">sind </w:t>
      </w:r>
      <w:r w:rsidRPr="00FF00B7">
        <w:rPr>
          <w:spacing w:val="-2"/>
        </w:rPr>
        <w:t>weiterhin:</w:t>
      </w:r>
    </w:p>
    <w:p w14:paraId="789DAAA7" w14:textId="77777777" w:rsidR="00FF7799" w:rsidRPr="00FF00B7" w:rsidRDefault="00FF7799" w:rsidP="00700F23">
      <w:pPr>
        <w:pStyle w:val="StandardTextAufzhlung"/>
        <w:ind w:left="567"/>
      </w:pPr>
      <w:r w:rsidRPr="00FF00B7">
        <w:t>F.</w:t>
      </w:r>
      <w:r w:rsidRPr="00FF00B7">
        <w:rPr>
          <w:spacing w:val="-1"/>
        </w:rPr>
        <w:t xml:space="preserve"> </w:t>
      </w:r>
      <w:r w:rsidRPr="00FF00B7">
        <w:t>Nietzsche</w:t>
      </w:r>
      <w:r w:rsidRPr="00FF00B7">
        <w:rPr>
          <w:spacing w:val="-2"/>
        </w:rPr>
        <w:t xml:space="preserve"> </w:t>
      </w:r>
      <w:r w:rsidRPr="00FF00B7">
        <w:t>(„Natur</w:t>
      </w:r>
      <w:r w:rsidRPr="00FF00B7">
        <w:rPr>
          <w:spacing w:val="-1"/>
        </w:rPr>
        <w:t xml:space="preserve"> </w:t>
      </w:r>
      <w:r w:rsidRPr="00FF00B7">
        <w:t xml:space="preserve">vs. </w:t>
      </w:r>
      <w:r w:rsidRPr="00FF00B7">
        <w:rPr>
          <w:spacing w:val="-2"/>
        </w:rPr>
        <w:t>Geist“).</w:t>
      </w:r>
    </w:p>
    <w:p w14:paraId="53A8B144" w14:textId="77777777" w:rsidR="00FF7799" w:rsidRPr="00FF00B7" w:rsidRDefault="00FF7799" w:rsidP="00700F23">
      <w:pPr>
        <w:pStyle w:val="StandardTextAufzhlung"/>
        <w:ind w:left="567"/>
      </w:pPr>
      <w:r w:rsidRPr="00FF00B7">
        <w:t>L.</w:t>
      </w:r>
      <w:r w:rsidRPr="00FF00B7">
        <w:rPr>
          <w:spacing w:val="-3"/>
        </w:rPr>
        <w:t xml:space="preserve"> </w:t>
      </w:r>
      <w:r w:rsidRPr="00FF00B7">
        <w:t>Klages</w:t>
      </w:r>
      <w:r w:rsidRPr="00FF00B7">
        <w:rPr>
          <w:spacing w:val="-1"/>
        </w:rPr>
        <w:t xml:space="preserve"> </w:t>
      </w:r>
      <w:r w:rsidRPr="00FF00B7">
        <w:t>Schrift</w:t>
      </w:r>
      <w:r w:rsidRPr="00FF00B7">
        <w:rPr>
          <w:spacing w:val="-1"/>
        </w:rPr>
        <w:t xml:space="preserve"> </w:t>
      </w:r>
      <w:r w:rsidRPr="00FF00B7">
        <w:t>zur</w:t>
      </w:r>
      <w:r w:rsidRPr="00FF00B7">
        <w:rPr>
          <w:spacing w:val="-2"/>
        </w:rPr>
        <w:t xml:space="preserve"> </w:t>
      </w:r>
      <w:r w:rsidRPr="00FF00B7">
        <w:t>„Entseelung“</w:t>
      </w:r>
      <w:r w:rsidRPr="00FF00B7">
        <w:rPr>
          <w:spacing w:val="-2"/>
        </w:rPr>
        <w:t xml:space="preserve"> </w:t>
      </w:r>
      <w:r w:rsidRPr="00FF00B7">
        <w:t>und</w:t>
      </w:r>
      <w:r w:rsidRPr="00FF00B7">
        <w:rPr>
          <w:spacing w:val="-2"/>
        </w:rPr>
        <w:t xml:space="preserve"> </w:t>
      </w:r>
      <w:r w:rsidRPr="00FF00B7">
        <w:t>Mechanisierung</w:t>
      </w:r>
      <w:r w:rsidRPr="00FF00B7">
        <w:rPr>
          <w:spacing w:val="-2"/>
        </w:rPr>
        <w:t xml:space="preserve"> </w:t>
      </w:r>
      <w:r w:rsidRPr="00FF00B7">
        <w:t>des</w:t>
      </w:r>
      <w:r w:rsidRPr="00FF00B7">
        <w:rPr>
          <w:spacing w:val="-2"/>
        </w:rPr>
        <w:t xml:space="preserve"> Lebens,</w:t>
      </w:r>
    </w:p>
    <w:p w14:paraId="09A56D6D" w14:textId="77777777" w:rsidR="00FF7799" w:rsidRPr="00FF00B7" w:rsidRDefault="00FF7799" w:rsidP="00700F23">
      <w:pPr>
        <w:pStyle w:val="StandardTextAufzhlung"/>
        <w:ind w:left="567"/>
      </w:pPr>
      <w:r w:rsidRPr="00FF00B7">
        <w:t>M.</w:t>
      </w:r>
      <w:r w:rsidRPr="00FF00B7">
        <w:rPr>
          <w:spacing w:val="-3"/>
        </w:rPr>
        <w:t xml:space="preserve"> </w:t>
      </w:r>
      <w:r w:rsidRPr="00FF00B7">
        <w:t>Bubers</w:t>
      </w:r>
      <w:r w:rsidRPr="00FF00B7">
        <w:rPr>
          <w:spacing w:val="-3"/>
        </w:rPr>
        <w:t xml:space="preserve"> </w:t>
      </w:r>
      <w:r w:rsidRPr="00FF00B7">
        <w:t>religiös-kulturreformerische</w:t>
      </w:r>
      <w:r w:rsidRPr="00FF00B7">
        <w:rPr>
          <w:spacing w:val="-3"/>
        </w:rPr>
        <w:t xml:space="preserve"> </w:t>
      </w:r>
      <w:r w:rsidRPr="00FF00B7">
        <w:rPr>
          <w:spacing w:val="-2"/>
        </w:rPr>
        <w:t>Arbeiten,</w:t>
      </w:r>
    </w:p>
    <w:p w14:paraId="2A639B68" w14:textId="77777777" w:rsidR="00FF7799" w:rsidRPr="00FF00B7" w:rsidRDefault="00FF7799" w:rsidP="00700F23">
      <w:pPr>
        <w:pStyle w:val="StandardTextAufzhlung"/>
        <w:ind w:left="567"/>
      </w:pPr>
      <w:r w:rsidRPr="00FF00B7">
        <w:t>O.</w:t>
      </w:r>
      <w:r w:rsidRPr="00FF00B7">
        <w:rPr>
          <w:spacing w:val="-5"/>
        </w:rPr>
        <w:t xml:space="preserve"> </w:t>
      </w:r>
      <w:r w:rsidRPr="00FF00B7">
        <w:t>Spenglers</w:t>
      </w:r>
      <w:r w:rsidRPr="00FF00B7">
        <w:rPr>
          <w:spacing w:val="-5"/>
        </w:rPr>
        <w:t xml:space="preserve"> </w:t>
      </w:r>
      <w:r w:rsidRPr="00FF00B7">
        <w:t>pessimistischer,</w:t>
      </w:r>
      <w:r w:rsidRPr="00FF00B7">
        <w:rPr>
          <w:spacing w:val="-5"/>
        </w:rPr>
        <w:t xml:space="preserve"> </w:t>
      </w:r>
      <w:r w:rsidRPr="00FF00B7">
        <w:t>in</w:t>
      </w:r>
      <w:r w:rsidRPr="00FF00B7">
        <w:rPr>
          <w:spacing w:val="-4"/>
        </w:rPr>
        <w:t xml:space="preserve"> </w:t>
      </w:r>
      <w:r w:rsidRPr="00FF00B7">
        <w:t>der</w:t>
      </w:r>
      <w:r w:rsidRPr="00FF00B7">
        <w:rPr>
          <w:spacing w:val="-5"/>
        </w:rPr>
        <w:t xml:space="preserve"> </w:t>
      </w:r>
      <w:r w:rsidRPr="00FF00B7">
        <w:t>Denktradition</w:t>
      </w:r>
      <w:r w:rsidRPr="00FF00B7">
        <w:rPr>
          <w:spacing w:val="-6"/>
        </w:rPr>
        <w:t xml:space="preserve"> </w:t>
      </w:r>
      <w:r w:rsidRPr="00FF00B7">
        <w:t>der</w:t>
      </w:r>
      <w:r w:rsidRPr="00FF00B7">
        <w:rPr>
          <w:spacing w:val="-5"/>
        </w:rPr>
        <w:t xml:space="preserve"> </w:t>
      </w:r>
      <w:r w:rsidRPr="00FF00B7">
        <w:t>Kulturmorphologie stehender Determinismus („Untergang des Abendlandes“),</w:t>
      </w:r>
    </w:p>
    <w:p w14:paraId="4A4DB015" w14:textId="77777777" w:rsidR="00FF7799" w:rsidRPr="00FF00B7" w:rsidRDefault="00FF7799" w:rsidP="00700F23">
      <w:pPr>
        <w:pStyle w:val="StandardTextAufzhlung"/>
        <w:ind w:left="567"/>
      </w:pPr>
      <w:r w:rsidRPr="00FF00B7">
        <w:t>K. Marxs Thesen von der Entfremdung des Menschen in einer von Klassengegensätzen</w:t>
      </w:r>
      <w:r w:rsidRPr="00FF00B7">
        <w:rPr>
          <w:spacing w:val="-5"/>
        </w:rPr>
        <w:t xml:space="preserve"> </w:t>
      </w:r>
      <w:r w:rsidRPr="00FF00B7">
        <w:t>geprägten</w:t>
      </w:r>
      <w:r w:rsidRPr="00FF00B7">
        <w:rPr>
          <w:spacing w:val="-5"/>
        </w:rPr>
        <w:t xml:space="preserve"> </w:t>
      </w:r>
      <w:r w:rsidRPr="00FF00B7">
        <w:t>Gesellschaft</w:t>
      </w:r>
      <w:r w:rsidRPr="00FF00B7">
        <w:rPr>
          <w:spacing w:val="-6"/>
        </w:rPr>
        <w:t xml:space="preserve"> </w:t>
      </w:r>
      <w:r w:rsidRPr="00FF00B7">
        <w:t>und</w:t>
      </w:r>
      <w:r w:rsidRPr="00FF00B7">
        <w:rPr>
          <w:spacing w:val="-5"/>
        </w:rPr>
        <w:t xml:space="preserve"> </w:t>
      </w:r>
      <w:r w:rsidRPr="00FF00B7">
        <w:t>seiner</w:t>
      </w:r>
      <w:r w:rsidRPr="00FF00B7">
        <w:rPr>
          <w:spacing w:val="-6"/>
        </w:rPr>
        <w:t xml:space="preserve"> </w:t>
      </w:r>
      <w:r w:rsidRPr="00FF00B7">
        <w:t>Abhängigkeit</w:t>
      </w:r>
      <w:r w:rsidRPr="00FF00B7">
        <w:rPr>
          <w:spacing w:val="-6"/>
        </w:rPr>
        <w:t xml:space="preserve"> </w:t>
      </w:r>
      <w:r w:rsidRPr="00FF00B7">
        <w:t>von seiner materiellen Umwelt,</w:t>
      </w:r>
    </w:p>
    <w:p w14:paraId="21690486" w14:textId="77777777" w:rsidR="00FF7799" w:rsidRPr="00FF00B7" w:rsidRDefault="00FF7799" w:rsidP="00700F23">
      <w:pPr>
        <w:pStyle w:val="StandardTextAufzhlung"/>
        <w:ind w:left="567"/>
      </w:pPr>
      <w:r w:rsidRPr="00FF00B7">
        <w:lastRenderedPageBreak/>
        <w:t>M.</w:t>
      </w:r>
      <w:r w:rsidRPr="00FF00B7">
        <w:rPr>
          <w:spacing w:val="-3"/>
        </w:rPr>
        <w:t xml:space="preserve"> </w:t>
      </w:r>
      <w:r w:rsidRPr="00FF00B7">
        <w:t>Heideggers</w:t>
      </w:r>
      <w:r w:rsidRPr="00FF00B7">
        <w:rPr>
          <w:spacing w:val="-2"/>
        </w:rPr>
        <w:t xml:space="preserve"> </w:t>
      </w:r>
      <w:r w:rsidRPr="00FF00B7">
        <w:t>Kritik</w:t>
      </w:r>
      <w:r w:rsidRPr="00FF00B7">
        <w:rPr>
          <w:spacing w:val="-4"/>
        </w:rPr>
        <w:t xml:space="preserve"> </w:t>
      </w:r>
      <w:r w:rsidRPr="00FF00B7">
        <w:t>an</w:t>
      </w:r>
      <w:r w:rsidRPr="00FF00B7">
        <w:rPr>
          <w:spacing w:val="-4"/>
        </w:rPr>
        <w:t xml:space="preserve"> </w:t>
      </w:r>
      <w:r w:rsidRPr="00FF00B7">
        <w:t>der</w:t>
      </w:r>
      <w:r w:rsidRPr="00FF00B7">
        <w:rPr>
          <w:spacing w:val="-3"/>
        </w:rPr>
        <w:t xml:space="preserve"> </w:t>
      </w:r>
      <w:r w:rsidRPr="00FF00B7">
        <w:t>„Seinsvergessenheit“</w:t>
      </w:r>
      <w:r w:rsidRPr="00FF00B7">
        <w:rPr>
          <w:spacing w:val="-6"/>
        </w:rPr>
        <w:t xml:space="preserve"> </w:t>
      </w:r>
      <w:r w:rsidRPr="00FF00B7">
        <w:t>der</w:t>
      </w:r>
      <w:r w:rsidRPr="00FF00B7">
        <w:rPr>
          <w:spacing w:val="-3"/>
        </w:rPr>
        <w:t xml:space="preserve"> </w:t>
      </w:r>
      <w:r w:rsidRPr="00FF00B7">
        <w:t>Moderne</w:t>
      </w:r>
      <w:r w:rsidRPr="00FF00B7">
        <w:rPr>
          <w:spacing w:val="-6"/>
        </w:rPr>
        <w:t xml:space="preserve"> </w:t>
      </w:r>
      <w:r w:rsidRPr="00FF00B7">
        <w:t>und</w:t>
      </w:r>
      <w:r w:rsidRPr="00FF00B7">
        <w:rPr>
          <w:spacing w:val="-2"/>
        </w:rPr>
        <w:t xml:space="preserve"> </w:t>
      </w:r>
      <w:r w:rsidRPr="00FF00B7">
        <w:t xml:space="preserve">ihrem technisch-wissenschaftlichen </w:t>
      </w:r>
      <w:r w:rsidR="00D22D27">
        <w:sym w:font="Symbol" w:char="F0DE"/>
      </w:r>
      <w:r w:rsidR="00D22D27">
        <w:t xml:space="preserve"> </w:t>
      </w:r>
      <w:r w:rsidRPr="00FF00B7">
        <w:t>Weltbild („Hybris des technisch- wissenschaftlichen Paradigmas der Moderne“).</w:t>
      </w:r>
    </w:p>
    <w:p w14:paraId="54DF5BED" w14:textId="77777777" w:rsidR="00FF7799" w:rsidRPr="00FF00B7" w:rsidRDefault="00FF7799" w:rsidP="00EA2A58">
      <w:pPr>
        <w:pStyle w:val="StandardText"/>
      </w:pPr>
      <w:r w:rsidRPr="00FF00B7">
        <w:t>Die anfänglich primär normativ argumentierenden Vertreter der Kulturkritik bedienten sich zwar zunehmend der Methoden, Argumentationsstrategien und Befunde der modernen empirischen Sozialwissenschaften. Grundlegend - und insofern irreführend - ist aber nach wie vor die</w:t>
      </w:r>
      <w:r w:rsidRPr="00E73F6F">
        <w:t xml:space="preserve"> </w:t>
      </w:r>
      <w:r w:rsidRPr="00FF00B7">
        <w:t>Tendenz, die übermäßig negativ wahrgenommene Gegenwart an einem verklärten Bild der Vergangenheit oder einem utopischen Zukunftsbild zu messen.</w:t>
      </w:r>
    </w:p>
    <w:p w14:paraId="17D6655F" w14:textId="77777777" w:rsidR="00FF7799" w:rsidRDefault="00FF7799" w:rsidP="00EA2A58">
      <w:pPr>
        <w:pStyle w:val="StandardText"/>
      </w:pPr>
      <w:r w:rsidRPr="00FF00B7">
        <w:rPr>
          <w:b/>
          <w:i/>
          <w:sz w:val="22"/>
          <w:szCs w:val="22"/>
        </w:rPr>
        <w:t>Literatur</w:t>
      </w:r>
      <w:r w:rsidRPr="00FF00B7">
        <w:rPr>
          <w:i/>
          <w:sz w:val="22"/>
          <w:szCs w:val="22"/>
        </w:rPr>
        <w:t>:</w:t>
      </w:r>
      <w:r w:rsidRPr="00FF00B7">
        <w:rPr>
          <w:spacing w:val="-10"/>
          <w:sz w:val="22"/>
          <w:szCs w:val="22"/>
        </w:rPr>
        <w:t xml:space="preserve"> </w:t>
      </w:r>
      <w:r w:rsidRPr="00FF00B7">
        <w:rPr>
          <w:sz w:val="22"/>
          <w:szCs w:val="22"/>
        </w:rPr>
        <w:t>Konersmann,</w:t>
      </w:r>
      <w:r w:rsidRPr="00FF00B7">
        <w:rPr>
          <w:spacing w:val="-10"/>
          <w:sz w:val="22"/>
          <w:szCs w:val="22"/>
        </w:rPr>
        <w:t xml:space="preserve"> </w:t>
      </w:r>
      <w:r w:rsidRPr="00FF00B7">
        <w:rPr>
          <w:sz w:val="22"/>
          <w:szCs w:val="22"/>
        </w:rPr>
        <w:t>R.</w:t>
      </w:r>
      <w:r w:rsidRPr="00FF00B7">
        <w:rPr>
          <w:spacing w:val="-10"/>
          <w:sz w:val="22"/>
          <w:szCs w:val="22"/>
        </w:rPr>
        <w:t xml:space="preserve"> </w:t>
      </w:r>
      <w:r w:rsidRPr="00FF00B7">
        <w:rPr>
          <w:sz w:val="22"/>
          <w:szCs w:val="22"/>
        </w:rPr>
        <w:t>(Hrsg)</w:t>
      </w:r>
      <w:r w:rsidRPr="00FF00B7">
        <w:rPr>
          <w:spacing w:val="-10"/>
          <w:sz w:val="22"/>
          <w:szCs w:val="22"/>
        </w:rPr>
        <w:t xml:space="preserve"> </w:t>
      </w:r>
      <w:r w:rsidRPr="00FF00B7">
        <w:rPr>
          <w:sz w:val="22"/>
          <w:szCs w:val="22"/>
        </w:rPr>
        <w:t>(2001):</w:t>
      </w:r>
      <w:r w:rsidRPr="00FF00B7">
        <w:rPr>
          <w:spacing w:val="-10"/>
          <w:sz w:val="22"/>
          <w:szCs w:val="22"/>
        </w:rPr>
        <w:t xml:space="preserve"> </w:t>
      </w:r>
      <w:r w:rsidRPr="00FF00B7">
        <w:rPr>
          <w:sz w:val="22"/>
          <w:szCs w:val="22"/>
        </w:rPr>
        <w:t>Kulturkritik.</w:t>
      </w:r>
      <w:r w:rsidRPr="00FF00B7">
        <w:rPr>
          <w:spacing w:val="-10"/>
          <w:sz w:val="22"/>
          <w:szCs w:val="22"/>
        </w:rPr>
        <w:t xml:space="preserve"> </w:t>
      </w:r>
      <w:r w:rsidRPr="00FF00B7">
        <w:rPr>
          <w:sz w:val="22"/>
          <w:szCs w:val="22"/>
        </w:rPr>
        <w:t>Reflexionen</w:t>
      </w:r>
      <w:r w:rsidRPr="00FF00B7">
        <w:rPr>
          <w:spacing w:val="-10"/>
          <w:sz w:val="22"/>
          <w:szCs w:val="22"/>
        </w:rPr>
        <w:t xml:space="preserve"> </w:t>
      </w:r>
      <w:r w:rsidRPr="00FF00B7">
        <w:rPr>
          <w:sz w:val="22"/>
          <w:szCs w:val="22"/>
        </w:rPr>
        <w:t>in</w:t>
      </w:r>
      <w:r w:rsidRPr="00FF00B7">
        <w:rPr>
          <w:spacing w:val="-10"/>
          <w:sz w:val="22"/>
          <w:szCs w:val="22"/>
        </w:rPr>
        <w:t xml:space="preserve"> </w:t>
      </w:r>
      <w:r w:rsidRPr="00FF00B7">
        <w:rPr>
          <w:sz w:val="22"/>
          <w:szCs w:val="22"/>
        </w:rPr>
        <w:t>der</w:t>
      </w:r>
      <w:r w:rsidRPr="00FF00B7">
        <w:rPr>
          <w:spacing w:val="-10"/>
          <w:sz w:val="22"/>
          <w:szCs w:val="22"/>
        </w:rPr>
        <w:t xml:space="preserve"> </w:t>
      </w:r>
      <w:r w:rsidRPr="00FF00B7">
        <w:rPr>
          <w:sz w:val="22"/>
          <w:szCs w:val="22"/>
        </w:rPr>
        <w:t>veränderten</w:t>
      </w:r>
      <w:r w:rsidRPr="00FF00B7">
        <w:rPr>
          <w:spacing w:val="-10"/>
          <w:sz w:val="22"/>
          <w:szCs w:val="22"/>
        </w:rPr>
        <w:t xml:space="preserve"> </w:t>
      </w:r>
      <w:r w:rsidRPr="00FF00B7">
        <w:rPr>
          <w:sz w:val="22"/>
          <w:szCs w:val="22"/>
        </w:rPr>
        <w:t>Welt,</w:t>
      </w:r>
      <w:r w:rsidRPr="00FF00B7">
        <w:rPr>
          <w:spacing w:val="40"/>
          <w:sz w:val="22"/>
          <w:szCs w:val="22"/>
        </w:rPr>
        <w:t xml:space="preserve"> </w:t>
      </w:r>
      <w:r w:rsidRPr="00FF00B7">
        <w:rPr>
          <w:sz w:val="22"/>
          <w:szCs w:val="22"/>
        </w:rPr>
        <w:t>Leipzig.</w:t>
      </w:r>
      <w:r w:rsidRPr="00FF00B7">
        <w:rPr>
          <w:spacing w:val="-2"/>
          <w:sz w:val="22"/>
          <w:szCs w:val="22"/>
        </w:rPr>
        <w:t xml:space="preserve"> </w:t>
      </w:r>
      <w:r w:rsidRPr="00FF00B7">
        <w:rPr>
          <w:sz w:val="22"/>
          <w:szCs w:val="22"/>
        </w:rPr>
        <w:t>Sobrevilla,</w:t>
      </w:r>
      <w:r w:rsidRPr="00FF00B7">
        <w:rPr>
          <w:spacing w:val="-2"/>
          <w:sz w:val="22"/>
          <w:szCs w:val="22"/>
        </w:rPr>
        <w:t xml:space="preserve"> </w:t>
      </w:r>
      <w:r w:rsidRPr="00FF00B7">
        <w:rPr>
          <w:sz w:val="22"/>
          <w:szCs w:val="22"/>
        </w:rPr>
        <w:t>D.</w:t>
      </w:r>
      <w:r w:rsidRPr="00FF00B7">
        <w:rPr>
          <w:spacing w:val="-4"/>
          <w:sz w:val="22"/>
          <w:szCs w:val="22"/>
        </w:rPr>
        <w:t xml:space="preserve"> </w:t>
      </w:r>
      <w:r w:rsidRPr="00FF00B7">
        <w:rPr>
          <w:sz w:val="22"/>
          <w:szCs w:val="22"/>
        </w:rPr>
        <w:t>(1971):</w:t>
      </w:r>
      <w:r w:rsidRPr="00FF00B7">
        <w:rPr>
          <w:spacing w:val="-1"/>
          <w:sz w:val="22"/>
          <w:szCs w:val="22"/>
        </w:rPr>
        <w:t xml:space="preserve"> </w:t>
      </w:r>
      <w:r w:rsidRPr="00FF00B7">
        <w:rPr>
          <w:sz w:val="22"/>
          <w:szCs w:val="22"/>
        </w:rPr>
        <w:t>Der</w:t>
      </w:r>
      <w:r w:rsidRPr="00FF00B7">
        <w:rPr>
          <w:spacing w:val="-4"/>
          <w:sz w:val="22"/>
          <w:szCs w:val="22"/>
        </w:rPr>
        <w:t xml:space="preserve"> </w:t>
      </w:r>
      <w:r w:rsidRPr="00FF00B7">
        <w:rPr>
          <w:sz w:val="22"/>
          <w:szCs w:val="22"/>
        </w:rPr>
        <w:t>Ursprung</w:t>
      </w:r>
      <w:r w:rsidRPr="00FF00B7">
        <w:rPr>
          <w:spacing w:val="-4"/>
          <w:sz w:val="22"/>
          <w:szCs w:val="22"/>
        </w:rPr>
        <w:t xml:space="preserve"> </w:t>
      </w:r>
      <w:r w:rsidRPr="00FF00B7">
        <w:rPr>
          <w:sz w:val="22"/>
          <w:szCs w:val="22"/>
        </w:rPr>
        <w:t>des</w:t>
      </w:r>
      <w:r w:rsidRPr="00FF00B7">
        <w:rPr>
          <w:spacing w:val="-7"/>
          <w:sz w:val="22"/>
          <w:szCs w:val="22"/>
        </w:rPr>
        <w:t xml:space="preserve"> </w:t>
      </w:r>
      <w:r w:rsidRPr="00FF00B7">
        <w:rPr>
          <w:sz w:val="22"/>
          <w:szCs w:val="22"/>
        </w:rPr>
        <w:t>Kulturbegriffs,</w:t>
      </w:r>
      <w:r w:rsidRPr="00FF00B7">
        <w:rPr>
          <w:spacing w:val="-6"/>
          <w:sz w:val="22"/>
          <w:szCs w:val="22"/>
        </w:rPr>
        <w:t xml:space="preserve"> </w:t>
      </w:r>
      <w:r w:rsidRPr="00FF00B7">
        <w:rPr>
          <w:sz w:val="22"/>
          <w:szCs w:val="22"/>
        </w:rPr>
        <w:t>der</w:t>
      </w:r>
      <w:r w:rsidRPr="00FF00B7">
        <w:rPr>
          <w:spacing w:val="-4"/>
          <w:sz w:val="22"/>
          <w:szCs w:val="22"/>
        </w:rPr>
        <w:t xml:space="preserve"> </w:t>
      </w:r>
      <w:r w:rsidRPr="00FF00B7">
        <w:rPr>
          <w:sz w:val="22"/>
          <w:szCs w:val="22"/>
        </w:rPr>
        <w:t>Kulturphilosophie</w:t>
      </w:r>
      <w:r w:rsidRPr="00FF00B7">
        <w:rPr>
          <w:spacing w:val="-4"/>
          <w:sz w:val="22"/>
          <w:szCs w:val="22"/>
        </w:rPr>
        <w:t xml:space="preserve"> </w:t>
      </w:r>
      <w:r w:rsidRPr="00FF00B7">
        <w:rPr>
          <w:sz w:val="22"/>
          <w:szCs w:val="22"/>
        </w:rPr>
        <w:t>und</w:t>
      </w:r>
      <w:r w:rsidRPr="00FF00B7">
        <w:rPr>
          <w:spacing w:val="40"/>
          <w:sz w:val="22"/>
          <w:szCs w:val="22"/>
        </w:rPr>
        <w:t xml:space="preserve"> </w:t>
      </w:r>
      <w:r w:rsidRPr="00FF00B7">
        <w:rPr>
          <w:sz w:val="22"/>
          <w:szCs w:val="22"/>
        </w:rPr>
        <w:t>der Kulturkritik, Diss., Universität Tübingen, Tübingen</w:t>
      </w:r>
      <w:r w:rsidRPr="00FF00B7">
        <w:t>.</w:t>
      </w:r>
    </w:p>
    <w:p w14:paraId="4D883202" w14:textId="77777777" w:rsidR="00700F23" w:rsidRPr="00FF00B7" w:rsidRDefault="00700F23" w:rsidP="00EA2A58">
      <w:pPr>
        <w:pStyle w:val="StandardText"/>
      </w:pPr>
    </w:p>
    <w:p w14:paraId="16FBB1ED" w14:textId="77777777" w:rsidR="00FF7799" w:rsidRPr="00700F23" w:rsidRDefault="00FF7799" w:rsidP="00700F23">
      <w:pPr>
        <w:keepNext/>
        <w:keepLines/>
        <w:spacing w:before="240"/>
        <w:jc w:val="both"/>
        <w:outlineLvl w:val="1"/>
        <w:rPr>
          <w:b/>
          <w:color w:val="2E74B5"/>
        </w:rPr>
      </w:pPr>
      <w:r w:rsidRPr="00700F23">
        <w:rPr>
          <w:b/>
          <w:color w:val="2E74B5"/>
        </w:rPr>
        <w:t>Kulturmodell, integratives</w:t>
      </w:r>
    </w:p>
    <w:p w14:paraId="50E57E5B" w14:textId="77777777" w:rsidR="00FF7799" w:rsidRPr="00FF00B7" w:rsidRDefault="00FF7799" w:rsidP="003C4869">
      <w:pPr>
        <w:pStyle w:val="StandardText"/>
      </w:pPr>
      <w:r w:rsidRPr="00FF00B7">
        <w:t>basiert</w:t>
      </w:r>
      <w:r w:rsidRPr="00FF00B7">
        <w:rPr>
          <w:spacing w:val="-12"/>
        </w:rPr>
        <w:t xml:space="preserve"> </w:t>
      </w:r>
      <w:r w:rsidRPr="00FF00B7">
        <w:t>auf</w:t>
      </w:r>
      <w:r w:rsidRPr="00FF00B7">
        <w:rPr>
          <w:spacing w:val="-11"/>
        </w:rPr>
        <w:t xml:space="preserve"> </w:t>
      </w:r>
      <w:r w:rsidRPr="00FF00B7">
        <w:t>Meta-Kulturdimensionen.</w:t>
      </w:r>
      <w:r w:rsidRPr="00FF00B7">
        <w:rPr>
          <w:spacing w:val="-11"/>
        </w:rPr>
        <w:t xml:space="preserve"> </w:t>
      </w:r>
      <w:r w:rsidRPr="00FF00B7">
        <w:t>Um</w:t>
      </w:r>
      <w:r w:rsidRPr="00FF00B7">
        <w:rPr>
          <w:spacing w:val="-11"/>
        </w:rPr>
        <w:t xml:space="preserve"> </w:t>
      </w:r>
      <w:r w:rsidRPr="00FF00B7">
        <w:t>die</w:t>
      </w:r>
      <w:r w:rsidRPr="00FF00B7">
        <w:rPr>
          <w:spacing w:val="-12"/>
        </w:rPr>
        <w:t xml:space="preserve"> </w:t>
      </w:r>
      <w:r w:rsidRPr="00FF00B7">
        <w:t>Unübersichtlichkeit</w:t>
      </w:r>
      <w:r w:rsidRPr="00FF00B7">
        <w:rPr>
          <w:spacing w:val="-11"/>
        </w:rPr>
        <w:t xml:space="preserve"> </w:t>
      </w:r>
      <w:r w:rsidRPr="00FF00B7">
        <w:t>der</w:t>
      </w:r>
      <w:r w:rsidRPr="00FF00B7">
        <w:rPr>
          <w:spacing w:val="-11"/>
        </w:rPr>
        <w:t xml:space="preserve"> </w:t>
      </w:r>
      <w:r w:rsidRPr="00FF00B7">
        <w:t xml:space="preserve">verschiedenen Kulturmodelle (bzw. Kulturtheorien) mit ihren bisweilen nur scheinbar unterschiedlichen </w:t>
      </w:r>
      <w:r w:rsidR="007F2875">
        <w:sym w:font="Symbol" w:char="F0DE"/>
      </w:r>
      <w:r w:rsidR="007F2875">
        <w:t xml:space="preserve"> </w:t>
      </w:r>
      <w:r w:rsidRPr="00FF00B7">
        <w:t>Kulturdimensionen zu überwinden, schlug T. Clark drei Kulturdimensionen zweiter Ordnung vor:</w:t>
      </w:r>
    </w:p>
    <w:p w14:paraId="0F2D37D0" w14:textId="77777777" w:rsidR="00FF7799" w:rsidRPr="00FF00B7" w:rsidRDefault="00FF7799" w:rsidP="00700F23">
      <w:pPr>
        <w:pStyle w:val="StandardTextAufzhlung"/>
        <w:ind w:left="567"/>
      </w:pPr>
      <w:r w:rsidRPr="00FF00B7">
        <w:t>Verhältnis</w:t>
      </w:r>
      <w:r w:rsidRPr="00FF00B7">
        <w:rPr>
          <w:spacing w:val="-1"/>
        </w:rPr>
        <w:t xml:space="preserve"> </w:t>
      </w:r>
      <w:r w:rsidRPr="00FF00B7">
        <w:t xml:space="preserve">zur </w:t>
      </w:r>
      <w:r w:rsidRPr="00FF00B7">
        <w:rPr>
          <w:spacing w:val="-2"/>
        </w:rPr>
        <w:t>Autorität,</w:t>
      </w:r>
    </w:p>
    <w:p w14:paraId="54C2D65E" w14:textId="77777777" w:rsidR="00FF7799" w:rsidRPr="00FF00B7" w:rsidRDefault="00FF7799" w:rsidP="00700F23">
      <w:pPr>
        <w:pStyle w:val="StandardTextAufzhlung"/>
        <w:ind w:left="567"/>
      </w:pPr>
      <w:r w:rsidRPr="00FF00B7">
        <w:t>Verhältnis</w:t>
      </w:r>
      <w:r w:rsidRPr="00FF00B7">
        <w:rPr>
          <w:spacing w:val="-1"/>
        </w:rPr>
        <w:t xml:space="preserve"> </w:t>
      </w:r>
      <w:r w:rsidRPr="00FF00B7">
        <w:t>zum</w:t>
      </w:r>
      <w:r w:rsidRPr="00FF00B7">
        <w:rPr>
          <w:spacing w:val="-1"/>
        </w:rPr>
        <w:t xml:space="preserve"> </w:t>
      </w:r>
      <w:r w:rsidRPr="00FF00B7">
        <w:rPr>
          <w:spacing w:val="-2"/>
        </w:rPr>
        <w:t>Selbst,</w:t>
      </w:r>
    </w:p>
    <w:p w14:paraId="51A6A9A4" w14:textId="77777777" w:rsidR="00FF7799" w:rsidRPr="00FF00B7" w:rsidRDefault="00FF7799" w:rsidP="00700F23">
      <w:pPr>
        <w:pStyle w:val="StandardTextAufzhlung"/>
        <w:ind w:left="567"/>
      </w:pPr>
      <w:r w:rsidRPr="00FF00B7">
        <w:t>Verhältnis</w:t>
      </w:r>
      <w:r w:rsidRPr="00FF00B7">
        <w:rPr>
          <w:spacing w:val="-1"/>
        </w:rPr>
        <w:t xml:space="preserve"> </w:t>
      </w:r>
      <w:r w:rsidRPr="00FF00B7">
        <w:t>zum</w:t>
      </w:r>
      <w:r w:rsidRPr="00FF00B7">
        <w:rPr>
          <w:spacing w:val="-1"/>
        </w:rPr>
        <w:t xml:space="preserve"> </w:t>
      </w:r>
      <w:r w:rsidRPr="00FF00B7">
        <w:rPr>
          <w:spacing w:val="-2"/>
        </w:rPr>
        <w:t>Risiko.</w:t>
      </w:r>
    </w:p>
    <w:p w14:paraId="01C6DC16" w14:textId="77777777" w:rsidR="00FF7799" w:rsidRPr="00FF00B7" w:rsidRDefault="00FF7799" w:rsidP="003C4869">
      <w:pPr>
        <w:pStyle w:val="StandardText"/>
      </w:pPr>
      <w:r w:rsidRPr="00FF00B7">
        <w:t>Zusammengenommen erfassen diese Metakulturdimensionen die Art und Weise, wie Gemeinschaften von Menschen mit den Anforderungen, die für ihre Umwelt charakteristisch sind, umgehen. Folgt man T. Clarks Überlegungen, so berücksichtigen alle fünf der</w:t>
      </w:r>
      <w:r w:rsidRPr="00FF00B7">
        <w:rPr>
          <w:spacing w:val="-2"/>
        </w:rPr>
        <w:t xml:space="preserve"> </w:t>
      </w:r>
      <w:r w:rsidRPr="00FF00B7">
        <w:t>von</w:t>
      </w:r>
      <w:r w:rsidRPr="00FF00B7">
        <w:rPr>
          <w:spacing w:val="-1"/>
        </w:rPr>
        <w:t xml:space="preserve"> </w:t>
      </w:r>
      <w:r w:rsidRPr="00FF00B7">
        <w:t>ihm</w:t>
      </w:r>
      <w:r w:rsidRPr="00FF00B7">
        <w:rPr>
          <w:spacing w:val="-1"/>
        </w:rPr>
        <w:t xml:space="preserve"> </w:t>
      </w:r>
      <w:r w:rsidRPr="00FF00B7">
        <w:t>erfassten Modelle (vgl.</w:t>
      </w:r>
      <w:r w:rsidRPr="00FF00B7">
        <w:rPr>
          <w:spacing w:val="-1"/>
        </w:rPr>
        <w:t xml:space="preserve"> </w:t>
      </w:r>
      <w:r w:rsidRPr="00FF00B7">
        <w:t>Tab. 1) die</w:t>
      </w:r>
      <w:r w:rsidRPr="00FF00B7">
        <w:rPr>
          <w:spacing w:val="-2"/>
        </w:rPr>
        <w:t xml:space="preserve"> </w:t>
      </w:r>
      <w:r w:rsidRPr="00FF00B7">
        <w:t>personale und</w:t>
      </w:r>
      <w:r w:rsidRPr="00FF00B7">
        <w:rPr>
          <w:spacing w:val="-12"/>
        </w:rPr>
        <w:t xml:space="preserve"> </w:t>
      </w:r>
      <w:r w:rsidRPr="00FF00B7">
        <w:t>die</w:t>
      </w:r>
      <w:r w:rsidRPr="00FF00B7">
        <w:rPr>
          <w:spacing w:val="-9"/>
        </w:rPr>
        <w:t xml:space="preserve"> </w:t>
      </w:r>
      <w:r w:rsidRPr="00FF00B7">
        <w:t>interpersonale</w:t>
      </w:r>
      <w:r w:rsidRPr="00FF00B7">
        <w:rPr>
          <w:spacing w:val="-9"/>
        </w:rPr>
        <w:t xml:space="preserve"> </w:t>
      </w:r>
      <w:r w:rsidRPr="00FF00B7">
        <w:t>Dimension,</w:t>
      </w:r>
      <w:r w:rsidRPr="00FF00B7">
        <w:rPr>
          <w:spacing w:val="-8"/>
        </w:rPr>
        <w:t xml:space="preserve"> </w:t>
      </w:r>
      <w:r w:rsidRPr="00FF00B7">
        <w:t>während</w:t>
      </w:r>
      <w:r w:rsidRPr="00FF00B7">
        <w:rPr>
          <w:spacing w:val="-10"/>
        </w:rPr>
        <w:t xml:space="preserve"> </w:t>
      </w:r>
      <w:r w:rsidRPr="00FF00B7">
        <w:t>lediglich</w:t>
      </w:r>
      <w:r w:rsidRPr="00FF00B7">
        <w:rPr>
          <w:spacing w:val="-10"/>
        </w:rPr>
        <w:t xml:space="preserve"> </w:t>
      </w:r>
      <w:r w:rsidRPr="00FF00B7">
        <w:t>Inkeles/Levinson</w:t>
      </w:r>
      <w:r w:rsidRPr="00FF00B7">
        <w:rPr>
          <w:spacing w:val="-8"/>
        </w:rPr>
        <w:t xml:space="preserve"> </w:t>
      </w:r>
      <w:r w:rsidRPr="00FF00B7">
        <w:t>(1969)</w:t>
      </w:r>
      <w:r w:rsidRPr="00FF00B7">
        <w:rPr>
          <w:spacing w:val="-11"/>
        </w:rPr>
        <w:t xml:space="preserve"> </w:t>
      </w:r>
      <w:r w:rsidRPr="00FF00B7">
        <w:t>und Hofstede (1980) den Umweltbezug berücksichtigen („Verhältnis zum Risiko“).</w:t>
      </w:r>
    </w:p>
    <w:p w14:paraId="44F5F3DC" w14:textId="77777777" w:rsidR="00FF7799" w:rsidRPr="00FF00B7" w:rsidRDefault="00FF7799" w:rsidP="003C4869">
      <w:pPr>
        <w:pStyle w:val="StandardText"/>
        <w:rPr>
          <w:szCs w:val="24"/>
        </w:rPr>
      </w:pPr>
    </w:p>
    <w:p w14:paraId="2A991DC9" w14:textId="77777777" w:rsidR="00FF7799" w:rsidRPr="007D6CC1" w:rsidRDefault="00FF7799" w:rsidP="003C4869">
      <w:pPr>
        <w:pStyle w:val="BeschriftungTab"/>
        <w:rPr>
          <w:i/>
          <w:iCs/>
        </w:rPr>
      </w:pPr>
      <w:r w:rsidRPr="007D6CC1">
        <w:rPr>
          <w:i/>
          <w:iCs/>
        </w:rPr>
        <w:t>Tab. 1: Integratives</w:t>
      </w:r>
      <w:r w:rsidRPr="007D6CC1">
        <w:rPr>
          <w:i/>
          <w:iCs/>
          <w:spacing w:val="-3"/>
        </w:rPr>
        <w:t xml:space="preserve"> </w:t>
      </w:r>
      <w:r w:rsidRPr="007D6CC1">
        <w:rPr>
          <w:i/>
          <w:iCs/>
          <w:spacing w:val="-2"/>
        </w:rPr>
        <w:t>Kulturmodell</w:t>
      </w:r>
    </w:p>
    <w:tbl>
      <w:tblPr>
        <w:tblStyle w:val="TableNormal"/>
        <w:tblW w:w="5000" w:type="pct"/>
        <w:tblBorders>
          <w:top w:val="single" w:sz="4" w:space="0" w:color="000000"/>
          <w:bottom w:val="single" w:sz="4" w:space="0" w:color="000000"/>
          <w:insideH w:val="single" w:sz="4" w:space="0" w:color="000000"/>
        </w:tblBorders>
        <w:tblCellMar>
          <w:left w:w="57" w:type="dxa"/>
          <w:right w:w="57" w:type="dxa"/>
        </w:tblCellMar>
        <w:tblLook w:val="01E0" w:firstRow="1" w:lastRow="1" w:firstColumn="1" w:lastColumn="1" w:noHBand="0" w:noVBand="0"/>
      </w:tblPr>
      <w:tblGrid>
        <w:gridCol w:w="1418"/>
        <w:gridCol w:w="1842"/>
        <w:gridCol w:w="1724"/>
        <w:gridCol w:w="1308"/>
        <w:gridCol w:w="13"/>
        <w:gridCol w:w="1475"/>
        <w:gridCol w:w="1272"/>
        <w:gridCol w:w="20"/>
      </w:tblGrid>
      <w:tr w:rsidR="00FF7799" w:rsidRPr="00FF00B7" w14:paraId="0E4514BF" w14:textId="77777777" w:rsidTr="003C4869">
        <w:trPr>
          <w:trHeight w:val="600"/>
        </w:trPr>
        <w:tc>
          <w:tcPr>
            <w:tcW w:w="782" w:type="pct"/>
            <w:shd w:val="clear" w:color="auto" w:fill="FFC000" w:themeFill="accent4"/>
          </w:tcPr>
          <w:p w14:paraId="4F1870D9" w14:textId="77777777" w:rsidR="00FF7799" w:rsidRPr="00E73F6F" w:rsidRDefault="00FF7799" w:rsidP="003C4869">
            <w:pPr>
              <w:pStyle w:val="StandardText"/>
              <w:spacing w:after="120"/>
              <w:rPr>
                <w:lang w:val="de-DE"/>
              </w:rPr>
            </w:pPr>
          </w:p>
        </w:tc>
        <w:tc>
          <w:tcPr>
            <w:tcW w:w="1015" w:type="pct"/>
            <w:shd w:val="clear" w:color="auto" w:fill="FFC000" w:themeFill="accent4"/>
          </w:tcPr>
          <w:p w14:paraId="77AE23F3" w14:textId="77777777" w:rsidR="00FF00B7" w:rsidRDefault="00FF7799" w:rsidP="003C4869">
            <w:pPr>
              <w:pStyle w:val="StandardText"/>
              <w:spacing w:after="120"/>
              <w:jc w:val="center"/>
              <w:rPr>
                <w:b/>
                <w:i/>
                <w:spacing w:val="40"/>
                <w:lang w:val="de-DE"/>
              </w:rPr>
            </w:pPr>
            <w:r w:rsidRPr="00E73F6F">
              <w:rPr>
                <w:b/>
                <w:i/>
                <w:spacing w:val="-2"/>
                <w:lang w:val="de-DE"/>
              </w:rPr>
              <w:t>Kluckhohn/</w:t>
            </w:r>
            <w:r w:rsidRPr="00E73F6F">
              <w:rPr>
                <w:b/>
                <w:i/>
                <w:spacing w:val="40"/>
                <w:lang w:val="de-DE"/>
              </w:rPr>
              <w:t xml:space="preserve"> </w:t>
            </w:r>
          </w:p>
          <w:p w14:paraId="6EA6096D" w14:textId="77777777" w:rsidR="00FF00B7" w:rsidRDefault="00FF7799" w:rsidP="00FF00B7">
            <w:pPr>
              <w:pStyle w:val="StandardText"/>
              <w:spacing w:after="120"/>
              <w:jc w:val="center"/>
              <w:rPr>
                <w:b/>
                <w:i/>
                <w:spacing w:val="-2"/>
                <w:lang w:val="de-DE"/>
              </w:rPr>
            </w:pPr>
            <w:r w:rsidRPr="00E73F6F">
              <w:rPr>
                <w:b/>
                <w:i/>
                <w:spacing w:val="-2"/>
                <w:lang w:val="de-DE"/>
              </w:rPr>
              <w:t>Strodtbeck</w:t>
            </w:r>
          </w:p>
          <w:p w14:paraId="72C48704" w14:textId="77777777" w:rsidR="00FF7799" w:rsidRPr="00FF00B7" w:rsidRDefault="00FF7799" w:rsidP="00FF00B7">
            <w:pPr>
              <w:pStyle w:val="StandardText"/>
              <w:spacing w:after="120"/>
              <w:jc w:val="center"/>
              <w:rPr>
                <w:b/>
                <w:i/>
                <w:spacing w:val="40"/>
                <w:lang w:val="de-DE"/>
              </w:rPr>
            </w:pPr>
            <w:r w:rsidRPr="00E73F6F">
              <w:rPr>
                <w:spacing w:val="-2"/>
                <w:lang w:val="de-DE"/>
              </w:rPr>
              <w:t>(1961)</w:t>
            </w:r>
          </w:p>
        </w:tc>
        <w:tc>
          <w:tcPr>
            <w:tcW w:w="950" w:type="pct"/>
            <w:shd w:val="clear" w:color="auto" w:fill="FFC000" w:themeFill="accent4"/>
          </w:tcPr>
          <w:p w14:paraId="787C9E5C" w14:textId="77777777" w:rsidR="00FF00B7" w:rsidRDefault="00FF7799" w:rsidP="003C4869">
            <w:pPr>
              <w:pStyle w:val="StandardText"/>
              <w:spacing w:after="120"/>
              <w:jc w:val="center"/>
              <w:rPr>
                <w:b/>
                <w:i/>
                <w:spacing w:val="-2"/>
                <w:lang w:val="de-DE"/>
              </w:rPr>
            </w:pPr>
            <w:r w:rsidRPr="00E73F6F">
              <w:rPr>
                <w:b/>
                <w:i/>
                <w:spacing w:val="-2"/>
                <w:lang w:val="de-DE"/>
              </w:rPr>
              <w:t>Eysenck/</w:t>
            </w:r>
            <w:r w:rsidRPr="00FF00B7">
              <w:rPr>
                <w:b/>
                <w:i/>
                <w:spacing w:val="-2"/>
                <w:lang w:val="de-DE"/>
              </w:rPr>
              <w:t xml:space="preserve"> </w:t>
            </w:r>
          </w:p>
          <w:p w14:paraId="5FD41DA4" w14:textId="77777777" w:rsidR="00FF00B7" w:rsidRDefault="00FF7799" w:rsidP="003C4869">
            <w:pPr>
              <w:pStyle w:val="StandardText"/>
              <w:spacing w:after="120"/>
              <w:jc w:val="center"/>
              <w:rPr>
                <w:b/>
                <w:i/>
                <w:spacing w:val="-2"/>
                <w:lang w:val="de-DE"/>
              </w:rPr>
            </w:pPr>
            <w:r w:rsidRPr="00E73F6F">
              <w:rPr>
                <w:b/>
                <w:i/>
                <w:spacing w:val="-2"/>
                <w:lang w:val="de-DE"/>
              </w:rPr>
              <w:t>Eysenck</w:t>
            </w:r>
            <w:r w:rsidRPr="00FF00B7">
              <w:rPr>
                <w:b/>
                <w:i/>
                <w:spacing w:val="-2"/>
                <w:lang w:val="de-DE"/>
              </w:rPr>
              <w:t xml:space="preserve"> </w:t>
            </w:r>
          </w:p>
          <w:p w14:paraId="6781FDE8" w14:textId="77777777" w:rsidR="00FF7799" w:rsidRPr="00FF00B7" w:rsidRDefault="00FF7799" w:rsidP="003C4869">
            <w:pPr>
              <w:pStyle w:val="StandardText"/>
              <w:spacing w:after="120"/>
              <w:jc w:val="center"/>
              <w:rPr>
                <w:b/>
                <w:i/>
                <w:spacing w:val="-2"/>
                <w:lang w:val="de-DE"/>
              </w:rPr>
            </w:pPr>
            <w:r w:rsidRPr="00FF00B7">
              <w:rPr>
                <w:b/>
                <w:i/>
                <w:spacing w:val="-2"/>
                <w:lang w:val="de-DE"/>
              </w:rPr>
              <w:t>(1969)</w:t>
            </w:r>
          </w:p>
        </w:tc>
        <w:tc>
          <w:tcPr>
            <w:tcW w:w="728" w:type="pct"/>
            <w:gridSpan w:val="2"/>
            <w:shd w:val="clear" w:color="auto" w:fill="FFC000" w:themeFill="accent4"/>
          </w:tcPr>
          <w:p w14:paraId="00F6AB9D" w14:textId="77777777" w:rsidR="00FF00B7" w:rsidRDefault="00FF7799" w:rsidP="003C4869">
            <w:pPr>
              <w:pStyle w:val="StandardText"/>
              <w:spacing w:after="120"/>
              <w:jc w:val="center"/>
              <w:rPr>
                <w:b/>
                <w:i/>
                <w:spacing w:val="-2"/>
                <w:lang w:val="de-DE"/>
              </w:rPr>
            </w:pPr>
            <w:r w:rsidRPr="00E73F6F">
              <w:rPr>
                <w:b/>
                <w:i/>
                <w:spacing w:val="-2"/>
                <w:lang w:val="de-DE"/>
              </w:rPr>
              <w:t>Inkeles/</w:t>
            </w:r>
            <w:r w:rsidRPr="00FF00B7">
              <w:rPr>
                <w:b/>
                <w:i/>
                <w:spacing w:val="-2"/>
                <w:lang w:val="de-DE"/>
              </w:rPr>
              <w:t xml:space="preserve"> </w:t>
            </w:r>
          </w:p>
          <w:p w14:paraId="122262F4" w14:textId="77777777" w:rsidR="00FF00B7" w:rsidRDefault="00FF7799" w:rsidP="003C4869">
            <w:pPr>
              <w:pStyle w:val="StandardText"/>
              <w:spacing w:after="120"/>
              <w:jc w:val="center"/>
              <w:rPr>
                <w:b/>
                <w:i/>
                <w:spacing w:val="-2"/>
                <w:lang w:val="de-DE"/>
              </w:rPr>
            </w:pPr>
            <w:r w:rsidRPr="00E73F6F">
              <w:rPr>
                <w:b/>
                <w:i/>
                <w:spacing w:val="-2"/>
                <w:lang w:val="de-DE"/>
              </w:rPr>
              <w:t>Levinson</w:t>
            </w:r>
            <w:r w:rsidR="00FF00B7">
              <w:rPr>
                <w:b/>
                <w:i/>
                <w:spacing w:val="-2"/>
                <w:lang w:val="de-DE"/>
              </w:rPr>
              <w:t xml:space="preserve"> </w:t>
            </w:r>
          </w:p>
          <w:p w14:paraId="4C3AF7F8" w14:textId="77777777" w:rsidR="00FF7799" w:rsidRPr="00FF00B7" w:rsidRDefault="00FF7799" w:rsidP="003C4869">
            <w:pPr>
              <w:pStyle w:val="StandardText"/>
              <w:spacing w:after="120"/>
              <w:jc w:val="center"/>
              <w:rPr>
                <w:b/>
                <w:i/>
                <w:spacing w:val="-2"/>
                <w:lang w:val="de-DE"/>
              </w:rPr>
            </w:pPr>
            <w:r w:rsidRPr="00FF00B7">
              <w:rPr>
                <w:b/>
                <w:i/>
                <w:spacing w:val="-2"/>
                <w:lang w:val="de-DE"/>
              </w:rPr>
              <w:t>(1969)</w:t>
            </w:r>
          </w:p>
        </w:tc>
        <w:tc>
          <w:tcPr>
            <w:tcW w:w="813" w:type="pct"/>
            <w:shd w:val="clear" w:color="auto" w:fill="FFC000" w:themeFill="accent4"/>
          </w:tcPr>
          <w:p w14:paraId="0D47B575" w14:textId="77777777" w:rsidR="00FF7799" w:rsidRPr="00FF00B7" w:rsidRDefault="00FF7799" w:rsidP="003C4869">
            <w:pPr>
              <w:pStyle w:val="StandardText"/>
              <w:spacing w:after="120"/>
              <w:jc w:val="center"/>
              <w:rPr>
                <w:b/>
                <w:i/>
                <w:spacing w:val="-2"/>
                <w:lang w:val="de-DE"/>
              </w:rPr>
            </w:pPr>
            <w:r w:rsidRPr="00E73F6F">
              <w:rPr>
                <w:b/>
                <w:i/>
                <w:spacing w:val="-2"/>
                <w:lang w:val="de-DE"/>
              </w:rPr>
              <w:t>Hofstede</w:t>
            </w:r>
          </w:p>
          <w:p w14:paraId="130908E5" w14:textId="77777777" w:rsidR="00FF7799" w:rsidRPr="00FF00B7" w:rsidRDefault="00FF7799" w:rsidP="003C4869">
            <w:pPr>
              <w:pStyle w:val="StandardText"/>
              <w:spacing w:after="120"/>
              <w:jc w:val="center"/>
              <w:rPr>
                <w:b/>
                <w:i/>
                <w:spacing w:val="-2"/>
                <w:lang w:val="de-DE"/>
              </w:rPr>
            </w:pPr>
            <w:r w:rsidRPr="00FF00B7">
              <w:rPr>
                <w:b/>
                <w:i/>
                <w:spacing w:val="-2"/>
                <w:lang w:val="de-DE"/>
              </w:rPr>
              <w:t>(1980)</w:t>
            </w:r>
          </w:p>
        </w:tc>
        <w:tc>
          <w:tcPr>
            <w:tcW w:w="713" w:type="pct"/>
            <w:gridSpan w:val="2"/>
            <w:shd w:val="clear" w:color="auto" w:fill="FFC000" w:themeFill="accent4"/>
          </w:tcPr>
          <w:p w14:paraId="5CA7064B" w14:textId="77777777" w:rsidR="00FF7799" w:rsidRPr="00FF00B7" w:rsidRDefault="00FF7799" w:rsidP="003C4869">
            <w:pPr>
              <w:pStyle w:val="StandardText"/>
              <w:spacing w:after="120"/>
              <w:jc w:val="center"/>
              <w:rPr>
                <w:b/>
                <w:i/>
                <w:spacing w:val="-2"/>
                <w:lang w:val="de-DE"/>
              </w:rPr>
            </w:pPr>
            <w:r w:rsidRPr="00E73F6F">
              <w:rPr>
                <w:b/>
                <w:i/>
                <w:spacing w:val="-2"/>
                <w:lang w:val="de-DE"/>
              </w:rPr>
              <w:t>Peabody</w:t>
            </w:r>
          </w:p>
          <w:p w14:paraId="0EA94191" w14:textId="77777777" w:rsidR="00FF7799" w:rsidRPr="00FF00B7" w:rsidRDefault="00FF7799" w:rsidP="003C4869">
            <w:pPr>
              <w:pStyle w:val="StandardText"/>
              <w:spacing w:after="120"/>
              <w:jc w:val="center"/>
              <w:rPr>
                <w:b/>
                <w:i/>
                <w:spacing w:val="-2"/>
                <w:lang w:val="de-DE"/>
              </w:rPr>
            </w:pPr>
            <w:r w:rsidRPr="00FF00B7">
              <w:rPr>
                <w:b/>
                <w:i/>
                <w:spacing w:val="-2"/>
                <w:lang w:val="de-DE"/>
              </w:rPr>
              <w:t>(1985)</w:t>
            </w:r>
          </w:p>
        </w:tc>
      </w:tr>
      <w:tr w:rsidR="00FF7799" w:rsidRPr="00E73F6F" w14:paraId="2E675694" w14:textId="77777777" w:rsidTr="00FF00B7">
        <w:trPr>
          <w:trHeight w:val="957"/>
        </w:trPr>
        <w:tc>
          <w:tcPr>
            <w:tcW w:w="782" w:type="pct"/>
            <w:shd w:val="clear" w:color="auto" w:fill="FFF2CC" w:themeFill="accent4" w:themeFillTint="33"/>
          </w:tcPr>
          <w:p w14:paraId="0B39984A" w14:textId="77777777" w:rsidR="00FF7799" w:rsidRPr="00E73F6F" w:rsidRDefault="00FF7799" w:rsidP="003C4869">
            <w:pPr>
              <w:pStyle w:val="StandardText"/>
              <w:spacing w:after="40"/>
              <w:jc w:val="left"/>
              <w:rPr>
                <w:spacing w:val="-2"/>
                <w:lang w:val="de-DE"/>
              </w:rPr>
            </w:pPr>
            <w:r w:rsidRPr="00E73F6F">
              <w:rPr>
                <w:spacing w:val="-2"/>
                <w:lang w:val="de-DE"/>
              </w:rPr>
              <w:t xml:space="preserve">Verhältnis </w:t>
            </w:r>
            <w:r w:rsidRPr="00E73F6F">
              <w:rPr>
                <w:spacing w:val="-2"/>
                <w:lang w:val="de-DE"/>
              </w:rPr>
              <w:br/>
            </w:r>
            <w:r w:rsidRPr="00E73F6F">
              <w:rPr>
                <w:lang w:val="de-DE"/>
              </w:rPr>
              <w:t>zur</w:t>
            </w:r>
            <w:r w:rsidRPr="00E73F6F">
              <w:rPr>
                <w:spacing w:val="-2"/>
                <w:lang w:val="de-DE"/>
              </w:rPr>
              <w:t xml:space="preserve"> Autorität</w:t>
            </w:r>
          </w:p>
        </w:tc>
        <w:tc>
          <w:tcPr>
            <w:tcW w:w="1015" w:type="pct"/>
          </w:tcPr>
          <w:p w14:paraId="3B940B80" w14:textId="77777777" w:rsidR="00FF7799" w:rsidRPr="00E73F6F" w:rsidRDefault="00FF7799" w:rsidP="003C4869">
            <w:pPr>
              <w:pStyle w:val="StandardText"/>
              <w:spacing w:after="40"/>
              <w:jc w:val="left"/>
              <w:rPr>
                <w:lang w:val="de-DE"/>
              </w:rPr>
            </w:pPr>
            <w:r w:rsidRPr="00E73F6F">
              <w:rPr>
                <w:spacing w:val="-2"/>
                <w:lang w:val="de-DE"/>
              </w:rPr>
              <w:t xml:space="preserve">Ausrichtung </w:t>
            </w:r>
            <w:r w:rsidRPr="00E73F6F">
              <w:rPr>
                <w:lang w:val="de-DE"/>
              </w:rPr>
              <w:t>auf</w:t>
            </w:r>
            <w:r w:rsidRPr="00E73F6F">
              <w:rPr>
                <w:spacing w:val="-2"/>
                <w:lang w:val="de-DE"/>
              </w:rPr>
              <w:t xml:space="preserve"> mensch</w:t>
            </w:r>
            <w:r w:rsidRPr="00E73F6F">
              <w:rPr>
                <w:lang w:val="de-DE"/>
              </w:rPr>
              <w:t>liche</w:t>
            </w:r>
            <w:r w:rsidRPr="00E73F6F">
              <w:rPr>
                <w:spacing w:val="-3"/>
                <w:lang w:val="de-DE"/>
              </w:rPr>
              <w:t xml:space="preserve"> </w:t>
            </w:r>
            <w:r w:rsidRPr="00E73F6F">
              <w:rPr>
                <w:spacing w:val="-5"/>
                <w:lang w:val="de-DE"/>
              </w:rPr>
              <w:t>Be-</w:t>
            </w:r>
            <w:r w:rsidRPr="00E73F6F">
              <w:rPr>
                <w:spacing w:val="-2"/>
                <w:lang w:val="de-DE"/>
              </w:rPr>
              <w:t>ziehungen</w:t>
            </w:r>
          </w:p>
        </w:tc>
        <w:tc>
          <w:tcPr>
            <w:tcW w:w="950" w:type="pct"/>
          </w:tcPr>
          <w:p w14:paraId="398A0551" w14:textId="77777777" w:rsidR="00FF7799" w:rsidRPr="00E73F6F" w:rsidRDefault="00FF7799" w:rsidP="003C4869">
            <w:pPr>
              <w:pStyle w:val="StandardText"/>
              <w:spacing w:after="40"/>
              <w:jc w:val="left"/>
              <w:rPr>
                <w:lang w:val="de-DE"/>
              </w:rPr>
            </w:pPr>
            <w:r w:rsidRPr="00E73F6F">
              <w:rPr>
                <w:spacing w:val="-2"/>
                <w:lang w:val="de-DE"/>
              </w:rPr>
              <w:t>Psychotizis</w:t>
            </w:r>
            <w:r w:rsidRPr="00E73F6F">
              <w:rPr>
                <w:spacing w:val="-4"/>
                <w:lang w:val="de-DE"/>
              </w:rPr>
              <w:t>mus</w:t>
            </w:r>
            <w:r w:rsidRPr="00E73F6F">
              <w:rPr>
                <w:spacing w:val="40"/>
                <w:lang w:val="de-DE"/>
              </w:rPr>
              <w:t xml:space="preserve"> </w:t>
            </w:r>
            <w:r w:rsidRPr="00E73F6F">
              <w:rPr>
                <w:spacing w:val="-2"/>
                <w:lang w:val="de-DE"/>
              </w:rPr>
              <w:t>(Hartnäckig-</w:t>
            </w:r>
            <w:r w:rsidRPr="00E73F6F">
              <w:rPr>
                <w:spacing w:val="40"/>
                <w:lang w:val="de-DE"/>
              </w:rPr>
              <w:t xml:space="preserve"> </w:t>
            </w:r>
            <w:r w:rsidRPr="00E73F6F">
              <w:rPr>
                <w:spacing w:val="-2"/>
                <w:lang w:val="de-DE"/>
              </w:rPr>
              <w:t>keit)</w:t>
            </w:r>
          </w:p>
        </w:tc>
        <w:tc>
          <w:tcPr>
            <w:tcW w:w="728" w:type="pct"/>
            <w:gridSpan w:val="2"/>
          </w:tcPr>
          <w:p w14:paraId="7EFAC9C4" w14:textId="77777777" w:rsidR="00FF7799" w:rsidRPr="00E73F6F" w:rsidRDefault="00FF7799" w:rsidP="003C4869">
            <w:pPr>
              <w:pStyle w:val="StandardText"/>
              <w:spacing w:after="40"/>
              <w:jc w:val="left"/>
              <w:rPr>
                <w:lang w:val="de-DE"/>
              </w:rPr>
            </w:pPr>
            <w:r w:rsidRPr="00E73F6F">
              <w:rPr>
                <w:spacing w:val="-2"/>
                <w:lang w:val="de-DE"/>
              </w:rPr>
              <w:t xml:space="preserve">Verhältnis </w:t>
            </w:r>
            <w:r w:rsidRPr="00E73F6F">
              <w:rPr>
                <w:lang w:val="de-DE"/>
              </w:rPr>
              <w:t>zur</w:t>
            </w:r>
            <w:r w:rsidRPr="00E73F6F">
              <w:rPr>
                <w:spacing w:val="-2"/>
                <w:lang w:val="de-DE"/>
              </w:rPr>
              <w:t xml:space="preserve"> Autorität</w:t>
            </w:r>
          </w:p>
        </w:tc>
        <w:tc>
          <w:tcPr>
            <w:tcW w:w="813" w:type="pct"/>
          </w:tcPr>
          <w:p w14:paraId="761B6022" w14:textId="77777777" w:rsidR="00FF7799" w:rsidRPr="00E73F6F" w:rsidRDefault="00FF7799" w:rsidP="003C4869">
            <w:pPr>
              <w:pStyle w:val="StandardText"/>
              <w:spacing w:after="40"/>
              <w:jc w:val="left"/>
              <w:rPr>
                <w:lang w:val="de-DE"/>
              </w:rPr>
            </w:pPr>
            <w:r w:rsidRPr="00E73F6F">
              <w:rPr>
                <w:spacing w:val="-2"/>
                <w:lang w:val="de-DE"/>
              </w:rPr>
              <w:t xml:space="preserve">Akzeptanz </w:t>
            </w:r>
            <w:r w:rsidRPr="00E73F6F">
              <w:rPr>
                <w:lang w:val="de-DE"/>
              </w:rPr>
              <w:t>von</w:t>
            </w:r>
            <w:r w:rsidRPr="00E73F6F">
              <w:rPr>
                <w:spacing w:val="-3"/>
                <w:lang w:val="de-DE"/>
              </w:rPr>
              <w:t xml:space="preserve"> </w:t>
            </w:r>
            <w:r w:rsidRPr="00E73F6F">
              <w:rPr>
                <w:spacing w:val="-2"/>
                <w:lang w:val="de-DE"/>
              </w:rPr>
              <w:t>Macht-distanz</w:t>
            </w:r>
          </w:p>
        </w:tc>
        <w:tc>
          <w:tcPr>
            <w:tcW w:w="713" w:type="pct"/>
            <w:gridSpan w:val="2"/>
          </w:tcPr>
          <w:p w14:paraId="1343E2FA" w14:textId="77777777" w:rsidR="00FF7799" w:rsidRPr="00E73F6F" w:rsidRDefault="00FF7799" w:rsidP="003C4869">
            <w:pPr>
              <w:pStyle w:val="StandardText"/>
              <w:spacing w:after="40"/>
              <w:jc w:val="left"/>
              <w:rPr>
                <w:lang w:val="de-DE"/>
              </w:rPr>
            </w:pPr>
            <w:r w:rsidRPr="00E73F6F">
              <w:rPr>
                <w:spacing w:val="-2"/>
                <w:lang w:val="de-DE"/>
              </w:rPr>
              <w:t>Durch-setzung</w:t>
            </w:r>
          </w:p>
        </w:tc>
      </w:tr>
      <w:tr w:rsidR="00FF7799" w:rsidRPr="00E73F6F" w14:paraId="51B376C4" w14:textId="77777777" w:rsidTr="00FF00B7">
        <w:trPr>
          <w:trHeight w:val="560"/>
        </w:trPr>
        <w:tc>
          <w:tcPr>
            <w:tcW w:w="782" w:type="pct"/>
            <w:vMerge w:val="restart"/>
            <w:shd w:val="clear" w:color="auto" w:fill="FFF2CC" w:themeFill="accent4" w:themeFillTint="33"/>
          </w:tcPr>
          <w:p w14:paraId="4D7149BA" w14:textId="77777777" w:rsidR="00FF7799" w:rsidRPr="00E73F6F" w:rsidRDefault="00FF7799" w:rsidP="003C4869">
            <w:pPr>
              <w:pStyle w:val="StandardText"/>
              <w:spacing w:after="40"/>
              <w:jc w:val="left"/>
              <w:rPr>
                <w:lang w:val="de-DE"/>
              </w:rPr>
            </w:pPr>
            <w:r w:rsidRPr="00E73F6F">
              <w:rPr>
                <w:spacing w:val="-2"/>
                <w:lang w:val="de-DE"/>
              </w:rPr>
              <w:t>Verhältnis</w:t>
            </w:r>
            <w:r w:rsidRPr="00E73F6F">
              <w:rPr>
                <w:spacing w:val="40"/>
                <w:lang w:val="de-DE"/>
              </w:rPr>
              <w:t xml:space="preserve"> </w:t>
            </w:r>
            <w:r w:rsidRPr="00E73F6F">
              <w:rPr>
                <w:lang w:val="de-DE"/>
              </w:rPr>
              <w:t>zum</w:t>
            </w:r>
            <w:r w:rsidRPr="00E73F6F">
              <w:rPr>
                <w:spacing w:val="-3"/>
                <w:lang w:val="de-DE"/>
              </w:rPr>
              <w:t xml:space="preserve"> </w:t>
            </w:r>
            <w:r w:rsidRPr="00E73F6F">
              <w:rPr>
                <w:spacing w:val="-2"/>
                <w:lang w:val="de-DE"/>
              </w:rPr>
              <w:t>Selbst</w:t>
            </w:r>
          </w:p>
        </w:tc>
        <w:tc>
          <w:tcPr>
            <w:tcW w:w="1015" w:type="pct"/>
            <w:vMerge w:val="restart"/>
          </w:tcPr>
          <w:p w14:paraId="0E2635DF" w14:textId="77777777" w:rsidR="00FF7799" w:rsidRPr="00E73F6F" w:rsidRDefault="00FF7799" w:rsidP="003C4869">
            <w:pPr>
              <w:pStyle w:val="StandardText"/>
              <w:spacing w:after="40"/>
              <w:jc w:val="left"/>
              <w:rPr>
                <w:lang w:val="de-DE"/>
              </w:rPr>
            </w:pPr>
            <w:r w:rsidRPr="00E73F6F">
              <w:rPr>
                <w:spacing w:val="-2"/>
                <w:lang w:val="de-DE"/>
              </w:rPr>
              <w:t>Wahrnehmung</w:t>
            </w:r>
            <w:r w:rsidRPr="00E73F6F">
              <w:rPr>
                <w:spacing w:val="40"/>
                <w:lang w:val="de-DE"/>
              </w:rPr>
              <w:t xml:space="preserve"> </w:t>
            </w:r>
            <w:r w:rsidRPr="00E73F6F">
              <w:rPr>
                <w:lang w:val="de-DE"/>
              </w:rPr>
              <w:t>des</w:t>
            </w:r>
            <w:r w:rsidRPr="00E73F6F">
              <w:rPr>
                <w:spacing w:val="-4"/>
                <w:lang w:val="de-DE"/>
              </w:rPr>
              <w:t xml:space="preserve"> </w:t>
            </w:r>
            <w:r w:rsidRPr="00E73F6F">
              <w:rPr>
                <w:lang w:val="de-DE"/>
              </w:rPr>
              <w:t>menschlichen</w:t>
            </w:r>
            <w:r w:rsidRPr="00E73F6F">
              <w:rPr>
                <w:spacing w:val="-6"/>
                <w:lang w:val="de-DE"/>
              </w:rPr>
              <w:t xml:space="preserve"> </w:t>
            </w:r>
            <w:r w:rsidRPr="00E73F6F">
              <w:rPr>
                <w:lang w:val="de-DE"/>
              </w:rPr>
              <w:t>Wesens</w:t>
            </w:r>
            <w:r w:rsidRPr="00E73F6F">
              <w:rPr>
                <w:spacing w:val="40"/>
                <w:lang w:val="de-DE"/>
              </w:rPr>
              <w:t xml:space="preserve"> </w:t>
            </w:r>
            <w:r w:rsidRPr="00E73F6F">
              <w:rPr>
                <w:spacing w:val="-2"/>
                <w:lang w:val="de-DE"/>
              </w:rPr>
              <w:t>(gut/böse)</w:t>
            </w:r>
          </w:p>
        </w:tc>
        <w:tc>
          <w:tcPr>
            <w:tcW w:w="950" w:type="pct"/>
            <w:vMerge w:val="restart"/>
          </w:tcPr>
          <w:p w14:paraId="6AED628F" w14:textId="77777777" w:rsidR="00FF7799" w:rsidRPr="00E73F6F" w:rsidRDefault="00FF7799" w:rsidP="003C4869">
            <w:pPr>
              <w:pStyle w:val="StandardText"/>
              <w:spacing w:after="40"/>
              <w:jc w:val="left"/>
              <w:rPr>
                <w:lang w:val="de-DE"/>
              </w:rPr>
            </w:pPr>
            <w:r w:rsidRPr="00E73F6F">
              <w:rPr>
                <w:spacing w:val="-2"/>
                <w:lang w:val="de-DE"/>
              </w:rPr>
              <w:t>Extraversion</w:t>
            </w:r>
          </w:p>
        </w:tc>
        <w:tc>
          <w:tcPr>
            <w:tcW w:w="728" w:type="pct"/>
            <w:gridSpan w:val="2"/>
            <w:vMerge w:val="restart"/>
          </w:tcPr>
          <w:p w14:paraId="2FEAEAC8" w14:textId="77777777" w:rsidR="00FF7799" w:rsidRPr="00E73F6F" w:rsidRDefault="00FF7799" w:rsidP="003C4869">
            <w:pPr>
              <w:pStyle w:val="StandardText"/>
              <w:spacing w:after="40"/>
              <w:jc w:val="left"/>
              <w:rPr>
                <w:lang w:val="de-DE"/>
              </w:rPr>
            </w:pPr>
            <w:r w:rsidRPr="00E73F6F">
              <w:rPr>
                <w:spacing w:val="-2"/>
                <w:lang w:val="de-DE"/>
              </w:rPr>
              <w:t>Selbstbild</w:t>
            </w:r>
          </w:p>
        </w:tc>
        <w:tc>
          <w:tcPr>
            <w:tcW w:w="813" w:type="pct"/>
          </w:tcPr>
          <w:p w14:paraId="623DC49C" w14:textId="77777777" w:rsidR="00FF7799" w:rsidRPr="00E73F6F" w:rsidRDefault="00FF7799" w:rsidP="003C4869">
            <w:pPr>
              <w:pStyle w:val="StandardText"/>
              <w:spacing w:after="40"/>
              <w:jc w:val="left"/>
              <w:rPr>
                <w:lang w:val="de-DE"/>
              </w:rPr>
            </w:pPr>
            <w:r w:rsidRPr="00E73F6F">
              <w:rPr>
                <w:spacing w:val="-2"/>
                <w:lang w:val="de-DE"/>
              </w:rPr>
              <w:t>Maskulinität</w:t>
            </w:r>
            <w:r w:rsidRPr="00E73F6F">
              <w:rPr>
                <w:spacing w:val="40"/>
                <w:lang w:val="de-DE"/>
              </w:rPr>
              <w:t xml:space="preserve"> </w:t>
            </w:r>
            <w:r w:rsidRPr="00E73F6F">
              <w:rPr>
                <w:spacing w:val="-2"/>
                <w:lang w:val="de-DE"/>
              </w:rPr>
              <w:t>(soziales</w:t>
            </w:r>
            <w:r w:rsidRPr="00E73F6F">
              <w:rPr>
                <w:spacing w:val="40"/>
                <w:lang w:val="de-DE"/>
              </w:rPr>
              <w:t xml:space="preserve"> </w:t>
            </w:r>
            <w:r w:rsidRPr="00E73F6F">
              <w:rPr>
                <w:spacing w:val="-4"/>
                <w:lang w:val="de-DE"/>
              </w:rPr>
              <w:t>Ich)</w:t>
            </w:r>
          </w:p>
        </w:tc>
        <w:tc>
          <w:tcPr>
            <w:tcW w:w="713" w:type="pct"/>
            <w:gridSpan w:val="2"/>
            <w:vMerge w:val="restart"/>
          </w:tcPr>
          <w:p w14:paraId="76AC7939" w14:textId="77777777" w:rsidR="00FF7799" w:rsidRPr="00E73F6F" w:rsidRDefault="00FF7799" w:rsidP="003C4869">
            <w:pPr>
              <w:pStyle w:val="StandardText"/>
              <w:spacing w:after="40"/>
              <w:jc w:val="left"/>
              <w:rPr>
                <w:lang w:val="de-DE"/>
              </w:rPr>
            </w:pPr>
            <w:r w:rsidRPr="00E73F6F">
              <w:rPr>
                <w:spacing w:val="-2"/>
                <w:lang w:val="de-DE"/>
              </w:rPr>
              <w:t>Straffheit/</w:t>
            </w:r>
            <w:r w:rsidRPr="00E73F6F">
              <w:rPr>
                <w:spacing w:val="40"/>
                <w:lang w:val="de-DE"/>
              </w:rPr>
              <w:t xml:space="preserve"> </w:t>
            </w:r>
            <w:r w:rsidRPr="00E73F6F">
              <w:rPr>
                <w:spacing w:val="-2"/>
                <w:lang w:val="de-DE"/>
              </w:rPr>
              <w:t>Lockerheit</w:t>
            </w:r>
          </w:p>
        </w:tc>
      </w:tr>
      <w:tr w:rsidR="00FF7799" w:rsidRPr="00E73F6F" w14:paraId="708B3A54" w14:textId="77777777" w:rsidTr="00FF00B7">
        <w:trPr>
          <w:trHeight w:val="410"/>
        </w:trPr>
        <w:tc>
          <w:tcPr>
            <w:tcW w:w="782" w:type="pct"/>
            <w:vMerge/>
            <w:shd w:val="clear" w:color="auto" w:fill="FFF2CC" w:themeFill="accent4" w:themeFillTint="33"/>
          </w:tcPr>
          <w:p w14:paraId="6CE02F2B" w14:textId="77777777" w:rsidR="00FF7799" w:rsidRPr="00E73F6F" w:rsidRDefault="00FF7799" w:rsidP="003C4869">
            <w:pPr>
              <w:pStyle w:val="StandardText"/>
              <w:spacing w:after="40"/>
              <w:jc w:val="left"/>
              <w:rPr>
                <w:lang w:val="de-DE"/>
              </w:rPr>
            </w:pPr>
          </w:p>
        </w:tc>
        <w:tc>
          <w:tcPr>
            <w:tcW w:w="1015" w:type="pct"/>
            <w:vMerge/>
          </w:tcPr>
          <w:p w14:paraId="6F7E6906" w14:textId="77777777" w:rsidR="00FF7799" w:rsidRPr="00E73F6F" w:rsidRDefault="00FF7799" w:rsidP="003C4869">
            <w:pPr>
              <w:pStyle w:val="StandardText"/>
              <w:spacing w:after="40"/>
              <w:jc w:val="left"/>
              <w:rPr>
                <w:lang w:val="de-DE"/>
              </w:rPr>
            </w:pPr>
          </w:p>
        </w:tc>
        <w:tc>
          <w:tcPr>
            <w:tcW w:w="950" w:type="pct"/>
            <w:vMerge/>
          </w:tcPr>
          <w:p w14:paraId="5F8FF44D" w14:textId="77777777" w:rsidR="00FF7799" w:rsidRPr="00E73F6F" w:rsidRDefault="00FF7799" w:rsidP="003C4869">
            <w:pPr>
              <w:pStyle w:val="StandardText"/>
              <w:spacing w:after="40"/>
              <w:jc w:val="left"/>
              <w:rPr>
                <w:lang w:val="de-DE"/>
              </w:rPr>
            </w:pPr>
          </w:p>
        </w:tc>
        <w:tc>
          <w:tcPr>
            <w:tcW w:w="728" w:type="pct"/>
            <w:gridSpan w:val="2"/>
            <w:vMerge/>
          </w:tcPr>
          <w:p w14:paraId="309C282F" w14:textId="77777777" w:rsidR="00FF7799" w:rsidRPr="00E73F6F" w:rsidRDefault="00FF7799" w:rsidP="003C4869">
            <w:pPr>
              <w:pStyle w:val="StandardText"/>
              <w:spacing w:after="40"/>
              <w:jc w:val="left"/>
              <w:rPr>
                <w:lang w:val="de-DE"/>
              </w:rPr>
            </w:pPr>
          </w:p>
        </w:tc>
        <w:tc>
          <w:tcPr>
            <w:tcW w:w="813" w:type="pct"/>
          </w:tcPr>
          <w:p w14:paraId="71BE505D" w14:textId="77777777" w:rsidR="00FF7799" w:rsidRPr="00E73F6F" w:rsidRDefault="00FF7799" w:rsidP="003C4869">
            <w:pPr>
              <w:pStyle w:val="StandardText"/>
              <w:spacing w:after="40"/>
              <w:jc w:val="left"/>
              <w:rPr>
                <w:lang w:val="de-DE"/>
              </w:rPr>
            </w:pPr>
            <w:r w:rsidRPr="00E73F6F">
              <w:rPr>
                <w:spacing w:val="-2"/>
                <w:lang w:val="de-DE"/>
              </w:rPr>
              <w:t>Individua-</w:t>
            </w:r>
            <w:r w:rsidRPr="00E73F6F">
              <w:rPr>
                <w:spacing w:val="40"/>
                <w:lang w:val="de-DE"/>
              </w:rPr>
              <w:t xml:space="preserve"> </w:t>
            </w:r>
            <w:r w:rsidRPr="00E73F6F">
              <w:rPr>
                <w:spacing w:val="-2"/>
                <w:lang w:val="de-DE"/>
              </w:rPr>
              <w:t>lismus</w:t>
            </w:r>
          </w:p>
        </w:tc>
        <w:tc>
          <w:tcPr>
            <w:tcW w:w="713" w:type="pct"/>
            <w:gridSpan w:val="2"/>
            <w:vMerge/>
          </w:tcPr>
          <w:p w14:paraId="2D1DEFF4" w14:textId="77777777" w:rsidR="00FF7799" w:rsidRPr="00E73F6F" w:rsidRDefault="00FF7799" w:rsidP="003C4869">
            <w:pPr>
              <w:pStyle w:val="StandardText"/>
              <w:spacing w:after="40"/>
              <w:jc w:val="left"/>
              <w:rPr>
                <w:lang w:val="de-DE"/>
              </w:rPr>
            </w:pPr>
          </w:p>
        </w:tc>
      </w:tr>
      <w:tr w:rsidR="00FF7799" w:rsidRPr="00E73F6F" w14:paraId="2D42CECD" w14:textId="77777777" w:rsidTr="00FF00B7">
        <w:trPr>
          <w:gridAfter w:val="1"/>
          <w:wAfter w:w="12" w:type="pct"/>
          <w:trHeight w:val="599"/>
        </w:trPr>
        <w:tc>
          <w:tcPr>
            <w:tcW w:w="782" w:type="pct"/>
            <w:shd w:val="clear" w:color="auto" w:fill="FFF2CC" w:themeFill="accent4" w:themeFillTint="33"/>
          </w:tcPr>
          <w:p w14:paraId="2849AECA" w14:textId="77777777" w:rsidR="00FF7799" w:rsidRPr="00E73F6F" w:rsidRDefault="00FF7799" w:rsidP="003C4869">
            <w:pPr>
              <w:pStyle w:val="StandardText"/>
              <w:spacing w:after="40"/>
              <w:jc w:val="left"/>
              <w:rPr>
                <w:lang w:val="de-DE"/>
              </w:rPr>
            </w:pPr>
            <w:r w:rsidRPr="00E73F6F">
              <w:rPr>
                <w:spacing w:val="-2"/>
                <w:lang w:val="de-DE"/>
              </w:rPr>
              <w:t>Verhältnis</w:t>
            </w:r>
            <w:r w:rsidRPr="00E73F6F">
              <w:rPr>
                <w:spacing w:val="40"/>
                <w:lang w:val="de-DE"/>
              </w:rPr>
              <w:t xml:space="preserve"> </w:t>
            </w:r>
            <w:r w:rsidRPr="00E73F6F">
              <w:rPr>
                <w:lang w:val="de-DE"/>
              </w:rPr>
              <w:t>zum</w:t>
            </w:r>
            <w:r w:rsidRPr="00E73F6F">
              <w:rPr>
                <w:spacing w:val="-3"/>
                <w:lang w:val="de-DE"/>
              </w:rPr>
              <w:t xml:space="preserve"> </w:t>
            </w:r>
            <w:r w:rsidRPr="00E73F6F">
              <w:rPr>
                <w:spacing w:val="-2"/>
                <w:lang w:val="de-DE"/>
              </w:rPr>
              <w:t>Risiko</w:t>
            </w:r>
          </w:p>
        </w:tc>
        <w:tc>
          <w:tcPr>
            <w:tcW w:w="1015" w:type="pct"/>
          </w:tcPr>
          <w:p w14:paraId="2DC3420B" w14:textId="77777777" w:rsidR="00FF7799" w:rsidRPr="00E73F6F" w:rsidRDefault="00FF7799" w:rsidP="003C4869">
            <w:pPr>
              <w:pStyle w:val="StandardText"/>
              <w:spacing w:after="40"/>
              <w:jc w:val="left"/>
              <w:rPr>
                <w:lang w:val="de-DE"/>
              </w:rPr>
            </w:pPr>
          </w:p>
        </w:tc>
        <w:tc>
          <w:tcPr>
            <w:tcW w:w="950" w:type="pct"/>
          </w:tcPr>
          <w:p w14:paraId="36C95E7D" w14:textId="77777777" w:rsidR="00FF7799" w:rsidRPr="00E73F6F" w:rsidRDefault="00FF7799" w:rsidP="003C4869">
            <w:pPr>
              <w:pStyle w:val="StandardText"/>
              <w:spacing w:after="40"/>
              <w:jc w:val="left"/>
              <w:rPr>
                <w:lang w:val="de-DE"/>
              </w:rPr>
            </w:pPr>
          </w:p>
        </w:tc>
        <w:tc>
          <w:tcPr>
            <w:tcW w:w="721" w:type="pct"/>
          </w:tcPr>
          <w:p w14:paraId="663AA79E" w14:textId="77777777" w:rsidR="00FF7799" w:rsidRPr="00E73F6F" w:rsidRDefault="00FF7799" w:rsidP="003C4869">
            <w:pPr>
              <w:pStyle w:val="StandardText"/>
              <w:spacing w:after="40"/>
              <w:jc w:val="left"/>
              <w:rPr>
                <w:lang w:val="de-DE"/>
              </w:rPr>
            </w:pPr>
            <w:r w:rsidRPr="00E73F6F">
              <w:rPr>
                <w:spacing w:val="-2"/>
                <w:lang w:val="de-DE"/>
              </w:rPr>
              <w:t>Ur-Dilemma</w:t>
            </w:r>
            <w:r w:rsidRPr="00E73F6F">
              <w:rPr>
                <w:spacing w:val="40"/>
                <w:lang w:val="de-DE"/>
              </w:rPr>
              <w:t xml:space="preserve"> </w:t>
            </w:r>
            <w:r w:rsidRPr="00E73F6F">
              <w:rPr>
                <w:spacing w:val="-2"/>
                <w:lang w:val="de-DE"/>
              </w:rPr>
              <w:t>Konflikte</w:t>
            </w:r>
          </w:p>
        </w:tc>
        <w:tc>
          <w:tcPr>
            <w:tcW w:w="819" w:type="pct"/>
            <w:gridSpan w:val="2"/>
          </w:tcPr>
          <w:p w14:paraId="733D39CD" w14:textId="77777777" w:rsidR="00FF7799" w:rsidRPr="00E73F6F" w:rsidRDefault="00FF7799" w:rsidP="003C4869">
            <w:pPr>
              <w:pStyle w:val="StandardText"/>
              <w:spacing w:after="40"/>
              <w:jc w:val="left"/>
              <w:rPr>
                <w:lang w:val="de-DE"/>
              </w:rPr>
            </w:pPr>
            <w:r w:rsidRPr="00E73F6F">
              <w:rPr>
                <w:spacing w:val="-2"/>
                <w:lang w:val="de-DE"/>
              </w:rPr>
              <w:t>Ungewiss-</w:t>
            </w:r>
            <w:r w:rsidRPr="00E73F6F">
              <w:rPr>
                <w:spacing w:val="40"/>
                <w:lang w:val="de-DE"/>
              </w:rPr>
              <w:t xml:space="preserve"> </w:t>
            </w:r>
            <w:r w:rsidRPr="00E73F6F">
              <w:rPr>
                <w:spacing w:val="-2"/>
                <w:lang w:val="de-DE"/>
              </w:rPr>
              <w:t>heitsvermeidung</w:t>
            </w:r>
          </w:p>
        </w:tc>
        <w:tc>
          <w:tcPr>
            <w:tcW w:w="701" w:type="pct"/>
          </w:tcPr>
          <w:p w14:paraId="0EDF72C6" w14:textId="77777777" w:rsidR="00FF7799" w:rsidRPr="00E73F6F" w:rsidRDefault="00FF7799" w:rsidP="003C4869">
            <w:pPr>
              <w:pStyle w:val="StandardText"/>
              <w:spacing w:after="40"/>
              <w:jc w:val="left"/>
              <w:rPr>
                <w:lang w:val="de-DE"/>
              </w:rPr>
            </w:pPr>
          </w:p>
        </w:tc>
      </w:tr>
    </w:tbl>
    <w:p w14:paraId="77046323" w14:textId="77777777" w:rsidR="00FF7799" w:rsidRPr="00E73F6F" w:rsidRDefault="00FF7799" w:rsidP="003C4869">
      <w:pPr>
        <w:pStyle w:val="Quellen"/>
      </w:pPr>
      <w:r w:rsidRPr="00E73F6F">
        <w:t>Quelle:</w:t>
      </w:r>
      <w:r w:rsidRPr="00E73F6F">
        <w:rPr>
          <w:spacing w:val="-3"/>
        </w:rPr>
        <w:t xml:space="preserve"> </w:t>
      </w:r>
      <w:r w:rsidRPr="00E73F6F">
        <w:t>in Anlehnung an</w:t>
      </w:r>
      <w:r w:rsidRPr="00E73F6F">
        <w:rPr>
          <w:spacing w:val="-3"/>
        </w:rPr>
        <w:t xml:space="preserve"> </w:t>
      </w:r>
      <w:r w:rsidRPr="00E73F6F">
        <w:t>Clark (1990,</w:t>
      </w:r>
      <w:r w:rsidRPr="00E73F6F">
        <w:rPr>
          <w:spacing w:val="1"/>
        </w:rPr>
        <w:t xml:space="preserve"> </w:t>
      </w:r>
      <w:r w:rsidRPr="00E73F6F">
        <w:rPr>
          <w:spacing w:val="-2"/>
        </w:rPr>
        <w:t>S.73).</w:t>
      </w:r>
    </w:p>
    <w:p w14:paraId="7E5C3FA8" w14:textId="77777777" w:rsidR="00FF7799" w:rsidRPr="00E73F6F" w:rsidRDefault="00FF7799" w:rsidP="00862DBA">
      <w:pPr>
        <w:rPr>
          <w:sz w:val="24"/>
          <w:szCs w:val="24"/>
        </w:rPr>
      </w:pPr>
    </w:p>
    <w:p w14:paraId="3402F94E" w14:textId="77777777" w:rsidR="00FF7799" w:rsidRPr="00351740" w:rsidRDefault="00FF7799" w:rsidP="00E3776F">
      <w:pPr>
        <w:pStyle w:val="StandardText"/>
        <w:rPr>
          <w:sz w:val="22"/>
          <w:szCs w:val="22"/>
          <w:lang w:val="en-US"/>
        </w:rPr>
      </w:pPr>
      <w:r w:rsidRPr="00351740">
        <w:rPr>
          <w:b/>
          <w:i/>
          <w:sz w:val="22"/>
          <w:szCs w:val="22"/>
          <w:lang w:val="en-US"/>
        </w:rPr>
        <w:lastRenderedPageBreak/>
        <w:t>Literatur:</w:t>
      </w:r>
      <w:r w:rsidRPr="00351740">
        <w:rPr>
          <w:b/>
          <w:spacing w:val="-4"/>
          <w:sz w:val="22"/>
          <w:szCs w:val="22"/>
          <w:lang w:val="en-US"/>
        </w:rPr>
        <w:t xml:space="preserve"> </w:t>
      </w:r>
      <w:r w:rsidRPr="00351740">
        <w:rPr>
          <w:sz w:val="22"/>
          <w:szCs w:val="22"/>
          <w:lang w:val="en-US"/>
        </w:rPr>
        <w:t>Clark,</w:t>
      </w:r>
      <w:r w:rsidRPr="00351740">
        <w:rPr>
          <w:spacing w:val="-4"/>
          <w:sz w:val="22"/>
          <w:szCs w:val="22"/>
          <w:lang w:val="en-US"/>
        </w:rPr>
        <w:t xml:space="preserve"> </w:t>
      </w:r>
      <w:r w:rsidRPr="00351740">
        <w:rPr>
          <w:sz w:val="22"/>
          <w:szCs w:val="22"/>
          <w:lang w:val="en-US"/>
        </w:rPr>
        <w:t>T.</w:t>
      </w:r>
      <w:r w:rsidRPr="00351740">
        <w:rPr>
          <w:spacing w:val="-1"/>
          <w:sz w:val="22"/>
          <w:szCs w:val="22"/>
          <w:lang w:val="en-US"/>
        </w:rPr>
        <w:t xml:space="preserve"> </w:t>
      </w:r>
      <w:r w:rsidRPr="00351740">
        <w:rPr>
          <w:sz w:val="22"/>
          <w:szCs w:val="22"/>
          <w:lang w:val="en-US"/>
        </w:rPr>
        <w:t>(1990):</w:t>
      </w:r>
      <w:r w:rsidRPr="00351740">
        <w:rPr>
          <w:spacing w:val="-3"/>
          <w:sz w:val="22"/>
          <w:szCs w:val="22"/>
          <w:lang w:val="en-US"/>
        </w:rPr>
        <w:t xml:space="preserve"> </w:t>
      </w:r>
      <w:r w:rsidRPr="00351740">
        <w:rPr>
          <w:sz w:val="22"/>
          <w:szCs w:val="22"/>
          <w:lang w:val="en-US"/>
        </w:rPr>
        <w:t>International</w:t>
      </w:r>
      <w:r w:rsidRPr="00351740">
        <w:rPr>
          <w:spacing w:val="-3"/>
          <w:sz w:val="22"/>
          <w:szCs w:val="22"/>
          <w:lang w:val="en-US"/>
        </w:rPr>
        <w:t xml:space="preserve"> </w:t>
      </w:r>
      <w:r w:rsidRPr="00351740">
        <w:rPr>
          <w:sz w:val="22"/>
          <w:szCs w:val="22"/>
          <w:lang w:val="en-US"/>
        </w:rPr>
        <w:t>Marketing</w:t>
      </w:r>
      <w:r w:rsidRPr="00351740">
        <w:rPr>
          <w:spacing w:val="-3"/>
          <w:sz w:val="22"/>
          <w:szCs w:val="22"/>
          <w:lang w:val="en-US"/>
        </w:rPr>
        <w:t xml:space="preserve"> </w:t>
      </w:r>
      <w:r w:rsidRPr="00351740">
        <w:rPr>
          <w:sz w:val="22"/>
          <w:szCs w:val="22"/>
          <w:lang w:val="en-US"/>
        </w:rPr>
        <w:t>and</w:t>
      </w:r>
      <w:r w:rsidRPr="00351740">
        <w:rPr>
          <w:spacing w:val="-3"/>
          <w:sz w:val="22"/>
          <w:szCs w:val="22"/>
          <w:lang w:val="en-US"/>
        </w:rPr>
        <w:t xml:space="preserve"> </w:t>
      </w:r>
      <w:r w:rsidRPr="00351740">
        <w:rPr>
          <w:sz w:val="22"/>
          <w:szCs w:val="22"/>
          <w:lang w:val="en-US"/>
        </w:rPr>
        <w:t>National</w:t>
      </w:r>
      <w:r w:rsidRPr="00351740">
        <w:rPr>
          <w:spacing w:val="-3"/>
          <w:sz w:val="22"/>
          <w:szCs w:val="22"/>
          <w:lang w:val="en-US"/>
        </w:rPr>
        <w:t xml:space="preserve"> </w:t>
      </w:r>
      <w:r w:rsidRPr="00351740">
        <w:rPr>
          <w:sz w:val="22"/>
          <w:szCs w:val="22"/>
          <w:lang w:val="en-US"/>
        </w:rPr>
        <w:t>Character.</w:t>
      </w:r>
      <w:r w:rsidRPr="00351740">
        <w:rPr>
          <w:spacing w:val="-1"/>
          <w:sz w:val="22"/>
          <w:szCs w:val="22"/>
          <w:lang w:val="en-US"/>
        </w:rPr>
        <w:t xml:space="preserve"> </w:t>
      </w:r>
      <w:r w:rsidRPr="00351740">
        <w:rPr>
          <w:sz w:val="22"/>
          <w:szCs w:val="22"/>
          <w:lang w:val="en-US"/>
        </w:rPr>
        <w:t>A</w:t>
      </w:r>
      <w:r w:rsidRPr="00351740">
        <w:rPr>
          <w:spacing w:val="-3"/>
          <w:sz w:val="22"/>
          <w:szCs w:val="22"/>
          <w:lang w:val="en-US"/>
        </w:rPr>
        <w:t xml:space="preserve"> </w:t>
      </w:r>
      <w:r w:rsidRPr="00351740">
        <w:rPr>
          <w:sz w:val="22"/>
          <w:szCs w:val="22"/>
          <w:lang w:val="en-US"/>
        </w:rPr>
        <w:t>Review</w:t>
      </w:r>
      <w:r w:rsidRPr="00351740">
        <w:rPr>
          <w:spacing w:val="-5"/>
          <w:sz w:val="22"/>
          <w:szCs w:val="22"/>
          <w:lang w:val="en-US"/>
        </w:rPr>
        <w:t xml:space="preserve"> </w:t>
      </w:r>
      <w:r w:rsidRPr="00351740">
        <w:rPr>
          <w:sz w:val="22"/>
          <w:szCs w:val="22"/>
          <w:lang w:val="en-US"/>
        </w:rPr>
        <w:t>and</w:t>
      </w:r>
      <w:r w:rsidRPr="00351740">
        <w:rPr>
          <w:spacing w:val="40"/>
          <w:sz w:val="22"/>
          <w:szCs w:val="22"/>
          <w:lang w:val="en-US"/>
        </w:rPr>
        <w:t xml:space="preserve"> </w:t>
      </w:r>
      <w:r w:rsidRPr="00351740">
        <w:rPr>
          <w:sz w:val="22"/>
          <w:szCs w:val="22"/>
          <w:lang w:val="en-US"/>
        </w:rPr>
        <w:t>Proposal for an Integrative Theory, Journal of Marketing, 54(4): 66-79.</w:t>
      </w:r>
      <w:r w:rsidRPr="00351740">
        <w:rPr>
          <w:spacing w:val="40"/>
          <w:sz w:val="22"/>
          <w:szCs w:val="22"/>
          <w:lang w:val="en-US"/>
        </w:rPr>
        <w:t xml:space="preserve"> </w:t>
      </w:r>
      <w:r w:rsidRPr="00351740">
        <w:rPr>
          <w:sz w:val="22"/>
          <w:szCs w:val="22"/>
          <w:lang w:val="en-US"/>
        </w:rPr>
        <w:t>Eysenck, H.J.;</w:t>
      </w:r>
      <w:r w:rsidRPr="00351740">
        <w:rPr>
          <w:spacing w:val="40"/>
          <w:sz w:val="22"/>
          <w:szCs w:val="22"/>
          <w:lang w:val="en-US"/>
        </w:rPr>
        <w:t xml:space="preserve"> </w:t>
      </w:r>
      <w:r w:rsidRPr="00351740">
        <w:rPr>
          <w:sz w:val="22"/>
          <w:szCs w:val="22"/>
          <w:lang w:val="en-US"/>
        </w:rPr>
        <w:t>Eysenck, S.B.G. (1969): Structure and Measurement, London: Routledge &amp; Kegan Paul. Kluckhohn, F.R.; Strodtbeck, F.L. (1961): Variations in Value Orientation, Westport/CT:</w:t>
      </w:r>
      <w:r w:rsidRPr="00351740">
        <w:rPr>
          <w:spacing w:val="40"/>
          <w:sz w:val="22"/>
          <w:szCs w:val="22"/>
          <w:lang w:val="en-US"/>
        </w:rPr>
        <w:t xml:space="preserve"> </w:t>
      </w:r>
      <w:r w:rsidRPr="00351740">
        <w:rPr>
          <w:sz w:val="22"/>
          <w:szCs w:val="22"/>
          <w:lang w:val="en-US"/>
        </w:rPr>
        <w:t>Row, Peterson &amp; Company.</w:t>
      </w:r>
      <w:r w:rsidRPr="00351740">
        <w:rPr>
          <w:spacing w:val="40"/>
          <w:sz w:val="22"/>
          <w:szCs w:val="22"/>
          <w:lang w:val="en-US"/>
        </w:rPr>
        <w:t xml:space="preserve"> </w:t>
      </w:r>
      <w:r w:rsidRPr="00351740">
        <w:rPr>
          <w:sz w:val="22"/>
          <w:szCs w:val="22"/>
          <w:lang w:val="en-US"/>
        </w:rPr>
        <w:t>Hofstede, G. (1980): Cultures’s Consequences. International</w:t>
      </w:r>
      <w:r w:rsidRPr="00351740">
        <w:rPr>
          <w:spacing w:val="40"/>
          <w:sz w:val="22"/>
          <w:szCs w:val="22"/>
          <w:lang w:val="en-US"/>
        </w:rPr>
        <w:t xml:space="preserve"> </w:t>
      </w:r>
      <w:r w:rsidRPr="00351740">
        <w:rPr>
          <w:sz w:val="22"/>
          <w:szCs w:val="22"/>
          <w:lang w:val="en-US"/>
        </w:rPr>
        <w:t>Differences in Work-Related Values, Beverly Hills/CA: Sage.</w:t>
      </w:r>
      <w:r w:rsidRPr="00351740">
        <w:rPr>
          <w:spacing w:val="40"/>
          <w:sz w:val="22"/>
          <w:szCs w:val="22"/>
          <w:lang w:val="en-US"/>
        </w:rPr>
        <w:t xml:space="preserve"> </w:t>
      </w:r>
      <w:r w:rsidRPr="00351740">
        <w:rPr>
          <w:sz w:val="22"/>
          <w:szCs w:val="22"/>
          <w:lang w:val="en-US"/>
        </w:rPr>
        <w:t>Inkeles, A.; Levinson, D.J.</w:t>
      </w:r>
      <w:r w:rsidRPr="00351740">
        <w:rPr>
          <w:spacing w:val="40"/>
          <w:sz w:val="22"/>
          <w:szCs w:val="22"/>
          <w:lang w:val="en-US"/>
        </w:rPr>
        <w:t xml:space="preserve"> </w:t>
      </w:r>
      <w:r w:rsidRPr="00351740">
        <w:rPr>
          <w:sz w:val="22"/>
          <w:szCs w:val="22"/>
          <w:lang w:val="en-US"/>
        </w:rPr>
        <w:t>(1969):</w:t>
      </w:r>
      <w:r w:rsidRPr="00351740">
        <w:rPr>
          <w:spacing w:val="-4"/>
          <w:sz w:val="22"/>
          <w:szCs w:val="22"/>
          <w:lang w:val="en-US"/>
        </w:rPr>
        <w:t xml:space="preserve"> </w:t>
      </w:r>
      <w:r w:rsidRPr="00351740">
        <w:rPr>
          <w:sz w:val="22"/>
          <w:szCs w:val="22"/>
          <w:lang w:val="en-US"/>
        </w:rPr>
        <w:t>National</w:t>
      </w:r>
      <w:r w:rsidRPr="00351740">
        <w:rPr>
          <w:spacing w:val="-7"/>
          <w:sz w:val="22"/>
          <w:szCs w:val="22"/>
          <w:lang w:val="en-US"/>
        </w:rPr>
        <w:t xml:space="preserve"> </w:t>
      </w:r>
      <w:r w:rsidRPr="00351740">
        <w:rPr>
          <w:sz w:val="22"/>
          <w:szCs w:val="22"/>
          <w:lang w:val="en-US"/>
        </w:rPr>
        <w:t>Character.</w:t>
      </w:r>
      <w:r w:rsidRPr="00351740">
        <w:rPr>
          <w:spacing w:val="-7"/>
          <w:sz w:val="22"/>
          <w:szCs w:val="22"/>
          <w:lang w:val="en-US"/>
        </w:rPr>
        <w:t xml:space="preserve"> </w:t>
      </w:r>
      <w:r w:rsidRPr="00351740">
        <w:rPr>
          <w:sz w:val="22"/>
          <w:szCs w:val="22"/>
          <w:lang w:val="en-US"/>
        </w:rPr>
        <w:t>The</w:t>
      </w:r>
      <w:r w:rsidRPr="00351740">
        <w:rPr>
          <w:spacing w:val="-5"/>
          <w:sz w:val="22"/>
          <w:szCs w:val="22"/>
          <w:lang w:val="en-US"/>
        </w:rPr>
        <w:t xml:space="preserve"> </w:t>
      </w:r>
      <w:r w:rsidRPr="00351740">
        <w:rPr>
          <w:sz w:val="22"/>
          <w:szCs w:val="22"/>
          <w:lang w:val="en-US"/>
        </w:rPr>
        <w:t>Study</w:t>
      </w:r>
      <w:r w:rsidRPr="00351740">
        <w:rPr>
          <w:spacing w:val="-6"/>
          <w:sz w:val="22"/>
          <w:szCs w:val="22"/>
          <w:lang w:val="en-US"/>
        </w:rPr>
        <w:t xml:space="preserve"> </w:t>
      </w:r>
      <w:r w:rsidRPr="00351740">
        <w:rPr>
          <w:sz w:val="22"/>
          <w:szCs w:val="22"/>
          <w:lang w:val="en-US"/>
        </w:rPr>
        <w:t>of</w:t>
      </w:r>
      <w:r w:rsidRPr="00351740">
        <w:rPr>
          <w:spacing w:val="-10"/>
          <w:sz w:val="22"/>
          <w:szCs w:val="22"/>
          <w:lang w:val="en-US"/>
        </w:rPr>
        <w:t xml:space="preserve"> </w:t>
      </w:r>
      <w:r w:rsidRPr="00351740">
        <w:rPr>
          <w:sz w:val="22"/>
          <w:szCs w:val="22"/>
          <w:lang w:val="en-US"/>
        </w:rPr>
        <w:t>Modal</w:t>
      </w:r>
      <w:r w:rsidRPr="00351740">
        <w:rPr>
          <w:spacing w:val="-4"/>
          <w:sz w:val="22"/>
          <w:szCs w:val="22"/>
          <w:lang w:val="en-US"/>
        </w:rPr>
        <w:t xml:space="preserve"> </w:t>
      </w:r>
      <w:r w:rsidRPr="00351740">
        <w:rPr>
          <w:sz w:val="22"/>
          <w:szCs w:val="22"/>
          <w:lang w:val="en-US"/>
        </w:rPr>
        <w:t>Personality</w:t>
      </w:r>
      <w:r w:rsidRPr="00351740">
        <w:rPr>
          <w:spacing w:val="-6"/>
          <w:sz w:val="22"/>
          <w:szCs w:val="22"/>
          <w:lang w:val="en-US"/>
        </w:rPr>
        <w:t xml:space="preserve"> </w:t>
      </w:r>
      <w:r w:rsidRPr="00351740">
        <w:rPr>
          <w:sz w:val="22"/>
          <w:szCs w:val="22"/>
          <w:lang w:val="en-US"/>
        </w:rPr>
        <w:t>and</w:t>
      </w:r>
      <w:r w:rsidRPr="00351740">
        <w:rPr>
          <w:spacing w:val="-4"/>
          <w:sz w:val="22"/>
          <w:szCs w:val="22"/>
          <w:lang w:val="en-US"/>
        </w:rPr>
        <w:t xml:space="preserve"> </w:t>
      </w:r>
      <w:r w:rsidRPr="00351740">
        <w:rPr>
          <w:sz w:val="22"/>
          <w:szCs w:val="22"/>
          <w:lang w:val="en-US"/>
        </w:rPr>
        <w:t>Socio-Cultural</w:t>
      </w:r>
      <w:r w:rsidRPr="00351740">
        <w:rPr>
          <w:spacing w:val="-7"/>
          <w:sz w:val="22"/>
          <w:szCs w:val="22"/>
          <w:lang w:val="en-US"/>
        </w:rPr>
        <w:t xml:space="preserve"> </w:t>
      </w:r>
      <w:r w:rsidRPr="00351740">
        <w:rPr>
          <w:sz w:val="22"/>
          <w:szCs w:val="22"/>
          <w:lang w:val="en-US"/>
        </w:rPr>
        <w:t>Systems,</w:t>
      </w:r>
      <w:r w:rsidRPr="00351740">
        <w:rPr>
          <w:spacing w:val="-7"/>
          <w:sz w:val="22"/>
          <w:szCs w:val="22"/>
          <w:lang w:val="en-US"/>
        </w:rPr>
        <w:t xml:space="preserve"> </w:t>
      </w:r>
      <w:r w:rsidRPr="00351740">
        <w:rPr>
          <w:sz w:val="22"/>
          <w:szCs w:val="22"/>
          <w:lang w:val="en-US"/>
        </w:rPr>
        <w:t>in:</w:t>
      </w:r>
      <w:r w:rsidRPr="00351740">
        <w:rPr>
          <w:spacing w:val="40"/>
          <w:sz w:val="22"/>
          <w:szCs w:val="22"/>
          <w:lang w:val="en-US"/>
        </w:rPr>
        <w:t xml:space="preserve"> </w:t>
      </w:r>
      <w:r w:rsidRPr="00351740">
        <w:rPr>
          <w:sz w:val="22"/>
          <w:szCs w:val="22"/>
          <w:lang w:val="en-US"/>
        </w:rPr>
        <w:t>Lindzey, G.; Aronson, E. (Eds.), The Handbook of Social Psychology, Vol.4, 418-506,</w:t>
      </w:r>
      <w:r w:rsidRPr="00351740">
        <w:rPr>
          <w:spacing w:val="40"/>
          <w:sz w:val="22"/>
          <w:szCs w:val="22"/>
          <w:lang w:val="en-US"/>
        </w:rPr>
        <w:t xml:space="preserve"> </w:t>
      </w:r>
      <w:r w:rsidRPr="00351740">
        <w:rPr>
          <w:sz w:val="22"/>
          <w:szCs w:val="22"/>
          <w:lang w:val="en-US"/>
        </w:rPr>
        <w:t>Reading/MA: Addison-Wesley.</w:t>
      </w:r>
      <w:r w:rsidRPr="00351740">
        <w:rPr>
          <w:spacing w:val="40"/>
          <w:sz w:val="22"/>
          <w:szCs w:val="22"/>
          <w:lang w:val="en-US"/>
        </w:rPr>
        <w:t xml:space="preserve"> </w:t>
      </w:r>
      <w:r w:rsidRPr="00351740">
        <w:rPr>
          <w:sz w:val="22"/>
          <w:szCs w:val="22"/>
          <w:lang w:val="en-US"/>
        </w:rPr>
        <w:t>Peabody, D. (1985): National Characteristics. European</w:t>
      </w:r>
      <w:r w:rsidRPr="00351740">
        <w:rPr>
          <w:spacing w:val="40"/>
          <w:sz w:val="22"/>
          <w:szCs w:val="22"/>
          <w:lang w:val="en-US"/>
        </w:rPr>
        <w:t xml:space="preserve"> </w:t>
      </w:r>
      <w:r w:rsidRPr="00351740">
        <w:rPr>
          <w:sz w:val="22"/>
          <w:szCs w:val="22"/>
          <w:lang w:val="en-US"/>
        </w:rPr>
        <w:t>Monographs in Social Psychology, Cambridge: Cambridge University Press.</w:t>
      </w:r>
    </w:p>
    <w:p w14:paraId="7123071D" w14:textId="77777777" w:rsidR="00FF7799" w:rsidRPr="00E35FFF" w:rsidRDefault="00FF7799" w:rsidP="00E3776F">
      <w:pPr>
        <w:pStyle w:val="StandardText"/>
        <w:rPr>
          <w:lang w:val="en-US"/>
        </w:rPr>
      </w:pPr>
    </w:p>
    <w:p w14:paraId="67D4E54F" w14:textId="77777777" w:rsidR="00FF7799" w:rsidRPr="00700F23" w:rsidRDefault="00FF7799" w:rsidP="00700F23">
      <w:pPr>
        <w:keepNext/>
        <w:keepLines/>
        <w:spacing w:before="240"/>
        <w:jc w:val="both"/>
        <w:outlineLvl w:val="1"/>
        <w:rPr>
          <w:b/>
          <w:color w:val="2E74B5"/>
        </w:rPr>
      </w:pPr>
      <w:r w:rsidRPr="00700F23">
        <w:rPr>
          <w:b/>
          <w:color w:val="2E74B5"/>
        </w:rPr>
        <w:t>Kulturpsychologie</w:t>
      </w:r>
    </w:p>
    <w:p w14:paraId="6D6DF89D" w14:textId="77777777" w:rsidR="00FF7799" w:rsidRPr="00E73F6F" w:rsidRDefault="00FF7799" w:rsidP="00862DBA">
      <w:pPr>
        <w:widowControl/>
        <w:autoSpaceDE/>
        <w:autoSpaceDN/>
        <w:jc w:val="both"/>
        <w:rPr>
          <w:sz w:val="24"/>
          <w:szCs w:val="24"/>
        </w:rPr>
      </w:pPr>
      <w:r w:rsidRPr="00E73F6F">
        <w:rPr>
          <w:sz w:val="24"/>
          <w:szCs w:val="24"/>
        </w:rPr>
        <w:t xml:space="preserve">historische, z.T. humanistisch ausgerichtete Wissenschaft, die den einen „ganzheitlichen“ Untersuchungsansatz verfolgt. Ausgangspunkt der Analysen sind die subjektiven Erfahrungen der Menschen. Deren Verhalten wird als Konsequenz des Wirkens kultureller Normen betrachtet. Forschungsobjekte sind typische Ereignisse, damit verbundene situative Verhaltensmuster und der Zusammenhang zwischen kulturellem Wandel und individueller Entwicklung. </w:t>
      </w:r>
    </w:p>
    <w:p w14:paraId="2EE794F9" w14:textId="77777777" w:rsidR="00FF7799" w:rsidRPr="00E73F6F" w:rsidRDefault="00FF7799" w:rsidP="00862DBA">
      <w:pPr>
        <w:widowControl/>
        <w:autoSpaceDE/>
        <w:autoSpaceDN/>
        <w:jc w:val="both"/>
        <w:rPr>
          <w:sz w:val="24"/>
          <w:szCs w:val="24"/>
        </w:rPr>
      </w:pPr>
    </w:p>
    <w:p w14:paraId="054AEAB4" w14:textId="77777777" w:rsidR="00FF7799" w:rsidRPr="00351740" w:rsidRDefault="00FF7799" w:rsidP="00862DBA">
      <w:pPr>
        <w:widowControl/>
        <w:autoSpaceDE/>
        <w:autoSpaceDN/>
        <w:spacing w:after="120"/>
        <w:jc w:val="both"/>
        <w:rPr>
          <w:noProof/>
          <w:lang w:eastAsia="de-DE"/>
        </w:rPr>
      </w:pPr>
      <w:r w:rsidRPr="00351740">
        <w:rPr>
          <w:b/>
          <w:bCs/>
          <w:i/>
          <w:noProof/>
        </w:rPr>
        <w:t>Literatur</w:t>
      </w:r>
      <w:r w:rsidRPr="00351740">
        <w:rPr>
          <w:bCs/>
          <w:i/>
          <w:noProof/>
        </w:rPr>
        <w:t>:</w:t>
      </w:r>
      <w:r w:rsidRPr="00351740">
        <w:rPr>
          <w:bCs/>
          <w:noProof/>
        </w:rPr>
        <w:t xml:space="preserve"> </w:t>
      </w:r>
      <w:r w:rsidRPr="00351740">
        <w:rPr>
          <w:noProof/>
          <w:lang w:eastAsia="de-DE"/>
        </w:rPr>
        <w:t>Boesch, E.E.; Straub, J. (2007): Kulturpsychologie. Prinzipien, Orientierungen, Konzeptionen, in: Kornadt, H.-J.; Trommsdorff, G. (Hrsg.), Kulturvergleichende Psychologie, Enzyklopädie der Psychologie, Serie VII: Themenbereich C »Theorie und Forschung«, 25-95, Göttingen: Hogrefe.</w:t>
      </w:r>
    </w:p>
    <w:p w14:paraId="261AB17E" w14:textId="77777777" w:rsidR="00FF7799" w:rsidRPr="00E73F6F" w:rsidRDefault="00FF7799" w:rsidP="00862DBA">
      <w:pPr>
        <w:widowControl/>
        <w:autoSpaceDE/>
        <w:autoSpaceDN/>
        <w:spacing w:after="120"/>
        <w:jc w:val="both"/>
        <w:rPr>
          <w:noProof/>
          <w:sz w:val="24"/>
          <w:szCs w:val="24"/>
          <w:lang w:eastAsia="de-DE"/>
        </w:rPr>
      </w:pPr>
    </w:p>
    <w:p w14:paraId="6917E7CB" w14:textId="77777777" w:rsidR="00FF7799" w:rsidRPr="00700F23" w:rsidRDefault="00FF7799" w:rsidP="00700F23">
      <w:pPr>
        <w:keepNext/>
        <w:keepLines/>
        <w:spacing w:before="240"/>
        <w:jc w:val="both"/>
        <w:outlineLvl w:val="1"/>
        <w:rPr>
          <w:b/>
          <w:color w:val="2E74B5"/>
        </w:rPr>
      </w:pPr>
      <w:r w:rsidRPr="00700F23">
        <w:rPr>
          <w:b/>
          <w:color w:val="2E74B5"/>
        </w:rPr>
        <w:t>Kulturraum</w:t>
      </w:r>
    </w:p>
    <w:p w14:paraId="5524395A" w14:textId="77777777" w:rsidR="00FF7799" w:rsidRPr="00E73F6F" w:rsidRDefault="00FF7799" w:rsidP="00E3776F">
      <w:pPr>
        <w:pStyle w:val="StandardText"/>
      </w:pPr>
      <w:r w:rsidRPr="00E73F6F">
        <w:t>Gesamtheit</w:t>
      </w:r>
      <w:r w:rsidRPr="00E73F6F">
        <w:rPr>
          <w:spacing w:val="-2"/>
        </w:rPr>
        <w:t xml:space="preserve"> </w:t>
      </w:r>
      <w:r w:rsidRPr="00E73F6F">
        <w:t>von</w:t>
      </w:r>
      <w:r w:rsidRPr="00E73F6F">
        <w:rPr>
          <w:spacing w:val="-2"/>
        </w:rPr>
        <w:t xml:space="preserve"> </w:t>
      </w:r>
      <w:r w:rsidRPr="00E73F6F">
        <w:t>Landeskulturen,</w:t>
      </w:r>
      <w:r w:rsidRPr="00E73F6F">
        <w:rPr>
          <w:spacing w:val="-4"/>
        </w:rPr>
        <w:t xml:space="preserve"> </w:t>
      </w:r>
      <w:r w:rsidRPr="00E73F6F">
        <w:t>in</w:t>
      </w:r>
      <w:r w:rsidRPr="00E73F6F">
        <w:rPr>
          <w:spacing w:val="-1"/>
        </w:rPr>
        <w:t xml:space="preserve"> </w:t>
      </w:r>
      <w:r w:rsidRPr="00E73F6F">
        <w:t>denen die</w:t>
      </w:r>
      <w:r w:rsidRPr="00E73F6F">
        <w:rPr>
          <w:spacing w:val="-2"/>
        </w:rPr>
        <w:t xml:space="preserve"> </w:t>
      </w:r>
      <w:r w:rsidRPr="00E73F6F">
        <w:t>gleichen</w:t>
      </w:r>
      <w:r w:rsidR="00351740">
        <w:rPr>
          <w:spacing w:val="-3"/>
        </w:rPr>
        <w:t xml:space="preserve"> </w:t>
      </w:r>
      <w:r w:rsidR="00351740">
        <w:rPr>
          <w:spacing w:val="-3"/>
        </w:rPr>
        <w:sym w:font="Symbol" w:char="F0DE"/>
      </w:r>
      <w:r w:rsidRPr="00E73F6F">
        <w:rPr>
          <w:spacing w:val="-3"/>
        </w:rPr>
        <w:t xml:space="preserve"> </w:t>
      </w:r>
      <w:r w:rsidRPr="00E73F6F">
        <w:t>Kulturstandards</w:t>
      </w:r>
      <w:r w:rsidRPr="00E73F6F">
        <w:rPr>
          <w:spacing w:val="-1"/>
        </w:rPr>
        <w:t xml:space="preserve"> </w:t>
      </w:r>
      <w:r w:rsidRPr="00E73F6F">
        <w:rPr>
          <w:spacing w:val="-2"/>
        </w:rPr>
        <w:t>gelten</w:t>
      </w:r>
      <w:r w:rsidR="00351740">
        <w:t xml:space="preserve"> (</w:t>
      </w:r>
      <w:r w:rsidR="00351740">
        <w:sym w:font="Symbol" w:char="F0DE"/>
      </w:r>
      <w:r w:rsidRPr="00E73F6F">
        <w:t xml:space="preserve"> geographisch-konfessionelle Segmentierung: die Civilizations) (vgl. Abb. 1).</w:t>
      </w:r>
    </w:p>
    <w:p w14:paraId="69B90D08" w14:textId="77777777" w:rsidR="00FF7799" w:rsidRPr="00C76DC3" w:rsidRDefault="00FF7799" w:rsidP="00E3776F">
      <w:pPr>
        <w:pStyle w:val="StandardText"/>
        <w:rPr>
          <w:i/>
          <w:iCs/>
        </w:rPr>
      </w:pPr>
    </w:p>
    <w:p w14:paraId="7B35D5DA" w14:textId="77777777" w:rsidR="00FF7799" w:rsidRPr="00C76DC3" w:rsidRDefault="00FF7799" w:rsidP="00E3776F">
      <w:pPr>
        <w:pStyle w:val="BeschriftungTab"/>
        <w:rPr>
          <w:i/>
          <w:iCs/>
        </w:rPr>
      </w:pPr>
      <w:r w:rsidRPr="00C76DC3">
        <w:rPr>
          <w:i/>
          <w:iCs/>
        </w:rPr>
        <w:t xml:space="preserve">Abb. 1: Kulturräume </w:t>
      </w:r>
      <w:r w:rsidR="00342772" w:rsidRPr="00C76DC3">
        <w:rPr>
          <w:i/>
          <w:iCs/>
        </w:rPr>
        <w:t>innerhalb</w:t>
      </w:r>
      <w:r w:rsidRPr="00C76DC3">
        <w:rPr>
          <w:i/>
          <w:iCs/>
        </w:rPr>
        <w:t xml:space="preserve"> der </w:t>
      </w:r>
      <w:r w:rsidR="00342772" w:rsidRPr="00C76DC3">
        <w:rPr>
          <w:i/>
          <w:iCs/>
        </w:rPr>
        <w:t>Zivilisation</w:t>
      </w:r>
    </w:p>
    <w:p w14:paraId="5B5A0641" w14:textId="77777777" w:rsidR="00D46779" w:rsidRPr="00E73F6F" w:rsidRDefault="00D46779" w:rsidP="00E3776F">
      <w:pPr>
        <w:pStyle w:val="BeschriftungTab"/>
        <w:rPr>
          <w:szCs w:val="24"/>
        </w:rPr>
      </w:pPr>
    </w:p>
    <w:p w14:paraId="27AEC168" w14:textId="77777777" w:rsidR="00FF7799" w:rsidRPr="00E73F6F" w:rsidRDefault="00EA5D3D" w:rsidP="00E3776F">
      <w:pPr>
        <w:widowControl/>
        <w:autoSpaceDE/>
        <w:autoSpaceDN/>
        <w:jc w:val="center"/>
        <w:rPr>
          <w:sz w:val="24"/>
          <w:szCs w:val="24"/>
        </w:rPr>
      </w:pPr>
      <w:r>
        <w:rPr>
          <w:noProof/>
          <w:sz w:val="24"/>
          <w:szCs w:val="24"/>
          <w:lang w:eastAsia="de-DE"/>
        </w:rPr>
        <w:lastRenderedPageBreak/>
        <w:drawing>
          <wp:inline distT="0" distB="0" distL="0" distR="0" wp14:anchorId="78D305F6" wp14:editId="52989E9C">
            <wp:extent cx="4761230" cy="4352925"/>
            <wp:effectExtent l="0" t="0" r="1270" b="0"/>
            <wp:docPr id="94" name="Grafik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4761230" cy="4352925"/>
                    </a:xfrm>
                    <a:prstGeom prst="rect">
                      <a:avLst/>
                    </a:prstGeom>
                    <a:noFill/>
                  </pic:spPr>
                </pic:pic>
              </a:graphicData>
            </a:graphic>
          </wp:inline>
        </w:drawing>
      </w:r>
    </w:p>
    <w:p w14:paraId="592C08D8" w14:textId="77777777" w:rsidR="00E1375A" w:rsidRPr="007F69DA" w:rsidRDefault="00E1375A" w:rsidP="00E1375A">
      <w:pPr>
        <w:keepNext/>
        <w:keepLines/>
        <w:spacing w:before="240"/>
        <w:jc w:val="both"/>
        <w:outlineLvl w:val="1"/>
        <w:rPr>
          <w:b/>
          <w:color w:val="2E74B5"/>
        </w:rPr>
      </w:pPr>
      <w:bookmarkStart w:id="70" w:name="_Toc413251431"/>
      <w:bookmarkStart w:id="71" w:name="_Toc413251497"/>
      <w:r w:rsidRPr="007F69DA">
        <w:rPr>
          <w:b/>
          <w:color w:val="2E74B5"/>
        </w:rPr>
        <w:t>Kulturrelativismus</w:t>
      </w:r>
    </w:p>
    <w:p w14:paraId="095C2ACD" w14:textId="77777777" w:rsidR="00E1375A" w:rsidRDefault="00E1375A" w:rsidP="00E1375A">
      <w:pPr>
        <w:pStyle w:val="Literatur"/>
        <w:numPr>
          <w:ilvl w:val="0"/>
          <w:numId w:val="0"/>
        </w:numPr>
        <w:spacing w:line="240" w:lineRule="auto"/>
        <w:rPr>
          <w:sz w:val="24"/>
          <w:szCs w:val="24"/>
        </w:rPr>
      </w:pPr>
      <w:r w:rsidRPr="007F69DA">
        <w:rPr>
          <w:sz w:val="24"/>
          <w:szCs w:val="24"/>
        </w:rPr>
        <w:t>geht von der Gleichwertigkeit aller Kulturen aus</w:t>
      </w:r>
    </w:p>
    <w:p w14:paraId="28A44743" w14:textId="77777777" w:rsidR="00E1375A" w:rsidRPr="007F69DA" w:rsidRDefault="00E1375A" w:rsidP="00E1375A">
      <w:pPr>
        <w:pStyle w:val="Literatur"/>
        <w:numPr>
          <w:ilvl w:val="0"/>
          <w:numId w:val="0"/>
        </w:numPr>
        <w:spacing w:line="240" w:lineRule="auto"/>
        <w:rPr>
          <w:sz w:val="24"/>
          <w:szCs w:val="24"/>
        </w:rPr>
      </w:pPr>
    </w:p>
    <w:p w14:paraId="235CCBFE" w14:textId="10127B29" w:rsidR="00FF7799" w:rsidRPr="00E1375A" w:rsidRDefault="00FF7799" w:rsidP="00E1375A">
      <w:pPr>
        <w:keepNext/>
        <w:keepLines/>
        <w:spacing w:before="240"/>
        <w:jc w:val="both"/>
        <w:outlineLvl w:val="1"/>
        <w:rPr>
          <w:b/>
          <w:color w:val="2E74B5"/>
        </w:rPr>
      </w:pPr>
      <w:r w:rsidRPr="00E1375A">
        <w:rPr>
          <w:b/>
          <w:color w:val="2E74B5"/>
        </w:rPr>
        <w:t>Kulturschock</w:t>
      </w:r>
      <w:bookmarkEnd w:id="70"/>
      <w:bookmarkEnd w:id="71"/>
      <w:r w:rsidR="00E1375A">
        <w:rPr>
          <w:b/>
          <w:color w:val="2E74B5"/>
        </w:rPr>
        <w:t xml:space="preserve"> (</w:t>
      </w:r>
      <w:r w:rsidR="00043AE9">
        <w:rPr>
          <w:b/>
          <w:color w:val="2E74B5"/>
        </w:rPr>
        <w:t>I)</w:t>
      </w:r>
    </w:p>
    <w:p w14:paraId="3A0AA059" w14:textId="77777777" w:rsidR="00FF7799" w:rsidRPr="00E73F6F" w:rsidRDefault="00FF7799" w:rsidP="00E3776F">
      <w:pPr>
        <w:pStyle w:val="StandardText"/>
      </w:pPr>
      <w:bookmarkStart w:id="72" w:name="_Toc413251426"/>
      <w:bookmarkStart w:id="73" w:name="_Toc413251492"/>
      <w:r w:rsidRPr="00E73F6F">
        <w:t>Phase der Auseinandersetzung der Betriebswirtschaftslehre mit dem Phänomen „Kultur“</w:t>
      </w:r>
      <w:bookmarkEnd w:id="72"/>
      <w:bookmarkEnd w:id="73"/>
      <w:r w:rsidRPr="00E73F6F">
        <w:t xml:space="preserve">. Im Zuge der Globalisierung erweiterten viele Unternehmen ihr geographisches Geschäftsfeld wie auch ihr strategisches Repertoire: Anstatt, wie noch in den 1960er- und 1970er-Jahren, sich damit zu begnügen, in nahegelegene (z.B. Niederlande, Italien) oder fernere, aber vertraute Märkte (z.B. USA) zu exportieren, wurden nun auch fremdartige Märkte erschlossen (z.B. Japan). Dabei kamen erstmals in großem Umfang Markterschließungsstrategien zum Einsatz, denen ein hohes Risiko innewohnt und die unmittelbare Interaktion mit ausländischen Kunden, Mitarbeitern, Behörden, Medien etc. erfordern (z.B. </w:t>
      </w:r>
      <w:r w:rsidR="00AA49CE">
        <w:sym w:font="Symbol" w:char="F0DE"/>
      </w:r>
      <w:r w:rsidR="00AA49CE">
        <w:t xml:space="preserve"> </w:t>
      </w:r>
      <w:r w:rsidRPr="00E73F6F">
        <w:t>Joint Venture, Direktinvestition) – und folglich von den eigenen Mit</w:t>
      </w:r>
      <w:r w:rsidR="00060755">
        <w:t>arbeitern kulturelle Kompetenz (</w:t>
      </w:r>
      <w:r w:rsidR="00060755">
        <w:sym w:font="Symbol" w:char="F0DE"/>
      </w:r>
      <w:r w:rsidR="00060755">
        <w:t xml:space="preserve"> Kompetenz, interkulturelle</w:t>
      </w:r>
      <w:r w:rsidRPr="00E73F6F">
        <w:t>).</w:t>
      </w:r>
    </w:p>
    <w:p w14:paraId="44B63E57" w14:textId="77777777" w:rsidR="00FF7799" w:rsidRPr="00E73F6F" w:rsidRDefault="00FF7799" w:rsidP="00E3776F">
      <w:pPr>
        <w:pStyle w:val="StandardText"/>
      </w:pPr>
      <w:r w:rsidRPr="00E73F6F">
        <w:t>Führende Vertreter der Betriebswirtschaftslehre plädierten aber nach wie vor für den kulturfreien Ansatz (bzw. ver</w:t>
      </w:r>
      <w:r w:rsidRPr="00E73F6F">
        <w:softHyphen/>
        <w:t>folgten ihn, ohne sich dessen bewusst zu sein). Da dieser die vielfältigen Umfeldeinflüsse ignoriert und damit wesentliche Bedingungen des Verhaltens von An</w:t>
      </w:r>
      <w:r w:rsidRPr="00E73F6F">
        <w:softHyphen/>
        <w:t xml:space="preserve">bietern und Nachfragern ausklammert, beschränkt er die </w:t>
      </w:r>
      <w:r w:rsidRPr="00E73F6F">
        <w:rPr>
          <w:bCs/>
        </w:rPr>
        <w:t>Erklärungskraft</w:t>
      </w:r>
      <w:r w:rsidRPr="00E73F6F">
        <w:t xml:space="preserve"> von Theorien erheblich. Thesen, wie sie in der betriebswirtschaftlichen Entscheidungstheorie damals gang und gäbe waren, zeugen von einer vergleichsweise naiven Phase der Forschung bzw. Theoriebildung, welche die Realität weitgehend ausblendet: etwa dass Manager umso bessere Entscheidungen fällen, je mehr Informationen ihnen zur Verfügung stehen (z.B. Witte 1972). Tatsächlich beklagten schon damals viele Manager die Gleichzeitigkeit des Mangels an entscheidungsrelevanten Informationen und von Informationsüberfluss. Gemäß einer 1998 in elf Ländern durchgeführten </w:t>
      </w:r>
      <w:r w:rsidRPr="00E73F6F">
        <w:lastRenderedPageBreak/>
        <w:t>Studie empfand vor allem im angelsächsischen und im ostasiatischen Raum ein nennenswerter Anteil der damals befragten 1.072 Führungskräfte dieses Dilemma. So fühlten sich 36% der befragten irischen Manager zum Zeitpunkt der Erhebung von der täglichen „</w:t>
      </w:r>
      <w:r w:rsidRPr="00E73F6F">
        <w:rPr>
          <w:bCs/>
        </w:rPr>
        <w:t>Informationsflut“</w:t>
      </w:r>
      <w:r w:rsidRPr="00E73F6F">
        <w:t xml:space="preserve"> über</w:t>
      </w:r>
      <w:r w:rsidRPr="00E73F6F">
        <w:softHyphen/>
        <w:t>fordert (vgl. Abb. 1).</w:t>
      </w:r>
    </w:p>
    <w:p w14:paraId="1E825870" w14:textId="77777777" w:rsidR="00FF7799" w:rsidRPr="006E504E" w:rsidRDefault="00FF7799" w:rsidP="00E3776F">
      <w:pPr>
        <w:pStyle w:val="StandardText"/>
        <w:rPr>
          <w:i/>
          <w:iCs/>
        </w:rPr>
      </w:pPr>
    </w:p>
    <w:p w14:paraId="09878972" w14:textId="310653DC" w:rsidR="00FF7799" w:rsidRPr="006E504E" w:rsidRDefault="00FF7799" w:rsidP="00E3776F">
      <w:pPr>
        <w:pStyle w:val="BeschriftungTab"/>
        <w:rPr>
          <w:i/>
          <w:iCs/>
        </w:rPr>
      </w:pPr>
      <w:r w:rsidRPr="006E504E">
        <w:rPr>
          <w:i/>
          <w:iCs/>
        </w:rPr>
        <w:t xml:space="preserve">Abb. </w:t>
      </w:r>
      <w:r w:rsidR="006E504E">
        <w:rPr>
          <w:i/>
          <w:iCs/>
        </w:rPr>
        <w:t>1:</w:t>
      </w:r>
      <w:r w:rsidRPr="006E504E">
        <w:rPr>
          <w:i/>
          <w:iCs/>
        </w:rPr>
        <w:t xml:space="preserve"> Gefühlte Informationsüberlastung </w:t>
      </w:r>
    </w:p>
    <w:p w14:paraId="2FB09C34" w14:textId="77777777" w:rsidR="00D46779" w:rsidRPr="00E73F6F" w:rsidRDefault="00D46779" w:rsidP="00E3776F">
      <w:pPr>
        <w:pStyle w:val="BeschriftungTab"/>
      </w:pPr>
      <w:r>
        <w:rPr>
          <w:noProof/>
        </w:rPr>
        <w:drawing>
          <wp:inline distT="0" distB="0" distL="0" distR="0" wp14:anchorId="4409A468" wp14:editId="40F50C89">
            <wp:extent cx="5598701" cy="3486150"/>
            <wp:effectExtent l="0" t="0" r="2540" b="0"/>
            <wp:docPr id="78" name="Grafik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5606651" cy="3491100"/>
                    </a:xfrm>
                    <a:prstGeom prst="rect">
                      <a:avLst/>
                    </a:prstGeom>
                    <a:noFill/>
                  </pic:spPr>
                </pic:pic>
              </a:graphicData>
            </a:graphic>
          </wp:inline>
        </w:drawing>
      </w:r>
    </w:p>
    <w:p w14:paraId="25653CCD" w14:textId="77777777" w:rsidR="00FF7799" w:rsidRPr="00E73F6F" w:rsidRDefault="00FF7799" w:rsidP="00E3776F">
      <w:pPr>
        <w:pStyle w:val="Quellen"/>
      </w:pPr>
      <w:r w:rsidRPr="00E73F6F">
        <w:t>Quelle:</w:t>
      </w:r>
      <w:r w:rsidRPr="00E73F6F">
        <w:tab/>
        <w:t>Reuters Limited, in: Die Welt (22.2.1999), S.20.</w:t>
      </w:r>
    </w:p>
    <w:p w14:paraId="37DA4A02" w14:textId="77777777" w:rsidR="00FF7799" w:rsidRPr="00E73F6F" w:rsidRDefault="00FF7799" w:rsidP="00E3776F">
      <w:pPr>
        <w:pStyle w:val="StandardText"/>
      </w:pPr>
    </w:p>
    <w:p w14:paraId="4C55F7C8" w14:textId="77777777" w:rsidR="00FF7799" w:rsidRPr="00E73F6F" w:rsidRDefault="00FF7799" w:rsidP="00E3776F">
      <w:pPr>
        <w:pStyle w:val="StandardText"/>
      </w:pPr>
      <w:r w:rsidRPr="00E73F6F">
        <w:t xml:space="preserve">Die vermehrte Konfrontation mit der andersartigen Realität in wichtigen Auslandsmärkten löste in der Betriebswirtschaftslehre einen </w:t>
      </w:r>
      <w:r w:rsidRPr="00E73F6F">
        <w:rPr>
          <w:bCs/>
        </w:rPr>
        <w:t xml:space="preserve">Kulturschock aus (vgl. </w:t>
      </w:r>
      <w:r w:rsidRPr="00E73F6F">
        <w:t xml:space="preserve">Meissner 1997, S.2). Er beeinflusste im weiteren Verlauf der Entwicklung Teile des betriebswirtschaftlichen Denkens und des Theoriengebäudes dieser Disziplin. Der damit verbundene </w:t>
      </w:r>
      <w:r w:rsidRPr="00E73F6F">
        <w:rPr>
          <w:bCs/>
        </w:rPr>
        <w:t>Paradigmenwechsel</w:t>
      </w:r>
      <w:r w:rsidRPr="00E73F6F">
        <w:t xml:space="preserve"> befreite die Betriebswirtschaftslehre von ihrer einseitig-reduktioni</w:t>
      </w:r>
      <w:r w:rsidRPr="00E73F6F">
        <w:softHyphen/>
        <w:t>stischen, bemüht naturwissenschaftlichen Orien</w:t>
      </w:r>
      <w:r w:rsidRPr="00E73F6F">
        <w:softHyphen/>
        <w:t xml:space="preserve">tierung und erschloss ihr die Komplexität und Vielfalt realer Denk- und Verhaltensweisen. </w:t>
      </w:r>
    </w:p>
    <w:p w14:paraId="190F9152" w14:textId="77777777" w:rsidR="00FF7799" w:rsidRPr="00E73F6F" w:rsidRDefault="00FF7799" w:rsidP="00E3776F">
      <w:pPr>
        <w:pStyle w:val="StandardText"/>
      </w:pPr>
      <w:r w:rsidRPr="00E73F6F">
        <w:t>Seitdem entwickelten sich in Theorie und Unternehmenspraxis vielfältige Mischformen mit kulturistischen und universalistischen Elementen. Produktionstechniken etwa sind zumeist ‘culture free‘, nicht jedoch die Schulung von Mitarbeitern mit unterschiedlichem kulturellen Hintergrund, welche die Maschinen bedienen bzw. die Produktionsprozesse steuern (= ‘culture bound‘; vgl. Schmid 1996, S.274). Auf noch komplexere Weise interagieren Kulturabhängiges und Kulturübergreifendes in Gemeinschaftsunternehmen. Ein deutsch-polnisches Joint Ventures etwa steht weder in der Tradition des deutschen noch in der Tradition des polnischen Ursprungsunternehmens. Erforderlich ist eine Drittlandkultur, die sich häufig aber erst dann entwickeln kann, wenn die Partner einen Kulturschock erleiden und daraufhin bereit sind, einen Lern- und Integrationsprozess zu vollziehen (vgl. Meissner 1997, S.10).</w:t>
      </w:r>
    </w:p>
    <w:p w14:paraId="0546AC38" w14:textId="77777777" w:rsidR="00FF7799" w:rsidRPr="00E73F6F" w:rsidRDefault="00FF7799" w:rsidP="00E3776F">
      <w:pPr>
        <w:pStyle w:val="StandardText"/>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85" w:type="dxa"/>
          <w:right w:w="85" w:type="dxa"/>
        </w:tblCellMar>
        <w:tblLook w:val="0000" w:firstRow="0" w:lastRow="0" w:firstColumn="0" w:lastColumn="0" w:noHBand="0" w:noVBand="0"/>
      </w:tblPr>
      <w:tblGrid>
        <w:gridCol w:w="9062"/>
      </w:tblGrid>
      <w:tr w:rsidR="00FF7799" w:rsidRPr="00E73F6F" w14:paraId="545CA2CF" w14:textId="77777777" w:rsidTr="00426B9F">
        <w:tc>
          <w:tcPr>
            <w:tcW w:w="5000" w:type="pct"/>
            <w:shd w:val="clear" w:color="auto" w:fill="DEEAF6" w:themeFill="accent1" w:themeFillTint="33"/>
          </w:tcPr>
          <w:p w14:paraId="03498104" w14:textId="508E6392" w:rsidR="00FF7799" w:rsidRPr="00E73F6F" w:rsidRDefault="00FF7799" w:rsidP="00700F23">
            <w:pPr>
              <w:pStyle w:val="Standardklein"/>
              <w:spacing w:before="120"/>
              <w:jc w:val="center"/>
              <w:rPr>
                <w:b/>
              </w:rPr>
            </w:pPr>
            <w:r w:rsidRPr="00E73F6F">
              <w:rPr>
                <w:b/>
              </w:rPr>
              <w:t>Betriebswirtschaftslehre als spezielle Kulturwissenschaft</w:t>
            </w:r>
          </w:p>
          <w:p w14:paraId="35E7316C" w14:textId="77777777" w:rsidR="00FF7799" w:rsidRPr="00E73F6F" w:rsidRDefault="00FF7799" w:rsidP="00700F23">
            <w:pPr>
              <w:pStyle w:val="Standardklein"/>
              <w:jc w:val="center"/>
            </w:pPr>
          </w:p>
          <w:p w14:paraId="015FD435" w14:textId="77777777" w:rsidR="00FF7799" w:rsidRPr="00E73F6F" w:rsidRDefault="00FF7799" w:rsidP="0096535B">
            <w:pPr>
              <w:pStyle w:val="Standardklein"/>
              <w:spacing w:after="120"/>
            </w:pPr>
            <w:r w:rsidRPr="00E73F6F">
              <w:lastRenderedPageBreak/>
              <w:t>„Es ist unbedingt erforderlich, dass die BWL eine sehr viel höhere Sensibilität gegen</w:t>
            </w:r>
            <w:r w:rsidRPr="00E73F6F">
              <w:softHyphen/>
              <w:t>über kulturellen Einflussfaktoren entwickelt und diese in die Informations-, Entscheidungs- und Gestaltungskonzepte sowie in die betriebswirtschaftliche Theorienbildung einbezieht. Der Kulturschock bewirkt, dass sich der Prozess zur Psychologisierung und zur Soziologisierung verstärken wird, ob dies den Betriebswirten nun passt oder nicht. Die BWL wird vor dem Hintergrund dieser Entwicklung ihr theoretisches Selbstverständnis in</w:t>
            </w:r>
            <w:r w:rsidRPr="00E73F6F">
              <w:softHyphen/>
              <w:t>soweit ändern, als sie dann nicht mehr eine angewandte Naturwissenschaft darstellt, sondern zu einer spezialisierten Kulturwissenschaft wird, die gerade in dieser Ausformung ein wichtiges Zukunftspotenzial sowohl für das Fach, aber darüber hinaus auch für die Unternehmen und für die Gesellschaft insge</w:t>
            </w:r>
            <w:r w:rsidRPr="00E73F6F">
              <w:softHyphen/>
              <w:t>samt bildet“ (Meissner 1997, S.11f.).</w:t>
            </w:r>
          </w:p>
        </w:tc>
      </w:tr>
    </w:tbl>
    <w:p w14:paraId="00DEC9D4" w14:textId="77777777" w:rsidR="00FF7799" w:rsidRPr="00E73F6F" w:rsidRDefault="00FF7799" w:rsidP="0096535B">
      <w:pPr>
        <w:pStyle w:val="StandardText"/>
      </w:pPr>
    </w:p>
    <w:p w14:paraId="7DF174CC" w14:textId="77777777" w:rsidR="00FF7799" w:rsidRPr="00426B9F" w:rsidRDefault="00FF7799" w:rsidP="0096535B">
      <w:pPr>
        <w:pStyle w:val="StandardText"/>
        <w:rPr>
          <w:sz w:val="22"/>
          <w:szCs w:val="22"/>
        </w:rPr>
      </w:pPr>
      <w:r w:rsidRPr="00426B9F">
        <w:rPr>
          <w:b/>
          <w:i/>
          <w:sz w:val="22"/>
          <w:szCs w:val="22"/>
        </w:rPr>
        <w:t>Literatur</w:t>
      </w:r>
      <w:r w:rsidRPr="00426B9F">
        <w:rPr>
          <w:i/>
          <w:sz w:val="22"/>
          <w:szCs w:val="22"/>
        </w:rPr>
        <w:t>:</w:t>
      </w:r>
      <w:r w:rsidRPr="00426B9F">
        <w:rPr>
          <w:sz w:val="22"/>
          <w:szCs w:val="22"/>
        </w:rPr>
        <w:t xml:space="preserve"> Meissner, H.G. (1997): Der Kulturschock in der Betriebswirtschaftslehre, in: Engelhard, J. (Hrsg.), Interkulturelles Management, 1-14, Wiesbaden: Gabler. Schmid, S. (1996): Multikulturalität in der internationalen Unternehmung, Wiesbaden: Gabler. Witte, E. (1972): Das Informationsverhalten in Entscheidungsprozessen, Tübingen: Mohr.</w:t>
      </w:r>
    </w:p>
    <w:p w14:paraId="331AAB73" w14:textId="77777777" w:rsidR="00FF7799" w:rsidRPr="00E73F6F" w:rsidRDefault="00FF7799" w:rsidP="0096535B">
      <w:pPr>
        <w:pStyle w:val="StandardText"/>
      </w:pPr>
    </w:p>
    <w:p w14:paraId="096BB820" w14:textId="4FB2C2A7" w:rsidR="00E1375A" w:rsidRPr="007F69DA" w:rsidRDefault="00E1375A" w:rsidP="00E1375A">
      <w:pPr>
        <w:keepNext/>
        <w:keepLines/>
        <w:spacing w:before="240"/>
        <w:jc w:val="both"/>
        <w:outlineLvl w:val="1"/>
        <w:rPr>
          <w:b/>
          <w:color w:val="2E74B5"/>
        </w:rPr>
      </w:pPr>
      <w:r w:rsidRPr="007F69DA">
        <w:rPr>
          <w:b/>
          <w:color w:val="2E74B5"/>
        </w:rPr>
        <w:t>Kulturschock</w:t>
      </w:r>
      <w:r w:rsidR="00043AE9">
        <w:rPr>
          <w:b/>
          <w:color w:val="2E74B5"/>
        </w:rPr>
        <w:t xml:space="preserve"> (II))</w:t>
      </w:r>
    </w:p>
    <w:p w14:paraId="04836AA9" w14:textId="77777777" w:rsidR="00E1375A" w:rsidRPr="007F69DA" w:rsidRDefault="00E1375A" w:rsidP="00E1375A">
      <w:pPr>
        <w:jc w:val="both"/>
        <w:rPr>
          <w:szCs w:val="24"/>
          <w:lang w:bidi="en-US"/>
        </w:rPr>
      </w:pPr>
      <w:r w:rsidRPr="007F69DA">
        <w:rPr>
          <w:szCs w:val="24"/>
          <w:lang w:bidi="en-US"/>
        </w:rPr>
        <w:t>umgangssprachliche Bezeichnung einer heftigen, plötzlich eintretenden Reaktion auf ein überwältigendes Ereignis (z.B. Begegnung mit einer fremden Kultur). In den wissenschaftlichen Diskurs eingeführt wurde dieses Konstrukt von Oberg (1960). Im Mittelpunkt der wissenschaftlichen Definition stehen „langfristige, subtile Veränderungen der Persönlichkeit als Folge der Auseinandersetzung mit einer fremden Kultur“ (Moosmüller 1996, S.282). Die Notwendigkeit und das Bemühen um Anpassung an fremde Lebensverhältnisse, vor allem an andersartige Denk- und Handlungsgewohnheiten, werden als eine Grenzsituation im Leben eines Menschen aufgefasst. Bei negativem Verlauf können Angst, Verwirrung, Desorientierung und Depression die Folge sein (vgl. Thomas et al. 2003, S.242). Erst wenn es dem Entsandten (bzw. dem Emigranten) gelingt, mit den Besonderheiten der fremden Kultur konstruktiv umzugehen, kann er sein Wohlbefinden zurückgewinnen und seine gewohnte Arbeitsleistung wieder erbringen (</w:t>
      </w:r>
      <w:r w:rsidRPr="007F69DA">
        <w:rPr>
          <w:szCs w:val="24"/>
          <w:lang w:bidi="en-US"/>
        </w:rPr>
        <w:sym w:font="Symbol" w:char="F0DE"/>
      </w:r>
      <w:r w:rsidRPr="007F69DA">
        <w:rPr>
          <w:szCs w:val="24"/>
          <w:lang w:bidi="en-US"/>
        </w:rPr>
        <w:t xml:space="preserve"> Auslandsentsendung).</w:t>
      </w:r>
    </w:p>
    <w:p w14:paraId="409F905D" w14:textId="77777777" w:rsidR="00E1375A" w:rsidRPr="007F69DA" w:rsidRDefault="00E1375A" w:rsidP="00E1375A">
      <w:pPr>
        <w:jc w:val="both"/>
        <w:rPr>
          <w:szCs w:val="24"/>
          <w:lang w:bidi="en-US"/>
        </w:rPr>
      </w:pPr>
    </w:p>
    <w:p w14:paraId="447217C0" w14:textId="77777777" w:rsidR="00E1375A" w:rsidRPr="007F69DA" w:rsidRDefault="00E1375A" w:rsidP="00E1375A">
      <w:pPr>
        <w:jc w:val="both"/>
        <w:rPr>
          <w:szCs w:val="24"/>
          <w:lang w:bidi="en-US"/>
        </w:rPr>
      </w:pPr>
      <w:r w:rsidRPr="007F69DA">
        <w:rPr>
          <w:szCs w:val="24"/>
          <w:lang w:bidi="en-US"/>
        </w:rPr>
        <w:t xml:space="preserve">Subjektiv erlebt wird ein Kulturschock als </w:t>
      </w:r>
      <w:r w:rsidRPr="007F69DA">
        <w:rPr>
          <w:bCs/>
          <w:szCs w:val="24"/>
          <w:lang w:bidi="en-US"/>
        </w:rPr>
        <w:t>emotionale Reaktion</w:t>
      </w:r>
      <w:r w:rsidRPr="007F69DA">
        <w:rPr>
          <w:szCs w:val="24"/>
          <w:lang w:bidi="en-US"/>
        </w:rPr>
        <w:t xml:space="preserve"> (z.B. Ängstlichkeit, Ärger und Frustration) auf gravierende Unterschiede zwischen dem Ich und dem Fremden. Dies geschieht häufig während der </w:t>
      </w:r>
      <w:r w:rsidRPr="007F69DA">
        <w:rPr>
          <w:bCs/>
          <w:szCs w:val="24"/>
          <w:lang w:bidi="en-US"/>
        </w:rPr>
        <w:t>Frühphase</w:t>
      </w:r>
      <w:r w:rsidRPr="007F69DA">
        <w:rPr>
          <w:szCs w:val="24"/>
          <w:lang w:bidi="en-US"/>
        </w:rPr>
        <w:t xml:space="preserve"> der Begegnung mit der andersartigen Kultur. In dem Maße, wie der Entsandte dadurch zur verstärkten Auseinandersetzung mit der eigenen Identität angeregt wird, besteht die Gefahr des „Selbstschocks“. Dieses Gefühl wiederum verstärkt das Bedürfnis nach Schutz der eigenen Identität, z.B. durch Rückzug, Idealisierung der eigenen Kultur und negativ-stereotypisierende Wahrnehmung der Fremdkultur. Von einem Schock spricht man, weil diese Emotionen in der zweiten </w:t>
      </w:r>
      <w:r w:rsidRPr="007F69DA">
        <w:rPr>
          <w:bCs/>
          <w:szCs w:val="24"/>
          <w:lang w:bidi="en-US"/>
        </w:rPr>
        <w:t>Phase der Anpassung</w:t>
      </w:r>
      <w:r w:rsidRPr="007F69DA">
        <w:rPr>
          <w:szCs w:val="24"/>
          <w:lang w:bidi="en-US"/>
        </w:rPr>
        <w:t xml:space="preserve"> an die Fremdkultur auftreten und in scharfem Kontrast zu der idealisierenden Wahrnehmung des Fremden in der Honeymoon-Phase stehen (vgl. Abb. 1).</w:t>
      </w:r>
    </w:p>
    <w:p w14:paraId="68060407" w14:textId="77777777" w:rsidR="00E1375A" w:rsidRPr="007F69DA" w:rsidRDefault="00E1375A" w:rsidP="00E1375A">
      <w:pPr>
        <w:spacing w:line="360" w:lineRule="auto"/>
        <w:jc w:val="both"/>
        <w:rPr>
          <w:sz w:val="28"/>
          <w:szCs w:val="24"/>
          <w:lang w:bidi="en-US"/>
        </w:rPr>
      </w:pPr>
    </w:p>
    <w:p w14:paraId="49D5743B" w14:textId="77777777" w:rsidR="00E1375A" w:rsidRPr="0018289F" w:rsidRDefault="00E1375A" w:rsidP="00E1375A">
      <w:pPr>
        <w:spacing w:after="120" w:line="360" w:lineRule="auto"/>
        <w:jc w:val="center"/>
        <w:rPr>
          <w:i/>
          <w:szCs w:val="20"/>
          <w:lang w:eastAsia="de-DE"/>
        </w:rPr>
      </w:pPr>
      <w:bookmarkStart w:id="74" w:name="_Ref76530911"/>
      <w:r w:rsidRPr="0018289F">
        <w:rPr>
          <w:i/>
          <w:szCs w:val="20"/>
          <w:lang w:eastAsia="de-DE"/>
        </w:rPr>
        <w:t>Abb</w:t>
      </w:r>
      <w:bookmarkEnd w:id="74"/>
      <w:r w:rsidRPr="0018289F">
        <w:rPr>
          <w:i/>
          <w:szCs w:val="20"/>
          <w:lang w:eastAsia="de-DE"/>
        </w:rPr>
        <w:t>. 1: W-Kurve der Anpassung</w:t>
      </w:r>
    </w:p>
    <w:p w14:paraId="1CD8E6A9" w14:textId="77777777" w:rsidR="00E1375A" w:rsidRPr="007F69DA" w:rsidRDefault="00E1375A" w:rsidP="00E1375A">
      <w:pPr>
        <w:spacing w:after="120" w:line="360" w:lineRule="auto"/>
        <w:jc w:val="center"/>
        <w:rPr>
          <w:szCs w:val="20"/>
          <w:lang w:eastAsia="de-DE"/>
        </w:rPr>
      </w:pPr>
      <w:r w:rsidRPr="007F69DA">
        <w:rPr>
          <w:noProof/>
          <w:szCs w:val="20"/>
          <w:lang w:eastAsia="de-DE"/>
        </w:rPr>
        <w:lastRenderedPageBreak/>
        <w:drawing>
          <wp:inline distT="0" distB="0" distL="0" distR="0" wp14:anchorId="0F71BCD3" wp14:editId="1965AD91">
            <wp:extent cx="5143500" cy="3831330"/>
            <wp:effectExtent l="0" t="0" r="0" b="0"/>
            <wp:docPr id="1750267383" name="Grafik 1750267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5154076" cy="3839208"/>
                    </a:xfrm>
                    <a:prstGeom prst="rect">
                      <a:avLst/>
                    </a:prstGeom>
                    <a:noFill/>
                  </pic:spPr>
                </pic:pic>
              </a:graphicData>
            </a:graphic>
          </wp:inline>
        </w:drawing>
      </w:r>
    </w:p>
    <w:p w14:paraId="48159219" w14:textId="77777777" w:rsidR="00E1375A" w:rsidRPr="007F69DA" w:rsidRDefault="00E1375A" w:rsidP="00E1375A">
      <w:pPr>
        <w:spacing w:line="360" w:lineRule="auto"/>
        <w:jc w:val="both"/>
        <w:rPr>
          <w:sz w:val="20"/>
          <w:szCs w:val="20"/>
          <w:lang w:bidi="en-US"/>
        </w:rPr>
      </w:pPr>
      <w:r w:rsidRPr="007F69DA">
        <w:rPr>
          <w:sz w:val="20"/>
          <w:szCs w:val="20"/>
          <w:lang w:bidi="en-US"/>
        </w:rPr>
        <w:t>Quelle: eigene Darstellung auf Basis von Gullahorn/Gullahorn (1963).</w:t>
      </w:r>
    </w:p>
    <w:p w14:paraId="7E92A577" w14:textId="77777777" w:rsidR="00E1375A" w:rsidRPr="007F69DA" w:rsidRDefault="00E1375A" w:rsidP="00E1375A">
      <w:pPr>
        <w:tabs>
          <w:tab w:val="right" w:leader="dot" w:pos="8354"/>
        </w:tabs>
        <w:spacing w:before="120" w:after="120" w:line="360" w:lineRule="auto"/>
        <w:rPr>
          <w:b/>
          <w:bCs/>
          <w:noProof/>
          <w:sz w:val="20"/>
          <w:szCs w:val="20"/>
          <w:lang w:bidi="en-US"/>
        </w:rPr>
      </w:pPr>
    </w:p>
    <w:p w14:paraId="5AE2C502" w14:textId="77777777" w:rsidR="00E1375A" w:rsidRPr="007F69DA" w:rsidRDefault="00E1375A" w:rsidP="00E1375A">
      <w:pPr>
        <w:jc w:val="both"/>
        <w:rPr>
          <w:szCs w:val="24"/>
          <w:lang w:bidi="en-US"/>
        </w:rPr>
      </w:pPr>
      <w:r w:rsidRPr="007F69DA">
        <w:rPr>
          <w:szCs w:val="24"/>
          <w:lang w:bidi="en-US"/>
        </w:rPr>
        <w:t>Vom Kulturschock sind nicht nur die Mitarbeiter selbst, sondern auch deren mitausreisenden (Ehe-)Partner und Kinder bedroht. Dauer, Intensität und Symptomatik können aufgrund unterschiedlicher Persönlichkeitseigenschaften (z.B. Frustrationstoleranz) und situativen Einflussfaktoren erheblich variieren. Während manche Orientierungs- und Hilflosigkeit empfinden, bis hin zu umfassendem Kontrollverlust und Bedrohung der eigenen Identität, beklagen andere Gefühle der Isolation und Heimweh. Hinzu können psychosomatische Symptome wie Niedergeschlagenheit sowie Verlust an Spontaneität und Lebensfreude aufkommen; selbst Wut auf die Angehörigen der fremden Kultur und permanentes Misstrauen sind zu beobachten.</w:t>
      </w:r>
    </w:p>
    <w:p w14:paraId="48ACC474" w14:textId="77777777" w:rsidR="00E1375A" w:rsidRPr="007F69DA" w:rsidRDefault="00E1375A" w:rsidP="00E1375A">
      <w:pPr>
        <w:jc w:val="both"/>
        <w:rPr>
          <w:szCs w:val="24"/>
          <w:lang w:bidi="en-US"/>
        </w:rPr>
      </w:pPr>
    </w:p>
    <w:p w14:paraId="26F9711B" w14:textId="77777777" w:rsidR="00E1375A" w:rsidRPr="007F69DA" w:rsidRDefault="00E1375A" w:rsidP="00E1375A">
      <w:pPr>
        <w:jc w:val="both"/>
        <w:rPr>
          <w:szCs w:val="24"/>
          <w:lang w:bidi="en-US"/>
        </w:rPr>
      </w:pPr>
      <w:r w:rsidRPr="007F69DA">
        <w:rPr>
          <w:szCs w:val="24"/>
          <w:lang w:bidi="en-US"/>
        </w:rPr>
        <w:t xml:space="preserve">Ein Kulturschock ist </w:t>
      </w:r>
      <w:r w:rsidRPr="007F69DA">
        <w:rPr>
          <w:bCs/>
          <w:szCs w:val="24"/>
          <w:lang w:bidi="en-US"/>
        </w:rPr>
        <w:t>keine Fehlsteuerung</w:t>
      </w:r>
      <w:r w:rsidRPr="007F69DA">
        <w:rPr>
          <w:szCs w:val="24"/>
          <w:lang w:bidi="en-US"/>
        </w:rPr>
        <w:t xml:space="preserve">, die es unter allen Umständen zu vermeiden gilt. Vielmehr handelt es sich um eine Phase der Anpassung, die jeder Mitarbeiter mehr oder minder intensiv durchleben muss, der erfolgreich in einem fremdkulturellen Umfeld tätig sein will. </w:t>
      </w:r>
      <w:r w:rsidRPr="007F69DA">
        <w:rPr>
          <w:szCs w:val="24"/>
          <w:lang w:val="en-US" w:bidi="en-US"/>
        </w:rPr>
        <w:t xml:space="preserve">„ ... a profound learning experience that leads to greater self-awareness and personal growth“ (Pennington 2000, S.269). </w:t>
      </w:r>
      <w:r w:rsidRPr="007F69DA">
        <w:rPr>
          <w:szCs w:val="24"/>
          <w:lang w:bidi="en-US"/>
        </w:rPr>
        <w:t xml:space="preserve">Interkulturelle Trainingsmaßnahmen werden u.a. mit dem Ziel angeboten, … </w:t>
      </w:r>
    </w:p>
    <w:p w14:paraId="4A74DFEA" w14:textId="77777777" w:rsidR="00E1375A" w:rsidRPr="007F69DA" w:rsidRDefault="00E1375A">
      <w:pPr>
        <w:widowControl/>
        <w:numPr>
          <w:ilvl w:val="0"/>
          <w:numId w:val="54"/>
        </w:numPr>
        <w:autoSpaceDE/>
        <w:autoSpaceDN/>
        <w:ind w:left="426"/>
        <w:contextualSpacing/>
        <w:jc w:val="both"/>
        <w:rPr>
          <w:szCs w:val="24"/>
          <w:lang w:bidi="en-US"/>
        </w:rPr>
      </w:pPr>
      <w:r w:rsidRPr="007F69DA">
        <w:rPr>
          <w:szCs w:val="24"/>
          <w:lang w:bidi="en-US"/>
        </w:rPr>
        <w:t>Kulturschocks als Lernerfahrung zu begreifen und konstruktiv damit umzugehen,</w:t>
      </w:r>
    </w:p>
    <w:p w14:paraId="00BEFC50" w14:textId="77777777" w:rsidR="00E1375A" w:rsidRPr="007F69DA" w:rsidRDefault="00E1375A">
      <w:pPr>
        <w:widowControl/>
        <w:numPr>
          <w:ilvl w:val="0"/>
          <w:numId w:val="54"/>
        </w:numPr>
        <w:autoSpaceDE/>
        <w:autoSpaceDN/>
        <w:ind w:left="426"/>
        <w:contextualSpacing/>
        <w:jc w:val="both"/>
        <w:rPr>
          <w:szCs w:val="24"/>
          <w:lang w:bidi="en-US"/>
        </w:rPr>
      </w:pPr>
      <w:r w:rsidRPr="007F69DA">
        <w:rPr>
          <w:szCs w:val="24"/>
          <w:lang w:bidi="en-US"/>
        </w:rPr>
        <w:t>interkulturelle Kompetenz zu fördern (</w:t>
      </w:r>
      <w:r w:rsidRPr="007F69DA">
        <w:rPr>
          <w:szCs w:val="24"/>
          <w:lang w:val="en-US" w:bidi="en-US"/>
        </w:rPr>
        <w:sym w:font="Symbol" w:char="F0DE"/>
      </w:r>
      <w:r w:rsidRPr="007F69DA">
        <w:rPr>
          <w:szCs w:val="24"/>
          <w:lang w:bidi="en-US"/>
        </w:rPr>
        <w:t xml:space="preserve"> Kompetenz, interkulturelle).</w:t>
      </w:r>
    </w:p>
    <w:p w14:paraId="39E2368B" w14:textId="77777777" w:rsidR="00E1375A" w:rsidRPr="007F69DA" w:rsidRDefault="00E1375A" w:rsidP="00E1375A">
      <w:pPr>
        <w:contextualSpacing/>
        <w:jc w:val="both"/>
        <w:rPr>
          <w:szCs w:val="24"/>
          <w:lang w:bidi="en-US"/>
        </w:rPr>
      </w:pPr>
    </w:p>
    <w:p w14:paraId="36535627" w14:textId="77777777" w:rsidR="00E1375A" w:rsidRPr="007F69DA" w:rsidRDefault="00E1375A" w:rsidP="00E1375A">
      <w:pPr>
        <w:shd w:val="clear" w:color="auto" w:fill="DEEAF6" w:themeFill="accent1" w:themeFillTint="33"/>
        <w:spacing w:line="360" w:lineRule="auto"/>
        <w:jc w:val="center"/>
        <w:rPr>
          <w:sz w:val="18"/>
          <w:szCs w:val="18"/>
          <w:lang w:bidi="en-US"/>
        </w:rPr>
      </w:pPr>
      <w:r w:rsidRPr="007F69DA">
        <w:rPr>
          <w:sz w:val="18"/>
          <w:szCs w:val="18"/>
          <w:lang w:bidi="en-US"/>
        </w:rPr>
        <w:t>Kulturschock Moskau</w:t>
      </w:r>
    </w:p>
    <w:p w14:paraId="361CEB70" w14:textId="77777777" w:rsidR="00E1375A" w:rsidRPr="007F69DA" w:rsidRDefault="00E1375A" w:rsidP="00E1375A">
      <w:pPr>
        <w:shd w:val="clear" w:color="auto" w:fill="DEEAF6" w:themeFill="accent1" w:themeFillTint="33"/>
        <w:jc w:val="both"/>
        <w:rPr>
          <w:sz w:val="18"/>
          <w:szCs w:val="18"/>
          <w:lang w:bidi="en-US"/>
        </w:rPr>
      </w:pPr>
      <w:r w:rsidRPr="007F69DA">
        <w:rPr>
          <w:sz w:val="18"/>
          <w:szCs w:val="18"/>
          <w:lang w:bidi="en-US"/>
        </w:rPr>
        <w:t>„Moskau ist groß und laut, teuer und schmutzig, grob und stressig. Auf einer Fläche von der Größe Berlins quetschen sich so viele Menschen zusammen, wie ganz Ostdeutschland Einwohner hat. Deutsche Expats, die aus ihrer schwäbischen oder rheinländischen Reihenhaussiedlung gen Osten entsandt werden, finden sich wenige Flugstunden entfernt in einem fremden Kosmos wieder. Erdrückende, in die Wolken strebende Betonarchitektur, endlose Staus auf 20 Fahrspuren, ungemütliches Klima und die Abwesenheit von allem Vertrauten – Radwegen, Grünanlagen, Alltagslächeln, lateinischer Schrift und frischer Luft – machen die ersten Stunden in Moskau zur Zerreißprobe. Spätestens am neuen Arbeitsplatz stoßen deutsche Unternehmer auf ein weiteres Problem: die russische Unternehmenskultur. Strenge Hierarchien, wenig Entscheidungsfreude und ein kreativer Umgang mit Terminen irritieren zunächst. Pläne werden kurzfristig verworfen, auf Zusagen ist selten Verlass. Geschäftskontakte beruhen häufig nicht, wie in Westeuropa üblich, auf Verträgen, sondern auf persönlichen Beziehungen. Neue Ideen einzubringen und im Team, dem »Kollektiv« zu diskutieren oder Verantwortung zu übernehmen, haben die meisten russischen Arbeitnehmer nie gelernt“ (Schulze 2009, S.39).</w:t>
      </w:r>
    </w:p>
    <w:p w14:paraId="0E80F64A" w14:textId="77777777" w:rsidR="00E1375A" w:rsidRPr="007F69DA" w:rsidRDefault="00E1375A" w:rsidP="00E1375A">
      <w:pPr>
        <w:contextualSpacing/>
        <w:jc w:val="both"/>
        <w:rPr>
          <w:szCs w:val="24"/>
          <w:lang w:bidi="en-US"/>
        </w:rPr>
      </w:pPr>
    </w:p>
    <w:p w14:paraId="04753D1E" w14:textId="77777777" w:rsidR="00E1375A" w:rsidRPr="007F69DA" w:rsidRDefault="00E1375A" w:rsidP="00700F23">
      <w:pPr>
        <w:pStyle w:val="Literatur"/>
        <w:numPr>
          <w:ilvl w:val="0"/>
          <w:numId w:val="0"/>
        </w:numPr>
        <w:spacing w:line="240" w:lineRule="auto"/>
        <w:rPr>
          <w:sz w:val="22"/>
          <w:szCs w:val="22"/>
        </w:rPr>
      </w:pPr>
      <w:r w:rsidRPr="00700F23">
        <w:rPr>
          <w:b/>
          <w:bCs w:val="0"/>
          <w:i/>
          <w:sz w:val="22"/>
          <w:szCs w:val="22"/>
          <w:lang w:val="en-US"/>
        </w:rPr>
        <w:t>Literatur:</w:t>
      </w:r>
      <w:r w:rsidRPr="007F69DA">
        <w:rPr>
          <w:sz w:val="22"/>
          <w:szCs w:val="22"/>
          <w:lang w:val="en-US"/>
        </w:rPr>
        <w:t xml:space="preserve"> Gullahorn, J.T.; Gullahorn, J.E. (1963): An Extension of the U</w:t>
      </w:r>
      <w:r w:rsidRPr="007F69DA">
        <w:rPr>
          <w:rFonts w:ascii="Cambria Math" w:hAnsi="Cambria Math" w:cs="Cambria Math"/>
          <w:sz w:val="22"/>
          <w:szCs w:val="22"/>
          <w:lang w:val="en-US"/>
        </w:rPr>
        <w:t>‐</w:t>
      </w:r>
      <w:r w:rsidRPr="007F69DA">
        <w:rPr>
          <w:sz w:val="22"/>
          <w:szCs w:val="22"/>
          <w:lang w:val="en-US"/>
        </w:rPr>
        <w:t xml:space="preserve">Curve Hypothesis, Journal of Social Issues, 19(3): 33-47.   </w:t>
      </w:r>
      <w:r w:rsidRPr="007F69DA">
        <w:rPr>
          <w:sz w:val="22"/>
          <w:szCs w:val="22"/>
        </w:rPr>
        <w:t xml:space="preserve">Moosmüller, A. (1996): Interkulturelle Kompetenz und interkulturelle Kenntnisse. Überlegungen zu Ziel und Inhalt im auslandsvorbereitenden Training, in: Roth, K. (Hrsg.), Mit der Differenz leben. Europäische Ethnologie und Interkulturelle Kompetenz, 271-290, München: Waxmann.   Oberg, K. (1960): Culture Shock. </w:t>
      </w:r>
      <w:r w:rsidRPr="007F69DA">
        <w:rPr>
          <w:sz w:val="22"/>
          <w:szCs w:val="22"/>
          <w:lang w:val="en-US"/>
        </w:rPr>
        <w:t xml:space="preserve">Adjustment to New Cultural Environments, Practical Anthropology, 7: 177-182.   Pennington, D.L. (2000): Interpersonal Power and Influence in Intercultural Communication, in: Asante, M.K.; Gudykunst, W.B. (Eds.), Handbook of International and Intercultural Communication, 3rd Ed., 261-274, Newbury Park/CA: Sage.   </w:t>
      </w:r>
      <w:r w:rsidRPr="007F69DA">
        <w:rPr>
          <w:sz w:val="22"/>
          <w:szCs w:val="22"/>
        </w:rPr>
        <w:t>Thomas, A.; Kinast, E.-U.; Schroll-Machl, S. (2003): Handbuch interkulturelle Kommunikation und Kooperation, Bd.2: Länder, Kulturen und interkulturelle Berufstätigkeit, Göttingen: Vandenhoeck &amp; Ruprecht.</w:t>
      </w:r>
    </w:p>
    <w:p w14:paraId="20B65F46" w14:textId="77777777" w:rsidR="00E1375A" w:rsidRPr="007F69DA" w:rsidRDefault="00E1375A" w:rsidP="00700F23">
      <w:pPr>
        <w:pStyle w:val="Literatur"/>
        <w:numPr>
          <w:ilvl w:val="0"/>
          <w:numId w:val="0"/>
        </w:numPr>
        <w:spacing w:line="240" w:lineRule="auto"/>
        <w:rPr>
          <w:sz w:val="22"/>
          <w:szCs w:val="22"/>
        </w:rPr>
      </w:pPr>
    </w:p>
    <w:p w14:paraId="21302B07" w14:textId="77777777" w:rsidR="00FF7799" w:rsidRPr="00700F23" w:rsidRDefault="00FF7799" w:rsidP="00700F23">
      <w:pPr>
        <w:keepNext/>
        <w:keepLines/>
        <w:spacing w:before="240"/>
        <w:jc w:val="both"/>
        <w:outlineLvl w:val="1"/>
        <w:rPr>
          <w:b/>
          <w:color w:val="2E74B5"/>
        </w:rPr>
      </w:pPr>
      <w:r w:rsidRPr="00700F23">
        <w:rPr>
          <w:b/>
          <w:color w:val="2E74B5"/>
        </w:rPr>
        <w:t>Kulturstandards</w:t>
      </w:r>
    </w:p>
    <w:p w14:paraId="4FEF73A0" w14:textId="039E1D02" w:rsidR="00FF7799" w:rsidRPr="00E73F6F" w:rsidRDefault="00FF7799" w:rsidP="00650404">
      <w:pPr>
        <w:pStyle w:val="StandardText"/>
      </w:pPr>
      <w:r w:rsidRPr="00E73F6F">
        <w:t xml:space="preserve"> „alle Arten des Wahrnehmens, Denkens, Wertens und Handelns, welche die Mehrzahl Angehörigen einer Nation für sich und für andere als normal, typisch und verbindlich ansieht“ (Thomas 2003, S.24f.). Dieser Wissenschaftler begreift </w:t>
      </w:r>
      <w:r w:rsidR="001E3F72">
        <w:sym w:font="Symbol" w:char="F0DE"/>
      </w:r>
      <w:r w:rsidR="001E3F72">
        <w:t xml:space="preserve"> </w:t>
      </w:r>
      <w:r w:rsidRPr="00E73F6F">
        <w:t xml:space="preserve">Kultur als ein für die Angehörigen einer Nation „sinnstiftendes Orientierungssystem“. Eine Schlüsselrolle spielen dabei Kulturstandards. </w:t>
      </w:r>
    </w:p>
    <w:p w14:paraId="303390ED" w14:textId="6E882141" w:rsidR="00FF7799" w:rsidRPr="00E73F6F" w:rsidRDefault="00FF7799" w:rsidP="00650404">
      <w:pPr>
        <w:pStyle w:val="StandardText"/>
      </w:pPr>
      <w:r w:rsidRPr="00E73F6F">
        <w:t>Mit deren Hilfe werden das eigene Verhalten wie auch das Verhalten anderer Personen beurteilt. Während sie in den unterschiedlichsten Situationen wirksam werden und weite Bereiche des Denkens, Fühlens und Verhaltens regulieren, betreffen periphere Kulturstandards vergleichsweise eng begrenzte Verhaltensbereiche, Situationen und Personenkreise (z.B. Kulturstandards in einem Fitness-Club). Wer zentrale Kulturstandards verletzt, muss mit negativen Reaktionen seiner sozialen Umwelt rechnen –</w:t>
      </w:r>
      <w:r w:rsidR="001E3F72">
        <w:t xml:space="preserve"> </w:t>
      </w:r>
      <w:r w:rsidRPr="00E73F6F">
        <w:t>mit Ablehnung oder gar mit realen Sanktionen. Zentrale Kulturstandards wandeln sich unter dem Eindruck veränderter Umweltbedingungen wesentlich langsamer als periphere Kulturstandards.</w:t>
      </w:r>
    </w:p>
    <w:p w14:paraId="454B98BB" w14:textId="77777777" w:rsidR="00FF7799" w:rsidRPr="00E73F6F" w:rsidRDefault="00FF7799" w:rsidP="00650404">
      <w:pPr>
        <w:pStyle w:val="StandardText"/>
      </w:pPr>
      <w:r w:rsidRPr="00E73F6F">
        <w:t>Welche Kulturstandards für eine Gesellschaft bedeutsam sind und wie sie deren soziales Leben regeln, lässt sich durch ein dreistufiges Verfahren ermitteln (vgl. Jahn 2006, S.35ff.):</w:t>
      </w:r>
    </w:p>
    <w:p w14:paraId="002F2676" w14:textId="77777777" w:rsidR="00FF7799" w:rsidRPr="00E73F6F" w:rsidRDefault="00FF7799">
      <w:pPr>
        <w:pStyle w:val="Listenabsatz"/>
        <w:numPr>
          <w:ilvl w:val="0"/>
          <w:numId w:val="12"/>
        </w:numPr>
        <w:spacing w:line="254" w:lineRule="auto"/>
        <w:ind w:left="426" w:hanging="426"/>
        <w:rPr>
          <w:sz w:val="24"/>
          <w:szCs w:val="24"/>
        </w:rPr>
      </w:pPr>
      <w:r w:rsidRPr="00E73F6F">
        <w:rPr>
          <w:sz w:val="24"/>
          <w:szCs w:val="24"/>
        </w:rPr>
        <w:t>Zunächst werden mit Hilfe teilstrukturierter Interviews Fach- und Führungskräfte befragt, die in dem zu analysierenden Land seit Jahren tätig sind. In Anlehnung an das in den Sozialwissenschaften weit verbreitete Konzept der Kritischen Ereignisse sollen sie kritische Interaktionssituationen schildern, die sie während ihres langjährigen Auslandsaufenthaltes erlebt haben.</w:t>
      </w:r>
    </w:p>
    <w:p w14:paraId="2BE33F41" w14:textId="77777777" w:rsidR="00FF7799" w:rsidRPr="00E73F6F" w:rsidRDefault="00FF7799">
      <w:pPr>
        <w:pStyle w:val="Listenabsatz"/>
        <w:numPr>
          <w:ilvl w:val="0"/>
          <w:numId w:val="12"/>
        </w:numPr>
        <w:spacing w:line="254" w:lineRule="auto"/>
        <w:ind w:left="426" w:hanging="426"/>
        <w:rPr>
          <w:sz w:val="24"/>
          <w:szCs w:val="24"/>
        </w:rPr>
      </w:pPr>
      <w:r w:rsidRPr="00E73F6F">
        <w:rPr>
          <w:sz w:val="24"/>
          <w:szCs w:val="24"/>
        </w:rPr>
        <w:t>Sodann werden die in Phase 1 gewonnenen Erkenntnisse durch eine standardisierte Befragung bikultureller Experten – aus Deutschland und dem Zielland stammend – validiert und systematisiert.</w:t>
      </w:r>
    </w:p>
    <w:p w14:paraId="47FE77E8" w14:textId="77777777" w:rsidR="00FF7799" w:rsidRPr="00E73F6F" w:rsidRDefault="00FF7799">
      <w:pPr>
        <w:pStyle w:val="Listenabsatz"/>
        <w:numPr>
          <w:ilvl w:val="0"/>
          <w:numId w:val="12"/>
        </w:numPr>
        <w:spacing w:line="254" w:lineRule="auto"/>
        <w:ind w:left="426" w:hanging="426"/>
        <w:rPr>
          <w:sz w:val="24"/>
          <w:szCs w:val="24"/>
        </w:rPr>
      </w:pPr>
      <w:r w:rsidRPr="00E73F6F">
        <w:rPr>
          <w:sz w:val="24"/>
          <w:szCs w:val="24"/>
        </w:rPr>
        <w:t>Es folgen die inhaltsanalytische Aufbereitung der Expertenstatements, die kulturhistorische Validierung der Befunde sowie die Identifikation der zentralen und der peripheren Kulturstandards.</w:t>
      </w:r>
    </w:p>
    <w:p w14:paraId="084AD899" w14:textId="77777777" w:rsidR="00FF7799" w:rsidRPr="00E73F6F" w:rsidRDefault="00FF7799" w:rsidP="00650404">
      <w:pPr>
        <w:pStyle w:val="StandardText"/>
      </w:pPr>
      <w:r w:rsidRPr="00E73F6F">
        <w:t>Dass Kulturstandards relativ sind, bedeutet, dass sie nicht als absolut gültig verstanden werden können, sondern immer nur im Hinblick auf die Kulturstandards, welche die Angehörige der Eich- bzw. Vergleichsstichprobe als „normal“ empfinden. Wenn etwa zu den Kulturstandards der Deutschen nur aus Sicht von Chinesen – und nicht aus Sicht von Franzosen, Tschechen oder US-Amerikanern – auch „wahrhafte Kommunikation“ und „Individualismus“ zählen (vgl. Abb. 1), sagt dies letztlich weniger über die Landekultur der Deutschen aus als darüber, welche Verhaltensregeln für die chinesische Kultur charakteristisch sind und welche für die französische, die tschechische oder die amerikanische Kultur.</w:t>
      </w:r>
    </w:p>
    <w:p w14:paraId="3A642CD7" w14:textId="77777777" w:rsidR="00FF7799" w:rsidRPr="00E73F6F" w:rsidRDefault="00FF7799" w:rsidP="00650404">
      <w:pPr>
        <w:pStyle w:val="StandardText"/>
      </w:pPr>
    </w:p>
    <w:p w14:paraId="301903FB" w14:textId="77777777" w:rsidR="00FF7799" w:rsidRPr="006E504E" w:rsidRDefault="00FF7799" w:rsidP="00650404">
      <w:pPr>
        <w:pStyle w:val="BeschriftungTab"/>
        <w:rPr>
          <w:i/>
          <w:iCs/>
        </w:rPr>
      </w:pPr>
      <w:r w:rsidRPr="006E504E">
        <w:rPr>
          <w:i/>
          <w:iCs/>
        </w:rPr>
        <w:lastRenderedPageBreak/>
        <w:t>Abb. 1: Kulturstandards deutscher Manager aus Sicht ausländischer Kollegen</w:t>
      </w:r>
    </w:p>
    <w:tbl>
      <w:tblPr>
        <w:tblStyle w:val="Tabellenraster1"/>
        <w:tblW w:w="9322"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2802"/>
        <w:gridCol w:w="6520"/>
      </w:tblGrid>
      <w:tr w:rsidR="00FF7799" w:rsidRPr="00E73F6F" w14:paraId="795FE65B" w14:textId="77777777" w:rsidTr="00650404">
        <w:tc>
          <w:tcPr>
            <w:tcW w:w="2802" w:type="dxa"/>
            <w:shd w:val="clear" w:color="auto" w:fill="FFC000"/>
          </w:tcPr>
          <w:p w14:paraId="4ABA7FC9" w14:textId="77777777" w:rsidR="00FF7799" w:rsidRPr="00E73F6F" w:rsidRDefault="00FF7799" w:rsidP="00650404">
            <w:pPr>
              <w:pStyle w:val="StandardText"/>
              <w:spacing w:after="120"/>
              <w:jc w:val="left"/>
              <w:rPr>
                <w:b/>
              </w:rPr>
            </w:pPr>
            <w:r w:rsidRPr="00E73F6F">
              <w:rPr>
                <w:b/>
              </w:rPr>
              <w:t>Sachorientierung</w:t>
            </w:r>
          </w:p>
        </w:tc>
        <w:tc>
          <w:tcPr>
            <w:tcW w:w="6520" w:type="dxa"/>
          </w:tcPr>
          <w:p w14:paraId="6FC5266C" w14:textId="77777777" w:rsidR="00FF7799" w:rsidRPr="00E73F6F" w:rsidRDefault="00FF7799" w:rsidP="00650404">
            <w:pPr>
              <w:pStyle w:val="StandardText"/>
              <w:spacing w:after="120"/>
              <w:jc w:val="left"/>
            </w:pPr>
            <w:r w:rsidRPr="00E73F6F">
              <w:t>Arbeitsbeziehungen werden weitestgehend sachbezogen gestaltet. Sachlichkeit gilt als professionell.</w:t>
            </w:r>
          </w:p>
        </w:tc>
      </w:tr>
      <w:tr w:rsidR="00FF7799" w:rsidRPr="00E73F6F" w14:paraId="34BCC373" w14:textId="77777777" w:rsidTr="00650404">
        <w:tc>
          <w:tcPr>
            <w:tcW w:w="2802" w:type="dxa"/>
            <w:shd w:val="clear" w:color="auto" w:fill="FFC000"/>
          </w:tcPr>
          <w:p w14:paraId="6F152B44" w14:textId="77777777" w:rsidR="00426B9F" w:rsidRDefault="00FF7799" w:rsidP="00650404">
            <w:pPr>
              <w:pStyle w:val="StandardText"/>
              <w:spacing w:after="120"/>
              <w:jc w:val="left"/>
              <w:rPr>
                <w:b/>
              </w:rPr>
            </w:pPr>
            <w:r w:rsidRPr="00E73F6F">
              <w:rPr>
                <w:b/>
              </w:rPr>
              <w:t xml:space="preserve">Wertschätzung von </w:t>
            </w:r>
          </w:p>
          <w:p w14:paraId="1A29B36F" w14:textId="77777777" w:rsidR="00FF7799" w:rsidRPr="00E73F6F" w:rsidRDefault="00FF7799" w:rsidP="00650404">
            <w:pPr>
              <w:pStyle w:val="StandardText"/>
              <w:spacing w:after="120"/>
              <w:jc w:val="left"/>
              <w:rPr>
                <w:b/>
              </w:rPr>
            </w:pPr>
            <w:r w:rsidRPr="00E73F6F">
              <w:rPr>
                <w:b/>
              </w:rPr>
              <w:t>Regeln &amp; Struktur</w:t>
            </w:r>
          </w:p>
        </w:tc>
        <w:tc>
          <w:tcPr>
            <w:tcW w:w="6520" w:type="dxa"/>
          </w:tcPr>
          <w:p w14:paraId="4CD57A2C" w14:textId="77777777" w:rsidR="00FF7799" w:rsidRPr="00E73F6F" w:rsidRDefault="00FF7799" w:rsidP="00650404">
            <w:pPr>
              <w:pStyle w:val="StandardText"/>
              <w:spacing w:after="120"/>
              <w:jc w:val="left"/>
            </w:pPr>
            <w:r w:rsidRPr="00E73F6F">
              <w:t>Regeln, bis hin zur völligen Standardisierung von Arbeitsabläufen, werden als hilfreich angesehen, und deren Einhaltung wird kontrolliert.</w:t>
            </w:r>
          </w:p>
        </w:tc>
      </w:tr>
      <w:tr w:rsidR="00FF7799" w:rsidRPr="00E73F6F" w14:paraId="114555B6" w14:textId="77777777" w:rsidTr="00650404">
        <w:tc>
          <w:tcPr>
            <w:tcW w:w="2802" w:type="dxa"/>
            <w:shd w:val="clear" w:color="auto" w:fill="FFC000"/>
          </w:tcPr>
          <w:p w14:paraId="48A2E7F8" w14:textId="77777777" w:rsidR="00FF7799" w:rsidRPr="00E73F6F" w:rsidRDefault="00FF7799" w:rsidP="00650404">
            <w:pPr>
              <w:pStyle w:val="StandardText"/>
              <w:spacing w:after="120"/>
              <w:jc w:val="left"/>
              <w:rPr>
                <w:b/>
              </w:rPr>
            </w:pPr>
            <w:r w:rsidRPr="00E73F6F">
              <w:rPr>
                <w:b/>
              </w:rPr>
              <w:t>Direkte Kommunikation</w:t>
            </w:r>
          </w:p>
        </w:tc>
        <w:tc>
          <w:tcPr>
            <w:tcW w:w="6520" w:type="dxa"/>
          </w:tcPr>
          <w:p w14:paraId="2CAA0317" w14:textId="77777777" w:rsidR="00FF7799" w:rsidRPr="00E73F6F" w:rsidRDefault="00FF7799" w:rsidP="00650404">
            <w:pPr>
              <w:pStyle w:val="StandardText"/>
              <w:spacing w:after="120"/>
              <w:jc w:val="left"/>
            </w:pPr>
            <w:r w:rsidRPr="00E73F6F">
              <w:t>Probleme, Konflikte etc. werden nicht „durch die Blume“, sondern direkt angesprochen.</w:t>
            </w:r>
          </w:p>
        </w:tc>
      </w:tr>
      <w:tr w:rsidR="00FF7799" w:rsidRPr="00E73F6F" w14:paraId="2B0BFA1A" w14:textId="77777777" w:rsidTr="00650404">
        <w:tc>
          <w:tcPr>
            <w:tcW w:w="2802" w:type="dxa"/>
            <w:shd w:val="clear" w:color="auto" w:fill="FFC000"/>
          </w:tcPr>
          <w:p w14:paraId="2BF5DE1E" w14:textId="77777777" w:rsidR="00D71E71" w:rsidRDefault="00FF7799" w:rsidP="00650404">
            <w:pPr>
              <w:pStyle w:val="StandardText"/>
              <w:spacing w:after="120"/>
              <w:jc w:val="left"/>
              <w:rPr>
                <w:b/>
              </w:rPr>
            </w:pPr>
            <w:r w:rsidRPr="00E73F6F">
              <w:rPr>
                <w:b/>
              </w:rPr>
              <w:t xml:space="preserve">Interpersonale </w:t>
            </w:r>
          </w:p>
          <w:p w14:paraId="1256E4D1" w14:textId="77777777" w:rsidR="00FF7799" w:rsidRPr="00E73F6F" w:rsidRDefault="00FF7799" w:rsidP="00650404">
            <w:pPr>
              <w:pStyle w:val="StandardText"/>
              <w:spacing w:after="120"/>
              <w:jc w:val="left"/>
              <w:rPr>
                <w:b/>
              </w:rPr>
            </w:pPr>
            <w:r w:rsidRPr="00E73F6F">
              <w:rPr>
                <w:b/>
              </w:rPr>
              <w:t>Distanzdifferenzierung</w:t>
            </w:r>
          </w:p>
        </w:tc>
        <w:tc>
          <w:tcPr>
            <w:tcW w:w="6520" w:type="dxa"/>
          </w:tcPr>
          <w:p w14:paraId="2A94D715" w14:textId="77777777" w:rsidR="00FF7799" w:rsidRPr="00E73F6F" w:rsidRDefault="00FF7799" w:rsidP="00650404">
            <w:pPr>
              <w:pStyle w:val="StandardText"/>
              <w:spacing w:after="120"/>
              <w:jc w:val="left"/>
            </w:pPr>
            <w:r w:rsidRPr="00E73F6F">
              <w:t>Man wahrt Abstand und mischt sich nach Möglichkeit nicht in die Angelegenheiten anderer Personen ein. Soziale Distanz wird in Abhängigkeit von der sozialen Rolle des Gegenübers (Geschäftspartner, Arbeitskollege, Bekannter, Freund) reguliert.</w:t>
            </w:r>
          </w:p>
        </w:tc>
      </w:tr>
      <w:tr w:rsidR="00FF7799" w:rsidRPr="00E73F6F" w14:paraId="3F70C343" w14:textId="77777777" w:rsidTr="00650404">
        <w:tc>
          <w:tcPr>
            <w:tcW w:w="2802" w:type="dxa"/>
            <w:shd w:val="clear" w:color="auto" w:fill="FFC000"/>
          </w:tcPr>
          <w:p w14:paraId="05867723" w14:textId="77777777" w:rsidR="00426B9F" w:rsidRDefault="00FF7799" w:rsidP="00426B9F">
            <w:pPr>
              <w:pStyle w:val="StandardText"/>
              <w:spacing w:after="120"/>
              <w:jc w:val="left"/>
              <w:rPr>
                <w:b/>
              </w:rPr>
            </w:pPr>
            <w:r w:rsidRPr="00E73F6F">
              <w:rPr>
                <w:b/>
              </w:rPr>
              <w:t xml:space="preserve">Monochrone </w:t>
            </w:r>
          </w:p>
          <w:p w14:paraId="12953C54" w14:textId="77777777" w:rsidR="00FF7799" w:rsidRPr="00E73F6F" w:rsidRDefault="00FF7799" w:rsidP="00426B9F">
            <w:pPr>
              <w:pStyle w:val="StandardText"/>
              <w:spacing w:after="120"/>
              <w:jc w:val="left"/>
              <w:rPr>
                <w:b/>
              </w:rPr>
            </w:pPr>
            <w:r w:rsidRPr="00E73F6F">
              <w:rPr>
                <w:b/>
              </w:rPr>
              <w:t>Zeitplanung</w:t>
            </w:r>
            <w:r w:rsidR="00260661">
              <w:rPr>
                <w:b/>
              </w:rPr>
              <w:t xml:space="preserve"> (</w:t>
            </w:r>
            <w:r w:rsidR="00260661">
              <w:rPr>
                <w:b/>
              </w:rPr>
              <w:sym w:font="Symbol" w:char="F0DE"/>
            </w:r>
            <w:r w:rsidR="00260661">
              <w:rPr>
                <w:b/>
              </w:rPr>
              <w:t xml:space="preserve"> Zeit)</w:t>
            </w:r>
          </w:p>
        </w:tc>
        <w:tc>
          <w:tcPr>
            <w:tcW w:w="6520" w:type="dxa"/>
          </w:tcPr>
          <w:p w14:paraId="0238285A" w14:textId="77777777" w:rsidR="00FF7799" w:rsidRPr="00E73F6F" w:rsidRDefault="00FF7799" w:rsidP="00650404">
            <w:pPr>
              <w:pStyle w:val="StandardText"/>
              <w:spacing w:after="120"/>
              <w:jc w:val="left"/>
            </w:pPr>
            <w:r w:rsidRPr="00E73F6F">
              <w:t>Typisches Instrument des Zeitmanagements ist der Zeitstrahl, auf dem die zu bewältigenden Aufgaben in linearer Abfolge geplant und sodann „Schritt für Schritt“ abgearbeitet werden.</w:t>
            </w:r>
          </w:p>
        </w:tc>
      </w:tr>
      <w:tr w:rsidR="00FF7799" w:rsidRPr="00E73F6F" w14:paraId="6B180AC3" w14:textId="77777777" w:rsidTr="00650404">
        <w:trPr>
          <w:trHeight w:val="70"/>
        </w:trPr>
        <w:tc>
          <w:tcPr>
            <w:tcW w:w="2802" w:type="dxa"/>
            <w:shd w:val="clear" w:color="auto" w:fill="FFC000"/>
          </w:tcPr>
          <w:p w14:paraId="63FFAE84" w14:textId="77777777" w:rsidR="00FF7799" w:rsidRPr="00E73F6F" w:rsidRDefault="00FF7799" w:rsidP="00650404">
            <w:pPr>
              <w:pStyle w:val="StandardText"/>
              <w:spacing w:after="120"/>
              <w:jc w:val="left"/>
              <w:rPr>
                <w:b/>
              </w:rPr>
            </w:pPr>
            <w:r w:rsidRPr="00E73F6F">
              <w:rPr>
                <w:b/>
              </w:rPr>
              <w:t>Individualismus</w:t>
            </w:r>
          </w:p>
        </w:tc>
        <w:tc>
          <w:tcPr>
            <w:tcW w:w="6520" w:type="dxa"/>
          </w:tcPr>
          <w:p w14:paraId="62D6F23D" w14:textId="77777777" w:rsidR="00FF7799" w:rsidRPr="00E73F6F" w:rsidRDefault="00FF7799" w:rsidP="00650404">
            <w:pPr>
              <w:pStyle w:val="StandardText"/>
              <w:spacing w:after="120"/>
              <w:jc w:val="left"/>
            </w:pPr>
            <w:r w:rsidRPr="00E73F6F">
              <w:t>Persönliche Unabhängigkeit ist wichtig. Dazu tragen eine eindeutige Aufgabenbeschreibung und klar abgegrenzte Zuständigkeitsbereiche bei. Denn sie ermöglichen innerhalb der so beschriebenen Grenzen eigenverantwortliches Arbeiten.</w:t>
            </w:r>
          </w:p>
        </w:tc>
      </w:tr>
    </w:tbl>
    <w:p w14:paraId="1461DDAB" w14:textId="77777777" w:rsidR="00FF7799" w:rsidRPr="00E73F6F" w:rsidRDefault="00FF7799" w:rsidP="00650404">
      <w:pPr>
        <w:pStyle w:val="Quellen"/>
      </w:pPr>
      <w:r w:rsidRPr="00E73F6F">
        <w:t>Quelle: auf Basis von Schroll-Machl (2007).</w:t>
      </w:r>
    </w:p>
    <w:p w14:paraId="0981A24C" w14:textId="77777777" w:rsidR="00FF7799" w:rsidRPr="00E73F6F" w:rsidRDefault="00FF7799" w:rsidP="00650404">
      <w:pPr>
        <w:pStyle w:val="StandardText"/>
      </w:pPr>
    </w:p>
    <w:p w14:paraId="4D3BE16D" w14:textId="77777777" w:rsidR="00FF7799" w:rsidRPr="00E73F6F" w:rsidRDefault="00FF7799" w:rsidP="00650404">
      <w:pPr>
        <w:pStyle w:val="StandardText"/>
      </w:pPr>
      <w:r w:rsidRPr="00E73F6F">
        <w:t>Schroll-Machl (2007) beschreibt Sachorientierung, Wertschätzung von Regeln und Struktur als zentrale Kulturstandards deutscher Manager. Die Versuchung ist groß, diese als stabile Eig</w:t>
      </w:r>
      <w:r w:rsidR="00426B9F">
        <w:t xml:space="preserve">enschaften, gar im Sinne eines </w:t>
      </w:r>
      <w:r w:rsidR="00426B9F">
        <w:sym w:font="Symbol" w:char="F0DE"/>
      </w:r>
      <w:r w:rsidRPr="00E73F6F">
        <w:t xml:space="preserve"> Nationalcharakters zu begreifen, die unabhängig von den konkreten Umweltbedingungen bestehen. Tatsächlich aber sind Kulturstandards relativ zu verstehen – als Besonderheiten des in einer Gesellschaft üblichen bzw. sozial akzeptierten Verhaltens aus Sicht von Angehörigen einer anderen Gesellschaft. Wenn etwa zu den Kulturstandards der Deutschen nur aus Sicht von Chinesen – und nicht aus Sicht von Franzosen oder Amerikanern – auch „wahrhafte Kommunikation“ und „Individualismus“ zählen (vgl. Abb. 2), sagt dies letztlich weniger über die Landekultur der Deutschen aus als darüber, welche Verhaltensregeln für die chinesische Kultur charakteristisch sind und welche für die französische, die tschechische oder die amerikanische Kultur.</w:t>
      </w:r>
    </w:p>
    <w:p w14:paraId="0D43E5B2" w14:textId="77777777" w:rsidR="00FF7799" w:rsidRPr="00E73F6F" w:rsidRDefault="00FF7799" w:rsidP="009D25D8">
      <w:pPr>
        <w:pStyle w:val="StandardTextAufzhlung"/>
        <w:ind w:left="567"/>
      </w:pPr>
      <w:r w:rsidRPr="00E73F6F">
        <w:t>Individualismus: Chinesen entstammen einer hochgradig kollektivistischen Landeskultur (IDV = 15). Deshalb erscheinen ihnen individualistische Verhaltensweisen ungewöhnlich und bemerkenswert, nicht jedoch den individualistischen Franzosen (IDV = 71), Tschechen (IDV = 60) und Amerikanern (IDV = 91).</w:t>
      </w:r>
    </w:p>
    <w:p w14:paraId="00CFA201" w14:textId="77777777" w:rsidR="00FF7799" w:rsidRPr="00E73F6F" w:rsidRDefault="00FF7799" w:rsidP="009D25D8">
      <w:pPr>
        <w:pStyle w:val="StandardTextAufzhlung"/>
        <w:ind w:left="567"/>
      </w:pPr>
      <w:r w:rsidRPr="00E73F6F">
        <w:t>Wahrhafte Kommunikation: Wie in allen konfuzianisch geprägten Gesellsc</w:t>
      </w:r>
      <w:r w:rsidR="00426B9F">
        <w:t xml:space="preserve">haften ist der Kulturstandard </w:t>
      </w:r>
      <w:r w:rsidR="00426B9F">
        <w:sym w:font="Symbol" w:char="F0DE"/>
      </w:r>
      <w:r w:rsidR="00426B9F" w:rsidRPr="00E73F6F">
        <w:t xml:space="preserve"> </w:t>
      </w:r>
      <w:r w:rsidRPr="00E73F6F">
        <w:t>Gesicht wahren in China überaus wichtig (vgl. Müller/Gelbrich 2014, S.134ff.). Er verlangt, unter allen Umständen, die soziale Ordnung und harmonische Beziehungen zu wahren – und sei es, indem man die Wahrheit verschweigt oder gar die Unwahrheit sagt. Während der in Deutschland übliche Kommunikationsstil vor diesem kulturellen Hintergrund als „wahrhaftig“ erscheinen mag, werteten die befragten Franzosen („explizit“), Tschechen („konfrontativ“) und US-Amerikanern („direkt“) andere Merkmale als „typisch deutsch“.</w:t>
      </w:r>
    </w:p>
    <w:p w14:paraId="3886A6A7" w14:textId="77777777" w:rsidR="00FF7799" w:rsidRPr="00E73F6F" w:rsidRDefault="00FF7799" w:rsidP="00650404">
      <w:pPr>
        <w:pStyle w:val="StandardText"/>
      </w:pPr>
    </w:p>
    <w:p w14:paraId="20B4278B" w14:textId="77777777" w:rsidR="00FF7799" w:rsidRPr="006E504E" w:rsidRDefault="00FF7799" w:rsidP="00650404">
      <w:pPr>
        <w:pStyle w:val="BeschriftungTab"/>
        <w:rPr>
          <w:bCs/>
          <w:i/>
          <w:iCs/>
          <w:spacing w:val="5"/>
          <w:kern w:val="28"/>
          <w:lang w:bidi="en-US"/>
        </w:rPr>
      </w:pPr>
      <w:r w:rsidRPr="006E504E">
        <w:rPr>
          <w:i/>
          <w:iCs/>
        </w:rPr>
        <w:t>Abb. 2: Relativität von Kulturstandards: deutsche Kulturstandards aus Sicht von …</w:t>
      </w: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2410"/>
        <w:gridCol w:w="2126"/>
        <w:gridCol w:w="2268"/>
        <w:gridCol w:w="2268"/>
      </w:tblGrid>
      <w:tr w:rsidR="00FF7799" w:rsidRPr="00E73F6F" w14:paraId="7D784901" w14:textId="77777777" w:rsidTr="00650404">
        <w:trPr>
          <w:tblHeader/>
        </w:trPr>
        <w:tc>
          <w:tcPr>
            <w:tcW w:w="1328" w:type="pct"/>
            <w:shd w:val="clear" w:color="auto" w:fill="FFC000"/>
          </w:tcPr>
          <w:p w14:paraId="3A5DBA64" w14:textId="77777777" w:rsidR="00FF7799" w:rsidRPr="00E73F6F" w:rsidRDefault="00FF7799" w:rsidP="00650404">
            <w:pPr>
              <w:pStyle w:val="StandardText"/>
              <w:spacing w:after="120"/>
              <w:jc w:val="center"/>
              <w:rPr>
                <w:b/>
                <w:lang w:bidi="en-US"/>
              </w:rPr>
            </w:pPr>
            <w:r w:rsidRPr="00E73F6F">
              <w:rPr>
                <w:b/>
                <w:lang w:bidi="en-US"/>
              </w:rPr>
              <w:t>… Chinesen</w:t>
            </w:r>
          </w:p>
          <w:p w14:paraId="38C45F54" w14:textId="77777777" w:rsidR="00FF7799" w:rsidRPr="00E73F6F" w:rsidRDefault="00FF7799" w:rsidP="00650404">
            <w:pPr>
              <w:pStyle w:val="StandardText"/>
              <w:spacing w:after="120"/>
              <w:jc w:val="center"/>
              <w:rPr>
                <w:lang w:bidi="en-US"/>
              </w:rPr>
            </w:pPr>
            <w:r w:rsidRPr="00E73F6F">
              <w:rPr>
                <w:lang w:bidi="en-US"/>
              </w:rPr>
              <w:t>(vgl. Thomas/Schenk 2005)</w:t>
            </w:r>
          </w:p>
        </w:tc>
        <w:tc>
          <w:tcPr>
            <w:tcW w:w="1172" w:type="pct"/>
            <w:shd w:val="clear" w:color="auto" w:fill="FFC000"/>
          </w:tcPr>
          <w:p w14:paraId="6089DA8D" w14:textId="77777777" w:rsidR="00FF7799" w:rsidRPr="00E73F6F" w:rsidRDefault="00FF7799" w:rsidP="00650404">
            <w:pPr>
              <w:pStyle w:val="StandardText"/>
              <w:spacing w:after="120"/>
              <w:jc w:val="center"/>
              <w:rPr>
                <w:b/>
                <w:lang w:bidi="en-US"/>
              </w:rPr>
            </w:pPr>
            <w:r w:rsidRPr="00E73F6F">
              <w:rPr>
                <w:b/>
                <w:lang w:bidi="en-US"/>
              </w:rPr>
              <w:t>… Franzosen</w:t>
            </w:r>
          </w:p>
          <w:p w14:paraId="2392468A" w14:textId="77777777" w:rsidR="00FF7799" w:rsidRPr="00E73F6F" w:rsidRDefault="00FF7799" w:rsidP="00650404">
            <w:pPr>
              <w:pStyle w:val="StandardText"/>
              <w:spacing w:after="120"/>
              <w:jc w:val="center"/>
              <w:rPr>
                <w:lang w:bidi="en-US"/>
              </w:rPr>
            </w:pPr>
            <w:r w:rsidRPr="00E73F6F">
              <w:rPr>
                <w:lang w:bidi="en-US"/>
              </w:rPr>
              <w:t>(vgl. Demangeat/</w:t>
            </w:r>
            <w:r w:rsidRPr="00E73F6F">
              <w:rPr>
                <w:lang w:bidi="en-US"/>
              </w:rPr>
              <w:softHyphen/>
            </w:r>
            <w:r w:rsidRPr="00E73F6F">
              <w:rPr>
                <w:lang w:bidi="en-US"/>
              </w:rPr>
              <w:softHyphen/>
              <w:t>Molz 2007)</w:t>
            </w:r>
          </w:p>
        </w:tc>
        <w:tc>
          <w:tcPr>
            <w:tcW w:w="1250" w:type="pct"/>
            <w:shd w:val="clear" w:color="auto" w:fill="FFC000"/>
          </w:tcPr>
          <w:p w14:paraId="3DA8E484" w14:textId="77777777" w:rsidR="00FF7799" w:rsidRPr="00E73F6F" w:rsidRDefault="00FF7799" w:rsidP="00650404">
            <w:pPr>
              <w:pStyle w:val="StandardText"/>
              <w:spacing w:after="120"/>
              <w:jc w:val="center"/>
              <w:rPr>
                <w:b/>
                <w:lang w:bidi="en-US"/>
              </w:rPr>
            </w:pPr>
            <w:r w:rsidRPr="00E73F6F">
              <w:rPr>
                <w:b/>
                <w:lang w:bidi="en-US"/>
              </w:rPr>
              <w:t>… Tschechen</w:t>
            </w:r>
          </w:p>
          <w:p w14:paraId="13536144" w14:textId="77777777" w:rsidR="00FF7799" w:rsidRPr="00E73F6F" w:rsidRDefault="00FF7799" w:rsidP="00650404">
            <w:pPr>
              <w:pStyle w:val="StandardText"/>
              <w:spacing w:after="120"/>
              <w:jc w:val="center"/>
              <w:rPr>
                <w:lang w:bidi="en-US"/>
              </w:rPr>
            </w:pPr>
            <w:r w:rsidRPr="00E73F6F">
              <w:rPr>
                <w:lang w:bidi="en-US"/>
              </w:rPr>
              <w:t>(vgl. Schroll-Machl 2001)</w:t>
            </w:r>
          </w:p>
        </w:tc>
        <w:tc>
          <w:tcPr>
            <w:tcW w:w="1250" w:type="pct"/>
            <w:shd w:val="clear" w:color="auto" w:fill="FFC000"/>
          </w:tcPr>
          <w:p w14:paraId="00C721DB" w14:textId="77777777" w:rsidR="00FF7799" w:rsidRPr="00E73F6F" w:rsidRDefault="00FF7799" w:rsidP="00650404">
            <w:pPr>
              <w:pStyle w:val="StandardText"/>
              <w:spacing w:after="120"/>
              <w:jc w:val="center"/>
              <w:rPr>
                <w:b/>
                <w:lang w:bidi="en-US"/>
              </w:rPr>
            </w:pPr>
            <w:r w:rsidRPr="00E73F6F">
              <w:rPr>
                <w:b/>
                <w:lang w:bidi="en-US"/>
              </w:rPr>
              <w:t>… Amerikanern</w:t>
            </w:r>
          </w:p>
          <w:p w14:paraId="726A9237" w14:textId="77777777" w:rsidR="00FF7799" w:rsidRPr="00E73F6F" w:rsidRDefault="00FF7799" w:rsidP="00650404">
            <w:pPr>
              <w:pStyle w:val="StandardText"/>
              <w:spacing w:after="120"/>
              <w:jc w:val="center"/>
              <w:rPr>
                <w:b/>
                <w:lang w:bidi="en-US"/>
              </w:rPr>
            </w:pPr>
            <w:r w:rsidRPr="00E73F6F">
              <w:rPr>
                <w:lang w:bidi="en-US"/>
              </w:rPr>
              <w:t>(vgl.</w:t>
            </w:r>
            <w:r w:rsidR="00426B9F">
              <w:rPr>
                <w:lang w:bidi="en-US"/>
              </w:rPr>
              <w:t xml:space="preserve"> </w:t>
            </w:r>
            <w:r w:rsidRPr="00E73F6F">
              <w:rPr>
                <w:lang w:bidi="en-US"/>
              </w:rPr>
              <w:t>Markowsky Thomas 1995)</w:t>
            </w:r>
          </w:p>
        </w:tc>
      </w:tr>
      <w:tr w:rsidR="00FF7799" w:rsidRPr="00E73F6F" w14:paraId="761E0B96" w14:textId="77777777" w:rsidTr="00650404">
        <w:tc>
          <w:tcPr>
            <w:tcW w:w="1328" w:type="pct"/>
          </w:tcPr>
          <w:p w14:paraId="0A95AEDE" w14:textId="77777777" w:rsidR="00FF7799" w:rsidRPr="00E73F6F" w:rsidRDefault="00FF7799" w:rsidP="00650404">
            <w:pPr>
              <w:pStyle w:val="StandardText"/>
              <w:jc w:val="left"/>
              <w:rPr>
                <w:lang w:bidi="en-US"/>
              </w:rPr>
            </w:pPr>
            <w:r w:rsidRPr="00E73F6F">
              <w:rPr>
                <w:lang w:bidi="en-US"/>
              </w:rPr>
              <w:t>direkte, wahrhafte Kommunikation</w:t>
            </w:r>
          </w:p>
        </w:tc>
        <w:tc>
          <w:tcPr>
            <w:tcW w:w="1172" w:type="pct"/>
          </w:tcPr>
          <w:p w14:paraId="2B6225BC" w14:textId="77777777" w:rsidR="00FF7799" w:rsidRPr="00E73F6F" w:rsidRDefault="00FF7799" w:rsidP="00650404">
            <w:pPr>
              <w:pStyle w:val="StandardText"/>
              <w:jc w:val="left"/>
              <w:rPr>
                <w:lang w:bidi="en-US"/>
              </w:rPr>
            </w:pPr>
            <w:r w:rsidRPr="00E73F6F">
              <w:rPr>
                <w:lang w:bidi="en-US"/>
              </w:rPr>
              <w:t>explizite, direkte Kommunikation</w:t>
            </w:r>
          </w:p>
        </w:tc>
        <w:tc>
          <w:tcPr>
            <w:tcW w:w="1250" w:type="pct"/>
          </w:tcPr>
          <w:p w14:paraId="6F4E61C7" w14:textId="77777777" w:rsidR="00FF7799" w:rsidRPr="00E73F6F" w:rsidRDefault="00FF7799" w:rsidP="00650404">
            <w:pPr>
              <w:pStyle w:val="StandardText"/>
              <w:jc w:val="left"/>
              <w:rPr>
                <w:lang w:bidi="en-US"/>
              </w:rPr>
            </w:pPr>
            <w:r w:rsidRPr="00E73F6F">
              <w:rPr>
                <w:lang w:bidi="en-US"/>
              </w:rPr>
              <w:t>kontextunabhängige Kommunikation, konfrontativer Konfliktstil</w:t>
            </w:r>
          </w:p>
        </w:tc>
        <w:tc>
          <w:tcPr>
            <w:tcW w:w="1250" w:type="pct"/>
          </w:tcPr>
          <w:p w14:paraId="2D0A103F" w14:textId="77777777" w:rsidR="00FF7799" w:rsidRPr="00E73F6F" w:rsidRDefault="00FF7799" w:rsidP="00650404">
            <w:pPr>
              <w:pStyle w:val="StandardText"/>
              <w:jc w:val="left"/>
              <w:rPr>
                <w:lang w:bidi="en-US"/>
              </w:rPr>
            </w:pPr>
            <w:r w:rsidRPr="00E73F6F">
              <w:rPr>
                <w:lang w:bidi="en-US"/>
              </w:rPr>
              <w:t>direkte interpersonale Kommunikation</w:t>
            </w:r>
          </w:p>
        </w:tc>
      </w:tr>
      <w:tr w:rsidR="00FF7799" w:rsidRPr="00E73F6F" w14:paraId="2A09756A" w14:textId="77777777" w:rsidTr="00650404">
        <w:tc>
          <w:tcPr>
            <w:tcW w:w="1328" w:type="pct"/>
          </w:tcPr>
          <w:p w14:paraId="79AF7D5D" w14:textId="77777777" w:rsidR="00FF7799" w:rsidRPr="00E73F6F" w:rsidRDefault="00FF7799" w:rsidP="00650404">
            <w:pPr>
              <w:pStyle w:val="StandardText"/>
              <w:jc w:val="left"/>
              <w:rPr>
                <w:lang w:bidi="en-US"/>
              </w:rPr>
            </w:pPr>
            <w:r w:rsidRPr="00E73F6F">
              <w:rPr>
                <w:lang w:bidi="en-US"/>
              </w:rPr>
              <w:t>Regelorientierung,</w:t>
            </w:r>
          </w:p>
          <w:p w14:paraId="5C694CFF" w14:textId="77777777" w:rsidR="00FF7799" w:rsidRPr="00E73F6F" w:rsidRDefault="00FF7799" w:rsidP="00650404">
            <w:pPr>
              <w:pStyle w:val="StandardText"/>
              <w:jc w:val="left"/>
              <w:rPr>
                <w:lang w:bidi="en-US"/>
              </w:rPr>
            </w:pPr>
            <w:r w:rsidRPr="00E73F6F">
              <w:rPr>
                <w:lang w:bidi="en-US"/>
              </w:rPr>
              <w:t>Vertragsbindung</w:t>
            </w:r>
          </w:p>
        </w:tc>
        <w:tc>
          <w:tcPr>
            <w:tcW w:w="1172" w:type="pct"/>
          </w:tcPr>
          <w:p w14:paraId="4EBBC859" w14:textId="77777777" w:rsidR="00FF7799" w:rsidRPr="00E73F6F" w:rsidRDefault="00FF7799" w:rsidP="00650404">
            <w:pPr>
              <w:pStyle w:val="StandardText"/>
              <w:jc w:val="left"/>
              <w:rPr>
                <w:lang w:bidi="en-US"/>
              </w:rPr>
            </w:pPr>
            <w:r w:rsidRPr="00E73F6F">
              <w:rPr>
                <w:lang w:bidi="en-US"/>
              </w:rPr>
              <w:t>Regel- und Stabilitätsorientierung</w:t>
            </w:r>
          </w:p>
        </w:tc>
        <w:tc>
          <w:tcPr>
            <w:tcW w:w="1250" w:type="pct"/>
          </w:tcPr>
          <w:p w14:paraId="1501E5E3" w14:textId="77777777" w:rsidR="00FF7799" w:rsidRPr="00E73F6F" w:rsidRDefault="00FF7799" w:rsidP="00650404">
            <w:pPr>
              <w:pStyle w:val="StandardText"/>
              <w:jc w:val="left"/>
              <w:rPr>
                <w:lang w:bidi="en-US"/>
              </w:rPr>
            </w:pPr>
            <w:r w:rsidRPr="00E73F6F">
              <w:rPr>
                <w:lang w:bidi="en-US"/>
              </w:rPr>
              <w:t>Strukturorientierung</w:t>
            </w:r>
          </w:p>
        </w:tc>
        <w:tc>
          <w:tcPr>
            <w:tcW w:w="1250" w:type="pct"/>
          </w:tcPr>
          <w:p w14:paraId="04DCE9FE" w14:textId="77777777" w:rsidR="00FF7799" w:rsidRPr="00E73F6F" w:rsidRDefault="00FF7799" w:rsidP="00650404">
            <w:pPr>
              <w:pStyle w:val="StandardText"/>
              <w:jc w:val="left"/>
              <w:rPr>
                <w:lang w:bidi="en-US"/>
              </w:rPr>
            </w:pPr>
            <w:r w:rsidRPr="00E73F6F">
              <w:rPr>
                <w:lang w:bidi="en-US"/>
              </w:rPr>
              <w:t>Regelorientierung, Organisationsbedürfnis</w:t>
            </w:r>
          </w:p>
        </w:tc>
      </w:tr>
      <w:tr w:rsidR="00FF7799" w:rsidRPr="00E73F6F" w14:paraId="6F03F9D0" w14:textId="77777777" w:rsidTr="00650404">
        <w:tc>
          <w:tcPr>
            <w:tcW w:w="1328" w:type="pct"/>
          </w:tcPr>
          <w:p w14:paraId="47EA2991" w14:textId="77777777" w:rsidR="00FF7799" w:rsidRPr="00E73F6F" w:rsidRDefault="00FF7799" w:rsidP="00650404">
            <w:pPr>
              <w:pStyle w:val="StandardText"/>
              <w:jc w:val="left"/>
              <w:rPr>
                <w:lang w:bidi="en-US"/>
              </w:rPr>
            </w:pPr>
            <w:r w:rsidRPr="00E73F6F">
              <w:rPr>
                <w:lang w:bidi="en-US"/>
              </w:rPr>
              <w:t>Trennung von Arbeits- und Privatleben</w:t>
            </w:r>
          </w:p>
        </w:tc>
        <w:tc>
          <w:tcPr>
            <w:tcW w:w="1172" w:type="pct"/>
          </w:tcPr>
          <w:p w14:paraId="7D497324" w14:textId="77777777" w:rsidR="00FF7799" w:rsidRPr="00E73F6F" w:rsidRDefault="00FF7799" w:rsidP="00650404">
            <w:pPr>
              <w:pStyle w:val="StandardText"/>
              <w:jc w:val="left"/>
              <w:rPr>
                <w:lang w:bidi="en-US"/>
              </w:rPr>
            </w:pPr>
            <w:r w:rsidRPr="00E73F6F">
              <w:rPr>
                <w:lang w:bidi="en-US"/>
              </w:rPr>
              <w:t>Abgrenzung von Lebensbereichen</w:t>
            </w:r>
          </w:p>
        </w:tc>
        <w:tc>
          <w:tcPr>
            <w:tcW w:w="1250" w:type="pct"/>
          </w:tcPr>
          <w:p w14:paraId="05D3399F" w14:textId="77777777" w:rsidR="00FF7799" w:rsidRPr="00E73F6F" w:rsidRDefault="00FF7799" w:rsidP="00650404">
            <w:pPr>
              <w:pStyle w:val="StandardText"/>
              <w:jc w:val="left"/>
              <w:rPr>
                <w:lang w:bidi="en-US"/>
              </w:rPr>
            </w:pPr>
            <w:r w:rsidRPr="00E73F6F">
              <w:rPr>
                <w:lang w:bidi="en-US"/>
              </w:rPr>
              <w:t>Trennung von Lebensbereichen</w:t>
            </w:r>
          </w:p>
        </w:tc>
        <w:tc>
          <w:tcPr>
            <w:tcW w:w="1250" w:type="pct"/>
          </w:tcPr>
          <w:p w14:paraId="135640E3" w14:textId="77777777" w:rsidR="00FF7799" w:rsidRPr="00E73F6F" w:rsidRDefault="00FF7799" w:rsidP="00650404">
            <w:pPr>
              <w:pStyle w:val="StandardText"/>
              <w:jc w:val="left"/>
              <w:rPr>
                <w:lang w:bidi="en-US"/>
              </w:rPr>
            </w:pPr>
            <w:r w:rsidRPr="00E73F6F">
              <w:rPr>
                <w:lang w:bidi="en-US"/>
              </w:rPr>
              <w:t>abgegrenzter Privatbereich, interpersonale Distanzdifferenzierung</w:t>
            </w:r>
          </w:p>
        </w:tc>
      </w:tr>
      <w:tr w:rsidR="00FF7799" w:rsidRPr="00E73F6F" w14:paraId="5A3453FB" w14:textId="77777777" w:rsidTr="00650404">
        <w:tc>
          <w:tcPr>
            <w:tcW w:w="1328" w:type="pct"/>
          </w:tcPr>
          <w:p w14:paraId="069386FE" w14:textId="77777777" w:rsidR="00FF7799" w:rsidRPr="00E73F6F" w:rsidRDefault="00FF7799" w:rsidP="00650404">
            <w:pPr>
              <w:pStyle w:val="StandardText"/>
              <w:jc w:val="left"/>
              <w:rPr>
                <w:lang w:bidi="en-US"/>
              </w:rPr>
            </w:pPr>
            <w:r w:rsidRPr="00E73F6F">
              <w:rPr>
                <w:lang w:bidi="en-US"/>
              </w:rPr>
              <w:t>monochrone Zeitplanung</w:t>
            </w:r>
          </w:p>
        </w:tc>
        <w:tc>
          <w:tcPr>
            <w:tcW w:w="1172" w:type="pct"/>
          </w:tcPr>
          <w:p w14:paraId="64AE7D70" w14:textId="77777777" w:rsidR="00FF7799" w:rsidRPr="00E73F6F" w:rsidRDefault="00426B9F" w:rsidP="00650404">
            <w:pPr>
              <w:pStyle w:val="StandardText"/>
              <w:jc w:val="left"/>
              <w:rPr>
                <w:lang w:bidi="en-US"/>
              </w:rPr>
            </w:pPr>
            <w:r w:rsidRPr="00E73F6F">
              <w:rPr>
                <w:lang w:bidi="en-US"/>
              </w:rPr>
              <w:t>S</w:t>
            </w:r>
            <w:r w:rsidR="00FF7799" w:rsidRPr="00E73F6F">
              <w:rPr>
                <w:lang w:bidi="en-US"/>
              </w:rPr>
              <w:t>ystematisches Abarbeiten von Aufgaben</w:t>
            </w:r>
          </w:p>
        </w:tc>
        <w:tc>
          <w:tcPr>
            <w:tcW w:w="1250" w:type="pct"/>
          </w:tcPr>
          <w:p w14:paraId="150F1040" w14:textId="77777777" w:rsidR="00FF7799" w:rsidRPr="00E73F6F" w:rsidRDefault="00FF7799" w:rsidP="00650404">
            <w:pPr>
              <w:pStyle w:val="StandardText"/>
              <w:jc w:val="left"/>
              <w:rPr>
                <w:lang w:bidi="en-US"/>
              </w:rPr>
            </w:pPr>
            <w:r w:rsidRPr="00E73F6F">
              <w:rPr>
                <w:lang w:bidi="en-US"/>
              </w:rPr>
              <w:t>Konsekutivität</w:t>
            </w:r>
          </w:p>
        </w:tc>
        <w:tc>
          <w:tcPr>
            <w:tcW w:w="1250" w:type="pct"/>
          </w:tcPr>
          <w:p w14:paraId="7DEF2390" w14:textId="77777777" w:rsidR="00FF7799" w:rsidRPr="00E73F6F" w:rsidRDefault="00FF7799" w:rsidP="00650404">
            <w:pPr>
              <w:pStyle w:val="StandardText"/>
              <w:jc w:val="left"/>
              <w:rPr>
                <w:lang w:bidi="en-US"/>
              </w:rPr>
            </w:pPr>
          </w:p>
        </w:tc>
      </w:tr>
      <w:tr w:rsidR="00FF7799" w:rsidRPr="00E73F6F" w14:paraId="141656A3" w14:textId="77777777" w:rsidTr="00650404">
        <w:tc>
          <w:tcPr>
            <w:tcW w:w="1328" w:type="pct"/>
          </w:tcPr>
          <w:p w14:paraId="2486AA03" w14:textId="77777777" w:rsidR="00FF7799" w:rsidRPr="00E73F6F" w:rsidRDefault="00FF7799" w:rsidP="00650404">
            <w:pPr>
              <w:pStyle w:val="StandardText"/>
              <w:jc w:val="left"/>
              <w:rPr>
                <w:lang w:bidi="en-US"/>
              </w:rPr>
            </w:pPr>
            <w:r w:rsidRPr="00E73F6F">
              <w:rPr>
                <w:lang w:bidi="en-US"/>
              </w:rPr>
              <w:t>Sachorientierung</w:t>
            </w:r>
          </w:p>
        </w:tc>
        <w:tc>
          <w:tcPr>
            <w:tcW w:w="1172" w:type="pct"/>
          </w:tcPr>
          <w:p w14:paraId="5D350928" w14:textId="77777777" w:rsidR="00FF7799" w:rsidRPr="00E73F6F" w:rsidRDefault="00FF7799" w:rsidP="00650404">
            <w:pPr>
              <w:pStyle w:val="StandardText"/>
              <w:jc w:val="left"/>
              <w:rPr>
                <w:lang w:bidi="en-US"/>
              </w:rPr>
            </w:pPr>
            <w:r w:rsidRPr="00E73F6F">
              <w:rPr>
                <w:lang w:bidi="en-US"/>
              </w:rPr>
              <w:t>Sachorientierung</w:t>
            </w:r>
          </w:p>
        </w:tc>
        <w:tc>
          <w:tcPr>
            <w:tcW w:w="1250" w:type="pct"/>
          </w:tcPr>
          <w:p w14:paraId="56AD3C17" w14:textId="77777777" w:rsidR="00FF7799" w:rsidRPr="00E73F6F" w:rsidRDefault="00FF7799" w:rsidP="00650404">
            <w:pPr>
              <w:pStyle w:val="StandardText"/>
              <w:jc w:val="left"/>
              <w:rPr>
                <w:lang w:bidi="en-US"/>
              </w:rPr>
            </w:pPr>
            <w:r w:rsidRPr="00E73F6F">
              <w:rPr>
                <w:lang w:bidi="en-US"/>
              </w:rPr>
              <w:t>Sachbezug</w:t>
            </w:r>
          </w:p>
        </w:tc>
        <w:tc>
          <w:tcPr>
            <w:tcW w:w="1250" w:type="pct"/>
          </w:tcPr>
          <w:p w14:paraId="4EE72229" w14:textId="77777777" w:rsidR="00FF7799" w:rsidRPr="00E73F6F" w:rsidRDefault="00FF7799" w:rsidP="00650404">
            <w:pPr>
              <w:pStyle w:val="StandardText"/>
              <w:jc w:val="left"/>
              <w:rPr>
                <w:lang w:bidi="en-US"/>
              </w:rPr>
            </w:pPr>
            <w:r w:rsidRPr="00E73F6F">
              <w:rPr>
                <w:lang w:bidi="en-US"/>
              </w:rPr>
              <w:t>persönliches Eigentum</w:t>
            </w:r>
          </w:p>
        </w:tc>
      </w:tr>
      <w:tr w:rsidR="00FF7799" w:rsidRPr="00E73F6F" w14:paraId="7FCED9AB" w14:textId="77777777" w:rsidTr="00650404">
        <w:tc>
          <w:tcPr>
            <w:tcW w:w="1328" w:type="pct"/>
          </w:tcPr>
          <w:p w14:paraId="38067997" w14:textId="77777777" w:rsidR="00FF7799" w:rsidRPr="00E73F6F" w:rsidRDefault="00FF7799" w:rsidP="00650404">
            <w:pPr>
              <w:pStyle w:val="StandardText"/>
              <w:jc w:val="left"/>
              <w:rPr>
                <w:lang w:bidi="en-US"/>
              </w:rPr>
            </w:pPr>
          </w:p>
        </w:tc>
        <w:tc>
          <w:tcPr>
            <w:tcW w:w="1172" w:type="pct"/>
          </w:tcPr>
          <w:p w14:paraId="6B736F8B" w14:textId="77777777" w:rsidR="00FF7799" w:rsidRPr="00E73F6F" w:rsidRDefault="00FF7799" w:rsidP="00650404">
            <w:pPr>
              <w:pStyle w:val="StandardText"/>
              <w:jc w:val="left"/>
              <w:rPr>
                <w:lang w:bidi="en-US"/>
              </w:rPr>
            </w:pPr>
            <w:r w:rsidRPr="00E73F6F">
              <w:rPr>
                <w:lang w:bidi="en-US"/>
              </w:rPr>
              <w:t>Selbststeuerung</w:t>
            </w:r>
          </w:p>
        </w:tc>
        <w:tc>
          <w:tcPr>
            <w:tcW w:w="1250" w:type="pct"/>
          </w:tcPr>
          <w:p w14:paraId="468B1198" w14:textId="77777777" w:rsidR="00FF7799" w:rsidRPr="00E73F6F" w:rsidRDefault="00FF7799" w:rsidP="00650404">
            <w:pPr>
              <w:pStyle w:val="StandardText"/>
              <w:jc w:val="left"/>
              <w:rPr>
                <w:lang w:bidi="en-US"/>
              </w:rPr>
            </w:pPr>
            <w:r w:rsidRPr="00E73F6F">
              <w:rPr>
                <w:lang w:bidi="en-US"/>
              </w:rPr>
              <w:t>Regelorientierte Kontrolle</w:t>
            </w:r>
          </w:p>
        </w:tc>
        <w:tc>
          <w:tcPr>
            <w:tcW w:w="1250" w:type="pct"/>
          </w:tcPr>
          <w:p w14:paraId="602ED5D9" w14:textId="77777777" w:rsidR="00FF7799" w:rsidRPr="00E73F6F" w:rsidRDefault="00FF7799" w:rsidP="00650404">
            <w:pPr>
              <w:pStyle w:val="StandardText"/>
              <w:jc w:val="left"/>
              <w:rPr>
                <w:lang w:bidi="en-US"/>
              </w:rPr>
            </w:pPr>
            <w:r w:rsidRPr="00E73F6F">
              <w:rPr>
                <w:lang w:bidi="en-US"/>
              </w:rPr>
              <w:t>Pflichtbewusstsein</w:t>
            </w:r>
          </w:p>
        </w:tc>
      </w:tr>
      <w:tr w:rsidR="00FF7799" w:rsidRPr="00E73F6F" w14:paraId="1D56B7FB" w14:textId="77777777" w:rsidTr="00650404">
        <w:tc>
          <w:tcPr>
            <w:tcW w:w="1328" w:type="pct"/>
          </w:tcPr>
          <w:p w14:paraId="3D816E48" w14:textId="77777777" w:rsidR="00FF7799" w:rsidRPr="00E73F6F" w:rsidRDefault="00FF7799" w:rsidP="00650404">
            <w:pPr>
              <w:pStyle w:val="StandardText"/>
              <w:jc w:val="left"/>
              <w:rPr>
                <w:lang w:bidi="en-US"/>
              </w:rPr>
            </w:pPr>
          </w:p>
        </w:tc>
        <w:tc>
          <w:tcPr>
            <w:tcW w:w="1172" w:type="pct"/>
          </w:tcPr>
          <w:p w14:paraId="29708F0F" w14:textId="77777777" w:rsidR="00FF7799" w:rsidRPr="00E73F6F" w:rsidRDefault="00FF7799" w:rsidP="00650404">
            <w:pPr>
              <w:pStyle w:val="StandardText"/>
              <w:jc w:val="left"/>
              <w:rPr>
                <w:lang w:bidi="en-US"/>
              </w:rPr>
            </w:pPr>
            <w:r w:rsidRPr="00E73F6F">
              <w:rPr>
                <w:lang w:bidi="en-US"/>
              </w:rPr>
              <w:t>Gleichheitsstreben</w:t>
            </w:r>
          </w:p>
        </w:tc>
        <w:tc>
          <w:tcPr>
            <w:tcW w:w="1250" w:type="pct"/>
          </w:tcPr>
          <w:p w14:paraId="5E2CF030" w14:textId="77777777" w:rsidR="00FF7799" w:rsidRPr="00E73F6F" w:rsidRDefault="00FF7799" w:rsidP="00650404">
            <w:pPr>
              <w:pStyle w:val="StandardText"/>
              <w:jc w:val="left"/>
              <w:rPr>
                <w:lang w:bidi="en-US"/>
              </w:rPr>
            </w:pPr>
          </w:p>
        </w:tc>
        <w:tc>
          <w:tcPr>
            <w:tcW w:w="1250" w:type="pct"/>
          </w:tcPr>
          <w:p w14:paraId="7D07550C" w14:textId="77777777" w:rsidR="00FF7799" w:rsidRPr="00E73F6F" w:rsidRDefault="00FF7799" w:rsidP="00650404">
            <w:pPr>
              <w:pStyle w:val="StandardText"/>
              <w:jc w:val="left"/>
              <w:rPr>
                <w:lang w:bidi="en-US"/>
              </w:rPr>
            </w:pPr>
          </w:p>
        </w:tc>
      </w:tr>
      <w:tr w:rsidR="00FF7799" w:rsidRPr="00E73F6F" w14:paraId="12B8660E" w14:textId="77777777" w:rsidTr="00650404">
        <w:tc>
          <w:tcPr>
            <w:tcW w:w="1328" w:type="pct"/>
          </w:tcPr>
          <w:p w14:paraId="22DCCD29" w14:textId="77777777" w:rsidR="00FF7799" w:rsidRPr="00E73F6F" w:rsidRDefault="00FF7799" w:rsidP="00650404">
            <w:pPr>
              <w:pStyle w:val="StandardText"/>
              <w:jc w:val="left"/>
              <w:rPr>
                <w:lang w:bidi="en-US"/>
              </w:rPr>
            </w:pPr>
          </w:p>
        </w:tc>
        <w:tc>
          <w:tcPr>
            <w:tcW w:w="1172" w:type="pct"/>
          </w:tcPr>
          <w:p w14:paraId="0BB7617C" w14:textId="77777777" w:rsidR="00FF7799" w:rsidRPr="00E73F6F" w:rsidRDefault="00FF7799" w:rsidP="00650404">
            <w:pPr>
              <w:pStyle w:val="StandardText"/>
              <w:jc w:val="left"/>
              <w:rPr>
                <w:lang w:bidi="en-US"/>
              </w:rPr>
            </w:pPr>
          </w:p>
        </w:tc>
        <w:tc>
          <w:tcPr>
            <w:tcW w:w="1250" w:type="pct"/>
          </w:tcPr>
          <w:p w14:paraId="15237F62" w14:textId="77777777" w:rsidR="00FF7799" w:rsidRPr="00E73F6F" w:rsidRDefault="00FF7799" w:rsidP="00650404">
            <w:pPr>
              <w:pStyle w:val="StandardText"/>
              <w:jc w:val="left"/>
              <w:rPr>
                <w:lang w:bidi="en-US"/>
              </w:rPr>
            </w:pPr>
            <w:r w:rsidRPr="00E73F6F">
              <w:rPr>
                <w:lang w:bidi="en-US"/>
              </w:rPr>
              <w:t>Selbstsicherheit</w:t>
            </w:r>
          </w:p>
        </w:tc>
        <w:tc>
          <w:tcPr>
            <w:tcW w:w="1250" w:type="pct"/>
          </w:tcPr>
          <w:p w14:paraId="0DDA81F6" w14:textId="77777777" w:rsidR="00FF7799" w:rsidRPr="00E73F6F" w:rsidRDefault="00FF7799" w:rsidP="00650404">
            <w:pPr>
              <w:pStyle w:val="StandardText"/>
              <w:jc w:val="left"/>
              <w:rPr>
                <w:lang w:bidi="en-US"/>
              </w:rPr>
            </w:pPr>
          </w:p>
        </w:tc>
      </w:tr>
      <w:tr w:rsidR="00FF7799" w:rsidRPr="00E73F6F" w14:paraId="3A0917B4" w14:textId="77777777" w:rsidTr="00650404">
        <w:tc>
          <w:tcPr>
            <w:tcW w:w="1328" w:type="pct"/>
          </w:tcPr>
          <w:p w14:paraId="472FD697" w14:textId="77777777" w:rsidR="00FF7799" w:rsidRPr="00E73F6F" w:rsidRDefault="00FF7799" w:rsidP="00650404">
            <w:pPr>
              <w:pStyle w:val="StandardText"/>
              <w:jc w:val="left"/>
              <w:rPr>
                <w:lang w:bidi="en-US"/>
              </w:rPr>
            </w:pPr>
            <w:r w:rsidRPr="00E73F6F">
              <w:rPr>
                <w:lang w:bidi="en-US"/>
              </w:rPr>
              <w:t>Autoritätsgläubigkeit</w:t>
            </w:r>
          </w:p>
        </w:tc>
        <w:tc>
          <w:tcPr>
            <w:tcW w:w="1172" w:type="pct"/>
          </w:tcPr>
          <w:p w14:paraId="11483ED7" w14:textId="77777777" w:rsidR="00FF7799" w:rsidRPr="00E73F6F" w:rsidRDefault="00FF7799" w:rsidP="00650404">
            <w:pPr>
              <w:pStyle w:val="StandardText"/>
              <w:jc w:val="left"/>
              <w:rPr>
                <w:lang w:bidi="en-US"/>
              </w:rPr>
            </w:pPr>
          </w:p>
        </w:tc>
        <w:tc>
          <w:tcPr>
            <w:tcW w:w="1250" w:type="pct"/>
          </w:tcPr>
          <w:p w14:paraId="1B9F8BBC" w14:textId="77777777" w:rsidR="00FF7799" w:rsidRPr="00E73F6F" w:rsidRDefault="00FF7799" w:rsidP="00650404">
            <w:pPr>
              <w:pStyle w:val="StandardText"/>
              <w:jc w:val="left"/>
              <w:rPr>
                <w:lang w:bidi="en-US"/>
              </w:rPr>
            </w:pPr>
          </w:p>
        </w:tc>
        <w:tc>
          <w:tcPr>
            <w:tcW w:w="1250" w:type="pct"/>
          </w:tcPr>
          <w:p w14:paraId="52C065AA" w14:textId="77777777" w:rsidR="00FF7799" w:rsidRPr="00E73F6F" w:rsidRDefault="00FF7799" w:rsidP="00650404">
            <w:pPr>
              <w:pStyle w:val="StandardText"/>
              <w:jc w:val="left"/>
              <w:rPr>
                <w:lang w:bidi="en-US"/>
              </w:rPr>
            </w:pPr>
          </w:p>
        </w:tc>
      </w:tr>
      <w:tr w:rsidR="00FF7799" w:rsidRPr="00E73F6F" w14:paraId="4DF037CB" w14:textId="77777777" w:rsidTr="00650404">
        <w:tc>
          <w:tcPr>
            <w:tcW w:w="1328" w:type="pct"/>
          </w:tcPr>
          <w:p w14:paraId="09DF3248" w14:textId="042A5787" w:rsidR="00FF7799" w:rsidRPr="00E73F6F" w:rsidRDefault="00FF7799" w:rsidP="00650404">
            <w:pPr>
              <w:pStyle w:val="StandardText"/>
              <w:jc w:val="left"/>
              <w:rPr>
                <w:lang w:bidi="en-US"/>
              </w:rPr>
            </w:pPr>
            <w:r w:rsidRPr="00E73F6F">
              <w:rPr>
                <w:lang w:bidi="en-US"/>
              </w:rPr>
              <w:t>Geschlechterrollen</w:t>
            </w:r>
            <w:r w:rsidR="009D25D8">
              <w:rPr>
                <w:lang w:bidi="en-US"/>
              </w:rPr>
              <w:t>-</w:t>
            </w:r>
            <w:r w:rsidRPr="00E73F6F">
              <w:rPr>
                <w:lang w:bidi="en-US"/>
              </w:rPr>
              <w:t>differenzierung</w:t>
            </w:r>
          </w:p>
        </w:tc>
        <w:tc>
          <w:tcPr>
            <w:tcW w:w="1172" w:type="pct"/>
          </w:tcPr>
          <w:p w14:paraId="5298981F" w14:textId="77777777" w:rsidR="00FF7799" w:rsidRPr="00E73F6F" w:rsidRDefault="00FF7799" w:rsidP="00650404">
            <w:pPr>
              <w:pStyle w:val="StandardText"/>
              <w:jc w:val="left"/>
              <w:rPr>
                <w:lang w:bidi="en-US"/>
              </w:rPr>
            </w:pPr>
          </w:p>
        </w:tc>
        <w:tc>
          <w:tcPr>
            <w:tcW w:w="1250" w:type="pct"/>
          </w:tcPr>
          <w:p w14:paraId="4310BE4B" w14:textId="77777777" w:rsidR="00FF7799" w:rsidRPr="00E73F6F" w:rsidRDefault="00FF7799" w:rsidP="00650404">
            <w:pPr>
              <w:pStyle w:val="StandardText"/>
              <w:jc w:val="left"/>
              <w:rPr>
                <w:lang w:bidi="en-US"/>
              </w:rPr>
            </w:pPr>
          </w:p>
        </w:tc>
        <w:tc>
          <w:tcPr>
            <w:tcW w:w="1250" w:type="pct"/>
          </w:tcPr>
          <w:p w14:paraId="746125B3" w14:textId="77777777" w:rsidR="00FF7799" w:rsidRPr="00E73F6F" w:rsidRDefault="00FF7799" w:rsidP="00650404">
            <w:pPr>
              <w:pStyle w:val="StandardText"/>
              <w:jc w:val="left"/>
              <w:rPr>
                <w:lang w:bidi="en-US"/>
              </w:rPr>
            </w:pPr>
          </w:p>
        </w:tc>
      </w:tr>
      <w:tr w:rsidR="00FF7799" w:rsidRPr="00E73F6F" w14:paraId="6654C865" w14:textId="77777777" w:rsidTr="00650404">
        <w:tc>
          <w:tcPr>
            <w:tcW w:w="1328" w:type="pct"/>
          </w:tcPr>
          <w:p w14:paraId="139932A7" w14:textId="77777777" w:rsidR="00FF7799" w:rsidRPr="00E73F6F" w:rsidRDefault="00FF7799" w:rsidP="00650404">
            <w:pPr>
              <w:pStyle w:val="StandardText"/>
              <w:jc w:val="left"/>
              <w:rPr>
                <w:lang w:bidi="en-US"/>
              </w:rPr>
            </w:pPr>
            <w:r w:rsidRPr="00E73F6F">
              <w:rPr>
                <w:lang w:bidi="en-US"/>
              </w:rPr>
              <w:t>Individualismus</w:t>
            </w:r>
          </w:p>
        </w:tc>
        <w:tc>
          <w:tcPr>
            <w:tcW w:w="1172" w:type="pct"/>
          </w:tcPr>
          <w:p w14:paraId="7738E437" w14:textId="77777777" w:rsidR="00FF7799" w:rsidRPr="00E73F6F" w:rsidRDefault="00FF7799" w:rsidP="00650404">
            <w:pPr>
              <w:pStyle w:val="StandardText"/>
              <w:jc w:val="left"/>
              <w:rPr>
                <w:lang w:bidi="en-US"/>
              </w:rPr>
            </w:pPr>
            <w:r w:rsidRPr="00E73F6F">
              <w:rPr>
                <w:lang w:bidi="en-US"/>
              </w:rPr>
              <w:t>Gemeinsinn</w:t>
            </w:r>
          </w:p>
        </w:tc>
        <w:tc>
          <w:tcPr>
            <w:tcW w:w="1250" w:type="pct"/>
          </w:tcPr>
          <w:p w14:paraId="5C9810FC" w14:textId="77777777" w:rsidR="00FF7799" w:rsidRPr="00E73F6F" w:rsidRDefault="00FF7799" w:rsidP="00650404">
            <w:pPr>
              <w:pStyle w:val="StandardText"/>
              <w:jc w:val="left"/>
              <w:rPr>
                <w:lang w:bidi="en-US"/>
              </w:rPr>
            </w:pPr>
          </w:p>
        </w:tc>
        <w:tc>
          <w:tcPr>
            <w:tcW w:w="1250" w:type="pct"/>
          </w:tcPr>
          <w:p w14:paraId="50D068E4" w14:textId="77777777" w:rsidR="00FF7799" w:rsidRPr="00E73F6F" w:rsidRDefault="00FF7799" w:rsidP="00650404">
            <w:pPr>
              <w:pStyle w:val="StandardText"/>
              <w:jc w:val="left"/>
              <w:rPr>
                <w:lang w:bidi="en-US"/>
              </w:rPr>
            </w:pPr>
          </w:p>
        </w:tc>
      </w:tr>
    </w:tbl>
    <w:p w14:paraId="5D98B52A" w14:textId="77777777" w:rsidR="00FF7799" w:rsidRPr="00E73F6F" w:rsidRDefault="00FF7799" w:rsidP="00650404">
      <w:pPr>
        <w:pStyle w:val="Quellen"/>
      </w:pPr>
      <w:r w:rsidRPr="00E73F6F">
        <w:t>Quelle: Schroll-Machl (2003, S.73).</w:t>
      </w:r>
    </w:p>
    <w:p w14:paraId="466AEA5E" w14:textId="77777777" w:rsidR="00FF7799" w:rsidRPr="00E73F6F" w:rsidRDefault="00FF7799" w:rsidP="00650404">
      <w:pPr>
        <w:pStyle w:val="StandardText"/>
      </w:pPr>
    </w:p>
    <w:p w14:paraId="0EADF763" w14:textId="77777777" w:rsidR="00FF7799" w:rsidRPr="00426B9F" w:rsidRDefault="00FF7799" w:rsidP="00650404">
      <w:pPr>
        <w:pStyle w:val="StandardText"/>
        <w:rPr>
          <w:bCs/>
          <w:sz w:val="22"/>
          <w:szCs w:val="22"/>
        </w:rPr>
      </w:pPr>
      <w:r w:rsidRPr="00426B9F">
        <w:rPr>
          <w:b/>
          <w:i/>
          <w:sz w:val="22"/>
          <w:szCs w:val="22"/>
        </w:rPr>
        <w:t>Literatur:</w:t>
      </w:r>
      <w:r w:rsidRPr="00426B9F">
        <w:rPr>
          <w:sz w:val="22"/>
          <w:szCs w:val="22"/>
        </w:rPr>
        <w:t xml:space="preserve"> </w:t>
      </w:r>
      <w:r w:rsidRPr="00426B9F">
        <w:rPr>
          <w:sz w:val="22"/>
          <w:szCs w:val="22"/>
          <w:lang w:eastAsia="en-US"/>
        </w:rPr>
        <w:t xml:space="preserve">Demangeat, J.; Molz, M. (2007): Frankreich, in: Thomas, A. (Hrsg.), Handbuch interkulturelle Kommunikation und Kooperation, Teil 2: Länder, Kulturen und interkulturelle Berufstätigkeit, 24-52, Göttingen: Vandenhoeck &amp; Ruprecht. Jahn, J. (2006): Kulturstandards im deutsch-französischen Management, Wiesbaden: DUV. </w:t>
      </w:r>
      <w:r w:rsidRPr="00426B9F">
        <w:rPr>
          <w:bCs/>
          <w:sz w:val="22"/>
          <w:szCs w:val="22"/>
        </w:rPr>
        <w:t>Müller, S.; Gelbrich, K. (2014): Interkulturelle Kommunikation, München: Vahlen.</w:t>
      </w:r>
      <w:r w:rsidRPr="00426B9F">
        <w:rPr>
          <w:sz w:val="22"/>
          <w:szCs w:val="22"/>
        </w:rPr>
        <w:t xml:space="preserve"> </w:t>
      </w:r>
      <w:r w:rsidRPr="00426B9F">
        <w:rPr>
          <w:bCs/>
          <w:sz w:val="22"/>
          <w:szCs w:val="22"/>
        </w:rPr>
        <w:t xml:space="preserve">Schroll-Machl, S. (2001): Businesskontakte zwischen Deutschen und Tschechen. Kulturunterschiede in der Wirtschaftszusammenarbeit, Sternenfels: Wissenschaft &amp; Praxis. Schroll-Machl, S. (2003): Deutschland, in: Thomas, A.; Kammhuber, S.; Schroll-Machl, S. (Hrsg.), Handbuch Interkulturelle Kommunikation und Kooperation, Bd.2: Länder und Kulturen und interkulturelle Berufstätigkeit, 72-89, Göttingen: Vandenhoeck &amp; Ruprecht. Schroll-Machl, S. (2007): Die Deutschen – Wir Deutsche. Fremdwahrnehmung und Selbstbild im Berufsleben, 3. Aufl., Göttingen: Vandenhoeck &amp; Ruprecht. </w:t>
      </w:r>
      <w:r w:rsidRPr="00426B9F">
        <w:rPr>
          <w:sz w:val="22"/>
          <w:szCs w:val="22"/>
        </w:rPr>
        <w:t xml:space="preserve">Thomas, A. (2003): Kultur und Kulturstandards, in: Thomas, A.; Kammhuber, S.; Schroll-Machl, S. (Hrsg.), Handbuch Interkulturelle Kommunikation und Kooperation, Bd.1: Grundlagen und Praxisfelder, 19-31, Göttingen: Vandenhoeck &amp; Ruprecht. Thomas, A.; Schenk, E. (2005): </w:t>
      </w:r>
      <w:r w:rsidRPr="00426B9F">
        <w:rPr>
          <w:bCs/>
          <w:sz w:val="22"/>
          <w:szCs w:val="22"/>
        </w:rPr>
        <w:t xml:space="preserve">Beruflich in China. </w:t>
      </w:r>
      <w:r w:rsidRPr="00426B9F">
        <w:rPr>
          <w:bCs/>
          <w:sz w:val="22"/>
          <w:szCs w:val="22"/>
        </w:rPr>
        <w:lastRenderedPageBreak/>
        <w:t>Trainingsprogramm für Manager, Fach- und Führungskräfte, 2.Aufl., Göttingen: Vandenhoeck &amp; Ruprecht.</w:t>
      </w:r>
    </w:p>
    <w:p w14:paraId="42F83F45" w14:textId="77777777" w:rsidR="00FF7799" w:rsidRPr="00426B9F" w:rsidRDefault="00FF7799" w:rsidP="00650404">
      <w:pPr>
        <w:pStyle w:val="StandardText"/>
        <w:rPr>
          <w:bCs/>
          <w:sz w:val="22"/>
          <w:szCs w:val="22"/>
        </w:rPr>
      </w:pPr>
    </w:p>
    <w:p w14:paraId="48A01DA5" w14:textId="77777777" w:rsidR="000709F3" w:rsidRPr="000709F3" w:rsidRDefault="00FF7799" w:rsidP="000709F3">
      <w:pPr>
        <w:pStyle w:val="berschrift1"/>
        <w:rPr>
          <w:b w:val="0"/>
        </w:rPr>
      </w:pPr>
      <w:r w:rsidRPr="009D25D8">
        <w:rPr>
          <w:bCs w:val="0"/>
          <w:color w:val="2E74B5"/>
          <w:sz w:val="22"/>
        </w:rPr>
        <w:t>Kulturvergleichende Psychologie</w:t>
      </w:r>
      <w:r w:rsidRPr="00E73F6F">
        <w:t xml:space="preserve"> </w:t>
      </w:r>
      <w:r w:rsidRPr="00E73F6F">
        <w:rPr>
          <w:b w:val="0"/>
        </w:rPr>
        <w:t>→ Interkulturelles Marketing</w:t>
      </w:r>
    </w:p>
    <w:p w14:paraId="419E2C24" w14:textId="77777777" w:rsidR="000709F3" w:rsidRPr="00E73F6F" w:rsidRDefault="000709F3" w:rsidP="000709F3">
      <w:pPr>
        <w:spacing w:line="242" w:lineRule="auto"/>
        <w:rPr>
          <w:sz w:val="24"/>
          <w:szCs w:val="24"/>
        </w:rPr>
      </w:pPr>
      <w:r w:rsidRPr="009D25D8">
        <w:rPr>
          <w:b/>
          <w:color w:val="2E74B5"/>
        </w:rPr>
        <w:t>Landeskulturforschung, vergleichende</w:t>
      </w:r>
      <w:r w:rsidRPr="00E73F6F">
        <w:rPr>
          <w:b/>
          <w:spacing w:val="-8"/>
          <w:sz w:val="24"/>
          <w:szCs w:val="24"/>
        </w:rPr>
        <w:t xml:space="preserve"> </w:t>
      </w:r>
      <w:r w:rsidRPr="00E73F6F">
        <w:rPr>
          <w:sz w:val="24"/>
          <w:szCs w:val="24"/>
        </w:rPr>
        <w:t>→</w:t>
      </w:r>
      <w:r w:rsidRPr="00E73F6F">
        <w:rPr>
          <w:spacing w:val="-10"/>
          <w:sz w:val="24"/>
          <w:szCs w:val="24"/>
        </w:rPr>
        <w:t xml:space="preserve"> </w:t>
      </w:r>
      <w:r w:rsidRPr="00E73F6F">
        <w:rPr>
          <w:sz w:val="24"/>
          <w:szCs w:val="24"/>
        </w:rPr>
        <w:t>Comparative</w:t>
      </w:r>
      <w:r w:rsidRPr="00E73F6F">
        <w:rPr>
          <w:spacing w:val="-8"/>
          <w:sz w:val="24"/>
          <w:szCs w:val="24"/>
        </w:rPr>
        <w:t xml:space="preserve"> </w:t>
      </w:r>
      <w:r w:rsidRPr="00E73F6F">
        <w:rPr>
          <w:sz w:val="24"/>
          <w:szCs w:val="24"/>
        </w:rPr>
        <w:t>Marketing</w:t>
      </w:r>
      <w:r>
        <w:rPr>
          <w:sz w:val="24"/>
          <w:szCs w:val="24"/>
        </w:rPr>
        <w:t>;</w:t>
      </w:r>
      <w:r w:rsidRPr="00E73F6F">
        <w:rPr>
          <w:spacing w:val="-8"/>
          <w:sz w:val="24"/>
          <w:szCs w:val="24"/>
        </w:rPr>
        <w:t xml:space="preserve"> </w:t>
      </w:r>
      <w:r w:rsidRPr="00E73F6F">
        <w:rPr>
          <w:sz w:val="24"/>
          <w:szCs w:val="24"/>
        </w:rPr>
        <w:t>→ Interkulturelles Management</w:t>
      </w:r>
    </w:p>
    <w:p w14:paraId="6C103BD0" w14:textId="77777777" w:rsidR="000709F3" w:rsidRPr="00E73F6F" w:rsidRDefault="000709F3" w:rsidP="000709F3">
      <w:pPr>
        <w:spacing w:before="8"/>
        <w:rPr>
          <w:sz w:val="24"/>
          <w:szCs w:val="24"/>
        </w:rPr>
      </w:pPr>
    </w:p>
    <w:p w14:paraId="45D3997E" w14:textId="77777777" w:rsidR="000709F3" w:rsidRPr="00E73F6F" w:rsidRDefault="000709F3" w:rsidP="000709F3">
      <w:pPr>
        <w:spacing w:before="1"/>
        <w:rPr>
          <w:sz w:val="24"/>
          <w:szCs w:val="24"/>
        </w:rPr>
      </w:pPr>
      <w:r w:rsidRPr="009D25D8">
        <w:rPr>
          <w:b/>
          <w:color w:val="2E74B5"/>
        </w:rPr>
        <w:t>Landkarte, soziokulturelle</w:t>
      </w:r>
      <w:r w:rsidRPr="00E73F6F">
        <w:rPr>
          <w:b/>
          <w:spacing w:val="47"/>
          <w:sz w:val="24"/>
          <w:szCs w:val="24"/>
        </w:rPr>
        <w:t xml:space="preserve"> </w:t>
      </w:r>
      <w:r w:rsidRPr="00E73F6F">
        <w:rPr>
          <w:sz w:val="24"/>
          <w:szCs w:val="24"/>
        </w:rPr>
        <w:t>→</w:t>
      </w:r>
      <w:r w:rsidRPr="00E73F6F">
        <w:rPr>
          <w:spacing w:val="-3"/>
          <w:sz w:val="24"/>
          <w:szCs w:val="24"/>
        </w:rPr>
        <w:t xml:space="preserve"> </w:t>
      </w:r>
      <w:r w:rsidRPr="00E73F6F">
        <w:rPr>
          <w:sz w:val="24"/>
          <w:szCs w:val="24"/>
        </w:rPr>
        <w:t>Postmaterialismus-</w:t>
      </w:r>
      <w:r w:rsidRPr="00E73F6F">
        <w:rPr>
          <w:spacing w:val="-4"/>
          <w:sz w:val="24"/>
          <w:szCs w:val="24"/>
        </w:rPr>
        <w:t>These</w:t>
      </w:r>
    </w:p>
    <w:p w14:paraId="61B44539" w14:textId="77777777" w:rsidR="00FF7799" w:rsidRPr="00E73F6F" w:rsidRDefault="00FF7799" w:rsidP="00EF7F03">
      <w:pPr>
        <w:pStyle w:val="berschrift1"/>
      </w:pPr>
      <w:r w:rsidRPr="009D25D8">
        <w:rPr>
          <w:bCs w:val="0"/>
          <w:color w:val="2E74B5"/>
          <w:sz w:val="22"/>
        </w:rPr>
        <w:t>Länderphilosophie</w:t>
      </w:r>
      <w:r w:rsidRPr="00E73F6F">
        <w:t xml:space="preserve"> </w:t>
      </w:r>
      <w:r w:rsidRPr="00E73F6F">
        <w:rPr>
          <w:b w:val="0"/>
        </w:rPr>
        <w:t>→ Internationales Marketing</w:t>
      </w:r>
    </w:p>
    <w:p w14:paraId="5BD07C5D" w14:textId="77777777" w:rsidR="00FF7799" w:rsidRPr="00E73F6F" w:rsidRDefault="00FF7799" w:rsidP="00EF7F03">
      <w:pPr>
        <w:pStyle w:val="berschrift1"/>
        <w:rPr>
          <w:spacing w:val="-2"/>
        </w:rPr>
      </w:pPr>
      <w:r w:rsidRPr="009D25D8">
        <w:rPr>
          <w:bCs w:val="0"/>
          <w:color w:val="2E74B5"/>
          <w:sz w:val="22"/>
        </w:rPr>
        <w:t>Länderstereotyp</w:t>
      </w:r>
      <w:r w:rsidRPr="00E73F6F">
        <w:rPr>
          <w:spacing w:val="-2"/>
        </w:rPr>
        <w:t xml:space="preserve"> </w:t>
      </w:r>
    </w:p>
    <w:p w14:paraId="683FE1C3" w14:textId="77777777" w:rsidR="00FF7799" w:rsidRPr="00E73F6F" w:rsidRDefault="00FF7799" w:rsidP="00650404">
      <w:pPr>
        <w:pStyle w:val="StandardText"/>
      </w:pPr>
      <w:r w:rsidRPr="00E73F6F">
        <w:t>sp</w:t>
      </w:r>
      <w:r w:rsidR="00426B9F">
        <w:t xml:space="preserve">ezielle Erscheinungsform eines </w:t>
      </w:r>
      <w:r w:rsidR="00426B9F">
        <w:sym w:font="Symbol" w:char="F0DE"/>
      </w:r>
      <w:r w:rsidR="00426B9F">
        <w:t xml:space="preserve"> Stereotyps. Wie </w:t>
      </w:r>
      <w:r w:rsidR="00426B9F">
        <w:sym w:font="Symbol" w:char="F0DE"/>
      </w:r>
      <w:r w:rsidRPr="00E73F6F">
        <w:t xml:space="preserve"> Schemata sind (Länder-)Stereotype abstrakte, im Gedächtnis gespeicherte Wissenseinheiten: eine </w:t>
      </w:r>
      <w:r w:rsidRPr="00E73F6F">
        <w:rPr>
          <w:iCs/>
        </w:rPr>
        <w:t>kognitive Struktur</w:t>
      </w:r>
      <w:r w:rsidRPr="00E73F6F">
        <w:t>, welche die in einer Gesellschaft weit verbreiteten Annahmen darüber, welche Persönlichkeitseigenschaften für eine bestimmte soziale Gruppe charakteristisch sind, abbildet. Länderstereotype werden entweder einem Individuum (als Vertreter seiner Gruppe - z.B. ein typischer Schotte) oder einer nationalen Gruppe insgesamt zugeschrieben (z.B. „Türken haben einen besonders ausgeprägten Nationalstolz“). Im Gegensatz zu Schemata sind Länderstereotype jedoch wertender Natur, tendenziell der Einstellung vergleichbar.</w:t>
      </w:r>
    </w:p>
    <w:p w14:paraId="75C4D7D8" w14:textId="3862A578" w:rsidR="00FF7799" w:rsidRPr="00E73F6F" w:rsidRDefault="00FF7799" w:rsidP="00650404">
      <w:pPr>
        <w:pStyle w:val="StandardText"/>
      </w:pPr>
      <w:r w:rsidRPr="00E73F6F">
        <w:t>Wie Personenstereotype (= „schablonenartige Meinungen über Klassen von Personen“; Schenk, 1997,</w:t>
      </w:r>
      <w:r w:rsidR="009D25D8">
        <w:t xml:space="preserve"> </w:t>
      </w:r>
      <w:r w:rsidRPr="00E73F6F">
        <w:t xml:space="preserve">Sp.2210) sind Länderstereotype in </w:t>
      </w:r>
      <w:r w:rsidRPr="00E73F6F">
        <w:sym w:font="Symbol" w:char="F0AE"/>
      </w:r>
      <w:r w:rsidRPr="00E73F6F">
        <w:t xml:space="preserve"> Autostereotype (= wie die eigene soziale Gruppe wahrgenommen wird) und Heterostereotypen zu unterscheiden (= wie eine andere als die eigene soziale Gruppe wahrgenommen wird). Länderstereotype sind änderungsresistent. So wurden, wie </w:t>
      </w:r>
      <w:r w:rsidRPr="00E73F6F">
        <w:rPr>
          <w:i/>
          <w:iCs/>
        </w:rPr>
        <w:t>W. Wette</w:t>
      </w:r>
      <w:r w:rsidRPr="00E73F6F">
        <w:t xml:space="preserve"> darlegt, die in einem führenden deutschen Konversationslexikon von 1866 genannten „vorherrschenden Charakterzüge des Russen“ (nämlich Frohsinn, Sorglosigkeit und Gemütlichkeit, aber auch Gefräßigkeit und Unmäßigkeit) unverändert vom zaristischen Russland auf die Sowjetunion übertragen und, im Zuge der Kriegsvorbereitung sowie während des Russlandfeldzuges des Zweiten Weltkriegs, vom </w:t>
      </w:r>
      <w:r w:rsidRPr="00E73F6F">
        <w:rPr>
          <w:iCs/>
        </w:rPr>
        <w:t>Fremdbild</w:t>
      </w:r>
      <w:r w:rsidRPr="00E73F6F">
        <w:t xml:space="preserve"> zum </w:t>
      </w:r>
      <w:r w:rsidRPr="00E73F6F">
        <w:rPr>
          <w:iCs/>
        </w:rPr>
        <w:t>Feindbild</w:t>
      </w:r>
      <w:r w:rsidRPr="00E73F6F">
        <w:t xml:space="preserve"> gewandelt. Darauf lässt sich vermutlich zurückführen, dass das Länderstereotyp „Russe“ überwiegend negativ geprägt ist (wie auch das des „Polen“, des „Israeli“ und des „Türken“). Im Gegensatz dazu wurden Japaner und Chinesen, aber auch Inder, Franzosen und Schweizer von den Probanden dieser Studie (deutsche Studenten) vorwiegend positiv beurteilt (vgl. Abb. 1). Franzosen wurden am häufigsten als charmant, lebhaft und fröhlich charakterisiert,</w:t>
      </w:r>
    </w:p>
    <w:p w14:paraId="1B9969CA" w14:textId="77777777" w:rsidR="00FF7799" w:rsidRPr="00E73F6F" w:rsidRDefault="00FF7799" w:rsidP="009D25D8">
      <w:pPr>
        <w:pStyle w:val="StandardTextAufzhlung"/>
        <w:ind w:left="567"/>
      </w:pPr>
      <w:r w:rsidRPr="00E73F6F">
        <w:t>Japaner als fleißig, fortschrittlich und gebildet,</w:t>
      </w:r>
    </w:p>
    <w:p w14:paraId="677C28A5" w14:textId="77777777" w:rsidR="00FF7799" w:rsidRPr="00E73F6F" w:rsidRDefault="00FF7799" w:rsidP="009D25D8">
      <w:pPr>
        <w:pStyle w:val="StandardTextAufzhlung"/>
        <w:ind w:left="567"/>
      </w:pPr>
      <w:r w:rsidRPr="00E73F6F">
        <w:t>Chinesen als fleißig, bescheiden und pflichtbewusst,</w:t>
      </w:r>
    </w:p>
    <w:p w14:paraId="21303FF9" w14:textId="77777777" w:rsidR="00FF7799" w:rsidRPr="00E73F6F" w:rsidRDefault="00FF7799" w:rsidP="009D25D8">
      <w:pPr>
        <w:pStyle w:val="StandardTextAufzhlung"/>
        <w:ind w:left="567"/>
      </w:pPr>
      <w:r w:rsidRPr="00E73F6F">
        <w:t>Amerikaner als oberflächlich, großspurig und ungebildet,</w:t>
      </w:r>
    </w:p>
    <w:p w14:paraId="5312FADD" w14:textId="77777777" w:rsidR="00FF7799" w:rsidRPr="00E73F6F" w:rsidRDefault="00FF7799" w:rsidP="009D25D8">
      <w:pPr>
        <w:pStyle w:val="StandardTextAufzhlung"/>
        <w:ind w:left="567"/>
      </w:pPr>
      <w:r w:rsidRPr="00E73F6F">
        <w:t>Israelis als streitsüchtig, engstirnig und konservativ,</w:t>
      </w:r>
    </w:p>
    <w:p w14:paraId="1A2ECE19" w14:textId="77777777" w:rsidR="00FF7799" w:rsidRPr="00E73F6F" w:rsidRDefault="00FF7799" w:rsidP="009D25D8">
      <w:pPr>
        <w:pStyle w:val="StandardTextAufzhlung"/>
        <w:ind w:left="567"/>
      </w:pPr>
      <w:r w:rsidRPr="00E73F6F">
        <w:t>Türken als streitsüchtig, großspurig und triebhaft.</w:t>
      </w:r>
    </w:p>
    <w:p w14:paraId="10A55872" w14:textId="77777777" w:rsidR="00FF7799" w:rsidRPr="00E73F6F" w:rsidRDefault="00FF7799" w:rsidP="009D25D8">
      <w:pPr>
        <w:pStyle w:val="StandardText"/>
        <w:ind w:left="567"/>
      </w:pPr>
    </w:p>
    <w:p w14:paraId="323ECC35" w14:textId="77777777" w:rsidR="00FF7799" w:rsidRPr="006E504E" w:rsidRDefault="00FF7799" w:rsidP="00650404">
      <w:pPr>
        <w:pStyle w:val="BeschriftungTab"/>
        <w:rPr>
          <w:i/>
          <w:iCs/>
        </w:rPr>
      </w:pPr>
      <w:r w:rsidRPr="006E504E">
        <w:rPr>
          <w:i/>
          <w:iCs/>
        </w:rPr>
        <w:t xml:space="preserve">Abb. 1: Positivity- vs. Negativity-Bias der Länderstereotype deutscher Studenten </w:t>
      </w:r>
    </w:p>
    <w:p w14:paraId="2E2CC8F9" w14:textId="77777777" w:rsidR="00FF7799" w:rsidRPr="00E73F6F" w:rsidRDefault="00FF7799" w:rsidP="00650404">
      <w:pPr>
        <w:widowControl/>
        <w:autoSpaceDE/>
        <w:autoSpaceDN/>
        <w:jc w:val="center"/>
        <w:rPr>
          <w:bCs/>
          <w:sz w:val="24"/>
          <w:szCs w:val="24"/>
          <w:lang w:eastAsia="de-DE"/>
        </w:rPr>
      </w:pPr>
    </w:p>
    <w:p w14:paraId="0726C962" w14:textId="77777777" w:rsidR="00426B9F" w:rsidRDefault="00EA5D3D" w:rsidP="00650404">
      <w:pPr>
        <w:pStyle w:val="Quellen"/>
      </w:pPr>
      <w:r>
        <w:rPr>
          <w:noProof/>
        </w:rPr>
        <w:lastRenderedPageBreak/>
        <w:drawing>
          <wp:inline distT="0" distB="0" distL="0" distR="0" wp14:anchorId="13EECD0C" wp14:editId="4B3D00B4">
            <wp:extent cx="5744084" cy="4181475"/>
            <wp:effectExtent l="0" t="0" r="9525" b="0"/>
            <wp:docPr id="95" name="Grafik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5750050" cy="4185818"/>
                    </a:xfrm>
                    <a:prstGeom prst="rect">
                      <a:avLst/>
                    </a:prstGeom>
                    <a:noFill/>
                  </pic:spPr>
                </pic:pic>
              </a:graphicData>
            </a:graphic>
          </wp:inline>
        </w:drawing>
      </w:r>
    </w:p>
    <w:p w14:paraId="76086EAB" w14:textId="77777777" w:rsidR="00FF7799" w:rsidRPr="00E73F6F" w:rsidRDefault="00FF7799" w:rsidP="00650404">
      <w:pPr>
        <w:pStyle w:val="Quellen"/>
      </w:pPr>
      <w:r w:rsidRPr="00E73F6F">
        <w:t>Quelle:</w:t>
      </w:r>
      <w:r w:rsidRPr="00E73F6F">
        <w:tab/>
        <w:t>eigene Erhebung.</w:t>
      </w:r>
    </w:p>
    <w:p w14:paraId="3C8A8D8F" w14:textId="77777777" w:rsidR="00FF7799" w:rsidRPr="00E73F6F" w:rsidRDefault="00FF7799" w:rsidP="00650404">
      <w:pPr>
        <w:pStyle w:val="StandardText"/>
      </w:pPr>
    </w:p>
    <w:p w14:paraId="2A656F1B" w14:textId="77777777" w:rsidR="00FF7799" w:rsidRPr="00E73F6F" w:rsidRDefault="00FF7799" w:rsidP="00650404">
      <w:pPr>
        <w:pStyle w:val="StandardText"/>
        <w:rPr>
          <w:bCs/>
        </w:rPr>
      </w:pPr>
      <w:r w:rsidRPr="00E73F6F">
        <w:rPr>
          <w:bCs/>
        </w:rPr>
        <w:t xml:space="preserve">Das Hetero- bzw. Eigenstereotyp der in dieser Studie befragten deutschen Studenten wird dominiert von den „typisch deutschen Eigenschaften“ pflichtbewusst, gebildet, fleißig, gründlich, kontrolliert und diplomatisch. Zu den Eigenschaften, welche nur wenige der Befragten zur Beschreibung ihres </w:t>
      </w:r>
      <w:r w:rsidR="00B3438F">
        <w:rPr>
          <w:bCs/>
        </w:rPr>
        <w:sym w:font="Symbol" w:char="F0DE"/>
      </w:r>
      <w:r w:rsidRPr="00E73F6F">
        <w:rPr>
          <w:bCs/>
        </w:rPr>
        <w:t xml:space="preserve"> Selbstbildes genutzt haben, zählen vor allem folgende Merkmale: flexibel, charmant, großzügig, tolerant und lebhaft.</w:t>
      </w:r>
    </w:p>
    <w:p w14:paraId="10643594" w14:textId="77777777" w:rsidR="00FF7799" w:rsidRPr="00E73F6F" w:rsidRDefault="00FF7799" w:rsidP="00650404">
      <w:pPr>
        <w:pStyle w:val="StandardText"/>
        <w:rPr>
          <w:bCs/>
        </w:rPr>
      </w:pPr>
    </w:p>
    <w:p w14:paraId="6F682F47" w14:textId="77777777" w:rsidR="00FF7799" w:rsidRPr="00E73F6F" w:rsidRDefault="00FF7799" w:rsidP="00BA0A38">
      <w:pPr>
        <w:pStyle w:val="berschrift1"/>
      </w:pPr>
      <w:r w:rsidRPr="009D25D8">
        <w:rPr>
          <w:bCs w:val="0"/>
          <w:color w:val="2E74B5"/>
          <w:sz w:val="22"/>
        </w:rPr>
        <w:t>Landeskulturforschung, vergleichende</w:t>
      </w:r>
      <w:r w:rsidRPr="00E73F6F">
        <w:t xml:space="preserve"> </w:t>
      </w:r>
      <w:r w:rsidRPr="00E73F6F">
        <w:rPr>
          <w:b w:val="0"/>
        </w:rPr>
        <w:t>→ Comparative Marketing</w:t>
      </w:r>
      <w:r w:rsidR="00B3438F">
        <w:rPr>
          <w:b w:val="0"/>
        </w:rPr>
        <w:t>;</w:t>
      </w:r>
      <w:r w:rsidRPr="00E73F6F">
        <w:rPr>
          <w:b w:val="0"/>
        </w:rPr>
        <w:t xml:space="preserve"> → Interkulturelles Management</w:t>
      </w:r>
    </w:p>
    <w:p w14:paraId="0AEA9FB2" w14:textId="77777777" w:rsidR="00FF7799" w:rsidRPr="00E73F6F" w:rsidRDefault="00FF7799" w:rsidP="00BA0A38">
      <w:pPr>
        <w:pStyle w:val="berschrift1"/>
      </w:pPr>
      <w:r w:rsidRPr="009D25D8">
        <w:rPr>
          <w:bCs w:val="0"/>
          <w:color w:val="2E74B5"/>
          <w:sz w:val="22"/>
        </w:rPr>
        <w:t>Landkarte, soziokulturelle</w:t>
      </w:r>
      <w:r w:rsidRPr="00E73F6F">
        <w:t xml:space="preserve"> </w:t>
      </w:r>
      <w:r w:rsidRPr="00E73F6F">
        <w:rPr>
          <w:b w:val="0"/>
        </w:rPr>
        <w:t>→ Postmaterialismus-These</w:t>
      </w:r>
      <w:r w:rsidRPr="00E73F6F">
        <w:t xml:space="preserve"> </w:t>
      </w:r>
    </w:p>
    <w:p w14:paraId="65FD2E87" w14:textId="77777777" w:rsidR="00FF7799" w:rsidRPr="009D25D8" w:rsidRDefault="00FF7799" w:rsidP="00BA0A38">
      <w:pPr>
        <w:pStyle w:val="berschrift1"/>
        <w:rPr>
          <w:bCs w:val="0"/>
          <w:color w:val="2E74B5"/>
          <w:sz w:val="22"/>
        </w:rPr>
      </w:pPr>
      <w:r w:rsidRPr="009D25D8">
        <w:rPr>
          <w:bCs w:val="0"/>
          <w:color w:val="2E74B5"/>
          <w:sz w:val="22"/>
        </w:rPr>
        <w:t xml:space="preserve">Lebenshaltungskosten von Auslandentsandten </w:t>
      </w:r>
    </w:p>
    <w:p w14:paraId="3CEEDA18" w14:textId="643AB93A" w:rsidR="00FF7799" w:rsidRPr="00B3438F" w:rsidRDefault="00FF7799" w:rsidP="00650404">
      <w:pPr>
        <w:pStyle w:val="StandardText"/>
      </w:pPr>
      <w:r w:rsidRPr="00B3438F">
        <w:t>angesichts</w:t>
      </w:r>
      <w:r w:rsidRPr="00B3438F">
        <w:rPr>
          <w:spacing w:val="-12"/>
        </w:rPr>
        <w:t xml:space="preserve"> </w:t>
      </w:r>
      <w:r w:rsidRPr="00B3438F">
        <w:t>der</w:t>
      </w:r>
      <w:r w:rsidRPr="00B3438F">
        <w:rPr>
          <w:spacing w:val="-11"/>
        </w:rPr>
        <w:t xml:space="preserve"> </w:t>
      </w:r>
      <w:r w:rsidRPr="00B3438F">
        <w:t>immer</w:t>
      </w:r>
      <w:r w:rsidRPr="00B3438F">
        <w:rPr>
          <w:spacing w:val="-11"/>
        </w:rPr>
        <w:t xml:space="preserve"> </w:t>
      </w:r>
      <w:r w:rsidRPr="00B3438F">
        <w:t>weiter</w:t>
      </w:r>
      <w:r w:rsidRPr="00B3438F">
        <w:rPr>
          <w:spacing w:val="-11"/>
        </w:rPr>
        <w:t xml:space="preserve"> </w:t>
      </w:r>
      <w:r w:rsidRPr="00B3438F">
        <w:t>voranschreitenden</w:t>
      </w:r>
      <w:r w:rsidRPr="00B3438F">
        <w:rPr>
          <w:spacing w:val="-12"/>
        </w:rPr>
        <w:t xml:space="preserve"> </w:t>
      </w:r>
      <w:r w:rsidRPr="00B3438F">
        <w:t>Globalisierung</w:t>
      </w:r>
      <w:r w:rsidRPr="00B3438F">
        <w:rPr>
          <w:spacing w:val="-11"/>
        </w:rPr>
        <w:t xml:space="preserve"> </w:t>
      </w:r>
      <w:r w:rsidRPr="00B3438F">
        <w:t>der</w:t>
      </w:r>
      <w:r w:rsidRPr="00B3438F">
        <w:rPr>
          <w:spacing w:val="-11"/>
        </w:rPr>
        <w:t xml:space="preserve"> </w:t>
      </w:r>
      <w:r w:rsidRPr="00B3438F">
        <w:t>Weltwirtschaft ein wichtiger Bestandteil der Personalpolitik</w:t>
      </w:r>
      <w:r w:rsidRPr="00B3438F">
        <w:rPr>
          <w:spacing w:val="-11"/>
        </w:rPr>
        <w:t xml:space="preserve"> </w:t>
      </w:r>
      <w:r w:rsidRPr="00B3438F">
        <w:t>international</w:t>
      </w:r>
      <w:r w:rsidRPr="00B3438F">
        <w:rPr>
          <w:spacing w:val="-9"/>
        </w:rPr>
        <w:t xml:space="preserve"> </w:t>
      </w:r>
      <w:r w:rsidRPr="00B3438F">
        <w:t>tätiger</w:t>
      </w:r>
      <w:r w:rsidRPr="00B3438F">
        <w:rPr>
          <w:spacing w:val="-9"/>
        </w:rPr>
        <w:t xml:space="preserve"> </w:t>
      </w:r>
      <w:r w:rsidRPr="00B3438F">
        <w:t>Unternehmen.</w:t>
      </w:r>
      <w:r w:rsidRPr="00B3438F">
        <w:rPr>
          <w:spacing w:val="-10"/>
        </w:rPr>
        <w:t xml:space="preserve"> </w:t>
      </w:r>
      <w:r w:rsidRPr="00B3438F">
        <w:t>In</w:t>
      </w:r>
      <w:r w:rsidRPr="00B3438F">
        <w:rPr>
          <w:spacing w:val="-9"/>
        </w:rPr>
        <w:t xml:space="preserve"> </w:t>
      </w:r>
      <w:r w:rsidRPr="00B3438F">
        <w:t>Befragungen</w:t>
      </w:r>
      <w:r w:rsidRPr="00B3438F">
        <w:rPr>
          <w:spacing w:val="-12"/>
        </w:rPr>
        <w:t xml:space="preserve"> </w:t>
      </w:r>
      <w:r w:rsidRPr="00B3438F">
        <w:t>geben</w:t>
      </w:r>
      <w:r w:rsidRPr="00B3438F">
        <w:rPr>
          <w:spacing w:val="-10"/>
        </w:rPr>
        <w:t xml:space="preserve"> </w:t>
      </w:r>
      <w:r w:rsidRPr="00B3438F">
        <w:t>fast</w:t>
      </w:r>
      <w:r w:rsidRPr="00B3438F">
        <w:rPr>
          <w:spacing w:val="-9"/>
        </w:rPr>
        <w:t xml:space="preserve"> </w:t>
      </w:r>
      <w:r w:rsidRPr="00B3438F">
        <w:t xml:space="preserve">75% von ihnen an, dass die Zahl der langfristigen </w:t>
      </w:r>
      <w:r w:rsidR="00B83089">
        <w:sym w:font="Symbol" w:char="F0DE"/>
      </w:r>
      <w:r w:rsidR="00B83089">
        <w:t xml:space="preserve"> </w:t>
      </w:r>
      <w:r w:rsidRPr="00B3438F">
        <w:t>Auslandsentsendungen in den nächsten zwei Jahren stabil bleiben oder sogar zunehmen wird. Die Kosten einer Auslandsentsendung hängen nicht zuletzt von den Lebenshaltungskosten am jeweiligen Standort ab.</w:t>
      </w:r>
    </w:p>
    <w:p w14:paraId="32319785" w14:textId="77777777" w:rsidR="00FF7799" w:rsidRPr="00B3438F" w:rsidRDefault="00FF7799" w:rsidP="00650404">
      <w:pPr>
        <w:pStyle w:val="StandardText"/>
      </w:pPr>
      <w:r w:rsidRPr="00B3438F">
        <w:t>Die Mercer-Studie „Cost of Living“ ermittelt jährlich die Lebenshaltungskosten an den wichtigsten Standorten – zuletzt in 207 Großstädten auf den fünf Kontinenten.</w:t>
      </w:r>
      <w:r w:rsidRPr="00B3438F">
        <w:rPr>
          <w:spacing w:val="-12"/>
        </w:rPr>
        <w:t xml:space="preserve"> </w:t>
      </w:r>
      <w:r w:rsidRPr="00B3438F">
        <w:t>Ermittelt</w:t>
      </w:r>
      <w:r w:rsidRPr="00B3438F">
        <w:rPr>
          <w:spacing w:val="-9"/>
        </w:rPr>
        <w:t xml:space="preserve"> </w:t>
      </w:r>
      <w:r w:rsidRPr="00B3438F">
        <w:t>wird</w:t>
      </w:r>
      <w:r w:rsidRPr="00B3438F">
        <w:rPr>
          <w:spacing w:val="-9"/>
        </w:rPr>
        <w:t xml:space="preserve"> </w:t>
      </w:r>
      <w:r w:rsidRPr="00B3438F">
        <w:t>ein</w:t>
      </w:r>
      <w:r w:rsidRPr="00B3438F">
        <w:rPr>
          <w:spacing w:val="-11"/>
        </w:rPr>
        <w:t xml:space="preserve"> </w:t>
      </w:r>
      <w:r w:rsidRPr="00B3438F">
        <w:t>Warenkorb,</w:t>
      </w:r>
      <w:r w:rsidRPr="00B3438F">
        <w:rPr>
          <w:spacing w:val="-10"/>
        </w:rPr>
        <w:t xml:space="preserve"> </w:t>
      </w:r>
      <w:r w:rsidRPr="00B3438F">
        <w:t>bestehend</w:t>
      </w:r>
      <w:r w:rsidRPr="00B3438F">
        <w:rPr>
          <w:spacing w:val="-9"/>
        </w:rPr>
        <w:t xml:space="preserve"> </w:t>
      </w:r>
      <w:r w:rsidRPr="00B3438F">
        <w:t>aus</w:t>
      </w:r>
      <w:r w:rsidRPr="00B3438F">
        <w:rPr>
          <w:spacing w:val="-11"/>
        </w:rPr>
        <w:t xml:space="preserve"> </w:t>
      </w:r>
      <w:r w:rsidRPr="00B3438F">
        <w:t>mehr</w:t>
      </w:r>
      <w:r w:rsidRPr="00B3438F">
        <w:rPr>
          <w:spacing w:val="-12"/>
        </w:rPr>
        <w:t xml:space="preserve"> </w:t>
      </w:r>
      <w:r w:rsidRPr="00B3438F">
        <w:t>als</w:t>
      </w:r>
      <w:r w:rsidRPr="00B3438F">
        <w:rPr>
          <w:spacing w:val="-11"/>
        </w:rPr>
        <w:t xml:space="preserve"> </w:t>
      </w:r>
      <w:r w:rsidRPr="00B3438F">
        <w:t>200</w:t>
      </w:r>
      <w:r w:rsidRPr="00B3438F">
        <w:rPr>
          <w:spacing w:val="-10"/>
        </w:rPr>
        <w:t xml:space="preserve"> </w:t>
      </w:r>
      <w:r w:rsidRPr="00B3438F">
        <w:t xml:space="preserve">Produkten und Dienstleistungen (bspw. die Kosten für </w:t>
      </w:r>
      <w:r w:rsidRPr="00B3438F">
        <w:lastRenderedPageBreak/>
        <w:t>Miete, öffentliche Verkehrsmittel, Kleidung,</w:t>
      </w:r>
      <w:r w:rsidRPr="00B3438F">
        <w:rPr>
          <w:spacing w:val="51"/>
        </w:rPr>
        <w:t xml:space="preserve"> </w:t>
      </w:r>
      <w:r w:rsidRPr="00B3438F">
        <w:t>Lebensmittel,</w:t>
      </w:r>
      <w:r w:rsidRPr="00B3438F">
        <w:rPr>
          <w:spacing w:val="53"/>
        </w:rPr>
        <w:t xml:space="preserve"> </w:t>
      </w:r>
      <w:r w:rsidRPr="00B3438F">
        <w:t>Lebensmittel,</w:t>
      </w:r>
      <w:r w:rsidRPr="00B3438F">
        <w:rPr>
          <w:spacing w:val="55"/>
        </w:rPr>
        <w:t xml:space="preserve"> </w:t>
      </w:r>
      <w:r w:rsidRPr="00B3438F">
        <w:t>Freizeitangebote).</w:t>
      </w:r>
      <w:r w:rsidRPr="00B3438F">
        <w:rPr>
          <w:spacing w:val="52"/>
        </w:rPr>
        <w:t xml:space="preserve"> </w:t>
      </w:r>
      <w:r w:rsidRPr="00B3438F">
        <w:t>Das</w:t>
      </w:r>
      <w:r w:rsidRPr="00B3438F">
        <w:rPr>
          <w:spacing w:val="52"/>
        </w:rPr>
        <w:t xml:space="preserve"> </w:t>
      </w:r>
      <w:r w:rsidRPr="00B3438F">
        <w:t>weltweit</w:t>
      </w:r>
      <w:r w:rsidRPr="00B3438F">
        <w:rPr>
          <w:spacing w:val="56"/>
        </w:rPr>
        <w:t xml:space="preserve"> </w:t>
      </w:r>
      <w:r w:rsidRPr="00B3438F">
        <w:rPr>
          <w:spacing w:val="-2"/>
        </w:rPr>
        <w:t xml:space="preserve">tätige </w:t>
      </w:r>
      <w:r w:rsidRPr="00B3438F">
        <w:t xml:space="preserve">Beratungsunternehmen Mercer </w:t>
      </w:r>
      <w:hyperlink r:id="rId147">
        <w:r w:rsidRPr="00B3438F">
          <w:t>(www.mercer.com)</w:t>
        </w:r>
      </w:hyperlink>
      <w:r w:rsidRPr="00B3438F">
        <w:t xml:space="preserve"> ist in Deutschland mit über 600 Mitarbeitern u.a. an den Standorten Berlin, Düsseldorf, Frankfurt, Hamburg, Leipzig, München und Stuttgart vertreten </w:t>
      </w:r>
      <w:hyperlink r:id="rId148">
        <w:r w:rsidRPr="00B3438F">
          <w:t>(www.mercer.de</w:t>
        </w:r>
      </w:hyperlink>
      <w:r w:rsidRPr="00B3438F">
        <w:t>). Die Schwerpunkte der Geschäftstätigkeit liegen in der Beratung von Unternehmen rund um betriebliche Altersversorgung, Vergütung, Human Capital-Strategie, M&amp;A und Investments sowie Pensions-Administration.</w:t>
      </w:r>
    </w:p>
    <w:p w14:paraId="338EAA20" w14:textId="77777777" w:rsidR="00FF7799" w:rsidRPr="00B3438F" w:rsidRDefault="00FF7799" w:rsidP="00650404">
      <w:pPr>
        <w:pStyle w:val="StandardText"/>
      </w:pPr>
      <w:r w:rsidRPr="00B3438F">
        <w:t>Zum dritten Mal in Folge erwies sich die angolanische Hauptstadt Luanda als die weltweit teuerste Stadt für Auslandsentsendungen. Insbesondere die Kosten für importierte Waren sowie sicheren und angemessenen Wohnraum sind in der ansonsten</w:t>
      </w:r>
      <w:r w:rsidRPr="00B3438F">
        <w:rPr>
          <w:spacing w:val="-7"/>
        </w:rPr>
        <w:t xml:space="preserve"> </w:t>
      </w:r>
      <w:r w:rsidRPr="00B3438F">
        <w:t>eher</w:t>
      </w:r>
      <w:r w:rsidRPr="00B3438F">
        <w:rPr>
          <w:spacing w:val="-8"/>
        </w:rPr>
        <w:t xml:space="preserve"> </w:t>
      </w:r>
      <w:r w:rsidRPr="00B3438F">
        <w:t>günstigen</w:t>
      </w:r>
      <w:r w:rsidRPr="00B3438F">
        <w:rPr>
          <w:spacing w:val="-7"/>
        </w:rPr>
        <w:t xml:space="preserve"> </w:t>
      </w:r>
      <w:r w:rsidRPr="00B3438F">
        <w:t>Stadt</w:t>
      </w:r>
      <w:r w:rsidRPr="00B3438F">
        <w:rPr>
          <w:spacing w:val="-7"/>
        </w:rPr>
        <w:t xml:space="preserve"> </w:t>
      </w:r>
      <w:r w:rsidRPr="00B3438F">
        <w:t>enorm</w:t>
      </w:r>
      <w:r w:rsidRPr="00B3438F">
        <w:rPr>
          <w:spacing w:val="-8"/>
        </w:rPr>
        <w:t xml:space="preserve"> </w:t>
      </w:r>
      <w:r w:rsidRPr="00B3438F">
        <w:t>(6.000€</w:t>
      </w:r>
      <w:r w:rsidRPr="00B3438F">
        <w:rPr>
          <w:spacing w:val="-7"/>
        </w:rPr>
        <w:t xml:space="preserve"> </w:t>
      </w:r>
      <w:r w:rsidRPr="00B3438F">
        <w:t>Monatsmiete</w:t>
      </w:r>
      <w:r w:rsidRPr="00B3438F">
        <w:rPr>
          <w:spacing w:val="-8"/>
        </w:rPr>
        <w:t xml:space="preserve"> </w:t>
      </w:r>
      <w:r w:rsidRPr="00B3438F">
        <w:t>für</w:t>
      </w:r>
      <w:r w:rsidRPr="00B3438F">
        <w:rPr>
          <w:spacing w:val="-8"/>
        </w:rPr>
        <w:t xml:space="preserve"> </w:t>
      </w:r>
      <w:r w:rsidRPr="00B3438F">
        <w:t>ein</w:t>
      </w:r>
      <w:r w:rsidRPr="00B3438F">
        <w:rPr>
          <w:spacing w:val="-6"/>
        </w:rPr>
        <w:t xml:space="preserve"> </w:t>
      </w:r>
      <w:r w:rsidRPr="00B3438F">
        <w:t>Apartment</w:t>
      </w:r>
      <w:r w:rsidRPr="00B3438F">
        <w:rPr>
          <w:spacing w:val="-7"/>
        </w:rPr>
        <w:t xml:space="preserve"> </w:t>
      </w:r>
      <w:r w:rsidRPr="00B3438F">
        <w:t xml:space="preserve">mit zwei Schlafräumen, unmöbliert, in „angemessener Nachbarschaft“). Auf Platz zwei folgt Hong Kong. Mit Zürich (3), Genf (5) und Bern (9) zählen gleich drei Schweizer Städte zu den Top-10 der teuersten Standorte. Komplettiert wird diese Liste von vier ost- bzw. südostasiatischen Städten - Singapur (4), Shanghai (6), Peking (7) und Seoul (8) – sowie einer zweiten afrikanischen Stadt: N’Djamena im Tschad (10). Die weltweit günstigste Stadt im Ranking ist Bischkek in </w:t>
      </w:r>
      <w:r w:rsidRPr="00B3438F">
        <w:rPr>
          <w:spacing w:val="-2"/>
        </w:rPr>
        <w:t>Kirgisistan.</w:t>
      </w:r>
    </w:p>
    <w:p w14:paraId="03215B2E" w14:textId="77777777" w:rsidR="00FF7799" w:rsidRPr="00B3438F" w:rsidRDefault="00FF7799" w:rsidP="00650404">
      <w:pPr>
        <w:pStyle w:val="StandardText"/>
      </w:pPr>
      <w:r w:rsidRPr="00B3438F">
        <w:t>Viele westeuropäische Städte schneiden infolge von Währungsverlusten gegenüber</w:t>
      </w:r>
      <w:r w:rsidRPr="00B3438F">
        <w:rPr>
          <w:spacing w:val="-6"/>
        </w:rPr>
        <w:t xml:space="preserve"> </w:t>
      </w:r>
      <w:r w:rsidRPr="00B3438F">
        <w:t>dem</w:t>
      </w:r>
      <w:r w:rsidRPr="00B3438F">
        <w:rPr>
          <w:spacing w:val="-4"/>
        </w:rPr>
        <w:t xml:space="preserve"> </w:t>
      </w:r>
      <w:r w:rsidRPr="00B3438F">
        <w:t>US-Dollar</w:t>
      </w:r>
      <w:r w:rsidRPr="00B3438F">
        <w:rPr>
          <w:spacing w:val="-3"/>
        </w:rPr>
        <w:t xml:space="preserve"> </w:t>
      </w:r>
      <w:r w:rsidRPr="00B3438F">
        <w:t>wesentlich</w:t>
      </w:r>
      <w:r w:rsidRPr="00B3438F">
        <w:rPr>
          <w:spacing w:val="-3"/>
        </w:rPr>
        <w:t xml:space="preserve"> </w:t>
      </w:r>
      <w:r w:rsidRPr="00B3438F">
        <w:t>günstiger</w:t>
      </w:r>
      <w:r w:rsidRPr="00B3438F">
        <w:rPr>
          <w:spacing w:val="-3"/>
        </w:rPr>
        <w:t xml:space="preserve"> </w:t>
      </w:r>
      <w:r w:rsidRPr="00B3438F">
        <w:t>ab</w:t>
      </w:r>
      <w:r w:rsidRPr="00B3438F">
        <w:rPr>
          <w:spacing w:val="-5"/>
        </w:rPr>
        <w:t xml:space="preserve"> </w:t>
      </w:r>
      <w:r w:rsidRPr="00B3438F">
        <w:t>als</w:t>
      </w:r>
      <w:r w:rsidRPr="00B3438F">
        <w:rPr>
          <w:spacing w:val="-4"/>
        </w:rPr>
        <w:t xml:space="preserve"> </w:t>
      </w:r>
      <w:r w:rsidRPr="00B3438F">
        <w:t>in</w:t>
      </w:r>
      <w:r w:rsidRPr="00B3438F">
        <w:rPr>
          <w:spacing w:val="-4"/>
        </w:rPr>
        <w:t xml:space="preserve"> </w:t>
      </w:r>
      <w:r w:rsidRPr="00B3438F">
        <w:t>den</w:t>
      </w:r>
      <w:r w:rsidRPr="00B3438F">
        <w:rPr>
          <w:spacing w:val="-5"/>
        </w:rPr>
        <w:t xml:space="preserve"> </w:t>
      </w:r>
      <w:r w:rsidRPr="00B3438F">
        <w:t>Vorjahren (vgl. Tab. 1).</w:t>
      </w:r>
      <w:r w:rsidRPr="00B3438F">
        <w:rPr>
          <w:spacing w:val="-5"/>
        </w:rPr>
        <w:t xml:space="preserve"> </w:t>
      </w:r>
      <w:r w:rsidRPr="00B3438F">
        <w:rPr>
          <w:spacing w:val="-2"/>
        </w:rPr>
        <w:t xml:space="preserve">München </w:t>
      </w:r>
      <w:r w:rsidRPr="00B3438F">
        <w:t>(87)</w:t>
      </w:r>
      <w:r w:rsidRPr="00B3438F">
        <w:rPr>
          <w:spacing w:val="-12"/>
        </w:rPr>
        <w:t xml:space="preserve"> </w:t>
      </w:r>
      <w:r w:rsidRPr="00B3438F">
        <w:t>ist</w:t>
      </w:r>
      <w:r w:rsidRPr="00B3438F">
        <w:rPr>
          <w:spacing w:val="-10"/>
        </w:rPr>
        <w:t xml:space="preserve"> </w:t>
      </w:r>
      <w:r w:rsidRPr="00B3438F">
        <w:t>um</w:t>
      </w:r>
      <w:r w:rsidRPr="00B3438F">
        <w:rPr>
          <w:spacing w:val="-10"/>
        </w:rPr>
        <w:t xml:space="preserve"> </w:t>
      </w:r>
      <w:r w:rsidRPr="00B3438F">
        <w:t>32</w:t>
      </w:r>
      <w:r w:rsidRPr="00B3438F">
        <w:rPr>
          <w:spacing w:val="-10"/>
        </w:rPr>
        <w:t xml:space="preserve"> </w:t>
      </w:r>
      <w:r w:rsidRPr="00B3438F">
        <w:t>Plätze</w:t>
      </w:r>
      <w:r w:rsidRPr="00B3438F">
        <w:rPr>
          <w:spacing w:val="-10"/>
        </w:rPr>
        <w:t xml:space="preserve"> </w:t>
      </w:r>
      <w:r w:rsidRPr="00B3438F">
        <w:t>gefallen,</w:t>
      </w:r>
      <w:r w:rsidRPr="00B3438F">
        <w:rPr>
          <w:spacing w:val="-11"/>
        </w:rPr>
        <w:t xml:space="preserve"> </w:t>
      </w:r>
      <w:r w:rsidRPr="00B3438F">
        <w:t>Frankfurt</w:t>
      </w:r>
      <w:r w:rsidRPr="00B3438F">
        <w:rPr>
          <w:spacing w:val="-9"/>
        </w:rPr>
        <w:t xml:space="preserve"> </w:t>
      </w:r>
      <w:r w:rsidRPr="00B3438F">
        <w:t>(98)</w:t>
      </w:r>
      <w:r w:rsidRPr="00B3438F">
        <w:rPr>
          <w:spacing w:val="-8"/>
        </w:rPr>
        <w:t xml:space="preserve"> </w:t>
      </w:r>
      <w:r w:rsidRPr="00B3438F">
        <w:t>um</w:t>
      </w:r>
      <w:r w:rsidRPr="00B3438F">
        <w:rPr>
          <w:spacing w:val="-12"/>
        </w:rPr>
        <w:t xml:space="preserve"> </w:t>
      </w:r>
      <w:r w:rsidRPr="00B3438F">
        <w:t>39</w:t>
      </w:r>
      <w:r w:rsidRPr="00B3438F">
        <w:rPr>
          <w:spacing w:val="-9"/>
        </w:rPr>
        <w:t xml:space="preserve"> </w:t>
      </w:r>
      <w:r w:rsidRPr="00B3438F">
        <w:t>und</w:t>
      </w:r>
      <w:r w:rsidRPr="00B3438F">
        <w:rPr>
          <w:spacing w:val="-10"/>
        </w:rPr>
        <w:t xml:space="preserve"> </w:t>
      </w:r>
      <w:r w:rsidRPr="00B3438F">
        <w:t>Berlin</w:t>
      </w:r>
      <w:r w:rsidRPr="00B3438F">
        <w:rPr>
          <w:spacing w:val="-10"/>
        </w:rPr>
        <w:t xml:space="preserve"> </w:t>
      </w:r>
      <w:r w:rsidRPr="00B3438F">
        <w:t>(106)</w:t>
      </w:r>
      <w:r w:rsidRPr="00B3438F">
        <w:rPr>
          <w:spacing w:val="-9"/>
        </w:rPr>
        <w:t xml:space="preserve"> </w:t>
      </w:r>
      <w:r w:rsidRPr="00B3438F">
        <w:t>um</w:t>
      </w:r>
      <w:r w:rsidRPr="00B3438F">
        <w:rPr>
          <w:spacing w:val="-12"/>
        </w:rPr>
        <w:t xml:space="preserve"> </w:t>
      </w:r>
      <w:r w:rsidRPr="00B3438F">
        <w:t>38</w:t>
      </w:r>
      <w:r w:rsidRPr="00B3438F">
        <w:rPr>
          <w:spacing w:val="-9"/>
        </w:rPr>
        <w:t xml:space="preserve"> </w:t>
      </w:r>
      <w:r w:rsidRPr="00B3438F">
        <w:t>Plätze. Düsseldorf</w:t>
      </w:r>
      <w:r w:rsidRPr="00B3438F">
        <w:rPr>
          <w:spacing w:val="4"/>
        </w:rPr>
        <w:t xml:space="preserve"> </w:t>
      </w:r>
      <w:r w:rsidRPr="00B3438F">
        <w:t>rutscht</w:t>
      </w:r>
      <w:r w:rsidRPr="00B3438F">
        <w:rPr>
          <w:spacing w:val="6"/>
        </w:rPr>
        <w:t xml:space="preserve"> </w:t>
      </w:r>
      <w:r w:rsidRPr="00B3438F">
        <w:t>von</w:t>
      </w:r>
      <w:r w:rsidRPr="00B3438F">
        <w:rPr>
          <w:spacing w:val="5"/>
        </w:rPr>
        <w:t xml:space="preserve"> </w:t>
      </w:r>
      <w:r w:rsidRPr="00B3438F">
        <w:t>73</w:t>
      </w:r>
      <w:r w:rsidRPr="00B3438F">
        <w:rPr>
          <w:spacing w:val="7"/>
        </w:rPr>
        <w:t xml:space="preserve"> </w:t>
      </w:r>
      <w:r w:rsidRPr="00B3438F">
        <w:t>auf</w:t>
      </w:r>
      <w:r w:rsidRPr="00B3438F">
        <w:rPr>
          <w:spacing w:val="4"/>
        </w:rPr>
        <w:t xml:space="preserve"> </w:t>
      </w:r>
      <w:r w:rsidRPr="00B3438F">
        <w:t>114,</w:t>
      </w:r>
      <w:r w:rsidRPr="00B3438F">
        <w:rPr>
          <w:spacing w:val="6"/>
        </w:rPr>
        <w:t xml:space="preserve"> </w:t>
      </w:r>
      <w:r w:rsidRPr="00B3438F">
        <w:t>Hamburg</w:t>
      </w:r>
      <w:r w:rsidRPr="00B3438F">
        <w:rPr>
          <w:spacing w:val="6"/>
        </w:rPr>
        <w:t xml:space="preserve"> </w:t>
      </w:r>
      <w:r w:rsidRPr="00B3438F">
        <w:t>von</w:t>
      </w:r>
      <w:r w:rsidRPr="00B3438F">
        <w:rPr>
          <w:spacing w:val="7"/>
        </w:rPr>
        <w:t xml:space="preserve"> </w:t>
      </w:r>
      <w:r w:rsidRPr="00B3438F">
        <w:t>76</w:t>
      </w:r>
      <w:r w:rsidRPr="00B3438F">
        <w:rPr>
          <w:spacing w:val="7"/>
        </w:rPr>
        <w:t xml:space="preserve"> </w:t>
      </w:r>
      <w:r w:rsidRPr="00B3438F">
        <w:t>auf</w:t>
      </w:r>
      <w:r w:rsidRPr="00B3438F">
        <w:rPr>
          <w:spacing w:val="6"/>
        </w:rPr>
        <w:t xml:space="preserve"> </w:t>
      </w:r>
      <w:r w:rsidRPr="00B3438F">
        <w:t>124.</w:t>
      </w:r>
      <w:r w:rsidRPr="00B3438F">
        <w:rPr>
          <w:spacing w:val="6"/>
        </w:rPr>
        <w:t xml:space="preserve"> </w:t>
      </w:r>
      <w:r w:rsidRPr="00B3438F">
        <w:t>Es</w:t>
      </w:r>
      <w:r w:rsidRPr="00B3438F">
        <w:rPr>
          <w:spacing w:val="6"/>
        </w:rPr>
        <w:t xml:space="preserve"> </w:t>
      </w:r>
      <w:r w:rsidRPr="00B3438F">
        <w:t>folgen</w:t>
      </w:r>
      <w:r w:rsidRPr="00B3438F">
        <w:rPr>
          <w:spacing w:val="6"/>
        </w:rPr>
        <w:t xml:space="preserve"> </w:t>
      </w:r>
      <w:r w:rsidRPr="00B3438F">
        <w:rPr>
          <w:spacing w:val="-2"/>
        </w:rPr>
        <w:t xml:space="preserve">Stuttgart </w:t>
      </w:r>
      <w:r w:rsidRPr="00B3438F">
        <w:t>(139) und Nürnberg (169), die damit um 48 bzw. 40 Plätze fallen. Die günstigste deutsche Stadt Leipzig tauscht Rang 141 mit Rang 172. Aber auch in anderen Ländern führten Währungseffekte dazu, dass Städte weit im Ranking nach unten gerutscht sind. So sind Moskau (50) und St. Petersburg (152) um 41 bzw. 117 Plätze gefallen, da der Rubel nicht zuletzt aufgrund der Sanktionen stark an Wert verloren hat. Darüber hinaus sind auch die Ölpreise momentan recht niedrig.“</w:t>
      </w:r>
    </w:p>
    <w:p w14:paraId="31B3A71D" w14:textId="77777777" w:rsidR="00FF7799" w:rsidRPr="00E73F6F" w:rsidRDefault="00FF7799" w:rsidP="00862DBA">
      <w:pPr>
        <w:spacing w:before="7"/>
        <w:rPr>
          <w:sz w:val="24"/>
          <w:szCs w:val="24"/>
        </w:rPr>
      </w:pPr>
    </w:p>
    <w:p w14:paraId="541ECE3D" w14:textId="77777777" w:rsidR="00FF7799" w:rsidRPr="007D6CC1" w:rsidRDefault="00FF7799" w:rsidP="0059425A">
      <w:pPr>
        <w:pStyle w:val="BeschriftungTab"/>
        <w:rPr>
          <w:i/>
          <w:iCs/>
        </w:rPr>
      </w:pPr>
      <w:r w:rsidRPr="007D6CC1">
        <w:rPr>
          <w:i/>
          <w:iCs/>
        </w:rPr>
        <w:t>Tab. 1: Platzierung</w:t>
      </w:r>
      <w:r w:rsidRPr="007D6CC1">
        <w:rPr>
          <w:i/>
          <w:iCs/>
          <w:spacing w:val="-2"/>
        </w:rPr>
        <w:t xml:space="preserve"> </w:t>
      </w:r>
      <w:r w:rsidRPr="007D6CC1">
        <w:rPr>
          <w:i/>
          <w:iCs/>
        </w:rPr>
        <w:t>deutscher Städte im</w:t>
      </w:r>
      <w:r w:rsidRPr="007D6CC1">
        <w:rPr>
          <w:i/>
          <w:iCs/>
          <w:spacing w:val="-2"/>
        </w:rPr>
        <w:t xml:space="preserve"> </w:t>
      </w:r>
      <w:r w:rsidRPr="007D6CC1">
        <w:rPr>
          <w:i/>
          <w:iCs/>
        </w:rPr>
        <w:t>Cost of</w:t>
      </w:r>
      <w:r w:rsidRPr="007D6CC1">
        <w:rPr>
          <w:i/>
          <w:iCs/>
          <w:spacing w:val="-2"/>
        </w:rPr>
        <w:t xml:space="preserve"> </w:t>
      </w:r>
      <w:r w:rsidRPr="007D6CC1">
        <w:rPr>
          <w:i/>
          <w:iCs/>
        </w:rPr>
        <w:t>Living-</w:t>
      </w:r>
      <w:r w:rsidRPr="007D6CC1">
        <w:rPr>
          <w:i/>
          <w:iCs/>
          <w:spacing w:val="-2"/>
        </w:rPr>
        <w:t>Ranking</w:t>
      </w:r>
    </w:p>
    <w:tbl>
      <w:tblPr>
        <w:tblStyle w:val="Tabellenraster"/>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020"/>
        <w:gridCol w:w="3021"/>
        <w:gridCol w:w="3021"/>
      </w:tblGrid>
      <w:tr w:rsidR="00FF7799" w:rsidRPr="00E73F6F" w14:paraId="4E32E7C9" w14:textId="77777777" w:rsidTr="0059425A">
        <w:trPr>
          <w:tblHeader/>
        </w:trPr>
        <w:tc>
          <w:tcPr>
            <w:tcW w:w="3020" w:type="dxa"/>
            <w:shd w:val="clear" w:color="auto" w:fill="FFC000" w:themeFill="accent4"/>
          </w:tcPr>
          <w:p w14:paraId="3CDAEEAD" w14:textId="77777777" w:rsidR="00FF7799" w:rsidRPr="00E73F6F" w:rsidRDefault="00FF7799" w:rsidP="0059425A">
            <w:pPr>
              <w:pStyle w:val="StandardText"/>
              <w:spacing w:after="120"/>
              <w:rPr>
                <w:b/>
              </w:rPr>
            </w:pPr>
            <w:r w:rsidRPr="00E73F6F">
              <w:rPr>
                <w:b/>
              </w:rPr>
              <w:t>Rang (2014)</w:t>
            </w:r>
          </w:p>
        </w:tc>
        <w:tc>
          <w:tcPr>
            <w:tcW w:w="3021" w:type="dxa"/>
            <w:shd w:val="clear" w:color="auto" w:fill="FFC000" w:themeFill="accent4"/>
          </w:tcPr>
          <w:p w14:paraId="360327A2" w14:textId="77777777" w:rsidR="00FF7799" w:rsidRPr="00E73F6F" w:rsidRDefault="00FF7799" w:rsidP="0059425A">
            <w:pPr>
              <w:pStyle w:val="StandardText"/>
              <w:spacing w:after="120"/>
              <w:rPr>
                <w:b/>
              </w:rPr>
            </w:pPr>
            <w:r w:rsidRPr="00E73F6F">
              <w:rPr>
                <w:b/>
              </w:rPr>
              <w:t>Rang (2025)</w:t>
            </w:r>
          </w:p>
        </w:tc>
        <w:tc>
          <w:tcPr>
            <w:tcW w:w="3021" w:type="dxa"/>
            <w:shd w:val="clear" w:color="auto" w:fill="FFC000" w:themeFill="accent4"/>
          </w:tcPr>
          <w:p w14:paraId="321441F3" w14:textId="77777777" w:rsidR="00FF7799" w:rsidRPr="00E73F6F" w:rsidRDefault="00FF7799" w:rsidP="0059425A">
            <w:pPr>
              <w:pStyle w:val="StandardText"/>
              <w:spacing w:after="120"/>
              <w:rPr>
                <w:b/>
              </w:rPr>
            </w:pPr>
            <w:r w:rsidRPr="00E73F6F">
              <w:rPr>
                <w:b/>
              </w:rPr>
              <w:t>Stadt</w:t>
            </w:r>
          </w:p>
        </w:tc>
      </w:tr>
      <w:tr w:rsidR="00FF7799" w:rsidRPr="00E73F6F" w14:paraId="411C0A08" w14:textId="77777777" w:rsidTr="0059425A">
        <w:tc>
          <w:tcPr>
            <w:tcW w:w="3020" w:type="dxa"/>
          </w:tcPr>
          <w:p w14:paraId="11F2E210" w14:textId="77777777" w:rsidR="00FF7799" w:rsidRPr="00E73F6F" w:rsidRDefault="00FF7799" w:rsidP="0059425A">
            <w:pPr>
              <w:pStyle w:val="StandardText"/>
              <w:rPr>
                <w:szCs w:val="24"/>
              </w:rPr>
            </w:pPr>
            <w:r w:rsidRPr="00E73F6F">
              <w:rPr>
                <w:spacing w:val="-5"/>
                <w:szCs w:val="24"/>
              </w:rPr>
              <w:t>55</w:t>
            </w:r>
          </w:p>
        </w:tc>
        <w:tc>
          <w:tcPr>
            <w:tcW w:w="3021" w:type="dxa"/>
          </w:tcPr>
          <w:p w14:paraId="2DD743B3" w14:textId="77777777" w:rsidR="00FF7799" w:rsidRPr="00E73F6F" w:rsidRDefault="00FF7799" w:rsidP="0059425A">
            <w:pPr>
              <w:pStyle w:val="StandardText"/>
              <w:rPr>
                <w:szCs w:val="24"/>
              </w:rPr>
            </w:pPr>
            <w:r w:rsidRPr="00E73F6F">
              <w:rPr>
                <w:spacing w:val="-5"/>
                <w:szCs w:val="24"/>
              </w:rPr>
              <w:t>87</w:t>
            </w:r>
          </w:p>
        </w:tc>
        <w:tc>
          <w:tcPr>
            <w:tcW w:w="3021" w:type="dxa"/>
          </w:tcPr>
          <w:p w14:paraId="364CF33C" w14:textId="77777777" w:rsidR="00FF7799" w:rsidRPr="00E73F6F" w:rsidRDefault="00FF7799" w:rsidP="0059425A">
            <w:pPr>
              <w:pStyle w:val="StandardText"/>
              <w:rPr>
                <w:szCs w:val="24"/>
              </w:rPr>
            </w:pPr>
            <w:r w:rsidRPr="00E73F6F">
              <w:rPr>
                <w:spacing w:val="-2"/>
                <w:szCs w:val="24"/>
              </w:rPr>
              <w:t>München</w:t>
            </w:r>
          </w:p>
        </w:tc>
      </w:tr>
      <w:tr w:rsidR="00FF7799" w:rsidRPr="00E73F6F" w14:paraId="67BB4C0A" w14:textId="77777777" w:rsidTr="0059425A">
        <w:tc>
          <w:tcPr>
            <w:tcW w:w="3020" w:type="dxa"/>
          </w:tcPr>
          <w:p w14:paraId="6BB9A873" w14:textId="77777777" w:rsidR="00FF7799" w:rsidRPr="00E73F6F" w:rsidRDefault="00FF7799" w:rsidP="0059425A">
            <w:pPr>
              <w:pStyle w:val="StandardText"/>
              <w:rPr>
                <w:szCs w:val="24"/>
              </w:rPr>
            </w:pPr>
            <w:r w:rsidRPr="00E73F6F">
              <w:rPr>
                <w:spacing w:val="-5"/>
                <w:szCs w:val="24"/>
              </w:rPr>
              <w:t>59</w:t>
            </w:r>
          </w:p>
        </w:tc>
        <w:tc>
          <w:tcPr>
            <w:tcW w:w="3021" w:type="dxa"/>
          </w:tcPr>
          <w:p w14:paraId="4C8031EC" w14:textId="77777777" w:rsidR="00FF7799" w:rsidRPr="00E73F6F" w:rsidRDefault="00FF7799" w:rsidP="0059425A">
            <w:pPr>
              <w:pStyle w:val="StandardText"/>
              <w:rPr>
                <w:szCs w:val="24"/>
              </w:rPr>
            </w:pPr>
            <w:r w:rsidRPr="00E73F6F">
              <w:rPr>
                <w:spacing w:val="-5"/>
                <w:szCs w:val="24"/>
              </w:rPr>
              <w:t>98</w:t>
            </w:r>
          </w:p>
        </w:tc>
        <w:tc>
          <w:tcPr>
            <w:tcW w:w="3021" w:type="dxa"/>
          </w:tcPr>
          <w:p w14:paraId="6D08052C" w14:textId="77777777" w:rsidR="00FF7799" w:rsidRPr="00E73F6F" w:rsidRDefault="00FF7799" w:rsidP="0059425A">
            <w:pPr>
              <w:pStyle w:val="StandardText"/>
              <w:rPr>
                <w:szCs w:val="24"/>
              </w:rPr>
            </w:pPr>
            <w:r w:rsidRPr="00E73F6F">
              <w:rPr>
                <w:spacing w:val="-2"/>
                <w:szCs w:val="24"/>
              </w:rPr>
              <w:t>Frankfurt</w:t>
            </w:r>
          </w:p>
        </w:tc>
      </w:tr>
      <w:tr w:rsidR="00FF7799" w:rsidRPr="00E73F6F" w14:paraId="69D8DCD3" w14:textId="77777777" w:rsidTr="0059425A">
        <w:tc>
          <w:tcPr>
            <w:tcW w:w="3020" w:type="dxa"/>
          </w:tcPr>
          <w:p w14:paraId="1760FA92" w14:textId="77777777" w:rsidR="00FF7799" w:rsidRPr="00E73F6F" w:rsidRDefault="00FF7799" w:rsidP="0059425A">
            <w:pPr>
              <w:pStyle w:val="StandardText"/>
              <w:rPr>
                <w:szCs w:val="24"/>
              </w:rPr>
            </w:pPr>
            <w:r w:rsidRPr="00E73F6F">
              <w:rPr>
                <w:spacing w:val="-5"/>
                <w:szCs w:val="24"/>
              </w:rPr>
              <w:t>68</w:t>
            </w:r>
          </w:p>
        </w:tc>
        <w:tc>
          <w:tcPr>
            <w:tcW w:w="3021" w:type="dxa"/>
          </w:tcPr>
          <w:p w14:paraId="7E796BD5" w14:textId="77777777" w:rsidR="00FF7799" w:rsidRPr="00E73F6F" w:rsidRDefault="00FF7799" w:rsidP="0059425A">
            <w:pPr>
              <w:pStyle w:val="StandardText"/>
              <w:rPr>
                <w:szCs w:val="24"/>
              </w:rPr>
            </w:pPr>
            <w:r w:rsidRPr="00E73F6F">
              <w:rPr>
                <w:spacing w:val="-5"/>
                <w:szCs w:val="24"/>
              </w:rPr>
              <w:t>106</w:t>
            </w:r>
          </w:p>
        </w:tc>
        <w:tc>
          <w:tcPr>
            <w:tcW w:w="3021" w:type="dxa"/>
          </w:tcPr>
          <w:p w14:paraId="132ABE72" w14:textId="77777777" w:rsidR="00FF7799" w:rsidRPr="00E73F6F" w:rsidRDefault="00FF7799" w:rsidP="0059425A">
            <w:pPr>
              <w:pStyle w:val="StandardText"/>
              <w:rPr>
                <w:szCs w:val="24"/>
              </w:rPr>
            </w:pPr>
            <w:r w:rsidRPr="00E73F6F">
              <w:rPr>
                <w:spacing w:val="-2"/>
                <w:szCs w:val="24"/>
              </w:rPr>
              <w:t>Berlin</w:t>
            </w:r>
          </w:p>
        </w:tc>
      </w:tr>
      <w:tr w:rsidR="00FF7799" w:rsidRPr="00E73F6F" w14:paraId="44EF6D9F" w14:textId="77777777" w:rsidTr="0059425A">
        <w:tc>
          <w:tcPr>
            <w:tcW w:w="3020" w:type="dxa"/>
          </w:tcPr>
          <w:p w14:paraId="3F9C7A72" w14:textId="77777777" w:rsidR="00FF7799" w:rsidRPr="00E73F6F" w:rsidRDefault="00FF7799" w:rsidP="0059425A">
            <w:pPr>
              <w:pStyle w:val="StandardText"/>
              <w:rPr>
                <w:szCs w:val="24"/>
              </w:rPr>
            </w:pPr>
            <w:r w:rsidRPr="00E73F6F">
              <w:rPr>
                <w:spacing w:val="-5"/>
                <w:szCs w:val="24"/>
              </w:rPr>
              <w:t>73</w:t>
            </w:r>
          </w:p>
        </w:tc>
        <w:tc>
          <w:tcPr>
            <w:tcW w:w="3021" w:type="dxa"/>
          </w:tcPr>
          <w:p w14:paraId="7112418D" w14:textId="77777777" w:rsidR="00FF7799" w:rsidRPr="00E73F6F" w:rsidRDefault="00FF7799" w:rsidP="0059425A">
            <w:pPr>
              <w:pStyle w:val="StandardText"/>
              <w:rPr>
                <w:szCs w:val="24"/>
              </w:rPr>
            </w:pPr>
            <w:r w:rsidRPr="00E73F6F">
              <w:rPr>
                <w:spacing w:val="-5"/>
                <w:szCs w:val="24"/>
              </w:rPr>
              <w:t>114</w:t>
            </w:r>
          </w:p>
        </w:tc>
        <w:tc>
          <w:tcPr>
            <w:tcW w:w="3021" w:type="dxa"/>
          </w:tcPr>
          <w:p w14:paraId="6469ABC4" w14:textId="77777777" w:rsidR="00FF7799" w:rsidRPr="00E73F6F" w:rsidRDefault="00FF7799" w:rsidP="0059425A">
            <w:pPr>
              <w:pStyle w:val="StandardText"/>
              <w:rPr>
                <w:szCs w:val="24"/>
              </w:rPr>
            </w:pPr>
            <w:r w:rsidRPr="00E73F6F">
              <w:rPr>
                <w:spacing w:val="-2"/>
                <w:szCs w:val="24"/>
              </w:rPr>
              <w:t>Düsseldorf</w:t>
            </w:r>
          </w:p>
        </w:tc>
      </w:tr>
      <w:tr w:rsidR="00FF7799" w:rsidRPr="00E73F6F" w14:paraId="37F9E6F3" w14:textId="77777777" w:rsidTr="0059425A">
        <w:tc>
          <w:tcPr>
            <w:tcW w:w="3020" w:type="dxa"/>
          </w:tcPr>
          <w:p w14:paraId="304D4A6C" w14:textId="77777777" w:rsidR="00FF7799" w:rsidRPr="00E73F6F" w:rsidRDefault="00FF7799" w:rsidP="0059425A">
            <w:pPr>
              <w:pStyle w:val="StandardText"/>
              <w:rPr>
                <w:szCs w:val="24"/>
              </w:rPr>
            </w:pPr>
            <w:r w:rsidRPr="00E73F6F">
              <w:rPr>
                <w:spacing w:val="-5"/>
                <w:szCs w:val="24"/>
              </w:rPr>
              <w:t>76</w:t>
            </w:r>
          </w:p>
        </w:tc>
        <w:tc>
          <w:tcPr>
            <w:tcW w:w="3021" w:type="dxa"/>
          </w:tcPr>
          <w:p w14:paraId="202CED06" w14:textId="77777777" w:rsidR="00FF7799" w:rsidRPr="00E73F6F" w:rsidRDefault="00FF7799" w:rsidP="0059425A">
            <w:pPr>
              <w:pStyle w:val="StandardText"/>
              <w:rPr>
                <w:szCs w:val="24"/>
              </w:rPr>
            </w:pPr>
            <w:r w:rsidRPr="00E73F6F">
              <w:rPr>
                <w:spacing w:val="-5"/>
                <w:szCs w:val="24"/>
              </w:rPr>
              <w:t>124</w:t>
            </w:r>
          </w:p>
        </w:tc>
        <w:tc>
          <w:tcPr>
            <w:tcW w:w="3021" w:type="dxa"/>
          </w:tcPr>
          <w:p w14:paraId="768DC635" w14:textId="77777777" w:rsidR="00FF7799" w:rsidRPr="00E73F6F" w:rsidRDefault="00FF7799" w:rsidP="0059425A">
            <w:pPr>
              <w:pStyle w:val="StandardText"/>
              <w:rPr>
                <w:szCs w:val="24"/>
              </w:rPr>
            </w:pPr>
            <w:r w:rsidRPr="00E73F6F">
              <w:rPr>
                <w:spacing w:val="-2"/>
                <w:szCs w:val="24"/>
              </w:rPr>
              <w:t>Hamburg</w:t>
            </w:r>
          </w:p>
        </w:tc>
      </w:tr>
      <w:tr w:rsidR="00FF7799" w:rsidRPr="00E73F6F" w14:paraId="177C4153" w14:textId="77777777" w:rsidTr="0059425A">
        <w:tc>
          <w:tcPr>
            <w:tcW w:w="3020" w:type="dxa"/>
          </w:tcPr>
          <w:p w14:paraId="091DD052" w14:textId="77777777" w:rsidR="00FF7799" w:rsidRPr="00E73F6F" w:rsidRDefault="00FF7799" w:rsidP="0059425A">
            <w:pPr>
              <w:pStyle w:val="StandardText"/>
              <w:rPr>
                <w:szCs w:val="24"/>
              </w:rPr>
            </w:pPr>
            <w:r w:rsidRPr="00E73F6F">
              <w:rPr>
                <w:spacing w:val="-5"/>
                <w:szCs w:val="24"/>
              </w:rPr>
              <w:t>91</w:t>
            </w:r>
          </w:p>
        </w:tc>
        <w:tc>
          <w:tcPr>
            <w:tcW w:w="3021" w:type="dxa"/>
          </w:tcPr>
          <w:p w14:paraId="57CD9DAC" w14:textId="77777777" w:rsidR="00FF7799" w:rsidRPr="00E73F6F" w:rsidRDefault="00FF7799" w:rsidP="0059425A">
            <w:pPr>
              <w:pStyle w:val="StandardText"/>
              <w:rPr>
                <w:szCs w:val="24"/>
              </w:rPr>
            </w:pPr>
            <w:r w:rsidRPr="00E73F6F">
              <w:rPr>
                <w:spacing w:val="-5"/>
                <w:szCs w:val="24"/>
              </w:rPr>
              <w:t>139</w:t>
            </w:r>
          </w:p>
        </w:tc>
        <w:tc>
          <w:tcPr>
            <w:tcW w:w="3021" w:type="dxa"/>
          </w:tcPr>
          <w:p w14:paraId="0626BF0E" w14:textId="77777777" w:rsidR="00FF7799" w:rsidRPr="00E73F6F" w:rsidRDefault="00FF7799" w:rsidP="0059425A">
            <w:pPr>
              <w:pStyle w:val="StandardText"/>
              <w:rPr>
                <w:szCs w:val="24"/>
              </w:rPr>
            </w:pPr>
            <w:r w:rsidRPr="00E73F6F">
              <w:rPr>
                <w:spacing w:val="-2"/>
                <w:szCs w:val="24"/>
              </w:rPr>
              <w:t>Stuttgart</w:t>
            </w:r>
          </w:p>
        </w:tc>
      </w:tr>
      <w:tr w:rsidR="00FF7799" w:rsidRPr="00E73F6F" w14:paraId="20C175B7" w14:textId="77777777" w:rsidTr="0059425A">
        <w:tc>
          <w:tcPr>
            <w:tcW w:w="3020" w:type="dxa"/>
          </w:tcPr>
          <w:p w14:paraId="14E2BA56" w14:textId="77777777" w:rsidR="00FF7799" w:rsidRPr="00E73F6F" w:rsidRDefault="00FF7799" w:rsidP="0059425A">
            <w:pPr>
              <w:pStyle w:val="StandardText"/>
              <w:rPr>
                <w:szCs w:val="24"/>
              </w:rPr>
            </w:pPr>
            <w:r w:rsidRPr="00E73F6F">
              <w:rPr>
                <w:spacing w:val="-5"/>
                <w:szCs w:val="24"/>
              </w:rPr>
              <w:t>129</w:t>
            </w:r>
          </w:p>
        </w:tc>
        <w:tc>
          <w:tcPr>
            <w:tcW w:w="3021" w:type="dxa"/>
          </w:tcPr>
          <w:p w14:paraId="59133D06" w14:textId="77777777" w:rsidR="00FF7799" w:rsidRPr="00E73F6F" w:rsidRDefault="00FF7799" w:rsidP="0059425A">
            <w:pPr>
              <w:pStyle w:val="StandardText"/>
              <w:rPr>
                <w:szCs w:val="24"/>
              </w:rPr>
            </w:pPr>
            <w:r w:rsidRPr="00E73F6F">
              <w:rPr>
                <w:spacing w:val="-5"/>
                <w:szCs w:val="24"/>
              </w:rPr>
              <w:t>169</w:t>
            </w:r>
          </w:p>
        </w:tc>
        <w:tc>
          <w:tcPr>
            <w:tcW w:w="3021" w:type="dxa"/>
          </w:tcPr>
          <w:p w14:paraId="5218E978" w14:textId="77777777" w:rsidR="00FF7799" w:rsidRPr="00E73F6F" w:rsidRDefault="00FF7799" w:rsidP="0059425A">
            <w:pPr>
              <w:pStyle w:val="StandardText"/>
              <w:rPr>
                <w:szCs w:val="24"/>
              </w:rPr>
            </w:pPr>
            <w:r w:rsidRPr="00E73F6F">
              <w:rPr>
                <w:spacing w:val="-2"/>
                <w:szCs w:val="24"/>
              </w:rPr>
              <w:t>Nürnberg</w:t>
            </w:r>
          </w:p>
        </w:tc>
      </w:tr>
      <w:tr w:rsidR="00FF7799" w:rsidRPr="00E73F6F" w14:paraId="0256EC14" w14:textId="77777777" w:rsidTr="0059425A">
        <w:tc>
          <w:tcPr>
            <w:tcW w:w="3020" w:type="dxa"/>
          </w:tcPr>
          <w:p w14:paraId="38CDAE25" w14:textId="77777777" w:rsidR="00FF7799" w:rsidRPr="00E73F6F" w:rsidRDefault="00FF7799" w:rsidP="0059425A">
            <w:pPr>
              <w:pStyle w:val="StandardText"/>
              <w:rPr>
                <w:szCs w:val="24"/>
              </w:rPr>
            </w:pPr>
            <w:r w:rsidRPr="00E73F6F">
              <w:rPr>
                <w:spacing w:val="-5"/>
                <w:szCs w:val="24"/>
              </w:rPr>
              <w:t>141</w:t>
            </w:r>
          </w:p>
        </w:tc>
        <w:tc>
          <w:tcPr>
            <w:tcW w:w="3021" w:type="dxa"/>
          </w:tcPr>
          <w:p w14:paraId="459E91EA" w14:textId="77777777" w:rsidR="00FF7799" w:rsidRPr="00E73F6F" w:rsidRDefault="00FF7799" w:rsidP="0059425A">
            <w:pPr>
              <w:pStyle w:val="StandardText"/>
              <w:rPr>
                <w:szCs w:val="24"/>
              </w:rPr>
            </w:pPr>
            <w:r w:rsidRPr="00E73F6F">
              <w:rPr>
                <w:spacing w:val="-5"/>
                <w:szCs w:val="24"/>
              </w:rPr>
              <w:t>172</w:t>
            </w:r>
          </w:p>
        </w:tc>
        <w:tc>
          <w:tcPr>
            <w:tcW w:w="3021" w:type="dxa"/>
          </w:tcPr>
          <w:p w14:paraId="6F509AFE" w14:textId="77777777" w:rsidR="00FF7799" w:rsidRPr="00E73F6F" w:rsidRDefault="00FF7799" w:rsidP="0059425A">
            <w:pPr>
              <w:pStyle w:val="StandardText"/>
              <w:rPr>
                <w:szCs w:val="24"/>
              </w:rPr>
            </w:pPr>
            <w:r w:rsidRPr="00E73F6F">
              <w:rPr>
                <w:spacing w:val="-2"/>
                <w:szCs w:val="24"/>
              </w:rPr>
              <w:t>Leipzig</w:t>
            </w:r>
          </w:p>
        </w:tc>
      </w:tr>
    </w:tbl>
    <w:p w14:paraId="5BAB5AA9" w14:textId="77777777" w:rsidR="00FF7799" w:rsidRPr="00E73F6F" w:rsidRDefault="00FF7799" w:rsidP="0059425A">
      <w:pPr>
        <w:pStyle w:val="StandardText"/>
      </w:pPr>
    </w:p>
    <w:p w14:paraId="57C1E35B" w14:textId="77777777" w:rsidR="00FF7799" w:rsidRPr="009D25D8" w:rsidRDefault="00FF7799" w:rsidP="00414BDC">
      <w:pPr>
        <w:pStyle w:val="berschrift1"/>
        <w:rPr>
          <w:bCs w:val="0"/>
          <w:color w:val="2E74B5"/>
          <w:sz w:val="22"/>
        </w:rPr>
      </w:pPr>
      <w:r w:rsidRPr="009D25D8">
        <w:rPr>
          <w:bCs w:val="0"/>
          <w:color w:val="2E74B5"/>
          <w:sz w:val="22"/>
        </w:rPr>
        <w:t>Lebensstil</w:t>
      </w:r>
    </w:p>
    <w:p w14:paraId="443C025C" w14:textId="77777777" w:rsidR="00FF7799" w:rsidRPr="00E73F6F" w:rsidRDefault="00FF7799" w:rsidP="0059425A">
      <w:pPr>
        <w:pStyle w:val="StandardText"/>
      </w:pPr>
      <w:r w:rsidRPr="00E73F6F">
        <w:t>Art und Weise, wie Menschen ihrem Selbstbild</w:t>
      </w:r>
      <w:r w:rsidRPr="00E73F6F">
        <w:rPr>
          <w:spacing w:val="40"/>
        </w:rPr>
        <w:t xml:space="preserve"> </w:t>
      </w:r>
      <w:r w:rsidRPr="00E73F6F">
        <w:t>durch ihre Interessen sowie ihr Konsum-,</w:t>
      </w:r>
      <w:r w:rsidRPr="00E73F6F">
        <w:rPr>
          <w:spacing w:val="-5"/>
        </w:rPr>
        <w:t xml:space="preserve"> </w:t>
      </w:r>
      <w:r w:rsidRPr="00E73F6F">
        <w:t>Freizeit-</w:t>
      </w:r>
      <w:r w:rsidRPr="00E73F6F">
        <w:rPr>
          <w:spacing w:val="-6"/>
        </w:rPr>
        <w:t xml:space="preserve"> </w:t>
      </w:r>
      <w:r w:rsidRPr="00E73F6F">
        <w:t>und</w:t>
      </w:r>
      <w:r w:rsidRPr="00E73F6F">
        <w:rPr>
          <w:spacing w:val="-5"/>
        </w:rPr>
        <w:t xml:space="preserve"> </w:t>
      </w:r>
      <w:r w:rsidRPr="00E73F6F">
        <w:t>Mediennutzungsverhalten</w:t>
      </w:r>
      <w:r w:rsidRPr="00E73F6F">
        <w:rPr>
          <w:spacing w:val="-3"/>
        </w:rPr>
        <w:t xml:space="preserve"> </w:t>
      </w:r>
      <w:r w:rsidRPr="00E73F6F">
        <w:t>sichtbaren</w:t>
      </w:r>
      <w:r w:rsidRPr="00E73F6F">
        <w:rPr>
          <w:spacing w:val="-1"/>
        </w:rPr>
        <w:t xml:space="preserve"> </w:t>
      </w:r>
      <w:r w:rsidRPr="00E73F6F">
        <w:t>Ausdruck</w:t>
      </w:r>
      <w:r w:rsidRPr="00E73F6F">
        <w:rPr>
          <w:spacing w:val="-5"/>
        </w:rPr>
        <w:t xml:space="preserve"> </w:t>
      </w:r>
      <w:r w:rsidRPr="00E73F6F">
        <w:t>verleihen. Wer</w:t>
      </w:r>
      <w:r w:rsidRPr="00E73F6F">
        <w:rPr>
          <w:spacing w:val="-12"/>
        </w:rPr>
        <w:t xml:space="preserve"> </w:t>
      </w:r>
      <w:r w:rsidRPr="00E73F6F">
        <w:t>sich</w:t>
      </w:r>
      <w:r w:rsidRPr="00E73F6F">
        <w:rPr>
          <w:spacing w:val="-11"/>
        </w:rPr>
        <w:t xml:space="preserve"> </w:t>
      </w:r>
      <w:r w:rsidRPr="00E73F6F">
        <w:t>selbst</w:t>
      </w:r>
      <w:r w:rsidRPr="00E73F6F">
        <w:rPr>
          <w:spacing w:val="-11"/>
        </w:rPr>
        <w:t xml:space="preserve"> </w:t>
      </w:r>
      <w:r w:rsidRPr="00E73F6F">
        <w:t>als</w:t>
      </w:r>
      <w:r w:rsidRPr="00E73F6F">
        <w:rPr>
          <w:spacing w:val="-11"/>
        </w:rPr>
        <w:t xml:space="preserve"> </w:t>
      </w:r>
      <w:r w:rsidRPr="00E73F6F">
        <w:t>risikofreudig</w:t>
      </w:r>
      <w:r w:rsidRPr="00E73F6F">
        <w:rPr>
          <w:spacing w:val="-12"/>
        </w:rPr>
        <w:t xml:space="preserve"> </w:t>
      </w:r>
      <w:r w:rsidRPr="00E73F6F">
        <w:t>wahrnimmt,</w:t>
      </w:r>
      <w:r w:rsidRPr="00E73F6F">
        <w:rPr>
          <w:spacing w:val="-11"/>
        </w:rPr>
        <w:t xml:space="preserve"> </w:t>
      </w:r>
      <w:r w:rsidRPr="00E73F6F">
        <w:t>wird</w:t>
      </w:r>
      <w:r w:rsidRPr="00E73F6F">
        <w:rPr>
          <w:spacing w:val="-11"/>
        </w:rPr>
        <w:t xml:space="preserve"> </w:t>
      </w:r>
      <w:r w:rsidRPr="00E73F6F">
        <w:t>dies</w:t>
      </w:r>
      <w:r w:rsidRPr="00E73F6F">
        <w:rPr>
          <w:spacing w:val="-11"/>
        </w:rPr>
        <w:t xml:space="preserve"> </w:t>
      </w:r>
      <w:r w:rsidRPr="00E73F6F">
        <w:t>durch</w:t>
      </w:r>
      <w:r w:rsidRPr="00E73F6F">
        <w:rPr>
          <w:spacing w:val="-12"/>
        </w:rPr>
        <w:t xml:space="preserve"> </w:t>
      </w:r>
      <w:r w:rsidRPr="00E73F6F">
        <w:t>einen</w:t>
      </w:r>
      <w:r w:rsidRPr="00E73F6F">
        <w:rPr>
          <w:spacing w:val="-11"/>
        </w:rPr>
        <w:t xml:space="preserve"> </w:t>
      </w:r>
      <w:r w:rsidRPr="00E73F6F">
        <w:t>risikofreudigen Lebensstil demonstrieren und sich bspw. eher für Drachenfliegen als für Joga begeistern, lieber in Aktien als in Festgeld investieren und Vorsorgeuntersuchungen ablehnen. Die Lebensstilforschung untersucht, wie die öko</w:t>
      </w:r>
      <w:r w:rsidRPr="00E73F6F">
        <w:lastRenderedPageBreak/>
        <w:t>nomischen (z.B. Konjunktur) und sozialen Verhältnisse (z.B. Wertewandel) die</w:t>
      </w:r>
      <w:r w:rsidRPr="00E73F6F">
        <w:rPr>
          <w:spacing w:val="69"/>
          <w:w w:val="150"/>
        </w:rPr>
        <w:t xml:space="preserve"> </w:t>
      </w:r>
      <w:r w:rsidRPr="00E73F6F">
        <w:t>Lebensführung</w:t>
      </w:r>
      <w:r w:rsidRPr="00E73F6F">
        <w:rPr>
          <w:spacing w:val="70"/>
          <w:w w:val="150"/>
        </w:rPr>
        <w:t xml:space="preserve"> </w:t>
      </w:r>
      <w:r w:rsidRPr="00E73F6F">
        <w:t>sowie</w:t>
      </w:r>
      <w:r w:rsidRPr="00E73F6F">
        <w:rPr>
          <w:spacing w:val="69"/>
          <w:w w:val="150"/>
        </w:rPr>
        <w:t xml:space="preserve"> </w:t>
      </w:r>
      <w:r w:rsidRPr="00E73F6F">
        <w:t>die</w:t>
      </w:r>
      <w:r w:rsidRPr="00E73F6F">
        <w:rPr>
          <w:spacing w:val="69"/>
          <w:w w:val="150"/>
        </w:rPr>
        <w:t xml:space="preserve"> </w:t>
      </w:r>
      <w:r w:rsidRPr="00E73F6F">
        <w:t>damit</w:t>
      </w:r>
      <w:r w:rsidRPr="00E73F6F">
        <w:rPr>
          <w:spacing w:val="70"/>
          <w:w w:val="150"/>
        </w:rPr>
        <w:t xml:space="preserve"> </w:t>
      </w:r>
      <w:r w:rsidRPr="00E73F6F">
        <w:t>verbundenen</w:t>
      </w:r>
      <w:r w:rsidRPr="00E73F6F">
        <w:rPr>
          <w:spacing w:val="70"/>
          <w:w w:val="150"/>
        </w:rPr>
        <w:t xml:space="preserve"> </w:t>
      </w:r>
      <w:r w:rsidRPr="00E73F6F">
        <w:rPr>
          <w:spacing w:val="-2"/>
        </w:rPr>
        <w:t xml:space="preserve">individuellen </w:t>
      </w:r>
      <w:r w:rsidRPr="00E73F6F">
        <w:t>„Lebensäußerungen“</w:t>
      </w:r>
      <w:r w:rsidRPr="00E73F6F">
        <w:rPr>
          <w:spacing w:val="-3"/>
        </w:rPr>
        <w:t xml:space="preserve"> </w:t>
      </w:r>
      <w:r w:rsidRPr="00E73F6F">
        <w:t>(z.B.</w:t>
      </w:r>
      <w:r w:rsidRPr="00E73F6F">
        <w:rPr>
          <w:spacing w:val="-3"/>
        </w:rPr>
        <w:t xml:space="preserve"> </w:t>
      </w:r>
      <w:r w:rsidRPr="00E73F6F">
        <w:t>Freizeitverhalten)</w:t>
      </w:r>
      <w:r w:rsidRPr="00E73F6F">
        <w:rPr>
          <w:spacing w:val="-3"/>
        </w:rPr>
        <w:t xml:space="preserve"> </w:t>
      </w:r>
      <w:r w:rsidRPr="00E73F6F">
        <w:rPr>
          <w:spacing w:val="-2"/>
        </w:rPr>
        <w:t>beeinflussen.</w:t>
      </w:r>
    </w:p>
    <w:p w14:paraId="4D335744" w14:textId="77777777" w:rsidR="00FF7799" w:rsidRPr="00E73F6F" w:rsidRDefault="00FF7799" w:rsidP="0059425A">
      <w:pPr>
        <w:pStyle w:val="StandardText"/>
      </w:pPr>
      <w:r w:rsidRPr="00E73F6F">
        <w:t>Anfangs,</w:t>
      </w:r>
      <w:r w:rsidRPr="00E73F6F">
        <w:rPr>
          <w:spacing w:val="-3"/>
        </w:rPr>
        <w:t xml:space="preserve"> </w:t>
      </w:r>
      <w:r w:rsidRPr="00E73F6F">
        <w:t>d.h.</w:t>
      </w:r>
      <w:r w:rsidRPr="00E73F6F">
        <w:rPr>
          <w:spacing w:val="-1"/>
        </w:rPr>
        <w:t xml:space="preserve"> </w:t>
      </w:r>
      <w:r w:rsidRPr="00E73F6F">
        <w:t>bis</w:t>
      </w:r>
      <w:r w:rsidRPr="00E73F6F">
        <w:rPr>
          <w:spacing w:val="-2"/>
        </w:rPr>
        <w:t xml:space="preserve"> </w:t>
      </w:r>
      <w:r w:rsidRPr="00E73F6F">
        <w:t>in</w:t>
      </w:r>
      <w:r w:rsidRPr="00E73F6F">
        <w:rPr>
          <w:spacing w:val="-2"/>
        </w:rPr>
        <w:t xml:space="preserve"> </w:t>
      </w:r>
      <w:r w:rsidRPr="00E73F6F">
        <w:t>die</w:t>
      </w:r>
      <w:r w:rsidRPr="00E73F6F">
        <w:rPr>
          <w:spacing w:val="-1"/>
        </w:rPr>
        <w:t xml:space="preserve"> </w:t>
      </w:r>
      <w:r w:rsidRPr="00E73F6F">
        <w:t>1960er</w:t>
      </w:r>
      <w:r w:rsidRPr="00E73F6F">
        <w:rPr>
          <w:spacing w:val="-2"/>
        </w:rPr>
        <w:t xml:space="preserve"> </w:t>
      </w:r>
      <w:r w:rsidRPr="00E73F6F">
        <w:t>Jahre</w:t>
      </w:r>
      <w:r w:rsidRPr="00E73F6F">
        <w:rPr>
          <w:spacing w:val="-2"/>
        </w:rPr>
        <w:t xml:space="preserve"> </w:t>
      </w:r>
      <w:r w:rsidRPr="00E73F6F">
        <w:t>hinein,</w:t>
      </w:r>
      <w:r w:rsidRPr="00E73F6F">
        <w:rPr>
          <w:spacing w:val="-3"/>
        </w:rPr>
        <w:t xml:space="preserve"> </w:t>
      </w:r>
      <w:r w:rsidRPr="00E73F6F">
        <w:t>orientierte</w:t>
      </w:r>
      <w:r w:rsidRPr="00E73F6F">
        <w:rPr>
          <w:spacing w:val="-1"/>
        </w:rPr>
        <w:t xml:space="preserve"> </w:t>
      </w:r>
      <w:r w:rsidRPr="00E73F6F">
        <w:t>sich</w:t>
      </w:r>
      <w:r w:rsidRPr="00E73F6F">
        <w:rPr>
          <w:spacing w:val="-3"/>
        </w:rPr>
        <w:t xml:space="preserve"> </w:t>
      </w:r>
      <w:r w:rsidRPr="00E73F6F">
        <w:t>die</w:t>
      </w:r>
      <w:r w:rsidRPr="00E73F6F">
        <w:rPr>
          <w:spacing w:val="-4"/>
        </w:rPr>
        <w:t xml:space="preserve"> </w:t>
      </w:r>
      <w:r w:rsidRPr="00E73F6F">
        <w:t>nach</w:t>
      </w:r>
      <w:r w:rsidRPr="00E73F6F">
        <w:rPr>
          <w:spacing w:val="-1"/>
        </w:rPr>
        <w:t xml:space="preserve"> </w:t>
      </w:r>
      <w:r w:rsidRPr="00E73F6F">
        <w:t>Bildung</w:t>
      </w:r>
      <w:r w:rsidRPr="00E73F6F">
        <w:rPr>
          <w:spacing w:val="-2"/>
        </w:rPr>
        <w:t xml:space="preserve"> </w:t>
      </w:r>
      <w:r w:rsidRPr="00E73F6F">
        <w:t>und Einkommen geschichtete Gesellschaft an der vermögendsten Gruppe, der Oberschicht. Seit den 1970er Jahren sind Ober-, Mittel- und Unterschicht jedoch keine homogenen gesellschaftlichen Schichten mehr. Unter dem Eindruck von Bildungsrevolution und Wertewandel differenzierten sie sich weiter, was erhebliche Konsequenzen für das</w:t>
      </w:r>
      <w:r w:rsidRPr="00E73F6F">
        <w:rPr>
          <w:spacing w:val="-1"/>
        </w:rPr>
        <w:t xml:space="preserve"> </w:t>
      </w:r>
      <w:r w:rsidRPr="00E73F6F">
        <w:t xml:space="preserve">Verhalten der Konsumenten hatte. Immer mehr verhielten sich multioptional. Starre Traditionen wichen zunehmenden Wahlmöglichkeiten. Und was einst durch die Schichtzugehörigkeit vorgegeben war - Berufswahl, äußeres Erscheinungsbild oder Lebensform -, wurde nun Gegenstand eigener Reflexion und Entscheidungsfindung. Schichten, sofern sie noch bestanden und feststellbar waren, diversifizierten sich hinsichtlich der Wertorientierungen ihrer Angehörigen. So, wie die soziale Klasse in den 1950er und 1960er Jahren entscheidend an Eindeutigkeit und Bindungswirkung verloren hat, so stellt mittlerweile auch der Lebensstil keine verlässliche Planungs- und Entscheidungsgrundlage für die Definition von </w:t>
      </w:r>
      <w:r w:rsidR="00F3160E">
        <w:sym w:font="Symbol" w:char="F0DE"/>
      </w:r>
      <w:r w:rsidR="00F3160E">
        <w:t xml:space="preserve"> </w:t>
      </w:r>
      <w:r w:rsidRPr="00E73F6F">
        <w:t>Zielgruppen mehr dar. Die Wünsche und Verhaltensweisen des hybriden und multioptionalen Konsumenten werden zunehmend vielschichtig und unberechenbar.</w:t>
      </w:r>
    </w:p>
    <w:p w14:paraId="45A7AF5C" w14:textId="77777777" w:rsidR="00FF7799" w:rsidRPr="00E73F6F" w:rsidRDefault="00FF7799" w:rsidP="0059425A">
      <w:pPr>
        <w:pStyle w:val="StandardText"/>
      </w:pPr>
      <w:r w:rsidRPr="00E73F6F">
        <w:t xml:space="preserve">Mittlerweile ist die Lebensstil- bzw. Lifestyle-Forschung interdisziplinär. Soziologie, Psychologie, </w:t>
      </w:r>
      <w:r w:rsidR="00B3438F">
        <w:sym w:font="Symbol" w:char="F0DE"/>
      </w:r>
      <w:r w:rsidR="00B3438F">
        <w:t xml:space="preserve"> </w:t>
      </w:r>
      <w:r w:rsidRPr="00E73F6F">
        <w:t xml:space="preserve">Kulturanthropologie, </w:t>
      </w:r>
      <w:r w:rsidR="00B3438F">
        <w:sym w:font="Symbol" w:char="F0DE"/>
      </w:r>
      <w:r w:rsidR="00B3438F">
        <w:t xml:space="preserve"> </w:t>
      </w:r>
      <w:r w:rsidRPr="00E73F6F">
        <w:t>Ethnologie, Politikwissenschaften sowie Konsumentenforschung befassen sich mit diesem Thema. Und Marktforscher haben eine Reihe von Lebensstilkonzepten entwickelt, etwa die Sinus-Milieus, welche 1980 auf Basis von 1.400 Lebenswelt-Explorationen zunächst für Deutschland entwickelt wurden (vgl. Tab. 1).</w:t>
      </w:r>
    </w:p>
    <w:p w14:paraId="4CFF263A" w14:textId="77777777" w:rsidR="00FF7799" w:rsidRPr="00E73F6F" w:rsidRDefault="00FF7799" w:rsidP="0059425A">
      <w:pPr>
        <w:pStyle w:val="StandardText"/>
      </w:pPr>
    </w:p>
    <w:p w14:paraId="736A55AF" w14:textId="77777777" w:rsidR="00FF7799" w:rsidRPr="007D6CC1" w:rsidRDefault="00FF7799" w:rsidP="0059425A">
      <w:pPr>
        <w:pStyle w:val="BeschriftungTab"/>
        <w:rPr>
          <w:i/>
          <w:iCs/>
        </w:rPr>
      </w:pPr>
      <w:r w:rsidRPr="007D6CC1">
        <w:rPr>
          <w:i/>
          <w:iCs/>
        </w:rPr>
        <w:t>Tab. 1:</w:t>
      </w:r>
      <w:r w:rsidRPr="007D6CC1">
        <w:rPr>
          <w:i/>
          <w:iCs/>
          <w:spacing w:val="-3"/>
        </w:rPr>
        <w:t xml:space="preserve"> </w:t>
      </w:r>
      <w:r w:rsidRPr="007D6CC1">
        <w:rPr>
          <w:i/>
          <w:iCs/>
        </w:rPr>
        <w:t>Etablierte</w:t>
      </w:r>
      <w:r w:rsidRPr="007D6CC1">
        <w:rPr>
          <w:i/>
          <w:iCs/>
          <w:spacing w:val="-1"/>
        </w:rPr>
        <w:t xml:space="preserve"> </w:t>
      </w:r>
      <w:r w:rsidRPr="007D6CC1">
        <w:rPr>
          <w:i/>
          <w:iCs/>
        </w:rPr>
        <w:t>Lebensstiltypologien</w:t>
      </w:r>
    </w:p>
    <w:p w14:paraId="516619E0" w14:textId="77777777" w:rsidR="00FF7799" w:rsidRPr="00E73F6F" w:rsidRDefault="00FF7799" w:rsidP="00862DBA">
      <w:pPr>
        <w:spacing w:before="7"/>
        <w:rPr>
          <w:i/>
          <w:sz w:val="24"/>
          <w:szCs w:val="24"/>
        </w:rPr>
      </w:pPr>
    </w:p>
    <w:tbl>
      <w:tblPr>
        <w:tblStyle w:val="TableNormal"/>
        <w:tblW w:w="5000" w:type="pct"/>
        <w:tblBorders>
          <w:top w:val="single" w:sz="2" w:space="0" w:color="000000"/>
          <w:bottom w:val="single" w:sz="2" w:space="0" w:color="000000"/>
          <w:insideH w:val="single" w:sz="2" w:space="0" w:color="000000"/>
        </w:tblBorders>
        <w:tblCellMar>
          <w:left w:w="57" w:type="dxa"/>
          <w:right w:w="57" w:type="dxa"/>
        </w:tblCellMar>
        <w:tblLook w:val="01E0" w:firstRow="1" w:lastRow="1" w:firstColumn="1" w:lastColumn="1" w:noHBand="0" w:noVBand="0"/>
      </w:tblPr>
      <w:tblGrid>
        <w:gridCol w:w="1596"/>
        <w:gridCol w:w="1522"/>
        <w:gridCol w:w="2410"/>
        <w:gridCol w:w="3544"/>
      </w:tblGrid>
      <w:tr w:rsidR="00FF7799" w:rsidRPr="00E73F6F" w14:paraId="10A497BB" w14:textId="77777777" w:rsidTr="00342772">
        <w:trPr>
          <w:trHeight w:val="316"/>
          <w:tblHeader/>
        </w:trPr>
        <w:tc>
          <w:tcPr>
            <w:tcW w:w="880" w:type="pct"/>
            <w:shd w:val="clear" w:color="auto" w:fill="FFC000" w:themeFill="accent4"/>
          </w:tcPr>
          <w:p w14:paraId="54FB9797" w14:textId="77777777" w:rsidR="00FF7799" w:rsidRPr="00E73F6F" w:rsidRDefault="00FF7799" w:rsidP="0059425A">
            <w:pPr>
              <w:pStyle w:val="StandardText"/>
              <w:spacing w:after="120"/>
              <w:jc w:val="center"/>
              <w:rPr>
                <w:b/>
                <w:lang w:val="de-DE"/>
              </w:rPr>
            </w:pPr>
            <w:r w:rsidRPr="00E73F6F">
              <w:rPr>
                <w:b/>
                <w:lang w:val="de-DE"/>
              </w:rPr>
              <w:t>Typologie</w:t>
            </w:r>
          </w:p>
        </w:tc>
        <w:tc>
          <w:tcPr>
            <w:tcW w:w="839" w:type="pct"/>
            <w:shd w:val="clear" w:color="auto" w:fill="FFC000" w:themeFill="accent4"/>
          </w:tcPr>
          <w:p w14:paraId="52F3674D" w14:textId="77777777" w:rsidR="00FF7799" w:rsidRPr="00E73F6F" w:rsidRDefault="00FF7799" w:rsidP="0059425A">
            <w:pPr>
              <w:pStyle w:val="StandardText"/>
              <w:spacing w:after="120"/>
              <w:jc w:val="center"/>
              <w:rPr>
                <w:b/>
                <w:lang w:val="de-DE"/>
              </w:rPr>
            </w:pPr>
            <w:r w:rsidRPr="00E73F6F">
              <w:rPr>
                <w:b/>
                <w:lang w:val="de-DE"/>
              </w:rPr>
              <w:t>Organisation</w:t>
            </w:r>
          </w:p>
        </w:tc>
        <w:tc>
          <w:tcPr>
            <w:tcW w:w="1328" w:type="pct"/>
            <w:shd w:val="clear" w:color="auto" w:fill="FFC000" w:themeFill="accent4"/>
          </w:tcPr>
          <w:p w14:paraId="5ECEE0F1" w14:textId="77777777" w:rsidR="00FF7799" w:rsidRPr="00E73F6F" w:rsidRDefault="00FF7799" w:rsidP="0059425A">
            <w:pPr>
              <w:pStyle w:val="StandardText"/>
              <w:spacing w:after="120"/>
              <w:jc w:val="center"/>
              <w:rPr>
                <w:b/>
                <w:lang w:val="de-DE"/>
              </w:rPr>
            </w:pPr>
            <w:r w:rsidRPr="00E73F6F">
              <w:rPr>
                <w:b/>
                <w:lang w:val="de-DE"/>
              </w:rPr>
              <w:t>Dimensionen</w:t>
            </w:r>
          </w:p>
        </w:tc>
        <w:tc>
          <w:tcPr>
            <w:tcW w:w="1953" w:type="pct"/>
            <w:shd w:val="clear" w:color="auto" w:fill="FFC000" w:themeFill="accent4"/>
          </w:tcPr>
          <w:p w14:paraId="419873F0" w14:textId="77777777" w:rsidR="00FF7799" w:rsidRPr="00E73F6F" w:rsidRDefault="00FF7799" w:rsidP="0059425A">
            <w:pPr>
              <w:pStyle w:val="StandardText"/>
              <w:spacing w:after="120"/>
              <w:jc w:val="center"/>
              <w:rPr>
                <w:b/>
                <w:lang w:val="de-DE"/>
              </w:rPr>
            </w:pPr>
            <w:r w:rsidRPr="00E73F6F">
              <w:rPr>
                <w:b/>
                <w:lang w:val="de-DE"/>
              </w:rPr>
              <w:t>Lebensstiltypen</w:t>
            </w:r>
          </w:p>
        </w:tc>
      </w:tr>
      <w:tr w:rsidR="00FF7799" w:rsidRPr="00E73F6F" w14:paraId="2ABB9051" w14:textId="77777777" w:rsidTr="00B3438F">
        <w:trPr>
          <w:trHeight w:val="2397"/>
        </w:trPr>
        <w:tc>
          <w:tcPr>
            <w:tcW w:w="880" w:type="pct"/>
            <w:shd w:val="clear" w:color="auto" w:fill="FFF2CC" w:themeFill="accent4" w:themeFillTint="33"/>
          </w:tcPr>
          <w:p w14:paraId="155D96BC" w14:textId="77777777" w:rsidR="00FF7799" w:rsidRPr="00E73F6F" w:rsidRDefault="00FF7799" w:rsidP="0059425A">
            <w:pPr>
              <w:pStyle w:val="StandardText"/>
              <w:jc w:val="left"/>
              <w:rPr>
                <w:lang w:val="de-DE"/>
              </w:rPr>
            </w:pPr>
            <w:r w:rsidRPr="00E73F6F">
              <w:rPr>
                <w:lang w:val="de-DE"/>
              </w:rPr>
              <w:t>Sinus-Milieus</w:t>
            </w:r>
          </w:p>
        </w:tc>
        <w:tc>
          <w:tcPr>
            <w:tcW w:w="839" w:type="pct"/>
          </w:tcPr>
          <w:p w14:paraId="426C6DCF" w14:textId="77777777" w:rsidR="00FF7799" w:rsidRPr="00E73F6F" w:rsidRDefault="00FF7799" w:rsidP="0059425A">
            <w:pPr>
              <w:pStyle w:val="StandardText"/>
              <w:jc w:val="left"/>
              <w:rPr>
                <w:lang w:val="de-DE"/>
              </w:rPr>
            </w:pPr>
            <w:r w:rsidRPr="00E73F6F">
              <w:rPr>
                <w:lang w:val="de-DE"/>
              </w:rPr>
              <w:t>Sinus</w:t>
            </w:r>
            <w:r w:rsidRPr="00E73F6F">
              <w:rPr>
                <w:spacing w:val="-4"/>
                <w:lang w:val="de-DE"/>
              </w:rPr>
              <w:t xml:space="preserve"> </w:t>
            </w:r>
            <w:r w:rsidRPr="00E73F6F">
              <w:rPr>
                <w:lang w:val="de-DE"/>
              </w:rPr>
              <w:t>Institut</w:t>
            </w:r>
          </w:p>
        </w:tc>
        <w:tc>
          <w:tcPr>
            <w:tcW w:w="1328" w:type="pct"/>
          </w:tcPr>
          <w:p w14:paraId="54BD6AED" w14:textId="77777777" w:rsidR="00FF7799" w:rsidRPr="00E73F6F" w:rsidRDefault="00FF7799" w:rsidP="0059425A">
            <w:pPr>
              <w:pStyle w:val="StandardText"/>
              <w:jc w:val="left"/>
              <w:rPr>
                <w:lang w:val="de-DE"/>
              </w:rPr>
            </w:pPr>
            <w:r w:rsidRPr="00E73F6F">
              <w:rPr>
                <w:lang w:val="de-DE"/>
              </w:rPr>
              <w:t>Soziale</w:t>
            </w:r>
            <w:r w:rsidRPr="00E73F6F">
              <w:rPr>
                <w:spacing w:val="-4"/>
                <w:lang w:val="de-DE"/>
              </w:rPr>
              <w:t xml:space="preserve"> </w:t>
            </w:r>
            <w:r w:rsidRPr="00E73F6F">
              <w:rPr>
                <w:lang w:val="de-DE"/>
              </w:rPr>
              <w:t>Lage</w:t>
            </w:r>
            <w:r w:rsidRPr="00E73F6F">
              <w:rPr>
                <w:spacing w:val="40"/>
                <w:lang w:val="de-DE"/>
              </w:rPr>
              <w:t xml:space="preserve"> </w:t>
            </w:r>
            <w:r w:rsidRPr="00E73F6F">
              <w:rPr>
                <w:lang w:val="de-DE"/>
              </w:rPr>
              <w:t>Grund-orientierung</w:t>
            </w:r>
          </w:p>
        </w:tc>
        <w:tc>
          <w:tcPr>
            <w:tcW w:w="1953" w:type="pct"/>
          </w:tcPr>
          <w:p w14:paraId="01BBDFF1" w14:textId="77777777" w:rsidR="00FF7799" w:rsidRPr="00E73F6F" w:rsidRDefault="00FF7799" w:rsidP="0059425A">
            <w:pPr>
              <w:pStyle w:val="StandardText"/>
              <w:jc w:val="left"/>
              <w:rPr>
                <w:lang w:val="de-DE"/>
              </w:rPr>
            </w:pPr>
            <w:r w:rsidRPr="00E73F6F">
              <w:rPr>
                <w:lang w:val="de-DE"/>
              </w:rPr>
              <w:t>Konservativ-Etablierte,</w:t>
            </w:r>
          </w:p>
          <w:p w14:paraId="1F8ACBDD" w14:textId="77777777" w:rsidR="00FF7799" w:rsidRPr="00E73F6F" w:rsidRDefault="00FF7799" w:rsidP="0059425A">
            <w:pPr>
              <w:pStyle w:val="StandardText"/>
              <w:jc w:val="left"/>
              <w:rPr>
                <w:lang w:val="de-DE"/>
              </w:rPr>
            </w:pPr>
            <w:r w:rsidRPr="00E73F6F">
              <w:rPr>
                <w:lang w:val="de-DE"/>
              </w:rPr>
              <w:t>Liberal-Intellektuelle, Performer,</w:t>
            </w:r>
            <w:r w:rsidRPr="00E73F6F">
              <w:rPr>
                <w:spacing w:val="40"/>
                <w:lang w:val="de-DE"/>
              </w:rPr>
              <w:t xml:space="preserve"> </w:t>
            </w:r>
            <w:r w:rsidRPr="00E73F6F">
              <w:rPr>
                <w:lang w:val="de-DE"/>
              </w:rPr>
              <w:t>Expeditive, Sozialökologische,</w:t>
            </w:r>
            <w:r w:rsidRPr="00E73F6F">
              <w:rPr>
                <w:spacing w:val="40"/>
                <w:lang w:val="de-DE"/>
              </w:rPr>
              <w:t xml:space="preserve"> </w:t>
            </w:r>
            <w:r w:rsidRPr="00E73F6F">
              <w:rPr>
                <w:lang w:val="de-DE"/>
              </w:rPr>
              <w:t>Adaptiv-Pragmatische,</w:t>
            </w:r>
            <w:r w:rsidRPr="00E73F6F">
              <w:rPr>
                <w:spacing w:val="40"/>
                <w:lang w:val="de-DE"/>
              </w:rPr>
              <w:t xml:space="preserve"> </w:t>
            </w:r>
            <w:r w:rsidRPr="00E73F6F">
              <w:rPr>
                <w:lang w:val="de-DE"/>
              </w:rPr>
              <w:t>Bürgerliche</w:t>
            </w:r>
            <w:r w:rsidRPr="00E73F6F">
              <w:rPr>
                <w:spacing w:val="-4"/>
                <w:lang w:val="de-DE"/>
              </w:rPr>
              <w:t xml:space="preserve"> </w:t>
            </w:r>
            <w:r w:rsidRPr="00E73F6F">
              <w:rPr>
                <w:lang w:val="de-DE"/>
              </w:rPr>
              <w:t>Mitte,</w:t>
            </w:r>
            <w:r w:rsidRPr="00E73F6F">
              <w:rPr>
                <w:spacing w:val="-3"/>
                <w:lang w:val="de-DE"/>
              </w:rPr>
              <w:t xml:space="preserve"> </w:t>
            </w:r>
            <w:r w:rsidRPr="00E73F6F">
              <w:rPr>
                <w:lang w:val="de-DE"/>
              </w:rPr>
              <w:t>Traditionelle,</w:t>
            </w:r>
            <w:r w:rsidRPr="00E73F6F">
              <w:rPr>
                <w:spacing w:val="40"/>
                <w:lang w:val="de-DE"/>
              </w:rPr>
              <w:t xml:space="preserve"> </w:t>
            </w:r>
            <w:r w:rsidRPr="00E73F6F">
              <w:rPr>
                <w:lang w:val="de-DE"/>
              </w:rPr>
              <w:t>Hedonisten, Prekäre</w:t>
            </w:r>
          </w:p>
        </w:tc>
      </w:tr>
      <w:tr w:rsidR="00FF7799" w:rsidRPr="00E73F6F" w14:paraId="4DCFF70B" w14:textId="77777777" w:rsidTr="00B3438F">
        <w:trPr>
          <w:trHeight w:val="715"/>
        </w:trPr>
        <w:tc>
          <w:tcPr>
            <w:tcW w:w="880" w:type="pct"/>
            <w:shd w:val="clear" w:color="auto" w:fill="FFF2CC" w:themeFill="accent4" w:themeFillTint="33"/>
          </w:tcPr>
          <w:p w14:paraId="789C324A" w14:textId="77777777" w:rsidR="00FF7799" w:rsidRPr="00E73F6F" w:rsidRDefault="00FF7799" w:rsidP="0059425A">
            <w:pPr>
              <w:pStyle w:val="StandardText"/>
              <w:jc w:val="left"/>
              <w:rPr>
                <w:lang w:val="de-DE"/>
              </w:rPr>
            </w:pPr>
            <w:r w:rsidRPr="00E73F6F">
              <w:rPr>
                <w:lang w:val="de-DE"/>
              </w:rPr>
              <w:t>Roper</w:t>
            </w:r>
            <w:r w:rsidRPr="00E73F6F">
              <w:rPr>
                <w:spacing w:val="-9"/>
                <w:lang w:val="de-DE"/>
              </w:rPr>
              <w:t xml:space="preserve"> </w:t>
            </w:r>
            <w:r w:rsidRPr="00E73F6F">
              <w:rPr>
                <w:lang w:val="de-DE"/>
              </w:rPr>
              <w:t>Consumer</w:t>
            </w:r>
            <w:r w:rsidRPr="00E73F6F">
              <w:rPr>
                <w:spacing w:val="40"/>
                <w:lang w:val="de-DE"/>
              </w:rPr>
              <w:t xml:space="preserve"> </w:t>
            </w:r>
            <w:r w:rsidRPr="00E73F6F">
              <w:rPr>
                <w:lang w:val="de-DE"/>
              </w:rPr>
              <w:t>Styles</w:t>
            </w:r>
          </w:p>
        </w:tc>
        <w:tc>
          <w:tcPr>
            <w:tcW w:w="839" w:type="pct"/>
          </w:tcPr>
          <w:p w14:paraId="1B4229EF" w14:textId="77777777" w:rsidR="00FF7799" w:rsidRPr="00E73F6F" w:rsidRDefault="00FF7799" w:rsidP="0059425A">
            <w:pPr>
              <w:pStyle w:val="StandardText"/>
              <w:jc w:val="left"/>
              <w:rPr>
                <w:lang w:val="de-DE"/>
              </w:rPr>
            </w:pPr>
            <w:r w:rsidRPr="00E73F6F">
              <w:rPr>
                <w:spacing w:val="-5"/>
                <w:lang w:val="de-DE"/>
              </w:rPr>
              <w:t>GfK</w:t>
            </w:r>
          </w:p>
        </w:tc>
        <w:tc>
          <w:tcPr>
            <w:tcW w:w="1328" w:type="pct"/>
          </w:tcPr>
          <w:p w14:paraId="544F82C6" w14:textId="77777777" w:rsidR="00FF7799" w:rsidRPr="00E73F6F" w:rsidRDefault="00FF7799" w:rsidP="0059425A">
            <w:pPr>
              <w:pStyle w:val="StandardText"/>
              <w:jc w:val="left"/>
              <w:rPr>
                <w:lang w:val="de-DE"/>
              </w:rPr>
            </w:pPr>
            <w:r w:rsidRPr="00E73F6F">
              <w:rPr>
                <w:lang w:val="de-DE"/>
              </w:rPr>
              <w:t>Haben</w:t>
            </w:r>
            <w:r w:rsidRPr="00E73F6F">
              <w:rPr>
                <w:spacing w:val="-3"/>
                <w:lang w:val="de-DE"/>
              </w:rPr>
              <w:t xml:space="preserve"> </w:t>
            </w:r>
            <w:r w:rsidRPr="00E73F6F">
              <w:rPr>
                <w:lang w:val="de-DE"/>
              </w:rPr>
              <w:t>vs.</w:t>
            </w:r>
            <w:r w:rsidRPr="00E73F6F">
              <w:rPr>
                <w:spacing w:val="-1"/>
                <w:lang w:val="de-DE"/>
              </w:rPr>
              <w:t xml:space="preserve"> </w:t>
            </w:r>
            <w:r w:rsidRPr="00E73F6F">
              <w:rPr>
                <w:spacing w:val="-4"/>
                <w:lang w:val="de-DE"/>
              </w:rPr>
              <w:t>Sein</w:t>
            </w:r>
          </w:p>
          <w:p w14:paraId="0958D4AD" w14:textId="77777777" w:rsidR="00FF7799" w:rsidRPr="00E73F6F" w:rsidRDefault="00FF7799" w:rsidP="0059425A">
            <w:pPr>
              <w:pStyle w:val="StandardText"/>
              <w:jc w:val="left"/>
              <w:rPr>
                <w:lang w:val="de-DE"/>
              </w:rPr>
            </w:pPr>
            <w:r w:rsidRPr="00E73F6F">
              <w:rPr>
                <w:lang w:val="de-DE"/>
              </w:rPr>
              <w:t>Frieden</w:t>
            </w:r>
            <w:r w:rsidRPr="00E73F6F">
              <w:rPr>
                <w:spacing w:val="-9"/>
                <w:lang w:val="de-DE"/>
              </w:rPr>
              <w:t xml:space="preserve"> </w:t>
            </w:r>
            <w:r w:rsidRPr="00E73F6F">
              <w:rPr>
                <w:lang w:val="de-DE"/>
              </w:rPr>
              <w:t>und</w:t>
            </w:r>
            <w:r w:rsidRPr="00E73F6F">
              <w:rPr>
                <w:spacing w:val="-9"/>
                <w:lang w:val="de-DE"/>
              </w:rPr>
              <w:t xml:space="preserve"> </w:t>
            </w:r>
            <w:r w:rsidRPr="00E73F6F">
              <w:rPr>
                <w:lang w:val="de-DE"/>
              </w:rPr>
              <w:t>Sicherheit</w:t>
            </w:r>
            <w:r w:rsidRPr="00E73F6F">
              <w:rPr>
                <w:spacing w:val="-9"/>
                <w:lang w:val="de-DE"/>
              </w:rPr>
              <w:t xml:space="preserve"> </w:t>
            </w:r>
            <w:r w:rsidRPr="00E73F6F">
              <w:rPr>
                <w:lang w:val="de-DE"/>
              </w:rPr>
              <w:t>vs.</w:t>
            </w:r>
            <w:r w:rsidRPr="00E73F6F">
              <w:rPr>
                <w:spacing w:val="40"/>
                <w:lang w:val="de-DE"/>
              </w:rPr>
              <w:t xml:space="preserve"> </w:t>
            </w:r>
            <w:r w:rsidRPr="00E73F6F">
              <w:rPr>
                <w:lang w:val="de-DE"/>
              </w:rPr>
              <w:t>Leidenschaften</w:t>
            </w:r>
            <w:r w:rsidRPr="00E73F6F">
              <w:rPr>
                <w:spacing w:val="-4"/>
                <w:lang w:val="de-DE"/>
              </w:rPr>
              <w:t xml:space="preserve"> </w:t>
            </w:r>
            <w:r w:rsidRPr="00E73F6F">
              <w:rPr>
                <w:lang w:val="de-DE"/>
              </w:rPr>
              <w:t>leben</w:t>
            </w:r>
          </w:p>
        </w:tc>
        <w:tc>
          <w:tcPr>
            <w:tcW w:w="1953" w:type="pct"/>
          </w:tcPr>
          <w:p w14:paraId="2FE3B628" w14:textId="77777777" w:rsidR="00FF7799" w:rsidRPr="00E73F6F" w:rsidRDefault="00FF7799" w:rsidP="0059425A">
            <w:pPr>
              <w:pStyle w:val="StandardText"/>
              <w:jc w:val="left"/>
              <w:rPr>
                <w:lang w:val="de-DE"/>
              </w:rPr>
            </w:pPr>
            <w:r w:rsidRPr="00E73F6F">
              <w:rPr>
                <w:lang w:val="de-DE"/>
              </w:rPr>
              <w:t>Träumer,</w:t>
            </w:r>
            <w:r w:rsidRPr="00E73F6F">
              <w:rPr>
                <w:spacing w:val="-6"/>
                <w:lang w:val="de-DE"/>
              </w:rPr>
              <w:t xml:space="preserve"> </w:t>
            </w:r>
            <w:r w:rsidRPr="00E73F6F">
              <w:rPr>
                <w:lang w:val="de-DE"/>
              </w:rPr>
              <w:t>Abenteurer,</w:t>
            </w:r>
            <w:r w:rsidRPr="00E73F6F">
              <w:rPr>
                <w:spacing w:val="-5"/>
                <w:lang w:val="de-DE"/>
              </w:rPr>
              <w:t xml:space="preserve"> </w:t>
            </w:r>
            <w:r w:rsidRPr="00E73F6F">
              <w:rPr>
                <w:lang w:val="de-DE"/>
              </w:rPr>
              <w:t>Weltoffene, Häusliche,</w:t>
            </w:r>
            <w:r w:rsidRPr="00E73F6F">
              <w:rPr>
                <w:spacing w:val="-9"/>
                <w:lang w:val="de-DE"/>
              </w:rPr>
              <w:t xml:space="preserve"> </w:t>
            </w:r>
            <w:r w:rsidRPr="00E73F6F">
              <w:rPr>
                <w:lang w:val="de-DE"/>
              </w:rPr>
              <w:t>Realisten,</w:t>
            </w:r>
            <w:r w:rsidRPr="00E73F6F">
              <w:rPr>
                <w:spacing w:val="-9"/>
                <w:lang w:val="de-DE"/>
              </w:rPr>
              <w:t xml:space="preserve"> </w:t>
            </w:r>
            <w:r w:rsidRPr="00E73F6F">
              <w:rPr>
                <w:lang w:val="de-DE"/>
              </w:rPr>
              <w:t>Kritische,</w:t>
            </w:r>
            <w:r w:rsidRPr="00E73F6F">
              <w:rPr>
                <w:spacing w:val="40"/>
                <w:lang w:val="de-DE"/>
              </w:rPr>
              <w:t xml:space="preserve"> </w:t>
            </w:r>
            <w:r w:rsidRPr="00E73F6F">
              <w:rPr>
                <w:lang w:val="de-DE"/>
              </w:rPr>
              <w:t>Bodenständige,</w:t>
            </w:r>
            <w:r w:rsidRPr="00E73F6F">
              <w:rPr>
                <w:spacing w:val="-7"/>
                <w:lang w:val="de-DE"/>
              </w:rPr>
              <w:t xml:space="preserve"> </w:t>
            </w:r>
            <w:r w:rsidRPr="00E73F6F">
              <w:rPr>
                <w:lang w:val="de-DE"/>
              </w:rPr>
              <w:t>Anspruchsvolle</w:t>
            </w:r>
          </w:p>
        </w:tc>
      </w:tr>
      <w:tr w:rsidR="00FF7799" w:rsidRPr="00E73F6F" w14:paraId="3EFB291D" w14:textId="77777777" w:rsidTr="00B3438F">
        <w:trPr>
          <w:trHeight w:val="715"/>
        </w:trPr>
        <w:tc>
          <w:tcPr>
            <w:tcW w:w="880" w:type="pct"/>
            <w:shd w:val="clear" w:color="auto" w:fill="FFF2CC" w:themeFill="accent4" w:themeFillTint="33"/>
          </w:tcPr>
          <w:p w14:paraId="3E454B05" w14:textId="77777777" w:rsidR="00FF7799" w:rsidRPr="00E35FFF" w:rsidRDefault="00FF7799" w:rsidP="0059425A">
            <w:pPr>
              <w:pStyle w:val="StandardText"/>
              <w:jc w:val="left"/>
            </w:pPr>
            <w:r w:rsidRPr="00E35FFF">
              <w:t>Values</w:t>
            </w:r>
            <w:r w:rsidRPr="00E35FFF">
              <w:rPr>
                <w:spacing w:val="-4"/>
              </w:rPr>
              <w:t xml:space="preserve"> </w:t>
            </w:r>
            <w:r w:rsidRPr="00E35FFF">
              <w:t>and</w:t>
            </w:r>
            <w:r w:rsidRPr="00E35FFF">
              <w:rPr>
                <w:spacing w:val="40"/>
              </w:rPr>
              <w:t xml:space="preserve"> </w:t>
            </w:r>
            <w:r w:rsidRPr="00E35FFF">
              <w:t>Lifestyle</w:t>
            </w:r>
            <w:r w:rsidRPr="00E35FFF">
              <w:rPr>
                <w:spacing w:val="-7"/>
              </w:rPr>
              <w:t xml:space="preserve"> </w:t>
            </w:r>
            <w:r w:rsidRPr="00E35FFF">
              <w:t>Survey</w:t>
            </w:r>
            <w:r w:rsidRPr="00E35FFF">
              <w:rPr>
                <w:spacing w:val="40"/>
              </w:rPr>
              <w:t xml:space="preserve"> </w:t>
            </w:r>
            <w:r w:rsidRPr="00E35FFF">
              <w:t>(VALS)</w:t>
            </w:r>
          </w:p>
        </w:tc>
        <w:tc>
          <w:tcPr>
            <w:tcW w:w="839" w:type="pct"/>
          </w:tcPr>
          <w:p w14:paraId="035BD97C" w14:textId="77777777" w:rsidR="00FF7799" w:rsidRPr="00E73F6F" w:rsidRDefault="00FF7799" w:rsidP="0059425A">
            <w:pPr>
              <w:pStyle w:val="StandardText"/>
              <w:jc w:val="left"/>
              <w:rPr>
                <w:lang w:val="de-DE"/>
              </w:rPr>
            </w:pPr>
            <w:r w:rsidRPr="00E73F6F">
              <w:rPr>
                <w:lang w:val="de-DE"/>
              </w:rPr>
              <w:t>SRI</w:t>
            </w:r>
            <w:r w:rsidRPr="00E73F6F">
              <w:rPr>
                <w:spacing w:val="-6"/>
                <w:lang w:val="de-DE"/>
              </w:rPr>
              <w:t xml:space="preserve"> </w:t>
            </w:r>
            <w:r w:rsidRPr="00E73F6F">
              <w:rPr>
                <w:lang w:val="de-DE"/>
              </w:rPr>
              <w:t>Consulting</w:t>
            </w:r>
            <w:r w:rsidRPr="00E73F6F">
              <w:rPr>
                <w:spacing w:val="40"/>
                <w:lang w:val="de-DE"/>
              </w:rPr>
              <w:t xml:space="preserve"> </w:t>
            </w:r>
            <w:r w:rsidRPr="00E73F6F">
              <w:rPr>
                <w:lang w:val="de-DE"/>
              </w:rPr>
              <w:t>Business</w:t>
            </w:r>
            <w:r w:rsidRPr="00E73F6F">
              <w:rPr>
                <w:spacing w:val="-4"/>
                <w:lang w:val="de-DE"/>
              </w:rPr>
              <w:t xml:space="preserve"> </w:t>
            </w:r>
            <w:r w:rsidRPr="00E73F6F">
              <w:rPr>
                <w:lang w:val="de-DE"/>
              </w:rPr>
              <w:t>Intelligence</w:t>
            </w:r>
          </w:p>
        </w:tc>
        <w:tc>
          <w:tcPr>
            <w:tcW w:w="1328" w:type="pct"/>
          </w:tcPr>
          <w:p w14:paraId="75B31547" w14:textId="77777777" w:rsidR="00FF7799" w:rsidRPr="00E73F6F" w:rsidRDefault="00FF7799" w:rsidP="0059425A">
            <w:pPr>
              <w:pStyle w:val="StandardText"/>
              <w:jc w:val="left"/>
              <w:rPr>
                <w:lang w:val="de-DE"/>
              </w:rPr>
            </w:pPr>
            <w:r w:rsidRPr="00E73F6F">
              <w:rPr>
                <w:lang w:val="de-DE"/>
              </w:rPr>
              <w:t>Ressourcen</w:t>
            </w:r>
            <w:r w:rsidRPr="00E73F6F">
              <w:rPr>
                <w:spacing w:val="80"/>
                <w:lang w:val="de-DE"/>
              </w:rPr>
              <w:t xml:space="preserve"> </w:t>
            </w:r>
            <w:r w:rsidRPr="00E73F6F">
              <w:rPr>
                <w:lang w:val="de-DE"/>
              </w:rPr>
              <w:t>Primäre</w:t>
            </w:r>
            <w:r w:rsidRPr="00E73F6F">
              <w:rPr>
                <w:spacing w:val="-6"/>
                <w:lang w:val="de-DE"/>
              </w:rPr>
              <w:t xml:space="preserve"> </w:t>
            </w:r>
            <w:r w:rsidRPr="00E73F6F">
              <w:rPr>
                <w:lang w:val="de-DE"/>
              </w:rPr>
              <w:t>Motivation</w:t>
            </w:r>
          </w:p>
        </w:tc>
        <w:tc>
          <w:tcPr>
            <w:tcW w:w="1953" w:type="pct"/>
          </w:tcPr>
          <w:p w14:paraId="72443D93" w14:textId="77777777" w:rsidR="00FF7799" w:rsidRPr="00E73F6F" w:rsidRDefault="00FF7799" w:rsidP="0059425A">
            <w:pPr>
              <w:pStyle w:val="StandardText"/>
              <w:jc w:val="left"/>
              <w:rPr>
                <w:lang w:val="de-DE"/>
              </w:rPr>
            </w:pPr>
            <w:r w:rsidRPr="00E73F6F">
              <w:rPr>
                <w:lang w:val="de-DE"/>
              </w:rPr>
              <w:t>Innovatoren,</w:t>
            </w:r>
            <w:r w:rsidRPr="00E73F6F">
              <w:rPr>
                <w:spacing w:val="-5"/>
                <w:lang w:val="de-DE"/>
              </w:rPr>
              <w:t xml:space="preserve"> </w:t>
            </w:r>
            <w:r w:rsidRPr="00E73F6F">
              <w:rPr>
                <w:lang w:val="de-DE"/>
              </w:rPr>
              <w:t>Denker,</w:t>
            </w:r>
            <w:r w:rsidRPr="00E73F6F">
              <w:rPr>
                <w:spacing w:val="-5"/>
                <w:lang w:val="de-DE"/>
              </w:rPr>
              <w:t xml:space="preserve"> </w:t>
            </w:r>
            <w:r w:rsidRPr="00E73F6F">
              <w:rPr>
                <w:lang w:val="de-DE"/>
              </w:rPr>
              <w:t>Glaubende, Erfolgreiche, Nacheifernde,</w:t>
            </w:r>
            <w:r w:rsidRPr="00E73F6F">
              <w:rPr>
                <w:spacing w:val="40"/>
                <w:lang w:val="de-DE"/>
              </w:rPr>
              <w:t xml:space="preserve"> </w:t>
            </w:r>
            <w:r w:rsidRPr="00E73F6F">
              <w:rPr>
                <w:lang w:val="de-DE"/>
              </w:rPr>
              <w:t>Austester,</w:t>
            </w:r>
            <w:r w:rsidRPr="00E73F6F">
              <w:rPr>
                <w:spacing w:val="-9"/>
                <w:lang w:val="de-DE"/>
              </w:rPr>
              <w:t xml:space="preserve"> </w:t>
            </w:r>
            <w:r w:rsidRPr="00E73F6F">
              <w:rPr>
                <w:lang w:val="de-DE"/>
              </w:rPr>
              <w:t>Macher,</w:t>
            </w:r>
            <w:r w:rsidRPr="00E73F6F">
              <w:rPr>
                <w:spacing w:val="-9"/>
                <w:lang w:val="de-DE"/>
              </w:rPr>
              <w:t xml:space="preserve"> </w:t>
            </w:r>
            <w:r w:rsidRPr="00E73F6F">
              <w:rPr>
                <w:lang w:val="de-DE"/>
              </w:rPr>
              <w:t>Überlebende</w:t>
            </w:r>
          </w:p>
        </w:tc>
      </w:tr>
    </w:tbl>
    <w:p w14:paraId="446508FD" w14:textId="77777777" w:rsidR="00FF7799" w:rsidRPr="00E73F6F" w:rsidRDefault="00FF7799" w:rsidP="0059425A">
      <w:pPr>
        <w:pStyle w:val="Quellen"/>
      </w:pPr>
      <w:r w:rsidRPr="00E73F6F">
        <w:t>Quelle:</w:t>
      </w:r>
      <w:r w:rsidRPr="00E73F6F">
        <w:rPr>
          <w:spacing w:val="-1"/>
        </w:rPr>
        <w:t xml:space="preserve"> </w:t>
      </w:r>
      <w:r w:rsidRPr="00E73F6F">
        <w:t>Hoffmann/Akbar</w:t>
      </w:r>
      <w:r w:rsidRPr="00E73F6F">
        <w:rPr>
          <w:spacing w:val="-1"/>
        </w:rPr>
        <w:t xml:space="preserve"> </w:t>
      </w:r>
      <w:r w:rsidRPr="00E73F6F">
        <w:t>(2016,</w:t>
      </w:r>
      <w:r w:rsidRPr="00E73F6F">
        <w:rPr>
          <w:spacing w:val="-5"/>
        </w:rPr>
        <w:t xml:space="preserve"> </w:t>
      </w:r>
      <w:r w:rsidRPr="00E73F6F">
        <w:t>S.130);</w:t>
      </w:r>
      <w:r w:rsidRPr="00E73F6F">
        <w:rPr>
          <w:spacing w:val="-3"/>
        </w:rPr>
        <w:t xml:space="preserve"> </w:t>
      </w:r>
      <w:r w:rsidRPr="00E73F6F">
        <w:t xml:space="preserve">Sinus-Institut </w:t>
      </w:r>
      <w:r w:rsidRPr="00E73F6F">
        <w:rPr>
          <w:spacing w:val="-2"/>
        </w:rPr>
        <w:t>(2015).</w:t>
      </w:r>
    </w:p>
    <w:p w14:paraId="7316A860" w14:textId="77777777" w:rsidR="00FF7799" w:rsidRPr="00E73F6F" w:rsidRDefault="00FF7799" w:rsidP="00862DBA">
      <w:pPr>
        <w:rPr>
          <w:sz w:val="24"/>
          <w:szCs w:val="24"/>
        </w:rPr>
      </w:pPr>
    </w:p>
    <w:p w14:paraId="47465C3E" w14:textId="77777777" w:rsidR="00FF7799" w:rsidRPr="00B3438F" w:rsidRDefault="00FF7799" w:rsidP="0059425A">
      <w:pPr>
        <w:pStyle w:val="StandardText"/>
      </w:pPr>
      <w:r w:rsidRPr="00B3438F">
        <w:t>Im</w:t>
      </w:r>
      <w:r w:rsidRPr="00B3438F">
        <w:rPr>
          <w:spacing w:val="-3"/>
        </w:rPr>
        <w:t xml:space="preserve"> </w:t>
      </w:r>
      <w:r w:rsidRPr="00B3438F">
        <w:t>Zentrum</w:t>
      </w:r>
      <w:r w:rsidRPr="00B3438F">
        <w:rPr>
          <w:spacing w:val="-4"/>
        </w:rPr>
        <w:t xml:space="preserve"> </w:t>
      </w:r>
      <w:r w:rsidRPr="00B3438F">
        <w:t>der</w:t>
      </w:r>
      <w:r w:rsidRPr="00B3438F">
        <w:rPr>
          <w:spacing w:val="-3"/>
        </w:rPr>
        <w:t xml:space="preserve"> </w:t>
      </w:r>
      <w:r w:rsidRPr="00B3438F">
        <w:t>zumeist</w:t>
      </w:r>
      <w:r w:rsidRPr="00B3438F">
        <w:rPr>
          <w:spacing w:val="-2"/>
        </w:rPr>
        <w:t xml:space="preserve"> </w:t>
      </w:r>
      <w:r w:rsidRPr="00B3438F">
        <w:t>von</w:t>
      </w:r>
      <w:r w:rsidRPr="00B3438F">
        <w:rPr>
          <w:spacing w:val="-2"/>
        </w:rPr>
        <w:t xml:space="preserve"> </w:t>
      </w:r>
      <w:r w:rsidRPr="00B3438F">
        <w:t>international</w:t>
      </w:r>
      <w:r w:rsidRPr="00B3438F">
        <w:rPr>
          <w:spacing w:val="-2"/>
        </w:rPr>
        <w:t xml:space="preserve"> </w:t>
      </w:r>
      <w:r w:rsidRPr="00B3438F">
        <w:t>tätigen Marktforschungsinstituten</w:t>
      </w:r>
      <w:r w:rsidRPr="00B3438F">
        <w:rPr>
          <w:spacing w:val="-2"/>
        </w:rPr>
        <w:t xml:space="preserve"> </w:t>
      </w:r>
      <w:r w:rsidRPr="00B3438F">
        <w:t xml:space="preserve">nach dem Prinzip der psychographischen Segmentierung entwickelten Life Style- Ansätze steht die Suche nach </w:t>
      </w:r>
      <w:r w:rsidRPr="00B3438F">
        <w:lastRenderedPageBreak/>
        <w:t xml:space="preserve">länderübergreifenden Zielgruppen, die sich hinsichtlich ihrer Werte, Einstellungen, Interessen und (konsumbezogenen) Verhaltensweisen ähneln. Bereits in den 1970er Jahren hat W.D. Wells auf das Nutzenpotenzial der Lebensstilforschung für die Bestimmung transkultureller Zielgruppen hingewiesen. Mit Hilfe dieses Ansatzes schien es zumindest ansatzweise möglich zu sein, eine Verbindung zwischen den Wertetypen (Materialisten/Postmaterialisten) und einzelnen Konsumentengruppen </w:t>
      </w:r>
      <w:r w:rsidRPr="00B3438F">
        <w:rPr>
          <w:spacing w:val="-2"/>
        </w:rPr>
        <w:t>herzustellen.</w:t>
      </w:r>
    </w:p>
    <w:p w14:paraId="714D899E" w14:textId="77777777" w:rsidR="00FF7799" w:rsidRPr="00B3438F" w:rsidRDefault="00FF7799" w:rsidP="0059425A">
      <w:pPr>
        <w:pStyle w:val="StandardText"/>
      </w:pPr>
      <w:r w:rsidRPr="00B3438F">
        <w:t>Europaweit erlangten anfangs zwei Segmentierungsansätze größere Bedeutung: erstens</w:t>
      </w:r>
      <w:r w:rsidRPr="00B3438F">
        <w:rPr>
          <w:spacing w:val="-6"/>
        </w:rPr>
        <w:t xml:space="preserve"> </w:t>
      </w:r>
      <w:r w:rsidRPr="00B3438F">
        <w:t>die</w:t>
      </w:r>
      <w:r w:rsidRPr="00B3438F">
        <w:rPr>
          <w:spacing w:val="-8"/>
        </w:rPr>
        <w:t xml:space="preserve"> </w:t>
      </w:r>
      <w:r w:rsidRPr="00B3438F">
        <w:t>vom</w:t>
      </w:r>
      <w:r w:rsidRPr="00B3438F">
        <w:rPr>
          <w:spacing w:val="-8"/>
        </w:rPr>
        <w:t xml:space="preserve"> </w:t>
      </w:r>
      <w:r w:rsidRPr="00B3438F">
        <w:t>Research</w:t>
      </w:r>
      <w:r w:rsidRPr="00B3438F">
        <w:rPr>
          <w:spacing w:val="-4"/>
        </w:rPr>
        <w:t xml:space="preserve"> </w:t>
      </w:r>
      <w:r w:rsidRPr="00B3438F">
        <w:t>Institute</w:t>
      </w:r>
      <w:r w:rsidRPr="00B3438F">
        <w:rPr>
          <w:spacing w:val="-6"/>
        </w:rPr>
        <w:t xml:space="preserve"> </w:t>
      </w:r>
      <w:r w:rsidRPr="00B3438F">
        <w:t>on</w:t>
      </w:r>
      <w:r w:rsidRPr="00B3438F">
        <w:rPr>
          <w:spacing w:val="-7"/>
        </w:rPr>
        <w:t xml:space="preserve"> </w:t>
      </w:r>
      <w:r w:rsidRPr="00B3438F">
        <w:t>Social</w:t>
      </w:r>
      <w:r w:rsidRPr="00B3438F">
        <w:rPr>
          <w:spacing w:val="-7"/>
        </w:rPr>
        <w:t xml:space="preserve"> </w:t>
      </w:r>
      <w:r w:rsidRPr="00B3438F">
        <w:t>Change</w:t>
      </w:r>
      <w:r w:rsidRPr="00B3438F">
        <w:rPr>
          <w:spacing w:val="-6"/>
        </w:rPr>
        <w:t xml:space="preserve"> </w:t>
      </w:r>
      <w:r w:rsidRPr="00B3438F">
        <w:t>(RISC)</w:t>
      </w:r>
      <w:r w:rsidRPr="00B3438F">
        <w:rPr>
          <w:spacing w:val="-5"/>
        </w:rPr>
        <w:t xml:space="preserve"> </w:t>
      </w:r>
      <w:r w:rsidRPr="00B3438F">
        <w:t>initiierte</w:t>
      </w:r>
      <w:r w:rsidRPr="00B3438F">
        <w:rPr>
          <w:spacing w:val="-5"/>
        </w:rPr>
        <w:t xml:space="preserve"> </w:t>
      </w:r>
      <w:r w:rsidRPr="00B3438F">
        <w:t>ACE-Studie („Anticipating</w:t>
      </w:r>
      <w:r w:rsidRPr="00B3438F">
        <w:rPr>
          <w:spacing w:val="-1"/>
        </w:rPr>
        <w:t xml:space="preserve"> </w:t>
      </w:r>
      <w:r w:rsidRPr="00B3438F">
        <w:t>Change</w:t>
      </w:r>
      <w:r w:rsidRPr="00B3438F">
        <w:rPr>
          <w:spacing w:val="-5"/>
        </w:rPr>
        <w:t xml:space="preserve"> </w:t>
      </w:r>
      <w:r w:rsidRPr="00B3438F">
        <w:t>in</w:t>
      </w:r>
      <w:r w:rsidRPr="00B3438F">
        <w:rPr>
          <w:spacing w:val="-3"/>
        </w:rPr>
        <w:t xml:space="preserve"> </w:t>
      </w:r>
      <w:r w:rsidRPr="00B3438F">
        <w:t>Europe“)</w:t>
      </w:r>
      <w:r w:rsidRPr="00B3438F">
        <w:rPr>
          <w:spacing w:val="-2"/>
        </w:rPr>
        <w:t xml:space="preserve"> </w:t>
      </w:r>
      <w:r w:rsidRPr="00B3438F">
        <w:t>und</w:t>
      </w:r>
      <w:r w:rsidRPr="00B3438F">
        <w:rPr>
          <w:spacing w:val="-1"/>
        </w:rPr>
        <w:t xml:space="preserve"> </w:t>
      </w:r>
      <w:r w:rsidRPr="00B3438F">
        <w:t>zweitens</w:t>
      </w:r>
      <w:r w:rsidRPr="00B3438F">
        <w:rPr>
          <w:spacing w:val="-2"/>
        </w:rPr>
        <w:t xml:space="preserve"> </w:t>
      </w:r>
      <w:r w:rsidRPr="00B3438F">
        <w:t>die Euro-Styles,</w:t>
      </w:r>
      <w:r w:rsidRPr="00B3438F">
        <w:rPr>
          <w:spacing w:val="-4"/>
        </w:rPr>
        <w:t xml:space="preserve"> </w:t>
      </w:r>
      <w:r w:rsidRPr="00B3438F">
        <w:t>entwickelt vom Centre de Communication Avancée (CCA) unter Mitwirkung der GfK, Nürnberg. Aus etwa 1,5 Mio. Daten (zu Einstellungen, Verhalten und Motivation in verschiedenen Bereichen des täglichen Lebens), die im Rahmen einer repräsentativen Befragung von 24.000 Erwachsenen in 15 europäischen Ländern erhoben wurden, entwickelte man eine dreidimensionale Karte, deren Achsen grundlegende unabhängige „Orientierungen“ repräsentieren (vgl</w:t>
      </w:r>
      <w:r w:rsidR="00342772" w:rsidRPr="00B3438F">
        <w:t>.</w:t>
      </w:r>
      <w:r w:rsidRPr="00B3438F">
        <w:t xml:space="preserve"> Abb. 1).</w:t>
      </w:r>
    </w:p>
    <w:p w14:paraId="46A55D19" w14:textId="77777777" w:rsidR="00FF7799" w:rsidRPr="00B3438F" w:rsidRDefault="00FF7799" w:rsidP="0059425A">
      <w:pPr>
        <w:pStyle w:val="StandardText"/>
      </w:pPr>
      <w:r w:rsidRPr="00B3438F">
        <w:t>Die</w:t>
      </w:r>
      <w:r w:rsidRPr="00B3438F">
        <w:rPr>
          <w:spacing w:val="-9"/>
        </w:rPr>
        <w:t xml:space="preserve"> </w:t>
      </w:r>
      <w:r w:rsidRPr="00B3438F">
        <w:t>erste</w:t>
      </w:r>
      <w:r w:rsidRPr="00B3438F">
        <w:rPr>
          <w:spacing w:val="-9"/>
        </w:rPr>
        <w:t xml:space="preserve"> </w:t>
      </w:r>
      <w:r w:rsidRPr="00B3438F">
        <w:t>Achse</w:t>
      </w:r>
      <w:r w:rsidRPr="00B3438F">
        <w:rPr>
          <w:spacing w:val="-10"/>
        </w:rPr>
        <w:t xml:space="preserve"> </w:t>
      </w:r>
      <w:r w:rsidRPr="00B3438F">
        <w:t>symbolisiert</w:t>
      </w:r>
      <w:r w:rsidRPr="00B3438F">
        <w:rPr>
          <w:spacing w:val="-8"/>
        </w:rPr>
        <w:t xml:space="preserve"> </w:t>
      </w:r>
      <w:r w:rsidRPr="00B3438F">
        <w:t>Bewegung</w:t>
      </w:r>
      <w:r w:rsidRPr="00B3438F">
        <w:rPr>
          <w:spacing w:val="-10"/>
        </w:rPr>
        <w:t xml:space="preserve"> </w:t>
      </w:r>
      <w:r w:rsidRPr="00B3438F">
        <w:t>und</w:t>
      </w:r>
      <w:r w:rsidRPr="00B3438F">
        <w:rPr>
          <w:spacing w:val="-10"/>
        </w:rPr>
        <w:t xml:space="preserve"> </w:t>
      </w:r>
      <w:r w:rsidRPr="00B3438F">
        <w:t>Beharrung.</w:t>
      </w:r>
      <w:r w:rsidRPr="00B3438F">
        <w:rPr>
          <w:spacing w:val="-10"/>
        </w:rPr>
        <w:t xml:space="preserve"> </w:t>
      </w:r>
      <w:r w:rsidRPr="00B3438F">
        <w:t>Bewegung</w:t>
      </w:r>
      <w:r w:rsidRPr="00B3438F">
        <w:rPr>
          <w:spacing w:val="-12"/>
        </w:rPr>
        <w:t xml:space="preserve"> </w:t>
      </w:r>
      <w:r w:rsidRPr="00B3438F">
        <w:t>charakterisiert dabei den modernen, gegenüber Innovationen aufgeschlossenen Menschen, Beharrung</w:t>
      </w:r>
      <w:r w:rsidRPr="00B3438F">
        <w:rPr>
          <w:spacing w:val="-14"/>
        </w:rPr>
        <w:t xml:space="preserve"> </w:t>
      </w:r>
      <w:r w:rsidRPr="00B3438F">
        <w:t>den</w:t>
      </w:r>
      <w:r w:rsidRPr="00B3438F">
        <w:rPr>
          <w:spacing w:val="-11"/>
        </w:rPr>
        <w:t xml:space="preserve"> </w:t>
      </w:r>
      <w:r w:rsidRPr="00B3438F">
        <w:t>konservativen,</w:t>
      </w:r>
      <w:r w:rsidRPr="00B3438F">
        <w:rPr>
          <w:spacing w:val="-11"/>
        </w:rPr>
        <w:t xml:space="preserve"> </w:t>
      </w:r>
      <w:r w:rsidRPr="00B3438F">
        <w:t>nach</w:t>
      </w:r>
      <w:r w:rsidRPr="00B3438F">
        <w:rPr>
          <w:spacing w:val="-10"/>
        </w:rPr>
        <w:t xml:space="preserve"> </w:t>
      </w:r>
      <w:r w:rsidRPr="00B3438F">
        <w:t>Sicherheit</w:t>
      </w:r>
      <w:r w:rsidRPr="00B3438F">
        <w:rPr>
          <w:spacing w:val="-12"/>
        </w:rPr>
        <w:t xml:space="preserve"> </w:t>
      </w:r>
      <w:r w:rsidRPr="00B3438F">
        <w:t>und</w:t>
      </w:r>
      <w:r w:rsidRPr="00B3438F">
        <w:rPr>
          <w:spacing w:val="-9"/>
        </w:rPr>
        <w:t xml:space="preserve"> </w:t>
      </w:r>
      <w:r w:rsidRPr="00B3438F">
        <w:t>Tradition</w:t>
      </w:r>
      <w:r w:rsidRPr="00B3438F">
        <w:rPr>
          <w:spacing w:val="-9"/>
        </w:rPr>
        <w:t xml:space="preserve"> </w:t>
      </w:r>
      <w:r w:rsidRPr="00B3438F">
        <w:t>strebenden</w:t>
      </w:r>
      <w:r w:rsidRPr="00B3438F">
        <w:rPr>
          <w:spacing w:val="-8"/>
        </w:rPr>
        <w:t xml:space="preserve"> </w:t>
      </w:r>
      <w:r w:rsidRPr="00B3438F">
        <w:rPr>
          <w:spacing w:val="-2"/>
        </w:rPr>
        <w:t>Gegentyp.</w:t>
      </w:r>
    </w:p>
    <w:p w14:paraId="50F154BC" w14:textId="77777777" w:rsidR="00FF7799" w:rsidRPr="00B3438F" w:rsidRDefault="00FF7799" w:rsidP="0059425A">
      <w:pPr>
        <w:pStyle w:val="StandardText"/>
      </w:pPr>
      <w:r w:rsidRPr="00B3438F">
        <w:t>Güter (materialistisch, konsum- und genussorientiert) und Werte (geistige Orientierung, Streben nach immateriellen Werten, puritanische Enthaltsamkeit, Suche nach dem „tieferen Sinn“) sind die beiden Pole der zweiten Achse. Emotionales/spontanes</w:t>
      </w:r>
      <w:r w:rsidRPr="00B3438F">
        <w:rPr>
          <w:spacing w:val="-9"/>
        </w:rPr>
        <w:t xml:space="preserve"> </w:t>
      </w:r>
      <w:r w:rsidRPr="00B3438F">
        <w:t>sowie</w:t>
      </w:r>
      <w:r w:rsidRPr="00B3438F">
        <w:rPr>
          <w:spacing w:val="-11"/>
        </w:rPr>
        <w:t xml:space="preserve"> </w:t>
      </w:r>
      <w:r w:rsidRPr="00B3438F">
        <w:t>berechnen-des/rationales</w:t>
      </w:r>
      <w:r w:rsidRPr="00B3438F">
        <w:rPr>
          <w:spacing w:val="-9"/>
        </w:rPr>
        <w:t xml:space="preserve"> </w:t>
      </w:r>
      <w:r w:rsidRPr="00B3438F">
        <w:t>Handeln</w:t>
      </w:r>
      <w:r w:rsidRPr="00B3438F">
        <w:rPr>
          <w:spacing w:val="-8"/>
        </w:rPr>
        <w:t xml:space="preserve"> </w:t>
      </w:r>
      <w:r w:rsidRPr="00B3438F">
        <w:t>kennzeichnen</w:t>
      </w:r>
      <w:r w:rsidRPr="00B3438F">
        <w:rPr>
          <w:spacing w:val="-12"/>
        </w:rPr>
        <w:t xml:space="preserve"> </w:t>
      </w:r>
      <w:r w:rsidRPr="00B3438F">
        <w:t>die dritte Achse.</w:t>
      </w:r>
    </w:p>
    <w:p w14:paraId="554C832B" w14:textId="77777777" w:rsidR="00FF7799" w:rsidRPr="00E73F6F" w:rsidRDefault="00FF7799" w:rsidP="0059425A">
      <w:pPr>
        <w:pStyle w:val="StandardText"/>
        <w:rPr>
          <w:spacing w:val="-4"/>
        </w:rPr>
      </w:pPr>
      <w:r w:rsidRPr="00B3438F">
        <w:t>Insgesamt wurden 16 sog. Euro-Styles ermittelt und mit eingängigen Namen wie Euro-Rocky,</w:t>
      </w:r>
      <w:r w:rsidRPr="00B3438F">
        <w:rPr>
          <w:spacing w:val="23"/>
        </w:rPr>
        <w:t xml:space="preserve"> </w:t>
      </w:r>
      <w:r w:rsidRPr="00B3438F">
        <w:t>Euro-Dandy</w:t>
      </w:r>
      <w:r w:rsidRPr="00B3438F">
        <w:rPr>
          <w:spacing w:val="23"/>
        </w:rPr>
        <w:t xml:space="preserve"> </w:t>
      </w:r>
      <w:r w:rsidRPr="00B3438F">
        <w:t>oder</w:t>
      </w:r>
      <w:r w:rsidRPr="00B3438F">
        <w:rPr>
          <w:spacing w:val="22"/>
        </w:rPr>
        <w:t xml:space="preserve"> </w:t>
      </w:r>
      <w:r w:rsidRPr="00B3438F">
        <w:t>Euro-Scout</w:t>
      </w:r>
      <w:r w:rsidRPr="00B3438F">
        <w:rPr>
          <w:spacing w:val="22"/>
        </w:rPr>
        <w:t xml:space="preserve"> </w:t>
      </w:r>
      <w:r w:rsidRPr="00B3438F">
        <w:t>versehen.</w:t>
      </w:r>
      <w:r w:rsidRPr="00B3438F">
        <w:rPr>
          <w:spacing w:val="25"/>
        </w:rPr>
        <w:t xml:space="preserve"> </w:t>
      </w:r>
      <w:r w:rsidRPr="00B3438F">
        <w:t>Die</w:t>
      </w:r>
      <w:r w:rsidRPr="00B3438F">
        <w:rPr>
          <w:spacing w:val="24"/>
        </w:rPr>
        <w:t xml:space="preserve"> </w:t>
      </w:r>
      <w:r w:rsidRPr="00B3438F">
        <w:t>Größe</w:t>
      </w:r>
      <w:r w:rsidRPr="00B3438F">
        <w:rPr>
          <w:spacing w:val="21"/>
        </w:rPr>
        <w:t xml:space="preserve"> </w:t>
      </w:r>
      <w:r w:rsidRPr="00B3438F">
        <w:t>der</w:t>
      </w:r>
      <w:r w:rsidRPr="00B3438F">
        <w:rPr>
          <w:spacing w:val="25"/>
        </w:rPr>
        <w:t xml:space="preserve"> </w:t>
      </w:r>
      <w:r w:rsidRPr="00B3438F">
        <w:rPr>
          <w:spacing w:val="-2"/>
        </w:rPr>
        <w:t xml:space="preserve">Segmente, </w:t>
      </w:r>
      <w:r w:rsidRPr="00B3438F">
        <w:t>d.h. die Häufigkeit, mit der diese Typen in den einzelnen Ländern vertreten sind, variiert</w:t>
      </w:r>
      <w:r w:rsidRPr="00B3438F">
        <w:rPr>
          <w:spacing w:val="-3"/>
        </w:rPr>
        <w:t xml:space="preserve"> </w:t>
      </w:r>
      <w:r w:rsidRPr="00B3438F">
        <w:t>erheblich.</w:t>
      </w:r>
      <w:r w:rsidRPr="00B3438F">
        <w:rPr>
          <w:spacing w:val="-3"/>
        </w:rPr>
        <w:t xml:space="preserve"> </w:t>
      </w:r>
      <w:r w:rsidRPr="00B3438F">
        <w:t>So</w:t>
      </w:r>
      <w:r w:rsidRPr="00B3438F">
        <w:rPr>
          <w:spacing w:val="-2"/>
        </w:rPr>
        <w:t xml:space="preserve"> </w:t>
      </w:r>
      <w:r w:rsidRPr="00B3438F">
        <w:t>war</w:t>
      </w:r>
      <w:r w:rsidRPr="00B3438F">
        <w:rPr>
          <w:spacing w:val="-3"/>
        </w:rPr>
        <w:t xml:space="preserve"> </w:t>
      </w:r>
      <w:r w:rsidRPr="00B3438F">
        <w:t>die</w:t>
      </w:r>
      <w:r w:rsidRPr="00B3438F">
        <w:rPr>
          <w:spacing w:val="-3"/>
        </w:rPr>
        <w:t xml:space="preserve"> </w:t>
      </w:r>
      <w:r w:rsidRPr="00B3438F">
        <w:t>transkulturelle</w:t>
      </w:r>
      <w:r w:rsidRPr="00E73F6F">
        <w:rPr>
          <w:spacing w:val="-4"/>
        </w:rPr>
        <w:t xml:space="preserve"> </w:t>
      </w:r>
      <w:r w:rsidRPr="00E73F6F">
        <w:t>Zielgruppe</w:t>
      </w:r>
      <w:r w:rsidRPr="00E73F6F">
        <w:rPr>
          <w:spacing w:val="-4"/>
        </w:rPr>
        <w:t xml:space="preserve"> </w:t>
      </w:r>
      <w:r w:rsidRPr="00E73F6F">
        <w:t>der</w:t>
      </w:r>
      <w:r w:rsidRPr="00E73F6F">
        <w:rPr>
          <w:spacing w:val="-3"/>
        </w:rPr>
        <w:t xml:space="preserve"> </w:t>
      </w:r>
      <w:r w:rsidRPr="00E73F6F">
        <w:t>„Euro-Moralisten“</w:t>
      </w:r>
      <w:r w:rsidRPr="00E73F6F">
        <w:rPr>
          <w:spacing w:val="-3"/>
        </w:rPr>
        <w:t xml:space="preserve"> </w:t>
      </w:r>
      <w:r w:rsidRPr="00E73F6F">
        <w:t>(= von</w:t>
      </w:r>
      <w:r w:rsidRPr="00E73F6F">
        <w:rPr>
          <w:spacing w:val="-10"/>
        </w:rPr>
        <w:t xml:space="preserve"> </w:t>
      </w:r>
      <w:r w:rsidRPr="00E73F6F">
        <w:t>Beharrungstendenzen</w:t>
      </w:r>
      <w:r w:rsidRPr="00E73F6F">
        <w:rPr>
          <w:spacing w:val="-10"/>
        </w:rPr>
        <w:t xml:space="preserve"> </w:t>
      </w:r>
      <w:r w:rsidRPr="00E73F6F">
        <w:t>geprägte</w:t>
      </w:r>
      <w:r w:rsidRPr="00E73F6F">
        <w:rPr>
          <w:spacing w:val="-9"/>
        </w:rPr>
        <w:t xml:space="preserve"> </w:t>
      </w:r>
      <w:r w:rsidRPr="00E73F6F">
        <w:t>„Gut-Bürgerliche“)</w:t>
      </w:r>
      <w:r w:rsidRPr="00E73F6F">
        <w:rPr>
          <w:spacing w:val="-9"/>
        </w:rPr>
        <w:t xml:space="preserve"> </w:t>
      </w:r>
      <w:r w:rsidRPr="00E73F6F">
        <w:t>europaweit</w:t>
      </w:r>
      <w:r w:rsidRPr="00E73F6F">
        <w:rPr>
          <w:spacing w:val="-11"/>
        </w:rPr>
        <w:t xml:space="preserve"> </w:t>
      </w:r>
      <w:r w:rsidRPr="00E73F6F">
        <w:t>zum</w:t>
      </w:r>
      <w:r w:rsidRPr="00E73F6F">
        <w:rPr>
          <w:spacing w:val="-10"/>
        </w:rPr>
        <w:t xml:space="preserve"> </w:t>
      </w:r>
      <w:r w:rsidRPr="00E73F6F">
        <w:t>Zeitpunkt der Erhebung mit 7,8% vertreten. An der deutschen Wohnbevölkerung aber hatte si</w:t>
      </w:r>
      <w:r w:rsidR="00B3438F">
        <w:t>e damals einen Anteil von 14,8%.</w:t>
      </w:r>
      <w:r w:rsidRPr="00E73F6F">
        <w:t xml:space="preserve"> Inhaltlich unterscheiden sich die Lebensstiltypen insofern, als bspw. der Euro-Romantic Harmonie, Heim und Familie bevorzugt, während sich der Euro-Citizen häufig in den Dienst der Allgemeinheit</w:t>
      </w:r>
      <w:r w:rsidRPr="00E73F6F">
        <w:rPr>
          <w:spacing w:val="-5"/>
        </w:rPr>
        <w:t xml:space="preserve"> </w:t>
      </w:r>
      <w:r w:rsidRPr="00E73F6F">
        <w:t>stellt</w:t>
      </w:r>
      <w:r w:rsidRPr="00E73F6F">
        <w:rPr>
          <w:spacing w:val="-7"/>
        </w:rPr>
        <w:t xml:space="preserve"> </w:t>
      </w:r>
      <w:r w:rsidRPr="00E73F6F">
        <w:t>und</w:t>
      </w:r>
      <w:r w:rsidRPr="00E73F6F">
        <w:rPr>
          <w:spacing w:val="-4"/>
        </w:rPr>
        <w:t xml:space="preserve"> </w:t>
      </w:r>
      <w:r w:rsidRPr="00E73F6F">
        <w:t>der</w:t>
      </w:r>
      <w:r w:rsidRPr="00E73F6F">
        <w:rPr>
          <w:spacing w:val="-5"/>
        </w:rPr>
        <w:t xml:space="preserve"> </w:t>
      </w:r>
      <w:r w:rsidRPr="00E73F6F">
        <w:t>Euro-Business</w:t>
      </w:r>
      <w:r w:rsidRPr="00E73F6F">
        <w:rPr>
          <w:spacing w:val="-6"/>
        </w:rPr>
        <w:t xml:space="preserve"> </w:t>
      </w:r>
      <w:r w:rsidRPr="00E73F6F">
        <w:t>mehr</w:t>
      </w:r>
      <w:r w:rsidRPr="00E73F6F">
        <w:rPr>
          <w:spacing w:val="-5"/>
        </w:rPr>
        <w:t xml:space="preserve"> </w:t>
      </w:r>
      <w:r w:rsidRPr="00E73F6F">
        <w:t>als</w:t>
      </w:r>
      <w:r w:rsidRPr="00E73F6F">
        <w:rPr>
          <w:spacing w:val="-5"/>
        </w:rPr>
        <w:t xml:space="preserve"> </w:t>
      </w:r>
      <w:r w:rsidRPr="00E73F6F">
        <w:t>alles</w:t>
      </w:r>
      <w:r w:rsidRPr="00E73F6F">
        <w:rPr>
          <w:spacing w:val="-6"/>
        </w:rPr>
        <w:t xml:space="preserve"> </w:t>
      </w:r>
      <w:r w:rsidRPr="00E73F6F">
        <w:t>andere</w:t>
      </w:r>
      <w:r w:rsidRPr="00E73F6F">
        <w:rPr>
          <w:spacing w:val="-6"/>
        </w:rPr>
        <w:t xml:space="preserve"> </w:t>
      </w:r>
      <w:r w:rsidRPr="00E73F6F">
        <w:t>Karriere</w:t>
      </w:r>
      <w:r w:rsidRPr="00E73F6F">
        <w:rPr>
          <w:spacing w:val="-6"/>
        </w:rPr>
        <w:t xml:space="preserve"> </w:t>
      </w:r>
      <w:r w:rsidRPr="00E73F6F">
        <w:t xml:space="preserve">machen </w:t>
      </w:r>
      <w:r w:rsidRPr="00E73F6F">
        <w:rPr>
          <w:spacing w:val="-4"/>
        </w:rPr>
        <w:t>will.</w:t>
      </w:r>
    </w:p>
    <w:p w14:paraId="7350DE69" w14:textId="77777777" w:rsidR="00FF7799" w:rsidRPr="00E73F6F" w:rsidRDefault="00FF7799" w:rsidP="0059425A">
      <w:pPr>
        <w:pStyle w:val="StandardText"/>
      </w:pPr>
    </w:p>
    <w:p w14:paraId="00716187" w14:textId="77777777" w:rsidR="00FF7799" w:rsidRPr="00B3438F" w:rsidRDefault="00FF7799" w:rsidP="004F4CFA">
      <w:pPr>
        <w:pStyle w:val="StandardText"/>
      </w:pPr>
      <w:r w:rsidRPr="00B3438F">
        <w:t>Für die internationale Unternehmenstätigkeit ist diese Studie deshalb hilfreich, weil die GfK-Lebensstilforschung im Rahmen einer zweiten Erhebung Daten zu Konsum-, Einkaufs- und Mediengewohnheiten, Einstellung zu Werbung und Verpackung sowie zum Besitzstand erhoben und mit der ersten Befragung verknüpft hat. Mitte der 1990er-Jahre reduzierte die GfK ihr Zielgruppenkonzept auf</w:t>
      </w:r>
      <w:r w:rsidRPr="00B3438F">
        <w:rPr>
          <w:spacing w:val="47"/>
        </w:rPr>
        <w:t xml:space="preserve"> </w:t>
      </w:r>
      <w:r w:rsidRPr="00B3438F">
        <w:t>zwei</w:t>
      </w:r>
      <w:r w:rsidRPr="00B3438F">
        <w:rPr>
          <w:spacing w:val="47"/>
        </w:rPr>
        <w:t xml:space="preserve"> </w:t>
      </w:r>
      <w:r w:rsidRPr="00B3438F">
        <w:t>Dimensionen</w:t>
      </w:r>
      <w:r w:rsidRPr="00B3438F">
        <w:rPr>
          <w:spacing w:val="48"/>
        </w:rPr>
        <w:t xml:space="preserve"> </w:t>
      </w:r>
      <w:r w:rsidRPr="00B3438F">
        <w:t>(„Vergangenheitsorientierung“</w:t>
      </w:r>
      <w:r w:rsidRPr="00B3438F">
        <w:rPr>
          <w:spacing w:val="46"/>
        </w:rPr>
        <w:t xml:space="preserve"> </w:t>
      </w:r>
      <w:r w:rsidRPr="00B3438F">
        <w:t>vs.</w:t>
      </w:r>
      <w:r w:rsidRPr="00B3438F">
        <w:rPr>
          <w:spacing w:val="46"/>
        </w:rPr>
        <w:t xml:space="preserve"> </w:t>
      </w:r>
      <w:r w:rsidRPr="00B3438F">
        <w:rPr>
          <w:spacing w:val="-2"/>
        </w:rPr>
        <w:t>„Gegenwartsorientierung“,</w:t>
      </w:r>
      <w:r w:rsidRPr="00B3438F">
        <w:rPr>
          <w:spacing w:val="11"/>
        </w:rPr>
        <w:t xml:space="preserve"> </w:t>
      </w:r>
      <w:r w:rsidRPr="00B3438F">
        <w:rPr>
          <w:spacing w:val="-2"/>
        </w:rPr>
        <w:t>„Gemeinschaftsorientierung“</w:t>
      </w:r>
      <w:r w:rsidRPr="00B3438F">
        <w:rPr>
          <w:spacing w:val="8"/>
        </w:rPr>
        <w:t xml:space="preserve"> </w:t>
      </w:r>
      <w:r w:rsidRPr="00B3438F">
        <w:rPr>
          <w:spacing w:val="-2"/>
        </w:rPr>
        <w:t>vs.</w:t>
      </w:r>
      <w:r w:rsidRPr="00B3438F">
        <w:rPr>
          <w:spacing w:val="10"/>
        </w:rPr>
        <w:t xml:space="preserve"> </w:t>
      </w:r>
      <w:r w:rsidRPr="00B3438F">
        <w:rPr>
          <w:spacing w:val="-2"/>
        </w:rPr>
        <w:t>„Ich-Orientierung“)</w:t>
      </w:r>
      <w:r w:rsidRPr="00B3438F">
        <w:rPr>
          <w:spacing w:val="9"/>
        </w:rPr>
        <w:t xml:space="preserve"> </w:t>
      </w:r>
      <w:r w:rsidRPr="00B3438F">
        <w:rPr>
          <w:spacing w:val="-2"/>
        </w:rPr>
        <w:t>sowie</w:t>
      </w:r>
      <w:r w:rsidRPr="00B3438F">
        <w:rPr>
          <w:spacing w:val="8"/>
        </w:rPr>
        <w:t xml:space="preserve"> </w:t>
      </w:r>
      <w:r w:rsidRPr="00B3438F">
        <w:rPr>
          <w:spacing w:val="-2"/>
        </w:rPr>
        <w:t>15</w:t>
      </w:r>
      <w:r w:rsidRPr="00B3438F">
        <w:rPr>
          <w:spacing w:val="12"/>
        </w:rPr>
        <w:t xml:space="preserve"> </w:t>
      </w:r>
      <w:r w:rsidRPr="00B3438F">
        <w:rPr>
          <w:spacing w:val="-4"/>
        </w:rPr>
        <w:t xml:space="preserve">bzw. </w:t>
      </w:r>
      <w:r w:rsidRPr="00B3438F">
        <w:t>14 Euro Socio-Styles (z.B. die Isolated, Guardians, Gamblers oder die Free Thinkers).</w:t>
      </w:r>
      <w:r w:rsidRPr="00B3438F">
        <w:rPr>
          <w:spacing w:val="-12"/>
        </w:rPr>
        <w:t xml:space="preserve"> </w:t>
      </w:r>
      <w:r w:rsidRPr="00B3438F">
        <w:t>In</w:t>
      </w:r>
      <w:r w:rsidRPr="00B3438F">
        <w:rPr>
          <w:spacing w:val="-11"/>
        </w:rPr>
        <w:t xml:space="preserve"> </w:t>
      </w:r>
      <w:r w:rsidRPr="00B3438F">
        <w:t>dem</w:t>
      </w:r>
      <w:r w:rsidRPr="00B3438F">
        <w:rPr>
          <w:spacing w:val="-11"/>
        </w:rPr>
        <w:t xml:space="preserve"> </w:t>
      </w:r>
      <w:r w:rsidRPr="00B3438F">
        <w:t>2001</w:t>
      </w:r>
      <w:r w:rsidRPr="00B3438F">
        <w:rPr>
          <w:spacing w:val="-11"/>
        </w:rPr>
        <w:t xml:space="preserve"> </w:t>
      </w:r>
      <w:r w:rsidRPr="00B3438F">
        <w:t>abermals</w:t>
      </w:r>
      <w:r w:rsidRPr="00B3438F">
        <w:rPr>
          <w:spacing w:val="-11"/>
        </w:rPr>
        <w:t xml:space="preserve"> </w:t>
      </w:r>
      <w:r w:rsidRPr="00B3438F">
        <w:t>modifizierten</w:t>
      </w:r>
      <w:r w:rsidRPr="00B3438F">
        <w:rPr>
          <w:spacing w:val="-10"/>
        </w:rPr>
        <w:t xml:space="preserve"> </w:t>
      </w:r>
      <w:r w:rsidRPr="00B3438F">
        <w:t>Ansatz</w:t>
      </w:r>
      <w:r w:rsidRPr="00B3438F">
        <w:rPr>
          <w:spacing w:val="-12"/>
        </w:rPr>
        <w:t xml:space="preserve"> </w:t>
      </w:r>
      <w:r w:rsidRPr="00B3438F">
        <w:t>komprimierte</w:t>
      </w:r>
      <w:r w:rsidRPr="00B3438F">
        <w:rPr>
          <w:spacing w:val="-11"/>
        </w:rPr>
        <w:t xml:space="preserve"> </w:t>
      </w:r>
      <w:r w:rsidRPr="00B3438F">
        <w:t>man</w:t>
      </w:r>
      <w:r w:rsidRPr="00B3438F">
        <w:rPr>
          <w:spacing w:val="-9"/>
        </w:rPr>
        <w:t xml:space="preserve"> </w:t>
      </w:r>
      <w:r w:rsidRPr="00B3438F">
        <w:t>die</w:t>
      </w:r>
      <w:r w:rsidRPr="00B3438F">
        <w:rPr>
          <w:spacing w:val="-12"/>
        </w:rPr>
        <w:t xml:space="preserve"> </w:t>
      </w:r>
      <w:r w:rsidRPr="00B3438F">
        <w:t>Zahl der europaweit nachweisbaren Zielgruppen dann auf acht:</w:t>
      </w:r>
    </w:p>
    <w:p w14:paraId="18B7236E" w14:textId="77777777" w:rsidR="00FF7799" w:rsidRPr="00B3438F" w:rsidRDefault="00FF7799" w:rsidP="009D25D8">
      <w:pPr>
        <w:pStyle w:val="StandardTextAufzhlung"/>
        <w:ind w:left="567"/>
      </w:pPr>
      <w:r w:rsidRPr="00B3438F">
        <w:t>Steady World: Traditionsorientierte, konformistische Senioren mit mittlerem</w:t>
      </w:r>
      <w:r w:rsidRPr="00B3438F">
        <w:rPr>
          <w:spacing w:val="-12"/>
        </w:rPr>
        <w:t xml:space="preserve"> </w:t>
      </w:r>
      <w:r w:rsidRPr="00B3438F">
        <w:t>und</w:t>
      </w:r>
      <w:r w:rsidRPr="00B3438F">
        <w:rPr>
          <w:spacing w:val="-11"/>
        </w:rPr>
        <w:t xml:space="preserve"> </w:t>
      </w:r>
      <w:r w:rsidRPr="00B3438F">
        <w:t>gehobenem</w:t>
      </w:r>
      <w:r w:rsidRPr="00B3438F">
        <w:rPr>
          <w:spacing w:val="-11"/>
        </w:rPr>
        <w:t xml:space="preserve"> </w:t>
      </w:r>
      <w:r w:rsidRPr="00B3438F">
        <w:t>Lebensstandard,</w:t>
      </w:r>
      <w:r w:rsidRPr="00B3438F">
        <w:rPr>
          <w:spacing w:val="-11"/>
        </w:rPr>
        <w:t xml:space="preserve"> </w:t>
      </w:r>
      <w:r w:rsidRPr="00B3438F">
        <w:t>die</w:t>
      </w:r>
      <w:r w:rsidRPr="00B3438F">
        <w:rPr>
          <w:spacing w:val="-12"/>
        </w:rPr>
        <w:t xml:space="preserve"> </w:t>
      </w:r>
      <w:r w:rsidRPr="00B3438F">
        <w:t>ihren</w:t>
      </w:r>
      <w:r w:rsidRPr="00B3438F">
        <w:rPr>
          <w:spacing w:val="-10"/>
        </w:rPr>
        <w:t xml:space="preserve"> </w:t>
      </w:r>
      <w:r w:rsidRPr="00B3438F">
        <w:t>Ruhestand</w:t>
      </w:r>
      <w:r w:rsidRPr="00B3438F">
        <w:rPr>
          <w:spacing w:val="-11"/>
        </w:rPr>
        <w:t xml:space="preserve"> </w:t>
      </w:r>
      <w:r w:rsidRPr="00B3438F">
        <w:t>voll</w:t>
      </w:r>
      <w:r w:rsidRPr="00B3438F">
        <w:rPr>
          <w:spacing w:val="-12"/>
        </w:rPr>
        <w:t xml:space="preserve"> </w:t>
      </w:r>
      <w:r w:rsidRPr="00B3438F">
        <w:t>und ganz ausschöpfen.</w:t>
      </w:r>
    </w:p>
    <w:p w14:paraId="44D6ECF5" w14:textId="77777777" w:rsidR="00FF7799" w:rsidRPr="00B3438F" w:rsidRDefault="00FF7799" w:rsidP="009D25D8">
      <w:pPr>
        <w:pStyle w:val="StandardTextAufzhlung"/>
        <w:ind w:left="567"/>
      </w:pPr>
      <w:r w:rsidRPr="00B3438F">
        <w:t>Secure World: Konformistische Hedonisten, die sich abkapseln, von einem einfacheren Leben träumen und das traditionelle Rollenverständnis praktizieren.</w:t>
      </w:r>
    </w:p>
    <w:p w14:paraId="044D489D" w14:textId="77777777" w:rsidR="00FF7799" w:rsidRPr="00B3438F" w:rsidRDefault="00FF7799" w:rsidP="009D25D8">
      <w:pPr>
        <w:pStyle w:val="StandardTextAufzhlung"/>
        <w:ind w:left="567"/>
      </w:pPr>
      <w:r w:rsidRPr="00B3438F">
        <w:t>Magic World: Intuitive, junge materialistische Leute mit Kindern und mittleren Einkommen, die auf ein Ereignis warten, das ihr Leben auf wunderhafte Weise verbessern wird.</w:t>
      </w:r>
    </w:p>
    <w:p w14:paraId="23E7637D" w14:textId="77777777" w:rsidR="00FF7799" w:rsidRPr="00B3438F" w:rsidRDefault="00FF7799" w:rsidP="009D25D8">
      <w:pPr>
        <w:pStyle w:val="StandardTextAufzhlung"/>
        <w:ind w:left="567"/>
      </w:pPr>
      <w:r w:rsidRPr="00B3438F">
        <w:t>Crafty</w:t>
      </w:r>
      <w:r w:rsidRPr="00B3438F">
        <w:rPr>
          <w:spacing w:val="-11"/>
        </w:rPr>
        <w:t xml:space="preserve"> </w:t>
      </w:r>
      <w:r w:rsidRPr="00B3438F">
        <w:t>World:</w:t>
      </w:r>
      <w:r w:rsidRPr="00B3438F">
        <w:rPr>
          <w:spacing w:val="-11"/>
        </w:rPr>
        <w:t xml:space="preserve"> </w:t>
      </w:r>
      <w:r w:rsidRPr="00B3438F">
        <w:t>Junge,</w:t>
      </w:r>
      <w:r w:rsidRPr="00B3438F">
        <w:rPr>
          <w:spacing w:val="-12"/>
        </w:rPr>
        <w:t xml:space="preserve"> </w:t>
      </w:r>
      <w:r w:rsidRPr="00B3438F">
        <w:t>dynamische</w:t>
      </w:r>
      <w:r w:rsidRPr="00B3438F">
        <w:rPr>
          <w:spacing w:val="-11"/>
        </w:rPr>
        <w:t xml:space="preserve"> </w:t>
      </w:r>
      <w:r w:rsidRPr="00B3438F">
        <w:t>Opportunisten</w:t>
      </w:r>
      <w:r w:rsidRPr="00B3438F">
        <w:rPr>
          <w:spacing w:val="-10"/>
        </w:rPr>
        <w:t xml:space="preserve"> </w:t>
      </w:r>
      <w:r w:rsidRPr="00B3438F">
        <w:t>einfacher</w:t>
      </w:r>
      <w:r w:rsidRPr="00B3438F">
        <w:rPr>
          <w:spacing w:val="-11"/>
        </w:rPr>
        <w:t xml:space="preserve"> </w:t>
      </w:r>
      <w:r w:rsidRPr="00B3438F">
        <w:t>Herkunft,</w:t>
      </w:r>
      <w:r w:rsidRPr="00B3438F">
        <w:rPr>
          <w:spacing w:val="-11"/>
        </w:rPr>
        <w:t xml:space="preserve"> </w:t>
      </w:r>
      <w:r w:rsidRPr="00B3438F">
        <w:t>die nach Erfolg und materieller Unabhängigkeit streben.</w:t>
      </w:r>
    </w:p>
    <w:p w14:paraId="7EE06B94" w14:textId="77777777" w:rsidR="00FF7799" w:rsidRPr="00B3438F" w:rsidRDefault="00FF7799" w:rsidP="009D25D8">
      <w:pPr>
        <w:pStyle w:val="StandardTextAufzhlung"/>
        <w:ind w:left="567"/>
      </w:pPr>
      <w:r w:rsidRPr="00B3438F">
        <w:lastRenderedPageBreak/>
        <w:t>Cosy Tech World: Aktive moderne Paare mittleren Alters mit meist überdurchschnittlicher Haushalts-ausstattung, die auf der Suche nach persönlicher Entfaltung sind.</w:t>
      </w:r>
    </w:p>
    <w:p w14:paraId="028BFD50" w14:textId="77777777" w:rsidR="00FF7799" w:rsidRPr="00B3438F" w:rsidRDefault="00FF7799" w:rsidP="009D25D8">
      <w:pPr>
        <w:pStyle w:val="StandardTextAufzhlung"/>
        <w:ind w:left="567"/>
      </w:pPr>
      <w:r w:rsidRPr="00B3438F">
        <w:t>New World: Hedonistische tolerante Intellektuelle mit gehobenem Lebensstandard, denen zwischen-menschliche Harmonie und soziales Engagement wichtig sind.</w:t>
      </w:r>
    </w:p>
    <w:p w14:paraId="4F8192F2" w14:textId="77777777" w:rsidR="00FF7799" w:rsidRPr="00B3438F" w:rsidRDefault="00FF7799" w:rsidP="009D25D8">
      <w:pPr>
        <w:pStyle w:val="StandardTextAufzhlung"/>
        <w:ind w:left="567"/>
      </w:pPr>
      <w:r w:rsidRPr="00B3438F">
        <w:t>Authentic World: Rationale, moralische Cocooner-Familien mit guten Einkommen,</w:t>
      </w:r>
      <w:r w:rsidRPr="00B3438F">
        <w:rPr>
          <w:spacing w:val="-4"/>
        </w:rPr>
        <w:t xml:space="preserve"> </w:t>
      </w:r>
      <w:r w:rsidRPr="00B3438F">
        <w:t>die</w:t>
      </w:r>
      <w:r w:rsidRPr="00B3438F">
        <w:rPr>
          <w:spacing w:val="-4"/>
        </w:rPr>
        <w:t xml:space="preserve"> </w:t>
      </w:r>
      <w:r w:rsidRPr="00B3438F">
        <w:t>engagiert</w:t>
      </w:r>
      <w:r w:rsidRPr="00B3438F">
        <w:rPr>
          <w:spacing w:val="-4"/>
        </w:rPr>
        <w:t xml:space="preserve"> </w:t>
      </w:r>
      <w:r w:rsidRPr="00B3438F">
        <w:t>und</w:t>
      </w:r>
      <w:r w:rsidRPr="00B3438F">
        <w:rPr>
          <w:spacing w:val="-5"/>
        </w:rPr>
        <w:t xml:space="preserve"> </w:t>
      </w:r>
      <w:r w:rsidRPr="00B3438F">
        <w:t>auf</w:t>
      </w:r>
      <w:r w:rsidRPr="00B3438F">
        <w:rPr>
          <w:spacing w:val="-4"/>
        </w:rPr>
        <w:t xml:space="preserve"> </w:t>
      </w:r>
      <w:r w:rsidRPr="00B3438F">
        <w:t>der</w:t>
      </w:r>
      <w:r w:rsidRPr="00B3438F">
        <w:rPr>
          <w:spacing w:val="-4"/>
        </w:rPr>
        <w:t xml:space="preserve"> </w:t>
      </w:r>
      <w:r w:rsidRPr="00B3438F">
        <w:t>Suche</w:t>
      </w:r>
      <w:r w:rsidRPr="00B3438F">
        <w:rPr>
          <w:spacing w:val="-5"/>
        </w:rPr>
        <w:t xml:space="preserve"> </w:t>
      </w:r>
      <w:r w:rsidRPr="00B3438F">
        <w:t>nach einem</w:t>
      </w:r>
      <w:r w:rsidRPr="00B3438F">
        <w:rPr>
          <w:spacing w:val="-4"/>
        </w:rPr>
        <w:t xml:space="preserve"> </w:t>
      </w:r>
      <w:r w:rsidRPr="00B3438F">
        <w:t>harmonischen und ausgeglichenen Leben sind.</w:t>
      </w:r>
    </w:p>
    <w:p w14:paraId="38EF2030" w14:textId="77777777" w:rsidR="00FF7799" w:rsidRPr="00B3438F" w:rsidRDefault="00FF7799" w:rsidP="009D25D8">
      <w:pPr>
        <w:pStyle w:val="StandardTextAufzhlung"/>
        <w:ind w:left="567"/>
      </w:pPr>
      <w:r w:rsidRPr="00B3438F">
        <w:t>Standing World: Kultivierte, pflichtbewusste und vermögende Staatsbürger, die ihren Überzeugungen treu bleiben und auf Tradition Wert legen.</w:t>
      </w:r>
    </w:p>
    <w:p w14:paraId="48B2ACDA" w14:textId="77777777" w:rsidR="00FF7799" w:rsidRPr="00B3438F" w:rsidRDefault="00FF7799" w:rsidP="004F4CFA">
      <w:pPr>
        <w:pStyle w:val="StandardText"/>
      </w:pPr>
      <w:r w:rsidRPr="00B3438F">
        <w:t>Einer der Indikatoren des Lebensstils ist die Struktur des Haushaltsbudgets. Wie groß sind die Anteile der Ausgaben für Waren des täglichen Bedarfs, Kommunikation, Wohnen etc.? Die psychographische Lebensstilforschung bestimmt transnationale Zielgruppen, d.h. Segmente von Konsumenten, deren Lebensraum</w:t>
      </w:r>
      <w:r w:rsidRPr="00B3438F">
        <w:rPr>
          <w:spacing w:val="-9"/>
        </w:rPr>
        <w:t xml:space="preserve"> </w:t>
      </w:r>
      <w:r w:rsidRPr="00B3438F">
        <w:t>sich</w:t>
      </w:r>
      <w:r w:rsidRPr="00B3438F">
        <w:rPr>
          <w:spacing w:val="-7"/>
        </w:rPr>
        <w:t xml:space="preserve"> </w:t>
      </w:r>
      <w:r w:rsidRPr="00B3438F">
        <w:t>nicht</w:t>
      </w:r>
      <w:r w:rsidRPr="00B3438F">
        <w:rPr>
          <w:spacing w:val="-7"/>
        </w:rPr>
        <w:t xml:space="preserve"> </w:t>
      </w:r>
      <w:r w:rsidRPr="00B3438F">
        <w:t>auf</w:t>
      </w:r>
      <w:r w:rsidRPr="00B3438F">
        <w:rPr>
          <w:spacing w:val="-8"/>
        </w:rPr>
        <w:t xml:space="preserve"> </w:t>
      </w:r>
      <w:r w:rsidRPr="00B3438F">
        <w:t>ein</w:t>
      </w:r>
      <w:r w:rsidRPr="00B3438F">
        <w:rPr>
          <w:spacing w:val="-7"/>
        </w:rPr>
        <w:t xml:space="preserve"> </w:t>
      </w:r>
      <w:r w:rsidRPr="00B3438F">
        <w:t>Land</w:t>
      </w:r>
      <w:r w:rsidRPr="00B3438F">
        <w:rPr>
          <w:spacing w:val="-9"/>
        </w:rPr>
        <w:t xml:space="preserve"> </w:t>
      </w:r>
      <w:r w:rsidRPr="00B3438F">
        <w:t>beschränkt,</w:t>
      </w:r>
      <w:r w:rsidRPr="00B3438F">
        <w:rPr>
          <w:spacing w:val="-7"/>
        </w:rPr>
        <w:t xml:space="preserve"> </w:t>
      </w:r>
      <w:r w:rsidRPr="00B3438F">
        <w:t>die</w:t>
      </w:r>
      <w:r w:rsidRPr="00B3438F">
        <w:rPr>
          <w:spacing w:val="-8"/>
        </w:rPr>
        <w:t xml:space="preserve"> </w:t>
      </w:r>
      <w:r w:rsidRPr="00B3438F">
        <w:t>sich</w:t>
      </w:r>
      <w:r w:rsidRPr="00B3438F">
        <w:rPr>
          <w:spacing w:val="-9"/>
        </w:rPr>
        <w:t xml:space="preserve"> </w:t>
      </w:r>
      <w:r w:rsidRPr="00B3438F">
        <w:t>aber</w:t>
      </w:r>
      <w:r w:rsidRPr="00B3438F">
        <w:rPr>
          <w:spacing w:val="-8"/>
        </w:rPr>
        <w:t xml:space="preserve"> </w:t>
      </w:r>
      <w:r w:rsidRPr="00B3438F">
        <w:t>dennoch</w:t>
      </w:r>
      <w:r w:rsidRPr="00B3438F">
        <w:rPr>
          <w:spacing w:val="-7"/>
        </w:rPr>
        <w:t xml:space="preserve"> </w:t>
      </w:r>
      <w:r w:rsidRPr="00B3438F">
        <w:t>hinsichtlich ihrer Werte, Einstellungen, Interessen und nicht zuletzt konsumbezogenen Verhaltensweise</w:t>
      </w:r>
      <w:r w:rsidRPr="00B3438F">
        <w:rPr>
          <w:spacing w:val="-9"/>
        </w:rPr>
        <w:t xml:space="preserve"> </w:t>
      </w:r>
      <w:r w:rsidRPr="00B3438F">
        <w:t>signifikant</w:t>
      </w:r>
      <w:r w:rsidRPr="00B3438F">
        <w:rPr>
          <w:spacing w:val="-11"/>
        </w:rPr>
        <w:t xml:space="preserve"> </w:t>
      </w:r>
      <w:r w:rsidRPr="00B3438F">
        <w:t>ähneln.</w:t>
      </w:r>
      <w:r w:rsidRPr="00B3438F">
        <w:rPr>
          <w:spacing w:val="-8"/>
        </w:rPr>
        <w:t xml:space="preserve"> </w:t>
      </w:r>
      <w:r w:rsidRPr="00B3438F">
        <w:t>Häufig</w:t>
      </w:r>
      <w:r w:rsidRPr="00B3438F">
        <w:rPr>
          <w:spacing w:val="-10"/>
        </w:rPr>
        <w:t xml:space="preserve"> </w:t>
      </w:r>
      <w:r w:rsidRPr="00B3438F">
        <w:t>spricht</w:t>
      </w:r>
      <w:r w:rsidRPr="00B3438F">
        <w:rPr>
          <w:spacing w:val="-8"/>
        </w:rPr>
        <w:t xml:space="preserve"> </w:t>
      </w:r>
      <w:r w:rsidRPr="00B3438F">
        <w:t>man</w:t>
      </w:r>
      <w:r w:rsidRPr="00B3438F">
        <w:rPr>
          <w:spacing w:val="-10"/>
        </w:rPr>
        <w:t xml:space="preserve"> </w:t>
      </w:r>
      <w:r w:rsidRPr="00B3438F">
        <w:t>in</w:t>
      </w:r>
      <w:r w:rsidRPr="00B3438F">
        <w:rPr>
          <w:spacing w:val="-10"/>
        </w:rPr>
        <w:t xml:space="preserve"> </w:t>
      </w:r>
      <w:r w:rsidRPr="00B3438F">
        <w:t>diesem</w:t>
      </w:r>
      <w:r w:rsidRPr="00B3438F">
        <w:rPr>
          <w:spacing w:val="-10"/>
        </w:rPr>
        <w:t xml:space="preserve"> </w:t>
      </w:r>
      <w:r w:rsidRPr="00B3438F">
        <w:t>Zusammenhang auch von Orientierung (z.B. Konsumorientierung, Freizeitorientierung). Die angebliche Freizeitorientierung der Mittelmeerländer wurde in der öffentlichen Diskussion um die zeitweise als eine mögliche Ursache Verschuldung Griechenlands öffentlich-populistisch diskutiert, durch die offizielle Arbeitsmarktstatistik jedoch widerlegt (vgl. Tab. 2).</w:t>
      </w:r>
    </w:p>
    <w:p w14:paraId="099DF1C1" w14:textId="77777777" w:rsidR="00FF7799" w:rsidRPr="00E73F6F" w:rsidRDefault="00FF7799" w:rsidP="004F4CFA">
      <w:pPr>
        <w:pStyle w:val="StandardText"/>
      </w:pPr>
    </w:p>
    <w:p w14:paraId="0B502254" w14:textId="77777777" w:rsidR="00FF7799" w:rsidRPr="00ED4C94" w:rsidRDefault="00FF7799" w:rsidP="004F4CFA">
      <w:pPr>
        <w:pStyle w:val="BeschriftungTab"/>
        <w:rPr>
          <w:i/>
          <w:iCs/>
        </w:rPr>
      </w:pPr>
      <w:r w:rsidRPr="00ED4C94">
        <w:rPr>
          <w:i/>
          <w:iCs/>
        </w:rPr>
        <w:t>Tab.</w:t>
      </w:r>
      <w:r w:rsidRPr="00ED4C94">
        <w:rPr>
          <w:i/>
          <w:iCs/>
          <w:spacing w:val="-2"/>
        </w:rPr>
        <w:t xml:space="preserve"> </w:t>
      </w:r>
      <w:r w:rsidRPr="00ED4C94">
        <w:rPr>
          <w:i/>
          <w:iCs/>
        </w:rPr>
        <w:t>2:</w:t>
      </w:r>
      <w:r w:rsidRPr="00ED4C94">
        <w:rPr>
          <w:i/>
          <w:iCs/>
          <w:spacing w:val="-5"/>
        </w:rPr>
        <w:t xml:space="preserve"> </w:t>
      </w:r>
      <w:r w:rsidRPr="00ED4C94">
        <w:rPr>
          <w:i/>
          <w:iCs/>
        </w:rPr>
        <w:t>Tarifarbeitszeit</w:t>
      </w:r>
      <w:r w:rsidRPr="00ED4C94">
        <w:rPr>
          <w:i/>
          <w:iCs/>
          <w:spacing w:val="-3"/>
        </w:rPr>
        <w:t xml:space="preserve"> </w:t>
      </w:r>
      <w:r w:rsidRPr="00ED4C94">
        <w:rPr>
          <w:i/>
          <w:iCs/>
        </w:rPr>
        <w:t>von</w:t>
      </w:r>
      <w:r w:rsidRPr="00ED4C94">
        <w:rPr>
          <w:i/>
          <w:iCs/>
          <w:spacing w:val="-1"/>
        </w:rPr>
        <w:t xml:space="preserve"> </w:t>
      </w:r>
      <w:r w:rsidRPr="00ED4C94">
        <w:rPr>
          <w:i/>
          <w:iCs/>
        </w:rPr>
        <w:t>Arbeitnehmern</w:t>
      </w:r>
      <w:r w:rsidRPr="00ED4C94">
        <w:rPr>
          <w:i/>
          <w:iCs/>
          <w:spacing w:val="-3"/>
        </w:rPr>
        <w:t xml:space="preserve"> </w:t>
      </w:r>
      <w:r w:rsidRPr="00ED4C94">
        <w:rPr>
          <w:i/>
          <w:iCs/>
        </w:rPr>
        <w:t>in</w:t>
      </w:r>
      <w:r w:rsidRPr="00ED4C94">
        <w:rPr>
          <w:i/>
          <w:iCs/>
          <w:spacing w:val="-2"/>
        </w:rPr>
        <w:t xml:space="preserve"> </w:t>
      </w:r>
      <w:r w:rsidRPr="00ED4C94">
        <w:rPr>
          <w:i/>
          <w:iCs/>
        </w:rPr>
        <w:t>europäischen</w:t>
      </w:r>
      <w:r w:rsidRPr="00ED4C94">
        <w:rPr>
          <w:i/>
          <w:iCs/>
          <w:spacing w:val="-2"/>
        </w:rPr>
        <w:t xml:space="preserve"> </w:t>
      </w:r>
      <w:r w:rsidRPr="00ED4C94">
        <w:rPr>
          <w:i/>
          <w:iCs/>
        </w:rPr>
        <w:t>Ländern</w:t>
      </w:r>
      <w:r w:rsidRPr="00ED4C94">
        <w:rPr>
          <w:i/>
          <w:iCs/>
          <w:spacing w:val="-2"/>
        </w:rPr>
        <w:t xml:space="preserve"> (2010)</w:t>
      </w:r>
    </w:p>
    <w:tbl>
      <w:tblPr>
        <w:tblStyle w:val="TableNormal"/>
        <w:tblW w:w="5000" w:type="pct"/>
        <w:tblBorders>
          <w:top w:val="single" w:sz="4" w:space="0" w:color="000000"/>
          <w:bottom w:val="single" w:sz="4" w:space="0" w:color="000000"/>
          <w:insideH w:val="single" w:sz="4" w:space="0" w:color="000000"/>
        </w:tblBorders>
        <w:tblCellMar>
          <w:left w:w="57" w:type="dxa"/>
          <w:right w:w="57" w:type="dxa"/>
        </w:tblCellMar>
        <w:tblLook w:val="01E0" w:firstRow="1" w:lastRow="1" w:firstColumn="1" w:lastColumn="1" w:noHBand="0" w:noVBand="0"/>
      </w:tblPr>
      <w:tblGrid>
        <w:gridCol w:w="1556"/>
        <w:gridCol w:w="1878"/>
        <w:gridCol w:w="1880"/>
        <w:gridCol w:w="1880"/>
        <w:gridCol w:w="1878"/>
      </w:tblGrid>
      <w:tr w:rsidR="00FF7799" w:rsidRPr="00E73F6F" w14:paraId="0B064802" w14:textId="77777777" w:rsidTr="004F4CFA">
        <w:trPr>
          <w:trHeight w:val="988"/>
        </w:trPr>
        <w:tc>
          <w:tcPr>
            <w:tcW w:w="858" w:type="pct"/>
            <w:shd w:val="clear" w:color="auto" w:fill="FFC000" w:themeFill="accent4"/>
          </w:tcPr>
          <w:p w14:paraId="1C41A03F" w14:textId="77777777" w:rsidR="00FF7799" w:rsidRPr="00E73F6F" w:rsidRDefault="00FF7799" w:rsidP="004F4CFA">
            <w:pPr>
              <w:pStyle w:val="StandardText"/>
              <w:spacing w:after="120"/>
              <w:rPr>
                <w:lang w:val="de-DE"/>
              </w:rPr>
            </w:pPr>
          </w:p>
        </w:tc>
        <w:tc>
          <w:tcPr>
            <w:tcW w:w="1035" w:type="pct"/>
            <w:shd w:val="clear" w:color="auto" w:fill="FFC000" w:themeFill="accent4"/>
          </w:tcPr>
          <w:p w14:paraId="1CAD5F6A" w14:textId="77777777" w:rsidR="00FF7799" w:rsidRPr="00E73F6F" w:rsidRDefault="00FF7799" w:rsidP="004F4CFA">
            <w:pPr>
              <w:pStyle w:val="StandardText"/>
              <w:spacing w:after="120"/>
              <w:jc w:val="center"/>
              <w:rPr>
                <w:b/>
                <w:lang w:val="de-DE"/>
              </w:rPr>
            </w:pPr>
            <w:r w:rsidRPr="00E73F6F">
              <w:rPr>
                <w:b/>
                <w:spacing w:val="-2"/>
                <w:lang w:val="de-DE"/>
              </w:rPr>
              <w:t>Wochen-</w:t>
            </w:r>
            <w:r w:rsidRPr="00E73F6F">
              <w:rPr>
                <w:b/>
                <w:spacing w:val="-2"/>
                <w:lang w:val="de-DE"/>
              </w:rPr>
              <w:br/>
              <w:t>arbeitszeit</w:t>
            </w:r>
          </w:p>
          <w:p w14:paraId="423226C5" w14:textId="77777777" w:rsidR="00FF7799" w:rsidRPr="00E73F6F" w:rsidRDefault="00FF7799" w:rsidP="004F4CFA">
            <w:pPr>
              <w:pStyle w:val="StandardText"/>
              <w:spacing w:after="120"/>
              <w:jc w:val="center"/>
              <w:rPr>
                <w:i/>
                <w:lang w:val="de-DE"/>
              </w:rPr>
            </w:pPr>
            <w:r w:rsidRPr="00E73F6F">
              <w:rPr>
                <w:i/>
                <w:spacing w:val="-2"/>
                <w:lang w:val="de-DE"/>
              </w:rPr>
              <w:t>(Stunden)</w:t>
            </w:r>
          </w:p>
        </w:tc>
        <w:tc>
          <w:tcPr>
            <w:tcW w:w="1036" w:type="pct"/>
            <w:shd w:val="clear" w:color="auto" w:fill="FFC000" w:themeFill="accent4"/>
          </w:tcPr>
          <w:p w14:paraId="1906356D" w14:textId="0281671D" w:rsidR="00FF7799" w:rsidRPr="009D25D8" w:rsidRDefault="00FF7799" w:rsidP="009D25D8">
            <w:pPr>
              <w:pStyle w:val="StandardText"/>
              <w:spacing w:after="120"/>
              <w:jc w:val="center"/>
              <w:rPr>
                <w:b/>
                <w:spacing w:val="-2"/>
                <w:lang w:val="de-DE"/>
              </w:rPr>
            </w:pPr>
            <w:r w:rsidRPr="009D25D8">
              <w:rPr>
                <w:b/>
                <w:spacing w:val="-2"/>
                <w:lang w:val="de-DE"/>
              </w:rPr>
              <w:t>Brutto-</w:t>
            </w:r>
            <w:r w:rsidR="009D25D8">
              <w:rPr>
                <w:b/>
                <w:spacing w:val="-2"/>
                <w:lang w:val="de-DE"/>
              </w:rPr>
              <w:t xml:space="preserve">          </w:t>
            </w:r>
            <w:r w:rsidR="009D25D8" w:rsidRPr="009D25D8">
              <w:rPr>
                <w:b/>
                <w:spacing w:val="-2"/>
                <w:lang w:val="de-DE"/>
              </w:rPr>
              <w:t>Jahresarbeitszeit</w:t>
            </w:r>
          </w:p>
          <w:p w14:paraId="1E3C529E" w14:textId="77777777" w:rsidR="00FF7799" w:rsidRPr="009D25D8" w:rsidRDefault="00FF7799" w:rsidP="004F4CFA">
            <w:pPr>
              <w:pStyle w:val="StandardText"/>
              <w:spacing w:after="120"/>
              <w:jc w:val="center"/>
              <w:rPr>
                <w:i/>
                <w:spacing w:val="-2"/>
                <w:lang w:val="de-DE"/>
              </w:rPr>
            </w:pPr>
            <w:r w:rsidRPr="009D25D8">
              <w:rPr>
                <w:i/>
                <w:spacing w:val="-2"/>
                <w:lang w:val="de-DE"/>
              </w:rPr>
              <w:t>(Stunden)</w:t>
            </w:r>
          </w:p>
        </w:tc>
        <w:tc>
          <w:tcPr>
            <w:tcW w:w="1036" w:type="pct"/>
            <w:shd w:val="clear" w:color="auto" w:fill="FFC000" w:themeFill="accent4"/>
          </w:tcPr>
          <w:p w14:paraId="0B3A3DD6" w14:textId="77777777" w:rsidR="00FF7799" w:rsidRPr="00E73F6F" w:rsidRDefault="00FF7799" w:rsidP="004F4CFA">
            <w:pPr>
              <w:pStyle w:val="StandardText"/>
              <w:spacing w:after="120"/>
              <w:jc w:val="center"/>
              <w:rPr>
                <w:b/>
                <w:lang w:val="de-DE"/>
              </w:rPr>
            </w:pPr>
            <w:r w:rsidRPr="00E73F6F">
              <w:rPr>
                <w:b/>
                <w:spacing w:val="-2"/>
                <w:lang w:val="de-DE"/>
              </w:rPr>
              <w:t>Jahresurlaub</w:t>
            </w:r>
          </w:p>
          <w:p w14:paraId="5462E454" w14:textId="77777777" w:rsidR="00FF7799" w:rsidRPr="00E73F6F" w:rsidRDefault="00FF7799" w:rsidP="004F4CFA">
            <w:pPr>
              <w:pStyle w:val="StandardText"/>
              <w:spacing w:after="120"/>
              <w:jc w:val="center"/>
              <w:rPr>
                <w:i/>
                <w:lang w:val="de-DE"/>
              </w:rPr>
            </w:pPr>
            <w:r w:rsidRPr="00E73F6F">
              <w:rPr>
                <w:i/>
                <w:spacing w:val="-2"/>
                <w:lang w:val="de-DE"/>
              </w:rPr>
              <w:t>(Arbeitstage)</w:t>
            </w:r>
          </w:p>
        </w:tc>
        <w:tc>
          <w:tcPr>
            <w:tcW w:w="1036" w:type="pct"/>
            <w:shd w:val="clear" w:color="auto" w:fill="FFC000" w:themeFill="accent4"/>
          </w:tcPr>
          <w:p w14:paraId="70DE3D15" w14:textId="77777777" w:rsidR="00FF7799" w:rsidRPr="00E73F6F" w:rsidRDefault="00FF7799" w:rsidP="004F4CFA">
            <w:pPr>
              <w:pStyle w:val="StandardText"/>
              <w:spacing w:after="120"/>
              <w:jc w:val="center"/>
              <w:rPr>
                <w:b/>
                <w:lang w:val="de-DE"/>
              </w:rPr>
            </w:pPr>
            <w:r w:rsidRPr="00E73F6F">
              <w:rPr>
                <w:b/>
                <w:spacing w:val="-2"/>
                <w:lang w:val="de-DE"/>
              </w:rPr>
              <w:t>Feiertage</w:t>
            </w:r>
          </w:p>
          <w:p w14:paraId="18DA5547" w14:textId="77777777" w:rsidR="00FF7799" w:rsidRPr="00E73F6F" w:rsidRDefault="00FF7799" w:rsidP="004F4CFA">
            <w:pPr>
              <w:pStyle w:val="StandardText"/>
              <w:spacing w:after="120"/>
              <w:jc w:val="center"/>
              <w:rPr>
                <w:lang w:val="de-DE"/>
              </w:rPr>
            </w:pPr>
            <w:r w:rsidRPr="00E73F6F">
              <w:rPr>
                <w:i/>
                <w:spacing w:val="-2"/>
                <w:lang w:val="de-DE"/>
              </w:rPr>
              <w:t>(Arbeitstage</w:t>
            </w:r>
            <w:r w:rsidRPr="00E73F6F">
              <w:rPr>
                <w:spacing w:val="-2"/>
                <w:lang w:val="de-DE"/>
              </w:rPr>
              <w:t>)</w:t>
            </w:r>
          </w:p>
        </w:tc>
      </w:tr>
      <w:tr w:rsidR="00FF7799" w:rsidRPr="00E73F6F" w14:paraId="7C05376B" w14:textId="77777777" w:rsidTr="00B3438F">
        <w:trPr>
          <w:trHeight w:val="328"/>
        </w:trPr>
        <w:tc>
          <w:tcPr>
            <w:tcW w:w="858" w:type="pct"/>
            <w:shd w:val="clear" w:color="auto" w:fill="FFF2CC" w:themeFill="accent4" w:themeFillTint="33"/>
          </w:tcPr>
          <w:p w14:paraId="0B052595" w14:textId="77777777" w:rsidR="00FF7799" w:rsidRPr="00E73F6F" w:rsidRDefault="00FF7799" w:rsidP="004F4CFA">
            <w:pPr>
              <w:pStyle w:val="StandardText"/>
              <w:rPr>
                <w:lang w:val="de-DE"/>
              </w:rPr>
            </w:pPr>
            <w:r w:rsidRPr="00E73F6F">
              <w:rPr>
                <w:spacing w:val="-2"/>
                <w:lang w:val="de-DE"/>
              </w:rPr>
              <w:t>Deutschland</w:t>
            </w:r>
          </w:p>
        </w:tc>
        <w:tc>
          <w:tcPr>
            <w:tcW w:w="1035" w:type="pct"/>
          </w:tcPr>
          <w:p w14:paraId="5F7F8916" w14:textId="77777777" w:rsidR="00FF7799" w:rsidRPr="00E73F6F" w:rsidRDefault="00FF7799" w:rsidP="004F4CFA">
            <w:pPr>
              <w:pStyle w:val="StandardText"/>
              <w:jc w:val="center"/>
              <w:rPr>
                <w:lang w:val="de-DE"/>
              </w:rPr>
            </w:pPr>
            <w:r w:rsidRPr="00E73F6F">
              <w:rPr>
                <w:spacing w:val="-4"/>
                <w:lang w:val="de-DE"/>
              </w:rPr>
              <w:t>37,7</w:t>
            </w:r>
          </w:p>
        </w:tc>
        <w:tc>
          <w:tcPr>
            <w:tcW w:w="1036" w:type="pct"/>
          </w:tcPr>
          <w:p w14:paraId="3ABB0788" w14:textId="77777777" w:rsidR="00FF7799" w:rsidRPr="00E73F6F" w:rsidRDefault="00FF7799" w:rsidP="004F4CFA">
            <w:pPr>
              <w:pStyle w:val="StandardText"/>
              <w:jc w:val="center"/>
              <w:rPr>
                <w:lang w:val="de-DE"/>
              </w:rPr>
            </w:pPr>
            <w:r w:rsidRPr="00E73F6F">
              <w:rPr>
                <w:spacing w:val="-2"/>
                <w:lang w:val="de-DE"/>
              </w:rPr>
              <w:t>1.960,4</w:t>
            </w:r>
          </w:p>
        </w:tc>
        <w:tc>
          <w:tcPr>
            <w:tcW w:w="1036" w:type="pct"/>
          </w:tcPr>
          <w:p w14:paraId="341CAD85" w14:textId="77777777" w:rsidR="00FF7799" w:rsidRPr="00E73F6F" w:rsidRDefault="00FF7799" w:rsidP="004F4CFA">
            <w:pPr>
              <w:pStyle w:val="StandardText"/>
              <w:jc w:val="center"/>
              <w:rPr>
                <w:lang w:val="de-DE"/>
              </w:rPr>
            </w:pPr>
            <w:r w:rsidRPr="00E73F6F">
              <w:rPr>
                <w:spacing w:val="-4"/>
                <w:lang w:val="de-DE"/>
              </w:rPr>
              <w:t>30,0</w:t>
            </w:r>
          </w:p>
        </w:tc>
        <w:tc>
          <w:tcPr>
            <w:tcW w:w="1036" w:type="pct"/>
          </w:tcPr>
          <w:p w14:paraId="4B399B3C" w14:textId="77777777" w:rsidR="00FF7799" w:rsidRPr="00E73F6F" w:rsidRDefault="00FF7799" w:rsidP="004F4CFA">
            <w:pPr>
              <w:pStyle w:val="StandardText"/>
              <w:jc w:val="center"/>
              <w:rPr>
                <w:lang w:val="de-DE"/>
              </w:rPr>
            </w:pPr>
            <w:r w:rsidRPr="00E73F6F">
              <w:rPr>
                <w:spacing w:val="-4"/>
                <w:lang w:val="de-DE"/>
              </w:rPr>
              <w:t>10,0</w:t>
            </w:r>
          </w:p>
        </w:tc>
      </w:tr>
      <w:tr w:rsidR="00FF7799" w:rsidRPr="00E73F6F" w14:paraId="311D5FB4" w14:textId="77777777" w:rsidTr="00B3438F">
        <w:trPr>
          <w:trHeight w:val="330"/>
        </w:trPr>
        <w:tc>
          <w:tcPr>
            <w:tcW w:w="858" w:type="pct"/>
            <w:shd w:val="clear" w:color="auto" w:fill="FFF2CC" w:themeFill="accent4" w:themeFillTint="33"/>
          </w:tcPr>
          <w:p w14:paraId="6F2BEFEA" w14:textId="77777777" w:rsidR="00FF7799" w:rsidRPr="00E73F6F" w:rsidRDefault="00FF7799" w:rsidP="004F4CFA">
            <w:pPr>
              <w:pStyle w:val="StandardText"/>
              <w:rPr>
                <w:lang w:val="de-DE"/>
              </w:rPr>
            </w:pPr>
            <w:r w:rsidRPr="00E73F6F">
              <w:rPr>
                <w:spacing w:val="-2"/>
                <w:lang w:val="de-DE"/>
              </w:rPr>
              <w:t>Griechenland</w:t>
            </w:r>
          </w:p>
        </w:tc>
        <w:tc>
          <w:tcPr>
            <w:tcW w:w="1035" w:type="pct"/>
          </w:tcPr>
          <w:p w14:paraId="039FE184" w14:textId="77777777" w:rsidR="00FF7799" w:rsidRPr="00E73F6F" w:rsidRDefault="00FF7799" w:rsidP="004F4CFA">
            <w:pPr>
              <w:pStyle w:val="StandardText"/>
              <w:jc w:val="center"/>
              <w:rPr>
                <w:lang w:val="de-DE"/>
              </w:rPr>
            </w:pPr>
            <w:r w:rsidRPr="00E73F6F">
              <w:rPr>
                <w:spacing w:val="-4"/>
                <w:lang w:val="de-DE"/>
              </w:rPr>
              <w:t>40,0</w:t>
            </w:r>
          </w:p>
        </w:tc>
        <w:tc>
          <w:tcPr>
            <w:tcW w:w="1036" w:type="pct"/>
          </w:tcPr>
          <w:p w14:paraId="279B4206" w14:textId="77777777" w:rsidR="00FF7799" w:rsidRPr="00E73F6F" w:rsidRDefault="00FF7799" w:rsidP="004F4CFA">
            <w:pPr>
              <w:pStyle w:val="StandardText"/>
              <w:jc w:val="center"/>
              <w:rPr>
                <w:lang w:val="de-DE"/>
              </w:rPr>
            </w:pPr>
            <w:r w:rsidRPr="00E73F6F">
              <w:rPr>
                <w:spacing w:val="-2"/>
                <w:lang w:val="de-DE"/>
              </w:rPr>
              <w:t>2.080,0</w:t>
            </w:r>
          </w:p>
        </w:tc>
        <w:tc>
          <w:tcPr>
            <w:tcW w:w="1036" w:type="pct"/>
          </w:tcPr>
          <w:p w14:paraId="0A409515" w14:textId="77777777" w:rsidR="00FF7799" w:rsidRPr="00E73F6F" w:rsidRDefault="00FF7799" w:rsidP="004F4CFA">
            <w:pPr>
              <w:pStyle w:val="StandardText"/>
              <w:jc w:val="center"/>
              <w:rPr>
                <w:lang w:val="de-DE"/>
              </w:rPr>
            </w:pPr>
            <w:r w:rsidRPr="00E73F6F">
              <w:rPr>
                <w:spacing w:val="-4"/>
                <w:lang w:val="de-DE"/>
              </w:rPr>
              <w:t>23,0</w:t>
            </w:r>
          </w:p>
        </w:tc>
        <w:tc>
          <w:tcPr>
            <w:tcW w:w="1036" w:type="pct"/>
          </w:tcPr>
          <w:p w14:paraId="6AA4033E" w14:textId="77777777" w:rsidR="00FF7799" w:rsidRPr="00E73F6F" w:rsidRDefault="00FF7799" w:rsidP="004F4CFA">
            <w:pPr>
              <w:pStyle w:val="StandardText"/>
              <w:jc w:val="center"/>
              <w:rPr>
                <w:lang w:val="de-DE"/>
              </w:rPr>
            </w:pPr>
            <w:r w:rsidRPr="00E73F6F">
              <w:rPr>
                <w:spacing w:val="-4"/>
                <w:lang w:val="de-DE"/>
              </w:rPr>
              <w:t>10,0</w:t>
            </w:r>
          </w:p>
        </w:tc>
      </w:tr>
      <w:tr w:rsidR="00FF7799" w:rsidRPr="00E73F6F" w14:paraId="5B43AB6D" w14:textId="77777777" w:rsidTr="00B3438F">
        <w:trPr>
          <w:trHeight w:val="328"/>
        </w:trPr>
        <w:tc>
          <w:tcPr>
            <w:tcW w:w="858" w:type="pct"/>
            <w:shd w:val="clear" w:color="auto" w:fill="FFF2CC" w:themeFill="accent4" w:themeFillTint="33"/>
          </w:tcPr>
          <w:p w14:paraId="4EED51BC" w14:textId="77777777" w:rsidR="00FF7799" w:rsidRPr="00E73F6F" w:rsidRDefault="00FF7799" w:rsidP="004F4CFA">
            <w:pPr>
              <w:pStyle w:val="StandardText"/>
              <w:rPr>
                <w:lang w:val="de-DE"/>
              </w:rPr>
            </w:pPr>
            <w:r w:rsidRPr="00E73F6F">
              <w:rPr>
                <w:spacing w:val="-2"/>
                <w:lang w:val="de-DE"/>
              </w:rPr>
              <w:t>Österreich</w:t>
            </w:r>
          </w:p>
        </w:tc>
        <w:tc>
          <w:tcPr>
            <w:tcW w:w="1035" w:type="pct"/>
          </w:tcPr>
          <w:p w14:paraId="01656EDE" w14:textId="77777777" w:rsidR="00FF7799" w:rsidRPr="00E73F6F" w:rsidRDefault="00FF7799" w:rsidP="004F4CFA">
            <w:pPr>
              <w:pStyle w:val="StandardText"/>
              <w:jc w:val="center"/>
              <w:rPr>
                <w:lang w:val="de-DE"/>
              </w:rPr>
            </w:pPr>
            <w:r w:rsidRPr="00E73F6F">
              <w:rPr>
                <w:spacing w:val="-4"/>
                <w:lang w:val="de-DE"/>
              </w:rPr>
              <w:t>38,8</w:t>
            </w:r>
          </w:p>
        </w:tc>
        <w:tc>
          <w:tcPr>
            <w:tcW w:w="1036" w:type="pct"/>
          </w:tcPr>
          <w:p w14:paraId="2B5AFEC3" w14:textId="77777777" w:rsidR="00FF7799" w:rsidRPr="00E73F6F" w:rsidRDefault="00FF7799" w:rsidP="004F4CFA">
            <w:pPr>
              <w:pStyle w:val="StandardText"/>
              <w:jc w:val="center"/>
              <w:rPr>
                <w:lang w:val="de-DE"/>
              </w:rPr>
            </w:pPr>
            <w:r w:rsidRPr="00E73F6F">
              <w:rPr>
                <w:spacing w:val="-2"/>
                <w:lang w:val="de-DE"/>
              </w:rPr>
              <w:t>2.015,0</w:t>
            </w:r>
          </w:p>
        </w:tc>
        <w:tc>
          <w:tcPr>
            <w:tcW w:w="1036" w:type="pct"/>
          </w:tcPr>
          <w:p w14:paraId="5CEC3696" w14:textId="77777777" w:rsidR="00FF7799" w:rsidRPr="00E73F6F" w:rsidRDefault="00FF7799" w:rsidP="004F4CFA">
            <w:pPr>
              <w:pStyle w:val="StandardText"/>
              <w:jc w:val="center"/>
              <w:rPr>
                <w:lang w:val="de-DE"/>
              </w:rPr>
            </w:pPr>
            <w:r w:rsidRPr="00E73F6F">
              <w:rPr>
                <w:spacing w:val="-4"/>
                <w:lang w:val="de-DE"/>
              </w:rPr>
              <w:t>25,0</w:t>
            </w:r>
          </w:p>
        </w:tc>
        <w:tc>
          <w:tcPr>
            <w:tcW w:w="1036" w:type="pct"/>
          </w:tcPr>
          <w:p w14:paraId="6CF7033A" w14:textId="77777777" w:rsidR="00FF7799" w:rsidRPr="00E73F6F" w:rsidRDefault="00FF7799" w:rsidP="004F4CFA">
            <w:pPr>
              <w:pStyle w:val="StandardText"/>
              <w:jc w:val="center"/>
              <w:rPr>
                <w:lang w:val="de-DE"/>
              </w:rPr>
            </w:pPr>
            <w:r w:rsidRPr="00E73F6F">
              <w:rPr>
                <w:spacing w:val="-4"/>
                <w:lang w:val="de-DE"/>
              </w:rPr>
              <w:t>11,0</w:t>
            </w:r>
          </w:p>
        </w:tc>
      </w:tr>
      <w:tr w:rsidR="00FF7799" w:rsidRPr="00E73F6F" w14:paraId="61666B51" w14:textId="77777777" w:rsidTr="00B3438F">
        <w:trPr>
          <w:trHeight w:val="331"/>
        </w:trPr>
        <w:tc>
          <w:tcPr>
            <w:tcW w:w="858" w:type="pct"/>
            <w:shd w:val="clear" w:color="auto" w:fill="FFF2CC" w:themeFill="accent4" w:themeFillTint="33"/>
          </w:tcPr>
          <w:p w14:paraId="4E14490B" w14:textId="77777777" w:rsidR="00FF7799" w:rsidRPr="00E73F6F" w:rsidRDefault="00FF7799" w:rsidP="004F4CFA">
            <w:pPr>
              <w:pStyle w:val="StandardText"/>
              <w:rPr>
                <w:lang w:val="de-DE"/>
              </w:rPr>
            </w:pPr>
            <w:r w:rsidRPr="00E73F6F">
              <w:rPr>
                <w:spacing w:val="-2"/>
                <w:lang w:val="de-DE"/>
              </w:rPr>
              <w:t>Spanien</w:t>
            </w:r>
          </w:p>
        </w:tc>
        <w:tc>
          <w:tcPr>
            <w:tcW w:w="1035" w:type="pct"/>
          </w:tcPr>
          <w:p w14:paraId="7B42F9AB" w14:textId="77777777" w:rsidR="00FF7799" w:rsidRPr="00E73F6F" w:rsidRDefault="00FF7799" w:rsidP="004F4CFA">
            <w:pPr>
              <w:pStyle w:val="StandardText"/>
              <w:jc w:val="center"/>
              <w:rPr>
                <w:lang w:val="de-DE"/>
              </w:rPr>
            </w:pPr>
            <w:r w:rsidRPr="00E73F6F">
              <w:rPr>
                <w:spacing w:val="-4"/>
                <w:lang w:val="de-DE"/>
              </w:rPr>
              <w:t>38,6</w:t>
            </w:r>
          </w:p>
        </w:tc>
        <w:tc>
          <w:tcPr>
            <w:tcW w:w="1036" w:type="pct"/>
          </w:tcPr>
          <w:p w14:paraId="53710AAF" w14:textId="77777777" w:rsidR="00FF7799" w:rsidRPr="00E73F6F" w:rsidRDefault="00FF7799" w:rsidP="004F4CFA">
            <w:pPr>
              <w:pStyle w:val="StandardText"/>
              <w:jc w:val="center"/>
              <w:rPr>
                <w:lang w:val="de-DE"/>
              </w:rPr>
            </w:pPr>
            <w:r w:rsidRPr="00E73F6F">
              <w:rPr>
                <w:spacing w:val="-2"/>
                <w:lang w:val="de-DE"/>
              </w:rPr>
              <w:t>2.007,2</w:t>
            </w:r>
          </w:p>
        </w:tc>
        <w:tc>
          <w:tcPr>
            <w:tcW w:w="1036" w:type="pct"/>
          </w:tcPr>
          <w:p w14:paraId="32B3B544" w14:textId="77777777" w:rsidR="00FF7799" w:rsidRPr="00E73F6F" w:rsidRDefault="00FF7799" w:rsidP="004F4CFA">
            <w:pPr>
              <w:pStyle w:val="StandardText"/>
              <w:jc w:val="center"/>
              <w:rPr>
                <w:lang w:val="de-DE"/>
              </w:rPr>
            </w:pPr>
            <w:r w:rsidRPr="00E73F6F">
              <w:rPr>
                <w:spacing w:val="-4"/>
                <w:lang w:val="de-DE"/>
              </w:rPr>
              <w:t>22,0</w:t>
            </w:r>
          </w:p>
        </w:tc>
        <w:tc>
          <w:tcPr>
            <w:tcW w:w="1036" w:type="pct"/>
          </w:tcPr>
          <w:p w14:paraId="333DB570" w14:textId="77777777" w:rsidR="00FF7799" w:rsidRPr="00E73F6F" w:rsidRDefault="00FF7799" w:rsidP="004F4CFA">
            <w:pPr>
              <w:pStyle w:val="StandardText"/>
              <w:jc w:val="center"/>
              <w:rPr>
                <w:lang w:val="de-DE"/>
              </w:rPr>
            </w:pPr>
            <w:r w:rsidRPr="00E73F6F">
              <w:rPr>
                <w:spacing w:val="-4"/>
                <w:lang w:val="de-DE"/>
              </w:rPr>
              <w:t>14,0</w:t>
            </w:r>
          </w:p>
        </w:tc>
      </w:tr>
      <w:tr w:rsidR="00FF7799" w:rsidRPr="00E73F6F" w14:paraId="2944605D" w14:textId="77777777" w:rsidTr="00B3438F">
        <w:trPr>
          <w:trHeight w:val="328"/>
        </w:trPr>
        <w:tc>
          <w:tcPr>
            <w:tcW w:w="858" w:type="pct"/>
            <w:shd w:val="clear" w:color="auto" w:fill="FFF2CC" w:themeFill="accent4" w:themeFillTint="33"/>
          </w:tcPr>
          <w:p w14:paraId="312FF644" w14:textId="77777777" w:rsidR="00FF7799" w:rsidRPr="00E73F6F" w:rsidRDefault="00FF7799" w:rsidP="004F4CFA">
            <w:pPr>
              <w:pStyle w:val="StandardText"/>
              <w:rPr>
                <w:lang w:val="de-DE"/>
              </w:rPr>
            </w:pPr>
            <w:r w:rsidRPr="00E73F6F">
              <w:rPr>
                <w:lang w:val="de-DE"/>
              </w:rPr>
              <w:t>EU-</w:t>
            </w:r>
            <w:r w:rsidRPr="00E73F6F">
              <w:rPr>
                <w:spacing w:val="-5"/>
                <w:lang w:val="de-DE"/>
              </w:rPr>
              <w:t>15</w:t>
            </w:r>
          </w:p>
        </w:tc>
        <w:tc>
          <w:tcPr>
            <w:tcW w:w="1035" w:type="pct"/>
          </w:tcPr>
          <w:p w14:paraId="18076180" w14:textId="77777777" w:rsidR="00FF7799" w:rsidRPr="00E73F6F" w:rsidRDefault="00FF7799" w:rsidP="004F4CFA">
            <w:pPr>
              <w:pStyle w:val="StandardText"/>
              <w:jc w:val="center"/>
              <w:rPr>
                <w:lang w:val="de-DE"/>
              </w:rPr>
            </w:pPr>
            <w:r w:rsidRPr="00E73F6F">
              <w:rPr>
                <w:spacing w:val="-4"/>
                <w:lang w:val="de-DE"/>
              </w:rPr>
              <w:t>37,6</w:t>
            </w:r>
          </w:p>
        </w:tc>
        <w:tc>
          <w:tcPr>
            <w:tcW w:w="1036" w:type="pct"/>
          </w:tcPr>
          <w:p w14:paraId="6E343A52" w14:textId="77777777" w:rsidR="00FF7799" w:rsidRPr="00E73F6F" w:rsidRDefault="00FF7799" w:rsidP="004F4CFA">
            <w:pPr>
              <w:pStyle w:val="StandardText"/>
              <w:jc w:val="center"/>
              <w:rPr>
                <w:lang w:val="de-DE"/>
              </w:rPr>
            </w:pPr>
            <w:r w:rsidRPr="00E73F6F">
              <w:rPr>
                <w:spacing w:val="-2"/>
                <w:lang w:val="de-DE"/>
              </w:rPr>
              <w:t>1.955,2</w:t>
            </w:r>
          </w:p>
        </w:tc>
        <w:tc>
          <w:tcPr>
            <w:tcW w:w="1036" w:type="pct"/>
          </w:tcPr>
          <w:p w14:paraId="64AE5F49" w14:textId="77777777" w:rsidR="00FF7799" w:rsidRPr="00E73F6F" w:rsidRDefault="00FF7799" w:rsidP="004F4CFA">
            <w:pPr>
              <w:pStyle w:val="StandardText"/>
              <w:jc w:val="center"/>
              <w:rPr>
                <w:lang w:val="de-DE"/>
              </w:rPr>
            </w:pPr>
            <w:r w:rsidRPr="00E73F6F">
              <w:rPr>
                <w:spacing w:val="-4"/>
                <w:lang w:val="de-DE"/>
              </w:rPr>
              <w:t>25,9</w:t>
            </w:r>
          </w:p>
        </w:tc>
        <w:tc>
          <w:tcPr>
            <w:tcW w:w="1036" w:type="pct"/>
          </w:tcPr>
          <w:p w14:paraId="108A6B55" w14:textId="77777777" w:rsidR="00FF7799" w:rsidRPr="00E73F6F" w:rsidRDefault="00FF7799" w:rsidP="004F4CFA">
            <w:pPr>
              <w:pStyle w:val="StandardText"/>
              <w:jc w:val="center"/>
              <w:rPr>
                <w:lang w:val="de-DE"/>
              </w:rPr>
            </w:pPr>
            <w:r w:rsidRPr="00E73F6F">
              <w:rPr>
                <w:spacing w:val="-5"/>
                <w:lang w:val="de-DE"/>
              </w:rPr>
              <w:t>9,9</w:t>
            </w:r>
          </w:p>
        </w:tc>
      </w:tr>
    </w:tbl>
    <w:p w14:paraId="3F31AA60" w14:textId="77777777" w:rsidR="00FF7799" w:rsidRPr="00E35FFF" w:rsidRDefault="00FF7799" w:rsidP="004F4CFA">
      <w:pPr>
        <w:pStyle w:val="Quellen"/>
        <w:rPr>
          <w:lang w:val="en-US"/>
        </w:rPr>
      </w:pPr>
      <w:r w:rsidRPr="00E35FFF">
        <w:rPr>
          <w:lang w:val="en-US"/>
        </w:rPr>
        <w:t>Quelle:</w:t>
      </w:r>
      <w:r w:rsidRPr="00E35FFF">
        <w:rPr>
          <w:spacing w:val="-3"/>
          <w:lang w:val="en-US"/>
        </w:rPr>
        <w:t xml:space="preserve"> </w:t>
      </w:r>
      <w:r w:rsidRPr="00E35FFF">
        <w:rPr>
          <w:lang w:val="en-US"/>
        </w:rPr>
        <w:t>European</w:t>
      </w:r>
      <w:r w:rsidRPr="00E35FFF">
        <w:rPr>
          <w:spacing w:val="-1"/>
          <w:lang w:val="en-US"/>
        </w:rPr>
        <w:t xml:space="preserve"> </w:t>
      </w:r>
      <w:r w:rsidRPr="00E35FFF">
        <w:rPr>
          <w:lang w:val="en-US"/>
        </w:rPr>
        <w:t>Industrial</w:t>
      </w:r>
      <w:r w:rsidRPr="00E35FFF">
        <w:rPr>
          <w:spacing w:val="-2"/>
          <w:lang w:val="en-US"/>
        </w:rPr>
        <w:t xml:space="preserve"> </w:t>
      </w:r>
      <w:r w:rsidRPr="00E35FFF">
        <w:rPr>
          <w:lang w:val="en-US"/>
        </w:rPr>
        <w:t>Relations</w:t>
      </w:r>
      <w:r w:rsidRPr="00E35FFF">
        <w:rPr>
          <w:spacing w:val="-2"/>
          <w:lang w:val="en-US"/>
        </w:rPr>
        <w:t xml:space="preserve"> Observatory.</w:t>
      </w:r>
    </w:p>
    <w:p w14:paraId="6F61EF80" w14:textId="77777777" w:rsidR="00FF7799" w:rsidRPr="00E35FFF" w:rsidRDefault="00FF7799" w:rsidP="00862DBA">
      <w:pPr>
        <w:rPr>
          <w:sz w:val="24"/>
          <w:szCs w:val="24"/>
          <w:lang w:val="en-US"/>
        </w:rPr>
      </w:pPr>
    </w:p>
    <w:p w14:paraId="1B2DFE68" w14:textId="77777777" w:rsidR="00FF7799" w:rsidRPr="00B3438F" w:rsidRDefault="00FF7799" w:rsidP="004F4CFA">
      <w:pPr>
        <w:pStyle w:val="StandardText"/>
        <w:rPr>
          <w:sz w:val="22"/>
          <w:szCs w:val="22"/>
          <w:lang w:val="en-US"/>
        </w:rPr>
      </w:pPr>
      <w:r w:rsidRPr="00B3438F">
        <w:rPr>
          <w:b/>
          <w:i/>
          <w:sz w:val="22"/>
          <w:szCs w:val="22"/>
        </w:rPr>
        <w:t>Literatur</w:t>
      </w:r>
      <w:r w:rsidRPr="00B3438F">
        <w:rPr>
          <w:i/>
          <w:sz w:val="22"/>
          <w:szCs w:val="22"/>
        </w:rPr>
        <w:t>:</w:t>
      </w:r>
      <w:r w:rsidRPr="00B3438F">
        <w:rPr>
          <w:sz w:val="22"/>
          <w:szCs w:val="22"/>
        </w:rPr>
        <w:t xml:space="preserve"> Anders, H.-J. (1991): Euro-Verbraucher. Realität oder Fiktion? in: Szallies, R.;</w:t>
      </w:r>
      <w:r w:rsidRPr="00B3438F">
        <w:rPr>
          <w:spacing w:val="40"/>
          <w:sz w:val="22"/>
          <w:szCs w:val="22"/>
        </w:rPr>
        <w:t xml:space="preserve"> </w:t>
      </w:r>
      <w:r w:rsidRPr="00B3438F">
        <w:rPr>
          <w:sz w:val="22"/>
          <w:szCs w:val="22"/>
        </w:rPr>
        <w:t>Wiswede, G. (Hrsg.), Wertewandel und Konsum, 233-256, Landsberg: Verlag moderne</w:t>
      </w:r>
      <w:r w:rsidRPr="00B3438F">
        <w:rPr>
          <w:spacing w:val="40"/>
          <w:sz w:val="22"/>
          <w:szCs w:val="22"/>
        </w:rPr>
        <w:t xml:space="preserve"> </w:t>
      </w:r>
      <w:r w:rsidRPr="00B3438F">
        <w:rPr>
          <w:sz w:val="22"/>
          <w:szCs w:val="22"/>
        </w:rPr>
        <w:t>Industrie.</w:t>
      </w:r>
      <w:r w:rsidRPr="00B3438F">
        <w:rPr>
          <w:spacing w:val="40"/>
          <w:sz w:val="22"/>
          <w:szCs w:val="22"/>
        </w:rPr>
        <w:t xml:space="preserve"> </w:t>
      </w:r>
      <w:r w:rsidRPr="00B3438F">
        <w:rPr>
          <w:sz w:val="22"/>
          <w:szCs w:val="22"/>
        </w:rPr>
        <w:t>Banning, T.E. (1987): Lebensstilorientierte Marketing-Theorie, Heidelberg.</w:t>
      </w:r>
      <w:r w:rsidRPr="00B3438F">
        <w:rPr>
          <w:spacing w:val="40"/>
          <w:sz w:val="22"/>
          <w:szCs w:val="22"/>
        </w:rPr>
        <w:t xml:space="preserve"> </w:t>
      </w:r>
      <w:r w:rsidRPr="00B3438F">
        <w:rPr>
          <w:sz w:val="22"/>
          <w:szCs w:val="22"/>
        </w:rPr>
        <w:t>Bourdieu, P. (1982): Die feinen Unterschiede, Frankfurt/Main.</w:t>
      </w:r>
      <w:r w:rsidRPr="00B3438F">
        <w:rPr>
          <w:spacing w:val="40"/>
          <w:sz w:val="22"/>
          <w:szCs w:val="22"/>
        </w:rPr>
        <w:t xml:space="preserve"> </w:t>
      </w:r>
      <w:r w:rsidRPr="00B3438F">
        <w:rPr>
          <w:sz w:val="22"/>
          <w:szCs w:val="22"/>
        </w:rPr>
        <w:t>Hoffmann, S.; Akbar, P.</w:t>
      </w:r>
      <w:r w:rsidRPr="00B3438F">
        <w:rPr>
          <w:spacing w:val="40"/>
          <w:sz w:val="22"/>
          <w:szCs w:val="22"/>
        </w:rPr>
        <w:t xml:space="preserve"> </w:t>
      </w:r>
      <w:r w:rsidRPr="00B3438F">
        <w:rPr>
          <w:sz w:val="22"/>
          <w:szCs w:val="22"/>
        </w:rPr>
        <w:t>(2016): Konsumentenverhalten, Wiesbaden: Springer Gabler. Kramer, S. (1991):</w:t>
      </w:r>
      <w:r w:rsidRPr="00B3438F">
        <w:rPr>
          <w:spacing w:val="40"/>
          <w:sz w:val="22"/>
          <w:szCs w:val="22"/>
        </w:rPr>
        <w:t xml:space="preserve"> </w:t>
      </w:r>
      <w:r w:rsidRPr="00B3438F">
        <w:rPr>
          <w:sz w:val="22"/>
          <w:szCs w:val="22"/>
        </w:rPr>
        <w:t>Europäische Life-Style-Analysen zur Verhaltensprognose von Konsumenten, Hamburg.</w:t>
      </w:r>
      <w:r w:rsidRPr="00B3438F">
        <w:rPr>
          <w:spacing w:val="40"/>
          <w:sz w:val="22"/>
          <w:szCs w:val="22"/>
        </w:rPr>
        <w:t xml:space="preserve"> </w:t>
      </w:r>
      <w:r w:rsidRPr="00B3438F">
        <w:rPr>
          <w:sz w:val="22"/>
          <w:szCs w:val="22"/>
          <w:lang w:val="en-US"/>
        </w:rPr>
        <w:t>Lazer, W. (1964): Life Style Concepts and Marketing, in: Greyser, S.A. (Ed.), Toward</w:t>
      </w:r>
      <w:r w:rsidRPr="00B3438F">
        <w:rPr>
          <w:spacing w:val="40"/>
          <w:sz w:val="22"/>
          <w:szCs w:val="22"/>
          <w:lang w:val="en-US"/>
        </w:rPr>
        <w:t xml:space="preserve"> </w:t>
      </w:r>
      <w:r w:rsidRPr="00B3438F">
        <w:rPr>
          <w:sz w:val="22"/>
          <w:szCs w:val="22"/>
          <w:lang w:val="en-US"/>
        </w:rPr>
        <w:t>Scientific Marketing, 243-252, Chicago/IL.</w:t>
      </w:r>
      <w:r w:rsidRPr="00B3438F">
        <w:rPr>
          <w:spacing w:val="80"/>
          <w:sz w:val="22"/>
          <w:szCs w:val="22"/>
          <w:lang w:val="en-US"/>
        </w:rPr>
        <w:t xml:space="preserve"> </w:t>
      </w:r>
      <w:r w:rsidRPr="00B3438F">
        <w:rPr>
          <w:sz w:val="22"/>
          <w:szCs w:val="22"/>
          <w:lang w:val="en-US"/>
        </w:rPr>
        <w:t>Veblen, T. (1997): Theorie der feinen Leute,</w:t>
      </w:r>
      <w:r w:rsidRPr="00B3438F">
        <w:rPr>
          <w:spacing w:val="40"/>
          <w:sz w:val="22"/>
          <w:szCs w:val="22"/>
          <w:lang w:val="en-US"/>
        </w:rPr>
        <w:t xml:space="preserve"> </w:t>
      </w:r>
      <w:r w:rsidRPr="00B3438F">
        <w:rPr>
          <w:sz w:val="22"/>
          <w:szCs w:val="22"/>
          <w:lang w:val="en-US"/>
        </w:rPr>
        <w:t>Frankfurt/Main.</w:t>
      </w:r>
      <w:r w:rsidRPr="00B3438F">
        <w:rPr>
          <w:spacing w:val="40"/>
          <w:sz w:val="22"/>
          <w:szCs w:val="22"/>
          <w:lang w:val="en-US"/>
        </w:rPr>
        <w:t xml:space="preserve"> </w:t>
      </w:r>
      <w:r w:rsidRPr="00B3438F">
        <w:rPr>
          <w:sz w:val="22"/>
          <w:szCs w:val="22"/>
          <w:lang w:val="en-US"/>
        </w:rPr>
        <w:t>Wells,</w:t>
      </w:r>
      <w:r w:rsidRPr="00B3438F">
        <w:rPr>
          <w:spacing w:val="-6"/>
          <w:sz w:val="22"/>
          <w:szCs w:val="22"/>
          <w:lang w:val="en-US"/>
        </w:rPr>
        <w:t xml:space="preserve"> </w:t>
      </w:r>
      <w:r w:rsidRPr="00B3438F">
        <w:rPr>
          <w:sz w:val="22"/>
          <w:szCs w:val="22"/>
          <w:lang w:val="en-US"/>
        </w:rPr>
        <w:t>W.D.;</w:t>
      </w:r>
      <w:r w:rsidRPr="00B3438F">
        <w:rPr>
          <w:spacing w:val="-7"/>
          <w:sz w:val="22"/>
          <w:szCs w:val="22"/>
          <w:lang w:val="en-US"/>
        </w:rPr>
        <w:t xml:space="preserve"> </w:t>
      </w:r>
      <w:r w:rsidRPr="00B3438F">
        <w:rPr>
          <w:sz w:val="22"/>
          <w:szCs w:val="22"/>
          <w:lang w:val="en-US"/>
        </w:rPr>
        <w:t>Tigert,</w:t>
      </w:r>
      <w:r w:rsidRPr="00B3438F">
        <w:rPr>
          <w:spacing w:val="-8"/>
          <w:sz w:val="22"/>
          <w:szCs w:val="22"/>
          <w:lang w:val="en-US"/>
        </w:rPr>
        <w:t xml:space="preserve"> </w:t>
      </w:r>
      <w:r w:rsidRPr="00B3438F">
        <w:rPr>
          <w:sz w:val="22"/>
          <w:szCs w:val="22"/>
          <w:lang w:val="en-US"/>
        </w:rPr>
        <w:t>D.J.</w:t>
      </w:r>
      <w:r w:rsidRPr="00B3438F">
        <w:rPr>
          <w:spacing w:val="-5"/>
          <w:sz w:val="22"/>
          <w:szCs w:val="22"/>
          <w:lang w:val="en-US"/>
        </w:rPr>
        <w:t xml:space="preserve"> </w:t>
      </w:r>
      <w:r w:rsidRPr="00B3438F">
        <w:rPr>
          <w:sz w:val="22"/>
          <w:szCs w:val="22"/>
          <w:lang w:val="en-US"/>
        </w:rPr>
        <w:t>(1971):</w:t>
      </w:r>
      <w:r w:rsidRPr="00B3438F">
        <w:rPr>
          <w:spacing w:val="-6"/>
          <w:sz w:val="22"/>
          <w:szCs w:val="22"/>
          <w:lang w:val="en-US"/>
        </w:rPr>
        <w:t xml:space="preserve"> </w:t>
      </w:r>
      <w:r w:rsidRPr="00B3438F">
        <w:rPr>
          <w:sz w:val="22"/>
          <w:szCs w:val="22"/>
          <w:lang w:val="en-US"/>
        </w:rPr>
        <w:t>Activities,</w:t>
      </w:r>
      <w:r w:rsidRPr="00B3438F">
        <w:rPr>
          <w:spacing w:val="-6"/>
          <w:sz w:val="22"/>
          <w:szCs w:val="22"/>
          <w:lang w:val="en-US"/>
        </w:rPr>
        <w:t xml:space="preserve"> </w:t>
      </w:r>
      <w:r w:rsidRPr="00B3438F">
        <w:rPr>
          <w:sz w:val="22"/>
          <w:szCs w:val="22"/>
          <w:lang w:val="en-US"/>
        </w:rPr>
        <w:t>Interests,</w:t>
      </w:r>
      <w:r w:rsidRPr="00B3438F">
        <w:rPr>
          <w:spacing w:val="-8"/>
          <w:sz w:val="22"/>
          <w:szCs w:val="22"/>
          <w:lang w:val="en-US"/>
        </w:rPr>
        <w:t xml:space="preserve"> </w:t>
      </w:r>
      <w:r w:rsidRPr="00B3438F">
        <w:rPr>
          <w:sz w:val="22"/>
          <w:szCs w:val="22"/>
          <w:lang w:val="en-US"/>
        </w:rPr>
        <w:t>and</w:t>
      </w:r>
      <w:r w:rsidRPr="00B3438F">
        <w:rPr>
          <w:spacing w:val="-8"/>
          <w:sz w:val="22"/>
          <w:szCs w:val="22"/>
          <w:lang w:val="en-US"/>
        </w:rPr>
        <w:t xml:space="preserve"> </w:t>
      </w:r>
      <w:r w:rsidRPr="00B3438F">
        <w:rPr>
          <w:sz w:val="22"/>
          <w:szCs w:val="22"/>
          <w:lang w:val="en-US"/>
        </w:rPr>
        <w:t>Options,</w:t>
      </w:r>
      <w:r w:rsidRPr="00B3438F">
        <w:rPr>
          <w:spacing w:val="-6"/>
          <w:sz w:val="22"/>
          <w:szCs w:val="22"/>
          <w:lang w:val="en-US"/>
        </w:rPr>
        <w:t xml:space="preserve"> </w:t>
      </w:r>
      <w:r w:rsidRPr="00B3438F">
        <w:rPr>
          <w:sz w:val="22"/>
          <w:szCs w:val="22"/>
          <w:lang w:val="en-US"/>
        </w:rPr>
        <w:t>Journal</w:t>
      </w:r>
      <w:r w:rsidRPr="00B3438F">
        <w:rPr>
          <w:spacing w:val="40"/>
          <w:sz w:val="22"/>
          <w:szCs w:val="22"/>
          <w:lang w:val="en-US"/>
        </w:rPr>
        <w:t xml:space="preserve"> </w:t>
      </w:r>
      <w:r w:rsidRPr="00B3438F">
        <w:rPr>
          <w:sz w:val="22"/>
          <w:szCs w:val="22"/>
          <w:lang w:val="en-US"/>
        </w:rPr>
        <w:t>of Advertising Research, 11(4): 27-35.</w:t>
      </w:r>
      <w:r w:rsidRPr="00B3438F">
        <w:rPr>
          <w:spacing w:val="40"/>
          <w:sz w:val="22"/>
          <w:szCs w:val="22"/>
          <w:lang w:val="en-US"/>
        </w:rPr>
        <w:t xml:space="preserve"> </w:t>
      </w:r>
      <w:r w:rsidRPr="00B3438F">
        <w:rPr>
          <w:sz w:val="22"/>
          <w:szCs w:val="22"/>
          <w:lang w:val="en-US"/>
        </w:rPr>
        <w:t>Wells, W.D. (Ed.) (1974): Life Style and</w:t>
      </w:r>
      <w:r w:rsidRPr="00B3438F">
        <w:rPr>
          <w:spacing w:val="40"/>
          <w:sz w:val="22"/>
          <w:szCs w:val="22"/>
          <w:lang w:val="en-US"/>
        </w:rPr>
        <w:t xml:space="preserve"> </w:t>
      </w:r>
      <w:r w:rsidRPr="00B3438F">
        <w:rPr>
          <w:sz w:val="22"/>
          <w:szCs w:val="22"/>
          <w:lang w:val="en-US"/>
        </w:rPr>
        <w:t>Psychographics,</w:t>
      </w:r>
      <w:r w:rsidRPr="00B3438F">
        <w:rPr>
          <w:spacing w:val="-5"/>
          <w:sz w:val="22"/>
          <w:szCs w:val="22"/>
          <w:lang w:val="en-US"/>
        </w:rPr>
        <w:t xml:space="preserve"> </w:t>
      </w:r>
      <w:r w:rsidRPr="00B3438F">
        <w:rPr>
          <w:sz w:val="22"/>
          <w:szCs w:val="22"/>
          <w:lang w:val="en-US"/>
        </w:rPr>
        <w:t>Chicago/IL.</w:t>
      </w:r>
    </w:p>
    <w:p w14:paraId="4E85ADD4" w14:textId="77777777" w:rsidR="00342772" w:rsidRPr="00E35FFF" w:rsidRDefault="00342772" w:rsidP="004F4CFA">
      <w:pPr>
        <w:pStyle w:val="StandardText"/>
        <w:rPr>
          <w:lang w:val="en-US"/>
        </w:rPr>
      </w:pPr>
    </w:p>
    <w:p w14:paraId="796A73E1" w14:textId="77777777" w:rsidR="00FF7799" w:rsidRPr="009D25D8" w:rsidRDefault="00FF7799" w:rsidP="00414BDC">
      <w:pPr>
        <w:pStyle w:val="berschrift1"/>
        <w:rPr>
          <w:bCs w:val="0"/>
          <w:color w:val="2E74B5"/>
          <w:sz w:val="22"/>
        </w:rPr>
      </w:pPr>
      <w:r w:rsidRPr="009D25D8">
        <w:rPr>
          <w:bCs w:val="0"/>
          <w:color w:val="2E74B5"/>
          <w:sz w:val="22"/>
        </w:rPr>
        <w:t>Lebenstempo</w:t>
      </w:r>
    </w:p>
    <w:p w14:paraId="03EC8517" w14:textId="77777777" w:rsidR="00FF7799" w:rsidRPr="00E631DD" w:rsidRDefault="00FF7799" w:rsidP="004F4CFA">
      <w:pPr>
        <w:pStyle w:val="StandardTextkursiv"/>
        <w:rPr>
          <w:i w:val="0"/>
        </w:rPr>
      </w:pPr>
      <w:r w:rsidRPr="00E631DD">
        <w:rPr>
          <w:i w:val="0"/>
        </w:rPr>
        <w:t>1</w:t>
      </w:r>
      <w:r w:rsidRPr="00E631DD">
        <w:rPr>
          <w:i w:val="0"/>
          <w:spacing w:val="1"/>
        </w:rPr>
        <w:t xml:space="preserve"> </w:t>
      </w:r>
      <w:r w:rsidRPr="00E631DD">
        <w:rPr>
          <w:i w:val="0"/>
        </w:rPr>
        <w:t>Grundlagen</w:t>
      </w:r>
    </w:p>
    <w:p w14:paraId="23BA6AB2" w14:textId="77777777" w:rsidR="00FF7799" w:rsidRPr="00E73F6F" w:rsidRDefault="00FF7799" w:rsidP="005A60A3">
      <w:pPr>
        <w:pStyle w:val="StandardText"/>
      </w:pPr>
      <w:r w:rsidRPr="00E73F6F">
        <w:lastRenderedPageBreak/>
        <w:t>Levine/Norenzayan (1999) haben in den Großstädten ausgewählter Länder die Gehgeschwindigkeit der Passanten beobachtet, gemessen, wie schnell dort Postbeamte</w:t>
      </w:r>
      <w:r w:rsidRPr="00E73F6F">
        <w:rPr>
          <w:spacing w:val="-12"/>
        </w:rPr>
        <w:t xml:space="preserve"> </w:t>
      </w:r>
      <w:r w:rsidRPr="00E73F6F">
        <w:t>eine</w:t>
      </w:r>
      <w:r w:rsidRPr="00E73F6F">
        <w:rPr>
          <w:spacing w:val="-11"/>
        </w:rPr>
        <w:t xml:space="preserve"> </w:t>
      </w:r>
      <w:r w:rsidRPr="00E73F6F">
        <w:t>Briefmarke</w:t>
      </w:r>
      <w:r w:rsidRPr="00E73F6F">
        <w:rPr>
          <w:spacing w:val="-11"/>
        </w:rPr>
        <w:t xml:space="preserve"> </w:t>
      </w:r>
      <w:r w:rsidRPr="00E73F6F">
        <w:t>verkaufen</w:t>
      </w:r>
      <w:r w:rsidRPr="00E73F6F">
        <w:rPr>
          <w:spacing w:val="-11"/>
        </w:rPr>
        <w:t xml:space="preserve"> </w:t>
      </w:r>
      <w:r w:rsidRPr="00E73F6F">
        <w:t>und</w:t>
      </w:r>
      <w:r w:rsidRPr="00E73F6F">
        <w:rPr>
          <w:spacing w:val="-12"/>
        </w:rPr>
        <w:t xml:space="preserve"> </w:t>
      </w:r>
      <w:r w:rsidRPr="00E73F6F">
        <w:t>die</w:t>
      </w:r>
      <w:r w:rsidRPr="00E73F6F">
        <w:rPr>
          <w:spacing w:val="-11"/>
        </w:rPr>
        <w:t xml:space="preserve"> </w:t>
      </w:r>
      <w:r w:rsidRPr="00E73F6F">
        <w:t>Genauigkeit</w:t>
      </w:r>
      <w:r w:rsidRPr="00E73F6F">
        <w:rPr>
          <w:spacing w:val="-11"/>
        </w:rPr>
        <w:t xml:space="preserve"> </w:t>
      </w:r>
      <w:r w:rsidRPr="00E73F6F">
        <w:t>der</w:t>
      </w:r>
      <w:r w:rsidRPr="00E73F6F">
        <w:rPr>
          <w:spacing w:val="-11"/>
        </w:rPr>
        <w:t xml:space="preserve"> </w:t>
      </w:r>
      <w:r w:rsidRPr="00E73F6F">
        <w:t>öffentlichen</w:t>
      </w:r>
      <w:r w:rsidRPr="00E73F6F">
        <w:rPr>
          <w:spacing w:val="-12"/>
        </w:rPr>
        <w:t xml:space="preserve"> </w:t>
      </w:r>
      <w:r w:rsidRPr="00E73F6F">
        <w:t>Uhren mit der Telefonansage verglichen.</w:t>
      </w:r>
    </w:p>
    <w:p w14:paraId="419BF000" w14:textId="77777777" w:rsidR="00E631DD" w:rsidRDefault="00FF7799" w:rsidP="00E631DD">
      <w:pPr>
        <w:pStyle w:val="StandardText"/>
        <w:rPr>
          <w:spacing w:val="-2"/>
        </w:rPr>
      </w:pPr>
      <w:r w:rsidRPr="00E73F6F">
        <w:t>Die Rohzeiten wurden standardisiert und gemittelt. Wie die anhand der Mittelwerte</w:t>
      </w:r>
      <w:r w:rsidRPr="00E73F6F">
        <w:rPr>
          <w:spacing w:val="-8"/>
        </w:rPr>
        <w:t xml:space="preserve"> </w:t>
      </w:r>
      <w:r w:rsidRPr="00E73F6F">
        <w:t>gebildete</w:t>
      </w:r>
      <w:r w:rsidRPr="00E73F6F">
        <w:rPr>
          <w:spacing w:val="-8"/>
        </w:rPr>
        <w:t xml:space="preserve"> </w:t>
      </w:r>
      <w:r w:rsidRPr="00E73F6F">
        <w:t>Rangfolge</w:t>
      </w:r>
      <w:r w:rsidRPr="00E73F6F">
        <w:rPr>
          <w:spacing w:val="-6"/>
        </w:rPr>
        <w:t xml:space="preserve"> </w:t>
      </w:r>
      <w:r w:rsidRPr="00E73F6F">
        <w:t>(1</w:t>
      </w:r>
      <w:r w:rsidRPr="00E73F6F">
        <w:rPr>
          <w:spacing w:val="-7"/>
        </w:rPr>
        <w:t xml:space="preserve"> </w:t>
      </w:r>
      <w:r w:rsidRPr="00E73F6F">
        <w:t>=</w:t>
      </w:r>
      <w:r w:rsidRPr="00E73F6F">
        <w:rPr>
          <w:spacing w:val="-8"/>
        </w:rPr>
        <w:t xml:space="preserve"> </w:t>
      </w:r>
      <w:r w:rsidRPr="00E73F6F">
        <w:t>langsamstes</w:t>
      </w:r>
      <w:r w:rsidRPr="00E73F6F">
        <w:rPr>
          <w:spacing w:val="-8"/>
        </w:rPr>
        <w:t xml:space="preserve"> </w:t>
      </w:r>
      <w:r w:rsidRPr="00E73F6F">
        <w:t>Land,</w:t>
      </w:r>
      <w:r w:rsidRPr="00E73F6F">
        <w:rPr>
          <w:spacing w:val="-7"/>
        </w:rPr>
        <w:t xml:space="preserve"> </w:t>
      </w:r>
      <w:r w:rsidRPr="00E73F6F">
        <w:t>30</w:t>
      </w:r>
      <w:r w:rsidRPr="00E73F6F">
        <w:rPr>
          <w:spacing w:val="-7"/>
        </w:rPr>
        <w:t xml:space="preserve"> </w:t>
      </w:r>
      <w:r w:rsidRPr="00E73F6F">
        <w:t>=</w:t>
      </w:r>
      <w:r w:rsidRPr="00E73F6F">
        <w:rPr>
          <w:spacing w:val="-8"/>
        </w:rPr>
        <w:t xml:space="preserve"> </w:t>
      </w:r>
      <w:r w:rsidRPr="00E73F6F">
        <w:t>schnellstes</w:t>
      </w:r>
      <w:r w:rsidRPr="00E73F6F">
        <w:rPr>
          <w:spacing w:val="-8"/>
        </w:rPr>
        <w:t xml:space="preserve"> </w:t>
      </w:r>
      <w:r w:rsidRPr="00E73F6F">
        <w:t>Land)</w:t>
      </w:r>
      <w:r w:rsidRPr="00E73F6F">
        <w:rPr>
          <w:spacing w:val="-8"/>
        </w:rPr>
        <w:t xml:space="preserve"> </w:t>
      </w:r>
      <w:r w:rsidRPr="00E73F6F">
        <w:t xml:space="preserve">zu erkennen gibt, sind die schnellen Länder tendenziell auch wohlhabend (vgl. Abb. 1). Zu den Ausnahmen zählen u.a. Polen und Costa Rica. Deren Lebenstempo ist trotz des vergleichsweise geringen ökonomischen Entwicklungsstands relativ </w:t>
      </w:r>
      <w:r w:rsidRPr="00E73F6F">
        <w:rPr>
          <w:spacing w:val="-2"/>
        </w:rPr>
        <w:t>hoch.</w:t>
      </w:r>
    </w:p>
    <w:p w14:paraId="165318D4" w14:textId="77777777" w:rsidR="00E631DD" w:rsidRPr="006E504E" w:rsidRDefault="00E631DD" w:rsidP="00E631DD">
      <w:pPr>
        <w:pStyle w:val="StandardText"/>
        <w:rPr>
          <w:i/>
          <w:iCs/>
          <w:spacing w:val="-2"/>
        </w:rPr>
      </w:pPr>
    </w:p>
    <w:p w14:paraId="0CEC34EA" w14:textId="77777777" w:rsidR="00E631DD" w:rsidRPr="006E504E" w:rsidRDefault="00161C92" w:rsidP="00E631DD">
      <w:pPr>
        <w:pStyle w:val="StandardText"/>
        <w:jc w:val="center"/>
        <w:rPr>
          <w:i/>
          <w:iCs/>
          <w:spacing w:val="-2"/>
        </w:rPr>
      </w:pPr>
      <w:r w:rsidRPr="006E504E">
        <w:rPr>
          <w:i/>
          <w:iCs/>
          <w:spacing w:val="-2"/>
        </w:rPr>
        <w:t>Abb. 1: Zusammenhang</w:t>
      </w:r>
      <w:r w:rsidR="00E631DD" w:rsidRPr="006E504E">
        <w:rPr>
          <w:i/>
          <w:iCs/>
          <w:spacing w:val="-2"/>
        </w:rPr>
        <w:t xml:space="preserve"> „Lebenstempo &amp; Wohlstand“</w:t>
      </w:r>
    </w:p>
    <w:p w14:paraId="5CB6BBD0" w14:textId="77777777" w:rsidR="00E631DD" w:rsidRDefault="00E631DD" w:rsidP="00E631DD">
      <w:pPr>
        <w:pStyle w:val="StandardText"/>
      </w:pPr>
      <w:r>
        <w:rPr>
          <w:noProof/>
        </w:rPr>
        <w:drawing>
          <wp:inline distT="0" distB="0" distL="0" distR="0" wp14:anchorId="7E50CDD5" wp14:editId="7CF5596A">
            <wp:extent cx="5713538" cy="4267200"/>
            <wp:effectExtent l="0" t="0" r="1905" b="0"/>
            <wp:docPr id="80" name="Grafik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5726837" cy="4277132"/>
                    </a:xfrm>
                    <a:prstGeom prst="rect">
                      <a:avLst/>
                    </a:prstGeom>
                    <a:noFill/>
                  </pic:spPr>
                </pic:pic>
              </a:graphicData>
            </a:graphic>
          </wp:inline>
        </w:drawing>
      </w:r>
    </w:p>
    <w:p w14:paraId="69500D5A" w14:textId="77777777" w:rsidR="00FF7799" w:rsidRPr="00E73F6F" w:rsidRDefault="00FF7799" w:rsidP="00E631DD">
      <w:pPr>
        <w:pStyle w:val="StandardText"/>
      </w:pPr>
      <w:r w:rsidRPr="00E73F6F">
        <w:t>Quellen:</w:t>
      </w:r>
      <w:r w:rsidRPr="00E73F6F">
        <w:rPr>
          <w:spacing w:val="40"/>
        </w:rPr>
        <w:t xml:space="preserve"> </w:t>
      </w:r>
      <w:r w:rsidRPr="00E73F6F">
        <w:t>eigene Darstellung auf Basis von Levine (2004) und Fischer Weltalmanach</w:t>
      </w:r>
      <w:r w:rsidRPr="00E73F6F">
        <w:rPr>
          <w:spacing w:val="40"/>
        </w:rPr>
        <w:t xml:space="preserve"> </w:t>
      </w:r>
      <w:r w:rsidRPr="00E73F6F">
        <w:rPr>
          <w:spacing w:val="-2"/>
        </w:rPr>
        <w:t>(2011).</w:t>
      </w:r>
    </w:p>
    <w:p w14:paraId="3F1D1A06" w14:textId="77777777" w:rsidR="00FF7799" w:rsidRPr="00E73F6F" w:rsidRDefault="00FF7799" w:rsidP="005A60A3">
      <w:pPr>
        <w:pStyle w:val="StandardText"/>
      </w:pPr>
    </w:p>
    <w:p w14:paraId="5A7C3A56" w14:textId="77777777" w:rsidR="00FF7799" w:rsidRPr="00E73F6F" w:rsidRDefault="00FF7799" w:rsidP="005A60A3">
      <w:pPr>
        <w:pStyle w:val="StandardText"/>
      </w:pPr>
      <w:r w:rsidRPr="00E73F6F">
        <w:t>Als</w:t>
      </w:r>
      <w:r w:rsidRPr="00E73F6F">
        <w:rPr>
          <w:spacing w:val="-3"/>
        </w:rPr>
        <w:t xml:space="preserve"> </w:t>
      </w:r>
      <w:r w:rsidRPr="00E73F6F">
        <w:t>das</w:t>
      </w:r>
      <w:r w:rsidRPr="00E73F6F">
        <w:rPr>
          <w:spacing w:val="-3"/>
        </w:rPr>
        <w:t xml:space="preserve"> </w:t>
      </w:r>
      <w:r w:rsidRPr="00E73F6F">
        <w:t>„schnellste“</w:t>
      </w:r>
      <w:r w:rsidRPr="00E73F6F">
        <w:rPr>
          <w:spacing w:val="-3"/>
        </w:rPr>
        <w:t xml:space="preserve"> </w:t>
      </w:r>
      <w:r w:rsidRPr="00E73F6F">
        <w:t>Land</w:t>
      </w:r>
      <w:r w:rsidRPr="00E73F6F">
        <w:rPr>
          <w:spacing w:val="-1"/>
        </w:rPr>
        <w:t xml:space="preserve"> </w:t>
      </w:r>
      <w:r w:rsidRPr="00E73F6F">
        <w:t>erwies</w:t>
      </w:r>
      <w:r w:rsidRPr="00E73F6F">
        <w:rPr>
          <w:spacing w:val="-3"/>
        </w:rPr>
        <w:t xml:space="preserve"> </w:t>
      </w:r>
      <w:r w:rsidRPr="00E73F6F">
        <w:t>sich</w:t>
      </w:r>
      <w:r w:rsidRPr="00E73F6F">
        <w:rPr>
          <w:spacing w:val="-1"/>
        </w:rPr>
        <w:t xml:space="preserve"> </w:t>
      </w:r>
      <w:r w:rsidRPr="00E73F6F">
        <w:t>in</w:t>
      </w:r>
      <w:r w:rsidRPr="00E73F6F">
        <w:rPr>
          <w:spacing w:val="-3"/>
        </w:rPr>
        <w:t xml:space="preserve"> </w:t>
      </w:r>
      <w:r w:rsidRPr="00E73F6F">
        <w:t>dieser</w:t>
      </w:r>
      <w:r w:rsidRPr="00E73F6F">
        <w:rPr>
          <w:spacing w:val="-2"/>
        </w:rPr>
        <w:t xml:space="preserve"> </w:t>
      </w:r>
      <w:r w:rsidRPr="00E73F6F">
        <w:t>Studie</w:t>
      </w:r>
      <w:r w:rsidRPr="00E73F6F">
        <w:rPr>
          <w:spacing w:val="-2"/>
        </w:rPr>
        <w:t xml:space="preserve"> </w:t>
      </w:r>
      <w:r w:rsidRPr="00E73F6F">
        <w:t>die</w:t>
      </w:r>
      <w:r w:rsidRPr="00E73F6F">
        <w:rPr>
          <w:spacing w:val="-2"/>
        </w:rPr>
        <w:t xml:space="preserve"> </w:t>
      </w:r>
      <w:r w:rsidRPr="00E73F6F">
        <w:t>Schweiz.</w:t>
      </w:r>
      <w:r w:rsidRPr="00E73F6F">
        <w:rPr>
          <w:spacing w:val="-2"/>
        </w:rPr>
        <w:t xml:space="preserve"> </w:t>
      </w:r>
      <w:r w:rsidRPr="00E73F6F">
        <w:t>Anders,</w:t>
      </w:r>
      <w:r w:rsidRPr="00E73F6F">
        <w:rPr>
          <w:spacing w:val="-2"/>
        </w:rPr>
        <w:t xml:space="preserve"> </w:t>
      </w:r>
      <w:r w:rsidRPr="00E73F6F">
        <w:t>als</w:t>
      </w:r>
      <w:r w:rsidRPr="00E73F6F">
        <w:rPr>
          <w:spacing w:val="-3"/>
        </w:rPr>
        <w:t xml:space="preserve"> </w:t>
      </w:r>
      <w:r w:rsidRPr="00E73F6F">
        <w:t>es die zahllosen Witze über die angeblich langsamen Berner suggerieren, bewegten sich die beobachteten Schweizer offenbar besonders schnell, arbeiteten die Postbeamten</w:t>
      </w:r>
      <w:r w:rsidRPr="00E73F6F">
        <w:rPr>
          <w:spacing w:val="-2"/>
        </w:rPr>
        <w:t xml:space="preserve"> </w:t>
      </w:r>
      <w:r w:rsidRPr="00E73F6F">
        <w:t>ausgesprochen</w:t>
      </w:r>
      <w:r w:rsidRPr="00E73F6F">
        <w:rPr>
          <w:spacing w:val="-2"/>
        </w:rPr>
        <w:t xml:space="preserve"> </w:t>
      </w:r>
      <w:r w:rsidRPr="00E73F6F">
        <w:t>zügig</w:t>
      </w:r>
      <w:r w:rsidRPr="00E73F6F">
        <w:rPr>
          <w:spacing w:val="-2"/>
        </w:rPr>
        <w:t xml:space="preserve"> </w:t>
      </w:r>
      <w:r w:rsidRPr="00E73F6F">
        <w:t>und</w:t>
      </w:r>
      <w:r w:rsidRPr="00E73F6F">
        <w:rPr>
          <w:spacing w:val="-4"/>
        </w:rPr>
        <w:t xml:space="preserve"> </w:t>
      </w:r>
      <w:r w:rsidRPr="00E73F6F">
        <w:t>gingen</w:t>
      </w:r>
      <w:r w:rsidRPr="00E73F6F">
        <w:rPr>
          <w:spacing w:val="-4"/>
        </w:rPr>
        <w:t xml:space="preserve"> </w:t>
      </w:r>
      <w:r w:rsidRPr="00E73F6F">
        <w:t>die</w:t>
      </w:r>
      <w:r w:rsidRPr="00E73F6F">
        <w:rPr>
          <w:spacing w:val="-3"/>
        </w:rPr>
        <w:t xml:space="preserve"> </w:t>
      </w:r>
      <w:r w:rsidRPr="00E73F6F">
        <w:t>Uhren</w:t>
      </w:r>
      <w:r w:rsidRPr="00E73F6F">
        <w:rPr>
          <w:spacing w:val="-2"/>
        </w:rPr>
        <w:t xml:space="preserve"> </w:t>
      </w:r>
      <w:r w:rsidRPr="00E73F6F">
        <w:t>äußerst</w:t>
      </w:r>
      <w:r w:rsidRPr="00E73F6F">
        <w:rPr>
          <w:spacing w:val="-3"/>
        </w:rPr>
        <w:t xml:space="preserve"> </w:t>
      </w:r>
      <w:r w:rsidRPr="00E73F6F">
        <w:t>genau.</w:t>
      </w:r>
      <w:r w:rsidRPr="00E73F6F">
        <w:rPr>
          <w:spacing w:val="-3"/>
        </w:rPr>
        <w:t xml:space="preserve"> </w:t>
      </w:r>
      <w:r w:rsidRPr="00E73F6F">
        <w:t>Auf</w:t>
      </w:r>
      <w:r w:rsidRPr="00E73F6F">
        <w:rPr>
          <w:spacing w:val="-3"/>
        </w:rPr>
        <w:t xml:space="preserve"> </w:t>
      </w:r>
      <w:r w:rsidRPr="00E73F6F">
        <w:t>Platz zwei</w:t>
      </w:r>
      <w:r w:rsidRPr="00E73F6F">
        <w:rPr>
          <w:spacing w:val="-9"/>
        </w:rPr>
        <w:t xml:space="preserve"> </w:t>
      </w:r>
      <w:r w:rsidRPr="00E73F6F">
        <w:t>landete</w:t>
      </w:r>
      <w:r w:rsidRPr="00E73F6F">
        <w:rPr>
          <w:spacing w:val="-10"/>
        </w:rPr>
        <w:t xml:space="preserve"> </w:t>
      </w:r>
      <w:r w:rsidRPr="00E73F6F">
        <w:t>Irland,</w:t>
      </w:r>
      <w:r w:rsidRPr="00E73F6F">
        <w:rPr>
          <w:spacing w:val="-11"/>
        </w:rPr>
        <w:t xml:space="preserve"> </w:t>
      </w:r>
      <w:r w:rsidRPr="00E73F6F">
        <w:t>gefolgt</w:t>
      </w:r>
      <w:r w:rsidRPr="00E73F6F">
        <w:rPr>
          <w:spacing w:val="-11"/>
        </w:rPr>
        <w:t xml:space="preserve"> </w:t>
      </w:r>
      <w:r w:rsidRPr="00E73F6F">
        <w:t>von</w:t>
      </w:r>
      <w:r w:rsidRPr="00E73F6F">
        <w:rPr>
          <w:spacing w:val="-8"/>
        </w:rPr>
        <w:t xml:space="preserve"> </w:t>
      </w:r>
      <w:r w:rsidRPr="00E73F6F">
        <w:t>Deutschland</w:t>
      </w:r>
      <w:r w:rsidRPr="00E73F6F">
        <w:rPr>
          <w:spacing w:val="-10"/>
        </w:rPr>
        <w:t xml:space="preserve"> </w:t>
      </w:r>
      <w:r w:rsidRPr="00E73F6F">
        <w:t>und</w:t>
      </w:r>
      <w:r w:rsidRPr="00E73F6F">
        <w:rPr>
          <w:spacing w:val="-8"/>
        </w:rPr>
        <w:t xml:space="preserve"> </w:t>
      </w:r>
      <w:r w:rsidRPr="00E73F6F">
        <w:t>Japan.</w:t>
      </w:r>
      <w:r w:rsidRPr="00E73F6F">
        <w:rPr>
          <w:spacing w:val="-11"/>
        </w:rPr>
        <w:t xml:space="preserve"> </w:t>
      </w:r>
      <w:r w:rsidRPr="00E73F6F">
        <w:t>Die</w:t>
      </w:r>
      <w:r w:rsidRPr="00E73F6F">
        <w:rPr>
          <w:spacing w:val="-10"/>
        </w:rPr>
        <w:t xml:space="preserve"> </w:t>
      </w:r>
      <w:r w:rsidRPr="00E73F6F">
        <w:t>letzten</w:t>
      </w:r>
      <w:r w:rsidRPr="00E73F6F">
        <w:rPr>
          <w:spacing w:val="-11"/>
        </w:rPr>
        <w:t xml:space="preserve"> </w:t>
      </w:r>
      <w:r w:rsidRPr="00E73F6F">
        <w:t>Plätze</w:t>
      </w:r>
      <w:r w:rsidRPr="00E73F6F">
        <w:rPr>
          <w:spacing w:val="-10"/>
        </w:rPr>
        <w:t xml:space="preserve"> </w:t>
      </w:r>
      <w:r w:rsidRPr="00E73F6F">
        <w:t>belegen in dieser Aufstellung Länder, in denen Zeit, Pünktlichkeit etc. nicht sonderlich bedeutsam sind (z.B. Mexiko, Indonesien und Brasilien). Mehr noch: Menschen, die sich allzu sehr nach der Uhr richten, gelten dort als ein Ärgernis.</w:t>
      </w:r>
    </w:p>
    <w:p w14:paraId="6AD6CD21" w14:textId="77777777" w:rsidR="00FF7799" w:rsidRPr="00E73F6F" w:rsidRDefault="00FF7799" w:rsidP="005A60A3">
      <w:pPr>
        <w:pStyle w:val="StandardText"/>
      </w:pPr>
    </w:p>
    <w:p w14:paraId="4D886DAA" w14:textId="77777777" w:rsidR="00FF7799" w:rsidRPr="00E631DD" w:rsidRDefault="00FF7799" w:rsidP="004F4CFA">
      <w:pPr>
        <w:pStyle w:val="StandardTextkursiv"/>
        <w:rPr>
          <w:i w:val="0"/>
        </w:rPr>
      </w:pPr>
      <w:r w:rsidRPr="00E631DD">
        <w:rPr>
          <w:i w:val="0"/>
        </w:rPr>
        <w:t>2</w:t>
      </w:r>
      <w:r w:rsidRPr="00E631DD">
        <w:rPr>
          <w:i w:val="0"/>
          <w:spacing w:val="-1"/>
        </w:rPr>
        <w:t xml:space="preserve"> </w:t>
      </w:r>
      <w:r w:rsidRPr="00E631DD">
        <w:rPr>
          <w:i w:val="0"/>
        </w:rPr>
        <w:t>Allgemeines Erklärungsmodell</w:t>
      </w:r>
    </w:p>
    <w:p w14:paraId="05E3E435" w14:textId="77777777" w:rsidR="00FF7799" w:rsidRPr="00E631DD" w:rsidRDefault="00FF7799" w:rsidP="006B65FF">
      <w:pPr>
        <w:pStyle w:val="StandardText"/>
      </w:pPr>
      <w:r w:rsidRPr="00E631DD">
        <w:t>Levine/Norenzayan</w:t>
      </w:r>
      <w:r w:rsidRPr="00E631DD">
        <w:rPr>
          <w:spacing w:val="-2"/>
        </w:rPr>
        <w:t xml:space="preserve"> </w:t>
      </w:r>
      <w:r w:rsidRPr="00E631DD">
        <w:t>(1999)</w:t>
      </w:r>
      <w:r w:rsidRPr="00E631DD">
        <w:rPr>
          <w:spacing w:val="-5"/>
        </w:rPr>
        <w:t xml:space="preserve"> </w:t>
      </w:r>
      <w:r w:rsidRPr="00E631DD">
        <w:t>identifizierten</w:t>
      </w:r>
      <w:r w:rsidRPr="00E631DD">
        <w:rPr>
          <w:spacing w:val="-2"/>
        </w:rPr>
        <w:t xml:space="preserve"> </w:t>
      </w:r>
      <w:r w:rsidRPr="00E631DD">
        <w:t>fünf</w:t>
      </w:r>
      <w:r w:rsidRPr="00E631DD">
        <w:rPr>
          <w:spacing w:val="-3"/>
        </w:rPr>
        <w:t xml:space="preserve"> </w:t>
      </w:r>
      <w:r w:rsidRPr="00E631DD">
        <w:t>Faktoren,</w:t>
      </w:r>
      <w:r w:rsidRPr="00E631DD">
        <w:rPr>
          <w:spacing w:val="-2"/>
        </w:rPr>
        <w:t xml:space="preserve"> </w:t>
      </w:r>
      <w:r w:rsidRPr="00E631DD">
        <w:t>anhand</w:t>
      </w:r>
      <w:r w:rsidRPr="00E631DD">
        <w:rPr>
          <w:spacing w:val="-4"/>
        </w:rPr>
        <w:t xml:space="preserve"> </w:t>
      </w:r>
      <w:r w:rsidRPr="00E631DD">
        <w:t>derer</w:t>
      </w:r>
      <w:r w:rsidRPr="00E631DD">
        <w:rPr>
          <w:spacing w:val="-3"/>
        </w:rPr>
        <w:t xml:space="preserve"> </w:t>
      </w:r>
      <w:r w:rsidRPr="00E631DD">
        <w:t>es</w:t>
      </w:r>
      <w:r w:rsidRPr="00E631DD">
        <w:rPr>
          <w:spacing w:val="-3"/>
        </w:rPr>
        <w:t xml:space="preserve"> </w:t>
      </w:r>
      <w:r w:rsidRPr="00E631DD">
        <w:t>möglich ist, das Lebenstempo eines Landes zu erklären.</w:t>
      </w:r>
    </w:p>
    <w:p w14:paraId="12B689BE" w14:textId="77777777" w:rsidR="00FF7799" w:rsidRPr="00E631DD" w:rsidRDefault="00FF7799">
      <w:pPr>
        <w:pStyle w:val="Listenabsatz"/>
        <w:numPr>
          <w:ilvl w:val="0"/>
          <w:numId w:val="13"/>
        </w:numPr>
        <w:tabs>
          <w:tab w:val="left" w:pos="1321"/>
        </w:tabs>
        <w:ind w:left="426" w:hanging="426"/>
        <w:jc w:val="left"/>
        <w:rPr>
          <w:sz w:val="24"/>
          <w:szCs w:val="24"/>
        </w:rPr>
      </w:pPr>
      <w:r w:rsidRPr="00E631DD">
        <w:rPr>
          <w:sz w:val="24"/>
          <w:szCs w:val="24"/>
        </w:rPr>
        <w:lastRenderedPageBreak/>
        <w:t>Wohlstand:</w:t>
      </w:r>
      <w:r w:rsidRPr="00E631DD">
        <w:rPr>
          <w:spacing w:val="-5"/>
          <w:sz w:val="24"/>
          <w:szCs w:val="24"/>
        </w:rPr>
        <w:t xml:space="preserve"> </w:t>
      </w:r>
      <w:r w:rsidRPr="00E631DD">
        <w:rPr>
          <w:sz w:val="24"/>
          <w:szCs w:val="24"/>
        </w:rPr>
        <w:t>Je</w:t>
      </w:r>
      <w:r w:rsidRPr="00E631DD">
        <w:rPr>
          <w:spacing w:val="-5"/>
          <w:sz w:val="24"/>
          <w:szCs w:val="24"/>
        </w:rPr>
        <w:t xml:space="preserve"> </w:t>
      </w:r>
      <w:r w:rsidRPr="00E631DD">
        <w:rPr>
          <w:sz w:val="24"/>
          <w:szCs w:val="24"/>
        </w:rPr>
        <w:t>reicher</w:t>
      </w:r>
      <w:r w:rsidRPr="00E631DD">
        <w:rPr>
          <w:spacing w:val="-5"/>
          <w:sz w:val="24"/>
          <w:szCs w:val="24"/>
        </w:rPr>
        <w:t xml:space="preserve"> </w:t>
      </w:r>
      <w:r w:rsidRPr="00E631DD">
        <w:rPr>
          <w:sz w:val="24"/>
          <w:szCs w:val="24"/>
        </w:rPr>
        <w:t>ein</w:t>
      </w:r>
      <w:r w:rsidRPr="00E631DD">
        <w:rPr>
          <w:spacing w:val="-4"/>
          <w:sz w:val="24"/>
          <w:szCs w:val="24"/>
        </w:rPr>
        <w:t xml:space="preserve"> </w:t>
      </w:r>
      <w:r w:rsidRPr="00E631DD">
        <w:rPr>
          <w:sz w:val="24"/>
          <w:szCs w:val="24"/>
        </w:rPr>
        <w:t>Land,</w:t>
      </w:r>
      <w:r w:rsidRPr="00E631DD">
        <w:rPr>
          <w:spacing w:val="-5"/>
          <w:sz w:val="24"/>
          <w:szCs w:val="24"/>
        </w:rPr>
        <w:t xml:space="preserve"> </w:t>
      </w:r>
      <w:r w:rsidRPr="00E631DD">
        <w:rPr>
          <w:sz w:val="24"/>
          <w:szCs w:val="24"/>
        </w:rPr>
        <w:t>desto</w:t>
      </w:r>
      <w:r w:rsidRPr="00E631DD">
        <w:rPr>
          <w:spacing w:val="-4"/>
          <w:sz w:val="24"/>
          <w:szCs w:val="24"/>
        </w:rPr>
        <w:t xml:space="preserve"> </w:t>
      </w:r>
      <w:r w:rsidRPr="00E631DD">
        <w:rPr>
          <w:sz w:val="24"/>
          <w:szCs w:val="24"/>
        </w:rPr>
        <w:t>größer</w:t>
      </w:r>
      <w:r w:rsidRPr="00E631DD">
        <w:rPr>
          <w:spacing w:val="-5"/>
          <w:sz w:val="24"/>
          <w:szCs w:val="24"/>
        </w:rPr>
        <w:t xml:space="preserve"> </w:t>
      </w:r>
      <w:r w:rsidRPr="00E631DD">
        <w:rPr>
          <w:sz w:val="24"/>
          <w:szCs w:val="24"/>
        </w:rPr>
        <w:t>das</w:t>
      </w:r>
      <w:r w:rsidRPr="00E631DD">
        <w:rPr>
          <w:spacing w:val="-5"/>
          <w:sz w:val="24"/>
          <w:szCs w:val="24"/>
        </w:rPr>
        <w:t xml:space="preserve"> </w:t>
      </w:r>
      <w:r w:rsidRPr="00E631DD">
        <w:rPr>
          <w:sz w:val="24"/>
          <w:szCs w:val="24"/>
        </w:rPr>
        <w:t>Lebenstempo.</w:t>
      </w:r>
      <w:r w:rsidRPr="00E631DD">
        <w:rPr>
          <w:spacing w:val="-6"/>
          <w:sz w:val="24"/>
          <w:szCs w:val="24"/>
        </w:rPr>
        <w:t xml:space="preserve"> </w:t>
      </w:r>
      <w:r w:rsidRPr="00E631DD">
        <w:rPr>
          <w:sz w:val="24"/>
          <w:szCs w:val="24"/>
        </w:rPr>
        <w:t>Da</w:t>
      </w:r>
      <w:r w:rsidRPr="00E631DD">
        <w:rPr>
          <w:spacing w:val="-5"/>
          <w:sz w:val="24"/>
          <w:szCs w:val="24"/>
        </w:rPr>
        <w:t xml:space="preserve"> </w:t>
      </w:r>
      <w:r w:rsidRPr="00E631DD">
        <w:rPr>
          <w:sz w:val="24"/>
          <w:szCs w:val="24"/>
        </w:rPr>
        <w:t>für</w:t>
      </w:r>
      <w:r w:rsidRPr="00E631DD">
        <w:rPr>
          <w:spacing w:val="-5"/>
          <w:sz w:val="24"/>
          <w:szCs w:val="24"/>
        </w:rPr>
        <w:t xml:space="preserve"> </w:t>
      </w:r>
      <w:r w:rsidRPr="00E631DD">
        <w:rPr>
          <w:sz w:val="24"/>
          <w:szCs w:val="24"/>
        </w:rPr>
        <w:t>sie</w:t>
      </w:r>
      <w:r w:rsidRPr="00E631DD">
        <w:rPr>
          <w:spacing w:val="-5"/>
          <w:sz w:val="24"/>
          <w:szCs w:val="24"/>
        </w:rPr>
        <w:t xml:space="preserve"> </w:t>
      </w:r>
      <w:r w:rsidRPr="00E631DD">
        <w:rPr>
          <w:sz w:val="24"/>
          <w:szCs w:val="24"/>
        </w:rPr>
        <w:t>Zeit wertvoll ist, legen die Angehörigen von Gesellschaften, in denen sich eine leistungsstarke Wirtschaft entwickeln konnte, Wert auf Pünktlichkeit, Schnelligkeit etc.</w:t>
      </w:r>
    </w:p>
    <w:p w14:paraId="7FCEF23F" w14:textId="77777777" w:rsidR="00FF7799" w:rsidRPr="00E631DD" w:rsidRDefault="00FF7799">
      <w:pPr>
        <w:pStyle w:val="Listenabsatz"/>
        <w:numPr>
          <w:ilvl w:val="0"/>
          <w:numId w:val="13"/>
        </w:numPr>
        <w:tabs>
          <w:tab w:val="left" w:pos="944"/>
        </w:tabs>
        <w:spacing w:before="118"/>
        <w:ind w:left="426" w:hanging="426"/>
        <w:jc w:val="left"/>
        <w:rPr>
          <w:sz w:val="24"/>
          <w:szCs w:val="24"/>
        </w:rPr>
      </w:pPr>
      <w:r w:rsidRPr="00E631DD">
        <w:rPr>
          <w:sz w:val="24"/>
          <w:szCs w:val="24"/>
        </w:rPr>
        <w:t>Grad der Industrialisierung: Je entwickelter ein Land ist, desto weniger Zeit „haben“ seine Bewohner. Dafür sorgt u.a. das „Paradoxon der Moderne“: Die angeblich zeitsparenden Maschinen, die in solchen Gesellschaften reichlich zur Verfügung stehen, haben sich zumeist als Zeitdiebe entpuppt. Vor allem aber steigert jeder technische Fortschritt die Erwartungen an die Zeiteffizienz.</w:t>
      </w:r>
    </w:p>
    <w:p w14:paraId="41304BE1" w14:textId="77777777" w:rsidR="00FF7799" w:rsidRPr="00E631DD" w:rsidRDefault="00FF7799">
      <w:pPr>
        <w:pStyle w:val="Listenabsatz"/>
        <w:numPr>
          <w:ilvl w:val="0"/>
          <w:numId w:val="13"/>
        </w:numPr>
        <w:tabs>
          <w:tab w:val="left" w:pos="944"/>
        </w:tabs>
        <w:spacing w:before="118"/>
        <w:ind w:left="426" w:hanging="426"/>
        <w:jc w:val="left"/>
        <w:rPr>
          <w:sz w:val="24"/>
          <w:szCs w:val="24"/>
        </w:rPr>
      </w:pPr>
      <w:r w:rsidRPr="00E631DD">
        <w:rPr>
          <w:sz w:val="24"/>
          <w:szCs w:val="24"/>
        </w:rPr>
        <w:t>Einwohnerzahl: Je größer eine Stadt, desto schneller gehen und arbeiten die Menschen, die dort leben.</w:t>
      </w:r>
    </w:p>
    <w:p w14:paraId="74DBCD47" w14:textId="77777777" w:rsidR="00FF7799" w:rsidRPr="00E631DD" w:rsidRDefault="00FF7799">
      <w:pPr>
        <w:pStyle w:val="Listenabsatz"/>
        <w:numPr>
          <w:ilvl w:val="0"/>
          <w:numId w:val="13"/>
        </w:numPr>
        <w:tabs>
          <w:tab w:val="left" w:pos="944"/>
        </w:tabs>
        <w:spacing w:before="118"/>
        <w:ind w:left="426" w:hanging="426"/>
        <w:jc w:val="left"/>
        <w:rPr>
          <w:sz w:val="24"/>
          <w:szCs w:val="24"/>
        </w:rPr>
      </w:pPr>
      <w:r w:rsidRPr="00E631DD">
        <w:rPr>
          <w:sz w:val="24"/>
          <w:szCs w:val="24"/>
        </w:rPr>
        <w:t>Klima: Dass das gemessene Lebenstempo negativ mit der Höhe der Durchschnittstemperaturen korreliert, lässt sich auf unterschiedliche Weise erklären.</w:t>
      </w:r>
      <w:r w:rsidRPr="00E631DD">
        <w:rPr>
          <w:spacing w:val="-12"/>
          <w:sz w:val="24"/>
          <w:szCs w:val="24"/>
        </w:rPr>
        <w:t xml:space="preserve"> </w:t>
      </w:r>
      <w:r w:rsidRPr="00E631DD">
        <w:rPr>
          <w:sz w:val="24"/>
          <w:szCs w:val="24"/>
        </w:rPr>
        <w:t>Manche</w:t>
      </w:r>
      <w:r w:rsidRPr="00E631DD">
        <w:rPr>
          <w:spacing w:val="-11"/>
          <w:sz w:val="24"/>
          <w:szCs w:val="24"/>
        </w:rPr>
        <w:t xml:space="preserve"> </w:t>
      </w:r>
      <w:r w:rsidRPr="00E631DD">
        <w:rPr>
          <w:sz w:val="24"/>
          <w:szCs w:val="24"/>
        </w:rPr>
        <w:t>argumentieren,</w:t>
      </w:r>
      <w:r w:rsidRPr="00E631DD">
        <w:rPr>
          <w:spacing w:val="-11"/>
          <w:sz w:val="24"/>
          <w:szCs w:val="24"/>
        </w:rPr>
        <w:t xml:space="preserve"> </w:t>
      </w:r>
      <w:r w:rsidRPr="00E631DD">
        <w:rPr>
          <w:sz w:val="24"/>
          <w:szCs w:val="24"/>
        </w:rPr>
        <w:t>Hitze</w:t>
      </w:r>
      <w:r w:rsidRPr="00E631DD">
        <w:rPr>
          <w:spacing w:val="-11"/>
          <w:sz w:val="24"/>
          <w:szCs w:val="24"/>
        </w:rPr>
        <w:t xml:space="preserve"> </w:t>
      </w:r>
      <w:r w:rsidRPr="00E631DD">
        <w:rPr>
          <w:sz w:val="24"/>
          <w:szCs w:val="24"/>
        </w:rPr>
        <w:t>sei</w:t>
      </w:r>
      <w:r w:rsidRPr="00E631DD">
        <w:rPr>
          <w:spacing w:val="-12"/>
          <w:sz w:val="24"/>
          <w:szCs w:val="24"/>
        </w:rPr>
        <w:t xml:space="preserve"> </w:t>
      </w:r>
      <w:r w:rsidRPr="00E631DD">
        <w:rPr>
          <w:sz w:val="24"/>
          <w:szCs w:val="24"/>
        </w:rPr>
        <w:t>ein</w:t>
      </w:r>
      <w:r w:rsidRPr="00E631DD">
        <w:rPr>
          <w:spacing w:val="-11"/>
          <w:sz w:val="24"/>
          <w:szCs w:val="24"/>
        </w:rPr>
        <w:t xml:space="preserve"> </w:t>
      </w:r>
      <w:r w:rsidRPr="00E631DD">
        <w:rPr>
          <w:sz w:val="24"/>
          <w:szCs w:val="24"/>
        </w:rPr>
        <w:t>Energieräuber.</w:t>
      </w:r>
      <w:r w:rsidRPr="00E631DD">
        <w:rPr>
          <w:spacing w:val="-11"/>
          <w:sz w:val="24"/>
          <w:szCs w:val="24"/>
        </w:rPr>
        <w:t xml:space="preserve"> </w:t>
      </w:r>
      <w:r w:rsidRPr="00E631DD">
        <w:rPr>
          <w:sz w:val="24"/>
          <w:szCs w:val="24"/>
        </w:rPr>
        <w:t>Andere</w:t>
      </w:r>
      <w:r w:rsidRPr="00E631DD">
        <w:rPr>
          <w:spacing w:val="-11"/>
          <w:sz w:val="24"/>
          <w:szCs w:val="24"/>
        </w:rPr>
        <w:t xml:space="preserve"> </w:t>
      </w:r>
      <w:r w:rsidRPr="00E631DD">
        <w:rPr>
          <w:sz w:val="24"/>
          <w:szCs w:val="24"/>
        </w:rPr>
        <w:t>meinen,</w:t>
      </w:r>
      <w:r w:rsidRPr="00E631DD">
        <w:rPr>
          <w:spacing w:val="-12"/>
          <w:sz w:val="24"/>
          <w:szCs w:val="24"/>
        </w:rPr>
        <w:t xml:space="preserve"> </w:t>
      </w:r>
      <w:r w:rsidRPr="00E631DD">
        <w:rPr>
          <w:sz w:val="24"/>
          <w:szCs w:val="24"/>
        </w:rPr>
        <w:t>dass Menschen in wärmeren Ländern weniger – Kleidung, Energie etc. – zum Leben benötigen und sich deshalb nicht so sehr anstrengen</w:t>
      </w:r>
      <w:r w:rsidRPr="00E631DD">
        <w:rPr>
          <w:spacing w:val="40"/>
          <w:sz w:val="24"/>
          <w:szCs w:val="24"/>
        </w:rPr>
        <w:t xml:space="preserve"> </w:t>
      </w:r>
      <w:r w:rsidRPr="00E631DD">
        <w:rPr>
          <w:sz w:val="24"/>
          <w:szCs w:val="24"/>
        </w:rPr>
        <w:t>müssen, um ihren Lebensunterhalt</w:t>
      </w:r>
      <w:r w:rsidRPr="00E631DD">
        <w:rPr>
          <w:spacing w:val="-6"/>
          <w:sz w:val="24"/>
          <w:szCs w:val="24"/>
        </w:rPr>
        <w:t xml:space="preserve"> </w:t>
      </w:r>
      <w:r w:rsidRPr="00E631DD">
        <w:rPr>
          <w:sz w:val="24"/>
          <w:szCs w:val="24"/>
        </w:rPr>
        <w:t>zu</w:t>
      </w:r>
      <w:r w:rsidRPr="00E631DD">
        <w:rPr>
          <w:spacing w:val="-5"/>
          <w:sz w:val="24"/>
          <w:szCs w:val="24"/>
        </w:rPr>
        <w:t xml:space="preserve"> </w:t>
      </w:r>
      <w:r w:rsidRPr="00E631DD">
        <w:rPr>
          <w:sz w:val="24"/>
          <w:szCs w:val="24"/>
        </w:rPr>
        <w:t>verdienen.</w:t>
      </w:r>
      <w:r w:rsidRPr="00E631DD">
        <w:rPr>
          <w:spacing w:val="-6"/>
          <w:sz w:val="24"/>
          <w:szCs w:val="24"/>
        </w:rPr>
        <w:t xml:space="preserve"> </w:t>
      </w:r>
      <w:r w:rsidRPr="00E631DD">
        <w:rPr>
          <w:sz w:val="24"/>
          <w:szCs w:val="24"/>
        </w:rPr>
        <w:t>Folglich</w:t>
      </w:r>
      <w:r w:rsidRPr="00E631DD">
        <w:rPr>
          <w:spacing w:val="-5"/>
          <w:sz w:val="24"/>
          <w:szCs w:val="24"/>
        </w:rPr>
        <w:t xml:space="preserve"> </w:t>
      </w:r>
      <w:r w:rsidRPr="00E631DD">
        <w:rPr>
          <w:sz w:val="24"/>
          <w:szCs w:val="24"/>
        </w:rPr>
        <w:t>lebten</w:t>
      </w:r>
      <w:r w:rsidRPr="00E631DD">
        <w:rPr>
          <w:spacing w:val="-5"/>
          <w:sz w:val="24"/>
          <w:szCs w:val="24"/>
        </w:rPr>
        <w:t xml:space="preserve"> </w:t>
      </w:r>
      <w:r w:rsidRPr="00E631DD">
        <w:rPr>
          <w:sz w:val="24"/>
          <w:szCs w:val="24"/>
        </w:rPr>
        <w:t>sie</w:t>
      </w:r>
      <w:r w:rsidRPr="00E631DD">
        <w:rPr>
          <w:spacing w:val="-7"/>
          <w:sz w:val="24"/>
          <w:szCs w:val="24"/>
        </w:rPr>
        <w:t xml:space="preserve"> </w:t>
      </w:r>
      <w:r w:rsidRPr="00E631DD">
        <w:rPr>
          <w:sz w:val="24"/>
          <w:szCs w:val="24"/>
        </w:rPr>
        <w:t>ohne</w:t>
      </w:r>
      <w:r w:rsidRPr="00E631DD">
        <w:rPr>
          <w:spacing w:val="-7"/>
          <w:sz w:val="24"/>
          <w:szCs w:val="24"/>
        </w:rPr>
        <w:t xml:space="preserve"> </w:t>
      </w:r>
      <w:r w:rsidRPr="00E631DD">
        <w:rPr>
          <w:sz w:val="24"/>
          <w:szCs w:val="24"/>
        </w:rPr>
        <w:t>Zeitdruck.</w:t>
      </w:r>
      <w:r w:rsidRPr="00E631DD">
        <w:rPr>
          <w:spacing w:val="-6"/>
          <w:sz w:val="24"/>
          <w:szCs w:val="24"/>
        </w:rPr>
        <w:t xml:space="preserve"> </w:t>
      </w:r>
      <w:r w:rsidRPr="00E631DD">
        <w:rPr>
          <w:sz w:val="24"/>
          <w:szCs w:val="24"/>
        </w:rPr>
        <w:t>Einem</w:t>
      </w:r>
      <w:r w:rsidRPr="00E631DD">
        <w:rPr>
          <w:spacing w:val="-7"/>
          <w:sz w:val="24"/>
          <w:szCs w:val="24"/>
        </w:rPr>
        <w:t xml:space="preserve"> </w:t>
      </w:r>
      <w:r w:rsidRPr="00E631DD">
        <w:rPr>
          <w:sz w:val="24"/>
          <w:szCs w:val="24"/>
        </w:rPr>
        <w:t>weiteren Erklärungsansatz zufolge steigern höhere Temperaturen die Lebensfreude, weshalb die Menschen in tropischen Ländern mehr Wert auf die angenehmen Dinge des Lebens legen (und bereit sind, dafür Zeit aufzuwenden).</w:t>
      </w:r>
    </w:p>
    <w:p w14:paraId="2F5F1521" w14:textId="77777777" w:rsidR="00FF7799" w:rsidRPr="00E631DD" w:rsidRDefault="00FF7799">
      <w:pPr>
        <w:pStyle w:val="Listenabsatz"/>
        <w:numPr>
          <w:ilvl w:val="0"/>
          <w:numId w:val="13"/>
        </w:numPr>
        <w:tabs>
          <w:tab w:val="left" w:pos="987"/>
        </w:tabs>
        <w:spacing w:before="121"/>
        <w:ind w:left="426" w:hanging="426"/>
        <w:jc w:val="left"/>
        <w:rPr>
          <w:sz w:val="24"/>
          <w:szCs w:val="24"/>
        </w:rPr>
      </w:pPr>
      <w:r w:rsidRPr="00E631DD">
        <w:rPr>
          <w:sz w:val="24"/>
          <w:szCs w:val="24"/>
        </w:rPr>
        <w:t>Individualismus: Angehörige von Kulturen, die individualistische Werte bevorzugen,</w:t>
      </w:r>
      <w:r w:rsidRPr="00E631DD">
        <w:rPr>
          <w:spacing w:val="-12"/>
          <w:sz w:val="24"/>
          <w:szCs w:val="24"/>
        </w:rPr>
        <w:t xml:space="preserve"> </w:t>
      </w:r>
      <w:r w:rsidRPr="00E631DD">
        <w:rPr>
          <w:sz w:val="24"/>
          <w:szCs w:val="24"/>
        </w:rPr>
        <w:t>sind</w:t>
      </w:r>
      <w:r w:rsidRPr="00E631DD">
        <w:rPr>
          <w:spacing w:val="-11"/>
          <w:sz w:val="24"/>
          <w:szCs w:val="24"/>
        </w:rPr>
        <w:t xml:space="preserve"> </w:t>
      </w:r>
      <w:r w:rsidRPr="00E631DD">
        <w:rPr>
          <w:sz w:val="24"/>
          <w:szCs w:val="24"/>
        </w:rPr>
        <w:t>vergleichsweise</w:t>
      </w:r>
      <w:r w:rsidRPr="00E631DD">
        <w:rPr>
          <w:spacing w:val="-11"/>
          <w:sz w:val="24"/>
          <w:szCs w:val="24"/>
        </w:rPr>
        <w:t xml:space="preserve"> </w:t>
      </w:r>
      <w:r w:rsidRPr="00E631DD">
        <w:rPr>
          <w:sz w:val="24"/>
          <w:szCs w:val="24"/>
        </w:rPr>
        <w:t>leistungsorientiert.</w:t>
      </w:r>
      <w:r w:rsidRPr="00E631DD">
        <w:rPr>
          <w:spacing w:val="-11"/>
          <w:sz w:val="24"/>
          <w:szCs w:val="24"/>
        </w:rPr>
        <w:t xml:space="preserve"> </w:t>
      </w:r>
      <w:r w:rsidRPr="00E631DD">
        <w:rPr>
          <w:sz w:val="24"/>
          <w:szCs w:val="24"/>
        </w:rPr>
        <w:t>Dies</w:t>
      </w:r>
      <w:r w:rsidRPr="00E631DD">
        <w:rPr>
          <w:spacing w:val="-12"/>
          <w:sz w:val="24"/>
          <w:szCs w:val="24"/>
        </w:rPr>
        <w:t xml:space="preserve"> </w:t>
      </w:r>
      <w:r w:rsidRPr="00E631DD">
        <w:rPr>
          <w:sz w:val="24"/>
          <w:szCs w:val="24"/>
        </w:rPr>
        <w:t>begünstigt</w:t>
      </w:r>
      <w:r w:rsidRPr="00E631DD">
        <w:rPr>
          <w:spacing w:val="-11"/>
          <w:sz w:val="24"/>
          <w:szCs w:val="24"/>
        </w:rPr>
        <w:t xml:space="preserve"> </w:t>
      </w:r>
      <w:r w:rsidRPr="00E631DD">
        <w:rPr>
          <w:sz w:val="24"/>
          <w:szCs w:val="24"/>
        </w:rPr>
        <w:t>eine</w:t>
      </w:r>
      <w:r w:rsidRPr="00E631DD">
        <w:rPr>
          <w:spacing w:val="-11"/>
          <w:sz w:val="24"/>
          <w:szCs w:val="24"/>
        </w:rPr>
        <w:t xml:space="preserve"> </w:t>
      </w:r>
      <w:r w:rsidRPr="00E631DD">
        <w:rPr>
          <w:sz w:val="24"/>
          <w:szCs w:val="24"/>
        </w:rPr>
        <w:t>„Zeit</w:t>
      </w:r>
      <w:r w:rsidRPr="00E631DD">
        <w:rPr>
          <w:spacing w:val="-11"/>
          <w:sz w:val="24"/>
          <w:szCs w:val="24"/>
        </w:rPr>
        <w:t xml:space="preserve"> </w:t>
      </w:r>
      <w:r w:rsidRPr="00E631DD">
        <w:rPr>
          <w:sz w:val="24"/>
          <w:szCs w:val="24"/>
        </w:rPr>
        <w:t xml:space="preserve">ist Geld-Mentalität“, die wiederum in den subjektiv empfundenen Zwang mündet, jeden Augenblick nutzen zu müssen. Kulturen, in denen soziale Beziehungen Vorrang haben, sind weniger zeitbewusst und weniger zeitgeizig. Bewohner von Burkina Faso bspw. kennen keine „verschwendete Zeit“. Sich für seine Mitmenschen nicht ausreichend Zeit zu nehmen: Das empfinden sie als </w:t>
      </w:r>
      <w:r w:rsidRPr="00E631DD">
        <w:rPr>
          <w:spacing w:val="-2"/>
          <w:sz w:val="24"/>
          <w:szCs w:val="24"/>
        </w:rPr>
        <w:t>Verschwendung.</w:t>
      </w:r>
    </w:p>
    <w:p w14:paraId="6DBA6209" w14:textId="77777777" w:rsidR="00FF7799" w:rsidRPr="00E631DD" w:rsidRDefault="00FF7799" w:rsidP="006B65FF">
      <w:pPr>
        <w:ind w:left="426" w:hanging="426"/>
        <w:rPr>
          <w:sz w:val="24"/>
          <w:szCs w:val="24"/>
        </w:rPr>
      </w:pPr>
    </w:p>
    <w:p w14:paraId="224FE550" w14:textId="77777777" w:rsidR="00FF7799" w:rsidRPr="00E631DD" w:rsidRDefault="00FF7799" w:rsidP="006B65FF">
      <w:pPr>
        <w:pStyle w:val="StandardTextkursiv"/>
        <w:rPr>
          <w:i w:val="0"/>
        </w:rPr>
      </w:pPr>
      <w:r w:rsidRPr="00E631DD">
        <w:rPr>
          <w:i w:val="0"/>
        </w:rPr>
        <w:t>3</w:t>
      </w:r>
      <w:r w:rsidRPr="00E631DD">
        <w:rPr>
          <w:i w:val="0"/>
          <w:spacing w:val="-2"/>
        </w:rPr>
        <w:t xml:space="preserve"> </w:t>
      </w:r>
      <w:r w:rsidRPr="00E631DD">
        <w:rPr>
          <w:i w:val="0"/>
        </w:rPr>
        <w:t>Kulturtheoretisches</w:t>
      </w:r>
      <w:r w:rsidRPr="00E631DD">
        <w:rPr>
          <w:i w:val="0"/>
          <w:spacing w:val="-2"/>
        </w:rPr>
        <w:t xml:space="preserve"> Erklärungsmodell</w:t>
      </w:r>
    </w:p>
    <w:p w14:paraId="6E1CF338" w14:textId="77777777" w:rsidR="00FF7799" w:rsidRPr="00E631DD" w:rsidRDefault="00FF7799" w:rsidP="006B65FF">
      <w:pPr>
        <w:pStyle w:val="StandardText"/>
      </w:pPr>
      <w:r w:rsidRPr="00E631DD">
        <w:t>Korreliert man die vier Rangreihen des von Levine/Norenzayan (1999) gemessenen Lebenstempos mit den Hofstede-Kulturdimensionen, dann ist es möglich, ein differenzierteres, ausschließlich kulturwissenschaftlich fundiertes Modell vorzuschlagen (vgl. Abb. 2):</w:t>
      </w:r>
    </w:p>
    <w:p w14:paraId="67AB9E48" w14:textId="77777777" w:rsidR="00FF7799" w:rsidRPr="00E631DD" w:rsidRDefault="00FF7799" w:rsidP="009D25D8">
      <w:pPr>
        <w:pStyle w:val="StandardTextAufzhlung"/>
        <w:ind w:left="426"/>
      </w:pPr>
      <w:r w:rsidRPr="00E631DD">
        <w:t>Gehgeschwindigkeit: Individualistische Gesellschaften mit geringer Bereitschaft, Machtungleichgewichte zu tolerieren, gehen schneller als kollektivistische Gesellschaften.</w:t>
      </w:r>
    </w:p>
    <w:p w14:paraId="3DE42292" w14:textId="77777777" w:rsidR="00FF7799" w:rsidRPr="00E631DD" w:rsidRDefault="00FF7799" w:rsidP="009D25D8">
      <w:pPr>
        <w:pStyle w:val="StandardTextAufzhlung"/>
        <w:ind w:left="426"/>
      </w:pPr>
      <w:r w:rsidRPr="00E631DD">
        <w:t>Genauigkeit</w:t>
      </w:r>
      <w:r w:rsidRPr="00E631DD">
        <w:rPr>
          <w:spacing w:val="-5"/>
        </w:rPr>
        <w:t xml:space="preserve"> </w:t>
      </w:r>
      <w:r w:rsidRPr="00E631DD">
        <w:t>der</w:t>
      </w:r>
      <w:r w:rsidRPr="00E631DD">
        <w:rPr>
          <w:spacing w:val="-1"/>
        </w:rPr>
        <w:t xml:space="preserve"> </w:t>
      </w:r>
      <w:r w:rsidRPr="00E631DD">
        <w:t>Uhren:</w:t>
      </w:r>
      <w:r w:rsidRPr="00E631DD">
        <w:rPr>
          <w:spacing w:val="-2"/>
        </w:rPr>
        <w:t xml:space="preserve"> </w:t>
      </w:r>
      <w:r w:rsidRPr="00E631DD">
        <w:t>In</w:t>
      </w:r>
      <w:r w:rsidRPr="00E631DD">
        <w:rPr>
          <w:spacing w:val="-2"/>
        </w:rPr>
        <w:t xml:space="preserve"> </w:t>
      </w:r>
      <w:r w:rsidRPr="00E631DD">
        <w:t>Gesellschaften,</w:t>
      </w:r>
      <w:r w:rsidRPr="00E631DD">
        <w:rPr>
          <w:spacing w:val="-2"/>
        </w:rPr>
        <w:t xml:space="preserve"> </w:t>
      </w:r>
      <w:r w:rsidRPr="00E631DD">
        <w:t>welche</w:t>
      </w:r>
      <w:r w:rsidRPr="00E631DD">
        <w:rPr>
          <w:spacing w:val="-6"/>
        </w:rPr>
        <w:t xml:space="preserve"> </w:t>
      </w:r>
      <w:r w:rsidRPr="00E631DD">
        <w:t>bestrebt</w:t>
      </w:r>
      <w:r w:rsidRPr="00E631DD">
        <w:rPr>
          <w:spacing w:val="-2"/>
        </w:rPr>
        <w:t xml:space="preserve"> </w:t>
      </w:r>
      <w:r w:rsidRPr="00E631DD">
        <w:t>sind,</w:t>
      </w:r>
      <w:r w:rsidRPr="00E631DD">
        <w:rPr>
          <w:spacing w:val="-2"/>
        </w:rPr>
        <w:t xml:space="preserve"> </w:t>
      </w:r>
      <w:r w:rsidRPr="00E631DD">
        <w:t>Ungewissheit zu meiden, gehen die Uhren genauer.</w:t>
      </w:r>
    </w:p>
    <w:p w14:paraId="740F22E3" w14:textId="77777777" w:rsidR="00FF7799" w:rsidRPr="00E73F6F" w:rsidRDefault="00FF7799" w:rsidP="009D25D8">
      <w:pPr>
        <w:pStyle w:val="StandardTextAufzhlung"/>
        <w:ind w:left="426"/>
      </w:pPr>
      <w:r w:rsidRPr="00E631DD">
        <w:t>Bedienungszeit bei der Post: Diese Variable könnte als Indikator für das Arbeitstempo dienen. Sie ist sie ist allerdings kulturunabhängig</w:t>
      </w:r>
      <w:r w:rsidRPr="00E73F6F">
        <w:t>.</w:t>
      </w:r>
    </w:p>
    <w:p w14:paraId="03BA553B" w14:textId="77777777" w:rsidR="00FF7799" w:rsidRPr="00E73F6F" w:rsidRDefault="00FF7799" w:rsidP="00862DBA">
      <w:pPr>
        <w:spacing w:before="3"/>
        <w:rPr>
          <w:sz w:val="24"/>
          <w:szCs w:val="24"/>
        </w:rPr>
      </w:pPr>
    </w:p>
    <w:p w14:paraId="1E64682A" w14:textId="77777777" w:rsidR="00FF7799" w:rsidRPr="006E504E" w:rsidRDefault="00FF7799" w:rsidP="006B65FF">
      <w:pPr>
        <w:pStyle w:val="BeschriftungTab"/>
        <w:rPr>
          <w:i/>
          <w:iCs/>
        </w:rPr>
      </w:pPr>
      <w:r w:rsidRPr="006E504E">
        <w:rPr>
          <w:i/>
          <w:iCs/>
        </w:rPr>
        <w:t>Abb.</w:t>
      </w:r>
      <w:r w:rsidRPr="006E504E">
        <w:rPr>
          <w:i/>
          <w:iCs/>
          <w:spacing w:val="-2"/>
        </w:rPr>
        <w:t xml:space="preserve"> </w:t>
      </w:r>
      <w:r w:rsidRPr="006E504E">
        <w:rPr>
          <w:i/>
          <w:iCs/>
        </w:rPr>
        <w:t>2:</w:t>
      </w:r>
      <w:r w:rsidRPr="006E504E">
        <w:rPr>
          <w:i/>
          <w:iCs/>
          <w:spacing w:val="-2"/>
        </w:rPr>
        <w:t xml:space="preserve"> </w:t>
      </w:r>
      <w:r w:rsidRPr="006E504E">
        <w:rPr>
          <w:i/>
          <w:iCs/>
        </w:rPr>
        <w:t>Einfluss</w:t>
      </w:r>
      <w:r w:rsidRPr="006E504E">
        <w:rPr>
          <w:i/>
          <w:iCs/>
          <w:spacing w:val="-1"/>
        </w:rPr>
        <w:t xml:space="preserve"> </w:t>
      </w:r>
      <w:r w:rsidRPr="006E504E">
        <w:rPr>
          <w:i/>
          <w:iCs/>
        </w:rPr>
        <w:t>der</w:t>
      </w:r>
      <w:r w:rsidRPr="006E504E">
        <w:rPr>
          <w:i/>
          <w:iCs/>
          <w:spacing w:val="-1"/>
        </w:rPr>
        <w:t xml:space="preserve"> </w:t>
      </w:r>
      <w:r w:rsidRPr="006E504E">
        <w:rPr>
          <w:i/>
          <w:iCs/>
        </w:rPr>
        <w:t>Landeskultur auf</w:t>
      </w:r>
      <w:r w:rsidRPr="006E504E">
        <w:rPr>
          <w:i/>
          <w:iCs/>
          <w:spacing w:val="-2"/>
        </w:rPr>
        <w:t xml:space="preserve"> </w:t>
      </w:r>
      <w:r w:rsidRPr="006E504E">
        <w:rPr>
          <w:i/>
          <w:iCs/>
        </w:rPr>
        <w:t>das</w:t>
      </w:r>
      <w:r w:rsidRPr="006E504E">
        <w:rPr>
          <w:i/>
          <w:iCs/>
          <w:spacing w:val="1"/>
        </w:rPr>
        <w:t xml:space="preserve"> </w:t>
      </w:r>
      <w:r w:rsidRPr="006E504E">
        <w:rPr>
          <w:i/>
          <w:iCs/>
          <w:spacing w:val="-2"/>
        </w:rPr>
        <w:t>Lebenstempo</w:t>
      </w:r>
    </w:p>
    <w:tbl>
      <w:tblPr>
        <w:tblStyle w:val="TableNormal"/>
        <w:tblW w:w="5000" w:type="pct"/>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1699"/>
        <w:gridCol w:w="1844"/>
        <w:gridCol w:w="1843"/>
        <w:gridCol w:w="1843"/>
        <w:gridCol w:w="1843"/>
      </w:tblGrid>
      <w:tr w:rsidR="00FF7799" w:rsidRPr="00E73F6F" w14:paraId="7C2209BF" w14:textId="77777777" w:rsidTr="006B65FF">
        <w:trPr>
          <w:trHeight w:val="621"/>
          <w:jc w:val="center"/>
        </w:trPr>
        <w:tc>
          <w:tcPr>
            <w:tcW w:w="936" w:type="pct"/>
            <w:shd w:val="clear" w:color="auto" w:fill="FFC000" w:themeFill="accent4"/>
          </w:tcPr>
          <w:p w14:paraId="0CFCE1C9" w14:textId="77777777" w:rsidR="00FF7799" w:rsidRPr="00E73F6F" w:rsidRDefault="00FF7799" w:rsidP="006B65FF">
            <w:pPr>
              <w:pStyle w:val="StandardText"/>
              <w:spacing w:after="120"/>
              <w:rPr>
                <w:b/>
                <w:lang w:val="de-DE"/>
              </w:rPr>
            </w:pPr>
          </w:p>
        </w:tc>
        <w:tc>
          <w:tcPr>
            <w:tcW w:w="1016" w:type="pct"/>
            <w:shd w:val="clear" w:color="auto" w:fill="FFC000" w:themeFill="accent4"/>
          </w:tcPr>
          <w:p w14:paraId="5C6E9D48" w14:textId="77777777" w:rsidR="00E631DD" w:rsidRDefault="00FF7799" w:rsidP="006B65FF">
            <w:pPr>
              <w:pStyle w:val="StandardText"/>
              <w:spacing w:after="120"/>
              <w:jc w:val="center"/>
              <w:rPr>
                <w:b/>
                <w:spacing w:val="-2"/>
                <w:lang w:val="de-DE"/>
              </w:rPr>
            </w:pPr>
            <w:r w:rsidRPr="00E73F6F">
              <w:rPr>
                <w:b/>
                <w:spacing w:val="-2"/>
                <w:lang w:val="de-DE"/>
              </w:rPr>
              <w:t>Lebenstempo</w:t>
            </w:r>
          </w:p>
          <w:p w14:paraId="1A94B504" w14:textId="77777777" w:rsidR="00FF7799" w:rsidRPr="00E73F6F" w:rsidRDefault="00FF7799" w:rsidP="006B65FF">
            <w:pPr>
              <w:pStyle w:val="StandardText"/>
              <w:spacing w:after="120"/>
              <w:jc w:val="center"/>
              <w:rPr>
                <w:b/>
                <w:lang w:val="de-DE"/>
              </w:rPr>
            </w:pPr>
            <w:r w:rsidRPr="00E73F6F">
              <w:rPr>
                <w:b/>
                <w:spacing w:val="-2"/>
                <w:lang w:val="de-DE"/>
              </w:rPr>
              <w:t xml:space="preserve"> (gesamt)</w:t>
            </w:r>
          </w:p>
        </w:tc>
        <w:tc>
          <w:tcPr>
            <w:tcW w:w="1016" w:type="pct"/>
            <w:shd w:val="clear" w:color="auto" w:fill="FFC000" w:themeFill="accent4"/>
          </w:tcPr>
          <w:p w14:paraId="55F11678" w14:textId="77777777" w:rsidR="00E631DD" w:rsidRDefault="00FF7799" w:rsidP="006B65FF">
            <w:pPr>
              <w:pStyle w:val="StandardText"/>
              <w:spacing w:after="120"/>
              <w:jc w:val="center"/>
              <w:rPr>
                <w:b/>
                <w:spacing w:val="-4"/>
                <w:lang w:val="de-DE"/>
              </w:rPr>
            </w:pPr>
            <w:r w:rsidRPr="00E73F6F">
              <w:rPr>
                <w:b/>
                <w:spacing w:val="-4"/>
                <w:lang w:val="de-DE"/>
              </w:rPr>
              <w:t>Geh</w:t>
            </w:r>
            <w:r w:rsidR="00E631DD">
              <w:rPr>
                <w:b/>
                <w:spacing w:val="-4"/>
                <w:lang w:val="de-DE"/>
              </w:rPr>
              <w:t>-</w:t>
            </w:r>
          </w:p>
          <w:p w14:paraId="1CF7E664" w14:textId="77777777" w:rsidR="00FF7799" w:rsidRPr="00E73F6F" w:rsidRDefault="00E631DD" w:rsidP="006B65FF">
            <w:pPr>
              <w:pStyle w:val="StandardText"/>
              <w:spacing w:after="120"/>
              <w:jc w:val="center"/>
              <w:rPr>
                <w:b/>
                <w:lang w:val="de-DE"/>
              </w:rPr>
            </w:pPr>
            <w:r>
              <w:rPr>
                <w:b/>
                <w:spacing w:val="-2"/>
                <w:lang w:val="de-DE"/>
              </w:rPr>
              <w:t>geschwindig</w:t>
            </w:r>
            <w:r w:rsidR="00FF7799" w:rsidRPr="00E73F6F">
              <w:rPr>
                <w:b/>
                <w:spacing w:val="-4"/>
                <w:lang w:val="de-DE"/>
              </w:rPr>
              <w:t>keit</w:t>
            </w:r>
          </w:p>
        </w:tc>
        <w:tc>
          <w:tcPr>
            <w:tcW w:w="1016" w:type="pct"/>
            <w:shd w:val="clear" w:color="auto" w:fill="FFC000" w:themeFill="accent4"/>
          </w:tcPr>
          <w:p w14:paraId="6D4E5A46" w14:textId="77777777" w:rsidR="00E631DD" w:rsidRDefault="00FF7799" w:rsidP="006B65FF">
            <w:pPr>
              <w:pStyle w:val="StandardText"/>
              <w:spacing w:after="120"/>
              <w:jc w:val="center"/>
              <w:rPr>
                <w:b/>
                <w:spacing w:val="73"/>
                <w:lang w:val="de-DE"/>
              </w:rPr>
            </w:pPr>
            <w:r w:rsidRPr="00E73F6F">
              <w:rPr>
                <w:b/>
                <w:spacing w:val="-2"/>
                <w:lang w:val="de-DE"/>
              </w:rPr>
              <w:t>Bedienungs</w:t>
            </w:r>
            <w:r w:rsidRPr="00E73F6F">
              <w:rPr>
                <w:b/>
                <w:lang w:val="de-DE"/>
              </w:rPr>
              <w:t>zeit</w:t>
            </w:r>
            <w:r w:rsidRPr="00E73F6F">
              <w:rPr>
                <w:b/>
                <w:spacing w:val="73"/>
                <w:lang w:val="de-DE"/>
              </w:rPr>
              <w:t xml:space="preserve"> </w:t>
            </w:r>
          </w:p>
          <w:p w14:paraId="71EA285C" w14:textId="77777777" w:rsidR="00FF7799" w:rsidRPr="00E73F6F" w:rsidRDefault="00FF7799" w:rsidP="006B65FF">
            <w:pPr>
              <w:pStyle w:val="StandardText"/>
              <w:spacing w:after="120"/>
              <w:jc w:val="center"/>
              <w:rPr>
                <w:b/>
                <w:lang w:val="de-DE"/>
              </w:rPr>
            </w:pPr>
            <w:r w:rsidRPr="00E73F6F">
              <w:rPr>
                <w:b/>
                <w:lang w:val="de-DE"/>
              </w:rPr>
              <w:t xml:space="preserve">bei der </w:t>
            </w:r>
            <w:r w:rsidRPr="00E73F6F">
              <w:rPr>
                <w:b/>
                <w:spacing w:val="-4"/>
                <w:lang w:val="de-DE"/>
              </w:rPr>
              <w:t>Post</w:t>
            </w:r>
          </w:p>
        </w:tc>
        <w:tc>
          <w:tcPr>
            <w:tcW w:w="1016" w:type="pct"/>
            <w:shd w:val="clear" w:color="auto" w:fill="FFC000" w:themeFill="accent4"/>
          </w:tcPr>
          <w:p w14:paraId="3F1B5838" w14:textId="77777777" w:rsidR="00E631DD" w:rsidRDefault="00FF7799" w:rsidP="00E631DD">
            <w:pPr>
              <w:pStyle w:val="StandardText"/>
              <w:spacing w:after="120"/>
              <w:jc w:val="center"/>
              <w:rPr>
                <w:b/>
                <w:spacing w:val="-4"/>
                <w:lang w:val="de-DE"/>
              </w:rPr>
            </w:pPr>
            <w:r w:rsidRPr="00E73F6F">
              <w:rPr>
                <w:b/>
                <w:spacing w:val="-2"/>
                <w:lang w:val="de-DE"/>
              </w:rPr>
              <w:t>Genauigkeit</w:t>
            </w:r>
            <w:r w:rsidR="00E631DD">
              <w:rPr>
                <w:b/>
                <w:spacing w:val="-2"/>
                <w:lang w:val="de-DE"/>
              </w:rPr>
              <w:t xml:space="preserve"> </w:t>
            </w:r>
          </w:p>
          <w:p w14:paraId="17142D7E" w14:textId="77777777" w:rsidR="00FF7799" w:rsidRPr="00E631DD" w:rsidRDefault="00E631DD" w:rsidP="00E631DD">
            <w:pPr>
              <w:pStyle w:val="StandardText"/>
              <w:spacing w:after="120"/>
              <w:jc w:val="center"/>
              <w:rPr>
                <w:b/>
                <w:spacing w:val="-2"/>
                <w:lang w:val="de-DE"/>
              </w:rPr>
            </w:pPr>
            <w:r>
              <w:rPr>
                <w:b/>
                <w:spacing w:val="-4"/>
                <w:lang w:val="de-DE"/>
              </w:rPr>
              <w:t>der</w:t>
            </w:r>
            <w:r w:rsidR="00FF7799" w:rsidRPr="00E73F6F">
              <w:rPr>
                <w:b/>
                <w:spacing w:val="-4"/>
                <w:lang w:val="de-DE"/>
              </w:rPr>
              <w:t xml:space="preserve"> </w:t>
            </w:r>
            <w:r w:rsidR="00FF7799" w:rsidRPr="00E73F6F">
              <w:rPr>
                <w:b/>
                <w:spacing w:val="-2"/>
                <w:lang w:val="de-DE"/>
              </w:rPr>
              <w:t>Uhren</w:t>
            </w:r>
          </w:p>
        </w:tc>
      </w:tr>
      <w:tr w:rsidR="00FF7799" w:rsidRPr="00E73F6F" w14:paraId="1D579CB4" w14:textId="77777777" w:rsidTr="00E631DD">
        <w:trPr>
          <w:trHeight w:val="285"/>
          <w:jc w:val="center"/>
        </w:trPr>
        <w:tc>
          <w:tcPr>
            <w:tcW w:w="936" w:type="pct"/>
            <w:shd w:val="clear" w:color="auto" w:fill="FFF2CC" w:themeFill="accent4" w:themeFillTint="33"/>
          </w:tcPr>
          <w:p w14:paraId="40DCCF76" w14:textId="77777777" w:rsidR="00FF7799" w:rsidRPr="00E73F6F" w:rsidRDefault="00FF7799" w:rsidP="006B65FF">
            <w:pPr>
              <w:pStyle w:val="StandardText"/>
              <w:rPr>
                <w:lang w:val="de-DE"/>
              </w:rPr>
            </w:pPr>
            <w:r w:rsidRPr="00E73F6F">
              <w:rPr>
                <w:spacing w:val="-2"/>
                <w:lang w:val="de-DE"/>
              </w:rPr>
              <w:t>Individualismus/</w:t>
            </w:r>
          </w:p>
        </w:tc>
        <w:tc>
          <w:tcPr>
            <w:tcW w:w="1016" w:type="pct"/>
          </w:tcPr>
          <w:p w14:paraId="720FAB12" w14:textId="77777777" w:rsidR="00FF7799" w:rsidRPr="00E73F6F" w:rsidRDefault="00FF7799" w:rsidP="006B65FF">
            <w:pPr>
              <w:pStyle w:val="StandardText"/>
              <w:jc w:val="center"/>
              <w:rPr>
                <w:lang w:val="de-DE"/>
              </w:rPr>
            </w:pPr>
            <w:r w:rsidRPr="00E73F6F">
              <w:rPr>
                <w:spacing w:val="-2"/>
                <w:lang w:val="de-DE"/>
              </w:rPr>
              <w:t>-0,56**</w:t>
            </w:r>
          </w:p>
        </w:tc>
        <w:tc>
          <w:tcPr>
            <w:tcW w:w="1016" w:type="pct"/>
          </w:tcPr>
          <w:p w14:paraId="5E22BD22" w14:textId="77777777" w:rsidR="00FF7799" w:rsidRPr="00E73F6F" w:rsidRDefault="00FF7799" w:rsidP="006B65FF">
            <w:pPr>
              <w:pStyle w:val="StandardText"/>
              <w:jc w:val="center"/>
              <w:rPr>
                <w:lang w:val="de-DE"/>
              </w:rPr>
            </w:pPr>
            <w:r w:rsidRPr="00E73F6F">
              <w:rPr>
                <w:spacing w:val="-2"/>
                <w:lang w:val="de-DE"/>
              </w:rPr>
              <w:t>-0,68**</w:t>
            </w:r>
          </w:p>
        </w:tc>
        <w:tc>
          <w:tcPr>
            <w:tcW w:w="1016" w:type="pct"/>
          </w:tcPr>
          <w:p w14:paraId="75BEBB42" w14:textId="77777777" w:rsidR="00FF7799" w:rsidRPr="00E73F6F" w:rsidRDefault="00FF7799" w:rsidP="006B65FF">
            <w:pPr>
              <w:pStyle w:val="StandardText"/>
              <w:jc w:val="center"/>
              <w:rPr>
                <w:lang w:val="de-DE"/>
              </w:rPr>
            </w:pPr>
            <w:r w:rsidRPr="00E73F6F">
              <w:rPr>
                <w:spacing w:val="-2"/>
                <w:lang w:val="de-DE"/>
              </w:rPr>
              <w:t>-0,27</w:t>
            </w:r>
          </w:p>
        </w:tc>
        <w:tc>
          <w:tcPr>
            <w:tcW w:w="1016" w:type="pct"/>
          </w:tcPr>
          <w:p w14:paraId="3122C11F" w14:textId="77777777" w:rsidR="00FF7799" w:rsidRPr="00E73F6F" w:rsidRDefault="00FF7799" w:rsidP="006B65FF">
            <w:pPr>
              <w:pStyle w:val="StandardText"/>
              <w:jc w:val="center"/>
              <w:rPr>
                <w:lang w:val="de-DE"/>
              </w:rPr>
            </w:pPr>
            <w:r w:rsidRPr="00E73F6F">
              <w:rPr>
                <w:spacing w:val="-2"/>
                <w:lang w:val="de-DE"/>
              </w:rPr>
              <w:t>-0,31</w:t>
            </w:r>
          </w:p>
        </w:tc>
      </w:tr>
      <w:tr w:rsidR="00FF7799" w:rsidRPr="00E73F6F" w14:paraId="625E6805" w14:textId="77777777" w:rsidTr="00E631DD">
        <w:trPr>
          <w:trHeight w:val="306"/>
          <w:jc w:val="center"/>
        </w:trPr>
        <w:tc>
          <w:tcPr>
            <w:tcW w:w="936" w:type="pct"/>
            <w:shd w:val="clear" w:color="auto" w:fill="FFF2CC" w:themeFill="accent4" w:themeFillTint="33"/>
          </w:tcPr>
          <w:p w14:paraId="45236215" w14:textId="77777777" w:rsidR="00FF7799" w:rsidRPr="00E73F6F" w:rsidRDefault="00FF7799" w:rsidP="006B65FF">
            <w:pPr>
              <w:pStyle w:val="StandardText"/>
              <w:rPr>
                <w:lang w:val="de-DE"/>
              </w:rPr>
            </w:pPr>
            <w:r w:rsidRPr="00E73F6F">
              <w:rPr>
                <w:spacing w:val="-2"/>
                <w:lang w:val="de-DE"/>
              </w:rPr>
              <w:t>Maskulinität</w:t>
            </w:r>
          </w:p>
        </w:tc>
        <w:tc>
          <w:tcPr>
            <w:tcW w:w="1016" w:type="pct"/>
          </w:tcPr>
          <w:p w14:paraId="79769E69" w14:textId="77777777" w:rsidR="00FF7799" w:rsidRPr="00E73F6F" w:rsidRDefault="00FF7799" w:rsidP="006B65FF">
            <w:pPr>
              <w:pStyle w:val="StandardText"/>
              <w:jc w:val="center"/>
              <w:rPr>
                <w:lang w:val="de-DE"/>
              </w:rPr>
            </w:pPr>
            <w:r w:rsidRPr="00E73F6F">
              <w:rPr>
                <w:spacing w:val="-4"/>
                <w:lang w:val="de-DE"/>
              </w:rPr>
              <w:t>0,14</w:t>
            </w:r>
          </w:p>
        </w:tc>
        <w:tc>
          <w:tcPr>
            <w:tcW w:w="1016" w:type="pct"/>
          </w:tcPr>
          <w:p w14:paraId="56A819BB" w14:textId="77777777" w:rsidR="00FF7799" w:rsidRPr="00E73F6F" w:rsidRDefault="00FF7799" w:rsidP="006B65FF">
            <w:pPr>
              <w:pStyle w:val="StandardText"/>
              <w:jc w:val="center"/>
              <w:rPr>
                <w:lang w:val="de-DE"/>
              </w:rPr>
            </w:pPr>
            <w:r w:rsidRPr="00E73F6F">
              <w:rPr>
                <w:spacing w:val="-4"/>
                <w:lang w:val="de-DE"/>
              </w:rPr>
              <w:t>0,18</w:t>
            </w:r>
          </w:p>
        </w:tc>
        <w:tc>
          <w:tcPr>
            <w:tcW w:w="1016" w:type="pct"/>
          </w:tcPr>
          <w:p w14:paraId="09EFF0E1" w14:textId="77777777" w:rsidR="00FF7799" w:rsidRPr="00E73F6F" w:rsidRDefault="00FF7799" w:rsidP="006B65FF">
            <w:pPr>
              <w:pStyle w:val="StandardText"/>
              <w:jc w:val="center"/>
              <w:rPr>
                <w:lang w:val="de-DE"/>
              </w:rPr>
            </w:pPr>
            <w:r w:rsidRPr="00E73F6F">
              <w:rPr>
                <w:spacing w:val="-4"/>
                <w:lang w:val="de-DE"/>
              </w:rPr>
              <w:t>0,14</w:t>
            </w:r>
          </w:p>
        </w:tc>
        <w:tc>
          <w:tcPr>
            <w:tcW w:w="1016" w:type="pct"/>
          </w:tcPr>
          <w:p w14:paraId="54F8A853" w14:textId="77777777" w:rsidR="00FF7799" w:rsidRPr="00E73F6F" w:rsidRDefault="00FF7799" w:rsidP="006B65FF">
            <w:pPr>
              <w:pStyle w:val="StandardText"/>
              <w:jc w:val="center"/>
              <w:rPr>
                <w:lang w:val="de-DE"/>
              </w:rPr>
            </w:pPr>
            <w:r w:rsidRPr="00E73F6F">
              <w:rPr>
                <w:spacing w:val="-4"/>
                <w:lang w:val="de-DE"/>
              </w:rPr>
              <w:t>0,08</w:t>
            </w:r>
          </w:p>
        </w:tc>
      </w:tr>
      <w:tr w:rsidR="00FF7799" w:rsidRPr="00E73F6F" w14:paraId="20FEEB3F" w14:textId="77777777" w:rsidTr="00E631DD">
        <w:trPr>
          <w:trHeight w:val="610"/>
          <w:jc w:val="center"/>
        </w:trPr>
        <w:tc>
          <w:tcPr>
            <w:tcW w:w="936" w:type="pct"/>
            <w:shd w:val="clear" w:color="auto" w:fill="FFF2CC" w:themeFill="accent4" w:themeFillTint="33"/>
          </w:tcPr>
          <w:p w14:paraId="5AC968EC" w14:textId="77777777" w:rsidR="00FF7799" w:rsidRPr="00E73F6F" w:rsidRDefault="00FF7799" w:rsidP="006B65FF">
            <w:pPr>
              <w:pStyle w:val="StandardText"/>
              <w:rPr>
                <w:lang w:val="de-DE"/>
              </w:rPr>
            </w:pPr>
            <w:r w:rsidRPr="00E73F6F">
              <w:rPr>
                <w:spacing w:val="-2"/>
                <w:lang w:val="de-DE"/>
              </w:rPr>
              <w:t>Ungewissheits- vermeidung</w:t>
            </w:r>
          </w:p>
        </w:tc>
        <w:tc>
          <w:tcPr>
            <w:tcW w:w="1016" w:type="pct"/>
          </w:tcPr>
          <w:p w14:paraId="7BCB0F28" w14:textId="77777777" w:rsidR="00FF7799" w:rsidRPr="00E73F6F" w:rsidRDefault="00FF7799" w:rsidP="006B65FF">
            <w:pPr>
              <w:pStyle w:val="StandardText"/>
              <w:jc w:val="center"/>
              <w:rPr>
                <w:lang w:val="de-DE"/>
              </w:rPr>
            </w:pPr>
            <w:r w:rsidRPr="00E73F6F">
              <w:rPr>
                <w:spacing w:val="-2"/>
                <w:lang w:val="de-DE"/>
              </w:rPr>
              <w:t>-0,37</w:t>
            </w:r>
          </w:p>
        </w:tc>
        <w:tc>
          <w:tcPr>
            <w:tcW w:w="1016" w:type="pct"/>
          </w:tcPr>
          <w:p w14:paraId="3811612D" w14:textId="77777777" w:rsidR="00FF7799" w:rsidRPr="00E73F6F" w:rsidRDefault="00FF7799" w:rsidP="006B65FF">
            <w:pPr>
              <w:pStyle w:val="StandardText"/>
              <w:jc w:val="center"/>
              <w:rPr>
                <w:lang w:val="de-DE"/>
              </w:rPr>
            </w:pPr>
            <w:r w:rsidRPr="00E73F6F">
              <w:rPr>
                <w:spacing w:val="-2"/>
                <w:lang w:val="de-DE"/>
              </w:rPr>
              <w:t>-0,27</w:t>
            </w:r>
          </w:p>
        </w:tc>
        <w:tc>
          <w:tcPr>
            <w:tcW w:w="1016" w:type="pct"/>
          </w:tcPr>
          <w:p w14:paraId="0DC9C7B4" w14:textId="77777777" w:rsidR="00FF7799" w:rsidRPr="00E73F6F" w:rsidRDefault="00FF7799" w:rsidP="006B65FF">
            <w:pPr>
              <w:pStyle w:val="StandardText"/>
              <w:jc w:val="center"/>
              <w:rPr>
                <w:lang w:val="de-DE"/>
              </w:rPr>
            </w:pPr>
            <w:r w:rsidRPr="00E73F6F">
              <w:rPr>
                <w:spacing w:val="-2"/>
                <w:lang w:val="de-DE"/>
              </w:rPr>
              <w:t>-0,24</w:t>
            </w:r>
          </w:p>
        </w:tc>
        <w:tc>
          <w:tcPr>
            <w:tcW w:w="1016" w:type="pct"/>
          </w:tcPr>
          <w:p w14:paraId="10FEFB64" w14:textId="77777777" w:rsidR="00FF7799" w:rsidRPr="00E73F6F" w:rsidRDefault="00FF7799" w:rsidP="006B65FF">
            <w:pPr>
              <w:pStyle w:val="StandardText"/>
              <w:jc w:val="center"/>
              <w:rPr>
                <w:lang w:val="de-DE"/>
              </w:rPr>
            </w:pPr>
            <w:r w:rsidRPr="00E73F6F">
              <w:rPr>
                <w:spacing w:val="-2"/>
                <w:lang w:val="de-DE"/>
              </w:rPr>
              <w:t>-0,41*</w:t>
            </w:r>
          </w:p>
        </w:tc>
      </w:tr>
    </w:tbl>
    <w:p w14:paraId="6E93810A" w14:textId="77777777" w:rsidR="00FF7799" w:rsidRPr="00E73F6F" w:rsidRDefault="00FF7799" w:rsidP="006B65FF">
      <w:pPr>
        <w:pStyle w:val="Quellen"/>
      </w:pPr>
      <w:r w:rsidRPr="00E73F6F">
        <w:lastRenderedPageBreak/>
        <w:t>Quelle:</w:t>
      </w:r>
      <w:r w:rsidRPr="00E73F6F">
        <w:rPr>
          <w:spacing w:val="67"/>
        </w:rPr>
        <w:t xml:space="preserve"> </w:t>
      </w:r>
      <w:r w:rsidRPr="00E73F6F">
        <w:t>eigene</w:t>
      </w:r>
      <w:r w:rsidRPr="00E73F6F">
        <w:rPr>
          <w:spacing w:val="-5"/>
        </w:rPr>
        <w:t xml:space="preserve"> </w:t>
      </w:r>
      <w:r w:rsidRPr="00E73F6F">
        <w:t>Auswertung</w:t>
      </w:r>
      <w:r w:rsidRPr="00E73F6F">
        <w:rPr>
          <w:spacing w:val="-7"/>
        </w:rPr>
        <w:t xml:space="preserve"> </w:t>
      </w:r>
      <w:r w:rsidRPr="00E73F6F">
        <w:t>(Kendall`s</w:t>
      </w:r>
      <w:r w:rsidRPr="00E73F6F">
        <w:rPr>
          <w:spacing w:val="-9"/>
        </w:rPr>
        <w:t xml:space="preserve"> </w:t>
      </w:r>
      <w:r w:rsidRPr="00E73F6F">
        <w:t>tau</w:t>
      </w:r>
      <w:r w:rsidRPr="00E73F6F">
        <w:rPr>
          <w:spacing w:val="-8"/>
        </w:rPr>
        <w:t xml:space="preserve"> </w:t>
      </w:r>
      <w:r w:rsidRPr="00E73F6F">
        <w:t>und</w:t>
      </w:r>
      <w:r w:rsidRPr="00E73F6F">
        <w:rPr>
          <w:spacing w:val="-8"/>
        </w:rPr>
        <w:t xml:space="preserve"> </w:t>
      </w:r>
      <w:r w:rsidRPr="00E73F6F">
        <w:t>Spearman`s</w:t>
      </w:r>
      <w:r w:rsidRPr="00E73F6F">
        <w:rPr>
          <w:spacing w:val="-10"/>
        </w:rPr>
        <w:t xml:space="preserve"> </w:t>
      </w:r>
      <w:r w:rsidRPr="00E73F6F">
        <w:t>Rho</w:t>
      </w:r>
      <w:r w:rsidRPr="00E73F6F">
        <w:rPr>
          <w:spacing w:val="-8"/>
        </w:rPr>
        <w:t xml:space="preserve"> </w:t>
      </w:r>
      <w:r w:rsidRPr="00E73F6F">
        <w:t>**</w:t>
      </w:r>
      <w:r w:rsidRPr="00E73F6F">
        <w:rPr>
          <w:spacing w:val="-8"/>
        </w:rPr>
        <w:t xml:space="preserve"> </w:t>
      </w:r>
      <w:r w:rsidRPr="00E73F6F">
        <w:t>=</w:t>
      </w:r>
      <w:r w:rsidRPr="00E73F6F">
        <w:rPr>
          <w:spacing w:val="-9"/>
        </w:rPr>
        <w:t xml:space="preserve"> </w:t>
      </w:r>
      <w:r w:rsidRPr="00E73F6F">
        <w:t>p</w:t>
      </w:r>
      <w:r w:rsidRPr="00E73F6F">
        <w:rPr>
          <w:spacing w:val="-8"/>
        </w:rPr>
        <w:t xml:space="preserve"> </w:t>
      </w:r>
      <w:r w:rsidRPr="00E73F6F">
        <w:t>&lt;</w:t>
      </w:r>
      <w:r w:rsidRPr="00E73F6F">
        <w:rPr>
          <w:spacing w:val="-10"/>
        </w:rPr>
        <w:t xml:space="preserve"> </w:t>
      </w:r>
      <w:r w:rsidRPr="00E73F6F">
        <w:t>.01;</w:t>
      </w:r>
      <w:r w:rsidRPr="00E73F6F">
        <w:rPr>
          <w:spacing w:val="-8"/>
        </w:rPr>
        <w:t xml:space="preserve"> </w:t>
      </w:r>
      <w:r w:rsidRPr="00E73F6F">
        <w:t>*</w:t>
      </w:r>
      <w:r w:rsidRPr="00E73F6F">
        <w:rPr>
          <w:spacing w:val="-8"/>
        </w:rPr>
        <w:t xml:space="preserve"> </w:t>
      </w:r>
      <w:r w:rsidRPr="00E73F6F">
        <w:t>=</w:t>
      </w:r>
      <w:r w:rsidRPr="00E73F6F">
        <w:rPr>
          <w:spacing w:val="-8"/>
        </w:rPr>
        <w:t xml:space="preserve"> </w:t>
      </w:r>
      <w:r w:rsidRPr="00E73F6F">
        <w:t>p</w:t>
      </w:r>
      <w:r w:rsidRPr="00E73F6F">
        <w:rPr>
          <w:spacing w:val="-8"/>
        </w:rPr>
        <w:t xml:space="preserve"> </w:t>
      </w:r>
      <w:r w:rsidRPr="00E73F6F">
        <w:t>&lt;</w:t>
      </w:r>
      <w:r w:rsidRPr="00E73F6F">
        <w:rPr>
          <w:spacing w:val="-10"/>
        </w:rPr>
        <w:t xml:space="preserve"> </w:t>
      </w:r>
      <w:r w:rsidRPr="00E73F6F">
        <w:rPr>
          <w:spacing w:val="-2"/>
        </w:rPr>
        <w:t>.05).</w:t>
      </w:r>
    </w:p>
    <w:p w14:paraId="2BCA3C78" w14:textId="77777777" w:rsidR="00FF7799" w:rsidRPr="00E73F6F" w:rsidRDefault="00FF7799" w:rsidP="006B65FF">
      <w:pPr>
        <w:pStyle w:val="StandardText"/>
      </w:pPr>
    </w:p>
    <w:p w14:paraId="087E875D" w14:textId="77777777" w:rsidR="00FF7799" w:rsidRPr="00E73F6F" w:rsidRDefault="00FF7799" w:rsidP="006B65FF">
      <w:pPr>
        <w:pStyle w:val="StandardText"/>
      </w:pPr>
      <w:r w:rsidRPr="00E73F6F">
        <w:t>Wie schnell eine Gesellschaft lebt, scheint somit zusammenfassend vom Klima abzuhängen, vom Grad der Industrialisierung, von der Größe des Landes (Einwohnerzahl)</w:t>
      </w:r>
      <w:r w:rsidRPr="00E73F6F">
        <w:rPr>
          <w:spacing w:val="-5"/>
        </w:rPr>
        <w:t xml:space="preserve"> </w:t>
      </w:r>
      <w:r w:rsidRPr="00E73F6F">
        <w:t>wie</w:t>
      </w:r>
      <w:r w:rsidRPr="00E73F6F">
        <w:rPr>
          <w:spacing w:val="-6"/>
        </w:rPr>
        <w:t xml:space="preserve"> </w:t>
      </w:r>
      <w:r w:rsidRPr="00E73F6F">
        <w:t>auch</w:t>
      </w:r>
      <w:r w:rsidRPr="00E73F6F">
        <w:rPr>
          <w:spacing w:val="-6"/>
        </w:rPr>
        <w:t xml:space="preserve"> </w:t>
      </w:r>
      <w:r w:rsidRPr="00E73F6F">
        <w:t>von</w:t>
      </w:r>
      <w:r w:rsidRPr="00E73F6F">
        <w:rPr>
          <w:spacing w:val="-6"/>
        </w:rPr>
        <w:t xml:space="preserve"> </w:t>
      </w:r>
      <w:r w:rsidRPr="00E73F6F">
        <w:t>der</w:t>
      </w:r>
      <w:r w:rsidRPr="00E73F6F">
        <w:rPr>
          <w:spacing w:val="-5"/>
        </w:rPr>
        <w:t xml:space="preserve"> </w:t>
      </w:r>
      <w:r w:rsidRPr="00E73F6F">
        <w:t>Landeskultur</w:t>
      </w:r>
      <w:r w:rsidRPr="00E73F6F">
        <w:rPr>
          <w:spacing w:val="-5"/>
        </w:rPr>
        <w:t xml:space="preserve"> </w:t>
      </w:r>
      <w:r w:rsidRPr="00E73F6F">
        <w:t>(Individualismus/Kollektivismus sowie Ungewissheitsvermeidung).</w:t>
      </w:r>
    </w:p>
    <w:p w14:paraId="791B9E00" w14:textId="77777777" w:rsidR="00FF7799" w:rsidRPr="00E73F6F" w:rsidRDefault="00FF7799" w:rsidP="006B65FF">
      <w:pPr>
        <w:pStyle w:val="StandardText"/>
      </w:pPr>
    </w:p>
    <w:p w14:paraId="33894E14" w14:textId="77777777" w:rsidR="00FF7799" w:rsidRPr="00E631DD" w:rsidRDefault="00C31CB0" w:rsidP="006B65FF">
      <w:pPr>
        <w:pStyle w:val="StandardTextkursiv"/>
        <w:rPr>
          <w:i w:val="0"/>
        </w:rPr>
      </w:pPr>
      <w:r w:rsidRPr="00E631DD">
        <w:rPr>
          <w:i w:val="0"/>
        </w:rPr>
        <w:t xml:space="preserve">4 </w:t>
      </w:r>
      <w:r w:rsidR="00FF7799" w:rsidRPr="00E631DD">
        <w:rPr>
          <w:i w:val="0"/>
        </w:rPr>
        <w:t>Kritische</w:t>
      </w:r>
      <w:r w:rsidR="00FF7799" w:rsidRPr="00E631DD">
        <w:rPr>
          <w:i w:val="0"/>
          <w:spacing w:val="-2"/>
        </w:rPr>
        <w:t xml:space="preserve"> Würdigung</w:t>
      </w:r>
    </w:p>
    <w:p w14:paraId="35851448" w14:textId="77777777" w:rsidR="00FF7799" w:rsidRPr="00E73F6F" w:rsidRDefault="00FF7799" w:rsidP="006B65FF">
      <w:pPr>
        <w:pStyle w:val="StandardText"/>
      </w:pPr>
      <w:r w:rsidRPr="00E73F6F">
        <w:t>Der Versuch, komplexe deskriptive Konstrukte wie das Lebenstempo zu operationalisieren und damit der empirischen Forschung zugänglich zu machen, ist zwar grundsätzlich begrüßenswert. Im Einzelnen aber sind zu kritisieren:</w:t>
      </w:r>
    </w:p>
    <w:p w14:paraId="4D67DEC7" w14:textId="77777777" w:rsidR="00FF7799" w:rsidRPr="00E73F6F" w:rsidRDefault="00FF7799" w:rsidP="009D25D8">
      <w:pPr>
        <w:pStyle w:val="StandardTextAufzhlung"/>
        <w:ind w:left="567"/>
      </w:pPr>
      <w:r w:rsidRPr="00E73F6F">
        <w:t>Aggregationsmodell.</w:t>
      </w:r>
      <w:r w:rsidRPr="00E73F6F">
        <w:rPr>
          <w:spacing w:val="-7"/>
        </w:rPr>
        <w:t xml:space="preserve"> </w:t>
      </w:r>
      <w:r w:rsidRPr="00E73F6F">
        <w:t>Das</w:t>
      </w:r>
      <w:r w:rsidRPr="00E73F6F">
        <w:rPr>
          <w:spacing w:val="-8"/>
        </w:rPr>
        <w:t xml:space="preserve"> </w:t>
      </w:r>
      <w:r w:rsidRPr="00E73F6F">
        <w:t>verwendete</w:t>
      </w:r>
      <w:r w:rsidRPr="00E73F6F">
        <w:rPr>
          <w:spacing w:val="-8"/>
        </w:rPr>
        <w:t xml:space="preserve"> </w:t>
      </w:r>
      <w:r w:rsidRPr="00E73F6F">
        <w:t>additive</w:t>
      </w:r>
      <w:r w:rsidRPr="00E73F6F">
        <w:rPr>
          <w:spacing w:val="-8"/>
        </w:rPr>
        <w:t xml:space="preserve"> </w:t>
      </w:r>
      <w:r w:rsidRPr="00E73F6F">
        <w:t>Modell</w:t>
      </w:r>
      <w:r w:rsidRPr="00E73F6F">
        <w:rPr>
          <w:spacing w:val="-7"/>
        </w:rPr>
        <w:t xml:space="preserve"> </w:t>
      </w:r>
      <w:r w:rsidRPr="00E73F6F">
        <w:t>erlaubt</w:t>
      </w:r>
      <w:r w:rsidRPr="00E73F6F">
        <w:rPr>
          <w:spacing w:val="-7"/>
        </w:rPr>
        <w:t xml:space="preserve"> </w:t>
      </w:r>
      <w:r w:rsidRPr="00E73F6F">
        <w:t>es</w:t>
      </w:r>
      <w:r w:rsidRPr="00E73F6F">
        <w:rPr>
          <w:spacing w:val="-8"/>
        </w:rPr>
        <w:t xml:space="preserve"> </w:t>
      </w:r>
      <w:r w:rsidRPr="00E73F6F">
        <w:t>nicht,</w:t>
      </w:r>
      <w:r w:rsidRPr="00E73F6F">
        <w:rPr>
          <w:spacing w:val="-9"/>
        </w:rPr>
        <w:t xml:space="preserve"> </w:t>
      </w:r>
      <w:r w:rsidRPr="00E73F6F">
        <w:t>die</w:t>
      </w:r>
      <w:r w:rsidRPr="00E73F6F">
        <w:rPr>
          <w:spacing w:val="-8"/>
        </w:rPr>
        <w:t xml:space="preserve"> </w:t>
      </w:r>
      <w:r w:rsidRPr="00E73F6F">
        <w:t>drei Konstruktdimensionen</w:t>
      </w:r>
      <w:r w:rsidRPr="00E73F6F">
        <w:rPr>
          <w:spacing w:val="-10"/>
        </w:rPr>
        <w:t xml:space="preserve"> </w:t>
      </w:r>
      <w:r w:rsidRPr="00E73F6F">
        <w:t>entsprechend</w:t>
      </w:r>
      <w:r w:rsidRPr="00E73F6F">
        <w:rPr>
          <w:spacing w:val="-11"/>
        </w:rPr>
        <w:t xml:space="preserve"> </w:t>
      </w:r>
      <w:r w:rsidRPr="00E73F6F">
        <w:t>ihres</w:t>
      </w:r>
      <w:r w:rsidRPr="00E73F6F">
        <w:rPr>
          <w:spacing w:val="-10"/>
        </w:rPr>
        <w:t xml:space="preserve"> </w:t>
      </w:r>
      <w:r w:rsidRPr="00E73F6F">
        <w:t>im</w:t>
      </w:r>
      <w:r w:rsidRPr="00E73F6F">
        <w:rPr>
          <w:spacing w:val="-10"/>
        </w:rPr>
        <w:t xml:space="preserve"> </w:t>
      </w:r>
      <w:r w:rsidRPr="00E73F6F">
        <w:t>Regelfall</w:t>
      </w:r>
      <w:r w:rsidRPr="00E73F6F">
        <w:rPr>
          <w:spacing w:val="-12"/>
        </w:rPr>
        <w:t xml:space="preserve"> </w:t>
      </w:r>
      <w:r w:rsidRPr="00E73F6F">
        <w:t>unterschiedlichen</w:t>
      </w:r>
      <w:r w:rsidRPr="00E73F6F">
        <w:rPr>
          <w:spacing w:val="-9"/>
        </w:rPr>
        <w:t xml:space="preserve"> </w:t>
      </w:r>
      <w:r w:rsidRPr="00E73F6F">
        <w:t>Beitrags zum Gesamtlebenstempo zu gewichten.</w:t>
      </w:r>
    </w:p>
    <w:p w14:paraId="24DA6338" w14:textId="77777777" w:rsidR="00FF7799" w:rsidRPr="00E73F6F" w:rsidRDefault="00FF7799" w:rsidP="009D25D8">
      <w:pPr>
        <w:pStyle w:val="StandardTextAufzhlung"/>
        <w:ind w:left="567"/>
      </w:pPr>
      <w:r w:rsidRPr="00E73F6F">
        <w:t>Konstruktvalidität.</w:t>
      </w:r>
      <w:r w:rsidRPr="00E73F6F">
        <w:rPr>
          <w:spacing w:val="-7"/>
        </w:rPr>
        <w:t xml:space="preserve"> </w:t>
      </w:r>
      <w:r w:rsidRPr="00E73F6F">
        <w:t>Hängt</w:t>
      </w:r>
      <w:r w:rsidRPr="00E73F6F">
        <w:rPr>
          <w:spacing w:val="-10"/>
        </w:rPr>
        <w:t xml:space="preserve"> </w:t>
      </w:r>
      <w:r w:rsidRPr="00E73F6F">
        <w:t>die</w:t>
      </w:r>
      <w:r w:rsidRPr="00E73F6F">
        <w:rPr>
          <w:spacing w:val="-11"/>
        </w:rPr>
        <w:t xml:space="preserve"> </w:t>
      </w:r>
      <w:r w:rsidRPr="00E73F6F">
        <w:t>Bedienungszeit</w:t>
      </w:r>
      <w:r w:rsidRPr="00E73F6F">
        <w:rPr>
          <w:spacing w:val="-7"/>
        </w:rPr>
        <w:t xml:space="preserve"> </w:t>
      </w:r>
      <w:r w:rsidRPr="00E73F6F">
        <w:t>bei</w:t>
      </w:r>
      <w:r w:rsidRPr="00E73F6F">
        <w:rPr>
          <w:spacing w:val="-10"/>
        </w:rPr>
        <w:t xml:space="preserve"> </w:t>
      </w:r>
      <w:r w:rsidRPr="00E73F6F">
        <w:t>der</w:t>
      </w:r>
      <w:r w:rsidRPr="00E73F6F">
        <w:rPr>
          <w:spacing w:val="-8"/>
        </w:rPr>
        <w:t xml:space="preserve"> </w:t>
      </w:r>
      <w:r w:rsidRPr="00E73F6F">
        <w:t>Post,</w:t>
      </w:r>
      <w:r w:rsidRPr="00E73F6F">
        <w:rPr>
          <w:spacing w:val="-7"/>
        </w:rPr>
        <w:t xml:space="preserve"> </w:t>
      </w:r>
      <w:r w:rsidRPr="00E73F6F">
        <w:t>wie</w:t>
      </w:r>
      <w:r w:rsidRPr="00E73F6F">
        <w:rPr>
          <w:spacing w:val="-11"/>
        </w:rPr>
        <w:t xml:space="preserve"> </w:t>
      </w:r>
      <w:r w:rsidRPr="00E73F6F">
        <w:t>unterstellt</w:t>
      </w:r>
      <w:r w:rsidRPr="00E73F6F">
        <w:rPr>
          <w:spacing w:val="-7"/>
        </w:rPr>
        <w:t xml:space="preserve"> </w:t>
      </w:r>
      <w:r w:rsidRPr="00E73F6F">
        <w:t xml:space="preserve">wird, tatsächlich vom Lebenstempo ab – in Gestalt des Arbeitstempos? Oder ist die mutmaßlich unterschiedliche Effizienz der Arbeitsorganisation dafür </w:t>
      </w:r>
      <w:r w:rsidRPr="00E73F6F">
        <w:rPr>
          <w:spacing w:val="-2"/>
        </w:rPr>
        <w:t>verantwortlich?</w:t>
      </w:r>
    </w:p>
    <w:p w14:paraId="691D1689" w14:textId="77777777" w:rsidR="00FF7799" w:rsidRPr="00E73F6F" w:rsidRDefault="00FF7799" w:rsidP="009D25D8">
      <w:pPr>
        <w:pStyle w:val="StandardTextAufzhlung"/>
        <w:ind w:left="567"/>
      </w:pPr>
      <w:r w:rsidRPr="00E73F6F">
        <w:t>Externe</w:t>
      </w:r>
      <w:r w:rsidRPr="00E73F6F">
        <w:rPr>
          <w:spacing w:val="-2"/>
        </w:rPr>
        <w:t xml:space="preserve"> </w:t>
      </w:r>
      <w:r w:rsidRPr="00E73F6F">
        <w:t>Validität (</w:t>
      </w:r>
      <w:r w:rsidRPr="00E73F6F">
        <w:rPr>
          <w:rFonts w:ascii="Cambria Math" w:hAnsi="Cambria Math" w:cs="Cambria Math"/>
        </w:rPr>
        <w:t>⇒</w:t>
      </w:r>
      <w:r w:rsidR="00E631DD">
        <w:t xml:space="preserve"> Validität</w:t>
      </w:r>
      <w:r w:rsidRPr="00E73F6F">
        <w:t>).</w:t>
      </w:r>
      <w:r w:rsidRPr="00E73F6F">
        <w:rPr>
          <w:spacing w:val="-2"/>
        </w:rPr>
        <w:t xml:space="preserve"> </w:t>
      </w:r>
      <w:r w:rsidRPr="00E73F6F">
        <w:t>Nachdem</w:t>
      </w:r>
      <w:r w:rsidRPr="00E73F6F">
        <w:rPr>
          <w:spacing w:val="-3"/>
        </w:rPr>
        <w:t xml:space="preserve"> </w:t>
      </w:r>
      <w:r w:rsidRPr="00E73F6F">
        <w:t>Levine/Norenzayan</w:t>
      </w:r>
      <w:r w:rsidRPr="00E73F6F">
        <w:rPr>
          <w:spacing w:val="-2"/>
        </w:rPr>
        <w:t xml:space="preserve"> </w:t>
      </w:r>
      <w:r w:rsidRPr="00E73F6F">
        <w:t>(1999) das Lebenstempo der Bewohner von Großstädten erfasst haben, ist es nicht zulässig,</w:t>
      </w:r>
      <w:r w:rsidRPr="00E73F6F">
        <w:rPr>
          <w:spacing w:val="-12"/>
        </w:rPr>
        <w:t xml:space="preserve"> </w:t>
      </w:r>
      <w:r w:rsidRPr="00E73F6F">
        <w:t>die</w:t>
      </w:r>
      <w:r w:rsidRPr="00E73F6F">
        <w:rPr>
          <w:spacing w:val="-11"/>
        </w:rPr>
        <w:t xml:space="preserve"> </w:t>
      </w:r>
      <w:r w:rsidRPr="00E73F6F">
        <w:t>Befunde</w:t>
      </w:r>
      <w:r w:rsidRPr="00E73F6F">
        <w:rPr>
          <w:spacing w:val="-11"/>
        </w:rPr>
        <w:t xml:space="preserve"> </w:t>
      </w:r>
      <w:r w:rsidRPr="00E73F6F">
        <w:t>zu</w:t>
      </w:r>
      <w:r w:rsidRPr="00E73F6F">
        <w:rPr>
          <w:spacing w:val="-11"/>
        </w:rPr>
        <w:t xml:space="preserve"> </w:t>
      </w:r>
      <w:r w:rsidRPr="00E73F6F">
        <w:t>generalisieren</w:t>
      </w:r>
      <w:r w:rsidRPr="00E73F6F">
        <w:rPr>
          <w:spacing w:val="-12"/>
        </w:rPr>
        <w:t xml:space="preserve"> </w:t>
      </w:r>
      <w:r w:rsidRPr="00E73F6F">
        <w:t>(d.h.</w:t>
      </w:r>
      <w:r w:rsidRPr="00E73F6F">
        <w:rPr>
          <w:spacing w:val="-11"/>
        </w:rPr>
        <w:t xml:space="preserve"> </w:t>
      </w:r>
      <w:r w:rsidRPr="00E73F6F">
        <w:t>auf</w:t>
      </w:r>
      <w:r w:rsidRPr="00E73F6F">
        <w:rPr>
          <w:spacing w:val="-11"/>
        </w:rPr>
        <w:t xml:space="preserve"> </w:t>
      </w:r>
      <w:r w:rsidRPr="00E73F6F">
        <w:t>das</w:t>
      </w:r>
      <w:r w:rsidRPr="00E73F6F">
        <w:rPr>
          <w:spacing w:val="-11"/>
        </w:rPr>
        <w:t xml:space="preserve"> </w:t>
      </w:r>
      <w:r w:rsidRPr="00E73F6F">
        <w:t>jeweilige</w:t>
      </w:r>
      <w:r w:rsidRPr="00E73F6F">
        <w:rPr>
          <w:spacing w:val="-12"/>
        </w:rPr>
        <w:t xml:space="preserve"> </w:t>
      </w:r>
      <w:r w:rsidRPr="00E73F6F">
        <w:t>Land</w:t>
      </w:r>
      <w:r w:rsidRPr="00E73F6F">
        <w:rPr>
          <w:spacing w:val="-11"/>
        </w:rPr>
        <w:t xml:space="preserve"> </w:t>
      </w:r>
      <w:r w:rsidRPr="00E73F6F">
        <w:t>zu</w:t>
      </w:r>
      <w:r w:rsidRPr="00E73F6F">
        <w:rPr>
          <w:spacing w:val="-11"/>
        </w:rPr>
        <w:t xml:space="preserve"> </w:t>
      </w:r>
      <w:r w:rsidRPr="00E73F6F">
        <w:t>übertragen). Denn möglicherweise unterscheidet sich das Lebenstempo der Landbevölkerung nicht nur linear – in dem Sinn, dass es überall langsamer ist als das Lebenstempo der Städter –, sondern nicht-linear oder unsystematisch.</w:t>
      </w:r>
    </w:p>
    <w:p w14:paraId="1BF672A5" w14:textId="543D1636" w:rsidR="00FF7799" w:rsidRPr="00E73F6F" w:rsidRDefault="00FF7799" w:rsidP="009D25D8">
      <w:pPr>
        <w:pStyle w:val="StandardTextAufzhlung"/>
        <w:ind w:left="567"/>
      </w:pPr>
      <w:r w:rsidRPr="00E73F6F">
        <w:t>Inhaltsvalidität. Manifestiert sich das Lebenstempo einer Gesellschaft nur in den</w:t>
      </w:r>
      <w:r w:rsidRPr="00E73F6F">
        <w:rPr>
          <w:spacing w:val="35"/>
        </w:rPr>
        <w:t xml:space="preserve"> </w:t>
      </w:r>
      <w:r w:rsidRPr="00E73F6F">
        <w:t>drei</w:t>
      </w:r>
      <w:r w:rsidRPr="00E73F6F">
        <w:rPr>
          <w:spacing w:val="32"/>
        </w:rPr>
        <w:t xml:space="preserve"> </w:t>
      </w:r>
      <w:r w:rsidRPr="00E73F6F">
        <w:t>untersuchten</w:t>
      </w:r>
      <w:r w:rsidRPr="00E73F6F">
        <w:rPr>
          <w:spacing w:val="33"/>
        </w:rPr>
        <w:t xml:space="preserve"> </w:t>
      </w:r>
      <w:r w:rsidRPr="00E73F6F">
        <w:t>Lebensbereichen</w:t>
      </w:r>
      <w:r w:rsidRPr="00E73F6F">
        <w:rPr>
          <w:spacing w:val="35"/>
        </w:rPr>
        <w:t xml:space="preserve"> </w:t>
      </w:r>
      <w:r w:rsidRPr="00E73F6F">
        <w:t>„Genauigkeit</w:t>
      </w:r>
      <w:r w:rsidRPr="00E73F6F">
        <w:rPr>
          <w:spacing w:val="34"/>
        </w:rPr>
        <w:t xml:space="preserve"> </w:t>
      </w:r>
      <w:r w:rsidRPr="00E73F6F">
        <w:t>der</w:t>
      </w:r>
      <w:r w:rsidRPr="00E73F6F">
        <w:rPr>
          <w:spacing w:val="32"/>
        </w:rPr>
        <w:t xml:space="preserve"> </w:t>
      </w:r>
      <w:r w:rsidRPr="00E73F6F">
        <w:t>öffentlichen</w:t>
      </w:r>
      <w:r w:rsidRPr="00E73F6F">
        <w:rPr>
          <w:spacing w:val="35"/>
        </w:rPr>
        <w:t xml:space="preserve"> </w:t>
      </w:r>
      <w:r w:rsidRPr="00E73F6F">
        <w:t>Uhren“, „Gehgeschwindigkeit der Fußgänger“ und „Bedienungszeit“? Warum wurde, um nur eines von vielen denkbaren Beispielen zu nennen, nicht die Geschwindigkeit der</w:t>
      </w:r>
      <w:r w:rsidRPr="00E73F6F">
        <w:rPr>
          <w:spacing w:val="-3"/>
        </w:rPr>
        <w:t xml:space="preserve"> </w:t>
      </w:r>
      <w:r w:rsidRPr="00E73F6F">
        <w:t>„Nahrungsaufnahme“</w:t>
      </w:r>
      <w:r w:rsidRPr="00E73F6F">
        <w:rPr>
          <w:spacing w:val="-4"/>
        </w:rPr>
        <w:t xml:space="preserve"> </w:t>
      </w:r>
      <w:r w:rsidRPr="00E73F6F">
        <w:t>berücksichtigt?</w:t>
      </w:r>
      <w:r w:rsidRPr="00E73F6F">
        <w:rPr>
          <w:spacing w:val="-3"/>
        </w:rPr>
        <w:t xml:space="preserve"> </w:t>
      </w:r>
      <w:r w:rsidRPr="00E73F6F">
        <w:t>Immerhin</w:t>
      </w:r>
      <w:r w:rsidRPr="00E73F6F">
        <w:rPr>
          <w:spacing w:val="-2"/>
        </w:rPr>
        <w:t xml:space="preserve"> </w:t>
      </w:r>
      <w:r w:rsidRPr="00E73F6F">
        <w:t>sind</w:t>
      </w:r>
      <w:r w:rsidRPr="00E73F6F">
        <w:rPr>
          <w:spacing w:val="-2"/>
        </w:rPr>
        <w:t xml:space="preserve"> </w:t>
      </w:r>
      <w:r w:rsidRPr="00E73F6F">
        <w:t>die</w:t>
      </w:r>
      <w:r w:rsidRPr="00E73F6F">
        <w:rPr>
          <w:spacing w:val="-3"/>
        </w:rPr>
        <w:t xml:space="preserve"> </w:t>
      </w:r>
      <w:r w:rsidRPr="00E73F6F">
        <w:t>Mahlzeiten</w:t>
      </w:r>
      <w:r w:rsidRPr="00E73F6F">
        <w:rPr>
          <w:spacing w:val="-2"/>
        </w:rPr>
        <w:t xml:space="preserve"> </w:t>
      </w:r>
      <w:r w:rsidRPr="00E73F6F">
        <w:t>einer</w:t>
      </w:r>
      <w:r w:rsidRPr="00E73F6F">
        <w:rPr>
          <w:spacing w:val="-3"/>
        </w:rPr>
        <w:t xml:space="preserve"> </w:t>
      </w:r>
      <w:r w:rsidRPr="00E73F6F">
        <w:t>der zentralen und höchst kultursensiblen Lebensbereiche einer Gesellschaft. Franzosen</w:t>
      </w:r>
      <w:r w:rsidRPr="00E73F6F">
        <w:rPr>
          <w:spacing w:val="-7"/>
        </w:rPr>
        <w:t xml:space="preserve"> </w:t>
      </w:r>
      <w:r w:rsidRPr="00E73F6F">
        <w:t>bspw.</w:t>
      </w:r>
      <w:r w:rsidRPr="00E73F6F">
        <w:rPr>
          <w:spacing w:val="-7"/>
        </w:rPr>
        <w:t xml:space="preserve"> </w:t>
      </w:r>
      <w:r w:rsidRPr="00E73F6F">
        <w:t>nehmen</w:t>
      </w:r>
      <w:r w:rsidRPr="00E73F6F">
        <w:rPr>
          <w:spacing w:val="-7"/>
        </w:rPr>
        <w:t xml:space="preserve"> </w:t>
      </w:r>
      <w:r w:rsidRPr="00E73F6F">
        <w:t>sich</w:t>
      </w:r>
      <w:r w:rsidRPr="00E73F6F">
        <w:rPr>
          <w:spacing w:val="-9"/>
        </w:rPr>
        <w:t xml:space="preserve"> </w:t>
      </w:r>
      <w:r w:rsidRPr="00E73F6F">
        <w:t>nicht</w:t>
      </w:r>
      <w:r w:rsidRPr="00E73F6F">
        <w:rPr>
          <w:spacing w:val="-7"/>
        </w:rPr>
        <w:t xml:space="preserve"> </w:t>
      </w:r>
      <w:r w:rsidRPr="00E73F6F">
        <w:t>nur</w:t>
      </w:r>
      <w:r w:rsidRPr="00E73F6F">
        <w:rPr>
          <w:spacing w:val="-8"/>
        </w:rPr>
        <w:t xml:space="preserve"> </w:t>
      </w:r>
      <w:r w:rsidR="00B3074B" w:rsidRPr="00E73F6F">
        <w:t>zuhause</w:t>
      </w:r>
      <w:r w:rsidRPr="00E73F6F">
        <w:rPr>
          <w:spacing w:val="-9"/>
        </w:rPr>
        <w:t xml:space="preserve"> </w:t>
      </w:r>
      <w:r w:rsidRPr="00E73F6F">
        <w:t>und</w:t>
      </w:r>
      <w:r w:rsidRPr="00E73F6F">
        <w:rPr>
          <w:spacing w:val="-7"/>
        </w:rPr>
        <w:t xml:space="preserve"> </w:t>
      </w:r>
      <w:r w:rsidRPr="00E73F6F">
        <w:t>in</w:t>
      </w:r>
      <w:r w:rsidRPr="00E73F6F">
        <w:rPr>
          <w:spacing w:val="-7"/>
        </w:rPr>
        <w:t xml:space="preserve"> </w:t>
      </w:r>
      <w:r w:rsidRPr="00E73F6F">
        <w:t>traditionellen</w:t>
      </w:r>
      <w:r w:rsidRPr="00E73F6F">
        <w:rPr>
          <w:spacing w:val="-6"/>
        </w:rPr>
        <w:t xml:space="preserve"> </w:t>
      </w:r>
      <w:r w:rsidRPr="00E73F6F">
        <w:t>Restaurants, sondern paradoxerweise auch in Fast Food-Restaurants mehr Zeit für das Essen (täglich</w:t>
      </w:r>
      <w:r w:rsidRPr="00E73F6F">
        <w:rPr>
          <w:spacing w:val="-12"/>
        </w:rPr>
        <w:t xml:space="preserve"> </w:t>
      </w:r>
      <w:r w:rsidRPr="00E73F6F">
        <w:t>100</w:t>
      </w:r>
      <w:r w:rsidRPr="00E73F6F">
        <w:rPr>
          <w:spacing w:val="-11"/>
        </w:rPr>
        <w:t xml:space="preserve"> </w:t>
      </w:r>
      <w:r w:rsidRPr="00E73F6F">
        <w:t>Minuten)</w:t>
      </w:r>
      <w:r w:rsidRPr="00E73F6F">
        <w:rPr>
          <w:spacing w:val="-11"/>
        </w:rPr>
        <w:t xml:space="preserve"> </w:t>
      </w:r>
      <w:r w:rsidRPr="00E73F6F">
        <w:t>als</w:t>
      </w:r>
      <w:r w:rsidRPr="00E73F6F">
        <w:rPr>
          <w:spacing w:val="-11"/>
        </w:rPr>
        <w:t xml:space="preserve"> </w:t>
      </w:r>
      <w:r w:rsidRPr="00E73F6F">
        <w:t>etwa</w:t>
      </w:r>
      <w:r w:rsidRPr="00E73F6F">
        <w:rPr>
          <w:spacing w:val="-12"/>
        </w:rPr>
        <w:t xml:space="preserve"> </w:t>
      </w:r>
      <w:r w:rsidRPr="00E73F6F">
        <w:t>Amerikaner</w:t>
      </w:r>
      <w:r w:rsidRPr="00E73F6F">
        <w:rPr>
          <w:spacing w:val="-11"/>
        </w:rPr>
        <w:t xml:space="preserve"> </w:t>
      </w:r>
      <w:r w:rsidRPr="00E73F6F">
        <w:t>(täglich</w:t>
      </w:r>
      <w:r w:rsidRPr="00E73F6F">
        <w:rPr>
          <w:spacing w:val="-11"/>
        </w:rPr>
        <w:t xml:space="preserve"> </w:t>
      </w:r>
      <w:r w:rsidRPr="00E73F6F">
        <w:t>60</w:t>
      </w:r>
      <w:r w:rsidRPr="00E73F6F">
        <w:rPr>
          <w:spacing w:val="-11"/>
        </w:rPr>
        <w:t xml:space="preserve"> </w:t>
      </w:r>
      <w:r w:rsidRPr="00E73F6F">
        <w:t>Minuten).</w:t>
      </w:r>
      <w:r w:rsidRPr="00E73F6F">
        <w:rPr>
          <w:spacing w:val="-12"/>
        </w:rPr>
        <w:t xml:space="preserve"> </w:t>
      </w:r>
      <w:r w:rsidRPr="00E73F6F">
        <w:t>Pariser</w:t>
      </w:r>
      <w:r w:rsidRPr="00E73F6F">
        <w:rPr>
          <w:spacing w:val="-11"/>
        </w:rPr>
        <w:t xml:space="preserve"> </w:t>
      </w:r>
      <w:r w:rsidRPr="00E73F6F">
        <w:t>Gäste</w:t>
      </w:r>
      <w:r w:rsidRPr="00E73F6F">
        <w:rPr>
          <w:spacing w:val="-11"/>
        </w:rPr>
        <w:t xml:space="preserve"> </w:t>
      </w:r>
      <w:r w:rsidRPr="00E73F6F">
        <w:t>von McDonalds verweilen dort durchschnittlich 22 Minuten und verspeisen dabei einen</w:t>
      </w:r>
      <w:r w:rsidRPr="00E73F6F">
        <w:rPr>
          <w:spacing w:val="-4"/>
        </w:rPr>
        <w:t xml:space="preserve"> </w:t>
      </w:r>
      <w:r w:rsidRPr="00E73F6F">
        <w:t>kleineren</w:t>
      </w:r>
      <w:r w:rsidRPr="00E73F6F">
        <w:rPr>
          <w:spacing w:val="-4"/>
        </w:rPr>
        <w:t xml:space="preserve"> </w:t>
      </w:r>
      <w:r w:rsidRPr="00E73F6F">
        <w:t>Burger</w:t>
      </w:r>
      <w:r w:rsidRPr="00E73F6F">
        <w:rPr>
          <w:spacing w:val="-5"/>
        </w:rPr>
        <w:t xml:space="preserve"> </w:t>
      </w:r>
      <w:r w:rsidRPr="00E73F6F">
        <w:t>als</w:t>
      </w:r>
      <w:r w:rsidRPr="00E73F6F">
        <w:rPr>
          <w:spacing w:val="-5"/>
        </w:rPr>
        <w:t xml:space="preserve"> </w:t>
      </w:r>
      <w:r w:rsidRPr="00E73F6F">
        <w:t>Besucher</w:t>
      </w:r>
      <w:r w:rsidRPr="00E73F6F">
        <w:rPr>
          <w:spacing w:val="-5"/>
        </w:rPr>
        <w:t xml:space="preserve"> </w:t>
      </w:r>
      <w:r w:rsidRPr="00E73F6F">
        <w:t>dieses</w:t>
      </w:r>
      <w:r w:rsidRPr="00E73F6F">
        <w:rPr>
          <w:spacing w:val="-6"/>
        </w:rPr>
        <w:t xml:space="preserve"> </w:t>
      </w:r>
      <w:r w:rsidRPr="00E73F6F">
        <w:t>Restauranttyps</w:t>
      </w:r>
      <w:r w:rsidRPr="00E73F6F">
        <w:rPr>
          <w:spacing w:val="-6"/>
        </w:rPr>
        <w:t xml:space="preserve"> </w:t>
      </w:r>
      <w:r w:rsidRPr="00E73F6F">
        <w:t>in</w:t>
      </w:r>
      <w:r w:rsidRPr="00E73F6F">
        <w:rPr>
          <w:spacing w:val="-4"/>
        </w:rPr>
        <w:t xml:space="preserve"> </w:t>
      </w:r>
      <w:r w:rsidRPr="00E73F6F">
        <w:t>Philadelphia</w:t>
      </w:r>
      <w:r w:rsidRPr="00E73F6F">
        <w:rPr>
          <w:spacing w:val="-6"/>
        </w:rPr>
        <w:t xml:space="preserve"> </w:t>
      </w:r>
      <w:r w:rsidRPr="00E73F6F">
        <w:t xml:space="preserve">(USA), die in durchschnittlich 14 Minuten einen fast doppelt so schweren Burger essen (vgl. </w:t>
      </w:r>
      <w:hyperlink r:id="rId150">
        <w:r w:rsidRPr="00E73F6F">
          <w:t>www.berkeley-wellness-report.de;</w:t>
        </w:r>
      </w:hyperlink>
      <w:r w:rsidRPr="00E73F6F">
        <w:t xml:space="preserve"> 5.1.2012).</w:t>
      </w:r>
    </w:p>
    <w:p w14:paraId="5898D47E" w14:textId="77777777" w:rsidR="00FF7799" w:rsidRDefault="00FF7799" w:rsidP="006B65FF">
      <w:pPr>
        <w:pStyle w:val="StandardText"/>
        <w:rPr>
          <w:spacing w:val="-2"/>
          <w:sz w:val="22"/>
          <w:szCs w:val="22"/>
          <w:lang w:val="en-US"/>
        </w:rPr>
      </w:pPr>
      <w:r w:rsidRPr="00E631DD">
        <w:rPr>
          <w:b/>
          <w:i/>
          <w:sz w:val="22"/>
          <w:szCs w:val="22"/>
        </w:rPr>
        <w:t>Literatur</w:t>
      </w:r>
      <w:r w:rsidRPr="00E631DD">
        <w:rPr>
          <w:i/>
          <w:sz w:val="22"/>
          <w:szCs w:val="22"/>
        </w:rPr>
        <w:t>:</w:t>
      </w:r>
      <w:r w:rsidRPr="00E631DD">
        <w:rPr>
          <w:spacing w:val="-4"/>
          <w:sz w:val="22"/>
          <w:szCs w:val="22"/>
        </w:rPr>
        <w:t xml:space="preserve"> </w:t>
      </w:r>
      <w:r w:rsidRPr="00E631DD">
        <w:rPr>
          <w:sz w:val="22"/>
          <w:szCs w:val="22"/>
        </w:rPr>
        <w:t>Levine,</w:t>
      </w:r>
      <w:r w:rsidRPr="00E631DD">
        <w:rPr>
          <w:spacing w:val="-6"/>
          <w:sz w:val="22"/>
          <w:szCs w:val="22"/>
        </w:rPr>
        <w:t xml:space="preserve"> </w:t>
      </w:r>
      <w:r w:rsidRPr="00E631DD">
        <w:rPr>
          <w:sz w:val="22"/>
          <w:szCs w:val="22"/>
        </w:rPr>
        <w:t>R.V.</w:t>
      </w:r>
      <w:r w:rsidRPr="00E631DD">
        <w:rPr>
          <w:spacing w:val="-2"/>
          <w:sz w:val="22"/>
          <w:szCs w:val="22"/>
        </w:rPr>
        <w:t xml:space="preserve"> </w:t>
      </w:r>
      <w:r w:rsidRPr="00E631DD">
        <w:rPr>
          <w:sz w:val="22"/>
          <w:szCs w:val="22"/>
        </w:rPr>
        <w:t>(2004):</w:t>
      </w:r>
      <w:r w:rsidRPr="00E631DD">
        <w:rPr>
          <w:spacing w:val="-3"/>
          <w:sz w:val="22"/>
          <w:szCs w:val="22"/>
        </w:rPr>
        <w:t xml:space="preserve"> </w:t>
      </w:r>
      <w:r w:rsidRPr="00E631DD">
        <w:rPr>
          <w:sz w:val="22"/>
          <w:szCs w:val="22"/>
        </w:rPr>
        <w:t>Eine</w:t>
      </w:r>
      <w:r w:rsidRPr="00E631DD">
        <w:rPr>
          <w:spacing w:val="-6"/>
          <w:sz w:val="22"/>
          <w:szCs w:val="22"/>
        </w:rPr>
        <w:t xml:space="preserve"> </w:t>
      </w:r>
      <w:r w:rsidRPr="00E631DD">
        <w:rPr>
          <w:sz w:val="22"/>
          <w:szCs w:val="22"/>
        </w:rPr>
        <w:t>Landkarte</w:t>
      </w:r>
      <w:r w:rsidRPr="00E631DD">
        <w:rPr>
          <w:spacing w:val="-6"/>
          <w:sz w:val="22"/>
          <w:szCs w:val="22"/>
        </w:rPr>
        <w:t xml:space="preserve"> </w:t>
      </w:r>
      <w:r w:rsidRPr="00E631DD">
        <w:rPr>
          <w:sz w:val="22"/>
          <w:szCs w:val="22"/>
        </w:rPr>
        <w:t>der</w:t>
      </w:r>
      <w:r w:rsidRPr="00E631DD">
        <w:rPr>
          <w:spacing w:val="-5"/>
          <w:sz w:val="22"/>
          <w:szCs w:val="22"/>
        </w:rPr>
        <w:t xml:space="preserve"> </w:t>
      </w:r>
      <w:r w:rsidRPr="00E631DD">
        <w:rPr>
          <w:sz w:val="22"/>
          <w:szCs w:val="22"/>
        </w:rPr>
        <w:t>Zeit.</w:t>
      </w:r>
      <w:r w:rsidRPr="00E631DD">
        <w:rPr>
          <w:spacing w:val="-4"/>
          <w:sz w:val="22"/>
          <w:szCs w:val="22"/>
        </w:rPr>
        <w:t xml:space="preserve"> </w:t>
      </w:r>
      <w:r w:rsidRPr="00E631DD">
        <w:rPr>
          <w:sz w:val="22"/>
          <w:szCs w:val="22"/>
        </w:rPr>
        <w:t>Wie</w:t>
      </w:r>
      <w:r w:rsidRPr="00E631DD">
        <w:rPr>
          <w:spacing w:val="-6"/>
          <w:sz w:val="22"/>
          <w:szCs w:val="22"/>
        </w:rPr>
        <w:t xml:space="preserve"> </w:t>
      </w:r>
      <w:r w:rsidRPr="00E631DD">
        <w:rPr>
          <w:sz w:val="22"/>
          <w:szCs w:val="22"/>
        </w:rPr>
        <w:t>Kulturen</w:t>
      </w:r>
      <w:r w:rsidRPr="00E631DD">
        <w:rPr>
          <w:spacing w:val="-5"/>
          <w:sz w:val="22"/>
          <w:szCs w:val="22"/>
        </w:rPr>
        <w:t xml:space="preserve"> </w:t>
      </w:r>
      <w:r w:rsidRPr="00E631DD">
        <w:rPr>
          <w:sz w:val="22"/>
          <w:szCs w:val="22"/>
        </w:rPr>
        <w:t>mit</w:t>
      </w:r>
      <w:r w:rsidRPr="00E631DD">
        <w:rPr>
          <w:spacing w:val="-6"/>
          <w:sz w:val="22"/>
          <w:szCs w:val="22"/>
        </w:rPr>
        <w:t xml:space="preserve"> </w:t>
      </w:r>
      <w:r w:rsidRPr="00E631DD">
        <w:rPr>
          <w:sz w:val="22"/>
          <w:szCs w:val="22"/>
        </w:rPr>
        <w:t>Zeit</w:t>
      </w:r>
      <w:r w:rsidRPr="00E631DD">
        <w:rPr>
          <w:spacing w:val="-3"/>
          <w:sz w:val="22"/>
          <w:szCs w:val="22"/>
        </w:rPr>
        <w:t xml:space="preserve"> </w:t>
      </w:r>
      <w:r w:rsidRPr="00E631DD">
        <w:rPr>
          <w:sz w:val="22"/>
          <w:szCs w:val="22"/>
        </w:rPr>
        <w:t>umgehen,</w:t>
      </w:r>
      <w:r w:rsidRPr="00E631DD">
        <w:rPr>
          <w:spacing w:val="-6"/>
          <w:sz w:val="22"/>
          <w:szCs w:val="22"/>
        </w:rPr>
        <w:t xml:space="preserve"> </w:t>
      </w:r>
      <w:r w:rsidRPr="00E631DD">
        <w:rPr>
          <w:sz w:val="22"/>
          <w:szCs w:val="22"/>
        </w:rPr>
        <w:t>9.</w:t>
      </w:r>
      <w:r w:rsidRPr="00E631DD">
        <w:rPr>
          <w:spacing w:val="40"/>
          <w:sz w:val="22"/>
          <w:szCs w:val="22"/>
        </w:rPr>
        <w:t xml:space="preserve"> </w:t>
      </w:r>
      <w:r w:rsidRPr="00E631DD">
        <w:rPr>
          <w:sz w:val="22"/>
          <w:szCs w:val="22"/>
          <w:lang w:val="en-US"/>
        </w:rPr>
        <w:t>Aufl.,</w:t>
      </w:r>
      <w:r w:rsidRPr="00E631DD">
        <w:rPr>
          <w:spacing w:val="-11"/>
          <w:sz w:val="22"/>
          <w:szCs w:val="22"/>
          <w:lang w:val="en-US"/>
        </w:rPr>
        <w:t xml:space="preserve"> </w:t>
      </w:r>
      <w:r w:rsidRPr="00E631DD">
        <w:rPr>
          <w:sz w:val="22"/>
          <w:szCs w:val="22"/>
          <w:lang w:val="en-US"/>
        </w:rPr>
        <w:t>München:</w:t>
      </w:r>
      <w:r w:rsidRPr="00E631DD">
        <w:rPr>
          <w:spacing w:val="-10"/>
          <w:sz w:val="22"/>
          <w:szCs w:val="22"/>
          <w:lang w:val="en-US"/>
        </w:rPr>
        <w:t xml:space="preserve"> </w:t>
      </w:r>
      <w:r w:rsidRPr="00E631DD">
        <w:rPr>
          <w:sz w:val="22"/>
          <w:szCs w:val="22"/>
          <w:lang w:val="en-US"/>
        </w:rPr>
        <w:t>Piper.</w:t>
      </w:r>
      <w:r w:rsidRPr="00E631DD">
        <w:rPr>
          <w:spacing w:val="-10"/>
          <w:sz w:val="22"/>
          <w:szCs w:val="22"/>
          <w:lang w:val="en-US"/>
        </w:rPr>
        <w:t xml:space="preserve"> </w:t>
      </w:r>
      <w:r w:rsidRPr="00E631DD">
        <w:rPr>
          <w:sz w:val="22"/>
          <w:szCs w:val="22"/>
          <w:lang w:val="en-US"/>
        </w:rPr>
        <w:t>(A</w:t>
      </w:r>
      <w:r w:rsidRPr="00E631DD">
        <w:rPr>
          <w:spacing w:val="-10"/>
          <w:sz w:val="22"/>
          <w:szCs w:val="22"/>
          <w:lang w:val="en-US"/>
        </w:rPr>
        <w:t xml:space="preserve"> </w:t>
      </w:r>
      <w:r w:rsidRPr="00E631DD">
        <w:rPr>
          <w:sz w:val="22"/>
          <w:szCs w:val="22"/>
          <w:lang w:val="en-US"/>
        </w:rPr>
        <w:t>Geography</w:t>
      </w:r>
      <w:r w:rsidRPr="00E631DD">
        <w:rPr>
          <w:spacing w:val="-10"/>
          <w:sz w:val="22"/>
          <w:szCs w:val="22"/>
          <w:lang w:val="en-US"/>
        </w:rPr>
        <w:t xml:space="preserve"> </w:t>
      </w:r>
      <w:r w:rsidRPr="00E631DD">
        <w:rPr>
          <w:sz w:val="22"/>
          <w:szCs w:val="22"/>
          <w:lang w:val="en-US"/>
        </w:rPr>
        <w:t>of</w:t>
      </w:r>
      <w:r w:rsidRPr="00E631DD">
        <w:rPr>
          <w:spacing w:val="-10"/>
          <w:sz w:val="22"/>
          <w:szCs w:val="22"/>
          <w:lang w:val="en-US"/>
        </w:rPr>
        <w:t xml:space="preserve"> </w:t>
      </w:r>
      <w:r w:rsidRPr="00E631DD">
        <w:rPr>
          <w:sz w:val="22"/>
          <w:szCs w:val="22"/>
          <w:lang w:val="en-US"/>
        </w:rPr>
        <w:t>Time,</w:t>
      </w:r>
      <w:r w:rsidRPr="00E631DD">
        <w:rPr>
          <w:spacing w:val="-9"/>
          <w:sz w:val="22"/>
          <w:szCs w:val="22"/>
          <w:lang w:val="en-US"/>
        </w:rPr>
        <w:t xml:space="preserve"> </w:t>
      </w:r>
      <w:r w:rsidRPr="00E631DD">
        <w:rPr>
          <w:sz w:val="22"/>
          <w:szCs w:val="22"/>
          <w:lang w:val="en-US"/>
        </w:rPr>
        <w:t>New</w:t>
      </w:r>
      <w:r w:rsidRPr="00E631DD">
        <w:rPr>
          <w:spacing w:val="-10"/>
          <w:sz w:val="22"/>
          <w:szCs w:val="22"/>
          <w:lang w:val="en-US"/>
        </w:rPr>
        <w:t xml:space="preserve"> </w:t>
      </w:r>
      <w:r w:rsidRPr="00E631DD">
        <w:rPr>
          <w:sz w:val="22"/>
          <w:szCs w:val="22"/>
          <w:lang w:val="en-US"/>
        </w:rPr>
        <w:t>York</w:t>
      </w:r>
      <w:r w:rsidRPr="00E631DD">
        <w:rPr>
          <w:spacing w:val="-10"/>
          <w:sz w:val="22"/>
          <w:szCs w:val="22"/>
          <w:lang w:val="en-US"/>
        </w:rPr>
        <w:t xml:space="preserve"> </w:t>
      </w:r>
      <w:r w:rsidRPr="00E631DD">
        <w:rPr>
          <w:sz w:val="22"/>
          <w:szCs w:val="22"/>
          <w:lang w:val="en-US"/>
        </w:rPr>
        <w:t>1997).</w:t>
      </w:r>
      <w:r w:rsidRPr="00E631DD">
        <w:rPr>
          <w:spacing w:val="52"/>
          <w:sz w:val="22"/>
          <w:szCs w:val="22"/>
          <w:lang w:val="en-US"/>
        </w:rPr>
        <w:t xml:space="preserve"> </w:t>
      </w:r>
      <w:r w:rsidRPr="00E631DD">
        <w:rPr>
          <w:sz w:val="22"/>
          <w:szCs w:val="22"/>
          <w:lang w:val="en-US"/>
        </w:rPr>
        <w:t>Levine,</w:t>
      </w:r>
      <w:r w:rsidRPr="00E631DD">
        <w:rPr>
          <w:spacing w:val="-10"/>
          <w:sz w:val="22"/>
          <w:szCs w:val="22"/>
          <w:lang w:val="en-US"/>
        </w:rPr>
        <w:t xml:space="preserve"> </w:t>
      </w:r>
      <w:r w:rsidRPr="00E631DD">
        <w:rPr>
          <w:sz w:val="22"/>
          <w:szCs w:val="22"/>
          <w:lang w:val="en-US"/>
        </w:rPr>
        <w:t>R.V.;</w:t>
      </w:r>
      <w:r w:rsidRPr="00E631DD">
        <w:rPr>
          <w:spacing w:val="-10"/>
          <w:sz w:val="22"/>
          <w:szCs w:val="22"/>
          <w:lang w:val="en-US"/>
        </w:rPr>
        <w:t xml:space="preserve"> </w:t>
      </w:r>
      <w:r w:rsidRPr="00E631DD">
        <w:rPr>
          <w:sz w:val="22"/>
          <w:szCs w:val="22"/>
          <w:lang w:val="en-US"/>
        </w:rPr>
        <w:t>Norenzayan, (1999): The Pace of Life in 31 Countries, Journal of Cross-Cultural Psychology,</w:t>
      </w:r>
      <w:r w:rsidRPr="00E631DD">
        <w:rPr>
          <w:spacing w:val="40"/>
          <w:sz w:val="22"/>
          <w:szCs w:val="22"/>
          <w:lang w:val="en-US"/>
        </w:rPr>
        <w:t xml:space="preserve"> </w:t>
      </w:r>
      <w:r w:rsidRPr="00E631DD">
        <w:rPr>
          <w:spacing w:val="-2"/>
          <w:sz w:val="22"/>
          <w:szCs w:val="22"/>
          <w:lang w:val="en-US"/>
        </w:rPr>
        <w:t>30(2):178-205.</w:t>
      </w:r>
    </w:p>
    <w:p w14:paraId="4D12C89F" w14:textId="77777777" w:rsidR="009D25D8" w:rsidRPr="00E631DD" w:rsidRDefault="009D25D8" w:rsidP="006B65FF">
      <w:pPr>
        <w:pStyle w:val="StandardText"/>
        <w:rPr>
          <w:sz w:val="22"/>
          <w:szCs w:val="22"/>
          <w:lang w:val="en-US"/>
        </w:rPr>
      </w:pPr>
    </w:p>
    <w:p w14:paraId="7A1CDA95" w14:textId="77777777" w:rsidR="00FF7799" w:rsidRPr="00E73F6F" w:rsidRDefault="00FF7799" w:rsidP="00414BDC">
      <w:pPr>
        <w:pStyle w:val="berschrift1"/>
      </w:pPr>
      <w:r w:rsidRPr="009D25D8">
        <w:rPr>
          <w:bCs w:val="0"/>
          <w:color w:val="2E74B5"/>
          <w:sz w:val="22"/>
        </w:rPr>
        <w:t>Leistungsmotivation</w:t>
      </w:r>
      <w:r w:rsidRPr="00E73F6F">
        <w:rPr>
          <w:spacing w:val="-4"/>
        </w:rPr>
        <w:t xml:space="preserve"> </w:t>
      </w:r>
      <w:r w:rsidRPr="00E73F6F">
        <w:rPr>
          <w:b w:val="0"/>
        </w:rPr>
        <w:t>→</w:t>
      </w:r>
      <w:r w:rsidRPr="00E73F6F">
        <w:rPr>
          <w:b w:val="0"/>
          <w:spacing w:val="-8"/>
        </w:rPr>
        <w:t xml:space="preserve"> </w:t>
      </w:r>
      <w:r w:rsidRPr="00E73F6F">
        <w:rPr>
          <w:b w:val="0"/>
        </w:rPr>
        <w:t>Postmaterialismus-</w:t>
      </w:r>
      <w:r w:rsidRPr="00E73F6F">
        <w:rPr>
          <w:b w:val="0"/>
          <w:spacing w:val="-4"/>
        </w:rPr>
        <w:t>These</w:t>
      </w:r>
    </w:p>
    <w:p w14:paraId="3FFA8D26" w14:textId="77777777" w:rsidR="00FF7799" w:rsidRPr="009D25D8" w:rsidRDefault="00FF7799" w:rsidP="00414BDC">
      <w:pPr>
        <w:pStyle w:val="berschrift1"/>
        <w:rPr>
          <w:bCs w:val="0"/>
          <w:color w:val="2E74B5"/>
          <w:sz w:val="22"/>
        </w:rPr>
      </w:pPr>
      <w:r w:rsidRPr="009D25D8">
        <w:rPr>
          <w:bCs w:val="0"/>
          <w:color w:val="2E74B5"/>
          <w:sz w:val="22"/>
        </w:rPr>
        <w:t>Leviathan</w:t>
      </w:r>
    </w:p>
    <w:p w14:paraId="0A05D0F0" w14:textId="77777777" w:rsidR="00FF7799" w:rsidRPr="00E73F6F" w:rsidRDefault="00FF7799" w:rsidP="00E67645">
      <w:pPr>
        <w:pStyle w:val="StandardText"/>
      </w:pPr>
      <w:r w:rsidRPr="00E73F6F">
        <w:t xml:space="preserve">mythologisches, unbezwingbares Ungeheuer, das </w:t>
      </w:r>
      <w:r w:rsidRPr="00E73F6F">
        <w:rPr>
          <w:i/>
        </w:rPr>
        <w:t xml:space="preserve">T. Hobbes </w:t>
      </w:r>
      <w:r w:rsidRPr="00E73F6F">
        <w:t>als Sinnbild für den machtversessenen, allgegenwärtigen Staat genutzt hat</w:t>
      </w:r>
    </w:p>
    <w:p w14:paraId="1C2D2A68" w14:textId="77777777" w:rsidR="00FF7799" w:rsidRPr="00E73F6F" w:rsidRDefault="00FF7799" w:rsidP="00862DBA">
      <w:pPr>
        <w:spacing w:before="10"/>
        <w:rPr>
          <w:sz w:val="24"/>
          <w:szCs w:val="24"/>
        </w:rPr>
      </w:pPr>
    </w:p>
    <w:p w14:paraId="0BC0997F" w14:textId="77777777" w:rsidR="00FF7799" w:rsidRPr="00E73F6F" w:rsidRDefault="00FF7799" w:rsidP="00414BDC">
      <w:pPr>
        <w:pStyle w:val="berschrift1"/>
      </w:pPr>
      <w:r w:rsidRPr="009D25D8">
        <w:rPr>
          <w:bCs w:val="0"/>
          <w:color w:val="2E74B5"/>
          <w:sz w:val="22"/>
        </w:rPr>
        <w:t>Lieferbedingungen, internationale</w:t>
      </w:r>
      <w:r w:rsidRPr="00E73F6F">
        <w:rPr>
          <w:spacing w:val="40"/>
        </w:rPr>
        <w:t xml:space="preserve"> </w:t>
      </w:r>
      <w:r w:rsidRPr="00E73F6F">
        <w:rPr>
          <w:b w:val="0"/>
        </w:rPr>
        <w:t>→</w:t>
      </w:r>
      <w:r w:rsidRPr="00E73F6F">
        <w:rPr>
          <w:b w:val="0"/>
          <w:spacing w:val="40"/>
        </w:rPr>
        <w:t xml:space="preserve"> </w:t>
      </w:r>
      <w:r w:rsidRPr="00E73F6F">
        <w:rPr>
          <w:b w:val="0"/>
        </w:rPr>
        <w:t>Preiskalkulation</w:t>
      </w:r>
      <w:r w:rsidRPr="00E73F6F">
        <w:rPr>
          <w:b w:val="0"/>
          <w:spacing w:val="40"/>
        </w:rPr>
        <w:t xml:space="preserve"> </w:t>
      </w:r>
      <w:r w:rsidRPr="00E73F6F">
        <w:rPr>
          <w:b w:val="0"/>
        </w:rPr>
        <w:t>international tätiger Unternehmen</w:t>
      </w:r>
    </w:p>
    <w:p w14:paraId="76CD5C13" w14:textId="77777777" w:rsidR="00FF7799" w:rsidRPr="009D25D8" w:rsidRDefault="00FF7799" w:rsidP="00414BDC">
      <w:pPr>
        <w:pStyle w:val="berschrift1"/>
        <w:rPr>
          <w:bCs w:val="0"/>
          <w:color w:val="2E74B5"/>
          <w:sz w:val="22"/>
        </w:rPr>
      </w:pPr>
      <w:r w:rsidRPr="009D25D8">
        <w:rPr>
          <w:bCs w:val="0"/>
          <w:color w:val="2E74B5"/>
          <w:sz w:val="22"/>
        </w:rPr>
        <w:lastRenderedPageBreak/>
        <w:t>Lizenzstrategie</w:t>
      </w:r>
    </w:p>
    <w:p w14:paraId="3F5234EC" w14:textId="77777777" w:rsidR="00FF7799" w:rsidRPr="00E73F6F" w:rsidRDefault="00FF7799" w:rsidP="00E67645">
      <w:pPr>
        <w:pStyle w:val="StandardText"/>
      </w:pPr>
      <w:r w:rsidRPr="00E73F6F">
        <w:t>Kauf bzw. Verkauf eines Nutzungsrechts. Gegen die Erstattung einer Lizenzgebühr erhält der Lizenznehmer das Recht, geistiges Eigentum des Lizenzgebers in bestimmten Märkten kommerziell zu nutzen. Abhängig von der Art des geistigen Eigentums kann es sich um eine Know-how-Lizenz, Markenlizenz, Patenlizenz, Produktionslizenz etc. handeln. Für Unternehmen, welche</w:t>
      </w:r>
      <w:r w:rsidRPr="00E73F6F">
        <w:rPr>
          <w:spacing w:val="-12"/>
        </w:rPr>
        <w:t xml:space="preserve"> </w:t>
      </w:r>
      <w:r w:rsidRPr="00E73F6F">
        <w:t>die</w:t>
      </w:r>
      <w:r w:rsidRPr="00E73F6F">
        <w:rPr>
          <w:spacing w:val="-11"/>
        </w:rPr>
        <w:t xml:space="preserve"> </w:t>
      </w:r>
      <w:r w:rsidRPr="00E73F6F">
        <w:t>zur</w:t>
      </w:r>
      <w:r w:rsidRPr="00E73F6F">
        <w:rPr>
          <w:spacing w:val="-11"/>
        </w:rPr>
        <w:t xml:space="preserve"> </w:t>
      </w:r>
      <w:r w:rsidRPr="00E73F6F">
        <w:t>Erschließung</w:t>
      </w:r>
      <w:r w:rsidRPr="00E73F6F">
        <w:rPr>
          <w:spacing w:val="-11"/>
        </w:rPr>
        <w:t xml:space="preserve"> </w:t>
      </w:r>
      <w:r w:rsidRPr="00E73F6F">
        <w:t>ausländischer</w:t>
      </w:r>
      <w:r w:rsidRPr="00E73F6F">
        <w:rPr>
          <w:spacing w:val="-12"/>
        </w:rPr>
        <w:t xml:space="preserve"> </w:t>
      </w:r>
      <w:r w:rsidRPr="00E73F6F">
        <w:t>Märkte</w:t>
      </w:r>
      <w:r w:rsidRPr="00E73F6F">
        <w:rPr>
          <w:spacing w:val="-11"/>
        </w:rPr>
        <w:t xml:space="preserve"> </w:t>
      </w:r>
      <w:r w:rsidRPr="00E73F6F">
        <w:t>erforderlichen</w:t>
      </w:r>
      <w:r w:rsidRPr="00E73F6F">
        <w:rPr>
          <w:spacing w:val="-11"/>
        </w:rPr>
        <w:t xml:space="preserve"> </w:t>
      </w:r>
      <w:r w:rsidRPr="00E73F6F">
        <w:t>Ressourcen</w:t>
      </w:r>
      <w:r w:rsidRPr="00E73F6F">
        <w:rPr>
          <w:spacing w:val="-11"/>
        </w:rPr>
        <w:t xml:space="preserve"> </w:t>
      </w:r>
      <w:r w:rsidRPr="00E73F6F">
        <w:t>nicht bereitstellen wollen bzw. können (z.B. kleinere Unternehmen), eröffnet die Lizenzstrategie eine Möglichkeit der schnellen und kostengünstigen Internationalisierung der Unternehmenstätigkeit. Amerikanische Industrieunternehmen</w:t>
      </w:r>
      <w:r w:rsidRPr="00E73F6F">
        <w:rPr>
          <w:spacing w:val="-12"/>
        </w:rPr>
        <w:t xml:space="preserve"> </w:t>
      </w:r>
      <w:r w:rsidRPr="00E73F6F">
        <w:t>ziehen</w:t>
      </w:r>
      <w:r w:rsidRPr="00E73F6F">
        <w:rPr>
          <w:spacing w:val="-11"/>
        </w:rPr>
        <w:t xml:space="preserve"> </w:t>
      </w:r>
      <w:r w:rsidRPr="00E73F6F">
        <w:t>die</w:t>
      </w:r>
      <w:r w:rsidRPr="00E73F6F">
        <w:rPr>
          <w:spacing w:val="-11"/>
        </w:rPr>
        <w:t xml:space="preserve"> </w:t>
      </w:r>
      <w:r w:rsidRPr="00E73F6F">
        <w:t>Lizenzvergabe</w:t>
      </w:r>
      <w:r w:rsidRPr="00E73F6F">
        <w:rPr>
          <w:spacing w:val="-11"/>
        </w:rPr>
        <w:t xml:space="preserve"> </w:t>
      </w:r>
      <w:r w:rsidRPr="00E73F6F">
        <w:t>dem</w:t>
      </w:r>
      <w:r w:rsidRPr="00E73F6F">
        <w:rPr>
          <w:spacing w:val="-12"/>
        </w:rPr>
        <w:t xml:space="preserve"> </w:t>
      </w:r>
      <w:r w:rsidRPr="00E73F6F">
        <w:t>Mehrheits-Joint</w:t>
      </w:r>
      <w:r w:rsidRPr="00E73F6F">
        <w:rPr>
          <w:spacing w:val="-11"/>
        </w:rPr>
        <w:t xml:space="preserve"> </w:t>
      </w:r>
      <w:r w:rsidRPr="00E73F6F">
        <w:t>Venture</w:t>
      </w:r>
      <w:r w:rsidRPr="00E73F6F">
        <w:rPr>
          <w:spacing w:val="-11"/>
        </w:rPr>
        <w:t xml:space="preserve"> </w:t>
      </w:r>
      <w:r w:rsidRPr="00E73F6F">
        <w:t>vor, wenn es gilt, Märkte zu erschließen, für deren</w:t>
      </w:r>
      <w:r w:rsidRPr="00E73F6F">
        <w:rPr>
          <w:spacing w:val="40"/>
        </w:rPr>
        <w:t xml:space="preserve"> </w:t>
      </w:r>
      <w:r w:rsidRPr="00E73F6F">
        <w:t>Landeskultur eine geringe Akzeptanz von Machtdistanz typisch ist</w:t>
      </w:r>
      <w:r w:rsidR="00AA49CE">
        <w:t xml:space="preserve"> (</w:t>
      </w:r>
      <w:r w:rsidR="00AA49CE">
        <w:sym w:font="Symbol" w:char="F0DE"/>
      </w:r>
      <w:r w:rsidR="00AA49CE">
        <w:t xml:space="preserve"> Joint Venture)</w:t>
      </w:r>
      <w:r w:rsidRPr="00E73F6F">
        <w:t>. Die kulturtheoretische Erklärung dieses Befundes</w:t>
      </w:r>
      <w:r w:rsidRPr="00E73F6F">
        <w:rPr>
          <w:spacing w:val="-7"/>
        </w:rPr>
        <w:t xml:space="preserve"> </w:t>
      </w:r>
      <w:r w:rsidRPr="00E73F6F">
        <w:t>lautet:</w:t>
      </w:r>
      <w:r w:rsidRPr="00E73F6F">
        <w:rPr>
          <w:spacing w:val="-9"/>
        </w:rPr>
        <w:t xml:space="preserve"> </w:t>
      </w:r>
      <w:r w:rsidRPr="00E73F6F">
        <w:t>Für</w:t>
      </w:r>
      <w:r w:rsidRPr="00E73F6F">
        <w:rPr>
          <w:spacing w:val="-9"/>
        </w:rPr>
        <w:t xml:space="preserve"> </w:t>
      </w:r>
      <w:r w:rsidRPr="00E73F6F">
        <w:t>die</w:t>
      </w:r>
      <w:r w:rsidRPr="00E73F6F">
        <w:rPr>
          <w:spacing w:val="-7"/>
        </w:rPr>
        <w:t xml:space="preserve"> </w:t>
      </w:r>
      <w:r w:rsidRPr="00E73F6F">
        <w:t>Strategie</w:t>
      </w:r>
      <w:r w:rsidRPr="00E73F6F">
        <w:rPr>
          <w:spacing w:val="-10"/>
        </w:rPr>
        <w:t xml:space="preserve"> </w:t>
      </w:r>
      <w:r w:rsidRPr="00E73F6F">
        <w:t>der</w:t>
      </w:r>
      <w:r w:rsidRPr="00E73F6F">
        <w:rPr>
          <w:spacing w:val="-7"/>
        </w:rPr>
        <w:t xml:space="preserve"> </w:t>
      </w:r>
      <w:r w:rsidRPr="00E73F6F">
        <w:t>Direktinvestition</w:t>
      </w:r>
      <w:r w:rsidRPr="00E73F6F">
        <w:rPr>
          <w:spacing w:val="-6"/>
        </w:rPr>
        <w:t xml:space="preserve"> </w:t>
      </w:r>
      <w:r w:rsidRPr="00E73F6F">
        <w:t>ist</w:t>
      </w:r>
      <w:r w:rsidRPr="00E73F6F">
        <w:rPr>
          <w:spacing w:val="-9"/>
        </w:rPr>
        <w:t xml:space="preserve"> </w:t>
      </w:r>
      <w:r w:rsidRPr="00E73F6F">
        <w:t>es</w:t>
      </w:r>
      <w:r w:rsidRPr="00E73F6F">
        <w:rPr>
          <w:spacing w:val="-7"/>
        </w:rPr>
        <w:t xml:space="preserve"> </w:t>
      </w:r>
      <w:r w:rsidRPr="00E73F6F">
        <w:t>charakteristisch,</w:t>
      </w:r>
      <w:r w:rsidRPr="00E73F6F">
        <w:rPr>
          <w:spacing w:val="-6"/>
        </w:rPr>
        <w:t xml:space="preserve"> </w:t>
      </w:r>
      <w:r w:rsidRPr="00E73F6F">
        <w:t>dass der (ausländische) Inhaber der Unternehmensmehrheit dem (inländischen) Minderheitsbeteiligten eindeutige Vorgaben machen kann (bzw. muss). Eine derartige</w:t>
      </w:r>
      <w:r w:rsidRPr="00E73F6F">
        <w:rPr>
          <w:spacing w:val="-6"/>
        </w:rPr>
        <w:t xml:space="preserve"> </w:t>
      </w:r>
      <w:r w:rsidRPr="00E73F6F">
        <w:t>Weisungsbefugnis</w:t>
      </w:r>
      <w:r w:rsidRPr="00E73F6F">
        <w:rPr>
          <w:spacing w:val="-5"/>
        </w:rPr>
        <w:t xml:space="preserve"> </w:t>
      </w:r>
      <w:r w:rsidRPr="00E73F6F">
        <w:t>findet</w:t>
      </w:r>
      <w:r w:rsidRPr="00E73F6F">
        <w:rPr>
          <w:spacing w:val="-5"/>
        </w:rPr>
        <w:t xml:space="preserve"> </w:t>
      </w:r>
      <w:r w:rsidRPr="00E73F6F">
        <w:t>aber</w:t>
      </w:r>
      <w:r w:rsidRPr="00E73F6F">
        <w:rPr>
          <w:spacing w:val="-5"/>
        </w:rPr>
        <w:t xml:space="preserve"> </w:t>
      </w:r>
      <w:r w:rsidRPr="00E73F6F">
        <w:t>in</w:t>
      </w:r>
      <w:r w:rsidRPr="00E73F6F">
        <w:rPr>
          <w:spacing w:val="-6"/>
        </w:rPr>
        <w:t xml:space="preserve"> </w:t>
      </w:r>
      <w:r w:rsidRPr="00E73F6F">
        <w:t>Ländern</w:t>
      </w:r>
      <w:r w:rsidRPr="00E73F6F">
        <w:rPr>
          <w:spacing w:val="-4"/>
        </w:rPr>
        <w:t xml:space="preserve"> </w:t>
      </w:r>
      <w:r w:rsidRPr="00E73F6F">
        <w:t>mit</w:t>
      </w:r>
      <w:r w:rsidRPr="00E73F6F">
        <w:rPr>
          <w:spacing w:val="-5"/>
        </w:rPr>
        <w:t xml:space="preserve"> </w:t>
      </w:r>
      <w:r w:rsidRPr="00E73F6F">
        <w:t>geringer</w:t>
      </w:r>
      <w:r w:rsidRPr="00E73F6F">
        <w:rPr>
          <w:spacing w:val="-8"/>
        </w:rPr>
        <w:t xml:space="preserve"> </w:t>
      </w:r>
      <w:r w:rsidRPr="00E73F6F">
        <w:t>Machtdistanz,</w:t>
      </w:r>
      <w:r w:rsidRPr="00E73F6F">
        <w:rPr>
          <w:spacing w:val="-7"/>
        </w:rPr>
        <w:t xml:space="preserve"> </w:t>
      </w:r>
      <w:r w:rsidRPr="00E73F6F">
        <w:t>die definitionsgemäß eine starke hierarchische Struktur ablehnen, wenig Akzeptanz.</w:t>
      </w:r>
    </w:p>
    <w:p w14:paraId="61E98676" w14:textId="77777777" w:rsidR="00043AE9" w:rsidRPr="007F69DA" w:rsidRDefault="00043AE9" w:rsidP="00043AE9">
      <w:pPr>
        <w:keepNext/>
        <w:keepLines/>
        <w:spacing w:before="240"/>
        <w:jc w:val="both"/>
        <w:outlineLvl w:val="1"/>
        <w:rPr>
          <w:b/>
          <w:color w:val="2E74B5"/>
        </w:rPr>
      </w:pPr>
      <w:r w:rsidRPr="007F69DA">
        <w:rPr>
          <w:b/>
          <w:color w:val="2E74B5"/>
        </w:rPr>
        <w:t xml:space="preserve">Lob </w:t>
      </w:r>
      <w:r w:rsidRPr="007F69DA">
        <w:rPr>
          <w:szCs w:val="24"/>
        </w:rPr>
        <w:sym w:font="Symbol" w:char="F0AE"/>
      </w:r>
      <w:r w:rsidRPr="007F69DA">
        <w:rPr>
          <w:szCs w:val="24"/>
        </w:rPr>
        <w:t xml:space="preserve"> Training, interkulturelles</w:t>
      </w:r>
    </w:p>
    <w:p w14:paraId="56D8494A" w14:textId="77777777" w:rsidR="00043AE9" w:rsidRPr="007F69DA" w:rsidRDefault="00043AE9" w:rsidP="009D25D8">
      <w:pPr>
        <w:pStyle w:val="Literatur"/>
        <w:numPr>
          <w:ilvl w:val="0"/>
          <w:numId w:val="0"/>
        </w:numPr>
        <w:spacing w:line="240" w:lineRule="auto"/>
        <w:rPr>
          <w:sz w:val="22"/>
          <w:szCs w:val="22"/>
        </w:rPr>
      </w:pPr>
    </w:p>
    <w:p w14:paraId="4FC50A7D" w14:textId="77777777" w:rsidR="00FF7799" w:rsidRPr="00AB3FAA" w:rsidRDefault="00FF7799" w:rsidP="00414BDC">
      <w:pPr>
        <w:pStyle w:val="berschrift1"/>
        <w:rPr>
          <w:bCs w:val="0"/>
          <w:color w:val="2E74B5"/>
          <w:sz w:val="22"/>
        </w:rPr>
      </w:pPr>
      <w:r w:rsidRPr="00AB3FAA">
        <w:rPr>
          <w:bCs w:val="0"/>
          <w:color w:val="2E74B5"/>
          <w:sz w:val="22"/>
        </w:rPr>
        <w:t>Lobbyismus</w:t>
      </w:r>
    </w:p>
    <w:p w14:paraId="5530458F" w14:textId="77777777" w:rsidR="00FF7799" w:rsidRPr="00E631DD" w:rsidRDefault="00FF7799" w:rsidP="00E67645">
      <w:pPr>
        <w:pStyle w:val="StandardText"/>
      </w:pPr>
      <w:r w:rsidRPr="00E631DD">
        <w:t>regelmäßiger und institutionalisierter Versuch von Unternehmen, Verbänden und ‘stake holder‘ aller Art, Abgeordnete zu beeinflussen (d.h. diese dafür gewinnen, für die jeweiligen Partialinteressen der hinter den Lobbyisten stehenden Unternehmen, Verbände etc. einzutreten). Das Institut Européen des Affaires Publiques</w:t>
      </w:r>
      <w:r w:rsidRPr="00E631DD">
        <w:rPr>
          <w:spacing w:val="-10"/>
        </w:rPr>
        <w:t xml:space="preserve"> </w:t>
      </w:r>
      <w:r w:rsidRPr="00E631DD">
        <w:t>et</w:t>
      </w:r>
      <w:r w:rsidRPr="00E631DD">
        <w:rPr>
          <w:spacing w:val="-9"/>
        </w:rPr>
        <w:t xml:space="preserve"> </w:t>
      </w:r>
      <w:r w:rsidRPr="00E631DD">
        <w:t>du</w:t>
      </w:r>
      <w:r w:rsidRPr="00E631DD">
        <w:rPr>
          <w:spacing w:val="-8"/>
        </w:rPr>
        <w:t xml:space="preserve"> </w:t>
      </w:r>
      <w:r w:rsidRPr="00E631DD">
        <w:t>Lobbying,</w:t>
      </w:r>
      <w:r w:rsidRPr="00E631DD">
        <w:rPr>
          <w:spacing w:val="-9"/>
        </w:rPr>
        <w:t xml:space="preserve"> </w:t>
      </w:r>
      <w:r w:rsidRPr="00E631DD">
        <w:t>eine</w:t>
      </w:r>
      <w:r w:rsidRPr="00E631DD">
        <w:rPr>
          <w:spacing w:val="-9"/>
        </w:rPr>
        <w:t xml:space="preserve"> </w:t>
      </w:r>
      <w:r w:rsidRPr="00E631DD">
        <w:t>seit</w:t>
      </w:r>
      <w:r w:rsidRPr="00E631DD">
        <w:rPr>
          <w:spacing w:val="-9"/>
        </w:rPr>
        <w:t xml:space="preserve"> </w:t>
      </w:r>
      <w:r w:rsidRPr="00E631DD">
        <w:t>1994</w:t>
      </w:r>
      <w:r w:rsidRPr="00E631DD">
        <w:rPr>
          <w:spacing w:val="-8"/>
        </w:rPr>
        <w:t xml:space="preserve"> </w:t>
      </w:r>
      <w:r w:rsidRPr="00E631DD">
        <w:t>in</w:t>
      </w:r>
      <w:r w:rsidRPr="00E631DD">
        <w:rPr>
          <w:spacing w:val="-8"/>
        </w:rPr>
        <w:t xml:space="preserve"> </w:t>
      </w:r>
      <w:r w:rsidRPr="00E631DD">
        <w:t>Brüssel</w:t>
      </w:r>
      <w:r w:rsidRPr="00E631DD">
        <w:rPr>
          <w:spacing w:val="-9"/>
        </w:rPr>
        <w:t xml:space="preserve"> </w:t>
      </w:r>
      <w:r w:rsidRPr="00E631DD">
        <w:t>ansässige</w:t>
      </w:r>
      <w:r w:rsidRPr="00E631DD">
        <w:rPr>
          <w:spacing w:val="-10"/>
        </w:rPr>
        <w:t xml:space="preserve"> </w:t>
      </w:r>
      <w:r w:rsidRPr="00E631DD">
        <w:t>Einrichtung,</w:t>
      </w:r>
      <w:r w:rsidRPr="00E631DD">
        <w:rPr>
          <w:spacing w:val="-7"/>
        </w:rPr>
        <w:t xml:space="preserve"> </w:t>
      </w:r>
      <w:r w:rsidRPr="00E631DD">
        <w:t>hat</w:t>
      </w:r>
      <w:r w:rsidRPr="00E631DD">
        <w:rPr>
          <w:spacing w:val="-9"/>
        </w:rPr>
        <w:t xml:space="preserve"> </w:t>
      </w:r>
      <w:r w:rsidRPr="00E631DD">
        <w:t>sich auf</w:t>
      </w:r>
      <w:r w:rsidRPr="00E631DD">
        <w:rPr>
          <w:spacing w:val="-11"/>
        </w:rPr>
        <w:t xml:space="preserve"> </w:t>
      </w:r>
      <w:r w:rsidRPr="00E631DD">
        <w:t>die</w:t>
      </w:r>
      <w:r w:rsidRPr="00E631DD">
        <w:rPr>
          <w:spacing w:val="-9"/>
        </w:rPr>
        <w:t xml:space="preserve"> </w:t>
      </w:r>
      <w:r w:rsidRPr="00E631DD">
        <w:t>Ausbildung</w:t>
      </w:r>
      <w:r w:rsidRPr="00E631DD">
        <w:rPr>
          <w:spacing w:val="-10"/>
        </w:rPr>
        <w:t xml:space="preserve"> </w:t>
      </w:r>
      <w:r w:rsidRPr="00E631DD">
        <w:t>von</w:t>
      </w:r>
      <w:r w:rsidRPr="00E631DD">
        <w:rPr>
          <w:spacing w:val="-5"/>
        </w:rPr>
        <w:t xml:space="preserve"> </w:t>
      </w:r>
      <w:r w:rsidRPr="00E631DD">
        <w:t>EU-Lobbyisten</w:t>
      </w:r>
      <w:r w:rsidRPr="00E631DD">
        <w:rPr>
          <w:spacing w:val="-9"/>
        </w:rPr>
        <w:t xml:space="preserve"> </w:t>
      </w:r>
      <w:r w:rsidRPr="00E631DD">
        <w:t>spezialisiert.</w:t>
      </w:r>
      <w:r w:rsidRPr="00E631DD">
        <w:rPr>
          <w:spacing w:val="-7"/>
        </w:rPr>
        <w:t xml:space="preserve"> </w:t>
      </w:r>
      <w:r w:rsidRPr="00E631DD">
        <w:t>Deren</w:t>
      </w:r>
      <w:r w:rsidRPr="00E631DD">
        <w:rPr>
          <w:spacing w:val="-8"/>
        </w:rPr>
        <w:t xml:space="preserve"> </w:t>
      </w:r>
      <w:r w:rsidRPr="00E631DD">
        <w:t>Zahl</w:t>
      </w:r>
      <w:r w:rsidRPr="00E631DD">
        <w:rPr>
          <w:spacing w:val="-8"/>
        </w:rPr>
        <w:t xml:space="preserve"> </w:t>
      </w:r>
      <w:r w:rsidRPr="00E631DD">
        <w:t>wird</w:t>
      </w:r>
      <w:r w:rsidRPr="00E631DD">
        <w:rPr>
          <w:spacing w:val="-8"/>
        </w:rPr>
        <w:t xml:space="preserve"> </w:t>
      </w:r>
      <w:r w:rsidRPr="00E631DD">
        <w:t>auf</w:t>
      </w:r>
      <w:r w:rsidRPr="00E631DD">
        <w:rPr>
          <w:spacing w:val="-8"/>
        </w:rPr>
        <w:t xml:space="preserve"> </w:t>
      </w:r>
      <w:r w:rsidRPr="00E631DD">
        <w:t>mehr</w:t>
      </w:r>
      <w:r w:rsidRPr="00E631DD">
        <w:rPr>
          <w:spacing w:val="-8"/>
        </w:rPr>
        <w:t xml:space="preserve"> </w:t>
      </w:r>
      <w:r w:rsidRPr="00E631DD">
        <w:rPr>
          <w:spacing w:val="-5"/>
        </w:rPr>
        <w:t>als</w:t>
      </w:r>
      <w:r w:rsidRPr="00E631DD">
        <w:t xml:space="preserve"> 15.000 geschätzt. Weiterhin sind in Brüssel (d.h. bei der Europäischen Kommission) mehr als 3.000 Interessenverbände tätig, nicht ohne Erfolg; denn 72% der EU-Ausgaben flossen zuletzt bevorzugten Interessengruppen zu.</w:t>
      </w:r>
    </w:p>
    <w:p w14:paraId="37E96B39" w14:textId="77777777" w:rsidR="00FF7799" w:rsidRPr="00E73F6F" w:rsidRDefault="00FF7799" w:rsidP="00E67645">
      <w:pPr>
        <w:pStyle w:val="StandardText"/>
      </w:pPr>
    </w:p>
    <w:p w14:paraId="10C32F3E" w14:textId="77777777" w:rsidR="00FF7799" w:rsidRPr="00AB3FAA" w:rsidRDefault="00FF7799" w:rsidP="00414BDC">
      <w:pPr>
        <w:pStyle w:val="berschrift1"/>
        <w:rPr>
          <w:bCs w:val="0"/>
          <w:color w:val="2E74B5"/>
          <w:sz w:val="22"/>
        </w:rPr>
      </w:pPr>
      <w:r w:rsidRPr="00AB3FAA">
        <w:rPr>
          <w:bCs w:val="0"/>
          <w:color w:val="2E74B5"/>
          <w:sz w:val="22"/>
        </w:rPr>
        <w:t>Made in …</w:t>
      </w:r>
    </w:p>
    <w:p w14:paraId="2AF82695" w14:textId="77777777" w:rsidR="00FF7799" w:rsidRPr="00E73F6F" w:rsidRDefault="00E631DD" w:rsidP="00E67645">
      <w:pPr>
        <w:pStyle w:val="StandardText"/>
      </w:pPr>
      <w:r>
        <w:t>basiert auf einem</w:t>
      </w:r>
      <w:r w:rsidR="00FF7799" w:rsidRPr="00E73F6F">
        <w:rPr>
          <w:spacing w:val="-11"/>
        </w:rPr>
        <w:t xml:space="preserve"> </w:t>
      </w:r>
      <w:r w:rsidR="00FF7799" w:rsidRPr="00E73F6F">
        <w:t>1887</w:t>
      </w:r>
      <w:r w:rsidR="00FF7799" w:rsidRPr="00E73F6F">
        <w:rPr>
          <w:spacing w:val="-11"/>
        </w:rPr>
        <w:t xml:space="preserve"> </w:t>
      </w:r>
      <w:r w:rsidR="00FF7799" w:rsidRPr="00E73F6F">
        <w:t>von</w:t>
      </w:r>
      <w:r w:rsidR="00FF7799" w:rsidRPr="00E73F6F">
        <w:rPr>
          <w:spacing w:val="-11"/>
        </w:rPr>
        <w:t xml:space="preserve"> </w:t>
      </w:r>
      <w:r w:rsidR="00FF7799" w:rsidRPr="00E73F6F">
        <w:t>Großbritannien</w:t>
      </w:r>
      <w:r w:rsidR="00FF7799" w:rsidRPr="00E73F6F">
        <w:rPr>
          <w:spacing w:val="-12"/>
        </w:rPr>
        <w:t xml:space="preserve"> </w:t>
      </w:r>
      <w:r w:rsidR="00FF7799" w:rsidRPr="00E73F6F">
        <w:t>mit</w:t>
      </w:r>
      <w:r w:rsidR="00FF7799" w:rsidRPr="00E73F6F">
        <w:rPr>
          <w:spacing w:val="-11"/>
        </w:rPr>
        <w:t xml:space="preserve"> </w:t>
      </w:r>
      <w:r w:rsidR="00FF7799" w:rsidRPr="00E73F6F">
        <w:t>eindeutig</w:t>
      </w:r>
      <w:r w:rsidR="00FF7799" w:rsidRPr="00E73F6F">
        <w:rPr>
          <w:spacing w:val="-11"/>
        </w:rPr>
        <w:t xml:space="preserve"> </w:t>
      </w:r>
      <w:r w:rsidR="00FF7799" w:rsidRPr="00E73F6F">
        <w:t>protektionistischer</w:t>
      </w:r>
      <w:r w:rsidR="00FF7799" w:rsidRPr="00E73F6F">
        <w:rPr>
          <w:spacing w:val="-11"/>
        </w:rPr>
        <w:t xml:space="preserve"> </w:t>
      </w:r>
      <w:r w:rsidR="00FF7799" w:rsidRPr="00E73F6F">
        <w:t>Absicht erlassenen</w:t>
      </w:r>
      <w:r w:rsidR="00FF7799" w:rsidRPr="00E73F6F">
        <w:rPr>
          <w:spacing w:val="6"/>
        </w:rPr>
        <w:t xml:space="preserve"> </w:t>
      </w:r>
      <w:r>
        <w:t xml:space="preserve">Gesetz. Seitdem </w:t>
      </w:r>
      <w:r w:rsidR="00FF7799" w:rsidRPr="00E73F6F">
        <w:t>wird</w:t>
      </w:r>
      <w:r w:rsidR="00FF7799" w:rsidRPr="00E73F6F">
        <w:rPr>
          <w:spacing w:val="7"/>
        </w:rPr>
        <w:t xml:space="preserve"> </w:t>
      </w:r>
      <w:r w:rsidR="00FF7799" w:rsidRPr="00E73F6F">
        <w:t>eine</w:t>
      </w:r>
      <w:r w:rsidR="00FF7799" w:rsidRPr="00E73F6F">
        <w:rPr>
          <w:spacing w:val="4"/>
        </w:rPr>
        <w:t xml:space="preserve"> </w:t>
      </w:r>
      <w:r w:rsidR="00FF7799" w:rsidRPr="00E73F6F">
        <w:t>Vielzahl</w:t>
      </w:r>
      <w:r w:rsidR="00FF7799" w:rsidRPr="00E73F6F">
        <w:rPr>
          <w:spacing w:val="6"/>
        </w:rPr>
        <w:t xml:space="preserve"> </w:t>
      </w:r>
      <w:r w:rsidR="00FF7799" w:rsidRPr="00E73F6F">
        <w:t>von</w:t>
      </w:r>
      <w:r w:rsidR="00FF7799" w:rsidRPr="00E73F6F">
        <w:rPr>
          <w:spacing w:val="7"/>
        </w:rPr>
        <w:t xml:space="preserve"> </w:t>
      </w:r>
      <w:r w:rsidR="00FF7799" w:rsidRPr="00E73F6F">
        <w:t>Produkten</w:t>
      </w:r>
      <w:r w:rsidR="00FF7799" w:rsidRPr="00E73F6F">
        <w:rPr>
          <w:spacing w:val="6"/>
        </w:rPr>
        <w:t xml:space="preserve"> </w:t>
      </w:r>
      <w:r w:rsidR="00FF7799" w:rsidRPr="00E73F6F">
        <w:t>mit</w:t>
      </w:r>
      <w:r w:rsidR="00FF7799" w:rsidRPr="00E73F6F">
        <w:rPr>
          <w:spacing w:val="4"/>
        </w:rPr>
        <w:t xml:space="preserve"> </w:t>
      </w:r>
      <w:r w:rsidR="00FF7799" w:rsidRPr="00E73F6F">
        <w:t>dem</w:t>
      </w:r>
      <w:r w:rsidR="00FF7799" w:rsidRPr="00E73F6F">
        <w:rPr>
          <w:spacing w:val="5"/>
        </w:rPr>
        <w:t xml:space="preserve"> </w:t>
      </w:r>
      <w:r w:rsidR="00FF7799" w:rsidRPr="00E73F6F">
        <w:t>Made</w:t>
      </w:r>
      <w:r w:rsidR="00FF7799" w:rsidRPr="00E73F6F">
        <w:rPr>
          <w:spacing w:val="5"/>
        </w:rPr>
        <w:t xml:space="preserve"> </w:t>
      </w:r>
      <w:r w:rsidR="00FF7799" w:rsidRPr="00E73F6F">
        <w:t>in-</w:t>
      </w:r>
      <w:r w:rsidR="00FF7799" w:rsidRPr="00E73F6F">
        <w:rPr>
          <w:spacing w:val="-2"/>
        </w:rPr>
        <w:t xml:space="preserve">Zeichen </w:t>
      </w:r>
      <w:r w:rsidR="00FF7799" w:rsidRPr="00E73F6F">
        <w:t>auf</w:t>
      </w:r>
      <w:r w:rsidR="00FF7799" w:rsidRPr="00E73F6F">
        <w:rPr>
          <w:spacing w:val="-11"/>
        </w:rPr>
        <w:t xml:space="preserve"> </w:t>
      </w:r>
      <w:r w:rsidR="00FF7799" w:rsidRPr="00E73F6F">
        <w:t>den</w:t>
      </w:r>
      <w:r w:rsidR="00FF7799" w:rsidRPr="00E73F6F">
        <w:rPr>
          <w:spacing w:val="-9"/>
        </w:rPr>
        <w:t xml:space="preserve"> </w:t>
      </w:r>
      <w:r w:rsidR="00FF7799" w:rsidRPr="00E73F6F">
        <w:t>Markt</w:t>
      </w:r>
      <w:r w:rsidR="00FF7799" w:rsidRPr="00E73F6F">
        <w:rPr>
          <w:spacing w:val="-10"/>
        </w:rPr>
        <w:t xml:space="preserve"> </w:t>
      </w:r>
      <w:r w:rsidR="00FF7799" w:rsidRPr="00E73F6F">
        <w:t>gebracht.</w:t>
      </w:r>
      <w:r w:rsidR="00FF7799" w:rsidRPr="00E73F6F">
        <w:rPr>
          <w:spacing w:val="-9"/>
        </w:rPr>
        <w:t xml:space="preserve"> </w:t>
      </w:r>
      <w:r w:rsidR="00FF7799" w:rsidRPr="00E73F6F">
        <w:t>Nachdem</w:t>
      </w:r>
      <w:r w:rsidR="00FF7799" w:rsidRPr="00E73F6F">
        <w:rPr>
          <w:spacing w:val="-12"/>
        </w:rPr>
        <w:t xml:space="preserve"> </w:t>
      </w:r>
      <w:r w:rsidR="00FF7799" w:rsidRPr="00E73F6F">
        <w:t>die</w:t>
      </w:r>
      <w:r w:rsidR="00FF7799" w:rsidRPr="00E73F6F">
        <w:rPr>
          <w:spacing w:val="-10"/>
        </w:rPr>
        <w:t xml:space="preserve"> </w:t>
      </w:r>
      <w:r w:rsidR="00FF7799" w:rsidRPr="00E73F6F">
        <w:t>damals</w:t>
      </w:r>
      <w:r w:rsidR="00FF7799" w:rsidRPr="00E73F6F">
        <w:rPr>
          <w:spacing w:val="-10"/>
        </w:rPr>
        <w:t xml:space="preserve"> </w:t>
      </w:r>
      <w:r w:rsidR="00FF7799" w:rsidRPr="00E73F6F">
        <w:t>dominierende</w:t>
      </w:r>
      <w:r w:rsidR="00FF7799" w:rsidRPr="00E73F6F">
        <w:rPr>
          <w:spacing w:val="-11"/>
        </w:rPr>
        <w:t xml:space="preserve"> </w:t>
      </w:r>
      <w:r w:rsidR="00FF7799" w:rsidRPr="00E73F6F">
        <w:t>Wirtschaftsmacht</w:t>
      </w:r>
      <w:r w:rsidR="00FF7799" w:rsidRPr="00E73F6F">
        <w:rPr>
          <w:spacing w:val="-10"/>
        </w:rPr>
        <w:t xml:space="preserve"> </w:t>
      </w:r>
      <w:r w:rsidR="00FF7799" w:rsidRPr="00E73F6F">
        <w:t>ihre ursprüngliche</w:t>
      </w:r>
      <w:r w:rsidR="00FF7799" w:rsidRPr="00E73F6F">
        <w:rPr>
          <w:spacing w:val="-8"/>
        </w:rPr>
        <w:t xml:space="preserve"> </w:t>
      </w:r>
      <w:r w:rsidR="00FF7799" w:rsidRPr="00E73F6F">
        <w:t>Intention,</w:t>
      </w:r>
      <w:r w:rsidR="00FF7799" w:rsidRPr="00E73F6F">
        <w:rPr>
          <w:spacing w:val="-9"/>
        </w:rPr>
        <w:t xml:space="preserve"> </w:t>
      </w:r>
      <w:r w:rsidR="00FF7799" w:rsidRPr="00E73F6F">
        <w:t>primär</w:t>
      </w:r>
      <w:r w:rsidR="00FF7799" w:rsidRPr="00E73F6F">
        <w:rPr>
          <w:spacing w:val="-10"/>
        </w:rPr>
        <w:t xml:space="preserve"> </w:t>
      </w:r>
      <w:r w:rsidR="00FF7799" w:rsidRPr="00E73F6F">
        <w:t>die</w:t>
      </w:r>
      <w:r w:rsidR="00FF7799" w:rsidRPr="00E73F6F">
        <w:rPr>
          <w:spacing w:val="-8"/>
        </w:rPr>
        <w:t xml:space="preserve"> </w:t>
      </w:r>
      <w:r w:rsidR="00FF7799" w:rsidRPr="00E73F6F">
        <w:t>heimische</w:t>
      </w:r>
      <w:r w:rsidR="00FF7799" w:rsidRPr="00E73F6F">
        <w:rPr>
          <w:spacing w:val="-8"/>
        </w:rPr>
        <w:t xml:space="preserve"> </w:t>
      </w:r>
      <w:r w:rsidR="00FF7799" w:rsidRPr="00E73F6F">
        <w:t>Wirtschaft,</w:t>
      </w:r>
      <w:r w:rsidR="00FF7799" w:rsidRPr="00E73F6F">
        <w:rPr>
          <w:spacing w:val="-7"/>
        </w:rPr>
        <w:t xml:space="preserve"> </w:t>
      </w:r>
      <w:r w:rsidR="00FF7799" w:rsidRPr="00E73F6F">
        <w:t>aber</w:t>
      </w:r>
      <w:r w:rsidR="00FF7799" w:rsidRPr="00E73F6F">
        <w:rPr>
          <w:spacing w:val="-8"/>
        </w:rPr>
        <w:t xml:space="preserve"> </w:t>
      </w:r>
      <w:r w:rsidR="00FF7799" w:rsidRPr="00E73F6F">
        <w:t>auch</w:t>
      </w:r>
      <w:r w:rsidR="00FF7799" w:rsidRPr="00E73F6F">
        <w:rPr>
          <w:spacing w:val="-9"/>
        </w:rPr>
        <w:t xml:space="preserve"> </w:t>
      </w:r>
      <w:r w:rsidR="00FF7799" w:rsidRPr="00E73F6F">
        <w:t>den</w:t>
      </w:r>
      <w:r w:rsidR="00FF7799" w:rsidRPr="00E73F6F">
        <w:rPr>
          <w:spacing w:val="-9"/>
        </w:rPr>
        <w:t xml:space="preserve"> </w:t>
      </w:r>
      <w:r w:rsidR="00FF7799" w:rsidRPr="00E73F6F">
        <w:t>britischen Verbraucher vor Billigangeboten</w:t>
      </w:r>
      <w:r w:rsidR="00FF7799" w:rsidRPr="00E73F6F">
        <w:rPr>
          <w:spacing w:val="-3"/>
        </w:rPr>
        <w:t xml:space="preserve"> </w:t>
      </w:r>
      <w:r w:rsidR="00FF7799" w:rsidRPr="00E73F6F">
        <w:t>minderer Qualität</w:t>
      </w:r>
      <w:r w:rsidR="00FF7799" w:rsidRPr="00E73F6F">
        <w:rPr>
          <w:spacing w:val="-2"/>
        </w:rPr>
        <w:t xml:space="preserve"> </w:t>
      </w:r>
      <w:r w:rsidR="00FF7799" w:rsidRPr="00E73F6F">
        <w:t>aus Deutschland zu</w:t>
      </w:r>
      <w:r w:rsidR="00FF7799" w:rsidRPr="00E73F6F">
        <w:rPr>
          <w:spacing w:val="-1"/>
        </w:rPr>
        <w:t xml:space="preserve"> </w:t>
      </w:r>
      <w:r w:rsidR="00FF7799" w:rsidRPr="00E73F6F">
        <w:t>schützen, verfehlt hatte, wurde das Dekret schon nach wenigen Jahren wieder aufgehoben. Dennoch wollte bald kein deutscher Hersteller auf das ursprünglich als Stigma gedachte Herkunftszeichen verzichten, hatte sich „Made in Germany“ doch im Laufe weniger Jahre zur Qualitätsgarantie entwickelt. Experimentell konnte nachgewiesen werden, dass die Kenntnis des Herkunftslandes die Bewertung der Produkteigenschaften nur dann überlagert und für einen Halo-Effekt sorgt, wenn sie als Vorinformation zur Verfügung steht. Sind Herkunftsland und Ausprägung maßgeblicher Produktmerkmale simultan</w:t>
      </w:r>
      <w:r w:rsidR="00FF7799" w:rsidRPr="00E73F6F">
        <w:rPr>
          <w:spacing w:val="-1"/>
        </w:rPr>
        <w:t xml:space="preserve"> </w:t>
      </w:r>
      <w:r w:rsidR="00FF7799" w:rsidRPr="00E73F6F">
        <w:t>bekannt,</w:t>
      </w:r>
      <w:r w:rsidR="00FF7799" w:rsidRPr="00E73F6F">
        <w:rPr>
          <w:spacing w:val="-1"/>
        </w:rPr>
        <w:t xml:space="preserve"> </w:t>
      </w:r>
      <w:r>
        <w:t xml:space="preserve">wird der </w:t>
      </w:r>
      <w:r>
        <w:sym w:font="Symbol" w:char="F0DE"/>
      </w:r>
      <w:r w:rsidR="00FF7799" w:rsidRPr="00E73F6F">
        <w:rPr>
          <w:spacing w:val="-1"/>
        </w:rPr>
        <w:t xml:space="preserve"> </w:t>
      </w:r>
      <w:r w:rsidR="00FF7799" w:rsidRPr="00E73F6F">
        <w:t>Country of</w:t>
      </w:r>
      <w:r w:rsidR="00FF7799" w:rsidRPr="00E73F6F">
        <w:rPr>
          <w:spacing w:val="-2"/>
        </w:rPr>
        <w:t xml:space="preserve"> </w:t>
      </w:r>
      <w:r w:rsidR="00FF7799" w:rsidRPr="00E73F6F">
        <w:t>Origin lediglich als</w:t>
      </w:r>
      <w:r w:rsidR="00FF7799" w:rsidRPr="00E73F6F">
        <w:rPr>
          <w:spacing w:val="-2"/>
        </w:rPr>
        <w:t xml:space="preserve"> </w:t>
      </w:r>
      <w:r w:rsidR="00FF7799" w:rsidRPr="00E73F6F">
        <w:t>eine</w:t>
      </w:r>
      <w:r w:rsidR="00FF7799" w:rsidRPr="00E73F6F">
        <w:rPr>
          <w:spacing w:val="-2"/>
        </w:rPr>
        <w:t xml:space="preserve"> </w:t>
      </w:r>
      <w:r w:rsidR="00FF7799" w:rsidRPr="00E73F6F">
        <w:t>weitere</w:t>
      </w:r>
      <w:r w:rsidR="00FF7799" w:rsidRPr="00E73F6F">
        <w:rPr>
          <w:spacing w:val="-2"/>
        </w:rPr>
        <w:t xml:space="preserve"> </w:t>
      </w:r>
      <w:r w:rsidR="00FF7799" w:rsidRPr="00E73F6F">
        <w:t>Produkteigenschaft</w:t>
      </w:r>
      <w:r w:rsidR="00FF7799" w:rsidRPr="00E73F6F">
        <w:rPr>
          <w:spacing w:val="-1"/>
        </w:rPr>
        <w:t xml:space="preserve"> </w:t>
      </w:r>
      <w:r w:rsidR="00FF7799" w:rsidRPr="00E73F6F">
        <w:t>wahrgenommen</w:t>
      </w:r>
      <w:r w:rsidR="00FF7799" w:rsidRPr="00E73F6F">
        <w:rPr>
          <w:spacing w:val="-1"/>
        </w:rPr>
        <w:t xml:space="preserve"> </w:t>
      </w:r>
      <w:r w:rsidR="00FF7799" w:rsidRPr="00E73F6F">
        <w:t>und</w:t>
      </w:r>
      <w:r w:rsidR="00FF7799" w:rsidRPr="00E73F6F">
        <w:rPr>
          <w:spacing w:val="-4"/>
        </w:rPr>
        <w:t xml:space="preserve"> </w:t>
      </w:r>
      <w:r w:rsidR="00FF7799" w:rsidRPr="00E73F6F">
        <w:t>beeinflusst</w:t>
      </w:r>
      <w:r w:rsidR="00FF7799" w:rsidRPr="00E73F6F">
        <w:rPr>
          <w:spacing w:val="-4"/>
        </w:rPr>
        <w:t xml:space="preserve"> </w:t>
      </w:r>
      <w:r w:rsidR="00FF7799" w:rsidRPr="00E73F6F">
        <w:t>den Produktbewertungsprozess wesentlich</w:t>
      </w:r>
      <w:r w:rsidR="00FF7799" w:rsidRPr="00E73F6F">
        <w:rPr>
          <w:spacing w:val="-9"/>
        </w:rPr>
        <w:t xml:space="preserve"> </w:t>
      </w:r>
      <w:r w:rsidR="00FF7799" w:rsidRPr="00E73F6F">
        <w:t>weniger.</w:t>
      </w:r>
      <w:r w:rsidR="00FF7799" w:rsidRPr="00E73F6F">
        <w:rPr>
          <w:spacing w:val="-9"/>
        </w:rPr>
        <w:t xml:space="preserve"> </w:t>
      </w:r>
      <w:r w:rsidR="00FF7799" w:rsidRPr="00E73F6F">
        <w:t>In</w:t>
      </w:r>
      <w:r w:rsidR="00FF7799" w:rsidRPr="00E73F6F">
        <w:rPr>
          <w:spacing w:val="-11"/>
        </w:rPr>
        <w:t xml:space="preserve"> </w:t>
      </w:r>
      <w:r w:rsidR="00FF7799" w:rsidRPr="00E73F6F">
        <w:t>Zeiten</w:t>
      </w:r>
      <w:r w:rsidR="00FF7799" w:rsidRPr="00E73F6F">
        <w:rPr>
          <w:spacing w:val="-9"/>
        </w:rPr>
        <w:t xml:space="preserve"> </w:t>
      </w:r>
      <w:r w:rsidR="00FF7799" w:rsidRPr="00E73F6F">
        <w:t>wirtschaftlicher</w:t>
      </w:r>
      <w:r w:rsidR="00FF7799" w:rsidRPr="00E73F6F">
        <w:rPr>
          <w:spacing w:val="-10"/>
        </w:rPr>
        <w:t xml:space="preserve"> </w:t>
      </w:r>
      <w:r w:rsidR="00FF7799" w:rsidRPr="00E73F6F">
        <w:t>Notlage und einer deshalb wachsenden Bereit</w:t>
      </w:r>
      <w:r>
        <w:t>schaft zum Konsumpatriotismus (</w:t>
      </w:r>
      <w:r>
        <w:sym w:font="Symbol" w:char="F0DE"/>
      </w:r>
      <w:r w:rsidR="00FF7799" w:rsidRPr="00E73F6F">
        <w:t xml:space="preserve"> Patriotismus) aber rückt der Signalcharakter des Herkunftszeichens wieder in den Vordergrund: „Kauft sächsische Produkte“, „erhaltet heimische Arbeitsplätze“, „buy british“.</w:t>
      </w:r>
    </w:p>
    <w:p w14:paraId="0CECD96E" w14:textId="77777777" w:rsidR="00FF7799" w:rsidRPr="00E73F6F" w:rsidRDefault="00FF7799" w:rsidP="00862DBA">
      <w:pPr>
        <w:spacing w:before="1"/>
        <w:rPr>
          <w:sz w:val="24"/>
          <w:szCs w:val="24"/>
        </w:rPr>
      </w:pPr>
    </w:p>
    <w:p w14:paraId="755E0662" w14:textId="77777777" w:rsidR="00FF7799" w:rsidRPr="00E73F6F" w:rsidRDefault="00FF7799" w:rsidP="00414BDC">
      <w:pPr>
        <w:pStyle w:val="berschrift1"/>
      </w:pPr>
      <w:r w:rsidRPr="00AB3FAA">
        <w:rPr>
          <w:bCs w:val="0"/>
          <w:color w:val="2E74B5"/>
          <w:sz w:val="22"/>
        </w:rPr>
        <w:t>Magie</w:t>
      </w:r>
      <w:r w:rsidRPr="00E73F6F">
        <w:t xml:space="preserve"> </w:t>
      </w:r>
      <w:r w:rsidRPr="00E73F6F">
        <w:rPr>
          <w:b w:val="0"/>
        </w:rPr>
        <w:t>→ Naturreligion</w:t>
      </w:r>
    </w:p>
    <w:p w14:paraId="3327CAFF" w14:textId="77777777" w:rsidR="00FF7799" w:rsidRPr="00AB3FAA" w:rsidRDefault="00FF7799" w:rsidP="00414BDC">
      <w:pPr>
        <w:pStyle w:val="berschrift1"/>
        <w:rPr>
          <w:bCs w:val="0"/>
          <w:color w:val="2E74B5"/>
          <w:sz w:val="22"/>
        </w:rPr>
      </w:pPr>
      <w:r w:rsidRPr="00AB3FAA">
        <w:rPr>
          <w:bCs w:val="0"/>
          <w:color w:val="2E74B5"/>
          <w:sz w:val="22"/>
        </w:rPr>
        <w:t>Mahn- und Inkassoverfahren</w:t>
      </w:r>
    </w:p>
    <w:p w14:paraId="18A379F9" w14:textId="77777777" w:rsidR="00FF7799" w:rsidRPr="00E631DD" w:rsidRDefault="00FF7799" w:rsidP="00E67645">
      <w:pPr>
        <w:pStyle w:val="StandardText"/>
      </w:pPr>
      <w:r w:rsidRPr="00E631DD">
        <w:t>gegen säumige Schuldner unterliegen in den einzelnen EU-Ländern zum Teil höchst unterschiedliche Bedingungen (vgl. Ey 2009). Eine gewisse Erleichterung verschafft jedoch die Europäische Mahnverordnung (EuMahnVo), die am 1.12.2008</w:t>
      </w:r>
      <w:r w:rsidRPr="00E631DD">
        <w:rPr>
          <w:spacing w:val="-10"/>
        </w:rPr>
        <w:t xml:space="preserve"> </w:t>
      </w:r>
      <w:r w:rsidRPr="00E631DD">
        <w:t>in</w:t>
      </w:r>
      <w:r w:rsidRPr="00E631DD">
        <w:rPr>
          <w:spacing w:val="-10"/>
        </w:rPr>
        <w:t xml:space="preserve"> </w:t>
      </w:r>
      <w:r w:rsidRPr="00E631DD">
        <w:t>allen</w:t>
      </w:r>
      <w:r w:rsidRPr="00E631DD">
        <w:rPr>
          <w:spacing w:val="-10"/>
        </w:rPr>
        <w:t xml:space="preserve"> </w:t>
      </w:r>
      <w:r w:rsidRPr="00E631DD">
        <w:t>Mitgliedsstaaten</w:t>
      </w:r>
      <w:r w:rsidRPr="00E631DD">
        <w:rPr>
          <w:spacing w:val="-10"/>
        </w:rPr>
        <w:t xml:space="preserve"> </w:t>
      </w:r>
      <w:r w:rsidRPr="00E631DD">
        <w:t>der</w:t>
      </w:r>
      <w:r w:rsidRPr="00E631DD">
        <w:rPr>
          <w:spacing w:val="-11"/>
        </w:rPr>
        <w:t xml:space="preserve"> </w:t>
      </w:r>
      <w:r w:rsidRPr="00E631DD">
        <w:t>Gemeinschaft</w:t>
      </w:r>
      <w:r w:rsidRPr="00E631DD">
        <w:rPr>
          <w:spacing w:val="-11"/>
        </w:rPr>
        <w:t xml:space="preserve"> </w:t>
      </w:r>
      <w:r w:rsidRPr="00E631DD">
        <w:t>(außer</w:t>
      </w:r>
      <w:r w:rsidRPr="00E631DD">
        <w:rPr>
          <w:spacing w:val="-11"/>
        </w:rPr>
        <w:t xml:space="preserve"> </w:t>
      </w:r>
      <w:r w:rsidRPr="00E631DD">
        <w:t>Dänemark)</w:t>
      </w:r>
      <w:r w:rsidRPr="00E631DD">
        <w:rPr>
          <w:spacing w:val="-11"/>
        </w:rPr>
        <w:t xml:space="preserve"> </w:t>
      </w:r>
      <w:r w:rsidRPr="00E631DD">
        <w:t>basierend auf dem Europäischen Mahnverfahren in Kraft getreten ist (vgl. Verordnung EG 1896/2006). Anders als beim zweistufigen deutschen Mahnverfahren kann nunmehr unmittelbar bei dem zuständigen Richter in dem jeweiligen Land ein Europäischer</w:t>
      </w:r>
      <w:r w:rsidRPr="00E631DD">
        <w:rPr>
          <w:spacing w:val="-7"/>
        </w:rPr>
        <w:t xml:space="preserve"> </w:t>
      </w:r>
      <w:r w:rsidRPr="00E631DD">
        <w:t>Zahlungsbefehl</w:t>
      </w:r>
      <w:r w:rsidRPr="00E631DD">
        <w:rPr>
          <w:spacing w:val="-4"/>
        </w:rPr>
        <w:t xml:space="preserve"> </w:t>
      </w:r>
      <w:r w:rsidRPr="00E631DD">
        <w:t>beantragt</w:t>
      </w:r>
      <w:r w:rsidRPr="00E631DD">
        <w:rPr>
          <w:spacing w:val="-6"/>
        </w:rPr>
        <w:t xml:space="preserve"> </w:t>
      </w:r>
      <w:r w:rsidRPr="00E631DD">
        <w:t>werden.</w:t>
      </w:r>
      <w:r w:rsidRPr="00E631DD">
        <w:rPr>
          <w:spacing w:val="-6"/>
        </w:rPr>
        <w:t xml:space="preserve"> </w:t>
      </w:r>
      <w:r w:rsidRPr="00E631DD">
        <w:t>Das</w:t>
      </w:r>
      <w:r w:rsidRPr="00E631DD">
        <w:rPr>
          <w:spacing w:val="-7"/>
        </w:rPr>
        <w:t xml:space="preserve"> </w:t>
      </w:r>
      <w:r w:rsidRPr="00E631DD">
        <w:t>dazu</w:t>
      </w:r>
      <w:r w:rsidRPr="00E631DD">
        <w:rPr>
          <w:spacing w:val="-5"/>
        </w:rPr>
        <w:t xml:space="preserve"> </w:t>
      </w:r>
      <w:r w:rsidRPr="00E631DD">
        <w:t>erforderliche</w:t>
      </w:r>
      <w:r w:rsidRPr="00E631DD">
        <w:rPr>
          <w:spacing w:val="-7"/>
        </w:rPr>
        <w:t xml:space="preserve"> </w:t>
      </w:r>
      <w:r w:rsidRPr="00E631DD">
        <w:t>Formblatt A ist in allen Amtssprachen erhältlichen.</w:t>
      </w:r>
    </w:p>
    <w:p w14:paraId="528AF70F" w14:textId="77777777" w:rsidR="00FF7799" w:rsidRPr="00E97990" w:rsidRDefault="00FF7799" w:rsidP="00E67645">
      <w:pPr>
        <w:pStyle w:val="StandardText"/>
        <w:rPr>
          <w:sz w:val="22"/>
          <w:szCs w:val="22"/>
        </w:rPr>
      </w:pPr>
      <w:r w:rsidRPr="00E97990">
        <w:rPr>
          <w:b/>
          <w:i/>
          <w:sz w:val="22"/>
          <w:szCs w:val="22"/>
        </w:rPr>
        <w:t>Literatur</w:t>
      </w:r>
      <w:r w:rsidRPr="00E97990">
        <w:rPr>
          <w:i/>
          <w:sz w:val="22"/>
          <w:szCs w:val="22"/>
        </w:rPr>
        <w:t>:</w:t>
      </w:r>
      <w:r w:rsidRPr="00E97990">
        <w:rPr>
          <w:spacing w:val="-6"/>
          <w:sz w:val="22"/>
          <w:szCs w:val="22"/>
        </w:rPr>
        <w:t xml:space="preserve"> </w:t>
      </w:r>
      <w:r w:rsidRPr="00E97990">
        <w:rPr>
          <w:sz w:val="22"/>
          <w:szCs w:val="22"/>
        </w:rPr>
        <w:t>Ey,</w:t>
      </w:r>
      <w:r w:rsidRPr="00E97990">
        <w:rPr>
          <w:spacing w:val="-8"/>
          <w:sz w:val="22"/>
          <w:szCs w:val="22"/>
        </w:rPr>
        <w:t xml:space="preserve"> </w:t>
      </w:r>
      <w:r w:rsidRPr="00E97990">
        <w:rPr>
          <w:sz w:val="22"/>
          <w:szCs w:val="22"/>
        </w:rPr>
        <w:t>A.</w:t>
      </w:r>
      <w:r w:rsidRPr="00E97990">
        <w:rPr>
          <w:spacing w:val="-8"/>
          <w:sz w:val="22"/>
          <w:szCs w:val="22"/>
        </w:rPr>
        <w:t xml:space="preserve"> </w:t>
      </w:r>
      <w:r w:rsidRPr="00E97990">
        <w:rPr>
          <w:sz w:val="22"/>
          <w:szCs w:val="22"/>
        </w:rPr>
        <w:t>(2009):</w:t>
      </w:r>
      <w:r w:rsidRPr="00E97990">
        <w:rPr>
          <w:spacing w:val="-7"/>
          <w:sz w:val="22"/>
          <w:szCs w:val="22"/>
        </w:rPr>
        <w:t xml:space="preserve"> </w:t>
      </w:r>
      <w:r w:rsidRPr="00E97990">
        <w:rPr>
          <w:sz w:val="22"/>
          <w:szCs w:val="22"/>
        </w:rPr>
        <w:t>Europa-Handbuch</w:t>
      </w:r>
      <w:r w:rsidRPr="00E97990">
        <w:rPr>
          <w:spacing w:val="-6"/>
          <w:sz w:val="22"/>
          <w:szCs w:val="22"/>
        </w:rPr>
        <w:t xml:space="preserve"> </w:t>
      </w:r>
      <w:r w:rsidRPr="00E97990">
        <w:rPr>
          <w:sz w:val="22"/>
          <w:szCs w:val="22"/>
        </w:rPr>
        <w:t>Inkasso,</w:t>
      </w:r>
      <w:r w:rsidRPr="00E97990">
        <w:rPr>
          <w:spacing w:val="-6"/>
          <w:sz w:val="22"/>
          <w:szCs w:val="22"/>
        </w:rPr>
        <w:t xml:space="preserve"> </w:t>
      </w:r>
      <w:r w:rsidRPr="00E97990">
        <w:rPr>
          <w:sz w:val="22"/>
          <w:szCs w:val="22"/>
        </w:rPr>
        <w:t>Berlin:</w:t>
      </w:r>
      <w:r w:rsidRPr="00E97990">
        <w:rPr>
          <w:spacing w:val="-7"/>
          <w:sz w:val="22"/>
          <w:szCs w:val="22"/>
        </w:rPr>
        <w:t xml:space="preserve"> </w:t>
      </w:r>
      <w:r w:rsidRPr="00E97990">
        <w:rPr>
          <w:spacing w:val="-2"/>
          <w:sz w:val="22"/>
          <w:szCs w:val="22"/>
        </w:rPr>
        <w:t>Welther.</w:t>
      </w:r>
    </w:p>
    <w:p w14:paraId="3834DDBB" w14:textId="77777777" w:rsidR="00FF7799" w:rsidRPr="00E73F6F" w:rsidRDefault="00FF7799" w:rsidP="00E67645">
      <w:pPr>
        <w:pStyle w:val="StandardText"/>
      </w:pPr>
    </w:p>
    <w:p w14:paraId="5F2B1C42" w14:textId="77777777" w:rsidR="00FF7799" w:rsidRPr="00AB3FAA" w:rsidRDefault="00FF7799" w:rsidP="00414BDC">
      <w:pPr>
        <w:pStyle w:val="berschrift1"/>
        <w:rPr>
          <w:bCs w:val="0"/>
          <w:color w:val="2E74B5"/>
          <w:sz w:val="22"/>
        </w:rPr>
      </w:pPr>
      <w:r w:rsidRPr="00AB3FAA">
        <w:rPr>
          <w:bCs w:val="0"/>
          <w:color w:val="2E74B5"/>
          <w:sz w:val="22"/>
        </w:rPr>
        <w:t>Mare Nostrum</w:t>
      </w:r>
    </w:p>
    <w:p w14:paraId="13E7FB34" w14:textId="77777777" w:rsidR="00FF7799" w:rsidRPr="00E73F6F" w:rsidRDefault="00FF7799" w:rsidP="00E67645">
      <w:pPr>
        <w:pStyle w:val="StandardText"/>
        <w:rPr>
          <w:i/>
        </w:rPr>
      </w:pPr>
      <w:r w:rsidRPr="00E73F6F">
        <w:t>seit</w:t>
      </w:r>
      <w:r w:rsidRPr="00E73F6F">
        <w:rPr>
          <w:spacing w:val="-12"/>
        </w:rPr>
        <w:t xml:space="preserve"> </w:t>
      </w:r>
      <w:r w:rsidRPr="00E73F6F">
        <w:rPr>
          <w:i/>
        </w:rPr>
        <w:t>Julius</w:t>
      </w:r>
      <w:r w:rsidRPr="00E73F6F">
        <w:rPr>
          <w:i/>
          <w:spacing w:val="-11"/>
        </w:rPr>
        <w:t xml:space="preserve"> </w:t>
      </w:r>
      <w:r w:rsidRPr="00E73F6F">
        <w:rPr>
          <w:i/>
        </w:rPr>
        <w:t>Caesar</w:t>
      </w:r>
      <w:r w:rsidRPr="00E73F6F">
        <w:rPr>
          <w:i/>
          <w:spacing w:val="-11"/>
        </w:rPr>
        <w:t xml:space="preserve"> </w:t>
      </w:r>
      <w:r w:rsidRPr="00E73F6F">
        <w:t>Bezeichnung</w:t>
      </w:r>
      <w:r w:rsidRPr="00E73F6F">
        <w:rPr>
          <w:spacing w:val="-11"/>
        </w:rPr>
        <w:t xml:space="preserve"> </w:t>
      </w:r>
      <w:r w:rsidRPr="00E73F6F">
        <w:t>für</w:t>
      </w:r>
      <w:r w:rsidRPr="00E73F6F">
        <w:rPr>
          <w:spacing w:val="-12"/>
        </w:rPr>
        <w:t xml:space="preserve"> </w:t>
      </w:r>
      <w:r w:rsidRPr="00E73F6F">
        <w:t>die</w:t>
      </w:r>
      <w:r w:rsidRPr="00E73F6F">
        <w:rPr>
          <w:spacing w:val="-11"/>
        </w:rPr>
        <w:t xml:space="preserve"> </w:t>
      </w:r>
      <w:r w:rsidRPr="00E73F6F">
        <w:t>von</w:t>
      </w:r>
      <w:r w:rsidRPr="00E73F6F">
        <w:rPr>
          <w:spacing w:val="-11"/>
        </w:rPr>
        <w:t xml:space="preserve"> </w:t>
      </w:r>
      <w:r w:rsidRPr="00E73F6F">
        <w:t>Rom</w:t>
      </w:r>
      <w:r w:rsidRPr="00E73F6F">
        <w:rPr>
          <w:spacing w:val="-11"/>
        </w:rPr>
        <w:t xml:space="preserve"> </w:t>
      </w:r>
      <w:r w:rsidRPr="00E73F6F">
        <w:t>militärisch</w:t>
      </w:r>
      <w:r w:rsidRPr="00E73F6F">
        <w:rPr>
          <w:spacing w:val="-12"/>
        </w:rPr>
        <w:t xml:space="preserve"> </w:t>
      </w:r>
      <w:r w:rsidRPr="00E73F6F">
        <w:t>geschaffene,</w:t>
      </w:r>
      <w:r w:rsidRPr="00E73F6F">
        <w:rPr>
          <w:spacing w:val="-11"/>
        </w:rPr>
        <w:t xml:space="preserve"> </w:t>
      </w:r>
      <w:r w:rsidRPr="00E73F6F">
        <w:t>äußerlich durch</w:t>
      </w:r>
      <w:r w:rsidRPr="00E73F6F">
        <w:rPr>
          <w:spacing w:val="-12"/>
        </w:rPr>
        <w:t xml:space="preserve"> </w:t>
      </w:r>
      <w:r w:rsidRPr="00E73F6F">
        <w:t>das</w:t>
      </w:r>
      <w:r w:rsidRPr="00E73F6F">
        <w:rPr>
          <w:spacing w:val="-10"/>
        </w:rPr>
        <w:t xml:space="preserve"> </w:t>
      </w:r>
      <w:r w:rsidRPr="00E73F6F">
        <w:t>Mittelmeer</w:t>
      </w:r>
      <w:r w:rsidRPr="00E73F6F">
        <w:rPr>
          <w:spacing w:val="-9"/>
        </w:rPr>
        <w:t xml:space="preserve"> </w:t>
      </w:r>
      <w:r w:rsidRPr="00E73F6F">
        <w:t>und</w:t>
      </w:r>
      <w:r w:rsidRPr="00E73F6F">
        <w:rPr>
          <w:spacing w:val="-7"/>
        </w:rPr>
        <w:t xml:space="preserve"> </w:t>
      </w:r>
      <w:r w:rsidRPr="00E73F6F">
        <w:t>innerlich</w:t>
      </w:r>
      <w:r w:rsidRPr="00E73F6F">
        <w:rPr>
          <w:spacing w:val="-8"/>
        </w:rPr>
        <w:t xml:space="preserve"> </w:t>
      </w:r>
      <w:r w:rsidRPr="00E73F6F">
        <w:t>durch</w:t>
      </w:r>
      <w:r w:rsidRPr="00E73F6F">
        <w:rPr>
          <w:spacing w:val="-10"/>
        </w:rPr>
        <w:t xml:space="preserve"> </w:t>
      </w:r>
      <w:r w:rsidRPr="00E73F6F">
        <w:t>die</w:t>
      </w:r>
      <w:r w:rsidRPr="00E73F6F">
        <w:rPr>
          <w:spacing w:val="-6"/>
        </w:rPr>
        <w:t xml:space="preserve"> </w:t>
      </w:r>
      <w:r w:rsidRPr="00E73F6F">
        <w:t>römische</w:t>
      </w:r>
      <w:r w:rsidRPr="00E73F6F">
        <w:rPr>
          <w:spacing w:val="-9"/>
        </w:rPr>
        <w:t xml:space="preserve"> </w:t>
      </w:r>
      <w:r w:rsidRPr="00E73F6F">
        <w:t>Kultur</w:t>
      </w:r>
      <w:r w:rsidRPr="00E73F6F">
        <w:rPr>
          <w:spacing w:val="-11"/>
        </w:rPr>
        <w:t xml:space="preserve"> </w:t>
      </w:r>
      <w:r w:rsidRPr="00E73F6F">
        <w:t>verbundene</w:t>
      </w:r>
      <w:r w:rsidRPr="00E73F6F">
        <w:rPr>
          <w:spacing w:val="-9"/>
        </w:rPr>
        <w:t xml:space="preserve"> </w:t>
      </w:r>
      <w:r w:rsidRPr="00E73F6F">
        <w:rPr>
          <w:spacing w:val="-2"/>
        </w:rPr>
        <w:t xml:space="preserve">Region. </w:t>
      </w:r>
      <w:r w:rsidRPr="00E73F6F">
        <w:rPr>
          <w:i/>
        </w:rPr>
        <w:t xml:space="preserve">Mussolini </w:t>
      </w:r>
      <w:r w:rsidRPr="00E73F6F">
        <w:t xml:space="preserve">benutzte diesen Begriff, um den Anspruch der italienischen Faschisten auf Vorherrschaft im Mittelmeerraum historisch zu verbrämen. Aufgrund der Zunahme ethnischer und nationalstaatlicher Konflikte nach dem scheinbaren Ende des Ost-/West-Konfliktes gilt der Mittelmeerraum jedoch mittlerweile </w:t>
      </w:r>
      <w:r w:rsidR="00E97990">
        <w:t xml:space="preserve">nicht mehr als ‘mare internum‘, sondern </w:t>
      </w:r>
      <w:r w:rsidRPr="00E73F6F">
        <w:t>als ‘mare divisum‘.</w:t>
      </w:r>
    </w:p>
    <w:p w14:paraId="459CAA98" w14:textId="77777777" w:rsidR="00FF7799" w:rsidRPr="00E73F6F" w:rsidRDefault="00E97990" w:rsidP="00E67645">
      <w:pPr>
        <w:pStyle w:val="StandardText"/>
      </w:pPr>
      <w:r w:rsidRPr="00E97990">
        <w:rPr>
          <w:noProof/>
        </w:rPr>
        <w:drawing>
          <wp:inline distT="0" distB="0" distL="0" distR="0" wp14:anchorId="6B742D38" wp14:editId="62F7A4F8">
            <wp:extent cx="5760720" cy="4169727"/>
            <wp:effectExtent l="0" t="0" r="0" b="2540"/>
            <wp:docPr id="81" name="Grafik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5760720" cy="4169727"/>
                    </a:xfrm>
                    <a:prstGeom prst="rect">
                      <a:avLst/>
                    </a:prstGeom>
                    <a:noFill/>
                    <a:ln>
                      <a:noFill/>
                    </a:ln>
                  </pic:spPr>
                </pic:pic>
              </a:graphicData>
            </a:graphic>
          </wp:inline>
        </w:drawing>
      </w:r>
    </w:p>
    <w:p w14:paraId="2649659B" w14:textId="77777777" w:rsidR="00FF7799" w:rsidRPr="00E97990" w:rsidRDefault="00FF7799" w:rsidP="00E67645">
      <w:pPr>
        <w:pStyle w:val="StandardText"/>
        <w:rPr>
          <w:sz w:val="22"/>
          <w:szCs w:val="22"/>
        </w:rPr>
      </w:pPr>
      <w:r w:rsidRPr="00E97990">
        <w:rPr>
          <w:b/>
          <w:i/>
          <w:sz w:val="22"/>
          <w:szCs w:val="22"/>
        </w:rPr>
        <w:lastRenderedPageBreak/>
        <w:t>Literatur</w:t>
      </w:r>
      <w:r w:rsidRPr="00E97990">
        <w:rPr>
          <w:i/>
          <w:sz w:val="22"/>
          <w:szCs w:val="22"/>
        </w:rPr>
        <w:t>:</w:t>
      </w:r>
      <w:r w:rsidRPr="00E97990">
        <w:rPr>
          <w:sz w:val="22"/>
          <w:szCs w:val="22"/>
        </w:rPr>
        <w:t xml:space="preserve"> Jacobs, A.; Masala, C. (1999): Vom Mare Nostrum zum Mare Securum, Politik</w:t>
      </w:r>
      <w:r w:rsidRPr="00E97990">
        <w:rPr>
          <w:spacing w:val="40"/>
          <w:sz w:val="22"/>
          <w:szCs w:val="22"/>
        </w:rPr>
        <w:t xml:space="preserve"> </w:t>
      </w:r>
      <w:r w:rsidRPr="00E97990">
        <w:rPr>
          <w:sz w:val="22"/>
          <w:szCs w:val="22"/>
        </w:rPr>
        <w:t>und Zeitgeschichte, 49(B17): 29-37.</w:t>
      </w:r>
    </w:p>
    <w:p w14:paraId="68CBC3B9" w14:textId="77777777" w:rsidR="00FF7799" w:rsidRPr="00E97990" w:rsidRDefault="00FF7799" w:rsidP="00E67645">
      <w:pPr>
        <w:pStyle w:val="StandardText"/>
        <w:rPr>
          <w:sz w:val="22"/>
          <w:szCs w:val="22"/>
        </w:rPr>
      </w:pPr>
    </w:p>
    <w:p w14:paraId="33DDA132" w14:textId="77777777" w:rsidR="00043AE9" w:rsidRPr="007F69DA" w:rsidRDefault="00043AE9" w:rsidP="00043AE9">
      <w:pPr>
        <w:keepNext/>
        <w:keepLines/>
        <w:spacing w:before="240"/>
        <w:jc w:val="both"/>
        <w:outlineLvl w:val="1"/>
        <w:rPr>
          <w:b/>
          <w:color w:val="2E74B5"/>
        </w:rPr>
      </w:pPr>
      <w:r w:rsidRPr="007F69DA">
        <w:rPr>
          <w:b/>
          <w:color w:val="2E74B5"/>
        </w:rPr>
        <w:t>Marke</w:t>
      </w:r>
    </w:p>
    <w:p w14:paraId="587DC21F" w14:textId="77777777" w:rsidR="00043AE9" w:rsidRDefault="00043AE9" w:rsidP="00043AE9">
      <w:pPr>
        <w:pStyle w:val="L"/>
        <w:spacing w:line="240" w:lineRule="auto"/>
        <w:rPr>
          <w:rFonts w:ascii="Times New Roman" w:hAnsi="Times New Roman" w:cs="Times New Roman"/>
          <w:color w:val="auto"/>
          <w:w w:val="100"/>
          <w:sz w:val="22"/>
          <w:szCs w:val="22"/>
          <w:lang w:eastAsia="en-US"/>
        </w:rPr>
      </w:pPr>
      <w:r w:rsidRPr="007F69DA">
        <w:rPr>
          <w:rFonts w:ascii="Times New Roman" w:hAnsi="Times New Roman" w:cs="Times New Roman"/>
          <w:color w:val="auto"/>
          <w:w w:val="100"/>
          <w:sz w:val="22"/>
          <w:szCs w:val="22"/>
          <w:lang w:eastAsia="en-US"/>
        </w:rPr>
        <w:t>laut § 3 MarkenG ein Zeichen, das geeignet ist, die Ware oder Dienstleistung eines Anbieters von den Waren oder Dienstleistungen anderer Unternehmen verlässlich zu unterscheiden</w:t>
      </w:r>
    </w:p>
    <w:p w14:paraId="6C2076EE" w14:textId="77777777" w:rsidR="00FF7799" w:rsidRPr="00AB3FAA" w:rsidRDefault="00FF7799" w:rsidP="00414BDC">
      <w:pPr>
        <w:pStyle w:val="berschrift1"/>
        <w:rPr>
          <w:bCs w:val="0"/>
          <w:color w:val="2E74B5"/>
          <w:sz w:val="22"/>
        </w:rPr>
      </w:pPr>
      <w:r w:rsidRPr="00AB3FAA">
        <w:rPr>
          <w:bCs w:val="0"/>
          <w:color w:val="2E74B5"/>
          <w:sz w:val="22"/>
        </w:rPr>
        <w:t xml:space="preserve">Marke, globale </w:t>
      </w:r>
    </w:p>
    <w:p w14:paraId="347F89CA" w14:textId="77777777" w:rsidR="00FF7799" w:rsidRPr="00E73F6F" w:rsidRDefault="00FF7799" w:rsidP="00E67645">
      <w:pPr>
        <w:pStyle w:val="StandardText"/>
      </w:pPr>
      <w:r w:rsidRPr="00E73F6F">
        <w:t>weltweit gleichartig positionierte Marke („Weltmarke“). Globale Marken tragen in jedem Land dens</w:t>
      </w:r>
      <w:r w:rsidR="00E97990">
        <w:t>elben Namen und dasselbe Logo (</w:t>
      </w:r>
      <w:r w:rsidR="00E97990">
        <w:sym w:font="Symbol" w:char="F0DE"/>
      </w:r>
      <w:r w:rsidRPr="00E73F6F">
        <w:t xml:space="preserve"> Markenname). Früher ging man davon aus, dass es sich dabei idealerweise um ein „weltweit einheitliches Produkt hinsichtlich Markierung, Qualität sowie Verpackung im Rahmen eines integrierten, einheitlichen Preis-, Werbe- und Distributionskonzeptes“ (Meffert/Bolz 1989, S.176) handelt. Im weiteren Verlauf der Entwicklung gaben jedoch zahlreiche Feh</w:t>
      </w:r>
      <w:r w:rsidR="00E97990">
        <w:t xml:space="preserve">lschläge einer unreflektierten </w:t>
      </w:r>
      <w:r w:rsidR="00E97990">
        <w:sym w:font="Symbol" w:char="F0DE"/>
      </w:r>
      <w:r w:rsidRPr="00E73F6F">
        <w:t xml:space="preserve"> Standardisierungsstrategie zu erkennen, dass zwar die Positionierung global standardisiert werden kann und muss, der Marketing-Mix aber den lokalen Gegebenheiten anzupassen ist (z.</w:t>
      </w:r>
      <w:r w:rsidR="00E97990">
        <w:t xml:space="preserve">B. Albaum et al., S.415). Der </w:t>
      </w:r>
      <w:r w:rsidRPr="00E73F6F">
        <w:t>Markenname ist besonders anfällig für derartige Standardisierungsfehler, wie W. Pepels (S.248) am Beispiel einiger Markennamen von Fiat zeigt. So bedeutet Uno auf Finnisch „Trottel“, und mit Regatta verbindet Schweden eine „streitsüchtige Frau“.</w:t>
      </w:r>
    </w:p>
    <w:p w14:paraId="1BD5D1A4" w14:textId="77777777" w:rsidR="00FF7799" w:rsidRPr="00E97990" w:rsidRDefault="00FF7799" w:rsidP="00E67645">
      <w:pPr>
        <w:pStyle w:val="StandardText"/>
      </w:pPr>
      <w:r w:rsidRPr="00E97990">
        <w:t>Globale Marken wie Coca-Cola, Marlboro, McDonalds, Nescafé, Pampers oder Sony genießen weltweit eine überragende Verkehrsgeltung und Wertschätzung. In den Ländern, in denen sie distribuiert werden, erzielen glob</w:t>
      </w:r>
      <w:r w:rsidR="00E97990">
        <w:t>ale Marken große Marktanteile (</w:t>
      </w:r>
      <w:r w:rsidR="00E97990">
        <w:sym w:font="Symbol" w:char="F0DE"/>
      </w:r>
      <w:r w:rsidRPr="00E97990">
        <w:t xml:space="preserve"> Economies of Scale) und überdurchschnittliche Kundentreue. Selbst in solchen Märkten, in denen sie nicht vertreten sind, ist ihr Goodwill groß. Im Gegensatz zu internationalen Marken gibt es nur wenige „echte“ globale Marken. Denn der für die Markenbildung und insb. für den</w:t>
      </w:r>
      <w:r w:rsidR="00E97990">
        <w:t xml:space="preserve"> Markenkern überaus bedeutsame </w:t>
      </w:r>
      <w:r w:rsidR="00E97990">
        <w:sym w:font="Symbol" w:char="F0DE"/>
      </w:r>
      <w:r w:rsidRPr="00E97990">
        <w:t xml:space="preserve"> Symbolgehalt kann</w:t>
      </w:r>
      <w:r w:rsidR="00E97990">
        <w:t xml:space="preserve"> häufig nicht global </w:t>
      </w:r>
      <w:r w:rsidRPr="00E97990">
        <w:t>standardisiert werden. Laut A.C. Nielsen gab es 2001 weltweit exakt 43 globale Marken, die von 23 Unternehmen geführt wurden. Voraussetzung dafür, diesem exklusiven Club zugerechnet zu werden, ist zunächst ein jährlicher Mindestumsatz von einer Mrd. $. Hinzu kommen andere Kriterien. Zusammengenommen erzielten die 43 Mega-Brands, von denen sieben europäischen Unternehmen gehörten (Beiersdorf, Danone, Diageo, Ferrero, Heineken, L’Oréal und Nestlé), 125 Mrd. $ Umsatz.</w:t>
      </w:r>
    </w:p>
    <w:p w14:paraId="74D85073" w14:textId="77777777" w:rsidR="00FF7799" w:rsidRPr="00E97990" w:rsidRDefault="00FF7799" w:rsidP="00E67645">
      <w:pPr>
        <w:pStyle w:val="StandardText"/>
      </w:pPr>
      <w:r w:rsidRPr="00E97990">
        <w:t xml:space="preserve">Eine globale Marke vermittelt dem Markenbesitzer eine universelle Identität. Die Mehrzahl der Käufer bzw. Verbraucher attestiert ihr Glaubwürdigkeit sowie Autorität und erfährt durch sie das Gefühl, einer globalen Gemeinschaft anzugehören. Es lassen sich vier Typen globaler Marken unterscheiden (vgl. Tab. 1). </w:t>
      </w:r>
    </w:p>
    <w:p w14:paraId="29933DBF" w14:textId="77777777" w:rsidR="00FF7799" w:rsidRPr="00E73F6F" w:rsidRDefault="00FF7799" w:rsidP="00E67645">
      <w:pPr>
        <w:pStyle w:val="StandardText"/>
      </w:pPr>
    </w:p>
    <w:p w14:paraId="10B48681" w14:textId="77777777" w:rsidR="00FF7799" w:rsidRPr="00ED4C94" w:rsidRDefault="00FF7799" w:rsidP="00E67645">
      <w:pPr>
        <w:pStyle w:val="BeschriftungTab"/>
        <w:rPr>
          <w:i/>
          <w:iCs/>
        </w:rPr>
      </w:pPr>
      <w:r w:rsidRPr="00ED4C94">
        <w:rPr>
          <w:i/>
          <w:iCs/>
        </w:rPr>
        <w:t>Tab. 1: Typologie globaler Marken</w:t>
      </w:r>
    </w:p>
    <w:tbl>
      <w:tblPr>
        <w:tblW w:w="5000" w:type="pct"/>
        <w:tblBorders>
          <w:top w:val="single" w:sz="4" w:space="0" w:color="auto"/>
          <w:bottom w:val="single" w:sz="4" w:space="0" w:color="auto"/>
          <w:insideH w:val="single" w:sz="4" w:space="0" w:color="auto"/>
        </w:tblBorders>
        <w:tblCellMar>
          <w:left w:w="70" w:type="dxa"/>
          <w:right w:w="70" w:type="dxa"/>
        </w:tblCellMar>
        <w:tblLook w:val="0000" w:firstRow="0" w:lastRow="0" w:firstColumn="0" w:lastColumn="0" w:noHBand="0" w:noVBand="0"/>
      </w:tblPr>
      <w:tblGrid>
        <w:gridCol w:w="1114"/>
        <w:gridCol w:w="6554"/>
        <w:gridCol w:w="1404"/>
      </w:tblGrid>
      <w:tr w:rsidR="00FF7799" w:rsidRPr="00E73F6F" w14:paraId="30DDAF65" w14:textId="77777777" w:rsidTr="00414BDC">
        <w:tc>
          <w:tcPr>
            <w:tcW w:w="614" w:type="pct"/>
            <w:shd w:val="clear" w:color="auto" w:fill="FFC000"/>
          </w:tcPr>
          <w:p w14:paraId="7898CC97" w14:textId="77777777" w:rsidR="00FF7799" w:rsidRPr="00E73F6F" w:rsidRDefault="00FF7799" w:rsidP="00E67645">
            <w:pPr>
              <w:pStyle w:val="StandardText"/>
              <w:spacing w:after="120"/>
              <w:jc w:val="center"/>
              <w:rPr>
                <w:b/>
              </w:rPr>
            </w:pPr>
            <w:r w:rsidRPr="00E73F6F">
              <w:rPr>
                <w:b/>
              </w:rPr>
              <w:t>Typ</w:t>
            </w:r>
          </w:p>
        </w:tc>
        <w:tc>
          <w:tcPr>
            <w:tcW w:w="3612" w:type="pct"/>
            <w:shd w:val="clear" w:color="auto" w:fill="FFC000"/>
          </w:tcPr>
          <w:p w14:paraId="18EDB2DF" w14:textId="77777777" w:rsidR="00FF7799" w:rsidRPr="00E73F6F" w:rsidRDefault="00FF7799" w:rsidP="00E67645">
            <w:pPr>
              <w:pStyle w:val="StandardText"/>
              <w:spacing w:after="120"/>
              <w:jc w:val="center"/>
              <w:rPr>
                <w:b/>
              </w:rPr>
            </w:pPr>
            <w:r w:rsidRPr="00E73F6F">
              <w:rPr>
                <w:b/>
              </w:rPr>
              <w:t>Typbildende Merkmale</w:t>
            </w:r>
          </w:p>
        </w:tc>
        <w:tc>
          <w:tcPr>
            <w:tcW w:w="774" w:type="pct"/>
            <w:shd w:val="clear" w:color="auto" w:fill="FFC000"/>
          </w:tcPr>
          <w:p w14:paraId="71F3CBC8" w14:textId="77777777" w:rsidR="00FF7799" w:rsidRPr="00E73F6F" w:rsidRDefault="00FF7799" w:rsidP="00E67645">
            <w:pPr>
              <w:pStyle w:val="StandardText"/>
              <w:spacing w:after="120"/>
              <w:jc w:val="center"/>
              <w:rPr>
                <w:b/>
              </w:rPr>
            </w:pPr>
            <w:r w:rsidRPr="00E73F6F">
              <w:rPr>
                <w:b/>
              </w:rPr>
              <w:t>Beispiele</w:t>
            </w:r>
          </w:p>
        </w:tc>
      </w:tr>
      <w:tr w:rsidR="00FF7799" w:rsidRPr="00E73F6F" w14:paraId="5D6A7D04" w14:textId="77777777" w:rsidTr="00E97990">
        <w:tc>
          <w:tcPr>
            <w:tcW w:w="614" w:type="pct"/>
            <w:shd w:val="clear" w:color="auto" w:fill="FFF2CC" w:themeFill="accent4" w:themeFillTint="33"/>
          </w:tcPr>
          <w:p w14:paraId="439E735C" w14:textId="77777777" w:rsidR="00FF7799" w:rsidRPr="00E73F6F" w:rsidRDefault="00FF7799" w:rsidP="00E67645">
            <w:pPr>
              <w:pStyle w:val="StandardText"/>
            </w:pPr>
            <w:r w:rsidRPr="00E73F6F">
              <w:t>Master Brand</w:t>
            </w:r>
          </w:p>
        </w:tc>
        <w:tc>
          <w:tcPr>
            <w:tcW w:w="3612" w:type="pct"/>
          </w:tcPr>
          <w:p w14:paraId="30BC56B5" w14:textId="77777777" w:rsidR="00FF7799" w:rsidRPr="00E97990" w:rsidRDefault="00FF7799" w:rsidP="00E67645">
            <w:pPr>
              <w:pStyle w:val="StandardText"/>
            </w:pPr>
            <w:r w:rsidRPr="00E97990">
              <w:t xml:space="preserve">Marke, die einen universellen Mythos repräsentiert. Wie Super Brands stehen Master Brands weltweit für eine ganze Produktkategorie (als generische Marke). Die Herkunft wird nicht explizit kommuniziert (d.h. das „Made in ...“ wird durch „Made by ...“ ersetzt). </w:t>
            </w:r>
          </w:p>
        </w:tc>
        <w:tc>
          <w:tcPr>
            <w:tcW w:w="774" w:type="pct"/>
          </w:tcPr>
          <w:p w14:paraId="44571FC4" w14:textId="77777777" w:rsidR="00FF7799" w:rsidRPr="00E73F6F" w:rsidRDefault="00FF7799" w:rsidP="00E67645">
            <w:pPr>
              <w:pStyle w:val="StandardText"/>
            </w:pPr>
            <w:r w:rsidRPr="00E73F6F">
              <w:rPr>
                <w:i/>
                <w:iCs/>
              </w:rPr>
              <w:t>Coca-Cola</w:t>
            </w:r>
            <w:r w:rsidRPr="00E73F6F">
              <w:t xml:space="preserve">, </w:t>
            </w:r>
            <w:r w:rsidRPr="00E73F6F">
              <w:rPr>
                <w:i/>
                <w:iCs/>
              </w:rPr>
              <w:t>Nike</w:t>
            </w:r>
            <w:r w:rsidRPr="00E73F6F">
              <w:t xml:space="preserve">, </w:t>
            </w:r>
            <w:r w:rsidRPr="00E73F6F">
              <w:rPr>
                <w:i/>
                <w:iCs/>
              </w:rPr>
              <w:t>Sony</w:t>
            </w:r>
          </w:p>
        </w:tc>
      </w:tr>
      <w:tr w:rsidR="00FF7799" w:rsidRPr="00E17A2B" w14:paraId="2136F07A" w14:textId="77777777" w:rsidTr="00E97990">
        <w:tc>
          <w:tcPr>
            <w:tcW w:w="614" w:type="pct"/>
            <w:shd w:val="clear" w:color="auto" w:fill="FFF2CC" w:themeFill="accent4" w:themeFillTint="33"/>
          </w:tcPr>
          <w:p w14:paraId="594AE1FC" w14:textId="77777777" w:rsidR="00FF7799" w:rsidRPr="00E73F6F" w:rsidRDefault="00FF7799" w:rsidP="00E67645">
            <w:pPr>
              <w:pStyle w:val="StandardText"/>
            </w:pPr>
            <w:r w:rsidRPr="00E73F6F">
              <w:lastRenderedPageBreak/>
              <w:t>Prestige Brand</w:t>
            </w:r>
          </w:p>
        </w:tc>
        <w:tc>
          <w:tcPr>
            <w:tcW w:w="3612" w:type="pct"/>
          </w:tcPr>
          <w:p w14:paraId="28CC7117" w14:textId="77777777" w:rsidR="00FF7799" w:rsidRPr="00E97990" w:rsidRDefault="00FF7799" w:rsidP="00E67645">
            <w:pPr>
              <w:pStyle w:val="StandardText"/>
            </w:pPr>
            <w:r w:rsidRPr="00E97990">
              <w:t xml:space="preserve">Marke mit Vorzeigewert, der auf ihrer Herkunft bzw. auf der Persönlichkeit des Unternehmensgründers beruht (z.B. </w:t>
            </w:r>
            <w:r w:rsidRPr="00E97990">
              <w:rPr>
                <w:iCs/>
              </w:rPr>
              <w:t>Karl Benz</w:t>
            </w:r>
            <w:r w:rsidRPr="00E97990">
              <w:t xml:space="preserve">, </w:t>
            </w:r>
            <w:r w:rsidRPr="00E97990">
              <w:rPr>
                <w:iCs/>
              </w:rPr>
              <w:t>Robert Bosch</w:t>
            </w:r>
            <w:r w:rsidRPr="00E97990">
              <w:t>). Die (positive) Assoziation zum Herkunftsland ist erwünscht.</w:t>
            </w:r>
          </w:p>
        </w:tc>
        <w:tc>
          <w:tcPr>
            <w:tcW w:w="774" w:type="pct"/>
          </w:tcPr>
          <w:p w14:paraId="461B5273" w14:textId="77777777" w:rsidR="00FF7799" w:rsidRPr="00E35FFF" w:rsidRDefault="00FF7799" w:rsidP="00E67645">
            <w:pPr>
              <w:pStyle w:val="StandardText"/>
              <w:rPr>
                <w:lang w:val="en-US"/>
              </w:rPr>
            </w:pPr>
            <w:r w:rsidRPr="00E35FFF">
              <w:rPr>
                <w:i/>
                <w:iCs/>
                <w:lang w:val="en-US"/>
              </w:rPr>
              <w:t>Chanel</w:t>
            </w:r>
            <w:r w:rsidRPr="00E35FFF">
              <w:rPr>
                <w:lang w:val="en-US"/>
              </w:rPr>
              <w:t xml:space="preserve">, </w:t>
            </w:r>
            <w:r w:rsidRPr="00E35FFF">
              <w:rPr>
                <w:i/>
                <w:iCs/>
                <w:lang w:val="en-US"/>
              </w:rPr>
              <w:t>BMW</w:t>
            </w:r>
            <w:r w:rsidRPr="00E35FFF">
              <w:rPr>
                <w:lang w:val="en-US"/>
              </w:rPr>
              <w:t xml:space="preserve">, </w:t>
            </w:r>
            <w:r w:rsidRPr="00E35FFF">
              <w:rPr>
                <w:i/>
                <w:iCs/>
                <w:lang w:val="en-US"/>
              </w:rPr>
              <w:t>Gucci</w:t>
            </w:r>
            <w:r w:rsidRPr="00E35FFF">
              <w:rPr>
                <w:lang w:val="en-US"/>
              </w:rPr>
              <w:t xml:space="preserve">, </w:t>
            </w:r>
            <w:r w:rsidRPr="00E35FFF">
              <w:rPr>
                <w:i/>
                <w:iCs/>
                <w:lang w:val="en-US"/>
              </w:rPr>
              <w:t>Mercedes-Benz</w:t>
            </w:r>
            <w:r w:rsidRPr="00E35FFF">
              <w:rPr>
                <w:lang w:val="en-US"/>
              </w:rPr>
              <w:t xml:space="preserve">, </w:t>
            </w:r>
            <w:r w:rsidRPr="00E35FFF">
              <w:rPr>
                <w:i/>
                <w:iCs/>
                <w:lang w:val="en-US"/>
              </w:rPr>
              <w:t>Rolex</w:t>
            </w:r>
          </w:p>
        </w:tc>
      </w:tr>
      <w:tr w:rsidR="00FF7799" w:rsidRPr="00E73F6F" w14:paraId="3836BAB7" w14:textId="77777777" w:rsidTr="00E97990">
        <w:tc>
          <w:tcPr>
            <w:tcW w:w="614" w:type="pct"/>
            <w:shd w:val="clear" w:color="auto" w:fill="FFF2CC" w:themeFill="accent4" w:themeFillTint="33"/>
          </w:tcPr>
          <w:p w14:paraId="53B444F9" w14:textId="77777777" w:rsidR="00FF7799" w:rsidRPr="00E73F6F" w:rsidRDefault="00FF7799" w:rsidP="00E67645">
            <w:pPr>
              <w:pStyle w:val="StandardText"/>
            </w:pPr>
            <w:r w:rsidRPr="00E73F6F">
              <w:t>Super Brand</w:t>
            </w:r>
          </w:p>
        </w:tc>
        <w:tc>
          <w:tcPr>
            <w:tcW w:w="3612" w:type="pct"/>
          </w:tcPr>
          <w:p w14:paraId="45C6D754" w14:textId="77777777" w:rsidR="00FF7799" w:rsidRPr="00E97990" w:rsidRDefault="00FF7799" w:rsidP="00E67645">
            <w:pPr>
              <w:pStyle w:val="StandardText"/>
            </w:pPr>
            <w:r w:rsidRPr="00E97990">
              <w:t>Marke, die global als Synonym für ihre Produktkategorie gilt. Super Brands beruhen aber im Gegensatz zu Master Brands nicht auf Mythen.</w:t>
            </w:r>
          </w:p>
        </w:tc>
        <w:tc>
          <w:tcPr>
            <w:tcW w:w="774" w:type="pct"/>
          </w:tcPr>
          <w:p w14:paraId="783F874E" w14:textId="77777777" w:rsidR="00FF7799" w:rsidRPr="00E73F6F" w:rsidRDefault="00FF7799" w:rsidP="00E67645">
            <w:pPr>
              <w:pStyle w:val="StandardText"/>
            </w:pPr>
            <w:r w:rsidRPr="00E73F6F">
              <w:rPr>
                <w:i/>
                <w:iCs/>
              </w:rPr>
              <w:t>American</w:t>
            </w:r>
            <w:r w:rsidRPr="00E73F6F">
              <w:t xml:space="preserve"> </w:t>
            </w:r>
            <w:r w:rsidRPr="00E73F6F">
              <w:rPr>
                <w:i/>
                <w:iCs/>
              </w:rPr>
              <w:t>Express</w:t>
            </w:r>
            <w:r w:rsidRPr="00E73F6F">
              <w:t xml:space="preserve">, </w:t>
            </w:r>
            <w:r w:rsidRPr="00E73F6F">
              <w:rPr>
                <w:i/>
                <w:iCs/>
              </w:rPr>
              <w:t>Gillette</w:t>
            </w:r>
          </w:p>
        </w:tc>
      </w:tr>
      <w:tr w:rsidR="00FF7799" w:rsidRPr="00E73F6F" w14:paraId="7F280BCA" w14:textId="77777777" w:rsidTr="00E97990">
        <w:tc>
          <w:tcPr>
            <w:tcW w:w="614" w:type="pct"/>
            <w:shd w:val="clear" w:color="auto" w:fill="FFF2CC" w:themeFill="accent4" w:themeFillTint="33"/>
          </w:tcPr>
          <w:p w14:paraId="26A5D03B" w14:textId="77777777" w:rsidR="00FF7799" w:rsidRPr="00E73F6F" w:rsidRDefault="00FF7799" w:rsidP="00E67645">
            <w:pPr>
              <w:pStyle w:val="StandardText"/>
            </w:pPr>
            <w:r w:rsidRPr="00E73F6F">
              <w:t>Glocal</w:t>
            </w:r>
          </w:p>
          <w:p w14:paraId="4232216E" w14:textId="77777777" w:rsidR="00FF7799" w:rsidRPr="00E73F6F" w:rsidRDefault="00FF7799" w:rsidP="00E67645">
            <w:pPr>
              <w:pStyle w:val="StandardText"/>
            </w:pPr>
            <w:r w:rsidRPr="00E73F6F">
              <w:t>Brand</w:t>
            </w:r>
          </w:p>
        </w:tc>
        <w:tc>
          <w:tcPr>
            <w:tcW w:w="3612" w:type="pct"/>
          </w:tcPr>
          <w:p w14:paraId="18394311" w14:textId="77777777" w:rsidR="00FF7799" w:rsidRPr="00E97990" w:rsidRDefault="00FF7799" w:rsidP="00E67645">
            <w:pPr>
              <w:pStyle w:val="StandardText"/>
            </w:pPr>
            <w:r w:rsidRPr="00E97990">
              <w:t>Marke, die global verkauft, aber lokal vermarktet wird. Im Regelfall handelt es sich um Produkte mit begrenztem Prestigewert (Waren des täglichen Bedarfs).</w:t>
            </w:r>
          </w:p>
        </w:tc>
        <w:tc>
          <w:tcPr>
            <w:tcW w:w="774" w:type="pct"/>
          </w:tcPr>
          <w:p w14:paraId="67CEAF4D" w14:textId="77777777" w:rsidR="00FF7799" w:rsidRPr="00E73F6F" w:rsidRDefault="00FF7799" w:rsidP="00E67645">
            <w:pPr>
              <w:pStyle w:val="StandardText"/>
              <w:rPr>
                <w:i/>
                <w:iCs/>
              </w:rPr>
            </w:pPr>
            <w:r w:rsidRPr="00E73F6F">
              <w:rPr>
                <w:i/>
                <w:iCs/>
              </w:rPr>
              <w:t>Danone, Dove, Nestlé</w:t>
            </w:r>
          </w:p>
        </w:tc>
      </w:tr>
    </w:tbl>
    <w:p w14:paraId="3E593706" w14:textId="77777777" w:rsidR="00FF7799" w:rsidRPr="00E73F6F" w:rsidRDefault="00FF7799" w:rsidP="00E67645">
      <w:pPr>
        <w:pStyle w:val="Quellen"/>
      </w:pPr>
      <w:r w:rsidRPr="00E73F6F">
        <w:t xml:space="preserve">Quelle: </w:t>
      </w:r>
      <w:r w:rsidRPr="00E73F6F">
        <w:tab/>
        <w:t>„RIO 2000“; auf Basis von Bittner (2003, S.23f.); http://www.research-int.com.</w:t>
      </w:r>
    </w:p>
    <w:p w14:paraId="7FA0B7B8" w14:textId="77777777" w:rsidR="00FF7799" w:rsidRPr="00E73F6F" w:rsidRDefault="00FF7799" w:rsidP="00862DBA">
      <w:pPr>
        <w:spacing w:line="200" w:lineRule="atLeast"/>
        <w:rPr>
          <w:sz w:val="24"/>
          <w:szCs w:val="24"/>
        </w:rPr>
      </w:pPr>
    </w:p>
    <w:p w14:paraId="53B5062D" w14:textId="77777777" w:rsidR="00FF7799" w:rsidRPr="00E97990" w:rsidRDefault="00FF7799" w:rsidP="00862DBA">
      <w:pPr>
        <w:spacing w:line="200" w:lineRule="atLeast"/>
        <w:rPr>
          <w:sz w:val="24"/>
          <w:szCs w:val="24"/>
        </w:rPr>
      </w:pPr>
      <w:r w:rsidRPr="00E97990">
        <w:rPr>
          <w:sz w:val="24"/>
          <w:szCs w:val="24"/>
        </w:rPr>
        <w:t>Interbrand ermittelt jährlich die 100 wertvollsten globalen Marken und fasst diese in dem Ranking The Best Global Brands zusammen. Angeführt wird diese Rangfolge regelmäßig von Coca-Cola (vgl. Tab. 2).</w:t>
      </w:r>
    </w:p>
    <w:p w14:paraId="62BAE1C2" w14:textId="77777777" w:rsidR="00FF7799" w:rsidRPr="00E97990" w:rsidRDefault="00FF7799" w:rsidP="00862DBA">
      <w:pPr>
        <w:spacing w:line="200" w:lineRule="atLeast"/>
        <w:rPr>
          <w:sz w:val="24"/>
          <w:szCs w:val="24"/>
        </w:rPr>
      </w:pPr>
    </w:p>
    <w:p w14:paraId="3673C185" w14:textId="77777777" w:rsidR="00FF7799" w:rsidRPr="00ED4C94" w:rsidRDefault="00FF7799" w:rsidP="00E67645">
      <w:pPr>
        <w:pStyle w:val="BeschriftungTab"/>
        <w:rPr>
          <w:i/>
          <w:iCs/>
          <w:lang w:val="en-US"/>
        </w:rPr>
      </w:pPr>
      <w:r w:rsidRPr="00ED4C94">
        <w:rPr>
          <w:i/>
          <w:iCs/>
          <w:lang w:val="en-US"/>
        </w:rPr>
        <w:t>Tab. 2: The Best Global Brands (2010)</w:t>
      </w:r>
    </w:p>
    <w:tbl>
      <w:tblPr>
        <w:tblW w:w="5000" w:type="pct"/>
        <w:tblBorders>
          <w:top w:val="single" w:sz="4" w:space="0" w:color="auto"/>
          <w:bottom w:val="single" w:sz="4" w:space="0" w:color="auto"/>
          <w:insideH w:val="single" w:sz="4" w:space="0" w:color="auto"/>
        </w:tblBorders>
        <w:tblLook w:val="01E0" w:firstRow="1" w:lastRow="1" w:firstColumn="1" w:lastColumn="1" w:noHBand="0" w:noVBand="0"/>
      </w:tblPr>
      <w:tblGrid>
        <w:gridCol w:w="1089"/>
        <w:gridCol w:w="2682"/>
        <w:gridCol w:w="2703"/>
        <w:gridCol w:w="2598"/>
      </w:tblGrid>
      <w:tr w:rsidR="00FF7799" w:rsidRPr="00E73F6F" w14:paraId="35DB9BC6" w14:textId="77777777" w:rsidTr="00A62152">
        <w:trPr>
          <w:tblHeader/>
        </w:trPr>
        <w:tc>
          <w:tcPr>
            <w:tcW w:w="600" w:type="pct"/>
            <w:shd w:val="clear" w:color="auto" w:fill="FFC000" w:themeFill="accent4"/>
          </w:tcPr>
          <w:p w14:paraId="11D3D054" w14:textId="77777777" w:rsidR="00FF7799" w:rsidRPr="00E73F6F" w:rsidRDefault="00FF7799" w:rsidP="00C06B38">
            <w:pPr>
              <w:pStyle w:val="StandardText"/>
              <w:jc w:val="center"/>
              <w:rPr>
                <w:b/>
              </w:rPr>
            </w:pPr>
            <w:r w:rsidRPr="00E73F6F">
              <w:rPr>
                <w:b/>
              </w:rPr>
              <w:t>Rang</w:t>
            </w:r>
          </w:p>
        </w:tc>
        <w:tc>
          <w:tcPr>
            <w:tcW w:w="1478" w:type="pct"/>
            <w:shd w:val="clear" w:color="auto" w:fill="FFC000" w:themeFill="accent4"/>
          </w:tcPr>
          <w:p w14:paraId="05EBE529" w14:textId="77777777" w:rsidR="00FF7799" w:rsidRPr="00E73F6F" w:rsidRDefault="00FF7799" w:rsidP="00C06B38">
            <w:pPr>
              <w:pStyle w:val="StandardText"/>
              <w:jc w:val="center"/>
              <w:rPr>
                <w:b/>
              </w:rPr>
            </w:pPr>
            <w:r w:rsidRPr="00E73F6F">
              <w:rPr>
                <w:b/>
              </w:rPr>
              <w:t>Marke</w:t>
            </w:r>
          </w:p>
        </w:tc>
        <w:tc>
          <w:tcPr>
            <w:tcW w:w="1490" w:type="pct"/>
            <w:shd w:val="clear" w:color="auto" w:fill="FFC000" w:themeFill="accent4"/>
          </w:tcPr>
          <w:p w14:paraId="45C303AD" w14:textId="77777777" w:rsidR="00FF7799" w:rsidRPr="00E73F6F" w:rsidRDefault="00FF7799" w:rsidP="00C06B38">
            <w:pPr>
              <w:pStyle w:val="StandardText"/>
              <w:jc w:val="center"/>
              <w:rPr>
                <w:b/>
              </w:rPr>
            </w:pPr>
            <w:r w:rsidRPr="00E73F6F">
              <w:rPr>
                <w:b/>
              </w:rPr>
              <w:t xml:space="preserve">Markenwert </w:t>
            </w:r>
            <w:r w:rsidRPr="00E73F6F">
              <w:rPr>
                <w:b/>
              </w:rPr>
              <w:br/>
            </w:r>
            <w:r w:rsidRPr="00E73F6F">
              <w:rPr>
                <w:b/>
                <w:i/>
              </w:rPr>
              <w:t>(in Mrd. $)</w:t>
            </w:r>
          </w:p>
        </w:tc>
        <w:tc>
          <w:tcPr>
            <w:tcW w:w="1432" w:type="pct"/>
            <w:shd w:val="clear" w:color="auto" w:fill="FFC000" w:themeFill="accent4"/>
          </w:tcPr>
          <w:p w14:paraId="6570DD03" w14:textId="77777777" w:rsidR="00FF7799" w:rsidRPr="00E73F6F" w:rsidRDefault="00FF7799" w:rsidP="00C06B38">
            <w:pPr>
              <w:pStyle w:val="StandardText"/>
              <w:jc w:val="center"/>
              <w:rPr>
                <w:b/>
              </w:rPr>
            </w:pPr>
            <w:r w:rsidRPr="00E73F6F">
              <w:rPr>
                <w:b/>
              </w:rPr>
              <w:t>Herkunftsland</w:t>
            </w:r>
          </w:p>
        </w:tc>
      </w:tr>
      <w:tr w:rsidR="00FF7799" w:rsidRPr="00E73F6F" w14:paraId="60ACED0B" w14:textId="77777777" w:rsidTr="00E67645">
        <w:tc>
          <w:tcPr>
            <w:tcW w:w="600" w:type="pct"/>
          </w:tcPr>
          <w:p w14:paraId="44F3D30C" w14:textId="77777777" w:rsidR="00FF7799" w:rsidRPr="00E73F6F" w:rsidRDefault="00FF7799" w:rsidP="00E67645">
            <w:pPr>
              <w:pStyle w:val="StandardText"/>
            </w:pPr>
            <w:r w:rsidRPr="00E73F6F">
              <w:t>1</w:t>
            </w:r>
          </w:p>
        </w:tc>
        <w:tc>
          <w:tcPr>
            <w:tcW w:w="1478" w:type="pct"/>
          </w:tcPr>
          <w:p w14:paraId="58F43E36" w14:textId="77777777" w:rsidR="00FF7799" w:rsidRPr="00E73F6F" w:rsidRDefault="00FF7799" w:rsidP="00E67645">
            <w:pPr>
              <w:pStyle w:val="StandardText"/>
              <w:rPr>
                <w:i/>
              </w:rPr>
            </w:pPr>
            <w:r w:rsidRPr="00E73F6F">
              <w:rPr>
                <w:i/>
              </w:rPr>
              <w:t>Coca-Cola</w:t>
            </w:r>
          </w:p>
        </w:tc>
        <w:tc>
          <w:tcPr>
            <w:tcW w:w="1490" w:type="pct"/>
          </w:tcPr>
          <w:p w14:paraId="2D038911" w14:textId="77777777" w:rsidR="00FF7799" w:rsidRPr="00E73F6F" w:rsidRDefault="00FF7799" w:rsidP="00E67645">
            <w:pPr>
              <w:pStyle w:val="StandardText"/>
            </w:pPr>
            <w:r w:rsidRPr="00E73F6F">
              <w:t>70,5</w:t>
            </w:r>
          </w:p>
        </w:tc>
        <w:tc>
          <w:tcPr>
            <w:tcW w:w="1432" w:type="pct"/>
          </w:tcPr>
          <w:p w14:paraId="7BAE16C8" w14:textId="77777777" w:rsidR="00FF7799" w:rsidRPr="00E73F6F" w:rsidRDefault="00FF7799" w:rsidP="00E67645">
            <w:pPr>
              <w:pStyle w:val="StandardText"/>
            </w:pPr>
            <w:r w:rsidRPr="00E73F6F">
              <w:t>USA</w:t>
            </w:r>
          </w:p>
        </w:tc>
      </w:tr>
      <w:tr w:rsidR="00FF7799" w:rsidRPr="00E73F6F" w14:paraId="7BFCB1E0" w14:textId="77777777" w:rsidTr="00E67645">
        <w:tc>
          <w:tcPr>
            <w:tcW w:w="600" w:type="pct"/>
          </w:tcPr>
          <w:p w14:paraId="650E9889" w14:textId="77777777" w:rsidR="00FF7799" w:rsidRPr="00E73F6F" w:rsidRDefault="00FF7799" w:rsidP="00E67645">
            <w:pPr>
              <w:pStyle w:val="StandardText"/>
            </w:pPr>
            <w:r w:rsidRPr="00E73F6F">
              <w:t>2</w:t>
            </w:r>
          </w:p>
        </w:tc>
        <w:tc>
          <w:tcPr>
            <w:tcW w:w="1478" w:type="pct"/>
          </w:tcPr>
          <w:p w14:paraId="7BFE9BEE" w14:textId="77777777" w:rsidR="00FF7799" w:rsidRPr="00E73F6F" w:rsidRDefault="00FF7799" w:rsidP="00E67645">
            <w:pPr>
              <w:pStyle w:val="StandardText"/>
              <w:rPr>
                <w:i/>
              </w:rPr>
            </w:pPr>
            <w:r w:rsidRPr="00E73F6F">
              <w:rPr>
                <w:i/>
              </w:rPr>
              <w:t xml:space="preserve">IBM </w:t>
            </w:r>
          </w:p>
        </w:tc>
        <w:tc>
          <w:tcPr>
            <w:tcW w:w="1490" w:type="pct"/>
          </w:tcPr>
          <w:p w14:paraId="71B0E355" w14:textId="77777777" w:rsidR="00FF7799" w:rsidRPr="00E73F6F" w:rsidRDefault="00FF7799" w:rsidP="00E67645">
            <w:pPr>
              <w:pStyle w:val="StandardText"/>
            </w:pPr>
            <w:r w:rsidRPr="00E73F6F">
              <w:t>64,7</w:t>
            </w:r>
          </w:p>
        </w:tc>
        <w:tc>
          <w:tcPr>
            <w:tcW w:w="1432" w:type="pct"/>
          </w:tcPr>
          <w:p w14:paraId="2A0E270C" w14:textId="77777777" w:rsidR="00FF7799" w:rsidRPr="00E73F6F" w:rsidRDefault="00FF7799" w:rsidP="00E67645">
            <w:pPr>
              <w:pStyle w:val="StandardText"/>
            </w:pPr>
            <w:r w:rsidRPr="00E73F6F">
              <w:t>USA</w:t>
            </w:r>
          </w:p>
        </w:tc>
      </w:tr>
      <w:tr w:rsidR="00FF7799" w:rsidRPr="00E73F6F" w14:paraId="3CBBD654" w14:textId="77777777" w:rsidTr="00E67645">
        <w:tc>
          <w:tcPr>
            <w:tcW w:w="600" w:type="pct"/>
          </w:tcPr>
          <w:p w14:paraId="2840D942" w14:textId="77777777" w:rsidR="00FF7799" w:rsidRPr="00E73F6F" w:rsidRDefault="00FF7799" w:rsidP="00E67645">
            <w:pPr>
              <w:pStyle w:val="StandardText"/>
            </w:pPr>
            <w:r w:rsidRPr="00E73F6F">
              <w:t>3</w:t>
            </w:r>
          </w:p>
        </w:tc>
        <w:tc>
          <w:tcPr>
            <w:tcW w:w="1478" w:type="pct"/>
          </w:tcPr>
          <w:p w14:paraId="5ADB8E9E" w14:textId="77777777" w:rsidR="00FF7799" w:rsidRPr="00E73F6F" w:rsidRDefault="00FF7799" w:rsidP="00E67645">
            <w:pPr>
              <w:pStyle w:val="StandardText"/>
              <w:rPr>
                <w:i/>
              </w:rPr>
            </w:pPr>
            <w:r w:rsidRPr="00E73F6F">
              <w:rPr>
                <w:i/>
              </w:rPr>
              <w:t>Microsoft</w:t>
            </w:r>
          </w:p>
        </w:tc>
        <w:tc>
          <w:tcPr>
            <w:tcW w:w="1490" w:type="pct"/>
          </w:tcPr>
          <w:p w14:paraId="33FB34D7" w14:textId="77777777" w:rsidR="00FF7799" w:rsidRPr="00E73F6F" w:rsidRDefault="00FF7799" w:rsidP="00E67645">
            <w:pPr>
              <w:pStyle w:val="StandardText"/>
            </w:pPr>
            <w:r w:rsidRPr="00E73F6F">
              <w:t>60,9</w:t>
            </w:r>
          </w:p>
        </w:tc>
        <w:tc>
          <w:tcPr>
            <w:tcW w:w="1432" w:type="pct"/>
          </w:tcPr>
          <w:p w14:paraId="4726F618" w14:textId="77777777" w:rsidR="00FF7799" w:rsidRPr="00E73F6F" w:rsidRDefault="00FF7799" w:rsidP="00E67645">
            <w:pPr>
              <w:pStyle w:val="StandardText"/>
            </w:pPr>
            <w:r w:rsidRPr="00E73F6F">
              <w:t>USA</w:t>
            </w:r>
          </w:p>
        </w:tc>
      </w:tr>
      <w:tr w:rsidR="00FF7799" w:rsidRPr="00E73F6F" w14:paraId="5B592D30" w14:textId="77777777" w:rsidTr="00E67645">
        <w:tc>
          <w:tcPr>
            <w:tcW w:w="600" w:type="pct"/>
          </w:tcPr>
          <w:p w14:paraId="0D1A25AB" w14:textId="77777777" w:rsidR="00FF7799" w:rsidRPr="00E73F6F" w:rsidRDefault="00FF7799" w:rsidP="00E67645">
            <w:pPr>
              <w:pStyle w:val="StandardText"/>
            </w:pPr>
            <w:r w:rsidRPr="00E73F6F">
              <w:t>4</w:t>
            </w:r>
          </w:p>
        </w:tc>
        <w:tc>
          <w:tcPr>
            <w:tcW w:w="1478" w:type="pct"/>
          </w:tcPr>
          <w:p w14:paraId="3F23B9BC" w14:textId="77777777" w:rsidR="00FF7799" w:rsidRPr="00E73F6F" w:rsidRDefault="00FF7799" w:rsidP="00E67645">
            <w:pPr>
              <w:pStyle w:val="StandardText"/>
              <w:rPr>
                <w:i/>
              </w:rPr>
            </w:pPr>
            <w:r w:rsidRPr="00E73F6F">
              <w:rPr>
                <w:i/>
              </w:rPr>
              <w:t>Google</w:t>
            </w:r>
          </w:p>
        </w:tc>
        <w:tc>
          <w:tcPr>
            <w:tcW w:w="1490" w:type="pct"/>
          </w:tcPr>
          <w:p w14:paraId="58992601" w14:textId="77777777" w:rsidR="00FF7799" w:rsidRPr="00E73F6F" w:rsidRDefault="00FF7799" w:rsidP="00E67645">
            <w:pPr>
              <w:pStyle w:val="StandardText"/>
            </w:pPr>
            <w:r w:rsidRPr="00E73F6F">
              <w:t>43,6</w:t>
            </w:r>
          </w:p>
        </w:tc>
        <w:tc>
          <w:tcPr>
            <w:tcW w:w="1432" w:type="pct"/>
          </w:tcPr>
          <w:p w14:paraId="0653E3DC" w14:textId="77777777" w:rsidR="00FF7799" w:rsidRPr="00E73F6F" w:rsidRDefault="00FF7799" w:rsidP="00E67645">
            <w:pPr>
              <w:pStyle w:val="StandardText"/>
            </w:pPr>
            <w:r w:rsidRPr="00E73F6F">
              <w:t>USA</w:t>
            </w:r>
          </w:p>
        </w:tc>
      </w:tr>
      <w:tr w:rsidR="00FF7799" w:rsidRPr="00E73F6F" w14:paraId="64FD57F6" w14:textId="77777777" w:rsidTr="00E67645">
        <w:tc>
          <w:tcPr>
            <w:tcW w:w="600" w:type="pct"/>
          </w:tcPr>
          <w:p w14:paraId="0727621B" w14:textId="77777777" w:rsidR="00FF7799" w:rsidRPr="00E73F6F" w:rsidRDefault="00FF7799" w:rsidP="00E67645">
            <w:pPr>
              <w:pStyle w:val="StandardText"/>
            </w:pPr>
            <w:r w:rsidRPr="00E73F6F">
              <w:t>5</w:t>
            </w:r>
          </w:p>
        </w:tc>
        <w:tc>
          <w:tcPr>
            <w:tcW w:w="1478" w:type="pct"/>
          </w:tcPr>
          <w:p w14:paraId="0CEB6D38" w14:textId="77777777" w:rsidR="00FF7799" w:rsidRPr="00E73F6F" w:rsidRDefault="00FF7799" w:rsidP="00E67645">
            <w:pPr>
              <w:pStyle w:val="StandardText"/>
              <w:rPr>
                <w:i/>
              </w:rPr>
            </w:pPr>
            <w:r w:rsidRPr="00E73F6F">
              <w:rPr>
                <w:i/>
              </w:rPr>
              <w:t xml:space="preserve">General Electric </w:t>
            </w:r>
          </w:p>
        </w:tc>
        <w:tc>
          <w:tcPr>
            <w:tcW w:w="1490" w:type="pct"/>
          </w:tcPr>
          <w:p w14:paraId="3EC9B4CB" w14:textId="77777777" w:rsidR="00FF7799" w:rsidRPr="00E73F6F" w:rsidRDefault="00FF7799" w:rsidP="00E67645">
            <w:pPr>
              <w:pStyle w:val="StandardText"/>
            </w:pPr>
            <w:r w:rsidRPr="00E73F6F">
              <w:t>42,8</w:t>
            </w:r>
          </w:p>
        </w:tc>
        <w:tc>
          <w:tcPr>
            <w:tcW w:w="1432" w:type="pct"/>
          </w:tcPr>
          <w:p w14:paraId="5B29931B" w14:textId="77777777" w:rsidR="00FF7799" w:rsidRPr="00E73F6F" w:rsidRDefault="00FF7799" w:rsidP="00E67645">
            <w:pPr>
              <w:pStyle w:val="StandardText"/>
            </w:pPr>
            <w:r w:rsidRPr="00E73F6F">
              <w:t>USA</w:t>
            </w:r>
          </w:p>
        </w:tc>
      </w:tr>
      <w:tr w:rsidR="00FF7799" w:rsidRPr="00E73F6F" w14:paraId="534B498E" w14:textId="77777777" w:rsidTr="00E67645">
        <w:tc>
          <w:tcPr>
            <w:tcW w:w="600" w:type="pct"/>
          </w:tcPr>
          <w:p w14:paraId="66245A72" w14:textId="77777777" w:rsidR="00FF7799" w:rsidRPr="00E73F6F" w:rsidRDefault="00FF7799" w:rsidP="00E67645">
            <w:pPr>
              <w:pStyle w:val="StandardText"/>
            </w:pPr>
            <w:r w:rsidRPr="00E73F6F">
              <w:t>6</w:t>
            </w:r>
          </w:p>
        </w:tc>
        <w:tc>
          <w:tcPr>
            <w:tcW w:w="1478" w:type="pct"/>
          </w:tcPr>
          <w:p w14:paraId="1BAEBEB4" w14:textId="77777777" w:rsidR="00FF7799" w:rsidRPr="00E73F6F" w:rsidRDefault="00FF7799" w:rsidP="00E67645">
            <w:pPr>
              <w:pStyle w:val="StandardText"/>
              <w:rPr>
                <w:i/>
              </w:rPr>
            </w:pPr>
            <w:r w:rsidRPr="00E73F6F">
              <w:rPr>
                <w:i/>
              </w:rPr>
              <w:t xml:space="preserve">McDonald’s </w:t>
            </w:r>
          </w:p>
        </w:tc>
        <w:tc>
          <w:tcPr>
            <w:tcW w:w="1490" w:type="pct"/>
          </w:tcPr>
          <w:p w14:paraId="19D6B976" w14:textId="77777777" w:rsidR="00FF7799" w:rsidRPr="00E73F6F" w:rsidRDefault="00FF7799" w:rsidP="00E67645">
            <w:pPr>
              <w:pStyle w:val="StandardText"/>
            </w:pPr>
            <w:r w:rsidRPr="00E73F6F">
              <w:t>33,6</w:t>
            </w:r>
          </w:p>
        </w:tc>
        <w:tc>
          <w:tcPr>
            <w:tcW w:w="1432" w:type="pct"/>
          </w:tcPr>
          <w:p w14:paraId="5D95B4F0" w14:textId="77777777" w:rsidR="00FF7799" w:rsidRPr="00E73F6F" w:rsidRDefault="00FF7799" w:rsidP="00E67645">
            <w:pPr>
              <w:pStyle w:val="StandardText"/>
            </w:pPr>
            <w:r w:rsidRPr="00E73F6F">
              <w:t>USA</w:t>
            </w:r>
          </w:p>
        </w:tc>
      </w:tr>
      <w:tr w:rsidR="00FF7799" w:rsidRPr="00E73F6F" w14:paraId="04288C98" w14:textId="77777777" w:rsidTr="00E67645">
        <w:tc>
          <w:tcPr>
            <w:tcW w:w="600" w:type="pct"/>
          </w:tcPr>
          <w:p w14:paraId="0A51BBC8" w14:textId="77777777" w:rsidR="00FF7799" w:rsidRPr="00E73F6F" w:rsidRDefault="00FF7799" w:rsidP="00E67645">
            <w:pPr>
              <w:pStyle w:val="StandardText"/>
            </w:pPr>
            <w:r w:rsidRPr="00E73F6F">
              <w:t>7</w:t>
            </w:r>
          </w:p>
        </w:tc>
        <w:tc>
          <w:tcPr>
            <w:tcW w:w="1478" w:type="pct"/>
          </w:tcPr>
          <w:p w14:paraId="7C9DB069" w14:textId="77777777" w:rsidR="00FF7799" w:rsidRPr="00E73F6F" w:rsidRDefault="00FF7799" w:rsidP="00E67645">
            <w:pPr>
              <w:pStyle w:val="StandardText"/>
              <w:rPr>
                <w:i/>
              </w:rPr>
            </w:pPr>
            <w:r w:rsidRPr="00E73F6F">
              <w:rPr>
                <w:i/>
              </w:rPr>
              <w:t>Intel</w:t>
            </w:r>
          </w:p>
        </w:tc>
        <w:tc>
          <w:tcPr>
            <w:tcW w:w="1490" w:type="pct"/>
          </w:tcPr>
          <w:p w14:paraId="4885944B" w14:textId="77777777" w:rsidR="00FF7799" w:rsidRPr="00E73F6F" w:rsidRDefault="00FF7799" w:rsidP="00E67645">
            <w:pPr>
              <w:pStyle w:val="StandardText"/>
            </w:pPr>
            <w:r w:rsidRPr="00E73F6F">
              <w:t>32,0</w:t>
            </w:r>
          </w:p>
        </w:tc>
        <w:tc>
          <w:tcPr>
            <w:tcW w:w="1432" w:type="pct"/>
          </w:tcPr>
          <w:p w14:paraId="4796EDAB" w14:textId="77777777" w:rsidR="00FF7799" w:rsidRPr="00E73F6F" w:rsidRDefault="00FF7799" w:rsidP="00E67645">
            <w:pPr>
              <w:pStyle w:val="StandardText"/>
            </w:pPr>
            <w:r w:rsidRPr="00E73F6F">
              <w:t>USA</w:t>
            </w:r>
          </w:p>
        </w:tc>
      </w:tr>
      <w:tr w:rsidR="00FF7799" w:rsidRPr="00E73F6F" w14:paraId="521873B3" w14:textId="77777777" w:rsidTr="00E67645">
        <w:tc>
          <w:tcPr>
            <w:tcW w:w="600" w:type="pct"/>
          </w:tcPr>
          <w:p w14:paraId="22A66409" w14:textId="77777777" w:rsidR="00FF7799" w:rsidRPr="00E73F6F" w:rsidRDefault="00FF7799" w:rsidP="00E67645">
            <w:pPr>
              <w:pStyle w:val="StandardText"/>
            </w:pPr>
            <w:r w:rsidRPr="00E73F6F">
              <w:t>8</w:t>
            </w:r>
          </w:p>
        </w:tc>
        <w:tc>
          <w:tcPr>
            <w:tcW w:w="1478" w:type="pct"/>
          </w:tcPr>
          <w:p w14:paraId="64586550" w14:textId="77777777" w:rsidR="00FF7799" w:rsidRPr="00E73F6F" w:rsidRDefault="00FF7799" w:rsidP="00E67645">
            <w:pPr>
              <w:pStyle w:val="StandardText"/>
              <w:rPr>
                <w:i/>
              </w:rPr>
            </w:pPr>
            <w:r w:rsidRPr="00E73F6F">
              <w:rPr>
                <w:i/>
              </w:rPr>
              <w:t xml:space="preserve">Nokia </w:t>
            </w:r>
          </w:p>
        </w:tc>
        <w:tc>
          <w:tcPr>
            <w:tcW w:w="1490" w:type="pct"/>
          </w:tcPr>
          <w:p w14:paraId="2E33A92C" w14:textId="77777777" w:rsidR="00FF7799" w:rsidRPr="00E73F6F" w:rsidRDefault="00FF7799" w:rsidP="00E67645">
            <w:pPr>
              <w:pStyle w:val="StandardText"/>
            </w:pPr>
            <w:r w:rsidRPr="00E73F6F">
              <w:t>29,5</w:t>
            </w:r>
          </w:p>
        </w:tc>
        <w:tc>
          <w:tcPr>
            <w:tcW w:w="1432" w:type="pct"/>
          </w:tcPr>
          <w:p w14:paraId="0EEDC12C" w14:textId="77777777" w:rsidR="00FF7799" w:rsidRPr="00E73F6F" w:rsidRDefault="00FF7799" w:rsidP="00E67645">
            <w:pPr>
              <w:pStyle w:val="StandardText"/>
            </w:pPr>
            <w:r w:rsidRPr="00E73F6F">
              <w:t>Finnland</w:t>
            </w:r>
          </w:p>
        </w:tc>
      </w:tr>
      <w:tr w:rsidR="00FF7799" w:rsidRPr="00E73F6F" w14:paraId="2CCA8637" w14:textId="77777777" w:rsidTr="00E67645">
        <w:tc>
          <w:tcPr>
            <w:tcW w:w="600" w:type="pct"/>
          </w:tcPr>
          <w:p w14:paraId="0F1B7525" w14:textId="77777777" w:rsidR="00FF7799" w:rsidRPr="00E73F6F" w:rsidRDefault="00FF7799" w:rsidP="00E67645">
            <w:pPr>
              <w:pStyle w:val="StandardText"/>
            </w:pPr>
            <w:r w:rsidRPr="00E73F6F">
              <w:t>9</w:t>
            </w:r>
          </w:p>
        </w:tc>
        <w:tc>
          <w:tcPr>
            <w:tcW w:w="1478" w:type="pct"/>
          </w:tcPr>
          <w:p w14:paraId="2B69BB20" w14:textId="77777777" w:rsidR="00FF7799" w:rsidRPr="00E73F6F" w:rsidRDefault="00FF7799" w:rsidP="00E67645">
            <w:pPr>
              <w:pStyle w:val="StandardText"/>
              <w:rPr>
                <w:i/>
              </w:rPr>
            </w:pPr>
            <w:r w:rsidRPr="00E73F6F">
              <w:rPr>
                <w:i/>
              </w:rPr>
              <w:t>Disney</w:t>
            </w:r>
          </w:p>
        </w:tc>
        <w:tc>
          <w:tcPr>
            <w:tcW w:w="1490" w:type="pct"/>
          </w:tcPr>
          <w:p w14:paraId="123C7453" w14:textId="77777777" w:rsidR="00FF7799" w:rsidRPr="00E73F6F" w:rsidRDefault="00FF7799" w:rsidP="00E67645">
            <w:pPr>
              <w:pStyle w:val="StandardText"/>
            </w:pPr>
            <w:r w:rsidRPr="00E73F6F">
              <w:t>28,7</w:t>
            </w:r>
          </w:p>
        </w:tc>
        <w:tc>
          <w:tcPr>
            <w:tcW w:w="1432" w:type="pct"/>
          </w:tcPr>
          <w:p w14:paraId="34474262" w14:textId="77777777" w:rsidR="00FF7799" w:rsidRPr="00E73F6F" w:rsidRDefault="00FF7799" w:rsidP="00E67645">
            <w:pPr>
              <w:pStyle w:val="StandardText"/>
            </w:pPr>
            <w:r w:rsidRPr="00E73F6F">
              <w:t>USA</w:t>
            </w:r>
          </w:p>
        </w:tc>
      </w:tr>
      <w:tr w:rsidR="00FF7799" w:rsidRPr="00E73F6F" w14:paraId="68811FEF" w14:textId="77777777" w:rsidTr="00E67645">
        <w:tc>
          <w:tcPr>
            <w:tcW w:w="600" w:type="pct"/>
          </w:tcPr>
          <w:p w14:paraId="708BB2EF" w14:textId="77777777" w:rsidR="00FF7799" w:rsidRPr="00E73F6F" w:rsidRDefault="00FF7799" w:rsidP="00E67645">
            <w:pPr>
              <w:pStyle w:val="StandardText"/>
            </w:pPr>
            <w:r w:rsidRPr="00E73F6F">
              <w:t>10</w:t>
            </w:r>
          </w:p>
        </w:tc>
        <w:tc>
          <w:tcPr>
            <w:tcW w:w="1478" w:type="pct"/>
          </w:tcPr>
          <w:p w14:paraId="3A5C7B8D" w14:textId="77777777" w:rsidR="00FF7799" w:rsidRPr="00E73F6F" w:rsidRDefault="00FF7799" w:rsidP="00E67645">
            <w:pPr>
              <w:pStyle w:val="StandardText"/>
              <w:rPr>
                <w:i/>
              </w:rPr>
            </w:pPr>
            <w:r w:rsidRPr="00E73F6F">
              <w:rPr>
                <w:i/>
              </w:rPr>
              <w:t>Hewlett Packard</w:t>
            </w:r>
          </w:p>
        </w:tc>
        <w:tc>
          <w:tcPr>
            <w:tcW w:w="1490" w:type="pct"/>
          </w:tcPr>
          <w:p w14:paraId="08FCAC77" w14:textId="77777777" w:rsidR="00FF7799" w:rsidRPr="00E73F6F" w:rsidRDefault="00FF7799" w:rsidP="00E67645">
            <w:pPr>
              <w:pStyle w:val="StandardText"/>
            </w:pPr>
            <w:r w:rsidRPr="00E73F6F">
              <w:t>26,9</w:t>
            </w:r>
          </w:p>
        </w:tc>
        <w:tc>
          <w:tcPr>
            <w:tcW w:w="1432" w:type="pct"/>
          </w:tcPr>
          <w:p w14:paraId="6070F558" w14:textId="77777777" w:rsidR="00FF7799" w:rsidRPr="00E73F6F" w:rsidRDefault="00FF7799" w:rsidP="00E67645">
            <w:pPr>
              <w:pStyle w:val="StandardText"/>
            </w:pPr>
            <w:r w:rsidRPr="00E73F6F">
              <w:t>USA</w:t>
            </w:r>
          </w:p>
        </w:tc>
      </w:tr>
      <w:tr w:rsidR="00FF7799" w:rsidRPr="00E73F6F" w14:paraId="091AAE56" w14:textId="77777777" w:rsidTr="00E67645">
        <w:tc>
          <w:tcPr>
            <w:tcW w:w="600" w:type="pct"/>
          </w:tcPr>
          <w:p w14:paraId="3CB31467" w14:textId="77777777" w:rsidR="00FF7799" w:rsidRPr="00E73F6F" w:rsidRDefault="00FF7799" w:rsidP="00E67645">
            <w:pPr>
              <w:pStyle w:val="StandardText"/>
            </w:pPr>
            <w:r w:rsidRPr="00E73F6F">
              <w:t>11</w:t>
            </w:r>
          </w:p>
        </w:tc>
        <w:tc>
          <w:tcPr>
            <w:tcW w:w="1478" w:type="pct"/>
          </w:tcPr>
          <w:p w14:paraId="3D228192" w14:textId="77777777" w:rsidR="00FF7799" w:rsidRPr="00E73F6F" w:rsidRDefault="00FF7799" w:rsidP="00E67645">
            <w:pPr>
              <w:pStyle w:val="StandardText"/>
              <w:rPr>
                <w:i/>
              </w:rPr>
            </w:pPr>
            <w:r w:rsidRPr="00E73F6F">
              <w:rPr>
                <w:i/>
              </w:rPr>
              <w:t xml:space="preserve">Toyota </w:t>
            </w:r>
          </w:p>
        </w:tc>
        <w:tc>
          <w:tcPr>
            <w:tcW w:w="1490" w:type="pct"/>
          </w:tcPr>
          <w:p w14:paraId="6FD182D2" w14:textId="77777777" w:rsidR="00FF7799" w:rsidRPr="00E73F6F" w:rsidRDefault="00FF7799" w:rsidP="00E67645">
            <w:pPr>
              <w:pStyle w:val="StandardText"/>
            </w:pPr>
            <w:r w:rsidRPr="00E73F6F">
              <w:t>26,2</w:t>
            </w:r>
          </w:p>
        </w:tc>
        <w:tc>
          <w:tcPr>
            <w:tcW w:w="1432" w:type="pct"/>
          </w:tcPr>
          <w:p w14:paraId="5394A8C0" w14:textId="77777777" w:rsidR="00FF7799" w:rsidRPr="00E73F6F" w:rsidRDefault="00FF7799" w:rsidP="00E67645">
            <w:pPr>
              <w:pStyle w:val="StandardText"/>
            </w:pPr>
            <w:r w:rsidRPr="00E73F6F">
              <w:t>Japan</w:t>
            </w:r>
          </w:p>
        </w:tc>
      </w:tr>
      <w:tr w:rsidR="00FF7799" w:rsidRPr="00E73F6F" w14:paraId="11B7451F" w14:textId="77777777" w:rsidTr="00E67645">
        <w:tc>
          <w:tcPr>
            <w:tcW w:w="600" w:type="pct"/>
          </w:tcPr>
          <w:p w14:paraId="5F9ED1E3" w14:textId="77777777" w:rsidR="00FF7799" w:rsidRPr="00E73F6F" w:rsidRDefault="00FF7799" w:rsidP="00E67645">
            <w:pPr>
              <w:pStyle w:val="StandardText"/>
            </w:pPr>
            <w:r w:rsidRPr="00E73F6F">
              <w:t>12</w:t>
            </w:r>
          </w:p>
        </w:tc>
        <w:tc>
          <w:tcPr>
            <w:tcW w:w="1478" w:type="pct"/>
          </w:tcPr>
          <w:p w14:paraId="6AE6D797" w14:textId="77777777" w:rsidR="00FF7799" w:rsidRPr="00E73F6F" w:rsidRDefault="00FF7799" w:rsidP="00E67645">
            <w:pPr>
              <w:pStyle w:val="StandardText"/>
              <w:rPr>
                <w:i/>
              </w:rPr>
            </w:pPr>
            <w:r w:rsidRPr="00E73F6F">
              <w:rPr>
                <w:i/>
              </w:rPr>
              <w:t>Mercedes</w:t>
            </w:r>
          </w:p>
        </w:tc>
        <w:tc>
          <w:tcPr>
            <w:tcW w:w="1490" w:type="pct"/>
          </w:tcPr>
          <w:p w14:paraId="34E9ABCD" w14:textId="77777777" w:rsidR="00FF7799" w:rsidRPr="00E73F6F" w:rsidRDefault="00FF7799" w:rsidP="00E67645">
            <w:pPr>
              <w:pStyle w:val="StandardText"/>
            </w:pPr>
            <w:r w:rsidRPr="00E73F6F">
              <w:t>25,2</w:t>
            </w:r>
          </w:p>
        </w:tc>
        <w:tc>
          <w:tcPr>
            <w:tcW w:w="1432" w:type="pct"/>
          </w:tcPr>
          <w:p w14:paraId="03709957" w14:textId="77777777" w:rsidR="00FF7799" w:rsidRPr="00E73F6F" w:rsidRDefault="00FF7799" w:rsidP="00E67645">
            <w:pPr>
              <w:pStyle w:val="StandardText"/>
            </w:pPr>
            <w:r w:rsidRPr="00E73F6F">
              <w:t>Deutschland</w:t>
            </w:r>
          </w:p>
        </w:tc>
      </w:tr>
    </w:tbl>
    <w:p w14:paraId="3EE377AD" w14:textId="77777777" w:rsidR="00FF7799" w:rsidRPr="00E73F6F" w:rsidRDefault="00FF7799" w:rsidP="00E67645">
      <w:pPr>
        <w:pStyle w:val="Quellen"/>
      </w:pPr>
      <w:r w:rsidRPr="00E73F6F">
        <w:t>Quelle:</w:t>
      </w:r>
      <w:r w:rsidRPr="00E73F6F">
        <w:tab/>
        <w:t>http://www.interbrand.com.</w:t>
      </w:r>
    </w:p>
    <w:p w14:paraId="3772F147" w14:textId="77777777" w:rsidR="00FF7799" w:rsidRPr="00E73F6F" w:rsidRDefault="00FF7799" w:rsidP="00E67645">
      <w:pPr>
        <w:pStyle w:val="StandardText"/>
        <w:rPr>
          <w:b/>
        </w:rPr>
      </w:pPr>
    </w:p>
    <w:p w14:paraId="4F9F0AEE" w14:textId="77777777" w:rsidR="00FF7799" w:rsidRPr="00E97990" w:rsidRDefault="00FF7799" w:rsidP="00E67645">
      <w:pPr>
        <w:pStyle w:val="StandardText"/>
        <w:rPr>
          <w:rStyle w:val="Hyperlink"/>
          <w:color w:val="auto"/>
          <w:sz w:val="22"/>
          <w:szCs w:val="22"/>
          <w:u w:val="none"/>
        </w:rPr>
      </w:pPr>
      <w:r w:rsidRPr="00E97990">
        <w:rPr>
          <w:b/>
          <w:i/>
          <w:sz w:val="22"/>
          <w:szCs w:val="22"/>
        </w:rPr>
        <w:t>Literatur</w:t>
      </w:r>
      <w:r w:rsidRPr="00E97990">
        <w:rPr>
          <w:i/>
          <w:sz w:val="22"/>
          <w:szCs w:val="22"/>
        </w:rPr>
        <w:t>:</w:t>
      </w:r>
      <w:r w:rsidRPr="00E97990">
        <w:rPr>
          <w:sz w:val="22"/>
          <w:szCs w:val="22"/>
        </w:rPr>
        <w:t xml:space="preserve"> Albaum, G.; Standskov, J.; Duerr, E.: Internationales Marketing und Exportmanagement, 3.Aufl., München 2001. Bruhn, M.: Begriffsabgrenzungen und Erscheinungsformen von Marken, in: Bruhn, M. (Hrsg.), Handbuch Markenartikel, Bd.1, Stuttgart 1994, S.3-41. Keegan, W.J.; Schlegelmilch, B.B.; Stöttinger, B.: Globales Marketing-Management. Eine europäische Perspektive, München 2002, S.412. Kelz, A.: Die Weltmarke, Idstein 1989. Meffert, H.; Bolz, J.: Internationales Marketing-Management, 3.Aufl., Stuttgart 1998. Pepels, W.: Produktmanagement, 3.Aufl., München 2001. </w:t>
      </w:r>
      <w:hyperlink r:id="rId152" w:history="1">
        <w:r w:rsidRPr="00E97990">
          <w:rPr>
            <w:rStyle w:val="Hyperlink"/>
            <w:sz w:val="22"/>
            <w:szCs w:val="22"/>
          </w:rPr>
          <w:t>http://www.acnielsen.de</w:t>
        </w:r>
      </w:hyperlink>
    </w:p>
    <w:p w14:paraId="23733A02" w14:textId="77777777" w:rsidR="00FF7799" w:rsidRPr="00E97990" w:rsidRDefault="00FF7799" w:rsidP="00E67645">
      <w:pPr>
        <w:pStyle w:val="StandardText"/>
        <w:rPr>
          <w:sz w:val="22"/>
          <w:szCs w:val="22"/>
        </w:rPr>
      </w:pPr>
    </w:p>
    <w:p w14:paraId="168527A2" w14:textId="77777777" w:rsidR="00FF7799" w:rsidRPr="00AB3FAA" w:rsidRDefault="00FF7799" w:rsidP="00414BDC">
      <w:pPr>
        <w:pStyle w:val="berschrift1"/>
        <w:rPr>
          <w:bCs w:val="0"/>
          <w:color w:val="2E74B5"/>
          <w:sz w:val="22"/>
        </w:rPr>
      </w:pPr>
      <w:r w:rsidRPr="00AB3FAA">
        <w:rPr>
          <w:bCs w:val="0"/>
          <w:color w:val="2E74B5"/>
          <w:sz w:val="22"/>
        </w:rPr>
        <w:t>Marken- und Produktpiraterie</w:t>
      </w:r>
    </w:p>
    <w:p w14:paraId="0D4E4194" w14:textId="77777777" w:rsidR="00FF7799" w:rsidRPr="00E97990" w:rsidRDefault="00FF7799" w:rsidP="00F07781">
      <w:pPr>
        <w:pStyle w:val="StandardText"/>
      </w:pPr>
      <w:r w:rsidRPr="00E97990">
        <w:t>liegt vor, wenn „professionell“ – d.h. planmäßig, gezielt und massenhaft – Produkte, deren ästhetische Gestaltung oder technische Funktion für den Nachfrager entscheidend sind, nachgeahmt und Kennzeichnungsrechte missbraucht werden.</w:t>
      </w:r>
    </w:p>
    <w:p w14:paraId="0E36886F" w14:textId="77777777" w:rsidR="00FF7799" w:rsidRPr="00E97990" w:rsidRDefault="00FF7799" w:rsidP="00F07781">
      <w:pPr>
        <w:pStyle w:val="StandardText"/>
      </w:pPr>
      <w:r w:rsidRPr="00E97990">
        <w:t>Bei</w:t>
      </w:r>
      <w:r w:rsidRPr="00E97990">
        <w:rPr>
          <w:spacing w:val="-7"/>
        </w:rPr>
        <w:t xml:space="preserve"> </w:t>
      </w:r>
      <w:r w:rsidRPr="00E97990">
        <w:t>der</w:t>
      </w:r>
      <w:r w:rsidRPr="00E97990">
        <w:rPr>
          <w:spacing w:val="-7"/>
        </w:rPr>
        <w:t xml:space="preserve"> </w:t>
      </w:r>
      <w:r w:rsidRPr="00E97990">
        <w:t>Markenpiraterie</w:t>
      </w:r>
      <w:r w:rsidRPr="00E97990">
        <w:rPr>
          <w:spacing w:val="-7"/>
        </w:rPr>
        <w:t xml:space="preserve"> </w:t>
      </w:r>
      <w:r w:rsidRPr="00E97990">
        <w:t>steht</w:t>
      </w:r>
      <w:r w:rsidRPr="00E97990">
        <w:rPr>
          <w:spacing w:val="-9"/>
        </w:rPr>
        <w:t xml:space="preserve"> </w:t>
      </w:r>
      <w:r w:rsidRPr="00E97990">
        <w:t>das</w:t>
      </w:r>
      <w:r w:rsidRPr="00E97990">
        <w:rPr>
          <w:spacing w:val="-7"/>
        </w:rPr>
        <w:t xml:space="preserve"> </w:t>
      </w:r>
      <w:r w:rsidRPr="00E97990">
        <w:t>illegale</w:t>
      </w:r>
      <w:r w:rsidRPr="00E97990">
        <w:rPr>
          <w:spacing w:val="-7"/>
        </w:rPr>
        <w:t xml:space="preserve"> </w:t>
      </w:r>
      <w:r w:rsidRPr="00E97990">
        <w:t>Verwenden</w:t>
      </w:r>
      <w:r w:rsidRPr="00E97990">
        <w:rPr>
          <w:spacing w:val="-7"/>
        </w:rPr>
        <w:t xml:space="preserve"> </w:t>
      </w:r>
      <w:r w:rsidRPr="00E97990">
        <w:t>von</w:t>
      </w:r>
      <w:r w:rsidRPr="00E97990">
        <w:rPr>
          <w:spacing w:val="-7"/>
        </w:rPr>
        <w:t xml:space="preserve"> </w:t>
      </w:r>
      <w:r w:rsidRPr="00E97990">
        <w:t>Zeichen,</w:t>
      </w:r>
      <w:r w:rsidRPr="00E97990">
        <w:rPr>
          <w:spacing w:val="-9"/>
        </w:rPr>
        <w:t xml:space="preserve"> </w:t>
      </w:r>
      <w:r w:rsidRPr="00E97990">
        <w:t>Namen,</w:t>
      </w:r>
      <w:r w:rsidRPr="00E97990">
        <w:rPr>
          <w:spacing w:val="-7"/>
        </w:rPr>
        <w:t xml:space="preserve"> </w:t>
      </w:r>
      <w:r w:rsidRPr="00E97990">
        <w:t>Logos und geschäftlichen Bezeichnungen, die von den Markenherstellern zur Kennzeichnung ihrer Produkte im Handel eingesetzt werden, im Vordergrund. Von Produktpiraterie spricht man, wenn verbotenerweise Ware, für die rechtmäßige Hersteller Erfindungs-, Design- und/oder Verfahrensrechte besitzen, nachgeahmt und vervielfältigt wer</w:t>
      </w:r>
      <w:r w:rsidR="00E97990">
        <w:t>den (</w:t>
      </w:r>
      <w:r w:rsidR="00E97990">
        <w:sym w:font="Symbol" w:char="F0DE"/>
      </w:r>
      <w:r w:rsidRPr="00E97990">
        <w:t xml:space="preserve"> Counterfeiting Intelligence Bureau).</w:t>
      </w:r>
    </w:p>
    <w:p w14:paraId="5D1CD09B" w14:textId="77777777" w:rsidR="00FF7799" w:rsidRPr="00E97990" w:rsidRDefault="00FF7799" w:rsidP="00F07781">
      <w:pPr>
        <w:pStyle w:val="StandardText"/>
      </w:pPr>
    </w:p>
    <w:p w14:paraId="357BB2AF" w14:textId="77777777" w:rsidR="00FF7799" w:rsidRPr="00AB3FAA" w:rsidRDefault="00FF7799" w:rsidP="00AB3FAA">
      <w:pPr>
        <w:pStyle w:val="berschrift1"/>
        <w:rPr>
          <w:bCs w:val="0"/>
          <w:color w:val="2E74B5"/>
          <w:sz w:val="22"/>
        </w:rPr>
      </w:pPr>
      <w:r w:rsidRPr="00AB3FAA">
        <w:rPr>
          <w:bCs w:val="0"/>
          <w:color w:val="2E74B5"/>
          <w:sz w:val="22"/>
        </w:rPr>
        <w:t>Markenname</w:t>
      </w:r>
    </w:p>
    <w:p w14:paraId="6582BE63" w14:textId="77777777" w:rsidR="00FF7799" w:rsidRPr="00E97990" w:rsidRDefault="00FF7799" w:rsidP="00E01A39">
      <w:pPr>
        <w:pStyle w:val="StandardText"/>
      </w:pPr>
      <w:r w:rsidRPr="00E97990">
        <w:t>zusammen mit dem Markenzeichen bzw. dem Markenbild (z.B. Logo), Angebotsgestaltung (z.B. Verpackung) und der Positionierung eines de</w:t>
      </w:r>
      <w:r w:rsidR="00E97990">
        <w:t>r wesentlichen Markenelemente (</w:t>
      </w:r>
      <w:r w:rsidR="00E97990">
        <w:sym w:font="Symbol" w:char="F0DE"/>
      </w:r>
      <w:r w:rsidRPr="00E97990">
        <w:t xml:space="preserve"> Marke).</w:t>
      </w:r>
    </w:p>
    <w:p w14:paraId="63CEBB7F" w14:textId="392A6BC6" w:rsidR="00FF7799" w:rsidRPr="00E73F6F" w:rsidRDefault="00FF7799" w:rsidP="00E01A39">
      <w:pPr>
        <w:pStyle w:val="StandardText"/>
      </w:pPr>
      <w:r w:rsidRPr="00E97990">
        <w:t>De</w:t>
      </w:r>
      <w:r w:rsidR="00A12C30">
        <w:t xml:space="preserve">r Markenname ist eine wichtige </w:t>
      </w:r>
      <w:r w:rsidR="00A12C30">
        <w:sym w:font="Symbol" w:char="F0DE"/>
      </w:r>
      <w:r w:rsidRPr="00E97990">
        <w:t xml:space="preserve"> Schlüsselinformation, die sich in einer kulturübergreifenden Studie bei Artikeln der Unterhaltungselektronik (z.B. Videokamera) als ein noch stär</w:t>
      </w:r>
      <w:r w:rsidR="00A12C30">
        <w:t xml:space="preserve">keres </w:t>
      </w:r>
      <w:r w:rsidR="00A12C30">
        <w:sym w:font="Symbol" w:char="F0DE"/>
      </w:r>
      <w:r w:rsidRPr="00E97990">
        <w:t xml:space="preserve"> Qualitätssignal erwies als die Preisinformation; es folgten das Aussehen der Produkte</w:t>
      </w:r>
      <w:r w:rsidRPr="00E73F6F">
        <w:t xml:space="preserve"> und das Image des Händlers. Diese Rangfolge ließ sich in fast allen 38 untersuchten Ländern mehr oder weniger nachweisen. Zu den Ausnahmen zählen die USA, Dänemark, Belgien und Deutschland. In diesen Ländern war den Befragten das Design der Produkte wichtiger als der Preis. Da der Markenname, etwa im Gegensatz zu Design oder Logo, konkret aussprechbar und damit unmittelbar kommunizierbar ist, erfüllt er im Prozess der Marktkommunikation eine zentrale Funktion und stellt deshalb an international tätige Unternehmen besondere Anforderungen. Der 2006 aus Infineon ausgegliederten Speicherchipherstellung etwa wurde der Firmenname Qimonda gegeben, da dieser in verschiedenen Sprachräumen und → Kulturräumen positive Assoziationen ermögliche. So stehe Qi im asiatischen Raum für „fließende oder atmende Energie“, und im Westen werde das aus dem englischen </w:t>
      </w:r>
      <w:r w:rsidR="00AB3FAA">
        <w:t>‘</w:t>
      </w:r>
      <w:r w:rsidRPr="00E73F6F">
        <w:t>key</w:t>
      </w:r>
      <w:r w:rsidR="00AB3FAA">
        <w:t>‘</w:t>
      </w:r>
      <w:r w:rsidRPr="00E73F6F">
        <w:t xml:space="preserve"> und dem lateinischen </w:t>
      </w:r>
      <w:r w:rsidR="00AB3FAA">
        <w:t>‘</w:t>
      </w:r>
      <w:r w:rsidRPr="00E73F6F">
        <w:t>mundus</w:t>
      </w:r>
      <w:r w:rsidR="00AB3FAA">
        <w:t>‘</w:t>
      </w:r>
      <w:r w:rsidRPr="00E73F6F">
        <w:t xml:space="preserve"> zusammengesetzte Kunstwort Qimonda intuitiv als „Schlüssel zur Welt“ verstanden.</w:t>
      </w:r>
    </w:p>
    <w:p w14:paraId="0CFBE7AF" w14:textId="77777777" w:rsidR="00FF7799" w:rsidRPr="00E73F6F" w:rsidRDefault="00FF7799" w:rsidP="00E01A39">
      <w:pPr>
        <w:pStyle w:val="StandardText"/>
      </w:pPr>
      <w:r w:rsidRPr="00E73F6F">
        <w:t xml:space="preserve">In weiten Teilen Asiens wird seit </w:t>
      </w:r>
      <w:r w:rsidR="00A62152" w:rsidRPr="00E73F6F">
        <w:t>alters her</w:t>
      </w:r>
      <w:r w:rsidRPr="00E73F6F">
        <w:t xml:space="preserve"> jedes Wort, jeder Name als ein kleines Kunstwerk betrachtet. Anders als im westlichen Kulturkreis soll sich hier ein Name nicht nur mit einer ganz bestimmten Aussage verbinden, sondern in seiner Schriftform auch schön anzusehen und in jeder Hinsicht ansprechend sein. Letztlich erfüllt in Fernost der geschriebene Name eine ähnliche Funktion wie ein Markenzeichen oder ein Logo. Deshalb sollte die Schreibweise den Firmennamen bzw. Markennamen unverwechselbar erscheinen lassen und mit Produkt- und anderen Vorteilen verbinden (z.B. mit dem Wort „Glück“). Der Inhaber eines solchen 'lucky name' genießt Wohlwollen. Deshalb sind etwa amerikanische Unternehmen in China noch häufiger (85%) als im englischsprachigen Raum (61%) bemüht, ihre Markennamen mit einer konkreten Bedeutung zu versehen. Vor allem aber legt man in Fernost (58%) mehr Wert auf eine positive Konnotation als im Heimatmarkt (24%</w:t>
      </w:r>
      <w:r w:rsidR="00A12C30">
        <w:t xml:space="preserve">). Oft werden positiv besetzte </w:t>
      </w:r>
      <w:r w:rsidR="00A12C30">
        <w:sym w:font="Symbol" w:char="F0DE"/>
      </w:r>
      <w:r w:rsidRPr="00E73F6F">
        <w:t xml:space="preserve"> Symb</w:t>
      </w:r>
      <w:r w:rsidR="00A12C30">
        <w:t xml:space="preserve">ole (z.B. der Kaiser bzw. eine </w:t>
      </w:r>
      <w:r w:rsidRPr="00E73F6F">
        <w:t xml:space="preserve">Glückszahl) genutzt </w:t>
      </w:r>
      <w:r w:rsidR="00A12C30">
        <w:t>(</w:t>
      </w:r>
      <w:r w:rsidR="00A12C30">
        <w:sym w:font="Symbol" w:char="F0DE"/>
      </w:r>
      <w:r w:rsidR="00A12C30">
        <w:t xml:space="preserve"> Glück) </w:t>
      </w:r>
      <w:r w:rsidRPr="00E73F6F">
        <w:t xml:space="preserve">oder Worte wie „Schatz“ bzw. „Wohlergehen“ verwendet. Coca-Cola ist es gelungen, mit der Transliteration seines Markennamens für den chinesischen Markt einen solchen 'lucky name' zu kreieren. Denn sowohl ke-kou-ke-le (Mandarin) als auch ho-hau-ho-lohk (Kantonesisch) ähneln lautmalerisch nicht nur dem englischen Original, sondern bescheinigen der Limonade auch, dass sie „köstlich schmeckt und Freude bereitet“. Damit sind zwei zentrale Kriterien erfüllt: positive Assoziation und Produktbezug. Der von Sprite für den chinesischen Markt gewählte Markenname xuebi („Schnee“ und </w:t>
      </w:r>
      <w:r w:rsidRPr="00E73F6F">
        <w:lastRenderedPageBreak/>
        <w:t>„grün“) ähnelt zwar dem Originalnamen nicht, hebt aber die Eigenschaften des Produkts hervor (kühl, klar) und korrespondiert mit der Verpackung: einer grünen Flasche bzw. Dose. Im Falle von Jägermeister wiederum erfüllt beide Bedingungen. Der Lautschrift des chinesischen Markennamens kommt phonetisch dem Original nahe und klingt nicht nur bedeutungsvoll (= wilder Charakter), sondern weckt auch Assoziationen, die dem Markenkern entsprechen.</w:t>
      </w:r>
    </w:p>
    <w:p w14:paraId="36F3D14F" w14:textId="77777777" w:rsidR="00FF7799" w:rsidRPr="00E73F6F" w:rsidRDefault="00FF7799" w:rsidP="00E01A39">
      <w:pPr>
        <w:pStyle w:val="StandardText"/>
      </w:pPr>
      <w:r w:rsidRPr="00E73F6F">
        <w:t>Markennamen sollen die Konsumenten u.a. dabei unterstützen, sich in einem immer größer werdenden Produktangebot zu orientieren, eine Leistung eindeutig einem Unternehmen zuzuordnen und sich zwischen häufig austauschbaren Angeboten zu unterscheiden. Dazu sollten Markennamen in der Lage sein, positionierungsrelevante Assoziationen zu wecken, prägnant und von anderen Markennamen eindeutig unterscheidbar sowie mar</w:t>
      </w:r>
      <w:r w:rsidR="00A12C30">
        <w:t>kenrechtlich schutzfähig sein (</w:t>
      </w:r>
      <w:r w:rsidR="00A12C30">
        <w:sym w:font="Symbol" w:char="F0DE"/>
      </w:r>
      <w:r w:rsidRPr="00E73F6F">
        <w:t xml:space="preserve"> Marken- und </w:t>
      </w:r>
      <w:r w:rsidR="00A12C30">
        <w:t xml:space="preserve">Produktpiraterie). Im Zuge der </w:t>
      </w:r>
      <w:r w:rsidR="00A12C30">
        <w:sym w:font="Symbol" w:char="F0DE"/>
      </w:r>
      <w:r w:rsidRPr="00E73F6F">
        <w:t xml:space="preserve"> Internationalisierung stellt sich die Frage, ob fremdsprachige Markennamen diese Funktion besser oder schlechter erfüllen als muttersprachige Markennamen. Ein besonderer Fall sind Markennamen, die aus einer alphabetischen Sprache (z.B. Englisch) in einer Sprache übertragen werden sollen, die auf Schriftzeichen basiert (z.B. das Japanische). Die betroffenen Unternehmen versuchen dann zumeist, durch Transliteration den Klang des ursprünglichen Markennamens zu bewahren.</w:t>
      </w:r>
    </w:p>
    <w:p w14:paraId="42B18809" w14:textId="77777777" w:rsidR="00FF7799" w:rsidRPr="00E73F6F" w:rsidRDefault="00FF7799" w:rsidP="00E01A39">
      <w:pPr>
        <w:pStyle w:val="StandardText"/>
      </w:pPr>
      <w:r w:rsidRPr="00E73F6F">
        <w:t>Globale Markennamen müssen weltweit einsetzbar sein und überall vergleichbare Funktionen erfüllen können. Im Rahmen</w:t>
      </w:r>
      <w:r w:rsidR="00A12C30">
        <w:t xml:space="preserve"> der </w:t>
      </w:r>
      <w:r w:rsidR="00A12C30">
        <w:sym w:font="Symbol" w:char="F0DE"/>
      </w:r>
      <w:r w:rsidRPr="00E73F6F">
        <w:t xml:space="preserve"> Standardisierungs-/Differenzierungsdiskussion hat sich allerdings gezeigt, dass abhängig von der Kulturgebundenheit bzw. Ungebundenheit</w:t>
      </w:r>
      <w:r w:rsidR="00A12C30">
        <w:t xml:space="preserve"> des zu markierenden Produkts (</w:t>
      </w:r>
      <w:r w:rsidR="00A12C30">
        <w:sym w:font="Symbol" w:char="F0DE"/>
      </w:r>
      <w:r w:rsidRPr="00E73F6F">
        <w:t xml:space="preserve"> Kulturismus/Universalismus-Debatte) und anderen Kontingenzvariablen dafür stellenweise unterschiedliche Lösungen gefunden werden müssen (vgl. Tab. 1). Im Regelfall aber ist die Produktpolitik - und innerhalb dieser der Markenname - das Element des Marketing-Mix, das am stärksten standardisiert wird.</w:t>
      </w:r>
    </w:p>
    <w:p w14:paraId="2FBC8DEC" w14:textId="0D291571" w:rsidR="00FF7799" w:rsidRPr="00E73F6F" w:rsidRDefault="00ED4C94" w:rsidP="00E01A39">
      <w:pPr>
        <w:pStyle w:val="StandardText"/>
      </w:pPr>
      <w:r>
        <w:rPr>
          <w:noProof/>
        </w:rPr>
        <mc:AlternateContent>
          <mc:Choice Requires="wpi">
            <w:drawing>
              <wp:anchor distT="0" distB="0" distL="114300" distR="114300" simplePos="0" relativeHeight="252044288" behindDoc="0" locked="0" layoutInCell="1" allowOverlap="1" wp14:anchorId="7C283D9B" wp14:editId="2F732517">
                <wp:simplePos x="0" y="0"/>
                <wp:positionH relativeFrom="column">
                  <wp:posOffset>7806899</wp:posOffset>
                </wp:positionH>
                <wp:positionV relativeFrom="paragraph">
                  <wp:posOffset>65415</wp:posOffset>
                </wp:positionV>
                <wp:extent cx="360" cy="360"/>
                <wp:effectExtent l="0" t="0" r="0" b="0"/>
                <wp:wrapNone/>
                <wp:docPr id="1063400523" name="Freihand 160"/>
                <wp:cNvGraphicFramePr/>
                <a:graphic xmlns:a="http://schemas.openxmlformats.org/drawingml/2006/main">
                  <a:graphicData uri="http://schemas.microsoft.com/office/word/2010/wordprocessingInk">
                    <w14:contentPart bwMode="auto" r:id="rId153">
                      <w14:nvContentPartPr>
                        <w14:cNvContentPartPr/>
                      </w14:nvContentPartPr>
                      <w14:xfrm>
                        <a:off x="0" y="0"/>
                        <a:ext cx="360" cy="360"/>
                      </w14:xfrm>
                    </w14:contentPart>
                  </a:graphicData>
                </a:graphic>
              </wp:anchor>
            </w:drawing>
          </mc:Choice>
          <mc:Fallback>
            <w:pict>
              <v:shape w14:anchorId="17B048C0" id="Freihand 160" o:spid="_x0000_s1026" type="#_x0000_t75" style="position:absolute;margin-left:614pt;margin-top:4.45pt;width:1.45pt;height:1.45pt;z-index:252044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">
                <v:imagedata r:id="rId154" o:title=""/>
              </v:shape>
            </w:pict>
          </mc:Fallback>
        </mc:AlternateContent>
      </w:r>
    </w:p>
    <w:p w14:paraId="6F9D699A" w14:textId="285062C7" w:rsidR="00FF7799" w:rsidRPr="00ED4C94" w:rsidRDefault="00FF7799" w:rsidP="00E01A39">
      <w:pPr>
        <w:pStyle w:val="BeschriftungTab"/>
        <w:rPr>
          <w:i/>
          <w:iCs/>
        </w:rPr>
      </w:pPr>
      <w:r w:rsidRPr="00ED4C94">
        <w:rPr>
          <w:i/>
          <w:iCs/>
        </w:rPr>
        <w:t>Tab.</w:t>
      </w:r>
      <w:r w:rsidRPr="00ED4C94">
        <w:rPr>
          <w:i/>
          <w:iCs/>
          <w:spacing w:val="15"/>
        </w:rPr>
        <w:t xml:space="preserve"> </w:t>
      </w:r>
      <w:r w:rsidRPr="00ED4C94">
        <w:rPr>
          <w:i/>
          <w:iCs/>
        </w:rPr>
        <w:t>1:</w:t>
      </w:r>
      <w:r w:rsidRPr="00ED4C94">
        <w:rPr>
          <w:i/>
          <w:iCs/>
          <w:spacing w:val="13"/>
        </w:rPr>
        <w:t xml:space="preserve"> </w:t>
      </w:r>
      <w:r w:rsidRPr="00ED4C94">
        <w:rPr>
          <w:i/>
          <w:iCs/>
        </w:rPr>
        <w:t>Markenpolitische</w:t>
      </w:r>
      <w:r w:rsidRPr="00ED4C94">
        <w:rPr>
          <w:i/>
          <w:iCs/>
          <w:spacing w:val="16"/>
        </w:rPr>
        <w:t xml:space="preserve"> </w:t>
      </w:r>
      <w:r w:rsidRPr="00ED4C94">
        <w:rPr>
          <w:i/>
          <w:iCs/>
        </w:rPr>
        <w:t>Standardisierungs-Differenzierungsmatrix</w:t>
      </w:r>
    </w:p>
    <w:tbl>
      <w:tblPr>
        <w:tblStyle w:val="TableNormal"/>
        <w:tblW w:w="5000" w:type="pct"/>
        <w:tblBorders>
          <w:top w:val="single" w:sz="4" w:space="0" w:color="000000"/>
          <w:bottom w:val="single" w:sz="4" w:space="0" w:color="000000"/>
          <w:insideH w:val="single" w:sz="4" w:space="0" w:color="000000"/>
        </w:tblBorders>
        <w:tblLook w:val="01E0" w:firstRow="1" w:lastRow="1" w:firstColumn="1" w:lastColumn="1" w:noHBand="0" w:noVBand="0"/>
      </w:tblPr>
      <w:tblGrid>
        <w:gridCol w:w="2268"/>
        <w:gridCol w:w="3819"/>
        <w:gridCol w:w="2985"/>
      </w:tblGrid>
      <w:tr w:rsidR="00FF7799" w:rsidRPr="00A62152" w14:paraId="5DD92E9C" w14:textId="77777777" w:rsidTr="00A12C30">
        <w:trPr>
          <w:trHeight w:val="441"/>
        </w:trPr>
        <w:tc>
          <w:tcPr>
            <w:tcW w:w="1250" w:type="pct"/>
            <w:shd w:val="clear" w:color="auto" w:fill="FFF2CC" w:themeFill="accent4" w:themeFillTint="33"/>
          </w:tcPr>
          <w:p w14:paraId="04E9351B" w14:textId="4915EC1F" w:rsidR="00FF7799" w:rsidRPr="00A62152" w:rsidRDefault="00ED4C94" w:rsidP="00A62152">
            <w:pPr>
              <w:pStyle w:val="StandardText"/>
              <w:spacing w:after="120"/>
              <w:jc w:val="right"/>
              <w:rPr>
                <w:b/>
                <w:lang w:val="de-DE"/>
              </w:rPr>
            </w:pPr>
            <w:r>
              <w:rPr>
                <w:b/>
                <w:noProof/>
                <w:lang w:val="de-DE"/>
              </w:rPr>
              <mc:AlternateContent>
                <mc:Choice Requires="wpi">
                  <w:drawing>
                    <wp:anchor distT="0" distB="0" distL="114300" distR="114300" simplePos="0" relativeHeight="252043264" behindDoc="0" locked="0" layoutInCell="1" allowOverlap="1" wp14:anchorId="76E8F5FC" wp14:editId="7DDD5A3A">
                      <wp:simplePos x="0" y="0"/>
                      <wp:positionH relativeFrom="column">
                        <wp:posOffset>3810</wp:posOffset>
                      </wp:positionH>
                      <wp:positionV relativeFrom="paragraph">
                        <wp:posOffset>15875</wp:posOffset>
                      </wp:positionV>
                      <wp:extent cx="1441450" cy="566420"/>
                      <wp:effectExtent l="57150" t="57150" r="44450" b="43180"/>
                      <wp:wrapNone/>
                      <wp:docPr id="639965810" name="Freihand 159"/>
                      <wp:cNvGraphicFramePr/>
                      <a:graphic xmlns:a="http://schemas.openxmlformats.org/drawingml/2006/main">
                        <a:graphicData uri="http://schemas.microsoft.com/office/word/2010/wordprocessingInk">
                          <w14:contentPart bwMode="auto" r:id="rId155">
                            <w14:nvContentPartPr>
                              <w14:cNvContentPartPr/>
                            </w14:nvContentPartPr>
                            <w14:xfrm>
                              <a:off x="0" y="0"/>
                              <a:ext cx="1441450" cy="566420"/>
                            </w14:xfrm>
                          </w14:contentPart>
                        </a:graphicData>
                      </a:graphic>
                      <wp14:sizeRelH relativeFrom="margin">
                        <wp14:pctWidth>0</wp14:pctWidth>
                      </wp14:sizeRelH>
                      <wp14:sizeRelV relativeFrom="margin">
                        <wp14:pctHeight>0</wp14:pctHeight>
                      </wp14:sizeRelV>
                    </wp:anchor>
                  </w:drawing>
                </mc:Choice>
                <mc:Fallback>
                  <w:pict>
                    <v:shape w14:anchorId="274ADF75" id="Freihand 159" o:spid="_x0000_s1026" type="#_x0000_t75" style="position:absolute;margin-left:-.4pt;margin-top:.55pt;width:114.9pt;height:46pt;z-index:25204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">
                      <v:imagedata r:id="rId156" o:title=""/>
                    </v:shape>
                  </w:pict>
                </mc:Fallback>
              </mc:AlternateContent>
            </w:r>
            <w:r>
              <w:rPr>
                <w:b/>
                <w:shd w:val="clear" w:color="auto" w:fill="FFC000" w:themeFill="accent4"/>
                <w:lang w:val="de-DE"/>
              </w:rPr>
              <w:t>N</w:t>
            </w:r>
            <w:r w:rsidR="00FF7799" w:rsidRPr="00A12C30">
              <w:rPr>
                <w:b/>
                <w:shd w:val="clear" w:color="auto" w:fill="FFC000" w:themeFill="accent4"/>
                <w:lang w:val="de-DE"/>
              </w:rPr>
              <w:t>ame</w:t>
            </w:r>
          </w:p>
          <w:p w14:paraId="01A6FF8A" w14:textId="77777777" w:rsidR="00FF7799" w:rsidRPr="00A62152" w:rsidRDefault="00FF7799" w:rsidP="00A62152">
            <w:pPr>
              <w:pStyle w:val="StandardText"/>
              <w:spacing w:after="120"/>
              <w:rPr>
                <w:b/>
                <w:lang w:val="de-DE"/>
              </w:rPr>
            </w:pPr>
            <w:r w:rsidRPr="00A62152">
              <w:rPr>
                <w:b/>
                <w:spacing w:val="-2"/>
                <w:lang w:val="de-DE"/>
              </w:rPr>
              <w:t>Produkt</w:t>
            </w:r>
          </w:p>
        </w:tc>
        <w:tc>
          <w:tcPr>
            <w:tcW w:w="2105" w:type="pct"/>
            <w:shd w:val="clear" w:color="auto" w:fill="FFC000" w:themeFill="accent4"/>
          </w:tcPr>
          <w:p w14:paraId="7EA6037B" w14:textId="77777777" w:rsidR="00FF7799" w:rsidRPr="00A62152" w:rsidRDefault="00FF7799" w:rsidP="00A62152">
            <w:pPr>
              <w:pStyle w:val="StandardText"/>
              <w:spacing w:after="120"/>
              <w:jc w:val="center"/>
              <w:rPr>
                <w:b/>
                <w:lang w:val="de-DE"/>
              </w:rPr>
            </w:pPr>
            <w:r w:rsidRPr="00A62152">
              <w:rPr>
                <w:b/>
                <w:spacing w:val="-2"/>
                <w:lang w:val="de-DE"/>
              </w:rPr>
              <w:t>differenziert</w:t>
            </w:r>
          </w:p>
        </w:tc>
        <w:tc>
          <w:tcPr>
            <w:tcW w:w="1645" w:type="pct"/>
            <w:shd w:val="clear" w:color="auto" w:fill="FFC000" w:themeFill="accent4"/>
          </w:tcPr>
          <w:p w14:paraId="41E08849" w14:textId="77777777" w:rsidR="00FF7799" w:rsidRPr="00A62152" w:rsidRDefault="00FF7799" w:rsidP="00A62152">
            <w:pPr>
              <w:pStyle w:val="StandardText"/>
              <w:spacing w:after="120"/>
              <w:jc w:val="center"/>
              <w:rPr>
                <w:b/>
                <w:lang w:val="de-DE"/>
              </w:rPr>
            </w:pPr>
            <w:r w:rsidRPr="00A62152">
              <w:rPr>
                <w:b/>
                <w:spacing w:val="-2"/>
                <w:lang w:val="de-DE"/>
              </w:rPr>
              <w:t>standardisiert</w:t>
            </w:r>
          </w:p>
        </w:tc>
      </w:tr>
      <w:tr w:rsidR="00FF7799" w:rsidRPr="00E73F6F" w14:paraId="70023F3A" w14:textId="77777777" w:rsidTr="00A12C30">
        <w:trPr>
          <w:trHeight w:val="760"/>
        </w:trPr>
        <w:tc>
          <w:tcPr>
            <w:tcW w:w="1250" w:type="pct"/>
            <w:shd w:val="clear" w:color="auto" w:fill="FFF2CC" w:themeFill="accent4" w:themeFillTint="33"/>
          </w:tcPr>
          <w:p w14:paraId="6FDE0B8F" w14:textId="77777777" w:rsidR="00FF7799" w:rsidRPr="00A62152" w:rsidRDefault="00FF7799" w:rsidP="00A62152">
            <w:pPr>
              <w:pStyle w:val="StandardText"/>
              <w:spacing w:after="120"/>
              <w:rPr>
                <w:b/>
                <w:lang w:val="de-DE"/>
              </w:rPr>
            </w:pPr>
            <w:r w:rsidRPr="00A62152">
              <w:rPr>
                <w:b/>
                <w:spacing w:val="-2"/>
                <w:lang w:val="de-DE"/>
              </w:rPr>
              <w:t>differenziert</w:t>
            </w:r>
          </w:p>
        </w:tc>
        <w:tc>
          <w:tcPr>
            <w:tcW w:w="2105" w:type="pct"/>
          </w:tcPr>
          <w:p w14:paraId="346E5493" w14:textId="77777777" w:rsidR="00FF7799" w:rsidRPr="00E73F6F" w:rsidRDefault="00FF7799" w:rsidP="00A62152">
            <w:pPr>
              <w:pStyle w:val="StandardText"/>
              <w:jc w:val="left"/>
              <w:rPr>
                <w:i/>
                <w:lang w:val="de-DE"/>
              </w:rPr>
            </w:pPr>
            <w:r w:rsidRPr="00E73F6F">
              <w:rPr>
                <w:lang w:val="de-DE"/>
              </w:rPr>
              <w:t>insb.</w:t>
            </w:r>
            <w:r w:rsidRPr="00E73F6F">
              <w:rPr>
                <w:spacing w:val="-10"/>
                <w:lang w:val="de-DE"/>
              </w:rPr>
              <w:t xml:space="preserve"> </w:t>
            </w:r>
            <w:r w:rsidRPr="00E73F6F">
              <w:rPr>
                <w:lang w:val="de-DE"/>
              </w:rPr>
              <w:t>Nahrungsmittel,</w:t>
            </w:r>
            <w:r w:rsidRPr="00E73F6F">
              <w:rPr>
                <w:spacing w:val="40"/>
                <w:lang w:val="de-DE"/>
              </w:rPr>
              <w:t xml:space="preserve"> </w:t>
            </w:r>
            <w:r w:rsidR="00A62152">
              <w:rPr>
                <w:spacing w:val="40"/>
                <w:lang w:val="de-DE"/>
              </w:rPr>
              <w:br/>
            </w:r>
            <w:r w:rsidRPr="00E73F6F">
              <w:rPr>
                <w:lang w:val="de-DE"/>
              </w:rPr>
              <w:t xml:space="preserve">etwa von </w:t>
            </w:r>
            <w:r w:rsidRPr="00E73F6F">
              <w:rPr>
                <w:i/>
                <w:lang w:val="de-DE"/>
              </w:rPr>
              <w:t>Unilever</w:t>
            </w:r>
          </w:p>
        </w:tc>
        <w:tc>
          <w:tcPr>
            <w:tcW w:w="1645" w:type="pct"/>
          </w:tcPr>
          <w:p w14:paraId="07AF6D56" w14:textId="77777777" w:rsidR="00FF7799" w:rsidRPr="00E73F6F" w:rsidRDefault="00FF7799" w:rsidP="00A62152">
            <w:pPr>
              <w:pStyle w:val="StandardText"/>
              <w:jc w:val="left"/>
              <w:rPr>
                <w:i/>
                <w:lang w:val="de-DE"/>
              </w:rPr>
            </w:pPr>
            <w:r w:rsidRPr="00E73F6F">
              <w:rPr>
                <w:i/>
                <w:lang w:val="de-DE"/>
              </w:rPr>
              <w:t>Coca-Cola</w:t>
            </w:r>
            <w:r w:rsidRPr="00E73F6F">
              <w:rPr>
                <w:lang w:val="de-DE"/>
              </w:rPr>
              <w:t>;</w:t>
            </w:r>
            <w:r w:rsidRPr="00E73F6F">
              <w:rPr>
                <w:spacing w:val="-10"/>
                <w:lang w:val="de-DE"/>
              </w:rPr>
              <w:t xml:space="preserve"> </w:t>
            </w:r>
            <w:r w:rsidRPr="00E73F6F">
              <w:rPr>
                <w:i/>
                <w:lang w:val="de-DE"/>
              </w:rPr>
              <w:t>Pepsi-Cola</w:t>
            </w:r>
            <w:r w:rsidRPr="00E73F6F">
              <w:rPr>
                <w:lang w:val="de-DE"/>
              </w:rPr>
              <w:t>;</w:t>
            </w:r>
            <w:r w:rsidRPr="00E73F6F">
              <w:rPr>
                <w:spacing w:val="40"/>
                <w:lang w:val="de-DE"/>
              </w:rPr>
              <w:t xml:space="preserve"> </w:t>
            </w:r>
            <w:r w:rsidRPr="00E73F6F">
              <w:rPr>
                <w:i/>
                <w:lang w:val="de-DE"/>
              </w:rPr>
              <w:t>Camel</w:t>
            </w:r>
            <w:r w:rsidRPr="00E73F6F">
              <w:rPr>
                <w:lang w:val="de-DE"/>
              </w:rPr>
              <w:t>; Produkte von</w:t>
            </w:r>
            <w:r w:rsidRPr="00E73F6F">
              <w:rPr>
                <w:spacing w:val="40"/>
                <w:lang w:val="de-DE"/>
              </w:rPr>
              <w:t xml:space="preserve"> </w:t>
            </w:r>
            <w:r w:rsidRPr="00E73F6F">
              <w:rPr>
                <w:i/>
                <w:spacing w:val="-2"/>
                <w:lang w:val="de-DE"/>
              </w:rPr>
              <w:t>Kraft</w:t>
            </w:r>
          </w:p>
        </w:tc>
      </w:tr>
      <w:tr w:rsidR="00FF7799" w:rsidRPr="00E73F6F" w14:paraId="50A4DB30" w14:textId="77777777" w:rsidTr="00A12C30">
        <w:trPr>
          <w:trHeight w:val="760"/>
        </w:trPr>
        <w:tc>
          <w:tcPr>
            <w:tcW w:w="1250" w:type="pct"/>
            <w:shd w:val="clear" w:color="auto" w:fill="FFF2CC" w:themeFill="accent4" w:themeFillTint="33"/>
          </w:tcPr>
          <w:p w14:paraId="21407CBF" w14:textId="77777777" w:rsidR="00FF7799" w:rsidRPr="00A62152" w:rsidRDefault="00FF7799" w:rsidP="00A62152">
            <w:pPr>
              <w:pStyle w:val="StandardText"/>
              <w:spacing w:after="120"/>
              <w:rPr>
                <w:b/>
                <w:lang w:val="de-DE"/>
              </w:rPr>
            </w:pPr>
            <w:r w:rsidRPr="00A62152">
              <w:rPr>
                <w:b/>
                <w:spacing w:val="-2"/>
                <w:lang w:val="de-DE"/>
              </w:rPr>
              <w:t>standardisiert</w:t>
            </w:r>
          </w:p>
        </w:tc>
        <w:tc>
          <w:tcPr>
            <w:tcW w:w="2105" w:type="pct"/>
          </w:tcPr>
          <w:p w14:paraId="41FE7BC9" w14:textId="77777777" w:rsidR="00FF7799" w:rsidRPr="00E73F6F" w:rsidRDefault="00FF7799" w:rsidP="00A62152">
            <w:pPr>
              <w:pStyle w:val="StandardText"/>
              <w:jc w:val="left"/>
              <w:rPr>
                <w:i/>
                <w:lang w:val="de-DE"/>
              </w:rPr>
            </w:pPr>
            <w:r w:rsidRPr="00E73F6F">
              <w:rPr>
                <w:i/>
                <w:lang w:val="de-DE"/>
              </w:rPr>
              <w:t>Snuggl,</w:t>
            </w:r>
            <w:r w:rsidRPr="00E73F6F">
              <w:rPr>
                <w:i/>
                <w:spacing w:val="-5"/>
                <w:lang w:val="de-DE"/>
              </w:rPr>
              <w:t xml:space="preserve"> </w:t>
            </w:r>
            <w:r w:rsidRPr="00E73F6F">
              <w:rPr>
                <w:i/>
                <w:lang w:val="de-DE"/>
              </w:rPr>
              <w:t>Mimosin,</w:t>
            </w:r>
            <w:r w:rsidRPr="00E73F6F">
              <w:rPr>
                <w:i/>
                <w:spacing w:val="40"/>
                <w:lang w:val="de-DE"/>
              </w:rPr>
              <w:t xml:space="preserve"> </w:t>
            </w:r>
            <w:r w:rsidRPr="00E73F6F">
              <w:rPr>
                <w:i/>
                <w:lang w:val="de-DE"/>
              </w:rPr>
              <w:t>Kuschelweich,</w:t>
            </w:r>
            <w:r w:rsidRPr="00E73F6F">
              <w:rPr>
                <w:i/>
                <w:spacing w:val="-10"/>
                <w:lang w:val="de-DE"/>
              </w:rPr>
              <w:t xml:space="preserve"> </w:t>
            </w:r>
            <w:r w:rsidRPr="00E73F6F">
              <w:rPr>
                <w:i/>
                <w:lang w:val="de-DE"/>
              </w:rPr>
              <w:t>Silkience,</w:t>
            </w:r>
            <w:r w:rsidRPr="00E73F6F">
              <w:rPr>
                <w:i/>
                <w:spacing w:val="40"/>
                <w:lang w:val="de-DE"/>
              </w:rPr>
              <w:t xml:space="preserve"> </w:t>
            </w:r>
            <w:r w:rsidRPr="00E73F6F">
              <w:rPr>
                <w:i/>
                <w:lang w:val="de-DE"/>
              </w:rPr>
              <w:t>Soyance,</w:t>
            </w:r>
            <w:r w:rsidRPr="00E73F6F">
              <w:rPr>
                <w:i/>
                <w:spacing w:val="-5"/>
                <w:lang w:val="de-DE"/>
              </w:rPr>
              <w:t xml:space="preserve"> </w:t>
            </w:r>
            <w:r w:rsidRPr="00E73F6F">
              <w:rPr>
                <w:i/>
                <w:lang w:val="de-DE"/>
              </w:rPr>
              <w:t>Sientel</w:t>
            </w:r>
          </w:p>
        </w:tc>
        <w:tc>
          <w:tcPr>
            <w:tcW w:w="1645" w:type="pct"/>
          </w:tcPr>
          <w:p w14:paraId="5ADFA409" w14:textId="77777777" w:rsidR="00FF7799" w:rsidRPr="00E73F6F" w:rsidRDefault="00FF7799" w:rsidP="00A62152">
            <w:pPr>
              <w:pStyle w:val="StandardText"/>
              <w:jc w:val="left"/>
              <w:rPr>
                <w:lang w:val="de-DE"/>
              </w:rPr>
            </w:pPr>
            <w:r w:rsidRPr="00E73F6F">
              <w:rPr>
                <w:i/>
                <w:lang w:val="de-DE"/>
              </w:rPr>
              <w:t>Kodak</w:t>
            </w:r>
            <w:r w:rsidRPr="00E73F6F">
              <w:rPr>
                <w:lang w:val="de-DE"/>
              </w:rPr>
              <w:t xml:space="preserve">-Filme; </w:t>
            </w:r>
            <w:r w:rsidRPr="00E73F6F">
              <w:rPr>
                <w:i/>
                <w:lang w:val="de-DE"/>
              </w:rPr>
              <w:t>Rado</w:t>
            </w:r>
            <w:r w:rsidRPr="00E73F6F">
              <w:rPr>
                <w:lang w:val="de-DE"/>
              </w:rPr>
              <w:t>-,</w:t>
            </w:r>
            <w:r w:rsidRPr="00E73F6F">
              <w:rPr>
                <w:spacing w:val="40"/>
                <w:lang w:val="de-DE"/>
              </w:rPr>
              <w:t xml:space="preserve"> </w:t>
            </w:r>
            <w:r w:rsidRPr="00E73F6F">
              <w:rPr>
                <w:i/>
                <w:lang w:val="de-DE"/>
              </w:rPr>
              <w:t>Seiko</w:t>
            </w:r>
            <w:r w:rsidRPr="00E73F6F">
              <w:rPr>
                <w:lang w:val="de-DE"/>
              </w:rPr>
              <w:t>-Uhren;</w:t>
            </w:r>
            <w:r w:rsidRPr="00E73F6F">
              <w:rPr>
                <w:spacing w:val="-10"/>
                <w:lang w:val="de-DE"/>
              </w:rPr>
              <w:t xml:space="preserve"> </w:t>
            </w:r>
            <w:r w:rsidRPr="00E73F6F">
              <w:rPr>
                <w:i/>
                <w:lang w:val="de-DE"/>
              </w:rPr>
              <w:t>Minolta</w:t>
            </w:r>
            <w:r w:rsidRPr="00E73F6F">
              <w:rPr>
                <w:lang w:val="de-DE"/>
              </w:rPr>
              <w:t>-,</w:t>
            </w:r>
            <w:r w:rsidRPr="00E73F6F">
              <w:rPr>
                <w:spacing w:val="40"/>
                <w:lang w:val="de-DE"/>
              </w:rPr>
              <w:t xml:space="preserve"> </w:t>
            </w:r>
            <w:r w:rsidRPr="00E73F6F">
              <w:rPr>
                <w:i/>
                <w:spacing w:val="-2"/>
                <w:lang w:val="de-DE"/>
              </w:rPr>
              <w:t>Canon</w:t>
            </w:r>
            <w:r w:rsidRPr="00E73F6F">
              <w:rPr>
                <w:spacing w:val="-2"/>
                <w:lang w:val="de-DE"/>
              </w:rPr>
              <w:t>-Kameras</w:t>
            </w:r>
          </w:p>
        </w:tc>
      </w:tr>
    </w:tbl>
    <w:p w14:paraId="5F79AC2F" w14:textId="77777777" w:rsidR="00FF7799" w:rsidRPr="00E73F6F" w:rsidRDefault="00FF7799" w:rsidP="00E01A39">
      <w:pPr>
        <w:pStyle w:val="Quellen"/>
      </w:pPr>
      <w:r w:rsidRPr="00E73F6F">
        <w:t>Quelle:</w:t>
      </w:r>
      <w:r w:rsidRPr="00E73F6F">
        <w:rPr>
          <w:spacing w:val="31"/>
        </w:rPr>
        <w:t xml:space="preserve"> </w:t>
      </w:r>
      <w:r w:rsidRPr="00E73F6F">
        <w:t>Meffert/Bolz</w:t>
      </w:r>
      <w:r w:rsidRPr="00E73F6F">
        <w:rPr>
          <w:spacing w:val="-1"/>
        </w:rPr>
        <w:t xml:space="preserve"> </w:t>
      </w:r>
      <w:r w:rsidRPr="00E73F6F">
        <w:t>(1998,</w:t>
      </w:r>
      <w:r w:rsidRPr="00E73F6F">
        <w:rPr>
          <w:spacing w:val="-2"/>
        </w:rPr>
        <w:t xml:space="preserve"> S.189).</w:t>
      </w:r>
    </w:p>
    <w:p w14:paraId="59CF688E" w14:textId="38B94794" w:rsidR="00FF7799" w:rsidRPr="00E73F6F" w:rsidRDefault="00ED4C94" w:rsidP="00E01A39">
      <w:pPr>
        <w:pStyle w:val="StandardText"/>
      </w:pPr>
      <w:r>
        <w:rPr>
          <w:noProof/>
        </w:rPr>
        <mc:AlternateContent>
          <mc:Choice Requires="wpi">
            <w:drawing>
              <wp:anchor distT="0" distB="0" distL="114300" distR="114300" simplePos="0" relativeHeight="252045312" behindDoc="0" locked="0" layoutInCell="1" allowOverlap="1" wp14:anchorId="36FBDB99" wp14:editId="19EF7065">
                <wp:simplePos x="0" y="0"/>
                <wp:positionH relativeFrom="column">
                  <wp:posOffset>-1440781</wp:posOffset>
                </wp:positionH>
                <wp:positionV relativeFrom="paragraph">
                  <wp:posOffset>192695</wp:posOffset>
                </wp:positionV>
                <wp:extent cx="5400" cy="5400"/>
                <wp:effectExtent l="57150" t="57150" r="52070" b="52070"/>
                <wp:wrapNone/>
                <wp:docPr id="2029924519" name="Freihand 161"/>
                <wp:cNvGraphicFramePr/>
                <a:graphic xmlns:a="http://schemas.openxmlformats.org/drawingml/2006/main">
                  <a:graphicData uri="http://schemas.microsoft.com/office/word/2010/wordprocessingInk">
                    <w14:contentPart bwMode="auto" r:id="rId157">
                      <w14:nvContentPartPr>
                        <w14:cNvContentPartPr/>
                      </w14:nvContentPartPr>
                      <w14:xfrm>
                        <a:off x="0" y="0"/>
                        <a:ext cx="5400" cy="5400"/>
                      </w14:xfrm>
                    </w14:contentPart>
                  </a:graphicData>
                </a:graphic>
              </wp:anchor>
            </w:drawing>
          </mc:Choice>
          <mc:Fallback>
            <w:pict>
              <v:shape w14:anchorId="2CE97A73" id="Freihand 161" o:spid="_x0000_s1026" type="#_x0000_t75" style="position:absolute;margin-left:-114.15pt;margin-top:14.45pt;width:1.85pt;height:1.85pt;z-index:252045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">
                <v:imagedata r:id="rId154" o:title=""/>
              </v:shape>
            </w:pict>
          </mc:Fallback>
        </mc:AlternateContent>
      </w:r>
    </w:p>
    <w:p w14:paraId="04EAF57E" w14:textId="77777777" w:rsidR="00FF7799" w:rsidRPr="00E73F6F" w:rsidRDefault="00FF7799" w:rsidP="00E01A39">
      <w:pPr>
        <w:pStyle w:val="StandardText"/>
      </w:pPr>
      <w:r w:rsidRPr="00E73F6F">
        <w:t xml:space="preserve">Fremdsprachige Markennamen, welche die Herkunft des Produkts kommunizieren (bspw. </w:t>
      </w:r>
      <w:r w:rsidRPr="00E73F6F">
        <w:rPr>
          <w:i/>
        </w:rPr>
        <w:t xml:space="preserve">Renault </w:t>
      </w:r>
      <w:r w:rsidRPr="00E73F6F">
        <w:t>und Frankreich), lösen primär Assoziationen zu dem jeweiligen Land und des</w:t>
      </w:r>
      <w:r w:rsidR="00A12C30">
        <w:t xml:space="preserve">sen Sprache aus (z.B. </w:t>
      </w:r>
      <w:r w:rsidR="00A12C30">
        <w:sym w:font="Symbol" w:char="F0DE"/>
      </w:r>
      <w:r w:rsidRPr="00E73F6F">
        <w:t xml:space="preserve"> Länderstereotyp).</w:t>
      </w:r>
      <w:r w:rsidRPr="00E73F6F">
        <w:rPr>
          <w:spacing w:val="-12"/>
        </w:rPr>
        <w:t xml:space="preserve"> </w:t>
      </w:r>
      <w:r w:rsidRPr="00E73F6F">
        <w:t>Demgegenüber</w:t>
      </w:r>
      <w:r w:rsidRPr="00E73F6F">
        <w:rPr>
          <w:spacing w:val="-11"/>
        </w:rPr>
        <w:t xml:space="preserve"> </w:t>
      </w:r>
      <w:r w:rsidRPr="00E73F6F">
        <w:t>provoziert</w:t>
      </w:r>
      <w:r w:rsidRPr="00E73F6F">
        <w:rPr>
          <w:spacing w:val="-11"/>
        </w:rPr>
        <w:t xml:space="preserve"> </w:t>
      </w:r>
      <w:r w:rsidRPr="00E73F6F">
        <w:t>das</w:t>
      </w:r>
      <w:r w:rsidRPr="00E73F6F">
        <w:rPr>
          <w:spacing w:val="-11"/>
        </w:rPr>
        <w:t xml:space="preserve"> </w:t>
      </w:r>
      <w:r w:rsidRPr="00E73F6F">
        <w:t>traditionelle</w:t>
      </w:r>
      <w:r w:rsidRPr="00E73F6F">
        <w:rPr>
          <w:spacing w:val="-10"/>
        </w:rPr>
        <w:t xml:space="preserve"> </w:t>
      </w:r>
      <w:r w:rsidRPr="00E73F6F">
        <w:t>Herkunftszeichen</w:t>
      </w:r>
      <w:r w:rsidRPr="00E73F6F">
        <w:rPr>
          <w:spacing w:val="-11"/>
        </w:rPr>
        <w:t xml:space="preserve"> </w:t>
      </w:r>
      <w:r w:rsidRPr="00E73F6F">
        <w:t>eher</w:t>
      </w:r>
      <w:r w:rsidRPr="00E73F6F">
        <w:rPr>
          <w:spacing w:val="-12"/>
        </w:rPr>
        <w:t xml:space="preserve"> </w:t>
      </w:r>
      <w:r w:rsidRPr="00E73F6F">
        <w:t>Vorstellungsbilder,</w:t>
      </w:r>
      <w:r w:rsidRPr="00E73F6F">
        <w:rPr>
          <w:spacing w:val="64"/>
        </w:rPr>
        <w:t xml:space="preserve"> </w:t>
      </w:r>
      <w:r w:rsidRPr="00E73F6F">
        <w:t>die</w:t>
      </w:r>
      <w:r w:rsidRPr="00E73F6F">
        <w:rPr>
          <w:spacing w:val="67"/>
        </w:rPr>
        <w:t xml:space="preserve"> </w:t>
      </w:r>
      <w:r w:rsidRPr="00E73F6F">
        <w:t>sich</w:t>
      </w:r>
      <w:r w:rsidRPr="00E73F6F">
        <w:rPr>
          <w:spacing w:val="66"/>
        </w:rPr>
        <w:t xml:space="preserve"> </w:t>
      </w:r>
      <w:r w:rsidRPr="00E73F6F">
        <w:t>auf</w:t>
      </w:r>
      <w:r w:rsidRPr="00E73F6F">
        <w:rPr>
          <w:spacing w:val="64"/>
        </w:rPr>
        <w:t xml:space="preserve"> </w:t>
      </w:r>
      <w:r w:rsidRPr="00E73F6F">
        <w:t>die</w:t>
      </w:r>
      <w:r w:rsidRPr="00E73F6F">
        <w:rPr>
          <w:spacing w:val="66"/>
        </w:rPr>
        <w:t xml:space="preserve"> </w:t>
      </w:r>
      <w:r w:rsidRPr="00E73F6F">
        <w:t>industrielle</w:t>
      </w:r>
      <w:r w:rsidRPr="00E73F6F">
        <w:rPr>
          <w:spacing w:val="64"/>
        </w:rPr>
        <w:t xml:space="preserve"> </w:t>
      </w:r>
      <w:r w:rsidRPr="00E73F6F">
        <w:t>Stärke</w:t>
      </w:r>
      <w:r w:rsidRPr="00E73F6F">
        <w:rPr>
          <w:spacing w:val="63"/>
        </w:rPr>
        <w:t xml:space="preserve"> </w:t>
      </w:r>
      <w:r w:rsidRPr="00E73F6F">
        <w:t>dieses</w:t>
      </w:r>
      <w:r w:rsidRPr="00E73F6F">
        <w:rPr>
          <w:spacing w:val="67"/>
        </w:rPr>
        <w:t xml:space="preserve"> </w:t>
      </w:r>
      <w:r w:rsidRPr="00E73F6F">
        <w:t>Landes</w:t>
      </w:r>
      <w:r w:rsidRPr="00E73F6F">
        <w:rPr>
          <w:spacing w:val="64"/>
        </w:rPr>
        <w:t xml:space="preserve"> </w:t>
      </w:r>
      <w:r w:rsidRPr="00E73F6F">
        <w:t>und</w:t>
      </w:r>
      <w:r w:rsidRPr="00E73F6F">
        <w:rPr>
          <w:spacing w:val="66"/>
        </w:rPr>
        <w:t xml:space="preserve"> </w:t>
      </w:r>
      <w:r w:rsidRPr="00E73F6F">
        <w:rPr>
          <w:spacing w:val="-5"/>
        </w:rPr>
        <w:t>die</w:t>
      </w:r>
      <w:r w:rsidRPr="00E73F6F">
        <w:t xml:space="preserve"> Qualität der dort hergestellten</w:t>
      </w:r>
      <w:r w:rsidR="00A12C30">
        <w:t xml:space="preserve"> Produkte zurückführen lassen (</w:t>
      </w:r>
      <w:r w:rsidR="00A12C30">
        <w:sym w:font="Symbol" w:char="F0DE"/>
      </w:r>
      <w:r w:rsidRPr="00E73F6F">
        <w:t xml:space="preserve"> Made in …). Um</w:t>
      </w:r>
      <w:r w:rsidRPr="00E73F6F">
        <w:rPr>
          <w:spacing w:val="-4"/>
        </w:rPr>
        <w:t xml:space="preserve"> </w:t>
      </w:r>
      <w:r w:rsidRPr="00E73F6F">
        <w:t>die</w:t>
      </w:r>
      <w:r w:rsidRPr="00E73F6F">
        <w:rPr>
          <w:spacing w:val="-3"/>
        </w:rPr>
        <w:t xml:space="preserve"> </w:t>
      </w:r>
      <w:r w:rsidRPr="00E73F6F">
        <w:t>Erinnerbarkeit</w:t>
      </w:r>
      <w:r w:rsidRPr="00E73F6F">
        <w:rPr>
          <w:spacing w:val="-2"/>
        </w:rPr>
        <w:t xml:space="preserve"> </w:t>
      </w:r>
      <w:r w:rsidRPr="00E73F6F">
        <w:t>von</w:t>
      </w:r>
      <w:r w:rsidRPr="00E73F6F">
        <w:rPr>
          <w:spacing w:val="-3"/>
        </w:rPr>
        <w:t xml:space="preserve"> </w:t>
      </w:r>
      <w:r w:rsidRPr="00E73F6F">
        <w:t>Markennamen</w:t>
      </w:r>
      <w:r w:rsidRPr="00E73F6F">
        <w:rPr>
          <w:spacing w:val="-3"/>
        </w:rPr>
        <w:t xml:space="preserve"> </w:t>
      </w:r>
      <w:r w:rsidRPr="00E73F6F">
        <w:t>zu</w:t>
      </w:r>
      <w:r w:rsidRPr="00E73F6F">
        <w:rPr>
          <w:spacing w:val="-3"/>
        </w:rPr>
        <w:t xml:space="preserve"> </w:t>
      </w:r>
      <w:r w:rsidRPr="00E73F6F">
        <w:t>optimieren,</w:t>
      </w:r>
      <w:r w:rsidRPr="00E73F6F">
        <w:rPr>
          <w:spacing w:val="-3"/>
        </w:rPr>
        <w:t xml:space="preserve"> </w:t>
      </w:r>
      <w:r w:rsidRPr="00E73F6F">
        <w:t>müssen</w:t>
      </w:r>
      <w:r w:rsidRPr="00E73F6F">
        <w:rPr>
          <w:spacing w:val="-3"/>
        </w:rPr>
        <w:t xml:space="preserve"> </w:t>
      </w:r>
      <w:r w:rsidRPr="00E73F6F">
        <w:t>diese</w:t>
      </w:r>
      <w:r w:rsidRPr="00E73F6F">
        <w:rPr>
          <w:spacing w:val="-4"/>
        </w:rPr>
        <w:t xml:space="preserve"> </w:t>
      </w:r>
      <w:r w:rsidRPr="00E73F6F">
        <w:t>möglichst unterscheidbar</w:t>
      </w:r>
      <w:r w:rsidRPr="00E73F6F">
        <w:rPr>
          <w:spacing w:val="40"/>
        </w:rPr>
        <w:t xml:space="preserve"> </w:t>
      </w:r>
      <w:r w:rsidRPr="00E73F6F">
        <w:t>kodiert</w:t>
      </w:r>
      <w:r w:rsidRPr="00E73F6F">
        <w:rPr>
          <w:spacing w:val="40"/>
        </w:rPr>
        <w:t xml:space="preserve"> </w:t>
      </w:r>
      <w:r w:rsidRPr="00E73F6F">
        <w:t>werden.</w:t>
      </w:r>
      <w:r w:rsidRPr="00E73F6F">
        <w:rPr>
          <w:spacing w:val="40"/>
        </w:rPr>
        <w:t xml:space="preserve"> </w:t>
      </w:r>
      <w:r w:rsidRPr="00E73F6F">
        <w:t>Daraus</w:t>
      </w:r>
      <w:r w:rsidRPr="00E73F6F">
        <w:rPr>
          <w:spacing w:val="40"/>
        </w:rPr>
        <w:t xml:space="preserve"> </w:t>
      </w:r>
      <w:r w:rsidRPr="00E73F6F">
        <w:t>wiederum</w:t>
      </w:r>
      <w:r w:rsidRPr="00E73F6F">
        <w:rPr>
          <w:spacing w:val="40"/>
        </w:rPr>
        <w:t xml:space="preserve"> </w:t>
      </w:r>
      <w:r w:rsidRPr="00E73F6F">
        <w:t>folgt,</w:t>
      </w:r>
      <w:r w:rsidRPr="00E73F6F">
        <w:rPr>
          <w:spacing w:val="40"/>
        </w:rPr>
        <w:t xml:space="preserve"> </w:t>
      </w:r>
      <w:r w:rsidRPr="00E73F6F">
        <w:t>dass</w:t>
      </w:r>
      <w:r w:rsidRPr="00E73F6F">
        <w:rPr>
          <w:spacing w:val="40"/>
        </w:rPr>
        <w:t xml:space="preserve"> </w:t>
      </w:r>
      <w:r w:rsidRPr="00E73F6F">
        <w:t>alphabetische</w:t>
      </w:r>
      <w:r w:rsidRPr="00E73F6F">
        <w:rPr>
          <w:spacing w:val="40"/>
        </w:rPr>
        <w:t xml:space="preserve"> </w:t>
      </w:r>
      <w:r w:rsidRPr="00E73F6F">
        <w:t>Markennamen</w:t>
      </w:r>
      <w:r w:rsidRPr="00E73F6F">
        <w:rPr>
          <w:spacing w:val="-12"/>
        </w:rPr>
        <w:t xml:space="preserve"> </w:t>
      </w:r>
      <w:r w:rsidRPr="00E73F6F">
        <w:t>vor</w:t>
      </w:r>
      <w:r w:rsidRPr="00E73F6F">
        <w:rPr>
          <w:spacing w:val="-11"/>
        </w:rPr>
        <w:t xml:space="preserve"> </w:t>
      </w:r>
      <w:r w:rsidRPr="00E73F6F">
        <w:t>allem</w:t>
      </w:r>
      <w:r w:rsidRPr="00E73F6F">
        <w:rPr>
          <w:spacing w:val="-11"/>
        </w:rPr>
        <w:t xml:space="preserve"> </w:t>
      </w:r>
      <w:r w:rsidRPr="00E73F6F">
        <w:t>phonologisch</w:t>
      </w:r>
      <w:r w:rsidRPr="00E73F6F">
        <w:rPr>
          <w:i/>
          <w:spacing w:val="-9"/>
        </w:rPr>
        <w:t xml:space="preserve"> </w:t>
      </w:r>
      <w:r w:rsidRPr="00E73F6F">
        <w:t>auffallen</w:t>
      </w:r>
      <w:r w:rsidRPr="00E73F6F">
        <w:rPr>
          <w:spacing w:val="-10"/>
        </w:rPr>
        <w:t xml:space="preserve"> </w:t>
      </w:r>
      <w:r w:rsidRPr="00E73F6F">
        <w:t>sollten</w:t>
      </w:r>
      <w:r w:rsidRPr="00E73F6F">
        <w:rPr>
          <w:spacing w:val="-11"/>
        </w:rPr>
        <w:t xml:space="preserve"> </w:t>
      </w:r>
      <w:r w:rsidRPr="00E73F6F">
        <w:t>und</w:t>
      </w:r>
      <w:r w:rsidRPr="00E73F6F">
        <w:rPr>
          <w:spacing w:val="-10"/>
        </w:rPr>
        <w:t xml:space="preserve"> </w:t>
      </w:r>
      <w:r w:rsidRPr="00E73F6F">
        <w:t>Markennamen,</w:t>
      </w:r>
      <w:r w:rsidRPr="00E73F6F">
        <w:rPr>
          <w:spacing w:val="-10"/>
        </w:rPr>
        <w:t xml:space="preserve"> </w:t>
      </w:r>
      <w:r w:rsidRPr="00E73F6F">
        <w:t>die</w:t>
      </w:r>
      <w:r w:rsidRPr="00E73F6F">
        <w:rPr>
          <w:spacing w:val="-12"/>
        </w:rPr>
        <w:t xml:space="preserve"> </w:t>
      </w:r>
      <w:r w:rsidRPr="00E73F6F">
        <w:rPr>
          <w:spacing w:val="-5"/>
        </w:rPr>
        <w:t xml:space="preserve">per </w:t>
      </w:r>
      <w:r w:rsidRPr="00E73F6F">
        <w:t>Schriftzeichen (z.B. Chinesisch) kommuniziert werden, primär visuell. Da ein umfassendes und tief strukturiertes semantisches Netzwerk, dem der Markenname</w:t>
      </w:r>
      <w:r w:rsidRPr="00E73F6F">
        <w:rPr>
          <w:spacing w:val="-12"/>
        </w:rPr>
        <w:t xml:space="preserve"> </w:t>
      </w:r>
      <w:r w:rsidRPr="00E73F6F">
        <w:t>angehört,</w:t>
      </w:r>
      <w:r w:rsidRPr="00E73F6F">
        <w:rPr>
          <w:spacing w:val="-11"/>
        </w:rPr>
        <w:t xml:space="preserve"> </w:t>
      </w:r>
      <w:r w:rsidRPr="00E73F6F">
        <w:t>dessen</w:t>
      </w:r>
      <w:r w:rsidRPr="00E73F6F">
        <w:rPr>
          <w:spacing w:val="-11"/>
        </w:rPr>
        <w:t xml:space="preserve"> </w:t>
      </w:r>
      <w:r w:rsidRPr="00E73F6F">
        <w:t>Recognition</w:t>
      </w:r>
      <w:r w:rsidRPr="00E73F6F">
        <w:rPr>
          <w:spacing w:val="-6"/>
        </w:rPr>
        <w:t xml:space="preserve"> </w:t>
      </w:r>
      <w:r w:rsidRPr="00E73F6F">
        <w:t>im</w:t>
      </w:r>
      <w:r w:rsidRPr="00E73F6F">
        <w:rPr>
          <w:spacing w:val="-12"/>
        </w:rPr>
        <w:t xml:space="preserve"> </w:t>
      </w:r>
      <w:r w:rsidRPr="00E73F6F">
        <w:t>Regelfall</w:t>
      </w:r>
      <w:r w:rsidRPr="00E73F6F">
        <w:rPr>
          <w:spacing w:val="-11"/>
        </w:rPr>
        <w:t xml:space="preserve"> </w:t>
      </w:r>
      <w:r w:rsidRPr="00E73F6F">
        <w:t>eher</w:t>
      </w:r>
      <w:r w:rsidRPr="00E73F6F">
        <w:rPr>
          <w:spacing w:val="-10"/>
        </w:rPr>
        <w:t xml:space="preserve"> </w:t>
      </w:r>
      <w:r w:rsidRPr="00E73F6F">
        <w:t>behindert</w:t>
      </w:r>
      <w:r w:rsidRPr="00E73F6F">
        <w:rPr>
          <w:spacing w:val="-11"/>
        </w:rPr>
        <w:t xml:space="preserve"> </w:t>
      </w:r>
      <w:r w:rsidRPr="00E73F6F">
        <w:t>als</w:t>
      </w:r>
      <w:r w:rsidRPr="00E73F6F">
        <w:rPr>
          <w:spacing w:val="-11"/>
        </w:rPr>
        <w:t xml:space="preserve"> </w:t>
      </w:r>
      <w:r w:rsidRPr="00E73F6F">
        <w:t>fördert, werden</w:t>
      </w:r>
      <w:r w:rsidRPr="00E73F6F">
        <w:rPr>
          <w:spacing w:val="-10"/>
        </w:rPr>
        <w:t xml:space="preserve"> </w:t>
      </w:r>
      <w:r w:rsidRPr="00E73F6F">
        <w:t>seltene</w:t>
      </w:r>
      <w:r w:rsidRPr="00E73F6F">
        <w:rPr>
          <w:spacing w:val="-11"/>
        </w:rPr>
        <w:t xml:space="preserve"> </w:t>
      </w:r>
      <w:r w:rsidRPr="00E73F6F">
        <w:t>fremdsprachige</w:t>
      </w:r>
      <w:r w:rsidRPr="00E73F6F">
        <w:rPr>
          <w:spacing w:val="-11"/>
        </w:rPr>
        <w:t xml:space="preserve"> </w:t>
      </w:r>
      <w:r w:rsidRPr="00E73F6F">
        <w:t>Markennamen</w:t>
      </w:r>
      <w:r w:rsidRPr="00E73F6F">
        <w:rPr>
          <w:spacing w:val="-9"/>
        </w:rPr>
        <w:t xml:space="preserve"> </w:t>
      </w:r>
      <w:r w:rsidRPr="00E73F6F">
        <w:t>(zumal</w:t>
      </w:r>
      <w:r w:rsidRPr="00E73F6F">
        <w:rPr>
          <w:spacing w:val="-10"/>
        </w:rPr>
        <w:t xml:space="preserve"> </w:t>
      </w:r>
      <w:r w:rsidRPr="00E73F6F">
        <w:t>als</w:t>
      </w:r>
      <w:r w:rsidRPr="00E73F6F">
        <w:rPr>
          <w:spacing w:val="-10"/>
        </w:rPr>
        <w:t xml:space="preserve"> </w:t>
      </w:r>
      <w:r w:rsidRPr="00E73F6F">
        <w:t>Kunstwort)</w:t>
      </w:r>
      <w:r w:rsidRPr="00E73F6F">
        <w:rPr>
          <w:spacing w:val="-10"/>
        </w:rPr>
        <w:t xml:space="preserve"> </w:t>
      </w:r>
      <w:r w:rsidRPr="00E73F6F">
        <w:t>durchaus</w:t>
      </w:r>
      <w:r w:rsidRPr="00E73F6F">
        <w:rPr>
          <w:spacing w:val="-12"/>
        </w:rPr>
        <w:t xml:space="preserve"> </w:t>
      </w:r>
      <w:r w:rsidRPr="00E73F6F">
        <w:t xml:space="preserve">gut erinnert, wenn man dieses </w:t>
      </w:r>
      <w:r w:rsidRPr="00E73F6F">
        <w:lastRenderedPageBreak/>
        <w:t>Bekanntheitsmaß verwendet. Ganz anders verhält es sich mit dem Recall-Maß; daran gemessen schneiden fremdsprachige Markennamen im Regelfall nicht gut ab.</w:t>
      </w:r>
    </w:p>
    <w:p w14:paraId="44D89773" w14:textId="77777777" w:rsidR="00FF7799" w:rsidRPr="00E73F6F" w:rsidRDefault="00FF7799" w:rsidP="00E01A39">
      <w:pPr>
        <w:pStyle w:val="StandardText"/>
        <w:rPr>
          <w:spacing w:val="-2"/>
        </w:rPr>
      </w:pPr>
      <w:r w:rsidRPr="00E73F6F">
        <w:t>Die Lautsymbolik kann Markennamen eine spezifische Bedeutung verleihen. Käufer ziehen diese dann einem bedeutungslosen Markennamen vor, wenn die klangliche Assoziation mit den übrigen Markeninformationen im Einklang steht. Vor allem Bewohner alphabetischer Sprachräume reagieren auf diese Art von Übereinstimmung positiv, während Chinesen, Koreaner, Japaner etc. stärker auf den</w:t>
      </w:r>
      <w:r w:rsidRPr="00E73F6F">
        <w:rPr>
          <w:spacing w:val="-4"/>
        </w:rPr>
        <w:t xml:space="preserve"> </w:t>
      </w:r>
      <w:r w:rsidRPr="00E73F6F">
        <w:t>Fit</w:t>
      </w:r>
      <w:r w:rsidRPr="00E73F6F">
        <w:rPr>
          <w:spacing w:val="-5"/>
        </w:rPr>
        <w:t xml:space="preserve"> </w:t>
      </w:r>
      <w:r w:rsidRPr="00E73F6F">
        <w:t>der</w:t>
      </w:r>
      <w:r w:rsidRPr="00E73F6F">
        <w:rPr>
          <w:spacing w:val="-5"/>
        </w:rPr>
        <w:t xml:space="preserve"> </w:t>
      </w:r>
      <w:r w:rsidRPr="00E73F6F">
        <w:t>graphischen</w:t>
      </w:r>
      <w:r w:rsidRPr="00E73F6F">
        <w:rPr>
          <w:spacing w:val="-4"/>
        </w:rPr>
        <w:t xml:space="preserve"> </w:t>
      </w:r>
      <w:r w:rsidRPr="00E73F6F">
        <w:t>Merkmale</w:t>
      </w:r>
      <w:r w:rsidRPr="00E73F6F">
        <w:rPr>
          <w:spacing w:val="-4"/>
        </w:rPr>
        <w:t xml:space="preserve"> </w:t>
      </w:r>
      <w:r w:rsidRPr="00E73F6F">
        <w:t>eines</w:t>
      </w:r>
      <w:r w:rsidRPr="00E73F6F">
        <w:rPr>
          <w:spacing w:val="-4"/>
        </w:rPr>
        <w:t xml:space="preserve"> </w:t>
      </w:r>
      <w:r w:rsidRPr="00E73F6F">
        <w:t>Markennamens</w:t>
      </w:r>
      <w:r w:rsidRPr="00E73F6F">
        <w:rPr>
          <w:spacing w:val="-4"/>
        </w:rPr>
        <w:t xml:space="preserve"> </w:t>
      </w:r>
      <w:r w:rsidRPr="00E73F6F">
        <w:t>mit</w:t>
      </w:r>
      <w:r w:rsidRPr="00E73F6F">
        <w:rPr>
          <w:spacing w:val="-4"/>
        </w:rPr>
        <w:t xml:space="preserve"> </w:t>
      </w:r>
      <w:r w:rsidRPr="00E73F6F">
        <w:t>seiner</w:t>
      </w:r>
      <w:r w:rsidRPr="00E73F6F">
        <w:rPr>
          <w:spacing w:val="-5"/>
        </w:rPr>
        <w:t xml:space="preserve"> </w:t>
      </w:r>
      <w:r w:rsidRPr="00E73F6F">
        <w:t>Positionierung achten.</w:t>
      </w:r>
      <w:r w:rsidRPr="00E73F6F">
        <w:rPr>
          <w:spacing w:val="-6"/>
        </w:rPr>
        <w:t xml:space="preserve"> </w:t>
      </w:r>
      <w:r w:rsidRPr="00E73F6F">
        <w:t>Für</w:t>
      </w:r>
      <w:r w:rsidRPr="00E73F6F">
        <w:rPr>
          <w:spacing w:val="-8"/>
        </w:rPr>
        <w:t xml:space="preserve"> </w:t>
      </w:r>
      <w:r w:rsidRPr="00E73F6F">
        <w:t>fremdsprachige</w:t>
      </w:r>
      <w:r w:rsidRPr="00E73F6F">
        <w:rPr>
          <w:spacing w:val="-8"/>
        </w:rPr>
        <w:t xml:space="preserve"> </w:t>
      </w:r>
      <w:r w:rsidRPr="00E73F6F">
        <w:t>Markennamen</w:t>
      </w:r>
      <w:r w:rsidRPr="00E73F6F">
        <w:rPr>
          <w:spacing w:val="-5"/>
        </w:rPr>
        <w:t xml:space="preserve"> </w:t>
      </w:r>
      <w:r w:rsidRPr="00E73F6F">
        <w:t>ist</w:t>
      </w:r>
      <w:r w:rsidRPr="00E73F6F">
        <w:rPr>
          <w:spacing w:val="-7"/>
        </w:rPr>
        <w:t xml:space="preserve"> </w:t>
      </w:r>
      <w:r w:rsidRPr="00E73F6F">
        <w:t>neben</w:t>
      </w:r>
      <w:r w:rsidRPr="00E73F6F">
        <w:rPr>
          <w:spacing w:val="-7"/>
        </w:rPr>
        <w:t xml:space="preserve"> </w:t>
      </w:r>
      <w:r w:rsidRPr="00E73F6F">
        <w:t>der</w:t>
      </w:r>
      <w:r w:rsidRPr="00E73F6F">
        <w:rPr>
          <w:spacing w:val="-6"/>
        </w:rPr>
        <w:t xml:space="preserve"> </w:t>
      </w:r>
      <w:r w:rsidRPr="00E73F6F">
        <w:t>Beliebtheit</w:t>
      </w:r>
      <w:r w:rsidRPr="00E73F6F">
        <w:rPr>
          <w:spacing w:val="-7"/>
        </w:rPr>
        <w:t xml:space="preserve"> </w:t>
      </w:r>
      <w:r w:rsidRPr="00E73F6F">
        <w:t>der</w:t>
      </w:r>
      <w:r w:rsidRPr="00E73F6F">
        <w:rPr>
          <w:spacing w:val="-8"/>
        </w:rPr>
        <w:t xml:space="preserve"> </w:t>
      </w:r>
      <w:r w:rsidRPr="00E73F6F">
        <w:t>jeweiligen Sprache ihr Schwierigkeitsgrad entscheidend: Besteht die Gefahr, sich zu blamieren (z.B. aufgrund einer nicht geläufigen bzw. missverständlichen Aussprache),</w:t>
      </w:r>
      <w:r w:rsidRPr="00E73F6F">
        <w:rPr>
          <w:spacing w:val="58"/>
          <w:w w:val="150"/>
        </w:rPr>
        <w:t xml:space="preserve"> </w:t>
      </w:r>
      <w:r w:rsidRPr="00E73F6F">
        <w:t>so</w:t>
      </w:r>
      <w:r w:rsidRPr="00E73F6F">
        <w:rPr>
          <w:spacing w:val="59"/>
          <w:w w:val="150"/>
        </w:rPr>
        <w:t xml:space="preserve"> </w:t>
      </w:r>
      <w:r w:rsidRPr="00E73F6F">
        <w:t>werden</w:t>
      </w:r>
      <w:r w:rsidRPr="00E73F6F">
        <w:rPr>
          <w:spacing w:val="59"/>
          <w:w w:val="150"/>
        </w:rPr>
        <w:t xml:space="preserve"> </w:t>
      </w:r>
      <w:r w:rsidRPr="00E73F6F">
        <w:t>vor</w:t>
      </w:r>
      <w:r w:rsidRPr="00E73F6F">
        <w:rPr>
          <w:spacing w:val="79"/>
        </w:rPr>
        <w:t xml:space="preserve"> </w:t>
      </w:r>
      <w:r w:rsidRPr="00E73F6F">
        <w:t>allem</w:t>
      </w:r>
      <w:r w:rsidRPr="00E73F6F">
        <w:rPr>
          <w:spacing w:val="57"/>
          <w:w w:val="150"/>
        </w:rPr>
        <w:t xml:space="preserve"> </w:t>
      </w:r>
      <w:r w:rsidRPr="00E73F6F">
        <w:t>Angehörige</w:t>
      </w:r>
      <w:r w:rsidRPr="00E73F6F">
        <w:rPr>
          <w:spacing w:val="58"/>
          <w:w w:val="150"/>
        </w:rPr>
        <w:t xml:space="preserve"> </w:t>
      </w:r>
      <w:r w:rsidRPr="00E73F6F">
        <w:t>von</w:t>
      </w:r>
      <w:r w:rsidRPr="00E73F6F">
        <w:rPr>
          <w:spacing w:val="60"/>
          <w:w w:val="150"/>
        </w:rPr>
        <w:t xml:space="preserve"> </w:t>
      </w:r>
      <w:r w:rsidRPr="00E73F6F">
        <w:t>Kulturen,</w:t>
      </w:r>
      <w:r w:rsidRPr="00E73F6F">
        <w:rPr>
          <w:spacing w:val="59"/>
          <w:w w:val="150"/>
        </w:rPr>
        <w:t xml:space="preserve"> </w:t>
      </w:r>
      <w:r w:rsidRPr="00E73F6F">
        <w:t>die</w:t>
      </w:r>
      <w:r w:rsidRPr="00E73F6F">
        <w:rPr>
          <w:spacing w:val="58"/>
          <w:w w:val="150"/>
        </w:rPr>
        <w:t xml:space="preserve"> </w:t>
      </w:r>
      <w:r w:rsidRPr="00E73F6F">
        <w:rPr>
          <w:spacing w:val="-5"/>
        </w:rPr>
        <w:t>zur</w:t>
      </w:r>
      <w:r w:rsidRPr="00E73F6F">
        <w:t xml:space="preserve"> Ungewissheitsvermeidung</w:t>
      </w:r>
      <w:r w:rsidRPr="00E73F6F">
        <w:rPr>
          <w:spacing w:val="65"/>
          <w:w w:val="150"/>
        </w:rPr>
        <w:t xml:space="preserve"> </w:t>
      </w:r>
      <w:r w:rsidRPr="00E73F6F">
        <w:t>tendieren,</w:t>
      </w:r>
      <w:r w:rsidRPr="00E73F6F">
        <w:rPr>
          <w:spacing w:val="64"/>
          <w:w w:val="150"/>
        </w:rPr>
        <w:t xml:space="preserve"> </w:t>
      </w:r>
      <w:r w:rsidRPr="00E73F6F">
        <w:t>den</w:t>
      </w:r>
      <w:r w:rsidRPr="00E73F6F">
        <w:rPr>
          <w:spacing w:val="66"/>
          <w:w w:val="150"/>
        </w:rPr>
        <w:t xml:space="preserve"> </w:t>
      </w:r>
      <w:r w:rsidRPr="00E73F6F">
        <w:t>Markennamen</w:t>
      </w:r>
      <w:r w:rsidRPr="00E73F6F">
        <w:rPr>
          <w:spacing w:val="67"/>
          <w:w w:val="150"/>
        </w:rPr>
        <w:t xml:space="preserve"> </w:t>
      </w:r>
      <w:r w:rsidRPr="00E73F6F">
        <w:t xml:space="preserve">möglichst </w:t>
      </w:r>
      <w:r w:rsidRPr="00E73F6F">
        <w:rPr>
          <w:spacing w:val="-2"/>
        </w:rPr>
        <w:t xml:space="preserve">nicht aussprechen. Abb. 1 fasst die </w:t>
      </w:r>
      <w:r w:rsidRPr="00E73F6F">
        <w:t>Einflussfaktoren</w:t>
      </w:r>
      <w:r w:rsidRPr="00E73F6F">
        <w:rPr>
          <w:spacing w:val="-7"/>
        </w:rPr>
        <w:t xml:space="preserve"> </w:t>
      </w:r>
      <w:r w:rsidRPr="00E73F6F">
        <w:t>der</w:t>
      </w:r>
      <w:r w:rsidRPr="00E73F6F">
        <w:rPr>
          <w:spacing w:val="-8"/>
        </w:rPr>
        <w:t xml:space="preserve"> </w:t>
      </w:r>
      <w:r w:rsidRPr="00E73F6F">
        <w:t>Akzeptanz</w:t>
      </w:r>
      <w:r w:rsidRPr="00E73F6F">
        <w:rPr>
          <w:spacing w:val="-6"/>
        </w:rPr>
        <w:t xml:space="preserve"> </w:t>
      </w:r>
      <w:r w:rsidRPr="00E73F6F">
        <w:t>fremdsprachiger</w:t>
      </w:r>
      <w:r w:rsidRPr="00E73F6F">
        <w:rPr>
          <w:spacing w:val="-8"/>
        </w:rPr>
        <w:t xml:space="preserve"> </w:t>
      </w:r>
      <w:r w:rsidRPr="00E73F6F">
        <w:rPr>
          <w:spacing w:val="-2"/>
        </w:rPr>
        <w:t>Markennamen zusammen.</w:t>
      </w:r>
    </w:p>
    <w:p w14:paraId="4436E4DA" w14:textId="77777777" w:rsidR="00FF7799" w:rsidRPr="00E73F6F" w:rsidRDefault="00FF7799" w:rsidP="00E01A39">
      <w:pPr>
        <w:pStyle w:val="StandardText"/>
      </w:pPr>
    </w:p>
    <w:p w14:paraId="08F66361" w14:textId="77777777" w:rsidR="00FF7799" w:rsidRPr="006E504E" w:rsidRDefault="00FF7799" w:rsidP="00E01A39">
      <w:pPr>
        <w:pStyle w:val="BeschriftungTab"/>
        <w:rPr>
          <w:i/>
          <w:iCs/>
          <w:spacing w:val="-2"/>
        </w:rPr>
      </w:pPr>
      <w:r w:rsidRPr="006E504E">
        <w:rPr>
          <w:i/>
          <w:iCs/>
        </w:rPr>
        <w:t>Abb.</w:t>
      </w:r>
      <w:r w:rsidRPr="006E504E">
        <w:rPr>
          <w:i/>
          <w:iCs/>
          <w:spacing w:val="-9"/>
        </w:rPr>
        <w:t xml:space="preserve"> </w:t>
      </w:r>
      <w:r w:rsidRPr="006E504E">
        <w:rPr>
          <w:i/>
          <w:iCs/>
        </w:rPr>
        <w:t>1:</w:t>
      </w:r>
      <w:r w:rsidRPr="006E504E">
        <w:rPr>
          <w:i/>
          <w:iCs/>
          <w:spacing w:val="-7"/>
        </w:rPr>
        <w:t xml:space="preserve"> </w:t>
      </w:r>
      <w:r w:rsidRPr="006E504E">
        <w:rPr>
          <w:i/>
          <w:iCs/>
        </w:rPr>
        <w:t>Einflussfaktoren</w:t>
      </w:r>
      <w:r w:rsidRPr="006E504E">
        <w:rPr>
          <w:i/>
          <w:iCs/>
          <w:spacing w:val="-7"/>
        </w:rPr>
        <w:t xml:space="preserve"> </w:t>
      </w:r>
      <w:r w:rsidRPr="006E504E">
        <w:rPr>
          <w:i/>
          <w:iCs/>
        </w:rPr>
        <w:t>der</w:t>
      </w:r>
      <w:r w:rsidRPr="006E504E">
        <w:rPr>
          <w:i/>
          <w:iCs/>
          <w:spacing w:val="-8"/>
        </w:rPr>
        <w:t xml:space="preserve"> </w:t>
      </w:r>
      <w:r w:rsidRPr="006E504E">
        <w:rPr>
          <w:i/>
          <w:iCs/>
        </w:rPr>
        <w:t>Akzeptanz</w:t>
      </w:r>
      <w:r w:rsidRPr="006E504E">
        <w:rPr>
          <w:i/>
          <w:iCs/>
          <w:spacing w:val="-6"/>
        </w:rPr>
        <w:t xml:space="preserve"> </w:t>
      </w:r>
      <w:r w:rsidRPr="006E504E">
        <w:rPr>
          <w:i/>
          <w:iCs/>
        </w:rPr>
        <w:t>fremdsprachiger</w:t>
      </w:r>
      <w:r w:rsidRPr="006E504E">
        <w:rPr>
          <w:i/>
          <w:iCs/>
          <w:spacing w:val="-8"/>
        </w:rPr>
        <w:t xml:space="preserve"> </w:t>
      </w:r>
      <w:r w:rsidR="009264C6" w:rsidRPr="006E504E">
        <w:rPr>
          <w:i/>
          <w:iCs/>
          <w:spacing w:val="-2"/>
        </w:rPr>
        <w:t>Markennamen</w:t>
      </w:r>
    </w:p>
    <w:p w14:paraId="6F4F2E18" w14:textId="77777777" w:rsidR="009264C6" w:rsidRPr="00E73F6F" w:rsidRDefault="00161C92" w:rsidP="00E01A39">
      <w:pPr>
        <w:pStyle w:val="BeschriftungTab"/>
      </w:pPr>
      <w:r>
        <w:rPr>
          <w:noProof/>
        </w:rPr>
        <w:drawing>
          <wp:inline distT="0" distB="0" distL="0" distR="0" wp14:anchorId="5180A006" wp14:editId="68F00E5C">
            <wp:extent cx="5530475" cy="3733800"/>
            <wp:effectExtent l="0" t="0" r="0" b="0"/>
            <wp:docPr id="2296736" name="Grafik 2296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5543346" cy="3742489"/>
                    </a:xfrm>
                    <a:prstGeom prst="rect">
                      <a:avLst/>
                    </a:prstGeom>
                    <a:noFill/>
                  </pic:spPr>
                </pic:pic>
              </a:graphicData>
            </a:graphic>
          </wp:inline>
        </w:drawing>
      </w:r>
    </w:p>
    <w:p w14:paraId="4BA82EDA" w14:textId="77777777" w:rsidR="00FF7799" w:rsidRPr="00E73F6F" w:rsidRDefault="00FF7799" w:rsidP="00E01A39">
      <w:pPr>
        <w:pStyle w:val="Quellen"/>
      </w:pPr>
      <w:r w:rsidRPr="00E73F6F">
        <w:t>Quelle:</w:t>
      </w:r>
      <w:r w:rsidRPr="00E73F6F">
        <w:rPr>
          <w:spacing w:val="34"/>
        </w:rPr>
        <w:t xml:space="preserve"> </w:t>
      </w:r>
      <w:r w:rsidRPr="00E73F6F">
        <w:t>in</w:t>
      </w:r>
      <w:r w:rsidRPr="00E73F6F">
        <w:rPr>
          <w:spacing w:val="1"/>
        </w:rPr>
        <w:t xml:space="preserve"> </w:t>
      </w:r>
      <w:r w:rsidRPr="00E73F6F">
        <w:t>Anlehnung</w:t>
      </w:r>
      <w:r w:rsidRPr="00E73F6F">
        <w:rPr>
          <w:spacing w:val="-1"/>
        </w:rPr>
        <w:t xml:space="preserve"> </w:t>
      </w:r>
      <w:r w:rsidRPr="00E73F6F">
        <w:t>an</w:t>
      </w:r>
      <w:r w:rsidRPr="00E73F6F">
        <w:rPr>
          <w:spacing w:val="-2"/>
        </w:rPr>
        <w:t xml:space="preserve"> </w:t>
      </w:r>
      <w:r w:rsidRPr="00E73F6F">
        <w:t>Stolz</w:t>
      </w:r>
      <w:r w:rsidRPr="00E73F6F">
        <w:rPr>
          <w:spacing w:val="-3"/>
        </w:rPr>
        <w:t xml:space="preserve"> </w:t>
      </w:r>
      <w:r w:rsidRPr="00E73F6F">
        <w:t>(2000,</w:t>
      </w:r>
      <w:r w:rsidRPr="00E73F6F">
        <w:rPr>
          <w:spacing w:val="-1"/>
        </w:rPr>
        <w:t xml:space="preserve"> </w:t>
      </w:r>
      <w:r w:rsidRPr="00E73F6F">
        <w:rPr>
          <w:spacing w:val="-2"/>
        </w:rPr>
        <w:t>S.114).</w:t>
      </w:r>
    </w:p>
    <w:p w14:paraId="0E1A3CD6" w14:textId="77777777" w:rsidR="00FF7799" w:rsidRPr="00E73F6F" w:rsidRDefault="00FF7799" w:rsidP="00862DBA">
      <w:pPr>
        <w:spacing w:before="8"/>
        <w:rPr>
          <w:i/>
          <w:sz w:val="24"/>
          <w:szCs w:val="24"/>
        </w:rPr>
      </w:pPr>
    </w:p>
    <w:p w14:paraId="1F9C96D7" w14:textId="77777777" w:rsidR="00FF7799" w:rsidRPr="00E73F6F" w:rsidRDefault="00FF7799" w:rsidP="00E01A39">
      <w:pPr>
        <w:pStyle w:val="Listenabsatz"/>
        <w:tabs>
          <w:tab w:val="left" w:pos="932"/>
        </w:tabs>
        <w:spacing w:line="254" w:lineRule="auto"/>
        <w:ind w:left="0" w:firstLine="0"/>
        <w:rPr>
          <w:rStyle w:val="StandardTextZchn1"/>
        </w:rPr>
      </w:pPr>
      <w:r w:rsidRPr="00E73F6F">
        <w:rPr>
          <w:sz w:val="24"/>
          <w:szCs w:val="24"/>
        </w:rPr>
        <w:t xml:space="preserve">Die Erfolgsaussichten globaler Markennamen lassen sich </w:t>
      </w:r>
      <w:r w:rsidRPr="00E73F6F">
        <w:rPr>
          <w:rStyle w:val="StandardTextZchn1"/>
        </w:rPr>
        <w:t>erhöhen, wenn man nicht deskriptive oder assoziative, sondern artifizielle oder phonetische Markennamen wählt. Da artifizielle Markennamen (anfänglich) bedeutungslos sind, gibt es nichts, was gegen eine weltweit einheitliche Konditionierung und damit einen Bedeutungstransfer spricht (vgl. Tab. 2). Kommen jedoch assoziative Markennamen zum Einsatz, sollten hierfür fundamentale Sprachstämme (z.B. aus dem Indogermanischen oder dem Romanischen) verwendet werden, welche länder- bzw. sprachübergreifend ähnliche Assoziationen auslösen (z.B. Securitas = sicher).</w:t>
      </w:r>
    </w:p>
    <w:p w14:paraId="55537951" w14:textId="77777777" w:rsidR="00FF7799" w:rsidRPr="00E73F6F" w:rsidRDefault="00FF7799" w:rsidP="00E01A39">
      <w:pPr>
        <w:pStyle w:val="Listenabsatz"/>
        <w:tabs>
          <w:tab w:val="left" w:pos="932"/>
        </w:tabs>
        <w:spacing w:line="254" w:lineRule="auto"/>
        <w:ind w:left="0" w:firstLine="0"/>
        <w:rPr>
          <w:rStyle w:val="StandardTextZchn1"/>
        </w:rPr>
      </w:pPr>
    </w:p>
    <w:p w14:paraId="7E61EFA4" w14:textId="77777777" w:rsidR="00FF7799" w:rsidRPr="00ED4C94" w:rsidRDefault="00FF7799" w:rsidP="00E01A39">
      <w:pPr>
        <w:pStyle w:val="BeschriftungTab"/>
        <w:rPr>
          <w:i/>
          <w:iCs/>
        </w:rPr>
      </w:pPr>
      <w:r w:rsidRPr="00ED4C94">
        <w:rPr>
          <w:i/>
          <w:iCs/>
        </w:rPr>
        <w:t>Tab. 2:</w:t>
      </w:r>
      <w:r w:rsidRPr="00ED4C94">
        <w:rPr>
          <w:i/>
          <w:iCs/>
          <w:spacing w:val="-7"/>
        </w:rPr>
        <w:t xml:space="preserve"> </w:t>
      </w:r>
      <w:r w:rsidRPr="00ED4C94">
        <w:rPr>
          <w:i/>
          <w:iCs/>
        </w:rPr>
        <w:t>Eignung</w:t>
      </w:r>
      <w:r w:rsidRPr="00ED4C94">
        <w:rPr>
          <w:i/>
          <w:iCs/>
          <w:spacing w:val="-7"/>
        </w:rPr>
        <w:t xml:space="preserve"> </w:t>
      </w:r>
      <w:r w:rsidRPr="00ED4C94">
        <w:rPr>
          <w:i/>
          <w:iCs/>
        </w:rPr>
        <w:t>verschiedenartiger</w:t>
      </w:r>
      <w:r w:rsidRPr="00ED4C94">
        <w:rPr>
          <w:i/>
          <w:iCs/>
          <w:spacing w:val="-8"/>
        </w:rPr>
        <w:t xml:space="preserve"> </w:t>
      </w:r>
      <w:r w:rsidRPr="00ED4C94">
        <w:rPr>
          <w:i/>
          <w:iCs/>
        </w:rPr>
        <w:t>Markennamen</w:t>
      </w:r>
      <w:r w:rsidRPr="00ED4C94">
        <w:rPr>
          <w:i/>
          <w:iCs/>
          <w:spacing w:val="-7"/>
        </w:rPr>
        <w:t xml:space="preserve"> </w:t>
      </w:r>
      <w:r w:rsidRPr="00ED4C94">
        <w:rPr>
          <w:i/>
          <w:iCs/>
        </w:rPr>
        <w:t>für</w:t>
      </w:r>
      <w:r w:rsidRPr="00ED4C94">
        <w:rPr>
          <w:i/>
          <w:iCs/>
          <w:spacing w:val="-7"/>
        </w:rPr>
        <w:t xml:space="preserve"> </w:t>
      </w:r>
      <w:r w:rsidRPr="00ED4C94">
        <w:rPr>
          <w:i/>
          <w:iCs/>
        </w:rPr>
        <w:t>den</w:t>
      </w:r>
      <w:r w:rsidRPr="00ED4C94">
        <w:rPr>
          <w:i/>
          <w:iCs/>
          <w:spacing w:val="-7"/>
        </w:rPr>
        <w:t xml:space="preserve"> </w:t>
      </w:r>
      <w:r w:rsidRPr="00ED4C94">
        <w:rPr>
          <w:i/>
          <w:iCs/>
        </w:rPr>
        <w:t>globalen</w:t>
      </w:r>
      <w:r w:rsidRPr="00ED4C94">
        <w:rPr>
          <w:i/>
          <w:iCs/>
          <w:spacing w:val="-5"/>
        </w:rPr>
        <w:t xml:space="preserve"> </w:t>
      </w:r>
      <w:r w:rsidRPr="00ED4C94">
        <w:rPr>
          <w:i/>
          <w:iCs/>
          <w:spacing w:val="-4"/>
        </w:rPr>
        <w:t>Markt</w:t>
      </w:r>
    </w:p>
    <w:tbl>
      <w:tblPr>
        <w:tblStyle w:val="TableNormal"/>
        <w:tblW w:w="5000" w:type="pct"/>
        <w:tblBorders>
          <w:top w:val="single" w:sz="4" w:space="0" w:color="000000"/>
          <w:bottom w:val="single" w:sz="4" w:space="0" w:color="000000"/>
          <w:insideH w:val="single" w:sz="4" w:space="0" w:color="000000"/>
        </w:tblBorders>
        <w:tblLook w:val="01E0" w:firstRow="1" w:lastRow="1" w:firstColumn="1" w:lastColumn="1" w:noHBand="0" w:noVBand="0"/>
      </w:tblPr>
      <w:tblGrid>
        <w:gridCol w:w="2836"/>
        <w:gridCol w:w="1455"/>
        <w:gridCol w:w="1593"/>
        <w:gridCol w:w="1595"/>
        <w:gridCol w:w="1593"/>
      </w:tblGrid>
      <w:tr w:rsidR="00FF7799" w:rsidRPr="00E73F6F" w14:paraId="3DFBFFB4" w14:textId="77777777" w:rsidTr="00E01A39">
        <w:trPr>
          <w:trHeight w:val="445"/>
        </w:trPr>
        <w:tc>
          <w:tcPr>
            <w:tcW w:w="1563" w:type="pct"/>
            <w:shd w:val="clear" w:color="auto" w:fill="FFC000" w:themeFill="accent4"/>
          </w:tcPr>
          <w:p w14:paraId="0E3350E8" w14:textId="77777777" w:rsidR="00FF7799" w:rsidRPr="00E73F6F" w:rsidRDefault="00FF7799" w:rsidP="00E01A39">
            <w:pPr>
              <w:pStyle w:val="StandardText"/>
              <w:spacing w:after="120"/>
              <w:jc w:val="center"/>
              <w:rPr>
                <w:b/>
                <w:lang w:val="de-DE"/>
              </w:rPr>
            </w:pPr>
          </w:p>
        </w:tc>
        <w:tc>
          <w:tcPr>
            <w:tcW w:w="3438" w:type="pct"/>
            <w:gridSpan w:val="4"/>
            <w:shd w:val="clear" w:color="auto" w:fill="FFC000" w:themeFill="accent4"/>
          </w:tcPr>
          <w:p w14:paraId="61B37E2A" w14:textId="77777777" w:rsidR="00FF7799" w:rsidRPr="00E73F6F" w:rsidRDefault="00FF7799" w:rsidP="00E01A39">
            <w:pPr>
              <w:pStyle w:val="StandardText"/>
              <w:spacing w:after="120"/>
              <w:jc w:val="center"/>
              <w:rPr>
                <w:b/>
                <w:spacing w:val="-2"/>
                <w:lang w:val="de-DE"/>
              </w:rPr>
            </w:pPr>
            <w:r w:rsidRPr="00E73F6F">
              <w:rPr>
                <w:b/>
                <w:spacing w:val="-2"/>
                <w:lang w:val="de-DE"/>
              </w:rPr>
              <w:t>Markenname</w:t>
            </w:r>
          </w:p>
        </w:tc>
      </w:tr>
      <w:tr w:rsidR="00FF7799" w:rsidRPr="00E73F6F" w14:paraId="2FB8B83D" w14:textId="77777777" w:rsidTr="00E01A39">
        <w:trPr>
          <w:trHeight w:val="341"/>
        </w:trPr>
        <w:tc>
          <w:tcPr>
            <w:tcW w:w="1563" w:type="pct"/>
            <w:shd w:val="clear" w:color="auto" w:fill="FFC000" w:themeFill="accent4"/>
          </w:tcPr>
          <w:p w14:paraId="078D6C31" w14:textId="77777777" w:rsidR="00FF7799" w:rsidRPr="00E73F6F" w:rsidRDefault="00FF7799" w:rsidP="00E01A39">
            <w:pPr>
              <w:pStyle w:val="StandardText"/>
              <w:spacing w:after="120"/>
              <w:jc w:val="center"/>
              <w:rPr>
                <w:b/>
                <w:lang w:val="de-DE"/>
              </w:rPr>
            </w:pPr>
          </w:p>
        </w:tc>
        <w:tc>
          <w:tcPr>
            <w:tcW w:w="802" w:type="pct"/>
            <w:shd w:val="clear" w:color="auto" w:fill="FFC000" w:themeFill="accent4"/>
          </w:tcPr>
          <w:p w14:paraId="577C586F" w14:textId="77777777" w:rsidR="00FF7799" w:rsidRPr="00E73F6F" w:rsidRDefault="00FF7799" w:rsidP="00E01A39">
            <w:pPr>
              <w:pStyle w:val="StandardText"/>
              <w:spacing w:after="120"/>
              <w:jc w:val="center"/>
              <w:rPr>
                <w:b/>
                <w:lang w:val="de-DE"/>
              </w:rPr>
            </w:pPr>
            <w:r w:rsidRPr="00E73F6F">
              <w:rPr>
                <w:b/>
                <w:spacing w:val="-2"/>
                <w:lang w:val="de-DE"/>
              </w:rPr>
              <w:t>deskriptiv</w:t>
            </w:r>
          </w:p>
        </w:tc>
        <w:tc>
          <w:tcPr>
            <w:tcW w:w="878" w:type="pct"/>
            <w:shd w:val="clear" w:color="auto" w:fill="FFC000" w:themeFill="accent4"/>
          </w:tcPr>
          <w:p w14:paraId="585982D9" w14:textId="77777777" w:rsidR="00FF7799" w:rsidRPr="00E73F6F" w:rsidRDefault="00FF7799" w:rsidP="00E01A39">
            <w:pPr>
              <w:pStyle w:val="StandardText"/>
              <w:spacing w:after="120"/>
              <w:jc w:val="center"/>
              <w:rPr>
                <w:b/>
                <w:lang w:val="de-DE"/>
              </w:rPr>
            </w:pPr>
            <w:r w:rsidRPr="00E73F6F">
              <w:rPr>
                <w:b/>
                <w:spacing w:val="-2"/>
                <w:lang w:val="de-DE"/>
              </w:rPr>
              <w:t>assoziativ</w:t>
            </w:r>
          </w:p>
        </w:tc>
        <w:tc>
          <w:tcPr>
            <w:tcW w:w="879" w:type="pct"/>
            <w:shd w:val="clear" w:color="auto" w:fill="FFC000" w:themeFill="accent4"/>
          </w:tcPr>
          <w:p w14:paraId="7CFDA794" w14:textId="77777777" w:rsidR="00FF7799" w:rsidRPr="00E73F6F" w:rsidRDefault="00FF7799" w:rsidP="00E01A39">
            <w:pPr>
              <w:pStyle w:val="StandardText"/>
              <w:spacing w:after="120"/>
              <w:jc w:val="center"/>
              <w:rPr>
                <w:b/>
                <w:lang w:val="de-DE"/>
              </w:rPr>
            </w:pPr>
            <w:r w:rsidRPr="00E73F6F">
              <w:rPr>
                <w:b/>
                <w:spacing w:val="-2"/>
                <w:lang w:val="de-DE"/>
              </w:rPr>
              <w:t>artifiziell</w:t>
            </w:r>
          </w:p>
        </w:tc>
        <w:tc>
          <w:tcPr>
            <w:tcW w:w="878" w:type="pct"/>
            <w:shd w:val="clear" w:color="auto" w:fill="FFC000" w:themeFill="accent4"/>
          </w:tcPr>
          <w:p w14:paraId="2A12D66C" w14:textId="77777777" w:rsidR="00FF7799" w:rsidRPr="00E73F6F" w:rsidRDefault="00FF7799" w:rsidP="00E01A39">
            <w:pPr>
              <w:pStyle w:val="StandardText"/>
              <w:spacing w:after="120"/>
              <w:jc w:val="center"/>
              <w:rPr>
                <w:b/>
                <w:lang w:val="de-DE"/>
              </w:rPr>
            </w:pPr>
            <w:r w:rsidRPr="00E73F6F">
              <w:rPr>
                <w:b/>
                <w:spacing w:val="-2"/>
                <w:lang w:val="de-DE"/>
              </w:rPr>
              <w:t>phonetisch</w:t>
            </w:r>
          </w:p>
        </w:tc>
      </w:tr>
      <w:tr w:rsidR="00FF7799" w:rsidRPr="00E73F6F" w14:paraId="55704A85" w14:textId="77777777" w:rsidTr="009264C6">
        <w:trPr>
          <w:trHeight w:val="220"/>
        </w:trPr>
        <w:tc>
          <w:tcPr>
            <w:tcW w:w="1563" w:type="pct"/>
            <w:shd w:val="clear" w:color="auto" w:fill="FFF2CC" w:themeFill="accent4" w:themeFillTint="33"/>
          </w:tcPr>
          <w:p w14:paraId="5C80CF2E" w14:textId="77777777" w:rsidR="00FF7799" w:rsidRPr="00E73F6F" w:rsidRDefault="00FF7799" w:rsidP="00E01A39">
            <w:pPr>
              <w:pStyle w:val="StandardText"/>
              <w:rPr>
                <w:lang w:val="de-DE"/>
              </w:rPr>
            </w:pPr>
            <w:r w:rsidRPr="00E73F6F">
              <w:rPr>
                <w:spacing w:val="-2"/>
                <w:lang w:val="de-DE"/>
              </w:rPr>
              <w:t>Verständlichkeit</w:t>
            </w:r>
          </w:p>
        </w:tc>
        <w:tc>
          <w:tcPr>
            <w:tcW w:w="802" w:type="pct"/>
          </w:tcPr>
          <w:p w14:paraId="5498FB71" w14:textId="77777777" w:rsidR="00FF7799" w:rsidRPr="00E73F6F" w:rsidRDefault="00FF7799" w:rsidP="00E01A39">
            <w:pPr>
              <w:pStyle w:val="StandardText"/>
              <w:rPr>
                <w:lang w:val="de-DE"/>
              </w:rPr>
            </w:pPr>
            <w:r w:rsidRPr="00E73F6F">
              <w:rPr>
                <w:spacing w:val="-2"/>
                <w:lang w:val="de-DE"/>
              </w:rPr>
              <w:t>-</w:t>
            </w:r>
            <w:r w:rsidRPr="00E73F6F">
              <w:rPr>
                <w:spacing w:val="-12"/>
                <w:lang w:val="de-DE"/>
              </w:rPr>
              <w:t>-</w:t>
            </w:r>
          </w:p>
        </w:tc>
        <w:tc>
          <w:tcPr>
            <w:tcW w:w="878" w:type="pct"/>
          </w:tcPr>
          <w:p w14:paraId="0BF2EED4" w14:textId="77777777" w:rsidR="00FF7799" w:rsidRPr="00E73F6F" w:rsidRDefault="00FF7799" w:rsidP="00E01A39">
            <w:pPr>
              <w:pStyle w:val="StandardText"/>
              <w:rPr>
                <w:lang w:val="de-DE"/>
              </w:rPr>
            </w:pPr>
            <w:r w:rsidRPr="00E73F6F">
              <w:rPr>
                <w:lang w:val="de-DE"/>
              </w:rPr>
              <w:t>-</w:t>
            </w:r>
          </w:p>
        </w:tc>
        <w:tc>
          <w:tcPr>
            <w:tcW w:w="879" w:type="pct"/>
          </w:tcPr>
          <w:p w14:paraId="01C0E727" w14:textId="77777777" w:rsidR="00FF7799" w:rsidRPr="00E73F6F" w:rsidRDefault="00FF7799" w:rsidP="00E01A39">
            <w:pPr>
              <w:pStyle w:val="StandardText"/>
              <w:rPr>
                <w:lang w:val="de-DE"/>
              </w:rPr>
            </w:pPr>
            <w:r w:rsidRPr="00E73F6F">
              <w:rPr>
                <w:spacing w:val="-2"/>
                <w:lang w:val="de-DE"/>
              </w:rPr>
              <w:t>-</w:t>
            </w:r>
            <w:r w:rsidRPr="00E73F6F">
              <w:rPr>
                <w:spacing w:val="-12"/>
                <w:lang w:val="de-DE"/>
              </w:rPr>
              <w:t>-</w:t>
            </w:r>
          </w:p>
        </w:tc>
        <w:tc>
          <w:tcPr>
            <w:tcW w:w="878" w:type="pct"/>
          </w:tcPr>
          <w:p w14:paraId="6070761E" w14:textId="77777777" w:rsidR="00FF7799" w:rsidRPr="00E73F6F" w:rsidRDefault="00FF7799" w:rsidP="00E01A39">
            <w:pPr>
              <w:pStyle w:val="StandardText"/>
              <w:rPr>
                <w:lang w:val="de-DE"/>
              </w:rPr>
            </w:pPr>
            <w:r w:rsidRPr="00E73F6F">
              <w:rPr>
                <w:lang w:val="de-DE"/>
              </w:rPr>
              <w:t>o</w:t>
            </w:r>
          </w:p>
        </w:tc>
      </w:tr>
      <w:tr w:rsidR="00FF7799" w:rsidRPr="00E73F6F" w14:paraId="7C7B55C1" w14:textId="77777777" w:rsidTr="009264C6">
        <w:trPr>
          <w:trHeight w:val="220"/>
        </w:trPr>
        <w:tc>
          <w:tcPr>
            <w:tcW w:w="1563" w:type="pct"/>
            <w:shd w:val="clear" w:color="auto" w:fill="FFF2CC" w:themeFill="accent4" w:themeFillTint="33"/>
          </w:tcPr>
          <w:p w14:paraId="4FE7B731" w14:textId="77777777" w:rsidR="00FF7799" w:rsidRPr="00E73F6F" w:rsidRDefault="00FF7799" w:rsidP="00E01A39">
            <w:pPr>
              <w:pStyle w:val="StandardText"/>
              <w:rPr>
                <w:lang w:val="de-DE"/>
              </w:rPr>
            </w:pPr>
            <w:r w:rsidRPr="00E73F6F">
              <w:rPr>
                <w:spacing w:val="-2"/>
                <w:lang w:val="de-DE"/>
              </w:rPr>
              <w:t>Aussprechbarkeit</w:t>
            </w:r>
          </w:p>
        </w:tc>
        <w:tc>
          <w:tcPr>
            <w:tcW w:w="802" w:type="pct"/>
          </w:tcPr>
          <w:p w14:paraId="076BBBB4" w14:textId="77777777" w:rsidR="00FF7799" w:rsidRPr="00E73F6F" w:rsidRDefault="00FF7799" w:rsidP="00E01A39">
            <w:pPr>
              <w:pStyle w:val="StandardText"/>
              <w:rPr>
                <w:lang w:val="de-DE"/>
              </w:rPr>
            </w:pPr>
            <w:r w:rsidRPr="00E73F6F">
              <w:rPr>
                <w:spacing w:val="-2"/>
                <w:lang w:val="de-DE"/>
              </w:rPr>
              <w:t>-</w:t>
            </w:r>
            <w:r w:rsidRPr="00E73F6F">
              <w:rPr>
                <w:spacing w:val="-12"/>
                <w:lang w:val="de-DE"/>
              </w:rPr>
              <w:t>-</w:t>
            </w:r>
          </w:p>
        </w:tc>
        <w:tc>
          <w:tcPr>
            <w:tcW w:w="878" w:type="pct"/>
          </w:tcPr>
          <w:p w14:paraId="4B0CA741" w14:textId="77777777" w:rsidR="00FF7799" w:rsidRPr="00E73F6F" w:rsidRDefault="00FF7799" w:rsidP="00E01A39">
            <w:pPr>
              <w:pStyle w:val="StandardText"/>
              <w:rPr>
                <w:lang w:val="de-DE"/>
              </w:rPr>
            </w:pPr>
            <w:r w:rsidRPr="00E73F6F">
              <w:rPr>
                <w:lang w:val="de-DE"/>
              </w:rPr>
              <w:t>o</w:t>
            </w:r>
          </w:p>
        </w:tc>
        <w:tc>
          <w:tcPr>
            <w:tcW w:w="879" w:type="pct"/>
          </w:tcPr>
          <w:p w14:paraId="3F7951AA" w14:textId="77777777" w:rsidR="00FF7799" w:rsidRPr="00E73F6F" w:rsidRDefault="00FF7799" w:rsidP="00E01A39">
            <w:pPr>
              <w:pStyle w:val="StandardText"/>
              <w:rPr>
                <w:lang w:val="de-DE"/>
              </w:rPr>
            </w:pPr>
            <w:r w:rsidRPr="00E73F6F">
              <w:rPr>
                <w:lang w:val="de-DE"/>
              </w:rPr>
              <w:t>o</w:t>
            </w:r>
          </w:p>
        </w:tc>
        <w:tc>
          <w:tcPr>
            <w:tcW w:w="878" w:type="pct"/>
          </w:tcPr>
          <w:p w14:paraId="2C3EB390" w14:textId="77777777" w:rsidR="00FF7799" w:rsidRPr="00E73F6F" w:rsidRDefault="00FF7799" w:rsidP="00E01A39">
            <w:pPr>
              <w:pStyle w:val="StandardText"/>
              <w:rPr>
                <w:lang w:val="de-DE"/>
              </w:rPr>
            </w:pPr>
            <w:r w:rsidRPr="00E73F6F">
              <w:rPr>
                <w:lang w:val="de-DE"/>
              </w:rPr>
              <w:t>o</w:t>
            </w:r>
          </w:p>
        </w:tc>
      </w:tr>
      <w:tr w:rsidR="00FF7799" w:rsidRPr="00E73F6F" w14:paraId="27FE7FB5" w14:textId="77777777" w:rsidTr="009264C6">
        <w:trPr>
          <w:trHeight w:val="439"/>
        </w:trPr>
        <w:tc>
          <w:tcPr>
            <w:tcW w:w="1563" w:type="pct"/>
            <w:shd w:val="clear" w:color="auto" w:fill="FFF2CC" w:themeFill="accent4" w:themeFillTint="33"/>
          </w:tcPr>
          <w:p w14:paraId="2295C108" w14:textId="77777777" w:rsidR="00FF7799" w:rsidRPr="00E73F6F" w:rsidRDefault="00FF7799" w:rsidP="00E01A39">
            <w:pPr>
              <w:pStyle w:val="StandardText"/>
              <w:rPr>
                <w:lang w:val="de-DE"/>
              </w:rPr>
            </w:pPr>
            <w:r w:rsidRPr="00E73F6F">
              <w:rPr>
                <w:spacing w:val="-2"/>
                <w:lang w:val="de-DE"/>
              </w:rPr>
              <w:t>Positionierungsvermittl</w:t>
            </w:r>
            <w:r w:rsidRPr="00E73F6F">
              <w:rPr>
                <w:spacing w:val="-4"/>
                <w:lang w:val="de-DE"/>
              </w:rPr>
              <w:t>ung</w:t>
            </w:r>
          </w:p>
        </w:tc>
        <w:tc>
          <w:tcPr>
            <w:tcW w:w="802" w:type="pct"/>
          </w:tcPr>
          <w:p w14:paraId="661B0361" w14:textId="77777777" w:rsidR="00FF7799" w:rsidRPr="00E73F6F" w:rsidRDefault="00FF7799" w:rsidP="00E01A39">
            <w:pPr>
              <w:pStyle w:val="StandardText"/>
              <w:rPr>
                <w:lang w:val="de-DE"/>
              </w:rPr>
            </w:pPr>
            <w:r w:rsidRPr="00E73F6F">
              <w:rPr>
                <w:spacing w:val="-2"/>
                <w:lang w:val="de-DE"/>
              </w:rPr>
              <w:t>-</w:t>
            </w:r>
            <w:r w:rsidRPr="00E73F6F">
              <w:rPr>
                <w:spacing w:val="-12"/>
                <w:lang w:val="de-DE"/>
              </w:rPr>
              <w:t>-</w:t>
            </w:r>
          </w:p>
        </w:tc>
        <w:tc>
          <w:tcPr>
            <w:tcW w:w="878" w:type="pct"/>
          </w:tcPr>
          <w:p w14:paraId="355D9846" w14:textId="77777777" w:rsidR="00FF7799" w:rsidRPr="00E73F6F" w:rsidRDefault="00FF7799" w:rsidP="00E01A39">
            <w:pPr>
              <w:pStyle w:val="StandardText"/>
              <w:rPr>
                <w:lang w:val="de-DE"/>
              </w:rPr>
            </w:pPr>
            <w:r w:rsidRPr="00E73F6F">
              <w:rPr>
                <w:lang w:val="de-DE"/>
              </w:rPr>
              <w:t>-</w:t>
            </w:r>
          </w:p>
        </w:tc>
        <w:tc>
          <w:tcPr>
            <w:tcW w:w="879" w:type="pct"/>
          </w:tcPr>
          <w:p w14:paraId="62A78ED1" w14:textId="77777777" w:rsidR="00FF7799" w:rsidRPr="00E73F6F" w:rsidRDefault="00FF7799" w:rsidP="00E01A39">
            <w:pPr>
              <w:pStyle w:val="StandardText"/>
              <w:rPr>
                <w:lang w:val="de-DE"/>
              </w:rPr>
            </w:pPr>
            <w:r w:rsidRPr="00E73F6F">
              <w:rPr>
                <w:spacing w:val="-2"/>
                <w:lang w:val="de-DE"/>
              </w:rPr>
              <w:t>-</w:t>
            </w:r>
            <w:r w:rsidRPr="00E73F6F">
              <w:rPr>
                <w:spacing w:val="-12"/>
                <w:lang w:val="de-DE"/>
              </w:rPr>
              <w:t>-</w:t>
            </w:r>
          </w:p>
        </w:tc>
        <w:tc>
          <w:tcPr>
            <w:tcW w:w="878" w:type="pct"/>
          </w:tcPr>
          <w:p w14:paraId="511EDC83" w14:textId="77777777" w:rsidR="00FF7799" w:rsidRPr="00E73F6F" w:rsidRDefault="00FF7799" w:rsidP="00E01A39">
            <w:pPr>
              <w:pStyle w:val="StandardText"/>
              <w:rPr>
                <w:lang w:val="de-DE"/>
              </w:rPr>
            </w:pPr>
            <w:r w:rsidRPr="00E73F6F">
              <w:rPr>
                <w:lang w:val="de-DE"/>
              </w:rPr>
              <w:t>+</w:t>
            </w:r>
          </w:p>
        </w:tc>
      </w:tr>
      <w:tr w:rsidR="00FF7799" w:rsidRPr="00E73F6F" w14:paraId="722093FA" w14:textId="77777777" w:rsidTr="009264C6">
        <w:trPr>
          <w:trHeight w:val="219"/>
        </w:trPr>
        <w:tc>
          <w:tcPr>
            <w:tcW w:w="1563" w:type="pct"/>
            <w:shd w:val="clear" w:color="auto" w:fill="FFF2CC" w:themeFill="accent4" w:themeFillTint="33"/>
          </w:tcPr>
          <w:p w14:paraId="69760EBB" w14:textId="77777777" w:rsidR="00FF7799" w:rsidRPr="00E73F6F" w:rsidRDefault="00FF7799" w:rsidP="00E01A39">
            <w:pPr>
              <w:pStyle w:val="StandardText"/>
              <w:rPr>
                <w:lang w:val="de-DE"/>
              </w:rPr>
            </w:pPr>
            <w:r w:rsidRPr="00E73F6F">
              <w:rPr>
                <w:spacing w:val="-2"/>
                <w:lang w:val="de-DE"/>
              </w:rPr>
              <w:t>Einprägsamkeit</w:t>
            </w:r>
          </w:p>
        </w:tc>
        <w:tc>
          <w:tcPr>
            <w:tcW w:w="802" w:type="pct"/>
          </w:tcPr>
          <w:p w14:paraId="711FFCD0" w14:textId="77777777" w:rsidR="00FF7799" w:rsidRPr="00E73F6F" w:rsidRDefault="00FF7799" w:rsidP="00E01A39">
            <w:pPr>
              <w:pStyle w:val="StandardText"/>
              <w:rPr>
                <w:lang w:val="de-DE"/>
              </w:rPr>
            </w:pPr>
            <w:r w:rsidRPr="00E73F6F">
              <w:rPr>
                <w:lang w:val="de-DE"/>
              </w:rPr>
              <w:t>-</w:t>
            </w:r>
          </w:p>
        </w:tc>
        <w:tc>
          <w:tcPr>
            <w:tcW w:w="878" w:type="pct"/>
          </w:tcPr>
          <w:p w14:paraId="7332B271" w14:textId="77777777" w:rsidR="00FF7799" w:rsidRPr="00E73F6F" w:rsidRDefault="00FF7799" w:rsidP="00E01A39">
            <w:pPr>
              <w:pStyle w:val="StandardText"/>
              <w:rPr>
                <w:lang w:val="de-DE"/>
              </w:rPr>
            </w:pPr>
            <w:r w:rsidRPr="00E73F6F">
              <w:rPr>
                <w:lang w:val="de-DE"/>
              </w:rPr>
              <w:t>o</w:t>
            </w:r>
          </w:p>
        </w:tc>
        <w:tc>
          <w:tcPr>
            <w:tcW w:w="879" w:type="pct"/>
          </w:tcPr>
          <w:p w14:paraId="7AF4950E" w14:textId="77777777" w:rsidR="00FF7799" w:rsidRPr="00E73F6F" w:rsidRDefault="00FF7799" w:rsidP="00E01A39">
            <w:pPr>
              <w:pStyle w:val="StandardText"/>
              <w:rPr>
                <w:lang w:val="de-DE"/>
              </w:rPr>
            </w:pPr>
            <w:r w:rsidRPr="00E73F6F">
              <w:rPr>
                <w:lang w:val="de-DE"/>
              </w:rPr>
              <w:t>o</w:t>
            </w:r>
          </w:p>
        </w:tc>
        <w:tc>
          <w:tcPr>
            <w:tcW w:w="878" w:type="pct"/>
          </w:tcPr>
          <w:p w14:paraId="14072B9B" w14:textId="77777777" w:rsidR="00FF7799" w:rsidRPr="00E73F6F" w:rsidRDefault="00FF7799" w:rsidP="00E01A39">
            <w:pPr>
              <w:pStyle w:val="StandardText"/>
              <w:rPr>
                <w:lang w:val="de-DE"/>
              </w:rPr>
            </w:pPr>
            <w:r w:rsidRPr="00E73F6F">
              <w:rPr>
                <w:lang w:val="de-DE"/>
              </w:rPr>
              <w:t>o</w:t>
            </w:r>
          </w:p>
        </w:tc>
      </w:tr>
      <w:tr w:rsidR="00FF7799" w:rsidRPr="00E73F6F" w14:paraId="48DAD571" w14:textId="77777777" w:rsidTr="009264C6">
        <w:trPr>
          <w:trHeight w:val="340"/>
        </w:trPr>
        <w:tc>
          <w:tcPr>
            <w:tcW w:w="1563" w:type="pct"/>
            <w:shd w:val="clear" w:color="auto" w:fill="FFF2CC" w:themeFill="accent4" w:themeFillTint="33"/>
          </w:tcPr>
          <w:p w14:paraId="66D9C046" w14:textId="77777777" w:rsidR="00FF7799" w:rsidRPr="00E73F6F" w:rsidRDefault="00FF7799" w:rsidP="00E01A39">
            <w:pPr>
              <w:pStyle w:val="StandardText"/>
              <w:rPr>
                <w:lang w:val="de-DE"/>
              </w:rPr>
            </w:pPr>
            <w:r w:rsidRPr="00E73F6F">
              <w:rPr>
                <w:spacing w:val="-2"/>
                <w:lang w:val="de-DE"/>
              </w:rPr>
              <w:t>Recall</w:t>
            </w:r>
          </w:p>
        </w:tc>
        <w:tc>
          <w:tcPr>
            <w:tcW w:w="802" w:type="pct"/>
          </w:tcPr>
          <w:p w14:paraId="4AB23158" w14:textId="77777777" w:rsidR="00FF7799" w:rsidRPr="00E73F6F" w:rsidRDefault="00FF7799" w:rsidP="00E01A39">
            <w:pPr>
              <w:pStyle w:val="StandardText"/>
              <w:rPr>
                <w:lang w:val="de-DE"/>
              </w:rPr>
            </w:pPr>
            <w:r w:rsidRPr="00E73F6F">
              <w:rPr>
                <w:spacing w:val="-2"/>
                <w:lang w:val="de-DE"/>
              </w:rPr>
              <w:t>-</w:t>
            </w:r>
            <w:r w:rsidRPr="00E73F6F">
              <w:rPr>
                <w:spacing w:val="-12"/>
                <w:lang w:val="de-DE"/>
              </w:rPr>
              <w:t>-</w:t>
            </w:r>
          </w:p>
        </w:tc>
        <w:tc>
          <w:tcPr>
            <w:tcW w:w="878" w:type="pct"/>
          </w:tcPr>
          <w:p w14:paraId="311BD6BC" w14:textId="77777777" w:rsidR="00FF7799" w:rsidRPr="00E73F6F" w:rsidRDefault="00FF7799" w:rsidP="00E01A39">
            <w:pPr>
              <w:pStyle w:val="StandardText"/>
              <w:rPr>
                <w:lang w:val="de-DE"/>
              </w:rPr>
            </w:pPr>
            <w:r w:rsidRPr="00E73F6F">
              <w:rPr>
                <w:lang w:val="de-DE"/>
              </w:rPr>
              <w:t>-</w:t>
            </w:r>
          </w:p>
        </w:tc>
        <w:tc>
          <w:tcPr>
            <w:tcW w:w="879" w:type="pct"/>
          </w:tcPr>
          <w:p w14:paraId="1409B501" w14:textId="77777777" w:rsidR="00FF7799" w:rsidRPr="00E73F6F" w:rsidRDefault="00FF7799" w:rsidP="00E01A39">
            <w:pPr>
              <w:pStyle w:val="StandardText"/>
              <w:rPr>
                <w:lang w:val="de-DE"/>
              </w:rPr>
            </w:pPr>
            <w:r w:rsidRPr="00E73F6F">
              <w:rPr>
                <w:spacing w:val="-2"/>
                <w:lang w:val="de-DE"/>
              </w:rPr>
              <w:t>-</w:t>
            </w:r>
            <w:r w:rsidRPr="00E73F6F">
              <w:rPr>
                <w:spacing w:val="-12"/>
                <w:lang w:val="de-DE"/>
              </w:rPr>
              <w:t>-</w:t>
            </w:r>
          </w:p>
        </w:tc>
        <w:tc>
          <w:tcPr>
            <w:tcW w:w="878" w:type="pct"/>
          </w:tcPr>
          <w:p w14:paraId="53719E82" w14:textId="77777777" w:rsidR="00FF7799" w:rsidRPr="00E73F6F" w:rsidRDefault="00FF7799" w:rsidP="00E01A39">
            <w:pPr>
              <w:pStyle w:val="StandardText"/>
              <w:rPr>
                <w:lang w:val="de-DE"/>
              </w:rPr>
            </w:pPr>
            <w:r w:rsidRPr="00E73F6F">
              <w:rPr>
                <w:lang w:val="de-DE"/>
              </w:rPr>
              <w:t>o</w:t>
            </w:r>
          </w:p>
        </w:tc>
      </w:tr>
      <w:tr w:rsidR="00FF7799" w:rsidRPr="00E73F6F" w14:paraId="798A5345" w14:textId="77777777" w:rsidTr="009264C6">
        <w:trPr>
          <w:trHeight w:val="340"/>
        </w:trPr>
        <w:tc>
          <w:tcPr>
            <w:tcW w:w="1563" w:type="pct"/>
            <w:shd w:val="clear" w:color="auto" w:fill="FFF2CC" w:themeFill="accent4" w:themeFillTint="33"/>
          </w:tcPr>
          <w:p w14:paraId="0E3B1F54" w14:textId="77777777" w:rsidR="00FF7799" w:rsidRPr="00E73F6F" w:rsidRDefault="00FF7799" w:rsidP="00E01A39">
            <w:pPr>
              <w:pStyle w:val="StandardText"/>
              <w:rPr>
                <w:lang w:val="de-DE"/>
              </w:rPr>
            </w:pPr>
            <w:r w:rsidRPr="00E73F6F">
              <w:rPr>
                <w:spacing w:val="-2"/>
                <w:lang w:val="de-DE"/>
              </w:rPr>
              <w:t>Recognition</w:t>
            </w:r>
          </w:p>
        </w:tc>
        <w:tc>
          <w:tcPr>
            <w:tcW w:w="802" w:type="pct"/>
          </w:tcPr>
          <w:p w14:paraId="0D2D93BD" w14:textId="77777777" w:rsidR="00FF7799" w:rsidRPr="00E73F6F" w:rsidRDefault="00FF7799" w:rsidP="00E01A39">
            <w:pPr>
              <w:pStyle w:val="StandardText"/>
              <w:rPr>
                <w:lang w:val="de-DE"/>
              </w:rPr>
            </w:pPr>
            <w:r w:rsidRPr="00E73F6F">
              <w:rPr>
                <w:lang w:val="de-DE"/>
              </w:rPr>
              <w:t>o</w:t>
            </w:r>
          </w:p>
        </w:tc>
        <w:tc>
          <w:tcPr>
            <w:tcW w:w="878" w:type="pct"/>
          </w:tcPr>
          <w:p w14:paraId="2889724F" w14:textId="77777777" w:rsidR="00FF7799" w:rsidRPr="00E73F6F" w:rsidRDefault="00FF7799" w:rsidP="00E01A39">
            <w:pPr>
              <w:pStyle w:val="StandardText"/>
              <w:rPr>
                <w:lang w:val="de-DE"/>
              </w:rPr>
            </w:pPr>
            <w:r w:rsidRPr="00E73F6F">
              <w:rPr>
                <w:lang w:val="de-DE"/>
              </w:rPr>
              <w:t>o</w:t>
            </w:r>
          </w:p>
        </w:tc>
        <w:tc>
          <w:tcPr>
            <w:tcW w:w="879" w:type="pct"/>
          </w:tcPr>
          <w:p w14:paraId="3BF30077" w14:textId="77777777" w:rsidR="00FF7799" w:rsidRPr="00E73F6F" w:rsidRDefault="00FF7799" w:rsidP="00E01A39">
            <w:pPr>
              <w:pStyle w:val="StandardText"/>
              <w:rPr>
                <w:lang w:val="de-DE"/>
              </w:rPr>
            </w:pPr>
            <w:r w:rsidRPr="00E73F6F">
              <w:rPr>
                <w:lang w:val="de-DE"/>
              </w:rPr>
              <w:t>+</w:t>
            </w:r>
          </w:p>
        </w:tc>
        <w:tc>
          <w:tcPr>
            <w:tcW w:w="878" w:type="pct"/>
          </w:tcPr>
          <w:p w14:paraId="74659ECF" w14:textId="77777777" w:rsidR="00FF7799" w:rsidRPr="00E73F6F" w:rsidRDefault="00FF7799" w:rsidP="00E01A39">
            <w:pPr>
              <w:pStyle w:val="StandardText"/>
              <w:rPr>
                <w:lang w:val="de-DE"/>
              </w:rPr>
            </w:pPr>
            <w:r w:rsidRPr="00E73F6F">
              <w:rPr>
                <w:lang w:val="de-DE"/>
              </w:rPr>
              <w:t>+</w:t>
            </w:r>
          </w:p>
        </w:tc>
      </w:tr>
      <w:tr w:rsidR="00FF7799" w:rsidRPr="00E73F6F" w14:paraId="610E7DCA" w14:textId="77777777" w:rsidTr="009264C6">
        <w:trPr>
          <w:trHeight w:val="217"/>
        </w:trPr>
        <w:tc>
          <w:tcPr>
            <w:tcW w:w="1563" w:type="pct"/>
            <w:shd w:val="clear" w:color="auto" w:fill="FFF2CC" w:themeFill="accent4" w:themeFillTint="33"/>
          </w:tcPr>
          <w:p w14:paraId="4AA989CF" w14:textId="77777777" w:rsidR="00FF7799" w:rsidRPr="00E73F6F" w:rsidRDefault="00FF7799" w:rsidP="00E01A39">
            <w:pPr>
              <w:pStyle w:val="StandardText"/>
              <w:rPr>
                <w:lang w:val="de-DE"/>
              </w:rPr>
            </w:pPr>
            <w:r w:rsidRPr="00E73F6F">
              <w:rPr>
                <w:spacing w:val="-2"/>
                <w:lang w:val="de-DE"/>
              </w:rPr>
              <w:t>Assoziationen</w:t>
            </w:r>
          </w:p>
        </w:tc>
        <w:tc>
          <w:tcPr>
            <w:tcW w:w="802" w:type="pct"/>
          </w:tcPr>
          <w:p w14:paraId="65189AE5" w14:textId="77777777" w:rsidR="00FF7799" w:rsidRPr="00E73F6F" w:rsidRDefault="00FF7799" w:rsidP="00E01A39">
            <w:pPr>
              <w:pStyle w:val="StandardText"/>
              <w:rPr>
                <w:lang w:val="de-DE"/>
              </w:rPr>
            </w:pPr>
            <w:r w:rsidRPr="00E73F6F">
              <w:rPr>
                <w:spacing w:val="-2"/>
                <w:lang w:val="de-DE"/>
              </w:rPr>
              <w:t>-</w:t>
            </w:r>
            <w:r w:rsidRPr="00E73F6F">
              <w:rPr>
                <w:spacing w:val="-12"/>
                <w:lang w:val="de-DE"/>
              </w:rPr>
              <w:t>-</w:t>
            </w:r>
          </w:p>
        </w:tc>
        <w:tc>
          <w:tcPr>
            <w:tcW w:w="878" w:type="pct"/>
          </w:tcPr>
          <w:p w14:paraId="7BFB3514" w14:textId="77777777" w:rsidR="00FF7799" w:rsidRPr="00E73F6F" w:rsidRDefault="00FF7799" w:rsidP="00E01A39">
            <w:pPr>
              <w:pStyle w:val="StandardText"/>
              <w:rPr>
                <w:lang w:val="de-DE"/>
              </w:rPr>
            </w:pPr>
            <w:r w:rsidRPr="00E73F6F">
              <w:rPr>
                <w:lang w:val="de-DE"/>
              </w:rPr>
              <w:t>-</w:t>
            </w:r>
          </w:p>
        </w:tc>
        <w:tc>
          <w:tcPr>
            <w:tcW w:w="879" w:type="pct"/>
          </w:tcPr>
          <w:p w14:paraId="6F304410" w14:textId="77777777" w:rsidR="00FF7799" w:rsidRPr="00E73F6F" w:rsidRDefault="00FF7799" w:rsidP="00E01A39">
            <w:pPr>
              <w:pStyle w:val="StandardText"/>
              <w:rPr>
                <w:lang w:val="de-DE"/>
              </w:rPr>
            </w:pPr>
            <w:r w:rsidRPr="00E73F6F">
              <w:rPr>
                <w:lang w:val="de-DE"/>
              </w:rPr>
              <w:t>o</w:t>
            </w:r>
          </w:p>
        </w:tc>
        <w:tc>
          <w:tcPr>
            <w:tcW w:w="878" w:type="pct"/>
          </w:tcPr>
          <w:p w14:paraId="29B00722" w14:textId="77777777" w:rsidR="00FF7799" w:rsidRPr="00E73F6F" w:rsidRDefault="00FF7799" w:rsidP="00E01A39">
            <w:pPr>
              <w:pStyle w:val="StandardText"/>
              <w:rPr>
                <w:lang w:val="de-DE"/>
              </w:rPr>
            </w:pPr>
            <w:r w:rsidRPr="00E73F6F">
              <w:rPr>
                <w:spacing w:val="-5"/>
                <w:lang w:val="de-DE"/>
              </w:rPr>
              <w:t>++</w:t>
            </w:r>
          </w:p>
        </w:tc>
      </w:tr>
      <w:tr w:rsidR="00FF7799" w:rsidRPr="00E73F6F" w14:paraId="5B101344" w14:textId="77777777" w:rsidTr="009264C6">
        <w:trPr>
          <w:trHeight w:val="220"/>
        </w:trPr>
        <w:tc>
          <w:tcPr>
            <w:tcW w:w="1563" w:type="pct"/>
            <w:shd w:val="clear" w:color="auto" w:fill="FFF2CC" w:themeFill="accent4" w:themeFillTint="33"/>
          </w:tcPr>
          <w:p w14:paraId="03FC9171" w14:textId="77777777" w:rsidR="00FF7799" w:rsidRPr="00E73F6F" w:rsidRDefault="00FF7799" w:rsidP="00E01A39">
            <w:pPr>
              <w:pStyle w:val="StandardText"/>
              <w:rPr>
                <w:lang w:val="de-DE"/>
              </w:rPr>
            </w:pPr>
            <w:r w:rsidRPr="00E73F6F">
              <w:rPr>
                <w:spacing w:val="-2"/>
                <w:lang w:val="de-DE"/>
              </w:rPr>
              <w:t>Konditionierbarkeit</w:t>
            </w:r>
          </w:p>
        </w:tc>
        <w:tc>
          <w:tcPr>
            <w:tcW w:w="802" w:type="pct"/>
          </w:tcPr>
          <w:p w14:paraId="0B64547A" w14:textId="77777777" w:rsidR="00FF7799" w:rsidRPr="00E73F6F" w:rsidRDefault="00FF7799" w:rsidP="00E01A39">
            <w:pPr>
              <w:pStyle w:val="StandardText"/>
              <w:rPr>
                <w:lang w:val="de-DE"/>
              </w:rPr>
            </w:pPr>
            <w:r w:rsidRPr="00E73F6F">
              <w:rPr>
                <w:spacing w:val="-2"/>
                <w:lang w:val="de-DE"/>
              </w:rPr>
              <w:t>-</w:t>
            </w:r>
            <w:r w:rsidRPr="00E73F6F">
              <w:rPr>
                <w:spacing w:val="-12"/>
                <w:lang w:val="de-DE"/>
              </w:rPr>
              <w:t>-</w:t>
            </w:r>
          </w:p>
        </w:tc>
        <w:tc>
          <w:tcPr>
            <w:tcW w:w="878" w:type="pct"/>
          </w:tcPr>
          <w:p w14:paraId="2309772E" w14:textId="77777777" w:rsidR="00FF7799" w:rsidRPr="00E73F6F" w:rsidRDefault="00FF7799" w:rsidP="00E01A39">
            <w:pPr>
              <w:pStyle w:val="StandardText"/>
              <w:rPr>
                <w:lang w:val="de-DE"/>
              </w:rPr>
            </w:pPr>
            <w:r w:rsidRPr="00E73F6F">
              <w:rPr>
                <w:lang w:val="de-DE"/>
              </w:rPr>
              <w:t>-</w:t>
            </w:r>
          </w:p>
        </w:tc>
        <w:tc>
          <w:tcPr>
            <w:tcW w:w="879" w:type="pct"/>
          </w:tcPr>
          <w:p w14:paraId="3D2DF5A7" w14:textId="77777777" w:rsidR="00FF7799" w:rsidRPr="00E73F6F" w:rsidRDefault="00FF7799" w:rsidP="00E01A39">
            <w:pPr>
              <w:pStyle w:val="StandardText"/>
              <w:rPr>
                <w:lang w:val="de-DE"/>
              </w:rPr>
            </w:pPr>
            <w:r w:rsidRPr="00E73F6F">
              <w:rPr>
                <w:spacing w:val="-5"/>
                <w:lang w:val="de-DE"/>
              </w:rPr>
              <w:t>++</w:t>
            </w:r>
          </w:p>
        </w:tc>
        <w:tc>
          <w:tcPr>
            <w:tcW w:w="878" w:type="pct"/>
          </w:tcPr>
          <w:p w14:paraId="2735EE9F" w14:textId="77777777" w:rsidR="00FF7799" w:rsidRPr="00E73F6F" w:rsidRDefault="00FF7799" w:rsidP="00E01A39">
            <w:pPr>
              <w:pStyle w:val="StandardText"/>
              <w:rPr>
                <w:lang w:val="de-DE"/>
              </w:rPr>
            </w:pPr>
            <w:r w:rsidRPr="00E73F6F">
              <w:rPr>
                <w:lang w:val="de-DE"/>
              </w:rPr>
              <w:t>+</w:t>
            </w:r>
          </w:p>
        </w:tc>
      </w:tr>
      <w:tr w:rsidR="00FF7799" w:rsidRPr="00E73F6F" w14:paraId="14ACE07D" w14:textId="77777777" w:rsidTr="009264C6">
        <w:trPr>
          <w:trHeight w:val="220"/>
        </w:trPr>
        <w:tc>
          <w:tcPr>
            <w:tcW w:w="1563" w:type="pct"/>
            <w:shd w:val="clear" w:color="auto" w:fill="FFF2CC" w:themeFill="accent4" w:themeFillTint="33"/>
          </w:tcPr>
          <w:p w14:paraId="12BFF8D0" w14:textId="77777777" w:rsidR="00FF7799" w:rsidRPr="00E73F6F" w:rsidRDefault="00FF7799" w:rsidP="00E01A39">
            <w:pPr>
              <w:pStyle w:val="StandardText"/>
              <w:rPr>
                <w:lang w:val="de-DE"/>
              </w:rPr>
            </w:pPr>
            <w:r w:rsidRPr="00E73F6F">
              <w:rPr>
                <w:spacing w:val="-2"/>
                <w:lang w:val="de-DE"/>
              </w:rPr>
              <w:t>Sprachunabhängigkeit</w:t>
            </w:r>
          </w:p>
        </w:tc>
        <w:tc>
          <w:tcPr>
            <w:tcW w:w="802" w:type="pct"/>
          </w:tcPr>
          <w:p w14:paraId="69B9069F" w14:textId="77777777" w:rsidR="00FF7799" w:rsidRPr="00E73F6F" w:rsidRDefault="00FF7799" w:rsidP="00E01A39">
            <w:pPr>
              <w:pStyle w:val="StandardText"/>
              <w:rPr>
                <w:lang w:val="de-DE"/>
              </w:rPr>
            </w:pPr>
            <w:r w:rsidRPr="00E73F6F">
              <w:rPr>
                <w:spacing w:val="-2"/>
                <w:lang w:val="de-DE"/>
              </w:rPr>
              <w:t>-</w:t>
            </w:r>
            <w:r w:rsidRPr="00E73F6F">
              <w:rPr>
                <w:spacing w:val="-12"/>
                <w:lang w:val="de-DE"/>
              </w:rPr>
              <w:t>-</w:t>
            </w:r>
          </w:p>
        </w:tc>
        <w:tc>
          <w:tcPr>
            <w:tcW w:w="878" w:type="pct"/>
          </w:tcPr>
          <w:p w14:paraId="7A3FF167" w14:textId="77777777" w:rsidR="00FF7799" w:rsidRPr="00E73F6F" w:rsidRDefault="00FF7799" w:rsidP="00E01A39">
            <w:pPr>
              <w:pStyle w:val="StandardText"/>
              <w:rPr>
                <w:lang w:val="de-DE"/>
              </w:rPr>
            </w:pPr>
            <w:r w:rsidRPr="00E73F6F">
              <w:rPr>
                <w:lang w:val="de-DE"/>
              </w:rPr>
              <w:t>-</w:t>
            </w:r>
          </w:p>
        </w:tc>
        <w:tc>
          <w:tcPr>
            <w:tcW w:w="879" w:type="pct"/>
          </w:tcPr>
          <w:p w14:paraId="021CEEFD" w14:textId="77777777" w:rsidR="00FF7799" w:rsidRPr="00E73F6F" w:rsidRDefault="00FF7799" w:rsidP="00E01A39">
            <w:pPr>
              <w:pStyle w:val="StandardText"/>
              <w:rPr>
                <w:lang w:val="de-DE"/>
              </w:rPr>
            </w:pPr>
            <w:r w:rsidRPr="00E73F6F">
              <w:rPr>
                <w:spacing w:val="-5"/>
                <w:lang w:val="de-DE"/>
              </w:rPr>
              <w:t>++</w:t>
            </w:r>
          </w:p>
        </w:tc>
        <w:tc>
          <w:tcPr>
            <w:tcW w:w="878" w:type="pct"/>
          </w:tcPr>
          <w:p w14:paraId="2B09090C" w14:textId="77777777" w:rsidR="00FF7799" w:rsidRPr="00E73F6F" w:rsidRDefault="00FF7799" w:rsidP="00E01A39">
            <w:pPr>
              <w:pStyle w:val="StandardText"/>
              <w:rPr>
                <w:lang w:val="de-DE"/>
              </w:rPr>
            </w:pPr>
            <w:r w:rsidRPr="00E73F6F">
              <w:rPr>
                <w:spacing w:val="-5"/>
                <w:lang w:val="de-DE"/>
              </w:rPr>
              <w:t>++</w:t>
            </w:r>
          </w:p>
        </w:tc>
      </w:tr>
      <w:tr w:rsidR="00FF7799" w:rsidRPr="00E73F6F" w14:paraId="175C364A" w14:textId="77777777" w:rsidTr="009264C6">
        <w:trPr>
          <w:trHeight w:val="220"/>
        </w:trPr>
        <w:tc>
          <w:tcPr>
            <w:tcW w:w="1563" w:type="pct"/>
            <w:shd w:val="clear" w:color="auto" w:fill="FFF2CC" w:themeFill="accent4" w:themeFillTint="33"/>
          </w:tcPr>
          <w:p w14:paraId="472CDEB2" w14:textId="77777777" w:rsidR="00FF7799" w:rsidRPr="00E73F6F" w:rsidRDefault="00FF7799" w:rsidP="00E01A39">
            <w:pPr>
              <w:pStyle w:val="StandardText"/>
              <w:rPr>
                <w:lang w:val="de-DE"/>
              </w:rPr>
            </w:pPr>
            <w:r w:rsidRPr="00E73F6F">
              <w:rPr>
                <w:spacing w:val="-2"/>
                <w:lang w:val="de-DE"/>
              </w:rPr>
              <w:t>Schutzfähigkeit</w:t>
            </w:r>
          </w:p>
        </w:tc>
        <w:tc>
          <w:tcPr>
            <w:tcW w:w="802" w:type="pct"/>
          </w:tcPr>
          <w:p w14:paraId="1F6830DA" w14:textId="77777777" w:rsidR="00FF7799" w:rsidRPr="00E73F6F" w:rsidRDefault="00FF7799" w:rsidP="00E01A39">
            <w:pPr>
              <w:pStyle w:val="StandardText"/>
              <w:rPr>
                <w:lang w:val="de-DE"/>
              </w:rPr>
            </w:pPr>
            <w:r w:rsidRPr="00E73F6F">
              <w:rPr>
                <w:lang w:val="de-DE"/>
              </w:rPr>
              <w:t>-</w:t>
            </w:r>
          </w:p>
        </w:tc>
        <w:tc>
          <w:tcPr>
            <w:tcW w:w="878" w:type="pct"/>
          </w:tcPr>
          <w:p w14:paraId="7B26DB08" w14:textId="77777777" w:rsidR="00FF7799" w:rsidRPr="00E73F6F" w:rsidRDefault="00FF7799" w:rsidP="00E01A39">
            <w:pPr>
              <w:pStyle w:val="StandardText"/>
              <w:rPr>
                <w:lang w:val="de-DE"/>
              </w:rPr>
            </w:pPr>
            <w:r w:rsidRPr="00E73F6F">
              <w:rPr>
                <w:lang w:val="de-DE"/>
              </w:rPr>
              <w:t>o</w:t>
            </w:r>
          </w:p>
        </w:tc>
        <w:tc>
          <w:tcPr>
            <w:tcW w:w="879" w:type="pct"/>
          </w:tcPr>
          <w:p w14:paraId="1CADB8D2" w14:textId="77777777" w:rsidR="00FF7799" w:rsidRPr="00E73F6F" w:rsidRDefault="00FF7799" w:rsidP="00E01A39">
            <w:pPr>
              <w:pStyle w:val="StandardText"/>
              <w:rPr>
                <w:lang w:val="de-DE"/>
              </w:rPr>
            </w:pPr>
            <w:r w:rsidRPr="00E73F6F">
              <w:rPr>
                <w:spacing w:val="-5"/>
                <w:lang w:val="de-DE"/>
              </w:rPr>
              <w:t>++</w:t>
            </w:r>
          </w:p>
        </w:tc>
        <w:tc>
          <w:tcPr>
            <w:tcW w:w="878" w:type="pct"/>
          </w:tcPr>
          <w:p w14:paraId="4F980DF4" w14:textId="77777777" w:rsidR="00FF7799" w:rsidRPr="00E73F6F" w:rsidRDefault="00FF7799" w:rsidP="00E01A39">
            <w:pPr>
              <w:pStyle w:val="StandardText"/>
              <w:rPr>
                <w:lang w:val="de-DE"/>
              </w:rPr>
            </w:pPr>
            <w:r w:rsidRPr="00E73F6F">
              <w:rPr>
                <w:spacing w:val="-5"/>
                <w:lang w:val="de-DE"/>
              </w:rPr>
              <w:t>++</w:t>
            </w:r>
          </w:p>
        </w:tc>
      </w:tr>
      <w:tr w:rsidR="00FF7799" w:rsidRPr="00270173" w14:paraId="7966ECBB" w14:textId="77777777" w:rsidTr="00161C92">
        <w:trPr>
          <w:trHeight w:val="660"/>
        </w:trPr>
        <w:tc>
          <w:tcPr>
            <w:tcW w:w="5000" w:type="pct"/>
            <w:gridSpan w:val="5"/>
            <w:shd w:val="clear" w:color="auto" w:fill="F2F2F2" w:themeFill="background1" w:themeFillShade="F2"/>
          </w:tcPr>
          <w:p w14:paraId="479B76E5" w14:textId="77777777" w:rsidR="00FF7799" w:rsidRPr="00270173" w:rsidRDefault="00FF7799" w:rsidP="00270173">
            <w:pPr>
              <w:pStyle w:val="Quellen"/>
              <w:rPr>
                <w:lang w:val="de-DE"/>
              </w:rPr>
            </w:pPr>
            <w:r w:rsidRPr="00270173">
              <w:rPr>
                <w:lang w:val="de-DE"/>
              </w:rPr>
              <w:t>Legende:</w:t>
            </w:r>
            <w:r w:rsidRPr="00270173">
              <w:rPr>
                <w:lang w:val="de-DE"/>
              </w:rPr>
              <w:tab/>
            </w:r>
          </w:p>
          <w:p w14:paraId="322D0A01" w14:textId="77777777" w:rsidR="00FF7799" w:rsidRPr="00270173" w:rsidRDefault="00FF7799" w:rsidP="00270173">
            <w:pPr>
              <w:pStyle w:val="Quellen"/>
              <w:rPr>
                <w:lang w:val="de-DE"/>
              </w:rPr>
            </w:pPr>
            <w:r w:rsidRPr="00270173">
              <w:rPr>
                <w:lang w:val="de-DE"/>
              </w:rPr>
              <w:t>++ sehr geeignet; + geeignet, o neutral bzw. keine eindeutigen Aussagen möglich,</w:t>
            </w:r>
          </w:p>
          <w:p w14:paraId="04E5A7E7" w14:textId="77777777" w:rsidR="00FF7799" w:rsidRPr="00270173" w:rsidRDefault="00FF7799" w:rsidP="00270173">
            <w:pPr>
              <w:pStyle w:val="Quellen"/>
              <w:rPr>
                <w:lang w:val="de-DE"/>
              </w:rPr>
            </w:pPr>
            <w:r w:rsidRPr="00270173">
              <w:rPr>
                <w:lang w:val="de-DE"/>
              </w:rPr>
              <w:t>- wenig geeignet, -- nicht geeignet</w:t>
            </w:r>
          </w:p>
        </w:tc>
      </w:tr>
    </w:tbl>
    <w:p w14:paraId="7C94BB64" w14:textId="77777777" w:rsidR="00FF7799" w:rsidRPr="00E73F6F" w:rsidRDefault="00FF7799" w:rsidP="00E01A39">
      <w:pPr>
        <w:pStyle w:val="Quellen"/>
      </w:pPr>
      <w:r w:rsidRPr="00E73F6F">
        <w:t>Quelle:</w:t>
      </w:r>
      <w:r w:rsidRPr="00E73F6F">
        <w:rPr>
          <w:spacing w:val="32"/>
        </w:rPr>
        <w:t xml:space="preserve"> </w:t>
      </w:r>
      <w:r w:rsidRPr="00E73F6F">
        <w:t>in Anlehnung</w:t>
      </w:r>
      <w:r w:rsidRPr="00E73F6F">
        <w:rPr>
          <w:spacing w:val="-1"/>
        </w:rPr>
        <w:t xml:space="preserve"> </w:t>
      </w:r>
      <w:r w:rsidRPr="00E73F6F">
        <w:t>an</w:t>
      </w:r>
      <w:r w:rsidRPr="00E73F6F">
        <w:rPr>
          <w:spacing w:val="-3"/>
        </w:rPr>
        <w:t xml:space="preserve"> </w:t>
      </w:r>
      <w:r w:rsidRPr="00E73F6F">
        <w:t>Herstatt (1985,</w:t>
      </w:r>
      <w:r w:rsidRPr="00E73F6F">
        <w:rPr>
          <w:spacing w:val="-1"/>
        </w:rPr>
        <w:t xml:space="preserve"> </w:t>
      </w:r>
      <w:r w:rsidRPr="00E73F6F">
        <w:rPr>
          <w:spacing w:val="-2"/>
        </w:rPr>
        <w:t>S.248).</w:t>
      </w:r>
    </w:p>
    <w:p w14:paraId="70E5D619" w14:textId="77777777" w:rsidR="00FF7799" w:rsidRPr="00E73F6F" w:rsidRDefault="00FF7799" w:rsidP="00862DBA">
      <w:pPr>
        <w:spacing w:before="6"/>
        <w:rPr>
          <w:i/>
          <w:sz w:val="24"/>
          <w:szCs w:val="24"/>
        </w:rPr>
      </w:pPr>
    </w:p>
    <w:p w14:paraId="3C537724" w14:textId="77777777" w:rsidR="00FF7799" w:rsidRPr="00E73F6F" w:rsidRDefault="00FF7799" w:rsidP="00E01A39">
      <w:pPr>
        <w:pStyle w:val="StandardText"/>
      </w:pPr>
      <w:r w:rsidRPr="00E73F6F">
        <w:t>Damit Markennamen global erfolgreich geführt werden können, müssen sie zunächst juristische (z.B. Schutzfähigkeit) und marketingspezifische Kriterien (z.B. Produktrelevanz) erfüllen (vgl. Tab. 3). Eine häufig unterschätzte Rolle spielen linguistische Kriterien, wie die Fähigkeit, erwünschte Assoziationen auszulösen.</w:t>
      </w:r>
      <w:r w:rsidRPr="00E73F6F">
        <w:rPr>
          <w:spacing w:val="-1"/>
        </w:rPr>
        <w:t xml:space="preserve"> </w:t>
      </w:r>
      <w:r w:rsidRPr="00E73F6F">
        <w:t>Alpha-numerische</w:t>
      </w:r>
      <w:r w:rsidRPr="00E73F6F">
        <w:rPr>
          <w:spacing w:val="-2"/>
        </w:rPr>
        <w:t xml:space="preserve"> </w:t>
      </w:r>
      <w:r w:rsidRPr="00E73F6F">
        <w:t>Markennamen etwa</w:t>
      </w:r>
      <w:r w:rsidRPr="00E73F6F">
        <w:rPr>
          <w:spacing w:val="-2"/>
        </w:rPr>
        <w:t xml:space="preserve"> </w:t>
      </w:r>
      <w:r w:rsidRPr="00E73F6F">
        <w:t>sind</w:t>
      </w:r>
      <w:r w:rsidRPr="00E73F6F">
        <w:rPr>
          <w:spacing w:val="-1"/>
        </w:rPr>
        <w:t xml:space="preserve"> </w:t>
      </w:r>
      <w:r w:rsidRPr="00E73F6F">
        <w:t>sowohl</w:t>
      </w:r>
      <w:r w:rsidRPr="00E73F6F">
        <w:rPr>
          <w:spacing w:val="-1"/>
        </w:rPr>
        <w:t xml:space="preserve"> </w:t>
      </w:r>
      <w:r w:rsidRPr="00E73F6F">
        <w:t>im</w:t>
      </w:r>
      <w:r w:rsidRPr="00E73F6F">
        <w:rPr>
          <w:spacing w:val="-3"/>
        </w:rPr>
        <w:t xml:space="preserve"> </w:t>
      </w:r>
      <w:r w:rsidRPr="00E73F6F">
        <w:t>westlichen</w:t>
      </w:r>
      <w:r w:rsidRPr="00E73F6F">
        <w:rPr>
          <w:spacing w:val="-1"/>
        </w:rPr>
        <w:t xml:space="preserve"> </w:t>
      </w:r>
      <w:r w:rsidRPr="00E73F6F">
        <w:t>als auch</w:t>
      </w:r>
      <w:r w:rsidRPr="00E73F6F">
        <w:rPr>
          <w:spacing w:val="-4"/>
        </w:rPr>
        <w:t xml:space="preserve"> </w:t>
      </w:r>
      <w:r w:rsidRPr="00E73F6F">
        <w:t>im</w:t>
      </w:r>
      <w:r w:rsidRPr="00E73F6F">
        <w:rPr>
          <w:spacing w:val="-8"/>
        </w:rPr>
        <w:t xml:space="preserve"> </w:t>
      </w:r>
      <w:r w:rsidRPr="00E73F6F">
        <w:t>östlichen</w:t>
      </w:r>
      <w:r w:rsidRPr="00E73F6F">
        <w:rPr>
          <w:spacing w:val="-7"/>
        </w:rPr>
        <w:t xml:space="preserve"> </w:t>
      </w:r>
      <w:r w:rsidRPr="00E73F6F">
        <w:t>Kulturkreis</w:t>
      </w:r>
      <w:r w:rsidRPr="00E73F6F">
        <w:rPr>
          <w:spacing w:val="-8"/>
        </w:rPr>
        <w:t xml:space="preserve"> </w:t>
      </w:r>
      <w:r w:rsidRPr="00E73F6F">
        <w:t>geeignet,</w:t>
      </w:r>
      <w:r w:rsidRPr="00E73F6F">
        <w:rPr>
          <w:spacing w:val="-7"/>
        </w:rPr>
        <w:t xml:space="preserve"> </w:t>
      </w:r>
      <w:r w:rsidRPr="00E73F6F">
        <w:t>technische,</w:t>
      </w:r>
      <w:r w:rsidRPr="00E73F6F">
        <w:rPr>
          <w:spacing w:val="-7"/>
        </w:rPr>
        <w:t xml:space="preserve"> </w:t>
      </w:r>
      <w:r w:rsidRPr="00E73F6F">
        <w:t>chemische</w:t>
      </w:r>
      <w:r w:rsidRPr="00E73F6F">
        <w:rPr>
          <w:spacing w:val="-6"/>
        </w:rPr>
        <w:t xml:space="preserve"> </w:t>
      </w:r>
      <w:r w:rsidRPr="00E73F6F">
        <w:t>oder</w:t>
      </w:r>
      <w:r w:rsidRPr="00E73F6F">
        <w:rPr>
          <w:spacing w:val="-8"/>
        </w:rPr>
        <w:t xml:space="preserve"> </w:t>
      </w:r>
      <w:r w:rsidRPr="00E73F6F">
        <w:t>als</w:t>
      </w:r>
      <w:r w:rsidRPr="00E73F6F">
        <w:rPr>
          <w:spacing w:val="-5"/>
        </w:rPr>
        <w:t xml:space="preserve"> </w:t>
      </w:r>
      <w:r w:rsidRPr="00E73F6F">
        <w:t>„kraftvoll“ positionierte Produkte zu markieren. Universell ist auch der Einfluss des Klangsymbolismus: So enthalten in mehr als 90% der untersuchten Sprachen Wörter,</w:t>
      </w:r>
      <w:r w:rsidRPr="00E73F6F">
        <w:rPr>
          <w:spacing w:val="-10"/>
        </w:rPr>
        <w:t xml:space="preserve"> </w:t>
      </w:r>
      <w:r w:rsidRPr="00E73F6F">
        <w:t>die</w:t>
      </w:r>
      <w:r w:rsidRPr="00E73F6F">
        <w:rPr>
          <w:spacing w:val="-8"/>
        </w:rPr>
        <w:t xml:space="preserve"> </w:t>
      </w:r>
      <w:r w:rsidRPr="00E73F6F">
        <w:t>Kleinheit</w:t>
      </w:r>
      <w:r w:rsidRPr="00E73F6F">
        <w:rPr>
          <w:spacing w:val="-7"/>
        </w:rPr>
        <w:t xml:space="preserve"> </w:t>
      </w:r>
      <w:r w:rsidRPr="00E73F6F">
        <w:t>ausdrücken,</w:t>
      </w:r>
      <w:r w:rsidRPr="00E73F6F">
        <w:rPr>
          <w:spacing w:val="-9"/>
        </w:rPr>
        <w:t xml:space="preserve"> </w:t>
      </w:r>
      <w:r w:rsidRPr="00E73F6F">
        <w:t>den</w:t>
      </w:r>
      <w:r w:rsidRPr="00E73F6F">
        <w:rPr>
          <w:spacing w:val="-7"/>
        </w:rPr>
        <w:t xml:space="preserve"> </w:t>
      </w:r>
      <w:r w:rsidRPr="00E73F6F">
        <w:t>Vokal</w:t>
      </w:r>
      <w:r w:rsidRPr="00E73F6F">
        <w:rPr>
          <w:spacing w:val="-4"/>
        </w:rPr>
        <w:t xml:space="preserve"> </w:t>
      </w:r>
      <w:r w:rsidRPr="00E73F6F">
        <w:t>i.</w:t>
      </w:r>
      <w:r w:rsidRPr="00E73F6F">
        <w:rPr>
          <w:spacing w:val="-9"/>
        </w:rPr>
        <w:t xml:space="preserve"> </w:t>
      </w:r>
      <w:r w:rsidRPr="00E73F6F">
        <w:t>Hingegen</w:t>
      </w:r>
      <w:r w:rsidRPr="00E73F6F">
        <w:rPr>
          <w:spacing w:val="-7"/>
        </w:rPr>
        <w:t xml:space="preserve"> </w:t>
      </w:r>
      <w:r w:rsidRPr="00E73F6F">
        <w:t>lassen</w:t>
      </w:r>
      <w:r w:rsidRPr="00E73F6F">
        <w:rPr>
          <w:spacing w:val="-8"/>
        </w:rPr>
        <w:t xml:space="preserve"> </w:t>
      </w:r>
      <w:r w:rsidRPr="00E73F6F">
        <w:t>a</w:t>
      </w:r>
      <w:r w:rsidRPr="00E73F6F">
        <w:rPr>
          <w:spacing w:val="-6"/>
        </w:rPr>
        <w:t xml:space="preserve"> </w:t>
      </w:r>
      <w:r w:rsidRPr="00E73F6F">
        <w:t>und</w:t>
      </w:r>
      <w:r w:rsidRPr="00E73F6F">
        <w:rPr>
          <w:spacing w:val="-9"/>
        </w:rPr>
        <w:t xml:space="preserve"> </w:t>
      </w:r>
      <w:r w:rsidRPr="00E73F6F">
        <w:t>o</w:t>
      </w:r>
      <w:r w:rsidRPr="00E73F6F">
        <w:rPr>
          <w:spacing w:val="-6"/>
        </w:rPr>
        <w:t xml:space="preserve"> </w:t>
      </w:r>
      <w:r w:rsidRPr="00E73F6F">
        <w:t>auf</w:t>
      </w:r>
      <w:r w:rsidRPr="00E73F6F">
        <w:rPr>
          <w:spacing w:val="-8"/>
        </w:rPr>
        <w:t xml:space="preserve"> </w:t>
      </w:r>
      <w:r w:rsidRPr="00E73F6F">
        <w:t>Größe schließen. Auch konnte gezeigt werden, dass Markennamen, die mit einem so genannten Plosiv beginnen (b, d, g, k, t), signifikant besser erinnert und wiedererkannt werden als Markennamen mit anderen Anfangsbuchstaben. Als Sprachuniversalien werden</w:t>
      </w:r>
      <w:r w:rsidRPr="00E73F6F">
        <w:rPr>
          <w:spacing w:val="-1"/>
        </w:rPr>
        <w:t xml:space="preserve"> </w:t>
      </w:r>
      <w:r w:rsidRPr="00E73F6F">
        <w:t>jene</w:t>
      </w:r>
      <w:r w:rsidRPr="00E73F6F">
        <w:rPr>
          <w:spacing w:val="-5"/>
        </w:rPr>
        <w:t xml:space="preserve"> </w:t>
      </w:r>
      <w:r w:rsidRPr="00E73F6F">
        <w:t>Vokale (i,</w:t>
      </w:r>
      <w:r w:rsidRPr="00E73F6F">
        <w:rPr>
          <w:spacing w:val="-1"/>
        </w:rPr>
        <w:t xml:space="preserve"> </w:t>
      </w:r>
      <w:r w:rsidRPr="00E73F6F">
        <w:t>a</w:t>
      </w:r>
      <w:r w:rsidRPr="00E73F6F">
        <w:rPr>
          <w:spacing w:val="-3"/>
        </w:rPr>
        <w:t xml:space="preserve"> </w:t>
      </w:r>
      <w:r w:rsidRPr="00E73F6F">
        <w:t>und</w:t>
      </w:r>
      <w:r w:rsidRPr="00E73F6F">
        <w:rPr>
          <w:spacing w:val="-1"/>
        </w:rPr>
        <w:t xml:space="preserve"> </w:t>
      </w:r>
      <w:r w:rsidRPr="00E73F6F">
        <w:t>u)</w:t>
      </w:r>
      <w:r w:rsidRPr="00E73F6F">
        <w:rPr>
          <w:spacing w:val="-2"/>
        </w:rPr>
        <w:t xml:space="preserve"> </w:t>
      </w:r>
      <w:r w:rsidRPr="00E73F6F">
        <w:t>und Konsonanten (k,</w:t>
      </w:r>
      <w:r w:rsidRPr="00E73F6F">
        <w:rPr>
          <w:spacing w:val="-2"/>
        </w:rPr>
        <w:t xml:space="preserve"> </w:t>
      </w:r>
      <w:r w:rsidRPr="00E73F6F">
        <w:t>p</w:t>
      </w:r>
      <w:r w:rsidRPr="00E73F6F">
        <w:rPr>
          <w:spacing w:val="-1"/>
        </w:rPr>
        <w:t xml:space="preserve"> </w:t>
      </w:r>
      <w:r w:rsidRPr="00E73F6F">
        <w:t>und t) bezeichnet, welche in allen Sprachen eine</w:t>
      </w:r>
      <w:r w:rsidRPr="00E73F6F">
        <w:rPr>
          <w:spacing w:val="-1"/>
        </w:rPr>
        <w:t xml:space="preserve"> </w:t>
      </w:r>
      <w:r w:rsidRPr="00E73F6F">
        <w:t>gleichartige Funktion erfüllen und sich somit in besonderem Maße zur Bildung globaler Markennamen eignen.</w:t>
      </w:r>
    </w:p>
    <w:p w14:paraId="690E75DE" w14:textId="77777777" w:rsidR="00FF7799" w:rsidRPr="00E73F6F" w:rsidRDefault="00FF7799" w:rsidP="00E01A39">
      <w:pPr>
        <w:pStyle w:val="StandardText"/>
      </w:pPr>
    </w:p>
    <w:p w14:paraId="6ACCC506" w14:textId="77777777" w:rsidR="00FF7799" w:rsidRPr="00ED4C94" w:rsidRDefault="00FF7799" w:rsidP="00E01A39">
      <w:pPr>
        <w:pStyle w:val="BeschriftungTab"/>
        <w:rPr>
          <w:i/>
          <w:iCs/>
        </w:rPr>
      </w:pPr>
      <w:r w:rsidRPr="00ED4C94">
        <w:rPr>
          <w:i/>
          <w:iCs/>
        </w:rPr>
        <w:t>Tab. 3:</w:t>
      </w:r>
      <w:r w:rsidRPr="00ED4C94">
        <w:rPr>
          <w:i/>
          <w:iCs/>
          <w:spacing w:val="-7"/>
        </w:rPr>
        <w:t xml:space="preserve"> </w:t>
      </w:r>
      <w:r w:rsidRPr="00ED4C94">
        <w:rPr>
          <w:i/>
          <w:iCs/>
        </w:rPr>
        <w:t>Erfolgskriterien</w:t>
      </w:r>
      <w:r w:rsidRPr="00ED4C94">
        <w:rPr>
          <w:i/>
          <w:iCs/>
          <w:spacing w:val="-7"/>
        </w:rPr>
        <w:t xml:space="preserve"> </w:t>
      </w:r>
      <w:r w:rsidRPr="00ED4C94">
        <w:rPr>
          <w:i/>
          <w:iCs/>
        </w:rPr>
        <w:t>globaler</w:t>
      </w:r>
      <w:r w:rsidRPr="00ED4C94">
        <w:rPr>
          <w:i/>
          <w:iCs/>
          <w:spacing w:val="-6"/>
        </w:rPr>
        <w:t xml:space="preserve"> </w:t>
      </w:r>
      <w:r w:rsidRPr="00ED4C94">
        <w:rPr>
          <w:i/>
          <w:iCs/>
          <w:spacing w:val="-2"/>
        </w:rPr>
        <w:t>Markennamen</w:t>
      </w:r>
    </w:p>
    <w:tbl>
      <w:tblPr>
        <w:tblStyle w:val="TableNormal"/>
        <w:tblW w:w="5000" w:type="pct"/>
        <w:tblBorders>
          <w:top w:val="single" w:sz="4" w:space="0" w:color="000000"/>
          <w:bottom w:val="single" w:sz="4" w:space="0" w:color="000000"/>
          <w:insideH w:val="single" w:sz="4" w:space="0" w:color="000000"/>
        </w:tblBorders>
        <w:tblCellMar>
          <w:left w:w="57" w:type="dxa"/>
          <w:right w:w="57" w:type="dxa"/>
        </w:tblCellMar>
        <w:tblLook w:val="01E0" w:firstRow="1" w:lastRow="1" w:firstColumn="1" w:lastColumn="1" w:noHBand="0" w:noVBand="0"/>
      </w:tblPr>
      <w:tblGrid>
        <w:gridCol w:w="2833"/>
        <w:gridCol w:w="1847"/>
        <w:gridCol w:w="983"/>
        <w:gridCol w:w="3409"/>
      </w:tblGrid>
      <w:tr w:rsidR="00FF7799" w:rsidRPr="00E73F6F" w14:paraId="0D28D680" w14:textId="77777777" w:rsidTr="00270173">
        <w:trPr>
          <w:trHeight w:val="280"/>
          <w:tblHeader/>
        </w:trPr>
        <w:tc>
          <w:tcPr>
            <w:tcW w:w="2579" w:type="pct"/>
            <w:gridSpan w:val="2"/>
            <w:shd w:val="clear" w:color="auto" w:fill="FFC000"/>
          </w:tcPr>
          <w:p w14:paraId="4CAF6F4A" w14:textId="77777777" w:rsidR="00FF7799" w:rsidRPr="00E73F6F" w:rsidRDefault="00FF7799" w:rsidP="00E01A39">
            <w:pPr>
              <w:pStyle w:val="StandardText"/>
              <w:spacing w:after="120"/>
              <w:jc w:val="center"/>
              <w:rPr>
                <w:b/>
                <w:lang w:val="de-DE"/>
              </w:rPr>
            </w:pPr>
            <w:r w:rsidRPr="00E73F6F">
              <w:rPr>
                <w:b/>
                <w:lang w:val="de-DE"/>
              </w:rPr>
              <w:t>Marketing-Komponente</w:t>
            </w:r>
          </w:p>
        </w:tc>
        <w:tc>
          <w:tcPr>
            <w:tcW w:w="2413" w:type="pct"/>
            <w:gridSpan w:val="2"/>
            <w:shd w:val="clear" w:color="auto" w:fill="FFC000"/>
          </w:tcPr>
          <w:p w14:paraId="014D4A52" w14:textId="77777777" w:rsidR="00FF7799" w:rsidRPr="00E73F6F" w:rsidRDefault="00FF7799" w:rsidP="00E01A39">
            <w:pPr>
              <w:pStyle w:val="StandardText"/>
              <w:spacing w:after="120"/>
              <w:jc w:val="center"/>
              <w:rPr>
                <w:b/>
                <w:lang w:val="de-DE"/>
              </w:rPr>
            </w:pPr>
            <w:r w:rsidRPr="00E73F6F">
              <w:rPr>
                <w:b/>
                <w:lang w:val="de-DE"/>
              </w:rPr>
              <w:t>Juristische</w:t>
            </w:r>
            <w:r w:rsidRPr="00E73F6F">
              <w:rPr>
                <w:b/>
                <w:spacing w:val="-10"/>
                <w:lang w:val="de-DE"/>
              </w:rPr>
              <w:t xml:space="preserve"> </w:t>
            </w:r>
            <w:r w:rsidRPr="00E73F6F">
              <w:rPr>
                <w:b/>
                <w:lang w:val="de-DE"/>
              </w:rPr>
              <w:t>Komponente</w:t>
            </w:r>
          </w:p>
        </w:tc>
      </w:tr>
      <w:tr w:rsidR="00FF7799" w:rsidRPr="00E73F6F" w14:paraId="2FA7FBCE" w14:textId="77777777" w:rsidTr="00F07781">
        <w:trPr>
          <w:trHeight w:val="241"/>
        </w:trPr>
        <w:tc>
          <w:tcPr>
            <w:tcW w:w="2579" w:type="pct"/>
            <w:gridSpan w:val="2"/>
          </w:tcPr>
          <w:p w14:paraId="72B9B481" w14:textId="77777777" w:rsidR="00FF7799" w:rsidRPr="00E73F6F" w:rsidRDefault="00FF7799" w:rsidP="00AB3FAA">
            <w:pPr>
              <w:pStyle w:val="StandardTextAufzhlung"/>
              <w:ind w:left="506" w:hanging="425"/>
              <w:jc w:val="left"/>
              <w:rPr>
                <w:lang w:val="de-DE"/>
              </w:rPr>
            </w:pPr>
            <w:r w:rsidRPr="00E73F6F">
              <w:rPr>
                <w:lang w:val="de-DE"/>
              </w:rPr>
              <w:t>Produktrelevanz</w:t>
            </w:r>
          </w:p>
          <w:p w14:paraId="594EB38F" w14:textId="77777777" w:rsidR="00FF7799" w:rsidRPr="00E73F6F" w:rsidRDefault="00FF7799" w:rsidP="00AB3FAA">
            <w:pPr>
              <w:pStyle w:val="StandardTextAufzhlung"/>
              <w:ind w:left="506" w:hanging="425"/>
              <w:jc w:val="left"/>
              <w:rPr>
                <w:lang w:val="de-DE"/>
              </w:rPr>
            </w:pPr>
            <w:r w:rsidRPr="00E73F6F">
              <w:rPr>
                <w:lang w:val="de-DE"/>
              </w:rPr>
              <w:t>Vereinbarkeit</w:t>
            </w:r>
            <w:r w:rsidRPr="00E73F6F">
              <w:rPr>
                <w:spacing w:val="-8"/>
                <w:lang w:val="de-DE"/>
              </w:rPr>
              <w:t xml:space="preserve"> </w:t>
            </w:r>
            <w:r w:rsidRPr="00E73F6F">
              <w:rPr>
                <w:lang w:val="de-DE"/>
              </w:rPr>
              <w:t>mit</w:t>
            </w:r>
            <w:r w:rsidRPr="00E73F6F">
              <w:rPr>
                <w:spacing w:val="-9"/>
                <w:lang w:val="de-DE"/>
              </w:rPr>
              <w:t xml:space="preserve"> </w:t>
            </w:r>
            <w:r w:rsidRPr="00E73F6F">
              <w:rPr>
                <w:lang w:val="de-DE"/>
              </w:rPr>
              <w:t>dem</w:t>
            </w:r>
            <w:r w:rsidRPr="00E73F6F">
              <w:rPr>
                <w:spacing w:val="-10"/>
                <w:lang w:val="de-DE"/>
              </w:rPr>
              <w:t xml:space="preserve"> </w:t>
            </w:r>
            <w:r w:rsidRPr="00E73F6F">
              <w:rPr>
                <w:lang w:val="de-DE"/>
              </w:rPr>
              <w:t>Image</w:t>
            </w:r>
            <w:r w:rsidRPr="00E73F6F">
              <w:rPr>
                <w:spacing w:val="-10"/>
                <w:lang w:val="de-DE"/>
              </w:rPr>
              <w:t xml:space="preserve"> </w:t>
            </w:r>
            <w:r w:rsidRPr="00E73F6F">
              <w:rPr>
                <w:lang w:val="de-DE"/>
              </w:rPr>
              <w:t>des</w:t>
            </w:r>
            <w:r w:rsidRPr="00E73F6F">
              <w:rPr>
                <w:spacing w:val="40"/>
                <w:lang w:val="de-DE"/>
              </w:rPr>
              <w:t xml:space="preserve"> </w:t>
            </w:r>
            <w:r w:rsidRPr="00E73F6F">
              <w:rPr>
                <w:lang w:val="de-DE"/>
              </w:rPr>
              <w:t>Unternehmens und dessen</w:t>
            </w:r>
            <w:r w:rsidRPr="00E73F6F">
              <w:rPr>
                <w:spacing w:val="40"/>
                <w:lang w:val="de-DE"/>
              </w:rPr>
              <w:t xml:space="preserve"> </w:t>
            </w:r>
            <w:r w:rsidRPr="00E73F6F">
              <w:rPr>
                <w:lang w:val="de-DE"/>
              </w:rPr>
              <w:t>Markenportfolio</w:t>
            </w:r>
          </w:p>
          <w:p w14:paraId="3B4B4C64" w14:textId="77777777" w:rsidR="00FF7799" w:rsidRPr="00E73F6F" w:rsidRDefault="00FF7799" w:rsidP="00AB3FAA">
            <w:pPr>
              <w:pStyle w:val="StandardTextAufzhlung"/>
              <w:ind w:left="506" w:hanging="425"/>
              <w:jc w:val="left"/>
              <w:rPr>
                <w:lang w:val="de-DE"/>
              </w:rPr>
            </w:pPr>
            <w:r w:rsidRPr="00E73F6F">
              <w:rPr>
                <w:lang w:val="de-DE"/>
              </w:rPr>
              <w:t>Übermittlung</w:t>
            </w:r>
            <w:r w:rsidRPr="00E73F6F">
              <w:rPr>
                <w:spacing w:val="-6"/>
                <w:lang w:val="de-DE"/>
              </w:rPr>
              <w:t xml:space="preserve"> </w:t>
            </w:r>
            <w:r w:rsidRPr="00E73F6F">
              <w:rPr>
                <w:lang w:val="de-DE"/>
              </w:rPr>
              <w:t>der</w:t>
            </w:r>
            <w:r w:rsidRPr="00E73F6F">
              <w:rPr>
                <w:spacing w:val="-6"/>
                <w:lang w:val="de-DE"/>
              </w:rPr>
              <w:t xml:space="preserve"> </w:t>
            </w:r>
            <w:r w:rsidRPr="00E73F6F">
              <w:rPr>
                <w:lang w:val="de-DE"/>
              </w:rPr>
              <w:t>Positionierung</w:t>
            </w:r>
          </w:p>
          <w:p w14:paraId="52BE7131" w14:textId="77777777" w:rsidR="00FF7799" w:rsidRPr="00E73F6F" w:rsidRDefault="00FF7799" w:rsidP="00AB3FAA">
            <w:pPr>
              <w:pStyle w:val="StandardTextAufzhlung"/>
              <w:ind w:left="506" w:hanging="425"/>
              <w:jc w:val="left"/>
              <w:rPr>
                <w:lang w:val="de-DE"/>
              </w:rPr>
            </w:pPr>
            <w:r w:rsidRPr="00E73F6F">
              <w:rPr>
                <w:lang w:val="de-DE"/>
              </w:rPr>
              <w:t>Anziehungskraft</w:t>
            </w:r>
          </w:p>
        </w:tc>
        <w:tc>
          <w:tcPr>
            <w:tcW w:w="2413" w:type="pct"/>
            <w:gridSpan w:val="2"/>
          </w:tcPr>
          <w:p w14:paraId="6F094EF9" w14:textId="77777777" w:rsidR="00FF7799" w:rsidRPr="00E73F6F" w:rsidRDefault="00FF7799" w:rsidP="00AB3FAA">
            <w:pPr>
              <w:pStyle w:val="StandardTextAufzhlung"/>
              <w:ind w:left="506" w:hanging="425"/>
              <w:jc w:val="left"/>
              <w:rPr>
                <w:lang w:val="de-DE"/>
              </w:rPr>
            </w:pPr>
            <w:r w:rsidRPr="00E73F6F">
              <w:rPr>
                <w:lang w:val="de-DE"/>
              </w:rPr>
              <w:t xml:space="preserve">Differenzierungsfähigkeit </w:t>
            </w:r>
          </w:p>
          <w:p w14:paraId="53278F0E" w14:textId="77777777" w:rsidR="00FF7799" w:rsidRPr="00E73F6F" w:rsidRDefault="00FF7799" w:rsidP="00AB3FAA">
            <w:pPr>
              <w:pStyle w:val="StandardTextAufzhlung"/>
              <w:ind w:left="506" w:hanging="425"/>
              <w:jc w:val="left"/>
              <w:rPr>
                <w:lang w:val="de-DE"/>
              </w:rPr>
            </w:pPr>
            <w:r w:rsidRPr="00E73F6F">
              <w:rPr>
                <w:lang w:val="de-DE"/>
              </w:rPr>
              <w:t>Internationale</w:t>
            </w:r>
            <w:r w:rsidRPr="00E73F6F">
              <w:rPr>
                <w:spacing w:val="16"/>
                <w:lang w:val="de-DE"/>
              </w:rPr>
              <w:t xml:space="preserve"> </w:t>
            </w:r>
            <w:r w:rsidRPr="00E73F6F">
              <w:rPr>
                <w:lang w:val="de-DE"/>
              </w:rPr>
              <w:t>Schutzfähigkeit</w:t>
            </w:r>
          </w:p>
        </w:tc>
      </w:tr>
      <w:tr w:rsidR="00FF7799" w:rsidRPr="00E73F6F" w14:paraId="2A8BD508" w14:textId="77777777" w:rsidTr="00E01A39">
        <w:trPr>
          <w:trHeight w:val="239"/>
        </w:trPr>
        <w:tc>
          <w:tcPr>
            <w:tcW w:w="5000" w:type="pct"/>
            <w:gridSpan w:val="4"/>
            <w:shd w:val="clear" w:color="auto" w:fill="FFC000"/>
          </w:tcPr>
          <w:p w14:paraId="5A73E101" w14:textId="77777777" w:rsidR="00FF7799" w:rsidRPr="00E73F6F" w:rsidRDefault="00FF7799" w:rsidP="00AB3FAA">
            <w:pPr>
              <w:pStyle w:val="StandardText"/>
              <w:spacing w:after="120"/>
              <w:ind w:left="506" w:hanging="425"/>
              <w:jc w:val="center"/>
              <w:rPr>
                <w:b/>
                <w:lang w:val="de-DE"/>
              </w:rPr>
            </w:pPr>
            <w:r w:rsidRPr="00E73F6F">
              <w:rPr>
                <w:b/>
                <w:lang w:val="de-DE"/>
              </w:rPr>
              <w:lastRenderedPageBreak/>
              <w:t>Linguistische</w:t>
            </w:r>
            <w:r w:rsidRPr="00E73F6F">
              <w:rPr>
                <w:b/>
                <w:spacing w:val="12"/>
                <w:lang w:val="de-DE"/>
              </w:rPr>
              <w:t xml:space="preserve"> </w:t>
            </w:r>
            <w:r w:rsidRPr="00E73F6F">
              <w:rPr>
                <w:b/>
                <w:lang w:val="de-DE"/>
              </w:rPr>
              <w:t>Komponente</w:t>
            </w:r>
          </w:p>
        </w:tc>
      </w:tr>
      <w:tr w:rsidR="00FF7799" w:rsidRPr="00E73F6F" w14:paraId="71D5397D" w14:textId="77777777" w:rsidTr="00E01A39">
        <w:trPr>
          <w:trHeight w:val="400"/>
        </w:trPr>
        <w:tc>
          <w:tcPr>
            <w:tcW w:w="1561" w:type="pct"/>
            <w:shd w:val="clear" w:color="auto" w:fill="FFF2CC" w:themeFill="accent4" w:themeFillTint="33"/>
          </w:tcPr>
          <w:p w14:paraId="51785C70" w14:textId="2F7F7D98" w:rsidR="00FF7799" w:rsidRPr="00E73F6F" w:rsidRDefault="00477EE1" w:rsidP="00AB3FAA">
            <w:pPr>
              <w:pStyle w:val="StandardText"/>
              <w:spacing w:after="120"/>
              <w:ind w:left="506" w:hanging="425"/>
              <w:jc w:val="center"/>
              <w:rPr>
                <w:lang w:val="de-DE"/>
              </w:rPr>
            </w:pPr>
            <w:r>
              <w:rPr>
                <w:lang w:val="de-DE"/>
              </w:rPr>
              <w:t>p</w:t>
            </w:r>
            <w:r w:rsidR="00FF7799" w:rsidRPr="00E73F6F">
              <w:rPr>
                <w:lang w:val="de-DE"/>
              </w:rPr>
              <w:t>honetische</w:t>
            </w:r>
            <w:r w:rsidR="00FF7799" w:rsidRPr="00E73F6F">
              <w:rPr>
                <w:spacing w:val="-9"/>
                <w:lang w:val="de-DE"/>
              </w:rPr>
              <w:t xml:space="preserve"> </w:t>
            </w:r>
            <w:r w:rsidR="00FF7799" w:rsidRPr="00E73F6F">
              <w:rPr>
                <w:lang w:val="de-DE"/>
              </w:rPr>
              <w:t>Eigenschaften</w:t>
            </w:r>
          </w:p>
        </w:tc>
        <w:tc>
          <w:tcPr>
            <w:tcW w:w="1560" w:type="pct"/>
            <w:gridSpan w:val="2"/>
            <w:shd w:val="clear" w:color="auto" w:fill="FFF2CC" w:themeFill="accent4" w:themeFillTint="33"/>
          </w:tcPr>
          <w:p w14:paraId="117F07F0" w14:textId="69BC877F" w:rsidR="00FF7799" w:rsidRPr="00E73F6F" w:rsidRDefault="00477EE1" w:rsidP="00AB3FAA">
            <w:pPr>
              <w:pStyle w:val="StandardText"/>
              <w:spacing w:after="120"/>
              <w:ind w:left="506" w:hanging="425"/>
              <w:jc w:val="center"/>
              <w:rPr>
                <w:lang w:val="de-DE"/>
              </w:rPr>
            </w:pPr>
            <w:r>
              <w:rPr>
                <w:lang w:val="de-DE"/>
              </w:rPr>
              <w:t>s</w:t>
            </w:r>
            <w:r w:rsidR="00FF7799" w:rsidRPr="00E73F6F">
              <w:rPr>
                <w:lang w:val="de-DE"/>
              </w:rPr>
              <w:t>emantische</w:t>
            </w:r>
            <w:r w:rsidR="00FF7799" w:rsidRPr="00E73F6F">
              <w:rPr>
                <w:spacing w:val="-10"/>
                <w:lang w:val="de-DE"/>
              </w:rPr>
              <w:t xml:space="preserve"> </w:t>
            </w:r>
            <w:r w:rsidR="00FF7799" w:rsidRPr="00E73F6F">
              <w:rPr>
                <w:lang w:val="de-DE"/>
              </w:rPr>
              <w:t>Eigenschaften</w:t>
            </w:r>
          </w:p>
        </w:tc>
        <w:tc>
          <w:tcPr>
            <w:tcW w:w="1879" w:type="pct"/>
            <w:shd w:val="clear" w:color="auto" w:fill="FFF2CC" w:themeFill="accent4" w:themeFillTint="33"/>
          </w:tcPr>
          <w:p w14:paraId="51602E18" w14:textId="21B543C6" w:rsidR="00FF7799" w:rsidRPr="00E73F6F" w:rsidRDefault="00477EE1" w:rsidP="00AB3FAA">
            <w:pPr>
              <w:pStyle w:val="StandardText"/>
              <w:spacing w:after="120"/>
              <w:ind w:left="506" w:hanging="425"/>
              <w:jc w:val="center"/>
              <w:rPr>
                <w:lang w:val="de-DE"/>
              </w:rPr>
            </w:pPr>
            <w:r>
              <w:rPr>
                <w:lang w:val="de-DE"/>
              </w:rPr>
              <w:t>m</w:t>
            </w:r>
            <w:r w:rsidR="00FF7799" w:rsidRPr="00E73F6F">
              <w:rPr>
                <w:lang w:val="de-DE"/>
              </w:rPr>
              <w:t>orphologische</w:t>
            </w:r>
            <w:r w:rsidR="00FF7799" w:rsidRPr="00E73F6F">
              <w:rPr>
                <w:spacing w:val="40"/>
                <w:lang w:val="de-DE"/>
              </w:rPr>
              <w:t xml:space="preserve"> </w:t>
            </w:r>
            <w:r w:rsidR="00FF7799" w:rsidRPr="00E73F6F">
              <w:rPr>
                <w:lang w:val="de-DE"/>
              </w:rPr>
              <w:t>Eigenschaften</w:t>
            </w:r>
          </w:p>
        </w:tc>
      </w:tr>
      <w:tr w:rsidR="00FF7799" w:rsidRPr="00E73F6F" w14:paraId="4F3B4CCB" w14:textId="77777777" w:rsidTr="00F07781">
        <w:trPr>
          <w:trHeight w:val="1203"/>
        </w:trPr>
        <w:tc>
          <w:tcPr>
            <w:tcW w:w="1561" w:type="pct"/>
          </w:tcPr>
          <w:p w14:paraId="1C0B6A65" w14:textId="77777777" w:rsidR="00FF7799" w:rsidRPr="00E73F6F" w:rsidRDefault="00FF7799" w:rsidP="00AB3FAA">
            <w:pPr>
              <w:pStyle w:val="StandardTextAufzhlung"/>
              <w:ind w:left="506" w:hanging="425"/>
              <w:rPr>
                <w:lang w:val="de-DE"/>
              </w:rPr>
            </w:pPr>
            <w:r w:rsidRPr="00E73F6F">
              <w:rPr>
                <w:lang w:val="de-DE"/>
              </w:rPr>
              <w:t>Aussprechbarkeit</w:t>
            </w:r>
          </w:p>
          <w:p w14:paraId="7CFD7370" w14:textId="77777777" w:rsidR="00FF7799" w:rsidRPr="00E73F6F" w:rsidRDefault="00FF7799" w:rsidP="00AB3FAA">
            <w:pPr>
              <w:pStyle w:val="StandardTextAufzhlung"/>
              <w:ind w:left="506" w:hanging="425"/>
              <w:rPr>
                <w:lang w:val="de-DE"/>
              </w:rPr>
            </w:pPr>
            <w:r w:rsidRPr="00E73F6F">
              <w:rPr>
                <w:lang w:val="de-DE"/>
              </w:rPr>
              <w:t>Lesbarkeit</w:t>
            </w:r>
          </w:p>
          <w:p w14:paraId="22428C38" w14:textId="77777777" w:rsidR="00FF7799" w:rsidRPr="00E73F6F" w:rsidRDefault="00FF7799" w:rsidP="00AB3FAA">
            <w:pPr>
              <w:pStyle w:val="StandardTextAufzhlung"/>
              <w:ind w:left="506" w:hanging="425"/>
              <w:rPr>
                <w:lang w:val="de-DE"/>
              </w:rPr>
            </w:pPr>
            <w:r w:rsidRPr="00E73F6F">
              <w:rPr>
                <w:lang w:val="de-DE"/>
              </w:rPr>
              <w:t>Wohlklang</w:t>
            </w:r>
          </w:p>
        </w:tc>
        <w:tc>
          <w:tcPr>
            <w:tcW w:w="1560" w:type="pct"/>
            <w:gridSpan w:val="2"/>
          </w:tcPr>
          <w:p w14:paraId="6E0A15FC" w14:textId="77777777" w:rsidR="00FF7799" w:rsidRPr="00E73F6F" w:rsidRDefault="00FF7799" w:rsidP="00AB3FAA">
            <w:pPr>
              <w:pStyle w:val="StandardTextAufzhlung"/>
              <w:ind w:left="506" w:hanging="425"/>
              <w:rPr>
                <w:lang w:val="de-DE"/>
              </w:rPr>
            </w:pPr>
            <w:r w:rsidRPr="00E73F6F">
              <w:rPr>
                <w:lang w:val="de-DE"/>
              </w:rPr>
              <w:t>Positive</w:t>
            </w:r>
            <w:r w:rsidRPr="00E73F6F">
              <w:rPr>
                <w:spacing w:val="-6"/>
                <w:lang w:val="de-DE"/>
              </w:rPr>
              <w:t xml:space="preserve"> </w:t>
            </w:r>
            <w:r w:rsidRPr="00E73F6F">
              <w:rPr>
                <w:lang w:val="de-DE"/>
              </w:rPr>
              <w:t>Assoziationen</w:t>
            </w:r>
          </w:p>
          <w:p w14:paraId="13FA55FE" w14:textId="77777777" w:rsidR="00FF7799" w:rsidRPr="00E73F6F" w:rsidRDefault="00FF7799" w:rsidP="00AB3FAA">
            <w:pPr>
              <w:pStyle w:val="StandardTextAufzhlung"/>
              <w:ind w:left="506" w:hanging="425"/>
              <w:rPr>
                <w:lang w:val="de-DE"/>
              </w:rPr>
            </w:pPr>
            <w:r w:rsidRPr="00E73F6F">
              <w:rPr>
                <w:lang w:val="de-DE"/>
              </w:rPr>
              <w:t>Verständlichkeit</w:t>
            </w:r>
          </w:p>
          <w:p w14:paraId="05C1A50E" w14:textId="77777777" w:rsidR="00FF7799" w:rsidRPr="00E73F6F" w:rsidRDefault="00FF7799" w:rsidP="00AB3FAA">
            <w:pPr>
              <w:pStyle w:val="StandardTextAufzhlung"/>
              <w:ind w:left="506" w:hanging="425"/>
              <w:rPr>
                <w:lang w:val="de-DE"/>
              </w:rPr>
            </w:pPr>
            <w:r w:rsidRPr="00E73F6F">
              <w:rPr>
                <w:lang w:val="de-DE"/>
              </w:rPr>
              <w:t>Einprägsamkeit</w:t>
            </w:r>
          </w:p>
          <w:p w14:paraId="70E5AAE7" w14:textId="77777777" w:rsidR="00FF7799" w:rsidRPr="00E73F6F" w:rsidRDefault="00FF7799" w:rsidP="00AB3FAA">
            <w:pPr>
              <w:pStyle w:val="StandardTextAufzhlung"/>
              <w:ind w:left="506" w:hanging="425"/>
              <w:rPr>
                <w:lang w:val="de-DE"/>
              </w:rPr>
            </w:pPr>
            <w:r w:rsidRPr="00E73F6F">
              <w:rPr>
                <w:lang w:val="de-DE"/>
              </w:rPr>
              <w:t>Sprachunabhängigkeit</w:t>
            </w:r>
          </w:p>
        </w:tc>
        <w:tc>
          <w:tcPr>
            <w:tcW w:w="1879" w:type="pct"/>
          </w:tcPr>
          <w:p w14:paraId="35DA4F30" w14:textId="77777777" w:rsidR="00FF7799" w:rsidRPr="00E73F6F" w:rsidRDefault="00FF7799" w:rsidP="00AB3FAA">
            <w:pPr>
              <w:pStyle w:val="StandardTextAufzhlung"/>
              <w:ind w:left="506" w:hanging="425"/>
              <w:rPr>
                <w:lang w:val="de-DE"/>
              </w:rPr>
            </w:pPr>
            <w:r w:rsidRPr="00E73F6F">
              <w:rPr>
                <w:lang w:val="de-DE"/>
              </w:rPr>
              <w:t>Kürze</w:t>
            </w:r>
          </w:p>
          <w:p w14:paraId="131CB43D" w14:textId="77777777" w:rsidR="00FF7799" w:rsidRPr="00E73F6F" w:rsidRDefault="00FF7799" w:rsidP="00AB3FAA">
            <w:pPr>
              <w:pStyle w:val="StandardTextAufzhlung"/>
              <w:ind w:left="506" w:hanging="425"/>
              <w:rPr>
                <w:lang w:val="de-DE"/>
              </w:rPr>
            </w:pPr>
            <w:r w:rsidRPr="00E73F6F">
              <w:rPr>
                <w:lang w:val="de-DE"/>
              </w:rPr>
              <w:t>Einfachheit</w:t>
            </w:r>
          </w:p>
        </w:tc>
      </w:tr>
    </w:tbl>
    <w:p w14:paraId="30FDF046" w14:textId="77777777" w:rsidR="00FF7799" w:rsidRPr="00E73F6F" w:rsidRDefault="00FF7799" w:rsidP="00A51B43">
      <w:pPr>
        <w:pStyle w:val="Quellen"/>
      </w:pPr>
      <w:r w:rsidRPr="00E73F6F">
        <w:t>Quelle:</w:t>
      </w:r>
      <w:r w:rsidRPr="00E73F6F">
        <w:rPr>
          <w:spacing w:val="33"/>
        </w:rPr>
        <w:t xml:space="preserve"> </w:t>
      </w:r>
      <w:r w:rsidRPr="00E73F6F">
        <w:t>in Anlehnung</w:t>
      </w:r>
      <w:r w:rsidRPr="00E73F6F">
        <w:rPr>
          <w:spacing w:val="-1"/>
        </w:rPr>
        <w:t xml:space="preserve"> </w:t>
      </w:r>
      <w:r w:rsidRPr="00E73F6F">
        <w:t>an</w:t>
      </w:r>
      <w:r w:rsidRPr="00E73F6F">
        <w:rPr>
          <w:spacing w:val="-2"/>
        </w:rPr>
        <w:t xml:space="preserve"> </w:t>
      </w:r>
      <w:r w:rsidRPr="00E73F6F">
        <w:t>Huang/Chan (1997,</w:t>
      </w:r>
      <w:r w:rsidRPr="00E73F6F">
        <w:rPr>
          <w:spacing w:val="2"/>
        </w:rPr>
        <w:t xml:space="preserve"> </w:t>
      </w:r>
      <w:r w:rsidRPr="00E73F6F">
        <w:rPr>
          <w:spacing w:val="-2"/>
        </w:rPr>
        <w:t>S.322).</w:t>
      </w:r>
    </w:p>
    <w:p w14:paraId="18F76FD2" w14:textId="77777777" w:rsidR="00FF7799" w:rsidRPr="00E73F6F" w:rsidRDefault="00FF7799" w:rsidP="00097748">
      <w:pPr>
        <w:pStyle w:val="StandardText"/>
      </w:pPr>
    </w:p>
    <w:p w14:paraId="67897C37" w14:textId="77777777" w:rsidR="00FF7799" w:rsidRPr="00E73F6F" w:rsidRDefault="00FF7799" w:rsidP="00097748">
      <w:pPr>
        <w:pStyle w:val="StandardText"/>
      </w:pPr>
      <w:r w:rsidRPr="00E73F6F">
        <w:t>Die Akzeptanz fremdsprachiger bzw. transferierter Markennamen hängt u.a.</w:t>
      </w:r>
      <w:r w:rsidR="0052536B">
        <w:t xml:space="preserve"> von den Sprachkenntnissen der </w:t>
      </w:r>
      <w:r w:rsidR="0052536B">
        <w:sym w:font="Symbol" w:char="F0DE"/>
      </w:r>
      <w:r w:rsidRPr="00E73F6F">
        <w:rPr>
          <w:spacing w:val="-2"/>
        </w:rPr>
        <w:t xml:space="preserve"> </w:t>
      </w:r>
      <w:r w:rsidRPr="00E73F6F">
        <w:t>Zielgruppe, aber auch vom Bekanntheitsgrad des Produktes ab. Ist dieser groß, favorisieren die Befragten die Übernahme des Originalnamens, sonst duale Markennamen, welche generell positiv abschneiden. Anhand der</w:t>
      </w:r>
      <w:r w:rsidRPr="00E73F6F">
        <w:rPr>
          <w:spacing w:val="-1"/>
        </w:rPr>
        <w:t xml:space="preserve"> </w:t>
      </w:r>
      <w:r w:rsidRPr="00E73F6F">
        <w:t>Ergebnisse einer empirischen Studie lassen sich diese Empfehlungen mit Blick auf die Einführung von Markennamen auf dem chinesischen Markt konkretisieren. Gewöhnlich verspricht</w:t>
      </w:r>
      <w:r w:rsidRPr="00E73F6F">
        <w:rPr>
          <w:spacing w:val="-4"/>
        </w:rPr>
        <w:t xml:space="preserve"> </w:t>
      </w:r>
      <w:r w:rsidRPr="00E73F6F">
        <w:t>dort</w:t>
      </w:r>
      <w:r w:rsidRPr="00E73F6F">
        <w:rPr>
          <w:spacing w:val="-4"/>
        </w:rPr>
        <w:t xml:space="preserve"> </w:t>
      </w:r>
      <w:r w:rsidRPr="00E73F6F">
        <w:t>die</w:t>
      </w:r>
      <w:r w:rsidRPr="00E73F6F">
        <w:rPr>
          <w:spacing w:val="-4"/>
        </w:rPr>
        <w:t xml:space="preserve"> </w:t>
      </w:r>
      <w:r w:rsidRPr="00E73F6F">
        <w:t>Kombination aus</w:t>
      </w:r>
      <w:r w:rsidRPr="00E73F6F">
        <w:rPr>
          <w:spacing w:val="-2"/>
        </w:rPr>
        <w:t xml:space="preserve"> </w:t>
      </w:r>
      <w:r w:rsidRPr="00E73F6F">
        <w:t>Originalname</w:t>
      </w:r>
      <w:r w:rsidRPr="00E73F6F">
        <w:rPr>
          <w:spacing w:val="-3"/>
        </w:rPr>
        <w:t xml:space="preserve"> </w:t>
      </w:r>
      <w:r w:rsidRPr="00E73F6F">
        <w:t>und</w:t>
      </w:r>
      <w:r w:rsidRPr="00E73F6F">
        <w:rPr>
          <w:spacing w:val="-3"/>
        </w:rPr>
        <w:t xml:space="preserve"> </w:t>
      </w:r>
      <w:r w:rsidRPr="00E73F6F">
        <w:t>Transliteration (vgl.</w:t>
      </w:r>
      <w:r w:rsidRPr="00E73F6F">
        <w:rPr>
          <w:spacing w:val="-3"/>
        </w:rPr>
        <w:t xml:space="preserve"> </w:t>
      </w:r>
      <w:r w:rsidRPr="00E73F6F">
        <w:t>Tab. 4) den größten Erfolg, wobei der</w:t>
      </w:r>
      <w:r w:rsidRPr="00E73F6F">
        <w:rPr>
          <w:spacing w:val="-1"/>
        </w:rPr>
        <w:t xml:space="preserve"> </w:t>
      </w:r>
      <w:r w:rsidRPr="00E73F6F">
        <w:t>Originalname besonders hervorgehoben werden sollte. Bei einer dualen Strategie mit (phono-)semantischer Übersetzung sollte hingegen der chinesische Name dominieren. Wer sich auf eine Übersetzungsstrategie beschränken möchte, sollte der Transliteration den Vorzug geben. Bei sehr bekannten Markennamen reicht mitunter der Originalname aus. Diese</w:t>
      </w:r>
      <w:r w:rsidRPr="00E73F6F">
        <w:rPr>
          <w:spacing w:val="-6"/>
        </w:rPr>
        <w:t xml:space="preserve"> </w:t>
      </w:r>
      <w:r w:rsidRPr="00E73F6F">
        <w:t>Strategie</w:t>
      </w:r>
      <w:r w:rsidRPr="00E73F6F">
        <w:rPr>
          <w:spacing w:val="-6"/>
        </w:rPr>
        <w:t xml:space="preserve"> </w:t>
      </w:r>
      <w:r w:rsidRPr="00E73F6F">
        <w:t>empfiehlt</w:t>
      </w:r>
      <w:r w:rsidRPr="00E73F6F">
        <w:rPr>
          <w:spacing w:val="-5"/>
        </w:rPr>
        <w:t xml:space="preserve"> </w:t>
      </w:r>
      <w:r w:rsidRPr="00E73F6F">
        <w:t>sich</w:t>
      </w:r>
      <w:r w:rsidRPr="00E73F6F">
        <w:rPr>
          <w:spacing w:val="-4"/>
        </w:rPr>
        <w:t xml:space="preserve"> </w:t>
      </w:r>
      <w:r w:rsidRPr="00E73F6F">
        <w:t>vor</w:t>
      </w:r>
      <w:r w:rsidRPr="00E73F6F">
        <w:rPr>
          <w:spacing w:val="-8"/>
        </w:rPr>
        <w:t xml:space="preserve"> </w:t>
      </w:r>
      <w:r w:rsidRPr="00E73F6F">
        <w:t>allem</w:t>
      </w:r>
      <w:r w:rsidRPr="00E73F6F">
        <w:rPr>
          <w:spacing w:val="-6"/>
        </w:rPr>
        <w:t xml:space="preserve"> </w:t>
      </w:r>
      <w:r w:rsidRPr="00E73F6F">
        <w:t>bei</w:t>
      </w:r>
      <w:r w:rsidRPr="00E73F6F">
        <w:rPr>
          <w:spacing w:val="-5"/>
        </w:rPr>
        <w:t xml:space="preserve"> </w:t>
      </w:r>
      <w:r w:rsidRPr="00E73F6F">
        <w:t>Akronym-Namen:</w:t>
      </w:r>
      <w:r w:rsidRPr="00E73F6F">
        <w:rPr>
          <w:spacing w:val="-5"/>
        </w:rPr>
        <w:t xml:space="preserve"> </w:t>
      </w:r>
      <w:r w:rsidRPr="00E73F6F">
        <w:t>Markennamen</w:t>
      </w:r>
      <w:r w:rsidRPr="00E73F6F">
        <w:rPr>
          <w:spacing w:val="-4"/>
        </w:rPr>
        <w:t xml:space="preserve"> </w:t>
      </w:r>
      <w:r w:rsidRPr="00E73F6F">
        <w:t>wie M&amp;M oder IBM werden dann als graphisches Symbol oder Logo und nicht als Wort wahrgenommen. Insgesamt verspricht aber die duale Strategie den größten Erfolg, weil sie einerseits das Image globaler Marken wahrt sowie die Wiedererkennung des Namens gewährleistet. Andererseits ermöglicht diese Strategie</w:t>
      </w:r>
      <w:r w:rsidRPr="00E73F6F">
        <w:rPr>
          <w:spacing w:val="-3"/>
        </w:rPr>
        <w:t xml:space="preserve"> </w:t>
      </w:r>
      <w:r w:rsidRPr="00E73F6F">
        <w:t>den</w:t>
      </w:r>
      <w:r w:rsidRPr="00E73F6F">
        <w:rPr>
          <w:spacing w:val="-2"/>
        </w:rPr>
        <w:t xml:space="preserve"> </w:t>
      </w:r>
      <w:r w:rsidRPr="00E73F6F">
        <w:t>Aufbau</w:t>
      </w:r>
      <w:r w:rsidRPr="00E73F6F">
        <w:rPr>
          <w:spacing w:val="-2"/>
        </w:rPr>
        <w:t xml:space="preserve"> </w:t>
      </w:r>
      <w:r w:rsidRPr="00E73F6F">
        <w:t>einer</w:t>
      </w:r>
      <w:r w:rsidRPr="00E73F6F">
        <w:rPr>
          <w:spacing w:val="-3"/>
        </w:rPr>
        <w:t xml:space="preserve"> </w:t>
      </w:r>
      <w:r w:rsidRPr="00E73F6F">
        <w:t>lokalen</w:t>
      </w:r>
      <w:r w:rsidRPr="00E73F6F">
        <w:rPr>
          <w:spacing w:val="-2"/>
        </w:rPr>
        <w:t xml:space="preserve"> </w:t>
      </w:r>
      <w:r w:rsidRPr="00E73F6F">
        <w:t>Identität</w:t>
      </w:r>
      <w:r w:rsidRPr="00E73F6F">
        <w:rPr>
          <w:spacing w:val="-3"/>
        </w:rPr>
        <w:t xml:space="preserve"> </w:t>
      </w:r>
      <w:r w:rsidRPr="00E73F6F">
        <w:t>und</w:t>
      </w:r>
      <w:r w:rsidRPr="00E73F6F">
        <w:rPr>
          <w:spacing w:val="-1"/>
        </w:rPr>
        <w:t xml:space="preserve"> </w:t>
      </w:r>
      <w:r w:rsidRPr="00E73F6F">
        <w:t>-</w:t>
      </w:r>
      <w:r w:rsidRPr="00E73F6F">
        <w:rPr>
          <w:spacing w:val="-3"/>
        </w:rPr>
        <w:t xml:space="preserve"> </w:t>
      </w:r>
      <w:r w:rsidRPr="00E73F6F">
        <w:t>bei</w:t>
      </w:r>
      <w:r w:rsidRPr="00E73F6F">
        <w:rPr>
          <w:spacing w:val="-3"/>
        </w:rPr>
        <w:t xml:space="preserve"> </w:t>
      </w:r>
      <w:r w:rsidRPr="00E73F6F">
        <w:t>einer</w:t>
      </w:r>
      <w:r w:rsidRPr="00E73F6F">
        <w:rPr>
          <w:spacing w:val="-3"/>
        </w:rPr>
        <w:t xml:space="preserve"> </w:t>
      </w:r>
      <w:r w:rsidRPr="00E73F6F">
        <w:t>(phono-)semantischen Übersetzung -</w:t>
      </w:r>
      <w:r w:rsidRPr="00E73F6F">
        <w:rPr>
          <w:spacing w:val="40"/>
        </w:rPr>
        <w:t xml:space="preserve"> </w:t>
      </w:r>
      <w:r w:rsidRPr="00E73F6F">
        <w:t>die Provokation wünschenswerter Assoziationen zum Produkt.</w:t>
      </w:r>
    </w:p>
    <w:p w14:paraId="206F3B46" w14:textId="77777777" w:rsidR="00FF7799" w:rsidRPr="00E73F6F" w:rsidRDefault="00FF7799" w:rsidP="00097748">
      <w:pPr>
        <w:pStyle w:val="StandardText"/>
      </w:pPr>
    </w:p>
    <w:p w14:paraId="6641B87B" w14:textId="77777777" w:rsidR="00FF7799" w:rsidRPr="00ED4C94" w:rsidRDefault="00FF7799" w:rsidP="00097748">
      <w:pPr>
        <w:pStyle w:val="BeschriftungTab"/>
        <w:rPr>
          <w:i/>
          <w:iCs/>
        </w:rPr>
      </w:pPr>
      <w:r w:rsidRPr="00ED4C94">
        <w:rPr>
          <w:i/>
          <w:iCs/>
        </w:rPr>
        <w:t>Tab. 4:</w:t>
      </w:r>
      <w:r w:rsidRPr="00ED4C94">
        <w:rPr>
          <w:i/>
          <w:iCs/>
          <w:spacing w:val="-4"/>
        </w:rPr>
        <w:t xml:space="preserve"> </w:t>
      </w:r>
      <w:r w:rsidRPr="00ED4C94">
        <w:rPr>
          <w:i/>
          <w:iCs/>
        </w:rPr>
        <w:t>Übersetzungsstrategien</w:t>
      </w:r>
      <w:r w:rsidRPr="00ED4C94">
        <w:rPr>
          <w:i/>
          <w:iCs/>
          <w:spacing w:val="-4"/>
        </w:rPr>
        <w:t xml:space="preserve"> </w:t>
      </w:r>
      <w:r w:rsidRPr="00ED4C94">
        <w:rPr>
          <w:i/>
          <w:iCs/>
        </w:rPr>
        <w:t>beim</w:t>
      </w:r>
      <w:r w:rsidRPr="00ED4C94">
        <w:rPr>
          <w:i/>
          <w:iCs/>
          <w:spacing w:val="-6"/>
        </w:rPr>
        <w:t xml:space="preserve"> </w:t>
      </w:r>
      <w:r w:rsidRPr="00ED4C94">
        <w:rPr>
          <w:i/>
          <w:iCs/>
        </w:rPr>
        <w:t>Transfer</w:t>
      </w:r>
      <w:r w:rsidRPr="00ED4C94">
        <w:rPr>
          <w:i/>
          <w:iCs/>
          <w:spacing w:val="-5"/>
        </w:rPr>
        <w:t xml:space="preserve"> </w:t>
      </w:r>
      <w:r w:rsidRPr="00ED4C94">
        <w:rPr>
          <w:i/>
          <w:iCs/>
        </w:rPr>
        <w:t>von</w:t>
      </w:r>
      <w:r w:rsidRPr="00ED4C94">
        <w:rPr>
          <w:i/>
          <w:iCs/>
          <w:spacing w:val="-4"/>
        </w:rPr>
        <w:t xml:space="preserve"> </w:t>
      </w:r>
      <w:r w:rsidRPr="00ED4C94">
        <w:rPr>
          <w:i/>
          <w:iCs/>
        </w:rPr>
        <w:t>Markennamen</w:t>
      </w:r>
      <w:r w:rsidRPr="00ED4C94">
        <w:rPr>
          <w:i/>
          <w:iCs/>
          <w:spacing w:val="-4"/>
        </w:rPr>
        <w:t xml:space="preserve"> </w:t>
      </w:r>
      <w:r w:rsidRPr="00ED4C94">
        <w:rPr>
          <w:i/>
          <w:iCs/>
        </w:rPr>
        <w:t>auf</w:t>
      </w:r>
      <w:r w:rsidRPr="00ED4C94">
        <w:rPr>
          <w:i/>
          <w:iCs/>
          <w:spacing w:val="-4"/>
        </w:rPr>
        <w:t xml:space="preserve"> </w:t>
      </w:r>
      <w:r w:rsidRPr="00ED4C94">
        <w:rPr>
          <w:i/>
          <w:iCs/>
        </w:rPr>
        <w:t>den</w:t>
      </w:r>
      <w:r w:rsidRPr="00ED4C94">
        <w:rPr>
          <w:i/>
          <w:iCs/>
          <w:spacing w:val="-4"/>
        </w:rPr>
        <w:t xml:space="preserve"> </w:t>
      </w:r>
      <w:r w:rsidRPr="00ED4C94">
        <w:rPr>
          <w:i/>
          <w:iCs/>
        </w:rPr>
        <w:t>chinesischen</w:t>
      </w:r>
      <w:r w:rsidRPr="00ED4C94">
        <w:rPr>
          <w:i/>
          <w:iCs/>
          <w:spacing w:val="40"/>
        </w:rPr>
        <w:t xml:space="preserve"> </w:t>
      </w:r>
      <w:r w:rsidRPr="00ED4C94">
        <w:rPr>
          <w:i/>
          <w:iCs/>
          <w:spacing w:val="-4"/>
        </w:rPr>
        <w:t>Markt</w:t>
      </w: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1E0" w:firstRow="1" w:lastRow="1" w:firstColumn="1" w:lastColumn="1" w:noHBand="0" w:noVBand="0"/>
      </w:tblPr>
      <w:tblGrid>
        <w:gridCol w:w="2018"/>
        <w:gridCol w:w="2358"/>
        <w:gridCol w:w="1905"/>
        <w:gridCol w:w="2158"/>
        <w:gridCol w:w="633"/>
      </w:tblGrid>
      <w:tr w:rsidR="00FF7799" w:rsidRPr="00E73F6F" w14:paraId="5EB76362" w14:textId="77777777" w:rsidTr="00270173">
        <w:trPr>
          <w:trHeight w:val="403"/>
          <w:tblHeader/>
        </w:trPr>
        <w:tc>
          <w:tcPr>
            <w:tcW w:w="1016" w:type="pct"/>
            <w:tcBorders>
              <w:left w:val="nil"/>
              <w:bottom w:val="single" w:sz="6" w:space="0" w:color="000000"/>
              <w:right w:val="nil"/>
            </w:tcBorders>
            <w:shd w:val="clear" w:color="auto" w:fill="FFC000" w:themeFill="accent4"/>
          </w:tcPr>
          <w:p w14:paraId="024F2E8A" w14:textId="77777777" w:rsidR="00FF7799" w:rsidRPr="00E73F6F" w:rsidRDefault="00FF7799" w:rsidP="00097748">
            <w:pPr>
              <w:pStyle w:val="StandardText"/>
              <w:jc w:val="center"/>
              <w:rPr>
                <w:b/>
                <w:lang w:val="de-DE"/>
              </w:rPr>
            </w:pPr>
            <w:r w:rsidRPr="00E73F6F">
              <w:rPr>
                <w:b/>
                <w:w w:val="105"/>
                <w:lang w:val="de-DE"/>
              </w:rPr>
              <w:t>Transfer-</w:t>
            </w:r>
            <w:r w:rsidRPr="00E73F6F">
              <w:rPr>
                <w:b/>
                <w:w w:val="105"/>
                <w:lang w:val="de-DE"/>
              </w:rPr>
              <w:br/>
              <w:t>strategie</w:t>
            </w:r>
          </w:p>
        </w:tc>
        <w:tc>
          <w:tcPr>
            <w:tcW w:w="945" w:type="pct"/>
            <w:tcBorders>
              <w:left w:val="nil"/>
              <w:bottom w:val="single" w:sz="6" w:space="0" w:color="000000"/>
              <w:right w:val="nil"/>
            </w:tcBorders>
            <w:shd w:val="clear" w:color="auto" w:fill="FFC000" w:themeFill="accent4"/>
          </w:tcPr>
          <w:p w14:paraId="32B90E2B" w14:textId="77777777" w:rsidR="00FF7799" w:rsidRPr="00E73F6F" w:rsidRDefault="00FF7799" w:rsidP="00F07781">
            <w:pPr>
              <w:pStyle w:val="StandardText"/>
              <w:jc w:val="center"/>
              <w:rPr>
                <w:b/>
                <w:lang w:val="de-DE"/>
              </w:rPr>
            </w:pPr>
            <w:r w:rsidRPr="00E73F6F">
              <w:rPr>
                <w:b/>
                <w:w w:val="105"/>
                <w:lang w:val="de-DE"/>
              </w:rPr>
              <w:t>Ursprungs</w:t>
            </w:r>
            <w:r w:rsidRPr="00E73F6F">
              <w:rPr>
                <w:b/>
                <w:spacing w:val="-4"/>
                <w:w w:val="105"/>
                <w:lang w:val="de-DE"/>
              </w:rPr>
              <w:t>name</w:t>
            </w:r>
          </w:p>
        </w:tc>
        <w:tc>
          <w:tcPr>
            <w:tcW w:w="1118" w:type="pct"/>
            <w:tcBorders>
              <w:left w:val="nil"/>
              <w:bottom w:val="single" w:sz="6" w:space="0" w:color="000000"/>
              <w:right w:val="nil"/>
            </w:tcBorders>
            <w:shd w:val="clear" w:color="auto" w:fill="FFC000" w:themeFill="accent4"/>
          </w:tcPr>
          <w:p w14:paraId="00615DA5" w14:textId="77777777" w:rsidR="00FF7799" w:rsidRPr="00E73F6F" w:rsidRDefault="00FF7799" w:rsidP="00097748">
            <w:pPr>
              <w:pStyle w:val="StandardText"/>
              <w:jc w:val="center"/>
              <w:rPr>
                <w:b/>
                <w:lang w:val="de-DE"/>
              </w:rPr>
            </w:pPr>
            <w:r w:rsidRPr="00E73F6F">
              <w:rPr>
                <w:b/>
                <w:w w:val="105"/>
                <w:lang w:val="de-DE"/>
              </w:rPr>
              <w:t>Name</w:t>
            </w:r>
            <w:r w:rsidRPr="00E73F6F">
              <w:rPr>
                <w:b/>
                <w:spacing w:val="-5"/>
                <w:w w:val="105"/>
                <w:lang w:val="de-DE"/>
              </w:rPr>
              <w:t xml:space="preserve"> </w:t>
            </w:r>
            <w:r w:rsidRPr="00E73F6F">
              <w:rPr>
                <w:b/>
                <w:w w:val="105"/>
                <w:lang w:val="de-DE"/>
              </w:rPr>
              <w:t>in</w:t>
            </w:r>
            <w:r w:rsidRPr="00E73F6F">
              <w:rPr>
                <w:b/>
                <w:spacing w:val="-4"/>
                <w:w w:val="105"/>
                <w:lang w:val="de-DE"/>
              </w:rPr>
              <w:t xml:space="preserve"> </w:t>
            </w:r>
            <w:r w:rsidRPr="00E73F6F">
              <w:rPr>
                <w:b/>
                <w:w w:val="105"/>
                <w:lang w:val="de-DE"/>
              </w:rPr>
              <w:t>China</w:t>
            </w:r>
          </w:p>
        </w:tc>
        <w:tc>
          <w:tcPr>
            <w:tcW w:w="1062" w:type="pct"/>
            <w:tcBorders>
              <w:left w:val="nil"/>
              <w:bottom w:val="single" w:sz="6" w:space="0" w:color="000000"/>
              <w:right w:val="nil"/>
            </w:tcBorders>
            <w:shd w:val="clear" w:color="auto" w:fill="FFC000" w:themeFill="accent4"/>
          </w:tcPr>
          <w:p w14:paraId="32523B24" w14:textId="77777777" w:rsidR="00FF7799" w:rsidRPr="00E73F6F" w:rsidRDefault="00FF7799" w:rsidP="00097748">
            <w:pPr>
              <w:pStyle w:val="StandardText"/>
              <w:jc w:val="center"/>
              <w:rPr>
                <w:b/>
                <w:lang w:val="de-DE"/>
              </w:rPr>
            </w:pPr>
            <w:r w:rsidRPr="00E73F6F">
              <w:rPr>
                <w:b/>
                <w:w w:val="105"/>
                <w:lang w:val="de-DE"/>
              </w:rPr>
              <w:t>Bedeutung</w:t>
            </w:r>
          </w:p>
        </w:tc>
        <w:tc>
          <w:tcPr>
            <w:tcW w:w="859" w:type="pct"/>
            <w:tcBorders>
              <w:left w:val="nil"/>
              <w:bottom w:val="single" w:sz="6" w:space="0" w:color="000000"/>
              <w:right w:val="nil"/>
            </w:tcBorders>
            <w:shd w:val="clear" w:color="auto" w:fill="FFC000" w:themeFill="accent4"/>
          </w:tcPr>
          <w:p w14:paraId="17B39066" w14:textId="77777777" w:rsidR="00FF7799" w:rsidRPr="00E73F6F" w:rsidRDefault="00FF7799" w:rsidP="00F07781">
            <w:pPr>
              <w:pStyle w:val="StandardText"/>
              <w:jc w:val="center"/>
              <w:rPr>
                <w:b/>
                <w:lang w:val="de-DE"/>
              </w:rPr>
            </w:pPr>
            <w:r w:rsidRPr="00E73F6F">
              <w:rPr>
                <w:b/>
                <w:w w:val="105"/>
                <w:lang w:val="de-DE"/>
              </w:rPr>
              <w:t>Grad</w:t>
            </w:r>
            <w:r w:rsidRPr="00E73F6F">
              <w:rPr>
                <w:b/>
                <w:spacing w:val="-6"/>
                <w:w w:val="105"/>
                <w:lang w:val="de-DE"/>
              </w:rPr>
              <w:t xml:space="preserve"> </w:t>
            </w:r>
            <w:r w:rsidR="0052536B">
              <w:rPr>
                <w:b/>
                <w:spacing w:val="-5"/>
                <w:w w:val="105"/>
                <w:lang w:val="de-DE"/>
              </w:rPr>
              <w:t xml:space="preserve">der </w:t>
            </w:r>
            <w:r w:rsidRPr="00E73F6F">
              <w:rPr>
                <w:b/>
                <w:w w:val="105"/>
                <w:lang w:val="de-DE"/>
              </w:rPr>
              <w:t>Standardi-sierung</w:t>
            </w:r>
          </w:p>
        </w:tc>
      </w:tr>
      <w:tr w:rsidR="00FF7799" w:rsidRPr="00E73F6F" w14:paraId="29447243" w14:textId="77777777" w:rsidTr="0052536B">
        <w:trPr>
          <w:trHeight w:val="454"/>
        </w:trPr>
        <w:tc>
          <w:tcPr>
            <w:tcW w:w="1016" w:type="pct"/>
            <w:tcBorders>
              <w:top w:val="single" w:sz="6" w:space="0" w:color="000000"/>
              <w:left w:val="nil"/>
              <w:right w:val="nil"/>
            </w:tcBorders>
            <w:shd w:val="clear" w:color="auto" w:fill="FFF2CC" w:themeFill="accent4" w:themeFillTint="33"/>
          </w:tcPr>
          <w:p w14:paraId="3C6C87A2" w14:textId="77777777" w:rsidR="00FF7799" w:rsidRPr="00E73F6F" w:rsidRDefault="00FF7799" w:rsidP="00097748">
            <w:pPr>
              <w:pStyle w:val="StandardText"/>
              <w:jc w:val="left"/>
              <w:rPr>
                <w:lang w:val="de-DE"/>
              </w:rPr>
            </w:pPr>
            <w:r w:rsidRPr="00E73F6F">
              <w:rPr>
                <w:w w:val="105"/>
                <w:lang w:val="de-DE"/>
              </w:rPr>
              <w:t>Übernahme</w:t>
            </w:r>
            <w:r w:rsidRPr="00E73F6F">
              <w:rPr>
                <w:spacing w:val="-8"/>
                <w:w w:val="105"/>
                <w:lang w:val="de-DE"/>
              </w:rPr>
              <w:t xml:space="preserve"> </w:t>
            </w:r>
            <w:r w:rsidRPr="00E73F6F">
              <w:rPr>
                <w:w w:val="105"/>
                <w:lang w:val="de-DE"/>
              </w:rPr>
              <w:t>des</w:t>
            </w:r>
            <w:r w:rsidRPr="00E73F6F">
              <w:rPr>
                <w:spacing w:val="40"/>
                <w:w w:val="105"/>
                <w:lang w:val="de-DE"/>
              </w:rPr>
              <w:t xml:space="preserve"> </w:t>
            </w:r>
            <w:r w:rsidRPr="00E73F6F">
              <w:rPr>
                <w:lang w:val="de-DE"/>
              </w:rPr>
              <w:t>Originalnamens</w:t>
            </w:r>
          </w:p>
        </w:tc>
        <w:tc>
          <w:tcPr>
            <w:tcW w:w="945" w:type="pct"/>
            <w:tcBorders>
              <w:top w:val="single" w:sz="6" w:space="0" w:color="000000"/>
              <w:left w:val="nil"/>
              <w:right w:val="nil"/>
            </w:tcBorders>
          </w:tcPr>
          <w:p w14:paraId="2A9C344F" w14:textId="77777777" w:rsidR="00FF7799" w:rsidRPr="00E73F6F" w:rsidRDefault="00FF7799" w:rsidP="00097748">
            <w:pPr>
              <w:pStyle w:val="StandardText"/>
              <w:jc w:val="left"/>
              <w:rPr>
                <w:i/>
                <w:lang w:val="de-DE"/>
              </w:rPr>
            </w:pPr>
            <w:r w:rsidRPr="00E73F6F">
              <w:rPr>
                <w:i/>
                <w:spacing w:val="-4"/>
                <w:w w:val="105"/>
                <w:lang w:val="de-DE"/>
              </w:rPr>
              <w:t>Ikea</w:t>
            </w:r>
          </w:p>
        </w:tc>
        <w:tc>
          <w:tcPr>
            <w:tcW w:w="1118" w:type="pct"/>
            <w:tcBorders>
              <w:top w:val="single" w:sz="6" w:space="0" w:color="000000"/>
              <w:left w:val="nil"/>
              <w:right w:val="nil"/>
            </w:tcBorders>
          </w:tcPr>
          <w:p w14:paraId="458F881A" w14:textId="77777777" w:rsidR="00FF7799" w:rsidRPr="00E73F6F" w:rsidRDefault="00FF7799" w:rsidP="00097748">
            <w:pPr>
              <w:pStyle w:val="StandardText"/>
              <w:jc w:val="left"/>
              <w:rPr>
                <w:lang w:val="de-DE"/>
              </w:rPr>
            </w:pPr>
            <w:r w:rsidRPr="00E73F6F">
              <w:rPr>
                <w:spacing w:val="-4"/>
                <w:w w:val="105"/>
                <w:lang w:val="de-DE"/>
              </w:rPr>
              <w:t>Ikea</w:t>
            </w:r>
          </w:p>
        </w:tc>
        <w:tc>
          <w:tcPr>
            <w:tcW w:w="1062" w:type="pct"/>
            <w:tcBorders>
              <w:top w:val="single" w:sz="6" w:space="0" w:color="000000"/>
              <w:left w:val="nil"/>
              <w:right w:val="nil"/>
            </w:tcBorders>
          </w:tcPr>
          <w:p w14:paraId="2E651946" w14:textId="77777777" w:rsidR="00FF7799" w:rsidRPr="00E73F6F" w:rsidRDefault="00FF7799" w:rsidP="00097748">
            <w:pPr>
              <w:pStyle w:val="StandardText"/>
              <w:jc w:val="left"/>
              <w:rPr>
                <w:lang w:val="de-DE"/>
              </w:rPr>
            </w:pPr>
            <w:r w:rsidRPr="00E73F6F">
              <w:rPr>
                <w:w w:val="105"/>
                <w:lang w:val="de-DE"/>
              </w:rPr>
              <w:t>keine</w:t>
            </w:r>
          </w:p>
        </w:tc>
        <w:tc>
          <w:tcPr>
            <w:tcW w:w="859" w:type="pct"/>
            <w:vMerge w:val="restart"/>
            <w:tcBorders>
              <w:top w:val="single" w:sz="6" w:space="0" w:color="000000"/>
              <w:left w:val="nil"/>
              <w:right w:val="nil"/>
            </w:tcBorders>
          </w:tcPr>
          <w:p w14:paraId="7787655F" w14:textId="77777777" w:rsidR="00FF7799" w:rsidRPr="0052536B" w:rsidRDefault="00FF7799" w:rsidP="00097748">
            <w:pPr>
              <w:pStyle w:val="StandardText"/>
              <w:rPr>
                <w:i/>
                <w:color w:val="DEEAF6" w:themeColor="accent1" w:themeTint="33"/>
                <w:lang w:val="de-DE"/>
              </w:rPr>
            </w:pPr>
            <w:r w:rsidRPr="0052536B">
              <w:rPr>
                <w:noProof/>
                <w:color w:val="DEEAF6" w:themeColor="accent1" w:themeTint="33"/>
              </w:rPr>
              <mc:AlternateContent>
                <mc:Choice Requires="wpg">
                  <w:drawing>
                    <wp:anchor distT="0" distB="0" distL="114300" distR="114300" simplePos="0" relativeHeight="251957248" behindDoc="0" locked="0" layoutInCell="1" allowOverlap="1" wp14:anchorId="4FFCF6B8" wp14:editId="3691C12B">
                      <wp:simplePos x="0" y="0"/>
                      <wp:positionH relativeFrom="column">
                        <wp:posOffset>297815</wp:posOffset>
                      </wp:positionH>
                      <wp:positionV relativeFrom="page">
                        <wp:posOffset>482600</wp:posOffset>
                      </wp:positionV>
                      <wp:extent cx="361315" cy="2106295"/>
                      <wp:effectExtent l="0" t="0" r="19685" b="8255"/>
                      <wp:wrapSquare wrapText="bothSides"/>
                      <wp:docPr id="997" name="Group 15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1315" cy="2106295"/>
                                <a:chOff x="0" y="0"/>
                                <a:chExt cx="361315" cy="1309370"/>
                              </a:xfrm>
                            </wpg:grpSpPr>
                            <wps:wsp>
                              <wps:cNvPr id="1020" name="Graphic 1583"/>
                              <wps:cNvSpPr/>
                              <wps:spPr>
                                <a:xfrm>
                                  <a:off x="2377" y="2377"/>
                                  <a:ext cx="356870" cy="1304925"/>
                                </a:xfrm>
                                <a:custGeom>
                                  <a:avLst/>
                                  <a:gdLst/>
                                  <a:ahLst/>
                                  <a:cxnLst/>
                                  <a:rect l="l" t="t" r="r" b="b"/>
                                  <a:pathLst>
                                    <a:path w="356870" h="1304925">
                                      <a:moveTo>
                                        <a:pt x="208226" y="1304331"/>
                                      </a:moveTo>
                                      <a:lnTo>
                                        <a:pt x="296277" y="181157"/>
                                      </a:lnTo>
                                    </a:path>
                                    <a:path w="356870" h="1304925">
                                      <a:moveTo>
                                        <a:pt x="148733" y="1304331"/>
                                      </a:moveTo>
                                      <a:lnTo>
                                        <a:pt x="59493" y="181157"/>
                                      </a:lnTo>
                                    </a:path>
                                    <a:path w="356870" h="1304925">
                                      <a:moveTo>
                                        <a:pt x="177885" y="0"/>
                                      </a:moveTo>
                                      <a:lnTo>
                                        <a:pt x="0" y="177000"/>
                                      </a:lnTo>
                                    </a:path>
                                    <a:path w="356870" h="1304925">
                                      <a:moveTo>
                                        <a:pt x="177885" y="0"/>
                                      </a:moveTo>
                                      <a:lnTo>
                                        <a:pt x="356365" y="177000"/>
                                      </a:lnTo>
                                    </a:path>
                                    <a:path w="356870" h="1304925">
                                      <a:moveTo>
                                        <a:pt x="0" y="177000"/>
                                      </a:moveTo>
                                      <a:lnTo>
                                        <a:pt x="356365" y="177593"/>
                                      </a:lnTo>
                                    </a:path>
                                  </a:pathLst>
                                </a:custGeom>
                                <a:ln w="4755">
                                  <a:solidFill>
                                    <a:srgbClr val="000000"/>
                                  </a:solidFill>
                                  <a:prstDash val="solid"/>
                                </a:ln>
                              </wps:spPr>
                              <wps:bodyPr wrap="square" lIns="0" tIns="0" rIns="0" bIns="0" rtlCol="0">
                                <a:prstTxWarp prst="textNoShape">
                                  <a:avLst/>
                                </a:prstTxWarp>
                                <a:noAutofit/>
                              </wps:bodyPr>
                            </wps:wsp>
                          </wpg:wgp>
                        </a:graphicData>
                      </a:graphic>
                      <wp14:sizeRelV relativeFrom="margin">
                        <wp14:pctHeight>0</wp14:pctHeight>
                      </wp14:sizeRelV>
                    </wp:anchor>
                  </w:drawing>
                </mc:Choice>
                <mc:Fallback>
                  <w:pict>
                    <v:group w14:anchorId="6962053F" id="Group 1582" o:spid="_x0000_s1026" style="position:absolute;margin-left:23.45pt;margin-top:38pt;width:28.45pt;height:165.85pt;z-index:251957248;mso-position-vertical-relative:page;mso-height-relative:margin" coordsize="3613,130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">
                      <v:shape id="Graphic 1583" o:spid="_x0000_s1027" style="position:absolute;left:23;top:23;width:3569;height:13050;visibility:visible;mso-wrap-style:square;v-text-anchor:top" coordsize="356870,1304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" path="m208226,1304331l296277,181157em148733,1304331l59493,181157em177885,l,177000em177885,l356365,177000em,177000r356365,593e" filled="f" strokeweight=".1321mm">
                        <v:path arrowok="t"/>
                      </v:shape>
                      <w10:wrap type="square" anchory="page"/>
                    </v:group>
                  </w:pict>
                </mc:Fallback>
              </mc:AlternateContent>
            </w:r>
          </w:p>
          <w:p w14:paraId="2048F0A3" w14:textId="77777777" w:rsidR="00FF7799" w:rsidRPr="00E73F6F" w:rsidRDefault="00FF7799" w:rsidP="00097748">
            <w:pPr>
              <w:pStyle w:val="StandardText"/>
              <w:rPr>
                <w:lang w:val="de-DE"/>
              </w:rPr>
            </w:pPr>
          </w:p>
        </w:tc>
      </w:tr>
      <w:tr w:rsidR="00FF7799" w:rsidRPr="00E73F6F" w14:paraId="5E65C837" w14:textId="77777777" w:rsidTr="0052536B">
        <w:trPr>
          <w:trHeight w:val="426"/>
        </w:trPr>
        <w:tc>
          <w:tcPr>
            <w:tcW w:w="1016" w:type="pct"/>
            <w:tcBorders>
              <w:left w:val="nil"/>
              <w:right w:val="nil"/>
            </w:tcBorders>
            <w:shd w:val="clear" w:color="auto" w:fill="FFF2CC" w:themeFill="accent4" w:themeFillTint="33"/>
          </w:tcPr>
          <w:p w14:paraId="41E02E09" w14:textId="77777777" w:rsidR="00FF7799" w:rsidRPr="00E73F6F" w:rsidRDefault="00FF7799" w:rsidP="00F07781">
            <w:pPr>
              <w:pStyle w:val="StandardText"/>
              <w:jc w:val="left"/>
              <w:rPr>
                <w:lang w:val="de-DE"/>
              </w:rPr>
            </w:pPr>
            <w:r w:rsidRPr="00E73F6F">
              <w:rPr>
                <w:lang w:val="de-DE"/>
              </w:rPr>
              <w:t>Phonetische</w:t>
            </w:r>
            <w:r w:rsidRPr="00E73F6F">
              <w:rPr>
                <w:spacing w:val="16"/>
                <w:lang w:val="de-DE"/>
              </w:rPr>
              <w:t xml:space="preserve"> </w:t>
            </w:r>
            <w:r w:rsidRPr="00E73F6F">
              <w:rPr>
                <w:lang w:val="de-DE"/>
              </w:rPr>
              <w:t xml:space="preserve">Übersetzung </w:t>
            </w:r>
            <w:r w:rsidRPr="00E73F6F">
              <w:rPr>
                <w:w w:val="105"/>
                <w:lang w:val="de-DE"/>
              </w:rPr>
              <w:t>(Transliteration)</w:t>
            </w:r>
          </w:p>
        </w:tc>
        <w:tc>
          <w:tcPr>
            <w:tcW w:w="945" w:type="pct"/>
            <w:tcBorders>
              <w:left w:val="nil"/>
              <w:right w:val="nil"/>
            </w:tcBorders>
          </w:tcPr>
          <w:p w14:paraId="5052E3DD" w14:textId="77777777" w:rsidR="00FF7799" w:rsidRPr="00E73F6F" w:rsidRDefault="00FF7799" w:rsidP="00097748">
            <w:pPr>
              <w:pStyle w:val="StandardText"/>
              <w:jc w:val="left"/>
              <w:rPr>
                <w:i/>
                <w:lang w:val="de-DE"/>
              </w:rPr>
            </w:pPr>
            <w:r w:rsidRPr="00E73F6F">
              <w:rPr>
                <w:i/>
                <w:w w:val="105"/>
                <w:lang w:val="de-DE"/>
              </w:rPr>
              <w:t>Swatch</w:t>
            </w:r>
            <w:r w:rsidRPr="00E73F6F">
              <w:rPr>
                <w:i/>
                <w:spacing w:val="40"/>
                <w:w w:val="105"/>
                <w:lang w:val="de-DE"/>
              </w:rPr>
              <w:t xml:space="preserve"> </w:t>
            </w:r>
            <w:r w:rsidRPr="00E73F6F">
              <w:rPr>
                <w:i/>
                <w:w w:val="105"/>
                <w:lang w:val="de-DE"/>
              </w:rPr>
              <w:t>Exxon</w:t>
            </w:r>
          </w:p>
        </w:tc>
        <w:tc>
          <w:tcPr>
            <w:tcW w:w="1118" w:type="pct"/>
            <w:tcBorders>
              <w:left w:val="nil"/>
              <w:right w:val="nil"/>
            </w:tcBorders>
          </w:tcPr>
          <w:p w14:paraId="16FC71E6" w14:textId="77777777" w:rsidR="00FF7799" w:rsidRPr="00E73F6F" w:rsidRDefault="00FF7799" w:rsidP="00097748">
            <w:pPr>
              <w:pStyle w:val="StandardText"/>
              <w:jc w:val="left"/>
              <w:rPr>
                <w:rFonts w:eastAsia="MS Gothic"/>
                <w:b/>
                <w:lang w:val="de-DE"/>
              </w:rPr>
            </w:pPr>
            <w:r w:rsidRPr="00E73F6F">
              <w:rPr>
                <w:w w:val="105"/>
                <w:lang w:val="de-DE"/>
              </w:rPr>
              <w:t>Si wo</w:t>
            </w:r>
            <w:r w:rsidRPr="00E73F6F">
              <w:rPr>
                <w:spacing w:val="15"/>
                <w:w w:val="105"/>
                <w:lang w:val="de-DE"/>
              </w:rPr>
              <w:t xml:space="preserve"> </w:t>
            </w:r>
            <w:r w:rsidRPr="00E73F6F">
              <w:rPr>
                <w:w w:val="105"/>
                <w:lang w:val="de-DE"/>
              </w:rPr>
              <w:t>qi</w:t>
            </w:r>
            <w:r w:rsidRPr="00E73F6F">
              <w:rPr>
                <w:spacing w:val="44"/>
                <w:w w:val="105"/>
                <w:lang w:val="de-DE"/>
              </w:rPr>
              <w:t xml:space="preserve"> </w:t>
            </w:r>
            <w:r w:rsidRPr="00E73F6F">
              <w:rPr>
                <w:rFonts w:eastAsia="MS Gothic"/>
                <w:b/>
                <w:spacing w:val="-4"/>
                <w:w w:val="105"/>
                <w:position w:val="2"/>
                <w:lang w:val="de-DE"/>
              </w:rPr>
              <w:t>斯沃琪</w:t>
            </w:r>
          </w:p>
          <w:p w14:paraId="6DAA4B82" w14:textId="77777777" w:rsidR="00FF7799" w:rsidRPr="00E73F6F" w:rsidRDefault="00FF7799" w:rsidP="00097748">
            <w:pPr>
              <w:pStyle w:val="StandardText"/>
              <w:jc w:val="left"/>
              <w:rPr>
                <w:rFonts w:eastAsia="MS Gothic"/>
                <w:b/>
                <w:lang w:val="de-DE"/>
              </w:rPr>
            </w:pPr>
            <w:r w:rsidRPr="00E73F6F">
              <w:rPr>
                <w:w w:val="105"/>
                <w:lang w:val="de-DE"/>
              </w:rPr>
              <w:t>Ai</w:t>
            </w:r>
            <w:r w:rsidRPr="00E73F6F">
              <w:rPr>
                <w:spacing w:val="5"/>
                <w:w w:val="105"/>
                <w:lang w:val="de-DE"/>
              </w:rPr>
              <w:t xml:space="preserve"> </w:t>
            </w:r>
            <w:r w:rsidRPr="00E73F6F">
              <w:rPr>
                <w:w w:val="105"/>
                <w:lang w:val="de-DE"/>
              </w:rPr>
              <w:t>ke</w:t>
            </w:r>
            <w:r w:rsidRPr="00E73F6F">
              <w:rPr>
                <w:spacing w:val="5"/>
                <w:w w:val="105"/>
                <w:lang w:val="de-DE"/>
              </w:rPr>
              <w:t xml:space="preserve"> </w:t>
            </w:r>
            <w:r w:rsidRPr="00E73F6F">
              <w:rPr>
                <w:w w:val="105"/>
                <w:lang w:val="de-DE"/>
              </w:rPr>
              <w:t>sen</w:t>
            </w:r>
            <w:r w:rsidRPr="00E73F6F">
              <w:rPr>
                <w:spacing w:val="66"/>
                <w:w w:val="105"/>
                <w:lang w:val="de-DE"/>
              </w:rPr>
              <w:t xml:space="preserve"> </w:t>
            </w:r>
            <w:r w:rsidRPr="00E73F6F">
              <w:rPr>
                <w:rFonts w:eastAsia="MS Gothic"/>
                <w:b/>
                <w:spacing w:val="-4"/>
                <w:w w:val="105"/>
                <w:position w:val="2"/>
                <w:lang w:val="de-DE"/>
              </w:rPr>
              <w:t>艾克森</w:t>
            </w:r>
          </w:p>
        </w:tc>
        <w:tc>
          <w:tcPr>
            <w:tcW w:w="1062" w:type="pct"/>
            <w:tcBorders>
              <w:left w:val="nil"/>
              <w:right w:val="nil"/>
            </w:tcBorders>
          </w:tcPr>
          <w:p w14:paraId="391FBAF4" w14:textId="77777777" w:rsidR="00FF7799" w:rsidRPr="00E73F6F" w:rsidRDefault="00FF7799" w:rsidP="0052536B">
            <w:pPr>
              <w:pStyle w:val="StandardText"/>
              <w:jc w:val="left"/>
              <w:rPr>
                <w:lang w:val="de-DE"/>
              </w:rPr>
            </w:pPr>
            <w:r w:rsidRPr="00E73F6F">
              <w:rPr>
                <w:w w:val="105"/>
                <w:lang w:val="de-DE"/>
              </w:rPr>
              <w:t>keine</w:t>
            </w:r>
            <w:r w:rsidRPr="00E73F6F">
              <w:rPr>
                <w:spacing w:val="40"/>
                <w:w w:val="105"/>
                <w:lang w:val="de-DE"/>
              </w:rPr>
              <w:t xml:space="preserve"> </w:t>
            </w:r>
          </w:p>
        </w:tc>
        <w:tc>
          <w:tcPr>
            <w:tcW w:w="859" w:type="pct"/>
            <w:vMerge/>
            <w:tcBorders>
              <w:top w:val="nil"/>
              <w:left w:val="nil"/>
              <w:right w:val="nil"/>
            </w:tcBorders>
          </w:tcPr>
          <w:p w14:paraId="1153FEE1" w14:textId="77777777" w:rsidR="00FF7799" w:rsidRPr="00E73F6F" w:rsidRDefault="00FF7799" w:rsidP="00097748">
            <w:pPr>
              <w:pStyle w:val="StandardText"/>
              <w:rPr>
                <w:lang w:val="de-DE"/>
              </w:rPr>
            </w:pPr>
          </w:p>
        </w:tc>
      </w:tr>
      <w:tr w:rsidR="00FF7799" w:rsidRPr="00E73F6F" w14:paraId="5CC83D8F" w14:textId="77777777" w:rsidTr="0052536B">
        <w:trPr>
          <w:trHeight w:val="427"/>
        </w:trPr>
        <w:tc>
          <w:tcPr>
            <w:tcW w:w="1016" w:type="pct"/>
            <w:tcBorders>
              <w:left w:val="nil"/>
              <w:right w:val="nil"/>
            </w:tcBorders>
            <w:shd w:val="clear" w:color="auto" w:fill="FFF2CC" w:themeFill="accent4" w:themeFillTint="33"/>
          </w:tcPr>
          <w:p w14:paraId="01BED4F4" w14:textId="77777777" w:rsidR="00FF7799" w:rsidRPr="00E73F6F" w:rsidRDefault="00FF7799" w:rsidP="00F07781">
            <w:pPr>
              <w:pStyle w:val="StandardText"/>
              <w:jc w:val="left"/>
              <w:rPr>
                <w:lang w:val="de-DE"/>
              </w:rPr>
            </w:pPr>
            <w:r w:rsidRPr="00E73F6F">
              <w:rPr>
                <w:lang w:val="de-DE"/>
              </w:rPr>
              <w:t xml:space="preserve">Phonosemantische </w:t>
            </w:r>
            <w:r w:rsidRPr="00E73F6F">
              <w:rPr>
                <w:w w:val="105"/>
                <w:lang w:val="de-DE"/>
              </w:rPr>
              <w:t>Übersetzung</w:t>
            </w:r>
          </w:p>
        </w:tc>
        <w:tc>
          <w:tcPr>
            <w:tcW w:w="945" w:type="pct"/>
            <w:tcBorders>
              <w:left w:val="nil"/>
              <w:right w:val="nil"/>
            </w:tcBorders>
          </w:tcPr>
          <w:p w14:paraId="10FC487F" w14:textId="77777777" w:rsidR="00FF7799" w:rsidRPr="00E73F6F" w:rsidRDefault="00FF7799" w:rsidP="00097748">
            <w:pPr>
              <w:pStyle w:val="StandardText"/>
              <w:jc w:val="left"/>
              <w:rPr>
                <w:i/>
                <w:lang w:val="de-DE"/>
              </w:rPr>
            </w:pPr>
            <w:r w:rsidRPr="00E73F6F">
              <w:rPr>
                <w:i/>
                <w:lang w:val="de-DE"/>
              </w:rPr>
              <w:t>Coca-</w:t>
            </w:r>
            <w:r w:rsidRPr="00E73F6F">
              <w:rPr>
                <w:i/>
                <w:spacing w:val="-4"/>
                <w:lang w:val="de-DE"/>
              </w:rPr>
              <w:t>Cola</w:t>
            </w:r>
          </w:p>
        </w:tc>
        <w:tc>
          <w:tcPr>
            <w:tcW w:w="1118" w:type="pct"/>
            <w:tcBorders>
              <w:left w:val="nil"/>
              <w:right w:val="nil"/>
            </w:tcBorders>
          </w:tcPr>
          <w:p w14:paraId="3975D7ED" w14:textId="77777777" w:rsidR="00FF7799" w:rsidRPr="00E73F6F" w:rsidRDefault="00FF7799" w:rsidP="00097748">
            <w:pPr>
              <w:pStyle w:val="StandardText"/>
              <w:jc w:val="left"/>
              <w:rPr>
                <w:lang w:val="de-DE"/>
              </w:rPr>
            </w:pPr>
            <w:r w:rsidRPr="00E73F6F">
              <w:rPr>
                <w:w w:val="105"/>
                <w:lang w:val="de-DE"/>
              </w:rPr>
              <w:t>Ke</w:t>
            </w:r>
            <w:r w:rsidRPr="00E73F6F">
              <w:rPr>
                <w:spacing w:val="6"/>
                <w:w w:val="105"/>
                <w:lang w:val="de-DE"/>
              </w:rPr>
              <w:t xml:space="preserve"> </w:t>
            </w:r>
            <w:r w:rsidRPr="00E73F6F">
              <w:rPr>
                <w:w w:val="105"/>
                <w:lang w:val="de-DE"/>
              </w:rPr>
              <w:t>kou</w:t>
            </w:r>
            <w:r w:rsidRPr="00E73F6F">
              <w:rPr>
                <w:spacing w:val="8"/>
                <w:w w:val="105"/>
                <w:lang w:val="de-DE"/>
              </w:rPr>
              <w:t xml:space="preserve"> </w:t>
            </w:r>
            <w:r w:rsidRPr="00E73F6F">
              <w:rPr>
                <w:w w:val="105"/>
                <w:lang w:val="de-DE"/>
              </w:rPr>
              <w:t>ke</w:t>
            </w:r>
            <w:r w:rsidRPr="00E73F6F">
              <w:rPr>
                <w:spacing w:val="4"/>
                <w:w w:val="105"/>
                <w:lang w:val="de-DE"/>
              </w:rPr>
              <w:t xml:space="preserve"> </w:t>
            </w:r>
            <w:r w:rsidRPr="00E73F6F">
              <w:rPr>
                <w:spacing w:val="-7"/>
                <w:w w:val="105"/>
                <w:lang w:val="de-DE"/>
              </w:rPr>
              <w:t>le</w:t>
            </w:r>
          </w:p>
          <w:p w14:paraId="78E97AE2" w14:textId="77777777" w:rsidR="00FF7799" w:rsidRPr="00E73F6F" w:rsidRDefault="00FF7799" w:rsidP="00097748">
            <w:pPr>
              <w:pStyle w:val="StandardText"/>
              <w:jc w:val="left"/>
              <w:rPr>
                <w:rFonts w:eastAsia="Arial"/>
                <w:b/>
                <w:lang w:val="de-DE"/>
              </w:rPr>
            </w:pPr>
            <w:r w:rsidRPr="00E73F6F">
              <w:rPr>
                <w:rFonts w:eastAsia="MS Gothic"/>
                <w:b/>
                <w:lang w:val="de-DE"/>
              </w:rPr>
              <w:t>可口可</w:t>
            </w:r>
            <w:r w:rsidRPr="00E73F6F">
              <w:rPr>
                <w:rFonts w:eastAsia="Arial"/>
                <w:b/>
                <w:spacing w:val="-10"/>
                <w:lang w:val="de-DE"/>
              </w:rPr>
              <w:t>?</w:t>
            </w:r>
          </w:p>
        </w:tc>
        <w:tc>
          <w:tcPr>
            <w:tcW w:w="1062" w:type="pct"/>
            <w:tcBorders>
              <w:left w:val="nil"/>
              <w:right w:val="nil"/>
            </w:tcBorders>
          </w:tcPr>
          <w:p w14:paraId="301C1D80" w14:textId="77777777" w:rsidR="00FF7799" w:rsidRPr="00E73F6F" w:rsidRDefault="0052536B" w:rsidP="00097748">
            <w:pPr>
              <w:pStyle w:val="StandardText"/>
              <w:jc w:val="left"/>
              <w:rPr>
                <w:lang w:val="de-DE"/>
              </w:rPr>
            </w:pPr>
            <w:r>
              <w:rPr>
                <w:w w:val="105"/>
                <w:lang w:val="de-DE"/>
              </w:rPr>
              <w:t>s</w:t>
            </w:r>
            <w:r w:rsidR="00FF7799" w:rsidRPr="00E73F6F">
              <w:rPr>
                <w:w w:val="105"/>
                <w:lang w:val="de-DE"/>
              </w:rPr>
              <w:t>chmeckt</w:t>
            </w:r>
            <w:r w:rsidR="00FF7799" w:rsidRPr="00E73F6F">
              <w:rPr>
                <w:spacing w:val="-6"/>
                <w:w w:val="105"/>
                <w:lang w:val="de-DE"/>
              </w:rPr>
              <w:t xml:space="preserve"> </w:t>
            </w:r>
            <w:r w:rsidR="00FF7799" w:rsidRPr="00E73F6F">
              <w:rPr>
                <w:w w:val="105"/>
                <w:lang w:val="de-DE"/>
              </w:rPr>
              <w:t>gut</w:t>
            </w:r>
            <w:r w:rsidR="00FF7799" w:rsidRPr="00E73F6F">
              <w:rPr>
                <w:spacing w:val="-6"/>
                <w:w w:val="105"/>
                <w:lang w:val="de-DE"/>
              </w:rPr>
              <w:t xml:space="preserve"> </w:t>
            </w:r>
            <w:r w:rsidR="00FF7799" w:rsidRPr="00E73F6F">
              <w:rPr>
                <w:w w:val="105"/>
                <w:lang w:val="de-DE"/>
              </w:rPr>
              <w:t>und</w:t>
            </w:r>
            <w:r w:rsidR="00FF7799" w:rsidRPr="00E73F6F">
              <w:rPr>
                <w:spacing w:val="40"/>
                <w:w w:val="105"/>
                <w:lang w:val="de-DE"/>
              </w:rPr>
              <w:t xml:space="preserve"> </w:t>
            </w:r>
            <w:r w:rsidR="00FF7799" w:rsidRPr="00E73F6F">
              <w:rPr>
                <w:w w:val="105"/>
                <w:lang w:val="de-DE"/>
              </w:rPr>
              <w:t>macht</w:t>
            </w:r>
            <w:r w:rsidR="00FF7799" w:rsidRPr="00E73F6F">
              <w:rPr>
                <w:spacing w:val="-8"/>
                <w:w w:val="105"/>
                <w:lang w:val="de-DE"/>
              </w:rPr>
              <w:t xml:space="preserve"> </w:t>
            </w:r>
            <w:r w:rsidR="00FF7799" w:rsidRPr="00E73F6F">
              <w:rPr>
                <w:w w:val="105"/>
                <w:lang w:val="de-DE"/>
              </w:rPr>
              <w:t>glücklich</w:t>
            </w:r>
          </w:p>
        </w:tc>
        <w:tc>
          <w:tcPr>
            <w:tcW w:w="859" w:type="pct"/>
            <w:vMerge/>
            <w:tcBorders>
              <w:top w:val="nil"/>
              <w:left w:val="nil"/>
              <w:right w:val="nil"/>
            </w:tcBorders>
          </w:tcPr>
          <w:p w14:paraId="41A47278" w14:textId="77777777" w:rsidR="00FF7799" w:rsidRPr="00E73F6F" w:rsidRDefault="00FF7799" w:rsidP="00097748">
            <w:pPr>
              <w:pStyle w:val="StandardText"/>
              <w:rPr>
                <w:lang w:val="de-DE"/>
              </w:rPr>
            </w:pPr>
          </w:p>
        </w:tc>
      </w:tr>
      <w:tr w:rsidR="00FF7799" w:rsidRPr="00E73F6F" w14:paraId="5475D6A7" w14:textId="77777777" w:rsidTr="0052536B">
        <w:trPr>
          <w:trHeight w:val="882"/>
        </w:trPr>
        <w:tc>
          <w:tcPr>
            <w:tcW w:w="1016" w:type="pct"/>
            <w:tcBorders>
              <w:left w:val="nil"/>
              <w:right w:val="nil"/>
            </w:tcBorders>
            <w:shd w:val="clear" w:color="auto" w:fill="FFF2CC" w:themeFill="accent4" w:themeFillTint="33"/>
          </w:tcPr>
          <w:p w14:paraId="08EE7A3C" w14:textId="77777777" w:rsidR="00FF7799" w:rsidRPr="00E73F6F" w:rsidRDefault="00FF7799" w:rsidP="00F07781">
            <w:pPr>
              <w:pStyle w:val="StandardText"/>
              <w:rPr>
                <w:lang w:val="de-DE"/>
              </w:rPr>
            </w:pPr>
            <w:r w:rsidRPr="00E73F6F">
              <w:rPr>
                <w:lang w:val="de-DE"/>
              </w:rPr>
              <w:lastRenderedPageBreak/>
              <w:t>Semantische</w:t>
            </w:r>
            <w:r w:rsidRPr="00E73F6F">
              <w:rPr>
                <w:spacing w:val="16"/>
                <w:lang w:val="de-DE"/>
              </w:rPr>
              <w:t xml:space="preserve"> </w:t>
            </w:r>
            <w:r w:rsidRPr="00E73F6F">
              <w:rPr>
                <w:lang w:val="de-DE"/>
              </w:rPr>
              <w:t>Übersetzung</w:t>
            </w:r>
          </w:p>
          <w:p w14:paraId="3FD3F6C3" w14:textId="77777777" w:rsidR="00FF7799" w:rsidRPr="00E73F6F" w:rsidRDefault="00FF7799" w:rsidP="00F07781">
            <w:pPr>
              <w:pStyle w:val="StandardTextAufzhlung"/>
              <w:numPr>
                <w:ilvl w:val="0"/>
                <w:numId w:val="0"/>
              </w:numPr>
              <w:ind w:left="284" w:hanging="284"/>
              <w:rPr>
                <w:i/>
                <w:lang w:val="de-DE"/>
              </w:rPr>
            </w:pPr>
          </w:p>
          <w:p w14:paraId="41AE5BB3" w14:textId="77777777" w:rsidR="00FF7799" w:rsidRPr="00E73F6F" w:rsidRDefault="00FF7799" w:rsidP="00F07781">
            <w:pPr>
              <w:pStyle w:val="StandardTextAufzhlung"/>
              <w:rPr>
                <w:lang w:val="de-DE"/>
              </w:rPr>
            </w:pPr>
            <w:r w:rsidRPr="00E73F6F">
              <w:rPr>
                <w:w w:val="105"/>
                <w:lang w:val="de-DE"/>
              </w:rPr>
              <w:t>wörtlich</w:t>
            </w:r>
          </w:p>
          <w:p w14:paraId="5900B918" w14:textId="77777777" w:rsidR="00FF7799" w:rsidRPr="00E73F6F" w:rsidRDefault="00FF7799" w:rsidP="00F07781">
            <w:pPr>
              <w:pStyle w:val="StandardTextAufzhlung"/>
              <w:numPr>
                <w:ilvl w:val="0"/>
                <w:numId w:val="0"/>
              </w:numPr>
              <w:ind w:left="284"/>
              <w:rPr>
                <w:i/>
                <w:lang w:val="de-DE"/>
              </w:rPr>
            </w:pPr>
          </w:p>
          <w:p w14:paraId="0BC9AA1C" w14:textId="77777777" w:rsidR="00FF7799" w:rsidRPr="00E73F6F" w:rsidRDefault="00FF7799" w:rsidP="00F07781">
            <w:pPr>
              <w:pStyle w:val="StandardTextAufzhlung"/>
              <w:rPr>
                <w:lang w:val="de-DE"/>
              </w:rPr>
            </w:pPr>
            <w:r w:rsidRPr="00E73F6F">
              <w:rPr>
                <w:w w:val="105"/>
                <w:lang w:val="de-DE"/>
              </w:rPr>
              <w:t>„unrein“</w:t>
            </w:r>
          </w:p>
        </w:tc>
        <w:tc>
          <w:tcPr>
            <w:tcW w:w="945" w:type="pct"/>
            <w:tcBorders>
              <w:left w:val="nil"/>
              <w:right w:val="nil"/>
            </w:tcBorders>
          </w:tcPr>
          <w:p w14:paraId="528FA639" w14:textId="77777777" w:rsidR="00FF7799" w:rsidRPr="00E73F6F" w:rsidRDefault="00FF7799" w:rsidP="00F07781">
            <w:pPr>
              <w:pStyle w:val="StandardTextAufzhlung"/>
              <w:numPr>
                <w:ilvl w:val="0"/>
                <w:numId w:val="0"/>
              </w:numPr>
              <w:rPr>
                <w:i/>
                <w:lang w:val="de-DE"/>
              </w:rPr>
            </w:pPr>
          </w:p>
          <w:p w14:paraId="6BE8BF6E" w14:textId="77777777" w:rsidR="00FF7799" w:rsidRPr="00E73F6F" w:rsidRDefault="00FF7799" w:rsidP="00F07781">
            <w:pPr>
              <w:pStyle w:val="StandardText"/>
              <w:rPr>
                <w:lang w:val="de-DE"/>
              </w:rPr>
            </w:pPr>
          </w:p>
          <w:p w14:paraId="5B04E049" w14:textId="77777777" w:rsidR="00FF7799" w:rsidRPr="00E73F6F" w:rsidRDefault="00FF7799" w:rsidP="00F07781">
            <w:pPr>
              <w:pStyle w:val="StandardTextAufzhlung"/>
              <w:numPr>
                <w:ilvl w:val="0"/>
                <w:numId w:val="0"/>
              </w:numPr>
              <w:rPr>
                <w:i/>
                <w:lang w:val="de-DE"/>
              </w:rPr>
            </w:pPr>
          </w:p>
          <w:p w14:paraId="651D3E23" w14:textId="77777777" w:rsidR="00FF7799" w:rsidRPr="00E73F6F" w:rsidRDefault="00FF7799" w:rsidP="00F07781">
            <w:pPr>
              <w:pStyle w:val="StandardTextAufzhlung"/>
              <w:rPr>
                <w:i/>
                <w:lang w:val="de-DE"/>
              </w:rPr>
            </w:pPr>
            <w:r w:rsidRPr="00E73F6F">
              <w:rPr>
                <w:i/>
                <w:lang w:val="de-DE"/>
              </w:rPr>
              <w:t>Northwest</w:t>
            </w:r>
            <w:r w:rsidRPr="00E73F6F">
              <w:rPr>
                <w:i/>
                <w:spacing w:val="40"/>
                <w:w w:val="105"/>
                <w:lang w:val="de-DE"/>
              </w:rPr>
              <w:t xml:space="preserve"> </w:t>
            </w:r>
            <w:r w:rsidRPr="00E73F6F">
              <w:rPr>
                <w:i/>
                <w:w w:val="105"/>
                <w:lang w:val="de-DE"/>
              </w:rPr>
              <w:t>Airlines</w:t>
            </w:r>
          </w:p>
          <w:p w14:paraId="2DE5BAF4" w14:textId="77777777" w:rsidR="00FF7799" w:rsidRPr="00E73F6F" w:rsidRDefault="00FF7799" w:rsidP="00F07781">
            <w:pPr>
              <w:pStyle w:val="StandardTextAufzhlung"/>
              <w:rPr>
                <w:i/>
                <w:lang w:val="de-DE"/>
              </w:rPr>
            </w:pPr>
            <w:r w:rsidRPr="00E73F6F">
              <w:rPr>
                <w:i/>
                <w:w w:val="105"/>
                <w:lang w:val="de-DE"/>
              </w:rPr>
              <w:t>Sprite</w:t>
            </w:r>
          </w:p>
        </w:tc>
        <w:tc>
          <w:tcPr>
            <w:tcW w:w="1118" w:type="pct"/>
            <w:tcBorders>
              <w:left w:val="nil"/>
              <w:right w:val="nil"/>
            </w:tcBorders>
          </w:tcPr>
          <w:p w14:paraId="6141EE3E" w14:textId="77777777" w:rsidR="00FF7799" w:rsidRPr="00E73F6F" w:rsidRDefault="00FF7799" w:rsidP="00F07781">
            <w:pPr>
              <w:pStyle w:val="StandardTextAufzhlung"/>
              <w:numPr>
                <w:ilvl w:val="0"/>
                <w:numId w:val="0"/>
              </w:numPr>
              <w:ind w:left="284"/>
              <w:rPr>
                <w:lang w:val="de-DE"/>
              </w:rPr>
            </w:pPr>
          </w:p>
          <w:p w14:paraId="395DA4EE" w14:textId="77777777" w:rsidR="00FF7799" w:rsidRPr="00E73F6F" w:rsidRDefault="00FF7799" w:rsidP="00F07781">
            <w:pPr>
              <w:pStyle w:val="StandardTextAufzhlung"/>
              <w:numPr>
                <w:ilvl w:val="0"/>
                <w:numId w:val="0"/>
              </w:numPr>
              <w:rPr>
                <w:i/>
                <w:lang w:val="de-DE"/>
              </w:rPr>
            </w:pPr>
          </w:p>
          <w:p w14:paraId="588D0139" w14:textId="77777777" w:rsidR="00FF7799" w:rsidRPr="00E73F6F" w:rsidRDefault="00FF7799" w:rsidP="00F07781">
            <w:pPr>
              <w:pStyle w:val="StandardText"/>
              <w:rPr>
                <w:lang w:val="de-DE"/>
              </w:rPr>
            </w:pPr>
          </w:p>
          <w:p w14:paraId="3474BB7A" w14:textId="77777777" w:rsidR="00FF7799" w:rsidRPr="00E73F6F" w:rsidRDefault="00FF7799" w:rsidP="00F07781">
            <w:pPr>
              <w:pStyle w:val="StandardTextAufzhlung"/>
              <w:rPr>
                <w:rFonts w:eastAsia="MS Gothic"/>
                <w:b/>
                <w:lang w:val="de-DE"/>
              </w:rPr>
            </w:pPr>
            <w:r w:rsidRPr="00E73F6F">
              <w:rPr>
                <w:lang w:val="de-DE"/>
              </w:rPr>
              <w:t>Xi</w:t>
            </w:r>
            <w:r w:rsidRPr="00E73F6F">
              <w:rPr>
                <w:spacing w:val="13"/>
                <w:lang w:val="de-DE"/>
              </w:rPr>
              <w:t xml:space="preserve"> </w:t>
            </w:r>
            <w:r w:rsidRPr="00E73F6F">
              <w:rPr>
                <w:spacing w:val="-5"/>
                <w:lang w:val="de-DE"/>
              </w:rPr>
              <w:t xml:space="preserve">bei </w:t>
            </w:r>
            <w:r w:rsidRPr="00E73F6F">
              <w:rPr>
                <w:rFonts w:eastAsia="MS Gothic"/>
                <w:b/>
                <w:spacing w:val="-5"/>
                <w:position w:val="2"/>
                <w:lang w:val="de-DE"/>
              </w:rPr>
              <w:t>西北</w:t>
            </w:r>
          </w:p>
          <w:p w14:paraId="7D491401" w14:textId="77777777" w:rsidR="00FF7799" w:rsidRPr="00E73F6F" w:rsidRDefault="00FF7799" w:rsidP="00F07781">
            <w:pPr>
              <w:pStyle w:val="StandardTextAufzhlung"/>
              <w:numPr>
                <w:ilvl w:val="0"/>
                <w:numId w:val="0"/>
              </w:numPr>
              <w:rPr>
                <w:i/>
                <w:lang w:val="de-DE"/>
              </w:rPr>
            </w:pPr>
          </w:p>
          <w:p w14:paraId="77915EA6" w14:textId="77777777" w:rsidR="00FF7799" w:rsidRPr="00E73F6F" w:rsidRDefault="00FF7799" w:rsidP="00F07781">
            <w:pPr>
              <w:pStyle w:val="StandardTextAufzhlung"/>
              <w:rPr>
                <w:rFonts w:eastAsia="MS Gothic"/>
                <w:b/>
                <w:lang w:val="de-DE"/>
              </w:rPr>
            </w:pPr>
            <w:r w:rsidRPr="00E73F6F">
              <w:rPr>
                <w:lang w:val="de-DE"/>
              </w:rPr>
              <w:t>Xue</w:t>
            </w:r>
            <w:r w:rsidRPr="00E73F6F">
              <w:rPr>
                <w:spacing w:val="19"/>
                <w:lang w:val="de-DE"/>
              </w:rPr>
              <w:t xml:space="preserve"> </w:t>
            </w:r>
            <w:r w:rsidRPr="00E73F6F">
              <w:rPr>
                <w:spacing w:val="-5"/>
                <w:lang w:val="de-DE"/>
              </w:rPr>
              <w:t xml:space="preserve">bi </w:t>
            </w:r>
            <w:r w:rsidRPr="00E73F6F">
              <w:rPr>
                <w:rFonts w:eastAsia="MS Gothic"/>
                <w:b/>
                <w:spacing w:val="-5"/>
                <w:position w:val="2"/>
                <w:lang w:val="de-DE"/>
              </w:rPr>
              <w:t>雪碧</w:t>
            </w:r>
          </w:p>
        </w:tc>
        <w:tc>
          <w:tcPr>
            <w:tcW w:w="1062" w:type="pct"/>
            <w:tcBorders>
              <w:left w:val="nil"/>
              <w:right w:val="nil"/>
            </w:tcBorders>
          </w:tcPr>
          <w:p w14:paraId="1EE902EA" w14:textId="77777777" w:rsidR="00FF7799" w:rsidRPr="00E73F6F" w:rsidRDefault="00FF7799" w:rsidP="00F07781">
            <w:pPr>
              <w:pStyle w:val="StandardTextAufzhlung"/>
              <w:numPr>
                <w:ilvl w:val="0"/>
                <w:numId w:val="0"/>
              </w:numPr>
              <w:ind w:left="284"/>
              <w:rPr>
                <w:lang w:val="de-DE"/>
              </w:rPr>
            </w:pPr>
          </w:p>
          <w:p w14:paraId="6C21812E" w14:textId="77777777" w:rsidR="00FF7799" w:rsidRPr="00E73F6F" w:rsidRDefault="00FF7799" w:rsidP="00F07781">
            <w:pPr>
              <w:pStyle w:val="StandardTextAufzhlung"/>
              <w:numPr>
                <w:ilvl w:val="0"/>
                <w:numId w:val="0"/>
              </w:numPr>
              <w:rPr>
                <w:i/>
                <w:lang w:val="de-DE"/>
              </w:rPr>
            </w:pPr>
          </w:p>
          <w:p w14:paraId="5C65A810" w14:textId="77777777" w:rsidR="00FF7799" w:rsidRPr="00E73F6F" w:rsidRDefault="00FF7799" w:rsidP="00F07781">
            <w:pPr>
              <w:pStyle w:val="StandardText"/>
              <w:rPr>
                <w:lang w:val="de-DE"/>
              </w:rPr>
            </w:pPr>
          </w:p>
          <w:p w14:paraId="42ED4C72" w14:textId="77777777" w:rsidR="00FF7799" w:rsidRPr="00E73F6F" w:rsidRDefault="00FF7799" w:rsidP="00F07781">
            <w:pPr>
              <w:pStyle w:val="StandardTextAufzhlung"/>
              <w:rPr>
                <w:lang w:val="de-DE"/>
              </w:rPr>
            </w:pPr>
            <w:r w:rsidRPr="00E73F6F">
              <w:rPr>
                <w:w w:val="105"/>
                <w:lang w:val="de-DE"/>
              </w:rPr>
              <w:t>Nordwest</w:t>
            </w:r>
          </w:p>
          <w:p w14:paraId="249A9B11" w14:textId="77777777" w:rsidR="00FF7799" w:rsidRPr="00E73F6F" w:rsidRDefault="00FF7799" w:rsidP="00F07781">
            <w:pPr>
              <w:pStyle w:val="StandardTextAufzhlung"/>
              <w:numPr>
                <w:ilvl w:val="0"/>
                <w:numId w:val="0"/>
              </w:numPr>
              <w:ind w:left="284"/>
              <w:rPr>
                <w:lang w:val="de-DE"/>
              </w:rPr>
            </w:pPr>
          </w:p>
          <w:p w14:paraId="5A3B92FF" w14:textId="77777777" w:rsidR="00FF7799" w:rsidRPr="00E73F6F" w:rsidRDefault="00FF7799" w:rsidP="00F07781">
            <w:pPr>
              <w:pStyle w:val="StandardTextAufzhlung"/>
              <w:rPr>
                <w:lang w:val="de-DE"/>
              </w:rPr>
            </w:pPr>
            <w:r w:rsidRPr="00E73F6F">
              <w:rPr>
                <w:w w:val="105"/>
                <w:lang w:val="de-DE"/>
              </w:rPr>
              <w:t>Schnee</w:t>
            </w:r>
            <w:r w:rsidRPr="00E73F6F">
              <w:rPr>
                <w:spacing w:val="-8"/>
                <w:w w:val="105"/>
                <w:lang w:val="de-DE"/>
              </w:rPr>
              <w:t xml:space="preserve"> </w:t>
            </w:r>
            <w:r w:rsidRPr="00E73F6F">
              <w:rPr>
                <w:w w:val="105"/>
                <w:lang w:val="de-DE"/>
              </w:rPr>
              <w:t>+</w:t>
            </w:r>
            <w:r w:rsidRPr="00E73F6F">
              <w:rPr>
                <w:spacing w:val="-5"/>
                <w:w w:val="105"/>
                <w:lang w:val="de-DE"/>
              </w:rPr>
              <w:t xml:space="preserve"> </w:t>
            </w:r>
            <w:r w:rsidRPr="00E73F6F">
              <w:rPr>
                <w:spacing w:val="-4"/>
                <w:w w:val="105"/>
                <w:lang w:val="de-DE"/>
              </w:rPr>
              <w:t>grün</w:t>
            </w:r>
          </w:p>
        </w:tc>
        <w:tc>
          <w:tcPr>
            <w:tcW w:w="859" w:type="pct"/>
            <w:vMerge/>
            <w:tcBorders>
              <w:top w:val="nil"/>
              <w:left w:val="nil"/>
              <w:right w:val="nil"/>
            </w:tcBorders>
          </w:tcPr>
          <w:p w14:paraId="3A8326D7" w14:textId="77777777" w:rsidR="00FF7799" w:rsidRPr="00E73F6F" w:rsidRDefault="00FF7799" w:rsidP="00097748">
            <w:pPr>
              <w:pStyle w:val="StandardText"/>
              <w:rPr>
                <w:lang w:val="de-DE"/>
              </w:rPr>
            </w:pPr>
          </w:p>
        </w:tc>
      </w:tr>
    </w:tbl>
    <w:p w14:paraId="47B8A89F" w14:textId="77777777" w:rsidR="00FF7799" w:rsidRPr="00E73F6F" w:rsidRDefault="00FF7799" w:rsidP="00097748">
      <w:pPr>
        <w:pStyle w:val="Quellen"/>
      </w:pPr>
      <w:r w:rsidRPr="00E73F6F">
        <w:t>Quelle:</w:t>
      </w:r>
      <w:r w:rsidRPr="00E73F6F">
        <w:rPr>
          <w:spacing w:val="29"/>
        </w:rPr>
        <w:t xml:space="preserve"> </w:t>
      </w:r>
      <w:r w:rsidRPr="00E73F6F">
        <w:t>in</w:t>
      </w:r>
      <w:r w:rsidRPr="00E73F6F">
        <w:rPr>
          <w:spacing w:val="-1"/>
        </w:rPr>
        <w:t xml:space="preserve"> </w:t>
      </w:r>
      <w:r w:rsidRPr="00E73F6F">
        <w:t>Anlehnung</w:t>
      </w:r>
      <w:r w:rsidRPr="00E73F6F">
        <w:rPr>
          <w:spacing w:val="-1"/>
        </w:rPr>
        <w:t xml:space="preserve"> </w:t>
      </w:r>
      <w:r w:rsidRPr="00E73F6F">
        <w:t>an</w:t>
      </w:r>
      <w:r w:rsidRPr="00E73F6F">
        <w:rPr>
          <w:spacing w:val="-4"/>
        </w:rPr>
        <w:t xml:space="preserve"> </w:t>
      </w:r>
      <w:r w:rsidRPr="00E73F6F">
        <w:t>Zhang/Schmitt</w:t>
      </w:r>
      <w:r w:rsidRPr="00E73F6F">
        <w:rPr>
          <w:spacing w:val="-3"/>
        </w:rPr>
        <w:t xml:space="preserve"> </w:t>
      </w:r>
      <w:r w:rsidRPr="00E73F6F">
        <w:t>(2001, S.315);</w:t>
      </w:r>
      <w:r w:rsidRPr="00E73F6F">
        <w:rPr>
          <w:spacing w:val="-2"/>
        </w:rPr>
        <w:t xml:space="preserve"> </w:t>
      </w:r>
      <w:r w:rsidRPr="00E73F6F">
        <w:t>Müller/Gelbrich</w:t>
      </w:r>
      <w:r w:rsidRPr="00E73F6F">
        <w:rPr>
          <w:spacing w:val="-2"/>
        </w:rPr>
        <w:t xml:space="preserve"> </w:t>
      </w:r>
      <w:r w:rsidRPr="00E73F6F">
        <w:t>(2004,</w:t>
      </w:r>
      <w:r w:rsidRPr="00E73F6F">
        <w:rPr>
          <w:spacing w:val="1"/>
        </w:rPr>
        <w:t xml:space="preserve"> </w:t>
      </w:r>
      <w:r w:rsidRPr="00E73F6F">
        <w:rPr>
          <w:spacing w:val="-2"/>
        </w:rPr>
        <w:t>S.607).</w:t>
      </w:r>
    </w:p>
    <w:p w14:paraId="1229C171" w14:textId="77777777" w:rsidR="00FF7799" w:rsidRPr="00E73F6F" w:rsidRDefault="00FF7799" w:rsidP="00862DBA">
      <w:pPr>
        <w:spacing w:before="6"/>
        <w:rPr>
          <w:i/>
          <w:sz w:val="24"/>
          <w:szCs w:val="24"/>
        </w:rPr>
      </w:pPr>
    </w:p>
    <w:p w14:paraId="66EED22E" w14:textId="77777777" w:rsidR="00FF7799" w:rsidRPr="0052536B" w:rsidRDefault="00FF7799" w:rsidP="00F07781">
      <w:pPr>
        <w:pStyle w:val="StandardText"/>
      </w:pPr>
      <w:r w:rsidRPr="0052536B">
        <w:t>In der einschlägigen Literatur finden sich zahlreiche Ratschläge, die bei der Gestaltung</w:t>
      </w:r>
      <w:r w:rsidRPr="0052536B">
        <w:rPr>
          <w:spacing w:val="-9"/>
        </w:rPr>
        <w:t xml:space="preserve"> </w:t>
      </w:r>
      <w:r w:rsidRPr="0052536B">
        <w:t>globaler</w:t>
      </w:r>
      <w:r w:rsidRPr="0052536B">
        <w:rPr>
          <w:spacing w:val="-8"/>
        </w:rPr>
        <w:t xml:space="preserve"> </w:t>
      </w:r>
      <w:r w:rsidRPr="0052536B">
        <w:t>Markennamen</w:t>
      </w:r>
      <w:r w:rsidRPr="0052536B">
        <w:rPr>
          <w:spacing w:val="-7"/>
        </w:rPr>
        <w:t xml:space="preserve"> </w:t>
      </w:r>
      <w:r w:rsidRPr="0052536B">
        <w:t>hilfreich</w:t>
      </w:r>
      <w:r w:rsidRPr="0052536B">
        <w:rPr>
          <w:spacing w:val="-4"/>
        </w:rPr>
        <w:t xml:space="preserve"> </w:t>
      </w:r>
      <w:r w:rsidRPr="0052536B">
        <w:t>sein</w:t>
      </w:r>
      <w:r w:rsidRPr="0052536B">
        <w:rPr>
          <w:spacing w:val="-9"/>
        </w:rPr>
        <w:t xml:space="preserve"> </w:t>
      </w:r>
      <w:r w:rsidRPr="0052536B">
        <w:t>können.</w:t>
      </w:r>
      <w:r w:rsidRPr="0052536B">
        <w:rPr>
          <w:spacing w:val="-7"/>
        </w:rPr>
        <w:t xml:space="preserve"> </w:t>
      </w:r>
      <w:r w:rsidRPr="0052536B">
        <w:t>Diese</w:t>
      </w:r>
      <w:r w:rsidRPr="0052536B">
        <w:rPr>
          <w:spacing w:val="-9"/>
        </w:rPr>
        <w:t xml:space="preserve"> </w:t>
      </w:r>
      <w:r w:rsidRPr="0052536B">
        <w:t>reichen</w:t>
      </w:r>
      <w:r w:rsidRPr="0052536B">
        <w:rPr>
          <w:spacing w:val="-7"/>
        </w:rPr>
        <w:t xml:space="preserve"> </w:t>
      </w:r>
      <w:r w:rsidRPr="0052536B">
        <w:t>von</w:t>
      </w:r>
      <w:r w:rsidRPr="0052536B">
        <w:rPr>
          <w:spacing w:val="-9"/>
        </w:rPr>
        <w:t xml:space="preserve"> </w:t>
      </w:r>
      <w:r w:rsidRPr="0052536B">
        <w:t>der</w:t>
      </w:r>
      <w:r w:rsidRPr="0052536B">
        <w:rPr>
          <w:spacing w:val="-8"/>
        </w:rPr>
        <w:t xml:space="preserve"> </w:t>
      </w:r>
      <w:r w:rsidRPr="0052536B">
        <w:t>zu präferierenden Wortstruktur über typische Wortendungen bis hin zu Sprachspezifika</w:t>
      </w:r>
      <w:r w:rsidRPr="0052536B">
        <w:rPr>
          <w:spacing w:val="-1"/>
        </w:rPr>
        <w:t xml:space="preserve"> </w:t>
      </w:r>
      <w:r w:rsidRPr="0052536B">
        <w:t>wie</w:t>
      </w:r>
      <w:r w:rsidRPr="0052536B">
        <w:rPr>
          <w:spacing w:val="-1"/>
        </w:rPr>
        <w:t xml:space="preserve"> </w:t>
      </w:r>
      <w:r w:rsidRPr="0052536B">
        <w:t>Umlaute, die</w:t>
      </w:r>
      <w:r w:rsidRPr="0052536B">
        <w:rPr>
          <w:spacing w:val="-3"/>
        </w:rPr>
        <w:t xml:space="preserve"> </w:t>
      </w:r>
      <w:r w:rsidRPr="0052536B">
        <w:t>in anderen Sprachen nicht adäquat ausgedrückt werden</w:t>
      </w:r>
      <w:r w:rsidRPr="0052536B">
        <w:rPr>
          <w:spacing w:val="-7"/>
        </w:rPr>
        <w:t xml:space="preserve"> </w:t>
      </w:r>
      <w:r w:rsidRPr="0052536B">
        <w:t>können.</w:t>
      </w:r>
      <w:r w:rsidRPr="0052536B">
        <w:rPr>
          <w:spacing w:val="-7"/>
        </w:rPr>
        <w:t xml:space="preserve"> </w:t>
      </w:r>
      <w:r w:rsidRPr="0052536B">
        <w:t>Auch</w:t>
      </w:r>
      <w:r w:rsidRPr="0052536B">
        <w:rPr>
          <w:spacing w:val="-7"/>
        </w:rPr>
        <w:t xml:space="preserve"> </w:t>
      </w:r>
      <w:r w:rsidRPr="0052536B">
        <w:t>sollte</w:t>
      </w:r>
      <w:r w:rsidRPr="0052536B">
        <w:rPr>
          <w:spacing w:val="-8"/>
        </w:rPr>
        <w:t xml:space="preserve"> </w:t>
      </w:r>
      <w:r w:rsidRPr="0052536B">
        <w:t>der</w:t>
      </w:r>
      <w:r w:rsidRPr="0052536B">
        <w:rPr>
          <w:spacing w:val="-10"/>
        </w:rPr>
        <w:t xml:space="preserve"> </w:t>
      </w:r>
      <w:r w:rsidRPr="0052536B">
        <w:t>Markenname</w:t>
      </w:r>
      <w:r w:rsidRPr="0052536B">
        <w:rPr>
          <w:spacing w:val="-8"/>
        </w:rPr>
        <w:t xml:space="preserve"> </w:t>
      </w:r>
      <w:r w:rsidRPr="0052536B">
        <w:t>in</w:t>
      </w:r>
      <w:r w:rsidRPr="0052536B">
        <w:rPr>
          <w:spacing w:val="-9"/>
        </w:rPr>
        <w:t xml:space="preserve"> </w:t>
      </w:r>
      <w:r w:rsidRPr="0052536B">
        <w:t>der</w:t>
      </w:r>
      <w:r w:rsidRPr="0052536B">
        <w:rPr>
          <w:spacing w:val="-4"/>
        </w:rPr>
        <w:t xml:space="preserve"> </w:t>
      </w:r>
      <w:r w:rsidRPr="0052536B">
        <w:t>Fremdsprache</w:t>
      </w:r>
      <w:r w:rsidRPr="0052536B">
        <w:rPr>
          <w:spacing w:val="-8"/>
        </w:rPr>
        <w:t xml:space="preserve"> </w:t>
      </w:r>
      <w:r w:rsidRPr="0052536B">
        <w:t>immer</w:t>
      </w:r>
      <w:r w:rsidRPr="0052536B">
        <w:rPr>
          <w:spacing w:val="-8"/>
        </w:rPr>
        <w:t xml:space="preserve"> </w:t>
      </w:r>
      <w:r w:rsidRPr="0052536B">
        <w:t>dann Produktbezug erkennen lassen, wenn Homonyme eine Rolle spielen: sinngleiche Wörter (Chinesisch) (vgl. Tab. 5).</w:t>
      </w:r>
    </w:p>
    <w:p w14:paraId="73022F83" w14:textId="77777777" w:rsidR="00FF7799" w:rsidRPr="0052536B" w:rsidRDefault="00FF7799" w:rsidP="00F07781">
      <w:pPr>
        <w:pStyle w:val="StandardText"/>
        <w:rPr>
          <w:spacing w:val="-2"/>
        </w:rPr>
      </w:pPr>
      <w:r w:rsidRPr="0052536B">
        <w:t>Allerdings</w:t>
      </w:r>
      <w:r w:rsidRPr="0052536B">
        <w:rPr>
          <w:spacing w:val="-7"/>
        </w:rPr>
        <w:t xml:space="preserve"> </w:t>
      </w:r>
      <w:r w:rsidRPr="0052536B">
        <w:t>sprechen</w:t>
      </w:r>
      <w:r w:rsidRPr="0052536B">
        <w:rPr>
          <w:spacing w:val="-2"/>
        </w:rPr>
        <w:t xml:space="preserve"> </w:t>
      </w:r>
      <w:r w:rsidRPr="0052536B">
        <w:t>auch</w:t>
      </w:r>
      <w:r w:rsidRPr="0052536B">
        <w:rPr>
          <w:spacing w:val="-2"/>
        </w:rPr>
        <w:t xml:space="preserve"> </w:t>
      </w:r>
      <w:r w:rsidRPr="0052536B">
        <w:t>viele</w:t>
      </w:r>
      <w:r w:rsidRPr="0052536B">
        <w:rPr>
          <w:spacing w:val="-3"/>
        </w:rPr>
        <w:t xml:space="preserve"> </w:t>
      </w:r>
      <w:r w:rsidRPr="0052536B">
        <w:t>Gründe</w:t>
      </w:r>
      <w:r w:rsidRPr="0052536B">
        <w:rPr>
          <w:spacing w:val="-4"/>
        </w:rPr>
        <w:t xml:space="preserve"> </w:t>
      </w:r>
      <w:r w:rsidRPr="0052536B">
        <w:t>gegen</w:t>
      </w:r>
      <w:r w:rsidRPr="0052536B">
        <w:rPr>
          <w:spacing w:val="-1"/>
        </w:rPr>
        <w:t xml:space="preserve"> </w:t>
      </w:r>
      <w:r w:rsidRPr="0052536B">
        <w:t>eine</w:t>
      </w:r>
      <w:r w:rsidRPr="0052536B">
        <w:rPr>
          <w:spacing w:val="-4"/>
        </w:rPr>
        <w:t xml:space="preserve"> </w:t>
      </w:r>
      <w:r w:rsidRPr="0052536B">
        <w:t>weltweite</w:t>
      </w:r>
      <w:r w:rsidRPr="0052536B">
        <w:rPr>
          <w:spacing w:val="-4"/>
        </w:rPr>
        <w:t xml:space="preserve"> </w:t>
      </w:r>
      <w:r w:rsidRPr="0052536B">
        <w:rPr>
          <w:spacing w:val="-2"/>
        </w:rPr>
        <w:t xml:space="preserve">Standardisierung </w:t>
      </w:r>
      <w:r w:rsidRPr="0052536B">
        <w:t xml:space="preserve">des </w:t>
      </w:r>
      <w:r w:rsidRPr="0052536B">
        <w:rPr>
          <w:spacing w:val="-2"/>
        </w:rPr>
        <w:t>Markennamens:</w:t>
      </w:r>
    </w:p>
    <w:p w14:paraId="35E597A5" w14:textId="77777777" w:rsidR="00FF7799" w:rsidRPr="0052536B" w:rsidRDefault="00FF7799" w:rsidP="00AB3FAA">
      <w:pPr>
        <w:pStyle w:val="StandardTextAufzhlung"/>
        <w:ind w:left="426"/>
        <w:rPr>
          <w:spacing w:val="-2"/>
        </w:rPr>
      </w:pPr>
      <w:r w:rsidRPr="0052536B">
        <w:t>Phonetik:</w:t>
      </w:r>
      <w:r w:rsidRPr="0052536B">
        <w:rPr>
          <w:spacing w:val="-5"/>
        </w:rPr>
        <w:t xml:space="preserve"> </w:t>
      </w:r>
      <w:r w:rsidRPr="0052536B">
        <w:t>Aussprache</w:t>
      </w:r>
      <w:r w:rsidRPr="0052536B">
        <w:rPr>
          <w:spacing w:val="-4"/>
        </w:rPr>
        <w:t xml:space="preserve"> </w:t>
      </w:r>
      <w:r w:rsidRPr="0052536B">
        <w:t>und</w:t>
      </w:r>
      <w:r w:rsidRPr="0052536B">
        <w:rPr>
          <w:spacing w:val="1"/>
        </w:rPr>
        <w:t xml:space="preserve"> </w:t>
      </w:r>
      <w:r w:rsidRPr="0052536B">
        <w:rPr>
          <w:spacing w:val="-4"/>
        </w:rPr>
        <w:t xml:space="preserve">Klang. </w:t>
      </w:r>
      <w:r w:rsidRPr="0052536B">
        <w:t>Da „Kipferl“ für Franzosen unaussprechbar ist, wählte Bahlsen für den französischen</w:t>
      </w:r>
      <w:r w:rsidRPr="0052536B">
        <w:rPr>
          <w:spacing w:val="-5"/>
        </w:rPr>
        <w:t xml:space="preserve"> </w:t>
      </w:r>
      <w:r w:rsidRPr="0052536B">
        <w:t>Markt</w:t>
      </w:r>
      <w:r w:rsidRPr="0052536B">
        <w:rPr>
          <w:spacing w:val="-6"/>
        </w:rPr>
        <w:t xml:space="preserve"> </w:t>
      </w:r>
      <w:r w:rsidRPr="0052536B">
        <w:t>den</w:t>
      </w:r>
      <w:r w:rsidRPr="0052536B">
        <w:rPr>
          <w:spacing w:val="-7"/>
        </w:rPr>
        <w:t xml:space="preserve"> </w:t>
      </w:r>
      <w:r w:rsidRPr="0052536B">
        <w:t>Markennamen</w:t>
      </w:r>
      <w:r w:rsidRPr="0052536B">
        <w:rPr>
          <w:spacing w:val="-2"/>
        </w:rPr>
        <w:t xml:space="preserve"> </w:t>
      </w:r>
      <w:r w:rsidRPr="0052536B">
        <w:t>Croissant</w:t>
      </w:r>
      <w:r w:rsidRPr="0052536B">
        <w:rPr>
          <w:spacing w:val="-7"/>
        </w:rPr>
        <w:t xml:space="preserve"> </w:t>
      </w:r>
      <w:r w:rsidRPr="0052536B">
        <w:t>de</w:t>
      </w:r>
      <w:r w:rsidRPr="0052536B">
        <w:rPr>
          <w:spacing w:val="-6"/>
        </w:rPr>
        <w:t xml:space="preserve"> </w:t>
      </w:r>
      <w:r w:rsidRPr="0052536B">
        <w:t>Lune</w:t>
      </w:r>
      <w:r w:rsidRPr="0052536B">
        <w:rPr>
          <w:spacing w:val="-6"/>
        </w:rPr>
        <w:t xml:space="preserve"> </w:t>
      </w:r>
      <w:r w:rsidRPr="0052536B">
        <w:t>(vgl. Latour 1996,</w:t>
      </w:r>
      <w:r w:rsidRPr="0052536B">
        <w:rPr>
          <w:spacing w:val="-6"/>
        </w:rPr>
        <w:t xml:space="preserve"> </w:t>
      </w:r>
      <w:r w:rsidRPr="0052536B">
        <w:t>S.127).</w:t>
      </w:r>
      <w:r w:rsidRPr="0052536B">
        <w:rPr>
          <w:spacing w:val="-6"/>
        </w:rPr>
        <w:t xml:space="preserve"> </w:t>
      </w:r>
      <w:r w:rsidRPr="0052536B">
        <w:t>Die Schwierigkeit</w:t>
      </w:r>
      <w:r w:rsidRPr="0052536B">
        <w:rPr>
          <w:spacing w:val="-5"/>
        </w:rPr>
        <w:t xml:space="preserve"> </w:t>
      </w:r>
      <w:r w:rsidRPr="0052536B">
        <w:t>bzw.</w:t>
      </w:r>
      <w:r w:rsidRPr="0052536B">
        <w:rPr>
          <w:spacing w:val="-3"/>
        </w:rPr>
        <w:t xml:space="preserve"> </w:t>
      </w:r>
      <w:r w:rsidRPr="0052536B">
        <w:t>Unmöglichkeit</w:t>
      </w:r>
      <w:r w:rsidRPr="0052536B">
        <w:rPr>
          <w:spacing w:val="-3"/>
        </w:rPr>
        <w:t xml:space="preserve"> </w:t>
      </w:r>
      <w:r w:rsidRPr="0052536B">
        <w:t>des</w:t>
      </w:r>
      <w:r w:rsidRPr="0052536B">
        <w:rPr>
          <w:spacing w:val="-3"/>
        </w:rPr>
        <w:t xml:space="preserve"> </w:t>
      </w:r>
      <w:r w:rsidRPr="0052536B">
        <w:t>Transfers</w:t>
      </w:r>
      <w:r w:rsidRPr="0052536B">
        <w:rPr>
          <w:spacing w:val="-3"/>
        </w:rPr>
        <w:t xml:space="preserve"> </w:t>
      </w:r>
      <w:r w:rsidRPr="0052536B">
        <w:t>eines</w:t>
      </w:r>
      <w:r w:rsidRPr="0052536B">
        <w:rPr>
          <w:spacing w:val="-3"/>
        </w:rPr>
        <w:t xml:space="preserve"> </w:t>
      </w:r>
      <w:r w:rsidRPr="0052536B">
        <w:t>Markennamens</w:t>
      </w:r>
      <w:r w:rsidRPr="0052536B">
        <w:rPr>
          <w:spacing w:val="-3"/>
        </w:rPr>
        <w:t xml:space="preserve"> </w:t>
      </w:r>
      <w:r w:rsidRPr="0052536B">
        <w:t>von</w:t>
      </w:r>
      <w:r w:rsidRPr="0052536B">
        <w:rPr>
          <w:spacing w:val="-3"/>
        </w:rPr>
        <w:t xml:space="preserve"> </w:t>
      </w:r>
      <w:r w:rsidRPr="0052536B">
        <w:t>einem alphabetischen in ein ideographisches Schriftsystem wurden bereits diskutiert. Probleme</w:t>
      </w:r>
      <w:r w:rsidRPr="0052536B">
        <w:rPr>
          <w:spacing w:val="-4"/>
        </w:rPr>
        <w:t xml:space="preserve"> </w:t>
      </w:r>
      <w:r w:rsidRPr="0052536B">
        <w:t>bereitet</w:t>
      </w:r>
      <w:r w:rsidRPr="0052536B">
        <w:rPr>
          <w:spacing w:val="-3"/>
        </w:rPr>
        <w:t xml:space="preserve"> </w:t>
      </w:r>
      <w:r w:rsidRPr="0052536B">
        <w:t>auch</w:t>
      </w:r>
      <w:r w:rsidRPr="0052536B">
        <w:rPr>
          <w:spacing w:val="-2"/>
        </w:rPr>
        <w:t xml:space="preserve"> </w:t>
      </w:r>
      <w:r w:rsidRPr="0052536B">
        <w:t>der</w:t>
      </w:r>
      <w:r w:rsidRPr="0052536B">
        <w:rPr>
          <w:spacing w:val="-3"/>
        </w:rPr>
        <w:t xml:space="preserve"> </w:t>
      </w:r>
      <w:r w:rsidRPr="0052536B">
        <w:t>Transfer</w:t>
      </w:r>
      <w:r w:rsidRPr="0052536B">
        <w:rPr>
          <w:spacing w:val="-3"/>
        </w:rPr>
        <w:t xml:space="preserve"> </w:t>
      </w:r>
      <w:r w:rsidRPr="0052536B">
        <w:t>von</w:t>
      </w:r>
      <w:r w:rsidRPr="0052536B">
        <w:rPr>
          <w:spacing w:val="-2"/>
        </w:rPr>
        <w:t xml:space="preserve"> </w:t>
      </w:r>
      <w:r w:rsidRPr="0052536B">
        <w:t>Sprachen,</w:t>
      </w:r>
      <w:r w:rsidRPr="0052536B">
        <w:rPr>
          <w:spacing w:val="-5"/>
        </w:rPr>
        <w:t xml:space="preserve"> </w:t>
      </w:r>
      <w:r w:rsidRPr="0052536B">
        <w:t>die,</w:t>
      </w:r>
      <w:r w:rsidRPr="0052536B">
        <w:rPr>
          <w:spacing w:val="-3"/>
        </w:rPr>
        <w:t xml:space="preserve"> </w:t>
      </w:r>
      <w:r w:rsidRPr="0052536B">
        <w:t>wie</w:t>
      </w:r>
      <w:r w:rsidRPr="0052536B">
        <w:rPr>
          <w:spacing w:val="-4"/>
        </w:rPr>
        <w:t xml:space="preserve"> </w:t>
      </w:r>
      <w:r w:rsidRPr="0052536B">
        <w:t>das</w:t>
      </w:r>
      <w:r w:rsidRPr="0052536B">
        <w:rPr>
          <w:spacing w:val="-3"/>
        </w:rPr>
        <w:t xml:space="preserve"> </w:t>
      </w:r>
      <w:r w:rsidRPr="0052536B">
        <w:t xml:space="preserve">Italienische, reich an Vokalen sind, in Sprachen mit überproportional vielen Konsonanten (z.B. </w:t>
      </w:r>
      <w:r w:rsidRPr="0052536B">
        <w:rPr>
          <w:spacing w:val="-2"/>
        </w:rPr>
        <w:t>Deutsch).</w:t>
      </w:r>
    </w:p>
    <w:p w14:paraId="43F773E0" w14:textId="77777777" w:rsidR="00FF7799" w:rsidRPr="0052536B" w:rsidRDefault="00FF7799" w:rsidP="00AB3FAA">
      <w:pPr>
        <w:pStyle w:val="StandardTextAufzhlung"/>
        <w:ind w:left="426"/>
      </w:pPr>
      <w:r w:rsidRPr="0052536B">
        <w:lastRenderedPageBreak/>
        <w:t>Semantik:</w:t>
      </w:r>
      <w:r w:rsidRPr="0052536B">
        <w:rPr>
          <w:spacing w:val="-2"/>
        </w:rPr>
        <w:t xml:space="preserve"> </w:t>
      </w:r>
      <w:r w:rsidRPr="0052536B">
        <w:t>Bedeutung</w:t>
      </w:r>
      <w:r w:rsidRPr="0052536B">
        <w:rPr>
          <w:spacing w:val="-3"/>
        </w:rPr>
        <w:t xml:space="preserve"> </w:t>
      </w:r>
      <w:r w:rsidRPr="0052536B">
        <w:t>und</w:t>
      </w:r>
      <w:r w:rsidRPr="0052536B">
        <w:rPr>
          <w:spacing w:val="-1"/>
        </w:rPr>
        <w:t xml:space="preserve"> </w:t>
      </w:r>
      <w:r w:rsidRPr="0052536B">
        <w:rPr>
          <w:spacing w:val="-2"/>
        </w:rPr>
        <w:t xml:space="preserve">Assoziationen. </w:t>
      </w:r>
      <w:r w:rsidRPr="0052536B">
        <w:t>In allen Kulturen spielt Aberglaube eine mehr oder weniger große Rolle. Deshalb wird vielfach versucht, Markennamen zu wählen, welche Assoziationen zu</w:t>
      </w:r>
      <w:r w:rsidRPr="0052536B">
        <w:rPr>
          <w:spacing w:val="55"/>
        </w:rPr>
        <w:t xml:space="preserve"> </w:t>
      </w:r>
      <w:r w:rsidRPr="0052536B">
        <w:t>Glückszahlen</w:t>
      </w:r>
      <w:r w:rsidRPr="0052536B">
        <w:rPr>
          <w:spacing w:val="54"/>
        </w:rPr>
        <w:t xml:space="preserve"> </w:t>
      </w:r>
      <w:r w:rsidRPr="0052536B">
        <w:t>bzw. Glücksnamen</w:t>
      </w:r>
      <w:r w:rsidRPr="0052536B">
        <w:rPr>
          <w:spacing w:val="54"/>
        </w:rPr>
        <w:t xml:space="preserve"> </w:t>
      </w:r>
      <w:r w:rsidRPr="0052536B">
        <w:t>auslösen.</w:t>
      </w:r>
      <w:r w:rsidRPr="0052536B">
        <w:rPr>
          <w:spacing w:val="53"/>
        </w:rPr>
        <w:t xml:space="preserve"> </w:t>
      </w:r>
      <w:r w:rsidRPr="0052536B">
        <w:t>Da</w:t>
      </w:r>
      <w:r w:rsidRPr="0052536B">
        <w:rPr>
          <w:spacing w:val="52"/>
        </w:rPr>
        <w:t xml:space="preserve"> </w:t>
      </w:r>
      <w:r w:rsidRPr="0052536B">
        <w:t>im</w:t>
      </w:r>
      <w:r w:rsidRPr="0052536B">
        <w:rPr>
          <w:spacing w:val="54"/>
        </w:rPr>
        <w:t xml:space="preserve"> </w:t>
      </w:r>
      <w:r w:rsidRPr="0052536B">
        <w:rPr>
          <w:spacing w:val="-2"/>
        </w:rPr>
        <w:t>abendländischen</w:t>
      </w:r>
      <w:r w:rsidRPr="0052536B">
        <w:t xml:space="preserve"> Kulturraum</w:t>
      </w:r>
      <w:r w:rsidRPr="0052536B">
        <w:rPr>
          <w:spacing w:val="-6"/>
        </w:rPr>
        <w:t xml:space="preserve"> </w:t>
      </w:r>
      <w:r w:rsidRPr="0052536B">
        <w:t>die</w:t>
      </w:r>
      <w:r w:rsidRPr="0052536B">
        <w:rPr>
          <w:spacing w:val="-8"/>
        </w:rPr>
        <w:t xml:space="preserve"> </w:t>
      </w:r>
      <w:r w:rsidRPr="0052536B">
        <w:t>Sieben</w:t>
      </w:r>
      <w:r w:rsidRPr="0052536B">
        <w:rPr>
          <w:spacing w:val="-7"/>
        </w:rPr>
        <w:t xml:space="preserve"> </w:t>
      </w:r>
      <w:r w:rsidRPr="0052536B">
        <w:t>als</w:t>
      </w:r>
      <w:r w:rsidRPr="0052536B">
        <w:rPr>
          <w:spacing w:val="-5"/>
        </w:rPr>
        <w:t xml:space="preserve"> </w:t>
      </w:r>
      <w:r w:rsidRPr="0052536B">
        <w:t>Glückszahl</w:t>
      </w:r>
      <w:r w:rsidRPr="0052536B">
        <w:rPr>
          <w:spacing w:val="-5"/>
        </w:rPr>
        <w:t xml:space="preserve"> </w:t>
      </w:r>
      <w:r w:rsidRPr="0052536B">
        <w:t>gilt,</w:t>
      </w:r>
      <w:r w:rsidRPr="0052536B">
        <w:rPr>
          <w:spacing w:val="-7"/>
        </w:rPr>
        <w:t xml:space="preserve"> </w:t>
      </w:r>
      <w:r w:rsidRPr="0052536B">
        <w:t>hat</w:t>
      </w:r>
      <w:r w:rsidRPr="0052536B">
        <w:rPr>
          <w:spacing w:val="-3"/>
        </w:rPr>
        <w:t xml:space="preserve"> </w:t>
      </w:r>
      <w:r w:rsidRPr="0052536B">
        <w:t>Boeing</w:t>
      </w:r>
      <w:r w:rsidRPr="0052536B">
        <w:rPr>
          <w:spacing w:val="-4"/>
        </w:rPr>
        <w:t xml:space="preserve"> </w:t>
      </w:r>
      <w:r w:rsidRPr="0052536B">
        <w:t>seine</w:t>
      </w:r>
      <w:r w:rsidRPr="0052536B">
        <w:rPr>
          <w:spacing w:val="-8"/>
        </w:rPr>
        <w:t xml:space="preserve"> </w:t>
      </w:r>
      <w:r w:rsidRPr="0052536B">
        <w:t>Flugzeugtypen</w:t>
      </w:r>
      <w:r w:rsidRPr="0052536B">
        <w:rPr>
          <w:spacing w:val="-7"/>
        </w:rPr>
        <w:t xml:space="preserve"> </w:t>
      </w:r>
      <w:r w:rsidRPr="0052536B">
        <w:t>mit dem</w:t>
      </w:r>
      <w:r w:rsidRPr="0052536B">
        <w:rPr>
          <w:spacing w:val="-2"/>
        </w:rPr>
        <w:t xml:space="preserve"> </w:t>
      </w:r>
      <w:r w:rsidRPr="0052536B">
        <w:t>Zahlencode</w:t>
      </w:r>
      <w:r w:rsidRPr="0052536B">
        <w:rPr>
          <w:spacing w:val="-4"/>
        </w:rPr>
        <w:t xml:space="preserve"> </w:t>
      </w:r>
      <w:r w:rsidRPr="0052536B">
        <w:t>737,</w:t>
      </w:r>
      <w:r w:rsidRPr="0052536B">
        <w:rPr>
          <w:spacing w:val="-2"/>
        </w:rPr>
        <w:t xml:space="preserve"> </w:t>
      </w:r>
      <w:r w:rsidRPr="0052536B">
        <w:t>747</w:t>
      </w:r>
      <w:r w:rsidRPr="0052536B">
        <w:rPr>
          <w:spacing w:val="-2"/>
        </w:rPr>
        <w:t xml:space="preserve"> </w:t>
      </w:r>
      <w:r w:rsidRPr="0052536B">
        <w:t>etc.</w:t>
      </w:r>
      <w:r w:rsidRPr="0052536B">
        <w:rPr>
          <w:spacing w:val="-3"/>
        </w:rPr>
        <w:t xml:space="preserve"> </w:t>
      </w:r>
      <w:r w:rsidRPr="0052536B">
        <w:t>markiert.</w:t>
      </w:r>
      <w:r w:rsidRPr="0052536B">
        <w:rPr>
          <w:spacing w:val="-2"/>
        </w:rPr>
        <w:t xml:space="preserve"> </w:t>
      </w:r>
      <w:r w:rsidRPr="0052536B">
        <w:t>Im</w:t>
      </w:r>
      <w:r w:rsidRPr="0052536B">
        <w:rPr>
          <w:spacing w:val="-2"/>
        </w:rPr>
        <w:t xml:space="preserve"> </w:t>
      </w:r>
      <w:r w:rsidRPr="0052536B">
        <w:t>östlichen, →</w:t>
      </w:r>
      <w:r w:rsidRPr="0052536B">
        <w:rPr>
          <w:spacing w:val="-5"/>
        </w:rPr>
        <w:t xml:space="preserve"> </w:t>
      </w:r>
      <w:r w:rsidRPr="0052536B">
        <w:t>konfuzianisch</w:t>
      </w:r>
      <w:r w:rsidRPr="0052536B">
        <w:rPr>
          <w:spacing w:val="-1"/>
        </w:rPr>
        <w:t xml:space="preserve"> </w:t>
      </w:r>
      <w:r w:rsidRPr="0052536B">
        <w:t>geprägten Kulturraum sind jedoch andere (Un-)Glücksnamen und -zahlen zu beachten (z.B. 4 und 8).</w:t>
      </w:r>
    </w:p>
    <w:p w14:paraId="0725378A" w14:textId="77777777" w:rsidR="00FF7799" w:rsidRPr="0052536B" w:rsidRDefault="00FF7799" w:rsidP="00AB3FAA">
      <w:pPr>
        <w:pStyle w:val="StandardTextAufzhlung"/>
        <w:ind w:left="426"/>
      </w:pPr>
      <w:r w:rsidRPr="0052536B">
        <w:t>Morphologie:</w:t>
      </w:r>
      <w:r w:rsidRPr="0052536B">
        <w:rPr>
          <w:spacing w:val="-2"/>
        </w:rPr>
        <w:t xml:space="preserve"> Wortstruktur. </w:t>
      </w:r>
      <w:r w:rsidRPr="0052536B">
        <w:t>Häufig werden durch Zusammensetzung von Buchstaben und Silben neue Worte bzw. Kunstworte geschaffen, deren Produktbezug (z.B. Yogurette, Kamillosan) nicht in eine andere Sprache übertragbar ist.</w:t>
      </w:r>
    </w:p>
    <w:p w14:paraId="39D05079" w14:textId="77777777" w:rsidR="00FF7799" w:rsidRPr="0052536B" w:rsidRDefault="00FF7799" w:rsidP="00AB3FAA">
      <w:pPr>
        <w:pStyle w:val="StandardTextAufzhlung"/>
        <w:ind w:left="426"/>
      </w:pPr>
      <w:r w:rsidRPr="0052536B">
        <w:t>Internationale</w:t>
      </w:r>
      <w:r w:rsidRPr="0052536B">
        <w:rPr>
          <w:spacing w:val="-3"/>
        </w:rPr>
        <w:t xml:space="preserve"> </w:t>
      </w:r>
      <w:r w:rsidRPr="0052536B">
        <w:rPr>
          <w:spacing w:val="-2"/>
        </w:rPr>
        <w:t xml:space="preserve">Schutzfähigkeit. </w:t>
      </w:r>
      <w:r w:rsidRPr="0052536B">
        <w:t>Eine globale Markennamenstrategie kann auch daran scheitern, dass der intendierte Markenname in relevanten Ländermärkten markenrechtlich schon registriert</w:t>
      </w:r>
      <w:r w:rsidRPr="0052536B">
        <w:rPr>
          <w:spacing w:val="80"/>
        </w:rPr>
        <w:t xml:space="preserve"> </w:t>
      </w:r>
      <w:r w:rsidRPr="0052536B">
        <w:t>ist</w:t>
      </w:r>
      <w:r w:rsidRPr="0052536B">
        <w:rPr>
          <w:spacing w:val="80"/>
        </w:rPr>
        <w:t xml:space="preserve"> </w:t>
      </w:r>
      <w:r w:rsidRPr="0052536B">
        <w:t>bzw.</w:t>
      </w:r>
      <w:r w:rsidRPr="0052536B">
        <w:rPr>
          <w:spacing w:val="80"/>
        </w:rPr>
        <w:t xml:space="preserve"> </w:t>
      </w:r>
      <w:r w:rsidRPr="0052536B">
        <w:t>nicht</w:t>
      </w:r>
      <w:r w:rsidRPr="0052536B">
        <w:rPr>
          <w:spacing w:val="80"/>
        </w:rPr>
        <w:t xml:space="preserve"> </w:t>
      </w:r>
      <w:r w:rsidRPr="0052536B">
        <w:t>die</w:t>
      </w:r>
      <w:r w:rsidRPr="0052536B">
        <w:rPr>
          <w:spacing w:val="80"/>
        </w:rPr>
        <w:t xml:space="preserve"> </w:t>
      </w:r>
      <w:r w:rsidRPr="0052536B">
        <w:t>erforderliche</w:t>
      </w:r>
      <w:r w:rsidRPr="0052536B">
        <w:rPr>
          <w:spacing w:val="80"/>
        </w:rPr>
        <w:t xml:space="preserve"> </w:t>
      </w:r>
      <w:r w:rsidRPr="0052536B">
        <w:t>Unterscheidungskraft</w:t>
      </w:r>
      <w:r w:rsidRPr="0052536B">
        <w:rPr>
          <w:spacing w:val="80"/>
        </w:rPr>
        <w:t xml:space="preserve"> </w:t>
      </w:r>
      <w:r w:rsidRPr="0052536B">
        <w:t>besitzt.</w:t>
      </w:r>
    </w:p>
    <w:p w14:paraId="07ABF34C" w14:textId="77777777" w:rsidR="00FF7799" w:rsidRPr="00E73F6F" w:rsidRDefault="00FF7799" w:rsidP="00F07781">
      <w:pPr>
        <w:pStyle w:val="StandardText"/>
      </w:pPr>
    </w:p>
    <w:p w14:paraId="6AA16D12" w14:textId="77777777" w:rsidR="00FF7799" w:rsidRPr="00984840" w:rsidRDefault="00FF7799" w:rsidP="00F07781">
      <w:pPr>
        <w:pStyle w:val="BeschriftungTab"/>
        <w:rPr>
          <w:i/>
          <w:iCs/>
        </w:rPr>
      </w:pPr>
      <w:r w:rsidRPr="00984840">
        <w:rPr>
          <w:i/>
          <w:iCs/>
        </w:rPr>
        <w:t>Tab. 5:</w:t>
      </w:r>
      <w:r w:rsidRPr="00984840">
        <w:rPr>
          <w:i/>
          <w:iCs/>
          <w:spacing w:val="-6"/>
        </w:rPr>
        <w:t xml:space="preserve"> </w:t>
      </w:r>
      <w:r w:rsidRPr="00984840">
        <w:rPr>
          <w:i/>
          <w:iCs/>
        </w:rPr>
        <w:t>Hinweise</w:t>
      </w:r>
      <w:r w:rsidRPr="00984840">
        <w:rPr>
          <w:i/>
          <w:iCs/>
          <w:spacing w:val="-4"/>
        </w:rPr>
        <w:t xml:space="preserve"> </w:t>
      </w:r>
      <w:r w:rsidRPr="00984840">
        <w:rPr>
          <w:i/>
          <w:iCs/>
        </w:rPr>
        <w:t>zur</w:t>
      </w:r>
      <w:r w:rsidRPr="00984840">
        <w:rPr>
          <w:i/>
          <w:iCs/>
          <w:spacing w:val="-5"/>
        </w:rPr>
        <w:t xml:space="preserve"> </w:t>
      </w:r>
      <w:r w:rsidRPr="00984840">
        <w:rPr>
          <w:i/>
          <w:iCs/>
        </w:rPr>
        <w:t>Gestaltung</w:t>
      </w:r>
      <w:r w:rsidRPr="00984840">
        <w:rPr>
          <w:i/>
          <w:iCs/>
          <w:spacing w:val="-6"/>
        </w:rPr>
        <w:t xml:space="preserve"> </w:t>
      </w:r>
      <w:r w:rsidRPr="00984840">
        <w:rPr>
          <w:i/>
          <w:iCs/>
        </w:rPr>
        <w:t>globaler</w:t>
      </w:r>
      <w:r w:rsidRPr="00984840">
        <w:rPr>
          <w:i/>
          <w:iCs/>
          <w:spacing w:val="-4"/>
        </w:rPr>
        <w:t xml:space="preserve"> </w:t>
      </w:r>
      <w:r w:rsidRPr="00984840">
        <w:rPr>
          <w:i/>
          <w:iCs/>
          <w:spacing w:val="-2"/>
        </w:rPr>
        <w:t>Markennamen</w:t>
      </w:r>
    </w:p>
    <w:tbl>
      <w:tblPr>
        <w:tblStyle w:val="TableNormal"/>
        <w:tblW w:w="5000" w:type="pct"/>
        <w:tblBorders>
          <w:top w:val="single" w:sz="4" w:space="0" w:color="000000"/>
          <w:bottom w:val="single" w:sz="4" w:space="0" w:color="000000"/>
          <w:insideH w:val="single" w:sz="4" w:space="0" w:color="000000"/>
        </w:tblBorders>
        <w:tblCellMar>
          <w:left w:w="57" w:type="dxa"/>
          <w:right w:w="57" w:type="dxa"/>
        </w:tblCellMar>
        <w:tblLook w:val="01E0" w:firstRow="1" w:lastRow="1" w:firstColumn="1" w:lastColumn="1" w:noHBand="0" w:noVBand="0"/>
      </w:tblPr>
      <w:tblGrid>
        <w:gridCol w:w="3255"/>
        <w:gridCol w:w="2636"/>
        <w:gridCol w:w="3181"/>
      </w:tblGrid>
      <w:tr w:rsidR="00FF7799" w:rsidRPr="00E73F6F" w14:paraId="26553A76" w14:textId="77777777" w:rsidTr="00984840">
        <w:trPr>
          <w:trHeight w:val="224"/>
        </w:trPr>
        <w:tc>
          <w:tcPr>
            <w:tcW w:w="1794" w:type="pct"/>
            <w:shd w:val="clear" w:color="auto" w:fill="FFC000"/>
          </w:tcPr>
          <w:p w14:paraId="4DE229CC" w14:textId="3C50D309" w:rsidR="00FF7799" w:rsidRPr="00E73F6F" w:rsidRDefault="00FF7799" w:rsidP="00F07781">
            <w:pPr>
              <w:pStyle w:val="StandardText"/>
              <w:spacing w:after="120"/>
              <w:rPr>
                <w:b/>
                <w:lang w:val="de-DE"/>
              </w:rPr>
            </w:pPr>
          </w:p>
        </w:tc>
        <w:tc>
          <w:tcPr>
            <w:tcW w:w="1453" w:type="pct"/>
            <w:shd w:val="clear" w:color="auto" w:fill="FFC000"/>
          </w:tcPr>
          <w:p w14:paraId="786A6447" w14:textId="77777777" w:rsidR="00FF7799" w:rsidRPr="00E73F6F" w:rsidRDefault="00FF7799" w:rsidP="00F07781">
            <w:pPr>
              <w:pStyle w:val="StandardText"/>
              <w:spacing w:after="120"/>
              <w:rPr>
                <w:b/>
                <w:lang w:val="de-DE"/>
              </w:rPr>
            </w:pPr>
            <w:r w:rsidRPr="00E73F6F">
              <w:rPr>
                <w:b/>
                <w:lang w:val="de-DE"/>
              </w:rPr>
              <w:t>mögliche</w:t>
            </w:r>
            <w:r w:rsidRPr="00E73F6F">
              <w:rPr>
                <w:b/>
                <w:spacing w:val="2"/>
                <w:lang w:val="de-DE"/>
              </w:rPr>
              <w:t xml:space="preserve"> </w:t>
            </w:r>
            <w:r w:rsidRPr="00E73F6F">
              <w:rPr>
                <w:b/>
                <w:lang w:val="de-DE"/>
              </w:rPr>
              <w:t>Ausprägung</w:t>
            </w:r>
          </w:p>
        </w:tc>
        <w:tc>
          <w:tcPr>
            <w:tcW w:w="1753" w:type="pct"/>
            <w:shd w:val="clear" w:color="auto" w:fill="FFC000"/>
          </w:tcPr>
          <w:p w14:paraId="2495EA96" w14:textId="77777777" w:rsidR="00FF7799" w:rsidRPr="00E73F6F" w:rsidRDefault="00FF7799" w:rsidP="00F07781">
            <w:pPr>
              <w:pStyle w:val="StandardText"/>
              <w:spacing w:after="120"/>
              <w:rPr>
                <w:b/>
                <w:lang w:val="de-DE"/>
              </w:rPr>
            </w:pPr>
            <w:r w:rsidRPr="00E73F6F">
              <w:rPr>
                <w:b/>
                <w:lang w:val="de-DE"/>
              </w:rPr>
              <w:t>beispielhafte</w:t>
            </w:r>
            <w:r w:rsidRPr="00E73F6F">
              <w:rPr>
                <w:b/>
                <w:spacing w:val="3"/>
                <w:lang w:val="de-DE"/>
              </w:rPr>
              <w:t xml:space="preserve"> </w:t>
            </w:r>
            <w:r w:rsidRPr="00E73F6F">
              <w:rPr>
                <w:b/>
                <w:lang w:val="de-DE"/>
              </w:rPr>
              <w:t>Markennamen</w:t>
            </w:r>
          </w:p>
        </w:tc>
      </w:tr>
      <w:tr w:rsidR="00984840" w:rsidRPr="00E73F6F" w14:paraId="44D4CBA9" w14:textId="77777777" w:rsidTr="00984840">
        <w:trPr>
          <w:trHeight w:val="224"/>
        </w:trPr>
        <w:tc>
          <w:tcPr>
            <w:tcW w:w="1794" w:type="pct"/>
            <w:shd w:val="clear" w:color="auto" w:fill="FFF2CC" w:themeFill="accent4" w:themeFillTint="33"/>
          </w:tcPr>
          <w:p w14:paraId="219A7F53" w14:textId="4DEA1186" w:rsidR="00984840" w:rsidRPr="00ED4C94" w:rsidRDefault="00ED4C94" w:rsidP="00F07781">
            <w:pPr>
              <w:pStyle w:val="StandardText"/>
              <w:spacing w:after="120"/>
              <w:rPr>
                <w:bCs/>
              </w:rPr>
            </w:pPr>
            <w:proofErr w:type="spellStart"/>
            <w:r w:rsidRPr="00ED4C94">
              <w:rPr>
                <w:bCs/>
              </w:rPr>
              <w:t>Erstrebt</w:t>
            </w:r>
            <w:proofErr w:type="spellEnd"/>
            <w:r w:rsidRPr="00ED4C94">
              <w:rPr>
                <w:bCs/>
              </w:rPr>
              <w:t xml:space="preserve"> </w:t>
            </w:r>
            <w:proofErr w:type="spellStart"/>
            <w:r w:rsidRPr="00ED4C94">
              <w:rPr>
                <w:bCs/>
              </w:rPr>
              <w:t>werden</w:t>
            </w:r>
            <w:proofErr w:type="spellEnd"/>
            <w:r w:rsidRPr="00ED4C94">
              <w:rPr>
                <w:bCs/>
              </w:rPr>
              <w:t xml:space="preserve"> </w:t>
            </w:r>
            <w:proofErr w:type="spellStart"/>
            <w:r w:rsidRPr="00ED4C94">
              <w:rPr>
                <w:bCs/>
              </w:rPr>
              <w:t>sollten</w:t>
            </w:r>
            <w:proofErr w:type="spellEnd"/>
            <w:r w:rsidRPr="00ED4C94">
              <w:rPr>
                <w:bCs/>
              </w:rPr>
              <w:t>:</w:t>
            </w:r>
          </w:p>
        </w:tc>
        <w:tc>
          <w:tcPr>
            <w:tcW w:w="1453" w:type="pct"/>
            <w:shd w:val="clear" w:color="auto" w:fill="FFF2CC" w:themeFill="accent4" w:themeFillTint="33"/>
          </w:tcPr>
          <w:p w14:paraId="3F13486D" w14:textId="77777777" w:rsidR="00984840" w:rsidRPr="00E73F6F" w:rsidRDefault="00984840" w:rsidP="00F07781">
            <w:pPr>
              <w:pStyle w:val="StandardText"/>
              <w:spacing w:after="120"/>
              <w:rPr>
                <w:b/>
              </w:rPr>
            </w:pPr>
          </w:p>
        </w:tc>
        <w:tc>
          <w:tcPr>
            <w:tcW w:w="1753" w:type="pct"/>
            <w:shd w:val="clear" w:color="auto" w:fill="FFF2CC" w:themeFill="accent4" w:themeFillTint="33"/>
          </w:tcPr>
          <w:p w14:paraId="61CE5D0E" w14:textId="77777777" w:rsidR="00984840" w:rsidRPr="00E73F6F" w:rsidRDefault="00984840" w:rsidP="00F07781">
            <w:pPr>
              <w:pStyle w:val="StandardText"/>
              <w:spacing w:after="120"/>
              <w:rPr>
                <w:b/>
              </w:rPr>
            </w:pPr>
          </w:p>
        </w:tc>
      </w:tr>
      <w:tr w:rsidR="00FF7799" w:rsidRPr="00E73F6F" w14:paraId="0D2307D4" w14:textId="77777777" w:rsidTr="00984840">
        <w:trPr>
          <w:trHeight w:val="224"/>
        </w:trPr>
        <w:tc>
          <w:tcPr>
            <w:tcW w:w="1794" w:type="pct"/>
          </w:tcPr>
          <w:p w14:paraId="2EB07CA9" w14:textId="77777777" w:rsidR="00FF7799" w:rsidRPr="00E73F6F" w:rsidRDefault="00FF7799" w:rsidP="00F07781">
            <w:pPr>
              <w:pStyle w:val="StandardText"/>
              <w:jc w:val="left"/>
              <w:rPr>
                <w:lang w:val="de-DE"/>
              </w:rPr>
            </w:pPr>
            <w:r w:rsidRPr="00E73F6F">
              <w:rPr>
                <w:lang w:val="de-DE"/>
              </w:rPr>
              <w:t>einfache Wortstruktur</w:t>
            </w:r>
          </w:p>
        </w:tc>
        <w:tc>
          <w:tcPr>
            <w:tcW w:w="1453" w:type="pct"/>
          </w:tcPr>
          <w:p w14:paraId="43AB3749" w14:textId="77777777" w:rsidR="00FF7799" w:rsidRPr="00E73F6F" w:rsidRDefault="00FF7799" w:rsidP="00F07781">
            <w:pPr>
              <w:pStyle w:val="StandardText"/>
              <w:jc w:val="left"/>
              <w:rPr>
                <w:lang w:val="de-DE"/>
              </w:rPr>
            </w:pPr>
            <w:r w:rsidRPr="00E73F6F">
              <w:rPr>
                <w:lang w:val="de-DE"/>
              </w:rPr>
              <w:t>KV,</w:t>
            </w:r>
            <w:r w:rsidRPr="00E73F6F">
              <w:rPr>
                <w:spacing w:val="1"/>
                <w:lang w:val="de-DE"/>
              </w:rPr>
              <w:t xml:space="preserve"> </w:t>
            </w:r>
            <w:r w:rsidRPr="00E73F6F">
              <w:rPr>
                <w:spacing w:val="-5"/>
                <w:lang w:val="de-DE"/>
              </w:rPr>
              <w:t>KVK</w:t>
            </w:r>
          </w:p>
        </w:tc>
        <w:tc>
          <w:tcPr>
            <w:tcW w:w="1753" w:type="pct"/>
          </w:tcPr>
          <w:p w14:paraId="1A74C7D5" w14:textId="77777777" w:rsidR="00FF7799" w:rsidRPr="00E73F6F" w:rsidRDefault="00FF7799" w:rsidP="00F07781">
            <w:pPr>
              <w:pStyle w:val="StandardText"/>
              <w:jc w:val="left"/>
              <w:rPr>
                <w:i/>
                <w:lang w:val="de-DE"/>
              </w:rPr>
            </w:pPr>
            <w:r w:rsidRPr="00E73F6F">
              <w:rPr>
                <w:i/>
                <w:lang w:val="de-DE"/>
              </w:rPr>
              <w:t>Sony,</w:t>
            </w:r>
            <w:r w:rsidRPr="00E73F6F">
              <w:rPr>
                <w:i/>
                <w:spacing w:val="2"/>
                <w:lang w:val="de-DE"/>
              </w:rPr>
              <w:t xml:space="preserve"> </w:t>
            </w:r>
            <w:r w:rsidRPr="00E73F6F">
              <w:rPr>
                <w:i/>
                <w:lang w:val="de-DE"/>
              </w:rPr>
              <w:t>Canon,</w:t>
            </w:r>
            <w:r w:rsidRPr="00E73F6F">
              <w:rPr>
                <w:i/>
                <w:spacing w:val="5"/>
                <w:lang w:val="de-DE"/>
              </w:rPr>
              <w:t xml:space="preserve"> </w:t>
            </w:r>
            <w:r w:rsidRPr="00E73F6F">
              <w:rPr>
                <w:i/>
                <w:lang w:val="de-DE"/>
              </w:rPr>
              <w:t>Coca-</w:t>
            </w:r>
            <w:r w:rsidRPr="00E73F6F">
              <w:rPr>
                <w:i/>
                <w:spacing w:val="-4"/>
                <w:lang w:val="de-DE"/>
              </w:rPr>
              <w:t>Cola</w:t>
            </w:r>
          </w:p>
        </w:tc>
      </w:tr>
      <w:tr w:rsidR="00FF7799" w:rsidRPr="00E73F6F" w14:paraId="721CDB16" w14:textId="77777777" w:rsidTr="00984840">
        <w:trPr>
          <w:trHeight w:val="224"/>
        </w:trPr>
        <w:tc>
          <w:tcPr>
            <w:tcW w:w="1794" w:type="pct"/>
          </w:tcPr>
          <w:p w14:paraId="13F01481" w14:textId="77777777" w:rsidR="00FF7799" w:rsidRPr="00E73F6F" w:rsidRDefault="00FF7799" w:rsidP="00F07781">
            <w:pPr>
              <w:pStyle w:val="StandardText"/>
              <w:jc w:val="left"/>
              <w:rPr>
                <w:lang w:val="de-DE"/>
              </w:rPr>
            </w:pPr>
            <w:r w:rsidRPr="00E73F6F">
              <w:rPr>
                <w:lang w:val="de-DE"/>
              </w:rPr>
              <w:t>universelle</w:t>
            </w:r>
            <w:r w:rsidRPr="00E73F6F">
              <w:rPr>
                <w:spacing w:val="3"/>
                <w:lang w:val="de-DE"/>
              </w:rPr>
              <w:t xml:space="preserve"> </w:t>
            </w:r>
            <w:r w:rsidRPr="00E73F6F">
              <w:rPr>
                <w:lang w:val="de-DE"/>
              </w:rPr>
              <w:t>Vokale</w:t>
            </w:r>
          </w:p>
        </w:tc>
        <w:tc>
          <w:tcPr>
            <w:tcW w:w="1453" w:type="pct"/>
          </w:tcPr>
          <w:p w14:paraId="7C4F4D16" w14:textId="77777777" w:rsidR="00FF7799" w:rsidRPr="00E73F6F" w:rsidRDefault="00FF7799" w:rsidP="00F07781">
            <w:pPr>
              <w:pStyle w:val="StandardText"/>
              <w:jc w:val="left"/>
              <w:rPr>
                <w:lang w:val="de-DE"/>
              </w:rPr>
            </w:pPr>
            <w:r w:rsidRPr="00E73F6F">
              <w:rPr>
                <w:lang w:val="de-DE"/>
              </w:rPr>
              <w:t>i, a,</w:t>
            </w:r>
            <w:r w:rsidRPr="00E73F6F">
              <w:rPr>
                <w:spacing w:val="1"/>
                <w:lang w:val="de-DE"/>
              </w:rPr>
              <w:t xml:space="preserve"> </w:t>
            </w:r>
            <w:r w:rsidRPr="00E73F6F">
              <w:rPr>
                <w:spacing w:val="-10"/>
                <w:lang w:val="de-DE"/>
              </w:rPr>
              <w:t>u</w:t>
            </w:r>
          </w:p>
        </w:tc>
        <w:tc>
          <w:tcPr>
            <w:tcW w:w="1753" w:type="pct"/>
          </w:tcPr>
          <w:p w14:paraId="094D35FD" w14:textId="77777777" w:rsidR="00FF7799" w:rsidRPr="00E73F6F" w:rsidRDefault="00FF7799" w:rsidP="00F07781">
            <w:pPr>
              <w:pStyle w:val="StandardText"/>
              <w:jc w:val="left"/>
              <w:rPr>
                <w:i/>
                <w:lang w:val="de-DE"/>
              </w:rPr>
            </w:pPr>
            <w:r w:rsidRPr="00E73F6F">
              <w:rPr>
                <w:i/>
                <w:lang w:val="de-DE"/>
              </w:rPr>
              <w:t>Adidas,</w:t>
            </w:r>
            <w:r w:rsidRPr="00E73F6F">
              <w:rPr>
                <w:i/>
                <w:spacing w:val="3"/>
                <w:lang w:val="de-DE"/>
              </w:rPr>
              <w:t xml:space="preserve"> </w:t>
            </w:r>
            <w:r w:rsidRPr="00E73F6F">
              <w:rPr>
                <w:i/>
                <w:lang w:val="de-DE"/>
              </w:rPr>
              <w:t>Milka,</w:t>
            </w:r>
            <w:r w:rsidRPr="00E73F6F">
              <w:rPr>
                <w:i/>
                <w:spacing w:val="3"/>
                <w:lang w:val="de-DE"/>
              </w:rPr>
              <w:t xml:space="preserve"> </w:t>
            </w:r>
            <w:r w:rsidRPr="00E73F6F">
              <w:rPr>
                <w:i/>
                <w:lang w:val="de-DE"/>
              </w:rPr>
              <w:t>Purissa</w:t>
            </w:r>
          </w:p>
        </w:tc>
      </w:tr>
      <w:tr w:rsidR="00FF7799" w:rsidRPr="00E73F6F" w14:paraId="66278211" w14:textId="77777777" w:rsidTr="00984840">
        <w:trPr>
          <w:trHeight w:val="224"/>
        </w:trPr>
        <w:tc>
          <w:tcPr>
            <w:tcW w:w="1794" w:type="pct"/>
          </w:tcPr>
          <w:p w14:paraId="580DD353" w14:textId="77777777" w:rsidR="00FF7799" w:rsidRPr="00E73F6F" w:rsidRDefault="00FF7799" w:rsidP="00F07781">
            <w:pPr>
              <w:pStyle w:val="StandardText"/>
              <w:jc w:val="left"/>
              <w:rPr>
                <w:lang w:val="de-DE"/>
              </w:rPr>
            </w:pPr>
            <w:r w:rsidRPr="00E73F6F">
              <w:rPr>
                <w:lang w:val="de-DE"/>
              </w:rPr>
              <w:t>universelle</w:t>
            </w:r>
            <w:r w:rsidRPr="00E73F6F">
              <w:rPr>
                <w:spacing w:val="3"/>
                <w:lang w:val="de-DE"/>
              </w:rPr>
              <w:t xml:space="preserve"> </w:t>
            </w:r>
            <w:r w:rsidRPr="00E73F6F">
              <w:rPr>
                <w:lang w:val="de-DE"/>
              </w:rPr>
              <w:t>Konsonanten</w:t>
            </w:r>
          </w:p>
        </w:tc>
        <w:tc>
          <w:tcPr>
            <w:tcW w:w="1453" w:type="pct"/>
          </w:tcPr>
          <w:p w14:paraId="25710C91" w14:textId="77777777" w:rsidR="00FF7799" w:rsidRPr="00E73F6F" w:rsidRDefault="00FF7799" w:rsidP="00F07781">
            <w:pPr>
              <w:pStyle w:val="StandardText"/>
              <w:jc w:val="left"/>
              <w:rPr>
                <w:lang w:val="de-DE"/>
              </w:rPr>
            </w:pPr>
            <w:r w:rsidRPr="00E73F6F">
              <w:rPr>
                <w:lang w:val="de-DE"/>
              </w:rPr>
              <w:t>k,</w:t>
            </w:r>
            <w:r w:rsidRPr="00E73F6F">
              <w:rPr>
                <w:spacing w:val="-1"/>
                <w:lang w:val="de-DE"/>
              </w:rPr>
              <w:t xml:space="preserve"> </w:t>
            </w:r>
            <w:r w:rsidRPr="00E73F6F">
              <w:rPr>
                <w:lang w:val="de-DE"/>
              </w:rPr>
              <w:t>p,</w:t>
            </w:r>
            <w:r w:rsidRPr="00E73F6F">
              <w:rPr>
                <w:spacing w:val="1"/>
                <w:lang w:val="de-DE"/>
              </w:rPr>
              <w:t xml:space="preserve"> </w:t>
            </w:r>
            <w:r w:rsidRPr="00E73F6F">
              <w:rPr>
                <w:spacing w:val="-12"/>
                <w:lang w:val="de-DE"/>
              </w:rPr>
              <w:t>t</w:t>
            </w:r>
          </w:p>
        </w:tc>
        <w:tc>
          <w:tcPr>
            <w:tcW w:w="1753" w:type="pct"/>
          </w:tcPr>
          <w:p w14:paraId="7CFBE25A" w14:textId="77777777" w:rsidR="00FF7799" w:rsidRPr="00E73F6F" w:rsidRDefault="00FF7799" w:rsidP="00F07781">
            <w:pPr>
              <w:pStyle w:val="StandardText"/>
              <w:jc w:val="left"/>
              <w:rPr>
                <w:i/>
                <w:lang w:val="de-DE"/>
              </w:rPr>
            </w:pPr>
            <w:r w:rsidRPr="00E73F6F">
              <w:rPr>
                <w:i/>
                <w:lang w:val="de-DE"/>
              </w:rPr>
              <w:t>Kodak,</w:t>
            </w:r>
            <w:r w:rsidRPr="00E73F6F">
              <w:rPr>
                <w:i/>
                <w:spacing w:val="2"/>
                <w:lang w:val="de-DE"/>
              </w:rPr>
              <w:t xml:space="preserve"> </w:t>
            </w:r>
            <w:r w:rsidRPr="00E73F6F">
              <w:rPr>
                <w:i/>
                <w:lang w:val="de-DE"/>
              </w:rPr>
              <w:t>Toyota,</w:t>
            </w:r>
            <w:r w:rsidRPr="00E73F6F">
              <w:rPr>
                <w:i/>
                <w:spacing w:val="4"/>
                <w:lang w:val="de-DE"/>
              </w:rPr>
              <w:t xml:space="preserve"> </w:t>
            </w:r>
            <w:r w:rsidRPr="00E73F6F">
              <w:rPr>
                <w:i/>
                <w:lang w:val="de-DE"/>
              </w:rPr>
              <w:t>Bacardi</w:t>
            </w:r>
          </w:p>
        </w:tc>
      </w:tr>
      <w:tr w:rsidR="00FF7799" w:rsidRPr="00E73F6F" w14:paraId="24BF7A18" w14:textId="77777777" w:rsidTr="00984840">
        <w:trPr>
          <w:trHeight w:val="224"/>
        </w:trPr>
        <w:tc>
          <w:tcPr>
            <w:tcW w:w="1794" w:type="pct"/>
          </w:tcPr>
          <w:p w14:paraId="14B5AB42" w14:textId="77777777" w:rsidR="00FF7799" w:rsidRPr="00E73F6F" w:rsidRDefault="00FF7799" w:rsidP="00F07781">
            <w:pPr>
              <w:pStyle w:val="StandardText"/>
              <w:jc w:val="left"/>
              <w:rPr>
                <w:lang w:val="de-DE"/>
              </w:rPr>
            </w:pPr>
            <w:r w:rsidRPr="00E73F6F">
              <w:rPr>
                <w:lang w:val="de-DE"/>
              </w:rPr>
              <w:t>begrenzte Silbenanzahl</w:t>
            </w:r>
          </w:p>
        </w:tc>
        <w:tc>
          <w:tcPr>
            <w:tcW w:w="1453" w:type="pct"/>
          </w:tcPr>
          <w:p w14:paraId="1877B7BB" w14:textId="77777777" w:rsidR="00FF7799" w:rsidRPr="00E73F6F" w:rsidRDefault="00FF7799" w:rsidP="00F07781">
            <w:pPr>
              <w:pStyle w:val="StandardText"/>
              <w:jc w:val="left"/>
              <w:rPr>
                <w:lang w:val="de-DE"/>
              </w:rPr>
            </w:pPr>
            <w:r w:rsidRPr="00E73F6F">
              <w:rPr>
                <w:lang w:val="de-DE"/>
              </w:rPr>
              <w:t>zwei</w:t>
            </w:r>
            <w:r w:rsidRPr="00E73F6F">
              <w:rPr>
                <w:spacing w:val="-1"/>
                <w:lang w:val="de-DE"/>
              </w:rPr>
              <w:t xml:space="preserve"> </w:t>
            </w:r>
            <w:r w:rsidRPr="00E73F6F">
              <w:rPr>
                <w:lang w:val="de-DE"/>
              </w:rPr>
              <w:t>bis</w:t>
            </w:r>
            <w:r w:rsidRPr="00E73F6F">
              <w:rPr>
                <w:spacing w:val="3"/>
                <w:lang w:val="de-DE"/>
              </w:rPr>
              <w:t xml:space="preserve"> </w:t>
            </w:r>
            <w:r w:rsidRPr="00E73F6F">
              <w:rPr>
                <w:spacing w:val="-4"/>
                <w:lang w:val="de-DE"/>
              </w:rPr>
              <w:t>drei</w:t>
            </w:r>
          </w:p>
        </w:tc>
        <w:tc>
          <w:tcPr>
            <w:tcW w:w="1753" w:type="pct"/>
          </w:tcPr>
          <w:p w14:paraId="43D02F9D" w14:textId="77777777" w:rsidR="00FF7799" w:rsidRPr="00E73F6F" w:rsidRDefault="00FF7799" w:rsidP="00F07781">
            <w:pPr>
              <w:pStyle w:val="StandardText"/>
              <w:jc w:val="left"/>
              <w:rPr>
                <w:i/>
                <w:lang w:val="de-DE"/>
              </w:rPr>
            </w:pPr>
            <w:r w:rsidRPr="00E73F6F">
              <w:rPr>
                <w:i/>
                <w:lang w:val="de-DE"/>
              </w:rPr>
              <w:t>Twix,</w:t>
            </w:r>
            <w:r w:rsidRPr="00E73F6F">
              <w:rPr>
                <w:i/>
                <w:spacing w:val="4"/>
                <w:lang w:val="de-DE"/>
              </w:rPr>
              <w:t xml:space="preserve"> </w:t>
            </w:r>
            <w:r w:rsidRPr="00E73F6F">
              <w:rPr>
                <w:i/>
                <w:lang w:val="de-DE"/>
              </w:rPr>
              <w:t>Twingo,</w:t>
            </w:r>
            <w:r w:rsidRPr="00E73F6F">
              <w:rPr>
                <w:i/>
                <w:spacing w:val="4"/>
                <w:lang w:val="de-DE"/>
              </w:rPr>
              <w:t xml:space="preserve"> </w:t>
            </w:r>
            <w:r w:rsidRPr="00E73F6F">
              <w:rPr>
                <w:i/>
                <w:lang w:val="de-DE"/>
              </w:rPr>
              <w:t>Armani</w:t>
            </w:r>
          </w:p>
        </w:tc>
      </w:tr>
      <w:tr w:rsidR="00FF7799" w:rsidRPr="00E73F6F" w14:paraId="3A66DC33" w14:textId="77777777" w:rsidTr="00984840">
        <w:trPr>
          <w:trHeight w:val="223"/>
        </w:trPr>
        <w:tc>
          <w:tcPr>
            <w:tcW w:w="1794" w:type="pct"/>
          </w:tcPr>
          <w:p w14:paraId="60BBBF50" w14:textId="77777777" w:rsidR="00FF7799" w:rsidRPr="00E73F6F" w:rsidRDefault="00FF7799" w:rsidP="00F07781">
            <w:pPr>
              <w:pStyle w:val="StandardText"/>
              <w:jc w:val="left"/>
              <w:rPr>
                <w:lang w:val="de-DE"/>
              </w:rPr>
            </w:pPr>
            <w:r w:rsidRPr="00E73F6F">
              <w:rPr>
                <w:lang w:val="de-DE"/>
              </w:rPr>
              <w:t>typische Wortendung</w:t>
            </w:r>
          </w:p>
        </w:tc>
        <w:tc>
          <w:tcPr>
            <w:tcW w:w="1453" w:type="pct"/>
          </w:tcPr>
          <w:p w14:paraId="1DA73CAD" w14:textId="77777777" w:rsidR="00FF7799" w:rsidRPr="00E73F6F" w:rsidRDefault="00FF7799" w:rsidP="00F07781">
            <w:pPr>
              <w:pStyle w:val="StandardText"/>
              <w:jc w:val="left"/>
              <w:rPr>
                <w:lang w:val="de-DE"/>
              </w:rPr>
            </w:pPr>
            <w:r w:rsidRPr="00E73F6F">
              <w:rPr>
                <w:lang w:val="de-DE"/>
              </w:rPr>
              <w:t>Vokale</w:t>
            </w:r>
            <w:r w:rsidRPr="00E73F6F">
              <w:rPr>
                <w:spacing w:val="-1"/>
                <w:lang w:val="de-DE"/>
              </w:rPr>
              <w:t xml:space="preserve"> </w:t>
            </w:r>
            <w:r w:rsidRPr="00E73F6F">
              <w:rPr>
                <w:lang w:val="de-DE"/>
              </w:rPr>
              <w:t>-o,</w:t>
            </w:r>
            <w:r w:rsidRPr="00E73F6F">
              <w:rPr>
                <w:spacing w:val="2"/>
                <w:lang w:val="de-DE"/>
              </w:rPr>
              <w:t xml:space="preserve"> </w:t>
            </w:r>
            <w:r w:rsidRPr="00E73F6F">
              <w:rPr>
                <w:lang w:val="de-DE"/>
              </w:rPr>
              <w:t>-</w:t>
            </w:r>
            <w:r w:rsidRPr="00E73F6F">
              <w:rPr>
                <w:spacing w:val="-12"/>
                <w:lang w:val="de-DE"/>
              </w:rPr>
              <w:t>a</w:t>
            </w:r>
          </w:p>
        </w:tc>
        <w:tc>
          <w:tcPr>
            <w:tcW w:w="1753" w:type="pct"/>
          </w:tcPr>
          <w:p w14:paraId="33CF7FCE" w14:textId="77777777" w:rsidR="00FF7799" w:rsidRPr="00E73F6F" w:rsidRDefault="00FF7799" w:rsidP="00F07781">
            <w:pPr>
              <w:pStyle w:val="StandardText"/>
              <w:jc w:val="left"/>
              <w:rPr>
                <w:i/>
                <w:lang w:val="de-DE"/>
              </w:rPr>
            </w:pPr>
            <w:r w:rsidRPr="00E73F6F">
              <w:rPr>
                <w:i/>
                <w:lang w:val="de-DE"/>
              </w:rPr>
              <w:t>Tabasco,</w:t>
            </w:r>
            <w:r w:rsidRPr="00E73F6F">
              <w:rPr>
                <w:i/>
                <w:spacing w:val="2"/>
                <w:lang w:val="de-DE"/>
              </w:rPr>
              <w:t xml:space="preserve"> </w:t>
            </w:r>
            <w:r w:rsidRPr="00E73F6F">
              <w:rPr>
                <w:i/>
                <w:lang w:val="de-DE"/>
              </w:rPr>
              <w:t>Nokia,</w:t>
            </w:r>
            <w:r w:rsidRPr="00E73F6F">
              <w:rPr>
                <w:i/>
                <w:spacing w:val="4"/>
                <w:lang w:val="de-DE"/>
              </w:rPr>
              <w:t xml:space="preserve"> </w:t>
            </w:r>
            <w:r w:rsidRPr="00E73F6F">
              <w:rPr>
                <w:i/>
                <w:spacing w:val="-4"/>
                <w:lang w:val="de-DE"/>
              </w:rPr>
              <w:t>Polo</w:t>
            </w:r>
          </w:p>
        </w:tc>
      </w:tr>
      <w:tr w:rsidR="00FF7799" w:rsidRPr="00E73F6F" w14:paraId="63362598" w14:textId="77777777" w:rsidTr="00984840">
        <w:trPr>
          <w:trHeight w:val="224"/>
        </w:trPr>
        <w:tc>
          <w:tcPr>
            <w:tcW w:w="1794" w:type="pct"/>
          </w:tcPr>
          <w:p w14:paraId="171A6C9E" w14:textId="77777777" w:rsidR="00FF7799" w:rsidRPr="00E73F6F" w:rsidRDefault="00FF7799" w:rsidP="00F07781">
            <w:pPr>
              <w:pStyle w:val="StandardText"/>
              <w:jc w:val="left"/>
              <w:rPr>
                <w:lang w:val="de-DE"/>
              </w:rPr>
            </w:pPr>
            <w:r w:rsidRPr="00E73F6F">
              <w:rPr>
                <w:lang w:val="de-DE"/>
              </w:rPr>
              <w:t>positive</w:t>
            </w:r>
            <w:r w:rsidRPr="00E73F6F">
              <w:rPr>
                <w:spacing w:val="2"/>
                <w:lang w:val="de-DE"/>
              </w:rPr>
              <w:t xml:space="preserve"> </w:t>
            </w:r>
            <w:r w:rsidRPr="00E73F6F">
              <w:rPr>
                <w:lang w:val="de-DE"/>
              </w:rPr>
              <w:t>oder</w:t>
            </w:r>
            <w:r w:rsidRPr="00E73F6F">
              <w:rPr>
                <w:spacing w:val="2"/>
                <w:lang w:val="de-DE"/>
              </w:rPr>
              <w:t xml:space="preserve"> </w:t>
            </w:r>
            <w:r w:rsidRPr="00E73F6F">
              <w:rPr>
                <w:lang w:val="de-DE"/>
              </w:rPr>
              <w:t>neutrale</w:t>
            </w:r>
            <w:r w:rsidRPr="00E73F6F">
              <w:rPr>
                <w:spacing w:val="1"/>
                <w:lang w:val="de-DE"/>
              </w:rPr>
              <w:t xml:space="preserve"> </w:t>
            </w:r>
            <w:r w:rsidRPr="00E73F6F">
              <w:rPr>
                <w:lang w:val="de-DE"/>
              </w:rPr>
              <w:t>Zahlen</w:t>
            </w:r>
          </w:p>
        </w:tc>
        <w:tc>
          <w:tcPr>
            <w:tcW w:w="1453" w:type="pct"/>
          </w:tcPr>
          <w:p w14:paraId="6BC5A5F0" w14:textId="77777777" w:rsidR="00FF7799" w:rsidRPr="00E73F6F" w:rsidRDefault="00FF7799" w:rsidP="00F07781">
            <w:pPr>
              <w:pStyle w:val="StandardText"/>
              <w:jc w:val="left"/>
              <w:rPr>
                <w:lang w:val="de-DE"/>
              </w:rPr>
            </w:pPr>
            <w:r w:rsidRPr="00E73F6F">
              <w:rPr>
                <w:lang w:val="de-DE"/>
              </w:rPr>
              <w:t>1,</w:t>
            </w:r>
            <w:r w:rsidRPr="00E73F6F">
              <w:rPr>
                <w:spacing w:val="-1"/>
                <w:lang w:val="de-DE"/>
              </w:rPr>
              <w:t xml:space="preserve"> </w:t>
            </w:r>
            <w:r w:rsidRPr="00E73F6F">
              <w:rPr>
                <w:lang w:val="de-DE"/>
              </w:rPr>
              <w:t>5,</w:t>
            </w:r>
            <w:r w:rsidRPr="00E73F6F">
              <w:rPr>
                <w:spacing w:val="1"/>
                <w:lang w:val="de-DE"/>
              </w:rPr>
              <w:t xml:space="preserve"> </w:t>
            </w:r>
            <w:r w:rsidRPr="00E73F6F">
              <w:rPr>
                <w:lang w:val="de-DE"/>
              </w:rPr>
              <w:t>7,</w:t>
            </w:r>
            <w:r w:rsidRPr="00E73F6F">
              <w:rPr>
                <w:spacing w:val="1"/>
                <w:lang w:val="de-DE"/>
              </w:rPr>
              <w:t xml:space="preserve"> </w:t>
            </w:r>
            <w:r w:rsidRPr="00E73F6F">
              <w:rPr>
                <w:spacing w:val="-10"/>
                <w:lang w:val="de-DE"/>
              </w:rPr>
              <w:t>8</w:t>
            </w:r>
          </w:p>
        </w:tc>
        <w:tc>
          <w:tcPr>
            <w:tcW w:w="1753" w:type="pct"/>
          </w:tcPr>
          <w:p w14:paraId="187BDF67" w14:textId="77777777" w:rsidR="00FF7799" w:rsidRPr="00E73F6F" w:rsidRDefault="00FF7799" w:rsidP="00F07781">
            <w:pPr>
              <w:pStyle w:val="StandardText"/>
              <w:jc w:val="left"/>
              <w:rPr>
                <w:i/>
                <w:lang w:val="de-DE"/>
              </w:rPr>
            </w:pPr>
            <w:r w:rsidRPr="00E73F6F">
              <w:rPr>
                <w:i/>
                <w:lang w:val="de-DE"/>
              </w:rPr>
              <w:t>CK1,</w:t>
            </w:r>
            <w:r w:rsidRPr="00E73F6F">
              <w:rPr>
                <w:i/>
                <w:spacing w:val="2"/>
                <w:lang w:val="de-DE"/>
              </w:rPr>
              <w:t xml:space="preserve"> </w:t>
            </w:r>
            <w:r w:rsidRPr="00E73F6F">
              <w:rPr>
                <w:i/>
                <w:lang w:val="de-DE"/>
              </w:rPr>
              <w:t>Chanel</w:t>
            </w:r>
            <w:r w:rsidRPr="00E73F6F">
              <w:rPr>
                <w:i/>
                <w:spacing w:val="1"/>
                <w:lang w:val="de-DE"/>
              </w:rPr>
              <w:t xml:space="preserve"> </w:t>
            </w:r>
            <w:r w:rsidRPr="00E73F6F">
              <w:rPr>
                <w:i/>
                <w:lang w:val="de-DE"/>
              </w:rPr>
              <w:t>Nr.</w:t>
            </w:r>
            <w:r w:rsidRPr="00E73F6F">
              <w:rPr>
                <w:i/>
                <w:spacing w:val="4"/>
                <w:lang w:val="de-DE"/>
              </w:rPr>
              <w:t xml:space="preserve"> </w:t>
            </w:r>
            <w:r w:rsidRPr="00E73F6F">
              <w:rPr>
                <w:i/>
                <w:lang w:val="de-DE"/>
              </w:rPr>
              <w:t>5,</w:t>
            </w:r>
            <w:r w:rsidRPr="00E73F6F">
              <w:rPr>
                <w:i/>
                <w:spacing w:val="2"/>
                <w:lang w:val="de-DE"/>
              </w:rPr>
              <w:t xml:space="preserve"> </w:t>
            </w:r>
            <w:r w:rsidRPr="00E73F6F">
              <w:rPr>
                <w:i/>
                <w:lang w:val="de-DE"/>
              </w:rPr>
              <w:t>Boeing</w:t>
            </w:r>
            <w:r w:rsidRPr="00E73F6F">
              <w:rPr>
                <w:i/>
                <w:spacing w:val="1"/>
                <w:lang w:val="de-DE"/>
              </w:rPr>
              <w:t xml:space="preserve"> </w:t>
            </w:r>
            <w:r w:rsidRPr="00E73F6F">
              <w:rPr>
                <w:i/>
                <w:spacing w:val="-5"/>
                <w:lang w:val="de-DE"/>
              </w:rPr>
              <w:t>737</w:t>
            </w:r>
          </w:p>
        </w:tc>
      </w:tr>
      <w:tr w:rsidR="00FF7799" w:rsidRPr="00E73F6F" w14:paraId="7565042D" w14:textId="77777777" w:rsidTr="00984840">
        <w:trPr>
          <w:trHeight w:val="224"/>
        </w:trPr>
        <w:tc>
          <w:tcPr>
            <w:tcW w:w="1794" w:type="pct"/>
          </w:tcPr>
          <w:p w14:paraId="2F4D1462" w14:textId="77777777" w:rsidR="00FF7799" w:rsidRPr="00E73F6F" w:rsidRDefault="00FF7799" w:rsidP="00F07781">
            <w:pPr>
              <w:pStyle w:val="StandardText"/>
              <w:jc w:val="left"/>
              <w:rPr>
                <w:lang w:val="de-DE"/>
              </w:rPr>
            </w:pPr>
            <w:r w:rsidRPr="00E73F6F">
              <w:rPr>
                <w:lang w:val="de-DE"/>
              </w:rPr>
              <w:t>Begriffe</w:t>
            </w:r>
            <w:r w:rsidRPr="00E73F6F">
              <w:rPr>
                <w:spacing w:val="-3"/>
                <w:lang w:val="de-DE"/>
              </w:rPr>
              <w:t xml:space="preserve"> </w:t>
            </w:r>
            <w:r w:rsidRPr="00E73F6F">
              <w:rPr>
                <w:lang w:val="de-DE"/>
              </w:rPr>
              <w:t>des</w:t>
            </w:r>
            <w:r w:rsidRPr="00E73F6F">
              <w:rPr>
                <w:spacing w:val="2"/>
                <w:lang w:val="de-DE"/>
              </w:rPr>
              <w:t xml:space="preserve"> </w:t>
            </w:r>
            <w:r w:rsidRPr="00E73F6F">
              <w:rPr>
                <w:lang w:val="de-DE"/>
              </w:rPr>
              <w:t>Globalen</w:t>
            </w:r>
            <w:r w:rsidRPr="00E73F6F">
              <w:rPr>
                <w:spacing w:val="3"/>
                <w:lang w:val="de-DE"/>
              </w:rPr>
              <w:t xml:space="preserve"> </w:t>
            </w:r>
            <w:r w:rsidRPr="00E73F6F">
              <w:rPr>
                <w:lang w:val="de-DE"/>
              </w:rPr>
              <w:t>Lexikon</w:t>
            </w:r>
          </w:p>
        </w:tc>
        <w:tc>
          <w:tcPr>
            <w:tcW w:w="1453" w:type="pct"/>
          </w:tcPr>
          <w:p w14:paraId="3B13B71D" w14:textId="77777777" w:rsidR="00FF7799" w:rsidRPr="00E73F6F" w:rsidRDefault="00FF7799" w:rsidP="00F07781">
            <w:pPr>
              <w:pStyle w:val="StandardText"/>
              <w:jc w:val="left"/>
              <w:rPr>
                <w:lang w:val="de-DE"/>
              </w:rPr>
            </w:pPr>
            <w:r w:rsidRPr="00E73F6F">
              <w:rPr>
                <w:lang w:val="de-DE"/>
              </w:rPr>
              <w:t>Latein,</w:t>
            </w:r>
            <w:r w:rsidRPr="00E73F6F">
              <w:rPr>
                <w:spacing w:val="3"/>
                <w:lang w:val="de-DE"/>
              </w:rPr>
              <w:t xml:space="preserve"> </w:t>
            </w:r>
            <w:r w:rsidRPr="00E73F6F">
              <w:rPr>
                <w:lang w:val="de-DE"/>
              </w:rPr>
              <w:t>„geborgte“ Wörter</w:t>
            </w:r>
          </w:p>
        </w:tc>
        <w:tc>
          <w:tcPr>
            <w:tcW w:w="1753" w:type="pct"/>
          </w:tcPr>
          <w:p w14:paraId="7E64A042" w14:textId="77777777" w:rsidR="00FF7799" w:rsidRPr="00E73F6F" w:rsidRDefault="00FF7799" w:rsidP="00F07781">
            <w:pPr>
              <w:pStyle w:val="StandardText"/>
              <w:jc w:val="left"/>
              <w:rPr>
                <w:i/>
                <w:lang w:val="de-DE"/>
              </w:rPr>
            </w:pPr>
            <w:r w:rsidRPr="00E73F6F">
              <w:rPr>
                <w:i/>
                <w:lang w:val="de-DE"/>
              </w:rPr>
              <w:t>Magnum,</w:t>
            </w:r>
            <w:r w:rsidRPr="00E73F6F">
              <w:rPr>
                <w:i/>
                <w:spacing w:val="1"/>
                <w:lang w:val="de-DE"/>
              </w:rPr>
              <w:t xml:space="preserve"> </w:t>
            </w:r>
            <w:r w:rsidRPr="00E73F6F">
              <w:rPr>
                <w:i/>
                <w:lang w:val="de-DE"/>
              </w:rPr>
              <w:t>Mon</w:t>
            </w:r>
            <w:r w:rsidRPr="00E73F6F">
              <w:rPr>
                <w:i/>
                <w:spacing w:val="2"/>
                <w:lang w:val="de-DE"/>
              </w:rPr>
              <w:t xml:space="preserve"> </w:t>
            </w:r>
            <w:r w:rsidRPr="00E73F6F">
              <w:rPr>
                <w:i/>
                <w:lang w:val="de-DE"/>
              </w:rPr>
              <w:t>Chéri,</w:t>
            </w:r>
            <w:r w:rsidRPr="00E73F6F">
              <w:rPr>
                <w:i/>
                <w:spacing w:val="4"/>
                <w:lang w:val="de-DE"/>
              </w:rPr>
              <w:t xml:space="preserve"> </w:t>
            </w:r>
            <w:r w:rsidRPr="00E73F6F">
              <w:rPr>
                <w:i/>
                <w:spacing w:val="-4"/>
                <w:lang w:val="de-DE"/>
              </w:rPr>
              <w:t>Mars</w:t>
            </w:r>
          </w:p>
        </w:tc>
      </w:tr>
      <w:tr w:rsidR="00FF7799" w:rsidRPr="00E73F6F" w14:paraId="7ACDF458" w14:textId="77777777" w:rsidTr="00984840">
        <w:trPr>
          <w:trHeight w:val="224"/>
        </w:trPr>
        <w:tc>
          <w:tcPr>
            <w:tcW w:w="1794" w:type="pct"/>
            <w:shd w:val="clear" w:color="auto" w:fill="FFF2CC" w:themeFill="accent4" w:themeFillTint="33"/>
          </w:tcPr>
          <w:p w14:paraId="3F5E2A75" w14:textId="3715A56F" w:rsidR="00FF7799" w:rsidRPr="00E73F6F" w:rsidRDefault="00FF7799" w:rsidP="00F07781">
            <w:pPr>
              <w:pStyle w:val="StandardText"/>
              <w:spacing w:after="120"/>
              <w:jc w:val="left"/>
              <w:rPr>
                <w:lang w:val="de-DE"/>
              </w:rPr>
            </w:pPr>
            <w:r w:rsidRPr="00E73F6F">
              <w:rPr>
                <w:lang w:val="de-DE"/>
              </w:rPr>
              <w:t>Verm</w:t>
            </w:r>
            <w:r w:rsidR="00ED4C94">
              <w:rPr>
                <w:lang w:val="de-DE"/>
              </w:rPr>
              <w:t>ie</w:t>
            </w:r>
            <w:r w:rsidRPr="00E73F6F">
              <w:rPr>
                <w:lang w:val="de-DE"/>
              </w:rPr>
              <w:t>den</w:t>
            </w:r>
            <w:r w:rsidRPr="00E73F6F">
              <w:rPr>
                <w:spacing w:val="2"/>
                <w:lang w:val="de-DE"/>
              </w:rPr>
              <w:t xml:space="preserve"> </w:t>
            </w:r>
            <w:r w:rsidR="00ED4C94">
              <w:rPr>
                <w:spacing w:val="2"/>
                <w:lang w:val="de-DE"/>
              </w:rPr>
              <w:t>werden sollten:</w:t>
            </w:r>
          </w:p>
        </w:tc>
        <w:tc>
          <w:tcPr>
            <w:tcW w:w="1453" w:type="pct"/>
            <w:shd w:val="clear" w:color="auto" w:fill="FFF2CC" w:themeFill="accent4" w:themeFillTint="33"/>
          </w:tcPr>
          <w:p w14:paraId="1A8FAAF0" w14:textId="77777777" w:rsidR="00FF7799" w:rsidRPr="00E73F6F" w:rsidRDefault="00FF7799" w:rsidP="00F07781">
            <w:pPr>
              <w:pStyle w:val="StandardText"/>
              <w:spacing w:after="120"/>
              <w:jc w:val="left"/>
              <w:rPr>
                <w:lang w:val="de-DE"/>
              </w:rPr>
            </w:pPr>
          </w:p>
        </w:tc>
        <w:tc>
          <w:tcPr>
            <w:tcW w:w="1753" w:type="pct"/>
            <w:shd w:val="clear" w:color="auto" w:fill="FFF2CC" w:themeFill="accent4" w:themeFillTint="33"/>
          </w:tcPr>
          <w:p w14:paraId="149D8A43" w14:textId="77777777" w:rsidR="00FF7799" w:rsidRPr="00E73F6F" w:rsidRDefault="00FF7799" w:rsidP="00F07781">
            <w:pPr>
              <w:pStyle w:val="StandardText"/>
              <w:spacing w:after="120"/>
              <w:jc w:val="left"/>
              <w:rPr>
                <w:lang w:val="de-DE"/>
              </w:rPr>
            </w:pPr>
          </w:p>
        </w:tc>
      </w:tr>
      <w:tr w:rsidR="00FF7799" w:rsidRPr="00E73F6F" w14:paraId="4A3BA26E" w14:textId="77777777" w:rsidTr="00984840">
        <w:trPr>
          <w:trHeight w:val="224"/>
        </w:trPr>
        <w:tc>
          <w:tcPr>
            <w:tcW w:w="1794" w:type="pct"/>
          </w:tcPr>
          <w:p w14:paraId="4A23C329" w14:textId="77777777" w:rsidR="00FF7799" w:rsidRPr="00E73F6F" w:rsidRDefault="00FF7799" w:rsidP="00F07781">
            <w:pPr>
              <w:pStyle w:val="StandardText"/>
              <w:jc w:val="left"/>
              <w:rPr>
                <w:lang w:val="de-DE"/>
              </w:rPr>
            </w:pPr>
            <w:r w:rsidRPr="00E73F6F">
              <w:rPr>
                <w:lang w:val="de-DE"/>
              </w:rPr>
              <w:t>Vokal-Aneinanderreihung</w:t>
            </w:r>
          </w:p>
        </w:tc>
        <w:tc>
          <w:tcPr>
            <w:tcW w:w="1453" w:type="pct"/>
          </w:tcPr>
          <w:p w14:paraId="5902EB03" w14:textId="77777777" w:rsidR="00FF7799" w:rsidRPr="00E73F6F" w:rsidRDefault="00FF7799" w:rsidP="00F07781">
            <w:pPr>
              <w:pStyle w:val="StandardText"/>
              <w:jc w:val="left"/>
              <w:rPr>
                <w:lang w:val="de-DE"/>
              </w:rPr>
            </w:pPr>
            <w:r w:rsidRPr="00E73F6F">
              <w:rPr>
                <w:lang w:val="de-DE"/>
              </w:rPr>
              <w:t>KVVVK</w:t>
            </w:r>
          </w:p>
        </w:tc>
        <w:tc>
          <w:tcPr>
            <w:tcW w:w="1753" w:type="pct"/>
          </w:tcPr>
          <w:p w14:paraId="5FFEBA3D" w14:textId="77777777" w:rsidR="00FF7799" w:rsidRPr="00E73F6F" w:rsidRDefault="00FF7799" w:rsidP="00F07781">
            <w:pPr>
              <w:pStyle w:val="StandardText"/>
              <w:jc w:val="left"/>
              <w:rPr>
                <w:i/>
                <w:lang w:val="de-DE"/>
              </w:rPr>
            </w:pPr>
            <w:r w:rsidRPr="00E73F6F">
              <w:rPr>
                <w:i/>
                <w:lang w:val="de-DE"/>
              </w:rPr>
              <w:t>Peugeot,</w:t>
            </w:r>
            <w:r w:rsidRPr="00E73F6F">
              <w:rPr>
                <w:i/>
                <w:spacing w:val="2"/>
                <w:lang w:val="de-DE"/>
              </w:rPr>
              <w:t xml:space="preserve"> </w:t>
            </w:r>
            <w:r w:rsidRPr="00E73F6F">
              <w:rPr>
                <w:i/>
                <w:lang w:val="de-DE"/>
              </w:rPr>
              <w:t>Daewoo</w:t>
            </w:r>
          </w:p>
        </w:tc>
      </w:tr>
      <w:tr w:rsidR="00FF7799" w:rsidRPr="00E73F6F" w14:paraId="1076B36B" w14:textId="77777777" w:rsidTr="00984840">
        <w:trPr>
          <w:trHeight w:val="224"/>
        </w:trPr>
        <w:tc>
          <w:tcPr>
            <w:tcW w:w="1794" w:type="pct"/>
          </w:tcPr>
          <w:p w14:paraId="6CD341DB" w14:textId="708582B0" w:rsidR="00FF7799" w:rsidRPr="00E73F6F" w:rsidRDefault="00FF7799" w:rsidP="00F07781">
            <w:pPr>
              <w:pStyle w:val="StandardText"/>
              <w:jc w:val="left"/>
              <w:rPr>
                <w:lang w:val="de-DE"/>
              </w:rPr>
            </w:pPr>
            <w:r w:rsidRPr="00E73F6F">
              <w:rPr>
                <w:lang w:val="de-DE"/>
              </w:rPr>
              <w:t>Konsonanten-Aneinander</w:t>
            </w:r>
            <w:r w:rsidR="00AB3FAA">
              <w:rPr>
                <w:lang w:val="de-DE"/>
              </w:rPr>
              <w:t xml:space="preserve">-     </w:t>
            </w:r>
            <w:r w:rsidRPr="00E73F6F">
              <w:rPr>
                <w:lang w:val="de-DE"/>
              </w:rPr>
              <w:t>reihung</w:t>
            </w:r>
          </w:p>
        </w:tc>
        <w:tc>
          <w:tcPr>
            <w:tcW w:w="1453" w:type="pct"/>
          </w:tcPr>
          <w:p w14:paraId="7F925DF9" w14:textId="77777777" w:rsidR="00FF7799" w:rsidRPr="00E73F6F" w:rsidRDefault="00FF7799" w:rsidP="00F07781">
            <w:pPr>
              <w:pStyle w:val="StandardText"/>
              <w:jc w:val="left"/>
              <w:rPr>
                <w:lang w:val="de-DE"/>
              </w:rPr>
            </w:pPr>
            <w:r w:rsidRPr="00E73F6F">
              <w:rPr>
                <w:lang w:val="de-DE"/>
              </w:rPr>
              <w:t>KVKKK</w:t>
            </w:r>
          </w:p>
        </w:tc>
        <w:tc>
          <w:tcPr>
            <w:tcW w:w="1753" w:type="pct"/>
          </w:tcPr>
          <w:p w14:paraId="2D2C1D8F" w14:textId="77777777" w:rsidR="00FF7799" w:rsidRPr="00E73F6F" w:rsidRDefault="00FF7799" w:rsidP="00F07781">
            <w:pPr>
              <w:pStyle w:val="StandardText"/>
              <w:jc w:val="left"/>
              <w:rPr>
                <w:i/>
                <w:lang w:val="de-DE"/>
              </w:rPr>
            </w:pPr>
            <w:r w:rsidRPr="00E73F6F">
              <w:rPr>
                <w:i/>
                <w:lang w:val="de-DE"/>
              </w:rPr>
              <w:t>Hertz,</w:t>
            </w:r>
            <w:r w:rsidRPr="00E73F6F">
              <w:rPr>
                <w:i/>
                <w:spacing w:val="1"/>
                <w:lang w:val="de-DE"/>
              </w:rPr>
              <w:t xml:space="preserve"> </w:t>
            </w:r>
            <w:r w:rsidRPr="00E73F6F">
              <w:rPr>
                <w:i/>
                <w:lang w:val="de-DE"/>
              </w:rPr>
              <w:t>Vectra,</w:t>
            </w:r>
            <w:r w:rsidRPr="00E73F6F">
              <w:rPr>
                <w:i/>
                <w:spacing w:val="1"/>
                <w:lang w:val="de-DE"/>
              </w:rPr>
              <w:t xml:space="preserve"> </w:t>
            </w:r>
            <w:r w:rsidRPr="00E73F6F">
              <w:rPr>
                <w:i/>
                <w:lang w:val="de-DE"/>
              </w:rPr>
              <w:t>Volkswagen</w:t>
            </w:r>
          </w:p>
        </w:tc>
      </w:tr>
      <w:tr w:rsidR="00FF7799" w:rsidRPr="00E73F6F" w14:paraId="274C40F8" w14:textId="77777777" w:rsidTr="00984840">
        <w:trPr>
          <w:trHeight w:val="395"/>
        </w:trPr>
        <w:tc>
          <w:tcPr>
            <w:tcW w:w="1794" w:type="pct"/>
          </w:tcPr>
          <w:p w14:paraId="34CDD9C0" w14:textId="77777777" w:rsidR="00FF7799" w:rsidRPr="00E73F6F" w:rsidRDefault="00FF7799" w:rsidP="00F07781">
            <w:pPr>
              <w:pStyle w:val="StandardText"/>
              <w:jc w:val="left"/>
              <w:rPr>
                <w:lang w:val="de-DE"/>
              </w:rPr>
            </w:pPr>
            <w:r w:rsidRPr="00E73F6F">
              <w:rPr>
                <w:lang w:val="de-DE"/>
              </w:rPr>
              <w:t>sprachspezifische</w:t>
            </w:r>
            <w:r w:rsidRPr="00E73F6F">
              <w:rPr>
                <w:spacing w:val="5"/>
                <w:lang w:val="de-DE"/>
              </w:rPr>
              <w:t xml:space="preserve"> </w:t>
            </w:r>
            <w:r w:rsidRPr="00E73F6F">
              <w:rPr>
                <w:lang w:val="de-DE"/>
              </w:rPr>
              <w:t>Strukturen</w:t>
            </w:r>
          </w:p>
        </w:tc>
        <w:tc>
          <w:tcPr>
            <w:tcW w:w="1453" w:type="pct"/>
          </w:tcPr>
          <w:p w14:paraId="58277856" w14:textId="77777777" w:rsidR="00FF7799" w:rsidRPr="00E73F6F" w:rsidRDefault="00FF7799" w:rsidP="00F07781">
            <w:pPr>
              <w:pStyle w:val="StandardText"/>
              <w:jc w:val="left"/>
              <w:rPr>
                <w:lang w:val="de-DE"/>
              </w:rPr>
            </w:pPr>
            <w:r w:rsidRPr="00E73F6F">
              <w:rPr>
                <w:lang w:val="de-DE"/>
              </w:rPr>
              <w:t>nicht</w:t>
            </w:r>
            <w:r w:rsidRPr="00E73F6F">
              <w:rPr>
                <w:spacing w:val="-8"/>
                <w:lang w:val="de-DE"/>
              </w:rPr>
              <w:t xml:space="preserve"> </w:t>
            </w:r>
            <w:r w:rsidRPr="00E73F6F">
              <w:rPr>
                <w:lang w:val="de-DE"/>
              </w:rPr>
              <w:t>ausgesprochene</w:t>
            </w:r>
            <w:r w:rsidRPr="00E73F6F">
              <w:rPr>
                <w:spacing w:val="40"/>
                <w:lang w:val="de-DE"/>
              </w:rPr>
              <w:t xml:space="preserve"> </w:t>
            </w:r>
            <w:r w:rsidRPr="00E73F6F">
              <w:rPr>
                <w:lang w:val="de-DE"/>
              </w:rPr>
              <w:t>Buchstaben,</w:t>
            </w:r>
            <w:r w:rsidRPr="00E73F6F">
              <w:rPr>
                <w:spacing w:val="3"/>
                <w:lang w:val="de-DE"/>
              </w:rPr>
              <w:t xml:space="preserve"> </w:t>
            </w:r>
            <w:r w:rsidRPr="00E73F6F">
              <w:rPr>
                <w:lang w:val="de-DE"/>
              </w:rPr>
              <w:t>Umlaute</w:t>
            </w:r>
          </w:p>
        </w:tc>
        <w:tc>
          <w:tcPr>
            <w:tcW w:w="1753" w:type="pct"/>
          </w:tcPr>
          <w:p w14:paraId="7D40500F" w14:textId="77777777" w:rsidR="00FF7799" w:rsidRPr="00E73F6F" w:rsidRDefault="00FF7799" w:rsidP="00F07781">
            <w:pPr>
              <w:pStyle w:val="StandardText"/>
              <w:jc w:val="left"/>
              <w:rPr>
                <w:i/>
                <w:lang w:val="de-DE"/>
              </w:rPr>
            </w:pPr>
            <w:r w:rsidRPr="00E73F6F">
              <w:rPr>
                <w:i/>
                <w:lang w:val="de-DE"/>
              </w:rPr>
              <w:t>Löwenbräu,</w:t>
            </w:r>
            <w:r w:rsidRPr="00E73F6F">
              <w:rPr>
                <w:i/>
                <w:spacing w:val="3"/>
                <w:lang w:val="de-DE"/>
              </w:rPr>
              <w:t xml:space="preserve"> </w:t>
            </w:r>
            <w:r w:rsidRPr="00E73F6F">
              <w:rPr>
                <w:i/>
                <w:lang w:val="de-DE"/>
              </w:rPr>
              <w:t>Häagen</w:t>
            </w:r>
            <w:r w:rsidRPr="00E73F6F">
              <w:rPr>
                <w:i/>
                <w:spacing w:val="2"/>
                <w:lang w:val="de-DE"/>
              </w:rPr>
              <w:t xml:space="preserve"> </w:t>
            </w:r>
            <w:r w:rsidRPr="00E73F6F">
              <w:rPr>
                <w:i/>
                <w:lang w:val="de-DE"/>
              </w:rPr>
              <w:t>Dazs,</w:t>
            </w:r>
            <w:r w:rsidRPr="00E73F6F">
              <w:rPr>
                <w:i/>
                <w:spacing w:val="4"/>
                <w:lang w:val="de-DE"/>
              </w:rPr>
              <w:t xml:space="preserve"> </w:t>
            </w:r>
            <w:r w:rsidRPr="00E73F6F">
              <w:rPr>
                <w:i/>
                <w:lang w:val="de-DE"/>
              </w:rPr>
              <w:t>Renault</w:t>
            </w:r>
          </w:p>
        </w:tc>
      </w:tr>
      <w:tr w:rsidR="00FF7799" w:rsidRPr="00E73F6F" w14:paraId="4A402F4C" w14:textId="77777777" w:rsidTr="00984840">
        <w:trPr>
          <w:trHeight w:val="181"/>
        </w:trPr>
        <w:tc>
          <w:tcPr>
            <w:tcW w:w="5000" w:type="pct"/>
            <w:gridSpan w:val="3"/>
          </w:tcPr>
          <w:p w14:paraId="336524C4" w14:textId="77777777" w:rsidR="00FF7799" w:rsidRPr="00E73F6F" w:rsidRDefault="00FF7799" w:rsidP="00F07781">
            <w:pPr>
              <w:pStyle w:val="Quellen"/>
              <w:rPr>
                <w:lang w:val="de-DE"/>
              </w:rPr>
            </w:pPr>
            <w:r w:rsidRPr="00E73F6F">
              <w:rPr>
                <w:w w:val="105"/>
                <w:lang w:val="de-DE"/>
              </w:rPr>
              <w:t>Legende:</w:t>
            </w:r>
            <w:r w:rsidRPr="00E73F6F">
              <w:rPr>
                <w:spacing w:val="1"/>
                <w:w w:val="105"/>
                <w:lang w:val="de-DE"/>
              </w:rPr>
              <w:t xml:space="preserve"> </w:t>
            </w:r>
            <w:r w:rsidRPr="00E73F6F">
              <w:rPr>
                <w:w w:val="105"/>
                <w:lang w:val="de-DE"/>
              </w:rPr>
              <w:t>K</w:t>
            </w:r>
            <w:r w:rsidRPr="00E73F6F">
              <w:rPr>
                <w:spacing w:val="2"/>
                <w:w w:val="105"/>
                <w:lang w:val="de-DE"/>
              </w:rPr>
              <w:t xml:space="preserve"> </w:t>
            </w:r>
            <w:r w:rsidRPr="00E73F6F">
              <w:rPr>
                <w:w w:val="105"/>
                <w:lang w:val="de-DE"/>
              </w:rPr>
              <w:t>=</w:t>
            </w:r>
            <w:r w:rsidRPr="00E73F6F">
              <w:rPr>
                <w:spacing w:val="5"/>
                <w:w w:val="105"/>
                <w:lang w:val="de-DE"/>
              </w:rPr>
              <w:t xml:space="preserve"> </w:t>
            </w:r>
            <w:r w:rsidRPr="00E73F6F">
              <w:rPr>
                <w:w w:val="105"/>
                <w:lang w:val="de-DE"/>
              </w:rPr>
              <w:t>Konsonant;</w:t>
            </w:r>
            <w:r w:rsidRPr="00E73F6F">
              <w:rPr>
                <w:spacing w:val="1"/>
                <w:w w:val="105"/>
                <w:lang w:val="de-DE"/>
              </w:rPr>
              <w:t xml:space="preserve"> </w:t>
            </w:r>
            <w:r w:rsidRPr="00E73F6F">
              <w:rPr>
                <w:w w:val="105"/>
                <w:lang w:val="de-DE"/>
              </w:rPr>
              <w:t>V</w:t>
            </w:r>
            <w:r w:rsidRPr="00E73F6F">
              <w:rPr>
                <w:spacing w:val="2"/>
                <w:w w:val="105"/>
                <w:lang w:val="de-DE"/>
              </w:rPr>
              <w:t xml:space="preserve"> </w:t>
            </w:r>
            <w:r w:rsidRPr="00E73F6F">
              <w:rPr>
                <w:w w:val="105"/>
                <w:lang w:val="de-DE"/>
              </w:rPr>
              <w:t>=</w:t>
            </w:r>
            <w:r w:rsidRPr="00E73F6F">
              <w:rPr>
                <w:spacing w:val="4"/>
                <w:w w:val="105"/>
                <w:lang w:val="de-DE"/>
              </w:rPr>
              <w:t xml:space="preserve"> </w:t>
            </w:r>
            <w:r w:rsidRPr="00E73F6F">
              <w:rPr>
                <w:spacing w:val="-2"/>
                <w:w w:val="105"/>
                <w:lang w:val="de-DE"/>
              </w:rPr>
              <w:t>Vokal</w:t>
            </w:r>
          </w:p>
        </w:tc>
      </w:tr>
    </w:tbl>
    <w:p w14:paraId="1B634403" w14:textId="77777777" w:rsidR="00FF7799" w:rsidRPr="00E73F6F" w:rsidRDefault="00FF7799" w:rsidP="00F07781">
      <w:pPr>
        <w:pStyle w:val="Quellen"/>
      </w:pPr>
      <w:r w:rsidRPr="00E73F6F">
        <w:t>Quelle: in</w:t>
      </w:r>
      <w:r w:rsidRPr="00E73F6F">
        <w:rPr>
          <w:spacing w:val="-2"/>
        </w:rPr>
        <w:t xml:space="preserve"> </w:t>
      </w:r>
      <w:r w:rsidRPr="00E73F6F">
        <w:t>Anlehnung</w:t>
      </w:r>
      <w:r w:rsidRPr="00E73F6F">
        <w:rPr>
          <w:spacing w:val="-1"/>
        </w:rPr>
        <w:t xml:space="preserve"> </w:t>
      </w:r>
      <w:r w:rsidRPr="00E73F6F">
        <w:t>an</w:t>
      </w:r>
      <w:r w:rsidRPr="00E73F6F">
        <w:rPr>
          <w:spacing w:val="-3"/>
        </w:rPr>
        <w:t xml:space="preserve"> </w:t>
      </w:r>
      <w:r w:rsidRPr="00E73F6F">
        <w:t>Huang/Chan (1997,</w:t>
      </w:r>
      <w:r w:rsidRPr="00E73F6F">
        <w:rPr>
          <w:spacing w:val="-2"/>
        </w:rPr>
        <w:t xml:space="preserve"> </w:t>
      </w:r>
      <w:r w:rsidRPr="00E73F6F">
        <w:t>S.323f.);</w:t>
      </w:r>
      <w:r w:rsidRPr="00E73F6F">
        <w:rPr>
          <w:spacing w:val="-2"/>
        </w:rPr>
        <w:t xml:space="preserve"> </w:t>
      </w:r>
      <w:r w:rsidRPr="00E73F6F">
        <w:t>Usunier/Shaner</w:t>
      </w:r>
      <w:r w:rsidRPr="00E73F6F">
        <w:rPr>
          <w:spacing w:val="-2"/>
        </w:rPr>
        <w:t xml:space="preserve"> </w:t>
      </w:r>
      <w:r w:rsidRPr="00E73F6F">
        <w:t>(2002,</w:t>
      </w:r>
      <w:r w:rsidRPr="00E73F6F">
        <w:rPr>
          <w:spacing w:val="2"/>
        </w:rPr>
        <w:t xml:space="preserve"> </w:t>
      </w:r>
      <w:r w:rsidRPr="00E73F6F">
        <w:rPr>
          <w:spacing w:val="-2"/>
        </w:rPr>
        <w:t>S.225f.).</w:t>
      </w:r>
    </w:p>
    <w:p w14:paraId="4A34F2EB" w14:textId="77777777" w:rsidR="00FF7799" w:rsidRPr="00E73F6F" w:rsidRDefault="00FF7799" w:rsidP="00862DBA">
      <w:pPr>
        <w:spacing w:before="6"/>
        <w:rPr>
          <w:i/>
          <w:sz w:val="24"/>
          <w:szCs w:val="24"/>
        </w:rPr>
      </w:pPr>
    </w:p>
    <w:p w14:paraId="6C57F450" w14:textId="77777777" w:rsidR="00FF7799" w:rsidRPr="0052536B" w:rsidRDefault="00FF7799" w:rsidP="00F07781">
      <w:pPr>
        <w:pStyle w:val="StandardText"/>
        <w:rPr>
          <w:spacing w:val="-2"/>
        </w:rPr>
      </w:pPr>
      <w:r w:rsidRPr="0052536B">
        <w:t>Gegen eine Standardisierung entschied sich bspw. Unilever. Als der niederländisch-britische Lebensmittelkonzern Mitte der 1990er-Jahre weltweit Eismarken kaufte, behielt man die ursprünglichen Markennamen bei und versah die zugekauften Eiscremes nur mit einem weltweit einheitlichen Logo. Deshalb heißt die in Deutschland als Langnese bekannte Süßspeise in nahezu jedem Land anders</w:t>
      </w:r>
      <w:r w:rsidRPr="0052536B">
        <w:rPr>
          <w:spacing w:val="-7"/>
        </w:rPr>
        <w:t xml:space="preserve"> </w:t>
      </w:r>
      <w:r w:rsidRPr="0052536B">
        <w:t>(vgl.</w:t>
      </w:r>
      <w:r w:rsidRPr="0052536B">
        <w:rPr>
          <w:spacing w:val="-6"/>
        </w:rPr>
        <w:t xml:space="preserve"> </w:t>
      </w:r>
      <w:r w:rsidRPr="0052536B">
        <w:t>Tab. 6).</w:t>
      </w:r>
      <w:r w:rsidRPr="0052536B">
        <w:rPr>
          <w:spacing w:val="-6"/>
        </w:rPr>
        <w:t xml:space="preserve"> </w:t>
      </w:r>
      <w:r w:rsidRPr="0052536B">
        <w:t>Mit</w:t>
      </w:r>
      <w:r w:rsidRPr="0052536B">
        <w:rPr>
          <w:spacing w:val="-6"/>
        </w:rPr>
        <w:t xml:space="preserve"> </w:t>
      </w:r>
      <w:r w:rsidRPr="0052536B">
        <w:t>dem</w:t>
      </w:r>
      <w:r w:rsidRPr="0052536B">
        <w:rPr>
          <w:spacing w:val="-8"/>
        </w:rPr>
        <w:t xml:space="preserve"> </w:t>
      </w:r>
      <w:r w:rsidRPr="0052536B">
        <w:t>Verzicht</w:t>
      </w:r>
      <w:r w:rsidRPr="0052536B">
        <w:rPr>
          <w:spacing w:val="-6"/>
        </w:rPr>
        <w:t xml:space="preserve"> </w:t>
      </w:r>
      <w:r w:rsidRPr="0052536B">
        <w:t>auf</w:t>
      </w:r>
      <w:r w:rsidRPr="0052536B">
        <w:rPr>
          <w:spacing w:val="-7"/>
        </w:rPr>
        <w:t xml:space="preserve"> </w:t>
      </w:r>
      <w:r w:rsidRPr="0052536B">
        <w:t>eine</w:t>
      </w:r>
      <w:r w:rsidRPr="0052536B">
        <w:rPr>
          <w:spacing w:val="-7"/>
        </w:rPr>
        <w:t xml:space="preserve"> </w:t>
      </w:r>
      <w:r w:rsidRPr="0052536B">
        <w:t>weltweite</w:t>
      </w:r>
      <w:r w:rsidRPr="0052536B">
        <w:rPr>
          <w:spacing w:val="-7"/>
        </w:rPr>
        <w:t xml:space="preserve"> </w:t>
      </w:r>
      <w:r w:rsidRPr="0052536B">
        <w:t>Corporate</w:t>
      </w:r>
      <w:r w:rsidRPr="0052536B">
        <w:rPr>
          <w:spacing w:val="-7"/>
        </w:rPr>
        <w:t xml:space="preserve"> </w:t>
      </w:r>
      <w:r w:rsidRPr="0052536B">
        <w:t>Identity</w:t>
      </w:r>
      <w:r w:rsidRPr="0052536B">
        <w:rPr>
          <w:spacing w:val="-8"/>
        </w:rPr>
        <w:t xml:space="preserve"> </w:t>
      </w:r>
      <w:r w:rsidRPr="0052536B">
        <w:t xml:space="preserve">hatte man das Sprachproblem gelöst und den Bekanntheitsgrad der etablierten Namen </w:t>
      </w:r>
      <w:r w:rsidRPr="0052536B">
        <w:rPr>
          <w:spacing w:val="-2"/>
        </w:rPr>
        <w:t>bewahrt.</w:t>
      </w:r>
    </w:p>
    <w:p w14:paraId="0544A431" w14:textId="77777777" w:rsidR="00FF7799" w:rsidRPr="00E73F6F" w:rsidRDefault="00FF7799" w:rsidP="00F07781">
      <w:pPr>
        <w:pStyle w:val="StandardText"/>
      </w:pPr>
    </w:p>
    <w:p w14:paraId="355B9A7B" w14:textId="77777777" w:rsidR="00FF7799" w:rsidRPr="00984840" w:rsidRDefault="00FF7799" w:rsidP="00F07781">
      <w:pPr>
        <w:pStyle w:val="BeschriftungTab"/>
        <w:rPr>
          <w:i/>
          <w:iCs/>
        </w:rPr>
      </w:pPr>
      <w:r w:rsidRPr="00984840">
        <w:rPr>
          <w:i/>
          <w:iCs/>
        </w:rPr>
        <w:lastRenderedPageBreak/>
        <w:t>Tab. 6:</w:t>
      </w:r>
      <w:r w:rsidRPr="00984840">
        <w:rPr>
          <w:i/>
          <w:iCs/>
          <w:spacing w:val="-7"/>
        </w:rPr>
        <w:t xml:space="preserve"> </w:t>
      </w:r>
      <w:r w:rsidRPr="00984840">
        <w:rPr>
          <w:i/>
          <w:iCs/>
        </w:rPr>
        <w:t>Markenname</w:t>
      </w:r>
      <w:r w:rsidRPr="00984840">
        <w:rPr>
          <w:i/>
          <w:iCs/>
          <w:spacing w:val="-6"/>
        </w:rPr>
        <w:t xml:space="preserve"> </w:t>
      </w:r>
      <w:r w:rsidRPr="00984840">
        <w:rPr>
          <w:i/>
          <w:iCs/>
        </w:rPr>
        <w:t>von</w:t>
      </w:r>
      <w:r w:rsidRPr="00984840">
        <w:rPr>
          <w:i/>
          <w:iCs/>
          <w:spacing w:val="-5"/>
        </w:rPr>
        <w:t xml:space="preserve"> </w:t>
      </w:r>
      <w:r w:rsidRPr="00984840">
        <w:rPr>
          <w:i/>
          <w:iCs/>
        </w:rPr>
        <w:t>Langnese-Eis</w:t>
      </w:r>
      <w:r w:rsidRPr="00984840">
        <w:rPr>
          <w:i/>
          <w:iCs/>
          <w:spacing w:val="-3"/>
        </w:rPr>
        <w:t xml:space="preserve"> </w:t>
      </w:r>
      <w:r w:rsidRPr="00984840">
        <w:rPr>
          <w:i/>
          <w:iCs/>
          <w:spacing w:val="-2"/>
        </w:rPr>
        <w:t>weltweit</w:t>
      </w:r>
    </w:p>
    <w:tbl>
      <w:tblPr>
        <w:tblStyle w:val="TableNormal"/>
        <w:tblW w:w="5000" w:type="pct"/>
        <w:tblBorders>
          <w:top w:val="single" w:sz="4" w:space="0" w:color="000000"/>
          <w:bottom w:val="single" w:sz="4" w:space="0" w:color="000000"/>
          <w:insideH w:val="single" w:sz="4" w:space="0" w:color="000000"/>
        </w:tblBorders>
        <w:tblLook w:val="01E0" w:firstRow="1" w:lastRow="1" w:firstColumn="1" w:lastColumn="1" w:noHBand="0" w:noVBand="0"/>
      </w:tblPr>
      <w:tblGrid>
        <w:gridCol w:w="2310"/>
        <w:gridCol w:w="2165"/>
        <w:gridCol w:w="1863"/>
        <w:gridCol w:w="2734"/>
      </w:tblGrid>
      <w:tr w:rsidR="00FF7799" w:rsidRPr="00E73F6F" w14:paraId="3BD7D3B9" w14:textId="77777777" w:rsidTr="00270173">
        <w:trPr>
          <w:trHeight w:val="400"/>
          <w:tblHeader/>
        </w:trPr>
        <w:tc>
          <w:tcPr>
            <w:tcW w:w="1273" w:type="pct"/>
            <w:shd w:val="clear" w:color="auto" w:fill="FFC000" w:themeFill="accent4"/>
          </w:tcPr>
          <w:p w14:paraId="164240BF" w14:textId="77777777" w:rsidR="00FF7799" w:rsidRPr="00E73F6F" w:rsidRDefault="00FF7799" w:rsidP="00F07781">
            <w:pPr>
              <w:pStyle w:val="StandardText"/>
              <w:spacing w:after="120"/>
              <w:jc w:val="center"/>
              <w:rPr>
                <w:b/>
                <w:lang w:val="de-DE"/>
              </w:rPr>
            </w:pPr>
            <w:r w:rsidRPr="00E73F6F">
              <w:rPr>
                <w:b/>
                <w:lang w:val="de-DE"/>
              </w:rPr>
              <w:t>Land</w:t>
            </w:r>
          </w:p>
        </w:tc>
        <w:tc>
          <w:tcPr>
            <w:tcW w:w="1193" w:type="pct"/>
            <w:shd w:val="clear" w:color="auto" w:fill="FFC000" w:themeFill="accent4"/>
          </w:tcPr>
          <w:p w14:paraId="06BA8D9F" w14:textId="77777777" w:rsidR="00FF7799" w:rsidRPr="00E73F6F" w:rsidRDefault="00FF7799" w:rsidP="00F07781">
            <w:pPr>
              <w:pStyle w:val="StandardText"/>
              <w:spacing w:after="120"/>
              <w:jc w:val="center"/>
              <w:rPr>
                <w:b/>
                <w:lang w:val="de-DE"/>
              </w:rPr>
            </w:pPr>
            <w:r w:rsidRPr="00E73F6F">
              <w:rPr>
                <w:b/>
                <w:spacing w:val="-2"/>
                <w:lang w:val="de-DE"/>
              </w:rPr>
              <w:t>Landesspezifischer</w:t>
            </w:r>
            <w:r w:rsidRPr="00E73F6F">
              <w:rPr>
                <w:b/>
                <w:spacing w:val="40"/>
                <w:lang w:val="de-DE"/>
              </w:rPr>
              <w:t xml:space="preserve"> </w:t>
            </w:r>
            <w:r w:rsidRPr="00E73F6F">
              <w:rPr>
                <w:b/>
                <w:spacing w:val="-2"/>
                <w:lang w:val="de-DE"/>
              </w:rPr>
              <w:t>Markenname</w:t>
            </w:r>
          </w:p>
        </w:tc>
        <w:tc>
          <w:tcPr>
            <w:tcW w:w="1027" w:type="pct"/>
            <w:shd w:val="clear" w:color="auto" w:fill="FFC000" w:themeFill="accent4"/>
          </w:tcPr>
          <w:p w14:paraId="3DD7C303" w14:textId="77777777" w:rsidR="00FF7799" w:rsidRPr="00E73F6F" w:rsidRDefault="00FF7799" w:rsidP="00F07781">
            <w:pPr>
              <w:pStyle w:val="StandardText"/>
              <w:spacing w:after="120"/>
              <w:jc w:val="center"/>
              <w:rPr>
                <w:b/>
                <w:lang w:val="de-DE"/>
              </w:rPr>
            </w:pPr>
            <w:r w:rsidRPr="00E73F6F">
              <w:rPr>
                <w:b/>
                <w:lang w:val="de-DE"/>
              </w:rPr>
              <w:t>Land</w:t>
            </w:r>
          </w:p>
        </w:tc>
        <w:tc>
          <w:tcPr>
            <w:tcW w:w="1507" w:type="pct"/>
            <w:shd w:val="clear" w:color="auto" w:fill="FFC000" w:themeFill="accent4"/>
          </w:tcPr>
          <w:p w14:paraId="1961110D" w14:textId="77777777" w:rsidR="00FF7799" w:rsidRPr="00E73F6F" w:rsidRDefault="00FF7799" w:rsidP="00F07781">
            <w:pPr>
              <w:pStyle w:val="StandardText"/>
              <w:spacing w:after="120"/>
              <w:jc w:val="center"/>
              <w:rPr>
                <w:b/>
                <w:lang w:val="de-DE"/>
              </w:rPr>
            </w:pPr>
            <w:r w:rsidRPr="00E73F6F">
              <w:rPr>
                <w:b/>
                <w:spacing w:val="-2"/>
                <w:lang w:val="de-DE"/>
              </w:rPr>
              <w:t>Landesspezifischer</w:t>
            </w:r>
            <w:r w:rsidRPr="00E73F6F">
              <w:rPr>
                <w:b/>
                <w:spacing w:val="40"/>
                <w:lang w:val="de-DE"/>
              </w:rPr>
              <w:t xml:space="preserve"> </w:t>
            </w:r>
            <w:r w:rsidRPr="00E73F6F">
              <w:rPr>
                <w:b/>
                <w:spacing w:val="-2"/>
                <w:lang w:val="de-DE"/>
              </w:rPr>
              <w:t>Markenname</w:t>
            </w:r>
          </w:p>
        </w:tc>
      </w:tr>
      <w:tr w:rsidR="00FF7799" w:rsidRPr="00E73F6F" w14:paraId="3DB9C391" w14:textId="77777777" w:rsidTr="00F07781">
        <w:trPr>
          <w:trHeight w:val="239"/>
        </w:trPr>
        <w:tc>
          <w:tcPr>
            <w:tcW w:w="1273" w:type="pct"/>
          </w:tcPr>
          <w:p w14:paraId="61E23C4B" w14:textId="77777777" w:rsidR="00FF7799" w:rsidRPr="00E73F6F" w:rsidRDefault="00FF7799" w:rsidP="00F07781">
            <w:pPr>
              <w:pStyle w:val="StandardText"/>
              <w:rPr>
                <w:lang w:val="de-DE"/>
              </w:rPr>
            </w:pPr>
            <w:r w:rsidRPr="00E73F6F">
              <w:rPr>
                <w:spacing w:val="-2"/>
                <w:lang w:val="de-DE"/>
              </w:rPr>
              <w:t>Australien</w:t>
            </w:r>
          </w:p>
        </w:tc>
        <w:tc>
          <w:tcPr>
            <w:tcW w:w="1193" w:type="pct"/>
          </w:tcPr>
          <w:p w14:paraId="3F2FEC27" w14:textId="77777777" w:rsidR="00FF7799" w:rsidRPr="00E73F6F" w:rsidRDefault="00FF7799" w:rsidP="00F07781">
            <w:pPr>
              <w:pStyle w:val="StandardText"/>
              <w:rPr>
                <w:i/>
                <w:lang w:val="de-DE"/>
              </w:rPr>
            </w:pPr>
            <w:r w:rsidRPr="00E73F6F">
              <w:rPr>
                <w:i/>
                <w:spacing w:val="-2"/>
                <w:lang w:val="de-DE"/>
              </w:rPr>
              <w:t>Streets</w:t>
            </w:r>
          </w:p>
        </w:tc>
        <w:tc>
          <w:tcPr>
            <w:tcW w:w="1027" w:type="pct"/>
          </w:tcPr>
          <w:p w14:paraId="2C836504" w14:textId="77777777" w:rsidR="00FF7799" w:rsidRPr="00E73F6F" w:rsidRDefault="00FF7799" w:rsidP="00F07781">
            <w:pPr>
              <w:pStyle w:val="StandardText"/>
              <w:rPr>
                <w:lang w:val="de-DE"/>
              </w:rPr>
            </w:pPr>
            <w:r w:rsidRPr="00E73F6F">
              <w:rPr>
                <w:spacing w:val="-2"/>
                <w:lang w:val="de-DE"/>
              </w:rPr>
              <w:t>Schweden</w:t>
            </w:r>
          </w:p>
        </w:tc>
        <w:tc>
          <w:tcPr>
            <w:tcW w:w="1507" w:type="pct"/>
          </w:tcPr>
          <w:p w14:paraId="47C723EB" w14:textId="77777777" w:rsidR="00FF7799" w:rsidRPr="00E73F6F" w:rsidRDefault="00FF7799" w:rsidP="00F07781">
            <w:pPr>
              <w:pStyle w:val="StandardText"/>
              <w:rPr>
                <w:i/>
                <w:lang w:val="de-DE"/>
              </w:rPr>
            </w:pPr>
            <w:r w:rsidRPr="00E73F6F">
              <w:rPr>
                <w:i/>
                <w:lang w:val="de-DE"/>
              </w:rPr>
              <w:t>GB</w:t>
            </w:r>
            <w:r w:rsidRPr="00E73F6F">
              <w:rPr>
                <w:i/>
                <w:spacing w:val="-3"/>
                <w:lang w:val="de-DE"/>
              </w:rPr>
              <w:t xml:space="preserve"> </w:t>
            </w:r>
            <w:r w:rsidRPr="00E73F6F">
              <w:rPr>
                <w:i/>
                <w:spacing w:val="-2"/>
                <w:lang w:val="de-DE"/>
              </w:rPr>
              <w:t>Glace</w:t>
            </w:r>
          </w:p>
        </w:tc>
      </w:tr>
      <w:tr w:rsidR="00FF7799" w:rsidRPr="00E73F6F" w14:paraId="3351C2E0" w14:textId="77777777" w:rsidTr="00F07781">
        <w:trPr>
          <w:trHeight w:val="239"/>
        </w:trPr>
        <w:tc>
          <w:tcPr>
            <w:tcW w:w="1273" w:type="pct"/>
          </w:tcPr>
          <w:p w14:paraId="1A90594F" w14:textId="77777777" w:rsidR="00FF7799" w:rsidRPr="00E73F6F" w:rsidRDefault="00FF7799" w:rsidP="00F07781">
            <w:pPr>
              <w:pStyle w:val="StandardText"/>
              <w:rPr>
                <w:lang w:val="de-DE"/>
              </w:rPr>
            </w:pPr>
            <w:r w:rsidRPr="00E73F6F">
              <w:rPr>
                <w:spacing w:val="-2"/>
                <w:lang w:val="de-DE"/>
              </w:rPr>
              <w:t>Dänemark</w:t>
            </w:r>
          </w:p>
        </w:tc>
        <w:tc>
          <w:tcPr>
            <w:tcW w:w="1193" w:type="pct"/>
          </w:tcPr>
          <w:p w14:paraId="2EBEF80D" w14:textId="77777777" w:rsidR="00FF7799" w:rsidRPr="00E73F6F" w:rsidRDefault="00FF7799" w:rsidP="00F07781">
            <w:pPr>
              <w:pStyle w:val="StandardText"/>
              <w:rPr>
                <w:i/>
                <w:lang w:val="de-DE"/>
              </w:rPr>
            </w:pPr>
            <w:r w:rsidRPr="00E73F6F">
              <w:rPr>
                <w:i/>
                <w:spacing w:val="-2"/>
                <w:lang w:val="de-DE"/>
              </w:rPr>
              <w:t>Frisko</w:t>
            </w:r>
          </w:p>
        </w:tc>
        <w:tc>
          <w:tcPr>
            <w:tcW w:w="1027" w:type="pct"/>
          </w:tcPr>
          <w:p w14:paraId="6F3EE815" w14:textId="77777777" w:rsidR="00FF7799" w:rsidRPr="00E73F6F" w:rsidRDefault="00FF7799" w:rsidP="00F07781">
            <w:pPr>
              <w:pStyle w:val="StandardText"/>
              <w:rPr>
                <w:lang w:val="de-DE"/>
              </w:rPr>
            </w:pPr>
            <w:r w:rsidRPr="00E73F6F">
              <w:rPr>
                <w:spacing w:val="-2"/>
                <w:lang w:val="de-DE"/>
              </w:rPr>
              <w:t>Schweiz</w:t>
            </w:r>
          </w:p>
        </w:tc>
        <w:tc>
          <w:tcPr>
            <w:tcW w:w="1507" w:type="pct"/>
          </w:tcPr>
          <w:p w14:paraId="5B5A53E8" w14:textId="77777777" w:rsidR="00FF7799" w:rsidRPr="00E73F6F" w:rsidRDefault="00FF7799" w:rsidP="00F07781">
            <w:pPr>
              <w:pStyle w:val="StandardText"/>
              <w:rPr>
                <w:i/>
                <w:lang w:val="de-DE"/>
              </w:rPr>
            </w:pPr>
            <w:r w:rsidRPr="00E73F6F">
              <w:rPr>
                <w:i/>
                <w:lang w:val="de-DE"/>
              </w:rPr>
              <w:t>Lusso</w:t>
            </w:r>
            <w:r w:rsidRPr="00E73F6F">
              <w:rPr>
                <w:i/>
                <w:spacing w:val="-2"/>
                <w:lang w:val="de-DE"/>
              </w:rPr>
              <w:t xml:space="preserve"> Eldorado</w:t>
            </w:r>
          </w:p>
        </w:tc>
      </w:tr>
      <w:tr w:rsidR="00FF7799" w:rsidRPr="00E73F6F" w14:paraId="4AE85F83" w14:textId="77777777" w:rsidTr="00F07781">
        <w:trPr>
          <w:trHeight w:val="242"/>
        </w:trPr>
        <w:tc>
          <w:tcPr>
            <w:tcW w:w="1273" w:type="pct"/>
          </w:tcPr>
          <w:p w14:paraId="62ADCBD0" w14:textId="77777777" w:rsidR="00FF7799" w:rsidRPr="00E73F6F" w:rsidRDefault="00FF7799" w:rsidP="00F07781">
            <w:pPr>
              <w:pStyle w:val="StandardText"/>
              <w:rPr>
                <w:lang w:val="de-DE"/>
              </w:rPr>
            </w:pPr>
            <w:r w:rsidRPr="00E73F6F">
              <w:rPr>
                <w:lang w:val="de-DE"/>
              </w:rPr>
              <w:t>England,</w:t>
            </w:r>
            <w:r w:rsidRPr="00E73F6F">
              <w:rPr>
                <w:spacing w:val="-10"/>
                <w:lang w:val="de-DE"/>
              </w:rPr>
              <w:t xml:space="preserve"> </w:t>
            </w:r>
            <w:r w:rsidRPr="00E73F6F">
              <w:rPr>
                <w:spacing w:val="-2"/>
                <w:lang w:val="de-DE"/>
              </w:rPr>
              <w:t>Malediven</w:t>
            </w:r>
          </w:p>
        </w:tc>
        <w:tc>
          <w:tcPr>
            <w:tcW w:w="1193" w:type="pct"/>
          </w:tcPr>
          <w:p w14:paraId="4070CC7E" w14:textId="77777777" w:rsidR="00FF7799" w:rsidRPr="00E73F6F" w:rsidRDefault="00FF7799" w:rsidP="00F07781">
            <w:pPr>
              <w:pStyle w:val="StandardText"/>
              <w:rPr>
                <w:i/>
                <w:lang w:val="de-DE"/>
              </w:rPr>
            </w:pPr>
            <w:r w:rsidRPr="00E73F6F">
              <w:rPr>
                <w:i/>
                <w:spacing w:val="-2"/>
                <w:lang w:val="de-DE"/>
              </w:rPr>
              <w:t>Wall’s</w:t>
            </w:r>
          </w:p>
        </w:tc>
        <w:tc>
          <w:tcPr>
            <w:tcW w:w="1027" w:type="pct"/>
          </w:tcPr>
          <w:p w14:paraId="4261E71F" w14:textId="77777777" w:rsidR="00FF7799" w:rsidRPr="00E73F6F" w:rsidRDefault="00FF7799" w:rsidP="00F07781">
            <w:pPr>
              <w:pStyle w:val="StandardText"/>
              <w:rPr>
                <w:lang w:val="de-DE"/>
              </w:rPr>
            </w:pPr>
            <w:r w:rsidRPr="00E73F6F">
              <w:rPr>
                <w:spacing w:val="-2"/>
                <w:lang w:val="de-DE"/>
              </w:rPr>
              <w:t>Spanien</w:t>
            </w:r>
          </w:p>
        </w:tc>
        <w:tc>
          <w:tcPr>
            <w:tcW w:w="1507" w:type="pct"/>
          </w:tcPr>
          <w:p w14:paraId="40EC78F0" w14:textId="77777777" w:rsidR="00FF7799" w:rsidRPr="00E73F6F" w:rsidRDefault="00FF7799" w:rsidP="00F07781">
            <w:pPr>
              <w:pStyle w:val="StandardText"/>
              <w:rPr>
                <w:i/>
                <w:lang w:val="de-DE"/>
              </w:rPr>
            </w:pPr>
            <w:r w:rsidRPr="00E73F6F">
              <w:rPr>
                <w:i/>
                <w:spacing w:val="-2"/>
                <w:lang w:val="de-DE"/>
              </w:rPr>
              <w:t>Frigo</w:t>
            </w:r>
          </w:p>
        </w:tc>
      </w:tr>
      <w:tr w:rsidR="00FF7799" w:rsidRPr="00E73F6F" w14:paraId="22AD235F" w14:textId="77777777" w:rsidTr="00F07781">
        <w:trPr>
          <w:trHeight w:val="239"/>
        </w:trPr>
        <w:tc>
          <w:tcPr>
            <w:tcW w:w="1273" w:type="pct"/>
          </w:tcPr>
          <w:p w14:paraId="4FA4F3A3" w14:textId="77777777" w:rsidR="00FF7799" w:rsidRPr="00E73F6F" w:rsidRDefault="00FF7799" w:rsidP="00F07781">
            <w:pPr>
              <w:pStyle w:val="StandardText"/>
              <w:rPr>
                <w:lang w:val="de-DE"/>
              </w:rPr>
            </w:pPr>
            <w:r w:rsidRPr="00E73F6F">
              <w:rPr>
                <w:spacing w:val="-2"/>
                <w:lang w:val="de-DE"/>
              </w:rPr>
              <w:t>Frankreich</w:t>
            </w:r>
          </w:p>
        </w:tc>
        <w:tc>
          <w:tcPr>
            <w:tcW w:w="1193" w:type="pct"/>
          </w:tcPr>
          <w:p w14:paraId="0623A642" w14:textId="77777777" w:rsidR="00FF7799" w:rsidRPr="00E73F6F" w:rsidRDefault="00FF7799" w:rsidP="00F07781">
            <w:pPr>
              <w:pStyle w:val="StandardText"/>
              <w:rPr>
                <w:i/>
                <w:lang w:val="de-DE"/>
              </w:rPr>
            </w:pPr>
            <w:r w:rsidRPr="00E73F6F">
              <w:rPr>
                <w:i/>
                <w:lang w:val="de-DE"/>
              </w:rPr>
              <w:t>Miko</w:t>
            </w:r>
          </w:p>
        </w:tc>
        <w:tc>
          <w:tcPr>
            <w:tcW w:w="1027" w:type="pct"/>
          </w:tcPr>
          <w:p w14:paraId="20ADF6FD" w14:textId="77777777" w:rsidR="00FF7799" w:rsidRPr="00E73F6F" w:rsidRDefault="00FF7799" w:rsidP="00F07781">
            <w:pPr>
              <w:pStyle w:val="StandardText"/>
              <w:rPr>
                <w:lang w:val="de-DE"/>
              </w:rPr>
            </w:pPr>
            <w:r w:rsidRPr="00E73F6F">
              <w:rPr>
                <w:spacing w:val="-2"/>
                <w:lang w:val="de-DE"/>
              </w:rPr>
              <w:t>Südafrika</w:t>
            </w:r>
          </w:p>
        </w:tc>
        <w:tc>
          <w:tcPr>
            <w:tcW w:w="1507" w:type="pct"/>
          </w:tcPr>
          <w:p w14:paraId="4CE9068D" w14:textId="77777777" w:rsidR="00FF7799" w:rsidRPr="00E73F6F" w:rsidRDefault="00FF7799" w:rsidP="00F07781">
            <w:pPr>
              <w:pStyle w:val="StandardText"/>
              <w:rPr>
                <w:i/>
                <w:lang w:val="de-DE"/>
              </w:rPr>
            </w:pPr>
            <w:r w:rsidRPr="00E73F6F">
              <w:rPr>
                <w:i/>
                <w:spacing w:val="-5"/>
                <w:lang w:val="de-DE"/>
              </w:rPr>
              <w:t>Ola</w:t>
            </w:r>
          </w:p>
        </w:tc>
      </w:tr>
      <w:tr w:rsidR="00FF7799" w:rsidRPr="00E73F6F" w14:paraId="1C56DBEE" w14:textId="77777777" w:rsidTr="00F07781">
        <w:trPr>
          <w:trHeight w:val="239"/>
        </w:trPr>
        <w:tc>
          <w:tcPr>
            <w:tcW w:w="1273" w:type="pct"/>
          </w:tcPr>
          <w:p w14:paraId="6732A650" w14:textId="77777777" w:rsidR="00FF7799" w:rsidRPr="00E73F6F" w:rsidRDefault="00FF7799" w:rsidP="00F07781">
            <w:pPr>
              <w:pStyle w:val="StandardText"/>
              <w:rPr>
                <w:lang w:val="de-DE"/>
              </w:rPr>
            </w:pPr>
            <w:r w:rsidRPr="00E73F6F">
              <w:rPr>
                <w:spacing w:val="-2"/>
                <w:lang w:val="de-DE"/>
              </w:rPr>
              <w:t>Griechenland,</w:t>
            </w:r>
            <w:r w:rsidRPr="00E73F6F">
              <w:rPr>
                <w:spacing w:val="14"/>
                <w:lang w:val="de-DE"/>
              </w:rPr>
              <w:t xml:space="preserve"> </w:t>
            </w:r>
            <w:r w:rsidRPr="00E73F6F">
              <w:rPr>
                <w:spacing w:val="-2"/>
                <w:lang w:val="de-DE"/>
              </w:rPr>
              <w:t>Türkei</w:t>
            </w:r>
          </w:p>
        </w:tc>
        <w:tc>
          <w:tcPr>
            <w:tcW w:w="1193" w:type="pct"/>
          </w:tcPr>
          <w:p w14:paraId="1D232AC0" w14:textId="77777777" w:rsidR="00FF7799" w:rsidRPr="00E73F6F" w:rsidRDefault="00FF7799" w:rsidP="00F07781">
            <w:pPr>
              <w:pStyle w:val="StandardText"/>
              <w:rPr>
                <w:i/>
                <w:lang w:val="de-DE"/>
              </w:rPr>
            </w:pPr>
            <w:r w:rsidRPr="00E73F6F">
              <w:rPr>
                <w:i/>
                <w:spacing w:val="-2"/>
                <w:lang w:val="de-DE"/>
              </w:rPr>
              <w:t>Algida</w:t>
            </w:r>
          </w:p>
        </w:tc>
        <w:tc>
          <w:tcPr>
            <w:tcW w:w="1027" w:type="pct"/>
          </w:tcPr>
          <w:p w14:paraId="692BB980" w14:textId="77777777" w:rsidR="00FF7799" w:rsidRPr="00E73F6F" w:rsidRDefault="00FF7799" w:rsidP="00F07781">
            <w:pPr>
              <w:pStyle w:val="StandardText"/>
              <w:rPr>
                <w:lang w:val="de-DE"/>
              </w:rPr>
            </w:pPr>
            <w:r w:rsidRPr="00E73F6F">
              <w:rPr>
                <w:spacing w:val="-5"/>
                <w:lang w:val="de-DE"/>
              </w:rPr>
              <w:t>USA</w:t>
            </w:r>
          </w:p>
        </w:tc>
        <w:tc>
          <w:tcPr>
            <w:tcW w:w="1507" w:type="pct"/>
          </w:tcPr>
          <w:p w14:paraId="4D7854B7" w14:textId="77777777" w:rsidR="00FF7799" w:rsidRPr="00E73F6F" w:rsidRDefault="00FF7799" w:rsidP="00F07781">
            <w:pPr>
              <w:pStyle w:val="StandardText"/>
              <w:rPr>
                <w:i/>
                <w:lang w:val="de-DE"/>
              </w:rPr>
            </w:pPr>
            <w:r w:rsidRPr="00E73F6F">
              <w:rPr>
                <w:i/>
                <w:lang w:val="de-DE"/>
              </w:rPr>
              <w:t xml:space="preserve">Good </w:t>
            </w:r>
            <w:r w:rsidRPr="00E73F6F">
              <w:rPr>
                <w:i/>
                <w:spacing w:val="-2"/>
                <w:lang w:val="de-DE"/>
              </w:rPr>
              <w:t>Humor</w:t>
            </w:r>
          </w:p>
        </w:tc>
      </w:tr>
      <w:tr w:rsidR="00FF7799" w:rsidRPr="00E73F6F" w14:paraId="21E7C5CE" w14:textId="77777777" w:rsidTr="00F07781">
        <w:trPr>
          <w:trHeight w:val="239"/>
        </w:trPr>
        <w:tc>
          <w:tcPr>
            <w:tcW w:w="1273" w:type="pct"/>
          </w:tcPr>
          <w:p w14:paraId="4B3FFF12" w14:textId="77777777" w:rsidR="00FF7799" w:rsidRPr="00E73F6F" w:rsidRDefault="00FF7799" w:rsidP="00F07781">
            <w:pPr>
              <w:pStyle w:val="StandardText"/>
              <w:rPr>
                <w:lang w:val="de-DE"/>
              </w:rPr>
            </w:pPr>
            <w:r w:rsidRPr="00E73F6F">
              <w:rPr>
                <w:spacing w:val="-2"/>
                <w:lang w:val="de-DE"/>
              </w:rPr>
              <w:t>Irland</w:t>
            </w:r>
          </w:p>
        </w:tc>
        <w:tc>
          <w:tcPr>
            <w:tcW w:w="1193" w:type="pct"/>
          </w:tcPr>
          <w:p w14:paraId="7129258F" w14:textId="77777777" w:rsidR="00FF7799" w:rsidRPr="00E73F6F" w:rsidRDefault="00FF7799" w:rsidP="00F07781">
            <w:pPr>
              <w:pStyle w:val="StandardText"/>
              <w:rPr>
                <w:i/>
                <w:lang w:val="de-DE"/>
              </w:rPr>
            </w:pPr>
            <w:r w:rsidRPr="00E73F6F">
              <w:rPr>
                <w:i/>
                <w:spacing w:val="-5"/>
                <w:lang w:val="de-DE"/>
              </w:rPr>
              <w:t>HB</w:t>
            </w:r>
          </w:p>
        </w:tc>
        <w:tc>
          <w:tcPr>
            <w:tcW w:w="1027" w:type="pct"/>
          </w:tcPr>
          <w:p w14:paraId="5292DEDA" w14:textId="77777777" w:rsidR="00FF7799" w:rsidRPr="00E73F6F" w:rsidRDefault="00FF7799" w:rsidP="00F07781">
            <w:pPr>
              <w:pStyle w:val="StandardText"/>
              <w:rPr>
                <w:lang w:val="de-DE"/>
              </w:rPr>
            </w:pPr>
            <w:r w:rsidRPr="00E73F6F">
              <w:rPr>
                <w:spacing w:val="-2"/>
                <w:lang w:val="de-DE"/>
              </w:rPr>
              <w:t>Venezuela</w:t>
            </w:r>
          </w:p>
        </w:tc>
        <w:tc>
          <w:tcPr>
            <w:tcW w:w="1507" w:type="pct"/>
          </w:tcPr>
          <w:p w14:paraId="677C2D6E" w14:textId="77777777" w:rsidR="00FF7799" w:rsidRPr="00E73F6F" w:rsidRDefault="00FF7799" w:rsidP="00F07781">
            <w:pPr>
              <w:pStyle w:val="StandardText"/>
              <w:rPr>
                <w:i/>
                <w:lang w:val="de-DE"/>
              </w:rPr>
            </w:pPr>
            <w:r w:rsidRPr="00E73F6F">
              <w:rPr>
                <w:i/>
                <w:lang w:val="de-DE"/>
              </w:rPr>
              <w:t>Tio</w:t>
            </w:r>
            <w:r w:rsidRPr="00E73F6F">
              <w:rPr>
                <w:i/>
                <w:spacing w:val="-2"/>
                <w:lang w:val="de-DE"/>
              </w:rPr>
              <w:t xml:space="preserve"> </w:t>
            </w:r>
            <w:r w:rsidRPr="00E73F6F">
              <w:rPr>
                <w:i/>
                <w:lang w:val="de-DE"/>
              </w:rPr>
              <w:t>Rico</w:t>
            </w:r>
          </w:p>
        </w:tc>
      </w:tr>
      <w:tr w:rsidR="00FF7799" w:rsidRPr="00E73F6F" w14:paraId="142F9112" w14:textId="77777777" w:rsidTr="00F07781">
        <w:trPr>
          <w:trHeight w:val="239"/>
        </w:trPr>
        <w:tc>
          <w:tcPr>
            <w:tcW w:w="1273" w:type="pct"/>
          </w:tcPr>
          <w:p w14:paraId="539C3871" w14:textId="77777777" w:rsidR="00FF7799" w:rsidRPr="00E73F6F" w:rsidRDefault="00FF7799" w:rsidP="00F07781">
            <w:pPr>
              <w:pStyle w:val="StandardText"/>
              <w:rPr>
                <w:lang w:val="de-DE"/>
              </w:rPr>
            </w:pPr>
            <w:r w:rsidRPr="00E73F6F">
              <w:rPr>
                <w:lang w:val="de-DE"/>
              </w:rPr>
              <w:t>Österreich,</w:t>
            </w:r>
            <w:r w:rsidRPr="00E73F6F">
              <w:rPr>
                <w:spacing w:val="-8"/>
                <w:lang w:val="de-DE"/>
              </w:rPr>
              <w:t xml:space="preserve"> </w:t>
            </w:r>
            <w:r w:rsidRPr="00E73F6F">
              <w:rPr>
                <w:spacing w:val="-2"/>
                <w:lang w:val="de-DE"/>
              </w:rPr>
              <w:t>Ungarn</w:t>
            </w:r>
          </w:p>
        </w:tc>
        <w:tc>
          <w:tcPr>
            <w:tcW w:w="1193" w:type="pct"/>
          </w:tcPr>
          <w:p w14:paraId="2B2E2144" w14:textId="77777777" w:rsidR="00FF7799" w:rsidRPr="00E73F6F" w:rsidRDefault="00FF7799" w:rsidP="00F07781">
            <w:pPr>
              <w:pStyle w:val="StandardText"/>
              <w:rPr>
                <w:i/>
                <w:lang w:val="de-DE"/>
              </w:rPr>
            </w:pPr>
            <w:r w:rsidRPr="00E73F6F">
              <w:rPr>
                <w:i/>
                <w:spacing w:val="-2"/>
                <w:lang w:val="de-DE"/>
              </w:rPr>
              <w:t>Eskimo</w:t>
            </w:r>
          </w:p>
        </w:tc>
        <w:tc>
          <w:tcPr>
            <w:tcW w:w="1027" w:type="pct"/>
          </w:tcPr>
          <w:p w14:paraId="23BEFBDB" w14:textId="77777777" w:rsidR="00FF7799" w:rsidRPr="00E73F6F" w:rsidRDefault="00FF7799" w:rsidP="00F07781">
            <w:pPr>
              <w:pStyle w:val="StandardText"/>
              <w:rPr>
                <w:lang w:val="de-DE"/>
              </w:rPr>
            </w:pPr>
          </w:p>
        </w:tc>
        <w:tc>
          <w:tcPr>
            <w:tcW w:w="1507" w:type="pct"/>
          </w:tcPr>
          <w:p w14:paraId="70D0C557" w14:textId="77777777" w:rsidR="00FF7799" w:rsidRPr="00E73F6F" w:rsidRDefault="00FF7799" w:rsidP="00F07781">
            <w:pPr>
              <w:pStyle w:val="StandardText"/>
              <w:rPr>
                <w:lang w:val="de-DE"/>
              </w:rPr>
            </w:pPr>
          </w:p>
        </w:tc>
      </w:tr>
    </w:tbl>
    <w:p w14:paraId="7FDD19C1" w14:textId="77777777" w:rsidR="00FF7799" w:rsidRPr="00E73F6F" w:rsidRDefault="00FF7799" w:rsidP="00862DBA">
      <w:pPr>
        <w:spacing w:before="66"/>
        <w:jc w:val="both"/>
        <w:rPr>
          <w:b/>
          <w:sz w:val="24"/>
          <w:szCs w:val="24"/>
        </w:rPr>
      </w:pPr>
    </w:p>
    <w:p w14:paraId="6032067C" w14:textId="77777777" w:rsidR="00FF7799" w:rsidRPr="0052536B" w:rsidRDefault="00FF7799" w:rsidP="00F07781">
      <w:pPr>
        <w:pStyle w:val="StandardText"/>
        <w:rPr>
          <w:sz w:val="22"/>
          <w:szCs w:val="22"/>
          <w:lang w:val="en-US"/>
        </w:rPr>
      </w:pPr>
      <w:r w:rsidRPr="0052536B">
        <w:rPr>
          <w:b/>
          <w:i/>
          <w:sz w:val="22"/>
          <w:szCs w:val="22"/>
          <w:lang w:val="en-US"/>
        </w:rPr>
        <w:t>Literatur</w:t>
      </w:r>
      <w:r w:rsidRPr="0052536B">
        <w:rPr>
          <w:i/>
          <w:sz w:val="22"/>
          <w:szCs w:val="22"/>
          <w:lang w:val="en-US"/>
        </w:rPr>
        <w:t>:</w:t>
      </w:r>
      <w:r w:rsidRPr="0052536B">
        <w:rPr>
          <w:sz w:val="22"/>
          <w:szCs w:val="22"/>
          <w:lang w:val="en-US"/>
        </w:rPr>
        <w:t xml:space="preserve"> Ang, S.H.: Chinese Consumers Perception of Alpha-Numeric Brand Names, in: Journal of</w:t>
      </w:r>
      <w:r w:rsidRPr="0052536B">
        <w:rPr>
          <w:spacing w:val="40"/>
          <w:sz w:val="22"/>
          <w:szCs w:val="22"/>
          <w:lang w:val="en-US"/>
        </w:rPr>
        <w:t xml:space="preserve"> </w:t>
      </w:r>
      <w:r w:rsidRPr="0052536B">
        <w:rPr>
          <w:sz w:val="22"/>
          <w:szCs w:val="22"/>
          <w:lang w:val="en-US"/>
        </w:rPr>
        <w:t>Consumer Marketing, Vol.14 (1997), No.2/3, pp.220-233.</w:t>
      </w:r>
      <w:r w:rsidRPr="0052536B">
        <w:rPr>
          <w:spacing w:val="80"/>
          <w:sz w:val="22"/>
          <w:szCs w:val="22"/>
          <w:lang w:val="en-US"/>
        </w:rPr>
        <w:t xml:space="preserve"> </w:t>
      </w:r>
      <w:r w:rsidRPr="0052536B">
        <w:rPr>
          <w:sz w:val="22"/>
          <w:szCs w:val="22"/>
          <w:lang w:val="en-US"/>
        </w:rPr>
        <w:t>Boyd, C.W.: Alpha-Numeric Brand Names,</w:t>
      </w:r>
      <w:r w:rsidRPr="0052536B">
        <w:rPr>
          <w:spacing w:val="40"/>
          <w:sz w:val="22"/>
          <w:szCs w:val="22"/>
          <w:lang w:val="en-US"/>
        </w:rPr>
        <w:t xml:space="preserve"> </w:t>
      </w:r>
      <w:r w:rsidRPr="0052536B">
        <w:rPr>
          <w:sz w:val="22"/>
          <w:szCs w:val="22"/>
          <w:lang w:val="en-US"/>
        </w:rPr>
        <w:t>in:</w:t>
      </w:r>
      <w:r w:rsidRPr="0052536B">
        <w:rPr>
          <w:spacing w:val="-8"/>
          <w:sz w:val="22"/>
          <w:szCs w:val="22"/>
          <w:lang w:val="en-US"/>
        </w:rPr>
        <w:t xml:space="preserve"> </w:t>
      </w:r>
      <w:r w:rsidRPr="0052536B">
        <w:rPr>
          <w:sz w:val="22"/>
          <w:szCs w:val="22"/>
          <w:lang w:val="en-US"/>
        </w:rPr>
        <w:t>Journal</w:t>
      </w:r>
      <w:r w:rsidRPr="0052536B">
        <w:rPr>
          <w:spacing w:val="-8"/>
          <w:sz w:val="22"/>
          <w:szCs w:val="22"/>
          <w:lang w:val="en-US"/>
        </w:rPr>
        <w:t xml:space="preserve"> </w:t>
      </w:r>
      <w:r w:rsidRPr="0052536B">
        <w:rPr>
          <w:sz w:val="22"/>
          <w:szCs w:val="22"/>
          <w:lang w:val="en-US"/>
        </w:rPr>
        <w:t>of</w:t>
      </w:r>
      <w:r w:rsidRPr="0052536B">
        <w:rPr>
          <w:spacing w:val="-8"/>
          <w:sz w:val="22"/>
          <w:szCs w:val="22"/>
          <w:lang w:val="en-US"/>
        </w:rPr>
        <w:t xml:space="preserve"> </w:t>
      </w:r>
      <w:r w:rsidRPr="0052536B">
        <w:rPr>
          <w:sz w:val="22"/>
          <w:szCs w:val="22"/>
          <w:lang w:val="en-US"/>
        </w:rPr>
        <w:t>Advertising</w:t>
      </w:r>
      <w:r w:rsidRPr="0052536B">
        <w:rPr>
          <w:spacing w:val="-8"/>
          <w:sz w:val="22"/>
          <w:szCs w:val="22"/>
          <w:lang w:val="en-US"/>
        </w:rPr>
        <w:t xml:space="preserve"> </w:t>
      </w:r>
      <w:r w:rsidRPr="0052536B">
        <w:rPr>
          <w:sz w:val="22"/>
          <w:szCs w:val="22"/>
          <w:lang w:val="en-US"/>
        </w:rPr>
        <w:t>Research,</w:t>
      </w:r>
      <w:r w:rsidRPr="0052536B">
        <w:rPr>
          <w:spacing w:val="-6"/>
          <w:sz w:val="22"/>
          <w:szCs w:val="22"/>
          <w:lang w:val="en-US"/>
        </w:rPr>
        <w:t xml:space="preserve"> </w:t>
      </w:r>
      <w:r w:rsidRPr="0052536B">
        <w:rPr>
          <w:sz w:val="22"/>
          <w:szCs w:val="22"/>
          <w:lang w:val="en-US"/>
        </w:rPr>
        <w:t>Vol.25</w:t>
      </w:r>
      <w:r w:rsidRPr="0052536B">
        <w:rPr>
          <w:spacing w:val="-7"/>
          <w:sz w:val="22"/>
          <w:szCs w:val="22"/>
          <w:lang w:val="en-US"/>
        </w:rPr>
        <w:t xml:space="preserve"> </w:t>
      </w:r>
      <w:r w:rsidRPr="0052536B">
        <w:rPr>
          <w:sz w:val="22"/>
          <w:szCs w:val="22"/>
          <w:lang w:val="en-US"/>
        </w:rPr>
        <w:t>(1985),</w:t>
      </w:r>
      <w:r w:rsidRPr="0052536B">
        <w:rPr>
          <w:spacing w:val="-6"/>
          <w:sz w:val="22"/>
          <w:szCs w:val="22"/>
          <w:lang w:val="en-US"/>
        </w:rPr>
        <w:t xml:space="preserve"> </w:t>
      </w:r>
      <w:r w:rsidRPr="0052536B">
        <w:rPr>
          <w:sz w:val="22"/>
          <w:szCs w:val="22"/>
          <w:lang w:val="en-US"/>
        </w:rPr>
        <w:t>No.5,</w:t>
      </w:r>
      <w:r w:rsidRPr="0052536B">
        <w:rPr>
          <w:spacing w:val="-6"/>
          <w:sz w:val="22"/>
          <w:szCs w:val="22"/>
          <w:lang w:val="en-US"/>
        </w:rPr>
        <w:t xml:space="preserve"> </w:t>
      </w:r>
      <w:r w:rsidRPr="0052536B">
        <w:rPr>
          <w:sz w:val="22"/>
          <w:szCs w:val="22"/>
          <w:lang w:val="en-US"/>
        </w:rPr>
        <w:t>pp.48-52.</w:t>
      </w:r>
      <w:r w:rsidRPr="0052536B">
        <w:rPr>
          <w:spacing w:val="40"/>
          <w:sz w:val="22"/>
          <w:szCs w:val="22"/>
          <w:lang w:val="en-US"/>
        </w:rPr>
        <w:t xml:space="preserve"> </w:t>
      </w:r>
      <w:r w:rsidRPr="0052536B">
        <w:rPr>
          <w:sz w:val="22"/>
          <w:szCs w:val="22"/>
          <w:lang w:val="en-US"/>
        </w:rPr>
        <w:t>Dawar,</w:t>
      </w:r>
      <w:r w:rsidRPr="0052536B">
        <w:rPr>
          <w:spacing w:val="-6"/>
          <w:sz w:val="22"/>
          <w:szCs w:val="22"/>
          <w:lang w:val="en-US"/>
        </w:rPr>
        <w:t xml:space="preserve"> </w:t>
      </w:r>
      <w:r w:rsidRPr="0052536B">
        <w:rPr>
          <w:sz w:val="22"/>
          <w:szCs w:val="22"/>
          <w:lang w:val="en-US"/>
        </w:rPr>
        <w:t>N.;</w:t>
      </w:r>
      <w:r w:rsidRPr="0052536B">
        <w:rPr>
          <w:spacing w:val="-8"/>
          <w:sz w:val="22"/>
          <w:szCs w:val="22"/>
          <w:lang w:val="en-US"/>
        </w:rPr>
        <w:t xml:space="preserve"> </w:t>
      </w:r>
      <w:r w:rsidRPr="0052536B">
        <w:rPr>
          <w:sz w:val="22"/>
          <w:szCs w:val="22"/>
          <w:lang w:val="en-US"/>
        </w:rPr>
        <w:t>Parker,</w:t>
      </w:r>
      <w:r w:rsidRPr="0052536B">
        <w:rPr>
          <w:spacing w:val="-6"/>
          <w:sz w:val="22"/>
          <w:szCs w:val="22"/>
          <w:lang w:val="en-US"/>
        </w:rPr>
        <w:t xml:space="preserve"> </w:t>
      </w:r>
      <w:r w:rsidRPr="0052536B">
        <w:rPr>
          <w:sz w:val="22"/>
          <w:szCs w:val="22"/>
          <w:lang w:val="en-US"/>
        </w:rPr>
        <w:t>P.M.:</w:t>
      </w:r>
      <w:r w:rsidRPr="0052536B">
        <w:rPr>
          <w:spacing w:val="-8"/>
          <w:sz w:val="22"/>
          <w:szCs w:val="22"/>
          <w:lang w:val="en-US"/>
        </w:rPr>
        <w:t xml:space="preserve"> </w:t>
      </w:r>
      <w:r w:rsidRPr="0052536B">
        <w:rPr>
          <w:sz w:val="22"/>
          <w:szCs w:val="22"/>
          <w:lang w:val="en-US"/>
        </w:rPr>
        <w:t>Marketing</w:t>
      </w:r>
      <w:r w:rsidRPr="0052536B">
        <w:rPr>
          <w:spacing w:val="40"/>
          <w:sz w:val="22"/>
          <w:szCs w:val="22"/>
          <w:lang w:val="en-US"/>
        </w:rPr>
        <w:t xml:space="preserve"> </w:t>
      </w:r>
      <w:r w:rsidRPr="0052536B">
        <w:rPr>
          <w:sz w:val="22"/>
          <w:szCs w:val="22"/>
          <w:lang w:val="en-US"/>
        </w:rPr>
        <w:t>Universals. Consumers’ Use of Brand Name, Price, Physical Appearance, and Retailer Reputation as</w:t>
      </w:r>
      <w:r w:rsidRPr="0052536B">
        <w:rPr>
          <w:spacing w:val="40"/>
          <w:sz w:val="22"/>
          <w:szCs w:val="22"/>
          <w:lang w:val="en-US"/>
        </w:rPr>
        <w:t xml:space="preserve"> </w:t>
      </w:r>
      <w:r w:rsidRPr="0052536B">
        <w:rPr>
          <w:sz w:val="22"/>
          <w:szCs w:val="22"/>
          <w:lang w:val="en-US"/>
        </w:rPr>
        <w:t>Signals of Product Quality, in: Journal of Marketing, Vol.58 (1994), No.2, pp.81-95. Dewhurst, S.A.;</w:t>
      </w:r>
      <w:r w:rsidRPr="0052536B">
        <w:rPr>
          <w:spacing w:val="40"/>
          <w:sz w:val="22"/>
          <w:szCs w:val="22"/>
          <w:lang w:val="en-US"/>
        </w:rPr>
        <w:t xml:space="preserve"> </w:t>
      </w:r>
      <w:r w:rsidRPr="0052536B">
        <w:rPr>
          <w:sz w:val="22"/>
          <w:szCs w:val="22"/>
          <w:lang w:val="en-US"/>
        </w:rPr>
        <w:t>Hitch, G.J.; Barry, C.: Separate Effects of Word Frequency and Age of Acquisition in Recognition and</w:t>
      </w:r>
      <w:r w:rsidRPr="0052536B">
        <w:rPr>
          <w:spacing w:val="40"/>
          <w:sz w:val="22"/>
          <w:szCs w:val="22"/>
          <w:lang w:val="en-US"/>
        </w:rPr>
        <w:t xml:space="preserve"> </w:t>
      </w:r>
      <w:r w:rsidRPr="0052536B">
        <w:rPr>
          <w:sz w:val="22"/>
          <w:szCs w:val="22"/>
          <w:lang w:val="en-US"/>
        </w:rPr>
        <w:t>Recall,</w:t>
      </w:r>
      <w:r w:rsidRPr="0052536B">
        <w:rPr>
          <w:spacing w:val="-4"/>
          <w:sz w:val="22"/>
          <w:szCs w:val="22"/>
          <w:lang w:val="en-US"/>
        </w:rPr>
        <w:t xml:space="preserve"> </w:t>
      </w:r>
      <w:r w:rsidRPr="0052536B">
        <w:rPr>
          <w:sz w:val="22"/>
          <w:szCs w:val="22"/>
          <w:lang w:val="en-US"/>
        </w:rPr>
        <w:t>in:</w:t>
      </w:r>
      <w:r w:rsidRPr="0052536B">
        <w:rPr>
          <w:spacing w:val="-4"/>
          <w:sz w:val="22"/>
          <w:szCs w:val="22"/>
          <w:lang w:val="en-US"/>
        </w:rPr>
        <w:t xml:space="preserve"> </w:t>
      </w:r>
      <w:r w:rsidRPr="0052536B">
        <w:rPr>
          <w:sz w:val="22"/>
          <w:szCs w:val="22"/>
          <w:lang w:val="en-US"/>
        </w:rPr>
        <w:t>Journal</w:t>
      </w:r>
      <w:r w:rsidRPr="0052536B">
        <w:rPr>
          <w:spacing w:val="-5"/>
          <w:sz w:val="22"/>
          <w:szCs w:val="22"/>
          <w:lang w:val="en-US"/>
        </w:rPr>
        <w:t xml:space="preserve"> </w:t>
      </w:r>
      <w:r w:rsidRPr="0052536B">
        <w:rPr>
          <w:sz w:val="22"/>
          <w:szCs w:val="22"/>
          <w:lang w:val="en-US"/>
        </w:rPr>
        <w:t>of</w:t>
      </w:r>
      <w:r w:rsidRPr="0052536B">
        <w:rPr>
          <w:spacing w:val="-5"/>
          <w:sz w:val="22"/>
          <w:szCs w:val="22"/>
          <w:lang w:val="en-US"/>
        </w:rPr>
        <w:t xml:space="preserve"> </w:t>
      </w:r>
      <w:r w:rsidRPr="0052536B">
        <w:rPr>
          <w:sz w:val="22"/>
          <w:szCs w:val="22"/>
          <w:lang w:val="en-US"/>
        </w:rPr>
        <w:t>Experimental</w:t>
      </w:r>
      <w:r w:rsidRPr="0052536B">
        <w:rPr>
          <w:spacing w:val="-2"/>
          <w:sz w:val="22"/>
          <w:szCs w:val="22"/>
          <w:lang w:val="en-US"/>
        </w:rPr>
        <w:t xml:space="preserve"> </w:t>
      </w:r>
      <w:r w:rsidRPr="0052536B">
        <w:rPr>
          <w:sz w:val="22"/>
          <w:szCs w:val="22"/>
          <w:lang w:val="en-US"/>
        </w:rPr>
        <w:t>Psychology:</w:t>
      </w:r>
      <w:r w:rsidRPr="0052536B">
        <w:rPr>
          <w:spacing w:val="-5"/>
          <w:sz w:val="22"/>
          <w:szCs w:val="22"/>
          <w:lang w:val="en-US"/>
        </w:rPr>
        <w:t xml:space="preserve"> </w:t>
      </w:r>
      <w:r w:rsidRPr="0052536B">
        <w:rPr>
          <w:sz w:val="22"/>
          <w:szCs w:val="22"/>
          <w:lang w:val="en-US"/>
        </w:rPr>
        <w:t>Learning,</w:t>
      </w:r>
      <w:r w:rsidRPr="0052536B">
        <w:rPr>
          <w:spacing w:val="-4"/>
          <w:sz w:val="22"/>
          <w:szCs w:val="22"/>
          <w:lang w:val="en-US"/>
        </w:rPr>
        <w:t xml:space="preserve"> </w:t>
      </w:r>
      <w:r w:rsidRPr="0052536B">
        <w:rPr>
          <w:sz w:val="22"/>
          <w:szCs w:val="22"/>
          <w:lang w:val="en-US"/>
        </w:rPr>
        <w:t>Memory,</w:t>
      </w:r>
      <w:r w:rsidRPr="0052536B">
        <w:rPr>
          <w:spacing w:val="-3"/>
          <w:sz w:val="22"/>
          <w:szCs w:val="22"/>
          <w:lang w:val="en-US"/>
        </w:rPr>
        <w:t xml:space="preserve"> </w:t>
      </w:r>
      <w:r w:rsidRPr="0052536B">
        <w:rPr>
          <w:sz w:val="22"/>
          <w:szCs w:val="22"/>
          <w:lang w:val="en-US"/>
        </w:rPr>
        <w:t>and</w:t>
      </w:r>
      <w:r w:rsidRPr="0052536B">
        <w:rPr>
          <w:spacing w:val="-4"/>
          <w:sz w:val="22"/>
          <w:szCs w:val="22"/>
          <w:lang w:val="en-US"/>
        </w:rPr>
        <w:t xml:space="preserve"> </w:t>
      </w:r>
      <w:r w:rsidRPr="0052536B">
        <w:rPr>
          <w:sz w:val="22"/>
          <w:szCs w:val="22"/>
          <w:lang w:val="en-US"/>
        </w:rPr>
        <w:t>Cognition,</w:t>
      </w:r>
      <w:r w:rsidRPr="0052536B">
        <w:rPr>
          <w:spacing w:val="-3"/>
          <w:sz w:val="22"/>
          <w:szCs w:val="22"/>
          <w:lang w:val="en-US"/>
        </w:rPr>
        <w:t xml:space="preserve"> </w:t>
      </w:r>
      <w:r w:rsidRPr="0052536B">
        <w:rPr>
          <w:sz w:val="22"/>
          <w:szCs w:val="22"/>
          <w:lang w:val="en-US"/>
        </w:rPr>
        <w:t>Vol.24</w:t>
      </w:r>
      <w:r w:rsidRPr="0052536B">
        <w:rPr>
          <w:spacing w:val="-5"/>
          <w:sz w:val="22"/>
          <w:szCs w:val="22"/>
          <w:lang w:val="en-US"/>
        </w:rPr>
        <w:t xml:space="preserve"> </w:t>
      </w:r>
      <w:r w:rsidRPr="0052536B">
        <w:rPr>
          <w:sz w:val="22"/>
          <w:szCs w:val="22"/>
          <w:lang w:val="en-US"/>
        </w:rPr>
        <w:t>(1998),</w:t>
      </w:r>
      <w:r w:rsidRPr="0052536B">
        <w:rPr>
          <w:spacing w:val="-3"/>
          <w:sz w:val="22"/>
          <w:szCs w:val="22"/>
          <w:lang w:val="en-US"/>
        </w:rPr>
        <w:t xml:space="preserve"> </w:t>
      </w:r>
      <w:r w:rsidRPr="0052536B">
        <w:rPr>
          <w:spacing w:val="-2"/>
          <w:sz w:val="22"/>
          <w:szCs w:val="22"/>
          <w:lang w:val="en-US"/>
        </w:rPr>
        <w:t>No.2,</w:t>
      </w:r>
      <w:r w:rsidRPr="0052536B">
        <w:rPr>
          <w:sz w:val="22"/>
          <w:szCs w:val="22"/>
          <w:lang w:val="en-US"/>
        </w:rPr>
        <w:t xml:space="preserve"> pp.284-298. </w:t>
      </w:r>
      <w:r w:rsidRPr="0052536B">
        <w:rPr>
          <w:sz w:val="22"/>
          <w:szCs w:val="22"/>
        </w:rPr>
        <w:t xml:space="preserve">Esch, F.-R.; Tomczak, T.; Kernstock, J.; Langner, T.: Corporate Brand Management, Wiesbaden 2004. Esch, F.-R.; Wicke, A.: Herausforderungen und Aufgaben des Markenmanagements, in: Esch, F.-R. (Hrsg.), Moderne Markenführung, 3.Aufl., Wiesbaden 2001, S.3-55. </w:t>
      </w:r>
      <w:r w:rsidRPr="0052536B">
        <w:rPr>
          <w:sz w:val="22"/>
          <w:szCs w:val="22"/>
          <w:lang w:val="en-US"/>
        </w:rPr>
        <w:t xml:space="preserve">Francis, J.N.P.; Lam, J.P.Y.; Walls, J.: The Impact of Linguistic Differences on International Brand Name Standardization. A Comparison of English and Chinese Brand Names of Fortune-500 Companies, in: International Journal of Marketing, Vol.10 (2002), No.1, pp.98-116. </w:t>
      </w:r>
      <w:r w:rsidRPr="0052536B">
        <w:rPr>
          <w:sz w:val="22"/>
          <w:szCs w:val="22"/>
        </w:rPr>
        <w:t xml:space="preserve">Gelbrich, K.; Müller, S.: Fremdsprachige Markennamen zwischen Xenophilie und Xenophobie, in: Bayon, T.; Herrmann, A.; Huber, F. (Hrsg.), Vielfalt und Einheit in der Marketingwissenschaft, Wiesbaden 2007, S.45-65. </w:t>
      </w:r>
      <w:r w:rsidRPr="0052536B">
        <w:rPr>
          <w:sz w:val="22"/>
          <w:szCs w:val="22"/>
          <w:lang w:val="en-US"/>
        </w:rPr>
        <w:t xml:space="preserve">Greenberg, J.H.: Universals of Human Language, Vol.2: Phonology, Stanford 1988. </w:t>
      </w:r>
      <w:r w:rsidRPr="0052536B">
        <w:rPr>
          <w:sz w:val="22"/>
          <w:szCs w:val="22"/>
        </w:rPr>
        <w:t xml:space="preserve">Herstatt, J.D.: Die Entwicklung von Markennamen im Rahmen der Produktneuplanung, Frankfurt 1985. </w:t>
      </w:r>
      <w:r w:rsidRPr="0052536B">
        <w:rPr>
          <w:sz w:val="22"/>
          <w:szCs w:val="22"/>
          <w:lang w:val="en-US"/>
        </w:rPr>
        <w:t xml:space="preserve">Hong, F.C.; Pecotich, A.; Schultz II, C.J.: Brand Name Translation. Language Constraints, Product Attributes, and Consumer Perceptions in East and Southeast Asia, in: Journal of International Marketing, Vol.10 (2002), No.2, pp.29-45. Huang, Y.Y.; Chan, A.K.K.: Chinese Brand Naming. From General Principles to Specific Rules, in: International Journal of Advertising, Vol.16 (1997), No.4, pp.320-335. Klink, R.: Creating Brand Names with Meaning. The Use of Sound Symbolism, in: Marketing Letters, Vol.11 (2000), No.1, pp.5-20. </w:t>
      </w:r>
      <w:r w:rsidRPr="0052536B">
        <w:rPr>
          <w:sz w:val="22"/>
          <w:szCs w:val="22"/>
        </w:rPr>
        <w:t xml:space="preserve">Latour, S.: Namen machen Marken, Frankfurt/Main 1996. Meffert, H.; Bolz, J.: Internationales Marketing-Management, 3.Aufl., Stuttgart 1998. </w:t>
      </w:r>
      <w:r w:rsidRPr="0052536B">
        <w:rPr>
          <w:sz w:val="22"/>
          <w:szCs w:val="22"/>
          <w:lang w:val="en-US"/>
        </w:rPr>
        <w:t xml:space="preserve">Meyers-Levy, J.: The Influence of a Brand Name’s Association Set Size and Word Frequency on Brand Memory, in: Journal of Consumer Research, Vol.16 (1989), pp.197-207. de Mooij, M.: Consumer Behaviour and Culture., 3rd Ed., Thousand Oaks/CA 2019. Pan, Y.; Schmitt, B.H.: What’s in a Name? An Empirical Comparison of Chinese and Western Brand Names, in: Asian Journal of Marketing, Vol.4 (1995), No.1, pp.48-52. Pan, Y.; Schmitt, B.: Language and Brand Attitudes. Impact of Script and Sound Matching in Chinese and English, in: Journal of Consumer Psychology, Vol.5 (1996), No.3, pp.263-278. Pavia, T.M.; Costa, J.A.: The Winning Number. Consumer Perceptions of Alpha- Numeric Brand Names, in: Journal of Marketing, Vol.57 (1993), No.3, pp.85-98. Schmitt, B.H.; Pan, Y.: Managing Corporate and Brand Identities in the Asia-Pacific Region, in: California Management Review, Vol.36 (1994), No.4, pp.32-48. Schmitt, B.H.; Pan, Y.; Tavassoli, N.T.: Language and Consumer Memory. The Impact of Linguistic Differences between Chinese and English, in: Journal of Consumer Research, Vol.21 (1994), No.3, pp.419-431. </w:t>
      </w:r>
      <w:r w:rsidRPr="0052536B">
        <w:rPr>
          <w:sz w:val="22"/>
          <w:szCs w:val="22"/>
        </w:rPr>
        <w:t xml:space="preserve">Stolz, J.: Soziologie der Fremdenfeindlichkeit. Theoretische und empirische Analysen, Frankfurt/Main 2000. </w:t>
      </w:r>
      <w:r w:rsidRPr="0052536B">
        <w:rPr>
          <w:sz w:val="22"/>
          <w:szCs w:val="22"/>
          <w:lang w:val="en-US"/>
        </w:rPr>
        <w:t>Vanden Bergh, B.G.: The Rekurring Kase of the Special K, in: Journal of Advertising Research, Vol.30 (1990), No.5, pp.RC9-</w:t>
      </w:r>
      <w:r w:rsidRPr="0052536B">
        <w:rPr>
          <w:sz w:val="22"/>
          <w:szCs w:val="22"/>
          <w:lang w:val="en-US"/>
        </w:rPr>
        <w:lastRenderedPageBreak/>
        <w:t>RC12. Zhang, S.; Schmitt, B.H.: Creating Local Brands in Multilingual International Markets, in: Journal of Marketing Research, Vol.38 (2001), No.3, pp.313-335. Zhang, S.; Schmitt, B.: Activating Sound and Meaning. The Role of Language Proficiency in Bilingual Consumer Environments, in: Journal of Consumer Research, Vol.31 (2004), pp.220-229.</w:t>
      </w:r>
    </w:p>
    <w:p w14:paraId="7A2FA92C" w14:textId="77777777" w:rsidR="00FF7799" w:rsidRPr="0052536B" w:rsidRDefault="00FF7799" w:rsidP="00F07781">
      <w:pPr>
        <w:pStyle w:val="StandardText"/>
        <w:rPr>
          <w:sz w:val="22"/>
          <w:szCs w:val="22"/>
          <w:lang w:val="en-US"/>
        </w:rPr>
      </w:pPr>
    </w:p>
    <w:p w14:paraId="1179ECEE" w14:textId="77777777" w:rsidR="00FF7799" w:rsidRPr="00AB3FAA" w:rsidRDefault="00FF7799" w:rsidP="00414BDC">
      <w:pPr>
        <w:pStyle w:val="berschrift1"/>
        <w:rPr>
          <w:bCs w:val="0"/>
          <w:color w:val="2E74B5"/>
          <w:sz w:val="22"/>
        </w:rPr>
      </w:pPr>
      <w:r w:rsidRPr="00AB3FAA">
        <w:rPr>
          <w:bCs w:val="0"/>
          <w:color w:val="2E74B5"/>
          <w:sz w:val="22"/>
        </w:rPr>
        <w:t>Markenwert</w:t>
      </w:r>
    </w:p>
    <w:p w14:paraId="0D832854" w14:textId="77777777" w:rsidR="00FF7799" w:rsidRPr="0052536B" w:rsidRDefault="00FF7799" w:rsidP="00F07781">
      <w:pPr>
        <w:pStyle w:val="StandardText"/>
      </w:pPr>
      <w:r w:rsidRPr="0052536B">
        <w:t>Mehrwert, den eine Marke dem Käufer im Vergleich zum unmarkierten</w:t>
      </w:r>
      <w:r w:rsidRPr="0052536B">
        <w:rPr>
          <w:spacing w:val="40"/>
        </w:rPr>
        <w:t xml:space="preserve"> </w:t>
      </w:r>
      <w:r w:rsidRPr="0052536B">
        <w:t>Produkt bietet. Als Indikatoren kommen u.a. Markensympathie („Wie sympathisch erscheint die Marke?“), Markenvertrauen („Wie vertrauenswürdig wirkt die Marke?“), Markenwissen („Was assoziiert der Käufer mit der Marke?“) und Marken-Uniqueness („Wie einzigartig ist die Marke?“) infrage. Möglich ist es auch, den Markenwert anhand der Zahlungsbereitschaft zu bestimmten: Welchen Mehrpreis eines Markenprodukts im Vergleich zu einem konkurrierenden unmarkierten Produkt akzeptieren Kunden? Bei vielen Unternehmen trägt der Markenwert entscheidend zum Unternehmenswert bei. 2015 betrug der Markenwert von Apple 247 Mrd. $, von Google 174 Mrd. $, von Microsoft 115 Mrd.</w:t>
      </w:r>
      <w:r w:rsidRPr="0052536B">
        <w:rPr>
          <w:spacing w:val="-2"/>
        </w:rPr>
        <w:t xml:space="preserve"> </w:t>
      </w:r>
      <w:r w:rsidRPr="0052536B">
        <w:t>$,</w:t>
      </w:r>
      <w:r w:rsidRPr="0052536B">
        <w:rPr>
          <w:spacing w:val="-2"/>
        </w:rPr>
        <w:t xml:space="preserve"> </w:t>
      </w:r>
      <w:r w:rsidRPr="0052536B">
        <w:t>von Coca-Cola 84</w:t>
      </w:r>
      <w:r w:rsidRPr="0052536B">
        <w:rPr>
          <w:spacing w:val="-1"/>
        </w:rPr>
        <w:t xml:space="preserve"> </w:t>
      </w:r>
      <w:r w:rsidRPr="0052536B">
        <w:t>Mrd.</w:t>
      </w:r>
      <w:r w:rsidRPr="0052536B">
        <w:rPr>
          <w:spacing w:val="-2"/>
        </w:rPr>
        <w:t xml:space="preserve"> </w:t>
      </w:r>
      <w:r w:rsidRPr="0052536B">
        <w:t>$,</w:t>
      </w:r>
      <w:r w:rsidRPr="0052536B">
        <w:rPr>
          <w:spacing w:val="-2"/>
        </w:rPr>
        <w:t xml:space="preserve"> </w:t>
      </w:r>
      <w:r w:rsidRPr="0052536B">
        <w:t>von McDonald’s</w:t>
      </w:r>
      <w:r w:rsidRPr="0052536B">
        <w:rPr>
          <w:spacing w:val="-2"/>
        </w:rPr>
        <w:t xml:space="preserve"> </w:t>
      </w:r>
      <w:r w:rsidRPr="0052536B">
        <w:t>81</w:t>
      </w:r>
      <w:r w:rsidRPr="0052536B">
        <w:rPr>
          <w:spacing w:val="-3"/>
        </w:rPr>
        <w:t xml:space="preserve"> </w:t>
      </w:r>
      <w:r w:rsidRPr="0052536B">
        <w:t>Mrd.</w:t>
      </w:r>
      <w:r w:rsidRPr="0052536B">
        <w:rPr>
          <w:spacing w:val="-4"/>
        </w:rPr>
        <w:t xml:space="preserve"> </w:t>
      </w:r>
      <w:r w:rsidRPr="0052536B">
        <w:t>$</w:t>
      </w:r>
      <w:r w:rsidRPr="0052536B">
        <w:rPr>
          <w:spacing w:val="-1"/>
        </w:rPr>
        <w:t xml:space="preserve"> </w:t>
      </w:r>
      <w:r w:rsidRPr="0052536B">
        <w:t>und</w:t>
      </w:r>
      <w:r w:rsidRPr="0052536B">
        <w:rPr>
          <w:spacing w:val="-3"/>
        </w:rPr>
        <w:t xml:space="preserve"> </w:t>
      </w:r>
      <w:r w:rsidRPr="0052536B">
        <w:t>von</w:t>
      </w:r>
      <w:r w:rsidRPr="0052536B">
        <w:rPr>
          <w:spacing w:val="-1"/>
        </w:rPr>
        <w:t xml:space="preserve"> </w:t>
      </w:r>
      <w:r w:rsidRPr="0052536B">
        <w:t>Marlboro 80 Mrd. $.</w:t>
      </w:r>
    </w:p>
    <w:p w14:paraId="7BAEC507" w14:textId="77777777" w:rsidR="00FF7799" w:rsidRDefault="00FF7799" w:rsidP="00F07781">
      <w:pPr>
        <w:pStyle w:val="StandardText"/>
      </w:pPr>
    </w:p>
    <w:p w14:paraId="00F1F998" w14:textId="77777777" w:rsidR="00043AE9" w:rsidRDefault="00043AE9" w:rsidP="00043AE9">
      <w:pPr>
        <w:keepNext/>
        <w:keepLines/>
        <w:spacing w:before="240"/>
        <w:jc w:val="both"/>
        <w:outlineLvl w:val="1"/>
        <w:rPr>
          <w:szCs w:val="24"/>
        </w:rPr>
      </w:pPr>
      <w:r w:rsidRPr="00FC6E20">
        <w:rPr>
          <w:b/>
          <w:color w:val="2E74B5"/>
        </w:rPr>
        <w:t xml:space="preserve">Marketing, interkulturelles </w:t>
      </w:r>
      <w:r w:rsidRPr="007F69DA">
        <w:rPr>
          <w:szCs w:val="24"/>
        </w:rPr>
        <w:sym w:font="Symbol" w:char="F0AE"/>
      </w:r>
      <w:r w:rsidRPr="00FC6E20">
        <w:rPr>
          <w:szCs w:val="24"/>
        </w:rPr>
        <w:t xml:space="preserve"> Marketing, kultursenibles</w:t>
      </w:r>
    </w:p>
    <w:p w14:paraId="5E00FE01" w14:textId="77777777" w:rsidR="00043AE9" w:rsidRDefault="00043AE9" w:rsidP="00043AE9">
      <w:pPr>
        <w:keepNext/>
        <w:keepLines/>
        <w:spacing w:before="240"/>
        <w:jc w:val="both"/>
        <w:outlineLvl w:val="1"/>
        <w:rPr>
          <w:szCs w:val="24"/>
        </w:rPr>
      </w:pPr>
      <w:r w:rsidRPr="00FC6E20">
        <w:rPr>
          <w:b/>
          <w:color w:val="2E74B5"/>
        </w:rPr>
        <w:t xml:space="preserve">Marketing, </w:t>
      </w:r>
      <w:r>
        <w:rPr>
          <w:b/>
          <w:color w:val="2E74B5"/>
        </w:rPr>
        <w:t xml:space="preserve">interreligiöses </w:t>
      </w:r>
      <w:r w:rsidRPr="007F69DA">
        <w:rPr>
          <w:szCs w:val="24"/>
        </w:rPr>
        <w:sym w:font="Symbol" w:char="F0AE"/>
      </w:r>
      <w:r w:rsidRPr="00FC6E20">
        <w:rPr>
          <w:szCs w:val="24"/>
        </w:rPr>
        <w:t xml:space="preserve"> Marketing, kultursenibles</w:t>
      </w:r>
    </w:p>
    <w:p w14:paraId="671D58A2" w14:textId="77777777" w:rsidR="00043AE9" w:rsidRPr="00FC6E20" w:rsidRDefault="00043AE9" w:rsidP="00043AE9">
      <w:pPr>
        <w:keepNext/>
        <w:keepLines/>
        <w:spacing w:before="240"/>
        <w:jc w:val="both"/>
        <w:outlineLvl w:val="1"/>
        <w:rPr>
          <w:b/>
          <w:color w:val="2E74B5"/>
        </w:rPr>
      </w:pPr>
      <w:r w:rsidRPr="00FC6E20">
        <w:rPr>
          <w:b/>
          <w:color w:val="2E74B5"/>
        </w:rPr>
        <w:t xml:space="preserve">Marketing, </w:t>
      </w:r>
      <w:r>
        <w:rPr>
          <w:b/>
          <w:color w:val="2E74B5"/>
        </w:rPr>
        <w:t xml:space="preserve">intrakulturelles </w:t>
      </w:r>
      <w:r w:rsidRPr="007F69DA">
        <w:rPr>
          <w:szCs w:val="24"/>
        </w:rPr>
        <w:sym w:font="Symbol" w:char="F0AE"/>
      </w:r>
      <w:r w:rsidRPr="00FC6E20">
        <w:rPr>
          <w:szCs w:val="24"/>
        </w:rPr>
        <w:t xml:space="preserve"> Marketing, kultursenibles</w:t>
      </w:r>
    </w:p>
    <w:p w14:paraId="6BDE3636" w14:textId="77777777" w:rsidR="00043AE9" w:rsidRPr="007F69DA" w:rsidRDefault="00043AE9" w:rsidP="00043AE9">
      <w:pPr>
        <w:keepNext/>
        <w:keepLines/>
        <w:spacing w:before="240"/>
        <w:jc w:val="both"/>
        <w:outlineLvl w:val="1"/>
        <w:rPr>
          <w:b/>
          <w:color w:val="2E74B5"/>
        </w:rPr>
      </w:pPr>
      <w:r w:rsidRPr="007F69DA">
        <w:rPr>
          <w:b/>
          <w:color w:val="2E74B5"/>
        </w:rPr>
        <w:t>Marketing, kultursensibles</w:t>
      </w:r>
    </w:p>
    <w:p w14:paraId="46D29D05" w14:textId="77777777" w:rsidR="00043AE9" w:rsidRPr="007F69DA" w:rsidRDefault="00043AE9" w:rsidP="00043AE9">
      <w:pPr>
        <w:jc w:val="both"/>
        <w:rPr>
          <w:szCs w:val="24"/>
          <w:lang w:bidi="en-US"/>
        </w:rPr>
      </w:pPr>
      <w:r w:rsidRPr="007F69DA">
        <w:rPr>
          <w:szCs w:val="24"/>
          <w:lang w:bidi="en-US"/>
        </w:rPr>
        <w:t>umfasst mehrere Disziplinen des Marketing, welche die Erkenntnis verbindet, dass das kulturelle Umfeld von Managern und Konsumenten deren Einstellungen, Entscheidungen und Verhaltensweisen wesentlich beeinflusst. Es sind dies das Interkulturelle Marketing und das Intrakulturelle Marketing – letzteres in Gestalt des Interregionalen, des Ethno- und des Subkulturenmarketing (vgl. Abb. 1). Als Oberbegriff schlagen wir für diese Disziplinen die Bezeichnung „kultursensibles Marketing“ vor.</w:t>
      </w:r>
    </w:p>
    <w:p w14:paraId="18DE95C5" w14:textId="77777777" w:rsidR="00043AE9" w:rsidRPr="007F69DA" w:rsidRDefault="00043AE9" w:rsidP="00043AE9"/>
    <w:p w14:paraId="2E246EF3" w14:textId="77777777" w:rsidR="00043AE9" w:rsidRPr="0018289F" w:rsidRDefault="00043AE9" w:rsidP="00043AE9">
      <w:pPr>
        <w:pStyle w:val="Beschriftung"/>
      </w:pPr>
      <w:bookmarkStart w:id="75" w:name="_Ref413253292"/>
      <w:r w:rsidRPr="0018289F">
        <w:t xml:space="preserve">Abb. </w:t>
      </w:r>
      <w:bookmarkEnd w:id="75"/>
      <w:r w:rsidRPr="0018289F">
        <w:t>1: Erscheinungsformen des kultursensiblen Marketing</w:t>
      </w:r>
    </w:p>
    <w:p w14:paraId="46C12596" w14:textId="77777777" w:rsidR="00043AE9" w:rsidRPr="007F69DA" w:rsidRDefault="00043AE9" w:rsidP="00043AE9">
      <w:r w:rsidRPr="007F69DA">
        <w:rPr>
          <w:noProof/>
          <w:lang w:eastAsia="de-DE"/>
        </w:rPr>
        <w:drawing>
          <wp:inline distT="0" distB="0" distL="0" distR="0" wp14:anchorId="63A58632" wp14:editId="601A28FE">
            <wp:extent cx="5948045" cy="2581961"/>
            <wp:effectExtent l="0" t="0" r="0" b="8890"/>
            <wp:docPr id="6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5953793" cy="2584456"/>
                    </a:xfrm>
                    <a:prstGeom prst="rect">
                      <a:avLst/>
                    </a:prstGeom>
                    <a:noFill/>
                  </pic:spPr>
                </pic:pic>
              </a:graphicData>
            </a:graphic>
          </wp:inline>
        </w:drawing>
      </w:r>
    </w:p>
    <w:p w14:paraId="7ACBC601" w14:textId="77777777" w:rsidR="00043AE9" w:rsidRPr="007F69DA" w:rsidRDefault="00043AE9" w:rsidP="00043AE9"/>
    <w:p w14:paraId="7677FE62" w14:textId="77777777" w:rsidR="00043AE9" w:rsidRPr="007F69DA" w:rsidRDefault="00043AE9" w:rsidP="00043AE9"/>
    <w:p w14:paraId="7466F6B3" w14:textId="77777777" w:rsidR="00043AE9" w:rsidRPr="007F69DA" w:rsidRDefault="00043AE9" w:rsidP="00043AE9">
      <w:pPr>
        <w:spacing w:line="360" w:lineRule="auto"/>
        <w:jc w:val="both"/>
        <w:rPr>
          <w:szCs w:val="24"/>
          <w:lang w:bidi="en-US"/>
        </w:rPr>
      </w:pPr>
      <w:bookmarkStart w:id="76" w:name="_Toc413251437"/>
      <w:bookmarkStart w:id="77" w:name="_Toc413251503"/>
      <w:r w:rsidRPr="007F69DA">
        <w:rPr>
          <w:szCs w:val="24"/>
          <w:lang w:bidi="en-US"/>
        </w:rPr>
        <w:t>1 Zur Verhaltensrelevanz des kulturellen Umfeldes</w:t>
      </w:r>
      <w:bookmarkEnd w:id="76"/>
      <w:bookmarkEnd w:id="77"/>
    </w:p>
    <w:p w14:paraId="2D133008" w14:textId="77777777" w:rsidR="00043AE9" w:rsidRPr="007F69DA" w:rsidRDefault="00043AE9" w:rsidP="00043AE9">
      <w:pPr>
        <w:jc w:val="both"/>
        <w:rPr>
          <w:szCs w:val="24"/>
          <w:lang w:bidi="en-US"/>
        </w:rPr>
      </w:pPr>
      <w:r w:rsidRPr="007F69DA">
        <w:rPr>
          <w:szCs w:val="24"/>
          <w:lang w:bidi="en-US"/>
        </w:rPr>
        <w:lastRenderedPageBreak/>
        <w:t>Einstellungen, Entscheidungen und Verhaltensweisen von Managern, Konsumenten und anderen Akteuren werden vom jeweiligen kulturellen Umfeld nachhaltig beeinflusst. Dieses Umfeld begegnet uns als Gesamtheit der Normen und Werte …</w:t>
      </w:r>
    </w:p>
    <w:p w14:paraId="54267840" w14:textId="77777777" w:rsidR="00043AE9" w:rsidRPr="007F69DA" w:rsidRDefault="00043AE9">
      <w:pPr>
        <w:widowControl/>
        <w:numPr>
          <w:ilvl w:val="0"/>
          <w:numId w:val="77"/>
        </w:numPr>
        <w:autoSpaceDE/>
        <w:autoSpaceDN/>
        <w:jc w:val="both"/>
      </w:pPr>
      <w:r w:rsidRPr="007F69DA">
        <w:t>der Mehrheitsgesellschaft einer Nation, die in Gestalt der Landeskultur (‘national culture‘) die maßgebliche Bezugsgröße des Interkulturellen Marketing sind,</w:t>
      </w:r>
    </w:p>
    <w:p w14:paraId="62E004D1" w14:textId="77777777" w:rsidR="00043AE9" w:rsidRPr="007F69DA" w:rsidRDefault="00043AE9">
      <w:pPr>
        <w:widowControl/>
        <w:numPr>
          <w:ilvl w:val="0"/>
          <w:numId w:val="77"/>
        </w:numPr>
        <w:autoSpaceDE/>
        <w:autoSpaceDN/>
        <w:jc w:val="both"/>
      </w:pPr>
      <w:r w:rsidRPr="007F69DA">
        <w:t>einer ethnisch abgrenzbaren Teilmenge einer Nation, die sich nicht in die Mehrheitsgesellschaft integriert und eine mehr oder weniger abgeschottete Parallelgesellschaft gebildet hat (Ethno-Marketing),</w:t>
      </w:r>
    </w:p>
    <w:p w14:paraId="4725B066" w14:textId="77777777" w:rsidR="00043AE9" w:rsidRPr="007F69DA" w:rsidRDefault="00043AE9">
      <w:pPr>
        <w:widowControl/>
        <w:numPr>
          <w:ilvl w:val="0"/>
          <w:numId w:val="77"/>
        </w:numPr>
        <w:autoSpaceDE/>
        <w:autoSpaceDN/>
        <w:jc w:val="both"/>
      </w:pPr>
      <w:r w:rsidRPr="007F69DA">
        <w:t>einer Subkultur, die sich bewusst und nicht selten, etwa im Falle der Jugendkultur (vgl. Hamm 2003), konflikthaft von der Mehrheitsgesellschaft abgrenzt,</w:t>
      </w:r>
    </w:p>
    <w:p w14:paraId="0BED172B" w14:textId="77777777" w:rsidR="00043AE9" w:rsidRPr="007F69DA" w:rsidRDefault="00043AE9">
      <w:pPr>
        <w:widowControl/>
        <w:numPr>
          <w:ilvl w:val="0"/>
          <w:numId w:val="77"/>
        </w:numPr>
        <w:autoSpaceDE/>
        <w:autoSpaceDN/>
        <w:jc w:val="both"/>
      </w:pPr>
      <w:r w:rsidRPr="007F69DA">
        <w:t>die einzelne Mitglieder einer Gesellschaft als sog. subjektive oder individuelle Kultur verinnerlicht haben (z.B. Idiozentrismus vs. Allozentrismus).</w:t>
      </w:r>
    </w:p>
    <w:p w14:paraId="219E857E" w14:textId="77777777" w:rsidR="00043AE9" w:rsidRPr="007F69DA" w:rsidRDefault="00043AE9" w:rsidP="00043AE9"/>
    <w:p w14:paraId="59740771" w14:textId="77777777" w:rsidR="00043AE9" w:rsidRPr="007F69DA" w:rsidRDefault="00043AE9" w:rsidP="00043AE9">
      <w:pPr>
        <w:spacing w:line="360" w:lineRule="auto"/>
        <w:jc w:val="both"/>
        <w:rPr>
          <w:szCs w:val="24"/>
          <w:lang w:bidi="en-US"/>
        </w:rPr>
      </w:pPr>
      <w:bookmarkStart w:id="78" w:name="_Toc413251438"/>
      <w:bookmarkStart w:id="79" w:name="_Toc413251504"/>
      <w:r w:rsidRPr="007F69DA">
        <w:rPr>
          <w:szCs w:val="24"/>
          <w:lang w:bidi="en-US"/>
        </w:rPr>
        <w:t>Entscheidungen &amp; Verhalten von Managern</w:t>
      </w:r>
      <w:bookmarkEnd w:id="78"/>
      <w:bookmarkEnd w:id="79"/>
    </w:p>
    <w:p w14:paraId="534E5DA1" w14:textId="77777777" w:rsidR="00043AE9" w:rsidRPr="007F69DA" w:rsidRDefault="00043AE9" w:rsidP="00043AE9">
      <w:pPr>
        <w:jc w:val="both"/>
        <w:rPr>
          <w:szCs w:val="24"/>
          <w:lang w:bidi="en-US"/>
        </w:rPr>
      </w:pPr>
      <w:r w:rsidRPr="007F69DA">
        <w:rPr>
          <w:szCs w:val="24"/>
          <w:lang w:bidi="en-US"/>
        </w:rPr>
        <w:t>Die zentrale Erkenntnis der kulturvergleichenden Forschung lautet: Aufgrund ihrer Zugehörigkeit zu einem bestimmten kulturellen Umfeld lässt sich relativ gut vorhersagen, welche Entscheidungen Manager in den verschiedensten Bereichen fällen. Neben anderem konnten Auswirkungen nachgewiesen werden auf die …</w:t>
      </w:r>
    </w:p>
    <w:p w14:paraId="006AD2B1" w14:textId="77777777" w:rsidR="00043AE9" w:rsidRPr="007F69DA" w:rsidRDefault="00043AE9">
      <w:pPr>
        <w:widowControl/>
        <w:numPr>
          <w:ilvl w:val="0"/>
          <w:numId w:val="77"/>
        </w:numPr>
        <w:autoSpaceDE/>
        <w:autoSpaceDN/>
        <w:jc w:val="both"/>
      </w:pPr>
      <w:r w:rsidRPr="007F69DA">
        <w:t>Ausgestaltung von Strategien und Praktiken des Wissenstransfers (vgl. Minbaeva et al. 2003) sowie das Human Resource Management (vgl. Rosenzweig/Nohira 1994),</w:t>
      </w:r>
    </w:p>
    <w:p w14:paraId="1D2184AE" w14:textId="77777777" w:rsidR="00043AE9" w:rsidRPr="007F69DA" w:rsidRDefault="00043AE9">
      <w:pPr>
        <w:widowControl/>
        <w:numPr>
          <w:ilvl w:val="0"/>
          <w:numId w:val="77"/>
        </w:numPr>
        <w:autoSpaceDE/>
        <w:autoSpaceDN/>
        <w:jc w:val="both"/>
      </w:pPr>
      <w:r w:rsidRPr="007F69DA">
        <w:t>Präferenz für bestimmte Markteintrittsstrategien: Direktinvestitionen (vgl. Tahir/Larimo 2004), Joint Ventures (vgl. Fisher/Ranasinghe 2001) oder Lizenzierung (vgl. Arora/Fosfuri 2000),</w:t>
      </w:r>
    </w:p>
    <w:p w14:paraId="29EBB96A" w14:textId="77777777" w:rsidR="00043AE9" w:rsidRPr="007F69DA" w:rsidRDefault="00043AE9">
      <w:pPr>
        <w:widowControl/>
        <w:numPr>
          <w:ilvl w:val="0"/>
          <w:numId w:val="77"/>
        </w:numPr>
        <w:autoSpaceDE/>
        <w:autoSpaceDN/>
        <w:jc w:val="both"/>
      </w:pPr>
      <w:r w:rsidRPr="007F69DA">
        <w:t>Intensität des Earnings Management (vgl. Desender et al. 2011),</w:t>
      </w:r>
    </w:p>
    <w:p w14:paraId="5334F14F" w14:textId="77777777" w:rsidR="00043AE9" w:rsidRPr="007F69DA" w:rsidRDefault="00043AE9">
      <w:pPr>
        <w:widowControl/>
        <w:numPr>
          <w:ilvl w:val="0"/>
          <w:numId w:val="77"/>
        </w:numPr>
        <w:autoSpaceDE/>
        <w:autoSpaceDN/>
        <w:jc w:val="both"/>
      </w:pPr>
      <w:r w:rsidRPr="007F69DA">
        <w:t>Präferenz für bestimmte Verhandlungstaktiken und Führungsstile (vgl. Chhokar et al. 2007; Rao/Schmidt 1998).</w:t>
      </w:r>
    </w:p>
    <w:p w14:paraId="311A4512" w14:textId="77777777" w:rsidR="00043AE9" w:rsidRPr="007F69DA" w:rsidRDefault="00043AE9" w:rsidP="00043AE9">
      <w:pPr>
        <w:ind w:right="1134"/>
      </w:pPr>
    </w:p>
    <w:p w14:paraId="57D88BC5" w14:textId="77777777" w:rsidR="00043AE9" w:rsidRPr="007F69DA" w:rsidRDefault="00043AE9" w:rsidP="00043AE9">
      <w:pPr>
        <w:jc w:val="both"/>
        <w:rPr>
          <w:szCs w:val="24"/>
          <w:lang w:bidi="en-US"/>
        </w:rPr>
      </w:pPr>
      <w:r w:rsidRPr="007F69DA">
        <w:rPr>
          <w:szCs w:val="24"/>
          <w:lang w:bidi="en-US"/>
        </w:rPr>
        <w:t>Teilweise werden diese Themen im Rahmen der Interkulturellen Distributionspolitik behandelt. Überwiegend zählen sie jedoch zum Gegenstandsbereich des Interkulturellen Managements.</w:t>
      </w:r>
    </w:p>
    <w:p w14:paraId="2976E24E" w14:textId="77777777" w:rsidR="00043AE9" w:rsidRPr="007F69DA" w:rsidRDefault="00043AE9" w:rsidP="00043AE9"/>
    <w:p w14:paraId="50D486BA" w14:textId="77777777" w:rsidR="00043AE9" w:rsidRPr="007F69DA" w:rsidRDefault="00043AE9" w:rsidP="00043AE9">
      <w:pPr>
        <w:spacing w:line="360" w:lineRule="auto"/>
        <w:jc w:val="both"/>
        <w:rPr>
          <w:szCs w:val="24"/>
          <w:lang w:bidi="en-US"/>
        </w:rPr>
      </w:pPr>
      <w:bookmarkStart w:id="80" w:name="_Toc413251439"/>
      <w:bookmarkStart w:id="81" w:name="_Toc413251505"/>
      <w:r w:rsidRPr="007F69DA">
        <w:rPr>
          <w:szCs w:val="24"/>
          <w:lang w:bidi="en-US"/>
        </w:rPr>
        <w:t>Entscheidungen &amp; Verhalten von Konsumenten</w:t>
      </w:r>
      <w:bookmarkEnd w:id="80"/>
      <w:bookmarkEnd w:id="81"/>
    </w:p>
    <w:p w14:paraId="044176D9" w14:textId="77777777" w:rsidR="00043AE9" w:rsidRPr="007F69DA" w:rsidRDefault="00043AE9" w:rsidP="00043AE9">
      <w:pPr>
        <w:jc w:val="both"/>
        <w:rPr>
          <w:szCs w:val="24"/>
          <w:lang w:bidi="en-US"/>
        </w:rPr>
      </w:pPr>
      <w:r w:rsidRPr="007F69DA">
        <w:rPr>
          <w:szCs w:val="24"/>
          <w:lang w:bidi="en-US"/>
        </w:rPr>
        <w:t>Auch das Konsumentenverhalten ist vielfach kulturell überformt und aufgrund der kulturspezifischen Sozialisation der Probanden prognostizierbar (vgl. Trommsdorff 2008):</w:t>
      </w:r>
    </w:p>
    <w:p w14:paraId="5E791E2C" w14:textId="77777777" w:rsidR="00043AE9" w:rsidRPr="007F69DA" w:rsidRDefault="00043AE9">
      <w:pPr>
        <w:widowControl/>
        <w:numPr>
          <w:ilvl w:val="0"/>
          <w:numId w:val="77"/>
        </w:numPr>
        <w:autoSpaceDE/>
        <w:autoSpaceDN/>
        <w:jc w:val="both"/>
      </w:pPr>
      <w:r w:rsidRPr="007F69DA">
        <w:t>Geschmackspräferenzen von Verbrauchern (vgl. Jeong/Lee 2021, Tiu Wright et al. 2001),</w:t>
      </w:r>
    </w:p>
    <w:p w14:paraId="678778CA" w14:textId="77777777" w:rsidR="00043AE9" w:rsidRPr="007F69DA" w:rsidRDefault="00043AE9">
      <w:pPr>
        <w:widowControl/>
        <w:numPr>
          <w:ilvl w:val="0"/>
          <w:numId w:val="77"/>
        </w:numPr>
        <w:autoSpaceDE/>
        <w:autoSpaceDN/>
        <w:jc w:val="both"/>
      </w:pPr>
      <w:r w:rsidRPr="007F69DA">
        <w:t>Absicht bzw. Bereitschaft, innovative Technologien zu nutzen (vgl. Schepers/Wetzels 2007),</w:t>
      </w:r>
    </w:p>
    <w:p w14:paraId="5331D26C" w14:textId="77777777" w:rsidR="00043AE9" w:rsidRPr="007F69DA" w:rsidRDefault="00043AE9">
      <w:pPr>
        <w:widowControl/>
        <w:numPr>
          <w:ilvl w:val="0"/>
          <w:numId w:val="77"/>
        </w:numPr>
        <w:autoSpaceDE/>
        <w:autoSpaceDN/>
        <w:jc w:val="both"/>
      </w:pPr>
      <w:r w:rsidRPr="007F69DA">
        <w:t>impulsive bzw. informationsökonomisch vereinfachte Kaufentscheidungen (vgl. Kacen/Lee 2002),</w:t>
      </w:r>
    </w:p>
    <w:p w14:paraId="3962486F" w14:textId="77777777" w:rsidR="00043AE9" w:rsidRPr="007F69DA" w:rsidRDefault="00043AE9">
      <w:pPr>
        <w:widowControl/>
        <w:numPr>
          <w:ilvl w:val="0"/>
          <w:numId w:val="77"/>
        </w:numPr>
        <w:autoSpaceDE/>
        <w:autoSpaceDN/>
        <w:jc w:val="both"/>
      </w:pPr>
      <w:r w:rsidRPr="007F69DA">
        <w:t xml:space="preserve">Moderation der Werte/Einstellungs-Relation durch die Landeskultur in Abhängigkeit von der Funktion der Einstellung (soziale Identität vs. utilitaristisch; vgl. Gregory et al. 2002), </w:t>
      </w:r>
    </w:p>
    <w:p w14:paraId="0A81A3F1" w14:textId="77777777" w:rsidR="00043AE9" w:rsidRPr="007F69DA" w:rsidRDefault="00043AE9">
      <w:pPr>
        <w:widowControl/>
        <w:numPr>
          <w:ilvl w:val="0"/>
          <w:numId w:val="77"/>
        </w:numPr>
        <w:autoSpaceDE/>
        <w:autoSpaceDN/>
        <w:jc w:val="both"/>
      </w:pPr>
      <w:r w:rsidRPr="007F69DA">
        <w:t>Risikowahrnehmung von E Business-Kunden (vgl. Al Kailani/Kumar 2011) und Bankkunden (vgl. Weber/Hsee 1998),</w:t>
      </w:r>
    </w:p>
    <w:p w14:paraId="2A7B1152" w14:textId="77777777" w:rsidR="00043AE9" w:rsidRPr="007F69DA" w:rsidRDefault="00043AE9">
      <w:pPr>
        <w:widowControl/>
        <w:numPr>
          <w:ilvl w:val="0"/>
          <w:numId w:val="77"/>
        </w:numPr>
        <w:autoSpaceDE/>
        <w:autoSpaceDN/>
        <w:jc w:val="both"/>
      </w:pPr>
      <w:r w:rsidRPr="007F69DA">
        <w:t>subjektiv wahrgenommener Markenwert, der für kollektivistische Kunden in starkem Maße von der Glaubwürdigkeit der Marke abhängt (vgl. Erdem et al. 2006).</w:t>
      </w:r>
    </w:p>
    <w:p w14:paraId="4E54362E" w14:textId="77777777" w:rsidR="00043AE9" w:rsidRPr="007F69DA" w:rsidRDefault="00043AE9">
      <w:pPr>
        <w:widowControl/>
        <w:numPr>
          <w:ilvl w:val="0"/>
          <w:numId w:val="77"/>
        </w:numPr>
        <w:autoSpaceDE/>
        <w:autoSpaceDN/>
        <w:jc w:val="both"/>
      </w:pPr>
    </w:p>
    <w:p w14:paraId="0FAF4FD1" w14:textId="77777777" w:rsidR="00043AE9" w:rsidRPr="007F69DA" w:rsidRDefault="00043AE9" w:rsidP="00043AE9">
      <w:pPr>
        <w:jc w:val="both"/>
        <w:rPr>
          <w:color w:val="DEEAF6" w:themeColor="accent1" w:themeTint="33"/>
        </w:rPr>
      </w:pPr>
    </w:p>
    <w:p w14:paraId="5395B4E1" w14:textId="77777777" w:rsidR="00043AE9" w:rsidRPr="007F69DA" w:rsidRDefault="00043AE9" w:rsidP="00043AE9">
      <w:pPr>
        <w:jc w:val="both"/>
        <w:rPr>
          <w:color w:val="DEEAF6" w:themeColor="accent1" w:themeTint="33"/>
        </w:rPr>
      </w:pPr>
      <w:r w:rsidRPr="007F69DA">
        <w:rPr>
          <w:b/>
          <w:bCs/>
          <w:iCs/>
          <w:noProof/>
          <w:color w:val="DEEAF6" w:themeColor="accent1" w:themeTint="33"/>
          <w:szCs w:val="28"/>
          <w:lang w:eastAsia="de-DE"/>
        </w:rPr>
        <mc:AlternateContent>
          <mc:Choice Requires="wps">
            <w:drawing>
              <wp:anchor distT="0" distB="0" distL="114300" distR="114300" simplePos="0" relativeHeight="252039168" behindDoc="0" locked="0" layoutInCell="1" allowOverlap="1" wp14:anchorId="66A389A3" wp14:editId="2AE42B9A">
                <wp:simplePos x="0" y="0"/>
                <wp:positionH relativeFrom="margin">
                  <wp:posOffset>-19050</wp:posOffset>
                </wp:positionH>
                <wp:positionV relativeFrom="paragraph">
                  <wp:posOffset>9525</wp:posOffset>
                </wp:positionV>
                <wp:extent cx="5219065" cy="1499235"/>
                <wp:effectExtent l="0" t="0" r="19685" b="24765"/>
                <wp:wrapNone/>
                <wp:docPr id="110906416" name="Textfeld 1109064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065" cy="1499235"/>
                        </a:xfrm>
                        <a:prstGeom prst="rect">
                          <a:avLst/>
                        </a:prstGeom>
                        <a:solidFill>
                          <a:srgbClr val="FFFFFF"/>
                        </a:solidFill>
                        <a:ln w="9525">
                          <a:solidFill>
                            <a:srgbClr val="000000"/>
                          </a:solidFill>
                          <a:miter lim="800000"/>
                          <a:headEnd/>
                          <a:tailEnd/>
                        </a:ln>
                      </wps:spPr>
                      <wps:txbx>
                        <w:txbxContent>
                          <w:p w14:paraId="57EFD360" w14:textId="77777777" w:rsidR="00043AE9" w:rsidRPr="00A220F6" w:rsidRDefault="00043AE9" w:rsidP="00043AE9">
                            <w:pPr>
                              <w:shd w:val="clear" w:color="auto" w:fill="DEEAF6" w:themeFill="accent1" w:themeFillTint="33"/>
                              <w:ind w:right="284"/>
                              <w:rPr>
                                <w:sz w:val="20"/>
                                <w:szCs w:val="20"/>
                              </w:rPr>
                            </w:pPr>
                            <w:r w:rsidRPr="000F4B49">
                              <w:rPr>
                                <w:sz w:val="44"/>
                                <w:szCs w:val="44"/>
                              </w:rPr>
                              <w:sym w:font="Wingdings 2" w:char="F045"/>
                            </w:r>
                            <w:r>
                              <w:rPr>
                                <w:sz w:val="44"/>
                                <w:szCs w:val="44"/>
                              </w:rPr>
                              <w:t xml:space="preserve"> </w:t>
                            </w:r>
                            <w:r w:rsidRPr="00A220F6">
                              <w:rPr>
                                <w:sz w:val="20"/>
                                <w:szCs w:val="20"/>
                              </w:rPr>
                              <w:t>Kultursensibles Marketing ist immer dann angezeigt, wenn …</w:t>
                            </w:r>
                          </w:p>
                          <w:p w14:paraId="268CE5D0" w14:textId="77777777" w:rsidR="00043AE9" w:rsidRPr="00A220F6" w:rsidRDefault="00043AE9" w:rsidP="00043AE9">
                            <w:pPr>
                              <w:shd w:val="clear" w:color="auto" w:fill="DEEAF6" w:themeFill="accent1" w:themeFillTint="33"/>
                              <w:ind w:left="567" w:right="284"/>
                              <w:rPr>
                                <w:sz w:val="20"/>
                                <w:szCs w:val="20"/>
                              </w:rPr>
                            </w:pPr>
                            <w:r w:rsidRPr="00A220F6">
                              <w:rPr>
                                <w:sz w:val="20"/>
                                <w:szCs w:val="20"/>
                              </w:rPr>
                              <w:t xml:space="preserve">(1) die zu bearbeitenden Märkte kulturell heterogen sind, </w:t>
                            </w:r>
                          </w:p>
                          <w:p w14:paraId="06593189" w14:textId="77777777" w:rsidR="00043AE9" w:rsidRPr="00A220F6" w:rsidRDefault="00043AE9" w:rsidP="00043AE9">
                            <w:pPr>
                              <w:shd w:val="clear" w:color="auto" w:fill="DEEAF6" w:themeFill="accent1" w:themeFillTint="33"/>
                              <w:ind w:left="897" w:right="284" w:hanging="330"/>
                              <w:rPr>
                                <w:sz w:val="20"/>
                                <w:szCs w:val="20"/>
                              </w:rPr>
                            </w:pPr>
                            <w:r w:rsidRPr="00A220F6">
                              <w:rPr>
                                <w:sz w:val="20"/>
                                <w:szCs w:val="20"/>
                              </w:rPr>
                              <w:t xml:space="preserve">(2) kultursensible Leistungen vermarktet werden sollen (z.B. Lebensmittel, Wohnzimmermöbel und andere Produkte, welche für die kulturelle Identität der Zielgruppe bedeutsam sind), </w:t>
                            </w:r>
                          </w:p>
                          <w:p w14:paraId="26CE077F" w14:textId="77777777" w:rsidR="00043AE9" w:rsidRPr="00A220F6" w:rsidRDefault="00043AE9" w:rsidP="00043AE9">
                            <w:pPr>
                              <w:shd w:val="clear" w:color="auto" w:fill="DEEAF6" w:themeFill="accent1" w:themeFillTint="33"/>
                              <w:ind w:left="897" w:right="284" w:hanging="330"/>
                              <w:rPr>
                                <w:sz w:val="20"/>
                                <w:szCs w:val="20"/>
                              </w:rPr>
                            </w:pPr>
                            <w:r w:rsidRPr="00A220F6">
                              <w:rPr>
                                <w:sz w:val="20"/>
                                <w:szCs w:val="20"/>
                              </w:rPr>
                              <w:t>(3) der Differenzierungsvorteil den Nachteil überwiegt, der aus dem Verzicht auf die Standardisierungsvorteile erwächst,</w:t>
                            </w:r>
                          </w:p>
                          <w:p w14:paraId="49026BDA" w14:textId="77777777" w:rsidR="00043AE9" w:rsidRPr="00A220F6" w:rsidRDefault="00043AE9" w:rsidP="00043AE9">
                            <w:pPr>
                              <w:shd w:val="clear" w:color="auto" w:fill="DEEAF6" w:themeFill="accent1" w:themeFillTint="33"/>
                              <w:ind w:left="993" w:right="284" w:hanging="426"/>
                              <w:rPr>
                                <w:sz w:val="20"/>
                                <w:szCs w:val="20"/>
                              </w:rPr>
                            </w:pPr>
                            <w:r w:rsidRPr="00A220F6">
                              <w:rPr>
                                <w:sz w:val="20"/>
                                <w:szCs w:val="20"/>
                              </w:rPr>
                              <w:t>(4) kulturell homogene Kundensegmente identifiziert werden können.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6A389A3" id="Textfeld 110906416" o:spid="_x0000_s1068" type="#_x0000_t202" style="position:absolute;left:0;text-align:left;margin-left:-1.5pt;margin-top:.75pt;width:410.95pt;height:118.05pt;z-index:252039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">
                <v:textbox>
                  <w:txbxContent>
                    <w:p w14:paraId="57EFD360" w14:textId="77777777" w:rsidR="00043AE9" w:rsidRPr="00A220F6" w:rsidRDefault="00043AE9" w:rsidP="00043AE9">
                      <w:pPr>
                        <w:shd w:val="clear" w:color="auto" w:fill="DEEAF6" w:themeFill="accent1" w:themeFillTint="33"/>
                        <w:ind w:right="284"/>
                        <w:rPr>
                          <w:sz w:val="20"/>
                          <w:szCs w:val="20"/>
                        </w:rPr>
                      </w:pPr>
                      <w:r w:rsidRPr="000F4B49">
                        <w:rPr>
                          <w:sz w:val="44"/>
                          <w:szCs w:val="44"/>
                        </w:rPr>
                        <w:sym w:font="Wingdings 2" w:char="F045"/>
                      </w:r>
                      <w:r>
                        <w:rPr>
                          <w:sz w:val="44"/>
                          <w:szCs w:val="44"/>
                        </w:rPr>
                        <w:t xml:space="preserve"> </w:t>
                      </w:r>
                      <w:r w:rsidRPr="00A220F6">
                        <w:rPr>
                          <w:sz w:val="20"/>
                          <w:szCs w:val="20"/>
                        </w:rPr>
                        <w:t>Kultursensibles Marketing ist immer dann angezeigt, wenn …</w:t>
                      </w:r>
                    </w:p>
                    <w:p w14:paraId="268CE5D0" w14:textId="77777777" w:rsidR="00043AE9" w:rsidRPr="00A220F6" w:rsidRDefault="00043AE9" w:rsidP="00043AE9">
                      <w:pPr>
                        <w:shd w:val="clear" w:color="auto" w:fill="DEEAF6" w:themeFill="accent1" w:themeFillTint="33"/>
                        <w:ind w:left="567" w:right="284"/>
                        <w:rPr>
                          <w:sz w:val="20"/>
                          <w:szCs w:val="20"/>
                        </w:rPr>
                      </w:pPr>
                      <w:r w:rsidRPr="00A220F6">
                        <w:rPr>
                          <w:sz w:val="20"/>
                          <w:szCs w:val="20"/>
                        </w:rPr>
                        <w:t xml:space="preserve">(1) die zu bearbeitenden Märkte kulturell heterogen sind, </w:t>
                      </w:r>
                    </w:p>
                    <w:p w14:paraId="06593189" w14:textId="77777777" w:rsidR="00043AE9" w:rsidRPr="00A220F6" w:rsidRDefault="00043AE9" w:rsidP="00043AE9">
                      <w:pPr>
                        <w:shd w:val="clear" w:color="auto" w:fill="DEEAF6" w:themeFill="accent1" w:themeFillTint="33"/>
                        <w:ind w:left="897" w:right="284" w:hanging="330"/>
                        <w:rPr>
                          <w:sz w:val="20"/>
                          <w:szCs w:val="20"/>
                        </w:rPr>
                      </w:pPr>
                      <w:r w:rsidRPr="00A220F6">
                        <w:rPr>
                          <w:sz w:val="20"/>
                          <w:szCs w:val="20"/>
                        </w:rPr>
                        <w:t xml:space="preserve">(2) kultursensible Leistungen vermarktet werden sollen (z.B. Lebensmittel, Wohnzimmermöbel und andere Produkte, welche für die kulturelle Identität der Zielgruppe bedeutsam sind), </w:t>
                      </w:r>
                    </w:p>
                    <w:p w14:paraId="26CE077F" w14:textId="77777777" w:rsidR="00043AE9" w:rsidRPr="00A220F6" w:rsidRDefault="00043AE9" w:rsidP="00043AE9">
                      <w:pPr>
                        <w:shd w:val="clear" w:color="auto" w:fill="DEEAF6" w:themeFill="accent1" w:themeFillTint="33"/>
                        <w:ind w:left="897" w:right="284" w:hanging="330"/>
                        <w:rPr>
                          <w:sz w:val="20"/>
                          <w:szCs w:val="20"/>
                        </w:rPr>
                      </w:pPr>
                      <w:r w:rsidRPr="00A220F6">
                        <w:rPr>
                          <w:sz w:val="20"/>
                          <w:szCs w:val="20"/>
                        </w:rPr>
                        <w:t>(3) der Differenzierungsvorteil den Nachteil überwiegt, der aus dem Verzicht auf die Standardisierungsvorteile erwächst,</w:t>
                      </w:r>
                    </w:p>
                    <w:p w14:paraId="49026BDA" w14:textId="77777777" w:rsidR="00043AE9" w:rsidRPr="00A220F6" w:rsidRDefault="00043AE9" w:rsidP="00043AE9">
                      <w:pPr>
                        <w:shd w:val="clear" w:color="auto" w:fill="DEEAF6" w:themeFill="accent1" w:themeFillTint="33"/>
                        <w:ind w:left="993" w:right="284" w:hanging="426"/>
                        <w:rPr>
                          <w:sz w:val="20"/>
                          <w:szCs w:val="20"/>
                        </w:rPr>
                      </w:pPr>
                      <w:r w:rsidRPr="00A220F6">
                        <w:rPr>
                          <w:sz w:val="20"/>
                          <w:szCs w:val="20"/>
                        </w:rPr>
                        <w:t>(4) kulturell homogene Kundensegmente identifiziert werden können.</w:t>
                      </w:r>
                    </w:p>
                  </w:txbxContent>
                </v:textbox>
                <w10:wrap anchorx="margin"/>
              </v:shape>
            </w:pict>
          </mc:Fallback>
        </mc:AlternateContent>
      </w:r>
    </w:p>
    <w:p w14:paraId="3148FF2B" w14:textId="77777777" w:rsidR="00043AE9" w:rsidRPr="007F69DA" w:rsidRDefault="00043AE9" w:rsidP="00043AE9">
      <w:pPr>
        <w:jc w:val="both"/>
        <w:rPr>
          <w:color w:val="DEEAF6" w:themeColor="accent1" w:themeTint="33"/>
        </w:rPr>
      </w:pPr>
    </w:p>
    <w:p w14:paraId="5871EFE2" w14:textId="77777777" w:rsidR="00043AE9" w:rsidRPr="007F69DA" w:rsidRDefault="00043AE9" w:rsidP="00043AE9">
      <w:pPr>
        <w:jc w:val="both"/>
        <w:rPr>
          <w:color w:val="DEEAF6" w:themeColor="accent1" w:themeTint="33"/>
        </w:rPr>
      </w:pPr>
    </w:p>
    <w:p w14:paraId="260C9415" w14:textId="77777777" w:rsidR="00043AE9" w:rsidRPr="007F69DA" w:rsidRDefault="00043AE9" w:rsidP="00043AE9">
      <w:pPr>
        <w:jc w:val="both"/>
      </w:pPr>
    </w:p>
    <w:p w14:paraId="4B99C172" w14:textId="77777777" w:rsidR="00043AE9" w:rsidRPr="007F69DA" w:rsidRDefault="00043AE9" w:rsidP="00043AE9">
      <w:pPr>
        <w:jc w:val="both"/>
      </w:pPr>
    </w:p>
    <w:p w14:paraId="649F07C1" w14:textId="77777777" w:rsidR="00043AE9" w:rsidRPr="007F69DA" w:rsidRDefault="00043AE9" w:rsidP="00043AE9">
      <w:pPr>
        <w:ind w:left="720"/>
        <w:jc w:val="both"/>
      </w:pPr>
    </w:p>
    <w:p w14:paraId="43F9730B" w14:textId="77777777" w:rsidR="00043AE9" w:rsidRPr="007F69DA" w:rsidRDefault="00043AE9" w:rsidP="00043AE9">
      <w:pPr>
        <w:ind w:left="720"/>
        <w:jc w:val="both"/>
      </w:pPr>
    </w:p>
    <w:p w14:paraId="53BF5778" w14:textId="77777777" w:rsidR="00043AE9" w:rsidRPr="007F69DA" w:rsidRDefault="00043AE9" w:rsidP="00043AE9">
      <w:pPr>
        <w:ind w:left="720"/>
        <w:jc w:val="both"/>
      </w:pPr>
    </w:p>
    <w:p w14:paraId="6E8B74B3" w14:textId="77777777" w:rsidR="00043AE9" w:rsidRPr="007F69DA" w:rsidRDefault="00043AE9" w:rsidP="00043AE9">
      <w:pPr>
        <w:ind w:left="720"/>
        <w:jc w:val="both"/>
      </w:pPr>
    </w:p>
    <w:p w14:paraId="7708FC9F" w14:textId="77777777" w:rsidR="00043AE9" w:rsidRPr="007F69DA" w:rsidRDefault="00043AE9" w:rsidP="00043AE9">
      <w:pPr>
        <w:ind w:left="720"/>
        <w:jc w:val="both"/>
      </w:pPr>
    </w:p>
    <w:p w14:paraId="2ED05ADF" w14:textId="77777777" w:rsidR="00043AE9" w:rsidRPr="007F69DA" w:rsidRDefault="00043AE9" w:rsidP="00043AE9">
      <w:pPr>
        <w:spacing w:line="360" w:lineRule="auto"/>
        <w:jc w:val="both"/>
        <w:rPr>
          <w:szCs w:val="24"/>
          <w:lang w:bidi="en-US"/>
        </w:rPr>
      </w:pPr>
      <w:bookmarkStart w:id="82" w:name="_Toc413251440"/>
      <w:bookmarkStart w:id="83" w:name="_Toc413251506"/>
      <w:r w:rsidRPr="007F69DA">
        <w:rPr>
          <w:szCs w:val="24"/>
          <w:lang w:bidi="en-US"/>
        </w:rPr>
        <w:lastRenderedPageBreak/>
        <w:t>2  Interkulturelles Marketing</w:t>
      </w:r>
      <w:bookmarkEnd w:id="82"/>
      <w:bookmarkEnd w:id="83"/>
      <w:r w:rsidRPr="007F69DA">
        <w:rPr>
          <w:szCs w:val="24"/>
          <w:lang w:bidi="en-US"/>
        </w:rPr>
        <w:t xml:space="preserve">    </w:t>
      </w:r>
    </w:p>
    <w:p w14:paraId="0A3AE146" w14:textId="77777777" w:rsidR="00043AE9" w:rsidRPr="007F69DA" w:rsidRDefault="00043AE9" w:rsidP="00043AE9">
      <w:pPr>
        <w:spacing w:line="360" w:lineRule="auto"/>
        <w:jc w:val="both"/>
        <w:rPr>
          <w:szCs w:val="24"/>
          <w:lang w:bidi="en-US"/>
        </w:rPr>
      </w:pPr>
      <w:bookmarkStart w:id="84" w:name="_Toc413251441"/>
      <w:bookmarkStart w:id="85" w:name="_Toc413251507"/>
      <w:r w:rsidRPr="007F69DA">
        <w:rPr>
          <w:szCs w:val="24"/>
          <w:lang w:bidi="en-US"/>
        </w:rPr>
        <w:t>Globales Dorf</w:t>
      </w:r>
      <w:bookmarkEnd w:id="84"/>
      <w:bookmarkEnd w:id="85"/>
      <w:r w:rsidRPr="007F69DA">
        <w:rPr>
          <w:szCs w:val="24"/>
          <w:lang w:bidi="en-US"/>
        </w:rPr>
        <w:t xml:space="preserve"> </w:t>
      </w:r>
    </w:p>
    <w:p w14:paraId="0FE1001E" w14:textId="77777777" w:rsidR="00043AE9" w:rsidRPr="007F69DA" w:rsidRDefault="00043AE9" w:rsidP="00043AE9">
      <w:pPr>
        <w:jc w:val="both"/>
        <w:rPr>
          <w:szCs w:val="24"/>
          <w:lang w:bidi="en-US"/>
        </w:rPr>
      </w:pPr>
      <w:r w:rsidRPr="007F69DA">
        <w:rPr>
          <w:szCs w:val="24"/>
          <w:lang w:bidi="en-US"/>
        </w:rPr>
        <w:t>Interkulturelles Marketing bezieht sich in vielfältiger Weise mittel- und unmittelbar auf das Wertesystem einer Gesellschaft. Dieses setzt Verhaltensstandards und beeinflusst direkt sowie indirekt die Präferenzen und Entscheidungen von Individuen, sozialen Gemeinschaften und Institutionen. Im Verlauf seiner privaten wie auch beruflichen Sozialisation lernt der Einzelne, sich in der Gesellschaft, in die er hineingeboren wurde, zurechtzufinden, indem er sich in seiner Rolle als Manager, Mitarbeiter, Konsument oder Familienangehöriger bewusst bzw. unbewusst in den Ordnungsrahmen einfügt, den sein kulturelles Umfeld vorgibt (vgl. Trommsdorff 2008; 2003).</w:t>
      </w:r>
    </w:p>
    <w:p w14:paraId="45CE2F87" w14:textId="77777777" w:rsidR="00043AE9" w:rsidRPr="007F69DA" w:rsidRDefault="00043AE9" w:rsidP="00043AE9">
      <w:pPr>
        <w:ind w:right="1134"/>
        <w:rPr>
          <w:rStyle w:val="Hervorhebung"/>
          <w:b w:val="0"/>
          <w:i w:val="0"/>
          <w:iCs w:val="0"/>
        </w:rPr>
      </w:pPr>
    </w:p>
    <w:p w14:paraId="12022377" w14:textId="77777777" w:rsidR="00043AE9" w:rsidRPr="007F69DA" w:rsidRDefault="00043AE9" w:rsidP="00043AE9">
      <w:pPr>
        <w:jc w:val="both"/>
        <w:rPr>
          <w:szCs w:val="24"/>
          <w:lang w:bidi="en-US"/>
        </w:rPr>
      </w:pPr>
      <w:r w:rsidRPr="007F69DA">
        <w:rPr>
          <w:szCs w:val="24"/>
          <w:lang w:bidi="en-US"/>
        </w:rPr>
        <w:t>Häufig wird der Weltmarkt als ein 1000-Seelen-Dorf beschrieben: das ‘global village‘ (vgl. Lustig/Koester 2008). Dieses Bild hilft, sich die Vielschichtigkeit und Komplexität der Entscheidungen, die im Rahmen des Interkulturellen Marketing zu treffen sind, vorzustellen. In diesem fiktiven globalen Dorf lebten zur Jahrtausendwende …</w:t>
      </w:r>
    </w:p>
    <w:p w14:paraId="77174267" w14:textId="77777777" w:rsidR="00043AE9" w:rsidRPr="007F69DA" w:rsidRDefault="00043AE9">
      <w:pPr>
        <w:widowControl/>
        <w:numPr>
          <w:ilvl w:val="0"/>
          <w:numId w:val="77"/>
        </w:numPr>
        <w:autoSpaceDE/>
        <w:autoSpaceDN/>
        <w:jc w:val="both"/>
      </w:pPr>
      <w:r w:rsidRPr="007F69DA">
        <w:t xml:space="preserve">590 Asiaten, 123 Afrikaner, 95 Europäer, 84 Lateinamerikaner, 55 ehemalige Sowjet-Bürger und 53 Amerikaner. </w:t>
      </w:r>
    </w:p>
    <w:p w14:paraId="525B4FC5" w14:textId="77777777" w:rsidR="00043AE9" w:rsidRPr="007F69DA" w:rsidRDefault="00043AE9">
      <w:pPr>
        <w:widowControl/>
        <w:numPr>
          <w:ilvl w:val="0"/>
          <w:numId w:val="77"/>
        </w:numPr>
        <w:autoSpaceDE/>
        <w:autoSpaceDN/>
        <w:jc w:val="both"/>
      </w:pPr>
      <w:r w:rsidRPr="007F69DA">
        <w:t xml:space="preserve">155 der Dorfbewohner sprachen Mandarin, 80 Englisch, 63 Hindi, 61 Spanisch, 53 russisch, 35 Arabisch, 33 Bengali, 31 Portugiesisch, 26 Malaiisch-Indonesisch, 22 Japanisch, 22 Französisch, 21 Deutsch und 398 andere Sprachen. </w:t>
      </w:r>
    </w:p>
    <w:p w14:paraId="14101734" w14:textId="77777777" w:rsidR="00043AE9" w:rsidRPr="007F69DA" w:rsidRDefault="00043AE9">
      <w:pPr>
        <w:widowControl/>
        <w:numPr>
          <w:ilvl w:val="0"/>
          <w:numId w:val="77"/>
        </w:numPr>
        <w:autoSpaceDE/>
        <w:autoSpaceDN/>
        <w:jc w:val="both"/>
      </w:pPr>
      <w:r w:rsidRPr="007F69DA">
        <w:t>329 Bewohner des globalen Dorfes waren damals Christen (davon 187 Katholiken, 67 Protestanten und 75 Andere), 178 Muslime, 60 Buddhisten sowie 301 Nicht-Religiöse, Atheisten und Andere.</w:t>
      </w:r>
    </w:p>
    <w:p w14:paraId="4856E92D" w14:textId="77777777" w:rsidR="00043AE9" w:rsidRPr="007F69DA" w:rsidRDefault="00043AE9" w:rsidP="00043AE9">
      <w:pPr>
        <w:ind w:right="1134"/>
      </w:pPr>
    </w:p>
    <w:p w14:paraId="493C4188" w14:textId="77777777" w:rsidR="00043AE9" w:rsidRPr="007F69DA" w:rsidRDefault="00043AE9" w:rsidP="00043AE9">
      <w:pPr>
        <w:jc w:val="both"/>
        <w:rPr>
          <w:szCs w:val="24"/>
          <w:lang w:bidi="en-US"/>
        </w:rPr>
      </w:pPr>
      <w:r w:rsidRPr="007F69DA">
        <w:rPr>
          <w:szCs w:val="24"/>
          <w:lang w:bidi="en-US"/>
        </w:rPr>
        <w:t>Neben anderen Einflussfaktoren sorgt die ethnisch-sprachliche-konfessionelle Vielfalt dafür, dass die Bewohner des globalen Dorfes unterschiedliche Bedürfnisse und Gewohnheiten haben und sich unterschiedlich verhalten. Diese Diversität konfrontiert global orientierte Unternehmen mit erheblichen Herausforderungen. Automobilhersteller etwa, die einen Beitrag zum Kampf gegen den Klimawandel und zur Begrenzung der Benzinpreise leisten wollen, müssen davon ausgehen, dass nur der europäische Markt in größerem Umfang ökologisch „vernünftige“ Klein- und Mittelwagen akzeptiert. In den USA und vielen wesensverwandten Märkten hingegen müssen Automobile – nach einer kurzen Phase der Besinnung – wieder vor allem groß sein (d.h. Light Trucks wie Geländewagen, Pick Ups und große Vans). Chinesen und andere prestigebewusste Käufer wiederum legen vor allem Wert auf Statussymbole (d.h. Luxusmarken).</w:t>
      </w:r>
    </w:p>
    <w:p w14:paraId="27AAE49C" w14:textId="77777777" w:rsidR="00043AE9" w:rsidRPr="007F69DA" w:rsidRDefault="00043AE9" w:rsidP="00043AE9">
      <w:pPr>
        <w:ind w:right="1134"/>
      </w:pPr>
    </w:p>
    <w:tbl>
      <w:tblPr>
        <w:tblW w:w="0" w:type="auto"/>
        <w:tblInd w:w="8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85" w:type="dxa"/>
          <w:right w:w="85" w:type="dxa"/>
        </w:tblCellMar>
        <w:tblLook w:val="0000" w:firstRow="0" w:lastRow="0" w:firstColumn="0" w:lastColumn="0" w:noHBand="0" w:noVBand="0"/>
      </w:tblPr>
      <w:tblGrid>
        <w:gridCol w:w="8263"/>
      </w:tblGrid>
      <w:tr w:rsidR="00043AE9" w:rsidRPr="007F69DA" w14:paraId="4202194C" w14:textId="77777777" w:rsidTr="00F46ACB">
        <w:tc>
          <w:tcPr>
            <w:tcW w:w="8263" w:type="dxa"/>
            <w:tcBorders>
              <w:top w:val="single" w:sz="4" w:space="0" w:color="auto"/>
              <w:left w:val="single" w:sz="4" w:space="0" w:color="auto"/>
              <w:bottom w:val="nil"/>
              <w:right w:val="nil"/>
            </w:tcBorders>
          </w:tcPr>
          <w:p w14:paraId="62110538" w14:textId="77777777" w:rsidR="00043AE9" w:rsidRPr="007F69DA" w:rsidRDefault="00043AE9" w:rsidP="00F46ACB">
            <w:pPr>
              <w:ind w:right="1134"/>
              <w:rPr>
                <w:b/>
                <w:color w:val="000000"/>
              </w:rPr>
            </w:pPr>
          </w:p>
        </w:tc>
      </w:tr>
      <w:tr w:rsidR="00043AE9" w:rsidRPr="007F69DA" w14:paraId="14DB0305" w14:textId="77777777" w:rsidTr="00F46ACB">
        <w:tc>
          <w:tcPr>
            <w:tcW w:w="8263" w:type="dxa"/>
            <w:tcBorders>
              <w:top w:val="nil"/>
              <w:left w:val="single" w:sz="4" w:space="0" w:color="auto"/>
              <w:bottom w:val="nil"/>
              <w:right w:val="nil"/>
            </w:tcBorders>
            <w:shd w:val="clear" w:color="auto" w:fill="DEEAF6" w:themeFill="accent1" w:themeFillTint="33"/>
          </w:tcPr>
          <w:p w14:paraId="65915E49" w14:textId="77777777" w:rsidR="00043AE9" w:rsidRPr="007F69DA" w:rsidRDefault="00043AE9" w:rsidP="00F46ACB">
            <w:pPr>
              <w:ind w:right="1134"/>
              <w:jc w:val="center"/>
            </w:pPr>
            <w:r w:rsidRPr="007F69DA">
              <w:rPr>
                <w:sz w:val="20"/>
                <w:szCs w:val="20"/>
                <w:lang w:eastAsia="de-DE"/>
              </w:rPr>
              <w:t>Zetsches Welt</w:t>
            </w:r>
          </w:p>
        </w:tc>
      </w:tr>
      <w:tr w:rsidR="00043AE9" w:rsidRPr="007F69DA" w14:paraId="3C502FE2" w14:textId="77777777" w:rsidTr="00F46ACB">
        <w:tc>
          <w:tcPr>
            <w:tcW w:w="8263" w:type="dxa"/>
            <w:tcBorders>
              <w:top w:val="nil"/>
              <w:left w:val="single" w:sz="4" w:space="0" w:color="auto"/>
              <w:bottom w:val="nil"/>
              <w:right w:val="nil"/>
            </w:tcBorders>
            <w:shd w:val="clear" w:color="auto" w:fill="DEEAF6" w:themeFill="accent1" w:themeFillTint="33"/>
          </w:tcPr>
          <w:p w14:paraId="310F8AE5" w14:textId="77777777" w:rsidR="00043AE9" w:rsidRPr="007F69DA" w:rsidRDefault="00043AE9" w:rsidP="00F46ACB">
            <w:pPr>
              <w:ind w:right="1134"/>
              <w:rPr>
                <w:b/>
                <w:color w:val="000000"/>
              </w:rPr>
            </w:pPr>
          </w:p>
        </w:tc>
      </w:tr>
      <w:tr w:rsidR="00043AE9" w:rsidRPr="007F69DA" w14:paraId="09B908B1" w14:textId="77777777" w:rsidTr="00F46ACB">
        <w:tc>
          <w:tcPr>
            <w:tcW w:w="8263" w:type="dxa"/>
            <w:tcBorders>
              <w:top w:val="nil"/>
              <w:left w:val="nil"/>
              <w:bottom w:val="nil"/>
              <w:right w:val="nil"/>
            </w:tcBorders>
            <w:shd w:val="clear" w:color="auto" w:fill="DEEAF6" w:themeFill="accent1" w:themeFillTint="33"/>
          </w:tcPr>
          <w:p w14:paraId="6B49CFE2" w14:textId="77777777" w:rsidR="00043AE9" w:rsidRPr="007F69DA" w:rsidRDefault="00043AE9" w:rsidP="00F46ACB">
            <w:pPr>
              <w:pStyle w:val="KleinerTextohneAbstand"/>
              <w:spacing w:before="0" w:after="0" w:line="240" w:lineRule="auto"/>
              <w:rPr>
                <w:sz w:val="20"/>
              </w:rPr>
            </w:pPr>
            <w:r w:rsidRPr="007F69DA">
              <w:rPr>
                <w:sz w:val="20"/>
              </w:rPr>
              <w:t>„In Deutschland ist es ungemütlich geworden für den Daimler-Chef. Im Emirat Abu Dhabi hingegen scheint nach einem heftigen Gewittersturm wieder die Sonne, auch auf D. Zetsche. Der Konzernchef ist mit seinen wichtigsten Managern angereist, um den Medien die andere Seite der Mercedes-Welt zu zeigen. Die Scheiche in Abu Dhabi sind fasziniert von der Strahlkraft des Sterns. Sie glauben an Zetsches Strategie. Wären sie sonst mitten in der großen Branchenkrise mit Milliarden bei Daimler eingestiegen? Hätte ihr Investmentfonds Aabar sonst den Kauf des eigenen Formel-1-Rennstalls mitfinanziert? In der Boxengasse des frisch aus dem Sand gestampften Ras Marina Circuit steht der neue Flügeltüren-Supersportwagen Mercedes SLS zum Test bereit. Rennfahrer N. Rosberg führt das jüngste Produkt, ein Cabriolet der E-Klasse, vor. Aabar-Chef Mohamed Badawy Al-Husseiny sagt mit leuchtenden Augen: »Das Investment hat sich für uns schon jetzt gelohnt.« Reiche Araber können – Krise hin oder her – gar nicht genug solcher Prunkautos in ihrer Garage haben. Ein Unternehmen. Zwei Länder. Verschiedene Welten. Sie zeigen, welchen Spagat der Manager mit dem Walross-Schnauzer bewältigen muss. Für die Kunden am Golf oder in China sollte ein richtiger Mercedes schon 500 PS haben. Zu Hause sind bereits mehr als fünf Liter Verbrauch anstößig“ (Lamparter 2009, S.21).</w:t>
            </w:r>
          </w:p>
        </w:tc>
      </w:tr>
      <w:tr w:rsidR="00043AE9" w:rsidRPr="007F69DA" w14:paraId="7F7A27B0" w14:textId="77777777" w:rsidTr="00F46ACB">
        <w:tc>
          <w:tcPr>
            <w:tcW w:w="8263" w:type="dxa"/>
            <w:tcBorders>
              <w:top w:val="nil"/>
              <w:left w:val="nil"/>
              <w:bottom w:val="nil"/>
              <w:right w:val="single" w:sz="4" w:space="0" w:color="auto"/>
            </w:tcBorders>
          </w:tcPr>
          <w:p w14:paraId="1A8F1DE2" w14:textId="77777777" w:rsidR="00043AE9" w:rsidRPr="007F69DA" w:rsidRDefault="00043AE9" w:rsidP="00F46ACB">
            <w:pPr>
              <w:ind w:right="1134"/>
              <w:jc w:val="right"/>
            </w:pPr>
          </w:p>
        </w:tc>
      </w:tr>
    </w:tbl>
    <w:p w14:paraId="0C517ACF" w14:textId="77777777" w:rsidR="00043AE9" w:rsidRPr="007F69DA" w:rsidRDefault="00043AE9" w:rsidP="00043AE9">
      <w:pPr>
        <w:jc w:val="both"/>
        <w:rPr>
          <w:szCs w:val="24"/>
          <w:lang w:bidi="en-US"/>
        </w:rPr>
      </w:pPr>
      <w:r w:rsidRPr="007F69DA">
        <w:rPr>
          <w:szCs w:val="24"/>
          <w:lang w:bidi="en-US"/>
        </w:rPr>
        <w:t xml:space="preserve">Die Metapher „Global Village“ (Ger 1999) bzw. „Flat World“ (Friedman 2005) drückt überdies aus, dass in der zunehmend vernetzten Weltwirtschaft selbst lokale Unternehmen – ob sie es wollen oder nicht – sich im globalen Wettbewerb behaupten müssen: Auch, wer ihn nicht sucht, wird von diesem </w:t>
      </w:r>
      <w:r w:rsidRPr="007F69DA">
        <w:rPr>
          <w:szCs w:val="24"/>
          <w:lang w:bidi="en-US"/>
        </w:rPr>
        <w:lastRenderedPageBreak/>
        <w:t>grenzenlosen Wettbewerb heimgesucht: „Local firms without venturing abroad are competing with global corporations“ (Tsui et al. 2007, S.426).</w:t>
      </w:r>
    </w:p>
    <w:p w14:paraId="2CE11205" w14:textId="77777777" w:rsidR="00043AE9" w:rsidRPr="007F69DA" w:rsidRDefault="00043AE9" w:rsidP="00043AE9">
      <w:pPr>
        <w:jc w:val="both"/>
        <w:rPr>
          <w:szCs w:val="24"/>
          <w:lang w:bidi="en-US"/>
        </w:rPr>
      </w:pPr>
    </w:p>
    <w:p w14:paraId="517D13D8" w14:textId="77777777" w:rsidR="00043AE9" w:rsidRPr="007F69DA" w:rsidRDefault="00043AE9" w:rsidP="00043AE9">
      <w:pPr>
        <w:jc w:val="both"/>
        <w:rPr>
          <w:szCs w:val="24"/>
          <w:lang w:bidi="en-US"/>
        </w:rPr>
      </w:pPr>
    </w:p>
    <w:p w14:paraId="466F30FE" w14:textId="77777777" w:rsidR="00043AE9" w:rsidRPr="007F69DA" w:rsidRDefault="00043AE9" w:rsidP="00043AE9">
      <w:pPr>
        <w:spacing w:line="276" w:lineRule="auto"/>
        <w:jc w:val="both"/>
        <w:rPr>
          <w:szCs w:val="24"/>
          <w:lang w:bidi="en-US"/>
        </w:rPr>
      </w:pPr>
      <w:bookmarkStart w:id="86" w:name="_Toc413251442"/>
      <w:bookmarkStart w:id="87" w:name="_Toc413251508"/>
      <w:r w:rsidRPr="007F69DA">
        <w:rPr>
          <w:szCs w:val="24"/>
          <w:lang w:bidi="en-US"/>
        </w:rPr>
        <w:t>Differenzierte Standardisierung: Ein Ausweg aus dem Standardisierungs/Differenzierungs- Dilemma</w:t>
      </w:r>
      <w:bookmarkEnd w:id="86"/>
      <w:bookmarkEnd w:id="87"/>
    </w:p>
    <w:p w14:paraId="32B74CDA" w14:textId="77777777" w:rsidR="00043AE9" w:rsidRPr="007F69DA" w:rsidRDefault="00043AE9" w:rsidP="00043AE9">
      <w:pPr>
        <w:jc w:val="both"/>
        <w:rPr>
          <w:szCs w:val="24"/>
          <w:lang w:bidi="en-US"/>
        </w:rPr>
      </w:pPr>
      <w:r w:rsidRPr="007F69DA">
        <w:rPr>
          <w:szCs w:val="24"/>
          <w:lang w:bidi="en-US"/>
        </w:rPr>
        <w:t>International bzw. global tätige Unternehmen stehen häufig vor einem Dilemma: Einerseits verbietet es der aufgrund des zunehmend globalen Wettbewerbs weltweit wachsende Kostendruck, das Mar</w:t>
      </w:r>
      <w:r w:rsidRPr="007F69DA">
        <w:rPr>
          <w:szCs w:val="24"/>
          <w:lang w:bidi="en-US"/>
        </w:rPr>
        <w:softHyphen/>
        <w:t xml:space="preserve">ketingkonzept den jeweiligen länderspezifischen Besonderheiten anzupassen. Andererseits scheiterten global standardisierte Strategien in der jüngeren Vergangenheit allzu häufig (= S/D-Problem). </w:t>
      </w:r>
    </w:p>
    <w:p w14:paraId="3D0C1319" w14:textId="77777777" w:rsidR="00043AE9" w:rsidRPr="007F69DA" w:rsidRDefault="00043AE9" w:rsidP="00043AE9">
      <w:pPr>
        <w:tabs>
          <w:tab w:val="left" w:pos="7513"/>
          <w:tab w:val="left" w:pos="8364"/>
        </w:tabs>
        <w:ind w:right="1134"/>
      </w:pPr>
    </w:p>
    <w:p w14:paraId="13458000" w14:textId="77777777" w:rsidR="00043AE9" w:rsidRPr="007F69DA" w:rsidRDefault="00043AE9" w:rsidP="00043AE9">
      <w:pPr>
        <w:jc w:val="both"/>
        <w:rPr>
          <w:szCs w:val="24"/>
          <w:lang w:bidi="en-US"/>
        </w:rPr>
      </w:pPr>
      <w:r w:rsidRPr="007F69DA">
        <w:rPr>
          <w:szCs w:val="24"/>
          <w:lang w:bidi="en-US"/>
        </w:rPr>
        <w:t>Die Strategie der „Differenzierten Standardisierung“ trägt der Einsicht Rechnung, dass in einer Vielzahl von Fällen weder weltweite Standardisierung noch vollständige Differenzierung in ihrer jeweils reinen Form praktisch umsetzbare Strategien sind. Auch die Unternehmen präferierten in der Folge mehrheitlich die in Abb. 2 beschriebenen Mischformen, die mit dem Konzept des Kulturraumes der klassischen Maxime „So viel Standardisierung, wie möglich, so viel Differenzierung, wie nötig“ Rechnung tragen. Kulturräume, d.h. kulturell homogene Cluster von Ländermärkten von Kundenmärkten, können standardisiert bearbeitet werden. Zwischen den Kulturräumen aber muss unter folgenden Voraussetzungen differenziert werden:</w:t>
      </w:r>
    </w:p>
    <w:p w14:paraId="6C4C3246" w14:textId="77777777" w:rsidR="00043AE9" w:rsidRPr="007F69DA" w:rsidRDefault="00043AE9">
      <w:pPr>
        <w:widowControl/>
        <w:numPr>
          <w:ilvl w:val="0"/>
          <w:numId w:val="78"/>
        </w:numPr>
        <w:autoSpaceDE/>
        <w:autoSpaceDN/>
        <w:jc w:val="both"/>
      </w:pPr>
      <w:r w:rsidRPr="007F69DA">
        <w:t xml:space="preserve">Es sollen kultursensible Leistungen vermarktet werden. </w:t>
      </w:r>
    </w:p>
    <w:p w14:paraId="4231A310" w14:textId="77777777" w:rsidR="00043AE9" w:rsidRPr="007F69DA" w:rsidRDefault="00043AE9">
      <w:pPr>
        <w:widowControl/>
        <w:numPr>
          <w:ilvl w:val="0"/>
          <w:numId w:val="78"/>
        </w:numPr>
        <w:autoSpaceDE/>
        <w:autoSpaceDN/>
        <w:jc w:val="both"/>
      </w:pPr>
      <w:r w:rsidRPr="007F69DA">
        <w:t xml:space="preserve">Die Kulturräume unterliegen dem Einfluss unterschiedlicher Werte. </w:t>
      </w:r>
    </w:p>
    <w:p w14:paraId="05496B91" w14:textId="77777777" w:rsidR="00043AE9" w:rsidRPr="007F69DA" w:rsidRDefault="00043AE9">
      <w:pPr>
        <w:widowControl/>
        <w:numPr>
          <w:ilvl w:val="0"/>
          <w:numId w:val="78"/>
        </w:numPr>
        <w:autoSpaceDE/>
        <w:autoSpaceDN/>
        <w:jc w:val="both"/>
      </w:pPr>
      <w:r w:rsidRPr="007F69DA">
        <w:t xml:space="preserve">Differenzierungsvorteile (z.B. Anpassung an kulturspezifische Qualitätserwartungen) beeinflussen die Entscheidungen der Käufer stärker als mögliche Standardisierungsvorteile (zumeist Kostenvorteile). </w:t>
      </w:r>
    </w:p>
    <w:p w14:paraId="6CB0497A" w14:textId="77777777" w:rsidR="00043AE9" w:rsidRPr="007F69DA" w:rsidRDefault="00043AE9" w:rsidP="00043AE9">
      <w:pPr>
        <w:pStyle w:val="Punkt"/>
        <w:numPr>
          <w:ilvl w:val="0"/>
          <w:numId w:val="0"/>
        </w:numPr>
        <w:ind w:left="720" w:hanging="360"/>
      </w:pPr>
    </w:p>
    <w:p w14:paraId="5D63CA66" w14:textId="77777777" w:rsidR="006E504E" w:rsidRDefault="00043AE9" w:rsidP="006E504E">
      <w:pPr>
        <w:pStyle w:val="Beschriftung"/>
        <w:spacing w:line="240" w:lineRule="auto"/>
      </w:pPr>
      <w:bookmarkStart w:id="88" w:name="_Ref413253320"/>
      <w:r w:rsidRPr="0018289F">
        <w:t>Abb.</w:t>
      </w:r>
      <w:bookmarkEnd w:id="88"/>
      <w:r w:rsidRPr="0018289F">
        <w:t xml:space="preserve"> 2: Differenzierte Standardisierungsstrategien zur Bewältigung des </w:t>
      </w:r>
    </w:p>
    <w:p w14:paraId="41FFC92D" w14:textId="5ACBF430" w:rsidR="00043AE9" w:rsidRPr="0018289F" w:rsidRDefault="00043AE9" w:rsidP="006E504E">
      <w:pPr>
        <w:pStyle w:val="Beschriftung"/>
        <w:spacing w:line="240" w:lineRule="auto"/>
      </w:pPr>
      <w:r w:rsidRPr="0018289F">
        <w:t>Standardisierungs/Differenzierungsdilemmas</w:t>
      </w:r>
    </w:p>
    <w:p w14:paraId="0CD5A6EE" w14:textId="77777777" w:rsidR="00043AE9" w:rsidRPr="007F69DA" w:rsidRDefault="00043AE9" w:rsidP="00043AE9">
      <w:pPr>
        <w:tabs>
          <w:tab w:val="left" w:pos="7513"/>
          <w:tab w:val="left" w:pos="8364"/>
        </w:tabs>
        <w:spacing w:line="276" w:lineRule="auto"/>
        <w:ind w:right="1134"/>
      </w:pPr>
      <w:r w:rsidRPr="007F69DA">
        <w:rPr>
          <w:noProof/>
          <w:lang w:eastAsia="de-DE"/>
        </w:rPr>
        <w:lastRenderedPageBreak/>
        <w:drawing>
          <wp:inline distT="0" distB="0" distL="0" distR="0" wp14:anchorId="0E697051" wp14:editId="7E067DD5">
            <wp:extent cx="5309870" cy="7651115"/>
            <wp:effectExtent l="0" t="0" r="5080" b="6985"/>
            <wp:docPr id="483" name="Grafik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5309870" cy="7651115"/>
                    </a:xfrm>
                    <a:prstGeom prst="rect">
                      <a:avLst/>
                    </a:prstGeom>
                    <a:noFill/>
                  </pic:spPr>
                </pic:pic>
              </a:graphicData>
            </a:graphic>
          </wp:inline>
        </w:drawing>
      </w:r>
    </w:p>
    <w:p w14:paraId="7B71BB4B" w14:textId="77777777" w:rsidR="00043AE9" w:rsidRPr="007F69DA" w:rsidRDefault="00043AE9" w:rsidP="00043AE9">
      <w:pPr>
        <w:jc w:val="both"/>
        <w:rPr>
          <w:szCs w:val="24"/>
          <w:lang w:bidi="en-US"/>
        </w:rPr>
      </w:pPr>
      <w:r w:rsidRPr="007F69DA">
        <w:rPr>
          <w:szCs w:val="24"/>
          <w:lang w:bidi="en-US"/>
        </w:rPr>
        <w:t>Ins Zentrum der Diskussion rückte nun die Frage, wie man Kulturräume objektiv bestimmen kann (vgl. Bauer 2009): z.B. kulturell homogene Länder-Cluster, Kunden-Cluster und Instrumente/Länder-Cluster.</w:t>
      </w:r>
    </w:p>
    <w:p w14:paraId="552B2D59" w14:textId="77777777" w:rsidR="00043AE9" w:rsidRPr="007F69DA" w:rsidRDefault="00043AE9" w:rsidP="00043AE9">
      <w:pPr>
        <w:tabs>
          <w:tab w:val="left" w:pos="7513"/>
          <w:tab w:val="left" w:pos="8364"/>
        </w:tabs>
        <w:ind w:right="1134"/>
      </w:pPr>
    </w:p>
    <w:p w14:paraId="747787F8" w14:textId="77777777" w:rsidR="00043AE9" w:rsidRPr="007F69DA" w:rsidRDefault="00043AE9" w:rsidP="00043AE9">
      <w:pPr>
        <w:jc w:val="both"/>
        <w:rPr>
          <w:szCs w:val="24"/>
          <w:lang w:bidi="en-US"/>
        </w:rPr>
      </w:pPr>
      <w:r w:rsidRPr="007F69DA">
        <w:rPr>
          <w:szCs w:val="24"/>
          <w:lang w:bidi="en-US"/>
        </w:rPr>
        <w:t xml:space="preserve">1) Ländercluster: Kulturell homogene Auslandsmärkte werden als Einheit betrachtet und (weitgehend) gleichartig behandelt. So mag es für einen Hersteller von Spielen ratsam sein, angesichts des Übergewichts individualistischer Werte in angelsächsischen Ländern in diesem Kulturraum ein eher konkurrenzorientiertes Sortiment anzubieten. In dem Cluster „Mittelmeerländer“, wo vermehrt kollektive </w:t>
      </w:r>
      <w:r w:rsidRPr="007F69DA">
        <w:rPr>
          <w:szCs w:val="24"/>
          <w:lang w:bidi="en-US"/>
        </w:rPr>
        <w:lastRenderedPageBreak/>
        <w:t>Wertvorstellungen Anklang finden, versprechen hingegen Familienspiele, bei denen der Erfolg des Einzelnen nebensächlich bzw. gar unerwünscht ist, bessere Absatzchancen.</w:t>
      </w:r>
    </w:p>
    <w:p w14:paraId="28A830BA" w14:textId="77777777" w:rsidR="00043AE9" w:rsidRPr="007F69DA" w:rsidRDefault="00043AE9" w:rsidP="00043AE9">
      <w:pPr>
        <w:ind w:right="-425"/>
      </w:pPr>
    </w:p>
    <w:p w14:paraId="57621E52" w14:textId="77777777" w:rsidR="00043AE9" w:rsidRPr="007F69DA" w:rsidRDefault="00043AE9" w:rsidP="00043AE9">
      <w:pPr>
        <w:jc w:val="both"/>
        <w:rPr>
          <w:szCs w:val="24"/>
          <w:lang w:bidi="en-US"/>
        </w:rPr>
      </w:pPr>
      <w:r w:rsidRPr="007F69DA">
        <w:rPr>
          <w:szCs w:val="24"/>
          <w:lang w:bidi="en-US"/>
        </w:rPr>
        <w:t xml:space="preserve">2) Verbrauchercluster: Bei Angeboten, die sehr selektiv sind, können Streuverluste vermieden werden, wenn man sich auf Zielgruppen konzentriert, die weltweit oder in einer bestimmten Region hinreichend zahlreich nachweisbar sind. Innerhalb des westeuropäischen Marktes etwa bieten die </w:t>
      </w:r>
      <w:r w:rsidRPr="007F69DA">
        <w:rPr>
          <w:szCs w:val="24"/>
          <w:lang w:bidi="en-US"/>
        </w:rPr>
        <w:sym w:font="Symbol" w:char="F0DE"/>
      </w:r>
      <w:r w:rsidRPr="007F69DA">
        <w:rPr>
          <w:szCs w:val="24"/>
          <w:lang w:bidi="en-US"/>
        </w:rPr>
        <w:t xml:space="preserve"> Euro Socio-Styles der GfK-Lebensstilforschung Entscheidungshilfe. So finden Fair Trade-Produkte und andere Angebote, welche dem Nachfrager erhöhte Beschaffungskosten bzw. -anstrengungen abverlangen (z.B. Energiesparprodukte), überall dort günstige Bedingungen vor, wo Angehörige des Authentic World-Styles überproportional häufig vertreten sind. Denn dieser Typus zeichnet sich dadurch aus, dass er nicht nur mit seinen Einstellungen, sondern auch mit seinen Handlungen hohen moralischen Ansprüchen gerecht zu werden versucht. Veranstalter von Kreuzfahrten sollten sich hingegen auf das Steady World-Segment fokussieren: traditionsbewusste, konformistische Senioren mit mittlerem bis gehobenen Lebensstandard, die ihren Ruhestand genießen wollen.</w:t>
      </w:r>
    </w:p>
    <w:p w14:paraId="6A3205F4" w14:textId="77777777" w:rsidR="00043AE9" w:rsidRPr="007F69DA" w:rsidRDefault="00043AE9" w:rsidP="00043AE9">
      <w:pPr>
        <w:tabs>
          <w:tab w:val="left" w:pos="7513"/>
          <w:tab w:val="left" w:pos="8364"/>
        </w:tabs>
        <w:ind w:right="1134"/>
        <w:rPr>
          <w:sz w:val="18"/>
          <w:szCs w:val="18"/>
        </w:rPr>
      </w:pPr>
    </w:p>
    <w:p w14:paraId="1C1B5D80" w14:textId="77777777" w:rsidR="00043AE9" w:rsidRPr="007F69DA" w:rsidRDefault="00043AE9" w:rsidP="00043AE9">
      <w:pPr>
        <w:tabs>
          <w:tab w:val="left" w:pos="7513"/>
          <w:tab w:val="left" w:pos="8364"/>
        </w:tabs>
        <w:ind w:right="1134"/>
        <w:rPr>
          <w:sz w:val="18"/>
          <w:szCs w:val="18"/>
        </w:rPr>
      </w:pPr>
    </w:p>
    <w:p w14:paraId="60DEB4A4" w14:textId="77777777" w:rsidR="00043AE9" w:rsidRPr="007F69DA" w:rsidRDefault="00043AE9" w:rsidP="00043AE9">
      <w:pPr>
        <w:jc w:val="both"/>
        <w:rPr>
          <w:szCs w:val="24"/>
          <w:lang w:bidi="en-US"/>
        </w:rPr>
      </w:pPr>
      <w:r w:rsidRPr="007F69DA">
        <w:rPr>
          <w:szCs w:val="24"/>
          <w:lang w:bidi="en-US"/>
        </w:rPr>
        <w:t xml:space="preserve">3) Instrumente/Länder-Cluster: Manchmal können Unternehmen das S-/D-Problem auch dadurch lösen, dass sie manche Marketinginstrumente standardisieren und andere differenzieren. Ayal/Nachum (1994) bspw. wiesen nach, dass diese Strategie auch auf Entwicklungsländer anwendbar ist, die gemessen an objektiven Kriterien (z.B. „Pro-Kopf-Werbeausgaben“, „Verstädterungsgrad“, „Kraftfahrzeuge je 1000 Einwohner“) weit weniger homogen sind, als es diese Klassifizierung suggeriert. Demnach können ausländische Unternehmen Afghanistan, Guinea und Kenia distributionspolitisch gleichartig behandeln, nicht jedoch in preispolitischer Hinsicht. Für den standardisierten Einsatz dieses Instruments boten damals Bangladesch, Burma und Burundi günstige Voraussetzungen. </w:t>
      </w:r>
    </w:p>
    <w:p w14:paraId="5AC4D9CF" w14:textId="77777777" w:rsidR="00043AE9" w:rsidRPr="007F69DA" w:rsidRDefault="00043AE9" w:rsidP="00043AE9">
      <w:pPr>
        <w:jc w:val="both"/>
        <w:rPr>
          <w:szCs w:val="24"/>
          <w:lang w:bidi="en-US"/>
        </w:rPr>
      </w:pPr>
    </w:p>
    <w:p w14:paraId="4CE4B90F" w14:textId="77777777" w:rsidR="00043AE9" w:rsidRPr="007F69DA" w:rsidRDefault="00043AE9" w:rsidP="00043AE9">
      <w:pPr>
        <w:spacing w:line="276" w:lineRule="auto"/>
        <w:jc w:val="both"/>
        <w:rPr>
          <w:szCs w:val="24"/>
          <w:lang w:bidi="en-US"/>
        </w:rPr>
      </w:pPr>
      <w:bookmarkStart w:id="89" w:name="_Toc413251443"/>
      <w:bookmarkStart w:id="90" w:name="_Toc413251509"/>
      <w:r w:rsidRPr="007F69DA">
        <w:rPr>
          <w:szCs w:val="24"/>
          <w:lang w:bidi="en-US"/>
        </w:rPr>
        <w:t>Erkenntnistheoretisches Anliegen</w:t>
      </w:r>
      <w:bookmarkEnd w:id="89"/>
      <w:bookmarkEnd w:id="90"/>
      <w:r w:rsidRPr="007F69DA">
        <w:rPr>
          <w:szCs w:val="24"/>
          <w:lang w:bidi="en-US"/>
        </w:rPr>
        <w:t xml:space="preserve"> </w:t>
      </w:r>
    </w:p>
    <w:p w14:paraId="7D9C4CA3" w14:textId="77777777" w:rsidR="00043AE9" w:rsidRPr="007F69DA" w:rsidRDefault="00043AE9" w:rsidP="00043AE9">
      <w:pPr>
        <w:jc w:val="both"/>
        <w:rPr>
          <w:szCs w:val="24"/>
          <w:lang w:bidi="en-US"/>
        </w:rPr>
      </w:pPr>
      <w:r w:rsidRPr="007F69DA">
        <w:rPr>
          <w:szCs w:val="24"/>
          <w:lang w:bidi="en-US"/>
        </w:rPr>
        <w:t>Stärker als das Internationale Marketing versucht das Interkulturelle Marketing, die lange Zeit deskriptive, teilweise vorwissenschaftliche Phase der Auseinandersetzung mit den Besonderheiten grenzüberschreitender Unternehmenstätigkeit zu überwinden. Man möchte Erklärungsansätze entwickeln, die es erlauben, vom Einzelfall abzusehen und, theoretisch begründet, Aussagen zu generalisieren, Prognosen zu erstellen, deren Gültigkeit zu überprüfen etc. Dass bspw. einige südostasiatische Länder (z.B. China, Südkorea) sich ökonomisch dynamisch entwickeln, während andere (z.B. Pakistan, Bangladesch) stagnieren, kann man vergleichsweise leicht feststellen, etwa anhand von Statistiken der OECD. Aber warum? Zeichnet dafür das in Kultur und Religion verankerte jeweilige Wertesystem (z.B. Leistungsmotivation, Zeitverständnis) verantwortlich? Liegt es an der unterschiedlichen Leistungsfähigkeit und Verlässlichkeit von Institutionen, deren Aufgabe es ist, für Rechtssicherheit zu sorgen?</w:t>
      </w:r>
    </w:p>
    <w:p w14:paraId="70350166" w14:textId="77777777" w:rsidR="00043AE9" w:rsidRPr="007F69DA" w:rsidRDefault="00043AE9" w:rsidP="00043AE9"/>
    <w:p w14:paraId="3C838D62" w14:textId="77777777" w:rsidR="00043AE9" w:rsidRPr="007F69DA" w:rsidRDefault="00043AE9" w:rsidP="00043AE9">
      <w:pPr>
        <w:jc w:val="both"/>
        <w:rPr>
          <w:szCs w:val="24"/>
          <w:lang w:bidi="en-US"/>
        </w:rPr>
      </w:pPr>
      <w:r w:rsidRPr="007F69DA">
        <w:rPr>
          <w:szCs w:val="24"/>
          <w:lang w:bidi="en-US"/>
        </w:rPr>
        <w:t>Weiterhin möchte man Strategien und Taktiken, die sich in einem bestimmten kulturellen Kontext bewährt ha</w:t>
      </w:r>
      <w:r w:rsidRPr="007F69DA">
        <w:rPr>
          <w:szCs w:val="24"/>
          <w:lang w:bidi="en-US"/>
        </w:rPr>
        <w:softHyphen/>
        <w:t>ben, auf kulturell vergleichbare Märkte übertragen können (d.h. „multiplizieren“ und damit die Effizienz der Marktbearbeitung entscheidend steigern). Dazu werden Länder bzw. Kulturen, deren Mitglieder vergleichbare Wahrnehmungs-, Emotions-, Denk- und Verhaltensmuster aufweisen, zu Kulturclustern zusammengefasst.</w:t>
      </w:r>
    </w:p>
    <w:p w14:paraId="1DD3AEA9" w14:textId="77777777" w:rsidR="00043AE9" w:rsidRPr="007F69DA" w:rsidRDefault="00043AE9" w:rsidP="00043AE9">
      <w:pPr>
        <w:jc w:val="both"/>
        <w:rPr>
          <w:szCs w:val="24"/>
          <w:lang w:bidi="en-US"/>
        </w:rPr>
      </w:pPr>
    </w:p>
    <w:p w14:paraId="5CE05CDD" w14:textId="77777777" w:rsidR="00043AE9" w:rsidRPr="007F69DA" w:rsidRDefault="00043AE9" w:rsidP="00043AE9">
      <w:pPr>
        <w:jc w:val="both"/>
      </w:pPr>
      <w:r w:rsidRPr="007F69DA">
        <w:rPr>
          <w:szCs w:val="24"/>
          <w:lang w:bidi="en-US"/>
        </w:rPr>
        <w:t>Vor allem aber ermöglicht es der interkulturelle Denkansatz, Wissen zu generalisieren und auf dieser Basis sachgerechte Entscheidungen treffen. Ein Automobilhersteller bspw. wird angesichts der charakteristischen Unterschiede zwischen dem maskulinen und dem femininen Kulturtypus in maskulinen Ländermärkten vermutlich Werbebotschaften einsetzen, die Dynamik und Aggressivität ausstrahlen, während in femininen Kulturen Appelle an Be</w:t>
      </w:r>
      <w:r w:rsidRPr="007F69DA">
        <w:rPr>
          <w:szCs w:val="24"/>
          <w:lang w:bidi="en-US"/>
        </w:rPr>
        <w:softHyphen/>
        <w:t>dürfnisse wie Sicherheit und Fürsorglichkeit mehr Erfolg versprechen</w:t>
      </w:r>
      <w:r w:rsidRPr="007F69DA">
        <w:t xml:space="preserve">. </w:t>
      </w:r>
    </w:p>
    <w:p w14:paraId="26577177" w14:textId="77777777" w:rsidR="00043AE9" w:rsidRPr="007F69DA" w:rsidRDefault="00043AE9" w:rsidP="00043AE9"/>
    <w:p w14:paraId="03A89A48" w14:textId="77777777" w:rsidR="00043AE9" w:rsidRPr="007F69DA" w:rsidRDefault="00043AE9" w:rsidP="00043AE9">
      <w:pPr>
        <w:jc w:val="both"/>
        <w:rPr>
          <w:szCs w:val="24"/>
          <w:lang w:bidi="en-US"/>
        </w:rPr>
      </w:pPr>
      <w:r w:rsidRPr="007F69DA">
        <w:rPr>
          <w:szCs w:val="24"/>
          <w:lang w:bidi="en-US"/>
        </w:rPr>
        <w:t>Ein weiteres Beispiel: Ein Markenartikelhersteller steht vor der Entscheidung, welche Markenstrategie er im südamerikanischen Markt verfolgen soll. Ein Blick auf die Kulturprofile von Brasilien, Chile, Kolumbien etc. offenbart, dass diese Länder einem Kulturraum angehören, der vom Streben nach Ungewissheitsvermeidung wie auch von der Akzeptanz von Machtdistanz geprägt ist (vgl. Abb. 3). Daraus ergeben sich folgende Überlegungen:</w:t>
      </w:r>
    </w:p>
    <w:p w14:paraId="76336A89" w14:textId="77777777" w:rsidR="00043AE9" w:rsidRPr="007F69DA" w:rsidRDefault="00043AE9">
      <w:pPr>
        <w:widowControl/>
        <w:numPr>
          <w:ilvl w:val="0"/>
          <w:numId w:val="80"/>
        </w:numPr>
        <w:autoSpaceDE/>
        <w:autoSpaceDN/>
        <w:jc w:val="both"/>
      </w:pPr>
      <w:r w:rsidRPr="007F69DA">
        <w:lastRenderedPageBreak/>
        <w:t xml:space="preserve">Gesellschaften, die Machtdistanz akzeptieren, legen Wert auf soziale Differenzierung und die Demonstration hierarchischer Unterschiede. </w:t>
      </w:r>
    </w:p>
    <w:p w14:paraId="2D8AF452" w14:textId="77777777" w:rsidR="00043AE9" w:rsidRPr="007F69DA" w:rsidRDefault="00043AE9" w:rsidP="00043AE9">
      <w:pPr>
        <w:ind w:left="720"/>
      </w:pPr>
      <w:r w:rsidRPr="007F69DA">
        <w:t>→ Premiummarken sind Statussymbole und deshalb geeignet, auf den sozialen Status des Markenbesitzers bzw. Markenkonsumenten hinzuweisen.</w:t>
      </w:r>
    </w:p>
    <w:p w14:paraId="46CBACA7" w14:textId="77777777" w:rsidR="00043AE9" w:rsidRPr="007F69DA" w:rsidRDefault="00043AE9">
      <w:pPr>
        <w:widowControl/>
        <w:numPr>
          <w:ilvl w:val="0"/>
          <w:numId w:val="80"/>
        </w:numPr>
        <w:autoSpaceDE/>
        <w:autoSpaceDN/>
        <w:jc w:val="both"/>
      </w:pPr>
      <w:r w:rsidRPr="007F69DA">
        <w:t xml:space="preserve">Gesellschaften, die bestrebt sind, Zustände von Unsicherheit zu vermeiden, legen Wert auf Qualitäts- und andere Signale, die Sicherheit vermitteln (z.B. Test- und Gütesiegel). </w:t>
      </w:r>
    </w:p>
    <w:p w14:paraId="0EAB6BB9" w14:textId="77777777" w:rsidR="00043AE9" w:rsidRPr="007F69DA" w:rsidRDefault="00043AE9" w:rsidP="00043AE9">
      <w:pPr>
        <w:ind w:left="720"/>
      </w:pPr>
      <w:r w:rsidRPr="007F69DA">
        <w:t>→ Die entscheidende Funktion von Marken im Allgemeinen und Premiummarken im Besonderen ist die Risikoreduktion.</w:t>
      </w:r>
    </w:p>
    <w:p w14:paraId="61503EA5" w14:textId="77777777" w:rsidR="00043AE9" w:rsidRPr="007F69DA" w:rsidRDefault="00043AE9">
      <w:pPr>
        <w:widowControl/>
        <w:numPr>
          <w:ilvl w:val="0"/>
          <w:numId w:val="80"/>
        </w:numPr>
        <w:autoSpaceDE/>
        <w:autoSpaceDN/>
        <w:jc w:val="both"/>
      </w:pPr>
      <w:r w:rsidRPr="007F69DA">
        <w:t>Fazit: Premiummarken entsprechen den kulturtypischen Bedürfnissen der Konsumenten in Südamerika – die erforderliche Kaufkraft vorausgesetzt.</w:t>
      </w:r>
    </w:p>
    <w:p w14:paraId="5E8020BF" w14:textId="77777777" w:rsidR="00043AE9" w:rsidRPr="007F69DA" w:rsidRDefault="00043AE9" w:rsidP="00043AE9">
      <w:r w:rsidRPr="007F69DA">
        <w:t xml:space="preserve"> </w:t>
      </w:r>
    </w:p>
    <w:p w14:paraId="7475334C" w14:textId="77777777" w:rsidR="00043AE9" w:rsidRPr="0018289F" w:rsidRDefault="00043AE9" w:rsidP="00043AE9">
      <w:pPr>
        <w:pStyle w:val="Beschriftung"/>
      </w:pPr>
      <w:bookmarkStart w:id="91" w:name="_Ref413253351"/>
      <w:r w:rsidRPr="0018289F">
        <w:t xml:space="preserve">Abb. </w:t>
      </w:r>
      <w:r>
        <w:fldChar w:fldCharType="begin"/>
      </w:r>
      <w:r>
        <w:instrText xml:space="preserve"> SEQ Abb. \* ARABIC </w:instrText>
      </w:r>
      <w:r>
        <w:fldChar w:fldCharType="separate"/>
      </w:r>
      <w:r w:rsidRPr="0018289F">
        <w:rPr>
          <w:noProof/>
        </w:rPr>
        <w:t>3</w:t>
      </w:r>
      <w:r>
        <w:rPr>
          <w:noProof/>
        </w:rPr>
        <w:fldChar w:fldCharType="end"/>
      </w:r>
      <w:bookmarkEnd w:id="91"/>
      <w:r w:rsidRPr="0018289F">
        <w:t>: Kulturräume nach Maßgabe zweier Hofstede-Kulturdimensionen</w:t>
      </w:r>
    </w:p>
    <w:p w14:paraId="4F3DEABC" w14:textId="77777777" w:rsidR="00043AE9" w:rsidRPr="007F69DA" w:rsidRDefault="00043AE9" w:rsidP="00043AE9">
      <w:pPr>
        <w:rPr>
          <w:lang w:eastAsia="de-DE"/>
        </w:rPr>
      </w:pPr>
      <w:r w:rsidRPr="007F69DA">
        <w:rPr>
          <w:noProof/>
          <w:lang w:eastAsia="de-DE"/>
        </w:rPr>
        <w:drawing>
          <wp:inline distT="0" distB="0" distL="0" distR="0" wp14:anchorId="5A164D3D" wp14:editId="249DF68D">
            <wp:extent cx="5858510" cy="3609340"/>
            <wp:effectExtent l="0" t="0" r="8890" b="0"/>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5858510" cy="3609340"/>
                    </a:xfrm>
                    <a:prstGeom prst="rect">
                      <a:avLst/>
                    </a:prstGeom>
                    <a:noFill/>
                  </pic:spPr>
                </pic:pic>
              </a:graphicData>
            </a:graphic>
          </wp:inline>
        </w:drawing>
      </w:r>
    </w:p>
    <w:p w14:paraId="498EF3FB" w14:textId="77777777" w:rsidR="006E504E" w:rsidRDefault="006E504E" w:rsidP="00043AE9">
      <w:pPr>
        <w:rPr>
          <w:noProof/>
          <w:lang w:eastAsia="de-DE"/>
        </w:rPr>
      </w:pPr>
    </w:p>
    <w:p w14:paraId="15631F84" w14:textId="4B8507F4" w:rsidR="00043AE9" w:rsidRPr="007F69DA" w:rsidRDefault="00043AE9" w:rsidP="00043AE9">
      <w:pPr>
        <w:rPr>
          <w:szCs w:val="24"/>
          <w:lang w:bidi="en-US"/>
        </w:rPr>
      </w:pPr>
      <w:r w:rsidRPr="007F69DA">
        <w:rPr>
          <w:noProof/>
          <w:lang w:eastAsia="de-DE"/>
        </w:rPr>
        <w:fldChar w:fldCharType="begin" w:fldLock="1"/>
      </w:r>
      <w:r w:rsidRPr="007F69DA">
        <w:rPr>
          <w:noProof/>
          <w:lang w:eastAsia="de-DE"/>
        </w:rPr>
        <w:instrText xml:space="preserve"> USERPROPERTY  \* MERGEFORMAT </w:instrText>
      </w:r>
      <w:r w:rsidRPr="007F69DA">
        <w:rPr>
          <w:noProof/>
          <w:lang w:eastAsia="de-DE"/>
        </w:rPr>
        <w:fldChar w:fldCharType="separate"/>
      </w:r>
      <w:r w:rsidRPr="007F69DA">
        <w:rPr>
          <w:noProof/>
          <w:lang w:eastAsia="de-DE"/>
        </w:rPr>
        <w:fldChar w:fldCharType="end"/>
      </w:r>
      <w:bookmarkStart w:id="92" w:name="_Toc413251444"/>
      <w:bookmarkStart w:id="93" w:name="_Toc413251510"/>
      <w:r w:rsidRPr="007F69DA">
        <w:rPr>
          <w:szCs w:val="24"/>
          <w:lang w:bidi="en-US"/>
        </w:rPr>
        <w:t xml:space="preserve">3 </w:t>
      </w:r>
      <w:r>
        <w:rPr>
          <w:szCs w:val="24"/>
          <w:lang w:bidi="en-US"/>
        </w:rPr>
        <w:t xml:space="preserve">Intrakulturelles </w:t>
      </w:r>
      <w:r w:rsidRPr="007F69DA">
        <w:rPr>
          <w:szCs w:val="24"/>
          <w:lang w:bidi="en-US"/>
        </w:rPr>
        <w:t>Marketing</w:t>
      </w:r>
      <w:bookmarkStart w:id="94" w:name="_Toc413251445"/>
      <w:bookmarkStart w:id="95" w:name="_Toc413251511"/>
      <w:bookmarkEnd w:id="92"/>
      <w:bookmarkEnd w:id="93"/>
    </w:p>
    <w:bookmarkEnd w:id="94"/>
    <w:bookmarkEnd w:id="95"/>
    <w:p w14:paraId="16BCD00A" w14:textId="1BF30D86" w:rsidR="00043AE9" w:rsidRPr="007F69DA" w:rsidRDefault="00043AE9" w:rsidP="00043AE9">
      <w:pPr>
        <w:jc w:val="both"/>
        <w:rPr>
          <w:szCs w:val="24"/>
          <w:lang w:bidi="en-US"/>
        </w:rPr>
      </w:pPr>
      <w:r w:rsidRPr="007F69DA">
        <w:rPr>
          <w:szCs w:val="24"/>
          <w:lang w:bidi="en-US"/>
        </w:rPr>
        <w:t>In einer weiteren und vorläufig letzten Entwicklungsphase des kultursensiblen Marketing rückten die innerhalb eines Landes bestehenden kulturellen Unterschiede in den Fokus der Aufmerksamkeit. Denn die zumeist stillschweigende Unterstellung, dass Nationen kulturell homogen sind und deshalb „Nation“ und „Landeskultur“ gleichgesetzt werden können, ist in den meisten Fällen nicht haltbar. Wie das Beispiel Indien demonstriert, ist vielmehr kulturelle Vielfalt die Regel (vgl. Abb. 4). Kulturell homogene Nationalstaaten wie Dänemark (= mehr als 90% Dänen) oder Japan (= mehr als 97% Japaner) sind die Ausnahme.</w:t>
      </w:r>
    </w:p>
    <w:p w14:paraId="6485D53D" w14:textId="4AE4EDD6" w:rsidR="00043AE9" w:rsidRPr="007F69DA" w:rsidRDefault="006E504E" w:rsidP="00043AE9">
      <w:pPr>
        <w:pStyle w:val="Beschriftung"/>
        <w:ind w:right="1134"/>
        <w:rPr>
          <w:i w:val="0"/>
        </w:rPr>
      </w:pPr>
      <w:r w:rsidRPr="007F69DA">
        <w:rPr>
          <w:bCs/>
          <w:noProof/>
        </w:rPr>
        <mc:AlternateContent>
          <mc:Choice Requires="wps">
            <w:drawing>
              <wp:anchor distT="0" distB="0" distL="114300" distR="114300" simplePos="0" relativeHeight="252038144" behindDoc="0" locked="0" layoutInCell="1" allowOverlap="1" wp14:anchorId="5B084D72" wp14:editId="4834B55E">
                <wp:simplePos x="0" y="0"/>
                <wp:positionH relativeFrom="margin">
                  <wp:posOffset>7620</wp:posOffset>
                </wp:positionH>
                <wp:positionV relativeFrom="paragraph">
                  <wp:posOffset>266605</wp:posOffset>
                </wp:positionV>
                <wp:extent cx="5734050" cy="1885950"/>
                <wp:effectExtent l="0" t="0" r="19050" b="19050"/>
                <wp:wrapNone/>
                <wp:docPr id="32" name="Textfeld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1885950"/>
                        </a:xfrm>
                        <a:prstGeom prst="rect">
                          <a:avLst/>
                        </a:prstGeom>
                        <a:solidFill>
                          <a:srgbClr val="FFFFFF"/>
                        </a:solidFill>
                        <a:ln w="9525">
                          <a:solidFill>
                            <a:srgbClr val="000000"/>
                          </a:solidFill>
                          <a:miter lim="800000"/>
                          <a:headEnd/>
                          <a:tailEnd/>
                        </a:ln>
                      </wps:spPr>
                      <wps:txbx>
                        <w:txbxContent>
                          <w:p w14:paraId="7CF0666E" w14:textId="77777777" w:rsidR="00043AE9" w:rsidRPr="00936855" w:rsidRDefault="00043AE9" w:rsidP="00043AE9">
                            <w:pPr>
                              <w:shd w:val="clear" w:color="auto" w:fill="DEEAF6" w:themeFill="accent1" w:themeFillTint="33"/>
                              <w:rPr>
                                <w:sz w:val="20"/>
                                <w:szCs w:val="20"/>
                              </w:rPr>
                            </w:pPr>
                            <w:r w:rsidRPr="000F4B49">
                              <w:rPr>
                                <w:sz w:val="44"/>
                                <w:szCs w:val="44"/>
                              </w:rPr>
                              <w:sym w:font="Wingdings 2" w:char="F045"/>
                            </w:r>
                            <w:r>
                              <w:rPr>
                                <w:sz w:val="44"/>
                                <w:szCs w:val="44"/>
                              </w:rPr>
                              <w:t xml:space="preserve"> </w:t>
                            </w:r>
                            <w:r w:rsidRPr="00A220F6">
                              <w:rPr>
                                <w:sz w:val="20"/>
                                <w:szCs w:val="20"/>
                              </w:rPr>
                              <w:t>Ausgehend von der Standardisierungs/Differenzierungs-Debatte sowie der Strategie der Marktsegmentierung zielt Interkulturelles Marketing darauf, kulturell homogene Cluster von Ländermärkten zu identifizieren, die standardisiert bearbeitet werden können, sei es mit einzelnen Marketing-Instrumenten oder insgesamt. Dazu bedarf es der Unterstützung einer Reihe von „Hilfswissenschaften“: einerseits der multivariaten Datenanalyse und andererseits verschiedener sozial- und geisteswissenschaftlicher Disziplinen (z.B. Kulturvergleichende Psychologie). Mit ihrer Hilfe ist es möglich, Ländermärkte mit Blick auf ihre Landeskultur zu typisieren und aus der Zugehörigkeit zu einem Kultur-Cluster (d.h. ohne weitergehenden Marktinformationen zu beschaffen) Empfehlungen für einen erfolgversprechenden Einsatz des Marketinginstrumentariums abzuleiten.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084D72" id="Textfeld 32" o:spid="_x0000_s1069" type="#_x0000_t202" style="position:absolute;left:0;text-align:left;margin-left:.6pt;margin-top:21pt;width:451.5pt;height:148.5pt;z-index:252038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">
                <v:textbox>
                  <w:txbxContent>
                    <w:p w14:paraId="7CF0666E" w14:textId="77777777" w:rsidR="00043AE9" w:rsidRPr="00936855" w:rsidRDefault="00043AE9" w:rsidP="00043AE9">
                      <w:pPr>
                        <w:shd w:val="clear" w:color="auto" w:fill="DEEAF6" w:themeFill="accent1" w:themeFillTint="33"/>
                        <w:rPr>
                          <w:sz w:val="20"/>
                          <w:szCs w:val="20"/>
                        </w:rPr>
                      </w:pPr>
                      <w:r w:rsidRPr="000F4B49">
                        <w:rPr>
                          <w:sz w:val="44"/>
                          <w:szCs w:val="44"/>
                        </w:rPr>
                        <w:sym w:font="Wingdings 2" w:char="F045"/>
                      </w:r>
                      <w:r>
                        <w:rPr>
                          <w:sz w:val="44"/>
                          <w:szCs w:val="44"/>
                        </w:rPr>
                        <w:t xml:space="preserve"> </w:t>
                      </w:r>
                      <w:r w:rsidRPr="00A220F6">
                        <w:rPr>
                          <w:sz w:val="20"/>
                          <w:szCs w:val="20"/>
                        </w:rPr>
                        <w:t>Ausgehend von der Standardisierungs/Differenzierungs-Debatte sowie der Strategie der Marktsegmentierung zielt Interkulturelles Marketing darauf, kulturell homogene Cluster von Ländermärkten zu identifizieren, die standardisiert bearbeitet werden können, sei es mit einzelnen Marketing-Instrumenten oder insgesamt. Dazu bedarf es der Unterstützung einer Reihe von „Hilfswissenschaften“: einerseits der multivariaten Datenanalyse und andererseits verschiedener sozial- und geisteswissenschaftlicher Disziplinen (z.B. Kulturvergleichende Psychologie). Mit ihrer Hilfe ist es möglich, Ländermärkte mit Blick auf ihre Landeskultur zu typisieren und aus der Zugehörigkeit zu einem Kultur-Cluster (d.h. ohne weitergehenden Marktinformationen zu beschaffen) Empfehlungen für einen erfolgversprechenden Einsatz des Marketinginstrumentariums abzuleiten.</w:t>
                      </w:r>
                    </w:p>
                  </w:txbxContent>
                </v:textbox>
                <w10:wrap anchorx="margin"/>
              </v:shape>
            </w:pict>
          </mc:Fallback>
        </mc:AlternateContent>
      </w:r>
    </w:p>
    <w:p w14:paraId="7D527B8B" w14:textId="58895934" w:rsidR="00043AE9" w:rsidRPr="0018289F" w:rsidRDefault="00043AE9" w:rsidP="00043AE9">
      <w:pPr>
        <w:pStyle w:val="Beschriftung"/>
      </w:pPr>
      <w:bookmarkStart w:id="96" w:name="_Ref413253377"/>
      <w:r w:rsidRPr="0018289F">
        <w:t>Abb.</w:t>
      </w:r>
      <w:bookmarkEnd w:id="96"/>
      <w:r w:rsidRPr="0018289F">
        <w:t xml:space="preserve"> 4: Sprachliche &amp; religiöse Vielfalt Indiens</w:t>
      </w:r>
    </w:p>
    <w:p w14:paraId="605A8366" w14:textId="77777777" w:rsidR="00043AE9" w:rsidRPr="007F69DA" w:rsidRDefault="00043AE9" w:rsidP="00043AE9">
      <w:pPr>
        <w:rPr>
          <w:lang w:eastAsia="de-DE"/>
        </w:rPr>
      </w:pPr>
      <w:r w:rsidRPr="007F69DA">
        <w:rPr>
          <w:noProof/>
          <w:lang w:eastAsia="de-DE"/>
        </w:rPr>
        <w:lastRenderedPageBreak/>
        <w:drawing>
          <wp:inline distT="0" distB="0" distL="0" distR="0" wp14:anchorId="74980EA3" wp14:editId="08768631">
            <wp:extent cx="5705456" cy="3486150"/>
            <wp:effectExtent l="0" t="0" r="0" b="0"/>
            <wp:docPr id="484" name="Grafik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5720124" cy="3495112"/>
                    </a:xfrm>
                    <a:prstGeom prst="rect">
                      <a:avLst/>
                    </a:prstGeom>
                    <a:noFill/>
                  </pic:spPr>
                </pic:pic>
              </a:graphicData>
            </a:graphic>
          </wp:inline>
        </w:drawing>
      </w:r>
      <w:r w:rsidRPr="007F69DA">
        <w:rPr>
          <w:lang w:eastAsia="de-DE"/>
        </w:rPr>
        <w:fldChar w:fldCharType="begin" w:fldLock="1"/>
      </w:r>
      <w:r w:rsidRPr="007F69DA">
        <w:rPr>
          <w:lang w:eastAsia="de-DE"/>
        </w:rPr>
        <w:instrText xml:space="preserve"> USERPROPERTY  \* MERGEFORMAT </w:instrText>
      </w:r>
      <w:r w:rsidRPr="007F69DA">
        <w:rPr>
          <w:lang w:eastAsia="de-DE"/>
        </w:rPr>
        <w:fldChar w:fldCharType="end"/>
      </w:r>
    </w:p>
    <w:p w14:paraId="0B6FBC4C" w14:textId="77777777" w:rsidR="00043AE9" w:rsidRPr="007F69DA" w:rsidRDefault="00043AE9" w:rsidP="00043AE9">
      <w:pPr>
        <w:ind w:right="1134"/>
        <w:rPr>
          <w:sz w:val="16"/>
          <w:szCs w:val="16"/>
        </w:rPr>
      </w:pPr>
      <w:r w:rsidRPr="007F69DA">
        <w:rPr>
          <w:sz w:val="16"/>
          <w:szCs w:val="16"/>
        </w:rPr>
        <w:t>Quelle:</w:t>
      </w:r>
      <w:r w:rsidRPr="007F69DA">
        <w:rPr>
          <w:sz w:val="16"/>
          <w:szCs w:val="16"/>
        </w:rPr>
        <w:tab/>
        <w:t xml:space="preserve"> Fischer Weltalmanach (2012; Angaben in Mio. Menschen).</w:t>
      </w:r>
    </w:p>
    <w:p w14:paraId="589753B9" w14:textId="77777777" w:rsidR="00043AE9" w:rsidRPr="007F69DA" w:rsidRDefault="00043AE9" w:rsidP="00043AE9"/>
    <w:p w14:paraId="4073CF2D" w14:textId="77777777" w:rsidR="00043AE9" w:rsidRPr="007F69DA" w:rsidRDefault="00043AE9" w:rsidP="00043AE9">
      <w:pPr>
        <w:jc w:val="both"/>
        <w:rPr>
          <w:szCs w:val="24"/>
          <w:lang w:bidi="en-US"/>
        </w:rPr>
      </w:pPr>
      <w:r w:rsidRPr="007F69DA">
        <w:rPr>
          <w:szCs w:val="24"/>
          <w:lang w:bidi="en-US"/>
        </w:rPr>
        <w:t>Allerdings ist zu bedenken, dass „homogen“ und heterogen“ oder „fremd“ und „eigen“ unscharfe Gegensätze sind: „Aus der entfernten Sicht der anderen Kulturen, also etwa aus dem Blickwinkel eines Chinesen mit konfuzianischen Wurzeln oder eines Japaners, Malaien, Inders oder auch mit den Augen eines Orientalen, Iraners, Arabers oder Afrikaners gesehen, schrumpfen die Gegensätze der Nationalitäten und Mentalitäten, der verschiedenen Konfessionen zu einem diffusen Begriff vom „Westen“ zusammen. Fragt man dagegen die Europäer selber, so sind es die Unterschiedlichkeiten, meist kleine Dinge wie die italienische Art, mit den Händen zu reden, die skandinavische geschmackvolle Wohnung, die englische Liebe zu Gärten. Es ist die Art, Feste zu feiern, die Toten zu bestatten, die Gabel zu führen, unsere Essgewohnheiten und Kleidersitten. Hierin, wie natürlich auch in den großen Identitätssymbolen nationaler und religiöser Art, wird das je Eigene erkannt“ (Nordhofen 1997, S.40).</w:t>
      </w:r>
    </w:p>
    <w:p w14:paraId="35DFCB90" w14:textId="77777777" w:rsidR="00043AE9" w:rsidRPr="007F69DA" w:rsidRDefault="00043AE9" w:rsidP="00043AE9"/>
    <w:p w14:paraId="65912176" w14:textId="77777777" w:rsidR="00043AE9" w:rsidRPr="007F69DA" w:rsidRDefault="00043AE9" w:rsidP="00043AE9">
      <w:pPr>
        <w:ind w:right="-141"/>
        <w:rPr>
          <w:bCs/>
        </w:rPr>
      </w:pPr>
      <w:r w:rsidRPr="007F69DA">
        <w:t>Innerhalb von Nationalstaaten begegnet uns kulturelle Diversität auf vielfältige Weise:</w:t>
      </w:r>
    </w:p>
    <w:p w14:paraId="0BBD9705" w14:textId="77777777" w:rsidR="00043AE9" w:rsidRPr="007F69DA" w:rsidRDefault="00043AE9">
      <w:pPr>
        <w:widowControl/>
        <w:numPr>
          <w:ilvl w:val="0"/>
          <w:numId w:val="81"/>
        </w:numPr>
        <w:autoSpaceDE/>
        <w:autoSpaceDN/>
        <w:contextualSpacing/>
        <w:jc w:val="both"/>
      </w:pPr>
      <w:r w:rsidRPr="007F69DA">
        <w:t>In Italien (Nord- vs. Süditaliener), Belgien (Flamen vs. Wallonen), der Schweiz (Deutsch-, Französisch-, Italienisch- und Rätoromanisch-Sprachige) und vielen anderen Fällen lässt sich kulturelle Diversität eines Nationalstaates regional erfassen und relativ eindeutig abgrenzen. Hier kann Interregionales Marketing betrieben werden.</w:t>
      </w:r>
    </w:p>
    <w:p w14:paraId="0357448E" w14:textId="77777777" w:rsidR="00043AE9" w:rsidRPr="007F69DA" w:rsidRDefault="00043AE9">
      <w:pPr>
        <w:widowControl/>
        <w:numPr>
          <w:ilvl w:val="0"/>
          <w:numId w:val="81"/>
        </w:numPr>
        <w:autoSpaceDE/>
        <w:autoSpaceDN/>
        <w:contextualSpacing/>
        <w:jc w:val="both"/>
      </w:pPr>
      <w:r w:rsidRPr="007F69DA">
        <w:t>Die verschiedenen Migrationswellen haben dafür gesorgt, dass in den meisten Nationalstaaten Menschengruppen mit unterschiedlichem Migrationshintergrund leben. Aufgrund des Arbeitskräftemangels wanderten in Deutschland seit den 1960er-Jahren Griechen, Italiener, Spanier, Türken und andere in großer Zahl ein. Und anlässlich der Implosion des „Ostblocks“ kamen in den 1990er-Jahren hauptsächlich Menschen aus der ehemaligen Sowjetunion und Ex-Jugoslawien hinzu. Ethno-Marketing trägt diesen Unterschieden Rechnung.</w:t>
      </w:r>
    </w:p>
    <w:p w14:paraId="45EDB5BB" w14:textId="77777777" w:rsidR="00043AE9" w:rsidRPr="007F69DA" w:rsidRDefault="00043AE9">
      <w:pPr>
        <w:widowControl/>
        <w:numPr>
          <w:ilvl w:val="0"/>
          <w:numId w:val="81"/>
        </w:numPr>
        <w:autoSpaceDE/>
        <w:autoSpaceDN/>
        <w:contextualSpacing/>
        <w:jc w:val="both"/>
      </w:pPr>
      <w:r w:rsidRPr="007F69DA">
        <w:t>In jeder Gesellschaft entwickeln sich Subkulturen mit eigenständigen Werten, die sich teils mehr (z.B. Punks), teils weniger (z.B. Jugendkultur) bewusst von dem Werteprofil der Mehrheitskultur abgrenzen und sich selbst als Gegenkultur inszenieren. Da das Marktpotential vieler Subkulturen begrenzt ist, entwickelt sich das Subkulturen-Marketing nur zögerlich.</w:t>
      </w:r>
    </w:p>
    <w:p w14:paraId="4B619EF9" w14:textId="77777777" w:rsidR="00043AE9" w:rsidRPr="007F69DA" w:rsidRDefault="00043AE9">
      <w:pPr>
        <w:widowControl/>
        <w:numPr>
          <w:ilvl w:val="0"/>
          <w:numId w:val="81"/>
        </w:numPr>
        <w:autoSpaceDE/>
        <w:autoSpaceDN/>
        <w:contextualSpacing/>
        <w:jc w:val="both"/>
      </w:pPr>
      <w:r w:rsidRPr="007F69DA">
        <w:t xml:space="preserve">Manager entwickeln eine multiple kulturelle Identität. Neben ihrer Landeskultur beeinflussen die Unternehmenskultur ihres Arbeitgebers und dessen Branchenkultur ihr Denken und Handeln. Das Interkulturelle Management befasst sich mit derartigen Themen unter dem Stichwort </w:t>
      </w:r>
      <w:r w:rsidRPr="007F69DA">
        <w:sym w:font="Symbol" w:char="F0DE"/>
      </w:r>
      <w:r w:rsidRPr="007F69DA">
        <w:t xml:space="preserve"> ‘third culture‘.</w:t>
      </w:r>
    </w:p>
    <w:p w14:paraId="7B1CA0B4" w14:textId="77777777" w:rsidR="00043AE9" w:rsidRPr="007F69DA" w:rsidRDefault="00043AE9" w:rsidP="00043AE9"/>
    <w:p w14:paraId="144E08F6" w14:textId="77777777" w:rsidR="00043AE9" w:rsidRPr="007F69DA" w:rsidRDefault="00043AE9" w:rsidP="00043AE9">
      <w:pPr>
        <w:jc w:val="both"/>
        <w:rPr>
          <w:szCs w:val="24"/>
          <w:lang w:bidi="en-US"/>
        </w:rPr>
      </w:pPr>
      <w:r w:rsidRPr="007F69DA">
        <w:rPr>
          <w:szCs w:val="24"/>
          <w:lang w:bidi="en-US"/>
        </w:rPr>
        <w:t xml:space="preserve">Mit Blick auf Belgien etwa wird kulturelle Diversität vorrangig sprachlich definiert, mit Blick auf die </w:t>
      </w:r>
      <w:r w:rsidRPr="007F69DA">
        <w:rPr>
          <w:szCs w:val="24"/>
          <w:lang w:bidi="en-US"/>
        </w:rPr>
        <w:lastRenderedPageBreak/>
        <w:t xml:space="preserve">USA hingegen primär ethnisch (vgl. Abb. 5). Zugleich zeigt diese Darstellung die Fülle an Analyseebenen, die sich ergeben, wenn man die Gleichsetzung von </w:t>
      </w:r>
      <w:r w:rsidRPr="007F69DA">
        <w:rPr>
          <w:szCs w:val="24"/>
          <w:lang w:bidi="en-US"/>
        </w:rPr>
        <w:sym w:font="Symbol" w:char="F0DE"/>
      </w:r>
      <w:r w:rsidRPr="007F69DA">
        <w:rPr>
          <w:szCs w:val="24"/>
          <w:lang w:bidi="en-US"/>
        </w:rPr>
        <w:t xml:space="preserve"> Kultur und </w:t>
      </w:r>
      <w:r w:rsidRPr="007F69DA">
        <w:rPr>
          <w:szCs w:val="24"/>
          <w:lang w:bidi="en-US"/>
        </w:rPr>
        <w:sym w:font="Symbol" w:char="F0DE"/>
      </w:r>
      <w:r w:rsidRPr="007F69DA">
        <w:rPr>
          <w:szCs w:val="24"/>
          <w:lang w:bidi="en-US"/>
        </w:rPr>
        <w:t xml:space="preserve"> Nation aufgibt und im Forschungsdesgin der innerhalb von Nationen bestehenden kulturellen Vielfalt Rechnung trägt. Angenommen, man wollte innerhalb des individualistischen Kulturkreises vorhersagen, mit welcher Wahrscheinlichkeit US-amerikanische Bankkunden (= Vertreter des eher unsicherheitstoleranten Typus; UAI = 46) und belgische Bankkunden (= Vertreter des unsicherheitsaversen Typus; UAI = 94) einen neuartigen Investmentfonds mit Renditegarantie kaufen würden (= interkulturelle Perspektive). Diesen einfachen Zwei-Gruppen-Vergleich müsste man aus intrakultureller Sicht in nicht weniger als 22 Untergruppenanalysen überführen (bspw. hispanische vs. asienstämmige Amerikaner, aber auch hispanische Amerikaner vs. niederländisch-sprachige Belgier). Angesichts der Vielzahl an Analysemöglichkeiten genügt es, sich einen Vier-oder-mehr-Länder-Vergleich vorzustellen, um die Grenzen intrakultureller Forschung ermessen zu können.  </w:t>
      </w:r>
    </w:p>
    <w:p w14:paraId="10BA8AAE" w14:textId="77777777" w:rsidR="00043AE9" w:rsidRPr="007F69DA" w:rsidRDefault="00043AE9" w:rsidP="00043AE9">
      <w:pPr>
        <w:ind w:left="360"/>
      </w:pPr>
    </w:p>
    <w:p w14:paraId="5F66E95C" w14:textId="77777777" w:rsidR="00043AE9" w:rsidRPr="0018289F" w:rsidRDefault="00043AE9" w:rsidP="00043AE9">
      <w:pPr>
        <w:pStyle w:val="Beschriftung"/>
        <w:jc w:val="right"/>
      </w:pPr>
      <w:bookmarkStart w:id="97" w:name="_Ref413253414"/>
      <w:r w:rsidRPr="0018289F">
        <w:t>Abb.</w:t>
      </w:r>
      <w:bookmarkEnd w:id="97"/>
      <w:r w:rsidRPr="0018289F">
        <w:t xml:space="preserve"> 5: Kombination von interkultureller &amp; intrakultureller Forschungsstrategie</w:t>
      </w:r>
    </w:p>
    <w:p w14:paraId="0A135873" w14:textId="77777777" w:rsidR="00043AE9" w:rsidRPr="007F69DA" w:rsidRDefault="00043AE9" w:rsidP="00043AE9">
      <w:pPr>
        <w:rPr>
          <w:noProof/>
          <w:lang w:eastAsia="de-DE"/>
        </w:rPr>
      </w:pPr>
    </w:p>
    <w:p w14:paraId="2334E814" w14:textId="77777777" w:rsidR="00043AE9" w:rsidRPr="007F69DA" w:rsidRDefault="00043AE9" w:rsidP="00043AE9">
      <w:r w:rsidRPr="007F69DA">
        <w:rPr>
          <w:noProof/>
          <w:lang w:eastAsia="de-DE"/>
        </w:rPr>
        <w:drawing>
          <wp:inline distT="0" distB="0" distL="0" distR="0" wp14:anchorId="4606CCC2" wp14:editId="0DEA08D8">
            <wp:extent cx="5695950" cy="4050026"/>
            <wp:effectExtent l="0" t="0" r="0" b="8255"/>
            <wp:docPr id="485" name="Grafik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5711959" cy="4061409"/>
                    </a:xfrm>
                    <a:prstGeom prst="rect">
                      <a:avLst/>
                    </a:prstGeom>
                    <a:noFill/>
                  </pic:spPr>
                </pic:pic>
              </a:graphicData>
            </a:graphic>
          </wp:inline>
        </w:drawing>
      </w:r>
    </w:p>
    <w:p w14:paraId="3FB818DD" w14:textId="77777777" w:rsidR="00043AE9" w:rsidRPr="007F69DA" w:rsidRDefault="00043AE9" w:rsidP="00043AE9"/>
    <w:p w14:paraId="149EA8B6" w14:textId="77777777" w:rsidR="00043AE9" w:rsidRPr="007F69DA" w:rsidRDefault="00043AE9" w:rsidP="00043AE9">
      <w:pPr>
        <w:spacing w:line="360" w:lineRule="auto"/>
        <w:jc w:val="both"/>
        <w:rPr>
          <w:szCs w:val="24"/>
          <w:lang w:bidi="en-US"/>
        </w:rPr>
      </w:pPr>
      <w:bookmarkStart w:id="98" w:name="_Toc413251446"/>
      <w:bookmarkStart w:id="99" w:name="_Toc413251512"/>
      <w:r w:rsidRPr="007F69DA">
        <w:rPr>
          <w:szCs w:val="24"/>
          <w:lang w:bidi="en-US"/>
        </w:rPr>
        <w:t>4 Interregionales Marketing</w:t>
      </w:r>
      <w:bookmarkEnd w:id="98"/>
      <w:bookmarkEnd w:id="99"/>
    </w:p>
    <w:p w14:paraId="25BAFA1A" w14:textId="77777777" w:rsidR="00043AE9" w:rsidRPr="007F69DA" w:rsidRDefault="00043AE9" w:rsidP="00043AE9">
      <w:pPr>
        <w:jc w:val="both"/>
        <w:rPr>
          <w:szCs w:val="24"/>
          <w:lang w:bidi="en-US"/>
        </w:rPr>
      </w:pPr>
      <w:r w:rsidRPr="007F69DA">
        <w:rPr>
          <w:szCs w:val="24"/>
          <w:lang w:bidi="en-US"/>
        </w:rPr>
        <w:t>Die deutsche Nation ist tief gespalten: In Süddeutschland kommen zumeist Nudelgerichte auf den Tisch, in Norddeutschland hingegen Kartoffelgerichte. Auch präferieren die „Fischköpfe“ gebundene Suppen, während jenseits des Mains im Regelfall klare Suppen aufgetischt werden. Und an Weihnachten warten die norddeutschen und die süddeutschen Kinder nicht auf die gleichen Helfer (vgl. Stolz 2011): Seit Mitte des 19. Jahrhunderts beglückt in den nördlich-protestantischen Gebieten Deutschlands der Weihnachtsmann die Kinder. Im katholischen Süden hingegen lässt das Christkind die Augen der Kleinen erstrahlen, während im östlich gelegenen Erzgebirge zur Weihnachtszeit Knecht Ruprecht sehnsuchtsvoll erwartet wird. Denn dort droht der Begleiter des deutschlandweit bekannten Nikolaus nicht, wie sonst, mit der Rute, sondern führt die guten Gaben mit sich.</w:t>
      </w:r>
    </w:p>
    <w:p w14:paraId="111982D4" w14:textId="77777777" w:rsidR="00043AE9" w:rsidRPr="007F69DA" w:rsidRDefault="00043AE9" w:rsidP="00043AE9"/>
    <w:p w14:paraId="1ABCA827" w14:textId="77777777" w:rsidR="00043AE9" w:rsidRPr="007F69DA" w:rsidRDefault="00043AE9" w:rsidP="00043AE9">
      <w:pPr>
        <w:jc w:val="both"/>
        <w:rPr>
          <w:szCs w:val="24"/>
          <w:lang w:bidi="en-US"/>
        </w:rPr>
      </w:pPr>
      <w:r w:rsidRPr="007F69DA">
        <w:rPr>
          <w:szCs w:val="24"/>
          <w:lang w:bidi="en-US"/>
        </w:rPr>
        <w:t xml:space="preserve">Viele andere Nationen leben gleichfalls mit einem Nord/Süd-Schisma. Im Falle Frankreichs hat dies spätestens der Film „Les Styx“ einer breiten Öffentlichkeit humorvoll vor Augen geführt. Die leichte </w:t>
      </w:r>
      <w:r w:rsidRPr="007F69DA">
        <w:rPr>
          <w:szCs w:val="24"/>
          <w:lang w:bidi="en-US"/>
        </w:rPr>
        <w:lastRenderedPageBreak/>
        <w:t>Olivenöl-Küche der mediterranen Regionen Frankreichs und die schwere, auf Butter gegründete Küche des Nordens symbolisieren die Lebensfreude der Bewohner der Provence einerseits und die Erdenschwere von Bretonen und Normannen andererseits. In kaum einem anderen Land wird die Nord-Süd-Polemik allerdings mit derartiger Verbitterung zelebriert wie in Italien, wo die Lega Nord mit ihrer Forderung nach der Abspaltung der reichen Nordens vom armen Süden Wahlsiege feierte und das Land paralysierte.</w:t>
      </w:r>
    </w:p>
    <w:p w14:paraId="528BAF4B" w14:textId="77777777" w:rsidR="00043AE9" w:rsidRPr="007F69DA" w:rsidRDefault="00043AE9" w:rsidP="00043AE9"/>
    <w:p w14:paraId="53D0A2E4" w14:textId="77777777" w:rsidR="00043AE9" w:rsidRPr="007F69DA" w:rsidRDefault="00043AE9" w:rsidP="00043AE9">
      <w:pPr>
        <w:shd w:val="clear" w:color="auto" w:fill="DEEAF6" w:themeFill="accent1" w:themeFillTint="33"/>
        <w:jc w:val="center"/>
        <w:rPr>
          <w:sz w:val="18"/>
          <w:szCs w:val="18"/>
        </w:rPr>
      </w:pPr>
      <w:r w:rsidRPr="007F69DA">
        <w:rPr>
          <w:sz w:val="18"/>
          <w:szCs w:val="18"/>
        </w:rPr>
        <w:t>Padanien</w:t>
      </w:r>
    </w:p>
    <w:p w14:paraId="0605EC15" w14:textId="77777777" w:rsidR="00043AE9" w:rsidRPr="007F69DA" w:rsidRDefault="00043AE9" w:rsidP="00043AE9">
      <w:pPr>
        <w:shd w:val="clear" w:color="auto" w:fill="DEEAF6" w:themeFill="accent1" w:themeFillTint="33"/>
        <w:rPr>
          <w:sz w:val="18"/>
          <w:szCs w:val="18"/>
        </w:rPr>
      </w:pPr>
      <w:r w:rsidRPr="007F69DA">
        <w:rPr>
          <w:sz w:val="18"/>
          <w:szCs w:val="18"/>
        </w:rPr>
        <w:t>„Erdfresser hat Lega Nord-Chef U. Bossi Italiens Staatspräsidenten am vorletzten Tag des alten Jahres genannt. So beschimpft man im Norden Süditaliener, und der Ausdruck ist weit rassistischer und verächtlicher als etwa das bayerische Wort für Norddeutsche: Fischkopf. Rassismus und obszöne Gesten gehörten seit je zum rüpelhaften Stil Bossis und seiner Nordpartei. […] Als Teil der nationalen Regierung konnte sie ihre ursprüngliche Rolle des angeblichen Retters von Padanien nicht erfüllen: Jener laut Lega-Propaganda historisch begründeten Fiktion eines Reichs der acht Nordregionen Italiens. Die Mär von Padanien ist Kern der Ideologie des Lombarden Bossi“ (Bachstein 2012, S.7).</w:t>
      </w:r>
    </w:p>
    <w:p w14:paraId="2C3EA0A5" w14:textId="77777777" w:rsidR="00043AE9" w:rsidRPr="007F69DA" w:rsidRDefault="00043AE9" w:rsidP="00043AE9">
      <w:pPr>
        <w:rPr>
          <w:sz w:val="18"/>
          <w:szCs w:val="18"/>
        </w:rPr>
      </w:pPr>
      <w:r w:rsidRPr="007F69DA">
        <w:rPr>
          <w:sz w:val="18"/>
          <w:szCs w:val="18"/>
        </w:rPr>
        <w:t>.</w:t>
      </w:r>
    </w:p>
    <w:p w14:paraId="79A5AA90" w14:textId="77777777" w:rsidR="00043AE9" w:rsidRPr="007F69DA" w:rsidRDefault="00043AE9" w:rsidP="00043AE9">
      <w:pPr>
        <w:rPr>
          <w:sz w:val="18"/>
          <w:szCs w:val="18"/>
        </w:rPr>
      </w:pPr>
    </w:p>
    <w:p w14:paraId="638D413C" w14:textId="77777777" w:rsidR="00043AE9" w:rsidRPr="007F69DA" w:rsidRDefault="00043AE9" w:rsidP="00043AE9">
      <w:r w:rsidRPr="007F69DA">
        <w:t>Andere Länder sind in Ost/West-Richtung gespalten. In Polen und der Ukraine etwa stehen die westlichen und vergleichsweise fortschrittlichen Landesteile einem ökonomisch rückständigen Osten gegenüber. In all diesen und weiteren Märkten sind regional differenzierte Marketingstrategien das Mittel der Wahl. Sie sind Gegenstand des Interregionalen Marketing, welches nicht mit Regionen-Marketing verwechselt werden sollte. Hammann (1995, S.1167) versteht darunter die „Planung, Entwicklung und Umsetzung von Strategien zur Vermarktung regionaler Standorte“.</w:t>
      </w:r>
    </w:p>
    <w:p w14:paraId="3D0C7C6E" w14:textId="77777777" w:rsidR="00043AE9" w:rsidRPr="007F69DA" w:rsidRDefault="00043AE9" w:rsidP="00043AE9"/>
    <w:p w14:paraId="230E5570" w14:textId="77777777" w:rsidR="00043AE9" w:rsidRPr="007F69DA" w:rsidRDefault="00043AE9" w:rsidP="00043AE9">
      <w:pPr>
        <w:shd w:val="clear" w:color="auto" w:fill="DEEAF6" w:themeFill="accent1" w:themeFillTint="33"/>
        <w:jc w:val="center"/>
        <w:rPr>
          <w:sz w:val="18"/>
          <w:szCs w:val="18"/>
        </w:rPr>
      </w:pPr>
      <w:r w:rsidRPr="007F69DA">
        <w:rPr>
          <w:sz w:val="18"/>
          <w:szCs w:val="18"/>
        </w:rPr>
        <w:t xml:space="preserve">Westpolen vs. Ostpolen </w:t>
      </w:r>
    </w:p>
    <w:p w14:paraId="77F07C7B" w14:textId="77777777" w:rsidR="00043AE9" w:rsidRPr="007F69DA" w:rsidRDefault="00043AE9" w:rsidP="00043AE9">
      <w:pPr>
        <w:shd w:val="clear" w:color="auto" w:fill="DEEAF6" w:themeFill="accent1" w:themeFillTint="33"/>
        <w:rPr>
          <w:sz w:val="18"/>
          <w:szCs w:val="18"/>
        </w:rPr>
      </w:pPr>
      <w:r w:rsidRPr="007F69DA">
        <w:rPr>
          <w:sz w:val="18"/>
          <w:szCs w:val="18"/>
        </w:rPr>
        <w:t>„Lubin boomt. Das Rathaus mit seinem Turm ist frisch renoviert. Das gilt auch für die Häuser in der Innenstadt, die noch aus der deutschen Zeit stammen. Das Kraftwerk hat eine moderne Filteranlage bekommen. […] Mit 350.000 Einwohnern ist Lublin fast fünfmal so groß wie Lubin. Hier gibt es keine rauchenden Fabrikschlote, dafür ein Dutzend Kirchen und Klöster. […Lubin und Lublin stehen] für die Zweiteilung Polens, die wirtschaftliche wie die politische und die mentale. Der Westen und Norden wählt proeuropäische Kandidaten, die auf eine enge Zusammenarbeit mit den Deutschen großen Wert legen. […] Die „Ostwand“ aber, die an Litauen, Weißrussland und die Ukraine grenzenden Woiwodschaften, sind bislang vom großen Wirtschaftsboom abgeschnitten. Und im Alltag gibt es hier kaum Kontakte mit den deutschen Nachbarn“ (Urban 2011, S.11).</w:t>
      </w:r>
    </w:p>
    <w:p w14:paraId="5FE46FDF" w14:textId="77777777" w:rsidR="00043AE9" w:rsidRPr="007F69DA" w:rsidRDefault="00043AE9" w:rsidP="00043AE9">
      <w:pPr>
        <w:shd w:val="clear" w:color="auto" w:fill="DEEAF6" w:themeFill="accent1" w:themeFillTint="33"/>
      </w:pPr>
    </w:p>
    <w:p w14:paraId="59A49B25" w14:textId="77777777" w:rsidR="00043AE9" w:rsidRPr="007F69DA" w:rsidRDefault="00043AE9" w:rsidP="00043AE9"/>
    <w:p w14:paraId="1AE0D22E" w14:textId="77777777" w:rsidR="00043AE9" w:rsidRPr="007F69DA" w:rsidRDefault="00043AE9" w:rsidP="00043AE9">
      <w:pPr>
        <w:spacing w:line="360" w:lineRule="auto"/>
        <w:jc w:val="both"/>
        <w:rPr>
          <w:szCs w:val="24"/>
          <w:lang w:bidi="en-US"/>
        </w:rPr>
      </w:pPr>
      <w:bookmarkStart w:id="100" w:name="_Toc413251447"/>
      <w:bookmarkStart w:id="101" w:name="_Toc413251513"/>
      <w:r w:rsidRPr="007F69DA">
        <w:rPr>
          <w:szCs w:val="24"/>
          <w:lang w:bidi="en-US"/>
        </w:rPr>
        <w:t>5  Ethno-Marketing</w:t>
      </w:r>
      <w:bookmarkEnd w:id="100"/>
      <w:bookmarkEnd w:id="101"/>
    </w:p>
    <w:p w14:paraId="3DEBEC3A" w14:textId="77777777" w:rsidR="00043AE9" w:rsidRPr="007F69DA" w:rsidRDefault="00043AE9" w:rsidP="00043AE9">
      <w:r w:rsidRPr="007F69DA">
        <w:t>Ausgangspunkt dieser Variante des kultursensiblen Marketing sind die unterschiedlichen Werte, Lebensstile und Konsumgewohnheiten der ethnisch differenzierten Wohnbevölkerung eines Landes.</w:t>
      </w:r>
    </w:p>
    <w:p w14:paraId="1ED24BC8" w14:textId="77777777" w:rsidR="00043AE9" w:rsidRPr="007F69DA" w:rsidRDefault="00043AE9" w:rsidP="00043AE9">
      <w:pPr>
        <w:pStyle w:val="berschriftklein"/>
        <w:spacing w:line="360" w:lineRule="auto"/>
        <w:ind w:right="1134"/>
        <w:rPr>
          <w:b/>
          <w:i w:val="0"/>
          <w:sz w:val="24"/>
          <w:szCs w:val="24"/>
        </w:rPr>
      </w:pPr>
    </w:p>
    <w:p w14:paraId="04B201EA" w14:textId="77777777" w:rsidR="00043AE9" w:rsidRPr="007F69DA" w:rsidRDefault="00043AE9" w:rsidP="00043AE9">
      <w:pPr>
        <w:spacing w:line="276" w:lineRule="auto"/>
        <w:jc w:val="both"/>
        <w:rPr>
          <w:szCs w:val="24"/>
          <w:lang w:bidi="en-US"/>
        </w:rPr>
      </w:pPr>
      <w:r w:rsidRPr="007F69DA">
        <w:rPr>
          <w:szCs w:val="24"/>
          <w:lang w:bidi="en-US"/>
        </w:rPr>
        <w:t>5.1  Ethnische Heterogenität</w:t>
      </w:r>
    </w:p>
    <w:p w14:paraId="3C0021B5" w14:textId="77777777" w:rsidR="00043AE9" w:rsidRPr="007F69DA" w:rsidRDefault="00043AE9" w:rsidP="00043AE9">
      <w:r w:rsidRPr="007F69DA">
        <w:t xml:space="preserve">Kaum eine Gesellschaft ist ethnisch homogen. Der Regelfall ist ethnische Vielfalt. Nach Angaben der OECD leben weltweit annähernd 200 Mio. Menschen als Migranten längerfristig außerhalb ihres Herkunftslandes. Gemessen an ihrer Gesamtbevölkerung beherbergen Australien und die Schweiz besonders viele Migranten (jeweils etwa 23%), während in Finnland und Ungarn auffallend wenige Ausländer leben: jeweils nur 3% der Bevölkerung. Deutschland rangiert im Mittelfeld (vgl. Tab. 1). </w:t>
      </w:r>
    </w:p>
    <w:p w14:paraId="6C1A0354" w14:textId="77777777" w:rsidR="00043AE9" w:rsidRPr="007F69DA" w:rsidRDefault="00043AE9" w:rsidP="00043AE9"/>
    <w:p w14:paraId="3CFEA0E8" w14:textId="77777777" w:rsidR="00043AE9" w:rsidRPr="007F69DA" w:rsidRDefault="00043AE9" w:rsidP="00043AE9">
      <w:r w:rsidRPr="007F69DA">
        <w:t xml:space="preserve">Der Vergleich dieser Quoten mit Daten, welche die Friedrich-Ebert-Stiftung 2011 im Rahmen ihrer Studie zu „Intoleranz, Vorurteilen und Diskriminierung in Europa“ erhoben hat, zeigt: Die in den meisten Ländern unübersehbaren rassistischen Tendenzen lassen sich nicht (!) mit dem Anteil der Migranten an der Wohnbevölkerung dieser Länder erklären. So findet ausgerechnet ein Großteil der polnischen und der ungarischen Probanden, deren Heimatländer keine nennenswerte Zuwanderung haben, dass es „zu viele Muslime in Polen bzw. Ungarn gibt“. Da überdies 69,2% der in Ungarn und 49,9% der in Polen Befragten finden, „Juden haben zu viel Einfluss“, liegt die Vermutung nahe, dass </w:t>
      </w:r>
      <w:r w:rsidRPr="007F69DA">
        <w:rPr>
          <w:rFonts w:ascii="Cambria Math" w:hAnsi="Cambria Math" w:cs="Cambria Math"/>
        </w:rPr>
        <w:t>⇒</w:t>
      </w:r>
      <w:r w:rsidRPr="007F69DA">
        <w:t xml:space="preserve"> Rassismus die eigentliche Triebfeder ist. Dafür spricht auch das jeweilige Ausmaß der Zustimmung zu dem Statement „Manche Kulturen sind anderen überlegen“: Polen = 49,4%, Deutschland = 41,6%, Ungarn = 38,5%, Niederlande = 37,9%, Frankreich = 29,4%, Italien = 28,6%, Großbritannien = 20,1%.</w:t>
      </w:r>
    </w:p>
    <w:p w14:paraId="0F6FB3A2" w14:textId="77777777" w:rsidR="00043AE9" w:rsidRPr="007F69DA" w:rsidRDefault="00043AE9" w:rsidP="00043AE9"/>
    <w:p w14:paraId="4B4B0F0A" w14:textId="77777777" w:rsidR="00043AE9" w:rsidRPr="0018289F" w:rsidRDefault="00043AE9" w:rsidP="00043AE9">
      <w:pPr>
        <w:pStyle w:val="Beschriftung"/>
      </w:pPr>
      <w:bookmarkStart w:id="102" w:name="_Ref413253473"/>
      <w:r w:rsidRPr="0018289F">
        <w:t>Tab.</w:t>
      </w:r>
      <w:bookmarkEnd w:id="102"/>
      <w:r w:rsidRPr="0018289F">
        <w:t xml:space="preserve"> 1: Migration &amp; Intoleranz in Europa</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26"/>
        <w:gridCol w:w="2126"/>
        <w:gridCol w:w="2126"/>
        <w:gridCol w:w="2126"/>
      </w:tblGrid>
      <w:tr w:rsidR="00043AE9" w:rsidRPr="007F69DA" w14:paraId="4C43F228" w14:textId="77777777" w:rsidTr="00F46ACB">
        <w:tc>
          <w:tcPr>
            <w:tcW w:w="2126" w:type="dxa"/>
            <w:shd w:val="clear" w:color="auto" w:fill="FFC000"/>
          </w:tcPr>
          <w:p w14:paraId="198CCD86" w14:textId="77777777" w:rsidR="00043AE9" w:rsidRPr="007F69DA" w:rsidRDefault="00043AE9" w:rsidP="00F46ACB"/>
        </w:tc>
        <w:tc>
          <w:tcPr>
            <w:tcW w:w="2126" w:type="dxa"/>
            <w:shd w:val="clear" w:color="auto" w:fill="FFC000"/>
          </w:tcPr>
          <w:p w14:paraId="49B54DD1" w14:textId="77777777" w:rsidR="00043AE9" w:rsidRPr="007F69DA" w:rsidRDefault="00043AE9" w:rsidP="00F46ACB">
            <w:pPr>
              <w:jc w:val="center"/>
              <w:rPr>
                <w:b/>
                <w:sz w:val="18"/>
                <w:szCs w:val="18"/>
              </w:rPr>
            </w:pPr>
            <w:r w:rsidRPr="007F69DA">
              <w:rPr>
                <w:b/>
                <w:sz w:val="18"/>
                <w:szCs w:val="18"/>
              </w:rPr>
              <w:t>Anteil ausländischer Bevölkerung</w:t>
            </w:r>
          </w:p>
          <w:p w14:paraId="4B773759" w14:textId="77777777" w:rsidR="00043AE9" w:rsidRPr="007F69DA" w:rsidRDefault="00043AE9" w:rsidP="00F46ACB">
            <w:pPr>
              <w:jc w:val="center"/>
              <w:rPr>
                <w:sz w:val="18"/>
                <w:szCs w:val="18"/>
              </w:rPr>
            </w:pPr>
          </w:p>
          <w:p w14:paraId="379324CE" w14:textId="77777777" w:rsidR="00043AE9" w:rsidRPr="007F69DA" w:rsidRDefault="00043AE9" w:rsidP="00F46ACB">
            <w:pPr>
              <w:jc w:val="center"/>
              <w:rPr>
                <w:sz w:val="18"/>
                <w:szCs w:val="18"/>
              </w:rPr>
            </w:pPr>
            <w:r w:rsidRPr="007F69DA">
              <w:rPr>
                <w:sz w:val="18"/>
                <w:szCs w:val="18"/>
              </w:rPr>
              <w:t>(1/2013, in %)</w:t>
            </w:r>
          </w:p>
        </w:tc>
        <w:tc>
          <w:tcPr>
            <w:tcW w:w="2126" w:type="dxa"/>
            <w:shd w:val="clear" w:color="auto" w:fill="FFC000"/>
          </w:tcPr>
          <w:p w14:paraId="22F7B3A7" w14:textId="77777777" w:rsidR="00043AE9" w:rsidRPr="007F69DA" w:rsidRDefault="00043AE9" w:rsidP="00F46ACB">
            <w:pPr>
              <w:jc w:val="center"/>
              <w:rPr>
                <w:b/>
                <w:sz w:val="18"/>
                <w:szCs w:val="18"/>
              </w:rPr>
            </w:pPr>
            <w:r w:rsidRPr="007F69DA">
              <w:rPr>
                <w:b/>
                <w:sz w:val="18"/>
                <w:szCs w:val="18"/>
              </w:rPr>
              <w:t>Es gibt zu viele Muslime in unserem Land</w:t>
            </w:r>
          </w:p>
          <w:p w14:paraId="13B3C5B8" w14:textId="77777777" w:rsidR="00043AE9" w:rsidRPr="007F69DA" w:rsidRDefault="00043AE9" w:rsidP="00F46ACB">
            <w:pPr>
              <w:jc w:val="center"/>
              <w:rPr>
                <w:sz w:val="18"/>
                <w:szCs w:val="18"/>
              </w:rPr>
            </w:pPr>
          </w:p>
          <w:p w14:paraId="72B4D239" w14:textId="77777777" w:rsidR="00043AE9" w:rsidRPr="007F69DA" w:rsidRDefault="00043AE9" w:rsidP="00F46ACB">
            <w:pPr>
              <w:jc w:val="center"/>
              <w:rPr>
                <w:sz w:val="18"/>
                <w:szCs w:val="18"/>
              </w:rPr>
            </w:pPr>
            <w:r w:rsidRPr="007F69DA">
              <w:rPr>
                <w:sz w:val="18"/>
                <w:szCs w:val="18"/>
              </w:rPr>
              <w:t>(Zustimmung, in %)</w:t>
            </w:r>
          </w:p>
        </w:tc>
        <w:tc>
          <w:tcPr>
            <w:tcW w:w="2126" w:type="dxa"/>
            <w:shd w:val="clear" w:color="auto" w:fill="FFC000"/>
          </w:tcPr>
          <w:p w14:paraId="1DF1BF42" w14:textId="77777777" w:rsidR="00043AE9" w:rsidRPr="007F69DA" w:rsidRDefault="00043AE9" w:rsidP="00F46ACB">
            <w:pPr>
              <w:jc w:val="center"/>
              <w:rPr>
                <w:b/>
                <w:sz w:val="18"/>
                <w:szCs w:val="18"/>
              </w:rPr>
            </w:pPr>
            <w:r w:rsidRPr="007F69DA">
              <w:rPr>
                <w:b/>
                <w:sz w:val="18"/>
                <w:szCs w:val="18"/>
              </w:rPr>
              <w:t>Zuwanderer bedrohen meine Lebensweise und meine Werte</w:t>
            </w:r>
          </w:p>
          <w:p w14:paraId="5E4305D7" w14:textId="77777777" w:rsidR="00043AE9" w:rsidRPr="007F69DA" w:rsidRDefault="00043AE9" w:rsidP="00F46ACB">
            <w:pPr>
              <w:jc w:val="center"/>
              <w:rPr>
                <w:sz w:val="18"/>
                <w:szCs w:val="18"/>
              </w:rPr>
            </w:pPr>
            <w:r w:rsidRPr="007F69DA">
              <w:rPr>
                <w:sz w:val="18"/>
                <w:szCs w:val="18"/>
              </w:rPr>
              <w:t>(Zustimmung, in %)</w:t>
            </w:r>
          </w:p>
        </w:tc>
      </w:tr>
      <w:tr w:rsidR="00043AE9" w:rsidRPr="007F69DA" w14:paraId="6E71D50C" w14:textId="77777777" w:rsidTr="00F46ACB">
        <w:tc>
          <w:tcPr>
            <w:tcW w:w="2126" w:type="dxa"/>
            <w:shd w:val="clear" w:color="auto" w:fill="FFF2CC" w:themeFill="accent4" w:themeFillTint="33"/>
          </w:tcPr>
          <w:p w14:paraId="65ADB555" w14:textId="77777777" w:rsidR="00043AE9" w:rsidRPr="007F69DA" w:rsidRDefault="00043AE9" w:rsidP="00F46ACB">
            <w:pPr>
              <w:rPr>
                <w:sz w:val="18"/>
                <w:szCs w:val="18"/>
              </w:rPr>
            </w:pPr>
            <w:r w:rsidRPr="007F69DA">
              <w:rPr>
                <w:sz w:val="18"/>
                <w:szCs w:val="18"/>
              </w:rPr>
              <w:t xml:space="preserve">Schweiz                 </w:t>
            </w:r>
          </w:p>
        </w:tc>
        <w:tc>
          <w:tcPr>
            <w:tcW w:w="2126" w:type="dxa"/>
          </w:tcPr>
          <w:p w14:paraId="54125EAF" w14:textId="77777777" w:rsidR="00043AE9" w:rsidRPr="007F69DA" w:rsidRDefault="00043AE9" w:rsidP="00F46ACB">
            <w:pPr>
              <w:ind w:right="775"/>
              <w:jc w:val="right"/>
              <w:rPr>
                <w:sz w:val="18"/>
                <w:szCs w:val="18"/>
              </w:rPr>
            </w:pPr>
            <w:r w:rsidRPr="007F69DA">
              <w:rPr>
                <w:sz w:val="18"/>
                <w:szCs w:val="18"/>
              </w:rPr>
              <w:t>23,3</w:t>
            </w:r>
          </w:p>
        </w:tc>
        <w:tc>
          <w:tcPr>
            <w:tcW w:w="2126" w:type="dxa"/>
          </w:tcPr>
          <w:p w14:paraId="5FC7537D" w14:textId="77777777" w:rsidR="00043AE9" w:rsidRPr="007F69DA" w:rsidRDefault="00043AE9" w:rsidP="00F46ACB">
            <w:pPr>
              <w:tabs>
                <w:tab w:val="left" w:pos="1135"/>
              </w:tabs>
              <w:ind w:right="775"/>
              <w:jc w:val="right"/>
              <w:rPr>
                <w:sz w:val="18"/>
                <w:szCs w:val="18"/>
              </w:rPr>
            </w:pPr>
            <w:r w:rsidRPr="007F69DA">
              <w:rPr>
                <w:sz w:val="18"/>
                <w:szCs w:val="18"/>
              </w:rPr>
              <w:t>k.A.</w:t>
            </w:r>
          </w:p>
        </w:tc>
        <w:tc>
          <w:tcPr>
            <w:tcW w:w="2126" w:type="dxa"/>
          </w:tcPr>
          <w:p w14:paraId="7CDABC2C" w14:textId="77777777" w:rsidR="00043AE9" w:rsidRPr="007F69DA" w:rsidRDefault="00043AE9" w:rsidP="00F46ACB">
            <w:pPr>
              <w:ind w:right="775"/>
              <w:jc w:val="right"/>
              <w:rPr>
                <w:sz w:val="18"/>
                <w:szCs w:val="18"/>
              </w:rPr>
            </w:pPr>
            <w:r w:rsidRPr="007F69DA">
              <w:rPr>
                <w:sz w:val="18"/>
                <w:szCs w:val="18"/>
              </w:rPr>
              <w:t>k.A.</w:t>
            </w:r>
          </w:p>
        </w:tc>
      </w:tr>
      <w:tr w:rsidR="00043AE9" w:rsidRPr="007F69DA" w14:paraId="723BD1E9" w14:textId="77777777" w:rsidTr="00F46ACB">
        <w:tc>
          <w:tcPr>
            <w:tcW w:w="2126" w:type="dxa"/>
            <w:shd w:val="clear" w:color="auto" w:fill="FFF2CC" w:themeFill="accent4" w:themeFillTint="33"/>
          </w:tcPr>
          <w:p w14:paraId="2007314F" w14:textId="77777777" w:rsidR="00043AE9" w:rsidRPr="007F69DA" w:rsidRDefault="00043AE9" w:rsidP="00F46ACB">
            <w:pPr>
              <w:rPr>
                <w:sz w:val="18"/>
                <w:szCs w:val="18"/>
              </w:rPr>
            </w:pPr>
            <w:r w:rsidRPr="007F69DA">
              <w:rPr>
                <w:sz w:val="18"/>
                <w:szCs w:val="18"/>
              </w:rPr>
              <w:t>Österreich</w:t>
            </w:r>
          </w:p>
        </w:tc>
        <w:tc>
          <w:tcPr>
            <w:tcW w:w="2126" w:type="dxa"/>
          </w:tcPr>
          <w:p w14:paraId="4EFB7898" w14:textId="77777777" w:rsidR="00043AE9" w:rsidRPr="007F69DA" w:rsidRDefault="00043AE9" w:rsidP="00F46ACB">
            <w:pPr>
              <w:ind w:right="775"/>
              <w:jc w:val="right"/>
              <w:rPr>
                <w:sz w:val="18"/>
                <w:szCs w:val="18"/>
              </w:rPr>
            </w:pPr>
            <w:r w:rsidRPr="007F69DA">
              <w:rPr>
                <w:sz w:val="18"/>
                <w:szCs w:val="18"/>
              </w:rPr>
              <w:t>11,2</w:t>
            </w:r>
          </w:p>
        </w:tc>
        <w:tc>
          <w:tcPr>
            <w:tcW w:w="2126" w:type="dxa"/>
          </w:tcPr>
          <w:p w14:paraId="204E3158" w14:textId="77777777" w:rsidR="00043AE9" w:rsidRPr="007F69DA" w:rsidRDefault="00043AE9" w:rsidP="00F46ACB">
            <w:pPr>
              <w:tabs>
                <w:tab w:val="left" w:pos="1135"/>
              </w:tabs>
              <w:ind w:right="775"/>
              <w:jc w:val="right"/>
              <w:rPr>
                <w:sz w:val="18"/>
                <w:szCs w:val="18"/>
              </w:rPr>
            </w:pPr>
            <w:r w:rsidRPr="007F69DA">
              <w:rPr>
                <w:sz w:val="18"/>
                <w:szCs w:val="18"/>
              </w:rPr>
              <w:t>k.A.</w:t>
            </w:r>
          </w:p>
        </w:tc>
        <w:tc>
          <w:tcPr>
            <w:tcW w:w="2126" w:type="dxa"/>
          </w:tcPr>
          <w:p w14:paraId="72C7B370" w14:textId="77777777" w:rsidR="00043AE9" w:rsidRPr="007F69DA" w:rsidRDefault="00043AE9" w:rsidP="00F46ACB">
            <w:pPr>
              <w:ind w:right="775"/>
              <w:jc w:val="right"/>
              <w:rPr>
                <w:sz w:val="18"/>
                <w:szCs w:val="18"/>
              </w:rPr>
            </w:pPr>
            <w:r w:rsidRPr="007F69DA">
              <w:rPr>
                <w:sz w:val="18"/>
                <w:szCs w:val="18"/>
              </w:rPr>
              <w:t>k.A.</w:t>
            </w:r>
          </w:p>
        </w:tc>
      </w:tr>
      <w:tr w:rsidR="00043AE9" w:rsidRPr="007F69DA" w14:paraId="5DFC5263" w14:textId="77777777" w:rsidTr="00F46ACB">
        <w:tc>
          <w:tcPr>
            <w:tcW w:w="2126" w:type="dxa"/>
            <w:shd w:val="clear" w:color="auto" w:fill="FFF2CC" w:themeFill="accent4" w:themeFillTint="33"/>
          </w:tcPr>
          <w:p w14:paraId="7BF0CC28" w14:textId="77777777" w:rsidR="00043AE9" w:rsidRPr="007F69DA" w:rsidRDefault="00043AE9" w:rsidP="00F46ACB">
            <w:pPr>
              <w:rPr>
                <w:sz w:val="18"/>
                <w:szCs w:val="18"/>
              </w:rPr>
            </w:pPr>
            <w:r w:rsidRPr="007F69DA">
              <w:rPr>
                <w:sz w:val="18"/>
                <w:szCs w:val="18"/>
              </w:rPr>
              <w:t>Deutschland</w:t>
            </w:r>
          </w:p>
        </w:tc>
        <w:tc>
          <w:tcPr>
            <w:tcW w:w="2126" w:type="dxa"/>
          </w:tcPr>
          <w:p w14:paraId="5FD505C1" w14:textId="77777777" w:rsidR="00043AE9" w:rsidRPr="007F69DA" w:rsidRDefault="00043AE9" w:rsidP="00F46ACB">
            <w:pPr>
              <w:ind w:right="775"/>
              <w:jc w:val="right"/>
              <w:rPr>
                <w:sz w:val="18"/>
                <w:szCs w:val="18"/>
              </w:rPr>
            </w:pPr>
            <w:r w:rsidRPr="007F69DA">
              <w:rPr>
                <w:sz w:val="18"/>
                <w:szCs w:val="18"/>
              </w:rPr>
              <w:t>9.2</w:t>
            </w:r>
          </w:p>
        </w:tc>
        <w:tc>
          <w:tcPr>
            <w:tcW w:w="2126" w:type="dxa"/>
          </w:tcPr>
          <w:p w14:paraId="0A4A9442" w14:textId="77777777" w:rsidR="00043AE9" w:rsidRPr="007F69DA" w:rsidRDefault="00043AE9" w:rsidP="00F46ACB">
            <w:pPr>
              <w:tabs>
                <w:tab w:val="left" w:pos="1135"/>
              </w:tabs>
              <w:ind w:right="775"/>
              <w:jc w:val="right"/>
              <w:rPr>
                <w:sz w:val="18"/>
                <w:szCs w:val="18"/>
              </w:rPr>
            </w:pPr>
            <w:r w:rsidRPr="007F69DA">
              <w:rPr>
                <w:sz w:val="18"/>
                <w:szCs w:val="18"/>
              </w:rPr>
              <w:t>46,1</w:t>
            </w:r>
          </w:p>
        </w:tc>
        <w:tc>
          <w:tcPr>
            <w:tcW w:w="2126" w:type="dxa"/>
          </w:tcPr>
          <w:p w14:paraId="6A2664F7" w14:textId="77777777" w:rsidR="00043AE9" w:rsidRPr="007F69DA" w:rsidRDefault="00043AE9" w:rsidP="00F46ACB">
            <w:pPr>
              <w:ind w:right="775"/>
              <w:jc w:val="right"/>
              <w:rPr>
                <w:sz w:val="18"/>
                <w:szCs w:val="18"/>
              </w:rPr>
            </w:pPr>
            <w:r w:rsidRPr="007F69DA">
              <w:rPr>
                <w:sz w:val="18"/>
                <w:szCs w:val="18"/>
              </w:rPr>
              <w:t>9,9</w:t>
            </w:r>
          </w:p>
        </w:tc>
      </w:tr>
      <w:tr w:rsidR="00043AE9" w:rsidRPr="007F69DA" w14:paraId="366F8A31" w14:textId="77777777" w:rsidTr="00F46ACB">
        <w:tc>
          <w:tcPr>
            <w:tcW w:w="2126" w:type="dxa"/>
            <w:shd w:val="clear" w:color="auto" w:fill="FFF2CC" w:themeFill="accent4" w:themeFillTint="33"/>
          </w:tcPr>
          <w:p w14:paraId="33F18711" w14:textId="77777777" w:rsidR="00043AE9" w:rsidRPr="007F69DA" w:rsidRDefault="00043AE9" w:rsidP="00F46ACB">
            <w:pPr>
              <w:rPr>
                <w:sz w:val="18"/>
                <w:szCs w:val="18"/>
              </w:rPr>
            </w:pPr>
            <w:r w:rsidRPr="007F69DA">
              <w:rPr>
                <w:sz w:val="18"/>
                <w:szCs w:val="18"/>
              </w:rPr>
              <w:t>Griechenland</w:t>
            </w:r>
          </w:p>
        </w:tc>
        <w:tc>
          <w:tcPr>
            <w:tcW w:w="2126" w:type="dxa"/>
          </w:tcPr>
          <w:p w14:paraId="53D76E9E" w14:textId="77777777" w:rsidR="00043AE9" w:rsidRPr="007F69DA" w:rsidRDefault="00043AE9" w:rsidP="00F46ACB">
            <w:pPr>
              <w:ind w:right="775"/>
              <w:jc w:val="right"/>
              <w:rPr>
                <w:sz w:val="18"/>
                <w:szCs w:val="18"/>
              </w:rPr>
            </w:pPr>
            <w:r w:rsidRPr="007F69DA">
              <w:rPr>
                <w:sz w:val="18"/>
                <w:szCs w:val="18"/>
              </w:rPr>
              <w:t>8,8</w:t>
            </w:r>
          </w:p>
        </w:tc>
        <w:tc>
          <w:tcPr>
            <w:tcW w:w="2126" w:type="dxa"/>
          </w:tcPr>
          <w:p w14:paraId="0ABB7C44" w14:textId="77777777" w:rsidR="00043AE9" w:rsidRPr="007F69DA" w:rsidRDefault="00043AE9" w:rsidP="00F46ACB">
            <w:pPr>
              <w:tabs>
                <w:tab w:val="left" w:pos="1135"/>
              </w:tabs>
              <w:ind w:right="775"/>
              <w:jc w:val="right"/>
              <w:rPr>
                <w:sz w:val="18"/>
                <w:szCs w:val="18"/>
              </w:rPr>
            </w:pPr>
            <w:r w:rsidRPr="007F69DA">
              <w:rPr>
                <w:sz w:val="18"/>
                <w:szCs w:val="18"/>
              </w:rPr>
              <w:t>k.A.</w:t>
            </w:r>
          </w:p>
        </w:tc>
        <w:tc>
          <w:tcPr>
            <w:tcW w:w="2126" w:type="dxa"/>
          </w:tcPr>
          <w:p w14:paraId="559B0083" w14:textId="77777777" w:rsidR="00043AE9" w:rsidRPr="007F69DA" w:rsidRDefault="00043AE9" w:rsidP="00F46ACB">
            <w:pPr>
              <w:ind w:right="775"/>
              <w:jc w:val="right"/>
              <w:rPr>
                <w:sz w:val="18"/>
                <w:szCs w:val="18"/>
              </w:rPr>
            </w:pPr>
            <w:r w:rsidRPr="007F69DA">
              <w:rPr>
                <w:sz w:val="18"/>
                <w:szCs w:val="18"/>
              </w:rPr>
              <w:t>k.A.</w:t>
            </w:r>
          </w:p>
        </w:tc>
      </w:tr>
      <w:tr w:rsidR="00043AE9" w:rsidRPr="007F69DA" w14:paraId="073B3224" w14:textId="77777777" w:rsidTr="00F46ACB">
        <w:tc>
          <w:tcPr>
            <w:tcW w:w="2126" w:type="dxa"/>
            <w:shd w:val="clear" w:color="auto" w:fill="FFF2CC" w:themeFill="accent4" w:themeFillTint="33"/>
          </w:tcPr>
          <w:p w14:paraId="70154327" w14:textId="77777777" w:rsidR="00043AE9" w:rsidRPr="007F69DA" w:rsidRDefault="00043AE9" w:rsidP="00F46ACB">
            <w:pPr>
              <w:rPr>
                <w:sz w:val="18"/>
                <w:szCs w:val="18"/>
              </w:rPr>
            </w:pPr>
            <w:r w:rsidRPr="007F69DA">
              <w:rPr>
                <w:sz w:val="18"/>
                <w:szCs w:val="18"/>
              </w:rPr>
              <w:t>Großbritannien</w:t>
            </w:r>
          </w:p>
        </w:tc>
        <w:tc>
          <w:tcPr>
            <w:tcW w:w="2126" w:type="dxa"/>
          </w:tcPr>
          <w:p w14:paraId="7ABE28B3" w14:textId="77777777" w:rsidR="00043AE9" w:rsidRPr="007F69DA" w:rsidRDefault="00043AE9" w:rsidP="00F46ACB">
            <w:pPr>
              <w:ind w:right="775"/>
              <w:jc w:val="right"/>
              <w:rPr>
                <w:sz w:val="18"/>
                <w:szCs w:val="18"/>
              </w:rPr>
            </w:pPr>
            <w:r w:rsidRPr="007F69DA">
              <w:rPr>
                <w:sz w:val="18"/>
                <w:szCs w:val="18"/>
              </w:rPr>
              <w:t>7,5</w:t>
            </w:r>
          </w:p>
        </w:tc>
        <w:tc>
          <w:tcPr>
            <w:tcW w:w="2126" w:type="dxa"/>
          </w:tcPr>
          <w:p w14:paraId="6C2C4CD7" w14:textId="77777777" w:rsidR="00043AE9" w:rsidRPr="007F69DA" w:rsidRDefault="00043AE9" w:rsidP="00F46ACB">
            <w:pPr>
              <w:tabs>
                <w:tab w:val="left" w:pos="1135"/>
              </w:tabs>
              <w:ind w:right="775"/>
              <w:jc w:val="right"/>
              <w:rPr>
                <w:sz w:val="18"/>
                <w:szCs w:val="18"/>
              </w:rPr>
            </w:pPr>
            <w:r w:rsidRPr="007F69DA">
              <w:rPr>
                <w:sz w:val="18"/>
                <w:szCs w:val="18"/>
              </w:rPr>
              <w:t>44,7</w:t>
            </w:r>
          </w:p>
        </w:tc>
        <w:tc>
          <w:tcPr>
            <w:tcW w:w="2126" w:type="dxa"/>
          </w:tcPr>
          <w:p w14:paraId="7A8CD102" w14:textId="77777777" w:rsidR="00043AE9" w:rsidRPr="007F69DA" w:rsidRDefault="00043AE9" w:rsidP="00F46ACB">
            <w:pPr>
              <w:ind w:right="775"/>
              <w:jc w:val="right"/>
              <w:rPr>
                <w:sz w:val="18"/>
                <w:szCs w:val="18"/>
              </w:rPr>
            </w:pPr>
            <w:r w:rsidRPr="007F69DA">
              <w:rPr>
                <w:sz w:val="18"/>
                <w:szCs w:val="18"/>
              </w:rPr>
              <w:t>18,6</w:t>
            </w:r>
          </w:p>
        </w:tc>
      </w:tr>
      <w:tr w:rsidR="00043AE9" w:rsidRPr="007F69DA" w14:paraId="78950770" w14:textId="77777777" w:rsidTr="00F46ACB">
        <w:tc>
          <w:tcPr>
            <w:tcW w:w="2126" w:type="dxa"/>
            <w:shd w:val="clear" w:color="auto" w:fill="FFF2CC" w:themeFill="accent4" w:themeFillTint="33"/>
          </w:tcPr>
          <w:p w14:paraId="04FF3EA9" w14:textId="77777777" w:rsidR="00043AE9" w:rsidRPr="007F69DA" w:rsidRDefault="00043AE9" w:rsidP="00F46ACB">
            <w:pPr>
              <w:rPr>
                <w:sz w:val="18"/>
                <w:szCs w:val="18"/>
              </w:rPr>
            </w:pPr>
            <w:r w:rsidRPr="007F69DA">
              <w:rPr>
                <w:sz w:val="18"/>
                <w:szCs w:val="18"/>
              </w:rPr>
              <w:t>Schweden</w:t>
            </w:r>
          </w:p>
        </w:tc>
        <w:tc>
          <w:tcPr>
            <w:tcW w:w="2126" w:type="dxa"/>
          </w:tcPr>
          <w:p w14:paraId="4F1399FB" w14:textId="77777777" w:rsidR="00043AE9" w:rsidRPr="007F69DA" w:rsidRDefault="00043AE9" w:rsidP="00F46ACB">
            <w:pPr>
              <w:ind w:right="775"/>
              <w:jc w:val="right"/>
              <w:rPr>
                <w:sz w:val="18"/>
                <w:szCs w:val="18"/>
              </w:rPr>
            </w:pPr>
            <w:r w:rsidRPr="007F69DA">
              <w:rPr>
                <w:sz w:val="18"/>
                <w:szCs w:val="18"/>
              </w:rPr>
              <w:t>6,7</w:t>
            </w:r>
          </w:p>
        </w:tc>
        <w:tc>
          <w:tcPr>
            <w:tcW w:w="2126" w:type="dxa"/>
          </w:tcPr>
          <w:p w14:paraId="3E07220D" w14:textId="77777777" w:rsidR="00043AE9" w:rsidRPr="007F69DA" w:rsidRDefault="00043AE9" w:rsidP="00F46ACB">
            <w:pPr>
              <w:tabs>
                <w:tab w:val="left" w:pos="1135"/>
              </w:tabs>
              <w:ind w:right="775"/>
              <w:jc w:val="right"/>
              <w:rPr>
                <w:sz w:val="18"/>
                <w:szCs w:val="18"/>
              </w:rPr>
            </w:pPr>
            <w:r w:rsidRPr="007F69DA">
              <w:rPr>
                <w:sz w:val="18"/>
                <w:szCs w:val="18"/>
              </w:rPr>
              <w:t>k.A.</w:t>
            </w:r>
          </w:p>
        </w:tc>
        <w:tc>
          <w:tcPr>
            <w:tcW w:w="2126" w:type="dxa"/>
          </w:tcPr>
          <w:p w14:paraId="32B22DD5" w14:textId="77777777" w:rsidR="00043AE9" w:rsidRPr="007F69DA" w:rsidRDefault="00043AE9" w:rsidP="00F46ACB">
            <w:pPr>
              <w:ind w:right="775"/>
              <w:jc w:val="right"/>
              <w:rPr>
                <w:sz w:val="18"/>
                <w:szCs w:val="18"/>
              </w:rPr>
            </w:pPr>
            <w:r w:rsidRPr="007F69DA">
              <w:rPr>
                <w:sz w:val="18"/>
                <w:szCs w:val="18"/>
              </w:rPr>
              <w:t>k.A.</w:t>
            </w:r>
          </w:p>
        </w:tc>
      </w:tr>
      <w:tr w:rsidR="00043AE9" w:rsidRPr="007F69DA" w14:paraId="50D33BB2" w14:textId="77777777" w:rsidTr="00F46ACB">
        <w:tc>
          <w:tcPr>
            <w:tcW w:w="2126" w:type="dxa"/>
            <w:shd w:val="clear" w:color="auto" w:fill="FFF2CC" w:themeFill="accent4" w:themeFillTint="33"/>
          </w:tcPr>
          <w:p w14:paraId="084B4356" w14:textId="77777777" w:rsidR="00043AE9" w:rsidRPr="007F69DA" w:rsidRDefault="00043AE9" w:rsidP="00F46ACB">
            <w:pPr>
              <w:rPr>
                <w:sz w:val="18"/>
                <w:szCs w:val="18"/>
              </w:rPr>
            </w:pPr>
            <w:r w:rsidRPr="007F69DA">
              <w:rPr>
                <w:sz w:val="18"/>
                <w:szCs w:val="18"/>
              </w:rPr>
              <w:t>Frankreich</w:t>
            </w:r>
          </w:p>
        </w:tc>
        <w:tc>
          <w:tcPr>
            <w:tcW w:w="2126" w:type="dxa"/>
          </w:tcPr>
          <w:p w14:paraId="4A62E03B" w14:textId="77777777" w:rsidR="00043AE9" w:rsidRPr="007F69DA" w:rsidRDefault="00043AE9" w:rsidP="00F46ACB">
            <w:pPr>
              <w:ind w:right="775"/>
              <w:jc w:val="right"/>
              <w:rPr>
                <w:sz w:val="18"/>
                <w:szCs w:val="18"/>
              </w:rPr>
            </w:pPr>
            <w:r w:rsidRPr="007F69DA">
              <w:rPr>
                <w:sz w:val="18"/>
                <w:szCs w:val="18"/>
              </w:rPr>
              <w:t>5,8</w:t>
            </w:r>
          </w:p>
        </w:tc>
        <w:tc>
          <w:tcPr>
            <w:tcW w:w="2126" w:type="dxa"/>
          </w:tcPr>
          <w:p w14:paraId="4E4114CB" w14:textId="77777777" w:rsidR="00043AE9" w:rsidRPr="007F69DA" w:rsidRDefault="00043AE9" w:rsidP="00F46ACB">
            <w:pPr>
              <w:tabs>
                <w:tab w:val="left" w:pos="1135"/>
              </w:tabs>
              <w:ind w:right="775"/>
              <w:jc w:val="right"/>
              <w:rPr>
                <w:sz w:val="18"/>
                <w:szCs w:val="18"/>
              </w:rPr>
            </w:pPr>
            <w:r w:rsidRPr="007F69DA">
              <w:rPr>
                <w:sz w:val="18"/>
                <w:szCs w:val="18"/>
              </w:rPr>
              <w:t>36,2</w:t>
            </w:r>
          </w:p>
        </w:tc>
        <w:tc>
          <w:tcPr>
            <w:tcW w:w="2126" w:type="dxa"/>
          </w:tcPr>
          <w:p w14:paraId="31C79606" w14:textId="77777777" w:rsidR="00043AE9" w:rsidRPr="007F69DA" w:rsidRDefault="00043AE9" w:rsidP="00F46ACB">
            <w:pPr>
              <w:ind w:right="775"/>
              <w:jc w:val="right"/>
              <w:rPr>
                <w:sz w:val="18"/>
                <w:szCs w:val="18"/>
              </w:rPr>
            </w:pPr>
            <w:r w:rsidRPr="007F69DA">
              <w:rPr>
                <w:sz w:val="18"/>
                <w:szCs w:val="18"/>
              </w:rPr>
              <w:t>14,7</w:t>
            </w:r>
          </w:p>
        </w:tc>
      </w:tr>
      <w:tr w:rsidR="00043AE9" w:rsidRPr="007F69DA" w14:paraId="7A7BF188" w14:textId="77777777" w:rsidTr="00F46ACB">
        <w:tc>
          <w:tcPr>
            <w:tcW w:w="2126" w:type="dxa"/>
            <w:shd w:val="clear" w:color="auto" w:fill="FFF2CC" w:themeFill="accent4" w:themeFillTint="33"/>
          </w:tcPr>
          <w:p w14:paraId="52A5FB7F" w14:textId="77777777" w:rsidR="00043AE9" w:rsidRPr="007F69DA" w:rsidRDefault="00043AE9" w:rsidP="00F46ACB">
            <w:pPr>
              <w:rPr>
                <w:sz w:val="18"/>
                <w:szCs w:val="18"/>
              </w:rPr>
            </w:pPr>
            <w:r w:rsidRPr="007F69DA">
              <w:rPr>
                <w:sz w:val="18"/>
                <w:szCs w:val="18"/>
              </w:rPr>
              <w:t>Niederlande</w:t>
            </w:r>
          </w:p>
        </w:tc>
        <w:tc>
          <w:tcPr>
            <w:tcW w:w="2126" w:type="dxa"/>
          </w:tcPr>
          <w:p w14:paraId="44AE1D30" w14:textId="77777777" w:rsidR="00043AE9" w:rsidRPr="007F69DA" w:rsidRDefault="00043AE9" w:rsidP="00F46ACB">
            <w:pPr>
              <w:ind w:right="775"/>
              <w:jc w:val="right"/>
              <w:rPr>
                <w:sz w:val="18"/>
                <w:szCs w:val="18"/>
              </w:rPr>
            </w:pPr>
            <w:r w:rsidRPr="007F69DA">
              <w:rPr>
                <w:sz w:val="18"/>
                <w:szCs w:val="18"/>
              </w:rPr>
              <w:t>4,1</w:t>
            </w:r>
          </w:p>
        </w:tc>
        <w:tc>
          <w:tcPr>
            <w:tcW w:w="2126" w:type="dxa"/>
          </w:tcPr>
          <w:p w14:paraId="66A2A369" w14:textId="77777777" w:rsidR="00043AE9" w:rsidRPr="007F69DA" w:rsidRDefault="00043AE9" w:rsidP="00F46ACB">
            <w:pPr>
              <w:tabs>
                <w:tab w:val="left" w:pos="1135"/>
              </w:tabs>
              <w:ind w:right="775"/>
              <w:jc w:val="right"/>
              <w:rPr>
                <w:sz w:val="18"/>
                <w:szCs w:val="18"/>
              </w:rPr>
            </w:pPr>
            <w:r w:rsidRPr="007F69DA">
              <w:rPr>
                <w:sz w:val="18"/>
                <w:szCs w:val="18"/>
              </w:rPr>
              <w:t>41,5</w:t>
            </w:r>
          </w:p>
        </w:tc>
        <w:tc>
          <w:tcPr>
            <w:tcW w:w="2126" w:type="dxa"/>
          </w:tcPr>
          <w:p w14:paraId="0863DF58" w14:textId="77777777" w:rsidR="00043AE9" w:rsidRPr="007F69DA" w:rsidRDefault="00043AE9" w:rsidP="00F46ACB">
            <w:pPr>
              <w:ind w:right="775"/>
              <w:jc w:val="right"/>
              <w:rPr>
                <w:sz w:val="18"/>
                <w:szCs w:val="18"/>
              </w:rPr>
            </w:pPr>
            <w:r w:rsidRPr="007F69DA">
              <w:rPr>
                <w:sz w:val="18"/>
                <w:szCs w:val="18"/>
              </w:rPr>
              <w:t>12,2</w:t>
            </w:r>
          </w:p>
        </w:tc>
      </w:tr>
      <w:tr w:rsidR="00043AE9" w:rsidRPr="007F69DA" w14:paraId="22C5BCFF" w14:textId="77777777" w:rsidTr="00F46ACB">
        <w:tc>
          <w:tcPr>
            <w:tcW w:w="2126" w:type="dxa"/>
            <w:shd w:val="clear" w:color="auto" w:fill="FFF2CC" w:themeFill="accent4" w:themeFillTint="33"/>
          </w:tcPr>
          <w:p w14:paraId="7FEDE1F1" w14:textId="77777777" w:rsidR="00043AE9" w:rsidRPr="007F69DA" w:rsidRDefault="00043AE9" w:rsidP="00F46ACB">
            <w:pPr>
              <w:rPr>
                <w:sz w:val="18"/>
                <w:szCs w:val="18"/>
              </w:rPr>
            </w:pPr>
            <w:r w:rsidRPr="007F69DA">
              <w:rPr>
                <w:sz w:val="18"/>
                <w:szCs w:val="18"/>
              </w:rPr>
              <w:t>Ungarn</w:t>
            </w:r>
          </w:p>
        </w:tc>
        <w:tc>
          <w:tcPr>
            <w:tcW w:w="2126" w:type="dxa"/>
          </w:tcPr>
          <w:p w14:paraId="6401DE59" w14:textId="77777777" w:rsidR="00043AE9" w:rsidRPr="007F69DA" w:rsidRDefault="00043AE9" w:rsidP="00F46ACB">
            <w:pPr>
              <w:ind w:right="775"/>
              <w:jc w:val="right"/>
              <w:rPr>
                <w:sz w:val="18"/>
                <w:szCs w:val="18"/>
              </w:rPr>
            </w:pPr>
            <w:r w:rsidRPr="007F69DA">
              <w:rPr>
                <w:sz w:val="18"/>
                <w:szCs w:val="18"/>
              </w:rPr>
              <w:t>3,3</w:t>
            </w:r>
          </w:p>
        </w:tc>
        <w:tc>
          <w:tcPr>
            <w:tcW w:w="2126" w:type="dxa"/>
          </w:tcPr>
          <w:p w14:paraId="36BBE9A7" w14:textId="77777777" w:rsidR="00043AE9" w:rsidRPr="007F69DA" w:rsidRDefault="00043AE9" w:rsidP="00F46ACB">
            <w:pPr>
              <w:tabs>
                <w:tab w:val="left" w:pos="1135"/>
              </w:tabs>
              <w:ind w:right="775"/>
              <w:jc w:val="right"/>
              <w:rPr>
                <w:sz w:val="18"/>
                <w:szCs w:val="18"/>
              </w:rPr>
            </w:pPr>
            <w:r w:rsidRPr="007F69DA">
              <w:rPr>
                <w:sz w:val="18"/>
                <w:szCs w:val="18"/>
              </w:rPr>
              <w:t>60,7</w:t>
            </w:r>
          </w:p>
        </w:tc>
        <w:tc>
          <w:tcPr>
            <w:tcW w:w="2126" w:type="dxa"/>
          </w:tcPr>
          <w:p w14:paraId="61FF8608" w14:textId="77777777" w:rsidR="00043AE9" w:rsidRPr="007F69DA" w:rsidRDefault="00043AE9" w:rsidP="00F46ACB">
            <w:pPr>
              <w:ind w:right="775"/>
              <w:jc w:val="right"/>
              <w:rPr>
                <w:sz w:val="18"/>
                <w:szCs w:val="18"/>
              </w:rPr>
            </w:pPr>
            <w:r w:rsidRPr="007F69DA">
              <w:rPr>
                <w:sz w:val="18"/>
                <w:szCs w:val="18"/>
              </w:rPr>
              <w:t>28,6</w:t>
            </w:r>
          </w:p>
        </w:tc>
      </w:tr>
      <w:tr w:rsidR="00043AE9" w:rsidRPr="007F69DA" w14:paraId="2C5BF306" w14:textId="77777777" w:rsidTr="00F46ACB">
        <w:tc>
          <w:tcPr>
            <w:tcW w:w="2126" w:type="dxa"/>
            <w:shd w:val="clear" w:color="auto" w:fill="FFF2CC" w:themeFill="accent4" w:themeFillTint="33"/>
          </w:tcPr>
          <w:p w14:paraId="16F03F2E" w14:textId="77777777" w:rsidR="00043AE9" w:rsidRPr="007F69DA" w:rsidRDefault="00043AE9" w:rsidP="00F46ACB">
            <w:pPr>
              <w:rPr>
                <w:sz w:val="18"/>
                <w:szCs w:val="18"/>
              </w:rPr>
            </w:pPr>
            <w:r w:rsidRPr="007F69DA">
              <w:rPr>
                <w:sz w:val="18"/>
                <w:szCs w:val="18"/>
              </w:rPr>
              <w:t>Polen</w:t>
            </w:r>
          </w:p>
        </w:tc>
        <w:tc>
          <w:tcPr>
            <w:tcW w:w="2126" w:type="dxa"/>
          </w:tcPr>
          <w:p w14:paraId="19B49890" w14:textId="77777777" w:rsidR="00043AE9" w:rsidRPr="007F69DA" w:rsidRDefault="00043AE9" w:rsidP="00F46ACB">
            <w:pPr>
              <w:ind w:right="775"/>
              <w:jc w:val="right"/>
              <w:rPr>
                <w:sz w:val="18"/>
                <w:szCs w:val="18"/>
              </w:rPr>
            </w:pPr>
            <w:r w:rsidRPr="007F69DA">
              <w:rPr>
                <w:sz w:val="18"/>
                <w:szCs w:val="18"/>
              </w:rPr>
              <w:t>0,1</w:t>
            </w:r>
          </w:p>
        </w:tc>
        <w:tc>
          <w:tcPr>
            <w:tcW w:w="2126" w:type="dxa"/>
          </w:tcPr>
          <w:p w14:paraId="404D7F6A" w14:textId="77777777" w:rsidR="00043AE9" w:rsidRPr="007F69DA" w:rsidRDefault="00043AE9" w:rsidP="00F46ACB">
            <w:pPr>
              <w:ind w:right="775"/>
              <w:jc w:val="right"/>
              <w:rPr>
                <w:sz w:val="18"/>
                <w:szCs w:val="18"/>
              </w:rPr>
            </w:pPr>
            <w:r w:rsidRPr="007F69DA">
              <w:rPr>
                <w:sz w:val="18"/>
                <w:szCs w:val="18"/>
              </w:rPr>
              <w:t>47,1</w:t>
            </w:r>
          </w:p>
        </w:tc>
        <w:tc>
          <w:tcPr>
            <w:tcW w:w="2126" w:type="dxa"/>
          </w:tcPr>
          <w:p w14:paraId="781DDAB3" w14:textId="77777777" w:rsidR="00043AE9" w:rsidRPr="007F69DA" w:rsidRDefault="00043AE9" w:rsidP="00F46ACB">
            <w:pPr>
              <w:ind w:right="775"/>
              <w:jc w:val="right"/>
              <w:rPr>
                <w:sz w:val="18"/>
                <w:szCs w:val="18"/>
              </w:rPr>
            </w:pPr>
            <w:r w:rsidRPr="007F69DA">
              <w:rPr>
                <w:sz w:val="18"/>
                <w:szCs w:val="18"/>
              </w:rPr>
              <w:t>5,8</w:t>
            </w:r>
          </w:p>
        </w:tc>
      </w:tr>
    </w:tbl>
    <w:p w14:paraId="5E86F988" w14:textId="77777777" w:rsidR="00043AE9" w:rsidRPr="007F69DA" w:rsidRDefault="00043AE9" w:rsidP="00043AE9">
      <w:r w:rsidRPr="007F69DA">
        <w:rPr>
          <w:sz w:val="16"/>
          <w:szCs w:val="16"/>
        </w:rPr>
        <w:t>Quelle:</w:t>
      </w:r>
      <w:r w:rsidRPr="007F69DA">
        <w:t xml:space="preserve"> </w:t>
      </w:r>
      <w:r w:rsidRPr="007F69DA">
        <w:rPr>
          <w:sz w:val="16"/>
          <w:szCs w:val="16"/>
        </w:rPr>
        <w:t>Bundesamt für Migration; Friedrich-Ebert-Stiftung.</w:t>
      </w:r>
    </w:p>
    <w:p w14:paraId="7B1FB3C3" w14:textId="77777777" w:rsidR="00043AE9" w:rsidRPr="007F69DA" w:rsidRDefault="00043AE9" w:rsidP="00043AE9"/>
    <w:p w14:paraId="0A404C7C" w14:textId="77777777" w:rsidR="00043AE9" w:rsidRPr="007F69DA" w:rsidRDefault="00043AE9" w:rsidP="00043AE9">
      <w:r w:rsidRPr="007F69DA">
        <w:t xml:space="preserve">In allen Epochen der Menschheitsgeschichte haben Kriege, wirtschaftliche Krisen, Hungersnöte etc. Völkerwanderungen ausgelöst und für ethnische Vielfalt gesorgt. So betrachten sich 46 Mio. der mehr als 300 Mio. US-Amerikaner als deutschstämmig. Während  deren vergleichsweise gute Integration die These vom „Schmelztiegel USA“ (vgl. Glazer/Moyniham 1954) zu bestätigen scheint, spricht die Einwanderungsgeschichte der meisten anderen Volksgruppen (z.B. „Chinatown“, „Little Italy“) eher dafür, dass es sich dabei um einen Mythos handelt. </w:t>
      </w:r>
    </w:p>
    <w:p w14:paraId="5FC2E246" w14:textId="77777777" w:rsidR="00043AE9" w:rsidRPr="007F69DA" w:rsidRDefault="00043AE9" w:rsidP="00043AE9">
      <w:pPr>
        <w:ind w:right="1134"/>
      </w:pPr>
    </w:p>
    <w:tbl>
      <w:tblPr>
        <w:tblW w:w="8520"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85" w:type="dxa"/>
          <w:right w:w="85" w:type="dxa"/>
        </w:tblCellMar>
        <w:tblLook w:val="0000" w:firstRow="0" w:lastRow="0" w:firstColumn="0" w:lastColumn="0" w:noHBand="0" w:noVBand="0"/>
      </w:tblPr>
      <w:tblGrid>
        <w:gridCol w:w="8520"/>
      </w:tblGrid>
      <w:tr w:rsidR="00043AE9" w:rsidRPr="007F69DA" w14:paraId="1A4A7F5E" w14:textId="77777777" w:rsidTr="00F46ACB">
        <w:tc>
          <w:tcPr>
            <w:tcW w:w="8520" w:type="dxa"/>
            <w:tcBorders>
              <w:top w:val="single" w:sz="4" w:space="0" w:color="auto"/>
              <w:left w:val="single" w:sz="4" w:space="0" w:color="auto"/>
              <w:bottom w:val="nil"/>
              <w:right w:val="nil"/>
            </w:tcBorders>
          </w:tcPr>
          <w:p w14:paraId="526F7E3B" w14:textId="77777777" w:rsidR="00043AE9" w:rsidRPr="007F69DA" w:rsidRDefault="00043AE9" w:rsidP="00F46ACB">
            <w:pPr>
              <w:ind w:right="1134"/>
              <w:rPr>
                <w:b/>
                <w:color w:val="000000"/>
              </w:rPr>
            </w:pPr>
          </w:p>
        </w:tc>
      </w:tr>
      <w:tr w:rsidR="00043AE9" w:rsidRPr="007F69DA" w14:paraId="55498D07" w14:textId="77777777" w:rsidTr="00F46ACB">
        <w:tc>
          <w:tcPr>
            <w:tcW w:w="8520" w:type="dxa"/>
            <w:tcBorders>
              <w:top w:val="nil"/>
              <w:left w:val="single" w:sz="4" w:space="0" w:color="auto"/>
              <w:bottom w:val="nil"/>
              <w:right w:val="nil"/>
            </w:tcBorders>
            <w:shd w:val="clear" w:color="auto" w:fill="DEEAF6" w:themeFill="accent1" w:themeFillTint="33"/>
          </w:tcPr>
          <w:p w14:paraId="3704FC23" w14:textId="77777777" w:rsidR="00043AE9" w:rsidRPr="007F69DA" w:rsidRDefault="00043AE9" w:rsidP="00F46ACB">
            <w:pPr>
              <w:ind w:right="-15"/>
              <w:jc w:val="center"/>
              <w:rPr>
                <w:bCs/>
                <w:sz w:val="18"/>
                <w:szCs w:val="18"/>
              </w:rPr>
            </w:pPr>
            <w:r w:rsidRPr="007F69DA">
              <w:rPr>
                <w:bCs/>
                <w:sz w:val="18"/>
                <w:szCs w:val="18"/>
              </w:rPr>
              <w:t>Die Mär vom Melting Pot</w:t>
            </w:r>
          </w:p>
        </w:tc>
      </w:tr>
      <w:tr w:rsidR="00043AE9" w:rsidRPr="007F69DA" w14:paraId="74B7B4B2" w14:textId="77777777" w:rsidTr="00F46ACB">
        <w:tc>
          <w:tcPr>
            <w:tcW w:w="8520" w:type="dxa"/>
            <w:tcBorders>
              <w:top w:val="nil"/>
              <w:left w:val="single" w:sz="4" w:space="0" w:color="auto"/>
              <w:bottom w:val="nil"/>
              <w:right w:val="nil"/>
            </w:tcBorders>
            <w:shd w:val="clear" w:color="auto" w:fill="DEEAF6" w:themeFill="accent1" w:themeFillTint="33"/>
          </w:tcPr>
          <w:p w14:paraId="01B415DF" w14:textId="77777777" w:rsidR="00043AE9" w:rsidRPr="007F69DA" w:rsidRDefault="00043AE9" w:rsidP="00F46ACB">
            <w:pPr>
              <w:ind w:right="-15"/>
              <w:rPr>
                <w:b/>
                <w:color w:val="000000"/>
                <w:sz w:val="18"/>
                <w:szCs w:val="18"/>
              </w:rPr>
            </w:pPr>
          </w:p>
        </w:tc>
      </w:tr>
      <w:tr w:rsidR="00043AE9" w:rsidRPr="007F69DA" w14:paraId="6A20B5D7" w14:textId="77777777" w:rsidTr="00F46ACB">
        <w:tc>
          <w:tcPr>
            <w:tcW w:w="8520" w:type="dxa"/>
            <w:tcBorders>
              <w:top w:val="nil"/>
              <w:left w:val="nil"/>
              <w:bottom w:val="nil"/>
              <w:right w:val="nil"/>
            </w:tcBorders>
            <w:shd w:val="clear" w:color="auto" w:fill="DEEAF6" w:themeFill="accent1" w:themeFillTint="33"/>
          </w:tcPr>
          <w:p w14:paraId="469C02B5" w14:textId="77777777" w:rsidR="00043AE9" w:rsidRPr="007F69DA" w:rsidRDefault="00043AE9" w:rsidP="00F46ACB">
            <w:pPr>
              <w:ind w:right="-15"/>
              <w:rPr>
                <w:sz w:val="18"/>
                <w:szCs w:val="18"/>
              </w:rPr>
            </w:pPr>
            <w:r w:rsidRPr="007F69DA">
              <w:rPr>
                <w:sz w:val="18"/>
                <w:szCs w:val="18"/>
              </w:rPr>
              <w:t>„Im Gegensatz zu der in der Unabhängigkeitserklärung der Vereinigten Staaten von Amerika formulierten moralischen Norm („</w:t>
            </w:r>
            <w:r w:rsidRPr="007F69DA">
              <w:rPr>
                <w:bCs/>
                <w:sz w:val="18"/>
                <w:szCs w:val="18"/>
              </w:rPr>
              <w:t>That all men are created equal“)</w:t>
            </w:r>
            <w:r w:rsidRPr="007F69DA">
              <w:rPr>
                <w:sz w:val="18"/>
                <w:szCs w:val="18"/>
              </w:rPr>
              <w:t xml:space="preserve"> interpretierte die Mehrheit der Amerikaner ihren neuen Staat als eine weiße, angelsächsische und protestantische Nation. Die Indianer wurden dezimiert und von der Nation ausgeschlossen, im amerikanischen Süden blieben den Schwarzen die Bürgerrechte noch bis in die 1960er-Jahre vorenthalten. Die Einwanderung von Katholiken in das kalvinistisch geprägte </w:t>
            </w:r>
            <w:r w:rsidRPr="007F69DA">
              <w:rPr>
                <w:sz w:val="18"/>
                <w:szCs w:val="18"/>
              </w:rPr>
              <w:br/>
              <w:t>Amerika des 19. Jahrhundert barg sogar weit mehr sozialen und politischen Zündstoff als heute die Einwanderung von Moslems in säkularisierte westliche Gesellschaften. Das 1913 eingeführte Quotensystem war ein Versuch, die Einwanderung ethnischer und religiöser Gruppen zu beschränken oder zu verhindern, die – wie Katholiken, Juden oder Asiaten – als »unamerikanisch« oder gar als unfähig angesehen wurden, »echte« Amerikaner zu werden. Der kulturelle Nationalismus der amerikanischen Einwanderungspolitik wurde erst in den späten 1960er-Jahren überwunden, als eine neue Masseneinwanderung aus Lateinamerika, Asien und Afrika zugelassen und Amerika zur ersten kosmopolitischen Republik wurde“ (Oberndörfer 1996, S.39).</w:t>
            </w:r>
          </w:p>
        </w:tc>
      </w:tr>
      <w:tr w:rsidR="00043AE9" w:rsidRPr="007F69DA" w14:paraId="30C12FF0" w14:textId="77777777" w:rsidTr="00F46ACB">
        <w:tc>
          <w:tcPr>
            <w:tcW w:w="8520" w:type="dxa"/>
            <w:tcBorders>
              <w:top w:val="nil"/>
              <w:left w:val="nil"/>
              <w:bottom w:val="nil"/>
              <w:right w:val="single" w:sz="4" w:space="0" w:color="auto"/>
            </w:tcBorders>
          </w:tcPr>
          <w:p w14:paraId="03ECDC04" w14:textId="77777777" w:rsidR="00043AE9" w:rsidRPr="007F69DA" w:rsidRDefault="00043AE9" w:rsidP="00F46ACB">
            <w:pPr>
              <w:ind w:right="1134"/>
              <w:jc w:val="right"/>
              <w:rPr>
                <w:sz w:val="18"/>
                <w:szCs w:val="18"/>
              </w:rPr>
            </w:pPr>
          </w:p>
        </w:tc>
      </w:tr>
    </w:tbl>
    <w:p w14:paraId="7E58E3A6" w14:textId="77777777" w:rsidR="00043AE9" w:rsidRPr="007F69DA" w:rsidRDefault="00043AE9" w:rsidP="00043AE9">
      <w:r w:rsidRPr="007F69DA">
        <w:t>Dass viele Migrantengruppen sich nicht integrieren, gilt auch für die mittlerweile größte ethnische Zielgruppe in den USA: die 52 Mio. Hispanics. Sie machen 16,7% der Bevölkerung dieses multi-ethnischen Staates aus. Kaum ein amerikanisches Unternehmen verzichtet noch darauf, dieses Segment gezielt anzusprechen. Allerdings versuchen die meisten, „mit lauter Partymusik und Bildern von der ewigen Fiesta die Seele und den Geldbeutel der Latinos zu erreichen. »Aber das funktioniert nicht«, warnt R. Gomez, Marketingdirektor von Groundrush Media in Atlanta, einer Werbeagentur, die auf Ethnomarketing spezialisiert ist. »Bei uns Hispanics geht es um die Familie, um Werte, um kulturelle Wurzeln.« Richtig macht es Home Depot, die größte Baumarktkette in den USA, mit ihrer interkulturellen Farbenkampagne. Sie führte 2005 die Serie „Colores Origines“ ein. Die Farben haben schillernde Namen:</w:t>
      </w:r>
    </w:p>
    <w:p w14:paraId="332252DD" w14:textId="77777777" w:rsidR="00043AE9" w:rsidRPr="007F69DA" w:rsidRDefault="00043AE9">
      <w:pPr>
        <w:widowControl/>
        <w:numPr>
          <w:ilvl w:val="0"/>
          <w:numId w:val="79"/>
        </w:numPr>
        <w:autoSpaceDE/>
        <w:autoSpaceDN/>
        <w:jc w:val="both"/>
      </w:pPr>
      <w:r w:rsidRPr="007F69DA">
        <w:t>„Mango Jugoso“ (fruchtige Mango),</w:t>
      </w:r>
    </w:p>
    <w:p w14:paraId="46D1AFFE" w14:textId="77777777" w:rsidR="00043AE9" w:rsidRPr="007F69DA" w:rsidRDefault="00043AE9">
      <w:pPr>
        <w:widowControl/>
        <w:numPr>
          <w:ilvl w:val="0"/>
          <w:numId w:val="79"/>
        </w:numPr>
        <w:autoSpaceDE/>
        <w:autoSpaceDN/>
        <w:jc w:val="both"/>
      </w:pPr>
      <w:r w:rsidRPr="007F69DA">
        <w:t>„Mojo Torero“ (Stierkämpfer-Rot) oder</w:t>
      </w:r>
    </w:p>
    <w:p w14:paraId="75597697" w14:textId="77777777" w:rsidR="00043AE9" w:rsidRPr="007F69DA" w:rsidRDefault="00043AE9">
      <w:pPr>
        <w:widowControl/>
        <w:numPr>
          <w:ilvl w:val="0"/>
          <w:numId w:val="79"/>
        </w:numPr>
        <w:autoSpaceDE/>
        <w:autoSpaceDN/>
        <w:jc w:val="both"/>
      </w:pPr>
      <w:r w:rsidRPr="007F69DA">
        <w:t>„Azul Cielito Lindo“ (lieblicher blauer Himmel).</w:t>
      </w:r>
    </w:p>
    <w:p w14:paraId="04277E76" w14:textId="77777777" w:rsidR="00043AE9" w:rsidRPr="007F69DA" w:rsidRDefault="00043AE9" w:rsidP="00043AE9">
      <w:pPr>
        <w:ind w:left="284" w:hanging="284"/>
      </w:pPr>
    </w:p>
    <w:p w14:paraId="7A2B353A" w14:textId="77777777" w:rsidR="00043AE9" w:rsidRPr="007F69DA" w:rsidRDefault="00043AE9" w:rsidP="00043AE9">
      <w:r w:rsidRPr="007F69DA">
        <w:t>Namen, die bei den potenziellen Kunden Erinnerungen an Vertrautes wachrufen. Die Farbpalette wurde zum Verkaufsschlager. Auch mit anderen Projekten spricht Home Depot die wachsende Käufergruppe an: In allen US-Filialen ist die Beschilderung zweisprachig, englisch und spanisch. Außerdem schaltet der Baumarktriese regelmäßig Werbekampagnen in hispanischen Medien“ (Ridderbusch 2008, S.33).</w:t>
      </w:r>
    </w:p>
    <w:p w14:paraId="66A5F365" w14:textId="77777777" w:rsidR="00043AE9" w:rsidRPr="007F69DA" w:rsidRDefault="00043AE9" w:rsidP="00043AE9"/>
    <w:p w14:paraId="07775751" w14:textId="77777777" w:rsidR="00043AE9" w:rsidRPr="007F69DA" w:rsidRDefault="00043AE9" w:rsidP="00043AE9">
      <w:r w:rsidRPr="007F69DA">
        <w:t>Zur Gruppe der kulturell heterogenen Länder gehören weiterhin Kanada (englischsprachige/franzö</w:t>
      </w:r>
      <w:r w:rsidRPr="007F69DA">
        <w:lastRenderedPageBreak/>
        <w:t>sischsprachige Kanadier), Belgien (Flamen/Wallonen), Spanien (Basken/Galicier/Kastilienser/Katalanen) und Israel (liberal/ultraorthodoxe/arabisch/</w:t>
      </w:r>
      <w:r w:rsidRPr="007F69DA">
        <w:softHyphen/>
        <w:t xml:space="preserve">russischsprachige Juden). Wie das Schicksal der gescheiterten Vielvölkerstaaten Sowjetunion und Jugoslawien belegt, erwachsen aus kultureller Vielfalt häufig existenzgefährdende sozio-politische Fliehkräfte, sofern nicht Gegengewichte für Stabilität sorgen. Dies können sein … </w:t>
      </w:r>
    </w:p>
    <w:p w14:paraId="085D67F1" w14:textId="77777777" w:rsidR="00043AE9" w:rsidRPr="007F69DA" w:rsidRDefault="00043AE9">
      <w:pPr>
        <w:widowControl/>
        <w:numPr>
          <w:ilvl w:val="0"/>
          <w:numId w:val="79"/>
        </w:numPr>
        <w:autoSpaceDE/>
        <w:autoSpaceDN/>
        <w:jc w:val="both"/>
      </w:pPr>
      <w:r w:rsidRPr="007F69DA">
        <w:t xml:space="preserve">wirtschaftlicher Erfolg (wie im Falle der USA), </w:t>
      </w:r>
    </w:p>
    <w:p w14:paraId="02692DCB" w14:textId="77777777" w:rsidR="00043AE9" w:rsidRPr="007F69DA" w:rsidRDefault="00043AE9">
      <w:pPr>
        <w:widowControl/>
        <w:numPr>
          <w:ilvl w:val="0"/>
          <w:numId w:val="79"/>
        </w:numPr>
        <w:autoSpaceDE/>
        <w:autoSpaceDN/>
        <w:jc w:val="both"/>
      </w:pPr>
      <w:r w:rsidRPr="007F69DA">
        <w:t>gemeinsame Ideologie (wie im Falle Israels) bzw.</w:t>
      </w:r>
    </w:p>
    <w:p w14:paraId="180E82CA" w14:textId="77777777" w:rsidR="00043AE9" w:rsidRPr="007F69DA" w:rsidRDefault="00043AE9">
      <w:pPr>
        <w:widowControl/>
        <w:numPr>
          <w:ilvl w:val="0"/>
          <w:numId w:val="79"/>
        </w:numPr>
        <w:autoSpaceDE/>
        <w:autoSpaceDN/>
        <w:jc w:val="both"/>
      </w:pPr>
      <w:r w:rsidRPr="007F69DA">
        <w:t>zentralistische Staatsgewalt (wie China).</w:t>
      </w:r>
    </w:p>
    <w:p w14:paraId="7FBC4225" w14:textId="77777777" w:rsidR="00043AE9" w:rsidRPr="007F69DA" w:rsidRDefault="00043AE9" w:rsidP="00043AE9">
      <w:pPr>
        <w:ind w:right="1134"/>
      </w:pPr>
    </w:p>
    <w:p w14:paraId="74427036" w14:textId="77777777" w:rsidR="00043AE9" w:rsidRPr="007F69DA" w:rsidRDefault="00043AE9" w:rsidP="00043AE9">
      <w:r w:rsidRPr="007F69DA">
        <w:t>In vielen Fällen ist die ethnische Heterogenität größer, als es auf den ersten Blick scheint. Wer bspw. Südafrika nur in eine „schwarze“ und eine „weiße Kultur“ unterteilt, wird der dort bestehenden Vielfalt nicht gerecht. Denn die weiße Bevölkerung stammt von Siedlern ab, die insb. aus den Niederlanden, aus Deutschland oder aus Großbritannien eingewandert sind und ihren Nachkommen ein unterschiedliches kulturelles Erbe hinterlassen haben. Die farbige Bevölkerung Südafrikas zerfällt in noch mehr Ethnien:</w:t>
      </w:r>
    </w:p>
    <w:p w14:paraId="33D7C1AD" w14:textId="77777777" w:rsidR="00043AE9" w:rsidRPr="007F69DA" w:rsidRDefault="00043AE9">
      <w:pPr>
        <w:widowControl/>
        <w:numPr>
          <w:ilvl w:val="0"/>
          <w:numId w:val="79"/>
        </w:numPr>
        <w:autoSpaceDE/>
        <w:autoSpaceDN/>
        <w:jc w:val="both"/>
      </w:pPr>
      <w:r w:rsidRPr="007F69DA">
        <w:t>Bantu-Völker, hauptsächlich mit der Untergruppe der Nguni (Swasi, Xhosa, Zulu),</w:t>
      </w:r>
    </w:p>
    <w:p w14:paraId="772DDFA3" w14:textId="77777777" w:rsidR="00043AE9" w:rsidRPr="007F69DA" w:rsidRDefault="00043AE9">
      <w:pPr>
        <w:widowControl/>
        <w:numPr>
          <w:ilvl w:val="0"/>
          <w:numId w:val="79"/>
        </w:numPr>
        <w:autoSpaceDE/>
        <w:autoSpaceDN/>
        <w:jc w:val="both"/>
      </w:pPr>
      <w:r w:rsidRPr="007F69DA">
        <w:t>mit Bantu und Weißen vermischte Nachkommen der Hottentotten,</w:t>
      </w:r>
    </w:p>
    <w:p w14:paraId="35E96F98" w14:textId="77777777" w:rsidR="00043AE9" w:rsidRPr="007F69DA" w:rsidRDefault="00043AE9">
      <w:pPr>
        <w:widowControl/>
        <w:numPr>
          <w:ilvl w:val="0"/>
          <w:numId w:val="79"/>
        </w:numPr>
        <w:autoSpaceDE/>
        <w:autoSpaceDN/>
        <w:jc w:val="both"/>
      </w:pPr>
      <w:r w:rsidRPr="007F69DA">
        <w:t>Nachkommen der Inder, die auf Zuckerrohr-Plantagen arbeiteten.</w:t>
      </w:r>
    </w:p>
    <w:p w14:paraId="576AEBF7" w14:textId="77777777" w:rsidR="00043AE9" w:rsidRPr="007F69DA" w:rsidRDefault="00043AE9" w:rsidP="00043AE9">
      <w:pPr>
        <w:tabs>
          <w:tab w:val="left" w:pos="8364"/>
        </w:tabs>
        <w:ind w:right="1134"/>
      </w:pPr>
    </w:p>
    <w:p w14:paraId="3BEB4317" w14:textId="77777777" w:rsidR="00043AE9" w:rsidRDefault="00043AE9" w:rsidP="00043AE9">
      <w:r w:rsidRPr="007F69DA">
        <w:t xml:space="preserve">Die meisten dieser Volksgruppen haben ihre kulturellen Eigenheiten zumindest teilweise bewahrt. </w:t>
      </w:r>
    </w:p>
    <w:p w14:paraId="0F0C7B4A" w14:textId="77777777" w:rsidR="00477EE1" w:rsidRDefault="00477EE1" w:rsidP="00043AE9"/>
    <w:p w14:paraId="4622FDEE" w14:textId="77777777" w:rsidR="00477EE1" w:rsidRDefault="00477EE1" w:rsidP="00043AE9"/>
    <w:p w14:paraId="5B5AD492" w14:textId="77777777" w:rsidR="00477EE1" w:rsidRDefault="00477EE1" w:rsidP="00043AE9"/>
    <w:p w14:paraId="153C3865" w14:textId="77777777" w:rsidR="00477EE1" w:rsidRDefault="00477EE1" w:rsidP="00043AE9"/>
    <w:p w14:paraId="7ED08215" w14:textId="77777777" w:rsidR="00477EE1" w:rsidRDefault="00477EE1" w:rsidP="00043AE9"/>
    <w:p w14:paraId="56E76CBA" w14:textId="77777777" w:rsidR="00477EE1" w:rsidRPr="007F69DA" w:rsidRDefault="00477EE1" w:rsidP="00043AE9"/>
    <w:p w14:paraId="4B799376" w14:textId="77777777" w:rsidR="00043AE9" w:rsidRPr="007F69DA" w:rsidRDefault="00043AE9" w:rsidP="00043AE9"/>
    <w:p w14:paraId="121AE1FF" w14:textId="77777777" w:rsidR="00043AE9" w:rsidRPr="007F69DA" w:rsidRDefault="00043AE9" w:rsidP="00043AE9"/>
    <w:p w14:paraId="2C5CBC18" w14:textId="77777777" w:rsidR="00043AE9" w:rsidRPr="007F69DA" w:rsidRDefault="00043AE9" w:rsidP="00043AE9"/>
    <w:p w14:paraId="7CA8B0FE" w14:textId="77777777" w:rsidR="00043AE9" w:rsidRPr="007F69DA" w:rsidRDefault="00043AE9" w:rsidP="00043AE9"/>
    <w:p w14:paraId="6E9AFD07" w14:textId="77777777" w:rsidR="00043AE9" w:rsidRPr="007F69DA" w:rsidRDefault="00043AE9" w:rsidP="00043AE9"/>
    <w:p w14:paraId="4AE9E004" w14:textId="77777777" w:rsidR="00043AE9" w:rsidRPr="007F69DA" w:rsidRDefault="00043AE9" w:rsidP="00043AE9"/>
    <w:p w14:paraId="0943D7A4" w14:textId="77777777" w:rsidR="00043AE9" w:rsidRPr="007F69DA" w:rsidRDefault="00043AE9" w:rsidP="00043AE9">
      <w:r w:rsidRPr="007F69DA">
        <w:rPr>
          <w:noProof/>
          <w:lang w:eastAsia="de-DE"/>
        </w:rPr>
        <mc:AlternateContent>
          <mc:Choice Requires="wps">
            <w:drawing>
              <wp:anchor distT="0" distB="0" distL="114300" distR="114300" simplePos="0" relativeHeight="252037120" behindDoc="0" locked="0" layoutInCell="1" allowOverlap="1" wp14:anchorId="6661FC31" wp14:editId="5814C6B4">
                <wp:simplePos x="0" y="0"/>
                <wp:positionH relativeFrom="margin">
                  <wp:align>left</wp:align>
                </wp:positionH>
                <wp:positionV relativeFrom="paragraph">
                  <wp:posOffset>-1630680</wp:posOffset>
                </wp:positionV>
                <wp:extent cx="5219065" cy="2114550"/>
                <wp:effectExtent l="0" t="0" r="19685" b="19050"/>
                <wp:wrapNone/>
                <wp:docPr id="1464944784" name="Textfeld 14649447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065" cy="2114550"/>
                        </a:xfrm>
                        <a:prstGeom prst="rect">
                          <a:avLst/>
                        </a:prstGeom>
                        <a:solidFill>
                          <a:srgbClr val="FFFFFF"/>
                        </a:solidFill>
                        <a:ln w="9525">
                          <a:solidFill>
                            <a:srgbClr val="000000"/>
                          </a:solidFill>
                          <a:miter lim="800000"/>
                          <a:headEnd/>
                          <a:tailEnd/>
                        </a:ln>
                      </wps:spPr>
                      <wps:txbx>
                        <w:txbxContent>
                          <w:p w14:paraId="2D967ACE" w14:textId="77777777" w:rsidR="00043AE9" w:rsidRPr="00936855" w:rsidRDefault="00043AE9" w:rsidP="00043AE9">
                            <w:pPr>
                              <w:shd w:val="clear" w:color="auto" w:fill="DEEAF6" w:themeFill="accent1" w:themeFillTint="33"/>
                              <w:rPr>
                                <w:sz w:val="20"/>
                                <w:szCs w:val="20"/>
                              </w:rPr>
                            </w:pPr>
                            <w:r w:rsidRPr="000F4B49">
                              <w:rPr>
                                <w:sz w:val="44"/>
                                <w:szCs w:val="44"/>
                              </w:rPr>
                              <w:sym w:font="Wingdings 2" w:char="F045"/>
                            </w:r>
                            <w:r>
                              <w:rPr>
                                <w:sz w:val="44"/>
                                <w:szCs w:val="44"/>
                              </w:rPr>
                              <w:t xml:space="preserve"> </w:t>
                            </w:r>
                            <w:r w:rsidRPr="00A220F6">
                              <w:rPr>
                                <w:sz w:val="20"/>
                                <w:szCs w:val="20"/>
                              </w:rPr>
                              <w:t>Ethno-Marketing richtet sich an national abgrenzbare Zielgruppen, die einer anderen Ethnie als die Mehrheitsbevölkerung eines Staates angehören (Interkulturelles Marketing hingegen an transnationale Zielgruppen unterschiedlicher nationaler Herkunft). Ethno-Marketing bedeutet mehr, als einheimische Konzepte (z.B. Werbespots, Anzeigen, Gebrauchsanleitungen) in die jeweils andere Sprache zu übersetzen. Vielmehr gilt es, bei der strategischen Ausrichtung und im Marketing-Mix ethnisch zuordenbare Unterschiede in Werten, Lebensstil und Konsumgewohnheiten Rechnung zu tragen. Denn erfahrungsgemäß assimiliert sich nur ein Teil der ausländischen Mitbürger. Dass die Nicht-Assimilierer in Einwanderungsländern ihre kulturellen Eigenheiten und Wertvorstellungen teilweise sogar noch bewusster bzw. intensiver erleben und ausleben als in ihrem Geburtsland, lässt sich mit dem „in der Fremde“ besonders virulenten Bedürfnis nach der vertrauten, nicht selten aber auch nur imaginierten und zumeist idealisierten kult</w:t>
                            </w:r>
                            <w:r>
                              <w:rPr>
                                <w:sz w:val="20"/>
                                <w:szCs w:val="20"/>
                              </w:rPr>
                              <w:t xml:space="preserve">urellen Identität erklären.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661FC31" id="Textfeld 1464944784" o:spid="_x0000_s1070" type="#_x0000_t202" style="position:absolute;margin-left:0;margin-top:-128.4pt;width:410.95pt;height:166.5pt;z-index:2520371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">
                <v:textbox>
                  <w:txbxContent>
                    <w:p w14:paraId="2D967ACE" w14:textId="77777777" w:rsidR="00043AE9" w:rsidRPr="00936855" w:rsidRDefault="00043AE9" w:rsidP="00043AE9">
                      <w:pPr>
                        <w:shd w:val="clear" w:color="auto" w:fill="DEEAF6" w:themeFill="accent1" w:themeFillTint="33"/>
                        <w:rPr>
                          <w:sz w:val="20"/>
                          <w:szCs w:val="20"/>
                        </w:rPr>
                      </w:pPr>
                      <w:r w:rsidRPr="000F4B49">
                        <w:rPr>
                          <w:sz w:val="44"/>
                          <w:szCs w:val="44"/>
                        </w:rPr>
                        <w:sym w:font="Wingdings 2" w:char="F045"/>
                      </w:r>
                      <w:r>
                        <w:rPr>
                          <w:sz w:val="44"/>
                          <w:szCs w:val="44"/>
                        </w:rPr>
                        <w:t xml:space="preserve"> </w:t>
                      </w:r>
                      <w:r w:rsidRPr="00A220F6">
                        <w:rPr>
                          <w:sz w:val="20"/>
                          <w:szCs w:val="20"/>
                        </w:rPr>
                        <w:t>Ethno-Marketing richtet sich an national abgrenzbare Zielgruppen, die einer anderen Ethnie als die Mehrheitsbevölkerung eines Staates angehören (Interkulturelles Marketing hingegen an transnationale Zielgruppen unterschiedlicher nationaler Herkunft). Ethno-Marketing bedeutet mehr, als einheimische Konzepte (z.B. Werbespots, Anzeigen, Gebrauchsanleitungen) in die jeweils andere Sprache zu übersetzen. Vielmehr gilt es, bei der strategischen Ausrichtung und im Marketing-Mix ethnisch zuordenbare Unterschiede in Werten, Lebensstil und Konsumgewohnheiten Rechnung zu tragen. Denn erfahrungsgemäß assimiliert sich nur ein Teil der ausländischen Mitbürger. Dass die Nicht-Assimilierer in Einwanderungsländern ihre kulturellen Eigenheiten und Wertvorstellungen teilweise sogar noch bewusster bzw. intensiver erleben und ausleben als in ihrem Geburtsland, lässt sich mit dem „in der Fremde“ besonders virulenten Bedürfnis nach der vertrauten, nicht selten aber auch nur imaginierten und zumeist idealisierten kult</w:t>
                      </w:r>
                      <w:r>
                        <w:rPr>
                          <w:sz w:val="20"/>
                          <w:szCs w:val="20"/>
                        </w:rPr>
                        <w:t xml:space="preserve">urellen Identität erklären. </w:t>
                      </w:r>
                    </w:p>
                  </w:txbxContent>
                </v:textbox>
                <w10:wrap anchorx="margin"/>
              </v:shape>
            </w:pict>
          </mc:Fallback>
        </mc:AlternateContent>
      </w:r>
    </w:p>
    <w:p w14:paraId="0AB46E6C" w14:textId="77777777" w:rsidR="00043AE9" w:rsidRPr="007F69DA" w:rsidRDefault="00043AE9" w:rsidP="00043AE9">
      <w:pPr>
        <w:tabs>
          <w:tab w:val="left" w:pos="8364"/>
        </w:tabs>
      </w:pPr>
    </w:p>
    <w:p w14:paraId="46FCCF6B" w14:textId="77777777" w:rsidR="00043AE9" w:rsidRPr="007F69DA" w:rsidRDefault="00043AE9" w:rsidP="00043AE9">
      <w:pPr>
        <w:pStyle w:val="berschriftklein"/>
        <w:spacing w:line="360" w:lineRule="auto"/>
        <w:rPr>
          <w:b/>
          <w:i w:val="0"/>
          <w:sz w:val="24"/>
          <w:szCs w:val="24"/>
        </w:rPr>
      </w:pPr>
    </w:p>
    <w:p w14:paraId="6BAE1FD3" w14:textId="77777777" w:rsidR="00043AE9" w:rsidRPr="007F69DA" w:rsidRDefault="00043AE9" w:rsidP="00043AE9">
      <w:pPr>
        <w:pStyle w:val="berschriftklein"/>
        <w:spacing w:line="360" w:lineRule="auto"/>
        <w:ind w:right="1134"/>
        <w:rPr>
          <w:i w:val="0"/>
          <w:sz w:val="24"/>
          <w:szCs w:val="24"/>
        </w:rPr>
      </w:pPr>
      <w:r w:rsidRPr="007F69DA">
        <w:rPr>
          <w:b/>
          <w:i w:val="0"/>
          <w:sz w:val="24"/>
          <w:szCs w:val="24"/>
        </w:rPr>
        <w:t xml:space="preserve">5.2  </w:t>
      </w:r>
      <w:r w:rsidRPr="007F69DA">
        <w:rPr>
          <w:i w:val="0"/>
          <w:sz w:val="24"/>
          <w:szCs w:val="24"/>
        </w:rPr>
        <w:t>Ethno-Marketing in Deutschland</w:t>
      </w:r>
    </w:p>
    <w:p w14:paraId="1207C755" w14:textId="77777777" w:rsidR="00043AE9" w:rsidRPr="007F69DA" w:rsidRDefault="00043AE9" w:rsidP="00043AE9">
      <w:pPr>
        <w:jc w:val="both"/>
        <w:rPr>
          <w:szCs w:val="24"/>
          <w:lang w:bidi="en-US"/>
        </w:rPr>
      </w:pPr>
      <w:r w:rsidRPr="007F69DA">
        <w:rPr>
          <w:szCs w:val="24"/>
          <w:lang w:bidi="en-US"/>
        </w:rPr>
        <w:t>Einwanderungsland Deutschland</w:t>
      </w:r>
    </w:p>
    <w:p w14:paraId="4F76CE16" w14:textId="77777777" w:rsidR="00043AE9" w:rsidRPr="007F69DA" w:rsidRDefault="00043AE9" w:rsidP="00043AE9"/>
    <w:p w14:paraId="1BCD0367" w14:textId="77777777" w:rsidR="00043AE9" w:rsidRPr="007F69DA" w:rsidRDefault="00043AE9" w:rsidP="00043AE9">
      <w:r w:rsidRPr="007F69DA">
        <w:t>Durch die Einwanderung von „Gastarbeitern“ z.B. aus Italien, Jugoslawien, Griechenland und Spanien wurde Deutschland nicht wirklich kulturell heterogen, wohl aber ein Land mit zahlreichen ethnisch abgrenzbaren Subkulturen. Je nach Datenquelle und Erhebungsmodus schwanken die Angaben allerdings etwas. Ende 2011 besaßen …</w:t>
      </w:r>
    </w:p>
    <w:p w14:paraId="23083EFE" w14:textId="77777777" w:rsidR="00043AE9" w:rsidRPr="007F69DA" w:rsidRDefault="00043AE9">
      <w:pPr>
        <w:widowControl/>
        <w:numPr>
          <w:ilvl w:val="0"/>
          <w:numId w:val="79"/>
        </w:numPr>
        <w:autoSpaceDE/>
        <w:autoSpaceDN/>
        <w:jc w:val="both"/>
      </w:pPr>
      <w:r w:rsidRPr="007F69DA">
        <w:t>8,9% der 80,2 Mio. Einwohner Deutschlands nach Angaben des Statistischen Bundesamtes eine andere als die deutsche Staatsbürgerschaft,</w:t>
      </w:r>
    </w:p>
    <w:p w14:paraId="0E654F13" w14:textId="77777777" w:rsidR="00043AE9" w:rsidRPr="007F69DA" w:rsidRDefault="00043AE9">
      <w:pPr>
        <w:widowControl/>
        <w:numPr>
          <w:ilvl w:val="0"/>
          <w:numId w:val="79"/>
        </w:numPr>
        <w:autoSpaceDE/>
        <w:autoSpaceDN/>
        <w:jc w:val="both"/>
      </w:pPr>
      <w:r w:rsidRPr="007F69DA">
        <w:t>7,7% gemäß dem Zensus 2011,</w:t>
      </w:r>
    </w:p>
    <w:p w14:paraId="5F97333D" w14:textId="77777777" w:rsidR="00043AE9" w:rsidRPr="007F69DA" w:rsidRDefault="00043AE9">
      <w:pPr>
        <w:widowControl/>
        <w:numPr>
          <w:ilvl w:val="0"/>
          <w:numId w:val="79"/>
        </w:numPr>
        <w:autoSpaceDE/>
        <w:autoSpaceDN/>
        <w:jc w:val="both"/>
      </w:pPr>
      <w:r w:rsidRPr="007F69DA">
        <w:t>8,4% gemäß dem Ausländerzentralregister (ASR),</w:t>
      </w:r>
    </w:p>
    <w:p w14:paraId="469592DC" w14:textId="77777777" w:rsidR="00043AE9" w:rsidRPr="007F69DA" w:rsidRDefault="00043AE9">
      <w:pPr>
        <w:widowControl/>
        <w:numPr>
          <w:ilvl w:val="0"/>
          <w:numId w:val="79"/>
        </w:numPr>
        <w:autoSpaceDE/>
        <w:autoSpaceDN/>
        <w:jc w:val="both"/>
      </w:pPr>
      <w:r w:rsidRPr="007F69DA">
        <w:t>8,7% gemäß Eurostat und</w:t>
      </w:r>
    </w:p>
    <w:p w14:paraId="732FEABE" w14:textId="77777777" w:rsidR="00043AE9" w:rsidRPr="007F69DA" w:rsidRDefault="00043AE9">
      <w:pPr>
        <w:widowControl/>
        <w:numPr>
          <w:ilvl w:val="0"/>
          <w:numId w:val="79"/>
        </w:numPr>
        <w:autoSpaceDE/>
        <w:autoSpaceDN/>
        <w:jc w:val="both"/>
      </w:pPr>
      <w:r w:rsidRPr="007F69DA">
        <w:t>9,0% gemäß der sog. Bevölkerungsfortschreibung.</w:t>
      </w:r>
    </w:p>
    <w:p w14:paraId="104D7FA6" w14:textId="77777777" w:rsidR="00043AE9" w:rsidRPr="007F69DA" w:rsidRDefault="00043AE9" w:rsidP="00043AE9"/>
    <w:p w14:paraId="0826CA44" w14:textId="77777777" w:rsidR="00043AE9" w:rsidRPr="007F69DA" w:rsidRDefault="00043AE9" w:rsidP="00043AE9">
      <w:r w:rsidRPr="007F69DA">
        <w:t>Die Liste der Herkunftsländer der ausländischen Mitbürger wird von der Türkei, Polen und Italien angeführt (vgl. Abb. 6</w:t>
      </w:r>
      <w:r w:rsidRPr="007F69DA">
        <w:fldChar w:fldCharType="begin"/>
      </w:r>
      <w:r w:rsidRPr="007F69DA">
        <w:instrText xml:space="preserve"> REF _Ref395862900 \h  \* MERGEFORMAT </w:instrText>
      </w:r>
      <w:r w:rsidRPr="007F69DA">
        <w:fldChar w:fldCharType="end"/>
      </w:r>
      <w:r w:rsidRPr="007F69DA">
        <w:t>). Aus den unmittelbaren Nachbarländern stammen neben 176 Tsd. Österreichern und 139 Tsd. Niederländern 114 Tsd. Franzosen, 42 Tsd. Tschechen, 38 Tsd. Schweizer, 19 Tsd. Dänen und 13 Tsd. Luxemburger.</w:t>
      </w:r>
    </w:p>
    <w:p w14:paraId="532A46B4" w14:textId="77777777" w:rsidR="00043AE9" w:rsidRPr="007F69DA" w:rsidRDefault="00043AE9" w:rsidP="00043AE9">
      <w:pPr>
        <w:tabs>
          <w:tab w:val="left" w:pos="8364"/>
        </w:tabs>
      </w:pPr>
    </w:p>
    <w:p w14:paraId="17E7437B" w14:textId="22732CBD" w:rsidR="00043AE9" w:rsidRPr="0018289F" w:rsidRDefault="00043AE9" w:rsidP="00043AE9">
      <w:pPr>
        <w:pStyle w:val="Beschriftung"/>
      </w:pPr>
      <w:bookmarkStart w:id="103" w:name="_Ref413253527"/>
      <w:r w:rsidRPr="0018289F">
        <w:t>Abb.</w:t>
      </w:r>
      <w:bookmarkEnd w:id="103"/>
      <w:r w:rsidRPr="0018289F">
        <w:t xml:space="preserve"> 6: </w:t>
      </w:r>
      <w:r w:rsidR="00477EE1">
        <w:t>I</w:t>
      </w:r>
      <w:r w:rsidRPr="0018289F">
        <w:t>n Deutschland lebende Ausländer (</w:t>
      </w:r>
      <w:r w:rsidR="00477EE1" w:rsidRPr="0018289F">
        <w:t>Ende 2012</w:t>
      </w:r>
      <w:r w:rsidR="00477EE1">
        <w:t>,</w:t>
      </w:r>
      <w:r w:rsidR="00477EE1" w:rsidRPr="0018289F">
        <w:t xml:space="preserve"> </w:t>
      </w:r>
      <w:r w:rsidRPr="0018289F">
        <w:t>nach Herkunftsland, in Tsd.)</w:t>
      </w:r>
    </w:p>
    <w:p w14:paraId="1E14823A" w14:textId="77777777" w:rsidR="00043AE9" w:rsidRPr="007F69DA" w:rsidRDefault="00043AE9" w:rsidP="00043AE9">
      <w:pPr>
        <w:tabs>
          <w:tab w:val="left" w:pos="8364"/>
        </w:tabs>
        <w:rPr>
          <w:sz w:val="20"/>
        </w:rPr>
      </w:pPr>
      <w:r w:rsidRPr="007F69DA">
        <w:rPr>
          <w:noProof/>
          <w:lang w:eastAsia="de-DE"/>
        </w:rPr>
        <w:fldChar w:fldCharType="begin" w:fldLock="1"/>
      </w:r>
      <w:r w:rsidRPr="007F69DA">
        <w:rPr>
          <w:noProof/>
          <w:lang w:eastAsia="de-DE"/>
        </w:rPr>
        <w:instrText xml:space="preserve"> USERPROPERTY  \* MERGEFORMAT </w:instrText>
      </w:r>
      <w:r w:rsidRPr="007F69DA">
        <w:rPr>
          <w:noProof/>
          <w:lang w:eastAsia="de-DE"/>
        </w:rPr>
        <w:fldChar w:fldCharType="separate"/>
      </w:r>
      <w:r w:rsidRPr="007F69DA">
        <w:rPr>
          <w:noProof/>
          <w:lang w:eastAsia="de-DE"/>
        </w:rPr>
        <w:drawing>
          <wp:inline distT="0" distB="0" distL="0" distR="0" wp14:anchorId="3017DE9A" wp14:editId="1EC39369">
            <wp:extent cx="6078463" cy="3657600"/>
            <wp:effectExtent l="0" t="0" r="0" b="0"/>
            <wp:docPr id="487" name="Grafik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6085369" cy="3661756"/>
                    </a:xfrm>
                    <a:prstGeom prst="rect">
                      <a:avLst/>
                    </a:prstGeom>
                    <a:noFill/>
                  </pic:spPr>
                </pic:pic>
              </a:graphicData>
            </a:graphic>
          </wp:inline>
        </w:drawing>
      </w:r>
      <w:r w:rsidRPr="007F69DA">
        <w:rPr>
          <w:noProof/>
          <w:lang w:eastAsia="de-DE"/>
        </w:rPr>
        <w:fldChar w:fldCharType="end"/>
      </w:r>
      <w:r w:rsidRPr="007F69DA">
        <w:rPr>
          <w:sz w:val="16"/>
          <w:szCs w:val="16"/>
        </w:rPr>
        <w:t>Quelle: Statista</w:t>
      </w:r>
      <w:r w:rsidRPr="007F69DA">
        <w:rPr>
          <w:sz w:val="20"/>
        </w:rPr>
        <w:t>.</w:t>
      </w:r>
      <w:r w:rsidRPr="007F69DA">
        <w:t xml:space="preserve"> </w:t>
      </w:r>
    </w:p>
    <w:p w14:paraId="13D4BBEC" w14:textId="77777777" w:rsidR="00043AE9" w:rsidRPr="007F69DA" w:rsidRDefault="00043AE9" w:rsidP="00043AE9">
      <w:pPr>
        <w:ind w:right="1134"/>
        <w:rPr>
          <w:sz w:val="16"/>
          <w:szCs w:val="16"/>
        </w:rPr>
      </w:pPr>
    </w:p>
    <w:p w14:paraId="6339FFD5" w14:textId="77777777" w:rsidR="00043AE9" w:rsidRPr="007F69DA" w:rsidRDefault="00043AE9" w:rsidP="00043AE9">
      <w:r w:rsidRPr="007F69DA">
        <w:t>Bezieht man allerdings die Migranten, die sich in all den Jahren haben einbürgern lassen, in die Betrachtung ein, so erkennt man, dass derzeit etwa 15 Mio. „Menschen mit Migrationshintergrund“ in Deutschland leben. 3,3 Mio. haben ihre familiären Wurzeln in der ehemaligen Sowjetunion, 2,7 Mio. in der Türkei, 1,8 Mio. in Polen und 1,4 Mio. im ehemaligen Jugoslawien.</w:t>
      </w:r>
    </w:p>
    <w:p w14:paraId="431889F0" w14:textId="77777777" w:rsidR="00043AE9" w:rsidRPr="007F69DA" w:rsidRDefault="00043AE9" w:rsidP="00043AE9">
      <w:pPr>
        <w:ind w:right="1134"/>
      </w:pPr>
    </w:p>
    <w:p w14:paraId="1F7083D2" w14:textId="77777777" w:rsidR="00043AE9" w:rsidRPr="007F69DA" w:rsidRDefault="00043AE9" w:rsidP="00043AE9">
      <w:r w:rsidRPr="007F69DA">
        <w:t>Unternehmen, die kultursensible Leistungen (z.B. Lebensmittel) anbieten und auf das Marktpotenzial von Zielgruppen mit Migrationshintergrund nicht verzichten wollen, sollten Ethno-Marketing betreiben. Zahlreiche Argumente sprechen dafür, u.a. …</w:t>
      </w:r>
    </w:p>
    <w:p w14:paraId="3A7DDBA4" w14:textId="77777777" w:rsidR="00043AE9" w:rsidRPr="007F69DA" w:rsidRDefault="00043AE9">
      <w:pPr>
        <w:widowControl/>
        <w:numPr>
          <w:ilvl w:val="0"/>
          <w:numId w:val="79"/>
        </w:numPr>
        <w:autoSpaceDE/>
        <w:autoSpaceDN/>
        <w:jc w:val="both"/>
      </w:pPr>
      <w:r w:rsidRPr="007F69DA">
        <w:t>Erhebliches Nachfragepotential: Die Kaufkraft der 15 Mio. Bewohner Deutschlands „mit Migrationshintergrund“ wird auf etwa 130 Mrd. € geschätzt.</w:t>
      </w:r>
    </w:p>
    <w:p w14:paraId="095FFFF1" w14:textId="77777777" w:rsidR="00043AE9" w:rsidRPr="007F69DA" w:rsidRDefault="00043AE9">
      <w:pPr>
        <w:widowControl/>
        <w:numPr>
          <w:ilvl w:val="0"/>
          <w:numId w:val="79"/>
        </w:numPr>
        <w:autoSpaceDE/>
        <w:autoSpaceDN/>
        <w:jc w:val="both"/>
      </w:pPr>
      <w:r w:rsidRPr="007F69DA">
        <w:t xml:space="preserve">Ausgeprägte Konsumorientierung: Das „Ausländerpanel“ der Gesellschaft für Konsumforschung (GfK) attestiert den Mitbürgern mit Migrationshintergrund eine bemerkenswerte Aufgeschlossenheit für neue Produkte: 82% der Migranten und ihrer Nachkommen erproben gemäß Selbstauskunft gerne innovative Produkte (vs. 62% der Deutschen). Und 52% halten Werbung in Zeitungen und Zeitschriften für nützlich (vs. 33% der Deutschen). </w:t>
      </w:r>
    </w:p>
    <w:p w14:paraId="42EA8077" w14:textId="77777777" w:rsidR="00043AE9" w:rsidRPr="007F69DA" w:rsidRDefault="00043AE9">
      <w:pPr>
        <w:widowControl/>
        <w:numPr>
          <w:ilvl w:val="0"/>
          <w:numId w:val="79"/>
        </w:numPr>
        <w:autoSpaceDE/>
        <w:autoSpaceDN/>
        <w:jc w:val="both"/>
      </w:pPr>
      <w:r w:rsidRPr="007F69DA">
        <w:t>Demographischer Wandel: Da Familien mit Migrationshintergrund überdurchschnittlich viele Kinder haben, entstammen mittlerweile fast 40% der unter Vierzigjährigen diesem Teil der Bewohner Deutschlands (vgl. Seidel 2008). Dies spricht für eine wachsende Bedeutung der verschiedenen, ethnisch abgrenzbaren Zielgruppen.</w:t>
      </w:r>
    </w:p>
    <w:p w14:paraId="394F2CBF" w14:textId="77777777" w:rsidR="00043AE9" w:rsidRPr="007F69DA" w:rsidRDefault="00043AE9" w:rsidP="00043AE9">
      <w:pPr>
        <w:ind w:left="720"/>
      </w:pPr>
    </w:p>
    <w:p w14:paraId="2D747B39" w14:textId="77777777" w:rsidR="00043AE9" w:rsidRPr="007F69DA" w:rsidRDefault="00043AE9" w:rsidP="00043AE9">
      <w:pPr>
        <w:ind w:right="1134"/>
        <w:rPr>
          <w:sz w:val="16"/>
          <w:szCs w:val="16"/>
        </w:rPr>
      </w:pPr>
    </w:p>
    <w:p w14:paraId="68A7F965" w14:textId="77777777" w:rsidR="00043AE9" w:rsidRPr="007F69DA" w:rsidRDefault="00043AE9" w:rsidP="00043AE9">
      <w:pPr>
        <w:rPr>
          <w:szCs w:val="24"/>
          <w:lang w:bidi="en-US"/>
        </w:rPr>
      </w:pPr>
      <w:r w:rsidRPr="007F69DA">
        <w:rPr>
          <w:szCs w:val="24"/>
          <w:lang w:bidi="en-US"/>
        </w:rPr>
        <w:t xml:space="preserve">Zielgruppe: Türken &amp; türkischstämmige Deutsche </w:t>
      </w:r>
    </w:p>
    <w:p w14:paraId="0F1780AB" w14:textId="77777777" w:rsidR="00043AE9" w:rsidRPr="007F69DA" w:rsidRDefault="00043AE9" w:rsidP="00043AE9"/>
    <w:p w14:paraId="13AFE5F5" w14:textId="77777777" w:rsidR="00043AE9" w:rsidRPr="007F69DA" w:rsidRDefault="00043AE9" w:rsidP="00043AE9">
      <w:r w:rsidRPr="007F69DA">
        <w:t xml:space="preserve">1988 berücksichtigte die Einkommens- und Verbrauchsstichprobe erstmals die in Deutschland lebenden Ausländer. Seitdem ist amtlich, was man vorher nur vermuten konnte: Unter anderem, dass in 43% der türkischstämmigen Haushalte fünf und mehr Personen leben, während lediglich 7% aller deutschen Haushalte derartige Großfamilien bilden. Für Hersteller von Konsumgütern bedeutet dies, dass es lohnenswert sein kann, zusätzlich zu dem bisherigen Angebot größere, in türkischer Sprache bedruckte Verpackungseinheiten anzubieten (bspw. als Zweitmarke). </w:t>
      </w:r>
    </w:p>
    <w:p w14:paraId="5E15A691" w14:textId="77777777" w:rsidR="00043AE9" w:rsidRPr="007F69DA" w:rsidRDefault="00043AE9" w:rsidP="00043AE9"/>
    <w:p w14:paraId="7FA3FC36" w14:textId="77777777" w:rsidR="00043AE9" w:rsidRPr="007F69DA" w:rsidRDefault="00043AE9" w:rsidP="00043AE9">
      <w:r w:rsidRPr="007F69DA">
        <w:t xml:space="preserve">Zu den klassischen Forschungsthemen der Konsumentenverhaltensforschung zählen seit den 1970er-Jahren die Besonderheiten von Kaufentscheidungen im Familienverbund (vgl. Spiro 1983; Davis 1976). Wie Schneider et al. (2010) am Beispiel von 75 deutschen und 75 türkischen Ehepaaren sowie 75 türkischstämmigen, in Deutschland lebenden Ehepaaren ermittelten, verlaufen die Kaufentscheidungen bei Migrantenfamilien anders als bei Familien, die aus dem Gastland (Deutschland) bzw. dem Herkunftsland (Türkei) stammen. Als entscheidende Moderatorvariable hat sich dabei der Grad der Akkulturation erwiesen: Während stark akkulturierte Migrantenfamilien dazu tendieren, die vergleichsweise egalitären Rollenvorstellungen ihres Gastlandes zu übernehmen, folgen nicht-akkulturierte Migrantenfamilien einem Rollenbild, das gemäß der Marriage-Role-Attitude-Scale noch patriarchalischer ist als das Rollenbild, das in der türkischen Vergleichsgruppe vorherrscht. Aufgrund ihrer besonderen Lebenssituation verschließen sich nicht-akkulturierte Migrantenfamilien offensichtlich sowohl dem Wertewandel in ihrem Gastland als auch dem in ihrem Herkunftsland. </w:t>
      </w:r>
    </w:p>
    <w:p w14:paraId="510FA744" w14:textId="77777777" w:rsidR="00043AE9" w:rsidRPr="007F69DA" w:rsidRDefault="00043AE9" w:rsidP="00043AE9"/>
    <w:p w14:paraId="6090BB16" w14:textId="77777777" w:rsidR="00043AE9" w:rsidRPr="007F69DA" w:rsidRDefault="00043AE9" w:rsidP="00043AE9">
      <w:r w:rsidRPr="007F69DA">
        <w:t>Weiterhin ist bekannt, dass die türkischstämmigen Bewohner Deutschlands – wie die anderen Ethnien auch – überdurchschnittlich jung sind (vgl. Abb. 7). Sie gelten als ausgesprochen konsumfreudig und kaufen eher markenbewusst als preisbewusst ein. Angesichts einer Kaufkraft von mehr als 20 Mrd. € bedeutet dies aus Marketingsicht, dass die zweite und dritte Generation der türkischstämmigen Deutschen eine überaus interessante Zielgruppe ist, die „längst nicht mehr für das Häuschen in der Türkei spart, sondern für das erste eigene Auto oder für Wohneigentum in Deutschland“ (Sommer 2011).</w:t>
      </w:r>
    </w:p>
    <w:p w14:paraId="2B661D99" w14:textId="77777777" w:rsidR="00043AE9" w:rsidRPr="007F69DA" w:rsidRDefault="00043AE9" w:rsidP="00043AE9"/>
    <w:p w14:paraId="078A51EC" w14:textId="77777777" w:rsidR="00043AE9" w:rsidRPr="0018289F" w:rsidRDefault="00043AE9" w:rsidP="00043AE9">
      <w:pPr>
        <w:pStyle w:val="Beschriftung"/>
      </w:pPr>
      <w:bookmarkStart w:id="104" w:name="_Ref413253556"/>
      <w:r w:rsidRPr="0018289F">
        <w:t>Abb.</w:t>
      </w:r>
      <w:bookmarkEnd w:id="104"/>
      <w:r w:rsidRPr="0018289F">
        <w:t xml:space="preserve"> 7: Altersstruktur der Bewohner Deutschlands</w:t>
      </w:r>
    </w:p>
    <w:p w14:paraId="60758E51" w14:textId="77777777" w:rsidR="00043AE9" w:rsidRPr="007F69DA" w:rsidRDefault="00043AE9" w:rsidP="00043AE9">
      <w:pPr>
        <w:rPr>
          <w:lang w:eastAsia="de-DE"/>
        </w:rPr>
      </w:pPr>
      <w:r w:rsidRPr="007F69DA">
        <w:rPr>
          <w:noProof/>
          <w:lang w:eastAsia="de-DE"/>
        </w:rPr>
        <w:drawing>
          <wp:inline distT="0" distB="0" distL="0" distR="0" wp14:anchorId="4FFAF856" wp14:editId="6A15E93C">
            <wp:extent cx="5684499" cy="3362325"/>
            <wp:effectExtent l="0" t="0" r="0" b="0"/>
            <wp:docPr id="488" name="Grafik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695243" cy="3368680"/>
                    </a:xfrm>
                    <a:prstGeom prst="rect">
                      <a:avLst/>
                    </a:prstGeom>
                    <a:noFill/>
                  </pic:spPr>
                </pic:pic>
              </a:graphicData>
            </a:graphic>
          </wp:inline>
        </w:drawing>
      </w:r>
    </w:p>
    <w:p w14:paraId="18E1B37D" w14:textId="77777777" w:rsidR="00043AE9" w:rsidRPr="007F69DA" w:rsidRDefault="00043AE9" w:rsidP="00043AE9"/>
    <w:p w14:paraId="25AF71C4" w14:textId="77777777" w:rsidR="00043AE9" w:rsidRPr="007F69DA" w:rsidRDefault="00043AE9" w:rsidP="00043AE9">
      <w:r w:rsidRPr="007F69DA">
        <w:t>Hinzu kommt eine überdurchschnittliche Aufgeschlossenheit (TV-)Werbung. In den Wohnungen der türkischstämmigen Bewohner Deutschlands laufen – wie in vielen Migrantenhaushalten – die Fernsehgeräte fast „rund um die Uhr“, und (Werbe-)Spots werden nicht als störend empfunden und „weg-gezappt“. Auch auf Werbebriefe reagieren Türkischstämmig wesentlich aufgeschlossener als die deutsche Vergleichsgruppe. Wie Studien des Market Research Service Center (MRSC) und der Gesellschaft für Innovative Marktforschung (GIM) im Auftrag der Deutschen Post ergeben haben, ist die unter Deutschen weit verbreitete Werbeskepsis auch den anderen Zielgruppen des Ethno-Marketing weitgehend fremd (vgl. Tab. 2).</w:t>
      </w:r>
    </w:p>
    <w:p w14:paraId="56AC3E40" w14:textId="77777777" w:rsidR="00043AE9" w:rsidRPr="007F69DA" w:rsidRDefault="00043AE9" w:rsidP="00043AE9"/>
    <w:p w14:paraId="28DCF31F" w14:textId="77777777" w:rsidR="00043AE9" w:rsidRPr="0018289F" w:rsidRDefault="00043AE9" w:rsidP="00043AE9">
      <w:pPr>
        <w:pStyle w:val="Beschriftung"/>
      </w:pPr>
      <w:bookmarkStart w:id="105" w:name="_Ref413253611"/>
      <w:r w:rsidRPr="0018289F">
        <w:t>Tab.</w:t>
      </w:r>
      <w:bookmarkEnd w:id="105"/>
      <w:r w:rsidRPr="0018289F">
        <w:t xml:space="preserve"> 2: Eignung von Werbebriefen als Instrument des Ethno-Marketing</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0"/>
        <w:gridCol w:w="1701"/>
        <w:gridCol w:w="1701"/>
        <w:gridCol w:w="1701"/>
        <w:gridCol w:w="1701"/>
      </w:tblGrid>
      <w:tr w:rsidR="00043AE9" w:rsidRPr="007F69DA" w14:paraId="76744DB5" w14:textId="77777777" w:rsidTr="00F46ACB">
        <w:tc>
          <w:tcPr>
            <w:tcW w:w="1700" w:type="dxa"/>
            <w:tcBorders>
              <w:bottom w:val="single" w:sz="4" w:space="0" w:color="000000"/>
            </w:tcBorders>
            <w:shd w:val="clear" w:color="auto" w:fill="FFC000" w:themeFill="accent4"/>
          </w:tcPr>
          <w:p w14:paraId="3F67A5E2" w14:textId="77777777" w:rsidR="00043AE9" w:rsidRPr="007F69DA" w:rsidRDefault="00043AE9" w:rsidP="00F46ACB"/>
        </w:tc>
        <w:tc>
          <w:tcPr>
            <w:tcW w:w="1701" w:type="dxa"/>
            <w:tcBorders>
              <w:bottom w:val="single" w:sz="4" w:space="0" w:color="000000"/>
            </w:tcBorders>
            <w:shd w:val="clear" w:color="auto" w:fill="FFC000" w:themeFill="accent4"/>
          </w:tcPr>
          <w:p w14:paraId="06539CBB" w14:textId="77777777" w:rsidR="00043AE9" w:rsidRPr="007F69DA" w:rsidRDefault="00043AE9" w:rsidP="00F46ACB">
            <w:pPr>
              <w:jc w:val="center"/>
              <w:rPr>
                <w:b/>
              </w:rPr>
            </w:pPr>
            <w:r w:rsidRPr="007F69DA">
              <w:rPr>
                <w:b/>
              </w:rPr>
              <w:t>Werbebrief</w:t>
            </w:r>
          </w:p>
          <w:p w14:paraId="50B06C4D" w14:textId="77777777" w:rsidR="00043AE9" w:rsidRPr="007F69DA" w:rsidRDefault="00043AE9" w:rsidP="00F46ACB">
            <w:pPr>
              <w:jc w:val="center"/>
              <w:rPr>
                <w:b/>
              </w:rPr>
            </w:pPr>
            <w:r w:rsidRPr="007F69DA">
              <w:rPr>
                <w:b/>
              </w:rPr>
              <w:t>erhalten</w:t>
            </w:r>
          </w:p>
        </w:tc>
        <w:tc>
          <w:tcPr>
            <w:tcW w:w="1701" w:type="dxa"/>
            <w:tcBorders>
              <w:bottom w:val="single" w:sz="4" w:space="0" w:color="000000"/>
            </w:tcBorders>
            <w:shd w:val="clear" w:color="auto" w:fill="FFC000" w:themeFill="accent4"/>
          </w:tcPr>
          <w:p w14:paraId="1B37B2EC" w14:textId="77777777" w:rsidR="00043AE9" w:rsidRPr="007F69DA" w:rsidRDefault="00043AE9" w:rsidP="00F46ACB">
            <w:pPr>
              <w:jc w:val="center"/>
              <w:rPr>
                <w:b/>
              </w:rPr>
            </w:pPr>
            <w:r w:rsidRPr="007F69DA">
              <w:rPr>
                <w:b/>
              </w:rPr>
              <w:t>Werbebrief</w:t>
            </w:r>
          </w:p>
          <w:p w14:paraId="42D7BF42" w14:textId="77777777" w:rsidR="00043AE9" w:rsidRPr="007F69DA" w:rsidRDefault="00043AE9" w:rsidP="00F46ACB">
            <w:pPr>
              <w:jc w:val="center"/>
              <w:rPr>
                <w:b/>
              </w:rPr>
            </w:pPr>
            <w:r w:rsidRPr="007F69DA">
              <w:rPr>
                <w:b/>
              </w:rPr>
              <w:t>gelesen</w:t>
            </w:r>
          </w:p>
        </w:tc>
        <w:tc>
          <w:tcPr>
            <w:tcW w:w="1701" w:type="dxa"/>
            <w:tcBorders>
              <w:bottom w:val="single" w:sz="4" w:space="0" w:color="000000"/>
            </w:tcBorders>
            <w:shd w:val="clear" w:color="auto" w:fill="FFC000" w:themeFill="accent4"/>
          </w:tcPr>
          <w:p w14:paraId="69D1114E" w14:textId="77777777" w:rsidR="00043AE9" w:rsidRPr="007F69DA" w:rsidRDefault="00043AE9" w:rsidP="00F46ACB">
            <w:pPr>
              <w:jc w:val="center"/>
              <w:rPr>
                <w:b/>
              </w:rPr>
            </w:pPr>
            <w:r w:rsidRPr="007F69DA">
              <w:rPr>
                <w:b/>
              </w:rPr>
              <w:t xml:space="preserve">Auf </w:t>
            </w:r>
          </w:p>
          <w:p w14:paraId="1491BE5F" w14:textId="77777777" w:rsidR="00043AE9" w:rsidRPr="007F69DA" w:rsidRDefault="00043AE9" w:rsidP="00F46ACB">
            <w:pPr>
              <w:jc w:val="center"/>
              <w:rPr>
                <w:b/>
              </w:rPr>
            </w:pPr>
            <w:r w:rsidRPr="007F69DA">
              <w:rPr>
                <w:b/>
              </w:rPr>
              <w:t>Werbebrief reagiert</w:t>
            </w:r>
          </w:p>
        </w:tc>
        <w:tc>
          <w:tcPr>
            <w:tcW w:w="1701" w:type="dxa"/>
            <w:tcBorders>
              <w:bottom w:val="single" w:sz="4" w:space="0" w:color="000000"/>
            </w:tcBorders>
            <w:shd w:val="clear" w:color="auto" w:fill="FFC000" w:themeFill="accent4"/>
          </w:tcPr>
          <w:p w14:paraId="3640FE9B" w14:textId="77777777" w:rsidR="00043AE9" w:rsidRPr="007F69DA" w:rsidRDefault="00043AE9" w:rsidP="00F46ACB">
            <w:pPr>
              <w:jc w:val="center"/>
              <w:rPr>
                <w:b/>
              </w:rPr>
            </w:pPr>
            <w:r w:rsidRPr="007F69DA">
              <w:rPr>
                <w:b/>
              </w:rPr>
              <w:t>Kauf bzw. Besuch am POS</w:t>
            </w:r>
          </w:p>
        </w:tc>
      </w:tr>
      <w:tr w:rsidR="00043AE9" w:rsidRPr="007F69DA" w14:paraId="6469952D" w14:textId="77777777" w:rsidTr="00F46ACB">
        <w:trPr>
          <w:trHeight w:val="397"/>
        </w:trPr>
        <w:tc>
          <w:tcPr>
            <w:tcW w:w="1700" w:type="dxa"/>
            <w:tcBorders>
              <w:bottom w:val="nil"/>
            </w:tcBorders>
            <w:shd w:val="clear" w:color="auto" w:fill="FFF2CC" w:themeFill="accent4" w:themeFillTint="33"/>
          </w:tcPr>
          <w:p w14:paraId="66D60AF1" w14:textId="77777777" w:rsidR="00043AE9" w:rsidRPr="007F69DA" w:rsidRDefault="00043AE9" w:rsidP="00F46ACB">
            <w:pPr>
              <w:rPr>
                <w:sz w:val="20"/>
                <w:szCs w:val="20"/>
              </w:rPr>
            </w:pPr>
            <w:r w:rsidRPr="007F69DA">
              <w:rPr>
                <w:sz w:val="20"/>
                <w:szCs w:val="20"/>
              </w:rPr>
              <w:t>Deutsche</w:t>
            </w:r>
          </w:p>
          <w:p w14:paraId="3C6EB8DC" w14:textId="77777777" w:rsidR="00043AE9" w:rsidRPr="007F69DA" w:rsidRDefault="00043AE9" w:rsidP="00F46ACB">
            <w:pPr>
              <w:rPr>
                <w:sz w:val="20"/>
                <w:szCs w:val="20"/>
              </w:rPr>
            </w:pPr>
            <w:r w:rsidRPr="007F69DA">
              <w:rPr>
                <w:sz w:val="20"/>
                <w:szCs w:val="20"/>
              </w:rPr>
              <w:t>(2004, n = 502)</w:t>
            </w:r>
          </w:p>
        </w:tc>
        <w:tc>
          <w:tcPr>
            <w:tcW w:w="1701" w:type="dxa"/>
            <w:tcBorders>
              <w:bottom w:val="nil"/>
            </w:tcBorders>
          </w:tcPr>
          <w:p w14:paraId="7EB6ACAE" w14:textId="77777777" w:rsidR="00043AE9" w:rsidRPr="007F69DA" w:rsidRDefault="00043AE9" w:rsidP="00F46ACB">
            <w:pPr>
              <w:spacing w:line="360" w:lineRule="exact"/>
              <w:jc w:val="center"/>
              <w:rPr>
                <w:sz w:val="20"/>
                <w:szCs w:val="20"/>
              </w:rPr>
            </w:pPr>
            <w:r w:rsidRPr="007F69DA">
              <w:rPr>
                <w:sz w:val="20"/>
                <w:szCs w:val="20"/>
              </w:rPr>
              <w:t>92</w:t>
            </w:r>
          </w:p>
        </w:tc>
        <w:tc>
          <w:tcPr>
            <w:tcW w:w="1701" w:type="dxa"/>
            <w:tcBorders>
              <w:bottom w:val="nil"/>
            </w:tcBorders>
          </w:tcPr>
          <w:p w14:paraId="410B8A78" w14:textId="77777777" w:rsidR="00043AE9" w:rsidRPr="007F69DA" w:rsidRDefault="00043AE9" w:rsidP="00F46ACB">
            <w:pPr>
              <w:spacing w:line="360" w:lineRule="exact"/>
              <w:jc w:val="center"/>
              <w:rPr>
                <w:sz w:val="20"/>
                <w:szCs w:val="20"/>
              </w:rPr>
            </w:pPr>
            <w:r w:rsidRPr="007F69DA">
              <w:rPr>
                <w:sz w:val="20"/>
                <w:szCs w:val="20"/>
              </w:rPr>
              <w:t>24</w:t>
            </w:r>
          </w:p>
        </w:tc>
        <w:tc>
          <w:tcPr>
            <w:tcW w:w="1701" w:type="dxa"/>
            <w:tcBorders>
              <w:bottom w:val="nil"/>
            </w:tcBorders>
          </w:tcPr>
          <w:p w14:paraId="72CBEFCA" w14:textId="77777777" w:rsidR="00043AE9" w:rsidRPr="007F69DA" w:rsidRDefault="00043AE9" w:rsidP="00F46ACB">
            <w:pPr>
              <w:spacing w:line="360" w:lineRule="exact"/>
              <w:jc w:val="center"/>
              <w:rPr>
                <w:sz w:val="20"/>
                <w:szCs w:val="20"/>
              </w:rPr>
            </w:pPr>
            <w:r w:rsidRPr="007F69DA">
              <w:rPr>
                <w:sz w:val="20"/>
                <w:szCs w:val="20"/>
              </w:rPr>
              <w:t>8</w:t>
            </w:r>
          </w:p>
        </w:tc>
        <w:tc>
          <w:tcPr>
            <w:tcW w:w="1701" w:type="dxa"/>
            <w:tcBorders>
              <w:bottom w:val="nil"/>
            </w:tcBorders>
          </w:tcPr>
          <w:p w14:paraId="14BAFC31" w14:textId="77777777" w:rsidR="00043AE9" w:rsidRPr="007F69DA" w:rsidRDefault="00043AE9" w:rsidP="00F46ACB">
            <w:pPr>
              <w:spacing w:line="360" w:lineRule="exact"/>
              <w:jc w:val="center"/>
              <w:rPr>
                <w:sz w:val="20"/>
                <w:szCs w:val="20"/>
              </w:rPr>
            </w:pPr>
            <w:r w:rsidRPr="007F69DA">
              <w:rPr>
                <w:sz w:val="20"/>
                <w:szCs w:val="20"/>
              </w:rPr>
              <w:t>4</w:t>
            </w:r>
          </w:p>
        </w:tc>
      </w:tr>
      <w:tr w:rsidR="00043AE9" w:rsidRPr="007F69DA" w14:paraId="6757FF46" w14:textId="77777777" w:rsidTr="00F46ACB">
        <w:trPr>
          <w:trHeight w:val="397"/>
        </w:trPr>
        <w:tc>
          <w:tcPr>
            <w:tcW w:w="1700" w:type="dxa"/>
            <w:tcBorders>
              <w:top w:val="nil"/>
              <w:bottom w:val="nil"/>
            </w:tcBorders>
            <w:shd w:val="clear" w:color="auto" w:fill="FFF2CC" w:themeFill="accent4" w:themeFillTint="33"/>
          </w:tcPr>
          <w:p w14:paraId="418CD416" w14:textId="77777777" w:rsidR="00043AE9" w:rsidRPr="007F69DA" w:rsidRDefault="00043AE9" w:rsidP="00F46ACB">
            <w:pPr>
              <w:rPr>
                <w:sz w:val="20"/>
                <w:szCs w:val="20"/>
              </w:rPr>
            </w:pPr>
            <w:r w:rsidRPr="007F69DA">
              <w:rPr>
                <w:sz w:val="20"/>
                <w:szCs w:val="20"/>
              </w:rPr>
              <w:t>Spanier</w:t>
            </w:r>
          </w:p>
          <w:p w14:paraId="52B129AE" w14:textId="77777777" w:rsidR="00043AE9" w:rsidRPr="007F69DA" w:rsidRDefault="00043AE9" w:rsidP="00F46ACB">
            <w:pPr>
              <w:rPr>
                <w:sz w:val="20"/>
                <w:szCs w:val="20"/>
              </w:rPr>
            </w:pPr>
            <w:r w:rsidRPr="007F69DA">
              <w:rPr>
                <w:sz w:val="20"/>
                <w:szCs w:val="20"/>
              </w:rPr>
              <w:t>(2009, n = 501)</w:t>
            </w:r>
          </w:p>
        </w:tc>
        <w:tc>
          <w:tcPr>
            <w:tcW w:w="1701" w:type="dxa"/>
            <w:tcBorders>
              <w:top w:val="nil"/>
              <w:bottom w:val="nil"/>
            </w:tcBorders>
          </w:tcPr>
          <w:p w14:paraId="7198E24F" w14:textId="77777777" w:rsidR="00043AE9" w:rsidRPr="007F69DA" w:rsidRDefault="00043AE9" w:rsidP="00F46ACB">
            <w:pPr>
              <w:spacing w:line="360" w:lineRule="exact"/>
              <w:jc w:val="center"/>
              <w:rPr>
                <w:sz w:val="20"/>
                <w:szCs w:val="20"/>
              </w:rPr>
            </w:pPr>
            <w:r w:rsidRPr="007F69DA">
              <w:rPr>
                <w:sz w:val="20"/>
                <w:szCs w:val="20"/>
              </w:rPr>
              <w:t>95</w:t>
            </w:r>
          </w:p>
        </w:tc>
        <w:tc>
          <w:tcPr>
            <w:tcW w:w="1701" w:type="dxa"/>
            <w:tcBorders>
              <w:top w:val="nil"/>
              <w:bottom w:val="nil"/>
            </w:tcBorders>
          </w:tcPr>
          <w:p w14:paraId="112ED255" w14:textId="77777777" w:rsidR="00043AE9" w:rsidRPr="007F69DA" w:rsidRDefault="00043AE9" w:rsidP="00F46ACB">
            <w:pPr>
              <w:spacing w:line="360" w:lineRule="exact"/>
              <w:jc w:val="center"/>
              <w:rPr>
                <w:sz w:val="20"/>
                <w:szCs w:val="20"/>
              </w:rPr>
            </w:pPr>
            <w:r w:rsidRPr="007F69DA">
              <w:rPr>
                <w:sz w:val="20"/>
                <w:szCs w:val="20"/>
              </w:rPr>
              <w:t>23</w:t>
            </w:r>
          </w:p>
        </w:tc>
        <w:tc>
          <w:tcPr>
            <w:tcW w:w="1701" w:type="dxa"/>
            <w:tcBorders>
              <w:top w:val="nil"/>
              <w:bottom w:val="nil"/>
            </w:tcBorders>
          </w:tcPr>
          <w:p w14:paraId="4C47D46E" w14:textId="77777777" w:rsidR="00043AE9" w:rsidRPr="007F69DA" w:rsidRDefault="00043AE9" w:rsidP="00F46ACB">
            <w:pPr>
              <w:spacing w:line="360" w:lineRule="exact"/>
              <w:jc w:val="center"/>
              <w:rPr>
                <w:sz w:val="20"/>
                <w:szCs w:val="20"/>
              </w:rPr>
            </w:pPr>
            <w:r w:rsidRPr="007F69DA">
              <w:rPr>
                <w:sz w:val="20"/>
                <w:szCs w:val="20"/>
              </w:rPr>
              <w:t>9</w:t>
            </w:r>
          </w:p>
        </w:tc>
        <w:tc>
          <w:tcPr>
            <w:tcW w:w="1701" w:type="dxa"/>
            <w:tcBorders>
              <w:top w:val="nil"/>
              <w:bottom w:val="nil"/>
            </w:tcBorders>
          </w:tcPr>
          <w:p w14:paraId="7AAD59B9" w14:textId="77777777" w:rsidR="00043AE9" w:rsidRPr="007F69DA" w:rsidRDefault="00043AE9" w:rsidP="00F46ACB">
            <w:pPr>
              <w:spacing w:line="360" w:lineRule="exact"/>
              <w:jc w:val="center"/>
              <w:rPr>
                <w:sz w:val="20"/>
                <w:szCs w:val="20"/>
              </w:rPr>
            </w:pPr>
            <w:r w:rsidRPr="007F69DA">
              <w:rPr>
                <w:sz w:val="20"/>
                <w:szCs w:val="20"/>
              </w:rPr>
              <w:t>7</w:t>
            </w:r>
          </w:p>
        </w:tc>
      </w:tr>
      <w:tr w:rsidR="00043AE9" w:rsidRPr="007F69DA" w14:paraId="46D210B5" w14:textId="77777777" w:rsidTr="00F46ACB">
        <w:trPr>
          <w:trHeight w:val="397"/>
        </w:trPr>
        <w:tc>
          <w:tcPr>
            <w:tcW w:w="1700" w:type="dxa"/>
            <w:tcBorders>
              <w:top w:val="nil"/>
              <w:bottom w:val="nil"/>
            </w:tcBorders>
            <w:shd w:val="clear" w:color="auto" w:fill="FFF2CC" w:themeFill="accent4" w:themeFillTint="33"/>
          </w:tcPr>
          <w:p w14:paraId="35E8FE04" w14:textId="77777777" w:rsidR="00043AE9" w:rsidRPr="007F69DA" w:rsidRDefault="00043AE9" w:rsidP="00F46ACB">
            <w:pPr>
              <w:rPr>
                <w:sz w:val="20"/>
                <w:szCs w:val="20"/>
              </w:rPr>
            </w:pPr>
            <w:r w:rsidRPr="007F69DA">
              <w:rPr>
                <w:sz w:val="20"/>
                <w:szCs w:val="20"/>
              </w:rPr>
              <w:t>Griechen</w:t>
            </w:r>
          </w:p>
          <w:p w14:paraId="4665B446" w14:textId="77777777" w:rsidR="00043AE9" w:rsidRPr="007F69DA" w:rsidRDefault="00043AE9" w:rsidP="00F46ACB">
            <w:pPr>
              <w:rPr>
                <w:sz w:val="20"/>
                <w:szCs w:val="20"/>
              </w:rPr>
            </w:pPr>
            <w:r w:rsidRPr="007F69DA">
              <w:rPr>
                <w:sz w:val="20"/>
                <w:szCs w:val="20"/>
              </w:rPr>
              <w:t>(2007, n = 507)</w:t>
            </w:r>
          </w:p>
        </w:tc>
        <w:tc>
          <w:tcPr>
            <w:tcW w:w="1701" w:type="dxa"/>
            <w:tcBorders>
              <w:top w:val="nil"/>
              <w:bottom w:val="nil"/>
            </w:tcBorders>
          </w:tcPr>
          <w:p w14:paraId="46C1AC95" w14:textId="77777777" w:rsidR="00043AE9" w:rsidRPr="007F69DA" w:rsidRDefault="00043AE9" w:rsidP="00F46ACB">
            <w:pPr>
              <w:spacing w:line="360" w:lineRule="exact"/>
              <w:jc w:val="center"/>
              <w:rPr>
                <w:sz w:val="20"/>
                <w:szCs w:val="20"/>
              </w:rPr>
            </w:pPr>
            <w:r w:rsidRPr="007F69DA">
              <w:rPr>
                <w:sz w:val="20"/>
                <w:szCs w:val="20"/>
              </w:rPr>
              <w:t>94</w:t>
            </w:r>
          </w:p>
        </w:tc>
        <w:tc>
          <w:tcPr>
            <w:tcW w:w="1701" w:type="dxa"/>
            <w:tcBorders>
              <w:top w:val="nil"/>
              <w:bottom w:val="nil"/>
            </w:tcBorders>
          </w:tcPr>
          <w:p w14:paraId="0F06B117" w14:textId="77777777" w:rsidR="00043AE9" w:rsidRPr="007F69DA" w:rsidRDefault="00043AE9" w:rsidP="00F46ACB">
            <w:pPr>
              <w:spacing w:line="360" w:lineRule="exact"/>
              <w:jc w:val="center"/>
              <w:rPr>
                <w:sz w:val="20"/>
                <w:szCs w:val="20"/>
              </w:rPr>
            </w:pPr>
            <w:r w:rsidRPr="007F69DA">
              <w:rPr>
                <w:sz w:val="20"/>
                <w:szCs w:val="20"/>
              </w:rPr>
              <w:t>27</w:t>
            </w:r>
          </w:p>
        </w:tc>
        <w:tc>
          <w:tcPr>
            <w:tcW w:w="1701" w:type="dxa"/>
            <w:tcBorders>
              <w:top w:val="nil"/>
              <w:bottom w:val="nil"/>
            </w:tcBorders>
          </w:tcPr>
          <w:p w14:paraId="0EC4747C" w14:textId="77777777" w:rsidR="00043AE9" w:rsidRPr="007F69DA" w:rsidRDefault="00043AE9" w:rsidP="00F46ACB">
            <w:pPr>
              <w:spacing w:line="360" w:lineRule="exact"/>
              <w:jc w:val="center"/>
              <w:rPr>
                <w:sz w:val="20"/>
                <w:szCs w:val="20"/>
              </w:rPr>
            </w:pPr>
            <w:r w:rsidRPr="007F69DA">
              <w:rPr>
                <w:sz w:val="20"/>
                <w:szCs w:val="20"/>
              </w:rPr>
              <w:t>12</w:t>
            </w:r>
          </w:p>
        </w:tc>
        <w:tc>
          <w:tcPr>
            <w:tcW w:w="1701" w:type="dxa"/>
            <w:tcBorders>
              <w:top w:val="nil"/>
              <w:bottom w:val="nil"/>
            </w:tcBorders>
          </w:tcPr>
          <w:p w14:paraId="21B56435" w14:textId="77777777" w:rsidR="00043AE9" w:rsidRPr="007F69DA" w:rsidRDefault="00043AE9" w:rsidP="00F46ACB">
            <w:pPr>
              <w:spacing w:line="360" w:lineRule="exact"/>
              <w:jc w:val="center"/>
              <w:rPr>
                <w:sz w:val="20"/>
                <w:szCs w:val="20"/>
              </w:rPr>
            </w:pPr>
            <w:r w:rsidRPr="007F69DA">
              <w:rPr>
                <w:sz w:val="20"/>
                <w:szCs w:val="20"/>
              </w:rPr>
              <w:t>10</w:t>
            </w:r>
          </w:p>
        </w:tc>
      </w:tr>
      <w:tr w:rsidR="00043AE9" w:rsidRPr="007F69DA" w14:paraId="19037124" w14:textId="77777777" w:rsidTr="00F46ACB">
        <w:trPr>
          <w:trHeight w:val="397"/>
        </w:trPr>
        <w:tc>
          <w:tcPr>
            <w:tcW w:w="1700" w:type="dxa"/>
            <w:tcBorders>
              <w:top w:val="nil"/>
              <w:bottom w:val="nil"/>
            </w:tcBorders>
            <w:shd w:val="clear" w:color="auto" w:fill="FFF2CC" w:themeFill="accent4" w:themeFillTint="33"/>
          </w:tcPr>
          <w:p w14:paraId="03D7C63A" w14:textId="77777777" w:rsidR="00043AE9" w:rsidRPr="007F69DA" w:rsidRDefault="00043AE9" w:rsidP="00F46ACB">
            <w:pPr>
              <w:rPr>
                <w:sz w:val="20"/>
                <w:szCs w:val="20"/>
              </w:rPr>
            </w:pPr>
            <w:r w:rsidRPr="007F69DA">
              <w:rPr>
                <w:sz w:val="20"/>
                <w:szCs w:val="20"/>
              </w:rPr>
              <w:t>Russlandstämmige</w:t>
            </w:r>
          </w:p>
          <w:p w14:paraId="07DC43B7" w14:textId="77777777" w:rsidR="00043AE9" w:rsidRPr="007F69DA" w:rsidRDefault="00043AE9" w:rsidP="00F46ACB">
            <w:pPr>
              <w:rPr>
                <w:sz w:val="20"/>
                <w:szCs w:val="20"/>
              </w:rPr>
            </w:pPr>
            <w:r w:rsidRPr="007F69DA">
              <w:rPr>
                <w:sz w:val="20"/>
                <w:szCs w:val="20"/>
              </w:rPr>
              <w:t>(2006, n = 500)</w:t>
            </w:r>
          </w:p>
        </w:tc>
        <w:tc>
          <w:tcPr>
            <w:tcW w:w="1701" w:type="dxa"/>
            <w:tcBorders>
              <w:top w:val="nil"/>
              <w:bottom w:val="nil"/>
            </w:tcBorders>
          </w:tcPr>
          <w:p w14:paraId="281E7024" w14:textId="77777777" w:rsidR="00043AE9" w:rsidRPr="007F69DA" w:rsidRDefault="00043AE9" w:rsidP="00F46ACB">
            <w:pPr>
              <w:spacing w:line="360" w:lineRule="exact"/>
              <w:jc w:val="center"/>
              <w:rPr>
                <w:sz w:val="20"/>
                <w:szCs w:val="20"/>
              </w:rPr>
            </w:pPr>
            <w:r w:rsidRPr="007F69DA">
              <w:rPr>
                <w:sz w:val="20"/>
                <w:szCs w:val="20"/>
              </w:rPr>
              <w:t>92</w:t>
            </w:r>
          </w:p>
        </w:tc>
        <w:tc>
          <w:tcPr>
            <w:tcW w:w="1701" w:type="dxa"/>
            <w:tcBorders>
              <w:top w:val="nil"/>
              <w:bottom w:val="nil"/>
            </w:tcBorders>
          </w:tcPr>
          <w:p w14:paraId="32C0D272" w14:textId="77777777" w:rsidR="00043AE9" w:rsidRPr="007F69DA" w:rsidRDefault="00043AE9" w:rsidP="00F46ACB">
            <w:pPr>
              <w:spacing w:line="360" w:lineRule="exact"/>
              <w:jc w:val="center"/>
              <w:rPr>
                <w:sz w:val="20"/>
                <w:szCs w:val="20"/>
              </w:rPr>
            </w:pPr>
            <w:r w:rsidRPr="007F69DA">
              <w:rPr>
                <w:sz w:val="20"/>
                <w:szCs w:val="20"/>
              </w:rPr>
              <w:t>35</w:t>
            </w:r>
          </w:p>
        </w:tc>
        <w:tc>
          <w:tcPr>
            <w:tcW w:w="1701" w:type="dxa"/>
            <w:tcBorders>
              <w:top w:val="nil"/>
              <w:bottom w:val="nil"/>
            </w:tcBorders>
          </w:tcPr>
          <w:p w14:paraId="2A563030" w14:textId="77777777" w:rsidR="00043AE9" w:rsidRPr="007F69DA" w:rsidRDefault="00043AE9" w:rsidP="00F46ACB">
            <w:pPr>
              <w:spacing w:line="360" w:lineRule="exact"/>
              <w:jc w:val="center"/>
              <w:rPr>
                <w:sz w:val="20"/>
                <w:szCs w:val="20"/>
              </w:rPr>
            </w:pPr>
            <w:r w:rsidRPr="007F69DA">
              <w:rPr>
                <w:sz w:val="20"/>
                <w:szCs w:val="20"/>
              </w:rPr>
              <w:t>18</w:t>
            </w:r>
          </w:p>
        </w:tc>
        <w:tc>
          <w:tcPr>
            <w:tcW w:w="1701" w:type="dxa"/>
            <w:tcBorders>
              <w:top w:val="nil"/>
              <w:bottom w:val="nil"/>
            </w:tcBorders>
          </w:tcPr>
          <w:p w14:paraId="478373EF" w14:textId="77777777" w:rsidR="00043AE9" w:rsidRPr="007F69DA" w:rsidRDefault="00043AE9" w:rsidP="00F46ACB">
            <w:pPr>
              <w:spacing w:line="360" w:lineRule="exact"/>
              <w:jc w:val="center"/>
              <w:rPr>
                <w:sz w:val="20"/>
                <w:szCs w:val="20"/>
              </w:rPr>
            </w:pPr>
            <w:r w:rsidRPr="007F69DA">
              <w:rPr>
                <w:sz w:val="20"/>
                <w:szCs w:val="20"/>
              </w:rPr>
              <w:t>10</w:t>
            </w:r>
          </w:p>
        </w:tc>
      </w:tr>
      <w:tr w:rsidR="00043AE9" w:rsidRPr="007F69DA" w14:paraId="78DE3C09" w14:textId="77777777" w:rsidTr="00F46ACB">
        <w:trPr>
          <w:trHeight w:val="397"/>
        </w:trPr>
        <w:tc>
          <w:tcPr>
            <w:tcW w:w="1700" w:type="dxa"/>
            <w:tcBorders>
              <w:top w:val="nil"/>
              <w:bottom w:val="nil"/>
            </w:tcBorders>
            <w:shd w:val="clear" w:color="auto" w:fill="FFF2CC" w:themeFill="accent4" w:themeFillTint="33"/>
          </w:tcPr>
          <w:p w14:paraId="34183956" w14:textId="77777777" w:rsidR="00043AE9" w:rsidRPr="007F69DA" w:rsidRDefault="00043AE9" w:rsidP="00F46ACB">
            <w:pPr>
              <w:rPr>
                <w:sz w:val="20"/>
                <w:szCs w:val="20"/>
              </w:rPr>
            </w:pPr>
            <w:r w:rsidRPr="007F69DA">
              <w:rPr>
                <w:sz w:val="20"/>
                <w:szCs w:val="20"/>
              </w:rPr>
              <w:t>Türken</w:t>
            </w:r>
          </w:p>
          <w:p w14:paraId="205C681E" w14:textId="77777777" w:rsidR="00043AE9" w:rsidRPr="007F69DA" w:rsidRDefault="00043AE9" w:rsidP="00F46ACB">
            <w:pPr>
              <w:rPr>
                <w:sz w:val="20"/>
                <w:szCs w:val="20"/>
              </w:rPr>
            </w:pPr>
            <w:r w:rsidRPr="007F69DA">
              <w:rPr>
                <w:sz w:val="20"/>
                <w:szCs w:val="20"/>
              </w:rPr>
              <w:t>(2005, n = 503)</w:t>
            </w:r>
          </w:p>
        </w:tc>
        <w:tc>
          <w:tcPr>
            <w:tcW w:w="1701" w:type="dxa"/>
            <w:tcBorders>
              <w:top w:val="nil"/>
              <w:bottom w:val="nil"/>
            </w:tcBorders>
          </w:tcPr>
          <w:p w14:paraId="14131281" w14:textId="77777777" w:rsidR="00043AE9" w:rsidRPr="007F69DA" w:rsidRDefault="00043AE9" w:rsidP="00F46ACB">
            <w:pPr>
              <w:spacing w:line="360" w:lineRule="exact"/>
              <w:jc w:val="center"/>
              <w:rPr>
                <w:sz w:val="20"/>
                <w:szCs w:val="20"/>
              </w:rPr>
            </w:pPr>
            <w:r w:rsidRPr="007F69DA">
              <w:rPr>
                <w:sz w:val="20"/>
                <w:szCs w:val="20"/>
              </w:rPr>
              <w:t>90</w:t>
            </w:r>
          </w:p>
        </w:tc>
        <w:tc>
          <w:tcPr>
            <w:tcW w:w="1701" w:type="dxa"/>
            <w:tcBorders>
              <w:top w:val="nil"/>
              <w:bottom w:val="nil"/>
            </w:tcBorders>
          </w:tcPr>
          <w:p w14:paraId="3AB99CE8" w14:textId="77777777" w:rsidR="00043AE9" w:rsidRPr="007F69DA" w:rsidRDefault="00043AE9" w:rsidP="00F46ACB">
            <w:pPr>
              <w:spacing w:line="360" w:lineRule="exact"/>
              <w:jc w:val="center"/>
              <w:rPr>
                <w:sz w:val="20"/>
                <w:szCs w:val="20"/>
              </w:rPr>
            </w:pPr>
            <w:r w:rsidRPr="007F69DA">
              <w:rPr>
                <w:sz w:val="20"/>
                <w:szCs w:val="20"/>
              </w:rPr>
              <w:t>50</w:t>
            </w:r>
          </w:p>
        </w:tc>
        <w:tc>
          <w:tcPr>
            <w:tcW w:w="1701" w:type="dxa"/>
            <w:tcBorders>
              <w:top w:val="nil"/>
              <w:bottom w:val="nil"/>
            </w:tcBorders>
          </w:tcPr>
          <w:p w14:paraId="7DC5330A" w14:textId="77777777" w:rsidR="00043AE9" w:rsidRPr="007F69DA" w:rsidRDefault="00043AE9" w:rsidP="00F46ACB">
            <w:pPr>
              <w:spacing w:line="360" w:lineRule="exact"/>
              <w:jc w:val="center"/>
              <w:rPr>
                <w:sz w:val="20"/>
                <w:szCs w:val="20"/>
              </w:rPr>
            </w:pPr>
            <w:r w:rsidRPr="007F69DA">
              <w:rPr>
                <w:sz w:val="20"/>
                <w:szCs w:val="20"/>
              </w:rPr>
              <w:t>17</w:t>
            </w:r>
          </w:p>
        </w:tc>
        <w:tc>
          <w:tcPr>
            <w:tcW w:w="1701" w:type="dxa"/>
            <w:tcBorders>
              <w:top w:val="nil"/>
              <w:bottom w:val="nil"/>
            </w:tcBorders>
          </w:tcPr>
          <w:p w14:paraId="114400C5" w14:textId="77777777" w:rsidR="00043AE9" w:rsidRPr="007F69DA" w:rsidRDefault="00043AE9" w:rsidP="00F46ACB">
            <w:pPr>
              <w:spacing w:line="360" w:lineRule="exact"/>
              <w:jc w:val="center"/>
              <w:rPr>
                <w:sz w:val="20"/>
                <w:szCs w:val="20"/>
              </w:rPr>
            </w:pPr>
            <w:r w:rsidRPr="007F69DA">
              <w:rPr>
                <w:sz w:val="20"/>
                <w:szCs w:val="20"/>
              </w:rPr>
              <w:t>11</w:t>
            </w:r>
          </w:p>
        </w:tc>
      </w:tr>
      <w:tr w:rsidR="00043AE9" w:rsidRPr="007F69DA" w14:paraId="6420BA11" w14:textId="77777777" w:rsidTr="00F46ACB">
        <w:trPr>
          <w:trHeight w:val="397"/>
        </w:trPr>
        <w:tc>
          <w:tcPr>
            <w:tcW w:w="1700" w:type="dxa"/>
            <w:tcBorders>
              <w:top w:val="nil"/>
              <w:bottom w:val="nil"/>
            </w:tcBorders>
            <w:shd w:val="clear" w:color="auto" w:fill="FFF2CC" w:themeFill="accent4" w:themeFillTint="33"/>
          </w:tcPr>
          <w:p w14:paraId="00B22780" w14:textId="77777777" w:rsidR="00043AE9" w:rsidRPr="007F69DA" w:rsidRDefault="00043AE9" w:rsidP="00F46ACB">
            <w:pPr>
              <w:rPr>
                <w:sz w:val="20"/>
                <w:szCs w:val="20"/>
              </w:rPr>
            </w:pPr>
            <w:r w:rsidRPr="007F69DA">
              <w:rPr>
                <w:sz w:val="20"/>
                <w:szCs w:val="20"/>
              </w:rPr>
              <w:t>Jugoslawienstäm.</w:t>
            </w:r>
          </w:p>
          <w:p w14:paraId="4DA20149" w14:textId="77777777" w:rsidR="00043AE9" w:rsidRPr="007F69DA" w:rsidRDefault="00043AE9" w:rsidP="00F46ACB">
            <w:pPr>
              <w:rPr>
                <w:sz w:val="20"/>
                <w:szCs w:val="20"/>
              </w:rPr>
            </w:pPr>
            <w:r w:rsidRPr="007F69DA">
              <w:rPr>
                <w:sz w:val="20"/>
                <w:szCs w:val="20"/>
              </w:rPr>
              <w:t>(2008, n = 500)</w:t>
            </w:r>
          </w:p>
        </w:tc>
        <w:tc>
          <w:tcPr>
            <w:tcW w:w="1701" w:type="dxa"/>
            <w:tcBorders>
              <w:top w:val="nil"/>
              <w:bottom w:val="nil"/>
            </w:tcBorders>
          </w:tcPr>
          <w:p w14:paraId="5B1838AB" w14:textId="77777777" w:rsidR="00043AE9" w:rsidRPr="007F69DA" w:rsidRDefault="00043AE9" w:rsidP="00F46ACB">
            <w:pPr>
              <w:spacing w:line="360" w:lineRule="exact"/>
              <w:jc w:val="center"/>
              <w:rPr>
                <w:sz w:val="20"/>
                <w:szCs w:val="20"/>
              </w:rPr>
            </w:pPr>
            <w:r w:rsidRPr="007F69DA">
              <w:rPr>
                <w:sz w:val="20"/>
                <w:szCs w:val="20"/>
              </w:rPr>
              <w:t>94</w:t>
            </w:r>
          </w:p>
        </w:tc>
        <w:tc>
          <w:tcPr>
            <w:tcW w:w="1701" w:type="dxa"/>
            <w:tcBorders>
              <w:top w:val="nil"/>
              <w:bottom w:val="nil"/>
            </w:tcBorders>
          </w:tcPr>
          <w:p w14:paraId="4B42D3AF" w14:textId="77777777" w:rsidR="00043AE9" w:rsidRPr="007F69DA" w:rsidRDefault="00043AE9" w:rsidP="00F46ACB">
            <w:pPr>
              <w:spacing w:line="360" w:lineRule="exact"/>
              <w:jc w:val="center"/>
              <w:rPr>
                <w:sz w:val="20"/>
                <w:szCs w:val="20"/>
              </w:rPr>
            </w:pPr>
            <w:r w:rsidRPr="007F69DA">
              <w:rPr>
                <w:sz w:val="20"/>
                <w:szCs w:val="20"/>
              </w:rPr>
              <w:t>32</w:t>
            </w:r>
          </w:p>
        </w:tc>
        <w:tc>
          <w:tcPr>
            <w:tcW w:w="1701" w:type="dxa"/>
            <w:tcBorders>
              <w:top w:val="nil"/>
              <w:bottom w:val="nil"/>
            </w:tcBorders>
          </w:tcPr>
          <w:p w14:paraId="5DBFB910" w14:textId="77777777" w:rsidR="00043AE9" w:rsidRPr="007F69DA" w:rsidRDefault="00043AE9" w:rsidP="00F46ACB">
            <w:pPr>
              <w:spacing w:line="360" w:lineRule="exact"/>
              <w:jc w:val="center"/>
              <w:rPr>
                <w:sz w:val="20"/>
                <w:szCs w:val="20"/>
              </w:rPr>
            </w:pPr>
            <w:r w:rsidRPr="007F69DA">
              <w:rPr>
                <w:sz w:val="20"/>
                <w:szCs w:val="20"/>
              </w:rPr>
              <w:t>17</w:t>
            </w:r>
          </w:p>
        </w:tc>
        <w:tc>
          <w:tcPr>
            <w:tcW w:w="1701" w:type="dxa"/>
            <w:tcBorders>
              <w:top w:val="nil"/>
              <w:bottom w:val="nil"/>
            </w:tcBorders>
          </w:tcPr>
          <w:p w14:paraId="1F2B8883" w14:textId="77777777" w:rsidR="00043AE9" w:rsidRPr="007F69DA" w:rsidRDefault="00043AE9" w:rsidP="00F46ACB">
            <w:pPr>
              <w:spacing w:line="360" w:lineRule="exact"/>
              <w:jc w:val="center"/>
              <w:rPr>
                <w:sz w:val="20"/>
                <w:szCs w:val="20"/>
              </w:rPr>
            </w:pPr>
            <w:r w:rsidRPr="007F69DA">
              <w:rPr>
                <w:sz w:val="20"/>
                <w:szCs w:val="20"/>
              </w:rPr>
              <w:t>15</w:t>
            </w:r>
          </w:p>
        </w:tc>
      </w:tr>
      <w:tr w:rsidR="00043AE9" w:rsidRPr="007F69DA" w14:paraId="204B53C5" w14:textId="77777777" w:rsidTr="00F46ACB">
        <w:trPr>
          <w:trHeight w:val="397"/>
        </w:trPr>
        <w:tc>
          <w:tcPr>
            <w:tcW w:w="1700" w:type="dxa"/>
            <w:tcBorders>
              <w:top w:val="nil"/>
              <w:bottom w:val="nil"/>
            </w:tcBorders>
            <w:shd w:val="clear" w:color="auto" w:fill="FFF2CC" w:themeFill="accent4" w:themeFillTint="33"/>
          </w:tcPr>
          <w:p w14:paraId="568F0C05" w14:textId="77777777" w:rsidR="00043AE9" w:rsidRPr="007F69DA" w:rsidRDefault="00043AE9" w:rsidP="00F46ACB">
            <w:pPr>
              <w:rPr>
                <w:sz w:val="20"/>
                <w:szCs w:val="20"/>
              </w:rPr>
            </w:pPr>
            <w:r w:rsidRPr="007F69DA">
              <w:rPr>
                <w:sz w:val="20"/>
                <w:szCs w:val="20"/>
              </w:rPr>
              <w:t>Polen</w:t>
            </w:r>
          </w:p>
          <w:p w14:paraId="48CD0098" w14:textId="77777777" w:rsidR="00043AE9" w:rsidRPr="007F69DA" w:rsidRDefault="00043AE9" w:rsidP="00F46ACB">
            <w:pPr>
              <w:rPr>
                <w:sz w:val="20"/>
                <w:szCs w:val="20"/>
              </w:rPr>
            </w:pPr>
            <w:r w:rsidRPr="007F69DA">
              <w:rPr>
                <w:sz w:val="20"/>
                <w:szCs w:val="20"/>
              </w:rPr>
              <w:t>(2007, n = 500)</w:t>
            </w:r>
          </w:p>
        </w:tc>
        <w:tc>
          <w:tcPr>
            <w:tcW w:w="1701" w:type="dxa"/>
            <w:tcBorders>
              <w:top w:val="nil"/>
              <w:bottom w:val="nil"/>
            </w:tcBorders>
          </w:tcPr>
          <w:p w14:paraId="7B9CACD1" w14:textId="77777777" w:rsidR="00043AE9" w:rsidRPr="007F69DA" w:rsidRDefault="00043AE9" w:rsidP="00F46ACB">
            <w:pPr>
              <w:spacing w:line="360" w:lineRule="exact"/>
              <w:jc w:val="center"/>
              <w:rPr>
                <w:sz w:val="20"/>
                <w:szCs w:val="20"/>
              </w:rPr>
            </w:pPr>
            <w:r w:rsidRPr="007F69DA">
              <w:rPr>
                <w:sz w:val="20"/>
                <w:szCs w:val="20"/>
              </w:rPr>
              <w:t>97</w:t>
            </w:r>
          </w:p>
        </w:tc>
        <w:tc>
          <w:tcPr>
            <w:tcW w:w="1701" w:type="dxa"/>
            <w:tcBorders>
              <w:top w:val="nil"/>
              <w:bottom w:val="nil"/>
            </w:tcBorders>
          </w:tcPr>
          <w:p w14:paraId="449ED9D1" w14:textId="77777777" w:rsidR="00043AE9" w:rsidRPr="007F69DA" w:rsidRDefault="00043AE9" w:rsidP="00F46ACB">
            <w:pPr>
              <w:spacing w:line="360" w:lineRule="exact"/>
              <w:jc w:val="center"/>
              <w:rPr>
                <w:sz w:val="20"/>
                <w:szCs w:val="20"/>
              </w:rPr>
            </w:pPr>
            <w:r w:rsidRPr="007F69DA">
              <w:rPr>
                <w:sz w:val="20"/>
                <w:szCs w:val="20"/>
              </w:rPr>
              <w:t>36</w:t>
            </w:r>
          </w:p>
        </w:tc>
        <w:tc>
          <w:tcPr>
            <w:tcW w:w="1701" w:type="dxa"/>
            <w:tcBorders>
              <w:top w:val="nil"/>
              <w:bottom w:val="nil"/>
            </w:tcBorders>
          </w:tcPr>
          <w:p w14:paraId="1D170590" w14:textId="77777777" w:rsidR="00043AE9" w:rsidRPr="007F69DA" w:rsidRDefault="00043AE9" w:rsidP="00F46ACB">
            <w:pPr>
              <w:spacing w:line="360" w:lineRule="exact"/>
              <w:jc w:val="center"/>
              <w:rPr>
                <w:sz w:val="20"/>
                <w:szCs w:val="20"/>
              </w:rPr>
            </w:pPr>
            <w:r w:rsidRPr="007F69DA">
              <w:rPr>
                <w:sz w:val="20"/>
                <w:szCs w:val="20"/>
              </w:rPr>
              <w:t>21</w:t>
            </w:r>
          </w:p>
        </w:tc>
        <w:tc>
          <w:tcPr>
            <w:tcW w:w="1701" w:type="dxa"/>
            <w:tcBorders>
              <w:top w:val="nil"/>
              <w:bottom w:val="nil"/>
            </w:tcBorders>
          </w:tcPr>
          <w:p w14:paraId="173D289A" w14:textId="77777777" w:rsidR="00043AE9" w:rsidRPr="007F69DA" w:rsidRDefault="00043AE9" w:rsidP="00F46ACB">
            <w:pPr>
              <w:spacing w:line="360" w:lineRule="exact"/>
              <w:jc w:val="center"/>
              <w:rPr>
                <w:sz w:val="20"/>
                <w:szCs w:val="20"/>
              </w:rPr>
            </w:pPr>
            <w:r w:rsidRPr="007F69DA">
              <w:rPr>
                <w:sz w:val="20"/>
                <w:szCs w:val="20"/>
              </w:rPr>
              <w:t>16</w:t>
            </w:r>
          </w:p>
        </w:tc>
      </w:tr>
      <w:tr w:rsidR="00043AE9" w:rsidRPr="007F69DA" w14:paraId="412D32CE" w14:textId="77777777" w:rsidTr="00F46ACB">
        <w:trPr>
          <w:trHeight w:val="397"/>
        </w:trPr>
        <w:tc>
          <w:tcPr>
            <w:tcW w:w="1700" w:type="dxa"/>
            <w:tcBorders>
              <w:top w:val="nil"/>
            </w:tcBorders>
            <w:shd w:val="clear" w:color="auto" w:fill="FFF2CC" w:themeFill="accent4" w:themeFillTint="33"/>
          </w:tcPr>
          <w:p w14:paraId="04D96C69" w14:textId="77777777" w:rsidR="00043AE9" w:rsidRPr="007F69DA" w:rsidRDefault="00043AE9" w:rsidP="00F46ACB">
            <w:pPr>
              <w:rPr>
                <w:sz w:val="20"/>
                <w:szCs w:val="20"/>
              </w:rPr>
            </w:pPr>
            <w:r w:rsidRPr="007F69DA">
              <w:rPr>
                <w:sz w:val="20"/>
                <w:szCs w:val="20"/>
              </w:rPr>
              <w:t>Italiener</w:t>
            </w:r>
          </w:p>
          <w:p w14:paraId="2420A255" w14:textId="77777777" w:rsidR="00043AE9" w:rsidRPr="007F69DA" w:rsidRDefault="00043AE9" w:rsidP="00F46ACB">
            <w:pPr>
              <w:rPr>
                <w:sz w:val="20"/>
                <w:szCs w:val="20"/>
              </w:rPr>
            </w:pPr>
            <w:r w:rsidRPr="007F69DA">
              <w:rPr>
                <w:sz w:val="20"/>
                <w:szCs w:val="20"/>
              </w:rPr>
              <w:t>(2006, n = 501)</w:t>
            </w:r>
          </w:p>
        </w:tc>
        <w:tc>
          <w:tcPr>
            <w:tcW w:w="1701" w:type="dxa"/>
            <w:tcBorders>
              <w:top w:val="nil"/>
            </w:tcBorders>
          </w:tcPr>
          <w:p w14:paraId="13005479" w14:textId="77777777" w:rsidR="00043AE9" w:rsidRPr="007F69DA" w:rsidRDefault="00043AE9" w:rsidP="00F46ACB">
            <w:pPr>
              <w:spacing w:line="360" w:lineRule="exact"/>
              <w:jc w:val="center"/>
              <w:rPr>
                <w:sz w:val="20"/>
                <w:szCs w:val="20"/>
              </w:rPr>
            </w:pPr>
            <w:r w:rsidRPr="007F69DA">
              <w:rPr>
                <w:sz w:val="20"/>
                <w:szCs w:val="20"/>
              </w:rPr>
              <w:t>74</w:t>
            </w:r>
          </w:p>
        </w:tc>
        <w:tc>
          <w:tcPr>
            <w:tcW w:w="1701" w:type="dxa"/>
            <w:tcBorders>
              <w:top w:val="nil"/>
            </w:tcBorders>
          </w:tcPr>
          <w:p w14:paraId="0EB56546" w14:textId="77777777" w:rsidR="00043AE9" w:rsidRPr="007F69DA" w:rsidRDefault="00043AE9" w:rsidP="00F46ACB">
            <w:pPr>
              <w:spacing w:line="360" w:lineRule="exact"/>
              <w:jc w:val="center"/>
              <w:rPr>
                <w:sz w:val="20"/>
                <w:szCs w:val="20"/>
              </w:rPr>
            </w:pPr>
            <w:r w:rsidRPr="007F69DA">
              <w:rPr>
                <w:sz w:val="20"/>
                <w:szCs w:val="20"/>
              </w:rPr>
              <w:t>38</w:t>
            </w:r>
          </w:p>
        </w:tc>
        <w:tc>
          <w:tcPr>
            <w:tcW w:w="1701" w:type="dxa"/>
            <w:tcBorders>
              <w:top w:val="nil"/>
            </w:tcBorders>
          </w:tcPr>
          <w:p w14:paraId="5FFAF490" w14:textId="77777777" w:rsidR="00043AE9" w:rsidRPr="007F69DA" w:rsidRDefault="00043AE9" w:rsidP="00F46ACB">
            <w:pPr>
              <w:spacing w:line="360" w:lineRule="exact"/>
              <w:jc w:val="center"/>
              <w:rPr>
                <w:sz w:val="20"/>
                <w:szCs w:val="20"/>
              </w:rPr>
            </w:pPr>
            <w:r w:rsidRPr="007F69DA">
              <w:rPr>
                <w:sz w:val="20"/>
                <w:szCs w:val="20"/>
              </w:rPr>
              <w:t>23</w:t>
            </w:r>
          </w:p>
        </w:tc>
        <w:tc>
          <w:tcPr>
            <w:tcW w:w="1701" w:type="dxa"/>
            <w:tcBorders>
              <w:top w:val="nil"/>
            </w:tcBorders>
          </w:tcPr>
          <w:p w14:paraId="398512C0" w14:textId="77777777" w:rsidR="00043AE9" w:rsidRPr="007F69DA" w:rsidRDefault="00043AE9" w:rsidP="00F46ACB">
            <w:pPr>
              <w:spacing w:line="360" w:lineRule="exact"/>
              <w:jc w:val="center"/>
              <w:rPr>
                <w:sz w:val="20"/>
                <w:szCs w:val="20"/>
              </w:rPr>
            </w:pPr>
            <w:r w:rsidRPr="007F69DA">
              <w:rPr>
                <w:sz w:val="20"/>
                <w:szCs w:val="20"/>
              </w:rPr>
              <w:t>18</w:t>
            </w:r>
          </w:p>
        </w:tc>
      </w:tr>
    </w:tbl>
    <w:p w14:paraId="7E02E79E" w14:textId="77777777" w:rsidR="00043AE9" w:rsidRPr="007F69DA" w:rsidRDefault="00043AE9" w:rsidP="00043AE9">
      <w:pPr>
        <w:rPr>
          <w:sz w:val="16"/>
          <w:szCs w:val="16"/>
        </w:rPr>
      </w:pPr>
      <w:r w:rsidRPr="007F69DA">
        <w:rPr>
          <w:sz w:val="16"/>
          <w:szCs w:val="16"/>
        </w:rPr>
        <w:t>Quelle: DPDHL / MRSC / GIM 2005 – 2009.</w:t>
      </w:r>
    </w:p>
    <w:p w14:paraId="507C8FFC" w14:textId="77777777" w:rsidR="00043AE9" w:rsidRPr="007F69DA" w:rsidRDefault="00043AE9" w:rsidP="00043AE9"/>
    <w:p w14:paraId="55AC8C7D" w14:textId="77777777" w:rsidR="00043AE9" w:rsidRPr="007F69DA" w:rsidRDefault="00043AE9" w:rsidP="00043AE9">
      <w:r w:rsidRPr="007F69DA">
        <w:t>Allerdings meinten viele deutsche Unternehmen lange Zeit, diese Zielgruppe mithilfe des deutschsprachigen Fernsehens hinreichend ansprechen zu können. Dies änderte sich erst, als repräsentative Umfragen und Mediennutzungsanalysen nachwiesen, dass die in Deutschland lebenden Türken zwar intensiv fernsehen, aber vorrangig türkisch-sprachige TV-Sender. Selbst die in Deutschland geborenen 14-19jährigen Türken akzeptieren – abgesehen von RTL und Pro Sieben – mehrheitlich nur Programme, die in ihrer Muttersprache ausgestrahlt werden. Den Unternehmen eröffnet dieses Mediennutzungsverhalten die Möglichkeit, die türkischstämmigen Bewohner Deutschlands gezielt und annähernd ohne Streuverlust zu umwerben. Da umgekehrt ihre deutschen Kunden keine türkischen Medien nutzen, sind auch keine Irritationen zu befürchten, wenn etwa Haribo Gummibärchen anbietet, die ‘helal‘ (bzw. ‘halal‘), d.h. gemäß dem Koran „erlaubt“ sind (in diesem Fall keine Schweinegelatine enthalten; vgl. Abb. 8).</w:t>
      </w:r>
    </w:p>
    <w:p w14:paraId="57967E5C" w14:textId="77777777" w:rsidR="00043AE9" w:rsidRPr="007F69DA" w:rsidRDefault="00043AE9" w:rsidP="00043AE9"/>
    <w:p w14:paraId="437A7F4A" w14:textId="77777777" w:rsidR="00043AE9" w:rsidRPr="0018289F" w:rsidRDefault="00043AE9" w:rsidP="00043AE9">
      <w:pPr>
        <w:pStyle w:val="Beschriftung"/>
      </w:pPr>
      <w:bookmarkStart w:id="106" w:name="_Ref413253665"/>
      <w:r w:rsidRPr="0018289F">
        <w:t>Abb.</w:t>
      </w:r>
      <w:bookmarkEnd w:id="106"/>
      <w:r w:rsidRPr="0018289F">
        <w:t xml:space="preserve"> 8: Helal-Goldbären </w:t>
      </w:r>
    </w:p>
    <w:p w14:paraId="4D721AFD" w14:textId="77777777" w:rsidR="00043AE9" w:rsidRPr="007F69DA" w:rsidRDefault="00043AE9" w:rsidP="00043AE9">
      <w:pPr>
        <w:rPr>
          <w:lang w:eastAsia="de-DE"/>
        </w:rPr>
      </w:pPr>
      <w:r w:rsidRPr="007F69DA">
        <w:rPr>
          <w:noProof/>
          <w:lang w:eastAsia="de-DE"/>
        </w:rPr>
        <w:lastRenderedPageBreak/>
        <w:drawing>
          <wp:inline distT="0" distB="0" distL="0" distR="0" wp14:anchorId="65A19583" wp14:editId="02F19FF4">
            <wp:extent cx="5181600" cy="6300258"/>
            <wp:effectExtent l="0" t="0" r="0" b="5715"/>
            <wp:docPr id="489" name="Grafik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5190304" cy="6310841"/>
                    </a:xfrm>
                    <a:prstGeom prst="rect">
                      <a:avLst/>
                    </a:prstGeom>
                    <a:noFill/>
                  </pic:spPr>
                </pic:pic>
              </a:graphicData>
            </a:graphic>
          </wp:inline>
        </w:drawing>
      </w:r>
    </w:p>
    <w:p w14:paraId="2D824556" w14:textId="77777777" w:rsidR="00043AE9" w:rsidRPr="007F69DA" w:rsidRDefault="00043AE9" w:rsidP="00043AE9">
      <w:r w:rsidRPr="007F69DA">
        <w:rPr>
          <w:sz w:val="18"/>
          <w:szCs w:val="18"/>
        </w:rPr>
        <w:lastRenderedPageBreak/>
        <w:t>Quelle: www.haribo.com</w:t>
      </w:r>
      <w:r w:rsidRPr="007F69DA">
        <w:t>.</w:t>
      </w:r>
      <w:r w:rsidRPr="007F69DA">
        <w:rPr>
          <w:noProof/>
          <w:lang w:eastAsia="de-DE"/>
        </w:rPr>
        <w:fldChar w:fldCharType="begin" w:fldLock="1"/>
      </w:r>
      <w:r w:rsidRPr="007F69DA">
        <w:rPr>
          <w:noProof/>
          <w:lang w:eastAsia="de-DE"/>
        </w:rPr>
        <w:instrText xml:space="preserve"> USERPROPERTY  \* MERGEFORMAT </w:instrText>
      </w:r>
      <w:r w:rsidRPr="007F69DA">
        <w:rPr>
          <w:noProof/>
          <w:lang w:eastAsia="de-DE"/>
        </w:rPr>
        <w:fldChar w:fldCharType="separate"/>
      </w:r>
      <w:r w:rsidRPr="007F69DA">
        <w:rPr>
          <w:noProof/>
          <w:lang w:eastAsia="de-DE"/>
        </w:rPr>
        <mc:AlternateContent>
          <mc:Choice Requires="wps">
            <w:drawing>
              <wp:inline distT="0" distB="0" distL="0" distR="0" wp14:anchorId="0A92138F" wp14:editId="2105061B">
                <wp:extent cx="3086100" cy="3752850"/>
                <wp:effectExtent l="0" t="0" r="0" b="0"/>
                <wp:docPr id="26" name="Rechteck 2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0" cy="3752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7ECD015" id="Rechteck 26" o:spid="_x0000_s1026" style="width:243pt;height:29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" filled="f" stroked="f">
                <o:lock v:ext="edit" aspectratio="t"/>
                <w10:anchorlock/>
              </v:rect>
            </w:pict>
          </mc:Fallback>
        </mc:AlternateContent>
      </w:r>
      <w:r w:rsidRPr="007F69DA">
        <w:rPr>
          <w:noProof/>
          <w:lang w:eastAsia="de-DE"/>
        </w:rPr>
        <w:fldChar w:fldCharType="end"/>
      </w:r>
    </w:p>
    <w:p w14:paraId="79AABD85" w14:textId="77777777" w:rsidR="00043AE9" w:rsidRPr="007F69DA" w:rsidRDefault="00043AE9" w:rsidP="00043AE9"/>
    <w:p w14:paraId="263589E2" w14:textId="77777777" w:rsidR="00043AE9" w:rsidRPr="007F69DA" w:rsidRDefault="00043AE9" w:rsidP="00043AE9">
      <w:r w:rsidRPr="007F69DA">
        <w:t xml:space="preserve">Zu den Unternehmen, die vergleichsweise frühzeitig die Notwendigkeit von Ethno-Marketing erkannten, zählt Daimler. Mitte der 1990er-Jahre, damals noch als Mercedes-Benz, entwickelte der Automobilhersteller ein speziell auf die Bedürfnisse türkischer Kunden abgestimmtes Verkaufskonzept, in dessen Mittelpunkt das persönliche Gespräch steht: „22 türkische Verkaufsberater sind in Regionen aktiv, in denen, wie im Ruhrgebiet, Berlin und Stuttgart, überproportional viele Türken leben. Verkäufer in der Kreuzberger Mercedes-Benz-Niederlassung bitten ihre Landsleute vor dem Verkaufsgespräch erst einmal auf das eine oder andere Gläschen Tee in die Samowar-Ecke. »Viele Türken kommen auch einfach nur mal zum Small-Talk vorbei, das gehört dazu«, berichtet M. Arik, Verkaufsberater in der Kölner Niederlassung. Beim Einkauf zählen für sie die Atmosphäre und ein vertrautes Gesicht. »Türken schätzen diese Mentalität der Gastfreundschaft. Deshalb versuchen wir, gute Gastgeber zu sein«“ (Clemens 1996, S.46). </w:t>
      </w:r>
    </w:p>
    <w:p w14:paraId="6EF77299" w14:textId="77777777" w:rsidR="00043AE9" w:rsidRPr="007F69DA" w:rsidRDefault="00043AE9" w:rsidP="00043AE9"/>
    <w:p w14:paraId="25F44D12" w14:textId="77777777" w:rsidR="00043AE9" w:rsidRPr="007F69DA" w:rsidRDefault="00043AE9" w:rsidP="00043AE9">
      <w:pPr>
        <w:shd w:val="clear" w:color="auto" w:fill="DEEAF6" w:themeFill="accent1" w:themeFillTint="33"/>
        <w:jc w:val="center"/>
        <w:rPr>
          <w:sz w:val="18"/>
          <w:szCs w:val="18"/>
        </w:rPr>
      </w:pPr>
      <w:r w:rsidRPr="007F69DA">
        <w:rPr>
          <w:sz w:val="18"/>
          <w:szCs w:val="18"/>
        </w:rPr>
        <w:t>Volkswagen Türkçe konuşuyor – Volkswagen spricht türkisch</w:t>
      </w:r>
    </w:p>
    <w:p w14:paraId="283D7E30" w14:textId="77777777" w:rsidR="00043AE9" w:rsidRPr="007F69DA" w:rsidRDefault="00043AE9" w:rsidP="00043AE9">
      <w:pPr>
        <w:shd w:val="clear" w:color="auto" w:fill="DEEAF6" w:themeFill="accent1" w:themeFillTint="33"/>
        <w:rPr>
          <w:sz w:val="18"/>
          <w:szCs w:val="18"/>
        </w:rPr>
      </w:pPr>
      <w:r w:rsidRPr="007F69DA">
        <w:rPr>
          <w:sz w:val="18"/>
          <w:szCs w:val="18"/>
        </w:rPr>
        <w:t>„Die Sprache ist entscheidend. Die Sprache ist der Zugang zum Kunden, sagt VW-Mann Mecher. Und so kommt der erste Kontakt zum Kunden oft in türkischsprachigen Zeitungen wie Hürriyet, Milliyet oder Türkiye zustande. […] Oft laufen die Beratungsgespräche dennoch in deutscher Sprache ab. Wichtig ist, dass die Kunden türkischer Herkunft merken: Dieses Unternehmen geht auf uns zu. Und so ist die gesamte Beratung auch gefühlsbetonter angelegt als beim Verkaufsgespräch mit dem klassischen deutschen Passat-Kunden. Ein türkischer Kunde kauft ein Auto deutlich stärker nach emotionalen Gesichtspunkten als ein deutscher Kunde. Darauf müssen unsere Verkäufer eingehen können, sagt Mecher. Das bedeutet: Der Verkäufer muss genau wissen, was sich gerade in der ersten türkischen Fußball-Liga und in den türkischen Daily Soaps tut, die auch in Deutschland gesehen werden. Das kann sich lohnen: Einer unserer türkischsprachigen Mitarbeiter in Aachen verkauft über 200 Autos im Jahr. Er ist damit einer der Spitzenverkäufer in der Volkswagen-Handelsorganisation“ (Seidel 2008, S.16).</w:t>
      </w:r>
    </w:p>
    <w:p w14:paraId="5A1EB853" w14:textId="77777777" w:rsidR="00043AE9" w:rsidRPr="007F69DA" w:rsidRDefault="00043AE9" w:rsidP="00043AE9"/>
    <w:p w14:paraId="67922D87" w14:textId="77777777" w:rsidR="00043AE9" w:rsidRPr="007F69DA" w:rsidRDefault="00043AE9" w:rsidP="00043AE9">
      <w:r w:rsidRPr="007F69DA">
        <w:t>Die Mentalität, Geschäfte lieber per Handschlag als auf der Basis schriftlicher Verträge abzuschließen, bewog damals auch Versicherungen (z.B. Hamburg-Mannheimer) und Bausparkassen (z.B. Wüstenrot), türkischstämmige Mitarbeiter als Vertreter einzusetzen. Die Deutsche Telekom wiederum spricht mit Spezialtarifen für Gespräche in die Herkunftsländer, mit türkischsprachigen Servicemitarbeitern und mit einer in russischer Sprache betriebenen Hotline gezielt die wichtigsten Migrantengruppen an.</w:t>
      </w:r>
    </w:p>
    <w:p w14:paraId="6DE98B07" w14:textId="77777777" w:rsidR="00043AE9" w:rsidRPr="007F69DA" w:rsidRDefault="00043AE9" w:rsidP="00043AE9"/>
    <w:p w14:paraId="33877677" w14:textId="77777777" w:rsidR="00043AE9" w:rsidRPr="007F69DA" w:rsidRDefault="00043AE9" w:rsidP="00043AE9">
      <w:pPr>
        <w:shd w:val="clear" w:color="auto" w:fill="DEEAF6" w:themeFill="accent1" w:themeFillTint="33"/>
        <w:ind w:right="1134"/>
        <w:jc w:val="center"/>
        <w:rPr>
          <w:sz w:val="18"/>
          <w:szCs w:val="18"/>
        </w:rPr>
      </w:pPr>
      <w:r w:rsidRPr="007F69DA">
        <w:rPr>
          <w:sz w:val="18"/>
          <w:szCs w:val="18"/>
        </w:rPr>
        <w:t>Bankada &amp; Bankamiz</w:t>
      </w:r>
    </w:p>
    <w:p w14:paraId="6ED894DC" w14:textId="77777777" w:rsidR="00043AE9" w:rsidRPr="007F69DA" w:rsidRDefault="00043AE9" w:rsidP="00043AE9">
      <w:pPr>
        <w:shd w:val="clear" w:color="auto" w:fill="DEEAF6" w:themeFill="accent1" w:themeFillTint="33"/>
        <w:ind w:right="-141"/>
        <w:rPr>
          <w:sz w:val="18"/>
          <w:szCs w:val="18"/>
        </w:rPr>
      </w:pPr>
      <w:r w:rsidRPr="007F69DA">
        <w:rPr>
          <w:sz w:val="18"/>
          <w:szCs w:val="18"/>
        </w:rPr>
        <w:t xml:space="preserve">„Nicht einmal ein Jahr ist es her, dass sich die deutsche Citibank in Targobank umbenannte. Für ihre türkischen Kunden in Deutschland wechselte die Privatkundenbank im Sommer 2010 gleich noch einmal den Namen: Als Bankada, zu Deutsch etwa </w:t>
      </w:r>
      <w:r w:rsidRPr="007F69DA">
        <w:rPr>
          <w:sz w:val="18"/>
          <w:szCs w:val="18"/>
        </w:rPr>
        <w:lastRenderedPageBreak/>
        <w:t>„Bankenfreund“, will sie in der deutsch-türkischen Community ein Begriff werden. Damit folgt sie – mit einigen Jahren Verspätung – dem Vorbild der Deutschen Bank, die schon 2006 das Angebotskonzept Bankamiz für türkischstämmige Privatkunden entwickelt hatte. 50 Bankamiz-Filialen bieten türkischsprachige Berater, Instanbul-Motive auf den Kreditkarten und jährlich fünf kostenlose Überweisungen in die Türkei“ (Sommer 2011).</w:t>
      </w:r>
    </w:p>
    <w:p w14:paraId="05D3AFC4" w14:textId="77777777" w:rsidR="00043AE9" w:rsidRPr="007F69DA" w:rsidRDefault="00043AE9" w:rsidP="00043AE9">
      <w:pPr>
        <w:ind w:right="1134"/>
      </w:pPr>
    </w:p>
    <w:p w14:paraId="250A9ECA" w14:textId="77777777" w:rsidR="00043AE9" w:rsidRPr="007F69DA" w:rsidRDefault="00043AE9" w:rsidP="00043AE9">
      <w:r w:rsidRPr="007F69DA">
        <w:t>Im Übrigen verkörpern auch die türkischstämmigen Bewohner Deutschlands keine homogene Zielgruppe. In manchen Fällen empfiehlt es, zwischen Sunniten, Alewiten, Jeziden und Surianern zu unterscheiden: Nur die Alewiten sind ihren Frauen gegenüber liberal eingestellt, und nur den Sunniten ist der Genuss von Alkoholgenuss verboten.</w:t>
      </w:r>
    </w:p>
    <w:p w14:paraId="237A61C8" w14:textId="77777777" w:rsidR="00043AE9" w:rsidRPr="007F69DA" w:rsidRDefault="00043AE9" w:rsidP="00043AE9">
      <w:pPr>
        <w:ind w:right="1134"/>
        <w:rPr>
          <w:sz w:val="16"/>
          <w:szCs w:val="16"/>
        </w:rPr>
      </w:pPr>
    </w:p>
    <w:p w14:paraId="29060A8D" w14:textId="77777777" w:rsidR="00043AE9" w:rsidRPr="007F69DA" w:rsidRDefault="00043AE9" w:rsidP="00043AE9">
      <w:pPr>
        <w:rPr>
          <w:szCs w:val="24"/>
          <w:lang w:bidi="en-US"/>
        </w:rPr>
      </w:pPr>
      <w:r w:rsidRPr="007F69DA">
        <w:rPr>
          <w:szCs w:val="24"/>
          <w:lang w:bidi="en-US"/>
        </w:rPr>
        <w:t>Zielgruppe: Russlanddeutsche und in Deutschland lebende Russen</w:t>
      </w:r>
    </w:p>
    <w:p w14:paraId="67CF9558" w14:textId="77777777" w:rsidR="00043AE9" w:rsidRPr="007F69DA" w:rsidRDefault="00043AE9" w:rsidP="00043AE9"/>
    <w:p w14:paraId="21A12DCF" w14:textId="77777777" w:rsidR="00043AE9" w:rsidRPr="007F69DA" w:rsidRDefault="00043AE9" w:rsidP="00043AE9">
      <w:r w:rsidRPr="007F69DA">
        <w:t>Mittlerweile leben 3,3 Mio. Russischsprachige in Deutschland. Die meisten von ihnen tragen deutsche Namen und werden in der Bevölkerungsstatistik als Deutsche geführt. Daher übersahen anfänglich viele Unternehmen, dass nur ein Drittel der Spätaussiedler Deutsch sprach, und taten sich entsprechend schwer, Zugang zu dieser nachfragestarken und Zielgruppe zu finden. Ihre jährlichen Einkäufe summieren sich zu 37 Mrd. €. Die Konsumfreude der russischsprachigen Bewohner Deutschlands äußert sich nicht zuletzt in einer auffallend geringen Sparquote.</w:t>
      </w:r>
    </w:p>
    <w:p w14:paraId="3F6713B3" w14:textId="77777777" w:rsidR="00043AE9" w:rsidRPr="007F69DA" w:rsidRDefault="00043AE9" w:rsidP="00043AE9"/>
    <w:p w14:paraId="706B8806" w14:textId="77777777" w:rsidR="00043AE9" w:rsidRPr="007F69DA" w:rsidRDefault="00043AE9" w:rsidP="00043AE9">
      <w:r w:rsidRPr="007F69DA">
        <w:t>Wie W. Silakow von der PMI-Werbeagentur berichtet, kann man in der netzwerkartig organisierten Community der Russlanddeutschen mit wenig Geld große Wirkung erzielen, z.B. durch eine „russische Hotline“. Da die eigenen vier Wände zum „russische Lebensgefühl“ gehören, hat vor allem das Baugewerbe die Einwanderer aus den GUS-Staaten als Zielgruppe entdeckt. „Alles, was mit Bauen zu tun hat, liegt in der Mentalität unserer Leute. Sie versuchen sofort, sich ein eigenes Heim aufzubauen“ (L. Brinster von der Ethno-Marketing-Agentur K &amp; D in Hannover). Während Türken eindeutig den audio-visuellen Medien den Vorzug geben, informieren Russlanddeutsche sich vorzugsweise mithilfe einer der 40 russischen Zeitungen, die in Deutschland erhältlich sind. Wie bei allen ethnisch abgrenzbaren Zielgruppen spielt auch die Mund zu Mund-Propaganda eine überragende Rolle.</w:t>
      </w:r>
    </w:p>
    <w:p w14:paraId="684E51C0" w14:textId="77777777" w:rsidR="00043AE9" w:rsidRPr="007F69DA" w:rsidRDefault="00043AE9" w:rsidP="00043AE9">
      <w:pPr>
        <w:ind w:right="1134"/>
        <w:rPr>
          <w:sz w:val="16"/>
          <w:szCs w:val="16"/>
        </w:rPr>
      </w:pPr>
    </w:p>
    <w:p w14:paraId="1FA33175" w14:textId="77777777" w:rsidR="00043AE9" w:rsidRPr="007F69DA" w:rsidRDefault="00043AE9" w:rsidP="00043AE9">
      <w:pPr>
        <w:spacing w:line="360" w:lineRule="auto"/>
        <w:jc w:val="both"/>
        <w:rPr>
          <w:szCs w:val="24"/>
          <w:lang w:bidi="en-US"/>
        </w:rPr>
      </w:pPr>
    </w:p>
    <w:p w14:paraId="52AD0EE6" w14:textId="77777777" w:rsidR="00043AE9" w:rsidRPr="007F69DA" w:rsidRDefault="00043AE9" w:rsidP="00043AE9">
      <w:pPr>
        <w:spacing w:line="360" w:lineRule="auto"/>
        <w:jc w:val="both"/>
        <w:rPr>
          <w:szCs w:val="24"/>
          <w:lang w:bidi="en-US"/>
        </w:rPr>
      </w:pPr>
      <w:bookmarkStart w:id="107" w:name="_Toc413251448"/>
      <w:bookmarkStart w:id="108" w:name="_Toc413251514"/>
      <w:r w:rsidRPr="007F69DA">
        <w:rPr>
          <w:szCs w:val="24"/>
          <w:lang w:bidi="en-US"/>
        </w:rPr>
        <w:t>6 Subkulturen-Marketing</w:t>
      </w:r>
      <w:bookmarkEnd w:id="107"/>
      <w:bookmarkEnd w:id="108"/>
    </w:p>
    <w:p w14:paraId="54216CA3" w14:textId="77777777" w:rsidR="00043AE9" w:rsidRPr="007F69DA" w:rsidRDefault="00043AE9" w:rsidP="00043AE9">
      <w:r w:rsidRPr="007F69DA">
        <w:t>Subkulturen sind Untergruppen bzw. Abspaltungen von der in einer Ge</w:t>
      </w:r>
      <w:r w:rsidRPr="007F69DA">
        <w:softHyphen/>
        <w:t>sellschaft dominanten Kultur. Sie beziehen ihre Identität nicht aus einer gemeinsamen ethnischen Herkunft, sondern aus ihrem gemeinsamen soziokulturellen Hintergrund. Subkulturen verfolgen nicht (mehr) das Ziel der In</w:t>
      </w:r>
      <w:r w:rsidRPr="007F69DA">
        <w:softHyphen/>
        <w:t>te</w:t>
      </w:r>
      <w:r w:rsidRPr="007F69DA">
        <w:softHyphen/>
        <w:t>gra</w:t>
      </w:r>
      <w:r w:rsidRPr="007F69DA">
        <w:softHyphen/>
        <w:t>tion in die Leitkultur, sondern betreiben kulturelle Segregation: Abspaltung.</w:t>
      </w:r>
    </w:p>
    <w:p w14:paraId="21519650" w14:textId="77777777" w:rsidR="00043AE9" w:rsidRPr="007F69DA" w:rsidRDefault="00043AE9" w:rsidP="00043AE9"/>
    <w:p w14:paraId="52004085" w14:textId="77777777" w:rsidR="00043AE9" w:rsidRPr="007F69DA" w:rsidRDefault="00043AE9" w:rsidP="00043AE9">
      <w:r w:rsidRPr="007F69DA">
        <w:t>Soziale Vergleiche, z.B. des Selbstbildes, orientieren sich nur noch an den Maßstäben der eigenen Gruppe. Der im Regelfall „selbstwert-schädliche“ Vergleich mit den Standards der Majorität (= häufig Leistungsanforderungen), unterbleibt. Subkulturen konkurrieren nicht (mehr) mit der dominanten Kultur um die Legitimität von Wertvorstellungen, sondern entwickeln sich zur Gegen</w:t>
      </w:r>
      <w:r w:rsidRPr="007F69DA">
        <w:softHyphen/>
        <w:t>kultur. Deshalb weisen Gesellschaften mit ausgeprägten Subkulturen eine vergleichsweise geringe soziale Dynamik auf.</w:t>
      </w:r>
    </w:p>
    <w:p w14:paraId="6EB816C4" w14:textId="77777777" w:rsidR="00043AE9" w:rsidRPr="007F69DA" w:rsidRDefault="00043AE9" w:rsidP="00043AE9"/>
    <w:p w14:paraId="274E3EFD" w14:textId="77777777" w:rsidR="00043AE9" w:rsidRPr="007F69DA" w:rsidRDefault="00043AE9" w:rsidP="00043AE9">
      <w:r w:rsidRPr="007F69DA">
        <w:t>Für den chinesischen Markt ist aus dieser Sicht die „Generation Y“ bedeutsam. Erstmals in der langen chinesischen Geschichte hatte diese Sub</w:t>
      </w:r>
      <w:r w:rsidRPr="007F69DA">
        <w:softHyphen/>
        <w:t>kultur die Chance, das eigene Leben selbst in die Hand zu nehmen (d.h. den Beruf frei zu wählen, einen eigenen Lebensstil zu entwickeln etc.). Hinzu kommen ausgeprägtes Konsumdenken und wachsendes Markenbewusstsein sowie eine zunehmende Akzeptanz individualistischer Werte (vgl. Stanat 2006). Die „Generation Y“ lebt schwergewichtig in Tier-1-Städten, wie Chinas Metropolen (Peking, Shanghai, Guangzhou etc.) gemäß einer Klassifikation der chinesischen Großstädte nach Einwohnerzahl und Kaufkraft genannt werden. Es folgen die Tier-2-Städte, zu denen u.a. Wuhan, Nanjing oder Chengdu zählen. Weitere Hunderte von Millionen Konsumenten leben in den rund 500 Tier-3- bis Tier-5-Städten. Dort haben ausländische Anbieter internationaler oder globaler Mar</w:t>
      </w:r>
      <w:r w:rsidRPr="007F69DA">
        <w:softHyphen/>
        <w:t xml:space="preserve">ken bislang wenig Erfolg, da die Bewohner dieser Städte auf andere Werbebotschaften ansprechen als die bereits international orientierten Bewohner der reichen Tier-1- und Tier-2-Metropolen. Procter &amp; Gamble verfolgt deshalb auf dem chinesischen Markt für seine Olay Whitening-Hautcreme eine duale Vermarktungsstrategie: „In den Tier-1-Städten wird die teure Creme mit detailliertem und wissenschaftlich begründeten Nutzenversprechen vermarktet. Die günstigere Version für </w:t>
      </w:r>
      <w:r w:rsidRPr="007F69DA">
        <w:lastRenderedPageBreak/>
        <w:t xml:space="preserve">die kleineren Städte wird hingegen ohne komplexe Produktinformation verkauft. Stattdessen setzt der US-Markenartikelhersteller dort auf Bilder mit natürlichen Schönheit und Sex-Appeal“ (Ramoser 2006, S.24). </w:t>
      </w:r>
    </w:p>
    <w:p w14:paraId="7FD32508" w14:textId="77777777" w:rsidR="00043AE9" w:rsidRPr="007F69DA" w:rsidRDefault="00043AE9" w:rsidP="00043AE9"/>
    <w:p w14:paraId="62409BCA" w14:textId="77777777" w:rsidR="00043AE9" w:rsidRDefault="00043AE9" w:rsidP="00AB3FAA">
      <w:pPr>
        <w:pStyle w:val="Literatur"/>
        <w:numPr>
          <w:ilvl w:val="0"/>
          <w:numId w:val="0"/>
        </w:numPr>
        <w:spacing w:line="240" w:lineRule="auto"/>
        <w:rPr>
          <w:sz w:val="22"/>
          <w:szCs w:val="22"/>
          <w:lang w:val="en-GB"/>
        </w:rPr>
      </w:pPr>
      <w:r w:rsidRPr="00477EE1">
        <w:rPr>
          <w:b/>
          <w:bCs w:val="0"/>
          <w:i/>
          <w:sz w:val="22"/>
          <w:szCs w:val="22"/>
          <w:lang w:val="en-US"/>
        </w:rPr>
        <w:t>Literatur:</w:t>
      </w:r>
      <w:r w:rsidRPr="0018289F">
        <w:rPr>
          <w:sz w:val="22"/>
          <w:szCs w:val="22"/>
          <w:lang w:val="en-US"/>
        </w:rPr>
        <w:t xml:space="preserve"> Al Kailani, M.; Kumar, R. (2011): Investigating Uncertainty Avoidance and Perceived Risk for Impacting Internet Buying. A Study in Three National Cultures, International Journal of Business and Management, 6(5): 76-92.   Arora, A., &amp; Fosfuri, A. (2000). Wholly owned subsidiary versus technology licensing in the worldwide chemical industry. </w:t>
      </w:r>
      <w:r w:rsidRPr="0018289F">
        <w:rPr>
          <w:iCs/>
          <w:sz w:val="22"/>
          <w:szCs w:val="22"/>
          <w:lang w:val="en-US"/>
        </w:rPr>
        <w:t>Journal of International Business Studies</w:t>
      </w:r>
      <w:r w:rsidRPr="0018289F">
        <w:rPr>
          <w:sz w:val="22"/>
          <w:szCs w:val="22"/>
          <w:lang w:val="en-US"/>
        </w:rPr>
        <w:t xml:space="preserve">, </w:t>
      </w:r>
      <w:r w:rsidRPr="0018289F">
        <w:rPr>
          <w:iCs/>
          <w:sz w:val="22"/>
          <w:szCs w:val="22"/>
          <w:lang w:val="en-US"/>
        </w:rPr>
        <w:t>31</w:t>
      </w:r>
      <w:r w:rsidRPr="0018289F">
        <w:rPr>
          <w:sz w:val="22"/>
          <w:szCs w:val="22"/>
          <w:lang w:val="en-US"/>
        </w:rPr>
        <w:t xml:space="preserve">(4), 555-572.   Ayal, I.; Nachum, L. (1994): A Fresh Look at the Standardization Problem. Classifying LDC’s in the Marketing Mix Context, Journal of International Marketing and Marketing Research, 19(1): 17-35.   </w:t>
      </w:r>
      <w:r w:rsidRPr="0018289F">
        <w:rPr>
          <w:sz w:val="22"/>
          <w:szCs w:val="22"/>
        </w:rPr>
        <w:t xml:space="preserve">Bachstein, A. (2012): Rüpel aus dem Norden, Süddeutsche Zeitung, 68(1): 7.   Bauer, E. (2009): Internationale Marketingforschung. Informationsgewinnung für das Internationale Marketing, 4. Aufl., München: Oldenbourg.   Chhokar, J.S.; Brodbeck, F.C.; House, R.J. (Eds.) (2007): Culture and Leadership across the World. </w:t>
      </w:r>
      <w:r w:rsidRPr="0018289F">
        <w:rPr>
          <w:sz w:val="22"/>
          <w:szCs w:val="22"/>
          <w:lang w:val="en-US"/>
        </w:rPr>
        <w:t>The GLOBE Book of In-Depth Studies of 25 Societies, Mahwah/NJ: Erlbaum.    Clemens, B. (1996): Türken fahren Mercedes, Lebensmittelzeitung, 48(8): 46-47.   Desender, K.A.; Castro, C.E.; De, L.E.Ó.N.; Escamilla, S. A. (2011): Earnings Management and Cultural Values, American Journal of Economics and Sociology, 70(3): 639-670.   Erdem, T.; Swait, J.; Valenzuela, A. (2006): Brands as Signals. A Cross-Country Validation Study, Journal of Marketing, 70(1): 34-49.   Fisher, T.F.; Ranasinghe, M. (2001): Culture and Foreign Companies Choice of Entry Mode. The Case of the Singapore Building and Construction Industry, Construction Management &amp; Economics, 19(4): 343</w:t>
      </w:r>
      <w:r w:rsidRPr="0018289F">
        <w:rPr>
          <w:sz w:val="22"/>
          <w:szCs w:val="22"/>
          <w:lang w:val="en-US"/>
        </w:rPr>
        <w:noBreakHyphen/>
        <w:t>353.   Friedman, T.L. (2005): The World is Flat. A Brief History of the Twenty-First Century, New York: Farrar, Straus and Giroux. (</w:t>
      </w:r>
      <w:r w:rsidRPr="0018289F">
        <w:rPr>
          <w:sz w:val="22"/>
          <w:szCs w:val="22"/>
        </w:rPr>
        <w:t xml:space="preserve">dt.: Die Welt ist flach. Eine kurze Geschichte des 21. </w:t>
      </w:r>
      <w:r w:rsidRPr="0018289F">
        <w:rPr>
          <w:sz w:val="22"/>
          <w:szCs w:val="22"/>
          <w:lang w:val="en-US"/>
        </w:rPr>
        <w:t>Jahrhunderts, Frankfurt/Main: Suhrkamp 2006).   Ger, G. (1999): Localizing in the Global Village. Local Firms Competing in Global Markets, California Management Review, 41(4): 64</w:t>
      </w:r>
      <w:r w:rsidRPr="0018289F">
        <w:rPr>
          <w:sz w:val="22"/>
          <w:szCs w:val="22"/>
          <w:lang w:val="en-US"/>
        </w:rPr>
        <w:noBreakHyphen/>
        <w:t xml:space="preserve">83.   Glazer, N.; Moynihan, D.P. (1954): Beyond the Melting Pot. The Negroes, Puerto Ricans, Jews, Italians, and Irish of New York City, Cambridge/MA: MIT.    </w:t>
      </w:r>
      <w:r w:rsidRPr="0018289F">
        <w:rPr>
          <w:sz w:val="22"/>
          <w:szCs w:val="22"/>
          <w:lang w:val="en-GB"/>
        </w:rPr>
        <w:t>Gregory, G.D.; Münch, J.M.; Peterson, M. (2002): Attitude Functions in Consumer Research. Comparing Value-Attitude Relations in Individualist and Collectivist Cultures, Journal of Business Research, 55(11): 933-942.</w:t>
      </w:r>
      <w:r w:rsidRPr="0018289F">
        <w:rPr>
          <w:sz w:val="22"/>
          <w:szCs w:val="22"/>
          <w:lang w:val="en-US"/>
        </w:rPr>
        <w:t xml:space="preserve">   </w:t>
      </w:r>
      <w:r w:rsidRPr="0018289F">
        <w:rPr>
          <w:sz w:val="22"/>
          <w:szCs w:val="22"/>
        </w:rPr>
        <w:t xml:space="preserve">Hammann, P. (1995): Kommunales und regionales Marketing, in: Tietz, B.; Köhler,R.; Zentes, J. (Hrsg.), Handwörterbuch des Marketing, 2. Aufl., 1166-1176, Stuttgart: Schäffer-Poeschel.   Lamparter, D.H. (2009): Daimler im Crashtest, Die Zeit, 64(52): 21.   Hamm, I. (2003): Die MTV-Mindset-Studien. Jugendmarketing mit Subkulturen und Lebensstilen, Stuttgart: Schäffer-Poeschel.  </w:t>
      </w:r>
      <w:r w:rsidRPr="0018289F">
        <w:rPr>
          <w:sz w:val="22"/>
          <w:szCs w:val="22"/>
          <w:lang w:val="en-US"/>
        </w:rPr>
        <w:t xml:space="preserve">Jeong, S.; Lee, J. (2021): Effects of Cultural Background on Consumer Perception and Acceptability of Foods and Drinks: A Review of Latest Cross-Cultural Studies, </w:t>
      </w:r>
      <w:r w:rsidRPr="0018289F">
        <w:rPr>
          <w:iCs/>
          <w:sz w:val="22"/>
          <w:szCs w:val="22"/>
          <w:lang w:val="en-US"/>
        </w:rPr>
        <w:t>Current Opinion in Food Science</w:t>
      </w:r>
      <w:r w:rsidRPr="0018289F">
        <w:rPr>
          <w:sz w:val="22"/>
          <w:szCs w:val="22"/>
          <w:lang w:val="en-US"/>
        </w:rPr>
        <w:t xml:space="preserve">, </w:t>
      </w:r>
      <w:r w:rsidRPr="0018289F">
        <w:rPr>
          <w:iCs/>
          <w:sz w:val="22"/>
          <w:szCs w:val="22"/>
          <w:lang w:val="en-US"/>
        </w:rPr>
        <w:t>42</w:t>
      </w:r>
      <w:r w:rsidRPr="0018289F">
        <w:rPr>
          <w:sz w:val="22"/>
          <w:szCs w:val="22"/>
          <w:lang w:val="en-US"/>
        </w:rPr>
        <w:t xml:space="preserve">, 248-256.  Tiu Wright, L.; Nancarrow, C.; Kwok, P.M. (2001): Food Taste Preferences and Cultural Influences on Consumption, </w:t>
      </w:r>
      <w:r w:rsidRPr="0018289F">
        <w:rPr>
          <w:iCs/>
          <w:sz w:val="22"/>
          <w:szCs w:val="22"/>
          <w:lang w:val="en-US"/>
        </w:rPr>
        <w:t>British Food Journal</w:t>
      </w:r>
      <w:r w:rsidRPr="0018289F">
        <w:rPr>
          <w:sz w:val="22"/>
          <w:szCs w:val="22"/>
          <w:lang w:val="en-US"/>
        </w:rPr>
        <w:t xml:space="preserve">, </w:t>
      </w:r>
      <w:r w:rsidRPr="0018289F">
        <w:rPr>
          <w:iCs/>
          <w:sz w:val="22"/>
          <w:szCs w:val="22"/>
          <w:lang w:val="en-US"/>
        </w:rPr>
        <w:t>103</w:t>
      </w:r>
      <w:r w:rsidRPr="0018289F">
        <w:rPr>
          <w:sz w:val="22"/>
          <w:szCs w:val="22"/>
          <w:lang w:val="en-US"/>
        </w:rPr>
        <w:t>(5): 348-357.  Kacen, J.J.; Lee, J.A. (2002): The Influence of Culture on Consumer Impulsive Buying B</w:t>
      </w:r>
      <w:r w:rsidRPr="0054419F">
        <w:rPr>
          <w:sz w:val="22"/>
          <w:szCs w:val="22"/>
          <w:lang w:val="en-US"/>
        </w:rPr>
        <w:t>ehavior</w:t>
      </w:r>
      <w:r w:rsidRPr="0018289F">
        <w:rPr>
          <w:sz w:val="22"/>
          <w:szCs w:val="22"/>
          <w:lang w:val="en-US"/>
        </w:rPr>
        <w:t>,</w:t>
      </w:r>
      <w:r w:rsidRPr="0054419F">
        <w:rPr>
          <w:sz w:val="22"/>
          <w:szCs w:val="22"/>
          <w:lang w:val="en-US"/>
        </w:rPr>
        <w:t xml:space="preserve"> </w:t>
      </w:r>
      <w:r w:rsidRPr="0018289F">
        <w:rPr>
          <w:iCs/>
          <w:sz w:val="22"/>
          <w:szCs w:val="22"/>
          <w:lang w:val="en-US"/>
        </w:rPr>
        <w:t>Journal of Consumer P</w:t>
      </w:r>
      <w:r w:rsidRPr="0054419F">
        <w:rPr>
          <w:iCs/>
          <w:sz w:val="22"/>
          <w:szCs w:val="22"/>
          <w:lang w:val="en-US"/>
        </w:rPr>
        <w:t>sychology</w:t>
      </w:r>
      <w:r w:rsidRPr="0054419F">
        <w:rPr>
          <w:sz w:val="22"/>
          <w:szCs w:val="22"/>
          <w:lang w:val="en-US"/>
        </w:rPr>
        <w:t xml:space="preserve">, </w:t>
      </w:r>
      <w:r w:rsidRPr="0054419F">
        <w:rPr>
          <w:iCs/>
          <w:sz w:val="22"/>
          <w:szCs w:val="22"/>
          <w:lang w:val="en-US"/>
        </w:rPr>
        <w:t>12</w:t>
      </w:r>
      <w:r w:rsidRPr="0018289F">
        <w:rPr>
          <w:sz w:val="22"/>
          <w:szCs w:val="22"/>
          <w:lang w:val="en-US"/>
        </w:rPr>
        <w:t>(2):</w:t>
      </w:r>
      <w:r w:rsidRPr="0054419F">
        <w:rPr>
          <w:sz w:val="22"/>
          <w:szCs w:val="22"/>
          <w:lang w:val="en-US"/>
        </w:rPr>
        <w:t xml:space="preserve"> 163-176.</w:t>
      </w:r>
      <w:r w:rsidRPr="0018289F">
        <w:rPr>
          <w:sz w:val="22"/>
          <w:szCs w:val="22"/>
          <w:lang w:val="en-US"/>
        </w:rPr>
        <w:t xml:space="preserve">   </w:t>
      </w:r>
      <w:r w:rsidRPr="0018289F">
        <w:rPr>
          <w:sz w:val="22"/>
          <w:szCs w:val="22"/>
          <w:lang w:val="es-ES"/>
        </w:rPr>
        <w:t xml:space="preserve">Lustig, M.W.; Koester, J. (2008): Intercultural Competence. </w:t>
      </w:r>
      <w:r w:rsidRPr="0018289F">
        <w:rPr>
          <w:sz w:val="22"/>
          <w:szCs w:val="22"/>
          <w:lang w:val="en-US"/>
        </w:rPr>
        <w:t>Interpersonal Communication across Cultures, 5th Ed., Boston: Pearson (2nd Ed. = 1996).   Minbaeva, D.; Pederson, T.; Björkman, J.; Fey, C.F.; Park, H.J. (2003): MNC Knowledge Transfer, Subsidiary Absorptive Capacity, and HRM, Journal of International Business Studies, 34(6): 586</w:t>
      </w:r>
      <w:r w:rsidRPr="0018289F">
        <w:rPr>
          <w:sz w:val="22"/>
          <w:szCs w:val="22"/>
          <w:lang w:val="en-US"/>
        </w:rPr>
        <w:noBreakHyphen/>
        <w:t xml:space="preserve">599.   </w:t>
      </w:r>
      <w:r w:rsidRPr="0018289F">
        <w:rPr>
          <w:sz w:val="22"/>
          <w:szCs w:val="22"/>
        </w:rPr>
        <w:t xml:space="preserve">Nordhofen, E. (1997): Die Farbe Bunt, Die Zeit, 52(29): 40.   Oberndörfer, D. (1996): Assimilation, Multikulturalismus oder kultureller Pluralismus? Zum Gegensatz zwischen kollektiver Nationalkultur und kultureller Freiheit der Republik, Osnabrück: Rasch.   </w:t>
      </w:r>
      <w:r w:rsidRPr="0018289F">
        <w:rPr>
          <w:sz w:val="22"/>
          <w:szCs w:val="22"/>
          <w:lang w:val="en-US"/>
        </w:rPr>
        <w:t>Ramoser, T. (2006): Marketing in Tier-5, Absatzwirtschaft, 49(7): 24.   Rao, A.; Schmidt, S.M. (1998): A Behavioral Perspective on Negotiating International Alliances, Journal of International Business Studies, 29(4): 435</w:t>
      </w:r>
      <w:r w:rsidRPr="0018289F">
        <w:rPr>
          <w:sz w:val="22"/>
          <w:szCs w:val="22"/>
          <w:lang w:val="en-US"/>
        </w:rPr>
        <w:noBreakHyphen/>
        <w:t xml:space="preserve">454.   </w:t>
      </w:r>
      <w:r w:rsidRPr="0018289F">
        <w:rPr>
          <w:sz w:val="22"/>
          <w:szCs w:val="22"/>
        </w:rPr>
        <w:t xml:space="preserve">Ridderbusch, K. (2008): Sag es lieber in der Muttersprache. Wer auf dem US-amerikanischen Markt erfolgreich werben will, muss auch die hispanischen Bürger ansprechen, Horizont, 26(15): 33.   </w:t>
      </w:r>
      <w:r w:rsidRPr="0018289F">
        <w:rPr>
          <w:sz w:val="22"/>
          <w:szCs w:val="22"/>
          <w:lang w:val="en-US"/>
        </w:rPr>
        <w:t>Rosenzweig, P.M.; Nohira, N. (1994): Influences on Human Resource Management Practices in Multinational Corporations, Journal o</w:t>
      </w:r>
      <w:r w:rsidRPr="0018289F">
        <w:rPr>
          <w:sz w:val="22"/>
          <w:szCs w:val="22"/>
          <w:lang w:val="en-GB"/>
        </w:rPr>
        <w:t>f International Business Studies, 25(3):</w:t>
      </w:r>
      <w:r w:rsidRPr="0018289F">
        <w:rPr>
          <w:sz w:val="22"/>
          <w:szCs w:val="22"/>
          <w:lang w:val="en-US"/>
        </w:rPr>
        <w:t xml:space="preserve"> </w:t>
      </w:r>
      <w:r w:rsidRPr="0018289F">
        <w:rPr>
          <w:sz w:val="22"/>
          <w:szCs w:val="22"/>
          <w:lang w:val="en-GB"/>
        </w:rPr>
        <w:t>229</w:t>
      </w:r>
      <w:r w:rsidRPr="0018289F">
        <w:rPr>
          <w:sz w:val="22"/>
          <w:szCs w:val="22"/>
          <w:lang w:val="en-US"/>
        </w:rPr>
        <w:noBreakHyphen/>
      </w:r>
      <w:r w:rsidRPr="0018289F">
        <w:rPr>
          <w:sz w:val="22"/>
          <w:szCs w:val="22"/>
          <w:lang w:val="en-GB"/>
        </w:rPr>
        <w:t xml:space="preserve">251.   </w:t>
      </w:r>
      <w:r w:rsidRPr="0018289F">
        <w:rPr>
          <w:sz w:val="22"/>
          <w:szCs w:val="22"/>
          <w:lang w:val="en-US"/>
        </w:rPr>
        <w:t xml:space="preserve">Schepers, J.; Wetzels, M. (2007): A Meta-Analysis of the Technology Acceptance Model. </w:t>
      </w:r>
      <w:r w:rsidRPr="0018289F">
        <w:rPr>
          <w:sz w:val="22"/>
          <w:szCs w:val="22"/>
        </w:rPr>
        <w:t>Investigating Subjective Norm and Moderation Effects, Information &amp; Management, 44(1): 90-103.   Schneider, H.; Coşkun, B.; Schneider, G.K. (2010): Rollenverteilung bei Kaufentscheidungen türkischstämmiger Familien in Deutschland, Marketing ZFP, 32(3): 164-179.   Seidel, H. (2008): Die Werbung spricht türkisch, Die Welt, 26.Januar: 16.   Sommer, S. (2011): Wie deutsche Firmen Einwanderer umgarnen, http://www.spiegel.de/</w:t>
      </w:r>
      <w:r w:rsidRPr="0018289F">
        <w:rPr>
          <w:sz w:val="22"/>
          <w:szCs w:val="22"/>
        </w:rPr>
        <w:br/>
        <w:t xml:space="preserve">karriere/berufsleben/0,1518,druck-761111,00.html  (08.05.2011).   </w:t>
      </w:r>
      <w:r w:rsidRPr="0018289F">
        <w:rPr>
          <w:sz w:val="22"/>
          <w:szCs w:val="22"/>
          <w:lang w:val="en-GB"/>
        </w:rPr>
        <w:t xml:space="preserve">Stanat, M. (2006): China’s Generation Y. Understanding the Future Leaders of the World’s Next Superpower, Paramus/NJ: Homa &amp; </w:t>
      </w:r>
      <w:r w:rsidRPr="0018289F">
        <w:rPr>
          <w:sz w:val="22"/>
          <w:szCs w:val="22"/>
          <w:lang w:val="en-GB"/>
        </w:rPr>
        <w:lastRenderedPageBreak/>
        <w:t xml:space="preserve">Sekey. </w:t>
      </w:r>
      <w:r w:rsidRPr="0018289F">
        <w:rPr>
          <w:sz w:val="22"/>
          <w:szCs w:val="22"/>
          <w:lang w:val="en-US"/>
        </w:rPr>
        <w:t xml:space="preserve">  </w:t>
      </w:r>
      <w:r w:rsidRPr="0018289F">
        <w:rPr>
          <w:sz w:val="22"/>
          <w:szCs w:val="22"/>
        </w:rPr>
        <w:t xml:space="preserve">Stolz, M. (2011): Weihnachtsmann und Co, Zeitmagazin, 66(51): 10.   Trommsdorff, G. (2008): Kultur und Sozialisation, in: Hurrelmann, K.; Grundmann, M. (2008): Handbuch Sozialisationsforschung, 229-239, Weinheim: Beltz.   </w:t>
      </w:r>
      <w:r w:rsidRPr="0018289F">
        <w:rPr>
          <w:sz w:val="22"/>
          <w:szCs w:val="22"/>
          <w:lang w:val="en-US"/>
        </w:rPr>
        <w:t xml:space="preserve">Tsui, A.S.; Farh, J.L.L. (1997): Where Guanxi Matters. Relational Demography and Guanxi in the Chinese Context, Work and Occupations, 24(1): 56-79.   Tsui, A.S.; Nifadkar, S.S.; Ou, A.Y. (2007): Cross-National, Cross-Cultural Organizational Behavior Research. </w:t>
      </w:r>
      <w:r w:rsidRPr="0018289F">
        <w:rPr>
          <w:sz w:val="22"/>
          <w:szCs w:val="22"/>
        </w:rPr>
        <w:t>Advances, Gaps, and Recommendations, Journal of Management, 33(3): 426</w:t>
      </w:r>
      <w:r w:rsidRPr="0018289F">
        <w:rPr>
          <w:sz w:val="22"/>
          <w:szCs w:val="22"/>
        </w:rPr>
        <w:noBreakHyphen/>
        <w:t xml:space="preserve">478.   Urban, T. (2011): Ein Riss geht durch das Land, Süddeutsche Zeitung, 67(232):11.   </w:t>
      </w:r>
      <w:r w:rsidRPr="0018289F">
        <w:rPr>
          <w:sz w:val="22"/>
          <w:szCs w:val="22"/>
          <w:lang w:val="en-GB"/>
        </w:rPr>
        <w:t>Weber, E.U.; Hsee, C.K. (1998): Cross-Cultural Differences in Risk Perception, but Cross-Cultural Similarities in Attitudes towards Perceived Risk, Management Science, 44(9): 1205-1217.</w:t>
      </w:r>
    </w:p>
    <w:p w14:paraId="447F0501" w14:textId="77777777" w:rsidR="00043AE9" w:rsidRPr="00E73F6F" w:rsidRDefault="00043AE9" w:rsidP="00F07781">
      <w:pPr>
        <w:pStyle w:val="StandardText"/>
      </w:pPr>
    </w:p>
    <w:p w14:paraId="7AC98551" w14:textId="77777777" w:rsidR="00FF7799" w:rsidRPr="00AB3FAA" w:rsidRDefault="00FF7799" w:rsidP="00414BDC">
      <w:pPr>
        <w:pStyle w:val="berschrift1"/>
        <w:rPr>
          <w:bCs w:val="0"/>
          <w:color w:val="2E74B5"/>
          <w:sz w:val="22"/>
        </w:rPr>
      </w:pPr>
      <w:r w:rsidRPr="00AB3FAA">
        <w:rPr>
          <w:bCs w:val="0"/>
          <w:color w:val="2E74B5"/>
          <w:sz w:val="22"/>
        </w:rPr>
        <w:t>Markt, gesättigter</w:t>
      </w:r>
    </w:p>
    <w:p w14:paraId="200C644C" w14:textId="77777777" w:rsidR="00FF7799" w:rsidRPr="00E73F6F" w:rsidRDefault="00FF7799" w:rsidP="00F07781">
      <w:pPr>
        <w:pStyle w:val="StandardText"/>
      </w:pPr>
      <w:r w:rsidRPr="00E73F6F">
        <w:t>Markt, in dem die Nachfrage stagniert, da alle potentiellen Kunden das betreffende Gut bereits besitzen</w:t>
      </w:r>
    </w:p>
    <w:p w14:paraId="1670726E" w14:textId="77777777" w:rsidR="00FF7799" w:rsidRPr="00E73F6F" w:rsidRDefault="00FF7799" w:rsidP="00F07781">
      <w:pPr>
        <w:pStyle w:val="StandardText"/>
      </w:pPr>
    </w:p>
    <w:p w14:paraId="72E2AFFD" w14:textId="77777777" w:rsidR="00FF7799" w:rsidRPr="00477EE1" w:rsidRDefault="00FF7799" w:rsidP="00414BDC">
      <w:pPr>
        <w:pStyle w:val="berschrift1"/>
        <w:rPr>
          <w:bCs w:val="0"/>
          <w:color w:val="2E74B5"/>
          <w:sz w:val="22"/>
        </w:rPr>
      </w:pPr>
      <w:r w:rsidRPr="00477EE1">
        <w:rPr>
          <w:bCs w:val="0"/>
          <w:color w:val="2E74B5"/>
          <w:sz w:val="22"/>
        </w:rPr>
        <w:t>Marktattraktivitäts/Markteintrittsbarrieren-Typologie</w:t>
      </w:r>
    </w:p>
    <w:p w14:paraId="7D86686E" w14:textId="77777777" w:rsidR="00FF7799" w:rsidRPr="00477EE1" w:rsidRDefault="00FF7799" w:rsidP="00F07781">
      <w:pPr>
        <w:pStyle w:val="BeschriftungTab"/>
        <w:rPr>
          <w:i/>
          <w:iCs/>
        </w:rPr>
      </w:pPr>
      <w:r w:rsidRPr="00477EE1">
        <w:rPr>
          <w:i/>
          <w:iCs/>
        </w:rPr>
        <w:t>Abb. 1: Marktattraktivitäts/Markteintrittsbarrieren-Typologie</w:t>
      </w:r>
    </w:p>
    <w:p w14:paraId="286136FA" w14:textId="77777777" w:rsidR="00FF7799" w:rsidRPr="00E73F6F" w:rsidRDefault="00FF7799" w:rsidP="00862DBA">
      <w:pPr>
        <w:spacing w:before="2"/>
        <w:rPr>
          <w:b/>
          <w:sz w:val="24"/>
          <w:szCs w:val="24"/>
        </w:rPr>
      </w:pPr>
      <w:r w:rsidRPr="00E73F6F">
        <w:rPr>
          <w:noProof/>
          <w:sz w:val="24"/>
          <w:szCs w:val="24"/>
          <w:lang w:eastAsia="de-DE"/>
        </w:rPr>
        <w:drawing>
          <wp:inline distT="0" distB="0" distL="0" distR="0" wp14:anchorId="10AC5DAC" wp14:editId="3F925B2A">
            <wp:extent cx="5098694" cy="4469275"/>
            <wp:effectExtent l="0" t="0" r="6985" b="7620"/>
            <wp:docPr id="1584" name="Image 15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4" name="Image 1584"/>
                    <pic:cNvPicPr/>
                  </pic:nvPicPr>
                  <pic:blipFill>
                    <a:blip r:embed="rId167" cstate="print">
                      <a:extLst>
                        <a:ext uri="{28A0092B-C50C-407E-A947-70E740481C1C}">
                          <a14:useLocalDpi xmlns:a14="http://schemas.microsoft.com/office/drawing/2010/main" val="0"/>
                        </a:ext>
                      </a:extLst>
                    </a:blip>
                    <a:stretch>
                      <a:fillRect/>
                    </a:stretch>
                  </pic:blipFill>
                  <pic:spPr>
                    <a:xfrm>
                      <a:off x="0" y="0"/>
                      <a:ext cx="5120341" cy="4488249"/>
                    </a:xfrm>
                    <a:prstGeom prst="rect">
                      <a:avLst/>
                    </a:prstGeom>
                  </pic:spPr>
                </pic:pic>
              </a:graphicData>
            </a:graphic>
          </wp:inline>
        </w:drawing>
      </w:r>
    </w:p>
    <w:p w14:paraId="3486E7C4" w14:textId="77777777" w:rsidR="00FF7799" w:rsidRPr="00E73F6F" w:rsidRDefault="00FF7799" w:rsidP="00862DBA">
      <w:pPr>
        <w:spacing w:before="10"/>
        <w:rPr>
          <w:b/>
          <w:sz w:val="24"/>
          <w:szCs w:val="24"/>
        </w:rPr>
      </w:pPr>
    </w:p>
    <w:p w14:paraId="367626F7" w14:textId="77777777" w:rsidR="0032014E" w:rsidRPr="00BB1DD7" w:rsidRDefault="0032014E" w:rsidP="0032014E">
      <w:pPr>
        <w:spacing w:line="360" w:lineRule="auto"/>
        <w:jc w:val="both"/>
        <w:rPr>
          <w:sz w:val="24"/>
          <w:szCs w:val="24"/>
          <w:lang w:bidi="en-US"/>
        </w:rPr>
      </w:pPr>
    </w:p>
    <w:p w14:paraId="6DC1A69F" w14:textId="77777777" w:rsidR="0032014E" w:rsidRDefault="0032014E" w:rsidP="00414BDC">
      <w:pPr>
        <w:pStyle w:val="berschrift1"/>
      </w:pPr>
    </w:p>
    <w:p w14:paraId="5BF3356D" w14:textId="77777777" w:rsidR="002A501D" w:rsidRPr="007F69DA" w:rsidRDefault="002A501D" w:rsidP="002A501D">
      <w:pPr>
        <w:keepNext/>
        <w:keepLines/>
        <w:spacing w:before="240"/>
        <w:jc w:val="both"/>
        <w:outlineLvl w:val="1"/>
        <w:rPr>
          <w:b/>
          <w:color w:val="2E74B5"/>
        </w:rPr>
      </w:pPr>
      <w:r w:rsidRPr="007F69DA">
        <w:rPr>
          <w:b/>
          <w:color w:val="2E74B5"/>
        </w:rPr>
        <w:lastRenderedPageBreak/>
        <w:t>Marktauswahlverfahren</w:t>
      </w:r>
    </w:p>
    <w:p w14:paraId="1C557F80" w14:textId="77777777" w:rsidR="002A501D" w:rsidRPr="007F69DA" w:rsidRDefault="002A501D" w:rsidP="002A501D">
      <w:pPr>
        <w:pStyle w:val="StandardText"/>
      </w:pPr>
      <w:r w:rsidRPr="007F69DA">
        <w:t xml:space="preserve">werden </w:t>
      </w:r>
      <w:r w:rsidRPr="007F69DA">
        <w:rPr>
          <w:bCs/>
          <w:szCs w:val="24"/>
        </w:rPr>
        <w:t>angesichts der Fülle an Informationen, welche über die annähernd 200 Staaten verfügbar sind (z.B. OECD Factbook; The World Factbook, World Competitiveness Yearbook), möglichst effizient betrieben - d.h. informationsökonomisch. Dies hat zur Folge, dass in der Praxis heuristische Verfahren (z.B. Checklist-Verfahren, Filterverfahren) Vorrang vor den rechentechnisch vergleichsweise aufwändigen analytischen, häufig clusteranalytischen Verfahren haben.</w:t>
      </w:r>
    </w:p>
    <w:p w14:paraId="1709105E" w14:textId="77777777" w:rsidR="002A501D" w:rsidRPr="007F69DA" w:rsidRDefault="002A501D" w:rsidP="002A501D">
      <w:pPr>
        <w:spacing w:line="360" w:lineRule="auto"/>
        <w:jc w:val="both"/>
        <w:rPr>
          <w:bCs/>
          <w:szCs w:val="24"/>
          <w:lang w:eastAsia="de-DE"/>
        </w:rPr>
      </w:pPr>
    </w:p>
    <w:p w14:paraId="51C5A8D5" w14:textId="77777777" w:rsidR="002A501D" w:rsidRPr="007F69DA" w:rsidRDefault="002A501D" w:rsidP="002A501D">
      <w:pPr>
        <w:pStyle w:val="L"/>
        <w:spacing w:line="240" w:lineRule="auto"/>
        <w:rPr>
          <w:rFonts w:ascii="Times New Roman" w:hAnsi="Times New Roman" w:cs="Times New Roman"/>
          <w:color w:val="auto"/>
          <w:w w:val="100"/>
          <w:sz w:val="22"/>
          <w:szCs w:val="22"/>
          <w:lang w:eastAsia="en-US"/>
        </w:rPr>
      </w:pPr>
      <w:bookmarkStart w:id="109" w:name="_Toc417287306"/>
      <w:r w:rsidRPr="007F69DA">
        <w:rPr>
          <w:rFonts w:ascii="Times New Roman" w:hAnsi="Times New Roman" w:cs="Times New Roman"/>
          <w:color w:val="auto"/>
          <w:w w:val="100"/>
          <w:sz w:val="22"/>
          <w:szCs w:val="22"/>
          <w:lang w:eastAsia="en-US"/>
        </w:rPr>
        <w:t>1  Heuristische Marktauswahlverfahren</w:t>
      </w:r>
      <w:bookmarkEnd w:id="109"/>
    </w:p>
    <w:p w14:paraId="26EAE68C" w14:textId="77777777" w:rsidR="002A501D" w:rsidRPr="007F69DA" w:rsidRDefault="002A501D" w:rsidP="002A501D">
      <w:pPr>
        <w:pStyle w:val="StandardText"/>
      </w:pPr>
      <w:r w:rsidRPr="007F69DA">
        <w:t xml:space="preserve">Als „heuristisch“ werden Verfahren bezeichnet, die es erlauben, ein komplexes Entscheidungsproblem mit einfachen Mitteln näherungsweise zu lösen. Im Falle von Markteintrittsentscheidungen erwächst die Komplexität aus der Vielzahl an Ländern, Markteintrittsstrategien und Kriterien zur Beurteilung der Marktattraktivität. Tab. 1 visualisiert beispielhaft und stark vereinfacht eine solche Entscheidungssituation, wobei in der Realität weitere Dimensionen zu beachten sind (bspw. das Timing des Markteintritts oder die Finanzierung). </w:t>
      </w:r>
    </w:p>
    <w:p w14:paraId="1C9B434E" w14:textId="77777777" w:rsidR="002A501D" w:rsidRPr="007F69DA" w:rsidRDefault="002A501D" w:rsidP="002A501D">
      <w:pPr>
        <w:spacing w:after="120" w:line="360" w:lineRule="auto"/>
        <w:jc w:val="center"/>
        <w:rPr>
          <w:szCs w:val="24"/>
          <w:lang w:eastAsia="de-DE"/>
        </w:rPr>
      </w:pPr>
    </w:p>
    <w:p w14:paraId="0B71D4E4" w14:textId="77777777" w:rsidR="002A501D" w:rsidRPr="00BF04C9" w:rsidRDefault="002A501D" w:rsidP="002A501D">
      <w:pPr>
        <w:spacing w:after="120"/>
        <w:jc w:val="center"/>
        <w:rPr>
          <w:i/>
          <w:szCs w:val="24"/>
          <w:lang w:eastAsia="de-DE"/>
        </w:rPr>
      </w:pPr>
      <w:r w:rsidRPr="007F69DA">
        <w:rPr>
          <w:szCs w:val="24"/>
          <w:lang w:eastAsia="de-DE"/>
        </w:rPr>
        <w:t xml:space="preserve"> </w:t>
      </w:r>
      <w:r w:rsidRPr="00BF04C9">
        <w:rPr>
          <w:i/>
          <w:szCs w:val="24"/>
          <w:lang w:eastAsia="de-DE"/>
        </w:rPr>
        <w:t xml:space="preserve">Tab. 1: Zur Vorbereitung einer Markteintrittsentscheidung </w:t>
      </w:r>
      <w:r w:rsidRPr="00BF04C9">
        <w:rPr>
          <w:i/>
          <w:szCs w:val="24"/>
          <w:lang w:eastAsia="de-DE"/>
        </w:rPr>
        <w:br/>
        <w:t>auszufüllende Datenmatrix (Ausschnitt)</w:t>
      </w:r>
    </w:p>
    <w:tbl>
      <w:tblPr>
        <w:tblW w:w="8660"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79"/>
        <w:gridCol w:w="471"/>
        <w:gridCol w:w="469"/>
        <w:gridCol w:w="474"/>
        <w:gridCol w:w="446"/>
        <w:gridCol w:w="497"/>
        <w:gridCol w:w="474"/>
        <w:gridCol w:w="470"/>
        <w:gridCol w:w="472"/>
        <w:gridCol w:w="475"/>
        <w:gridCol w:w="470"/>
        <w:gridCol w:w="482"/>
        <w:gridCol w:w="473"/>
        <w:gridCol w:w="8"/>
      </w:tblGrid>
      <w:tr w:rsidR="002A501D" w:rsidRPr="007F69DA" w14:paraId="4FFC7C75" w14:textId="77777777" w:rsidTr="00477EE1">
        <w:trPr>
          <w:cantSplit/>
          <w:trHeight w:val="692"/>
        </w:trPr>
        <w:tc>
          <w:tcPr>
            <w:tcW w:w="2983" w:type="dxa"/>
            <w:tcBorders>
              <w:left w:val="single" w:sz="4" w:space="0" w:color="auto"/>
              <w:bottom w:val="single" w:sz="4" w:space="0" w:color="auto"/>
            </w:tcBorders>
            <w:shd w:val="clear" w:color="auto" w:fill="FFC000"/>
          </w:tcPr>
          <w:p w14:paraId="2900E23B" w14:textId="77777777" w:rsidR="002A501D" w:rsidRPr="007F69DA" w:rsidRDefault="002A501D" w:rsidP="00F46ACB">
            <w:pPr>
              <w:spacing w:before="60" w:after="60"/>
              <w:jc w:val="right"/>
              <w:rPr>
                <w:b/>
                <w:bCs/>
                <w:szCs w:val="24"/>
                <w:lang w:bidi="en-US"/>
              </w:rPr>
            </w:pPr>
            <w:r w:rsidRPr="007F69DA">
              <w:rPr>
                <w:b/>
                <w:bCs/>
                <w:szCs w:val="24"/>
                <w:lang w:bidi="en-US"/>
              </w:rPr>
              <w:t>Land</w:t>
            </w:r>
            <w:r w:rsidRPr="007F69DA">
              <w:rPr>
                <w:b/>
                <w:bCs/>
                <w:noProof/>
                <w:szCs w:val="24"/>
                <w:lang w:bidi="en-US"/>
              </w:rPr>
              <w:t xml:space="preserve"> </w:t>
            </w:r>
          </w:p>
        </w:tc>
        <w:tc>
          <w:tcPr>
            <w:tcW w:w="1416" w:type="dxa"/>
            <w:gridSpan w:val="3"/>
            <w:tcBorders>
              <w:bottom w:val="single" w:sz="4" w:space="0" w:color="auto"/>
            </w:tcBorders>
            <w:shd w:val="clear" w:color="auto" w:fill="FFC000"/>
          </w:tcPr>
          <w:p w14:paraId="21F3BC24" w14:textId="77777777" w:rsidR="002A501D" w:rsidRPr="007F69DA" w:rsidRDefault="002A501D" w:rsidP="00F46ACB">
            <w:pPr>
              <w:spacing w:before="60" w:after="60"/>
              <w:jc w:val="center"/>
              <w:rPr>
                <w:szCs w:val="24"/>
                <w:lang w:bidi="en-US"/>
              </w:rPr>
            </w:pPr>
            <w:r w:rsidRPr="007F69DA">
              <w:rPr>
                <w:szCs w:val="24"/>
                <w:lang w:bidi="en-US"/>
              </w:rPr>
              <w:t>Ägypten</w:t>
            </w:r>
          </w:p>
        </w:tc>
        <w:tc>
          <w:tcPr>
            <w:tcW w:w="1417" w:type="dxa"/>
            <w:gridSpan w:val="3"/>
            <w:tcBorders>
              <w:bottom w:val="single" w:sz="4" w:space="0" w:color="auto"/>
            </w:tcBorders>
            <w:shd w:val="clear" w:color="auto" w:fill="FFC000"/>
          </w:tcPr>
          <w:p w14:paraId="1E85683A" w14:textId="77777777" w:rsidR="002A501D" w:rsidRPr="007F69DA" w:rsidRDefault="002A501D" w:rsidP="00F46ACB">
            <w:pPr>
              <w:spacing w:before="60" w:after="60"/>
              <w:jc w:val="center"/>
              <w:rPr>
                <w:szCs w:val="24"/>
                <w:lang w:bidi="en-US"/>
              </w:rPr>
            </w:pPr>
            <w:r w:rsidRPr="007F69DA">
              <w:rPr>
                <w:szCs w:val="24"/>
                <w:lang w:bidi="en-US"/>
              </w:rPr>
              <w:t>China</w:t>
            </w:r>
          </w:p>
        </w:tc>
        <w:tc>
          <w:tcPr>
            <w:tcW w:w="1417" w:type="dxa"/>
            <w:gridSpan w:val="3"/>
            <w:tcBorders>
              <w:bottom w:val="single" w:sz="4" w:space="0" w:color="auto"/>
            </w:tcBorders>
            <w:shd w:val="clear" w:color="auto" w:fill="FFC000"/>
          </w:tcPr>
          <w:p w14:paraId="7EFC46EB" w14:textId="77777777" w:rsidR="002A501D" w:rsidRPr="007F69DA" w:rsidRDefault="002A501D" w:rsidP="00F46ACB">
            <w:pPr>
              <w:spacing w:before="60" w:after="60"/>
              <w:jc w:val="center"/>
              <w:rPr>
                <w:szCs w:val="24"/>
                <w:lang w:bidi="en-US"/>
              </w:rPr>
            </w:pPr>
            <w:r w:rsidRPr="007F69DA">
              <w:rPr>
                <w:szCs w:val="24"/>
                <w:lang w:bidi="en-US"/>
              </w:rPr>
              <w:t>Kanada</w:t>
            </w:r>
          </w:p>
        </w:tc>
        <w:tc>
          <w:tcPr>
            <w:tcW w:w="1427" w:type="dxa"/>
            <w:gridSpan w:val="4"/>
            <w:tcBorders>
              <w:bottom w:val="single" w:sz="4" w:space="0" w:color="auto"/>
              <w:right w:val="single" w:sz="4" w:space="0" w:color="auto"/>
            </w:tcBorders>
            <w:shd w:val="clear" w:color="auto" w:fill="FFC000"/>
          </w:tcPr>
          <w:p w14:paraId="2F399B03" w14:textId="77777777" w:rsidR="002A501D" w:rsidRPr="007F69DA" w:rsidRDefault="002A501D" w:rsidP="00F46ACB">
            <w:pPr>
              <w:spacing w:before="60" w:after="60"/>
              <w:jc w:val="center"/>
              <w:rPr>
                <w:szCs w:val="24"/>
                <w:lang w:bidi="en-US"/>
              </w:rPr>
            </w:pPr>
            <w:r w:rsidRPr="007F69DA">
              <w:rPr>
                <w:szCs w:val="24"/>
                <w:lang w:bidi="en-US"/>
              </w:rPr>
              <w:t>Venezuela</w:t>
            </w:r>
          </w:p>
        </w:tc>
      </w:tr>
      <w:tr w:rsidR="002A501D" w:rsidRPr="007F69DA" w14:paraId="5E0A7D7A" w14:textId="77777777" w:rsidTr="00477EE1">
        <w:trPr>
          <w:gridAfter w:val="1"/>
          <w:wAfter w:w="8" w:type="dxa"/>
          <w:cantSplit/>
          <w:trHeight w:val="2337"/>
        </w:trPr>
        <w:tc>
          <w:tcPr>
            <w:tcW w:w="2983" w:type="dxa"/>
            <w:tcBorders>
              <w:top w:val="single" w:sz="4" w:space="0" w:color="auto"/>
              <w:left w:val="single" w:sz="4" w:space="0" w:color="auto"/>
              <w:tl2br w:val="single" w:sz="4" w:space="0" w:color="auto"/>
            </w:tcBorders>
            <w:shd w:val="clear" w:color="auto" w:fill="DEEAF6" w:themeFill="accent1" w:themeFillTint="33"/>
          </w:tcPr>
          <w:p w14:paraId="243F8174" w14:textId="77777777" w:rsidR="002A501D" w:rsidRPr="007F69DA" w:rsidRDefault="002A501D" w:rsidP="00F46ACB">
            <w:pPr>
              <w:spacing w:before="60" w:after="60"/>
              <w:jc w:val="both"/>
              <w:rPr>
                <w:b/>
                <w:bCs/>
                <w:sz w:val="16"/>
                <w:szCs w:val="16"/>
                <w:lang w:bidi="en-US"/>
              </w:rPr>
            </w:pPr>
          </w:p>
          <w:p w14:paraId="3355F6AA" w14:textId="77777777" w:rsidR="002A501D" w:rsidRPr="007F69DA" w:rsidRDefault="002A501D" w:rsidP="00F46ACB">
            <w:pPr>
              <w:spacing w:before="60" w:after="60"/>
              <w:jc w:val="right"/>
              <w:rPr>
                <w:b/>
                <w:bCs/>
                <w:szCs w:val="24"/>
                <w:lang w:bidi="en-US"/>
              </w:rPr>
            </w:pPr>
            <w:r w:rsidRPr="007F69DA">
              <w:rPr>
                <w:b/>
                <w:bCs/>
                <w:szCs w:val="24"/>
                <w:lang w:bidi="en-US"/>
              </w:rPr>
              <w:t xml:space="preserve">Strategie        </w:t>
            </w:r>
            <w:r w:rsidRPr="007F69DA">
              <w:rPr>
                <w:b/>
                <w:bCs/>
                <w:szCs w:val="24"/>
                <w:lang w:bidi="en-US"/>
              </w:rPr>
              <w:br/>
            </w:r>
          </w:p>
          <w:p w14:paraId="03E4A217" w14:textId="77777777" w:rsidR="002A501D" w:rsidRPr="007F69DA" w:rsidRDefault="002A501D" w:rsidP="00F46ACB">
            <w:pPr>
              <w:spacing w:before="60" w:after="60"/>
              <w:jc w:val="both"/>
              <w:rPr>
                <w:b/>
                <w:bCs/>
                <w:szCs w:val="24"/>
                <w:lang w:bidi="en-US"/>
              </w:rPr>
            </w:pPr>
          </w:p>
          <w:p w14:paraId="752B0705" w14:textId="77777777" w:rsidR="002A501D" w:rsidRPr="007F69DA" w:rsidRDefault="002A501D" w:rsidP="00F46ACB">
            <w:pPr>
              <w:spacing w:before="60" w:after="60"/>
              <w:jc w:val="both"/>
              <w:rPr>
                <w:b/>
                <w:bCs/>
                <w:szCs w:val="24"/>
                <w:lang w:bidi="en-US"/>
              </w:rPr>
            </w:pPr>
          </w:p>
          <w:p w14:paraId="0EB953A4" w14:textId="77777777" w:rsidR="002A501D" w:rsidRPr="007F69DA" w:rsidRDefault="002A501D" w:rsidP="00F46ACB">
            <w:pPr>
              <w:spacing w:before="60" w:after="60"/>
              <w:jc w:val="both"/>
              <w:rPr>
                <w:b/>
                <w:bCs/>
                <w:szCs w:val="24"/>
                <w:lang w:bidi="en-US"/>
              </w:rPr>
            </w:pPr>
            <w:r w:rsidRPr="007F69DA">
              <w:rPr>
                <w:b/>
                <w:bCs/>
                <w:szCs w:val="24"/>
                <w:lang w:bidi="en-US"/>
              </w:rPr>
              <w:t xml:space="preserve">Bewertungs- </w:t>
            </w:r>
          </w:p>
          <w:p w14:paraId="76CA61C3" w14:textId="77777777" w:rsidR="002A501D" w:rsidRPr="007F69DA" w:rsidRDefault="002A501D" w:rsidP="00F46ACB">
            <w:pPr>
              <w:spacing w:before="60" w:after="60"/>
              <w:jc w:val="both"/>
              <w:rPr>
                <w:b/>
                <w:bCs/>
                <w:szCs w:val="24"/>
                <w:lang w:bidi="en-US"/>
              </w:rPr>
            </w:pPr>
            <w:r w:rsidRPr="007F69DA">
              <w:rPr>
                <w:b/>
                <w:bCs/>
                <w:szCs w:val="24"/>
                <w:lang w:bidi="en-US"/>
              </w:rPr>
              <w:t>kriterium</w:t>
            </w:r>
          </w:p>
        </w:tc>
        <w:tc>
          <w:tcPr>
            <w:tcW w:w="472" w:type="dxa"/>
            <w:tcBorders>
              <w:top w:val="single" w:sz="4" w:space="0" w:color="auto"/>
              <w:right w:val="nil"/>
            </w:tcBorders>
            <w:shd w:val="clear" w:color="auto" w:fill="FFF2CC" w:themeFill="accent4" w:themeFillTint="33"/>
            <w:textDirection w:val="btLr"/>
            <w:vAlign w:val="center"/>
          </w:tcPr>
          <w:p w14:paraId="4D1575F7" w14:textId="77777777" w:rsidR="002A501D" w:rsidRPr="007F69DA" w:rsidRDefault="002A501D" w:rsidP="00F46ACB">
            <w:pPr>
              <w:spacing w:before="60" w:after="60"/>
              <w:ind w:left="113" w:right="113"/>
              <w:rPr>
                <w:sz w:val="16"/>
                <w:szCs w:val="16"/>
                <w:lang w:bidi="en-US"/>
              </w:rPr>
            </w:pPr>
            <w:r w:rsidRPr="007F69DA">
              <w:rPr>
                <w:sz w:val="16"/>
                <w:szCs w:val="16"/>
                <w:lang w:bidi="en-US"/>
              </w:rPr>
              <w:t>Lizenzvergabe</w:t>
            </w:r>
          </w:p>
        </w:tc>
        <w:tc>
          <w:tcPr>
            <w:tcW w:w="470" w:type="dxa"/>
            <w:tcBorders>
              <w:top w:val="single" w:sz="4" w:space="0" w:color="auto"/>
              <w:left w:val="nil"/>
              <w:right w:val="nil"/>
            </w:tcBorders>
            <w:shd w:val="clear" w:color="auto" w:fill="FFF2CC" w:themeFill="accent4" w:themeFillTint="33"/>
            <w:textDirection w:val="btLr"/>
            <w:vAlign w:val="center"/>
          </w:tcPr>
          <w:p w14:paraId="4B5B75F2" w14:textId="77777777" w:rsidR="002A501D" w:rsidRPr="007F69DA" w:rsidRDefault="002A501D" w:rsidP="00F46ACB">
            <w:pPr>
              <w:spacing w:before="60" w:after="60"/>
              <w:ind w:left="113" w:right="113"/>
              <w:rPr>
                <w:sz w:val="16"/>
                <w:szCs w:val="16"/>
                <w:lang w:bidi="en-US"/>
              </w:rPr>
            </w:pPr>
            <w:r w:rsidRPr="007F69DA">
              <w:rPr>
                <w:sz w:val="16"/>
                <w:szCs w:val="16"/>
                <w:lang w:bidi="en-US"/>
              </w:rPr>
              <w:t>Joint Venture</w:t>
            </w:r>
          </w:p>
        </w:tc>
        <w:tc>
          <w:tcPr>
            <w:tcW w:w="472" w:type="dxa"/>
            <w:tcBorders>
              <w:top w:val="single" w:sz="4" w:space="0" w:color="auto"/>
              <w:left w:val="nil"/>
            </w:tcBorders>
            <w:shd w:val="clear" w:color="auto" w:fill="FFF2CC" w:themeFill="accent4" w:themeFillTint="33"/>
            <w:textDirection w:val="btLr"/>
            <w:vAlign w:val="center"/>
          </w:tcPr>
          <w:p w14:paraId="0EC8B05D" w14:textId="77777777" w:rsidR="002A501D" w:rsidRPr="007F69DA" w:rsidRDefault="002A501D" w:rsidP="00F46ACB">
            <w:pPr>
              <w:spacing w:before="60" w:after="60"/>
              <w:ind w:left="113" w:right="113"/>
              <w:rPr>
                <w:sz w:val="16"/>
                <w:szCs w:val="16"/>
                <w:lang w:bidi="en-US"/>
              </w:rPr>
            </w:pPr>
            <w:r w:rsidRPr="007F69DA">
              <w:rPr>
                <w:sz w:val="16"/>
                <w:szCs w:val="16"/>
                <w:lang w:bidi="en-US"/>
              </w:rPr>
              <w:t>Tochterunternehmen</w:t>
            </w:r>
          </w:p>
        </w:tc>
        <w:tc>
          <w:tcPr>
            <w:tcW w:w="446" w:type="dxa"/>
            <w:tcBorders>
              <w:top w:val="single" w:sz="4" w:space="0" w:color="auto"/>
              <w:right w:val="nil"/>
            </w:tcBorders>
            <w:shd w:val="clear" w:color="auto" w:fill="FFF2CC" w:themeFill="accent4" w:themeFillTint="33"/>
            <w:textDirection w:val="btLr"/>
            <w:vAlign w:val="center"/>
          </w:tcPr>
          <w:p w14:paraId="4422A565" w14:textId="77777777" w:rsidR="002A501D" w:rsidRPr="007F69DA" w:rsidRDefault="002A501D" w:rsidP="00F46ACB">
            <w:pPr>
              <w:spacing w:before="60" w:after="60"/>
              <w:ind w:left="113" w:right="113"/>
              <w:rPr>
                <w:sz w:val="16"/>
                <w:szCs w:val="16"/>
                <w:lang w:bidi="en-US"/>
              </w:rPr>
            </w:pPr>
            <w:r w:rsidRPr="007F69DA">
              <w:rPr>
                <w:sz w:val="16"/>
                <w:szCs w:val="16"/>
                <w:lang w:bidi="en-US"/>
              </w:rPr>
              <w:t>Lizenz-Vergabe</w:t>
            </w:r>
          </w:p>
        </w:tc>
        <w:tc>
          <w:tcPr>
            <w:tcW w:w="497" w:type="dxa"/>
            <w:tcBorders>
              <w:top w:val="single" w:sz="4" w:space="0" w:color="auto"/>
              <w:left w:val="nil"/>
              <w:right w:val="nil"/>
            </w:tcBorders>
            <w:shd w:val="clear" w:color="auto" w:fill="FFF2CC" w:themeFill="accent4" w:themeFillTint="33"/>
            <w:textDirection w:val="btLr"/>
            <w:vAlign w:val="center"/>
          </w:tcPr>
          <w:p w14:paraId="002FE3B8" w14:textId="77777777" w:rsidR="002A501D" w:rsidRPr="007F69DA" w:rsidRDefault="002A501D" w:rsidP="00F46ACB">
            <w:pPr>
              <w:spacing w:before="60" w:after="60"/>
              <w:ind w:left="113" w:right="113"/>
              <w:rPr>
                <w:sz w:val="16"/>
                <w:szCs w:val="16"/>
                <w:lang w:bidi="en-US"/>
              </w:rPr>
            </w:pPr>
            <w:r w:rsidRPr="007F69DA">
              <w:rPr>
                <w:sz w:val="16"/>
                <w:szCs w:val="16"/>
                <w:lang w:bidi="en-US"/>
              </w:rPr>
              <w:t>Joint Venture</w:t>
            </w:r>
          </w:p>
        </w:tc>
        <w:tc>
          <w:tcPr>
            <w:tcW w:w="472" w:type="dxa"/>
            <w:tcBorders>
              <w:top w:val="single" w:sz="4" w:space="0" w:color="auto"/>
              <w:left w:val="nil"/>
            </w:tcBorders>
            <w:shd w:val="clear" w:color="auto" w:fill="FFF2CC" w:themeFill="accent4" w:themeFillTint="33"/>
            <w:textDirection w:val="btLr"/>
            <w:vAlign w:val="center"/>
          </w:tcPr>
          <w:p w14:paraId="483FBD05" w14:textId="77777777" w:rsidR="002A501D" w:rsidRPr="007F69DA" w:rsidRDefault="002A501D" w:rsidP="00F46ACB">
            <w:pPr>
              <w:spacing w:before="60" w:after="60"/>
              <w:ind w:left="113" w:right="113"/>
              <w:rPr>
                <w:sz w:val="16"/>
                <w:szCs w:val="16"/>
                <w:lang w:bidi="en-US"/>
              </w:rPr>
            </w:pPr>
            <w:r w:rsidRPr="007F69DA">
              <w:rPr>
                <w:sz w:val="16"/>
                <w:szCs w:val="16"/>
                <w:lang w:bidi="en-US"/>
              </w:rPr>
              <w:t>Tochterunternehmen</w:t>
            </w:r>
          </w:p>
        </w:tc>
        <w:tc>
          <w:tcPr>
            <w:tcW w:w="470" w:type="dxa"/>
            <w:tcBorders>
              <w:top w:val="single" w:sz="4" w:space="0" w:color="auto"/>
              <w:right w:val="nil"/>
            </w:tcBorders>
            <w:shd w:val="clear" w:color="auto" w:fill="FFF2CC" w:themeFill="accent4" w:themeFillTint="33"/>
            <w:textDirection w:val="btLr"/>
            <w:vAlign w:val="center"/>
          </w:tcPr>
          <w:p w14:paraId="504344FB" w14:textId="77777777" w:rsidR="002A501D" w:rsidRPr="007F69DA" w:rsidRDefault="002A501D" w:rsidP="00F46ACB">
            <w:pPr>
              <w:spacing w:before="60" w:after="60"/>
              <w:ind w:left="113" w:right="113"/>
              <w:rPr>
                <w:sz w:val="16"/>
                <w:szCs w:val="16"/>
                <w:lang w:bidi="en-US"/>
              </w:rPr>
            </w:pPr>
            <w:r w:rsidRPr="007F69DA">
              <w:rPr>
                <w:sz w:val="16"/>
                <w:szCs w:val="16"/>
                <w:lang w:bidi="en-US"/>
              </w:rPr>
              <w:t>Lizenz-Vergabe</w:t>
            </w:r>
          </w:p>
        </w:tc>
        <w:tc>
          <w:tcPr>
            <w:tcW w:w="472" w:type="dxa"/>
            <w:tcBorders>
              <w:top w:val="single" w:sz="4" w:space="0" w:color="auto"/>
              <w:left w:val="nil"/>
              <w:right w:val="nil"/>
            </w:tcBorders>
            <w:shd w:val="clear" w:color="auto" w:fill="FFF2CC" w:themeFill="accent4" w:themeFillTint="33"/>
            <w:textDirection w:val="btLr"/>
            <w:vAlign w:val="center"/>
          </w:tcPr>
          <w:p w14:paraId="3FBA2315" w14:textId="77777777" w:rsidR="002A501D" w:rsidRPr="007F69DA" w:rsidRDefault="002A501D" w:rsidP="00F46ACB">
            <w:pPr>
              <w:spacing w:before="60" w:after="60"/>
              <w:ind w:left="113" w:right="113"/>
              <w:rPr>
                <w:sz w:val="16"/>
                <w:szCs w:val="16"/>
                <w:lang w:bidi="en-US"/>
              </w:rPr>
            </w:pPr>
            <w:r w:rsidRPr="007F69DA">
              <w:rPr>
                <w:sz w:val="16"/>
                <w:szCs w:val="16"/>
                <w:lang w:bidi="en-US"/>
              </w:rPr>
              <w:t>Joint Venture</w:t>
            </w:r>
          </w:p>
        </w:tc>
        <w:tc>
          <w:tcPr>
            <w:tcW w:w="473" w:type="dxa"/>
            <w:tcBorders>
              <w:top w:val="single" w:sz="4" w:space="0" w:color="auto"/>
              <w:left w:val="nil"/>
            </w:tcBorders>
            <w:shd w:val="clear" w:color="auto" w:fill="FFF2CC" w:themeFill="accent4" w:themeFillTint="33"/>
            <w:textDirection w:val="btLr"/>
            <w:vAlign w:val="center"/>
          </w:tcPr>
          <w:p w14:paraId="62E0A48F" w14:textId="77777777" w:rsidR="002A501D" w:rsidRPr="007F69DA" w:rsidRDefault="002A501D" w:rsidP="00F46ACB">
            <w:pPr>
              <w:spacing w:before="60" w:after="60"/>
              <w:ind w:left="113" w:right="113"/>
              <w:rPr>
                <w:sz w:val="16"/>
                <w:szCs w:val="16"/>
                <w:lang w:bidi="en-US"/>
              </w:rPr>
            </w:pPr>
            <w:r w:rsidRPr="007F69DA">
              <w:rPr>
                <w:sz w:val="16"/>
                <w:szCs w:val="16"/>
                <w:lang w:bidi="en-US"/>
              </w:rPr>
              <w:t>Tochterunternehmen</w:t>
            </w:r>
          </w:p>
        </w:tc>
        <w:tc>
          <w:tcPr>
            <w:tcW w:w="470" w:type="dxa"/>
            <w:tcBorders>
              <w:top w:val="single" w:sz="4" w:space="0" w:color="auto"/>
              <w:right w:val="nil"/>
            </w:tcBorders>
            <w:shd w:val="clear" w:color="auto" w:fill="FFF2CC" w:themeFill="accent4" w:themeFillTint="33"/>
            <w:textDirection w:val="btLr"/>
            <w:vAlign w:val="center"/>
          </w:tcPr>
          <w:p w14:paraId="5F15EA2C" w14:textId="77777777" w:rsidR="002A501D" w:rsidRPr="007F69DA" w:rsidRDefault="002A501D" w:rsidP="00F46ACB">
            <w:pPr>
              <w:spacing w:before="60" w:after="60"/>
              <w:ind w:left="113" w:right="113"/>
              <w:rPr>
                <w:sz w:val="16"/>
                <w:szCs w:val="16"/>
                <w:lang w:bidi="en-US"/>
              </w:rPr>
            </w:pPr>
            <w:r w:rsidRPr="007F69DA">
              <w:rPr>
                <w:sz w:val="16"/>
                <w:szCs w:val="16"/>
                <w:lang w:bidi="en-US"/>
              </w:rPr>
              <w:t>Lizenz-Vergabe</w:t>
            </w:r>
          </w:p>
        </w:tc>
        <w:tc>
          <w:tcPr>
            <w:tcW w:w="482" w:type="dxa"/>
            <w:tcBorders>
              <w:top w:val="single" w:sz="4" w:space="0" w:color="auto"/>
              <w:left w:val="nil"/>
              <w:right w:val="nil"/>
            </w:tcBorders>
            <w:shd w:val="clear" w:color="auto" w:fill="FFF2CC" w:themeFill="accent4" w:themeFillTint="33"/>
            <w:textDirection w:val="btLr"/>
            <w:vAlign w:val="center"/>
          </w:tcPr>
          <w:p w14:paraId="66C58D39" w14:textId="77777777" w:rsidR="002A501D" w:rsidRPr="007F69DA" w:rsidRDefault="002A501D" w:rsidP="00F46ACB">
            <w:pPr>
              <w:spacing w:before="60" w:after="60"/>
              <w:ind w:left="113" w:right="113"/>
              <w:rPr>
                <w:sz w:val="16"/>
                <w:szCs w:val="16"/>
                <w:lang w:bidi="en-US"/>
              </w:rPr>
            </w:pPr>
            <w:r w:rsidRPr="007F69DA">
              <w:rPr>
                <w:sz w:val="16"/>
                <w:szCs w:val="16"/>
                <w:lang w:bidi="en-US"/>
              </w:rPr>
              <w:t>Joint Venture</w:t>
            </w:r>
          </w:p>
        </w:tc>
        <w:tc>
          <w:tcPr>
            <w:tcW w:w="473" w:type="dxa"/>
            <w:tcBorders>
              <w:top w:val="single" w:sz="4" w:space="0" w:color="auto"/>
              <w:left w:val="nil"/>
              <w:right w:val="single" w:sz="4" w:space="0" w:color="auto"/>
            </w:tcBorders>
            <w:shd w:val="clear" w:color="auto" w:fill="FFF2CC" w:themeFill="accent4" w:themeFillTint="33"/>
            <w:textDirection w:val="btLr"/>
            <w:vAlign w:val="center"/>
          </w:tcPr>
          <w:p w14:paraId="43C7AB7C" w14:textId="77777777" w:rsidR="002A501D" w:rsidRPr="007F69DA" w:rsidRDefault="002A501D" w:rsidP="00F46ACB">
            <w:pPr>
              <w:spacing w:before="60" w:after="60"/>
              <w:ind w:left="113" w:right="113"/>
              <w:rPr>
                <w:sz w:val="16"/>
                <w:szCs w:val="16"/>
                <w:lang w:bidi="en-US"/>
              </w:rPr>
            </w:pPr>
            <w:r w:rsidRPr="007F69DA">
              <w:rPr>
                <w:sz w:val="16"/>
                <w:szCs w:val="16"/>
                <w:lang w:bidi="en-US"/>
              </w:rPr>
              <w:t>Tochterunternehmen</w:t>
            </w:r>
          </w:p>
        </w:tc>
      </w:tr>
      <w:tr w:rsidR="002A501D" w:rsidRPr="007F69DA" w14:paraId="385862BE" w14:textId="77777777" w:rsidTr="00477EE1">
        <w:trPr>
          <w:gridAfter w:val="1"/>
          <w:wAfter w:w="8" w:type="dxa"/>
          <w:cantSplit/>
          <w:trHeight w:val="562"/>
        </w:trPr>
        <w:tc>
          <w:tcPr>
            <w:tcW w:w="2983" w:type="dxa"/>
            <w:tcBorders>
              <w:left w:val="single" w:sz="4" w:space="0" w:color="auto"/>
            </w:tcBorders>
            <w:shd w:val="clear" w:color="auto" w:fill="DEEAF6" w:themeFill="accent1" w:themeFillTint="33"/>
            <w:vAlign w:val="center"/>
          </w:tcPr>
          <w:p w14:paraId="537C8B75" w14:textId="77777777" w:rsidR="002A501D" w:rsidRPr="007F69DA" w:rsidRDefault="002A501D" w:rsidP="00F46ACB">
            <w:pPr>
              <w:spacing w:before="60" w:after="60"/>
              <w:rPr>
                <w:sz w:val="16"/>
                <w:szCs w:val="16"/>
                <w:lang w:bidi="en-US"/>
              </w:rPr>
            </w:pPr>
            <w:r w:rsidRPr="007F69DA">
              <w:rPr>
                <w:sz w:val="16"/>
                <w:szCs w:val="16"/>
                <w:lang w:bidi="en-US"/>
              </w:rPr>
              <w:t>Marktpotential</w:t>
            </w:r>
          </w:p>
        </w:tc>
        <w:tc>
          <w:tcPr>
            <w:tcW w:w="472" w:type="dxa"/>
            <w:tcBorders>
              <w:right w:val="nil"/>
            </w:tcBorders>
            <w:textDirection w:val="btLr"/>
          </w:tcPr>
          <w:p w14:paraId="6BFEF50C" w14:textId="77777777" w:rsidR="002A501D" w:rsidRPr="007F69DA" w:rsidRDefault="002A501D" w:rsidP="00F46ACB">
            <w:pPr>
              <w:spacing w:before="60" w:after="60"/>
              <w:ind w:left="113" w:right="113"/>
              <w:rPr>
                <w:sz w:val="16"/>
                <w:szCs w:val="16"/>
                <w:lang w:bidi="en-US"/>
              </w:rPr>
            </w:pPr>
          </w:p>
        </w:tc>
        <w:tc>
          <w:tcPr>
            <w:tcW w:w="470" w:type="dxa"/>
            <w:tcBorders>
              <w:left w:val="nil"/>
              <w:right w:val="nil"/>
            </w:tcBorders>
            <w:textDirection w:val="btLr"/>
          </w:tcPr>
          <w:p w14:paraId="2F0BBCA1"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70503C49" w14:textId="77777777" w:rsidR="002A501D" w:rsidRPr="007F69DA" w:rsidRDefault="002A501D" w:rsidP="00F46ACB">
            <w:pPr>
              <w:spacing w:before="60" w:after="60"/>
              <w:ind w:left="113" w:right="113"/>
              <w:rPr>
                <w:sz w:val="16"/>
                <w:szCs w:val="16"/>
                <w:lang w:bidi="en-US"/>
              </w:rPr>
            </w:pPr>
          </w:p>
        </w:tc>
        <w:tc>
          <w:tcPr>
            <w:tcW w:w="446" w:type="dxa"/>
            <w:tcBorders>
              <w:right w:val="nil"/>
            </w:tcBorders>
            <w:textDirection w:val="btLr"/>
          </w:tcPr>
          <w:p w14:paraId="5125A784" w14:textId="77777777" w:rsidR="002A501D" w:rsidRPr="007F69DA" w:rsidRDefault="002A501D" w:rsidP="00F46ACB">
            <w:pPr>
              <w:spacing w:before="60" w:after="60"/>
              <w:ind w:left="113" w:right="113"/>
              <w:rPr>
                <w:sz w:val="16"/>
                <w:szCs w:val="16"/>
                <w:lang w:bidi="en-US"/>
              </w:rPr>
            </w:pPr>
          </w:p>
        </w:tc>
        <w:tc>
          <w:tcPr>
            <w:tcW w:w="497" w:type="dxa"/>
            <w:tcBorders>
              <w:left w:val="nil"/>
              <w:right w:val="nil"/>
            </w:tcBorders>
            <w:textDirection w:val="btLr"/>
          </w:tcPr>
          <w:p w14:paraId="2C985B7B"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6BFA4011"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7A78C9D4" w14:textId="77777777" w:rsidR="002A501D" w:rsidRPr="007F69DA" w:rsidRDefault="002A501D" w:rsidP="00F46ACB">
            <w:pPr>
              <w:spacing w:before="60" w:after="60"/>
              <w:ind w:left="113" w:right="113"/>
              <w:rPr>
                <w:sz w:val="16"/>
                <w:szCs w:val="16"/>
                <w:lang w:bidi="en-US"/>
              </w:rPr>
            </w:pPr>
          </w:p>
        </w:tc>
        <w:tc>
          <w:tcPr>
            <w:tcW w:w="472" w:type="dxa"/>
            <w:tcBorders>
              <w:left w:val="nil"/>
              <w:right w:val="nil"/>
            </w:tcBorders>
            <w:textDirection w:val="btLr"/>
          </w:tcPr>
          <w:p w14:paraId="06E3BB63" w14:textId="77777777" w:rsidR="002A501D" w:rsidRPr="007F69DA" w:rsidRDefault="002A501D" w:rsidP="00F46ACB">
            <w:pPr>
              <w:spacing w:before="60" w:after="60"/>
              <w:ind w:left="113" w:right="113"/>
              <w:rPr>
                <w:sz w:val="16"/>
                <w:szCs w:val="16"/>
                <w:lang w:bidi="en-US"/>
              </w:rPr>
            </w:pPr>
          </w:p>
        </w:tc>
        <w:tc>
          <w:tcPr>
            <w:tcW w:w="473" w:type="dxa"/>
            <w:tcBorders>
              <w:left w:val="nil"/>
            </w:tcBorders>
            <w:textDirection w:val="btLr"/>
          </w:tcPr>
          <w:p w14:paraId="699871B2"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184EA45D" w14:textId="77777777" w:rsidR="002A501D" w:rsidRPr="007F69DA" w:rsidRDefault="002A501D" w:rsidP="00F46ACB">
            <w:pPr>
              <w:spacing w:before="60" w:after="60"/>
              <w:ind w:left="113" w:right="113"/>
              <w:rPr>
                <w:sz w:val="16"/>
                <w:szCs w:val="16"/>
                <w:lang w:bidi="en-US"/>
              </w:rPr>
            </w:pPr>
          </w:p>
        </w:tc>
        <w:tc>
          <w:tcPr>
            <w:tcW w:w="482" w:type="dxa"/>
            <w:tcBorders>
              <w:left w:val="nil"/>
              <w:right w:val="nil"/>
            </w:tcBorders>
            <w:textDirection w:val="btLr"/>
          </w:tcPr>
          <w:p w14:paraId="1C045070" w14:textId="77777777" w:rsidR="002A501D" w:rsidRPr="007F69DA" w:rsidRDefault="002A501D" w:rsidP="00F46ACB">
            <w:pPr>
              <w:spacing w:before="60" w:after="60"/>
              <w:ind w:left="113" w:right="113"/>
              <w:rPr>
                <w:sz w:val="16"/>
                <w:szCs w:val="16"/>
                <w:lang w:bidi="en-US"/>
              </w:rPr>
            </w:pPr>
          </w:p>
        </w:tc>
        <w:tc>
          <w:tcPr>
            <w:tcW w:w="473" w:type="dxa"/>
            <w:tcBorders>
              <w:left w:val="nil"/>
              <w:right w:val="single" w:sz="4" w:space="0" w:color="auto"/>
            </w:tcBorders>
            <w:textDirection w:val="btLr"/>
          </w:tcPr>
          <w:p w14:paraId="6C8EAB8E" w14:textId="77777777" w:rsidR="002A501D" w:rsidRPr="007F69DA" w:rsidRDefault="002A501D" w:rsidP="00F46ACB">
            <w:pPr>
              <w:spacing w:before="60" w:after="60"/>
              <w:ind w:left="113" w:right="113"/>
              <w:rPr>
                <w:sz w:val="16"/>
                <w:szCs w:val="16"/>
                <w:lang w:bidi="en-US"/>
              </w:rPr>
            </w:pPr>
          </w:p>
        </w:tc>
      </w:tr>
      <w:tr w:rsidR="002A501D" w:rsidRPr="007F69DA" w14:paraId="7A33FCDB" w14:textId="77777777" w:rsidTr="00477EE1">
        <w:trPr>
          <w:gridAfter w:val="1"/>
          <w:wAfter w:w="8" w:type="dxa"/>
          <w:cantSplit/>
          <w:trHeight w:val="562"/>
        </w:trPr>
        <w:tc>
          <w:tcPr>
            <w:tcW w:w="2983" w:type="dxa"/>
            <w:tcBorders>
              <w:left w:val="single" w:sz="4" w:space="0" w:color="auto"/>
            </w:tcBorders>
            <w:shd w:val="clear" w:color="auto" w:fill="DEEAF6" w:themeFill="accent1" w:themeFillTint="33"/>
            <w:vAlign w:val="center"/>
          </w:tcPr>
          <w:p w14:paraId="31D0EC1D" w14:textId="77777777" w:rsidR="002A501D" w:rsidRPr="007F69DA" w:rsidRDefault="002A501D" w:rsidP="00F46ACB">
            <w:pPr>
              <w:spacing w:before="60" w:after="60"/>
              <w:rPr>
                <w:sz w:val="16"/>
                <w:szCs w:val="16"/>
                <w:lang w:bidi="en-US"/>
              </w:rPr>
            </w:pPr>
            <w:r w:rsidRPr="007F69DA">
              <w:rPr>
                <w:sz w:val="16"/>
                <w:szCs w:val="16"/>
                <w:lang w:bidi="en-US"/>
              </w:rPr>
              <w:t>Risiken</w:t>
            </w:r>
          </w:p>
        </w:tc>
        <w:tc>
          <w:tcPr>
            <w:tcW w:w="472" w:type="dxa"/>
            <w:tcBorders>
              <w:right w:val="nil"/>
            </w:tcBorders>
            <w:textDirection w:val="btLr"/>
          </w:tcPr>
          <w:p w14:paraId="36FEED40" w14:textId="77777777" w:rsidR="002A501D" w:rsidRPr="007F69DA" w:rsidRDefault="002A501D" w:rsidP="00F46ACB">
            <w:pPr>
              <w:spacing w:before="60" w:after="60"/>
              <w:ind w:left="113" w:right="113"/>
              <w:rPr>
                <w:sz w:val="16"/>
                <w:szCs w:val="16"/>
                <w:lang w:bidi="en-US"/>
              </w:rPr>
            </w:pPr>
          </w:p>
        </w:tc>
        <w:tc>
          <w:tcPr>
            <w:tcW w:w="470" w:type="dxa"/>
            <w:tcBorders>
              <w:left w:val="nil"/>
              <w:right w:val="nil"/>
            </w:tcBorders>
            <w:textDirection w:val="btLr"/>
          </w:tcPr>
          <w:p w14:paraId="6CE08C7C"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7D7A61E3" w14:textId="77777777" w:rsidR="002A501D" w:rsidRPr="007F69DA" w:rsidRDefault="002A501D" w:rsidP="00F46ACB">
            <w:pPr>
              <w:spacing w:before="60" w:after="60"/>
              <w:ind w:left="113" w:right="113"/>
              <w:rPr>
                <w:sz w:val="16"/>
                <w:szCs w:val="16"/>
                <w:lang w:bidi="en-US"/>
              </w:rPr>
            </w:pPr>
          </w:p>
        </w:tc>
        <w:tc>
          <w:tcPr>
            <w:tcW w:w="446" w:type="dxa"/>
            <w:tcBorders>
              <w:right w:val="nil"/>
            </w:tcBorders>
            <w:textDirection w:val="btLr"/>
          </w:tcPr>
          <w:p w14:paraId="5B0A3095" w14:textId="77777777" w:rsidR="002A501D" w:rsidRPr="007F69DA" w:rsidRDefault="002A501D" w:rsidP="00F46ACB">
            <w:pPr>
              <w:spacing w:before="60" w:after="60"/>
              <w:ind w:left="113" w:right="113"/>
              <w:rPr>
                <w:sz w:val="16"/>
                <w:szCs w:val="16"/>
                <w:lang w:bidi="en-US"/>
              </w:rPr>
            </w:pPr>
          </w:p>
        </w:tc>
        <w:tc>
          <w:tcPr>
            <w:tcW w:w="497" w:type="dxa"/>
            <w:tcBorders>
              <w:left w:val="nil"/>
              <w:right w:val="nil"/>
            </w:tcBorders>
            <w:textDirection w:val="btLr"/>
          </w:tcPr>
          <w:p w14:paraId="30F6AC5B"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023EEBF0"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42EE179A" w14:textId="77777777" w:rsidR="002A501D" w:rsidRPr="007F69DA" w:rsidRDefault="002A501D" w:rsidP="00F46ACB">
            <w:pPr>
              <w:spacing w:before="60" w:after="60"/>
              <w:ind w:left="113" w:right="113"/>
              <w:rPr>
                <w:sz w:val="16"/>
                <w:szCs w:val="16"/>
                <w:lang w:bidi="en-US"/>
              </w:rPr>
            </w:pPr>
          </w:p>
        </w:tc>
        <w:tc>
          <w:tcPr>
            <w:tcW w:w="472" w:type="dxa"/>
            <w:tcBorders>
              <w:left w:val="nil"/>
              <w:right w:val="nil"/>
            </w:tcBorders>
            <w:textDirection w:val="btLr"/>
          </w:tcPr>
          <w:p w14:paraId="430C3861" w14:textId="77777777" w:rsidR="002A501D" w:rsidRPr="007F69DA" w:rsidRDefault="002A501D" w:rsidP="00F46ACB">
            <w:pPr>
              <w:spacing w:before="60" w:after="60"/>
              <w:ind w:left="113" w:right="113"/>
              <w:rPr>
                <w:sz w:val="16"/>
                <w:szCs w:val="16"/>
                <w:lang w:bidi="en-US"/>
              </w:rPr>
            </w:pPr>
          </w:p>
        </w:tc>
        <w:tc>
          <w:tcPr>
            <w:tcW w:w="473" w:type="dxa"/>
            <w:tcBorders>
              <w:left w:val="nil"/>
            </w:tcBorders>
            <w:textDirection w:val="btLr"/>
          </w:tcPr>
          <w:p w14:paraId="46DBAC04"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7462F9EE" w14:textId="77777777" w:rsidR="002A501D" w:rsidRPr="007F69DA" w:rsidRDefault="002A501D" w:rsidP="00F46ACB">
            <w:pPr>
              <w:spacing w:before="60" w:after="60"/>
              <w:ind w:left="113" w:right="113"/>
              <w:rPr>
                <w:sz w:val="16"/>
                <w:szCs w:val="16"/>
                <w:lang w:bidi="en-US"/>
              </w:rPr>
            </w:pPr>
          </w:p>
        </w:tc>
        <w:tc>
          <w:tcPr>
            <w:tcW w:w="482" w:type="dxa"/>
            <w:tcBorders>
              <w:left w:val="nil"/>
              <w:right w:val="nil"/>
            </w:tcBorders>
            <w:textDirection w:val="btLr"/>
          </w:tcPr>
          <w:p w14:paraId="141B0F8F" w14:textId="77777777" w:rsidR="002A501D" w:rsidRPr="007F69DA" w:rsidRDefault="002A501D" w:rsidP="00F46ACB">
            <w:pPr>
              <w:spacing w:before="60" w:after="60"/>
              <w:ind w:left="113" w:right="113"/>
              <w:rPr>
                <w:sz w:val="16"/>
                <w:szCs w:val="16"/>
                <w:lang w:bidi="en-US"/>
              </w:rPr>
            </w:pPr>
          </w:p>
        </w:tc>
        <w:tc>
          <w:tcPr>
            <w:tcW w:w="473" w:type="dxa"/>
            <w:tcBorders>
              <w:left w:val="nil"/>
              <w:right w:val="single" w:sz="4" w:space="0" w:color="auto"/>
            </w:tcBorders>
            <w:textDirection w:val="btLr"/>
          </w:tcPr>
          <w:p w14:paraId="6D308A3B" w14:textId="77777777" w:rsidR="002A501D" w:rsidRPr="007F69DA" w:rsidRDefault="002A501D" w:rsidP="00F46ACB">
            <w:pPr>
              <w:spacing w:before="60" w:after="60"/>
              <w:ind w:left="113" w:right="113"/>
              <w:rPr>
                <w:sz w:val="16"/>
                <w:szCs w:val="16"/>
                <w:lang w:bidi="en-US"/>
              </w:rPr>
            </w:pPr>
          </w:p>
        </w:tc>
      </w:tr>
      <w:tr w:rsidR="002A501D" w:rsidRPr="007F69DA" w14:paraId="45D76476" w14:textId="77777777" w:rsidTr="00477EE1">
        <w:trPr>
          <w:gridAfter w:val="1"/>
          <w:wAfter w:w="8" w:type="dxa"/>
          <w:cantSplit/>
          <w:trHeight w:val="562"/>
        </w:trPr>
        <w:tc>
          <w:tcPr>
            <w:tcW w:w="2983" w:type="dxa"/>
            <w:tcBorders>
              <w:left w:val="single" w:sz="4" w:space="0" w:color="auto"/>
            </w:tcBorders>
            <w:shd w:val="clear" w:color="auto" w:fill="DEEAF6" w:themeFill="accent1" w:themeFillTint="33"/>
            <w:vAlign w:val="center"/>
          </w:tcPr>
          <w:p w14:paraId="37784E7A" w14:textId="77777777" w:rsidR="002A501D" w:rsidRPr="007F69DA" w:rsidRDefault="002A501D" w:rsidP="00F46ACB">
            <w:pPr>
              <w:spacing w:before="60" w:after="60"/>
              <w:rPr>
                <w:sz w:val="16"/>
                <w:szCs w:val="16"/>
                <w:lang w:bidi="en-US"/>
              </w:rPr>
            </w:pPr>
            <w:r w:rsidRPr="007F69DA">
              <w:rPr>
                <w:sz w:val="16"/>
                <w:szCs w:val="16"/>
                <w:lang w:bidi="en-US"/>
              </w:rPr>
              <w:t>Transferierbarkeit von</w:t>
            </w:r>
            <w:r w:rsidRPr="007F69DA">
              <w:rPr>
                <w:sz w:val="16"/>
                <w:szCs w:val="16"/>
                <w:lang w:bidi="en-US"/>
              </w:rPr>
              <w:br/>
              <w:t>Gewinnen</w:t>
            </w:r>
          </w:p>
        </w:tc>
        <w:tc>
          <w:tcPr>
            <w:tcW w:w="472" w:type="dxa"/>
            <w:tcBorders>
              <w:right w:val="nil"/>
            </w:tcBorders>
            <w:textDirection w:val="btLr"/>
          </w:tcPr>
          <w:p w14:paraId="1D676DF9" w14:textId="77777777" w:rsidR="002A501D" w:rsidRPr="007F69DA" w:rsidRDefault="002A501D" w:rsidP="00F46ACB">
            <w:pPr>
              <w:spacing w:before="60" w:after="60"/>
              <w:ind w:left="113" w:right="113"/>
              <w:rPr>
                <w:sz w:val="16"/>
                <w:szCs w:val="16"/>
                <w:lang w:bidi="en-US"/>
              </w:rPr>
            </w:pPr>
          </w:p>
        </w:tc>
        <w:tc>
          <w:tcPr>
            <w:tcW w:w="470" w:type="dxa"/>
            <w:tcBorders>
              <w:left w:val="nil"/>
              <w:right w:val="nil"/>
            </w:tcBorders>
            <w:textDirection w:val="btLr"/>
          </w:tcPr>
          <w:p w14:paraId="23F2A028"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2DF6E8F0" w14:textId="77777777" w:rsidR="002A501D" w:rsidRPr="007F69DA" w:rsidRDefault="002A501D" w:rsidP="00F46ACB">
            <w:pPr>
              <w:spacing w:before="60" w:after="60"/>
              <w:ind w:left="113" w:right="113"/>
              <w:rPr>
                <w:sz w:val="16"/>
                <w:szCs w:val="16"/>
                <w:lang w:bidi="en-US"/>
              </w:rPr>
            </w:pPr>
          </w:p>
        </w:tc>
        <w:tc>
          <w:tcPr>
            <w:tcW w:w="446" w:type="dxa"/>
            <w:tcBorders>
              <w:right w:val="nil"/>
            </w:tcBorders>
            <w:textDirection w:val="btLr"/>
          </w:tcPr>
          <w:p w14:paraId="745300D2" w14:textId="77777777" w:rsidR="002A501D" w:rsidRPr="007F69DA" w:rsidRDefault="002A501D" w:rsidP="00F46ACB">
            <w:pPr>
              <w:spacing w:before="60" w:after="60"/>
              <w:ind w:left="113" w:right="113"/>
              <w:rPr>
                <w:sz w:val="16"/>
                <w:szCs w:val="16"/>
                <w:lang w:bidi="en-US"/>
              </w:rPr>
            </w:pPr>
          </w:p>
        </w:tc>
        <w:tc>
          <w:tcPr>
            <w:tcW w:w="497" w:type="dxa"/>
            <w:tcBorders>
              <w:left w:val="nil"/>
              <w:right w:val="nil"/>
            </w:tcBorders>
            <w:textDirection w:val="btLr"/>
          </w:tcPr>
          <w:p w14:paraId="2F537CFD"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30EEC3C3"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52D8DF1D" w14:textId="77777777" w:rsidR="002A501D" w:rsidRPr="007F69DA" w:rsidRDefault="002A501D" w:rsidP="00F46ACB">
            <w:pPr>
              <w:spacing w:before="60" w:after="60"/>
              <w:ind w:left="113" w:right="113"/>
              <w:rPr>
                <w:sz w:val="16"/>
                <w:szCs w:val="16"/>
                <w:lang w:bidi="en-US"/>
              </w:rPr>
            </w:pPr>
          </w:p>
        </w:tc>
        <w:tc>
          <w:tcPr>
            <w:tcW w:w="472" w:type="dxa"/>
            <w:tcBorders>
              <w:left w:val="nil"/>
              <w:right w:val="nil"/>
            </w:tcBorders>
            <w:textDirection w:val="btLr"/>
          </w:tcPr>
          <w:p w14:paraId="64F43C1E" w14:textId="77777777" w:rsidR="002A501D" w:rsidRPr="007F69DA" w:rsidRDefault="002A501D" w:rsidP="00F46ACB">
            <w:pPr>
              <w:spacing w:before="60" w:after="60"/>
              <w:ind w:left="113" w:right="113"/>
              <w:rPr>
                <w:sz w:val="16"/>
                <w:szCs w:val="16"/>
                <w:lang w:bidi="en-US"/>
              </w:rPr>
            </w:pPr>
          </w:p>
        </w:tc>
        <w:tc>
          <w:tcPr>
            <w:tcW w:w="473" w:type="dxa"/>
            <w:tcBorders>
              <w:left w:val="nil"/>
            </w:tcBorders>
            <w:textDirection w:val="btLr"/>
          </w:tcPr>
          <w:p w14:paraId="08B329E9"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5C5B8F68" w14:textId="77777777" w:rsidR="002A501D" w:rsidRPr="007F69DA" w:rsidRDefault="002A501D" w:rsidP="00F46ACB">
            <w:pPr>
              <w:spacing w:before="60" w:after="60"/>
              <w:ind w:left="113" w:right="113"/>
              <w:rPr>
                <w:sz w:val="16"/>
                <w:szCs w:val="16"/>
                <w:lang w:bidi="en-US"/>
              </w:rPr>
            </w:pPr>
          </w:p>
        </w:tc>
        <w:tc>
          <w:tcPr>
            <w:tcW w:w="482" w:type="dxa"/>
            <w:tcBorders>
              <w:left w:val="nil"/>
              <w:right w:val="nil"/>
            </w:tcBorders>
            <w:textDirection w:val="btLr"/>
          </w:tcPr>
          <w:p w14:paraId="3F9978B9" w14:textId="77777777" w:rsidR="002A501D" w:rsidRPr="007F69DA" w:rsidRDefault="002A501D" w:rsidP="00F46ACB">
            <w:pPr>
              <w:spacing w:before="60" w:after="60"/>
              <w:ind w:left="113" w:right="113"/>
              <w:rPr>
                <w:sz w:val="16"/>
                <w:szCs w:val="16"/>
                <w:lang w:bidi="en-US"/>
              </w:rPr>
            </w:pPr>
          </w:p>
        </w:tc>
        <w:tc>
          <w:tcPr>
            <w:tcW w:w="473" w:type="dxa"/>
            <w:tcBorders>
              <w:left w:val="nil"/>
              <w:right w:val="single" w:sz="4" w:space="0" w:color="auto"/>
            </w:tcBorders>
            <w:textDirection w:val="btLr"/>
          </w:tcPr>
          <w:p w14:paraId="7DB93947" w14:textId="77777777" w:rsidR="002A501D" w:rsidRPr="007F69DA" w:rsidRDefault="002A501D" w:rsidP="00F46ACB">
            <w:pPr>
              <w:spacing w:before="60" w:after="60"/>
              <w:ind w:left="113" w:right="113"/>
              <w:rPr>
                <w:sz w:val="16"/>
                <w:szCs w:val="16"/>
                <w:lang w:bidi="en-US"/>
              </w:rPr>
            </w:pPr>
          </w:p>
        </w:tc>
      </w:tr>
      <w:tr w:rsidR="002A501D" w:rsidRPr="007F69DA" w14:paraId="20D73AC5" w14:textId="77777777" w:rsidTr="00477EE1">
        <w:trPr>
          <w:gridAfter w:val="1"/>
          <w:wAfter w:w="8" w:type="dxa"/>
          <w:cantSplit/>
          <w:trHeight w:val="562"/>
        </w:trPr>
        <w:tc>
          <w:tcPr>
            <w:tcW w:w="2983" w:type="dxa"/>
            <w:tcBorders>
              <w:left w:val="single" w:sz="4" w:space="0" w:color="auto"/>
            </w:tcBorders>
            <w:shd w:val="clear" w:color="auto" w:fill="DEEAF6" w:themeFill="accent1" w:themeFillTint="33"/>
            <w:vAlign w:val="center"/>
          </w:tcPr>
          <w:p w14:paraId="7335CC85" w14:textId="77777777" w:rsidR="002A501D" w:rsidRPr="007F69DA" w:rsidRDefault="002A501D" w:rsidP="00F46ACB">
            <w:pPr>
              <w:spacing w:before="60" w:after="60"/>
              <w:rPr>
                <w:sz w:val="16"/>
                <w:szCs w:val="16"/>
                <w:lang w:bidi="en-US"/>
              </w:rPr>
            </w:pPr>
            <w:r w:rsidRPr="007F69DA">
              <w:rPr>
                <w:sz w:val="16"/>
                <w:szCs w:val="16"/>
                <w:lang w:bidi="en-US"/>
              </w:rPr>
              <w:t>Schutz geistigen Eigentums</w:t>
            </w:r>
          </w:p>
        </w:tc>
        <w:tc>
          <w:tcPr>
            <w:tcW w:w="472" w:type="dxa"/>
            <w:tcBorders>
              <w:right w:val="nil"/>
            </w:tcBorders>
            <w:textDirection w:val="btLr"/>
          </w:tcPr>
          <w:p w14:paraId="71F3F95C" w14:textId="77777777" w:rsidR="002A501D" w:rsidRPr="007F69DA" w:rsidRDefault="002A501D" w:rsidP="00F46ACB">
            <w:pPr>
              <w:spacing w:before="60" w:after="60"/>
              <w:ind w:left="113" w:right="113"/>
              <w:rPr>
                <w:sz w:val="16"/>
                <w:szCs w:val="16"/>
                <w:lang w:bidi="en-US"/>
              </w:rPr>
            </w:pPr>
          </w:p>
        </w:tc>
        <w:tc>
          <w:tcPr>
            <w:tcW w:w="470" w:type="dxa"/>
            <w:tcBorders>
              <w:left w:val="nil"/>
              <w:right w:val="nil"/>
            </w:tcBorders>
            <w:textDirection w:val="btLr"/>
          </w:tcPr>
          <w:p w14:paraId="37B21FC1"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47790727" w14:textId="77777777" w:rsidR="002A501D" w:rsidRPr="007F69DA" w:rsidRDefault="002A501D" w:rsidP="00F46ACB">
            <w:pPr>
              <w:spacing w:before="60" w:after="60"/>
              <w:ind w:left="113" w:right="113"/>
              <w:rPr>
                <w:sz w:val="16"/>
                <w:szCs w:val="16"/>
                <w:lang w:bidi="en-US"/>
              </w:rPr>
            </w:pPr>
          </w:p>
        </w:tc>
        <w:tc>
          <w:tcPr>
            <w:tcW w:w="446" w:type="dxa"/>
            <w:tcBorders>
              <w:right w:val="nil"/>
            </w:tcBorders>
            <w:textDirection w:val="btLr"/>
          </w:tcPr>
          <w:p w14:paraId="09144D6C" w14:textId="77777777" w:rsidR="002A501D" w:rsidRPr="007F69DA" w:rsidRDefault="002A501D" w:rsidP="00F46ACB">
            <w:pPr>
              <w:spacing w:before="60" w:after="60"/>
              <w:ind w:left="113" w:right="113"/>
              <w:rPr>
                <w:sz w:val="16"/>
                <w:szCs w:val="16"/>
                <w:lang w:bidi="en-US"/>
              </w:rPr>
            </w:pPr>
          </w:p>
        </w:tc>
        <w:tc>
          <w:tcPr>
            <w:tcW w:w="497" w:type="dxa"/>
            <w:tcBorders>
              <w:left w:val="nil"/>
              <w:right w:val="nil"/>
            </w:tcBorders>
            <w:textDirection w:val="btLr"/>
          </w:tcPr>
          <w:p w14:paraId="6AEACB13"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4C7D8380"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062A990D" w14:textId="77777777" w:rsidR="002A501D" w:rsidRPr="007F69DA" w:rsidRDefault="002A501D" w:rsidP="00F46ACB">
            <w:pPr>
              <w:spacing w:before="60" w:after="60"/>
              <w:ind w:left="113" w:right="113"/>
              <w:rPr>
                <w:sz w:val="16"/>
                <w:szCs w:val="16"/>
                <w:lang w:bidi="en-US"/>
              </w:rPr>
            </w:pPr>
          </w:p>
        </w:tc>
        <w:tc>
          <w:tcPr>
            <w:tcW w:w="472" w:type="dxa"/>
            <w:tcBorders>
              <w:left w:val="nil"/>
              <w:right w:val="nil"/>
            </w:tcBorders>
            <w:textDirection w:val="btLr"/>
          </w:tcPr>
          <w:p w14:paraId="2B3E2924" w14:textId="77777777" w:rsidR="002A501D" w:rsidRPr="007F69DA" w:rsidRDefault="002A501D" w:rsidP="00F46ACB">
            <w:pPr>
              <w:spacing w:before="60" w:after="60"/>
              <w:ind w:left="113" w:right="113"/>
              <w:rPr>
                <w:sz w:val="16"/>
                <w:szCs w:val="16"/>
                <w:lang w:bidi="en-US"/>
              </w:rPr>
            </w:pPr>
          </w:p>
        </w:tc>
        <w:tc>
          <w:tcPr>
            <w:tcW w:w="473" w:type="dxa"/>
            <w:tcBorders>
              <w:left w:val="nil"/>
            </w:tcBorders>
            <w:textDirection w:val="btLr"/>
          </w:tcPr>
          <w:p w14:paraId="0ABD245F"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1528FF45" w14:textId="77777777" w:rsidR="002A501D" w:rsidRPr="007F69DA" w:rsidRDefault="002A501D" w:rsidP="00F46ACB">
            <w:pPr>
              <w:spacing w:before="60" w:after="60"/>
              <w:ind w:left="113" w:right="113"/>
              <w:rPr>
                <w:sz w:val="16"/>
                <w:szCs w:val="16"/>
                <w:lang w:bidi="en-US"/>
              </w:rPr>
            </w:pPr>
          </w:p>
        </w:tc>
        <w:tc>
          <w:tcPr>
            <w:tcW w:w="482" w:type="dxa"/>
            <w:tcBorders>
              <w:left w:val="nil"/>
              <w:right w:val="nil"/>
            </w:tcBorders>
            <w:textDirection w:val="btLr"/>
          </w:tcPr>
          <w:p w14:paraId="60D5BABA" w14:textId="77777777" w:rsidR="002A501D" w:rsidRPr="007F69DA" w:rsidRDefault="002A501D" w:rsidP="00F46ACB">
            <w:pPr>
              <w:spacing w:before="60" w:after="60"/>
              <w:ind w:left="113" w:right="113"/>
              <w:rPr>
                <w:sz w:val="16"/>
                <w:szCs w:val="16"/>
                <w:lang w:bidi="en-US"/>
              </w:rPr>
            </w:pPr>
          </w:p>
        </w:tc>
        <w:tc>
          <w:tcPr>
            <w:tcW w:w="473" w:type="dxa"/>
            <w:tcBorders>
              <w:left w:val="nil"/>
              <w:right w:val="single" w:sz="4" w:space="0" w:color="auto"/>
            </w:tcBorders>
            <w:textDirection w:val="btLr"/>
          </w:tcPr>
          <w:p w14:paraId="02696869" w14:textId="77777777" w:rsidR="002A501D" w:rsidRPr="007F69DA" w:rsidRDefault="002A501D" w:rsidP="00F46ACB">
            <w:pPr>
              <w:spacing w:before="60" w:after="60"/>
              <w:ind w:left="113" w:right="113"/>
              <w:rPr>
                <w:sz w:val="16"/>
                <w:szCs w:val="16"/>
                <w:lang w:bidi="en-US"/>
              </w:rPr>
            </w:pPr>
          </w:p>
        </w:tc>
      </w:tr>
      <w:tr w:rsidR="002A501D" w:rsidRPr="007F69DA" w14:paraId="3ED95428" w14:textId="77777777" w:rsidTr="00477EE1">
        <w:trPr>
          <w:gridAfter w:val="1"/>
          <w:wAfter w:w="8" w:type="dxa"/>
          <w:cantSplit/>
          <w:trHeight w:val="562"/>
        </w:trPr>
        <w:tc>
          <w:tcPr>
            <w:tcW w:w="2983" w:type="dxa"/>
            <w:tcBorders>
              <w:left w:val="single" w:sz="4" w:space="0" w:color="auto"/>
            </w:tcBorders>
            <w:shd w:val="clear" w:color="auto" w:fill="DEEAF6" w:themeFill="accent1" w:themeFillTint="33"/>
            <w:vAlign w:val="center"/>
          </w:tcPr>
          <w:p w14:paraId="7BF65B00" w14:textId="77777777" w:rsidR="002A501D" w:rsidRPr="007F69DA" w:rsidRDefault="002A501D" w:rsidP="00F46ACB">
            <w:pPr>
              <w:spacing w:before="60" w:after="60"/>
              <w:rPr>
                <w:sz w:val="16"/>
                <w:szCs w:val="16"/>
                <w:lang w:bidi="en-US"/>
              </w:rPr>
            </w:pPr>
            <w:r w:rsidRPr="007F69DA">
              <w:rPr>
                <w:sz w:val="16"/>
                <w:szCs w:val="16"/>
                <w:lang w:bidi="en-US"/>
              </w:rPr>
              <w:t>Transparenz und Verlässlichkeit des Rechtssystems</w:t>
            </w:r>
          </w:p>
        </w:tc>
        <w:tc>
          <w:tcPr>
            <w:tcW w:w="472" w:type="dxa"/>
            <w:tcBorders>
              <w:right w:val="nil"/>
            </w:tcBorders>
            <w:textDirection w:val="btLr"/>
          </w:tcPr>
          <w:p w14:paraId="350E1220" w14:textId="77777777" w:rsidR="002A501D" w:rsidRPr="007F69DA" w:rsidRDefault="002A501D" w:rsidP="00F46ACB">
            <w:pPr>
              <w:spacing w:before="60" w:after="60"/>
              <w:ind w:left="113" w:right="113"/>
              <w:rPr>
                <w:sz w:val="16"/>
                <w:szCs w:val="16"/>
                <w:lang w:bidi="en-US"/>
              </w:rPr>
            </w:pPr>
          </w:p>
        </w:tc>
        <w:tc>
          <w:tcPr>
            <w:tcW w:w="470" w:type="dxa"/>
            <w:tcBorders>
              <w:left w:val="nil"/>
              <w:right w:val="nil"/>
            </w:tcBorders>
            <w:textDirection w:val="btLr"/>
          </w:tcPr>
          <w:p w14:paraId="77DA2AAA"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07A3C22F" w14:textId="77777777" w:rsidR="002A501D" w:rsidRPr="007F69DA" w:rsidRDefault="002A501D" w:rsidP="00F46ACB">
            <w:pPr>
              <w:spacing w:before="60" w:after="60"/>
              <w:ind w:left="113" w:right="113"/>
              <w:rPr>
                <w:sz w:val="16"/>
                <w:szCs w:val="16"/>
                <w:lang w:bidi="en-US"/>
              </w:rPr>
            </w:pPr>
          </w:p>
        </w:tc>
        <w:tc>
          <w:tcPr>
            <w:tcW w:w="446" w:type="dxa"/>
            <w:tcBorders>
              <w:right w:val="nil"/>
            </w:tcBorders>
            <w:textDirection w:val="btLr"/>
          </w:tcPr>
          <w:p w14:paraId="305D3375" w14:textId="77777777" w:rsidR="002A501D" w:rsidRPr="007F69DA" w:rsidRDefault="002A501D" w:rsidP="00F46ACB">
            <w:pPr>
              <w:spacing w:before="60" w:after="60"/>
              <w:ind w:left="113" w:right="113"/>
              <w:rPr>
                <w:sz w:val="16"/>
                <w:szCs w:val="16"/>
                <w:lang w:bidi="en-US"/>
              </w:rPr>
            </w:pPr>
          </w:p>
        </w:tc>
        <w:tc>
          <w:tcPr>
            <w:tcW w:w="497" w:type="dxa"/>
            <w:tcBorders>
              <w:left w:val="nil"/>
              <w:right w:val="nil"/>
            </w:tcBorders>
            <w:textDirection w:val="btLr"/>
          </w:tcPr>
          <w:p w14:paraId="028BD3B1"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4944EC04"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741F3091" w14:textId="77777777" w:rsidR="002A501D" w:rsidRPr="007F69DA" w:rsidRDefault="002A501D" w:rsidP="00F46ACB">
            <w:pPr>
              <w:spacing w:before="60" w:after="60"/>
              <w:ind w:left="113" w:right="113"/>
              <w:rPr>
                <w:sz w:val="16"/>
                <w:szCs w:val="16"/>
                <w:lang w:bidi="en-US"/>
              </w:rPr>
            </w:pPr>
          </w:p>
        </w:tc>
        <w:tc>
          <w:tcPr>
            <w:tcW w:w="472" w:type="dxa"/>
            <w:tcBorders>
              <w:left w:val="nil"/>
              <w:right w:val="nil"/>
            </w:tcBorders>
            <w:textDirection w:val="btLr"/>
          </w:tcPr>
          <w:p w14:paraId="6B9716B8" w14:textId="77777777" w:rsidR="002A501D" w:rsidRPr="007F69DA" w:rsidRDefault="002A501D" w:rsidP="00F46ACB">
            <w:pPr>
              <w:spacing w:before="60" w:after="60"/>
              <w:ind w:left="113" w:right="113"/>
              <w:rPr>
                <w:sz w:val="16"/>
                <w:szCs w:val="16"/>
                <w:lang w:bidi="en-US"/>
              </w:rPr>
            </w:pPr>
          </w:p>
        </w:tc>
        <w:tc>
          <w:tcPr>
            <w:tcW w:w="473" w:type="dxa"/>
            <w:tcBorders>
              <w:left w:val="nil"/>
            </w:tcBorders>
            <w:textDirection w:val="btLr"/>
          </w:tcPr>
          <w:p w14:paraId="1E4F8E5A"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6D14CFC2" w14:textId="77777777" w:rsidR="002A501D" w:rsidRPr="007F69DA" w:rsidRDefault="002A501D" w:rsidP="00F46ACB">
            <w:pPr>
              <w:spacing w:before="60" w:after="60"/>
              <w:ind w:left="113" w:right="113"/>
              <w:rPr>
                <w:sz w:val="16"/>
                <w:szCs w:val="16"/>
                <w:lang w:bidi="en-US"/>
              </w:rPr>
            </w:pPr>
          </w:p>
        </w:tc>
        <w:tc>
          <w:tcPr>
            <w:tcW w:w="482" w:type="dxa"/>
            <w:tcBorders>
              <w:left w:val="nil"/>
              <w:right w:val="nil"/>
            </w:tcBorders>
            <w:textDirection w:val="btLr"/>
          </w:tcPr>
          <w:p w14:paraId="5273471A" w14:textId="77777777" w:rsidR="002A501D" w:rsidRPr="007F69DA" w:rsidRDefault="002A501D" w:rsidP="00F46ACB">
            <w:pPr>
              <w:spacing w:before="60" w:after="60"/>
              <w:ind w:left="113" w:right="113"/>
              <w:rPr>
                <w:sz w:val="16"/>
                <w:szCs w:val="16"/>
                <w:lang w:bidi="en-US"/>
              </w:rPr>
            </w:pPr>
          </w:p>
        </w:tc>
        <w:tc>
          <w:tcPr>
            <w:tcW w:w="473" w:type="dxa"/>
            <w:tcBorders>
              <w:left w:val="nil"/>
              <w:right w:val="single" w:sz="4" w:space="0" w:color="auto"/>
            </w:tcBorders>
            <w:textDirection w:val="btLr"/>
          </w:tcPr>
          <w:p w14:paraId="2B7B9394" w14:textId="77777777" w:rsidR="002A501D" w:rsidRPr="007F69DA" w:rsidRDefault="002A501D" w:rsidP="00F46ACB">
            <w:pPr>
              <w:spacing w:before="60" w:after="60"/>
              <w:ind w:left="113" w:right="113"/>
              <w:rPr>
                <w:sz w:val="16"/>
                <w:szCs w:val="16"/>
                <w:lang w:bidi="en-US"/>
              </w:rPr>
            </w:pPr>
          </w:p>
        </w:tc>
      </w:tr>
      <w:tr w:rsidR="002A501D" w:rsidRPr="007F69DA" w14:paraId="01C2D3E4" w14:textId="77777777" w:rsidTr="00477EE1">
        <w:trPr>
          <w:gridAfter w:val="1"/>
          <w:wAfter w:w="8" w:type="dxa"/>
          <w:cantSplit/>
          <w:trHeight w:val="562"/>
        </w:trPr>
        <w:tc>
          <w:tcPr>
            <w:tcW w:w="2983" w:type="dxa"/>
            <w:tcBorders>
              <w:left w:val="single" w:sz="4" w:space="0" w:color="auto"/>
            </w:tcBorders>
            <w:shd w:val="clear" w:color="auto" w:fill="DEEAF6" w:themeFill="accent1" w:themeFillTint="33"/>
            <w:vAlign w:val="center"/>
          </w:tcPr>
          <w:p w14:paraId="327E4FA2" w14:textId="77777777" w:rsidR="002A501D" w:rsidRPr="007F69DA" w:rsidRDefault="002A501D" w:rsidP="00F46ACB">
            <w:pPr>
              <w:spacing w:before="60" w:after="60"/>
              <w:rPr>
                <w:sz w:val="16"/>
                <w:szCs w:val="16"/>
                <w:lang w:bidi="en-US"/>
              </w:rPr>
            </w:pPr>
            <w:r w:rsidRPr="007F69DA">
              <w:rPr>
                <w:sz w:val="16"/>
                <w:szCs w:val="16"/>
                <w:lang w:bidi="en-US"/>
              </w:rPr>
              <w:t>Infrastruktur</w:t>
            </w:r>
          </w:p>
        </w:tc>
        <w:tc>
          <w:tcPr>
            <w:tcW w:w="472" w:type="dxa"/>
            <w:tcBorders>
              <w:right w:val="nil"/>
            </w:tcBorders>
            <w:textDirection w:val="btLr"/>
          </w:tcPr>
          <w:p w14:paraId="32C1D02C" w14:textId="77777777" w:rsidR="002A501D" w:rsidRPr="007F69DA" w:rsidRDefault="002A501D" w:rsidP="00F46ACB">
            <w:pPr>
              <w:spacing w:before="60" w:after="60"/>
              <w:ind w:left="113" w:right="113"/>
              <w:rPr>
                <w:sz w:val="16"/>
                <w:szCs w:val="16"/>
                <w:lang w:bidi="en-US"/>
              </w:rPr>
            </w:pPr>
          </w:p>
        </w:tc>
        <w:tc>
          <w:tcPr>
            <w:tcW w:w="470" w:type="dxa"/>
            <w:tcBorders>
              <w:left w:val="nil"/>
              <w:right w:val="nil"/>
            </w:tcBorders>
            <w:textDirection w:val="btLr"/>
          </w:tcPr>
          <w:p w14:paraId="505BE50D"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706EFEFC" w14:textId="77777777" w:rsidR="002A501D" w:rsidRPr="007F69DA" w:rsidRDefault="002A501D" w:rsidP="00F46ACB">
            <w:pPr>
              <w:spacing w:before="60" w:after="60"/>
              <w:ind w:left="113" w:right="113"/>
              <w:rPr>
                <w:sz w:val="16"/>
                <w:szCs w:val="16"/>
                <w:lang w:bidi="en-US"/>
              </w:rPr>
            </w:pPr>
          </w:p>
        </w:tc>
        <w:tc>
          <w:tcPr>
            <w:tcW w:w="446" w:type="dxa"/>
            <w:tcBorders>
              <w:right w:val="nil"/>
            </w:tcBorders>
            <w:textDirection w:val="btLr"/>
          </w:tcPr>
          <w:p w14:paraId="6D38EC86" w14:textId="77777777" w:rsidR="002A501D" w:rsidRPr="007F69DA" w:rsidRDefault="002A501D" w:rsidP="00F46ACB">
            <w:pPr>
              <w:spacing w:before="60" w:after="60"/>
              <w:ind w:left="113" w:right="113"/>
              <w:rPr>
                <w:sz w:val="16"/>
                <w:szCs w:val="16"/>
                <w:lang w:bidi="en-US"/>
              </w:rPr>
            </w:pPr>
          </w:p>
        </w:tc>
        <w:tc>
          <w:tcPr>
            <w:tcW w:w="497" w:type="dxa"/>
            <w:tcBorders>
              <w:left w:val="nil"/>
              <w:right w:val="nil"/>
            </w:tcBorders>
            <w:textDirection w:val="btLr"/>
          </w:tcPr>
          <w:p w14:paraId="3BD6CEEF"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3ACD8336"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792F8708" w14:textId="77777777" w:rsidR="002A501D" w:rsidRPr="007F69DA" w:rsidRDefault="002A501D" w:rsidP="00F46ACB">
            <w:pPr>
              <w:spacing w:before="60" w:after="60"/>
              <w:ind w:left="113" w:right="113"/>
              <w:rPr>
                <w:sz w:val="16"/>
                <w:szCs w:val="16"/>
                <w:lang w:bidi="en-US"/>
              </w:rPr>
            </w:pPr>
          </w:p>
        </w:tc>
        <w:tc>
          <w:tcPr>
            <w:tcW w:w="472" w:type="dxa"/>
            <w:tcBorders>
              <w:left w:val="nil"/>
              <w:right w:val="nil"/>
            </w:tcBorders>
            <w:textDirection w:val="btLr"/>
          </w:tcPr>
          <w:p w14:paraId="2F5C24A2" w14:textId="77777777" w:rsidR="002A501D" w:rsidRPr="007F69DA" w:rsidRDefault="002A501D" w:rsidP="00F46ACB">
            <w:pPr>
              <w:spacing w:before="60" w:after="60"/>
              <w:ind w:left="113" w:right="113"/>
              <w:rPr>
                <w:sz w:val="16"/>
                <w:szCs w:val="16"/>
                <w:lang w:bidi="en-US"/>
              </w:rPr>
            </w:pPr>
          </w:p>
        </w:tc>
        <w:tc>
          <w:tcPr>
            <w:tcW w:w="473" w:type="dxa"/>
            <w:tcBorders>
              <w:left w:val="nil"/>
            </w:tcBorders>
            <w:textDirection w:val="btLr"/>
          </w:tcPr>
          <w:p w14:paraId="7CF635E3"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0C7E39E8" w14:textId="77777777" w:rsidR="002A501D" w:rsidRPr="007F69DA" w:rsidRDefault="002A501D" w:rsidP="00F46ACB">
            <w:pPr>
              <w:spacing w:before="60" w:after="60"/>
              <w:ind w:left="113" w:right="113"/>
              <w:rPr>
                <w:sz w:val="16"/>
                <w:szCs w:val="16"/>
                <w:lang w:bidi="en-US"/>
              </w:rPr>
            </w:pPr>
          </w:p>
        </w:tc>
        <w:tc>
          <w:tcPr>
            <w:tcW w:w="482" w:type="dxa"/>
            <w:tcBorders>
              <w:left w:val="nil"/>
              <w:right w:val="nil"/>
            </w:tcBorders>
            <w:textDirection w:val="btLr"/>
          </w:tcPr>
          <w:p w14:paraId="6180373F" w14:textId="77777777" w:rsidR="002A501D" w:rsidRPr="007F69DA" w:rsidRDefault="002A501D" w:rsidP="00F46ACB">
            <w:pPr>
              <w:spacing w:before="60" w:after="60"/>
              <w:ind w:left="113" w:right="113"/>
              <w:rPr>
                <w:sz w:val="16"/>
                <w:szCs w:val="16"/>
                <w:lang w:bidi="en-US"/>
              </w:rPr>
            </w:pPr>
          </w:p>
        </w:tc>
        <w:tc>
          <w:tcPr>
            <w:tcW w:w="473" w:type="dxa"/>
            <w:tcBorders>
              <w:left w:val="nil"/>
              <w:right w:val="single" w:sz="4" w:space="0" w:color="auto"/>
            </w:tcBorders>
            <w:textDirection w:val="btLr"/>
          </w:tcPr>
          <w:p w14:paraId="0ED44E0C" w14:textId="77777777" w:rsidR="002A501D" w:rsidRPr="007F69DA" w:rsidRDefault="002A501D" w:rsidP="00F46ACB">
            <w:pPr>
              <w:spacing w:before="60" w:after="60"/>
              <w:ind w:left="113" w:right="113"/>
              <w:rPr>
                <w:sz w:val="16"/>
                <w:szCs w:val="16"/>
                <w:lang w:bidi="en-US"/>
              </w:rPr>
            </w:pPr>
          </w:p>
        </w:tc>
      </w:tr>
      <w:tr w:rsidR="002A501D" w:rsidRPr="007F69DA" w14:paraId="417388CF" w14:textId="77777777" w:rsidTr="00477EE1">
        <w:trPr>
          <w:gridAfter w:val="1"/>
          <w:wAfter w:w="8" w:type="dxa"/>
          <w:cantSplit/>
          <w:trHeight w:val="562"/>
        </w:trPr>
        <w:tc>
          <w:tcPr>
            <w:tcW w:w="2983" w:type="dxa"/>
            <w:tcBorders>
              <w:left w:val="single" w:sz="4" w:space="0" w:color="auto"/>
            </w:tcBorders>
            <w:shd w:val="clear" w:color="auto" w:fill="DEEAF6" w:themeFill="accent1" w:themeFillTint="33"/>
            <w:vAlign w:val="center"/>
          </w:tcPr>
          <w:p w14:paraId="2A4787C7" w14:textId="77777777" w:rsidR="002A501D" w:rsidRPr="007F69DA" w:rsidRDefault="002A501D" w:rsidP="00F46ACB">
            <w:pPr>
              <w:spacing w:before="60" w:after="60"/>
              <w:rPr>
                <w:sz w:val="16"/>
                <w:szCs w:val="16"/>
                <w:lang w:bidi="en-US"/>
              </w:rPr>
            </w:pPr>
            <w:r w:rsidRPr="007F69DA">
              <w:rPr>
                <w:sz w:val="16"/>
                <w:szCs w:val="16"/>
                <w:lang w:bidi="en-US"/>
              </w:rPr>
              <w:t>Konkurrenzintensität</w:t>
            </w:r>
          </w:p>
        </w:tc>
        <w:tc>
          <w:tcPr>
            <w:tcW w:w="472" w:type="dxa"/>
            <w:tcBorders>
              <w:right w:val="nil"/>
            </w:tcBorders>
            <w:textDirection w:val="btLr"/>
          </w:tcPr>
          <w:p w14:paraId="1530AEBF" w14:textId="77777777" w:rsidR="002A501D" w:rsidRPr="007F69DA" w:rsidRDefault="002A501D" w:rsidP="00F46ACB">
            <w:pPr>
              <w:spacing w:before="60" w:after="60"/>
              <w:ind w:left="113" w:right="113"/>
              <w:rPr>
                <w:sz w:val="16"/>
                <w:szCs w:val="16"/>
                <w:lang w:bidi="en-US"/>
              </w:rPr>
            </w:pPr>
          </w:p>
        </w:tc>
        <w:tc>
          <w:tcPr>
            <w:tcW w:w="470" w:type="dxa"/>
            <w:tcBorders>
              <w:left w:val="nil"/>
              <w:right w:val="nil"/>
            </w:tcBorders>
            <w:textDirection w:val="btLr"/>
          </w:tcPr>
          <w:p w14:paraId="07AC8A84"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014A951E" w14:textId="77777777" w:rsidR="002A501D" w:rsidRPr="007F69DA" w:rsidRDefault="002A501D" w:rsidP="00F46ACB">
            <w:pPr>
              <w:spacing w:before="60" w:after="60"/>
              <w:ind w:left="113" w:right="113"/>
              <w:rPr>
                <w:sz w:val="16"/>
                <w:szCs w:val="16"/>
                <w:lang w:bidi="en-US"/>
              </w:rPr>
            </w:pPr>
          </w:p>
        </w:tc>
        <w:tc>
          <w:tcPr>
            <w:tcW w:w="446" w:type="dxa"/>
            <w:tcBorders>
              <w:right w:val="nil"/>
            </w:tcBorders>
            <w:textDirection w:val="btLr"/>
          </w:tcPr>
          <w:p w14:paraId="254744FD" w14:textId="77777777" w:rsidR="002A501D" w:rsidRPr="007F69DA" w:rsidRDefault="002A501D" w:rsidP="00F46ACB">
            <w:pPr>
              <w:spacing w:before="60" w:after="60"/>
              <w:ind w:left="113" w:right="113"/>
              <w:rPr>
                <w:sz w:val="16"/>
                <w:szCs w:val="16"/>
                <w:lang w:bidi="en-US"/>
              </w:rPr>
            </w:pPr>
          </w:p>
        </w:tc>
        <w:tc>
          <w:tcPr>
            <w:tcW w:w="497" w:type="dxa"/>
            <w:tcBorders>
              <w:left w:val="nil"/>
              <w:right w:val="nil"/>
            </w:tcBorders>
            <w:textDirection w:val="btLr"/>
          </w:tcPr>
          <w:p w14:paraId="3A2E7461"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233383BF"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0A51F1BC" w14:textId="77777777" w:rsidR="002A501D" w:rsidRPr="007F69DA" w:rsidRDefault="002A501D" w:rsidP="00F46ACB">
            <w:pPr>
              <w:spacing w:before="60" w:after="60"/>
              <w:ind w:left="113" w:right="113"/>
              <w:rPr>
                <w:sz w:val="16"/>
                <w:szCs w:val="16"/>
                <w:lang w:bidi="en-US"/>
              </w:rPr>
            </w:pPr>
          </w:p>
        </w:tc>
        <w:tc>
          <w:tcPr>
            <w:tcW w:w="472" w:type="dxa"/>
            <w:tcBorders>
              <w:left w:val="nil"/>
              <w:right w:val="nil"/>
            </w:tcBorders>
            <w:textDirection w:val="btLr"/>
          </w:tcPr>
          <w:p w14:paraId="04B36762" w14:textId="77777777" w:rsidR="002A501D" w:rsidRPr="007F69DA" w:rsidRDefault="002A501D" w:rsidP="00F46ACB">
            <w:pPr>
              <w:spacing w:before="60" w:after="60"/>
              <w:ind w:left="113" w:right="113"/>
              <w:rPr>
                <w:sz w:val="16"/>
                <w:szCs w:val="16"/>
                <w:lang w:bidi="en-US"/>
              </w:rPr>
            </w:pPr>
          </w:p>
        </w:tc>
        <w:tc>
          <w:tcPr>
            <w:tcW w:w="473" w:type="dxa"/>
            <w:tcBorders>
              <w:left w:val="nil"/>
            </w:tcBorders>
            <w:textDirection w:val="btLr"/>
          </w:tcPr>
          <w:p w14:paraId="7191C2E9"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7FEF5A34" w14:textId="77777777" w:rsidR="002A501D" w:rsidRPr="007F69DA" w:rsidRDefault="002A501D" w:rsidP="00F46ACB">
            <w:pPr>
              <w:spacing w:before="60" w:after="60"/>
              <w:ind w:left="113" w:right="113"/>
              <w:rPr>
                <w:sz w:val="16"/>
                <w:szCs w:val="16"/>
                <w:lang w:bidi="en-US"/>
              </w:rPr>
            </w:pPr>
          </w:p>
        </w:tc>
        <w:tc>
          <w:tcPr>
            <w:tcW w:w="482" w:type="dxa"/>
            <w:tcBorders>
              <w:left w:val="nil"/>
              <w:right w:val="nil"/>
            </w:tcBorders>
            <w:textDirection w:val="btLr"/>
          </w:tcPr>
          <w:p w14:paraId="1C647CF2" w14:textId="77777777" w:rsidR="002A501D" w:rsidRPr="007F69DA" w:rsidRDefault="002A501D" w:rsidP="00F46ACB">
            <w:pPr>
              <w:spacing w:before="60" w:after="60"/>
              <w:ind w:left="113" w:right="113"/>
              <w:rPr>
                <w:sz w:val="16"/>
                <w:szCs w:val="16"/>
                <w:lang w:bidi="en-US"/>
              </w:rPr>
            </w:pPr>
          </w:p>
        </w:tc>
        <w:tc>
          <w:tcPr>
            <w:tcW w:w="473" w:type="dxa"/>
            <w:tcBorders>
              <w:left w:val="nil"/>
              <w:right w:val="single" w:sz="4" w:space="0" w:color="auto"/>
            </w:tcBorders>
            <w:textDirection w:val="btLr"/>
          </w:tcPr>
          <w:p w14:paraId="561A13B9" w14:textId="77777777" w:rsidR="002A501D" w:rsidRPr="007F69DA" w:rsidRDefault="002A501D" w:rsidP="00F46ACB">
            <w:pPr>
              <w:spacing w:before="60" w:after="60"/>
              <w:ind w:left="113" w:right="113"/>
              <w:rPr>
                <w:sz w:val="16"/>
                <w:szCs w:val="16"/>
                <w:lang w:bidi="en-US"/>
              </w:rPr>
            </w:pPr>
          </w:p>
        </w:tc>
      </w:tr>
      <w:tr w:rsidR="002A501D" w:rsidRPr="007F69DA" w14:paraId="1A0C2019" w14:textId="77777777" w:rsidTr="00477EE1">
        <w:trPr>
          <w:gridAfter w:val="1"/>
          <w:wAfter w:w="8" w:type="dxa"/>
          <w:cantSplit/>
          <w:trHeight w:val="562"/>
        </w:trPr>
        <w:tc>
          <w:tcPr>
            <w:tcW w:w="2983" w:type="dxa"/>
            <w:tcBorders>
              <w:left w:val="single" w:sz="4" w:space="0" w:color="auto"/>
            </w:tcBorders>
            <w:shd w:val="clear" w:color="auto" w:fill="DEEAF6" w:themeFill="accent1" w:themeFillTint="33"/>
            <w:vAlign w:val="center"/>
          </w:tcPr>
          <w:p w14:paraId="0854368F" w14:textId="77777777" w:rsidR="002A501D" w:rsidRPr="007F69DA" w:rsidRDefault="002A501D" w:rsidP="00F46ACB">
            <w:pPr>
              <w:spacing w:before="60" w:after="60"/>
              <w:rPr>
                <w:sz w:val="16"/>
                <w:szCs w:val="16"/>
                <w:lang w:bidi="en-US"/>
              </w:rPr>
            </w:pPr>
            <w:r w:rsidRPr="007F69DA">
              <w:rPr>
                <w:sz w:val="16"/>
                <w:szCs w:val="16"/>
                <w:lang w:bidi="en-US"/>
              </w:rPr>
              <w:t>Verfügbarkeit von</w:t>
            </w:r>
            <w:r w:rsidRPr="007F69DA">
              <w:rPr>
                <w:sz w:val="16"/>
                <w:szCs w:val="16"/>
                <w:lang w:bidi="en-US"/>
              </w:rPr>
              <w:br/>
              <w:t>Zulieferern</w:t>
            </w:r>
          </w:p>
        </w:tc>
        <w:tc>
          <w:tcPr>
            <w:tcW w:w="472" w:type="dxa"/>
            <w:tcBorders>
              <w:right w:val="nil"/>
            </w:tcBorders>
            <w:textDirection w:val="btLr"/>
          </w:tcPr>
          <w:p w14:paraId="21BDB8C2" w14:textId="77777777" w:rsidR="002A501D" w:rsidRPr="007F69DA" w:rsidRDefault="002A501D" w:rsidP="00F46ACB">
            <w:pPr>
              <w:spacing w:before="60" w:after="60"/>
              <w:ind w:left="113" w:right="113"/>
              <w:rPr>
                <w:sz w:val="16"/>
                <w:szCs w:val="16"/>
                <w:lang w:bidi="en-US"/>
              </w:rPr>
            </w:pPr>
          </w:p>
        </w:tc>
        <w:tc>
          <w:tcPr>
            <w:tcW w:w="470" w:type="dxa"/>
            <w:tcBorders>
              <w:left w:val="nil"/>
              <w:right w:val="nil"/>
            </w:tcBorders>
            <w:textDirection w:val="btLr"/>
          </w:tcPr>
          <w:p w14:paraId="0665B5C9"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06FB8231" w14:textId="77777777" w:rsidR="002A501D" w:rsidRPr="007F69DA" w:rsidRDefault="002A501D" w:rsidP="00F46ACB">
            <w:pPr>
              <w:spacing w:before="60" w:after="60"/>
              <w:ind w:left="113" w:right="113"/>
              <w:rPr>
                <w:sz w:val="16"/>
                <w:szCs w:val="16"/>
                <w:lang w:bidi="en-US"/>
              </w:rPr>
            </w:pPr>
          </w:p>
        </w:tc>
        <w:tc>
          <w:tcPr>
            <w:tcW w:w="446" w:type="dxa"/>
            <w:tcBorders>
              <w:right w:val="nil"/>
            </w:tcBorders>
            <w:textDirection w:val="btLr"/>
          </w:tcPr>
          <w:p w14:paraId="79BE3EAE" w14:textId="77777777" w:rsidR="002A501D" w:rsidRPr="007F69DA" w:rsidRDefault="002A501D" w:rsidP="00F46ACB">
            <w:pPr>
              <w:spacing w:before="60" w:after="60"/>
              <w:ind w:left="113" w:right="113"/>
              <w:rPr>
                <w:sz w:val="16"/>
                <w:szCs w:val="16"/>
                <w:lang w:bidi="en-US"/>
              </w:rPr>
            </w:pPr>
          </w:p>
        </w:tc>
        <w:tc>
          <w:tcPr>
            <w:tcW w:w="497" w:type="dxa"/>
            <w:tcBorders>
              <w:left w:val="nil"/>
              <w:right w:val="nil"/>
            </w:tcBorders>
            <w:textDirection w:val="btLr"/>
          </w:tcPr>
          <w:p w14:paraId="127791D9"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1022F665"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28533BE3" w14:textId="77777777" w:rsidR="002A501D" w:rsidRPr="007F69DA" w:rsidRDefault="002A501D" w:rsidP="00F46ACB">
            <w:pPr>
              <w:spacing w:before="60" w:after="60"/>
              <w:ind w:left="113" w:right="113"/>
              <w:rPr>
                <w:sz w:val="16"/>
                <w:szCs w:val="16"/>
                <w:lang w:bidi="en-US"/>
              </w:rPr>
            </w:pPr>
          </w:p>
        </w:tc>
        <w:tc>
          <w:tcPr>
            <w:tcW w:w="472" w:type="dxa"/>
            <w:tcBorders>
              <w:left w:val="nil"/>
              <w:right w:val="nil"/>
            </w:tcBorders>
            <w:textDirection w:val="btLr"/>
          </w:tcPr>
          <w:p w14:paraId="1C2D39FA" w14:textId="77777777" w:rsidR="002A501D" w:rsidRPr="007F69DA" w:rsidRDefault="002A501D" w:rsidP="00F46ACB">
            <w:pPr>
              <w:spacing w:before="60" w:after="60"/>
              <w:ind w:left="113" w:right="113"/>
              <w:rPr>
                <w:sz w:val="16"/>
                <w:szCs w:val="16"/>
                <w:lang w:bidi="en-US"/>
              </w:rPr>
            </w:pPr>
          </w:p>
        </w:tc>
        <w:tc>
          <w:tcPr>
            <w:tcW w:w="473" w:type="dxa"/>
            <w:tcBorders>
              <w:left w:val="nil"/>
            </w:tcBorders>
            <w:textDirection w:val="btLr"/>
          </w:tcPr>
          <w:p w14:paraId="0E15DC61"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77B41D52" w14:textId="77777777" w:rsidR="002A501D" w:rsidRPr="007F69DA" w:rsidRDefault="002A501D" w:rsidP="00F46ACB">
            <w:pPr>
              <w:spacing w:before="60" w:after="60"/>
              <w:ind w:left="113" w:right="113"/>
              <w:rPr>
                <w:sz w:val="16"/>
                <w:szCs w:val="16"/>
                <w:lang w:bidi="en-US"/>
              </w:rPr>
            </w:pPr>
          </w:p>
        </w:tc>
        <w:tc>
          <w:tcPr>
            <w:tcW w:w="482" w:type="dxa"/>
            <w:tcBorders>
              <w:left w:val="nil"/>
              <w:right w:val="nil"/>
            </w:tcBorders>
            <w:textDirection w:val="btLr"/>
          </w:tcPr>
          <w:p w14:paraId="53D5D9CF" w14:textId="77777777" w:rsidR="002A501D" w:rsidRPr="007F69DA" w:rsidRDefault="002A501D" w:rsidP="00F46ACB">
            <w:pPr>
              <w:spacing w:before="60" w:after="60"/>
              <w:ind w:left="113" w:right="113"/>
              <w:rPr>
                <w:sz w:val="16"/>
                <w:szCs w:val="16"/>
                <w:lang w:bidi="en-US"/>
              </w:rPr>
            </w:pPr>
          </w:p>
        </w:tc>
        <w:tc>
          <w:tcPr>
            <w:tcW w:w="473" w:type="dxa"/>
            <w:tcBorders>
              <w:left w:val="nil"/>
              <w:right w:val="single" w:sz="4" w:space="0" w:color="auto"/>
            </w:tcBorders>
            <w:textDirection w:val="btLr"/>
          </w:tcPr>
          <w:p w14:paraId="4E11C053" w14:textId="77777777" w:rsidR="002A501D" w:rsidRPr="007F69DA" w:rsidRDefault="002A501D" w:rsidP="00F46ACB">
            <w:pPr>
              <w:spacing w:before="60" w:after="60"/>
              <w:ind w:left="113" w:right="113"/>
              <w:rPr>
                <w:sz w:val="16"/>
                <w:szCs w:val="16"/>
                <w:lang w:bidi="en-US"/>
              </w:rPr>
            </w:pPr>
          </w:p>
        </w:tc>
      </w:tr>
      <w:tr w:rsidR="002A501D" w:rsidRPr="007F69DA" w14:paraId="11E8BE6F" w14:textId="77777777" w:rsidTr="00477EE1">
        <w:trPr>
          <w:gridAfter w:val="1"/>
          <w:wAfter w:w="8" w:type="dxa"/>
          <w:cantSplit/>
          <w:trHeight w:val="685"/>
        </w:trPr>
        <w:tc>
          <w:tcPr>
            <w:tcW w:w="2983" w:type="dxa"/>
            <w:tcBorders>
              <w:left w:val="single" w:sz="4" w:space="0" w:color="auto"/>
            </w:tcBorders>
            <w:shd w:val="clear" w:color="auto" w:fill="DEEAF6" w:themeFill="accent1" w:themeFillTint="33"/>
            <w:vAlign w:val="center"/>
          </w:tcPr>
          <w:p w14:paraId="5E3820CB" w14:textId="77777777" w:rsidR="002A501D" w:rsidRPr="007F69DA" w:rsidRDefault="002A501D" w:rsidP="00F46ACB">
            <w:pPr>
              <w:spacing w:before="60" w:after="60"/>
              <w:rPr>
                <w:sz w:val="16"/>
                <w:szCs w:val="16"/>
                <w:lang w:bidi="en-US"/>
              </w:rPr>
            </w:pPr>
            <w:r w:rsidRPr="007F69DA">
              <w:rPr>
                <w:sz w:val="16"/>
                <w:szCs w:val="16"/>
                <w:lang w:bidi="en-US"/>
              </w:rPr>
              <w:t>Humankapital</w:t>
            </w:r>
          </w:p>
        </w:tc>
        <w:tc>
          <w:tcPr>
            <w:tcW w:w="472" w:type="dxa"/>
            <w:tcBorders>
              <w:right w:val="nil"/>
            </w:tcBorders>
            <w:textDirection w:val="btLr"/>
          </w:tcPr>
          <w:p w14:paraId="2A4EF10D" w14:textId="77777777" w:rsidR="002A501D" w:rsidRPr="007F69DA" w:rsidRDefault="002A501D" w:rsidP="00F46ACB">
            <w:pPr>
              <w:spacing w:before="60" w:after="60"/>
              <w:ind w:left="113" w:right="113"/>
              <w:rPr>
                <w:sz w:val="16"/>
                <w:szCs w:val="16"/>
                <w:lang w:bidi="en-US"/>
              </w:rPr>
            </w:pPr>
          </w:p>
        </w:tc>
        <w:tc>
          <w:tcPr>
            <w:tcW w:w="470" w:type="dxa"/>
            <w:tcBorders>
              <w:left w:val="nil"/>
              <w:right w:val="nil"/>
            </w:tcBorders>
            <w:textDirection w:val="btLr"/>
          </w:tcPr>
          <w:p w14:paraId="31824961"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6E45D6EB" w14:textId="77777777" w:rsidR="002A501D" w:rsidRPr="007F69DA" w:rsidRDefault="002A501D" w:rsidP="00F46ACB">
            <w:pPr>
              <w:spacing w:before="60" w:after="60"/>
              <w:ind w:left="113" w:right="113"/>
              <w:rPr>
                <w:sz w:val="16"/>
                <w:szCs w:val="16"/>
                <w:lang w:bidi="en-US"/>
              </w:rPr>
            </w:pPr>
          </w:p>
        </w:tc>
        <w:tc>
          <w:tcPr>
            <w:tcW w:w="446" w:type="dxa"/>
            <w:tcBorders>
              <w:right w:val="nil"/>
            </w:tcBorders>
            <w:textDirection w:val="btLr"/>
          </w:tcPr>
          <w:p w14:paraId="0852D68F" w14:textId="77777777" w:rsidR="002A501D" w:rsidRPr="007F69DA" w:rsidRDefault="002A501D" w:rsidP="00F46ACB">
            <w:pPr>
              <w:spacing w:before="60" w:after="60"/>
              <w:ind w:left="113" w:right="113"/>
              <w:rPr>
                <w:sz w:val="16"/>
                <w:szCs w:val="16"/>
                <w:lang w:bidi="en-US"/>
              </w:rPr>
            </w:pPr>
          </w:p>
        </w:tc>
        <w:tc>
          <w:tcPr>
            <w:tcW w:w="497" w:type="dxa"/>
            <w:tcBorders>
              <w:left w:val="nil"/>
              <w:right w:val="nil"/>
            </w:tcBorders>
            <w:textDirection w:val="btLr"/>
          </w:tcPr>
          <w:p w14:paraId="6CFDCFB0" w14:textId="77777777" w:rsidR="002A501D" w:rsidRPr="007F69DA" w:rsidRDefault="002A501D" w:rsidP="00F46ACB">
            <w:pPr>
              <w:spacing w:before="60" w:after="60"/>
              <w:ind w:left="113" w:right="113"/>
              <w:rPr>
                <w:sz w:val="16"/>
                <w:szCs w:val="16"/>
                <w:lang w:bidi="en-US"/>
              </w:rPr>
            </w:pPr>
          </w:p>
        </w:tc>
        <w:tc>
          <w:tcPr>
            <w:tcW w:w="472" w:type="dxa"/>
            <w:tcBorders>
              <w:left w:val="nil"/>
            </w:tcBorders>
            <w:textDirection w:val="btLr"/>
          </w:tcPr>
          <w:p w14:paraId="6015856D"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34AC956B" w14:textId="77777777" w:rsidR="002A501D" w:rsidRPr="007F69DA" w:rsidRDefault="002A501D" w:rsidP="00F46ACB">
            <w:pPr>
              <w:spacing w:before="60" w:after="60"/>
              <w:ind w:left="113" w:right="113"/>
              <w:rPr>
                <w:sz w:val="16"/>
                <w:szCs w:val="16"/>
                <w:lang w:bidi="en-US"/>
              </w:rPr>
            </w:pPr>
          </w:p>
        </w:tc>
        <w:tc>
          <w:tcPr>
            <w:tcW w:w="472" w:type="dxa"/>
            <w:tcBorders>
              <w:left w:val="nil"/>
              <w:right w:val="nil"/>
            </w:tcBorders>
            <w:textDirection w:val="btLr"/>
          </w:tcPr>
          <w:p w14:paraId="5BECF626" w14:textId="77777777" w:rsidR="002A501D" w:rsidRPr="007F69DA" w:rsidRDefault="002A501D" w:rsidP="00F46ACB">
            <w:pPr>
              <w:spacing w:before="60" w:after="60"/>
              <w:ind w:left="113" w:right="113"/>
              <w:rPr>
                <w:sz w:val="16"/>
                <w:szCs w:val="16"/>
                <w:lang w:bidi="en-US"/>
              </w:rPr>
            </w:pPr>
          </w:p>
        </w:tc>
        <w:tc>
          <w:tcPr>
            <w:tcW w:w="473" w:type="dxa"/>
            <w:tcBorders>
              <w:left w:val="nil"/>
            </w:tcBorders>
            <w:textDirection w:val="btLr"/>
          </w:tcPr>
          <w:p w14:paraId="2CABE633" w14:textId="77777777" w:rsidR="002A501D" w:rsidRPr="007F69DA" w:rsidRDefault="002A501D" w:rsidP="00F46ACB">
            <w:pPr>
              <w:spacing w:before="60" w:after="60"/>
              <w:ind w:left="113" w:right="113"/>
              <w:rPr>
                <w:sz w:val="16"/>
                <w:szCs w:val="16"/>
                <w:lang w:bidi="en-US"/>
              </w:rPr>
            </w:pPr>
          </w:p>
        </w:tc>
        <w:tc>
          <w:tcPr>
            <w:tcW w:w="470" w:type="dxa"/>
            <w:tcBorders>
              <w:right w:val="nil"/>
            </w:tcBorders>
            <w:textDirection w:val="btLr"/>
          </w:tcPr>
          <w:p w14:paraId="59AAF690" w14:textId="77777777" w:rsidR="002A501D" w:rsidRPr="007F69DA" w:rsidRDefault="002A501D" w:rsidP="00F46ACB">
            <w:pPr>
              <w:spacing w:before="60" w:after="60"/>
              <w:ind w:left="113" w:right="113"/>
              <w:rPr>
                <w:sz w:val="16"/>
                <w:szCs w:val="16"/>
                <w:lang w:bidi="en-US"/>
              </w:rPr>
            </w:pPr>
          </w:p>
        </w:tc>
        <w:tc>
          <w:tcPr>
            <w:tcW w:w="482" w:type="dxa"/>
            <w:tcBorders>
              <w:left w:val="nil"/>
              <w:right w:val="nil"/>
            </w:tcBorders>
            <w:textDirection w:val="btLr"/>
          </w:tcPr>
          <w:p w14:paraId="0EC1C975" w14:textId="77777777" w:rsidR="002A501D" w:rsidRPr="007F69DA" w:rsidRDefault="002A501D" w:rsidP="00F46ACB">
            <w:pPr>
              <w:spacing w:before="60" w:after="60"/>
              <w:ind w:left="113" w:right="113"/>
              <w:rPr>
                <w:sz w:val="16"/>
                <w:szCs w:val="16"/>
                <w:lang w:bidi="en-US"/>
              </w:rPr>
            </w:pPr>
          </w:p>
        </w:tc>
        <w:tc>
          <w:tcPr>
            <w:tcW w:w="473" w:type="dxa"/>
            <w:tcBorders>
              <w:left w:val="nil"/>
              <w:right w:val="single" w:sz="4" w:space="0" w:color="auto"/>
            </w:tcBorders>
            <w:textDirection w:val="btLr"/>
          </w:tcPr>
          <w:p w14:paraId="3B5A4A7F" w14:textId="77777777" w:rsidR="002A501D" w:rsidRPr="007F69DA" w:rsidRDefault="002A501D" w:rsidP="00F46ACB">
            <w:pPr>
              <w:spacing w:before="60" w:after="60"/>
              <w:ind w:left="113" w:right="113"/>
              <w:rPr>
                <w:sz w:val="16"/>
                <w:szCs w:val="16"/>
                <w:lang w:bidi="en-US"/>
              </w:rPr>
            </w:pPr>
          </w:p>
        </w:tc>
      </w:tr>
    </w:tbl>
    <w:p w14:paraId="28DE6910" w14:textId="77777777" w:rsidR="002A501D" w:rsidRPr="007F69DA" w:rsidRDefault="002A501D" w:rsidP="002A501D">
      <w:pPr>
        <w:spacing w:line="360" w:lineRule="auto"/>
        <w:jc w:val="both"/>
        <w:rPr>
          <w:bCs/>
          <w:sz w:val="18"/>
          <w:szCs w:val="20"/>
          <w:lang w:eastAsia="de-DE"/>
        </w:rPr>
      </w:pPr>
    </w:p>
    <w:p w14:paraId="77716240" w14:textId="77777777" w:rsidR="002A501D" w:rsidRPr="007F69DA" w:rsidRDefault="002A501D" w:rsidP="002A501D">
      <w:pPr>
        <w:spacing w:after="180" w:line="360" w:lineRule="auto"/>
        <w:rPr>
          <w:szCs w:val="24"/>
          <w:lang w:eastAsia="de-DE"/>
        </w:rPr>
      </w:pPr>
    </w:p>
    <w:p w14:paraId="53D3307A" w14:textId="77777777" w:rsidR="002A501D" w:rsidRPr="007F69DA" w:rsidRDefault="002A501D" w:rsidP="002A501D">
      <w:pPr>
        <w:pStyle w:val="StandardText"/>
      </w:pPr>
      <w:r w:rsidRPr="007F69DA">
        <w:t>Checklist-Verfahren</w:t>
      </w:r>
    </w:p>
    <w:p w14:paraId="67F7A2A4" w14:textId="77777777" w:rsidR="002A501D" w:rsidRPr="007F69DA" w:rsidRDefault="002A501D" w:rsidP="002A501D">
      <w:pPr>
        <w:pStyle w:val="StandardText"/>
      </w:pPr>
      <w:r w:rsidRPr="007F69DA">
        <w:t>Neben Schnelligkeit und geringen Kosten nennen Berndt et al. (2010, S.117) „einfache Handhabbarkeit“ als entscheidenden Vorteil des Checklist-Verfahrens. Es dient hauptsächlich dazu, mit vergleichsweise geringem Aufwand Ländermärkte auszusondern, die bestimmte Mindestkriterien nicht erfüllen (vgl. Tab. 2). Politische Instabilität etwa schließt im Regelfall Markteintrittsstrategien wie Direktinvestitionen aus. Denn sie binden in großem Umfang Kapital, Know how und andere strategische Ressourcen. Aufgrund seiner Eignung zur Grobselektion kann das Checklist-Verfahren auch als erste Stufe des Filterverfahrens angesehen werden.</w:t>
      </w:r>
    </w:p>
    <w:p w14:paraId="2227641E" w14:textId="77777777" w:rsidR="002A501D" w:rsidRPr="007F69DA" w:rsidRDefault="002A501D" w:rsidP="002A501D">
      <w:pPr>
        <w:spacing w:line="360" w:lineRule="auto"/>
        <w:jc w:val="both"/>
        <w:rPr>
          <w:szCs w:val="24"/>
          <w:lang w:eastAsia="de-DE"/>
        </w:rPr>
      </w:pPr>
    </w:p>
    <w:p w14:paraId="5C389402" w14:textId="77777777" w:rsidR="002A501D" w:rsidRPr="00BF04C9" w:rsidRDefault="002A501D" w:rsidP="002A501D">
      <w:pPr>
        <w:spacing w:after="180" w:line="360" w:lineRule="auto"/>
        <w:jc w:val="center"/>
        <w:rPr>
          <w:i/>
          <w:szCs w:val="20"/>
          <w:lang w:eastAsia="de-DE"/>
        </w:rPr>
      </w:pPr>
      <w:r w:rsidRPr="00BF04C9">
        <w:rPr>
          <w:i/>
          <w:szCs w:val="20"/>
          <w:lang w:eastAsia="de-DE"/>
        </w:rPr>
        <w:t>Tab. 2: Checkliste zur Vorbereitung des Markteintritts (vereinfachtes Beispiel)</w:t>
      </w:r>
    </w:p>
    <w:tbl>
      <w:tblPr>
        <w:tblW w:w="0" w:type="auto"/>
        <w:tblInd w:w="70" w:type="dxa"/>
        <w:tblBorders>
          <w:top w:val="single" w:sz="6" w:space="0" w:color="auto"/>
          <w:bottom w:val="single" w:sz="6" w:space="0" w:color="auto"/>
        </w:tblBorders>
        <w:tblLayout w:type="fixed"/>
        <w:tblCellMar>
          <w:left w:w="56" w:type="dxa"/>
          <w:right w:w="56" w:type="dxa"/>
        </w:tblCellMar>
        <w:tblLook w:val="04A0" w:firstRow="1" w:lastRow="0" w:firstColumn="1" w:lastColumn="0" w:noHBand="0" w:noVBand="1"/>
      </w:tblPr>
      <w:tblGrid>
        <w:gridCol w:w="5171"/>
        <w:gridCol w:w="1217"/>
        <w:gridCol w:w="1368"/>
        <w:gridCol w:w="1108"/>
      </w:tblGrid>
      <w:tr w:rsidR="002A501D" w:rsidRPr="007F69DA" w14:paraId="700B9208" w14:textId="77777777" w:rsidTr="00477EE1">
        <w:trPr>
          <w:trHeight w:val="291"/>
        </w:trPr>
        <w:tc>
          <w:tcPr>
            <w:tcW w:w="5171" w:type="dxa"/>
            <w:tcBorders>
              <w:top w:val="single" w:sz="4" w:space="0" w:color="auto"/>
              <w:left w:val="single" w:sz="4" w:space="0" w:color="auto"/>
              <w:bottom w:val="single" w:sz="4" w:space="0" w:color="auto"/>
              <w:right w:val="single" w:sz="4" w:space="0" w:color="auto"/>
            </w:tcBorders>
            <w:shd w:val="clear" w:color="auto" w:fill="FFC000"/>
          </w:tcPr>
          <w:p w14:paraId="01930B03" w14:textId="77777777" w:rsidR="002A501D" w:rsidRPr="007F69DA" w:rsidRDefault="002A501D" w:rsidP="00F46ACB">
            <w:pPr>
              <w:spacing w:before="40" w:after="40" w:line="160" w:lineRule="exact"/>
              <w:jc w:val="both"/>
              <w:rPr>
                <w:sz w:val="16"/>
                <w:szCs w:val="16"/>
                <w:lang w:bidi="en-US"/>
              </w:rPr>
            </w:pPr>
          </w:p>
        </w:tc>
        <w:tc>
          <w:tcPr>
            <w:tcW w:w="1217" w:type="dxa"/>
            <w:tcBorders>
              <w:top w:val="single" w:sz="4" w:space="0" w:color="auto"/>
              <w:left w:val="single" w:sz="4" w:space="0" w:color="auto"/>
              <w:bottom w:val="single" w:sz="4" w:space="0" w:color="auto"/>
              <w:right w:val="nil"/>
            </w:tcBorders>
            <w:shd w:val="clear" w:color="auto" w:fill="FFC000"/>
            <w:hideMark/>
          </w:tcPr>
          <w:p w14:paraId="011A365B" w14:textId="77777777" w:rsidR="002A501D" w:rsidRPr="007F69DA" w:rsidRDefault="002A501D" w:rsidP="00F46ACB">
            <w:pPr>
              <w:spacing w:before="40" w:after="40" w:line="160" w:lineRule="exact"/>
              <w:jc w:val="center"/>
              <w:rPr>
                <w:b/>
                <w:sz w:val="16"/>
                <w:szCs w:val="16"/>
                <w:lang w:bidi="en-US"/>
              </w:rPr>
            </w:pPr>
            <w:r w:rsidRPr="007F69DA">
              <w:rPr>
                <w:b/>
                <w:sz w:val="16"/>
                <w:szCs w:val="16"/>
                <w:lang w:bidi="en-US"/>
              </w:rPr>
              <w:t>gering</w:t>
            </w:r>
          </w:p>
        </w:tc>
        <w:tc>
          <w:tcPr>
            <w:tcW w:w="1368" w:type="dxa"/>
            <w:tcBorders>
              <w:top w:val="single" w:sz="4" w:space="0" w:color="auto"/>
              <w:left w:val="nil"/>
              <w:bottom w:val="single" w:sz="4" w:space="0" w:color="auto"/>
              <w:right w:val="nil"/>
            </w:tcBorders>
            <w:shd w:val="clear" w:color="auto" w:fill="FFC000"/>
            <w:hideMark/>
          </w:tcPr>
          <w:p w14:paraId="65A3E061" w14:textId="77777777" w:rsidR="002A501D" w:rsidRPr="007F69DA" w:rsidRDefault="002A501D" w:rsidP="00F46ACB">
            <w:pPr>
              <w:spacing w:before="40" w:after="40" w:line="160" w:lineRule="exact"/>
              <w:jc w:val="center"/>
              <w:rPr>
                <w:b/>
                <w:sz w:val="16"/>
                <w:szCs w:val="16"/>
                <w:lang w:bidi="en-US"/>
              </w:rPr>
            </w:pPr>
            <w:r w:rsidRPr="007F69DA">
              <w:rPr>
                <w:b/>
                <w:sz w:val="16"/>
                <w:szCs w:val="16"/>
                <w:lang w:bidi="en-US"/>
              </w:rPr>
              <w:t>mittel</w:t>
            </w:r>
          </w:p>
        </w:tc>
        <w:tc>
          <w:tcPr>
            <w:tcW w:w="1108" w:type="dxa"/>
            <w:tcBorders>
              <w:top w:val="single" w:sz="4" w:space="0" w:color="auto"/>
              <w:left w:val="nil"/>
              <w:bottom w:val="single" w:sz="4" w:space="0" w:color="auto"/>
              <w:right w:val="single" w:sz="4" w:space="0" w:color="auto"/>
            </w:tcBorders>
            <w:shd w:val="clear" w:color="auto" w:fill="FFC000"/>
            <w:hideMark/>
          </w:tcPr>
          <w:p w14:paraId="5AE3CBBA" w14:textId="77777777" w:rsidR="002A501D" w:rsidRPr="007F69DA" w:rsidRDefault="002A501D" w:rsidP="00F46ACB">
            <w:pPr>
              <w:spacing w:before="40" w:after="40" w:line="160" w:lineRule="exact"/>
              <w:jc w:val="center"/>
              <w:rPr>
                <w:b/>
                <w:sz w:val="16"/>
                <w:szCs w:val="16"/>
                <w:lang w:bidi="en-US"/>
              </w:rPr>
            </w:pPr>
            <w:r w:rsidRPr="007F69DA">
              <w:rPr>
                <w:b/>
                <w:sz w:val="16"/>
                <w:szCs w:val="16"/>
                <w:lang w:bidi="en-US"/>
              </w:rPr>
              <w:t>stark</w:t>
            </w:r>
          </w:p>
        </w:tc>
      </w:tr>
      <w:tr w:rsidR="002A501D" w:rsidRPr="007F69DA" w14:paraId="3D68ABF5" w14:textId="77777777" w:rsidTr="00477EE1">
        <w:trPr>
          <w:trHeight w:val="303"/>
        </w:trPr>
        <w:tc>
          <w:tcPr>
            <w:tcW w:w="5171" w:type="dxa"/>
            <w:tcBorders>
              <w:top w:val="single" w:sz="4" w:space="0" w:color="auto"/>
              <w:left w:val="single" w:sz="4" w:space="0" w:color="auto"/>
              <w:bottom w:val="nil"/>
              <w:right w:val="single" w:sz="4" w:space="0" w:color="auto"/>
            </w:tcBorders>
            <w:shd w:val="clear" w:color="auto" w:fill="FFF2CC" w:themeFill="accent4" w:themeFillTint="33"/>
            <w:hideMark/>
          </w:tcPr>
          <w:p w14:paraId="06EE3997" w14:textId="77777777" w:rsidR="002A501D" w:rsidRPr="00477EE1" w:rsidRDefault="002A501D" w:rsidP="00F46ACB">
            <w:pPr>
              <w:spacing w:before="40" w:after="40" w:line="160" w:lineRule="exact"/>
              <w:ind w:left="356" w:hanging="356"/>
              <w:jc w:val="both"/>
              <w:rPr>
                <w:sz w:val="20"/>
                <w:szCs w:val="20"/>
                <w:lang w:bidi="en-US"/>
              </w:rPr>
            </w:pPr>
            <w:r w:rsidRPr="00477EE1">
              <w:rPr>
                <w:sz w:val="20"/>
                <w:szCs w:val="20"/>
                <w:lang w:bidi="en-US"/>
              </w:rPr>
              <w:t>Marktpotential</w:t>
            </w:r>
          </w:p>
        </w:tc>
        <w:tc>
          <w:tcPr>
            <w:tcW w:w="1217" w:type="dxa"/>
            <w:tcBorders>
              <w:top w:val="single" w:sz="4" w:space="0" w:color="auto"/>
              <w:left w:val="single" w:sz="4" w:space="0" w:color="auto"/>
              <w:bottom w:val="nil"/>
              <w:right w:val="nil"/>
            </w:tcBorders>
          </w:tcPr>
          <w:p w14:paraId="7C2412EB" w14:textId="77777777" w:rsidR="002A501D" w:rsidRPr="007F69DA" w:rsidRDefault="002A501D" w:rsidP="00F46ACB">
            <w:pPr>
              <w:spacing w:before="40" w:after="40" w:line="160" w:lineRule="exact"/>
              <w:jc w:val="center"/>
              <w:rPr>
                <w:sz w:val="16"/>
                <w:szCs w:val="16"/>
                <w:lang w:bidi="en-US"/>
              </w:rPr>
            </w:pPr>
          </w:p>
        </w:tc>
        <w:tc>
          <w:tcPr>
            <w:tcW w:w="1368" w:type="dxa"/>
            <w:tcBorders>
              <w:top w:val="single" w:sz="4" w:space="0" w:color="auto"/>
              <w:left w:val="nil"/>
              <w:bottom w:val="nil"/>
              <w:right w:val="nil"/>
            </w:tcBorders>
          </w:tcPr>
          <w:p w14:paraId="0EF6C300" w14:textId="77777777" w:rsidR="002A501D" w:rsidRPr="007F69DA" w:rsidRDefault="002A501D" w:rsidP="00F46ACB">
            <w:pPr>
              <w:spacing w:before="40" w:after="40" w:line="160" w:lineRule="exact"/>
              <w:jc w:val="center"/>
              <w:rPr>
                <w:sz w:val="16"/>
                <w:szCs w:val="16"/>
                <w:lang w:bidi="en-US"/>
              </w:rPr>
            </w:pPr>
          </w:p>
        </w:tc>
        <w:tc>
          <w:tcPr>
            <w:tcW w:w="1108" w:type="dxa"/>
            <w:tcBorders>
              <w:top w:val="single" w:sz="4" w:space="0" w:color="auto"/>
              <w:left w:val="nil"/>
              <w:bottom w:val="nil"/>
              <w:right w:val="single" w:sz="4" w:space="0" w:color="auto"/>
            </w:tcBorders>
          </w:tcPr>
          <w:p w14:paraId="2BA393C5" w14:textId="77777777" w:rsidR="002A501D" w:rsidRPr="007F69DA" w:rsidRDefault="002A501D" w:rsidP="00F46ACB">
            <w:pPr>
              <w:spacing w:before="40" w:after="40" w:line="160" w:lineRule="exact"/>
              <w:jc w:val="center"/>
              <w:rPr>
                <w:sz w:val="16"/>
                <w:szCs w:val="16"/>
                <w:lang w:bidi="en-US"/>
              </w:rPr>
            </w:pPr>
          </w:p>
        </w:tc>
      </w:tr>
      <w:tr w:rsidR="002A501D" w:rsidRPr="007F69DA" w14:paraId="16BDC151" w14:textId="77777777" w:rsidTr="00477EE1">
        <w:trPr>
          <w:trHeight w:val="314"/>
        </w:trPr>
        <w:tc>
          <w:tcPr>
            <w:tcW w:w="5171" w:type="dxa"/>
            <w:tcBorders>
              <w:top w:val="nil"/>
              <w:left w:val="single" w:sz="4" w:space="0" w:color="auto"/>
              <w:bottom w:val="nil"/>
              <w:right w:val="single" w:sz="4" w:space="0" w:color="auto"/>
            </w:tcBorders>
            <w:shd w:val="clear" w:color="auto" w:fill="FFF2CC" w:themeFill="accent4" w:themeFillTint="33"/>
            <w:hideMark/>
          </w:tcPr>
          <w:p w14:paraId="7399A31A" w14:textId="77777777" w:rsidR="002A501D" w:rsidRPr="00477EE1" w:rsidRDefault="002A501D" w:rsidP="00F46ACB">
            <w:pPr>
              <w:spacing w:before="40" w:after="40" w:line="160" w:lineRule="exact"/>
              <w:ind w:left="639" w:hanging="283"/>
              <w:jc w:val="both"/>
              <w:rPr>
                <w:sz w:val="20"/>
                <w:szCs w:val="20"/>
                <w:lang w:bidi="en-US"/>
              </w:rPr>
            </w:pPr>
            <w:r w:rsidRPr="00477EE1">
              <w:rPr>
                <w:sz w:val="20"/>
                <w:szCs w:val="20"/>
                <w:lang w:bidi="en-US"/>
              </w:rPr>
              <w:sym w:font="Symbol" w:char="00B7"/>
            </w:r>
            <w:r w:rsidRPr="00477EE1">
              <w:rPr>
                <w:sz w:val="20"/>
                <w:szCs w:val="20"/>
                <w:lang w:bidi="en-US"/>
              </w:rPr>
              <w:tab/>
              <w:t>aktuelle Nachfrage</w:t>
            </w:r>
          </w:p>
        </w:tc>
        <w:tc>
          <w:tcPr>
            <w:tcW w:w="1217" w:type="dxa"/>
            <w:tcBorders>
              <w:top w:val="nil"/>
              <w:left w:val="single" w:sz="4" w:space="0" w:color="auto"/>
              <w:bottom w:val="nil"/>
              <w:right w:val="nil"/>
            </w:tcBorders>
          </w:tcPr>
          <w:p w14:paraId="68131920" w14:textId="77777777" w:rsidR="002A501D" w:rsidRPr="007F69DA" w:rsidRDefault="002A501D" w:rsidP="00F46ACB">
            <w:pPr>
              <w:spacing w:before="40" w:after="40" w:line="160" w:lineRule="exact"/>
              <w:jc w:val="center"/>
              <w:rPr>
                <w:sz w:val="16"/>
                <w:szCs w:val="16"/>
                <w:lang w:bidi="en-US"/>
              </w:rPr>
            </w:pPr>
          </w:p>
        </w:tc>
        <w:tc>
          <w:tcPr>
            <w:tcW w:w="1368" w:type="dxa"/>
            <w:tcBorders>
              <w:top w:val="nil"/>
              <w:left w:val="nil"/>
              <w:bottom w:val="nil"/>
              <w:right w:val="nil"/>
            </w:tcBorders>
          </w:tcPr>
          <w:p w14:paraId="3FB7C40E" w14:textId="77777777" w:rsidR="002A501D" w:rsidRPr="007F69DA" w:rsidRDefault="002A501D" w:rsidP="00F46ACB">
            <w:pPr>
              <w:spacing w:before="40" w:after="40" w:line="160" w:lineRule="exact"/>
              <w:jc w:val="center"/>
              <w:rPr>
                <w:sz w:val="16"/>
                <w:szCs w:val="16"/>
                <w:lang w:bidi="en-US"/>
              </w:rPr>
            </w:pPr>
          </w:p>
        </w:tc>
        <w:tc>
          <w:tcPr>
            <w:tcW w:w="1108" w:type="dxa"/>
            <w:tcBorders>
              <w:top w:val="nil"/>
              <w:left w:val="nil"/>
              <w:bottom w:val="nil"/>
              <w:right w:val="single" w:sz="4" w:space="0" w:color="auto"/>
            </w:tcBorders>
            <w:hideMark/>
          </w:tcPr>
          <w:p w14:paraId="07E9285A"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FC"/>
            </w:r>
          </w:p>
        </w:tc>
      </w:tr>
      <w:tr w:rsidR="002A501D" w:rsidRPr="007F69DA" w14:paraId="18E3A867" w14:textId="77777777" w:rsidTr="00477EE1">
        <w:trPr>
          <w:trHeight w:val="303"/>
        </w:trPr>
        <w:tc>
          <w:tcPr>
            <w:tcW w:w="5171" w:type="dxa"/>
            <w:tcBorders>
              <w:top w:val="nil"/>
              <w:left w:val="single" w:sz="4" w:space="0" w:color="auto"/>
              <w:bottom w:val="nil"/>
              <w:right w:val="single" w:sz="4" w:space="0" w:color="auto"/>
            </w:tcBorders>
            <w:shd w:val="clear" w:color="auto" w:fill="FFF2CC" w:themeFill="accent4" w:themeFillTint="33"/>
            <w:hideMark/>
          </w:tcPr>
          <w:p w14:paraId="08ADF1E2" w14:textId="77777777" w:rsidR="002A501D" w:rsidRPr="00477EE1" w:rsidRDefault="002A501D" w:rsidP="00F46ACB">
            <w:pPr>
              <w:spacing w:before="40" w:after="40" w:line="160" w:lineRule="exact"/>
              <w:ind w:left="639" w:hanging="283"/>
              <w:jc w:val="both"/>
              <w:rPr>
                <w:sz w:val="20"/>
                <w:szCs w:val="20"/>
                <w:lang w:bidi="en-US"/>
              </w:rPr>
            </w:pPr>
            <w:r w:rsidRPr="00477EE1">
              <w:rPr>
                <w:sz w:val="20"/>
                <w:szCs w:val="20"/>
                <w:lang w:bidi="en-US"/>
              </w:rPr>
              <w:sym w:font="Symbol" w:char="00B7"/>
            </w:r>
            <w:r w:rsidRPr="00477EE1">
              <w:rPr>
                <w:sz w:val="20"/>
                <w:szCs w:val="20"/>
                <w:lang w:bidi="en-US"/>
              </w:rPr>
              <w:tab/>
              <w:t>voraussichtliche Entwicklung</w:t>
            </w:r>
          </w:p>
        </w:tc>
        <w:tc>
          <w:tcPr>
            <w:tcW w:w="1217" w:type="dxa"/>
            <w:tcBorders>
              <w:top w:val="nil"/>
              <w:left w:val="single" w:sz="4" w:space="0" w:color="auto"/>
              <w:bottom w:val="nil"/>
              <w:right w:val="nil"/>
            </w:tcBorders>
          </w:tcPr>
          <w:p w14:paraId="14251A16" w14:textId="77777777" w:rsidR="002A501D" w:rsidRPr="007F69DA" w:rsidRDefault="002A501D" w:rsidP="00F46ACB">
            <w:pPr>
              <w:spacing w:before="40" w:after="40" w:line="160" w:lineRule="exact"/>
              <w:jc w:val="center"/>
              <w:rPr>
                <w:sz w:val="16"/>
                <w:szCs w:val="16"/>
                <w:lang w:bidi="en-US"/>
              </w:rPr>
            </w:pPr>
          </w:p>
        </w:tc>
        <w:tc>
          <w:tcPr>
            <w:tcW w:w="1368" w:type="dxa"/>
            <w:tcBorders>
              <w:top w:val="nil"/>
              <w:left w:val="nil"/>
              <w:bottom w:val="nil"/>
              <w:right w:val="nil"/>
            </w:tcBorders>
            <w:hideMark/>
          </w:tcPr>
          <w:p w14:paraId="6E666D32"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FC"/>
            </w:r>
          </w:p>
        </w:tc>
        <w:tc>
          <w:tcPr>
            <w:tcW w:w="1108" w:type="dxa"/>
            <w:tcBorders>
              <w:top w:val="nil"/>
              <w:left w:val="nil"/>
              <w:bottom w:val="nil"/>
              <w:right w:val="single" w:sz="4" w:space="0" w:color="auto"/>
            </w:tcBorders>
          </w:tcPr>
          <w:p w14:paraId="6A7801A3" w14:textId="77777777" w:rsidR="002A501D" w:rsidRPr="007F69DA" w:rsidRDefault="002A501D" w:rsidP="00F46ACB">
            <w:pPr>
              <w:spacing w:before="40" w:after="40" w:line="160" w:lineRule="exact"/>
              <w:jc w:val="center"/>
              <w:rPr>
                <w:sz w:val="16"/>
                <w:szCs w:val="16"/>
                <w:lang w:bidi="en-US"/>
              </w:rPr>
            </w:pPr>
          </w:p>
        </w:tc>
      </w:tr>
      <w:tr w:rsidR="002A501D" w:rsidRPr="007F69DA" w14:paraId="798AB06D" w14:textId="77777777" w:rsidTr="00477EE1">
        <w:trPr>
          <w:trHeight w:val="314"/>
        </w:trPr>
        <w:tc>
          <w:tcPr>
            <w:tcW w:w="5171" w:type="dxa"/>
            <w:tcBorders>
              <w:top w:val="nil"/>
              <w:left w:val="single" w:sz="4" w:space="0" w:color="auto"/>
              <w:bottom w:val="nil"/>
              <w:right w:val="single" w:sz="4" w:space="0" w:color="auto"/>
            </w:tcBorders>
            <w:shd w:val="clear" w:color="auto" w:fill="FFF2CC" w:themeFill="accent4" w:themeFillTint="33"/>
            <w:hideMark/>
          </w:tcPr>
          <w:p w14:paraId="70C03741" w14:textId="77777777" w:rsidR="002A501D" w:rsidRPr="00477EE1" w:rsidRDefault="002A501D" w:rsidP="00F46ACB">
            <w:pPr>
              <w:spacing w:before="40" w:after="40" w:line="160" w:lineRule="exact"/>
              <w:ind w:left="639" w:hanging="283"/>
              <w:jc w:val="both"/>
              <w:rPr>
                <w:sz w:val="20"/>
                <w:szCs w:val="20"/>
                <w:lang w:bidi="en-US"/>
              </w:rPr>
            </w:pPr>
            <w:r w:rsidRPr="00477EE1">
              <w:rPr>
                <w:sz w:val="20"/>
                <w:szCs w:val="20"/>
                <w:lang w:bidi="en-US"/>
              </w:rPr>
              <w:sym w:font="Symbol" w:char="00B7"/>
            </w:r>
            <w:r w:rsidRPr="00477EE1">
              <w:rPr>
                <w:sz w:val="20"/>
                <w:szCs w:val="20"/>
                <w:lang w:bidi="en-US"/>
              </w:rPr>
              <w:tab/>
              <w:t>Kaufkraft</w:t>
            </w:r>
          </w:p>
        </w:tc>
        <w:tc>
          <w:tcPr>
            <w:tcW w:w="1217" w:type="dxa"/>
            <w:tcBorders>
              <w:top w:val="nil"/>
              <w:left w:val="single" w:sz="4" w:space="0" w:color="auto"/>
              <w:bottom w:val="nil"/>
              <w:right w:val="nil"/>
            </w:tcBorders>
          </w:tcPr>
          <w:p w14:paraId="1914AF87" w14:textId="77777777" w:rsidR="002A501D" w:rsidRPr="007F69DA" w:rsidRDefault="002A501D" w:rsidP="00F46ACB">
            <w:pPr>
              <w:spacing w:before="40" w:after="40" w:line="160" w:lineRule="exact"/>
              <w:jc w:val="center"/>
              <w:rPr>
                <w:sz w:val="16"/>
                <w:szCs w:val="16"/>
                <w:lang w:bidi="en-US"/>
              </w:rPr>
            </w:pPr>
          </w:p>
        </w:tc>
        <w:tc>
          <w:tcPr>
            <w:tcW w:w="1368" w:type="dxa"/>
            <w:tcBorders>
              <w:top w:val="nil"/>
              <w:left w:val="nil"/>
              <w:bottom w:val="nil"/>
              <w:right w:val="nil"/>
            </w:tcBorders>
            <w:hideMark/>
          </w:tcPr>
          <w:p w14:paraId="499E8BB5"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FC"/>
            </w:r>
          </w:p>
        </w:tc>
        <w:tc>
          <w:tcPr>
            <w:tcW w:w="1108" w:type="dxa"/>
            <w:tcBorders>
              <w:top w:val="nil"/>
              <w:left w:val="nil"/>
              <w:bottom w:val="nil"/>
              <w:right w:val="single" w:sz="4" w:space="0" w:color="auto"/>
            </w:tcBorders>
          </w:tcPr>
          <w:p w14:paraId="62628B66" w14:textId="77777777" w:rsidR="002A501D" w:rsidRPr="007F69DA" w:rsidRDefault="002A501D" w:rsidP="00F46ACB">
            <w:pPr>
              <w:spacing w:before="40" w:after="40" w:line="160" w:lineRule="exact"/>
              <w:jc w:val="center"/>
              <w:rPr>
                <w:sz w:val="16"/>
                <w:szCs w:val="16"/>
                <w:lang w:bidi="en-US"/>
              </w:rPr>
            </w:pPr>
          </w:p>
        </w:tc>
      </w:tr>
      <w:tr w:rsidR="002A501D" w:rsidRPr="007F69DA" w14:paraId="3DC2759A" w14:textId="77777777" w:rsidTr="00477EE1">
        <w:trPr>
          <w:trHeight w:val="303"/>
        </w:trPr>
        <w:tc>
          <w:tcPr>
            <w:tcW w:w="5171" w:type="dxa"/>
            <w:tcBorders>
              <w:top w:val="nil"/>
              <w:left w:val="single" w:sz="4" w:space="0" w:color="auto"/>
              <w:bottom w:val="nil"/>
              <w:right w:val="single" w:sz="4" w:space="0" w:color="auto"/>
            </w:tcBorders>
            <w:shd w:val="clear" w:color="auto" w:fill="FFF2CC" w:themeFill="accent4" w:themeFillTint="33"/>
            <w:hideMark/>
          </w:tcPr>
          <w:p w14:paraId="589F46C6" w14:textId="77777777" w:rsidR="002A501D" w:rsidRPr="00477EE1" w:rsidRDefault="002A501D" w:rsidP="00F46ACB">
            <w:pPr>
              <w:spacing w:before="40" w:after="40" w:line="160" w:lineRule="exact"/>
              <w:ind w:left="356" w:hanging="356"/>
              <w:jc w:val="both"/>
              <w:rPr>
                <w:sz w:val="20"/>
                <w:szCs w:val="20"/>
                <w:lang w:bidi="en-US"/>
              </w:rPr>
            </w:pPr>
            <w:r w:rsidRPr="00477EE1">
              <w:rPr>
                <w:sz w:val="20"/>
                <w:szCs w:val="20"/>
                <w:lang w:bidi="en-US"/>
              </w:rPr>
              <w:t>Markteintritt</w:t>
            </w:r>
          </w:p>
        </w:tc>
        <w:tc>
          <w:tcPr>
            <w:tcW w:w="1217" w:type="dxa"/>
            <w:tcBorders>
              <w:top w:val="nil"/>
              <w:left w:val="single" w:sz="4" w:space="0" w:color="auto"/>
              <w:bottom w:val="nil"/>
              <w:right w:val="nil"/>
            </w:tcBorders>
          </w:tcPr>
          <w:p w14:paraId="716AF976" w14:textId="77777777" w:rsidR="002A501D" w:rsidRPr="007F69DA" w:rsidRDefault="002A501D" w:rsidP="00F46ACB">
            <w:pPr>
              <w:spacing w:before="40" w:after="40" w:line="160" w:lineRule="exact"/>
              <w:jc w:val="center"/>
              <w:rPr>
                <w:sz w:val="16"/>
                <w:szCs w:val="16"/>
                <w:lang w:bidi="en-US"/>
              </w:rPr>
            </w:pPr>
          </w:p>
        </w:tc>
        <w:tc>
          <w:tcPr>
            <w:tcW w:w="1368" w:type="dxa"/>
            <w:tcBorders>
              <w:top w:val="nil"/>
              <w:left w:val="nil"/>
              <w:bottom w:val="nil"/>
              <w:right w:val="nil"/>
            </w:tcBorders>
          </w:tcPr>
          <w:p w14:paraId="2FF11469" w14:textId="77777777" w:rsidR="002A501D" w:rsidRPr="007F69DA" w:rsidRDefault="002A501D" w:rsidP="00F46ACB">
            <w:pPr>
              <w:spacing w:before="40" w:after="40" w:line="160" w:lineRule="exact"/>
              <w:jc w:val="center"/>
              <w:rPr>
                <w:sz w:val="16"/>
                <w:szCs w:val="16"/>
                <w:lang w:bidi="en-US"/>
              </w:rPr>
            </w:pPr>
          </w:p>
        </w:tc>
        <w:tc>
          <w:tcPr>
            <w:tcW w:w="1108" w:type="dxa"/>
            <w:tcBorders>
              <w:top w:val="nil"/>
              <w:left w:val="nil"/>
              <w:bottom w:val="nil"/>
              <w:right w:val="single" w:sz="4" w:space="0" w:color="auto"/>
            </w:tcBorders>
          </w:tcPr>
          <w:p w14:paraId="4EA8D364" w14:textId="77777777" w:rsidR="002A501D" w:rsidRPr="007F69DA" w:rsidRDefault="002A501D" w:rsidP="00F46ACB">
            <w:pPr>
              <w:spacing w:before="40" w:after="40" w:line="160" w:lineRule="exact"/>
              <w:jc w:val="center"/>
              <w:rPr>
                <w:sz w:val="16"/>
                <w:szCs w:val="16"/>
                <w:lang w:bidi="en-US"/>
              </w:rPr>
            </w:pPr>
          </w:p>
        </w:tc>
      </w:tr>
      <w:tr w:rsidR="002A501D" w:rsidRPr="007F69DA" w14:paraId="4C370443" w14:textId="77777777" w:rsidTr="00477EE1">
        <w:trPr>
          <w:trHeight w:val="314"/>
        </w:trPr>
        <w:tc>
          <w:tcPr>
            <w:tcW w:w="5171" w:type="dxa"/>
            <w:tcBorders>
              <w:top w:val="nil"/>
              <w:left w:val="single" w:sz="4" w:space="0" w:color="auto"/>
              <w:bottom w:val="nil"/>
              <w:right w:val="single" w:sz="4" w:space="0" w:color="auto"/>
            </w:tcBorders>
            <w:shd w:val="clear" w:color="auto" w:fill="FFF2CC" w:themeFill="accent4" w:themeFillTint="33"/>
            <w:hideMark/>
          </w:tcPr>
          <w:p w14:paraId="6826595A" w14:textId="77777777" w:rsidR="002A501D" w:rsidRPr="00477EE1" w:rsidRDefault="002A501D" w:rsidP="00F46ACB">
            <w:pPr>
              <w:spacing w:before="40" w:after="40" w:line="160" w:lineRule="exact"/>
              <w:ind w:left="639" w:hanging="284"/>
              <w:jc w:val="both"/>
              <w:rPr>
                <w:sz w:val="20"/>
                <w:szCs w:val="20"/>
                <w:lang w:bidi="en-US"/>
              </w:rPr>
            </w:pPr>
            <w:r w:rsidRPr="00477EE1">
              <w:rPr>
                <w:sz w:val="20"/>
                <w:szCs w:val="20"/>
                <w:lang w:bidi="en-US"/>
              </w:rPr>
              <w:sym w:font="Symbol" w:char="00B7"/>
            </w:r>
            <w:r w:rsidRPr="00477EE1">
              <w:rPr>
                <w:sz w:val="20"/>
                <w:szCs w:val="20"/>
                <w:lang w:bidi="en-US"/>
              </w:rPr>
              <w:tab/>
              <w:t xml:space="preserve">Eignung </w:t>
            </w:r>
            <w:proofErr w:type="gramStart"/>
            <w:r w:rsidRPr="00477EE1">
              <w:rPr>
                <w:sz w:val="20"/>
                <w:szCs w:val="20"/>
                <w:lang w:bidi="en-US"/>
              </w:rPr>
              <w:t>potentieller</w:t>
            </w:r>
            <w:proofErr w:type="gramEnd"/>
            <w:r w:rsidRPr="00477EE1">
              <w:rPr>
                <w:sz w:val="20"/>
                <w:szCs w:val="20"/>
                <w:lang w:bidi="en-US"/>
              </w:rPr>
              <w:t xml:space="preserve"> Importeure</w:t>
            </w:r>
          </w:p>
        </w:tc>
        <w:tc>
          <w:tcPr>
            <w:tcW w:w="1217" w:type="dxa"/>
            <w:tcBorders>
              <w:top w:val="nil"/>
              <w:left w:val="single" w:sz="4" w:space="0" w:color="auto"/>
              <w:bottom w:val="nil"/>
              <w:right w:val="nil"/>
            </w:tcBorders>
            <w:hideMark/>
          </w:tcPr>
          <w:p w14:paraId="223ECBAE"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FC"/>
            </w:r>
          </w:p>
        </w:tc>
        <w:tc>
          <w:tcPr>
            <w:tcW w:w="1368" w:type="dxa"/>
            <w:tcBorders>
              <w:top w:val="nil"/>
              <w:left w:val="nil"/>
              <w:bottom w:val="nil"/>
              <w:right w:val="nil"/>
            </w:tcBorders>
          </w:tcPr>
          <w:p w14:paraId="5E18A0F6" w14:textId="77777777" w:rsidR="002A501D" w:rsidRPr="007F69DA" w:rsidRDefault="002A501D" w:rsidP="00F46ACB">
            <w:pPr>
              <w:spacing w:before="40" w:after="40" w:line="160" w:lineRule="exact"/>
              <w:jc w:val="center"/>
              <w:rPr>
                <w:sz w:val="16"/>
                <w:szCs w:val="16"/>
                <w:lang w:bidi="en-US"/>
              </w:rPr>
            </w:pPr>
          </w:p>
        </w:tc>
        <w:tc>
          <w:tcPr>
            <w:tcW w:w="1108" w:type="dxa"/>
            <w:tcBorders>
              <w:top w:val="nil"/>
              <w:left w:val="nil"/>
              <w:bottom w:val="nil"/>
              <w:right w:val="single" w:sz="4" w:space="0" w:color="auto"/>
            </w:tcBorders>
          </w:tcPr>
          <w:p w14:paraId="71E3D388" w14:textId="77777777" w:rsidR="002A501D" w:rsidRPr="007F69DA" w:rsidRDefault="002A501D" w:rsidP="00F46ACB">
            <w:pPr>
              <w:spacing w:before="40" w:after="40" w:line="160" w:lineRule="exact"/>
              <w:jc w:val="center"/>
              <w:rPr>
                <w:sz w:val="16"/>
                <w:szCs w:val="16"/>
                <w:lang w:bidi="en-US"/>
              </w:rPr>
            </w:pPr>
          </w:p>
        </w:tc>
      </w:tr>
      <w:tr w:rsidR="002A501D" w:rsidRPr="007F69DA" w14:paraId="6C1F2C38" w14:textId="77777777" w:rsidTr="00477EE1">
        <w:trPr>
          <w:trHeight w:val="314"/>
        </w:trPr>
        <w:tc>
          <w:tcPr>
            <w:tcW w:w="5171" w:type="dxa"/>
            <w:tcBorders>
              <w:top w:val="nil"/>
              <w:left w:val="single" w:sz="4" w:space="0" w:color="auto"/>
              <w:bottom w:val="nil"/>
              <w:right w:val="single" w:sz="4" w:space="0" w:color="auto"/>
            </w:tcBorders>
            <w:shd w:val="clear" w:color="auto" w:fill="FFF2CC" w:themeFill="accent4" w:themeFillTint="33"/>
            <w:hideMark/>
          </w:tcPr>
          <w:p w14:paraId="75AB61EB" w14:textId="77777777" w:rsidR="002A501D" w:rsidRPr="00477EE1" w:rsidRDefault="002A501D" w:rsidP="00F46ACB">
            <w:pPr>
              <w:spacing w:before="40" w:after="40" w:line="160" w:lineRule="exact"/>
              <w:ind w:left="639" w:hanging="284"/>
              <w:jc w:val="both"/>
              <w:rPr>
                <w:sz w:val="20"/>
                <w:szCs w:val="20"/>
                <w:lang w:bidi="en-US"/>
              </w:rPr>
            </w:pPr>
            <w:r w:rsidRPr="00477EE1">
              <w:rPr>
                <w:sz w:val="20"/>
                <w:szCs w:val="20"/>
                <w:lang w:bidi="en-US"/>
              </w:rPr>
              <w:sym w:font="Symbol" w:char="00B7"/>
            </w:r>
            <w:r w:rsidRPr="00477EE1">
              <w:rPr>
                <w:sz w:val="20"/>
                <w:szCs w:val="20"/>
                <w:lang w:bidi="en-US"/>
              </w:rPr>
              <w:tab/>
              <w:t xml:space="preserve">Eignung </w:t>
            </w:r>
            <w:proofErr w:type="gramStart"/>
            <w:r w:rsidRPr="00477EE1">
              <w:rPr>
                <w:sz w:val="20"/>
                <w:szCs w:val="20"/>
                <w:lang w:bidi="en-US"/>
              </w:rPr>
              <w:t>potentieller</w:t>
            </w:r>
            <w:proofErr w:type="gramEnd"/>
            <w:r w:rsidRPr="00477EE1">
              <w:rPr>
                <w:sz w:val="20"/>
                <w:szCs w:val="20"/>
                <w:lang w:bidi="en-US"/>
              </w:rPr>
              <w:t xml:space="preserve"> Distributeure</w:t>
            </w:r>
          </w:p>
        </w:tc>
        <w:tc>
          <w:tcPr>
            <w:tcW w:w="1217" w:type="dxa"/>
            <w:tcBorders>
              <w:top w:val="nil"/>
              <w:left w:val="single" w:sz="4" w:space="0" w:color="auto"/>
              <w:bottom w:val="nil"/>
              <w:right w:val="nil"/>
            </w:tcBorders>
          </w:tcPr>
          <w:p w14:paraId="4AD85D92" w14:textId="77777777" w:rsidR="002A501D" w:rsidRPr="007F69DA" w:rsidRDefault="002A501D" w:rsidP="00F46ACB">
            <w:pPr>
              <w:spacing w:before="40" w:after="40" w:line="160" w:lineRule="exact"/>
              <w:jc w:val="center"/>
              <w:rPr>
                <w:sz w:val="16"/>
                <w:szCs w:val="16"/>
                <w:lang w:bidi="en-US"/>
              </w:rPr>
            </w:pPr>
          </w:p>
        </w:tc>
        <w:tc>
          <w:tcPr>
            <w:tcW w:w="1368" w:type="dxa"/>
            <w:tcBorders>
              <w:top w:val="nil"/>
              <w:left w:val="nil"/>
              <w:bottom w:val="nil"/>
              <w:right w:val="nil"/>
            </w:tcBorders>
            <w:hideMark/>
          </w:tcPr>
          <w:p w14:paraId="698A84C6"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FC"/>
            </w:r>
          </w:p>
        </w:tc>
        <w:tc>
          <w:tcPr>
            <w:tcW w:w="1108" w:type="dxa"/>
            <w:tcBorders>
              <w:top w:val="nil"/>
              <w:left w:val="nil"/>
              <w:bottom w:val="nil"/>
              <w:right w:val="single" w:sz="4" w:space="0" w:color="auto"/>
            </w:tcBorders>
          </w:tcPr>
          <w:p w14:paraId="02149EDD" w14:textId="77777777" w:rsidR="002A501D" w:rsidRPr="007F69DA" w:rsidRDefault="002A501D" w:rsidP="00F46ACB">
            <w:pPr>
              <w:spacing w:before="40" w:after="40" w:line="160" w:lineRule="exact"/>
              <w:jc w:val="center"/>
              <w:rPr>
                <w:sz w:val="16"/>
                <w:szCs w:val="16"/>
                <w:lang w:bidi="en-US"/>
              </w:rPr>
            </w:pPr>
          </w:p>
        </w:tc>
      </w:tr>
      <w:tr w:rsidR="002A501D" w:rsidRPr="007F69DA" w14:paraId="3A7E7FB1" w14:textId="77777777" w:rsidTr="00477EE1">
        <w:trPr>
          <w:trHeight w:val="314"/>
        </w:trPr>
        <w:tc>
          <w:tcPr>
            <w:tcW w:w="5171" w:type="dxa"/>
            <w:tcBorders>
              <w:top w:val="nil"/>
              <w:left w:val="single" w:sz="4" w:space="0" w:color="auto"/>
              <w:bottom w:val="nil"/>
              <w:right w:val="single" w:sz="4" w:space="0" w:color="auto"/>
            </w:tcBorders>
            <w:shd w:val="clear" w:color="auto" w:fill="FFF2CC" w:themeFill="accent4" w:themeFillTint="33"/>
            <w:hideMark/>
          </w:tcPr>
          <w:p w14:paraId="02F0596F" w14:textId="77777777" w:rsidR="002A501D" w:rsidRPr="00477EE1" w:rsidRDefault="002A501D" w:rsidP="00F46ACB">
            <w:pPr>
              <w:spacing w:before="40" w:after="40" w:line="160" w:lineRule="exact"/>
              <w:ind w:left="639" w:hanging="284"/>
              <w:jc w:val="both"/>
              <w:rPr>
                <w:sz w:val="20"/>
                <w:szCs w:val="20"/>
                <w:lang w:bidi="en-US"/>
              </w:rPr>
            </w:pPr>
            <w:r w:rsidRPr="00477EE1">
              <w:rPr>
                <w:sz w:val="20"/>
                <w:szCs w:val="20"/>
                <w:lang w:bidi="en-US"/>
              </w:rPr>
              <w:sym w:font="Symbol" w:char="00B7"/>
            </w:r>
            <w:r w:rsidRPr="00477EE1">
              <w:rPr>
                <w:sz w:val="20"/>
                <w:szCs w:val="20"/>
                <w:lang w:bidi="en-US"/>
              </w:rPr>
              <w:tab/>
              <w:t>Markteintrittsbarrieren</w:t>
            </w:r>
          </w:p>
        </w:tc>
        <w:tc>
          <w:tcPr>
            <w:tcW w:w="1217" w:type="dxa"/>
            <w:tcBorders>
              <w:top w:val="nil"/>
              <w:left w:val="single" w:sz="4" w:space="0" w:color="auto"/>
              <w:bottom w:val="nil"/>
              <w:right w:val="nil"/>
            </w:tcBorders>
            <w:hideMark/>
          </w:tcPr>
          <w:p w14:paraId="59A3AFE5"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FC"/>
            </w:r>
          </w:p>
        </w:tc>
        <w:tc>
          <w:tcPr>
            <w:tcW w:w="1368" w:type="dxa"/>
            <w:tcBorders>
              <w:top w:val="nil"/>
              <w:left w:val="nil"/>
              <w:bottom w:val="nil"/>
              <w:right w:val="nil"/>
            </w:tcBorders>
          </w:tcPr>
          <w:p w14:paraId="779FC35A" w14:textId="77777777" w:rsidR="002A501D" w:rsidRPr="007F69DA" w:rsidRDefault="002A501D" w:rsidP="00F46ACB">
            <w:pPr>
              <w:spacing w:before="40" w:after="40" w:line="160" w:lineRule="exact"/>
              <w:jc w:val="center"/>
              <w:rPr>
                <w:sz w:val="16"/>
                <w:szCs w:val="16"/>
                <w:lang w:bidi="en-US"/>
              </w:rPr>
            </w:pPr>
          </w:p>
        </w:tc>
        <w:tc>
          <w:tcPr>
            <w:tcW w:w="1108" w:type="dxa"/>
            <w:tcBorders>
              <w:top w:val="nil"/>
              <w:left w:val="nil"/>
              <w:bottom w:val="nil"/>
              <w:right w:val="single" w:sz="4" w:space="0" w:color="auto"/>
            </w:tcBorders>
          </w:tcPr>
          <w:p w14:paraId="47163866" w14:textId="77777777" w:rsidR="002A501D" w:rsidRPr="007F69DA" w:rsidRDefault="002A501D" w:rsidP="00F46ACB">
            <w:pPr>
              <w:spacing w:before="40" w:after="40" w:line="160" w:lineRule="exact"/>
              <w:jc w:val="center"/>
              <w:rPr>
                <w:sz w:val="16"/>
                <w:szCs w:val="16"/>
                <w:lang w:bidi="en-US"/>
              </w:rPr>
            </w:pPr>
          </w:p>
        </w:tc>
      </w:tr>
      <w:tr w:rsidR="002A501D" w:rsidRPr="007F69DA" w14:paraId="2CEAA106" w14:textId="77777777" w:rsidTr="00477EE1">
        <w:trPr>
          <w:trHeight w:val="303"/>
        </w:trPr>
        <w:tc>
          <w:tcPr>
            <w:tcW w:w="5171" w:type="dxa"/>
            <w:tcBorders>
              <w:top w:val="nil"/>
              <w:left w:val="single" w:sz="4" w:space="0" w:color="auto"/>
              <w:bottom w:val="nil"/>
              <w:right w:val="single" w:sz="4" w:space="0" w:color="auto"/>
            </w:tcBorders>
            <w:shd w:val="clear" w:color="auto" w:fill="FFF2CC" w:themeFill="accent4" w:themeFillTint="33"/>
            <w:hideMark/>
          </w:tcPr>
          <w:p w14:paraId="21F56C97" w14:textId="77777777" w:rsidR="002A501D" w:rsidRPr="00477EE1" w:rsidRDefault="002A501D" w:rsidP="00F46ACB">
            <w:pPr>
              <w:spacing w:before="40" w:after="40" w:line="160" w:lineRule="exact"/>
              <w:ind w:left="1064" w:hanging="284"/>
              <w:jc w:val="both"/>
              <w:rPr>
                <w:sz w:val="20"/>
                <w:szCs w:val="20"/>
                <w:lang w:bidi="en-US"/>
              </w:rPr>
            </w:pPr>
            <w:r w:rsidRPr="00477EE1">
              <w:rPr>
                <w:sz w:val="20"/>
                <w:szCs w:val="20"/>
                <w:lang w:bidi="en-US"/>
              </w:rPr>
              <w:t>-</w:t>
            </w:r>
            <w:r w:rsidRPr="00477EE1">
              <w:rPr>
                <w:sz w:val="20"/>
                <w:szCs w:val="20"/>
                <w:lang w:bidi="en-US"/>
              </w:rPr>
              <w:tab/>
              <w:t>Tarifäre Barrieren</w:t>
            </w:r>
          </w:p>
        </w:tc>
        <w:tc>
          <w:tcPr>
            <w:tcW w:w="1217" w:type="dxa"/>
            <w:tcBorders>
              <w:top w:val="nil"/>
              <w:left w:val="single" w:sz="4" w:space="0" w:color="auto"/>
              <w:bottom w:val="nil"/>
              <w:right w:val="nil"/>
            </w:tcBorders>
            <w:hideMark/>
          </w:tcPr>
          <w:p w14:paraId="5F5394AD"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FC"/>
            </w:r>
          </w:p>
        </w:tc>
        <w:tc>
          <w:tcPr>
            <w:tcW w:w="1368" w:type="dxa"/>
            <w:tcBorders>
              <w:top w:val="nil"/>
              <w:left w:val="nil"/>
              <w:bottom w:val="nil"/>
              <w:right w:val="nil"/>
            </w:tcBorders>
          </w:tcPr>
          <w:p w14:paraId="247B970D" w14:textId="77777777" w:rsidR="002A501D" w:rsidRPr="007F69DA" w:rsidRDefault="002A501D" w:rsidP="00F46ACB">
            <w:pPr>
              <w:spacing w:before="40" w:after="40" w:line="160" w:lineRule="exact"/>
              <w:jc w:val="center"/>
              <w:rPr>
                <w:sz w:val="16"/>
                <w:szCs w:val="16"/>
                <w:lang w:bidi="en-US"/>
              </w:rPr>
            </w:pPr>
          </w:p>
        </w:tc>
        <w:tc>
          <w:tcPr>
            <w:tcW w:w="1108" w:type="dxa"/>
            <w:tcBorders>
              <w:top w:val="nil"/>
              <w:left w:val="nil"/>
              <w:bottom w:val="nil"/>
              <w:right w:val="single" w:sz="4" w:space="0" w:color="auto"/>
            </w:tcBorders>
          </w:tcPr>
          <w:p w14:paraId="345E9E46" w14:textId="77777777" w:rsidR="002A501D" w:rsidRPr="007F69DA" w:rsidRDefault="002A501D" w:rsidP="00F46ACB">
            <w:pPr>
              <w:spacing w:before="40" w:after="40" w:line="160" w:lineRule="exact"/>
              <w:jc w:val="center"/>
              <w:rPr>
                <w:sz w:val="16"/>
                <w:szCs w:val="16"/>
                <w:lang w:bidi="en-US"/>
              </w:rPr>
            </w:pPr>
          </w:p>
        </w:tc>
      </w:tr>
      <w:tr w:rsidR="002A501D" w:rsidRPr="007F69DA" w14:paraId="60F9524E" w14:textId="77777777" w:rsidTr="00477EE1">
        <w:trPr>
          <w:trHeight w:val="291"/>
        </w:trPr>
        <w:tc>
          <w:tcPr>
            <w:tcW w:w="5171" w:type="dxa"/>
            <w:tcBorders>
              <w:top w:val="nil"/>
              <w:left w:val="single" w:sz="4" w:space="0" w:color="auto"/>
              <w:bottom w:val="nil"/>
              <w:right w:val="single" w:sz="4" w:space="0" w:color="auto"/>
            </w:tcBorders>
            <w:shd w:val="clear" w:color="auto" w:fill="FFF2CC" w:themeFill="accent4" w:themeFillTint="33"/>
            <w:hideMark/>
          </w:tcPr>
          <w:p w14:paraId="4030227F" w14:textId="77777777" w:rsidR="002A501D" w:rsidRPr="00477EE1" w:rsidRDefault="002A501D" w:rsidP="00F46ACB">
            <w:pPr>
              <w:spacing w:before="40" w:after="40" w:line="160" w:lineRule="exact"/>
              <w:ind w:left="1064" w:hanging="284"/>
              <w:jc w:val="both"/>
              <w:rPr>
                <w:sz w:val="20"/>
                <w:szCs w:val="20"/>
                <w:lang w:bidi="en-US"/>
              </w:rPr>
            </w:pPr>
            <w:r w:rsidRPr="00477EE1">
              <w:rPr>
                <w:sz w:val="20"/>
                <w:szCs w:val="20"/>
                <w:lang w:bidi="en-US"/>
              </w:rPr>
              <w:t>-</w:t>
            </w:r>
            <w:r w:rsidRPr="00477EE1">
              <w:rPr>
                <w:sz w:val="20"/>
                <w:szCs w:val="20"/>
                <w:lang w:bidi="en-US"/>
              </w:rPr>
              <w:tab/>
              <w:t>Nicht-tarifäre Barrieren</w:t>
            </w:r>
          </w:p>
        </w:tc>
        <w:tc>
          <w:tcPr>
            <w:tcW w:w="1217" w:type="dxa"/>
            <w:tcBorders>
              <w:top w:val="nil"/>
              <w:left w:val="single" w:sz="4" w:space="0" w:color="auto"/>
              <w:bottom w:val="nil"/>
              <w:right w:val="nil"/>
            </w:tcBorders>
          </w:tcPr>
          <w:p w14:paraId="11A82846" w14:textId="77777777" w:rsidR="002A501D" w:rsidRPr="007F69DA" w:rsidRDefault="002A501D" w:rsidP="00F46ACB">
            <w:pPr>
              <w:spacing w:before="40" w:after="40" w:line="160" w:lineRule="exact"/>
              <w:jc w:val="center"/>
              <w:rPr>
                <w:sz w:val="16"/>
                <w:szCs w:val="16"/>
                <w:lang w:bidi="en-US"/>
              </w:rPr>
            </w:pPr>
          </w:p>
        </w:tc>
        <w:tc>
          <w:tcPr>
            <w:tcW w:w="1368" w:type="dxa"/>
            <w:tcBorders>
              <w:top w:val="nil"/>
              <w:left w:val="nil"/>
              <w:bottom w:val="nil"/>
              <w:right w:val="nil"/>
            </w:tcBorders>
            <w:hideMark/>
          </w:tcPr>
          <w:p w14:paraId="7B1DB980"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FC"/>
            </w:r>
          </w:p>
        </w:tc>
        <w:tc>
          <w:tcPr>
            <w:tcW w:w="1108" w:type="dxa"/>
            <w:tcBorders>
              <w:top w:val="nil"/>
              <w:left w:val="nil"/>
              <w:bottom w:val="nil"/>
              <w:right w:val="single" w:sz="4" w:space="0" w:color="auto"/>
            </w:tcBorders>
          </w:tcPr>
          <w:p w14:paraId="3E626CEB" w14:textId="77777777" w:rsidR="002A501D" w:rsidRPr="007F69DA" w:rsidRDefault="002A501D" w:rsidP="00F46ACB">
            <w:pPr>
              <w:spacing w:before="40" w:after="40" w:line="160" w:lineRule="exact"/>
              <w:jc w:val="center"/>
              <w:rPr>
                <w:sz w:val="16"/>
                <w:szCs w:val="16"/>
                <w:lang w:bidi="en-US"/>
              </w:rPr>
            </w:pPr>
          </w:p>
        </w:tc>
      </w:tr>
      <w:tr w:rsidR="002A501D" w:rsidRPr="007F69DA" w14:paraId="24B9DDA3" w14:textId="77777777" w:rsidTr="00477EE1">
        <w:trPr>
          <w:trHeight w:val="303"/>
        </w:trPr>
        <w:tc>
          <w:tcPr>
            <w:tcW w:w="5171" w:type="dxa"/>
            <w:tcBorders>
              <w:top w:val="nil"/>
              <w:left w:val="single" w:sz="4" w:space="0" w:color="auto"/>
              <w:bottom w:val="nil"/>
              <w:right w:val="single" w:sz="4" w:space="0" w:color="auto"/>
            </w:tcBorders>
            <w:shd w:val="clear" w:color="auto" w:fill="FFF2CC" w:themeFill="accent4" w:themeFillTint="33"/>
            <w:hideMark/>
          </w:tcPr>
          <w:p w14:paraId="57D7597E" w14:textId="77777777" w:rsidR="002A501D" w:rsidRPr="00477EE1" w:rsidRDefault="002A501D" w:rsidP="00F46ACB">
            <w:pPr>
              <w:spacing w:before="40" w:after="40" w:line="160" w:lineRule="exact"/>
              <w:ind w:left="356" w:hanging="356"/>
              <w:jc w:val="both"/>
              <w:rPr>
                <w:sz w:val="20"/>
                <w:szCs w:val="20"/>
                <w:lang w:bidi="en-US"/>
              </w:rPr>
            </w:pPr>
            <w:r w:rsidRPr="00477EE1">
              <w:rPr>
                <w:sz w:val="20"/>
                <w:szCs w:val="20"/>
                <w:lang w:bidi="en-US"/>
              </w:rPr>
              <w:t>Wettbewerbsbedingungen</w:t>
            </w:r>
          </w:p>
        </w:tc>
        <w:tc>
          <w:tcPr>
            <w:tcW w:w="1217" w:type="dxa"/>
            <w:tcBorders>
              <w:top w:val="nil"/>
              <w:left w:val="single" w:sz="4" w:space="0" w:color="auto"/>
              <w:bottom w:val="nil"/>
              <w:right w:val="nil"/>
            </w:tcBorders>
          </w:tcPr>
          <w:p w14:paraId="7B912AD6" w14:textId="77777777" w:rsidR="002A501D" w:rsidRPr="007F69DA" w:rsidRDefault="002A501D" w:rsidP="00F46ACB">
            <w:pPr>
              <w:spacing w:before="40" w:after="40" w:line="160" w:lineRule="exact"/>
              <w:jc w:val="center"/>
              <w:rPr>
                <w:sz w:val="16"/>
                <w:szCs w:val="16"/>
                <w:lang w:bidi="en-US"/>
              </w:rPr>
            </w:pPr>
          </w:p>
        </w:tc>
        <w:tc>
          <w:tcPr>
            <w:tcW w:w="1368" w:type="dxa"/>
            <w:tcBorders>
              <w:top w:val="nil"/>
              <w:left w:val="nil"/>
              <w:bottom w:val="nil"/>
              <w:right w:val="nil"/>
            </w:tcBorders>
          </w:tcPr>
          <w:p w14:paraId="0B253B72" w14:textId="77777777" w:rsidR="002A501D" w:rsidRPr="007F69DA" w:rsidRDefault="002A501D" w:rsidP="00F46ACB">
            <w:pPr>
              <w:spacing w:before="40" w:after="40" w:line="160" w:lineRule="exact"/>
              <w:jc w:val="center"/>
              <w:rPr>
                <w:sz w:val="16"/>
                <w:szCs w:val="16"/>
                <w:lang w:bidi="en-US"/>
              </w:rPr>
            </w:pPr>
          </w:p>
        </w:tc>
        <w:tc>
          <w:tcPr>
            <w:tcW w:w="1108" w:type="dxa"/>
            <w:tcBorders>
              <w:top w:val="nil"/>
              <w:left w:val="nil"/>
              <w:bottom w:val="nil"/>
              <w:right w:val="single" w:sz="4" w:space="0" w:color="auto"/>
            </w:tcBorders>
          </w:tcPr>
          <w:p w14:paraId="2E6646E0" w14:textId="77777777" w:rsidR="002A501D" w:rsidRPr="007F69DA" w:rsidRDefault="002A501D" w:rsidP="00F46ACB">
            <w:pPr>
              <w:spacing w:before="40" w:after="40" w:line="160" w:lineRule="exact"/>
              <w:jc w:val="center"/>
              <w:rPr>
                <w:sz w:val="16"/>
                <w:szCs w:val="16"/>
                <w:lang w:bidi="en-US"/>
              </w:rPr>
            </w:pPr>
          </w:p>
        </w:tc>
      </w:tr>
      <w:tr w:rsidR="002A501D" w:rsidRPr="007F69DA" w14:paraId="22E4BC46" w14:textId="77777777" w:rsidTr="00477EE1">
        <w:trPr>
          <w:trHeight w:val="303"/>
        </w:trPr>
        <w:tc>
          <w:tcPr>
            <w:tcW w:w="5171" w:type="dxa"/>
            <w:tcBorders>
              <w:top w:val="nil"/>
              <w:left w:val="single" w:sz="4" w:space="0" w:color="auto"/>
              <w:bottom w:val="nil"/>
              <w:right w:val="single" w:sz="4" w:space="0" w:color="auto"/>
            </w:tcBorders>
            <w:shd w:val="clear" w:color="auto" w:fill="FFF2CC" w:themeFill="accent4" w:themeFillTint="33"/>
            <w:hideMark/>
          </w:tcPr>
          <w:p w14:paraId="09787D07" w14:textId="77777777" w:rsidR="002A501D" w:rsidRPr="00477EE1" w:rsidRDefault="002A501D" w:rsidP="00F46ACB">
            <w:pPr>
              <w:spacing w:before="40" w:after="40" w:line="160" w:lineRule="exact"/>
              <w:ind w:left="781" w:hanging="284"/>
              <w:jc w:val="both"/>
              <w:rPr>
                <w:sz w:val="20"/>
                <w:szCs w:val="20"/>
                <w:lang w:bidi="en-US"/>
              </w:rPr>
            </w:pPr>
            <w:r w:rsidRPr="00477EE1">
              <w:rPr>
                <w:sz w:val="20"/>
                <w:szCs w:val="20"/>
                <w:lang w:bidi="en-US"/>
              </w:rPr>
              <w:sym w:font="Symbol" w:char="00B7"/>
            </w:r>
            <w:r w:rsidRPr="00477EE1">
              <w:rPr>
                <w:sz w:val="20"/>
                <w:szCs w:val="20"/>
                <w:lang w:bidi="en-US"/>
              </w:rPr>
              <w:tab/>
              <w:t>Konkurrenzintensität</w:t>
            </w:r>
          </w:p>
        </w:tc>
        <w:tc>
          <w:tcPr>
            <w:tcW w:w="1217" w:type="dxa"/>
            <w:tcBorders>
              <w:top w:val="nil"/>
              <w:left w:val="single" w:sz="4" w:space="0" w:color="auto"/>
              <w:bottom w:val="nil"/>
              <w:right w:val="nil"/>
            </w:tcBorders>
          </w:tcPr>
          <w:p w14:paraId="6E611B9B" w14:textId="77777777" w:rsidR="002A501D" w:rsidRPr="007F69DA" w:rsidRDefault="002A501D" w:rsidP="00F46ACB">
            <w:pPr>
              <w:spacing w:before="40" w:after="40" w:line="160" w:lineRule="exact"/>
              <w:jc w:val="center"/>
              <w:rPr>
                <w:sz w:val="16"/>
                <w:szCs w:val="16"/>
                <w:lang w:bidi="en-US"/>
              </w:rPr>
            </w:pPr>
          </w:p>
        </w:tc>
        <w:tc>
          <w:tcPr>
            <w:tcW w:w="1368" w:type="dxa"/>
            <w:tcBorders>
              <w:top w:val="nil"/>
              <w:left w:val="nil"/>
              <w:bottom w:val="nil"/>
              <w:right w:val="nil"/>
            </w:tcBorders>
            <w:hideMark/>
          </w:tcPr>
          <w:p w14:paraId="1E6CEDA4"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FC"/>
            </w:r>
          </w:p>
        </w:tc>
        <w:tc>
          <w:tcPr>
            <w:tcW w:w="1108" w:type="dxa"/>
            <w:tcBorders>
              <w:top w:val="nil"/>
              <w:left w:val="nil"/>
              <w:bottom w:val="nil"/>
              <w:right w:val="single" w:sz="4" w:space="0" w:color="auto"/>
            </w:tcBorders>
          </w:tcPr>
          <w:p w14:paraId="53E56872" w14:textId="77777777" w:rsidR="002A501D" w:rsidRPr="007F69DA" w:rsidRDefault="002A501D" w:rsidP="00F46ACB">
            <w:pPr>
              <w:spacing w:before="40" w:after="40" w:line="160" w:lineRule="exact"/>
              <w:jc w:val="center"/>
              <w:rPr>
                <w:sz w:val="16"/>
                <w:szCs w:val="16"/>
                <w:lang w:bidi="en-US"/>
              </w:rPr>
            </w:pPr>
          </w:p>
        </w:tc>
      </w:tr>
      <w:tr w:rsidR="002A501D" w:rsidRPr="007F69DA" w14:paraId="23A1BAC9" w14:textId="77777777" w:rsidTr="00477EE1">
        <w:trPr>
          <w:trHeight w:val="314"/>
        </w:trPr>
        <w:tc>
          <w:tcPr>
            <w:tcW w:w="5171" w:type="dxa"/>
            <w:tcBorders>
              <w:top w:val="nil"/>
              <w:left w:val="single" w:sz="4" w:space="0" w:color="auto"/>
              <w:bottom w:val="nil"/>
              <w:right w:val="single" w:sz="4" w:space="0" w:color="auto"/>
            </w:tcBorders>
            <w:shd w:val="clear" w:color="auto" w:fill="FFF2CC" w:themeFill="accent4" w:themeFillTint="33"/>
            <w:hideMark/>
          </w:tcPr>
          <w:p w14:paraId="3C17A19F" w14:textId="77777777" w:rsidR="002A501D" w:rsidRPr="00477EE1" w:rsidRDefault="002A501D" w:rsidP="00F46ACB">
            <w:pPr>
              <w:spacing w:before="40" w:after="40" w:line="160" w:lineRule="exact"/>
              <w:ind w:left="781" w:hanging="284"/>
              <w:jc w:val="both"/>
              <w:rPr>
                <w:sz w:val="20"/>
                <w:szCs w:val="20"/>
                <w:lang w:bidi="en-US"/>
              </w:rPr>
            </w:pPr>
            <w:r w:rsidRPr="00477EE1">
              <w:rPr>
                <w:sz w:val="20"/>
                <w:szCs w:val="20"/>
                <w:lang w:bidi="en-US"/>
              </w:rPr>
              <w:sym w:font="Symbol" w:char="00B7"/>
            </w:r>
            <w:r w:rsidRPr="00477EE1">
              <w:rPr>
                <w:sz w:val="20"/>
                <w:szCs w:val="20"/>
                <w:lang w:bidi="en-US"/>
              </w:rPr>
              <w:tab/>
              <w:t>Sicherheit von Schutzrechten</w:t>
            </w:r>
          </w:p>
        </w:tc>
        <w:tc>
          <w:tcPr>
            <w:tcW w:w="1217" w:type="dxa"/>
            <w:tcBorders>
              <w:top w:val="nil"/>
              <w:left w:val="single" w:sz="4" w:space="0" w:color="auto"/>
              <w:bottom w:val="nil"/>
              <w:right w:val="nil"/>
            </w:tcBorders>
            <w:hideMark/>
          </w:tcPr>
          <w:p w14:paraId="71A02295"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FC"/>
            </w:r>
          </w:p>
        </w:tc>
        <w:tc>
          <w:tcPr>
            <w:tcW w:w="1368" w:type="dxa"/>
            <w:tcBorders>
              <w:top w:val="nil"/>
              <w:left w:val="nil"/>
              <w:bottom w:val="nil"/>
              <w:right w:val="nil"/>
            </w:tcBorders>
          </w:tcPr>
          <w:p w14:paraId="275B9575" w14:textId="77777777" w:rsidR="002A501D" w:rsidRPr="007F69DA" w:rsidRDefault="002A501D" w:rsidP="00F46ACB">
            <w:pPr>
              <w:spacing w:before="40" w:after="40" w:line="160" w:lineRule="exact"/>
              <w:jc w:val="center"/>
              <w:rPr>
                <w:sz w:val="16"/>
                <w:szCs w:val="16"/>
                <w:lang w:bidi="en-US"/>
              </w:rPr>
            </w:pPr>
          </w:p>
        </w:tc>
        <w:tc>
          <w:tcPr>
            <w:tcW w:w="1108" w:type="dxa"/>
            <w:tcBorders>
              <w:top w:val="nil"/>
              <w:left w:val="nil"/>
              <w:bottom w:val="nil"/>
              <w:right w:val="single" w:sz="4" w:space="0" w:color="auto"/>
            </w:tcBorders>
          </w:tcPr>
          <w:p w14:paraId="7F816F8F" w14:textId="77777777" w:rsidR="002A501D" w:rsidRPr="007F69DA" w:rsidRDefault="002A501D" w:rsidP="00F46ACB">
            <w:pPr>
              <w:spacing w:before="40" w:after="40" w:line="160" w:lineRule="exact"/>
              <w:jc w:val="center"/>
              <w:rPr>
                <w:sz w:val="16"/>
                <w:szCs w:val="16"/>
                <w:lang w:bidi="en-US"/>
              </w:rPr>
            </w:pPr>
          </w:p>
        </w:tc>
      </w:tr>
      <w:tr w:rsidR="002A501D" w:rsidRPr="007F69DA" w14:paraId="56C6C1AC" w14:textId="77777777" w:rsidTr="00477EE1">
        <w:trPr>
          <w:trHeight w:val="303"/>
        </w:trPr>
        <w:tc>
          <w:tcPr>
            <w:tcW w:w="5171" w:type="dxa"/>
            <w:tcBorders>
              <w:top w:val="nil"/>
              <w:left w:val="single" w:sz="4" w:space="0" w:color="auto"/>
              <w:bottom w:val="nil"/>
              <w:right w:val="single" w:sz="4" w:space="0" w:color="auto"/>
            </w:tcBorders>
            <w:shd w:val="clear" w:color="auto" w:fill="FFF2CC" w:themeFill="accent4" w:themeFillTint="33"/>
            <w:hideMark/>
          </w:tcPr>
          <w:p w14:paraId="0E8771FC" w14:textId="77777777" w:rsidR="002A501D" w:rsidRPr="00477EE1" w:rsidRDefault="002A501D" w:rsidP="00F46ACB">
            <w:pPr>
              <w:spacing w:before="40" w:after="40" w:line="160" w:lineRule="exact"/>
              <w:ind w:left="356" w:hanging="356"/>
              <w:jc w:val="both"/>
              <w:rPr>
                <w:sz w:val="20"/>
                <w:szCs w:val="20"/>
                <w:lang w:bidi="en-US"/>
              </w:rPr>
            </w:pPr>
            <w:r w:rsidRPr="00477EE1">
              <w:rPr>
                <w:sz w:val="20"/>
                <w:szCs w:val="20"/>
                <w:lang w:bidi="en-US"/>
              </w:rPr>
              <w:t>Umfeldbedingungen</w:t>
            </w:r>
          </w:p>
        </w:tc>
        <w:tc>
          <w:tcPr>
            <w:tcW w:w="1217" w:type="dxa"/>
            <w:tcBorders>
              <w:top w:val="nil"/>
              <w:left w:val="single" w:sz="4" w:space="0" w:color="auto"/>
              <w:bottom w:val="nil"/>
              <w:right w:val="nil"/>
            </w:tcBorders>
          </w:tcPr>
          <w:p w14:paraId="7D2C9687" w14:textId="77777777" w:rsidR="002A501D" w:rsidRPr="007F69DA" w:rsidRDefault="002A501D" w:rsidP="00F46ACB">
            <w:pPr>
              <w:spacing w:before="40" w:after="40" w:line="160" w:lineRule="exact"/>
              <w:jc w:val="center"/>
              <w:rPr>
                <w:sz w:val="16"/>
                <w:szCs w:val="16"/>
                <w:lang w:bidi="en-US"/>
              </w:rPr>
            </w:pPr>
          </w:p>
        </w:tc>
        <w:tc>
          <w:tcPr>
            <w:tcW w:w="1368" w:type="dxa"/>
            <w:tcBorders>
              <w:top w:val="nil"/>
              <w:left w:val="nil"/>
              <w:bottom w:val="nil"/>
              <w:right w:val="nil"/>
            </w:tcBorders>
          </w:tcPr>
          <w:p w14:paraId="3297ABE9" w14:textId="77777777" w:rsidR="002A501D" w:rsidRPr="007F69DA" w:rsidRDefault="002A501D" w:rsidP="00F46ACB">
            <w:pPr>
              <w:spacing w:before="40" w:after="40" w:line="160" w:lineRule="exact"/>
              <w:jc w:val="center"/>
              <w:rPr>
                <w:sz w:val="16"/>
                <w:szCs w:val="16"/>
                <w:lang w:bidi="en-US"/>
              </w:rPr>
            </w:pPr>
          </w:p>
        </w:tc>
        <w:tc>
          <w:tcPr>
            <w:tcW w:w="1108" w:type="dxa"/>
            <w:tcBorders>
              <w:top w:val="nil"/>
              <w:left w:val="nil"/>
              <w:bottom w:val="nil"/>
              <w:right w:val="single" w:sz="4" w:space="0" w:color="auto"/>
            </w:tcBorders>
          </w:tcPr>
          <w:p w14:paraId="7FAACEA6" w14:textId="77777777" w:rsidR="002A501D" w:rsidRPr="007F69DA" w:rsidRDefault="002A501D" w:rsidP="00F46ACB">
            <w:pPr>
              <w:spacing w:before="40" w:after="40" w:line="160" w:lineRule="exact"/>
              <w:jc w:val="center"/>
              <w:rPr>
                <w:sz w:val="16"/>
                <w:szCs w:val="16"/>
                <w:lang w:bidi="en-US"/>
              </w:rPr>
            </w:pPr>
          </w:p>
        </w:tc>
      </w:tr>
      <w:tr w:rsidR="002A501D" w:rsidRPr="007F69DA" w14:paraId="533B546A" w14:textId="77777777" w:rsidTr="00477EE1">
        <w:trPr>
          <w:trHeight w:val="314"/>
        </w:trPr>
        <w:tc>
          <w:tcPr>
            <w:tcW w:w="5171" w:type="dxa"/>
            <w:tcBorders>
              <w:top w:val="nil"/>
              <w:left w:val="single" w:sz="4" w:space="0" w:color="auto"/>
              <w:bottom w:val="nil"/>
              <w:right w:val="single" w:sz="4" w:space="0" w:color="auto"/>
            </w:tcBorders>
            <w:shd w:val="clear" w:color="auto" w:fill="FFF2CC" w:themeFill="accent4" w:themeFillTint="33"/>
            <w:hideMark/>
          </w:tcPr>
          <w:p w14:paraId="2200B7A2" w14:textId="77777777" w:rsidR="002A501D" w:rsidRPr="00477EE1" w:rsidRDefault="002A501D" w:rsidP="00F46ACB">
            <w:pPr>
              <w:spacing w:before="40" w:after="40" w:line="160" w:lineRule="exact"/>
              <w:ind w:left="781" w:hanging="283"/>
              <w:jc w:val="both"/>
              <w:rPr>
                <w:sz w:val="20"/>
                <w:szCs w:val="20"/>
                <w:lang w:bidi="en-US"/>
              </w:rPr>
            </w:pPr>
            <w:r w:rsidRPr="00477EE1">
              <w:rPr>
                <w:sz w:val="20"/>
                <w:szCs w:val="20"/>
                <w:lang w:bidi="en-US"/>
              </w:rPr>
              <w:sym w:font="Symbol" w:char="00B7"/>
            </w:r>
            <w:r w:rsidRPr="00477EE1">
              <w:rPr>
                <w:sz w:val="20"/>
                <w:szCs w:val="20"/>
                <w:lang w:bidi="en-US"/>
              </w:rPr>
              <w:tab/>
              <w:t>Politische Stabilität</w:t>
            </w:r>
          </w:p>
        </w:tc>
        <w:tc>
          <w:tcPr>
            <w:tcW w:w="1217" w:type="dxa"/>
            <w:tcBorders>
              <w:top w:val="nil"/>
              <w:left w:val="single" w:sz="4" w:space="0" w:color="auto"/>
              <w:bottom w:val="nil"/>
              <w:right w:val="nil"/>
            </w:tcBorders>
          </w:tcPr>
          <w:p w14:paraId="109174A8"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FC"/>
            </w:r>
          </w:p>
        </w:tc>
        <w:tc>
          <w:tcPr>
            <w:tcW w:w="1368" w:type="dxa"/>
            <w:tcBorders>
              <w:top w:val="nil"/>
              <w:left w:val="nil"/>
              <w:bottom w:val="nil"/>
              <w:right w:val="nil"/>
            </w:tcBorders>
          </w:tcPr>
          <w:p w14:paraId="37350A5A" w14:textId="77777777" w:rsidR="002A501D" w:rsidRPr="007F69DA" w:rsidRDefault="002A501D" w:rsidP="00F46ACB">
            <w:pPr>
              <w:spacing w:before="40" w:after="40" w:line="160" w:lineRule="exact"/>
              <w:jc w:val="center"/>
              <w:rPr>
                <w:sz w:val="16"/>
                <w:szCs w:val="16"/>
                <w:lang w:bidi="en-US"/>
              </w:rPr>
            </w:pPr>
          </w:p>
        </w:tc>
        <w:tc>
          <w:tcPr>
            <w:tcW w:w="1108" w:type="dxa"/>
            <w:tcBorders>
              <w:top w:val="nil"/>
              <w:left w:val="nil"/>
              <w:bottom w:val="nil"/>
              <w:right w:val="single" w:sz="4" w:space="0" w:color="auto"/>
            </w:tcBorders>
            <w:hideMark/>
          </w:tcPr>
          <w:p w14:paraId="08DAF6D1" w14:textId="77777777" w:rsidR="002A501D" w:rsidRPr="007F69DA" w:rsidRDefault="002A501D" w:rsidP="00F46ACB">
            <w:pPr>
              <w:spacing w:before="40" w:after="40" w:line="160" w:lineRule="exact"/>
              <w:jc w:val="center"/>
              <w:rPr>
                <w:sz w:val="16"/>
                <w:szCs w:val="16"/>
                <w:lang w:bidi="en-US"/>
              </w:rPr>
            </w:pPr>
          </w:p>
        </w:tc>
      </w:tr>
      <w:tr w:rsidR="002A501D" w:rsidRPr="007F69DA" w14:paraId="2F745A13" w14:textId="77777777" w:rsidTr="00477EE1">
        <w:trPr>
          <w:trHeight w:val="314"/>
        </w:trPr>
        <w:tc>
          <w:tcPr>
            <w:tcW w:w="5171" w:type="dxa"/>
            <w:tcBorders>
              <w:top w:val="nil"/>
              <w:left w:val="single" w:sz="4" w:space="0" w:color="auto"/>
              <w:bottom w:val="single" w:sz="4" w:space="0" w:color="auto"/>
              <w:right w:val="single" w:sz="4" w:space="0" w:color="auto"/>
            </w:tcBorders>
            <w:shd w:val="clear" w:color="auto" w:fill="FFF2CC" w:themeFill="accent4" w:themeFillTint="33"/>
            <w:hideMark/>
          </w:tcPr>
          <w:p w14:paraId="262251F5" w14:textId="77777777" w:rsidR="002A501D" w:rsidRPr="00477EE1" w:rsidRDefault="002A501D" w:rsidP="00F46ACB">
            <w:pPr>
              <w:spacing w:before="40" w:after="40" w:line="160" w:lineRule="exact"/>
              <w:ind w:left="781" w:hanging="283"/>
              <w:jc w:val="both"/>
              <w:rPr>
                <w:sz w:val="20"/>
                <w:szCs w:val="20"/>
                <w:lang w:bidi="en-US"/>
              </w:rPr>
            </w:pPr>
            <w:r w:rsidRPr="00477EE1">
              <w:rPr>
                <w:sz w:val="20"/>
                <w:szCs w:val="20"/>
                <w:lang w:bidi="en-US"/>
              </w:rPr>
              <w:sym w:font="Symbol" w:char="00B7"/>
            </w:r>
            <w:r w:rsidRPr="00477EE1">
              <w:rPr>
                <w:sz w:val="20"/>
                <w:szCs w:val="20"/>
                <w:lang w:bidi="en-US"/>
              </w:rPr>
              <w:tab/>
              <w:t>Korruptionsanfälligkeit</w:t>
            </w:r>
          </w:p>
        </w:tc>
        <w:tc>
          <w:tcPr>
            <w:tcW w:w="1217" w:type="dxa"/>
            <w:tcBorders>
              <w:top w:val="nil"/>
              <w:left w:val="single" w:sz="4" w:space="0" w:color="auto"/>
              <w:bottom w:val="single" w:sz="4" w:space="0" w:color="auto"/>
              <w:right w:val="nil"/>
            </w:tcBorders>
          </w:tcPr>
          <w:p w14:paraId="0DAEE99E" w14:textId="77777777" w:rsidR="002A501D" w:rsidRPr="007F69DA" w:rsidRDefault="002A501D" w:rsidP="00F46ACB">
            <w:pPr>
              <w:spacing w:before="40" w:after="40" w:line="160" w:lineRule="exact"/>
              <w:jc w:val="center"/>
              <w:rPr>
                <w:sz w:val="16"/>
                <w:szCs w:val="16"/>
                <w:lang w:bidi="en-US"/>
              </w:rPr>
            </w:pPr>
          </w:p>
        </w:tc>
        <w:tc>
          <w:tcPr>
            <w:tcW w:w="1368" w:type="dxa"/>
            <w:tcBorders>
              <w:top w:val="nil"/>
              <w:left w:val="nil"/>
              <w:bottom w:val="single" w:sz="4" w:space="0" w:color="auto"/>
              <w:right w:val="nil"/>
            </w:tcBorders>
            <w:hideMark/>
          </w:tcPr>
          <w:p w14:paraId="0A44FC10"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FC"/>
            </w:r>
          </w:p>
        </w:tc>
        <w:tc>
          <w:tcPr>
            <w:tcW w:w="1108" w:type="dxa"/>
            <w:tcBorders>
              <w:top w:val="nil"/>
              <w:left w:val="nil"/>
              <w:bottom w:val="single" w:sz="4" w:space="0" w:color="auto"/>
              <w:right w:val="single" w:sz="4" w:space="0" w:color="auto"/>
            </w:tcBorders>
          </w:tcPr>
          <w:p w14:paraId="1386A4FE" w14:textId="77777777" w:rsidR="002A501D" w:rsidRPr="007F69DA" w:rsidRDefault="002A501D" w:rsidP="00F46ACB">
            <w:pPr>
              <w:spacing w:before="40" w:after="40" w:line="160" w:lineRule="exact"/>
              <w:jc w:val="center"/>
              <w:rPr>
                <w:sz w:val="16"/>
                <w:szCs w:val="16"/>
                <w:lang w:bidi="en-US"/>
              </w:rPr>
            </w:pPr>
          </w:p>
        </w:tc>
      </w:tr>
    </w:tbl>
    <w:p w14:paraId="1DB04E6A" w14:textId="77777777" w:rsidR="002A501D" w:rsidRPr="007F69DA" w:rsidRDefault="002A501D" w:rsidP="002A501D">
      <w:pPr>
        <w:spacing w:line="220" w:lineRule="atLeast"/>
        <w:jc w:val="both"/>
        <w:rPr>
          <w:bCs/>
          <w:sz w:val="18"/>
          <w:szCs w:val="20"/>
          <w:lang w:eastAsia="de-DE"/>
        </w:rPr>
      </w:pPr>
    </w:p>
    <w:p w14:paraId="0FBD053D" w14:textId="77777777" w:rsidR="002A501D" w:rsidRPr="007F69DA" w:rsidRDefault="002A501D" w:rsidP="002A501D">
      <w:pPr>
        <w:pStyle w:val="StandardText"/>
      </w:pPr>
    </w:p>
    <w:p w14:paraId="617EA8A2" w14:textId="77777777" w:rsidR="002A501D" w:rsidRPr="007F69DA" w:rsidRDefault="002A501D" w:rsidP="002A501D">
      <w:pPr>
        <w:pStyle w:val="StandardText"/>
      </w:pPr>
      <w:r w:rsidRPr="007F69DA">
        <w:t>Praktikabel ist das Checklist-Verfahren jedoch nur so lange, wie die Menge an Entscheidungskriterien überschaubar bleibt. In dem Maße, wie die Vielzahl der zu verarbeitenden Informationen (vgl. Tab. 3) die kognitive Kapazität der Entscheider überfordert, sind komplexer strukturierte Entscheidungsverfahren erforderlich.</w:t>
      </w:r>
    </w:p>
    <w:p w14:paraId="531846E3" w14:textId="77777777" w:rsidR="002A501D" w:rsidRPr="00BF04C9" w:rsidRDefault="002A501D" w:rsidP="002A501D">
      <w:pPr>
        <w:spacing w:line="360" w:lineRule="auto"/>
        <w:jc w:val="center"/>
        <w:rPr>
          <w:i/>
          <w:szCs w:val="20"/>
          <w:lang w:eastAsia="de-DE"/>
        </w:rPr>
      </w:pPr>
    </w:p>
    <w:p w14:paraId="65644BDA" w14:textId="77777777" w:rsidR="002A501D" w:rsidRPr="00BF04C9" w:rsidRDefault="002A501D" w:rsidP="002A501D">
      <w:pPr>
        <w:spacing w:line="360" w:lineRule="auto"/>
        <w:jc w:val="center"/>
        <w:rPr>
          <w:i/>
          <w:szCs w:val="20"/>
          <w:lang w:eastAsia="de-DE"/>
        </w:rPr>
      </w:pPr>
      <w:r w:rsidRPr="00BF04C9">
        <w:rPr>
          <w:i/>
          <w:szCs w:val="20"/>
          <w:lang w:eastAsia="de-DE"/>
        </w:rPr>
        <w:t>Tab. 3: Anreize &amp; Hemmnisse einer Direktinvestition</w:t>
      </w:r>
    </w:p>
    <w:tbl>
      <w:tblPr>
        <w:tblW w:w="7472" w:type="dxa"/>
        <w:tblInd w:w="7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1075"/>
        <w:gridCol w:w="793"/>
        <w:gridCol w:w="793"/>
        <w:gridCol w:w="794"/>
        <w:gridCol w:w="793"/>
        <w:gridCol w:w="793"/>
        <w:gridCol w:w="819"/>
        <w:gridCol w:w="793"/>
        <w:gridCol w:w="819"/>
      </w:tblGrid>
      <w:tr w:rsidR="002A501D" w:rsidRPr="007F69DA" w14:paraId="1AE4F02B" w14:textId="77777777" w:rsidTr="00F46ACB">
        <w:trPr>
          <w:cantSplit/>
          <w:trHeight w:val="139"/>
        </w:trPr>
        <w:tc>
          <w:tcPr>
            <w:tcW w:w="1075" w:type="dxa"/>
            <w:vMerge w:val="restart"/>
            <w:tcBorders>
              <w:top w:val="single" w:sz="4" w:space="0" w:color="auto"/>
              <w:left w:val="single" w:sz="4" w:space="0" w:color="auto"/>
              <w:bottom w:val="nil"/>
              <w:right w:val="single" w:sz="4" w:space="0" w:color="auto"/>
            </w:tcBorders>
            <w:shd w:val="clear" w:color="auto" w:fill="FFC000" w:themeFill="accent4"/>
            <w:hideMark/>
          </w:tcPr>
          <w:p w14:paraId="53BEDEC8" w14:textId="77777777" w:rsidR="002A501D" w:rsidRPr="007F69DA" w:rsidRDefault="002A501D" w:rsidP="00F46ACB">
            <w:pPr>
              <w:spacing w:before="40" w:after="40" w:line="160" w:lineRule="exact"/>
              <w:jc w:val="center"/>
              <w:rPr>
                <w:sz w:val="16"/>
                <w:szCs w:val="16"/>
                <w:lang w:bidi="en-US"/>
              </w:rPr>
            </w:pPr>
          </w:p>
        </w:tc>
        <w:tc>
          <w:tcPr>
            <w:tcW w:w="2380" w:type="dxa"/>
            <w:gridSpan w:val="3"/>
            <w:tcBorders>
              <w:top w:val="single" w:sz="4" w:space="0" w:color="auto"/>
              <w:left w:val="single" w:sz="4" w:space="0" w:color="auto"/>
              <w:bottom w:val="nil"/>
              <w:right w:val="nil"/>
            </w:tcBorders>
            <w:shd w:val="clear" w:color="auto" w:fill="FFC000" w:themeFill="accent4"/>
            <w:hideMark/>
          </w:tcPr>
          <w:p w14:paraId="5C7590C5" w14:textId="77777777" w:rsidR="002A501D" w:rsidRPr="007F69DA" w:rsidRDefault="002A501D" w:rsidP="00F46ACB">
            <w:pPr>
              <w:spacing w:before="40" w:after="40" w:line="160" w:lineRule="exact"/>
              <w:jc w:val="center"/>
              <w:rPr>
                <w:b/>
                <w:sz w:val="16"/>
                <w:szCs w:val="16"/>
                <w:lang w:bidi="en-US"/>
              </w:rPr>
            </w:pPr>
            <w:r w:rsidRPr="007F69DA">
              <w:rPr>
                <w:b/>
                <w:sz w:val="16"/>
                <w:szCs w:val="16"/>
                <w:lang w:bidi="en-US"/>
              </w:rPr>
              <w:t>Allgemeine Kriterien</w:t>
            </w:r>
          </w:p>
        </w:tc>
        <w:tc>
          <w:tcPr>
            <w:tcW w:w="4017" w:type="dxa"/>
            <w:gridSpan w:val="5"/>
            <w:tcBorders>
              <w:top w:val="single" w:sz="4" w:space="0" w:color="auto"/>
              <w:left w:val="nil"/>
              <w:bottom w:val="nil"/>
              <w:right w:val="single" w:sz="4" w:space="0" w:color="auto"/>
            </w:tcBorders>
            <w:shd w:val="clear" w:color="auto" w:fill="FFC000" w:themeFill="accent4"/>
            <w:hideMark/>
          </w:tcPr>
          <w:p w14:paraId="253FC7E9" w14:textId="77777777" w:rsidR="002A501D" w:rsidRPr="007F69DA" w:rsidRDefault="002A501D" w:rsidP="00F46ACB">
            <w:pPr>
              <w:spacing w:before="40" w:after="40" w:line="160" w:lineRule="exact"/>
              <w:jc w:val="center"/>
              <w:rPr>
                <w:b/>
                <w:sz w:val="16"/>
                <w:szCs w:val="16"/>
                <w:lang w:bidi="en-US"/>
              </w:rPr>
            </w:pPr>
            <w:r w:rsidRPr="007F69DA">
              <w:rPr>
                <w:b/>
                <w:sz w:val="16"/>
                <w:szCs w:val="16"/>
                <w:lang w:bidi="en-US"/>
              </w:rPr>
              <w:t>Investitionsspezifische Kriterien</w:t>
            </w:r>
          </w:p>
        </w:tc>
      </w:tr>
      <w:tr w:rsidR="002A501D" w:rsidRPr="007F69DA" w14:paraId="125C3BE6" w14:textId="77777777" w:rsidTr="00F46ACB">
        <w:trPr>
          <w:cantSplit/>
          <w:trHeight w:val="139"/>
        </w:trPr>
        <w:tc>
          <w:tcPr>
            <w:tcW w:w="1075" w:type="dxa"/>
            <w:vMerge/>
            <w:tcBorders>
              <w:top w:val="nil"/>
              <w:left w:val="single" w:sz="4" w:space="0" w:color="auto"/>
              <w:bottom w:val="single" w:sz="4" w:space="0" w:color="auto"/>
              <w:right w:val="single" w:sz="4" w:space="0" w:color="auto"/>
            </w:tcBorders>
            <w:shd w:val="clear" w:color="auto" w:fill="FFC000" w:themeFill="accent4"/>
            <w:vAlign w:val="center"/>
            <w:hideMark/>
          </w:tcPr>
          <w:p w14:paraId="5BDE4FC7" w14:textId="77777777" w:rsidR="002A501D" w:rsidRPr="007F69DA" w:rsidRDefault="002A501D" w:rsidP="00F46ACB">
            <w:pPr>
              <w:spacing w:before="40" w:after="40" w:line="160" w:lineRule="exact"/>
              <w:rPr>
                <w:sz w:val="16"/>
                <w:szCs w:val="16"/>
                <w:lang w:bidi="en-US"/>
              </w:rPr>
            </w:pPr>
          </w:p>
        </w:tc>
        <w:tc>
          <w:tcPr>
            <w:tcW w:w="793" w:type="dxa"/>
            <w:tcBorders>
              <w:top w:val="nil"/>
              <w:left w:val="single" w:sz="4" w:space="0" w:color="auto"/>
              <w:bottom w:val="single" w:sz="4" w:space="0" w:color="auto"/>
              <w:right w:val="nil"/>
            </w:tcBorders>
            <w:shd w:val="clear" w:color="auto" w:fill="FFC000" w:themeFill="accent4"/>
            <w:hideMark/>
          </w:tcPr>
          <w:p w14:paraId="7AA75AEF"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t>Politische und wirt</w:t>
            </w:r>
            <w:r w:rsidRPr="007F69DA">
              <w:rPr>
                <w:sz w:val="16"/>
                <w:szCs w:val="16"/>
                <w:lang w:bidi="en-US"/>
              </w:rPr>
              <w:softHyphen/>
              <w:t>schaft</w:t>
            </w:r>
            <w:r w:rsidRPr="007F69DA">
              <w:rPr>
                <w:sz w:val="16"/>
                <w:szCs w:val="16"/>
                <w:lang w:bidi="en-US"/>
              </w:rPr>
              <w:softHyphen/>
              <w:t>liche Stabilität</w:t>
            </w:r>
          </w:p>
        </w:tc>
        <w:tc>
          <w:tcPr>
            <w:tcW w:w="793" w:type="dxa"/>
            <w:tcBorders>
              <w:top w:val="nil"/>
              <w:left w:val="nil"/>
              <w:bottom w:val="single" w:sz="4" w:space="0" w:color="auto"/>
              <w:right w:val="nil"/>
            </w:tcBorders>
            <w:shd w:val="clear" w:color="auto" w:fill="FFC000" w:themeFill="accent4"/>
            <w:hideMark/>
          </w:tcPr>
          <w:p w14:paraId="01587445"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t>Einfuhr</w:t>
            </w:r>
            <w:r w:rsidRPr="007F69DA">
              <w:rPr>
                <w:sz w:val="16"/>
                <w:szCs w:val="16"/>
                <w:lang w:bidi="en-US"/>
              </w:rPr>
              <w:softHyphen/>
              <w:t>beschrän</w:t>
            </w:r>
            <w:r w:rsidRPr="007F69DA">
              <w:rPr>
                <w:sz w:val="16"/>
                <w:szCs w:val="16"/>
                <w:lang w:bidi="en-US"/>
              </w:rPr>
              <w:softHyphen/>
              <w:t>kungen</w:t>
            </w:r>
          </w:p>
        </w:tc>
        <w:tc>
          <w:tcPr>
            <w:tcW w:w="794" w:type="dxa"/>
            <w:tcBorders>
              <w:top w:val="nil"/>
              <w:left w:val="nil"/>
              <w:bottom w:val="single" w:sz="4" w:space="0" w:color="auto"/>
              <w:right w:val="single" w:sz="4" w:space="0" w:color="auto"/>
            </w:tcBorders>
            <w:shd w:val="clear" w:color="auto" w:fill="FFC000" w:themeFill="accent4"/>
            <w:hideMark/>
          </w:tcPr>
          <w:p w14:paraId="39712ED8"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t>Devisen</w:t>
            </w:r>
            <w:r w:rsidRPr="007F69DA">
              <w:rPr>
                <w:sz w:val="16"/>
                <w:szCs w:val="16"/>
                <w:lang w:bidi="en-US"/>
              </w:rPr>
              <w:softHyphen/>
              <w:t>beschrän</w:t>
            </w:r>
            <w:r w:rsidRPr="007F69DA">
              <w:rPr>
                <w:sz w:val="16"/>
                <w:szCs w:val="16"/>
                <w:lang w:bidi="en-US"/>
              </w:rPr>
              <w:softHyphen/>
              <w:t>kung</w:t>
            </w:r>
          </w:p>
        </w:tc>
        <w:tc>
          <w:tcPr>
            <w:tcW w:w="793" w:type="dxa"/>
            <w:tcBorders>
              <w:top w:val="nil"/>
              <w:left w:val="single" w:sz="4" w:space="0" w:color="auto"/>
              <w:bottom w:val="single" w:sz="4" w:space="0" w:color="auto"/>
              <w:right w:val="nil"/>
            </w:tcBorders>
            <w:shd w:val="clear" w:color="auto" w:fill="FFC000" w:themeFill="accent4"/>
            <w:hideMark/>
          </w:tcPr>
          <w:p w14:paraId="461EDBA7"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t>Möglich</w:t>
            </w:r>
            <w:r w:rsidRPr="007F69DA">
              <w:rPr>
                <w:sz w:val="16"/>
                <w:szCs w:val="16"/>
                <w:lang w:bidi="en-US"/>
              </w:rPr>
              <w:softHyphen/>
              <w:t>keit des Gewinn-transfers</w:t>
            </w:r>
          </w:p>
        </w:tc>
        <w:tc>
          <w:tcPr>
            <w:tcW w:w="793" w:type="dxa"/>
            <w:tcBorders>
              <w:top w:val="nil"/>
              <w:left w:val="nil"/>
              <w:bottom w:val="single" w:sz="4" w:space="0" w:color="auto"/>
              <w:right w:val="nil"/>
            </w:tcBorders>
            <w:shd w:val="clear" w:color="auto" w:fill="FFC000" w:themeFill="accent4"/>
            <w:hideMark/>
          </w:tcPr>
          <w:p w14:paraId="28DD6A0A"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t xml:space="preserve">Anreize für </w:t>
            </w:r>
            <w:r w:rsidRPr="007F69DA">
              <w:rPr>
                <w:sz w:val="16"/>
                <w:szCs w:val="16"/>
                <w:lang w:bidi="en-US"/>
              </w:rPr>
              <w:br/>
              <w:t>Investiti</w:t>
            </w:r>
            <w:r w:rsidRPr="007F69DA">
              <w:rPr>
                <w:sz w:val="16"/>
                <w:szCs w:val="16"/>
                <w:lang w:bidi="en-US"/>
              </w:rPr>
              <w:softHyphen/>
              <w:t>onen</w:t>
            </w:r>
          </w:p>
        </w:tc>
        <w:tc>
          <w:tcPr>
            <w:tcW w:w="819" w:type="dxa"/>
            <w:tcBorders>
              <w:top w:val="nil"/>
              <w:left w:val="nil"/>
              <w:bottom w:val="single" w:sz="4" w:space="0" w:color="auto"/>
              <w:right w:val="nil"/>
            </w:tcBorders>
            <w:shd w:val="clear" w:color="auto" w:fill="FFC000" w:themeFill="accent4"/>
            <w:hideMark/>
          </w:tcPr>
          <w:p w14:paraId="5139C957"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t>Rechts</w:t>
            </w:r>
            <w:r w:rsidRPr="007F69DA">
              <w:rPr>
                <w:sz w:val="16"/>
                <w:szCs w:val="16"/>
                <w:lang w:bidi="en-US"/>
              </w:rPr>
              <w:softHyphen/>
              <w:t>schutz</w:t>
            </w:r>
          </w:p>
        </w:tc>
        <w:tc>
          <w:tcPr>
            <w:tcW w:w="793" w:type="dxa"/>
            <w:tcBorders>
              <w:top w:val="nil"/>
              <w:left w:val="nil"/>
              <w:bottom w:val="single" w:sz="4" w:space="0" w:color="auto"/>
              <w:right w:val="nil"/>
            </w:tcBorders>
            <w:shd w:val="clear" w:color="auto" w:fill="FFC000" w:themeFill="accent4"/>
            <w:hideMark/>
          </w:tcPr>
          <w:p w14:paraId="30EDE1ED"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t>Steuer</w:t>
            </w:r>
            <w:r w:rsidRPr="007F69DA">
              <w:rPr>
                <w:sz w:val="16"/>
                <w:szCs w:val="16"/>
                <w:lang w:bidi="en-US"/>
              </w:rPr>
              <w:softHyphen/>
              <w:t>vergün</w:t>
            </w:r>
            <w:r w:rsidRPr="007F69DA">
              <w:rPr>
                <w:sz w:val="16"/>
                <w:szCs w:val="16"/>
                <w:lang w:bidi="en-US"/>
              </w:rPr>
              <w:softHyphen/>
              <w:t>stigungen</w:t>
            </w:r>
          </w:p>
        </w:tc>
        <w:tc>
          <w:tcPr>
            <w:tcW w:w="819" w:type="dxa"/>
            <w:tcBorders>
              <w:top w:val="nil"/>
              <w:left w:val="nil"/>
              <w:bottom w:val="single" w:sz="4" w:space="0" w:color="auto"/>
              <w:right w:val="single" w:sz="4" w:space="0" w:color="auto"/>
            </w:tcBorders>
            <w:shd w:val="clear" w:color="auto" w:fill="FFC000" w:themeFill="accent4"/>
            <w:hideMark/>
          </w:tcPr>
          <w:p w14:paraId="31011A57"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t>Genehmi</w:t>
            </w:r>
            <w:r w:rsidRPr="007F69DA">
              <w:rPr>
                <w:sz w:val="16"/>
                <w:szCs w:val="16"/>
                <w:lang w:bidi="en-US"/>
              </w:rPr>
              <w:softHyphen/>
              <w:t>gungs</w:t>
            </w:r>
            <w:r w:rsidRPr="007F69DA">
              <w:rPr>
                <w:sz w:val="16"/>
                <w:szCs w:val="16"/>
                <w:lang w:bidi="en-US"/>
              </w:rPr>
              <w:softHyphen/>
              <w:t>pflicht / Beschrän</w:t>
            </w:r>
            <w:r w:rsidRPr="007F69DA">
              <w:rPr>
                <w:sz w:val="16"/>
                <w:szCs w:val="16"/>
                <w:lang w:bidi="en-US"/>
              </w:rPr>
              <w:softHyphen/>
              <w:t>kungen</w:t>
            </w:r>
          </w:p>
        </w:tc>
      </w:tr>
      <w:tr w:rsidR="002A501D" w:rsidRPr="007F69DA" w14:paraId="5E8A39C7" w14:textId="77777777" w:rsidTr="00F46ACB">
        <w:trPr>
          <w:trHeight w:val="139"/>
        </w:trPr>
        <w:tc>
          <w:tcPr>
            <w:tcW w:w="1075" w:type="dxa"/>
            <w:tcBorders>
              <w:top w:val="single" w:sz="4" w:space="0" w:color="auto"/>
              <w:left w:val="single" w:sz="4" w:space="0" w:color="auto"/>
              <w:bottom w:val="nil"/>
              <w:right w:val="single" w:sz="4" w:space="0" w:color="auto"/>
            </w:tcBorders>
            <w:shd w:val="clear" w:color="auto" w:fill="FFF2CC" w:themeFill="accent4" w:themeFillTint="33"/>
            <w:hideMark/>
          </w:tcPr>
          <w:p w14:paraId="7772942F" w14:textId="77777777" w:rsidR="002A501D" w:rsidRPr="007F69DA" w:rsidRDefault="002A501D" w:rsidP="00F46ACB">
            <w:pPr>
              <w:spacing w:before="40" w:after="40" w:line="160" w:lineRule="exact"/>
              <w:rPr>
                <w:sz w:val="16"/>
                <w:szCs w:val="16"/>
                <w:lang w:bidi="en-US"/>
              </w:rPr>
            </w:pPr>
            <w:r w:rsidRPr="007F69DA">
              <w:rPr>
                <w:sz w:val="16"/>
                <w:szCs w:val="16"/>
                <w:lang w:bidi="en-US"/>
              </w:rPr>
              <w:t>Ägypten</w:t>
            </w:r>
          </w:p>
        </w:tc>
        <w:tc>
          <w:tcPr>
            <w:tcW w:w="793" w:type="dxa"/>
            <w:tcBorders>
              <w:top w:val="single" w:sz="4" w:space="0" w:color="auto"/>
              <w:left w:val="single" w:sz="4" w:space="0" w:color="auto"/>
              <w:bottom w:val="nil"/>
              <w:right w:val="nil"/>
            </w:tcBorders>
          </w:tcPr>
          <w:p w14:paraId="01ABC0AB" w14:textId="77777777" w:rsidR="002A501D" w:rsidRPr="007F69DA" w:rsidRDefault="002A501D" w:rsidP="00F46ACB">
            <w:pPr>
              <w:spacing w:before="40" w:after="40" w:line="160" w:lineRule="exact"/>
              <w:jc w:val="center"/>
              <w:rPr>
                <w:sz w:val="16"/>
                <w:szCs w:val="16"/>
                <w:lang w:bidi="en-US"/>
              </w:rPr>
            </w:pPr>
          </w:p>
        </w:tc>
        <w:tc>
          <w:tcPr>
            <w:tcW w:w="793" w:type="dxa"/>
            <w:tcBorders>
              <w:top w:val="single" w:sz="4" w:space="0" w:color="auto"/>
              <w:left w:val="nil"/>
              <w:bottom w:val="nil"/>
              <w:right w:val="nil"/>
            </w:tcBorders>
            <w:hideMark/>
          </w:tcPr>
          <w:p w14:paraId="350B21AF"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4" w:type="dxa"/>
            <w:tcBorders>
              <w:top w:val="single" w:sz="4" w:space="0" w:color="auto"/>
              <w:left w:val="nil"/>
              <w:bottom w:val="nil"/>
              <w:right w:val="single" w:sz="4" w:space="0" w:color="auto"/>
            </w:tcBorders>
            <w:hideMark/>
          </w:tcPr>
          <w:p w14:paraId="07180DF2"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single" w:sz="4" w:space="0" w:color="auto"/>
              <w:left w:val="single" w:sz="4" w:space="0" w:color="auto"/>
              <w:bottom w:val="nil"/>
              <w:right w:val="nil"/>
            </w:tcBorders>
            <w:hideMark/>
          </w:tcPr>
          <w:p w14:paraId="40DBBF73"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single" w:sz="4" w:space="0" w:color="auto"/>
              <w:left w:val="nil"/>
              <w:bottom w:val="nil"/>
              <w:right w:val="nil"/>
            </w:tcBorders>
          </w:tcPr>
          <w:p w14:paraId="494C8401" w14:textId="77777777" w:rsidR="002A501D" w:rsidRPr="007F69DA" w:rsidRDefault="002A501D" w:rsidP="00F46ACB">
            <w:pPr>
              <w:spacing w:before="40" w:after="40" w:line="160" w:lineRule="exact"/>
              <w:jc w:val="center"/>
              <w:rPr>
                <w:sz w:val="16"/>
                <w:szCs w:val="16"/>
                <w:lang w:bidi="en-US"/>
              </w:rPr>
            </w:pPr>
          </w:p>
        </w:tc>
        <w:tc>
          <w:tcPr>
            <w:tcW w:w="819" w:type="dxa"/>
            <w:tcBorders>
              <w:top w:val="single" w:sz="4" w:space="0" w:color="auto"/>
              <w:left w:val="nil"/>
              <w:bottom w:val="nil"/>
              <w:right w:val="nil"/>
            </w:tcBorders>
            <w:hideMark/>
          </w:tcPr>
          <w:p w14:paraId="1771036A"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single" w:sz="4" w:space="0" w:color="auto"/>
              <w:left w:val="nil"/>
              <w:bottom w:val="nil"/>
              <w:right w:val="nil"/>
            </w:tcBorders>
            <w:hideMark/>
          </w:tcPr>
          <w:p w14:paraId="659CC64F"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single" w:sz="4" w:space="0" w:color="auto"/>
              <w:left w:val="nil"/>
              <w:bottom w:val="nil"/>
              <w:right w:val="single" w:sz="4" w:space="0" w:color="auto"/>
            </w:tcBorders>
          </w:tcPr>
          <w:p w14:paraId="4A70A582" w14:textId="77777777" w:rsidR="002A501D" w:rsidRPr="007F69DA" w:rsidRDefault="002A501D" w:rsidP="00F46ACB">
            <w:pPr>
              <w:spacing w:before="40" w:after="40" w:line="160" w:lineRule="exact"/>
              <w:jc w:val="center"/>
              <w:rPr>
                <w:sz w:val="16"/>
                <w:szCs w:val="16"/>
                <w:lang w:bidi="en-US"/>
              </w:rPr>
            </w:pPr>
          </w:p>
        </w:tc>
      </w:tr>
      <w:tr w:rsidR="002A501D" w:rsidRPr="007F69DA" w14:paraId="59BD32DF"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77D7610E" w14:textId="77777777" w:rsidR="002A501D" w:rsidRPr="007F69DA" w:rsidRDefault="002A501D" w:rsidP="00F46ACB">
            <w:pPr>
              <w:spacing w:before="40" w:after="40" w:line="160" w:lineRule="exact"/>
              <w:rPr>
                <w:sz w:val="16"/>
                <w:szCs w:val="16"/>
                <w:lang w:bidi="en-US"/>
              </w:rPr>
            </w:pPr>
            <w:r w:rsidRPr="007F69DA">
              <w:rPr>
                <w:sz w:val="16"/>
                <w:szCs w:val="16"/>
                <w:lang w:bidi="en-US"/>
              </w:rPr>
              <w:t>Argentinien</w:t>
            </w:r>
          </w:p>
        </w:tc>
        <w:tc>
          <w:tcPr>
            <w:tcW w:w="793" w:type="dxa"/>
            <w:tcBorders>
              <w:top w:val="nil"/>
              <w:left w:val="single" w:sz="4" w:space="0" w:color="auto"/>
              <w:bottom w:val="nil"/>
              <w:right w:val="nil"/>
            </w:tcBorders>
          </w:tcPr>
          <w:p w14:paraId="1CB34728"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tcPr>
          <w:p w14:paraId="24BD80C1"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hideMark/>
          </w:tcPr>
          <w:p w14:paraId="150140EF"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single" w:sz="4" w:space="0" w:color="auto"/>
              <w:bottom w:val="nil"/>
              <w:right w:val="nil"/>
            </w:tcBorders>
            <w:hideMark/>
          </w:tcPr>
          <w:p w14:paraId="6C24DBFA"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5D17E6C7"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nil"/>
            </w:tcBorders>
            <w:hideMark/>
          </w:tcPr>
          <w:p w14:paraId="78FD3BED"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tcPr>
          <w:p w14:paraId="25F0F8EC" w14:textId="77777777" w:rsidR="002A501D" w:rsidRPr="007F69DA" w:rsidRDefault="002A501D" w:rsidP="00F46ACB">
            <w:pPr>
              <w:spacing w:before="40" w:after="40" w:line="160" w:lineRule="exact"/>
              <w:jc w:val="center"/>
              <w:rPr>
                <w:sz w:val="16"/>
                <w:szCs w:val="16"/>
                <w:lang w:bidi="en-US"/>
              </w:rPr>
            </w:pPr>
          </w:p>
        </w:tc>
        <w:tc>
          <w:tcPr>
            <w:tcW w:w="819" w:type="dxa"/>
            <w:tcBorders>
              <w:top w:val="nil"/>
              <w:left w:val="nil"/>
              <w:bottom w:val="nil"/>
              <w:right w:val="single" w:sz="4" w:space="0" w:color="auto"/>
            </w:tcBorders>
          </w:tcPr>
          <w:p w14:paraId="288A3919" w14:textId="77777777" w:rsidR="002A501D" w:rsidRPr="007F69DA" w:rsidRDefault="002A501D" w:rsidP="00F46ACB">
            <w:pPr>
              <w:spacing w:before="40" w:after="40" w:line="160" w:lineRule="exact"/>
              <w:jc w:val="center"/>
              <w:rPr>
                <w:sz w:val="16"/>
                <w:szCs w:val="16"/>
                <w:lang w:bidi="en-US"/>
              </w:rPr>
            </w:pPr>
          </w:p>
        </w:tc>
      </w:tr>
      <w:tr w:rsidR="002A501D" w:rsidRPr="007F69DA" w14:paraId="0CF6C16B"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4A557718" w14:textId="77777777" w:rsidR="002A501D" w:rsidRPr="007F69DA" w:rsidRDefault="002A501D" w:rsidP="00F46ACB">
            <w:pPr>
              <w:spacing w:before="40" w:after="40" w:line="160" w:lineRule="exact"/>
              <w:rPr>
                <w:sz w:val="16"/>
                <w:szCs w:val="16"/>
                <w:lang w:bidi="en-US"/>
              </w:rPr>
            </w:pPr>
            <w:r w:rsidRPr="007F69DA">
              <w:rPr>
                <w:sz w:val="16"/>
                <w:szCs w:val="16"/>
                <w:lang w:bidi="en-US"/>
              </w:rPr>
              <w:t>Chile</w:t>
            </w:r>
          </w:p>
        </w:tc>
        <w:tc>
          <w:tcPr>
            <w:tcW w:w="793" w:type="dxa"/>
            <w:tcBorders>
              <w:top w:val="nil"/>
              <w:left w:val="single" w:sz="4" w:space="0" w:color="auto"/>
              <w:bottom w:val="nil"/>
              <w:right w:val="nil"/>
            </w:tcBorders>
            <w:hideMark/>
          </w:tcPr>
          <w:p w14:paraId="4BC6A4A4"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tcPr>
          <w:p w14:paraId="1EA70803"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hideMark/>
          </w:tcPr>
          <w:p w14:paraId="08EB2C2A"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single" w:sz="4" w:space="0" w:color="auto"/>
              <w:bottom w:val="nil"/>
              <w:right w:val="nil"/>
            </w:tcBorders>
            <w:hideMark/>
          </w:tcPr>
          <w:p w14:paraId="410A0F44"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39F86C89"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nil"/>
            </w:tcBorders>
          </w:tcPr>
          <w:p w14:paraId="0A688C87"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tcPr>
          <w:p w14:paraId="67E3D8D4" w14:textId="77777777" w:rsidR="002A501D" w:rsidRPr="007F69DA" w:rsidRDefault="002A501D" w:rsidP="00F46ACB">
            <w:pPr>
              <w:spacing w:before="40" w:after="40" w:line="160" w:lineRule="exact"/>
              <w:jc w:val="center"/>
              <w:rPr>
                <w:sz w:val="16"/>
                <w:szCs w:val="16"/>
                <w:lang w:bidi="en-US"/>
              </w:rPr>
            </w:pPr>
          </w:p>
        </w:tc>
        <w:tc>
          <w:tcPr>
            <w:tcW w:w="819" w:type="dxa"/>
            <w:tcBorders>
              <w:top w:val="nil"/>
              <w:left w:val="nil"/>
              <w:bottom w:val="nil"/>
              <w:right w:val="single" w:sz="4" w:space="0" w:color="auto"/>
            </w:tcBorders>
          </w:tcPr>
          <w:p w14:paraId="2B02294A" w14:textId="77777777" w:rsidR="002A501D" w:rsidRPr="007F69DA" w:rsidRDefault="002A501D" w:rsidP="00F46ACB">
            <w:pPr>
              <w:spacing w:before="40" w:after="40" w:line="160" w:lineRule="exact"/>
              <w:jc w:val="center"/>
              <w:rPr>
                <w:sz w:val="16"/>
                <w:szCs w:val="16"/>
                <w:lang w:bidi="en-US"/>
              </w:rPr>
            </w:pPr>
          </w:p>
        </w:tc>
      </w:tr>
      <w:tr w:rsidR="002A501D" w:rsidRPr="007F69DA" w14:paraId="3CFC8744" w14:textId="77777777" w:rsidTr="00F46ACB">
        <w:trPr>
          <w:trHeight w:val="176"/>
        </w:trPr>
        <w:tc>
          <w:tcPr>
            <w:tcW w:w="1075" w:type="dxa"/>
            <w:tcBorders>
              <w:top w:val="nil"/>
              <w:left w:val="single" w:sz="4" w:space="0" w:color="auto"/>
              <w:bottom w:val="nil"/>
              <w:right w:val="single" w:sz="4" w:space="0" w:color="auto"/>
            </w:tcBorders>
            <w:shd w:val="clear" w:color="auto" w:fill="FFF2CC" w:themeFill="accent4" w:themeFillTint="33"/>
            <w:hideMark/>
          </w:tcPr>
          <w:p w14:paraId="7166EEEC" w14:textId="77777777" w:rsidR="002A501D" w:rsidRPr="007F69DA" w:rsidRDefault="002A501D" w:rsidP="00F46ACB">
            <w:pPr>
              <w:spacing w:before="40" w:after="40" w:line="160" w:lineRule="exact"/>
              <w:rPr>
                <w:sz w:val="16"/>
                <w:szCs w:val="16"/>
                <w:lang w:bidi="en-US"/>
              </w:rPr>
            </w:pPr>
            <w:r w:rsidRPr="007F69DA">
              <w:rPr>
                <w:sz w:val="16"/>
                <w:szCs w:val="16"/>
                <w:lang w:bidi="en-US"/>
              </w:rPr>
              <w:t>China</w:t>
            </w:r>
          </w:p>
        </w:tc>
        <w:tc>
          <w:tcPr>
            <w:tcW w:w="793" w:type="dxa"/>
            <w:tcBorders>
              <w:top w:val="nil"/>
              <w:left w:val="single" w:sz="4" w:space="0" w:color="auto"/>
              <w:bottom w:val="nil"/>
              <w:right w:val="nil"/>
            </w:tcBorders>
            <w:hideMark/>
          </w:tcPr>
          <w:p w14:paraId="14E8D7C3"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tcPr>
          <w:p w14:paraId="43AA096A"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hideMark/>
          </w:tcPr>
          <w:p w14:paraId="6D37FC79"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single" w:sz="4" w:space="0" w:color="auto"/>
              <w:bottom w:val="nil"/>
              <w:right w:val="nil"/>
            </w:tcBorders>
            <w:hideMark/>
          </w:tcPr>
          <w:p w14:paraId="17DDAD6A"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tcPr>
          <w:p w14:paraId="2E526DF0" w14:textId="77777777" w:rsidR="002A501D" w:rsidRPr="007F69DA" w:rsidRDefault="002A501D" w:rsidP="00F46ACB">
            <w:pPr>
              <w:spacing w:before="40" w:after="40" w:line="160" w:lineRule="exact"/>
              <w:jc w:val="center"/>
              <w:rPr>
                <w:sz w:val="16"/>
                <w:szCs w:val="16"/>
                <w:lang w:bidi="en-US"/>
              </w:rPr>
            </w:pPr>
          </w:p>
        </w:tc>
        <w:tc>
          <w:tcPr>
            <w:tcW w:w="819" w:type="dxa"/>
            <w:tcBorders>
              <w:top w:val="nil"/>
              <w:left w:val="nil"/>
              <w:bottom w:val="nil"/>
              <w:right w:val="nil"/>
            </w:tcBorders>
          </w:tcPr>
          <w:p w14:paraId="2B504D08"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hideMark/>
          </w:tcPr>
          <w:p w14:paraId="42A7F244"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single" w:sz="4" w:space="0" w:color="auto"/>
            </w:tcBorders>
          </w:tcPr>
          <w:p w14:paraId="4005E3AF" w14:textId="77777777" w:rsidR="002A501D" w:rsidRPr="007F69DA" w:rsidRDefault="002A501D" w:rsidP="00F46ACB">
            <w:pPr>
              <w:spacing w:before="40" w:after="40" w:line="160" w:lineRule="exact"/>
              <w:jc w:val="center"/>
              <w:rPr>
                <w:sz w:val="16"/>
                <w:szCs w:val="16"/>
                <w:lang w:bidi="en-US"/>
              </w:rPr>
            </w:pPr>
          </w:p>
        </w:tc>
      </w:tr>
      <w:tr w:rsidR="002A501D" w:rsidRPr="007F69DA" w14:paraId="1FD7502B"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3EDE1B9D" w14:textId="77777777" w:rsidR="002A501D" w:rsidRPr="007F69DA" w:rsidRDefault="002A501D" w:rsidP="00F46ACB">
            <w:pPr>
              <w:spacing w:before="40" w:after="40" w:line="160" w:lineRule="exact"/>
              <w:rPr>
                <w:sz w:val="16"/>
                <w:szCs w:val="16"/>
                <w:lang w:bidi="en-US"/>
              </w:rPr>
            </w:pPr>
            <w:r w:rsidRPr="007F69DA">
              <w:rPr>
                <w:sz w:val="16"/>
                <w:szCs w:val="16"/>
                <w:lang w:bidi="en-US"/>
              </w:rPr>
              <w:t>Griechenland</w:t>
            </w:r>
          </w:p>
        </w:tc>
        <w:tc>
          <w:tcPr>
            <w:tcW w:w="793" w:type="dxa"/>
            <w:tcBorders>
              <w:top w:val="nil"/>
              <w:left w:val="single" w:sz="4" w:space="0" w:color="auto"/>
              <w:bottom w:val="nil"/>
              <w:right w:val="nil"/>
            </w:tcBorders>
            <w:hideMark/>
          </w:tcPr>
          <w:p w14:paraId="69D61CB1"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tcPr>
          <w:p w14:paraId="56179727"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tcPr>
          <w:p w14:paraId="620E9FBD"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single" w:sz="4" w:space="0" w:color="auto"/>
              <w:bottom w:val="nil"/>
              <w:right w:val="nil"/>
            </w:tcBorders>
            <w:hideMark/>
          </w:tcPr>
          <w:p w14:paraId="6612F711"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hideMark/>
          </w:tcPr>
          <w:p w14:paraId="009D261D"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nil"/>
            </w:tcBorders>
            <w:hideMark/>
          </w:tcPr>
          <w:p w14:paraId="27CBDF55"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hideMark/>
          </w:tcPr>
          <w:p w14:paraId="53438D94"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single" w:sz="4" w:space="0" w:color="auto"/>
            </w:tcBorders>
          </w:tcPr>
          <w:p w14:paraId="619B59F7" w14:textId="77777777" w:rsidR="002A501D" w:rsidRPr="007F69DA" w:rsidRDefault="002A501D" w:rsidP="00F46ACB">
            <w:pPr>
              <w:spacing w:before="40" w:after="40" w:line="160" w:lineRule="exact"/>
              <w:jc w:val="center"/>
              <w:rPr>
                <w:sz w:val="16"/>
                <w:szCs w:val="16"/>
                <w:lang w:bidi="en-US"/>
              </w:rPr>
            </w:pPr>
          </w:p>
        </w:tc>
      </w:tr>
      <w:tr w:rsidR="002A501D" w:rsidRPr="007F69DA" w14:paraId="0CE6B44E"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222B49A1" w14:textId="77777777" w:rsidR="002A501D" w:rsidRPr="007F69DA" w:rsidRDefault="002A501D" w:rsidP="00F46ACB">
            <w:pPr>
              <w:spacing w:before="40" w:after="40" w:line="160" w:lineRule="exact"/>
              <w:rPr>
                <w:sz w:val="16"/>
                <w:szCs w:val="16"/>
                <w:lang w:bidi="en-US"/>
              </w:rPr>
            </w:pPr>
            <w:r w:rsidRPr="007F69DA">
              <w:rPr>
                <w:sz w:val="16"/>
                <w:szCs w:val="16"/>
                <w:lang w:bidi="en-US"/>
              </w:rPr>
              <w:t>Großbritann.</w:t>
            </w:r>
          </w:p>
        </w:tc>
        <w:tc>
          <w:tcPr>
            <w:tcW w:w="793" w:type="dxa"/>
            <w:tcBorders>
              <w:top w:val="nil"/>
              <w:left w:val="single" w:sz="4" w:space="0" w:color="auto"/>
              <w:bottom w:val="nil"/>
              <w:right w:val="nil"/>
            </w:tcBorders>
            <w:hideMark/>
          </w:tcPr>
          <w:p w14:paraId="71B46E51"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tcPr>
          <w:p w14:paraId="31F9088C"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tcPr>
          <w:p w14:paraId="39C9A4B9"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single" w:sz="4" w:space="0" w:color="auto"/>
              <w:bottom w:val="nil"/>
              <w:right w:val="nil"/>
            </w:tcBorders>
            <w:hideMark/>
          </w:tcPr>
          <w:p w14:paraId="07C11A16"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16127F68"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nil"/>
            </w:tcBorders>
            <w:hideMark/>
          </w:tcPr>
          <w:p w14:paraId="5EAE8236"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tcPr>
          <w:p w14:paraId="67C62BC1" w14:textId="77777777" w:rsidR="002A501D" w:rsidRPr="007F69DA" w:rsidRDefault="002A501D" w:rsidP="00F46ACB">
            <w:pPr>
              <w:spacing w:before="40" w:after="40" w:line="160" w:lineRule="exact"/>
              <w:jc w:val="center"/>
              <w:rPr>
                <w:sz w:val="16"/>
                <w:szCs w:val="16"/>
                <w:lang w:bidi="en-US"/>
              </w:rPr>
            </w:pPr>
          </w:p>
        </w:tc>
        <w:tc>
          <w:tcPr>
            <w:tcW w:w="819" w:type="dxa"/>
            <w:tcBorders>
              <w:top w:val="nil"/>
              <w:left w:val="nil"/>
              <w:bottom w:val="nil"/>
              <w:right w:val="single" w:sz="4" w:space="0" w:color="auto"/>
            </w:tcBorders>
            <w:hideMark/>
          </w:tcPr>
          <w:p w14:paraId="388978A9"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r>
      <w:tr w:rsidR="002A501D" w:rsidRPr="007F69DA" w14:paraId="18CD9110"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099FBDB3" w14:textId="77777777" w:rsidR="002A501D" w:rsidRPr="007F69DA" w:rsidRDefault="002A501D" w:rsidP="00F46ACB">
            <w:pPr>
              <w:spacing w:before="40" w:after="40" w:line="160" w:lineRule="exact"/>
              <w:rPr>
                <w:sz w:val="16"/>
                <w:szCs w:val="16"/>
                <w:lang w:bidi="en-US"/>
              </w:rPr>
            </w:pPr>
            <w:r w:rsidRPr="007F69DA">
              <w:rPr>
                <w:sz w:val="16"/>
                <w:szCs w:val="16"/>
                <w:lang w:bidi="en-US"/>
              </w:rPr>
              <w:lastRenderedPageBreak/>
              <w:t>Japan</w:t>
            </w:r>
          </w:p>
        </w:tc>
        <w:tc>
          <w:tcPr>
            <w:tcW w:w="793" w:type="dxa"/>
            <w:tcBorders>
              <w:top w:val="nil"/>
              <w:left w:val="single" w:sz="4" w:space="0" w:color="auto"/>
              <w:bottom w:val="nil"/>
              <w:right w:val="nil"/>
            </w:tcBorders>
            <w:hideMark/>
          </w:tcPr>
          <w:p w14:paraId="503D39B1"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57DB27F2"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4" w:type="dxa"/>
            <w:tcBorders>
              <w:top w:val="nil"/>
              <w:left w:val="nil"/>
              <w:bottom w:val="nil"/>
              <w:right w:val="single" w:sz="4" w:space="0" w:color="auto"/>
            </w:tcBorders>
            <w:hideMark/>
          </w:tcPr>
          <w:p w14:paraId="0D98574B"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single" w:sz="4" w:space="0" w:color="auto"/>
              <w:bottom w:val="nil"/>
              <w:right w:val="nil"/>
            </w:tcBorders>
          </w:tcPr>
          <w:p w14:paraId="28598CB3"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hideMark/>
          </w:tcPr>
          <w:p w14:paraId="0E776833"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nil"/>
            </w:tcBorders>
          </w:tcPr>
          <w:p w14:paraId="15E536B6"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hideMark/>
          </w:tcPr>
          <w:p w14:paraId="157090DA"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single" w:sz="4" w:space="0" w:color="auto"/>
            </w:tcBorders>
            <w:hideMark/>
          </w:tcPr>
          <w:p w14:paraId="1A71BF88"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r>
      <w:tr w:rsidR="002A501D" w:rsidRPr="007F69DA" w14:paraId="414CAE77"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2142BF52" w14:textId="77777777" w:rsidR="002A501D" w:rsidRPr="007F69DA" w:rsidRDefault="002A501D" w:rsidP="00F46ACB">
            <w:pPr>
              <w:spacing w:before="40" w:after="40" w:line="160" w:lineRule="exact"/>
              <w:rPr>
                <w:sz w:val="16"/>
                <w:szCs w:val="16"/>
                <w:lang w:bidi="en-US"/>
              </w:rPr>
            </w:pPr>
            <w:r w:rsidRPr="007F69DA">
              <w:rPr>
                <w:sz w:val="16"/>
                <w:szCs w:val="16"/>
                <w:lang w:bidi="en-US"/>
              </w:rPr>
              <w:t>Kambodscha</w:t>
            </w:r>
          </w:p>
        </w:tc>
        <w:tc>
          <w:tcPr>
            <w:tcW w:w="793" w:type="dxa"/>
            <w:tcBorders>
              <w:top w:val="nil"/>
              <w:left w:val="single" w:sz="4" w:space="0" w:color="auto"/>
              <w:bottom w:val="nil"/>
              <w:right w:val="nil"/>
            </w:tcBorders>
          </w:tcPr>
          <w:p w14:paraId="18B28296"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nil"/>
              <w:left w:val="nil"/>
              <w:bottom w:val="nil"/>
              <w:right w:val="nil"/>
            </w:tcBorders>
          </w:tcPr>
          <w:p w14:paraId="13486726"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tcPr>
          <w:p w14:paraId="5BA9C830"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single" w:sz="4" w:space="0" w:color="auto"/>
              <w:bottom w:val="nil"/>
              <w:right w:val="nil"/>
            </w:tcBorders>
            <w:hideMark/>
          </w:tcPr>
          <w:p w14:paraId="1B71B9CC"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tcPr>
          <w:p w14:paraId="74F19136" w14:textId="77777777" w:rsidR="002A501D" w:rsidRPr="007F69DA" w:rsidRDefault="002A501D" w:rsidP="00F46ACB">
            <w:pPr>
              <w:spacing w:before="40" w:after="40" w:line="160" w:lineRule="exact"/>
              <w:jc w:val="center"/>
              <w:rPr>
                <w:sz w:val="16"/>
                <w:szCs w:val="16"/>
                <w:lang w:bidi="en-US"/>
              </w:rPr>
            </w:pPr>
          </w:p>
        </w:tc>
        <w:tc>
          <w:tcPr>
            <w:tcW w:w="819" w:type="dxa"/>
            <w:tcBorders>
              <w:top w:val="nil"/>
              <w:left w:val="nil"/>
              <w:bottom w:val="nil"/>
              <w:right w:val="nil"/>
            </w:tcBorders>
            <w:hideMark/>
          </w:tcPr>
          <w:p w14:paraId="725CB71B"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tcPr>
          <w:p w14:paraId="69E975A0" w14:textId="77777777" w:rsidR="002A501D" w:rsidRPr="007F69DA" w:rsidRDefault="002A501D" w:rsidP="00F46ACB">
            <w:pPr>
              <w:spacing w:before="40" w:after="40" w:line="160" w:lineRule="exact"/>
              <w:jc w:val="center"/>
              <w:rPr>
                <w:sz w:val="16"/>
                <w:szCs w:val="16"/>
                <w:lang w:bidi="en-US"/>
              </w:rPr>
            </w:pPr>
          </w:p>
        </w:tc>
        <w:tc>
          <w:tcPr>
            <w:tcW w:w="819" w:type="dxa"/>
            <w:tcBorders>
              <w:top w:val="nil"/>
              <w:left w:val="nil"/>
              <w:bottom w:val="nil"/>
              <w:right w:val="single" w:sz="4" w:space="0" w:color="auto"/>
            </w:tcBorders>
          </w:tcPr>
          <w:p w14:paraId="3C526DD7" w14:textId="77777777" w:rsidR="002A501D" w:rsidRPr="007F69DA" w:rsidRDefault="002A501D" w:rsidP="00F46ACB">
            <w:pPr>
              <w:spacing w:before="40" w:after="40" w:line="160" w:lineRule="exact"/>
              <w:jc w:val="center"/>
              <w:rPr>
                <w:sz w:val="16"/>
                <w:szCs w:val="16"/>
                <w:lang w:bidi="en-US"/>
              </w:rPr>
            </w:pPr>
          </w:p>
        </w:tc>
      </w:tr>
      <w:tr w:rsidR="002A501D" w:rsidRPr="007F69DA" w14:paraId="1B767563"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35CDF182" w14:textId="77777777" w:rsidR="002A501D" w:rsidRPr="007F69DA" w:rsidRDefault="002A501D" w:rsidP="00F46ACB">
            <w:pPr>
              <w:spacing w:before="40" w:after="40" w:line="160" w:lineRule="exact"/>
              <w:rPr>
                <w:sz w:val="16"/>
                <w:szCs w:val="16"/>
                <w:lang w:bidi="en-US"/>
              </w:rPr>
            </w:pPr>
            <w:r w:rsidRPr="007F69DA">
              <w:rPr>
                <w:sz w:val="16"/>
                <w:szCs w:val="16"/>
                <w:lang w:bidi="en-US"/>
              </w:rPr>
              <w:t>Kongo</w:t>
            </w:r>
          </w:p>
        </w:tc>
        <w:tc>
          <w:tcPr>
            <w:tcW w:w="793" w:type="dxa"/>
            <w:tcBorders>
              <w:top w:val="nil"/>
              <w:left w:val="single" w:sz="4" w:space="0" w:color="auto"/>
              <w:bottom w:val="nil"/>
              <w:right w:val="nil"/>
            </w:tcBorders>
          </w:tcPr>
          <w:p w14:paraId="38B6DFBE"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nil"/>
              <w:left w:val="nil"/>
              <w:bottom w:val="nil"/>
              <w:right w:val="nil"/>
            </w:tcBorders>
          </w:tcPr>
          <w:p w14:paraId="5AB25BDB"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tcPr>
          <w:p w14:paraId="077AC69D"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single" w:sz="4" w:space="0" w:color="auto"/>
              <w:bottom w:val="nil"/>
              <w:right w:val="nil"/>
            </w:tcBorders>
            <w:hideMark/>
          </w:tcPr>
          <w:p w14:paraId="0C2237A6"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hideMark/>
          </w:tcPr>
          <w:p w14:paraId="17BDA124"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nil"/>
            </w:tcBorders>
          </w:tcPr>
          <w:p w14:paraId="60DBA0A4"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tcPr>
          <w:p w14:paraId="64AEA71E" w14:textId="77777777" w:rsidR="002A501D" w:rsidRPr="007F69DA" w:rsidRDefault="002A501D" w:rsidP="00F46ACB">
            <w:pPr>
              <w:spacing w:before="40" w:after="40" w:line="160" w:lineRule="exact"/>
              <w:jc w:val="center"/>
              <w:rPr>
                <w:sz w:val="16"/>
                <w:szCs w:val="16"/>
                <w:lang w:bidi="en-US"/>
              </w:rPr>
            </w:pPr>
          </w:p>
        </w:tc>
        <w:tc>
          <w:tcPr>
            <w:tcW w:w="819" w:type="dxa"/>
            <w:tcBorders>
              <w:top w:val="nil"/>
              <w:left w:val="nil"/>
              <w:bottom w:val="nil"/>
              <w:right w:val="single" w:sz="4" w:space="0" w:color="auto"/>
            </w:tcBorders>
          </w:tcPr>
          <w:p w14:paraId="1B4E0730" w14:textId="77777777" w:rsidR="002A501D" w:rsidRPr="007F69DA" w:rsidRDefault="002A501D" w:rsidP="00F46ACB">
            <w:pPr>
              <w:spacing w:before="40" w:after="40" w:line="160" w:lineRule="exact"/>
              <w:jc w:val="center"/>
              <w:rPr>
                <w:sz w:val="16"/>
                <w:szCs w:val="16"/>
                <w:lang w:bidi="en-US"/>
              </w:rPr>
            </w:pPr>
          </w:p>
        </w:tc>
      </w:tr>
      <w:tr w:rsidR="002A501D" w:rsidRPr="007F69DA" w14:paraId="79AA687F"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2A820C3E" w14:textId="77777777" w:rsidR="002A501D" w:rsidRPr="007F69DA" w:rsidRDefault="002A501D" w:rsidP="00F46ACB">
            <w:pPr>
              <w:spacing w:before="40" w:after="40" w:line="160" w:lineRule="exact"/>
              <w:rPr>
                <w:sz w:val="16"/>
                <w:szCs w:val="16"/>
                <w:lang w:bidi="en-US"/>
              </w:rPr>
            </w:pPr>
            <w:r w:rsidRPr="007F69DA">
              <w:rPr>
                <w:sz w:val="16"/>
                <w:szCs w:val="16"/>
                <w:lang w:bidi="en-US"/>
              </w:rPr>
              <w:t>Kuwait</w:t>
            </w:r>
          </w:p>
        </w:tc>
        <w:tc>
          <w:tcPr>
            <w:tcW w:w="793" w:type="dxa"/>
            <w:tcBorders>
              <w:top w:val="nil"/>
              <w:left w:val="single" w:sz="4" w:space="0" w:color="auto"/>
              <w:bottom w:val="nil"/>
              <w:right w:val="nil"/>
            </w:tcBorders>
            <w:hideMark/>
          </w:tcPr>
          <w:p w14:paraId="5A1C5F9E"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hideMark/>
          </w:tcPr>
          <w:p w14:paraId="0D8D19FA"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4" w:type="dxa"/>
            <w:tcBorders>
              <w:top w:val="nil"/>
              <w:left w:val="nil"/>
              <w:bottom w:val="nil"/>
              <w:right w:val="single" w:sz="4" w:space="0" w:color="auto"/>
            </w:tcBorders>
          </w:tcPr>
          <w:p w14:paraId="792A3CAC"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single" w:sz="4" w:space="0" w:color="auto"/>
              <w:bottom w:val="nil"/>
              <w:right w:val="nil"/>
            </w:tcBorders>
            <w:hideMark/>
          </w:tcPr>
          <w:p w14:paraId="64667CCE"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4ACEE172"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nil"/>
            </w:tcBorders>
          </w:tcPr>
          <w:p w14:paraId="7DABC0DB"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hideMark/>
          </w:tcPr>
          <w:p w14:paraId="411287B9"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single" w:sz="4" w:space="0" w:color="auto"/>
            </w:tcBorders>
            <w:hideMark/>
          </w:tcPr>
          <w:p w14:paraId="7EED88EA"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r>
      <w:tr w:rsidR="002A501D" w:rsidRPr="007F69DA" w14:paraId="61B5E451"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1977DB22" w14:textId="77777777" w:rsidR="002A501D" w:rsidRPr="007F69DA" w:rsidRDefault="002A501D" w:rsidP="00F46ACB">
            <w:pPr>
              <w:spacing w:before="40" w:after="40" w:line="160" w:lineRule="exact"/>
              <w:rPr>
                <w:sz w:val="16"/>
                <w:szCs w:val="16"/>
                <w:lang w:bidi="en-US"/>
              </w:rPr>
            </w:pPr>
            <w:r w:rsidRPr="007F69DA">
              <w:rPr>
                <w:sz w:val="16"/>
                <w:szCs w:val="16"/>
                <w:lang w:bidi="en-US"/>
              </w:rPr>
              <w:t>Litauen</w:t>
            </w:r>
          </w:p>
        </w:tc>
        <w:tc>
          <w:tcPr>
            <w:tcW w:w="793" w:type="dxa"/>
            <w:tcBorders>
              <w:top w:val="nil"/>
              <w:left w:val="single" w:sz="4" w:space="0" w:color="auto"/>
              <w:bottom w:val="nil"/>
              <w:right w:val="nil"/>
            </w:tcBorders>
          </w:tcPr>
          <w:p w14:paraId="261E58BB"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nil"/>
              <w:left w:val="nil"/>
              <w:bottom w:val="nil"/>
              <w:right w:val="nil"/>
            </w:tcBorders>
          </w:tcPr>
          <w:p w14:paraId="753ECC4E"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tcPr>
          <w:p w14:paraId="0530CC64"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single" w:sz="4" w:space="0" w:color="auto"/>
              <w:bottom w:val="nil"/>
              <w:right w:val="nil"/>
            </w:tcBorders>
            <w:hideMark/>
          </w:tcPr>
          <w:p w14:paraId="3C1DDC24"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60931350"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nil"/>
            </w:tcBorders>
            <w:hideMark/>
          </w:tcPr>
          <w:p w14:paraId="0558D3C9"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3BC172D4"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single" w:sz="4" w:space="0" w:color="auto"/>
            </w:tcBorders>
          </w:tcPr>
          <w:p w14:paraId="075EFA53" w14:textId="77777777" w:rsidR="002A501D" w:rsidRPr="007F69DA" w:rsidRDefault="002A501D" w:rsidP="00F46ACB">
            <w:pPr>
              <w:spacing w:before="40" w:after="40" w:line="160" w:lineRule="exact"/>
              <w:jc w:val="center"/>
              <w:rPr>
                <w:sz w:val="16"/>
                <w:szCs w:val="16"/>
                <w:lang w:bidi="en-US"/>
              </w:rPr>
            </w:pPr>
          </w:p>
        </w:tc>
      </w:tr>
      <w:tr w:rsidR="002A501D" w:rsidRPr="007F69DA" w14:paraId="3E482CDC"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1A04F109" w14:textId="77777777" w:rsidR="002A501D" w:rsidRPr="007F69DA" w:rsidRDefault="002A501D" w:rsidP="00F46ACB">
            <w:pPr>
              <w:spacing w:before="40" w:after="40" w:line="160" w:lineRule="exact"/>
              <w:rPr>
                <w:sz w:val="16"/>
                <w:szCs w:val="16"/>
                <w:lang w:bidi="en-US"/>
              </w:rPr>
            </w:pPr>
            <w:r w:rsidRPr="007F69DA">
              <w:rPr>
                <w:sz w:val="16"/>
                <w:szCs w:val="16"/>
                <w:lang w:bidi="en-US"/>
              </w:rPr>
              <w:t>Malaysia</w:t>
            </w:r>
          </w:p>
        </w:tc>
        <w:tc>
          <w:tcPr>
            <w:tcW w:w="793" w:type="dxa"/>
            <w:tcBorders>
              <w:top w:val="nil"/>
              <w:left w:val="single" w:sz="4" w:space="0" w:color="auto"/>
              <w:bottom w:val="nil"/>
              <w:right w:val="nil"/>
            </w:tcBorders>
            <w:hideMark/>
          </w:tcPr>
          <w:p w14:paraId="4A9FB88A"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tcPr>
          <w:p w14:paraId="6C7770E7"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tcPr>
          <w:p w14:paraId="3D3347E7"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single" w:sz="4" w:space="0" w:color="auto"/>
              <w:bottom w:val="nil"/>
              <w:right w:val="nil"/>
            </w:tcBorders>
            <w:hideMark/>
          </w:tcPr>
          <w:p w14:paraId="735A37AA"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67167149"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nil"/>
            </w:tcBorders>
          </w:tcPr>
          <w:p w14:paraId="6304F986"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hideMark/>
          </w:tcPr>
          <w:p w14:paraId="50E57B1F"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single" w:sz="4" w:space="0" w:color="auto"/>
            </w:tcBorders>
            <w:hideMark/>
          </w:tcPr>
          <w:p w14:paraId="0EB12E41"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r>
      <w:tr w:rsidR="002A501D" w:rsidRPr="007F69DA" w14:paraId="6C8F4796"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71EDC511" w14:textId="77777777" w:rsidR="002A501D" w:rsidRPr="007F69DA" w:rsidRDefault="002A501D" w:rsidP="00F46ACB">
            <w:pPr>
              <w:spacing w:before="40" w:after="40" w:line="160" w:lineRule="exact"/>
              <w:rPr>
                <w:sz w:val="16"/>
                <w:szCs w:val="16"/>
                <w:lang w:bidi="en-US"/>
              </w:rPr>
            </w:pPr>
            <w:r w:rsidRPr="007F69DA">
              <w:rPr>
                <w:sz w:val="16"/>
                <w:szCs w:val="16"/>
                <w:lang w:bidi="en-US"/>
              </w:rPr>
              <w:t>Mexiko</w:t>
            </w:r>
          </w:p>
        </w:tc>
        <w:tc>
          <w:tcPr>
            <w:tcW w:w="793" w:type="dxa"/>
            <w:tcBorders>
              <w:top w:val="nil"/>
              <w:left w:val="single" w:sz="4" w:space="0" w:color="auto"/>
              <w:bottom w:val="nil"/>
              <w:right w:val="nil"/>
            </w:tcBorders>
          </w:tcPr>
          <w:p w14:paraId="49AE1283"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nil"/>
              <w:left w:val="nil"/>
              <w:bottom w:val="nil"/>
              <w:right w:val="nil"/>
            </w:tcBorders>
          </w:tcPr>
          <w:p w14:paraId="360916D0"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hideMark/>
          </w:tcPr>
          <w:p w14:paraId="15BD00A2"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single" w:sz="4" w:space="0" w:color="auto"/>
              <w:bottom w:val="nil"/>
              <w:right w:val="nil"/>
            </w:tcBorders>
            <w:hideMark/>
          </w:tcPr>
          <w:p w14:paraId="0ECDFCE1"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0F6AF5CB"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nil"/>
            </w:tcBorders>
            <w:hideMark/>
          </w:tcPr>
          <w:p w14:paraId="15642D1D"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hideMark/>
          </w:tcPr>
          <w:p w14:paraId="3F236623"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single" w:sz="4" w:space="0" w:color="auto"/>
            </w:tcBorders>
            <w:hideMark/>
          </w:tcPr>
          <w:p w14:paraId="4C1213D2"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r>
      <w:tr w:rsidR="002A501D" w:rsidRPr="007F69DA" w14:paraId="35F3B927"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4FBA3FB3" w14:textId="77777777" w:rsidR="002A501D" w:rsidRPr="007F69DA" w:rsidRDefault="002A501D" w:rsidP="00F46ACB">
            <w:pPr>
              <w:spacing w:before="40" w:after="40" w:line="160" w:lineRule="exact"/>
              <w:rPr>
                <w:sz w:val="16"/>
                <w:szCs w:val="16"/>
                <w:lang w:bidi="en-US"/>
              </w:rPr>
            </w:pPr>
            <w:r w:rsidRPr="007F69DA">
              <w:rPr>
                <w:sz w:val="16"/>
                <w:szCs w:val="16"/>
                <w:lang w:bidi="en-US"/>
              </w:rPr>
              <w:t>Mosambik</w:t>
            </w:r>
          </w:p>
        </w:tc>
        <w:tc>
          <w:tcPr>
            <w:tcW w:w="793" w:type="dxa"/>
            <w:tcBorders>
              <w:top w:val="nil"/>
              <w:left w:val="single" w:sz="4" w:space="0" w:color="auto"/>
              <w:bottom w:val="nil"/>
              <w:right w:val="nil"/>
            </w:tcBorders>
          </w:tcPr>
          <w:p w14:paraId="372A99C2"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nil"/>
              <w:left w:val="nil"/>
              <w:bottom w:val="nil"/>
              <w:right w:val="nil"/>
            </w:tcBorders>
          </w:tcPr>
          <w:p w14:paraId="7859783F"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hideMark/>
          </w:tcPr>
          <w:p w14:paraId="1B6701C0"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single" w:sz="4" w:space="0" w:color="auto"/>
              <w:bottom w:val="nil"/>
              <w:right w:val="nil"/>
            </w:tcBorders>
            <w:hideMark/>
          </w:tcPr>
          <w:p w14:paraId="59BAD5C6"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6FA80184"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nil"/>
            </w:tcBorders>
          </w:tcPr>
          <w:p w14:paraId="1B4F1712"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hideMark/>
          </w:tcPr>
          <w:p w14:paraId="4434D997"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single" w:sz="4" w:space="0" w:color="auto"/>
            </w:tcBorders>
          </w:tcPr>
          <w:p w14:paraId="3A8C5DB5" w14:textId="77777777" w:rsidR="002A501D" w:rsidRPr="007F69DA" w:rsidRDefault="002A501D" w:rsidP="00F46ACB">
            <w:pPr>
              <w:spacing w:before="40" w:after="40" w:line="160" w:lineRule="exact"/>
              <w:jc w:val="center"/>
              <w:rPr>
                <w:sz w:val="16"/>
                <w:szCs w:val="16"/>
                <w:lang w:bidi="en-US"/>
              </w:rPr>
            </w:pPr>
          </w:p>
        </w:tc>
      </w:tr>
      <w:tr w:rsidR="002A501D" w:rsidRPr="007F69DA" w14:paraId="464E9468"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6212E32F" w14:textId="77777777" w:rsidR="002A501D" w:rsidRPr="007F69DA" w:rsidRDefault="002A501D" w:rsidP="00F46ACB">
            <w:pPr>
              <w:spacing w:before="40" w:after="40" w:line="160" w:lineRule="exact"/>
              <w:rPr>
                <w:sz w:val="16"/>
                <w:szCs w:val="16"/>
                <w:lang w:bidi="en-US"/>
              </w:rPr>
            </w:pPr>
            <w:r w:rsidRPr="007F69DA">
              <w:rPr>
                <w:sz w:val="16"/>
                <w:szCs w:val="16"/>
                <w:lang w:bidi="en-US"/>
              </w:rPr>
              <w:t>Niederlande</w:t>
            </w:r>
          </w:p>
        </w:tc>
        <w:tc>
          <w:tcPr>
            <w:tcW w:w="793" w:type="dxa"/>
            <w:tcBorders>
              <w:top w:val="nil"/>
              <w:left w:val="single" w:sz="4" w:space="0" w:color="auto"/>
              <w:bottom w:val="nil"/>
              <w:right w:val="nil"/>
            </w:tcBorders>
            <w:hideMark/>
          </w:tcPr>
          <w:p w14:paraId="09A26FFF"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tcPr>
          <w:p w14:paraId="37AF4F05"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hideMark/>
          </w:tcPr>
          <w:p w14:paraId="5B77544C"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single" w:sz="4" w:space="0" w:color="auto"/>
              <w:bottom w:val="nil"/>
              <w:right w:val="nil"/>
            </w:tcBorders>
            <w:hideMark/>
          </w:tcPr>
          <w:p w14:paraId="0BE9CD84"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237DF5A1"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nil"/>
            </w:tcBorders>
          </w:tcPr>
          <w:p w14:paraId="3244EF91"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tcPr>
          <w:p w14:paraId="19A74B7F" w14:textId="77777777" w:rsidR="002A501D" w:rsidRPr="007F69DA" w:rsidRDefault="002A501D" w:rsidP="00F46ACB">
            <w:pPr>
              <w:spacing w:before="40" w:after="40" w:line="160" w:lineRule="exact"/>
              <w:jc w:val="center"/>
              <w:rPr>
                <w:sz w:val="16"/>
                <w:szCs w:val="16"/>
                <w:lang w:bidi="en-US"/>
              </w:rPr>
            </w:pPr>
          </w:p>
        </w:tc>
        <w:tc>
          <w:tcPr>
            <w:tcW w:w="819" w:type="dxa"/>
            <w:tcBorders>
              <w:top w:val="nil"/>
              <w:left w:val="nil"/>
              <w:bottom w:val="nil"/>
              <w:right w:val="single" w:sz="4" w:space="0" w:color="auto"/>
            </w:tcBorders>
          </w:tcPr>
          <w:p w14:paraId="4207F4FE" w14:textId="77777777" w:rsidR="002A501D" w:rsidRPr="007F69DA" w:rsidRDefault="002A501D" w:rsidP="00F46ACB">
            <w:pPr>
              <w:spacing w:before="40" w:after="40" w:line="160" w:lineRule="exact"/>
              <w:jc w:val="center"/>
              <w:rPr>
                <w:sz w:val="16"/>
                <w:szCs w:val="16"/>
                <w:lang w:bidi="en-US"/>
              </w:rPr>
            </w:pPr>
          </w:p>
        </w:tc>
      </w:tr>
      <w:tr w:rsidR="002A501D" w:rsidRPr="007F69DA" w14:paraId="3CD2503F"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4FA03558" w14:textId="77777777" w:rsidR="002A501D" w:rsidRPr="007F69DA" w:rsidRDefault="002A501D" w:rsidP="00F46ACB">
            <w:pPr>
              <w:spacing w:before="40" w:after="40" w:line="160" w:lineRule="exact"/>
              <w:rPr>
                <w:sz w:val="16"/>
                <w:szCs w:val="16"/>
                <w:lang w:bidi="en-US"/>
              </w:rPr>
            </w:pPr>
            <w:r w:rsidRPr="007F69DA">
              <w:rPr>
                <w:sz w:val="16"/>
                <w:szCs w:val="16"/>
                <w:lang w:bidi="en-US"/>
              </w:rPr>
              <w:t>Nigeria</w:t>
            </w:r>
          </w:p>
        </w:tc>
        <w:tc>
          <w:tcPr>
            <w:tcW w:w="793" w:type="dxa"/>
            <w:tcBorders>
              <w:top w:val="nil"/>
              <w:left w:val="single" w:sz="4" w:space="0" w:color="auto"/>
              <w:bottom w:val="nil"/>
              <w:right w:val="nil"/>
            </w:tcBorders>
          </w:tcPr>
          <w:p w14:paraId="502B4975"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nil"/>
              <w:left w:val="nil"/>
              <w:bottom w:val="nil"/>
              <w:right w:val="nil"/>
            </w:tcBorders>
          </w:tcPr>
          <w:p w14:paraId="27ADFB33"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hideMark/>
          </w:tcPr>
          <w:p w14:paraId="588AAA5E"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single" w:sz="4" w:space="0" w:color="auto"/>
              <w:bottom w:val="nil"/>
              <w:right w:val="nil"/>
            </w:tcBorders>
            <w:hideMark/>
          </w:tcPr>
          <w:p w14:paraId="5AB6C5FE"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hideMark/>
          </w:tcPr>
          <w:p w14:paraId="30D6860E"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nil"/>
            </w:tcBorders>
            <w:hideMark/>
          </w:tcPr>
          <w:p w14:paraId="30E18654"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tcPr>
          <w:p w14:paraId="56EB03AE" w14:textId="77777777" w:rsidR="002A501D" w:rsidRPr="007F69DA" w:rsidRDefault="002A501D" w:rsidP="00F46ACB">
            <w:pPr>
              <w:spacing w:before="40" w:after="40" w:line="160" w:lineRule="exact"/>
              <w:jc w:val="center"/>
              <w:rPr>
                <w:sz w:val="16"/>
                <w:szCs w:val="16"/>
                <w:lang w:bidi="en-US"/>
              </w:rPr>
            </w:pPr>
          </w:p>
        </w:tc>
        <w:tc>
          <w:tcPr>
            <w:tcW w:w="819" w:type="dxa"/>
            <w:tcBorders>
              <w:top w:val="nil"/>
              <w:left w:val="nil"/>
              <w:bottom w:val="nil"/>
              <w:right w:val="single" w:sz="4" w:space="0" w:color="auto"/>
            </w:tcBorders>
          </w:tcPr>
          <w:p w14:paraId="10F908C6" w14:textId="77777777" w:rsidR="002A501D" w:rsidRPr="007F69DA" w:rsidRDefault="002A501D" w:rsidP="00F46ACB">
            <w:pPr>
              <w:spacing w:before="40" w:after="40" w:line="160" w:lineRule="exact"/>
              <w:jc w:val="center"/>
              <w:rPr>
                <w:sz w:val="16"/>
                <w:szCs w:val="16"/>
                <w:lang w:bidi="en-US"/>
              </w:rPr>
            </w:pPr>
          </w:p>
        </w:tc>
      </w:tr>
      <w:tr w:rsidR="002A501D" w:rsidRPr="007F69DA" w14:paraId="7E39C04B"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6B5D6331" w14:textId="77777777" w:rsidR="002A501D" w:rsidRPr="007F69DA" w:rsidRDefault="002A501D" w:rsidP="00F46ACB">
            <w:pPr>
              <w:spacing w:before="40" w:after="40" w:line="160" w:lineRule="exact"/>
              <w:rPr>
                <w:sz w:val="16"/>
                <w:szCs w:val="16"/>
                <w:lang w:bidi="en-US"/>
              </w:rPr>
            </w:pPr>
            <w:r w:rsidRPr="007F69DA">
              <w:rPr>
                <w:sz w:val="16"/>
                <w:szCs w:val="16"/>
                <w:lang w:bidi="en-US"/>
              </w:rPr>
              <w:t>Pakistan</w:t>
            </w:r>
          </w:p>
        </w:tc>
        <w:tc>
          <w:tcPr>
            <w:tcW w:w="793" w:type="dxa"/>
            <w:tcBorders>
              <w:top w:val="nil"/>
              <w:left w:val="single" w:sz="4" w:space="0" w:color="auto"/>
              <w:bottom w:val="nil"/>
              <w:right w:val="nil"/>
            </w:tcBorders>
          </w:tcPr>
          <w:p w14:paraId="78B334A0"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nil"/>
              <w:left w:val="nil"/>
              <w:bottom w:val="nil"/>
              <w:right w:val="nil"/>
            </w:tcBorders>
          </w:tcPr>
          <w:p w14:paraId="0DF6D8A3"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tcPr>
          <w:p w14:paraId="51E19817"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single" w:sz="4" w:space="0" w:color="auto"/>
              <w:bottom w:val="nil"/>
              <w:right w:val="nil"/>
            </w:tcBorders>
            <w:hideMark/>
          </w:tcPr>
          <w:p w14:paraId="56949102"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1C8BCDB9"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nil"/>
            </w:tcBorders>
            <w:hideMark/>
          </w:tcPr>
          <w:p w14:paraId="3A5FFD70"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tcPr>
          <w:p w14:paraId="0F8A7341" w14:textId="77777777" w:rsidR="002A501D" w:rsidRPr="007F69DA" w:rsidRDefault="002A501D" w:rsidP="00F46ACB">
            <w:pPr>
              <w:spacing w:before="40" w:after="40" w:line="160" w:lineRule="exact"/>
              <w:jc w:val="center"/>
              <w:rPr>
                <w:sz w:val="16"/>
                <w:szCs w:val="16"/>
                <w:lang w:bidi="en-US"/>
              </w:rPr>
            </w:pPr>
          </w:p>
        </w:tc>
        <w:tc>
          <w:tcPr>
            <w:tcW w:w="819" w:type="dxa"/>
            <w:tcBorders>
              <w:top w:val="nil"/>
              <w:left w:val="nil"/>
              <w:bottom w:val="nil"/>
              <w:right w:val="single" w:sz="4" w:space="0" w:color="auto"/>
            </w:tcBorders>
          </w:tcPr>
          <w:p w14:paraId="4D74359E" w14:textId="77777777" w:rsidR="002A501D" w:rsidRPr="007F69DA" w:rsidRDefault="002A501D" w:rsidP="00F46ACB">
            <w:pPr>
              <w:spacing w:before="40" w:after="40" w:line="160" w:lineRule="exact"/>
              <w:jc w:val="center"/>
              <w:rPr>
                <w:sz w:val="16"/>
                <w:szCs w:val="16"/>
                <w:lang w:bidi="en-US"/>
              </w:rPr>
            </w:pPr>
          </w:p>
        </w:tc>
      </w:tr>
      <w:tr w:rsidR="002A501D" w:rsidRPr="007F69DA" w14:paraId="07C3BB31"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0892EB8B" w14:textId="77777777" w:rsidR="002A501D" w:rsidRPr="007F69DA" w:rsidRDefault="002A501D" w:rsidP="00F46ACB">
            <w:pPr>
              <w:spacing w:before="40" w:after="40" w:line="160" w:lineRule="exact"/>
              <w:rPr>
                <w:sz w:val="16"/>
                <w:szCs w:val="16"/>
                <w:lang w:bidi="en-US"/>
              </w:rPr>
            </w:pPr>
            <w:r w:rsidRPr="007F69DA">
              <w:rPr>
                <w:sz w:val="16"/>
                <w:szCs w:val="16"/>
                <w:lang w:bidi="en-US"/>
              </w:rPr>
              <w:t>Paraguay</w:t>
            </w:r>
          </w:p>
        </w:tc>
        <w:tc>
          <w:tcPr>
            <w:tcW w:w="793" w:type="dxa"/>
            <w:tcBorders>
              <w:top w:val="nil"/>
              <w:left w:val="single" w:sz="4" w:space="0" w:color="auto"/>
              <w:bottom w:val="nil"/>
              <w:right w:val="nil"/>
            </w:tcBorders>
          </w:tcPr>
          <w:p w14:paraId="0762F55D"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nil"/>
              <w:left w:val="nil"/>
              <w:bottom w:val="nil"/>
              <w:right w:val="nil"/>
            </w:tcBorders>
          </w:tcPr>
          <w:p w14:paraId="7A6B974C"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tcPr>
          <w:p w14:paraId="0C982663"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single" w:sz="4" w:space="0" w:color="auto"/>
              <w:bottom w:val="nil"/>
              <w:right w:val="nil"/>
            </w:tcBorders>
            <w:hideMark/>
          </w:tcPr>
          <w:p w14:paraId="44056D78"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tcPr>
          <w:p w14:paraId="1F4575B4" w14:textId="77777777" w:rsidR="002A501D" w:rsidRPr="007F69DA" w:rsidRDefault="002A501D" w:rsidP="00F46ACB">
            <w:pPr>
              <w:spacing w:before="40" w:after="40" w:line="160" w:lineRule="exact"/>
              <w:jc w:val="center"/>
              <w:rPr>
                <w:sz w:val="16"/>
                <w:szCs w:val="16"/>
                <w:lang w:bidi="en-US"/>
              </w:rPr>
            </w:pPr>
          </w:p>
        </w:tc>
        <w:tc>
          <w:tcPr>
            <w:tcW w:w="819" w:type="dxa"/>
            <w:tcBorders>
              <w:top w:val="nil"/>
              <w:left w:val="nil"/>
              <w:bottom w:val="nil"/>
              <w:right w:val="nil"/>
            </w:tcBorders>
            <w:hideMark/>
          </w:tcPr>
          <w:p w14:paraId="46C13D74"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hideMark/>
          </w:tcPr>
          <w:p w14:paraId="7E5F546B"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single" w:sz="4" w:space="0" w:color="auto"/>
            </w:tcBorders>
          </w:tcPr>
          <w:p w14:paraId="2A367F70" w14:textId="77777777" w:rsidR="002A501D" w:rsidRPr="007F69DA" w:rsidRDefault="002A501D" w:rsidP="00F46ACB">
            <w:pPr>
              <w:spacing w:before="40" w:after="40" w:line="160" w:lineRule="exact"/>
              <w:jc w:val="center"/>
              <w:rPr>
                <w:sz w:val="16"/>
                <w:szCs w:val="16"/>
                <w:lang w:bidi="en-US"/>
              </w:rPr>
            </w:pPr>
          </w:p>
        </w:tc>
      </w:tr>
      <w:tr w:rsidR="002A501D" w:rsidRPr="007F69DA" w14:paraId="52F82648"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7AF0EF8F" w14:textId="77777777" w:rsidR="002A501D" w:rsidRPr="007F69DA" w:rsidRDefault="002A501D" w:rsidP="00F46ACB">
            <w:pPr>
              <w:spacing w:before="40" w:after="40" w:line="160" w:lineRule="exact"/>
              <w:rPr>
                <w:sz w:val="16"/>
                <w:szCs w:val="16"/>
                <w:lang w:bidi="en-US"/>
              </w:rPr>
            </w:pPr>
            <w:r w:rsidRPr="007F69DA">
              <w:rPr>
                <w:sz w:val="16"/>
                <w:szCs w:val="16"/>
                <w:lang w:bidi="en-US"/>
              </w:rPr>
              <w:t>Peru</w:t>
            </w:r>
          </w:p>
        </w:tc>
        <w:tc>
          <w:tcPr>
            <w:tcW w:w="793" w:type="dxa"/>
            <w:tcBorders>
              <w:top w:val="nil"/>
              <w:left w:val="single" w:sz="4" w:space="0" w:color="auto"/>
              <w:bottom w:val="nil"/>
              <w:right w:val="nil"/>
            </w:tcBorders>
          </w:tcPr>
          <w:p w14:paraId="082339F6"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nil"/>
              <w:left w:val="nil"/>
              <w:bottom w:val="nil"/>
              <w:right w:val="nil"/>
            </w:tcBorders>
          </w:tcPr>
          <w:p w14:paraId="4A735354"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hideMark/>
          </w:tcPr>
          <w:p w14:paraId="4550A9DD"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single" w:sz="4" w:space="0" w:color="auto"/>
              <w:bottom w:val="nil"/>
              <w:right w:val="nil"/>
            </w:tcBorders>
            <w:hideMark/>
          </w:tcPr>
          <w:p w14:paraId="42914FCA"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5BAEBD51"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nil"/>
            </w:tcBorders>
          </w:tcPr>
          <w:p w14:paraId="59A1AA76"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tcPr>
          <w:p w14:paraId="2A154922" w14:textId="77777777" w:rsidR="002A501D" w:rsidRPr="007F69DA" w:rsidRDefault="002A501D" w:rsidP="00F46ACB">
            <w:pPr>
              <w:spacing w:before="40" w:after="40" w:line="160" w:lineRule="exact"/>
              <w:jc w:val="center"/>
              <w:rPr>
                <w:sz w:val="16"/>
                <w:szCs w:val="16"/>
                <w:lang w:bidi="en-US"/>
              </w:rPr>
            </w:pPr>
          </w:p>
        </w:tc>
        <w:tc>
          <w:tcPr>
            <w:tcW w:w="819" w:type="dxa"/>
            <w:tcBorders>
              <w:top w:val="nil"/>
              <w:left w:val="nil"/>
              <w:bottom w:val="nil"/>
              <w:right w:val="single" w:sz="4" w:space="0" w:color="auto"/>
            </w:tcBorders>
          </w:tcPr>
          <w:p w14:paraId="0DA37625" w14:textId="77777777" w:rsidR="002A501D" w:rsidRPr="007F69DA" w:rsidRDefault="002A501D" w:rsidP="00F46ACB">
            <w:pPr>
              <w:spacing w:before="40" w:after="40" w:line="160" w:lineRule="exact"/>
              <w:jc w:val="center"/>
              <w:rPr>
                <w:sz w:val="16"/>
                <w:szCs w:val="16"/>
                <w:lang w:bidi="en-US"/>
              </w:rPr>
            </w:pPr>
          </w:p>
        </w:tc>
      </w:tr>
      <w:tr w:rsidR="002A501D" w:rsidRPr="007F69DA" w14:paraId="3474ADFE"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14E184E1" w14:textId="77777777" w:rsidR="002A501D" w:rsidRPr="007F69DA" w:rsidRDefault="002A501D" w:rsidP="00F46ACB">
            <w:pPr>
              <w:spacing w:before="40" w:after="40" w:line="160" w:lineRule="exact"/>
              <w:rPr>
                <w:sz w:val="16"/>
                <w:szCs w:val="16"/>
                <w:lang w:bidi="en-US"/>
              </w:rPr>
            </w:pPr>
            <w:r w:rsidRPr="007F69DA">
              <w:rPr>
                <w:sz w:val="16"/>
                <w:szCs w:val="16"/>
                <w:lang w:bidi="en-US"/>
              </w:rPr>
              <w:t>Philippinen</w:t>
            </w:r>
          </w:p>
        </w:tc>
        <w:tc>
          <w:tcPr>
            <w:tcW w:w="793" w:type="dxa"/>
            <w:tcBorders>
              <w:top w:val="nil"/>
              <w:left w:val="single" w:sz="4" w:space="0" w:color="auto"/>
              <w:bottom w:val="nil"/>
              <w:right w:val="nil"/>
            </w:tcBorders>
          </w:tcPr>
          <w:p w14:paraId="2AB374B8"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nil"/>
              <w:left w:val="nil"/>
              <w:bottom w:val="nil"/>
              <w:right w:val="nil"/>
            </w:tcBorders>
            <w:hideMark/>
          </w:tcPr>
          <w:p w14:paraId="41918D89"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4" w:type="dxa"/>
            <w:tcBorders>
              <w:top w:val="nil"/>
              <w:left w:val="nil"/>
              <w:bottom w:val="nil"/>
              <w:right w:val="single" w:sz="4" w:space="0" w:color="auto"/>
            </w:tcBorders>
          </w:tcPr>
          <w:p w14:paraId="07EFA0AE"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single" w:sz="4" w:space="0" w:color="auto"/>
              <w:bottom w:val="nil"/>
              <w:right w:val="nil"/>
            </w:tcBorders>
            <w:hideMark/>
          </w:tcPr>
          <w:p w14:paraId="0EF3F9DF"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40C59E81"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nil"/>
            </w:tcBorders>
            <w:hideMark/>
          </w:tcPr>
          <w:p w14:paraId="785E8111"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tcPr>
          <w:p w14:paraId="5C8A70F2" w14:textId="77777777" w:rsidR="002A501D" w:rsidRPr="007F69DA" w:rsidRDefault="002A501D" w:rsidP="00F46ACB">
            <w:pPr>
              <w:spacing w:before="40" w:after="40" w:line="160" w:lineRule="exact"/>
              <w:jc w:val="center"/>
              <w:rPr>
                <w:sz w:val="16"/>
                <w:szCs w:val="16"/>
                <w:lang w:bidi="en-US"/>
              </w:rPr>
            </w:pPr>
          </w:p>
        </w:tc>
        <w:tc>
          <w:tcPr>
            <w:tcW w:w="819" w:type="dxa"/>
            <w:tcBorders>
              <w:top w:val="nil"/>
              <w:left w:val="nil"/>
              <w:bottom w:val="nil"/>
              <w:right w:val="single" w:sz="4" w:space="0" w:color="auto"/>
            </w:tcBorders>
            <w:hideMark/>
          </w:tcPr>
          <w:p w14:paraId="461BD2D9"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r>
      <w:tr w:rsidR="002A501D" w:rsidRPr="007F69DA" w14:paraId="0CF80407" w14:textId="77777777" w:rsidTr="00F46ACB">
        <w:trPr>
          <w:trHeight w:val="139"/>
        </w:trPr>
        <w:tc>
          <w:tcPr>
            <w:tcW w:w="1075" w:type="dxa"/>
            <w:tcBorders>
              <w:top w:val="nil"/>
              <w:left w:val="single" w:sz="4" w:space="0" w:color="auto"/>
              <w:bottom w:val="nil"/>
              <w:right w:val="single" w:sz="4" w:space="0" w:color="auto"/>
            </w:tcBorders>
            <w:shd w:val="clear" w:color="auto" w:fill="FFF2CC" w:themeFill="accent4" w:themeFillTint="33"/>
            <w:hideMark/>
          </w:tcPr>
          <w:p w14:paraId="7B43B6F9" w14:textId="77777777" w:rsidR="002A501D" w:rsidRPr="007F69DA" w:rsidRDefault="002A501D" w:rsidP="00F46ACB">
            <w:pPr>
              <w:spacing w:before="40" w:after="40" w:line="160" w:lineRule="exact"/>
              <w:rPr>
                <w:sz w:val="16"/>
                <w:szCs w:val="16"/>
                <w:lang w:bidi="en-US"/>
              </w:rPr>
            </w:pPr>
            <w:r w:rsidRPr="007F69DA">
              <w:rPr>
                <w:sz w:val="16"/>
                <w:szCs w:val="16"/>
                <w:lang w:bidi="en-US"/>
              </w:rPr>
              <w:t>Polen</w:t>
            </w:r>
          </w:p>
        </w:tc>
        <w:tc>
          <w:tcPr>
            <w:tcW w:w="793" w:type="dxa"/>
            <w:tcBorders>
              <w:top w:val="nil"/>
              <w:left w:val="single" w:sz="4" w:space="0" w:color="auto"/>
              <w:bottom w:val="nil"/>
              <w:right w:val="nil"/>
            </w:tcBorders>
            <w:hideMark/>
          </w:tcPr>
          <w:p w14:paraId="6FCF5628"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tcPr>
          <w:p w14:paraId="0029255C"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hideMark/>
          </w:tcPr>
          <w:p w14:paraId="458AF265"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single" w:sz="4" w:space="0" w:color="auto"/>
              <w:bottom w:val="nil"/>
              <w:right w:val="nil"/>
            </w:tcBorders>
            <w:hideMark/>
          </w:tcPr>
          <w:p w14:paraId="7E81DA77"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56A70449"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nil"/>
            </w:tcBorders>
            <w:hideMark/>
          </w:tcPr>
          <w:p w14:paraId="605C4480"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hideMark/>
          </w:tcPr>
          <w:p w14:paraId="4EBCD67D"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single" w:sz="4" w:space="0" w:color="auto"/>
            </w:tcBorders>
          </w:tcPr>
          <w:p w14:paraId="3D7D5A25" w14:textId="77777777" w:rsidR="002A501D" w:rsidRPr="007F69DA" w:rsidRDefault="002A501D" w:rsidP="00F46ACB">
            <w:pPr>
              <w:spacing w:before="40" w:after="40" w:line="160" w:lineRule="exact"/>
              <w:jc w:val="center"/>
              <w:rPr>
                <w:sz w:val="16"/>
                <w:szCs w:val="16"/>
                <w:lang w:bidi="en-US"/>
              </w:rPr>
            </w:pPr>
          </w:p>
        </w:tc>
      </w:tr>
      <w:tr w:rsidR="002A501D" w:rsidRPr="007F69DA" w14:paraId="0AF83EAF" w14:textId="77777777" w:rsidTr="00F46ACB">
        <w:trPr>
          <w:trHeight w:val="142"/>
        </w:trPr>
        <w:tc>
          <w:tcPr>
            <w:tcW w:w="1075" w:type="dxa"/>
            <w:tcBorders>
              <w:top w:val="nil"/>
              <w:left w:val="single" w:sz="4" w:space="0" w:color="auto"/>
              <w:bottom w:val="nil"/>
              <w:right w:val="single" w:sz="4" w:space="0" w:color="auto"/>
            </w:tcBorders>
            <w:shd w:val="clear" w:color="auto" w:fill="FFF2CC" w:themeFill="accent4" w:themeFillTint="33"/>
            <w:hideMark/>
          </w:tcPr>
          <w:p w14:paraId="21BF3811" w14:textId="77777777" w:rsidR="002A501D" w:rsidRPr="007F69DA" w:rsidRDefault="002A501D" w:rsidP="00F46ACB">
            <w:pPr>
              <w:spacing w:before="40" w:after="40" w:line="160" w:lineRule="exact"/>
              <w:rPr>
                <w:sz w:val="16"/>
                <w:szCs w:val="16"/>
                <w:lang w:bidi="en-US"/>
              </w:rPr>
            </w:pPr>
            <w:r w:rsidRPr="007F69DA">
              <w:rPr>
                <w:sz w:val="16"/>
                <w:szCs w:val="16"/>
                <w:lang w:bidi="en-US"/>
              </w:rPr>
              <w:t>Schweiz</w:t>
            </w:r>
          </w:p>
        </w:tc>
        <w:tc>
          <w:tcPr>
            <w:tcW w:w="793" w:type="dxa"/>
            <w:tcBorders>
              <w:top w:val="nil"/>
              <w:left w:val="single" w:sz="4" w:space="0" w:color="auto"/>
              <w:bottom w:val="nil"/>
              <w:right w:val="nil"/>
            </w:tcBorders>
            <w:hideMark/>
          </w:tcPr>
          <w:p w14:paraId="3FD6AE81"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tcPr>
          <w:p w14:paraId="29F16BE6"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tcPr>
          <w:p w14:paraId="2DC512A6"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single" w:sz="4" w:space="0" w:color="auto"/>
              <w:bottom w:val="nil"/>
              <w:right w:val="nil"/>
            </w:tcBorders>
            <w:hideMark/>
          </w:tcPr>
          <w:p w14:paraId="7C6937B4"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6B8AE694"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nil"/>
            </w:tcBorders>
          </w:tcPr>
          <w:p w14:paraId="4ABCB513"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hideMark/>
          </w:tcPr>
          <w:p w14:paraId="447B76BD"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single" w:sz="4" w:space="0" w:color="auto"/>
            </w:tcBorders>
          </w:tcPr>
          <w:p w14:paraId="4F870C86" w14:textId="77777777" w:rsidR="002A501D" w:rsidRPr="007F69DA" w:rsidRDefault="002A501D" w:rsidP="00F46ACB">
            <w:pPr>
              <w:spacing w:before="40" w:after="40" w:line="160" w:lineRule="exact"/>
              <w:jc w:val="center"/>
              <w:rPr>
                <w:sz w:val="16"/>
                <w:szCs w:val="16"/>
                <w:lang w:bidi="en-US"/>
              </w:rPr>
            </w:pPr>
          </w:p>
        </w:tc>
      </w:tr>
      <w:tr w:rsidR="002A501D" w:rsidRPr="007F69DA" w14:paraId="7D2DAFB5" w14:textId="77777777" w:rsidTr="00F46ACB">
        <w:trPr>
          <w:trHeight w:val="142"/>
        </w:trPr>
        <w:tc>
          <w:tcPr>
            <w:tcW w:w="1075" w:type="dxa"/>
            <w:tcBorders>
              <w:top w:val="nil"/>
              <w:left w:val="single" w:sz="4" w:space="0" w:color="auto"/>
              <w:bottom w:val="nil"/>
              <w:right w:val="single" w:sz="4" w:space="0" w:color="auto"/>
            </w:tcBorders>
            <w:shd w:val="clear" w:color="auto" w:fill="FFF2CC" w:themeFill="accent4" w:themeFillTint="33"/>
            <w:hideMark/>
          </w:tcPr>
          <w:p w14:paraId="7089766B" w14:textId="77777777" w:rsidR="002A501D" w:rsidRPr="007F69DA" w:rsidRDefault="002A501D" w:rsidP="00F46ACB">
            <w:pPr>
              <w:spacing w:before="40" w:after="40" w:line="160" w:lineRule="exact"/>
              <w:rPr>
                <w:sz w:val="16"/>
                <w:szCs w:val="16"/>
                <w:lang w:bidi="en-US"/>
              </w:rPr>
            </w:pPr>
            <w:r w:rsidRPr="007F69DA">
              <w:rPr>
                <w:sz w:val="16"/>
                <w:szCs w:val="16"/>
                <w:lang w:bidi="en-US"/>
              </w:rPr>
              <w:t>Simbabwe</w:t>
            </w:r>
          </w:p>
        </w:tc>
        <w:tc>
          <w:tcPr>
            <w:tcW w:w="793" w:type="dxa"/>
            <w:tcBorders>
              <w:top w:val="nil"/>
              <w:left w:val="single" w:sz="4" w:space="0" w:color="auto"/>
              <w:bottom w:val="nil"/>
              <w:right w:val="nil"/>
            </w:tcBorders>
          </w:tcPr>
          <w:p w14:paraId="6490E593"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nil"/>
              <w:left w:val="nil"/>
              <w:bottom w:val="nil"/>
              <w:right w:val="nil"/>
            </w:tcBorders>
          </w:tcPr>
          <w:p w14:paraId="25C4183D"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tcPr>
          <w:p w14:paraId="6EE29BD9"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single" w:sz="4" w:space="0" w:color="auto"/>
              <w:bottom w:val="nil"/>
              <w:right w:val="nil"/>
            </w:tcBorders>
            <w:hideMark/>
          </w:tcPr>
          <w:p w14:paraId="0681BCCF"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3A35171C"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nil"/>
            </w:tcBorders>
          </w:tcPr>
          <w:p w14:paraId="21C452B5"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tcPr>
          <w:p w14:paraId="03A5B2D0" w14:textId="77777777" w:rsidR="002A501D" w:rsidRPr="007F69DA" w:rsidRDefault="002A501D" w:rsidP="00F46ACB">
            <w:pPr>
              <w:spacing w:before="40" w:after="40" w:line="160" w:lineRule="exact"/>
              <w:jc w:val="center"/>
              <w:rPr>
                <w:sz w:val="16"/>
                <w:szCs w:val="16"/>
                <w:lang w:bidi="en-US"/>
              </w:rPr>
            </w:pPr>
          </w:p>
        </w:tc>
        <w:tc>
          <w:tcPr>
            <w:tcW w:w="819" w:type="dxa"/>
            <w:tcBorders>
              <w:top w:val="nil"/>
              <w:left w:val="nil"/>
              <w:bottom w:val="nil"/>
              <w:right w:val="single" w:sz="4" w:space="0" w:color="auto"/>
            </w:tcBorders>
          </w:tcPr>
          <w:p w14:paraId="06C98CDD" w14:textId="77777777" w:rsidR="002A501D" w:rsidRPr="007F69DA" w:rsidRDefault="002A501D" w:rsidP="00F46ACB">
            <w:pPr>
              <w:spacing w:before="40" w:after="40" w:line="160" w:lineRule="exact"/>
              <w:jc w:val="center"/>
              <w:rPr>
                <w:sz w:val="16"/>
                <w:szCs w:val="16"/>
                <w:lang w:bidi="en-US"/>
              </w:rPr>
            </w:pPr>
          </w:p>
        </w:tc>
      </w:tr>
      <w:tr w:rsidR="002A501D" w:rsidRPr="007F69DA" w14:paraId="127B1329" w14:textId="77777777" w:rsidTr="00F46ACB">
        <w:trPr>
          <w:trHeight w:val="142"/>
        </w:trPr>
        <w:tc>
          <w:tcPr>
            <w:tcW w:w="1075" w:type="dxa"/>
            <w:tcBorders>
              <w:top w:val="nil"/>
              <w:left w:val="single" w:sz="4" w:space="0" w:color="auto"/>
              <w:bottom w:val="nil"/>
              <w:right w:val="single" w:sz="4" w:space="0" w:color="auto"/>
            </w:tcBorders>
            <w:shd w:val="clear" w:color="auto" w:fill="FFF2CC" w:themeFill="accent4" w:themeFillTint="33"/>
            <w:hideMark/>
          </w:tcPr>
          <w:p w14:paraId="5CBAA026" w14:textId="77777777" w:rsidR="002A501D" w:rsidRPr="007F69DA" w:rsidRDefault="002A501D" w:rsidP="00F46ACB">
            <w:pPr>
              <w:spacing w:before="40" w:after="40" w:line="160" w:lineRule="exact"/>
              <w:rPr>
                <w:sz w:val="16"/>
                <w:szCs w:val="16"/>
                <w:lang w:bidi="en-US"/>
              </w:rPr>
            </w:pPr>
            <w:r w:rsidRPr="007F69DA">
              <w:rPr>
                <w:sz w:val="16"/>
                <w:szCs w:val="16"/>
                <w:lang w:bidi="en-US"/>
              </w:rPr>
              <w:t>Spanien</w:t>
            </w:r>
          </w:p>
        </w:tc>
        <w:tc>
          <w:tcPr>
            <w:tcW w:w="793" w:type="dxa"/>
            <w:tcBorders>
              <w:top w:val="nil"/>
              <w:left w:val="single" w:sz="4" w:space="0" w:color="auto"/>
              <w:bottom w:val="nil"/>
              <w:right w:val="nil"/>
            </w:tcBorders>
            <w:hideMark/>
          </w:tcPr>
          <w:p w14:paraId="7E9EB322"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tcPr>
          <w:p w14:paraId="294B1DAF"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tcPr>
          <w:p w14:paraId="41BE7FA4"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single" w:sz="4" w:space="0" w:color="auto"/>
              <w:bottom w:val="nil"/>
              <w:right w:val="nil"/>
            </w:tcBorders>
            <w:hideMark/>
          </w:tcPr>
          <w:p w14:paraId="443391D7"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096EC817"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nil"/>
            </w:tcBorders>
          </w:tcPr>
          <w:p w14:paraId="79FECBCE"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hideMark/>
          </w:tcPr>
          <w:p w14:paraId="3EDD998B"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single" w:sz="4" w:space="0" w:color="auto"/>
            </w:tcBorders>
          </w:tcPr>
          <w:p w14:paraId="56583F23" w14:textId="77777777" w:rsidR="002A501D" w:rsidRPr="007F69DA" w:rsidRDefault="002A501D" w:rsidP="00F46ACB">
            <w:pPr>
              <w:spacing w:before="40" w:after="40" w:line="160" w:lineRule="exact"/>
              <w:jc w:val="center"/>
              <w:rPr>
                <w:sz w:val="16"/>
                <w:szCs w:val="16"/>
                <w:lang w:bidi="en-US"/>
              </w:rPr>
            </w:pPr>
          </w:p>
        </w:tc>
      </w:tr>
      <w:tr w:rsidR="002A501D" w:rsidRPr="007F69DA" w14:paraId="485AC717" w14:textId="77777777" w:rsidTr="00F46ACB">
        <w:trPr>
          <w:trHeight w:val="142"/>
        </w:trPr>
        <w:tc>
          <w:tcPr>
            <w:tcW w:w="1075" w:type="dxa"/>
            <w:tcBorders>
              <w:top w:val="nil"/>
              <w:left w:val="single" w:sz="4" w:space="0" w:color="auto"/>
              <w:bottom w:val="nil"/>
              <w:right w:val="single" w:sz="4" w:space="0" w:color="auto"/>
            </w:tcBorders>
            <w:shd w:val="clear" w:color="auto" w:fill="FFF2CC" w:themeFill="accent4" w:themeFillTint="33"/>
            <w:hideMark/>
          </w:tcPr>
          <w:p w14:paraId="169ABF86" w14:textId="77777777" w:rsidR="002A501D" w:rsidRPr="007F69DA" w:rsidRDefault="002A501D" w:rsidP="00F46ACB">
            <w:pPr>
              <w:spacing w:before="40" w:after="40" w:line="160" w:lineRule="exact"/>
              <w:rPr>
                <w:sz w:val="16"/>
                <w:szCs w:val="16"/>
                <w:lang w:bidi="en-US"/>
              </w:rPr>
            </w:pPr>
            <w:r w:rsidRPr="007F69DA">
              <w:rPr>
                <w:sz w:val="16"/>
                <w:szCs w:val="16"/>
                <w:lang w:bidi="en-US"/>
              </w:rPr>
              <w:t>Südafrika</w:t>
            </w:r>
          </w:p>
        </w:tc>
        <w:tc>
          <w:tcPr>
            <w:tcW w:w="793" w:type="dxa"/>
            <w:tcBorders>
              <w:top w:val="nil"/>
              <w:left w:val="single" w:sz="4" w:space="0" w:color="auto"/>
              <w:bottom w:val="nil"/>
              <w:right w:val="nil"/>
            </w:tcBorders>
          </w:tcPr>
          <w:p w14:paraId="49B230ED"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nil"/>
              <w:left w:val="nil"/>
              <w:bottom w:val="nil"/>
              <w:right w:val="nil"/>
            </w:tcBorders>
            <w:hideMark/>
          </w:tcPr>
          <w:p w14:paraId="540BC53E"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4" w:type="dxa"/>
            <w:tcBorders>
              <w:top w:val="nil"/>
              <w:left w:val="nil"/>
              <w:bottom w:val="nil"/>
              <w:right w:val="single" w:sz="4" w:space="0" w:color="auto"/>
            </w:tcBorders>
            <w:hideMark/>
          </w:tcPr>
          <w:p w14:paraId="629AD0DC"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single" w:sz="4" w:space="0" w:color="auto"/>
              <w:bottom w:val="nil"/>
              <w:right w:val="nil"/>
            </w:tcBorders>
            <w:hideMark/>
          </w:tcPr>
          <w:p w14:paraId="684B72FE"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hideMark/>
          </w:tcPr>
          <w:p w14:paraId="318769C5"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nil"/>
            </w:tcBorders>
            <w:hideMark/>
          </w:tcPr>
          <w:p w14:paraId="32F168D5"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hideMark/>
          </w:tcPr>
          <w:p w14:paraId="724F8B0B"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single" w:sz="4" w:space="0" w:color="auto"/>
            </w:tcBorders>
          </w:tcPr>
          <w:p w14:paraId="709612C3" w14:textId="77777777" w:rsidR="002A501D" w:rsidRPr="007F69DA" w:rsidRDefault="002A501D" w:rsidP="00F46ACB">
            <w:pPr>
              <w:spacing w:before="40" w:after="40" w:line="160" w:lineRule="exact"/>
              <w:jc w:val="center"/>
              <w:rPr>
                <w:sz w:val="16"/>
                <w:szCs w:val="16"/>
                <w:lang w:bidi="en-US"/>
              </w:rPr>
            </w:pPr>
          </w:p>
        </w:tc>
      </w:tr>
      <w:tr w:rsidR="002A501D" w:rsidRPr="007F69DA" w14:paraId="45394E28" w14:textId="77777777" w:rsidTr="00F46ACB">
        <w:trPr>
          <w:trHeight w:val="142"/>
        </w:trPr>
        <w:tc>
          <w:tcPr>
            <w:tcW w:w="1075" w:type="dxa"/>
            <w:tcBorders>
              <w:top w:val="nil"/>
              <w:left w:val="single" w:sz="4" w:space="0" w:color="auto"/>
              <w:bottom w:val="nil"/>
              <w:right w:val="single" w:sz="4" w:space="0" w:color="auto"/>
            </w:tcBorders>
            <w:shd w:val="clear" w:color="auto" w:fill="FFF2CC" w:themeFill="accent4" w:themeFillTint="33"/>
            <w:hideMark/>
          </w:tcPr>
          <w:p w14:paraId="5D9487C2" w14:textId="77777777" w:rsidR="002A501D" w:rsidRPr="007F69DA" w:rsidRDefault="002A501D" w:rsidP="00F46ACB">
            <w:pPr>
              <w:spacing w:before="40" w:after="40" w:line="160" w:lineRule="exact"/>
              <w:rPr>
                <w:sz w:val="16"/>
                <w:szCs w:val="16"/>
                <w:lang w:bidi="en-US"/>
              </w:rPr>
            </w:pPr>
            <w:r w:rsidRPr="007F69DA">
              <w:rPr>
                <w:sz w:val="16"/>
                <w:szCs w:val="16"/>
                <w:lang w:bidi="en-US"/>
              </w:rPr>
              <w:t>Südkorea</w:t>
            </w:r>
          </w:p>
        </w:tc>
        <w:tc>
          <w:tcPr>
            <w:tcW w:w="793" w:type="dxa"/>
            <w:tcBorders>
              <w:top w:val="nil"/>
              <w:left w:val="single" w:sz="4" w:space="0" w:color="auto"/>
              <w:bottom w:val="nil"/>
              <w:right w:val="nil"/>
            </w:tcBorders>
            <w:hideMark/>
          </w:tcPr>
          <w:p w14:paraId="2629057B"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tcPr>
          <w:p w14:paraId="0EC3F7A9"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hideMark/>
          </w:tcPr>
          <w:p w14:paraId="0F00B5CF"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single" w:sz="4" w:space="0" w:color="auto"/>
              <w:bottom w:val="nil"/>
              <w:right w:val="nil"/>
            </w:tcBorders>
          </w:tcPr>
          <w:p w14:paraId="294B8E82"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hideMark/>
          </w:tcPr>
          <w:p w14:paraId="52A6CF91"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nil"/>
            </w:tcBorders>
            <w:hideMark/>
          </w:tcPr>
          <w:p w14:paraId="6475CC4F"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tcPr>
          <w:p w14:paraId="162BDC5A" w14:textId="77777777" w:rsidR="002A501D" w:rsidRPr="007F69DA" w:rsidRDefault="002A501D" w:rsidP="00F46ACB">
            <w:pPr>
              <w:spacing w:before="40" w:after="40" w:line="160" w:lineRule="exact"/>
              <w:jc w:val="center"/>
              <w:rPr>
                <w:sz w:val="16"/>
                <w:szCs w:val="16"/>
                <w:lang w:bidi="en-US"/>
              </w:rPr>
            </w:pPr>
          </w:p>
        </w:tc>
        <w:tc>
          <w:tcPr>
            <w:tcW w:w="819" w:type="dxa"/>
            <w:tcBorders>
              <w:top w:val="nil"/>
              <w:left w:val="nil"/>
              <w:bottom w:val="nil"/>
              <w:right w:val="single" w:sz="4" w:space="0" w:color="auto"/>
            </w:tcBorders>
          </w:tcPr>
          <w:p w14:paraId="2BB12085"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r>
      <w:tr w:rsidR="002A501D" w:rsidRPr="007F69DA" w14:paraId="12D1B656" w14:textId="77777777" w:rsidTr="00F46ACB">
        <w:trPr>
          <w:trHeight w:val="142"/>
        </w:trPr>
        <w:tc>
          <w:tcPr>
            <w:tcW w:w="1075" w:type="dxa"/>
            <w:tcBorders>
              <w:top w:val="nil"/>
              <w:left w:val="single" w:sz="4" w:space="0" w:color="auto"/>
              <w:bottom w:val="nil"/>
              <w:right w:val="single" w:sz="4" w:space="0" w:color="auto"/>
            </w:tcBorders>
            <w:shd w:val="clear" w:color="auto" w:fill="FFF2CC" w:themeFill="accent4" w:themeFillTint="33"/>
            <w:hideMark/>
          </w:tcPr>
          <w:p w14:paraId="42782514" w14:textId="77777777" w:rsidR="002A501D" w:rsidRPr="007F69DA" w:rsidRDefault="002A501D" w:rsidP="00F46ACB">
            <w:pPr>
              <w:spacing w:before="40" w:after="40" w:line="160" w:lineRule="exact"/>
              <w:rPr>
                <w:sz w:val="16"/>
                <w:szCs w:val="16"/>
                <w:lang w:bidi="en-US"/>
              </w:rPr>
            </w:pPr>
            <w:r w:rsidRPr="007F69DA">
              <w:rPr>
                <w:sz w:val="16"/>
                <w:szCs w:val="16"/>
                <w:lang w:bidi="en-US"/>
              </w:rPr>
              <w:t>Syrien</w:t>
            </w:r>
          </w:p>
        </w:tc>
        <w:tc>
          <w:tcPr>
            <w:tcW w:w="793" w:type="dxa"/>
            <w:tcBorders>
              <w:top w:val="nil"/>
              <w:left w:val="single" w:sz="4" w:space="0" w:color="auto"/>
              <w:bottom w:val="nil"/>
              <w:right w:val="nil"/>
            </w:tcBorders>
          </w:tcPr>
          <w:p w14:paraId="16335439"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nil"/>
              <w:left w:val="nil"/>
              <w:bottom w:val="nil"/>
              <w:right w:val="nil"/>
            </w:tcBorders>
            <w:hideMark/>
          </w:tcPr>
          <w:p w14:paraId="4A32CE05"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4" w:type="dxa"/>
            <w:tcBorders>
              <w:top w:val="nil"/>
              <w:left w:val="nil"/>
              <w:bottom w:val="nil"/>
              <w:right w:val="single" w:sz="4" w:space="0" w:color="auto"/>
            </w:tcBorders>
          </w:tcPr>
          <w:p w14:paraId="1A168251"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single" w:sz="4" w:space="0" w:color="auto"/>
              <w:bottom w:val="nil"/>
              <w:right w:val="nil"/>
            </w:tcBorders>
            <w:hideMark/>
          </w:tcPr>
          <w:p w14:paraId="6C921180"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3AB63E8E"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nil"/>
            </w:tcBorders>
          </w:tcPr>
          <w:p w14:paraId="7C8AAC84"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tcPr>
          <w:p w14:paraId="6F094979" w14:textId="77777777" w:rsidR="002A501D" w:rsidRPr="007F69DA" w:rsidRDefault="002A501D" w:rsidP="00F46ACB">
            <w:pPr>
              <w:spacing w:before="40" w:after="40" w:line="160" w:lineRule="exact"/>
              <w:jc w:val="center"/>
              <w:rPr>
                <w:sz w:val="16"/>
                <w:szCs w:val="16"/>
                <w:lang w:bidi="en-US"/>
              </w:rPr>
            </w:pPr>
          </w:p>
        </w:tc>
        <w:tc>
          <w:tcPr>
            <w:tcW w:w="819" w:type="dxa"/>
            <w:tcBorders>
              <w:top w:val="nil"/>
              <w:left w:val="nil"/>
              <w:bottom w:val="nil"/>
              <w:right w:val="single" w:sz="4" w:space="0" w:color="auto"/>
            </w:tcBorders>
          </w:tcPr>
          <w:p w14:paraId="52549B2C" w14:textId="77777777" w:rsidR="002A501D" w:rsidRPr="007F69DA" w:rsidRDefault="002A501D" w:rsidP="00F46ACB">
            <w:pPr>
              <w:spacing w:before="40" w:after="40" w:line="160" w:lineRule="exact"/>
              <w:jc w:val="center"/>
              <w:rPr>
                <w:sz w:val="16"/>
                <w:szCs w:val="16"/>
                <w:lang w:bidi="en-US"/>
              </w:rPr>
            </w:pPr>
          </w:p>
        </w:tc>
      </w:tr>
      <w:tr w:rsidR="002A501D" w:rsidRPr="007F69DA" w14:paraId="10E6FD86" w14:textId="77777777" w:rsidTr="00F46ACB">
        <w:trPr>
          <w:trHeight w:val="142"/>
        </w:trPr>
        <w:tc>
          <w:tcPr>
            <w:tcW w:w="1075" w:type="dxa"/>
            <w:tcBorders>
              <w:top w:val="nil"/>
              <w:left w:val="single" w:sz="4" w:space="0" w:color="auto"/>
              <w:bottom w:val="nil"/>
              <w:right w:val="single" w:sz="4" w:space="0" w:color="auto"/>
            </w:tcBorders>
            <w:shd w:val="clear" w:color="auto" w:fill="FFF2CC" w:themeFill="accent4" w:themeFillTint="33"/>
            <w:hideMark/>
          </w:tcPr>
          <w:p w14:paraId="124CC26F" w14:textId="77777777" w:rsidR="002A501D" w:rsidRPr="007F69DA" w:rsidRDefault="002A501D" w:rsidP="00F46ACB">
            <w:pPr>
              <w:spacing w:before="40" w:after="40" w:line="160" w:lineRule="exact"/>
              <w:rPr>
                <w:sz w:val="16"/>
                <w:szCs w:val="16"/>
                <w:lang w:bidi="en-US"/>
              </w:rPr>
            </w:pPr>
            <w:r w:rsidRPr="007F69DA">
              <w:rPr>
                <w:sz w:val="16"/>
                <w:szCs w:val="16"/>
                <w:lang w:bidi="en-US"/>
              </w:rPr>
              <w:t>Thailand</w:t>
            </w:r>
          </w:p>
        </w:tc>
        <w:tc>
          <w:tcPr>
            <w:tcW w:w="793" w:type="dxa"/>
            <w:tcBorders>
              <w:top w:val="nil"/>
              <w:left w:val="single" w:sz="4" w:space="0" w:color="auto"/>
              <w:bottom w:val="nil"/>
              <w:right w:val="nil"/>
            </w:tcBorders>
          </w:tcPr>
          <w:p w14:paraId="25CBD0DA"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nil"/>
              <w:left w:val="nil"/>
              <w:bottom w:val="nil"/>
              <w:right w:val="nil"/>
            </w:tcBorders>
            <w:hideMark/>
          </w:tcPr>
          <w:p w14:paraId="1717FB56"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4" w:type="dxa"/>
            <w:tcBorders>
              <w:top w:val="nil"/>
              <w:left w:val="nil"/>
              <w:bottom w:val="nil"/>
              <w:right w:val="single" w:sz="4" w:space="0" w:color="auto"/>
            </w:tcBorders>
            <w:hideMark/>
          </w:tcPr>
          <w:p w14:paraId="0E11D84E"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single" w:sz="4" w:space="0" w:color="auto"/>
              <w:bottom w:val="nil"/>
              <w:right w:val="nil"/>
            </w:tcBorders>
            <w:hideMark/>
          </w:tcPr>
          <w:p w14:paraId="5DA3D571"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71403739"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nil"/>
            </w:tcBorders>
            <w:hideMark/>
          </w:tcPr>
          <w:p w14:paraId="47938A7B"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0234656E"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single" w:sz="4" w:space="0" w:color="auto"/>
            </w:tcBorders>
          </w:tcPr>
          <w:p w14:paraId="2F23F126" w14:textId="77777777" w:rsidR="002A501D" w:rsidRPr="007F69DA" w:rsidRDefault="002A501D" w:rsidP="00F46ACB">
            <w:pPr>
              <w:spacing w:before="40" w:after="40" w:line="160" w:lineRule="exact"/>
              <w:jc w:val="center"/>
              <w:rPr>
                <w:sz w:val="16"/>
                <w:szCs w:val="16"/>
                <w:lang w:bidi="en-US"/>
              </w:rPr>
            </w:pPr>
          </w:p>
        </w:tc>
      </w:tr>
      <w:tr w:rsidR="002A501D" w:rsidRPr="007F69DA" w14:paraId="555BFFA5" w14:textId="77777777" w:rsidTr="00F46ACB">
        <w:trPr>
          <w:trHeight w:val="142"/>
        </w:trPr>
        <w:tc>
          <w:tcPr>
            <w:tcW w:w="1075" w:type="dxa"/>
            <w:tcBorders>
              <w:top w:val="nil"/>
              <w:left w:val="single" w:sz="4" w:space="0" w:color="auto"/>
              <w:bottom w:val="nil"/>
              <w:right w:val="single" w:sz="4" w:space="0" w:color="auto"/>
            </w:tcBorders>
            <w:shd w:val="clear" w:color="auto" w:fill="FFF2CC" w:themeFill="accent4" w:themeFillTint="33"/>
            <w:hideMark/>
          </w:tcPr>
          <w:p w14:paraId="0898C970" w14:textId="77777777" w:rsidR="002A501D" w:rsidRPr="007F69DA" w:rsidRDefault="002A501D" w:rsidP="00F46ACB">
            <w:pPr>
              <w:spacing w:before="40" w:after="40" w:line="160" w:lineRule="exact"/>
              <w:rPr>
                <w:sz w:val="16"/>
                <w:szCs w:val="16"/>
                <w:lang w:bidi="en-US"/>
              </w:rPr>
            </w:pPr>
            <w:r w:rsidRPr="007F69DA">
              <w:rPr>
                <w:sz w:val="16"/>
                <w:szCs w:val="16"/>
                <w:lang w:bidi="en-US"/>
              </w:rPr>
              <w:t>Ukraine</w:t>
            </w:r>
          </w:p>
        </w:tc>
        <w:tc>
          <w:tcPr>
            <w:tcW w:w="793" w:type="dxa"/>
            <w:tcBorders>
              <w:top w:val="nil"/>
              <w:left w:val="single" w:sz="4" w:space="0" w:color="auto"/>
              <w:bottom w:val="nil"/>
              <w:right w:val="nil"/>
            </w:tcBorders>
          </w:tcPr>
          <w:p w14:paraId="6874734D"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nil"/>
              <w:left w:val="nil"/>
              <w:bottom w:val="nil"/>
              <w:right w:val="nil"/>
            </w:tcBorders>
            <w:hideMark/>
          </w:tcPr>
          <w:p w14:paraId="567831DB"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4" w:type="dxa"/>
            <w:tcBorders>
              <w:top w:val="nil"/>
              <w:left w:val="nil"/>
              <w:bottom w:val="nil"/>
              <w:right w:val="single" w:sz="4" w:space="0" w:color="auto"/>
            </w:tcBorders>
          </w:tcPr>
          <w:p w14:paraId="5C1D7314"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single" w:sz="4" w:space="0" w:color="auto"/>
              <w:bottom w:val="nil"/>
              <w:right w:val="nil"/>
            </w:tcBorders>
          </w:tcPr>
          <w:p w14:paraId="70D49BE8"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hideMark/>
          </w:tcPr>
          <w:p w14:paraId="276E04B9"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nil"/>
            </w:tcBorders>
          </w:tcPr>
          <w:p w14:paraId="42B80759"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hideMark/>
          </w:tcPr>
          <w:p w14:paraId="28FEA884"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single" w:sz="4" w:space="0" w:color="auto"/>
            </w:tcBorders>
          </w:tcPr>
          <w:p w14:paraId="4C9398DC" w14:textId="77777777" w:rsidR="002A501D" w:rsidRPr="007F69DA" w:rsidRDefault="002A501D" w:rsidP="00F46ACB">
            <w:pPr>
              <w:spacing w:before="40" w:after="40" w:line="160" w:lineRule="exact"/>
              <w:jc w:val="center"/>
              <w:rPr>
                <w:sz w:val="16"/>
                <w:szCs w:val="16"/>
                <w:lang w:bidi="en-US"/>
              </w:rPr>
            </w:pPr>
          </w:p>
        </w:tc>
      </w:tr>
      <w:tr w:rsidR="002A501D" w:rsidRPr="007F69DA" w14:paraId="47F41578" w14:textId="77777777" w:rsidTr="00F46ACB">
        <w:trPr>
          <w:trHeight w:val="142"/>
        </w:trPr>
        <w:tc>
          <w:tcPr>
            <w:tcW w:w="1075" w:type="dxa"/>
            <w:tcBorders>
              <w:top w:val="nil"/>
              <w:left w:val="single" w:sz="4" w:space="0" w:color="auto"/>
              <w:bottom w:val="nil"/>
              <w:right w:val="single" w:sz="4" w:space="0" w:color="auto"/>
            </w:tcBorders>
            <w:shd w:val="clear" w:color="auto" w:fill="FFF2CC" w:themeFill="accent4" w:themeFillTint="33"/>
            <w:hideMark/>
          </w:tcPr>
          <w:p w14:paraId="456B40F8" w14:textId="77777777" w:rsidR="002A501D" w:rsidRPr="007F69DA" w:rsidRDefault="002A501D" w:rsidP="00F46ACB">
            <w:pPr>
              <w:spacing w:before="40" w:after="40" w:line="160" w:lineRule="exact"/>
              <w:rPr>
                <w:sz w:val="16"/>
                <w:szCs w:val="16"/>
                <w:lang w:bidi="en-US"/>
              </w:rPr>
            </w:pPr>
            <w:r w:rsidRPr="007F69DA">
              <w:rPr>
                <w:sz w:val="16"/>
                <w:szCs w:val="16"/>
                <w:lang w:bidi="en-US"/>
              </w:rPr>
              <w:t>Ungarn</w:t>
            </w:r>
          </w:p>
        </w:tc>
        <w:tc>
          <w:tcPr>
            <w:tcW w:w="793" w:type="dxa"/>
            <w:tcBorders>
              <w:top w:val="nil"/>
              <w:left w:val="single" w:sz="4" w:space="0" w:color="auto"/>
              <w:bottom w:val="nil"/>
              <w:right w:val="nil"/>
            </w:tcBorders>
            <w:hideMark/>
          </w:tcPr>
          <w:p w14:paraId="3EA856BD"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nil"/>
              <w:bottom w:val="nil"/>
              <w:right w:val="nil"/>
            </w:tcBorders>
            <w:hideMark/>
          </w:tcPr>
          <w:p w14:paraId="5B147909"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4" w:type="dxa"/>
            <w:tcBorders>
              <w:top w:val="nil"/>
              <w:left w:val="nil"/>
              <w:bottom w:val="nil"/>
              <w:right w:val="single" w:sz="4" w:space="0" w:color="auto"/>
            </w:tcBorders>
            <w:hideMark/>
          </w:tcPr>
          <w:p w14:paraId="3B742915"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single" w:sz="4" w:space="0" w:color="auto"/>
              <w:bottom w:val="nil"/>
              <w:right w:val="nil"/>
            </w:tcBorders>
          </w:tcPr>
          <w:p w14:paraId="7258EA29"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hideMark/>
          </w:tcPr>
          <w:p w14:paraId="581C1770"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nil"/>
            </w:tcBorders>
            <w:hideMark/>
          </w:tcPr>
          <w:p w14:paraId="48BBF6EF"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6DFD0118"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single" w:sz="4" w:space="0" w:color="auto"/>
            </w:tcBorders>
            <w:hideMark/>
          </w:tcPr>
          <w:p w14:paraId="1E1FE07E"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r>
      <w:tr w:rsidR="002A501D" w:rsidRPr="007F69DA" w14:paraId="796EA704" w14:textId="77777777" w:rsidTr="00F46ACB">
        <w:trPr>
          <w:trHeight w:val="142"/>
        </w:trPr>
        <w:tc>
          <w:tcPr>
            <w:tcW w:w="1075" w:type="dxa"/>
            <w:tcBorders>
              <w:top w:val="nil"/>
              <w:left w:val="single" w:sz="4" w:space="0" w:color="auto"/>
              <w:bottom w:val="nil"/>
              <w:right w:val="single" w:sz="4" w:space="0" w:color="auto"/>
            </w:tcBorders>
            <w:shd w:val="clear" w:color="auto" w:fill="FFF2CC" w:themeFill="accent4" w:themeFillTint="33"/>
            <w:hideMark/>
          </w:tcPr>
          <w:p w14:paraId="79E8724F" w14:textId="77777777" w:rsidR="002A501D" w:rsidRPr="007F69DA" w:rsidRDefault="002A501D" w:rsidP="00F46ACB">
            <w:pPr>
              <w:spacing w:before="40" w:after="40" w:line="160" w:lineRule="exact"/>
              <w:rPr>
                <w:sz w:val="16"/>
                <w:szCs w:val="16"/>
                <w:lang w:bidi="en-US"/>
              </w:rPr>
            </w:pPr>
            <w:r w:rsidRPr="007F69DA">
              <w:rPr>
                <w:sz w:val="16"/>
                <w:szCs w:val="16"/>
                <w:lang w:bidi="en-US"/>
              </w:rPr>
              <w:t>USA</w:t>
            </w:r>
          </w:p>
        </w:tc>
        <w:tc>
          <w:tcPr>
            <w:tcW w:w="793" w:type="dxa"/>
            <w:tcBorders>
              <w:top w:val="nil"/>
              <w:left w:val="single" w:sz="4" w:space="0" w:color="auto"/>
              <w:bottom w:val="nil"/>
              <w:right w:val="nil"/>
            </w:tcBorders>
            <w:hideMark/>
          </w:tcPr>
          <w:p w14:paraId="6576391B"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tcPr>
          <w:p w14:paraId="0379BD1E" w14:textId="77777777" w:rsidR="002A501D" w:rsidRPr="007F69DA" w:rsidRDefault="002A501D" w:rsidP="00F46ACB">
            <w:pPr>
              <w:spacing w:before="40" w:after="40" w:line="160" w:lineRule="exact"/>
              <w:jc w:val="center"/>
              <w:rPr>
                <w:sz w:val="16"/>
                <w:szCs w:val="16"/>
                <w:lang w:bidi="en-US"/>
              </w:rPr>
            </w:pPr>
          </w:p>
        </w:tc>
        <w:tc>
          <w:tcPr>
            <w:tcW w:w="794" w:type="dxa"/>
            <w:tcBorders>
              <w:top w:val="nil"/>
              <w:left w:val="nil"/>
              <w:bottom w:val="nil"/>
              <w:right w:val="single" w:sz="4" w:space="0" w:color="auto"/>
            </w:tcBorders>
          </w:tcPr>
          <w:p w14:paraId="7058E87C"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single" w:sz="4" w:space="0" w:color="auto"/>
              <w:bottom w:val="nil"/>
              <w:right w:val="nil"/>
            </w:tcBorders>
            <w:hideMark/>
          </w:tcPr>
          <w:p w14:paraId="1DDBCCEB"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14510E31"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nil"/>
            </w:tcBorders>
          </w:tcPr>
          <w:p w14:paraId="049A37D5" w14:textId="77777777" w:rsidR="002A501D" w:rsidRPr="007F69DA" w:rsidRDefault="002A501D" w:rsidP="00F46ACB">
            <w:pPr>
              <w:spacing w:before="40" w:after="40" w:line="160" w:lineRule="exact"/>
              <w:jc w:val="center"/>
              <w:rPr>
                <w:sz w:val="16"/>
                <w:szCs w:val="16"/>
                <w:lang w:bidi="en-US"/>
              </w:rPr>
            </w:pPr>
          </w:p>
        </w:tc>
        <w:tc>
          <w:tcPr>
            <w:tcW w:w="793" w:type="dxa"/>
            <w:tcBorders>
              <w:top w:val="nil"/>
              <w:left w:val="nil"/>
              <w:bottom w:val="nil"/>
              <w:right w:val="nil"/>
            </w:tcBorders>
          </w:tcPr>
          <w:p w14:paraId="2B5CAB8A" w14:textId="77777777" w:rsidR="002A501D" w:rsidRPr="007F69DA" w:rsidRDefault="002A501D" w:rsidP="00F46ACB">
            <w:pPr>
              <w:spacing w:before="40" w:after="40" w:line="160" w:lineRule="exact"/>
              <w:jc w:val="center"/>
              <w:rPr>
                <w:sz w:val="16"/>
                <w:szCs w:val="16"/>
                <w:lang w:bidi="en-US"/>
              </w:rPr>
            </w:pPr>
          </w:p>
        </w:tc>
        <w:tc>
          <w:tcPr>
            <w:tcW w:w="819" w:type="dxa"/>
            <w:tcBorders>
              <w:top w:val="nil"/>
              <w:left w:val="nil"/>
              <w:bottom w:val="nil"/>
              <w:right w:val="single" w:sz="4" w:space="0" w:color="auto"/>
            </w:tcBorders>
            <w:hideMark/>
          </w:tcPr>
          <w:p w14:paraId="1D2D99B6"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r>
      <w:tr w:rsidR="002A501D" w:rsidRPr="007F69DA" w14:paraId="225FAA17" w14:textId="77777777" w:rsidTr="00F46ACB">
        <w:trPr>
          <w:trHeight w:val="142"/>
        </w:trPr>
        <w:tc>
          <w:tcPr>
            <w:tcW w:w="1075" w:type="dxa"/>
            <w:tcBorders>
              <w:top w:val="nil"/>
              <w:left w:val="single" w:sz="4" w:space="0" w:color="auto"/>
              <w:bottom w:val="nil"/>
              <w:right w:val="single" w:sz="4" w:space="0" w:color="auto"/>
            </w:tcBorders>
            <w:shd w:val="clear" w:color="auto" w:fill="FFF2CC" w:themeFill="accent4" w:themeFillTint="33"/>
            <w:hideMark/>
          </w:tcPr>
          <w:p w14:paraId="250A44BB" w14:textId="77777777" w:rsidR="002A501D" w:rsidRPr="007F69DA" w:rsidRDefault="002A501D" w:rsidP="00F46ACB">
            <w:pPr>
              <w:spacing w:before="40" w:after="40" w:line="160" w:lineRule="exact"/>
              <w:rPr>
                <w:sz w:val="16"/>
                <w:szCs w:val="16"/>
                <w:lang w:bidi="en-US"/>
              </w:rPr>
            </w:pPr>
            <w:r w:rsidRPr="007F69DA">
              <w:rPr>
                <w:sz w:val="16"/>
                <w:szCs w:val="16"/>
                <w:lang w:bidi="en-US"/>
              </w:rPr>
              <w:t>Vietnam</w:t>
            </w:r>
          </w:p>
        </w:tc>
        <w:tc>
          <w:tcPr>
            <w:tcW w:w="793" w:type="dxa"/>
            <w:tcBorders>
              <w:top w:val="nil"/>
              <w:left w:val="single" w:sz="4" w:space="0" w:color="auto"/>
              <w:bottom w:val="nil"/>
              <w:right w:val="nil"/>
            </w:tcBorders>
          </w:tcPr>
          <w:p w14:paraId="15FB9294"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nil"/>
              <w:left w:val="nil"/>
              <w:bottom w:val="nil"/>
              <w:right w:val="nil"/>
            </w:tcBorders>
            <w:hideMark/>
          </w:tcPr>
          <w:p w14:paraId="6F32E6AB"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4" w:type="dxa"/>
            <w:tcBorders>
              <w:top w:val="nil"/>
              <w:left w:val="nil"/>
              <w:bottom w:val="nil"/>
              <w:right w:val="single" w:sz="4" w:space="0" w:color="auto"/>
            </w:tcBorders>
            <w:hideMark/>
          </w:tcPr>
          <w:p w14:paraId="0EC82316"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nil"/>
              <w:left w:val="single" w:sz="4" w:space="0" w:color="auto"/>
              <w:bottom w:val="nil"/>
              <w:right w:val="nil"/>
            </w:tcBorders>
          </w:tcPr>
          <w:p w14:paraId="2EF6CB4D"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nil"/>
              <w:left w:val="nil"/>
              <w:bottom w:val="nil"/>
              <w:right w:val="nil"/>
            </w:tcBorders>
            <w:hideMark/>
          </w:tcPr>
          <w:p w14:paraId="4CE20750"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819" w:type="dxa"/>
            <w:tcBorders>
              <w:top w:val="nil"/>
              <w:left w:val="nil"/>
              <w:bottom w:val="nil"/>
              <w:right w:val="nil"/>
            </w:tcBorders>
            <w:hideMark/>
          </w:tcPr>
          <w:p w14:paraId="163F66B3"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nil"/>
              <w:bottom w:val="nil"/>
              <w:right w:val="nil"/>
            </w:tcBorders>
            <w:hideMark/>
          </w:tcPr>
          <w:p w14:paraId="1953A451"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819" w:type="dxa"/>
            <w:tcBorders>
              <w:top w:val="nil"/>
              <w:left w:val="nil"/>
              <w:bottom w:val="nil"/>
              <w:right w:val="single" w:sz="4" w:space="0" w:color="auto"/>
            </w:tcBorders>
            <w:hideMark/>
          </w:tcPr>
          <w:p w14:paraId="38D36F40"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r>
      <w:tr w:rsidR="002A501D" w:rsidRPr="007F69DA" w14:paraId="4D81F5DF" w14:textId="77777777" w:rsidTr="00F46ACB">
        <w:trPr>
          <w:cantSplit/>
          <w:trHeight w:val="222"/>
        </w:trPr>
        <w:tc>
          <w:tcPr>
            <w:tcW w:w="7472" w:type="dxa"/>
            <w:gridSpan w:val="9"/>
            <w:tcBorders>
              <w:top w:val="single" w:sz="4" w:space="0" w:color="auto"/>
              <w:left w:val="single" w:sz="4" w:space="0" w:color="auto"/>
              <w:bottom w:val="nil"/>
              <w:right w:val="single" w:sz="4" w:space="0" w:color="auto"/>
            </w:tcBorders>
            <w:shd w:val="clear" w:color="auto" w:fill="F2F2F2" w:themeFill="background1" w:themeFillShade="F2"/>
            <w:hideMark/>
          </w:tcPr>
          <w:p w14:paraId="4B0D04E7" w14:textId="77777777" w:rsidR="002A501D" w:rsidRPr="007F69DA" w:rsidRDefault="002A501D" w:rsidP="00F46ACB">
            <w:pPr>
              <w:spacing w:before="40" w:after="40" w:line="160" w:lineRule="exact"/>
              <w:rPr>
                <w:sz w:val="14"/>
                <w:szCs w:val="14"/>
                <w:lang w:bidi="en-US"/>
              </w:rPr>
            </w:pPr>
            <w:r w:rsidRPr="007F69DA">
              <w:rPr>
                <w:sz w:val="14"/>
                <w:szCs w:val="14"/>
                <w:lang w:bidi="en-US"/>
              </w:rPr>
              <w:t>Legende:</w:t>
            </w:r>
          </w:p>
        </w:tc>
      </w:tr>
      <w:tr w:rsidR="002A501D" w:rsidRPr="007F69DA" w14:paraId="0067F08D" w14:textId="77777777" w:rsidTr="00F46ACB">
        <w:trPr>
          <w:trHeight w:val="496"/>
        </w:trPr>
        <w:tc>
          <w:tcPr>
            <w:tcW w:w="1075" w:type="dxa"/>
            <w:tcBorders>
              <w:top w:val="nil"/>
              <w:left w:val="single" w:sz="4" w:space="0" w:color="auto"/>
              <w:bottom w:val="single" w:sz="4" w:space="0" w:color="auto"/>
              <w:right w:val="single" w:sz="4" w:space="0" w:color="auto"/>
            </w:tcBorders>
            <w:shd w:val="clear" w:color="auto" w:fill="F2F2F2" w:themeFill="background1" w:themeFillShade="F2"/>
            <w:hideMark/>
          </w:tcPr>
          <w:p w14:paraId="0DC251B1"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006C"/>
            </w:r>
          </w:p>
        </w:tc>
        <w:tc>
          <w:tcPr>
            <w:tcW w:w="793" w:type="dxa"/>
            <w:tcBorders>
              <w:top w:val="nil"/>
              <w:left w:val="single" w:sz="4" w:space="0" w:color="auto"/>
              <w:bottom w:val="single" w:sz="4" w:space="0" w:color="auto"/>
              <w:right w:val="nil"/>
            </w:tcBorders>
            <w:shd w:val="clear" w:color="auto" w:fill="F2F2F2" w:themeFill="background1" w:themeFillShade="F2"/>
            <w:hideMark/>
          </w:tcPr>
          <w:p w14:paraId="72C4B96E" w14:textId="77777777" w:rsidR="002A501D" w:rsidRPr="007F69DA" w:rsidRDefault="002A501D" w:rsidP="00F46ACB">
            <w:pPr>
              <w:spacing w:before="40" w:after="40" w:line="160" w:lineRule="exact"/>
              <w:rPr>
                <w:sz w:val="14"/>
                <w:szCs w:val="14"/>
                <w:lang w:bidi="en-US"/>
              </w:rPr>
            </w:pPr>
            <w:r w:rsidRPr="007F69DA">
              <w:rPr>
                <w:sz w:val="14"/>
                <w:szCs w:val="14"/>
                <w:lang w:bidi="en-US"/>
              </w:rPr>
              <w:t>stabil</w:t>
            </w:r>
          </w:p>
        </w:tc>
        <w:tc>
          <w:tcPr>
            <w:tcW w:w="793" w:type="dxa"/>
            <w:tcBorders>
              <w:top w:val="nil"/>
              <w:left w:val="nil"/>
              <w:bottom w:val="single" w:sz="4" w:space="0" w:color="auto"/>
              <w:right w:val="nil"/>
            </w:tcBorders>
            <w:shd w:val="clear" w:color="auto" w:fill="F2F2F2" w:themeFill="background1" w:themeFillShade="F2"/>
            <w:hideMark/>
          </w:tcPr>
          <w:p w14:paraId="000AB1C4" w14:textId="77777777" w:rsidR="002A501D" w:rsidRPr="007F69DA" w:rsidRDefault="002A501D" w:rsidP="00F46ACB">
            <w:pPr>
              <w:spacing w:before="40" w:after="40" w:line="160" w:lineRule="exact"/>
              <w:rPr>
                <w:sz w:val="14"/>
                <w:szCs w:val="14"/>
                <w:lang w:bidi="en-US"/>
              </w:rPr>
            </w:pPr>
            <w:r w:rsidRPr="007F69DA">
              <w:rPr>
                <w:sz w:val="14"/>
                <w:szCs w:val="14"/>
                <w:lang w:bidi="en-US"/>
              </w:rPr>
              <w:t>freie Einfuhr</w:t>
            </w:r>
          </w:p>
        </w:tc>
        <w:tc>
          <w:tcPr>
            <w:tcW w:w="794" w:type="dxa"/>
            <w:tcBorders>
              <w:top w:val="nil"/>
              <w:left w:val="nil"/>
              <w:bottom w:val="single" w:sz="4" w:space="0" w:color="auto"/>
              <w:right w:val="nil"/>
            </w:tcBorders>
            <w:shd w:val="clear" w:color="auto" w:fill="F2F2F2" w:themeFill="background1" w:themeFillShade="F2"/>
            <w:hideMark/>
          </w:tcPr>
          <w:p w14:paraId="355268F9" w14:textId="77777777" w:rsidR="002A501D" w:rsidRPr="007F69DA" w:rsidRDefault="002A501D" w:rsidP="00F46ACB">
            <w:pPr>
              <w:spacing w:before="40" w:after="40" w:line="160" w:lineRule="exact"/>
              <w:rPr>
                <w:sz w:val="14"/>
                <w:szCs w:val="14"/>
                <w:lang w:bidi="en-US"/>
              </w:rPr>
            </w:pPr>
            <w:r w:rsidRPr="007F69DA">
              <w:rPr>
                <w:sz w:val="14"/>
                <w:szCs w:val="14"/>
                <w:lang w:bidi="en-US"/>
              </w:rPr>
              <w:t>keine Devisenbe-schränkung</w:t>
            </w:r>
          </w:p>
        </w:tc>
        <w:tc>
          <w:tcPr>
            <w:tcW w:w="793" w:type="dxa"/>
            <w:tcBorders>
              <w:top w:val="nil"/>
              <w:left w:val="nil"/>
              <w:bottom w:val="single" w:sz="4" w:space="0" w:color="auto"/>
              <w:right w:val="nil"/>
            </w:tcBorders>
            <w:shd w:val="clear" w:color="auto" w:fill="F2F2F2" w:themeFill="background1" w:themeFillShade="F2"/>
            <w:hideMark/>
          </w:tcPr>
          <w:p w14:paraId="3591D7D9" w14:textId="77777777" w:rsidR="002A501D" w:rsidRPr="007F69DA" w:rsidRDefault="002A501D" w:rsidP="00F46ACB">
            <w:pPr>
              <w:spacing w:before="40" w:after="40" w:line="160" w:lineRule="exact"/>
              <w:rPr>
                <w:sz w:val="14"/>
                <w:szCs w:val="14"/>
                <w:lang w:bidi="en-US"/>
              </w:rPr>
            </w:pPr>
            <w:r w:rsidRPr="007F69DA">
              <w:rPr>
                <w:sz w:val="14"/>
                <w:szCs w:val="14"/>
                <w:lang w:bidi="en-US"/>
              </w:rPr>
              <w:t>vollständiger Transfer möglich</w:t>
            </w:r>
          </w:p>
        </w:tc>
        <w:tc>
          <w:tcPr>
            <w:tcW w:w="793" w:type="dxa"/>
            <w:tcBorders>
              <w:top w:val="nil"/>
              <w:left w:val="nil"/>
              <w:bottom w:val="single" w:sz="4" w:space="0" w:color="auto"/>
              <w:right w:val="nil"/>
            </w:tcBorders>
            <w:shd w:val="clear" w:color="auto" w:fill="F2F2F2" w:themeFill="background1" w:themeFillShade="F2"/>
            <w:hideMark/>
          </w:tcPr>
          <w:p w14:paraId="37127A92" w14:textId="77777777" w:rsidR="002A501D" w:rsidRPr="007F69DA" w:rsidRDefault="002A501D" w:rsidP="00F46ACB">
            <w:pPr>
              <w:spacing w:before="40" w:after="40" w:line="160" w:lineRule="exact"/>
              <w:rPr>
                <w:sz w:val="14"/>
                <w:szCs w:val="14"/>
                <w:lang w:bidi="en-US"/>
              </w:rPr>
            </w:pPr>
            <w:r w:rsidRPr="007F69DA">
              <w:rPr>
                <w:sz w:val="14"/>
                <w:szCs w:val="14"/>
                <w:lang w:bidi="en-US"/>
              </w:rPr>
              <w:t>Investiti</w:t>
            </w:r>
            <w:r w:rsidRPr="007F69DA">
              <w:rPr>
                <w:sz w:val="14"/>
                <w:szCs w:val="14"/>
                <w:lang w:bidi="en-US"/>
              </w:rPr>
              <w:softHyphen/>
              <w:t>onsanreize</w:t>
            </w:r>
          </w:p>
        </w:tc>
        <w:tc>
          <w:tcPr>
            <w:tcW w:w="819" w:type="dxa"/>
            <w:tcBorders>
              <w:top w:val="nil"/>
              <w:left w:val="nil"/>
              <w:bottom w:val="single" w:sz="4" w:space="0" w:color="auto"/>
              <w:right w:val="nil"/>
            </w:tcBorders>
            <w:shd w:val="clear" w:color="auto" w:fill="F2F2F2" w:themeFill="background1" w:themeFillShade="F2"/>
            <w:hideMark/>
          </w:tcPr>
          <w:p w14:paraId="5AF50B9A" w14:textId="77777777" w:rsidR="002A501D" w:rsidRPr="007F69DA" w:rsidRDefault="002A501D" w:rsidP="00F46ACB">
            <w:pPr>
              <w:spacing w:before="40" w:after="40" w:line="160" w:lineRule="exact"/>
              <w:jc w:val="center"/>
              <w:rPr>
                <w:sz w:val="14"/>
                <w:szCs w:val="14"/>
                <w:lang w:bidi="en-US"/>
              </w:rPr>
            </w:pPr>
            <w:r w:rsidRPr="007F69DA">
              <w:rPr>
                <w:sz w:val="14"/>
                <w:szCs w:val="14"/>
                <w:lang w:bidi="en-US"/>
              </w:rPr>
              <w:t>stark</w:t>
            </w:r>
          </w:p>
        </w:tc>
        <w:tc>
          <w:tcPr>
            <w:tcW w:w="793" w:type="dxa"/>
            <w:tcBorders>
              <w:top w:val="nil"/>
              <w:left w:val="nil"/>
              <w:bottom w:val="single" w:sz="4" w:space="0" w:color="auto"/>
              <w:right w:val="nil"/>
            </w:tcBorders>
            <w:shd w:val="clear" w:color="auto" w:fill="F2F2F2" w:themeFill="background1" w:themeFillShade="F2"/>
            <w:hideMark/>
          </w:tcPr>
          <w:p w14:paraId="05CB079D" w14:textId="77777777" w:rsidR="002A501D" w:rsidRPr="007F69DA" w:rsidRDefault="002A501D" w:rsidP="00F46ACB">
            <w:pPr>
              <w:spacing w:before="40" w:after="40" w:line="160" w:lineRule="exact"/>
              <w:rPr>
                <w:sz w:val="14"/>
                <w:szCs w:val="14"/>
                <w:lang w:bidi="en-US"/>
              </w:rPr>
            </w:pPr>
            <w:r w:rsidRPr="007F69DA">
              <w:rPr>
                <w:sz w:val="14"/>
                <w:szCs w:val="14"/>
                <w:lang w:bidi="en-US"/>
              </w:rPr>
              <w:t>Steuer</w:t>
            </w:r>
            <w:r w:rsidRPr="007F69DA">
              <w:rPr>
                <w:sz w:val="14"/>
                <w:szCs w:val="14"/>
                <w:lang w:bidi="en-US"/>
              </w:rPr>
              <w:softHyphen/>
              <w:t>vergünsti</w:t>
            </w:r>
            <w:r w:rsidRPr="007F69DA">
              <w:rPr>
                <w:sz w:val="14"/>
                <w:szCs w:val="14"/>
                <w:lang w:bidi="en-US"/>
              </w:rPr>
              <w:softHyphen/>
              <w:t>gungen</w:t>
            </w:r>
          </w:p>
        </w:tc>
        <w:tc>
          <w:tcPr>
            <w:tcW w:w="819" w:type="dxa"/>
            <w:tcBorders>
              <w:top w:val="nil"/>
              <w:left w:val="nil"/>
              <w:bottom w:val="single" w:sz="4" w:space="0" w:color="auto"/>
              <w:right w:val="single" w:sz="4" w:space="0" w:color="auto"/>
            </w:tcBorders>
            <w:shd w:val="clear" w:color="auto" w:fill="F2F2F2" w:themeFill="background1" w:themeFillShade="F2"/>
            <w:hideMark/>
          </w:tcPr>
          <w:p w14:paraId="58EFBE64" w14:textId="77777777" w:rsidR="002A501D" w:rsidRPr="007F69DA" w:rsidRDefault="002A501D" w:rsidP="00F46ACB">
            <w:pPr>
              <w:spacing w:before="40" w:after="40" w:line="160" w:lineRule="exact"/>
              <w:rPr>
                <w:sz w:val="14"/>
                <w:szCs w:val="14"/>
                <w:lang w:bidi="en-US"/>
              </w:rPr>
            </w:pPr>
            <w:r w:rsidRPr="007F69DA">
              <w:rPr>
                <w:sz w:val="14"/>
                <w:szCs w:val="14"/>
                <w:lang w:bidi="en-US"/>
              </w:rPr>
              <w:t>gering</w:t>
            </w:r>
          </w:p>
        </w:tc>
      </w:tr>
      <w:tr w:rsidR="002A501D" w:rsidRPr="007F69DA" w14:paraId="31A59A70" w14:textId="77777777" w:rsidTr="00F46ACB">
        <w:trPr>
          <w:trHeight w:val="568"/>
        </w:trPr>
        <w:tc>
          <w:tcPr>
            <w:tcW w:w="107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E840C1E"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Symbol" w:char="00C6"/>
            </w:r>
          </w:p>
        </w:tc>
        <w:tc>
          <w:tcPr>
            <w:tcW w:w="793" w:type="dxa"/>
            <w:tcBorders>
              <w:top w:val="single" w:sz="4" w:space="0" w:color="auto"/>
              <w:left w:val="single" w:sz="4" w:space="0" w:color="auto"/>
              <w:bottom w:val="single" w:sz="4" w:space="0" w:color="auto"/>
              <w:right w:val="nil"/>
            </w:tcBorders>
            <w:shd w:val="clear" w:color="auto" w:fill="F2F2F2" w:themeFill="background1" w:themeFillShade="F2"/>
            <w:hideMark/>
          </w:tcPr>
          <w:p w14:paraId="1AD1ABE6" w14:textId="77777777" w:rsidR="002A501D" w:rsidRPr="007F69DA" w:rsidRDefault="002A501D" w:rsidP="00F46ACB">
            <w:pPr>
              <w:spacing w:before="40" w:after="40" w:line="160" w:lineRule="exact"/>
              <w:rPr>
                <w:sz w:val="14"/>
                <w:szCs w:val="14"/>
                <w:lang w:bidi="en-US"/>
              </w:rPr>
            </w:pPr>
            <w:r w:rsidRPr="007F69DA">
              <w:rPr>
                <w:sz w:val="14"/>
                <w:szCs w:val="14"/>
                <w:lang w:bidi="en-US"/>
              </w:rPr>
              <w:t>moderat</w:t>
            </w:r>
          </w:p>
        </w:tc>
        <w:tc>
          <w:tcPr>
            <w:tcW w:w="793" w:type="dxa"/>
            <w:tcBorders>
              <w:top w:val="single" w:sz="4" w:space="0" w:color="auto"/>
              <w:left w:val="nil"/>
              <w:bottom w:val="single" w:sz="4" w:space="0" w:color="auto"/>
              <w:right w:val="nil"/>
            </w:tcBorders>
            <w:shd w:val="clear" w:color="auto" w:fill="F2F2F2" w:themeFill="background1" w:themeFillShade="F2"/>
            <w:hideMark/>
          </w:tcPr>
          <w:p w14:paraId="78BC65FA" w14:textId="77777777" w:rsidR="002A501D" w:rsidRPr="007F69DA" w:rsidRDefault="002A501D" w:rsidP="00F46ACB">
            <w:pPr>
              <w:spacing w:before="40" w:after="40" w:line="160" w:lineRule="exact"/>
              <w:rPr>
                <w:sz w:val="14"/>
                <w:szCs w:val="14"/>
                <w:lang w:bidi="en-US"/>
              </w:rPr>
            </w:pPr>
            <w:r w:rsidRPr="007F69DA">
              <w:rPr>
                <w:sz w:val="14"/>
                <w:szCs w:val="14"/>
                <w:lang w:bidi="en-US"/>
              </w:rPr>
              <w:t>geringe Beschrän</w:t>
            </w:r>
            <w:r w:rsidRPr="007F69DA">
              <w:rPr>
                <w:sz w:val="14"/>
                <w:szCs w:val="14"/>
                <w:lang w:bidi="en-US"/>
              </w:rPr>
              <w:softHyphen/>
              <w:t>kungen</w:t>
            </w:r>
          </w:p>
        </w:tc>
        <w:tc>
          <w:tcPr>
            <w:tcW w:w="794" w:type="dxa"/>
            <w:tcBorders>
              <w:top w:val="single" w:sz="4" w:space="0" w:color="auto"/>
              <w:left w:val="nil"/>
              <w:bottom w:val="single" w:sz="4" w:space="0" w:color="auto"/>
              <w:right w:val="nil"/>
            </w:tcBorders>
            <w:shd w:val="clear" w:color="auto" w:fill="F2F2F2" w:themeFill="background1" w:themeFillShade="F2"/>
            <w:hideMark/>
          </w:tcPr>
          <w:p w14:paraId="6EA11656" w14:textId="77777777" w:rsidR="002A501D" w:rsidRPr="007F69DA" w:rsidRDefault="002A501D" w:rsidP="00F46ACB">
            <w:pPr>
              <w:spacing w:before="40" w:after="40" w:line="160" w:lineRule="exact"/>
              <w:rPr>
                <w:sz w:val="14"/>
                <w:szCs w:val="14"/>
                <w:lang w:bidi="en-US"/>
              </w:rPr>
            </w:pPr>
            <w:r w:rsidRPr="007F69DA">
              <w:rPr>
                <w:sz w:val="14"/>
                <w:szCs w:val="14"/>
                <w:lang w:bidi="en-US"/>
              </w:rPr>
              <w:t>mittlere Beschrän</w:t>
            </w:r>
            <w:r w:rsidRPr="007F69DA">
              <w:rPr>
                <w:sz w:val="14"/>
                <w:szCs w:val="14"/>
                <w:lang w:bidi="en-US"/>
              </w:rPr>
              <w:softHyphen/>
              <w:t>kungen</w:t>
            </w:r>
          </w:p>
        </w:tc>
        <w:tc>
          <w:tcPr>
            <w:tcW w:w="793" w:type="dxa"/>
            <w:tcBorders>
              <w:top w:val="single" w:sz="4" w:space="0" w:color="auto"/>
              <w:left w:val="nil"/>
              <w:bottom w:val="single" w:sz="4" w:space="0" w:color="auto"/>
              <w:right w:val="nil"/>
            </w:tcBorders>
            <w:shd w:val="clear" w:color="auto" w:fill="F2F2F2" w:themeFill="background1" w:themeFillShade="F2"/>
            <w:hideMark/>
          </w:tcPr>
          <w:p w14:paraId="34E2DE73" w14:textId="77777777" w:rsidR="002A501D" w:rsidRPr="007F69DA" w:rsidRDefault="002A501D" w:rsidP="00F46ACB">
            <w:pPr>
              <w:spacing w:before="40" w:after="40" w:line="160" w:lineRule="exact"/>
              <w:rPr>
                <w:sz w:val="14"/>
                <w:szCs w:val="14"/>
                <w:lang w:bidi="en-US"/>
              </w:rPr>
            </w:pPr>
            <w:r w:rsidRPr="007F69DA">
              <w:rPr>
                <w:sz w:val="14"/>
                <w:szCs w:val="14"/>
                <w:lang w:bidi="en-US"/>
              </w:rPr>
              <w:t>mittlere Beschrän</w:t>
            </w:r>
            <w:r w:rsidRPr="007F69DA">
              <w:rPr>
                <w:sz w:val="14"/>
                <w:szCs w:val="14"/>
                <w:lang w:bidi="en-US"/>
              </w:rPr>
              <w:softHyphen/>
              <w:t>kungen</w:t>
            </w:r>
          </w:p>
        </w:tc>
        <w:tc>
          <w:tcPr>
            <w:tcW w:w="793" w:type="dxa"/>
            <w:tcBorders>
              <w:top w:val="single" w:sz="4" w:space="0" w:color="auto"/>
              <w:left w:val="nil"/>
              <w:bottom w:val="single" w:sz="4" w:space="0" w:color="auto"/>
              <w:right w:val="nil"/>
            </w:tcBorders>
            <w:shd w:val="clear" w:color="auto" w:fill="F2F2F2" w:themeFill="background1" w:themeFillShade="F2"/>
            <w:hideMark/>
          </w:tcPr>
          <w:p w14:paraId="7E7CA955" w14:textId="77777777" w:rsidR="002A501D" w:rsidRPr="007F69DA" w:rsidRDefault="002A501D" w:rsidP="00F46ACB">
            <w:pPr>
              <w:spacing w:before="40" w:after="40" w:line="160" w:lineRule="exact"/>
              <w:rPr>
                <w:sz w:val="14"/>
                <w:szCs w:val="14"/>
                <w:lang w:bidi="en-US"/>
              </w:rPr>
            </w:pPr>
            <w:r w:rsidRPr="007F69DA">
              <w:rPr>
                <w:sz w:val="14"/>
                <w:szCs w:val="14"/>
                <w:lang w:bidi="en-US"/>
              </w:rPr>
              <w:t>geringe Beschrän</w:t>
            </w:r>
            <w:r w:rsidRPr="007F69DA">
              <w:rPr>
                <w:sz w:val="14"/>
                <w:szCs w:val="14"/>
                <w:lang w:bidi="en-US"/>
              </w:rPr>
              <w:softHyphen/>
              <w:t>kungen</w:t>
            </w:r>
          </w:p>
        </w:tc>
        <w:tc>
          <w:tcPr>
            <w:tcW w:w="819" w:type="dxa"/>
            <w:tcBorders>
              <w:top w:val="single" w:sz="4" w:space="0" w:color="auto"/>
              <w:left w:val="nil"/>
              <w:bottom w:val="single" w:sz="4" w:space="0" w:color="auto"/>
              <w:right w:val="nil"/>
            </w:tcBorders>
            <w:shd w:val="clear" w:color="auto" w:fill="F2F2F2" w:themeFill="background1" w:themeFillShade="F2"/>
            <w:hideMark/>
          </w:tcPr>
          <w:p w14:paraId="0F790DA1" w14:textId="77777777" w:rsidR="002A501D" w:rsidRPr="007F69DA" w:rsidRDefault="002A501D" w:rsidP="00F46ACB">
            <w:pPr>
              <w:spacing w:before="40" w:after="40" w:line="160" w:lineRule="exact"/>
              <w:jc w:val="center"/>
              <w:rPr>
                <w:sz w:val="14"/>
                <w:szCs w:val="14"/>
                <w:lang w:bidi="en-US"/>
              </w:rPr>
            </w:pPr>
            <w:r w:rsidRPr="007F69DA">
              <w:rPr>
                <w:sz w:val="14"/>
                <w:szCs w:val="14"/>
                <w:lang w:bidi="en-US"/>
              </w:rPr>
              <w:t>mäßig</w:t>
            </w:r>
          </w:p>
        </w:tc>
        <w:tc>
          <w:tcPr>
            <w:tcW w:w="793" w:type="dxa"/>
            <w:tcBorders>
              <w:top w:val="single" w:sz="4" w:space="0" w:color="auto"/>
              <w:left w:val="nil"/>
              <w:bottom w:val="single" w:sz="4" w:space="0" w:color="auto"/>
              <w:right w:val="nil"/>
            </w:tcBorders>
            <w:shd w:val="clear" w:color="auto" w:fill="F2F2F2" w:themeFill="background1" w:themeFillShade="F2"/>
            <w:hideMark/>
          </w:tcPr>
          <w:p w14:paraId="320C94C2" w14:textId="77777777" w:rsidR="002A501D" w:rsidRPr="007F69DA" w:rsidRDefault="002A501D" w:rsidP="00F46ACB">
            <w:pPr>
              <w:spacing w:before="40" w:after="40" w:line="160" w:lineRule="exact"/>
              <w:rPr>
                <w:sz w:val="14"/>
                <w:szCs w:val="14"/>
                <w:lang w:bidi="en-US"/>
              </w:rPr>
            </w:pPr>
            <w:r w:rsidRPr="007F69DA">
              <w:rPr>
                <w:sz w:val="14"/>
                <w:szCs w:val="14"/>
                <w:lang w:bidi="en-US"/>
              </w:rPr>
              <w:t>mittlere Steuerlast</w:t>
            </w:r>
          </w:p>
        </w:tc>
        <w:tc>
          <w:tcPr>
            <w:tcW w:w="819" w:type="dxa"/>
            <w:tcBorders>
              <w:top w:val="single" w:sz="4" w:space="0" w:color="auto"/>
              <w:left w:val="nil"/>
              <w:bottom w:val="single" w:sz="4" w:space="0" w:color="auto"/>
              <w:right w:val="single" w:sz="4" w:space="0" w:color="auto"/>
            </w:tcBorders>
            <w:shd w:val="clear" w:color="auto" w:fill="F2F2F2" w:themeFill="background1" w:themeFillShade="F2"/>
            <w:hideMark/>
          </w:tcPr>
          <w:p w14:paraId="27B3A3F4" w14:textId="77777777" w:rsidR="002A501D" w:rsidRPr="007F69DA" w:rsidRDefault="002A501D" w:rsidP="00F46ACB">
            <w:pPr>
              <w:spacing w:before="40" w:after="40" w:line="160" w:lineRule="exact"/>
              <w:rPr>
                <w:sz w:val="14"/>
                <w:szCs w:val="14"/>
                <w:lang w:bidi="en-US"/>
              </w:rPr>
            </w:pPr>
            <w:r w:rsidRPr="007F69DA">
              <w:rPr>
                <w:sz w:val="14"/>
                <w:szCs w:val="14"/>
                <w:lang w:bidi="en-US"/>
              </w:rPr>
              <w:t>mittel</w:t>
            </w:r>
          </w:p>
        </w:tc>
      </w:tr>
      <w:tr w:rsidR="002A501D" w:rsidRPr="007F69DA" w14:paraId="5133F8E3" w14:textId="77777777" w:rsidTr="00F46ACB">
        <w:trPr>
          <w:trHeight w:val="562"/>
        </w:trPr>
        <w:tc>
          <w:tcPr>
            <w:tcW w:w="107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9228983" w14:textId="77777777" w:rsidR="002A501D" w:rsidRPr="007F69DA" w:rsidRDefault="002A501D" w:rsidP="00F46ACB">
            <w:pPr>
              <w:spacing w:before="40" w:after="40" w:line="160" w:lineRule="exact"/>
              <w:jc w:val="center"/>
              <w:rPr>
                <w:sz w:val="16"/>
                <w:szCs w:val="16"/>
                <w:lang w:bidi="en-US"/>
              </w:rPr>
            </w:pPr>
            <w:r w:rsidRPr="007F69DA">
              <w:rPr>
                <w:sz w:val="16"/>
                <w:szCs w:val="16"/>
                <w:lang w:bidi="en-US"/>
              </w:rPr>
              <w:sym w:font="Wingdings" w:char="F0A1"/>
            </w:r>
          </w:p>
        </w:tc>
        <w:tc>
          <w:tcPr>
            <w:tcW w:w="793" w:type="dxa"/>
            <w:tcBorders>
              <w:top w:val="single" w:sz="4" w:space="0" w:color="auto"/>
              <w:left w:val="single" w:sz="4" w:space="0" w:color="auto"/>
              <w:bottom w:val="single" w:sz="4" w:space="0" w:color="auto"/>
              <w:right w:val="nil"/>
            </w:tcBorders>
            <w:shd w:val="clear" w:color="auto" w:fill="F2F2F2" w:themeFill="background1" w:themeFillShade="F2"/>
            <w:hideMark/>
          </w:tcPr>
          <w:p w14:paraId="7D0243B9" w14:textId="77777777" w:rsidR="002A501D" w:rsidRPr="007F69DA" w:rsidRDefault="002A501D" w:rsidP="00F46ACB">
            <w:pPr>
              <w:spacing w:before="40" w:after="40" w:line="160" w:lineRule="exact"/>
              <w:rPr>
                <w:sz w:val="14"/>
                <w:szCs w:val="14"/>
                <w:lang w:bidi="en-US"/>
              </w:rPr>
            </w:pPr>
            <w:r w:rsidRPr="007F69DA">
              <w:rPr>
                <w:sz w:val="14"/>
                <w:szCs w:val="14"/>
                <w:lang w:bidi="en-US"/>
              </w:rPr>
              <w:t>unsicher</w:t>
            </w:r>
          </w:p>
        </w:tc>
        <w:tc>
          <w:tcPr>
            <w:tcW w:w="793" w:type="dxa"/>
            <w:tcBorders>
              <w:top w:val="single" w:sz="4" w:space="0" w:color="auto"/>
              <w:left w:val="nil"/>
              <w:bottom w:val="single" w:sz="4" w:space="0" w:color="auto"/>
              <w:right w:val="nil"/>
            </w:tcBorders>
            <w:shd w:val="clear" w:color="auto" w:fill="F2F2F2" w:themeFill="background1" w:themeFillShade="F2"/>
            <w:hideMark/>
          </w:tcPr>
          <w:p w14:paraId="5AED07F1" w14:textId="77777777" w:rsidR="002A501D" w:rsidRPr="007F69DA" w:rsidRDefault="002A501D" w:rsidP="00F46ACB">
            <w:pPr>
              <w:spacing w:before="40" w:after="40" w:line="160" w:lineRule="exact"/>
              <w:rPr>
                <w:sz w:val="14"/>
                <w:szCs w:val="14"/>
                <w:lang w:bidi="en-US"/>
              </w:rPr>
            </w:pPr>
            <w:r w:rsidRPr="007F69DA">
              <w:rPr>
                <w:sz w:val="14"/>
                <w:szCs w:val="14"/>
                <w:lang w:bidi="en-US"/>
              </w:rPr>
              <w:t>starke Beschrän</w:t>
            </w:r>
            <w:r w:rsidRPr="007F69DA">
              <w:rPr>
                <w:sz w:val="14"/>
                <w:szCs w:val="14"/>
                <w:lang w:bidi="en-US"/>
              </w:rPr>
              <w:softHyphen/>
              <w:t>kungen</w:t>
            </w:r>
          </w:p>
        </w:tc>
        <w:tc>
          <w:tcPr>
            <w:tcW w:w="794" w:type="dxa"/>
            <w:tcBorders>
              <w:top w:val="single" w:sz="4" w:space="0" w:color="auto"/>
              <w:left w:val="nil"/>
              <w:bottom w:val="single" w:sz="4" w:space="0" w:color="auto"/>
              <w:right w:val="nil"/>
            </w:tcBorders>
            <w:shd w:val="clear" w:color="auto" w:fill="F2F2F2" w:themeFill="background1" w:themeFillShade="F2"/>
            <w:hideMark/>
          </w:tcPr>
          <w:p w14:paraId="52568C94" w14:textId="77777777" w:rsidR="002A501D" w:rsidRPr="007F69DA" w:rsidRDefault="002A501D" w:rsidP="00F46ACB">
            <w:pPr>
              <w:spacing w:before="40" w:after="40" w:line="160" w:lineRule="exact"/>
              <w:rPr>
                <w:sz w:val="14"/>
                <w:szCs w:val="14"/>
                <w:lang w:bidi="en-US"/>
              </w:rPr>
            </w:pPr>
            <w:r w:rsidRPr="007F69DA">
              <w:rPr>
                <w:sz w:val="14"/>
                <w:szCs w:val="14"/>
                <w:lang w:bidi="en-US"/>
              </w:rPr>
              <w:t>starke Beschrän</w:t>
            </w:r>
            <w:r w:rsidRPr="007F69DA">
              <w:rPr>
                <w:sz w:val="14"/>
                <w:szCs w:val="14"/>
                <w:lang w:bidi="en-US"/>
              </w:rPr>
              <w:softHyphen/>
              <w:t>kungen</w:t>
            </w:r>
          </w:p>
        </w:tc>
        <w:tc>
          <w:tcPr>
            <w:tcW w:w="793" w:type="dxa"/>
            <w:tcBorders>
              <w:top w:val="single" w:sz="4" w:space="0" w:color="auto"/>
              <w:left w:val="nil"/>
              <w:bottom w:val="single" w:sz="4" w:space="0" w:color="auto"/>
              <w:right w:val="nil"/>
            </w:tcBorders>
            <w:shd w:val="clear" w:color="auto" w:fill="F2F2F2" w:themeFill="background1" w:themeFillShade="F2"/>
            <w:hideMark/>
          </w:tcPr>
          <w:p w14:paraId="5D5BF669" w14:textId="77777777" w:rsidR="002A501D" w:rsidRPr="007F69DA" w:rsidRDefault="002A501D" w:rsidP="00F46ACB">
            <w:pPr>
              <w:spacing w:before="40" w:after="40" w:line="160" w:lineRule="exact"/>
              <w:rPr>
                <w:sz w:val="14"/>
                <w:szCs w:val="14"/>
                <w:lang w:bidi="en-US"/>
              </w:rPr>
            </w:pPr>
            <w:r w:rsidRPr="007F69DA">
              <w:rPr>
                <w:sz w:val="14"/>
                <w:szCs w:val="14"/>
                <w:lang w:bidi="en-US"/>
              </w:rPr>
              <w:t>starke Beschrän</w:t>
            </w:r>
            <w:r w:rsidRPr="007F69DA">
              <w:rPr>
                <w:sz w:val="14"/>
                <w:szCs w:val="14"/>
                <w:lang w:bidi="en-US"/>
              </w:rPr>
              <w:softHyphen/>
              <w:t>kungen</w:t>
            </w:r>
          </w:p>
        </w:tc>
        <w:tc>
          <w:tcPr>
            <w:tcW w:w="793" w:type="dxa"/>
            <w:tcBorders>
              <w:top w:val="single" w:sz="4" w:space="0" w:color="auto"/>
              <w:left w:val="nil"/>
              <w:bottom w:val="single" w:sz="4" w:space="0" w:color="auto"/>
              <w:right w:val="nil"/>
            </w:tcBorders>
            <w:shd w:val="clear" w:color="auto" w:fill="F2F2F2" w:themeFill="background1" w:themeFillShade="F2"/>
            <w:hideMark/>
          </w:tcPr>
          <w:p w14:paraId="2C090285" w14:textId="77777777" w:rsidR="002A501D" w:rsidRPr="007F69DA" w:rsidRDefault="002A501D" w:rsidP="00F46ACB">
            <w:pPr>
              <w:spacing w:before="40" w:after="40" w:line="160" w:lineRule="exact"/>
              <w:rPr>
                <w:sz w:val="14"/>
                <w:szCs w:val="14"/>
                <w:lang w:bidi="en-US"/>
              </w:rPr>
            </w:pPr>
            <w:r w:rsidRPr="007F69DA">
              <w:rPr>
                <w:sz w:val="14"/>
                <w:szCs w:val="14"/>
                <w:lang w:bidi="en-US"/>
              </w:rPr>
              <w:t>starke Beschrän</w:t>
            </w:r>
            <w:r w:rsidRPr="007F69DA">
              <w:rPr>
                <w:sz w:val="14"/>
                <w:szCs w:val="14"/>
                <w:lang w:bidi="en-US"/>
              </w:rPr>
              <w:softHyphen/>
              <w:t>kungen</w:t>
            </w:r>
          </w:p>
        </w:tc>
        <w:tc>
          <w:tcPr>
            <w:tcW w:w="819" w:type="dxa"/>
            <w:tcBorders>
              <w:top w:val="single" w:sz="4" w:space="0" w:color="auto"/>
              <w:left w:val="nil"/>
              <w:bottom w:val="single" w:sz="4" w:space="0" w:color="auto"/>
              <w:right w:val="nil"/>
            </w:tcBorders>
            <w:shd w:val="clear" w:color="auto" w:fill="F2F2F2" w:themeFill="background1" w:themeFillShade="F2"/>
            <w:hideMark/>
          </w:tcPr>
          <w:p w14:paraId="70B28320" w14:textId="77777777" w:rsidR="002A501D" w:rsidRPr="007F69DA" w:rsidRDefault="002A501D" w:rsidP="00F46ACB">
            <w:pPr>
              <w:spacing w:before="40" w:after="40" w:line="160" w:lineRule="exact"/>
              <w:jc w:val="center"/>
              <w:rPr>
                <w:sz w:val="14"/>
                <w:szCs w:val="14"/>
                <w:lang w:bidi="en-US"/>
              </w:rPr>
            </w:pPr>
            <w:r w:rsidRPr="007F69DA">
              <w:rPr>
                <w:sz w:val="14"/>
                <w:szCs w:val="14"/>
                <w:lang w:bidi="en-US"/>
              </w:rPr>
              <w:t>gering</w:t>
            </w:r>
          </w:p>
        </w:tc>
        <w:tc>
          <w:tcPr>
            <w:tcW w:w="793" w:type="dxa"/>
            <w:tcBorders>
              <w:top w:val="single" w:sz="4" w:space="0" w:color="auto"/>
              <w:left w:val="nil"/>
              <w:bottom w:val="single" w:sz="4" w:space="0" w:color="auto"/>
              <w:right w:val="nil"/>
            </w:tcBorders>
            <w:shd w:val="clear" w:color="auto" w:fill="F2F2F2" w:themeFill="background1" w:themeFillShade="F2"/>
            <w:hideMark/>
          </w:tcPr>
          <w:p w14:paraId="0B5D6887" w14:textId="77777777" w:rsidR="002A501D" w:rsidRPr="007F69DA" w:rsidRDefault="002A501D" w:rsidP="00F46ACB">
            <w:pPr>
              <w:spacing w:before="40" w:after="40" w:line="160" w:lineRule="exact"/>
              <w:rPr>
                <w:sz w:val="14"/>
                <w:szCs w:val="14"/>
                <w:lang w:bidi="en-US"/>
              </w:rPr>
            </w:pPr>
            <w:r w:rsidRPr="007F69DA">
              <w:rPr>
                <w:sz w:val="14"/>
                <w:szCs w:val="14"/>
                <w:lang w:bidi="en-US"/>
              </w:rPr>
              <w:t>hohe Steuerlast</w:t>
            </w:r>
          </w:p>
        </w:tc>
        <w:tc>
          <w:tcPr>
            <w:tcW w:w="819" w:type="dxa"/>
            <w:tcBorders>
              <w:top w:val="single" w:sz="4" w:space="0" w:color="auto"/>
              <w:left w:val="nil"/>
              <w:bottom w:val="single" w:sz="4" w:space="0" w:color="auto"/>
              <w:right w:val="single" w:sz="4" w:space="0" w:color="auto"/>
            </w:tcBorders>
            <w:shd w:val="clear" w:color="auto" w:fill="F2F2F2" w:themeFill="background1" w:themeFillShade="F2"/>
            <w:hideMark/>
          </w:tcPr>
          <w:p w14:paraId="197FA6F0" w14:textId="77777777" w:rsidR="002A501D" w:rsidRPr="007F69DA" w:rsidRDefault="002A501D" w:rsidP="00F46ACB">
            <w:pPr>
              <w:spacing w:before="40" w:after="40" w:line="160" w:lineRule="exact"/>
              <w:rPr>
                <w:sz w:val="14"/>
                <w:szCs w:val="14"/>
                <w:lang w:bidi="en-US"/>
              </w:rPr>
            </w:pPr>
            <w:r w:rsidRPr="007F69DA">
              <w:rPr>
                <w:sz w:val="14"/>
                <w:szCs w:val="14"/>
                <w:lang w:bidi="en-US"/>
              </w:rPr>
              <w:t>stark</w:t>
            </w:r>
          </w:p>
        </w:tc>
      </w:tr>
    </w:tbl>
    <w:p w14:paraId="51E0030A" w14:textId="77777777" w:rsidR="002A501D" w:rsidRPr="007F69DA" w:rsidRDefault="002A501D" w:rsidP="002A501D">
      <w:pPr>
        <w:spacing w:before="60" w:after="120"/>
        <w:ind w:left="425" w:hanging="425"/>
        <w:rPr>
          <w:sz w:val="12"/>
          <w:szCs w:val="20"/>
          <w:lang w:eastAsia="de-DE"/>
        </w:rPr>
      </w:pPr>
      <w:r w:rsidRPr="007F69DA">
        <w:rPr>
          <w:sz w:val="12"/>
          <w:szCs w:val="20"/>
          <w:lang w:eastAsia="de-DE"/>
        </w:rPr>
        <w:t>Quelle:</w:t>
      </w:r>
      <w:r w:rsidRPr="007F69DA">
        <w:rPr>
          <w:sz w:val="12"/>
          <w:szCs w:val="20"/>
          <w:lang w:eastAsia="de-DE"/>
        </w:rPr>
        <w:tab/>
        <w:t>Eigene Zusammenstellung und Darstellung auf der Basis von BfAi „Länder und Märkte“ sowie Institutional Investor.</w:t>
      </w:r>
    </w:p>
    <w:p w14:paraId="19E18A06" w14:textId="77777777" w:rsidR="002A501D" w:rsidRPr="007F69DA" w:rsidRDefault="002A501D" w:rsidP="002A501D">
      <w:pPr>
        <w:spacing w:before="60" w:after="120"/>
        <w:ind w:left="425" w:hanging="425"/>
        <w:rPr>
          <w:sz w:val="12"/>
          <w:szCs w:val="20"/>
          <w:lang w:eastAsia="de-DE"/>
        </w:rPr>
      </w:pPr>
    </w:p>
    <w:p w14:paraId="7C78D786" w14:textId="77777777" w:rsidR="002A501D" w:rsidRPr="007F69DA" w:rsidRDefault="002A501D" w:rsidP="002A501D">
      <w:pPr>
        <w:pStyle w:val="StandardText"/>
      </w:pPr>
      <w:r w:rsidRPr="007F69DA">
        <w:t>Filterverfahren</w:t>
      </w:r>
    </w:p>
    <w:p w14:paraId="42F13D98" w14:textId="77777777" w:rsidR="002A501D" w:rsidRPr="007F69DA" w:rsidRDefault="002A501D" w:rsidP="002A501D">
      <w:pPr>
        <w:pStyle w:val="StandardText"/>
      </w:pPr>
      <w:r w:rsidRPr="007F69DA">
        <w:t>Die von verschiedenen Autoren vorgeschlagenen Filterverfahren ähneln sich insofern, als sie alle einen mehrstufigen Entscheidungsprozess simulieren. Bemerkenswerte Unterschiede bestehen lediglich hinsichtlich der …</w:t>
      </w:r>
    </w:p>
    <w:p w14:paraId="3BD4CB42" w14:textId="77777777" w:rsidR="002A501D" w:rsidRPr="007F69DA" w:rsidRDefault="002A501D">
      <w:pPr>
        <w:pStyle w:val="StandardText"/>
        <w:numPr>
          <w:ilvl w:val="0"/>
          <w:numId w:val="57"/>
        </w:numPr>
      </w:pPr>
      <w:r w:rsidRPr="007F69DA">
        <w:t xml:space="preserve">Anzahl der vorgesehenen Filterstufen, </w:t>
      </w:r>
    </w:p>
    <w:p w14:paraId="6D86710D" w14:textId="77777777" w:rsidR="002A501D" w:rsidRPr="007F69DA" w:rsidRDefault="002A501D">
      <w:pPr>
        <w:pStyle w:val="StandardText"/>
        <w:numPr>
          <w:ilvl w:val="0"/>
          <w:numId w:val="57"/>
        </w:numPr>
      </w:pPr>
      <w:r w:rsidRPr="007F69DA">
        <w:t xml:space="preserve">zur Beurteilung der Länder verwendeten Kriterien, </w:t>
      </w:r>
    </w:p>
    <w:p w14:paraId="59ABE3E7" w14:textId="77777777" w:rsidR="002A501D" w:rsidRPr="007F69DA" w:rsidRDefault="002A501D">
      <w:pPr>
        <w:pStyle w:val="StandardText"/>
        <w:numPr>
          <w:ilvl w:val="0"/>
          <w:numId w:val="57"/>
        </w:numPr>
      </w:pPr>
      <w:r w:rsidRPr="007F69DA">
        <w:t xml:space="preserve">Art der zur Evaluation der Länder herangezogenen Verfahren (vor allem Checklisten und Punktbewertungsmodelle) und </w:t>
      </w:r>
    </w:p>
    <w:p w14:paraId="3252E937" w14:textId="77777777" w:rsidR="002A501D" w:rsidRPr="007F69DA" w:rsidRDefault="002A501D">
      <w:pPr>
        <w:pStyle w:val="StandardText"/>
        <w:numPr>
          <w:ilvl w:val="0"/>
          <w:numId w:val="57"/>
        </w:numPr>
      </w:pPr>
      <w:r w:rsidRPr="007F69DA">
        <w:t xml:space="preserve">Beurteilungsobjekte (z.B. indirekter Export, Lizenzvergabe, </w:t>
      </w:r>
      <w:r w:rsidRPr="007F69DA">
        <w:sym w:font="Symbol" w:char="F0DE"/>
      </w:r>
      <w:r w:rsidRPr="007F69DA">
        <w:t xml:space="preserve"> Joint Venture). </w:t>
      </w:r>
    </w:p>
    <w:p w14:paraId="31C9A3B8" w14:textId="77777777" w:rsidR="002A501D" w:rsidRPr="007F69DA" w:rsidRDefault="002A501D" w:rsidP="002A501D">
      <w:pPr>
        <w:spacing w:after="20" w:line="360" w:lineRule="auto"/>
        <w:ind w:left="1276" w:hanging="425"/>
        <w:jc w:val="both"/>
        <w:rPr>
          <w:bCs/>
          <w:szCs w:val="24"/>
          <w:lang w:eastAsia="de-DE"/>
        </w:rPr>
      </w:pPr>
    </w:p>
    <w:p w14:paraId="1F9AA14A" w14:textId="77777777" w:rsidR="002A501D" w:rsidRPr="007F69DA" w:rsidRDefault="002A501D" w:rsidP="002A501D">
      <w:pPr>
        <w:pStyle w:val="StandardText"/>
      </w:pPr>
      <w:r w:rsidRPr="007F69DA">
        <w:t xml:space="preserve">Charakteristisch und nach wie vor aktuell ist das vierstufige Verfahren, welches Henzler (1979) für Bauunternehmen entwickelt hat (vgl. Abb. 1. Zunächst wird in der Screening-Phase die Menger der Märkte, die für das Unternehmen prinzipiell in Frage kommen, anhand einfach zugänglicher und plausibler Knock out-Kriterien bzw. Muss-Kriterien reduziert – nach Möglichkeit drastisch, um den im weiteren Verlauf erforderlichen Informationsbeschaffungs- und Informationsverarbeitungsaufwand möglichst frühzeitig spürbar zu reduzieren. Im Mittelpunkt </w:t>
      </w:r>
      <w:r w:rsidRPr="007F69DA">
        <w:lastRenderedPageBreak/>
        <w:t>der Überlegungen steht dabei häufig die Stabilität der wirtschaftlichen bzw. politischen Lage. So unumgänglich dieser pragmatische Ansatz auch sein mag, so gravierend können sich Fehlentscheidungen in dieser frühen Phase des Auswahlprozesses auswirken. Denn die bisweilen nur aufgrund eines Kriteriums (z.B. Länderrisiko) ausgesonderten Länder sind zumeist unwiderruflich von der weiteren Analyse ausgeschlossen. In der zweiten Phase werden die verbleibenden Länder anhand globaler makroökonomischer Kriterien (z.B. Pro-Kopf-Einkommen, Lebenserwartung, Rechtssicherheit) erneut und intensiver bewertet. Gegenstand der dritten und der vierten Selektionsstufe sind die klassischen betriebswirtschaftlichen Entscheidungskriterien (z.B. technologisches Niveau und Qualitätsstandard von Zulieferunternehmen).</w:t>
      </w:r>
    </w:p>
    <w:p w14:paraId="0A2A4663" w14:textId="77777777" w:rsidR="002A501D" w:rsidRPr="007F69DA" w:rsidRDefault="002A501D" w:rsidP="002A501D">
      <w:pPr>
        <w:spacing w:after="20" w:line="360" w:lineRule="auto"/>
        <w:jc w:val="both"/>
        <w:rPr>
          <w:bCs/>
          <w:szCs w:val="24"/>
          <w:lang w:eastAsia="de-DE"/>
        </w:rPr>
      </w:pPr>
    </w:p>
    <w:p w14:paraId="12DB07C7" w14:textId="77777777" w:rsidR="002A501D" w:rsidRPr="00BF04C9" w:rsidRDefault="002A501D" w:rsidP="002A501D">
      <w:pPr>
        <w:keepNext/>
        <w:spacing w:after="120" w:line="360" w:lineRule="auto"/>
        <w:jc w:val="center"/>
        <w:rPr>
          <w:i/>
          <w:szCs w:val="20"/>
          <w:lang w:eastAsia="de-DE"/>
        </w:rPr>
      </w:pPr>
      <w:r w:rsidRPr="00BF04C9">
        <w:rPr>
          <w:i/>
          <w:szCs w:val="20"/>
          <w:lang w:eastAsia="de-DE"/>
        </w:rPr>
        <w:t>Abb. 1: Filterverfahren zur Auswahl geeigneter Ländermärkte</w:t>
      </w:r>
    </w:p>
    <w:p w14:paraId="77C61F87" w14:textId="77777777" w:rsidR="002A501D" w:rsidRPr="007F69DA" w:rsidRDefault="002A501D" w:rsidP="002A501D">
      <w:pPr>
        <w:spacing w:line="360" w:lineRule="auto"/>
        <w:jc w:val="both"/>
        <w:rPr>
          <w:szCs w:val="24"/>
          <w:lang w:eastAsia="de-DE"/>
        </w:rPr>
      </w:pPr>
      <w:r w:rsidRPr="007F69DA">
        <w:rPr>
          <w:noProof/>
          <w:szCs w:val="24"/>
          <w:lang w:eastAsia="de-DE"/>
        </w:rPr>
        <w:drawing>
          <wp:inline distT="0" distB="0" distL="0" distR="0" wp14:anchorId="0D36D99A" wp14:editId="0C46B1B4">
            <wp:extent cx="4791710" cy="3206750"/>
            <wp:effectExtent l="0" t="0" r="8890" b="0"/>
            <wp:docPr id="1014459455" name="Grafik 1014459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4791710" cy="3206750"/>
                    </a:xfrm>
                    <a:prstGeom prst="rect">
                      <a:avLst/>
                    </a:prstGeom>
                    <a:noFill/>
                  </pic:spPr>
                </pic:pic>
              </a:graphicData>
            </a:graphic>
          </wp:inline>
        </w:drawing>
      </w:r>
    </w:p>
    <w:p w14:paraId="06B46DC4" w14:textId="77777777" w:rsidR="002A501D" w:rsidRPr="007F69DA" w:rsidRDefault="002A501D" w:rsidP="002A501D">
      <w:pPr>
        <w:spacing w:before="120" w:after="140" w:line="360" w:lineRule="auto"/>
        <w:ind w:left="709" w:hanging="709"/>
        <w:jc w:val="both"/>
        <w:rPr>
          <w:sz w:val="18"/>
          <w:szCs w:val="20"/>
          <w:lang w:eastAsia="de-DE"/>
        </w:rPr>
      </w:pPr>
      <w:r w:rsidRPr="007F69DA">
        <w:rPr>
          <w:sz w:val="18"/>
          <w:szCs w:val="20"/>
          <w:lang w:eastAsia="de-DE"/>
        </w:rPr>
        <w:t>Quelle:</w:t>
      </w:r>
      <w:r w:rsidRPr="007F69DA">
        <w:rPr>
          <w:sz w:val="18"/>
          <w:szCs w:val="20"/>
          <w:lang w:eastAsia="de-DE"/>
        </w:rPr>
        <w:tab/>
        <w:t>Henzler (1979, S.122); leicht modifiziert.</w:t>
      </w:r>
    </w:p>
    <w:p w14:paraId="52E3A516" w14:textId="77777777" w:rsidR="002A501D" w:rsidRPr="007F69DA" w:rsidRDefault="002A501D" w:rsidP="002A501D">
      <w:pPr>
        <w:spacing w:before="120" w:after="140" w:line="360" w:lineRule="auto"/>
        <w:ind w:left="709" w:hanging="709"/>
        <w:jc w:val="both"/>
        <w:rPr>
          <w:sz w:val="18"/>
          <w:szCs w:val="20"/>
          <w:lang w:eastAsia="de-DE"/>
        </w:rPr>
      </w:pPr>
    </w:p>
    <w:p w14:paraId="02410F44" w14:textId="77777777" w:rsidR="002A501D" w:rsidRPr="007F69DA" w:rsidRDefault="002A501D" w:rsidP="002A501D">
      <w:pPr>
        <w:pStyle w:val="StandardText"/>
      </w:pPr>
      <w:r w:rsidRPr="007F69DA">
        <w:t>Portfolio-Verfahren</w:t>
      </w:r>
    </w:p>
    <w:p w14:paraId="14F3681E" w14:textId="77777777" w:rsidR="002A501D" w:rsidRPr="007F69DA" w:rsidRDefault="002A501D" w:rsidP="002A501D">
      <w:pPr>
        <w:pStyle w:val="StandardText"/>
      </w:pPr>
      <w:r w:rsidRPr="007F69DA">
        <w:t xml:space="preserve">In formaler Analogie zur finanzwirtschaftlichen Portfolioanalyse werden häufig auch Chancen/Risiken-Analysen durchgeführt, um erfolgversprechende Märkte zu identifizieren. Chancen erwachsen insb. aus der Marktattraktivität (z.B. Produktionskostenvorteile, verfügbare Kaufkraft, geringe Wettbewerbsintensität), Risiken aus Markteintrittsbarrieren (z.B. großer Kapitalbedarf, protektionistische Maßnahmen, politische Risiken). Durch Kombination beider Dimensionen (Marktattraktivität und Markteintrittsbarrieren) entsteht eine Typologie von Ländermärkten, die zwischen Kernmärkten, Hoffnungsmärkten, Gelegenheitsmärkten und Abstinenzmärkten unterscheidet (vgl. Tab. 4). </w:t>
      </w:r>
    </w:p>
    <w:p w14:paraId="58EDF428" w14:textId="77777777" w:rsidR="002A501D" w:rsidRPr="007F69DA" w:rsidRDefault="002A501D" w:rsidP="002A501D">
      <w:pPr>
        <w:spacing w:after="20" w:line="360" w:lineRule="auto"/>
        <w:jc w:val="both"/>
        <w:rPr>
          <w:bCs/>
          <w:szCs w:val="24"/>
          <w:lang w:eastAsia="de-DE"/>
        </w:rPr>
      </w:pPr>
    </w:p>
    <w:p w14:paraId="3BBC8849" w14:textId="77777777" w:rsidR="002A501D" w:rsidRPr="00BF04C9" w:rsidRDefault="002A501D" w:rsidP="002A501D">
      <w:pPr>
        <w:spacing w:after="20" w:line="360" w:lineRule="auto"/>
        <w:jc w:val="center"/>
        <w:rPr>
          <w:bCs/>
          <w:i/>
          <w:szCs w:val="24"/>
          <w:lang w:eastAsia="de-DE"/>
        </w:rPr>
      </w:pPr>
      <w:r w:rsidRPr="00BF04C9">
        <w:rPr>
          <w:bCs/>
          <w:i/>
          <w:szCs w:val="24"/>
          <w:lang w:eastAsia="de-DE"/>
        </w:rPr>
        <w:t>Tab. 4: Markttypologie</w:t>
      </w:r>
    </w:p>
    <w:tbl>
      <w:tblPr>
        <w:tblStyle w:val="Tabellenraster"/>
        <w:tblW w:w="0" w:type="auto"/>
        <w:tblLook w:val="04A0" w:firstRow="1" w:lastRow="0" w:firstColumn="1" w:lastColumn="0" w:noHBand="0" w:noVBand="1"/>
      </w:tblPr>
      <w:tblGrid>
        <w:gridCol w:w="4530"/>
        <w:gridCol w:w="4532"/>
      </w:tblGrid>
      <w:tr w:rsidR="002A501D" w:rsidRPr="007F69DA" w14:paraId="7006F8D7" w14:textId="77777777" w:rsidTr="00477EE1">
        <w:tc>
          <w:tcPr>
            <w:tcW w:w="4606" w:type="dxa"/>
            <w:shd w:val="clear" w:color="auto" w:fill="FFF2CC" w:themeFill="accent4" w:themeFillTint="33"/>
          </w:tcPr>
          <w:p w14:paraId="4AC5259F" w14:textId="77777777" w:rsidR="002A501D" w:rsidRPr="00477EE1" w:rsidRDefault="002A501D" w:rsidP="00F46ACB">
            <w:pPr>
              <w:spacing w:after="20" w:line="360" w:lineRule="auto"/>
              <w:rPr>
                <w:bCs/>
                <w:sz w:val="22"/>
                <w:szCs w:val="22"/>
              </w:rPr>
            </w:pPr>
            <w:r w:rsidRPr="00477EE1">
              <w:rPr>
                <w:bCs/>
                <w:sz w:val="22"/>
                <w:szCs w:val="22"/>
              </w:rPr>
              <w:t>Abstinenzmärkte</w:t>
            </w:r>
          </w:p>
          <w:p w14:paraId="08411B15" w14:textId="77777777" w:rsidR="002A501D" w:rsidRPr="007F69DA" w:rsidRDefault="002A501D">
            <w:pPr>
              <w:widowControl/>
              <w:numPr>
                <w:ilvl w:val="0"/>
                <w:numId w:val="18"/>
              </w:numPr>
              <w:autoSpaceDE/>
              <w:autoSpaceDN/>
              <w:spacing w:after="20"/>
              <w:jc w:val="both"/>
              <w:rPr>
                <w:bCs/>
                <w:sz w:val="18"/>
                <w:szCs w:val="18"/>
              </w:rPr>
            </w:pPr>
            <w:r w:rsidRPr="007F69DA">
              <w:rPr>
                <w:bCs/>
                <w:sz w:val="18"/>
                <w:szCs w:val="18"/>
              </w:rPr>
              <w:t>hohe Markteintrittsbarrieren</w:t>
            </w:r>
          </w:p>
          <w:p w14:paraId="44B8B1B2" w14:textId="77777777" w:rsidR="002A501D" w:rsidRPr="007F69DA" w:rsidRDefault="002A501D">
            <w:pPr>
              <w:widowControl/>
              <w:numPr>
                <w:ilvl w:val="0"/>
                <w:numId w:val="18"/>
              </w:numPr>
              <w:autoSpaceDE/>
              <w:autoSpaceDN/>
              <w:spacing w:after="20"/>
              <w:jc w:val="both"/>
              <w:rPr>
                <w:bCs/>
                <w:szCs w:val="24"/>
              </w:rPr>
            </w:pPr>
            <w:r w:rsidRPr="007F69DA">
              <w:rPr>
                <w:bCs/>
                <w:sz w:val="18"/>
                <w:szCs w:val="18"/>
              </w:rPr>
              <w:t>geringe Marktattraktivität</w:t>
            </w:r>
          </w:p>
        </w:tc>
        <w:tc>
          <w:tcPr>
            <w:tcW w:w="4606" w:type="dxa"/>
            <w:shd w:val="clear" w:color="auto" w:fill="FFF2CC" w:themeFill="accent4" w:themeFillTint="33"/>
          </w:tcPr>
          <w:p w14:paraId="7C85D4EC" w14:textId="77777777" w:rsidR="002A501D" w:rsidRPr="00477EE1" w:rsidRDefault="002A501D" w:rsidP="00F46ACB">
            <w:pPr>
              <w:spacing w:after="20" w:line="360" w:lineRule="auto"/>
              <w:jc w:val="both"/>
              <w:rPr>
                <w:bCs/>
                <w:sz w:val="22"/>
                <w:szCs w:val="22"/>
              </w:rPr>
            </w:pPr>
            <w:r w:rsidRPr="00477EE1">
              <w:rPr>
                <w:bCs/>
                <w:sz w:val="22"/>
                <w:szCs w:val="22"/>
              </w:rPr>
              <w:t>Hoffnungsmärkte</w:t>
            </w:r>
          </w:p>
          <w:p w14:paraId="35466B14" w14:textId="77777777" w:rsidR="002A501D" w:rsidRPr="007F69DA" w:rsidRDefault="002A501D">
            <w:pPr>
              <w:widowControl/>
              <w:numPr>
                <w:ilvl w:val="0"/>
                <w:numId w:val="19"/>
              </w:numPr>
              <w:autoSpaceDE/>
              <w:autoSpaceDN/>
              <w:spacing w:after="20"/>
              <w:jc w:val="both"/>
              <w:rPr>
                <w:bCs/>
                <w:sz w:val="18"/>
                <w:szCs w:val="18"/>
              </w:rPr>
            </w:pPr>
            <w:r w:rsidRPr="007F69DA">
              <w:rPr>
                <w:bCs/>
                <w:sz w:val="18"/>
                <w:szCs w:val="18"/>
              </w:rPr>
              <w:t>hohe Markteintrittsbarrieren</w:t>
            </w:r>
          </w:p>
          <w:p w14:paraId="6986B628" w14:textId="77777777" w:rsidR="002A501D" w:rsidRPr="007F69DA" w:rsidRDefault="002A501D">
            <w:pPr>
              <w:widowControl/>
              <w:numPr>
                <w:ilvl w:val="0"/>
                <w:numId w:val="19"/>
              </w:numPr>
              <w:autoSpaceDE/>
              <w:autoSpaceDN/>
              <w:spacing w:after="20" w:line="360" w:lineRule="auto"/>
              <w:jc w:val="both"/>
              <w:rPr>
                <w:bCs/>
                <w:szCs w:val="24"/>
              </w:rPr>
            </w:pPr>
            <w:r w:rsidRPr="007F69DA">
              <w:rPr>
                <w:bCs/>
                <w:sz w:val="18"/>
                <w:szCs w:val="18"/>
              </w:rPr>
              <w:t>große Marktattraktivität</w:t>
            </w:r>
          </w:p>
        </w:tc>
      </w:tr>
      <w:tr w:rsidR="002A501D" w:rsidRPr="007F69DA" w14:paraId="0C754192" w14:textId="77777777" w:rsidTr="00477EE1">
        <w:tc>
          <w:tcPr>
            <w:tcW w:w="4606" w:type="dxa"/>
            <w:shd w:val="clear" w:color="auto" w:fill="FFF2CC" w:themeFill="accent4" w:themeFillTint="33"/>
          </w:tcPr>
          <w:p w14:paraId="568547EA" w14:textId="77777777" w:rsidR="002A501D" w:rsidRPr="00477EE1" w:rsidRDefault="002A501D" w:rsidP="00F46ACB">
            <w:pPr>
              <w:spacing w:after="20" w:line="360" w:lineRule="auto"/>
              <w:jc w:val="both"/>
              <w:rPr>
                <w:bCs/>
                <w:sz w:val="22"/>
                <w:szCs w:val="22"/>
              </w:rPr>
            </w:pPr>
            <w:r w:rsidRPr="00477EE1">
              <w:rPr>
                <w:bCs/>
                <w:sz w:val="22"/>
                <w:szCs w:val="22"/>
              </w:rPr>
              <w:lastRenderedPageBreak/>
              <w:t>Gelegenheitsmärkte</w:t>
            </w:r>
          </w:p>
          <w:p w14:paraId="5224C6EE" w14:textId="77777777" w:rsidR="002A501D" w:rsidRPr="007F69DA" w:rsidRDefault="002A501D">
            <w:pPr>
              <w:widowControl/>
              <w:numPr>
                <w:ilvl w:val="0"/>
                <w:numId w:val="18"/>
              </w:numPr>
              <w:autoSpaceDE/>
              <w:autoSpaceDN/>
              <w:spacing w:after="20"/>
              <w:jc w:val="both"/>
              <w:rPr>
                <w:bCs/>
                <w:sz w:val="18"/>
                <w:szCs w:val="18"/>
              </w:rPr>
            </w:pPr>
            <w:r w:rsidRPr="007F69DA">
              <w:rPr>
                <w:bCs/>
                <w:sz w:val="18"/>
                <w:szCs w:val="18"/>
              </w:rPr>
              <w:t>niedrige Markteintrittsbarrieren</w:t>
            </w:r>
          </w:p>
          <w:p w14:paraId="67F07A04" w14:textId="77777777" w:rsidR="002A501D" w:rsidRPr="007F69DA" w:rsidRDefault="002A501D">
            <w:pPr>
              <w:widowControl/>
              <w:numPr>
                <w:ilvl w:val="0"/>
                <w:numId w:val="20"/>
              </w:numPr>
              <w:autoSpaceDE/>
              <w:autoSpaceDN/>
              <w:spacing w:after="20" w:line="360" w:lineRule="auto"/>
              <w:jc w:val="both"/>
              <w:rPr>
                <w:bCs/>
                <w:szCs w:val="24"/>
              </w:rPr>
            </w:pPr>
            <w:r w:rsidRPr="007F69DA">
              <w:rPr>
                <w:bCs/>
                <w:sz w:val="18"/>
                <w:szCs w:val="18"/>
              </w:rPr>
              <w:t>geringe Marktattraktivität</w:t>
            </w:r>
          </w:p>
        </w:tc>
        <w:tc>
          <w:tcPr>
            <w:tcW w:w="4606" w:type="dxa"/>
            <w:shd w:val="clear" w:color="auto" w:fill="FFF2CC" w:themeFill="accent4" w:themeFillTint="33"/>
          </w:tcPr>
          <w:p w14:paraId="0F85D854" w14:textId="77777777" w:rsidR="002A501D" w:rsidRPr="00477EE1" w:rsidRDefault="002A501D" w:rsidP="00F46ACB">
            <w:pPr>
              <w:spacing w:after="20" w:line="360" w:lineRule="auto"/>
              <w:jc w:val="both"/>
              <w:rPr>
                <w:bCs/>
                <w:sz w:val="22"/>
                <w:szCs w:val="22"/>
              </w:rPr>
            </w:pPr>
            <w:r w:rsidRPr="00477EE1">
              <w:rPr>
                <w:bCs/>
                <w:sz w:val="22"/>
                <w:szCs w:val="22"/>
              </w:rPr>
              <w:t>Kernmärkte</w:t>
            </w:r>
          </w:p>
          <w:p w14:paraId="1CC8BF12" w14:textId="77777777" w:rsidR="002A501D" w:rsidRPr="007F69DA" w:rsidRDefault="002A501D">
            <w:pPr>
              <w:widowControl/>
              <w:numPr>
                <w:ilvl w:val="0"/>
                <w:numId w:val="21"/>
              </w:numPr>
              <w:autoSpaceDE/>
              <w:autoSpaceDN/>
              <w:spacing w:after="20"/>
              <w:ind w:left="781" w:hanging="425"/>
              <w:jc w:val="both"/>
              <w:rPr>
                <w:bCs/>
                <w:sz w:val="18"/>
                <w:szCs w:val="18"/>
              </w:rPr>
            </w:pPr>
            <w:r w:rsidRPr="007F69DA">
              <w:rPr>
                <w:bCs/>
                <w:sz w:val="18"/>
                <w:szCs w:val="18"/>
              </w:rPr>
              <w:t>niedrige Markteintrittsbarrieren</w:t>
            </w:r>
          </w:p>
          <w:p w14:paraId="5C56E3FD" w14:textId="77777777" w:rsidR="002A501D" w:rsidRPr="007F69DA" w:rsidRDefault="002A501D">
            <w:pPr>
              <w:widowControl/>
              <w:numPr>
                <w:ilvl w:val="0"/>
                <w:numId w:val="21"/>
              </w:numPr>
              <w:autoSpaceDE/>
              <w:autoSpaceDN/>
              <w:spacing w:after="20" w:line="360" w:lineRule="auto"/>
              <w:ind w:left="781" w:hanging="425"/>
              <w:jc w:val="both"/>
              <w:rPr>
                <w:bCs/>
                <w:szCs w:val="24"/>
              </w:rPr>
            </w:pPr>
            <w:r w:rsidRPr="007F69DA">
              <w:rPr>
                <w:bCs/>
                <w:sz w:val="18"/>
                <w:szCs w:val="18"/>
              </w:rPr>
              <w:t>große Marktattraktivität</w:t>
            </w:r>
          </w:p>
        </w:tc>
      </w:tr>
    </w:tbl>
    <w:p w14:paraId="09613DA8" w14:textId="77777777" w:rsidR="002A501D" w:rsidRPr="007F69DA" w:rsidRDefault="002A501D" w:rsidP="002A501D">
      <w:pPr>
        <w:spacing w:after="20" w:line="360" w:lineRule="auto"/>
        <w:jc w:val="both"/>
        <w:rPr>
          <w:bCs/>
          <w:szCs w:val="24"/>
          <w:lang w:eastAsia="de-DE"/>
        </w:rPr>
      </w:pPr>
    </w:p>
    <w:p w14:paraId="728711AC" w14:textId="77777777" w:rsidR="002A501D" w:rsidRPr="007F69DA" w:rsidRDefault="002A501D" w:rsidP="002A501D">
      <w:pPr>
        <w:spacing w:after="20" w:line="360" w:lineRule="auto"/>
        <w:jc w:val="both"/>
        <w:rPr>
          <w:bCs/>
          <w:szCs w:val="24"/>
          <w:lang w:eastAsia="de-DE"/>
        </w:rPr>
      </w:pPr>
    </w:p>
    <w:p w14:paraId="42BDE3CD" w14:textId="77777777" w:rsidR="002A501D" w:rsidRPr="007F69DA" w:rsidRDefault="002A501D" w:rsidP="002A501D">
      <w:pPr>
        <w:pStyle w:val="StandardText"/>
      </w:pPr>
      <w:r w:rsidRPr="007F69DA">
        <w:t>Da es hilft, komplexe Sachverhalte auf einfache Weise zu visualisieren, wird das Portfolio-Schema auf vielfältige Weise genutzt. So erkennt man, dass die Handelsunternehmen in den großen Märkten unterschiedliche Strategien verfolgen, wenn, wie in Abb. 2, Einzelhandelsumsatz und Verkaufsfläche standardisiert – d.h. jeweils auf 1.000 Einwohner bezogen – kombiniert werden. Während demnach für Großbritannien und Frankreich eine unterdurchschnittliche Verkaufsflächenausstattung und ein überdurchschnittlicher Einzelhandelsumsatz charakteristisch sind, verhält es sich im deutschen Markt umgekehrt: Trotz eines unterdurchschnittlichen Einzelhandelsumsatzes halten die Handelsunternehmen hier überdurchschnittlich viel Verkaufsfläche pro Kopf der Bevölkerung vor.</w:t>
      </w:r>
    </w:p>
    <w:p w14:paraId="09D9141B" w14:textId="77777777" w:rsidR="002A501D" w:rsidRPr="007F69DA" w:rsidRDefault="002A501D" w:rsidP="002A501D">
      <w:pPr>
        <w:spacing w:line="360" w:lineRule="auto"/>
        <w:jc w:val="both"/>
        <w:rPr>
          <w:bCs/>
          <w:szCs w:val="24"/>
          <w:lang w:eastAsia="de-DE"/>
        </w:rPr>
      </w:pPr>
    </w:p>
    <w:p w14:paraId="67E5011C" w14:textId="77777777" w:rsidR="002A501D" w:rsidRPr="00BF04C9" w:rsidRDefault="002A501D" w:rsidP="002A501D">
      <w:pPr>
        <w:spacing w:after="120" w:line="360" w:lineRule="auto"/>
        <w:jc w:val="center"/>
        <w:rPr>
          <w:i/>
          <w:szCs w:val="20"/>
          <w:lang w:eastAsia="de-DE"/>
        </w:rPr>
      </w:pPr>
      <w:r w:rsidRPr="00BF04C9">
        <w:rPr>
          <w:i/>
          <w:szCs w:val="20"/>
          <w:lang w:eastAsia="de-DE"/>
        </w:rPr>
        <w:t>Abb. 2: Flächenproduktivität &amp; Verkaufsflächenausstattung in der Europäischen Union</w:t>
      </w:r>
    </w:p>
    <w:p w14:paraId="57687CF1" w14:textId="77777777" w:rsidR="002A501D" w:rsidRPr="007F69DA" w:rsidRDefault="002A501D" w:rsidP="002A501D">
      <w:pPr>
        <w:spacing w:line="360" w:lineRule="auto"/>
        <w:jc w:val="both"/>
        <w:rPr>
          <w:szCs w:val="24"/>
          <w:lang w:eastAsia="de-DE"/>
        </w:rPr>
      </w:pPr>
      <w:r w:rsidRPr="007F69DA">
        <w:rPr>
          <w:noProof/>
          <w:szCs w:val="24"/>
          <w:lang w:eastAsia="de-DE"/>
        </w:rPr>
        <w:drawing>
          <wp:inline distT="0" distB="0" distL="0" distR="0" wp14:anchorId="0F1C082E" wp14:editId="4172929F">
            <wp:extent cx="5547995" cy="3255645"/>
            <wp:effectExtent l="0" t="0" r="0" b="1905"/>
            <wp:docPr id="317449599" name="Grafik 317449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5547995" cy="3255645"/>
                    </a:xfrm>
                    <a:prstGeom prst="rect">
                      <a:avLst/>
                    </a:prstGeom>
                    <a:noFill/>
                  </pic:spPr>
                </pic:pic>
              </a:graphicData>
            </a:graphic>
          </wp:inline>
        </w:drawing>
      </w:r>
    </w:p>
    <w:p w14:paraId="5E8E075C" w14:textId="77777777" w:rsidR="002A501D" w:rsidRPr="007F69DA" w:rsidRDefault="002A501D" w:rsidP="002A501D">
      <w:pPr>
        <w:spacing w:before="120" w:line="360" w:lineRule="auto"/>
        <w:ind w:left="709" w:hanging="709"/>
        <w:jc w:val="both"/>
        <w:rPr>
          <w:sz w:val="18"/>
          <w:szCs w:val="20"/>
          <w:lang w:eastAsia="de-DE"/>
        </w:rPr>
      </w:pPr>
      <w:r w:rsidRPr="007F69DA">
        <w:rPr>
          <w:sz w:val="18"/>
          <w:szCs w:val="20"/>
          <w:lang w:eastAsia="de-DE"/>
        </w:rPr>
        <w:t>Quelle:</w:t>
      </w:r>
      <w:r w:rsidRPr="007F69DA">
        <w:rPr>
          <w:sz w:val="18"/>
          <w:szCs w:val="20"/>
          <w:lang w:eastAsia="de-DE"/>
        </w:rPr>
        <w:tab/>
        <w:t>European Retail Network der GfK PRISMA.</w:t>
      </w:r>
    </w:p>
    <w:p w14:paraId="09BD3E26" w14:textId="77777777" w:rsidR="002A501D" w:rsidRPr="007F69DA" w:rsidRDefault="002A501D" w:rsidP="002A501D">
      <w:pPr>
        <w:spacing w:after="20" w:line="360" w:lineRule="auto"/>
        <w:jc w:val="both"/>
        <w:rPr>
          <w:bCs/>
          <w:szCs w:val="24"/>
          <w:lang w:eastAsia="de-DE"/>
        </w:rPr>
      </w:pPr>
    </w:p>
    <w:p w14:paraId="3C05F698" w14:textId="77777777" w:rsidR="002A501D" w:rsidRPr="007F69DA" w:rsidRDefault="002A501D" w:rsidP="002A501D">
      <w:pPr>
        <w:pStyle w:val="StandardText"/>
      </w:pPr>
      <w:bookmarkStart w:id="110" w:name="_Toc417287307"/>
      <w:r w:rsidRPr="007F69DA">
        <w:t>2  Analytische Verfahren</w:t>
      </w:r>
      <w:bookmarkEnd w:id="110"/>
    </w:p>
    <w:p w14:paraId="4BD2074D" w14:textId="77777777" w:rsidR="002A501D" w:rsidRPr="007F69DA" w:rsidRDefault="002A501D" w:rsidP="002A501D">
      <w:pPr>
        <w:pStyle w:val="StandardText"/>
      </w:pPr>
      <w:r w:rsidRPr="007F69DA">
        <w:t xml:space="preserve">Während die Praxis gewöhnlich die heuristischen Verfahren bevorzugt, präferieren Wissenschaftler Gruppierungsverfahren. Dabei werden, häufig mit Hilfe der Clusteranalyse, Gruppen von Ländern gebildet, die sich hinsichtlich der zur Segmentierung herangezogenen Kriterien möglichst ähnlich sind und sich zugleich von den anderen Ländergruppen so deutlich wie möglich unterscheiden. Mit Blick auf die Vermarktung kultursensibler Güter bietet es sich an, Gruppen von Ländermärkten zu bilden, die vergleichbare kulturelle Bedingungen bieten. </w:t>
      </w:r>
    </w:p>
    <w:p w14:paraId="536EE5E5" w14:textId="77777777" w:rsidR="002A501D" w:rsidRPr="007F69DA" w:rsidRDefault="002A501D" w:rsidP="002A501D">
      <w:pPr>
        <w:spacing w:after="20" w:line="360" w:lineRule="auto"/>
        <w:jc w:val="both"/>
        <w:rPr>
          <w:bCs/>
          <w:szCs w:val="24"/>
          <w:lang w:eastAsia="de-DE"/>
        </w:rPr>
      </w:pPr>
    </w:p>
    <w:p w14:paraId="6076629F" w14:textId="77777777" w:rsidR="002A501D" w:rsidRPr="007F69DA" w:rsidRDefault="002A501D" w:rsidP="002A501D">
      <w:r w:rsidRPr="00477EE1">
        <w:rPr>
          <w:b/>
          <w:bCs/>
          <w:i/>
        </w:rPr>
        <w:lastRenderedPageBreak/>
        <w:t>Literatur:</w:t>
      </w:r>
      <w:r w:rsidRPr="00477EE1">
        <w:rPr>
          <w:b/>
          <w:bCs/>
        </w:rPr>
        <w:t xml:space="preserve"> </w:t>
      </w:r>
      <w:r w:rsidRPr="007F69DA">
        <w:t xml:space="preserve">Berndt, R.; Fantapié Altobelli, C.; Sander, M. (2010): Internationales Marketing-Management, 4. Aufl., Berlin: Springer.   Henzler, R. (1962): Betriebswirtschaftslehre des Außenhandels, Wiesbaden: Gabler.    Henzler, H. (1979): Neue Strategie ersetzt den Zufall, Manager Magazin, 9(4): 122-129.   </w:t>
      </w:r>
      <w:r w:rsidRPr="007F69DA">
        <w:rPr>
          <w:lang w:eastAsia="de-DE"/>
        </w:rPr>
        <w:t xml:space="preserve">Köhler, R.; Hüttemann, H. (1989): Marktauswahl im internationalen Marketing. </w:t>
      </w:r>
      <w:r w:rsidRPr="007F69DA">
        <w:rPr>
          <w:iCs/>
          <w:lang w:eastAsia="de-DE"/>
        </w:rPr>
        <w:t xml:space="preserve">Handwörterbuch Export und internationale Unternehmung. </w:t>
      </w:r>
      <w:r w:rsidRPr="007F69DA">
        <w:rPr>
          <w:lang w:eastAsia="de-DE"/>
        </w:rPr>
        <w:t xml:space="preserve">1428-1440, Stuttgart: </w:t>
      </w:r>
      <w:r w:rsidRPr="007F69DA">
        <w:t>Schäffer-Poeschel..   Neubert, M. (2014): Internationale Markterschließung. Vier Schritte zum Aufbau neuer Auslandsmärkte, 3. Aufl., München: MI Wirtschaftsbuch.</w:t>
      </w:r>
    </w:p>
    <w:p w14:paraId="38B26533" w14:textId="77777777" w:rsidR="002A501D" w:rsidRPr="007F69DA" w:rsidRDefault="002A501D" w:rsidP="002A501D"/>
    <w:p w14:paraId="2EE11D89" w14:textId="77777777" w:rsidR="002A501D" w:rsidRPr="007F69DA" w:rsidRDefault="002A501D" w:rsidP="002A501D">
      <w:pPr>
        <w:spacing w:line="276" w:lineRule="auto"/>
        <w:ind w:left="284" w:hanging="284"/>
      </w:pPr>
    </w:p>
    <w:p w14:paraId="39221A3F" w14:textId="77777777" w:rsidR="00FF7799" w:rsidRPr="00D23B88" w:rsidRDefault="00FF7799" w:rsidP="00D23B88">
      <w:pPr>
        <w:keepNext/>
        <w:keepLines/>
        <w:spacing w:before="240"/>
        <w:jc w:val="both"/>
        <w:outlineLvl w:val="1"/>
        <w:rPr>
          <w:b/>
          <w:color w:val="2E74B5"/>
        </w:rPr>
      </w:pPr>
      <w:r w:rsidRPr="00D23B88">
        <w:rPr>
          <w:b/>
          <w:color w:val="2E74B5"/>
        </w:rPr>
        <w:t>Markteintrittsentscheidung</w:t>
      </w:r>
    </w:p>
    <w:p w14:paraId="6C55BFB8" w14:textId="77777777" w:rsidR="00FF7799" w:rsidRPr="00E73F6F" w:rsidRDefault="00FF7799" w:rsidP="00F07781">
      <w:pPr>
        <w:pStyle w:val="StandardText"/>
      </w:pPr>
      <w:r w:rsidRPr="00E73F6F">
        <w:t>wird gemäß der SWOT-Analyse, einem klassischen, portfoliotheoretischen Instrument der strategischen Marketingplanung, hinsichtlich folgender vier Kriterien gefällt:</w:t>
      </w:r>
    </w:p>
    <w:p w14:paraId="30A8F812" w14:textId="77777777" w:rsidR="00FF7799" w:rsidRPr="00E73F6F" w:rsidRDefault="00FF7799" w:rsidP="00F07781">
      <w:pPr>
        <w:pStyle w:val="StandardTextAufzhlung"/>
      </w:pPr>
      <w:r w:rsidRPr="00E73F6F">
        <w:t>S =</w:t>
      </w:r>
      <w:r w:rsidRPr="00E73F6F">
        <w:rPr>
          <w:spacing w:val="-1"/>
        </w:rPr>
        <w:t xml:space="preserve"> </w:t>
      </w:r>
      <w:r w:rsidRPr="00E73F6F">
        <w:t>strengths</w:t>
      </w:r>
    </w:p>
    <w:p w14:paraId="5D4198B0" w14:textId="77777777" w:rsidR="00FF7799" w:rsidRPr="00E73F6F" w:rsidRDefault="00FF7799" w:rsidP="00F07781">
      <w:pPr>
        <w:pStyle w:val="StandardTextAufzhlung"/>
      </w:pPr>
      <w:r w:rsidRPr="00E73F6F">
        <w:t>W =</w:t>
      </w:r>
      <w:r w:rsidRPr="00E73F6F">
        <w:rPr>
          <w:spacing w:val="-1"/>
        </w:rPr>
        <w:t xml:space="preserve"> </w:t>
      </w:r>
      <w:r w:rsidRPr="00E73F6F">
        <w:t>weaknesses</w:t>
      </w:r>
    </w:p>
    <w:p w14:paraId="388B8316" w14:textId="77777777" w:rsidR="00FF7799" w:rsidRPr="00E73F6F" w:rsidRDefault="00FF7799" w:rsidP="00F07781">
      <w:pPr>
        <w:pStyle w:val="StandardTextAufzhlung"/>
      </w:pPr>
      <w:r w:rsidRPr="00E73F6F">
        <w:t>O =</w:t>
      </w:r>
      <w:r w:rsidRPr="00E73F6F">
        <w:rPr>
          <w:spacing w:val="-3"/>
        </w:rPr>
        <w:t xml:space="preserve"> </w:t>
      </w:r>
      <w:r w:rsidRPr="00E73F6F">
        <w:t>opportunities</w:t>
      </w:r>
    </w:p>
    <w:p w14:paraId="5B30B317" w14:textId="77777777" w:rsidR="00FF7799" w:rsidRPr="00E73F6F" w:rsidRDefault="00FF7799" w:rsidP="00F07781">
      <w:pPr>
        <w:pStyle w:val="StandardTextAufzhlung"/>
      </w:pPr>
      <w:r w:rsidRPr="00E73F6F">
        <w:t>T =</w:t>
      </w:r>
      <w:r w:rsidRPr="00E73F6F">
        <w:rPr>
          <w:spacing w:val="-1"/>
        </w:rPr>
        <w:t xml:space="preserve"> </w:t>
      </w:r>
      <w:r w:rsidRPr="00E73F6F">
        <w:t>threats</w:t>
      </w:r>
    </w:p>
    <w:p w14:paraId="765359DC" w14:textId="77777777" w:rsidR="00FF7799" w:rsidRPr="00E73F6F" w:rsidRDefault="00FF7799" w:rsidP="00862DBA">
      <w:pPr>
        <w:spacing w:before="10"/>
        <w:rPr>
          <w:sz w:val="24"/>
          <w:szCs w:val="24"/>
        </w:rPr>
      </w:pPr>
    </w:p>
    <w:p w14:paraId="76AB4B53" w14:textId="77777777" w:rsidR="00FF7799" w:rsidRPr="00D23B88" w:rsidRDefault="00FF7799" w:rsidP="00C83D33">
      <w:pPr>
        <w:pStyle w:val="BeschriftungTab"/>
        <w:rPr>
          <w:i/>
          <w:iCs/>
        </w:rPr>
      </w:pPr>
      <w:r w:rsidRPr="00D23B88">
        <w:rPr>
          <w:i/>
          <w:iCs/>
        </w:rPr>
        <w:t>Abb 1: Überblick SWOT-Analyse</w:t>
      </w:r>
    </w:p>
    <w:p w14:paraId="2475997A" w14:textId="77777777" w:rsidR="00FF7799" w:rsidRPr="00E73F6F" w:rsidRDefault="00FF7799" w:rsidP="00C83D33">
      <w:pPr>
        <w:jc w:val="center"/>
        <w:rPr>
          <w:sz w:val="24"/>
          <w:szCs w:val="24"/>
        </w:rPr>
      </w:pPr>
      <w:r w:rsidRPr="00E73F6F">
        <w:rPr>
          <w:noProof/>
          <w:sz w:val="24"/>
          <w:szCs w:val="24"/>
          <w:lang w:eastAsia="de-DE"/>
        </w:rPr>
        <w:drawing>
          <wp:inline distT="0" distB="0" distL="0" distR="0" wp14:anchorId="6CC01F44" wp14:editId="217C58B5">
            <wp:extent cx="5179161" cy="2788953"/>
            <wp:effectExtent l="0" t="0" r="2540" b="0"/>
            <wp:docPr id="1585" name="Image 15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5" name="Image 1585"/>
                    <pic:cNvPicPr/>
                  </pic:nvPicPr>
                  <pic:blipFill>
                    <a:blip r:embed="rId170" cstate="print"/>
                    <a:stretch>
                      <a:fillRect/>
                    </a:stretch>
                  </pic:blipFill>
                  <pic:spPr>
                    <a:xfrm>
                      <a:off x="0" y="0"/>
                      <a:ext cx="5206099" cy="2803459"/>
                    </a:xfrm>
                    <a:prstGeom prst="rect">
                      <a:avLst/>
                    </a:prstGeom>
                  </pic:spPr>
                </pic:pic>
              </a:graphicData>
            </a:graphic>
          </wp:inline>
        </w:drawing>
      </w:r>
    </w:p>
    <w:p w14:paraId="4E8DAD91" w14:textId="77777777" w:rsidR="00FF7799" w:rsidRPr="00E73F6F" w:rsidRDefault="00FF7799" w:rsidP="00C83D33">
      <w:pPr>
        <w:pStyle w:val="StandardText"/>
      </w:pPr>
    </w:p>
    <w:p w14:paraId="2C48821F" w14:textId="77777777" w:rsidR="00FF7799" w:rsidRPr="00E73F6F" w:rsidRDefault="00FF7799" w:rsidP="00414BDC">
      <w:pPr>
        <w:pStyle w:val="berschrift1"/>
      </w:pPr>
      <w:r w:rsidRPr="00D23B88">
        <w:rPr>
          <w:bCs w:val="0"/>
          <w:color w:val="2E74B5"/>
          <w:sz w:val="22"/>
        </w:rPr>
        <w:t>Markteintrittsstrategie</w:t>
      </w:r>
      <w:r w:rsidRPr="00E73F6F">
        <w:rPr>
          <w:spacing w:val="-7"/>
        </w:rPr>
        <w:t xml:space="preserve"> </w:t>
      </w:r>
      <w:r w:rsidRPr="00E73F6F">
        <w:rPr>
          <w:b w:val="0"/>
        </w:rPr>
        <w:t>→</w:t>
      </w:r>
      <w:r w:rsidRPr="00E73F6F">
        <w:rPr>
          <w:b w:val="0"/>
          <w:spacing w:val="-8"/>
        </w:rPr>
        <w:t xml:space="preserve"> </w:t>
      </w:r>
      <w:r w:rsidRPr="00E73F6F">
        <w:rPr>
          <w:b w:val="0"/>
        </w:rPr>
        <w:t>Nukleus-Strategie</w:t>
      </w:r>
      <w:r w:rsidR="0052536B">
        <w:rPr>
          <w:b w:val="0"/>
        </w:rPr>
        <w:t>;</w:t>
      </w:r>
      <w:r w:rsidRPr="00E73F6F">
        <w:rPr>
          <w:b w:val="0"/>
          <w:spacing w:val="-5"/>
        </w:rPr>
        <w:t xml:space="preserve"> </w:t>
      </w:r>
      <w:r w:rsidRPr="00E73F6F">
        <w:rPr>
          <w:b w:val="0"/>
        </w:rPr>
        <w:t>→</w:t>
      </w:r>
      <w:r w:rsidRPr="00E73F6F">
        <w:rPr>
          <w:b w:val="0"/>
          <w:spacing w:val="-5"/>
        </w:rPr>
        <w:t xml:space="preserve"> </w:t>
      </w:r>
      <w:r w:rsidRPr="00E73F6F">
        <w:rPr>
          <w:b w:val="0"/>
        </w:rPr>
        <w:t>Wassertropfen-</w:t>
      </w:r>
      <w:r w:rsidRPr="00E73F6F">
        <w:rPr>
          <w:b w:val="0"/>
          <w:spacing w:val="-2"/>
        </w:rPr>
        <w:t>Strategie</w:t>
      </w:r>
    </w:p>
    <w:p w14:paraId="74B4AF0F" w14:textId="77777777" w:rsidR="00FF7799" w:rsidRPr="00E73F6F" w:rsidRDefault="00FF7799" w:rsidP="00414BDC">
      <w:pPr>
        <w:pStyle w:val="berschrift1"/>
      </w:pPr>
      <w:r w:rsidRPr="00D23B88">
        <w:rPr>
          <w:bCs w:val="0"/>
          <w:color w:val="2E74B5"/>
          <w:sz w:val="22"/>
        </w:rPr>
        <w:t>Marktforschung</w:t>
      </w:r>
      <w:r w:rsidRPr="00E73F6F">
        <w:t xml:space="preserve"> </w:t>
      </w:r>
      <w:r w:rsidRPr="00E73F6F">
        <w:rPr>
          <w:b w:val="0"/>
          <w:spacing w:val="-10"/>
        </w:rPr>
        <w:t>→</w:t>
      </w:r>
      <w:r w:rsidRPr="00E73F6F">
        <w:rPr>
          <w:b w:val="0"/>
        </w:rPr>
        <w:tab/>
      </w:r>
      <w:r w:rsidRPr="00E73F6F">
        <w:rPr>
          <w:b w:val="0"/>
          <w:spacing w:val="-2"/>
        </w:rPr>
        <w:t>Auslandsmarktforschung</w:t>
      </w:r>
      <w:r w:rsidR="0052536B">
        <w:rPr>
          <w:b w:val="0"/>
          <w:spacing w:val="-2"/>
        </w:rPr>
        <w:t>;</w:t>
      </w:r>
      <w:r w:rsidRPr="00E73F6F">
        <w:rPr>
          <w:b w:val="0"/>
          <w:spacing w:val="-2"/>
        </w:rPr>
        <w:t xml:space="preserve"> </w:t>
      </w:r>
      <w:r w:rsidRPr="00E73F6F">
        <w:rPr>
          <w:b w:val="0"/>
          <w:spacing w:val="-10"/>
        </w:rPr>
        <w:t>→</w:t>
      </w:r>
      <w:r w:rsidRPr="00E73F6F">
        <w:rPr>
          <w:b w:val="0"/>
        </w:rPr>
        <w:t xml:space="preserve"> </w:t>
      </w:r>
      <w:r w:rsidRPr="00E73F6F">
        <w:rPr>
          <w:b w:val="0"/>
          <w:spacing w:val="-2"/>
        </w:rPr>
        <w:t>Internationale Marktforschung</w:t>
      </w:r>
    </w:p>
    <w:p w14:paraId="52ACBD72" w14:textId="77777777" w:rsidR="00FF7799" w:rsidRPr="00D23B88" w:rsidRDefault="00FF7799" w:rsidP="00414BDC">
      <w:pPr>
        <w:pStyle w:val="berschrift1"/>
        <w:rPr>
          <w:bCs w:val="0"/>
          <w:color w:val="2E74B5"/>
          <w:sz w:val="22"/>
        </w:rPr>
      </w:pPr>
      <w:r w:rsidRPr="00D23B88">
        <w:rPr>
          <w:bCs w:val="0"/>
          <w:color w:val="2E74B5"/>
          <w:sz w:val="22"/>
        </w:rPr>
        <w:t>Maskulinität</w:t>
      </w:r>
    </w:p>
    <w:p w14:paraId="47ECA6F0" w14:textId="77777777" w:rsidR="00FF7799" w:rsidRPr="0052536B" w:rsidRDefault="00655E75" w:rsidP="00C83D33">
      <w:pPr>
        <w:pStyle w:val="StandardText"/>
        <w:rPr>
          <w:spacing w:val="-8"/>
        </w:rPr>
      </w:pPr>
      <w:r>
        <w:t xml:space="preserve">äußert sich als </w:t>
      </w:r>
      <w:r w:rsidR="00FF7799" w:rsidRPr="0052536B">
        <w:t>Leistungsbereitschaft, Konkurrenzkampf, Entschlossenheit, Zielerreichung und Karrierestreben. Weiterhin zählen Eigenverantwortlichkeit sowie Handlungswillen zum maskulinen</w:t>
      </w:r>
      <w:r w:rsidR="00FF7799" w:rsidRPr="0052536B">
        <w:rPr>
          <w:spacing w:val="-4"/>
        </w:rPr>
        <w:t xml:space="preserve"> </w:t>
      </w:r>
      <w:r w:rsidR="00FF7799" w:rsidRPr="0052536B">
        <w:t>Kulturprofil.</w:t>
      </w:r>
      <w:r w:rsidR="00FF7799" w:rsidRPr="0052536B">
        <w:rPr>
          <w:spacing w:val="-5"/>
        </w:rPr>
        <w:t xml:space="preserve"> </w:t>
      </w:r>
      <w:r w:rsidR="00FF7799" w:rsidRPr="0052536B">
        <w:t>Um</w:t>
      </w:r>
      <w:r w:rsidR="00FF7799" w:rsidRPr="0052536B">
        <w:rPr>
          <w:spacing w:val="-4"/>
        </w:rPr>
        <w:t xml:space="preserve"> </w:t>
      </w:r>
      <w:r w:rsidR="00FF7799" w:rsidRPr="0052536B">
        <w:t>das</w:t>
      </w:r>
      <w:r w:rsidR="00FF7799" w:rsidRPr="0052536B">
        <w:rPr>
          <w:spacing w:val="-6"/>
        </w:rPr>
        <w:t xml:space="preserve"> </w:t>
      </w:r>
      <w:r w:rsidR="00FF7799" w:rsidRPr="0052536B">
        <w:t>Selbstbild</w:t>
      </w:r>
      <w:r w:rsidR="00FF7799" w:rsidRPr="0052536B">
        <w:rPr>
          <w:spacing w:val="-2"/>
        </w:rPr>
        <w:t xml:space="preserve"> </w:t>
      </w:r>
      <w:r w:rsidR="00FF7799" w:rsidRPr="0052536B">
        <w:t>zu</w:t>
      </w:r>
      <w:r w:rsidR="00FF7799" w:rsidRPr="0052536B">
        <w:rPr>
          <w:spacing w:val="-4"/>
        </w:rPr>
        <w:t xml:space="preserve"> </w:t>
      </w:r>
      <w:r w:rsidR="00FF7799" w:rsidRPr="0052536B">
        <w:t>wahren,</w:t>
      </w:r>
      <w:r w:rsidR="00FF7799" w:rsidRPr="0052536B">
        <w:rPr>
          <w:spacing w:val="-5"/>
        </w:rPr>
        <w:t xml:space="preserve"> </w:t>
      </w:r>
      <w:r w:rsidR="00FF7799" w:rsidRPr="0052536B">
        <w:t>wird</w:t>
      </w:r>
      <w:r w:rsidR="00FF7799" w:rsidRPr="0052536B">
        <w:rPr>
          <w:spacing w:val="-2"/>
        </w:rPr>
        <w:t xml:space="preserve"> </w:t>
      </w:r>
      <w:r w:rsidR="00FF7799" w:rsidRPr="0052536B">
        <w:t>Versagen</w:t>
      </w:r>
      <w:r w:rsidR="00FF7799" w:rsidRPr="0052536B">
        <w:rPr>
          <w:spacing w:val="-4"/>
        </w:rPr>
        <w:t xml:space="preserve"> </w:t>
      </w:r>
      <w:r w:rsidR="00FF7799" w:rsidRPr="0052536B">
        <w:t>unter</w:t>
      </w:r>
      <w:r w:rsidR="00FF7799" w:rsidRPr="0052536B">
        <w:rPr>
          <w:spacing w:val="-3"/>
        </w:rPr>
        <w:t xml:space="preserve"> </w:t>
      </w:r>
      <w:r w:rsidR="00FF7799" w:rsidRPr="0052536B">
        <w:t xml:space="preserve">allen Umständen verschleiert. </w:t>
      </w:r>
      <w:r w:rsidRPr="0052536B">
        <w:t xml:space="preserve">Gemessen an G. Hofstedes Maskulinitätsindex (MAS) sind Japan (MAS = 95), Österreich (MAS = 79) und Ungarn (MAS = 79) </w:t>
      </w:r>
      <w:r>
        <w:t xml:space="preserve">eindeutig </w:t>
      </w:r>
      <w:r w:rsidRPr="0052536B">
        <w:t>maskuline Gesellschaften</w:t>
      </w:r>
      <w:r w:rsidRPr="0052536B">
        <w:rPr>
          <w:spacing w:val="-8"/>
        </w:rPr>
        <w:t xml:space="preserve"> </w:t>
      </w:r>
      <w:r>
        <w:t>(</w:t>
      </w:r>
      <w:r>
        <w:sym w:font="Symbol" w:char="F0DE"/>
      </w:r>
      <w:r w:rsidRPr="0052536B">
        <w:rPr>
          <w:spacing w:val="-8"/>
        </w:rPr>
        <w:t xml:space="preserve"> </w:t>
      </w:r>
      <w:r w:rsidRPr="0052536B">
        <w:t>Kulturdimension).</w:t>
      </w:r>
      <w:r w:rsidRPr="0052536B">
        <w:rPr>
          <w:spacing w:val="-8"/>
        </w:rPr>
        <w:t xml:space="preserve"> </w:t>
      </w:r>
      <w:r w:rsidR="00FF7799" w:rsidRPr="0052536B">
        <w:t xml:space="preserve">Schweden (MAS = 5), Norweger (MAS = 8), Niederländer (MAS = 14) und andere </w:t>
      </w:r>
      <w:r w:rsidR="00FF7799" w:rsidRPr="0052536B">
        <w:lastRenderedPageBreak/>
        <w:t>Angehörige femininer Gesellschaften orientieren sich hingegen an Werten wie Bescheidenheit, Solidarität, zwischenmenschliche Nähe oder Sicherheit (vgl. Tab. 1).</w:t>
      </w:r>
    </w:p>
    <w:p w14:paraId="5CCD2DF0" w14:textId="77777777" w:rsidR="00FF7799" w:rsidRPr="0052536B" w:rsidRDefault="00FF7799" w:rsidP="00862DBA">
      <w:pPr>
        <w:rPr>
          <w:sz w:val="24"/>
          <w:szCs w:val="24"/>
        </w:rPr>
      </w:pPr>
    </w:p>
    <w:p w14:paraId="4668277B" w14:textId="77777777" w:rsidR="00FF7799" w:rsidRPr="00D23B88" w:rsidRDefault="00FF7799" w:rsidP="00C83D33">
      <w:pPr>
        <w:pStyle w:val="BeschriftungTab"/>
        <w:rPr>
          <w:i/>
          <w:iCs/>
        </w:rPr>
      </w:pPr>
      <w:r w:rsidRPr="00D23B88">
        <w:rPr>
          <w:i/>
          <w:iCs/>
        </w:rPr>
        <w:t>Tab. 1: Konsequenzen</w:t>
      </w:r>
      <w:r w:rsidRPr="00D23B88">
        <w:rPr>
          <w:i/>
          <w:iCs/>
          <w:spacing w:val="-2"/>
        </w:rPr>
        <w:t xml:space="preserve"> </w:t>
      </w:r>
      <w:r w:rsidRPr="00D23B88">
        <w:rPr>
          <w:i/>
          <w:iCs/>
        </w:rPr>
        <w:t>von</w:t>
      </w:r>
      <w:r w:rsidRPr="00D23B88">
        <w:rPr>
          <w:i/>
          <w:iCs/>
          <w:spacing w:val="-2"/>
        </w:rPr>
        <w:t xml:space="preserve"> </w:t>
      </w:r>
      <w:r w:rsidRPr="00D23B88">
        <w:rPr>
          <w:i/>
          <w:iCs/>
        </w:rPr>
        <w:t>Maskulinität</w:t>
      </w:r>
      <w:r w:rsidRPr="00D23B88">
        <w:rPr>
          <w:i/>
          <w:iCs/>
          <w:spacing w:val="-2"/>
        </w:rPr>
        <w:t xml:space="preserve"> </w:t>
      </w:r>
      <w:r w:rsidRPr="00D23B88">
        <w:rPr>
          <w:i/>
          <w:iCs/>
        </w:rPr>
        <w:t>und</w:t>
      </w:r>
      <w:r w:rsidRPr="00D23B88">
        <w:rPr>
          <w:i/>
          <w:iCs/>
          <w:spacing w:val="-2"/>
        </w:rPr>
        <w:t xml:space="preserve"> </w:t>
      </w:r>
      <w:r w:rsidRPr="00D23B88">
        <w:rPr>
          <w:i/>
          <w:iCs/>
        </w:rPr>
        <w:t>Femini</w:t>
      </w:r>
      <w:r w:rsidR="00270173" w:rsidRPr="00D23B88">
        <w:rPr>
          <w:i/>
          <w:iCs/>
        </w:rPr>
        <w:t>ni</w:t>
      </w:r>
      <w:r w:rsidRPr="00D23B88">
        <w:rPr>
          <w:i/>
          <w:iCs/>
        </w:rPr>
        <w:t>tät</w:t>
      </w:r>
      <w:r w:rsidRPr="00D23B88">
        <w:rPr>
          <w:i/>
          <w:iCs/>
          <w:spacing w:val="-2"/>
        </w:rPr>
        <w:t xml:space="preserve"> </w:t>
      </w:r>
      <w:r w:rsidRPr="00D23B88">
        <w:rPr>
          <w:i/>
          <w:iCs/>
        </w:rPr>
        <w:t>für</w:t>
      </w:r>
      <w:r w:rsidRPr="00D23B88">
        <w:rPr>
          <w:i/>
          <w:iCs/>
          <w:spacing w:val="-3"/>
        </w:rPr>
        <w:t xml:space="preserve"> </w:t>
      </w:r>
      <w:r w:rsidRPr="00D23B88">
        <w:rPr>
          <w:i/>
          <w:iCs/>
        </w:rPr>
        <w:t>das</w:t>
      </w:r>
      <w:r w:rsidRPr="00D23B88">
        <w:rPr>
          <w:i/>
          <w:iCs/>
          <w:spacing w:val="-2"/>
        </w:rPr>
        <w:t xml:space="preserve"> Arbeitsleben</w:t>
      </w:r>
    </w:p>
    <w:tbl>
      <w:tblPr>
        <w:tblStyle w:val="TableNormal"/>
        <w:tblW w:w="5000" w:type="pct"/>
        <w:tblBorders>
          <w:top w:val="single" w:sz="4" w:space="0" w:color="000000"/>
          <w:bottom w:val="single" w:sz="4" w:space="0" w:color="000000"/>
          <w:insideH w:val="single" w:sz="4" w:space="0" w:color="000000"/>
        </w:tblBorders>
        <w:tblLook w:val="01E0" w:firstRow="1" w:lastRow="1" w:firstColumn="1" w:lastColumn="1" w:noHBand="0" w:noVBand="0"/>
      </w:tblPr>
      <w:tblGrid>
        <w:gridCol w:w="4549"/>
        <w:gridCol w:w="4523"/>
      </w:tblGrid>
      <w:tr w:rsidR="00FF7799" w:rsidRPr="00E73F6F" w14:paraId="1EADDED8" w14:textId="77777777" w:rsidTr="00270173">
        <w:trPr>
          <w:trHeight w:val="314"/>
          <w:tblHeader/>
        </w:trPr>
        <w:tc>
          <w:tcPr>
            <w:tcW w:w="2507" w:type="pct"/>
            <w:shd w:val="clear" w:color="auto" w:fill="FFC000" w:themeFill="accent4"/>
          </w:tcPr>
          <w:p w14:paraId="24BF649D" w14:textId="77F2F705" w:rsidR="00FF7799" w:rsidRPr="00E73F6F" w:rsidRDefault="00D23B88" w:rsidP="004C3317">
            <w:pPr>
              <w:pStyle w:val="StandardText"/>
              <w:spacing w:after="120"/>
              <w:jc w:val="center"/>
              <w:rPr>
                <w:b/>
                <w:lang w:val="de-DE"/>
              </w:rPr>
            </w:pPr>
            <w:r>
              <w:rPr>
                <w:b/>
                <w:lang w:val="de-DE"/>
              </w:rPr>
              <w:t>m</w:t>
            </w:r>
            <w:r w:rsidR="00FF7799" w:rsidRPr="00E73F6F">
              <w:rPr>
                <w:b/>
                <w:lang w:val="de-DE"/>
              </w:rPr>
              <w:t>askuline</w:t>
            </w:r>
            <w:r w:rsidR="00FF7799" w:rsidRPr="00E73F6F">
              <w:rPr>
                <w:b/>
                <w:spacing w:val="-10"/>
                <w:lang w:val="de-DE"/>
              </w:rPr>
              <w:t xml:space="preserve"> </w:t>
            </w:r>
            <w:r w:rsidR="00FF7799" w:rsidRPr="00E73F6F">
              <w:rPr>
                <w:b/>
                <w:lang w:val="de-DE"/>
              </w:rPr>
              <w:t>Gesellschaft</w:t>
            </w:r>
          </w:p>
        </w:tc>
        <w:tc>
          <w:tcPr>
            <w:tcW w:w="2493" w:type="pct"/>
            <w:shd w:val="clear" w:color="auto" w:fill="FFC000" w:themeFill="accent4"/>
          </w:tcPr>
          <w:p w14:paraId="5D83A716" w14:textId="4CC2ED91" w:rsidR="00FF7799" w:rsidRPr="00E73F6F" w:rsidRDefault="00D23B88" w:rsidP="004C3317">
            <w:pPr>
              <w:pStyle w:val="StandardText"/>
              <w:spacing w:after="120"/>
              <w:jc w:val="center"/>
              <w:rPr>
                <w:b/>
                <w:lang w:val="de-DE"/>
              </w:rPr>
            </w:pPr>
            <w:r>
              <w:rPr>
                <w:b/>
                <w:lang w:val="de-DE"/>
              </w:rPr>
              <w:t>f</w:t>
            </w:r>
            <w:r w:rsidR="00FF7799" w:rsidRPr="00E73F6F">
              <w:rPr>
                <w:b/>
                <w:lang w:val="de-DE"/>
              </w:rPr>
              <w:t>eminine</w:t>
            </w:r>
            <w:r w:rsidR="00FF7799" w:rsidRPr="00E73F6F">
              <w:rPr>
                <w:b/>
                <w:spacing w:val="-4"/>
                <w:lang w:val="de-DE"/>
              </w:rPr>
              <w:t xml:space="preserve"> </w:t>
            </w:r>
            <w:r w:rsidR="00FF7799" w:rsidRPr="00E73F6F">
              <w:rPr>
                <w:b/>
                <w:lang w:val="de-DE"/>
              </w:rPr>
              <w:t>Gesellschaft</w:t>
            </w:r>
          </w:p>
        </w:tc>
      </w:tr>
      <w:tr w:rsidR="00FF7799" w:rsidRPr="00E73F6F" w14:paraId="3F064DAE" w14:textId="77777777" w:rsidTr="004C3317">
        <w:trPr>
          <w:trHeight w:val="401"/>
        </w:trPr>
        <w:tc>
          <w:tcPr>
            <w:tcW w:w="2507" w:type="pct"/>
          </w:tcPr>
          <w:p w14:paraId="0F4AD4DF" w14:textId="77777777" w:rsidR="00FF7799" w:rsidRPr="00E73F6F" w:rsidRDefault="00FF7799" w:rsidP="004C3317">
            <w:pPr>
              <w:pStyle w:val="StandardText"/>
              <w:jc w:val="left"/>
              <w:rPr>
                <w:lang w:val="de-DE"/>
              </w:rPr>
            </w:pPr>
            <w:r w:rsidRPr="00E73F6F">
              <w:rPr>
                <w:lang w:val="de-DE"/>
              </w:rPr>
              <w:t>Durchsetzungsvermögen</w:t>
            </w:r>
          </w:p>
        </w:tc>
        <w:tc>
          <w:tcPr>
            <w:tcW w:w="2493" w:type="pct"/>
          </w:tcPr>
          <w:p w14:paraId="44D51EAB" w14:textId="77777777" w:rsidR="00FF7799" w:rsidRPr="00E73F6F" w:rsidRDefault="00FF7799" w:rsidP="004C3317">
            <w:pPr>
              <w:pStyle w:val="StandardText"/>
              <w:jc w:val="left"/>
              <w:rPr>
                <w:lang w:val="de-DE"/>
              </w:rPr>
            </w:pPr>
            <w:r w:rsidRPr="00E73F6F">
              <w:rPr>
                <w:lang w:val="de-DE"/>
              </w:rPr>
              <w:t>Anpassungsbereitschaft</w:t>
            </w:r>
          </w:p>
        </w:tc>
      </w:tr>
      <w:tr w:rsidR="00FF7799" w:rsidRPr="00E73F6F" w14:paraId="074ADA02" w14:textId="77777777" w:rsidTr="004C3317">
        <w:trPr>
          <w:trHeight w:val="368"/>
        </w:trPr>
        <w:tc>
          <w:tcPr>
            <w:tcW w:w="2507" w:type="pct"/>
          </w:tcPr>
          <w:p w14:paraId="6FDED198" w14:textId="77777777" w:rsidR="00FF7799" w:rsidRPr="00E73F6F" w:rsidRDefault="00FF7799" w:rsidP="004C3317">
            <w:pPr>
              <w:pStyle w:val="StandardText"/>
              <w:jc w:val="left"/>
              <w:rPr>
                <w:lang w:val="de-DE"/>
              </w:rPr>
            </w:pPr>
            <w:r w:rsidRPr="00E73F6F">
              <w:rPr>
                <w:lang w:val="de-DE"/>
              </w:rPr>
              <w:t>Selbstbewusstes</w:t>
            </w:r>
            <w:r w:rsidRPr="00E73F6F">
              <w:rPr>
                <w:spacing w:val="55"/>
                <w:lang w:val="de-DE"/>
              </w:rPr>
              <w:t xml:space="preserve"> </w:t>
            </w:r>
            <w:r w:rsidRPr="00E73F6F">
              <w:rPr>
                <w:lang w:val="de-DE"/>
              </w:rPr>
              <w:t>Verhalten</w:t>
            </w:r>
            <w:r w:rsidRPr="00E73F6F">
              <w:rPr>
                <w:spacing w:val="54"/>
                <w:lang w:val="de-DE"/>
              </w:rPr>
              <w:t xml:space="preserve"> </w:t>
            </w:r>
            <w:r w:rsidRPr="00E73F6F">
              <w:rPr>
                <w:lang w:val="de-DE"/>
              </w:rPr>
              <w:t>ist</w:t>
            </w:r>
            <w:r w:rsidRPr="00E73F6F">
              <w:rPr>
                <w:spacing w:val="55"/>
                <w:lang w:val="de-DE"/>
              </w:rPr>
              <w:t xml:space="preserve"> </w:t>
            </w:r>
            <w:r w:rsidRPr="00E73F6F">
              <w:rPr>
                <w:lang w:val="de-DE"/>
              </w:rPr>
              <w:t>sozial erwünscht</w:t>
            </w:r>
          </w:p>
        </w:tc>
        <w:tc>
          <w:tcPr>
            <w:tcW w:w="2493" w:type="pct"/>
          </w:tcPr>
          <w:p w14:paraId="521B95B3" w14:textId="77777777" w:rsidR="00FF7799" w:rsidRPr="00E73F6F" w:rsidRDefault="00FF7799" w:rsidP="004C3317">
            <w:pPr>
              <w:pStyle w:val="StandardText"/>
              <w:jc w:val="left"/>
              <w:rPr>
                <w:lang w:val="de-DE"/>
              </w:rPr>
            </w:pPr>
            <w:r w:rsidRPr="00E73F6F">
              <w:rPr>
                <w:lang w:val="de-DE"/>
              </w:rPr>
              <w:t>Selbstbewusstes</w:t>
            </w:r>
            <w:r w:rsidRPr="00E73F6F">
              <w:rPr>
                <w:spacing w:val="-9"/>
                <w:lang w:val="de-DE"/>
              </w:rPr>
              <w:t xml:space="preserve"> </w:t>
            </w:r>
            <w:r w:rsidRPr="00E73F6F">
              <w:rPr>
                <w:lang w:val="de-DE"/>
              </w:rPr>
              <w:t>Verhalten</w:t>
            </w:r>
            <w:r w:rsidRPr="00E73F6F">
              <w:rPr>
                <w:spacing w:val="-8"/>
                <w:lang w:val="de-DE"/>
              </w:rPr>
              <w:t xml:space="preserve"> </w:t>
            </w:r>
            <w:r w:rsidRPr="00E73F6F">
              <w:rPr>
                <w:lang w:val="de-DE"/>
              </w:rPr>
              <w:t>wirkt</w:t>
            </w:r>
            <w:r w:rsidRPr="00E73F6F">
              <w:rPr>
                <w:spacing w:val="-9"/>
                <w:lang w:val="de-DE"/>
              </w:rPr>
              <w:t xml:space="preserve"> </w:t>
            </w:r>
            <w:r w:rsidRPr="00E73F6F">
              <w:rPr>
                <w:lang w:val="de-DE"/>
              </w:rPr>
              <w:t>lächerlich</w:t>
            </w:r>
          </w:p>
        </w:tc>
      </w:tr>
      <w:tr w:rsidR="00FF7799" w:rsidRPr="00E73F6F" w14:paraId="17BD71C9" w14:textId="77777777" w:rsidTr="004C3317">
        <w:trPr>
          <w:trHeight w:val="193"/>
        </w:trPr>
        <w:tc>
          <w:tcPr>
            <w:tcW w:w="2507" w:type="pct"/>
          </w:tcPr>
          <w:p w14:paraId="5D9A3A5E" w14:textId="77777777" w:rsidR="00FF7799" w:rsidRPr="00E73F6F" w:rsidRDefault="00FF7799" w:rsidP="004C3317">
            <w:pPr>
              <w:pStyle w:val="StandardText"/>
              <w:jc w:val="left"/>
              <w:rPr>
                <w:lang w:val="de-DE"/>
              </w:rPr>
            </w:pPr>
            <w:r w:rsidRPr="00E73F6F">
              <w:rPr>
                <w:lang w:val="de-DE"/>
              </w:rPr>
              <w:t>Imponiergehabe</w:t>
            </w:r>
          </w:p>
        </w:tc>
        <w:tc>
          <w:tcPr>
            <w:tcW w:w="2493" w:type="pct"/>
          </w:tcPr>
          <w:p w14:paraId="00BE1878" w14:textId="77777777" w:rsidR="00FF7799" w:rsidRPr="00E73F6F" w:rsidRDefault="00FF7799" w:rsidP="004C3317">
            <w:pPr>
              <w:pStyle w:val="StandardText"/>
              <w:jc w:val="left"/>
              <w:rPr>
                <w:lang w:val="de-DE"/>
              </w:rPr>
            </w:pPr>
            <w:r w:rsidRPr="00E73F6F">
              <w:rPr>
                <w:lang w:val="de-DE"/>
              </w:rPr>
              <w:t>Understatement</w:t>
            </w:r>
          </w:p>
        </w:tc>
      </w:tr>
      <w:tr w:rsidR="00FF7799" w:rsidRPr="00E73F6F" w14:paraId="6A96580E" w14:textId="77777777" w:rsidTr="004C3317">
        <w:trPr>
          <w:trHeight w:val="400"/>
        </w:trPr>
        <w:tc>
          <w:tcPr>
            <w:tcW w:w="2507" w:type="pct"/>
          </w:tcPr>
          <w:p w14:paraId="59C2FCB8" w14:textId="77777777" w:rsidR="00FF7799" w:rsidRPr="00E73F6F" w:rsidRDefault="00FF7799" w:rsidP="004C3317">
            <w:pPr>
              <w:pStyle w:val="StandardText"/>
              <w:jc w:val="left"/>
              <w:rPr>
                <w:lang w:val="de-DE"/>
              </w:rPr>
            </w:pPr>
            <w:r w:rsidRPr="00E73F6F">
              <w:rPr>
                <w:lang w:val="de-DE"/>
              </w:rPr>
              <w:t>Karriere</w:t>
            </w:r>
            <w:r w:rsidRPr="00E73F6F">
              <w:rPr>
                <w:spacing w:val="-7"/>
                <w:lang w:val="de-DE"/>
              </w:rPr>
              <w:t xml:space="preserve"> </w:t>
            </w:r>
            <w:r w:rsidRPr="00E73F6F">
              <w:rPr>
                <w:lang w:val="de-DE"/>
              </w:rPr>
              <w:t>besitzt</w:t>
            </w:r>
            <w:r w:rsidRPr="00E73F6F">
              <w:rPr>
                <w:spacing w:val="-6"/>
                <w:lang w:val="de-DE"/>
              </w:rPr>
              <w:t xml:space="preserve"> </w:t>
            </w:r>
            <w:r w:rsidRPr="00E73F6F">
              <w:rPr>
                <w:lang w:val="de-DE"/>
              </w:rPr>
              <w:t>einen</w:t>
            </w:r>
            <w:r w:rsidRPr="00E73F6F">
              <w:rPr>
                <w:spacing w:val="-6"/>
                <w:lang w:val="de-DE"/>
              </w:rPr>
              <w:t xml:space="preserve"> </w:t>
            </w:r>
            <w:r w:rsidRPr="00E73F6F">
              <w:rPr>
                <w:lang w:val="de-DE"/>
              </w:rPr>
              <w:t>hohen</w:t>
            </w:r>
            <w:r w:rsidRPr="00E73F6F">
              <w:rPr>
                <w:spacing w:val="-3"/>
                <w:lang w:val="de-DE"/>
              </w:rPr>
              <w:t xml:space="preserve"> </w:t>
            </w:r>
            <w:r w:rsidRPr="00E73F6F">
              <w:rPr>
                <w:lang w:val="de-DE"/>
              </w:rPr>
              <w:t>Stellenwert</w:t>
            </w:r>
          </w:p>
        </w:tc>
        <w:tc>
          <w:tcPr>
            <w:tcW w:w="2493" w:type="pct"/>
          </w:tcPr>
          <w:p w14:paraId="2865F5E0" w14:textId="77777777" w:rsidR="00FF7799" w:rsidRPr="00E73F6F" w:rsidRDefault="00FF7799" w:rsidP="004C3317">
            <w:pPr>
              <w:pStyle w:val="StandardText"/>
              <w:jc w:val="left"/>
              <w:rPr>
                <w:lang w:val="de-DE"/>
              </w:rPr>
            </w:pPr>
            <w:r w:rsidRPr="00E73F6F">
              <w:rPr>
                <w:lang w:val="de-DE"/>
              </w:rPr>
              <w:t xml:space="preserve">Lebensqualität besitzt </w:t>
            </w:r>
            <w:r w:rsidRPr="00E73F6F">
              <w:rPr>
                <w:spacing w:val="-4"/>
                <w:lang w:val="de-DE"/>
              </w:rPr>
              <w:t>einen</w:t>
            </w:r>
            <w:r w:rsidRPr="00E73F6F">
              <w:rPr>
                <w:lang w:val="de-DE"/>
              </w:rPr>
              <w:tab/>
            </w:r>
            <w:r w:rsidRPr="00E73F6F">
              <w:rPr>
                <w:spacing w:val="-4"/>
                <w:lang w:val="de-DE"/>
              </w:rPr>
              <w:t>hohen</w:t>
            </w:r>
            <w:r w:rsidRPr="00E73F6F">
              <w:rPr>
                <w:spacing w:val="40"/>
                <w:lang w:val="de-DE"/>
              </w:rPr>
              <w:t xml:space="preserve"> </w:t>
            </w:r>
            <w:r w:rsidRPr="00E73F6F">
              <w:rPr>
                <w:lang w:val="de-DE"/>
              </w:rPr>
              <w:t>Stellenwert</w:t>
            </w:r>
          </w:p>
        </w:tc>
      </w:tr>
      <w:tr w:rsidR="00FF7799" w:rsidRPr="00E73F6F" w14:paraId="3DCD0A21" w14:textId="77777777" w:rsidTr="004C3317">
        <w:trPr>
          <w:trHeight w:val="217"/>
        </w:trPr>
        <w:tc>
          <w:tcPr>
            <w:tcW w:w="2507" w:type="pct"/>
          </w:tcPr>
          <w:p w14:paraId="24BD0E71" w14:textId="77777777" w:rsidR="00FF7799" w:rsidRPr="00E73F6F" w:rsidRDefault="00FF7799" w:rsidP="004C3317">
            <w:pPr>
              <w:pStyle w:val="StandardText"/>
              <w:jc w:val="left"/>
              <w:rPr>
                <w:lang w:val="de-DE"/>
              </w:rPr>
            </w:pPr>
            <w:r w:rsidRPr="00E73F6F">
              <w:rPr>
                <w:lang w:val="de-DE"/>
              </w:rPr>
              <w:t>Leistungsorientierung</w:t>
            </w:r>
          </w:p>
        </w:tc>
        <w:tc>
          <w:tcPr>
            <w:tcW w:w="2493" w:type="pct"/>
          </w:tcPr>
          <w:p w14:paraId="03DFDA79" w14:textId="77777777" w:rsidR="00FF7799" w:rsidRPr="00E73F6F" w:rsidRDefault="00FF7799" w:rsidP="004C3317">
            <w:pPr>
              <w:pStyle w:val="StandardText"/>
              <w:jc w:val="left"/>
              <w:rPr>
                <w:lang w:val="de-DE"/>
              </w:rPr>
            </w:pPr>
            <w:r w:rsidRPr="00E73F6F">
              <w:rPr>
                <w:lang w:val="de-DE"/>
              </w:rPr>
              <w:t>Einfühlungsvermögen</w:t>
            </w:r>
          </w:p>
        </w:tc>
      </w:tr>
      <w:tr w:rsidR="00FF7799" w:rsidRPr="00E73F6F" w14:paraId="04356026" w14:textId="77777777" w:rsidTr="004C3317">
        <w:trPr>
          <w:trHeight w:val="388"/>
        </w:trPr>
        <w:tc>
          <w:tcPr>
            <w:tcW w:w="2507" w:type="pct"/>
          </w:tcPr>
          <w:p w14:paraId="7E0A7A56" w14:textId="77777777" w:rsidR="00FF7799" w:rsidRPr="00E73F6F" w:rsidRDefault="00FF7799" w:rsidP="004C3317">
            <w:pPr>
              <w:pStyle w:val="StandardText"/>
              <w:jc w:val="left"/>
              <w:rPr>
                <w:lang w:val="de-DE"/>
              </w:rPr>
            </w:pPr>
            <w:r w:rsidRPr="00E73F6F">
              <w:rPr>
                <w:lang w:val="de-DE"/>
              </w:rPr>
              <w:t>Wettbewerb</w:t>
            </w:r>
            <w:r w:rsidRPr="00E73F6F">
              <w:rPr>
                <w:spacing w:val="-7"/>
                <w:lang w:val="de-DE"/>
              </w:rPr>
              <w:t xml:space="preserve"> </w:t>
            </w:r>
            <w:r w:rsidRPr="00E73F6F">
              <w:rPr>
                <w:lang w:val="de-DE"/>
              </w:rPr>
              <w:t>und</w:t>
            </w:r>
            <w:r w:rsidRPr="00E73F6F">
              <w:rPr>
                <w:spacing w:val="-6"/>
                <w:lang w:val="de-DE"/>
              </w:rPr>
              <w:t xml:space="preserve"> </w:t>
            </w:r>
            <w:r w:rsidRPr="00E73F6F">
              <w:rPr>
                <w:lang w:val="de-DE"/>
              </w:rPr>
              <w:t>Konfliktbereitschaft</w:t>
            </w:r>
          </w:p>
        </w:tc>
        <w:tc>
          <w:tcPr>
            <w:tcW w:w="2493" w:type="pct"/>
          </w:tcPr>
          <w:p w14:paraId="73043A16" w14:textId="77777777" w:rsidR="00FF7799" w:rsidRPr="00E73F6F" w:rsidRDefault="00FF7799" w:rsidP="004C3317">
            <w:pPr>
              <w:pStyle w:val="StandardText"/>
              <w:jc w:val="left"/>
              <w:rPr>
                <w:lang w:val="de-DE"/>
              </w:rPr>
            </w:pPr>
            <w:r w:rsidRPr="00E73F6F">
              <w:rPr>
                <w:lang w:val="de-DE"/>
              </w:rPr>
              <w:t>Kooperation</w:t>
            </w:r>
            <w:r w:rsidRPr="00E73F6F">
              <w:rPr>
                <w:spacing w:val="-7"/>
                <w:lang w:val="de-DE"/>
              </w:rPr>
              <w:t xml:space="preserve"> </w:t>
            </w:r>
            <w:r w:rsidRPr="00E73F6F">
              <w:rPr>
                <w:lang w:val="de-DE"/>
              </w:rPr>
              <w:t>und</w:t>
            </w:r>
            <w:r w:rsidRPr="00E73F6F">
              <w:rPr>
                <w:spacing w:val="-7"/>
                <w:lang w:val="de-DE"/>
              </w:rPr>
              <w:t xml:space="preserve"> </w:t>
            </w:r>
            <w:r w:rsidRPr="00E73F6F">
              <w:rPr>
                <w:lang w:val="de-DE"/>
              </w:rPr>
              <w:t>Kompromissbereitschaft</w:t>
            </w:r>
          </w:p>
        </w:tc>
      </w:tr>
    </w:tbl>
    <w:p w14:paraId="0EB6328D" w14:textId="77777777" w:rsidR="00FF7799" w:rsidRPr="00E73F6F" w:rsidRDefault="00FF7799" w:rsidP="00C83D33">
      <w:pPr>
        <w:pStyle w:val="StandardText"/>
      </w:pPr>
    </w:p>
    <w:p w14:paraId="7EBE0D28" w14:textId="77777777" w:rsidR="00FF7799" w:rsidRPr="00D23B88" w:rsidRDefault="00FF7799" w:rsidP="00414BDC">
      <w:pPr>
        <w:pStyle w:val="berschrift1"/>
        <w:rPr>
          <w:bCs w:val="0"/>
          <w:color w:val="2E74B5"/>
          <w:sz w:val="22"/>
        </w:rPr>
      </w:pPr>
      <w:r w:rsidRPr="00D23B88">
        <w:rPr>
          <w:bCs w:val="0"/>
          <w:color w:val="2E74B5"/>
          <w:sz w:val="22"/>
        </w:rPr>
        <w:t>Mediations-Effekt</w:t>
      </w:r>
    </w:p>
    <w:p w14:paraId="5C0BB1BD" w14:textId="77777777" w:rsidR="00FF7799" w:rsidRPr="00E73F6F" w:rsidRDefault="00FF7799" w:rsidP="004C3317">
      <w:pPr>
        <w:pStyle w:val="StandardText"/>
      </w:pPr>
      <w:r w:rsidRPr="00E73F6F">
        <w:t>liegt vor, wenn eine Beziehung zwischen der unabhängigen (hier: Landeskultur) und der abhängigen Variablen (hier: Einstellung zur Werbung) nur nachweisbar ist,</w:t>
      </w:r>
      <w:r w:rsidRPr="00E73F6F">
        <w:rPr>
          <w:spacing w:val="-5"/>
        </w:rPr>
        <w:t xml:space="preserve"> </w:t>
      </w:r>
      <w:r w:rsidRPr="00E73F6F">
        <w:t>wenn</w:t>
      </w:r>
      <w:r w:rsidRPr="00E73F6F">
        <w:rPr>
          <w:spacing w:val="-4"/>
        </w:rPr>
        <w:t xml:space="preserve"> </w:t>
      </w:r>
      <w:r w:rsidRPr="00E73F6F">
        <w:t>man</w:t>
      </w:r>
      <w:r w:rsidRPr="00E73F6F">
        <w:rPr>
          <w:spacing w:val="-4"/>
        </w:rPr>
        <w:t xml:space="preserve"> </w:t>
      </w:r>
      <w:r w:rsidRPr="00E73F6F">
        <w:t>eine</w:t>
      </w:r>
      <w:r w:rsidRPr="00E73F6F">
        <w:rPr>
          <w:spacing w:val="-6"/>
        </w:rPr>
        <w:t xml:space="preserve"> </w:t>
      </w:r>
      <w:r w:rsidRPr="00E73F6F">
        <w:t>Mediator-Variable</w:t>
      </w:r>
      <w:r w:rsidRPr="00E73F6F">
        <w:rPr>
          <w:spacing w:val="-6"/>
        </w:rPr>
        <w:t xml:space="preserve"> </w:t>
      </w:r>
      <w:r w:rsidRPr="00E73F6F">
        <w:t>in</w:t>
      </w:r>
      <w:r w:rsidRPr="00E73F6F">
        <w:rPr>
          <w:spacing w:val="-4"/>
        </w:rPr>
        <w:t xml:space="preserve"> </w:t>
      </w:r>
      <w:r w:rsidRPr="00E73F6F">
        <w:t>das</w:t>
      </w:r>
      <w:r w:rsidRPr="00E73F6F">
        <w:rPr>
          <w:spacing w:val="-6"/>
        </w:rPr>
        <w:t xml:space="preserve"> </w:t>
      </w:r>
      <w:r w:rsidRPr="00E73F6F">
        <w:t>Erklärungsmodell</w:t>
      </w:r>
      <w:r w:rsidRPr="00E73F6F">
        <w:rPr>
          <w:spacing w:val="-7"/>
        </w:rPr>
        <w:t xml:space="preserve"> </w:t>
      </w:r>
      <w:r w:rsidRPr="00E73F6F">
        <w:t>einführt</w:t>
      </w:r>
      <w:r w:rsidRPr="00E73F6F">
        <w:rPr>
          <w:spacing w:val="-2"/>
        </w:rPr>
        <w:t xml:space="preserve"> </w:t>
      </w:r>
      <w:r w:rsidRPr="00E73F6F">
        <w:t>(hier:</w:t>
      </w:r>
      <w:r w:rsidRPr="00E73F6F">
        <w:rPr>
          <w:spacing w:val="36"/>
        </w:rPr>
        <w:t xml:space="preserve"> </w:t>
      </w:r>
      <w:r w:rsidRPr="00E73F6F">
        <w:t>Art des Selbstbildes).</w:t>
      </w:r>
    </w:p>
    <w:p w14:paraId="47AE8364" w14:textId="77777777" w:rsidR="00FF7799" w:rsidRPr="00E73F6F" w:rsidRDefault="00FF7799" w:rsidP="004C3317">
      <w:pPr>
        <w:pStyle w:val="StandardText"/>
      </w:pPr>
    </w:p>
    <w:p w14:paraId="0CF3641B" w14:textId="77777777" w:rsidR="00FF7799" w:rsidRPr="00E73F6F" w:rsidRDefault="00FF7799" w:rsidP="00414BDC">
      <w:pPr>
        <w:pStyle w:val="berschrift1"/>
      </w:pPr>
      <w:r w:rsidRPr="00D23B88">
        <w:rPr>
          <w:bCs w:val="0"/>
          <w:color w:val="2E74B5"/>
          <w:sz w:val="22"/>
        </w:rPr>
        <w:t>Mehrebenen-Analyse</w:t>
      </w:r>
      <w:r w:rsidRPr="00E73F6F">
        <w:t xml:space="preserve"> </w:t>
      </w:r>
      <w:r w:rsidRPr="00E73F6F">
        <w:rPr>
          <w:b w:val="0"/>
        </w:rPr>
        <w:sym w:font="Symbol" w:char="F0AE"/>
      </w:r>
      <w:r w:rsidRPr="00E73F6F">
        <w:rPr>
          <w:b w:val="0"/>
        </w:rPr>
        <w:t xml:space="preserve"> Multi Level-Analyse</w:t>
      </w:r>
    </w:p>
    <w:p w14:paraId="70540BF0" w14:textId="41307F3B" w:rsidR="00FF7799" w:rsidRPr="00D23B88" w:rsidRDefault="00005C21" w:rsidP="00414BDC">
      <w:pPr>
        <w:pStyle w:val="berschrift1"/>
        <w:rPr>
          <w:bCs w:val="0"/>
          <w:color w:val="2E74B5"/>
          <w:sz w:val="22"/>
        </w:rPr>
      </w:pPr>
      <w:r w:rsidRPr="00D23B88">
        <w:rPr>
          <w:bCs w:val="0"/>
          <w:color w:val="2E74B5"/>
          <w:sz w:val="22"/>
        </w:rPr>
        <w:t>Meta</w:t>
      </w:r>
      <w:r w:rsidR="00F4632A" w:rsidRPr="00D23B88">
        <w:rPr>
          <w:bCs w:val="0"/>
          <w:color w:val="2E74B5"/>
          <w:sz w:val="22"/>
        </w:rPr>
        <w:t>-A</w:t>
      </w:r>
      <w:r w:rsidR="00FF7799" w:rsidRPr="00D23B88">
        <w:rPr>
          <w:bCs w:val="0"/>
          <w:color w:val="2E74B5"/>
          <w:sz w:val="22"/>
        </w:rPr>
        <w:t>nalyse</w:t>
      </w:r>
    </w:p>
    <w:p w14:paraId="635AF5DD" w14:textId="77777777" w:rsidR="00FF7799" w:rsidRPr="00655E75" w:rsidRDefault="00FF7799" w:rsidP="00DE3A56">
      <w:pPr>
        <w:pStyle w:val="StandardTextkursiv"/>
        <w:rPr>
          <w:i w:val="0"/>
        </w:rPr>
      </w:pPr>
      <w:r w:rsidRPr="00655E75">
        <w:rPr>
          <w:i w:val="0"/>
        </w:rPr>
        <w:t>1 Anliegen</w:t>
      </w:r>
    </w:p>
    <w:p w14:paraId="44D6F028" w14:textId="08A87BC2" w:rsidR="00FF7799" w:rsidRPr="00655E75" w:rsidRDefault="00FF7799" w:rsidP="00DE3A56">
      <w:pPr>
        <w:pStyle w:val="StandardText"/>
      </w:pPr>
      <w:r w:rsidRPr="00655E75">
        <w:t>Das Erkenntnisziel dieses Analyseverfahrens lässt sich folgendermaßen zusa</w:t>
      </w:r>
      <w:r w:rsidR="003F42CD">
        <w:t>mmenfassen: Mit Hilfe von Meta</w:t>
      </w:r>
      <w:r w:rsidR="00F4632A">
        <w:t>-A</w:t>
      </w:r>
      <w:r w:rsidRPr="00655E75">
        <w:t>nalysen werden empirische Befunde, die in verschiedenen, voneinander unabhängigen</w:t>
      </w:r>
      <w:r w:rsidRPr="00655E75">
        <w:rPr>
          <w:spacing w:val="-12"/>
        </w:rPr>
        <w:t xml:space="preserve"> </w:t>
      </w:r>
      <w:r w:rsidRPr="00655E75">
        <w:t>Studien</w:t>
      </w:r>
      <w:r w:rsidRPr="00655E75">
        <w:rPr>
          <w:spacing w:val="-11"/>
        </w:rPr>
        <w:t xml:space="preserve"> </w:t>
      </w:r>
      <w:r w:rsidRPr="00655E75">
        <w:t>ermittelt</w:t>
      </w:r>
      <w:r w:rsidRPr="00655E75">
        <w:rPr>
          <w:spacing w:val="-11"/>
        </w:rPr>
        <w:t xml:space="preserve"> </w:t>
      </w:r>
      <w:r w:rsidRPr="00655E75">
        <w:t>wurden,</w:t>
      </w:r>
      <w:r w:rsidRPr="00655E75">
        <w:rPr>
          <w:spacing w:val="-11"/>
        </w:rPr>
        <w:t xml:space="preserve"> </w:t>
      </w:r>
      <w:r w:rsidRPr="00655E75">
        <w:t>methodenkritisch</w:t>
      </w:r>
      <w:r w:rsidRPr="00655E75">
        <w:rPr>
          <w:spacing w:val="-12"/>
        </w:rPr>
        <w:t xml:space="preserve"> </w:t>
      </w:r>
      <w:r w:rsidRPr="00655E75">
        <w:t>bewertet</w:t>
      </w:r>
      <w:r w:rsidRPr="00655E75">
        <w:rPr>
          <w:spacing w:val="-11"/>
        </w:rPr>
        <w:t xml:space="preserve"> </w:t>
      </w:r>
      <w:r w:rsidRPr="00655E75">
        <w:t>(evaluiert)</w:t>
      </w:r>
      <w:r w:rsidRPr="00655E75">
        <w:rPr>
          <w:spacing w:val="-11"/>
        </w:rPr>
        <w:t xml:space="preserve"> </w:t>
      </w:r>
      <w:r w:rsidRPr="00655E75">
        <w:t>und zu einem</w:t>
      </w:r>
      <w:r w:rsidRPr="00655E75">
        <w:rPr>
          <w:spacing w:val="-2"/>
        </w:rPr>
        <w:t xml:space="preserve"> </w:t>
      </w:r>
      <w:r w:rsidRPr="00655E75">
        <w:t>Gesamtbefund zusammengefasst.</w:t>
      </w:r>
      <w:r w:rsidRPr="00655E75">
        <w:rPr>
          <w:spacing w:val="-1"/>
        </w:rPr>
        <w:t xml:space="preserve"> </w:t>
      </w:r>
      <w:r w:rsidRPr="00655E75">
        <w:t>Diese</w:t>
      </w:r>
      <w:r w:rsidRPr="00655E75">
        <w:rPr>
          <w:spacing w:val="-2"/>
        </w:rPr>
        <w:t xml:space="preserve"> </w:t>
      </w:r>
      <w:r w:rsidRPr="00655E75">
        <w:t>Forschungsstrategie</w:t>
      </w:r>
      <w:r w:rsidRPr="00655E75">
        <w:rPr>
          <w:spacing w:val="-2"/>
        </w:rPr>
        <w:t xml:space="preserve"> </w:t>
      </w:r>
      <w:r w:rsidRPr="00655E75">
        <w:t>ermöglicht es, den „State of the Art“ zu ermitteln und zu dokumentieren: den aktuellen Kenntnisstand einer Wissenschaft.</w:t>
      </w:r>
      <w:r w:rsidR="00DB5E2D">
        <w:t xml:space="preserve"> So kann man </w:t>
      </w:r>
      <w:r w:rsidRPr="00655E75">
        <w:t>erkennen, welche Befunde generalisierbar sind, weil ihnen systematische Effekte zu Grunde liegen, und welche vermutlich zufällig zustande gekommen sind. Da sie dabei eine Vielzahl von Forschungsergebnissen von</w:t>
      </w:r>
      <w:r w:rsidRPr="00655E75">
        <w:rPr>
          <w:spacing w:val="-4"/>
        </w:rPr>
        <w:t xml:space="preserve"> </w:t>
      </w:r>
      <w:r w:rsidRPr="00655E75">
        <w:t>einer</w:t>
      </w:r>
      <w:r w:rsidRPr="00655E75">
        <w:rPr>
          <w:spacing w:val="-5"/>
        </w:rPr>
        <w:t xml:space="preserve"> </w:t>
      </w:r>
      <w:r w:rsidRPr="00655E75">
        <w:t>übergeordneten,</w:t>
      </w:r>
      <w:r w:rsidRPr="00655E75">
        <w:rPr>
          <w:spacing w:val="-7"/>
        </w:rPr>
        <w:t xml:space="preserve"> </w:t>
      </w:r>
      <w:r w:rsidRPr="00655E75">
        <w:t>d.h.</w:t>
      </w:r>
      <w:r w:rsidRPr="00655E75">
        <w:rPr>
          <w:spacing w:val="-5"/>
        </w:rPr>
        <w:t xml:space="preserve"> </w:t>
      </w:r>
      <w:r w:rsidRPr="00655E75">
        <w:t>einer</w:t>
      </w:r>
      <w:r w:rsidRPr="00655E75">
        <w:rPr>
          <w:spacing w:val="-5"/>
        </w:rPr>
        <w:t xml:space="preserve"> </w:t>
      </w:r>
      <w:r w:rsidRPr="00655E75">
        <w:t>(Meta-)Ebene</w:t>
      </w:r>
      <w:r w:rsidRPr="00655E75">
        <w:rPr>
          <w:spacing w:val="-6"/>
        </w:rPr>
        <w:t xml:space="preserve"> </w:t>
      </w:r>
      <w:r w:rsidRPr="00655E75">
        <w:t>aus</w:t>
      </w:r>
      <w:r w:rsidRPr="00655E75">
        <w:rPr>
          <w:spacing w:val="-6"/>
        </w:rPr>
        <w:t xml:space="preserve"> </w:t>
      </w:r>
      <w:r w:rsidRPr="00655E75">
        <w:t>betrachten,</w:t>
      </w:r>
      <w:r w:rsidRPr="00655E75">
        <w:rPr>
          <w:spacing w:val="-7"/>
        </w:rPr>
        <w:t xml:space="preserve"> </w:t>
      </w:r>
      <w:r w:rsidRPr="00655E75">
        <w:t>also</w:t>
      </w:r>
      <w:r w:rsidRPr="00655E75">
        <w:rPr>
          <w:spacing w:val="-4"/>
        </w:rPr>
        <w:t xml:space="preserve"> </w:t>
      </w:r>
      <w:r w:rsidRPr="00655E75">
        <w:t>„Analysen anal</w:t>
      </w:r>
      <w:r w:rsidR="003F42CD">
        <w:t>ysieren“, spricht man von Meta-</w:t>
      </w:r>
      <w:r w:rsidR="00F4632A">
        <w:t>A</w:t>
      </w:r>
      <w:r w:rsidRPr="00655E75">
        <w:t>nalyse.</w:t>
      </w:r>
    </w:p>
    <w:p w14:paraId="04C7FA23" w14:textId="77777777" w:rsidR="00FF7799" w:rsidRPr="00655E75" w:rsidRDefault="00FF7799" w:rsidP="00DE3A56">
      <w:pPr>
        <w:pStyle w:val="StandardText"/>
      </w:pPr>
    </w:p>
    <w:p w14:paraId="06D3CEC2" w14:textId="77777777" w:rsidR="00FF7799" w:rsidRPr="00655E75" w:rsidRDefault="00FF7799" w:rsidP="00DE3A56">
      <w:pPr>
        <w:pStyle w:val="StandardTextkursiv"/>
        <w:rPr>
          <w:i w:val="0"/>
        </w:rPr>
      </w:pPr>
      <w:r w:rsidRPr="00655E75">
        <w:rPr>
          <w:i w:val="0"/>
        </w:rPr>
        <w:t>2 Anwendungen</w:t>
      </w:r>
    </w:p>
    <w:p w14:paraId="06AFAB3E" w14:textId="0A829533" w:rsidR="00FF7799" w:rsidRPr="00655E75" w:rsidRDefault="003F42CD" w:rsidP="00DE3A56">
      <w:pPr>
        <w:pStyle w:val="StandardText"/>
      </w:pPr>
      <w:r>
        <w:t>Meta</w:t>
      </w:r>
      <w:r w:rsidR="00F4632A">
        <w:t>-a</w:t>
      </w:r>
      <w:r w:rsidR="00FF7799" w:rsidRPr="00655E75">
        <w:t>nalytisch wurde u.a. versucht zu klären, ob zwischen Schulleistung und voraussichtlichem Studienerfolg ein signifikanter Zusammenhang besteht. Um diese Frage beantworten zu können, ermittelten Trapman et al. (2007) alle seit 1980 in einem europäischen Land durchgeführten einschlägigen Studie</w:t>
      </w:r>
      <w:r>
        <w:t>n. Ihre Meta</w:t>
      </w:r>
      <w:r w:rsidR="00F4632A">
        <w:t>-A</w:t>
      </w:r>
      <w:r w:rsidR="00FF7799" w:rsidRPr="00655E75">
        <w:t>nalyse der insgesamt 83 Zusammenhangskoeffizienten ergab für die durchschnittliche</w:t>
      </w:r>
      <w:r w:rsidR="00FF7799" w:rsidRPr="00655E75">
        <w:rPr>
          <w:spacing w:val="24"/>
        </w:rPr>
        <w:t xml:space="preserve"> </w:t>
      </w:r>
      <w:r w:rsidR="00FF7799" w:rsidRPr="00655E75">
        <w:t>Schulnote</w:t>
      </w:r>
      <w:r w:rsidR="00FF7799" w:rsidRPr="00655E75">
        <w:rPr>
          <w:spacing w:val="24"/>
        </w:rPr>
        <w:t xml:space="preserve"> </w:t>
      </w:r>
      <w:r w:rsidR="00FF7799" w:rsidRPr="00655E75">
        <w:t>eine</w:t>
      </w:r>
      <w:r w:rsidR="00FF7799" w:rsidRPr="00655E75">
        <w:rPr>
          <w:spacing w:val="22"/>
        </w:rPr>
        <w:t xml:space="preserve"> </w:t>
      </w:r>
      <w:r w:rsidR="00FF7799" w:rsidRPr="00655E75">
        <w:t>mittlere</w:t>
      </w:r>
      <w:r w:rsidR="00FF7799" w:rsidRPr="00655E75">
        <w:rPr>
          <w:spacing w:val="24"/>
        </w:rPr>
        <w:t xml:space="preserve"> </w:t>
      </w:r>
      <w:r w:rsidR="00FF7799" w:rsidRPr="00655E75">
        <w:t>korrigierte</w:t>
      </w:r>
      <w:r w:rsidR="00FF7799" w:rsidRPr="00655E75">
        <w:rPr>
          <w:spacing w:val="25"/>
        </w:rPr>
        <w:t xml:space="preserve"> </w:t>
      </w:r>
      <w:r w:rsidR="00FF7799" w:rsidRPr="00655E75">
        <w:t>Prognosevalidität</w:t>
      </w:r>
      <w:r w:rsidR="00FF7799" w:rsidRPr="00655E75">
        <w:rPr>
          <w:spacing w:val="25"/>
        </w:rPr>
        <w:t xml:space="preserve"> </w:t>
      </w:r>
      <w:r w:rsidR="00FF7799" w:rsidRPr="00655E75">
        <w:t>von</w:t>
      </w:r>
      <w:r w:rsidR="00FF7799" w:rsidRPr="00655E75">
        <w:rPr>
          <w:spacing w:val="24"/>
        </w:rPr>
        <w:t xml:space="preserve"> </w:t>
      </w:r>
      <w:r w:rsidR="00FF7799" w:rsidRPr="00655E75">
        <w:rPr>
          <w:spacing w:val="-4"/>
        </w:rPr>
        <w:t xml:space="preserve">.26 bis </w:t>
      </w:r>
      <w:r w:rsidR="00FF7799" w:rsidRPr="00655E75">
        <w:t xml:space="preserve">.53. Somit kann man den voraussichtlichen Studienerfolg zu 8-26% durch die Schulleistung prognostizieren, je nachdem, um welches Studienfach es sich handelt, wie groß die </w:t>
      </w:r>
      <w:r w:rsidR="00FF7799" w:rsidRPr="00655E75">
        <w:lastRenderedPageBreak/>
        <w:t>Zeitspanne zwischen Schulleistung und Studi</w:t>
      </w:r>
      <w:r w:rsidR="00655E75">
        <w:t xml:space="preserve">enleistung ist und wie </w:t>
      </w:r>
      <w:r w:rsidR="00F4632A">
        <w:t xml:space="preserve">weitere </w:t>
      </w:r>
      <w:r w:rsidR="00F4632A" w:rsidRPr="00655E75">
        <w:t>Moderatoren</w:t>
      </w:r>
      <w:r w:rsidR="00FF7799" w:rsidRPr="00655E75">
        <w:t xml:space="preserve"> ausgeprägt sind.</w:t>
      </w:r>
    </w:p>
    <w:p w14:paraId="1C4916EF" w14:textId="77777777" w:rsidR="00FF7799" w:rsidRPr="00E73F6F" w:rsidRDefault="00FF7799" w:rsidP="00DE3A56">
      <w:pPr>
        <w:pStyle w:val="StandardText"/>
      </w:pPr>
      <w:r w:rsidRPr="00E73F6F">
        <w:t>Der zentrale Gedanke, die Ergebnisse empirischer Studien mit Hilfe statistischer Verfahren zu verdichten, ist nicht neu. Als einer der ersten schlug Tippett (1931) vor, einzelne Wahrscheinlichkeitswerte zu aggregieren, um Effekte auch dann nachweisen zu können, wenn in den zu Grunde liegenden Primärstudien das erforderliche Signifikanzniveau verfehlt wird (häufig aufgrund zu geringer Fallzahlen). Zeitgleich versuchten Agrar- und Naturwissenschaftler, Forschungsergebnisse</w:t>
      </w:r>
      <w:r w:rsidRPr="00E73F6F">
        <w:rPr>
          <w:spacing w:val="-3"/>
        </w:rPr>
        <w:t xml:space="preserve"> </w:t>
      </w:r>
      <w:r w:rsidRPr="00E73F6F">
        <w:t>zu aggregieren</w:t>
      </w:r>
      <w:r w:rsidRPr="00E73F6F">
        <w:rPr>
          <w:spacing w:val="-1"/>
        </w:rPr>
        <w:t xml:space="preserve"> </w:t>
      </w:r>
      <w:r w:rsidRPr="00E73F6F">
        <w:t>bzw. zu</w:t>
      </w:r>
      <w:r w:rsidRPr="00E73F6F">
        <w:rPr>
          <w:spacing w:val="-1"/>
        </w:rPr>
        <w:t xml:space="preserve"> </w:t>
      </w:r>
      <w:r w:rsidRPr="00E73F6F">
        <w:t>integrieren.</w:t>
      </w:r>
      <w:r w:rsidRPr="00E73F6F">
        <w:rPr>
          <w:spacing w:val="-1"/>
        </w:rPr>
        <w:t xml:space="preserve"> </w:t>
      </w:r>
      <w:r w:rsidRPr="00E73F6F">
        <w:t>Allerdings</w:t>
      </w:r>
      <w:r w:rsidRPr="00E73F6F">
        <w:rPr>
          <w:spacing w:val="-2"/>
        </w:rPr>
        <w:t xml:space="preserve"> </w:t>
      </w:r>
      <w:r w:rsidRPr="00E73F6F">
        <w:t>konnte</w:t>
      </w:r>
      <w:r w:rsidRPr="00E73F6F">
        <w:rPr>
          <w:spacing w:val="-2"/>
        </w:rPr>
        <w:t xml:space="preserve"> </w:t>
      </w:r>
      <w:r w:rsidRPr="00E73F6F">
        <w:t>man damals die damit verbundenen methodologischen Probleme nicht befriedigend lösen. In den 1950er-Jahren interessierten sich dann auch Sozialwissenschaftler erstmals</w:t>
      </w:r>
      <w:r w:rsidRPr="00E73F6F">
        <w:rPr>
          <w:spacing w:val="39"/>
        </w:rPr>
        <w:t xml:space="preserve"> </w:t>
      </w:r>
      <w:r w:rsidRPr="00E73F6F">
        <w:t>für</w:t>
      </w:r>
      <w:r w:rsidRPr="00E73F6F">
        <w:rPr>
          <w:spacing w:val="42"/>
        </w:rPr>
        <w:t xml:space="preserve"> </w:t>
      </w:r>
      <w:r w:rsidRPr="00E73F6F">
        <w:t>diese</w:t>
      </w:r>
      <w:r w:rsidRPr="00E73F6F">
        <w:rPr>
          <w:spacing w:val="40"/>
        </w:rPr>
        <w:t xml:space="preserve"> </w:t>
      </w:r>
      <w:r w:rsidRPr="00E73F6F">
        <w:t>Thematik.</w:t>
      </w:r>
      <w:r w:rsidRPr="00E73F6F">
        <w:rPr>
          <w:spacing w:val="40"/>
        </w:rPr>
        <w:t xml:space="preserve"> </w:t>
      </w:r>
      <w:r w:rsidRPr="00E73F6F">
        <w:t>Mitte</w:t>
      </w:r>
      <w:r w:rsidRPr="00E73F6F">
        <w:rPr>
          <w:spacing w:val="41"/>
        </w:rPr>
        <w:t xml:space="preserve"> </w:t>
      </w:r>
      <w:r w:rsidRPr="00E73F6F">
        <w:t>der</w:t>
      </w:r>
      <w:r w:rsidRPr="00E73F6F">
        <w:rPr>
          <w:spacing w:val="40"/>
        </w:rPr>
        <w:t xml:space="preserve"> </w:t>
      </w:r>
      <w:r w:rsidRPr="00E73F6F">
        <w:t>1970er-Jahre</w:t>
      </w:r>
      <w:r w:rsidRPr="00E73F6F">
        <w:rPr>
          <w:spacing w:val="40"/>
        </w:rPr>
        <w:t xml:space="preserve"> </w:t>
      </w:r>
      <w:r w:rsidRPr="00E73F6F">
        <w:t>wurden</w:t>
      </w:r>
      <w:r w:rsidRPr="00E73F6F">
        <w:rPr>
          <w:spacing w:val="41"/>
        </w:rPr>
        <w:t xml:space="preserve"> </w:t>
      </w:r>
      <w:r w:rsidRPr="00E73F6F">
        <w:t>diese</w:t>
      </w:r>
      <w:r w:rsidRPr="00E73F6F">
        <w:rPr>
          <w:spacing w:val="41"/>
        </w:rPr>
        <w:t xml:space="preserve"> </w:t>
      </w:r>
      <w:r w:rsidRPr="00E73F6F">
        <w:rPr>
          <w:spacing w:val="-2"/>
        </w:rPr>
        <w:t xml:space="preserve">Gedanken </w:t>
      </w:r>
      <w:r w:rsidRPr="00E73F6F">
        <w:t>wieder aufgegriffen und systematisch weiter verfolgt (vgl. Glass 1976). Wenige Jahre gaben dann die ersten Monographien einen Überblick über</w:t>
      </w:r>
      <w:r w:rsidRPr="00E73F6F">
        <w:rPr>
          <w:spacing w:val="-1"/>
        </w:rPr>
        <w:t xml:space="preserve"> </w:t>
      </w:r>
      <w:r w:rsidRPr="00E73F6F">
        <w:t>die s</w:t>
      </w:r>
      <w:r w:rsidR="00805AA4">
        <w:t>tatistischen Verfahren der Meta-A</w:t>
      </w:r>
      <w:r w:rsidRPr="00E73F6F">
        <w:t>nalyse (vgl. Fricke/Treinies 1985; Hedges/Olkin 1985).</w:t>
      </w:r>
    </w:p>
    <w:p w14:paraId="3B018526" w14:textId="77777777" w:rsidR="00FF7799" w:rsidRPr="00E73F6F" w:rsidRDefault="00FF7799" w:rsidP="00862DBA">
      <w:pPr>
        <w:rPr>
          <w:sz w:val="24"/>
          <w:szCs w:val="24"/>
        </w:rPr>
      </w:pPr>
    </w:p>
    <w:p w14:paraId="400B7C9E" w14:textId="2FA73405" w:rsidR="00FF7799" w:rsidRPr="00E73F6F" w:rsidRDefault="00FF7799" w:rsidP="00655E75">
      <w:pPr>
        <w:pStyle w:val="StandardText"/>
        <w:jc w:val="left"/>
      </w:pPr>
      <w:r w:rsidRPr="00E73F6F">
        <w:t>Genau geno</w:t>
      </w:r>
      <w:r w:rsidR="003F42CD">
        <w:t>mmen ist die quantitative Meta</w:t>
      </w:r>
      <w:r w:rsidR="00F4632A">
        <w:t>-A</w:t>
      </w:r>
      <w:r w:rsidRPr="00E73F6F">
        <w:t>nalyse ein Hybrid von Primär- und Sekundärforschung. Gewonnen wird die Datenbasis sekundärstatistisch, ausgewertet jedoch in der für primärstatistische Erhebungen üblichen Vorgehensweise. Zunächst wählt man aus der Gesamtheit der einschlägigen Publikationen jene aus, welche die zur Berechnung der Effektstärke notwendigen quantitativen Maße (z.B. Umfang der jeweiligen Stichprobe, Korrelationskoeffizienten) ausweisen. Fehlende Angaben lassen sich bisweilen nachträglich rekonstruieren, wenn die Autoren die</w:t>
      </w:r>
      <w:r w:rsidRPr="00E73F6F">
        <w:rPr>
          <w:spacing w:val="-1"/>
        </w:rPr>
        <w:t xml:space="preserve"> </w:t>
      </w:r>
      <w:r w:rsidRPr="00E73F6F">
        <w:t>entsprechenden Teststatistiken (z.B. F-Test, Chi-Quadrat-Test, t-Test) mitteilen. Die Stärke des Zusammenhangs mehrerer Variablen</w:t>
      </w:r>
      <w:r w:rsidRPr="00E73F6F">
        <w:rPr>
          <w:spacing w:val="-5"/>
        </w:rPr>
        <w:t xml:space="preserve"> </w:t>
      </w:r>
      <w:r w:rsidRPr="00E73F6F">
        <w:t>kann</w:t>
      </w:r>
      <w:r w:rsidRPr="00E73F6F">
        <w:rPr>
          <w:spacing w:val="-2"/>
        </w:rPr>
        <w:t xml:space="preserve"> </w:t>
      </w:r>
      <w:r w:rsidRPr="00E73F6F">
        <w:t>man</w:t>
      </w:r>
      <w:r w:rsidRPr="00E73F6F">
        <w:rPr>
          <w:spacing w:val="-2"/>
        </w:rPr>
        <w:t xml:space="preserve"> </w:t>
      </w:r>
      <w:r w:rsidRPr="00E73F6F">
        <w:t>mit verschiedenen Methoden erfassen. Ein einfaches Maß des linearen</w:t>
      </w:r>
      <w:r w:rsidRPr="00E73F6F">
        <w:rPr>
          <w:spacing w:val="9"/>
        </w:rPr>
        <w:t xml:space="preserve"> </w:t>
      </w:r>
      <w:r w:rsidRPr="00E73F6F">
        <w:t>Zusammenhangs</w:t>
      </w:r>
      <w:r w:rsidRPr="00E73F6F">
        <w:rPr>
          <w:spacing w:val="7"/>
        </w:rPr>
        <w:t xml:space="preserve"> </w:t>
      </w:r>
      <w:r w:rsidRPr="00E73F6F">
        <w:t>zweier</w:t>
      </w:r>
      <w:r w:rsidRPr="00E73F6F">
        <w:rPr>
          <w:spacing w:val="8"/>
        </w:rPr>
        <w:t xml:space="preserve"> </w:t>
      </w:r>
      <w:r w:rsidRPr="00E73F6F">
        <w:t>Variablen ist die Produkt/Moment-Korrelation. In der akademischen Forschung hat sich jedoch die Effektstärke durchgesetzt. Bei einem t-Test für unabhängige Stichproben wird hierzu zumeist Cohen's d berechnet. Dazu wird die Differenz der beiden Gruppenmittelwerte durch die Standardabweichung dividiert, d.h. standardisiert. Einige Wissenschaftler ziehen es vor, die Elastizität zu berechnen. (etwa die Preiselastizität der Nachfrage). Dieses Maß gibt an, wie die abhängige Größe (hier: Nachfragemenge) variiert, wenn sich die unabhängige Variable (= Preis) um ein Prozent verändert. Da der Elastizitäts-Koeffizient dimensionslos ist, lassen sich mit seiner Hilfe die Effekte verschiedener Marketing-Instrumente (z.B. Werbeausgaben, Distributionsdichte) direkt miteinander vergleichen. Auch ist dieses Maß einfach zu interpretieren.</w:t>
      </w:r>
    </w:p>
    <w:p w14:paraId="13B8A1DA" w14:textId="77777777" w:rsidR="00FF7799" w:rsidRPr="00E73F6F" w:rsidRDefault="00FF7799" w:rsidP="00DE3A56">
      <w:pPr>
        <w:pStyle w:val="StandardText"/>
        <w:ind w:left="426" w:hanging="426"/>
        <w:jc w:val="left"/>
      </w:pPr>
    </w:p>
    <w:p w14:paraId="2D25E39D" w14:textId="77777777" w:rsidR="00FF7799" w:rsidRPr="00655E75" w:rsidRDefault="00FF7799" w:rsidP="00DE3A56">
      <w:pPr>
        <w:pStyle w:val="StandardText"/>
        <w:rPr>
          <w:sz w:val="22"/>
          <w:szCs w:val="22"/>
        </w:rPr>
      </w:pPr>
      <w:r w:rsidRPr="009C3366">
        <w:rPr>
          <w:b/>
          <w:i/>
          <w:sz w:val="22"/>
          <w:szCs w:val="22"/>
        </w:rPr>
        <w:t>Literatur:</w:t>
      </w:r>
      <w:r w:rsidRPr="00655E75">
        <w:rPr>
          <w:sz w:val="22"/>
          <w:szCs w:val="22"/>
        </w:rPr>
        <w:t xml:space="preserve"> Fricke, R.; Treinies, G. (1985): Einführung in die Metaanalyse, Bern: Haupt.</w:t>
      </w:r>
      <w:r w:rsidRPr="00655E75">
        <w:rPr>
          <w:spacing w:val="40"/>
          <w:sz w:val="22"/>
          <w:szCs w:val="22"/>
        </w:rPr>
        <w:t xml:space="preserve"> </w:t>
      </w:r>
      <w:r w:rsidRPr="00655E75">
        <w:rPr>
          <w:sz w:val="22"/>
          <w:szCs w:val="22"/>
          <w:lang w:val="en-US"/>
        </w:rPr>
        <w:t>Glass, G.V. (1976): Primary, Secondary, and Meta-Analysis of Research, Educational</w:t>
      </w:r>
      <w:r w:rsidRPr="00655E75">
        <w:rPr>
          <w:spacing w:val="40"/>
          <w:sz w:val="22"/>
          <w:szCs w:val="22"/>
          <w:lang w:val="en-US"/>
        </w:rPr>
        <w:t xml:space="preserve"> </w:t>
      </w:r>
      <w:r w:rsidRPr="00655E75">
        <w:rPr>
          <w:sz w:val="22"/>
          <w:szCs w:val="22"/>
          <w:lang w:val="en-US"/>
        </w:rPr>
        <w:t>Researcher, 10(5): 3-8.</w:t>
      </w:r>
      <w:r w:rsidRPr="00655E75">
        <w:rPr>
          <w:spacing w:val="80"/>
          <w:sz w:val="22"/>
          <w:szCs w:val="22"/>
          <w:lang w:val="en-US"/>
        </w:rPr>
        <w:t xml:space="preserve"> </w:t>
      </w:r>
      <w:r w:rsidRPr="00655E75">
        <w:rPr>
          <w:sz w:val="22"/>
          <w:szCs w:val="22"/>
          <w:lang w:val="en-US"/>
        </w:rPr>
        <w:t>Hedges, L.V.; Olkin, I. (1985): Statistical Methods for Meta-</w:t>
      </w:r>
      <w:r w:rsidRPr="00655E75">
        <w:rPr>
          <w:spacing w:val="40"/>
          <w:sz w:val="22"/>
          <w:szCs w:val="22"/>
          <w:lang w:val="en-US"/>
        </w:rPr>
        <w:t xml:space="preserve"> </w:t>
      </w:r>
      <w:r w:rsidRPr="00655E75">
        <w:rPr>
          <w:sz w:val="22"/>
          <w:szCs w:val="22"/>
          <w:lang w:val="en-US"/>
        </w:rPr>
        <w:t>Analysis, Orlando/FL: Academic Press.</w:t>
      </w:r>
      <w:r w:rsidRPr="00655E75">
        <w:rPr>
          <w:spacing w:val="80"/>
          <w:sz w:val="22"/>
          <w:szCs w:val="22"/>
          <w:lang w:val="en-US"/>
        </w:rPr>
        <w:t xml:space="preserve"> </w:t>
      </w:r>
      <w:r w:rsidRPr="00655E75">
        <w:rPr>
          <w:sz w:val="22"/>
          <w:szCs w:val="22"/>
          <w:lang w:val="en-US"/>
        </w:rPr>
        <w:t>Mahajan, V.; Muller, E.; Bass, F.M. (1995):</w:t>
      </w:r>
      <w:r w:rsidRPr="00655E75">
        <w:rPr>
          <w:spacing w:val="40"/>
          <w:sz w:val="22"/>
          <w:szCs w:val="22"/>
          <w:lang w:val="en-US"/>
        </w:rPr>
        <w:t xml:space="preserve"> </w:t>
      </w:r>
      <w:r w:rsidRPr="00655E75">
        <w:rPr>
          <w:sz w:val="22"/>
          <w:szCs w:val="22"/>
          <w:lang w:val="en-US"/>
        </w:rPr>
        <w:t>Diffusion of New Products. Empirical Generalizations and Managerial Uses, Marketing</w:t>
      </w:r>
      <w:r w:rsidRPr="00655E75">
        <w:rPr>
          <w:spacing w:val="40"/>
          <w:sz w:val="22"/>
          <w:szCs w:val="22"/>
          <w:lang w:val="en-US"/>
        </w:rPr>
        <w:t xml:space="preserve"> </w:t>
      </w:r>
      <w:r w:rsidRPr="00655E75">
        <w:rPr>
          <w:sz w:val="22"/>
          <w:szCs w:val="22"/>
          <w:lang w:val="en-US"/>
        </w:rPr>
        <w:t>Science, 14(3: Part 2/2): G79-G88.</w:t>
      </w:r>
      <w:r w:rsidRPr="00655E75">
        <w:rPr>
          <w:spacing w:val="80"/>
          <w:sz w:val="22"/>
          <w:szCs w:val="22"/>
          <w:lang w:val="en-US"/>
        </w:rPr>
        <w:t xml:space="preserve"> </w:t>
      </w:r>
      <w:r w:rsidRPr="00655E75">
        <w:rPr>
          <w:sz w:val="22"/>
          <w:szCs w:val="22"/>
          <w:lang w:val="en-US"/>
        </w:rPr>
        <w:t>Schulze, R. (2004): Meta-Analysis. A Comparison of</w:t>
      </w:r>
      <w:r w:rsidRPr="00655E75">
        <w:rPr>
          <w:spacing w:val="40"/>
          <w:sz w:val="22"/>
          <w:szCs w:val="22"/>
          <w:lang w:val="en-US"/>
        </w:rPr>
        <w:t xml:space="preserve"> </w:t>
      </w:r>
      <w:r w:rsidRPr="00655E75">
        <w:rPr>
          <w:sz w:val="22"/>
          <w:szCs w:val="22"/>
          <w:lang w:val="en-US"/>
        </w:rPr>
        <w:t>Approaches, Cambridge/MA: Hogrefe &amp; Huber.</w:t>
      </w:r>
      <w:r w:rsidRPr="00655E75">
        <w:rPr>
          <w:spacing w:val="80"/>
          <w:w w:val="150"/>
          <w:sz w:val="22"/>
          <w:szCs w:val="22"/>
          <w:lang w:val="en-US"/>
        </w:rPr>
        <w:t xml:space="preserve"> </w:t>
      </w:r>
      <w:r w:rsidRPr="00655E75">
        <w:rPr>
          <w:sz w:val="22"/>
          <w:szCs w:val="22"/>
        </w:rPr>
        <w:t>Six, B.; Eckes, T. (1996): Metaanalysen</w:t>
      </w:r>
      <w:r w:rsidRPr="00655E75">
        <w:rPr>
          <w:spacing w:val="40"/>
          <w:sz w:val="22"/>
          <w:szCs w:val="22"/>
        </w:rPr>
        <w:t xml:space="preserve"> </w:t>
      </w:r>
      <w:r w:rsidRPr="00655E75">
        <w:rPr>
          <w:sz w:val="22"/>
          <w:szCs w:val="22"/>
        </w:rPr>
        <w:t>in der Einstellungs-Verhaltens-Forschung, Zeitschrift für Sozialpsychologie, 27(1): 7-17.</w:t>
      </w:r>
      <w:r w:rsidRPr="00655E75">
        <w:rPr>
          <w:spacing w:val="40"/>
          <w:sz w:val="22"/>
          <w:szCs w:val="22"/>
        </w:rPr>
        <w:t xml:space="preserve"> </w:t>
      </w:r>
      <w:r w:rsidRPr="00655E75">
        <w:rPr>
          <w:sz w:val="22"/>
          <w:szCs w:val="22"/>
          <w:lang w:val="en-US"/>
        </w:rPr>
        <w:t>Tippet,</w:t>
      </w:r>
      <w:r w:rsidRPr="00655E75">
        <w:rPr>
          <w:spacing w:val="-4"/>
          <w:sz w:val="22"/>
          <w:szCs w:val="22"/>
          <w:lang w:val="en-US"/>
        </w:rPr>
        <w:t xml:space="preserve"> </w:t>
      </w:r>
      <w:r w:rsidRPr="00655E75">
        <w:rPr>
          <w:sz w:val="22"/>
          <w:szCs w:val="22"/>
          <w:lang w:val="en-US"/>
        </w:rPr>
        <w:t>L.H.C.</w:t>
      </w:r>
      <w:r w:rsidRPr="00655E75">
        <w:rPr>
          <w:spacing w:val="-1"/>
          <w:sz w:val="22"/>
          <w:szCs w:val="22"/>
          <w:lang w:val="en-US"/>
        </w:rPr>
        <w:t xml:space="preserve"> </w:t>
      </w:r>
      <w:r w:rsidRPr="00655E75">
        <w:rPr>
          <w:sz w:val="22"/>
          <w:szCs w:val="22"/>
          <w:lang w:val="en-US"/>
        </w:rPr>
        <w:t>(1931):</w:t>
      </w:r>
      <w:r w:rsidRPr="00655E75">
        <w:rPr>
          <w:spacing w:val="-3"/>
          <w:sz w:val="22"/>
          <w:szCs w:val="22"/>
          <w:lang w:val="en-US"/>
        </w:rPr>
        <w:t xml:space="preserve"> </w:t>
      </w:r>
      <w:r w:rsidRPr="00655E75">
        <w:rPr>
          <w:sz w:val="22"/>
          <w:szCs w:val="22"/>
          <w:lang w:val="en-US"/>
        </w:rPr>
        <w:t>The</w:t>
      </w:r>
      <w:r w:rsidRPr="00655E75">
        <w:rPr>
          <w:spacing w:val="-4"/>
          <w:sz w:val="22"/>
          <w:szCs w:val="22"/>
          <w:lang w:val="en-US"/>
        </w:rPr>
        <w:t xml:space="preserve"> </w:t>
      </w:r>
      <w:r w:rsidRPr="00655E75">
        <w:rPr>
          <w:sz w:val="22"/>
          <w:szCs w:val="22"/>
          <w:lang w:val="en-US"/>
        </w:rPr>
        <w:t>Methods</w:t>
      </w:r>
      <w:r w:rsidRPr="00655E75">
        <w:rPr>
          <w:spacing w:val="-7"/>
          <w:sz w:val="22"/>
          <w:szCs w:val="22"/>
          <w:lang w:val="en-US"/>
        </w:rPr>
        <w:t xml:space="preserve"> </w:t>
      </w:r>
      <w:r w:rsidRPr="00655E75">
        <w:rPr>
          <w:sz w:val="22"/>
          <w:szCs w:val="22"/>
          <w:lang w:val="en-US"/>
        </w:rPr>
        <w:t>of</w:t>
      </w:r>
      <w:r w:rsidRPr="00655E75">
        <w:rPr>
          <w:spacing w:val="-3"/>
          <w:sz w:val="22"/>
          <w:szCs w:val="22"/>
          <w:lang w:val="en-US"/>
        </w:rPr>
        <w:t xml:space="preserve"> </w:t>
      </w:r>
      <w:r w:rsidRPr="00655E75">
        <w:rPr>
          <w:sz w:val="22"/>
          <w:szCs w:val="22"/>
          <w:lang w:val="en-US"/>
        </w:rPr>
        <w:t>Statistics,</w:t>
      </w:r>
      <w:r w:rsidRPr="00655E75">
        <w:rPr>
          <w:spacing w:val="-4"/>
          <w:sz w:val="22"/>
          <w:szCs w:val="22"/>
          <w:lang w:val="en-US"/>
        </w:rPr>
        <w:t xml:space="preserve"> </w:t>
      </w:r>
      <w:r w:rsidRPr="00655E75">
        <w:rPr>
          <w:sz w:val="22"/>
          <w:szCs w:val="22"/>
          <w:lang w:val="en-US"/>
        </w:rPr>
        <w:t>London:</w:t>
      </w:r>
      <w:r w:rsidRPr="00655E75">
        <w:rPr>
          <w:spacing w:val="-2"/>
          <w:sz w:val="22"/>
          <w:szCs w:val="22"/>
          <w:lang w:val="en-US"/>
        </w:rPr>
        <w:t xml:space="preserve"> </w:t>
      </w:r>
      <w:r w:rsidRPr="00655E75">
        <w:rPr>
          <w:sz w:val="22"/>
          <w:szCs w:val="22"/>
          <w:lang w:val="en-US"/>
        </w:rPr>
        <w:t>Williams</w:t>
      </w:r>
      <w:r w:rsidRPr="00655E75">
        <w:rPr>
          <w:spacing w:val="-5"/>
          <w:sz w:val="22"/>
          <w:szCs w:val="22"/>
          <w:lang w:val="en-US"/>
        </w:rPr>
        <w:t xml:space="preserve"> </w:t>
      </w:r>
      <w:r w:rsidRPr="00655E75">
        <w:rPr>
          <w:sz w:val="22"/>
          <w:szCs w:val="22"/>
          <w:lang w:val="en-US"/>
        </w:rPr>
        <w:t>&amp;</w:t>
      </w:r>
      <w:r w:rsidRPr="00655E75">
        <w:rPr>
          <w:spacing w:val="-2"/>
          <w:sz w:val="22"/>
          <w:szCs w:val="22"/>
          <w:lang w:val="en-US"/>
        </w:rPr>
        <w:t xml:space="preserve"> </w:t>
      </w:r>
      <w:r w:rsidRPr="00655E75">
        <w:rPr>
          <w:sz w:val="22"/>
          <w:szCs w:val="22"/>
          <w:lang w:val="en-US"/>
        </w:rPr>
        <w:t>Norgate.</w:t>
      </w:r>
      <w:r w:rsidRPr="00655E75">
        <w:rPr>
          <w:spacing w:val="80"/>
          <w:sz w:val="22"/>
          <w:szCs w:val="22"/>
          <w:lang w:val="en-US"/>
        </w:rPr>
        <w:t xml:space="preserve"> </w:t>
      </w:r>
      <w:r w:rsidRPr="00655E75">
        <w:rPr>
          <w:sz w:val="22"/>
          <w:szCs w:val="22"/>
        </w:rPr>
        <w:t>Trapman,</w:t>
      </w:r>
      <w:r w:rsidRPr="00655E75">
        <w:rPr>
          <w:spacing w:val="40"/>
          <w:sz w:val="22"/>
          <w:szCs w:val="22"/>
        </w:rPr>
        <w:t xml:space="preserve"> </w:t>
      </w:r>
      <w:r w:rsidRPr="00655E75">
        <w:rPr>
          <w:sz w:val="22"/>
          <w:szCs w:val="22"/>
        </w:rPr>
        <w:t>S.; Hell, B.; Weigand, S.; Schuler, H. (2007): Die Validität von Schulnoten zur Vorhersage</w:t>
      </w:r>
      <w:r w:rsidRPr="00655E75">
        <w:rPr>
          <w:spacing w:val="40"/>
          <w:sz w:val="22"/>
          <w:szCs w:val="22"/>
        </w:rPr>
        <w:t xml:space="preserve"> </w:t>
      </w:r>
      <w:r w:rsidRPr="00655E75">
        <w:rPr>
          <w:sz w:val="22"/>
          <w:szCs w:val="22"/>
        </w:rPr>
        <w:t>des Studienerfolgs. Eine Metaanalyse, Zeitschrift für pädagogische Psychologie, 21(1): 11-</w:t>
      </w:r>
      <w:r w:rsidRPr="00655E75">
        <w:rPr>
          <w:spacing w:val="40"/>
          <w:sz w:val="22"/>
          <w:szCs w:val="22"/>
        </w:rPr>
        <w:t xml:space="preserve"> </w:t>
      </w:r>
      <w:r w:rsidRPr="00655E75">
        <w:rPr>
          <w:spacing w:val="-4"/>
          <w:sz w:val="22"/>
          <w:szCs w:val="22"/>
        </w:rPr>
        <w:t>27.</w:t>
      </w:r>
    </w:p>
    <w:p w14:paraId="2199D973" w14:textId="77777777" w:rsidR="00FF7799" w:rsidRPr="00E73F6F" w:rsidRDefault="00FF7799" w:rsidP="00DE3A56">
      <w:pPr>
        <w:pStyle w:val="StandardText"/>
      </w:pPr>
    </w:p>
    <w:p w14:paraId="2637DB55" w14:textId="77777777" w:rsidR="00FF7799" w:rsidRPr="00D23B88" w:rsidRDefault="00FF7799" w:rsidP="00414BDC">
      <w:pPr>
        <w:pStyle w:val="berschrift1"/>
        <w:rPr>
          <w:bCs w:val="0"/>
          <w:color w:val="2E74B5"/>
          <w:sz w:val="22"/>
        </w:rPr>
      </w:pPr>
      <w:r w:rsidRPr="00D23B88">
        <w:rPr>
          <w:bCs w:val="0"/>
          <w:color w:val="2E74B5"/>
          <w:sz w:val="22"/>
        </w:rPr>
        <w:t>Mimosität</w:t>
      </w:r>
    </w:p>
    <w:p w14:paraId="47E61B74" w14:textId="77777777" w:rsidR="00FF7799" w:rsidRPr="00E73F6F" w:rsidRDefault="00FF7799" w:rsidP="00DE3A56">
      <w:pPr>
        <w:pStyle w:val="StandardText"/>
      </w:pPr>
      <w:r w:rsidRPr="00E73F6F">
        <w:t xml:space="preserve">feindliche Gesinnung der Bevölkerungsmehrheit einer Nation gegenüber einer </w:t>
      </w:r>
      <w:r w:rsidRPr="00E73F6F">
        <w:rPr>
          <w:spacing w:val="-2"/>
        </w:rPr>
        <w:t>Minderheit</w:t>
      </w:r>
    </w:p>
    <w:p w14:paraId="61B8073B" w14:textId="77777777" w:rsidR="00FF7799" w:rsidRPr="00E73F6F" w:rsidRDefault="00FF7799" w:rsidP="00DE3A56">
      <w:pPr>
        <w:pStyle w:val="StandardText"/>
      </w:pPr>
    </w:p>
    <w:p w14:paraId="6BFA5752" w14:textId="77777777" w:rsidR="00FF7799" w:rsidRPr="00E73F6F" w:rsidRDefault="00FF7799" w:rsidP="00414BDC">
      <w:pPr>
        <w:pStyle w:val="berschrift1"/>
      </w:pPr>
      <w:r w:rsidRPr="00D23B88">
        <w:rPr>
          <w:bCs w:val="0"/>
          <w:color w:val="2E74B5"/>
          <w:sz w:val="22"/>
        </w:rPr>
        <w:lastRenderedPageBreak/>
        <w:t>Misstrauensgesellschaft</w:t>
      </w:r>
      <w:r w:rsidRPr="00E73F6F">
        <w:t xml:space="preserve"> </w:t>
      </w:r>
      <w:r w:rsidRPr="00E73F6F">
        <w:rPr>
          <w:b w:val="0"/>
          <w:spacing w:val="-10"/>
        </w:rPr>
        <w:t>→</w:t>
      </w:r>
      <w:r w:rsidRPr="00E73F6F">
        <w:rPr>
          <w:b w:val="0"/>
        </w:rPr>
        <w:t xml:space="preserve"> Fundamentale Orientierungen</w:t>
      </w:r>
      <w:r w:rsidRPr="00E73F6F">
        <w:t xml:space="preserve"> </w:t>
      </w:r>
    </w:p>
    <w:p w14:paraId="7DF4CC69" w14:textId="77777777" w:rsidR="00FF7799" w:rsidRPr="00D23B88" w:rsidRDefault="00FF7799" w:rsidP="00414BDC">
      <w:pPr>
        <w:pStyle w:val="berschrift1"/>
        <w:rPr>
          <w:bCs w:val="0"/>
          <w:color w:val="2E74B5"/>
          <w:sz w:val="22"/>
        </w:rPr>
      </w:pPr>
      <w:r w:rsidRPr="00D23B88">
        <w:rPr>
          <w:bCs w:val="0"/>
          <w:color w:val="2E74B5"/>
          <w:sz w:val="22"/>
        </w:rPr>
        <w:t>Moderator</w:t>
      </w:r>
    </w:p>
    <w:p w14:paraId="3352E071" w14:textId="77777777" w:rsidR="00FF7799" w:rsidRPr="00E73F6F" w:rsidRDefault="00FF7799" w:rsidP="00DE3A56">
      <w:pPr>
        <w:pStyle w:val="StandardText"/>
      </w:pPr>
      <w:r w:rsidRPr="00E73F6F">
        <w:t>Variable,</w:t>
      </w:r>
      <w:r w:rsidRPr="00E73F6F">
        <w:rPr>
          <w:spacing w:val="-12"/>
        </w:rPr>
        <w:t xml:space="preserve"> </w:t>
      </w:r>
      <w:r w:rsidRPr="00E73F6F">
        <w:t>welche</w:t>
      </w:r>
      <w:r w:rsidRPr="00E73F6F">
        <w:rPr>
          <w:spacing w:val="-9"/>
        </w:rPr>
        <w:t xml:space="preserve"> </w:t>
      </w:r>
      <w:r w:rsidRPr="00E73F6F">
        <w:t>die</w:t>
      </w:r>
      <w:r w:rsidRPr="00E73F6F">
        <w:rPr>
          <w:spacing w:val="-12"/>
        </w:rPr>
        <w:t xml:space="preserve"> </w:t>
      </w:r>
      <w:r w:rsidRPr="00E73F6F">
        <w:t>Stärke</w:t>
      </w:r>
      <w:r w:rsidRPr="00E73F6F">
        <w:rPr>
          <w:spacing w:val="-11"/>
        </w:rPr>
        <w:t xml:space="preserve"> </w:t>
      </w:r>
      <w:r w:rsidRPr="00E73F6F">
        <w:t>des</w:t>
      </w:r>
      <w:r w:rsidRPr="00E73F6F">
        <w:rPr>
          <w:spacing w:val="-10"/>
        </w:rPr>
        <w:t xml:space="preserve"> </w:t>
      </w:r>
      <w:r w:rsidRPr="00E73F6F">
        <w:t>Einflusses</w:t>
      </w:r>
      <w:r w:rsidRPr="00E73F6F">
        <w:rPr>
          <w:spacing w:val="-11"/>
        </w:rPr>
        <w:t xml:space="preserve"> </w:t>
      </w:r>
      <w:r w:rsidRPr="00E73F6F">
        <w:t>einer</w:t>
      </w:r>
      <w:r w:rsidRPr="00E73F6F">
        <w:rPr>
          <w:spacing w:val="-12"/>
        </w:rPr>
        <w:t xml:space="preserve"> </w:t>
      </w:r>
      <w:r w:rsidRPr="00E73F6F">
        <w:t>unabhängigen</w:t>
      </w:r>
      <w:r w:rsidRPr="00E73F6F">
        <w:rPr>
          <w:spacing w:val="-10"/>
        </w:rPr>
        <w:t xml:space="preserve"> </w:t>
      </w:r>
      <w:r w:rsidRPr="00E73F6F">
        <w:t>Variablen</w:t>
      </w:r>
      <w:r w:rsidRPr="00E73F6F">
        <w:rPr>
          <w:spacing w:val="-9"/>
        </w:rPr>
        <w:t xml:space="preserve"> </w:t>
      </w:r>
      <w:r w:rsidRPr="00E73F6F">
        <w:t>(UV)</w:t>
      </w:r>
      <w:r w:rsidRPr="00E73F6F">
        <w:rPr>
          <w:spacing w:val="-10"/>
        </w:rPr>
        <w:t xml:space="preserve"> </w:t>
      </w:r>
      <w:r w:rsidRPr="00E73F6F">
        <w:t>auf eine abhängige Variable (AV) beeinflusst. So wird der Zusammenhang zwischen einer Werbekampagne für ein Versicherungsprodukt (UV) und der Zahl der verkauften Policen (AV) durch die individuelle Ausprägung der Tendenz zur Unsicherheitsvermeidung moderiert.</w:t>
      </w:r>
    </w:p>
    <w:p w14:paraId="0D79121D" w14:textId="77777777" w:rsidR="00FF7799" w:rsidRPr="00E73F6F" w:rsidRDefault="00FF7799" w:rsidP="00DE3A56">
      <w:pPr>
        <w:pStyle w:val="StandardText"/>
      </w:pPr>
    </w:p>
    <w:p w14:paraId="78B8ABD0" w14:textId="77777777" w:rsidR="00FF7799" w:rsidRPr="00E73F6F" w:rsidRDefault="00FF7799" w:rsidP="007C28B7">
      <w:pPr>
        <w:pStyle w:val="berschrift1"/>
      </w:pPr>
      <w:r w:rsidRPr="00D23B88">
        <w:rPr>
          <w:bCs w:val="0"/>
          <w:color w:val="2E74B5"/>
          <w:sz w:val="22"/>
        </w:rPr>
        <w:t>M-Time-Kultur</w:t>
      </w:r>
      <w:r w:rsidRPr="00E73F6F">
        <w:rPr>
          <w:spacing w:val="-8"/>
        </w:rPr>
        <w:t xml:space="preserve"> </w:t>
      </w:r>
      <w:r w:rsidRPr="00E73F6F">
        <w:t>→</w:t>
      </w:r>
      <w:r w:rsidRPr="00E73F6F">
        <w:rPr>
          <w:spacing w:val="-4"/>
        </w:rPr>
        <w:t xml:space="preserve"> Zeit</w:t>
      </w:r>
    </w:p>
    <w:p w14:paraId="5FA43D20" w14:textId="77777777" w:rsidR="00FF7799" w:rsidRPr="00D23B88" w:rsidRDefault="00FF7799" w:rsidP="007C28B7">
      <w:pPr>
        <w:pStyle w:val="berschrift1"/>
        <w:rPr>
          <w:bCs w:val="0"/>
          <w:color w:val="2E74B5"/>
          <w:sz w:val="22"/>
        </w:rPr>
      </w:pPr>
      <w:bookmarkStart w:id="111" w:name="_Toc56066754"/>
      <w:r w:rsidRPr="00D23B88">
        <w:rPr>
          <w:bCs w:val="0"/>
          <w:color w:val="2E74B5"/>
          <w:sz w:val="22"/>
        </w:rPr>
        <w:t>Multi Level-Analysen</w:t>
      </w:r>
      <w:bookmarkEnd w:id="111"/>
    </w:p>
    <w:p w14:paraId="3AC9EA7D" w14:textId="77777777" w:rsidR="00FF7799" w:rsidRPr="00E73F6F" w:rsidRDefault="00FF7799" w:rsidP="004B4862">
      <w:pPr>
        <w:pStyle w:val="StandardText"/>
      </w:pPr>
      <w:r w:rsidRPr="00E73F6F">
        <w:t>ermöglichen der kulturvergleichenden Forschung, simultan den Einfluss von Landeskultur und individueller Kultur auf die abhängige(n) Variable(n) zu analysieren. Eigentlich sollte dieser Untersuchungsansatz der Regel und nicht, wie bislang, die Ausnahme sein. Denn der Umstand, dass Menschen innerhalb eines Staates leben, bedeutet ja nicht zwangsläufig, dass diese die Werte der diesem Staat zugeschriebenen Werte verinnerlicht</w:t>
      </w:r>
      <w:r w:rsidR="00110194">
        <w:t xml:space="preserve"> haben. Angenommen, man möchte </w:t>
      </w:r>
      <w:r w:rsidRPr="00E73F6F">
        <w:t>wissen, ob und wie sich Akzeptanz von Machtdistanz (= UV) auf die Neigung zu demonstrativem Konsum (= AV) auswirkt (</w:t>
      </w:r>
      <w:r w:rsidR="00110194">
        <w:sym w:font="Symbol" w:char="F0DE"/>
      </w:r>
      <w:r w:rsidRPr="00E73F6F">
        <w:t xml:space="preserve"> Konsum, demonstrativer). Vorausgesetzt, man befragt bzw. beobachtet dazu Personen aus mehreren Kulturen, dann ermöglicht die Mehrebenen-Analyse es, beiden Ebenen miteinander zu verknüpfen und die Effekte der unabhängigen Variablen sowohl auf der Individualebene als auch auf der Landesebene zu ermitteln. Dabei geht neben der individuell gemessenen Akzeptanz von Machtdistanz auch der entsprechende Mittelwert jeder Landeskultur als Prädiktor in eine Regressionsanalyse ein. Der über alle Kulturen gemittelte individuelle Effekt von Akzeptanz von Machtdistanz auf die Neigung zu demonstrativem Konsum ergibt dann den „Within-Effekt“. Kann auch ein „Between-Effekt“ ermittelt werden, so bedeutet dies, dass neben dem individuellen Effekt auch die auch über alle in die Analyse einbezogenen Landeskulturen gemittelte Akzeptanz von Machtdistanz die abhängige Variable beeinflusst. Denkbar wäre bspw., dass auf der individuellen Ebene hohe Akzeptanz von Machtdistanz mit einer ausgeprägten Neigung zu demonstrativem Konsum korreliert, gleichzeitig jedoch in Kulturen mit im Durchschnitt höherer Akzeptanz von Machtdistanz eine geringere durchschnittliche Neigung zu demonstrativem Konsum besteht. In diesem Fall läge ein positiver Effekt auf der Individualebene und ein negativer Effekt auf der Ebene der Landeskulturen vor.</w:t>
      </w:r>
    </w:p>
    <w:p w14:paraId="6F358C88" w14:textId="77777777" w:rsidR="00FF7799" w:rsidRPr="00110194" w:rsidRDefault="00FF7799" w:rsidP="004B4862">
      <w:pPr>
        <w:pStyle w:val="StandardText"/>
        <w:rPr>
          <w:sz w:val="22"/>
          <w:szCs w:val="22"/>
          <w:lang w:val="en-US"/>
        </w:rPr>
      </w:pPr>
      <w:r w:rsidRPr="00110194">
        <w:rPr>
          <w:b/>
          <w:i/>
          <w:sz w:val="22"/>
          <w:szCs w:val="22"/>
        </w:rPr>
        <w:t>Literatur</w:t>
      </w:r>
      <w:r w:rsidRPr="00110194">
        <w:rPr>
          <w:i/>
          <w:sz w:val="22"/>
          <w:szCs w:val="22"/>
        </w:rPr>
        <w:t>:</w:t>
      </w:r>
      <w:r w:rsidRPr="00110194">
        <w:rPr>
          <w:sz w:val="22"/>
          <w:szCs w:val="22"/>
        </w:rPr>
        <w:t xml:space="preserve"> Engel, U. (2013): </w:t>
      </w:r>
      <w:r w:rsidRPr="00110194">
        <w:rPr>
          <w:iCs/>
          <w:sz w:val="22"/>
          <w:szCs w:val="22"/>
        </w:rPr>
        <w:t>Einführung in die Mehrebenenanalyse: Grundlagen, Auswertungsverfahren und praktische Beispiele</w:t>
      </w:r>
      <w:r w:rsidRPr="00110194">
        <w:rPr>
          <w:sz w:val="22"/>
          <w:szCs w:val="22"/>
        </w:rPr>
        <w:t xml:space="preserve">, Berlin: Springer. </w:t>
      </w:r>
      <w:r w:rsidRPr="00110194">
        <w:rPr>
          <w:sz w:val="22"/>
          <w:szCs w:val="22"/>
          <w:lang w:val="en-US"/>
        </w:rPr>
        <w:t>Snijders, T.A.; Bosker, R.J. (2012): Multilevel Analysis: An Introduction to Basic and Applied Multilevel Analysis,2nd Ed., London: Sage.</w:t>
      </w:r>
    </w:p>
    <w:p w14:paraId="745D366A" w14:textId="77777777" w:rsidR="00FF7799" w:rsidRPr="00E35FFF" w:rsidRDefault="00FF7799" w:rsidP="004B4862">
      <w:pPr>
        <w:pStyle w:val="StandardText"/>
        <w:rPr>
          <w:lang w:val="en-US"/>
        </w:rPr>
      </w:pPr>
    </w:p>
    <w:p w14:paraId="36FD67D6" w14:textId="77777777" w:rsidR="00FF7799" w:rsidRPr="00D23B88" w:rsidRDefault="00CC7E68" w:rsidP="007C28B7">
      <w:pPr>
        <w:pStyle w:val="berschrift1"/>
        <w:rPr>
          <w:bCs w:val="0"/>
          <w:color w:val="2E74B5"/>
          <w:sz w:val="22"/>
        </w:rPr>
      </w:pPr>
      <w:r w:rsidRPr="00D23B88">
        <w:rPr>
          <w:bCs w:val="0"/>
          <w:color w:val="2E74B5"/>
          <w:sz w:val="22"/>
        </w:rPr>
        <w:t>Multikulturalität</w:t>
      </w:r>
    </w:p>
    <w:p w14:paraId="328542CD" w14:textId="77777777" w:rsidR="00FF7799" w:rsidRPr="00E73F6F" w:rsidRDefault="00FF7799" w:rsidP="006E0282">
      <w:pPr>
        <w:pStyle w:val="StandardText"/>
      </w:pPr>
      <w:r w:rsidRPr="00E73F6F">
        <w:t>kulturwissenschaftliches Konzept, das einen wiederholten Bedeutungswandel erfahren hat. Zunächst war Multikulturalität deskriptiv gemeint, als bloße Tatsache,</w:t>
      </w:r>
      <w:r w:rsidRPr="00E73F6F">
        <w:rPr>
          <w:spacing w:val="-10"/>
        </w:rPr>
        <w:t xml:space="preserve"> </w:t>
      </w:r>
      <w:r w:rsidRPr="00E73F6F">
        <w:t>dass</w:t>
      </w:r>
      <w:r w:rsidRPr="00E73F6F">
        <w:rPr>
          <w:spacing w:val="-11"/>
        </w:rPr>
        <w:t xml:space="preserve"> </w:t>
      </w:r>
      <w:r w:rsidRPr="00E73F6F">
        <w:t>in</w:t>
      </w:r>
      <w:r w:rsidRPr="00E73F6F">
        <w:rPr>
          <w:spacing w:val="-9"/>
        </w:rPr>
        <w:t xml:space="preserve"> </w:t>
      </w:r>
      <w:r w:rsidRPr="00E73F6F">
        <w:t>einer</w:t>
      </w:r>
      <w:r w:rsidRPr="00E73F6F">
        <w:rPr>
          <w:spacing w:val="-10"/>
        </w:rPr>
        <w:t xml:space="preserve"> </w:t>
      </w:r>
      <w:r w:rsidRPr="00E73F6F">
        <w:t>Gesellschaft</w:t>
      </w:r>
      <w:r w:rsidRPr="00E73F6F">
        <w:rPr>
          <w:spacing w:val="-10"/>
        </w:rPr>
        <w:t xml:space="preserve"> </w:t>
      </w:r>
      <w:r w:rsidRPr="00E73F6F">
        <w:t>bzw.</w:t>
      </w:r>
      <w:r w:rsidRPr="00E73F6F">
        <w:rPr>
          <w:spacing w:val="-10"/>
        </w:rPr>
        <w:t xml:space="preserve"> </w:t>
      </w:r>
      <w:r w:rsidRPr="00E73F6F">
        <w:t>innerhalb</w:t>
      </w:r>
      <w:r w:rsidRPr="00E73F6F">
        <w:rPr>
          <w:spacing w:val="-9"/>
        </w:rPr>
        <w:t xml:space="preserve"> </w:t>
      </w:r>
      <w:r w:rsidRPr="00E73F6F">
        <w:t>eines</w:t>
      </w:r>
      <w:r w:rsidRPr="00E73F6F">
        <w:rPr>
          <w:spacing w:val="-11"/>
        </w:rPr>
        <w:t xml:space="preserve"> </w:t>
      </w:r>
      <w:r w:rsidRPr="00E73F6F">
        <w:t>Staates</w:t>
      </w:r>
      <w:r w:rsidRPr="00E73F6F">
        <w:rPr>
          <w:spacing w:val="-11"/>
        </w:rPr>
        <w:t xml:space="preserve"> </w:t>
      </w:r>
      <w:r w:rsidRPr="00E73F6F">
        <w:t>mehrere</w:t>
      </w:r>
      <w:r w:rsidRPr="00E73F6F">
        <w:rPr>
          <w:spacing w:val="-11"/>
        </w:rPr>
        <w:t xml:space="preserve"> </w:t>
      </w:r>
      <w:r w:rsidRPr="00E73F6F">
        <w:t xml:space="preserve">Kulturen leben, unabhängig davon, in welcher Weise sie dies tun: gemeinsam und/oder nebeneinander. Das normative Begriffsverständnis bezieht sich auf die Notwendigkeit, kompetent mit einer kulturell heterogenen Umwelt umzugehen. Später </w:t>
      </w:r>
      <w:r w:rsidRPr="00E73F6F">
        <w:lastRenderedPageBreak/>
        <w:t>entwickelte sich ein idealistisches, präskriptives Begriffsverständnis: Multikulturalität</w:t>
      </w:r>
      <w:r w:rsidRPr="00E73F6F">
        <w:rPr>
          <w:spacing w:val="-4"/>
        </w:rPr>
        <w:t xml:space="preserve"> </w:t>
      </w:r>
      <w:r w:rsidRPr="00E73F6F">
        <w:t>als</w:t>
      </w:r>
      <w:r w:rsidRPr="00E73F6F">
        <w:rPr>
          <w:spacing w:val="-2"/>
        </w:rPr>
        <w:t xml:space="preserve"> </w:t>
      </w:r>
      <w:r w:rsidRPr="00E73F6F">
        <w:t>friedliches,</w:t>
      </w:r>
      <w:r w:rsidRPr="00E73F6F">
        <w:rPr>
          <w:spacing w:val="-4"/>
        </w:rPr>
        <w:t xml:space="preserve"> </w:t>
      </w:r>
      <w:r w:rsidRPr="00E73F6F">
        <w:t>integrierendes</w:t>
      </w:r>
      <w:r w:rsidRPr="00E73F6F">
        <w:rPr>
          <w:spacing w:val="-4"/>
        </w:rPr>
        <w:t xml:space="preserve"> </w:t>
      </w:r>
      <w:r w:rsidRPr="00E73F6F">
        <w:t>Miteinander,</w:t>
      </w:r>
      <w:r w:rsidRPr="00E73F6F">
        <w:rPr>
          <w:spacing w:val="-3"/>
        </w:rPr>
        <w:t xml:space="preserve"> </w:t>
      </w:r>
      <w:r w:rsidRPr="00E73F6F">
        <w:t>das</w:t>
      </w:r>
      <w:r w:rsidRPr="00E73F6F">
        <w:rPr>
          <w:spacing w:val="-4"/>
        </w:rPr>
        <w:t xml:space="preserve"> </w:t>
      </w:r>
      <w:r w:rsidRPr="00E73F6F">
        <w:t>gleichberechtigte Zusammenleben verschiedener Kulturen bzw. Ethnien innerhalb eines Staatswesens (vgl. z.B. Bielefeldt 2007).</w:t>
      </w:r>
    </w:p>
    <w:p w14:paraId="3D6085F1" w14:textId="77777777" w:rsidR="00FF7799" w:rsidRPr="00E73F6F" w:rsidRDefault="00FF7799" w:rsidP="006E0282">
      <w:pPr>
        <w:pStyle w:val="StandardText"/>
      </w:pPr>
      <w:r w:rsidRPr="00E73F6F">
        <w:t>Das</w:t>
      </w:r>
      <w:r w:rsidRPr="00E73F6F">
        <w:rPr>
          <w:spacing w:val="-2"/>
        </w:rPr>
        <w:t xml:space="preserve"> </w:t>
      </w:r>
      <w:r w:rsidRPr="00E73F6F">
        <w:t>Differenzierungskriterium</w:t>
      </w:r>
      <w:r w:rsidRPr="00E73F6F">
        <w:rPr>
          <w:spacing w:val="-3"/>
        </w:rPr>
        <w:t xml:space="preserve"> </w:t>
      </w:r>
      <w:r w:rsidRPr="00E73F6F">
        <w:t>gegenüber</w:t>
      </w:r>
      <w:r w:rsidRPr="00E73F6F">
        <w:rPr>
          <w:spacing w:val="-2"/>
        </w:rPr>
        <w:t xml:space="preserve"> </w:t>
      </w:r>
      <w:r w:rsidRPr="00E73F6F">
        <w:t>dem Konzept</w:t>
      </w:r>
      <w:r w:rsidRPr="00E73F6F">
        <w:rPr>
          <w:spacing w:val="-1"/>
        </w:rPr>
        <w:t xml:space="preserve"> </w:t>
      </w:r>
      <w:r w:rsidRPr="00E73F6F">
        <w:t>des</w:t>
      </w:r>
      <w:r w:rsidRPr="00E73F6F">
        <w:rPr>
          <w:spacing w:val="-1"/>
        </w:rPr>
        <w:t xml:space="preserve"> </w:t>
      </w:r>
      <w:r w:rsidRPr="00E73F6F">
        <w:t>Kulturpluralismus</w:t>
      </w:r>
      <w:r w:rsidRPr="00E73F6F">
        <w:rPr>
          <w:spacing w:val="-2"/>
        </w:rPr>
        <w:t xml:space="preserve"> </w:t>
      </w:r>
      <w:r w:rsidRPr="00E73F6F">
        <w:t>ist die Toleranz gegenüber dem Andersartigen. Sie ist nicht charakteristisch für den Multikulturalismus, wohl aber</w:t>
      </w:r>
      <w:r w:rsidRPr="00E73F6F">
        <w:rPr>
          <w:spacing w:val="-1"/>
        </w:rPr>
        <w:t xml:space="preserve"> </w:t>
      </w:r>
      <w:r w:rsidRPr="00E73F6F">
        <w:t>das Fehlen einer</w:t>
      </w:r>
      <w:r w:rsidRPr="00E73F6F">
        <w:rPr>
          <w:spacing w:val="-1"/>
        </w:rPr>
        <w:t xml:space="preserve"> </w:t>
      </w:r>
      <w:r w:rsidRPr="00E73F6F">
        <w:t>Leitkultur. Damit verbunden sind auch die Gefahr einer Wertebeliebigkeit und der Verlust an nationaler Identität (vgl. Tibi 1996; Kaschuba 1995).</w:t>
      </w:r>
    </w:p>
    <w:p w14:paraId="3AFF55BA" w14:textId="77777777" w:rsidR="00FF7799" w:rsidRPr="00E73F6F" w:rsidRDefault="00FF7799" w:rsidP="006E0282">
      <w:pPr>
        <w:pStyle w:val="StandardText"/>
      </w:pPr>
      <w:r w:rsidRPr="00E73F6F">
        <w:t>Wie entstehen</w:t>
      </w:r>
      <w:r w:rsidRPr="00E73F6F">
        <w:rPr>
          <w:spacing w:val="-1"/>
        </w:rPr>
        <w:t xml:space="preserve"> </w:t>
      </w:r>
      <w:r w:rsidRPr="00E73F6F">
        <w:t>multikulturelle Gesellschaften bzw. welches sind</w:t>
      </w:r>
      <w:r w:rsidRPr="00E73F6F">
        <w:rPr>
          <w:spacing w:val="-1"/>
        </w:rPr>
        <w:t xml:space="preserve"> </w:t>
      </w:r>
      <w:r w:rsidRPr="00E73F6F">
        <w:t>ihre Triebkräfte? Das Assimilationsmodell geht von der Anpassung der Minderheiten- bzw. Einwandererkultur(en) an die Mehrheitskultur aus (sei es als Eigendynamik, Wunsch oder Zwang). Im Fokus des Apartheitsmodells steht die Separierung unterschiedlicher</w:t>
      </w:r>
      <w:r w:rsidRPr="00E73F6F">
        <w:rPr>
          <w:spacing w:val="-1"/>
        </w:rPr>
        <w:t xml:space="preserve"> </w:t>
      </w:r>
      <w:r w:rsidRPr="00E73F6F">
        <w:t>Ethnien.</w:t>
      </w:r>
      <w:r w:rsidRPr="00E73F6F">
        <w:rPr>
          <w:spacing w:val="-2"/>
        </w:rPr>
        <w:t xml:space="preserve"> </w:t>
      </w:r>
      <w:r w:rsidRPr="00E73F6F">
        <w:t>Dies</w:t>
      </w:r>
      <w:r w:rsidRPr="00E73F6F">
        <w:rPr>
          <w:spacing w:val="-3"/>
        </w:rPr>
        <w:t xml:space="preserve"> </w:t>
      </w:r>
      <w:r w:rsidRPr="00E73F6F">
        <w:t>kann,</w:t>
      </w:r>
      <w:r w:rsidRPr="00E73F6F">
        <w:rPr>
          <w:spacing w:val="-2"/>
        </w:rPr>
        <w:t xml:space="preserve"> </w:t>
      </w:r>
      <w:r w:rsidRPr="00E73F6F">
        <w:t>wie</w:t>
      </w:r>
      <w:r w:rsidRPr="00E73F6F">
        <w:rPr>
          <w:spacing w:val="-1"/>
        </w:rPr>
        <w:t xml:space="preserve"> </w:t>
      </w:r>
      <w:r w:rsidRPr="00E73F6F">
        <w:t>in</w:t>
      </w:r>
      <w:r w:rsidRPr="00E73F6F">
        <w:rPr>
          <w:spacing w:val="-2"/>
        </w:rPr>
        <w:t xml:space="preserve"> </w:t>
      </w:r>
      <w:r w:rsidRPr="00E73F6F">
        <w:t>Südafrika</w:t>
      </w:r>
      <w:r w:rsidRPr="00E73F6F">
        <w:rPr>
          <w:spacing w:val="-4"/>
        </w:rPr>
        <w:t xml:space="preserve"> </w:t>
      </w:r>
      <w:r w:rsidRPr="00E73F6F">
        <w:t>bzw.</w:t>
      </w:r>
      <w:r w:rsidRPr="00E73F6F">
        <w:rPr>
          <w:spacing w:val="-3"/>
        </w:rPr>
        <w:t xml:space="preserve"> </w:t>
      </w:r>
      <w:r w:rsidRPr="00E73F6F">
        <w:t>im</w:t>
      </w:r>
      <w:r w:rsidRPr="00E73F6F">
        <w:rPr>
          <w:spacing w:val="-1"/>
        </w:rPr>
        <w:t xml:space="preserve"> </w:t>
      </w:r>
      <w:r w:rsidRPr="00E73F6F">
        <w:t>Dritten Reich,</w:t>
      </w:r>
      <w:r w:rsidRPr="00E73F6F">
        <w:rPr>
          <w:spacing w:val="-3"/>
        </w:rPr>
        <w:t xml:space="preserve"> </w:t>
      </w:r>
      <w:r w:rsidRPr="00E73F6F">
        <w:t>bis hin zur Ghettoisierung des als grundsätzlich minderwertig angesehenen Andersartigen gehen. Vertreter des polyzentrischen Modells (z.B. Belgien, Kanada, Schweiz) streben das gleichberechtigte Nebeneinander verschiedener Kulturen an. Kanada bspw. fühlt sich seit 1971 explizit den Idealen des Multikulturalismus verpflichtet. Allen Kanadiern soll es möglich sein, ihre kulturelle</w:t>
      </w:r>
      <w:r w:rsidRPr="00E73F6F">
        <w:rPr>
          <w:spacing w:val="-11"/>
        </w:rPr>
        <w:t xml:space="preserve"> </w:t>
      </w:r>
      <w:r w:rsidRPr="00E73F6F">
        <w:t>Identität</w:t>
      </w:r>
      <w:r w:rsidRPr="00E73F6F">
        <w:rPr>
          <w:spacing w:val="-10"/>
        </w:rPr>
        <w:t xml:space="preserve"> </w:t>
      </w:r>
      <w:r w:rsidRPr="00E73F6F">
        <w:t>als</w:t>
      </w:r>
      <w:r w:rsidRPr="00E73F6F">
        <w:rPr>
          <w:spacing w:val="-10"/>
        </w:rPr>
        <w:t xml:space="preserve"> </w:t>
      </w:r>
      <w:r w:rsidRPr="00E73F6F">
        <w:t>Anglophone</w:t>
      </w:r>
      <w:r w:rsidRPr="00E73F6F">
        <w:rPr>
          <w:spacing w:val="-11"/>
        </w:rPr>
        <w:t xml:space="preserve"> </w:t>
      </w:r>
      <w:r w:rsidRPr="00E73F6F">
        <w:t>oder</w:t>
      </w:r>
      <w:r w:rsidRPr="00E73F6F">
        <w:rPr>
          <w:spacing w:val="-10"/>
        </w:rPr>
        <w:t xml:space="preserve"> </w:t>
      </w:r>
      <w:r w:rsidRPr="00E73F6F">
        <w:t>als</w:t>
      </w:r>
      <w:r w:rsidRPr="00E73F6F">
        <w:rPr>
          <w:spacing w:val="-10"/>
        </w:rPr>
        <w:t xml:space="preserve"> </w:t>
      </w:r>
      <w:r w:rsidRPr="00E73F6F">
        <w:t>Frankophone</w:t>
      </w:r>
      <w:r w:rsidRPr="00E73F6F">
        <w:rPr>
          <w:spacing w:val="-11"/>
        </w:rPr>
        <w:t xml:space="preserve"> </w:t>
      </w:r>
      <w:r w:rsidRPr="00E73F6F">
        <w:t>zu</w:t>
      </w:r>
      <w:r w:rsidRPr="00E73F6F">
        <w:rPr>
          <w:spacing w:val="-9"/>
        </w:rPr>
        <w:t xml:space="preserve"> </w:t>
      </w:r>
      <w:r w:rsidRPr="00E73F6F">
        <w:t>wahren,</w:t>
      </w:r>
      <w:r w:rsidRPr="00E73F6F">
        <w:rPr>
          <w:spacing w:val="-10"/>
        </w:rPr>
        <w:t xml:space="preserve"> </w:t>
      </w:r>
      <w:r w:rsidRPr="00E73F6F">
        <w:t>ihr</w:t>
      </w:r>
      <w:r w:rsidRPr="00E73F6F">
        <w:rPr>
          <w:spacing w:val="-12"/>
        </w:rPr>
        <w:t xml:space="preserve"> </w:t>
      </w:r>
      <w:r w:rsidRPr="00E73F6F">
        <w:t>Leben</w:t>
      </w:r>
      <w:r w:rsidRPr="00E73F6F">
        <w:rPr>
          <w:spacing w:val="-10"/>
        </w:rPr>
        <w:t xml:space="preserve"> </w:t>
      </w:r>
      <w:r w:rsidRPr="00E73F6F">
        <w:t>mit Angehörigen anderer Kulturen zu teilen und frei von Vorurteilen und Diskriminierung zu leben (vgl. z.B. Guimond/Zanna 1995; Berry/Kalin 1995). Dies impliziert, dass offenen, demokratisch-multikulturellen Gesellschaftskonzepten eine bisweilen höchst idealistische Auffassung über die Art</w:t>
      </w:r>
      <w:r w:rsidRPr="00E73F6F">
        <w:rPr>
          <w:spacing w:val="-12"/>
        </w:rPr>
        <w:t xml:space="preserve"> </w:t>
      </w:r>
      <w:r w:rsidRPr="00E73F6F">
        <w:t>des</w:t>
      </w:r>
      <w:r w:rsidRPr="00E73F6F">
        <w:rPr>
          <w:spacing w:val="-11"/>
        </w:rPr>
        <w:t xml:space="preserve"> </w:t>
      </w:r>
      <w:r w:rsidRPr="00E73F6F">
        <w:t>Zusammenlebens</w:t>
      </w:r>
      <w:r w:rsidRPr="00E73F6F">
        <w:rPr>
          <w:spacing w:val="-11"/>
        </w:rPr>
        <w:t xml:space="preserve"> </w:t>
      </w:r>
      <w:r w:rsidRPr="00E73F6F">
        <w:t>verschiedener</w:t>
      </w:r>
      <w:r w:rsidRPr="00E73F6F">
        <w:rPr>
          <w:spacing w:val="-11"/>
        </w:rPr>
        <w:t xml:space="preserve"> </w:t>
      </w:r>
      <w:r w:rsidRPr="00E73F6F">
        <w:t>Kulturen</w:t>
      </w:r>
      <w:r w:rsidRPr="00E73F6F">
        <w:rPr>
          <w:spacing w:val="-12"/>
        </w:rPr>
        <w:t xml:space="preserve"> </w:t>
      </w:r>
      <w:r w:rsidRPr="00E73F6F">
        <w:t>bzw.</w:t>
      </w:r>
      <w:r w:rsidRPr="00E73F6F">
        <w:rPr>
          <w:spacing w:val="-11"/>
        </w:rPr>
        <w:t xml:space="preserve"> </w:t>
      </w:r>
      <w:r w:rsidRPr="00E73F6F">
        <w:t>Ethnien</w:t>
      </w:r>
      <w:r w:rsidRPr="00E73F6F">
        <w:rPr>
          <w:spacing w:val="-11"/>
        </w:rPr>
        <w:t xml:space="preserve"> </w:t>
      </w:r>
      <w:r w:rsidRPr="00E73F6F">
        <w:t>zugrunde</w:t>
      </w:r>
      <w:r w:rsidRPr="00E73F6F">
        <w:rPr>
          <w:spacing w:val="-11"/>
        </w:rPr>
        <w:t xml:space="preserve"> </w:t>
      </w:r>
      <w:r w:rsidRPr="00E73F6F">
        <w:t>liegt.</w:t>
      </w:r>
      <w:r w:rsidRPr="00E73F6F">
        <w:rPr>
          <w:spacing w:val="-12"/>
        </w:rPr>
        <w:t xml:space="preserve"> </w:t>
      </w:r>
      <w:r w:rsidRPr="00E73F6F">
        <w:t>Als Gegenbewegung hat sich der Neokonservatismus entwickelt.</w:t>
      </w:r>
    </w:p>
    <w:p w14:paraId="70889EFA" w14:textId="77777777" w:rsidR="00FF7799" w:rsidRPr="00E73F6F" w:rsidRDefault="00FF7799" w:rsidP="006E0282">
      <w:pPr>
        <w:pStyle w:val="StandardText"/>
      </w:pPr>
      <w:r w:rsidRPr="00E73F6F">
        <w:t>Von Multikulturalität spricht man auch, wenn innerhalb eines Unternehmensverbunds verschiedenartige Unternehmenskulturen präsent sind. Daraus erwächst eine Komplexität der Unternehmensführung, die Macharzina (1989,</w:t>
      </w:r>
      <w:r w:rsidRPr="00E73F6F">
        <w:rPr>
          <w:spacing w:val="-12"/>
        </w:rPr>
        <w:t xml:space="preserve"> </w:t>
      </w:r>
      <w:r w:rsidRPr="00E73F6F">
        <w:t>Sp.908)</w:t>
      </w:r>
      <w:r w:rsidRPr="00E73F6F">
        <w:rPr>
          <w:spacing w:val="-10"/>
        </w:rPr>
        <w:t xml:space="preserve"> </w:t>
      </w:r>
      <w:r w:rsidRPr="00E73F6F">
        <w:t>nicht</w:t>
      </w:r>
      <w:r w:rsidRPr="00E73F6F">
        <w:rPr>
          <w:spacing w:val="-12"/>
        </w:rPr>
        <w:t xml:space="preserve"> </w:t>
      </w:r>
      <w:r w:rsidRPr="00E73F6F">
        <w:t>nur</w:t>
      </w:r>
      <w:r w:rsidRPr="00E73F6F">
        <w:rPr>
          <w:spacing w:val="-11"/>
        </w:rPr>
        <w:t xml:space="preserve"> </w:t>
      </w:r>
      <w:r w:rsidRPr="00E73F6F">
        <w:t>kulturwissenschaftlich,</w:t>
      </w:r>
      <w:r w:rsidRPr="00E73F6F">
        <w:rPr>
          <w:spacing w:val="-9"/>
        </w:rPr>
        <w:t xml:space="preserve"> </w:t>
      </w:r>
      <w:r w:rsidRPr="00E73F6F">
        <w:t>sondern</w:t>
      </w:r>
      <w:r w:rsidRPr="00E73F6F">
        <w:rPr>
          <w:spacing w:val="-11"/>
        </w:rPr>
        <w:t xml:space="preserve"> </w:t>
      </w:r>
      <w:r w:rsidRPr="00E73F6F">
        <w:t>auch</w:t>
      </w:r>
      <w:r w:rsidRPr="00E73F6F">
        <w:rPr>
          <w:spacing w:val="-11"/>
        </w:rPr>
        <w:t xml:space="preserve"> </w:t>
      </w:r>
      <w:r w:rsidRPr="00E73F6F">
        <w:t>mit</w:t>
      </w:r>
      <w:r w:rsidRPr="00E73F6F">
        <w:rPr>
          <w:spacing w:val="-12"/>
        </w:rPr>
        <w:t xml:space="preserve"> </w:t>
      </w:r>
      <w:r w:rsidRPr="00E73F6F">
        <w:t>der</w:t>
      </w:r>
      <w:r w:rsidRPr="00E73F6F">
        <w:rPr>
          <w:spacing w:val="-9"/>
        </w:rPr>
        <w:t xml:space="preserve"> </w:t>
      </w:r>
      <w:r w:rsidRPr="00E73F6F">
        <w:t>im</w:t>
      </w:r>
      <w:r w:rsidRPr="00E73F6F">
        <w:rPr>
          <w:spacing w:val="-11"/>
        </w:rPr>
        <w:t xml:space="preserve"> </w:t>
      </w:r>
      <w:r w:rsidRPr="00E73F6F">
        <w:t>Regelfall gegebenen geografische Streuung der Unternehmensteile begründete:</w:t>
      </w:r>
    </w:p>
    <w:p w14:paraId="4447D7ED" w14:textId="77777777" w:rsidR="00FF7799" w:rsidRPr="00E73F6F" w:rsidRDefault="00FF7799" w:rsidP="006E0282">
      <w:pPr>
        <w:pStyle w:val="StandardText"/>
      </w:pPr>
      <w:r w:rsidRPr="00E73F6F">
        <w:t>Allerdings unterhalten auch zahlreiche Unternehmen, die ausschließlich national tätig sind, mehrere Standorte. Und im Zuge der Verringerung der Fertigungstiefe sind gerade Großunternehmen geografisch immer weniger eindeutig identifizierbar. Deshalb ist das Kriterium der geografischen Streuung weniger geeignet, das Internationale vom Domestic Marketing abzugrenzen. Wesentlicher sind, wie folgende Beispiele belegen, die kulturellen Unterschiede, welche bei grenzüberschreitender Unternehmenstätigkeit zu bewältigen sind.</w:t>
      </w:r>
    </w:p>
    <w:p w14:paraId="133389B9" w14:textId="77777777" w:rsidR="00FF7799" w:rsidRPr="00E73F6F" w:rsidRDefault="00FF7799" w:rsidP="00862DBA">
      <w:pPr>
        <w:jc w:val="both"/>
        <w:rPr>
          <w:sz w:val="24"/>
          <w:szCs w:val="24"/>
        </w:rPr>
      </w:pPr>
    </w:p>
    <w:p w14:paraId="3B3743E4" w14:textId="77777777" w:rsidR="00FF7799" w:rsidRPr="00E73F6F" w:rsidRDefault="00FF7799" w:rsidP="00076400">
      <w:pPr>
        <w:pStyle w:val="StandardTextkursiv"/>
      </w:pPr>
      <w:r w:rsidRPr="00E73F6F">
        <w:t>Beispiel 1</w:t>
      </w:r>
    </w:p>
    <w:p w14:paraId="523458D2" w14:textId="77777777" w:rsidR="00FF7799" w:rsidRPr="00E73F6F" w:rsidRDefault="00FF7799" w:rsidP="006E0282">
      <w:pPr>
        <w:pStyle w:val="StandardText"/>
      </w:pPr>
      <w:r w:rsidRPr="00E73F6F">
        <w:t>Gewöhnlich</w:t>
      </w:r>
      <w:r w:rsidRPr="00E73F6F">
        <w:rPr>
          <w:spacing w:val="-7"/>
        </w:rPr>
        <w:t xml:space="preserve"> </w:t>
      </w:r>
      <w:r w:rsidRPr="00E73F6F">
        <w:t>bringt</w:t>
      </w:r>
      <w:r w:rsidRPr="00E73F6F">
        <w:rPr>
          <w:spacing w:val="-7"/>
        </w:rPr>
        <w:t xml:space="preserve"> </w:t>
      </w:r>
      <w:r w:rsidRPr="00E73F6F">
        <w:t>das</w:t>
      </w:r>
      <w:r w:rsidRPr="00E73F6F">
        <w:rPr>
          <w:spacing w:val="-6"/>
        </w:rPr>
        <w:t xml:space="preserve"> </w:t>
      </w:r>
      <w:r w:rsidRPr="00E73F6F">
        <w:t>lokale</w:t>
      </w:r>
      <w:r w:rsidRPr="00E73F6F">
        <w:rPr>
          <w:spacing w:val="-6"/>
        </w:rPr>
        <w:t xml:space="preserve"> </w:t>
      </w:r>
      <w:r w:rsidRPr="00E73F6F">
        <w:t>Management</w:t>
      </w:r>
      <w:r w:rsidRPr="00E73F6F">
        <w:rPr>
          <w:spacing w:val="-5"/>
        </w:rPr>
        <w:t xml:space="preserve"> </w:t>
      </w:r>
      <w:r w:rsidRPr="00E73F6F">
        <w:t>seinen</w:t>
      </w:r>
      <w:r w:rsidRPr="00E73F6F">
        <w:rPr>
          <w:spacing w:val="-4"/>
        </w:rPr>
        <w:t xml:space="preserve"> </w:t>
      </w:r>
      <w:r w:rsidRPr="00E73F6F">
        <w:t>„kulturellen</w:t>
      </w:r>
      <w:r w:rsidRPr="00E73F6F">
        <w:rPr>
          <w:spacing w:val="-7"/>
        </w:rPr>
        <w:t xml:space="preserve"> </w:t>
      </w:r>
      <w:r w:rsidRPr="00E73F6F">
        <w:t>Kontext“</w:t>
      </w:r>
      <w:r w:rsidRPr="00E73F6F">
        <w:rPr>
          <w:spacing w:val="-6"/>
        </w:rPr>
        <w:t xml:space="preserve"> </w:t>
      </w:r>
      <w:r w:rsidRPr="00E73F6F">
        <w:t>in</w:t>
      </w:r>
      <w:r w:rsidRPr="00E73F6F">
        <w:rPr>
          <w:spacing w:val="-4"/>
        </w:rPr>
        <w:t xml:space="preserve"> </w:t>
      </w:r>
      <w:r w:rsidRPr="00E73F6F">
        <w:t>die Beziehung mit dem Mutterunternehmen ein (d.h. seine aus der jeweiligen Landeskultur und der bisherigen Unternehmenskultur erwachsenden Normen, Werte und Verhaltensstandards). Will das Stammhaus inner-organisationale Konflikte vermeiden bzw. steuern, dann muss es interkulturelles Beziehungs- Management betreiben (vgl. z.B. Schröder 1993).</w:t>
      </w:r>
    </w:p>
    <w:p w14:paraId="3D4045B5" w14:textId="77777777" w:rsidR="00FF7799" w:rsidRPr="00E73F6F" w:rsidRDefault="00FF7799" w:rsidP="006E0282">
      <w:pPr>
        <w:pStyle w:val="StandardText"/>
      </w:pP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9062"/>
      </w:tblGrid>
      <w:tr w:rsidR="00FF7799" w:rsidRPr="00E73F6F" w14:paraId="6D6DB63B" w14:textId="77777777" w:rsidTr="00110194">
        <w:trPr>
          <w:trHeight w:val="415"/>
        </w:trPr>
        <w:tc>
          <w:tcPr>
            <w:tcW w:w="5000" w:type="pct"/>
            <w:tcBorders>
              <w:bottom w:val="single" w:sz="4" w:space="0" w:color="auto"/>
            </w:tcBorders>
            <w:shd w:val="clear" w:color="auto" w:fill="DEEAF6" w:themeFill="accent1" w:themeFillTint="33"/>
          </w:tcPr>
          <w:p w14:paraId="65BF0D4A" w14:textId="77777777" w:rsidR="00FF7799" w:rsidRPr="00E73F6F" w:rsidRDefault="00FF7799" w:rsidP="00D23B88">
            <w:pPr>
              <w:pStyle w:val="Standardklein"/>
              <w:spacing w:before="120" w:after="120"/>
              <w:jc w:val="center"/>
              <w:rPr>
                <w:b/>
                <w:lang w:val="de-DE"/>
              </w:rPr>
            </w:pPr>
            <w:r w:rsidRPr="00E73F6F">
              <w:rPr>
                <w:b/>
                <w:lang w:val="de-DE"/>
              </w:rPr>
              <w:t>Maximal</w:t>
            </w:r>
            <w:r w:rsidRPr="00E73F6F">
              <w:rPr>
                <w:b/>
                <w:spacing w:val="-6"/>
                <w:lang w:val="de-DE"/>
              </w:rPr>
              <w:t xml:space="preserve"> </w:t>
            </w:r>
            <w:r w:rsidRPr="00E73F6F">
              <w:rPr>
                <w:b/>
                <w:lang w:val="de-DE"/>
              </w:rPr>
              <w:t>zwölf</w:t>
            </w:r>
            <w:r w:rsidRPr="00E73F6F">
              <w:rPr>
                <w:b/>
                <w:spacing w:val="-7"/>
                <w:lang w:val="de-DE"/>
              </w:rPr>
              <w:t xml:space="preserve"> </w:t>
            </w:r>
            <w:r w:rsidRPr="00E73F6F">
              <w:rPr>
                <w:b/>
                <w:spacing w:val="-2"/>
                <w:lang w:val="de-DE"/>
              </w:rPr>
              <w:t>Zeilen</w:t>
            </w:r>
          </w:p>
        </w:tc>
      </w:tr>
      <w:tr w:rsidR="00FF7799" w:rsidRPr="00E73F6F" w14:paraId="653277F1" w14:textId="77777777" w:rsidTr="00110194">
        <w:trPr>
          <w:trHeight w:val="2724"/>
        </w:trPr>
        <w:tc>
          <w:tcPr>
            <w:tcW w:w="5000" w:type="pct"/>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24F4FA49" w14:textId="77777777" w:rsidR="00FF7799" w:rsidRPr="00E73F6F" w:rsidRDefault="00FF7799" w:rsidP="006E0282">
            <w:pPr>
              <w:pStyle w:val="Standardklein"/>
              <w:spacing w:before="120" w:after="120"/>
              <w:rPr>
                <w:lang w:val="de-DE"/>
              </w:rPr>
            </w:pPr>
            <w:r w:rsidRPr="00E73F6F">
              <w:rPr>
                <w:lang w:val="de-DE"/>
              </w:rPr>
              <w:lastRenderedPageBreak/>
              <w:t>„Ende der achtziger Jahre verlor die Marketing-Abteilung der deutschen Niederlassung</w:t>
            </w:r>
            <w:r w:rsidRPr="00E73F6F">
              <w:rPr>
                <w:spacing w:val="40"/>
                <w:lang w:val="de-DE"/>
              </w:rPr>
              <w:t xml:space="preserve"> </w:t>
            </w:r>
            <w:r w:rsidRPr="00E73F6F">
              <w:rPr>
                <w:lang w:val="de-DE"/>
              </w:rPr>
              <w:t>eines</w:t>
            </w:r>
            <w:r w:rsidRPr="00E73F6F">
              <w:rPr>
                <w:spacing w:val="-3"/>
                <w:lang w:val="de-DE"/>
              </w:rPr>
              <w:t xml:space="preserve"> </w:t>
            </w:r>
            <w:r w:rsidRPr="00E73F6F">
              <w:rPr>
                <w:lang w:val="de-DE"/>
              </w:rPr>
              <w:t>amerikanischen</w:t>
            </w:r>
            <w:r w:rsidRPr="00E73F6F">
              <w:rPr>
                <w:spacing w:val="-2"/>
                <w:lang w:val="de-DE"/>
              </w:rPr>
              <w:t xml:space="preserve"> </w:t>
            </w:r>
            <w:r w:rsidRPr="00E73F6F">
              <w:rPr>
                <w:lang w:val="de-DE"/>
              </w:rPr>
              <w:t>multinationalen</w:t>
            </w:r>
            <w:r w:rsidRPr="00E73F6F">
              <w:rPr>
                <w:spacing w:val="-4"/>
                <w:lang w:val="de-DE"/>
              </w:rPr>
              <w:t xml:space="preserve"> </w:t>
            </w:r>
            <w:r w:rsidRPr="00E73F6F">
              <w:rPr>
                <w:lang w:val="de-DE"/>
              </w:rPr>
              <w:t>Konzerns</w:t>
            </w:r>
            <w:r w:rsidRPr="00E73F6F">
              <w:rPr>
                <w:spacing w:val="-5"/>
                <w:lang w:val="de-DE"/>
              </w:rPr>
              <w:t xml:space="preserve"> </w:t>
            </w:r>
            <w:r w:rsidRPr="00E73F6F">
              <w:rPr>
                <w:lang w:val="de-DE"/>
              </w:rPr>
              <w:t>in</w:t>
            </w:r>
            <w:r w:rsidRPr="00E73F6F">
              <w:rPr>
                <w:spacing w:val="-2"/>
                <w:lang w:val="de-DE"/>
              </w:rPr>
              <w:t xml:space="preserve"> </w:t>
            </w:r>
            <w:r w:rsidRPr="00E73F6F">
              <w:rPr>
                <w:lang w:val="de-DE"/>
              </w:rPr>
              <w:t>kurzer Zeit</w:t>
            </w:r>
            <w:r w:rsidRPr="00E73F6F">
              <w:rPr>
                <w:spacing w:val="-2"/>
                <w:lang w:val="de-DE"/>
              </w:rPr>
              <w:t xml:space="preserve"> </w:t>
            </w:r>
            <w:r w:rsidRPr="00E73F6F">
              <w:rPr>
                <w:lang w:val="de-DE"/>
              </w:rPr>
              <w:t>fast</w:t>
            </w:r>
            <w:r w:rsidRPr="00E73F6F">
              <w:rPr>
                <w:spacing w:val="-2"/>
                <w:lang w:val="de-DE"/>
              </w:rPr>
              <w:t xml:space="preserve"> </w:t>
            </w:r>
            <w:r w:rsidRPr="00E73F6F">
              <w:rPr>
                <w:lang w:val="de-DE"/>
              </w:rPr>
              <w:t>ihre</w:t>
            </w:r>
            <w:r w:rsidRPr="00E73F6F">
              <w:rPr>
                <w:spacing w:val="-2"/>
                <w:lang w:val="de-DE"/>
              </w:rPr>
              <w:t xml:space="preserve"> </w:t>
            </w:r>
            <w:r w:rsidRPr="00E73F6F">
              <w:rPr>
                <w:lang w:val="de-DE"/>
              </w:rPr>
              <w:t>gesamte,</w:t>
            </w:r>
            <w:r w:rsidRPr="00E73F6F">
              <w:rPr>
                <w:spacing w:val="-5"/>
                <w:lang w:val="de-DE"/>
              </w:rPr>
              <w:t xml:space="preserve"> </w:t>
            </w:r>
            <w:r w:rsidRPr="00E73F6F">
              <w:rPr>
                <w:lang w:val="de-DE"/>
              </w:rPr>
              <w:t>bis</w:t>
            </w:r>
            <w:r w:rsidRPr="00E73F6F">
              <w:rPr>
                <w:spacing w:val="-3"/>
                <w:lang w:val="de-DE"/>
              </w:rPr>
              <w:t xml:space="preserve"> </w:t>
            </w:r>
            <w:r w:rsidRPr="00E73F6F">
              <w:rPr>
                <w:lang w:val="de-DE"/>
              </w:rPr>
              <w:t>dahin</w:t>
            </w:r>
            <w:r w:rsidRPr="00E73F6F">
              <w:rPr>
                <w:spacing w:val="40"/>
                <w:lang w:val="de-DE"/>
              </w:rPr>
              <w:t xml:space="preserve"> </w:t>
            </w:r>
            <w:r w:rsidRPr="00E73F6F">
              <w:rPr>
                <w:lang w:val="de-DE"/>
              </w:rPr>
              <w:t>rein deutsche Mitarbeiterschaft. Die Zentrale in den USA hatte als Nachfolgerin eines</w:t>
            </w:r>
            <w:r w:rsidRPr="00E73F6F">
              <w:rPr>
                <w:spacing w:val="40"/>
                <w:lang w:val="de-DE"/>
              </w:rPr>
              <w:t xml:space="preserve"> </w:t>
            </w:r>
            <w:r w:rsidRPr="00E73F6F">
              <w:rPr>
                <w:lang w:val="de-DE"/>
              </w:rPr>
              <w:t>Deutschen, der für</w:t>
            </w:r>
            <w:r w:rsidRPr="00E73F6F">
              <w:rPr>
                <w:spacing w:val="-1"/>
                <w:lang w:val="de-DE"/>
              </w:rPr>
              <w:t xml:space="preserve"> </w:t>
            </w:r>
            <w:r w:rsidRPr="00E73F6F">
              <w:rPr>
                <w:lang w:val="de-DE"/>
              </w:rPr>
              <w:t>die Niederlassung eine eigenständige, an einheimischen Verhältnissen</w:t>
            </w:r>
            <w:r w:rsidRPr="00E73F6F">
              <w:rPr>
                <w:spacing w:val="40"/>
                <w:lang w:val="de-DE"/>
              </w:rPr>
              <w:t xml:space="preserve"> </w:t>
            </w:r>
            <w:r w:rsidRPr="00E73F6F">
              <w:rPr>
                <w:lang w:val="de-DE"/>
              </w:rPr>
              <w:t>orientierte Organisationskultur hatte entstehen lassen, eine nur englischsprachige junge</w:t>
            </w:r>
            <w:r w:rsidRPr="00E73F6F">
              <w:rPr>
                <w:spacing w:val="40"/>
                <w:lang w:val="de-DE"/>
              </w:rPr>
              <w:t xml:space="preserve"> </w:t>
            </w:r>
            <w:r w:rsidRPr="00E73F6F">
              <w:rPr>
                <w:lang w:val="de-DE"/>
              </w:rPr>
              <w:t>Amerikanerin als Geschäftsführerin nach Deutschland beordert, wo sie sogleich die</w:t>
            </w:r>
            <w:r w:rsidRPr="00E73F6F">
              <w:rPr>
                <w:spacing w:val="40"/>
                <w:lang w:val="de-DE"/>
              </w:rPr>
              <w:t xml:space="preserve"> </w:t>
            </w:r>
            <w:r w:rsidRPr="00E73F6F">
              <w:rPr>
                <w:lang w:val="de-DE"/>
              </w:rPr>
              <w:t>Standards</w:t>
            </w:r>
            <w:r w:rsidRPr="00E73F6F">
              <w:rPr>
                <w:spacing w:val="-1"/>
                <w:lang w:val="de-DE"/>
              </w:rPr>
              <w:t xml:space="preserve"> </w:t>
            </w:r>
            <w:r w:rsidRPr="00E73F6F">
              <w:rPr>
                <w:lang w:val="de-DE"/>
              </w:rPr>
              <w:t>der Muttergesellschaft einführte. Eine ihrer Innovationen betraf die Anpassung</w:t>
            </w:r>
            <w:r w:rsidRPr="00E73F6F">
              <w:rPr>
                <w:spacing w:val="40"/>
                <w:lang w:val="de-DE"/>
              </w:rPr>
              <w:t xml:space="preserve"> </w:t>
            </w:r>
            <w:r w:rsidRPr="00E73F6F">
              <w:rPr>
                <w:lang w:val="de-DE"/>
              </w:rPr>
              <w:t>des lokalen Berichtswesens an jenes</w:t>
            </w:r>
            <w:r w:rsidRPr="00E73F6F">
              <w:rPr>
                <w:spacing w:val="-2"/>
                <w:lang w:val="de-DE"/>
              </w:rPr>
              <w:t xml:space="preserve"> </w:t>
            </w:r>
            <w:r w:rsidRPr="00E73F6F">
              <w:rPr>
                <w:lang w:val="de-DE"/>
              </w:rPr>
              <w:t>der Zentrale: von Sitzungen, Werbekampagnen usw.</w:t>
            </w:r>
            <w:r w:rsidRPr="00E73F6F">
              <w:rPr>
                <w:spacing w:val="40"/>
                <w:lang w:val="de-DE"/>
              </w:rPr>
              <w:t xml:space="preserve"> </w:t>
            </w:r>
            <w:r w:rsidRPr="00E73F6F">
              <w:rPr>
                <w:lang w:val="de-DE"/>
              </w:rPr>
              <w:t>durfte in Zukunft nur noch mit maximal zwölf Zeilen berichtet werden. Die deutschen</w:t>
            </w:r>
            <w:r w:rsidRPr="00E73F6F">
              <w:rPr>
                <w:spacing w:val="40"/>
                <w:lang w:val="de-DE"/>
              </w:rPr>
              <w:t xml:space="preserve"> </w:t>
            </w:r>
            <w:r w:rsidRPr="00E73F6F">
              <w:rPr>
                <w:lang w:val="de-DE"/>
              </w:rPr>
              <w:t>Mitarbeiter sahen sich dadurch um die Möglichkeit gebracht, Sachverhalte differenziert</w:t>
            </w:r>
            <w:r w:rsidRPr="00E73F6F">
              <w:rPr>
                <w:spacing w:val="40"/>
                <w:lang w:val="de-DE"/>
              </w:rPr>
              <w:t xml:space="preserve"> </w:t>
            </w:r>
            <w:r w:rsidRPr="00E73F6F">
              <w:rPr>
                <w:lang w:val="de-DE"/>
              </w:rPr>
              <w:t>genug darzustellen und damit ihrer Kompetenz Ausdruck zu verleihen. Andere</w:t>
            </w:r>
            <w:r w:rsidRPr="00E73F6F">
              <w:rPr>
                <w:spacing w:val="40"/>
                <w:lang w:val="de-DE"/>
              </w:rPr>
              <w:t xml:space="preserve"> </w:t>
            </w:r>
            <w:r w:rsidRPr="00E73F6F">
              <w:rPr>
                <w:lang w:val="de-DE"/>
              </w:rPr>
              <w:t>Veränderungen der organisations-internen Kommunikation wie direkte und öffentliche</w:t>
            </w:r>
            <w:r w:rsidRPr="00E73F6F">
              <w:rPr>
                <w:spacing w:val="40"/>
                <w:lang w:val="de-DE"/>
              </w:rPr>
              <w:t xml:space="preserve"> </w:t>
            </w:r>
            <w:r w:rsidRPr="00E73F6F">
              <w:rPr>
                <w:lang w:val="de-DE"/>
              </w:rPr>
              <w:t>Kritik an – auch älteren – Mitarbeitern und die Anforderung, in ihrer Gegenwart das</w:t>
            </w:r>
            <w:r w:rsidRPr="00E73F6F">
              <w:rPr>
                <w:spacing w:val="40"/>
                <w:lang w:val="de-DE"/>
              </w:rPr>
              <w:t xml:space="preserve"> </w:t>
            </w:r>
            <w:r w:rsidRPr="00E73F6F">
              <w:rPr>
                <w:lang w:val="de-DE"/>
              </w:rPr>
              <w:t>Englische für alle Gespr</w:t>
            </w:r>
            <w:r w:rsidR="00110194">
              <w:rPr>
                <w:lang w:val="de-DE"/>
              </w:rPr>
              <w:t>äche zu gebrauchen, kamen hinzu</w:t>
            </w:r>
            <w:r w:rsidRPr="00E73F6F">
              <w:rPr>
                <w:lang w:val="de-DE"/>
              </w:rPr>
              <w:t>“</w:t>
            </w:r>
            <w:r w:rsidR="00110194">
              <w:rPr>
                <w:lang w:val="de-DE"/>
              </w:rPr>
              <w:t xml:space="preserve"> (</w:t>
            </w:r>
            <w:r w:rsidR="00110194" w:rsidRPr="00E73F6F">
              <w:rPr>
                <w:lang w:val="de-DE"/>
              </w:rPr>
              <w:t>Knapp</w:t>
            </w:r>
            <w:r w:rsidR="00110194" w:rsidRPr="00E73F6F">
              <w:rPr>
                <w:spacing w:val="-2"/>
                <w:lang w:val="de-DE"/>
              </w:rPr>
              <w:t xml:space="preserve"> </w:t>
            </w:r>
            <w:r w:rsidR="00110194" w:rsidRPr="00E73F6F">
              <w:rPr>
                <w:lang w:val="de-DE"/>
              </w:rPr>
              <w:t>1996,</w:t>
            </w:r>
            <w:r w:rsidR="00110194" w:rsidRPr="00E73F6F">
              <w:rPr>
                <w:spacing w:val="-1"/>
                <w:lang w:val="de-DE"/>
              </w:rPr>
              <w:t xml:space="preserve"> </w:t>
            </w:r>
            <w:r w:rsidR="00110194" w:rsidRPr="00E73F6F">
              <w:rPr>
                <w:spacing w:val="-2"/>
                <w:lang w:val="de-DE"/>
              </w:rPr>
              <w:t>S.69)</w:t>
            </w:r>
            <w:r w:rsidR="00110194">
              <w:rPr>
                <w:spacing w:val="-2"/>
                <w:lang w:val="de-DE"/>
              </w:rPr>
              <w:t>.</w:t>
            </w:r>
          </w:p>
        </w:tc>
      </w:tr>
    </w:tbl>
    <w:p w14:paraId="5C3045F2" w14:textId="77777777" w:rsidR="00110194" w:rsidRDefault="00110194" w:rsidP="00076400">
      <w:pPr>
        <w:pStyle w:val="StandardTextkursiv"/>
      </w:pPr>
    </w:p>
    <w:p w14:paraId="42F8363F" w14:textId="77777777" w:rsidR="00FF7799" w:rsidRPr="00110194" w:rsidRDefault="00FF7799" w:rsidP="00076400">
      <w:pPr>
        <w:pStyle w:val="StandardTextkursiv"/>
        <w:rPr>
          <w:i w:val="0"/>
        </w:rPr>
      </w:pPr>
      <w:r w:rsidRPr="00110194">
        <w:rPr>
          <w:i w:val="0"/>
        </w:rPr>
        <w:t>Beispiel 2</w:t>
      </w:r>
    </w:p>
    <w:p w14:paraId="4745E6DA" w14:textId="77777777" w:rsidR="00FF7799" w:rsidRPr="00110194" w:rsidRDefault="00FF7799" w:rsidP="006408B3">
      <w:pPr>
        <w:pStyle w:val="StandardText"/>
      </w:pPr>
      <w:r w:rsidRPr="00110194">
        <w:t>Die kulturell bedingte Komplexität wächst c.p. umso stärker, je mehr unterschiedliche Landeskulturen zu berücksichtigen sind. Im Falle der von Volkswagen do Brasil und Ford do Brasil gegründeten Holding-Gesellschaft Autolatina</w:t>
      </w:r>
      <w:r w:rsidRPr="00110194">
        <w:rPr>
          <w:spacing w:val="-8"/>
        </w:rPr>
        <w:t xml:space="preserve">  </w:t>
      </w:r>
      <w:r w:rsidRPr="00110194">
        <w:t>waren</w:t>
      </w:r>
      <w:r w:rsidRPr="00110194">
        <w:rPr>
          <w:spacing w:val="-7"/>
        </w:rPr>
        <w:t xml:space="preserve"> </w:t>
      </w:r>
      <w:r w:rsidRPr="00110194">
        <w:t>es</w:t>
      </w:r>
      <w:r w:rsidRPr="00110194">
        <w:rPr>
          <w:spacing w:val="-10"/>
        </w:rPr>
        <w:t xml:space="preserve"> </w:t>
      </w:r>
      <w:r w:rsidRPr="00110194">
        <w:t>vier</w:t>
      </w:r>
      <w:r w:rsidRPr="00110194">
        <w:rPr>
          <w:spacing w:val="-8"/>
        </w:rPr>
        <w:t xml:space="preserve"> </w:t>
      </w:r>
      <w:r w:rsidRPr="00110194">
        <w:t>Länder</w:t>
      </w:r>
      <w:r w:rsidRPr="00110194">
        <w:rPr>
          <w:spacing w:val="-8"/>
        </w:rPr>
        <w:t xml:space="preserve"> </w:t>
      </w:r>
      <w:r w:rsidRPr="00110194">
        <w:t>aus</w:t>
      </w:r>
      <w:r w:rsidRPr="00110194">
        <w:rPr>
          <w:spacing w:val="-8"/>
        </w:rPr>
        <w:t xml:space="preserve"> </w:t>
      </w:r>
      <w:r w:rsidRPr="00110194">
        <w:t>drei</w:t>
      </w:r>
      <w:r w:rsidRPr="00110194">
        <w:rPr>
          <w:spacing w:val="-9"/>
        </w:rPr>
        <w:t xml:space="preserve"> </w:t>
      </w:r>
      <w:r w:rsidRPr="00110194">
        <w:t>Kulturkreisen</w:t>
      </w:r>
      <w:r w:rsidRPr="00110194">
        <w:rPr>
          <w:spacing w:val="-7"/>
        </w:rPr>
        <w:t xml:space="preserve"> </w:t>
      </w:r>
      <w:r w:rsidRPr="00110194">
        <w:t>(Europa,</w:t>
      </w:r>
      <w:r w:rsidRPr="00110194">
        <w:rPr>
          <w:spacing w:val="-7"/>
        </w:rPr>
        <w:t xml:space="preserve"> </w:t>
      </w:r>
      <w:r w:rsidRPr="00110194">
        <w:t>Nord- und Südamerika).</w:t>
      </w:r>
    </w:p>
    <w:p w14:paraId="5FB61C79" w14:textId="77777777" w:rsidR="00FF7799" w:rsidRPr="00E73F6F" w:rsidRDefault="00FF7799" w:rsidP="00862DBA">
      <w:pPr>
        <w:spacing w:before="5"/>
        <w:rPr>
          <w:i/>
          <w:sz w:val="24"/>
          <w:szCs w:val="24"/>
        </w:rPr>
      </w:pPr>
    </w:p>
    <w:p w14:paraId="686F41A5" w14:textId="77777777" w:rsidR="00FF7799" w:rsidRPr="00E73F6F" w:rsidRDefault="00FF7799" w:rsidP="006408B3">
      <w:pPr>
        <w:pStyle w:val="StandardText"/>
      </w:pPr>
      <w:r w:rsidRPr="00E73F6F">
        <w:t>Die Erfahrungen, welche das Unternehmen dabei sammelte, fasste ein Vorstandsmitglied</w:t>
      </w:r>
      <w:r w:rsidRPr="00E73F6F">
        <w:rPr>
          <w:spacing w:val="72"/>
        </w:rPr>
        <w:t xml:space="preserve"> </w:t>
      </w:r>
      <w:r w:rsidRPr="00E73F6F">
        <w:t>der</w:t>
      </w:r>
      <w:r w:rsidRPr="00E73F6F">
        <w:rPr>
          <w:spacing w:val="75"/>
        </w:rPr>
        <w:t xml:space="preserve"> </w:t>
      </w:r>
      <w:r w:rsidRPr="00E73F6F">
        <w:rPr>
          <w:i/>
        </w:rPr>
        <w:t>Volkswagen</w:t>
      </w:r>
      <w:r w:rsidRPr="00E73F6F">
        <w:rPr>
          <w:i/>
          <w:spacing w:val="73"/>
        </w:rPr>
        <w:t xml:space="preserve"> </w:t>
      </w:r>
      <w:r w:rsidRPr="00E73F6F">
        <w:rPr>
          <w:i/>
        </w:rPr>
        <w:t>AG</w:t>
      </w:r>
      <w:r w:rsidRPr="00E73F6F">
        <w:t>,</w:t>
      </w:r>
      <w:r w:rsidRPr="00E73F6F">
        <w:rPr>
          <w:spacing w:val="72"/>
        </w:rPr>
        <w:t xml:space="preserve"> </w:t>
      </w:r>
      <w:r w:rsidRPr="00E73F6F">
        <w:t>folgendermaßen</w:t>
      </w:r>
      <w:r w:rsidRPr="00E73F6F">
        <w:rPr>
          <w:spacing w:val="74"/>
        </w:rPr>
        <w:t xml:space="preserve"> </w:t>
      </w:r>
      <w:r w:rsidRPr="00E73F6F">
        <w:rPr>
          <w:spacing w:val="-2"/>
        </w:rPr>
        <w:t>zusammen:</w:t>
      </w:r>
      <w:r w:rsidR="00270173">
        <w:rPr>
          <w:spacing w:val="-2"/>
        </w:rPr>
        <w:t xml:space="preserve"> </w:t>
      </w:r>
      <w:r w:rsidRPr="00E73F6F">
        <w:t xml:space="preserve">„Spielentscheidend bei allen </w:t>
      </w:r>
      <w:r w:rsidR="00AA49CE">
        <w:sym w:font="Symbol" w:char="F0DE"/>
      </w:r>
      <w:r w:rsidR="00AA49CE">
        <w:t xml:space="preserve"> </w:t>
      </w:r>
      <w:r w:rsidRPr="00E73F6F">
        <w:t>Joint Ventures ist die Auswahl von auslandstauglichen Managern und Führungskräften“ (Posth/Bergmann 1997, S.550).</w:t>
      </w:r>
      <w:r w:rsidRPr="00E73F6F">
        <w:rPr>
          <w:spacing w:val="-8"/>
        </w:rPr>
        <w:t xml:space="preserve"> </w:t>
      </w:r>
      <w:r w:rsidRPr="00E73F6F">
        <w:t>Da</w:t>
      </w:r>
      <w:r w:rsidRPr="00E73F6F">
        <w:rPr>
          <w:spacing w:val="-10"/>
        </w:rPr>
        <w:t xml:space="preserve"> </w:t>
      </w:r>
      <w:r w:rsidRPr="00E73F6F">
        <w:t>hierbei</w:t>
      </w:r>
      <w:r w:rsidRPr="00E73F6F">
        <w:rPr>
          <w:spacing w:val="-8"/>
        </w:rPr>
        <w:t xml:space="preserve"> </w:t>
      </w:r>
      <w:r w:rsidRPr="00E73F6F">
        <w:t>jedoch</w:t>
      </w:r>
      <w:r w:rsidRPr="00E73F6F">
        <w:rPr>
          <w:spacing w:val="-10"/>
        </w:rPr>
        <w:t xml:space="preserve"> </w:t>
      </w:r>
      <w:r w:rsidRPr="00E73F6F">
        <w:t>häufig</w:t>
      </w:r>
      <w:r w:rsidRPr="00E73F6F">
        <w:rPr>
          <w:spacing w:val="-8"/>
        </w:rPr>
        <w:t xml:space="preserve"> </w:t>
      </w:r>
      <w:r w:rsidRPr="00E73F6F">
        <w:t>schwerwiegende</w:t>
      </w:r>
      <w:r w:rsidRPr="00E73F6F">
        <w:rPr>
          <w:spacing w:val="-9"/>
        </w:rPr>
        <w:t xml:space="preserve"> </w:t>
      </w:r>
      <w:r w:rsidRPr="00E73F6F">
        <w:t>Fehler</w:t>
      </w:r>
      <w:r w:rsidRPr="00E73F6F">
        <w:rPr>
          <w:spacing w:val="-9"/>
        </w:rPr>
        <w:t xml:space="preserve"> </w:t>
      </w:r>
      <w:r w:rsidRPr="00E73F6F">
        <w:t>unterlaufen</w:t>
      </w:r>
      <w:r w:rsidRPr="00E73F6F">
        <w:rPr>
          <w:spacing w:val="-3"/>
        </w:rPr>
        <w:t xml:space="preserve"> </w:t>
      </w:r>
      <w:r w:rsidRPr="00E73F6F">
        <w:t>und</w:t>
      </w:r>
      <w:r w:rsidRPr="00E73F6F">
        <w:rPr>
          <w:spacing w:val="-7"/>
        </w:rPr>
        <w:t xml:space="preserve"> </w:t>
      </w:r>
      <w:r w:rsidRPr="00E73F6F">
        <w:t>zugleich das</w:t>
      </w:r>
      <w:r w:rsidRPr="00E73F6F">
        <w:rPr>
          <w:spacing w:val="49"/>
        </w:rPr>
        <w:t xml:space="preserve"> </w:t>
      </w:r>
      <w:r w:rsidRPr="00E73F6F">
        <w:t>Management</w:t>
      </w:r>
      <w:r w:rsidRPr="00E73F6F">
        <w:rPr>
          <w:spacing w:val="49"/>
        </w:rPr>
        <w:t xml:space="preserve"> </w:t>
      </w:r>
      <w:r w:rsidRPr="00E73F6F">
        <w:t>von</w:t>
      </w:r>
      <w:r w:rsidRPr="00E73F6F">
        <w:rPr>
          <w:spacing w:val="49"/>
        </w:rPr>
        <w:t xml:space="preserve"> </w:t>
      </w:r>
      <w:r w:rsidRPr="00E73F6F">
        <w:t>'cross</w:t>
      </w:r>
      <w:r w:rsidRPr="00E73F6F">
        <w:rPr>
          <w:spacing w:val="48"/>
        </w:rPr>
        <w:t xml:space="preserve"> </w:t>
      </w:r>
      <w:r w:rsidRPr="00E73F6F">
        <w:t>cultural</w:t>
      </w:r>
      <w:r w:rsidRPr="00E73F6F">
        <w:rPr>
          <w:spacing w:val="50"/>
        </w:rPr>
        <w:t xml:space="preserve"> </w:t>
      </w:r>
      <w:r w:rsidRPr="00E73F6F">
        <w:t>differences'</w:t>
      </w:r>
      <w:r w:rsidRPr="00E73F6F">
        <w:rPr>
          <w:spacing w:val="48"/>
        </w:rPr>
        <w:t xml:space="preserve"> </w:t>
      </w:r>
      <w:r w:rsidRPr="00E73F6F">
        <w:t>die</w:t>
      </w:r>
      <w:r w:rsidRPr="00E73F6F">
        <w:rPr>
          <w:spacing w:val="49"/>
        </w:rPr>
        <w:t xml:space="preserve"> </w:t>
      </w:r>
      <w:r w:rsidRPr="00E73F6F">
        <w:t>größte</w:t>
      </w:r>
      <w:r w:rsidRPr="00E73F6F">
        <w:rPr>
          <w:spacing w:val="49"/>
        </w:rPr>
        <w:t xml:space="preserve"> </w:t>
      </w:r>
      <w:r w:rsidRPr="00E73F6F">
        <w:rPr>
          <w:spacing w:val="-2"/>
        </w:rPr>
        <w:t>Herausforderung</w:t>
      </w:r>
      <w:r w:rsidRPr="00E73F6F">
        <w:t xml:space="preserve">bedeute, haben die Wolfsburger ein „Cross Cultural Management-System“ entwickelt, das </w:t>
      </w:r>
      <w:r w:rsidRPr="00E73F6F">
        <w:rPr>
          <w:i/>
        </w:rPr>
        <w:t xml:space="preserve">Volkswagen </w:t>
      </w:r>
      <w:r w:rsidRPr="00E73F6F">
        <w:t>seitdem in allen seinen Gemeinschaftsunternehmen einsetzt, sofern dort Angehörige unterschiedlicher Kulturkreise</w:t>
      </w:r>
      <w:r w:rsidRPr="00E73F6F">
        <w:rPr>
          <w:spacing w:val="40"/>
        </w:rPr>
        <w:t xml:space="preserve"> </w:t>
      </w:r>
      <w:r w:rsidRPr="00E73F6F">
        <w:rPr>
          <w:spacing w:val="-2"/>
        </w:rPr>
        <w:t>aufeinandertreffen.</w:t>
      </w:r>
    </w:p>
    <w:p w14:paraId="0F36422B" w14:textId="77777777" w:rsidR="00FF7799" w:rsidRPr="00E73F6F" w:rsidRDefault="00FF7799" w:rsidP="006408B3">
      <w:pPr>
        <w:pStyle w:val="StandardText"/>
      </w:pPr>
    </w:p>
    <w:tbl>
      <w:tblPr>
        <w:tblStyle w:val="TableNormal"/>
        <w:tblW w:w="5000" w:type="pct"/>
        <w:tblLook w:val="01E0" w:firstRow="1" w:lastRow="1" w:firstColumn="1" w:lastColumn="1" w:noHBand="0" w:noVBand="0"/>
      </w:tblPr>
      <w:tblGrid>
        <w:gridCol w:w="2807"/>
        <w:gridCol w:w="6255"/>
      </w:tblGrid>
      <w:tr w:rsidR="00FF7799" w:rsidRPr="00E17A2B" w14:paraId="066C788B" w14:textId="77777777" w:rsidTr="00110194">
        <w:trPr>
          <w:trHeight w:val="372"/>
        </w:trPr>
        <w:tc>
          <w:tcPr>
            <w:tcW w:w="5000" w:type="pct"/>
            <w:gridSpan w:val="2"/>
            <w:tcBorders>
              <w:top w:val="single" w:sz="4" w:space="0" w:color="000000"/>
              <w:left w:val="single" w:sz="4" w:space="0" w:color="000000"/>
              <w:right w:val="single" w:sz="4" w:space="0" w:color="000000"/>
            </w:tcBorders>
            <w:shd w:val="clear" w:color="auto" w:fill="DEEAF6" w:themeFill="accent1" w:themeFillTint="33"/>
          </w:tcPr>
          <w:p w14:paraId="2F951C53" w14:textId="77777777" w:rsidR="00FF7799" w:rsidRPr="00110194" w:rsidRDefault="00FF7799" w:rsidP="00D23B88">
            <w:pPr>
              <w:pStyle w:val="Standardklein"/>
              <w:spacing w:before="120" w:after="120"/>
              <w:jc w:val="center"/>
              <w:rPr>
                <w:b/>
              </w:rPr>
            </w:pPr>
            <w:r w:rsidRPr="00110194">
              <w:rPr>
                <w:b/>
              </w:rPr>
              <w:t>„Cross-Cultural</w:t>
            </w:r>
            <w:r w:rsidRPr="00110194">
              <w:rPr>
                <w:b/>
                <w:spacing w:val="-9"/>
              </w:rPr>
              <w:t xml:space="preserve"> </w:t>
            </w:r>
            <w:r w:rsidRPr="00110194">
              <w:rPr>
                <w:b/>
              </w:rPr>
              <w:t>Management“</w:t>
            </w:r>
            <w:r w:rsidRPr="00110194">
              <w:rPr>
                <w:b/>
                <w:spacing w:val="-9"/>
              </w:rPr>
              <w:t xml:space="preserve"> </w:t>
            </w:r>
            <w:r w:rsidRPr="00110194">
              <w:rPr>
                <w:b/>
              </w:rPr>
              <w:t>bei</w:t>
            </w:r>
            <w:r w:rsidRPr="00110194">
              <w:rPr>
                <w:b/>
                <w:spacing w:val="-8"/>
              </w:rPr>
              <w:t xml:space="preserve"> </w:t>
            </w:r>
            <w:r w:rsidRPr="00110194">
              <w:rPr>
                <w:b/>
                <w:spacing w:val="-2"/>
              </w:rPr>
              <w:t>Autolatina</w:t>
            </w:r>
          </w:p>
        </w:tc>
      </w:tr>
      <w:tr w:rsidR="00FF7799" w:rsidRPr="00E73F6F" w14:paraId="4AF6A074" w14:textId="77777777" w:rsidTr="00110194">
        <w:trPr>
          <w:trHeight w:val="292"/>
        </w:trPr>
        <w:tc>
          <w:tcPr>
            <w:tcW w:w="1549" w:type="pct"/>
            <w:tcBorders>
              <w:left w:val="single" w:sz="4" w:space="0" w:color="000000"/>
            </w:tcBorders>
            <w:shd w:val="clear" w:color="auto" w:fill="DEEAF6" w:themeFill="accent1" w:themeFillTint="33"/>
          </w:tcPr>
          <w:p w14:paraId="0A591E8D" w14:textId="77777777" w:rsidR="00FF7799" w:rsidRPr="00E73F6F" w:rsidRDefault="00FF7799" w:rsidP="006408B3">
            <w:pPr>
              <w:pStyle w:val="Standardklein"/>
              <w:spacing w:before="120" w:after="120"/>
              <w:rPr>
                <w:lang w:val="de-DE"/>
              </w:rPr>
            </w:pPr>
            <w:r w:rsidRPr="00E73F6F">
              <w:rPr>
                <w:spacing w:val="-2"/>
                <w:lang w:val="de-DE"/>
              </w:rPr>
              <w:t>Problem-Hintergrund:</w:t>
            </w:r>
          </w:p>
        </w:tc>
        <w:tc>
          <w:tcPr>
            <w:tcW w:w="3451" w:type="pct"/>
            <w:tcBorders>
              <w:right w:val="single" w:sz="4" w:space="0" w:color="000000"/>
            </w:tcBorders>
            <w:shd w:val="clear" w:color="auto" w:fill="DEEAF6" w:themeFill="accent1" w:themeFillTint="33"/>
          </w:tcPr>
          <w:p w14:paraId="17F5C797" w14:textId="77777777" w:rsidR="00FF7799" w:rsidRPr="00110194" w:rsidRDefault="00FF7799" w:rsidP="006408B3">
            <w:pPr>
              <w:pStyle w:val="Standardklein"/>
              <w:spacing w:before="120" w:after="120"/>
              <w:rPr>
                <w:lang w:val="de-DE"/>
              </w:rPr>
            </w:pPr>
            <w:r w:rsidRPr="00110194">
              <w:rPr>
                <w:spacing w:val="-2"/>
                <w:lang w:val="de-DE"/>
              </w:rPr>
              <w:t>Mehrdimensionale,</w:t>
            </w:r>
            <w:r w:rsidRPr="00110194">
              <w:rPr>
                <w:spacing w:val="15"/>
                <w:lang w:val="de-DE"/>
              </w:rPr>
              <w:t xml:space="preserve"> </w:t>
            </w:r>
            <w:r w:rsidRPr="00110194">
              <w:rPr>
                <w:spacing w:val="-2"/>
                <w:lang w:val="de-DE"/>
              </w:rPr>
              <w:t>interkulturelle</w:t>
            </w:r>
            <w:r w:rsidRPr="00110194">
              <w:rPr>
                <w:spacing w:val="20"/>
                <w:lang w:val="de-DE"/>
              </w:rPr>
              <w:t xml:space="preserve"> </w:t>
            </w:r>
            <w:r w:rsidRPr="00110194">
              <w:rPr>
                <w:spacing w:val="-2"/>
                <w:lang w:val="de-DE"/>
              </w:rPr>
              <w:t>Problemstruktur</w:t>
            </w:r>
          </w:p>
        </w:tc>
      </w:tr>
      <w:tr w:rsidR="00FF7799" w:rsidRPr="00E73F6F" w14:paraId="7A00734C" w14:textId="77777777" w:rsidTr="00110194">
        <w:trPr>
          <w:trHeight w:val="447"/>
        </w:trPr>
        <w:tc>
          <w:tcPr>
            <w:tcW w:w="1549" w:type="pct"/>
            <w:tcBorders>
              <w:left w:val="single" w:sz="4" w:space="0" w:color="000000"/>
            </w:tcBorders>
            <w:shd w:val="clear" w:color="auto" w:fill="DEEAF6" w:themeFill="accent1" w:themeFillTint="33"/>
          </w:tcPr>
          <w:p w14:paraId="72766F9C" w14:textId="77777777" w:rsidR="00FF7799" w:rsidRPr="00E73F6F" w:rsidRDefault="00FF7799" w:rsidP="006408B3">
            <w:pPr>
              <w:pStyle w:val="Standardklein"/>
              <w:spacing w:before="120" w:after="120"/>
              <w:rPr>
                <w:lang w:val="de-DE"/>
              </w:rPr>
            </w:pPr>
            <w:r w:rsidRPr="00E73F6F">
              <w:rPr>
                <w:spacing w:val="-2"/>
                <w:lang w:val="de-DE"/>
              </w:rPr>
              <w:t>Oberziel:</w:t>
            </w:r>
          </w:p>
        </w:tc>
        <w:tc>
          <w:tcPr>
            <w:tcW w:w="3451" w:type="pct"/>
            <w:tcBorders>
              <w:right w:val="single" w:sz="4" w:space="0" w:color="000000"/>
            </w:tcBorders>
            <w:shd w:val="clear" w:color="auto" w:fill="DEEAF6" w:themeFill="accent1" w:themeFillTint="33"/>
          </w:tcPr>
          <w:p w14:paraId="44A49BF9" w14:textId="77777777" w:rsidR="00FF7799" w:rsidRPr="00110194" w:rsidRDefault="00FF7799" w:rsidP="006408B3">
            <w:pPr>
              <w:pStyle w:val="Standardklein"/>
              <w:spacing w:before="120" w:after="120"/>
              <w:rPr>
                <w:lang w:val="de-DE"/>
              </w:rPr>
            </w:pPr>
            <w:r w:rsidRPr="00110194">
              <w:rPr>
                <w:lang w:val="de-DE"/>
              </w:rPr>
              <w:t>Für</w:t>
            </w:r>
            <w:r w:rsidRPr="00110194">
              <w:rPr>
                <w:spacing w:val="-6"/>
                <w:lang w:val="de-DE"/>
              </w:rPr>
              <w:t xml:space="preserve"> </w:t>
            </w:r>
            <w:r w:rsidRPr="00110194">
              <w:rPr>
                <w:lang w:val="de-DE"/>
              </w:rPr>
              <w:t>Autolatina</w:t>
            </w:r>
            <w:r w:rsidRPr="00110194">
              <w:rPr>
                <w:spacing w:val="-6"/>
                <w:lang w:val="de-DE"/>
              </w:rPr>
              <w:t xml:space="preserve"> </w:t>
            </w:r>
            <w:r w:rsidRPr="00110194">
              <w:rPr>
                <w:lang w:val="de-DE"/>
              </w:rPr>
              <w:t>einen</w:t>
            </w:r>
            <w:r w:rsidRPr="00110194">
              <w:rPr>
                <w:spacing w:val="-7"/>
                <w:lang w:val="de-DE"/>
              </w:rPr>
              <w:t xml:space="preserve"> </w:t>
            </w:r>
            <w:r w:rsidRPr="00110194">
              <w:rPr>
                <w:lang w:val="de-DE"/>
              </w:rPr>
              <w:t>eigenständigen</w:t>
            </w:r>
            <w:r w:rsidRPr="00110194">
              <w:rPr>
                <w:spacing w:val="-7"/>
                <w:lang w:val="de-DE"/>
              </w:rPr>
              <w:t xml:space="preserve"> </w:t>
            </w:r>
            <w:r w:rsidRPr="00110194">
              <w:rPr>
                <w:lang w:val="de-DE"/>
              </w:rPr>
              <w:t>Corpsgeist</w:t>
            </w:r>
            <w:r w:rsidRPr="00110194">
              <w:rPr>
                <w:spacing w:val="-7"/>
                <w:lang w:val="de-DE"/>
              </w:rPr>
              <w:t xml:space="preserve"> </w:t>
            </w:r>
            <w:r w:rsidRPr="00110194">
              <w:rPr>
                <w:lang w:val="de-DE"/>
              </w:rPr>
              <w:t>und</w:t>
            </w:r>
            <w:r w:rsidRPr="00110194">
              <w:rPr>
                <w:spacing w:val="-7"/>
                <w:lang w:val="de-DE"/>
              </w:rPr>
              <w:t xml:space="preserve"> </w:t>
            </w:r>
            <w:r w:rsidRPr="00110194">
              <w:rPr>
                <w:lang w:val="de-DE"/>
              </w:rPr>
              <w:t>ein</w:t>
            </w:r>
            <w:r w:rsidRPr="00110194">
              <w:rPr>
                <w:spacing w:val="40"/>
                <w:lang w:val="de-DE"/>
              </w:rPr>
              <w:t xml:space="preserve"> </w:t>
            </w:r>
            <w:r w:rsidRPr="00110194">
              <w:rPr>
                <w:lang w:val="de-DE"/>
              </w:rPr>
              <w:t>spezifisches Selbstverständnis schaffen</w:t>
            </w:r>
          </w:p>
        </w:tc>
      </w:tr>
      <w:tr w:rsidR="00FF7799" w:rsidRPr="00E73F6F" w14:paraId="18C3A9AF" w14:textId="77777777" w:rsidTr="00110194">
        <w:trPr>
          <w:trHeight w:val="424"/>
        </w:trPr>
        <w:tc>
          <w:tcPr>
            <w:tcW w:w="1549" w:type="pct"/>
            <w:tcBorders>
              <w:left w:val="single" w:sz="4" w:space="0" w:color="000000"/>
            </w:tcBorders>
            <w:shd w:val="clear" w:color="auto" w:fill="DEEAF6" w:themeFill="accent1" w:themeFillTint="33"/>
          </w:tcPr>
          <w:p w14:paraId="7E5434A0" w14:textId="77777777" w:rsidR="00FF7799" w:rsidRPr="00E73F6F" w:rsidRDefault="00FF7799" w:rsidP="006408B3">
            <w:pPr>
              <w:pStyle w:val="Standardklein"/>
              <w:spacing w:before="120" w:after="120"/>
              <w:rPr>
                <w:lang w:val="de-DE"/>
              </w:rPr>
            </w:pPr>
            <w:r w:rsidRPr="00E73F6F">
              <w:rPr>
                <w:lang w:val="de-DE"/>
              </w:rPr>
              <w:t>Mittel</w:t>
            </w:r>
            <w:r w:rsidRPr="00E73F6F">
              <w:rPr>
                <w:spacing w:val="-4"/>
                <w:lang w:val="de-DE"/>
              </w:rPr>
              <w:t xml:space="preserve"> </w:t>
            </w:r>
            <w:r w:rsidRPr="00E73F6F">
              <w:rPr>
                <w:lang w:val="de-DE"/>
              </w:rPr>
              <w:t>zur</w:t>
            </w:r>
            <w:r w:rsidRPr="00E73F6F">
              <w:rPr>
                <w:spacing w:val="-4"/>
                <w:lang w:val="de-DE"/>
              </w:rPr>
              <w:t xml:space="preserve"> </w:t>
            </w:r>
            <w:r w:rsidRPr="00E73F6F">
              <w:rPr>
                <w:spacing w:val="-2"/>
                <w:lang w:val="de-DE"/>
              </w:rPr>
              <w:t>Zielerreichung:</w:t>
            </w:r>
          </w:p>
        </w:tc>
        <w:tc>
          <w:tcPr>
            <w:tcW w:w="3451" w:type="pct"/>
            <w:tcBorders>
              <w:right w:val="single" w:sz="4" w:space="0" w:color="000000"/>
            </w:tcBorders>
            <w:shd w:val="clear" w:color="auto" w:fill="DEEAF6" w:themeFill="accent1" w:themeFillTint="33"/>
          </w:tcPr>
          <w:p w14:paraId="7F73CE70" w14:textId="77777777" w:rsidR="00FF7799" w:rsidRPr="00110194" w:rsidRDefault="00FF7799" w:rsidP="006408B3">
            <w:pPr>
              <w:pStyle w:val="Standardklein"/>
              <w:spacing w:before="120" w:after="120"/>
              <w:rPr>
                <w:lang w:val="de-DE"/>
              </w:rPr>
            </w:pPr>
            <w:r w:rsidRPr="00110194">
              <w:rPr>
                <w:lang w:val="de-DE"/>
              </w:rPr>
              <w:t>Intensive</w:t>
            </w:r>
            <w:r w:rsidRPr="00110194">
              <w:rPr>
                <w:spacing w:val="-7"/>
                <w:lang w:val="de-DE"/>
              </w:rPr>
              <w:t xml:space="preserve"> </w:t>
            </w:r>
            <w:r w:rsidRPr="00110194">
              <w:rPr>
                <w:lang w:val="de-DE"/>
              </w:rPr>
              <w:t>Workshops</w:t>
            </w:r>
            <w:r w:rsidRPr="00110194">
              <w:rPr>
                <w:spacing w:val="-10"/>
                <w:lang w:val="de-DE"/>
              </w:rPr>
              <w:t xml:space="preserve"> </w:t>
            </w:r>
            <w:r w:rsidRPr="00110194">
              <w:rPr>
                <w:lang w:val="de-DE"/>
              </w:rPr>
              <w:t>im</w:t>
            </w:r>
            <w:r w:rsidRPr="00110194">
              <w:rPr>
                <w:spacing w:val="-10"/>
                <w:lang w:val="de-DE"/>
              </w:rPr>
              <w:t xml:space="preserve"> </w:t>
            </w:r>
            <w:r w:rsidRPr="00110194">
              <w:rPr>
                <w:lang w:val="de-DE"/>
              </w:rPr>
              <w:t>Vierteljahres-Abstand</w:t>
            </w:r>
            <w:r w:rsidRPr="00110194">
              <w:rPr>
                <w:spacing w:val="-9"/>
                <w:lang w:val="de-DE"/>
              </w:rPr>
              <w:t xml:space="preserve"> </w:t>
            </w:r>
            <w:r w:rsidRPr="00110194">
              <w:rPr>
                <w:lang w:val="de-DE"/>
              </w:rPr>
              <w:t>nach</w:t>
            </w:r>
            <w:r w:rsidRPr="00110194">
              <w:rPr>
                <w:spacing w:val="40"/>
                <w:lang w:val="de-DE"/>
              </w:rPr>
              <w:t xml:space="preserve"> </w:t>
            </w:r>
            <w:r w:rsidRPr="00110194">
              <w:rPr>
                <w:lang w:val="de-DE"/>
              </w:rPr>
              <w:t>Gründung des Joint Ventures</w:t>
            </w:r>
          </w:p>
        </w:tc>
      </w:tr>
      <w:tr w:rsidR="00FF7799" w:rsidRPr="00E73F6F" w14:paraId="793C382C" w14:textId="77777777" w:rsidTr="00110194">
        <w:trPr>
          <w:trHeight w:val="1761"/>
        </w:trPr>
        <w:tc>
          <w:tcPr>
            <w:tcW w:w="1549" w:type="pct"/>
            <w:tcBorders>
              <w:left w:val="single" w:sz="4" w:space="0" w:color="000000"/>
            </w:tcBorders>
            <w:shd w:val="clear" w:color="auto" w:fill="DEEAF6" w:themeFill="accent1" w:themeFillTint="33"/>
          </w:tcPr>
          <w:p w14:paraId="25514FF4" w14:textId="77777777" w:rsidR="00FF7799" w:rsidRPr="00E73F6F" w:rsidRDefault="00FF7799" w:rsidP="006408B3">
            <w:pPr>
              <w:pStyle w:val="Standardklein"/>
              <w:spacing w:before="120" w:after="120"/>
              <w:rPr>
                <w:lang w:val="de-DE"/>
              </w:rPr>
            </w:pPr>
            <w:r w:rsidRPr="00E73F6F">
              <w:rPr>
                <w:spacing w:val="-2"/>
                <w:lang w:val="de-DE"/>
              </w:rPr>
              <w:t>Funktionsweise:</w:t>
            </w:r>
          </w:p>
        </w:tc>
        <w:tc>
          <w:tcPr>
            <w:tcW w:w="3451" w:type="pct"/>
            <w:tcBorders>
              <w:right w:val="single" w:sz="4" w:space="0" w:color="000000"/>
            </w:tcBorders>
            <w:shd w:val="clear" w:color="auto" w:fill="DEEAF6" w:themeFill="accent1" w:themeFillTint="33"/>
          </w:tcPr>
          <w:p w14:paraId="3B751204" w14:textId="77777777" w:rsidR="00FF7799" w:rsidRPr="00110194" w:rsidRDefault="00FF7799">
            <w:pPr>
              <w:pStyle w:val="Standardklein"/>
              <w:numPr>
                <w:ilvl w:val="0"/>
                <w:numId w:val="14"/>
              </w:numPr>
              <w:spacing w:before="120" w:after="120"/>
              <w:ind w:left="308" w:hanging="284"/>
              <w:rPr>
                <w:lang w:val="de-DE"/>
              </w:rPr>
            </w:pPr>
            <w:r w:rsidRPr="00110194">
              <w:rPr>
                <w:lang w:val="de-DE"/>
              </w:rPr>
              <w:t>Ungestört</w:t>
            </w:r>
            <w:r w:rsidRPr="00110194">
              <w:rPr>
                <w:spacing w:val="-1"/>
                <w:lang w:val="de-DE"/>
              </w:rPr>
              <w:t xml:space="preserve"> </w:t>
            </w:r>
            <w:r w:rsidRPr="00110194">
              <w:rPr>
                <w:lang w:val="de-DE"/>
              </w:rPr>
              <w:t>vom</w:t>
            </w:r>
            <w:r w:rsidRPr="00110194">
              <w:rPr>
                <w:spacing w:val="-2"/>
                <w:lang w:val="de-DE"/>
              </w:rPr>
              <w:t xml:space="preserve"> </w:t>
            </w:r>
            <w:r w:rsidRPr="00110194">
              <w:rPr>
                <w:lang w:val="de-DE"/>
              </w:rPr>
              <w:t>täglichen</w:t>
            </w:r>
            <w:r w:rsidRPr="00110194">
              <w:rPr>
                <w:spacing w:val="-1"/>
                <w:lang w:val="de-DE"/>
              </w:rPr>
              <w:t xml:space="preserve"> </w:t>
            </w:r>
            <w:r w:rsidRPr="00110194">
              <w:rPr>
                <w:lang w:val="de-DE"/>
              </w:rPr>
              <w:t>operativen Geschäft Schwachstellen</w:t>
            </w:r>
            <w:r w:rsidRPr="00110194">
              <w:rPr>
                <w:spacing w:val="-7"/>
                <w:lang w:val="de-DE"/>
              </w:rPr>
              <w:t xml:space="preserve"> </w:t>
            </w:r>
            <w:r w:rsidRPr="00110194">
              <w:rPr>
                <w:lang w:val="de-DE"/>
              </w:rPr>
              <w:t>der</w:t>
            </w:r>
            <w:r w:rsidRPr="00110194">
              <w:rPr>
                <w:spacing w:val="-7"/>
                <w:lang w:val="de-DE"/>
              </w:rPr>
              <w:t xml:space="preserve"> </w:t>
            </w:r>
            <w:r w:rsidRPr="00110194">
              <w:rPr>
                <w:lang w:val="de-DE"/>
              </w:rPr>
              <w:t>Organisation</w:t>
            </w:r>
            <w:r w:rsidRPr="00110194">
              <w:rPr>
                <w:spacing w:val="-7"/>
                <w:lang w:val="de-DE"/>
              </w:rPr>
              <w:t xml:space="preserve"> </w:t>
            </w:r>
            <w:r w:rsidRPr="00110194">
              <w:rPr>
                <w:lang w:val="de-DE"/>
              </w:rPr>
              <w:t>und</w:t>
            </w:r>
            <w:r w:rsidRPr="00110194">
              <w:rPr>
                <w:spacing w:val="-7"/>
                <w:lang w:val="de-DE"/>
              </w:rPr>
              <w:t xml:space="preserve"> </w:t>
            </w:r>
            <w:r w:rsidRPr="00110194">
              <w:rPr>
                <w:lang w:val="de-DE"/>
              </w:rPr>
              <w:t>des</w:t>
            </w:r>
            <w:r w:rsidRPr="00110194">
              <w:rPr>
                <w:spacing w:val="-8"/>
                <w:lang w:val="de-DE"/>
              </w:rPr>
              <w:t xml:space="preserve"> </w:t>
            </w:r>
            <w:r w:rsidRPr="00110194">
              <w:rPr>
                <w:lang w:val="de-DE"/>
              </w:rPr>
              <w:t>Management-Prozesses</w:t>
            </w:r>
            <w:r w:rsidRPr="00110194">
              <w:rPr>
                <w:spacing w:val="40"/>
                <w:lang w:val="de-DE"/>
              </w:rPr>
              <w:t xml:space="preserve"> </w:t>
            </w:r>
            <w:r w:rsidRPr="00110194">
              <w:rPr>
                <w:spacing w:val="-2"/>
                <w:lang w:val="de-DE"/>
              </w:rPr>
              <w:t>erörtern</w:t>
            </w:r>
          </w:p>
          <w:p w14:paraId="1540FD25" w14:textId="77777777" w:rsidR="00FF7799" w:rsidRPr="00110194" w:rsidRDefault="00FF7799">
            <w:pPr>
              <w:pStyle w:val="Standardklein"/>
              <w:numPr>
                <w:ilvl w:val="0"/>
                <w:numId w:val="14"/>
              </w:numPr>
              <w:spacing w:before="120" w:after="120"/>
              <w:ind w:left="308" w:hanging="284"/>
              <w:rPr>
                <w:lang w:val="de-DE"/>
              </w:rPr>
            </w:pPr>
            <w:r w:rsidRPr="00110194">
              <w:rPr>
                <w:lang w:val="de-DE"/>
              </w:rPr>
              <w:t>Executive Management trägt die von ihm dabei</w:t>
            </w:r>
            <w:r w:rsidRPr="00110194">
              <w:rPr>
                <w:spacing w:val="40"/>
                <w:lang w:val="de-DE"/>
              </w:rPr>
              <w:t xml:space="preserve"> </w:t>
            </w:r>
            <w:r w:rsidRPr="00110194">
              <w:rPr>
                <w:lang w:val="de-DE"/>
              </w:rPr>
              <w:t>definierten</w:t>
            </w:r>
            <w:r w:rsidRPr="00110194">
              <w:rPr>
                <w:spacing w:val="-7"/>
                <w:lang w:val="de-DE"/>
              </w:rPr>
              <w:t xml:space="preserve"> </w:t>
            </w:r>
            <w:r w:rsidRPr="00110194">
              <w:rPr>
                <w:lang w:val="de-DE"/>
              </w:rPr>
              <w:t>Ziele,</w:t>
            </w:r>
            <w:r w:rsidRPr="00110194">
              <w:rPr>
                <w:spacing w:val="-7"/>
                <w:lang w:val="de-DE"/>
              </w:rPr>
              <w:t xml:space="preserve"> </w:t>
            </w:r>
            <w:r w:rsidRPr="00110194">
              <w:rPr>
                <w:lang w:val="de-DE"/>
              </w:rPr>
              <w:t>getroffenen</w:t>
            </w:r>
            <w:r w:rsidRPr="00110194">
              <w:rPr>
                <w:spacing w:val="-7"/>
                <w:lang w:val="de-DE"/>
              </w:rPr>
              <w:t xml:space="preserve"> </w:t>
            </w:r>
            <w:r w:rsidRPr="00110194">
              <w:rPr>
                <w:lang w:val="de-DE"/>
              </w:rPr>
              <w:t>Entscheidungen</w:t>
            </w:r>
            <w:r w:rsidRPr="00110194">
              <w:rPr>
                <w:spacing w:val="-7"/>
                <w:lang w:val="de-DE"/>
              </w:rPr>
              <w:t xml:space="preserve"> </w:t>
            </w:r>
            <w:r w:rsidRPr="00110194">
              <w:rPr>
                <w:lang w:val="de-DE"/>
              </w:rPr>
              <w:t>etc.</w:t>
            </w:r>
            <w:r w:rsidRPr="00110194">
              <w:rPr>
                <w:spacing w:val="-7"/>
                <w:lang w:val="de-DE"/>
              </w:rPr>
              <w:t xml:space="preserve"> </w:t>
            </w:r>
            <w:r w:rsidRPr="00110194">
              <w:rPr>
                <w:lang w:val="de-DE"/>
              </w:rPr>
              <w:t>in</w:t>
            </w:r>
            <w:r w:rsidRPr="00110194">
              <w:rPr>
                <w:spacing w:val="-7"/>
                <w:lang w:val="de-DE"/>
              </w:rPr>
              <w:t xml:space="preserve"> </w:t>
            </w:r>
            <w:r w:rsidRPr="00110194">
              <w:rPr>
                <w:lang w:val="de-DE"/>
              </w:rPr>
              <w:t>der</w:t>
            </w:r>
            <w:r w:rsidRPr="00110194">
              <w:rPr>
                <w:spacing w:val="40"/>
                <w:lang w:val="de-DE"/>
              </w:rPr>
              <w:t xml:space="preserve"> </w:t>
            </w:r>
            <w:r w:rsidRPr="00110194">
              <w:rPr>
                <w:lang w:val="de-DE"/>
              </w:rPr>
              <w:t>eigens dafür geschaffenen Informations- und</w:t>
            </w:r>
            <w:r w:rsidRPr="00110194">
              <w:rPr>
                <w:spacing w:val="40"/>
                <w:lang w:val="de-DE"/>
              </w:rPr>
              <w:t xml:space="preserve"> </w:t>
            </w:r>
            <w:r w:rsidRPr="00110194">
              <w:rPr>
                <w:lang w:val="de-DE"/>
              </w:rPr>
              <w:t>Integrationsveranstaltung</w:t>
            </w:r>
            <w:r w:rsidRPr="00110194">
              <w:rPr>
                <w:spacing w:val="-10"/>
                <w:lang w:val="de-DE"/>
              </w:rPr>
              <w:t xml:space="preserve"> </w:t>
            </w:r>
            <w:r w:rsidRPr="00110194">
              <w:rPr>
                <w:lang w:val="de-DE"/>
              </w:rPr>
              <w:t>dem</w:t>
            </w:r>
            <w:r w:rsidRPr="00110194">
              <w:rPr>
                <w:spacing w:val="-10"/>
                <w:lang w:val="de-DE"/>
              </w:rPr>
              <w:t xml:space="preserve"> </w:t>
            </w:r>
            <w:r w:rsidRPr="00110194">
              <w:rPr>
                <w:lang w:val="de-DE"/>
              </w:rPr>
              <w:t>Gesamt-Management</w:t>
            </w:r>
            <w:r w:rsidRPr="00110194">
              <w:rPr>
                <w:spacing w:val="-10"/>
                <w:lang w:val="de-DE"/>
              </w:rPr>
              <w:t xml:space="preserve"> </w:t>
            </w:r>
            <w:r w:rsidRPr="00110194">
              <w:rPr>
                <w:lang w:val="de-DE"/>
              </w:rPr>
              <w:t>vor</w:t>
            </w:r>
            <w:r w:rsidRPr="00110194">
              <w:rPr>
                <w:spacing w:val="40"/>
                <w:lang w:val="de-DE"/>
              </w:rPr>
              <w:t xml:space="preserve"> </w:t>
            </w:r>
            <w:r w:rsidRPr="00110194">
              <w:rPr>
                <w:lang w:val="de-DE"/>
              </w:rPr>
              <w:t>und diskutiert diese (mit dem Ziel einer zügigen</w:t>
            </w:r>
            <w:r w:rsidRPr="00110194">
              <w:rPr>
                <w:spacing w:val="40"/>
                <w:lang w:val="de-DE"/>
              </w:rPr>
              <w:t xml:space="preserve"> </w:t>
            </w:r>
            <w:r w:rsidRPr="00110194">
              <w:rPr>
                <w:spacing w:val="-2"/>
                <w:lang w:val="de-DE"/>
              </w:rPr>
              <w:t>Umsetzung)</w:t>
            </w:r>
          </w:p>
        </w:tc>
      </w:tr>
      <w:tr w:rsidR="00FF7799" w:rsidRPr="00E73F6F" w14:paraId="55FD6B84" w14:textId="77777777" w:rsidTr="00110194">
        <w:trPr>
          <w:trHeight w:val="1219"/>
        </w:trPr>
        <w:tc>
          <w:tcPr>
            <w:tcW w:w="1549" w:type="pct"/>
            <w:tcBorders>
              <w:left w:val="single" w:sz="4" w:space="0" w:color="000000"/>
            </w:tcBorders>
            <w:shd w:val="clear" w:color="auto" w:fill="DEEAF6" w:themeFill="accent1" w:themeFillTint="33"/>
          </w:tcPr>
          <w:p w14:paraId="1643F7FB" w14:textId="77777777" w:rsidR="00FF7799" w:rsidRPr="00E73F6F" w:rsidRDefault="00FF7799" w:rsidP="006408B3">
            <w:pPr>
              <w:pStyle w:val="Standardklein"/>
              <w:spacing w:before="120" w:after="120"/>
              <w:rPr>
                <w:lang w:val="de-DE"/>
              </w:rPr>
            </w:pPr>
            <w:r w:rsidRPr="00E73F6F">
              <w:rPr>
                <w:spacing w:val="-2"/>
                <w:lang w:val="de-DE"/>
              </w:rPr>
              <w:t>Effekt:</w:t>
            </w:r>
          </w:p>
        </w:tc>
        <w:tc>
          <w:tcPr>
            <w:tcW w:w="3451" w:type="pct"/>
            <w:tcBorders>
              <w:right w:val="single" w:sz="4" w:space="0" w:color="000000"/>
            </w:tcBorders>
            <w:shd w:val="clear" w:color="auto" w:fill="DEEAF6" w:themeFill="accent1" w:themeFillTint="33"/>
          </w:tcPr>
          <w:p w14:paraId="488D25BC" w14:textId="77777777" w:rsidR="00FF7799" w:rsidRPr="00110194" w:rsidRDefault="00FF7799">
            <w:pPr>
              <w:pStyle w:val="Standardklein"/>
              <w:numPr>
                <w:ilvl w:val="0"/>
                <w:numId w:val="14"/>
              </w:numPr>
              <w:spacing w:before="120" w:after="120"/>
              <w:ind w:left="308" w:hanging="284"/>
              <w:rPr>
                <w:lang w:val="de-DE"/>
              </w:rPr>
            </w:pPr>
            <w:r w:rsidRPr="00110194">
              <w:rPr>
                <w:lang w:val="de-DE"/>
              </w:rPr>
              <w:t>Rascher Abbau von wechselseitigen Vorurteilen und Überwindung kultureller Barrieren</w:t>
            </w:r>
          </w:p>
          <w:p w14:paraId="69ED770F" w14:textId="77777777" w:rsidR="00FF7799" w:rsidRPr="00110194" w:rsidRDefault="00FF7799">
            <w:pPr>
              <w:pStyle w:val="Standardklein"/>
              <w:numPr>
                <w:ilvl w:val="0"/>
                <w:numId w:val="14"/>
              </w:numPr>
              <w:spacing w:before="120" w:after="120"/>
              <w:ind w:left="308" w:hanging="284"/>
              <w:rPr>
                <w:lang w:val="de-DE"/>
              </w:rPr>
            </w:pPr>
            <w:r w:rsidRPr="00110194">
              <w:rPr>
                <w:lang w:val="de-DE"/>
              </w:rPr>
              <w:t>Pro-aktive, auf den Kern des Problems ausgerichteten Problemlösungsstrategie, welche die meisten der üblichen, zeitraubenden Abstimmungsgespräche überflüssig macht</w:t>
            </w:r>
          </w:p>
        </w:tc>
      </w:tr>
      <w:tr w:rsidR="00FF7799" w:rsidRPr="00E73F6F" w14:paraId="3F709715" w14:textId="77777777" w:rsidTr="00110194">
        <w:trPr>
          <w:trHeight w:val="277"/>
        </w:trPr>
        <w:tc>
          <w:tcPr>
            <w:tcW w:w="5000" w:type="pct"/>
            <w:gridSpan w:val="2"/>
            <w:tcBorders>
              <w:left w:val="single" w:sz="4" w:space="0" w:color="000000"/>
              <w:bottom w:val="single" w:sz="4" w:space="0" w:color="000000"/>
              <w:right w:val="single" w:sz="4" w:space="0" w:color="000000"/>
            </w:tcBorders>
            <w:shd w:val="clear" w:color="auto" w:fill="DEEAF6" w:themeFill="accent1" w:themeFillTint="33"/>
          </w:tcPr>
          <w:p w14:paraId="76128476" w14:textId="77777777" w:rsidR="00FF7799" w:rsidRPr="00E73F6F" w:rsidRDefault="00FF7799" w:rsidP="006408B3">
            <w:pPr>
              <w:pStyle w:val="Standardklein"/>
              <w:spacing w:before="120" w:after="120"/>
              <w:rPr>
                <w:lang w:val="de-DE"/>
              </w:rPr>
            </w:pPr>
            <w:r w:rsidRPr="00E73F6F">
              <w:rPr>
                <w:lang w:val="de-DE"/>
              </w:rPr>
              <w:t>Posth/Bergmann</w:t>
            </w:r>
            <w:r w:rsidRPr="00E73F6F">
              <w:rPr>
                <w:spacing w:val="-2"/>
                <w:lang w:val="de-DE"/>
              </w:rPr>
              <w:t xml:space="preserve"> </w:t>
            </w:r>
            <w:r w:rsidRPr="00E73F6F">
              <w:rPr>
                <w:lang w:val="de-DE"/>
              </w:rPr>
              <w:t>(1997,</w:t>
            </w:r>
            <w:r w:rsidRPr="00E73F6F">
              <w:rPr>
                <w:spacing w:val="-2"/>
                <w:lang w:val="de-DE"/>
              </w:rPr>
              <w:t xml:space="preserve"> S.550f.)</w:t>
            </w:r>
          </w:p>
        </w:tc>
      </w:tr>
    </w:tbl>
    <w:p w14:paraId="5D60CFFA" w14:textId="77777777" w:rsidR="00FF7799" w:rsidRPr="00E73F6F" w:rsidRDefault="00FF7799" w:rsidP="006408B3">
      <w:pPr>
        <w:pStyle w:val="StandardText"/>
      </w:pPr>
    </w:p>
    <w:p w14:paraId="6617915F" w14:textId="77777777" w:rsidR="00FF7799" w:rsidRPr="00110194" w:rsidRDefault="00FF7799" w:rsidP="006408B3">
      <w:pPr>
        <w:pStyle w:val="StandardTextkursiv"/>
        <w:rPr>
          <w:i w:val="0"/>
        </w:rPr>
      </w:pPr>
      <w:r w:rsidRPr="00110194">
        <w:rPr>
          <w:i w:val="0"/>
        </w:rPr>
        <w:t>Beispiel 3</w:t>
      </w:r>
    </w:p>
    <w:p w14:paraId="3130C467" w14:textId="77777777" w:rsidR="00FF7799" w:rsidRPr="00E73F6F" w:rsidRDefault="00FF7799" w:rsidP="006408B3">
      <w:pPr>
        <w:pStyle w:val="StandardText"/>
        <w:rPr>
          <w:szCs w:val="24"/>
        </w:rPr>
      </w:pPr>
      <w:r w:rsidRPr="00E73F6F">
        <w:rPr>
          <w:rStyle w:val="StandardTextZchn1"/>
        </w:rPr>
        <w:t>Interagiert ein Unternehmen mit einem andersartigen Wirtschaftssystem (z.B. dem islamischen), sind Missverständnisse fast unausweichlich (vgl. z.B. Askari 1994). In solchen „Überschneidungssituationen“ treffen jeweils eigenkulturell geprägte Verhaltensweisen, Kognitionen und Emotionen aufeinander Holzmüller/Berg (2002, S.889f.), was zu tiefgreifenden Missverständnissen und Problemen führen kann. Hinzu kommen häufig Anpassungsschwierigkeiten, die nicht nur aus ungenügenden Sprachkenntnissen, sondern auch aus der psychischen Distanz zum Gastland erwachsen. Will ein Unternehmen deshalb die interkulturelle Kompetenz seiner Mitarbeiter fördern, muss es seine Personalplanung und Personalentwicklung umfassend an dieser Zielvorgabe</w:t>
      </w:r>
      <w:r w:rsidRPr="00E73F6F">
        <w:rPr>
          <w:szCs w:val="24"/>
        </w:rPr>
        <w:t xml:space="preserve"> ausrichten</w:t>
      </w:r>
      <w:r w:rsidR="00060755">
        <w:rPr>
          <w:szCs w:val="24"/>
        </w:rPr>
        <w:t xml:space="preserve"> </w:t>
      </w:r>
      <w:r w:rsidR="00060755">
        <w:t>(</w:t>
      </w:r>
      <w:r w:rsidR="00060755">
        <w:sym w:font="Symbol" w:char="F0DE"/>
      </w:r>
      <w:r w:rsidR="00060755">
        <w:t xml:space="preserve"> Kompetenz, interkulturelle)</w:t>
      </w:r>
      <w:r w:rsidRPr="00E73F6F">
        <w:rPr>
          <w:szCs w:val="24"/>
        </w:rPr>
        <w:t>. Hierzu wird es u.a. …</w:t>
      </w:r>
    </w:p>
    <w:p w14:paraId="36EB638F" w14:textId="77777777" w:rsidR="00FF7799" w:rsidRPr="00E73F6F" w:rsidRDefault="00FF7799" w:rsidP="00D23B88">
      <w:pPr>
        <w:pStyle w:val="StandardTextAufzhlung"/>
        <w:ind w:left="567"/>
      </w:pPr>
      <w:r w:rsidRPr="00E73F6F">
        <w:t>Führungskräfte</w:t>
      </w:r>
      <w:r w:rsidRPr="00E73F6F">
        <w:rPr>
          <w:spacing w:val="-1"/>
        </w:rPr>
        <w:t xml:space="preserve"> </w:t>
      </w:r>
      <w:r w:rsidRPr="00E73F6F">
        <w:t>für</w:t>
      </w:r>
      <w:r w:rsidRPr="00E73F6F">
        <w:rPr>
          <w:spacing w:val="-1"/>
        </w:rPr>
        <w:t xml:space="preserve"> </w:t>
      </w:r>
      <w:r w:rsidRPr="00E73F6F">
        <w:t>Ferien-</w:t>
      </w:r>
      <w:r w:rsidRPr="00E73F6F">
        <w:rPr>
          <w:spacing w:val="-3"/>
        </w:rPr>
        <w:t xml:space="preserve"> </w:t>
      </w:r>
      <w:r w:rsidRPr="00E73F6F">
        <w:t>bzw. Sprachreisen, Kurzeinsätze oder</w:t>
      </w:r>
      <w:r w:rsidRPr="00E73F6F">
        <w:rPr>
          <w:spacing w:val="-1"/>
        </w:rPr>
        <w:t xml:space="preserve"> </w:t>
      </w:r>
      <w:r w:rsidRPr="00E73F6F">
        <w:t>längere</w:t>
      </w:r>
      <w:r w:rsidRPr="00E73F6F">
        <w:rPr>
          <w:spacing w:val="-1"/>
        </w:rPr>
        <w:t xml:space="preserve"> </w:t>
      </w:r>
      <w:r w:rsidRPr="00E73F6F">
        <w:t>Zeit ins Ausland entsenden,</w:t>
      </w:r>
    </w:p>
    <w:p w14:paraId="7F572B01" w14:textId="77777777" w:rsidR="00FF7799" w:rsidRPr="00E73F6F" w:rsidRDefault="00FF7799" w:rsidP="00D23B88">
      <w:pPr>
        <w:pStyle w:val="StandardTextAufzhlung"/>
        <w:ind w:left="567"/>
      </w:pPr>
      <w:r w:rsidRPr="00E73F6F">
        <w:t>„binnenorientierte“ Manager bereits im Inland für die Dauer eines Projektes mit Entsandten ausländischer Tochterunternehmen oder Kooperationspartner zusammenarbeiten lassen, die</w:t>
      </w:r>
      <w:r w:rsidRPr="00E73F6F">
        <w:rPr>
          <w:spacing w:val="-1"/>
        </w:rPr>
        <w:t xml:space="preserve"> </w:t>
      </w:r>
      <w:r w:rsidRPr="00E73F6F">
        <w:t>zu</w:t>
      </w:r>
      <w:r w:rsidRPr="00E73F6F">
        <w:rPr>
          <w:spacing w:val="-1"/>
        </w:rPr>
        <w:t xml:space="preserve"> </w:t>
      </w:r>
      <w:r w:rsidRPr="00E73F6F">
        <w:t>Entsendenden</w:t>
      </w:r>
      <w:r w:rsidRPr="00E73F6F">
        <w:rPr>
          <w:spacing w:val="-2"/>
        </w:rPr>
        <w:t xml:space="preserve"> </w:t>
      </w:r>
      <w:r w:rsidRPr="00E73F6F">
        <w:t>durch ein</w:t>
      </w:r>
      <w:r w:rsidRPr="00E73F6F">
        <w:rPr>
          <w:spacing w:val="-2"/>
        </w:rPr>
        <w:t xml:space="preserve"> </w:t>
      </w:r>
      <w:r w:rsidRPr="00E73F6F">
        <w:t>interkulturelles</w:t>
      </w:r>
      <w:r w:rsidRPr="00E73F6F">
        <w:rPr>
          <w:spacing w:val="-1"/>
        </w:rPr>
        <w:t xml:space="preserve"> </w:t>
      </w:r>
      <w:r w:rsidRPr="00E73F6F">
        <w:t>Handlungstraining</w:t>
      </w:r>
      <w:r w:rsidRPr="00E73F6F">
        <w:rPr>
          <w:spacing w:val="1"/>
        </w:rPr>
        <w:t xml:space="preserve"> </w:t>
      </w:r>
      <w:r w:rsidRPr="00E73F6F">
        <w:rPr>
          <w:spacing w:val="-2"/>
        </w:rPr>
        <w:t>schulen,</w:t>
      </w:r>
    </w:p>
    <w:p w14:paraId="4E19BF32" w14:textId="77777777" w:rsidR="00FF7799" w:rsidRPr="00E73F6F" w:rsidRDefault="00FF7799" w:rsidP="00D23B88">
      <w:pPr>
        <w:pStyle w:val="StandardTextAufzhlung"/>
        <w:ind w:left="567"/>
      </w:pPr>
      <w:r w:rsidRPr="00E73F6F">
        <w:t>ausländische Führungskräfte einstellen und auf diese Weise die multikulturelle</w:t>
      </w:r>
      <w:r w:rsidRPr="00E73F6F">
        <w:rPr>
          <w:spacing w:val="35"/>
        </w:rPr>
        <w:t xml:space="preserve"> </w:t>
      </w:r>
      <w:r w:rsidRPr="00E73F6F">
        <w:t>Kompetenz</w:t>
      </w:r>
      <w:r w:rsidRPr="00E73F6F">
        <w:rPr>
          <w:spacing w:val="35"/>
        </w:rPr>
        <w:t xml:space="preserve"> </w:t>
      </w:r>
      <w:r w:rsidRPr="00E73F6F">
        <w:t>des</w:t>
      </w:r>
      <w:r w:rsidRPr="00E73F6F">
        <w:rPr>
          <w:spacing w:val="35"/>
        </w:rPr>
        <w:t xml:space="preserve"> </w:t>
      </w:r>
      <w:r w:rsidRPr="00E73F6F">
        <w:t>Unternehmens</w:t>
      </w:r>
      <w:r w:rsidRPr="00E73F6F">
        <w:rPr>
          <w:spacing w:val="35"/>
        </w:rPr>
        <w:t xml:space="preserve"> </w:t>
      </w:r>
      <w:r w:rsidRPr="00E73F6F">
        <w:t>steigern. So</w:t>
      </w:r>
      <w:r w:rsidRPr="00E73F6F">
        <w:rPr>
          <w:spacing w:val="36"/>
        </w:rPr>
        <w:t xml:space="preserve"> </w:t>
      </w:r>
      <w:r w:rsidRPr="00E73F6F">
        <w:t>berichtete</w:t>
      </w:r>
      <w:r w:rsidRPr="00E73F6F">
        <w:rPr>
          <w:spacing w:val="32"/>
        </w:rPr>
        <w:t xml:space="preserve"> </w:t>
      </w:r>
      <w:r w:rsidRPr="00E73F6F">
        <w:t>Campbell (1985),</w:t>
      </w:r>
      <w:r w:rsidRPr="00E73F6F">
        <w:rPr>
          <w:spacing w:val="-6"/>
        </w:rPr>
        <w:t xml:space="preserve"> </w:t>
      </w:r>
      <w:r w:rsidRPr="00E73F6F">
        <w:t>der</w:t>
      </w:r>
      <w:r w:rsidRPr="00E73F6F">
        <w:rPr>
          <w:spacing w:val="-4"/>
        </w:rPr>
        <w:t xml:space="preserve"> </w:t>
      </w:r>
      <w:r w:rsidRPr="00E73F6F">
        <w:t>in</w:t>
      </w:r>
      <w:r w:rsidRPr="00E73F6F">
        <w:rPr>
          <w:spacing w:val="-3"/>
        </w:rPr>
        <w:t xml:space="preserve"> </w:t>
      </w:r>
      <w:r w:rsidRPr="00E73F6F">
        <w:t>China</w:t>
      </w:r>
      <w:r w:rsidRPr="00E73F6F">
        <w:rPr>
          <w:spacing w:val="-5"/>
        </w:rPr>
        <w:t xml:space="preserve"> </w:t>
      </w:r>
      <w:r w:rsidRPr="00E73F6F">
        <w:t>tätige</w:t>
      </w:r>
      <w:r w:rsidRPr="00E73F6F">
        <w:rPr>
          <w:spacing w:val="-5"/>
        </w:rPr>
        <w:t xml:space="preserve"> </w:t>
      </w:r>
      <w:r w:rsidRPr="00E73F6F">
        <w:t>Führungskräfte</w:t>
      </w:r>
      <w:r w:rsidRPr="00E73F6F">
        <w:rPr>
          <w:spacing w:val="-6"/>
        </w:rPr>
        <w:t xml:space="preserve"> </w:t>
      </w:r>
      <w:r w:rsidRPr="00E73F6F">
        <w:t>von</w:t>
      </w:r>
      <w:r w:rsidRPr="00E73F6F">
        <w:rPr>
          <w:spacing w:val="-3"/>
        </w:rPr>
        <w:t xml:space="preserve"> </w:t>
      </w:r>
      <w:r w:rsidRPr="00E73F6F">
        <w:t>japanischen,</w:t>
      </w:r>
      <w:r w:rsidRPr="00E73F6F">
        <w:rPr>
          <w:spacing w:val="-4"/>
        </w:rPr>
        <w:t xml:space="preserve"> </w:t>
      </w:r>
      <w:r w:rsidRPr="00E73F6F">
        <w:t>europäischen</w:t>
      </w:r>
      <w:r w:rsidRPr="00E73F6F">
        <w:rPr>
          <w:spacing w:val="-3"/>
        </w:rPr>
        <w:t xml:space="preserve"> </w:t>
      </w:r>
      <w:r w:rsidRPr="00E73F6F">
        <w:t>und amerikanischen Unternehmen befragt hatte, dass japanische Manager längerfristiger planen und sich den Gepflogenheiten im Gastland besser anpassen als ihre Kollegen aus den Vergleichsländern.</w:t>
      </w:r>
    </w:p>
    <w:p w14:paraId="4CC8C87D" w14:textId="77777777" w:rsidR="00FF7799" w:rsidRPr="00E73F6F" w:rsidRDefault="00FF7799" w:rsidP="00862DBA">
      <w:pPr>
        <w:rPr>
          <w:sz w:val="24"/>
          <w:szCs w:val="24"/>
        </w:rPr>
      </w:pP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9062"/>
      </w:tblGrid>
      <w:tr w:rsidR="00FF7799" w:rsidRPr="00E73F6F" w14:paraId="65C091FA" w14:textId="77777777" w:rsidTr="00110194">
        <w:trPr>
          <w:trHeight w:val="352"/>
        </w:trPr>
        <w:tc>
          <w:tcPr>
            <w:tcW w:w="5000" w:type="pct"/>
            <w:tcBorders>
              <w:bottom w:val="nil"/>
            </w:tcBorders>
            <w:shd w:val="clear" w:color="auto" w:fill="DEEAF6" w:themeFill="accent1" w:themeFillTint="33"/>
          </w:tcPr>
          <w:p w14:paraId="4DC04FC2" w14:textId="77777777" w:rsidR="00FF7799" w:rsidRPr="00E73F6F" w:rsidRDefault="00FF7799" w:rsidP="00D23B88">
            <w:pPr>
              <w:pStyle w:val="Standardklein"/>
              <w:spacing w:before="120" w:after="120"/>
              <w:jc w:val="center"/>
              <w:rPr>
                <w:b/>
                <w:lang w:val="de-DE"/>
              </w:rPr>
            </w:pPr>
            <w:r w:rsidRPr="00E73F6F">
              <w:rPr>
                <w:b/>
                <w:lang w:val="de-DE"/>
              </w:rPr>
              <w:t>Interkulturelles</w:t>
            </w:r>
            <w:r w:rsidRPr="00E73F6F">
              <w:rPr>
                <w:b/>
                <w:spacing w:val="-10"/>
                <w:lang w:val="de-DE"/>
              </w:rPr>
              <w:t xml:space="preserve"> </w:t>
            </w:r>
            <w:r w:rsidRPr="00E73F6F">
              <w:rPr>
                <w:b/>
                <w:spacing w:val="-2"/>
                <w:lang w:val="de-DE"/>
              </w:rPr>
              <w:t>Handlungstraining</w:t>
            </w:r>
          </w:p>
        </w:tc>
      </w:tr>
      <w:tr w:rsidR="00FF7799" w:rsidRPr="00E73F6F" w14:paraId="3529CFEF" w14:textId="77777777" w:rsidTr="00110194">
        <w:trPr>
          <w:trHeight w:val="1915"/>
        </w:trPr>
        <w:tc>
          <w:tcPr>
            <w:tcW w:w="5000" w:type="pct"/>
            <w:tcBorders>
              <w:top w:val="nil"/>
              <w:bottom w:val="nil"/>
            </w:tcBorders>
            <w:shd w:val="clear" w:color="auto" w:fill="DEEAF6" w:themeFill="accent1" w:themeFillTint="33"/>
          </w:tcPr>
          <w:p w14:paraId="27AD0F1F" w14:textId="77777777" w:rsidR="00FF7799" w:rsidRPr="00E73F6F" w:rsidRDefault="00FF7799" w:rsidP="00076400">
            <w:pPr>
              <w:pStyle w:val="Standardklein"/>
              <w:spacing w:before="120" w:after="120"/>
              <w:rPr>
                <w:lang w:val="de-DE"/>
              </w:rPr>
            </w:pPr>
            <w:r w:rsidRPr="00E73F6F">
              <w:rPr>
                <w:lang w:val="de-DE"/>
              </w:rPr>
              <w:t>Spezielle Schulungsmaßnahmen sollen Entsandte in die Lage versetzen, unter sog.</w:t>
            </w:r>
            <w:r w:rsidRPr="00E73F6F">
              <w:rPr>
                <w:spacing w:val="40"/>
                <w:lang w:val="de-DE"/>
              </w:rPr>
              <w:t xml:space="preserve"> </w:t>
            </w:r>
            <w:r w:rsidRPr="00E73F6F">
              <w:rPr>
                <w:lang w:val="de-DE"/>
              </w:rPr>
              <w:t>fremdkulturellen Bedingungen die erforderlichen Anpassungsleistungen zu erbringen.</w:t>
            </w:r>
            <w:r w:rsidRPr="00E73F6F">
              <w:rPr>
                <w:spacing w:val="40"/>
                <w:lang w:val="de-DE"/>
              </w:rPr>
              <w:t xml:space="preserve"> </w:t>
            </w:r>
            <w:r w:rsidRPr="00E73F6F">
              <w:rPr>
                <w:lang w:val="de-DE"/>
              </w:rPr>
              <w:t>Aufgabe dieses Trainings-Programms ist es, Einsichten, Kenntnisse und Fertigkeiten in</w:t>
            </w:r>
            <w:r w:rsidRPr="00E73F6F">
              <w:rPr>
                <w:spacing w:val="40"/>
                <w:lang w:val="de-DE"/>
              </w:rPr>
              <w:t xml:space="preserve"> </w:t>
            </w:r>
            <w:r w:rsidRPr="00E73F6F">
              <w:rPr>
                <w:lang w:val="de-DE"/>
              </w:rPr>
              <w:t>zehn relevanten Verhaltensbereichen zu vermitteln (z.B. die Fähigkeit, Normen, die für</w:t>
            </w:r>
            <w:r w:rsidRPr="00E73F6F">
              <w:rPr>
                <w:spacing w:val="40"/>
                <w:lang w:val="de-DE"/>
              </w:rPr>
              <w:t xml:space="preserve"> </w:t>
            </w:r>
            <w:r w:rsidRPr="00E73F6F">
              <w:rPr>
                <w:lang w:val="de-DE"/>
              </w:rPr>
              <w:t>soziales Verhalten etwa gegenüber Vorgesetzten oder älteren Personen bedeutsam sind,</w:t>
            </w:r>
            <w:r w:rsidRPr="00E73F6F">
              <w:rPr>
                <w:spacing w:val="40"/>
                <w:lang w:val="de-DE"/>
              </w:rPr>
              <w:t xml:space="preserve"> </w:t>
            </w:r>
            <w:r w:rsidRPr="00E73F6F">
              <w:rPr>
                <w:lang w:val="de-DE"/>
              </w:rPr>
              <w:t>zu erkennen). Dahinter steht folgende Überlegung: Nur wer eine realitätsgerechte</w:t>
            </w:r>
            <w:r w:rsidRPr="00E73F6F">
              <w:rPr>
                <w:spacing w:val="40"/>
                <w:lang w:val="de-DE"/>
              </w:rPr>
              <w:t xml:space="preserve"> </w:t>
            </w:r>
            <w:r w:rsidRPr="00E73F6F">
              <w:rPr>
                <w:lang w:val="de-DE"/>
              </w:rPr>
              <w:t>Vorstellung davon besitzt, warum sich Verhandlungspartner in einer bestimmten Weise</w:t>
            </w:r>
            <w:r w:rsidRPr="00E73F6F">
              <w:rPr>
                <w:spacing w:val="40"/>
                <w:lang w:val="de-DE"/>
              </w:rPr>
              <w:t xml:space="preserve"> </w:t>
            </w:r>
            <w:r w:rsidRPr="00E73F6F">
              <w:rPr>
                <w:lang w:val="de-DE"/>
              </w:rPr>
              <w:t>verhalten (=</w:t>
            </w:r>
            <w:r w:rsidRPr="00E73F6F">
              <w:rPr>
                <w:spacing w:val="-3"/>
                <w:lang w:val="de-DE"/>
              </w:rPr>
              <w:t xml:space="preserve"> </w:t>
            </w:r>
            <w:r w:rsidRPr="00E73F6F">
              <w:rPr>
                <w:lang w:val="de-DE"/>
              </w:rPr>
              <w:t>Kausalattribution)</w:t>
            </w:r>
            <w:r w:rsidRPr="00E73F6F">
              <w:rPr>
                <w:spacing w:val="-5"/>
                <w:lang w:val="de-DE"/>
              </w:rPr>
              <w:t xml:space="preserve"> </w:t>
            </w:r>
            <w:r w:rsidRPr="00E73F6F">
              <w:rPr>
                <w:lang w:val="de-DE"/>
              </w:rPr>
              <w:t>und welche</w:t>
            </w:r>
            <w:r w:rsidRPr="00E73F6F">
              <w:rPr>
                <w:spacing w:val="-3"/>
                <w:lang w:val="de-DE"/>
              </w:rPr>
              <w:t xml:space="preserve"> </w:t>
            </w:r>
            <w:r w:rsidRPr="00E73F6F">
              <w:rPr>
                <w:lang w:val="de-DE"/>
              </w:rPr>
              <w:t>Ziele</w:t>
            </w:r>
            <w:r w:rsidRPr="00E73F6F">
              <w:rPr>
                <w:spacing w:val="-1"/>
                <w:lang w:val="de-DE"/>
              </w:rPr>
              <w:t xml:space="preserve"> </w:t>
            </w:r>
            <w:r w:rsidRPr="00E73F6F">
              <w:rPr>
                <w:lang w:val="de-DE"/>
              </w:rPr>
              <w:t>sie</w:t>
            </w:r>
            <w:r w:rsidRPr="00E73F6F">
              <w:rPr>
                <w:spacing w:val="-3"/>
                <w:lang w:val="de-DE"/>
              </w:rPr>
              <w:t xml:space="preserve"> </w:t>
            </w:r>
            <w:r w:rsidRPr="00E73F6F">
              <w:rPr>
                <w:lang w:val="de-DE"/>
              </w:rPr>
              <w:t>dabei</w:t>
            </w:r>
            <w:r w:rsidRPr="00E73F6F">
              <w:rPr>
                <w:spacing w:val="-3"/>
                <w:lang w:val="de-DE"/>
              </w:rPr>
              <w:t xml:space="preserve"> </w:t>
            </w:r>
            <w:r w:rsidRPr="00E73F6F">
              <w:rPr>
                <w:lang w:val="de-DE"/>
              </w:rPr>
              <w:t>verfolgen (= Finalattribution),</w:t>
            </w:r>
            <w:r w:rsidRPr="00E73F6F">
              <w:rPr>
                <w:spacing w:val="40"/>
                <w:lang w:val="de-DE"/>
              </w:rPr>
              <w:t xml:space="preserve"> </w:t>
            </w:r>
            <w:r w:rsidRPr="00E73F6F">
              <w:rPr>
                <w:lang w:val="de-DE"/>
              </w:rPr>
              <w:t>kann soziale Ereignisse sowie interaktives Verhalten vorhersagen und sich deshalb</w:t>
            </w:r>
            <w:r w:rsidRPr="00E73F6F">
              <w:rPr>
                <w:spacing w:val="40"/>
                <w:lang w:val="de-DE"/>
              </w:rPr>
              <w:t xml:space="preserve"> </w:t>
            </w:r>
            <w:r w:rsidRPr="00E73F6F">
              <w:rPr>
                <w:lang w:val="de-DE"/>
              </w:rPr>
              <w:t>kompetent</w:t>
            </w:r>
            <w:r w:rsidRPr="00E73F6F">
              <w:rPr>
                <w:spacing w:val="-3"/>
                <w:lang w:val="de-DE"/>
              </w:rPr>
              <w:t xml:space="preserve"> </w:t>
            </w:r>
            <w:r w:rsidRPr="00E73F6F">
              <w:rPr>
                <w:lang w:val="de-DE"/>
              </w:rPr>
              <w:t>verhalten.</w:t>
            </w:r>
          </w:p>
        </w:tc>
      </w:tr>
      <w:tr w:rsidR="00FF7799" w:rsidRPr="00E73F6F" w14:paraId="417A3725" w14:textId="77777777" w:rsidTr="00110194">
        <w:trPr>
          <w:trHeight w:val="283"/>
        </w:trPr>
        <w:tc>
          <w:tcPr>
            <w:tcW w:w="5000" w:type="pct"/>
            <w:tcBorders>
              <w:top w:val="nil"/>
            </w:tcBorders>
            <w:shd w:val="clear" w:color="auto" w:fill="DEEAF6" w:themeFill="accent1" w:themeFillTint="33"/>
          </w:tcPr>
          <w:p w14:paraId="201ADC18" w14:textId="77777777" w:rsidR="00FF7799" w:rsidRPr="00E73F6F" w:rsidRDefault="00FF7799" w:rsidP="00110194">
            <w:pPr>
              <w:pStyle w:val="Standardklein"/>
              <w:spacing w:before="120" w:after="120"/>
              <w:jc w:val="right"/>
              <w:rPr>
                <w:lang w:val="de-DE"/>
              </w:rPr>
            </w:pPr>
            <w:r w:rsidRPr="00E73F6F">
              <w:rPr>
                <w:lang w:val="de-DE"/>
              </w:rPr>
              <w:t>Thomas</w:t>
            </w:r>
            <w:r w:rsidRPr="00E73F6F">
              <w:rPr>
                <w:spacing w:val="-6"/>
                <w:lang w:val="de-DE"/>
              </w:rPr>
              <w:t xml:space="preserve"> </w:t>
            </w:r>
            <w:r w:rsidRPr="00E73F6F">
              <w:rPr>
                <w:spacing w:val="-2"/>
                <w:lang w:val="de-DE"/>
              </w:rPr>
              <w:t>(1989)</w:t>
            </w:r>
          </w:p>
        </w:tc>
      </w:tr>
    </w:tbl>
    <w:p w14:paraId="08A269A6" w14:textId="77777777" w:rsidR="00FF7799" w:rsidRPr="00E73F6F" w:rsidRDefault="00FF7799" w:rsidP="00862DBA">
      <w:pPr>
        <w:spacing w:before="7"/>
        <w:rPr>
          <w:sz w:val="24"/>
          <w:szCs w:val="24"/>
        </w:rPr>
      </w:pPr>
    </w:p>
    <w:p w14:paraId="59BBCBA9" w14:textId="77777777" w:rsidR="00FF7799" w:rsidRPr="0046221A" w:rsidRDefault="00FF7799" w:rsidP="00076400">
      <w:pPr>
        <w:pStyle w:val="StandardText"/>
        <w:rPr>
          <w:sz w:val="22"/>
          <w:szCs w:val="22"/>
        </w:rPr>
      </w:pPr>
      <w:r w:rsidRPr="0046221A">
        <w:rPr>
          <w:b/>
          <w:i/>
          <w:sz w:val="22"/>
          <w:szCs w:val="22"/>
          <w:lang w:val="en-US"/>
        </w:rPr>
        <w:t>Literatur:</w:t>
      </w:r>
      <w:r w:rsidRPr="0046221A">
        <w:rPr>
          <w:sz w:val="22"/>
          <w:szCs w:val="22"/>
          <w:lang w:val="en-US"/>
        </w:rPr>
        <w:t xml:space="preserve"> Askari, H.G. (1994): Making Peace with Iran, Harvard Business Review, 72(1):</w:t>
      </w:r>
      <w:r w:rsidRPr="0046221A">
        <w:rPr>
          <w:spacing w:val="40"/>
          <w:sz w:val="22"/>
          <w:szCs w:val="22"/>
          <w:lang w:val="en-US"/>
        </w:rPr>
        <w:t xml:space="preserve"> </w:t>
      </w:r>
      <w:r w:rsidRPr="0046221A">
        <w:rPr>
          <w:sz w:val="22"/>
          <w:szCs w:val="22"/>
          <w:lang w:val="en-US"/>
        </w:rPr>
        <w:t>50-59.</w:t>
      </w:r>
      <w:r w:rsidRPr="0046221A">
        <w:rPr>
          <w:spacing w:val="40"/>
          <w:sz w:val="22"/>
          <w:szCs w:val="22"/>
          <w:lang w:val="en-US"/>
        </w:rPr>
        <w:t xml:space="preserve"> </w:t>
      </w:r>
      <w:r w:rsidRPr="0046221A">
        <w:rPr>
          <w:sz w:val="22"/>
          <w:szCs w:val="22"/>
          <w:lang w:val="en-US"/>
        </w:rPr>
        <w:t>Bauer, E. (2009): Internationale Marketingforschung, 4. Aufl., München:</w:t>
      </w:r>
      <w:r w:rsidRPr="0046221A">
        <w:rPr>
          <w:spacing w:val="40"/>
          <w:sz w:val="22"/>
          <w:szCs w:val="22"/>
          <w:lang w:val="en-US"/>
        </w:rPr>
        <w:t xml:space="preserve"> </w:t>
      </w:r>
      <w:r w:rsidRPr="0046221A">
        <w:rPr>
          <w:sz w:val="22"/>
          <w:szCs w:val="22"/>
          <w:lang w:val="en-US"/>
        </w:rPr>
        <w:t>Oldenbourg.</w:t>
      </w:r>
      <w:r w:rsidRPr="0046221A">
        <w:rPr>
          <w:spacing w:val="40"/>
          <w:sz w:val="22"/>
          <w:szCs w:val="22"/>
          <w:lang w:val="en-US"/>
        </w:rPr>
        <w:t xml:space="preserve"> </w:t>
      </w:r>
      <w:r w:rsidRPr="0046221A">
        <w:rPr>
          <w:sz w:val="22"/>
          <w:szCs w:val="22"/>
          <w:lang w:val="en-US"/>
        </w:rPr>
        <w:t>Berry, J.W.; Kalin, R. (1995): Multicultural and Ethnic Attitudes in Canada.</w:t>
      </w:r>
      <w:r w:rsidRPr="0046221A">
        <w:rPr>
          <w:spacing w:val="40"/>
          <w:sz w:val="22"/>
          <w:szCs w:val="22"/>
          <w:lang w:val="en-US"/>
        </w:rPr>
        <w:t xml:space="preserve"> </w:t>
      </w:r>
      <w:r w:rsidRPr="0046221A">
        <w:rPr>
          <w:sz w:val="22"/>
          <w:szCs w:val="22"/>
          <w:lang w:val="en-US"/>
        </w:rPr>
        <w:t>An</w:t>
      </w:r>
      <w:r w:rsidRPr="0046221A">
        <w:rPr>
          <w:spacing w:val="-3"/>
          <w:sz w:val="22"/>
          <w:szCs w:val="22"/>
          <w:lang w:val="en-US"/>
        </w:rPr>
        <w:t xml:space="preserve"> </w:t>
      </w:r>
      <w:r w:rsidRPr="0046221A">
        <w:rPr>
          <w:sz w:val="22"/>
          <w:szCs w:val="22"/>
          <w:lang w:val="en-US"/>
        </w:rPr>
        <w:t>Overview</w:t>
      </w:r>
      <w:r w:rsidRPr="0046221A">
        <w:rPr>
          <w:spacing w:val="-5"/>
          <w:sz w:val="22"/>
          <w:szCs w:val="22"/>
          <w:lang w:val="en-US"/>
        </w:rPr>
        <w:t xml:space="preserve"> </w:t>
      </w:r>
      <w:r w:rsidRPr="0046221A">
        <w:rPr>
          <w:sz w:val="22"/>
          <w:szCs w:val="22"/>
          <w:lang w:val="en-US"/>
        </w:rPr>
        <w:t>of</w:t>
      </w:r>
      <w:r w:rsidRPr="0046221A">
        <w:rPr>
          <w:spacing w:val="-7"/>
          <w:sz w:val="22"/>
          <w:szCs w:val="22"/>
          <w:lang w:val="en-US"/>
        </w:rPr>
        <w:t xml:space="preserve"> </w:t>
      </w:r>
      <w:r w:rsidRPr="0046221A">
        <w:rPr>
          <w:sz w:val="22"/>
          <w:szCs w:val="22"/>
          <w:lang w:val="en-US"/>
        </w:rPr>
        <w:t>the</w:t>
      </w:r>
      <w:r w:rsidRPr="0046221A">
        <w:rPr>
          <w:spacing w:val="-6"/>
          <w:sz w:val="22"/>
          <w:szCs w:val="22"/>
          <w:lang w:val="en-US"/>
        </w:rPr>
        <w:t xml:space="preserve"> </w:t>
      </w:r>
      <w:r w:rsidRPr="0046221A">
        <w:rPr>
          <w:sz w:val="22"/>
          <w:szCs w:val="22"/>
          <w:lang w:val="en-US"/>
        </w:rPr>
        <w:t>1991</w:t>
      </w:r>
      <w:r w:rsidRPr="0046221A">
        <w:rPr>
          <w:spacing w:val="-3"/>
          <w:sz w:val="22"/>
          <w:szCs w:val="22"/>
          <w:lang w:val="en-US"/>
        </w:rPr>
        <w:t xml:space="preserve"> </w:t>
      </w:r>
      <w:r w:rsidRPr="0046221A">
        <w:rPr>
          <w:sz w:val="22"/>
          <w:szCs w:val="22"/>
          <w:lang w:val="en-US"/>
        </w:rPr>
        <w:t>National</w:t>
      </w:r>
      <w:r w:rsidRPr="0046221A">
        <w:rPr>
          <w:spacing w:val="-3"/>
          <w:sz w:val="22"/>
          <w:szCs w:val="22"/>
          <w:lang w:val="en-US"/>
        </w:rPr>
        <w:t xml:space="preserve"> </w:t>
      </w:r>
      <w:r w:rsidRPr="0046221A">
        <w:rPr>
          <w:sz w:val="22"/>
          <w:szCs w:val="22"/>
          <w:lang w:val="en-US"/>
        </w:rPr>
        <w:t>Survey,</w:t>
      </w:r>
      <w:r w:rsidRPr="0046221A">
        <w:rPr>
          <w:spacing w:val="-4"/>
          <w:sz w:val="22"/>
          <w:szCs w:val="22"/>
          <w:lang w:val="en-US"/>
        </w:rPr>
        <w:t xml:space="preserve"> </w:t>
      </w:r>
      <w:r w:rsidRPr="0046221A">
        <w:rPr>
          <w:sz w:val="22"/>
          <w:szCs w:val="22"/>
          <w:lang w:val="en-US"/>
        </w:rPr>
        <w:t>Canadian</w:t>
      </w:r>
      <w:r w:rsidRPr="0046221A">
        <w:rPr>
          <w:spacing w:val="-3"/>
          <w:sz w:val="22"/>
          <w:szCs w:val="22"/>
          <w:lang w:val="en-US"/>
        </w:rPr>
        <w:t xml:space="preserve"> </w:t>
      </w:r>
      <w:r w:rsidRPr="0046221A">
        <w:rPr>
          <w:sz w:val="22"/>
          <w:szCs w:val="22"/>
          <w:lang w:val="en-US"/>
        </w:rPr>
        <w:t>Journal</w:t>
      </w:r>
      <w:r w:rsidRPr="0046221A">
        <w:rPr>
          <w:spacing w:val="-6"/>
          <w:sz w:val="22"/>
          <w:szCs w:val="22"/>
          <w:lang w:val="en-US"/>
        </w:rPr>
        <w:t xml:space="preserve"> </w:t>
      </w:r>
      <w:r w:rsidRPr="0046221A">
        <w:rPr>
          <w:sz w:val="22"/>
          <w:szCs w:val="22"/>
          <w:lang w:val="en-US"/>
        </w:rPr>
        <w:t>of</w:t>
      </w:r>
      <w:r w:rsidRPr="0046221A">
        <w:rPr>
          <w:spacing w:val="-5"/>
          <w:sz w:val="22"/>
          <w:szCs w:val="22"/>
          <w:lang w:val="en-US"/>
        </w:rPr>
        <w:t xml:space="preserve"> </w:t>
      </w:r>
      <w:r w:rsidRPr="0046221A">
        <w:rPr>
          <w:sz w:val="22"/>
          <w:szCs w:val="22"/>
          <w:lang w:val="en-US"/>
        </w:rPr>
        <w:t>Behavioural</w:t>
      </w:r>
      <w:r w:rsidRPr="0046221A">
        <w:rPr>
          <w:spacing w:val="-3"/>
          <w:sz w:val="22"/>
          <w:szCs w:val="22"/>
          <w:lang w:val="en-US"/>
        </w:rPr>
        <w:t xml:space="preserve"> </w:t>
      </w:r>
      <w:r w:rsidRPr="0046221A">
        <w:rPr>
          <w:sz w:val="22"/>
          <w:szCs w:val="22"/>
          <w:lang w:val="en-US"/>
        </w:rPr>
        <w:t>Science,</w:t>
      </w:r>
      <w:r w:rsidRPr="0046221A">
        <w:rPr>
          <w:spacing w:val="-4"/>
          <w:sz w:val="22"/>
          <w:szCs w:val="22"/>
          <w:lang w:val="en-US"/>
        </w:rPr>
        <w:t xml:space="preserve"> </w:t>
      </w:r>
      <w:r w:rsidRPr="0046221A">
        <w:rPr>
          <w:sz w:val="22"/>
          <w:szCs w:val="22"/>
          <w:lang w:val="en-US"/>
        </w:rPr>
        <w:t>27(5):</w:t>
      </w:r>
      <w:r w:rsidRPr="0046221A">
        <w:rPr>
          <w:spacing w:val="40"/>
          <w:sz w:val="22"/>
          <w:szCs w:val="22"/>
          <w:lang w:val="en-US"/>
        </w:rPr>
        <w:t xml:space="preserve"> </w:t>
      </w:r>
      <w:r w:rsidRPr="0046221A">
        <w:rPr>
          <w:sz w:val="22"/>
          <w:szCs w:val="22"/>
          <w:lang w:val="en-US"/>
        </w:rPr>
        <w:t>301-320.</w:t>
      </w:r>
      <w:r w:rsidRPr="0046221A">
        <w:rPr>
          <w:spacing w:val="21"/>
          <w:sz w:val="22"/>
          <w:szCs w:val="22"/>
          <w:lang w:val="en-US"/>
        </w:rPr>
        <w:t xml:space="preserve"> </w:t>
      </w:r>
      <w:r w:rsidRPr="0046221A">
        <w:rPr>
          <w:sz w:val="22"/>
          <w:szCs w:val="22"/>
        </w:rPr>
        <w:t>Bielefeldt,</w:t>
      </w:r>
      <w:r w:rsidRPr="0046221A">
        <w:rPr>
          <w:spacing w:val="-9"/>
          <w:sz w:val="22"/>
          <w:szCs w:val="22"/>
        </w:rPr>
        <w:t xml:space="preserve"> </w:t>
      </w:r>
      <w:r w:rsidRPr="0046221A">
        <w:rPr>
          <w:sz w:val="22"/>
          <w:szCs w:val="22"/>
        </w:rPr>
        <w:t>H.</w:t>
      </w:r>
      <w:r w:rsidRPr="0046221A">
        <w:rPr>
          <w:spacing w:val="-9"/>
          <w:sz w:val="22"/>
          <w:szCs w:val="22"/>
        </w:rPr>
        <w:t xml:space="preserve"> </w:t>
      </w:r>
      <w:r w:rsidRPr="0046221A">
        <w:rPr>
          <w:sz w:val="22"/>
          <w:szCs w:val="22"/>
        </w:rPr>
        <w:t>(2007):</w:t>
      </w:r>
      <w:r w:rsidRPr="0046221A">
        <w:rPr>
          <w:spacing w:val="-9"/>
          <w:sz w:val="22"/>
          <w:szCs w:val="22"/>
        </w:rPr>
        <w:t xml:space="preserve"> </w:t>
      </w:r>
      <w:r w:rsidRPr="0046221A">
        <w:rPr>
          <w:sz w:val="22"/>
          <w:szCs w:val="22"/>
        </w:rPr>
        <w:t>Menschenrechte</w:t>
      </w:r>
      <w:r w:rsidRPr="0046221A">
        <w:rPr>
          <w:spacing w:val="-9"/>
          <w:sz w:val="22"/>
          <w:szCs w:val="22"/>
        </w:rPr>
        <w:t xml:space="preserve"> </w:t>
      </w:r>
      <w:r w:rsidRPr="0046221A">
        <w:rPr>
          <w:sz w:val="22"/>
          <w:szCs w:val="22"/>
        </w:rPr>
        <w:t>in</w:t>
      </w:r>
      <w:r w:rsidRPr="0046221A">
        <w:rPr>
          <w:spacing w:val="-9"/>
          <w:sz w:val="22"/>
          <w:szCs w:val="22"/>
        </w:rPr>
        <w:t xml:space="preserve"> </w:t>
      </w:r>
      <w:r w:rsidRPr="0046221A">
        <w:rPr>
          <w:sz w:val="22"/>
          <w:szCs w:val="22"/>
        </w:rPr>
        <w:t>der</w:t>
      </w:r>
      <w:r w:rsidRPr="0046221A">
        <w:rPr>
          <w:spacing w:val="-8"/>
          <w:sz w:val="22"/>
          <w:szCs w:val="22"/>
        </w:rPr>
        <w:t xml:space="preserve"> </w:t>
      </w:r>
      <w:r w:rsidRPr="0046221A">
        <w:rPr>
          <w:sz w:val="22"/>
          <w:szCs w:val="22"/>
        </w:rPr>
        <w:t>Einwanderungsgesellschaft.</w:t>
      </w:r>
      <w:r w:rsidRPr="0046221A">
        <w:rPr>
          <w:spacing w:val="-9"/>
          <w:sz w:val="22"/>
          <w:szCs w:val="22"/>
        </w:rPr>
        <w:t xml:space="preserve"> </w:t>
      </w:r>
      <w:r w:rsidRPr="0046221A">
        <w:rPr>
          <w:sz w:val="22"/>
          <w:szCs w:val="22"/>
        </w:rPr>
        <w:t>Plädoyer</w:t>
      </w:r>
      <w:r w:rsidRPr="0046221A">
        <w:rPr>
          <w:spacing w:val="40"/>
          <w:sz w:val="22"/>
          <w:szCs w:val="22"/>
        </w:rPr>
        <w:t xml:space="preserve"> </w:t>
      </w:r>
      <w:r w:rsidRPr="0046221A">
        <w:rPr>
          <w:sz w:val="22"/>
          <w:szCs w:val="22"/>
        </w:rPr>
        <w:t>für</w:t>
      </w:r>
      <w:r w:rsidRPr="0046221A">
        <w:rPr>
          <w:spacing w:val="-1"/>
          <w:sz w:val="22"/>
          <w:szCs w:val="22"/>
        </w:rPr>
        <w:t xml:space="preserve"> </w:t>
      </w:r>
      <w:r w:rsidRPr="0046221A">
        <w:rPr>
          <w:sz w:val="22"/>
          <w:szCs w:val="22"/>
        </w:rPr>
        <w:t>einen aufgeklärten</w:t>
      </w:r>
      <w:r w:rsidRPr="0046221A">
        <w:rPr>
          <w:spacing w:val="-2"/>
          <w:sz w:val="22"/>
          <w:szCs w:val="22"/>
        </w:rPr>
        <w:t xml:space="preserve"> </w:t>
      </w:r>
      <w:r w:rsidRPr="0046221A">
        <w:rPr>
          <w:sz w:val="22"/>
          <w:szCs w:val="22"/>
        </w:rPr>
        <w:t>Multikulturalismus,</w:t>
      </w:r>
      <w:r w:rsidRPr="0046221A">
        <w:rPr>
          <w:spacing w:val="-2"/>
          <w:sz w:val="22"/>
          <w:szCs w:val="22"/>
        </w:rPr>
        <w:t xml:space="preserve"> </w:t>
      </w:r>
      <w:r w:rsidRPr="0046221A">
        <w:rPr>
          <w:sz w:val="22"/>
          <w:szCs w:val="22"/>
        </w:rPr>
        <w:t>Bielefeld:</w:t>
      </w:r>
      <w:r w:rsidRPr="0046221A">
        <w:rPr>
          <w:spacing w:val="-2"/>
          <w:sz w:val="22"/>
          <w:szCs w:val="22"/>
        </w:rPr>
        <w:t xml:space="preserve"> </w:t>
      </w:r>
      <w:r w:rsidRPr="0046221A">
        <w:rPr>
          <w:sz w:val="22"/>
          <w:szCs w:val="22"/>
        </w:rPr>
        <w:t>Transcript.</w:t>
      </w:r>
      <w:r w:rsidRPr="0046221A">
        <w:rPr>
          <w:spacing w:val="40"/>
          <w:sz w:val="22"/>
          <w:szCs w:val="22"/>
        </w:rPr>
        <w:t xml:space="preserve"> </w:t>
      </w:r>
      <w:r w:rsidRPr="0046221A">
        <w:rPr>
          <w:sz w:val="22"/>
          <w:szCs w:val="22"/>
          <w:lang w:val="en-US"/>
        </w:rPr>
        <w:t>Campbell, N.C.G. (1985):</w:t>
      </w:r>
      <w:r w:rsidRPr="0046221A">
        <w:rPr>
          <w:spacing w:val="40"/>
          <w:sz w:val="22"/>
          <w:szCs w:val="22"/>
          <w:lang w:val="en-US"/>
        </w:rPr>
        <w:t xml:space="preserve"> </w:t>
      </w:r>
      <w:r w:rsidRPr="0046221A">
        <w:rPr>
          <w:spacing w:val="-2"/>
          <w:sz w:val="22"/>
          <w:szCs w:val="22"/>
          <w:lang w:val="en-US"/>
        </w:rPr>
        <w:t>Buyer/Seller Relationship</w:t>
      </w:r>
      <w:r w:rsidRPr="0046221A">
        <w:rPr>
          <w:spacing w:val="3"/>
          <w:sz w:val="22"/>
          <w:szCs w:val="22"/>
          <w:lang w:val="en-US"/>
        </w:rPr>
        <w:t xml:space="preserve"> </w:t>
      </w:r>
      <w:r w:rsidRPr="0046221A">
        <w:rPr>
          <w:spacing w:val="-2"/>
          <w:sz w:val="22"/>
          <w:szCs w:val="22"/>
          <w:lang w:val="en-US"/>
        </w:rPr>
        <w:t>in</w:t>
      </w:r>
      <w:r w:rsidRPr="0046221A">
        <w:rPr>
          <w:spacing w:val="4"/>
          <w:sz w:val="22"/>
          <w:szCs w:val="22"/>
          <w:lang w:val="en-US"/>
        </w:rPr>
        <w:t xml:space="preserve"> </w:t>
      </w:r>
      <w:r w:rsidRPr="0046221A">
        <w:rPr>
          <w:spacing w:val="-2"/>
          <w:sz w:val="22"/>
          <w:szCs w:val="22"/>
          <w:lang w:val="en-US"/>
        </w:rPr>
        <w:t>Japan</w:t>
      </w:r>
      <w:r w:rsidRPr="0046221A">
        <w:rPr>
          <w:spacing w:val="1"/>
          <w:sz w:val="22"/>
          <w:szCs w:val="22"/>
          <w:lang w:val="en-US"/>
        </w:rPr>
        <w:t xml:space="preserve"> </w:t>
      </w:r>
      <w:r w:rsidRPr="0046221A">
        <w:rPr>
          <w:spacing w:val="-2"/>
          <w:sz w:val="22"/>
          <w:szCs w:val="22"/>
          <w:lang w:val="en-US"/>
        </w:rPr>
        <w:t>and</w:t>
      </w:r>
      <w:r w:rsidRPr="0046221A">
        <w:rPr>
          <w:spacing w:val="3"/>
          <w:sz w:val="22"/>
          <w:szCs w:val="22"/>
          <w:lang w:val="en-US"/>
        </w:rPr>
        <w:t xml:space="preserve"> </w:t>
      </w:r>
      <w:r w:rsidRPr="0046221A">
        <w:rPr>
          <w:spacing w:val="-2"/>
          <w:sz w:val="22"/>
          <w:szCs w:val="22"/>
          <w:lang w:val="en-US"/>
        </w:rPr>
        <w:t>Germany,</w:t>
      </w:r>
      <w:r w:rsidRPr="0046221A">
        <w:rPr>
          <w:spacing w:val="3"/>
          <w:sz w:val="22"/>
          <w:szCs w:val="22"/>
          <w:lang w:val="en-US"/>
        </w:rPr>
        <w:t xml:space="preserve"> </w:t>
      </w:r>
      <w:r w:rsidRPr="0046221A">
        <w:rPr>
          <w:spacing w:val="-2"/>
          <w:sz w:val="22"/>
          <w:szCs w:val="22"/>
          <w:lang w:val="en-US"/>
        </w:rPr>
        <w:t>European</w:t>
      </w:r>
      <w:r w:rsidRPr="0046221A">
        <w:rPr>
          <w:spacing w:val="4"/>
          <w:sz w:val="22"/>
          <w:szCs w:val="22"/>
          <w:lang w:val="en-US"/>
        </w:rPr>
        <w:t xml:space="preserve"> </w:t>
      </w:r>
      <w:r w:rsidRPr="0046221A">
        <w:rPr>
          <w:spacing w:val="-2"/>
          <w:sz w:val="22"/>
          <w:szCs w:val="22"/>
          <w:lang w:val="en-US"/>
        </w:rPr>
        <w:t>Journal</w:t>
      </w:r>
      <w:r w:rsidRPr="0046221A">
        <w:rPr>
          <w:spacing w:val="1"/>
          <w:sz w:val="22"/>
          <w:szCs w:val="22"/>
          <w:lang w:val="en-US"/>
        </w:rPr>
        <w:t xml:space="preserve"> </w:t>
      </w:r>
      <w:r w:rsidRPr="0046221A">
        <w:rPr>
          <w:spacing w:val="-2"/>
          <w:sz w:val="22"/>
          <w:szCs w:val="22"/>
          <w:lang w:val="en-US"/>
        </w:rPr>
        <w:t>of</w:t>
      </w:r>
      <w:r w:rsidRPr="0046221A">
        <w:rPr>
          <w:spacing w:val="2"/>
          <w:sz w:val="22"/>
          <w:szCs w:val="22"/>
          <w:lang w:val="en-US"/>
        </w:rPr>
        <w:t xml:space="preserve"> </w:t>
      </w:r>
      <w:r w:rsidRPr="0046221A">
        <w:rPr>
          <w:spacing w:val="-2"/>
          <w:sz w:val="22"/>
          <w:szCs w:val="22"/>
          <w:lang w:val="en-US"/>
        </w:rPr>
        <w:t>Marketing,</w:t>
      </w:r>
      <w:r w:rsidRPr="0046221A">
        <w:rPr>
          <w:spacing w:val="3"/>
          <w:sz w:val="22"/>
          <w:szCs w:val="22"/>
          <w:lang w:val="en-US"/>
        </w:rPr>
        <w:t xml:space="preserve"> </w:t>
      </w:r>
      <w:r w:rsidRPr="0046221A">
        <w:rPr>
          <w:spacing w:val="-2"/>
          <w:sz w:val="22"/>
          <w:szCs w:val="22"/>
          <w:lang w:val="en-US"/>
        </w:rPr>
        <w:t>19(3):</w:t>
      </w:r>
      <w:r w:rsidRPr="0046221A">
        <w:rPr>
          <w:spacing w:val="4"/>
          <w:sz w:val="22"/>
          <w:szCs w:val="22"/>
          <w:lang w:val="en-US"/>
        </w:rPr>
        <w:t xml:space="preserve"> </w:t>
      </w:r>
      <w:r w:rsidRPr="0046221A">
        <w:rPr>
          <w:spacing w:val="-5"/>
          <w:sz w:val="22"/>
          <w:szCs w:val="22"/>
          <w:lang w:val="en-US"/>
        </w:rPr>
        <w:t>57-</w:t>
      </w:r>
      <w:r w:rsidRPr="0046221A">
        <w:rPr>
          <w:sz w:val="22"/>
          <w:szCs w:val="22"/>
          <w:lang w:val="en-US"/>
        </w:rPr>
        <w:t>66.</w:t>
      </w:r>
      <w:r w:rsidRPr="0046221A">
        <w:rPr>
          <w:spacing w:val="47"/>
          <w:sz w:val="22"/>
          <w:szCs w:val="22"/>
          <w:lang w:val="en-US"/>
        </w:rPr>
        <w:t xml:space="preserve"> </w:t>
      </w:r>
      <w:r w:rsidRPr="0046221A">
        <w:rPr>
          <w:sz w:val="22"/>
          <w:szCs w:val="22"/>
          <w:lang w:val="en-US"/>
        </w:rPr>
        <w:t>Guimond,</w:t>
      </w:r>
      <w:r w:rsidRPr="0046221A">
        <w:rPr>
          <w:spacing w:val="1"/>
          <w:sz w:val="22"/>
          <w:szCs w:val="22"/>
          <w:lang w:val="en-US"/>
        </w:rPr>
        <w:t xml:space="preserve"> </w:t>
      </w:r>
      <w:r w:rsidRPr="0046221A">
        <w:rPr>
          <w:sz w:val="22"/>
          <w:szCs w:val="22"/>
          <w:lang w:val="en-US"/>
        </w:rPr>
        <w:t>S.;</w:t>
      </w:r>
      <w:r w:rsidRPr="0046221A">
        <w:rPr>
          <w:spacing w:val="2"/>
          <w:sz w:val="22"/>
          <w:szCs w:val="22"/>
          <w:lang w:val="en-US"/>
        </w:rPr>
        <w:t xml:space="preserve"> </w:t>
      </w:r>
      <w:r w:rsidRPr="0046221A">
        <w:rPr>
          <w:sz w:val="22"/>
          <w:szCs w:val="22"/>
          <w:lang w:val="en-US"/>
        </w:rPr>
        <w:t>Zanna,</w:t>
      </w:r>
      <w:r w:rsidRPr="0046221A">
        <w:rPr>
          <w:spacing w:val="3"/>
          <w:sz w:val="22"/>
          <w:szCs w:val="22"/>
          <w:lang w:val="en-US"/>
        </w:rPr>
        <w:t xml:space="preserve"> </w:t>
      </w:r>
      <w:r w:rsidRPr="0046221A">
        <w:rPr>
          <w:sz w:val="22"/>
          <w:szCs w:val="22"/>
          <w:lang w:val="en-US"/>
        </w:rPr>
        <w:t>M.P.</w:t>
      </w:r>
      <w:r w:rsidRPr="0046221A">
        <w:rPr>
          <w:spacing w:val="4"/>
          <w:sz w:val="22"/>
          <w:szCs w:val="22"/>
          <w:lang w:val="en-US"/>
        </w:rPr>
        <w:t xml:space="preserve"> </w:t>
      </w:r>
      <w:r w:rsidRPr="0046221A">
        <w:rPr>
          <w:sz w:val="22"/>
          <w:szCs w:val="22"/>
          <w:lang w:val="en-US"/>
        </w:rPr>
        <w:t>(1996):</w:t>
      </w:r>
      <w:r w:rsidRPr="0046221A">
        <w:rPr>
          <w:spacing w:val="3"/>
          <w:sz w:val="22"/>
          <w:szCs w:val="22"/>
          <w:lang w:val="en-US"/>
        </w:rPr>
        <w:t xml:space="preserve"> </w:t>
      </w:r>
      <w:r w:rsidRPr="0046221A">
        <w:rPr>
          <w:sz w:val="22"/>
          <w:szCs w:val="22"/>
          <w:lang w:val="en-US"/>
        </w:rPr>
        <w:t>Canadian</w:t>
      </w:r>
      <w:r w:rsidRPr="0046221A">
        <w:rPr>
          <w:spacing w:val="4"/>
          <w:sz w:val="22"/>
          <w:szCs w:val="22"/>
          <w:lang w:val="en-US"/>
        </w:rPr>
        <w:t xml:space="preserve"> </w:t>
      </w:r>
      <w:r w:rsidRPr="0046221A">
        <w:rPr>
          <w:sz w:val="22"/>
          <w:szCs w:val="22"/>
          <w:lang w:val="en-US"/>
        </w:rPr>
        <w:t>Attitudes</w:t>
      </w:r>
      <w:r w:rsidRPr="0046221A">
        <w:rPr>
          <w:spacing w:val="3"/>
          <w:sz w:val="22"/>
          <w:szCs w:val="22"/>
          <w:lang w:val="en-US"/>
        </w:rPr>
        <w:t xml:space="preserve"> </w:t>
      </w:r>
      <w:r w:rsidRPr="0046221A">
        <w:rPr>
          <w:sz w:val="22"/>
          <w:szCs w:val="22"/>
          <w:lang w:val="en-US"/>
        </w:rPr>
        <w:t>toward</w:t>
      </w:r>
      <w:r w:rsidRPr="0046221A">
        <w:rPr>
          <w:spacing w:val="4"/>
          <w:sz w:val="22"/>
          <w:szCs w:val="22"/>
          <w:lang w:val="en-US"/>
        </w:rPr>
        <w:t xml:space="preserve"> </w:t>
      </w:r>
      <w:r w:rsidRPr="0046221A">
        <w:rPr>
          <w:sz w:val="22"/>
          <w:szCs w:val="22"/>
          <w:lang w:val="en-US"/>
        </w:rPr>
        <w:t>Newcomers,</w:t>
      </w:r>
      <w:r w:rsidRPr="0046221A">
        <w:rPr>
          <w:spacing w:val="3"/>
          <w:sz w:val="22"/>
          <w:szCs w:val="22"/>
          <w:lang w:val="en-US"/>
        </w:rPr>
        <w:t xml:space="preserve"> </w:t>
      </w:r>
      <w:r w:rsidRPr="0046221A">
        <w:rPr>
          <w:sz w:val="22"/>
          <w:szCs w:val="22"/>
          <w:lang w:val="en-US"/>
        </w:rPr>
        <w:t>in:</w:t>
      </w:r>
      <w:r w:rsidRPr="0046221A">
        <w:rPr>
          <w:spacing w:val="4"/>
          <w:sz w:val="22"/>
          <w:szCs w:val="22"/>
          <w:lang w:val="en-US"/>
        </w:rPr>
        <w:t xml:space="preserve"> </w:t>
      </w:r>
      <w:r w:rsidRPr="0046221A">
        <w:rPr>
          <w:spacing w:val="-2"/>
          <w:sz w:val="22"/>
          <w:szCs w:val="22"/>
          <w:lang w:val="en-US"/>
        </w:rPr>
        <w:t>Taylor,</w:t>
      </w:r>
      <w:r w:rsidRPr="0046221A">
        <w:rPr>
          <w:sz w:val="22"/>
          <w:szCs w:val="22"/>
          <w:lang w:val="en-US"/>
        </w:rPr>
        <w:t xml:space="preserve"> D.M. (Ed.), Diversity with Justice and Harmony. </w:t>
      </w:r>
      <w:r w:rsidRPr="0046221A">
        <w:rPr>
          <w:sz w:val="22"/>
          <w:szCs w:val="22"/>
        </w:rPr>
        <w:t>A Social Psychological Analysis, 51-93,</w:t>
      </w:r>
      <w:r w:rsidRPr="0046221A">
        <w:rPr>
          <w:spacing w:val="40"/>
          <w:sz w:val="22"/>
          <w:szCs w:val="22"/>
        </w:rPr>
        <w:t xml:space="preserve"> </w:t>
      </w:r>
      <w:r w:rsidRPr="0046221A">
        <w:rPr>
          <w:sz w:val="22"/>
          <w:szCs w:val="22"/>
        </w:rPr>
        <w:t>Ottawa: Employment and Immigration Canada.</w:t>
      </w:r>
      <w:r w:rsidRPr="0046221A">
        <w:rPr>
          <w:spacing w:val="40"/>
          <w:sz w:val="22"/>
          <w:szCs w:val="22"/>
        </w:rPr>
        <w:t xml:space="preserve"> </w:t>
      </w:r>
      <w:r w:rsidRPr="0046221A">
        <w:rPr>
          <w:sz w:val="22"/>
          <w:szCs w:val="22"/>
        </w:rPr>
        <w:t>Holzmüller, H.H.; Berg, N. (2002):</w:t>
      </w:r>
      <w:r w:rsidRPr="0046221A">
        <w:rPr>
          <w:spacing w:val="40"/>
          <w:sz w:val="22"/>
          <w:szCs w:val="22"/>
        </w:rPr>
        <w:t xml:space="preserve"> </w:t>
      </w:r>
      <w:r w:rsidRPr="0046221A">
        <w:rPr>
          <w:sz w:val="22"/>
          <w:szCs w:val="22"/>
        </w:rPr>
        <w:t>Handhabung der kulturellen Heterogenität zur Erzielung von Wettbewerbsvorteilen in</w:t>
      </w:r>
      <w:r w:rsidRPr="0046221A">
        <w:rPr>
          <w:spacing w:val="40"/>
          <w:sz w:val="22"/>
          <w:szCs w:val="22"/>
        </w:rPr>
        <w:t xml:space="preserve"> </w:t>
      </w:r>
      <w:r w:rsidRPr="0046221A">
        <w:rPr>
          <w:sz w:val="22"/>
          <w:szCs w:val="22"/>
        </w:rPr>
        <w:t>internationalen Unternehmen, in: Macharzina, K.; Oesterle, M.-J. (Hrsg.), Handbuch</w:t>
      </w:r>
      <w:r w:rsidRPr="0046221A">
        <w:rPr>
          <w:spacing w:val="40"/>
          <w:sz w:val="22"/>
          <w:szCs w:val="22"/>
        </w:rPr>
        <w:t xml:space="preserve"> </w:t>
      </w:r>
      <w:r w:rsidRPr="0046221A">
        <w:rPr>
          <w:sz w:val="22"/>
          <w:szCs w:val="22"/>
        </w:rPr>
        <w:t>Internationales Management, 2.Aufl., 881-907, Wiesbaden: Gabler.</w:t>
      </w:r>
      <w:r w:rsidRPr="0046221A">
        <w:rPr>
          <w:spacing w:val="40"/>
          <w:sz w:val="22"/>
          <w:szCs w:val="22"/>
        </w:rPr>
        <w:t xml:space="preserve"> </w:t>
      </w:r>
      <w:r w:rsidRPr="0046221A">
        <w:rPr>
          <w:sz w:val="22"/>
          <w:szCs w:val="22"/>
        </w:rPr>
        <w:t>Kaschuba, W. (1995):</w:t>
      </w:r>
      <w:r w:rsidRPr="0046221A">
        <w:rPr>
          <w:spacing w:val="40"/>
          <w:sz w:val="22"/>
          <w:szCs w:val="22"/>
        </w:rPr>
        <w:t xml:space="preserve"> </w:t>
      </w:r>
      <w:r w:rsidRPr="0046221A">
        <w:rPr>
          <w:sz w:val="22"/>
          <w:szCs w:val="22"/>
        </w:rPr>
        <w:t>Kulturalismus.</w:t>
      </w:r>
      <w:r w:rsidRPr="0046221A">
        <w:rPr>
          <w:spacing w:val="-9"/>
          <w:sz w:val="22"/>
          <w:szCs w:val="22"/>
        </w:rPr>
        <w:t xml:space="preserve"> </w:t>
      </w:r>
      <w:r w:rsidRPr="0046221A">
        <w:rPr>
          <w:sz w:val="22"/>
          <w:szCs w:val="22"/>
        </w:rPr>
        <w:t>Kultur</w:t>
      </w:r>
      <w:r w:rsidRPr="0046221A">
        <w:rPr>
          <w:spacing w:val="-8"/>
          <w:sz w:val="22"/>
          <w:szCs w:val="22"/>
        </w:rPr>
        <w:t xml:space="preserve"> </w:t>
      </w:r>
      <w:r w:rsidRPr="0046221A">
        <w:rPr>
          <w:sz w:val="22"/>
          <w:szCs w:val="22"/>
        </w:rPr>
        <w:t>statt</w:t>
      </w:r>
      <w:r w:rsidRPr="0046221A">
        <w:rPr>
          <w:spacing w:val="-7"/>
          <w:sz w:val="22"/>
          <w:szCs w:val="22"/>
        </w:rPr>
        <w:t xml:space="preserve"> </w:t>
      </w:r>
      <w:r w:rsidRPr="0046221A">
        <w:rPr>
          <w:sz w:val="22"/>
          <w:szCs w:val="22"/>
        </w:rPr>
        <w:t>Gesellschaft?</w:t>
      </w:r>
      <w:r w:rsidRPr="0046221A">
        <w:rPr>
          <w:spacing w:val="-7"/>
          <w:sz w:val="22"/>
          <w:szCs w:val="22"/>
        </w:rPr>
        <w:t xml:space="preserve"> </w:t>
      </w:r>
      <w:r w:rsidRPr="0046221A">
        <w:rPr>
          <w:sz w:val="22"/>
          <w:szCs w:val="22"/>
        </w:rPr>
        <w:t>Geschichte</w:t>
      </w:r>
      <w:r w:rsidRPr="0046221A">
        <w:rPr>
          <w:spacing w:val="-9"/>
          <w:sz w:val="22"/>
          <w:szCs w:val="22"/>
        </w:rPr>
        <w:t xml:space="preserve"> </w:t>
      </w:r>
      <w:r w:rsidRPr="0046221A">
        <w:rPr>
          <w:sz w:val="22"/>
          <w:szCs w:val="22"/>
        </w:rPr>
        <w:t>und</w:t>
      </w:r>
      <w:r w:rsidRPr="0046221A">
        <w:rPr>
          <w:spacing w:val="-9"/>
          <w:sz w:val="22"/>
          <w:szCs w:val="22"/>
        </w:rPr>
        <w:t xml:space="preserve"> </w:t>
      </w:r>
      <w:r w:rsidRPr="0046221A">
        <w:rPr>
          <w:sz w:val="22"/>
          <w:szCs w:val="22"/>
        </w:rPr>
        <w:t>Gesellschaft,</w:t>
      </w:r>
      <w:r w:rsidRPr="0046221A">
        <w:rPr>
          <w:spacing w:val="-9"/>
          <w:sz w:val="22"/>
          <w:szCs w:val="22"/>
        </w:rPr>
        <w:t xml:space="preserve"> </w:t>
      </w:r>
      <w:r w:rsidRPr="0046221A">
        <w:rPr>
          <w:sz w:val="22"/>
          <w:szCs w:val="22"/>
        </w:rPr>
        <w:t>21(1):</w:t>
      </w:r>
      <w:r w:rsidRPr="0046221A">
        <w:rPr>
          <w:spacing w:val="-7"/>
          <w:sz w:val="22"/>
          <w:szCs w:val="22"/>
        </w:rPr>
        <w:t xml:space="preserve"> </w:t>
      </w:r>
      <w:r w:rsidRPr="0046221A">
        <w:rPr>
          <w:sz w:val="22"/>
          <w:szCs w:val="22"/>
        </w:rPr>
        <w:t>80-95.</w:t>
      </w:r>
      <w:r w:rsidRPr="0046221A">
        <w:rPr>
          <w:spacing w:val="25"/>
          <w:sz w:val="22"/>
          <w:szCs w:val="22"/>
        </w:rPr>
        <w:t xml:space="preserve"> </w:t>
      </w:r>
      <w:r w:rsidRPr="0046221A">
        <w:rPr>
          <w:sz w:val="22"/>
          <w:szCs w:val="22"/>
        </w:rPr>
        <w:t>Knapp, K. (1996):</w:t>
      </w:r>
      <w:r w:rsidRPr="0046221A">
        <w:rPr>
          <w:spacing w:val="40"/>
          <w:sz w:val="22"/>
          <w:szCs w:val="22"/>
        </w:rPr>
        <w:t xml:space="preserve"> </w:t>
      </w:r>
      <w:r w:rsidRPr="0046221A">
        <w:rPr>
          <w:sz w:val="22"/>
          <w:szCs w:val="22"/>
        </w:rPr>
        <w:t>Interpersonale und interkulturelle Kommunikation, in: Bergemann, N.;</w:t>
      </w:r>
      <w:r w:rsidRPr="0046221A">
        <w:rPr>
          <w:spacing w:val="40"/>
          <w:sz w:val="22"/>
          <w:szCs w:val="22"/>
        </w:rPr>
        <w:t xml:space="preserve"> </w:t>
      </w:r>
      <w:r w:rsidRPr="0046221A">
        <w:rPr>
          <w:sz w:val="22"/>
          <w:szCs w:val="22"/>
        </w:rPr>
        <w:t>Sourisseaux, A.L.J. (Hrsg.), Interkulturelles Management, 2.Aufl., Heidelberg: Physica.</w:t>
      </w:r>
      <w:r w:rsidRPr="0046221A">
        <w:rPr>
          <w:spacing w:val="40"/>
          <w:sz w:val="22"/>
          <w:szCs w:val="22"/>
        </w:rPr>
        <w:t xml:space="preserve"> </w:t>
      </w:r>
      <w:r w:rsidRPr="0046221A">
        <w:rPr>
          <w:sz w:val="22"/>
          <w:szCs w:val="22"/>
        </w:rPr>
        <w:t>Kutschker, M.; Schmid, S. (2011): Internationales Management, 7. Aufl., München:</w:t>
      </w:r>
      <w:r w:rsidRPr="0046221A">
        <w:rPr>
          <w:spacing w:val="40"/>
          <w:sz w:val="22"/>
          <w:szCs w:val="22"/>
        </w:rPr>
        <w:t xml:space="preserve"> </w:t>
      </w:r>
      <w:r w:rsidRPr="0046221A">
        <w:rPr>
          <w:sz w:val="22"/>
          <w:szCs w:val="22"/>
        </w:rPr>
        <w:t>Oldenbourg.</w:t>
      </w:r>
      <w:r w:rsidRPr="0046221A">
        <w:rPr>
          <w:spacing w:val="40"/>
          <w:sz w:val="22"/>
          <w:szCs w:val="22"/>
        </w:rPr>
        <w:t xml:space="preserve"> </w:t>
      </w:r>
      <w:r w:rsidRPr="0046221A">
        <w:rPr>
          <w:sz w:val="22"/>
          <w:szCs w:val="22"/>
        </w:rPr>
        <w:t>Macharzina, K. (1989): Internationale Betriebswirtschaftslehre, in:</w:t>
      </w:r>
      <w:r w:rsidRPr="0046221A">
        <w:rPr>
          <w:spacing w:val="40"/>
          <w:sz w:val="22"/>
          <w:szCs w:val="22"/>
        </w:rPr>
        <w:t xml:space="preserve"> </w:t>
      </w:r>
      <w:r w:rsidRPr="0046221A">
        <w:rPr>
          <w:sz w:val="22"/>
          <w:szCs w:val="22"/>
        </w:rPr>
        <w:t xml:space="preserve">Macharzina, K.; Welge, M.K. </w:t>
      </w:r>
      <w:r w:rsidRPr="0046221A">
        <w:rPr>
          <w:sz w:val="22"/>
          <w:szCs w:val="22"/>
        </w:rPr>
        <w:lastRenderedPageBreak/>
        <w:t>(Hrsg.), Handwörterbuch Export und Internationale</w:t>
      </w:r>
      <w:r w:rsidRPr="0046221A">
        <w:rPr>
          <w:spacing w:val="40"/>
          <w:sz w:val="22"/>
          <w:szCs w:val="22"/>
        </w:rPr>
        <w:t xml:space="preserve"> </w:t>
      </w:r>
      <w:r w:rsidRPr="0046221A">
        <w:rPr>
          <w:sz w:val="22"/>
          <w:szCs w:val="22"/>
        </w:rPr>
        <w:t>Unternehmung, 903-914, Stuttgart: Schäffer-Poeschel.</w:t>
      </w:r>
      <w:r w:rsidRPr="0046221A">
        <w:rPr>
          <w:spacing w:val="40"/>
          <w:sz w:val="22"/>
          <w:szCs w:val="22"/>
        </w:rPr>
        <w:t xml:space="preserve"> </w:t>
      </w:r>
      <w:r w:rsidRPr="0046221A">
        <w:rPr>
          <w:sz w:val="22"/>
          <w:szCs w:val="22"/>
          <w:lang w:val="en-US"/>
        </w:rPr>
        <w:t>Macharzina, K.; Engelhard, J.</w:t>
      </w:r>
      <w:r w:rsidRPr="0046221A">
        <w:rPr>
          <w:spacing w:val="40"/>
          <w:sz w:val="22"/>
          <w:szCs w:val="22"/>
          <w:lang w:val="en-US"/>
        </w:rPr>
        <w:t xml:space="preserve"> </w:t>
      </w:r>
      <w:r w:rsidRPr="0046221A">
        <w:rPr>
          <w:sz w:val="22"/>
          <w:szCs w:val="22"/>
          <w:lang w:val="en-US"/>
        </w:rPr>
        <w:t>(1991): Paradigm Shift in International Business Research. From Partist and Eclecitc</w:t>
      </w:r>
      <w:r w:rsidRPr="0046221A">
        <w:rPr>
          <w:spacing w:val="40"/>
          <w:sz w:val="22"/>
          <w:szCs w:val="22"/>
          <w:lang w:val="en-US"/>
        </w:rPr>
        <w:t xml:space="preserve"> </w:t>
      </w:r>
      <w:r w:rsidRPr="0046221A">
        <w:rPr>
          <w:sz w:val="22"/>
          <w:szCs w:val="22"/>
          <w:lang w:val="en-US"/>
        </w:rPr>
        <w:t>Approaches</w:t>
      </w:r>
      <w:r w:rsidRPr="0046221A">
        <w:rPr>
          <w:spacing w:val="-2"/>
          <w:sz w:val="22"/>
          <w:szCs w:val="22"/>
          <w:lang w:val="en-US"/>
        </w:rPr>
        <w:t xml:space="preserve"> </w:t>
      </w:r>
      <w:r w:rsidRPr="0046221A">
        <w:rPr>
          <w:sz w:val="22"/>
          <w:szCs w:val="22"/>
          <w:lang w:val="en-US"/>
        </w:rPr>
        <w:t>to</w:t>
      </w:r>
      <w:r w:rsidRPr="0046221A">
        <w:rPr>
          <w:spacing w:val="-2"/>
          <w:sz w:val="22"/>
          <w:szCs w:val="22"/>
          <w:lang w:val="en-US"/>
        </w:rPr>
        <w:t xml:space="preserve"> </w:t>
      </w:r>
      <w:r w:rsidRPr="0046221A">
        <w:rPr>
          <w:sz w:val="22"/>
          <w:szCs w:val="22"/>
          <w:lang w:val="en-US"/>
        </w:rPr>
        <w:t>the</w:t>
      </w:r>
      <w:r w:rsidRPr="0046221A">
        <w:rPr>
          <w:spacing w:val="-2"/>
          <w:sz w:val="22"/>
          <w:szCs w:val="22"/>
          <w:lang w:val="en-US"/>
        </w:rPr>
        <w:t xml:space="preserve"> </w:t>
      </w:r>
      <w:r w:rsidRPr="0046221A">
        <w:rPr>
          <w:sz w:val="22"/>
          <w:szCs w:val="22"/>
          <w:lang w:val="en-US"/>
        </w:rPr>
        <w:t>GAINS</w:t>
      </w:r>
      <w:r w:rsidRPr="0046221A">
        <w:rPr>
          <w:spacing w:val="-1"/>
          <w:sz w:val="22"/>
          <w:szCs w:val="22"/>
          <w:lang w:val="en-US"/>
        </w:rPr>
        <w:t xml:space="preserve"> </w:t>
      </w:r>
      <w:r w:rsidRPr="0046221A">
        <w:rPr>
          <w:sz w:val="22"/>
          <w:szCs w:val="22"/>
          <w:lang w:val="en-US"/>
        </w:rPr>
        <w:t>Paradigm,</w:t>
      </w:r>
      <w:r w:rsidRPr="0046221A">
        <w:rPr>
          <w:spacing w:val="-2"/>
          <w:sz w:val="22"/>
          <w:szCs w:val="22"/>
          <w:lang w:val="en-US"/>
        </w:rPr>
        <w:t xml:space="preserve"> </w:t>
      </w:r>
      <w:r w:rsidRPr="0046221A">
        <w:rPr>
          <w:sz w:val="22"/>
          <w:szCs w:val="22"/>
          <w:lang w:val="en-US"/>
        </w:rPr>
        <w:t>Management International</w:t>
      </w:r>
      <w:r w:rsidRPr="0046221A">
        <w:rPr>
          <w:spacing w:val="-2"/>
          <w:sz w:val="22"/>
          <w:szCs w:val="22"/>
          <w:lang w:val="en-US"/>
        </w:rPr>
        <w:t xml:space="preserve"> </w:t>
      </w:r>
      <w:r w:rsidRPr="0046221A">
        <w:rPr>
          <w:sz w:val="22"/>
          <w:szCs w:val="22"/>
          <w:lang w:val="en-US"/>
        </w:rPr>
        <w:t>Review,</w:t>
      </w:r>
      <w:r w:rsidRPr="0046221A">
        <w:rPr>
          <w:spacing w:val="-2"/>
          <w:sz w:val="22"/>
          <w:szCs w:val="22"/>
          <w:lang w:val="en-US"/>
        </w:rPr>
        <w:t xml:space="preserve"> </w:t>
      </w:r>
      <w:r w:rsidRPr="0046221A">
        <w:rPr>
          <w:sz w:val="22"/>
          <w:szCs w:val="22"/>
          <w:lang w:val="en-US"/>
        </w:rPr>
        <w:t>31(Special</w:t>
      </w:r>
      <w:r w:rsidRPr="0046221A">
        <w:rPr>
          <w:spacing w:val="-2"/>
          <w:sz w:val="22"/>
          <w:szCs w:val="22"/>
          <w:lang w:val="en-US"/>
        </w:rPr>
        <w:t xml:space="preserve"> </w:t>
      </w:r>
      <w:r w:rsidRPr="0046221A">
        <w:rPr>
          <w:sz w:val="22"/>
          <w:szCs w:val="22"/>
          <w:lang w:val="en-US"/>
        </w:rPr>
        <w:t>Issue):</w:t>
      </w:r>
      <w:r w:rsidRPr="0046221A">
        <w:rPr>
          <w:spacing w:val="40"/>
          <w:sz w:val="22"/>
          <w:szCs w:val="22"/>
          <w:lang w:val="en-US"/>
        </w:rPr>
        <w:t xml:space="preserve"> </w:t>
      </w:r>
      <w:r w:rsidRPr="0046221A">
        <w:rPr>
          <w:sz w:val="22"/>
          <w:szCs w:val="22"/>
          <w:lang w:val="en-US"/>
        </w:rPr>
        <w:t>23-43.</w:t>
      </w:r>
      <w:r w:rsidRPr="0046221A">
        <w:rPr>
          <w:spacing w:val="34"/>
          <w:sz w:val="22"/>
          <w:szCs w:val="22"/>
          <w:lang w:val="en-US"/>
        </w:rPr>
        <w:t xml:space="preserve"> </w:t>
      </w:r>
      <w:r w:rsidRPr="0046221A">
        <w:rPr>
          <w:sz w:val="22"/>
          <w:szCs w:val="22"/>
        </w:rPr>
        <w:t>Posth,</w:t>
      </w:r>
      <w:r w:rsidRPr="0046221A">
        <w:rPr>
          <w:spacing w:val="-5"/>
          <w:sz w:val="22"/>
          <w:szCs w:val="22"/>
        </w:rPr>
        <w:t xml:space="preserve"> </w:t>
      </w:r>
      <w:r w:rsidRPr="0046221A">
        <w:rPr>
          <w:sz w:val="22"/>
          <w:szCs w:val="22"/>
        </w:rPr>
        <w:t>M.;</w:t>
      </w:r>
      <w:r w:rsidRPr="0046221A">
        <w:rPr>
          <w:spacing w:val="-4"/>
          <w:sz w:val="22"/>
          <w:szCs w:val="22"/>
        </w:rPr>
        <w:t xml:space="preserve"> </w:t>
      </w:r>
      <w:r w:rsidRPr="0046221A">
        <w:rPr>
          <w:sz w:val="22"/>
          <w:szCs w:val="22"/>
        </w:rPr>
        <w:t>Bergmann,</w:t>
      </w:r>
      <w:r w:rsidRPr="0046221A">
        <w:rPr>
          <w:spacing w:val="-5"/>
          <w:sz w:val="22"/>
          <w:szCs w:val="22"/>
        </w:rPr>
        <w:t xml:space="preserve"> </w:t>
      </w:r>
      <w:r w:rsidRPr="0046221A">
        <w:rPr>
          <w:sz w:val="22"/>
          <w:szCs w:val="22"/>
        </w:rPr>
        <w:t>G.</w:t>
      </w:r>
      <w:r w:rsidRPr="0046221A">
        <w:rPr>
          <w:spacing w:val="-2"/>
          <w:sz w:val="22"/>
          <w:szCs w:val="22"/>
        </w:rPr>
        <w:t xml:space="preserve"> </w:t>
      </w:r>
      <w:r w:rsidRPr="0046221A">
        <w:rPr>
          <w:sz w:val="22"/>
          <w:szCs w:val="22"/>
        </w:rPr>
        <w:t>(1997):</w:t>
      </w:r>
      <w:r w:rsidRPr="0046221A">
        <w:rPr>
          <w:spacing w:val="-4"/>
          <w:sz w:val="22"/>
          <w:szCs w:val="22"/>
        </w:rPr>
        <w:t xml:space="preserve"> </w:t>
      </w:r>
      <w:r w:rsidRPr="0046221A">
        <w:rPr>
          <w:sz w:val="22"/>
          <w:szCs w:val="22"/>
        </w:rPr>
        <w:t>Managementprobleme</w:t>
      </w:r>
      <w:r w:rsidRPr="0046221A">
        <w:rPr>
          <w:spacing w:val="-5"/>
          <w:sz w:val="22"/>
          <w:szCs w:val="22"/>
        </w:rPr>
        <w:t xml:space="preserve"> </w:t>
      </w:r>
      <w:r w:rsidRPr="0046221A">
        <w:rPr>
          <w:sz w:val="22"/>
          <w:szCs w:val="22"/>
        </w:rPr>
        <w:t>internationaler</w:t>
      </w:r>
      <w:r w:rsidRPr="0046221A">
        <w:rPr>
          <w:spacing w:val="-6"/>
          <w:sz w:val="22"/>
          <w:szCs w:val="22"/>
        </w:rPr>
        <w:t xml:space="preserve"> </w:t>
      </w:r>
      <w:r w:rsidRPr="0046221A">
        <w:rPr>
          <w:sz w:val="22"/>
          <w:szCs w:val="22"/>
        </w:rPr>
        <w:t>Equity-Joint</w:t>
      </w:r>
      <w:r w:rsidRPr="0046221A">
        <w:rPr>
          <w:spacing w:val="40"/>
          <w:sz w:val="22"/>
          <w:szCs w:val="22"/>
        </w:rPr>
        <w:t xml:space="preserve"> </w:t>
      </w:r>
      <w:r w:rsidRPr="0046221A">
        <w:rPr>
          <w:sz w:val="22"/>
          <w:szCs w:val="22"/>
        </w:rPr>
        <w:t>Ventures, in: Macharzina, K.; Oesterle, M.-J. (Hrsg.), Handbuch Internationales</w:t>
      </w:r>
      <w:r w:rsidRPr="0046221A">
        <w:rPr>
          <w:spacing w:val="40"/>
          <w:sz w:val="22"/>
          <w:szCs w:val="22"/>
        </w:rPr>
        <w:t xml:space="preserve"> </w:t>
      </w:r>
      <w:r w:rsidRPr="0046221A">
        <w:rPr>
          <w:sz w:val="22"/>
          <w:szCs w:val="22"/>
        </w:rPr>
        <w:t>Management, 535-552, Wiesbaden: Gabler.</w:t>
      </w:r>
      <w:r w:rsidRPr="0046221A">
        <w:rPr>
          <w:spacing w:val="40"/>
          <w:sz w:val="22"/>
          <w:szCs w:val="22"/>
        </w:rPr>
        <w:t xml:space="preserve"> </w:t>
      </w:r>
      <w:r w:rsidRPr="0046221A">
        <w:rPr>
          <w:sz w:val="22"/>
          <w:szCs w:val="22"/>
        </w:rPr>
        <w:t>Schröder, M. (1993): Internationales</w:t>
      </w:r>
      <w:r w:rsidRPr="0046221A">
        <w:rPr>
          <w:spacing w:val="40"/>
          <w:sz w:val="22"/>
          <w:szCs w:val="22"/>
        </w:rPr>
        <w:t xml:space="preserve"> </w:t>
      </w:r>
      <w:r w:rsidRPr="0046221A">
        <w:rPr>
          <w:sz w:val="22"/>
          <w:szCs w:val="22"/>
        </w:rPr>
        <w:t>Beschaffungsmarketing der Industrieunternehmung. Zur Gestaltung internationaler und</w:t>
      </w:r>
      <w:r w:rsidRPr="0046221A">
        <w:rPr>
          <w:spacing w:val="40"/>
          <w:sz w:val="22"/>
          <w:szCs w:val="22"/>
        </w:rPr>
        <w:t xml:space="preserve"> </w:t>
      </w:r>
      <w:r w:rsidRPr="0046221A">
        <w:rPr>
          <w:sz w:val="22"/>
          <w:szCs w:val="22"/>
        </w:rPr>
        <w:t>interkultureller Beschaffungsbeziehungen, Göttingen: Vandenhoeck &amp; Ruprecht.</w:t>
      </w:r>
      <w:r w:rsidRPr="0046221A">
        <w:rPr>
          <w:spacing w:val="40"/>
          <w:sz w:val="22"/>
          <w:szCs w:val="22"/>
        </w:rPr>
        <w:t xml:space="preserve"> </w:t>
      </w:r>
      <w:r w:rsidRPr="0046221A">
        <w:rPr>
          <w:sz w:val="22"/>
          <w:szCs w:val="22"/>
        </w:rPr>
        <w:t>Tibi, B.</w:t>
      </w:r>
      <w:r w:rsidRPr="0046221A">
        <w:rPr>
          <w:spacing w:val="40"/>
          <w:sz w:val="22"/>
          <w:szCs w:val="22"/>
        </w:rPr>
        <w:t xml:space="preserve"> </w:t>
      </w:r>
      <w:r w:rsidRPr="0046221A">
        <w:rPr>
          <w:sz w:val="22"/>
          <w:szCs w:val="22"/>
        </w:rPr>
        <w:t>(1996): Multikultureller Werte-Relativismus und Werte-Verlust, Aus Politik und</w:t>
      </w:r>
      <w:r w:rsidRPr="0046221A">
        <w:rPr>
          <w:spacing w:val="40"/>
          <w:sz w:val="22"/>
          <w:szCs w:val="22"/>
        </w:rPr>
        <w:t xml:space="preserve"> </w:t>
      </w:r>
      <w:r w:rsidRPr="0046221A">
        <w:rPr>
          <w:sz w:val="22"/>
          <w:szCs w:val="22"/>
        </w:rPr>
        <w:t>Zeitgeschichte, 46(B52/53): 27-36.</w:t>
      </w:r>
    </w:p>
    <w:p w14:paraId="148101BE" w14:textId="77777777" w:rsidR="00FF7799" w:rsidRPr="00D23B88" w:rsidRDefault="00FF7799" w:rsidP="007C28B7">
      <w:pPr>
        <w:pStyle w:val="berschrift1"/>
        <w:rPr>
          <w:bCs w:val="0"/>
          <w:color w:val="2E74B5"/>
          <w:sz w:val="22"/>
        </w:rPr>
      </w:pPr>
      <w:r w:rsidRPr="00D23B88">
        <w:rPr>
          <w:bCs w:val="0"/>
          <w:color w:val="2E74B5"/>
          <w:sz w:val="22"/>
        </w:rPr>
        <w:t>Multilateral</w:t>
      </w:r>
    </w:p>
    <w:p w14:paraId="342C865A" w14:textId="77777777" w:rsidR="00FF7799" w:rsidRPr="00E73F6F" w:rsidRDefault="00FF7799" w:rsidP="004B4862">
      <w:pPr>
        <w:pStyle w:val="StandardText"/>
        <w:rPr>
          <w:spacing w:val="-2"/>
        </w:rPr>
      </w:pPr>
      <w:r w:rsidRPr="00E73F6F">
        <w:t xml:space="preserve">mehrseitig. Ein multilateraler Vertrag hat mehr als zwei (= bilateral) </w:t>
      </w:r>
      <w:r w:rsidRPr="00E73F6F">
        <w:rPr>
          <w:spacing w:val="-2"/>
        </w:rPr>
        <w:t>Vertragspartner.</w:t>
      </w:r>
    </w:p>
    <w:p w14:paraId="2B2B0A9B" w14:textId="77777777" w:rsidR="00FF7799" w:rsidRPr="00E73F6F" w:rsidRDefault="00FF7799" w:rsidP="007C28B7">
      <w:pPr>
        <w:pStyle w:val="berschrift1"/>
      </w:pPr>
      <w:r w:rsidRPr="00D23B88">
        <w:rPr>
          <w:bCs w:val="0"/>
          <w:color w:val="2E74B5"/>
          <w:sz w:val="22"/>
        </w:rPr>
        <w:t>Mystik</w:t>
      </w:r>
      <w:r w:rsidRPr="00E73F6F">
        <w:t xml:space="preserve"> </w:t>
      </w:r>
      <w:r w:rsidRPr="00E73F6F">
        <w:rPr>
          <w:b w:val="0"/>
        </w:rPr>
        <w:t>→ Religiosität</w:t>
      </w:r>
    </w:p>
    <w:p w14:paraId="2D42A2F8" w14:textId="77777777" w:rsidR="00FF7799" w:rsidRPr="00D23B88" w:rsidRDefault="00FF7799" w:rsidP="007C28B7">
      <w:pPr>
        <w:pStyle w:val="berschrift1"/>
        <w:rPr>
          <w:bCs w:val="0"/>
          <w:color w:val="2E74B5"/>
          <w:sz w:val="22"/>
        </w:rPr>
      </w:pPr>
      <w:r w:rsidRPr="00D23B88">
        <w:rPr>
          <w:bCs w:val="0"/>
          <w:color w:val="2E74B5"/>
          <w:sz w:val="22"/>
        </w:rPr>
        <w:t>Nation</w:t>
      </w:r>
    </w:p>
    <w:p w14:paraId="7072C295" w14:textId="7448AD62" w:rsidR="00FF7799" w:rsidRPr="00E73F6F" w:rsidRDefault="00FF7799" w:rsidP="004B4862">
      <w:pPr>
        <w:pStyle w:val="StandardText"/>
      </w:pPr>
      <w:r w:rsidRPr="00E73F6F">
        <w:t>von 'natio' (lat.) abgeleiteter Begriff. Anfänglich bezeichnete Nation das Geborenwerden, das Geschlecht, das Volk bzw. den Volksstamm. Heute verstehen wir darunter eine Lebensgemeinschaft von Menschen, die im Bewusstsein</w:t>
      </w:r>
      <w:r w:rsidRPr="00E73F6F">
        <w:rPr>
          <w:spacing w:val="44"/>
        </w:rPr>
        <w:t xml:space="preserve"> </w:t>
      </w:r>
      <w:r w:rsidRPr="00E73F6F">
        <w:t>einer</w:t>
      </w:r>
      <w:r w:rsidRPr="00E73F6F">
        <w:rPr>
          <w:spacing w:val="43"/>
        </w:rPr>
        <w:t xml:space="preserve"> </w:t>
      </w:r>
      <w:r w:rsidRPr="00E73F6F">
        <w:t>gemeinsamen</w:t>
      </w:r>
      <w:r w:rsidRPr="00E73F6F">
        <w:rPr>
          <w:spacing w:val="45"/>
        </w:rPr>
        <w:t xml:space="preserve"> </w:t>
      </w:r>
      <w:r w:rsidRPr="00E73F6F">
        <w:t>politisch-kulturellen</w:t>
      </w:r>
      <w:r w:rsidRPr="00E73F6F">
        <w:rPr>
          <w:spacing w:val="44"/>
        </w:rPr>
        <w:t xml:space="preserve"> </w:t>
      </w:r>
      <w:r w:rsidRPr="00E73F6F">
        <w:t>Vergangenheit</w:t>
      </w:r>
      <w:r w:rsidRPr="00E73F6F">
        <w:rPr>
          <w:spacing w:val="44"/>
        </w:rPr>
        <w:t xml:space="preserve"> </w:t>
      </w:r>
      <w:r w:rsidRPr="00E73F6F">
        <w:t>und</w:t>
      </w:r>
      <w:r w:rsidRPr="00E73F6F">
        <w:rPr>
          <w:spacing w:val="44"/>
        </w:rPr>
        <w:t xml:space="preserve"> </w:t>
      </w:r>
      <w:r w:rsidRPr="00E73F6F">
        <w:rPr>
          <w:spacing w:val="-5"/>
        </w:rPr>
        <w:t xml:space="preserve">dem </w:t>
      </w:r>
      <w:r w:rsidRPr="00E73F6F">
        <w:t>„Willen zum</w:t>
      </w:r>
      <w:r w:rsidRPr="00E73F6F">
        <w:rPr>
          <w:spacing w:val="-1"/>
        </w:rPr>
        <w:t xml:space="preserve"> </w:t>
      </w:r>
      <w:r w:rsidRPr="00E73F6F">
        <w:t>Staat“ zusammenleben. Nationalität</w:t>
      </w:r>
      <w:r w:rsidRPr="00E73F6F">
        <w:rPr>
          <w:spacing w:val="-1"/>
        </w:rPr>
        <w:t xml:space="preserve"> </w:t>
      </w:r>
      <w:r w:rsidRPr="00E73F6F">
        <w:t>erwächst aus</w:t>
      </w:r>
      <w:r w:rsidRPr="00E73F6F">
        <w:rPr>
          <w:spacing w:val="-1"/>
        </w:rPr>
        <w:t xml:space="preserve"> </w:t>
      </w:r>
      <w:r w:rsidRPr="00E73F6F">
        <w:t>der Zugehörigkeit zu einer Nation. Während die Bevölkerung eines Nationalitätenstaates aus mehreren, weitgehend eigenständigen nationalen Gruppen oder aus einer führenden Staatsnation und Teilen anderer Nationen (d.h. Minderheiten) besteht, gehören die Bürger eines Nationalstaates einem einzigen Volk an. Seit dem 18. Jahrhundert</w:t>
      </w:r>
      <w:r w:rsidRPr="00E73F6F">
        <w:rPr>
          <w:spacing w:val="51"/>
        </w:rPr>
        <w:t xml:space="preserve"> </w:t>
      </w:r>
      <w:r w:rsidRPr="00E73F6F">
        <w:t>sprachen</w:t>
      </w:r>
      <w:r w:rsidRPr="00E73F6F">
        <w:rPr>
          <w:spacing w:val="51"/>
        </w:rPr>
        <w:t xml:space="preserve"> </w:t>
      </w:r>
      <w:r w:rsidRPr="00E73F6F">
        <w:t>deutsche</w:t>
      </w:r>
      <w:r w:rsidRPr="00E73F6F">
        <w:rPr>
          <w:spacing w:val="50"/>
        </w:rPr>
        <w:t xml:space="preserve"> </w:t>
      </w:r>
      <w:r w:rsidRPr="00E73F6F">
        <w:t>Intellektuelle</w:t>
      </w:r>
      <w:r w:rsidRPr="00E73F6F">
        <w:rPr>
          <w:spacing w:val="51"/>
        </w:rPr>
        <w:t xml:space="preserve"> </w:t>
      </w:r>
      <w:r w:rsidRPr="00E73F6F">
        <w:t>von</w:t>
      </w:r>
      <w:r w:rsidRPr="00E73F6F">
        <w:rPr>
          <w:spacing w:val="51"/>
        </w:rPr>
        <w:t xml:space="preserve"> </w:t>
      </w:r>
      <w:r w:rsidRPr="00E73F6F">
        <w:t>Kulturnation,</w:t>
      </w:r>
      <w:r w:rsidRPr="00E73F6F">
        <w:rPr>
          <w:spacing w:val="50"/>
        </w:rPr>
        <w:t xml:space="preserve"> </w:t>
      </w:r>
      <w:r w:rsidRPr="00E73F6F">
        <w:t>wenn</w:t>
      </w:r>
      <w:r w:rsidRPr="00E73F6F">
        <w:rPr>
          <w:spacing w:val="51"/>
        </w:rPr>
        <w:t xml:space="preserve"> </w:t>
      </w:r>
      <w:r w:rsidRPr="00E73F6F">
        <w:t>sie</w:t>
      </w:r>
      <w:r w:rsidRPr="00E73F6F">
        <w:rPr>
          <w:spacing w:val="51"/>
        </w:rPr>
        <w:t xml:space="preserve"> </w:t>
      </w:r>
      <w:r w:rsidRPr="00E73F6F">
        <w:rPr>
          <w:spacing w:val="-5"/>
        </w:rPr>
        <w:t xml:space="preserve">die </w:t>
      </w:r>
      <w:r w:rsidRPr="00E73F6F">
        <w:t>„deutschen</w:t>
      </w:r>
      <w:r w:rsidRPr="00E73F6F">
        <w:rPr>
          <w:spacing w:val="-3"/>
        </w:rPr>
        <w:t xml:space="preserve"> </w:t>
      </w:r>
      <w:r w:rsidRPr="00E73F6F">
        <w:t>Verhältnisse“</w:t>
      </w:r>
      <w:r w:rsidRPr="00E73F6F">
        <w:rPr>
          <w:spacing w:val="-5"/>
        </w:rPr>
        <w:t xml:space="preserve"> </w:t>
      </w:r>
      <w:r w:rsidRPr="00E73F6F">
        <w:t>charakterisieren</w:t>
      </w:r>
      <w:r w:rsidRPr="00E73F6F">
        <w:rPr>
          <w:spacing w:val="-3"/>
        </w:rPr>
        <w:t xml:space="preserve"> </w:t>
      </w:r>
      <w:r w:rsidRPr="00E73F6F">
        <w:t>wollten:</w:t>
      </w:r>
      <w:r w:rsidRPr="00E73F6F">
        <w:rPr>
          <w:spacing w:val="-4"/>
        </w:rPr>
        <w:t xml:space="preserve"> </w:t>
      </w:r>
      <w:r w:rsidRPr="00E73F6F">
        <w:t>eine</w:t>
      </w:r>
      <w:r w:rsidRPr="00E73F6F">
        <w:rPr>
          <w:spacing w:val="-1"/>
        </w:rPr>
        <w:t xml:space="preserve"> </w:t>
      </w:r>
      <w:r w:rsidRPr="00E73F6F">
        <w:t>Nation</w:t>
      </w:r>
      <w:r w:rsidRPr="00E73F6F">
        <w:rPr>
          <w:spacing w:val="-5"/>
        </w:rPr>
        <w:t xml:space="preserve"> </w:t>
      </w:r>
      <w:r w:rsidRPr="00E73F6F">
        <w:t>ohne</w:t>
      </w:r>
      <w:r w:rsidRPr="00E73F6F">
        <w:rPr>
          <w:spacing w:val="-5"/>
        </w:rPr>
        <w:t xml:space="preserve"> </w:t>
      </w:r>
      <w:r w:rsidRPr="00E73F6F">
        <w:t>Staat.</w:t>
      </w:r>
      <w:r w:rsidRPr="00E73F6F">
        <w:rPr>
          <w:spacing w:val="-3"/>
        </w:rPr>
        <w:t xml:space="preserve"> </w:t>
      </w:r>
      <w:r w:rsidRPr="00E73F6F">
        <w:t xml:space="preserve">Dieser Begriff stand für die Hoffnung, dass trotz staatlicher Zersplitterung aus gemeinsamer Sprache und Tradition Einheit erwachsen kann. In diesem Bewusstsein durchreisten die </w:t>
      </w:r>
      <w:r w:rsidRPr="00E73F6F">
        <w:rPr>
          <w:i/>
        </w:rPr>
        <w:t>Gebrüder Grimm</w:t>
      </w:r>
      <w:r w:rsidRPr="00E73F6F">
        <w:t xml:space="preserve">, Begründer der modernen vergleichenden Sprachwissenschaft, Deutschland auf der Suche nach den deutschen Volksmärchen – dem Volksgeist Deutschlands. In den folgenden Jahrzehnten breitete sich das Nationalbewusstsein in ganz Europa aus: Polen, Madjaren (Ungarn), Russen, Tschechen, Slowaken, Ruthenen (Ukrainer), Rumänen, Serben, Kroaten, Griechen – sie alle bildeten ihr eigenes Nationalbewusstsein aus, auch wenn sie über keinen eigenen Nationalstaat verfügten“ (vgl. Reich 1996, S.24ff.). Dies erklärt, warum es die Ausnahme ist, dass politische und sozio-kulturelle Einheit zusammenfallen (vgl. Tab. 1). Wie Galtung (1982, S.17) berichtet, gab es ausgangs der 1970er-Jahre weltweit lediglich ca. 15 Nationalstaaten, aber 150 Nationalitätenstaaten und 1.500 </w:t>
      </w:r>
      <w:r w:rsidRPr="00E73F6F">
        <w:rPr>
          <w:spacing w:val="-2"/>
        </w:rPr>
        <w:t>Kulturnationen.</w:t>
      </w:r>
    </w:p>
    <w:p w14:paraId="7D9FBAB2" w14:textId="77777777" w:rsidR="00FF7799" w:rsidRPr="00E73F6F" w:rsidRDefault="00FF7799" w:rsidP="004B4862">
      <w:pPr>
        <w:pStyle w:val="StandardText"/>
      </w:pPr>
    </w:p>
    <w:p w14:paraId="73CA4682" w14:textId="77777777" w:rsidR="00FF7799" w:rsidRPr="00D23B88" w:rsidRDefault="00FF7799" w:rsidP="004B4862">
      <w:pPr>
        <w:pStyle w:val="BeschriftungTab"/>
        <w:rPr>
          <w:i/>
          <w:iCs/>
        </w:rPr>
      </w:pPr>
      <w:r w:rsidRPr="00D23B88">
        <w:rPr>
          <w:i/>
          <w:iCs/>
        </w:rPr>
        <w:t>Tab. 1: Konzepte</w:t>
      </w:r>
      <w:r w:rsidRPr="00D23B88">
        <w:rPr>
          <w:i/>
          <w:iCs/>
          <w:spacing w:val="-5"/>
        </w:rPr>
        <w:t xml:space="preserve"> </w:t>
      </w:r>
      <w:r w:rsidRPr="00D23B88">
        <w:rPr>
          <w:i/>
          <w:iCs/>
        </w:rPr>
        <w:t>national-kultureller</w:t>
      </w:r>
      <w:r w:rsidRPr="00D23B88">
        <w:rPr>
          <w:i/>
          <w:iCs/>
          <w:spacing w:val="-1"/>
        </w:rPr>
        <w:t xml:space="preserve"> </w:t>
      </w:r>
      <w:r w:rsidRPr="00D23B88">
        <w:rPr>
          <w:i/>
          <w:iCs/>
          <w:spacing w:val="-2"/>
        </w:rPr>
        <w:t>Einheit</w:t>
      </w:r>
    </w:p>
    <w:tbl>
      <w:tblPr>
        <w:tblStyle w:val="TableNormal"/>
        <w:tblW w:w="5000" w:type="pct"/>
        <w:tblBorders>
          <w:top w:val="single" w:sz="4" w:space="0" w:color="000000"/>
          <w:bottom w:val="single" w:sz="4" w:space="0" w:color="000000"/>
          <w:insideH w:val="single" w:sz="4" w:space="0" w:color="000000"/>
        </w:tblBorders>
        <w:tblCellMar>
          <w:left w:w="57" w:type="dxa"/>
          <w:right w:w="57" w:type="dxa"/>
        </w:tblCellMar>
        <w:tblLook w:val="01E0" w:firstRow="1" w:lastRow="1" w:firstColumn="1" w:lastColumn="1" w:noHBand="0" w:noVBand="0"/>
      </w:tblPr>
      <w:tblGrid>
        <w:gridCol w:w="1361"/>
        <w:gridCol w:w="1618"/>
        <w:gridCol w:w="3048"/>
        <w:gridCol w:w="3045"/>
      </w:tblGrid>
      <w:tr w:rsidR="00FF7799" w:rsidRPr="00E73F6F" w14:paraId="11E92462" w14:textId="77777777" w:rsidTr="00270173">
        <w:trPr>
          <w:trHeight w:val="325"/>
          <w:tblHeader/>
        </w:trPr>
        <w:tc>
          <w:tcPr>
            <w:tcW w:w="1641" w:type="pct"/>
            <w:gridSpan w:val="2"/>
            <w:vMerge w:val="restart"/>
            <w:shd w:val="clear" w:color="auto" w:fill="FFC000" w:themeFill="accent4"/>
          </w:tcPr>
          <w:p w14:paraId="31FFCF35" w14:textId="77777777" w:rsidR="00FF7799" w:rsidRPr="0046221A" w:rsidRDefault="00FF7799" w:rsidP="004B4862">
            <w:pPr>
              <w:pStyle w:val="StandardText"/>
              <w:spacing w:after="120"/>
              <w:jc w:val="center"/>
              <w:rPr>
                <w:b/>
                <w:lang w:val="de-DE"/>
              </w:rPr>
            </w:pPr>
          </w:p>
        </w:tc>
        <w:tc>
          <w:tcPr>
            <w:tcW w:w="3359" w:type="pct"/>
            <w:gridSpan w:val="2"/>
            <w:shd w:val="clear" w:color="auto" w:fill="FFC000" w:themeFill="accent4"/>
          </w:tcPr>
          <w:p w14:paraId="3DBCDFF9" w14:textId="77777777" w:rsidR="00FF7799" w:rsidRPr="00E73F6F" w:rsidRDefault="00FF7799" w:rsidP="004B4862">
            <w:pPr>
              <w:pStyle w:val="StandardText"/>
              <w:spacing w:after="120"/>
              <w:jc w:val="center"/>
              <w:rPr>
                <w:b/>
                <w:lang w:val="de-DE"/>
              </w:rPr>
            </w:pPr>
            <w:r w:rsidRPr="00E73F6F">
              <w:rPr>
                <w:b/>
                <w:lang w:val="de-DE"/>
              </w:rPr>
              <w:t>Politische</w:t>
            </w:r>
            <w:r w:rsidRPr="00E73F6F">
              <w:rPr>
                <w:b/>
                <w:spacing w:val="-5"/>
                <w:lang w:val="de-DE"/>
              </w:rPr>
              <w:t xml:space="preserve"> </w:t>
            </w:r>
            <w:r w:rsidRPr="00E73F6F">
              <w:rPr>
                <w:b/>
                <w:spacing w:val="-2"/>
                <w:lang w:val="de-DE"/>
              </w:rPr>
              <w:t>Einheit</w:t>
            </w:r>
          </w:p>
        </w:tc>
      </w:tr>
      <w:tr w:rsidR="00FF7799" w:rsidRPr="00E73F6F" w14:paraId="6BA7C0D5" w14:textId="77777777" w:rsidTr="000F7B43">
        <w:trPr>
          <w:trHeight w:val="325"/>
          <w:tblHeader/>
        </w:trPr>
        <w:tc>
          <w:tcPr>
            <w:tcW w:w="1641" w:type="pct"/>
            <w:gridSpan w:val="2"/>
            <w:vMerge/>
            <w:shd w:val="clear" w:color="auto" w:fill="FFC000" w:themeFill="accent4"/>
          </w:tcPr>
          <w:p w14:paraId="38257DAC" w14:textId="77777777" w:rsidR="00FF7799" w:rsidRPr="0046221A" w:rsidRDefault="00FF7799" w:rsidP="004B4862">
            <w:pPr>
              <w:pStyle w:val="StandardText"/>
              <w:spacing w:after="120"/>
              <w:jc w:val="center"/>
              <w:rPr>
                <w:b/>
                <w:lang w:val="de-DE"/>
              </w:rPr>
            </w:pPr>
          </w:p>
        </w:tc>
        <w:tc>
          <w:tcPr>
            <w:tcW w:w="1680" w:type="pct"/>
            <w:shd w:val="clear" w:color="auto" w:fill="FFF2CC" w:themeFill="accent4" w:themeFillTint="33"/>
          </w:tcPr>
          <w:p w14:paraId="1153008F" w14:textId="77777777" w:rsidR="00FF7799" w:rsidRPr="00E73F6F" w:rsidRDefault="00FF7799" w:rsidP="004B4862">
            <w:pPr>
              <w:pStyle w:val="StandardText"/>
              <w:spacing w:after="120"/>
              <w:jc w:val="center"/>
              <w:rPr>
                <w:lang w:val="de-DE"/>
              </w:rPr>
            </w:pPr>
            <w:r w:rsidRPr="00E73F6F">
              <w:rPr>
                <w:spacing w:val="-5"/>
                <w:lang w:val="de-DE"/>
              </w:rPr>
              <w:t>ja</w:t>
            </w:r>
          </w:p>
        </w:tc>
        <w:tc>
          <w:tcPr>
            <w:tcW w:w="1679" w:type="pct"/>
            <w:shd w:val="clear" w:color="auto" w:fill="FFF2CC" w:themeFill="accent4" w:themeFillTint="33"/>
          </w:tcPr>
          <w:p w14:paraId="384935F5" w14:textId="77777777" w:rsidR="00FF7799" w:rsidRPr="00E73F6F" w:rsidRDefault="00FF7799" w:rsidP="004B4862">
            <w:pPr>
              <w:pStyle w:val="StandardText"/>
              <w:spacing w:after="120"/>
              <w:jc w:val="center"/>
              <w:rPr>
                <w:lang w:val="de-DE"/>
              </w:rPr>
            </w:pPr>
            <w:r w:rsidRPr="00E73F6F">
              <w:rPr>
                <w:spacing w:val="-4"/>
                <w:lang w:val="de-DE"/>
              </w:rPr>
              <w:t>nein</w:t>
            </w:r>
          </w:p>
        </w:tc>
      </w:tr>
      <w:tr w:rsidR="00FF7799" w:rsidRPr="00E73F6F" w14:paraId="0F42D66B" w14:textId="77777777" w:rsidTr="000F7B43">
        <w:trPr>
          <w:trHeight w:val="355"/>
        </w:trPr>
        <w:tc>
          <w:tcPr>
            <w:tcW w:w="750" w:type="pct"/>
            <w:vMerge w:val="restart"/>
            <w:shd w:val="clear" w:color="auto" w:fill="FFC000" w:themeFill="accent4"/>
          </w:tcPr>
          <w:p w14:paraId="1D9D9A80" w14:textId="77777777" w:rsidR="00FF7799" w:rsidRPr="0046221A" w:rsidRDefault="00FF7799" w:rsidP="0046221A">
            <w:pPr>
              <w:pStyle w:val="StandardText"/>
              <w:spacing w:after="120"/>
              <w:jc w:val="center"/>
              <w:rPr>
                <w:b/>
                <w:lang w:val="de-DE"/>
              </w:rPr>
            </w:pPr>
            <w:r w:rsidRPr="0046221A">
              <w:rPr>
                <w:b/>
                <w:lang w:val="de-DE"/>
              </w:rPr>
              <w:t>Sozio</w:t>
            </w:r>
            <w:r w:rsidR="000F7B43">
              <w:rPr>
                <w:b/>
                <w:lang w:val="de-DE"/>
              </w:rPr>
              <w:t>-</w:t>
            </w:r>
            <w:r w:rsidR="000F7B43">
              <w:rPr>
                <w:b/>
                <w:lang w:val="de-DE"/>
              </w:rPr>
              <w:br/>
            </w:r>
            <w:r w:rsidRPr="0046221A">
              <w:rPr>
                <w:b/>
                <w:lang w:val="de-DE"/>
              </w:rPr>
              <w:t>kulturelle</w:t>
            </w:r>
            <w:r w:rsidRPr="0046221A">
              <w:rPr>
                <w:b/>
                <w:lang w:val="de-DE"/>
              </w:rPr>
              <w:br/>
              <w:t>Einheit</w:t>
            </w:r>
          </w:p>
        </w:tc>
        <w:tc>
          <w:tcPr>
            <w:tcW w:w="892" w:type="pct"/>
            <w:shd w:val="clear" w:color="auto" w:fill="FFF2CC" w:themeFill="accent4" w:themeFillTint="33"/>
          </w:tcPr>
          <w:p w14:paraId="423CE25D" w14:textId="77777777" w:rsidR="00FF7799" w:rsidRPr="00E73F6F" w:rsidRDefault="00FF7799" w:rsidP="004B4862">
            <w:pPr>
              <w:pStyle w:val="StandardText"/>
              <w:spacing w:after="120"/>
              <w:jc w:val="center"/>
              <w:rPr>
                <w:lang w:val="de-DE"/>
              </w:rPr>
            </w:pPr>
            <w:r w:rsidRPr="00E73F6F">
              <w:rPr>
                <w:spacing w:val="-5"/>
                <w:lang w:val="de-DE"/>
              </w:rPr>
              <w:t>ja</w:t>
            </w:r>
          </w:p>
        </w:tc>
        <w:tc>
          <w:tcPr>
            <w:tcW w:w="1680" w:type="pct"/>
          </w:tcPr>
          <w:p w14:paraId="34C4D6AA" w14:textId="77777777" w:rsidR="00FF7799" w:rsidRPr="00E73F6F" w:rsidRDefault="00FF7799" w:rsidP="004B4862">
            <w:pPr>
              <w:pStyle w:val="StandardText"/>
              <w:jc w:val="center"/>
              <w:rPr>
                <w:lang w:val="de-DE"/>
              </w:rPr>
            </w:pPr>
            <w:r w:rsidRPr="00E73F6F">
              <w:rPr>
                <w:spacing w:val="-2"/>
                <w:lang w:val="de-DE"/>
              </w:rPr>
              <w:t>Nationalstaat</w:t>
            </w:r>
          </w:p>
        </w:tc>
        <w:tc>
          <w:tcPr>
            <w:tcW w:w="1679" w:type="pct"/>
          </w:tcPr>
          <w:p w14:paraId="7E6BF92B" w14:textId="77777777" w:rsidR="00FF7799" w:rsidRPr="00E73F6F" w:rsidRDefault="00FF7799" w:rsidP="004B4862">
            <w:pPr>
              <w:pStyle w:val="StandardText"/>
              <w:jc w:val="center"/>
              <w:rPr>
                <w:lang w:val="de-DE"/>
              </w:rPr>
            </w:pPr>
            <w:r w:rsidRPr="00E73F6F">
              <w:rPr>
                <w:spacing w:val="-2"/>
                <w:lang w:val="de-DE"/>
              </w:rPr>
              <w:t>Kulturnation</w:t>
            </w:r>
          </w:p>
        </w:tc>
      </w:tr>
      <w:tr w:rsidR="00FF7799" w:rsidRPr="00E73F6F" w14:paraId="26BD5DD6" w14:textId="77777777" w:rsidTr="000F7B43">
        <w:trPr>
          <w:trHeight w:val="323"/>
        </w:trPr>
        <w:tc>
          <w:tcPr>
            <w:tcW w:w="750" w:type="pct"/>
            <w:vMerge/>
            <w:shd w:val="clear" w:color="auto" w:fill="FFC000" w:themeFill="accent4"/>
          </w:tcPr>
          <w:p w14:paraId="12287AA6" w14:textId="77777777" w:rsidR="00FF7799" w:rsidRPr="00E73F6F" w:rsidRDefault="00FF7799" w:rsidP="004B4862">
            <w:pPr>
              <w:pStyle w:val="StandardText"/>
              <w:spacing w:after="120"/>
              <w:rPr>
                <w:lang w:val="de-DE"/>
              </w:rPr>
            </w:pPr>
          </w:p>
        </w:tc>
        <w:tc>
          <w:tcPr>
            <w:tcW w:w="892" w:type="pct"/>
            <w:shd w:val="clear" w:color="auto" w:fill="FFF2CC" w:themeFill="accent4" w:themeFillTint="33"/>
          </w:tcPr>
          <w:p w14:paraId="35F5F97D" w14:textId="77777777" w:rsidR="00FF7799" w:rsidRPr="00E73F6F" w:rsidRDefault="00FF7799" w:rsidP="004B4862">
            <w:pPr>
              <w:pStyle w:val="StandardText"/>
              <w:spacing w:after="120"/>
              <w:jc w:val="center"/>
              <w:rPr>
                <w:lang w:val="de-DE"/>
              </w:rPr>
            </w:pPr>
            <w:r w:rsidRPr="00E73F6F">
              <w:rPr>
                <w:spacing w:val="-4"/>
                <w:lang w:val="de-DE"/>
              </w:rPr>
              <w:t>nein</w:t>
            </w:r>
          </w:p>
        </w:tc>
        <w:tc>
          <w:tcPr>
            <w:tcW w:w="1680" w:type="pct"/>
          </w:tcPr>
          <w:p w14:paraId="3870F951" w14:textId="77777777" w:rsidR="00FF7799" w:rsidRPr="00E73F6F" w:rsidRDefault="00FF7799" w:rsidP="004B4862">
            <w:pPr>
              <w:pStyle w:val="StandardText"/>
              <w:jc w:val="center"/>
              <w:rPr>
                <w:lang w:val="de-DE"/>
              </w:rPr>
            </w:pPr>
            <w:r w:rsidRPr="00E73F6F">
              <w:rPr>
                <w:spacing w:val="-2"/>
                <w:lang w:val="de-DE"/>
              </w:rPr>
              <w:t>Nationalitätenstaat</w:t>
            </w:r>
          </w:p>
        </w:tc>
        <w:tc>
          <w:tcPr>
            <w:tcW w:w="1679" w:type="pct"/>
            <w:shd w:val="clear" w:color="auto" w:fill="C0C0C0"/>
          </w:tcPr>
          <w:p w14:paraId="61196826" w14:textId="77777777" w:rsidR="00FF7799" w:rsidRPr="00E73F6F" w:rsidRDefault="00FF7799" w:rsidP="004B4862">
            <w:pPr>
              <w:pStyle w:val="StandardText"/>
              <w:jc w:val="center"/>
              <w:rPr>
                <w:lang w:val="de-DE"/>
              </w:rPr>
            </w:pPr>
          </w:p>
        </w:tc>
      </w:tr>
    </w:tbl>
    <w:p w14:paraId="49C5A106" w14:textId="77777777" w:rsidR="00FF7799" w:rsidRPr="00E73F6F" w:rsidRDefault="00FF7799" w:rsidP="004B4862">
      <w:pPr>
        <w:pStyle w:val="Quellen"/>
      </w:pPr>
      <w:r w:rsidRPr="00E73F6F">
        <w:rPr>
          <w:spacing w:val="-2"/>
        </w:rPr>
        <w:t>Quelle:</w:t>
      </w:r>
      <w:r w:rsidRPr="00E73F6F">
        <w:tab/>
        <w:t>in</w:t>
      </w:r>
      <w:r w:rsidRPr="00E73F6F">
        <w:rPr>
          <w:spacing w:val="-1"/>
        </w:rPr>
        <w:t xml:space="preserve"> </w:t>
      </w:r>
      <w:r w:rsidRPr="00E73F6F">
        <w:t>Anlehnung an Mauritz</w:t>
      </w:r>
      <w:r w:rsidRPr="00E73F6F">
        <w:rPr>
          <w:spacing w:val="-3"/>
        </w:rPr>
        <w:t xml:space="preserve"> </w:t>
      </w:r>
      <w:r w:rsidRPr="00E73F6F">
        <w:t>(1996,</w:t>
      </w:r>
      <w:r w:rsidRPr="00E73F6F">
        <w:rPr>
          <w:spacing w:val="-1"/>
        </w:rPr>
        <w:t xml:space="preserve"> </w:t>
      </w:r>
      <w:r w:rsidRPr="00E73F6F">
        <w:rPr>
          <w:spacing w:val="-2"/>
        </w:rPr>
        <w:t>S.31).</w:t>
      </w:r>
    </w:p>
    <w:p w14:paraId="3DBF4B8E" w14:textId="77777777" w:rsidR="00FF7799" w:rsidRPr="00E73F6F" w:rsidRDefault="00FF7799" w:rsidP="00862DBA">
      <w:pPr>
        <w:rPr>
          <w:sz w:val="24"/>
          <w:szCs w:val="24"/>
        </w:rPr>
      </w:pPr>
    </w:p>
    <w:p w14:paraId="6EC26166" w14:textId="77777777" w:rsidR="00FF7799" w:rsidRPr="000F7B43" w:rsidRDefault="00FF7799" w:rsidP="004B4862">
      <w:pPr>
        <w:pStyle w:val="StandardText"/>
        <w:rPr>
          <w:sz w:val="22"/>
          <w:szCs w:val="22"/>
        </w:rPr>
      </w:pPr>
      <w:r w:rsidRPr="005A3D38">
        <w:rPr>
          <w:b/>
          <w:i/>
          <w:sz w:val="22"/>
          <w:szCs w:val="22"/>
          <w:lang w:val="en-US"/>
        </w:rPr>
        <w:lastRenderedPageBreak/>
        <w:t>Literatur:</w:t>
      </w:r>
      <w:r w:rsidRPr="005A3D38">
        <w:rPr>
          <w:b/>
          <w:sz w:val="22"/>
          <w:szCs w:val="22"/>
          <w:lang w:val="en-US"/>
        </w:rPr>
        <w:t xml:space="preserve"> </w:t>
      </w:r>
      <w:r w:rsidRPr="005A3D38">
        <w:rPr>
          <w:sz w:val="22"/>
          <w:szCs w:val="22"/>
          <w:lang w:val="en-US"/>
        </w:rPr>
        <w:t>Galtung, J</w:t>
      </w:r>
      <w:r w:rsidRPr="000F7B43">
        <w:rPr>
          <w:sz w:val="22"/>
          <w:szCs w:val="22"/>
          <w:lang w:val="en-US"/>
        </w:rPr>
        <w:t>. (1982): On the Meaning of Nation, in: Niessen, M.; Peschar, J.L.</w:t>
      </w:r>
      <w:r w:rsidRPr="000F7B43">
        <w:rPr>
          <w:spacing w:val="40"/>
          <w:sz w:val="22"/>
          <w:szCs w:val="22"/>
          <w:lang w:val="en-US"/>
        </w:rPr>
        <w:t xml:space="preserve"> </w:t>
      </w:r>
      <w:r w:rsidRPr="000F7B43">
        <w:rPr>
          <w:sz w:val="22"/>
          <w:szCs w:val="22"/>
          <w:lang w:val="en-US"/>
        </w:rPr>
        <w:t>(Eds.),</w:t>
      </w:r>
      <w:r w:rsidRPr="000F7B43">
        <w:rPr>
          <w:spacing w:val="61"/>
          <w:sz w:val="22"/>
          <w:szCs w:val="22"/>
          <w:lang w:val="en-US"/>
        </w:rPr>
        <w:t xml:space="preserve"> </w:t>
      </w:r>
      <w:r w:rsidRPr="000F7B43">
        <w:rPr>
          <w:sz w:val="22"/>
          <w:szCs w:val="22"/>
          <w:lang w:val="en-US"/>
        </w:rPr>
        <w:t>International</w:t>
      </w:r>
      <w:r w:rsidRPr="000F7B43">
        <w:rPr>
          <w:spacing w:val="59"/>
          <w:sz w:val="22"/>
          <w:szCs w:val="22"/>
          <w:lang w:val="en-US"/>
        </w:rPr>
        <w:t xml:space="preserve"> </w:t>
      </w:r>
      <w:r w:rsidRPr="000F7B43">
        <w:rPr>
          <w:sz w:val="22"/>
          <w:szCs w:val="22"/>
          <w:lang w:val="en-US"/>
        </w:rPr>
        <w:t>Comparative</w:t>
      </w:r>
      <w:r w:rsidRPr="000F7B43">
        <w:rPr>
          <w:spacing w:val="59"/>
          <w:sz w:val="22"/>
          <w:szCs w:val="22"/>
          <w:lang w:val="en-US"/>
        </w:rPr>
        <w:t xml:space="preserve"> </w:t>
      </w:r>
      <w:r w:rsidRPr="000F7B43">
        <w:rPr>
          <w:sz w:val="22"/>
          <w:szCs w:val="22"/>
          <w:lang w:val="en-US"/>
        </w:rPr>
        <w:t>Research.</w:t>
      </w:r>
      <w:r w:rsidRPr="000F7B43">
        <w:rPr>
          <w:spacing w:val="61"/>
          <w:sz w:val="22"/>
          <w:szCs w:val="22"/>
          <w:lang w:val="en-US"/>
        </w:rPr>
        <w:t xml:space="preserve"> </w:t>
      </w:r>
      <w:r w:rsidRPr="000F7B43">
        <w:rPr>
          <w:sz w:val="22"/>
          <w:szCs w:val="22"/>
          <w:lang w:val="en-US"/>
        </w:rPr>
        <w:t>Problems</w:t>
      </w:r>
      <w:r w:rsidRPr="000F7B43">
        <w:rPr>
          <w:spacing w:val="60"/>
          <w:sz w:val="22"/>
          <w:szCs w:val="22"/>
          <w:lang w:val="en-US"/>
        </w:rPr>
        <w:t xml:space="preserve"> </w:t>
      </w:r>
      <w:r w:rsidRPr="000F7B43">
        <w:rPr>
          <w:sz w:val="22"/>
          <w:szCs w:val="22"/>
          <w:lang w:val="en-US"/>
        </w:rPr>
        <w:t>of</w:t>
      </w:r>
      <w:r w:rsidRPr="000F7B43">
        <w:rPr>
          <w:spacing w:val="60"/>
          <w:sz w:val="22"/>
          <w:szCs w:val="22"/>
          <w:lang w:val="en-US"/>
        </w:rPr>
        <w:t xml:space="preserve"> </w:t>
      </w:r>
      <w:r w:rsidRPr="000F7B43">
        <w:rPr>
          <w:sz w:val="22"/>
          <w:szCs w:val="22"/>
          <w:lang w:val="en-US"/>
        </w:rPr>
        <w:t>Theory,</w:t>
      </w:r>
      <w:r w:rsidRPr="000F7B43">
        <w:rPr>
          <w:spacing w:val="61"/>
          <w:sz w:val="22"/>
          <w:szCs w:val="22"/>
          <w:lang w:val="en-US"/>
        </w:rPr>
        <w:t xml:space="preserve"> </w:t>
      </w:r>
      <w:r w:rsidRPr="000F7B43">
        <w:rPr>
          <w:sz w:val="22"/>
          <w:szCs w:val="22"/>
          <w:lang w:val="en-US"/>
        </w:rPr>
        <w:t>Methodology</w:t>
      </w:r>
      <w:r w:rsidRPr="000F7B43">
        <w:rPr>
          <w:spacing w:val="63"/>
          <w:sz w:val="22"/>
          <w:szCs w:val="22"/>
          <w:lang w:val="en-US"/>
        </w:rPr>
        <w:t xml:space="preserve"> </w:t>
      </w:r>
      <w:r w:rsidRPr="000F7B43">
        <w:rPr>
          <w:spacing w:val="-5"/>
          <w:sz w:val="22"/>
          <w:szCs w:val="22"/>
          <w:lang w:val="en-US"/>
        </w:rPr>
        <w:t xml:space="preserve">and </w:t>
      </w:r>
      <w:r w:rsidRPr="000F7B43">
        <w:rPr>
          <w:sz w:val="22"/>
          <w:szCs w:val="22"/>
          <w:lang w:val="en-US"/>
        </w:rPr>
        <w:t>Organisation in Eastern and Western Europe, 17-34, Oxford: Pergamon.</w:t>
      </w:r>
      <w:r w:rsidRPr="000F7B43">
        <w:rPr>
          <w:spacing w:val="80"/>
          <w:sz w:val="22"/>
          <w:szCs w:val="22"/>
          <w:lang w:val="en-US"/>
        </w:rPr>
        <w:t xml:space="preserve"> </w:t>
      </w:r>
      <w:r w:rsidRPr="000F7B43">
        <w:rPr>
          <w:sz w:val="22"/>
          <w:szCs w:val="22"/>
        </w:rPr>
        <w:t>Mauritz, H.</w:t>
      </w:r>
      <w:r w:rsidRPr="000F7B43">
        <w:rPr>
          <w:spacing w:val="40"/>
          <w:sz w:val="22"/>
          <w:szCs w:val="22"/>
        </w:rPr>
        <w:t xml:space="preserve"> </w:t>
      </w:r>
      <w:r w:rsidRPr="000F7B43">
        <w:rPr>
          <w:sz w:val="22"/>
          <w:szCs w:val="22"/>
        </w:rPr>
        <w:t>(1996):</w:t>
      </w:r>
      <w:r w:rsidRPr="000F7B43">
        <w:rPr>
          <w:spacing w:val="-4"/>
          <w:sz w:val="22"/>
          <w:szCs w:val="22"/>
        </w:rPr>
        <w:t xml:space="preserve"> </w:t>
      </w:r>
      <w:r w:rsidRPr="000F7B43">
        <w:rPr>
          <w:sz w:val="22"/>
          <w:szCs w:val="22"/>
        </w:rPr>
        <w:t>Interkulturelle</w:t>
      </w:r>
      <w:r w:rsidRPr="000F7B43">
        <w:rPr>
          <w:spacing w:val="-5"/>
          <w:sz w:val="22"/>
          <w:szCs w:val="22"/>
        </w:rPr>
        <w:t xml:space="preserve"> </w:t>
      </w:r>
      <w:r w:rsidRPr="000F7B43">
        <w:rPr>
          <w:sz w:val="22"/>
          <w:szCs w:val="22"/>
        </w:rPr>
        <w:t>Geschäftsbeziehungen,</w:t>
      </w:r>
      <w:r w:rsidRPr="000F7B43">
        <w:rPr>
          <w:spacing w:val="-5"/>
          <w:sz w:val="22"/>
          <w:szCs w:val="22"/>
        </w:rPr>
        <w:t xml:space="preserve"> </w:t>
      </w:r>
      <w:r w:rsidRPr="000F7B43">
        <w:rPr>
          <w:sz w:val="22"/>
          <w:szCs w:val="22"/>
        </w:rPr>
        <w:t>Wiesbaden:</w:t>
      </w:r>
      <w:r w:rsidRPr="000F7B43">
        <w:rPr>
          <w:spacing w:val="-7"/>
          <w:sz w:val="22"/>
          <w:szCs w:val="22"/>
        </w:rPr>
        <w:t xml:space="preserve"> </w:t>
      </w:r>
      <w:r w:rsidRPr="000F7B43">
        <w:rPr>
          <w:sz w:val="22"/>
          <w:szCs w:val="22"/>
        </w:rPr>
        <w:t>Gabler.</w:t>
      </w:r>
      <w:r w:rsidRPr="000F7B43">
        <w:rPr>
          <w:spacing w:val="80"/>
          <w:sz w:val="22"/>
          <w:szCs w:val="22"/>
        </w:rPr>
        <w:t xml:space="preserve"> </w:t>
      </w:r>
      <w:r w:rsidRPr="000F7B43">
        <w:rPr>
          <w:sz w:val="22"/>
          <w:szCs w:val="22"/>
        </w:rPr>
        <w:t>Reich.</w:t>
      </w:r>
      <w:r w:rsidRPr="000F7B43">
        <w:rPr>
          <w:spacing w:val="-7"/>
          <w:sz w:val="22"/>
          <w:szCs w:val="22"/>
        </w:rPr>
        <w:t xml:space="preserve"> </w:t>
      </w:r>
      <w:r w:rsidRPr="000F7B43">
        <w:rPr>
          <w:sz w:val="22"/>
          <w:szCs w:val="22"/>
        </w:rPr>
        <w:t>R.B.</w:t>
      </w:r>
      <w:r w:rsidRPr="000F7B43">
        <w:rPr>
          <w:spacing w:val="-4"/>
          <w:sz w:val="22"/>
          <w:szCs w:val="22"/>
        </w:rPr>
        <w:t xml:space="preserve"> </w:t>
      </w:r>
      <w:r w:rsidRPr="000F7B43">
        <w:rPr>
          <w:sz w:val="22"/>
          <w:szCs w:val="22"/>
        </w:rPr>
        <w:t>(1993):</w:t>
      </w:r>
      <w:r w:rsidRPr="000F7B43">
        <w:rPr>
          <w:spacing w:val="-4"/>
          <w:sz w:val="22"/>
          <w:szCs w:val="22"/>
        </w:rPr>
        <w:t xml:space="preserve"> </w:t>
      </w:r>
      <w:r w:rsidRPr="000F7B43">
        <w:rPr>
          <w:sz w:val="22"/>
          <w:szCs w:val="22"/>
        </w:rPr>
        <w:t>Die</w:t>
      </w:r>
      <w:r w:rsidRPr="000F7B43">
        <w:rPr>
          <w:spacing w:val="40"/>
          <w:sz w:val="22"/>
          <w:szCs w:val="22"/>
        </w:rPr>
        <w:t xml:space="preserve"> </w:t>
      </w:r>
      <w:r w:rsidRPr="000F7B43">
        <w:rPr>
          <w:sz w:val="22"/>
          <w:szCs w:val="22"/>
        </w:rPr>
        <w:t>neue Weltwirtschaft. Das Ende der nationalen Ökonomie, Berlin: Ullstein.</w:t>
      </w:r>
    </w:p>
    <w:p w14:paraId="321F6597" w14:textId="77777777" w:rsidR="00FF7799" w:rsidRPr="000F7B43" w:rsidRDefault="00FF7799" w:rsidP="004B4862">
      <w:pPr>
        <w:pStyle w:val="StandardText"/>
        <w:rPr>
          <w:sz w:val="22"/>
          <w:szCs w:val="22"/>
        </w:rPr>
      </w:pPr>
    </w:p>
    <w:p w14:paraId="79891C1B" w14:textId="77777777" w:rsidR="00FF7799" w:rsidRPr="00D23B88" w:rsidRDefault="00FF7799" w:rsidP="007C28B7">
      <w:pPr>
        <w:pStyle w:val="berschrift1"/>
        <w:rPr>
          <w:bCs w:val="0"/>
          <w:color w:val="2E74B5"/>
          <w:sz w:val="22"/>
        </w:rPr>
      </w:pPr>
      <w:r w:rsidRPr="00D23B88">
        <w:rPr>
          <w:bCs w:val="0"/>
          <w:color w:val="2E74B5"/>
          <w:sz w:val="22"/>
        </w:rPr>
        <w:t>Nationalcharakter</w:t>
      </w:r>
    </w:p>
    <w:p w14:paraId="1C08383D" w14:textId="77777777" w:rsidR="00FF7799" w:rsidRPr="00E73F6F" w:rsidRDefault="00FF7799" w:rsidP="00315EF6">
      <w:pPr>
        <w:pStyle w:val="StandardText"/>
      </w:pPr>
      <w:r w:rsidRPr="00E73F6F">
        <w:t>der</w:t>
      </w:r>
      <w:r w:rsidRPr="00E73F6F">
        <w:rPr>
          <w:spacing w:val="-6"/>
        </w:rPr>
        <w:t xml:space="preserve"> </w:t>
      </w:r>
      <w:r w:rsidRPr="00E73F6F">
        <w:t>den</w:t>
      </w:r>
      <w:r w:rsidRPr="00E73F6F">
        <w:rPr>
          <w:spacing w:val="-5"/>
        </w:rPr>
        <w:t xml:space="preserve"> </w:t>
      </w:r>
      <w:r w:rsidRPr="00E73F6F">
        <w:t>Angehörigen</w:t>
      </w:r>
      <w:r w:rsidRPr="00E73F6F">
        <w:rPr>
          <w:spacing w:val="-5"/>
        </w:rPr>
        <w:t xml:space="preserve"> </w:t>
      </w:r>
      <w:r w:rsidRPr="00E73F6F">
        <w:t>einer</w:t>
      </w:r>
      <w:r w:rsidRPr="00E73F6F">
        <w:rPr>
          <w:spacing w:val="-5"/>
        </w:rPr>
        <w:t xml:space="preserve"> </w:t>
      </w:r>
      <w:r w:rsidRPr="00E73F6F">
        <w:rPr>
          <w:rFonts w:ascii="Cambria Math" w:hAnsi="Cambria Math" w:cs="Cambria Math"/>
        </w:rPr>
        <w:t>⇒</w:t>
      </w:r>
      <w:r w:rsidRPr="00E73F6F">
        <w:rPr>
          <w:spacing w:val="-1"/>
        </w:rPr>
        <w:t xml:space="preserve"> </w:t>
      </w:r>
      <w:r w:rsidRPr="00E73F6F">
        <w:t>Nation</w:t>
      </w:r>
      <w:r w:rsidRPr="00E73F6F">
        <w:rPr>
          <w:spacing w:val="-5"/>
        </w:rPr>
        <w:t xml:space="preserve"> </w:t>
      </w:r>
      <w:r w:rsidRPr="00E73F6F">
        <w:t>simplifizierend</w:t>
      </w:r>
      <w:r w:rsidRPr="00E73F6F">
        <w:rPr>
          <w:spacing w:val="-5"/>
        </w:rPr>
        <w:t xml:space="preserve"> </w:t>
      </w:r>
      <w:r w:rsidRPr="00E73F6F">
        <w:t>zugeschriebene</w:t>
      </w:r>
      <w:r w:rsidRPr="00E73F6F">
        <w:rPr>
          <w:spacing w:val="-7"/>
        </w:rPr>
        <w:t xml:space="preserve"> </w:t>
      </w:r>
      <w:r w:rsidRPr="00E73F6F">
        <w:t>„Charakter“. Formal und inhaltlich entspricht der Nationalcharakter dem für diese Nation angeblich charakteristischen, stereotypisierenden Eigenschaftsprofil. Der Nationalcharakter ...</w:t>
      </w:r>
    </w:p>
    <w:p w14:paraId="02623C87" w14:textId="77777777" w:rsidR="00FF7799" w:rsidRPr="00E73F6F" w:rsidRDefault="00FF7799" w:rsidP="00D23B88">
      <w:pPr>
        <w:pStyle w:val="StandardTextAufzhlung"/>
        <w:ind w:left="567"/>
      </w:pPr>
      <w:r w:rsidRPr="00E73F6F">
        <w:t>verschiedener</w:t>
      </w:r>
      <w:r w:rsidRPr="00E73F6F">
        <w:rPr>
          <w:spacing w:val="-5"/>
        </w:rPr>
        <w:t xml:space="preserve"> </w:t>
      </w:r>
      <w:r w:rsidRPr="00E73F6F">
        <w:t>Länder</w:t>
      </w:r>
      <w:r w:rsidRPr="00E73F6F">
        <w:rPr>
          <w:spacing w:val="-8"/>
        </w:rPr>
        <w:t xml:space="preserve"> </w:t>
      </w:r>
      <w:r w:rsidRPr="00E73F6F">
        <w:t>unterscheidet</w:t>
      </w:r>
      <w:r w:rsidRPr="00E73F6F">
        <w:rPr>
          <w:spacing w:val="-5"/>
        </w:rPr>
        <w:t xml:space="preserve"> </w:t>
      </w:r>
      <w:r w:rsidRPr="00E73F6F">
        <w:t>sich</w:t>
      </w:r>
      <w:r w:rsidRPr="00E73F6F">
        <w:rPr>
          <w:spacing w:val="-5"/>
        </w:rPr>
        <w:t xml:space="preserve"> </w:t>
      </w:r>
      <w:r w:rsidRPr="00E73F6F">
        <w:t>häufig</w:t>
      </w:r>
      <w:r w:rsidRPr="00E73F6F">
        <w:rPr>
          <w:spacing w:val="-6"/>
        </w:rPr>
        <w:t xml:space="preserve"> </w:t>
      </w:r>
      <w:r w:rsidRPr="00E73F6F">
        <w:t>nicht</w:t>
      </w:r>
      <w:r w:rsidRPr="00E73F6F">
        <w:rPr>
          <w:spacing w:val="-5"/>
        </w:rPr>
        <w:t xml:space="preserve"> </w:t>
      </w:r>
      <w:r w:rsidRPr="00E73F6F">
        <w:t>gesamthaft, sondern nur in Teilbereichen,</w:t>
      </w:r>
    </w:p>
    <w:p w14:paraId="0DB8BBA5" w14:textId="77777777" w:rsidR="00FF7799" w:rsidRPr="00E73F6F" w:rsidRDefault="00FF7799" w:rsidP="00D23B88">
      <w:pPr>
        <w:pStyle w:val="StandardTextAufzhlung"/>
        <w:ind w:left="567"/>
      </w:pPr>
      <w:r w:rsidRPr="00E73F6F">
        <w:t>ist</w:t>
      </w:r>
      <w:r w:rsidRPr="00E73F6F">
        <w:rPr>
          <w:spacing w:val="-4"/>
        </w:rPr>
        <w:t xml:space="preserve"> </w:t>
      </w:r>
      <w:r w:rsidRPr="00E73F6F">
        <w:t>im</w:t>
      </w:r>
      <w:r w:rsidRPr="00E73F6F">
        <w:rPr>
          <w:spacing w:val="-4"/>
        </w:rPr>
        <w:t xml:space="preserve"> </w:t>
      </w:r>
      <w:r w:rsidRPr="00E73F6F">
        <w:t>Normalfall</w:t>
      </w:r>
      <w:r w:rsidRPr="00E73F6F">
        <w:rPr>
          <w:spacing w:val="-6"/>
        </w:rPr>
        <w:t xml:space="preserve"> </w:t>
      </w:r>
      <w:r w:rsidRPr="00E73F6F">
        <w:t>weitgehend</w:t>
      </w:r>
      <w:r w:rsidRPr="00E73F6F">
        <w:rPr>
          <w:spacing w:val="-3"/>
        </w:rPr>
        <w:t xml:space="preserve"> </w:t>
      </w:r>
      <w:r w:rsidRPr="00E73F6F">
        <w:t>stabil,</w:t>
      </w:r>
      <w:r w:rsidRPr="00E73F6F">
        <w:rPr>
          <w:spacing w:val="-4"/>
        </w:rPr>
        <w:t xml:space="preserve"> </w:t>
      </w:r>
      <w:r w:rsidRPr="00E73F6F">
        <w:t>kann sich</w:t>
      </w:r>
      <w:r w:rsidRPr="00E73F6F">
        <w:rPr>
          <w:spacing w:val="-5"/>
        </w:rPr>
        <w:t xml:space="preserve"> </w:t>
      </w:r>
      <w:r w:rsidRPr="00E73F6F">
        <w:t>jedoch</w:t>
      </w:r>
      <w:r w:rsidRPr="00E73F6F">
        <w:rPr>
          <w:spacing w:val="-2"/>
        </w:rPr>
        <w:t xml:space="preserve"> </w:t>
      </w:r>
      <w:r w:rsidRPr="00E73F6F">
        <w:t>im</w:t>
      </w:r>
      <w:r w:rsidRPr="00E73F6F">
        <w:rPr>
          <w:spacing w:val="-6"/>
        </w:rPr>
        <w:t xml:space="preserve"> </w:t>
      </w:r>
      <w:r w:rsidRPr="00E73F6F">
        <w:t>Zeitablauf aufgrund gravierender ökonomischer, politischer oder sozialer Entwicklungen in einer Gesellschaft nach und nach verändern,</w:t>
      </w:r>
    </w:p>
    <w:p w14:paraId="0303700E" w14:textId="77777777" w:rsidR="00FF7799" w:rsidRPr="00E73F6F" w:rsidRDefault="00FF7799" w:rsidP="00D23B88">
      <w:pPr>
        <w:pStyle w:val="StandardTextAufzhlung"/>
        <w:ind w:left="567"/>
      </w:pPr>
      <w:r w:rsidRPr="00E73F6F">
        <w:t>kann als zentrale Größe verstanden werden, welche die individuellen Persönlichkeitsmerkmale</w:t>
      </w:r>
      <w:r w:rsidRPr="00E73F6F">
        <w:rPr>
          <w:spacing w:val="-7"/>
        </w:rPr>
        <w:t xml:space="preserve"> </w:t>
      </w:r>
      <w:r w:rsidRPr="00E73F6F">
        <w:t>der</w:t>
      </w:r>
      <w:r w:rsidRPr="00E73F6F">
        <w:rPr>
          <w:spacing w:val="-7"/>
        </w:rPr>
        <w:t xml:space="preserve"> </w:t>
      </w:r>
      <w:r w:rsidRPr="00E73F6F">
        <w:t>Mitglieder</w:t>
      </w:r>
      <w:r w:rsidRPr="00E73F6F">
        <w:rPr>
          <w:spacing w:val="-7"/>
        </w:rPr>
        <w:t xml:space="preserve"> </w:t>
      </w:r>
      <w:r w:rsidRPr="00E73F6F">
        <w:t>einer</w:t>
      </w:r>
      <w:r w:rsidRPr="00E73F6F">
        <w:rPr>
          <w:spacing w:val="-7"/>
        </w:rPr>
        <w:t xml:space="preserve"> </w:t>
      </w:r>
      <w:r w:rsidRPr="00E73F6F">
        <w:t>Gesellschaft</w:t>
      </w:r>
      <w:r w:rsidRPr="00E73F6F">
        <w:rPr>
          <w:spacing w:val="-8"/>
        </w:rPr>
        <w:t xml:space="preserve"> </w:t>
      </w:r>
      <w:r w:rsidRPr="00E73F6F">
        <w:t>beeinflusst,</w:t>
      </w:r>
    </w:p>
    <w:p w14:paraId="35EE7BAA" w14:textId="77777777" w:rsidR="00FF7799" w:rsidRPr="00E73F6F" w:rsidRDefault="00FF7799" w:rsidP="00D23B88">
      <w:pPr>
        <w:pStyle w:val="StandardTextAufzhlung"/>
        <w:ind w:left="567"/>
      </w:pPr>
      <w:r w:rsidRPr="00E73F6F">
        <w:t>kann</w:t>
      </w:r>
      <w:r w:rsidRPr="00E73F6F">
        <w:rPr>
          <w:spacing w:val="-2"/>
        </w:rPr>
        <w:t xml:space="preserve"> </w:t>
      </w:r>
      <w:r w:rsidRPr="00E73F6F">
        <w:t>nicht</w:t>
      </w:r>
      <w:r w:rsidRPr="00E73F6F">
        <w:rPr>
          <w:spacing w:val="-3"/>
        </w:rPr>
        <w:t xml:space="preserve"> </w:t>
      </w:r>
      <w:r w:rsidRPr="00E73F6F">
        <w:t>mit</w:t>
      </w:r>
      <w:r w:rsidRPr="00E73F6F">
        <w:rPr>
          <w:spacing w:val="-3"/>
        </w:rPr>
        <w:t xml:space="preserve"> </w:t>
      </w:r>
      <w:r w:rsidRPr="00E73F6F">
        <w:t>der</w:t>
      </w:r>
      <w:r w:rsidRPr="00E73F6F">
        <w:rPr>
          <w:spacing w:val="-1"/>
        </w:rPr>
        <w:t xml:space="preserve"> </w:t>
      </w:r>
      <w:r w:rsidRPr="00E73F6F">
        <w:t>Gesellschaft oder</w:t>
      </w:r>
      <w:r w:rsidRPr="00E73F6F">
        <w:rPr>
          <w:spacing w:val="-1"/>
        </w:rPr>
        <w:t xml:space="preserve"> </w:t>
      </w:r>
      <w:r w:rsidRPr="00E73F6F">
        <w:t>der</w:t>
      </w:r>
      <w:r w:rsidRPr="00E73F6F">
        <w:rPr>
          <w:spacing w:val="-1"/>
        </w:rPr>
        <w:t xml:space="preserve"> </w:t>
      </w:r>
      <w:r w:rsidRPr="00E73F6F">
        <w:t>Nation</w:t>
      </w:r>
      <w:r w:rsidRPr="00E73F6F">
        <w:rPr>
          <w:spacing w:val="-2"/>
        </w:rPr>
        <w:t xml:space="preserve"> </w:t>
      </w:r>
      <w:r w:rsidRPr="00E73F6F">
        <w:t xml:space="preserve">gleichgesetzt </w:t>
      </w:r>
      <w:r w:rsidRPr="00E73F6F">
        <w:rPr>
          <w:spacing w:val="-2"/>
        </w:rPr>
        <w:t>werden,</w:t>
      </w:r>
    </w:p>
    <w:p w14:paraId="190AF38B" w14:textId="77777777" w:rsidR="00FF7799" w:rsidRPr="00E73F6F" w:rsidRDefault="00FF7799" w:rsidP="00D23B88">
      <w:pPr>
        <w:pStyle w:val="StandardTextAufzhlung"/>
        <w:ind w:left="567"/>
      </w:pPr>
      <w:r w:rsidRPr="00E73F6F">
        <w:t>wird</w:t>
      </w:r>
      <w:r w:rsidRPr="00E73F6F">
        <w:rPr>
          <w:spacing w:val="-5"/>
        </w:rPr>
        <w:t xml:space="preserve"> </w:t>
      </w:r>
      <w:r w:rsidRPr="00E73F6F">
        <w:t>zumeist</w:t>
      </w:r>
      <w:r w:rsidRPr="00E73F6F">
        <w:rPr>
          <w:spacing w:val="-4"/>
        </w:rPr>
        <w:t xml:space="preserve"> </w:t>
      </w:r>
      <w:r w:rsidRPr="00E73F6F">
        <w:t>in</w:t>
      </w:r>
      <w:r w:rsidRPr="00E73F6F">
        <w:rPr>
          <w:spacing w:val="-5"/>
        </w:rPr>
        <w:t xml:space="preserve"> </w:t>
      </w:r>
      <w:r w:rsidRPr="00E73F6F">
        <w:t>Analogie</w:t>
      </w:r>
      <w:r w:rsidRPr="00E73F6F">
        <w:rPr>
          <w:spacing w:val="-6"/>
        </w:rPr>
        <w:t xml:space="preserve"> </w:t>
      </w:r>
      <w:r w:rsidRPr="00E73F6F">
        <w:t>zum</w:t>
      </w:r>
      <w:r w:rsidRPr="00E73F6F">
        <w:rPr>
          <w:spacing w:val="-6"/>
        </w:rPr>
        <w:t xml:space="preserve"> </w:t>
      </w:r>
      <w:r w:rsidRPr="00E73F6F">
        <w:t>Eigenschaftsprofil</w:t>
      </w:r>
      <w:r w:rsidRPr="00E73F6F">
        <w:rPr>
          <w:spacing w:val="-5"/>
        </w:rPr>
        <w:t xml:space="preserve"> </w:t>
      </w:r>
      <w:r w:rsidRPr="00E73F6F">
        <w:t>erwachsener Personen untersucht.</w:t>
      </w:r>
    </w:p>
    <w:p w14:paraId="542DCA40" w14:textId="77777777" w:rsidR="00FF7799" w:rsidRPr="00E73F6F" w:rsidRDefault="00FF7799" w:rsidP="00315EF6">
      <w:pPr>
        <w:pStyle w:val="StandardText"/>
      </w:pPr>
    </w:p>
    <w:p w14:paraId="7BB4E046" w14:textId="77777777" w:rsidR="00FF7799" w:rsidRPr="000F7B43" w:rsidRDefault="00FF7799" w:rsidP="00315EF6">
      <w:pPr>
        <w:pStyle w:val="StandardText"/>
        <w:rPr>
          <w:lang w:val="en-US"/>
        </w:rPr>
      </w:pPr>
      <w:r w:rsidRPr="00E617D2">
        <w:rPr>
          <w:b/>
          <w:i/>
          <w:lang w:val="en-US"/>
        </w:rPr>
        <w:t>Literatur:</w:t>
      </w:r>
      <w:r w:rsidRPr="00E617D2">
        <w:rPr>
          <w:b/>
          <w:i/>
          <w:spacing w:val="-4"/>
          <w:lang w:val="en-US"/>
        </w:rPr>
        <w:t xml:space="preserve"> </w:t>
      </w:r>
      <w:r w:rsidRPr="000F7B43">
        <w:rPr>
          <w:lang w:val="en-US"/>
        </w:rPr>
        <w:t>Clark,</w:t>
      </w:r>
      <w:r w:rsidRPr="000F7B43">
        <w:rPr>
          <w:spacing w:val="-4"/>
          <w:lang w:val="en-US"/>
        </w:rPr>
        <w:t xml:space="preserve"> </w:t>
      </w:r>
      <w:r w:rsidRPr="000F7B43">
        <w:rPr>
          <w:lang w:val="en-US"/>
        </w:rPr>
        <w:t>T.</w:t>
      </w:r>
      <w:r w:rsidRPr="000F7B43">
        <w:rPr>
          <w:spacing w:val="-1"/>
          <w:lang w:val="en-US"/>
        </w:rPr>
        <w:t xml:space="preserve"> </w:t>
      </w:r>
      <w:r w:rsidRPr="000F7B43">
        <w:rPr>
          <w:lang w:val="en-US"/>
        </w:rPr>
        <w:t>(1990):</w:t>
      </w:r>
      <w:r w:rsidRPr="000F7B43">
        <w:rPr>
          <w:spacing w:val="-3"/>
          <w:lang w:val="en-US"/>
        </w:rPr>
        <w:t xml:space="preserve"> </w:t>
      </w:r>
      <w:r w:rsidRPr="000F7B43">
        <w:rPr>
          <w:lang w:val="en-US"/>
        </w:rPr>
        <w:t>International</w:t>
      </w:r>
      <w:r w:rsidRPr="000F7B43">
        <w:rPr>
          <w:spacing w:val="-3"/>
          <w:lang w:val="en-US"/>
        </w:rPr>
        <w:t xml:space="preserve"> </w:t>
      </w:r>
      <w:r w:rsidRPr="000F7B43">
        <w:rPr>
          <w:lang w:val="en-US"/>
        </w:rPr>
        <w:t>Marketing</w:t>
      </w:r>
      <w:r w:rsidRPr="000F7B43">
        <w:rPr>
          <w:spacing w:val="-3"/>
          <w:lang w:val="en-US"/>
        </w:rPr>
        <w:t xml:space="preserve"> </w:t>
      </w:r>
      <w:r w:rsidRPr="000F7B43">
        <w:rPr>
          <w:lang w:val="en-US"/>
        </w:rPr>
        <w:t>and</w:t>
      </w:r>
      <w:r w:rsidRPr="000F7B43">
        <w:rPr>
          <w:spacing w:val="-3"/>
          <w:lang w:val="en-US"/>
        </w:rPr>
        <w:t xml:space="preserve"> </w:t>
      </w:r>
      <w:r w:rsidRPr="000F7B43">
        <w:rPr>
          <w:lang w:val="en-US"/>
        </w:rPr>
        <w:t>National</w:t>
      </w:r>
      <w:r w:rsidRPr="000F7B43">
        <w:rPr>
          <w:spacing w:val="-3"/>
          <w:lang w:val="en-US"/>
        </w:rPr>
        <w:t xml:space="preserve"> </w:t>
      </w:r>
      <w:r w:rsidRPr="000F7B43">
        <w:rPr>
          <w:lang w:val="en-US"/>
        </w:rPr>
        <w:t>Character.</w:t>
      </w:r>
      <w:r w:rsidRPr="000F7B43">
        <w:rPr>
          <w:spacing w:val="-1"/>
          <w:lang w:val="en-US"/>
        </w:rPr>
        <w:t xml:space="preserve"> </w:t>
      </w:r>
      <w:r w:rsidRPr="000F7B43">
        <w:rPr>
          <w:lang w:val="en-US"/>
        </w:rPr>
        <w:t>A</w:t>
      </w:r>
      <w:r w:rsidRPr="000F7B43">
        <w:rPr>
          <w:spacing w:val="-3"/>
          <w:lang w:val="en-US"/>
        </w:rPr>
        <w:t xml:space="preserve"> </w:t>
      </w:r>
      <w:r w:rsidRPr="000F7B43">
        <w:rPr>
          <w:lang w:val="en-US"/>
        </w:rPr>
        <w:t>Review</w:t>
      </w:r>
      <w:r w:rsidRPr="000F7B43">
        <w:rPr>
          <w:spacing w:val="-5"/>
          <w:lang w:val="en-US"/>
        </w:rPr>
        <w:t xml:space="preserve"> </w:t>
      </w:r>
      <w:r w:rsidRPr="000F7B43">
        <w:rPr>
          <w:lang w:val="en-US"/>
        </w:rPr>
        <w:t>and</w:t>
      </w:r>
      <w:r w:rsidRPr="000F7B43">
        <w:rPr>
          <w:spacing w:val="40"/>
          <w:lang w:val="en-US"/>
        </w:rPr>
        <w:t xml:space="preserve"> </w:t>
      </w:r>
      <w:r w:rsidRPr="000F7B43">
        <w:rPr>
          <w:lang w:val="en-US"/>
        </w:rPr>
        <w:t>Proposal for an Integrative Theory, Journal of Marketing, 54(4): 66-79.</w:t>
      </w:r>
      <w:r w:rsidRPr="000F7B43">
        <w:rPr>
          <w:spacing w:val="40"/>
          <w:lang w:val="en-US"/>
        </w:rPr>
        <w:t xml:space="preserve"> </w:t>
      </w:r>
      <w:r w:rsidRPr="000F7B43">
        <w:t>Gierl, H.;</w:t>
      </w:r>
      <w:r w:rsidRPr="000F7B43">
        <w:rPr>
          <w:spacing w:val="40"/>
        </w:rPr>
        <w:t xml:space="preserve"> </w:t>
      </w:r>
      <w:r w:rsidRPr="000F7B43">
        <w:t>Praxmarer, S.; Komba, L. (1998): Der Einfluss des Nationalcharakters auf die</w:t>
      </w:r>
      <w:r w:rsidRPr="000F7B43">
        <w:rPr>
          <w:spacing w:val="40"/>
        </w:rPr>
        <w:t xml:space="preserve"> </w:t>
      </w:r>
      <w:r w:rsidRPr="000F7B43">
        <w:t xml:space="preserve">Kundenzufriedenheit und das Beschwerdeverhalten. </w:t>
      </w:r>
      <w:r w:rsidRPr="000F7B43">
        <w:rPr>
          <w:lang w:val="en-US"/>
        </w:rPr>
        <w:t>Eine empirische Untersuchung bei</w:t>
      </w:r>
      <w:r w:rsidRPr="000F7B43">
        <w:rPr>
          <w:spacing w:val="40"/>
          <w:lang w:val="en-US"/>
        </w:rPr>
        <w:t xml:space="preserve"> </w:t>
      </w:r>
      <w:r w:rsidRPr="000F7B43">
        <w:rPr>
          <w:lang w:val="en-US"/>
        </w:rPr>
        <w:t>Touristen in Tansania, Tourismus Journal, 2(3): 377-399.</w:t>
      </w:r>
      <w:r w:rsidRPr="000F7B43">
        <w:rPr>
          <w:spacing w:val="40"/>
          <w:lang w:val="en-US"/>
        </w:rPr>
        <w:t xml:space="preserve"> </w:t>
      </w:r>
      <w:r w:rsidRPr="000F7B43">
        <w:rPr>
          <w:lang w:val="en-US"/>
        </w:rPr>
        <w:t>Peabody, D. (1985): National</w:t>
      </w:r>
      <w:r w:rsidRPr="000F7B43">
        <w:rPr>
          <w:spacing w:val="40"/>
          <w:lang w:val="en-US"/>
        </w:rPr>
        <w:t xml:space="preserve"> </w:t>
      </w:r>
      <w:r w:rsidRPr="000F7B43">
        <w:rPr>
          <w:lang w:val="en-US"/>
        </w:rPr>
        <w:t>Characteristics. European Monographs in Social Psychology, Cambridge: Cambridge</w:t>
      </w:r>
      <w:r w:rsidRPr="000F7B43">
        <w:rPr>
          <w:spacing w:val="40"/>
          <w:lang w:val="en-US"/>
        </w:rPr>
        <w:t xml:space="preserve"> </w:t>
      </w:r>
      <w:r w:rsidRPr="000F7B43">
        <w:rPr>
          <w:lang w:val="en-US"/>
        </w:rPr>
        <w:t>University Press.</w:t>
      </w:r>
    </w:p>
    <w:p w14:paraId="650CD444" w14:textId="77777777" w:rsidR="00FF7799" w:rsidRPr="00E35FFF" w:rsidRDefault="00FF7799" w:rsidP="00315EF6">
      <w:pPr>
        <w:pStyle w:val="StandardText"/>
        <w:rPr>
          <w:lang w:val="en-US"/>
        </w:rPr>
      </w:pPr>
    </w:p>
    <w:p w14:paraId="383811D7" w14:textId="77777777" w:rsidR="00FF7799" w:rsidRPr="00D23B88" w:rsidRDefault="00FF7799" w:rsidP="007C28B7">
      <w:pPr>
        <w:pStyle w:val="berschrift1"/>
        <w:rPr>
          <w:bCs w:val="0"/>
          <w:color w:val="2E74B5"/>
          <w:sz w:val="22"/>
        </w:rPr>
      </w:pPr>
      <w:r w:rsidRPr="00D23B88">
        <w:rPr>
          <w:bCs w:val="0"/>
          <w:color w:val="2E74B5"/>
          <w:sz w:val="22"/>
        </w:rPr>
        <w:t>Nationalismus</w:t>
      </w:r>
    </w:p>
    <w:p w14:paraId="5A11367A" w14:textId="77777777" w:rsidR="00FF7799" w:rsidRPr="00E73F6F" w:rsidRDefault="00FF7799" w:rsidP="00315EF6">
      <w:pPr>
        <w:pStyle w:val="StandardText"/>
      </w:pPr>
      <w:r w:rsidRPr="00E73F6F">
        <w:t>Ideologie, welche den Staat nicht als Gemeinschaft aller Bürger betrachtet, sondern wichtige Merkmale der ethnischen Mehrheit (z.B. Sprache, Hautfarbe) als Ideal betrachtet. Der Nationalismus unterstellt die Einheit von Volk und Raum, die mit allen Mitteln angestrebt wird. Vornehmlich unter dem Einfluss der spezifisch deutschen, in hohem Maße politischen Romantik wurde der Begriff „Volk“ zunehmend demagogisch verfälscht und instrumentalisiert: Das Volk als die entscheidende Kraft des Lebens und der geschichtlichen Entwicklung. Als vulgärer Anthropologismus („Volkskörper“, „Volksgesundheit“ etc.) trugen diese Gedanken schließlich wesentlich dazu bei, dass sich etwa ab 1875 in Deutschland ein militanter antisemitischer Nationalismus formierte, der „national“ in „völkisch“ eindeutschte (</w:t>
      </w:r>
      <w:r w:rsidRPr="00E73F6F">
        <w:rPr>
          <w:rFonts w:ascii="Cambria Math" w:hAnsi="Cambria Math" w:cs="Cambria Math"/>
        </w:rPr>
        <w:t>⇒</w:t>
      </w:r>
      <w:r w:rsidRPr="00E73F6F">
        <w:t xml:space="preserve"> Rassismus).</w:t>
      </w:r>
    </w:p>
    <w:p w14:paraId="6163CA33" w14:textId="77777777" w:rsidR="00FF7799" w:rsidRPr="00E73F6F" w:rsidRDefault="00FF7799" w:rsidP="00315EF6">
      <w:pPr>
        <w:pStyle w:val="StandardText"/>
      </w:pPr>
    </w:p>
    <w:p w14:paraId="4C50E53C" w14:textId="77777777" w:rsidR="00FF7799" w:rsidRPr="00D23B88" w:rsidRDefault="00FF7799" w:rsidP="007C28B7">
      <w:pPr>
        <w:pStyle w:val="berschrift1"/>
        <w:rPr>
          <w:bCs w:val="0"/>
          <w:color w:val="2E74B5"/>
          <w:sz w:val="22"/>
        </w:rPr>
      </w:pPr>
      <w:r w:rsidRPr="00D23B88">
        <w:rPr>
          <w:bCs w:val="0"/>
          <w:color w:val="2E74B5"/>
          <w:sz w:val="22"/>
        </w:rPr>
        <w:t>Nationalstaat</w:t>
      </w:r>
    </w:p>
    <w:p w14:paraId="56771F6A" w14:textId="77777777" w:rsidR="00E617D2" w:rsidRDefault="00FF7799" w:rsidP="00086BF9">
      <w:pPr>
        <w:pStyle w:val="StandardText"/>
        <w:rPr>
          <w:noProof/>
        </w:rPr>
      </w:pPr>
      <w:r w:rsidRPr="00E73F6F">
        <w:t>Staat, dessen Bürger einem einzigen Volk angehören. Japan ist nicht zuletzt aufgrund</w:t>
      </w:r>
      <w:r w:rsidRPr="00E73F6F">
        <w:rPr>
          <w:spacing w:val="-12"/>
        </w:rPr>
        <w:t xml:space="preserve"> </w:t>
      </w:r>
      <w:r w:rsidRPr="00E73F6F">
        <w:t>seiner</w:t>
      </w:r>
      <w:r w:rsidRPr="00E73F6F">
        <w:rPr>
          <w:spacing w:val="-11"/>
        </w:rPr>
        <w:t xml:space="preserve"> </w:t>
      </w:r>
      <w:r w:rsidRPr="00E73F6F">
        <w:t>jahrhundertelangen</w:t>
      </w:r>
      <w:r w:rsidRPr="00E73F6F">
        <w:rPr>
          <w:spacing w:val="-11"/>
        </w:rPr>
        <w:t xml:space="preserve"> </w:t>
      </w:r>
      <w:r w:rsidRPr="00E73F6F">
        <w:t>Abschottungspolitik</w:t>
      </w:r>
      <w:r w:rsidRPr="00E73F6F">
        <w:rPr>
          <w:spacing w:val="-11"/>
        </w:rPr>
        <w:t xml:space="preserve"> </w:t>
      </w:r>
      <w:r w:rsidRPr="00E73F6F">
        <w:t>klassisches</w:t>
      </w:r>
      <w:r w:rsidRPr="00E73F6F">
        <w:rPr>
          <w:spacing w:val="-12"/>
        </w:rPr>
        <w:t xml:space="preserve"> </w:t>
      </w:r>
      <w:r w:rsidRPr="00E73F6F">
        <w:t>Beispiel</w:t>
      </w:r>
      <w:r w:rsidRPr="00E73F6F">
        <w:rPr>
          <w:spacing w:val="-11"/>
        </w:rPr>
        <w:t xml:space="preserve"> </w:t>
      </w:r>
      <w:r w:rsidRPr="00E73F6F">
        <w:t>eines kulturell homogenen Nationalstaates. Gegenbeispiele, d.h. heterogene Länder, sind u.a. Brasilien, Indien und Russland. Mit Einschränkungen gilt dies auch für Deutschland. Denn die zahlreichen, von den verschiedenen Migrationsströmen (z.B.</w:t>
      </w:r>
      <w:r w:rsidRPr="00E73F6F">
        <w:rPr>
          <w:spacing w:val="37"/>
        </w:rPr>
        <w:t xml:space="preserve"> </w:t>
      </w:r>
      <w:r w:rsidRPr="00E73F6F">
        <w:t>Hugenotten,</w:t>
      </w:r>
      <w:r w:rsidRPr="00E73F6F">
        <w:rPr>
          <w:spacing w:val="37"/>
        </w:rPr>
        <w:t xml:space="preserve"> </w:t>
      </w:r>
      <w:r w:rsidRPr="00E73F6F">
        <w:t>Juden,</w:t>
      </w:r>
      <w:r w:rsidRPr="00E73F6F">
        <w:rPr>
          <w:spacing w:val="37"/>
        </w:rPr>
        <w:t xml:space="preserve"> </w:t>
      </w:r>
      <w:r w:rsidRPr="00E73F6F">
        <w:t>Polen,</w:t>
      </w:r>
      <w:r w:rsidRPr="00E73F6F">
        <w:rPr>
          <w:spacing w:val="35"/>
        </w:rPr>
        <w:t xml:space="preserve"> </w:t>
      </w:r>
      <w:r w:rsidRPr="00E73F6F">
        <w:t>Waldenser)</w:t>
      </w:r>
      <w:r w:rsidRPr="00E73F6F">
        <w:rPr>
          <w:spacing w:val="36"/>
        </w:rPr>
        <w:t xml:space="preserve"> </w:t>
      </w:r>
      <w:r w:rsidRPr="00E73F6F">
        <w:t>geprägten</w:t>
      </w:r>
      <w:r w:rsidRPr="00E73F6F">
        <w:rPr>
          <w:spacing w:val="35"/>
        </w:rPr>
        <w:t xml:space="preserve"> </w:t>
      </w:r>
      <w:r w:rsidRPr="00E73F6F">
        <w:t>deutschen</w:t>
      </w:r>
      <w:r w:rsidRPr="00E73F6F">
        <w:rPr>
          <w:spacing w:val="38"/>
        </w:rPr>
        <w:t xml:space="preserve"> </w:t>
      </w:r>
      <w:r w:rsidRPr="00E73F6F">
        <w:rPr>
          <w:spacing w:val="-2"/>
        </w:rPr>
        <w:lastRenderedPageBreak/>
        <w:t xml:space="preserve">Kleinstaaten </w:t>
      </w:r>
      <w:r w:rsidRPr="00E73F6F">
        <w:t>haben sich erst in der</w:t>
      </w:r>
      <w:r w:rsidRPr="00E73F6F">
        <w:rPr>
          <w:spacing w:val="-1"/>
        </w:rPr>
        <w:t xml:space="preserve"> </w:t>
      </w:r>
      <w:r w:rsidRPr="00E73F6F">
        <w:t>zweiten Hälfte des 19. Jahrhunderts</w:t>
      </w:r>
      <w:r w:rsidRPr="00E73F6F">
        <w:rPr>
          <w:spacing w:val="-1"/>
        </w:rPr>
        <w:t xml:space="preserve"> </w:t>
      </w:r>
      <w:r w:rsidRPr="00E73F6F">
        <w:t>zu einem Nationalstaat zusammengeschlossen,</w:t>
      </w:r>
      <w:r w:rsidRPr="00E73F6F">
        <w:rPr>
          <w:spacing w:val="-1"/>
        </w:rPr>
        <w:t xml:space="preserve"> </w:t>
      </w:r>
      <w:r w:rsidRPr="00E73F6F">
        <w:t>weshalb die</w:t>
      </w:r>
      <w:r w:rsidRPr="00E73F6F">
        <w:rPr>
          <w:spacing w:val="-2"/>
        </w:rPr>
        <w:t xml:space="preserve"> </w:t>
      </w:r>
      <w:r w:rsidRPr="00E73F6F">
        <w:t>deutsche</w:t>
      </w:r>
      <w:r w:rsidRPr="00E73F6F">
        <w:rPr>
          <w:spacing w:val="-2"/>
        </w:rPr>
        <w:t xml:space="preserve"> </w:t>
      </w:r>
      <w:r w:rsidRPr="00E73F6F">
        <w:t>Kultur</w:t>
      </w:r>
      <w:r w:rsidRPr="00E73F6F">
        <w:rPr>
          <w:spacing w:val="-2"/>
        </w:rPr>
        <w:t xml:space="preserve"> </w:t>
      </w:r>
      <w:r w:rsidRPr="00E73F6F">
        <w:t>eine</w:t>
      </w:r>
      <w:r w:rsidRPr="00E73F6F">
        <w:rPr>
          <w:spacing w:val="-2"/>
        </w:rPr>
        <w:t xml:space="preserve"> </w:t>
      </w:r>
      <w:r w:rsidRPr="00E73F6F">
        <w:t>Mischkultur</w:t>
      </w:r>
      <w:r w:rsidRPr="00E73F6F">
        <w:rPr>
          <w:spacing w:val="-2"/>
        </w:rPr>
        <w:t xml:space="preserve"> </w:t>
      </w:r>
      <w:r w:rsidRPr="00E73F6F">
        <w:t>ist,</w:t>
      </w:r>
      <w:r w:rsidRPr="00E73F6F">
        <w:rPr>
          <w:spacing w:val="-3"/>
        </w:rPr>
        <w:t xml:space="preserve"> </w:t>
      </w:r>
      <w:r w:rsidRPr="00E73F6F">
        <w:t>geprägt bzw. beeinflusst von den verschiedenen Nachbarkulturen. So beschreibt Forte (1992) im ersten Band seiner Romantrilogie, wie sich französisch-italienische Seidenweber, die im 18. Jahrhundert ins Rheinland eingewandert sind, und polnische Bergarbeiter, die im 19. Jahrhundert im Ruhrgebiet Arbeit fanden, verbanden. „Aus</w:t>
      </w:r>
      <w:r w:rsidRPr="00E73F6F">
        <w:rPr>
          <w:spacing w:val="-1"/>
        </w:rPr>
        <w:t xml:space="preserve"> </w:t>
      </w:r>
      <w:r w:rsidRPr="00E73F6F">
        <w:t>der</w:t>
      </w:r>
      <w:r w:rsidRPr="00E73F6F">
        <w:rPr>
          <w:spacing w:val="-1"/>
        </w:rPr>
        <w:t xml:space="preserve"> </w:t>
      </w:r>
      <w:r w:rsidRPr="00E73F6F">
        <w:t>Verbindung</w:t>
      </w:r>
      <w:r w:rsidRPr="00E73F6F">
        <w:rPr>
          <w:spacing w:val="-2"/>
        </w:rPr>
        <w:t xml:space="preserve"> </w:t>
      </w:r>
      <w:r w:rsidRPr="00E73F6F">
        <w:t>zwischen der</w:t>
      </w:r>
      <w:r w:rsidRPr="00E73F6F">
        <w:rPr>
          <w:spacing w:val="-1"/>
        </w:rPr>
        <w:t xml:space="preserve"> </w:t>
      </w:r>
      <w:r w:rsidRPr="00E73F6F">
        <w:t>mediterranen Leichtherzigkeit</w:t>
      </w:r>
      <w:r w:rsidRPr="00E73F6F">
        <w:rPr>
          <w:spacing w:val="-3"/>
        </w:rPr>
        <w:t xml:space="preserve"> </w:t>
      </w:r>
      <w:r w:rsidRPr="00E73F6F">
        <w:t xml:space="preserve">der einen Familie und der bäurisch-religiösen </w:t>
      </w:r>
      <w:r w:rsidR="00E617D2">
        <w:t xml:space="preserve">Duldsamkeit der anderen entstand </w:t>
      </w:r>
      <w:r w:rsidRPr="00E73F6F">
        <w:t xml:space="preserve">genau jener sentimentale, filou-hafte Katholizismus, </w:t>
      </w:r>
      <w:r w:rsidRPr="00E73F6F">
        <w:rPr>
          <w:noProof/>
        </w:rPr>
        <w:t xml:space="preserve">zwischen </w:t>
      </w:r>
      <w:r w:rsidR="00E617D2">
        <w:rPr>
          <w:noProof/>
        </w:rPr>
        <w:t>Patriotismus und Nationalismus.“</w:t>
      </w:r>
    </w:p>
    <w:p w14:paraId="2EE56A9E" w14:textId="77777777" w:rsidR="00FF7799" w:rsidRPr="00E73F6F" w:rsidRDefault="00FF7799" w:rsidP="00086BF9">
      <w:pPr>
        <w:pStyle w:val="StandardText"/>
      </w:pPr>
    </w:p>
    <w:p w14:paraId="3237FC6D" w14:textId="77777777" w:rsidR="00FF7799" w:rsidRPr="00D23B88" w:rsidRDefault="00FF7799" w:rsidP="007C28B7">
      <w:pPr>
        <w:pStyle w:val="berschrift1"/>
        <w:rPr>
          <w:bCs w:val="0"/>
          <w:color w:val="2E74B5"/>
          <w:sz w:val="22"/>
        </w:rPr>
      </w:pPr>
      <w:r w:rsidRPr="00D23B88">
        <w:rPr>
          <w:bCs w:val="0"/>
          <w:color w:val="2E74B5"/>
          <w:sz w:val="22"/>
        </w:rPr>
        <w:t>Nationalstolz</w:t>
      </w:r>
    </w:p>
    <w:p w14:paraId="28DBB0F3" w14:textId="77777777" w:rsidR="00FF7799" w:rsidRPr="00E73F6F" w:rsidRDefault="00E617D2" w:rsidP="00086BF9">
      <w:pPr>
        <w:pStyle w:val="StandardText"/>
      </w:pPr>
      <w:r>
        <w:t xml:space="preserve">von </w:t>
      </w:r>
      <w:r>
        <w:sym w:font="Symbol" w:char="F0DE"/>
      </w:r>
      <w:r>
        <w:t xml:space="preserve"> Patriotismus und Heimatliebe (</w:t>
      </w:r>
      <w:r>
        <w:sym w:font="Symbol" w:char="F0DE"/>
      </w:r>
      <w:r>
        <w:t xml:space="preserve"> Heimat) abzugrenzendes </w:t>
      </w:r>
      <w:r>
        <w:sym w:font="Symbol" w:char="F0DE"/>
      </w:r>
      <w:r w:rsidR="00FF7799" w:rsidRPr="00E73F6F">
        <w:t xml:space="preserve"> Konstrukt. Nationalstolz ist ein starkes Gefühl, das auf einer grundsätzlich positiven Bewertung der eigenen Nation beruht. Dieses Gefühl kann sich als Stolz auf die Nation als kollektivem Akteur („Wir Deutschen“) oder als Stolz auf einzelne kollektive Güter äußern (bspw. die nationale Hochkultur oder die Leistungen nationaler Sportmannschaften).</w:t>
      </w:r>
    </w:p>
    <w:p w14:paraId="0F201B78" w14:textId="77777777" w:rsidR="00FF7799" w:rsidRPr="00E73F6F" w:rsidRDefault="00FF7799" w:rsidP="00086BF9">
      <w:pPr>
        <w:pStyle w:val="StandardText"/>
      </w:pPr>
      <w:r w:rsidRPr="00E73F6F">
        <w:t xml:space="preserve">Der Begriff Nationalstolz wird häufig in einem negativen Zusammenhang verwendet, um eine </w:t>
      </w:r>
      <w:r w:rsidR="00270173" w:rsidRPr="00E73F6F">
        <w:t>übermäßig</w:t>
      </w:r>
      <w:r w:rsidRPr="00E73F6F">
        <w:t xml:space="preserve"> positive Bewertung des Eigenen und eine nicht zu rechtfertigende Abwertung des Fremden zu kritisieren (bspw. in Gestalt von Vorurteilen gegenüber ethnischen und religiösen Minderheiten. Unterstellt wird bisweilen eine Nähe zu faschistischem Gedankengut. Empirisch lässt sich nachweisen, dass allgemeiner Nationalstolz deutlicher mit fremdenfeindlichen Einstellungen korreliert als der Stolz auf einzelne kollektive Güter. Allgemeiner Nationa</w:t>
      </w:r>
      <w:r w:rsidR="00E617D2">
        <w:t xml:space="preserve">lstolz korreliert auch eng mit </w:t>
      </w:r>
      <w:r w:rsidR="00E617D2">
        <w:sym w:font="Symbol" w:char="F0DE"/>
      </w:r>
      <w:r w:rsidRPr="00E73F6F">
        <w:t xml:space="preserve"> Religiosität. Menschen, die stolz darauf sind, in einem bestimmten Land geboren zu sein (d.h. vor allem Iren, Inder, US-Amerikaner, Polen, Nigerianer und Türken), sagen auch, dass Gott für ihr Leben von großer Bedeutung ist. </w:t>
      </w:r>
    </w:p>
    <w:p w14:paraId="5DCA7F1E" w14:textId="77777777" w:rsidR="00FF7799" w:rsidRPr="00E617D2" w:rsidRDefault="00FF7799" w:rsidP="00086BF9">
      <w:pPr>
        <w:pStyle w:val="StandardText"/>
        <w:rPr>
          <w:sz w:val="22"/>
          <w:szCs w:val="22"/>
        </w:rPr>
      </w:pPr>
      <w:r w:rsidRPr="00E617D2">
        <w:rPr>
          <w:b/>
          <w:i/>
          <w:sz w:val="22"/>
          <w:szCs w:val="22"/>
        </w:rPr>
        <w:t>Literatur</w:t>
      </w:r>
      <w:r w:rsidRPr="00E617D2">
        <w:rPr>
          <w:i/>
          <w:sz w:val="22"/>
          <w:szCs w:val="22"/>
        </w:rPr>
        <w:t>:</w:t>
      </w:r>
      <w:r w:rsidRPr="00E617D2">
        <w:rPr>
          <w:sz w:val="22"/>
          <w:szCs w:val="22"/>
        </w:rPr>
        <w:t xml:space="preserve"> Fleiß, J.; Höllinger, F.; Kuzmics, H. (2009): Nationalstolz zwischen Patriotismus und Nationalismus? </w:t>
      </w:r>
      <w:r w:rsidRPr="00E617D2">
        <w:rPr>
          <w:iCs/>
          <w:sz w:val="22"/>
          <w:szCs w:val="22"/>
        </w:rPr>
        <w:t>Berliner Journal für Soziol</w:t>
      </w:r>
      <w:r w:rsidRPr="00E617D2">
        <w:rPr>
          <w:sz w:val="22"/>
          <w:szCs w:val="22"/>
        </w:rPr>
        <w:t>ogie, 19(3): 409–434.</w:t>
      </w:r>
    </w:p>
    <w:p w14:paraId="3C7B8867" w14:textId="77777777" w:rsidR="00E617D2" w:rsidRDefault="00E617D2" w:rsidP="007C28B7">
      <w:pPr>
        <w:pStyle w:val="berschrift1"/>
      </w:pPr>
    </w:p>
    <w:p w14:paraId="6A2C9D79" w14:textId="77777777" w:rsidR="00FF7799" w:rsidRPr="00E73F6F" w:rsidRDefault="00FF7799" w:rsidP="007C28B7">
      <w:pPr>
        <w:pStyle w:val="berschrift1"/>
      </w:pPr>
      <w:r w:rsidRPr="00D23B88">
        <w:rPr>
          <w:bCs w:val="0"/>
          <w:color w:val="2E74B5"/>
          <w:sz w:val="22"/>
        </w:rPr>
        <w:t>Nativismus</w:t>
      </w:r>
      <w:r w:rsidRPr="00E73F6F">
        <w:rPr>
          <w:spacing w:val="-14"/>
        </w:rPr>
        <w:t xml:space="preserve"> </w:t>
      </w:r>
      <w:r w:rsidRPr="00E73F6F">
        <w:rPr>
          <w:b w:val="0"/>
        </w:rPr>
        <w:t>→</w:t>
      </w:r>
      <w:r w:rsidRPr="00E73F6F">
        <w:rPr>
          <w:b w:val="0"/>
          <w:spacing w:val="-7"/>
        </w:rPr>
        <w:t xml:space="preserve"> </w:t>
      </w:r>
      <w:r w:rsidRPr="00E73F6F">
        <w:rPr>
          <w:b w:val="0"/>
        </w:rPr>
        <w:t>Determinismus</w:t>
      </w:r>
      <w:r w:rsidR="00E617D2">
        <w:rPr>
          <w:b w:val="0"/>
        </w:rPr>
        <w:t>;</w:t>
      </w:r>
      <w:r w:rsidRPr="00E73F6F">
        <w:rPr>
          <w:b w:val="0"/>
          <w:spacing w:val="-1"/>
        </w:rPr>
        <w:t xml:space="preserve"> </w:t>
      </w:r>
      <w:r w:rsidRPr="00E73F6F">
        <w:rPr>
          <w:b w:val="0"/>
        </w:rPr>
        <w:t>→</w:t>
      </w:r>
      <w:r w:rsidRPr="00E73F6F">
        <w:rPr>
          <w:b w:val="0"/>
          <w:spacing w:val="-2"/>
        </w:rPr>
        <w:t xml:space="preserve"> Empirismus</w:t>
      </w:r>
    </w:p>
    <w:p w14:paraId="4CA224CA" w14:textId="05F27F3B" w:rsidR="00FF7799" w:rsidRPr="00D23B88" w:rsidRDefault="00FF7799" w:rsidP="007C28B7">
      <w:pPr>
        <w:pStyle w:val="berschrift1"/>
        <w:rPr>
          <w:bCs w:val="0"/>
          <w:color w:val="2E74B5"/>
          <w:sz w:val="22"/>
        </w:rPr>
      </w:pPr>
      <w:r w:rsidRPr="00D23B88">
        <w:rPr>
          <w:bCs w:val="0"/>
          <w:color w:val="2E74B5"/>
          <w:sz w:val="22"/>
        </w:rPr>
        <w:t>Natur vs. Kultur</w:t>
      </w:r>
    </w:p>
    <w:p w14:paraId="036A4090" w14:textId="77777777" w:rsidR="00FF7799" w:rsidRPr="00E73F6F" w:rsidRDefault="00FF7799" w:rsidP="00086BF9">
      <w:pPr>
        <w:pStyle w:val="StandardText"/>
      </w:pPr>
      <w:r w:rsidRPr="00E73F6F">
        <w:t xml:space="preserve">mehrdeutige Kontroverse. Ausgangspunkt ist die von </w:t>
      </w:r>
      <w:r w:rsidRPr="00E73F6F">
        <w:rPr>
          <w:i/>
        </w:rPr>
        <w:t xml:space="preserve">Cicero </w:t>
      </w:r>
      <w:r w:rsidRPr="00E73F6F">
        <w:t>(106 – 43 v. Chr.) vorgenommene Unterscheidung, der die Philosophie mit ‘cultura animi‘ bezeichnete und von der ‘agricultura‘ abgrenzte. Gemäß schriftlichen Zeugnissen aus dieser Epoche verstan</w:t>
      </w:r>
      <w:r w:rsidR="00E617D2">
        <w:t xml:space="preserve">d man im 17. Jahrhundert unter </w:t>
      </w:r>
      <w:r w:rsidR="00E617D2">
        <w:sym w:font="Symbol" w:char="F0DE"/>
      </w:r>
      <w:r w:rsidRPr="00E73F6F">
        <w:t xml:space="preserve"> Kultur vor allem „Pflege“ bzw. „Ausbildung“ (vgl. Paul 1992, S.494). Darauf lässt sich vermutlich unser heutiges Wortverständnis von „kultiviert“ zurückführen.</w:t>
      </w:r>
    </w:p>
    <w:p w14:paraId="1E3B8C5C" w14:textId="77777777" w:rsidR="00FF7799" w:rsidRPr="00E73F6F" w:rsidRDefault="00FF7799" w:rsidP="00086BF9">
      <w:pPr>
        <w:pStyle w:val="StandardText"/>
      </w:pPr>
      <w:r w:rsidRPr="00E73F6F">
        <w:t>Zu Beginn des 20. Jahrhunderts wurde die „bedeutungsvolle“ Kultur von der „gleichgültigen“ Natur abgegrenzt. Da sie die „frei“ aus der Erde wachsenden (Natur-)Produkte hervorbringt, verkörpert die Natur in dieser Vorstellungswelt das von selbst Entstandene. Kultur hingegen ist das vom Menschen Geschaffene oder z.B. durch Ackern und Säen absichtlich Gepflegte (vgl. Rickert 1926, S.18). Der seinem Wesen nach „embryonale“ Mensch, der – anders als die Tierwelt – ohne eine angeborene zweckdienliche Ausstattung an Sinnen, Instinkten und Waffen auszukommen hat, muss die ihn umgebende, unwirtliche bzw. feindliche Natur zu seiner menschlichen Welt umarbeiten: zur Kultur (vgl. Gehlen 1962, S.36ff.).</w:t>
      </w:r>
    </w:p>
    <w:p w14:paraId="6D847A2A" w14:textId="77777777" w:rsidR="00FF7799" w:rsidRPr="00E73F6F" w:rsidRDefault="00FF7799" w:rsidP="00086BF9">
      <w:pPr>
        <w:pStyle w:val="StandardText"/>
      </w:pPr>
      <w:r w:rsidRPr="00E73F6F">
        <w:lastRenderedPageBreak/>
        <w:t>In Abgrenzung zur Natur beschreiben u.a. Geertz (1973) und Hall (1959) „Kultur“ (im Sinne von Landeskultur) als den gemeinsamen Wissensvorrat, welchen eine Gruppe von Menschen teilt und der sie von Mitgliedern anderer Kulturen unterscheidet. Zum gemeinsamen Wissensvorrat der indischen Gesellschaft etwa gehört, dass Mahatma Gandhi einen einfachen, fast asketischen Lebensstil propagiert und glaubhaft vorgelebt hat. In der westlichen Welt wird er hingegen vorrangig mit der Strategie des gewaltlosen Widerstands in Verbindung gebracht, mit deren Hilfe es Indien schließlich gelang, Großbritanniens Kolonialherrschaft zu beenden. Deshalb war die Verärgerung in Indien groß, als Montblanc International, ein zum Luxusgüterkonzern Richemont gehörender Hersteller hochwertiger Füllfederhalter, 2009 ausgerechnet zu Ehren Mahatma Gandhis eine Sonderedition seines exklusivsten Schreibgeräts (Verkaufspreis = 1,4 Mio. indische Rupien = 22.000 €) auf den Markt brachte. Denn die Symbolfigur der Selbstbestimmung der nicht-westlichen Welt „verabscheute Luxus und Produkte aus dem Ausland“ (Kazim 2010).</w:t>
      </w:r>
    </w:p>
    <w:p w14:paraId="0E4F87CF" w14:textId="77777777" w:rsidR="00FF7799" w:rsidRPr="00E617D2" w:rsidRDefault="00FF7799" w:rsidP="00086BF9">
      <w:pPr>
        <w:pStyle w:val="StandardText"/>
        <w:rPr>
          <w:bCs/>
          <w:sz w:val="22"/>
          <w:szCs w:val="22"/>
        </w:rPr>
      </w:pPr>
      <w:r w:rsidRPr="00E617D2">
        <w:rPr>
          <w:b/>
          <w:bCs/>
          <w:i/>
          <w:sz w:val="22"/>
          <w:szCs w:val="22"/>
          <w:lang w:val="en-US"/>
        </w:rPr>
        <w:t>Literatur:</w:t>
      </w:r>
      <w:r w:rsidRPr="00E617D2">
        <w:rPr>
          <w:b/>
          <w:bCs/>
          <w:sz w:val="22"/>
          <w:szCs w:val="22"/>
          <w:lang w:val="en-US"/>
        </w:rPr>
        <w:t xml:space="preserve"> </w:t>
      </w:r>
      <w:r w:rsidRPr="00E617D2">
        <w:rPr>
          <w:bCs/>
          <w:sz w:val="22"/>
          <w:szCs w:val="22"/>
          <w:lang w:val="en-US"/>
        </w:rPr>
        <w:t xml:space="preserve">Geertz, C. (1973): The Interpretation of Cultures. Selected Essays, New York: Basic Books. </w:t>
      </w:r>
      <w:r w:rsidRPr="00E617D2">
        <w:rPr>
          <w:bCs/>
          <w:sz w:val="22"/>
          <w:szCs w:val="22"/>
        </w:rPr>
        <w:t xml:space="preserve">Gehlen, A. (1962): Der Mensch. Seine Natur und seine Stellung in der Welt, Wiesbaden: Akademische Verlagsgesellschaft Athenäum. Hall, E.T. (1959): The Silent Language, Greenwich/CT: Faucett. Kazim, H. (2010): Inder schimpfen über Gandhi-Füller aus Deutschland. </w:t>
      </w:r>
      <w:hyperlink r:id="rId171" w:history="1">
        <w:r w:rsidRPr="00E617D2">
          <w:rPr>
            <w:rStyle w:val="Hyperlink"/>
            <w:bCs/>
            <w:sz w:val="22"/>
            <w:szCs w:val="22"/>
          </w:rPr>
          <w:t>http://www.spiegel.de/wirtschaft/ unternehmen/0,1518,druck-680541,00.html/</w:t>
        </w:r>
      </w:hyperlink>
      <w:r w:rsidRPr="00E617D2">
        <w:rPr>
          <w:bCs/>
          <w:sz w:val="22"/>
          <w:szCs w:val="22"/>
        </w:rPr>
        <w:t xml:space="preserve"> (01.02.2024). Paul, H. (1992): Deutsches Wörterbuch. Bedeutungsgeschichte und Aufbau unseres Wortschatzes, 9. Aufl., Tübingen: Niemeyer. Rickert, H. (1926): Kulturwissenschaft und Naturwissenschaft, 7. Aufl., Tübingen: Mohr.</w:t>
      </w:r>
    </w:p>
    <w:p w14:paraId="1C19CF11" w14:textId="77777777" w:rsidR="00FF7799" w:rsidRPr="00E73F6F" w:rsidRDefault="00FF7799" w:rsidP="00086BF9">
      <w:pPr>
        <w:pStyle w:val="StandardText"/>
      </w:pPr>
    </w:p>
    <w:p w14:paraId="252981DD" w14:textId="77777777" w:rsidR="00FF7799" w:rsidRPr="00D23B88" w:rsidRDefault="00FF7799" w:rsidP="007C28B7">
      <w:pPr>
        <w:pStyle w:val="berschrift1"/>
        <w:rPr>
          <w:bCs w:val="0"/>
          <w:color w:val="2E74B5"/>
          <w:sz w:val="22"/>
        </w:rPr>
      </w:pPr>
      <w:r w:rsidRPr="00D23B88">
        <w:rPr>
          <w:bCs w:val="0"/>
          <w:color w:val="2E74B5"/>
          <w:sz w:val="22"/>
        </w:rPr>
        <w:t>Naturreligion</w:t>
      </w:r>
    </w:p>
    <w:p w14:paraId="4467C816" w14:textId="77777777" w:rsidR="00FF7799" w:rsidRPr="00E73F6F" w:rsidRDefault="00FF7799" w:rsidP="00086BF9">
      <w:pPr>
        <w:pStyle w:val="StandardText"/>
      </w:pPr>
      <w:r w:rsidRPr="00E73F6F">
        <w:t>Glaube</w:t>
      </w:r>
      <w:r w:rsidRPr="00E73F6F">
        <w:rPr>
          <w:spacing w:val="-10"/>
        </w:rPr>
        <w:t xml:space="preserve"> </w:t>
      </w:r>
      <w:r w:rsidRPr="00E73F6F">
        <w:t>bzw.</w:t>
      </w:r>
      <w:r w:rsidRPr="00E73F6F">
        <w:rPr>
          <w:spacing w:val="-9"/>
        </w:rPr>
        <w:t xml:space="preserve"> </w:t>
      </w:r>
      <w:r w:rsidRPr="00E73F6F">
        <w:t>religiöse</w:t>
      </w:r>
      <w:r w:rsidRPr="00E73F6F">
        <w:rPr>
          <w:spacing w:val="-10"/>
        </w:rPr>
        <w:t xml:space="preserve"> </w:t>
      </w:r>
      <w:r w:rsidRPr="00E73F6F">
        <w:t>Vorstellungen</w:t>
      </w:r>
      <w:r w:rsidRPr="00E73F6F">
        <w:rPr>
          <w:spacing w:val="-8"/>
        </w:rPr>
        <w:t xml:space="preserve"> </w:t>
      </w:r>
      <w:r w:rsidRPr="00E73F6F">
        <w:t>der</w:t>
      </w:r>
      <w:r w:rsidRPr="00E73F6F">
        <w:rPr>
          <w:spacing w:val="-9"/>
        </w:rPr>
        <w:t xml:space="preserve"> </w:t>
      </w:r>
      <w:r w:rsidRPr="00E73F6F">
        <w:t>Naturvölker.</w:t>
      </w:r>
      <w:r w:rsidRPr="00E73F6F">
        <w:rPr>
          <w:spacing w:val="-9"/>
        </w:rPr>
        <w:t xml:space="preserve"> </w:t>
      </w:r>
      <w:r w:rsidRPr="00E73F6F">
        <w:t>Nicht</w:t>
      </w:r>
      <w:r w:rsidRPr="00E73F6F">
        <w:rPr>
          <w:spacing w:val="-9"/>
        </w:rPr>
        <w:t xml:space="preserve"> </w:t>
      </w:r>
      <w:r w:rsidRPr="00E73F6F">
        <w:t>zu</w:t>
      </w:r>
      <w:r w:rsidRPr="00E73F6F">
        <w:rPr>
          <w:spacing w:val="-8"/>
        </w:rPr>
        <w:t xml:space="preserve"> </w:t>
      </w:r>
      <w:r w:rsidRPr="00E73F6F">
        <w:t>verwechseln</w:t>
      </w:r>
      <w:r w:rsidRPr="00E73F6F">
        <w:rPr>
          <w:spacing w:val="-8"/>
        </w:rPr>
        <w:t xml:space="preserve"> </w:t>
      </w:r>
      <w:r w:rsidRPr="00E73F6F">
        <w:t>ist</w:t>
      </w:r>
      <w:r w:rsidRPr="00E73F6F">
        <w:rPr>
          <w:spacing w:val="-9"/>
        </w:rPr>
        <w:t xml:space="preserve"> </w:t>
      </w:r>
      <w:r w:rsidRPr="00E73F6F">
        <w:t>die Naturreligion mit der natürlichen Religion. Als sog. Vernunftreligion basiert sie, im Sinne der Aufklärung, auf den Ideen und Zielen, die allen Religionen gemeinsam sind. Die ursprüngliche Hoffnung, durch die Erforschung von Naturreligionen</w:t>
      </w:r>
      <w:r w:rsidRPr="00E73F6F">
        <w:rPr>
          <w:spacing w:val="-1"/>
        </w:rPr>
        <w:t xml:space="preserve"> </w:t>
      </w:r>
      <w:r w:rsidRPr="00E73F6F">
        <w:t>auch</w:t>
      </w:r>
      <w:r w:rsidRPr="00E73F6F">
        <w:rPr>
          <w:spacing w:val="-3"/>
        </w:rPr>
        <w:t xml:space="preserve"> </w:t>
      </w:r>
      <w:r w:rsidRPr="00E73F6F">
        <w:t>mehr</w:t>
      </w:r>
      <w:r w:rsidRPr="00E73F6F">
        <w:rPr>
          <w:spacing w:val="-3"/>
        </w:rPr>
        <w:t xml:space="preserve"> </w:t>
      </w:r>
      <w:r w:rsidRPr="00E73F6F">
        <w:t>über</w:t>
      </w:r>
      <w:r w:rsidRPr="00E73F6F">
        <w:rPr>
          <w:spacing w:val="-2"/>
        </w:rPr>
        <w:t xml:space="preserve"> </w:t>
      </w:r>
      <w:r w:rsidRPr="00E73F6F">
        <w:t>eine</w:t>
      </w:r>
      <w:r w:rsidRPr="00E73F6F">
        <w:rPr>
          <w:spacing w:val="-2"/>
        </w:rPr>
        <w:t xml:space="preserve"> </w:t>
      </w:r>
      <w:r w:rsidRPr="00E73F6F">
        <w:t>Urreligion</w:t>
      </w:r>
      <w:r w:rsidRPr="00E73F6F">
        <w:rPr>
          <w:spacing w:val="-1"/>
        </w:rPr>
        <w:t xml:space="preserve"> </w:t>
      </w:r>
      <w:r w:rsidRPr="00E73F6F">
        <w:t>zu</w:t>
      </w:r>
      <w:r w:rsidRPr="00E73F6F">
        <w:rPr>
          <w:spacing w:val="-1"/>
        </w:rPr>
        <w:t xml:space="preserve"> </w:t>
      </w:r>
      <w:r w:rsidRPr="00E73F6F">
        <w:t>erfahren,</w:t>
      </w:r>
      <w:r w:rsidRPr="00E73F6F">
        <w:rPr>
          <w:spacing w:val="-1"/>
        </w:rPr>
        <w:t xml:space="preserve"> </w:t>
      </w:r>
      <w:r w:rsidRPr="00E73F6F">
        <w:t>hat</w:t>
      </w:r>
      <w:r w:rsidRPr="00E73F6F">
        <w:rPr>
          <w:spacing w:val="-1"/>
        </w:rPr>
        <w:t xml:space="preserve"> </w:t>
      </w:r>
      <w:r w:rsidRPr="00E73F6F">
        <w:t>sich</w:t>
      </w:r>
      <w:r w:rsidRPr="00E73F6F">
        <w:rPr>
          <w:spacing w:val="-3"/>
        </w:rPr>
        <w:t xml:space="preserve"> </w:t>
      </w:r>
      <w:r w:rsidRPr="00E73F6F">
        <w:t>nicht</w:t>
      </w:r>
      <w:r w:rsidRPr="00E73F6F">
        <w:rPr>
          <w:spacing w:val="-3"/>
        </w:rPr>
        <w:t xml:space="preserve"> </w:t>
      </w:r>
      <w:r w:rsidRPr="00E73F6F">
        <w:t>erfüllt. Denn es stellte sich heraus, dass sich anhand der verschiedenen Naturreligionen keine (zeitliche) „Entwicklung“ abbilden lässt – da diese sich neben- und nicht nacheinander entwickelt haben.</w:t>
      </w:r>
    </w:p>
    <w:p w14:paraId="5C73D4CC" w14:textId="77777777" w:rsidR="00FF7799" w:rsidRPr="00E73F6F" w:rsidRDefault="00FF7799" w:rsidP="00086BF9">
      <w:pPr>
        <w:pStyle w:val="StandardText"/>
      </w:pPr>
      <w:r w:rsidRPr="00E73F6F">
        <w:t>Religionen</w:t>
      </w:r>
      <w:r w:rsidRPr="00E73F6F">
        <w:rPr>
          <w:spacing w:val="-1"/>
        </w:rPr>
        <w:t xml:space="preserve"> </w:t>
      </w:r>
      <w:r w:rsidRPr="00E73F6F">
        <w:t>auf</w:t>
      </w:r>
      <w:r w:rsidRPr="00E73F6F">
        <w:rPr>
          <w:spacing w:val="-4"/>
        </w:rPr>
        <w:t xml:space="preserve"> </w:t>
      </w:r>
      <w:r w:rsidRPr="00E73F6F">
        <w:t>der</w:t>
      </w:r>
      <w:r w:rsidRPr="00E73F6F">
        <w:rPr>
          <w:spacing w:val="-4"/>
        </w:rPr>
        <w:t xml:space="preserve"> </w:t>
      </w:r>
      <w:r w:rsidRPr="00E73F6F">
        <w:t>prädeistischen</w:t>
      </w:r>
      <w:r w:rsidRPr="00E73F6F">
        <w:rPr>
          <w:spacing w:val="-3"/>
        </w:rPr>
        <w:t xml:space="preserve"> </w:t>
      </w:r>
      <w:r w:rsidRPr="00E73F6F">
        <w:t>Stufe</w:t>
      </w:r>
      <w:r w:rsidRPr="00E73F6F">
        <w:rPr>
          <w:spacing w:val="-2"/>
        </w:rPr>
        <w:t xml:space="preserve"> </w:t>
      </w:r>
      <w:r w:rsidRPr="00E73F6F">
        <w:t>kennen</w:t>
      </w:r>
      <w:r w:rsidRPr="00E73F6F">
        <w:rPr>
          <w:spacing w:val="-3"/>
        </w:rPr>
        <w:t xml:space="preserve"> </w:t>
      </w:r>
      <w:r w:rsidRPr="00E73F6F">
        <w:t>keine</w:t>
      </w:r>
      <w:r w:rsidRPr="00E73F6F">
        <w:rPr>
          <w:spacing w:val="-5"/>
        </w:rPr>
        <w:t xml:space="preserve"> </w:t>
      </w:r>
      <w:r w:rsidRPr="00E73F6F">
        <w:t>personifizierten</w:t>
      </w:r>
      <w:r w:rsidRPr="00E73F6F">
        <w:rPr>
          <w:spacing w:val="-1"/>
        </w:rPr>
        <w:t xml:space="preserve"> </w:t>
      </w:r>
      <w:r w:rsidRPr="00E73F6F">
        <w:t>Götter</w:t>
      </w:r>
      <w:r w:rsidRPr="00E73F6F">
        <w:rPr>
          <w:spacing w:val="-2"/>
        </w:rPr>
        <w:t xml:space="preserve"> </w:t>
      </w:r>
      <w:r w:rsidRPr="00E73F6F">
        <w:t xml:space="preserve">oder Dämonen. Charakteristisch sind vielmehr der Glaube an das Wirken heiliger Mächte, die Verehrung von Totems und heiligen Gegenständen sowie bestimmte Rituale. Zu den Eigenheiten von Naturreligionen gehören ferner der Glaube an Dämonen sowie an mehrere Gottheiten. Manche Naturreligionen tendieren zum </w:t>
      </w:r>
      <w:r w:rsidRPr="00E73F6F">
        <w:rPr>
          <w:spacing w:val="-2"/>
        </w:rPr>
        <w:t>Monotheismus.</w:t>
      </w:r>
    </w:p>
    <w:p w14:paraId="62B78A06" w14:textId="77777777" w:rsidR="00FF7799" w:rsidRPr="00E73F6F" w:rsidRDefault="00FF7799" w:rsidP="00086BF9">
      <w:pPr>
        <w:pStyle w:val="StandardText"/>
      </w:pPr>
      <w:r w:rsidRPr="00E73F6F">
        <w:t>Zentral für nahezu alle Naturreligionen ist die Magie: die „Erfahrung mit der Macht und das Handeln mit dieser Macht“. Magie wirkt zumeist mittels eines Mediums.</w:t>
      </w:r>
      <w:r w:rsidRPr="00E73F6F">
        <w:rPr>
          <w:spacing w:val="-8"/>
        </w:rPr>
        <w:t xml:space="preserve"> </w:t>
      </w:r>
      <w:r w:rsidRPr="00E73F6F">
        <w:t>Damit</w:t>
      </w:r>
      <w:r w:rsidRPr="00E73F6F">
        <w:rPr>
          <w:spacing w:val="-8"/>
        </w:rPr>
        <w:t xml:space="preserve"> </w:t>
      </w:r>
      <w:r w:rsidRPr="00E73F6F">
        <w:t>ist</w:t>
      </w:r>
      <w:r w:rsidRPr="00E73F6F">
        <w:rPr>
          <w:spacing w:val="-10"/>
        </w:rPr>
        <w:t xml:space="preserve"> </w:t>
      </w:r>
      <w:r w:rsidRPr="00E73F6F">
        <w:t>ein</w:t>
      </w:r>
      <w:r w:rsidRPr="00E73F6F">
        <w:rPr>
          <w:spacing w:val="-9"/>
        </w:rPr>
        <w:t xml:space="preserve"> </w:t>
      </w:r>
      <w:r w:rsidRPr="00E73F6F">
        <w:t>künstlich</w:t>
      </w:r>
      <w:r w:rsidRPr="00E73F6F">
        <w:rPr>
          <w:spacing w:val="-11"/>
        </w:rPr>
        <w:t xml:space="preserve"> </w:t>
      </w:r>
      <w:r w:rsidRPr="00E73F6F">
        <w:t>geschaffener</w:t>
      </w:r>
      <w:r w:rsidRPr="00E73F6F">
        <w:rPr>
          <w:spacing w:val="-8"/>
        </w:rPr>
        <w:t xml:space="preserve"> </w:t>
      </w:r>
      <w:r w:rsidRPr="00E73F6F">
        <w:t>bzw.</w:t>
      </w:r>
      <w:r w:rsidRPr="00E73F6F">
        <w:rPr>
          <w:spacing w:val="-8"/>
        </w:rPr>
        <w:t xml:space="preserve"> </w:t>
      </w:r>
      <w:r w:rsidRPr="00E73F6F">
        <w:t>bearbeiteter</w:t>
      </w:r>
      <w:r w:rsidRPr="00E73F6F">
        <w:rPr>
          <w:spacing w:val="-8"/>
        </w:rPr>
        <w:t xml:space="preserve"> </w:t>
      </w:r>
      <w:r w:rsidRPr="00E73F6F">
        <w:t>Gegenstand</w:t>
      </w:r>
      <w:r w:rsidRPr="00E73F6F">
        <w:rPr>
          <w:spacing w:val="-9"/>
        </w:rPr>
        <w:t xml:space="preserve"> </w:t>
      </w:r>
      <w:r w:rsidRPr="00E73F6F">
        <w:t>(z.B. Amulett,</w:t>
      </w:r>
      <w:r w:rsidRPr="00E73F6F">
        <w:rPr>
          <w:spacing w:val="-12"/>
        </w:rPr>
        <w:t xml:space="preserve"> </w:t>
      </w:r>
      <w:r w:rsidRPr="00E73F6F">
        <w:t>Talisman</w:t>
      </w:r>
      <w:r w:rsidRPr="00E73F6F">
        <w:rPr>
          <w:spacing w:val="-11"/>
        </w:rPr>
        <w:t xml:space="preserve"> </w:t>
      </w:r>
      <w:r w:rsidRPr="00E73F6F">
        <w:t>oder</w:t>
      </w:r>
      <w:r w:rsidRPr="00E73F6F">
        <w:rPr>
          <w:spacing w:val="-11"/>
        </w:rPr>
        <w:t xml:space="preserve"> </w:t>
      </w:r>
      <w:r w:rsidRPr="00E73F6F">
        <w:t>Fetisch)</w:t>
      </w:r>
      <w:r w:rsidRPr="00E73F6F">
        <w:rPr>
          <w:spacing w:val="-11"/>
        </w:rPr>
        <w:t xml:space="preserve"> </w:t>
      </w:r>
      <w:r w:rsidRPr="00E73F6F">
        <w:t>gemeint</w:t>
      </w:r>
      <w:r w:rsidRPr="00E73F6F">
        <w:rPr>
          <w:spacing w:val="-12"/>
        </w:rPr>
        <w:t xml:space="preserve"> </w:t>
      </w:r>
      <w:r w:rsidRPr="00E73F6F">
        <w:t>(lat.</w:t>
      </w:r>
      <w:r w:rsidRPr="00E73F6F">
        <w:rPr>
          <w:spacing w:val="-11"/>
        </w:rPr>
        <w:t xml:space="preserve"> </w:t>
      </w:r>
      <w:r w:rsidRPr="00E73F6F">
        <w:t>=</w:t>
      </w:r>
      <w:r w:rsidRPr="00E73F6F">
        <w:rPr>
          <w:spacing w:val="-11"/>
        </w:rPr>
        <w:t xml:space="preserve"> </w:t>
      </w:r>
      <w:r w:rsidRPr="00E73F6F">
        <w:t>'facititius').</w:t>
      </w:r>
      <w:r w:rsidRPr="00E73F6F">
        <w:rPr>
          <w:spacing w:val="-11"/>
        </w:rPr>
        <w:t xml:space="preserve"> </w:t>
      </w:r>
      <w:r w:rsidRPr="00E73F6F">
        <w:t>Wesentliches</w:t>
      </w:r>
      <w:r w:rsidRPr="00E73F6F">
        <w:rPr>
          <w:spacing w:val="-12"/>
        </w:rPr>
        <w:t xml:space="preserve"> </w:t>
      </w:r>
      <w:r w:rsidRPr="00E73F6F">
        <w:t>Merkmal ist auch der Dynamismus, d.h. der Glaube an eine Macht (= Mana), die von bestimmten Gegenständen, Personen, Wesen oder Plätzen Besitz ergriffen hat. Mana ist rational nicht erklärbar und steht in enger Verbindung mit Magie. Die davon ergriffenen Orte, Personen oder Gegenstände sind für die Gläubigen tabu.</w:t>
      </w:r>
    </w:p>
    <w:p w14:paraId="3636E1F2" w14:textId="77777777" w:rsidR="00FF7799" w:rsidRPr="00E73F6F" w:rsidRDefault="00FF7799" w:rsidP="00086BF9">
      <w:pPr>
        <w:pStyle w:val="StandardText"/>
      </w:pPr>
    </w:p>
    <w:p w14:paraId="7286CB9D" w14:textId="77777777" w:rsidR="00FF7799" w:rsidRPr="00E73F6F" w:rsidRDefault="00FF7799" w:rsidP="007C28B7">
      <w:pPr>
        <w:pStyle w:val="berschrift1"/>
      </w:pPr>
      <w:r w:rsidRPr="00D23B88">
        <w:rPr>
          <w:bCs w:val="0"/>
          <w:color w:val="2E74B5"/>
          <w:sz w:val="22"/>
        </w:rPr>
        <w:t>Neutralität</w:t>
      </w:r>
      <w:r w:rsidRPr="00E73F6F">
        <w:rPr>
          <w:spacing w:val="1"/>
        </w:rPr>
        <w:t xml:space="preserve"> </w:t>
      </w:r>
      <w:r w:rsidRPr="00E73F6F">
        <w:rPr>
          <w:b w:val="0"/>
        </w:rPr>
        <w:t>→</w:t>
      </w:r>
      <w:r w:rsidRPr="00E73F6F">
        <w:rPr>
          <w:b w:val="0"/>
          <w:spacing w:val="-3"/>
        </w:rPr>
        <w:t xml:space="preserve"> </w:t>
      </w:r>
      <w:r w:rsidRPr="00E73F6F">
        <w:rPr>
          <w:b w:val="0"/>
        </w:rPr>
        <w:t>Kulturdimensionen</w:t>
      </w:r>
      <w:r w:rsidRPr="00E73F6F">
        <w:rPr>
          <w:b w:val="0"/>
          <w:spacing w:val="-2"/>
        </w:rPr>
        <w:t xml:space="preserve"> </w:t>
      </w:r>
      <w:r w:rsidRPr="00E73F6F">
        <w:rPr>
          <w:b w:val="0"/>
        </w:rPr>
        <w:t>nach</w:t>
      </w:r>
      <w:r w:rsidRPr="00E73F6F">
        <w:rPr>
          <w:b w:val="0"/>
          <w:spacing w:val="-4"/>
        </w:rPr>
        <w:t xml:space="preserve"> </w:t>
      </w:r>
      <w:r w:rsidRPr="00E73F6F">
        <w:rPr>
          <w:b w:val="0"/>
          <w:spacing w:val="-2"/>
        </w:rPr>
        <w:t>Trompenaars</w:t>
      </w:r>
    </w:p>
    <w:p w14:paraId="383E49E9" w14:textId="77777777" w:rsidR="00FF7799" w:rsidRPr="00D23B88" w:rsidRDefault="00FF7799" w:rsidP="007C28B7">
      <w:pPr>
        <w:pStyle w:val="berschrift1"/>
        <w:rPr>
          <w:bCs w:val="0"/>
          <w:color w:val="2E74B5"/>
          <w:sz w:val="22"/>
        </w:rPr>
      </w:pPr>
      <w:r w:rsidRPr="00D23B88">
        <w:rPr>
          <w:bCs w:val="0"/>
          <w:color w:val="2E74B5"/>
          <w:sz w:val="22"/>
        </w:rPr>
        <w:t>Next Eleven</w:t>
      </w:r>
    </w:p>
    <w:p w14:paraId="48A63D7F" w14:textId="77777777" w:rsidR="00FF7799" w:rsidRPr="00E73F6F" w:rsidRDefault="00FF7799" w:rsidP="00086BF9">
      <w:pPr>
        <w:pStyle w:val="StandardText"/>
      </w:pPr>
      <w:r w:rsidRPr="00E73F6F">
        <w:lastRenderedPageBreak/>
        <w:t xml:space="preserve">Gruppe von elf Schwellenländern, von denen man annimmt, dass sie nach den </w:t>
      </w:r>
      <w:r w:rsidRPr="00E73F6F">
        <w:rPr>
          <w:i/>
        </w:rPr>
        <w:t>BRICS</w:t>
      </w:r>
      <w:r w:rsidRPr="00E73F6F">
        <w:t>-Staaten die „nächsten elf“ Volkswirtschaften sein werden, die bis 2050 in den</w:t>
      </w:r>
      <w:r w:rsidRPr="00E73F6F">
        <w:rPr>
          <w:spacing w:val="-12"/>
        </w:rPr>
        <w:t xml:space="preserve"> </w:t>
      </w:r>
      <w:r w:rsidRPr="00E73F6F">
        <w:t>Kreis</w:t>
      </w:r>
      <w:r w:rsidRPr="00E73F6F">
        <w:rPr>
          <w:spacing w:val="-11"/>
        </w:rPr>
        <w:t xml:space="preserve"> </w:t>
      </w:r>
      <w:r w:rsidRPr="00E73F6F">
        <w:t>der</w:t>
      </w:r>
      <w:r w:rsidRPr="00E73F6F">
        <w:rPr>
          <w:spacing w:val="-11"/>
        </w:rPr>
        <w:t xml:space="preserve"> </w:t>
      </w:r>
      <w:r w:rsidRPr="00E73F6F">
        <w:t>führenden</w:t>
      </w:r>
      <w:r w:rsidRPr="00E73F6F">
        <w:rPr>
          <w:spacing w:val="-11"/>
        </w:rPr>
        <w:t xml:space="preserve"> </w:t>
      </w:r>
      <w:r w:rsidRPr="00E73F6F">
        <w:t>Industrienationen</w:t>
      </w:r>
      <w:r w:rsidRPr="00E73F6F">
        <w:rPr>
          <w:spacing w:val="-12"/>
        </w:rPr>
        <w:t xml:space="preserve"> </w:t>
      </w:r>
      <w:r w:rsidRPr="00E73F6F">
        <w:t>aufsteigen.</w:t>
      </w:r>
      <w:r w:rsidRPr="00E73F6F">
        <w:rPr>
          <w:spacing w:val="-11"/>
        </w:rPr>
        <w:t xml:space="preserve"> </w:t>
      </w:r>
      <w:r w:rsidRPr="00E73F6F">
        <w:t>Zu</w:t>
      </w:r>
      <w:r w:rsidRPr="00E73F6F">
        <w:rPr>
          <w:spacing w:val="-11"/>
        </w:rPr>
        <w:t xml:space="preserve"> </w:t>
      </w:r>
      <w:r w:rsidRPr="00E73F6F">
        <w:t>den</w:t>
      </w:r>
      <w:r w:rsidRPr="00E73F6F">
        <w:rPr>
          <w:spacing w:val="-11"/>
        </w:rPr>
        <w:t xml:space="preserve"> </w:t>
      </w:r>
      <w:r w:rsidRPr="00E73F6F">
        <w:t>N11</w:t>
      </w:r>
      <w:r w:rsidRPr="00E73F6F">
        <w:rPr>
          <w:spacing w:val="-12"/>
        </w:rPr>
        <w:t xml:space="preserve"> </w:t>
      </w:r>
      <w:r w:rsidRPr="00E73F6F">
        <w:t>zählen</w:t>
      </w:r>
      <w:r w:rsidRPr="00E73F6F">
        <w:rPr>
          <w:spacing w:val="-11"/>
        </w:rPr>
        <w:t xml:space="preserve"> </w:t>
      </w:r>
      <w:r w:rsidRPr="00E73F6F">
        <w:t>Ägypten, Bangladesch,</w:t>
      </w:r>
      <w:r w:rsidRPr="00E73F6F">
        <w:rPr>
          <w:spacing w:val="-4"/>
        </w:rPr>
        <w:t xml:space="preserve"> </w:t>
      </w:r>
      <w:r w:rsidRPr="00E73F6F">
        <w:t>Indonesien,</w:t>
      </w:r>
      <w:r w:rsidRPr="00E73F6F">
        <w:rPr>
          <w:spacing w:val="-4"/>
        </w:rPr>
        <w:t xml:space="preserve"> </w:t>
      </w:r>
      <w:r w:rsidRPr="00E73F6F">
        <w:t>Iran,</w:t>
      </w:r>
      <w:r w:rsidRPr="00E73F6F">
        <w:rPr>
          <w:spacing w:val="-4"/>
        </w:rPr>
        <w:t xml:space="preserve"> </w:t>
      </w:r>
      <w:r w:rsidRPr="00E73F6F">
        <w:t>Mexiko,</w:t>
      </w:r>
      <w:r w:rsidRPr="00E73F6F">
        <w:rPr>
          <w:spacing w:val="-4"/>
        </w:rPr>
        <w:t xml:space="preserve"> </w:t>
      </w:r>
      <w:r w:rsidRPr="00E73F6F">
        <w:t>Nigeria,</w:t>
      </w:r>
      <w:r w:rsidRPr="00E73F6F">
        <w:rPr>
          <w:spacing w:val="-4"/>
        </w:rPr>
        <w:t xml:space="preserve"> </w:t>
      </w:r>
      <w:r w:rsidRPr="00E73F6F">
        <w:t>Pakistan,</w:t>
      </w:r>
      <w:r w:rsidRPr="00E73F6F">
        <w:rPr>
          <w:spacing w:val="-4"/>
        </w:rPr>
        <w:t xml:space="preserve"> </w:t>
      </w:r>
      <w:r w:rsidRPr="00E73F6F">
        <w:t>Philippinen,</w:t>
      </w:r>
      <w:r w:rsidRPr="00E73F6F">
        <w:rPr>
          <w:spacing w:val="-4"/>
        </w:rPr>
        <w:t xml:space="preserve"> </w:t>
      </w:r>
      <w:r w:rsidRPr="00E73F6F">
        <w:t>Südkorea, Türkei und Vietnam.</w:t>
      </w:r>
    </w:p>
    <w:p w14:paraId="2C92006A" w14:textId="77777777" w:rsidR="00FF7799" w:rsidRPr="00E73F6F" w:rsidRDefault="00FF7799" w:rsidP="00086BF9">
      <w:pPr>
        <w:pStyle w:val="StandardText"/>
      </w:pPr>
    </w:p>
    <w:p w14:paraId="78269CB9" w14:textId="77777777" w:rsidR="00FF7799" w:rsidRPr="00D23B88" w:rsidRDefault="00FF7799" w:rsidP="003F5DD5">
      <w:pPr>
        <w:pStyle w:val="berschrift1"/>
        <w:rPr>
          <w:bCs w:val="0"/>
          <w:color w:val="2E74B5"/>
          <w:sz w:val="22"/>
        </w:rPr>
      </w:pPr>
      <w:r w:rsidRPr="00D23B88">
        <w:rPr>
          <w:bCs w:val="0"/>
          <w:color w:val="2E74B5"/>
          <w:sz w:val="22"/>
        </w:rPr>
        <w:t>Norm-Aktivierungsmodell</w:t>
      </w:r>
    </w:p>
    <w:p w14:paraId="7C576A93" w14:textId="77777777" w:rsidR="00FF7799" w:rsidRPr="00E73F6F" w:rsidRDefault="00FF7799" w:rsidP="00086BF9">
      <w:pPr>
        <w:pStyle w:val="StandardText"/>
      </w:pPr>
      <w:r w:rsidRPr="00E73F6F">
        <w:t>ursprünglich</w:t>
      </w:r>
      <w:r w:rsidRPr="00E73F6F">
        <w:rPr>
          <w:spacing w:val="-2"/>
        </w:rPr>
        <w:t xml:space="preserve"> </w:t>
      </w:r>
      <w:r w:rsidRPr="00E73F6F">
        <w:t>entwickelt,</w:t>
      </w:r>
      <w:r w:rsidRPr="00E73F6F">
        <w:rPr>
          <w:spacing w:val="-3"/>
        </w:rPr>
        <w:t xml:space="preserve"> </w:t>
      </w:r>
      <w:r w:rsidRPr="00E73F6F">
        <w:t>um</w:t>
      </w:r>
      <w:r w:rsidRPr="00E73F6F">
        <w:rPr>
          <w:spacing w:val="-4"/>
        </w:rPr>
        <w:t xml:space="preserve"> </w:t>
      </w:r>
      <w:r w:rsidRPr="00E73F6F">
        <w:t>Hilfeverhalten</w:t>
      </w:r>
      <w:r w:rsidRPr="00E73F6F">
        <w:rPr>
          <w:spacing w:val="-2"/>
        </w:rPr>
        <w:t xml:space="preserve"> </w:t>
      </w:r>
      <w:r w:rsidRPr="00E73F6F">
        <w:t>zu</w:t>
      </w:r>
      <w:r w:rsidRPr="00E73F6F">
        <w:rPr>
          <w:spacing w:val="-2"/>
        </w:rPr>
        <w:t xml:space="preserve"> </w:t>
      </w:r>
      <w:r w:rsidRPr="00E73F6F">
        <w:t>erklären,</w:t>
      </w:r>
      <w:r w:rsidRPr="00E73F6F">
        <w:rPr>
          <w:spacing w:val="-3"/>
        </w:rPr>
        <w:t xml:space="preserve"> </w:t>
      </w:r>
      <w:r w:rsidRPr="00E73F6F">
        <w:t>geht</w:t>
      </w:r>
      <w:r w:rsidRPr="00E73F6F">
        <w:rPr>
          <w:spacing w:val="-3"/>
        </w:rPr>
        <w:t xml:space="preserve"> </w:t>
      </w:r>
      <w:r w:rsidRPr="00E73F6F">
        <w:t>dieses in Abb. 1 dargestellte Modell</w:t>
      </w:r>
      <w:r w:rsidRPr="00E73F6F">
        <w:rPr>
          <w:spacing w:val="-5"/>
        </w:rPr>
        <w:t xml:space="preserve"> </w:t>
      </w:r>
      <w:r w:rsidRPr="00E73F6F">
        <w:t>davon aus, dass altruistisches Verhalten nicht durch soziale, sondern vor allem durch persönliche Normen gefördert wird. Schwartz (1977) beschreibt, unter welchen Bedingungen persönliche Normen (z.B. Umweltbewusstsein) verhaltenswirksam werden.</w:t>
      </w:r>
      <w:r w:rsidRPr="00E73F6F">
        <w:rPr>
          <w:spacing w:val="-5"/>
        </w:rPr>
        <w:t xml:space="preserve"> </w:t>
      </w:r>
      <w:r w:rsidRPr="00E73F6F">
        <w:t>Erstens</w:t>
      </w:r>
      <w:r w:rsidRPr="00E73F6F">
        <w:rPr>
          <w:spacing w:val="-6"/>
        </w:rPr>
        <w:t xml:space="preserve"> </w:t>
      </w:r>
      <w:r w:rsidRPr="00E73F6F">
        <w:t>muss</w:t>
      </w:r>
      <w:r w:rsidRPr="00E73F6F">
        <w:rPr>
          <w:spacing w:val="-6"/>
        </w:rPr>
        <w:t xml:space="preserve"> </w:t>
      </w:r>
      <w:r w:rsidRPr="00E73F6F">
        <w:t>sich</w:t>
      </w:r>
      <w:r w:rsidRPr="00E73F6F">
        <w:rPr>
          <w:spacing w:val="-4"/>
        </w:rPr>
        <w:t xml:space="preserve"> </w:t>
      </w:r>
      <w:r w:rsidRPr="00E73F6F">
        <w:t>eine</w:t>
      </w:r>
      <w:r w:rsidRPr="00E73F6F">
        <w:rPr>
          <w:spacing w:val="-8"/>
        </w:rPr>
        <w:t xml:space="preserve"> </w:t>
      </w:r>
      <w:r w:rsidRPr="00E73F6F">
        <w:t>Person</w:t>
      </w:r>
      <w:r w:rsidRPr="00E73F6F">
        <w:rPr>
          <w:spacing w:val="-7"/>
        </w:rPr>
        <w:t xml:space="preserve"> </w:t>
      </w:r>
      <w:r w:rsidRPr="00E73F6F">
        <w:t>der</w:t>
      </w:r>
      <w:r w:rsidRPr="00E73F6F">
        <w:rPr>
          <w:spacing w:val="-5"/>
        </w:rPr>
        <w:t xml:space="preserve"> </w:t>
      </w:r>
      <w:r w:rsidRPr="00E73F6F">
        <w:t>Konsequenzen</w:t>
      </w:r>
      <w:r w:rsidRPr="00E73F6F">
        <w:rPr>
          <w:spacing w:val="-7"/>
        </w:rPr>
        <w:t xml:space="preserve"> </w:t>
      </w:r>
      <w:r w:rsidRPr="00E73F6F">
        <w:t>ihrer</w:t>
      </w:r>
      <w:r w:rsidRPr="00E73F6F">
        <w:rPr>
          <w:spacing w:val="-5"/>
        </w:rPr>
        <w:t xml:space="preserve"> </w:t>
      </w:r>
      <w:r w:rsidRPr="00E73F6F">
        <w:t>Handlung</w:t>
      </w:r>
      <w:r w:rsidRPr="00E73F6F">
        <w:rPr>
          <w:spacing w:val="-7"/>
        </w:rPr>
        <w:t xml:space="preserve"> </w:t>
      </w:r>
      <w:r w:rsidRPr="00E73F6F">
        <w:t>bewusst sein und zweitens für diese Konsequenzen die Verantwortung übernehmen. So werden umweltbewusste Konsumenten nur dann auf eine Flugreise verzichten, wenn sie die Konsequenzen von Flugreisen kennen (höchster CO2-Ausstoß je Entfernungskilometer)</w:t>
      </w:r>
      <w:r w:rsidRPr="00E73F6F">
        <w:rPr>
          <w:spacing w:val="-7"/>
        </w:rPr>
        <w:t xml:space="preserve"> </w:t>
      </w:r>
      <w:r w:rsidRPr="00E73F6F">
        <w:t>und</w:t>
      </w:r>
      <w:r w:rsidRPr="00E73F6F">
        <w:rPr>
          <w:spacing w:val="-8"/>
        </w:rPr>
        <w:t xml:space="preserve"> </w:t>
      </w:r>
      <w:r w:rsidRPr="00E73F6F">
        <w:t>dafür</w:t>
      </w:r>
      <w:r w:rsidRPr="00E73F6F">
        <w:rPr>
          <w:spacing w:val="-9"/>
        </w:rPr>
        <w:t xml:space="preserve"> </w:t>
      </w:r>
      <w:r w:rsidRPr="00E73F6F">
        <w:t>weder</w:t>
      </w:r>
      <w:r w:rsidRPr="00E73F6F">
        <w:rPr>
          <w:spacing w:val="-7"/>
        </w:rPr>
        <w:t xml:space="preserve"> </w:t>
      </w:r>
      <w:r w:rsidRPr="00E73F6F">
        <w:t>den</w:t>
      </w:r>
      <w:r w:rsidRPr="00E73F6F">
        <w:rPr>
          <w:spacing w:val="-6"/>
        </w:rPr>
        <w:t xml:space="preserve"> </w:t>
      </w:r>
      <w:r w:rsidRPr="00E73F6F">
        <w:t>Reiseanbieter</w:t>
      </w:r>
      <w:r w:rsidRPr="00E73F6F">
        <w:rPr>
          <w:spacing w:val="-7"/>
        </w:rPr>
        <w:t xml:space="preserve"> </w:t>
      </w:r>
      <w:r w:rsidRPr="00E73F6F">
        <w:t>noch</w:t>
      </w:r>
      <w:r w:rsidRPr="00E73F6F">
        <w:rPr>
          <w:spacing w:val="-8"/>
        </w:rPr>
        <w:t xml:space="preserve"> </w:t>
      </w:r>
      <w:r w:rsidRPr="00E73F6F">
        <w:t>die</w:t>
      </w:r>
      <w:r w:rsidRPr="00E73F6F">
        <w:rPr>
          <w:spacing w:val="-7"/>
        </w:rPr>
        <w:t xml:space="preserve"> </w:t>
      </w:r>
      <w:r w:rsidRPr="00E73F6F">
        <w:t>Fluglinie</w:t>
      </w:r>
      <w:r w:rsidRPr="00E73F6F">
        <w:rPr>
          <w:spacing w:val="-10"/>
        </w:rPr>
        <w:t xml:space="preserve"> </w:t>
      </w:r>
      <w:r w:rsidRPr="00E73F6F">
        <w:t>noch die Politik verantwortlich machen, sondern ihr individuelles Freizeitverhalten. Sind beide Bedingungen (wahrgenommene Konsequenz und übernommene Verantwortung)</w:t>
      </w:r>
      <w:r w:rsidRPr="00E73F6F">
        <w:rPr>
          <w:spacing w:val="-1"/>
        </w:rPr>
        <w:t xml:space="preserve"> </w:t>
      </w:r>
      <w:r w:rsidRPr="00E73F6F">
        <w:t>erfüllt, empfindet</w:t>
      </w:r>
      <w:r w:rsidRPr="00E73F6F">
        <w:rPr>
          <w:spacing w:val="-1"/>
        </w:rPr>
        <w:t xml:space="preserve"> </w:t>
      </w:r>
      <w:r w:rsidRPr="00E73F6F">
        <w:t>die Person</w:t>
      </w:r>
      <w:r w:rsidRPr="00E73F6F">
        <w:rPr>
          <w:spacing w:val="-1"/>
        </w:rPr>
        <w:t xml:space="preserve"> </w:t>
      </w:r>
      <w:r w:rsidRPr="00E73F6F">
        <w:t>eine moralische</w:t>
      </w:r>
      <w:r w:rsidRPr="00E73F6F">
        <w:rPr>
          <w:spacing w:val="-1"/>
        </w:rPr>
        <w:t xml:space="preserve"> </w:t>
      </w:r>
      <w:r w:rsidRPr="00E73F6F">
        <w:t>Verpflichtung,</w:t>
      </w:r>
      <w:r w:rsidRPr="00E73F6F">
        <w:rPr>
          <w:spacing w:val="-1"/>
        </w:rPr>
        <w:t xml:space="preserve"> </w:t>
      </w:r>
      <w:r w:rsidRPr="00E73F6F">
        <w:t>sich entsprechend zu verhalten und z.B. mit der Bahn zu reisen (vgl. Osterhus 1997, S.24; Schwartz 1977).</w:t>
      </w:r>
    </w:p>
    <w:p w14:paraId="40A095E5" w14:textId="77777777" w:rsidR="00FF7799" w:rsidRPr="00E73F6F" w:rsidRDefault="00FF7799" w:rsidP="00086BF9">
      <w:pPr>
        <w:pStyle w:val="StandardText"/>
      </w:pPr>
      <w:r w:rsidRPr="00E73F6F">
        <w:t>Soziale Normen hingegen sind aufgrund ihres Anreizcharakters verhaltenswirksam; denn wenn ein Individuum Erwartungen anderer erfüllt bzw. nicht erfüllt, so führt dies zu sozialen und/oder materiellen Belohnungen bzw. Sanktionen. Wirken soziale Normen, so kauft ein Konsument Strom aus alternativen Energiequellen, weil bspw. seine Familie oder andere relevante Bezugsgruppen es erwarten.</w:t>
      </w:r>
    </w:p>
    <w:p w14:paraId="6BA33BD8" w14:textId="77777777" w:rsidR="00FF7799" w:rsidRPr="00E73F6F" w:rsidRDefault="00FF7799" w:rsidP="00086BF9">
      <w:pPr>
        <w:pStyle w:val="StandardText"/>
      </w:pPr>
    </w:p>
    <w:p w14:paraId="703BBC83" w14:textId="77777777" w:rsidR="00FF7799" w:rsidRPr="00E73F6F" w:rsidRDefault="00FF7799" w:rsidP="00086BF9">
      <w:pPr>
        <w:pStyle w:val="BeschriftungTab"/>
      </w:pPr>
      <w:r w:rsidRPr="00E73F6F">
        <w:t>Abb. 1:</w:t>
      </w:r>
      <w:r w:rsidRPr="00E73F6F">
        <w:rPr>
          <w:spacing w:val="-3"/>
        </w:rPr>
        <w:t xml:space="preserve"> </w:t>
      </w:r>
      <w:r w:rsidRPr="00E73F6F">
        <w:t>Norm-Aktivierungs-</w:t>
      </w:r>
      <w:r w:rsidRPr="00E73F6F">
        <w:rPr>
          <w:spacing w:val="-2"/>
        </w:rPr>
        <w:t>Modell</w:t>
      </w:r>
    </w:p>
    <w:p w14:paraId="3EBBCEEC" w14:textId="77777777" w:rsidR="00FF7799" w:rsidRPr="00E73F6F" w:rsidRDefault="00025512" w:rsidP="00862DBA">
      <w:pPr>
        <w:spacing w:before="4"/>
        <w:rPr>
          <w:i/>
          <w:sz w:val="24"/>
          <w:szCs w:val="24"/>
        </w:rPr>
      </w:pPr>
      <w:r>
        <w:rPr>
          <w:i/>
          <w:noProof/>
          <w:sz w:val="24"/>
          <w:szCs w:val="24"/>
          <w:lang w:eastAsia="de-DE"/>
        </w:rPr>
        <w:drawing>
          <wp:inline distT="0" distB="0" distL="0" distR="0" wp14:anchorId="732B0586" wp14:editId="547FE428">
            <wp:extent cx="5578475" cy="2529840"/>
            <wp:effectExtent l="0" t="0" r="3175" b="3810"/>
            <wp:docPr id="2296737" name="Grafik 2296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5578475" cy="2529840"/>
                    </a:xfrm>
                    <a:prstGeom prst="rect">
                      <a:avLst/>
                    </a:prstGeom>
                    <a:noFill/>
                  </pic:spPr>
                </pic:pic>
              </a:graphicData>
            </a:graphic>
          </wp:inline>
        </w:drawing>
      </w:r>
    </w:p>
    <w:p w14:paraId="45FE0BC6" w14:textId="77777777" w:rsidR="00FF7799" w:rsidRPr="00E73F6F" w:rsidRDefault="00FF7799" w:rsidP="00BA06F6">
      <w:pPr>
        <w:pStyle w:val="Quellen"/>
      </w:pPr>
      <w:r w:rsidRPr="00E73F6F">
        <w:t>Quelle:</w:t>
      </w:r>
      <w:r w:rsidRPr="00E73F6F">
        <w:rPr>
          <w:spacing w:val="-3"/>
        </w:rPr>
        <w:t xml:space="preserve"> </w:t>
      </w:r>
      <w:r w:rsidRPr="00E73F6F">
        <w:t>in</w:t>
      </w:r>
      <w:r w:rsidRPr="00E73F6F">
        <w:rPr>
          <w:spacing w:val="-2"/>
        </w:rPr>
        <w:t xml:space="preserve"> </w:t>
      </w:r>
      <w:r w:rsidRPr="00E73F6F">
        <w:t>Anlehnung</w:t>
      </w:r>
      <w:r w:rsidRPr="00E73F6F">
        <w:rPr>
          <w:spacing w:val="-2"/>
        </w:rPr>
        <w:t xml:space="preserve"> </w:t>
      </w:r>
      <w:r w:rsidRPr="00E73F6F">
        <w:t>an</w:t>
      </w:r>
      <w:r w:rsidRPr="00E73F6F">
        <w:rPr>
          <w:spacing w:val="-2"/>
        </w:rPr>
        <w:t xml:space="preserve"> </w:t>
      </w:r>
      <w:r w:rsidRPr="00E73F6F">
        <w:t>Schwartz</w:t>
      </w:r>
      <w:r w:rsidRPr="00E73F6F">
        <w:rPr>
          <w:spacing w:val="-3"/>
        </w:rPr>
        <w:t xml:space="preserve"> </w:t>
      </w:r>
      <w:r w:rsidRPr="00E73F6F">
        <w:rPr>
          <w:spacing w:val="-2"/>
        </w:rPr>
        <w:t>(1977).</w:t>
      </w:r>
    </w:p>
    <w:p w14:paraId="3E16952E" w14:textId="77777777" w:rsidR="00FF7799" w:rsidRPr="00E73F6F" w:rsidRDefault="00FF7799" w:rsidP="00862DBA">
      <w:pPr>
        <w:rPr>
          <w:sz w:val="24"/>
          <w:szCs w:val="24"/>
        </w:rPr>
      </w:pPr>
    </w:p>
    <w:p w14:paraId="0365CEEB" w14:textId="77777777" w:rsidR="00FF7799" w:rsidRPr="00420B47" w:rsidRDefault="00FF7799" w:rsidP="00BA06F6">
      <w:pPr>
        <w:pStyle w:val="StandardText"/>
        <w:rPr>
          <w:sz w:val="22"/>
          <w:szCs w:val="22"/>
          <w:lang w:val="en-US"/>
        </w:rPr>
      </w:pPr>
      <w:r w:rsidRPr="00420B47">
        <w:rPr>
          <w:b/>
          <w:i/>
          <w:sz w:val="22"/>
          <w:szCs w:val="22"/>
          <w:lang w:val="en-US"/>
        </w:rPr>
        <w:t>Literatur:</w:t>
      </w:r>
      <w:r w:rsidRPr="00420B47">
        <w:rPr>
          <w:b/>
          <w:i/>
          <w:spacing w:val="-10"/>
          <w:sz w:val="22"/>
          <w:szCs w:val="22"/>
          <w:lang w:val="en-US"/>
        </w:rPr>
        <w:t xml:space="preserve"> </w:t>
      </w:r>
      <w:r w:rsidRPr="00420B47">
        <w:rPr>
          <w:sz w:val="22"/>
          <w:szCs w:val="22"/>
          <w:lang w:val="en-US"/>
        </w:rPr>
        <w:t>Osterhus,</w:t>
      </w:r>
      <w:r w:rsidRPr="00420B47">
        <w:rPr>
          <w:spacing w:val="-10"/>
          <w:sz w:val="22"/>
          <w:szCs w:val="22"/>
          <w:lang w:val="en-US"/>
        </w:rPr>
        <w:t xml:space="preserve"> </w:t>
      </w:r>
      <w:r w:rsidRPr="00420B47">
        <w:rPr>
          <w:sz w:val="22"/>
          <w:szCs w:val="22"/>
          <w:lang w:val="en-US"/>
        </w:rPr>
        <w:t>T.L.</w:t>
      </w:r>
      <w:r w:rsidRPr="00420B47">
        <w:rPr>
          <w:spacing w:val="-10"/>
          <w:sz w:val="22"/>
          <w:szCs w:val="22"/>
          <w:lang w:val="en-US"/>
        </w:rPr>
        <w:t xml:space="preserve"> </w:t>
      </w:r>
      <w:r w:rsidRPr="00420B47">
        <w:rPr>
          <w:sz w:val="22"/>
          <w:szCs w:val="22"/>
          <w:lang w:val="en-US"/>
        </w:rPr>
        <w:t>(1997):</w:t>
      </w:r>
      <w:r w:rsidRPr="00420B47">
        <w:rPr>
          <w:spacing w:val="-10"/>
          <w:sz w:val="22"/>
          <w:szCs w:val="22"/>
          <w:lang w:val="en-US"/>
        </w:rPr>
        <w:t xml:space="preserve"> </w:t>
      </w:r>
      <w:r w:rsidRPr="00420B47">
        <w:rPr>
          <w:sz w:val="22"/>
          <w:szCs w:val="22"/>
          <w:lang w:val="en-US"/>
        </w:rPr>
        <w:t>Pro-Social</w:t>
      </w:r>
      <w:r w:rsidRPr="00420B47">
        <w:rPr>
          <w:spacing w:val="-10"/>
          <w:sz w:val="22"/>
          <w:szCs w:val="22"/>
          <w:lang w:val="en-US"/>
        </w:rPr>
        <w:t xml:space="preserve"> </w:t>
      </w:r>
      <w:r w:rsidRPr="00420B47">
        <w:rPr>
          <w:sz w:val="22"/>
          <w:szCs w:val="22"/>
          <w:lang w:val="en-US"/>
        </w:rPr>
        <w:t>Consumer</w:t>
      </w:r>
      <w:r w:rsidRPr="00420B47">
        <w:rPr>
          <w:spacing w:val="-10"/>
          <w:sz w:val="22"/>
          <w:szCs w:val="22"/>
          <w:lang w:val="en-US"/>
        </w:rPr>
        <w:t xml:space="preserve"> </w:t>
      </w:r>
      <w:r w:rsidRPr="00420B47">
        <w:rPr>
          <w:sz w:val="22"/>
          <w:szCs w:val="22"/>
          <w:lang w:val="en-US"/>
        </w:rPr>
        <w:t>Influence</w:t>
      </w:r>
      <w:r w:rsidRPr="00420B47">
        <w:rPr>
          <w:spacing w:val="-10"/>
          <w:sz w:val="22"/>
          <w:szCs w:val="22"/>
          <w:lang w:val="en-US"/>
        </w:rPr>
        <w:t xml:space="preserve"> </w:t>
      </w:r>
      <w:r w:rsidRPr="00420B47">
        <w:rPr>
          <w:sz w:val="22"/>
          <w:szCs w:val="22"/>
          <w:lang w:val="en-US"/>
        </w:rPr>
        <w:t>Strategies.</w:t>
      </w:r>
      <w:r w:rsidRPr="00420B47">
        <w:rPr>
          <w:spacing w:val="-10"/>
          <w:sz w:val="22"/>
          <w:szCs w:val="22"/>
          <w:lang w:val="en-US"/>
        </w:rPr>
        <w:t xml:space="preserve"> </w:t>
      </w:r>
      <w:r w:rsidRPr="00420B47">
        <w:rPr>
          <w:sz w:val="22"/>
          <w:szCs w:val="22"/>
          <w:lang w:val="en-US"/>
        </w:rPr>
        <w:t>When</w:t>
      </w:r>
      <w:r w:rsidRPr="00420B47">
        <w:rPr>
          <w:spacing w:val="-10"/>
          <w:sz w:val="22"/>
          <w:szCs w:val="22"/>
          <w:lang w:val="en-US"/>
        </w:rPr>
        <w:t xml:space="preserve"> </w:t>
      </w:r>
      <w:r w:rsidRPr="00420B47">
        <w:rPr>
          <w:sz w:val="22"/>
          <w:szCs w:val="22"/>
          <w:lang w:val="en-US"/>
        </w:rPr>
        <w:t>and</w:t>
      </w:r>
      <w:r w:rsidRPr="00420B47">
        <w:rPr>
          <w:spacing w:val="-10"/>
          <w:sz w:val="22"/>
          <w:szCs w:val="22"/>
          <w:lang w:val="en-US"/>
        </w:rPr>
        <w:t xml:space="preserve"> </w:t>
      </w:r>
      <w:r w:rsidRPr="00420B47">
        <w:rPr>
          <w:sz w:val="22"/>
          <w:szCs w:val="22"/>
          <w:lang w:val="en-US"/>
        </w:rPr>
        <w:t>How</w:t>
      </w:r>
      <w:r w:rsidRPr="00420B47">
        <w:rPr>
          <w:spacing w:val="40"/>
          <w:sz w:val="22"/>
          <w:szCs w:val="22"/>
          <w:lang w:val="en-US"/>
        </w:rPr>
        <w:t xml:space="preserve"> </w:t>
      </w:r>
      <w:r w:rsidRPr="00420B47">
        <w:rPr>
          <w:sz w:val="22"/>
          <w:szCs w:val="22"/>
          <w:lang w:val="en-US"/>
        </w:rPr>
        <w:t>do they Work? Journal of Marketing, 61(October): 16-29.</w:t>
      </w:r>
      <w:r w:rsidRPr="00420B47">
        <w:rPr>
          <w:spacing w:val="40"/>
          <w:sz w:val="22"/>
          <w:szCs w:val="22"/>
          <w:lang w:val="en-US"/>
        </w:rPr>
        <w:t xml:space="preserve"> </w:t>
      </w:r>
      <w:r w:rsidRPr="00420B47">
        <w:rPr>
          <w:sz w:val="22"/>
          <w:szCs w:val="22"/>
          <w:lang w:val="en-US"/>
        </w:rPr>
        <w:t>Schwartz, S.H. (1977):</w:t>
      </w:r>
      <w:r w:rsidRPr="00420B47">
        <w:rPr>
          <w:spacing w:val="40"/>
          <w:sz w:val="22"/>
          <w:szCs w:val="22"/>
          <w:lang w:val="en-US"/>
        </w:rPr>
        <w:t xml:space="preserve"> </w:t>
      </w:r>
      <w:r w:rsidRPr="00420B47">
        <w:rPr>
          <w:sz w:val="22"/>
          <w:szCs w:val="22"/>
          <w:lang w:val="en-US"/>
        </w:rPr>
        <w:t>Normative Influences on Altruism, Advances in Experimental Social Psychology, Vol. 10,</w:t>
      </w:r>
      <w:r w:rsidRPr="00420B47">
        <w:rPr>
          <w:spacing w:val="40"/>
          <w:sz w:val="22"/>
          <w:szCs w:val="22"/>
          <w:lang w:val="en-US"/>
        </w:rPr>
        <w:t xml:space="preserve"> </w:t>
      </w:r>
      <w:r w:rsidRPr="00420B47">
        <w:rPr>
          <w:spacing w:val="-2"/>
          <w:sz w:val="22"/>
          <w:szCs w:val="22"/>
          <w:lang w:val="en-US"/>
        </w:rPr>
        <w:t>221-279.</w:t>
      </w:r>
    </w:p>
    <w:p w14:paraId="73BFD29A" w14:textId="77777777" w:rsidR="00FF7799" w:rsidRPr="00E35FFF" w:rsidRDefault="00FF7799" w:rsidP="00BA06F6">
      <w:pPr>
        <w:pStyle w:val="StandardText"/>
        <w:rPr>
          <w:lang w:val="en-US"/>
        </w:rPr>
      </w:pPr>
    </w:p>
    <w:p w14:paraId="7E70CE9A" w14:textId="77777777" w:rsidR="007E67F1" w:rsidRPr="007F69DA" w:rsidRDefault="007E67F1" w:rsidP="007E67F1">
      <w:pPr>
        <w:keepNext/>
        <w:keepLines/>
        <w:spacing w:before="240"/>
        <w:jc w:val="both"/>
        <w:outlineLvl w:val="1"/>
        <w:rPr>
          <w:b/>
          <w:color w:val="2E74B5"/>
        </w:rPr>
      </w:pPr>
      <w:r w:rsidRPr="007F69DA">
        <w:rPr>
          <w:b/>
          <w:color w:val="2E74B5"/>
        </w:rPr>
        <w:lastRenderedPageBreak/>
        <w:t>Normativ-deskriptiver Ansatz der Kulturwissenschaften</w:t>
      </w:r>
    </w:p>
    <w:p w14:paraId="48B2F78F" w14:textId="77777777" w:rsidR="007E67F1" w:rsidRPr="007F69DA" w:rsidRDefault="007E67F1" w:rsidP="007E67F1">
      <w:pPr>
        <w:pStyle w:val="StandardText"/>
      </w:pPr>
      <w:r w:rsidRPr="007F69DA">
        <w:t>1. Schichtenmodelle</w:t>
      </w:r>
    </w:p>
    <w:p w14:paraId="14D00E7B" w14:textId="77777777" w:rsidR="007E67F1" w:rsidRPr="007F69DA" w:rsidRDefault="007E67F1" w:rsidP="007E67F1">
      <w:pPr>
        <w:pStyle w:val="StandardText"/>
      </w:pPr>
      <w:r w:rsidRPr="007F69DA">
        <w:t xml:space="preserve">sind das Ergebnis des Bemühens, die von den Vertretern dieser Richtung identifizierten bzw. postulierten „Bestandteile“ bzw. „Elemente“ von Kultur hierarchisch zu strukturieren. Vordenker war Schein (1985), der am Beispiel der Organisationskultur das „Modell der drei Kulturebenen“ entwickelt hat. </w:t>
      </w:r>
    </w:p>
    <w:p w14:paraId="0CC83CE2" w14:textId="77777777" w:rsidR="007E67F1" w:rsidRPr="007F69DA" w:rsidRDefault="007E67F1">
      <w:pPr>
        <w:pStyle w:val="StandardText"/>
        <w:numPr>
          <w:ilvl w:val="0"/>
          <w:numId w:val="58"/>
        </w:numPr>
      </w:pPr>
      <w:r w:rsidRPr="007F69DA">
        <w:t xml:space="preserve">äußere, sichtbare Schicht der  Artefakte einer Kultur (Symbole, Helden, Rituale), </w:t>
      </w:r>
    </w:p>
    <w:p w14:paraId="78D4666A" w14:textId="77777777" w:rsidR="007E67F1" w:rsidRPr="007F69DA" w:rsidRDefault="007E67F1">
      <w:pPr>
        <w:pStyle w:val="StandardText"/>
        <w:numPr>
          <w:ilvl w:val="0"/>
          <w:numId w:val="58"/>
        </w:numPr>
      </w:pPr>
      <w:r w:rsidRPr="007F69DA">
        <w:t>mittlere Schicht, nicht sichtbare Schicht der Normen und Werte,</w:t>
      </w:r>
    </w:p>
    <w:p w14:paraId="0769F92E" w14:textId="77777777" w:rsidR="007E67F1" w:rsidRPr="007F69DA" w:rsidRDefault="007E67F1">
      <w:pPr>
        <w:pStyle w:val="StandardText"/>
        <w:numPr>
          <w:ilvl w:val="0"/>
          <w:numId w:val="58"/>
        </w:numPr>
      </w:pPr>
      <w:r w:rsidRPr="007F69DA">
        <w:t xml:space="preserve">Kulturkern, gebildet von den nicht sichtbaren Grundannahmen über die menschliche Existenz. </w:t>
      </w:r>
    </w:p>
    <w:p w14:paraId="0789192E" w14:textId="77777777" w:rsidR="007E67F1" w:rsidRPr="007F69DA" w:rsidRDefault="007E67F1" w:rsidP="007E67F1">
      <w:pPr>
        <w:jc w:val="both"/>
        <w:rPr>
          <w:szCs w:val="24"/>
          <w:lang w:bidi="en-US"/>
        </w:rPr>
      </w:pPr>
    </w:p>
    <w:p w14:paraId="3197A76B" w14:textId="77777777" w:rsidR="007E67F1" w:rsidRPr="007F69DA" w:rsidRDefault="007E67F1" w:rsidP="007E67F1">
      <w:pPr>
        <w:spacing w:before="60"/>
        <w:jc w:val="both"/>
        <w:rPr>
          <w:szCs w:val="24"/>
          <w:lang w:eastAsia="de-DE"/>
        </w:rPr>
      </w:pPr>
      <w:r w:rsidRPr="007F69DA">
        <w:rPr>
          <w:szCs w:val="24"/>
          <w:lang w:eastAsia="de-DE"/>
        </w:rPr>
        <w:t>G. Hofstede hat die Artefakte einer Kultur als Praktiken bezeichnet. Kulturfremde können deren Symbole, Helden und Rituale zwar wahrnehmen, verstehen deren Bedeutung aber nicht. Denn ihnen fehlen die kulturspezifischen „Codes“ (vgl. Müller/Gelbrich 2014, S.15ff.).</w:t>
      </w:r>
    </w:p>
    <w:p w14:paraId="21FE8612" w14:textId="77777777" w:rsidR="007E67F1" w:rsidRPr="007F69DA" w:rsidRDefault="007E67F1" w:rsidP="007E67F1">
      <w:pPr>
        <w:spacing w:after="120"/>
        <w:jc w:val="center"/>
        <w:rPr>
          <w:lang w:bidi="en-US"/>
        </w:rPr>
      </w:pPr>
      <w:bookmarkStart w:id="112" w:name="_Ref412027037"/>
    </w:p>
    <w:bookmarkEnd w:id="112"/>
    <w:p w14:paraId="3C6A1DFB" w14:textId="77777777" w:rsidR="007E67F1" w:rsidRPr="00BF04C9" w:rsidRDefault="007E67F1" w:rsidP="007E67F1">
      <w:pPr>
        <w:spacing w:after="120"/>
        <w:jc w:val="center"/>
        <w:rPr>
          <w:i/>
          <w:lang w:bidi="en-US"/>
        </w:rPr>
      </w:pPr>
      <w:r w:rsidRPr="00BF04C9">
        <w:rPr>
          <w:i/>
          <w:lang w:eastAsia="de-DE"/>
        </w:rPr>
        <w:t xml:space="preserve">Abb. 1: </w:t>
      </w:r>
      <w:r w:rsidRPr="00BF04C9">
        <w:rPr>
          <w:i/>
          <w:lang w:bidi="en-US"/>
        </w:rPr>
        <w:t xml:space="preserve">Schichtenmodell der Kultur: eine Synopse </w:t>
      </w:r>
    </w:p>
    <w:p w14:paraId="4E0CFDED" w14:textId="77777777" w:rsidR="007E67F1" w:rsidRPr="007F69DA" w:rsidRDefault="007E67F1" w:rsidP="007E67F1">
      <w:pPr>
        <w:spacing w:before="60"/>
        <w:jc w:val="both"/>
        <w:rPr>
          <w:sz w:val="18"/>
          <w:szCs w:val="18"/>
          <w:lang w:eastAsia="de-DE"/>
        </w:rPr>
      </w:pPr>
      <w:r w:rsidRPr="007F69DA">
        <w:rPr>
          <w:noProof/>
          <w:sz w:val="18"/>
          <w:szCs w:val="18"/>
          <w:lang w:eastAsia="de-DE"/>
        </w:rPr>
        <w:drawing>
          <wp:inline distT="0" distB="0" distL="0" distR="0" wp14:anchorId="49583457" wp14:editId="57DCBA2E">
            <wp:extent cx="5770007" cy="4340431"/>
            <wp:effectExtent l="0" t="0" r="2540" b="3175"/>
            <wp:docPr id="1014227599" name="Grafik 1014227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787066" cy="4353264"/>
                    </a:xfrm>
                    <a:prstGeom prst="rect">
                      <a:avLst/>
                    </a:prstGeom>
                    <a:noFill/>
                  </pic:spPr>
                </pic:pic>
              </a:graphicData>
            </a:graphic>
          </wp:inline>
        </w:drawing>
      </w:r>
    </w:p>
    <w:p w14:paraId="63763B79" w14:textId="77777777" w:rsidR="007E67F1" w:rsidRPr="007F69DA" w:rsidRDefault="007E67F1" w:rsidP="007E67F1">
      <w:pPr>
        <w:spacing w:before="60"/>
        <w:jc w:val="both"/>
        <w:rPr>
          <w:sz w:val="20"/>
          <w:szCs w:val="20"/>
          <w:lang w:eastAsia="de-DE"/>
        </w:rPr>
      </w:pPr>
      <w:r w:rsidRPr="007F69DA">
        <w:rPr>
          <w:sz w:val="20"/>
          <w:szCs w:val="20"/>
          <w:lang w:eastAsia="de-DE"/>
        </w:rPr>
        <w:t>Quelle: Hofstede (1993, S.19); geringfügig verändert.</w:t>
      </w:r>
    </w:p>
    <w:p w14:paraId="49D46AA5" w14:textId="77777777" w:rsidR="007E67F1" w:rsidRPr="007F69DA" w:rsidRDefault="007E67F1" w:rsidP="007E67F1">
      <w:pPr>
        <w:spacing w:before="60"/>
        <w:jc w:val="both"/>
        <w:rPr>
          <w:lang w:eastAsia="de-DE"/>
        </w:rPr>
      </w:pPr>
    </w:p>
    <w:p w14:paraId="750C2609" w14:textId="77777777" w:rsidR="007E67F1" w:rsidRPr="007F69DA" w:rsidRDefault="007E67F1" w:rsidP="007E67F1">
      <w:pPr>
        <w:spacing w:before="60"/>
        <w:jc w:val="both"/>
        <w:rPr>
          <w:szCs w:val="24"/>
          <w:lang w:eastAsia="de-DE"/>
        </w:rPr>
      </w:pPr>
      <w:r w:rsidRPr="007F69DA">
        <w:rPr>
          <w:szCs w:val="24"/>
          <w:lang w:eastAsia="de-DE"/>
        </w:rPr>
        <w:t xml:space="preserve">Häufig wird als Darstellungsform auch die „Kulturzwiebel“ gewählt (vgl. Trompenaars/Hampden-Turner 1997, S.22). Dabei bilden Symbole die erste „Kulturhaut“ und Helden, Rituale sowie Werte die zweite, dritte und vierte Haut. Im Inneren der Zwiebel wirken die Grundannahmen (vgl. Abb. 2). Sie, und damit der Kern einer Kultur, werden erst dann zugänglich, wenn der Kulturfremde – sinnbildlich gesprochen – die äußeren Zwiebelhäute entfernt. Dies geht – und auch das will die Metapher ausdrücken – nicht immer ohne „Tränen“ ab, d.h. ohne Probleme: Nur wer hinter die sichtbare Oberfläche einer </w:t>
      </w:r>
      <w:r w:rsidRPr="007F69DA">
        <w:rPr>
          <w:szCs w:val="24"/>
          <w:lang w:eastAsia="de-DE"/>
        </w:rPr>
        <w:lastRenderedPageBreak/>
        <w:t xml:space="preserve">Kultur blickt und dabei einen </w:t>
      </w:r>
      <w:r w:rsidRPr="007F69DA">
        <w:rPr>
          <w:szCs w:val="24"/>
          <w:lang w:eastAsia="de-DE"/>
        </w:rPr>
        <w:sym w:font="Symbol" w:char="F0DE"/>
      </w:r>
      <w:r w:rsidRPr="007F69DA">
        <w:rPr>
          <w:szCs w:val="24"/>
          <w:lang w:eastAsia="de-DE"/>
        </w:rPr>
        <w:t xml:space="preserve"> Kulturschock riskiert, erlangt Zugang zu den tieferliegenden Schichten. Das Sinnbild des Kultureisbergs wiederum soll zum Ausdruck bringen, dass – wie bei einem Eisberg – der weitaus größere Teil einer Kultur unterhalb der Wasseroberfläche liegt und somit Kulturfremden nur schwer zugänglich ist.</w:t>
      </w:r>
      <w:bookmarkStart w:id="113" w:name="_Toc297282236"/>
      <w:r w:rsidRPr="007F69DA">
        <w:rPr>
          <w:szCs w:val="24"/>
          <w:lang w:eastAsia="de-DE"/>
        </w:rPr>
        <w:t xml:space="preserve"> </w:t>
      </w:r>
      <w:bookmarkEnd w:id="113"/>
    </w:p>
    <w:p w14:paraId="6E1C2F43" w14:textId="77777777" w:rsidR="007E67F1" w:rsidRPr="007F69DA" w:rsidRDefault="007E67F1" w:rsidP="007E67F1">
      <w:pPr>
        <w:tabs>
          <w:tab w:val="left" w:pos="284"/>
        </w:tabs>
        <w:spacing w:before="60"/>
        <w:jc w:val="both"/>
        <w:rPr>
          <w:lang w:eastAsia="de-DE"/>
        </w:rPr>
      </w:pPr>
    </w:p>
    <w:p w14:paraId="4A4E1141" w14:textId="77777777" w:rsidR="007E67F1" w:rsidRPr="00BF04C9" w:rsidRDefault="007E67F1" w:rsidP="007E67F1">
      <w:pPr>
        <w:spacing w:after="120"/>
        <w:jc w:val="center"/>
        <w:rPr>
          <w:i/>
          <w:lang w:eastAsia="de-DE"/>
        </w:rPr>
      </w:pPr>
      <w:bookmarkStart w:id="114" w:name="_Ref413255379"/>
      <w:r w:rsidRPr="00BF04C9">
        <w:rPr>
          <w:i/>
          <w:lang w:eastAsia="de-DE"/>
        </w:rPr>
        <w:t xml:space="preserve">Abb. </w:t>
      </w:r>
      <w:bookmarkEnd w:id="114"/>
      <w:r w:rsidRPr="00BF04C9">
        <w:rPr>
          <w:i/>
          <w:noProof/>
          <w:lang w:eastAsia="de-DE"/>
        </w:rPr>
        <w:t>2</w:t>
      </w:r>
      <w:r w:rsidRPr="00BF04C9">
        <w:rPr>
          <w:i/>
          <w:lang w:eastAsia="de-DE"/>
        </w:rPr>
        <w:t>: Kulturzwiebel &amp; Kultureisberg</w:t>
      </w:r>
    </w:p>
    <w:p w14:paraId="2FF8C474" w14:textId="77777777" w:rsidR="007E67F1" w:rsidRPr="007F69DA" w:rsidRDefault="007E67F1" w:rsidP="007E67F1">
      <w:pPr>
        <w:spacing w:before="120"/>
        <w:jc w:val="center"/>
        <w:rPr>
          <w:lang w:eastAsia="de-DE"/>
        </w:rPr>
      </w:pPr>
      <w:r w:rsidRPr="007F69DA">
        <w:rPr>
          <w:noProof/>
          <w:lang w:eastAsia="de-DE"/>
        </w:rPr>
        <w:drawing>
          <wp:inline distT="0" distB="0" distL="0" distR="0" wp14:anchorId="49DF68FA" wp14:editId="5A1B6B4B">
            <wp:extent cx="5624989" cy="3610099"/>
            <wp:effectExtent l="0" t="0" r="0" b="0"/>
            <wp:docPr id="1498157905" name="Grafik 1498157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5630142" cy="3613406"/>
                    </a:xfrm>
                    <a:prstGeom prst="rect">
                      <a:avLst/>
                    </a:prstGeom>
                    <a:noFill/>
                  </pic:spPr>
                </pic:pic>
              </a:graphicData>
            </a:graphic>
          </wp:inline>
        </w:drawing>
      </w:r>
    </w:p>
    <w:p w14:paraId="759567CF" w14:textId="77777777" w:rsidR="007E67F1" w:rsidRPr="007F69DA" w:rsidRDefault="007E67F1" w:rsidP="007E67F1">
      <w:pPr>
        <w:spacing w:before="120"/>
        <w:jc w:val="center"/>
        <w:rPr>
          <w:lang w:eastAsia="de-DE"/>
        </w:rPr>
      </w:pPr>
    </w:p>
    <w:p w14:paraId="7FBC6FF3" w14:textId="77777777" w:rsidR="007E67F1" w:rsidRPr="007F69DA" w:rsidRDefault="007E67F1" w:rsidP="007E67F1">
      <w:pPr>
        <w:spacing w:before="60"/>
        <w:jc w:val="both"/>
        <w:rPr>
          <w:szCs w:val="24"/>
          <w:lang w:eastAsia="de-DE"/>
        </w:rPr>
      </w:pPr>
      <w:r w:rsidRPr="007F69DA">
        <w:rPr>
          <w:szCs w:val="24"/>
          <w:lang w:eastAsia="de-DE"/>
        </w:rPr>
        <w:t>2. Concepta/Percepta-Modell</w:t>
      </w:r>
    </w:p>
    <w:p w14:paraId="7B1FB1F0" w14:textId="77777777" w:rsidR="007E67F1" w:rsidRPr="007F69DA" w:rsidRDefault="007E67F1" w:rsidP="007E67F1">
      <w:pPr>
        <w:spacing w:before="60"/>
        <w:jc w:val="both"/>
        <w:rPr>
          <w:szCs w:val="24"/>
          <w:lang w:eastAsia="de-DE"/>
        </w:rPr>
      </w:pPr>
    </w:p>
    <w:p w14:paraId="09FA3D5A" w14:textId="77777777" w:rsidR="007E67F1" w:rsidRPr="007F69DA" w:rsidRDefault="007E67F1" w:rsidP="007E67F1">
      <w:pPr>
        <w:jc w:val="both"/>
        <w:rPr>
          <w:szCs w:val="24"/>
          <w:lang w:eastAsia="de-DE"/>
        </w:rPr>
      </w:pPr>
      <w:r w:rsidRPr="007F69DA">
        <w:rPr>
          <w:szCs w:val="24"/>
          <w:lang w:eastAsia="de-DE"/>
        </w:rPr>
        <w:t>Nach Ansicht zahlreicher Wissenschaftler manifestieren sich (Landes-)Kulturen auf zwei Ebenen: der materiellen Ebene (z.B. Bücher, Kleidung, Kunst, Werkzeug) und der immateriellen Ebene (z.B. Bräuche, Werte, Normen, Ideen). Davon ausgehend postulierte Osgood (1951) drei Erscheinungsformen von Kultur, indem er auf der immateriellen Ebene die soziale Kultur von der mentalen Kultur unterschied.</w:t>
      </w:r>
    </w:p>
    <w:p w14:paraId="60104E3B" w14:textId="77777777" w:rsidR="007E67F1" w:rsidRPr="007F69DA" w:rsidRDefault="007E67F1">
      <w:pPr>
        <w:widowControl/>
        <w:numPr>
          <w:ilvl w:val="0"/>
          <w:numId w:val="24"/>
        </w:numPr>
        <w:autoSpaceDE/>
        <w:autoSpaceDN/>
        <w:spacing w:before="60"/>
        <w:jc w:val="both"/>
        <w:rPr>
          <w:szCs w:val="24"/>
          <w:lang w:eastAsia="de-DE"/>
        </w:rPr>
      </w:pPr>
      <w:r w:rsidRPr="007F69DA">
        <w:rPr>
          <w:szCs w:val="24"/>
          <w:lang w:eastAsia="de-DE"/>
        </w:rPr>
        <w:t>Materielle Kultur: Greifbare Artefakte (z.B. Häuser, Kleidung).</w:t>
      </w:r>
    </w:p>
    <w:p w14:paraId="6C961189" w14:textId="77777777" w:rsidR="007E67F1" w:rsidRPr="007F69DA" w:rsidRDefault="007E67F1">
      <w:pPr>
        <w:widowControl/>
        <w:numPr>
          <w:ilvl w:val="0"/>
          <w:numId w:val="24"/>
        </w:numPr>
        <w:autoSpaceDE/>
        <w:autoSpaceDN/>
        <w:spacing w:before="60"/>
        <w:jc w:val="both"/>
        <w:rPr>
          <w:szCs w:val="24"/>
          <w:lang w:eastAsia="de-DE"/>
        </w:rPr>
      </w:pPr>
      <w:r w:rsidRPr="007F69DA">
        <w:rPr>
          <w:szCs w:val="24"/>
          <w:lang w:eastAsia="de-DE"/>
        </w:rPr>
        <w:t>Soziale Kultur: Begrüßungsrituale, religiöse Symbole, Gründungsmythen und andere beobachtbare immaterielle Artefakte.</w:t>
      </w:r>
    </w:p>
    <w:p w14:paraId="542BA862" w14:textId="77777777" w:rsidR="007E67F1" w:rsidRPr="007F69DA" w:rsidRDefault="007E67F1">
      <w:pPr>
        <w:widowControl/>
        <w:numPr>
          <w:ilvl w:val="0"/>
          <w:numId w:val="24"/>
        </w:numPr>
        <w:autoSpaceDE/>
        <w:autoSpaceDN/>
        <w:spacing w:before="60"/>
        <w:jc w:val="both"/>
        <w:rPr>
          <w:szCs w:val="24"/>
          <w:lang w:eastAsia="de-DE"/>
        </w:rPr>
      </w:pPr>
      <w:r w:rsidRPr="007F69DA">
        <w:rPr>
          <w:szCs w:val="24"/>
          <w:lang w:eastAsia="de-DE"/>
        </w:rPr>
        <w:t>Mentale Kultur: Weltbild, Tabus, Normen und Werte sind die wichtigsten Mentefakte (d.h. nicht beobachtbar und immateriell).</w:t>
      </w:r>
    </w:p>
    <w:p w14:paraId="29E79BEF" w14:textId="77777777" w:rsidR="007E67F1" w:rsidRPr="007F69DA" w:rsidRDefault="007E67F1" w:rsidP="007E67F1">
      <w:pPr>
        <w:spacing w:before="60"/>
        <w:jc w:val="both"/>
        <w:rPr>
          <w:szCs w:val="24"/>
          <w:lang w:eastAsia="de-DE"/>
        </w:rPr>
      </w:pPr>
    </w:p>
    <w:p w14:paraId="3555DB9E" w14:textId="77777777" w:rsidR="007E67F1" w:rsidRPr="007F69DA" w:rsidRDefault="007E67F1" w:rsidP="007E67F1">
      <w:pPr>
        <w:tabs>
          <w:tab w:val="left" w:pos="284"/>
        </w:tabs>
        <w:spacing w:before="60"/>
        <w:jc w:val="both"/>
        <w:rPr>
          <w:szCs w:val="24"/>
          <w:lang w:eastAsia="de-DE"/>
        </w:rPr>
      </w:pPr>
      <w:r w:rsidRPr="007F69DA">
        <w:rPr>
          <w:szCs w:val="24"/>
          <w:lang w:eastAsia="de-DE"/>
        </w:rPr>
        <w:t>Darüber hinaus bezeichnete C. Osgood die mentale Kultur als „Concepta“ und die soziale Kultur gemeinsam mit der materiellen Kultur als „Percepta“ (vgl. Abb. 3).</w:t>
      </w:r>
    </w:p>
    <w:p w14:paraId="39D7144A" w14:textId="77777777" w:rsidR="007E67F1" w:rsidRPr="007F69DA" w:rsidRDefault="007E67F1" w:rsidP="007E67F1">
      <w:pPr>
        <w:tabs>
          <w:tab w:val="left" w:pos="284"/>
        </w:tabs>
        <w:spacing w:before="60"/>
        <w:jc w:val="both"/>
        <w:rPr>
          <w:szCs w:val="24"/>
          <w:lang w:eastAsia="de-DE"/>
        </w:rPr>
      </w:pPr>
    </w:p>
    <w:p w14:paraId="0B323733" w14:textId="77777777" w:rsidR="007E67F1" w:rsidRPr="00BF04C9" w:rsidRDefault="007E67F1" w:rsidP="007E67F1">
      <w:pPr>
        <w:spacing w:after="120"/>
        <w:jc w:val="center"/>
        <w:rPr>
          <w:i/>
          <w:szCs w:val="24"/>
          <w:lang w:eastAsia="de-DE"/>
        </w:rPr>
      </w:pPr>
      <w:bookmarkStart w:id="115" w:name="_Ref413255443"/>
      <w:r w:rsidRPr="00BF04C9">
        <w:rPr>
          <w:i/>
          <w:szCs w:val="24"/>
          <w:lang w:eastAsia="de-DE"/>
        </w:rPr>
        <w:t>Abb.</w:t>
      </w:r>
      <w:bookmarkEnd w:id="115"/>
      <w:r w:rsidRPr="00BF04C9">
        <w:rPr>
          <w:i/>
          <w:noProof/>
          <w:szCs w:val="24"/>
          <w:lang w:eastAsia="de-DE"/>
        </w:rPr>
        <w:t xml:space="preserve"> 3</w:t>
      </w:r>
      <w:r w:rsidRPr="00BF04C9">
        <w:rPr>
          <w:i/>
          <w:szCs w:val="24"/>
          <w:lang w:eastAsia="de-DE"/>
        </w:rPr>
        <w:t>: Concepta/Percepta-Modell</w:t>
      </w:r>
    </w:p>
    <w:p w14:paraId="207C4A9D" w14:textId="77777777" w:rsidR="007E67F1" w:rsidRPr="00BF04C9" w:rsidRDefault="007E67F1" w:rsidP="007E67F1">
      <w:pPr>
        <w:tabs>
          <w:tab w:val="left" w:pos="284"/>
        </w:tabs>
        <w:spacing w:before="60"/>
        <w:jc w:val="both"/>
        <w:rPr>
          <w:i/>
          <w:lang w:eastAsia="de-DE"/>
        </w:rPr>
      </w:pPr>
    </w:p>
    <w:p w14:paraId="5B472D85" w14:textId="77777777" w:rsidR="007E67F1" w:rsidRPr="007F69DA" w:rsidRDefault="007E67F1" w:rsidP="007E67F1">
      <w:pPr>
        <w:tabs>
          <w:tab w:val="left" w:pos="284"/>
        </w:tabs>
        <w:spacing w:before="60"/>
        <w:jc w:val="both"/>
        <w:rPr>
          <w:sz w:val="18"/>
          <w:szCs w:val="18"/>
          <w:lang w:eastAsia="de-DE"/>
        </w:rPr>
      </w:pPr>
      <w:r w:rsidRPr="007F69DA">
        <w:rPr>
          <w:noProof/>
          <w:sz w:val="18"/>
          <w:szCs w:val="18"/>
          <w:lang w:eastAsia="de-DE"/>
        </w:rPr>
        <w:lastRenderedPageBreak/>
        <w:drawing>
          <wp:inline distT="0" distB="0" distL="0" distR="0" wp14:anchorId="7C80BCEF" wp14:editId="5966DC39">
            <wp:extent cx="5712993" cy="4076700"/>
            <wp:effectExtent l="0" t="0" r="2540" b="0"/>
            <wp:docPr id="826165848" name="Grafik 826165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0" y="0"/>
                      <a:ext cx="5725365" cy="4085529"/>
                    </a:xfrm>
                    <a:prstGeom prst="rect">
                      <a:avLst/>
                    </a:prstGeom>
                    <a:noFill/>
                  </pic:spPr>
                </pic:pic>
              </a:graphicData>
            </a:graphic>
          </wp:inline>
        </w:drawing>
      </w:r>
    </w:p>
    <w:p w14:paraId="54AA21E7" w14:textId="77777777" w:rsidR="007E67F1" w:rsidRPr="007F69DA" w:rsidRDefault="007E67F1" w:rsidP="007E67F1">
      <w:pPr>
        <w:tabs>
          <w:tab w:val="left" w:pos="284"/>
        </w:tabs>
        <w:spacing w:before="60"/>
        <w:jc w:val="both"/>
        <w:rPr>
          <w:sz w:val="20"/>
          <w:szCs w:val="20"/>
          <w:lang w:eastAsia="de-DE"/>
        </w:rPr>
      </w:pPr>
      <w:r w:rsidRPr="007F69DA">
        <w:rPr>
          <w:sz w:val="20"/>
          <w:szCs w:val="20"/>
          <w:lang w:eastAsia="de-DE"/>
        </w:rPr>
        <w:t>Quelle: Müller/Gelbrich (2014, S.125).</w:t>
      </w:r>
    </w:p>
    <w:p w14:paraId="1DE38BEA" w14:textId="77777777" w:rsidR="007E67F1" w:rsidRPr="007F69DA" w:rsidRDefault="007E67F1" w:rsidP="007E67F1">
      <w:pPr>
        <w:tabs>
          <w:tab w:val="left" w:pos="284"/>
        </w:tabs>
        <w:spacing w:before="60"/>
        <w:jc w:val="both"/>
        <w:rPr>
          <w:sz w:val="20"/>
          <w:szCs w:val="20"/>
          <w:lang w:eastAsia="de-DE"/>
        </w:rPr>
      </w:pPr>
    </w:p>
    <w:p w14:paraId="3D7B4030" w14:textId="77777777" w:rsidR="007E67F1" w:rsidRPr="007F69DA" w:rsidRDefault="007E67F1" w:rsidP="007E67F1">
      <w:pPr>
        <w:spacing w:before="60"/>
        <w:jc w:val="both"/>
        <w:rPr>
          <w:szCs w:val="24"/>
          <w:lang w:eastAsia="de-DE"/>
        </w:rPr>
      </w:pPr>
      <w:r w:rsidRPr="007F69DA">
        <w:rPr>
          <w:szCs w:val="24"/>
          <w:lang w:eastAsia="de-DE"/>
        </w:rPr>
        <w:t>3. Implizite vs. explizite Kultur</w:t>
      </w:r>
    </w:p>
    <w:p w14:paraId="3C5A4369" w14:textId="77777777" w:rsidR="007E67F1" w:rsidRDefault="007E67F1" w:rsidP="007E67F1">
      <w:pPr>
        <w:jc w:val="both"/>
        <w:rPr>
          <w:szCs w:val="24"/>
          <w:lang w:bidi="en-US"/>
        </w:rPr>
      </w:pPr>
      <w:r w:rsidRPr="007F69DA">
        <w:rPr>
          <w:szCs w:val="24"/>
          <w:lang w:bidi="en-US"/>
        </w:rPr>
        <w:t>Trompenaars (1996) grenzte die explizite, an ihren Artefakten erkennbare Kultur von der impliziten Kultur ab: den nicht direkt beobachtbaren Grundannahmen, Welt- und Menschenbilder (vgl. Abb. 4). Auch die Regeln und Methoden, welche eine Gesellschaft entwickelt hat, um ihre Probleme zu erfassen und zu lösen, sind Teil der impliziten Kultur. Die zumeist unbewussten Annahmen darüber, „wie die Welt funktioniert“, können grundlegender Natur sein (wie die Philosophie des ‘can do‘ in den USA) oder unmittelbar handlungsbezogen: z.B. „Der frühe Vogel frisst den Wurm.“</w:t>
      </w:r>
    </w:p>
    <w:p w14:paraId="6DD8E20B" w14:textId="77777777" w:rsidR="007E67F1" w:rsidRPr="007F69DA" w:rsidRDefault="007E67F1" w:rsidP="007E67F1">
      <w:pPr>
        <w:jc w:val="both"/>
        <w:rPr>
          <w:szCs w:val="24"/>
          <w:lang w:bidi="en-US"/>
        </w:rPr>
      </w:pPr>
    </w:p>
    <w:p w14:paraId="3464A41A" w14:textId="77777777" w:rsidR="007E67F1" w:rsidRPr="007F69DA" w:rsidRDefault="007E67F1" w:rsidP="007E67F1">
      <w:pPr>
        <w:jc w:val="both"/>
        <w:rPr>
          <w:szCs w:val="24"/>
          <w:lang w:bidi="en-US"/>
        </w:rPr>
      </w:pPr>
    </w:p>
    <w:p w14:paraId="13F846B3" w14:textId="77777777" w:rsidR="007E67F1" w:rsidRPr="00BF04C9" w:rsidRDefault="007E67F1" w:rsidP="007E67F1">
      <w:pPr>
        <w:spacing w:after="120"/>
        <w:jc w:val="center"/>
        <w:rPr>
          <w:i/>
          <w:szCs w:val="24"/>
          <w:lang w:bidi="en-US"/>
        </w:rPr>
      </w:pPr>
      <w:bookmarkStart w:id="116" w:name="_Ref413255476"/>
      <w:r w:rsidRPr="00BF04C9">
        <w:rPr>
          <w:i/>
          <w:szCs w:val="24"/>
          <w:lang w:eastAsia="de-DE"/>
        </w:rPr>
        <w:t xml:space="preserve">Abb. </w:t>
      </w:r>
      <w:bookmarkEnd w:id="116"/>
      <w:r w:rsidRPr="00BF04C9">
        <w:rPr>
          <w:i/>
          <w:noProof/>
          <w:szCs w:val="24"/>
          <w:lang w:eastAsia="de-DE"/>
        </w:rPr>
        <w:t>4</w:t>
      </w:r>
      <w:r w:rsidRPr="00BF04C9">
        <w:rPr>
          <w:i/>
          <w:szCs w:val="24"/>
          <w:lang w:eastAsia="de-DE"/>
        </w:rPr>
        <w:t xml:space="preserve">: </w:t>
      </w:r>
      <w:r w:rsidRPr="00BF04C9">
        <w:rPr>
          <w:i/>
          <w:szCs w:val="24"/>
          <w:lang w:bidi="en-US"/>
        </w:rPr>
        <w:t xml:space="preserve">Schichtenmodell nach Trompenaars </w:t>
      </w:r>
    </w:p>
    <w:p w14:paraId="36BCFEEB" w14:textId="77777777" w:rsidR="007E67F1" w:rsidRPr="007F69DA" w:rsidRDefault="007E67F1" w:rsidP="007E67F1">
      <w:pPr>
        <w:spacing w:after="120"/>
        <w:jc w:val="center"/>
        <w:rPr>
          <w:lang w:bidi="en-US"/>
        </w:rPr>
      </w:pPr>
      <w:r w:rsidRPr="007F69DA">
        <w:rPr>
          <w:noProof/>
          <w:lang w:eastAsia="de-DE"/>
        </w:rPr>
        <w:drawing>
          <wp:inline distT="0" distB="0" distL="0" distR="0" wp14:anchorId="4A000F41" wp14:editId="7F5606DA">
            <wp:extent cx="5398398" cy="2600325"/>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5407799" cy="2604854"/>
                    </a:xfrm>
                    <a:prstGeom prst="rect">
                      <a:avLst/>
                    </a:prstGeom>
                    <a:noFill/>
                  </pic:spPr>
                </pic:pic>
              </a:graphicData>
            </a:graphic>
          </wp:inline>
        </w:drawing>
      </w:r>
    </w:p>
    <w:p w14:paraId="0B8C5890" w14:textId="77777777" w:rsidR="007E67F1" w:rsidRPr="007F69DA" w:rsidRDefault="007E67F1" w:rsidP="007E67F1">
      <w:pPr>
        <w:spacing w:before="120"/>
        <w:jc w:val="both"/>
        <w:rPr>
          <w:sz w:val="18"/>
          <w:szCs w:val="18"/>
          <w:lang w:eastAsia="de-DE"/>
        </w:rPr>
      </w:pPr>
      <w:r w:rsidRPr="007F69DA">
        <w:rPr>
          <w:sz w:val="18"/>
          <w:szCs w:val="18"/>
          <w:lang w:eastAsia="de-DE"/>
        </w:rPr>
        <w:t>Quelle: in Anlehnung an Trompenaars (1996).</w:t>
      </w:r>
    </w:p>
    <w:p w14:paraId="222E41F7" w14:textId="77777777" w:rsidR="007E67F1" w:rsidRPr="007F69DA" w:rsidRDefault="007E67F1" w:rsidP="00510E20">
      <w:pPr>
        <w:pStyle w:val="Literatur"/>
        <w:numPr>
          <w:ilvl w:val="0"/>
          <w:numId w:val="0"/>
        </w:numPr>
        <w:spacing w:line="240" w:lineRule="auto"/>
        <w:rPr>
          <w:bCs w:val="0"/>
          <w:noProof/>
          <w:sz w:val="20"/>
          <w:u w:val="single"/>
        </w:rPr>
      </w:pPr>
      <w:r w:rsidRPr="007F69DA">
        <w:rPr>
          <w:bCs w:val="0"/>
          <w:noProof/>
          <w:sz w:val="22"/>
        </w:rPr>
        <w:lastRenderedPageBreak/>
        <mc:AlternateContent>
          <mc:Choice Requires="wps">
            <w:drawing>
              <wp:anchor distT="45720" distB="45720" distL="114300" distR="114300" simplePos="0" relativeHeight="252041216" behindDoc="0" locked="0" layoutInCell="1" allowOverlap="1" wp14:anchorId="2251DC06" wp14:editId="39728B5A">
                <wp:simplePos x="0" y="0"/>
                <wp:positionH relativeFrom="column">
                  <wp:posOffset>0</wp:posOffset>
                </wp:positionH>
                <wp:positionV relativeFrom="paragraph">
                  <wp:posOffset>264795</wp:posOffset>
                </wp:positionV>
                <wp:extent cx="5562600" cy="1404620"/>
                <wp:effectExtent l="0" t="0" r="19050" b="25400"/>
                <wp:wrapSquare wrapText="bothSides"/>
                <wp:docPr id="106351718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2600" cy="1404620"/>
                        </a:xfrm>
                        <a:prstGeom prst="rect">
                          <a:avLst/>
                        </a:prstGeom>
                        <a:solidFill>
                          <a:srgbClr val="FFFFFF"/>
                        </a:solidFill>
                        <a:ln w="9525">
                          <a:solidFill>
                            <a:srgbClr val="000000"/>
                          </a:solidFill>
                          <a:miter lim="800000"/>
                          <a:headEnd/>
                          <a:tailEnd/>
                        </a:ln>
                      </wps:spPr>
                      <wps:txbx>
                        <w:txbxContent>
                          <w:p w14:paraId="2469806E" w14:textId="77777777" w:rsidR="007E67F1" w:rsidRPr="00CE0626" w:rsidRDefault="007E67F1" w:rsidP="007E67F1">
                            <w:pPr>
                              <w:shd w:val="clear" w:color="auto" w:fill="DEEAF6" w:themeFill="accent1" w:themeFillTint="33"/>
                              <w:rPr>
                                <w:sz w:val="20"/>
                                <w:szCs w:val="20"/>
                              </w:rPr>
                            </w:pPr>
                            <w:r w:rsidRPr="00B67B79">
                              <w:rPr>
                                <w:sz w:val="36"/>
                                <w:szCs w:val="36"/>
                              </w:rPr>
                              <w:sym w:font="Wingdings 2" w:char="F045"/>
                            </w:r>
                            <w:r w:rsidRPr="00100E83">
                              <w:rPr>
                                <w:bCs/>
                                <w:sz w:val="20"/>
                                <w:szCs w:val="20"/>
                              </w:rPr>
                              <w:t xml:space="preserve"> </w:t>
                            </w:r>
                            <w:r>
                              <w:rPr>
                                <w:bCs/>
                                <w:sz w:val="20"/>
                                <w:szCs w:val="20"/>
                              </w:rPr>
                              <w:t xml:space="preserve">Für die empirische </w:t>
                            </w:r>
                            <w:r w:rsidRPr="00CE0626">
                              <w:rPr>
                                <w:bCs/>
                                <w:sz w:val="20"/>
                                <w:szCs w:val="20"/>
                              </w:rPr>
                              <w:t>kulturvergleichende Forschung</w:t>
                            </w:r>
                            <w:r>
                              <w:rPr>
                                <w:sz w:val="36"/>
                                <w:szCs w:val="36"/>
                              </w:rPr>
                              <w:t xml:space="preserve"> </w:t>
                            </w:r>
                            <w:r w:rsidRPr="00100E83">
                              <w:rPr>
                                <w:bCs/>
                                <w:sz w:val="20"/>
                                <w:szCs w:val="20"/>
                              </w:rPr>
                              <w:t xml:space="preserve">ist der </w:t>
                            </w:r>
                            <w:r>
                              <w:rPr>
                                <w:bCs/>
                                <w:sz w:val="20"/>
                                <w:szCs w:val="20"/>
                              </w:rPr>
                              <w:t xml:space="preserve">Nutzen </w:t>
                            </w:r>
                            <w:r w:rsidRPr="00CE0626">
                              <w:rPr>
                                <w:bCs/>
                                <w:sz w:val="20"/>
                                <w:szCs w:val="20"/>
                              </w:rPr>
                              <w:t>der verschiedenen Schichtenmodelle begrenz</w:t>
                            </w:r>
                            <w:r>
                              <w:rPr>
                                <w:bCs/>
                                <w:sz w:val="20"/>
                                <w:szCs w:val="20"/>
                              </w:rPr>
                              <w:t>t. Denn sie erlauben es nicht, Landes- bzw. Unternehmensk</w:t>
                            </w:r>
                            <w:r w:rsidRPr="00CE0626">
                              <w:rPr>
                                <w:bCs/>
                                <w:sz w:val="20"/>
                                <w:szCs w:val="20"/>
                              </w:rPr>
                              <w:t>ulturen systematisch miteinander zu vergleichen. Vertreter der deskriptiv-verstehenden Kulturwissenschaften allerdings bewerten diese Modellvorstellungen weitaus positiver. Aus ihrer Sicht strukturieren und benennen Schichtenmodelle das Erkenntnisobjekt auf sinnha</w:t>
                            </w:r>
                            <w:r>
                              <w:rPr>
                                <w:bCs/>
                                <w:sz w:val="20"/>
                                <w:szCs w:val="20"/>
                              </w:rPr>
                              <w:t>fte und nachvollziehbare Weise, machen es greifbar und verständlich</w:t>
                            </w:r>
                            <w:r w:rsidRPr="00CE0626">
                              <w:rPr>
                                <w:bCs/>
                                <w:sz w:val="20"/>
                                <w:szCs w:val="20"/>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251DC06" id="_x0000_s1071" type="#_x0000_t202" style="position:absolute;left:0;text-align:left;margin-left:0;margin-top:20.85pt;width:438pt;height:110.6pt;z-index:252041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">
                <v:textbox style="mso-fit-shape-to-text:t">
                  <w:txbxContent>
                    <w:p w14:paraId="2469806E" w14:textId="77777777" w:rsidR="007E67F1" w:rsidRPr="00CE0626" w:rsidRDefault="007E67F1" w:rsidP="007E67F1">
                      <w:pPr>
                        <w:shd w:val="clear" w:color="auto" w:fill="DEEAF6" w:themeFill="accent1" w:themeFillTint="33"/>
                        <w:rPr>
                          <w:sz w:val="20"/>
                          <w:szCs w:val="20"/>
                        </w:rPr>
                      </w:pPr>
                      <w:r w:rsidRPr="00B67B79">
                        <w:rPr>
                          <w:sz w:val="36"/>
                          <w:szCs w:val="36"/>
                        </w:rPr>
                        <w:sym w:font="Wingdings 2" w:char="F045"/>
                      </w:r>
                      <w:r w:rsidRPr="00100E83">
                        <w:rPr>
                          <w:bCs/>
                          <w:sz w:val="20"/>
                          <w:szCs w:val="20"/>
                        </w:rPr>
                        <w:t xml:space="preserve"> </w:t>
                      </w:r>
                      <w:r>
                        <w:rPr>
                          <w:bCs/>
                          <w:sz w:val="20"/>
                          <w:szCs w:val="20"/>
                        </w:rPr>
                        <w:t xml:space="preserve">Für die empirische </w:t>
                      </w:r>
                      <w:r w:rsidRPr="00CE0626">
                        <w:rPr>
                          <w:bCs/>
                          <w:sz w:val="20"/>
                          <w:szCs w:val="20"/>
                        </w:rPr>
                        <w:t>kulturvergleichende Forschung</w:t>
                      </w:r>
                      <w:r>
                        <w:rPr>
                          <w:sz w:val="36"/>
                          <w:szCs w:val="36"/>
                        </w:rPr>
                        <w:t xml:space="preserve"> </w:t>
                      </w:r>
                      <w:r w:rsidRPr="00100E83">
                        <w:rPr>
                          <w:bCs/>
                          <w:sz w:val="20"/>
                          <w:szCs w:val="20"/>
                        </w:rPr>
                        <w:t xml:space="preserve">ist der </w:t>
                      </w:r>
                      <w:r>
                        <w:rPr>
                          <w:bCs/>
                          <w:sz w:val="20"/>
                          <w:szCs w:val="20"/>
                        </w:rPr>
                        <w:t xml:space="preserve">Nutzen </w:t>
                      </w:r>
                      <w:r w:rsidRPr="00CE0626">
                        <w:rPr>
                          <w:bCs/>
                          <w:sz w:val="20"/>
                          <w:szCs w:val="20"/>
                        </w:rPr>
                        <w:t>der verschiedenen Schichtenmodelle begrenz</w:t>
                      </w:r>
                      <w:r>
                        <w:rPr>
                          <w:bCs/>
                          <w:sz w:val="20"/>
                          <w:szCs w:val="20"/>
                        </w:rPr>
                        <w:t>t. Denn sie erlauben es nicht, Landes- bzw. Unternehmensk</w:t>
                      </w:r>
                      <w:r w:rsidRPr="00CE0626">
                        <w:rPr>
                          <w:bCs/>
                          <w:sz w:val="20"/>
                          <w:szCs w:val="20"/>
                        </w:rPr>
                        <w:t>ulturen systematisch miteinander zu vergleichen. Vertreter der deskriptiv-verstehenden Kulturwissenschaften allerdings bewerten diese Modellvorstellungen weitaus positiver. Aus ihrer Sicht strukturieren und benennen Schichtenmodelle das Erkenntnisobjekt auf sinnha</w:t>
                      </w:r>
                      <w:r>
                        <w:rPr>
                          <w:bCs/>
                          <w:sz w:val="20"/>
                          <w:szCs w:val="20"/>
                        </w:rPr>
                        <w:t>fte und nachvollziehbare Weise, machen es greifbar und verständlich</w:t>
                      </w:r>
                      <w:r w:rsidRPr="00CE0626">
                        <w:rPr>
                          <w:bCs/>
                          <w:sz w:val="20"/>
                          <w:szCs w:val="20"/>
                        </w:rPr>
                        <w:t>.</w:t>
                      </w:r>
                    </w:p>
                  </w:txbxContent>
                </v:textbox>
                <w10:wrap type="square"/>
              </v:shape>
            </w:pict>
          </mc:Fallback>
        </mc:AlternateContent>
      </w:r>
    </w:p>
    <w:p w14:paraId="63A5564D" w14:textId="77777777" w:rsidR="007E67F1" w:rsidRDefault="007E67F1" w:rsidP="00510E20">
      <w:pPr>
        <w:pStyle w:val="Literatur"/>
        <w:numPr>
          <w:ilvl w:val="0"/>
          <w:numId w:val="0"/>
        </w:numPr>
        <w:spacing w:line="240" w:lineRule="auto"/>
        <w:rPr>
          <w:bCs w:val="0"/>
          <w:noProof/>
          <w:sz w:val="20"/>
          <w:u w:val="single"/>
        </w:rPr>
      </w:pPr>
    </w:p>
    <w:p w14:paraId="58ECC34E" w14:textId="77777777" w:rsidR="007E67F1" w:rsidRPr="00BF04C9" w:rsidRDefault="007E67F1" w:rsidP="00510E20">
      <w:pPr>
        <w:pStyle w:val="Literatur"/>
        <w:numPr>
          <w:ilvl w:val="0"/>
          <w:numId w:val="0"/>
        </w:numPr>
        <w:spacing w:line="240" w:lineRule="auto"/>
        <w:rPr>
          <w:sz w:val="22"/>
          <w:szCs w:val="22"/>
          <w:lang w:val="en-US"/>
        </w:rPr>
      </w:pPr>
      <w:r w:rsidRPr="00510E20">
        <w:rPr>
          <w:b/>
          <w:bCs w:val="0"/>
          <w:i/>
          <w:noProof/>
          <w:sz w:val="22"/>
          <w:szCs w:val="22"/>
        </w:rPr>
        <w:t>Literatur:</w:t>
      </w:r>
      <w:r w:rsidRPr="00BF04C9">
        <w:rPr>
          <w:noProof/>
          <w:sz w:val="22"/>
          <w:szCs w:val="22"/>
        </w:rPr>
        <w:t xml:space="preserve"> </w:t>
      </w:r>
      <w:r w:rsidRPr="00BF04C9">
        <w:rPr>
          <w:sz w:val="22"/>
          <w:szCs w:val="22"/>
        </w:rPr>
        <w:t xml:space="preserve">Hofstede, G. (1993): Interkulturelle Zusammenarbeit, Wiesbaden: Gabler.    Müller, S.; Gelbrich, K. (2014): Interkulturelle Kommunikation, München: Vahlen.    Osgood, C. (1951): Culture. </w:t>
      </w:r>
      <w:r w:rsidRPr="00BF04C9">
        <w:rPr>
          <w:sz w:val="22"/>
          <w:szCs w:val="22"/>
          <w:lang w:val="en-US"/>
        </w:rPr>
        <w:t>Its Empirical and Non-Empirical Character, Southwestern Journal of Anthropology, 7(2): 202-214.    Schein, E.H. (1985): Organizational Culture and Leadership, San Francisco/CA: Jossey-Bass (4th Ed. = 2010).   Trompenaars, F. (1996): Resolving International Conflict. Culture and Business Strategy, Business Strategy Review, 7(3): 51-68.   Trompenaars, A.; Hampden-Turner, C. (1997): Riding the Waves of Culture. Understanding Cultural Diversity in Global Business, 2</w:t>
      </w:r>
      <w:r w:rsidRPr="00BF04C9">
        <w:rPr>
          <w:sz w:val="22"/>
          <w:szCs w:val="22"/>
          <w:vertAlign w:val="superscript"/>
          <w:lang w:val="en-US"/>
        </w:rPr>
        <w:t xml:space="preserve">nd </w:t>
      </w:r>
      <w:r w:rsidRPr="00BF04C9">
        <w:rPr>
          <w:sz w:val="22"/>
          <w:szCs w:val="22"/>
          <w:lang w:val="en-US"/>
        </w:rPr>
        <w:t>Ed., London: Irwin.</w:t>
      </w:r>
    </w:p>
    <w:p w14:paraId="0E0D606E" w14:textId="77777777" w:rsidR="007E67F1" w:rsidRPr="007F69DA" w:rsidRDefault="007E67F1" w:rsidP="00510E20">
      <w:pPr>
        <w:pStyle w:val="Literatur"/>
        <w:numPr>
          <w:ilvl w:val="0"/>
          <w:numId w:val="0"/>
        </w:numPr>
        <w:spacing w:line="240" w:lineRule="auto"/>
        <w:rPr>
          <w:sz w:val="20"/>
          <w:lang w:val="en-US"/>
        </w:rPr>
      </w:pPr>
    </w:p>
    <w:p w14:paraId="32390E50" w14:textId="77777777" w:rsidR="007E67F1" w:rsidRPr="007F69DA" w:rsidRDefault="007E67F1" w:rsidP="00510E20">
      <w:pPr>
        <w:pStyle w:val="berschrift1"/>
        <w:rPr>
          <w:b w:val="0"/>
          <w:color w:val="2E74B5"/>
        </w:rPr>
      </w:pPr>
      <w:r w:rsidRPr="007F69DA">
        <w:rPr>
          <w:color w:val="2E74B5"/>
        </w:rPr>
        <w:t>Protektionismus</w:t>
      </w:r>
    </w:p>
    <w:p w14:paraId="51E6EF4C" w14:textId="77777777" w:rsidR="007E67F1" w:rsidRDefault="007E67F1" w:rsidP="007E67F1">
      <w:pPr>
        <w:jc w:val="both"/>
        <w:rPr>
          <w:szCs w:val="24"/>
          <w:lang w:bidi="en-US"/>
        </w:rPr>
      </w:pPr>
      <w:r w:rsidRPr="007F69DA">
        <w:rPr>
          <w:szCs w:val="24"/>
          <w:lang w:bidi="en-US"/>
        </w:rPr>
        <w:t>zielt darauf, die internationale Wettbewerbsfähigkeit der eigenen Volkswirtschaft, einzelner Wirtschaftszweige oder Unternehmen zu Lasten konkurrierender Marktteilnehmer zu verbessern. Zusammen mit den klassischen tarifären Handelshemmnissen (Abgaben, Gebühren, Zölle etc.) stellen insb. die nicht-tarifären Handelshemmnisse ein nahezu unerschöpfliches Repertoire an Möglichkeiten dar, den Marktmechanismus außer Kraft zu setzen, um „nicht mehr“ wettbewerbsfähige Wirtschaftszweige zu unterstützen (vgl. Abb. 1). Sollen „noch nicht“ wettbewerbsfähigen Sektoren unterstützt werden, stehen industriepolitische Motive im Vordergrund: Aufbau bzw. Förderung sog. ‘infant industries‘. Anlass können auch Autarkiebestrebungen, zumeist im Energie-, Rüstungs- und im Agrarbereich, sein.</w:t>
      </w:r>
    </w:p>
    <w:p w14:paraId="6B8E0E3E" w14:textId="77777777" w:rsidR="00510E20" w:rsidRPr="007F69DA" w:rsidRDefault="00510E20" w:rsidP="007E67F1">
      <w:pPr>
        <w:jc w:val="both"/>
        <w:rPr>
          <w:szCs w:val="24"/>
          <w:lang w:bidi="en-US"/>
        </w:rPr>
      </w:pPr>
    </w:p>
    <w:p w14:paraId="23772774" w14:textId="77777777" w:rsidR="007E67F1" w:rsidRPr="007F69DA" w:rsidRDefault="007E67F1" w:rsidP="007E67F1"/>
    <w:p w14:paraId="2D3155BF" w14:textId="77777777" w:rsidR="007E67F1" w:rsidRPr="00BF04C9" w:rsidRDefault="007E67F1" w:rsidP="007E67F1">
      <w:pPr>
        <w:jc w:val="center"/>
        <w:rPr>
          <w:i/>
        </w:rPr>
      </w:pPr>
      <w:r w:rsidRPr="00BF04C9">
        <w:rPr>
          <w:i/>
        </w:rPr>
        <w:t xml:space="preserve">Abb. 1: Struktur nicht-tarifärer Handelshemmnisse </w:t>
      </w:r>
    </w:p>
    <w:p w14:paraId="58B35A99" w14:textId="77777777" w:rsidR="007E67F1" w:rsidRPr="007F69DA" w:rsidRDefault="007E67F1" w:rsidP="007E67F1">
      <w:pPr>
        <w:jc w:val="center"/>
      </w:pPr>
      <w:r w:rsidRPr="007F69DA">
        <w:rPr>
          <w:noProof/>
          <w:lang w:eastAsia="de-DE"/>
        </w:rPr>
        <w:drawing>
          <wp:inline distT="0" distB="0" distL="0" distR="0" wp14:anchorId="7A58C5DF" wp14:editId="3AABF579">
            <wp:extent cx="6486525" cy="2243455"/>
            <wp:effectExtent l="0" t="0" r="9525" b="4445"/>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6486525" cy="2243455"/>
                    </a:xfrm>
                    <a:prstGeom prst="rect">
                      <a:avLst/>
                    </a:prstGeom>
                    <a:noFill/>
                  </pic:spPr>
                </pic:pic>
              </a:graphicData>
            </a:graphic>
          </wp:inline>
        </w:drawing>
      </w:r>
    </w:p>
    <w:p w14:paraId="73A79418" w14:textId="77777777" w:rsidR="007E67F1" w:rsidRPr="007F69DA" w:rsidRDefault="007E67F1" w:rsidP="007E67F1">
      <w:pPr>
        <w:rPr>
          <w:sz w:val="16"/>
          <w:szCs w:val="16"/>
        </w:rPr>
      </w:pPr>
      <w:r w:rsidRPr="007F69DA">
        <w:rPr>
          <w:sz w:val="16"/>
          <w:szCs w:val="16"/>
        </w:rPr>
        <w:t xml:space="preserve"> Quelle: Quambusch (1989, Sp.786).</w:t>
      </w:r>
    </w:p>
    <w:p w14:paraId="7EE947DD" w14:textId="77777777" w:rsidR="007E67F1" w:rsidRPr="007F69DA" w:rsidRDefault="007E67F1" w:rsidP="007E67F1"/>
    <w:p w14:paraId="5676DFE5" w14:textId="77777777" w:rsidR="007E67F1" w:rsidRPr="007F69DA" w:rsidRDefault="007E67F1" w:rsidP="007E67F1">
      <w:pPr>
        <w:jc w:val="both"/>
        <w:rPr>
          <w:szCs w:val="24"/>
          <w:lang w:bidi="en-US"/>
        </w:rPr>
      </w:pPr>
      <w:r w:rsidRPr="007F69DA">
        <w:rPr>
          <w:szCs w:val="24"/>
          <w:lang w:bidi="en-US"/>
        </w:rPr>
        <w:t>Der Flaggen-Protektionismus ist eine Variante der nicht-tarifären Handelshemmnisse: die systematische Bevorzugung inländischer Anbieter durch staatliche Instanzen. So verpflichtet der Buy American Act seit 1933 amerikanische Behörden dazu, ausschließlich in den USA hergestellte Produkte zu beschaffen, außer es sind keine gleichwertigen heimischen Angebote erhältlich oder nur zu unverhältnismäßig hohen Preisen. Zu den subtileren Instrumenten des Protektionismus zählen die nicht immer als nicht-tarifäre Handelshemmnisse erkennbaren „freiwilligen“ Selbst</w:t>
      </w:r>
      <w:r w:rsidRPr="007F69DA">
        <w:rPr>
          <w:szCs w:val="24"/>
          <w:lang w:bidi="en-US"/>
        </w:rPr>
        <w:softHyphen/>
        <w:t>beschränkungsabkommen. Sie konkretisieren sich zumeist in Form von Rechts- und Verwaltungs</w:t>
      </w:r>
      <w:r w:rsidRPr="007F69DA">
        <w:rPr>
          <w:szCs w:val="24"/>
          <w:lang w:bidi="en-US"/>
        </w:rPr>
        <w:softHyphen/>
        <w:t xml:space="preserve">vorschriften oder in Praktiken der Gesetzgebung, der Rechtsprechung bzw. der Verwaltung. </w:t>
      </w:r>
    </w:p>
    <w:p w14:paraId="297842B6" w14:textId="77777777" w:rsidR="007E67F1" w:rsidRPr="007F69DA" w:rsidRDefault="007E67F1" w:rsidP="007E67F1"/>
    <w:p w14:paraId="05A416E3" w14:textId="77777777" w:rsidR="007E67F1" w:rsidRPr="007F69DA" w:rsidRDefault="007E67F1" w:rsidP="007E67F1">
      <w:pPr>
        <w:spacing w:line="360" w:lineRule="auto"/>
      </w:pPr>
      <w:r w:rsidRPr="007F69DA">
        <w:lastRenderedPageBreak/>
        <w:t>Mit den Ursachen von Protektionismus befassen sich u.a. volkswirtschaftlich, politisch, ökonomisch, empirisch und wirtschaftspsychologisch argumentierende Wissenschaftler.</w:t>
      </w:r>
    </w:p>
    <w:p w14:paraId="030EC2FB" w14:textId="77777777" w:rsidR="007E67F1" w:rsidRPr="007F69DA" w:rsidRDefault="007E67F1" w:rsidP="00510E20">
      <w:pPr>
        <w:pStyle w:val="Listenabsatz"/>
        <w:widowControl/>
        <w:numPr>
          <w:ilvl w:val="0"/>
          <w:numId w:val="36"/>
        </w:numPr>
        <w:autoSpaceDE/>
        <w:autoSpaceDN/>
        <w:ind w:left="567" w:hanging="425"/>
        <w:contextualSpacing/>
      </w:pPr>
      <w:r w:rsidRPr="007F69DA">
        <w:t>Klassischer volkswirtschaftlicher Erklärungsansatz (z.B. „Wechselkurs-Protektionismus als Folge der Diskrepanz zwischen der strukturellen Trägheit der Volkswirtschaften und der Flexibilität der deregulierten Finanzmärkte sowie der multioptionalen globalen Unternehmen“)</w:t>
      </w:r>
    </w:p>
    <w:p w14:paraId="685AD9B8" w14:textId="77777777" w:rsidR="007E67F1" w:rsidRPr="007F69DA" w:rsidRDefault="007E67F1" w:rsidP="00510E20">
      <w:pPr>
        <w:pStyle w:val="Listenabsatz"/>
        <w:widowControl/>
        <w:numPr>
          <w:ilvl w:val="0"/>
          <w:numId w:val="36"/>
        </w:numPr>
        <w:autoSpaceDE/>
        <w:autoSpaceDN/>
        <w:ind w:left="567" w:hanging="425"/>
        <w:contextualSpacing/>
      </w:pPr>
      <w:r w:rsidRPr="007F69DA">
        <w:t>Politisch-ökonomische Theorie des Protektionismus („Handelsschranken als Folge der Fähigkeit der wirtschaftlichen Akteure [insb. in den von Strukturkrisen betroffenen Wirtschaftszweigen und Branchen], die politischen Akteure zu beeinflussen [z.B. Importbeschrän</w:t>
      </w:r>
      <w:r w:rsidRPr="007F69DA">
        <w:softHyphen/>
        <w:t>kungen zu erlassen]“)</w:t>
      </w:r>
    </w:p>
    <w:p w14:paraId="005F4D14" w14:textId="77777777" w:rsidR="007E67F1" w:rsidRPr="007F69DA" w:rsidRDefault="007E67F1" w:rsidP="00510E20">
      <w:pPr>
        <w:pStyle w:val="Listenabsatz"/>
        <w:widowControl/>
        <w:numPr>
          <w:ilvl w:val="0"/>
          <w:numId w:val="36"/>
        </w:numPr>
        <w:autoSpaceDE/>
        <w:autoSpaceDN/>
        <w:ind w:left="567" w:hanging="284"/>
        <w:contextualSpacing/>
      </w:pPr>
      <w:r w:rsidRPr="007F69DA">
        <w:t>Empirische Wirtschaftsforschung („Protektionismus als Folge ungenügender interna</w:t>
      </w:r>
      <w:r w:rsidRPr="007F69DA">
        <w:softHyphen/>
        <w:t>tionaler Wettbewerbsfähigkeit“)</w:t>
      </w:r>
      <w:r w:rsidRPr="007F69DA">
        <w:rPr>
          <w:vertAlign w:val="superscript"/>
        </w:rPr>
        <w:t xml:space="preserve"> </w:t>
      </w:r>
    </w:p>
    <w:p w14:paraId="631CAB97" w14:textId="77777777" w:rsidR="007E67F1" w:rsidRPr="007F69DA" w:rsidRDefault="007E67F1" w:rsidP="00510E20">
      <w:pPr>
        <w:pStyle w:val="Listenabsatz"/>
        <w:widowControl/>
        <w:numPr>
          <w:ilvl w:val="0"/>
          <w:numId w:val="36"/>
        </w:numPr>
        <w:autoSpaceDE/>
        <w:autoSpaceDN/>
        <w:ind w:left="567" w:hanging="284"/>
        <w:contextualSpacing/>
      </w:pPr>
      <w:r w:rsidRPr="007F69DA">
        <w:t xml:space="preserve">Wirtschaftspsychologie („Protektionismus als Folge von Angst vor Veränderungen und des Gefühls der Unterlegenheit). </w:t>
      </w:r>
    </w:p>
    <w:p w14:paraId="5DEFA9F4" w14:textId="77777777" w:rsidR="007E67F1" w:rsidRPr="007F69DA" w:rsidRDefault="007E67F1" w:rsidP="00510E20">
      <w:pPr>
        <w:pStyle w:val="Literatur"/>
        <w:numPr>
          <w:ilvl w:val="0"/>
          <w:numId w:val="0"/>
        </w:numPr>
        <w:ind w:left="786"/>
      </w:pPr>
    </w:p>
    <w:p w14:paraId="4E57E5A8" w14:textId="77777777" w:rsidR="007E67F1" w:rsidRPr="007F69DA" w:rsidRDefault="007E67F1" w:rsidP="007E67F1">
      <w:pPr>
        <w:jc w:val="both"/>
        <w:rPr>
          <w:szCs w:val="24"/>
          <w:lang w:bidi="en-US"/>
        </w:rPr>
      </w:pPr>
      <w:r w:rsidRPr="007F69DA">
        <w:rPr>
          <w:szCs w:val="24"/>
          <w:lang w:bidi="en-US"/>
        </w:rPr>
        <w:t xml:space="preserve">Frauen sind im Regelfall protektionistischer eingestellt als Männer (vgl. O´Rourke/Sinnot 2001). Vor allem bei der älteren Bevölkerung, die einen Collegeabschluss besitzt, macht sich dieser Geschlechterunterschied bemerkbar (vgl. Burgoon/Hiscox 2008). Weiterhin sind, wie Shulman (2002) berichtet, chauvinistische Probanden offen für Eingriffe in den freien Handel. Gleiches gilt für die domestizierte Form des Chauvinismus: den Nationalstolz, wozu Männer mehr neigen als Frauen. Menschen, die auf ihre Nation besonders stolz sind, befürworten in starkem Maße protektionistische Eingriffe – vor allem dann, wenn es ihnen an Vertrauen in die demokratischen Institutionen ihres Landes mangelt (vgl. Mayda/Rodrik 2005). </w:t>
      </w:r>
    </w:p>
    <w:p w14:paraId="1D124D14" w14:textId="77777777" w:rsidR="007E67F1" w:rsidRPr="007F69DA" w:rsidRDefault="007E67F1" w:rsidP="007E67F1">
      <w:pPr>
        <w:rPr>
          <w:b/>
          <w:bCs/>
          <w:noProof/>
          <w:sz w:val="20"/>
          <w:szCs w:val="20"/>
        </w:rPr>
      </w:pPr>
    </w:p>
    <w:p w14:paraId="6223B315" w14:textId="77777777" w:rsidR="007E67F1" w:rsidRPr="00BF04C9" w:rsidRDefault="007E67F1" w:rsidP="007E67F1">
      <w:pPr>
        <w:rPr>
          <w:bCs/>
          <w:noProof/>
          <w:lang w:val="en-US"/>
        </w:rPr>
      </w:pPr>
      <w:r w:rsidRPr="00510E20">
        <w:rPr>
          <w:b/>
          <w:i/>
          <w:noProof/>
          <w:lang w:val="en-US"/>
        </w:rPr>
        <w:t>Literatur:</w:t>
      </w:r>
      <w:r w:rsidRPr="00BF04C9">
        <w:rPr>
          <w:bCs/>
          <w:noProof/>
          <w:lang w:val="en-US"/>
        </w:rPr>
        <w:t xml:space="preserve"> Abboushi, S. (2010): Trade protectionism: Reasons and outcomes, Competitiveness Review: An International Business Journal, 20(5): 384-394.    Burgoon, B.A.; Hiscox, M.J. (2008): The Gender Divide over International Trade. Why Do Men and Women Have Different Views about Openess to the World Economy? Working Paper, Cambridge/MA: Harvard University.    Mayda, A.M.; Rodrik, D. (2005): Why are Some People (and Countries) More Protectionist than Others? European Economic Review, 49(6): 1393</w:t>
      </w:r>
      <w:r w:rsidRPr="00BF04C9">
        <w:rPr>
          <w:bCs/>
          <w:noProof/>
          <w:lang w:val="en-US"/>
        </w:rPr>
        <w:noBreakHyphen/>
        <w:t xml:space="preserve">1430.    O´Rourke, K.H.; Sinnott, R. (2001): What Determines Attitudes Toward Protection? Some Cross-Country Evidence, in: Collins, S.M.; Rodrik, D. (Eds.), Brookings Trade Forum, 157-206, Washington/D.C.: Brookings Institute Press.    </w:t>
      </w:r>
      <w:r w:rsidRPr="00BF04C9">
        <w:rPr>
          <w:bCs/>
          <w:noProof/>
        </w:rPr>
        <w:t xml:space="preserve">Quambusch, L. (1989): Handelshemmnisse, nicht-tarifäre, in: Macharzina, K.; Welge, M.K. (Hrsg.), Handwörterbuch Export und Internationale Unternehmung, 782-799, Stuttgart: Schäffer-Poeschell.    </w:t>
      </w:r>
      <w:r w:rsidRPr="00BF04C9">
        <w:rPr>
          <w:bCs/>
          <w:noProof/>
          <w:lang w:val="en-US"/>
        </w:rPr>
        <w:t>Shulman, S. (2002): Challenging the Civic/Ethnic and West/East Dichotomies in the Study of Nationalism, Comparative Political Studies, 35(5): 554-585.</w:t>
      </w:r>
    </w:p>
    <w:p w14:paraId="0E9A1D06" w14:textId="77777777" w:rsidR="007E67F1" w:rsidRPr="007F69DA" w:rsidRDefault="007E67F1" w:rsidP="007E67F1">
      <w:pPr>
        <w:rPr>
          <w:bCs/>
          <w:noProof/>
          <w:sz w:val="20"/>
          <w:szCs w:val="20"/>
          <w:lang w:val="en-US"/>
        </w:rPr>
      </w:pPr>
    </w:p>
    <w:p w14:paraId="20FF57DB" w14:textId="77777777" w:rsidR="00FF7799" w:rsidRPr="00510E20" w:rsidRDefault="00FF7799" w:rsidP="003F5DD5">
      <w:pPr>
        <w:pStyle w:val="berschrift1"/>
        <w:rPr>
          <w:color w:val="2E74B5"/>
        </w:rPr>
      </w:pPr>
      <w:r w:rsidRPr="00510E20">
        <w:rPr>
          <w:color w:val="2E74B5"/>
        </w:rPr>
        <w:t>Novelty Seeking</w:t>
      </w:r>
    </w:p>
    <w:p w14:paraId="7EDA3469" w14:textId="77777777" w:rsidR="00FF7799" w:rsidRPr="00E73F6F" w:rsidRDefault="00FF7799" w:rsidP="00BA06F6">
      <w:pPr>
        <w:pStyle w:val="StandardText"/>
      </w:pPr>
      <w:r w:rsidRPr="00E73F6F">
        <w:t xml:space="preserve">Streben nach Abwechslung und Neuem. Dieses </w:t>
      </w:r>
      <w:r w:rsidRPr="00E73F6F">
        <w:rPr>
          <w:rFonts w:ascii="Cambria Math" w:hAnsi="Cambria Math" w:cs="Cambria Math"/>
        </w:rPr>
        <w:t>⇒</w:t>
      </w:r>
      <w:r w:rsidRPr="00E73F6F">
        <w:t xml:space="preserve"> Konstrukt lässt sich mit der Lee-Crompton-Skala erfassen.</w:t>
      </w:r>
    </w:p>
    <w:p w14:paraId="1419A7C5" w14:textId="77777777" w:rsidR="00FF7799" w:rsidRPr="00420B47" w:rsidRDefault="00FF7799" w:rsidP="00BA06F6">
      <w:pPr>
        <w:pStyle w:val="StandardText"/>
        <w:rPr>
          <w:sz w:val="22"/>
          <w:szCs w:val="22"/>
          <w:lang w:val="en-US"/>
        </w:rPr>
      </w:pPr>
      <w:r w:rsidRPr="00420B47">
        <w:rPr>
          <w:b/>
          <w:i/>
          <w:sz w:val="22"/>
          <w:szCs w:val="22"/>
          <w:lang w:val="en-US"/>
        </w:rPr>
        <w:t>Literatur:</w:t>
      </w:r>
      <w:r w:rsidRPr="00420B47">
        <w:rPr>
          <w:b/>
          <w:sz w:val="22"/>
          <w:szCs w:val="22"/>
          <w:lang w:val="en-US"/>
        </w:rPr>
        <w:t xml:space="preserve"> </w:t>
      </w:r>
      <w:r w:rsidRPr="00420B47">
        <w:rPr>
          <w:sz w:val="22"/>
          <w:szCs w:val="22"/>
          <w:lang w:val="en-US"/>
        </w:rPr>
        <w:t>Jeong, S.-O.; Park, S.-H.</w:t>
      </w:r>
      <w:r w:rsidRPr="00420B47">
        <w:rPr>
          <w:i/>
          <w:sz w:val="22"/>
          <w:szCs w:val="22"/>
          <w:lang w:val="en-US"/>
        </w:rPr>
        <w:t xml:space="preserve"> </w:t>
      </w:r>
      <w:r w:rsidRPr="00420B47">
        <w:rPr>
          <w:sz w:val="22"/>
          <w:szCs w:val="22"/>
          <w:lang w:val="en-US"/>
        </w:rPr>
        <w:t>(1997): A Cross-cultural Application of the Novelty</w:t>
      </w:r>
      <w:r w:rsidRPr="00420B47">
        <w:rPr>
          <w:spacing w:val="40"/>
          <w:sz w:val="22"/>
          <w:szCs w:val="22"/>
          <w:lang w:val="en-US"/>
        </w:rPr>
        <w:t xml:space="preserve"> </w:t>
      </w:r>
      <w:r w:rsidRPr="00420B47">
        <w:rPr>
          <w:sz w:val="22"/>
          <w:szCs w:val="22"/>
          <w:lang w:val="en-US"/>
        </w:rPr>
        <w:t>Scale, Annuals of Tourism Research, 24(1): 238-240.</w:t>
      </w:r>
    </w:p>
    <w:p w14:paraId="3745DB5A" w14:textId="77777777" w:rsidR="00FF7799" w:rsidRPr="00E35FFF" w:rsidRDefault="00FF7799" w:rsidP="00BA06F6">
      <w:pPr>
        <w:pStyle w:val="StandardText"/>
        <w:rPr>
          <w:lang w:val="en-US"/>
        </w:rPr>
      </w:pPr>
    </w:p>
    <w:p w14:paraId="0DFCDAAC" w14:textId="77777777" w:rsidR="00FF7799" w:rsidRPr="00510E20" w:rsidRDefault="00FF7799" w:rsidP="003F5DD5">
      <w:pPr>
        <w:pStyle w:val="berschrift1"/>
        <w:rPr>
          <w:color w:val="2E74B5"/>
        </w:rPr>
      </w:pPr>
      <w:r w:rsidRPr="00510E20">
        <w:rPr>
          <w:color w:val="2E74B5"/>
        </w:rPr>
        <w:t>Nukleus-Strategie</w:t>
      </w:r>
    </w:p>
    <w:p w14:paraId="385DBD32" w14:textId="77777777" w:rsidR="00FF7799" w:rsidRPr="00E73F6F" w:rsidRDefault="00FF7799" w:rsidP="00086BF9">
      <w:pPr>
        <w:pStyle w:val="StandardText"/>
      </w:pPr>
      <w:r w:rsidRPr="00E73F6F">
        <w:t>internationale</w:t>
      </w:r>
      <w:r w:rsidRPr="00E73F6F">
        <w:rPr>
          <w:spacing w:val="-3"/>
        </w:rPr>
        <w:t xml:space="preserve"> </w:t>
      </w:r>
      <w:r w:rsidRPr="00E73F6F">
        <w:t>Markteintrittsstrategie.</w:t>
      </w:r>
      <w:r w:rsidRPr="00E73F6F">
        <w:rPr>
          <w:spacing w:val="-3"/>
        </w:rPr>
        <w:t xml:space="preserve"> </w:t>
      </w:r>
      <w:r w:rsidRPr="00E73F6F">
        <w:t>Das</w:t>
      </w:r>
      <w:r w:rsidRPr="00E73F6F">
        <w:rPr>
          <w:spacing w:val="-3"/>
        </w:rPr>
        <w:t xml:space="preserve"> </w:t>
      </w:r>
      <w:r w:rsidRPr="00E73F6F">
        <w:t>Unternehmen</w:t>
      </w:r>
      <w:r w:rsidRPr="00E73F6F">
        <w:rPr>
          <w:spacing w:val="-3"/>
        </w:rPr>
        <w:t xml:space="preserve"> </w:t>
      </w:r>
      <w:r w:rsidRPr="00E73F6F">
        <w:t>erschließt</w:t>
      </w:r>
      <w:r w:rsidRPr="00E73F6F">
        <w:rPr>
          <w:spacing w:val="-3"/>
        </w:rPr>
        <w:t xml:space="preserve"> </w:t>
      </w:r>
      <w:r w:rsidRPr="00E73F6F">
        <w:t>zunächst</w:t>
      </w:r>
      <w:r w:rsidRPr="00E73F6F">
        <w:rPr>
          <w:spacing w:val="-3"/>
        </w:rPr>
        <w:t xml:space="preserve"> </w:t>
      </w:r>
      <w:r w:rsidRPr="00E73F6F">
        <w:t>einen Stützpunkt- bzw. Schlüsselmarkt, von dem aus es seine Tätigkeit auf die umliegende Region ausweitet (z.B. Thailand als „Nukleus“ für den südostasiatischen Raum).</w:t>
      </w:r>
    </w:p>
    <w:p w14:paraId="7F2FF04A" w14:textId="77777777" w:rsidR="00FF7799" w:rsidRPr="00E73F6F" w:rsidRDefault="00FF7799" w:rsidP="00086BF9">
      <w:pPr>
        <w:pStyle w:val="StandardText"/>
      </w:pPr>
    </w:p>
    <w:p w14:paraId="6D2251DF" w14:textId="77777777" w:rsidR="00FF7799" w:rsidRPr="00510E20" w:rsidRDefault="00FF7799" w:rsidP="003F5DD5">
      <w:pPr>
        <w:pStyle w:val="berschrift1"/>
        <w:rPr>
          <w:color w:val="2E74B5"/>
        </w:rPr>
      </w:pPr>
      <w:r w:rsidRPr="00510E20">
        <w:rPr>
          <w:color w:val="2E74B5"/>
        </w:rPr>
        <w:t>Nutzen</w:t>
      </w:r>
    </w:p>
    <w:p w14:paraId="58ABD61D" w14:textId="77777777" w:rsidR="00FF7799" w:rsidRPr="00E73F6F" w:rsidRDefault="00FF7799" w:rsidP="00BA06F6">
      <w:pPr>
        <w:pStyle w:val="StandardText"/>
      </w:pPr>
      <w:r w:rsidRPr="00E73F6F">
        <w:lastRenderedPageBreak/>
        <w:t>„nach subjektiven Maßstäbe bewertbares und deshalb intersubjektive nur schwer überprüfbares Maß an Bedürfnisbefriedigung“ (Esch et al. 2017, S. 235). In der Entscheidungstheorie wird der subjektive Wert einer (Entscheidungs-, Verhaltens-)Konsequenz als Nutzen bezeichnet. Er kann nicht direkt beobachtet werden, sondern muss aus den individuellen Präferenzen erschlossen werden. Produktpolitisch versteht man unter Nutzen Art und Ausmaß der Bedürfnisbefriedigung durch ein Pro</w:t>
      </w:r>
      <w:r w:rsidR="00420B47">
        <w:t>dukt bzw. eine Dienstleistung (</w:t>
      </w:r>
      <w:r w:rsidR="00420B47">
        <w:sym w:font="Symbol" w:char="F0DE"/>
      </w:r>
      <w:r w:rsidRPr="00E73F6F">
        <w:t xml:space="preserve"> Bedürfnis). Unterschieden werden u.a. der Grundnutzen (bzw. funktionaler Nutzen) und der Zusatznutzen (bzw. symbolischer oder hedonistischer Nutzen). Der Nutzen, den die funktionalen Eigenschaften einer Ware bieten (z.B. durch ihre physikalischen, chemischen oder technischen Eigenschaften), wird als „Grundnutzen“ bezeichnet. Als „Zusatznutzen“ bezeichnet man psychologisch erklärbare Nutzenkomponenten (z.B. Ästhetik, Prestige), die nicht zur Funktionalität eines Produkts beitragen. Weiterhin werden der hedonistische und der utilitaristische Nutzen unterschieden. Der „hedonistische Nutzen“ umfasst Nutzenkomponenten, welche Freude, Genu</w:t>
      </w:r>
      <w:r w:rsidR="00420B47">
        <w:t xml:space="preserve">ss, Spaß etc. bereiten und das </w:t>
      </w:r>
      <w:r w:rsidR="00420B47">
        <w:sym w:font="Symbol" w:char="F0DE"/>
      </w:r>
      <w:r w:rsidRPr="00E73F6F">
        <w:t xml:space="preserve"> Selbstbild des Käufers bzw. Verbrauchers stärken (z.B. der Prestigewert eines Angebots). Der Nutzen, für den die Zweckmäßigkeit eines Produkts bzw. einer Leistung sorgt, wird als „utilitaristisch“ bezeichnet.</w:t>
      </w:r>
    </w:p>
    <w:p w14:paraId="53420B59" w14:textId="77777777" w:rsidR="00FF7799" w:rsidRPr="00420B47" w:rsidRDefault="00FF7799" w:rsidP="00BA06F6">
      <w:pPr>
        <w:pStyle w:val="StandardText"/>
        <w:rPr>
          <w:sz w:val="22"/>
          <w:szCs w:val="22"/>
        </w:rPr>
      </w:pPr>
      <w:r w:rsidRPr="00420B47">
        <w:rPr>
          <w:b/>
          <w:i/>
          <w:sz w:val="22"/>
          <w:szCs w:val="22"/>
          <w:lang w:val="en-US"/>
        </w:rPr>
        <w:t>Literatur:</w:t>
      </w:r>
      <w:r w:rsidRPr="00420B47">
        <w:rPr>
          <w:sz w:val="22"/>
          <w:szCs w:val="22"/>
          <w:lang w:val="en-US"/>
        </w:rPr>
        <w:t xml:space="preserve"> Babin, B.J.; Darden, W.R.; Griffin, M. (1994): Work and/or Fun. Measuring Hedonic and Utilitarian Shopping Value, Journal of Consumer Research, 20(4): 644-656. </w:t>
      </w:r>
      <w:r w:rsidRPr="00420B47">
        <w:rPr>
          <w:sz w:val="22"/>
          <w:szCs w:val="22"/>
        </w:rPr>
        <w:t>Esch, F.-R.; Herrmann, A.; Sattler, H. (2017): Marketing, 5. Aufl., München: Vahlen.</w:t>
      </w:r>
    </w:p>
    <w:p w14:paraId="27BA35FE" w14:textId="77777777" w:rsidR="00FF7799" w:rsidRPr="00420B47" w:rsidRDefault="00FF7799" w:rsidP="00BA06F6">
      <w:pPr>
        <w:pStyle w:val="StandardText"/>
        <w:rPr>
          <w:sz w:val="22"/>
          <w:szCs w:val="22"/>
        </w:rPr>
      </w:pPr>
    </w:p>
    <w:p w14:paraId="2DB610E4" w14:textId="77777777" w:rsidR="00FF7799" w:rsidRPr="00510E20" w:rsidRDefault="00FF7799" w:rsidP="003F5DD5">
      <w:pPr>
        <w:pStyle w:val="berschrift1"/>
        <w:rPr>
          <w:color w:val="2E74B5"/>
        </w:rPr>
      </w:pPr>
      <w:r w:rsidRPr="00510E20">
        <w:rPr>
          <w:color w:val="2E74B5"/>
        </w:rPr>
        <w:t>Observer Bias</w:t>
      </w:r>
    </w:p>
    <w:p w14:paraId="3CB2B679" w14:textId="77777777" w:rsidR="00FF7799" w:rsidRPr="00E73F6F" w:rsidRDefault="00FF7799" w:rsidP="00BA06F6">
      <w:pPr>
        <w:pStyle w:val="StandardText"/>
      </w:pPr>
      <w:r w:rsidRPr="00E73F6F">
        <w:t>systematische Verzerrung von Untersuchungsbefunden aufgrund des zumeist unbewussten und unkontrollierten Einflusses von Erwartungen, Überzeugungen etc.</w:t>
      </w:r>
    </w:p>
    <w:p w14:paraId="2F0F09EA" w14:textId="77777777" w:rsidR="00FF7799" w:rsidRPr="00E73F6F" w:rsidRDefault="00FF7799" w:rsidP="00BA06F6">
      <w:pPr>
        <w:pStyle w:val="StandardText"/>
      </w:pPr>
    </w:p>
    <w:p w14:paraId="6EFC1432" w14:textId="77777777" w:rsidR="00FF7799" w:rsidRPr="00510E20" w:rsidRDefault="00FF7799" w:rsidP="003F5DD5">
      <w:pPr>
        <w:pStyle w:val="berschrift1"/>
        <w:rPr>
          <w:color w:val="2E74B5"/>
        </w:rPr>
      </w:pPr>
      <w:r w:rsidRPr="00510E20">
        <w:rPr>
          <w:color w:val="2E74B5"/>
        </w:rPr>
        <w:t>Ökologischer Fehlschluss</w:t>
      </w:r>
    </w:p>
    <w:p w14:paraId="579FB939" w14:textId="77777777" w:rsidR="00FF7799" w:rsidRPr="00E73F6F" w:rsidRDefault="00FF7799" w:rsidP="00BA06F6">
      <w:pPr>
        <w:pStyle w:val="StandardText"/>
      </w:pPr>
      <w:r w:rsidRPr="00E73F6F">
        <w:t>entsteht, wenn Beziehungen, die auf der makroökonomischen bzw. der makrosoziologischen Ebene (z.B. Landeskultur bzw. Unternehmenskultur) bestehen, auf die individuelle Ebene übertragen werden (d.h. auf die Beziehung zwischen einzelnen Personen). Dieser in der englischsprachigen Literatur 'ecological fallacy' genannte Fehler unterläuft häufig dann, wenn Kultur persönlichkeitspsychologisch interpretiert wird: als Modalpersönlichkeit. Beim „umgekehrten ökologischen Fehlschluss“ ('reverse ecological fallacy') überträgt man Befunde, die auf Individualebene gewonnen wurden, unzulässigerweise auf die aggregierte Ebene der (Landes-)Kultur. Als „ökologisch“ werden in diesem Zusammenhang seit W.S. Robinson Daten bezeichnet,</w:t>
      </w:r>
      <w:r w:rsidRPr="00E73F6F">
        <w:rPr>
          <w:spacing w:val="-12"/>
        </w:rPr>
        <w:t xml:space="preserve"> </w:t>
      </w:r>
      <w:r w:rsidRPr="00E73F6F">
        <w:t>die</w:t>
      </w:r>
      <w:r w:rsidRPr="00E73F6F">
        <w:rPr>
          <w:spacing w:val="-11"/>
        </w:rPr>
        <w:t xml:space="preserve"> </w:t>
      </w:r>
      <w:r w:rsidRPr="00E73F6F">
        <w:t>über</w:t>
      </w:r>
      <w:r w:rsidRPr="00E73F6F">
        <w:rPr>
          <w:spacing w:val="-11"/>
        </w:rPr>
        <w:t xml:space="preserve"> </w:t>
      </w:r>
      <w:r w:rsidRPr="00E73F6F">
        <w:t>geografisch</w:t>
      </w:r>
      <w:r w:rsidRPr="00E73F6F">
        <w:rPr>
          <w:spacing w:val="-11"/>
        </w:rPr>
        <w:t xml:space="preserve"> </w:t>
      </w:r>
      <w:r w:rsidRPr="00E73F6F">
        <w:t>abgrenzbare</w:t>
      </w:r>
      <w:r w:rsidRPr="00E73F6F">
        <w:rPr>
          <w:spacing w:val="-12"/>
        </w:rPr>
        <w:t xml:space="preserve"> </w:t>
      </w:r>
      <w:r w:rsidRPr="00E73F6F">
        <w:t>Regionen</w:t>
      </w:r>
      <w:r w:rsidRPr="00E73F6F">
        <w:rPr>
          <w:spacing w:val="-11"/>
        </w:rPr>
        <w:t xml:space="preserve"> </w:t>
      </w:r>
      <w:r w:rsidRPr="00E73F6F">
        <w:t>oder</w:t>
      </w:r>
      <w:r w:rsidRPr="00E73F6F">
        <w:rPr>
          <w:spacing w:val="-11"/>
        </w:rPr>
        <w:t xml:space="preserve"> </w:t>
      </w:r>
      <w:r w:rsidRPr="00E73F6F">
        <w:t>anderweitig</w:t>
      </w:r>
      <w:r w:rsidRPr="00E73F6F">
        <w:rPr>
          <w:spacing w:val="-11"/>
        </w:rPr>
        <w:t xml:space="preserve"> </w:t>
      </w:r>
      <w:r w:rsidRPr="00E73F6F">
        <w:t>definierte Kollektive aggregiert wurden.</w:t>
      </w:r>
    </w:p>
    <w:p w14:paraId="2591B1AD" w14:textId="77777777" w:rsidR="00FF7799" w:rsidRPr="00420B47" w:rsidRDefault="00FF7799" w:rsidP="00BA06F6">
      <w:pPr>
        <w:pStyle w:val="StandardText"/>
        <w:rPr>
          <w:sz w:val="22"/>
          <w:szCs w:val="22"/>
          <w:lang w:val="en-US"/>
        </w:rPr>
      </w:pPr>
      <w:r w:rsidRPr="00420B47">
        <w:rPr>
          <w:b/>
          <w:i/>
          <w:sz w:val="22"/>
          <w:szCs w:val="22"/>
          <w:lang w:val="en-US"/>
        </w:rPr>
        <w:t xml:space="preserve">Literatur: </w:t>
      </w:r>
      <w:r w:rsidRPr="00420B47">
        <w:rPr>
          <w:sz w:val="22"/>
          <w:szCs w:val="22"/>
          <w:lang w:val="en-US"/>
        </w:rPr>
        <w:t>Nasif, E.G.; Al-Daeaj, H.; Ebrahimi, B.; Thibodeaux, M.S. (1991):</w:t>
      </w:r>
      <w:r w:rsidRPr="00420B47">
        <w:rPr>
          <w:spacing w:val="40"/>
          <w:sz w:val="22"/>
          <w:szCs w:val="22"/>
          <w:lang w:val="en-US"/>
        </w:rPr>
        <w:t xml:space="preserve"> </w:t>
      </w:r>
      <w:r w:rsidRPr="00420B47">
        <w:rPr>
          <w:sz w:val="22"/>
          <w:szCs w:val="22"/>
          <w:lang w:val="en-US"/>
        </w:rPr>
        <w:t>Methodological Problems in Cross-Cultural Research. An Updated Review, Management</w:t>
      </w:r>
      <w:r w:rsidRPr="00420B47">
        <w:rPr>
          <w:spacing w:val="40"/>
          <w:sz w:val="22"/>
          <w:szCs w:val="22"/>
          <w:lang w:val="en-US"/>
        </w:rPr>
        <w:t xml:space="preserve"> </w:t>
      </w:r>
      <w:r w:rsidRPr="00420B47">
        <w:rPr>
          <w:sz w:val="22"/>
          <w:szCs w:val="22"/>
          <w:lang w:val="en-US"/>
        </w:rPr>
        <w:t>International</w:t>
      </w:r>
      <w:r w:rsidRPr="00420B47">
        <w:rPr>
          <w:spacing w:val="-6"/>
          <w:sz w:val="22"/>
          <w:szCs w:val="22"/>
          <w:lang w:val="en-US"/>
        </w:rPr>
        <w:t xml:space="preserve"> </w:t>
      </w:r>
      <w:r w:rsidRPr="00420B47">
        <w:rPr>
          <w:sz w:val="22"/>
          <w:szCs w:val="22"/>
          <w:lang w:val="en-US"/>
        </w:rPr>
        <w:t>Review,</w:t>
      </w:r>
      <w:r w:rsidRPr="00420B47">
        <w:rPr>
          <w:spacing w:val="-6"/>
          <w:sz w:val="22"/>
          <w:szCs w:val="22"/>
          <w:lang w:val="en-US"/>
        </w:rPr>
        <w:t xml:space="preserve"> </w:t>
      </w:r>
      <w:r w:rsidRPr="00420B47">
        <w:rPr>
          <w:sz w:val="22"/>
          <w:szCs w:val="22"/>
          <w:lang w:val="en-US"/>
        </w:rPr>
        <w:t>31(1):</w:t>
      </w:r>
      <w:r w:rsidRPr="00420B47">
        <w:rPr>
          <w:spacing w:val="-6"/>
          <w:sz w:val="22"/>
          <w:szCs w:val="22"/>
          <w:lang w:val="en-US"/>
        </w:rPr>
        <w:t xml:space="preserve"> </w:t>
      </w:r>
      <w:r w:rsidRPr="00420B47">
        <w:rPr>
          <w:sz w:val="22"/>
          <w:szCs w:val="22"/>
          <w:lang w:val="en-US"/>
        </w:rPr>
        <w:t>79-91.</w:t>
      </w:r>
      <w:r w:rsidRPr="00420B47">
        <w:rPr>
          <w:spacing w:val="40"/>
          <w:sz w:val="22"/>
          <w:szCs w:val="22"/>
          <w:lang w:val="en-US"/>
        </w:rPr>
        <w:t xml:space="preserve"> </w:t>
      </w:r>
      <w:r w:rsidRPr="00420B47">
        <w:rPr>
          <w:sz w:val="22"/>
          <w:szCs w:val="22"/>
          <w:lang w:val="en-US"/>
        </w:rPr>
        <w:t>Robinson,</w:t>
      </w:r>
      <w:r w:rsidRPr="00420B47">
        <w:rPr>
          <w:spacing w:val="-8"/>
          <w:sz w:val="22"/>
          <w:szCs w:val="22"/>
          <w:lang w:val="en-US"/>
        </w:rPr>
        <w:t xml:space="preserve"> </w:t>
      </w:r>
      <w:r w:rsidRPr="00420B47">
        <w:rPr>
          <w:sz w:val="22"/>
          <w:szCs w:val="22"/>
          <w:lang w:val="en-US"/>
        </w:rPr>
        <w:t>W.S.</w:t>
      </w:r>
      <w:r w:rsidRPr="00420B47">
        <w:rPr>
          <w:spacing w:val="-5"/>
          <w:sz w:val="22"/>
          <w:szCs w:val="22"/>
          <w:lang w:val="en-US"/>
        </w:rPr>
        <w:t xml:space="preserve"> </w:t>
      </w:r>
      <w:r w:rsidRPr="00420B47">
        <w:rPr>
          <w:sz w:val="22"/>
          <w:szCs w:val="22"/>
          <w:lang w:val="en-US"/>
        </w:rPr>
        <w:t>(1950):</w:t>
      </w:r>
      <w:r w:rsidRPr="00420B47">
        <w:rPr>
          <w:spacing w:val="-6"/>
          <w:sz w:val="22"/>
          <w:szCs w:val="22"/>
          <w:lang w:val="en-US"/>
        </w:rPr>
        <w:t xml:space="preserve"> </w:t>
      </w:r>
      <w:r w:rsidRPr="00420B47">
        <w:rPr>
          <w:sz w:val="22"/>
          <w:szCs w:val="22"/>
          <w:lang w:val="en-US"/>
        </w:rPr>
        <w:t>Ecological</w:t>
      </w:r>
      <w:r w:rsidRPr="00420B47">
        <w:rPr>
          <w:spacing w:val="-8"/>
          <w:sz w:val="22"/>
          <w:szCs w:val="22"/>
          <w:lang w:val="en-US"/>
        </w:rPr>
        <w:t xml:space="preserve"> </w:t>
      </w:r>
      <w:r w:rsidRPr="00420B47">
        <w:rPr>
          <w:sz w:val="22"/>
          <w:szCs w:val="22"/>
          <w:lang w:val="en-US"/>
        </w:rPr>
        <w:t>Correlations</w:t>
      </w:r>
      <w:r w:rsidRPr="00420B47">
        <w:rPr>
          <w:spacing w:val="-7"/>
          <w:sz w:val="22"/>
          <w:szCs w:val="22"/>
          <w:lang w:val="en-US"/>
        </w:rPr>
        <w:t xml:space="preserve"> </w:t>
      </w:r>
      <w:r w:rsidRPr="00420B47">
        <w:rPr>
          <w:sz w:val="22"/>
          <w:szCs w:val="22"/>
          <w:lang w:val="en-US"/>
        </w:rPr>
        <w:t>and</w:t>
      </w:r>
      <w:r w:rsidRPr="00420B47">
        <w:rPr>
          <w:spacing w:val="-6"/>
          <w:sz w:val="22"/>
          <w:szCs w:val="22"/>
          <w:lang w:val="en-US"/>
        </w:rPr>
        <w:t xml:space="preserve"> </w:t>
      </w:r>
      <w:r w:rsidRPr="00420B47">
        <w:rPr>
          <w:sz w:val="22"/>
          <w:szCs w:val="22"/>
          <w:lang w:val="en-US"/>
        </w:rPr>
        <w:t>the</w:t>
      </w:r>
      <w:r w:rsidRPr="00420B47">
        <w:rPr>
          <w:spacing w:val="40"/>
          <w:sz w:val="22"/>
          <w:szCs w:val="22"/>
          <w:lang w:val="en-US"/>
        </w:rPr>
        <w:t xml:space="preserve"> </w:t>
      </w:r>
      <w:r w:rsidRPr="00420B47">
        <w:rPr>
          <w:sz w:val="22"/>
          <w:szCs w:val="22"/>
          <w:lang w:val="en-US"/>
        </w:rPr>
        <w:t>Behavior</w:t>
      </w:r>
      <w:r w:rsidRPr="00420B47">
        <w:rPr>
          <w:spacing w:val="-3"/>
          <w:sz w:val="22"/>
          <w:szCs w:val="22"/>
          <w:lang w:val="en-US"/>
        </w:rPr>
        <w:t xml:space="preserve"> </w:t>
      </w:r>
      <w:r w:rsidRPr="00420B47">
        <w:rPr>
          <w:sz w:val="22"/>
          <w:szCs w:val="22"/>
          <w:lang w:val="en-US"/>
        </w:rPr>
        <w:t>of Individuals, American</w:t>
      </w:r>
      <w:r w:rsidRPr="00420B47">
        <w:rPr>
          <w:spacing w:val="-1"/>
          <w:sz w:val="22"/>
          <w:szCs w:val="22"/>
          <w:lang w:val="en-US"/>
        </w:rPr>
        <w:t xml:space="preserve"> </w:t>
      </w:r>
      <w:r w:rsidRPr="00420B47">
        <w:rPr>
          <w:sz w:val="22"/>
          <w:szCs w:val="22"/>
          <w:lang w:val="en-US"/>
        </w:rPr>
        <w:t>Sociological</w:t>
      </w:r>
      <w:r w:rsidRPr="00420B47">
        <w:rPr>
          <w:spacing w:val="-1"/>
          <w:sz w:val="22"/>
          <w:szCs w:val="22"/>
          <w:lang w:val="en-US"/>
        </w:rPr>
        <w:t xml:space="preserve"> </w:t>
      </w:r>
      <w:r w:rsidRPr="00420B47">
        <w:rPr>
          <w:sz w:val="22"/>
          <w:szCs w:val="22"/>
          <w:lang w:val="en-US"/>
        </w:rPr>
        <w:t>Review,</w:t>
      </w:r>
      <w:r w:rsidRPr="00420B47">
        <w:rPr>
          <w:spacing w:val="-4"/>
          <w:sz w:val="22"/>
          <w:szCs w:val="22"/>
          <w:lang w:val="en-US"/>
        </w:rPr>
        <w:t xml:space="preserve"> </w:t>
      </w:r>
      <w:r w:rsidRPr="00420B47">
        <w:rPr>
          <w:sz w:val="22"/>
          <w:szCs w:val="22"/>
          <w:lang w:val="en-US"/>
        </w:rPr>
        <w:t>15:</w:t>
      </w:r>
      <w:r w:rsidRPr="00420B47">
        <w:rPr>
          <w:spacing w:val="-1"/>
          <w:sz w:val="22"/>
          <w:szCs w:val="22"/>
          <w:lang w:val="en-US"/>
        </w:rPr>
        <w:t xml:space="preserve"> </w:t>
      </w:r>
      <w:r w:rsidRPr="00420B47">
        <w:rPr>
          <w:sz w:val="22"/>
          <w:szCs w:val="22"/>
          <w:lang w:val="en-US"/>
        </w:rPr>
        <w:t>351–357.</w:t>
      </w:r>
      <w:r w:rsidRPr="00420B47">
        <w:rPr>
          <w:spacing w:val="40"/>
          <w:sz w:val="22"/>
          <w:szCs w:val="22"/>
          <w:lang w:val="en-US"/>
        </w:rPr>
        <w:t xml:space="preserve"> </w:t>
      </w:r>
      <w:r w:rsidRPr="00420B47">
        <w:rPr>
          <w:sz w:val="22"/>
          <w:szCs w:val="22"/>
          <w:lang w:val="en-US"/>
        </w:rPr>
        <w:t>Smith,</w:t>
      </w:r>
      <w:r w:rsidRPr="00420B47">
        <w:rPr>
          <w:spacing w:val="-1"/>
          <w:sz w:val="22"/>
          <w:szCs w:val="22"/>
          <w:lang w:val="en-US"/>
        </w:rPr>
        <w:t xml:space="preserve"> </w:t>
      </w:r>
      <w:r w:rsidRPr="00420B47">
        <w:rPr>
          <w:sz w:val="22"/>
          <w:szCs w:val="22"/>
          <w:lang w:val="en-US"/>
        </w:rPr>
        <w:t>P.B. (2004):</w:t>
      </w:r>
      <w:r w:rsidRPr="00420B47">
        <w:rPr>
          <w:spacing w:val="40"/>
          <w:sz w:val="22"/>
          <w:szCs w:val="22"/>
          <w:lang w:val="en-US"/>
        </w:rPr>
        <w:t xml:space="preserve"> </w:t>
      </w:r>
      <w:r w:rsidRPr="00420B47">
        <w:rPr>
          <w:sz w:val="22"/>
          <w:szCs w:val="22"/>
          <w:lang w:val="en-US"/>
        </w:rPr>
        <w:t>Nations, Cultures and Individuals. New Perspectives and Old Dilemmas, Journal of Cross-</w:t>
      </w:r>
      <w:r w:rsidRPr="00420B47">
        <w:rPr>
          <w:spacing w:val="40"/>
          <w:sz w:val="22"/>
          <w:szCs w:val="22"/>
          <w:lang w:val="en-US"/>
        </w:rPr>
        <w:t xml:space="preserve"> </w:t>
      </w:r>
      <w:r w:rsidRPr="00420B47">
        <w:rPr>
          <w:sz w:val="22"/>
          <w:szCs w:val="22"/>
          <w:lang w:val="en-US"/>
        </w:rPr>
        <w:t>Cultural Psychology, 35(1):6-12.</w:t>
      </w:r>
    </w:p>
    <w:p w14:paraId="6159F7E3" w14:textId="77777777" w:rsidR="00FF7799" w:rsidRPr="00E35FFF" w:rsidRDefault="00FF7799" w:rsidP="00862DBA">
      <w:pPr>
        <w:spacing w:before="9"/>
        <w:rPr>
          <w:sz w:val="24"/>
          <w:szCs w:val="24"/>
          <w:lang w:val="en-US"/>
        </w:rPr>
      </w:pPr>
    </w:p>
    <w:p w14:paraId="5387A897" w14:textId="77777777" w:rsidR="00FF7799" w:rsidRPr="00E73F6F" w:rsidRDefault="00FF7799" w:rsidP="00862DBA">
      <w:pPr>
        <w:spacing w:before="1"/>
        <w:rPr>
          <w:spacing w:val="-2"/>
          <w:sz w:val="24"/>
          <w:szCs w:val="24"/>
        </w:rPr>
      </w:pPr>
      <w:r w:rsidRPr="00510E20">
        <w:rPr>
          <w:b/>
          <w:bCs/>
          <w:color w:val="2E74B5"/>
          <w:sz w:val="24"/>
        </w:rPr>
        <w:t>Okkultismus</w:t>
      </w:r>
      <w:r w:rsidRPr="00E73F6F">
        <w:rPr>
          <w:b/>
          <w:spacing w:val="-2"/>
          <w:sz w:val="24"/>
          <w:szCs w:val="24"/>
        </w:rPr>
        <w:t xml:space="preserve"> </w:t>
      </w:r>
      <w:r w:rsidRPr="00E73F6F">
        <w:rPr>
          <w:b/>
          <w:sz w:val="24"/>
          <w:szCs w:val="24"/>
        </w:rPr>
        <w:t>→</w:t>
      </w:r>
      <w:r w:rsidRPr="00E73F6F">
        <w:rPr>
          <w:b/>
          <w:spacing w:val="56"/>
          <w:sz w:val="24"/>
          <w:szCs w:val="24"/>
        </w:rPr>
        <w:t xml:space="preserve"> </w:t>
      </w:r>
      <w:r w:rsidRPr="00E73F6F">
        <w:rPr>
          <w:spacing w:val="-2"/>
          <w:sz w:val="24"/>
          <w:szCs w:val="24"/>
        </w:rPr>
        <w:t>Animismus</w:t>
      </w:r>
    </w:p>
    <w:p w14:paraId="165B7CA1" w14:textId="77777777" w:rsidR="00FF7799" w:rsidRPr="00E73F6F" w:rsidRDefault="00FF7799" w:rsidP="00862DBA">
      <w:pPr>
        <w:spacing w:before="1"/>
        <w:rPr>
          <w:sz w:val="24"/>
          <w:szCs w:val="24"/>
        </w:rPr>
      </w:pPr>
    </w:p>
    <w:p w14:paraId="32D13EB6" w14:textId="77777777" w:rsidR="007E67F1" w:rsidRPr="00510E20" w:rsidRDefault="007E67F1" w:rsidP="007E67F1">
      <w:pPr>
        <w:keepNext/>
        <w:keepLines/>
        <w:spacing w:before="240"/>
        <w:jc w:val="both"/>
        <w:outlineLvl w:val="1"/>
        <w:rPr>
          <w:b/>
          <w:bCs/>
          <w:color w:val="2E74B5"/>
          <w:sz w:val="24"/>
        </w:rPr>
      </w:pPr>
      <w:r w:rsidRPr="00510E20">
        <w:rPr>
          <w:b/>
          <w:bCs/>
          <w:color w:val="2E74B5"/>
          <w:sz w:val="24"/>
        </w:rPr>
        <w:t>Online-Kommunikation</w:t>
      </w:r>
    </w:p>
    <w:p w14:paraId="205F8969" w14:textId="77777777" w:rsidR="007E67F1" w:rsidRPr="007F69DA" w:rsidRDefault="007E67F1" w:rsidP="007E67F1">
      <w:pPr>
        <w:jc w:val="both"/>
        <w:rPr>
          <w:szCs w:val="24"/>
          <w:lang w:bidi="en-US"/>
        </w:rPr>
      </w:pPr>
    </w:p>
    <w:p w14:paraId="0C274AF4" w14:textId="77777777" w:rsidR="007E67F1" w:rsidRPr="007F69DA" w:rsidRDefault="007E67F1" w:rsidP="007E67F1">
      <w:pPr>
        <w:jc w:val="both"/>
        <w:rPr>
          <w:szCs w:val="24"/>
          <w:lang w:bidi="en-US"/>
        </w:rPr>
      </w:pPr>
      <w:r w:rsidRPr="007F69DA">
        <w:rPr>
          <w:szCs w:val="24"/>
          <w:lang w:bidi="en-US"/>
        </w:rPr>
        <w:t>1. Grundlagen</w:t>
      </w:r>
    </w:p>
    <w:p w14:paraId="5A7322E5" w14:textId="77777777" w:rsidR="007E67F1" w:rsidRPr="007F69DA" w:rsidRDefault="007E67F1" w:rsidP="007E67F1">
      <w:pPr>
        <w:jc w:val="both"/>
        <w:rPr>
          <w:szCs w:val="24"/>
          <w:lang w:bidi="en-US"/>
        </w:rPr>
      </w:pPr>
      <w:r w:rsidRPr="007F69DA">
        <w:rPr>
          <w:szCs w:val="24"/>
          <w:lang w:bidi="en-US"/>
        </w:rPr>
        <w:lastRenderedPageBreak/>
        <w:t>Online-Kommunikation ist ein sich dynamisch entwickelndes und veränderndes Feld der Kommunikationspolitik. Neben dem Internetauftritt von Unternehmen (‘corporate website‘) zählen hierzu Online-Werbung (Bannerwerbung, ‘pop ups‘, Unterbrecherwerbung, Werbe-Emails etc.), Online-Öffentlichkeitsarbeit, Mobile-Marketing, Social Media-Marketing, virales Marketing, Affiliate-Marketing und vieles andere mehr (vgl. Kreutzer 2014). Zahlreichen Vorteilen (nahezu unbegrenzte Reichweite, Kostengünstigkeit, Schnelligkeit, Flexibilität, Interaktivität etc.; vgl. Manchanda et al. 2006) stehen gravierende Nachteile gegenüber. Vor allem personalisierte Online-Werbung und Erscheinungsformen, welche den Wahrnehmungsprozess zu beeinflussen versuchen, werden als aufdringlich, lästig, manipulativ etc. wahrgenommen (vgl. Ying et al. 2009). Hierzu zählen Werbebanner, die sich über die soeben aufgerufene Seite schieben und vom Nutzer „weggeklickt“ werden müssen. Die derart Umworbenen reagieren darauf mit …</w:t>
      </w:r>
    </w:p>
    <w:p w14:paraId="0E0E8422" w14:textId="77777777" w:rsidR="007E67F1" w:rsidRPr="007F69DA" w:rsidRDefault="007E67F1" w:rsidP="00510E20">
      <w:pPr>
        <w:widowControl/>
        <w:numPr>
          <w:ilvl w:val="0"/>
          <w:numId w:val="74"/>
        </w:numPr>
        <w:tabs>
          <w:tab w:val="left" w:pos="9639"/>
          <w:tab w:val="left" w:pos="9781"/>
        </w:tabs>
        <w:autoSpaceDE/>
        <w:autoSpaceDN/>
        <w:spacing w:before="240" w:after="60"/>
        <w:ind w:left="567" w:rightChars="70" w:right="154"/>
        <w:contextualSpacing/>
        <w:jc w:val="both"/>
        <w:rPr>
          <w:lang w:bidi="en-US"/>
        </w:rPr>
      </w:pPr>
      <w:r w:rsidRPr="007F69DA">
        <w:rPr>
          <w:lang w:bidi="en-US"/>
        </w:rPr>
        <w:t xml:space="preserve">physiologischen Abwehrmaßnahmen, u.a. mit Bannerblindheit (vgl. Pagendarm/Schaumberg 2006) und Werbetextblindheit (vgl. Owens et al. 2011), </w:t>
      </w:r>
    </w:p>
    <w:p w14:paraId="5DEFD721" w14:textId="77777777" w:rsidR="007E67F1" w:rsidRPr="007F69DA" w:rsidRDefault="007E67F1" w:rsidP="00510E20">
      <w:pPr>
        <w:widowControl/>
        <w:numPr>
          <w:ilvl w:val="0"/>
          <w:numId w:val="74"/>
        </w:numPr>
        <w:tabs>
          <w:tab w:val="left" w:pos="9639"/>
          <w:tab w:val="left" w:pos="9781"/>
        </w:tabs>
        <w:autoSpaceDE/>
        <w:autoSpaceDN/>
        <w:spacing w:before="240" w:after="60"/>
        <w:ind w:left="567" w:rightChars="70" w:right="154"/>
        <w:contextualSpacing/>
        <w:jc w:val="both"/>
        <w:rPr>
          <w:lang w:bidi="en-US"/>
        </w:rPr>
      </w:pPr>
      <w:r w:rsidRPr="007F69DA">
        <w:rPr>
          <w:lang w:bidi="en-US"/>
        </w:rPr>
        <w:t xml:space="preserve">psychischen Abwehrmaßnahmen (z.B. Reaktanz; vgl. Tucker 2012; Edwards et al. 2002) und </w:t>
      </w:r>
    </w:p>
    <w:p w14:paraId="551CF177" w14:textId="77777777" w:rsidR="007E67F1" w:rsidRPr="007F69DA" w:rsidRDefault="007E67F1" w:rsidP="00510E20">
      <w:pPr>
        <w:widowControl/>
        <w:numPr>
          <w:ilvl w:val="0"/>
          <w:numId w:val="74"/>
        </w:numPr>
        <w:tabs>
          <w:tab w:val="left" w:pos="9639"/>
          <w:tab w:val="left" w:pos="9781"/>
        </w:tabs>
        <w:autoSpaceDE/>
        <w:autoSpaceDN/>
        <w:spacing w:before="240" w:after="60"/>
        <w:ind w:left="567" w:rightChars="70" w:right="154"/>
        <w:contextualSpacing/>
        <w:jc w:val="both"/>
        <w:rPr>
          <w:lang w:bidi="en-US"/>
        </w:rPr>
      </w:pPr>
      <w:r w:rsidRPr="007F69DA">
        <w:rPr>
          <w:lang w:bidi="en-US"/>
        </w:rPr>
        <w:t>technischen Abwehrmaßnahmen (z.B. Pop Up-Blocker wie Internet Security 2009 von Kaspersky).</w:t>
      </w:r>
    </w:p>
    <w:p w14:paraId="52685253" w14:textId="77777777" w:rsidR="007E67F1" w:rsidRPr="007F69DA" w:rsidRDefault="007E67F1" w:rsidP="00510E20">
      <w:pPr>
        <w:spacing w:line="360" w:lineRule="auto"/>
        <w:ind w:left="567" w:right="-851"/>
        <w:rPr>
          <w:b/>
        </w:rPr>
      </w:pPr>
    </w:p>
    <w:p w14:paraId="072B09CE" w14:textId="77777777" w:rsidR="007E67F1" w:rsidRPr="007F69DA" w:rsidRDefault="007E67F1" w:rsidP="007E67F1">
      <w:pPr>
        <w:jc w:val="both"/>
        <w:rPr>
          <w:szCs w:val="24"/>
          <w:lang w:bidi="en-US"/>
        </w:rPr>
      </w:pPr>
      <w:r w:rsidRPr="007F69DA">
        <w:rPr>
          <w:lang w:eastAsia="de-DE"/>
        </w:rPr>
        <w:t>2</w:t>
      </w:r>
      <w:r w:rsidRPr="007F69DA">
        <w:rPr>
          <w:szCs w:val="24"/>
          <w:lang w:bidi="en-US"/>
        </w:rPr>
        <w:t>.  Akzeptanz kommerzieller Online-Kommunikation</w:t>
      </w:r>
    </w:p>
    <w:p w14:paraId="1923DA89" w14:textId="77777777" w:rsidR="007E67F1" w:rsidRPr="007F69DA" w:rsidRDefault="007E67F1" w:rsidP="007E67F1">
      <w:pPr>
        <w:jc w:val="both"/>
        <w:rPr>
          <w:szCs w:val="24"/>
          <w:lang w:bidi="en-US"/>
        </w:rPr>
      </w:pPr>
      <w:r w:rsidRPr="007F69DA">
        <w:rPr>
          <w:szCs w:val="24"/>
          <w:lang w:bidi="en-US"/>
        </w:rPr>
        <w:t>Da die Begegnung mit Werbung im Internet weitgehend der Kontrolle der Nutzer entzogen ist, empfinden viele diese als irritierend und aufdringlich (vgl. Ying et al. 2009). Vor allem in Märkten mit einer individualistischen Landeskultur muss Online-Werbung mit Vorbehalten und im Extremfall mit Widerstand rechnen. Denn mehr als die kollektivistische Vergleichsgruppe billigen Individualisten der elektronischen Kommunikation die Fähigkeit zu, Menschen zu beeinflussen. Wie Zhang/Daugherty (2010) und Lee/Tamborini (2005) berichten, projizieren sie ihre Befürchtung, manipuliert zu werden, allerdings auf andere. Maßgeblich für den sog. ‘third party-effect‘ ist die selbstwertschützende Illusion, dass vor allem andere Manipulation befürchten müssen, weniger man selbst.</w:t>
      </w:r>
    </w:p>
    <w:p w14:paraId="0F83842D" w14:textId="77777777" w:rsidR="007E67F1" w:rsidRPr="007F69DA" w:rsidRDefault="007E67F1" w:rsidP="007E67F1">
      <w:pPr>
        <w:jc w:val="both"/>
        <w:rPr>
          <w:szCs w:val="24"/>
          <w:lang w:bidi="en-US"/>
        </w:rPr>
      </w:pPr>
    </w:p>
    <w:p w14:paraId="437273FC" w14:textId="77777777" w:rsidR="007E67F1" w:rsidRPr="007F69DA" w:rsidRDefault="007E67F1" w:rsidP="007E67F1">
      <w:pPr>
        <w:jc w:val="both"/>
        <w:rPr>
          <w:szCs w:val="24"/>
          <w:lang w:bidi="en-US"/>
        </w:rPr>
      </w:pPr>
      <w:r w:rsidRPr="007F69DA">
        <w:rPr>
          <w:szCs w:val="24"/>
          <w:lang w:bidi="en-US"/>
        </w:rPr>
        <w:t xml:space="preserve">Am Beispiel der Einstellung zu Bannerwerbung haben Möller &amp; Eisend anhand der Aussagen von 7.775 Probanden aus 34 Ländern den engen Zusammenhang von individualistischer Landeskultur und werbekritischer Einstellung einerseits sowie Verhaltensintention (Klick-Wahrscheinlichkeit) andererseits bestätigt: „Consumers from individualist societies appreciate banner advertising less and are less likely to click on banner advertisements than those from collectivist societies. </w:t>
      </w:r>
      <w:r w:rsidRPr="007F69DA">
        <w:rPr>
          <w:szCs w:val="24"/>
          <w:lang w:val="en-US" w:bidi="en-US"/>
        </w:rPr>
        <w:t xml:space="preserve">This might stem from the manipulative nature of banner advertising, which is more obtrusive than traditional advertising” (Möller/Eisend 2010, S.92). </w:t>
      </w:r>
      <w:r w:rsidRPr="007F69DA">
        <w:rPr>
          <w:szCs w:val="24"/>
          <w:lang w:bidi="en-US"/>
        </w:rPr>
        <w:t>Zwar leistet diese Kulturdimension den größten Beitrag zur Varianzaufklärung der abhängigen Variablen „Einstellung zu Bannerwerbung“ (R</w:t>
      </w:r>
      <w:r w:rsidRPr="007F69DA">
        <w:rPr>
          <w:szCs w:val="24"/>
          <w:vertAlign w:val="superscript"/>
          <w:lang w:bidi="en-US"/>
        </w:rPr>
        <w:t>2</w:t>
      </w:r>
      <w:r w:rsidRPr="007F69DA">
        <w:rPr>
          <w:szCs w:val="24"/>
          <w:lang w:bidi="en-US"/>
        </w:rPr>
        <w:t xml:space="preserve"> = 47,3%) und „Klick-Intention“ (R</w:t>
      </w:r>
      <w:r w:rsidRPr="007F69DA">
        <w:rPr>
          <w:szCs w:val="24"/>
          <w:vertAlign w:val="superscript"/>
          <w:lang w:bidi="en-US"/>
        </w:rPr>
        <w:t>2</w:t>
      </w:r>
      <w:r w:rsidRPr="007F69DA">
        <w:rPr>
          <w:szCs w:val="24"/>
          <w:lang w:bidi="en-US"/>
        </w:rPr>
        <w:t xml:space="preserve"> = 32,6%). Aber auch die übrigen Kulturdimensionen sind von Bedeutung: Ungewissheitsmeidung, Maskulinität und Akzeptanz von Machtdistanz begünstigen demnach gleichfalls eine positive Einstellung zu Bannerwerbung, wenn auch nicht in dem Maße wie Individualismus.</w:t>
      </w:r>
    </w:p>
    <w:p w14:paraId="18D868E2" w14:textId="77777777" w:rsidR="007E67F1" w:rsidRPr="007F69DA" w:rsidRDefault="007E67F1" w:rsidP="007E67F1">
      <w:pPr>
        <w:jc w:val="both"/>
        <w:rPr>
          <w:lang w:eastAsia="de-DE"/>
        </w:rPr>
      </w:pPr>
    </w:p>
    <w:p w14:paraId="413C73E1" w14:textId="77777777" w:rsidR="007E67F1" w:rsidRPr="007F69DA" w:rsidRDefault="007E67F1" w:rsidP="007E67F1">
      <w:pPr>
        <w:jc w:val="both"/>
        <w:rPr>
          <w:lang w:eastAsia="de-DE"/>
        </w:rPr>
      </w:pPr>
      <w:r w:rsidRPr="007F69DA">
        <w:rPr>
          <w:lang w:eastAsia="de-DE"/>
        </w:rPr>
        <w:t>3.  Corporate Website</w:t>
      </w:r>
    </w:p>
    <w:p w14:paraId="4736470B" w14:textId="77777777" w:rsidR="007E67F1" w:rsidRPr="007F69DA" w:rsidRDefault="007E67F1" w:rsidP="007E67F1">
      <w:pPr>
        <w:jc w:val="both"/>
        <w:rPr>
          <w:szCs w:val="24"/>
          <w:lang w:bidi="en-US"/>
        </w:rPr>
      </w:pPr>
      <w:r w:rsidRPr="007F69DA">
        <w:rPr>
          <w:szCs w:val="24"/>
          <w:lang w:bidi="en-US"/>
        </w:rPr>
        <w:t>Sind ‘corporate websites‘, d.h. die Internetpräsenz von Unternehmen, kulturfreie oder kulturgebundene Dokumente? Für kleinere Unternehmen, die nur den heimischen Markt bearbeiten, stellt sich diese Frage zumeist nicht. Und Multinationale Unternehmen passen im Regelfall ihre Webseiten nicht nur gestalterisch dem jeweiligen kulturellen Umfeld an, sondern thematisieren dabei auch kulturspezifische Werte. Diese Form der Differenzierung entspricht den Präferenzen der Nutzer.</w:t>
      </w:r>
    </w:p>
    <w:p w14:paraId="085055B4" w14:textId="77777777" w:rsidR="007E67F1" w:rsidRPr="00510E20" w:rsidRDefault="007E67F1" w:rsidP="007E67F1">
      <w:pPr>
        <w:jc w:val="both"/>
        <w:rPr>
          <w:i/>
          <w:iCs/>
          <w:szCs w:val="24"/>
          <w:lang w:bidi="en-US"/>
        </w:rPr>
      </w:pPr>
    </w:p>
    <w:p w14:paraId="0CF492AA" w14:textId="77777777" w:rsidR="007E67F1" w:rsidRPr="00510E20" w:rsidRDefault="007E67F1" w:rsidP="007E67F1">
      <w:pPr>
        <w:jc w:val="both"/>
        <w:rPr>
          <w:i/>
          <w:iCs/>
          <w:szCs w:val="24"/>
          <w:lang w:bidi="en-US"/>
        </w:rPr>
      </w:pPr>
      <w:r w:rsidRPr="00510E20">
        <w:rPr>
          <w:i/>
          <w:iCs/>
          <w:szCs w:val="24"/>
          <w:lang w:bidi="en-US"/>
        </w:rPr>
        <w:t>Gestaltung von Webseiten</w:t>
      </w:r>
    </w:p>
    <w:p w14:paraId="1DAB470C" w14:textId="77777777" w:rsidR="007E67F1" w:rsidRPr="007F69DA" w:rsidRDefault="007E67F1" w:rsidP="007E67F1">
      <w:pPr>
        <w:jc w:val="both"/>
        <w:rPr>
          <w:szCs w:val="24"/>
          <w:lang w:bidi="en-US"/>
        </w:rPr>
      </w:pPr>
      <w:r w:rsidRPr="007F69DA">
        <w:rPr>
          <w:szCs w:val="24"/>
          <w:lang w:bidi="en-US"/>
        </w:rPr>
        <w:t>Yalcin et al. (2011) haben die Lokalisierungsthese am Beispiel des Werbeauftritts asiatischer, europäischer sowie US-amerikanischer Konzerne auf russischen und türkischen Webseiten empirisch untersucht und bestätigt. Für China, Indien, Japan und die USA liegen entsprechende Befunde von Singh et al. (2005) vor und für Deutschland, Frankreich sowie die USA von Singh (2003). Weiterhin konnten Singh et al. (2006) zeigen, dass chinesische, deutsche und indische Konsumenten Webseiten bevorzugen, die im Einklang mit der Landeskultur und den jeweiligen Seh- und Informationsverarbeitungsgewohnheiten gestaltet wurden.</w:t>
      </w:r>
    </w:p>
    <w:p w14:paraId="4ED14F2E" w14:textId="77777777" w:rsidR="007E67F1" w:rsidRPr="007F69DA" w:rsidRDefault="007E67F1" w:rsidP="007E67F1">
      <w:pPr>
        <w:jc w:val="both"/>
        <w:rPr>
          <w:szCs w:val="24"/>
          <w:lang w:bidi="en-US"/>
        </w:rPr>
      </w:pPr>
    </w:p>
    <w:p w14:paraId="4ED77DEA" w14:textId="77777777" w:rsidR="007E67F1" w:rsidRPr="007F69DA" w:rsidRDefault="007E67F1" w:rsidP="007E67F1">
      <w:pPr>
        <w:jc w:val="both"/>
        <w:rPr>
          <w:szCs w:val="24"/>
          <w:lang w:val="en-US" w:bidi="en-US"/>
        </w:rPr>
      </w:pPr>
      <w:r w:rsidRPr="007F69DA">
        <w:rPr>
          <w:szCs w:val="24"/>
          <w:lang w:val="en-US" w:bidi="en-US"/>
        </w:rPr>
        <w:lastRenderedPageBreak/>
        <w:t>Asimionoaei (2009) zog aus der umfangreichen einschlägigen Forschung folgendes Fazit: „Users from various countries not only speak different languages, but also have different cultures which make them process information, think, feel and behave differently. Thus the development of a good website which would attract users from various cultures requires a careful analysis of the implications of all major cultural elements.”</w:t>
      </w:r>
    </w:p>
    <w:p w14:paraId="3C064A8E" w14:textId="77777777" w:rsidR="007E67F1" w:rsidRPr="007F69DA" w:rsidRDefault="007E67F1" w:rsidP="007E67F1">
      <w:pPr>
        <w:jc w:val="both"/>
        <w:rPr>
          <w:szCs w:val="24"/>
          <w:lang w:val="en-US" w:bidi="en-US"/>
        </w:rPr>
      </w:pPr>
    </w:p>
    <w:p w14:paraId="58670D8A" w14:textId="77777777" w:rsidR="007E67F1" w:rsidRPr="00510E20" w:rsidRDefault="007E67F1" w:rsidP="007E67F1">
      <w:pPr>
        <w:jc w:val="both"/>
        <w:rPr>
          <w:i/>
          <w:iCs/>
          <w:szCs w:val="24"/>
          <w:lang w:bidi="en-US"/>
        </w:rPr>
      </w:pPr>
      <w:r w:rsidRPr="00510E20">
        <w:rPr>
          <w:i/>
          <w:iCs/>
          <w:szCs w:val="24"/>
          <w:lang w:bidi="en-US"/>
        </w:rPr>
        <w:t>Präferenzen der Internutzer</w:t>
      </w:r>
    </w:p>
    <w:p w14:paraId="047F4CD1" w14:textId="77777777" w:rsidR="007E67F1" w:rsidRPr="007F69DA" w:rsidRDefault="007E67F1" w:rsidP="007E67F1">
      <w:pPr>
        <w:jc w:val="both"/>
        <w:rPr>
          <w:szCs w:val="24"/>
          <w:lang w:bidi="en-US"/>
        </w:rPr>
      </w:pPr>
      <w:r w:rsidRPr="007F69DA">
        <w:rPr>
          <w:szCs w:val="24"/>
          <w:lang w:bidi="en-US"/>
        </w:rPr>
        <w:t>Wie auch Baack/Singh (2007) inhaltsanalytisch – durch Begutachtung von Webseiten in 15 Ländern – nachweisen konnten, bevorzugen Konsumenten Gestaltungen, die im Einklang mit ihrer Landeskultur stehen. Auf einer größeren empirischen Basis bestätigten Vyncke/Brengman (2010) diese Feststellung weitgehend. Anhand der Kriterien des WEBQUAL-Ansatzes (vgl. Loiacono et al. 2007) werteten sie alle einschlägigen relevanten Studien aus. Ihr Fazit lautet: Hinsichtlich der meisten, aber nicht aller WEBQUAL-Kriterien (Nützlichkeit, Leichtigkeit der Nutzung, Einstellungen, Verhaltensintention) schneiden kultur-kongruente, d.h. dem kulturellen Umfeld angepasste Webseiten besser ab als standardisierte, d.h. nicht angepasste Webseiten.</w:t>
      </w:r>
    </w:p>
    <w:p w14:paraId="22B28DB3" w14:textId="77777777" w:rsidR="007E67F1" w:rsidRPr="007F69DA" w:rsidRDefault="007E67F1" w:rsidP="007E67F1">
      <w:pPr>
        <w:jc w:val="both"/>
        <w:rPr>
          <w:szCs w:val="24"/>
          <w:lang w:bidi="en-US"/>
        </w:rPr>
      </w:pPr>
    </w:p>
    <w:p w14:paraId="36F2C01A" w14:textId="77777777" w:rsidR="007E67F1" w:rsidRPr="007F69DA" w:rsidRDefault="007E67F1" w:rsidP="007E67F1">
      <w:pPr>
        <w:jc w:val="both"/>
        <w:rPr>
          <w:szCs w:val="24"/>
          <w:lang w:bidi="en-US"/>
        </w:rPr>
      </w:pPr>
      <w:r w:rsidRPr="007F69DA">
        <w:rPr>
          <w:szCs w:val="24"/>
          <w:lang w:bidi="en-US"/>
        </w:rPr>
        <w:t>Weiterhin ergab die einschlägige Forschung: Bis zu 87% der Websites nutzen Englisch (vgl. Burton 2009, S.172), aber bis zu 75% der Befragten bevorzugen lokale Websites (vgl. Lynch et al. 2001; Ferranti 1999). Dabei ist allerdings zu bedenken: Zwar werden bevorzugt solche Webseiten als nutzerfreundlich wahrgenommen, die sie sich der Landessprache bedienen. Aber die Sprache beeinflusst nicht die wahrgenommene Qualität der Angebote, die auf der Webseite vorgestellt werden. Übersetzungen – zumeist vom Englischen in die Landessprache – erfüllen das Kriterium „Landessprache“ nicht. Selbst dann, wenn es sich um hervorragende Übersetzungen handelt, entsteht eine Form von sprachlich vermittelter kultureller Distanz (vgl. Nantel/Glaser 2008).</w:t>
      </w:r>
    </w:p>
    <w:p w14:paraId="19C08881" w14:textId="77777777" w:rsidR="007E67F1" w:rsidRPr="007F69DA" w:rsidRDefault="007E67F1" w:rsidP="007E67F1">
      <w:pPr>
        <w:jc w:val="both"/>
        <w:rPr>
          <w:szCs w:val="24"/>
          <w:lang w:bidi="en-US"/>
        </w:rPr>
      </w:pPr>
    </w:p>
    <w:p w14:paraId="0A41754A" w14:textId="77777777" w:rsidR="007E67F1" w:rsidRPr="007F69DA" w:rsidRDefault="007E67F1" w:rsidP="007E67F1">
      <w:pPr>
        <w:jc w:val="both"/>
        <w:rPr>
          <w:szCs w:val="24"/>
          <w:lang w:bidi="en-US"/>
        </w:rPr>
      </w:pPr>
      <w:r w:rsidRPr="007F69DA">
        <w:rPr>
          <w:szCs w:val="24"/>
          <w:lang w:bidi="en-US"/>
        </w:rPr>
        <w:t>Internetnutzer, die einer individualistischen Gesellschaft angehören, legen überdurchschnittlich viel Wert auf emotionale Anregung durch die Art der Webseitengestaltung. Wichtig ist ihnen weiterhin die Anpassung des Webseiteninhalts an ihre individuellen Bedürfnisse (‘customization‘) und insb. der Schutz ihrer Privatsphäre (vgl. Steenkamp/Geyskens 2006).</w:t>
      </w:r>
    </w:p>
    <w:p w14:paraId="0C3D42BF" w14:textId="77777777" w:rsidR="007E67F1" w:rsidRPr="007F69DA" w:rsidRDefault="007E67F1" w:rsidP="007E67F1">
      <w:pPr>
        <w:jc w:val="both"/>
        <w:rPr>
          <w:szCs w:val="24"/>
          <w:lang w:bidi="en-US"/>
        </w:rPr>
      </w:pPr>
    </w:p>
    <w:p w14:paraId="253648F8" w14:textId="77777777" w:rsidR="007E67F1" w:rsidRPr="007F69DA" w:rsidRDefault="007E67F1" w:rsidP="007E67F1">
      <w:pPr>
        <w:jc w:val="both"/>
        <w:rPr>
          <w:lang w:eastAsia="de-DE"/>
        </w:rPr>
      </w:pPr>
      <w:r w:rsidRPr="007F69DA">
        <w:rPr>
          <w:lang w:eastAsia="de-DE"/>
        </w:rPr>
        <w:t>4.  Public Relations</w:t>
      </w:r>
    </w:p>
    <w:p w14:paraId="2E9A12AF" w14:textId="77777777" w:rsidR="007E67F1" w:rsidRPr="007F69DA" w:rsidRDefault="007E67F1" w:rsidP="007E67F1">
      <w:pPr>
        <w:jc w:val="both"/>
        <w:rPr>
          <w:szCs w:val="24"/>
          <w:lang w:bidi="en-US"/>
        </w:rPr>
      </w:pPr>
      <w:r w:rsidRPr="007F69DA">
        <w:rPr>
          <w:szCs w:val="24"/>
          <w:lang w:bidi="en-US"/>
        </w:rPr>
        <w:t>Das Internet hat die Bedingungen der Öffentlichkeitsarbeit grundlegend verändert.</w:t>
      </w:r>
    </w:p>
    <w:p w14:paraId="67CB8D14" w14:textId="77777777" w:rsidR="007E67F1" w:rsidRPr="007F69DA" w:rsidRDefault="007E67F1" w:rsidP="007E67F1">
      <w:pPr>
        <w:spacing w:line="360" w:lineRule="auto"/>
        <w:ind w:left="284" w:right="-851"/>
      </w:pPr>
    </w:p>
    <w:p w14:paraId="06F01960" w14:textId="77777777" w:rsidR="007E67F1" w:rsidRPr="007F69DA" w:rsidRDefault="007E67F1" w:rsidP="007E67F1">
      <w:pPr>
        <w:shd w:val="clear" w:color="auto" w:fill="DEEAF6" w:themeFill="accent1" w:themeFillTint="33"/>
        <w:ind w:left="284"/>
        <w:jc w:val="center"/>
      </w:pPr>
      <w:r w:rsidRPr="007F69DA">
        <w:t>Raue Sitten</w:t>
      </w:r>
    </w:p>
    <w:p w14:paraId="440A3AF0" w14:textId="77777777" w:rsidR="007E67F1" w:rsidRPr="007F69DA" w:rsidRDefault="007E67F1" w:rsidP="007E67F1">
      <w:pPr>
        <w:shd w:val="clear" w:color="auto" w:fill="DEEAF6" w:themeFill="accent1" w:themeFillTint="33"/>
        <w:ind w:left="284"/>
      </w:pPr>
      <w:r w:rsidRPr="007F69DA">
        <w:t>„Die Sitten sind rau im chinesischen Internet, aber was der Volkswagen-Konzern derzeit in seinem größten Markt erlebt, ist heftig. Ganz gleich, was die China-Zentrale von VW auf dem Kurznachrichtendienst Sina Weibo postet – als Antwort gibt es Ohrfeigen. »VW arbeitet mit einem neuen Limousinendienst in Shanghai zusammen«, verkündet Volkswagen. Minuten später antwortet der User Aka-XX: »Boykottiert VW! Müll!« »Vorstandsmitglied Heinz-Jakob Neußer glaubt fest an die Hybrid-Technik«, postet VW. »Schamlos! Haut ab aus China!«, kommentiert Chen Xiao. »China-Chef Heinzmann kündigt 20 Modelle mit alternativem Antrieb an«, wirbt VW. Die Reaktion des Users Dudu Baba: »Fahrt zur Hölle, ihr deutschen Teufel.« Dieser Fluch wiegt unter Chinesen besonders schwer, denn als »Teufel« werden üblicherweise die Erzfeinde beschimpft, die Japaner“ (Hawranek/Zand 2014, S.86).</w:t>
      </w:r>
    </w:p>
    <w:p w14:paraId="5783D277" w14:textId="77777777" w:rsidR="007E67F1" w:rsidRPr="007F69DA" w:rsidRDefault="007E67F1" w:rsidP="007E67F1">
      <w:pPr>
        <w:spacing w:line="360" w:lineRule="auto"/>
        <w:ind w:left="284"/>
      </w:pPr>
    </w:p>
    <w:p w14:paraId="772E11CB" w14:textId="77777777" w:rsidR="007E67F1" w:rsidRPr="007F69DA" w:rsidRDefault="007E67F1" w:rsidP="007E67F1">
      <w:pPr>
        <w:jc w:val="both"/>
        <w:rPr>
          <w:szCs w:val="24"/>
          <w:lang w:bidi="en-US"/>
        </w:rPr>
      </w:pPr>
      <w:r w:rsidRPr="007F69DA">
        <w:rPr>
          <w:szCs w:val="24"/>
          <w:lang w:bidi="en-US"/>
        </w:rPr>
        <w:t>Davon abgesehen sind kultursensible Public Relations vor allem in Märkten erforderlich, für deren Landeskultur Ungewissheitsvermeidung maßgeblich ist. Taylor (2000) begründete diese Empfehlung mit den unterschiedlichen Reaktionen von Gesundheitsbehörden in sechs Ländern auf ein Ereignis, das am 14. Juni 1999 stattfand. Damals erkrankten belgische Schulkinder, mutmaßlich nachdem sie Coca-Cola getrunken hatten. Aber nur in Belgien (UAI = 94), Spanien (= 86) und Frankreich (= 86) wurde daraufhin der Verkauf von Cola-Produkten verboten, nicht jedoch in Dänemark (= 23), Schweden (= 29) und Norwegen (= 50).</w:t>
      </w:r>
    </w:p>
    <w:p w14:paraId="3D6D8E89" w14:textId="77777777" w:rsidR="007E67F1" w:rsidRPr="007F69DA" w:rsidRDefault="007E67F1" w:rsidP="007E67F1">
      <w:pPr>
        <w:jc w:val="both"/>
        <w:rPr>
          <w:szCs w:val="24"/>
          <w:lang w:bidi="en-US"/>
        </w:rPr>
      </w:pPr>
    </w:p>
    <w:p w14:paraId="2F01E5ED" w14:textId="77777777" w:rsidR="007E67F1" w:rsidRPr="007F69DA" w:rsidRDefault="007E67F1" w:rsidP="007E67F1">
      <w:pPr>
        <w:jc w:val="both"/>
        <w:rPr>
          <w:szCs w:val="24"/>
          <w:lang w:bidi="en-US"/>
        </w:rPr>
      </w:pPr>
      <w:r w:rsidRPr="007F69DA">
        <w:rPr>
          <w:szCs w:val="24"/>
          <w:lang w:bidi="en-US"/>
        </w:rPr>
        <w:t xml:space="preserve">Eine Inhaltsanalyse von 30 Webseiten südkoreanischer und US-amerikanischer Unternehmen ergab, dass letztere entsprechend ihrer individualistischen Landeskultur mehr Informationen (über Produkte </w:t>
      </w:r>
      <w:r w:rsidRPr="007F69DA">
        <w:rPr>
          <w:szCs w:val="24"/>
          <w:lang w:bidi="en-US"/>
        </w:rPr>
        <w:lastRenderedPageBreak/>
        <w:t>und Verkaufsförderungsaktionen) posten als die Vergleichsgruppe. In beiden Ländern beschränken sich die meisten Unternehmen auf Ein-Weg-Kommunikation und vernachlässigen interaktive Elemente (vgl. Jo/Jung 2005).</w:t>
      </w:r>
    </w:p>
    <w:p w14:paraId="76DE8BDD" w14:textId="77777777" w:rsidR="007E67F1" w:rsidRPr="007F69DA" w:rsidRDefault="007E67F1" w:rsidP="007E67F1">
      <w:pPr>
        <w:jc w:val="both"/>
        <w:rPr>
          <w:szCs w:val="24"/>
          <w:lang w:bidi="en-US"/>
        </w:rPr>
      </w:pPr>
    </w:p>
    <w:p w14:paraId="52A88429" w14:textId="77777777" w:rsidR="007E67F1" w:rsidRPr="007F69DA" w:rsidRDefault="007E67F1" w:rsidP="007E67F1">
      <w:pPr>
        <w:ind w:left="284" w:right="-851"/>
      </w:pPr>
    </w:p>
    <w:p w14:paraId="25E301DF" w14:textId="77777777" w:rsidR="007E67F1" w:rsidRPr="007F69DA" w:rsidRDefault="007E67F1" w:rsidP="007E67F1">
      <w:pPr>
        <w:jc w:val="both"/>
        <w:rPr>
          <w:szCs w:val="24"/>
          <w:lang w:bidi="en-US"/>
        </w:rPr>
      </w:pPr>
      <w:r w:rsidRPr="007F69DA">
        <w:rPr>
          <w:szCs w:val="24"/>
          <w:lang w:bidi="en-US"/>
        </w:rPr>
        <w:t>5.  Online-Werbung</w:t>
      </w:r>
    </w:p>
    <w:p w14:paraId="10CB8DD9" w14:textId="77777777" w:rsidR="007E67F1" w:rsidRPr="007F69DA" w:rsidRDefault="007E67F1" w:rsidP="007E67F1">
      <w:pPr>
        <w:jc w:val="both"/>
        <w:rPr>
          <w:szCs w:val="24"/>
          <w:lang w:bidi="en-US"/>
        </w:rPr>
      </w:pPr>
    </w:p>
    <w:p w14:paraId="6C0D7C65" w14:textId="77777777" w:rsidR="007E67F1" w:rsidRPr="007F69DA" w:rsidRDefault="007E67F1" w:rsidP="007E67F1">
      <w:pPr>
        <w:jc w:val="both"/>
        <w:rPr>
          <w:szCs w:val="24"/>
          <w:lang w:bidi="en-US"/>
        </w:rPr>
      </w:pPr>
      <w:r w:rsidRPr="007F69DA">
        <w:rPr>
          <w:szCs w:val="24"/>
          <w:lang w:bidi="en-US"/>
        </w:rPr>
        <w:t>5.1  Grundlagen</w:t>
      </w:r>
    </w:p>
    <w:p w14:paraId="5C6A223B" w14:textId="77777777" w:rsidR="007E67F1" w:rsidRPr="007F69DA" w:rsidRDefault="007E67F1" w:rsidP="007E67F1">
      <w:pPr>
        <w:jc w:val="both"/>
        <w:rPr>
          <w:szCs w:val="24"/>
          <w:lang w:bidi="en-US"/>
        </w:rPr>
      </w:pPr>
      <w:r w:rsidRPr="007F69DA">
        <w:rPr>
          <w:szCs w:val="24"/>
          <w:lang w:bidi="en-US"/>
        </w:rPr>
        <w:t>Online-Werbung wirkt. Beispielsweise erhöht Bannerwerbung die Kauf- und Wiederkaufwahrscheinlichkeit von Online-Shoppern (vgl. Manchanda et al. 2006). Aber wirkt Online-Werbung besser oder schlechter als Print- bzw. TV-Werbung? Einige Studien (z.B. Gallagher et al. 2001a/b) konnten keine systematischen Unterschiede zwischen der Wirkungsweise traditioneller und elektronischer Medien feststellen. Andere erbrachten inkonsistente Ergebnisse (z.B. Bezjian-Avery et al. 1998). Die von Sundar et al. (1998) hierzu befragten Probanden konnten Werbebotschaften, die ihnen als Printanzeige präsentiert wurden, besser erinnern als dieselbe Anzeige in der Online-Version.</w:t>
      </w:r>
    </w:p>
    <w:p w14:paraId="6EB00EDE" w14:textId="77777777" w:rsidR="007E67F1" w:rsidRPr="007F69DA" w:rsidRDefault="007E67F1" w:rsidP="007E67F1">
      <w:pPr>
        <w:jc w:val="both"/>
        <w:rPr>
          <w:szCs w:val="24"/>
          <w:lang w:bidi="en-US"/>
        </w:rPr>
      </w:pPr>
    </w:p>
    <w:p w14:paraId="733747E4" w14:textId="77777777" w:rsidR="007E67F1" w:rsidRPr="007F69DA" w:rsidRDefault="007E67F1" w:rsidP="007E67F1">
      <w:pPr>
        <w:jc w:val="both"/>
        <w:rPr>
          <w:szCs w:val="24"/>
          <w:lang w:val="en-US" w:bidi="en-US"/>
        </w:rPr>
      </w:pPr>
      <w:r w:rsidRPr="007F69DA">
        <w:rPr>
          <w:szCs w:val="24"/>
          <w:lang w:bidi="en-US"/>
        </w:rPr>
        <w:t xml:space="preserve">Faber et al. (2004) begründeten dies mit der Künstlichkeit der Befragungssituation, die sie dem Bemühen um vergleichbare Untersuchungsbedingungen zuschreiben: „It is not surprising to find no differences in advertising effects resulting from pure medium difference given how many of these studies are designed. </w:t>
      </w:r>
      <w:r w:rsidRPr="007F69DA">
        <w:rPr>
          <w:szCs w:val="24"/>
          <w:lang w:val="en-US" w:bidi="en-US"/>
        </w:rPr>
        <w:t xml:space="preserve">Researchers frequently have tried to make the stimuli in different media as comparable as possible to exclude confounding variables. However, this research strategy also tends to exclude meaningful differences between the media that should lead to real differences in advertising effects. For example, in the studies by Gallagher et al. (2001a/b), the difference between print and Internet conditions is the fact that subjects get to click on the five ads in the Internet version. Thus, the only difference is in selecting the order to view the ads and in not viewing one or more if the subject did not want to. In an experimental setting, it is hard to imagine that such a difference would lead to meaningful effects on brand attitude or preference” (Faber et al. 2004, S.458f). </w:t>
      </w:r>
    </w:p>
    <w:p w14:paraId="2ACDEFBD" w14:textId="77777777" w:rsidR="007E67F1" w:rsidRPr="007F69DA" w:rsidRDefault="007E67F1" w:rsidP="007E67F1">
      <w:pPr>
        <w:jc w:val="both"/>
        <w:rPr>
          <w:szCs w:val="24"/>
          <w:lang w:val="en-US" w:bidi="en-US"/>
        </w:rPr>
      </w:pPr>
    </w:p>
    <w:p w14:paraId="3972ED84" w14:textId="77777777" w:rsidR="007E67F1" w:rsidRPr="007F69DA" w:rsidRDefault="007E67F1" w:rsidP="007E67F1">
      <w:pPr>
        <w:jc w:val="both"/>
        <w:rPr>
          <w:szCs w:val="24"/>
          <w:lang w:bidi="en-US"/>
        </w:rPr>
      </w:pPr>
      <w:r w:rsidRPr="007F69DA">
        <w:rPr>
          <w:szCs w:val="24"/>
          <w:lang w:bidi="en-US"/>
        </w:rPr>
        <w:t>5.2  Einfluss der Landeskultur</w:t>
      </w:r>
    </w:p>
    <w:p w14:paraId="090EC237" w14:textId="77777777" w:rsidR="007E67F1" w:rsidRPr="007F69DA" w:rsidRDefault="007E67F1" w:rsidP="007E67F1">
      <w:pPr>
        <w:jc w:val="both"/>
        <w:rPr>
          <w:szCs w:val="24"/>
          <w:lang w:bidi="en-US"/>
        </w:rPr>
      </w:pPr>
    </w:p>
    <w:p w14:paraId="163D629E" w14:textId="77777777" w:rsidR="007E67F1" w:rsidRPr="00510E20" w:rsidRDefault="007E67F1" w:rsidP="007E67F1">
      <w:pPr>
        <w:jc w:val="both"/>
        <w:rPr>
          <w:i/>
          <w:iCs/>
          <w:szCs w:val="24"/>
          <w:lang w:bidi="en-US"/>
        </w:rPr>
      </w:pPr>
      <w:r w:rsidRPr="00510E20">
        <w:rPr>
          <w:i/>
          <w:iCs/>
          <w:szCs w:val="24"/>
          <w:lang w:bidi="en-US"/>
        </w:rPr>
        <w:t>Werbemodelle</w:t>
      </w:r>
    </w:p>
    <w:p w14:paraId="4BFD0870" w14:textId="77777777" w:rsidR="007E67F1" w:rsidRPr="007F69DA" w:rsidRDefault="007E67F1" w:rsidP="007E67F1">
      <w:pPr>
        <w:jc w:val="both"/>
        <w:rPr>
          <w:szCs w:val="24"/>
          <w:lang w:bidi="en-US"/>
        </w:rPr>
      </w:pPr>
      <w:r w:rsidRPr="007F69DA">
        <w:rPr>
          <w:szCs w:val="24"/>
          <w:lang w:bidi="en-US"/>
        </w:rPr>
        <w:t>Gemäß An/Kim (2007) werden in einem tendenziell femininen Land (Südkorea: MAS = 39) im Internet häufiger weibliche Werbemodelle in einem familiären Kontext oder bei der Freizeitgestaltung gezeigt als in einem eher maskulinen Werbemarkt (USA: MAS = 62).</w:t>
      </w:r>
    </w:p>
    <w:p w14:paraId="45397DA4" w14:textId="77777777" w:rsidR="007E67F1" w:rsidRPr="00510E20" w:rsidRDefault="007E67F1" w:rsidP="007E67F1">
      <w:pPr>
        <w:jc w:val="both"/>
        <w:rPr>
          <w:i/>
          <w:iCs/>
          <w:szCs w:val="24"/>
          <w:lang w:bidi="en-US"/>
        </w:rPr>
      </w:pPr>
    </w:p>
    <w:p w14:paraId="4995C4F5" w14:textId="77777777" w:rsidR="007E67F1" w:rsidRPr="00510E20" w:rsidRDefault="007E67F1" w:rsidP="007E67F1">
      <w:pPr>
        <w:jc w:val="both"/>
        <w:rPr>
          <w:i/>
          <w:iCs/>
          <w:szCs w:val="24"/>
          <w:lang w:bidi="en-US"/>
        </w:rPr>
      </w:pPr>
      <w:r w:rsidRPr="00510E20">
        <w:rPr>
          <w:i/>
          <w:iCs/>
          <w:szCs w:val="24"/>
          <w:lang w:bidi="en-US"/>
        </w:rPr>
        <w:t>Personalisierte Werbung</w:t>
      </w:r>
    </w:p>
    <w:p w14:paraId="11B1D6AE" w14:textId="77777777" w:rsidR="007E67F1" w:rsidRPr="007F69DA" w:rsidRDefault="007E67F1" w:rsidP="007E67F1">
      <w:pPr>
        <w:jc w:val="both"/>
        <w:rPr>
          <w:szCs w:val="24"/>
          <w:lang w:bidi="en-US"/>
        </w:rPr>
      </w:pPr>
      <w:r w:rsidRPr="007F69DA">
        <w:rPr>
          <w:szCs w:val="24"/>
          <w:lang w:bidi="en-US"/>
        </w:rPr>
        <w:t>Unternehmen sammeln bzw. erwerben zahllose Informationen über ihre (</w:t>
      </w:r>
      <w:proofErr w:type="gramStart"/>
      <w:r w:rsidRPr="007F69DA">
        <w:rPr>
          <w:szCs w:val="24"/>
          <w:lang w:bidi="en-US"/>
        </w:rPr>
        <w:t>potentiellen</w:t>
      </w:r>
      <w:proofErr w:type="gramEnd"/>
      <w:r w:rsidRPr="007F69DA">
        <w:rPr>
          <w:szCs w:val="24"/>
          <w:lang w:bidi="en-US"/>
        </w:rPr>
        <w:t>) Kunden – angefangen bei einfachen demographischen Informationen (Alter, Geschlecht etc.) über das Informations- und Freizeitverhalten bis hin zu den komplexeren Konsumgewohnheiten. Mit Hilfe dieser Informationen versucht personalisierte Werbung, die für die traditionelle Medienwerbung charakteristischen Streuverluste zu vermeiden. Die Zielpersonen sollen nur solche Werbebotschaften erhalten, für die sie sich mutmaßlich gerade zu diesem Zeitpunkt interessieren. Die versprochene Zielgenauigkeit hat sich allerdings häufig als ein unhaltbares Versprechen erwiesen (vgl. Scherer 2013). Auch leidet diese Werbestrategie darunter, dass viele Menschen sich von personalisierter Werbung überwacht und manipuliert fühlen, wenn bspw. ständig Angebote einer Automobilfinanzierung hochpoppen, nur weil sie sich einmal im Internet über ein neues Fahrzeugmodell informiert haben. Wie Yu/Cude (2009) empirisch ermittelt haben, weckt personalisierte Werbung generell häufiger negative als positive Assoziationen. Mehr noch als die kollektivistischen südkoreanischen Probanden reagierten die individualistischen US-amerikanischen Probanden mit Vorbehalten auf diese Werbestrategie. Erklären lässt sich dies mit dem besonderen Stellenwert, den individualistische Gesellschaften persönlicher Freiheit beimessen.</w:t>
      </w:r>
    </w:p>
    <w:p w14:paraId="6E85855C" w14:textId="77777777" w:rsidR="007E67F1" w:rsidRPr="007F69DA" w:rsidRDefault="007E67F1" w:rsidP="007E67F1">
      <w:pPr>
        <w:jc w:val="both"/>
        <w:rPr>
          <w:szCs w:val="24"/>
          <w:lang w:bidi="en-US"/>
        </w:rPr>
      </w:pPr>
    </w:p>
    <w:p w14:paraId="135A0473" w14:textId="77777777" w:rsidR="007E67F1" w:rsidRPr="00510E20" w:rsidRDefault="007E67F1" w:rsidP="007E67F1">
      <w:pPr>
        <w:jc w:val="both"/>
        <w:rPr>
          <w:i/>
          <w:iCs/>
          <w:szCs w:val="24"/>
          <w:lang w:bidi="en-US"/>
        </w:rPr>
      </w:pPr>
      <w:r w:rsidRPr="00510E20">
        <w:rPr>
          <w:i/>
          <w:iCs/>
          <w:szCs w:val="24"/>
          <w:lang w:bidi="en-US"/>
        </w:rPr>
        <w:t>Mobile-Marketing</w:t>
      </w:r>
    </w:p>
    <w:p w14:paraId="7F696426" w14:textId="77777777" w:rsidR="007E67F1" w:rsidRPr="007F69DA" w:rsidRDefault="007E67F1" w:rsidP="007E67F1">
      <w:pPr>
        <w:jc w:val="both"/>
        <w:rPr>
          <w:szCs w:val="24"/>
          <w:lang w:bidi="en-US"/>
        </w:rPr>
      </w:pPr>
      <w:r w:rsidRPr="007F69DA">
        <w:rPr>
          <w:szCs w:val="24"/>
          <w:lang w:bidi="en-US"/>
        </w:rPr>
        <w:t>Bislang hat die kulturvergleichende Forschung dieses Thema weitgehend vernachlässigt (vgl. Varnali/Toker 2010). Zu den Ausnahmen zählen Choi et al. (2008) und Sinkovics et al. (2012). Sie konnten nachweisen, dass Unterhaltungswert und Glaubwürdigkeit kulturübergreifend (Japan, Österreich, Süd</w:t>
      </w:r>
      <w:r w:rsidRPr="007F69DA">
        <w:rPr>
          <w:szCs w:val="24"/>
          <w:lang w:bidi="en-US"/>
        </w:rPr>
        <w:lastRenderedPageBreak/>
        <w:t>korea, USA) zu den Erfolgsfaktoren dieses Mediums zählen. Diese Eigenschaften begünstigen eine positive Einstellung der Umworbenen und steigern deren Kaufabsicht.</w:t>
      </w:r>
    </w:p>
    <w:p w14:paraId="093404BD" w14:textId="77777777" w:rsidR="007E67F1" w:rsidRPr="007F69DA" w:rsidRDefault="007E67F1" w:rsidP="007E67F1">
      <w:pPr>
        <w:jc w:val="both"/>
        <w:rPr>
          <w:szCs w:val="24"/>
          <w:lang w:bidi="en-US"/>
        </w:rPr>
      </w:pPr>
    </w:p>
    <w:p w14:paraId="2BA66EC0" w14:textId="77777777" w:rsidR="007E67F1" w:rsidRPr="00BF04C9" w:rsidRDefault="007E67F1" w:rsidP="00510E20">
      <w:pPr>
        <w:pStyle w:val="Literatur"/>
        <w:numPr>
          <w:ilvl w:val="0"/>
          <w:numId w:val="0"/>
        </w:numPr>
        <w:spacing w:line="240" w:lineRule="auto"/>
        <w:rPr>
          <w:iCs/>
          <w:sz w:val="22"/>
          <w:szCs w:val="22"/>
          <w:lang w:val="en-US"/>
        </w:rPr>
      </w:pPr>
      <w:r w:rsidRPr="00510E20">
        <w:rPr>
          <w:b/>
          <w:bCs w:val="0"/>
          <w:i/>
          <w:iCs/>
          <w:noProof/>
          <w:sz w:val="22"/>
          <w:szCs w:val="22"/>
          <w:lang w:val="en-US"/>
        </w:rPr>
        <w:t>Literatur:</w:t>
      </w:r>
      <w:r w:rsidRPr="00BF04C9">
        <w:rPr>
          <w:noProof/>
          <w:sz w:val="22"/>
          <w:szCs w:val="22"/>
          <w:lang w:val="en-US"/>
        </w:rPr>
        <w:t xml:space="preserve"> </w:t>
      </w:r>
      <w:r w:rsidRPr="00BF04C9">
        <w:rPr>
          <w:iCs/>
          <w:sz w:val="22"/>
          <w:szCs w:val="22"/>
          <w:lang w:val="en-US"/>
        </w:rPr>
        <w:t>An, D.C.; Kim, S.H. (2007): Relating Hofstede’s Masculinity Dimension to Gender Role Portrayals in Advertising. A Cross-Cultural Comparsion of Web Advertisements, International Marketing Review, 24(2): 181-207.   Asimionoaei, C. (2009): Cultural Issues in Website Design. A European Perspective on Electronic Commerce, CES Working Paper, 1: 17-22</w:t>
      </w:r>
      <w:r w:rsidRPr="00BF04C9">
        <w:rPr>
          <w:sz w:val="22"/>
          <w:szCs w:val="22"/>
          <w:lang w:val="en-US"/>
        </w:rPr>
        <w:t>.</w:t>
      </w:r>
      <w:r w:rsidRPr="00BF04C9">
        <w:rPr>
          <w:iCs/>
          <w:sz w:val="22"/>
          <w:szCs w:val="22"/>
          <w:lang w:val="en-US"/>
        </w:rPr>
        <w:t xml:space="preserve">   </w:t>
      </w:r>
      <w:r w:rsidRPr="00BF04C9">
        <w:rPr>
          <w:sz w:val="22"/>
          <w:szCs w:val="22"/>
          <w:lang w:val="en-US"/>
        </w:rPr>
        <w:t xml:space="preserve">Baack, D.W.; Singh, N. (2007): Culture and Web Communications, Journal of Business Research, 60(3): 181-188.   </w:t>
      </w:r>
      <w:r w:rsidRPr="00BF04C9">
        <w:rPr>
          <w:snapToGrid w:val="0"/>
          <w:sz w:val="22"/>
          <w:szCs w:val="22"/>
          <w:lang w:val="en-US"/>
        </w:rPr>
        <w:t>Bezjian-Avery, A.; Calder, B.; Iacobucci, D. (1998): New Media Interactive Advertising vs. Traditional Advertising, Journal of Advertising Research, 38(4): 23-32.</w:t>
      </w:r>
      <w:r w:rsidRPr="00BF04C9">
        <w:rPr>
          <w:iCs/>
          <w:sz w:val="22"/>
          <w:szCs w:val="22"/>
          <w:lang w:val="en-US"/>
        </w:rPr>
        <w:t xml:space="preserve">   </w:t>
      </w:r>
      <w:r w:rsidRPr="00BF04C9">
        <w:rPr>
          <w:sz w:val="22"/>
          <w:szCs w:val="22"/>
          <w:lang w:val="en-US"/>
        </w:rPr>
        <w:t>Burton, D. (2008): Cross-Cultural Marketing. Theory, Practice and Relevance, New York: Routledge.</w:t>
      </w:r>
      <w:r w:rsidRPr="00BF04C9">
        <w:rPr>
          <w:iCs/>
          <w:sz w:val="22"/>
          <w:szCs w:val="22"/>
          <w:lang w:val="en-US"/>
        </w:rPr>
        <w:t xml:space="preserve">   </w:t>
      </w:r>
      <w:r w:rsidRPr="00BF04C9">
        <w:rPr>
          <w:sz w:val="22"/>
          <w:szCs w:val="22"/>
          <w:lang w:val="en-US"/>
        </w:rPr>
        <w:t>Choi, Y.K.; Hwang, J.S.; McMillan, S.J. (2008): Gearing up for Mobile Advertising. A Cross‐Cultural Examination of Key Factors that Drive Mobile Messages Home to Consumers, Psychology &amp; Marketing, 25(8): 756-768.</w:t>
      </w:r>
      <w:r w:rsidRPr="00BF04C9">
        <w:rPr>
          <w:iCs/>
          <w:sz w:val="22"/>
          <w:szCs w:val="22"/>
          <w:lang w:val="en-US"/>
        </w:rPr>
        <w:t xml:space="preserve">   </w:t>
      </w:r>
      <w:r w:rsidRPr="00BF04C9">
        <w:rPr>
          <w:sz w:val="22"/>
          <w:szCs w:val="22"/>
          <w:lang w:val="en-US"/>
        </w:rPr>
        <w:t xml:space="preserve">Edwards, S.M.; Li, H.; Lee, J.H. (2002): Forced Exposure and Psychological Reactance. Antecedents and Consequences of the Perceived Intrusiveness of Pop-Up Ads, Journal of Advertising, 31(3): 83-95.   </w:t>
      </w:r>
      <w:r w:rsidRPr="00BF04C9">
        <w:rPr>
          <w:snapToGrid w:val="0"/>
          <w:sz w:val="22"/>
          <w:szCs w:val="22"/>
          <w:lang w:val="en-US"/>
        </w:rPr>
        <w:t>Faber, R.J.; Lee, M.; Nan, X. (2004): Advertising and the Consumer Information Environment Online, American Behavioral Scientist, 48(4): 447-466.</w:t>
      </w:r>
      <w:r w:rsidRPr="00BF04C9">
        <w:rPr>
          <w:iCs/>
          <w:sz w:val="22"/>
          <w:szCs w:val="22"/>
          <w:lang w:val="en-US"/>
        </w:rPr>
        <w:t xml:space="preserve">   </w:t>
      </w:r>
      <w:r w:rsidRPr="00BF04C9">
        <w:rPr>
          <w:sz w:val="22"/>
          <w:szCs w:val="22"/>
          <w:lang w:val="en-US"/>
        </w:rPr>
        <w:t>Ferranti, M.</w:t>
      </w:r>
      <w:r w:rsidRPr="00BF04C9">
        <w:rPr>
          <w:iCs/>
          <w:sz w:val="22"/>
          <w:szCs w:val="22"/>
          <w:lang w:val="en-US"/>
        </w:rPr>
        <w:t xml:space="preserve"> (</w:t>
      </w:r>
      <w:r w:rsidRPr="00BF04C9">
        <w:rPr>
          <w:sz w:val="22"/>
          <w:szCs w:val="22"/>
          <w:lang w:val="en-US"/>
        </w:rPr>
        <w:t>1999</w:t>
      </w:r>
      <w:r w:rsidRPr="00BF04C9">
        <w:rPr>
          <w:iCs/>
          <w:sz w:val="22"/>
          <w:szCs w:val="22"/>
          <w:lang w:val="en-US"/>
        </w:rPr>
        <w:t>):</w:t>
      </w:r>
      <w:r w:rsidRPr="00BF04C9">
        <w:rPr>
          <w:sz w:val="22"/>
          <w:szCs w:val="22"/>
          <w:lang w:val="en-US"/>
        </w:rPr>
        <w:t xml:space="preserve"> From Global to Local</w:t>
      </w:r>
      <w:r w:rsidRPr="00BF04C9">
        <w:rPr>
          <w:iCs/>
          <w:sz w:val="22"/>
          <w:szCs w:val="22"/>
          <w:lang w:val="en-US"/>
        </w:rPr>
        <w:t xml:space="preserve">, </w:t>
      </w:r>
      <w:r w:rsidRPr="00BF04C9">
        <w:rPr>
          <w:sz w:val="22"/>
          <w:szCs w:val="22"/>
          <w:lang w:val="en-US"/>
        </w:rPr>
        <w:t>Infoworld</w:t>
      </w:r>
      <w:r w:rsidRPr="00BF04C9">
        <w:rPr>
          <w:iCs/>
          <w:sz w:val="22"/>
          <w:szCs w:val="22"/>
          <w:lang w:val="en-US"/>
        </w:rPr>
        <w:t xml:space="preserve">, </w:t>
      </w:r>
      <w:r w:rsidRPr="00BF04C9">
        <w:rPr>
          <w:sz w:val="22"/>
          <w:szCs w:val="22"/>
          <w:lang w:val="en-US"/>
        </w:rPr>
        <w:t>21</w:t>
      </w:r>
      <w:r w:rsidRPr="00BF04C9">
        <w:rPr>
          <w:iCs/>
          <w:sz w:val="22"/>
          <w:szCs w:val="22"/>
          <w:lang w:val="en-US"/>
        </w:rPr>
        <w:t>(</w:t>
      </w:r>
      <w:r w:rsidRPr="00BF04C9">
        <w:rPr>
          <w:sz w:val="22"/>
          <w:szCs w:val="22"/>
          <w:lang w:val="en-US"/>
        </w:rPr>
        <w:t>41</w:t>
      </w:r>
      <w:r w:rsidRPr="00BF04C9">
        <w:rPr>
          <w:iCs/>
          <w:sz w:val="22"/>
          <w:szCs w:val="22"/>
          <w:lang w:val="en-US"/>
        </w:rPr>
        <w:t xml:space="preserve">): </w:t>
      </w:r>
      <w:r w:rsidRPr="00BF04C9">
        <w:rPr>
          <w:sz w:val="22"/>
          <w:szCs w:val="22"/>
          <w:lang w:val="en-US"/>
        </w:rPr>
        <w:t>36</w:t>
      </w:r>
      <w:r w:rsidRPr="00BF04C9">
        <w:rPr>
          <w:iCs/>
          <w:sz w:val="22"/>
          <w:szCs w:val="22"/>
          <w:lang w:val="en-US"/>
        </w:rPr>
        <w:t>-</w:t>
      </w:r>
      <w:r w:rsidRPr="00BF04C9">
        <w:rPr>
          <w:sz w:val="22"/>
          <w:szCs w:val="22"/>
          <w:lang w:val="en-US"/>
        </w:rPr>
        <w:t>37</w:t>
      </w:r>
      <w:r w:rsidRPr="00BF04C9">
        <w:rPr>
          <w:iCs/>
          <w:sz w:val="22"/>
          <w:szCs w:val="22"/>
          <w:lang w:val="en-US"/>
        </w:rPr>
        <w:t xml:space="preserve">.   </w:t>
      </w:r>
      <w:r w:rsidRPr="00BF04C9">
        <w:rPr>
          <w:sz w:val="22"/>
          <w:szCs w:val="22"/>
          <w:lang w:val="en-US"/>
        </w:rPr>
        <w:t>Gallagher, K.; Foster, K.D.; Parsons, J. (2001a): The Medium is Not the Message. Advertising Effectiveness and Content Evaluation in Print and on the Web, Journal of Advertising Research, 41(4): 57-70.</w:t>
      </w:r>
      <w:r w:rsidRPr="00BF04C9">
        <w:rPr>
          <w:iCs/>
          <w:sz w:val="22"/>
          <w:szCs w:val="22"/>
          <w:lang w:val="en-US"/>
        </w:rPr>
        <w:t xml:space="preserve">   </w:t>
      </w:r>
      <w:r w:rsidRPr="00BF04C9">
        <w:rPr>
          <w:sz w:val="22"/>
          <w:szCs w:val="22"/>
          <w:lang w:val="en-US"/>
        </w:rPr>
        <w:t>Gallagher, K.; Parsons, J.; Foster, K.D. (2001b): A Tale of Two Studies. Replicating" Advertising Effectiveness and Content Evaluation in Print and on the Web", Journal of Advertising Research, 41(4): 71-82.</w:t>
      </w:r>
      <w:r w:rsidRPr="00BF04C9">
        <w:rPr>
          <w:iCs/>
          <w:sz w:val="22"/>
          <w:szCs w:val="22"/>
          <w:lang w:val="en-US"/>
        </w:rPr>
        <w:t xml:space="preserve">   </w:t>
      </w:r>
      <w:r w:rsidRPr="00BF04C9">
        <w:rPr>
          <w:sz w:val="22"/>
          <w:szCs w:val="22"/>
        </w:rPr>
        <w:t>Hawranek, D.; Zand, B. (2014): Deutsche Teufel. Massenhafte Proteste gegen VW in China irritieren den Wolfsburger Konzern, Der Spiegel, 67(45): 86.</w:t>
      </w:r>
      <w:r w:rsidRPr="00BF04C9">
        <w:rPr>
          <w:iCs/>
          <w:sz w:val="22"/>
          <w:szCs w:val="22"/>
        </w:rPr>
        <w:t xml:space="preserve">   </w:t>
      </w:r>
      <w:r w:rsidRPr="00BF04C9">
        <w:rPr>
          <w:sz w:val="22"/>
          <w:szCs w:val="22"/>
          <w:lang w:val="en-US"/>
        </w:rPr>
        <w:t>Jo, S.; Jung, J. (2005): A Cross-Cultural Study of the World Wide Web and Public Relations, Corporate Communications: An International Journal, 10(1): 24-40.</w:t>
      </w:r>
      <w:r w:rsidRPr="00BF04C9">
        <w:rPr>
          <w:iCs/>
          <w:sz w:val="22"/>
          <w:szCs w:val="22"/>
          <w:lang w:val="en-US"/>
        </w:rPr>
        <w:t xml:space="preserve">   </w:t>
      </w:r>
      <w:r w:rsidRPr="00BF04C9">
        <w:rPr>
          <w:sz w:val="22"/>
          <w:szCs w:val="22"/>
        </w:rPr>
        <w:t>Kreutzer, R.T. (2014): Praxisorientiertes Online-Marketing, 2. Aufl., Wiesbaden: Springer Gabler.</w:t>
      </w:r>
      <w:r w:rsidRPr="00BF04C9">
        <w:rPr>
          <w:iCs/>
          <w:sz w:val="22"/>
          <w:szCs w:val="22"/>
        </w:rPr>
        <w:t xml:space="preserve">   </w:t>
      </w:r>
      <w:r w:rsidRPr="00BF04C9">
        <w:rPr>
          <w:sz w:val="22"/>
          <w:szCs w:val="22"/>
          <w:lang w:val="en-US"/>
        </w:rPr>
        <w:t>Lee, B.; Tamborini, R. (2005): Third Person Effect and Internet Pornography. The Influence of Collectivism and Internet Self Efficacy, Journal of Communication, 55(2): 292-310.</w:t>
      </w:r>
      <w:r w:rsidRPr="00BF04C9">
        <w:rPr>
          <w:iCs/>
          <w:sz w:val="22"/>
          <w:szCs w:val="22"/>
          <w:lang w:val="en-US"/>
        </w:rPr>
        <w:t xml:space="preserve">   </w:t>
      </w:r>
      <w:r w:rsidRPr="00BF04C9">
        <w:rPr>
          <w:sz w:val="22"/>
          <w:szCs w:val="22"/>
          <w:lang w:val="en-US"/>
        </w:rPr>
        <w:t>Loiacono, E.T.; Watson, R.T.; Goodhue, D.L. (2007): WebQual. An instrument for Consumer Evaluation of Web Sites, International Journal of Electronic Commerce, 11(3): 51-87.</w:t>
      </w:r>
      <w:r w:rsidRPr="00BF04C9">
        <w:rPr>
          <w:iCs/>
          <w:sz w:val="22"/>
          <w:szCs w:val="22"/>
          <w:lang w:val="en-US"/>
        </w:rPr>
        <w:t xml:space="preserve">   </w:t>
      </w:r>
      <w:r w:rsidRPr="00BF04C9">
        <w:rPr>
          <w:sz w:val="22"/>
          <w:szCs w:val="22"/>
          <w:lang w:val="en-US"/>
        </w:rPr>
        <w:t>Manchanda, P.; Dubé, J.P., Goh, K.Y.; Chintagunta, P.K. (2006): The Effect of Banner Advertising on Internet Purchasing, Journal of Marketing Research, 43(1): 98-108.</w:t>
      </w:r>
      <w:r w:rsidRPr="00BF04C9">
        <w:rPr>
          <w:iCs/>
          <w:sz w:val="22"/>
          <w:szCs w:val="22"/>
          <w:lang w:val="en-US"/>
        </w:rPr>
        <w:t xml:space="preserve">   </w:t>
      </w:r>
      <w:r w:rsidRPr="00BF04C9">
        <w:rPr>
          <w:sz w:val="22"/>
          <w:szCs w:val="22"/>
          <w:lang w:val="en-US"/>
        </w:rPr>
        <w:t>Möller, J.; Eisend, M. (2010): A Global Investigation into the Cultural and Individual Antecedents of Banner Advertising Effectiveness, Journal of International Marketing, 18(2): 80-98.</w:t>
      </w:r>
      <w:r w:rsidRPr="00BF04C9">
        <w:rPr>
          <w:iCs/>
          <w:sz w:val="22"/>
          <w:szCs w:val="22"/>
          <w:lang w:val="en-US"/>
        </w:rPr>
        <w:t xml:space="preserve">   </w:t>
      </w:r>
      <w:r w:rsidRPr="00BF04C9">
        <w:rPr>
          <w:sz w:val="22"/>
          <w:szCs w:val="22"/>
          <w:lang w:val="en-US"/>
        </w:rPr>
        <w:t>Nantel, J.; Glaser, E. (2008): The Impact of Language and Culture on Perceived Website Usability, Journal of Engineering and Technology Management, 25(1): 112-122.</w:t>
      </w:r>
      <w:r w:rsidRPr="00BF04C9">
        <w:rPr>
          <w:iCs/>
          <w:sz w:val="22"/>
          <w:szCs w:val="22"/>
          <w:lang w:val="en-US"/>
        </w:rPr>
        <w:t xml:space="preserve">   </w:t>
      </w:r>
      <w:r w:rsidRPr="00BF04C9">
        <w:rPr>
          <w:sz w:val="22"/>
          <w:szCs w:val="22"/>
          <w:lang w:val="en-US"/>
        </w:rPr>
        <w:t>Owens, J.W.; Chaparro, B.S.; Palmer, E.M. (2011): Text Advertising Blindness. The New Banner Blindness? Journal of Usability Studies, 6(3): 172-197.</w:t>
      </w:r>
      <w:r w:rsidRPr="00BF04C9">
        <w:rPr>
          <w:iCs/>
          <w:sz w:val="22"/>
          <w:szCs w:val="22"/>
          <w:lang w:val="en-US"/>
        </w:rPr>
        <w:t xml:space="preserve">   </w:t>
      </w:r>
      <w:r w:rsidRPr="00BF04C9">
        <w:rPr>
          <w:sz w:val="22"/>
          <w:szCs w:val="22"/>
          <w:lang w:val="en-US"/>
        </w:rPr>
        <w:t>Pagendarm, M.; Schaumburg, H. (2006): Why Are Users Banner-Blind? The Impact of Navigation Style on the Perception of Web Banners, Journal of Digital Information, 2(1).</w:t>
      </w:r>
      <w:r w:rsidRPr="00BF04C9">
        <w:rPr>
          <w:iCs/>
          <w:sz w:val="22"/>
          <w:szCs w:val="22"/>
          <w:lang w:val="en-US"/>
        </w:rPr>
        <w:t xml:space="preserve">   Singh, N. (2003): Culture and the World Wide Web. A Cross-Cultural Analysis of Web Sites from France, Germany and USA, American Marketing Association, 14: 30-31.   Singh, N.; Fassott, G.; Zhao, H.; Boughton, P.D. (2006): A Cross-Cultural Analysis of German, Chinese and Indian Consumers' Perception of Web Site Adaptation, Journal of Consumer Behaviour, 5(1): 56-68.   Singh, N.; Zhao, H.; Hu, X. (2005): Analyzing the Cultural Content of Web Sites. A Cross-National Comparision of China, India, Japan, and US, International Marketing Review, 22(2): 129-146.   </w:t>
      </w:r>
      <w:r w:rsidRPr="00BF04C9">
        <w:rPr>
          <w:sz w:val="22"/>
          <w:szCs w:val="22"/>
          <w:lang w:val="en-US"/>
        </w:rPr>
        <w:t>Sinkovics, R.R.; Pezderka, N.; Haghirian, P. (2012): Determinants of Consumer Perceptions toward Mobile Advertising. A Comparison between Japan and Austria, Journal of Interactive Marketing, 26(1): 21-32.</w:t>
      </w:r>
      <w:r w:rsidRPr="00BF04C9">
        <w:rPr>
          <w:iCs/>
          <w:sz w:val="22"/>
          <w:szCs w:val="22"/>
          <w:lang w:val="en-US"/>
        </w:rPr>
        <w:t xml:space="preserve">   </w:t>
      </w:r>
      <w:r w:rsidRPr="00BF04C9">
        <w:rPr>
          <w:sz w:val="22"/>
          <w:szCs w:val="22"/>
          <w:lang w:val="en-US"/>
        </w:rPr>
        <w:t>Steenkamp, J.-B.E.M.; Geyskens, I. (2006): How Country Characteristics Affect the Perceived Value of Web Sites, Journal of Marketing, 70(3): 136-150.</w:t>
      </w:r>
      <w:r w:rsidRPr="00BF04C9">
        <w:rPr>
          <w:iCs/>
          <w:sz w:val="22"/>
          <w:szCs w:val="22"/>
          <w:lang w:val="en-US"/>
        </w:rPr>
        <w:t xml:space="preserve">   </w:t>
      </w:r>
      <w:r w:rsidRPr="00BF04C9">
        <w:rPr>
          <w:sz w:val="22"/>
          <w:szCs w:val="22"/>
          <w:lang w:val="en-US"/>
        </w:rPr>
        <w:t>Sundar, S.S.; Narayan, S.; Obregon, R.; Uppal, C. (1998): Does Web Advertising Work? Memory for Print vs. Online Media, Journalism &amp; Mass Communication Quarterly, 75(4): 822-835.</w:t>
      </w:r>
      <w:r w:rsidRPr="00BF04C9">
        <w:rPr>
          <w:iCs/>
          <w:sz w:val="22"/>
          <w:szCs w:val="22"/>
          <w:lang w:val="en-US"/>
        </w:rPr>
        <w:t xml:space="preserve">   </w:t>
      </w:r>
      <w:r w:rsidRPr="00BF04C9">
        <w:rPr>
          <w:sz w:val="22"/>
          <w:szCs w:val="22"/>
          <w:lang w:val="en-US"/>
        </w:rPr>
        <w:t>Taylor, M. (2000): Cultural Variance as a Challenge to Global Public Relations. A Case Study of the Coca-Cola Scare in Europe, Public Relations Review, 26(3): 277-293.</w:t>
      </w:r>
      <w:r w:rsidRPr="00BF04C9">
        <w:rPr>
          <w:iCs/>
          <w:sz w:val="22"/>
          <w:szCs w:val="22"/>
          <w:lang w:val="en-US"/>
        </w:rPr>
        <w:t xml:space="preserve">   </w:t>
      </w:r>
      <w:r w:rsidRPr="00BF04C9">
        <w:rPr>
          <w:sz w:val="22"/>
          <w:szCs w:val="22"/>
          <w:lang w:val="en-US"/>
        </w:rPr>
        <w:t>Tucker, C.E. (2012): The Economics of Advertising and Privacy, International Journal of Industrial Organization, 30(3): 326-329.</w:t>
      </w:r>
      <w:r w:rsidRPr="00BF04C9">
        <w:rPr>
          <w:iCs/>
          <w:sz w:val="22"/>
          <w:szCs w:val="22"/>
          <w:lang w:val="en-US"/>
        </w:rPr>
        <w:t xml:space="preserve">   </w:t>
      </w:r>
      <w:r w:rsidRPr="00BF04C9">
        <w:rPr>
          <w:sz w:val="22"/>
          <w:szCs w:val="22"/>
          <w:lang w:val="en-US"/>
        </w:rPr>
        <w:t>Varnali, K.; Toker, A. (2010): Mobile Marketing Research. The-Ttate-of-the-Art, International Journal of Information Management, 30(2): 144-151.</w:t>
      </w:r>
      <w:r w:rsidRPr="00BF04C9">
        <w:rPr>
          <w:iCs/>
          <w:sz w:val="22"/>
          <w:szCs w:val="22"/>
          <w:lang w:val="en-US"/>
        </w:rPr>
        <w:t xml:space="preserve">   </w:t>
      </w:r>
      <w:r w:rsidRPr="00BF04C9">
        <w:rPr>
          <w:sz w:val="22"/>
          <w:szCs w:val="22"/>
          <w:lang w:val="en-US"/>
        </w:rPr>
        <w:t>Vyncke, F.; Brengman, M. (2010): Are Culturally Congruent Websites More Effective? An Overview of a Decade of Empirical Evidence, Journal of Electronic Commerce Research, 11(1): 14-29.</w:t>
      </w:r>
      <w:r w:rsidRPr="00BF04C9">
        <w:rPr>
          <w:iCs/>
          <w:sz w:val="22"/>
          <w:szCs w:val="22"/>
          <w:lang w:val="en-US"/>
        </w:rPr>
        <w:t xml:space="preserve">   Yalcin, S.; Singh, N.; Dwivedi, Y.K.; Apil, A.R.; Sayfullin, S. (2011): Culture and Localization on the Web. Evidence from Multinationals in Russia </w:t>
      </w:r>
      <w:r w:rsidRPr="00BF04C9">
        <w:rPr>
          <w:iCs/>
          <w:sz w:val="22"/>
          <w:szCs w:val="22"/>
          <w:lang w:val="en-US"/>
        </w:rPr>
        <w:lastRenderedPageBreak/>
        <w:t xml:space="preserve">and Turkey, Journal of Electronic Commerce Research, 12(1): 94-114.   </w:t>
      </w:r>
      <w:r w:rsidRPr="00BF04C9">
        <w:rPr>
          <w:sz w:val="22"/>
          <w:szCs w:val="22"/>
          <w:lang w:val="en-US"/>
        </w:rPr>
        <w:t>Ying, L.; Korneliussen, T.; Gronhaug, K. (2009): The Effect of Ad Value, Ad Placement and Ad Execution on the Perceived Intrusiveness of Web Advertisements, International Journal of Advertising, 28(4): 623-638.</w:t>
      </w:r>
      <w:r w:rsidRPr="00BF04C9">
        <w:rPr>
          <w:iCs/>
          <w:sz w:val="22"/>
          <w:szCs w:val="22"/>
          <w:lang w:val="en-US"/>
        </w:rPr>
        <w:t xml:space="preserve">   </w:t>
      </w:r>
      <w:r w:rsidRPr="00BF04C9">
        <w:rPr>
          <w:sz w:val="22"/>
          <w:szCs w:val="22"/>
          <w:lang w:val="en-US"/>
        </w:rPr>
        <w:t>Yu, J.; Cude, B.J. (2009): Possible Disparities in Consumers' Perceptions toward Personalized Advertising Caused by Cultural Differences. US and Korea, Journal of International Consumer Marketing, 21(4): 251-269.</w:t>
      </w:r>
      <w:r w:rsidRPr="00BF04C9">
        <w:rPr>
          <w:iCs/>
          <w:sz w:val="22"/>
          <w:szCs w:val="22"/>
          <w:lang w:val="en-US"/>
        </w:rPr>
        <w:t xml:space="preserve">   </w:t>
      </w:r>
      <w:r w:rsidRPr="00BF04C9">
        <w:rPr>
          <w:sz w:val="22"/>
          <w:szCs w:val="22"/>
          <w:lang w:val="en-US"/>
        </w:rPr>
        <w:t>Zhang, J.; Daugherty, T. (2010): Third-Person Effect Comparison between US and Chinese Social Networking Website Users. Implications for Online Marketing and Word-of-Mouth Communication, International Journal of Electronic Marketing and Retailing, 3(3): 293-315.</w:t>
      </w:r>
    </w:p>
    <w:p w14:paraId="2AF3760C" w14:textId="77777777" w:rsidR="007E67F1" w:rsidRPr="007F69DA" w:rsidRDefault="007E67F1" w:rsidP="007E67F1">
      <w:pPr>
        <w:rPr>
          <w:bCs/>
          <w:noProof/>
          <w:sz w:val="20"/>
          <w:szCs w:val="20"/>
          <w:lang w:val="en-US"/>
        </w:rPr>
      </w:pPr>
    </w:p>
    <w:p w14:paraId="4EC8E2D0" w14:textId="77777777" w:rsidR="00FF7799" w:rsidRPr="00510E20" w:rsidRDefault="00FF7799" w:rsidP="00510E20">
      <w:pPr>
        <w:keepNext/>
        <w:keepLines/>
        <w:spacing w:before="240"/>
        <w:jc w:val="both"/>
        <w:outlineLvl w:val="1"/>
        <w:rPr>
          <w:b/>
          <w:bCs/>
          <w:color w:val="2E74B5"/>
          <w:sz w:val="24"/>
        </w:rPr>
      </w:pPr>
      <w:r w:rsidRPr="00510E20">
        <w:rPr>
          <w:b/>
          <w:bCs/>
          <w:color w:val="2E74B5"/>
          <w:sz w:val="24"/>
        </w:rPr>
        <w:t>Orientierungen, fundamentale</w:t>
      </w:r>
    </w:p>
    <w:p w14:paraId="0BB2137E" w14:textId="77777777" w:rsidR="00FF7799" w:rsidRPr="00E73F6F" w:rsidRDefault="00FF7799" w:rsidP="00BA06F6">
      <w:pPr>
        <w:pStyle w:val="StandardText"/>
      </w:pPr>
      <w:r w:rsidRPr="00E73F6F">
        <w:t>fünf grundlegenden Orientierungen (bzw. kulturelle Kategorien) von Lebensgemeinschaften, welche Kluckhohn/Strodtbeck (1961) auf Basis einer umfassenden Literaturanalyse beschrieben haben (vgl. Tab. 1). Diese Orientierungen reflektieren die Grundannahmen über die menschliche Existenz, welche den Kern jeder Kultur und somit die kulturspezifische Form von Weltanschauung ausmachen:</w:t>
      </w:r>
    </w:p>
    <w:p w14:paraId="49A278A7" w14:textId="77777777" w:rsidR="00FF7799" w:rsidRPr="00E73F6F" w:rsidRDefault="00FF7799" w:rsidP="00510E20">
      <w:pPr>
        <w:pStyle w:val="StandardTextAufzhlung"/>
        <w:ind w:left="567"/>
      </w:pPr>
      <w:r w:rsidRPr="00E73F6F">
        <w:t>Wesen</w:t>
      </w:r>
      <w:r w:rsidRPr="00E73F6F">
        <w:rPr>
          <w:spacing w:val="-1"/>
        </w:rPr>
        <w:t xml:space="preserve"> </w:t>
      </w:r>
      <w:r w:rsidRPr="00E73F6F">
        <w:t>der</w:t>
      </w:r>
      <w:r w:rsidRPr="00E73F6F">
        <w:rPr>
          <w:spacing w:val="-2"/>
        </w:rPr>
        <w:t xml:space="preserve"> </w:t>
      </w:r>
      <w:r w:rsidRPr="00E73F6F">
        <w:t>menschlichen</w:t>
      </w:r>
      <w:r w:rsidRPr="00E73F6F">
        <w:rPr>
          <w:spacing w:val="-1"/>
        </w:rPr>
        <w:t xml:space="preserve"> </w:t>
      </w:r>
      <w:r w:rsidRPr="00E73F6F">
        <w:t>Natur</w:t>
      </w:r>
      <w:r w:rsidRPr="00E73F6F">
        <w:rPr>
          <w:spacing w:val="-1"/>
        </w:rPr>
        <w:t xml:space="preserve"> </w:t>
      </w:r>
      <w:r w:rsidRPr="00E73F6F">
        <w:t>('human</w:t>
      </w:r>
      <w:r w:rsidRPr="00E73F6F">
        <w:rPr>
          <w:spacing w:val="-3"/>
        </w:rPr>
        <w:t xml:space="preserve"> </w:t>
      </w:r>
      <w:proofErr w:type="spellStart"/>
      <w:r w:rsidRPr="00E73F6F">
        <w:t>nature</w:t>
      </w:r>
      <w:proofErr w:type="spellEnd"/>
      <w:r w:rsidRPr="00E73F6F">
        <w:rPr>
          <w:spacing w:val="-2"/>
        </w:rPr>
        <w:t xml:space="preserve"> </w:t>
      </w:r>
      <w:proofErr w:type="spellStart"/>
      <w:r w:rsidRPr="00E73F6F">
        <w:rPr>
          <w:spacing w:val="-2"/>
        </w:rPr>
        <w:t>orientation</w:t>
      </w:r>
      <w:proofErr w:type="spellEnd"/>
      <w:r w:rsidRPr="00E73F6F">
        <w:rPr>
          <w:spacing w:val="-2"/>
        </w:rPr>
        <w:t>'),</w:t>
      </w:r>
    </w:p>
    <w:p w14:paraId="78FB7B20" w14:textId="77777777" w:rsidR="00FF7799" w:rsidRPr="00E73F6F" w:rsidRDefault="00FF7799" w:rsidP="00510E20">
      <w:pPr>
        <w:pStyle w:val="StandardTextAufzhlung"/>
        <w:ind w:left="567"/>
      </w:pPr>
      <w:r w:rsidRPr="00E73F6F">
        <w:t>Beziehung</w:t>
      </w:r>
      <w:r w:rsidRPr="00E73F6F">
        <w:rPr>
          <w:spacing w:val="-2"/>
        </w:rPr>
        <w:t xml:space="preserve"> </w:t>
      </w:r>
      <w:r w:rsidRPr="00E73F6F">
        <w:t>zur</w:t>
      </w:r>
      <w:r w:rsidRPr="00E73F6F">
        <w:rPr>
          <w:spacing w:val="-2"/>
        </w:rPr>
        <w:t xml:space="preserve"> </w:t>
      </w:r>
      <w:r w:rsidRPr="00E73F6F">
        <w:t>Natur</w:t>
      </w:r>
      <w:r w:rsidRPr="00E73F6F">
        <w:rPr>
          <w:spacing w:val="-2"/>
        </w:rPr>
        <w:t xml:space="preserve"> </w:t>
      </w:r>
      <w:r w:rsidRPr="00E73F6F">
        <w:t>('man-nature</w:t>
      </w:r>
      <w:r w:rsidRPr="00E73F6F">
        <w:rPr>
          <w:spacing w:val="-2"/>
        </w:rPr>
        <w:t xml:space="preserve"> orientation'),</w:t>
      </w:r>
    </w:p>
    <w:p w14:paraId="62AF805F" w14:textId="77777777" w:rsidR="00FF7799" w:rsidRPr="00E73F6F" w:rsidRDefault="00FF7799" w:rsidP="00510E20">
      <w:pPr>
        <w:pStyle w:val="StandardTextAufzhlung"/>
        <w:ind w:left="567"/>
      </w:pPr>
      <w:r w:rsidRPr="00E73F6F">
        <w:t>Beziehung</w:t>
      </w:r>
      <w:r w:rsidRPr="00E73F6F">
        <w:rPr>
          <w:spacing w:val="-1"/>
        </w:rPr>
        <w:t xml:space="preserve"> </w:t>
      </w:r>
      <w:r w:rsidRPr="00E73F6F">
        <w:t>zu</w:t>
      </w:r>
      <w:r w:rsidRPr="00E73F6F">
        <w:rPr>
          <w:spacing w:val="-3"/>
        </w:rPr>
        <w:t xml:space="preserve"> </w:t>
      </w:r>
      <w:r w:rsidRPr="00E73F6F">
        <w:t>anderen</w:t>
      </w:r>
      <w:r w:rsidRPr="00E73F6F">
        <w:rPr>
          <w:spacing w:val="-1"/>
        </w:rPr>
        <w:t xml:space="preserve"> </w:t>
      </w:r>
      <w:r w:rsidRPr="00E73F6F">
        <w:t>Menschen</w:t>
      </w:r>
      <w:r w:rsidRPr="00E73F6F">
        <w:rPr>
          <w:spacing w:val="-2"/>
        </w:rPr>
        <w:t xml:space="preserve"> </w:t>
      </w:r>
      <w:r w:rsidRPr="00E73F6F">
        <w:t>('relational</w:t>
      </w:r>
      <w:r w:rsidRPr="00E73F6F">
        <w:rPr>
          <w:spacing w:val="-3"/>
        </w:rPr>
        <w:t xml:space="preserve"> </w:t>
      </w:r>
      <w:r w:rsidRPr="00E73F6F">
        <w:rPr>
          <w:spacing w:val="-2"/>
        </w:rPr>
        <w:t>orientation'),</w:t>
      </w:r>
    </w:p>
    <w:p w14:paraId="01DC9F32" w14:textId="77777777" w:rsidR="00FF7799" w:rsidRPr="00E73F6F" w:rsidRDefault="00FF7799" w:rsidP="00510E20">
      <w:pPr>
        <w:pStyle w:val="StandardTextAufzhlung"/>
        <w:ind w:left="567"/>
      </w:pPr>
      <w:r w:rsidRPr="00E73F6F">
        <w:t>Zeitorientierung</w:t>
      </w:r>
      <w:r w:rsidRPr="00E73F6F">
        <w:rPr>
          <w:spacing w:val="-2"/>
        </w:rPr>
        <w:t xml:space="preserve"> </w:t>
      </w:r>
      <w:r w:rsidRPr="00E73F6F">
        <w:t>('time</w:t>
      </w:r>
      <w:r w:rsidRPr="00E73F6F">
        <w:rPr>
          <w:spacing w:val="-1"/>
        </w:rPr>
        <w:t xml:space="preserve"> </w:t>
      </w:r>
      <w:r w:rsidRPr="00E73F6F">
        <w:rPr>
          <w:spacing w:val="-2"/>
        </w:rPr>
        <w:t>orientation'),</w:t>
      </w:r>
    </w:p>
    <w:p w14:paraId="07D3FD1C" w14:textId="77777777" w:rsidR="00FF7799" w:rsidRPr="00E73F6F" w:rsidRDefault="00FF7799" w:rsidP="00510E20">
      <w:pPr>
        <w:pStyle w:val="StandardTextAufzhlung"/>
        <w:ind w:left="567"/>
      </w:pPr>
      <w:r w:rsidRPr="00E73F6F">
        <w:t>Tätigkeits-</w:t>
      </w:r>
      <w:r w:rsidRPr="00E73F6F">
        <w:rPr>
          <w:spacing w:val="-2"/>
        </w:rPr>
        <w:t xml:space="preserve"> </w:t>
      </w:r>
      <w:r w:rsidRPr="00E73F6F">
        <w:t>bzw.</w:t>
      </w:r>
      <w:r w:rsidRPr="00E73F6F">
        <w:rPr>
          <w:spacing w:val="-3"/>
        </w:rPr>
        <w:t xml:space="preserve"> </w:t>
      </w:r>
      <w:r w:rsidRPr="00E73F6F">
        <w:t>Sinnorientierung</w:t>
      </w:r>
      <w:r w:rsidRPr="00E73F6F">
        <w:rPr>
          <w:spacing w:val="-3"/>
        </w:rPr>
        <w:t xml:space="preserve"> </w:t>
      </w:r>
      <w:r w:rsidRPr="00E73F6F">
        <w:t>('activity</w:t>
      </w:r>
      <w:r w:rsidRPr="00E73F6F">
        <w:rPr>
          <w:spacing w:val="-2"/>
        </w:rPr>
        <w:t xml:space="preserve"> orientation').</w:t>
      </w:r>
    </w:p>
    <w:p w14:paraId="6AA1DAA3" w14:textId="77777777" w:rsidR="00FF7799" w:rsidRPr="00E73F6F" w:rsidRDefault="00FF7799" w:rsidP="00BA06F6">
      <w:pPr>
        <w:pStyle w:val="StandardText"/>
      </w:pPr>
      <w:r w:rsidRPr="00E73F6F">
        <w:t>Die Autoren überprüften ihr Konzept am Beispiel verschiedener Gesellschaften, die</w:t>
      </w:r>
      <w:r w:rsidRPr="00E73F6F">
        <w:rPr>
          <w:spacing w:val="-12"/>
        </w:rPr>
        <w:t xml:space="preserve"> </w:t>
      </w:r>
      <w:r w:rsidRPr="00E73F6F">
        <w:t>im</w:t>
      </w:r>
      <w:r w:rsidRPr="00E73F6F">
        <w:rPr>
          <w:spacing w:val="-11"/>
        </w:rPr>
        <w:t xml:space="preserve"> </w:t>
      </w:r>
      <w:r w:rsidRPr="00E73F6F">
        <w:t>Südwesten</w:t>
      </w:r>
      <w:r w:rsidRPr="00E73F6F">
        <w:rPr>
          <w:spacing w:val="-11"/>
        </w:rPr>
        <w:t xml:space="preserve"> </w:t>
      </w:r>
      <w:r w:rsidRPr="00E73F6F">
        <w:t>der</w:t>
      </w:r>
      <w:r w:rsidRPr="00E73F6F">
        <w:rPr>
          <w:spacing w:val="-11"/>
        </w:rPr>
        <w:t xml:space="preserve"> </w:t>
      </w:r>
      <w:r w:rsidRPr="00E73F6F">
        <w:t>USA</w:t>
      </w:r>
      <w:r w:rsidRPr="00E73F6F">
        <w:rPr>
          <w:spacing w:val="-12"/>
        </w:rPr>
        <w:t xml:space="preserve"> </w:t>
      </w:r>
      <w:r w:rsidRPr="00E73F6F">
        <w:t>leben</w:t>
      </w:r>
      <w:r w:rsidRPr="00E73F6F">
        <w:rPr>
          <w:spacing w:val="-11"/>
        </w:rPr>
        <w:t xml:space="preserve"> </w:t>
      </w:r>
      <w:r w:rsidRPr="00E73F6F">
        <w:t>(sog.</w:t>
      </w:r>
      <w:r w:rsidRPr="00E73F6F">
        <w:rPr>
          <w:spacing w:val="-11"/>
        </w:rPr>
        <w:t xml:space="preserve"> </w:t>
      </w:r>
      <w:r w:rsidRPr="00E73F6F">
        <w:t>Rimrocks).</w:t>
      </w:r>
      <w:r w:rsidRPr="00E73F6F">
        <w:rPr>
          <w:spacing w:val="-11"/>
        </w:rPr>
        <w:t xml:space="preserve"> </w:t>
      </w:r>
      <w:r w:rsidRPr="00E73F6F">
        <w:t>Insofern</w:t>
      </w:r>
      <w:r w:rsidRPr="00E73F6F">
        <w:rPr>
          <w:spacing w:val="-10"/>
        </w:rPr>
        <w:t xml:space="preserve"> </w:t>
      </w:r>
      <w:r w:rsidRPr="00E73F6F">
        <w:t>handelt</w:t>
      </w:r>
      <w:r w:rsidRPr="00E73F6F">
        <w:rPr>
          <w:spacing w:val="-11"/>
        </w:rPr>
        <w:t xml:space="preserve"> </w:t>
      </w:r>
      <w:r w:rsidRPr="00E73F6F">
        <w:t>es</w:t>
      </w:r>
      <w:r w:rsidRPr="00E73F6F">
        <w:rPr>
          <w:spacing w:val="-12"/>
        </w:rPr>
        <w:t xml:space="preserve"> </w:t>
      </w:r>
      <w:r w:rsidRPr="00E73F6F">
        <w:t>sich</w:t>
      </w:r>
      <w:r w:rsidRPr="00E73F6F">
        <w:rPr>
          <w:spacing w:val="-10"/>
        </w:rPr>
        <w:t xml:space="preserve"> </w:t>
      </w:r>
      <w:r w:rsidRPr="00E73F6F">
        <w:t>um</w:t>
      </w:r>
      <w:r w:rsidRPr="00E73F6F">
        <w:rPr>
          <w:spacing w:val="-11"/>
        </w:rPr>
        <w:t xml:space="preserve"> </w:t>
      </w:r>
      <w:r w:rsidRPr="00E73F6F">
        <w:t>eine anthropologisch</w:t>
      </w:r>
      <w:r w:rsidRPr="00E73F6F">
        <w:rPr>
          <w:spacing w:val="-12"/>
        </w:rPr>
        <w:t xml:space="preserve"> </w:t>
      </w:r>
      <w:r w:rsidRPr="00E73F6F">
        <w:t>fundierte</w:t>
      </w:r>
      <w:r w:rsidRPr="00E73F6F">
        <w:rPr>
          <w:spacing w:val="-11"/>
        </w:rPr>
        <w:t xml:space="preserve"> </w:t>
      </w:r>
      <w:r w:rsidRPr="00E73F6F">
        <w:t>intrakulturelle</w:t>
      </w:r>
      <w:r w:rsidRPr="00E73F6F">
        <w:rPr>
          <w:spacing w:val="-11"/>
        </w:rPr>
        <w:t xml:space="preserve"> </w:t>
      </w:r>
      <w:r w:rsidRPr="00E73F6F">
        <w:t>Studie.</w:t>
      </w:r>
      <w:r w:rsidRPr="00E73F6F">
        <w:rPr>
          <w:spacing w:val="-11"/>
        </w:rPr>
        <w:t xml:space="preserve"> </w:t>
      </w:r>
      <w:r w:rsidRPr="00E73F6F">
        <w:t>Später</w:t>
      </w:r>
      <w:r w:rsidRPr="00E73F6F">
        <w:rPr>
          <w:spacing w:val="-12"/>
        </w:rPr>
        <w:t xml:space="preserve"> </w:t>
      </w:r>
      <w:r w:rsidRPr="00E73F6F">
        <w:t>erkannten</w:t>
      </w:r>
      <w:r w:rsidRPr="00E73F6F">
        <w:rPr>
          <w:spacing w:val="-11"/>
        </w:rPr>
        <w:t xml:space="preserve"> </w:t>
      </w:r>
      <w:r w:rsidRPr="00E73F6F">
        <w:t>u.a.</w:t>
      </w:r>
      <w:r w:rsidRPr="00E73F6F">
        <w:rPr>
          <w:spacing w:val="-11"/>
        </w:rPr>
        <w:t xml:space="preserve"> </w:t>
      </w:r>
      <w:r w:rsidRPr="00E73F6F">
        <w:t>Evan</w:t>
      </w:r>
      <w:r w:rsidRPr="00E73F6F">
        <w:rPr>
          <w:spacing w:val="-11"/>
        </w:rPr>
        <w:t xml:space="preserve"> </w:t>
      </w:r>
      <w:r w:rsidRPr="00E73F6F">
        <w:t>(1974) und</w:t>
      </w:r>
      <w:r w:rsidRPr="00E73F6F">
        <w:rPr>
          <w:spacing w:val="-8"/>
        </w:rPr>
        <w:t xml:space="preserve"> </w:t>
      </w:r>
      <w:r w:rsidRPr="00E73F6F">
        <w:t>Trompenaars</w:t>
      </w:r>
      <w:r w:rsidRPr="00E73F6F">
        <w:rPr>
          <w:spacing w:val="-7"/>
        </w:rPr>
        <w:t xml:space="preserve"> </w:t>
      </w:r>
      <w:r w:rsidRPr="00E73F6F">
        <w:t>(1993)</w:t>
      </w:r>
      <w:r w:rsidRPr="00E73F6F">
        <w:rPr>
          <w:spacing w:val="-9"/>
        </w:rPr>
        <w:t xml:space="preserve"> </w:t>
      </w:r>
      <w:r w:rsidRPr="00E73F6F">
        <w:t>das</w:t>
      </w:r>
      <w:r w:rsidRPr="00E73F6F">
        <w:rPr>
          <w:spacing w:val="-7"/>
        </w:rPr>
        <w:t xml:space="preserve"> </w:t>
      </w:r>
      <w:r w:rsidRPr="00E73F6F">
        <w:t>Erkenntnispotenzial</w:t>
      </w:r>
      <w:r w:rsidRPr="00E73F6F">
        <w:rPr>
          <w:spacing w:val="-6"/>
        </w:rPr>
        <w:t xml:space="preserve"> </w:t>
      </w:r>
      <w:r w:rsidRPr="00E73F6F">
        <w:t>dieser</w:t>
      </w:r>
      <w:r w:rsidRPr="00E73F6F">
        <w:rPr>
          <w:spacing w:val="-6"/>
        </w:rPr>
        <w:t xml:space="preserve"> </w:t>
      </w:r>
      <w:r w:rsidRPr="00E73F6F">
        <w:t>anthropologischen</w:t>
      </w:r>
      <w:r w:rsidRPr="00E73F6F">
        <w:rPr>
          <w:spacing w:val="-5"/>
        </w:rPr>
        <w:t xml:space="preserve"> </w:t>
      </w:r>
      <w:r w:rsidRPr="00E73F6F">
        <w:t>Studie für</w:t>
      </w:r>
      <w:r w:rsidRPr="00E73F6F">
        <w:rPr>
          <w:spacing w:val="-10"/>
        </w:rPr>
        <w:t xml:space="preserve"> </w:t>
      </w:r>
      <w:r w:rsidRPr="00E73F6F">
        <w:t>das</w:t>
      </w:r>
      <w:r w:rsidRPr="00E73F6F">
        <w:rPr>
          <w:spacing w:val="-8"/>
        </w:rPr>
        <w:t xml:space="preserve"> </w:t>
      </w:r>
      <w:r w:rsidRPr="00E73F6F">
        <w:t>Interkulturelle</w:t>
      </w:r>
      <w:r w:rsidRPr="00E73F6F">
        <w:rPr>
          <w:spacing w:val="-11"/>
        </w:rPr>
        <w:t xml:space="preserve"> </w:t>
      </w:r>
      <w:r w:rsidRPr="00E73F6F">
        <w:t>Management.</w:t>
      </w:r>
      <w:r w:rsidRPr="00E73F6F">
        <w:rPr>
          <w:spacing w:val="-4"/>
        </w:rPr>
        <w:t xml:space="preserve"> </w:t>
      </w:r>
      <w:r w:rsidRPr="00E73F6F">
        <w:t>Denn</w:t>
      </w:r>
      <w:r w:rsidRPr="00E73F6F">
        <w:rPr>
          <w:spacing w:val="-9"/>
        </w:rPr>
        <w:t xml:space="preserve"> </w:t>
      </w:r>
      <w:r w:rsidRPr="00E73F6F">
        <w:t>auch</w:t>
      </w:r>
      <w:r w:rsidRPr="00E73F6F">
        <w:rPr>
          <w:spacing w:val="-9"/>
        </w:rPr>
        <w:t xml:space="preserve"> </w:t>
      </w:r>
      <w:r w:rsidRPr="00E73F6F">
        <w:t>in</w:t>
      </w:r>
      <w:r w:rsidRPr="00E73F6F">
        <w:rPr>
          <w:spacing w:val="-9"/>
        </w:rPr>
        <w:t xml:space="preserve"> </w:t>
      </w:r>
      <w:r w:rsidRPr="00E73F6F">
        <w:t>der</w:t>
      </w:r>
      <w:r w:rsidRPr="00E73F6F">
        <w:rPr>
          <w:spacing w:val="-10"/>
        </w:rPr>
        <w:t xml:space="preserve"> </w:t>
      </w:r>
      <w:r w:rsidRPr="00E73F6F">
        <w:t>Managementlehre</w:t>
      </w:r>
      <w:r w:rsidRPr="00E73F6F">
        <w:rPr>
          <w:spacing w:val="-8"/>
        </w:rPr>
        <w:t xml:space="preserve"> </w:t>
      </w:r>
      <w:r w:rsidRPr="00E73F6F">
        <w:t>hatte</w:t>
      </w:r>
      <w:r w:rsidRPr="00E73F6F">
        <w:rPr>
          <w:spacing w:val="-8"/>
        </w:rPr>
        <w:t xml:space="preserve"> </w:t>
      </w:r>
      <w:r w:rsidRPr="00E73F6F">
        <w:t>sich die Erkenntnis durchgesetzt, dass derartige „basale Orientierungen für das Verhalten in und von Unternehmungen“ (Kutschker/Schmid 2011, S.704) bedeutsam sind (vgl. auch Adler/Gundersen 2007, S.22ff.).</w:t>
      </w:r>
    </w:p>
    <w:p w14:paraId="5E4D8A47" w14:textId="77777777" w:rsidR="00FF7799" w:rsidRPr="00E73F6F" w:rsidRDefault="00FF7799" w:rsidP="00862DBA">
      <w:pPr>
        <w:rPr>
          <w:sz w:val="24"/>
          <w:szCs w:val="24"/>
        </w:rPr>
      </w:pPr>
    </w:p>
    <w:p w14:paraId="5FBEA600" w14:textId="77777777" w:rsidR="00FF7799" w:rsidRPr="00510E20" w:rsidRDefault="00FF7799" w:rsidP="00BA06F6">
      <w:pPr>
        <w:pStyle w:val="BeschriftungTab"/>
        <w:rPr>
          <w:i/>
          <w:iCs/>
        </w:rPr>
      </w:pPr>
      <w:r w:rsidRPr="00510E20">
        <w:rPr>
          <w:i/>
          <w:iCs/>
        </w:rPr>
        <w:t>Tab. 1: Fundamentale</w:t>
      </w:r>
      <w:r w:rsidRPr="00510E20">
        <w:rPr>
          <w:i/>
          <w:iCs/>
          <w:spacing w:val="-1"/>
        </w:rPr>
        <w:t xml:space="preserve"> </w:t>
      </w:r>
      <w:r w:rsidRPr="00510E20">
        <w:rPr>
          <w:i/>
          <w:iCs/>
          <w:spacing w:val="-2"/>
        </w:rPr>
        <w:t>Orientierungen</w:t>
      </w:r>
    </w:p>
    <w:tbl>
      <w:tblPr>
        <w:tblStyle w:val="TableNormal"/>
        <w:tblW w:w="5000" w:type="pct"/>
        <w:tblBorders>
          <w:top w:val="single" w:sz="4" w:space="0" w:color="000000"/>
          <w:bottom w:val="single" w:sz="4" w:space="0" w:color="000000"/>
          <w:insideH w:val="single" w:sz="4" w:space="0" w:color="000000"/>
        </w:tblBorders>
        <w:tblCellMar>
          <w:left w:w="57" w:type="dxa"/>
          <w:right w:w="57" w:type="dxa"/>
        </w:tblCellMar>
        <w:tblLook w:val="01E0" w:firstRow="1" w:lastRow="1" w:firstColumn="1" w:lastColumn="1" w:noHBand="0" w:noVBand="0"/>
      </w:tblPr>
      <w:tblGrid>
        <w:gridCol w:w="2126"/>
        <w:gridCol w:w="1261"/>
        <w:gridCol w:w="1149"/>
        <w:gridCol w:w="1143"/>
        <w:gridCol w:w="1149"/>
        <w:gridCol w:w="1143"/>
        <w:gridCol w:w="1101"/>
      </w:tblGrid>
      <w:tr w:rsidR="00FF7799" w:rsidRPr="00E73F6F" w14:paraId="64798AFF" w14:textId="77777777" w:rsidTr="00EB5A06">
        <w:trPr>
          <w:trHeight w:val="285"/>
          <w:tblHeader/>
        </w:trPr>
        <w:tc>
          <w:tcPr>
            <w:tcW w:w="1172" w:type="pct"/>
            <w:shd w:val="clear" w:color="auto" w:fill="FFC000" w:themeFill="accent4"/>
          </w:tcPr>
          <w:p w14:paraId="2FF33088" w14:textId="77777777" w:rsidR="00FF7799" w:rsidRPr="00E73F6F" w:rsidRDefault="00FF7799" w:rsidP="00EB5A06">
            <w:pPr>
              <w:pStyle w:val="StandardText"/>
              <w:spacing w:after="120"/>
              <w:jc w:val="center"/>
              <w:rPr>
                <w:lang w:val="de-DE"/>
              </w:rPr>
            </w:pPr>
          </w:p>
        </w:tc>
        <w:tc>
          <w:tcPr>
            <w:tcW w:w="3828" w:type="pct"/>
            <w:gridSpan w:val="6"/>
            <w:shd w:val="clear" w:color="auto" w:fill="FFC000" w:themeFill="accent4"/>
          </w:tcPr>
          <w:p w14:paraId="1F99A5C7" w14:textId="77777777" w:rsidR="00FF7799" w:rsidRPr="00E73F6F" w:rsidRDefault="00FF7799" w:rsidP="00EB5A06">
            <w:pPr>
              <w:pStyle w:val="StandardText"/>
              <w:spacing w:after="120"/>
              <w:jc w:val="center"/>
              <w:rPr>
                <w:b/>
                <w:lang w:val="de-DE"/>
              </w:rPr>
            </w:pPr>
            <w:r w:rsidRPr="00E73F6F">
              <w:rPr>
                <w:b/>
                <w:spacing w:val="-2"/>
                <w:lang w:val="de-DE"/>
              </w:rPr>
              <w:t>Ausprägung</w:t>
            </w:r>
          </w:p>
        </w:tc>
      </w:tr>
      <w:tr w:rsidR="00FF7799" w:rsidRPr="00E73F6F" w14:paraId="2FC82620" w14:textId="77777777" w:rsidTr="00420B47">
        <w:trPr>
          <w:trHeight w:val="282"/>
        </w:trPr>
        <w:tc>
          <w:tcPr>
            <w:tcW w:w="1172" w:type="pct"/>
            <w:vMerge w:val="restart"/>
            <w:shd w:val="clear" w:color="auto" w:fill="FFF2CC" w:themeFill="accent4" w:themeFillTint="33"/>
          </w:tcPr>
          <w:p w14:paraId="25D65252" w14:textId="77777777" w:rsidR="00FF7799" w:rsidRPr="00E73F6F" w:rsidRDefault="00FF7799" w:rsidP="00EB5A06">
            <w:pPr>
              <w:pStyle w:val="StandardText"/>
              <w:spacing w:after="120"/>
              <w:jc w:val="left"/>
              <w:rPr>
                <w:b/>
                <w:lang w:val="de-DE"/>
              </w:rPr>
            </w:pPr>
            <w:r w:rsidRPr="00E73F6F">
              <w:rPr>
                <w:b/>
                <w:lang w:val="de-DE"/>
              </w:rPr>
              <w:t>Wesen</w:t>
            </w:r>
            <w:r w:rsidRPr="00E73F6F">
              <w:rPr>
                <w:b/>
                <w:spacing w:val="-1"/>
                <w:lang w:val="de-DE"/>
              </w:rPr>
              <w:t xml:space="preserve"> </w:t>
            </w:r>
            <w:r w:rsidRPr="00E73F6F">
              <w:rPr>
                <w:b/>
                <w:lang w:val="de-DE"/>
              </w:rPr>
              <w:t>der</w:t>
            </w:r>
            <w:r w:rsidRPr="00E73F6F">
              <w:rPr>
                <w:b/>
                <w:spacing w:val="40"/>
                <w:lang w:val="de-DE"/>
              </w:rPr>
              <w:t xml:space="preserve"> </w:t>
            </w:r>
            <w:r w:rsidRPr="00E73F6F">
              <w:rPr>
                <w:b/>
                <w:spacing w:val="-2"/>
                <w:lang w:val="de-DE"/>
              </w:rPr>
              <w:t>menschlichen</w:t>
            </w:r>
            <w:r w:rsidRPr="00E73F6F">
              <w:rPr>
                <w:b/>
                <w:spacing w:val="40"/>
                <w:lang w:val="de-DE"/>
              </w:rPr>
              <w:br/>
            </w:r>
            <w:r w:rsidRPr="00E73F6F">
              <w:rPr>
                <w:b/>
                <w:spacing w:val="-2"/>
                <w:lang w:val="de-DE"/>
              </w:rPr>
              <w:t>Natur</w:t>
            </w:r>
          </w:p>
        </w:tc>
        <w:tc>
          <w:tcPr>
            <w:tcW w:w="1328" w:type="pct"/>
            <w:gridSpan w:val="2"/>
          </w:tcPr>
          <w:p w14:paraId="2A20ED08" w14:textId="77777777" w:rsidR="00FF7799" w:rsidRPr="00E73F6F" w:rsidRDefault="00FF7799" w:rsidP="00EB5A06">
            <w:pPr>
              <w:pStyle w:val="StandardText"/>
              <w:jc w:val="center"/>
              <w:rPr>
                <w:lang w:val="de-DE"/>
              </w:rPr>
            </w:pPr>
            <w:r w:rsidRPr="00E73F6F">
              <w:rPr>
                <w:spacing w:val="-4"/>
                <w:lang w:val="de-DE"/>
              </w:rPr>
              <w:t>böse</w:t>
            </w:r>
          </w:p>
        </w:tc>
        <w:tc>
          <w:tcPr>
            <w:tcW w:w="1263" w:type="pct"/>
            <w:gridSpan w:val="2"/>
          </w:tcPr>
          <w:p w14:paraId="4C320C32" w14:textId="77777777" w:rsidR="00FF7799" w:rsidRPr="00E73F6F" w:rsidRDefault="00FF7799" w:rsidP="00EB5A06">
            <w:pPr>
              <w:pStyle w:val="StandardText"/>
              <w:jc w:val="center"/>
              <w:rPr>
                <w:lang w:val="de-DE"/>
              </w:rPr>
            </w:pPr>
            <w:r w:rsidRPr="00E73F6F">
              <w:rPr>
                <w:lang w:val="de-DE"/>
              </w:rPr>
              <w:t>teils</w:t>
            </w:r>
            <w:r w:rsidRPr="00E73F6F">
              <w:rPr>
                <w:spacing w:val="-7"/>
                <w:lang w:val="de-DE"/>
              </w:rPr>
              <w:t xml:space="preserve"> </w:t>
            </w:r>
            <w:r w:rsidRPr="00E73F6F">
              <w:rPr>
                <w:lang w:val="de-DE"/>
              </w:rPr>
              <w:t>gut,</w:t>
            </w:r>
            <w:r w:rsidRPr="00E73F6F">
              <w:rPr>
                <w:spacing w:val="-5"/>
                <w:lang w:val="de-DE"/>
              </w:rPr>
              <w:t xml:space="preserve"> </w:t>
            </w:r>
            <w:r w:rsidRPr="00E73F6F">
              <w:rPr>
                <w:lang w:val="de-DE"/>
              </w:rPr>
              <w:t>teils</w:t>
            </w:r>
            <w:r w:rsidRPr="00E73F6F">
              <w:rPr>
                <w:spacing w:val="-4"/>
                <w:lang w:val="de-DE"/>
              </w:rPr>
              <w:t xml:space="preserve"> böse</w:t>
            </w:r>
          </w:p>
        </w:tc>
        <w:tc>
          <w:tcPr>
            <w:tcW w:w="1236" w:type="pct"/>
            <w:gridSpan w:val="2"/>
          </w:tcPr>
          <w:p w14:paraId="370AAE29" w14:textId="77777777" w:rsidR="00FF7799" w:rsidRPr="00E73F6F" w:rsidRDefault="00FF7799" w:rsidP="00EB5A06">
            <w:pPr>
              <w:pStyle w:val="StandardText"/>
              <w:jc w:val="center"/>
              <w:rPr>
                <w:lang w:val="de-DE"/>
              </w:rPr>
            </w:pPr>
            <w:r w:rsidRPr="00E73F6F">
              <w:rPr>
                <w:spacing w:val="-5"/>
                <w:lang w:val="de-DE"/>
              </w:rPr>
              <w:t>gut</w:t>
            </w:r>
          </w:p>
        </w:tc>
      </w:tr>
      <w:tr w:rsidR="00FF7799" w:rsidRPr="00E73F6F" w14:paraId="720B8427" w14:textId="77777777" w:rsidTr="00420B47">
        <w:trPr>
          <w:trHeight w:val="470"/>
        </w:trPr>
        <w:tc>
          <w:tcPr>
            <w:tcW w:w="1172" w:type="pct"/>
            <w:vMerge/>
            <w:shd w:val="clear" w:color="auto" w:fill="FFF2CC" w:themeFill="accent4" w:themeFillTint="33"/>
          </w:tcPr>
          <w:p w14:paraId="2C6B5B30" w14:textId="77777777" w:rsidR="00FF7799" w:rsidRPr="00E73F6F" w:rsidRDefault="00FF7799" w:rsidP="00EB5A06">
            <w:pPr>
              <w:pStyle w:val="StandardText"/>
              <w:spacing w:after="120"/>
              <w:jc w:val="left"/>
              <w:rPr>
                <w:lang w:val="de-DE"/>
              </w:rPr>
            </w:pPr>
          </w:p>
        </w:tc>
        <w:tc>
          <w:tcPr>
            <w:tcW w:w="695" w:type="pct"/>
          </w:tcPr>
          <w:p w14:paraId="2D9617CE" w14:textId="77777777" w:rsidR="00FF7799" w:rsidRPr="00E73F6F" w:rsidRDefault="00FF7799" w:rsidP="00EB5A06">
            <w:pPr>
              <w:pStyle w:val="StandardText"/>
              <w:jc w:val="center"/>
              <w:rPr>
                <w:lang w:val="de-DE"/>
              </w:rPr>
            </w:pPr>
            <w:r w:rsidRPr="00E73F6F">
              <w:rPr>
                <w:spacing w:val="-2"/>
                <w:lang w:val="de-DE"/>
              </w:rPr>
              <w:t>veränder-</w:t>
            </w:r>
            <w:r w:rsidRPr="00E73F6F">
              <w:rPr>
                <w:spacing w:val="40"/>
                <w:lang w:val="de-DE"/>
              </w:rPr>
              <w:t xml:space="preserve"> </w:t>
            </w:r>
            <w:r w:rsidRPr="00E73F6F">
              <w:rPr>
                <w:spacing w:val="-4"/>
                <w:lang w:val="de-DE"/>
              </w:rPr>
              <w:t>lich</w:t>
            </w:r>
          </w:p>
        </w:tc>
        <w:tc>
          <w:tcPr>
            <w:tcW w:w="633" w:type="pct"/>
          </w:tcPr>
          <w:p w14:paraId="721C0BBB" w14:textId="77777777" w:rsidR="00FF7799" w:rsidRPr="00E73F6F" w:rsidRDefault="00FF7799" w:rsidP="00EB5A06">
            <w:pPr>
              <w:pStyle w:val="StandardText"/>
              <w:jc w:val="center"/>
              <w:rPr>
                <w:lang w:val="de-DE"/>
              </w:rPr>
            </w:pPr>
            <w:r w:rsidRPr="00E73F6F">
              <w:rPr>
                <w:spacing w:val="-2"/>
                <w:lang w:val="de-DE"/>
              </w:rPr>
              <w:t>determi-</w:t>
            </w:r>
            <w:r w:rsidRPr="00E73F6F">
              <w:rPr>
                <w:spacing w:val="40"/>
                <w:lang w:val="de-DE"/>
              </w:rPr>
              <w:t xml:space="preserve"> </w:t>
            </w:r>
            <w:r w:rsidRPr="00E73F6F">
              <w:rPr>
                <w:spacing w:val="-2"/>
                <w:lang w:val="de-DE"/>
              </w:rPr>
              <w:t>niert</w:t>
            </w:r>
          </w:p>
        </w:tc>
        <w:tc>
          <w:tcPr>
            <w:tcW w:w="630" w:type="pct"/>
          </w:tcPr>
          <w:p w14:paraId="38FAF33B" w14:textId="77777777" w:rsidR="00FF7799" w:rsidRPr="00E73F6F" w:rsidRDefault="00FF7799" w:rsidP="00EB5A06">
            <w:pPr>
              <w:pStyle w:val="StandardText"/>
              <w:jc w:val="center"/>
              <w:rPr>
                <w:lang w:val="de-DE"/>
              </w:rPr>
            </w:pPr>
            <w:r w:rsidRPr="00E73F6F">
              <w:rPr>
                <w:spacing w:val="-2"/>
                <w:lang w:val="de-DE"/>
              </w:rPr>
              <w:t>veränder-</w:t>
            </w:r>
            <w:r w:rsidRPr="00E73F6F">
              <w:rPr>
                <w:spacing w:val="40"/>
                <w:lang w:val="de-DE"/>
              </w:rPr>
              <w:t xml:space="preserve"> </w:t>
            </w:r>
            <w:r w:rsidRPr="00E73F6F">
              <w:rPr>
                <w:spacing w:val="-4"/>
                <w:lang w:val="de-DE"/>
              </w:rPr>
              <w:t>lich</w:t>
            </w:r>
          </w:p>
        </w:tc>
        <w:tc>
          <w:tcPr>
            <w:tcW w:w="633" w:type="pct"/>
          </w:tcPr>
          <w:p w14:paraId="0E51E04D" w14:textId="77777777" w:rsidR="00FF7799" w:rsidRPr="00E73F6F" w:rsidRDefault="00FF7799" w:rsidP="00EB5A06">
            <w:pPr>
              <w:pStyle w:val="StandardText"/>
              <w:jc w:val="center"/>
              <w:rPr>
                <w:lang w:val="de-DE"/>
              </w:rPr>
            </w:pPr>
            <w:r w:rsidRPr="00E73F6F">
              <w:rPr>
                <w:spacing w:val="-2"/>
                <w:lang w:val="de-DE"/>
              </w:rPr>
              <w:t>determi-</w:t>
            </w:r>
            <w:r w:rsidRPr="00E73F6F">
              <w:rPr>
                <w:spacing w:val="40"/>
                <w:lang w:val="de-DE"/>
              </w:rPr>
              <w:t xml:space="preserve"> </w:t>
            </w:r>
            <w:r w:rsidRPr="00E73F6F">
              <w:rPr>
                <w:spacing w:val="-2"/>
                <w:lang w:val="de-DE"/>
              </w:rPr>
              <w:t>niert</w:t>
            </w:r>
          </w:p>
        </w:tc>
        <w:tc>
          <w:tcPr>
            <w:tcW w:w="630" w:type="pct"/>
          </w:tcPr>
          <w:p w14:paraId="7616907C" w14:textId="77777777" w:rsidR="00FF7799" w:rsidRPr="00E73F6F" w:rsidRDefault="00FF7799" w:rsidP="00EB5A06">
            <w:pPr>
              <w:pStyle w:val="StandardText"/>
              <w:jc w:val="center"/>
              <w:rPr>
                <w:lang w:val="de-DE"/>
              </w:rPr>
            </w:pPr>
            <w:r w:rsidRPr="00E73F6F">
              <w:rPr>
                <w:spacing w:val="-2"/>
                <w:lang w:val="de-DE"/>
              </w:rPr>
              <w:t>veränder-</w:t>
            </w:r>
            <w:r w:rsidRPr="00E73F6F">
              <w:rPr>
                <w:spacing w:val="40"/>
                <w:lang w:val="de-DE"/>
              </w:rPr>
              <w:t xml:space="preserve"> </w:t>
            </w:r>
            <w:r w:rsidRPr="00E73F6F">
              <w:rPr>
                <w:spacing w:val="-4"/>
                <w:lang w:val="de-DE"/>
              </w:rPr>
              <w:t>lich</w:t>
            </w:r>
          </w:p>
        </w:tc>
        <w:tc>
          <w:tcPr>
            <w:tcW w:w="606" w:type="pct"/>
          </w:tcPr>
          <w:p w14:paraId="5AB1CCD2" w14:textId="77777777" w:rsidR="00FF7799" w:rsidRPr="00E73F6F" w:rsidRDefault="00FF7799" w:rsidP="00EB5A06">
            <w:pPr>
              <w:pStyle w:val="StandardText"/>
              <w:jc w:val="center"/>
              <w:rPr>
                <w:lang w:val="de-DE"/>
              </w:rPr>
            </w:pPr>
            <w:r w:rsidRPr="00E73F6F">
              <w:rPr>
                <w:spacing w:val="-2"/>
                <w:lang w:val="de-DE"/>
              </w:rPr>
              <w:t>determi-</w:t>
            </w:r>
            <w:r w:rsidRPr="00E73F6F">
              <w:rPr>
                <w:spacing w:val="40"/>
                <w:lang w:val="de-DE"/>
              </w:rPr>
              <w:t xml:space="preserve"> </w:t>
            </w:r>
            <w:r w:rsidRPr="00E73F6F">
              <w:rPr>
                <w:spacing w:val="-2"/>
                <w:lang w:val="de-DE"/>
              </w:rPr>
              <w:t>niert</w:t>
            </w:r>
          </w:p>
        </w:tc>
      </w:tr>
      <w:tr w:rsidR="00FF7799" w:rsidRPr="00E73F6F" w14:paraId="756546E0" w14:textId="77777777" w:rsidTr="00420B47">
        <w:trPr>
          <w:trHeight w:val="650"/>
        </w:trPr>
        <w:tc>
          <w:tcPr>
            <w:tcW w:w="1172" w:type="pct"/>
            <w:shd w:val="clear" w:color="auto" w:fill="FFF2CC" w:themeFill="accent4" w:themeFillTint="33"/>
          </w:tcPr>
          <w:p w14:paraId="3ED9D3A4" w14:textId="77777777" w:rsidR="00FF7799" w:rsidRPr="00E73F6F" w:rsidRDefault="00FF7799" w:rsidP="00EB5A06">
            <w:pPr>
              <w:pStyle w:val="StandardText"/>
              <w:spacing w:after="120"/>
              <w:jc w:val="left"/>
              <w:rPr>
                <w:b/>
                <w:lang w:val="de-DE"/>
              </w:rPr>
            </w:pPr>
            <w:r w:rsidRPr="00E73F6F">
              <w:rPr>
                <w:b/>
                <w:spacing w:val="-2"/>
                <w:lang w:val="de-DE"/>
              </w:rPr>
              <w:t>Beziehung</w:t>
            </w:r>
            <w:r w:rsidRPr="00E73F6F">
              <w:rPr>
                <w:b/>
                <w:spacing w:val="40"/>
                <w:lang w:val="de-DE"/>
              </w:rPr>
              <w:t xml:space="preserve"> </w:t>
            </w:r>
            <w:r w:rsidRPr="00E73F6F">
              <w:rPr>
                <w:b/>
                <w:spacing w:val="40"/>
                <w:lang w:val="de-DE"/>
              </w:rPr>
              <w:br/>
            </w:r>
            <w:r w:rsidRPr="00E73F6F">
              <w:rPr>
                <w:b/>
                <w:lang w:val="de-DE"/>
              </w:rPr>
              <w:t xml:space="preserve">zur </w:t>
            </w:r>
            <w:r w:rsidRPr="00E73F6F">
              <w:rPr>
                <w:b/>
                <w:spacing w:val="-2"/>
                <w:lang w:val="de-DE"/>
              </w:rPr>
              <w:t>Natur</w:t>
            </w:r>
          </w:p>
        </w:tc>
        <w:tc>
          <w:tcPr>
            <w:tcW w:w="1328" w:type="pct"/>
            <w:gridSpan w:val="2"/>
          </w:tcPr>
          <w:p w14:paraId="4598FDA4" w14:textId="77777777" w:rsidR="00FF7799" w:rsidRPr="00E73F6F" w:rsidRDefault="00FF7799" w:rsidP="00EB5A06">
            <w:pPr>
              <w:pStyle w:val="StandardText"/>
              <w:jc w:val="center"/>
              <w:rPr>
                <w:lang w:val="de-DE"/>
              </w:rPr>
            </w:pPr>
            <w:r w:rsidRPr="00E73F6F">
              <w:rPr>
                <w:lang w:val="de-DE"/>
              </w:rPr>
              <w:t>Unterwerfung</w:t>
            </w:r>
            <w:r w:rsidRPr="00E73F6F">
              <w:rPr>
                <w:spacing w:val="-10"/>
                <w:lang w:val="de-DE"/>
              </w:rPr>
              <w:t xml:space="preserve"> </w:t>
            </w:r>
            <w:r w:rsidRPr="00E73F6F">
              <w:rPr>
                <w:lang w:val="de-DE"/>
              </w:rPr>
              <w:t>des</w:t>
            </w:r>
            <w:r w:rsidRPr="00E73F6F">
              <w:rPr>
                <w:spacing w:val="40"/>
                <w:lang w:val="de-DE"/>
              </w:rPr>
              <w:t xml:space="preserve"> </w:t>
            </w:r>
            <w:r w:rsidRPr="00E73F6F">
              <w:rPr>
                <w:spacing w:val="-2"/>
                <w:lang w:val="de-DE"/>
              </w:rPr>
              <w:t>Menschen</w:t>
            </w:r>
          </w:p>
          <w:p w14:paraId="194745DC" w14:textId="77777777" w:rsidR="00FF7799" w:rsidRPr="00E73F6F" w:rsidRDefault="00FF7799" w:rsidP="00EB5A06">
            <w:pPr>
              <w:pStyle w:val="StandardText"/>
              <w:jc w:val="center"/>
              <w:rPr>
                <w:lang w:val="de-DE"/>
              </w:rPr>
            </w:pPr>
            <w:r w:rsidRPr="00E73F6F">
              <w:rPr>
                <w:lang w:val="de-DE"/>
              </w:rPr>
              <w:t>unter</w:t>
            </w:r>
            <w:r w:rsidRPr="00E73F6F">
              <w:rPr>
                <w:spacing w:val="-7"/>
                <w:lang w:val="de-DE"/>
              </w:rPr>
              <w:t xml:space="preserve"> </w:t>
            </w:r>
            <w:r w:rsidRPr="00E73F6F">
              <w:rPr>
                <w:lang w:val="de-DE"/>
              </w:rPr>
              <w:t>die</w:t>
            </w:r>
            <w:r w:rsidRPr="00E73F6F">
              <w:rPr>
                <w:spacing w:val="-1"/>
                <w:lang w:val="de-DE"/>
              </w:rPr>
              <w:t xml:space="preserve"> </w:t>
            </w:r>
            <w:r w:rsidRPr="00E73F6F">
              <w:rPr>
                <w:spacing w:val="-2"/>
                <w:lang w:val="de-DE"/>
              </w:rPr>
              <w:t>Natur</w:t>
            </w:r>
          </w:p>
        </w:tc>
        <w:tc>
          <w:tcPr>
            <w:tcW w:w="1263" w:type="pct"/>
            <w:gridSpan w:val="2"/>
          </w:tcPr>
          <w:p w14:paraId="5E4FD51F" w14:textId="77777777" w:rsidR="00FF7799" w:rsidRPr="00E73F6F" w:rsidRDefault="00FF7799" w:rsidP="00EB5A06">
            <w:pPr>
              <w:pStyle w:val="StandardText"/>
              <w:jc w:val="center"/>
              <w:rPr>
                <w:lang w:val="de-DE"/>
              </w:rPr>
            </w:pPr>
            <w:r w:rsidRPr="00E73F6F">
              <w:rPr>
                <w:spacing w:val="-2"/>
                <w:lang w:val="de-DE"/>
              </w:rPr>
              <w:t>Harmonische</w:t>
            </w:r>
            <w:r w:rsidRPr="00E73F6F">
              <w:rPr>
                <w:spacing w:val="40"/>
                <w:lang w:val="de-DE"/>
              </w:rPr>
              <w:t xml:space="preserve"> </w:t>
            </w:r>
            <w:r w:rsidRPr="00E73F6F">
              <w:rPr>
                <w:spacing w:val="-2"/>
                <w:lang w:val="de-DE"/>
              </w:rPr>
              <w:t>Beziehung</w:t>
            </w:r>
            <w:r w:rsidRPr="00E73F6F">
              <w:rPr>
                <w:spacing w:val="40"/>
                <w:lang w:val="de-DE"/>
              </w:rPr>
              <w:t xml:space="preserve"> </w:t>
            </w:r>
            <w:r w:rsidRPr="00E73F6F">
              <w:rPr>
                <w:lang w:val="de-DE"/>
              </w:rPr>
              <w:t>mit</w:t>
            </w:r>
            <w:r w:rsidRPr="00E73F6F">
              <w:rPr>
                <w:spacing w:val="-10"/>
                <w:lang w:val="de-DE"/>
              </w:rPr>
              <w:t xml:space="preserve"> </w:t>
            </w:r>
            <w:r w:rsidRPr="00E73F6F">
              <w:rPr>
                <w:lang w:val="de-DE"/>
              </w:rPr>
              <w:t>der</w:t>
            </w:r>
            <w:r w:rsidRPr="00E73F6F">
              <w:rPr>
                <w:spacing w:val="-10"/>
                <w:lang w:val="de-DE"/>
              </w:rPr>
              <w:t xml:space="preserve"> </w:t>
            </w:r>
            <w:r w:rsidRPr="00E73F6F">
              <w:rPr>
                <w:lang w:val="de-DE"/>
              </w:rPr>
              <w:t>Natur</w:t>
            </w:r>
          </w:p>
        </w:tc>
        <w:tc>
          <w:tcPr>
            <w:tcW w:w="1236" w:type="pct"/>
            <w:gridSpan w:val="2"/>
          </w:tcPr>
          <w:p w14:paraId="37AFFC0D" w14:textId="77777777" w:rsidR="00FF7799" w:rsidRPr="00E73F6F" w:rsidRDefault="00FF7799" w:rsidP="00EB5A06">
            <w:pPr>
              <w:pStyle w:val="StandardText"/>
              <w:jc w:val="center"/>
              <w:rPr>
                <w:lang w:val="de-DE"/>
              </w:rPr>
            </w:pPr>
            <w:r w:rsidRPr="00E73F6F">
              <w:rPr>
                <w:lang w:val="de-DE"/>
              </w:rPr>
              <w:t>Herrschaft</w:t>
            </w:r>
            <w:r w:rsidRPr="00E73F6F">
              <w:rPr>
                <w:spacing w:val="-10"/>
                <w:lang w:val="de-DE"/>
              </w:rPr>
              <w:t xml:space="preserve"> </w:t>
            </w:r>
            <w:r w:rsidRPr="00E73F6F">
              <w:rPr>
                <w:lang w:val="de-DE"/>
              </w:rPr>
              <w:t>des</w:t>
            </w:r>
            <w:r w:rsidRPr="00E73F6F">
              <w:rPr>
                <w:spacing w:val="40"/>
                <w:lang w:val="de-DE"/>
              </w:rPr>
              <w:t xml:space="preserve"> </w:t>
            </w:r>
            <w:r w:rsidRPr="00E73F6F">
              <w:rPr>
                <w:spacing w:val="-2"/>
                <w:lang w:val="de-DE"/>
              </w:rPr>
              <w:t>Menschen</w:t>
            </w:r>
            <w:r w:rsidRPr="00E73F6F">
              <w:rPr>
                <w:spacing w:val="40"/>
                <w:lang w:val="de-DE"/>
              </w:rPr>
              <w:t xml:space="preserve"> </w:t>
            </w:r>
            <w:r w:rsidRPr="00E73F6F">
              <w:rPr>
                <w:lang w:val="de-DE"/>
              </w:rPr>
              <w:t>über</w:t>
            </w:r>
            <w:r w:rsidRPr="00E73F6F">
              <w:rPr>
                <w:spacing w:val="-10"/>
                <w:lang w:val="de-DE"/>
              </w:rPr>
              <w:t xml:space="preserve"> </w:t>
            </w:r>
            <w:r w:rsidRPr="00E73F6F">
              <w:rPr>
                <w:lang w:val="de-DE"/>
              </w:rPr>
              <w:t>die</w:t>
            </w:r>
            <w:r w:rsidRPr="00E73F6F">
              <w:rPr>
                <w:spacing w:val="-10"/>
                <w:lang w:val="de-DE"/>
              </w:rPr>
              <w:t xml:space="preserve"> </w:t>
            </w:r>
            <w:r w:rsidRPr="00E73F6F">
              <w:rPr>
                <w:lang w:val="de-DE"/>
              </w:rPr>
              <w:t>Natur</w:t>
            </w:r>
          </w:p>
        </w:tc>
      </w:tr>
      <w:tr w:rsidR="00FF7799" w:rsidRPr="00E73F6F" w14:paraId="036BA4CF" w14:textId="77777777" w:rsidTr="00420B47">
        <w:trPr>
          <w:trHeight w:val="285"/>
        </w:trPr>
        <w:tc>
          <w:tcPr>
            <w:tcW w:w="1172" w:type="pct"/>
            <w:vMerge w:val="restart"/>
            <w:shd w:val="clear" w:color="auto" w:fill="FFF2CC" w:themeFill="accent4" w:themeFillTint="33"/>
          </w:tcPr>
          <w:p w14:paraId="495CFC81" w14:textId="77777777" w:rsidR="00FF7799" w:rsidRPr="00E73F6F" w:rsidRDefault="00FF7799" w:rsidP="00EB5A06">
            <w:pPr>
              <w:pStyle w:val="StandardText"/>
              <w:spacing w:after="120"/>
              <w:jc w:val="left"/>
              <w:rPr>
                <w:b/>
                <w:lang w:val="de-DE"/>
              </w:rPr>
            </w:pPr>
            <w:r w:rsidRPr="00E73F6F">
              <w:rPr>
                <w:b/>
                <w:lang w:val="de-DE"/>
              </w:rPr>
              <w:t>Beziehung zu</w:t>
            </w:r>
            <w:r w:rsidRPr="00E73F6F">
              <w:rPr>
                <w:b/>
                <w:spacing w:val="40"/>
                <w:lang w:val="de-DE"/>
              </w:rPr>
              <w:br/>
            </w:r>
            <w:r w:rsidRPr="00E73F6F">
              <w:rPr>
                <w:b/>
                <w:lang w:val="de-DE"/>
              </w:rPr>
              <w:t>anderen</w:t>
            </w:r>
            <w:r w:rsidRPr="00E73F6F">
              <w:rPr>
                <w:b/>
                <w:spacing w:val="-10"/>
                <w:lang w:val="de-DE"/>
              </w:rPr>
              <w:t xml:space="preserve"> </w:t>
            </w:r>
            <w:r w:rsidRPr="00E73F6F">
              <w:rPr>
                <w:b/>
                <w:lang w:val="de-DE"/>
              </w:rPr>
              <w:t>Menschen</w:t>
            </w:r>
          </w:p>
        </w:tc>
        <w:tc>
          <w:tcPr>
            <w:tcW w:w="2591" w:type="pct"/>
            <w:gridSpan w:val="4"/>
          </w:tcPr>
          <w:p w14:paraId="0F4FC7E5" w14:textId="77777777" w:rsidR="00FF7799" w:rsidRPr="00E73F6F" w:rsidRDefault="00FF7799" w:rsidP="00EB5A06">
            <w:pPr>
              <w:pStyle w:val="StandardText"/>
              <w:jc w:val="center"/>
              <w:rPr>
                <w:lang w:val="de-DE"/>
              </w:rPr>
            </w:pPr>
            <w:r w:rsidRPr="00E73F6F">
              <w:rPr>
                <w:spacing w:val="-2"/>
                <w:lang w:val="de-DE"/>
              </w:rPr>
              <w:t>kollektivistisch</w:t>
            </w:r>
          </w:p>
        </w:tc>
        <w:tc>
          <w:tcPr>
            <w:tcW w:w="1236" w:type="pct"/>
            <w:gridSpan w:val="2"/>
            <w:vMerge w:val="restart"/>
          </w:tcPr>
          <w:p w14:paraId="02B4464E" w14:textId="77777777" w:rsidR="00FF7799" w:rsidRPr="00E73F6F" w:rsidRDefault="00FF7799" w:rsidP="00EB5A06">
            <w:pPr>
              <w:pStyle w:val="StandardText"/>
              <w:jc w:val="center"/>
              <w:rPr>
                <w:i/>
                <w:lang w:val="de-DE"/>
              </w:rPr>
            </w:pPr>
          </w:p>
          <w:p w14:paraId="58F9D4F5" w14:textId="77777777" w:rsidR="00FF7799" w:rsidRPr="00E73F6F" w:rsidRDefault="00FF7799" w:rsidP="00EB5A06">
            <w:pPr>
              <w:pStyle w:val="StandardText"/>
              <w:jc w:val="center"/>
              <w:rPr>
                <w:lang w:val="de-DE"/>
              </w:rPr>
            </w:pPr>
            <w:r w:rsidRPr="00E73F6F">
              <w:rPr>
                <w:spacing w:val="-2"/>
                <w:lang w:val="de-DE"/>
              </w:rPr>
              <w:t>individualistisch</w:t>
            </w:r>
          </w:p>
        </w:tc>
      </w:tr>
      <w:tr w:rsidR="00FF7799" w:rsidRPr="00E73F6F" w14:paraId="3C0B5254" w14:textId="77777777" w:rsidTr="00420B47">
        <w:trPr>
          <w:trHeight w:val="283"/>
        </w:trPr>
        <w:tc>
          <w:tcPr>
            <w:tcW w:w="1172" w:type="pct"/>
            <w:vMerge/>
            <w:shd w:val="clear" w:color="auto" w:fill="FFF2CC" w:themeFill="accent4" w:themeFillTint="33"/>
          </w:tcPr>
          <w:p w14:paraId="539E4F99" w14:textId="77777777" w:rsidR="00FF7799" w:rsidRPr="00E73F6F" w:rsidRDefault="00FF7799" w:rsidP="00EB5A06">
            <w:pPr>
              <w:pStyle w:val="StandardText"/>
              <w:spacing w:after="120"/>
              <w:jc w:val="left"/>
              <w:rPr>
                <w:lang w:val="de-DE"/>
              </w:rPr>
            </w:pPr>
          </w:p>
        </w:tc>
        <w:tc>
          <w:tcPr>
            <w:tcW w:w="1328" w:type="pct"/>
            <w:gridSpan w:val="2"/>
          </w:tcPr>
          <w:p w14:paraId="7B607579" w14:textId="77777777" w:rsidR="00FF7799" w:rsidRPr="00E73F6F" w:rsidRDefault="00FF7799" w:rsidP="00EB5A06">
            <w:pPr>
              <w:pStyle w:val="StandardText"/>
              <w:jc w:val="center"/>
              <w:rPr>
                <w:lang w:val="de-DE"/>
              </w:rPr>
            </w:pPr>
            <w:r w:rsidRPr="00E73F6F">
              <w:rPr>
                <w:spacing w:val="-2"/>
                <w:lang w:val="de-DE"/>
              </w:rPr>
              <w:t>hierarchisch</w:t>
            </w:r>
          </w:p>
        </w:tc>
        <w:tc>
          <w:tcPr>
            <w:tcW w:w="1263" w:type="pct"/>
            <w:gridSpan w:val="2"/>
          </w:tcPr>
          <w:p w14:paraId="3E879B71" w14:textId="77777777" w:rsidR="00FF7799" w:rsidRPr="00E73F6F" w:rsidRDefault="00FF7799" w:rsidP="00EB5A06">
            <w:pPr>
              <w:pStyle w:val="StandardText"/>
              <w:jc w:val="center"/>
              <w:rPr>
                <w:lang w:val="de-DE"/>
              </w:rPr>
            </w:pPr>
            <w:r w:rsidRPr="00E73F6F">
              <w:rPr>
                <w:spacing w:val="-2"/>
                <w:lang w:val="de-DE"/>
              </w:rPr>
              <w:t>gleichberechtigt</w:t>
            </w:r>
          </w:p>
        </w:tc>
        <w:tc>
          <w:tcPr>
            <w:tcW w:w="1236" w:type="pct"/>
            <w:gridSpan w:val="2"/>
            <w:vMerge/>
          </w:tcPr>
          <w:p w14:paraId="73631AE2" w14:textId="77777777" w:rsidR="00FF7799" w:rsidRPr="00E73F6F" w:rsidRDefault="00FF7799" w:rsidP="00EB5A06">
            <w:pPr>
              <w:pStyle w:val="StandardText"/>
              <w:jc w:val="center"/>
              <w:rPr>
                <w:lang w:val="de-DE"/>
              </w:rPr>
            </w:pPr>
          </w:p>
        </w:tc>
      </w:tr>
      <w:tr w:rsidR="00FF7799" w:rsidRPr="00E73F6F" w14:paraId="55DD526D" w14:textId="77777777" w:rsidTr="00420B47">
        <w:trPr>
          <w:trHeight w:val="470"/>
        </w:trPr>
        <w:tc>
          <w:tcPr>
            <w:tcW w:w="1172" w:type="pct"/>
            <w:shd w:val="clear" w:color="auto" w:fill="FFF2CC" w:themeFill="accent4" w:themeFillTint="33"/>
          </w:tcPr>
          <w:p w14:paraId="19622EAB" w14:textId="77777777" w:rsidR="00FF7799" w:rsidRPr="00E73F6F" w:rsidRDefault="00FF7799" w:rsidP="00EB5A06">
            <w:pPr>
              <w:pStyle w:val="StandardText"/>
              <w:spacing w:after="120"/>
              <w:jc w:val="left"/>
              <w:rPr>
                <w:b/>
                <w:lang w:val="de-DE"/>
              </w:rPr>
            </w:pPr>
            <w:r w:rsidRPr="00E73F6F">
              <w:rPr>
                <w:b/>
                <w:spacing w:val="-2"/>
                <w:lang w:val="de-DE"/>
              </w:rPr>
              <w:t>Zeitorientierung</w:t>
            </w:r>
          </w:p>
        </w:tc>
        <w:tc>
          <w:tcPr>
            <w:tcW w:w="1328" w:type="pct"/>
            <w:gridSpan w:val="2"/>
          </w:tcPr>
          <w:p w14:paraId="66A51AE7" w14:textId="77777777" w:rsidR="00FF7799" w:rsidRPr="00E73F6F" w:rsidRDefault="00FF7799" w:rsidP="00EB5A06">
            <w:pPr>
              <w:pStyle w:val="StandardText"/>
              <w:jc w:val="center"/>
              <w:rPr>
                <w:lang w:val="de-DE"/>
              </w:rPr>
            </w:pPr>
            <w:r w:rsidRPr="00E73F6F">
              <w:rPr>
                <w:spacing w:val="-2"/>
                <w:lang w:val="de-DE"/>
              </w:rPr>
              <w:t>vergangenheits-</w:t>
            </w:r>
            <w:r w:rsidRPr="00E73F6F">
              <w:rPr>
                <w:spacing w:val="-2"/>
                <w:lang w:val="de-DE"/>
              </w:rPr>
              <w:br/>
              <w:t>orientiert</w:t>
            </w:r>
          </w:p>
        </w:tc>
        <w:tc>
          <w:tcPr>
            <w:tcW w:w="1263" w:type="pct"/>
            <w:gridSpan w:val="2"/>
          </w:tcPr>
          <w:p w14:paraId="67060661" w14:textId="77777777" w:rsidR="00FF7799" w:rsidRPr="00E73F6F" w:rsidRDefault="00FF7799" w:rsidP="00EB5A06">
            <w:pPr>
              <w:pStyle w:val="StandardText"/>
              <w:jc w:val="center"/>
              <w:rPr>
                <w:lang w:val="de-DE"/>
              </w:rPr>
            </w:pPr>
            <w:r w:rsidRPr="00E73F6F">
              <w:rPr>
                <w:spacing w:val="-2"/>
                <w:lang w:val="de-DE"/>
              </w:rPr>
              <w:t>gegenwarts-</w:t>
            </w:r>
            <w:r w:rsidRPr="00E73F6F">
              <w:rPr>
                <w:spacing w:val="-2"/>
                <w:lang w:val="de-DE"/>
              </w:rPr>
              <w:br/>
              <w:t>orientiert</w:t>
            </w:r>
          </w:p>
        </w:tc>
        <w:tc>
          <w:tcPr>
            <w:tcW w:w="1236" w:type="pct"/>
            <w:gridSpan w:val="2"/>
          </w:tcPr>
          <w:p w14:paraId="6D2F97BE" w14:textId="77777777" w:rsidR="00FF7799" w:rsidRPr="00E73F6F" w:rsidRDefault="00FF7799" w:rsidP="00EB5A06">
            <w:pPr>
              <w:pStyle w:val="StandardText"/>
              <w:jc w:val="center"/>
              <w:rPr>
                <w:lang w:val="de-DE"/>
              </w:rPr>
            </w:pPr>
            <w:r w:rsidRPr="00E73F6F">
              <w:rPr>
                <w:spacing w:val="-2"/>
                <w:lang w:val="de-DE"/>
              </w:rPr>
              <w:t>zukunfts-</w:t>
            </w:r>
            <w:r w:rsidRPr="00E73F6F">
              <w:rPr>
                <w:spacing w:val="40"/>
                <w:lang w:val="de-DE"/>
              </w:rPr>
              <w:br/>
            </w:r>
            <w:r w:rsidRPr="00E73F6F">
              <w:rPr>
                <w:spacing w:val="-2"/>
                <w:lang w:val="de-DE"/>
              </w:rPr>
              <w:t>orientiert</w:t>
            </w:r>
          </w:p>
        </w:tc>
      </w:tr>
      <w:tr w:rsidR="00FF7799" w:rsidRPr="00E73F6F" w14:paraId="1B941851" w14:textId="77777777" w:rsidTr="00420B47">
        <w:trPr>
          <w:trHeight w:val="467"/>
        </w:trPr>
        <w:tc>
          <w:tcPr>
            <w:tcW w:w="1172" w:type="pct"/>
            <w:shd w:val="clear" w:color="auto" w:fill="FFF2CC" w:themeFill="accent4" w:themeFillTint="33"/>
          </w:tcPr>
          <w:p w14:paraId="26B009EC" w14:textId="77777777" w:rsidR="00FF7799" w:rsidRPr="00E73F6F" w:rsidRDefault="00FF7799" w:rsidP="00EB5A06">
            <w:pPr>
              <w:pStyle w:val="StandardText"/>
              <w:spacing w:after="120"/>
              <w:jc w:val="left"/>
              <w:rPr>
                <w:b/>
                <w:lang w:val="de-DE"/>
              </w:rPr>
            </w:pPr>
            <w:r w:rsidRPr="00E73F6F">
              <w:rPr>
                <w:b/>
                <w:lang w:val="de-DE"/>
              </w:rPr>
              <w:t>Tätigkeits-</w:t>
            </w:r>
            <w:r w:rsidRPr="00E73F6F">
              <w:rPr>
                <w:b/>
                <w:spacing w:val="-1"/>
                <w:lang w:val="de-DE"/>
              </w:rPr>
              <w:t xml:space="preserve"> </w:t>
            </w:r>
            <w:r w:rsidRPr="00E73F6F">
              <w:rPr>
                <w:b/>
                <w:lang w:val="de-DE"/>
              </w:rPr>
              <w:t>bzw.</w:t>
            </w:r>
            <w:r w:rsidRPr="00E73F6F">
              <w:rPr>
                <w:b/>
                <w:spacing w:val="40"/>
                <w:lang w:val="de-DE"/>
              </w:rPr>
              <w:t xml:space="preserve"> </w:t>
            </w:r>
            <w:r w:rsidRPr="00E73F6F">
              <w:rPr>
                <w:b/>
                <w:spacing w:val="-2"/>
                <w:lang w:val="de-DE"/>
              </w:rPr>
              <w:t>Sinnorientierung</w:t>
            </w:r>
          </w:p>
        </w:tc>
        <w:tc>
          <w:tcPr>
            <w:tcW w:w="1328" w:type="pct"/>
            <w:gridSpan w:val="2"/>
          </w:tcPr>
          <w:p w14:paraId="4A7972E8" w14:textId="77777777" w:rsidR="00FF7799" w:rsidRPr="00E73F6F" w:rsidRDefault="00FF7799" w:rsidP="00EB5A06">
            <w:pPr>
              <w:pStyle w:val="StandardText"/>
              <w:jc w:val="center"/>
              <w:rPr>
                <w:lang w:val="de-DE"/>
              </w:rPr>
            </w:pPr>
            <w:r w:rsidRPr="00E73F6F">
              <w:rPr>
                <w:spacing w:val="-4"/>
                <w:lang w:val="de-DE"/>
              </w:rPr>
              <w:t>Sein</w:t>
            </w:r>
          </w:p>
        </w:tc>
        <w:tc>
          <w:tcPr>
            <w:tcW w:w="1263" w:type="pct"/>
            <w:gridSpan w:val="2"/>
          </w:tcPr>
          <w:p w14:paraId="303A15C2" w14:textId="77777777" w:rsidR="00FF7799" w:rsidRPr="00E73F6F" w:rsidRDefault="00FF7799" w:rsidP="00EB5A06">
            <w:pPr>
              <w:pStyle w:val="StandardText"/>
              <w:jc w:val="center"/>
              <w:rPr>
                <w:lang w:val="de-DE"/>
              </w:rPr>
            </w:pPr>
            <w:r w:rsidRPr="00E73F6F">
              <w:rPr>
                <w:spacing w:val="-2"/>
                <w:lang w:val="de-DE"/>
              </w:rPr>
              <w:t>Werden</w:t>
            </w:r>
          </w:p>
        </w:tc>
        <w:tc>
          <w:tcPr>
            <w:tcW w:w="1236" w:type="pct"/>
            <w:gridSpan w:val="2"/>
          </w:tcPr>
          <w:p w14:paraId="3F618766" w14:textId="77777777" w:rsidR="00FF7799" w:rsidRPr="00E73F6F" w:rsidRDefault="00FF7799" w:rsidP="00EB5A06">
            <w:pPr>
              <w:pStyle w:val="StandardText"/>
              <w:jc w:val="center"/>
              <w:rPr>
                <w:lang w:val="de-DE"/>
              </w:rPr>
            </w:pPr>
            <w:r w:rsidRPr="00E73F6F">
              <w:rPr>
                <w:spacing w:val="-5"/>
                <w:lang w:val="de-DE"/>
              </w:rPr>
              <w:t>Tun</w:t>
            </w:r>
          </w:p>
        </w:tc>
      </w:tr>
    </w:tbl>
    <w:p w14:paraId="1B75A11D" w14:textId="77777777" w:rsidR="00FF7799" w:rsidRPr="00E73F6F" w:rsidRDefault="00FF7799" w:rsidP="00BA06F6">
      <w:pPr>
        <w:pStyle w:val="Quellen"/>
      </w:pPr>
      <w:r w:rsidRPr="00E73F6F">
        <w:rPr>
          <w:spacing w:val="-2"/>
        </w:rPr>
        <w:t>Quelle:</w:t>
      </w:r>
      <w:r w:rsidRPr="00E73F6F">
        <w:tab/>
        <w:t>Kluckhohn/Strodtbeck</w:t>
      </w:r>
      <w:r w:rsidRPr="00E73F6F">
        <w:rPr>
          <w:spacing w:val="-3"/>
        </w:rPr>
        <w:t xml:space="preserve"> </w:t>
      </w:r>
      <w:r w:rsidRPr="00E73F6F">
        <w:t xml:space="preserve">(1961, </w:t>
      </w:r>
      <w:r w:rsidRPr="00E73F6F">
        <w:rPr>
          <w:spacing w:val="-2"/>
        </w:rPr>
        <w:t>S.12).</w:t>
      </w:r>
    </w:p>
    <w:p w14:paraId="0AB2862B" w14:textId="77777777" w:rsidR="00FF7799" w:rsidRPr="00E73F6F" w:rsidRDefault="00FF7799" w:rsidP="00BA06F6">
      <w:pPr>
        <w:pStyle w:val="Listenabsatz"/>
        <w:tabs>
          <w:tab w:val="left" w:pos="853"/>
        </w:tabs>
        <w:spacing w:before="90"/>
        <w:ind w:left="0" w:firstLine="0"/>
        <w:rPr>
          <w:sz w:val="24"/>
          <w:szCs w:val="24"/>
        </w:rPr>
      </w:pPr>
    </w:p>
    <w:p w14:paraId="7DD1CEAC" w14:textId="77777777" w:rsidR="00FF7799" w:rsidRPr="00420B47" w:rsidRDefault="00FF7799" w:rsidP="00BA06F6">
      <w:pPr>
        <w:pStyle w:val="StandardTextkursiv"/>
        <w:rPr>
          <w:i w:val="0"/>
        </w:rPr>
      </w:pPr>
      <w:r w:rsidRPr="00420B47">
        <w:rPr>
          <w:i w:val="0"/>
        </w:rPr>
        <w:t>1 Orientierung</w:t>
      </w:r>
      <w:r w:rsidRPr="00420B47">
        <w:rPr>
          <w:i w:val="0"/>
          <w:spacing w:val="-3"/>
        </w:rPr>
        <w:t xml:space="preserve"> </w:t>
      </w:r>
      <w:r w:rsidRPr="00420B47">
        <w:rPr>
          <w:i w:val="0"/>
        </w:rPr>
        <w:t>„Wesen</w:t>
      </w:r>
      <w:r w:rsidRPr="00420B47">
        <w:rPr>
          <w:i w:val="0"/>
          <w:spacing w:val="-2"/>
        </w:rPr>
        <w:t xml:space="preserve"> </w:t>
      </w:r>
      <w:r w:rsidRPr="00420B47">
        <w:rPr>
          <w:i w:val="0"/>
        </w:rPr>
        <w:t>der</w:t>
      </w:r>
      <w:r w:rsidRPr="00420B47">
        <w:rPr>
          <w:i w:val="0"/>
          <w:spacing w:val="-1"/>
        </w:rPr>
        <w:t xml:space="preserve"> </w:t>
      </w:r>
      <w:r w:rsidRPr="00420B47">
        <w:rPr>
          <w:i w:val="0"/>
        </w:rPr>
        <w:t>menschlichen</w:t>
      </w:r>
      <w:r w:rsidRPr="00420B47">
        <w:rPr>
          <w:i w:val="0"/>
          <w:spacing w:val="-2"/>
        </w:rPr>
        <w:t xml:space="preserve"> Natur“</w:t>
      </w:r>
    </w:p>
    <w:p w14:paraId="74F29F62" w14:textId="77777777" w:rsidR="00FF7799" w:rsidRPr="00E73F6F" w:rsidRDefault="00FF7799" w:rsidP="00BA06F6">
      <w:pPr>
        <w:pStyle w:val="StandardText"/>
      </w:pPr>
      <w:r w:rsidRPr="00E73F6F">
        <w:t>Gehen die Mitglieder einer Gesellschaft davon aus, dass der Mensch von Geburt an gut oder böse ist? Wird die „Natur“ des Menschen als prinzipiell veränderlich oder determiniert, d.h. durch Erbgut oder „soziale Lage“ vorgegeben angesehen? Ist der Einzelne</w:t>
      </w:r>
      <w:r w:rsidRPr="00E73F6F">
        <w:rPr>
          <w:spacing w:val="-3"/>
        </w:rPr>
        <w:t xml:space="preserve"> </w:t>
      </w:r>
      <w:r w:rsidRPr="00E73F6F">
        <w:t>davon</w:t>
      </w:r>
      <w:r w:rsidRPr="00E73F6F">
        <w:rPr>
          <w:spacing w:val="-1"/>
        </w:rPr>
        <w:t xml:space="preserve"> </w:t>
      </w:r>
      <w:r w:rsidRPr="00E73F6F">
        <w:t>überzeugt,</w:t>
      </w:r>
      <w:r w:rsidRPr="00E73F6F">
        <w:rPr>
          <w:spacing w:val="-1"/>
        </w:rPr>
        <w:t xml:space="preserve"> </w:t>
      </w:r>
      <w:r w:rsidRPr="00E73F6F">
        <w:t>dass</w:t>
      </w:r>
      <w:r w:rsidRPr="00E73F6F">
        <w:rPr>
          <w:spacing w:val="-1"/>
        </w:rPr>
        <w:t xml:space="preserve"> </w:t>
      </w:r>
      <w:r w:rsidRPr="00E73F6F">
        <w:t>er sein Leben selbst</w:t>
      </w:r>
      <w:r w:rsidRPr="00E73F6F">
        <w:rPr>
          <w:spacing w:val="-2"/>
        </w:rPr>
        <w:t xml:space="preserve"> </w:t>
      </w:r>
      <w:r w:rsidRPr="00E73F6F">
        <w:t>gestalten kann, wie es der amerikanische „Vom Tellerwäscher zum Millionär“-Mythos besagt, oder hält er es für vorbestimmt? Vertrauensgesellschaften beantworten diese Schlüsselfragen menschlicher Existenz grundlegend anders (d.h. optimistischer) als Misstrauensgesellschaften. Aus den jeweiligen Antworten lässt sich der vorherrschende Managementstil ableiten. Vertrauen die Vorgesetzten ihren Mitarbeitern, so werden sie häufiger Aufgaben delegieren und seltener kontrollieren, wie diese erfüllt wurden (vgl. Kutschker/Schmid 2011, S.705f.). Während dort die Personalpolitik von der Idee der Personalentwicklung geprägt ist, steht in Misstrauensgesellschaften die Strategie der Personalselektion im Vordergrund.</w:t>
      </w:r>
      <w:r w:rsidRPr="00E73F6F">
        <w:rPr>
          <w:spacing w:val="-3"/>
        </w:rPr>
        <w:t xml:space="preserve"> </w:t>
      </w:r>
      <w:r w:rsidRPr="00E73F6F">
        <w:t>Denn</w:t>
      </w:r>
      <w:r w:rsidRPr="00E73F6F">
        <w:rPr>
          <w:spacing w:val="-5"/>
        </w:rPr>
        <w:t xml:space="preserve"> </w:t>
      </w:r>
      <w:r w:rsidRPr="00E73F6F">
        <w:t>beide</w:t>
      </w:r>
      <w:r w:rsidRPr="00E73F6F">
        <w:rPr>
          <w:spacing w:val="-5"/>
        </w:rPr>
        <w:t xml:space="preserve"> </w:t>
      </w:r>
      <w:r w:rsidRPr="00E73F6F">
        <w:t>Gesellschaftstypen</w:t>
      </w:r>
      <w:r w:rsidRPr="00E73F6F">
        <w:rPr>
          <w:spacing w:val="-5"/>
        </w:rPr>
        <w:t xml:space="preserve"> </w:t>
      </w:r>
      <w:r w:rsidRPr="00E73F6F">
        <w:t>haben</w:t>
      </w:r>
      <w:r w:rsidRPr="00E73F6F">
        <w:rPr>
          <w:spacing w:val="-5"/>
        </w:rPr>
        <w:t xml:space="preserve"> </w:t>
      </w:r>
      <w:r w:rsidRPr="00E73F6F">
        <w:t>grundlegend</w:t>
      </w:r>
      <w:r w:rsidRPr="00E73F6F">
        <w:rPr>
          <w:spacing w:val="-5"/>
        </w:rPr>
        <w:t xml:space="preserve"> </w:t>
      </w:r>
      <w:r w:rsidRPr="00E73F6F">
        <w:t>unterschiedliche Einstellungen zur Machbarkeit bzw. Wünschbarkeit von Veränderungen. Auch kann man vorhersagen, dass sog. Lebenshilfeliteratur, d.h. Ratgeber für beruflichen und privaten Erfolg, vorzugsweise dort Anklang finden, wo es der Landeskultur entspricht, von der Veränderlichkeit der Lebensbedingungen überzeugt zu sein.</w:t>
      </w:r>
    </w:p>
    <w:p w14:paraId="1AD95908" w14:textId="77777777" w:rsidR="00FF7799" w:rsidRPr="00E73F6F" w:rsidRDefault="00FF7799" w:rsidP="00BA06F6">
      <w:pPr>
        <w:pStyle w:val="StandardText"/>
      </w:pPr>
    </w:p>
    <w:p w14:paraId="1F394713" w14:textId="77777777" w:rsidR="00FF7799" w:rsidRPr="00420B47" w:rsidRDefault="00FF7799" w:rsidP="00BA06F6">
      <w:pPr>
        <w:pStyle w:val="StandardTextkursiv"/>
        <w:rPr>
          <w:i w:val="0"/>
        </w:rPr>
      </w:pPr>
      <w:r w:rsidRPr="00420B47">
        <w:rPr>
          <w:i w:val="0"/>
        </w:rPr>
        <w:t>2 Orientierung</w:t>
      </w:r>
      <w:r w:rsidRPr="00420B47">
        <w:rPr>
          <w:i w:val="0"/>
          <w:spacing w:val="-2"/>
        </w:rPr>
        <w:t xml:space="preserve"> </w:t>
      </w:r>
      <w:r w:rsidRPr="00420B47">
        <w:rPr>
          <w:i w:val="0"/>
        </w:rPr>
        <w:t>„Beziehung</w:t>
      </w:r>
      <w:r w:rsidRPr="00420B47">
        <w:rPr>
          <w:i w:val="0"/>
          <w:spacing w:val="-2"/>
        </w:rPr>
        <w:t xml:space="preserve"> </w:t>
      </w:r>
      <w:r w:rsidRPr="00420B47">
        <w:rPr>
          <w:i w:val="0"/>
        </w:rPr>
        <w:t>zur</w:t>
      </w:r>
      <w:r w:rsidRPr="00420B47">
        <w:rPr>
          <w:i w:val="0"/>
          <w:spacing w:val="-4"/>
        </w:rPr>
        <w:t xml:space="preserve"> </w:t>
      </w:r>
      <w:r w:rsidRPr="00420B47">
        <w:rPr>
          <w:i w:val="0"/>
          <w:spacing w:val="-2"/>
        </w:rPr>
        <w:t>Natur“</w:t>
      </w:r>
    </w:p>
    <w:p w14:paraId="73685C19" w14:textId="77777777" w:rsidR="00FF7799" w:rsidRPr="00E73F6F" w:rsidRDefault="00FF7799" w:rsidP="00BA06F6">
      <w:pPr>
        <w:pStyle w:val="StandardText"/>
      </w:pPr>
      <w:r w:rsidRPr="00E73F6F">
        <w:t>Beherrscht der Mensch die Natur, ist er deren Untertan oder lebt er mit ihr harmonisch</w:t>
      </w:r>
      <w:r w:rsidRPr="00E73F6F">
        <w:rPr>
          <w:spacing w:val="-10"/>
        </w:rPr>
        <w:t xml:space="preserve"> </w:t>
      </w:r>
      <w:r w:rsidRPr="00E73F6F">
        <w:t>zusammen?</w:t>
      </w:r>
      <w:r w:rsidRPr="00E73F6F">
        <w:rPr>
          <w:spacing w:val="-9"/>
        </w:rPr>
        <w:t xml:space="preserve"> </w:t>
      </w:r>
      <w:r w:rsidRPr="00E73F6F">
        <w:t>Gehen</w:t>
      </w:r>
      <w:r w:rsidRPr="00E73F6F">
        <w:rPr>
          <w:spacing w:val="-8"/>
        </w:rPr>
        <w:t xml:space="preserve"> </w:t>
      </w:r>
      <w:r w:rsidRPr="00E73F6F">
        <w:t>die</w:t>
      </w:r>
      <w:r w:rsidRPr="00E73F6F">
        <w:rPr>
          <w:spacing w:val="-9"/>
        </w:rPr>
        <w:t xml:space="preserve"> </w:t>
      </w:r>
      <w:r w:rsidRPr="00E73F6F">
        <w:t>Angehörigen</w:t>
      </w:r>
      <w:r w:rsidRPr="00E73F6F">
        <w:rPr>
          <w:spacing w:val="-8"/>
        </w:rPr>
        <w:t xml:space="preserve"> </w:t>
      </w:r>
      <w:r w:rsidRPr="00E73F6F">
        <w:t>einer</w:t>
      </w:r>
      <w:r w:rsidRPr="00E73F6F">
        <w:rPr>
          <w:spacing w:val="-9"/>
        </w:rPr>
        <w:t xml:space="preserve"> </w:t>
      </w:r>
      <w:r w:rsidRPr="00E73F6F">
        <w:t>Kultur</w:t>
      </w:r>
      <w:r w:rsidRPr="00E73F6F">
        <w:rPr>
          <w:spacing w:val="-10"/>
        </w:rPr>
        <w:t xml:space="preserve"> </w:t>
      </w:r>
      <w:r w:rsidRPr="00E73F6F">
        <w:t>davon</w:t>
      </w:r>
      <w:r w:rsidRPr="00E73F6F">
        <w:rPr>
          <w:spacing w:val="-10"/>
        </w:rPr>
        <w:t xml:space="preserve"> </w:t>
      </w:r>
      <w:r w:rsidRPr="00E73F6F">
        <w:t>aus,</w:t>
      </w:r>
      <w:r w:rsidRPr="00E73F6F">
        <w:rPr>
          <w:spacing w:val="-10"/>
        </w:rPr>
        <w:t xml:space="preserve"> </w:t>
      </w:r>
      <w:r w:rsidRPr="00E73F6F">
        <w:t>dass</w:t>
      </w:r>
      <w:r w:rsidRPr="00E73F6F">
        <w:rPr>
          <w:spacing w:val="-10"/>
        </w:rPr>
        <w:t xml:space="preserve"> </w:t>
      </w:r>
      <w:r w:rsidRPr="00E73F6F">
        <w:t>Gott als Schöpfer der Natur die Umweltbedingungen bestimmt? Oder sind sie davon überzeugt, dass der Mensch alle dafür notwendigen Fähigkeiten und Fertigkeiten besitzt und deshalb jeder das erreichen kann, was er erreichen will? Kulturen, die nicht</w:t>
      </w:r>
      <w:r w:rsidRPr="00E73F6F">
        <w:rPr>
          <w:spacing w:val="-10"/>
        </w:rPr>
        <w:t xml:space="preserve"> </w:t>
      </w:r>
      <w:r w:rsidRPr="00E73F6F">
        <w:t>an</w:t>
      </w:r>
      <w:r w:rsidRPr="00E73F6F">
        <w:rPr>
          <w:spacing w:val="-11"/>
        </w:rPr>
        <w:t xml:space="preserve"> </w:t>
      </w:r>
      <w:r w:rsidRPr="00E73F6F">
        <w:t>die</w:t>
      </w:r>
      <w:r w:rsidRPr="00E73F6F">
        <w:rPr>
          <w:spacing w:val="-11"/>
        </w:rPr>
        <w:t xml:space="preserve"> </w:t>
      </w:r>
      <w:r w:rsidRPr="00E73F6F">
        <w:t>Allmacht</w:t>
      </w:r>
      <w:r w:rsidRPr="00E73F6F">
        <w:rPr>
          <w:spacing w:val="-12"/>
        </w:rPr>
        <w:t xml:space="preserve"> </w:t>
      </w:r>
      <w:r w:rsidRPr="00E73F6F">
        <w:t>des</w:t>
      </w:r>
      <w:r w:rsidRPr="00E73F6F">
        <w:rPr>
          <w:spacing w:val="-10"/>
        </w:rPr>
        <w:t xml:space="preserve"> </w:t>
      </w:r>
      <w:r w:rsidRPr="00E73F6F">
        <w:t>Menschen</w:t>
      </w:r>
      <w:r w:rsidRPr="00E73F6F">
        <w:rPr>
          <w:spacing w:val="-9"/>
        </w:rPr>
        <w:t xml:space="preserve"> </w:t>
      </w:r>
      <w:r w:rsidRPr="00E73F6F">
        <w:t>glauben</w:t>
      </w:r>
      <w:r w:rsidRPr="00E73F6F">
        <w:rPr>
          <w:spacing w:val="-11"/>
        </w:rPr>
        <w:t xml:space="preserve"> </w:t>
      </w:r>
      <w:r w:rsidRPr="00E73F6F">
        <w:t>und</w:t>
      </w:r>
      <w:r w:rsidRPr="00E73F6F">
        <w:rPr>
          <w:spacing w:val="-9"/>
        </w:rPr>
        <w:t xml:space="preserve"> </w:t>
      </w:r>
      <w:r w:rsidRPr="00E73F6F">
        <w:t>deshalb</w:t>
      </w:r>
      <w:r w:rsidRPr="00E73F6F">
        <w:rPr>
          <w:spacing w:val="-11"/>
        </w:rPr>
        <w:t xml:space="preserve"> </w:t>
      </w:r>
      <w:r w:rsidRPr="00E73F6F">
        <w:t>versuchen,</w:t>
      </w:r>
      <w:r w:rsidRPr="00E73F6F">
        <w:rPr>
          <w:spacing w:val="-10"/>
        </w:rPr>
        <w:t xml:space="preserve"> </w:t>
      </w:r>
      <w:r w:rsidRPr="00E73F6F">
        <w:t>mit</w:t>
      </w:r>
      <w:r w:rsidRPr="00E73F6F">
        <w:rPr>
          <w:spacing w:val="-10"/>
        </w:rPr>
        <w:t xml:space="preserve"> </w:t>
      </w:r>
      <w:r w:rsidRPr="00E73F6F">
        <w:t>der</w:t>
      </w:r>
      <w:r w:rsidRPr="00E73F6F">
        <w:rPr>
          <w:spacing w:val="-10"/>
        </w:rPr>
        <w:t xml:space="preserve"> </w:t>
      </w:r>
      <w:r w:rsidRPr="00E73F6F">
        <w:t>Natur in Einklang zu leben, lehnen Umweltzerstörung und Klimaveränderung ab. Unternehmensziele werden dort eher vage</w:t>
      </w:r>
      <w:r w:rsidRPr="00E73F6F">
        <w:rPr>
          <w:spacing w:val="-1"/>
        </w:rPr>
        <w:t xml:space="preserve"> </w:t>
      </w:r>
      <w:r w:rsidRPr="00E73F6F">
        <w:t>formuliert und qualitativ umschrieben. Ganz anders verhält es sich in Can Do-Kulturen. Deren Angehörige sind von den eigenen</w:t>
      </w:r>
      <w:r w:rsidRPr="00E73F6F">
        <w:rPr>
          <w:spacing w:val="-3"/>
        </w:rPr>
        <w:t xml:space="preserve"> </w:t>
      </w:r>
      <w:r w:rsidRPr="00E73F6F">
        <w:t>Kräften</w:t>
      </w:r>
      <w:r w:rsidRPr="00E73F6F">
        <w:rPr>
          <w:spacing w:val="-3"/>
        </w:rPr>
        <w:t xml:space="preserve"> </w:t>
      </w:r>
      <w:r w:rsidRPr="00E73F6F">
        <w:t>und</w:t>
      </w:r>
      <w:r w:rsidRPr="00E73F6F">
        <w:rPr>
          <w:spacing w:val="-3"/>
        </w:rPr>
        <w:t xml:space="preserve"> </w:t>
      </w:r>
      <w:r w:rsidRPr="00E73F6F">
        <w:t>Gestaltungsmöglichkeiten</w:t>
      </w:r>
      <w:r w:rsidRPr="00E73F6F">
        <w:rPr>
          <w:spacing w:val="-3"/>
        </w:rPr>
        <w:t xml:space="preserve"> </w:t>
      </w:r>
      <w:r w:rsidRPr="00E73F6F">
        <w:t>überzeugt</w:t>
      </w:r>
      <w:r w:rsidRPr="00E73F6F">
        <w:rPr>
          <w:spacing w:val="-6"/>
        </w:rPr>
        <w:t xml:space="preserve"> </w:t>
      </w:r>
      <w:r w:rsidRPr="00E73F6F">
        <w:t>und</w:t>
      </w:r>
      <w:r w:rsidRPr="00E73F6F">
        <w:rPr>
          <w:spacing w:val="-3"/>
        </w:rPr>
        <w:t xml:space="preserve"> </w:t>
      </w:r>
      <w:r w:rsidRPr="00E73F6F">
        <w:t>streben</w:t>
      </w:r>
      <w:r w:rsidRPr="00E73F6F">
        <w:rPr>
          <w:spacing w:val="-3"/>
        </w:rPr>
        <w:t xml:space="preserve"> </w:t>
      </w:r>
      <w:r w:rsidRPr="00E73F6F">
        <w:t>danach,</w:t>
      </w:r>
      <w:r w:rsidRPr="00E73F6F">
        <w:rPr>
          <w:spacing w:val="-4"/>
        </w:rPr>
        <w:t xml:space="preserve"> </w:t>
      </w:r>
      <w:r w:rsidRPr="00E73F6F">
        <w:t>die Natur</w:t>
      </w:r>
      <w:r w:rsidRPr="00E73F6F">
        <w:rPr>
          <w:spacing w:val="-11"/>
        </w:rPr>
        <w:t xml:space="preserve"> </w:t>
      </w:r>
      <w:r w:rsidRPr="00E73F6F">
        <w:t>zu</w:t>
      </w:r>
      <w:r w:rsidRPr="00E73F6F">
        <w:rPr>
          <w:spacing w:val="-10"/>
        </w:rPr>
        <w:t xml:space="preserve"> </w:t>
      </w:r>
      <w:r w:rsidRPr="00E73F6F">
        <w:t>beherrschen</w:t>
      </w:r>
      <w:r w:rsidRPr="00E73F6F">
        <w:rPr>
          <w:spacing w:val="-10"/>
        </w:rPr>
        <w:t xml:space="preserve"> </w:t>
      </w:r>
      <w:r w:rsidRPr="00E73F6F">
        <w:t>(statt</w:t>
      </w:r>
      <w:r w:rsidRPr="00E73F6F">
        <w:rPr>
          <w:spacing w:val="-11"/>
        </w:rPr>
        <w:t xml:space="preserve"> </w:t>
      </w:r>
      <w:r w:rsidRPr="00E73F6F">
        <w:t>sich</w:t>
      </w:r>
      <w:r w:rsidRPr="00E73F6F">
        <w:rPr>
          <w:spacing w:val="-10"/>
        </w:rPr>
        <w:t xml:space="preserve"> </w:t>
      </w:r>
      <w:r w:rsidRPr="00E73F6F">
        <w:t>ihr</w:t>
      </w:r>
      <w:r w:rsidRPr="00E73F6F">
        <w:rPr>
          <w:spacing w:val="-11"/>
        </w:rPr>
        <w:t xml:space="preserve"> </w:t>
      </w:r>
      <w:r w:rsidRPr="00E73F6F">
        <w:t>anzupassen).</w:t>
      </w:r>
      <w:r w:rsidRPr="00E73F6F">
        <w:rPr>
          <w:spacing w:val="-11"/>
        </w:rPr>
        <w:t xml:space="preserve"> </w:t>
      </w:r>
      <w:r w:rsidRPr="00E73F6F">
        <w:t>In</w:t>
      </w:r>
      <w:r w:rsidRPr="00E73F6F">
        <w:rPr>
          <w:spacing w:val="-10"/>
        </w:rPr>
        <w:t xml:space="preserve"> </w:t>
      </w:r>
      <w:r w:rsidRPr="00E73F6F">
        <w:t>solchen</w:t>
      </w:r>
      <w:r w:rsidRPr="00E73F6F">
        <w:rPr>
          <w:spacing w:val="-10"/>
        </w:rPr>
        <w:t xml:space="preserve"> </w:t>
      </w:r>
      <w:r w:rsidRPr="00E73F6F">
        <w:t>Gesellschaften</w:t>
      </w:r>
      <w:r w:rsidRPr="00E73F6F">
        <w:rPr>
          <w:spacing w:val="-9"/>
        </w:rPr>
        <w:t xml:space="preserve"> </w:t>
      </w:r>
      <w:r w:rsidRPr="00E73F6F">
        <w:t>werden Unternehmensziele weitgehend unabhängig von äußeren Einflüssen und zumeist eindeutig, spezifisch sowie in quantifizierbarer Weise formuliert.</w:t>
      </w:r>
    </w:p>
    <w:p w14:paraId="05A20DC4" w14:textId="77777777" w:rsidR="00FF7799" w:rsidRPr="00E73F6F" w:rsidRDefault="00FF7799" w:rsidP="00BA06F6">
      <w:pPr>
        <w:pStyle w:val="StandardText"/>
      </w:pPr>
    </w:p>
    <w:p w14:paraId="34F6D439" w14:textId="77777777" w:rsidR="00FF7799" w:rsidRPr="00420B47" w:rsidRDefault="00FF7799" w:rsidP="00BA06F6">
      <w:pPr>
        <w:pStyle w:val="StandardTextkursiv"/>
        <w:rPr>
          <w:i w:val="0"/>
        </w:rPr>
      </w:pPr>
      <w:r w:rsidRPr="00420B47">
        <w:rPr>
          <w:i w:val="0"/>
        </w:rPr>
        <w:t>3 Orientierung</w:t>
      </w:r>
      <w:r w:rsidRPr="00420B47">
        <w:rPr>
          <w:i w:val="0"/>
          <w:spacing w:val="-3"/>
        </w:rPr>
        <w:t xml:space="preserve"> </w:t>
      </w:r>
      <w:r w:rsidRPr="00420B47">
        <w:rPr>
          <w:i w:val="0"/>
        </w:rPr>
        <w:t>„Beziehung</w:t>
      </w:r>
      <w:r w:rsidRPr="00420B47">
        <w:rPr>
          <w:i w:val="0"/>
          <w:spacing w:val="-2"/>
        </w:rPr>
        <w:t xml:space="preserve"> </w:t>
      </w:r>
      <w:r w:rsidRPr="00420B47">
        <w:rPr>
          <w:i w:val="0"/>
        </w:rPr>
        <w:t>zu</w:t>
      </w:r>
      <w:r w:rsidRPr="00420B47">
        <w:rPr>
          <w:i w:val="0"/>
          <w:spacing w:val="-4"/>
        </w:rPr>
        <w:t xml:space="preserve"> </w:t>
      </w:r>
      <w:r w:rsidRPr="00420B47">
        <w:rPr>
          <w:i w:val="0"/>
        </w:rPr>
        <w:t>anderen</w:t>
      </w:r>
      <w:r w:rsidRPr="00420B47">
        <w:rPr>
          <w:i w:val="0"/>
          <w:spacing w:val="-2"/>
        </w:rPr>
        <w:t xml:space="preserve"> Menschen“</w:t>
      </w:r>
    </w:p>
    <w:p w14:paraId="7C385523" w14:textId="77777777" w:rsidR="00FF7799" w:rsidRPr="00E73F6F" w:rsidRDefault="00FF7799" w:rsidP="00BA06F6">
      <w:pPr>
        <w:pStyle w:val="StandardText"/>
      </w:pPr>
      <w:r w:rsidRPr="00E73F6F">
        <w:t>Wie gehen Menschen miteinander um? Haben die Interessen des Einzelnen (= individualistisch) oder die der Gruppe bzw. Organisation Priorität (= kollektivistisch)? Falls es sich um eine kollektivistische Kultur handelt: Ist die Gemeinschaft hierarchisch oder egalitär strukturiert? In individualistischen Gesellschaften legen Unternehmen großen Wert auf die Leistungsfähigkeit des Einzelnen. Hingegen sind in kollektivistischen Ländern solche Eigenschaften wichtig, welche helfen, den Einzelnen in das Unternehmen zu integrieren (z.B. soziale Kompetenz, Kooperationsbereitschaft, Vertrauenswürdigkeit). Dort gestaltet sich die Entscheidungsfindung auch komplexer, da zahlreiche Personen daran</w:t>
      </w:r>
      <w:r w:rsidRPr="00E73F6F">
        <w:rPr>
          <w:spacing w:val="66"/>
          <w:w w:val="150"/>
        </w:rPr>
        <w:t xml:space="preserve"> </w:t>
      </w:r>
      <w:r w:rsidRPr="00E73F6F">
        <w:t>beteiligt</w:t>
      </w:r>
      <w:r w:rsidRPr="00E73F6F">
        <w:rPr>
          <w:spacing w:val="65"/>
          <w:w w:val="150"/>
        </w:rPr>
        <w:t xml:space="preserve"> </w:t>
      </w:r>
      <w:r w:rsidRPr="00E73F6F">
        <w:t>sind,</w:t>
      </w:r>
      <w:r w:rsidRPr="00E73F6F">
        <w:rPr>
          <w:spacing w:val="66"/>
          <w:w w:val="150"/>
        </w:rPr>
        <w:t xml:space="preserve"> </w:t>
      </w:r>
      <w:r w:rsidRPr="00E73F6F">
        <w:t>während</w:t>
      </w:r>
      <w:r w:rsidRPr="00E73F6F">
        <w:rPr>
          <w:spacing w:val="64"/>
          <w:w w:val="150"/>
        </w:rPr>
        <w:t xml:space="preserve"> </w:t>
      </w:r>
      <w:r w:rsidRPr="00E73F6F">
        <w:t>in</w:t>
      </w:r>
      <w:r w:rsidRPr="00E73F6F">
        <w:rPr>
          <w:spacing w:val="66"/>
          <w:w w:val="150"/>
        </w:rPr>
        <w:t xml:space="preserve"> </w:t>
      </w:r>
      <w:r w:rsidRPr="00E73F6F">
        <w:t>individualistisch</w:t>
      </w:r>
      <w:r w:rsidRPr="00E73F6F">
        <w:rPr>
          <w:spacing w:val="64"/>
          <w:w w:val="150"/>
        </w:rPr>
        <w:t xml:space="preserve"> </w:t>
      </w:r>
      <w:r w:rsidRPr="00E73F6F">
        <w:t>geführten</w:t>
      </w:r>
      <w:r w:rsidRPr="00E73F6F">
        <w:rPr>
          <w:spacing w:val="63"/>
          <w:w w:val="150"/>
        </w:rPr>
        <w:t xml:space="preserve"> </w:t>
      </w:r>
      <w:r w:rsidRPr="00E73F6F">
        <w:rPr>
          <w:spacing w:val="-2"/>
        </w:rPr>
        <w:t xml:space="preserve">Unternehmen </w:t>
      </w:r>
      <w:r w:rsidRPr="00E73F6F">
        <w:t xml:space="preserve">gewöhnlich einzelne bzw. wenige Personen die wesentlichen Entscheidungen </w:t>
      </w:r>
      <w:r w:rsidRPr="00E73F6F">
        <w:rPr>
          <w:spacing w:val="-2"/>
        </w:rPr>
        <w:t>fällen.</w:t>
      </w:r>
    </w:p>
    <w:p w14:paraId="18271608" w14:textId="77777777" w:rsidR="00FF7799" w:rsidRPr="00420B47" w:rsidRDefault="00FF7799" w:rsidP="00BA06F6">
      <w:pPr>
        <w:pStyle w:val="StandardText"/>
      </w:pPr>
    </w:p>
    <w:p w14:paraId="2E84DD31" w14:textId="77777777" w:rsidR="00FF7799" w:rsidRPr="00420B47" w:rsidRDefault="00FF7799" w:rsidP="00BA06F6">
      <w:pPr>
        <w:pStyle w:val="StandardTextkursiv"/>
        <w:rPr>
          <w:i w:val="0"/>
        </w:rPr>
      </w:pPr>
      <w:r w:rsidRPr="00420B47">
        <w:rPr>
          <w:i w:val="0"/>
        </w:rPr>
        <w:t>4 Orientierung</w:t>
      </w:r>
      <w:r w:rsidRPr="00420B47">
        <w:rPr>
          <w:i w:val="0"/>
          <w:spacing w:val="-3"/>
        </w:rPr>
        <w:t xml:space="preserve"> </w:t>
      </w:r>
      <w:r w:rsidRPr="00420B47">
        <w:rPr>
          <w:i w:val="0"/>
        </w:rPr>
        <w:t>„Zeitorientierung“</w:t>
      </w:r>
    </w:p>
    <w:p w14:paraId="3A2661B0" w14:textId="77777777" w:rsidR="00FF7799" w:rsidRPr="00E73F6F" w:rsidRDefault="00FF7799" w:rsidP="00BA06F6">
      <w:pPr>
        <w:pStyle w:val="StandardText"/>
      </w:pPr>
      <w:r w:rsidRPr="00E73F6F">
        <w:lastRenderedPageBreak/>
        <w:t>Orientiert sich eine Gesellschaft primär an der Vergangenheit, an der Gegenwart oder an der Zukunft? In vergangenheitsorientierten Kulturen hat der Einzelne in Einklang mit den identitätsstiftenden Traditionen zu handeln, während Zukunftsorientierung dafür sorgt, dass stärker auf den zu erwartenden wirtschaftlichen</w:t>
      </w:r>
      <w:r w:rsidRPr="00E73F6F">
        <w:rPr>
          <w:spacing w:val="-5"/>
        </w:rPr>
        <w:t xml:space="preserve"> </w:t>
      </w:r>
      <w:r w:rsidRPr="00E73F6F">
        <w:t>Nutzen</w:t>
      </w:r>
      <w:r w:rsidRPr="00E73F6F">
        <w:rPr>
          <w:spacing w:val="-8"/>
        </w:rPr>
        <w:t xml:space="preserve"> </w:t>
      </w:r>
      <w:r w:rsidRPr="00E73F6F">
        <w:t>von</w:t>
      </w:r>
      <w:r w:rsidRPr="00E73F6F">
        <w:rPr>
          <w:spacing w:val="-8"/>
        </w:rPr>
        <w:t xml:space="preserve"> </w:t>
      </w:r>
      <w:r w:rsidRPr="00E73F6F">
        <w:t>Maßnahmen</w:t>
      </w:r>
      <w:r w:rsidRPr="00E73F6F">
        <w:rPr>
          <w:spacing w:val="-8"/>
        </w:rPr>
        <w:t xml:space="preserve"> </w:t>
      </w:r>
      <w:r w:rsidRPr="00E73F6F">
        <w:t>geachtet</w:t>
      </w:r>
      <w:r w:rsidRPr="00E73F6F">
        <w:rPr>
          <w:spacing w:val="-6"/>
        </w:rPr>
        <w:t xml:space="preserve"> </w:t>
      </w:r>
      <w:r w:rsidRPr="00E73F6F">
        <w:t>wird.</w:t>
      </w:r>
      <w:r w:rsidRPr="00E73F6F">
        <w:rPr>
          <w:spacing w:val="-8"/>
        </w:rPr>
        <w:t xml:space="preserve"> </w:t>
      </w:r>
      <w:r w:rsidRPr="00E73F6F">
        <w:t>Für</w:t>
      </w:r>
      <w:r w:rsidRPr="00E73F6F">
        <w:rPr>
          <w:spacing w:val="-9"/>
        </w:rPr>
        <w:t xml:space="preserve"> </w:t>
      </w:r>
      <w:r w:rsidRPr="00E73F6F">
        <w:t>das</w:t>
      </w:r>
      <w:r w:rsidRPr="00E73F6F">
        <w:rPr>
          <w:spacing w:val="-7"/>
        </w:rPr>
        <w:t xml:space="preserve"> </w:t>
      </w:r>
      <w:r w:rsidRPr="00E73F6F">
        <w:t>Rechnungswesen und die Strategische Unternehmensplanung bspw. lassen sich daraus folgende Grundsatzfragen ableiten:</w:t>
      </w:r>
    </w:p>
    <w:p w14:paraId="6D7E8250" w14:textId="77777777" w:rsidR="00FF7799" w:rsidRPr="00E73F6F" w:rsidRDefault="00FF7799" w:rsidP="00510E20">
      <w:pPr>
        <w:pStyle w:val="StandardTextAufzhlung"/>
        <w:ind w:left="426"/>
      </w:pPr>
      <w:r w:rsidRPr="00E73F6F">
        <w:t>Werden</w:t>
      </w:r>
      <w:r w:rsidRPr="00E73F6F">
        <w:rPr>
          <w:spacing w:val="-2"/>
        </w:rPr>
        <w:t xml:space="preserve"> </w:t>
      </w:r>
      <w:r w:rsidRPr="00E73F6F">
        <w:t>Entscheidungen</w:t>
      </w:r>
      <w:r w:rsidRPr="00E73F6F">
        <w:rPr>
          <w:spacing w:val="-1"/>
        </w:rPr>
        <w:t xml:space="preserve"> </w:t>
      </w:r>
      <w:r w:rsidRPr="00E73F6F">
        <w:t>vorwiegend</w:t>
      </w:r>
      <w:r w:rsidRPr="00E73F6F">
        <w:rPr>
          <w:spacing w:val="-1"/>
        </w:rPr>
        <w:t xml:space="preserve"> </w:t>
      </w:r>
      <w:r w:rsidRPr="00E73F6F">
        <w:t>auf</w:t>
      </w:r>
      <w:r w:rsidRPr="00E73F6F">
        <w:rPr>
          <w:spacing w:val="-4"/>
        </w:rPr>
        <w:t xml:space="preserve"> </w:t>
      </w:r>
      <w:r w:rsidRPr="00E73F6F">
        <w:t>der</w:t>
      </w:r>
      <w:r w:rsidRPr="00E73F6F">
        <w:rPr>
          <w:spacing w:val="-2"/>
        </w:rPr>
        <w:t xml:space="preserve"> </w:t>
      </w:r>
      <w:r w:rsidRPr="00E73F6F">
        <w:t>Basis</w:t>
      </w:r>
      <w:r w:rsidRPr="00E73F6F">
        <w:rPr>
          <w:spacing w:val="-2"/>
        </w:rPr>
        <w:t xml:space="preserve"> </w:t>
      </w:r>
      <w:r w:rsidRPr="00E73F6F">
        <w:t>von</w:t>
      </w:r>
      <w:r w:rsidRPr="00E73F6F">
        <w:rPr>
          <w:spacing w:val="-1"/>
        </w:rPr>
        <w:t xml:space="preserve"> </w:t>
      </w:r>
      <w:r w:rsidRPr="00E73F6F">
        <w:rPr>
          <w:spacing w:val="-2"/>
        </w:rPr>
        <w:t>extrapolierten</w:t>
      </w:r>
    </w:p>
    <w:p w14:paraId="295A2E0D" w14:textId="77777777" w:rsidR="00FF7799" w:rsidRPr="00E73F6F" w:rsidRDefault="00FF7799" w:rsidP="00510E20">
      <w:pPr>
        <w:pStyle w:val="StandardTextAufzhlung"/>
        <w:ind w:left="426"/>
      </w:pPr>
      <w:r w:rsidRPr="00E73F6F">
        <w:t>„Vergangenheitsdaten“</w:t>
      </w:r>
      <w:r w:rsidRPr="00E73F6F">
        <w:rPr>
          <w:spacing w:val="-8"/>
        </w:rPr>
        <w:t xml:space="preserve"> </w:t>
      </w:r>
      <w:r w:rsidRPr="00E73F6F">
        <w:t>gefällt</w:t>
      </w:r>
      <w:r w:rsidRPr="00E73F6F">
        <w:rPr>
          <w:spacing w:val="-8"/>
        </w:rPr>
        <w:t xml:space="preserve"> </w:t>
      </w:r>
      <w:r w:rsidRPr="00E73F6F">
        <w:t>oder</w:t>
      </w:r>
      <w:r w:rsidRPr="00E73F6F">
        <w:rPr>
          <w:spacing w:val="-7"/>
        </w:rPr>
        <w:t xml:space="preserve"> </w:t>
      </w:r>
      <w:r w:rsidRPr="00E73F6F">
        <w:t>anhand</w:t>
      </w:r>
      <w:r w:rsidRPr="00E73F6F">
        <w:rPr>
          <w:spacing w:val="-6"/>
        </w:rPr>
        <w:t xml:space="preserve"> </w:t>
      </w:r>
      <w:r w:rsidRPr="00E73F6F">
        <w:t>von</w:t>
      </w:r>
      <w:r w:rsidRPr="00E73F6F">
        <w:rPr>
          <w:spacing w:val="-7"/>
        </w:rPr>
        <w:t xml:space="preserve"> </w:t>
      </w:r>
      <w:r w:rsidRPr="00E73F6F">
        <w:t>„Zukunftsdaten“, welche</w:t>
      </w:r>
      <w:r w:rsidRPr="00E73F6F">
        <w:rPr>
          <w:spacing w:val="-3"/>
        </w:rPr>
        <w:t xml:space="preserve"> </w:t>
      </w:r>
      <w:r w:rsidRPr="00E73F6F">
        <w:t>z.B.</w:t>
      </w:r>
      <w:r w:rsidRPr="00E73F6F">
        <w:rPr>
          <w:spacing w:val="-2"/>
        </w:rPr>
        <w:t xml:space="preserve"> </w:t>
      </w:r>
      <w:r w:rsidRPr="00E73F6F">
        <w:t>mit</w:t>
      </w:r>
      <w:r w:rsidRPr="00E73F6F">
        <w:rPr>
          <w:spacing w:val="-4"/>
        </w:rPr>
        <w:t xml:space="preserve"> </w:t>
      </w:r>
      <w:r w:rsidRPr="00E73F6F">
        <w:t>der</w:t>
      </w:r>
      <w:r w:rsidRPr="00E73F6F">
        <w:rPr>
          <w:spacing w:val="-2"/>
        </w:rPr>
        <w:t xml:space="preserve"> </w:t>
      </w:r>
      <w:r w:rsidRPr="00E73F6F">
        <w:t>Szenario-</w:t>
      </w:r>
      <w:r w:rsidRPr="00E73F6F">
        <w:rPr>
          <w:spacing w:val="-4"/>
        </w:rPr>
        <w:t xml:space="preserve"> </w:t>
      </w:r>
      <w:r w:rsidRPr="00E73F6F">
        <w:t>oder</w:t>
      </w:r>
      <w:r w:rsidRPr="00E73F6F">
        <w:rPr>
          <w:spacing w:val="-2"/>
        </w:rPr>
        <w:t xml:space="preserve"> </w:t>
      </w:r>
      <w:r w:rsidRPr="00E73F6F">
        <w:t>der</w:t>
      </w:r>
      <w:r w:rsidRPr="00E73F6F">
        <w:rPr>
          <w:spacing w:val="40"/>
        </w:rPr>
        <w:t xml:space="preserve"> </w:t>
      </w:r>
      <w:r w:rsidRPr="00E73F6F">
        <w:t>Delphi-</w:t>
      </w:r>
      <w:r w:rsidRPr="00E73F6F">
        <w:rPr>
          <w:spacing w:val="-4"/>
        </w:rPr>
        <w:t xml:space="preserve"> </w:t>
      </w:r>
      <w:r w:rsidRPr="00E73F6F">
        <w:t>Technik</w:t>
      </w:r>
      <w:r w:rsidRPr="00E73F6F">
        <w:rPr>
          <w:spacing w:val="-2"/>
        </w:rPr>
        <w:t xml:space="preserve"> </w:t>
      </w:r>
      <w:r w:rsidRPr="00E73F6F">
        <w:t xml:space="preserve">gewonnen </w:t>
      </w:r>
      <w:r w:rsidRPr="00E73F6F">
        <w:rPr>
          <w:spacing w:val="-2"/>
        </w:rPr>
        <w:t>wurden?</w:t>
      </w:r>
    </w:p>
    <w:p w14:paraId="03A56D49" w14:textId="77777777" w:rsidR="00FF7799" w:rsidRPr="00E73F6F" w:rsidRDefault="00FF7799" w:rsidP="00510E20">
      <w:pPr>
        <w:pStyle w:val="StandardTextAufzhlung"/>
        <w:ind w:left="426"/>
      </w:pPr>
      <w:r w:rsidRPr="00E73F6F">
        <w:t>Ist</w:t>
      </w:r>
      <w:r w:rsidRPr="00E73F6F">
        <w:rPr>
          <w:spacing w:val="-4"/>
        </w:rPr>
        <w:t xml:space="preserve"> </w:t>
      </w:r>
      <w:r w:rsidRPr="00E73F6F">
        <w:t>es</w:t>
      </w:r>
      <w:r w:rsidRPr="00E73F6F">
        <w:rPr>
          <w:spacing w:val="-4"/>
        </w:rPr>
        <w:t xml:space="preserve"> </w:t>
      </w:r>
      <w:r w:rsidRPr="00E73F6F">
        <w:t>zulässig,</w:t>
      </w:r>
      <w:r w:rsidRPr="00E73F6F">
        <w:rPr>
          <w:spacing w:val="-4"/>
        </w:rPr>
        <w:t xml:space="preserve"> </w:t>
      </w:r>
      <w:r w:rsidRPr="00E73F6F">
        <w:t>Strategien,</w:t>
      </w:r>
      <w:r w:rsidRPr="00E73F6F">
        <w:rPr>
          <w:spacing w:val="-4"/>
        </w:rPr>
        <w:t xml:space="preserve"> </w:t>
      </w:r>
      <w:r w:rsidRPr="00E73F6F">
        <w:t>welche</w:t>
      </w:r>
      <w:r w:rsidRPr="00E73F6F">
        <w:rPr>
          <w:spacing w:val="-6"/>
        </w:rPr>
        <w:t xml:space="preserve"> </w:t>
      </w:r>
      <w:r w:rsidRPr="00E73F6F">
        <w:t>bislang</w:t>
      </w:r>
      <w:r w:rsidRPr="00E73F6F">
        <w:rPr>
          <w:spacing w:val="-5"/>
        </w:rPr>
        <w:t xml:space="preserve"> </w:t>
      </w:r>
      <w:r w:rsidRPr="00E73F6F">
        <w:t>(d.h.</w:t>
      </w:r>
      <w:r w:rsidRPr="00E73F6F">
        <w:rPr>
          <w:spacing w:val="-5"/>
        </w:rPr>
        <w:t xml:space="preserve"> </w:t>
      </w:r>
      <w:r w:rsidRPr="00E73F6F">
        <w:t>in</w:t>
      </w:r>
      <w:r w:rsidRPr="00E73F6F">
        <w:rPr>
          <w:spacing w:val="-5"/>
        </w:rPr>
        <w:t xml:space="preserve"> </w:t>
      </w:r>
      <w:r w:rsidRPr="00E73F6F">
        <w:t>der</w:t>
      </w:r>
      <w:r w:rsidRPr="00E73F6F">
        <w:rPr>
          <w:spacing w:val="-4"/>
        </w:rPr>
        <w:t xml:space="preserve"> </w:t>
      </w:r>
      <w:r w:rsidRPr="00E73F6F">
        <w:t>Vergangenheit) erfolgreich waren, in Frage zu stellen?</w:t>
      </w:r>
    </w:p>
    <w:p w14:paraId="7C5E44B6" w14:textId="77777777" w:rsidR="00FF7799" w:rsidRPr="00E73F6F" w:rsidRDefault="00FF7799" w:rsidP="00510E20">
      <w:pPr>
        <w:pStyle w:val="StandardTextAufzhlung"/>
        <w:ind w:left="426"/>
      </w:pPr>
      <w:r w:rsidRPr="00E73F6F">
        <w:t>Orientiert</w:t>
      </w:r>
      <w:r w:rsidRPr="00E73F6F">
        <w:rPr>
          <w:spacing w:val="-3"/>
        </w:rPr>
        <w:t xml:space="preserve"> </w:t>
      </w:r>
      <w:r w:rsidRPr="00E73F6F">
        <w:t>sich</w:t>
      </w:r>
      <w:r w:rsidRPr="00E73F6F">
        <w:rPr>
          <w:spacing w:val="-3"/>
        </w:rPr>
        <w:t xml:space="preserve"> </w:t>
      </w:r>
      <w:r w:rsidRPr="00E73F6F">
        <w:t>die</w:t>
      </w:r>
      <w:r w:rsidRPr="00E73F6F">
        <w:rPr>
          <w:spacing w:val="-3"/>
        </w:rPr>
        <w:t xml:space="preserve"> </w:t>
      </w:r>
      <w:r w:rsidRPr="00E73F6F">
        <w:t>Bezahlung</w:t>
      </w:r>
      <w:r w:rsidRPr="00E73F6F">
        <w:rPr>
          <w:spacing w:val="-3"/>
        </w:rPr>
        <w:t xml:space="preserve"> </w:t>
      </w:r>
      <w:r w:rsidRPr="00E73F6F">
        <w:t>der</w:t>
      </w:r>
      <w:r w:rsidRPr="00E73F6F">
        <w:rPr>
          <w:spacing w:val="-6"/>
        </w:rPr>
        <w:t xml:space="preserve"> </w:t>
      </w:r>
      <w:r w:rsidRPr="00E73F6F">
        <w:t>Mitarbeiter</w:t>
      </w:r>
      <w:r w:rsidRPr="00E73F6F">
        <w:rPr>
          <w:spacing w:val="-3"/>
        </w:rPr>
        <w:t xml:space="preserve"> </w:t>
      </w:r>
      <w:r w:rsidRPr="00E73F6F">
        <w:t>an</w:t>
      </w:r>
      <w:r w:rsidRPr="00E73F6F">
        <w:rPr>
          <w:spacing w:val="-4"/>
        </w:rPr>
        <w:t xml:space="preserve"> </w:t>
      </w:r>
      <w:r w:rsidRPr="00E73F6F">
        <w:t>der</w:t>
      </w:r>
      <w:r w:rsidRPr="00E73F6F">
        <w:rPr>
          <w:spacing w:val="-3"/>
        </w:rPr>
        <w:t xml:space="preserve"> </w:t>
      </w:r>
      <w:r w:rsidRPr="00E73F6F">
        <w:t>Leistung,</w:t>
      </w:r>
      <w:r w:rsidRPr="00E73F6F">
        <w:rPr>
          <w:spacing w:val="-5"/>
        </w:rPr>
        <w:t xml:space="preserve"> </w:t>
      </w:r>
      <w:r w:rsidRPr="00E73F6F">
        <w:t>die</w:t>
      </w:r>
      <w:r w:rsidRPr="00E73F6F">
        <w:rPr>
          <w:spacing w:val="-3"/>
        </w:rPr>
        <w:t xml:space="preserve"> </w:t>
      </w:r>
      <w:r w:rsidRPr="00E73F6F">
        <w:t>sie in der</w:t>
      </w:r>
      <w:r w:rsidRPr="00E73F6F">
        <w:rPr>
          <w:spacing w:val="-1"/>
        </w:rPr>
        <w:t xml:space="preserve"> </w:t>
      </w:r>
      <w:r w:rsidRPr="00E73F6F">
        <w:t>Vergangenheit</w:t>
      </w:r>
      <w:r w:rsidRPr="00E73F6F">
        <w:rPr>
          <w:spacing w:val="-1"/>
        </w:rPr>
        <w:t xml:space="preserve"> </w:t>
      </w:r>
      <w:r w:rsidRPr="00E73F6F">
        <w:t>erbracht</w:t>
      </w:r>
      <w:r w:rsidRPr="00E73F6F">
        <w:rPr>
          <w:spacing w:val="-1"/>
        </w:rPr>
        <w:t xml:space="preserve"> </w:t>
      </w:r>
      <w:r w:rsidRPr="00E73F6F">
        <w:t>haben,</w:t>
      </w:r>
      <w:r w:rsidRPr="00E73F6F">
        <w:rPr>
          <w:spacing w:val="-3"/>
        </w:rPr>
        <w:t xml:space="preserve"> </w:t>
      </w:r>
      <w:r w:rsidRPr="00E73F6F">
        <w:t>oder</w:t>
      </w:r>
      <w:r w:rsidRPr="00E73F6F">
        <w:rPr>
          <w:spacing w:val="-1"/>
        </w:rPr>
        <w:t xml:space="preserve"> </w:t>
      </w:r>
      <w:r w:rsidRPr="00E73F6F">
        <w:t>an</w:t>
      </w:r>
      <w:r w:rsidRPr="00E73F6F">
        <w:rPr>
          <w:spacing w:val="-2"/>
        </w:rPr>
        <w:t xml:space="preserve"> </w:t>
      </w:r>
      <w:r w:rsidRPr="00E73F6F">
        <w:t>noch</w:t>
      </w:r>
      <w:r w:rsidRPr="00E73F6F">
        <w:rPr>
          <w:spacing w:val="-2"/>
        </w:rPr>
        <w:t xml:space="preserve"> </w:t>
      </w:r>
      <w:r w:rsidRPr="00E73F6F">
        <w:t>zu</w:t>
      </w:r>
      <w:r w:rsidRPr="00E73F6F">
        <w:rPr>
          <w:spacing w:val="-1"/>
        </w:rPr>
        <w:t xml:space="preserve"> </w:t>
      </w:r>
      <w:r w:rsidRPr="00E73F6F">
        <w:t>erbringenden,</w:t>
      </w:r>
    </w:p>
    <w:p w14:paraId="477EE6FD" w14:textId="77777777" w:rsidR="00FF7799" w:rsidRPr="00E73F6F" w:rsidRDefault="00FF7799" w:rsidP="00510E20">
      <w:pPr>
        <w:pStyle w:val="StandardTextAufzhlung"/>
        <w:ind w:left="426"/>
      </w:pPr>
      <w:r w:rsidRPr="00E73F6F">
        <w:t>d.h.</w:t>
      </w:r>
      <w:r w:rsidRPr="00E73F6F">
        <w:rPr>
          <w:spacing w:val="-3"/>
        </w:rPr>
        <w:t xml:space="preserve"> </w:t>
      </w:r>
      <w:r w:rsidRPr="00E73F6F">
        <w:t xml:space="preserve">zukünftigen </w:t>
      </w:r>
      <w:r w:rsidRPr="00E73F6F">
        <w:rPr>
          <w:spacing w:val="-2"/>
        </w:rPr>
        <w:t>Leistungen?</w:t>
      </w:r>
    </w:p>
    <w:p w14:paraId="6A704EE6" w14:textId="77777777" w:rsidR="00FF7799" w:rsidRPr="00E73F6F" w:rsidRDefault="00FF7799" w:rsidP="00BA06F6">
      <w:pPr>
        <w:pStyle w:val="StandardText"/>
      </w:pPr>
    </w:p>
    <w:p w14:paraId="718FC955" w14:textId="77777777" w:rsidR="00FF7799" w:rsidRPr="00420B47" w:rsidRDefault="00FF7799" w:rsidP="00BA06F6">
      <w:pPr>
        <w:pStyle w:val="StandardTextkursiv"/>
        <w:rPr>
          <w:i w:val="0"/>
        </w:rPr>
      </w:pPr>
      <w:r w:rsidRPr="00420B47">
        <w:rPr>
          <w:i w:val="0"/>
        </w:rPr>
        <w:t>5 Orientierung</w:t>
      </w:r>
      <w:r w:rsidRPr="00420B47">
        <w:rPr>
          <w:i w:val="0"/>
          <w:spacing w:val="-3"/>
        </w:rPr>
        <w:t xml:space="preserve"> </w:t>
      </w:r>
      <w:r w:rsidRPr="00420B47">
        <w:rPr>
          <w:i w:val="0"/>
        </w:rPr>
        <w:t>„Tätigkeit</w:t>
      </w:r>
      <w:r w:rsidRPr="00420B47">
        <w:rPr>
          <w:i w:val="0"/>
          <w:spacing w:val="-4"/>
        </w:rPr>
        <w:t xml:space="preserve"> </w:t>
      </w:r>
      <w:r w:rsidRPr="00420B47">
        <w:rPr>
          <w:i w:val="0"/>
        </w:rPr>
        <w:t>vs.</w:t>
      </w:r>
      <w:r w:rsidRPr="00420B47">
        <w:rPr>
          <w:i w:val="0"/>
          <w:spacing w:val="-1"/>
        </w:rPr>
        <w:t xml:space="preserve"> </w:t>
      </w:r>
      <w:r w:rsidRPr="00420B47">
        <w:rPr>
          <w:i w:val="0"/>
          <w:spacing w:val="-4"/>
        </w:rPr>
        <w:t>Sinn“</w:t>
      </w:r>
    </w:p>
    <w:p w14:paraId="342BC4C8" w14:textId="77777777" w:rsidR="00FF7799" w:rsidRPr="00E73F6F" w:rsidRDefault="00FF7799" w:rsidP="00BA06F6">
      <w:pPr>
        <w:pStyle w:val="StandardText"/>
      </w:pPr>
      <w:r w:rsidRPr="00E73F6F">
        <w:t>Misst</w:t>
      </w:r>
      <w:r w:rsidRPr="00E73F6F">
        <w:rPr>
          <w:spacing w:val="-2"/>
        </w:rPr>
        <w:t xml:space="preserve"> </w:t>
      </w:r>
      <w:r w:rsidRPr="00E73F6F">
        <w:t>eine</w:t>
      </w:r>
      <w:r w:rsidRPr="00E73F6F">
        <w:rPr>
          <w:spacing w:val="-3"/>
        </w:rPr>
        <w:t xml:space="preserve"> </w:t>
      </w:r>
      <w:r w:rsidRPr="00E73F6F">
        <w:t>Gesellschaft</w:t>
      </w:r>
      <w:r w:rsidRPr="00E73F6F">
        <w:rPr>
          <w:spacing w:val="-2"/>
        </w:rPr>
        <w:t xml:space="preserve"> </w:t>
      </w:r>
      <w:r w:rsidRPr="00E73F6F">
        <w:t>dem</w:t>
      </w:r>
      <w:r w:rsidRPr="00E73F6F">
        <w:rPr>
          <w:spacing w:val="-3"/>
        </w:rPr>
        <w:t xml:space="preserve"> </w:t>
      </w:r>
      <w:r w:rsidRPr="00E73F6F">
        <w:t>Sein,</w:t>
      </w:r>
      <w:r w:rsidRPr="00E73F6F">
        <w:rPr>
          <w:spacing w:val="-2"/>
        </w:rPr>
        <w:t xml:space="preserve"> </w:t>
      </w:r>
      <w:r w:rsidRPr="00E73F6F">
        <w:t>dem</w:t>
      </w:r>
      <w:r w:rsidRPr="00E73F6F">
        <w:rPr>
          <w:spacing w:val="-3"/>
        </w:rPr>
        <w:t xml:space="preserve"> </w:t>
      </w:r>
      <w:r w:rsidRPr="00E73F6F">
        <w:t>Werden</w:t>
      </w:r>
      <w:r w:rsidRPr="00E73F6F">
        <w:rPr>
          <w:spacing w:val="-1"/>
        </w:rPr>
        <w:t xml:space="preserve"> </w:t>
      </w:r>
      <w:r w:rsidRPr="00E73F6F">
        <w:t>oder</w:t>
      </w:r>
      <w:r w:rsidRPr="00E73F6F">
        <w:rPr>
          <w:spacing w:val="-2"/>
        </w:rPr>
        <w:t xml:space="preserve"> </w:t>
      </w:r>
      <w:r w:rsidRPr="00E73F6F">
        <w:t>dem</w:t>
      </w:r>
      <w:r w:rsidRPr="00E73F6F">
        <w:rPr>
          <w:spacing w:val="-3"/>
        </w:rPr>
        <w:t xml:space="preserve"> </w:t>
      </w:r>
      <w:r w:rsidRPr="00E73F6F">
        <w:t>Tun</w:t>
      </w:r>
      <w:r w:rsidRPr="00E73F6F">
        <w:rPr>
          <w:spacing w:val="-1"/>
        </w:rPr>
        <w:t xml:space="preserve"> </w:t>
      </w:r>
      <w:r w:rsidRPr="00E73F6F">
        <w:t>größere</w:t>
      </w:r>
      <w:r w:rsidRPr="00E73F6F">
        <w:rPr>
          <w:spacing w:val="-3"/>
        </w:rPr>
        <w:t xml:space="preserve"> </w:t>
      </w:r>
      <w:r w:rsidRPr="00E73F6F">
        <w:t>Bedeutung bei? Mitglieder handlungsorientierter Kulturen gehen davon aus, dass Leistung prinzipiell messbar ist und folglich belohnt (oder bestraft) werden kann. Zu den extrinsischen</w:t>
      </w:r>
      <w:r w:rsidRPr="00E73F6F">
        <w:rPr>
          <w:spacing w:val="-6"/>
        </w:rPr>
        <w:t xml:space="preserve"> </w:t>
      </w:r>
      <w:r w:rsidRPr="00E73F6F">
        <w:t>Anreizen</w:t>
      </w:r>
      <w:r w:rsidRPr="00E73F6F">
        <w:rPr>
          <w:spacing w:val="-6"/>
        </w:rPr>
        <w:t xml:space="preserve"> </w:t>
      </w:r>
      <w:r w:rsidRPr="00E73F6F">
        <w:t>gehören</w:t>
      </w:r>
      <w:r w:rsidRPr="00E73F6F">
        <w:rPr>
          <w:spacing w:val="-6"/>
        </w:rPr>
        <w:t xml:space="preserve"> </w:t>
      </w:r>
      <w:r w:rsidRPr="00E73F6F">
        <w:t>Hygiene-Faktoren</w:t>
      </w:r>
      <w:r w:rsidRPr="00E73F6F">
        <w:rPr>
          <w:spacing w:val="-6"/>
        </w:rPr>
        <w:t xml:space="preserve"> </w:t>
      </w:r>
      <w:r w:rsidRPr="00E73F6F">
        <w:t>wie</w:t>
      </w:r>
      <w:r w:rsidRPr="00E73F6F">
        <w:rPr>
          <w:spacing w:val="-6"/>
        </w:rPr>
        <w:t xml:space="preserve"> </w:t>
      </w:r>
      <w:r w:rsidRPr="00E73F6F">
        <w:t>Gehalt,</w:t>
      </w:r>
      <w:r w:rsidRPr="00E73F6F">
        <w:rPr>
          <w:spacing w:val="-5"/>
        </w:rPr>
        <w:t xml:space="preserve"> </w:t>
      </w:r>
      <w:r w:rsidRPr="00E73F6F">
        <w:t>Boni,</w:t>
      </w:r>
      <w:r w:rsidRPr="00E73F6F">
        <w:rPr>
          <w:spacing w:val="-5"/>
        </w:rPr>
        <w:t xml:space="preserve"> </w:t>
      </w:r>
      <w:r w:rsidRPr="00E73F6F">
        <w:t>Beförderung oder</w:t>
      </w:r>
      <w:r w:rsidRPr="00E73F6F">
        <w:rPr>
          <w:spacing w:val="45"/>
        </w:rPr>
        <w:t xml:space="preserve"> </w:t>
      </w:r>
      <w:r w:rsidRPr="00E73F6F">
        <w:t>Aktienoptionen.</w:t>
      </w:r>
      <w:r w:rsidRPr="00E73F6F">
        <w:rPr>
          <w:spacing w:val="44"/>
        </w:rPr>
        <w:t xml:space="preserve"> </w:t>
      </w:r>
      <w:r w:rsidRPr="00E73F6F">
        <w:t>Daseinsorientierte</w:t>
      </w:r>
      <w:r w:rsidRPr="00E73F6F">
        <w:rPr>
          <w:spacing w:val="45"/>
        </w:rPr>
        <w:t xml:space="preserve"> </w:t>
      </w:r>
      <w:r w:rsidRPr="00E73F6F">
        <w:t>Kulturen</w:t>
      </w:r>
      <w:r w:rsidRPr="00E73F6F">
        <w:rPr>
          <w:spacing w:val="47"/>
        </w:rPr>
        <w:t xml:space="preserve"> </w:t>
      </w:r>
      <w:r w:rsidRPr="00E73F6F">
        <w:t>(„sein“)</w:t>
      </w:r>
      <w:r w:rsidRPr="00E73F6F">
        <w:rPr>
          <w:spacing w:val="45"/>
        </w:rPr>
        <w:t xml:space="preserve"> </w:t>
      </w:r>
      <w:r w:rsidRPr="00E73F6F">
        <w:t>leben</w:t>
      </w:r>
      <w:r w:rsidRPr="00E73F6F">
        <w:rPr>
          <w:spacing w:val="45"/>
        </w:rPr>
        <w:t xml:space="preserve"> </w:t>
      </w:r>
      <w:r w:rsidRPr="00E73F6F">
        <w:t>hingegen</w:t>
      </w:r>
      <w:r w:rsidRPr="00E73F6F">
        <w:rPr>
          <w:spacing w:val="47"/>
        </w:rPr>
        <w:t xml:space="preserve"> </w:t>
      </w:r>
      <w:r w:rsidRPr="00E73F6F">
        <w:rPr>
          <w:spacing w:val="-5"/>
        </w:rPr>
        <w:t xml:space="preserve">im </w:t>
      </w:r>
      <w:r w:rsidRPr="00E73F6F">
        <w:t>„Hier und Jetzt“. Ihre Grundthese</w:t>
      </w:r>
      <w:r w:rsidRPr="00E73F6F">
        <w:rPr>
          <w:spacing w:val="-2"/>
        </w:rPr>
        <w:t xml:space="preserve"> </w:t>
      </w:r>
      <w:r w:rsidRPr="00E73F6F">
        <w:t>lautet: Entscheidungen und Maßnahmen lassen sich nur bis zu einem gewissen Grad planen und objektiv bewerten, da sie von vielen exogenen bzw. zufälligen Faktoren abhängen. Anders als die Handlungsorientierten</w:t>
      </w:r>
      <w:r w:rsidRPr="00E73F6F">
        <w:rPr>
          <w:spacing w:val="10"/>
        </w:rPr>
        <w:t xml:space="preserve"> </w:t>
      </w:r>
      <w:r w:rsidRPr="00E73F6F">
        <w:t>streben</w:t>
      </w:r>
      <w:r w:rsidRPr="00E73F6F">
        <w:rPr>
          <w:spacing w:val="11"/>
        </w:rPr>
        <w:t xml:space="preserve"> </w:t>
      </w:r>
      <w:r w:rsidRPr="00E73F6F">
        <w:t>die</w:t>
      </w:r>
      <w:r w:rsidRPr="00E73F6F">
        <w:rPr>
          <w:spacing w:val="12"/>
        </w:rPr>
        <w:t xml:space="preserve"> </w:t>
      </w:r>
      <w:r w:rsidRPr="00E73F6F">
        <w:t>Daseinsorientierten</w:t>
      </w:r>
      <w:r w:rsidRPr="00E73F6F">
        <w:rPr>
          <w:spacing w:val="13"/>
        </w:rPr>
        <w:t xml:space="preserve"> </w:t>
      </w:r>
      <w:r w:rsidRPr="00E73F6F">
        <w:t>auch</w:t>
      </w:r>
      <w:r w:rsidRPr="00E73F6F">
        <w:rPr>
          <w:spacing w:val="13"/>
        </w:rPr>
        <w:t xml:space="preserve"> </w:t>
      </w:r>
      <w:r w:rsidRPr="00E73F6F">
        <w:t>nicht</w:t>
      </w:r>
      <w:r w:rsidRPr="00E73F6F">
        <w:rPr>
          <w:spacing w:val="10"/>
        </w:rPr>
        <w:t xml:space="preserve"> </w:t>
      </w:r>
      <w:r w:rsidRPr="00E73F6F">
        <w:t>primär</w:t>
      </w:r>
      <w:r w:rsidRPr="00E73F6F">
        <w:rPr>
          <w:spacing w:val="12"/>
        </w:rPr>
        <w:t xml:space="preserve"> </w:t>
      </w:r>
      <w:r w:rsidRPr="00E73F6F">
        <w:rPr>
          <w:spacing w:val="-2"/>
        </w:rPr>
        <w:t xml:space="preserve">danach, </w:t>
      </w:r>
      <w:r w:rsidRPr="00E73F6F">
        <w:t>„viel zu erreichen“, sondern „viel zu erleben“. Da ihrer Auffassung zufolge detaillierte Planung, Zielvorgaben, Soll-/Ist-Vergleiche sowie umfassende Berichts- und Kontrollsysteme häufig nicht realisierbar sind bzw. oft revidiert werden müssen,</w:t>
      </w:r>
      <w:r w:rsidRPr="00E73F6F">
        <w:rPr>
          <w:spacing w:val="-3"/>
        </w:rPr>
        <w:t xml:space="preserve"> </w:t>
      </w:r>
      <w:r w:rsidRPr="00E73F6F">
        <w:t>behindern</w:t>
      </w:r>
      <w:r w:rsidRPr="00E73F6F">
        <w:rPr>
          <w:spacing w:val="-2"/>
        </w:rPr>
        <w:t xml:space="preserve"> </w:t>
      </w:r>
      <w:r w:rsidRPr="00E73F6F">
        <w:t>diese Instrumente</w:t>
      </w:r>
      <w:r w:rsidRPr="00E73F6F">
        <w:rPr>
          <w:spacing w:val="-3"/>
        </w:rPr>
        <w:t xml:space="preserve"> </w:t>
      </w:r>
      <w:r w:rsidRPr="00E73F6F">
        <w:t>die</w:t>
      </w:r>
      <w:r w:rsidRPr="00E73F6F">
        <w:rPr>
          <w:spacing w:val="-1"/>
        </w:rPr>
        <w:t xml:space="preserve"> </w:t>
      </w:r>
      <w:r w:rsidRPr="00E73F6F">
        <w:t>tägliche</w:t>
      </w:r>
      <w:r w:rsidRPr="00E73F6F">
        <w:rPr>
          <w:spacing w:val="-1"/>
        </w:rPr>
        <w:t xml:space="preserve"> </w:t>
      </w:r>
      <w:r w:rsidRPr="00E73F6F">
        <w:t>Arbeit eher, als</w:t>
      </w:r>
      <w:r w:rsidRPr="00E73F6F">
        <w:rPr>
          <w:spacing w:val="-1"/>
        </w:rPr>
        <w:t xml:space="preserve"> </w:t>
      </w:r>
      <w:r w:rsidRPr="00E73F6F">
        <w:t>dass</w:t>
      </w:r>
      <w:r w:rsidRPr="00E73F6F">
        <w:rPr>
          <w:spacing w:val="-2"/>
        </w:rPr>
        <w:t xml:space="preserve"> </w:t>
      </w:r>
      <w:r w:rsidRPr="00E73F6F">
        <w:t>sie Erleichterung verschaffen (vgl. Kutschker/Schmid 2011, S.709f.).</w:t>
      </w:r>
    </w:p>
    <w:p w14:paraId="0E28ECB9" w14:textId="77777777" w:rsidR="00FF7799" w:rsidRPr="00E73F6F" w:rsidRDefault="00FF7799" w:rsidP="00BA06F6">
      <w:pPr>
        <w:pStyle w:val="StandardText"/>
      </w:pPr>
    </w:p>
    <w:p w14:paraId="530E344C" w14:textId="77777777" w:rsidR="00FF7799" w:rsidRPr="00420B47" w:rsidRDefault="00FF7799" w:rsidP="00BA06F6">
      <w:pPr>
        <w:pStyle w:val="StandardTextkursiv"/>
        <w:rPr>
          <w:i w:val="0"/>
        </w:rPr>
      </w:pPr>
      <w:r w:rsidRPr="00420B47">
        <w:rPr>
          <w:i w:val="0"/>
        </w:rPr>
        <w:t>6 Kritische</w:t>
      </w:r>
      <w:r w:rsidRPr="00420B47">
        <w:rPr>
          <w:i w:val="0"/>
          <w:spacing w:val="-3"/>
        </w:rPr>
        <w:t xml:space="preserve"> </w:t>
      </w:r>
      <w:r w:rsidRPr="00420B47">
        <w:rPr>
          <w:i w:val="0"/>
          <w:spacing w:val="-2"/>
        </w:rPr>
        <w:t>Würdigung</w:t>
      </w:r>
    </w:p>
    <w:p w14:paraId="62F91F33" w14:textId="77777777" w:rsidR="00FF7799" w:rsidRPr="00E73F6F" w:rsidRDefault="00FF7799" w:rsidP="00BA06F6">
      <w:pPr>
        <w:pStyle w:val="StandardText"/>
      </w:pPr>
      <w:r w:rsidRPr="00E73F6F">
        <w:t>Die</w:t>
      </w:r>
      <w:r w:rsidRPr="00E73F6F">
        <w:rPr>
          <w:spacing w:val="-6"/>
        </w:rPr>
        <w:t xml:space="preserve"> </w:t>
      </w:r>
      <w:r w:rsidRPr="00E73F6F">
        <w:t>empirische</w:t>
      </w:r>
      <w:r w:rsidRPr="00E73F6F">
        <w:rPr>
          <w:spacing w:val="-6"/>
        </w:rPr>
        <w:t xml:space="preserve"> </w:t>
      </w:r>
      <w:r w:rsidRPr="00E73F6F">
        <w:t>Basis</w:t>
      </w:r>
      <w:r w:rsidRPr="00E73F6F">
        <w:rPr>
          <w:spacing w:val="-6"/>
        </w:rPr>
        <w:t xml:space="preserve"> </w:t>
      </w:r>
      <w:r w:rsidRPr="00E73F6F">
        <w:t>dieser</w:t>
      </w:r>
      <w:r w:rsidRPr="00E73F6F">
        <w:rPr>
          <w:spacing w:val="-5"/>
        </w:rPr>
        <w:t xml:space="preserve"> </w:t>
      </w:r>
      <w:r w:rsidRPr="00E73F6F">
        <w:t>anthropologischen</w:t>
      </w:r>
      <w:r w:rsidRPr="00E73F6F">
        <w:rPr>
          <w:spacing w:val="-7"/>
        </w:rPr>
        <w:t xml:space="preserve"> </w:t>
      </w:r>
      <w:r w:rsidRPr="00E73F6F">
        <w:t>Studie</w:t>
      </w:r>
      <w:r w:rsidRPr="00E73F6F">
        <w:rPr>
          <w:spacing w:val="-6"/>
        </w:rPr>
        <w:t xml:space="preserve"> </w:t>
      </w:r>
      <w:r w:rsidRPr="00E73F6F">
        <w:t>ist</w:t>
      </w:r>
      <w:r w:rsidRPr="00E73F6F">
        <w:rPr>
          <w:spacing w:val="-7"/>
        </w:rPr>
        <w:t xml:space="preserve"> </w:t>
      </w:r>
      <w:r w:rsidRPr="00E73F6F">
        <w:t>schmal.</w:t>
      </w:r>
      <w:r w:rsidRPr="00E73F6F">
        <w:rPr>
          <w:spacing w:val="-5"/>
        </w:rPr>
        <w:t xml:space="preserve"> </w:t>
      </w:r>
      <w:r w:rsidRPr="00E73F6F">
        <w:t>Damit</w:t>
      </w:r>
      <w:r w:rsidRPr="00E73F6F">
        <w:rPr>
          <w:spacing w:val="-5"/>
        </w:rPr>
        <w:t xml:space="preserve"> </w:t>
      </w:r>
      <w:r w:rsidRPr="00E73F6F">
        <w:t>stellt</w:t>
      </w:r>
      <w:r w:rsidRPr="00E73F6F">
        <w:rPr>
          <w:spacing w:val="-5"/>
        </w:rPr>
        <w:t xml:space="preserve"> </w:t>
      </w:r>
      <w:r w:rsidRPr="00E73F6F">
        <w:t>sich die Frage nach der Generalisierbarkeit der Befunde: Welche Schlussfolgerungen können aus</w:t>
      </w:r>
      <w:r w:rsidRPr="00E73F6F">
        <w:rPr>
          <w:spacing w:val="-1"/>
        </w:rPr>
        <w:t xml:space="preserve"> </w:t>
      </w:r>
      <w:r w:rsidRPr="00E73F6F">
        <w:t>der Befragung von Angehörigen von</w:t>
      </w:r>
      <w:r w:rsidRPr="00E73F6F">
        <w:rPr>
          <w:spacing w:val="-2"/>
        </w:rPr>
        <w:t xml:space="preserve"> </w:t>
      </w:r>
      <w:r w:rsidRPr="00E73F6F">
        <w:t xml:space="preserve">„Eingeborenen-Gemeinschaften der Rimrocks im Südwesten der USA“ (Kutschker/Schmid 2011, S.704) für das Verhalten von Managern, Konsumenten etc. in hochentwickelten Industrienationen gezogen werden? Unstrittig aber ist, dass </w:t>
      </w:r>
      <w:r w:rsidRPr="00E73F6F">
        <w:rPr>
          <w:i/>
        </w:rPr>
        <w:t xml:space="preserve">Kluckhohn &amp; Strodtbeck </w:t>
      </w:r>
      <w:r w:rsidRPr="00E73F6F">
        <w:t>Pionierarbeit geleistet und frühzeitig die grundsätzliche Bedeutung kultureller Orientierungen für das Verhalten aufgezeigt haben.</w:t>
      </w:r>
    </w:p>
    <w:p w14:paraId="0A2ECE55" w14:textId="77777777" w:rsidR="00FF7799" w:rsidRPr="00420B47" w:rsidRDefault="00FF7799" w:rsidP="00BA06F6">
      <w:pPr>
        <w:pStyle w:val="StandardText"/>
        <w:rPr>
          <w:sz w:val="22"/>
          <w:szCs w:val="22"/>
        </w:rPr>
      </w:pPr>
      <w:r w:rsidRPr="00420B47">
        <w:rPr>
          <w:b/>
          <w:i/>
          <w:sz w:val="22"/>
          <w:szCs w:val="22"/>
          <w:lang w:val="en-US"/>
        </w:rPr>
        <w:t>Literatur:</w:t>
      </w:r>
      <w:r w:rsidRPr="00420B47">
        <w:rPr>
          <w:b/>
          <w:sz w:val="22"/>
          <w:szCs w:val="22"/>
          <w:lang w:val="en-US"/>
        </w:rPr>
        <w:t xml:space="preserve"> </w:t>
      </w:r>
      <w:r w:rsidRPr="00420B47">
        <w:rPr>
          <w:sz w:val="22"/>
          <w:szCs w:val="22"/>
          <w:lang w:val="en-US"/>
        </w:rPr>
        <w:t>Adler, N.J.; with Gundersen, A. (2008): International Dimensions of</w:t>
      </w:r>
      <w:r w:rsidRPr="00420B47">
        <w:rPr>
          <w:spacing w:val="40"/>
          <w:sz w:val="22"/>
          <w:szCs w:val="22"/>
          <w:lang w:val="en-US"/>
        </w:rPr>
        <w:t xml:space="preserve"> </w:t>
      </w:r>
      <w:r w:rsidRPr="00420B47">
        <w:rPr>
          <w:sz w:val="22"/>
          <w:szCs w:val="22"/>
          <w:lang w:val="en-US"/>
        </w:rPr>
        <w:t>Organizational Behavior, 5th Ed., Mason/OH: Thomson South-Western.</w:t>
      </w:r>
      <w:r w:rsidRPr="00420B47">
        <w:rPr>
          <w:spacing w:val="40"/>
          <w:sz w:val="22"/>
          <w:szCs w:val="22"/>
          <w:lang w:val="en-US"/>
        </w:rPr>
        <w:t xml:space="preserve"> </w:t>
      </w:r>
      <w:r w:rsidRPr="00420B47">
        <w:rPr>
          <w:sz w:val="22"/>
          <w:szCs w:val="22"/>
          <w:lang w:val="en-US"/>
        </w:rPr>
        <w:t>Evan, W. (1974):</w:t>
      </w:r>
      <w:r w:rsidRPr="00420B47">
        <w:rPr>
          <w:spacing w:val="40"/>
          <w:sz w:val="22"/>
          <w:szCs w:val="22"/>
          <w:lang w:val="en-US"/>
        </w:rPr>
        <w:t xml:space="preserve"> </w:t>
      </w:r>
      <w:r w:rsidRPr="00420B47">
        <w:rPr>
          <w:sz w:val="22"/>
          <w:szCs w:val="22"/>
          <w:lang w:val="en-US"/>
        </w:rPr>
        <w:t>Culture</w:t>
      </w:r>
      <w:r w:rsidRPr="00420B47">
        <w:rPr>
          <w:spacing w:val="-1"/>
          <w:sz w:val="22"/>
          <w:szCs w:val="22"/>
          <w:lang w:val="en-US"/>
        </w:rPr>
        <w:t xml:space="preserve"> </w:t>
      </w:r>
      <w:r w:rsidRPr="00420B47">
        <w:rPr>
          <w:sz w:val="22"/>
          <w:szCs w:val="22"/>
          <w:lang w:val="en-US"/>
        </w:rPr>
        <w:t>and Organizational Systems, Quarterly Journal of</w:t>
      </w:r>
      <w:r w:rsidRPr="00420B47">
        <w:rPr>
          <w:spacing w:val="-2"/>
          <w:sz w:val="22"/>
          <w:szCs w:val="22"/>
          <w:lang w:val="en-US"/>
        </w:rPr>
        <w:t xml:space="preserve"> </w:t>
      </w:r>
      <w:r w:rsidRPr="00420B47">
        <w:rPr>
          <w:sz w:val="22"/>
          <w:szCs w:val="22"/>
          <w:lang w:val="en-US"/>
        </w:rPr>
        <w:t>Management Development, 5(4):</w:t>
      </w:r>
      <w:r w:rsidRPr="00420B47">
        <w:rPr>
          <w:spacing w:val="40"/>
          <w:sz w:val="22"/>
          <w:szCs w:val="22"/>
          <w:lang w:val="en-US"/>
        </w:rPr>
        <w:t xml:space="preserve"> </w:t>
      </w:r>
      <w:r w:rsidRPr="00420B47">
        <w:rPr>
          <w:sz w:val="22"/>
          <w:szCs w:val="22"/>
          <w:lang w:val="en-US"/>
        </w:rPr>
        <w:t>1-16.</w:t>
      </w:r>
      <w:r w:rsidRPr="00420B47">
        <w:rPr>
          <w:spacing w:val="40"/>
          <w:sz w:val="22"/>
          <w:szCs w:val="22"/>
          <w:lang w:val="en-US"/>
        </w:rPr>
        <w:t xml:space="preserve"> </w:t>
      </w:r>
      <w:r w:rsidRPr="00420B47">
        <w:rPr>
          <w:sz w:val="22"/>
          <w:szCs w:val="22"/>
          <w:lang w:val="en-US"/>
        </w:rPr>
        <w:t>Kluckhohn, F.R.; Strodtbeck, F.L. (1961): Variations in Value Orientations,</w:t>
      </w:r>
      <w:r w:rsidRPr="00420B47">
        <w:rPr>
          <w:spacing w:val="40"/>
          <w:sz w:val="22"/>
          <w:szCs w:val="22"/>
          <w:lang w:val="en-US"/>
        </w:rPr>
        <w:t xml:space="preserve"> </w:t>
      </w:r>
      <w:r w:rsidRPr="00420B47">
        <w:rPr>
          <w:sz w:val="22"/>
          <w:szCs w:val="22"/>
          <w:lang w:val="en-US"/>
        </w:rPr>
        <w:t>Evanston/IL: Row, Peterson.</w:t>
      </w:r>
      <w:r w:rsidRPr="00420B47">
        <w:rPr>
          <w:spacing w:val="40"/>
          <w:sz w:val="22"/>
          <w:szCs w:val="22"/>
          <w:lang w:val="en-US"/>
        </w:rPr>
        <w:t xml:space="preserve"> </w:t>
      </w:r>
      <w:r w:rsidRPr="00420B47">
        <w:rPr>
          <w:sz w:val="22"/>
          <w:szCs w:val="22"/>
        </w:rPr>
        <w:t>Kutschker, M.; Schmid, S. (2011): Internationales</w:t>
      </w:r>
      <w:r w:rsidRPr="00420B47">
        <w:rPr>
          <w:spacing w:val="40"/>
          <w:sz w:val="22"/>
          <w:szCs w:val="22"/>
        </w:rPr>
        <w:t xml:space="preserve"> </w:t>
      </w:r>
      <w:r w:rsidRPr="00420B47">
        <w:rPr>
          <w:sz w:val="22"/>
          <w:szCs w:val="22"/>
        </w:rPr>
        <w:t>Management,</w:t>
      </w:r>
      <w:r w:rsidRPr="00420B47">
        <w:rPr>
          <w:spacing w:val="-7"/>
          <w:sz w:val="22"/>
          <w:szCs w:val="22"/>
        </w:rPr>
        <w:t xml:space="preserve"> </w:t>
      </w:r>
      <w:r w:rsidRPr="00420B47">
        <w:rPr>
          <w:sz w:val="22"/>
          <w:szCs w:val="22"/>
        </w:rPr>
        <w:t>7.Aufl.,</w:t>
      </w:r>
      <w:r w:rsidRPr="00420B47">
        <w:rPr>
          <w:spacing w:val="-7"/>
          <w:sz w:val="22"/>
          <w:szCs w:val="22"/>
        </w:rPr>
        <w:t xml:space="preserve"> </w:t>
      </w:r>
      <w:r w:rsidRPr="00420B47">
        <w:rPr>
          <w:sz w:val="22"/>
          <w:szCs w:val="22"/>
        </w:rPr>
        <w:t>München:</w:t>
      </w:r>
      <w:r w:rsidRPr="00420B47">
        <w:rPr>
          <w:spacing w:val="-7"/>
          <w:sz w:val="22"/>
          <w:szCs w:val="22"/>
        </w:rPr>
        <w:t xml:space="preserve"> </w:t>
      </w:r>
      <w:r w:rsidRPr="00420B47">
        <w:rPr>
          <w:sz w:val="22"/>
          <w:szCs w:val="22"/>
        </w:rPr>
        <w:t>Oldenbourg.</w:t>
      </w:r>
      <w:r w:rsidRPr="00420B47">
        <w:rPr>
          <w:spacing w:val="40"/>
          <w:sz w:val="22"/>
          <w:szCs w:val="22"/>
        </w:rPr>
        <w:t xml:space="preserve"> </w:t>
      </w:r>
      <w:r w:rsidRPr="00420B47">
        <w:rPr>
          <w:sz w:val="22"/>
          <w:szCs w:val="22"/>
        </w:rPr>
        <w:t>Trompenaars,</w:t>
      </w:r>
      <w:r w:rsidRPr="00420B47">
        <w:rPr>
          <w:spacing w:val="-5"/>
          <w:sz w:val="22"/>
          <w:szCs w:val="22"/>
        </w:rPr>
        <w:t xml:space="preserve"> </w:t>
      </w:r>
      <w:r w:rsidRPr="00420B47">
        <w:rPr>
          <w:sz w:val="22"/>
          <w:szCs w:val="22"/>
        </w:rPr>
        <w:t>F.</w:t>
      </w:r>
      <w:r w:rsidRPr="00420B47">
        <w:rPr>
          <w:spacing w:val="-4"/>
          <w:sz w:val="22"/>
          <w:szCs w:val="22"/>
        </w:rPr>
        <w:t xml:space="preserve"> </w:t>
      </w:r>
      <w:r w:rsidRPr="00420B47">
        <w:rPr>
          <w:sz w:val="22"/>
          <w:szCs w:val="22"/>
        </w:rPr>
        <w:t>(1993):</w:t>
      </w:r>
      <w:r w:rsidRPr="00420B47">
        <w:rPr>
          <w:spacing w:val="-4"/>
          <w:sz w:val="22"/>
          <w:szCs w:val="22"/>
        </w:rPr>
        <w:t xml:space="preserve"> </w:t>
      </w:r>
      <w:r w:rsidRPr="00420B47">
        <w:rPr>
          <w:sz w:val="22"/>
          <w:szCs w:val="22"/>
        </w:rPr>
        <w:t>Handbuch</w:t>
      </w:r>
      <w:r w:rsidRPr="00420B47">
        <w:rPr>
          <w:spacing w:val="-7"/>
          <w:sz w:val="22"/>
          <w:szCs w:val="22"/>
        </w:rPr>
        <w:t xml:space="preserve"> </w:t>
      </w:r>
      <w:r w:rsidRPr="00420B47">
        <w:rPr>
          <w:sz w:val="22"/>
          <w:szCs w:val="22"/>
        </w:rPr>
        <w:t>globales</w:t>
      </w:r>
      <w:r w:rsidRPr="00420B47">
        <w:rPr>
          <w:spacing w:val="40"/>
          <w:sz w:val="22"/>
          <w:szCs w:val="22"/>
        </w:rPr>
        <w:t xml:space="preserve"> </w:t>
      </w:r>
      <w:r w:rsidRPr="00420B47">
        <w:rPr>
          <w:sz w:val="22"/>
          <w:szCs w:val="22"/>
        </w:rPr>
        <w:t>managen: Wie man kulturelle Unterschiede im Geschäftsleben versteht, Düsseldorf: Econ.</w:t>
      </w:r>
    </w:p>
    <w:p w14:paraId="40AE4E72" w14:textId="77777777" w:rsidR="00FF7799" w:rsidRPr="00E73F6F" w:rsidRDefault="00FF7799" w:rsidP="00BA06F6">
      <w:pPr>
        <w:pStyle w:val="StandardText"/>
      </w:pPr>
    </w:p>
    <w:p w14:paraId="7A0454C3" w14:textId="77777777" w:rsidR="00FF7799" w:rsidRPr="00E73F6F" w:rsidRDefault="00FF7799" w:rsidP="00470242">
      <w:pPr>
        <w:pStyle w:val="berschrift1"/>
      </w:pPr>
      <w:r w:rsidRPr="00510E20">
        <w:rPr>
          <w:color w:val="2E74B5"/>
        </w:rPr>
        <w:t>Orientierungen, kulturelle</w:t>
      </w:r>
      <w:r w:rsidRPr="00E73F6F">
        <w:tab/>
        <w:t xml:space="preserve"> </w:t>
      </w:r>
      <w:r w:rsidRPr="00E73F6F">
        <w:rPr>
          <w:b w:val="0"/>
          <w:spacing w:val="-10"/>
        </w:rPr>
        <w:t>→</w:t>
      </w:r>
      <w:r w:rsidRPr="00E73F6F">
        <w:rPr>
          <w:b w:val="0"/>
        </w:rPr>
        <w:t xml:space="preserve"> Fundamentale Orientierungen</w:t>
      </w:r>
      <w:r w:rsidRPr="00E73F6F">
        <w:t xml:space="preserve"> </w:t>
      </w:r>
    </w:p>
    <w:p w14:paraId="1334A585" w14:textId="77777777" w:rsidR="00FF7799" w:rsidRPr="00E73F6F" w:rsidRDefault="00FF7799" w:rsidP="00470242">
      <w:pPr>
        <w:pStyle w:val="berschrift1"/>
        <w:rPr>
          <w:spacing w:val="-2"/>
        </w:rPr>
      </w:pPr>
      <w:r w:rsidRPr="00510E20">
        <w:rPr>
          <w:color w:val="2E74B5"/>
        </w:rPr>
        <w:lastRenderedPageBreak/>
        <w:t>Out of Africa-Hypothese</w:t>
      </w:r>
      <w:r w:rsidRPr="00E73F6F">
        <w:rPr>
          <w:spacing w:val="-4"/>
        </w:rPr>
        <w:t xml:space="preserve"> </w:t>
      </w:r>
      <w:r w:rsidRPr="00E73F6F">
        <w:rPr>
          <w:b w:val="0"/>
        </w:rPr>
        <w:t>→</w:t>
      </w:r>
      <w:r w:rsidRPr="00E73F6F">
        <w:rPr>
          <w:b w:val="0"/>
          <w:spacing w:val="-3"/>
        </w:rPr>
        <w:t xml:space="preserve"> </w:t>
      </w:r>
      <w:r w:rsidRPr="00E73F6F">
        <w:rPr>
          <w:b w:val="0"/>
        </w:rPr>
        <w:t>Determinismus,</w:t>
      </w:r>
      <w:r w:rsidRPr="00E73F6F">
        <w:rPr>
          <w:b w:val="0"/>
          <w:spacing w:val="-2"/>
        </w:rPr>
        <w:t xml:space="preserve"> genetischer</w:t>
      </w:r>
    </w:p>
    <w:p w14:paraId="65BE8959" w14:textId="77777777" w:rsidR="00FF7799" w:rsidRPr="00510E20" w:rsidRDefault="00FF7799" w:rsidP="00470242">
      <w:pPr>
        <w:pStyle w:val="berschrift1"/>
        <w:rPr>
          <w:color w:val="2E74B5"/>
        </w:rPr>
      </w:pPr>
      <w:r w:rsidRPr="00510E20">
        <w:rPr>
          <w:color w:val="2E74B5"/>
        </w:rPr>
        <w:t xml:space="preserve">Paradies-Mythos </w:t>
      </w:r>
    </w:p>
    <w:p w14:paraId="59A817B6" w14:textId="77777777" w:rsidR="00FF7799" w:rsidRDefault="00FF7799" w:rsidP="00EB5A06">
      <w:pPr>
        <w:pStyle w:val="StandardText"/>
      </w:pPr>
      <w:r w:rsidRPr="00E73F6F">
        <w:t>ein universeller Schöpfungsmythos. Das Paradies ist ein Zustand, in dem die Menschen in Harmonie mit einer göttlichen Instanz und der von dieser geschaffenen Natur lebten. Zur „Vertreibung aus dem Paradies“ kam es, weil die Menschen ein Tabu brachen.</w:t>
      </w:r>
    </w:p>
    <w:p w14:paraId="20A28F0A" w14:textId="77777777" w:rsidR="00FF7799" w:rsidRPr="00420B47" w:rsidRDefault="00FF7799" w:rsidP="00EB5A06">
      <w:pPr>
        <w:pStyle w:val="StandardText"/>
        <w:rPr>
          <w:sz w:val="22"/>
          <w:szCs w:val="22"/>
        </w:rPr>
      </w:pPr>
      <w:r w:rsidRPr="00420B47">
        <w:rPr>
          <w:b/>
          <w:i/>
          <w:sz w:val="22"/>
          <w:szCs w:val="22"/>
        </w:rPr>
        <w:t>Literatur</w:t>
      </w:r>
      <w:r w:rsidRPr="00420B47">
        <w:rPr>
          <w:i/>
          <w:sz w:val="22"/>
          <w:szCs w:val="22"/>
        </w:rPr>
        <w:t>:</w:t>
      </w:r>
      <w:r w:rsidRPr="00420B47">
        <w:rPr>
          <w:sz w:val="22"/>
          <w:szCs w:val="22"/>
        </w:rPr>
        <w:t xml:space="preserve"> Steinwede, D.; Först, D. (Hrsg.) (2004): Die Schöpfungsmythen der Menschheit, Düsseldorf: Patmos.</w:t>
      </w:r>
    </w:p>
    <w:p w14:paraId="61AFD2EF" w14:textId="77777777" w:rsidR="00FF7799" w:rsidRPr="00510E20" w:rsidRDefault="00FF7799" w:rsidP="00862DBA">
      <w:pPr>
        <w:pStyle w:val="berschrift1"/>
        <w:rPr>
          <w:color w:val="2E74B5"/>
        </w:rPr>
      </w:pPr>
      <w:r w:rsidRPr="00510E20">
        <w:rPr>
          <w:color w:val="2E74B5"/>
        </w:rPr>
        <w:t>Paradigma</w:t>
      </w:r>
    </w:p>
    <w:p w14:paraId="313C00BA" w14:textId="77777777" w:rsidR="00FF7799" w:rsidRPr="00E73F6F" w:rsidRDefault="00FF7799" w:rsidP="00862DBA">
      <w:pPr>
        <w:spacing w:before="185"/>
        <w:jc w:val="both"/>
        <w:rPr>
          <w:sz w:val="24"/>
          <w:szCs w:val="24"/>
        </w:rPr>
      </w:pPr>
      <w:r w:rsidRPr="00E73F6F">
        <w:rPr>
          <w:sz w:val="24"/>
          <w:szCs w:val="24"/>
        </w:rPr>
        <w:t>von der Fachwelt als State-of-the-Art anerkannte Gesamtheit fachspezifischer Theorien, Methoden und Befunde, welche den aktuellen Erkenntnisstand am besten wiedergeben</w:t>
      </w:r>
    </w:p>
    <w:p w14:paraId="65F4BA9B" w14:textId="77777777" w:rsidR="00FF7799" w:rsidRPr="00E73F6F" w:rsidRDefault="00FF7799" w:rsidP="00320ED2">
      <w:pPr>
        <w:pStyle w:val="berschrift1"/>
      </w:pPr>
      <w:r w:rsidRPr="00510E20">
        <w:rPr>
          <w:color w:val="2E74B5"/>
        </w:rPr>
        <w:t>Parallelgeschäft</w:t>
      </w:r>
      <w:r w:rsidRPr="00E73F6F">
        <w:rPr>
          <w:spacing w:val="-14"/>
        </w:rPr>
        <w:t xml:space="preserve"> </w:t>
      </w:r>
      <w:r w:rsidRPr="00E73F6F">
        <w:rPr>
          <w:b w:val="0"/>
        </w:rPr>
        <w:t>→</w:t>
      </w:r>
      <w:r w:rsidRPr="00E73F6F">
        <w:rPr>
          <w:b w:val="0"/>
          <w:spacing w:val="-7"/>
        </w:rPr>
        <w:t xml:space="preserve"> </w:t>
      </w:r>
      <w:r w:rsidRPr="00E73F6F">
        <w:rPr>
          <w:b w:val="0"/>
        </w:rPr>
        <w:t>Kompensationsgeschäft</w:t>
      </w:r>
    </w:p>
    <w:p w14:paraId="78A7C0BE" w14:textId="77777777" w:rsidR="00FF7799" w:rsidRPr="00510E20" w:rsidRDefault="00FF7799" w:rsidP="00320ED2">
      <w:pPr>
        <w:pStyle w:val="berschrift1"/>
        <w:rPr>
          <w:color w:val="2E74B5"/>
        </w:rPr>
      </w:pPr>
      <w:r w:rsidRPr="00510E20">
        <w:rPr>
          <w:color w:val="2E74B5"/>
        </w:rPr>
        <w:t>Parallelgesellschaft</w:t>
      </w:r>
    </w:p>
    <w:p w14:paraId="569A4391" w14:textId="77777777" w:rsidR="00FF7799" w:rsidRPr="00E73F6F" w:rsidRDefault="00FF7799" w:rsidP="00EB5A06">
      <w:pPr>
        <w:pStyle w:val="StandardText"/>
      </w:pPr>
      <w:r w:rsidRPr="00E73F6F">
        <w:t xml:space="preserve">entstehen zumeist dann, wenn Zuwanderer nicht danach streben, sich in die bestehende </w:t>
      </w:r>
      <w:r w:rsidRPr="00E73F6F">
        <w:rPr>
          <w:rFonts w:ascii="Cambria Math" w:hAnsi="Cambria Math" w:cs="Cambria Math"/>
        </w:rPr>
        <w:t>⇒</w:t>
      </w:r>
      <w:r w:rsidRPr="00E73F6F">
        <w:t xml:space="preserve"> Gesellschaft zu integrieren, sondern ihre eigenen Normen, Tabus und Werte befolgen. Mehr noch: Die Parallelgesellschaft schottet sich von der (Haupt-)Gesellschaft</w:t>
      </w:r>
      <w:r w:rsidRPr="00E73F6F">
        <w:rPr>
          <w:spacing w:val="-12"/>
        </w:rPr>
        <w:t xml:space="preserve"> </w:t>
      </w:r>
      <w:r w:rsidRPr="00E73F6F">
        <w:t>ab.</w:t>
      </w:r>
      <w:r w:rsidRPr="00E73F6F">
        <w:rPr>
          <w:spacing w:val="-9"/>
        </w:rPr>
        <w:t xml:space="preserve"> </w:t>
      </w:r>
      <w:r w:rsidRPr="00E73F6F">
        <w:t>In</w:t>
      </w:r>
      <w:r w:rsidRPr="00E73F6F">
        <w:rPr>
          <w:spacing w:val="-10"/>
        </w:rPr>
        <w:t xml:space="preserve"> </w:t>
      </w:r>
      <w:r w:rsidRPr="00E73F6F">
        <w:t>dem</w:t>
      </w:r>
      <w:r w:rsidRPr="00E73F6F">
        <w:rPr>
          <w:spacing w:val="-12"/>
        </w:rPr>
        <w:t xml:space="preserve"> </w:t>
      </w:r>
      <w:r w:rsidRPr="00E73F6F">
        <w:t>Maße,</w:t>
      </w:r>
      <w:r w:rsidRPr="00E73F6F">
        <w:rPr>
          <w:spacing w:val="-10"/>
        </w:rPr>
        <w:t xml:space="preserve"> </w:t>
      </w:r>
      <w:r w:rsidRPr="00E73F6F">
        <w:t>wie</w:t>
      </w:r>
      <w:r w:rsidRPr="00E73F6F">
        <w:rPr>
          <w:spacing w:val="-11"/>
        </w:rPr>
        <w:t xml:space="preserve"> </w:t>
      </w:r>
      <w:r w:rsidRPr="00E73F6F">
        <w:t>sie</w:t>
      </w:r>
      <w:r w:rsidRPr="00E73F6F">
        <w:rPr>
          <w:spacing w:val="-11"/>
        </w:rPr>
        <w:t xml:space="preserve"> </w:t>
      </w:r>
      <w:r w:rsidRPr="00E73F6F">
        <w:t>zahlenmäßig</w:t>
      </w:r>
      <w:r w:rsidRPr="00E73F6F">
        <w:rPr>
          <w:spacing w:val="-7"/>
        </w:rPr>
        <w:t xml:space="preserve"> </w:t>
      </w:r>
      <w:r w:rsidRPr="00E73F6F">
        <w:t>und</w:t>
      </w:r>
      <w:r w:rsidRPr="00E73F6F">
        <w:rPr>
          <w:spacing w:val="-11"/>
        </w:rPr>
        <w:t xml:space="preserve"> </w:t>
      </w:r>
      <w:r w:rsidRPr="00E73F6F">
        <w:t>ökonomisch</w:t>
      </w:r>
      <w:r w:rsidRPr="00E73F6F">
        <w:rPr>
          <w:spacing w:val="-9"/>
        </w:rPr>
        <w:t xml:space="preserve"> </w:t>
      </w:r>
      <w:r w:rsidRPr="00E73F6F">
        <w:t>stark genug</w:t>
      </w:r>
      <w:r w:rsidRPr="00E73F6F">
        <w:rPr>
          <w:spacing w:val="-6"/>
        </w:rPr>
        <w:t xml:space="preserve"> </w:t>
      </w:r>
      <w:r w:rsidRPr="00E73F6F">
        <w:t>ist,</w:t>
      </w:r>
      <w:r w:rsidRPr="00E73F6F">
        <w:rPr>
          <w:spacing w:val="-7"/>
        </w:rPr>
        <w:t xml:space="preserve"> </w:t>
      </w:r>
      <w:r w:rsidRPr="00E73F6F">
        <w:t>beginnt</w:t>
      </w:r>
      <w:r w:rsidRPr="00E73F6F">
        <w:rPr>
          <w:spacing w:val="-5"/>
        </w:rPr>
        <w:t xml:space="preserve"> </w:t>
      </w:r>
      <w:r w:rsidRPr="00E73F6F">
        <w:t>sich</w:t>
      </w:r>
      <w:r w:rsidRPr="00E73F6F">
        <w:rPr>
          <w:spacing w:val="-9"/>
        </w:rPr>
        <w:t xml:space="preserve"> </w:t>
      </w:r>
      <w:r w:rsidRPr="00E73F6F">
        <w:t>der</w:t>
      </w:r>
      <w:r w:rsidRPr="00E73F6F">
        <w:rPr>
          <w:spacing w:val="-5"/>
        </w:rPr>
        <w:t xml:space="preserve"> </w:t>
      </w:r>
      <w:r w:rsidRPr="00E73F6F">
        <w:t>Charakter</w:t>
      </w:r>
      <w:r w:rsidRPr="00E73F6F">
        <w:rPr>
          <w:spacing w:val="-6"/>
        </w:rPr>
        <w:t xml:space="preserve"> </w:t>
      </w:r>
      <w:r w:rsidRPr="00E73F6F">
        <w:t>der</w:t>
      </w:r>
      <w:r w:rsidRPr="00E73F6F">
        <w:rPr>
          <w:spacing w:val="-8"/>
        </w:rPr>
        <w:t xml:space="preserve"> </w:t>
      </w:r>
      <w:r w:rsidRPr="00E73F6F">
        <w:t>Abgrenzung</w:t>
      </w:r>
      <w:r w:rsidRPr="00E73F6F">
        <w:rPr>
          <w:spacing w:val="-7"/>
        </w:rPr>
        <w:t xml:space="preserve"> </w:t>
      </w:r>
      <w:r w:rsidRPr="00E73F6F">
        <w:t>zu</w:t>
      </w:r>
      <w:r w:rsidRPr="00E73F6F">
        <w:rPr>
          <w:spacing w:val="-4"/>
        </w:rPr>
        <w:t xml:space="preserve"> </w:t>
      </w:r>
      <w:r w:rsidRPr="00E73F6F">
        <w:t>wandeln.</w:t>
      </w:r>
      <w:r w:rsidRPr="00E73F6F">
        <w:rPr>
          <w:spacing w:val="-7"/>
        </w:rPr>
        <w:t xml:space="preserve"> </w:t>
      </w:r>
      <w:r w:rsidRPr="00E73F6F">
        <w:t>War</w:t>
      </w:r>
      <w:r w:rsidRPr="00E73F6F">
        <w:rPr>
          <w:spacing w:val="-5"/>
        </w:rPr>
        <w:t xml:space="preserve"> </w:t>
      </w:r>
      <w:r w:rsidRPr="00E73F6F">
        <w:t>man</w:t>
      </w:r>
      <w:r w:rsidRPr="00E73F6F">
        <w:rPr>
          <w:spacing w:val="-4"/>
        </w:rPr>
        <w:t xml:space="preserve"> </w:t>
      </w:r>
      <w:r w:rsidRPr="00E73F6F">
        <w:t>in</w:t>
      </w:r>
      <w:r w:rsidRPr="00E73F6F">
        <w:rPr>
          <w:spacing w:val="-7"/>
        </w:rPr>
        <w:t xml:space="preserve"> </w:t>
      </w:r>
      <w:r w:rsidRPr="00E73F6F">
        <w:t>der Position</w:t>
      </w:r>
      <w:r w:rsidRPr="00E73F6F">
        <w:rPr>
          <w:spacing w:val="-9"/>
        </w:rPr>
        <w:t xml:space="preserve"> </w:t>
      </w:r>
      <w:r w:rsidRPr="00E73F6F">
        <w:t>der</w:t>
      </w:r>
      <w:r w:rsidRPr="00E73F6F">
        <w:rPr>
          <w:spacing w:val="-10"/>
        </w:rPr>
        <w:t xml:space="preserve"> </w:t>
      </w:r>
      <w:r w:rsidRPr="00E73F6F">
        <w:t>Schwäche</w:t>
      </w:r>
      <w:r w:rsidRPr="00E73F6F">
        <w:rPr>
          <w:spacing w:val="-11"/>
        </w:rPr>
        <w:t xml:space="preserve"> </w:t>
      </w:r>
      <w:r w:rsidRPr="00E73F6F">
        <w:t>primär</w:t>
      </w:r>
      <w:r w:rsidRPr="00E73F6F">
        <w:rPr>
          <w:spacing w:val="-8"/>
        </w:rPr>
        <w:t xml:space="preserve"> </w:t>
      </w:r>
      <w:r w:rsidRPr="00E73F6F">
        <w:t>darum</w:t>
      </w:r>
      <w:r w:rsidRPr="00E73F6F">
        <w:rPr>
          <w:spacing w:val="-9"/>
        </w:rPr>
        <w:t xml:space="preserve"> </w:t>
      </w:r>
      <w:r w:rsidRPr="00E73F6F">
        <w:t>bemüht,</w:t>
      </w:r>
      <w:r w:rsidRPr="00E73F6F">
        <w:rPr>
          <w:spacing w:val="-9"/>
        </w:rPr>
        <w:t xml:space="preserve"> </w:t>
      </w:r>
      <w:r w:rsidRPr="00E73F6F">
        <w:t>unauffällig</w:t>
      </w:r>
      <w:r w:rsidRPr="00E73F6F">
        <w:rPr>
          <w:spacing w:val="-9"/>
        </w:rPr>
        <w:t xml:space="preserve"> </w:t>
      </w:r>
      <w:r w:rsidRPr="00E73F6F">
        <w:t>und</w:t>
      </w:r>
      <w:r w:rsidRPr="00E73F6F">
        <w:rPr>
          <w:spacing w:val="-9"/>
        </w:rPr>
        <w:t xml:space="preserve"> </w:t>
      </w:r>
      <w:r w:rsidRPr="00E73F6F">
        <w:t>unbehelligt</w:t>
      </w:r>
      <w:r w:rsidRPr="00E73F6F">
        <w:rPr>
          <w:spacing w:val="-10"/>
        </w:rPr>
        <w:t xml:space="preserve"> </w:t>
      </w:r>
      <w:r w:rsidRPr="00E73F6F">
        <w:t>leben</w:t>
      </w:r>
      <w:r w:rsidRPr="00E73F6F">
        <w:rPr>
          <w:spacing w:val="-7"/>
        </w:rPr>
        <w:t xml:space="preserve"> </w:t>
      </w:r>
      <w:r w:rsidRPr="00E73F6F">
        <w:t>zu können, treten Parallelgesellschaften, zu denen häufig auch Sekten gehören, nunmehr stärker öffentlich in Erscheinung, bisweilen in demonstrativer Opposition zur Mainstream-Gesellschaft.</w:t>
      </w:r>
    </w:p>
    <w:p w14:paraId="771EE5F8" w14:textId="77777777" w:rsidR="00FF7799" w:rsidRPr="00E73F6F" w:rsidRDefault="00FF7799" w:rsidP="00EB5A06">
      <w:pPr>
        <w:pStyle w:val="StandardText"/>
      </w:pPr>
    </w:p>
    <w:p w14:paraId="77694231" w14:textId="77777777" w:rsidR="00FF7799" w:rsidRPr="00E73F6F" w:rsidRDefault="00FF7799" w:rsidP="00320ED2">
      <w:pPr>
        <w:pStyle w:val="berschrift1"/>
      </w:pPr>
      <w:r w:rsidRPr="00510E20">
        <w:rPr>
          <w:color w:val="2E74B5"/>
        </w:rPr>
        <w:t>Paraverbale Kommunikation</w:t>
      </w:r>
      <w:r w:rsidRPr="00E73F6F">
        <w:rPr>
          <w:spacing w:val="-3"/>
        </w:rPr>
        <w:t xml:space="preserve"> </w:t>
      </w:r>
      <w:r w:rsidRPr="00E73F6F">
        <w:rPr>
          <w:b w:val="0"/>
        </w:rPr>
        <w:t>→</w:t>
      </w:r>
      <w:r w:rsidRPr="00E73F6F">
        <w:rPr>
          <w:b w:val="0"/>
          <w:spacing w:val="-5"/>
        </w:rPr>
        <w:t xml:space="preserve"> </w:t>
      </w:r>
      <w:r w:rsidRPr="00E73F6F">
        <w:rPr>
          <w:b w:val="0"/>
        </w:rPr>
        <w:t>Kommunikation,</w:t>
      </w:r>
      <w:r w:rsidRPr="00E73F6F">
        <w:rPr>
          <w:b w:val="0"/>
          <w:spacing w:val="-5"/>
        </w:rPr>
        <w:t xml:space="preserve"> </w:t>
      </w:r>
      <w:r w:rsidRPr="00E73F6F">
        <w:rPr>
          <w:b w:val="0"/>
          <w:spacing w:val="-2"/>
        </w:rPr>
        <w:t>paraverbale</w:t>
      </w:r>
    </w:p>
    <w:p w14:paraId="1C1D4F9C" w14:textId="77777777" w:rsidR="00FF7799" w:rsidRPr="00510E20" w:rsidRDefault="00FF7799" w:rsidP="00320ED2">
      <w:pPr>
        <w:pStyle w:val="berschrift1"/>
        <w:rPr>
          <w:color w:val="2E74B5"/>
        </w:rPr>
      </w:pPr>
      <w:r w:rsidRPr="00510E20">
        <w:rPr>
          <w:color w:val="2E74B5"/>
        </w:rPr>
        <w:t>Parsimony &amp; Simplicity</w:t>
      </w:r>
    </w:p>
    <w:p w14:paraId="2B83C640" w14:textId="77777777" w:rsidR="00FF7799" w:rsidRPr="00E73F6F" w:rsidRDefault="00FF7799" w:rsidP="00EB5A06">
      <w:pPr>
        <w:pStyle w:val="StandardText"/>
      </w:pPr>
      <w:r w:rsidRPr="00E73F6F">
        <w:t xml:space="preserve">Sparsamkeitsgebot der Theorienbildung. Fordert bspw., dass nur solche </w:t>
      </w:r>
      <w:r w:rsidRPr="00E73F6F">
        <w:rPr>
          <w:rFonts w:ascii="Cambria Math" w:hAnsi="Cambria Math" w:cs="Cambria Math"/>
        </w:rPr>
        <w:t>⇒</w:t>
      </w:r>
      <w:r w:rsidRPr="00E73F6F">
        <w:rPr>
          <w:spacing w:val="40"/>
        </w:rPr>
        <w:t xml:space="preserve"> </w:t>
      </w:r>
      <w:r w:rsidRPr="00E73F6F">
        <w:t>Konstrukte in den wissenschaftlichen Diskurs eingeführt werden, die einen zur Diskussion stehenden Sachverhalt signifikant besser erklären als die bislang genutzten Konstrukte: „Most philosophers believe that, other things being equal, simpler</w:t>
      </w:r>
      <w:r w:rsidRPr="00E73F6F">
        <w:rPr>
          <w:spacing w:val="-11"/>
        </w:rPr>
        <w:t xml:space="preserve"> </w:t>
      </w:r>
      <w:r w:rsidRPr="00E73F6F">
        <w:t>theories</w:t>
      </w:r>
      <w:r w:rsidRPr="00E73F6F">
        <w:rPr>
          <w:spacing w:val="-11"/>
        </w:rPr>
        <w:t xml:space="preserve"> </w:t>
      </w:r>
      <w:r w:rsidRPr="00E73F6F">
        <w:t>are</w:t>
      </w:r>
      <w:r w:rsidRPr="00E73F6F">
        <w:rPr>
          <w:spacing w:val="-11"/>
        </w:rPr>
        <w:t xml:space="preserve"> </w:t>
      </w:r>
      <w:r w:rsidRPr="00E73F6F">
        <w:t>better.</w:t>
      </w:r>
      <w:r w:rsidRPr="00E73F6F">
        <w:rPr>
          <w:spacing w:val="-8"/>
        </w:rPr>
        <w:t xml:space="preserve"> </w:t>
      </w:r>
      <w:r w:rsidRPr="00E35FFF">
        <w:rPr>
          <w:lang w:val="en-US"/>
        </w:rPr>
        <w:t>But</w:t>
      </w:r>
      <w:r w:rsidRPr="00E35FFF">
        <w:rPr>
          <w:spacing w:val="-12"/>
          <w:lang w:val="en-US"/>
        </w:rPr>
        <w:t xml:space="preserve"> </w:t>
      </w:r>
      <w:r w:rsidRPr="00E35FFF">
        <w:rPr>
          <w:lang w:val="en-US"/>
        </w:rPr>
        <w:t>what</w:t>
      </w:r>
      <w:r w:rsidRPr="00E35FFF">
        <w:rPr>
          <w:spacing w:val="-9"/>
          <w:lang w:val="en-US"/>
        </w:rPr>
        <w:t xml:space="preserve"> </w:t>
      </w:r>
      <w:r w:rsidRPr="00E35FFF">
        <w:rPr>
          <w:lang w:val="en-US"/>
        </w:rPr>
        <w:t>exactly</w:t>
      </w:r>
      <w:r w:rsidRPr="00E35FFF">
        <w:rPr>
          <w:spacing w:val="-9"/>
          <w:lang w:val="en-US"/>
        </w:rPr>
        <w:t xml:space="preserve"> </w:t>
      </w:r>
      <w:r w:rsidRPr="00E35FFF">
        <w:rPr>
          <w:lang w:val="en-US"/>
        </w:rPr>
        <w:t>does</w:t>
      </w:r>
      <w:r w:rsidRPr="00E35FFF">
        <w:rPr>
          <w:spacing w:val="-11"/>
          <w:lang w:val="en-US"/>
        </w:rPr>
        <w:t xml:space="preserve"> </w:t>
      </w:r>
      <w:r w:rsidRPr="00E35FFF">
        <w:rPr>
          <w:lang w:val="en-US"/>
        </w:rPr>
        <w:t>theoretical</w:t>
      </w:r>
      <w:r w:rsidRPr="00E35FFF">
        <w:rPr>
          <w:spacing w:val="-10"/>
          <w:lang w:val="en-US"/>
        </w:rPr>
        <w:t xml:space="preserve"> </w:t>
      </w:r>
      <w:r w:rsidRPr="00E35FFF">
        <w:rPr>
          <w:lang w:val="en-US"/>
        </w:rPr>
        <w:t>simplicity</w:t>
      </w:r>
      <w:r w:rsidRPr="00E35FFF">
        <w:rPr>
          <w:spacing w:val="-9"/>
          <w:lang w:val="en-US"/>
        </w:rPr>
        <w:t xml:space="preserve"> </w:t>
      </w:r>
      <w:r w:rsidRPr="00E35FFF">
        <w:rPr>
          <w:lang w:val="en-US"/>
        </w:rPr>
        <w:t>amount</w:t>
      </w:r>
      <w:r w:rsidRPr="00E35FFF">
        <w:rPr>
          <w:spacing w:val="-12"/>
          <w:lang w:val="en-US"/>
        </w:rPr>
        <w:t xml:space="preserve"> </w:t>
      </w:r>
      <w:r w:rsidRPr="00E35FFF">
        <w:rPr>
          <w:lang w:val="en-US"/>
        </w:rPr>
        <w:t>to? Syntactic</w:t>
      </w:r>
      <w:r w:rsidRPr="00E35FFF">
        <w:rPr>
          <w:spacing w:val="25"/>
          <w:lang w:val="en-US"/>
        </w:rPr>
        <w:t xml:space="preserve"> </w:t>
      </w:r>
      <w:r w:rsidRPr="00E35FFF">
        <w:rPr>
          <w:lang w:val="en-US"/>
        </w:rPr>
        <w:t>simplicity,</w:t>
      </w:r>
      <w:r w:rsidRPr="00E35FFF">
        <w:rPr>
          <w:spacing w:val="23"/>
          <w:lang w:val="en-US"/>
        </w:rPr>
        <w:t xml:space="preserve"> </w:t>
      </w:r>
      <w:r w:rsidRPr="00E35FFF">
        <w:rPr>
          <w:lang w:val="en-US"/>
        </w:rPr>
        <w:t>or</w:t>
      </w:r>
      <w:r w:rsidRPr="00E35FFF">
        <w:rPr>
          <w:spacing w:val="26"/>
          <w:lang w:val="en-US"/>
        </w:rPr>
        <w:t xml:space="preserve"> </w:t>
      </w:r>
      <w:r w:rsidRPr="00E35FFF">
        <w:rPr>
          <w:lang w:val="en-US"/>
        </w:rPr>
        <w:t>elegance,</w:t>
      </w:r>
      <w:r w:rsidRPr="00E35FFF">
        <w:rPr>
          <w:spacing w:val="26"/>
          <w:lang w:val="en-US"/>
        </w:rPr>
        <w:t xml:space="preserve"> </w:t>
      </w:r>
      <w:r w:rsidRPr="00E35FFF">
        <w:rPr>
          <w:lang w:val="en-US"/>
        </w:rPr>
        <w:t>measures</w:t>
      </w:r>
      <w:r w:rsidRPr="00E35FFF">
        <w:rPr>
          <w:spacing w:val="26"/>
          <w:lang w:val="en-US"/>
        </w:rPr>
        <w:t xml:space="preserve"> </w:t>
      </w:r>
      <w:r w:rsidRPr="00E35FFF">
        <w:rPr>
          <w:lang w:val="en-US"/>
        </w:rPr>
        <w:t>the</w:t>
      </w:r>
      <w:r w:rsidRPr="00E35FFF">
        <w:rPr>
          <w:spacing w:val="25"/>
          <w:lang w:val="en-US"/>
        </w:rPr>
        <w:t xml:space="preserve"> </w:t>
      </w:r>
      <w:r w:rsidRPr="00E35FFF">
        <w:rPr>
          <w:lang w:val="en-US"/>
        </w:rPr>
        <w:t>number</w:t>
      </w:r>
      <w:r w:rsidRPr="00E35FFF">
        <w:rPr>
          <w:spacing w:val="25"/>
          <w:lang w:val="en-US"/>
        </w:rPr>
        <w:t xml:space="preserve"> </w:t>
      </w:r>
      <w:r w:rsidRPr="00E35FFF">
        <w:rPr>
          <w:lang w:val="en-US"/>
        </w:rPr>
        <w:t>and</w:t>
      </w:r>
      <w:r w:rsidRPr="00E35FFF">
        <w:rPr>
          <w:spacing w:val="27"/>
          <w:lang w:val="en-US"/>
        </w:rPr>
        <w:t xml:space="preserve"> </w:t>
      </w:r>
      <w:r w:rsidRPr="00E35FFF">
        <w:rPr>
          <w:lang w:val="en-US"/>
        </w:rPr>
        <w:t>conciseness</w:t>
      </w:r>
      <w:r w:rsidRPr="00E35FFF">
        <w:rPr>
          <w:spacing w:val="24"/>
          <w:lang w:val="en-US"/>
        </w:rPr>
        <w:t xml:space="preserve"> </w:t>
      </w:r>
      <w:r w:rsidRPr="00E35FFF">
        <w:rPr>
          <w:lang w:val="en-US"/>
        </w:rPr>
        <w:t>of</w:t>
      </w:r>
      <w:r w:rsidRPr="00E35FFF">
        <w:rPr>
          <w:spacing w:val="26"/>
          <w:lang w:val="en-US"/>
        </w:rPr>
        <w:t xml:space="preserve"> </w:t>
      </w:r>
      <w:r w:rsidRPr="00E35FFF">
        <w:rPr>
          <w:spacing w:val="-5"/>
          <w:lang w:val="en-US"/>
        </w:rPr>
        <w:t xml:space="preserve">the </w:t>
      </w:r>
      <w:r w:rsidRPr="00E35FFF">
        <w:rPr>
          <w:lang w:val="en-US"/>
        </w:rPr>
        <w:t>theories</w:t>
      </w:r>
      <w:r w:rsidRPr="00E35FFF">
        <w:rPr>
          <w:spacing w:val="-11"/>
          <w:lang w:val="en-US"/>
        </w:rPr>
        <w:t xml:space="preserve"> </w:t>
      </w:r>
      <w:r w:rsidRPr="00E35FFF">
        <w:rPr>
          <w:lang w:val="en-US"/>
        </w:rPr>
        <w:t>basic</w:t>
      </w:r>
      <w:r w:rsidRPr="00E35FFF">
        <w:rPr>
          <w:spacing w:val="-8"/>
          <w:lang w:val="en-US"/>
        </w:rPr>
        <w:t xml:space="preserve"> </w:t>
      </w:r>
      <w:r w:rsidRPr="00E35FFF">
        <w:rPr>
          <w:lang w:val="en-US"/>
        </w:rPr>
        <w:t>principles.</w:t>
      </w:r>
      <w:r w:rsidRPr="00E35FFF">
        <w:rPr>
          <w:spacing w:val="-8"/>
          <w:lang w:val="en-US"/>
        </w:rPr>
        <w:t xml:space="preserve"> </w:t>
      </w:r>
      <w:r w:rsidRPr="00E35FFF">
        <w:rPr>
          <w:lang w:val="en-US"/>
        </w:rPr>
        <w:t>Ontological</w:t>
      </w:r>
      <w:r w:rsidRPr="00E35FFF">
        <w:rPr>
          <w:spacing w:val="-7"/>
          <w:lang w:val="en-US"/>
        </w:rPr>
        <w:t xml:space="preserve"> </w:t>
      </w:r>
      <w:r w:rsidRPr="00E35FFF">
        <w:rPr>
          <w:lang w:val="en-US"/>
        </w:rPr>
        <w:t>simplicity,</w:t>
      </w:r>
      <w:r w:rsidRPr="00E35FFF">
        <w:rPr>
          <w:spacing w:val="-12"/>
          <w:lang w:val="en-US"/>
        </w:rPr>
        <w:t xml:space="preserve"> </w:t>
      </w:r>
      <w:r w:rsidRPr="00E35FFF">
        <w:rPr>
          <w:lang w:val="en-US"/>
        </w:rPr>
        <w:t>or</w:t>
      </w:r>
      <w:r w:rsidRPr="00E35FFF">
        <w:rPr>
          <w:spacing w:val="-9"/>
          <w:lang w:val="en-US"/>
        </w:rPr>
        <w:t xml:space="preserve"> </w:t>
      </w:r>
      <w:r w:rsidRPr="00E35FFF">
        <w:rPr>
          <w:lang w:val="en-US"/>
        </w:rPr>
        <w:t>parsimony,</w:t>
      </w:r>
      <w:r w:rsidRPr="00E35FFF">
        <w:rPr>
          <w:spacing w:val="-9"/>
          <w:lang w:val="en-US"/>
        </w:rPr>
        <w:t xml:space="preserve"> </w:t>
      </w:r>
      <w:r w:rsidRPr="00E35FFF">
        <w:rPr>
          <w:lang w:val="en-US"/>
        </w:rPr>
        <w:t>measures</w:t>
      </w:r>
      <w:r w:rsidRPr="00E35FFF">
        <w:rPr>
          <w:spacing w:val="-8"/>
          <w:lang w:val="en-US"/>
        </w:rPr>
        <w:t xml:space="preserve"> </w:t>
      </w:r>
      <w:r w:rsidRPr="00E35FFF">
        <w:rPr>
          <w:lang w:val="en-US"/>
        </w:rPr>
        <w:t>the</w:t>
      </w:r>
      <w:r w:rsidRPr="00E35FFF">
        <w:rPr>
          <w:spacing w:val="-11"/>
          <w:lang w:val="en-US"/>
        </w:rPr>
        <w:t xml:space="preserve"> </w:t>
      </w:r>
      <w:r w:rsidRPr="00E35FFF">
        <w:rPr>
          <w:lang w:val="en-US"/>
        </w:rPr>
        <w:t xml:space="preserve">kinds of entities postulated by the theory“ (Stanford Encyclopedia of Philosophy; 25.02.2010). </w:t>
      </w:r>
      <w:r w:rsidRPr="00E73F6F">
        <w:t>Unstrittig ist, dass Theorien, die mit wenigen Annahmen auskommen, besser sind als Theorien, die viele Annahmen benötigen.</w:t>
      </w:r>
    </w:p>
    <w:p w14:paraId="79595006" w14:textId="77777777" w:rsidR="00FF7799" w:rsidRPr="00E73F6F" w:rsidRDefault="00FF7799" w:rsidP="00EB5A06">
      <w:pPr>
        <w:pStyle w:val="StandardText"/>
      </w:pPr>
    </w:p>
    <w:p w14:paraId="72600105" w14:textId="77777777" w:rsidR="00FF7799" w:rsidRPr="00E73F6F" w:rsidRDefault="00FF7799" w:rsidP="00320ED2">
      <w:pPr>
        <w:pStyle w:val="berschrift1"/>
      </w:pPr>
      <w:r w:rsidRPr="00510E20">
        <w:rPr>
          <w:color w:val="2E74B5"/>
        </w:rPr>
        <w:t>Partikularismus</w:t>
      </w:r>
      <w:r w:rsidRPr="00E73F6F">
        <w:rPr>
          <w:spacing w:val="2"/>
        </w:rPr>
        <w:t xml:space="preserve"> </w:t>
      </w:r>
      <w:r w:rsidRPr="00E73F6F">
        <w:t>→</w:t>
      </w:r>
      <w:r w:rsidRPr="00E73F6F">
        <w:rPr>
          <w:spacing w:val="-4"/>
        </w:rPr>
        <w:t xml:space="preserve"> </w:t>
      </w:r>
      <w:r w:rsidRPr="00E73F6F">
        <w:rPr>
          <w:b w:val="0"/>
        </w:rPr>
        <w:t>Kulturdimensionen</w:t>
      </w:r>
      <w:r w:rsidRPr="00E73F6F">
        <w:rPr>
          <w:b w:val="0"/>
          <w:spacing w:val="-3"/>
        </w:rPr>
        <w:t xml:space="preserve"> </w:t>
      </w:r>
      <w:r w:rsidRPr="00E73F6F">
        <w:rPr>
          <w:b w:val="0"/>
        </w:rPr>
        <w:t>nach</w:t>
      </w:r>
      <w:r w:rsidRPr="00E73F6F">
        <w:rPr>
          <w:b w:val="0"/>
          <w:spacing w:val="-1"/>
        </w:rPr>
        <w:t xml:space="preserve"> </w:t>
      </w:r>
      <w:r w:rsidRPr="00E73F6F">
        <w:rPr>
          <w:b w:val="0"/>
          <w:spacing w:val="-2"/>
        </w:rPr>
        <w:t>Trompenaars</w:t>
      </w:r>
    </w:p>
    <w:p w14:paraId="68140CFB" w14:textId="77777777" w:rsidR="00FF7799" w:rsidRPr="00E73F6F" w:rsidRDefault="00FF7799" w:rsidP="00320ED2">
      <w:pPr>
        <w:pStyle w:val="berschrift1"/>
      </w:pPr>
      <w:r w:rsidRPr="00510E20">
        <w:rPr>
          <w:color w:val="2E74B5"/>
        </w:rPr>
        <w:t>Patchwork-Gesellschaft</w:t>
      </w:r>
      <w:r w:rsidRPr="00E73F6F">
        <w:rPr>
          <w:spacing w:val="-12"/>
        </w:rPr>
        <w:t xml:space="preserve"> </w:t>
      </w:r>
      <w:r w:rsidRPr="00E73F6F">
        <w:rPr>
          <w:b w:val="0"/>
        </w:rPr>
        <w:t>→</w:t>
      </w:r>
      <w:r w:rsidRPr="00E73F6F">
        <w:rPr>
          <w:b w:val="0"/>
          <w:spacing w:val="-1"/>
        </w:rPr>
        <w:t xml:space="preserve"> </w:t>
      </w:r>
      <w:r w:rsidRPr="00E73F6F">
        <w:rPr>
          <w:b w:val="0"/>
          <w:spacing w:val="-2"/>
        </w:rPr>
        <w:t>Gesellschaft</w:t>
      </w:r>
    </w:p>
    <w:p w14:paraId="6442F63D" w14:textId="77777777" w:rsidR="00FF7799" w:rsidRPr="00510E20" w:rsidRDefault="00FF7799" w:rsidP="00320ED2">
      <w:pPr>
        <w:pStyle w:val="berschrift1"/>
        <w:rPr>
          <w:color w:val="2E74B5"/>
        </w:rPr>
      </w:pPr>
      <w:r w:rsidRPr="00510E20">
        <w:rPr>
          <w:color w:val="2E74B5"/>
        </w:rPr>
        <w:t>Paternalismus</w:t>
      </w:r>
    </w:p>
    <w:p w14:paraId="77ED6211" w14:textId="77777777" w:rsidR="00FF7799" w:rsidRPr="00E73F6F" w:rsidRDefault="00FF7799" w:rsidP="00EB5A06">
      <w:pPr>
        <w:pStyle w:val="StandardText"/>
      </w:pPr>
      <w:r w:rsidRPr="00E73F6F">
        <w:lastRenderedPageBreak/>
        <w:t>väterlich-fürsorgende Grundhaltung (= positive Interpretation) bzw. bevormundende</w:t>
      </w:r>
      <w:r w:rsidRPr="00E73F6F">
        <w:rPr>
          <w:spacing w:val="-9"/>
        </w:rPr>
        <w:t xml:space="preserve"> </w:t>
      </w:r>
      <w:r w:rsidRPr="00E73F6F">
        <w:t>Grundhaltung</w:t>
      </w:r>
      <w:r w:rsidRPr="00E73F6F">
        <w:rPr>
          <w:spacing w:val="-9"/>
        </w:rPr>
        <w:t xml:space="preserve"> </w:t>
      </w:r>
      <w:r w:rsidRPr="00E73F6F">
        <w:t>(=</w:t>
      </w:r>
      <w:r w:rsidRPr="00E73F6F">
        <w:rPr>
          <w:spacing w:val="-9"/>
        </w:rPr>
        <w:t xml:space="preserve"> </w:t>
      </w:r>
      <w:r w:rsidRPr="00E73F6F">
        <w:t>negative</w:t>
      </w:r>
      <w:r w:rsidRPr="00E73F6F">
        <w:rPr>
          <w:spacing w:val="-9"/>
        </w:rPr>
        <w:t xml:space="preserve"> </w:t>
      </w:r>
      <w:r w:rsidRPr="00E73F6F">
        <w:t>Interpretation).</w:t>
      </w:r>
      <w:r w:rsidRPr="00E73F6F">
        <w:rPr>
          <w:spacing w:val="-11"/>
        </w:rPr>
        <w:t xml:space="preserve"> </w:t>
      </w:r>
      <w:r w:rsidRPr="00E73F6F">
        <w:t>Zurückführen</w:t>
      </w:r>
      <w:r w:rsidRPr="00E73F6F">
        <w:rPr>
          <w:spacing w:val="-9"/>
        </w:rPr>
        <w:t xml:space="preserve"> </w:t>
      </w:r>
      <w:r w:rsidRPr="00E73F6F">
        <w:t>lässt</w:t>
      </w:r>
      <w:r w:rsidRPr="00E73F6F">
        <w:rPr>
          <w:spacing w:val="-9"/>
        </w:rPr>
        <w:t xml:space="preserve"> </w:t>
      </w:r>
      <w:r w:rsidRPr="00E73F6F">
        <w:t>sich dieser Begriff auf Pater:</w:t>
      </w:r>
      <w:r w:rsidRPr="00E73F6F">
        <w:rPr>
          <w:spacing w:val="40"/>
        </w:rPr>
        <w:t xml:space="preserve"> </w:t>
      </w:r>
      <w:r w:rsidRPr="00E73F6F">
        <w:t>lat. = Vater.</w:t>
      </w:r>
    </w:p>
    <w:p w14:paraId="68D81332" w14:textId="77777777" w:rsidR="00FF7799" w:rsidRPr="00E73F6F" w:rsidRDefault="00FF7799" w:rsidP="00EB5A06">
      <w:pPr>
        <w:pStyle w:val="StandardText"/>
      </w:pPr>
    </w:p>
    <w:p w14:paraId="44654A18" w14:textId="77777777" w:rsidR="00FF7799" w:rsidRPr="00510E20" w:rsidRDefault="00FF7799" w:rsidP="00320ED2">
      <w:pPr>
        <w:pStyle w:val="berschrift1"/>
        <w:rPr>
          <w:color w:val="2E74B5"/>
        </w:rPr>
      </w:pPr>
      <w:r w:rsidRPr="00510E20">
        <w:rPr>
          <w:color w:val="2E74B5"/>
        </w:rPr>
        <w:t>Patriotismus</w:t>
      </w:r>
    </w:p>
    <w:p w14:paraId="7CD847E4" w14:textId="77777777" w:rsidR="00FF7799" w:rsidRPr="00E73F6F" w:rsidRDefault="00FF7799" w:rsidP="00EB5A06">
      <w:pPr>
        <w:pStyle w:val="StandardText"/>
      </w:pPr>
      <w:r w:rsidRPr="00E73F6F">
        <w:t>besonders ausgeprägte und nicht selten übertriebene „Liebe“ zum bzw. Identifikation mit dem eigenen Vaterland. Patriotismus äußert sich in enger emotionaler</w:t>
      </w:r>
      <w:r w:rsidRPr="00E73F6F">
        <w:rPr>
          <w:spacing w:val="-2"/>
        </w:rPr>
        <w:t xml:space="preserve"> </w:t>
      </w:r>
      <w:r w:rsidRPr="00E73F6F">
        <w:t>Bindung</w:t>
      </w:r>
      <w:r w:rsidRPr="00E73F6F">
        <w:rPr>
          <w:spacing w:val="-3"/>
        </w:rPr>
        <w:t xml:space="preserve"> </w:t>
      </w:r>
      <w:r w:rsidRPr="00E73F6F">
        <w:t>an</w:t>
      </w:r>
      <w:r w:rsidRPr="00E73F6F">
        <w:rPr>
          <w:spacing w:val="-3"/>
        </w:rPr>
        <w:t xml:space="preserve"> </w:t>
      </w:r>
      <w:r w:rsidRPr="00E73F6F">
        <w:t>das</w:t>
      </w:r>
      <w:r w:rsidRPr="00E73F6F">
        <w:rPr>
          <w:spacing w:val="-2"/>
        </w:rPr>
        <w:t xml:space="preserve"> </w:t>
      </w:r>
      <w:r w:rsidRPr="00E73F6F">
        <w:t>Wertesystem,</w:t>
      </w:r>
      <w:r w:rsidRPr="00E73F6F">
        <w:rPr>
          <w:spacing w:val="-1"/>
        </w:rPr>
        <w:t xml:space="preserve"> </w:t>
      </w:r>
      <w:r w:rsidRPr="00E73F6F">
        <w:t>die</w:t>
      </w:r>
      <w:r w:rsidRPr="00E73F6F">
        <w:rPr>
          <w:spacing w:val="-2"/>
        </w:rPr>
        <w:t xml:space="preserve"> </w:t>
      </w:r>
      <w:r w:rsidRPr="00E73F6F">
        <w:t>Kultur,</w:t>
      </w:r>
      <w:r w:rsidRPr="00E73F6F">
        <w:rPr>
          <w:spacing w:val="-1"/>
        </w:rPr>
        <w:t xml:space="preserve"> </w:t>
      </w:r>
      <w:r w:rsidRPr="00E73F6F">
        <w:t>Geschichte</w:t>
      </w:r>
      <w:r w:rsidRPr="00E73F6F">
        <w:rPr>
          <w:spacing w:val="-2"/>
        </w:rPr>
        <w:t xml:space="preserve"> </w:t>
      </w:r>
      <w:r w:rsidRPr="00E73F6F">
        <w:t>und</w:t>
      </w:r>
      <w:r w:rsidRPr="00E73F6F">
        <w:rPr>
          <w:spacing w:val="-3"/>
        </w:rPr>
        <w:t xml:space="preserve"> </w:t>
      </w:r>
      <w:r w:rsidRPr="00E73F6F">
        <w:t>Leistungen des</w:t>
      </w:r>
      <w:r w:rsidRPr="00E73F6F">
        <w:rPr>
          <w:spacing w:val="-3"/>
        </w:rPr>
        <w:t xml:space="preserve"> </w:t>
      </w:r>
      <w:r w:rsidRPr="00E73F6F">
        <w:t>eigenen</w:t>
      </w:r>
      <w:r w:rsidRPr="00E73F6F">
        <w:rPr>
          <w:spacing w:val="-4"/>
        </w:rPr>
        <w:t xml:space="preserve"> </w:t>
      </w:r>
      <w:r w:rsidRPr="00E73F6F">
        <w:t>Volkes</w:t>
      </w:r>
      <w:r w:rsidRPr="00E73F6F">
        <w:rPr>
          <w:spacing w:val="-3"/>
        </w:rPr>
        <w:t xml:space="preserve"> </w:t>
      </w:r>
      <w:r w:rsidRPr="00E73F6F">
        <w:t>(z.B.</w:t>
      </w:r>
      <w:r w:rsidRPr="00E73F6F">
        <w:rPr>
          <w:spacing w:val="-5"/>
        </w:rPr>
        <w:t xml:space="preserve"> </w:t>
      </w:r>
      <w:r w:rsidRPr="00E73F6F">
        <w:t>deutsche</w:t>
      </w:r>
      <w:r w:rsidRPr="00E73F6F">
        <w:rPr>
          <w:spacing w:val="-2"/>
        </w:rPr>
        <w:t xml:space="preserve"> </w:t>
      </w:r>
      <w:r w:rsidRPr="00E73F6F">
        <w:t>Romantik</w:t>
      </w:r>
      <w:r w:rsidRPr="00E73F6F">
        <w:rPr>
          <w:spacing w:val="-4"/>
        </w:rPr>
        <w:t xml:space="preserve"> </w:t>
      </w:r>
      <w:r w:rsidRPr="00E73F6F">
        <w:t>und</w:t>
      </w:r>
      <w:r w:rsidRPr="00E73F6F">
        <w:rPr>
          <w:spacing w:val="-4"/>
        </w:rPr>
        <w:t xml:space="preserve"> </w:t>
      </w:r>
      <w:r w:rsidRPr="00E73F6F">
        <w:t>Klassik).</w:t>
      </w:r>
      <w:r w:rsidRPr="00E73F6F">
        <w:rPr>
          <w:spacing w:val="-5"/>
        </w:rPr>
        <w:t xml:space="preserve"> </w:t>
      </w:r>
      <w:r w:rsidRPr="00E73F6F">
        <w:t>Die</w:t>
      </w:r>
      <w:r w:rsidRPr="00E73F6F">
        <w:rPr>
          <w:spacing w:val="-4"/>
        </w:rPr>
        <w:t xml:space="preserve"> </w:t>
      </w:r>
      <w:r w:rsidRPr="00E73F6F">
        <w:t>Grenzen</w:t>
      </w:r>
      <w:r w:rsidRPr="00E73F6F">
        <w:rPr>
          <w:spacing w:val="-2"/>
        </w:rPr>
        <w:t xml:space="preserve"> </w:t>
      </w:r>
      <w:r w:rsidRPr="00E73F6F">
        <w:t>zwischen den Begriffen Patriotismus und Rechtsradikalismus sind unscharf. Das Differenzierungskriterium besteht darin, dass dem Patrioten vorrangig an der Wertschätzung</w:t>
      </w:r>
      <w:r w:rsidRPr="00E73F6F">
        <w:rPr>
          <w:spacing w:val="-1"/>
        </w:rPr>
        <w:t xml:space="preserve"> </w:t>
      </w:r>
      <w:r w:rsidRPr="00E73F6F">
        <w:t>des eigenen Volkes bzw.</w:t>
      </w:r>
      <w:r w:rsidRPr="00E73F6F">
        <w:rPr>
          <w:spacing w:val="-1"/>
        </w:rPr>
        <w:t xml:space="preserve"> </w:t>
      </w:r>
      <w:r w:rsidRPr="00E73F6F">
        <w:t>der eigenen Nation</w:t>
      </w:r>
      <w:r w:rsidRPr="00E73F6F">
        <w:rPr>
          <w:spacing w:val="-1"/>
        </w:rPr>
        <w:t xml:space="preserve"> </w:t>
      </w:r>
      <w:r w:rsidRPr="00E73F6F">
        <w:t>gelegen ist,</w:t>
      </w:r>
      <w:r w:rsidRPr="00E73F6F">
        <w:rPr>
          <w:spacing w:val="-1"/>
        </w:rPr>
        <w:t xml:space="preserve"> </w:t>
      </w:r>
      <w:r w:rsidRPr="00E73F6F">
        <w:t>während es</w:t>
      </w:r>
      <w:r w:rsidRPr="00E73F6F">
        <w:rPr>
          <w:spacing w:val="-1"/>
        </w:rPr>
        <w:t xml:space="preserve"> </w:t>
      </w:r>
      <w:r w:rsidRPr="00E73F6F">
        <w:t>dem</w:t>
      </w:r>
      <w:r w:rsidRPr="00E73F6F">
        <w:rPr>
          <w:spacing w:val="-1"/>
        </w:rPr>
        <w:t xml:space="preserve"> </w:t>
      </w:r>
      <w:r w:rsidRPr="00E73F6F">
        <w:t>Rechtsradikalen</w:t>
      </w:r>
      <w:r w:rsidRPr="00E73F6F">
        <w:rPr>
          <w:spacing w:val="-1"/>
        </w:rPr>
        <w:t xml:space="preserve"> </w:t>
      </w:r>
      <w:r w:rsidRPr="00E73F6F">
        <w:t>primär</w:t>
      </w:r>
      <w:r w:rsidRPr="00E73F6F">
        <w:rPr>
          <w:spacing w:val="-1"/>
        </w:rPr>
        <w:t xml:space="preserve"> </w:t>
      </w:r>
      <w:r w:rsidRPr="00E73F6F">
        <w:t>um</w:t>
      </w:r>
      <w:r w:rsidRPr="00E73F6F">
        <w:rPr>
          <w:spacing w:val="-2"/>
        </w:rPr>
        <w:t xml:space="preserve"> </w:t>
      </w:r>
      <w:r w:rsidRPr="00E73F6F">
        <w:t>Selbstwertstabilisierung</w:t>
      </w:r>
      <w:r w:rsidRPr="00E73F6F">
        <w:rPr>
          <w:spacing w:val="-2"/>
        </w:rPr>
        <w:t xml:space="preserve"> </w:t>
      </w:r>
      <w:r w:rsidRPr="00E73F6F">
        <w:t>durch</w:t>
      </w:r>
      <w:r w:rsidRPr="00E73F6F">
        <w:rPr>
          <w:spacing w:val="-2"/>
        </w:rPr>
        <w:t xml:space="preserve"> </w:t>
      </w:r>
      <w:r w:rsidRPr="00E73F6F">
        <w:t>Abwertung</w:t>
      </w:r>
      <w:r w:rsidRPr="00E73F6F">
        <w:rPr>
          <w:spacing w:val="-1"/>
        </w:rPr>
        <w:t xml:space="preserve"> </w:t>
      </w:r>
      <w:r w:rsidRPr="00E73F6F">
        <w:t>des Andersartigen, insb. des Fremden geht.</w:t>
      </w:r>
    </w:p>
    <w:p w14:paraId="104AF97B" w14:textId="77777777" w:rsidR="00FF7799" w:rsidRPr="00E73F6F" w:rsidRDefault="00FF7799" w:rsidP="00EB5A06">
      <w:pPr>
        <w:pStyle w:val="StandardText"/>
      </w:pPr>
      <w:r w:rsidRPr="00E73F6F">
        <w:t>Spezielle</w:t>
      </w:r>
      <w:r w:rsidRPr="00E73F6F">
        <w:rPr>
          <w:spacing w:val="-8"/>
        </w:rPr>
        <w:t xml:space="preserve"> </w:t>
      </w:r>
      <w:r w:rsidRPr="00E73F6F">
        <w:t>Erscheinungsformen</w:t>
      </w:r>
      <w:r w:rsidRPr="00E73F6F">
        <w:rPr>
          <w:spacing w:val="-8"/>
        </w:rPr>
        <w:t xml:space="preserve"> </w:t>
      </w:r>
      <w:r w:rsidRPr="00E73F6F">
        <w:t>des</w:t>
      </w:r>
      <w:r w:rsidRPr="00E73F6F">
        <w:rPr>
          <w:spacing w:val="-8"/>
        </w:rPr>
        <w:t xml:space="preserve"> </w:t>
      </w:r>
      <w:r w:rsidRPr="00E73F6F">
        <w:t>Patriotismus</w:t>
      </w:r>
      <w:r w:rsidRPr="00E73F6F">
        <w:rPr>
          <w:spacing w:val="-9"/>
        </w:rPr>
        <w:t xml:space="preserve"> </w:t>
      </w:r>
      <w:r w:rsidRPr="00E73F6F">
        <w:t>sind</w:t>
      </w:r>
      <w:r w:rsidRPr="00E73F6F">
        <w:rPr>
          <w:spacing w:val="-6"/>
        </w:rPr>
        <w:t xml:space="preserve"> </w:t>
      </w:r>
      <w:r w:rsidRPr="00E73F6F">
        <w:t>der</w:t>
      </w:r>
      <w:r w:rsidRPr="00E73F6F">
        <w:rPr>
          <w:spacing w:val="-9"/>
        </w:rPr>
        <w:t xml:space="preserve"> </w:t>
      </w:r>
      <w:r w:rsidRPr="00E73F6F">
        <w:t>Verfassungspatriotismus, der Entwicklungspatriotismus, der Lokalpatriotismus und der Konsumpatriotismus. Während sich der klassische Patriotismus an den Oberflächenmerkmalen einer</w:t>
      </w:r>
      <w:r w:rsidRPr="00E73F6F">
        <w:rPr>
          <w:spacing w:val="40"/>
        </w:rPr>
        <w:t xml:space="preserve"> </w:t>
      </w:r>
      <w:r w:rsidRPr="00E73F6F">
        <w:t>Gesellschaft, d.h. dem Sichtbaren festmacht (z.B. besonders eindrucksvolle Gebäude oder Persönlichkeiten), ist der Verfassungspatriotismus</w:t>
      </w:r>
      <w:r w:rsidRPr="00E73F6F">
        <w:rPr>
          <w:spacing w:val="-12"/>
        </w:rPr>
        <w:t xml:space="preserve"> </w:t>
      </w:r>
      <w:r w:rsidRPr="00E73F6F">
        <w:t>weitgehend</w:t>
      </w:r>
      <w:r w:rsidRPr="00E73F6F">
        <w:rPr>
          <w:spacing w:val="-11"/>
        </w:rPr>
        <w:t xml:space="preserve"> </w:t>
      </w:r>
      <w:r w:rsidRPr="00E73F6F">
        <w:t>abstrakter</w:t>
      </w:r>
      <w:r w:rsidRPr="00E73F6F">
        <w:rPr>
          <w:spacing w:val="-11"/>
        </w:rPr>
        <w:t xml:space="preserve"> </w:t>
      </w:r>
      <w:r w:rsidRPr="00E73F6F">
        <w:t>Natur</w:t>
      </w:r>
      <w:r w:rsidRPr="00E73F6F">
        <w:rPr>
          <w:spacing w:val="-11"/>
        </w:rPr>
        <w:t xml:space="preserve"> </w:t>
      </w:r>
      <w:r w:rsidRPr="00E73F6F">
        <w:t>Er</w:t>
      </w:r>
      <w:r w:rsidRPr="00E73F6F">
        <w:rPr>
          <w:spacing w:val="-12"/>
        </w:rPr>
        <w:t xml:space="preserve"> </w:t>
      </w:r>
      <w:r w:rsidRPr="00E73F6F">
        <w:t>gilt</w:t>
      </w:r>
      <w:r w:rsidRPr="00E73F6F">
        <w:rPr>
          <w:spacing w:val="-11"/>
        </w:rPr>
        <w:t xml:space="preserve"> </w:t>
      </w:r>
      <w:r w:rsidRPr="00E73F6F">
        <w:t>den</w:t>
      </w:r>
      <w:r w:rsidRPr="00E73F6F">
        <w:rPr>
          <w:spacing w:val="-11"/>
        </w:rPr>
        <w:t xml:space="preserve"> </w:t>
      </w:r>
      <w:r w:rsidRPr="00E73F6F">
        <w:t>(demokratischen) Institutionen einer Nation. Die häufig übertriebene Identifikation mit bzw. Liebe zur Heimatstadt bzw. Gegend oder Region, in der man lebt, wird als Lokalpatriotismus</w:t>
      </w:r>
      <w:r w:rsidRPr="00E73F6F">
        <w:rPr>
          <w:spacing w:val="-9"/>
        </w:rPr>
        <w:t xml:space="preserve"> </w:t>
      </w:r>
      <w:r w:rsidRPr="00E73F6F">
        <w:t>bezeichnet.</w:t>
      </w:r>
      <w:r w:rsidRPr="00E73F6F">
        <w:rPr>
          <w:spacing w:val="-8"/>
        </w:rPr>
        <w:t xml:space="preserve"> </w:t>
      </w:r>
      <w:r w:rsidRPr="00E73F6F">
        <w:t>Im</w:t>
      </w:r>
      <w:r w:rsidRPr="00E73F6F">
        <w:rPr>
          <w:spacing w:val="-9"/>
        </w:rPr>
        <w:t xml:space="preserve"> </w:t>
      </w:r>
      <w:r w:rsidRPr="00E73F6F">
        <w:t>Falle</w:t>
      </w:r>
      <w:r w:rsidRPr="00E73F6F">
        <w:rPr>
          <w:spacing w:val="-7"/>
        </w:rPr>
        <w:t xml:space="preserve"> </w:t>
      </w:r>
      <w:r w:rsidRPr="00E73F6F">
        <w:t>von</w:t>
      </w:r>
      <w:r w:rsidRPr="00E73F6F">
        <w:rPr>
          <w:spacing w:val="-8"/>
        </w:rPr>
        <w:t xml:space="preserve"> </w:t>
      </w:r>
      <w:r w:rsidRPr="00E73F6F">
        <w:t>Konsumpatriotismus</w:t>
      </w:r>
      <w:r w:rsidRPr="00E73F6F">
        <w:rPr>
          <w:spacing w:val="-7"/>
        </w:rPr>
        <w:t xml:space="preserve"> </w:t>
      </w:r>
      <w:r w:rsidRPr="00E73F6F">
        <w:t>äußert</w:t>
      </w:r>
      <w:r w:rsidRPr="00E73F6F">
        <w:rPr>
          <w:spacing w:val="-6"/>
        </w:rPr>
        <w:t xml:space="preserve"> </w:t>
      </w:r>
      <w:r w:rsidRPr="00E73F6F">
        <w:t>sich</w:t>
      </w:r>
      <w:r w:rsidRPr="00E73F6F">
        <w:rPr>
          <w:spacing w:val="-5"/>
        </w:rPr>
        <w:t xml:space="preserve"> </w:t>
      </w:r>
      <w:r w:rsidRPr="00E73F6F">
        <w:t>diese Verbundenheit in der Bereitschaft, für inländische Waren einen höheren Preis zu bezahlen, selbst wenn diese von schlechterer Qualität sind als die entsprechenden Angebote ausländischer</w:t>
      </w:r>
      <w:r w:rsidR="00420B47">
        <w:t xml:space="preserve"> Hersteller, Dienstleister etc.</w:t>
      </w:r>
    </w:p>
    <w:p w14:paraId="27519CB5" w14:textId="77777777" w:rsidR="00FF7799" w:rsidRPr="00420B47" w:rsidRDefault="00FF7799" w:rsidP="00EB5A06">
      <w:pPr>
        <w:pStyle w:val="StandardText"/>
        <w:rPr>
          <w:spacing w:val="-6"/>
          <w:sz w:val="22"/>
          <w:szCs w:val="22"/>
        </w:rPr>
      </w:pPr>
      <w:r w:rsidRPr="00420B47">
        <w:rPr>
          <w:b/>
          <w:i/>
          <w:sz w:val="22"/>
          <w:szCs w:val="22"/>
        </w:rPr>
        <w:t>Literatur</w:t>
      </w:r>
      <w:r w:rsidRPr="00420B47">
        <w:rPr>
          <w:i/>
          <w:sz w:val="22"/>
          <w:szCs w:val="22"/>
        </w:rPr>
        <w:t>:</w:t>
      </w:r>
      <w:r w:rsidRPr="00420B47">
        <w:rPr>
          <w:i/>
          <w:spacing w:val="-6"/>
          <w:sz w:val="22"/>
          <w:szCs w:val="22"/>
        </w:rPr>
        <w:t xml:space="preserve"> </w:t>
      </w:r>
      <w:r w:rsidRPr="00420B47">
        <w:rPr>
          <w:spacing w:val="-6"/>
          <w:sz w:val="22"/>
          <w:szCs w:val="22"/>
        </w:rPr>
        <w:t>Müller, S., Gelbrich, K. (2021): Interkulturelles Konsumentenverhalten, S. 319f., München: Vahlen.</w:t>
      </w:r>
    </w:p>
    <w:p w14:paraId="00F58800" w14:textId="77777777" w:rsidR="00FF7799" w:rsidRPr="00E73F6F" w:rsidRDefault="00FF7799" w:rsidP="00EB5A06">
      <w:pPr>
        <w:pStyle w:val="StandardText"/>
        <w:rPr>
          <w:spacing w:val="-6"/>
        </w:rPr>
      </w:pPr>
    </w:p>
    <w:p w14:paraId="666F1CF9" w14:textId="77777777" w:rsidR="00FF7799" w:rsidRPr="00E73F6F" w:rsidRDefault="00FF7799" w:rsidP="00FC6443">
      <w:pPr>
        <w:pStyle w:val="berschrift1"/>
        <w:rPr>
          <w:noProof/>
          <w:lang w:eastAsia="de-DE"/>
        </w:rPr>
      </w:pPr>
      <w:r w:rsidRPr="00510E20">
        <w:rPr>
          <w:color w:val="2E74B5"/>
        </w:rPr>
        <w:t>PCO Scale</w:t>
      </w:r>
      <w:r w:rsidRPr="00E73F6F">
        <w:rPr>
          <w:kern w:val="32"/>
        </w:rPr>
        <w:t xml:space="preserve"> </w:t>
      </w:r>
      <w:r w:rsidRPr="00E73F6F">
        <w:rPr>
          <w:b w:val="0"/>
          <w:kern w:val="32"/>
        </w:rPr>
        <w:t xml:space="preserve">→ </w:t>
      </w:r>
      <w:r w:rsidRPr="00E73F6F">
        <w:rPr>
          <w:b w:val="0"/>
          <w:noProof/>
          <w:lang w:eastAsia="de-DE"/>
        </w:rPr>
        <w:t>Personal Cultural Orientation: mehrdimensionale Skalen</w:t>
      </w:r>
    </w:p>
    <w:p w14:paraId="4FB76668" w14:textId="77777777" w:rsidR="00FF7799" w:rsidRPr="00E73F6F" w:rsidRDefault="00FF7799" w:rsidP="00FC6443">
      <w:pPr>
        <w:pStyle w:val="berschrift1"/>
        <w:rPr>
          <w:noProof/>
          <w:lang w:eastAsia="de-DE"/>
        </w:rPr>
      </w:pPr>
      <w:r w:rsidRPr="00510E20">
        <w:rPr>
          <w:color w:val="2E74B5"/>
        </w:rPr>
        <w:t>Perfektionismus</w:t>
      </w:r>
      <w:r w:rsidRPr="00E73F6F">
        <w:rPr>
          <w:noProof/>
          <w:lang w:eastAsia="de-DE"/>
        </w:rPr>
        <w:t xml:space="preserve"> </w:t>
      </w:r>
      <w:r w:rsidRPr="00E73F6F">
        <w:rPr>
          <w:b w:val="0"/>
          <w:noProof/>
          <w:lang w:eastAsia="de-DE"/>
        </w:rPr>
        <w:t>→ Auswirkungen der Landeskultur</w:t>
      </w:r>
    </w:p>
    <w:p w14:paraId="49E082F1" w14:textId="4985E375" w:rsidR="00FF7799" w:rsidRPr="00510E20" w:rsidRDefault="00FF7799" w:rsidP="00FC6443">
      <w:pPr>
        <w:pStyle w:val="berschrift1"/>
        <w:rPr>
          <w:color w:val="2E74B5"/>
        </w:rPr>
      </w:pPr>
      <w:r w:rsidRPr="00510E20">
        <w:rPr>
          <w:color w:val="2E74B5"/>
        </w:rPr>
        <w:t>Personal Cultural Orientation</w:t>
      </w:r>
      <w:r w:rsidR="00510E20">
        <w:rPr>
          <w:color w:val="2E74B5"/>
        </w:rPr>
        <w:t xml:space="preserve"> (1)</w:t>
      </w:r>
      <w:r w:rsidRPr="00510E20">
        <w:rPr>
          <w:color w:val="2E74B5"/>
        </w:rPr>
        <w:t>: eindimensionale Skalen</w:t>
      </w:r>
    </w:p>
    <w:p w14:paraId="450C2540" w14:textId="77777777" w:rsidR="00FF7799" w:rsidRPr="00E35FFF" w:rsidRDefault="00FF7799" w:rsidP="00EA5D69">
      <w:pPr>
        <w:pStyle w:val="StandardText"/>
        <w:rPr>
          <w:lang w:val="en-US"/>
        </w:rPr>
      </w:pPr>
      <w:r w:rsidRPr="00E73F6F">
        <w:t>standen zunächst im Mittelpunkt der Bestrebungen, die kulturelle Orientierung von Individuen zu messen (vgl. Tab. 1). Zu den aus kulturvergleichender Sicht bedeutendsten Entwicklungen zählen die INDCOL-Skala von Triandis (1995) und die LTO-Skala von Bearden et al. (2006b). Der eindimensionale Ansatz verspricht jedoch wenig Erfolg, wie Yoo et al. (2011, S.196) unter Verweis auf drei übergeordnete Risiken dieser Strategie begründen: Gefahr der theoretisch-konzeptionellen Inkonsistenz von Skalen, die von unterschiedlichen Wissenschaftlern mit unterschiedlicher Zielsetzung unter unterschiedlichen Rahmenbedingungen entwickelt wurden, des Verlustes der Unabhängigkeit der Skalen, wenn mehrere ursprünglich eindimensionale Skalen simultan eingesetzt werden, wenn es diesen an Diskriminanzvalidität mangelt, der übermäßigen Komplexität und des Verstoßes gegen das wissenschaftstheoretische Sparsamkeitsgebot (</w:t>
      </w:r>
      <w:r w:rsidRPr="00E73F6F">
        <w:rPr>
          <w:rFonts w:ascii="Cambria Math" w:hAnsi="Cambria Math" w:cs="Cambria Math"/>
        </w:rPr>
        <w:t>⇒</w:t>
      </w:r>
      <w:r w:rsidRPr="00E73F6F">
        <w:t xml:space="preserve"> Parsimony &amp; Simplicity). </w:t>
      </w:r>
      <w:r w:rsidRPr="00E35FFF">
        <w:rPr>
          <w:lang w:val="en-US"/>
        </w:rPr>
        <w:t>„By focusing on one cultural dimension, researchers identify multisubdimensions, which typically end up with too many items. For instance, the INDCOL is a 32-item, eight-subscale instrument that measures individualism and collectivism alone. The LTO is an eight-item, two-subscale measure of long-term orientation. Such scales serve conceptual depth, but not measurement parsimony” (Yoo et al. 2011, S.196).</w:t>
      </w:r>
    </w:p>
    <w:p w14:paraId="7DFDEFF3" w14:textId="77777777" w:rsidR="00FF7799" w:rsidRPr="00E35FFF" w:rsidRDefault="00FF7799" w:rsidP="00862DBA">
      <w:pPr>
        <w:rPr>
          <w:sz w:val="24"/>
          <w:szCs w:val="24"/>
          <w:lang w:val="en-US"/>
        </w:rPr>
      </w:pPr>
    </w:p>
    <w:p w14:paraId="11EB261B" w14:textId="77777777" w:rsidR="00FF7799" w:rsidRPr="00510E20" w:rsidRDefault="00FF7799" w:rsidP="00EA5D69">
      <w:pPr>
        <w:pStyle w:val="BeschriftungTab"/>
        <w:rPr>
          <w:i/>
          <w:iCs/>
        </w:rPr>
      </w:pPr>
      <w:r w:rsidRPr="00510E20">
        <w:rPr>
          <w:i/>
          <w:iCs/>
        </w:rPr>
        <w:lastRenderedPageBreak/>
        <w:t>Tab. 1: Skalen zur Erfassung einzelner Dimensionen individueller Kultur</w:t>
      </w:r>
    </w:p>
    <w:tbl>
      <w:tblPr>
        <w:tblStyle w:val="Tabellenraster"/>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607"/>
        <w:gridCol w:w="6465"/>
      </w:tblGrid>
      <w:tr w:rsidR="00FF7799" w:rsidRPr="00E73F6F" w14:paraId="517331A1" w14:textId="77777777" w:rsidTr="0007144F">
        <w:trPr>
          <w:tblHeader/>
        </w:trPr>
        <w:tc>
          <w:tcPr>
            <w:tcW w:w="2660" w:type="dxa"/>
            <w:shd w:val="clear" w:color="auto" w:fill="FFC000"/>
          </w:tcPr>
          <w:p w14:paraId="052191C9" w14:textId="77777777" w:rsidR="00FF7799" w:rsidRPr="00E73F6F" w:rsidRDefault="00FF7799" w:rsidP="0007144F">
            <w:pPr>
              <w:pStyle w:val="Literatur"/>
              <w:numPr>
                <w:ilvl w:val="0"/>
                <w:numId w:val="0"/>
              </w:numPr>
              <w:spacing w:before="120" w:after="120" w:line="240" w:lineRule="auto"/>
              <w:jc w:val="center"/>
              <w:rPr>
                <w:b/>
                <w:bCs w:val="0"/>
                <w:sz w:val="24"/>
                <w:szCs w:val="24"/>
              </w:rPr>
            </w:pPr>
            <w:r w:rsidRPr="00E73F6F">
              <w:rPr>
                <w:b/>
                <w:sz w:val="24"/>
                <w:szCs w:val="24"/>
              </w:rPr>
              <w:t>Kulturdimension</w:t>
            </w:r>
          </w:p>
        </w:tc>
        <w:tc>
          <w:tcPr>
            <w:tcW w:w="6552" w:type="dxa"/>
            <w:shd w:val="clear" w:color="auto" w:fill="FFC000"/>
          </w:tcPr>
          <w:p w14:paraId="73E2736E" w14:textId="77777777" w:rsidR="00FF7799" w:rsidRPr="00E73F6F" w:rsidRDefault="00FF7799" w:rsidP="0007144F">
            <w:pPr>
              <w:pStyle w:val="Literatur"/>
              <w:numPr>
                <w:ilvl w:val="0"/>
                <w:numId w:val="0"/>
              </w:numPr>
              <w:spacing w:before="120" w:after="120" w:line="240" w:lineRule="auto"/>
              <w:jc w:val="center"/>
              <w:rPr>
                <w:b/>
                <w:bCs w:val="0"/>
                <w:sz w:val="24"/>
                <w:szCs w:val="24"/>
              </w:rPr>
            </w:pPr>
            <w:r w:rsidRPr="00E73F6F">
              <w:rPr>
                <w:b/>
                <w:sz w:val="24"/>
                <w:szCs w:val="24"/>
              </w:rPr>
              <w:t>Skalen individueller Kultur</w:t>
            </w:r>
          </w:p>
        </w:tc>
      </w:tr>
      <w:tr w:rsidR="00FF7799" w:rsidRPr="00E73F6F" w14:paraId="380975DD" w14:textId="77777777" w:rsidTr="00EA5D69">
        <w:tc>
          <w:tcPr>
            <w:tcW w:w="2660" w:type="dxa"/>
            <w:shd w:val="clear" w:color="auto" w:fill="FFF2CC" w:themeFill="accent4" w:themeFillTint="33"/>
          </w:tcPr>
          <w:p w14:paraId="4B43D244" w14:textId="77777777" w:rsidR="00FF7799" w:rsidRPr="00E73F6F" w:rsidRDefault="00FF7799" w:rsidP="00862DBA">
            <w:pPr>
              <w:rPr>
                <w:bCs/>
                <w:sz w:val="24"/>
                <w:szCs w:val="24"/>
              </w:rPr>
            </w:pPr>
            <w:r w:rsidRPr="00E73F6F">
              <w:rPr>
                <w:bCs/>
                <w:sz w:val="24"/>
                <w:szCs w:val="24"/>
              </w:rPr>
              <w:t>Individualismus vs. Kollektivismus</w:t>
            </w:r>
          </w:p>
        </w:tc>
        <w:tc>
          <w:tcPr>
            <w:tcW w:w="6552" w:type="dxa"/>
          </w:tcPr>
          <w:p w14:paraId="03E6604F" w14:textId="77777777" w:rsidR="00FF7799" w:rsidRPr="00E73F6F" w:rsidRDefault="00FF7799" w:rsidP="00EA5D69">
            <w:pPr>
              <w:pStyle w:val="StandardTextAufzhlung"/>
              <w:rPr>
                <w:bCs/>
              </w:rPr>
            </w:pPr>
            <w:r w:rsidRPr="00E73F6F">
              <w:t>INDCOL (vgl. Triandis 1995)</w:t>
            </w:r>
          </w:p>
        </w:tc>
      </w:tr>
      <w:tr w:rsidR="00FF7799" w:rsidRPr="00E17A2B" w14:paraId="3902562F" w14:textId="77777777" w:rsidTr="00EA5D69">
        <w:tc>
          <w:tcPr>
            <w:tcW w:w="2660" w:type="dxa"/>
            <w:shd w:val="clear" w:color="auto" w:fill="FFF2CC" w:themeFill="accent4" w:themeFillTint="33"/>
          </w:tcPr>
          <w:p w14:paraId="5DFB7DD8" w14:textId="77777777" w:rsidR="00FF7799" w:rsidRPr="00E73F6F" w:rsidRDefault="00FF7799" w:rsidP="00862DBA">
            <w:pPr>
              <w:rPr>
                <w:bCs/>
                <w:sz w:val="24"/>
                <w:szCs w:val="24"/>
              </w:rPr>
            </w:pPr>
            <w:r w:rsidRPr="00E73F6F">
              <w:rPr>
                <w:bCs/>
                <w:sz w:val="24"/>
                <w:szCs w:val="24"/>
              </w:rPr>
              <w:t>Ungewissheitsvermeidung</w:t>
            </w:r>
          </w:p>
        </w:tc>
        <w:tc>
          <w:tcPr>
            <w:tcW w:w="6552" w:type="dxa"/>
          </w:tcPr>
          <w:p w14:paraId="1417AA27" w14:textId="77777777" w:rsidR="00FF7799" w:rsidRPr="00E35FFF" w:rsidRDefault="00FF7799" w:rsidP="00EA5D69">
            <w:pPr>
              <w:pStyle w:val="StandardTextAufzhlung"/>
              <w:rPr>
                <w:bCs/>
                <w:lang w:val="en-US"/>
              </w:rPr>
            </w:pPr>
            <w:r w:rsidRPr="00E35FFF">
              <w:rPr>
                <w:lang w:val="en-US"/>
              </w:rPr>
              <w:t>Uncertainty Orientation Scale (vgl. Shuper/Sorrentino 2004; Shuper et al. 2004; Sorrentino et al. 1992)</w:t>
            </w:r>
          </w:p>
          <w:p w14:paraId="6AE7561C" w14:textId="77777777" w:rsidR="00FF7799" w:rsidRPr="00E35FFF" w:rsidRDefault="00FF7799" w:rsidP="00EA5D69">
            <w:pPr>
              <w:pStyle w:val="StandardTextAufzhlung"/>
              <w:rPr>
                <w:bCs/>
                <w:lang w:val="en-US"/>
              </w:rPr>
            </w:pPr>
            <w:r w:rsidRPr="00E35FFF">
              <w:rPr>
                <w:lang w:val="en-US"/>
              </w:rPr>
              <w:t>Need for Cognitive Structure Scale (vgl. Bar-Tal et al. 1999; Bar-Tal et al. 1997; Bar-Tal 1994)</w:t>
            </w:r>
          </w:p>
          <w:p w14:paraId="47DF5600" w14:textId="77777777" w:rsidR="00FF7799" w:rsidRPr="00E35FFF" w:rsidRDefault="00FF7799" w:rsidP="00EA5D69">
            <w:pPr>
              <w:pStyle w:val="StandardTextAufzhlung"/>
              <w:rPr>
                <w:bCs/>
                <w:lang w:val="en-US"/>
              </w:rPr>
            </w:pPr>
            <w:r w:rsidRPr="00E35FFF">
              <w:rPr>
                <w:lang w:val="en-US"/>
              </w:rPr>
              <w:t>Tolerance for Ambiguity Scale (vgl. Kirton 1981; Budner 1962; Frenkel-Bunswik 1949)</w:t>
            </w:r>
          </w:p>
          <w:p w14:paraId="5DF31225" w14:textId="77777777" w:rsidR="00FF7799" w:rsidRPr="00E35FFF" w:rsidRDefault="00FF7799" w:rsidP="00EA5D69">
            <w:pPr>
              <w:pStyle w:val="StandardTextAufzhlung"/>
              <w:rPr>
                <w:bCs/>
                <w:lang w:val="en-US"/>
              </w:rPr>
            </w:pPr>
            <w:r w:rsidRPr="00E35FFF">
              <w:rPr>
                <w:lang w:val="en-US"/>
              </w:rPr>
              <w:t>Need for Structure Scale (vgl. Neuberg/Newson 1993</w:t>
            </w:r>
          </w:p>
          <w:p w14:paraId="510BEE9B" w14:textId="77777777" w:rsidR="00FF7799" w:rsidRPr="00E35FFF" w:rsidRDefault="00FF7799" w:rsidP="00EA5D69">
            <w:pPr>
              <w:pStyle w:val="StandardTextAufzhlung"/>
              <w:rPr>
                <w:bCs/>
                <w:lang w:val="en-US"/>
              </w:rPr>
            </w:pPr>
            <w:r w:rsidRPr="00E35FFF">
              <w:rPr>
                <w:lang w:val="en-US"/>
              </w:rPr>
              <w:t>Uncertainty Coping Scale (vgl. Greco/Roger 2001)</w:t>
            </w:r>
          </w:p>
          <w:p w14:paraId="51CD8FFE" w14:textId="77777777" w:rsidR="00FF7799" w:rsidRPr="00E35FFF" w:rsidRDefault="00FF7799" w:rsidP="00EA5D69">
            <w:pPr>
              <w:pStyle w:val="StandardTextAufzhlung"/>
              <w:rPr>
                <w:bCs/>
                <w:lang w:val="en-US"/>
              </w:rPr>
            </w:pPr>
            <w:r w:rsidRPr="00E35FFF">
              <w:rPr>
                <w:lang w:val="en-US"/>
              </w:rPr>
              <w:t>Emotion Regulation Questionnaire (vgl. Gross/John 2003)</w:t>
            </w:r>
          </w:p>
          <w:p w14:paraId="5619DB63" w14:textId="77777777" w:rsidR="00FF7799" w:rsidRPr="00E35FFF" w:rsidRDefault="00FF7799" w:rsidP="00EA5D69">
            <w:pPr>
              <w:pStyle w:val="StandardTextAufzhlung"/>
              <w:rPr>
                <w:bCs/>
                <w:lang w:val="en-US"/>
              </w:rPr>
            </w:pPr>
            <w:r w:rsidRPr="00E35FFF">
              <w:rPr>
                <w:lang w:val="en-US"/>
              </w:rPr>
              <w:t>Emotion Regulation Scale from the Intercultural Adjuytment Potential Scale (vgl. Matsumoto et al. 2004, 2003, 2001)</w:t>
            </w:r>
          </w:p>
        </w:tc>
      </w:tr>
      <w:tr w:rsidR="00FF7799" w:rsidRPr="00E17A2B" w14:paraId="5A62BA8D" w14:textId="77777777" w:rsidTr="00EA5D69">
        <w:tc>
          <w:tcPr>
            <w:tcW w:w="2660" w:type="dxa"/>
            <w:shd w:val="clear" w:color="auto" w:fill="FFF2CC" w:themeFill="accent4" w:themeFillTint="33"/>
          </w:tcPr>
          <w:p w14:paraId="29B10E29" w14:textId="77777777" w:rsidR="00FF7799" w:rsidRPr="00E73F6F" w:rsidRDefault="00FF7799" w:rsidP="00862DBA">
            <w:pPr>
              <w:rPr>
                <w:bCs/>
                <w:sz w:val="24"/>
                <w:szCs w:val="24"/>
              </w:rPr>
            </w:pPr>
            <w:r w:rsidRPr="00E73F6F">
              <w:rPr>
                <w:bCs/>
                <w:sz w:val="24"/>
                <w:szCs w:val="24"/>
              </w:rPr>
              <w:t>Akzeptanz von Machtdistanz</w:t>
            </w:r>
          </w:p>
        </w:tc>
        <w:tc>
          <w:tcPr>
            <w:tcW w:w="6552" w:type="dxa"/>
          </w:tcPr>
          <w:p w14:paraId="08790082" w14:textId="77777777" w:rsidR="00FF7799" w:rsidRPr="00E35FFF" w:rsidRDefault="00FF7799" w:rsidP="00EA5D69">
            <w:pPr>
              <w:pStyle w:val="StandardTextAufzhlung"/>
              <w:rPr>
                <w:bCs/>
                <w:lang w:val="en-US"/>
              </w:rPr>
            </w:pPr>
            <w:r w:rsidRPr="00E35FFF">
              <w:rPr>
                <w:lang w:val="en-US"/>
              </w:rPr>
              <w:t>Power Scale of the Schwartz Value Survey and Portrait Value Survey (vgl. Schwartz et al. 2001; Schwartz/Sagiv 1995; Schwartz 1994, 1992)</w:t>
            </w:r>
          </w:p>
          <w:p w14:paraId="251524E3" w14:textId="77777777" w:rsidR="00FF7799" w:rsidRPr="00E35FFF" w:rsidRDefault="00FF7799" w:rsidP="00EA5D69">
            <w:pPr>
              <w:pStyle w:val="StandardTextAufzhlung"/>
              <w:rPr>
                <w:bCs/>
                <w:lang w:val="en-US"/>
              </w:rPr>
            </w:pPr>
            <w:r w:rsidRPr="00E35FFF">
              <w:rPr>
                <w:lang w:val="en-US"/>
              </w:rPr>
              <w:t>Dominance Scale of the California Psychological Inventory (vgl. Gough 1956)</w:t>
            </w:r>
          </w:p>
          <w:p w14:paraId="3734F201" w14:textId="77777777" w:rsidR="00FF7799" w:rsidRPr="00E35FFF" w:rsidRDefault="00FF7799" w:rsidP="00EA5D69">
            <w:pPr>
              <w:pStyle w:val="StandardTextAufzhlung"/>
              <w:rPr>
                <w:bCs/>
                <w:lang w:val="en-US"/>
              </w:rPr>
            </w:pPr>
            <w:r w:rsidRPr="00E35FFF">
              <w:rPr>
                <w:lang w:val="en-US"/>
              </w:rPr>
              <w:t>Conscientiousness Scale (</w:t>
            </w:r>
            <w:proofErr w:type="spellStart"/>
            <w:r w:rsidRPr="00E35FFF">
              <w:rPr>
                <w:lang w:val="en-US"/>
              </w:rPr>
              <w:t>vgl</w:t>
            </w:r>
            <w:proofErr w:type="spellEnd"/>
            <w:r w:rsidRPr="00E35FFF">
              <w:rPr>
                <w:lang w:val="en-US"/>
              </w:rPr>
              <w:t>. McGrae/Costa 1997; Costa/McCrae 1992)</w:t>
            </w:r>
          </w:p>
          <w:p w14:paraId="0534EC87" w14:textId="77777777" w:rsidR="00FF7799" w:rsidRPr="00E35FFF" w:rsidRDefault="00FF7799" w:rsidP="00EA5D69">
            <w:pPr>
              <w:pStyle w:val="StandardTextAufzhlung"/>
              <w:rPr>
                <w:bCs/>
                <w:lang w:val="en-US"/>
              </w:rPr>
            </w:pPr>
            <w:r w:rsidRPr="00E35FFF">
              <w:rPr>
                <w:lang w:val="en-US"/>
              </w:rPr>
              <w:t>Status Differentiation Scale (vgl. Matsumoto 2005)</w:t>
            </w:r>
          </w:p>
        </w:tc>
      </w:tr>
      <w:tr w:rsidR="00FF7799" w:rsidRPr="00E17A2B" w14:paraId="30CF6C1D" w14:textId="77777777" w:rsidTr="00EA5D69">
        <w:tc>
          <w:tcPr>
            <w:tcW w:w="2660" w:type="dxa"/>
            <w:shd w:val="clear" w:color="auto" w:fill="FFF2CC" w:themeFill="accent4" w:themeFillTint="33"/>
          </w:tcPr>
          <w:p w14:paraId="189BA651" w14:textId="77777777" w:rsidR="00FF7799" w:rsidRPr="00E73F6F" w:rsidRDefault="00FF7799" w:rsidP="00862DBA">
            <w:pPr>
              <w:rPr>
                <w:bCs/>
                <w:sz w:val="24"/>
                <w:szCs w:val="24"/>
              </w:rPr>
            </w:pPr>
            <w:r w:rsidRPr="00E73F6F">
              <w:rPr>
                <w:bCs/>
                <w:sz w:val="24"/>
                <w:szCs w:val="24"/>
              </w:rPr>
              <w:t>Maskulinität vs. Feminität</w:t>
            </w:r>
          </w:p>
        </w:tc>
        <w:tc>
          <w:tcPr>
            <w:tcW w:w="6552" w:type="dxa"/>
          </w:tcPr>
          <w:p w14:paraId="264824E7" w14:textId="77777777" w:rsidR="00FF7799" w:rsidRPr="00E35FFF" w:rsidRDefault="00FF7799" w:rsidP="00EA5D69">
            <w:pPr>
              <w:pStyle w:val="StandardTextAufzhlung"/>
              <w:rPr>
                <w:bCs/>
                <w:lang w:val="en-US"/>
              </w:rPr>
            </w:pPr>
            <w:r w:rsidRPr="00E35FFF">
              <w:rPr>
                <w:lang w:val="en-US"/>
              </w:rPr>
              <w:t>Bem Sex Role Inventory (vgl. Bem 1981)</w:t>
            </w:r>
          </w:p>
          <w:p w14:paraId="38BC8397" w14:textId="77777777" w:rsidR="00FF7799" w:rsidRPr="00E35FFF" w:rsidRDefault="00FF7799" w:rsidP="00EA5D69">
            <w:pPr>
              <w:pStyle w:val="StandardTextAufzhlung"/>
              <w:rPr>
                <w:bCs/>
                <w:lang w:val="en-US"/>
              </w:rPr>
            </w:pPr>
            <w:r w:rsidRPr="00E35FFF">
              <w:rPr>
                <w:lang w:val="en-US"/>
              </w:rPr>
              <w:t>Feminity Scale of the California Psychological Inventory (vgl. Gough 1986)</w:t>
            </w:r>
          </w:p>
          <w:p w14:paraId="3311113F" w14:textId="77777777" w:rsidR="00FF7799" w:rsidRPr="00E35FFF" w:rsidRDefault="00FF7799" w:rsidP="00EA5D69">
            <w:pPr>
              <w:pStyle w:val="StandardTextAufzhlung"/>
              <w:rPr>
                <w:bCs/>
                <w:lang w:val="en-US"/>
              </w:rPr>
            </w:pPr>
            <w:r w:rsidRPr="00E35FFF">
              <w:rPr>
                <w:lang w:val="en-US"/>
              </w:rPr>
              <w:t>Mf Scale of the Minnesota Multiphasic Personality Inventory (vgl. Butcher 2006)</w:t>
            </w:r>
          </w:p>
        </w:tc>
      </w:tr>
      <w:tr w:rsidR="00FF7799" w:rsidRPr="00E73F6F" w14:paraId="33BE7D5B" w14:textId="77777777" w:rsidTr="00EA5D69">
        <w:tc>
          <w:tcPr>
            <w:tcW w:w="2660" w:type="dxa"/>
            <w:shd w:val="clear" w:color="auto" w:fill="FFF2CC" w:themeFill="accent4" w:themeFillTint="33"/>
            <w:vAlign w:val="center"/>
          </w:tcPr>
          <w:p w14:paraId="2073604A" w14:textId="77777777" w:rsidR="00FF7799" w:rsidRPr="00E73F6F" w:rsidRDefault="00FF7799" w:rsidP="00862DBA">
            <w:pPr>
              <w:pStyle w:val="Literatur"/>
              <w:numPr>
                <w:ilvl w:val="0"/>
                <w:numId w:val="0"/>
              </w:numPr>
              <w:spacing w:line="240" w:lineRule="auto"/>
              <w:jc w:val="left"/>
              <w:rPr>
                <w:bCs w:val="0"/>
                <w:sz w:val="24"/>
                <w:szCs w:val="24"/>
              </w:rPr>
            </w:pPr>
            <w:r w:rsidRPr="00E73F6F">
              <w:rPr>
                <w:sz w:val="24"/>
                <w:szCs w:val="24"/>
              </w:rPr>
              <w:t>Langzeit- vs. Kurzzeitorientierung</w:t>
            </w:r>
          </w:p>
        </w:tc>
        <w:tc>
          <w:tcPr>
            <w:tcW w:w="6552" w:type="dxa"/>
            <w:vAlign w:val="center"/>
          </w:tcPr>
          <w:p w14:paraId="0541C2DD" w14:textId="77777777" w:rsidR="00FF7799" w:rsidRPr="00E35FFF" w:rsidRDefault="00FF7799" w:rsidP="00EA5D69">
            <w:pPr>
              <w:pStyle w:val="StandardTextAufzhlung"/>
              <w:rPr>
                <w:bCs/>
                <w:lang w:val="en-US"/>
              </w:rPr>
            </w:pPr>
            <w:r w:rsidRPr="00E35FFF">
              <w:rPr>
                <w:lang w:val="en-US"/>
              </w:rPr>
              <w:t>Time Orientation Scale (vgl. Zimbardo/Boyd 1999)</w:t>
            </w:r>
          </w:p>
          <w:p w14:paraId="46DD52CE" w14:textId="77777777" w:rsidR="00FF7799" w:rsidRPr="00E73F6F" w:rsidRDefault="00FF7799" w:rsidP="00EA5D69">
            <w:pPr>
              <w:pStyle w:val="StandardTextAufzhlung"/>
              <w:rPr>
                <w:bCs/>
              </w:rPr>
            </w:pPr>
            <w:r w:rsidRPr="00E73F6F">
              <w:t>LTO (Bearden et al. 2006b)</w:t>
            </w:r>
          </w:p>
        </w:tc>
      </w:tr>
    </w:tbl>
    <w:p w14:paraId="2DDBE1B4" w14:textId="77777777" w:rsidR="00FF7799" w:rsidRPr="00E73F6F" w:rsidRDefault="00FF7799" w:rsidP="00EA5D69">
      <w:pPr>
        <w:pStyle w:val="Quellen"/>
      </w:pPr>
      <w:r w:rsidRPr="00E73F6F">
        <w:t>Quelle: Matsumoto/Yoo (2006, S.242).</w:t>
      </w:r>
    </w:p>
    <w:p w14:paraId="676E8177" w14:textId="77777777" w:rsidR="00FF7799" w:rsidRPr="00E73F6F" w:rsidRDefault="00FF7799" w:rsidP="00EA5D69">
      <w:pPr>
        <w:pStyle w:val="StandardText"/>
      </w:pPr>
    </w:p>
    <w:p w14:paraId="1569B296" w14:textId="77777777" w:rsidR="00FF7799" w:rsidRPr="00420B47" w:rsidRDefault="00FF7799" w:rsidP="00EA5D69">
      <w:pPr>
        <w:pStyle w:val="StandardText"/>
        <w:rPr>
          <w:sz w:val="22"/>
          <w:szCs w:val="22"/>
          <w:lang w:val="en-US"/>
        </w:rPr>
      </w:pPr>
      <w:r w:rsidRPr="00420B47">
        <w:rPr>
          <w:b/>
          <w:i/>
          <w:sz w:val="22"/>
          <w:szCs w:val="22"/>
          <w:lang w:val="en-US"/>
        </w:rPr>
        <w:t>Literatur:</w:t>
      </w:r>
      <w:r w:rsidRPr="00420B47">
        <w:rPr>
          <w:b/>
          <w:sz w:val="22"/>
          <w:szCs w:val="22"/>
          <w:lang w:val="en-US"/>
        </w:rPr>
        <w:t xml:space="preserve"> </w:t>
      </w:r>
      <w:r w:rsidRPr="00420B47">
        <w:rPr>
          <w:sz w:val="22"/>
          <w:szCs w:val="22"/>
          <w:lang w:val="en-US"/>
        </w:rPr>
        <w:t xml:space="preserve">Bar-Tal, Y. (1994): The Effect on Mundane Decision-Making of the Need and Ability to Achieve Cognitive Structure, European Journal of Personality, 8(1): 45-58. Bar-Tal, Y.; Kishon-Rabin, L.; Tabak, N. (1997): The Effect of Need and Ability to Achieve Cognitive Structuring on Cognitive Structuring, Journal of Personality and Social Psychology, 73(6): 1158-1176. Bar-Tal, Y.; Raviv, A.; Spitzer, A. (1999): The Need and Ability to Achieve Cognitive Structuring: Individual Differences that Moderate the Effect of Stress on Information Processing, Journal of Personality and Social Psychology, 77(1): 33-51. Bearden, W.O.; Money, R.B.; Nevins, J.L. (2006b): A Measure of Long-Term Orientation. </w:t>
      </w:r>
      <w:r w:rsidRPr="00420B47">
        <w:rPr>
          <w:sz w:val="22"/>
          <w:szCs w:val="22"/>
          <w:lang w:val="en-US"/>
        </w:rPr>
        <w:lastRenderedPageBreak/>
        <w:t>Development and Validation, Journal of the Academy of Marketing Science, 34(3): 456-467. Bem, S.L. (1981): The BSRI and Gender Schema Theory. A Reply to Spence and Helmreich, Psychological Review, 88(4): 369-371. Budner, S. (1962): Intolerance of Ambiguity as a Personality Variable, Journal of Personality, 30(1): 29-50. Costa, P.T., Jr; McCrae, R.R. (1992): Revised NEO Personality Inventory (NEO-PI-R) and NEO Five-Factory Inventory (NEO-FFI) Professional Manual, Odessa/FL: Psychological Assessment Resources. Frenkel-Bunswik, E. (1949): Intolerance of Ambiguity as an Emotional and Perceptual Personality Variable, Journal of Personality, 18(1): 108-143. Gough, H.G. (1956): Manual for the California Psychological Inventory, Palo Alto/CA: Consulting Psychologist Press. Greco, V.; Roger, D. (2001): Coping with Uncertainty. The Construction and Validation of a New Measure, Personality and Individual Difference, 31(4): 519-534. Gross, J.J.; John, O.P. (2003): Individual Differences in Two Emotion Regulation Processes. Implication for Affect, Relationships, and Well-Being, Journal of Personality and Social Psychology, 85(2): 348-362. Kirton, M.J. (1981): A Reanalysis of Two Scales of Tolerance of Ambiguity, Journal of Personality Assessment, 45(4): 407-414. Matsumoto, D.; LeRoux, J.A.; Bernhard, R.; Gray, H. (2004): Unraveling the Personality and Behavioral Correlates of Intercultural Adjustment Potential, International Journal of Intercultural Relations, 28: 281-309. Matsumoto, D.; LeRoux, J.A.; Iwamoto, M.; Choi, J.W.; Rogers, D.; Tatani, H.; Uchida, H. (2003): The Robustness of the Intercultural Adjustment Potential Scale (ICAPS). The Search for a Universal Psychological Engine of Adjustment, International Journal of Intercultural Relations, 27: 543-562. Matsumoto, D.; LeRoux, J.A.; Ratzlaff, C.; Tatani, H.; Uchida, H.; Kim, C; Araki, S. (2001): Development and validation of a measure of intercultural adjustment potential in Japanese sojourners: The intercultural Adjustment Potential Scale (ICAPS), International Journal of Intercultural Relations, 25: 483-510. Matsumoto, D.; Yoo, S.H. (2006): Toward a New Generation of Cross-Cultural Research, Perspectives on Psychological Science, 1(3): 234-250. McGrae, R.R.; Costa, P.T. (1997): Personality Trait Structure as a Human Universal, American Psychologist, 52(5): 509-516. Neuberg; S.L.; Newson, J.T. (1993): Personal Need for Structure. Individual differences in the desire for simpler structure, Journal of Personality and Social Psychology, 65(1): 113-131. Schwartz, S.H.; Melech, G.; Lehmann, A.; Burgess, S.; Harris, M.; Owens, V. (2001): Extending the Cross-Cultural Validity of the Theory of Basic Human Values with a Different Method of Measurement, Journal of Cross-Cultural Psychology, 32(5): 519-542. Schwartz, S.H.; Sagiv, L. (1995): Identifying Culture-Specifics in the Content and Structure of Values, Journal of Cross-Cultural Psychology, 26(1): 92</w:t>
      </w:r>
      <w:r w:rsidRPr="00420B47">
        <w:rPr>
          <w:sz w:val="22"/>
          <w:szCs w:val="22"/>
          <w:lang w:val="en-US"/>
        </w:rPr>
        <w:noBreakHyphen/>
        <w:t>116. Schwartz, S.H. (1992): Universals in the Content and Structure of Values. Theoretical Advances and Empirical Tests in 20 Countries, in: Zanna, M.P. (Ed.), Advances in Experimental Social Psychology, Vol.25, 1-65, San Diego/CA: Academic Press. Schwartz, S.H. (1994): Are there Universal Aspects in the Structure and Contents of Human Values? Journal of Social Issues, 50(4): 19</w:t>
      </w:r>
      <w:r w:rsidRPr="00420B47">
        <w:rPr>
          <w:sz w:val="22"/>
          <w:szCs w:val="22"/>
          <w:lang w:val="en-US"/>
        </w:rPr>
        <w:noBreakHyphen/>
        <w:t>45. Shuper, P.A.; Sorrentino, R.M. (2004): Minority versus Majority Influence and Uncertainty Orientation. Processing Persuasive Messages on the Basis of Situational Expectancies, Journal of Social Psychology, 144(2): 127-147. Shuper, P.A.; Sorrentino, R.M.; Otsubo, Y.; Hodson, G.; Walker, A.M. (2004): A Theory of Uncertainty Orientation. Implications for the Study of Individual Differences within and across Cultures, Journal of Cross-Cultural Psychology, 35(4): 460-480. Sorrentino, R.M.; Hanna, S.E.; Roney, C.J.R. (1992): A Manual for Scoring Need for Uncertainty, in: C.P. Smith (Ed.), Motivation and Personality. Handbook of Thematic Content Analysis, 428-439 Cambridge/Engl.: Cambridge University Press. Triandis, H.C. (1995): Individualism and Collectivism, Boulder/CO: Westview. Yoo, B.; Donthu, N.; Lenartowicz, T. (2011): Measuring Hofstede's Five Dimensions of Cultural Valuethe Individual Level. Development and Validation of CVSCALE.</w:t>
      </w:r>
    </w:p>
    <w:p w14:paraId="12F4DDBE" w14:textId="77777777" w:rsidR="00FF7799" w:rsidRPr="00420B47" w:rsidRDefault="00FF7799" w:rsidP="00EA5D69">
      <w:pPr>
        <w:pStyle w:val="StandardText"/>
        <w:rPr>
          <w:sz w:val="22"/>
          <w:szCs w:val="22"/>
          <w:lang w:val="en-US"/>
        </w:rPr>
      </w:pPr>
    </w:p>
    <w:p w14:paraId="56EB6CCE" w14:textId="7F579336" w:rsidR="00FF7799" w:rsidRPr="00510E20" w:rsidRDefault="00FF7799" w:rsidP="00843B80">
      <w:pPr>
        <w:pStyle w:val="berschrift1"/>
        <w:rPr>
          <w:color w:val="2E74B5"/>
        </w:rPr>
      </w:pPr>
      <w:r w:rsidRPr="00510E20">
        <w:rPr>
          <w:color w:val="2E74B5"/>
        </w:rPr>
        <w:t>Personal Cultural Orientation</w:t>
      </w:r>
      <w:r w:rsidR="00510E20">
        <w:rPr>
          <w:color w:val="2E74B5"/>
        </w:rPr>
        <w:t xml:space="preserve"> (2)</w:t>
      </w:r>
      <w:r w:rsidRPr="00510E20">
        <w:rPr>
          <w:color w:val="2E74B5"/>
        </w:rPr>
        <w:t>: mehrdimensionale Skalen</w:t>
      </w:r>
    </w:p>
    <w:p w14:paraId="20BA102D" w14:textId="77777777" w:rsidR="00FF7799" w:rsidRPr="00E73F6F" w:rsidRDefault="00FF7799" w:rsidP="00EA5D69">
      <w:pPr>
        <w:pStyle w:val="StandardText"/>
      </w:pPr>
      <w:r w:rsidRPr="00E35FFF">
        <w:rPr>
          <w:bCs/>
          <w:lang w:val="en-US"/>
        </w:rPr>
        <w:t>Er</w:t>
      </w:r>
      <w:r w:rsidRPr="00E35FFF">
        <w:rPr>
          <w:lang w:val="en-US"/>
        </w:rPr>
        <w:t xml:space="preserve">dem et al. </w:t>
      </w:r>
      <w:r w:rsidRPr="00E73F6F">
        <w:t xml:space="preserve">(2006) haben insgesamt 13 Items aus den von Hofstede (1980) und Triandis (1995) entwickelten Skalen ausgewählt und den Bedingungen ihrer Untersuchung angepasst. Faktorenanalytisch wurden drei </w:t>
      </w:r>
      <w:r w:rsidR="007F2875">
        <w:sym w:font="Symbol" w:char="F0DE"/>
      </w:r>
      <w:r w:rsidR="007F2875">
        <w:t xml:space="preserve"> </w:t>
      </w:r>
      <w:r w:rsidRPr="00E73F6F">
        <w:t>Kulturdimensionen extrahiert. Diese erzielten akzeptable Reliabilitätswerte. Da aber den an dieser Studie beteiligten Wissenschaftlern nur daran gelegen war, drei Kulturdimensionen – nämlich Individualismus/Kollektivismus, Ungewissheitsvermeidung und Akzeptanz von Machtdistanz – zu operationalisieren, sind die Einsatzmöglichkeiten dieser Skala begrenzt. Umgekehrt verhält es sich mit der von Furrer et al. (2000) vorgestellten 20-</w:t>
      </w:r>
      <w:r w:rsidRPr="00E73F6F">
        <w:lastRenderedPageBreak/>
        <w:t>Item-Skala. Sie vermag die fünf Hofstede-Dimensionen abzubilden, allerdings auf einem unbefriedigenden psychometrischen Niveau: „psychometric properties of the scale were found to be very poor as it used Hofstede’s survey items directly for individuals“ (Yoo et al. 2006, S.196).</w:t>
      </w:r>
    </w:p>
    <w:p w14:paraId="1D0B530F" w14:textId="77777777" w:rsidR="00FF7799" w:rsidRPr="00E73F6F" w:rsidRDefault="00FF7799" w:rsidP="00EA5D69">
      <w:pPr>
        <w:pStyle w:val="StandardText"/>
      </w:pPr>
      <w:r w:rsidRPr="00E73F6F">
        <w:t>Wie die fünfdimensionale CVSCALE (Yoo et al. 2011) orientiert sich auch die PCO Scale (Sharma 2010) am Hofstede-Messmodell. Allerdings argumentiert S. Sharma – wie im Übrigen House et al. (2004) und andere Wissenschaftler auch –, dass die Hofstede-Kulturdimensionen nicht wirklich eindimensional seien:</w:t>
      </w:r>
    </w:p>
    <w:p w14:paraId="567E2F94" w14:textId="77777777" w:rsidR="00FF7799" w:rsidRPr="00E73F6F" w:rsidRDefault="00FF7799" w:rsidP="00685E66">
      <w:pPr>
        <w:pStyle w:val="StandardTextAufzhlung"/>
        <w:ind w:left="567"/>
      </w:pPr>
      <w:r w:rsidRPr="00E73F6F">
        <w:t>Individualismus-Kollektivismus: Sharma (2010) spaltet diese Dimension in zwei negativ korrelierte Dimensionen auf: „Unabhängigkeit“ (starkes Selbstkonzept und Streben nach Autonomie und persönlichem Erfolg) und „Interdependenz“ (starke Gruppenidentität, Gefühl der Zugehörigkeit und gemeinsamer Erfolg).</w:t>
      </w:r>
    </w:p>
    <w:p w14:paraId="41F42565" w14:textId="77777777" w:rsidR="00FF7799" w:rsidRPr="00E73F6F" w:rsidRDefault="00FF7799" w:rsidP="00685E66">
      <w:pPr>
        <w:pStyle w:val="StandardTextAufzhlung"/>
        <w:ind w:left="567"/>
      </w:pPr>
      <w:r w:rsidRPr="00E73F6F">
        <w:t>Akzeptanz von Machdistanz: Diese Dimension erfasst ursprünglich den Umgang mit ungleich verteilter Macht. Sie wird aber von S. Sharma in zwei positiv korrelierte Dimensionen gesplittet. „Macht“ (Akzeptanz von Autorität jeglicher Art) und „Soziale Ungleichheit“ (Akzeptanz von Ungleichheit in einer Gesellschaft).</w:t>
      </w:r>
    </w:p>
    <w:p w14:paraId="4E4B6B5B" w14:textId="77777777" w:rsidR="00FF7799" w:rsidRPr="00E73F6F" w:rsidRDefault="00FF7799" w:rsidP="00685E66">
      <w:pPr>
        <w:pStyle w:val="StandardTextAufzhlung"/>
        <w:ind w:left="567"/>
      </w:pPr>
      <w:r w:rsidRPr="00E73F6F">
        <w:t xml:space="preserve">Ungewissheitsvermeidung: Dazu tendieren nach G. Hofstede Menschen, die sich durch widersprüchliche, unbekannte Situationen bedroht fühlen. Diese Dimension lässt sich aufteilen in zwei positiv korrelierte Dimensionen: „Risikoaversion“ (Abneigung gegen Risiken) und „Ambiguitätsintoleranz“ (Abneigung gegen Zweideutigkeit und unsichere Situationen). </w:t>
      </w:r>
    </w:p>
    <w:p w14:paraId="3E626FD4" w14:textId="77777777" w:rsidR="00FF7799" w:rsidRPr="00E73F6F" w:rsidRDefault="00FF7799" w:rsidP="00685E66">
      <w:pPr>
        <w:pStyle w:val="StandardTextAufzhlung"/>
        <w:ind w:left="567"/>
      </w:pPr>
      <w:r w:rsidRPr="00E73F6F">
        <w:t>Maskulinität-Feminität: Diese Hofstede-Dimension wurde aufgespalten in „Maskulinität“ (Wichtigkeit männlicher Eigenschaften wie Bestimmtheit, Selbstbewusstsein, Aggression und Ambition) sowie „Geschlechtergleichheit“: In welchem Maße werden Männer und Frauen als gleich bzw. ungleich wahrgenommen (mit Blick auf soziale Rolle, Fähigkeiten, Rechte und Pflichten)?</w:t>
      </w:r>
    </w:p>
    <w:p w14:paraId="6168F5D3" w14:textId="77777777" w:rsidR="00FF7799" w:rsidRPr="00E73F6F" w:rsidRDefault="00FF7799" w:rsidP="00685E66">
      <w:pPr>
        <w:pStyle w:val="StandardTextAufzhlung"/>
        <w:ind w:left="567"/>
        <w:rPr>
          <w:bCs/>
        </w:rPr>
      </w:pPr>
      <w:r w:rsidRPr="00E73F6F">
        <w:t xml:space="preserve">Langzeitorientierung-Kurzzeitorientierung: Auch diese Dimension lässt sich in zwei Konzepte aufspalten, die positiv miteinander korrelieren: „Tradition“ (Wichtigkeit traditioneller Werte wie harte Arbeit, Mildtätigkeit, soziales Bewusstsein, Moral und </w:t>
      </w:r>
      <w:r w:rsidRPr="00E73F6F">
        <w:rPr>
          <w:bCs/>
        </w:rPr>
        <w:t>Respekt gegenüber dem eigenen Erbe) und „Besonnenheit“ (Wichtigkeit von Planung, Beharrlichkeit, Sparsamkeit und Zukunftsorientierung).</w:t>
      </w:r>
    </w:p>
    <w:p w14:paraId="12AB8961" w14:textId="77777777" w:rsidR="00FF7799" w:rsidRPr="00E73F6F" w:rsidRDefault="00FF7799" w:rsidP="00685E66">
      <w:pPr>
        <w:ind w:left="567"/>
        <w:rPr>
          <w:bCs/>
          <w:sz w:val="24"/>
          <w:szCs w:val="24"/>
          <w:lang w:eastAsia="de-DE"/>
        </w:rPr>
      </w:pPr>
    </w:p>
    <w:p w14:paraId="59C20D07" w14:textId="77777777" w:rsidR="00FF7799" w:rsidRPr="00E73F6F" w:rsidRDefault="00FF7799" w:rsidP="00EA5D69">
      <w:pPr>
        <w:pStyle w:val="StandardText"/>
      </w:pPr>
      <w:r w:rsidRPr="00E73F6F">
        <w:t xml:space="preserve">Auf Basis dieser Konzeptualisierung entwickelte Sharma (2010) in Tiefeninterviews mit Angehörigen von verschiedenen Kulturen einen Pool von 96 Items, den er im Verlauf der Skalenentwicklung und -validierung reduzierte. Faktorenanalytisch ließen sich die verbliebenen 40 Items den zehn. Dimensionen zuordnen (vgl. Tab. 1). Die zunächst an einer Stichprobe von Bewohnern Hong Kongs (Einheimische und Ausländer) validierte Skala wies zufriedenstellende psychometrische Eigenschaften auf. Außerdem ließ sich nomologische Validität nachweisen: einzelne dieser Kulturdimensionen korrelierten erwartungsgemäß mit Konstrukten wie Konsumenten-Ethnozentrismus und Konsumenten-Innovativität. Schließlich gelang es </w:t>
      </w:r>
      <w:r w:rsidRPr="00E73F6F">
        <w:rPr>
          <w:i/>
        </w:rPr>
        <w:t>S. Sharma</w:t>
      </w:r>
      <w:r w:rsidRPr="00E73F6F">
        <w:t xml:space="preserve">, die Faktorenstruktur des Messmodells in kulturell sehr unterschiedlichen Ländern zu replizieren (China, Indien, Großbritannien und USA). </w:t>
      </w:r>
    </w:p>
    <w:p w14:paraId="047AA7A1" w14:textId="77777777" w:rsidR="00FF7799" w:rsidRPr="00E73F6F" w:rsidRDefault="00FF7799" w:rsidP="00EA5D69">
      <w:pPr>
        <w:pStyle w:val="StandardText"/>
        <w:rPr>
          <w:szCs w:val="24"/>
        </w:rPr>
      </w:pPr>
    </w:p>
    <w:p w14:paraId="707D760C" w14:textId="77777777" w:rsidR="00FF7799" w:rsidRPr="00685E66" w:rsidRDefault="00FF7799" w:rsidP="00EA5D69">
      <w:pPr>
        <w:pStyle w:val="BeschriftungTab"/>
        <w:rPr>
          <w:i/>
          <w:iCs/>
        </w:rPr>
      </w:pPr>
      <w:r w:rsidRPr="00685E66">
        <w:rPr>
          <w:i/>
          <w:iCs/>
        </w:rPr>
        <w:t xml:space="preserve">Tab. 1: Dimensionen &amp; Items der PCO Scale </w:t>
      </w:r>
    </w:p>
    <w:tbl>
      <w:tblPr>
        <w:tblStyle w:val="Tabellenraster"/>
        <w:tblW w:w="0" w:type="auto"/>
        <w:tblBorders>
          <w:left w:val="none" w:sz="0" w:space="0" w:color="auto"/>
          <w:right w:val="none" w:sz="0" w:space="0" w:color="auto"/>
        </w:tblBorders>
        <w:tblLook w:val="04A0" w:firstRow="1" w:lastRow="0" w:firstColumn="1" w:lastColumn="0" w:noHBand="0" w:noVBand="1"/>
      </w:tblPr>
      <w:tblGrid>
        <w:gridCol w:w="9072"/>
      </w:tblGrid>
      <w:tr w:rsidR="00FF7799" w:rsidRPr="00E17A2B" w14:paraId="398BA35B" w14:textId="77777777" w:rsidTr="00F34173">
        <w:tc>
          <w:tcPr>
            <w:tcW w:w="9205" w:type="dxa"/>
          </w:tcPr>
          <w:p w14:paraId="18268ACB" w14:textId="77777777" w:rsidR="00FF7799" w:rsidRPr="00E73F6F" w:rsidRDefault="00FF7799" w:rsidP="00862DBA">
            <w:pPr>
              <w:rPr>
                <w:b/>
                <w:sz w:val="24"/>
                <w:szCs w:val="24"/>
              </w:rPr>
            </w:pPr>
            <w:r w:rsidRPr="00E73F6F">
              <w:rPr>
                <w:sz w:val="24"/>
                <w:szCs w:val="24"/>
              </w:rPr>
              <w:br w:type="page"/>
            </w:r>
            <w:r w:rsidRPr="00E73F6F">
              <w:rPr>
                <w:b/>
                <w:sz w:val="24"/>
                <w:szCs w:val="24"/>
              </w:rPr>
              <w:t xml:space="preserve">Independence (IND) </w:t>
            </w:r>
          </w:p>
          <w:p w14:paraId="19A75EE5" w14:textId="77777777" w:rsidR="00FF7799" w:rsidRPr="00E35FFF" w:rsidRDefault="00FF7799" w:rsidP="00EA5D69">
            <w:pPr>
              <w:pStyle w:val="StandardTextAufzhlung"/>
              <w:rPr>
                <w:lang w:val="en-US"/>
              </w:rPr>
            </w:pPr>
            <w:r w:rsidRPr="00E35FFF">
              <w:rPr>
                <w:lang w:val="en-US"/>
              </w:rPr>
              <w:t xml:space="preserve">I would rather depend on myself than others </w:t>
            </w:r>
          </w:p>
          <w:p w14:paraId="44F0462A" w14:textId="77777777" w:rsidR="00FF7799" w:rsidRPr="00E35FFF" w:rsidRDefault="00FF7799" w:rsidP="00EA5D69">
            <w:pPr>
              <w:pStyle w:val="StandardTextAufzhlung"/>
              <w:rPr>
                <w:lang w:val="en-US"/>
              </w:rPr>
            </w:pPr>
            <w:r w:rsidRPr="00E35FFF">
              <w:rPr>
                <w:lang w:val="en-US"/>
              </w:rPr>
              <w:t xml:space="preserve">My personal identity, independent of others, is important to me </w:t>
            </w:r>
          </w:p>
          <w:p w14:paraId="50C0A454" w14:textId="77777777" w:rsidR="00FF7799" w:rsidRPr="00E35FFF" w:rsidRDefault="00FF7799" w:rsidP="00EA5D69">
            <w:pPr>
              <w:pStyle w:val="StandardTextAufzhlung"/>
              <w:rPr>
                <w:lang w:val="en-US"/>
              </w:rPr>
            </w:pPr>
            <w:r w:rsidRPr="00E35FFF">
              <w:rPr>
                <w:lang w:val="en-US"/>
              </w:rPr>
              <w:t xml:space="preserve">I rely on myself most of the time, rarely on others </w:t>
            </w:r>
          </w:p>
          <w:p w14:paraId="096D1A03" w14:textId="77777777" w:rsidR="00FF7799" w:rsidRPr="00E35FFF" w:rsidRDefault="00FF7799" w:rsidP="00EA5D69">
            <w:pPr>
              <w:pStyle w:val="StandardTextAufzhlung"/>
              <w:rPr>
                <w:lang w:val="en-US"/>
              </w:rPr>
            </w:pPr>
            <w:r w:rsidRPr="00E35FFF">
              <w:rPr>
                <w:lang w:val="en-US"/>
              </w:rPr>
              <w:lastRenderedPageBreak/>
              <w:t xml:space="preserve">It is important that I do my job better than others </w:t>
            </w:r>
          </w:p>
        </w:tc>
      </w:tr>
      <w:tr w:rsidR="00FF7799" w:rsidRPr="00E17A2B" w14:paraId="416EB498" w14:textId="77777777" w:rsidTr="00F34173">
        <w:tc>
          <w:tcPr>
            <w:tcW w:w="9205" w:type="dxa"/>
          </w:tcPr>
          <w:p w14:paraId="3D06B1BA" w14:textId="77777777" w:rsidR="00FF7799" w:rsidRPr="00E73F6F" w:rsidRDefault="00FF7799" w:rsidP="00862DBA">
            <w:pPr>
              <w:rPr>
                <w:b/>
                <w:sz w:val="24"/>
                <w:szCs w:val="24"/>
              </w:rPr>
            </w:pPr>
            <w:r w:rsidRPr="00E73F6F">
              <w:rPr>
                <w:b/>
                <w:sz w:val="24"/>
                <w:szCs w:val="24"/>
              </w:rPr>
              <w:lastRenderedPageBreak/>
              <w:t xml:space="preserve">Interdependence (INT) </w:t>
            </w:r>
          </w:p>
          <w:p w14:paraId="44DCF3FA" w14:textId="77777777" w:rsidR="00FF7799" w:rsidRPr="00E6213E" w:rsidRDefault="00FF7799" w:rsidP="00EA5D69">
            <w:pPr>
              <w:pStyle w:val="StandardTextAufzhlung"/>
              <w:rPr>
                <w:lang w:val="en-US"/>
              </w:rPr>
            </w:pPr>
            <w:r w:rsidRPr="00E6213E">
              <w:rPr>
                <w:lang w:val="en-US"/>
              </w:rPr>
              <w:t xml:space="preserve">The well-being of my group members is important for me </w:t>
            </w:r>
          </w:p>
          <w:p w14:paraId="6B889BA1" w14:textId="77777777" w:rsidR="00FF7799" w:rsidRPr="00E35FFF" w:rsidRDefault="00FF7799" w:rsidP="00EA5D69">
            <w:pPr>
              <w:pStyle w:val="StandardTextAufzhlung"/>
              <w:rPr>
                <w:lang w:val="en-US"/>
              </w:rPr>
            </w:pPr>
            <w:r w:rsidRPr="00E35FFF">
              <w:rPr>
                <w:lang w:val="en-US"/>
              </w:rPr>
              <w:t xml:space="preserve">I feel good when I cooperate with my group members </w:t>
            </w:r>
          </w:p>
          <w:p w14:paraId="72C75936" w14:textId="77777777" w:rsidR="00FF7799" w:rsidRPr="00E35FFF" w:rsidRDefault="00FF7799" w:rsidP="00EA5D69">
            <w:pPr>
              <w:pStyle w:val="StandardTextAufzhlung"/>
              <w:rPr>
                <w:lang w:val="en-US"/>
              </w:rPr>
            </w:pPr>
            <w:r w:rsidRPr="00E35FFF">
              <w:rPr>
                <w:lang w:val="en-US"/>
              </w:rPr>
              <w:t xml:space="preserve">It is my duty to take care of my family members, whatever it takes </w:t>
            </w:r>
          </w:p>
          <w:p w14:paraId="64B651D8" w14:textId="77777777" w:rsidR="00FF7799" w:rsidRPr="00E35FFF" w:rsidRDefault="00FF7799" w:rsidP="00EA5D69">
            <w:pPr>
              <w:pStyle w:val="StandardTextAufzhlung"/>
              <w:rPr>
                <w:lang w:val="en-US"/>
              </w:rPr>
            </w:pPr>
            <w:r w:rsidRPr="00E35FFF">
              <w:rPr>
                <w:lang w:val="en-US"/>
              </w:rPr>
              <w:t xml:space="preserve">Family members should stick together, even if they do not agree </w:t>
            </w:r>
          </w:p>
        </w:tc>
      </w:tr>
      <w:tr w:rsidR="00FF7799" w:rsidRPr="00E17A2B" w14:paraId="60857C78" w14:textId="77777777" w:rsidTr="00F34173">
        <w:tc>
          <w:tcPr>
            <w:tcW w:w="9205" w:type="dxa"/>
          </w:tcPr>
          <w:p w14:paraId="4F12FEFD" w14:textId="77777777" w:rsidR="00FF7799" w:rsidRPr="00E73F6F" w:rsidRDefault="00FF7799" w:rsidP="00862DBA">
            <w:pPr>
              <w:rPr>
                <w:b/>
                <w:sz w:val="24"/>
                <w:szCs w:val="24"/>
              </w:rPr>
            </w:pPr>
            <w:r w:rsidRPr="00E73F6F">
              <w:rPr>
                <w:b/>
                <w:sz w:val="24"/>
                <w:szCs w:val="24"/>
              </w:rPr>
              <w:t xml:space="preserve">Power (POW) </w:t>
            </w:r>
          </w:p>
          <w:p w14:paraId="26CD0C99" w14:textId="77777777" w:rsidR="00FF7799" w:rsidRPr="00E35FFF" w:rsidRDefault="00FF7799" w:rsidP="00EA5D69">
            <w:pPr>
              <w:pStyle w:val="StandardTextAufzhlung"/>
              <w:rPr>
                <w:lang w:val="en-US"/>
              </w:rPr>
            </w:pPr>
            <w:r w:rsidRPr="00E35FFF">
              <w:rPr>
                <w:lang w:val="en-US"/>
              </w:rPr>
              <w:t xml:space="preserve">I easily conform to the wishes of someone in a higher position than mine. </w:t>
            </w:r>
          </w:p>
          <w:p w14:paraId="23691782" w14:textId="77777777" w:rsidR="00FF7799" w:rsidRPr="00E35FFF" w:rsidRDefault="00FF7799" w:rsidP="00EA5D69">
            <w:pPr>
              <w:pStyle w:val="StandardTextAufzhlung"/>
              <w:rPr>
                <w:lang w:val="en-US"/>
              </w:rPr>
            </w:pPr>
            <w:r w:rsidRPr="00E35FFF">
              <w:rPr>
                <w:lang w:val="en-US"/>
              </w:rPr>
              <w:t xml:space="preserve">It is difficult for me to refuse a request if someone senior asks me </w:t>
            </w:r>
          </w:p>
          <w:p w14:paraId="11B7AC79" w14:textId="77777777" w:rsidR="00FF7799" w:rsidRPr="00E35FFF" w:rsidRDefault="00FF7799" w:rsidP="00EA5D69">
            <w:pPr>
              <w:pStyle w:val="StandardTextAufzhlung"/>
              <w:rPr>
                <w:lang w:val="en-US"/>
              </w:rPr>
            </w:pPr>
            <w:r w:rsidRPr="00E35FFF">
              <w:rPr>
                <w:lang w:val="en-US"/>
              </w:rPr>
              <w:t xml:space="preserve">I tend to follow orders without asking any questions. </w:t>
            </w:r>
          </w:p>
          <w:p w14:paraId="4E60540E" w14:textId="77777777" w:rsidR="00FF7799" w:rsidRPr="00E35FFF" w:rsidRDefault="00FF7799" w:rsidP="00EA5D69">
            <w:pPr>
              <w:pStyle w:val="StandardTextAufzhlung"/>
              <w:rPr>
                <w:lang w:val="en-US"/>
              </w:rPr>
            </w:pPr>
            <w:r w:rsidRPr="00E35FFF">
              <w:rPr>
                <w:lang w:val="en-US"/>
              </w:rPr>
              <w:t xml:space="preserve">I find it hard to disagree with authority figures. </w:t>
            </w:r>
          </w:p>
        </w:tc>
      </w:tr>
      <w:tr w:rsidR="00FF7799" w:rsidRPr="00E17A2B" w14:paraId="45E91106" w14:textId="77777777" w:rsidTr="00F34173">
        <w:tc>
          <w:tcPr>
            <w:tcW w:w="9205" w:type="dxa"/>
          </w:tcPr>
          <w:p w14:paraId="7C04EA32" w14:textId="77777777" w:rsidR="00FF7799" w:rsidRPr="00E73F6F" w:rsidRDefault="00FF7799" w:rsidP="00862DBA">
            <w:pPr>
              <w:rPr>
                <w:sz w:val="24"/>
                <w:szCs w:val="24"/>
              </w:rPr>
            </w:pPr>
            <w:r w:rsidRPr="00E73F6F">
              <w:rPr>
                <w:b/>
                <w:sz w:val="24"/>
                <w:szCs w:val="24"/>
              </w:rPr>
              <w:t>Social Inequality (IEQ</w:t>
            </w:r>
            <w:r w:rsidRPr="00E73F6F">
              <w:rPr>
                <w:sz w:val="24"/>
                <w:szCs w:val="24"/>
              </w:rPr>
              <w:t xml:space="preserve">) </w:t>
            </w:r>
          </w:p>
          <w:p w14:paraId="639981DD" w14:textId="77777777" w:rsidR="00FF7799" w:rsidRPr="00E35FFF" w:rsidRDefault="00FF7799" w:rsidP="00EA5D69">
            <w:pPr>
              <w:pStyle w:val="StandardTextAufzhlung"/>
              <w:rPr>
                <w:lang w:val="en-US"/>
              </w:rPr>
            </w:pPr>
            <w:r w:rsidRPr="00E35FFF">
              <w:rPr>
                <w:lang w:val="en-US"/>
              </w:rPr>
              <w:t xml:space="preserve">A person’s social status reflects his or her place in the society </w:t>
            </w:r>
          </w:p>
          <w:p w14:paraId="1317E550" w14:textId="77777777" w:rsidR="00FF7799" w:rsidRPr="00E35FFF" w:rsidRDefault="00FF7799" w:rsidP="00EA5D69">
            <w:pPr>
              <w:pStyle w:val="StandardTextAufzhlung"/>
              <w:rPr>
                <w:lang w:val="en-US"/>
              </w:rPr>
            </w:pPr>
            <w:r w:rsidRPr="00E35FFF">
              <w:rPr>
                <w:lang w:val="en-US"/>
              </w:rPr>
              <w:t xml:space="preserve">It is important for everyone to know their rightful place in the society </w:t>
            </w:r>
          </w:p>
          <w:p w14:paraId="16C4E25E" w14:textId="77777777" w:rsidR="00FF7799" w:rsidRPr="00E35FFF" w:rsidRDefault="00FF7799" w:rsidP="00EA5D69">
            <w:pPr>
              <w:pStyle w:val="StandardTextAufzhlung"/>
              <w:rPr>
                <w:lang w:val="en-US"/>
              </w:rPr>
            </w:pPr>
            <w:r w:rsidRPr="00E35FFF">
              <w:rPr>
                <w:lang w:val="en-US"/>
              </w:rPr>
              <w:t xml:space="preserve">It is difficult to interact with people from different social status than mine </w:t>
            </w:r>
          </w:p>
          <w:p w14:paraId="1A2CDB62" w14:textId="77777777" w:rsidR="00FF7799" w:rsidRPr="00E35FFF" w:rsidRDefault="00FF7799" w:rsidP="00EA5D69">
            <w:pPr>
              <w:pStyle w:val="StandardTextAufzhlung"/>
              <w:rPr>
                <w:lang w:val="en-US"/>
              </w:rPr>
            </w:pPr>
            <w:r w:rsidRPr="00E35FFF">
              <w:rPr>
                <w:lang w:val="en-US"/>
              </w:rPr>
              <w:t xml:space="preserve">Unequal treatment for different people is an acceptable way of life for me </w:t>
            </w:r>
          </w:p>
        </w:tc>
      </w:tr>
      <w:tr w:rsidR="00FF7799" w:rsidRPr="00E17A2B" w14:paraId="0920EBFE" w14:textId="77777777" w:rsidTr="00F34173">
        <w:tc>
          <w:tcPr>
            <w:tcW w:w="9205" w:type="dxa"/>
          </w:tcPr>
          <w:p w14:paraId="193EE587" w14:textId="77777777" w:rsidR="00FF7799" w:rsidRPr="00E73F6F" w:rsidRDefault="00FF7799" w:rsidP="00862DBA">
            <w:pPr>
              <w:rPr>
                <w:b/>
                <w:sz w:val="24"/>
                <w:szCs w:val="24"/>
              </w:rPr>
            </w:pPr>
            <w:r w:rsidRPr="00E73F6F">
              <w:rPr>
                <w:b/>
                <w:sz w:val="24"/>
                <w:szCs w:val="24"/>
              </w:rPr>
              <w:t xml:space="preserve">Risk Aversion (RSK) </w:t>
            </w:r>
          </w:p>
          <w:p w14:paraId="1CF8376C" w14:textId="77777777" w:rsidR="00FF7799" w:rsidRPr="00E35FFF" w:rsidRDefault="00FF7799" w:rsidP="00EA5D69">
            <w:pPr>
              <w:pStyle w:val="StandardTextAufzhlung"/>
              <w:rPr>
                <w:lang w:val="en-US"/>
              </w:rPr>
            </w:pPr>
            <w:r w:rsidRPr="00E35FFF">
              <w:rPr>
                <w:lang w:val="en-US"/>
              </w:rPr>
              <w:t xml:space="preserve">I tend to avoid talking to strangers </w:t>
            </w:r>
          </w:p>
          <w:p w14:paraId="7972F9BB" w14:textId="77777777" w:rsidR="00FF7799" w:rsidRPr="00E35FFF" w:rsidRDefault="00FF7799" w:rsidP="00EA5D69">
            <w:pPr>
              <w:pStyle w:val="StandardTextAufzhlung"/>
              <w:rPr>
                <w:lang w:val="en-US"/>
              </w:rPr>
            </w:pPr>
            <w:r w:rsidRPr="00E35FFF">
              <w:rPr>
                <w:lang w:val="en-US"/>
              </w:rPr>
              <w:t xml:space="preserve">I prefer a routine way of life to an unpredictable one full of change </w:t>
            </w:r>
          </w:p>
          <w:p w14:paraId="4AE3706C" w14:textId="77777777" w:rsidR="00FF7799" w:rsidRPr="00E35FFF" w:rsidRDefault="00FF7799" w:rsidP="00EA5D69">
            <w:pPr>
              <w:pStyle w:val="StandardTextAufzhlung"/>
              <w:rPr>
                <w:lang w:val="en-US"/>
              </w:rPr>
            </w:pPr>
            <w:r w:rsidRPr="00E35FFF">
              <w:rPr>
                <w:lang w:val="en-US"/>
              </w:rPr>
              <w:t xml:space="preserve">I would not describe myself as a risk-taker </w:t>
            </w:r>
          </w:p>
          <w:p w14:paraId="125CB1E2" w14:textId="77777777" w:rsidR="00FF7799" w:rsidRPr="00E35FFF" w:rsidRDefault="00FF7799" w:rsidP="00EA5D69">
            <w:pPr>
              <w:pStyle w:val="StandardTextAufzhlung"/>
              <w:rPr>
                <w:lang w:val="en-US"/>
              </w:rPr>
            </w:pPr>
            <w:r w:rsidRPr="00E35FFF">
              <w:rPr>
                <w:lang w:val="en-US"/>
              </w:rPr>
              <w:t xml:space="preserve">I do not like taking too many chances to avoid making a mistake </w:t>
            </w:r>
          </w:p>
        </w:tc>
      </w:tr>
      <w:tr w:rsidR="00FF7799" w:rsidRPr="00E17A2B" w14:paraId="6747606B" w14:textId="77777777" w:rsidTr="00F34173">
        <w:tc>
          <w:tcPr>
            <w:tcW w:w="9205" w:type="dxa"/>
          </w:tcPr>
          <w:p w14:paraId="4F0A2E4A" w14:textId="77777777" w:rsidR="00FF7799" w:rsidRPr="00E73F6F" w:rsidRDefault="00FF7799" w:rsidP="00862DBA">
            <w:pPr>
              <w:rPr>
                <w:b/>
                <w:sz w:val="24"/>
                <w:szCs w:val="24"/>
              </w:rPr>
            </w:pPr>
            <w:r w:rsidRPr="00E73F6F">
              <w:rPr>
                <w:b/>
                <w:sz w:val="24"/>
                <w:szCs w:val="24"/>
              </w:rPr>
              <w:t xml:space="preserve">Ambiguity Intolerance (AMB) </w:t>
            </w:r>
          </w:p>
          <w:p w14:paraId="549E9D81" w14:textId="77777777" w:rsidR="00FF7799" w:rsidRPr="00E35FFF" w:rsidRDefault="00FF7799" w:rsidP="00EA5D69">
            <w:pPr>
              <w:pStyle w:val="StandardTextAufzhlung"/>
              <w:rPr>
                <w:lang w:val="en-US"/>
              </w:rPr>
            </w:pPr>
            <w:r w:rsidRPr="00E35FFF">
              <w:rPr>
                <w:lang w:val="en-US"/>
              </w:rPr>
              <w:t xml:space="preserve">I find it difficult to function without clear directions and instructions </w:t>
            </w:r>
          </w:p>
          <w:p w14:paraId="640D48C9" w14:textId="77777777" w:rsidR="00FF7799" w:rsidRPr="00E35FFF" w:rsidRDefault="00FF7799" w:rsidP="00EA5D69">
            <w:pPr>
              <w:pStyle w:val="StandardTextAufzhlung"/>
              <w:rPr>
                <w:lang w:val="en-US"/>
              </w:rPr>
            </w:pPr>
            <w:r w:rsidRPr="00E35FFF">
              <w:rPr>
                <w:lang w:val="en-US"/>
              </w:rPr>
              <w:t xml:space="preserve">I prefer specific instructions to broad guidelines </w:t>
            </w:r>
          </w:p>
          <w:p w14:paraId="6CAE2893" w14:textId="77777777" w:rsidR="00FF7799" w:rsidRPr="00E35FFF" w:rsidRDefault="00FF7799" w:rsidP="00EA5D69">
            <w:pPr>
              <w:pStyle w:val="StandardTextAufzhlung"/>
              <w:rPr>
                <w:lang w:val="en-US"/>
              </w:rPr>
            </w:pPr>
            <w:r w:rsidRPr="00E35FFF">
              <w:rPr>
                <w:lang w:val="en-US"/>
              </w:rPr>
              <w:t xml:space="preserve">I tend to get anxious easily when I don’t know an outcome </w:t>
            </w:r>
          </w:p>
          <w:p w14:paraId="70577C45" w14:textId="77777777" w:rsidR="00FF7799" w:rsidRPr="00E35FFF" w:rsidRDefault="00FF7799" w:rsidP="00EA5D69">
            <w:pPr>
              <w:pStyle w:val="StandardTextAufzhlung"/>
              <w:rPr>
                <w:lang w:val="en-US"/>
              </w:rPr>
            </w:pPr>
            <w:r w:rsidRPr="00E35FFF">
              <w:rPr>
                <w:lang w:val="en-US"/>
              </w:rPr>
              <w:t xml:space="preserve">I feel stressful when I cannot predict consequences </w:t>
            </w:r>
          </w:p>
        </w:tc>
      </w:tr>
      <w:tr w:rsidR="00FF7799" w:rsidRPr="00E17A2B" w14:paraId="549E8705" w14:textId="77777777" w:rsidTr="00F34173">
        <w:tc>
          <w:tcPr>
            <w:tcW w:w="9205" w:type="dxa"/>
          </w:tcPr>
          <w:p w14:paraId="384AE4BA" w14:textId="77777777" w:rsidR="00FF7799" w:rsidRPr="00E73F6F" w:rsidRDefault="00FF7799" w:rsidP="00862DBA">
            <w:pPr>
              <w:rPr>
                <w:b/>
                <w:sz w:val="24"/>
                <w:szCs w:val="24"/>
              </w:rPr>
            </w:pPr>
            <w:r w:rsidRPr="00E73F6F">
              <w:rPr>
                <w:b/>
                <w:sz w:val="24"/>
                <w:szCs w:val="24"/>
              </w:rPr>
              <w:t xml:space="preserve">Masculinity (MAS) </w:t>
            </w:r>
          </w:p>
          <w:p w14:paraId="2C359714" w14:textId="77777777" w:rsidR="00FF7799" w:rsidRPr="00E35FFF" w:rsidRDefault="00FF7799" w:rsidP="00EA5D69">
            <w:pPr>
              <w:pStyle w:val="StandardTextAufzhlung"/>
              <w:rPr>
                <w:lang w:val="en-US"/>
              </w:rPr>
            </w:pPr>
            <w:r w:rsidRPr="00E35FFF">
              <w:rPr>
                <w:lang w:val="en-US"/>
              </w:rPr>
              <w:t xml:space="preserve">Women are generally more caring than men </w:t>
            </w:r>
          </w:p>
          <w:p w14:paraId="1EF19623" w14:textId="77777777" w:rsidR="00FF7799" w:rsidRPr="00E35FFF" w:rsidRDefault="00FF7799" w:rsidP="00EA5D69">
            <w:pPr>
              <w:pStyle w:val="StandardTextAufzhlung"/>
              <w:rPr>
                <w:lang w:val="en-US"/>
              </w:rPr>
            </w:pPr>
            <w:r w:rsidRPr="00E35FFF">
              <w:rPr>
                <w:lang w:val="en-US"/>
              </w:rPr>
              <w:t xml:space="preserve">Men are generally physically stronger than women </w:t>
            </w:r>
          </w:p>
          <w:p w14:paraId="35197536" w14:textId="77777777" w:rsidR="00FF7799" w:rsidRPr="00E35FFF" w:rsidRDefault="00FF7799" w:rsidP="00EA5D69">
            <w:pPr>
              <w:pStyle w:val="StandardTextAufzhlung"/>
              <w:rPr>
                <w:lang w:val="en-US"/>
              </w:rPr>
            </w:pPr>
            <w:r w:rsidRPr="00E35FFF">
              <w:rPr>
                <w:lang w:val="en-US"/>
              </w:rPr>
              <w:t xml:space="preserve">Men are generally more ambitious than women </w:t>
            </w:r>
          </w:p>
          <w:p w14:paraId="2CB270CF" w14:textId="77777777" w:rsidR="00FF7799" w:rsidRPr="00E35FFF" w:rsidRDefault="00FF7799" w:rsidP="00EA5D69">
            <w:pPr>
              <w:pStyle w:val="StandardTextAufzhlung"/>
              <w:rPr>
                <w:lang w:val="en-US"/>
              </w:rPr>
            </w:pPr>
            <w:r w:rsidRPr="00E35FFF">
              <w:rPr>
                <w:lang w:val="en-US"/>
              </w:rPr>
              <w:t xml:space="preserve">Women are generally more modest than men </w:t>
            </w:r>
          </w:p>
        </w:tc>
      </w:tr>
      <w:tr w:rsidR="00FF7799" w:rsidRPr="00E17A2B" w14:paraId="1A0CCFB3" w14:textId="77777777" w:rsidTr="00F34173">
        <w:tc>
          <w:tcPr>
            <w:tcW w:w="9205" w:type="dxa"/>
          </w:tcPr>
          <w:p w14:paraId="60AEB224" w14:textId="77777777" w:rsidR="00FF7799" w:rsidRPr="00E73F6F" w:rsidRDefault="00FF7799" w:rsidP="00862DBA">
            <w:pPr>
              <w:rPr>
                <w:b/>
                <w:sz w:val="24"/>
                <w:szCs w:val="24"/>
              </w:rPr>
            </w:pPr>
            <w:r w:rsidRPr="00E73F6F">
              <w:rPr>
                <w:b/>
                <w:sz w:val="24"/>
                <w:szCs w:val="24"/>
              </w:rPr>
              <w:t xml:space="preserve">Gender Equality (GEQ) </w:t>
            </w:r>
          </w:p>
          <w:p w14:paraId="28F4FB6D" w14:textId="77777777" w:rsidR="00FF7799" w:rsidRPr="00E35FFF" w:rsidRDefault="00FF7799" w:rsidP="00EA5D69">
            <w:pPr>
              <w:pStyle w:val="StandardTextAufzhlung"/>
              <w:rPr>
                <w:lang w:val="en-US"/>
              </w:rPr>
            </w:pPr>
            <w:r w:rsidRPr="00E35FFF">
              <w:rPr>
                <w:lang w:val="en-US"/>
              </w:rPr>
              <w:t xml:space="preserve">It is ok for men to be emotional sometimes </w:t>
            </w:r>
          </w:p>
          <w:p w14:paraId="595E5119" w14:textId="77777777" w:rsidR="00FF7799" w:rsidRPr="00E35FFF" w:rsidRDefault="00FF7799" w:rsidP="00EA5D69">
            <w:pPr>
              <w:pStyle w:val="StandardTextAufzhlung"/>
              <w:rPr>
                <w:lang w:val="en-US"/>
              </w:rPr>
            </w:pPr>
            <w:r w:rsidRPr="00E35FFF">
              <w:rPr>
                <w:lang w:val="en-US"/>
              </w:rPr>
              <w:t xml:space="preserve">Men do not have to be the sole bread winner in a family </w:t>
            </w:r>
          </w:p>
          <w:p w14:paraId="125A1762" w14:textId="77777777" w:rsidR="00FF7799" w:rsidRPr="00E35FFF" w:rsidRDefault="00FF7799" w:rsidP="00EA5D69">
            <w:pPr>
              <w:pStyle w:val="StandardTextAufzhlung"/>
              <w:rPr>
                <w:lang w:val="en-US"/>
              </w:rPr>
            </w:pPr>
            <w:r w:rsidRPr="00E35FFF">
              <w:rPr>
                <w:lang w:val="en-US"/>
              </w:rPr>
              <w:t xml:space="preserve">Men can be as caring as women </w:t>
            </w:r>
          </w:p>
          <w:p w14:paraId="253FC246" w14:textId="77777777" w:rsidR="00FF7799" w:rsidRPr="00E35FFF" w:rsidRDefault="00FF7799" w:rsidP="00EA5D69">
            <w:pPr>
              <w:pStyle w:val="StandardTextAufzhlung"/>
              <w:rPr>
                <w:lang w:val="en-US"/>
              </w:rPr>
            </w:pPr>
            <w:r w:rsidRPr="00E35FFF">
              <w:rPr>
                <w:lang w:val="en-US"/>
              </w:rPr>
              <w:t xml:space="preserve">Women can be as ambitious as men </w:t>
            </w:r>
          </w:p>
        </w:tc>
      </w:tr>
      <w:tr w:rsidR="00FF7799" w:rsidRPr="00E17A2B" w14:paraId="3D40C4BE" w14:textId="77777777" w:rsidTr="00F34173">
        <w:tc>
          <w:tcPr>
            <w:tcW w:w="9205" w:type="dxa"/>
          </w:tcPr>
          <w:p w14:paraId="7888B873" w14:textId="77777777" w:rsidR="00FF7799" w:rsidRPr="00E73F6F" w:rsidRDefault="00FF7799" w:rsidP="00862DBA">
            <w:pPr>
              <w:rPr>
                <w:b/>
                <w:sz w:val="24"/>
                <w:szCs w:val="24"/>
              </w:rPr>
            </w:pPr>
            <w:r w:rsidRPr="00E73F6F">
              <w:rPr>
                <w:b/>
                <w:sz w:val="24"/>
                <w:szCs w:val="24"/>
              </w:rPr>
              <w:t xml:space="preserve">Tradition (TRD) </w:t>
            </w:r>
          </w:p>
          <w:p w14:paraId="30191D59" w14:textId="77777777" w:rsidR="00FF7799" w:rsidRPr="00E35FFF" w:rsidRDefault="00FF7799" w:rsidP="00EA5D69">
            <w:pPr>
              <w:pStyle w:val="StandardTextAufzhlung"/>
              <w:rPr>
                <w:lang w:val="en-US"/>
              </w:rPr>
            </w:pPr>
            <w:r w:rsidRPr="00E35FFF">
              <w:rPr>
                <w:lang w:val="en-US"/>
              </w:rPr>
              <w:t xml:space="preserve">I am proud of my culture </w:t>
            </w:r>
          </w:p>
          <w:p w14:paraId="4E87A5B0" w14:textId="77777777" w:rsidR="00FF7799" w:rsidRPr="00E35FFF" w:rsidRDefault="00FF7799" w:rsidP="00EA5D69">
            <w:pPr>
              <w:pStyle w:val="StandardTextAufzhlung"/>
              <w:rPr>
                <w:lang w:val="en-US"/>
              </w:rPr>
            </w:pPr>
            <w:r w:rsidRPr="00E35FFF">
              <w:rPr>
                <w:lang w:val="en-US"/>
              </w:rPr>
              <w:t xml:space="preserve">Respect for tradition is important for me </w:t>
            </w:r>
          </w:p>
          <w:p w14:paraId="44EC4048" w14:textId="77777777" w:rsidR="00FF7799" w:rsidRPr="00E35FFF" w:rsidRDefault="00FF7799" w:rsidP="00EA5D69">
            <w:pPr>
              <w:pStyle w:val="StandardTextAufzhlung"/>
              <w:rPr>
                <w:lang w:val="en-US"/>
              </w:rPr>
            </w:pPr>
            <w:r w:rsidRPr="00E35FFF">
              <w:rPr>
                <w:lang w:val="en-US"/>
              </w:rPr>
              <w:t xml:space="preserve">I value a strong link to my past </w:t>
            </w:r>
          </w:p>
          <w:p w14:paraId="366AE0D9" w14:textId="77777777" w:rsidR="00FF7799" w:rsidRPr="00E35FFF" w:rsidRDefault="00FF7799" w:rsidP="00EA5D69">
            <w:pPr>
              <w:pStyle w:val="StandardTextAufzhlung"/>
              <w:rPr>
                <w:lang w:val="en-US"/>
              </w:rPr>
            </w:pPr>
            <w:r w:rsidRPr="00E35FFF">
              <w:rPr>
                <w:lang w:val="en-US"/>
              </w:rPr>
              <w:t xml:space="preserve">Traditional values are important for me </w:t>
            </w:r>
          </w:p>
        </w:tc>
      </w:tr>
      <w:tr w:rsidR="00FF7799" w:rsidRPr="00E17A2B" w14:paraId="5996D3F5" w14:textId="77777777" w:rsidTr="00F34173">
        <w:tc>
          <w:tcPr>
            <w:tcW w:w="9205" w:type="dxa"/>
          </w:tcPr>
          <w:p w14:paraId="78C873AD" w14:textId="77777777" w:rsidR="00FF7799" w:rsidRPr="00E73F6F" w:rsidRDefault="00FF7799" w:rsidP="00862DBA">
            <w:pPr>
              <w:rPr>
                <w:b/>
                <w:sz w:val="24"/>
                <w:szCs w:val="24"/>
              </w:rPr>
            </w:pPr>
            <w:r w:rsidRPr="00E73F6F">
              <w:rPr>
                <w:b/>
                <w:sz w:val="24"/>
                <w:szCs w:val="24"/>
              </w:rPr>
              <w:t xml:space="preserve">Prudence (PRU) </w:t>
            </w:r>
          </w:p>
          <w:p w14:paraId="3D0ABF11" w14:textId="77777777" w:rsidR="00FF7799" w:rsidRPr="00E35FFF" w:rsidRDefault="00FF7799" w:rsidP="00EA5D69">
            <w:pPr>
              <w:pStyle w:val="StandardTextAufzhlung"/>
              <w:rPr>
                <w:lang w:val="en-US"/>
              </w:rPr>
            </w:pPr>
            <w:r w:rsidRPr="00E35FFF">
              <w:rPr>
                <w:lang w:val="en-US"/>
              </w:rPr>
              <w:t xml:space="preserve">I believe in planning for the long term </w:t>
            </w:r>
          </w:p>
          <w:p w14:paraId="6050B588" w14:textId="77777777" w:rsidR="00FF7799" w:rsidRPr="00E35FFF" w:rsidRDefault="00FF7799" w:rsidP="00EA5D69">
            <w:pPr>
              <w:pStyle w:val="StandardTextAufzhlung"/>
              <w:rPr>
                <w:lang w:val="en-US"/>
              </w:rPr>
            </w:pPr>
            <w:r w:rsidRPr="00E35FFF">
              <w:rPr>
                <w:lang w:val="en-US"/>
              </w:rPr>
              <w:t xml:space="preserve">I work hard for success in the future </w:t>
            </w:r>
          </w:p>
          <w:p w14:paraId="135111C1" w14:textId="77777777" w:rsidR="00FF7799" w:rsidRPr="00E35FFF" w:rsidRDefault="00FF7799" w:rsidP="00EA5D69">
            <w:pPr>
              <w:pStyle w:val="StandardTextAufzhlung"/>
              <w:rPr>
                <w:lang w:val="en-US"/>
              </w:rPr>
            </w:pPr>
            <w:r w:rsidRPr="00E35FFF">
              <w:rPr>
                <w:lang w:val="en-US"/>
              </w:rPr>
              <w:t xml:space="preserve">I am willing to give up today’s fun for success in the future </w:t>
            </w:r>
          </w:p>
          <w:p w14:paraId="2822C972" w14:textId="77777777" w:rsidR="00FF7799" w:rsidRPr="00E35FFF" w:rsidRDefault="00FF7799" w:rsidP="00EA5D69">
            <w:pPr>
              <w:pStyle w:val="StandardTextAufzhlung"/>
              <w:rPr>
                <w:lang w:val="en-US"/>
              </w:rPr>
            </w:pPr>
            <w:r w:rsidRPr="00E35FFF">
              <w:rPr>
                <w:lang w:val="en-US"/>
              </w:rPr>
              <w:t xml:space="preserve">I do not give up easily even if I do not succeed on my first attempt </w:t>
            </w:r>
          </w:p>
        </w:tc>
      </w:tr>
    </w:tbl>
    <w:p w14:paraId="0A4E4B07" w14:textId="77777777" w:rsidR="00FF7799" w:rsidRPr="00E73F6F" w:rsidRDefault="00FF7799" w:rsidP="00EA5D69">
      <w:pPr>
        <w:pStyle w:val="Quellen"/>
      </w:pPr>
      <w:r w:rsidRPr="00E73F6F">
        <w:t>Quelle: Sharma (2010, S. 794f.).</w:t>
      </w:r>
    </w:p>
    <w:p w14:paraId="78A10A08" w14:textId="77777777" w:rsidR="00FF7799" w:rsidRPr="00E73F6F" w:rsidRDefault="00FF7799" w:rsidP="00F34173">
      <w:pPr>
        <w:pStyle w:val="StandardText"/>
        <w:rPr>
          <w:snapToGrid w:val="0"/>
        </w:rPr>
      </w:pPr>
    </w:p>
    <w:p w14:paraId="550AC17A" w14:textId="77777777" w:rsidR="00FF7799" w:rsidRDefault="00FF7799" w:rsidP="00F34173">
      <w:pPr>
        <w:pStyle w:val="StandardText"/>
        <w:rPr>
          <w:bCs/>
        </w:rPr>
      </w:pPr>
      <w:r w:rsidRPr="00E73F6F">
        <w:rPr>
          <w:bCs/>
        </w:rPr>
        <w:t>Gegen die PCO-Skala spricht, dass die Aufspaltung der Hofstede-Kulturdimensionen zwar wohlbegründet und durchaus nachvollziehbar ist, sich aber empirisch nicht bewährt. Denn die Korrelationsmatrix weist zahlreiche signifikante Korrelationen aus (bspw. r = .53 zwischen ‘power‘ und ‘social inequality‘ oder r = .49 zwischen ‘power‘ und ‘interdependence‘; vgl. Sharma 2010, S.796). Auch besitzt das zehndimensionale Messmodell als singuläre Skalenentwicklung kaum Bezüge zur existierenden kulturvergleichenden Forschung, weshalb diese Skala bislang wenig Akzeptanz fand.</w:t>
      </w:r>
    </w:p>
    <w:p w14:paraId="18AD46CE" w14:textId="77777777" w:rsidR="00FF7799" w:rsidRPr="00420B47" w:rsidRDefault="00FF7799" w:rsidP="00F34173">
      <w:pPr>
        <w:pStyle w:val="StandardText"/>
        <w:rPr>
          <w:sz w:val="22"/>
          <w:szCs w:val="22"/>
          <w:lang w:val="en-US"/>
        </w:rPr>
      </w:pPr>
      <w:r w:rsidRPr="00420B47">
        <w:rPr>
          <w:b/>
          <w:i/>
          <w:sz w:val="22"/>
          <w:szCs w:val="22"/>
          <w:lang w:val="en-US"/>
        </w:rPr>
        <w:t>Literatur:</w:t>
      </w:r>
      <w:r w:rsidRPr="00420B47">
        <w:rPr>
          <w:b/>
          <w:sz w:val="22"/>
          <w:szCs w:val="22"/>
          <w:lang w:val="en-US"/>
        </w:rPr>
        <w:t xml:space="preserve"> </w:t>
      </w:r>
      <w:r w:rsidRPr="00420B47">
        <w:rPr>
          <w:sz w:val="22"/>
          <w:szCs w:val="22"/>
          <w:lang w:val="en-US"/>
        </w:rPr>
        <w:t>Erdem, T.; Swait, J.; Valenzuela, A. (2006): Brands as Signals. A Cross-Country Validation Study, Journal of Marketing, 70(1): 34-49. Furrer, O.; Liu, B.S.-C.; Sudharshan, D. (2000): The Relationships between Culture and Service Quality Perceptions. Basis for Cross-Cultural Market Segmentation and Resource Allocation. Journal of Service Research, 2(4): 355</w:t>
      </w:r>
      <w:r w:rsidRPr="00420B47">
        <w:rPr>
          <w:sz w:val="22"/>
          <w:szCs w:val="22"/>
          <w:lang w:val="en-US"/>
        </w:rPr>
        <w:noBreakHyphen/>
        <w:t>371. Hofstede, G. (1980): Culture’s Consequences. International Differences in Work-Related Values, Beverly Hills/CA: Sage. House, R.J.; Hanges, P.J.; Javidan, M.; Dorfman, P.W.; Gupta, V. (2004): Culture, Leadership and Organizations, The GLOBE Study of 62 Societies, Thousand Oaks/CA: Sage. Matsumoto, D.; Yoo, S.H. (2006): Toward a New Generation of Cross-Cultural Research, Perspectives on Psychological Science, 1(3): 234-250. Sharma, P. (2010): Measuring Personal Cultural Orientations. Scale Development and Validation, Journal of the Academy of Marketing Science, 38(6): 787-806. Triandis, H.C. (1995): Individualism and Collectivism, Boulder/CO: Westview. Yoo, B.; Donthu, N.; Lenartowicz, T. (2011): Measuring Hofstede's Five Dimensions of Cultural Values at the Individual Level. Development and Validation of CVSCALE, Journal of International Consumer Marketing, 23(3-4): 193-210</w:t>
      </w:r>
    </w:p>
    <w:p w14:paraId="4A820C60" w14:textId="77777777" w:rsidR="00FF7799" w:rsidRPr="00420B47" w:rsidRDefault="00FF7799" w:rsidP="00F34173">
      <w:pPr>
        <w:pStyle w:val="StandardText"/>
        <w:rPr>
          <w:sz w:val="22"/>
          <w:szCs w:val="22"/>
          <w:lang w:val="en-US"/>
        </w:rPr>
      </w:pPr>
    </w:p>
    <w:p w14:paraId="7A2199E9" w14:textId="77777777" w:rsidR="00FF7799" w:rsidRPr="00E73F6F" w:rsidRDefault="00FF7799" w:rsidP="00843B80">
      <w:pPr>
        <w:pStyle w:val="berschrift1"/>
        <w:rPr>
          <w:spacing w:val="-2"/>
        </w:rPr>
      </w:pPr>
      <w:r w:rsidRPr="00685E66">
        <w:rPr>
          <w:color w:val="2E74B5"/>
        </w:rPr>
        <w:t>Personalismus</w:t>
      </w:r>
      <w:r w:rsidRPr="00E73F6F">
        <w:rPr>
          <w:spacing w:val="-7"/>
        </w:rPr>
        <w:t xml:space="preserve"> </w:t>
      </w:r>
      <w:r w:rsidRPr="00E73F6F">
        <w:rPr>
          <w:b w:val="0"/>
        </w:rPr>
        <w:t>→</w:t>
      </w:r>
      <w:r w:rsidRPr="00E73F6F">
        <w:rPr>
          <w:b w:val="0"/>
          <w:spacing w:val="2"/>
        </w:rPr>
        <w:t xml:space="preserve"> </w:t>
      </w:r>
      <w:r w:rsidRPr="00E73F6F">
        <w:rPr>
          <w:b w:val="0"/>
          <w:spacing w:val="-2"/>
        </w:rPr>
        <w:t>Animismus</w:t>
      </w:r>
    </w:p>
    <w:p w14:paraId="761A7415" w14:textId="77777777" w:rsidR="00FF7799" w:rsidRPr="00E73F6F" w:rsidRDefault="00FF7799" w:rsidP="00843B80">
      <w:pPr>
        <w:pStyle w:val="berschrift1"/>
        <w:rPr>
          <w:kern w:val="32"/>
        </w:rPr>
      </w:pPr>
      <w:bookmarkStart w:id="117" w:name="_Toc226259992"/>
      <w:r w:rsidRPr="00685E66">
        <w:rPr>
          <w:color w:val="2E74B5"/>
        </w:rPr>
        <w:t>Persönlichkeit</w:t>
      </w:r>
      <w:bookmarkEnd w:id="117"/>
      <w:r w:rsidRPr="00685E66">
        <w:rPr>
          <w:color w:val="2E74B5"/>
        </w:rPr>
        <w:t>, autoritäre</w:t>
      </w:r>
    </w:p>
    <w:p w14:paraId="6FE42DF5" w14:textId="77777777" w:rsidR="00FF7799" w:rsidRPr="00E73F6F" w:rsidRDefault="00FF7799" w:rsidP="00F34173">
      <w:pPr>
        <w:pStyle w:val="StandardText"/>
        <w:rPr>
          <w:noProof/>
        </w:rPr>
      </w:pPr>
      <w:r w:rsidRPr="00E73F6F">
        <w:rPr>
          <w:noProof/>
        </w:rPr>
        <w:t>betrachtet die Welt als willkürlich bzw. unveränderlich. Autoritarismus lähmt zum einen die Bereitschaft, eigenständig und im Vertrauen auf die eigene Urteilsfähigkeit Ursache/Wirkungs-Zusammenhänge zu ergründen. Zum anderen fördert die autoritäre Persönlichkeitsstruktur die Neigung, unbekannte, neuartige, ambivalente etc. Verhaltensweisen oder Situationen zu meiden, weil man die damit möglicherweise verbundenen Frustrationen fürchtet.</w:t>
      </w:r>
    </w:p>
    <w:p w14:paraId="1FC3F23D" w14:textId="77777777" w:rsidR="00FF7799" w:rsidRPr="00E73F6F" w:rsidRDefault="00FF7799" w:rsidP="00F34173">
      <w:pPr>
        <w:pStyle w:val="StandardText"/>
        <w:rPr>
          <w:noProof/>
        </w:rPr>
      </w:pPr>
      <w:r w:rsidRPr="00E73F6F">
        <w:rPr>
          <w:noProof/>
        </w:rPr>
        <w:t>Dieses Konzept beruht auf den Theorien von Reich (1933) und Fromm (1936). Ausgangspunkt ist die Annahme, dass die Überzeugungen, die ein Individuum bspw. in Bezug auf Politik, Wirtschaft und Gesellschaft hegt, eine bestimmte Grundhaltung widerspiegeln. Autoritäre Personen wachsen in Familien auf, in denen ein dominanter, statusbewusster Vater und eine restriktive Mutter jegliche Form von Ungehorsam unterdrücken. Nicht zuletzt deshalb bedingt dieser Erziehungsstil frühzeitig die für den Autoritarismus typische Identifikation mit der Macht (hier: die Eltern). Sie geht einher mit Unterwürfigkeit. Neben Unterwerfung ist weiterhin Konventionalismus charakteristisch (vgl. Adorno et al. 1950).</w:t>
      </w:r>
    </w:p>
    <w:p w14:paraId="3B30C6BB" w14:textId="77777777" w:rsidR="00FF7799" w:rsidRPr="00E73F6F" w:rsidRDefault="00FF7799" w:rsidP="00F34173">
      <w:pPr>
        <w:pStyle w:val="StandardText"/>
        <w:rPr>
          <w:noProof/>
        </w:rPr>
      </w:pPr>
      <w:r w:rsidRPr="00E73F6F">
        <w:rPr>
          <w:noProof/>
        </w:rPr>
        <w:t>Autoritäre Menschen …</w:t>
      </w:r>
    </w:p>
    <w:p w14:paraId="5944D317" w14:textId="77777777" w:rsidR="00FF7799" w:rsidRPr="00E73F6F" w:rsidRDefault="00FF7799" w:rsidP="00685E66">
      <w:pPr>
        <w:pStyle w:val="StandardTextAufzhlung"/>
        <w:ind w:left="567"/>
        <w:rPr>
          <w:noProof/>
        </w:rPr>
      </w:pPr>
      <w:r w:rsidRPr="00E73F6F">
        <w:rPr>
          <w:noProof/>
        </w:rPr>
        <w:t>halten an den konventionellen Werten der Mittelklasse rigide fest,</w:t>
      </w:r>
    </w:p>
    <w:p w14:paraId="40630D6B" w14:textId="77777777" w:rsidR="00FF7799" w:rsidRPr="00E73F6F" w:rsidRDefault="00FF7799" w:rsidP="00685E66">
      <w:pPr>
        <w:pStyle w:val="StandardTextAufzhlung"/>
        <w:ind w:left="567"/>
        <w:rPr>
          <w:noProof/>
        </w:rPr>
      </w:pPr>
      <w:r w:rsidRPr="00E73F6F">
        <w:t>idealisieren</w:t>
      </w:r>
      <w:r w:rsidRPr="00E73F6F">
        <w:rPr>
          <w:noProof/>
        </w:rPr>
        <w:t xml:space="preserve"> die moralische Autorität des Bestehenden,</w:t>
      </w:r>
    </w:p>
    <w:p w14:paraId="3306A993" w14:textId="77777777" w:rsidR="00FF7799" w:rsidRPr="00E73F6F" w:rsidRDefault="00FF7799" w:rsidP="00685E66">
      <w:pPr>
        <w:pStyle w:val="StandardTextAufzhlung"/>
        <w:ind w:left="567"/>
        <w:rPr>
          <w:noProof/>
        </w:rPr>
      </w:pPr>
      <w:r w:rsidRPr="00E73F6F">
        <w:rPr>
          <w:noProof/>
        </w:rPr>
        <w:t xml:space="preserve">sind aggressiv, wenn andere Menschen konventionelle Werte verletzen, </w:t>
      </w:r>
    </w:p>
    <w:p w14:paraId="21A42EDE" w14:textId="77777777" w:rsidR="00FF7799" w:rsidRPr="00E73F6F" w:rsidRDefault="00FF7799" w:rsidP="00685E66">
      <w:pPr>
        <w:pStyle w:val="StandardTextAufzhlung"/>
        <w:ind w:left="567"/>
        <w:rPr>
          <w:noProof/>
        </w:rPr>
      </w:pPr>
      <w:r w:rsidRPr="00E73F6F">
        <w:rPr>
          <w:noProof/>
        </w:rPr>
        <w:t>lehnen Subjektives, Bildhaftes (Imaginatives) oder auf andere Weise sensible Gemütsregungen ab,</w:t>
      </w:r>
    </w:p>
    <w:p w14:paraId="32A6B28C" w14:textId="77777777" w:rsidR="00FF7799" w:rsidRPr="00E73F6F" w:rsidRDefault="00FF7799" w:rsidP="00685E66">
      <w:pPr>
        <w:pStyle w:val="StandardTextAufzhlung"/>
        <w:ind w:left="567"/>
        <w:rPr>
          <w:noProof/>
        </w:rPr>
      </w:pPr>
      <w:r w:rsidRPr="00E73F6F">
        <w:rPr>
          <w:noProof/>
        </w:rPr>
        <w:t xml:space="preserve">glauben an die Vorbestimmung des individuellen Schicksals und denken oft in rigiden Kategorien (d.h. sind anfällig für Aberglaube, Mystik und </w:t>
      </w:r>
      <w:r w:rsidR="00420B47">
        <w:sym w:font="Symbol" w:char="F0DE"/>
      </w:r>
      <w:r w:rsidRPr="00E73F6F">
        <w:t xml:space="preserve"> </w:t>
      </w:r>
      <w:r w:rsidRPr="00E73F6F">
        <w:rPr>
          <w:noProof/>
        </w:rPr>
        <w:t>stereotype Urteilsbildung),</w:t>
      </w:r>
    </w:p>
    <w:p w14:paraId="401C6BAB" w14:textId="77777777" w:rsidR="00FF7799" w:rsidRPr="00E73F6F" w:rsidRDefault="00FF7799" w:rsidP="00685E66">
      <w:pPr>
        <w:pStyle w:val="StandardTextAufzhlung"/>
        <w:ind w:left="567"/>
        <w:rPr>
          <w:noProof/>
        </w:rPr>
      </w:pPr>
      <w:r w:rsidRPr="00E73F6F">
        <w:rPr>
          <w:noProof/>
        </w:rPr>
        <w:t>denken in Gegensätzen (wie Dominanz-Unterwerfung, stark-schwach, Führer-Gefolgschaft) und identifizieren sich mit Gewaltfiguren,</w:t>
      </w:r>
    </w:p>
    <w:p w14:paraId="1D5B4B8D" w14:textId="77777777" w:rsidR="00FF7799" w:rsidRPr="00E73F6F" w:rsidRDefault="00FF7799" w:rsidP="00685E66">
      <w:pPr>
        <w:pStyle w:val="StandardTextAufzhlung"/>
        <w:ind w:left="567"/>
        <w:rPr>
          <w:noProof/>
        </w:rPr>
      </w:pPr>
      <w:r w:rsidRPr="00E73F6F">
        <w:rPr>
          <w:noProof/>
        </w:rPr>
        <w:lastRenderedPageBreak/>
        <w:t>sind zynisch und destruktiv,</w:t>
      </w:r>
    </w:p>
    <w:p w14:paraId="526E1E30" w14:textId="77777777" w:rsidR="00FF7799" w:rsidRPr="00E73F6F" w:rsidRDefault="00FF7799" w:rsidP="00685E66">
      <w:pPr>
        <w:pStyle w:val="StandardTextAufzhlung"/>
        <w:ind w:left="567"/>
        <w:rPr>
          <w:noProof/>
        </w:rPr>
      </w:pPr>
      <w:r w:rsidRPr="00E73F6F">
        <w:rPr>
          <w:noProof/>
        </w:rPr>
        <w:t>sind überzeugt davon, dass die Welt ein gefährlicher Ort ist,</w:t>
      </w:r>
    </w:p>
    <w:p w14:paraId="6588F997" w14:textId="77777777" w:rsidR="00FF7799" w:rsidRPr="00E73F6F" w:rsidRDefault="00FF7799" w:rsidP="00685E66">
      <w:pPr>
        <w:pStyle w:val="StandardTextAufzhlung"/>
        <w:ind w:left="567"/>
        <w:rPr>
          <w:noProof/>
        </w:rPr>
      </w:pPr>
      <w:r w:rsidRPr="00E73F6F">
        <w:rPr>
          <w:noProof/>
        </w:rPr>
        <w:t>sind übermäßig stark auf Sexualität fixiert.</w:t>
      </w:r>
    </w:p>
    <w:p w14:paraId="52DC141C" w14:textId="77777777" w:rsidR="00FF7799" w:rsidRPr="00420B47" w:rsidRDefault="00FF7799" w:rsidP="00F34173">
      <w:pPr>
        <w:pStyle w:val="StandardText"/>
        <w:rPr>
          <w:sz w:val="22"/>
          <w:szCs w:val="22"/>
        </w:rPr>
      </w:pPr>
      <w:proofErr w:type="spellStart"/>
      <w:r w:rsidRPr="00615299">
        <w:rPr>
          <w:b/>
          <w:i/>
          <w:sz w:val="22"/>
          <w:szCs w:val="22"/>
          <w:lang w:val="en-US"/>
        </w:rPr>
        <w:t>Literatur</w:t>
      </w:r>
      <w:proofErr w:type="spellEnd"/>
      <w:r w:rsidRPr="00615299">
        <w:rPr>
          <w:i/>
          <w:sz w:val="22"/>
          <w:szCs w:val="22"/>
          <w:lang w:val="en-US"/>
        </w:rPr>
        <w:t>:</w:t>
      </w:r>
      <w:r w:rsidRPr="00420B47">
        <w:rPr>
          <w:sz w:val="22"/>
          <w:szCs w:val="22"/>
          <w:lang w:val="en-US"/>
        </w:rPr>
        <w:t xml:space="preserve"> Adorno, T.W.; Frenkel-Brunswik, E.; Levinson, D.J.; Sanford, R.N. (1950): The Authoritarian Personality, New York: Harper &amp; Row. </w:t>
      </w:r>
      <w:r w:rsidRPr="00420B47">
        <w:rPr>
          <w:sz w:val="22"/>
          <w:szCs w:val="22"/>
        </w:rPr>
        <w:t>Fromm, E. (1936): Sozialpsychologischer Teil, in: Horkheimer M. (Hrsg.), Studien über Autorität und Familie, 77-135, Paris: Librairie Felix Alcan. Reich, W. (1933): Charakteranalyse, Wien: Selbstverlag des Verfassers.</w:t>
      </w:r>
    </w:p>
    <w:p w14:paraId="5FFC527B" w14:textId="77777777" w:rsidR="00FF7799" w:rsidRPr="00E73F6F" w:rsidRDefault="00FF7799" w:rsidP="00F34173">
      <w:pPr>
        <w:pStyle w:val="StandardText"/>
      </w:pPr>
    </w:p>
    <w:p w14:paraId="6DF5307E" w14:textId="77777777" w:rsidR="00FF7799" w:rsidRPr="00E73F6F" w:rsidRDefault="00FF7799" w:rsidP="00843B80">
      <w:pPr>
        <w:pStyle w:val="berschrift1"/>
        <w:rPr>
          <w:noProof/>
          <w:lang w:eastAsia="de-DE"/>
        </w:rPr>
      </w:pPr>
      <w:r w:rsidRPr="00685E66">
        <w:rPr>
          <w:color w:val="2E74B5"/>
        </w:rPr>
        <w:t>Phasenmodelle</w:t>
      </w:r>
      <w:r w:rsidRPr="00E73F6F">
        <w:rPr>
          <w:noProof/>
          <w:lang w:eastAsia="de-DE"/>
        </w:rPr>
        <w:t xml:space="preserve"> </w:t>
      </w:r>
      <w:r w:rsidRPr="00E73F6F">
        <w:rPr>
          <w:b w:val="0"/>
          <w:noProof/>
          <w:lang w:eastAsia="de-DE"/>
        </w:rPr>
        <w:t>→ Determinismus</w:t>
      </w:r>
    </w:p>
    <w:p w14:paraId="72523C9E" w14:textId="77777777" w:rsidR="00FF7799" w:rsidRPr="00685E66" w:rsidRDefault="00FF7799" w:rsidP="00843B80">
      <w:pPr>
        <w:pStyle w:val="berschrift1"/>
        <w:rPr>
          <w:color w:val="2E74B5"/>
        </w:rPr>
      </w:pPr>
      <w:r w:rsidRPr="00685E66">
        <w:rPr>
          <w:color w:val="2E74B5"/>
        </w:rPr>
        <w:t>Pietät</w:t>
      </w:r>
    </w:p>
    <w:p w14:paraId="57EC7A80" w14:textId="77777777" w:rsidR="00FF7799" w:rsidRPr="00E73F6F" w:rsidRDefault="00FF7799" w:rsidP="00615D94">
      <w:pPr>
        <w:pStyle w:val="StandardText"/>
      </w:pPr>
      <w:r w:rsidRPr="00E73F6F">
        <w:t>chinesische, aus der konfuzianischen Sittenlehre erwachsene Wertvorstellung bezüglich</w:t>
      </w:r>
      <w:r w:rsidRPr="00E73F6F">
        <w:rPr>
          <w:spacing w:val="18"/>
        </w:rPr>
        <w:t xml:space="preserve"> </w:t>
      </w:r>
      <w:r w:rsidRPr="00E73F6F">
        <w:t>der</w:t>
      </w:r>
      <w:r w:rsidRPr="00E73F6F">
        <w:rPr>
          <w:spacing w:val="23"/>
        </w:rPr>
        <w:t xml:space="preserve"> </w:t>
      </w:r>
      <w:r w:rsidRPr="00E73F6F">
        <w:t>wechselseitigen</w:t>
      </w:r>
      <w:r w:rsidRPr="00E73F6F">
        <w:rPr>
          <w:spacing w:val="21"/>
        </w:rPr>
        <w:t xml:space="preserve"> </w:t>
      </w:r>
      <w:r w:rsidRPr="00E73F6F">
        <w:t>Verpflichtung</w:t>
      </w:r>
      <w:r w:rsidRPr="00E73F6F">
        <w:rPr>
          <w:spacing w:val="22"/>
        </w:rPr>
        <w:t xml:space="preserve"> </w:t>
      </w:r>
      <w:r w:rsidRPr="00E73F6F">
        <w:t>in</w:t>
      </w:r>
      <w:r w:rsidRPr="00E73F6F">
        <w:rPr>
          <w:spacing w:val="23"/>
        </w:rPr>
        <w:t xml:space="preserve"> </w:t>
      </w:r>
      <w:r w:rsidRPr="00E73F6F">
        <w:t>sozialen</w:t>
      </w:r>
      <w:r w:rsidRPr="00E73F6F">
        <w:rPr>
          <w:spacing w:val="23"/>
        </w:rPr>
        <w:t xml:space="preserve"> </w:t>
      </w:r>
      <w:r w:rsidRPr="00E73F6F">
        <w:t>Beziehungen.</w:t>
      </w:r>
      <w:r w:rsidRPr="00E73F6F">
        <w:rPr>
          <w:spacing w:val="20"/>
        </w:rPr>
        <w:t xml:space="preserve"> </w:t>
      </w:r>
      <w:r w:rsidRPr="00E73F6F">
        <w:t>Im</w:t>
      </w:r>
      <w:r w:rsidRPr="00E73F6F">
        <w:rPr>
          <w:spacing w:val="20"/>
        </w:rPr>
        <w:t xml:space="preserve"> </w:t>
      </w:r>
      <w:r w:rsidRPr="00E73F6F">
        <w:rPr>
          <w:spacing w:val="-2"/>
        </w:rPr>
        <w:t xml:space="preserve">Falle </w:t>
      </w:r>
      <w:r w:rsidRPr="00E73F6F">
        <w:t>einer</w:t>
      </w:r>
      <w:r w:rsidRPr="00E73F6F">
        <w:rPr>
          <w:spacing w:val="-6"/>
        </w:rPr>
        <w:t xml:space="preserve"> </w:t>
      </w:r>
      <w:r w:rsidRPr="00E73F6F">
        <w:t>Beziehung</w:t>
      </w:r>
      <w:r w:rsidRPr="00E73F6F">
        <w:rPr>
          <w:spacing w:val="-5"/>
        </w:rPr>
        <w:t xml:space="preserve"> </w:t>
      </w:r>
      <w:r w:rsidRPr="00E73F6F">
        <w:t>zwischen</w:t>
      </w:r>
      <w:r w:rsidRPr="00E73F6F">
        <w:rPr>
          <w:spacing w:val="-8"/>
        </w:rPr>
        <w:t xml:space="preserve"> </w:t>
      </w:r>
      <w:r w:rsidRPr="00E73F6F">
        <w:t>Erwachsenen</w:t>
      </w:r>
      <w:r w:rsidRPr="00E73F6F">
        <w:rPr>
          <w:spacing w:val="-3"/>
        </w:rPr>
        <w:t xml:space="preserve"> </w:t>
      </w:r>
      <w:r w:rsidRPr="00E73F6F">
        <w:t>fordert</w:t>
      </w:r>
      <w:r w:rsidRPr="00E73F6F">
        <w:rPr>
          <w:spacing w:val="-6"/>
        </w:rPr>
        <w:t xml:space="preserve"> </w:t>
      </w:r>
      <w:r w:rsidRPr="00E73F6F">
        <w:t>Pietät</w:t>
      </w:r>
      <w:r w:rsidRPr="00E73F6F">
        <w:rPr>
          <w:spacing w:val="-5"/>
        </w:rPr>
        <w:t xml:space="preserve"> </w:t>
      </w:r>
      <w:r w:rsidRPr="00E73F6F">
        <w:t>„Verehrung</w:t>
      </w:r>
      <w:r w:rsidRPr="00E73F6F">
        <w:rPr>
          <w:spacing w:val="-8"/>
        </w:rPr>
        <w:t xml:space="preserve"> </w:t>
      </w:r>
      <w:r w:rsidRPr="00E73F6F">
        <w:t>und</w:t>
      </w:r>
      <w:r w:rsidRPr="00E73F6F">
        <w:rPr>
          <w:spacing w:val="-8"/>
        </w:rPr>
        <w:t xml:space="preserve"> </w:t>
      </w:r>
      <w:r w:rsidRPr="00E73F6F">
        <w:t>Loyalität“. Kinder</w:t>
      </w:r>
      <w:r w:rsidRPr="00E73F6F">
        <w:rPr>
          <w:spacing w:val="-12"/>
        </w:rPr>
        <w:t xml:space="preserve"> </w:t>
      </w:r>
      <w:r w:rsidRPr="00E73F6F">
        <w:t>wiederum</w:t>
      </w:r>
      <w:r w:rsidRPr="00E73F6F">
        <w:rPr>
          <w:spacing w:val="-11"/>
        </w:rPr>
        <w:t xml:space="preserve"> </w:t>
      </w:r>
      <w:r w:rsidRPr="00E73F6F">
        <w:t>sind</w:t>
      </w:r>
      <w:r w:rsidRPr="00E73F6F">
        <w:rPr>
          <w:spacing w:val="-11"/>
        </w:rPr>
        <w:t xml:space="preserve"> </w:t>
      </w:r>
      <w:r w:rsidRPr="00E73F6F">
        <w:t>gegenüber</w:t>
      </w:r>
      <w:r w:rsidRPr="00E73F6F">
        <w:rPr>
          <w:spacing w:val="-11"/>
        </w:rPr>
        <w:t xml:space="preserve"> </w:t>
      </w:r>
      <w:r w:rsidRPr="00E73F6F">
        <w:t>Erwachsenen</w:t>
      </w:r>
      <w:r w:rsidRPr="00E73F6F">
        <w:rPr>
          <w:spacing w:val="-12"/>
        </w:rPr>
        <w:t xml:space="preserve"> </w:t>
      </w:r>
      <w:r w:rsidRPr="00E73F6F">
        <w:t>zu</w:t>
      </w:r>
      <w:r w:rsidRPr="00E73F6F">
        <w:rPr>
          <w:spacing w:val="-11"/>
        </w:rPr>
        <w:t xml:space="preserve"> </w:t>
      </w:r>
      <w:r w:rsidRPr="00E73F6F">
        <w:t>„Ehrfurcht,</w:t>
      </w:r>
      <w:r w:rsidRPr="00E73F6F">
        <w:rPr>
          <w:spacing w:val="-11"/>
        </w:rPr>
        <w:t xml:space="preserve"> </w:t>
      </w:r>
      <w:r w:rsidRPr="00E73F6F">
        <w:t>Pflichterfüllung</w:t>
      </w:r>
      <w:r w:rsidRPr="00E73F6F">
        <w:rPr>
          <w:spacing w:val="-11"/>
        </w:rPr>
        <w:t xml:space="preserve"> </w:t>
      </w:r>
      <w:r w:rsidRPr="00E73F6F">
        <w:t>und Rücksichtnahme“ verpflichtet. Getreu der konfuzianischen Tradition unterliegen alle hierarchischen sozialen Beziehungen (bspw. die Vater/Sohn-Beziehung) der Pietätpflicht. Die fünf wichtigsten sozialen Beziehungen (‘wu lun‘) sind die zwischen Herrscher und Untertan, Vater und Sohn, Mann und Frau, Senior und Junior,</w:t>
      </w:r>
      <w:r w:rsidRPr="00E73F6F">
        <w:rPr>
          <w:spacing w:val="-7"/>
        </w:rPr>
        <w:t xml:space="preserve"> </w:t>
      </w:r>
      <w:r w:rsidRPr="00E73F6F">
        <w:t>Freund</w:t>
      </w:r>
      <w:r w:rsidRPr="00E73F6F">
        <w:rPr>
          <w:spacing w:val="-9"/>
        </w:rPr>
        <w:t xml:space="preserve"> </w:t>
      </w:r>
      <w:r w:rsidRPr="00E73F6F">
        <w:t>und</w:t>
      </w:r>
      <w:r w:rsidRPr="00E73F6F">
        <w:rPr>
          <w:spacing w:val="-9"/>
        </w:rPr>
        <w:t xml:space="preserve"> </w:t>
      </w:r>
      <w:r w:rsidRPr="00E73F6F">
        <w:t>Freund.</w:t>
      </w:r>
      <w:r w:rsidRPr="00E73F6F">
        <w:rPr>
          <w:spacing w:val="-7"/>
        </w:rPr>
        <w:t xml:space="preserve"> </w:t>
      </w:r>
      <w:r w:rsidRPr="00E73F6F">
        <w:t>Im</w:t>
      </w:r>
      <w:r w:rsidRPr="00E73F6F">
        <w:rPr>
          <w:spacing w:val="-8"/>
        </w:rPr>
        <w:t xml:space="preserve"> </w:t>
      </w:r>
      <w:r w:rsidRPr="00E73F6F">
        <w:t>Gegenzug</w:t>
      </w:r>
      <w:r w:rsidRPr="00E73F6F">
        <w:rPr>
          <w:spacing w:val="-9"/>
        </w:rPr>
        <w:t xml:space="preserve"> </w:t>
      </w:r>
      <w:r w:rsidRPr="00E73F6F">
        <w:t>zur</w:t>
      </w:r>
      <w:r w:rsidRPr="00E73F6F">
        <w:rPr>
          <w:spacing w:val="-8"/>
        </w:rPr>
        <w:t xml:space="preserve"> </w:t>
      </w:r>
      <w:r w:rsidRPr="00E73F6F">
        <w:t>Verehrung</w:t>
      </w:r>
      <w:r w:rsidRPr="00E73F6F">
        <w:rPr>
          <w:spacing w:val="-9"/>
        </w:rPr>
        <w:t xml:space="preserve"> </w:t>
      </w:r>
      <w:r w:rsidRPr="00E73F6F">
        <w:t>und</w:t>
      </w:r>
      <w:r w:rsidRPr="00E73F6F">
        <w:rPr>
          <w:spacing w:val="-7"/>
        </w:rPr>
        <w:t xml:space="preserve"> </w:t>
      </w:r>
      <w:r w:rsidRPr="00E73F6F">
        <w:t>Loyalität,</w:t>
      </w:r>
      <w:r w:rsidRPr="00E73F6F">
        <w:rPr>
          <w:spacing w:val="-7"/>
        </w:rPr>
        <w:t xml:space="preserve"> </w:t>
      </w:r>
      <w:r w:rsidRPr="00E73F6F">
        <w:t>welche</w:t>
      </w:r>
      <w:r w:rsidRPr="00E73F6F">
        <w:rPr>
          <w:spacing w:val="-8"/>
        </w:rPr>
        <w:t xml:space="preserve"> </w:t>
      </w:r>
      <w:r w:rsidRPr="00E73F6F">
        <w:t>die hierarchisch</w:t>
      </w:r>
      <w:r w:rsidRPr="00E73F6F">
        <w:rPr>
          <w:spacing w:val="-12"/>
        </w:rPr>
        <w:t xml:space="preserve"> </w:t>
      </w:r>
      <w:r w:rsidRPr="00E73F6F">
        <w:t>höherstehende</w:t>
      </w:r>
      <w:r w:rsidRPr="00E73F6F">
        <w:rPr>
          <w:spacing w:val="-11"/>
        </w:rPr>
        <w:t xml:space="preserve"> </w:t>
      </w:r>
      <w:r w:rsidRPr="00E73F6F">
        <w:t>Person</w:t>
      </w:r>
      <w:r w:rsidRPr="00E73F6F">
        <w:rPr>
          <w:spacing w:val="-11"/>
        </w:rPr>
        <w:t xml:space="preserve"> </w:t>
      </w:r>
      <w:r w:rsidRPr="00E73F6F">
        <w:t>erfährt,</w:t>
      </w:r>
      <w:r w:rsidRPr="00E73F6F">
        <w:rPr>
          <w:spacing w:val="-11"/>
        </w:rPr>
        <w:t xml:space="preserve"> </w:t>
      </w:r>
      <w:r w:rsidRPr="00E73F6F">
        <w:t>muss</w:t>
      </w:r>
      <w:r w:rsidRPr="00E73F6F">
        <w:rPr>
          <w:spacing w:val="-10"/>
        </w:rPr>
        <w:t xml:space="preserve"> </w:t>
      </w:r>
      <w:r w:rsidRPr="00E73F6F">
        <w:t>diese</w:t>
      </w:r>
      <w:r w:rsidRPr="00E73F6F">
        <w:rPr>
          <w:spacing w:val="-11"/>
        </w:rPr>
        <w:t xml:space="preserve"> </w:t>
      </w:r>
      <w:r w:rsidRPr="00E73F6F">
        <w:t>der</w:t>
      </w:r>
      <w:r w:rsidRPr="00E73F6F">
        <w:rPr>
          <w:spacing w:val="-12"/>
        </w:rPr>
        <w:t xml:space="preserve"> </w:t>
      </w:r>
      <w:r w:rsidRPr="00E73F6F">
        <w:t>untergeordneten</w:t>
      </w:r>
      <w:r w:rsidRPr="00E73F6F">
        <w:rPr>
          <w:spacing w:val="-11"/>
        </w:rPr>
        <w:t xml:space="preserve"> </w:t>
      </w:r>
      <w:r w:rsidRPr="00E73F6F">
        <w:t>Person Schutz zuteilwerden lassen. Wer gegen diese Regeln der Pflichtverhältnisse verstößt, „verliert sein Gesicht“ und damit seine soziale Identität (</w:t>
      </w:r>
      <w:r w:rsidRPr="00E73F6F">
        <w:rPr>
          <w:rFonts w:ascii="Cambria Math" w:hAnsi="Cambria Math" w:cs="Cambria Math"/>
        </w:rPr>
        <w:t>⇒</w:t>
      </w:r>
      <w:r w:rsidRPr="00E73F6F">
        <w:t xml:space="preserve"> Gesicht </w:t>
      </w:r>
      <w:r w:rsidRPr="00E73F6F">
        <w:rPr>
          <w:spacing w:val="-2"/>
        </w:rPr>
        <w:t>wahren).</w:t>
      </w:r>
    </w:p>
    <w:p w14:paraId="26245924" w14:textId="77777777" w:rsidR="00FF7799" w:rsidRPr="00E73F6F" w:rsidRDefault="00FF7799" w:rsidP="00615D94">
      <w:pPr>
        <w:pStyle w:val="StandardText"/>
      </w:pPr>
    </w:p>
    <w:p w14:paraId="5B7C8F58" w14:textId="77777777" w:rsidR="00FF7799" w:rsidRPr="00685E66" w:rsidRDefault="00FF7799" w:rsidP="00615299">
      <w:pPr>
        <w:pStyle w:val="berschrift1"/>
        <w:rPr>
          <w:color w:val="2E74B5"/>
        </w:rPr>
      </w:pPr>
      <w:r w:rsidRPr="00685E66">
        <w:rPr>
          <w:color w:val="2E74B5"/>
        </w:rPr>
        <w:t>Positivismus</w:t>
      </w:r>
    </w:p>
    <w:p w14:paraId="549417EE" w14:textId="77777777" w:rsidR="00FF7799" w:rsidRPr="00E73F6F" w:rsidRDefault="00FF7799" w:rsidP="00615D94">
      <w:pPr>
        <w:pStyle w:val="StandardText"/>
      </w:pPr>
      <w:r w:rsidRPr="00E73F6F">
        <w:t>erkenntnistheoretische Richtung, welche metaphysische (bspw. irrationale oder religiöse)</w:t>
      </w:r>
      <w:r w:rsidRPr="00E73F6F">
        <w:rPr>
          <w:spacing w:val="41"/>
        </w:rPr>
        <w:t xml:space="preserve"> </w:t>
      </w:r>
      <w:r w:rsidRPr="00E73F6F">
        <w:t>Erklärungen</w:t>
      </w:r>
      <w:r w:rsidRPr="00E73F6F">
        <w:rPr>
          <w:spacing w:val="41"/>
        </w:rPr>
        <w:t xml:space="preserve"> </w:t>
      </w:r>
      <w:r w:rsidRPr="00E73F6F">
        <w:t>ablehnt</w:t>
      </w:r>
      <w:r w:rsidRPr="00E73F6F">
        <w:rPr>
          <w:spacing w:val="40"/>
        </w:rPr>
        <w:t xml:space="preserve"> </w:t>
      </w:r>
      <w:r w:rsidRPr="00E73F6F">
        <w:t>und</w:t>
      </w:r>
      <w:r w:rsidRPr="00E73F6F">
        <w:rPr>
          <w:spacing w:val="46"/>
        </w:rPr>
        <w:t xml:space="preserve"> </w:t>
      </w:r>
      <w:r w:rsidRPr="00E73F6F">
        <w:t>fordert,</w:t>
      </w:r>
      <w:r w:rsidRPr="00E73F6F">
        <w:rPr>
          <w:spacing w:val="40"/>
        </w:rPr>
        <w:t xml:space="preserve"> </w:t>
      </w:r>
      <w:r w:rsidRPr="00E73F6F">
        <w:t>dass</w:t>
      </w:r>
      <w:r w:rsidRPr="00E73F6F">
        <w:rPr>
          <w:spacing w:val="41"/>
        </w:rPr>
        <w:t xml:space="preserve"> </w:t>
      </w:r>
      <w:r w:rsidRPr="00E73F6F">
        <w:t>Wissenschaften</w:t>
      </w:r>
      <w:r w:rsidRPr="00E73F6F">
        <w:rPr>
          <w:spacing w:val="41"/>
        </w:rPr>
        <w:t xml:space="preserve"> </w:t>
      </w:r>
      <w:r w:rsidRPr="00E73F6F">
        <w:t>sich</w:t>
      </w:r>
      <w:r w:rsidRPr="00E73F6F">
        <w:rPr>
          <w:spacing w:val="43"/>
        </w:rPr>
        <w:t xml:space="preserve"> </w:t>
      </w:r>
      <w:r w:rsidRPr="00E73F6F">
        <w:t>auf</w:t>
      </w:r>
      <w:r w:rsidRPr="00E73F6F">
        <w:rPr>
          <w:spacing w:val="40"/>
        </w:rPr>
        <w:t xml:space="preserve"> </w:t>
      </w:r>
      <w:r w:rsidRPr="00E73F6F">
        <w:rPr>
          <w:spacing w:val="-5"/>
        </w:rPr>
        <w:t xml:space="preserve">das </w:t>
      </w:r>
      <w:r w:rsidRPr="00E73F6F">
        <w:t>„positiv“,</w:t>
      </w:r>
      <w:r w:rsidRPr="00E73F6F">
        <w:rPr>
          <w:spacing w:val="-5"/>
        </w:rPr>
        <w:t xml:space="preserve"> </w:t>
      </w:r>
      <w:r w:rsidRPr="00E73F6F">
        <w:t>d.h.</w:t>
      </w:r>
      <w:r w:rsidRPr="00E73F6F">
        <w:rPr>
          <w:spacing w:val="-4"/>
        </w:rPr>
        <w:t xml:space="preserve"> </w:t>
      </w:r>
      <w:r w:rsidRPr="00E73F6F">
        <w:t>tatsächlich Wahrnehmbare</w:t>
      </w:r>
      <w:r w:rsidRPr="00E73F6F">
        <w:rPr>
          <w:spacing w:val="-4"/>
        </w:rPr>
        <w:t xml:space="preserve"> </w:t>
      </w:r>
      <w:r w:rsidRPr="00E73F6F">
        <w:t>und</w:t>
      </w:r>
      <w:r w:rsidRPr="00E73F6F">
        <w:rPr>
          <w:spacing w:val="-1"/>
        </w:rPr>
        <w:t xml:space="preserve"> </w:t>
      </w:r>
      <w:r w:rsidRPr="00E73F6F">
        <w:t>Überprüfbare</w:t>
      </w:r>
      <w:r w:rsidRPr="00E73F6F">
        <w:rPr>
          <w:spacing w:val="-4"/>
        </w:rPr>
        <w:t xml:space="preserve"> </w:t>
      </w:r>
      <w:r w:rsidRPr="00E73F6F">
        <w:t>beschränken</w:t>
      </w:r>
      <w:r w:rsidRPr="00E73F6F">
        <w:rPr>
          <w:spacing w:val="-1"/>
        </w:rPr>
        <w:t xml:space="preserve"> </w:t>
      </w:r>
      <w:r w:rsidRPr="00E73F6F">
        <w:t>sollte.</w:t>
      </w:r>
    </w:p>
    <w:p w14:paraId="5066F40E" w14:textId="77777777" w:rsidR="00FF7799" w:rsidRPr="00E73F6F" w:rsidRDefault="00FF7799" w:rsidP="00615D94">
      <w:pPr>
        <w:pStyle w:val="StandardText"/>
      </w:pPr>
    </w:p>
    <w:p w14:paraId="18AD9AD3" w14:textId="77777777" w:rsidR="00FF7799" w:rsidRPr="00685E66" w:rsidRDefault="00FF7799" w:rsidP="00843B80">
      <w:pPr>
        <w:pStyle w:val="berschrift1"/>
        <w:rPr>
          <w:color w:val="2E74B5"/>
        </w:rPr>
      </w:pPr>
      <w:r w:rsidRPr="00685E66">
        <w:rPr>
          <w:color w:val="2E74B5"/>
        </w:rPr>
        <w:t>Postmaterialismus-These</w:t>
      </w:r>
    </w:p>
    <w:p w14:paraId="57194D0B" w14:textId="77777777" w:rsidR="00FF7799" w:rsidRPr="00615299" w:rsidRDefault="00FF7799" w:rsidP="00615D94">
      <w:pPr>
        <w:pStyle w:val="StandardTextkursiv"/>
        <w:rPr>
          <w:i w:val="0"/>
        </w:rPr>
      </w:pPr>
      <w:r w:rsidRPr="00615299">
        <w:rPr>
          <w:i w:val="0"/>
        </w:rPr>
        <w:t>1 Theoretischer</w:t>
      </w:r>
      <w:r w:rsidRPr="00615299">
        <w:rPr>
          <w:i w:val="0"/>
          <w:spacing w:val="-2"/>
        </w:rPr>
        <w:t xml:space="preserve"> Hintergrund</w:t>
      </w:r>
    </w:p>
    <w:p w14:paraId="00AD8846" w14:textId="77777777" w:rsidR="00FF7799" w:rsidRPr="00615299" w:rsidRDefault="00FF7799" w:rsidP="00615D94">
      <w:pPr>
        <w:pStyle w:val="StandardTextkursiv"/>
        <w:rPr>
          <w:i w:val="0"/>
        </w:rPr>
      </w:pPr>
      <w:r w:rsidRPr="00615299">
        <w:rPr>
          <w:i w:val="0"/>
          <w:spacing w:val="-2"/>
        </w:rPr>
        <w:t>1.1 Leistungsmotivation</w:t>
      </w:r>
    </w:p>
    <w:p w14:paraId="1C51A0C7" w14:textId="77777777" w:rsidR="00FF7799" w:rsidRPr="00615299" w:rsidRDefault="00FF7799" w:rsidP="00615D94">
      <w:pPr>
        <w:pStyle w:val="StandardText"/>
        <w:rPr>
          <w:spacing w:val="-2"/>
        </w:rPr>
      </w:pPr>
      <w:r w:rsidRPr="00615299">
        <w:t xml:space="preserve">Ausgangspunkt der Überlegungen ist das </w:t>
      </w:r>
      <w:r w:rsidRPr="00615299">
        <w:rPr>
          <w:rFonts w:ascii="Cambria Math" w:hAnsi="Cambria Math" w:cs="Cambria Math"/>
        </w:rPr>
        <w:t>⇒</w:t>
      </w:r>
      <w:r w:rsidRPr="00615299">
        <w:t xml:space="preserve"> Konstrukt der Leistungsmotivation. Im Zuge der weltweiten Diskussion über M. Webers Protestantismus-These konzentrierten McClelland (1961) und McClelland et al. (1953) sich auf die Analyse leistungsbezogener Werte, die im Verlauf der Kindheit von den Eltern, den</w:t>
      </w:r>
      <w:r w:rsidRPr="00615299">
        <w:rPr>
          <w:spacing w:val="-12"/>
        </w:rPr>
        <w:t xml:space="preserve"> </w:t>
      </w:r>
      <w:r w:rsidRPr="00615299">
        <w:t>Schulen</w:t>
      </w:r>
      <w:r w:rsidRPr="00615299">
        <w:rPr>
          <w:spacing w:val="-11"/>
        </w:rPr>
        <w:t xml:space="preserve"> </w:t>
      </w:r>
      <w:r w:rsidRPr="00615299">
        <w:t>und</w:t>
      </w:r>
      <w:r w:rsidRPr="00615299">
        <w:rPr>
          <w:spacing w:val="-11"/>
        </w:rPr>
        <w:t xml:space="preserve"> </w:t>
      </w:r>
      <w:r w:rsidRPr="00615299">
        <w:t>anderen</w:t>
      </w:r>
      <w:r w:rsidRPr="00615299">
        <w:rPr>
          <w:spacing w:val="-11"/>
        </w:rPr>
        <w:t xml:space="preserve"> </w:t>
      </w:r>
      <w:r w:rsidRPr="00615299">
        <w:t>Sozialisationsagenten</w:t>
      </w:r>
      <w:r w:rsidRPr="00615299">
        <w:rPr>
          <w:spacing w:val="-12"/>
        </w:rPr>
        <w:t xml:space="preserve"> </w:t>
      </w:r>
      <w:r w:rsidRPr="00615299">
        <w:t>gefördert</w:t>
      </w:r>
      <w:r w:rsidRPr="00615299">
        <w:rPr>
          <w:spacing w:val="-11"/>
        </w:rPr>
        <w:t xml:space="preserve"> </w:t>
      </w:r>
      <w:r w:rsidRPr="00615299">
        <w:t>werden.</w:t>
      </w:r>
      <w:r w:rsidRPr="00615299">
        <w:rPr>
          <w:spacing w:val="-11"/>
        </w:rPr>
        <w:t xml:space="preserve"> </w:t>
      </w:r>
      <w:r w:rsidRPr="00615299">
        <w:t>Auch</w:t>
      </w:r>
      <w:r w:rsidRPr="00615299">
        <w:rPr>
          <w:spacing w:val="-11"/>
        </w:rPr>
        <w:t xml:space="preserve"> </w:t>
      </w:r>
      <w:r w:rsidRPr="00615299">
        <w:t>betrachten seiner Ansicht nach einige Gesellschaften, unabhängig von ihrem religiösen Hintergrund, ökonomische Leistung als ein prinzipiell positives Ziel, während in anderen Gesellschaften eine indifferente Einstellung gegenüber Leistung vorherrsche. Die Forschergruppe</w:t>
      </w:r>
      <w:r w:rsidRPr="00615299">
        <w:rPr>
          <w:spacing w:val="-4"/>
        </w:rPr>
        <w:t xml:space="preserve"> </w:t>
      </w:r>
      <w:r w:rsidRPr="00615299">
        <w:t>um D.C. McClelland erfasste die</w:t>
      </w:r>
      <w:r w:rsidRPr="00615299">
        <w:rPr>
          <w:spacing w:val="-1"/>
        </w:rPr>
        <w:t xml:space="preserve"> </w:t>
      </w:r>
      <w:r w:rsidRPr="00615299">
        <w:t>in bestimmten Gesellschaften</w:t>
      </w:r>
      <w:r w:rsidRPr="00615299">
        <w:rPr>
          <w:spacing w:val="-1"/>
        </w:rPr>
        <w:t xml:space="preserve"> </w:t>
      </w:r>
      <w:r w:rsidRPr="00615299">
        <w:t>dominante</w:t>
      </w:r>
      <w:r w:rsidRPr="00615299">
        <w:rPr>
          <w:spacing w:val="-4"/>
        </w:rPr>
        <w:t xml:space="preserve"> </w:t>
      </w:r>
      <w:r w:rsidRPr="00615299">
        <w:t>Wertestruktur</w:t>
      </w:r>
      <w:r w:rsidRPr="00615299">
        <w:rPr>
          <w:spacing w:val="-2"/>
        </w:rPr>
        <w:t xml:space="preserve"> </w:t>
      </w:r>
      <w:r w:rsidRPr="00615299">
        <w:t>inhaltsanalytisch,</w:t>
      </w:r>
      <w:r w:rsidRPr="00615299">
        <w:rPr>
          <w:spacing w:val="-3"/>
        </w:rPr>
        <w:t xml:space="preserve"> </w:t>
      </w:r>
      <w:r w:rsidRPr="00615299">
        <w:t>indem</w:t>
      </w:r>
      <w:r w:rsidRPr="00615299">
        <w:rPr>
          <w:spacing w:val="-3"/>
        </w:rPr>
        <w:t xml:space="preserve"> </w:t>
      </w:r>
      <w:r w:rsidRPr="00615299">
        <w:t>sie</w:t>
      </w:r>
      <w:r w:rsidRPr="00615299">
        <w:rPr>
          <w:spacing w:val="-2"/>
        </w:rPr>
        <w:t xml:space="preserve"> </w:t>
      </w:r>
      <w:r w:rsidRPr="00615299">
        <w:t>Geschichten und Schulbücher, die beim Schulunterricht in verschiedenen Gesellschaften verwendet</w:t>
      </w:r>
      <w:r w:rsidRPr="00615299">
        <w:rPr>
          <w:spacing w:val="-3"/>
        </w:rPr>
        <w:t xml:space="preserve"> </w:t>
      </w:r>
      <w:r w:rsidRPr="00615299">
        <w:t>wurden,</w:t>
      </w:r>
      <w:r w:rsidRPr="00615299">
        <w:rPr>
          <w:spacing w:val="-3"/>
        </w:rPr>
        <w:t xml:space="preserve"> </w:t>
      </w:r>
      <w:r w:rsidRPr="00615299">
        <w:t>auswertete.</w:t>
      </w:r>
      <w:r w:rsidRPr="00615299">
        <w:rPr>
          <w:spacing w:val="-3"/>
        </w:rPr>
        <w:t xml:space="preserve"> </w:t>
      </w:r>
      <w:r w:rsidRPr="00615299">
        <w:t>Dabei</w:t>
      </w:r>
      <w:r w:rsidRPr="00615299">
        <w:rPr>
          <w:spacing w:val="-3"/>
        </w:rPr>
        <w:t xml:space="preserve"> </w:t>
      </w:r>
      <w:r w:rsidRPr="00615299">
        <w:t>zeigte</w:t>
      </w:r>
      <w:r w:rsidRPr="00615299">
        <w:rPr>
          <w:spacing w:val="-3"/>
        </w:rPr>
        <w:t xml:space="preserve"> </w:t>
      </w:r>
      <w:r w:rsidRPr="00615299">
        <w:t>sich,</w:t>
      </w:r>
      <w:r w:rsidRPr="00615299">
        <w:rPr>
          <w:spacing w:val="-5"/>
        </w:rPr>
        <w:t xml:space="preserve"> </w:t>
      </w:r>
      <w:r w:rsidRPr="00615299">
        <w:t>dass</w:t>
      </w:r>
      <w:r w:rsidRPr="00615299">
        <w:rPr>
          <w:spacing w:val="-4"/>
        </w:rPr>
        <w:t xml:space="preserve"> </w:t>
      </w:r>
      <w:r w:rsidRPr="00615299">
        <w:t>jene</w:t>
      </w:r>
      <w:r w:rsidRPr="00615299">
        <w:rPr>
          <w:spacing w:val="-6"/>
        </w:rPr>
        <w:t xml:space="preserve"> </w:t>
      </w:r>
      <w:r w:rsidRPr="00615299">
        <w:t>Kulturen,</w:t>
      </w:r>
      <w:r w:rsidRPr="00615299">
        <w:rPr>
          <w:spacing w:val="-3"/>
        </w:rPr>
        <w:t xml:space="preserve"> </w:t>
      </w:r>
      <w:r w:rsidRPr="00615299">
        <w:t>welche</w:t>
      </w:r>
      <w:r w:rsidRPr="00615299">
        <w:rPr>
          <w:spacing w:val="-6"/>
        </w:rPr>
        <w:t xml:space="preserve"> </w:t>
      </w:r>
      <w:r w:rsidRPr="00615299">
        <w:t xml:space="preserve">dem Thema „Leistung“ in ihren Schulbüchern mehr Aufmerksamkeit widmen als andere, zum Zeitpunkt der Studie ein deutlich größeres Wirtschaftswachstum erzielten als </w:t>
      </w:r>
      <w:r w:rsidRPr="00615299">
        <w:lastRenderedPageBreak/>
        <w:t>die mehr oder minder leistungsfeindlichen Gesellschaften. Vertreter der unterschiedlichsten Denkschulen kritisierten D.C. McClellands Arbeiten. Manche bezweifelten, dass er tatsächlich Werte gemessen habe. Andere problematisierten</w:t>
      </w:r>
      <w:r w:rsidRPr="00615299">
        <w:rPr>
          <w:spacing w:val="-12"/>
        </w:rPr>
        <w:t xml:space="preserve"> </w:t>
      </w:r>
      <w:r w:rsidRPr="00615299">
        <w:t>die</w:t>
      </w:r>
      <w:r w:rsidRPr="00615299">
        <w:rPr>
          <w:spacing w:val="-11"/>
        </w:rPr>
        <w:t xml:space="preserve"> </w:t>
      </w:r>
      <w:r w:rsidRPr="00615299">
        <w:t>Konstruktvalidität</w:t>
      </w:r>
      <w:r w:rsidRPr="00615299">
        <w:rPr>
          <w:spacing w:val="-11"/>
        </w:rPr>
        <w:t xml:space="preserve"> </w:t>
      </w:r>
      <w:r w:rsidRPr="00615299">
        <w:t>der</w:t>
      </w:r>
      <w:r w:rsidRPr="00615299">
        <w:rPr>
          <w:spacing w:val="-11"/>
        </w:rPr>
        <w:t xml:space="preserve"> </w:t>
      </w:r>
      <w:r w:rsidRPr="00615299">
        <w:t>abhängigen</w:t>
      </w:r>
      <w:r w:rsidRPr="00615299">
        <w:rPr>
          <w:spacing w:val="-12"/>
        </w:rPr>
        <w:t xml:space="preserve"> </w:t>
      </w:r>
      <w:r w:rsidRPr="00615299">
        <w:t>Variablen:</w:t>
      </w:r>
      <w:r w:rsidRPr="00615299">
        <w:rPr>
          <w:spacing w:val="-11"/>
        </w:rPr>
        <w:t xml:space="preserve"> </w:t>
      </w:r>
      <w:r w:rsidRPr="00615299">
        <w:t>Lässt</w:t>
      </w:r>
      <w:r w:rsidRPr="00615299">
        <w:rPr>
          <w:spacing w:val="-11"/>
        </w:rPr>
        <w:t xml:space="preserve"> </w:t>
      </w:r>
      <w:r w:rsidRPr="00615299">
        <w:t>sich</w:t>
      </w:r>
      <w:r w:rsidRPr="00615299">
        <w:rPr>
          <w:spacing w:val="-10"/>
        </w:rPr>
        <w:t xml:space="preserve"> </w:t>
      </w:r>
      <w:r w:rsidRPr="00615299">
        <w:t>vom Energieverbrauch einer Gesellschaft tatsächlich auf deren Wirtschaftswachstum schließen? Kapitalismuskritische</w:t>
      </w:r>
      <w:r w:rsidRPr="00615299">
        <w:rPr>
          <w:spacing w:val="-2"/>
        </w:rPr>
        <w:t xml:space="preserve"> </w:t>
      </w:r>
      <w:r w:rsidRPr="00615299">
        <w:t>Entwicklungstheoretiker schließlich warfen den Sozialwissenschaftlern vor, sie versuchten, die Ausbeutung der weniger erfolgreichen</w:t>
      </w:r>
      <w:r w:rsidRPr="00615299">
        <w:rPr>
          <w:spacing w:val="-9"/>
        </w:rPr>
        <w:t xml:space="preserve"> </w:t>
      </w:r>
      <w:r w:rsidRPr="00615299">
        <w:t>Ökonomien</w:t>
      </w:r>
      <w:r w:rsidRPr="00615299">
        <w:rPr>
          <w:spacing w:val="-6"/>
        </w:rPr>
        <w:t xml:space="preserve"> </w:t>
      </w:r>
      <w:r w:rsidRPr="00615299">
        <w:t>durch</w:t>
      </w:r>
      <w:r w:rsidRPr="00615299">
        <w:rPr>
          <w:spacing w:val="-7"/>
        </w:rPr>
        <w:t xml:space="preserve"> </w:t>
      </w:r>
      <w:r w:rsidRPr="00615299">
        <w:t>Imperialismus</w:t>
      </w:r>
      <w:r w:rsidRPr="00615299">
        <w:rPr>
          <w:spacing w:val="-5"/>
        </w:rPr>
        <w:t xml:space="preserve"> </w:t>
      </w:r>
      <w:r w:rsidRPr="00615299">
        <w:t>und</w:t>
      </w:r>
      <w:r w:rsidRPr="00615299">
        <w:rPr>
          <w:spacing w:val="-4"/>
        </w:rPr>
        <w:t xml:space="preserve"> </w:t>
      </w:r>
      <w:r w:rsidRPr="00615299">
        <w:t>Kapitalismus</w:t>
      </w:r>
      <w:r w:rsidRPr="00615299">
        <w:rPr>
          <w:spacing w:val="-5"/>
        </w:rPr>
        <w:t xml:space="preserve"> </w:t>
      </w:r>
      <w:r w:rsidRPr="00615299">
        <w:t>zu</w:t>
      </w:r>
      <w:r w:rsidRPr="00615299">
        <w:rPr>
          <w:spacing w:val="-3"/>
        </w:rPr>
        <w:t xml:space="preserve"> </w:t>
      </w:r>
      <w:r w:rsidRPr="00615299">
        <w:rPr>
          <w:spacing w:val="-2"/>
        </w:rPr>
        <w:t>rechtfertigen.</w:t>
      </w:r>
    </w:p>
    <w:p w14:paraId="0291A061" w14:textId="77777777" w:rsidR="00FF7799" w:rsidRPr="00615299" w:rsidRDefault="00FF7799" w:rsidP="00615D94">
      <w:pPr>
        <w:pStyle w:val="StandardText"/>
      </w:pPr>
    </w:p>
    <w:p w14:paraId="27C25D0E" w14:textId="77777777" w:rsidR="00FF7799" w:rsidRPr="00615299" w:rsidRDefault="00FF7799" w:rsidP="00615D94">
      <w:pPr>
        <w:pStyle w:val="StandardTextkursiv"/>
        <w:rPr>
          <w:i w:val="0"/>
        </w:rPr>
      </w:pPr>
      <w:r w:rsidRPr="00615299">
        <w:rPr>
          <w:i w:val="0"/>
        </w:rPr>
        <w:t>1.2 Erziehungsstil</w:t>
      </w:r>
    </w:p>
    <w:p w14:paraId="66789992" w14:textId="77777777" w:rsidR="00FF7799" w:rsidRPr="00615299" w:rsidRDefault="00FF7799" w:rsidP="00615D94">
      <w:pPr>
        <w:pStyle w:val="StandardText"/>
      </w:pPr>
      <w:r w:rsidRPr="00615299">
        <w:t>Später wiesen Lenski (1967; 1963) und Alwin (1986) empirisch nach, dass amerikanische Katholiken und Protestanten ihren Kindern teilweise unterschiedliche Werte vermitteln. Während damals Protestanten größeren Wert auf Selbstbestimmung und individuelle Autonomie legten, spielte für Katholiken Gehorsam eine größere Rolle. Dieser Befund ging unter dem Schlagwort von der protestantischen</w:t>
      </w:r>
      <w:r w:rsidRPr="00615299">
        <w:rPr>
          <w:spacing w:val="-12"/>
        </w:rPr>
        <w:t xml:space="preserve"> </w:t>
      </w:r>
      <w:r w:rsidRPr="00615299">
        <w:t>Ethik</w:t>
      </w:r>
      <w:r w:rsidRPr="00615299">
        <w:rPr>
          <w:spacing w:val="-11"/>
        </w:rPr>
        <w:t xml:space="preserve"> </w:t>
      </w:r>
      <w:r w:rsidRPr="00615299">
        <w:t>in</w:t>
      </w:r>
      <w:r w:rsidRPr="00615299">
        <w:rPr>
          <w:spacing w:val="-11"/>
        </w:rPr>
        <w:t xml:space="preserve"> </w:t>
      </w:r>
      <w:r w:rsidRPr="00615299">
        <w:t>die</w:t>
      </w:r>
      <w:r w:rsidRPr="00615299">
        <w:rPr>
          <w:spacing w:val="-11"/>
        </w:rPr>
        <w:t xml:space="preserve"> </w:t>
      </w:r>
      <w:r w:rsidRPr="00615299">
        <w:t>Literatur</w:t>
      </w:r>
      <w:r w:rsidRPr="00615299">
        <w:rPr>
          <w:spacing w:val="-12"/>
        </w:rPr>
        <w:t xml:space="preserve"> </w:t>
      </w:r>
      <w:r w:rsidRPr="00615299">
        <w:t>ein</w:t>
      </w:r>
      <w:r w:rsidRPr="00615299">
        <w:rPr>
          <w:spacing w:val="-11"/>
        </w:rPr>
        <w:t xml:space="preserve"> </w:t>
      </w:r>
      <w:r w:rsidRPr="00615299">
        <w:t>(vgl.</w:t>
      </w:r>
      <w:r w:rsidRPr="00615299">
        <w:rPr>
          <w:spacing w:val="-11"/>
        </w:rPr>
        <w:t xml:space="preserve"> </w:t>
      </w:r>
      <w:r w:rsidRPr="00615299">
        <w:t>Gelbrich/Müller</w:t>
      </w:r>
      <w:r w:rsidRPr="00615299">
        <w:rPr>
          <w:spacing w:val="-11"/>
        </w:rPr>
        <w:t xml:space="preserve"> </w:t>
      </w:r>
      <w:r w:rsidRPr="00615299">
        <w:t>2013b).</w:t>
      </w:r>
      <w:r w:rsidRPr="00615299">
        <w:rPr>
          <w:spacing w:val="-12"/>
        </w:rPr>
        <w:t xml:space="preserve"> </w:t>
      </w:r>
      <w:r w:rsidRPr="00615299">
        <w:t>Allerdings erkannte</w:t>
      </w:r>
      <w:r w:rsidRPr="00615299">
        <w:rPr>
          <w:spacing w:val="-5"/>
        </w:rPr>
        <w:t xml:space="preserve"> </w:t>
      </w:r>
      <w:r w:rsidRPr="00615299">
        <w:t>man</w:t>
      </w:r>
      <w:r w:rsidRPr="00615299">
        <w:rPr>
          <w:spacing w:val="-3"/>
        </w:rPr>
        <w:t xml:space="preserve"> </w:t>
      </w:r>
      <w:r w:rsidRPr="00615299">
        <w:t>im</w:t>
      </w:r>
      <w:r w:rsidRPr="00615299">
        <w:rPr>
          <w:spacing w:val="-5"/>
        </w:rPr>
        <w:t xml:space="preserve"> </w:t>
      </w:r>
      <w:r w:rsidRPr="00615299">
        <w:t>weiteren</w:t>
      </w:r>
      <w:r w:rsidRPr="00615299">
        <w:rPr>
          <w:spacing w:val="-3"/>
        </w:rPr>
        <w:t xml:space="preserve"> </w:t>
      </w:r>
      <w:r w:rsidRPr="00615299">
        <w:t>Verlauf,</w:t>
      </w:r>
      <w:r w:rsidRPr="00615299">
        <w:rPr>
          <w:spacing w:val="-4"/>
        </w:rPr>
        <w:t xml:space="preserve"> </w:t>
      </w:r>
      <w:r w:rsidRPr="00615299">
        <w:t>dass</w:t>
      </w:r>
      <w:r w:rsidRPr="00615299">
        <w:rPr>
          <w:spacing w:val="-5"/>
        </w:rPr>
        <w:t xml:space="preserve"> </w:t>
      </w:r>
      <w:r w:rsidRPr="00615299">
        <w:t>im</w:t>
      </w:r>
      <w:r w:rsidRPr="00615299">
        <w:rPr>
          <w:spacing w:val="-5"/>
        </w:rPr>
        <w:t xml:space="preserve"> </w:t>
      </w:r>
      <w:r w:rsidRPr="00615299">
        <w:t>Zuge</w:t>
      </w:r>
      <w:r w:rsidRPr="00615299">
        <w:rPr>
          <w:spacing w:val="-5"/>
        </w:rPr>
        <w:t xml:space="preserve"> </w:t>
      </w:r>
      <w:r w:rsidRPr="00615299">
        <w:t>der</w:t>
      </w:r>
      <w:r w:rsidRPr="00615299">
        <w:rPr>
          <w:spacing w:val="-4"/>
        </w:rPr>
        <w:t xml:space="preserve"> </w:t>
      </w:r>
      <w:r w:rsidRPr="00615299">
        <w:t>Säkularisierung</w:t>
      </w:r>
      <w:r w:rsidRPr="00615299">
        <w:rPr>
          <w:spacing w:val="-6"/>
        </w:rPr>
        <w:t xml:space="preserve"> </w:t>
      </w:r>
      <w:r w:rsidRPr="00615299">
        <w:t>nicht</w:t>
      </w:r>
      <w:r w:rsidRPr="00615299">
        <w:rPr>
          <w:spacing w:val="-6"/>
        </w:rPr>
        <w:t xml:space="preserve"> </w:t>
      </w:r>
      <w:r w:rsidRPr="00615299">
        <w:t>nur</w:t>
      </w:r>
      <w:r w:rsidRPr="00615299">
        <w:rPr>
          <w:spacing w:val="-7"/>
        </w:rPr>
        <w:t xml:space="preserve"> </w:t>
      </w:r>
      <w:r w:rsidRPr="00615299">
        <w:t>die Lebensverhältnisse</w:t>
      </w:r>
      <w:r w:rsidRPr="00615299">
        <w:rPr>
          <w:spacing w:val="-4"/>
        </w:rPr>
        <w:t xml:space="preserve"> </w:t>
      </w:r>
      <w:r w:rsidRPr="00615299">
        <w:t>in</w:t>
      </w:r>
      <w:r w:rsidRPr="00615299">
        <w:rPr>
          <w:spacing w:val="-2"/>
        </w:rPr>
        <w:t xml:space="preserve"> </w:t>
      </w:r>
      <w:r w:rsidRPr="00615299">
        <w:t>dem</w:t>
      </w:r>
      <w:r w:rsidRPr="00615299">
        <w:rPr>
          <w:spacing w:val="-4"/>
        </w:rPr>
        <w:t xml:space="preserve"> </w:t>
      </w:r>
      <w:r w:rsidRPr="00615299">
        <w:t>katholischen</w:t>
      </w:r>
      <w:r w:rsidRPr="00615299">
        <w:rPr>
          <w:spacing w:val="-2"/>
        </w:rPr>
        <w:t xml:space="preserve"> </w:t>
      </w:r>
      <w:r w:rsidRPr="00615299">
        <w:t>Europa</w:t>
      </w:r>
      <w:r w:rsidRPr="00615299">
        <w:rPr>
          <w:spacing w:val="-4"/>
        </w:rPr>
        <w:t xml:space="preserve"> </w:t>
      </w:r>
      <w:r w:rsidRPr="00615299">
        <w:t>und</w:t>
      </w:r>
      <w:r w:rsidRPr="00615299">
        <w:rPr>
          <w:spacing w:val="-2"/>
        </w:rPr>
        <w:t xml:space="preserve"> </w:t>
      </w:r>
      <w:r w:rsidRPr="00615299">
        <w:t>dem</w:t>
      </w:r>
      <w:r w:rsidRPr="00615299">
        <w:rPr>
          <w:spacing w:val="-4"/>
        </w:rPr>
        <w:t xml:space="preserve"> </w:t>
      </w:r>
      <w:r w:rsidRPr="00615299">
        <w:t>protestantischen</w:t>
      </w:r>
      <w:r w:rsidRPr="00615299">
        <w:rPr>
          <w:spacing w:val="-2"/>
        </w:rPr>
        <w:t xml:space="preserve"> </w:t>
      </w:r>
      <w:r w:rsidRPr="00615299">
        <w:t>Europa konvergierten, sondern auch die Erziehungsstile beider Religionsgemeinschaften in den USA.</w:t>
      </w:r>
    </w:p>
    <w:p w14:paraId="3BA86712" w14:textId="77777777" w:rsidR="00FF7799" w:rsidRPr="00E73F6F" w:rsidRDefault="00FF7799" w:rsidP="00615D94">
      <w:pPr>
        <w:pStyle w:val="StandardText"/>
      </w:pPr>
    </w:p>
    <w:p w14:paraId="4686E46C" w14:textId="77777777" w:rsidR="00FF7799" w:rsidRPr="00615299" w:rsidRDefault="00FF7799" w:rsidP="00615D94">
      <w:pPr>
        <w:pStyle w:val="StandardTextkursiv"/>
        <w:rPr>
          <w:i w:val="0"/>
        </w:rPr>
      </w:pPr>
      <w:r w:rsidRPr="00615299">
        <w:rPr>
          <w:i w:val="0"/>
        </w:rPr>
        <w:t>1.3 Wertewandel</w:t>
      </w:r>
    </w:p>
    <w:p w14:paraId="3FF5D6A1" w14:textId="77777777" w:rsidR="00FF7799" w:rsidRPr="00615299" w:rsidRDefault="00FF7799" w:rsidP="00615D94">
      <w:pPr>
        <w:pStyle w:val="StandardText"/>
      </w:pPr>
      <w:r w:rsidRPr="00615299">
        <w:t>In „The Silent Revolution“ stellte Inglehart (1977) seine grundlegende These erstmals</w:t>
      </w:r>
      <w:r w:rsidRPr="00615299">
        <w:rPr>
          <w:spacing w:val="-8"/>
        </w:rPr>
        <w:t xml:space="preserve"> </w:t>
      </w:r>
      <w:r w:rsidRPr="00615299">
        <w:t>einer</w:t>
      </w:r>
      <w:r w:rsidRPr="00615299">
        <w:rPr>
          <w:spacing w:val="-8"/>
        </w:rPr>
        <w:t xml:space="preserve"> </w:t>
      </w:r>
      <w:r w:rsidRPr="00615299">
        <w:t>breiteren</w:t>
      </w:r>
      <w:r w:rsidRPr="00615299">
        <w:rPr>
          <w:spacing w:val="-7"/>
        </w:rPr>
        <w:t xml:space="preserve"> </w:t>
      </w:r>
      <w:r w:rsidRPr="00615299">
        <w:t>Öffentlichkeit</w:t>
      </w:r>
      <w:r w:rsidRPr="00615299">
        <w:rPr>
          <w:spacing w:val="-10"/>
        </w:rPr>
        <w:t xml:space="preserve"> </w:t>
      </w:r>
      <w:r w:rsidRPr="00615299">
        <w:t>vor:</w:t>
      </w:r>
      <w:r w:rsidRPr="00615299">
        <w:rPr>
          <w:spacing w:val="-7"/>
        </w:rPr>
        <w:t xml:space="preserve"> </w:t>
      </w:r>
      <w:r w:rsidRPr="00615299">
        <w:t>Demzufolge</w:t>
      </w:r>
      <w:r w:rsidRPr="00615299">
        <w:rPr>
          <w:spacing w:val="-8"/>
        </w:rPr>
        <w:t xml:space="preserve"> </w:t>
      </w:r>
      <w:r w:rsidRPr="00615299">
        <w:t>haben</w:t>
      </w:r>
      <w:r w:rsidRPr="00615299">
        <w:rPr>
          <w:spacing w:val="-7"/>
        </w:rPr>
        <w:t xml:space="preserve"> </w:t>
      </w:r>
      <w:r w:rsidRPr="00615299">
        <w:t>sich</w:t>
      </w:r>
      <w:r w:rsidRPr="00615299">
        <w:rPr>
          <w:spacing w:val="-9"/>
        </w:rPr>
        <w:t xml:space="preserve"> </w:t>
      </w:r>
      <w:r w:rsidRPr="00615299">
        <w:t>mit</w:t>
      </w:r>
      <w:r w:rsidRPr="00615299">
        <w:rPr>
          <w:spacing w:val="-7"/>
        </w:rPr>
        <w:t xml:space="preserve"> </w:t>
      </w:r>
      <w:r w:rsidRPr="00615299">
        <w:t>dem</w:t>
      </w:r>
      <w:r w:rsidRPr="00615299">
        <w:rPr>
          <w:spacing w:val="-9"/>
        </w:rPr>
        <w:t xml:space="preserve"> </w:t>
      </w:r>
      <w:r w:rsidRPr="00615299">
        <w:t>in</w:t>
      </w:r>
      <w:r w:rsidRPr="00615299">
        <w:rPr>
          <w:spacing w:val="-7"/>
        </w:rPr>
        <w:t xml:space="preserve"> </w:t>
      </w:r>
      <w:r w:rsidRPr="00615299">
        <w:t>den führenden Industriegesellschaften dramatisch gewachsenen Wohlstand die Wertmaßstäbe zwischen den Generationen verschoben. In dem Maße, wie der Wohlfahrtsstaat die großen Lebensrisiken trägt, verlieren die traditionellen materiellen</w:t>
      </w:r>
      <w:r w:rsidRPr="00615299">
        <w:rPr>
          <w:spacing w:val="-12"/>
        </w:rPr>
        <w:t xml:space="preserve"> </w:t>
      </w:r>
      <w:r w:rsidRPr="00615299">
        <w:t>Werte</w:t>
      </w:r>
      <w:r w:rsidRPr="00615299">
        <w:rPr>
          <w:spacing w:val="-11"/>
        </w:rPr>
        <w:t xml:space="preserve"> </w:t>
      </w:r>
      <w:r w:rsidRPr="00615299">
        <w:t>(des</w:t>
      </w:r>
      <w:r w:rsidRPr="00615299">
        <w:rPr>
          <w:spacing w:val="-11"/>
        </w:rPr>
        <w:t xml:space="preserve"> </w:t>
      </w:r>
      <w:r w:rsidRPr="00615299">
        <w:t>Habens)</w:t>
      </w:r>
      <w:r w:rsidRPr="00615299">
        <w:rPr>
          <w:spacing w:val="-11"/>
        </w:rPr>
        <w:t xml:space="preserve"> </w:t>
      </w:r>
      <w:r w:rsidRPr="00615299">
        <w:t>an</w:t>
      </w:r>
      <w:r w:rsidRPr="00615299">
        <w:rPr>
          <w:spacing w:val="-12"/>
        </w:rPr>
        <w:t xml:space="preserve"> </w:t>
      </w:r>
      <w:r w:rsidRPr="00615299">
        <w:t>Bedeutung</w:t>
      </w:r>
      <w:r w:rsidRPr="00615299">
        <w:rPr>
          <w:spacing w:val="-11"/>
        </w:rPr>
        <w:t xml:space="preserve"> </w:t>
      </w:r>
      <w:r w:rsidRPr="00615299">
        <w:t>und</w:t>
      </w:r>
      <w:r w:rsidRPr="00615299">
        <w:rPr>
          <w:spacing w:val="-11"/>
        </w:rPr>
        <w:t xml:space="preserve"> </w:t>
      </w:r>
      <w:r w:rsidRPr="00615299">
        <w:t>treten</w:t>
      </w:r>
      <w:r w:rsidRPr="00615299">
        <w:rPr>
          <w:spacing w:val="-11"/>
        </w:rPr>
        <w:t xml:space="preserve"> </w:t>
      </w:r>
      <w:r w:rsidRPr="00615299">
        <w:t>die</w:t>
      </w:r>
      <w:r w:rsidRPr="00615299">
        <w:rPr>
          <w:spacing w:val="-12"/>
        </w:rPr>
        <w:t xml:space="preserve"> </w:t>
      </w:r>
      <w:r w:rsidRPr="00615299">
        <w:t>postmateriellen</w:t>
      </w:r>
      <w:r w:rsidRPr="00615299">
        <w:rPr>
          <w:spacing w:val="-11"/>
        </w:rPr>
        <w:t xml:space="preserve"> </w:t>
      </w:r>
      <w:r w:rsidRPr="00615299">
        <w:t>Werte (des Seins) in den Vordergrund. Gemäß der Postmaterialismus-These beeinflusst das verstärkte Streben der Bürger nach Selbstverwirklichung und Partizipation (d.h. nach politischer Beteiligung) die sozio-ökonomische Entwicklung der vom Wertewandel betroffenen Gesellschaften nachhaltig.</w:t>
      </w:r>
    </w:p>
    <w:p w14:paraId="5537BEB2" w14:textId="77777777" w:rsidR="00FF7799" w:rsidRPr="00615299" w:rsidRDefault="00FF7799" w:rsidP="00862DBA">
      <w:pPr>
        <w:spacing w:before="1"/>
        <w:rPr>
          <w:sz w:val="24"/>
          <w:szCs w:val="24"/>
        </w:rPr>
      </w:pPr>
    </w:p>
    <w:p w14:paraId="569B9532" w14:textId="77777777" w:rsidR="00FF7799" w:rsidRPr="00615299" w:rsidRDefault="00FF7799" w:rsidP="00615D94">
      <w:pPr>
        <w:pStyle w:val="StandardTextkursiv"/>
        <w:rPr>
          <w:i w:val="0"/>
        </w:rPr>
      </w:pPr>
      <w:r w:rsidRPr="00615299">
        <w:rPr>
          <w:i w:val="0"/>
        </w:rPr>
        <w:t>2 Methodik</w:t>
      </w:r>
      <w:r w:rsidRPr="00615299">
        <w:rPr>
          <w:i w:val="0"/>
          <w:spacing w:val="-3"/>
        </w:rPr>
        <w:t xml:space="preserve"> </w:t>
      </w:r>
      <w:r w:rsidRPr="00615299">
        <w:rPr>
          <w:i w:val="0"/>
        </w:rPr>
        <w:t>&amp; Operationalisierung</w:t>
      </w:r>
    </w:p>
    <w:p w14:paraId="29B77389" w14:textId="77777777" w:rsidR="00FF7799" w:rsidRPr="00615299" w:rsidRDefault="00FF7799" w:rsidP="00862DBA">
      <w:pPr>
        <w:spacing w:before="10"/>
        <w:rPr>
          <w:sz w:val="24"/>
          <w:szCs w:val="24"/>
        </w:rPr>
      </w:pPr>
    </w:p>
    <w:p w14:paraId="7DD81679" w14:textId="77777777" w:rsidR="00FF7799" w:rsidRPr="00615299" w:rsidRDefault="00FF7799" w:rsidP="00615D94">
      <w:pPr>
        <w:pStyle w:val="StandardText"/>
      </w:pPr>
      <w:r w:rsidRPr="00615299">
        <w:t>Die</w:t>
      </w:r>
      <w:r w:rsidRPr="00615299">
        <w:rPr>
          <w:spacing w:val="-1"/>
        </w:rPr>
        <w:t xml:space="preserve"> </w:t>
      </w:r>
      <w:r w:rsidRPr="00615299">
        <w:t>World Values</w:t>
      </w:r>
      <w:r w:rsidRPr="00615299">
        <w:rPr>
          <w:spacing w:val="-1"/>
        </w:rPr>
        <w:t xml:space="preserve"> </w:t>
      </w:r>
      <w:r w:rsidRPr="00615299">
        <w:t>Survey</w:t>
      </w:r>
      <w:r w:rsidRPr="00615299">
        <w:rPr>
          <w:spacing w:val="-1"/>
        </w:rPr>
        <w:t xml:space="preserve"> </w:t>
      </w:r>
      <w:r w:rsidRPr="00615299">
        <w:t>(WVS)</w:t>
      </w:r>
      <w:r w:rsidRPr="00615299">
        <w:rPr>
          <w:spacing w:val="-1"/>
        </w:rPr>
        <w:t xml:space="preserve"> </w:t>
      </w:r>
      <w:r w:rsidRPr="00615299">
        <w:t>baut auf</w:t>
      </w:r>
      <w:r w:rsidRPr="00615299">
        <w:rPr>
          <w:spacing w:val="-3"/>
        </w:rPr>
        <w:t xml:space="preserve"> </w:t>
      </w:r>
      <w:r w:rsidRPr="00615299">
        <w:t>der European Values</w:t>
      </w:r>
      <w:r w:rsidRPr="00615299">
        <w:rPr>
          <w:spacing w:val="-1"/>
        </w:rPr>
        <w:t xml:space="preserve"> </w:t>
      </w:r>
      <w:r w:rsidRPr="00615299">
        <w:t>Survey</w:t>
      </w:r>
      <w:r w:rsidRPr="00615299">
        <w:rPr>
          <w:spacing w:val="-1"/>
        </w:rPr>
        <w:t xml:space="preserve"> </w:t>
      </w:r>
      <w:r w:rsidRPr="00615299">
        <w:t>(EVS) auf. In bislang vier Wellen (1981-84, 1990-93, 1995-97 und 1999-2000) hat die Forschergruppe</w:t>
      </w:r>
      <w:r w:rsidRPr="00615299">
        <w:rPr>
          <w:spacing w:val="-9"/>
        </w:rPr>
        <w:t xml:space="preserve"> </w:t>
      </w:r>
      <w:r w:rsidRPr="00615299">
        <w:t>um</w:t>
      </w:r>
      <w:r w:rsidRPr="00615299">
        <w:rPr>
          <w:spacing w:val="-8"/>
        </w:rPr>
        <w:t xml:space="preserve"> </w:t>
      </w:r>
      <w:r w:rsidRPr="00615299">
        <w:t>R.</w:t>
      </w:r>
      <w:r w:rsidRPr="00615299">
        <w:rPr>
          <w:spacing w:val="-8"/>
        </w:rPr>
        <w:t xml:space="preserve"> </w:t>
      </w:r>
      <w:r w:rsidRPr="00615299">
        <w:t>Inglehart</w:t>
      </w:r>
      <w:r w:rsidRPr="00615299">
        <w:rPr>
          <w:spacing w:val="-10"/>
        </w:rPr>
        <w:t xml:space="preserve"> </w:t>
      </w:r>
      <w:r w:rsidRPr="00615299">
        <w:t>von</w:t>
      </w:r>
      <w:r w:rsidRPr="00615299">
        <w:rPr>
          <w:spacing w:val="-8"/>
        </w:rPr>
        <w:t xml:space="preserve"> </w:t>
      </w:r>
      <w:r w:rsidRPr="00615299">
        <w:t>renommierten</w:t>
      </w:r>
      <w:r w:rsidRPr="00615299">
        <w:rPr>
          <w:spacing w:val="-8"/>
        </w:rPr>
        <w:t xml:space="preserve"> </w:t>
      </w:r>
      <w:r w:rsidRPr="00615299">
        <w:t>Meinungsforschungsinstituten in</w:t>
      </w:r>
      <w:r w:rsidRPr="00615299">
        <w:rPr>
          <w:spacing w:val="-12"/>
        </w:rPr>
        <w:t xml:space="preserve"> </w:t>
      </w:r>
      <w:r w:rsidRPr="00615299">
        <w:t>zunächst</w:t>
      </w:r>
      <w:r w:rsidRPr="00615299">
        <w:rPr>
          <w:spacing w:val="-11"/>
        </w:rPr>
        <w:t xml:space="preserve"> </w:t>
      </w:r>
      <w:r w:rsidRPr="00615299">
        <w:t>43,</w:t>
      </w:r>
      <w:r w:rsidRPr="00615299">
        <w:rPr>
          <w:spacing w:val="-11"/>
        </w:rPr>
        <w:t xml:space="preserve"> </w:t>
      </w:r>
      <w:r w:rsidRPr="00615299">
        <w:t>später</w:t>
      </w:r>
      <w:r w:rsidRPr="00615299">
        <w:rPr>
          <w:spacing w:val="-11"/>
        </w:rPr>
        <w:t xml:space="preserve"> </w:t>
      </w:r>
      <w:r w:rsidRPr="00615299">
        <w:t>mehr</w:t>
      </w:r>
      <w:r w:rsidRPr="00615299">
        <w:rPr>
          <w:spacing w:val="-12"/>
        </w:rPr>
        <w:t xml:space="preserve"> </w:t>
      </w:r>
      <w:r w:rsidRPr="00615299">
        <w:t>als</w:t>
      </w:r>
      <w:r w:rsidRPr="00615299">
        <w:rPr>
          <w:spacing w:val="-11"/>
        </w:rPr>
        <w:t xml:space="preserve"> </w:t>
      </w:r>
      <w:r w:rsidRPr="00615299">
        <w:t>60</w:t>
      </w:r>
      <w:r w:rsidRPr="00615299">
        <w:rPr>
          <w:spacing w:val="-11"/>
        </w:rPr>
        <w:t xml:space="preserve"> </w:t>
      </w:r>
      <w:r w:rsidRPr="00615299">
        <w:t>Ländern</w:t>
      </w:r>
      <w:r w:rsidRPr="00615299">
        <w:rPr>
          <w:spacing w:val="-11"/>
        </w:rPr>
        <w:t xml:space="preserve"> </w:t>
      </w:r>
      <w:r w:rsidRPr="00615299">
        <w:t>repräsentative</w:t>
      </w:r>
      <w:r w:rsidRPr="00615299">
        <w:rPr>
          <w:spacing w:val="-12"/>
        </w:rPr>
        <w:t xml:space="preserve"> </w:t>
      </w:r>
      <w:r w:rsidRPr="00615299">
        <w:t>Stichproben</w:t>
      </w:r>
      <w:r w:rsidRPr="00615299">
        <w:rPr>
          <w:spacing w:val="-11"/>
        </w:rPr>
        <w:t xml:space="preserve"> </w:t>
      </w:r>
      <w:r w:rsidRPr="00615299">
        <w:t>von</w:t>
      </w:r>
      <w:r w:rsidRPr="00615299">
        <w:rPr>
          <w:spacing w:val="-11"/>
        </w:rPr>
        <w:t xml:space="preserve"> </w:t>
      </w:r>
      <w:r w:rsidRPr="00615299">
        <w:t>Bürgern mündlich zu verschiedenen Themen befragen lassen: insb. Arbeitsleben, Wirtschaft, Gesundheit und Umwelt, Politik, Moral, Religion.</w:t>
      </w:r>
    </w:p>
    <w:p w14:paraId="65E319A3" w14:textId="77777777" w:rsidR="00FF7799" w:rsidRPr="00615299" w:rsidRDefault="00FF7799" w:rsidP="00615D94">
      <w:pPr>
        <w:pStyle w:val="StandardText"/>
      </w:pPr>
      <w:r w:rsidRPr="00615299">
        <w:t>Im</w:t>
      </w:r>
      <w:r w:rsidRPr="00615299">
        <w:rPr>
          <w:spacing w:val="-3"/>
        </w:rPr>
        <w:t xml:space="preserve"> </w:t>
      </w:r>
      <w:r w:rsidRPr="00615299">
        <w:t>Mittelpunkt</w:t>
      </w:r>
      <w:r w:rsidRPr="00615299">
        <w:rPr>
          <w:spacing w:val="-2"/>
        </w:rPr>
        <w:t xml:space="preserve"> </w:t>
      </w:r>
      <w:r w:rsidRPr="00615299">
        <w:t>der</w:t>
      </w:r>
      <w:r w:rsidRPr="00615299">
        <w:rPr>
          <w:spacing w:val="-2"/>
        </w:rPr>
        <w:t xml:space="preserve"> </w:t>
      </w:r>
      <w:r w:rsidRPr="00615299">
        <w:t>Untersuchungen</w:t>
      </w:r>
      <w:r w:rsidRPr="00615299">
        <w:rPr>
          <w:spacing w:val="-2"/>
        </w:rPr>
        <w:t xml:space="preserve"> </w:t>
      </w:r>
      <w:r w:rsidRPr="00615299">
        <w:t>stand</w:t>
      </w:r>
      <w:r w:rsidRPr="00615299">
        <w:rPr>
          <w:spacing w:val="-2"/>
        </w:rPr>
        <w:t xml:space="preserve"> </w:t>
      </w:r>
      <w:r w:rsidRPr="00615299">
        <w:t>folgende</w:t>
      </w:r>
      <w:r w:rsidRPr="00615299">
        <w:rPr>
          <w:spacing w:val="-3"/>
        </w:rPr>
        <w:t xml:space="preserve"> </w:t>
      </w:r>
      <w:r w:rsidRPr="00615299">
        <w:t>Frage:</w:t>
      </w:r>
      <w:r w:rsidRPr="00615299">
        <w:rPr>
          <w:spacing w:val="-2"/>
        </w:rPr>
        <w:t xml:space="preserve"> </w:t>
      </w:r>
      <w:r w:rsidRPr="00615299">
        <w:t>„Hier</w:t>
      </w:r>
      <w:r w:rsidRPr="00615299">
        <w:rPr>
          <w:spacing w:val="-2"/>
        </w:rPr>
        <w:t xml:space="preserve"> </w:t>
      </w:r>
      <w:r w:rsidRPr="00615299">
        <w:t>ist</w:t>
      </w:r>
      <w:r w:rsidRPr="00615299">
        <w:rPr>
          <w:spacing w:val="-4"/>
        </w:rPr>
        <w:t xml:space="preserve"> </w:t>
      </w:r>
      <w:r w:rsidRPr="00615299">
        <w:t>eine</w:t>
      </w:r>
      <w:r w:rsidRPr="00615299">
        <w:rPr>
          <w:spacing w:val="-3"/>
        </w:rPr>
        <w:t xml:space="preserve"> </w:t>
      </w:r>
      <w:r w:rsidRPr="00615299">
        <w:t>Liste</w:t>
      </w:r>
      <w:r w:rsidRPr="00615299">
        <w:rPr>
          <w:spacing w:val="-3"/>
        </w:rPr>
        <w:t xml:space="preserve"> </w:t>
      </w:r>
      <w:r w:rsidRPr="00615299">
        <w:t>mit Eigenschaften, die bei Kindern im Elternhaus gefördert werden könnten. Welche davon halten Sie, falls überhaupt, für besonders wichtig?“ Die Liste enthielt Eigenschaften, welche …</w:t>
      </w:r>
    </w:p>
    <w:p w14:paraId="545B81D1" w14:textId="77777777" w:rsidR="00FF7799" w:rsidRPr="00615299" w:rsidRDefault="00FF7799" w:rsidP="00685E66">
      <w:pPr>
        <w:pStyle w:val="StandardTextAufzhlung"/>
        <w:ind w:left="567"/>
      </w:pPr>
      <w:r w:rsidRPr="00615299">
        <w:t>Autonomie und ökonomische Leistung betonen (wie „Sparsamkeit in Bezug auf Geld und andere Dinge“ sowie „Entschlossenheit“) oder</w:t>
      </w:r>
    </w:p>
    <w:p w14:paraId="55901594" w14:textId="77777777" w:rsidR="00FF7799" w:rsidRPr="00615299" w:rsidRDefault="00FF7799" w:rsidP="00685E66">
      <w:pPr>
        <w:pStyle w:val="StandardTextAufzhlung"/>
        <w:ind w:left="567"/>
      </w:pPr>
      <w:r w:rsidRPr="00615299">
        <w:t>Übereinstimmung</w:t>
      </w:r>
      <w:r w:rsidRPr="00615299">
        <w:rPr>
          <w:spacing w:val="8"/>
        </w:rPr>
        <w:t xml:space="preserve"> </w:t>
      </w:r>
      <w:r w:rsidRPr="00615299">
        <w:t>mit</w:t>
      </w:r>
      <w:r w:rsidRPr="00615299">
        <w:rPr>
          <w:spacing w:val="13"/>
        </w:rPr>
        <w:t xml:space="preserve"> </w:t>
      </w:r>
      <w:r w:rsidRPr="00615299">
        <w:t>traditionellen</w:t>
      </w:r>
      <w:r w:rsidRPr="00615299">
        <w:rPr>
          <w:spacing w:val="13"/>
        </w:rPr>
        <w:t xml:space="preserve"> </w:t>
      </w:r>
      <w:r w:rsidRPr="00615299">
        <w:t>sozialen</w:t>
      </w:r>
      <w:r w:rsidRPr="00615299">
        <w:rPr>
          <w:spacing w:val="13"/>
        </w:rPr>
        <w:t xml:space="preserve"> </w:t>
      </w:r>
      <w:r w:rsidRPr="00615299">
        <w:t>Normen</w:t>
      </w:r>
      <w:r w:rsidRPr="00615299">
        <w:rPr>
          <w:spacing w:val="11"/>
        </w:rPr>
        <w:t xml:space="preserve"> </w:t>
      </w:r>
      <w:r w:rsidRPr="00615299">
        <w:t>(z.B.</w:t>
      </w:r>
      <w:r w:rsidRPr="00615299">
        <w:rPr>
          <w:spacing w:val="13"/>
        </w:rPr>
        <w:t xml:space="preserve"> </w:t>
      </w:r>
      <w:r w:rsidRPr="00615299">
        <w:t>„Gehorsam“</w:t>
      </w:r>
      <w:r w:rsidRPr="00615299">
        <w:rPr>
          <w:spacing w:val="12"/>
        </w:rPr>
        <w:t xml:space="preserve"> </w:t>
      </w:r>
      <w:r w:rsidRPr="00615299">
        <w:rPr>
          <w:spacing w:val="-5"/>
        </w:rPr>
        <w:t xml:space="preserve">und </w:t>
      </w:r>
      <w:r w:rsidRPr="00615299">
        <w:t>„religiöser</w:t>
      </w:r>
      <w:r w:rsidRPr="00615299">
        <w:rPr>
          <w:spacing w:val="-2"/>
        </w:rPr>
        <w:t xml:space="preserve"> Glaube“).</w:t>
      </w:r>
    </w:p>
    <w:p w14:paraId="1398A2C3" w14:textId="77777777" w:rsidR="00FF7799" w:rsidRPr="00615299" w:rsidRDefault="00FF7799" w:rsidP="00615D94">
      <w:pPr>
        <w:pStyle w:val="StandardText"/>
      </w:pPr>
      <w:r w:rsidRPr="00615299">
        <w:t>Sodann entwickelte Inglehart (1998; 1997; 1977) einen „Index der Leistungsmotivation“, indem er den Prozentsatz derjenigen in jedem Land summierte, welche die ersten beiden Ziele betonen, und von diesem Wert den Prozentsatz derjenigen subtrahierte, welche die letzten beiden Ziele betonen. Der Index kann zwischen …</w:t>
      </w:r>
    </w:p>
    <w:p w14:paraId="61A8DE11" w14:textId="77777777" w:rsidR="00FF7799" w:rsidRPr="00615299" w:rsidRDefault="00FF7799" w:rsidP="00685E66">
      <w:pPr>
        <w:pStyle w:val="StandardTextAufzhlung"/>
        <w:ind w:left="567"/>
      </w:pPr>
      <w:r w:rsidRPr="00615299">
        <w:lastRenderedPageBreak/>
        <w:t>-200</w:t>
      </w:r>
      <w:r w:rsidRPr="00615299">
        <w:rPr>
          <w:spacing w:val="63"/>
        </w:rPr>
        <w:t xml:space="preserve"> </w:t>
      </w:r>
      <w:r w:rsidRPr="00615299">
        <w:t>(wenn</w:t>
      </w:r>
      <w:r w:rsidRPr="00615299">
        <w:rPr>
          <w:spacing w:val="61"/>
        </w:rPr>
        <w:t xml:space="preserve"> </w:t>
      </w:r>
      <w:r w:rsidRPr="00615299">
        <w:t>alle</w:t>
      </w:r>
      <w:r w:rsidRPr="00615299">
        <w:rPr>
          <w:spacing w:val="62"/>
        </w:rPr>
        <w:t xml:space="preserve"> </w:t>
      </w:r>
      <w:r w:rsidRPr="00615299">
        <w:t>Menschen</w:t>
      </w:r>
      <w:r w:rsidRPr="00615299">
        <w:rPr>
          <w:spacing w:val="63"/>
        </w:rPr>
        <w:t xml:space="preserve"> </w:t>
      </w:r>
      <w:r w:rsidRPr="00615299">
        <w:t>in</w:t>
      </w:r>
      <w:r w:rsidRPr="00615299">
        <w:rPr>
          <w:spacing w:val="61"/>
        </w:rPr>
        <w:t xml:space="preserve"> </w:t>
      </w:r>
      <w:r w:rsidRPr="00615299">
        <w:t>einer</w:t>
      </w:r>
      <w:r w:rsidRPr="00615299">
        <w:rPr>
          <w:spacing w:val="63"/>
        </w:rPr>
        <w:t xml:space="preserve"> </w:t>
      </w:r>
      <w:r w:rsidRPr="00615299">
        <w:t>bestimmten</w:t>
      </w:r>
      <w:r w:rsidRPr="00615299">
        <w:rPr>
          <w:spacing w:val="62"/>
        </w:rPr>
        <w:t xml:space="preserve"> </w:t>
      </w:r>
      <w:r w:rsidRPr="00615299">
        <w:t>Gesellschaft</w:t>
      </w:r>
      <w:r w:rsidRPr="00615299">
        <w:rPr>
          <w:spacing w:val="63"/>
        </w:rPr>
        <w:t xml:space="preserve"> </w:t>
      </w:r>
      <w:r w:rsidRPr="00615299">
        <w:t>den</w:t>
      </w:r>
      <w:r w:rsidRPr="00615299">
        <w:rPr>
          <w:spacing w:val="61"/>
        </w:rPr>
        <w:t xml:space="preserve"> </w:t>
      </w:r>
      <w:r w:rsidRPr="00615299">
        <w:rPr>
          <w:spacing w:val="-4"/>
        </w:rPr>
        <w:t xml:space="preserve">Wert </w:t>
      </w:r>
      <w:r w:rsidRPr="00615299">
        <w:t>„Gehorsam“</w:t>
      </w:r>
      <w:r w:rsidRPr="00615299">
        <w:rPr>
          <w:spacing w:val="-12"/>
        </w:rPr>
        <w:t xml:space="preserve"> </w:t>
      </w:r>
      <w:r w:rsidRPr="00615299">
        <w:t>sowie</w:t>
      </w:r>
      <w:r w:rsidRPr="00615299">
        <w:rPr>
          <w:spacing w:val="-11"/>
        </w:rPr>
        <w:t xml:space="preserve"> </w:t>
      </w:r>
      <w:r w:rsidRPr="00615299">
        <w:t>den</w:t>
      </w:r>
      <w:r w:rsidRPr="00615299">
        <w:rPr>
          <w:spacing w:val="-11"/>
        </w:rPr>
        <w:t xml:space="preserve"> </w:t>
      </w:r>
      <w:r w:rsidRPr="00615299">
        <w:t>Wert</w:t>
      </w:r>
      <w:r w:rsidRPr="00615299">
        <w:rPr>
          <w:spacing w:val="-11"/>
        </w:rPr>
        <w:t xml:space="preserve"> </w:t>
      </w:r>
      <w:r w:rsidRPr="00615299">
        <w:t>„religiöser</w:t>
      </w:r>
      <w:r w:rsidRPr="00615299">
        <w:rPr>
          <w:spacing w:val="-12"/>
        </w:rPr>
        <w:t xml:space="preserve"> </w:t>
      </w:r>
      <w:r w:rsidRPr="00615299">
        <w:t>Glaube“</w:t>
      </w:r>
      <w:r w:rsidRPr="00615299">
        <w:rPr>
          <w:spacing w:val="-11"/>
        </w:rPr>
        <w:t xml:space="preserve"> </w:t>
      </w:r>
      <w:r w:rsidRPr="00615299">
        <w:t>betonen</w:t>
      </w:r>
      <w:r w:rsidRPr="00615299">
        <w:rPr>
          <w:spacing w:val="-11"/>
        </w:rPr>
        <w:t xml:space="preserve"> </w:t>
      </w:r>
      <w:r w:rsidRPr="00615299">
        <w:t>und</w:t>
      </w:r>
      <w:r w:rsidRPr="00615299">
        <w:rPr>
          <w:spacing w:val="-11"/>
        </w:rPr>
        <w:t xml:space="preserve"> </w:t>
      </w:r>
      <w:r w:rsidRPr="00615299">
        <w:t>kein</w:t>
      </w:r>
      <w:r w:rsidRPr="00615299">
        <w:rPr>
          <w:spacing w:val="-11"/>
        </w:rPr>
        <w:t xml:space="preserve"> </w:t>
      </w:r>
      <w:r w:rsidRPr="00615299">
        <w:t>einziger</w:t>
      </w:r>
      <w:r w:rsidRPr="00615299">
        <w:rPr>
          <w:spacing w:val="-11"/>
        </w:rPr>
        <w:t xml:space="preserve"> </w:t>
      </w:r>
      <w:r w:rsidRPr="00615299">
        <w:t>die Werte „Sparsamkeit“ und „Selbstbestimmung“) und</w:t>
      </w:r>
    </w:p>
    <w:p w14:paraId="265C1A1A" w14:textId="77777777" w:rsidR="00FF7799" w:rsidRPr="00615299" w:rsidRDefault="00FF7799" w:rsidP="00685E66">
      <w:pPr>
        <w:pStyle w:val="StandardTextAufzhlung"/>
        <w:ind w:left="567"/>
      </w:pPr>
      <w:r w:rsidRPr="00615299">
        <w:t>+200 variieren (wenn alle die Werte „Sparsamkeit“ und „Selbstbestimmung“ betonen und kein einziger die Werte „Gehorsam“ oder „religiöser Glaube“).</w:t>
      </w:r>
    </w:p>
    <w:p w14:paraId="36622ED0" w14:textId="77777777" w:rsidR="00FF7799" w:rsidRPr="00615299" w:rsidRDefault="00FF7799" w:rsidP="00685E66">
      <w:pPr>
        <w:pStyle w:val="StandardTextAufzhlung"/>
        <w:ind w:left="567"/>
        <w:rPr>
          <w:szCs w:val="24"/>
        </w:rPr>
      </w:pPr>
      <w:r w:rsidRPr="00615299">
        <w:rPr>
          <w:szCs w:val="24"/>
        </w:rPr>
        <w:t>Ein</w:t>
      </w:r>
      <w:r w:rsidRPr="00615299">
        <w:rPr>
          <w:spacing w:val="-7"/>
          <w:szCs w:val="24"/>
        </w:rPr>
        <w:t xml:space="preserve"> </w:t>
      </w:r>
      <w:r w:rsidRPr="00615299">
        <w:rPr>
          <w:szCs w:val="24"/>
        </w:rPr>
        <w:t>Wert</w:t>
      </w:r>
      <w:r w:rsidRPr="00615299">
        <w:rPr>
          <w:spacing w:val="-7"/>
          <w:szCs w:val="24"/>
        </w:rPr>
        <w:t xml:space="preserve"> </w:t>
      </w:r>
      <w:r w:rsidRPr="00615299">
        <w:rPr>
          <w:szCs w:val="24"/>
        </w:rPr>
        <w:t>von</w:t>
      </w:r>
      <w:r w:rsidRPr="00615299">
        <w:rPr>
          <w:spacing w:val="-7"/>
          <w:szCs w:val="24"/>
        </w:rPr>
        <w:t xml:space="preserve"> </w:t>
      </w:r>
      <w:r w:rsidRPr="00615299">
        <w:rPr>
          <w:szCs w:val="24"/>
        </w:rPr>
        <w:t>Null</w:t>
      </w:r>
      <w:r w:rsidRPr="00615299">
        <w:rPr>
          <w:spacing w:val="-7"/>
          <w:szCs w:val="24"/>
        </w:rPr>
        <w:t xml:space="preserve"> </w:t>
      </w:r>
      <w:r w:rsidRPr="00615299">
        <w:rPr>
          <w:szCs w:val="24"/>
        </w:rPr>
        <w:t>signalisiert,</w:t>
      </w:r>
      <w:r w:rsidRPr="00615299">
        <w:rPr>
          <w:spacing w:val="-9"/>
          <w:szCs w:val="24"/>
        </w:rPr>
        <w:t xml:space="preserve"> </w:t>
      </w:r>
      <w:r w:rsidRPr="00615299">
        <w:rPr>
          <w:szCs w:val="24"/>
        </w:rPr>
        <w:t>dass</w:t>
      </w:r>
      <w:r w:rsidRPr="00615299">
        <w:rPr>
          <w:spacing w:val="-9"/>
          <w:szCs w:val="24"/>
        </w:rPr>
        <w:t xml:space="preserve"> </w:t>
      </w:r>
      <w:r w:rsidRPr="00615299">
        <w:rPr>
          <w:szCs w:val="24"/>
        </w:rPr>
        <w:t>in</w:t>
      </w:r>
      <w:r w:rsidRPr="00615299">
        <w:rPr>
          <w:spacing w:val="-6"/>
          <w:szCs w:val="24"/>
        </w:rPr>
        <w:t xml:space="preserve"> </w:t>
      </w:r>
      <w:r w:rsidRPr="00615299">
        <w:rPr>
          <w:szCs w:val="24"/>
        </w:rPr>
        <w:t>einer</w:t>
      </w:r>
      <w:r w:rsidRPr="00615299">
        <w:rPr>
          <w:spacing w:val="-8"/>
          <w:szCs w:val="24"/>
        </w:rPr>
        <w:t xml:space="preserve"> </w:t>
      </w:r>
      <w:r w:rsidRPr="00615299">
        <w:rPr>
          <w:szCs w:val="24"/>
        </w:rPr>
        <w:t>Gesellschaft</w:t>
      </w:r>
      <w:r w:rsidRPr="00615299">
        <w:rPr>
          <w:spacing w:val="-7"/>
          <w:szCs w:val="24"/>
        </w:rPr>
        <w:t xml:space="preserve"> </w:t>
      </w:r>
      <w:r w:rsidRPr="00615299">
        <w:rPr>
          <w:szCs w:val="24"/>
        </w:rPr>
        <w:t>beide</w:t>
      </w:r>
      <w:r w:rsidRPr="00615299">
        <w:rPr>
          <w:spacing w:val="-8"/>
          <w:szCs w:val="24"/>
        </w:rPr>
        <w:t xml:space="preserve"> </w:t>
      </w:r>
      <w:r w:rsidRPr="00615299">
        <w:rPr>
          <w:szCs w:val="24"/>
        </w:rPr>
        <w:t>Strömungen</w:t>
      </w:r>
      <w:r w:rsidRPr="00615299">
        <w:rPr>
          <w:spacing w:val="-9"/>
          <w:szCs w:val="24"/>
        </w:rPr>
        <w:t xml:space="preserve"> </w:t>
      </w:r>
      <w:r w:rsidRPr="00615299">
        <w:rPr>
          <w:szCs w:val="24"/>
        </w:rPr>
        <w:t>gleich stark sind.</w:t>
      </w:r>
    </w:p>
    <w:p w14:paraId="6FAAB375" w14:textId="77777777" w:rsidR="00FF7799" w:rsidRPr="00615299" w:rsidRDefault="00FF7799" w:rsidP="00862DBA">
      <w:pPr>
        <w:rPr>
          <w:sz w:val="24"/>
          <w:szCs w:val="24"/>
        </w:rPr>
      </w:pPr>
    </w:p>
    <w:p w14:paraId="02B37DCD" w14:textId="77777777" w:rsidR="00FF7799" w:rsidRPr="00615299" w:rsidRDefault="00FF7799" w:rsidP="00615D94">
      <w:pPr>
        <w:pStyle w:val="StandardTextkursiv"/>
        <w:rPr>
          <w:i w:val="0"/>
        </w:rPr>
      </w:pPr>
      <w:r w:rsidRPr="00615299">
        <w:rPr>
          <w:i w:val="0"/>
        </w:rPr>
        <w:t>2 Befunde</w:t>
      </w:r>
    </w:p>
    <w:p w14:paraId="3AEDE356" w14:textId="77777777" w:rsidR="00FF7799" w:rsidRPr="00615299" w:rsidRDefault="00FF7799" w:rsidP="00615D94">
      <w:pPr>
        <w:pStyle w:val="StandardTextkursiv"/>
        <w:rPr>
          <w:i w:val="0"/>
        </w:rPr>
      </w:pPr>
      <w:r w:rsidRPr="00615299">
        <w:rPr>
          <w:i w:val="0"/>
        </w:rPr>
        <w:t>2.1 Prädiktoren</w:t>
      </w:r>
      <w:r w:rsidRPr="00615299">
        <w:rPr>
          <w:i w:val="0"/>
          <w:spacing w:val="-3"/>
        </w:rPr>
        <w:t xml:space="preserve"> </w:t>
      </w:r>
      <w:r w:rsidRPr="00615299">
        <w:rPr>
          <w:i w:val="0"/>
        </w:rPr>
        <w:t>des</w:t>
      </w:r>
      <w:r w:rsidRPr="00615299">
        <w:rPr>
          <w:i w:val="0"/>
          <w:spacing w:val="-1"/>
        </w:rPr>
        <w:t xml:space="preserve"> </w:t>
      </w:r>
      <w:r w:rsidRPr="00615299">
        <w:rPr>
          <w:i w:val="0"/>
        </w:rPr>
        <w:t>Wirtschaftswachstums</w:t>
      </w:r>
    </w:p>
    <w:p w14:paraId="5337271F" w14:textId="77777777" w:rsidR="00FF7799" w:rsidRPr="00615299" w:rsidRDefault="00FF7799" w:rsidP="00615D94">
      <w:pPr>
        <w:pStyle w:val="StandardText"/>
      </w:pPr>
      <w:r w:rsidRPr="00615299">
        <w:t>Die Spannweite der im WVS tatsächlich beobachteten Werte reicht von -100 bis zu +100 auf der Skala der Leistungsmotivation. Diese Werte korrelieren signifikant (r = 0,60; p &lt; .001) mit den Raten des Wirtschaftswachstums, die zwischen 1960 und 1990 in diesen Gesellschaften beobachtet wurden (= durchschnittliche Jahresrate des realen Wachstums des Bruttosozialprodukts pro Kopf in einer bestimmten Gesellschaft; vgl. Granato et al. 1996).</w:t>
      </w:r>
    </w:p>
    <w:p w14:paraId="05E4A8AE" w14:textId="77777777" w:rsidR="00FF7799" w:rsidRPr="00615299" w:rsidRDefault="00FF7799" w:rsidP="00615D94">
      <w:pPr>
        <w:pStyle w:val="StandardText"/>
      </w:pPr>
      <w:r w:rsidRPr="00615299">
        <w:t xml:space="preserve">Die Religion der Befragten ist allerdings nicht ursächlich. Vielmehr ist sie mit bestimmten leistungsbezogenen Werten konfundiert. Denn Leistungsmotivation, Akzeptanz von Unternehmertum etc. wurden anfänglich vornehmlich in calvi- nistisch-protestantisch geprägten Regionen vermittelt. Der dadurch begünstigte wirtschaftliche Erfolg leitete dort schließlich einen Wertewandel ein. Dieser verschaffte hedonistischen, sog. postmaterialistischen Werten größere </w:t>
      </w:r>
      <w:r w:rsidR="0007144F" w:rsidRPr="00615299">
        <w:t>gesellschaftliche</w:t>
      </w:r>
      <w:r w:rsidRPr="00615299">
        <w:t xml:space="preserve"> Akzeptanz als</w:t>
      </w:r>
      <w:r w:rsidRPr="00615299">
        <w:rPr>
          <w:spacing w:val="-1"/>
        </w:rPr>
        <w:t xml:space="preserve"> </w:t>
      </w:r>
      <w:r w:rsidRPr="00615299">
        <w:t>den traditionellen materiellen Werten. In der Folge- zeit übernahmen einige der ostasiatischen Gesellschaften, deren konfuzianische Arbeits-</w:t>
      </w:r>
      <w:r w:rsidRPr="00615299">
        <w:rPr>
          <w:spacing w:val="-12"/>
        </w:rPr>
        <w:t xml:space="preserve"> </w:t>
      </w:r>
      <w:r w:rsidRPr="00615299">
        <w:t>und</w:t>
      </w:r>
      <w:r w:rsidRPr="00615299">
        <w:rPr>
          <w:spacing w:val="-11"/>
        </w:rPr>
        <w:t xml:space="preserve"> </w:t>
      </w:r>
      <w:r w:rsidRPr="00615299">
        <w:t>Erfolgsethik</w:t>
      </w:r>
      <w:r w:rsidRPr="00615299">
        <w:rPr>
          <w:spacing w:val="-11"/>
        </w:rPr>
        <w:t xml:space="preserve"> </w:t>
      </w:r>
      <w:r w:rsidRPr="00615299">
        <w:t>der</w:t>
      </w:r>
      <w:r w:rsidRPr="00615299">
        <w:rPr>
          <w:spacing w:val="-11"/>
        </w:rPr>
        <w:t xml:space="preserve"> </w:t>
      </w:r>
      <w:r w:rsidRPr="00615299">
        <w:t>calvinistisch-protestantischen</w:t>
      </w:r>
      <w:r w:rsidRPr="00615299">
        <w:rPr>
          <w:spacing w:val="-12"/>
        </w:rPr>
        <w:t xml:space="preserve"> </w:t>
      </w:r>
      <w:r w:rsidRPr="00615299">
        <w:t>Ethik</w:t>
      </w:r>
      <w:r w:rsidRPr="00615299">
        <w:rPr>
          <w:spacing w:val="-11"/>
        </w:rPr>
        <w:t xml:space="preserve"> </w:t>
      </w:r>
      <w:r w:rsidRPr="00615299">
        <w:t>entspricht,</w:t>
      </w:r>
      <w:r w:rsidRPr="00615299">
        <w:rPr>
          <w:spacing w:val="-11"/>
        </w:rPr>
        <w:t xml:space="preserve"> </w:t>
      </w:r>
      <w:r w:rsidRPr="00615299">
        <w:t>in</w:t>
      </w:r>
      <w:r w:rsidRPr="00615299">
        <w:rPr>
          <w:spacing w:val="-11"/>
        </w:rPr>
        <w:t xml:space="preserve"> </w:t>
      </w:r>
      <w:r w:rsidRPr="00615299">
        <w:t>der Weltwirtschaft</w:t>
      </w:r>
      <w:r w:rsidRPr="00615299">
        <w:rPr>
          <w:spacing w:val="-7"/>
        </w:rPr>
        <w:t xml:space="preserve"> </w:t>
      </w:r>
      <w:r w:rsidRPr="00615299">
        <w:t>eine</w:t>
      </w:r>
      <w:r w:rsidRPr="00615299">
        <w:rPr>
          <w:spacing w:val="-8"/>
        </w:rPr>
        <w:t xml:space="preserve"> </w:t>
      </w:r>
      <w:r w:rsidRPr="00615299">
        <w:t>wichtige</w:t>
      </w:r>
      <w:r w:rsidRPr="00615299">
        <w:rPr>
          <w:spacing w:val="-8"/>
        </w:rPr>
        <w:t xml:space="preserve"> </w:t>
      </w:r>
      <w:r w:rsidRPr="00615299">
        <w:t>Rolle</w:t>
      </w:r>
      <w:r w:rsidRPr="00615299">
        <w:rPr>
          <w:spacing w:val="-8"/>
        </w:rPr>
        <w:t xml:space="preserve"> </w:t>
      </w:r>
      <w:r w:rsidRPr="00615299">
        <w:t>(z.B.</w:t>
      </w:r>
      <w:r w:rsidRPr="00615299">
        <w:rPr>
          <w:spacing w:val="-7"/>
        </w:rPr>
        <w:t xml:space="preserve"> </w:t>
      </w:r>
      <w:r w:rsidRPr="00615299">
        <w:t>Hong</w:t>
      </w:r>
      <w:r w:rsidRPr="00615299">
        <w:rPr>
          <w:spacing w:val="-7"/>
        </w:rPr>
        <w:t xml:space="preserve"> </w:t>
      </w:r>
      <w:r w:rsidRPr="00615299">
        <w:t>Kong,</w:t>
      </w:r>
      <w:r w:rsidRPr="00615299">
        <w:rPr>
          <w:spacing w:val="-7"/>
        </w:rPr>
        <w:t xml:space="preserve"> </w:t>
      </w:r>
      <w:r w:rsidRPr="00615299">
        <w:t>Südkorea).</w:t>
      </w:r>
      <w:r w:rsidRPr="00615299">
        <w:rPr>
          <w:spacing w:val="-7"/>
        </w:rPr>
        <w:t xml:space="preserve"> </w:t>
      </w:r>
      <w:r w:rsidRPr="00615299">
        <w:t>Die</w:t>
      </w:r>
      <w:r w:rsidRPr="00615299">
        <w:rPr>
          <w:spacing w:val="-8"/>
        </w:rPr>
        <w:t xml:space="preserve"> </w:t>
      </w:r>
      <w:r w:rsidRPr="00615299">
        <w:t>ursprünglich stärker leistungsorientierten Gesellschaften Westeuropas hingegen begannen, unter dem Einfluss des Wertewandels, d.h. der Hinwendung zum Postmaterialismus, zu stagnieren.</w:t>
      </w:r>
    </w:p>
    <w:p w14:paraId="3027DB93" w14:textId="77777777" w:rsidR="00FF7799" w:rsidRPr="00615299" w:rsidRDefault="00FF7799" w:rsidP="00615D94">
      <w:pPr>
        <w:pStyle w:val="StandardText"/>
      </w:pPr>
      <w:r w:rsidRPr="00615299">
        <w:t>Im Regelfall lassen sich komplexe Phänomene wie Wirtschaftswachstum oder Wettbewerbsfähigkeit jedoch nicht monokausal erklären. Dies spricht dafür, kulturelle und ökonomische Einflussgrößen simultan in einem Erklärungsmodell zu berücksichtigen. Tatsächlich vermag ein ökonomisch-kulturelles Modell, das neben der Variable „Leistungsmotivation“ die in einem Land getätigten Bruttoinvestitionen berücksichtigt, das Wirtschaftswachstum von 43 Ländern signifikant besser zu erklären (r</w:t>
      </w:r>
      <w:r w:rsidRPr="00615299">
        <w:rPr>
          <w:vertAlign w:val="superscript"/>
        </w:rPr>
        <w:t>2</w:t>
      </w:r>
      <w:r w:rsidRPr="00615299">
        <w:t xml:space="preserve"> = 0,57) als ein rein ökonomisches Modell (r</w:t>
      </w:r>
      <w:r w:rsidRPr="00615299">
        <w:rPr>
          <w:vertAlign w:val="superscript"/>
        </w:rPr>
        <w:t>2</w:t>
      </w:r>
      <w:r w:rsidRPr="00615299">
        <w:t xml:space="preserve"> = 0,45).</w:t>
      </w:r>
      <w:r w:rsidRPr="00615299">
        <w:rPr>
          <w:spacing w:val="-12"/>
        </w:rPr>
        <w:t xml:space="preserve"> </w:t>
      </w:r>
      <w:r w:rsidRPr="00615299">
        <w:t>Begründen</w:t>
      </w:r>
      <w:r w:rsidRPr="00615299">
        <w:rPr>
          <w:spacing w:val="-11"/>
        </w:rPr>
        <w:t xml:space="preserve"> </w:t>
      </w:r>
      <w:r w:rsidRPr="00615299">
        <w:t>lässt</w:t>
      </w:r>
      <w:r w:rsidRPr="00615299">
        <w:rPr>
          <w:spacing w:val="-11"/>
        </w:rPr>
        <w:t xml:space="preserve"> </w:t>
      </w:r>
      <w:r w:rsidRPr="00615299">
        <w:t>sich</w:t>
      </w:r>
      <w:r w:rsidRPr="00615299">
        <w:rPr>
          <w:spacing w:val="-11"/>
        </w:rPr>
        <w:t xml:space="preserve"> </w:t>
      </w:r>
      <w:r w:rsidRPr="00615299">
        <w:t>dies</w:t>
      </w:r>
      <w:r w:rsidRPr="00615299">
        <w:rPr>
          <w:spacing w:val="-12"/>
        </w:rPr>
        <w:t xml:space="preserve"> </w:t>
      </w:r>
      <w:r w:rsidRPr="00615299">
        <w:t>damit,</w:t>
      </w:r>
      <w:r w:rsidRPr="00615299">
        <w:rPr>
          <w:spacing w:val="-11"/>
        </w:rPr>
        <w:t xml:space="preserve"> </w:t>
      </w:r>
      <w:r w:rsidRPr="00615299">
        <w:t>dass</w:t>
      </w:r>
      <w:r w:rsidRPr="00615299">
        <w:rPr>
          <w:spacing w:val="-11"/>
        </w:rPr>
        <w:t xml:space="preserve"> </w:t>
      </w:r>
      <w:r w:rsidRPr="00615299">
        <w:t>Leistungsmotivation</w:t>
      </w:r>
      <w:r w:rsidRPr="00615299">
        <w:rPr>
          <w:spacing w:val="-11"/>
        </w:rPr>
        <w:t xml:space="preserve"> </w:t>
      </w:r>
      <w:r w:rsidRPr="00615299">
        <w:t>ebenso</w:t>
      </w:r>
      <w:r w:rsidRPr="00615299">
        <w:rPr>
          <w:spacing w:val="-12"/>
        </w:rPr>
        <w:t xml:space="preserve"> </w:t>
      </w:r>
      <w:r w:rsidRPr="00615299">
        <w:t>eine</w:t>
      </w:r>
      <w:r w:rsidRPr="00615299">
        <w:rPr>
          <w:spacing w:val="-11"/>
        </w:rPr>
        <w:t xml:space="preserve"> </w:t>
      </w:r>
      <w:r w:rsidRPr="00615299">
        <w:t>Form von</w:t>
      </w:r>
      <w:r w:rsidRPr="00615299">
        <w:rPr>
          <w:spacing w:val="-12"/>
        </w:rPr>
        <w:t xml:space="preserve"> </w:t>
      </w:r>
      <w:r w:rsidRPr="00615299">
        <w:t>„aufgeschobener</w:t>
      </w:r>
      <w:r w:rsidRPr="00615299">
        <w:rPr>
          <w:spacing w:val="-11"/>
        </w:rPr>
        <w:t xml:space="preserve"> </w:t>
      </w:r>
      <w:r w:rsidRPr="00615299">
        <w:t>Belohnung“</w:t>
      </w:r>
      <w:r w:rsidRPr="00615299">
        <w:rPr>
          <w:spacing w:val="-11"/>
        </w:rPr>
        <w:t xml:space="preserve"> </w:t>
      </w:r>
      <w:r w:rsidRPr="00615299">
        <w:t>verkörpert</w:t>
      </w:r>
      <w:r w:rsidRPr="00615299">
        <w:rPr>
          <w:spacing w:val="-11"/>
        </w:rPr>
        <w:t xml:space="preserve"> </w:t>
      </w:r>
      <w:r w:rsidRPr="00615299">
        <w:t>wie</w:t>
      </w:r>
      <w:r w:rsidRPr="00615299">
        <w:rPr>
          <w:spacing w:val="-12"/>
        </w:rPr>
        <w:t xml:space="preserve"> </w:t>
      </w:r>
      <w:r w:rsidRPr="00615299">
        <w:t>das</w:t>
      </w:r>
      <w:r w:rsidRPr="00615299">
        <w:rPr>
          <w:spacing w:val="-11"/>
        </w:rPr>
        <w:t xml:space="preserve"> </w:t>
      </w:r>
      <w:r w:rsidRPr="00615299">
        <w:t>Humankapital</w:t>
      </w:r>
      <w:r w:rsidRPr="00615299">
        <w:rPr>
          <w:spacing w:val="-11"/>
        </w:rPr>
        <w:t xml:space="preserve"> </w:t>
      </w:r>
      <w:r w:rsidRPr="00615299">
        <w:t>(=</w:t>
      </w:r>
      <w:r w:rsidRPr="00615299">
        <w:rPr>
          <w:spacing w:val="-11"/>
        </w:rPr>
        <w:t xml:space="preserve"> </w:t>
      </w:r>
      <w:r w:rsidRPr="00615299">
        <w:t>Prozentsatz der Bevölkerung, der über eine höhere Schul- oder Hochschulbildung verfügt). Und</w:t>
      </w:r>
      <w:r w:rsidRPr="00615299">
        <w:rPr>
          <w:spacing w:val="-12"/>
        </w:rPr>
        <w:t xml:space="preserve"> </w:t>
      </w:r>
      <w:r w:rsidRPr="00615299">
        <w:t>die</w:t>
      </w:r>
      <w:r w:rsidRPr="00615299">
        <w:rPr>
          <w:spacing w:val="-11"/>
        </w:rPr>
        <w:t xml:space="preserve"> </w:t>
      </w:r>
      <w:r w:rsidRPr="00615299">
        <w:t>Bereitschaft</w:t>
      </w:r>
      <w:r w:rsidRPr="00615299">
        <w:rPr>
          <w:spacing w:val="-11"/>
        </w:rPr>
        <w:t xml:space="preserve"> </w:t>
      </w:r>
      <w:r w:rsidRPr="00615299">
        <w:t>zum</w:t>
      </w:r>
      <w:r w:rsidRPr="00615299">
        <w:rPr>
          <w:spacing w:val="-11"/>
        </w:rPr>
        <w:t xml:space="preserve"> </w:t>
      </w:r>
      <w:r w:rsidRPr="00615299">
        <w:t>Belohnungsaufschub</w:t>
      </w:r>
      <w:r w:rsidRPr="00615299">
        <w:rPr>
          <w:spacing w:val="-11"/>
        </w:rPr>
        <w:t xml:space="preserve"> </w:t>
      </w:r>
      <w:r w:rsidRPr="00615299">
        <w:t>ist</w:t>
      </w:r>
      <w:r w:rsidRPr="00615299">
        <w:rPr>
          <w:spacing w:val="-12"/>
        </w:rPr>
        <w:t xml:space="preserve"> </w:t>
      </w:r>
      <w:r w:rsidRPr="00615299">
        <w:t>eine</w:t>
      </w:r>
      <w:r w:rsidRPr="00615299">
        <w:rPr>
          <w:spacing w:val="-11"/>
        </w:rPr>
        <w:t xml:space="preserve"> </w:t>
      </w:r>
      <w:r w:rsidRPr="00615299">
        <w:t>notwendige</w:t>
      </w:r>
      <w:r w:rsidRPr="00615299">
        <w:rPr>
          <w:spacing w:val="-11"/>
        </w:rPr>
        <w:t xml:space="preserve"> </w:t>
      </w:r>
      <w:r w:rsidRPr="00615299">
        <w:t>Voraussetzung von Leistungsbereitschaft.</w:t>
      </w:r>
    </w:p>
    <w:p w14:paraId="041F715F" w14:textId="77777777" w:rsidR="00FF7799" w:rsidRPr="00615299" w:rsidRDefault="00FF7799" w:rsidP="00615D94">
      <w:pPr>
        <w:pStyle w:val="StandardText"/>
      </w:pPr>
      <w:r w:rsidRPr="00615299">
        <w:t>Um</w:t>
      </w:r>
      <w:r w:rsidRPr="00615299">
        <w:rPr>
          <w:spacing w:val="70"/>
        </w:rPr>
        <w:t xml:space="preserve"> </w:t>
      </w:r>
      <w:r w:rsidRPr="00615299">
        <w:t>das</w:t>
      </w:r>
      <w:r w:rsidRPr="00615299">
        <w:rPr>
          <w:spacing w:val="71"/>
        </w:rPr>
        <w:t xml:space="preserve"> </w:t>
      </w:r>
      <w:r w:rsidRPr="00615299">
        <w:t>Wirtschaftswachstum</w:t>
      </w:r>
      <w:r w:rsidRPr="00615299">
        <w:rPr>
          <w:spacing w:val="68"/>
        </w:rPr>
        <w:t xml:space="preserve"> </w:t>
      </w:r>
      <w:r w:rsidRPr="00615299">
        <w:t>zu</w:t>
      </w:r>
      <w:r w:rsidRPr="00615299">
        <w:rPr>
          <w:spacing w:val="72"/>
        </w:rPr>
        <w:t xml:space="preserve"> </w:t>
      </w:r>
      <w:r w:rsidRPr="00615299">
        <w:t>erklären,</w:t>
      </w:r>
      <w:r w:rsidRPr="00615299">
        <w:rPr>
          <w:spacing w:val="69"/>
        </w:rPr>
        <w:t xml:space="preserve"> </w:t>
      </w:r>
      <w:r w:rsidRPr="00615299">
        <w:t>ist</w:t>
      </w:r>
      <w:r w:rsidRPr="00615299">
        <w:rPr>
          <w:spacing w:val="69"/>
        </w:rPr>
        <w:t xml:space="preserve"> </w:t>
      </w:r>
      <w:r w:rsidRPr="00615299">
        <w:t>die</w:t>
      </w:r>
      <w:r w:rsidRPr="00615299">
        <w:rPr>
          <w:spacing w:val="71"/>
        </w:rPr>
        <w:t xml:space="preserve"> </w:t>
      </w:r>
      <w:r w:rsidRPr="00615299">
        <w:t>Leistungsmotivation</w:t>
      </w:r>
      <w:r w:rsidRPr="00615299">
        <w:rPr>
          <w:spacing w:val="70"/>
        </w:rPr>
        <w:t xml:space="preserve"> </w:t>
      </w:r>
      <w:r w:rsidRPr="00615299">
        <w:rPr>
          <w:spacing w:val="-5"/>
        </w:rPr>
        <w:t xml:space="preserve">die </w:t>
      </w:r>
      <w:r w:rsidRPr="00615299">
        <w:t>„ergiebigere“</w:t>
      </w:r>
      <w:r w:rsidRPr="00615299">
        <w:rPr>
          <w:spacing w:val="35"/>
        </w:rPr>
        <w:t xml:space="preserve"> </w:t>
      </w:r>
      <w:r w:rsidRPr="00615299">
        <w:t>Variable.</w:t>
      </w:r>
      <w:r w:rsidRPr="00615299">
        <w:rPr>
          <w:spacing w:val="34"/>
        </w:rPr>
        <w:t xml:space="preserve"> </w:t>
      </w:r>
      <w:r w:rsidRPr="00615299">
        <w:t>Zum</w:t>
      </w:r>
      <w:r w:rsidRPr="00615299">
        <w:rPr>
          <w:spacing w:val="34"/>
        </w:rPr>
        <w:t xml:space="preserve"> </w:t>
      </w:r>
      <w:r w:rsidRPr="00615299">
        <w:t>einen</w:t>
      </w:r>
      <w:r w:rsidRPr="00615299">
        <w:rPr>
          <w:spacing w:val="35"/>
        </w:rPr>
        <w:t xml:space="preserve"> </w:t>
      </w:r>
      <w:r w:rsidRPr="00615299">
        <w:t>korrespondiert</w:t>
      </w:r>
      <w:r w:rsidRPr="00615299">
        <w:rPr>
          <w:spacing w:val="34"/>
        </w:rPr>
        <w:t xml:space="preserve"> </w:t>
      </w:r>
      <w:r w:rsidRPr="00615299">
        <w:t>sie</w:t>
      </w:r>
      <w:r w:rsidRPr="00615299">
        <w:rPr>
          <w:spacing w:val="35"/>
        </w:rPr>
        <w:t xml:space="preserve"> </w:t>
      </w:r>
      <w:r w:rsidRPr="00615299">
        <w:t>stärker</w:t>
      </w:r>
      <w:r w:rsidRPr="00615299">
        <w:rPr>
          <w:spacing w:val="36"/>
        </w:rPr>
        <w:t xml:space="preserve"> </w:t>
      </w:r>
      <w:r w:rsidRPr="00615299">
        <w:t>mit</w:t>
      </w:r>
      <w:r w:rsidRPr="00615299">
        <w:rPr>
          <w:spacing w:val="35"/>
        </w:rPr>
        <w:t xml:space="preserve"> </w:t>
      </w:r>
      <w:r w:rsidRPr="00615299">
        <w:rPr>
          <w:spacing w:val="-5"/>
        </w:rPr>
        <w:t xml:space="preserve">den </w:t>
      </w:r>
      <w:r w:rsidRPr="00615299">
        <w:t>Bruttoinvestitionen als die Variable „Anteil der Bevölkerung mit höherer Schulbildung“ und beeinflusst somit zum anderen das Wirtschaftswachstum auf doppelte Weise:</w:t>
      </w:r>
    </w:p>
    <w:p w14:paraId="454CEA41" w14:textId="77777777" w:rsidR="00FF7799" w:rsidRPr="00615299" w:rsidRDefault="00FF7799" w:rsidP="00685E66">
      <w:pPr>
        <w:pStyle w:val="StandardTextAufzhlung"/>
        <w:ind w:left="709"/>
        <w:rPr>
          <w:szCs w:val="24"/>
        </w:rPr>
      </w:pPr>
      <w:r w:rsidRPr="00615299">
        <w:rPr>
          <w:szCs w:val="24"/>
        </w:rPr>
        <w:t>direkt, als Wirkung motivationaler Faktoren auf Unternehmertum und Leistung, sowie</w:t>
      </w:r>
    </w:p>
    <w:p w14:paraId="32C3A7EA" w14:textId="77777777" w:rsidR="00FF7799" w:rsidRPr="00615299" w:rsidRDefault="00FF7799" w:rsidP="00685E66">
      <w:pPr>
        <w:pStyle w:val="StandardTextAufzhlung"/>
        <w:ind w:left="709"/>
        <w:rPr>
          <w:szCs w:val="24"/>
        </w:rPr>
      </w:pPr>
      <w:r w:rsidRPr="00615299">
        <w:rPr>
          <w:szCs w:val="24"/>
        </w:rPr>
        <w:t>indirekt</w:t>
      </w:r>
      <w:r w:rsidRPr="00615299">
        <w:rPr>
          <w:spacing w:val="-2"/>
          <w:szCs w:val="24"/>
        </w:rPr>
        <w:t xml:space="preserve"> </w:t>
      </w:r>
      <w:r w:rsidRPr="00615299">
        <w:rPr>
          <w:szCs w:val="24"/>
        </w:rPr>
        <w:t>(in</w:t>
      </w:r>
      <w:r w:rsidRPr="00615299">
        <w:rPr>
          <w:spacing w:val="-2"/>
          <w:szCs w:val="24"/>
        </w:rPr>
        <w:t xml:space="preserve"> </w:t>
      </w:r>
      <w:r w:rsidRPr="00615299">
        <w:rPr>
          <w:szCs w:val="24"/>
        </w:rPr>
        <w:t>Gestalt</w:t>
      </w:r>
      <w:r w:rsidRPr="00615299">
        <w:rPr>
          <w:spacing w:val="-2"/>
          <w:szCs w:val="24"/>
        </w:rPr>
        <w:t xml:space="preserve"> </w:t>
      </w:r>
      <w:r w:rsidRPr="00615299">
        <w:rPr>
          <w:szCs w:val="24"/>
        </w:rPr>
        <w:t>vermehrter</w:t>
      </w:r>
      <w:r w:rsidRPr="00615299">
        <w:rPr>
          <w:spacing w:val="-1"/>
          <w:szCs w:val="24"/>
        </w:rPr>
        <w:t xml:space="preserve"> </w:t>
      </w:r>
      <w:r w:rsidRPr="00615299">
        <w:rPr>
          <w:spacing w:val="-2"/>
          <w:szCs w:val="24"/>
        </w:rPr>
        <w:t>Investitionen).</w:t>
      </w:r>
    </w:p>
    <w:p w14:paraId="170D8FDB" w14:textId="77777777" w:rsidR="00FF7799" w:rsidRPr="00E73F6F" w:rsidRDefault="00FF7799" w:rsidP="00862DBA">
      <w:pPr>
        <w:rPr>
          <w:sz w:val="24"/>
          <w:szCs w:val="24"/>
        </w:rPr>
      </w:pPr>
    </w:p>
    <w:p w14:paraId="7E5481D9" w14:textId="77777777" w:rsidR="00FF7799" w:rsidRPr="00504BA3" w:rsidRDefault="00FF7799" w:rsidP="00615D94">
      <w:pPr>
        <w:pStyle w:val="StandardTextkursiv"/>
        <w:rPr>
          <w:i w:val="0"/>
        </w:rPr>
      </w:pPr>
      <w:r w:rsidRPr="00504BA3">
        <w:rPr>
          <w:i w:val="0"/>
        </w:rPr>
        <w:t>2.2 Dimensionen</w:t>
      </w:r>
      <w:r w:rsidRPr="00504BA3">
        <w:rPr>
          <w:i w:val="0"/>
          <w:spacing w:val="-3"/>
        </w:rPr>
        <w:t xml:space="preserve"> </w:t>
      </w:r>
      <w:r w:rsidRPr="00504BA3">
        <w:rPr>
          <w:i w:val="0"/>
        </w:rPr>
        <w:t>der</w:t>
      </w:r>
      <w:r w:rsidRPr="00504BA3">
        <w:rPr>
          <w:i w:val="0"/>
          <w:spacing w:val="-1"/>
        </w:rPr>
        <w:t xml:space="preserve"> </w:t>
      </w:r>
      <w:r w:rsidRPr="00504BA3">
        <w:rPr>
          <w:i w:val="0"/>
        </w:rPr>
        <w:t>Landeskultur</w:t>
      </w:r>
      <w:r w:rsidRPr="00504BA3">
        <w:rPr>
          <w:i w:val="0"/>
          <w:spacing w:val="-2"/>
        </w:rPr>
        <w:t xml:space="preserve"> </w:t>
      </w:r>
      <w:r w:rsidRPr="00504BA3">
        <w:rPr>
          <w:i w:val="0"/>
        </w:rPr>
        <w:t xml:space="preserve">nach </w:t>
      </w:r>
      <w:r w:rsidRPr="00504BA3">
        <w:rPr>
          <w:i w:val="0"/>
          <w:spacing w:val="-2"/>
        </w:rPr>
        <w:t>Inglehart</w:t>
      </w:r>
    </w:p>
    <w:p w14:paraId="0B065201" w14:textId="77777777" w:rsidR="00FF7799" w:rsidRPr="00E73F6F" w:rsidRDefault="00FF7799" w:rsidP="00615D94">
      <w:pPr>
        <w:pStyle w:val="StandardText"/>
      </w:pPr>
      <w:r w:rsidRPr="00E73F6F">
        <w:t xml:space="preserve">Am Beispiel der im WVS-90/91 befragten knapp 60.000 Menschen ließ sich faktorenanalytisch zeigen, dass die in 43 Ländern gesammelten Antworten auf mehr als 100 Fragen zu verschiedenen Lebensbereichen am besten zweidimensional darstellbar sind (vgl. Abb. 1 und Inglehart </w:t>
      </w:r>
      <w:r w:rsidRPr="00E73F6F">
        <w:lastRenderedPageBreak/>
        <w:t>1998; 1997). Zusammen</w:t>
      </w:r>
      <w:r w:rsidRPr="00E73F6F">
        <w:rPr>
          <w:spacing w:val="-11"/>
        </w:rPr>
        <w:t xml:space="preserve"> </w:t>
      </w:r>
      <w:r w:rsidRPr="00E73F6F">
        <w:t>erklären</w:t>
      </w:r>
      <w:r w:rsidRPr="00E73F6F">
        <w:rPr>
          <w:spacing w:val="-9"/>
        </w:rPr>
        <w:t xml:space="preserve"> </w:t>
      </w:r>
      <w:r w:rsidRPr="00E73F6F">
        <w:t>die</w:t>
      </w:r>
      <w:r w:rsidRPr="00E73F6F">
        <w:rPr>
          <w:spacing w:val="-12"/>
        </w:rPr>
        <w:t xml:space="preserve"> </w:t>
      </w:r>
      <w:r w:rsidRPr="00E73F6F">
        <w:t>beiden</w:t>
      </w:r>
      <w:r w:rsidRPr="00E73F6F">
        <w:rPr>
          <w:spacing w:val="27"/>
        </w:rPr>
        <w:t xml:space="preserve"> </w:t>
      </w:r>
      <w:r w:rsidRPr="00E73F6F">
        <w:t>Dimensionen</w:t>
      </w:r>
      <w:r w:rsidRPr="00E73F6F">
        <w:rPr>
          <w:spacing w:val="-11"/>
        </w:rPr>
        <w:t xml:space="preserve"> </w:t>
      </w:r>
      <w:r w:rsidRPr="00E73F6F">
        <w:t>51%</w:t>
      </w:r>
      <w:r w:rsidRPr="00E73F6F">
        <w:rPr>
          <w:spacing w:val="-11"/>
        </w:rPr>
        <w:t xml:space="preserve"> </w:t>
      </w:r>
      <w:r w:rsidRPr="00E73F6F">
        <w:t>der</w:t>
      </w:r>
      <w:r w:rsidRPr="00E73F6F">
        <w:rPr>
          <w:spacing w:val="-10"/>
        </w:rPr>
        <w:t xml:space="preserve"> </w:t>
      </w:r>
      <w:r w:rsidRPr="00E73F6F">
        <w:t>interkulturellen</w:t>
      </w:r>
      <w:r w:rsidRPr="00E73F6F">
        <w:rPr>
          <w:spacing w:val="-9"/>
        </w:rPr>
        <w:t xml:space="preserve"> </w:t>
      </w:r>
      <w:r w:rsidRPr="00E73F6F">
        <w:t>Varianz</w:t>
      </w:r>
      <w:r w:rsidRPr="00E73F6F">
        <w:rPr>
          <w:spacing w:val="-11"/>
        </w:rPr>
        <w:t xml:space="preserve"> </w:t>
      </w:r>
      <w:r w:rsidRPr="00E73F6F">
        <w:t>der in die Befragung einbezogenen Variablen:</w:t>
      </w:r>
    </w:p>
    <w:p w14:paraId="0C84A0B2" w14:textId="77777777" w:rsidR="00FF7799" w:rsidRPr="00E73F6F" w:rsidRDefault="00FF7799" w:rsidP="00685E66">
      <w:pPr>
        <w:pStyle w:val="StandardTextAufzhlung"/>
        <w:ind w:left="567"/>
      </w:pPr>
      <w:r w:rsidRPr="00E73F6F">
        <w:t>„Überleben vs.</w:t>
      </w:r>
      <w:r w:rsidRPr="00E73F6F">
        <w:rPr>
          <w:spacing w:val="-3"/>
        </w:rPr>
        <w:t xml:space="preserve"> </w:t>
      </w:r>
      <w:r w:rsidRPr="00E73F6F">
        <w:t>Wohlbefinden“</w:t>
      </w:r>
      <w:r w:rsidRPr="00E73F6F">
        <w:rPr>
          <w:spacing w:val="-1"/>
        </w:rPr>
        <w:t xml:space="preserve"> </w:t>
      </w:r>
      <w:r w:rsidRPr="00E73F6F">
        <w:t>(=</w:t>
      </w:r>
      <w:r w:rsidRPr="00E73F6F">
        <w:rPr>
          <w:spacing w:val="-3"/>
        </w:rPr>
        <w:t xml:space="preserve"> </w:t>
      </w:r>
      <w:r w:rsidRPr="00E73F6F">
        <w:rPr>
          <w:spacing w:val="-4"/>
        </w:rPr>
        <w:t>30%),</w:t>
      </w:r>
    </w:p>
    <w:p w14:paraId="57158635" w14:textId="77777777" w:rsidR="00FF7799" w:rsidRPr="00E73F6F" w:rsidRDefault="00FF7799" w:rsidP="00685E66">
      <w:pPr>
        <w:pStyle w:val="StandardTextAufzhlung"/>
        <w:ind w:left="567"/>
      </w:pPr>
      <w:r w:rsidRPr="00E73F6F">
        <w:t>„traditionelle</w:t>
      </w:r>
      <w:r w:rsidRPr="00E73F6F">
        <w:rPr>
          <w:spacing w:val="-3"/>
        </w:rPr>
        <w:t xml:space="preserve"> </w:t>
      </w:r>
      <w:r w:rsidRPr="00E73F6F">
        <w:t>vs.</w:t>
      </w:r>
      <w:r w:rsidRPr="00E73F6F">
        <w:rPr>
          <w:spacing w:val="-1"/>
        </w:rPr>
        <w:t xml:space="preserve"> </w:t>
      </w:r>
      <w:r w:rsidRPr="00E73F6F">
        <w:t>rational-gesetzliche</w:t>
      </w:r>
      <w:r w:rsidRPr="00E73F6F">
        <w:rPr>
          <w:spacing w:val="-3"/>
        </w:rPr>
        <w:t xml:space="preserve"> </w:t>
      </w:r>
      <w:r w:rsidRPr="00E73F6F">
        <w:t>Autorität“</w:t>
      </w:r>
      <w:r w:rsidRPr="00E73F6F">
        <w:rPr>
          <w:spacing w:val="-2"/>
        </w:rPr>
        <w:t xml:space="preserve"> </w:t>
      </w:r>
      <w:r w:rsidRPr="00E73F6F">
        <w:t>(=</w:t>
      </w:r>
      <w:r w:rsidRPr="00E73F6F">
        <w:rPr>
          <w:spacing w:val="-2"/>
        </w:rPr>
        <w:t xml:space="preserve"> </w:t>
      </w:r>
      <w:r w:rsidRPr="00E73F6F">
        <w:rPr>
          <w:spacing w:val="-4"/>
        </w:rPr>
        <w:t>21%).</w:t>
      </w:r>
    </w:p>
    <w:p w14:paraId="6FCA8C46" w14:textId="77777777" w:rsidR="00504BA3" w:rsidRDefault="00FF7799" w:rsidP="00615D94">
      <w:pPr>
        <w:pStyle w:val="StandardText"/>
      </w:pPr>
      <w:r w:rsidRPr="00E73F6F">
        <w:t>Alle weiteren Faktoren leisten einen zu geringen Erklärungsbeitrag, als dass es sinnvoll wäre, sie in das Erklärungsmodell aufzunehmen.</w:t>
      </w:r>
    </w:p>
    <w:p w14:paraId="48743E48" w14:textId="77777777" w:rsidR="00504BA3" w:rsidRDefault="00504BA3" w:rsidP="00615D94">
      <w:pPr>
        <w:pStyle w:val="StandardText"/>
      </w:pPr>
    </w:p>
    <w:p w14:paraId="2E863CE1" w14:textId="77777777" w:rsidR="00504BA3" w:rsidRDefault="00504BA3" w:rsidP="00504BA3">
      <w:pPr>
        <w:pStyle w:val="StandardText"/>
        <w:jc w:val="center"/>
      </w:pPr>
      <w:r>
        <w:t>Abb. 1: Soziokulturelle Landkarte</w:t>
      </w:r>
    </w:p>
    <w:p w14:paraId="6EDA4CB7" w14:textId="77777777" w:rsidR="00FF7799" w:rsidRPr="00E73F6F" w:rsidRDefault="00504BA3" w:rsidP="00615D94">
      <w:pPr>
        <w:pStyle w:val="StandardText"/>
      </w:pPr>
      <w:r>
        <w:rPr>
          <w:noProof/>
        </w:rPr>
        <w:drawing>
          <wp:inline distT="0" distB="0" distL="0" distR="0" wp14:anchorId="4960C3BF" wp14:editId="204261D6">
            <wp:extent cx="5273675" cy="5535930"/>
            <wp:effectExtent l="0" t="0" r="3175" b="7620"/>
            <wp:docPr id="84" name="Grafik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5273675" cy="5535930"/>
                    </a:xfrm>
                    <a:prstGeom prst="rect">
                      <a:avLst/>
                    </a:prstGeom>
                    <a:noFill/>
                  </pic:spPr>
                </pic:pic>
              </a:graphicData>
            </a:graphic>
          </wp:inline>
        </w:drawing>
      </w:r>
    </w:p>
    <w:p w14:paraId="47BE0589" w14:textId="77777777" w:rsidR="00FF7799" w:rsidRPr="00E73F6F" w:rsidRDefault="00FF7799" w:rsidP="009B23E7">
      <w:pPr>
        <w:pStyle w:val="Quellen"/>
      </w:pPr>
      <w:r w:rsidRPr="00E73F6F">
        <w:t>Quelle:</w:t>
      </w:r>
      <w:r w:rsidRPr="00E73F6F">
        <w:tab/>
        <w:t>Inglehart</w:t>
      </w:r>
      <w:r w:rsidRPr="00E73F6F">
        <w:rPr>
          <w:spacing w:val="-1"/>
        </w:rPr>
        <w:t xml:space="preserve"> </w:t>
      </w:r>
      <w:r w:rsidRPr="00E73F6F">
        <w:t>(1998, S.122); leicht modifiziert.</w:t>
      </w:r>
    </w:p>
    <w:p w14:paraId="5FE738C0" w14:textId="77777777" w:rsidR="00FF7799" w:rsidRPr="00E73F6F" w:rsidRDefault="00FF7799" w:rsidP="00862DBA">
      <w:pPr>
        <w:spacing w:before="2"/>
        <w:rPr>
          <w:sz w:val="24"/>
          <w:szCs w:val="24"/>
        </w:rPr>
      </w:pPr>
    </w:p>
    <w:p w14:paraId="447911BD" w14:textId="77777777" w:rsidR="00FF7799" w:rsidRPr="00E73F6F" w:rsidRDefault="00FF7799" w:rsidP="009B23E7">
      <w:pPr>
        <w:pStyle w:val="StandardText"/>
      </w:pPr>
      <w:r w:rsidRPr="00E73F6F">
        <w:t>Dass die gefundene Lösung 49% der Datenvarianz nicht erklären kann, hat mehrere Gründe. R. Inglehart verweist vor allem auf …</w:t>
      </w:r>
    </w:p>
    <w:p w14:paraId="73AA6064" w14:textId="77777777" w:rsidR="00FF7799" w:rsidRPr="00E73F6F" w:rsidRDefault="00FF7799" w:rsidP="00685E66">
      <w:pPr>
        <w:pStyle w:val="StandardTextAufzhlung"/>
        <w:ind w:left="567"/>
      </w:pPr>
      <w:r w:rsidRPr="00E73F6F">
        <w:t xml:space="preserve">den Einfluss von Variablen, die im </w:t>
      </w:r>
      <w:r w:rsidRPr="00E73F6F">
        <w:rPr>
          <w:i/>
        </w:rPr>
        <w:t xml:space="preserve">World Values Survey 1990/1991 </w:t>
      </w:r>
      <w:r w:rsidRPr="00E73F6F">
        <w:t>nicht berücksichtigt wurden,</w:t>
      </w:r>
    </w:p>
    <w:p w14:paraId="6A40C946" w14:textId="77777777" w:rsidR="00FF7799" w:rsidRDefault="00FF7799" w:rsidP="00685E66">
      <w:pPr>
        <w:pStyle w:val="StandardTextAufzhlung"/>
        <w:ind w:left="567"/>
      </w:pPr>
      <w:r w:rsidRPr="00E73F6F">
        <w:lastRenderedPageBreak/>
        <w:t>das Phänomen der „nicht generalisierbaren Einzigartigkeit“: Damit ist gemeint, dass jede Gesellschaft auf eigene Weise „ihre Geschichte“ schreibt und ein unvergleichliches kulturelles Erbe besitzt, welches von Persönlichkeiten,</w:t>
      </w:r>
      <w:r w:rsidRPr="00E73F6F">
        <w:rPr>
          <w:spacing w:val="-11"/>
        </w:rPr>
        <w:t xml:space="preserve"> </w:t>
      </w:r>
      <w:r w:rsidRPr="00E73F6F">
        <w:t>Institutionen,</w:t>
      </w:r>
      <w:r w:rsidRPr="00E73F6F">
        <w:rPr>
          <w:spacing w:val="-10"/>
        </w:rPr>
        <w:t xml:space="preserve"> </w:t>
      </w:r>
      <w:r w:rsidRPr="00E73F6F">
        <w:t>Klima,</w:t>
      </w:r>
      <w:r w:rsidRPr="00E73F6F">
        <w:rPr>
          <w:spacing w:val="-10"/>
        </w:rPr>
        <w:t xml:space="preserve"> </w:t>
      </w:r>
      <w:r w:rsidRPr="00E73F6F">
        <w:t>Geografie</w:t>
      </w:r>
      <w:r w:rsidRPr="00E73F6F">
        <w:rPr>
          <w:spacing w:val="-10"/>
        </w:rPr>
        <w:t xml:space="preserve"> </w:t>
      </w:r>
      <w:r w:rsidRPr="00E73F6F">
        <w:t>sowie</w:t>
      </w:r>
      <w:r w:rsidRPr="00E73F6F">
        <w:rPr>
          <w:spacing w:val="-10"/>
        </w:rPr>
        <w:t xml:space="preserve"> </w:t>
      </w:r>
      <w:r w:rsidRPr="00E73F6F">
        <w:t>situativen</w:t>
      </w:r>
      <w:r w:rsidRPr="00E73F6F">
        <w:rPr>
          <w:spacing w:val="-11"/>
        </w:rPr>
        <w:t xml:space="preserve"> </w:t>
      </w:r>
      <w:r w:rsidRPr="00E73F6F">
        <w:t>Ereignissen geschaffen wurde.</w:t>
      </w:r>
    </w:p>
    <w:p w14:paraId="7CE4A172" w14:textId="77777777" w:rsidR="002E3E4F" w:rsidRPr="00E73F6F" w:rsidRDefault="002E3E4F" w:rsidP="002E3E4F">
      <w:pPr>
        <w:pStyle w:val="StandardTextAufzhlung"/>
        <w:numPr>
          <w:ilvl w:val="0"/>
          <w:numId w:val="0"/>
        </w:numPr>
        <w:ind w:left="567"/>
      </w:pPr>
    </w:p>
    <w:p w14:paraId="52766077" w14:textId="77777777" w:rsidR="00FF7799" w:rsidRPr="00E73F6F" w:rsidRDefault="00FF7799" w:rsidP="009B23E7">
      <w:pPr>
        <w:pStyle w:val="StandardText"/>
      </w:pPr>
      <w:r w:rsidRPr="00E73F6F">
        <w:t>Deshalb lassen sich weder</w:t>
      </w:r>
      <w:r w:rsidRPr="00E73F6F">
        <w:rPr>
          <w:spacing w:val="-1"/>
        </w:rPr>
        <w:t xml:space="preserve"> </w:t>
      </w:r>
      <w:r w:rsidRPr="00E73F6F">
        <w:t>das</w:t>
      </w:r>
      <w:r w:rsidRPr="00E73F6F">
        <w:rPr>
          <w:spacing w:val="-1"/>
        </w:rPr>
        <w:t xml:space="preserve"> </w:t>
      </w:r>
      <w:r w:rsidRPr="00E73F6F">
        <w:t>Phänomen Kultur</w:t>
      </w:r>
      <w:r w:rsidRPr="00E73F6F">
        <w:rPr>
          <w:spacing w:val="-1"/>
        </w:rPr>
        <w:t xml:space="preserve"> </w:t>
      </w:r>
      <w:r w:rsidRPr="00E73F6F">
        <w:t>noch</w:t>
      </w:r>
      <w:r w:rsidRPr="00E73F6F">
        <w:rPr>
          <w:spacing w:val="-2"/>
        </w:rPr>
        <w:t xml:space="preserve"> </w:t>
      </w:r>
      <w:r w:rsidRPr="00E73F6F">
        <w:t>dessen Wandel vollständig mit universalen Prozessen erklären. „So wie jedes Individuum einzigartig ist, so ist auch jede Gesellschaft einzigartig, und selbst jeder historische Moment. Wir setzen Evolution nicht mit Determinismus gleich, wenn wir auch die Evolutionsmetapher nützlich finden, um zu beschreiben, wie sozialer Wandel wirkt. Bestimmte Strategien, mit der Umwelt fertig zu werden, sind wahrscheinlicher</w:t>
      </w:r>
      <w:r w:rsidRPr="00E73F6F">
        <w:rPr>
          <w:spacing w:val="48"/>
        </w:rPr>
        <w:t xml:space="preserve"> </w:t>
      </w:r>
      <w:r w:rsidRPr="00E73F6F">
        <w:t>als</w:t>
      </w:r>
      <w:r w:rsidRPr="00E73F6F">
        <w:rPr>
          <w:spacing w:val="46"/>
        </w:rPr>
        <w:t xml:space="preserve"> </w:t>
      </w:r>
      <w:r w:rsidRPr="00E73F6F">
        <w:t>andere:</w:t>
      </w:r>
      <w:r w:rsidRPr="00E73F6F">
        <w:rPr>
          <w:spacing w:val="47"/>
        </w:rPr>
        <w:t xml:space="preserve"> </w:t>
      </w:r>
      <w:r w:rsidRPr="00E73F6F">
        <w:t>Eine</w:t>
      </w:r>
      <w:r w:rsidRPr="00E73F6F">
        <w:rPr>
          <w:spacing w:val="48"/>
        </w:rPr>
        <w:t xml:space="preserve"> </w:t>
      </w:r>
      <w:r w:rsidRPr="00E73F6F">
        <w:t>solche</w:t>
      </w:r>
      <w:r w:rsidRPr="00E73F6F">
        <w:rPr>
          <w:spacing w:val="48"/>
        </w:rPr>
        <w:t xml:space="preserve"> </w:t>
      </w:r>
      <w:r w:rsidRPr="00E73F6F">
        <w:t>Strategie</w:t>
      </w:r>
      <w:r w:rsidRPr="00E73F6F">
        <w:rPr>
          <w:spacing w:val="48"/>
        </w:rPr>
        <w:t xml:space="preserve"> </w:t>
      </w:r>
      <w:r w:rsidRPr="00E73F6F">
        <w:t>ist</w:t>
      </w:r>
      <w:r w:rsidRPr="00E73F6F">
        <w:rPr>
          <w:spacing w:val="47"/>
        </w:rPr>
        <w:t xml:space="preserve"> </w:t>
      </w:r>
      <w:r w:rsidRPr="00E73F6F">
        <w:t>eine</w:t>
      </w:r>
      <w:r w:rsidRPr="00E73F6F">
        <w:rPr>
          <w:spacing w:val="45"/>
        </w:rPr>
        <w:t xml:space="preserve"> </w:t>
      </w:r>
      <w:r w:rsidRPr="00E73F6F">
        <w:t>Kombination</w:t>
      </w:r>
      <w:r w:rsidRPr="00E73F6F">
        <w:rPr>
          <w:spacing w:val="48"/>
        </w:rPr>
        <w:t xml:space="preserve"> </w:t>
      </w:r>
      <w:r w:rsidRPr="00E73F6F">
        <w:rPr>
          <w:spacing w:val="-5"/>
        </w:rPr>
        <w:t xml:space="preserve">aus </w:t>
      </w:r>
      <w:r w:rsidRPr="00E73F6F">
        <w:t>ökonomischen, technologischen, politischen und kulturellen Faktoren, die sich gegenseitig stützen und daher wahrscheinlich überleben werden, während eine beinahe grenzenlose Anzahl von dysfunktionalen Kombinationen wahrscheinlich verschwinden wird. Doch sozialer Wandel umfasst auch weniger systematische Faktoren, die den einzigartigen Charakter einer Gesellschaft ausmachen“ (Inglehart 1998, S.124f.).</w:t>
      </w:r>
    </w:p>
    <w:p w14:paraId="225F8D80" w14:textId="77777777" w:rsidR="00FF7799" w:rsidRPr="00E73F6F" w:rsidRDefault="00FF7799" w:rsidP="009B23E7">
      <w:pPr>
        <w:pStyle w:val="StandardText"/>
      </w:pPr>
    </w:p>
    <w:p w14:paraId="46C419ED" w14:textId="77777777" w:rsidR="00FF7799" w:rsidRPr="005A3D38" w:rsidRDefault="00FF7799" w:rsidP="009B23E7">
      <w:pPr>
        <w:pStyle w:val="StandardTextkursiv"/>
        <w:rPr>
          <w:i w:val="0"/>
        </w:rPr>
      </w:pPr>
      <w:r w:rsidRPr="005A3D38">
        <w:rPr>
          <w:i w:val="0"/>
        </w:rPr>
        <w:t>2.3 Sozio-kulturelle</w:t>
      </w:r>
      <w:r w:rsidRPr="005A3D38">
        <w:rPr>
          <w:i w:val="0"/>
          <w:spacing w:val="-5"/>
        </w:rPr>
        <w:t xml:space="preserve"> </w:t>
      </w:r>
      <w:r w:rsidRPr="005A3D38">
        <w:rPr>
          <w:i w:val="0"/>
          <w:spacing w:val="-2"/>
        </w:rPr>
        <w:t>Landkarte</w:t>
      </w:r>
    </w:p>
    <w:p w14:paraId="6C237C4D" w14:textId="77777777" w:rsidR="00FF7799" w:rsidRPr="00E73F6F" w:rsidRDefault="00FF7799" w:rsidP="009B23E7">
      <w:pPr>
        <w:pStyle w:val="StandardText"/>
        <w:rPr>
          <w:spacing w:val="-2"/>
        </w:rPr>
      </w:pPr>
      <w:r w:rsidRPr="00E73F6F">
        <w:t>Anhand</w:t>
      </w:r>
      <w:r w:rsidRPr="00E73F6F">
        <w:rPr>
          <w:spacing w:val="-12"/>
        </w:rPr>
        <w:t xml:space="preserve"> </w:t>
      </w:r>
      <w:r w:rsidRPr="00E73F6F">
        <w:t>ihrer</w:t>
      </w:r>
      <w:r w:rsidRPr="00E73F6F">
        <w:rPr>
          <w:spacing w:val="-11"/>
        </w:rPr>
        <w:t xml:space="preserve"> </w:t>
      </w:r>
      <w:r w:rsidRPr="00E73F6F">
        <w:t>Ladungen</w:t>
      </w:r>
      <w:r w:rsidRPr="00E73F6F">
        <w:rPr>
          <w:spacing w:val="-11"/>
        </w:rPr>
        <w:t xml:space="preserve"> </w:t>
      </w:r>
      <w:r w:rsidRPr="00E73F6F">
        <w:t>auf</w:t>
      </w:r>
      <w:r w:rsidRPr="00E73F6F">
        <w:rPr>
          <w:spacing w:val="-11"/>
        </w:rPr>
        <w:t xml:space="preserve"> </w:t>
      </w:r>
      <w:r w:rsidRPr="00E73F6F">
        <w:t>den</w:t>
      </w:r>
      <w:r w:rsidRPr="00E73F6F">
        <w:rPr>
          <w:spacing w:val="-12"/>
        </w:rPr>
        <w:t xml:space="preserve"> </w:t>
      </w:r>
      <w:r w:rsidRPr="00E73F6F">
        <w:t>beiden</w:t>
      </w:r>
      <w:r w:rsidRPr="00E73F6F">
        <w:rPr>
          <w:spacing w:val="-11"/>
        </w:rPr>
        <w:t xml:space="preserve"> </w:t>
      </w:r>
      <w:r w:rsidRPr="00E73F6F">
        <w:t>Dimensionen</w:t>
      </w:r>
      <w:r w:rsidRPr="00E73F6F">
        <w:rPr>
          <w:spacing w:val="-11"/>
        </w:rPr>
        <w:t xml:space="preserve"> </w:t>
      </w:r>
      <w:r w:rsidRPr="00E73F6F">
        <w:t>positionierte</w:t>
      </w:r>
      <w:r w:rsidRPr="00E73F6F">
        <w:rPr>
          <w:spacing w:val="-11"/>
        </w:rPr>
        <w:t xml:space="preserve"> </w:t>
      </w:r>
      <w:r w:rsidRPr="00E73F6F">
        <w:t>Inglehart</w:t>
      </w:r>
      <w:r w:rsidRPr="00E73F6F">
        <w:rPr>
          <w:spacing w:val="-12"/>
        </w:rPr>
        <w:t xml:space="preserve"> </w:t>
      </w:r>
      <w:r w:rsidRPr="00E73F6F">
        <w:t xml:space="preserve">(1998) die 43 Länder in einem zweidimensionalen Raum (vgl. Abb. 2). Haben die Repräsentanten zweier Länder die Fragen </w:t>
      </w:r>
      <w:r w:rsidRPr="005A3D38">
        <w:t>des World Values Survey ähnlich</w:t>
      </w:r>
      <w:r w:rsidRPr="00E73F6F">
        <w:t xml:space="preserve"> beantwortet, so liegen diese im Koordinatenkreuz der Kulturdimensionen nahe </w:t>
      </w:r>
      <w:r w:rsidRPr="00E73F6F">
        <w:rPr>
          <w:spacing w:val="-2"/>
        </w:rPr>
        <w:t>beieinander.</w:t>
      </w:r>
    </w:p>
    <w:p w14:paraId="286482B2" w14:textId="77777777" w:rsidR="00FF7799" w:rsidRPr="00E73F6F" w:rsidRDefault="00FF7799" w:rsidP="009B23E7">
      <w:pPr>
        <w:pStyle w:val="StandardText"/>
      </w:pPr>
    </w:p>
    <w:p w14:paraId="32F6AFB8" w14:textId="77777777" w:rsidR="00FF7799" w:rsidRPr="00685E66" w:rsidRDefault="00FF7799" w:rsidP="009B23E7">
      <w:pPr>
        <w:pStyle w:val="BeschriftungTab"/>
        <w:rPr>
          <w:i/>
          <w:iCs/>
        </w:rPr>
      </w:pPr>
      <w:r w:rsidRPr="00685E66">
        <w:rPr>
          <w:i/>
          <w:iCs/>
        </w:rPr>
        <w:t>Abb.</w:t>
      </w:r>
      <w:r w:rsidRPr="00685E66">
        <w:rPr>
          <w:i/>
          <w:iCs/>
          <w:spacing w:val="-5"/>
        </w:rPr>
        <w:t xml:space="preserve"> </w:t>
      </w:r>
      <w:r w:rsidRPr="00685E66">
        <w:rPr>
          <w:i/>
          <w:iCs/>
        </w:rPr>
        <w:t>2:</w:t>
      </w:r>
      <w:r w:rsidRPr="00685E66">
        <w:rPr>
          <w:i/>
          <w:iCs/>
          <w:spacing w:val="-6"/>
        </w:rPr>
        <w:t xml:space="preserve"> </w:t>
      </w:r>
      <w:r w:rsidRPr="00685E66">
        <w:rPr>
          <w:i/>
          <w:iCs/>
        </w:rPr>
        <w:t>Positionen</w:t>
      </w:r>
      <w:r w:rsidRPr="00685E66">
        <w:rPr>
          <w:i/>
          <w:iCs/>
          <w:spacing w:val="-3"/>
        </w:rPr>
        <w:t xml:space="preserve"> </w:t>
      </w:r>
      <w:r w:rsidRPr="00685E66">
        <w:rPr>
          <w:i/>
          <w:iCs/>
        </w:rPr>
        <w:t>der</w:t>
      </w:r>
      <w:r w:rsidRPr="00685E66">
        <w:rPr>
          <w:i/>
          <w:iCs/>
          <w:spacing w:val="-7"/>
        </w:rPr>
        <w:t xml:space="preserve"> </w:t>
      </w:r>
      <w:r w:rsidRPr="00685E66">
        <w:rPr>
          <w:i/>
          <w:iCs/>
        </w:rPr>
        <w:t>untersuchten</w:t>
      </w:r>
      <w:r w:rsidRPr="00685E66">
        <w:rPr>
          <w:i/>
          <w:iCs/>
          <w:spacing w:val="-3"/>
        </w:rPr>
        <w:t xml:space="preserve"> </w:t>
      </w:r>
      <w:r w:rsidRPr="00685E66">
        <w:rPr>
          <w:i/>
          <w:iCs/>
        </w:rPr>
        <w:t>Länder</w:t>
      </w:r>
      <w:r w:rsidRPr="00685E66">
        <w:rPr>
          <w:i/>
          <w:iCs/>
          <w:spacing w:val="-4"/>
        </w:rPr>
        <w:t xml:space="preserve"> </w:t>
      </w:r>
      <w:r w:rsidRPr="00685E66">
        <w:rPr>
          <w:i/>
          <w:iCs/>
        </w:rPr>
        <w:t>auf</w:t>
      </w:r>
      <w:r w:rsidRPr="00685E66">
        <w:rPr>
          <w:i/>
          <w:iCs/>
          <w:spacing w:val="-6"/>
        </w:rPr>
        <w:t xml:space="preserve"> </w:t>
      </w:r>
      <w:r w:rsidR="005A3D38" w:rsidRPr="00685E66">
        <w:rPr>
          <w:i/>
          <w:iCs/>
        </w:rPr>
        <w:t>der sozio-kulturellen Landkarte</w:t>
      </w:r>
    </w:p>
    <w:p w14:paraId="3CC00381" w14:textId="77777777" w:rsidR="005A3D38" w:rsidRDefault="005A3D38" w:rsidP="009B23E7">
      <w:pPr>
        <w:pStyle w:val="BeschriftungTab"/>
      </w:pPr>
      <w:r>
        <w:rPr>
          <w:noProof/>
        </w:rPr>
        <w:lastRenderedPageBreak/>
        <w:drawing>
          <wp:inline distT="0" distB="0" distL="0" distR="0" wp14:anchorId="2DB0145A" wp14:editId="570990B8">
            <wp:extent cx="5749290" cy="4633595"/>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5749290" cy="4633595"/>
                    </a:xfrm>
                    <a:prstGeom prst="rect">
                      <a:avLst/>
                    </a:prstGeom>
                    <a:noFill/>
                  </pic:spPr>
                </pic:pic>
              </a:graphicData>
            </a:graphic>
          </wp:inline>
        </w:drawing>
      </w:r>
    </w:p>
    <w:p w14:paraId="2D5347A7" w14:textId="77777777" w:rsidR="00FF7799" w:rsidRPr="00E73F6F" w:rsidRDefault="00FF7799" w:rsidP="009B23E7">
      <w:pPr>
        <w:pStyle w:val="Quellen"/>
      </w:pPr>
      <w:r w:rsidRPr="00E73F6F">
        <w:rPr>
          <w:noProof/>
        </w:rPr>
        <mc:AlternateContent>
          <mc:Choice Requires="wps">
            <w:drawing>
              <wp:anchor distT="0" distB="0" distL="0" distR="0" simplePos="0" relativeHeight="251889664" behindDoc="1" locked="0" layoutInCell="1" allowOverlap="1" wp14:anchorId="2501BC63" wp14:editId="4EA4D7C3">
                <wp:simplePos x="0" y="0"/>
                <wp:positionH relativeFrom="page">
                  <wp:posOffset>3030927</wp:posOffset>
                </wp:positionH>
                <wp:positionV relativeFrom="paragraph">
                  <wp:posOffset>-1022434</wp:posOffset>
                </wp:positionV>
                <wp:extent cx="274320" cy="67945"/>
                <wp:effectExtent l="0" t="0" r="0" b="0"/>
                <wp:wrapNone/>
                <wp:docPr id="1949" name="Textbox 19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4320" cy="67945"/>
                        </a:xfrm>
                        <a:prstGeom prst="rect">
                          <a:avLst/>
                        </a:prstGeom>
                      </wps:spPr>
                      <wps:txbx>
                        <w:txbxContent>
                          <w:p w14:paraId="6604BEFE" w14:textId="77777777" w:rsidR="00E17A2B" w:rsidRDefault="00E17A2B" w:rsidP="004F0929">
                            <w:pPr>
                              <w:spacing w:before="1"/>
                              <w:rPr>
                                <w:sz w:val="9"/>
                              </w:rPr>
                            </w:pPr>
                            <w:r>
                              <w:rPr>
                                <w:spacing w:val="-2"/>
                                <w:sz w:val="9"/>
                              </w:rPr>
                              <w:t>Nordirland</w:t>
                            </w:r>
                          </w:p>
                        </w:txbxContent>
                      </wps:txbx>
                      <wps:bodyPr wrap="square" lIns="0" tIns="0" rIns="0" bIns="0" rtlCol="0">
                        <a:noAutofit/>
                      </wps:bodyPr>
                    </wps:wsp>
                  </a:graphicData>
                </a:graphic>
              </wp:anchor>
            </w:drawing>
          </mc:Choice>
          <mc:Fallback>
            <w:pict>
              <v:shape w14:anchorId="2501BC63" id="Textbox 1949" o:spid="_x0000_s1072" type="#_x0000_t202" style="position:absolute;margin-left:238.65pt;margin-top:-80.5pt;width:21.6pt;height:5.35pt;z-index:-2514268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" filled="f" stroked="f">
                <v:textbox inset="0,0,0,0">
                  <w:txbxContent>
                    <w:p w14:paraId="6604BEFE" w14:textId="77777777" w:rsidR="00E17A2B" w:rsidRDefault="00E17A2B" w:rsidP="004F0929">
                      <w:pPr>
                        <w:spacing w:before="1"/>
                        <w:rPr>
                          <w:sz w:val="9"/>
                        </w:rPr>
                      </w:pPr>
                      <w:r>
                        <w:rPr>
                          <w:spacing w:val="-2"/>
                          <w:sz w:val="9"/>
                        </w:rPr>
                        <w:t>Nordirland</w:t>
                      </w:r>
                    </w:p>
                  </w:txbxContent>
                </v:textbox>
                <w10:wrap anchorx="page"/>
              </v:shape>
            </w:pict>
          </mc:Fallback>
        </mc:AlternateContent>
      </w:r>
      <w:r w:rsidRPr="00E73F6F">
        <w:rPr>
          <w:spacing w:val="-2"/>
        </w:rPr>
        <w:t>Quelle:</w:t>
      </w:r>
      <w:r w:rsidRPr="00E73F6F">
        <w:tab/>
        <w:t>Inglehart</w:t>
      </w:r>
      <w:r w:rsidRPr="00E73F6F">
        <w:rPr>
          <w:spacing w:val="-2"/>
        </w:rPr>
        <w:t xml:space="preserve"> </w:t>
      </w:r>
      <w:r w:rsidRPr="00E73F6F">
        <w:t>(1998,</w:t>
      </w:r>
      <w:r w:rsidRPr="00E73F6F">
        <w:rPr>
          <w:spacing w:val="-2"/>
        </w:rPr>
        <w:t xml:space="preserve"> S.135).</w:t>
      </w:r>
    </w:p>
    <w:p w14:paraId="6EF098B3" w14:textId="77777777" w:rsidR="00FF7799" w:rsidRPr="00E73F6F" w:rsidRDefault="00FF7799" w:rsidP="009B23E7">
      <w:pPr>
        <w:pStyle w:val="StandardText"/>
      </w:pPr>
    </w:p>
    <w:p w14:paraId="1F1EEC5D" w14:textId="77777777" w:rsidR="00FF7799" w:rsidRPr="00E73F6F" w:rsidRDefault="00FF7799" w:rsidP="009B23E7">
      <w:pPr>
        <w:pStyle w:val="StandardText"/>
      </w:pPr>
      <w:r w:rsidRPr="00E73F6F">
        <w:t>Insgesamt</w:t>
      </w:r>
      <w:r w:rsidRPr="00E73F6F">
        <w:rPr>
          <w:spacing w:val="-6"/>
        </w:rPr>
        <w:t xml:space="preserve"> </w:t>
      </w:r>
      <w:r w:rsidRPr="00E73F6F">
        <w:t>ergab</w:t>
      </w:r>
      <w:r w:rsidRPr="00E73F6F">
        <w:rPr>
          <w:spacing w:val="-6"/>
        </w:rPr>
        <w:t xml:space="preserve"> </w:t>
      </w:r>
      <w:r w:rsidRPr="00E73F6F">
        <w:t>sich</w:t>
      </w:r>
      <w:r w:rsidRPr="00E73F6F">
        <w:rPr>
          <w:spacing w:val="-6"/>
        </w:rPr>
        <w:t xml:space="preserve"> </w:t>
      </w:r>
      <w:r w:rsidRPr="00E73F6F">
        <w:t>folgendes</w:t>
      </w:r>
      <w:r w:rsidRPr="00E73F6F">
        <w:rPr>
          <w:spacing w:val="-7"/>
        </w:rPr>
        <w:t xml:space="preserve"> </w:t>
      </w:r>
      <w:r w:rsidRPr="00E73F6F">
        <w:t>Bild</w:t>
      </w:r>
      <w:r w:rsidRPr="00E73F6F">
        <w:rPr>
          <w:spacing w:val="-6"/>
        </w:rPr>
        <w:t xml:space="preserve"> </w:t>
      </w:r>
      <w:r w:rsidRPr="00E73F6F">
        <w:t>(vgl.</w:t>
      </w:r>
      <w:r w:rsidRPr="00E73F6F">
        <w:rPr>
          <w:spacing w:val="-6"/>
        </w:rPr>
        <w:t xml:space="preserve"> </w:t>
      </w:r>
      <w:r w:rsidRPr="00E73F6F">
        <w:t>Inglehart</w:t>
      </w:r>
      <w:r w:rsidRPr="00E73F6F">
        <w:rPr>
          <w:spacing w:val="-8"/>
        </w:rPr>
        <w:t xml:space="preserve"> </w:t>
      </w:r>
      <w:r w:rsidRPr="00E73F6F">
        <w:t>1998,</w:t>
      </w:r>
      <w:r w:rsidRPr="00E73F6F">
        <w:rPr>
          <w:spacing w:val="-8"/>
        </w:rPr>
        <w:t xml:space="preserve"> </w:t>
      </w:r>
      <w:r w:rsidRPr="00E73F6F">
        <w:t>S.139f.):</w:t>
      </w:r>
      <w:r w:rsidRPr="00E73F6F">
        <w:rPr>
          <w:spacing w:val="-4"/>
        </w:rPr>
        <w:t xml:space="preserve"> </w:t>
      </w:r>
      <w:r w:rsidRPr="00E73F6F">
        <w:t>Zumeist</w:t>
      </w:r>
      <w:r w:rsidRPr="00E73F6F">
        <w:rPr>
          <w:spacing w:val="-6"/>
        </w:rPr>
        <w:t xml:space="preserve"> </w:t>
      </w:r>
      <w:r w:rsidRPr="00E73F6F">
        <w:t>liegen Länder, die man nach Maßgabe geografischer Kriterien intuitiv einem Cluster zuordnen würde (z.B. lateinamerikanische Länder), auch in der Wertekarte mehr oder minder nahe beieinander. Ausnahmen von dieser Regel sind Dänemark, Finnland, Island, Schweden und Norwegen, die primär aufgrund einer gemeinsamen</w:t>
      </w:r>
      <w:r w:rsidRPr="00E73F6F">
        <w:rPr>
          <w:spacing w:val="27"/>
        </w:rPr>
        <w:t xml:space="preserve"> </w:t>
      </w:r>
      <w:r w:rsidRPr="00E73F6F">
        <w:t>religiösen</w:t>
      </w:r>
      <w:r w:rsidRPr="00E73F6F">
        <w:rPr>
          <w:spacing w:val="27"/>
        </w:rPr>
        <w:t xml:space="preserve"> </w:t>
      </w:r>
      <w:r w:rsidRPr="00E73F6F">
        <w:t>Weltanschauung</w:t>
      </w:r>
      <w:r w:rsidRPr="00E73F6F">
        <w:rPr>
          <w:spacing w:val="24"/>
        </w:rPr>
        <w:t xml:space="preserve"> </w:t>
      </w:r>
      <w:r w:rsidRPr="00E73F6F">
        <w:t>und</w:t>
      </w:r>
      <w:r w:rsidRPr="00E73F6F">
        <w:rPr>
          <w:spacing w:val="24"/>
        </w:rPr>
        <w:t xml:space="preserve"> </w:t>
      </w:r>
      <w:r w:rsidRPr="00E73F6F">
        <w:t>weniger</w:t>
      </w:r>
      <w:r w:rsidRPr="00E73F6F">
        <w:rPr>
          <w:spacing w:val="26"/>
        </w:rPr>
        <w:t xml:space="preserve"> </w:t>
      </w:r>
      <w:r w:rsidRPr="00E73F6F">
        <w:t>geografisch</w:t>
      </w:r>
      <w:r w:rsidRPr="00E73F6F">
        <w:rPr>
          <w:spacing w:val="24"/>
        </w:rPr>
        <w:t xml:space="preserve"> </w:t>
      </w:r>
      <w:r w:rsidRPr="00E73F6F">
        <w:t>bedingt</w:t>
      </w:r>
      <w:r w:rsidRPr="00E73F6F">
        <w:rPr>
          <w:spacing w:val="25"/>
        </w:rPr>
        <w:t xml:space="preserve"> </w:t>
      </w:r>
      <w:r w:rsidRPr="00E73F6F">
        <w:rPr>
          <w:spacing w:val="-5"/>
        </w:rPr>
        <w:t xml:space="preserve">den </w:t>
      </w:r>
      <w:r w:rsidRPr="00E73F6F">
        <w:t>Kern</w:t>
      </w:r>
      <w:r w:rsidRPr="00E73F6F">
        <w:rPr>
          <w:spacing w:val="-12"/>
        </w:rPr>
        <w:t xml:space="preserve"> </w:t>
      </w:r>
      <w:r w:rsidRPr="00E73F6F">
        <w:t>des</w:t>
      </w:r>
      <w:r w:rsidRPr="00E73F6F">
        <w:rPr>
          <w:spacing w:val="-11"/>
        </w:rPr>
        <w:t xml:space="preserve"> </w:t>
      </w:r>
      <w:r w:rsidRPr="00E73F6F">
        <w:t>Clusters</w:t>
      </w:r>
      <w:r w:rsidRPr="00E73F6F">
        <w:rPr>
          <w:spacing w:val="-11"/>
        </w:rPr>
        <w:t xml:space="preserve"> </w:t>
      </w:r>
      <w:r w:rsidRPr="00E73F6F">
        <w:t>der</w:t>
      </w:r>
      <w:r w:rsidRPr="00E73F6F">
        <w:rPr>
          <w:spacing w:val="-11"/>
        </w:rPr>
        <w:t xml:space="preserve"> </w:t>
      </w:r>
      <w:r w:rsidRPr="00E73F6F">
        <w:t>protestantischen</w:t>
      </w:r>
      <w:r w:rsidRPr="00E73F6F">
        <w:rPr>
          <w:spacing w:val="-12"/>
        </w:rPr>
        <w:t xml:space="preserve"> </w:t>
      </w:r>
      <w:r w:rsidRPr="00E73F6F">
        <w:t>Wohlfahrtsstaaten</w:t>
      </w:r>
      <w:r w:rsidRPr="00E73F6F">
        <w:rPr>
          <w:spacing w:val="-11"/>
        </w:rPr>
        <w:t xml:space="preserve"> </w:t>
      </w:r>
      <w:r w:rsidRPr="00E73F6F">
        <w:t>bilden.</w:t>
      </w:r>
      <w:r w:rsidRPr="00E73F6F">
        <w:rPr>
          <w:spacing w:val="-11"/>
        </w:rPr>
        <w:t xml:space="preserve"> </w:t>
      </w:r>
      <w:r w:rsidRPr="00E73F6F">
        <w:t>Natürlich</w:t>
      </w:r>
      <w:r w:rsidRPr="00E73F6F">
        <w:rPr>
          <w:spacing w:val="-11"/>
        </w:rPr>
        <w:t xml:space="preserve"> </w:t>
      </w:r>
      <w:r w:rsidRPr="00E73F6F">
        <w:t>möchte man</w:t>
      </w:r>
      <w:r w:rsidRPr="00E73F6F">
        <w:rPr>
          <w:spacing w:val="-1"/>
        </w:rPr>
        <w:t xml:space="preserve"> </w:t>
      </w:r>
      <w:r w:rsidRPr="00E73F6F">
        <w:t>einwenden,</w:t>
      </w:r>
      <w:r w:rsidRPr="00E73F6F">
        <w:rPr>
          <w:spacing w:val="-4"/>
        </w:rPr>
        <w:t xml:space="preserve"> </w:t>
      </w:r>
      <w:r w:rsidRPr="00E73F6F">
        <w:t>dass</w:t>
      </w:r>
      <w:r w:rsidRPr="00E73F6F">
        <w:rPr>
          <w:spacing w:val="-3"/>
        </w:rPr>
        <w:t xml:space="preserve"> </w:t>
      </w:r>
      <w:r w:rsidRPr="00E73F6F">
        <w:t>es</w:t>
      </w:r>
      <w:r w:rsidRPr="00E73F6F">
        <w:rPr>
          <w:spacing w:val="-2"/>
        </w:rPr>
        <w:t xml:space="preserve"> </w:t>
      </w:r>
      <w:r w:rsidRPr="00E73F6F">
        <w:t>sich</w:t>
      </w:r>
      <w:r w:rsidRPr="00E73F6F">
        <w:rPr>
          <w:spacing w:val="-1"/>
        </w:rPr>
        <w:t xml:space="preserve"> </w:t>
      </w:r>
      <w:r w:rsidRPr="00E73F6F">
        <w:t>dabei</w:t>
      </w:r>
      <w:r w:rsidRPr="00E73F6F">
        <w:rPr>
          <w:spacing w:val="-2"/>
        </w:rPr>
        <w:t xml:space="preserve"> </w:t>
      </w:r>
      <w:r w:rsidRPr="00E73F6F">
        <w:t>doch</w:t>
      </w:r>
      <w:r w:rsidRPr="00E73F6F">
        <w:rPr>
          <w:spacing w:val="-3"/>
        </w:rPr>
        <w:t xml:space="preserve"> </w:t>
      </w:r>
      <w:r w:rsidRPr="00E73F6F">
        <w:t>um</w:t>
      </w:r>
      <w:r w:rsidRPr="00E73F6F">
        <w:rPr>
          <w:spacing w:val="-3"/>
        </w:rPr>
        <w:t xml:space="preserve"> </w:t>
      </w:r>
      <w:r w:rsidRPr="00E73F6F">
        <w:t>die</w:t>
      </w:r>
      <w:r w:rsidRPr="00E73F6F">
        <w:rPr>
          <w:spacing w:val="-2"/>
        </w:rPr>
        <w:t xml:space="preserve"> </w:t>
      </w:r>
      <w:r w:rsidRPr="00E73F6F">
        <w:t>nordeuropäischen</w:t>
      </w:r>
      <w:r w:rsidRPr="00E73F6F">
        <w:rPr>
          <w:spacing w:val="-3"/>
        </w:rPr>
        <w:t xml:space="preserve"> </w:t>
      </w:r>
      <w:r w:rsidRPr="00E73F6F">
        <w:t>Länder</w:t>
      </w:r>
      <w:r w:rsidRPr="00E73F6F">
        <w:rPr>
          <w:spacing w:val="-2"/>
        </w:rPr>
        <w:t xml:space="preserve"> </w:t>
      </w:r>
      <w:r w:rsidRPr="00E73F6F">
        <w:t>handelt und somit sehr wohl die geographische Nähe clusterbildend sein dürfte. Dies erklärt jedoch nicht, warum auch die Niederlande, die aus geographischer Sicht eher mit Belgien, Frankreich etc. ein Cluster bilden müssten, und die Schweiz diesem Segment angehören. Erklären lässt sich diese Gruppierung somit nicht geographisch, sondern kulturhistorisch bzw. religionssoziologisch. Denn wie die skandinavischen Gesellschaften wurden die Niederlande und die Schweiz nachhaltig vom Kalvinismus beeinflusst.</w:t>
      </w:r>
    </w:p>
    <w:p w14:paraId="005E5D78" w14:textId="77777777" w:rsidR="00FF7799" w:rsidRPr="00E73F6F" w:rsidRDefault="00FF7799" w:rsidP="009B23E7">
      <w:pPr>
        <w:pStyle w:val="StandardText"/>
      </w:pPr>
      <w:r w:rsidRPr="00E73F6F">
        <w:t>Ein</w:t>
      </w:r>
      <w:r w:rsidRPr="00E73F6F">
        <w:rPr>
          <w:spacing w:val="-7"/>
        </w:rPr>
        <w:t xml:space="preserve"> </w:t>
      </w:r>
      <w:r w:rsidRPr="00E73F6F">
        <w:t>weiteres</w:t>
      </w:r>
      <w:r w:rsidRPr="00E73F6F">
        <w:rPr>
          <w:spacing w:val="-8"/>
        </w:rPr>
        <w:t xml:space="preserve"> </w:t>
      </w:r>
      <w:r w:rsidRPr="00E73F6F">
        <w:t>Segment</w:t>
      </w:r>
      <w:r w:rsidRPr="00E73F6F">
        <w:rPr>
          <w:spacing w:val="-7"/>
        </w:rPr>
        <w:t xml:space="preserve"> </w:t>
      </w:r>
      <w:r w:rsidRPr="00E73F6F">
        <w:t>sind</w:t>
      </w:r>
      <w:r w:rsidRPr="00E73F6F">
        <w:rPr>
          <w:spacing w:val="-7"/>
        </w:rPr>
        <w:t xml:space="preserve"> </w:t>
      </w:r>
      <w:r w:rsidRPr="00E73F6F">
        <w:t>die</w:t>
      </w:r>
      <w:r w:rsidRPr="00E73F6F">
        <w:rPr>
          <w:spacing w:val="-8"/>
        </w:rPr>
        <w:t xml:space="preserve"> </w:t>
      </w:r>
      <w:r w:rsidRPr="00E73F6F">
        <w:t>katholisch</w:t>
      </w:r>
      <w:r w:rsidRPr="00E73F6F">
        <w:rPr>
          <w:spacing w:val="-9"/>
        </w:rPr>
        <w:t xml:space="preserve"> </w:t>
      </w:r>
      <w:r w:rsidRPr="00E73F6F">
        <w:t>geprägten</w:t>
      </w:r>
      <w:r w:rsidRPr="00E73F6F">
        <w:rPr>
          <w:spacing w:val="-7"/>
        </w:rPr>
        <w:t xml:space="preserve"> </w:t>
      </w:r>
      <w:r w:rsidRPr="00E73F6F">
        <w:t>Länder</w:t>
      </w:r>
      <w:r w:rsidRPr="00E73F6F">
        <w:rPr>
          <w:spacing w:val="-8"/>
        </w:rPr>
        <w:t xml:space="preserve"> </w:t>
      </w:r>
      <w:r w:rsidRPr="00E73F6F">
        <w:t>Europas.</w:t>
      </w:r>
      <w:r w:rsidRPr="00E73F6F">
        <w:rPr>
          <w:spacing w:val="-7"/>
        </w:rPr>
        <w:t xml:space="preserve"> </w:t>
      </w:r>
      <w:r w:rsidRPr="00E73F6F">
        <w:t>Obwohl,</w:t>
      </w:r>
      <w:r w:rsidRPr="00E73F6F">
        <w:rPr>
          <w:spacing w:val="-7"/>
        </w:rPr>
        <w:t xml:space="preserve"> </w:t>
      </w:r>
      <w:r w:rsidRPr="00E73F6F">
        <w:t>von wenigen Ausnahmen abgesehen, der direkte Einfluss</w:t>
      </w:r>
      <w:r w:rsidRPr="00E73F6F">
        <w:rPr>
          <w:spacing w:val="-1"/>
        </w:rPr>
        <w:t xml:space="preserve"> </w:t>
      </w:r>
      <w:r w:rsidRPr="00E73F6F">
        <w:t>der Kirchen in der jüngeren Vergangenheit</w:t>
      </w:r>
      <w:r w:rsidRPr="00E73F6F">
        <w:rPr>
          <w:spacing w:val="11"/>
        </w:rPr>
        <w:t xml:space="preserve"> </w:t>
      </w:r>
      <w:r w:rsidRPr="00E73F6F">
        <w:t>im</w:t>
      </w:r>
      <w:r w:rsidRPr="00E73F6F">
        <w:rPr>
          <w:spacing w:val="15"/>
        </w:rPr>
        <w:t xml:space="preserve"> </w:t>
      </w:r>
      <w:r w:rsidRPr="00E73F6F">
        <w:t>Zuge</w:t>
      </w:r>
      <w:r w:rsidRPr="00E73F6F">
        <w:rPr>
          <w:spacing w:val="15"/>
        </w:rPr>
        <w:t xml:space="preserve"> </w:t>
      </w:r>
      <w:r w:rsidRPr="00E73F6F">
        <w:t>der</w:t>
      </w:r>
      <w:r w:rsidRPr="00E73F6F">
        <w:rPr>
          <w:spacing w:val="16"/>
        </w:rPr>
        <w:t xml:space="preserve"> </w:t>
      </w:r>
      <w:r w:rsidRPr="00E73F6F">
        <w:t>Säkularisierung</w:t>
      </w:r>
      <w:r w:rsidRPr="00E73F6F">
        <w:rPr>
          <w:spacing w:val="16"/>
        </w:rPr>
        <w:t xml:space="preserve"> </w:t>
      </w:r>
      <w:r w:rsidRPr="00E73F6F">
        <w:t>spürbar</w:t>
      </w:r>
      <w:r w:rsidRPr="00E73F6F">
        <w:rPr>
          <w:spacing w:val="16"/>
        </w:rPr>
        <w:t xml:space="preserve"> </w:t>
      </w:r>
      <w:r w:rsidRPr="00E73F6F">
        <w:t>abgenommen</w:t>
      </w:r>
      <w:r w:rsidRPr="00E73F6F">
        <w:rPr>
          <w:spacing w:val="17"/>
        </w:rPr>
        <w:t xml:space="preserve"> </w:t>
      </w:r>
      <w:r w:rsidRPr="00E73F6F">
        <w:t>hat,</w:t>
      </w:r>
      <w:r w:rsidRPr="00E73F6F">
        <w:rPr>
          <w:spacing w:val="17"/>
        </w:rPr>
        <w:t xml:space="preserve"> </w:t>
      </w:r>
      <w:r w:rsidRPr="00E73F6F">
        <w:t>steht</w:t>
      </w:r>
      <w:r w:rsidRPr="00E73F6F">
        <w:rPr>
          <w:spacing w:val="14"/>
        </w:rPr>
        <w:t xml:space="preserve"> </w:t>
      </w:r>
      <w:r w:rsidRPr="00E73F6F">
        <w:rPr>
          <w:spacing w:val="-5"/>
        </w:rPr>
        <w:t xml:space="preserve">das </w:t>
      </w:r>
      <w:r w:rsidRPr="00E73F6F">
        <w:t>„katholische Europa“ offenbar nach wie vor auf einem gemeinsamen Wertefundament. Zwar ist dies eine Ex Post-Erklärung. Dennoch erscheint es plausibel davon auszugehen, dass die von einer Religion vermittelten Werte unabhängig von der Institution „Kirche“ fortbestehen.</w:t>
      </w:r>
    </w:p>
    <w:p w14:paraId="3F34621E" w14:textId="77777777" w:rsidR="00FF7799" w:rsidRPr="005A3D38" w:rsidRDefault="00FF7799" w:rsidP="009B23E7">
      <w:pPr>
        <w:pStyle w:val="StandardText"/>
      </w:pPr>
      <w:r w:rsidRPr="00E73F6F">
        <w:t>West- und Ostdeutschland, die zum Zeitpunkt der Befragung noch geteilt waren und</w:t>
      </w:r>
      <w:r w:rsidRPr="00E73F6F">
        <w:rPr>
          <w:spacing w:val="-12"/>
        </w:rPr>
        <w:t xml:space="preserve"> </w:t>
      </w:r>
      <w:r w:rsidRPr="00E73F6F">
        <w:t>deshalb</w:t>
      </w:r>
      <w:r w:rsidRPr="00E73F6F">
        <w:rPr>
          <w:spacing w:val="-11"/>
        </w:rPr>
        <w:t xml:space="preserve"> </w:t>
      </w:r>
      <w:r w:rsidRPr="00E73F6F">
        <w:t>auch</w:t>
      </w:r>
      <w:r w:rsidRPr="00E73F6F">
        <w:rPr>
          <w:spacing w:val="-11"/>
        </w:rPr>
        <w:t xml:space="preserve"> </w:t>
      </w:r>
      <w:r w:rsidRPr="00E73F6F">
        <w:t>getrennt</w:t>
      </w:r>
      <w:r w:rsidRPr="00E73F6F">
        <w:rPr>
          <w:spacing w:val="-11"/>
        </w:rPr>
        <w:t xml:space="preserve"> </w:t>
      </w:r>
      <w:r w:rsidRPr="00E73F6F">
        <w:t>erfasst</w:t>
      </w:r>
      <w:r w:rsidRPr="00E73F6F">
        <w:rPr>
          <w:spacing w:val="-12"/>
        </w:rPr>
        <w:t xml:space="preserve"> </w:t>
      </w:r>
      <w:r w:rsidRPr="00E73F6F">
        <w:t>wurden,</w:t>
      </w:r>
      <w:r w:rsidRPr="00E73F6F">
        <w:rPr>
          <w:spacing w:val="-11"/>
        </w:rPr>
        <w:t xml:space="preserve"> </w:t>
      </w:r>
      <w:r w:rsidRPr="00E73F6F">
        <w:t>unterschieden</w:t>
      </w:r>
      <w:r w:rsidRPr="00E73F6F">
        <w:rPr>
          <w:spacing w:val="-11"/>
        </w:rPr>
        <w:t xml:space="preserve"> </w:t>
      </w:r>
      <w:r w:rsidRPr="00E73F6F">
        <w:t>sich</w:t>
      </w:r>
      <w:r w:rsidRPr="00E73F6F">
        <w:rPr>
          <w:spacing w:val="-11"/>
        </w:rPr>
        <w:t xml:space="preserve"> </w:t>
      </w:r>
      <w:r w:rsidRPr="00E73F6F">
        <w:t>damals</w:t>
      </w:r>
      <w:r w:rsidRPr="00E73F6F">
        <w:rPr>
          <w:spacing w:val="-12"/>
        </w:rPr>
        <w:t xml:space="preserve"> </w:t>
      </w:r>
      <w:r w:rsidRPr="00E73F6F">
        <w:t xml:space="preserve">hauptsächlich auf der Dimension </w:t>
      </w:r>
      <w:r w:rsidRPr="00E73F6F">
        <w:lastRenderedPageBreak/>
        <w:t>„</w:t>
      </w:r>
      <w:r w:rsidRPr="005A3D38">
        <w:t>Überleben vs. Wohlbefinden“. Zwar hat somit das zwischen 1945 und 1989 durchgeführte „soziopolitische Feldexperiment“, mit dem in Westdeutschland eine marktorientierte, liberale Demokratie westlicher Prägung etabliert werden sollte und in Ostdeutschland ein sozialistischer, atheistisch- autoritärer</w:t>
      </w:r>
      <w:r w:rsidRPr="005A3D38">
        <w:rPr>
          <w:spacing w:val="-12"/>
        </w:rPr>
        <w:t xml:space="preserve"> </w:t>
      </w:r>
      <w:r w:rsidRPr="005A3D38">
        <w:t>Staat,</w:t>
      </w:r>
      <w:r w:rsidRPr="005A3D38">
        <w:rPr>
          <w:spacing w:val="-11"/>
        </w:rPr>
        <w:t xml:space="preserve"> </w:t>
      </w:r>
      <w:r w:rsidRPr="005A3D38">
        <w:t>in</w:t>
      </w:r>
      <w:r w:rsidRPr="005A3D38">
        <w:rPr>
          <w:spacing w:val="-11"/>
        </w:rPr>
        <w:t xml:space="preserve"> </w:t>
      </w:r>
      <w:r w:rsidRPr="005A3D38">
        <w:t>beiden</w:t>
      </w:r>
      <w:r w:rsidRPr="005A3D38">
        <w:rPr>
          <w:spacing w:val="-11"/>
        </w:rPr>
        <w:t xml:space="preserve"> </w:t>
      </w:r>
      <w:r w:rsidRPr="005A3D38">
        <w:t>Landesteilen</w:t>
      </w:r>
      <w:r w:rsidRPr="005A3D38">
        <w:rPr>
          <w:spacing w:val="-12"/>
        </w:rPr>
        <w:t xml:space="preserve"> </w:t>
      </w:r>
      <w:r w:rsidRPr="005A3D38">
        <w:t>Spuren</w:t>
      </w:r>
      <w:r w:rsidRPr="005A3D38">
        <w:rPr>
          <w:spacing w:val="-11"/>
        </w:rPr>
        <w:t xml:space="preserve"> </w:t>
      </w:r>
      <w:r w:rsidRPr="005A3D38">
        <w:t>hinterlassen.</w:t>
      </w:r>
      <w:r w:rsidRPr="005A3D38">
        <w:rPr>
          <w:spacing w:val="-11"/>
        </w:rPr>
        <w:t xml:space="preserve"> </w:t>
      </w:r>
      <w:r w:rsidRPr="005A3D38">
        <w:t>Aber</w:t>
      </w:r>
      <w:r w:rsidRPr="005A3D38">
        <w:rPr>
          <w:spacing w:val="-11"/>
        </w:rPr>
        <w:t xml:space="preserve"> </w:t>
      </w:r>
      <w:r w:rsidRPr="005A3D38">
        <w:t>selbst</w:t>
      </w:r>
      <w:r w:rsidRPr="005A3D38">
        <w:rPr>
          <w:spacing w:val="-12"/>
        </w:rPr>
        <w:t xml:space="preserve"> </w:t>
      </w:r>
      <w:r w:rsidRPr="005A3D38">
        <w:t>mit</w:t>
      </w:r>
      <w:r w:rsidRPr="005A3D38">
        <w:rPr>
          <w:spacing w:val="-11"/>
        </w:rPr>
        <w:t xml:space="preserve"> </w:t>
      </w:r>
      <w:r w:rsidRPr="005A3D38">
        <w:t>derart konzertierten Anstrengungen konnte die deutsche Kultur nur sehr bedingt neu geformt werden: Nach 45 Jahren unter diametral entgegengesetzten politischen und ökonomischen Bedingungen ähnelten sich Ost- und Westdeutschland mehr, als</w:t>
      </w:r>
      <w:r w:rsidRPr="005A3D38">
        <w:rPr>
          <w:spacing w:val="-14"/>
        </w:rPr>
        <w:t xml:space="preserve"> </w:t>
      </w:r>
      <w:r w:rsidRPr="005A3D38">
        <w:t>etwa</w:t>
      </w:r>
      <w:r w:rsidRPr="005A3D38">
        <w:rPr>
          <w:spacing w:val="-11"/>
        </w:rPr>
        <w:t xml:space="preserve"> </w:t>
      </w:r>
      <w:r w:rsidRPr="005A3D38">
        <w:t>Westdeutschland</w:t>
      </w:r>
      <w:r w:rsidRPr="005A3D38">
        <w:rPr>
          <w:spacing w:val="-11"/>
        </w:rPr>
        <w:t xml:space="preserve"> </w:t>
      </w:r>
      <w:r w:rsidRPr="005A3D38">
        <w:t>und</w:t>
      </w:r>
      <w:r w:rsidRPr="005A3D38">
        <w:rPr>
          <w:spacing w:val="-11"/>
        </w:rPr>
        <w:t xml:space="preserve"> </w:t>
      </w:r>
      <w:r w:rsidRPr="005A3D38">
        <w:t>Schweden</w:t>
      </w:r>
      <w:r w:rsidRPr="005A3D38">
        <w:rPr>
          <w:spacing w:val="-7"/>
        </w:rPr>
        <w:t xml:space="preserve"> </w:t>
      </w:r>
      <w:r w:rsidRPr="005A3D38">
        <w:t>sich</w:t>
      </w:r>
      <w:r w:rsidRPr="005A3D38">
        <w:rPr>
          <w:spacing w:val="-10"/>
        </w:rPr>
        <w:t xml:space="preserve"> </w:t>
      </w:r>
      <w:r w:rsidRPr="005A3D38">
        <w:t>ähneln“</w:t>
      </w:r>
      <w:r w:rsidRPr="005A3D38">
        <w:rPr>
          <w:spacing w:val="-11"/>
        </w:rPr>
        <w:t xml:space="preserve"> </w:t>
      </w:r>
      <w:r w:rsidRPr="005A3D38">
        <w:t>(vgl.</w:t>
      </w:r>
      <w:r w:rsidRPr="005A3D38">
        <w:rPr>
          <w:spacing w:val="-9"/>
        </w:rPr>
        <w:t xml:space="preserve"> </w:t>
      </w:r>
      <w:r w:rsidRPr="005A3D38">
        <w:t>Inglehart</w:t>
      </w:r>
      <w:r w:rsidRPr="005A3D38">
        <w:rPr>
          <w:spacing w:val="-11"/>
        </w:rPr>
        <w:t xml:space="preserve"> </w:t>
      </w:r>
      <w:r w:rsidRPr="005A3D38">
        <w:t>1998,</w:t>
      </w:r>
      <w:r w:rsidRPr="005A3D38">
        <w:rPr>
          <w:spacing w:val="-11"/>
        </w:rPr>
        <w:t xml:space="preserve"> </w:t>
      </w:r>
      <w:r w:rsidRPr="005A3D38">
        <w:rPr>
          <w:spacing w:val="-2"/>
        </w:rPr>
        <w:t>S.141).</w:t>
      </w:r>
    </w:p>
    <w:p w14:paraId="57A4E21B" w14:textId="77777777" w:rsidR="00FF7799" w:rsidRPr="005A3D38" w:rsidRDefault="00FF7799" w:rsidP="009B23E7">
      <w:pPr>
        <w:pStyle w:val="StandardText"/>
      </w:pPr>
      <w:r w:rsidRPr="005A3D38">
        <w:t>Hingegen unterscheidet sich das Wertesystem der reicheren Länder deutlich von dem der ärmeren Länder. Dies legt die Vermutung nahe, dass gerade die wirtschaftliche</w:t>
      </w:r>
      <w:r w:rsidRPr="005A3D38">
        <w:rPr>
          <w:spacing w:val="-4"/>
        </w:rPr>
        <w:t xml:space="preserve"> </w:t>
      </w:r>
      <w:r w:rsidRPr="005A3D38">
        <w:t>Entwicklung</w:t>
      </w:r>
      <w:r w:rsidRPr="005A3D38">
        <w:rPr>
          <w:spacing w:val="-4"/>
        </w:rPr>
        <w:t xml:space="preserve"> </w:t>
      </w:r>
      <w:r w:rsidRPr="005A3D38">
        <w:t>die</w:t>
      </w:r>
      <w:r w:rsidRPr="005A3D38">
        <w:rPr>
          <w:spacing w:val="-6"/>
        </w:rPr>
        <w:t xml:space="preserve"> </w:t>
      </w:r>
      <w:r w:rsidRPr="005A3D38">
        <w:t>Werte</w:t>
      </w:r>
      <w:r w:rsidRPr="005A3D38">
        <w:rPr>
          <w:spacing w:val="-4"/>
        </w:rPr>
        <w:t xml:space="preserve"> </w:t>
      </w:r>
      <w:r w:rsidRPr="005A3D38">
        <w:t>bzw.</w:t>
      </w:r>
      <w:r w:rsidRPr="005A3D38">
        <w:rPr>
          <w:spacing w:val="-3"/>
        </w:rPr>
        <w:t xml:space="preserve"> </w:t>
      </w:r>
      <w:r w:rsidRPr="005A3D38">
        <w:t>deren</w:t>
      </w:r>
      <w:r w:rsidRPr="005A3D38">
        <w:rPr>
          <w:spacing w:val="-4"/>
        </w:rPr>
        <w:t xml:space="preserve"> </w:t>
      </w:r>
      <w:r w:rsidRPr="005A3D38">
        <w:t>Wandel</w:t>
      </w:r>
      <w:r w:rsidRPr="005A3D38">
        <w:rPr>
          <w:spacing w:val="-5"/>
        </w:rPr>
        <w:t xml:space="preserve"> </w:t>
      </w:r>
      <w:r w:rsidRPr="005A3D38">
        <w:t>beeinflusst.</w:t>
      </w:r>
      <w:r w:rsidRPr="005A3D38">
        <w:rPr>
          <w:spacing w:val="-2"/>
        </w:rPr>
        <w:t xml:space="preserve"> </w:t>
      </w:r>
      <w:r w:rsidRPr="005A3D38">
        <w:t>Allerdings ließ</w:t>
      </w:r>
      <w:r w:rsidRPr="005A3D38">
        <w:rPr>
          <w:spacing w:val="19"/>
        </w:rPr>
        <w:t xml:space="preserve"> </w:t>
      </w:r>
      <w:r w:rsidRPr="005A3D38">
        <w:t>sich</w:t>
      </w:r>
      <w:r w:rsidRPr="005A3D38">
        <w:rPr>
          <w:spacing w:val="22"/>
        </w:rPr>
        <w:t xml:space="preserve"> </w:t>
      </w:r>
      <w:r w:rsidRPr="005A3D38">
        <w:t>diese</w:t>
      </w:r>
      <w:r w:rsidRPr="005A3D38">
        <w:rPr>
          <w:spacing w:val="20"/>
        </w:rPr>
        <w:t xml:space="preserve"> </w:t>
      </w:r>
      <w:r w:rsidRPr="005A3D38">
        <w:t>Umkehrung</w:t>
      </w:r>
      <w:r w:rsidRPr="005A3D38">
        <w:rPr>
          <w:spacing w:val="24"/>
        </w:rPr>
        <w:t xml:space="preserve"> </w:t>
      </w:r>
      <w:r w:rsidRPr="005A3D38">
        <w:t>der</w:t>
      </w:r>
      <w:r w:rsidRPr="005A3D38">
        <w:rPr>
          <w:spacing w:val="21"/>
        </w:rPr>
        <w:t xml:space="preserve"> </w:t>
      </w:r>
      <w:r w:rsidRPr="005A3D38">
        <w:t>klassischen</w:t>
      </w:r>
      <w:r w:rsidRPr="005A3D38">
        <w:rPr>
          <w:spacing w:val="23"/>
        </w:rPr>
        <w:t xml:space="preserve"> </w:t>
      </w:r>
      <w:r w:rsidRPr="005A3D38">
        <w:t>These</w:t>
      </w:r>
      <w:r w:rsidRPr="005A3D38">
        <w:rPr>
          <w:spacing w:val="19"/>
        </w:rPr>
        <w:t xml:space="preserve"> </w:t>
      </w:r>
      <w:r w:rsidRPr="005A3D38">
        <w:t>von</w:t>
      </w:r>
      <w:r w:rsidRPr="005A3D38">
        <w:rPr>
          <w:spacing w:val="24"/>
        </w:rPr>
        <w:t xml:space="preserve"> </w:t>
      </w:r>
      <w:r w:rsidRPr="005A3D38">
        <w:t>Max</w:t>
      </w:r>
      <w:r w:rsidRPr="005A3D38">
        <w:rPr>
          <w:spacing w:val="20"/>
        </w:rPr>
        <w:t xml:space="preserve"> </w:t>
      </w:r>
      <w:r w:rsidRPr="005A3D38">
        <w:t>Weber,</w:t>
      </w:r>
      <w:r w:rsidRPr="005A3D38">
        <w:rPr>
          <w:spacing w:val="21"/>
        </w:rPr>
        <w:t xml:space="preserve"> </w:t>
      </w:r>
      <w:r w:rsidRPr="005A3D38">
        <w:t>wonach</w:t>
      </w:r>
      <w:r w:rsidRPr="005A3D38">
        <w:rPr>
          <w:spacing w:val="23"/>
        </w:rPr>
        <w:t xml:space="preserve"> </w:t>
      </w:r>
      <w:r w:rsidRPr="005A3D38">
        <w:rPr>
          <w:spacing w:val="-5"/>
        </w:rPr>
        <w:t>die</w:t>
      </w:r>
      <w:r w:rsidRPr="005A3D38">
        <w:t xml:space="preserve"> „protestantische Ethik“ die Wirtschaftskräfte zur Entfaltung kommen lässt (vgl. Gelbrich/Müller</w:t>
      </w:r>
      <w:r w:rsidRPr="005A3D38">
        <w:rPr>
          <w:spacing w:val="-1"/>
        </w:rPr>
        <w:t xml:space="preserve"> </w:t>
      </w:r>
      <w:r w:rsidRPr="005A3D38">
        <w:t>2023, S.86ff.;</w:t>
      </w:r>
      <w:r w:rsidRPr="005A3D38">
        <w:rPr>
          <w:spacing w:val="-2"/>
        </w:rPr>
        <w:t xml:space="preserve"> </w:t>
      </w:r>
      <w:r w:rsidRPr="005A3D38">
        <w:t>Müller/Kornmeier</w:t>
      </w:r>
      <w:r w:rsidRPr="005A3D38">
        <w:rPr>
          <w:spacing w:val="-1"/>
        </w:rPr>
        <w:t xml:space="preserve"> </w:t>
      </w:r>
      <w:r w:rsidRPr="005A3D38">
        <w:t>2000,</w:t>
      </w:r>
      <w:r w:rsidRPr="005A3D38">
        <w:rPr>
          <w:spacing w:val="-2"/>
        </w:rPr>
        <w:t xml:space="preserve"> </w:t>
      </w:r>
      <w:r w:rsidRPr="005A3D38">
        <w:t>S.87ff.),</w:t>
      </w:r>
      <w:r w:rsidRPr="005A3D38">
        <w:rPr>
          <w:spacing w:val="-2"/>
        </w:rPr>
        <w:t xml:space="preserve"> </w:t>
      </w:r>
      <w:r w:rsidRPr="005A3D38">
        <w:t>nur</w:t>
      </w:r>
      <w:r w:rsidRPr="005A3D38">
        <w:rPr>
          <w:spacing w:val="-3"/>
        </w:rPr>
        <w:t xml:space="preserve"> </w:t>
      </w:r>
      <w:r w:rsidRPr="005A3D38">
        <w:t xml:space="preserve">deshalb so eindeutig formulieren, weil die OPEC-Staaten nicht Gegenstand der Studie waren. Denn einige erdölexportierende Länder konnten in den vergangenen Jahrzehnten ihre wirtschaftliche Position stärken, obwohl sie sich wieder den tradierten (bzw. fundamentalistischen) Werten zuwandten. Gegen diesen Einwand wiederum spricht, dass das Wirtschaftswachstum der OPEC-Länder durch die Ausbeutung von Naturschätzen und nicht durch die Nutzung von Humankapital begründet </w:t>
      </w:r>
      <w:r w:rsidRPr="005A3D38">
        <w:rPr>
          <w:spacing w:val="-2"/>
        </w:rPr>
        <w:t>wurde.</w:t>
      </w:r>
    </w:p>
    <w:p w14:paraId="6B82F96D" w14:textId="77777777" w:rsidR="00FF7799" w:rsidRPr="005A3D38" w:rsidRDefault="00FF7799" w:rsidP="009B23E7">
      <w:pPr>
        <w:pStyle w:val="StandardText"/>
      </w:pPr>
    </w:p>
    <w:p w14:paraId="1AA7BFB7" w14:textId="77777777" w:rsidR="00FF7799" w:rsidRPr="005A3D38" w:rsidRDefault="00FF7799" w:rsidP="009B23E7">
      <w:pPr>
        <w:pStyle w:val="StandardTextkursiv"/>
        <w:rPr>
          <w:i w:val="0"/>
        </w:rPr>
      </w:pPr>
      <w:r w:rsidRPr="005A3D38">
        <w:rPr>
          <w:i w:val="0"/>
        </w:rPr>
        <w:t>3 Zusammenfassung</w:t>
      </w:r>
    </w:p>
    <w:p w14:paraId="30727F5C" w14:textId="77777777" w:rsidR="00FF7799" w:rsidRPr="005A3D38" w:rsidRDefault="00FF7799" w:rsidP="00247954">
      <w:pPr>
        <w:pStyle w:val="StandardText"/>
      </w:pPr>
      <w:r w:rsidRPr="005A3D38">
        <w:t>R. Inglehart hat in seinen sozio-politologischen Studien das Phänomen des kulturellen Wandels thematisiert. Seinen Studien zufolge unterscheiden sich Kulturen</w:t>
      </w:r>
      <w:r w:rsidRPr="005A3D38">
        <w:rPr>
          <w:spacing w:val="51"/>
        </w:rPr>
        <w:t xml:space="preserve"> </w:t>
      </w:r>
      <w:r w:rsidRPr="005A3D38">
        <w:t>zum</w:t>
      </w:r>
      <w:r w:rsidRPr="005A3D38">
        <w:rPr>
          <w:spacing w:val="51"/>
        </w:rPr>
        <w:t xml:space="preserve"> </w:t>
      </w:r>
      <w:r w:rsidRPr="005A3D38">
        <w:t>einen</w:t>
      </w:r>
      <w:r w:rsidRPr="005A3D38">
        <w:rPr>
          <w:spacing w:val="52"/>
        </w:rPr>
        <w:t xml:space="preserve"> </w:t>
      </w:r>
      <w:r w:rsidRPr="005A3D38">
        <w:t>darin,</w:t>
      </w:r>
      <w:r w:rsidRPr="005A3D38">
        <w:rPr>
          <w:spacing w:val="50"/>
        </w:rPr>
        <w:t xml:space="preserve"> </w:t>
      </w:r>
      <w:r w:rsidRPr="005A3D38">
        <w:t>ob</w:t>
      </w:r>
      <w:r w:rsidRPr="005A3D38">
        <w:rPr>
          <w:spacing w:val="50"/>
        </w:rPr>
        <w:t xml:space="preserve"> </w:t>
      </w:r>
      <w:r w:rsidRPr="005A3D38">
        <w:t>sie</w:t>
      </w:r>
      <w:r w:rsidRPr="005A3D38">
        <w:rPr>
          <w:spacing w:val="52"/>
        </w:rPr>
        <w:t xml:space="preserve"> </w:t>
      </w:r>
      <w:r w:rsidRPr="005A3D38">
        <w:t>größeren</w:t>
      </w:r>
      <w:r w:rsidRPr="005A3D38">
        <w:rPr>
          <w:spacing w:val="53"/>
        </w:rPr>
        <w:t xml:space="preserve"> </w:t>
      </w:r>
      <w:r w:rsidRPr="005A3D38">
        <w:t>Wert</w:t>
      </w:r>
      <w:r w:rsidRPr="005A3D38">
        <w:rPr>
          <w:spacing w:val="52"/>
        </w:rPr>
        <w:t xml:space="preserve"> </w:t>
      </w:r>
      <w:r w:rsidRPr="005A3D38">
        <w:t>auf</w:t>
      </w:r>
      <w:r w:rsidRPr="005A3D38">
        <w:rPr>
          <w:spacing w:val="50"/>
        </w:rPr>
        <w:t xml:space="preserve"> </w:t>
      </w:r>
      <w:r w:rsidRPr="005A3D38">
        <w:t>„Überleben“</w:t>
      </w:r>
      <w:r w:rsidRPr="005A3D38">
        <w:rPr>
          <w:spacing w:val="51"/>
        </w:rPr>
        <w:t xml:space="preserve"> </w:t>
      </w:r>
      <w:r w:rsidRPr="005A3D38">
        <w:t>oder</w:t>
      </w:r>
      <w:r w:rsidRPr="005A3D38">
        <w:rPr>
          <w:spacing w:val="53"/>
        </w:rPr>
        <w:t xml:space="preserve"> </w:t>
      </w:r>
      <w:r w:rsidRPr="005A3D38">
        <w:rPr>
          <w:spacing w:val="-5"/>
        </w:rPr>
        <w:t>auf</w:t>
      </w:r>
      <w:r w:rsidRPr="005A3D38">
        <w:t xml:space="preserve"> „Wohlbefinden“</w:t>
      </w:r>
      <w:r w:rsidRPr="005A3D38">
        <w:rPr>
          <w:spacing w:val="34"/>
        </w:rPr>
        <w:t xml:space="preserve"> </w:t>
      </w:r>
      <w:r w:rsidRPr="005A3D38">
        <w:t>legen.</w:t>
      </w:r>
      <w:r w:rsidRPr="005A3D38">
        <w:rPr>
          <w:spacing w:val="37"/>
        </w:rPr>
        <w:t xml:space="preserve"> </w:t>
      </w:r>
      <w:r w:rsidRPr="005A3D38">
        <w:t>Unabhängig</w:t>
      </w:r>
      <w:r w:rsidRPr="005A3D38">
        <w:rPr>
          <w:spacing w:val="36"/>
        </w:rPr>
        <w:t xml:space="preserve"> </w:t>
      </w:r>
      <w:r w:rsidRPr="005A3D38">
        <w:t>davon</w:t>
      </w:r>
      <w:r w:rsidRPr="005A3D38">
        <w:rPr>
          <w:spacing w:val="35"/>
        </w:rPr>
        <w:t xml:space="preserve"> </w:t>
      </w:r>
      <w:r w:rsidRPr="005A3D38">
        <w:t>lassen</w:t>
      </w:r>
      <w:r w:rsidRPr="005A3D38">
        <w:rPr>
          <w:spacing w:val="38"/>
        </w:rPr>
        <w:t xml:space="preserve"> </w:t>
      </w:r>
      <w:r w:rsidRPr="005A3D38">
        <w:t>sich</w:t>
      </w:r>
      <w:r w:rsidRPr="005A3D38">
        <w:rPr>
          <w:spacing w:val="38"/>
        </w:rPr>
        <w:t xml:space="preserve"> </w:t>
      </w:r>
      <w:r w:rsidRPr="005A3D38">
        <w:t>Landeskulturen</w:t>
      </w:r>
      <w:r w:rsidRPr="005A3D38">
        <w:rPr>
          <w:spacing w:val="36"/>
        </w:rPr>
        <w:t xml:space="preserve"> </w:t>
      </w:r>
      <w:r w:rsidRPr="005A3D38">
        <w:rPr>
          <w:spacing w:val="-2"/>
        </w:rPr>
        <w:t>danach</w:t>
      </w:r>
      <w:r w:rsidRPr="005A3D38">
        <w:t xml:space="preserve"> differenzieren, ob sie eher Institutionen der traditionellen Autorität folgen (z.B. Religion,</w:t>
      </w:r>
      <w:r w:rsidRPr="005A3D38">
        <w:rPr>
          <w:spacing w:val="-11"/>
        </w:rPr>
        <w:t xml:space="preserve"> </w:t>
      </w:r>
      <w:r w:rsidRPr="005A3D38">
        <w:t>Familie)</w:t>
      </w:r>
      <w:r w:rsidRPr="005A3D38">
        <w:rPr>
          <w:spacing w:val="-10"/>
        </w:rPr>
        <w:t xml:space="preserve"> </w:t>
      </w:r>
      <w:r w:rsidRPr="005A3D38">
        <w:t>oder</w:t>
      </w:r>
      <w:r w:rsidRPr="005A3D38">
        <w:rPr>
          <w:spacing w:val="-10"/>
        </w:rPr>
        <w:t xml:space="preserve"> </w:t>
      </w:r>
      <w:r w:rsidRPr="005A3D38">
        <w:t>eher</w:t>
      </w:r>
      <w:r w:rsidRPr="005A3D38">
        <w:rPr>
          <w:spacing w:val="-10"/>
        </w:rPr>
        <w:t xml:space="preserve"> </w:t>
      </w:r>
      <w:r w:rsidRPr="005A3D38">
        <w:t>rational-gesetzlichen</w:t>
      </w:r>
      <w:r w:rsidRPr="005A3D38">
        <w:rPr>
          <w:spacing w:val="-9"/>
        </w:rPr>
        <w:t xml:space="preserve"> </w:t>
      </w:r>
      <w:r w:rsidRPr="005A3D38">
        <w:t>Ansprüchen</w:t>
      </w:r>
      <w:r w:rsidRPr="005A3D38">
        <w:rPr>
          <w:spacing w:val="-9"/>
        </w:rPr>
        <w:t xml:space="preserve"> </w:t>
      </w:r>
      <w:r w:rsidRPr="005A3D38">
        <w:t>(z.B.</w:t>
      </w:r>
      <w:r w:rsidRPr="005A3D38">
        <w:rPr>
          <w:spacing w:val="-9"/>
        </w:rPr>
        <w:t xml:space="preserve"> </w:t>
      </w:r>
      <w:r w:rsidRPr="005A3D38">
        <w:t>Sparsamkeit). Allerdings haben diese Erkenntnisse in den kulturvergleichenden Wirtschaftswissenschaften bislang wenig Beachtung gefunden.</w:t>
      </w:r>
    </w:p>
    <w:p w14:paraId="3B03657C" w14:textId="77777777" w:rsidR="00FF7799" w:rsidRPr="005A3D38" w:rsidRDefault="00FF7799" w:rsidP="00247954">
      <w:pPr>
        <w:pStyle w:val="StandardText"/>
        <w:rPr>
          <w:sz w:val="22"/>
          <w:szCs w:val="22"/>
        </w:rPr>
      </w:pPr>
      <w:proofErr w:type="spellStart"/>
      <w:r w:rsidRPr="005A3D38">
        <w:rPr>
          <w:b/>
          <w:i/>
          <w:sz w:val="22"/>
          <w:szCs w:val="22"/>
          <w:lang w:val="en-US"/>
        </w:rPr>
        <w:t>Literatur</w:t>
      </w:r>
      <w:proofErr w:type="spellEnd"/>
      <w:r w:rsidRPr="005A3D38">
        <w:rPr>
          <w:b/>
          <w:i/>
          <w:sz w:val="22"/>
          <w:szCs w:val="22"/>
          <w:lang w:val="en-US"/>
        </w:rPr>
        <w:t>:</w:t>
      </w:r>
      <w:r w:rsidRPr="005A3D38">
        <w:rPr>
          <w:b/>
          <w:spacing w:val="-3"/>
          <w:sz w:val="22"/>
          <w:szCs w:val="22"/>
          <w:lang w:val="en-US"/>
        </w:rPr>
        <w:t xml:space="preserve"> </w:t>
      </w:r>
      <w:r w:rsidRPr="005A3D38">
        <w:rPr>
          <w:sz w:val="22"/>
          <w:szCs w:val="22"/>
          <w:lang w:val="en-US"/>
        </w:rPr>
        <w:t>Alwin,</w:t>
      </w:r>
      <w:r w:rsidRPr="005A3D38">
        <w:rPr>
          <w:spacing w:val="-2"/>
          <w:sz w:val="22"/>
          <w:szCs w:val="22"/>
          <w:lang w:val="en-US"/>
        </w:rPr>
        <w:t xml:space="preserve"> </w:t>
      </w:r>
      <w:r w:rsidRPr="005A3D38">
        <w:rPr>
          <w:sz w:val="22"/>
          <w:szCs w:val="22"/>
          <w:lang w:val="en-US"/>
        </w:rPr>
        <w:t>D.F. (1986):</w:t>
      </w:r>
      <w:r w:rsidRPr="005A3D38">
        <w:rPr>
          <w:spacing w:val="-2"/>
          <w:sz w:val="22"/>
          <w:szCs w:val="22"/>
          <w:lang w:val="en-US"/>
        </w:rPr>
        <w:t xml:space="preserve"> </w:t>
      </w:r>
      <w:r w:rsidRPr="005A3D38">
        <w:rPr>
          <w:sz w:val="22"/>
          <w:szCs w:val="22"/>
          <w:lang w:val="en-US"/>
        </w:rPr>
        <w:t>Religion</w:t>
      </w:r>
      <w:r w:rsidRPr="005A3D38">
        <w:rPr>
          <w:spacing w:val="-2"/>
          <w:sz w:val="22"/>
          <w:szCs w:val="22"/>
          <w:lang w:val="en-US"/>
        </w:rPr>
        <w:t xml:space="preserve"> </w:t>
      </w:r>
      <w:r w:rsidRPr="005A3D38">
        <w:rPr>
          <w:sz w:val="22"/>
          <w:szCs w:val="22"/>
          <w:lang w:val="en-US"/>
        </w:rPr>
        <w:t>and Parental</w:t>
      </w:r>
      <w:r w:rsidRPr="005A3D38">
        <w:rPr>
          <w:spacing w:val="-2"/>
          <w:sz w:val="22"/>
          <w:szCs w:val="22"/>
          <w:lang w:val="en-US"/>
        </w:rPr>
        <w:t xml:space="preserve"> </w:t>
      </w:r>
      <w:r w:rsidRPr="005A3D38">
        <w:rPr>
          <w:sz w:val="22"/>
          <w:szCs w:val="22"/>
          <w:lang w:val="en-US"/>
        </w:rPr>
        <w:t>Child-Rearing Orientations.</w:t>
      </w:r>
      <w:r w:rsidRPr="005A3D38">
        <w:rPr>
          <w:spacing w:val="-2"/>
          <w:sz w:val="22"/>
          <w:szCs w:val="22"/>
          <w:lang w:val="en-US"/>
        </w:rPr>
        <w:t xml:space="preserve"> </w:t>
      </w:r>
      <w:r w:rsidRPr="005A3D38">
        <w:rPr>
          <w:sz w:val="22"/>
          <w:szCs w:val="22"/>
          <w:lang w:val="en-US"/>
        </w:rPr>
        <w:t>Evidence</w:t>
      </w:r>
      <w:r w:rsidRPr="005A3D38">
        <w:rPr>
          <w:spacing w:val="40"/>
          <w:sz w:val="22"/>
          <w:szCs w:val="22"/>
          <w:lang w:val="en-US"/>
        </w:rPr>
        <w:t xml:space="preserve"> </w:t>
      </w:r>
      <w:r w:rsidRPr="005A3D38">
        <w:rPr>
          <w:sz w:val="22"/>
          <w:szCs w:val="22"/>
          <w:lang w:val="en-US"/>
        </w:rPr>
        <w:t>of a Catholic-Protestant Convergence, American Journal of Sociology, 92(2): 412-440.</w:t>
      </w:r>
      <w:r w:rsidRPr="005A3D38">
        <w:rPr>
          <w:spacing w:val="40"/>
          <w:sz w:val="22"/>
          <w:szCs w:val="22"/>
          <w:lang w:val="en-US"/>
        </w:rPr>
        <w:t xml:space="preserve"> </w:t>
      </w:r>
      <w:r w:rsidRPr="005A3D38">
        <w:rPr>
          <w:sz w:val="22"/>
          <w:szCs w:val="22"/>
          <w:lang w:val="en-US"/>
        </w:rPr>
        <w:t>Gelbrich, K.; Müller, S. (2023): Interreligöses Marketing, Berlin: de Gruyter.</w:t>
      </w:r>
      <w:r w:rsidRPr="005A3D38">
        <w:rPr>
          <w:spacing w:val="80"/>
          <w:sz w:val="22"/>
          <w:szCs w:val="22"/>
          <w:lang w:val="en-US"/>
        </w:rPr>
        <w:t xml:space="preserve"> </w:t>
      </w:r>
      <w:r w:rsidRPr="005A3D38">
        <w:rPr>
          <w:sz w:val="22"/>
          <w:szCs w:val="22"/>
          <w:lang w:val="en-US"/>
        </w:rPr>
        <w:t>Granato, J.; Inglehart, R.; Leblang, D. (1996): The Effect of</w:t>
      </w:r>
      <w:r w:rsidRPr="005A3D38">
        <w:rPr>
          <w:spacing w:val="40"/>
          <w:sz w:val="22"/>
          <w:szCs w:val="22"/>
          <w:lang w:val="en-US"/>
        </w:rPr>
        <w:t xml:space="preserve"> </w:t>
      </w:r>
      <w:r w:rsidRPr="005A3D38">
        <w:rPr>
          <w:sz w:val="22"/>
          <w:szCs w:val="22"/>
          <w:lang w:val="en-US"/>
        </w:rPr>
        <w:t>Cultural</w:t>
      </w:r>
      <w:r w:rsidRPr="005A3D38">
        <w:rPr>
          <w:spacing w:val="-10"/>
          <w:sz w:val="22"/>
          <w:szCs w:val="22"/>
          <w:lang w:val="en-US"/>
        </w:rPr>
        <w:t xml:space="preserve"> </w:t>
      </w:r>
      <w:r w:rsidRPr="005A3D38">
        <w:rPr>
          <w:sz w:val="22"/>
          <w:szCs w:val="22"/>
          <w:lang w:val="en-US"/>
        </w:rPr>
        <w:t>Values</w:t>
      </w:r>
      <w:r w:rsidRPr="005A3D38">
        <w:rPr>
          <w:spacing w:val="-10"/>
          <w:sz w:val="22"/>
          <w:szCs w:val="22"/>
          <w:lang w:val="en-US"/>
        </w:rPr>
        <w:t xml:space="preserve"> </w:t>
      </w:r>
      <w:r w:rsidRPr="005A3D38">
        <w:rPr>
          <w:sz w:val="22"/>
          <w:szCs w:val="22"/>
          <w:lang w:val="en-US"/>
        </w:rPr>
        <w:t>on</w:t>
      </w:r>
      <w:r w:rsidRPr="005A3D38">
        <w:rPr>
          <w:spacing w:val="-10"/>
          <w:sz w:val="22"/>
          <w:szCs w:val="22"/>
          <w:lang w:val="en-US"/>
        </w:rPr>
        <w:t xml:space="preserve"> </w:t>
      </w:r>
      <w:r w:rsidRPr="005A3D38">
        <w:rPr>
          <w:sz w:val="22"/>
          <w:szCs w:val="22"/>
          <w:lang w:val="en-US"/>
        </w:rPr>
        <w:t>Economic</w:t>
      </w:r>
      <w:r w:rsidRPr="005A3D38">
        <w:rPr>
          <w:spacing w:val="-10"/>
          <w:sz w:val="22"/>
          <w:szCs w:val="22"/>
          <w:lang w:val="en-US"/>
        </w:rPr>
        <w:t xml:space="preserve"> </w:t>
      </w:r>
      <w:r w:rsidRPr="005A3D38">
        <w:rPr>
          <w:sz w:val="22"/>
          <w:szCs w:val="22"/>
          <w:lang w:val="en-US"/>
        </w:rPr>
        <w:t>Development.</w:t>
      </w:r>
      <w:r w:rsidRPr="005A3D38">
        <w:rPr>
          <w:spacing w:val="-10"/>
          <w:sz w:val="22"/>
          <w:szCs w:val="22"/>
          <w:lang w:val="en-US"/>
        </w:rPr>
        <w:t xml:space="preserve"> </w:t>
      </w:r>
      <w:r w:rsidRPr="005A3D38">
        <w:rPr>
          <w:sz w:val="22"/>
          <w:szCs w:val="22"/>
          <w:lang w:val="en-US"/>
        </w:rPr>
        <w:t>Theory,</w:t>
      </w:r>
      <w:r w:rsidRPr="005A3D38">
        <w:rPr>
          <w:spacing w:val="-10"/>
          <w:sz w:val="22"/>
          <w:szCs w:val="22"/>
          <w:lang w:val="en-US"/>
        </w:rPr>
        <w:t xml:space="preserve"> </w:t>
      </w:r>
      <w:r w:rsidRPr="005A3D38">
        <w:rPr>
          <w:sz w:val="22"/>
          <w:szCs w:val="22"/>
          <w:lang w:val="en-US"/>
        </w:rPr>
        <w:t>Hypotheses,</w:t>
      </w:r>
      <w:r w:rsidRPr="005A3D38">
        <w:rPr>
          <w:spacing w:val="-10"/>
          <w:sz w:val="22"/>
          <w:szCs w:val="22"/>
          <w:lang w:val="en-US"/>
        </w:rPr>
        <w:t xml:space="preserve"> </w:t>
      </w:r>
      <w:r w:rsidRPr="005A3D38">
        <w:rPr>
          <w:sz w:val="22"/>
          <w:szCs w:val="22"/>
          <w:lang w:val="en-US"/>
        </w:rPr>
        <w:t>and</w:t>
      </w:r>
      <w:r w:rsidRPr="005A3D38">
        <w:rPr>
          <w:spacing w:val="-10"/>
          <w:sz w:val="22"/>
          <w:szCs w:val="22"/>
          <w:lang w:val="en-US"/>
        </w:rPr>
        <w:t xml:space="preserve"> </w:t>
      </w:r>
      <w:r w:rsidRPr="005A3D38">
        <w:rPr>
          <w:sz w:val="22"/>
          <w:szCs w:val="22"/>
          <w:lang w:val="en-US"/>
        </w:rPr>
        <w:t>Some</w:t>
      </w:r>
      <w:r w:rsidRPr="005A3D38">
        <w:rPr>
          <w:spacing w:val="-10"/>
          <w:sz w:val="22"/>
          <w:szCs w:val="22"/>
          <w:lang w:val="en-US"/>
        </w:rPr>
        <w:t xml:space="preserve"> </w:t>
      </w:r>
      <w:r w:rsidRPr="005A3D38">
        <w:rPr>
          <w:sz w:val="22"/>
          <w:szCs w:val="22"/>
          <w:lang w:val="en-US"/>
        </w:rPr>
        <w:t>Empirical</w:t>
      </w:r>
      <w:r w:rsidRPr="005A3D38">
        <w:rPr>
          <w:spacing w:val="-10"/>
          <w:sz w:val="22"/>
          <w:szCs w:val="22"/>
          <w:lang w:val="en-US"/>
        </w:rPr>
        <w:t xml:space="preserve"> </w:t>
      </w:r>
      <w:r w:rsidRPr="005A3D38">
        <w:rPr>
          <w:sz w:val="22"/>
          <w:szCs w:val="22"/>
          <w:lang w:val="en-US"/>
        </w:rPr>
        <w:t>Tests,</w:t>
      </w:r>
      <w:r w:rsidRPr="005A3D38">
        <w:rPr>
          <w:spacing w:val="40"/>
          <w:sz w:val="22"/>
          <w:szCs w:val="22"/>
          <w:lang w:val="en-US"/>
        </w:rPr>
        <w:t xml:space="preserve"> </w:t>
      </w:r>
      <w:r w:rsidRPr="005A3D38">
        <w:rPr>
          <w:sz w:val="22"/>
          <w:szCs w:val="22"/>
          <w:lang w:val="en-US"/>
        </w:rPr>
        <w:t>American Journal of Political Science, 40(3): 607-631.</w:t>
      </w:r>
      <w:r w:rsidRPr="005A3D38">
        <w:rPr>
          <w:spacing w:val="80"/>
          <w:sz w:val="22"/>
          <w:szCs w:val="22"/>
          <w:lang w:val="en-US"/>
        </w:rPr>
        <w:t xml:space="preserve"> </w:t>
      </w:r>
      <w:r w:rsidRPr="005A3D38">
        <w:rPr>
          <w:sz w:val="22"/>
          <w:szCs w:val="22"/>
          <w:lang w:val="en-US"/>
        </w:rPr>
        <w:t>Inglehart, R. (1977): The Silent</w:t>
      </w:r>
      <w:r w:rsidRPr="005A3D38">
        <w:rPr>
          <w:spacing w:val="40"/>
          <w:sz w:val="22"/>
          <w:szCs w:val="22"/>
          <w:lang w:val="en-US"/>
        </w:rPr>
        <w:t xml:space="preserve"> </w:t>
      </w:r>
      <w:r w:rsidRPr="005A3D38">
        <w:rPr>
          <w:sz w:val="22"/>
          <w:szCs w:val="22"/>
          <w:lang w:val="en-US"/>
        </w:rPr>
        <w:t>Revolution. Changing Values and Political Styles among Western Publics, Princeton/NJ:</w:t>
      </w:r>
      <w:r w:rsidRPr="005A3D38">
        <w:rPr>
          <w:spacing w:val="40"/>
          <w:sz w:val="22"/>
          <w:szCs w:val="22"/>
          <w:lang w:val="en-US"/>
        </w:rPr>
        <w:t xml:space="preserve"> </w:t>
      </w:r>
      <w:r w:rsidRPr="005A3D38">
        <w:rPr>
          <w:sz w:val="22"/>
          <w:szCs w:val="22"/>
          <w:lang w:val="en-US"/>
        </w:rPr>
        <w:t>Princeton University Press.</w:t>
      </w:r>
      <w:r w:rsidRPr="005A3D38">
        <w:rPr>
          <w:spacing w:val="80"/>
          <w:sz w:val="22"/>
          <w:szCs w:val="22"/>
          <w:lang w:val="en-US"/>
        </w:rPr>
        <w:t xml:space="preserve"> </w:t>
      </w:r>
      <w:r w:rsidRPr="005A3D38">
        <w:rPr>
          <w:sz w:val="22"/>
          <w:szCs w:val="22"/>
          <w:lang w:val="en-US"/>
        </w:rPr>
        <w:t>Inglehart, R. (1997): Modernization and Postmodernization.</w:t>
      </w:r>
      <w:r w:rsidRPr="005A3D38">
        <w:rPr>
          <w:spacing w:val="40"/>
          <w:sz w:val="22"/>
          <w:szCs w:val="22"/>
          <w:lang w:val="en-US"/>
        </w:rPr>
        <w:t xml:space="preserve"> </w:t>
      </w:r>
      <w:r w:rsidRPr="005A3D38">
        <w:rPr>
          <w:sz w:val="22"/>
          <w:szCs w:val="22"/>
          <w:lang w:val="en-US"/>
        </w:rPr>
        <w:t>Cultural, Economic and Political Changes in 43 Societies, Princeton/NJ: Princeton</w:t>
      </w:r>
      <w:r w:rsidRPr="005A3D38">
        <w:rPr>
          <w:spacing w:val="40"/>
          <w:sz w:val="22"/>
          <w:szCs w:val="22"/>
          <w:lang w:val="en-US"/>
        </w:rPr>
        <w:t xml:space="preserve"> </w:t>
      </w:r>
      <w:r w:rsidRPr="005A3D38">
        <w:rPr>
          <w:sz w:val="22"/>
          <w:szCs w:val="22"/>
          <w:lang w:val="en-US"/>
        </w:rPr>
        <w:t>University Press.</w:t>
      </w:r>
      <w:r w:rsidRPr="005A3D38">
        <w:rPr>
          <w:spacing w:val="80"/>
          <w:sz w:val="22"/>
          <w:szCs w:val="22"/>
          <w:lang w:val="en-US"/>
        </w:rPr>
        <w:t xml:space="preserve"> </w:t>
      </w:r>
      <w:r w:rsidRPr="005A3D38">
        <w:rPr>
          <w:sz w:val="22"/>
          <w:szCs w:val="22"/>
        </w:rPr>
        <w:t>Inglehart, R. (1998): Modernisierung und Postmodernisierung.</w:t>
      </w:r>
      <w:r w:rsidRPr="005A3D38">
        <w:rPr>
          <w:spacing w:val="40"/>
          <w:sz w:val="22"/>
          <w:szCs w:val="22"/>
        </w:rPr>
        <w:t xml:space="preserve"> </w:t>
      </w:r>
      <w:r w:rsidRPr="005A3D38">
        <w:rPr>
          <w:sz w:val="22"/>
          <w:szCs w:val="22"/>
        </w:rPr>
        <w:t>Kultureller, wirtschaftlicher und politischer Wandel in 43 Gesellschaften, Frankfurt/Main:</w:t>
      </w:r>
      <w:r w:rsidRPr="005A3D38">
        <w:rPr>
          <w:spacing w:val="40"/>
          <w:sz w:val="22"/>
          <w:szCs w:val="22"/>
        </w:rPr>
        <w:t xml:space="preserve"> </w:t>
      </w:r>
      <w:r w:rsidRPr="005A3D38">
        <w:rPr>
          <w:sz w:val="22"/>
          <w:szCs w:val="22"/>
        </w:rPr>
        <w:t>Campus.</w:t>
      </w:r>
      <w:r w:rsidRPr="005A3D38">
        <w:rPr>
          <w:spacing w:val="76"/>
          <w:sz w:val="22"/>
          <w:szCs w:val="22"/>
        </w:rPr>
        <w:t xml:space="preserve"> </w:t>
      </w:r>
      <w:r w:rsidRPr="005A3D38">
        <w:rPr>
          <w:sz w:val="22"/>
          <w:szCs w:val="22"/>
          <w:lang w:val="en-US"/>
        </w:rPr>
        <w:t>Lenski,</w:t>
      </w:r>
      <w:r w:rsidRPr="005A3D38">
        <w:rPr>
          <w:spacing w:val="-10"/>
          <w:sz w:val="22"/>
          <w:szCs w:val="22"/>
          <w:lang w:val="en-US"/>
        </w:rPr>
        <w:t xml:space="preserve"> </w:t>
      </w:r>
      <w:r w:rsidRPr="005A3D38">
        <w:rPr>
          <w:sz w:val="22"/>
          <w:szCs w:val="22"/>
          <w:lang w:val="en-US"/>
        </w:rPr>
        <w:t>G.</w:t>
      </w:r>
      <w:r w:rsidRPr="005A3D38">
        <w:rPr>
          <w:spacing w:val="-10"/>
          <w:sz w:val="22"/>
          <w:szCs w:val="22"/>
          <w:lang w:val="en-US"/>
        </w:rPr>
        <w:t xml:space="preserve"> </w:t>
      </w:r>
      <w:r w:rsidRPr="005A3D38">
        <w:rPr>
          <w:sz w:val="22"/>
          <w:szCs w:val="22"/>
          <w:lang w:val="en-US"/>
        </w:rPr>
        <w:t>(1963):</w:t>
      </w:r>
      <w:r w:rsidRPr="005A3D38">
        <w:rPr>
          <w:spacing w:val="-10"/>
          <w:sz w:val="22"/>
          <w:szCs w:val="22"/>
          <w:lang w:val="en-US"/>
        </w:rPr>
        <w:t xml:space="preserve"> </w:t>
      </w:r>
      <w:r w:rsidRPr="005A3D38">
        <w:rPr>
          <w:sz w:val="22"/>
          <w:szCs w:val="22"/>
          <w:lang w:val="en-US"/>
        </w:rPr>
        <w:t>Religions</w:t>
      </w:r>
      <w:r w:rsidRPr="005A3D38">
        <w:rPr>
          <w:spacing w:val="-9"/>
          <w:sz w:val="22"/>
          <w:szCs w:val="22"/>
          <w:lang w:val="en-US"/>
        </w:rPr>
        <w:t xml:space="preserve"> </w:t>
      </w:r>
      <w:r w:rsidRPr="005A3D38">
        <w:rPr>
          <w:sz w:val="22"/>
          <w:szCs w:val="22"/>
          <w:lang w:val="en-US"/>
        </w:rPr>
        <w:t>Impact</w:t>
      </w:r>
      <w:r w:rsidRPr="005A3D38">
        <w:rPr>
          <w:spacing w:val="-10"/>
          <w:sz w:val="22"/>
          <w:szCs w:val="22"/>
          <w:lang w:val="en-US"/>
        </w:rPr>
        <w:t xml:space="preserve"> </w:t>
      </w:r>
      <w:r w:rsidRPr="005A3D38">
        <w:rPr>
          <w:sz w:val="22"/>
          <w:szCs w:val="22"/>
          <w:lang w:val="en-US"/>
        </w:rPr>
        <w:t>on</w:t>
      </w:r>
      <w:r w:rsidRPr="005A3D38">
        <w:rPr>
          <w:spacing w:val="-10"/>
          <w:sz w:val="22"/>
          <w:szCs w:val="22"/>
          <w:lang w:val="en-US"/>
        </w:rPr>
        <w:t xml:space="preserve"> </w:t>
      </w:r>
      <w:r w:rsidRPr="005A3D38">
        <w:rPr>
          <w:sz w:val="22"/>
          <w:szCs w:val="22"/>
          <w:lang w:val="en-US"/>
        </w:rPr>
        <w:t>Daily</w:t>
      </w:r>
      <w:r w:rsidRPr="005A3D38">
        <w:rPr>
          <w:spacing w:val="-10"/>
          <w:sz w:val="22"/>
          <w:szCs w:val="22"/>
          <w:lang w:val="en-US"/>
        </w:rPr>
        <w:t xml:space="preserve"> </w:t>
      </w:r>
      <w:r w:rsidRPr="005A3D38">
        <w:rPr>
          <w:sz w:val="22"/>
          <w:szCs w:val="22"/>
          <w:lang w:val="en-US"/>
        </w:rPr>
        <w:t>Life,</w:t>
      </w:r>
      <w:r w:rsidRPr="005A3D38">
        <w:rPr>
          <w:spacing w:val="-10"/>
          <w:sz w:val="22"/>
          <w:szCs w:val="22"/>
          <w:lang w:val="en-US"/>
        </w:rPr>
        <w:t xml:space="preserve"> </w:t>
      </w:r>
      <w:r w:rsidRPr="005A3D38">
        <w:rPr>
          <w:sz w:val="22"/>
          <w:szCs w:val="22"/>
          <w:lang w:val="en-US"/>
        </w:rPr>
        <w:t>Bulletin:</w:t>
      </w:r>
      <w:r w:rsidRPr="005A3D38">
        <w:rPr>
          <w:spacing w:val="-10"/>
          <w:sz w:val="22"/>
          <w:szCs w:val="22"/>
          <w:lang w:val="en-US"/>
        </w:rPr>
        <w:t xml:space="preserve"> </w:t>
      </w:r>
      <w:r w:rsidRPr="005A3D38">
        <w:rPr>
          <w:sz w:val="22"/>
          <w:szCs w:val="22"/>
          <w:lang w:val="en-US"/>
        </w:rPr>
        <w:t>Gettysburg</w:t>
      </w:r>
      <w:r w:rsidRPr="005A3D38">
        <w:rPr>
          <w:spacing w:val="-10"/>
          <w:sz w:val="22"/>
          <w:szCs w:val="22"/>
          <w:lang w:val="en-US"/>
        </w:rPr>
        <w:t xml:space="preserve"> </w:t>
      </w:r>
      <w:r w:rsidRPr="005A3D38">
        <w:rPr>
          <w:sz w:val="22"/>
          <w:szCs w:val="22"/>
          <w:lang w:val="en-US"/>
        </w:rPr>
        <w:t>Seminary,</w:t>
      </w:r>
      <w:r w:rsidRPr="005A3D38">
        <w:rPr>
          <w:spacing w:val="40"/>
          <w:sz w:val="22"/>
          <w:szCs w:val="22"/>
          <w:lang w:val="en-US"/>
        </w:rPr>
        <w:t xml:space="preserve"> </w:t>
      </w:r>
      <w:r w:rsidRPr="005A3D38">
        <w:rPr>
          <w:sz w:val="22"/>
          <w:szCs w:val="22"/>
          <w:lang w:val="en-US"/>
        </w:rPr>
        <w:t>43: 25-36.</w:t>
      </w:r>
      <w:r w:rsidRPr="005A3D38">
        <w:rPr>
          <w:spacing w:val="80"/>
          <w:sz w:val="22"/>
          <w:szCs w:val="22"/>
          <w:lang w:val="en-US"/>
        </w:rPr>
        <w:t xml:space="preserve"> </w:t>
      </w:r>
      <w:r w:rsidRPr="005A3D38">
        <w:rPr>
          <w:sz w:val="22"/>
          <w:szCs w:val="22"/>
          <w:lang w:val="en-US"/>
        </w:rPr>
        <w:t>Lenski, G. (1967): Status Inconsistency and the Vote. A Four Nation Test,</w:t>
      </w:r>
      <w:r w:rsidRPr="005A3D38">
        <w:rPr>
          <w:spacing w:val="40"/>
          <w:sz w:val="22"/>
          <w:szCs w:val="22"/>
          <w:lang w:val="en-US"/>
        </w:rPr>
        <w:t xml:space="preserve"> </w:t>
      </w:r>
      <w:r w:rsidRPr="005A3D38">
        <w:rPr>
          <w:sz w:val="22"/>
          <w:szCs w:val="22"/>
          <w:lang w:val="en-US"/>
        </w:rPr>
        <w:t>American Sociological Review, 32(2): 298-301. McClelland, D.C.; Atkinson, J.W.; Clark,</w:t>
      </w:r>
      <w:r w:rsidRPr="005A3D38">
        <w:rPr>
          <w:spacing w:val="40"/>
          <w:sz w:val="22"/>
          <w:szCs w:val="22"/>
          <w:lang w:val="en-US"/>
        </w:rPr>
        <w:t xml:space="preserve"> </w:t>
      </w:r>
      <w:r w:rsidRPr="005A3D38">
        <w:rPr>
          <w:sz w:val="22"/>
          <w:szCs w:val="22"/>
          <w:lang w:val="en-US"/>
        </w:rPr>
        <w:t>R.W.; Lowell, E.L. (1953): The Achievement Motive, Princeton/NY: Appleton-Century-</w:t>
      </w:r>
      <w:r w:rsidRPr="005A3D38">
        <w:rPr>
          <w:spacing w:val="40"/>
          <w:sz w:val="22"/>
          <w:szCs w:val="22"/>
          <w:lang w:val="en-US"/>
        </w:rPr>
        <w:t xml:space="preserve"> </w:t>
      </w:r>
      <w:r w:rsidRPr="005A3D38">
        <w:rPr>
          <w:sz w:val="22"/>
          <w:szCs w:val="22"/>
          <w:lang w:val="en-US"/>
        </w:rPr>
        <w:t>Crofts.</w:t>
      </w:r>
      <w:r w:rsidRPr="005A3D38">
        <w:rPr>
          <w:spacing w:val="80"/>
          <w:sz w:val="22"/>
          <w:szCs w:val="22"/>
          <w:lang w:val="en-US"/>
        </w:rPr>
        <w:t xml:space="preserve"> </w:t>
      </w:r>
      <w:r w:rsidRPr="005A3D38">
        <w:rPr>
          <w:sz w:val="22"/>
          <w:szCs w:val="22"/>
          <w:lang w:val="en-US"/>
        </w:rPr>
        <w:t>McClelland, D.C. (1961): The Achieving Society, 2nd Ed., Princeton/NY: Van</w:t>
      </w:r>
      <w:r w:rsidRPr="005A3D38">
        <w:rPr>
          <w:spacing w:val="40"/>
          <w:sz w:val="22"/>
          <w:szCs w:val="22"/>
          <w:lang w:val="en-US"/>
        </w:rPr>
        <w:t xml:space="preserve"> </w:t>
      </w:r>
      <w:r w:rsidRPr="005A3D38">
        <w:rPr>
          <w:sz w:val="22"/>
          <w:szCs w:val="22"/>
          <w:lang w:val="en-US"/>
        </w:rPr>
        <w:t>Nostrand.</w:t>
      </w:r>
      <w:r w:rsidRPr="005A3D38">
        <w:rPr>
          <w:spacing w:val="73"/>
          <w:sz w:val="22"/>
          <w:szCs w:val="22"/>
          <w:lang w:val="en-US"/>
        </w:rPr>
        <w:t xml:space="preserve"> </w:t>
      </w:r>
      <w:r w:rsidRPr="005A3D38">
        <w:rPr>
          <w:sz w:val="22"/>
          <w:szCs w:val="22"/>
        </w:rPr>
        <w:t>Müller,</w:t>
      </w:r>
      <w:r w:rsidRPr="005A3D38">
        <w:rPr>
          <w:spacing w:val="-10"/>
          <w:sz w:val="22"/>
          <w:szCs w:val="22"/>
        </w:rPr>
        <w:t xml:space="preserve"> </w:t>
      </w:r>
      <w:r w:rsidRPr="005A3D38">
        <w:rPr>
          <w:sz w:val="22"/>
          <w:szCs w:val="22"/>
        </w:rPr>
        <w:t>S.;</w:t>
      </w:r>
      <w:r w:rsidRPr="005A3D38">
        <w:rPr>
          <w:spacing w:val="-10"/>
          <w:sz w:val="22"/>
          <w:szCs w:val="22"/>
        </w:rPr>
        <w:t xml:space="preserve"> </w:t>
      </w:r>
      <w:r w:rsidRPr="005A3D38">
        <w:rPr>
          <w:sz w:val="22"/>
          <w:szCs w:val="22"/>
        </w:rPr>
        <w:t>Kornmeier,</w:t>
      </w:r>
      <w:r w:rsidRPr="005A3D38">
        <w:rPr>
          <w:spacing w:val="-10"/>
          <w:sz w:val="22"/>
          <w:szCs w:val="22"/>
        </w:rPr>
        <w:t xml:space="preserve"> </w:t>
      </w:r>
      <w:r w:rsidRPr="005A3D38">
        <w:rPr>
          <w:sz w:val="22"/>
          <w:szCs w:val="22"/>
        </w:rPr>
        <w:t>M.</w:t>
      </w:r>
      <w:r w:rsidRPr="005A3D38">
        <w:rPr>
          <w:spacing w:val="-10"/>
          <w:sz w:val="22"/>
          <w:szCs w:val="22"/>
        </w:rPr>
        <w:t xml:space="preserve"> </w:t>
      </w:r>
      <w:r w:rsidRPr="005A3D38">
        <w:rPr>
          <w:sz w:val="22"/>
          <w:szCs w:val="22"/>
        </w:rPr>
        <w:t>(2000):</w:t>
      </w:r>
      <w:r w:rsidRPr="005A3D38">
        <w:rPr>
          <w:spacing w:val="-8"/>
          <w:sz w:val="22"/>
          <w:szCs w:val="22"/>
        </w:rPr>
        <w:t xml:space="preserve"> </w:t>
      </w:r>
      <w:r w:rsidRPr="005A3D38">
        <w:rPr>
          <w:sz w:val="22"/>
          <w:szCs w:val="22"/>
        </w:rPr>
        <w:t>Internationale</w:t>
      </w:r>
      <w:r w:rsidRPr="005A3D38">
        <w:rPr>
          <w:spacing w:val="-10"/>
          <w:sz w:val="22"/>
          <w:szCs w:val="22"/>
        </w:rPr>
        <w:t xml:space="preserve"> </w:t>
      </w:r>
      <w:r w:rsidRPr="005A3D38">
        <w:rPr>
          <w:sz w:val="22"/>
          <w:szCs w:val="22"/>
        </w:rPr>
        <w:t>Wettbewerbsfähigkeit.</w:t>
      </w:r>
      <w:r w:rsidRPr="005A3D38">
        <w:rPr>
          <w:spacing w:val="-10"/>
          <w:sz w:val="22"/>
          <w:szCs w:val="22"/>
        </w:rPr>
        <w:t xml:space="preserve"> </w:t>
      </w:r>
      <w:r w:rsidRPr="005A3D38">
        <w:rPr>
          <w:sz w:val="22"/>
          <w:szCs w:val="22"/>
        </w:rPr>
        <w:t>Irrungen</w:t>
      </w:r>
      <w:r w:rsidRPr="005A3D38">
        <w:rPr>
          <w:spacing w:val="40"/>
          <w:sz w:val="22"/>
          <w:szCs w:val="22"/>
        </w:rPr>
        <w:t xml:space="preserve"> </w:t>
      </w:r>
      <w:r w:rsidRPr="005A3D38">
        <w:rPr>
          <w:sz w:val="22"/>
          <w:szCs w:val="22"/>
        </w:rPr>
        <w:t>und Wirrungen der Standort-Diskussion, München: Vahlen.</w:t>
      </w:r>
    </w:p>
    <w:p w14:paraId="0C5928A8" w14:textId="77777777" w:rsidR="00FF7799" w:rsidRPr="00E73F6F" w:rsidRDefault="00FF7799" w:rsidP="00247954">
      <w:pPr>
        <w:pStyle w:val="StandardText"/>
      </w:pPr>
    </w:p>
    <w:p w14:paraId="53796A01" w14:textId="77777777" w:rsidR="00FF7799" w:rsidRPr="00685E66" w:rsidRDefault="00FF7799" w:rsidP="00101CE0">
      <w:pPr>
        <w:pStyle w:val="berschrift1"/>
        <w:rPr>
          <w:color w:val="2E74B5"/>
        </w:rPr>
      </w:pPr>
      <w:r w:rsidRPr="00685E66">
        <w:rPr>
          <w:color w:val="2E74B5"/>
        </w:rPr>
        <w:t>Preisdifferenzierung</w:t>
      </w:r>
    </w:p>
    <w:p w14:paraId="73E4924F" w14:textId="77777777" w:rsidR="00FF7799" w:rsidRPr="00E73F6F" w:rsidRDefault="00FF7799" w:rsidP="00247954">
      <w:pPr>
        <w:pStyle w:val="StandardText"/>
      </w:pPr>
      <w:r w:rsidRPr="00E73F6F">
        <w:lastRenderedPageBreak/>
        <w:t>Preisstrategie, welche dem Umstand Rechnung trägt, dass verschiedene Käufer bereit</w:t>
      </w:r>
      <w:r w:rsidRPr="00E73F6F">
        <w:rPr>
          <w:spacing w:val="-10"/>
        </w:rPr>
        <w:t xml:space="preserve"> </w:t>
      </w:r>
      <w:r w:rsidRPr="00E73F6F">
        <w:t>sind,</w:t>
      </w:r>
      <w:r w:rsidRPr="00E73F6F">
        <w:rPr>
          <w:spacing w:val="-10"/>
        </w:rPr>
        <w:t xml:space="preserve"> </w:t>
      </w:r>
      <w:r w:rsidRPr="00E73F6F">
        <w:t>für</w:t>
      </w:r>
      <w:r w:rsidRPr="00E73F6F">
        <w:rPr>
          <w:spacing w:val="-10"/>
        </w:rPr>
        <w:t xml:space="preserve"> </w:t>
      </w:r>
      <w:r w:rsidRPr="00E73F6F">
        <w:t>ein</w:t>
      </w:r>
      <w:r w:rsidRPr="00E73F6F">
        <w:rPr>
          <w:spacing w:val="-11"/>
        </w:rPr>
        <w:t xml:space="preserve"> </w:t>
      </w:r>
      <w:r w:rsidRPr="00E73F6F">
        <w:t>und</w:t>
      </w:r>
      <w:r w:rsidRPr="00E73F6F">
        <w:rPr>
          <w:spacing w:val="-9"/>
        </w:rPr>
        <w:t xml:space="preserve"> </w:t>
      </w:r>
      <w:r w:rsidRPr="00E73F6F">
        <w:t>dasselbe</w:t>
      </w:r>
      <w:r w:rsidRPr="00E73F6F">
        <w:rPr>
          <w:spacing w:val="-11"/>
        </w:rPr>
        <w:t xml:space="preserve"> </w:t>
      </w:r>
      <w:r w:rsidRPr="00E73F6F">
        <w:t>Produkt</w:t>
      </w:r>
      <w:r w:rsidRPr="00E73F6F">
        <w:rPr>
          <w:spacing w:val="-12"/>
        </w:rPr>
        <w:t xml:space="preserve"> </w:t>
      </w:r>
      <w:r w:rsidRPr="00E73F6F">
        <w:t>unterschiedlich</w:t>
      </w:r>
      <w:r w:rsidRPr="00E73F6F">
        <w:rPr>
          <w:spacing w:val="-8"/>
        </w:rPr>
        <w:t xml:space="preserve"> </w:t>
      </w:r>
      <w:r w:rsidRPr="00E73F6F">
        <w:t>zu</w:t>
      </w:r>
      <w:r w:rsidRPr="00E73F6F">
        <w:rPr>
          <w:spacing w:val="-9"/>
        </w:rPr>
        <w:t xml:space="preserve"> </w:t>
      </w:r>
      <w:r w:rsidRPr="00E73F6F">
        <w:t>bezahlen.</w:t>
      </w:r>
      <w:r w:rsidRPr="00E73F6F">
        <w:rPr>
          <w:spacing w:val="-10"/>
        </w:rPr>
        <w:t xml:space="preserve"> </w:t>
      </w:r>
      <w:r w:rsidRPr="00E73F6F">
        <w:t>Diller</w:t>
      </w:r>
      <w:r w:rsidRPr="00E73F6F">
        <w:rPr>
          <w:spacing w:val="-10"/>
        </w:rPr>
        <w:t xml:space="preserve"> </w:t>
      </w:r>
      <w:r w:rsidRPr="00E73F6F">
        <w:t>(2008, S.227ff.) unterscheidet drei Formen der Preisdifferenzierung.</w:t>
      </w:r>
    </w:p>
    <w:p w14:paraId="22CDDAC2" w14:textId="77777777" w:rsidR="00FF7799" w:rsidRPr="00E73F6F" w:rsidRDefault="00FF7799" w:rsidP="00247954">
      <w:pPr>
        <w:pStyle w:val="StandardText"/>
      </w:pPr>
    </w:p>
    <w:p w14:paraId="4E4E1A45" w14:textId="77777777" w:rsidR="00FF7799" w:rsidRPr="005A3D38" w:rsidRDefault="00FF7799" w:rsidP="00247954">
      <w:pPr>
        <w:pStyle w:val="StandardTextkursiv"/>
        <w:rPr>
          <w:i w:val="0"/>
        </w:rPr>
      </w:pPr>
      <w:r w:rsidRPr="005A3D38">
        <w:rPr>
          <w:i w:val="0"/>
        </w:rPr>
        <w:t>1 Überblick</w:t>
      </w:r>
    </w:p>
    <w:p w14:paraId="2552A215" w14:textId="77777777" w:rsidR="00FF7799" w:rsidRPr="005A3D38" w:rsidRDefault="00FF7799" w:rsidP="00247954">
      <w:pPr>
        <w:pStyle w:val="StandardText"/>
      </w:pPr>
      <w:r w:rsidRPr="005A3D38">
        <w:t>Während beim „ersten Grad der Preisdifferenzierung“ versucht wird, bei jedem einzelnen Kunden durch Preisverhandlungen oder im Zuge einer Versteigerung exakt</w:t>
      </w:r>
      <w:r w:rsidRPr="005A3D38">
        <w:rPr>
          <w:spacing w:val="-6"/>
        </w:rPr>
        <w:t xml:space="preserve"> </w:t>
      </w:r>
      <w:r w:rsidRPr="005A3D38">
        <w:t>jenen</w:t>
      </w:r>
      <w:r w:rsidRPr="005A3D38">
        <w:rPr>
          <w:spacing w:val="-5"/>
        </w:rPr>
        <w:t xml:space="preserve"> </w:t>
      </w:r>
      <w:r w:rsidRPr="005A3D38">
        <w:t>Preis</w:t>
      </w:r>
      <w:r w:rsidRPr="005A3D38">
        <w:rPr>
          <w:spacing w:val="-6"/>
        </w:rPr>
        <w:t xml:space="preserve"> </w:t>
      </w:r>
      <w:r w:rsidRPr="005A3D38">
        <w:t>zu</w:t>
      </w:r>
      <w:r w:rsidRPr="005A3D38">
        <w:rPr>
          <w:spacing w:val="-5"/>
        </w:rPr>
        <w:t xml:space="preserve"> </w:t>
      </w:r>
      <w:r w:rsidRPr="005A3D38">
        <w:t>erzielen,</w:t>
      </w:r>
      <w:r w:rsidRPr="005A3D38">
        <w:rPr>
          <w:spacing w:val="-8"/>
        </w:rPr>
        <w:t xml:space="preserve"> </w:t>
      </w:r>
      <w:r w:rsidRPr="005A3D38">
        <w:t>der</w:t>
      </w:r>
      <w:r w:rsidRPr="005A3D38">
        <w:rPr>
          <w:spacing w:val="-6"/>
        </w:rPr>
        <w:t xml:space="preserve"> </w:t>
      </w:r>
      <w:r w:rsidRPr="005A3D38">
        <w:t>dessen</w:t>
      </w:r>
      <w:r w:rsidRPr="005A3D38">
        <w:rPr>
          <w:spacing w:val="-5"/>
        </w:rPr>
        <w:t xml:space="preserve"> </w:t>
      </w:r>
      <w:r w:rsidRPr="005A3D38">
        <w:t>individueller</w:t>
      </w:r>
      <w:r w:rsidRPr="005A3D38">
        <w:rPr>
          <w:spacing w:val="-6"/>
        </w:rPr>
        <w:t xml:space="preserve"> </w:t>
      </w:r>
      <w:r w:rsidRPr="005A3D38">
        <w:t>Preisbereitschaft</w:t>
      </w:r>
      <w:r w:rsidRPr="005A3D38">
        <w:rPr>
          <w:spacing w:val="-6"/>
        </w:rPr>
        <w:t xml:space="preserve"> </w:t>
      </w:r>
      <w:r w:rsidRPr="005A3D38">
        <w:t>entspricht, verkauft</w:t>
      </w:r>
      <w:r w:rsidRPr="005A3D38">
        <w:rPr>
          <w:spacing w:val="-7"/>
        </w:rPr>
        <w:t xml:space="preserve"> </w:t>
      </w:r>
      <w:r w:rsidRPr="005A3D38">
        <w:t>der</w:t>
      </w:r>
      <w:r w:rsidRPr="005A3D38">
        <w:rPr>
          <w:spacing w:val="-5"/>
        </w:rPr>
        <w:t xml:space="preserve"> </w:t>
      </w:r>
      <w:r w:rsidRPr="005A3D38">
        <w:t>Anbieter</w:t>
      </w:r>
      <w:r w:rsidRPr="005A3D38">
        <w:rPr>
          <w:spacing w:val="-5"/>
        </w:rPr>
        <w:t xml:space="preserve"> </w:t>
      </w:r>
      <w:r w:rsidRPr="005A3D38">
        <w:t>beim</w:t>
      </w:r>
      <w:r w:rsidRPr="005A3D38">
        <w:rPr>
          <w:spacing w:val="-6"/>
        </w:rPr>
        <w:t xml:space="preserve"> </w:t>
      </w:r>
      <w:r w:rsidRPr="005A3D38">
        <w:t>„zweiten</w:t>
      </w:r>
      <w:r w:rsidRPr="005A3D38">
        <w:rPr>
          <w:spacing w:val="-4"/>
        </w:rPr>
        <w:t xml:space="preserve"> </w:t>
      </w:r>
      <w:r w:rsidRPr="005A3D38">
        <w:t>Grad“</w:t>
      </w:r>
      <w:r w:rsidRPr="005A3D38">
        <w:rPr>
          <w:spacing w:val="-6"/>
        </w:rPr>
        <w:t xml:space="preserve"> </w:t>
      </w:r>
      <w:r w:rsidRPr="005A3D38">
        <w:t>seine</w:t>
      </w:r>
      <w:r w:rsidRPr="005A3D38">
        <w:rPr>
          <w:spacing w:val="-6"/>
        </w:rPr>
        <w:t xml:space="preserve"> </w:t>
      </w:r>
      <w:r w:rsidRPr="005A3D38">
        <w:t>Leistungen</w:t>
      </w:r>
      <w:r w:rsidRPr="005A3D38">
        <w:rPr>
          <w:spacing w:val="-4"/>
        </w:rPr>
        <w:t xml:space="preserve"> </w:t>
      </w:r>
      <w:r w:rsidRPr="005A3D38">
        <w:t>zu</w:t>
      </w:r>
      <w:r w:rsidRPr="005A3D38">
        <w:rPr>
          <w:spacing w:val="-4"/>
        </w:rPr>
        <w:t xml:space="preserve"> </w:t>
      </w:r>
      <w:r w:rsidRPr="005A3D38">
        <w:t>unterschiedlichen Preisen. Abhängig von spezifischen Randbedingungen (z.B. gekaufte Menge, Zeitpunkt des Kaufs bzw. der Bestellung, Verbundkauf) wählt der Kunde hierbei sein</w:t>
      </w:r>
      <w:r w:rsidRPr="005A3D38">
        <w:rPr>
          <w:spacing w:val="44"/>
        </w:rPr>
        <w:t xml:space="preserve"> </w:t>
      </w:r>
      <w:r w:rsidRPr="005A3D38">
        <w:t>Preisniveau</w:t>
      </w:r>
      <w:r w:rsidRPr="005A3D38">
        <w:rPr>
          <w:spacing w:val="47"/>
        </w:rPr>
        <w:t xml:space="preserve"> </w:t>
      </w:r>
      <w:r w:rsidRPr="005A3D38">
        <w:t>scheinbar</w:t>
      </w:r>
      <w:r w:rsidRPr="005A3D38">
        <w:rPr>
          <w:spacing w:val="46"/>
        </w:rPr>
        <w:t xml:space="preserve"> </w:t>
      </w:r>
      <w:r w:rsidRPr="005A3D38">
        <w:t>selbst</w:t>
      </w:r>
      <w:r w:rsidRPr="005A3D38">
        <w:rPr>
          <w:spacing w:val="46"/>
        </w:rPr>
        <w:t xml:space="preserve"> </w:t>
      </w:r>
      <w:r w:rsidRPr="005A3D38">
        <w:t>(z.B.</w:t>
      </w:r>
      <w:r w:rsidRPr="005A3D38">
        <w:rPr>
          <w:spacing w:val="46"/>
        </w:rPr>
        <w:t xml:space="preserve"> </w:t>
      </w:r>
      <w:r w:rsidRPr="005A3D38">
        <w:t>Alkoholpreis,</w:t>
      </w:r>
      <w:r w:rsidRPr="005A3D38">
        <w:rPr>
          <w:spacing w:val="46"/>
        </w:rPr>
        <w:t xml:space="preserve"> </w:t>
      </w:r>
      <w:r w:rsidRPr="005A3D38">
        <w:t>Mengenrabatt).</w:t>
      </w:r>
      <w:r w:rsidRPr="005A3D38">
        <w:rPr>
          <w:spacing w:val="46"/>
        </w:rPr>
        <w:t xml:space="preserve"> </w:t>
      </w:r>
      <w:r w:rsidRPr="005A3D38">
        <w:t>Bei</w:t>
      </w:r>
      <w:r w:rsidRPr="005A3D38">
        <w:rPr>
          <w:spacing w:val="46"/>
        </w:rPr>
        <w:t xml:space="preserve"> </w:t>
      </w:r>
      <w:r w:rsidRPr="005A3D38">
        <w:rPr>
          <w:spacing w:val="-5"/>
        </w:rPr>
        <w:t xml:space="preserve">der </w:t>
      </w:r>
      <w:r w:rsidRPr="005A3D38">
        <w:t>„Preisdifferenzierung dritten Grades“ fordert der Anbieter von personell (z.B. Studenten-, Seniorenpreis), zeitlich (z.B. Nachttarif, Hochsaisonpreis) oder räumlich</w:t>
      </w:r>
      <w:r w:rsidRPr="005A3D38">
        <w:rPr>
          <w:spacing w:val="-9"/>
        </w:rPr>
        <w:t xml:space="preserve"> </w:t>
      </w:r>
      <w:r w:rsidRPr="005A3D38">
        <w:t>abgrenzbaren</w:t>
      </w:r>
      <w:r w:rsidRPr="005A3D38">
        <w:rPr>
          <w:spacing w:val="-9"/>
        </w:rPr>
        <w:t xml:space="preserve"> </w:t>
      </w:r>
      <w:r w:rsidRPr="005A3D38">
        <w:t>Kundengruppen</w:t>
      </w:r>
      <w:r w:rsidRPr="005A3D38">
        <w:rPr>
          <w:spacing w:val="-9"/>
        </w:rPr>
        <w:t xml:space="preserve"> </w:t>
      </w:r>
      <w:r w:rsidRPr="005A3D38">
        <w:t>spezifische</w:t>
      </w:r>
      <w:r w:rsidRPr="005A3D38">
        <w:rPr>
          <w:spacing w:val="-9"/>
        </w:rPr>
        <w:t xml:space="preserve"> </w:t>
      </w:r>
      <w:r w:rsidRPr="005A3D38">
        <w:t>Preise.</w:t>
      </w:r>
      <w:r w:rsidRPr="005A3D38">
        <w:rPr>
          <w:spacing w:val="-9"/>
        </w:rPr>
        <w:t xml:space="preserve"> </w:t>
      </w:r>
      <w:r w:rsidRPr="005A3D38">
        <w:t>Bei</w:t>
      </w:r>
      <w:r w:rsidRPr="005A3D38">
        <w:rPr>
          <w:spacing w:val="-9"/>
        </w:rPr>
        <w:t xml:space="preserve"> </w:t>
      </w:r>
      <w:r w:rsidRPr="005A3D38">
        <w:t>der</w:t>
      </w:r>
      <w:r w:rsidRPr="005A3D38">
        <w:rPr>
          <w:spacing w:val="-11"/>
        </w:rPr>
        <w:t xml:space="preserve"> </w:t>
      </w:r>
      <w:r w:rsidRPr="005A3D38">
        <w:t>internationalen Preisdifferenzierung fordert ein Unternehmer in verschiedenen Ländern unterschiedliche Preise (vgl. Diller 2008, S.300).</w:t>
      </w:r>
    </w:p>
    <w:p w14:paraId="6E20D160" w14:textId="77777777" w:rsidR="00FF7799" w:rsidRPr="005A3D38" w:rsidRDefault="00FF7799" w:rsidP="00247954">
      <w:pPr>
        <w:pStyle w:val="StandardText"/>
      </w:pPr>
    </w:p>
    <w:p w14:paraId="7C0D303B" w14:textId="1C6D438A" w:rsidR="00FF7799" w:rsidRPr="005A3D38" w:rsidRDefault="00FF7799" w:rsidP="00247954">
      <w:pPr>
        <w:pStyle w:val="StandardTextkursiv"/>
        <w:rPr>
          <w:i w:val="0"/>
        </w:rPr>
      </w:pPr>
      <w:r w:rsidRPr="005A3D38">
        <w:rPr>
          <w:i w:val="0"/>
        </w:rPr>
        <w:t>2 Zeit-,</w:t>
      </w:r>
      <w:r w:rsidRPr="005A3D38">
        <w:rPr>
          <w:i w:val="0"/>
          <w:spacing w:val="-3"/>
        </w:rPr>
        <w:t xml:space="preserve"> </w:t>
      </w:r>
      <w:r w:rsidRPr="005A3D38">
        <w:rPr>
          <w:i w:val="0"/>
        </w:rPr>
        <w:t>personen-</w:t>
      </w:r>
      <w:r w:rsidRPr="005A3D38">
        <w:rPr>
          <w:i w:val="0"/>
          <w:spacing w:val="-1"/>
        </w:rPr>
        <w:t xml:space="preserve"> </w:t>
      </w:r>
      <w:r w:rsidR="002E3E4F">
        <w:rPr>
          <w:i w:val="0"/>
        </w:rPr>
        <w:t>&amp;</w:t>
      </w:r>
      <w:r w:rsidRPr="005A3D38">
        <w:rPr>
          <w:i w:val="0"/>
          <w:spacing w:val="-2"/>
        </w:rPr>
        <w:t xml:space="preserve"> </w:t>
      </w:r>
      <w:r w:rsidRPr="005A3D38">
        <w:rPr>
          <w:i w:val="0"/>
        </w:rPr>
        <w:t>mengenbezogene</w:t>
      </w:r>
      <w:r w:rsidRPr="005A3D38">
        <w:rPr>
          <w:i w:val="0"/>
          <w:spacing w:val="-2"/>
        </w:rPr>
        <w:t xml:space="preserve"> Preisdifferenzierung</w:t>
      </w:r>
    </w:p>
    <w:p w14:paraId="2100380E" w14:textId="77777777" w:rsidR="00FF7799" w:rsidRPr="005A3D38" w:rsidRDefault="00FF7799" w:rsidP="00247954">
      <w:pPr>
        <w:pStyle w:val="StandardText"/>
      </w:pPr>
      <w:r w:rsidRPr="005A3D38">
        <w:t>Wer</w:t>
      </w:r>
      <w:r w:rsidRPr="005A3D38">
        <w:rPr>
          <w:spacing w:val="-9"/>
        </w:rPr>
        <w:t xml:space="preserve"> </w:t>
      </w:r>
      <w:r w:rsidRPr="005A3D38">
        <w:t>aus</w:t>
      </w:r>
      <w:r w:rsidRPr="005A3D38">
        <w:rPr>
          <w:spacing w:val="-9"/>
        </w:rPr>
        <w:t xml:space="preserve"> </w:t>
      </w:r>
      <w:r w:rsidRPr="005A3D38">
        <w:t>wichtigem,</w:t>
      </w:r>
      <w:r w:rsidRPr="005A3D38">
        <w:rPr>
          <w:spacing w:val="-11"/>
        </w:rPr>
        <w:t xml:space="preserve"> </w:t>
      </w:r>
      <w:r w:rsidRPr="005A3D38">
        <w:t>häufig</w:t>
      </w:r>
      <w:r w:rsidRPr="005A3D38">
        <w:rPr>
          <w:spacing w:val="-10"/>
        </w:rPr>
        <w:t xml:space="preserve"> </w:t>
      </w:r>
      <w:r w:rsidRPr="005A3D38">
        <w:t>geschäftlichem</w:t>
      </w:r>
      <w:r w:rsidRPr="005A3D38">
        <w:rPr>
          <w:spacing w:val="-10"/>
        </w:rPr>
        <w:t xml:space="preserve"> </w:t>
      </w:r>
      <w:r w:rsidRPr="005A3D38">
        <w:t>Anlass</w:t>
      </w:r>
      <w:r w:rsidRPr="005A3D38">
        <w:rPr>
          <w:spacing w:val="-9"/>
        </w:rPr>
        <w:t xml:space="preserve"> </w:t>
      </w:r>
      <w:r w:rsidRPr="005A3D38">
        <w:t>telefonieren</w:t>
      </w:r>
      <w:r w:rsidRPr="005A3D38">
        <w:rPr>
          <w:spacing w:val="-8"/>
        </w:rPr>
        <w:t xml:space="preserve"> </w:t>
      </w:r>
      <w:r w:rsidRPr="005A3D38">
        <w:t>möchte</w:t>
      </w:r>
      <w:r w:rsidRPr="005A3D38">
        <w:rPr>
          <w:spacing w:val="-9"/>
        </w:rPr>
        <w:t xml:space="preserve"> </w:t>
      </w:r>
      <w:r w:rsidRPr="005A3D38">
        <w:t>bzw.</w:t>
      </w:r>
      <w:r w:rsidRPr="005A3D38">
        <w:rPr>
          <w:spacing w:val="-11"/>
        </w:rPr>
        <w:t xml:space="preserve"> </w:t>
      </w:r>
      <w:r w:rsidRPr="005A3D38">
        <w:t>muss, ist</w:t>
      </w:r>
      <w:r w:rsidRPr="005A3D38">
        <w:rPr>
          <w:spacing w:val="-12"/>
        </w:rPr>
        <w:t xml:space="preserve"> </w:t>
      </w:r>
      <w:r w:rsidRPr="005A3D38">
        <w:t>im</w:t>
      </w:r>
      <w:r w:rsidRPr="005A3D38">
        <w:rPr>
          <w:spacing w:val="-11"/>
        </w:rPr>
        <w:t xml:space="preserve"> </w:t>
      </w:r>
      <w:r w:rsidRPr="005A3D38">
        <w:t>Regelfall</w:t>
      </w:r>
      <w:r w:rsidRPr="005A3D38">
        <w:rPr>
          <w:spacing w:val="-11"/>
        </w:rPr>
        <w:t xml:space="preserve"> </w:t>
      </w:r>
      <w:r w:rsidRPr="005A3D38">
        <w:t>bereit,</w:t>
      </w:r>
      <w:r w:rsidRPr="005A3D38">
        <w:rPr>
          <w:spacing w:val="-11"/>
        </w:rPr>
        <w:t xml:space="preserve"> </w:t>
      </w:r>
      <w:r w:rsidRPr="005A3D38">
        <w:t>dafür</w:t>
      </w:r>
      <w:r w:rsidRPr="005A3D38">
        <w:rPr>
          <w:spacing w:val="-12"/>
        </w:rPr>
        <w:t xml:space="preserve"> </w:t>
      </w:r>
      <w:r w:rsidRPr="005A3D38">
        <w:t>mehr</w:t>
      </w:r>
      <w:r w:rsidRPr="005A3D38">
        <w:rPr>
          <w:spacing w:val="-11"/>
        </w:rPr>
        <w:t xml:space="preserve"> </w:t>
      </w:r>
      <w:r w:rsidRPr="005A3D38">
        <w:t>zu</w:t>
      </w:r>
      <w:r w:rsidRPr="005A3D38">
        <w:rPr>
          <w:spacing w:val="-11"/>
        </w:rPr>
        <w:t xml:space="preserve"> </w:t>
      </w:r>
      <w:r w:rsidRPr="005A3D38">
        <w:t>bezahlen</w:t>
      </w:r>
      <w:r w:rsidRPr="005A3D38">
        <w:rPr>
          <w:spacing w:val="-11"/>
        </w:rPr>
        <w:t xml:space="preserve"> </w:t>
      </w:r>
      <w:r w:rsidRPr="005A3D38">
        <w:t>als</w:t>
      </w:r>
      <w:r w:rsidRPr="005A3D38">
        <w:rPr>
          <w:spacing w:val="-12"/>
        </w:rPr>
        <w:t xml:space="preserve"> </w:t>
      </w:r>
      <w:r w:rsidRPr="005A3D38">
        <w:t>jemand,</w:t>
      </w:r>
      <w:r w:rsidRPr="005A3D38">
        <w:rPr>
          <w:spacing w:val="-11"/>
        </w:rPr>
        <w:t xml:space="preserve"> </w:t>
      </w:r>
      <w:r w:rsidRPr="005A3D38">
        <w:t>der</w:t>
      </w:r>
      <w:r w:rsidRPr="005A3D38">
        <w:rPr>
          <w:spacing w:val="-11"/>
        </w:rPr>
        <w:t xml:space="preserve"> </w:t>
      </w:r>
      <w:r w:rsidRPr="005A3D38">
        <w:t>(abends)</w:t>
      </w:r>
      <w:r w:rsidRPr="005A3D38">
        <w:rPr>
          <w:spacing w:val="-11"/>
        </w:rPr>
        <w:t xml:space="preserve"> </w:t>
      </w:r>
      <w:r w:rsidRPr="005A3D38">
        <w:t>ein</w:t>
      </w:r>
      <w:r w:rsidRPr="005A3D38">
        <w:rPr>
          <w:spacing w:val="-12"/>
        </w:rPr>
        <w:t xml:space="preserve"> </w:t>
      </w:r>
      <w:r w:rsidRPr="005A3D38">
        <w:t>privates Telefonat</w:t>
      </w:r>
      <w:r w:rsidRPr="005A3D38">
        <w:rPr>
          <w:spacing w:val="-7"/>
        </w:rPr>
        <w:t xml:space="preserve"> </w:t>
      </w:r>
      <w:r w:rsidRPr="005A3D38">
        <w:t>führt.</w:t>
      </w:r>
      <w:r w:rsidRPr="005A3D38">
        <w:rPr>
          <w:spacing w:val="-4"/>
        </w:rPr>
        <w:t xml:space="preserve"> </w:t>
      </w:r>
      <w:r w:rsidRPr="005A3D38">
        <w:t>Anbieter</w:t>
      </w:r>
      <w:r w:rsidRPr="005A3D38">
        <w:rPr>
          <w:spacing w:val="-6"/>
        </w:rPr>
        <w:t xml:space="preserve"> </w:t>
      </w:r>
      <w:r w:rsidRPr="005A3D38">
        <w:t>fordern</w:t>
      </w:r>
      <w:r w:rsidRPr="005A3D38">
        <w:rPr>
          <w:spacing w:val="-9"/>
        </w:rPr>
        <w:t xml:space="preserve"> </w:t>
      </w:r>
      <w:r w:rsidRPr="005A3D38">
        <w:t>deshalb</w:t>
      </w:r>
      <w:r w:rsidRPr="005A3D38">
        <w:rPr>
          <w:spacing w:val="-4"/>
        </w:rPr>
        <w:t xml:space="preserve"> </w:t>
      </w:r>
      <w:r w:rsidRPr="005A3D38">
        <w:t>tagsüber</w:t>
      </w:r>
      <w:r w:rsidRPr="005A3D38">
        <w:rPr>
          <w:spacing w:val="-6"/>
        </w:rPr>
        <w:t xml:space="preserve"> </w:t>
      </w:r>
      <w:r w:rsidRPr="005A3D38">
        <w:t>eine</w:t>
      </w:r>
      <w:r w:rsidRPr="005A3D38">
        <w:rPr>
          <w:spacing w:val="-9"/>
        </w:rPr>
        <w:t xml:space="preserve"> </w:t>
      </w:r>
      <w:r w:rsidRPr="005A3D38">
        <w:t>höhere</w:t>
      </w:r>
      <w:r w:rsidRPr="005A3D38">
        <w:rPr>
          <w:spacing w:val="-6"/>
        </w:rPr>
        <w:t xml:space="preserve"> </w:t>
      </w:r>
      <w:r w:rsidRPr="005A3D38">
        <w:t>Gebühr</w:t>
      </w:r>
      <w:r w:rsidRPr="005A3D38">
        <w:rPr>
          <w:spacing w:val="-6"/>
        </w:rPr>
        <w:t xml:space="preserve"> </w:t>
      </w:r>
      <w:r w:rsidRPr="005A3D38">
        <w:t>als</w:t>
      </w:r>
      <w:r w:rsidRPr="005A3D38">
        <w:rPr>
          <w:spacing w:val="-8"/>
        </w:rPr>
        <w:t xml:space="preserve"> </w:t>
      </w:r>
      <w:r w:rsidRPr="005A3D38">
        <w:t>nach</w:t>
      </w:r>
      <w:r w:rsidRPr="005A3D38">
        <w:rPr>
          <w:spacing w:val="-4"/>
        </w:rPr>
        <w:t xml:space="preserve"> </w:t>
      </w:r>
      <w:r w:rsidRPr="005A3D38">
        <w:rPr>
          <w:spacing w:val="-5"/>
        </w:rPr>
        <w:t xml:space="preserve">18 </w:t>
      </w:r>
      <w:r w:rsidRPr="005A3D38">
        <w:t>Uhr (zeitliche Preisdifferenzierung). Auch personenbezogen kann die Zahlungsbereitschaft variieren, z.B. zwischen Schülern, Studenten und Rentnern einerseits sowie Berufstätigen andererseits. Ferner eröffnen unterschiedliche Abnahmemengen</w:t>
      </w:r>
      <w:r w:rsidRPr="005A3D38">
        <w:rPr>
          <w:spacing w:val="-4"/>
        </w:rPr>
        <w:t xml:space="preserve"> </w:t>
      </w:r>
      <w:r w:rsidRPr="005A3D38">
        <w:t>preispolitischen</w:t>
      </w:r>
      <w:r w:rsidRPr="005A3D38">
        <w:rPr>
          <w:spacing w:val="-4"/>
        </w:rPr>
        <w:t xml:space="preserve"> </w:t>
      </w:r>
      <w:r w:rsidRPr="005A3D38">
        <w:t>Spielraum.</w:t>
      </w:r>
      <w:r w:rsidRPr="005A3D38">
        <w:rPr>
          <w:spacing w:val="-4"/>
        </w:rPr>
        <w:t xml:space="preserve"> </w:t>
      </w:r>
      <w:r w:rsidRPr="005A3D38">
        <w:t>Wer</w:t>
      </w:r>
      <w:r w:rsidRPr="005A3D38">
        <w:rPr>
          <w:spacing w:val="-4"/>
        </w:rPr>
        <w:t xml:space="preserve"> </w:t>
      </w:r>
      <w:r w:rsidRPr="005A3D38">
        <w:t>z.B.</w:t>
      </w:r>
      <w:r w:rsidRPr="005A3D38">
        <w:rPr>
          <w:spacing w:val="-3"/>
        </w:rPr>
        <w:t xml:space="preserve"> </w:t>
      </w:r>
      <w:r w:rsidRPr="005A3D38">
        <w:t>in</w:t>
      </w:r>
      <w:r w:rsidRPr="005A3D38">
        <w:rPr>
          <w:spacing w:val="-3"/>
        </w:rPr>
        <w:t xml:space="preserve"> </w:t>
      </w:r>
      <w:r w:rsidRPr="005A3D38">
        <w:t>einer</w:t>
      </w:r>
      <w:r w:rsidRPr="005A3D38">
        <w:rPr>
          <w:spacing w:val="-5"/>
        </w:rPr>
        <w:t xml:space="preserve"> </w:t>
      </w:r>
      <w:r w:rsidRPr="005A3D38">
        <w:t>kleinen</w:t>
      </w:r>
      <w:r w:rsidRPr="005A3D38">
        <w:rPr>
          <w:spacing w:val="-3"/>
        </w:rPr>
        <w:t xml:space="preserve"> </w:t>
      </w:r>
      <w:r w:rsidRPr="005A3D38">
        <w:t>Wohnung lebt (z.B. 60 m</w:t>
      </w:r>
      <w:r w:rsidRPr="005A3D38">
        <w:rPr>
          <w:vertAlign w:val="superscript"/>
        </w:rPr>
        <w:t>2</w:t>
      </w:r>
      <w:r w:rsidRPr="005A3D38">
        <w:t>), bezahlt zwar absolut gesehen weniger, aber pro Quadratmeter mehr Miete als jemand, der 150 m</w:t>
      </w:r>
      <w:r w:rsidRPr="005A3D38">
        <w:rPr>
          <w:vertAlign w:val="superscript"/>
        </w:rPr>
        <w:t>2</w:t>
      </w:r>
      <w:r w:rsidRPr="005A3D38">
        <w:t xml:space="preserve"> und mehr Wohnfläche beansprucht.</w:t>
      </w:r>
    </w:p>
    <w:p w14:paraId="207324DD" w14:textId="77777777" w:rsidR="00FF7799" w:rsidRPr="005A3D38" w:rsidRDefault="00FF7799" w:rsidP="00247954">
      <w:pPr>
        <w:pStyle w:val="StandardText"/>
      </w:pPr>
    </w:p>
    <w:p w14:paraId="7C59F977" w14:textId="77777777" w:rsidR="00FF7799" w:rsidRDefault="00FF7799" w:rsidP="00247954">
      <w:pPr>
        <w:pStyle w:val="StandardTextkursiv"/>
        <w:rPr>
          <w:i w:val="0"/>
          <w:spacing w:val="-2"/>
        </w:rPr>
      </w:pPr>
      <w:r w:rsidRPr="005A3D38">
        <w:rPr>
          <w:i w:val="0"/>
        </w:rPr>
        <w:t>3 Regionale</w:t>
      </w:r>
      <w:r w:rsidRPr="005A3D38">
        <w:rPr>
          <w:i w:val="0"/>
          <w:spacing w:val="-3"/>
        </w:rPr>
        <w:t xml:space="preserve"> </w:t>
      </w:r>
      <w:r w:rsidRPr="005A3D38">
        <w:rPr>
          <w:i w:val="0"/>
        </w:rPr>
        <w:t>(bzw.</w:t>
      </w:r>
      <w:r w:rsidRPr="005A3D38">
        <w:rPr>
          <w:i w:val="0"/>
          <w:spacing w:val="-3"/>
        </w:rPr>
        <w:t xml:space="preserve"> </w:t>
      </w:r>
      <w:r w:rsidRPr="005A3D38">
        <w:rPr>
          <w:i w:val="0"/>
        </w:rPr>
        <w:t>internationale)</w:t>
      </w:r>
      <w:r w:rsidRPr="005A3D38">
        <w:rPr>
          <w:i w:val="0"/>
          <w:spacing w:val="-2"/>
        </w:rPr>
        <w:t xml:space="preserve"> Preisdifferenzierung</w:t>
      </w:r>
    </w:p>
    <w:p w14:paraId="22C43980" w14:textId="77777777" w:rsidR="00FF7799" w:rsidRPr="005A3D38" w:rsidRDefault="00FF7799" w:rsidP="00247954">
      <w:pPr>
        <w:pStyle w:val="StandardText"/>
      </w:pPr>
      <w:r w:rsidRPr="005A3D38">
        <w:t>Sofern</w:t>
      </w:r>
      <w:r w:rsidRPr="005A3D38">
        <w:rPr>
          <w:spacing w:val="-12"/>
        </w:rPr>
        <w:t xml:space="preserve"> </w:t>
      </w:r>
      <w:r w:rsidRPr="005A3D38">
        <w:t>es</w:t>
      </w:r>
      <w:r w:rsidRPr="005A3D38">
        <w:rPr>
          <w:spacing w:val="-11"/>
        </w:rPr>
        <w:t xml:space="preserve"> </w:t>
      </w:r>
      <w:r w:rsidRPr="005A3D38">
        <w:t>ihnen</w:t>
      </w:r>
      <w:r w:rsidRPr="005A3D38">
        <w:rPr>
          <w:spacing w:val="-11"/>
        </w:rPr>
        <w:t xml:space="preserve"> </w:t>
      </w:r>
      <w:r w:rsidRPr="005A3D38">
        <w:t>möglich</w:t>
      </w:r>
      <w:r w:rsidRPr="005A3D38">
        <w:rPr>
          <w:spacing w:val="-11"/>
        </w:rPr>
        <w:t xml:space="preserve"> </w:t>
      </w:r>
      <w:r w:rsidRPr="005A3D38">
        <w:t>ist,</w:t>
      </w:r>
      <w:r w:rsidRPr="005A3D38">
        <w:rPr>
          <w:spacing w:val="-12"/>
        </w:rPr>
        <w:t xml:space="preserve"> </w:t>
      </w:r>
      <w:r w:rsidRPr="005A3D38">
        <w:t>nutzen</w:t>
      </w:r>
      <w:r w:rsidRPr="005A3D38">
        <w:rPr>
          <w:spacing w:val="-10"/>
        </w:rPr>
        <w:t xml:space="preserve"> </w:t>
      </w:r>
      <w:r w:rsidRPr="005A3D38">
        <w:t>Anbieter</w:t>
      </w:r>
      <w:r w:rsidRPr="005A3D38">
        <w:rPr>
          <w:spacing w:val="-10"/>
        </w:rPr>
        <w:t xml:space="preserve"> </w:t>
      </w:r>
      <w:r w:rsidRPr="005A3D38">
        <w:t>auf</w:t>
      </w:r>
      <w:r w:rsidRPr="005A3D38">
        <w:rPr>
          <w:spacing w:val="-12"/>
        </w:rPr>
        <w:t xml:space="preserve"> </w:t>
      </w:r>
      <w:r w:rsidRPr="005A3D38">
        <w:t>nationalen</w:t>
      </w:r>
      <w:r w:rsidRPr="005A3D38">
        <w:rPr>
          <w:spacing w:val="-11"/>
        </w:rPr>
        <w:t xml:space="preserve"> </w:t>
      </w:r>
      <w:r w:rsidRPr="005A3D38">
        <w:t>wie</w:t>
      </w:r>
      <w:r w:rsidRPr="005A3D38">
        <w:rPr>
          <w:spacing w:val="-11"/>
        </w:rPr>
        <w:t xml:space="preserve"> </w:t>
      </w:r>
      <w:r w:rsidRPr="005A3D38">
        <w:t>auf</w:t>
      </w:r>
      <w:r w:rsidRPr="005A3D38">
        <w:rPr>
          <w:spacing w:val="-10"/>
        </w:rPr>
        <w:t xml:space="preserve"> </w:t>
      </w:r>
      <w:r w:rsidRPr="005A3D38">
        <w:t>internationalen Märkten alle drei Formen der Preisdifferenzierung. Die britische Telefongesellschaft Vodafone</w:t>
      </w:r>
      <w:r w:rsidRPr="005A3D38">
        <w:rPr>
          <w:spacing w:val="-3"/>
        </w:rPr>
        <w:t xml:space="preserve"> </w:t>
      </w:r>
      <w:r w:rsidRPr="005A3D38">
        <w:t>bspw.</w:t>
      </w:r>
      <w:r w:rsidRPr="005A3D38">
        <w:rPr>
          <w:spacing w:val="-1"/>
        </w:rPr>
        <w:t xml:space="preserve"> </w:t>
      </w:r>
      <w:r w:rsidRPr="005A3D38">
        <w:t>bietet</w:t>
      </w:r>
      <w:r w:rsidRPr="005A3D38">
        <w:rPr>
          <w:spacing w:val="-1"/>
        </w:rPr>
        <w:t xml:space="preserve"> </w:t>
      </w:r>
      <w:r w:rsidRPr="005A3D38">
        <w:t>sowohl auf</w:t>
      </w:r>
      <w:r w:rsidRPr="005A3D38">
        <w:rPr>
          <w:spacing w:val="-4"/>
        </w:rPr>
        <w:t xml:space="preserve"> </w:t>
      </w:r>
      <w:r w:rsidRPr="005A3D38">
        <w:t>dem</w:t>
      </w:r>
      <w:r w:rsidRPr="005A3D38">
        <w:rPr>
          <w:spacing w:val="-3"/>
        </w:rPr>
        <w:t xml:space="preserve"> </w:t>
      </w:r>
      <w:r w:rsidRPr="005A3D38">
        <w:t>Heimatmarkt</w:t>
      </w:r>
      <w:r w:rsidRPr="005A3D38">
        <w:rPr>
          <w:spacing w:val="-1"/>
        </w:rPr>
        <w:t xml:space="preserve"> </w:t>
      </w:r>
      <w:r w:rsidRPr="005A3D38">
        <w:t>als</w:t>
      </w:r>
      <w:r w:rsidRPr="005A3D38">
        <w:rPr>
          <w:spacing w:val="-2"/>
        </w:rPr>
        <w:t xml:space="preserve"> </w:t>
      </w:r>
      <w:r w:rsidRPr="005A3D38">
        <w:t>auch im Ausland einen Tag- und einen Nachttarif an (= zeitbezogene Preisdifferenzierung). Aus länder- bzw. kulturvergleichender Sicht interessieren uns aber vor allem zwei andere Erscheinungsformen der Preisdifferenzierung, welche den Umstand ausnutzen, dass Landesgrenzen in vielfältiger Hinsicht Barrieren darstellen.</w:t>
      </w:r>
    </w:p>
    <w:p w14:paraId="5CDEB34C" w14:textId="77777777" w:rsidR="00FF7799" w:rsidRPr="005A3D38" w:rsidRDefault="00FF7799" w:rsidP="00247954">
      <w:pPr>
        <w:pStyle w:val="StandardText"/>
      </w:pPr>
      <w:r w:rsidRPr="005A3D38">
        <w:t>Wenn</w:t>
      </w:r>
      <w:r w:rsidRPr="005A3D38">
        <w:rPr>
          <w:spacing w:val="-11"/>
        </w:rPr>
        <w:t xml:space="preserve"> </w:t>
      </w:r>
      <w:r w:rsidRPr="005A3D38">
        <w:t>Pharmaunternehmen</w:t>
      </w:r>
      <w:r w:rsidRPr="005A3D38">
        <w:rPr>
          <w:spacing w:val="-7"/>
        </w:rPr>
        <w:t xml:space="preserve"> </w:t>
      </w:r>
      <w:r w:rsidRPr="005A3D38">
        <w:t>in</w:t>
      </w:r>
      <w:r w:rsidRPr="005A3D38">
        <w:rPr>
          <w:spacing w:val="-9"/>
        </w:rPr>
        <w:t xml:space="preserve"> </w:t>
      </w:r>
      <w:r w:rsidRPr="005A3D38">
        <w:t>wirtschaftlich</w:t>
      </w:r>
      <w:r w:rsidRPr="005A3D38">
        <w:rPr>
          <w:spacing w:val="-9"/>
        </w:rPr>
        <w:t xml:space="preserve"> </w:t>
      </w:r>
      <w:r w:rsidRPr="005A3D38">
        <w:t>weniger</w:t>
      </w:r>
      <w:r w:rsidRPr="005A3D38">
        <w:rPr>
          <w:spacing w:val="-10"/>
        </w:rPr>
        <w:t xml:space="preserve"> </w:t>
      </w:r>
      <w:r w:rsidRPr="005A3D38">
        <w:t>entwickelten</w:t>
      </w:r>
      <w:r w:rsidRPr="005A3D38">
        <w:rPr>
          <w:spacing w:val="-11"/>
        </w:rPr>
        <w:t xml:space="preserve"> </w:t>
      </w:r>
      <w:r w:rsidRPr="005A3D38">
        <w:t>Ländern</w:t>
      </w:r>
      <w:r w:rsidRPr="005A3D38">
        <w:rPr>
          <w:spacing w:val="-11"/>
        </w:rPr>
        <w:t xml:space="preserve"> </w:t>
      </w:r>
      <w:r w:rsidRPr="005A3D38">
        <w:t>Serum in</w:t>
      </w:r>
      <w:r w:rsidRPr="005A3D38">
        <w:rPr>
          <w:spacing w:val="-5"/>
        </w:rPr>
        <w:t xml:space="preserve"> </w:t>
      </w:r>
      <w:r w:rsidRPr="005A3D38">
        <w:t>einer</w:t>
      </w:r>
      <w:r w:rsidRPr="005A3D38">
        <w:rPr>
          <w:spacing w:val="-7"/>
        </w:rPr>
        <w:t xml:space="preserve"> </w:t>
      </w:r>
      <w:r w:rsidRPr="005A3D38">
        <w:t>Flasche</w:t>
      </w:r>
      <w:r w:rsidRPr="005A3D38">
        <w:rPr>
          <w:spacing w:val="-7"/>
        </w:rPr>
        <w:t xml:space="preserve"> </w:t>
      </w:r>
      <w:r w:rsidRPr="005A3D38">
        <w:t>an</w:t>
      </w:r>
      <w:r w:rsidRPr="005A3D38">
        <w:rPr>
          <w:spacing w:val="-6"/>
        </w:rPr>
        <w:t xml:space="preserve"> </w:t>
      </w:r>
      <w:r w:rsidRPr="005A3D38">
        <w:t>der</w:t>
      </w:r>
      <w:r w:rsidRPr="005A3D38">
        <w:rPr>
          <w:spacing w:val="-7"/>
        </w:rPr>
        <w:t xml:space="preserve"> </w:t>
      </w:r>
      <w:r w:rsidRPr="005A3D38">
        <w:t>Preisuntergrenze</w:t>
      </w:r>
      <w:r w:rsidRPr="005A3D38">
        <w:rPr>
          <w:spacing w:val="-7"/>
        </w:rPr>
        <w:t xml:space="preserve"> </w:t>
      </w:r>
      <w:r w:rsidRPr="005A3D38">
        <w:t>verkauft</w:t>
      </w:r>
      <w:r w:rsidRPr="005A3D38">
        <w:rPr>
          <w:spacing w:val="-9"/>
        </w:rPr>
        <w:t xml:space="preserve"> </w:t>
      </w:r>
      <w:r w:rsidRPr="005A3D38">
        <w:t>und</w:t>
      </w:r>
      <w:r w:rsidRPr="005A3D38">
        <w:rPr>
          <w:spacing w:val="-6"/>
        </w:rPr>
        <w:t xml:space="preserve"> </w:t>
      </w:r>
      <w:r w:rsidRPr="005A3D38">
        <w:t>dazu</w:t>
      </w:r>
      <w:r w:rsidRPr="005A3D38">
        <w:rPr>
          <w:spacing w:val="-8"/>
        </w:rPr>
        <w:t xml:space="preserve"> </w:t>
      </w:r>
      <w:r w:rsidRPr="005A3D38">
        <w:t>nur</w:t>
      </w:r>
      <w:r w:rsidRPr="005A3D38">
        <w:rPr>
          <w:spacing w:val="-7"/>
        </w:rPr>
        <w:t xml:space="preserve"> </w:t>
      </w:r>
      <w:r w:rsidRPr="005A3D38">
        <w:t>einen</w:t>
      </w:r>
      <w:r w:rsidRPr="005A3D38">
        <w:rPr>
          <w:spacing w:val="-6"/>
        </w:rPr>
        <w:t xml:space="preserve"> </w:t>
      </w:r>
      <w:r w:rsidRPr="005A3D38">
        <w:t>beschränkten Service anbietet, in entwickelteren Märkten hingegen mit einer höheren Zahlungsbereitschaft als vorgefüllte Fertigspritze, begleitet von einem umfangreichen Service-Paket, das z.B. die Schulung der Ärzte einschließt, so handelt es sich hierbei streng genommen nicht um internationale Preisdifferenzierung. Denn sie setzt voraus, dass das identische Produkt in verschiedenen Ländern zu verschiedenen Preisen verkauft. Wie der englische Terminus</w:t>
      </w:r>
      <w:r w:rsidRPr="005A3D38">
        <w:rPr>
          <w:spacing w:val="-2"/>
        </w:rPr>
        <w:t xml:space="preserve"> </w:t>
      </w:r>
      <w:r w:rsidRPr="005A3D38">
        <w:t>'price</w:t>
      </w:r>
      <w:r w:rsidRPr="005A3D38">
        <w:rPr>
          <w:spacing w:val="-3"/>
        </w:rPr>
        <w:t xml:space="preserve"> </w:t>
      </w:r>
      <w:r w:rsidRPr="005A3D38">
        <w:t>discrimination'</w:t>
      </w:r>
      <w:r w:rsidRPr="005A3D38">
        <w:rPr>
          <w:spacing w:val="-3"/>
        </w:rPr>
        <w:t xml:space="preserve"> </w:t>
      </w:r>
      <w:r w:rsidRPr="005A3D38">
        <w:t>zum</w:t>
      </w:r>
      <w:r w:rsidRPr="005A3D38">
        <w:rPr>
          <w:spacing w:val="-3"/>
        </w:rPr>
        <w:t xml:space="preserve"> </w:t>
      </w:r>
      <w:r w:rsidRPr="005A3D38">
        <w:t>Ausdruck</w:t>
      </w:r>
      <w:r w:rsidRPr="005A3D38">
        <w:rPr>
          <w:spacing w:val="-1"/>
        </w:rPr>
        <w:t xml:space="preserve"> </w:t>
      </w:r>
      <w:r w:rsidRPr="005A3D38">
        <w:t>bringt,</w:t>
      </w:r>
      <w:r w:rsidRPr="005A3D38">
        <w:rPr>
          <w:spacing w:val="-1"/>
        </w:rPr>
        <w:t xml:space="preserve"> </w:t>
      </w:r>
      <w:r w:rsidRPr="005A3D38">
        <w:t>erhält</w:t>
      </w:r>
      <w:r w:rsidRPr="005A3D38">
        <w:rPr>
          <w:spacing w:val="-4"/>
        </w:rPr>
        <w:t xml:space="preserve"> </w:t>
      </w:r>
      <w:r w:rsidRPr="005A3D38">
        <w:t>der</w:t>
      </w:r>
      <w:r w:rsidRPr="005A3D38">
        <w:rPr>
          <w:spacing w:val="-2"/>
        </w:rPr>
        <w:t xml:space="preserve"> </w:t>
      </w:r>
      <w:r w:rsidRPr="005A3D38">
        <w:t>Kunde</w:t>
      </w:r>
      <w:r w:rsidRPr="005A3D38">
        <w:rPr>
          <w:spacing w:val="-3"/>
        </w:rPr>
        <w:t xml:space="preserve"> </w:t>
      </w:r>
      <w:r w:rsidRPr="005A3D38">
        <w:t>in</w:t>
      </w:r>
      <w:r w:rsidRPr="005A3D38">
        <w:rPr>
          <w:spacing w:val="-1"/>
        </w:rPr>
        <w:t xml:space="preserve"> </w:t>
      </w:r>
      <w:r w:rsidRPr="005A3D38">
        <w:t>Land</w:t>
      </w:r>
      <w:r w:rsidRPr="005A3D38">
        <w:rPr>
          <w:spacing w:val="-3"/>
        </w:rPr>
        <w:t xml:space="preserve"> </w:t>
      </w:r>
      <w:r w:rsidRPr="005A3D38">
        <w:t>A für einen höheren Preis keine höherwertige Leistung als der Kunde in Land B zu einem geringeren Preis. Vielmehr nutzt der Anbieter den Umstand aus, dass geographische</w:t>
      </w:r>
      <w:r w:rsidRPr="005A3D38">
        <w:rPr>
          <w:spacing w:val="-9"/>
        </w:rPr>
        <w:t xml:space="preserve"> </w:t>
      </w:r>
      <w:r w:rsidRPr="005A3D38">
        <w:t>Entfernung</w:t>
      </w:r>
      <w:r w:rsidRPr="005A3D38">
        <w:rPr>
          <w:spacing w:val="-8"/>
        </w:rPr>
        <w:t xml:space="preserve"> </w:t>
      </w:r>
      <w:r w:rsidRPr="005A3D38">
        <w:t>im</w:t>
      </w:r>
      <w:r w:rsidRPr="005A3D38">
        <w:rPr>
          <w:spacing w:val="-9"/>
        </w:rPr>
        <w:t xml:space="preserve"> </w:t>
      </w:r>
      <w:r w:rsidRPr="005A3D38">
        <w:t>Allgemeinen</w:t>
      </w:r>
      <w:r w:rsidRPr="005A3D38">
        <w:rPr>
          <w:spacing w:val="-8"/>
        </w:rPr>
        <w:t xml:space="preserve"> </w:t>
      </w:r>
      <w:r w:rsidRPr="005A3D38">
        <w:t>und</w:t>
      </w:r>
      <w:r w:rsidRPr="005A3D38">
        <w:rPr>
          <w:spacing w:val="-10"/>
        </w:rPr>
        <w:t xml:space="preserve"> </w:t>
      </w:r>
      <w:r w:rsidRPr="005A3D38">
        <w:t>Landesgrenzen</w:t>
      </w:r>
      <w:r w:rsidRPr="005A3D38">
        <w:rPr>
          <w:spacing w:val="-8"/>
        </w:rPr>
        <w:t xml:space="preserve"> </w:t>
      </w:r>
      <w:r w:rsidRPr="005A3D38">
        <w:t>im</w:t>
      </w:r>
      <w:r w:rsidRPr="005A3D38">
        <w:rPr>
          <w:spacing w:val="-12"/>
        </w:rPr>
        <w:t xml:space="preserve"> </w:t>
      </w:r>
      <w:r w:rsidRPr="005A3D38">
        <w:t>Besonderen</w:t>
      </w:r>
      <w:r w:rsidRPr="005A3D38">
        <w:rPr>
          <w:spacing w:val="-7"/>
        </w:rPr>
        <w:t xml:space="preserve"> </w:t>
      </w:r>
      <w:r w:rsidRPr="005A3D38">
        <w:t>für Intransparenz sorgen. Zusammen mit der eingeschränkten Handelbarkeit bestimmter Produkte (z.B. verderbliche Lebensmittel) und anderen Einflussfaktoren</w:t>
      </w:r>
      <w:r w:rsidRPr="005A3D38">
        <w:rPr>
          <w:spacing w:val="-8"/>
        </w:rPr>
        <w:t xml:space="preserve"> </w:t>
      </w:r>
      <w:r w:rsidRPr="005A3D38">
        <w:t>(z.B.</w:t>
      </w:r>
      <w:r w:rsidRPr="005A3D38">
        <w:rPr>
          <w:spacing w:val="-8"/>
        </w:rPr>
        <w:t xml:space="preserve"> </w:t>
      </w:r>
      <w:r w:rsidRPr="005A3D38">
        <w:t>Zölle</w:t>
      </w:r>
      <w:r w:rsidRPr="005A3D38">
        <w:rPr>
          <w:spacing w:val="-9"/>
        </w:rPr>
        <w:t xml:space="preserve"> </w:t>
      </w:r>
      <w:r w:rsidRPr="005A3D38">
        <w:t>oder</w:t>
      </w:r>
      <w:r w:rsidRPr="005A3D38">
        <w:rPr>
          <w:spacing w:val="-11"/>
        </w:rPr>
        <w:t xml:space="preserve"> </w:t>
      </w:r>
      <w:r w:rsidRPr="005A3D38">
        <w:t>unterschiedliche</w:t>
      </w:r>
      <w:r w:rsidRPr="005A3D38">
        <w:rPr>
          <w:spacing w:val="-9"/>
        </w:rPr>
        <w:t xml:space="preserve"> </w:t>
      </w:r>
      <w:r w:rsidRPr="005A3D38">
        <w:t>Steuerbelastung)</w:t>
      </w:r>
      <w:r w:rsidRPr="005A3D38">
        <w:rPr>
          <w:spacing w:val="-11"/>
        </w:rPr>
        <w:t xml:space="preserve"> </w:t>
      </w:r>
      <w:r w:rsidRPr="005A3D38">
        <w:t>verhindert</w:t>
      </w:r>
      <w:r w:rsidRPr="005A3D38">
        <w:rPr>
          <w:spacing w:val="-8"/>
        </w:rPr>
        <w:t xml:space="preserve"> </w:t>
      </w:r>
      <w:r w:rsidRPr="005A3D38">
        <w:t>sie, dass sich die Preise weltweit annähern.</w:t>
      </w:r>
    </w:p>
    <w:p w14:paraId="6691559B" w14:textId="77777777" w:rsidR="00FF7799" w:rsidRPr="00E73F6F" w:rsidRDefault="00FF7799" w:rsidP="00BA2245">
      <w:pPr>
        <w:pStyle w:val="Quellen"/>
      </w:pPr>
      <w:r w:rsidRPr="00BA2245">
        <w:rPr>
          <w:sz w:val="24"/>
          <w:szCs w:val="24"/>
        </w:rPr>
        <w:lastRenderedPageBreak/>
        <w:t>Gang und gäbe ist eine ausgeprägte regionale Preisdifferenzierung bspw. in der Automobilbranche</w:t>
      </w:r>
      <w:r w:rsidRPr="00BA2245">
        <w:rPr>
          <w:spacing w:val="-4"/>
          <w:sz w:val="24"/>
          <w:szCs w:val="24"/>
        </w:rPr>
        <w:t xml:space="preserve"> </w:t>
      </w:r>
      <w:r w:rsidR="00F2171C" w:rsidRPr="00BA2245">
        <w:rPr>
          <w:sz w:val="24"/>
          <w:szCs w:val="24"/>
        </w:rPr>
        <w:t xml:space="preserve">– nicht zuletzt auch deshalb, weil </w:t>
      </w:r>
      <w:r w:rsidRPr="00BA2245">
        <w:rPr>
          <w:sz w:val="24"/>
          <w:szCs w:val="24"/>
        </w:rPr>
        <w:t>in</w:t>
      </w:r>
      <w:r w:rsidRPr="00BA2245">
        <w:rPr>
          <w:spacing w:val="-2"/>
          <w:sz w:val="24"/>
          <w:szCs w:val="24"/>
        </w:rPr>
        <w:t xml:space="preserve"> </w:t>
      </w:r>
      <w:r w:rsidRPr="00BA2245">
        <w:rPr>
          <w:sz w:val="24"/>
          <w:szCs w:val="24"/>
        </w:rPr>
        <w:t>manchen Ländermärkten bestimmte Produ</w:t>
      </w:r>
      <w:r w:rsidR="00BA2245" w:rsidRPr="00BA2245">
        <w:rPr>
          <w:sz w:val="24"/>
          <w:szCs w:val="24"/>
        </w:rPr>
        <w:t xml:space="preserve">ktmerkmale vorgeschrieben sind. Gemäß einer Dokumentation des </w:t>
      </w:r>
      <w:r w:rsidR="00BA2245">
        <w:rPr>
          <w:sz w:val="24"/>
          <w:szCs w:val="24"/>
        </w:rPr>
        <w:t>Europäischen</w:t>
      </w:r>
      <w:r w:rsidR="00BA2245" w:rsidRPr="00BA2245">
        <w:rPr>
          <w:spacing w:val="-4"/>
          <w:sz w:val="24"/>
          <w:szCs w:val="24"/>
        </w:rPr>
        <w:t xml:space="preserve"> </w:t>
      </w:r>
      <w:r w:rsidR="00BA2245" w:rsidRPr="00BA2245">
        <w:rPr>
          <w:sz w:val="24"/>
          <w:szCs w:val="24"/>
        </w:rPr>
        <w:t>Verbraucherzentrum</w:t>
      </w:r>
      <w:r w:rsidR="00BA2245">
        <w:rPr>
          <w:sz w:val="24"/>
          <w:szCs w:val="24"/>
        </w:rPr>
        <w:t>s</w:t>
      </w:r>
      <w:r w:rsidR="00BA2245" w:rsidRPr="00BA2245">
        <w:rPr>
          <w:spacing w:val="-2"/>
          <w:sz w:val="24"/>
          <w:szCs w:val="24"/>
        </w:rPr>
        <w:t xml:space="preserve"> </w:t>
      </w:r>
      <w:r w:rsidR="00BA2245">
        <w:rPr>
          <w:sz w:val="24"/>
          <w:szCs w:val="24"/>
        </w:rPr>
        <w:t>(</w:t>
      </w:r>
      <w:r w:rsidR="00BA2245" w:rsidRPr="00BA2245">
        <w:rPr>
          <w:sz w:val="24"/>
          <w:szCs w:val="24"/>
        </w:rPr>
        <w:t>Automobile</w:t>
      </w:r>
      <w:r w:rsidR="00BA2245" w:rsidRPr="00BA2245">
        <w:rPr>
          <w:spacing w:val="-4"/>
          <w:sz w:val="24"/>
          <w:szCs w:val="24"/>
        </w:rPr>
        <w:t xml:space="preserve"> </w:t>
      </w:r>
      <w:r w:rsidR="00BA2245" w:rsidRPr="00BA2245">
        <w:rPr>
          <w:sz w:val="24"/>
          <w:szCs w:val="24"/>
        </w:rPr>
        <w:t>Car</w:t>
      </w:r>
      <w:r w:rsidR="00BA2245" w:rsidRPr="00BA2245">
        <w:rPr>
          <w:spacing w:val="-2"/>
          <w:sz w:val="24"/>
          <w:szCs w:val="24"/>
        </w:rPr>
        <w:t xml:space="preserve"> </w:t>
      </w:r>
      <w:r w:rsidR="00BA2245">
        <w:rPr>
          <w:sz w:val="24"/>
          <w:szCs w:val="24"/>
        </w:rPr>
        <w:t>P</w:t>
      </w:r>
      <w:r w:rsidR="00BA2245" w:rsidRPr="00BA2245">
        <w:rPr>
          <w:sz w:val="24"/>
          <w:szCs w:val="24"/>
        </w:rPr>
        <w:t>rice</w:t>
      </w:r>
      <w:r w:rsidR="00BA2245" w:rsidRPr="00BA2245">
        <w:rPr>
          <w:spacing w:val="-4"/>
          <w:sz w:val="24"/>
          <w:szCs w:val="24"/>
        </w:rPr>
        <w:t xml:space="preserve"> </w:t>
      </w:r>
      <w:r w:rsidR="00BA2245">
        <w:rPr>
          <w:spacing w:val="-2"/>
          <w:sz w:val="24"/>
          <w:szCs w:val="24"/>
        </w:rPr>
        <w:t>R</w:t>
      </w:r>
      <w:r w:rsidR="00BA2245" w:rsidRPr="00BA2245">
        <w:rPr>
          <w:spacing w:val="-2"/>
          <w:sz w:val="24"/>
          <w:szCs w:val="24"/>
        </w:rPr>
        <w:t>eport</w:t>
      </w:r>
      <w:r w:rsidR="00BA2245">
        <w:rPr>
          <w:spacing w:val="-2"/>
        </w:rPr>
        <w:t xml:space="preserve">) betrug bspw. der </w:t>
      </w:r>
      <w:r w:rsidR="00BA2245">
        <w:t>Werkspreis</w:t>
      </w:r>
      <w:r w:rsidRPr="00E73F6F">
        <w:rPr>
          <w:spacing w:val="-3"/>
        </w:rPr>
        <w:t xml:space="preserve"> </w:t>
      </w:r>
      <w:r w:rsidRPr="00E73F6F">
        <w:t>für</w:t>
      </w:r>
      <w:r w:rsidRPr="00E73F6F">
        <w:rPr>
          <w:spacing w:val="-1"/>
        </w:rPr>
        <w:t xml:space="preserve"> </w:t>
      </w:r>
      <w:r w:rsidRPr="00E73F6F">
        <w:t>einen</w:t>
      </w:r>
      <w:r w:rsidRPr="00E73F6F">
        <w:rPr>
          <w:spacing w:val="-2"/>
        </w:rPr>
        <w:t xml:space="preserve"> </w:t>
      </w:r>
      <w:r w:rsidRPr="00E73F6F">
        <w:t>Mercedes</w:t>
      </w:r>
      <w:r w:rsidRPr="00E73F6F">
        <w:rPr>
          <w:spacing w:val="-2"/>
        </w:rPr>
        <w:t xml:space="preserve"> </w:t>
      </w:r>
      <w:r w:rsidRPr="00E73F6F">
        <w:t>C</w:t>
      </w:r>
      <w:r w:rsidRPr="00E73F6F">
        <w:rPr>
          <w:spacing w:val="-1"/>
        </w:rPr>
        <w:t xml:space="preserve"> </w:t>
      </w:r>
      <w:r w:rsidR="00BA2245">
        <w:t>220 am 1.01.2010 in Litauen 30.134 €, in Spanien 28.629 €, in Dänemark 23.448 €, und in Großbritannien 21.213 €.</w:t>
      </w:r>
    </w:p>
    <w:p w14:paraId="708E03D5" w14:textId="77777777" w:rsidR="00FF7799" w:rsidRPr="00BA2245" w:rsidRDefault="00FF7799" w:rsidP="00247954">
      <w:pPr>
        <w:pStyle w:val="StandardText"/>
      </w:pPr>
      <w:r w:rsidRPr="00BA2245">
        <w:t>Aber auch in anderen Branchen ist regionale Preisdifferenzierung üblich, vor allem in geographisch weit voneinander entfernten Ländern. So bieten amerikanische Hersteller wie GAP Textilien im US-Markt regelmäßig deutlich billiger an als in Großbritannien (vgl. Keegan/Schlegelmilch 2001, S.398).</w:t>
      </w:r>
    </w:p>
    <w:p w14:paraId="1335EB22" w14:textId="77777777" w:rsidR="00FF7799" w:rsidRPr="00BA2245" w:rsidRDefault="00FF7799" w:rsidP="00247954">
      <w:pPr>
        <w:pStyle w:val="StandardText"/>
      </w:pPr>
    </w:p>
    <w:p w14:paraId="168A286F" w14:textId="0E5EFE06" w:rsidR="00FF7799" w:rsidRPr="00BA2245" w:rsidRDefault="002E3E4F" w:rsidP="00247954">
      <w:pPr>
        <w:pStyle w:val="StandardTextkursiv"/>
        <w:rPr>
          <w:i w:val="0"/>
        </w:rPr>
      </w:pPr>
      <w:r>
        <w:rPr>
          <w:i w:val="0"/>
        </w:rPr>
        <w:t xml:space="preserve">4 </w:t>
      </w:r>
      <w:r w:rsidR="00FF7799" w:rsidRPr="00BA2245">
        <w:rPr>
          <w:i w:val="0"/>
        </w:rPr>
        <w:t>Hemmnisse</w:t>
      </w:r>
      <w:r w:rsidR="00FF7799" w:rsidRPr="00BA2245">
        <w:rPr>
          <w:i w:val="0"/>
          <w:spacing w:val="-4"/>
        </w:rPr>
        <w:t xml:space="preserve"> </w:t>
      </w:r>
      <w:r w:rsidR="00FF7799" w:rsidRPr="00BA2245">
        <w:rPr>
          <w:i w:val="0"/>
        </w:rPr>
        <w:t>einer</w:t>
      </w:r>
      <w:r w:rsidR="00FF7799" w:rsidRPr="00BA2245">
        <w:rPr>
          <w:i w:val="0"/>
          <w:spacing w:val="-2"/>
        </w:rPr>
        <w:t xml:space="preserve"> </w:t>
      </w:r>
      <w:r w:rsidR="00FF7799" w:rsidRPr="00BA2245">
        <w:rPr>
          <w:i w:val="0"/>
        </w:rPr>
        <w:t>internationalen</w:t>
      </w:r>
      <w:r w:rsidR="00FF7799" w:rsidRPr="00BA2245">
        <w:rPr>
          <w:i w:val="0"/>
          <w:spacing w:val="-1"/>
        </w:rPr>
        <w:t xml:space="preserve"> </w:t>
      </w:r>
      <w:r w:rsidR="00FF7799" w:rsidRPr="00BA2245">
        <w:rPr>
          <w:i w:val="0"/>
          <w:spacing w:val="-2"/>
        </w:rPr>
        <w:t>Preisdifferenzierung</w:t>
      </w:r>
    </w:p>
    <w:p w14:paraId="4D3DDCD3" w14:textId="77777777" w:rsidR="00FF7799" w:rsidRPr="00BA2245" w:rsidRDefault="00FF7799" w:rsidP="00247954">
      <w:pPr>
        <w:pStyle w:val="StandardText"/>
      </w:pPr>
      <w:r w:rsidRPr="00BA2245">
        <w:t>Einer</w:t>
      </w:r>
      <w:r w:rsidRPr="00BA2245">
        <w:rPr>
          <w:spacing w:val="-7"/>
        </w:rPr>
        <w:t xml:space="preserve"> </w:t>
      </w:r>
      <w:r w:rsidRPr="00BA2245">
        <w:t>regionalen,</w:t>
      </w:r>
      <w:r w:rsidRPr="00BA2245">
        <w:rPr>
          <w:spacing w:val="-8"/>
        </w:rPr>
        <w:t xml:space="preserve"> </w:t>
      </w:r>
      <w:r w:rsidRPr="00BA2245">
        <w:t>d.h.</w:t>
      </w:r>
      <w:r w:rsidRPr="00BA2245">
        <w:rPr>
          <w:spacing w:val="-8"/>
        </w:rPr>
        <w:t xml:space="preserve"> </w:t>
      </w:r>
      <w:r w:rsidRPr="00BA2245">
        <w:t>nicht</w:t>
      </w:r>
      <w:r w:rsidRPr="00BA2245">
        <w:rPr>
          <w:spacing w:val="-7"/>
        </w:rPr>
        <w:t xml:space="preserve"> </w:t>
      </w:r>
      <w:r w:rsidRPr="00BA2245">
        <w:t>leistungsbezogenen</w:t>
      </w:r>
      <w:r w:rsidRPr="00BA2245">
        <w:rPr>
          <w:spacing w:val="-8"/>
        </w:rPr>
        <w:t xml:space="preserve"> </w:t>
      </w:r>
      <w:r w:rsidRPr="00BA2245">
        <w:t>Preisdifferenzierung</w:t>
      </w:r>
      <w:r w:rsidRPr="00BA2245">
        <w:rPr>
          <w:spacing w:val="-6"/>
        </w:rPr>
        <w:t xml:space="preserve"> </w:t>
      </w:r>
      <w:r w:rsidRPr="00BA2245">
        <w:t>steht</w:t>
      </w:r>
      <w:r w:rsidRPr="00BA2245">
        <w:rPr>
          <w:spacing w:val="-8"/>
        </w:rPr>
        <w:t xml:space="preserve"> </w:t>
      </w:r>
      <w:r w:rsidRPr="00BA2245">
        <w:t>alles</w:t>
      </w:r>
      <w:r w:rsidRPr="00BA2245">
        <w:rPr>
          <w:spacing w:val="-8"/>
        </w:rPr>
        <w:t xml:space="preserve"> </w:t>
      </w:r>
      <w:r w:rsidRPr="00BA2245">
        <w:t>im Wege, was für Transparenz auf internationalen Märkten sorgt. Neben Preisagenturen (vgl. Lingenfelder/Lauer 2003) trägt dazu primär das WWW bei.</w:t>
      </w:r>
    </w:p>
    <w:p w14:paraId="594D74D3" w14:textId="77777777" w:rsidR="00FF7799" w:rsidRPr="00E73F6F" w:rsidRDefault="00FF7799" w:rsidP="00247954">
      <w:pPr>
        <w:pStyle w:val="StandardText"/>
      </w:pPr>
      <w:r w:rsidRPr="00E73F6F">
        <w:t>Zumindest</w:t>
      </w:r>
      <w:r w:rsidRPr="00E73F6F">
        <w:rPr>
          <w:spacing w:val="-10"/>
        </w:rPr>
        <w:t xml:space="preserve"> </w:t>
      </w:r>
      <w:r w:rsidRPr="00E73F6F">
        <w:t>in</w:t>
      </w:r>
      <w:r w:rsidRPr="00E73F6F">
        <w:rPr>
          <w:spacing w:val="-10"/>
        </w:rPr>
        <w:t xml:space="preserve"> </w:t>
      </w:r>
      <w:r w:rsidRPr="00E73F6F">
        <w:t>den</w:t>
      </w:r>
      <w:r w:rsidRPr="00E73F6F">
        <w:rPr>
          <w:spacing w:val="-10"/>
        </w:rPr>
        <w:t xml:space="preserve"> </w:t>
      </w:r>
      <w:r w:rsidRPr="00E73F6F">
        <w:t>entwickelten</w:t>
      </w:r>
      <w:r w:rsidRPr="00E73F6F">
        <w:rPr>
          <w:spacing w:val="-10"/>
        </w:rPr>
        <w:t xml:space="preserve"> </w:t>
      </w:r>
      <w:r w:rsidRPr="00E73F6F">
        <w:t>Industrieländern</w:t>
      </w:r>
      <w:r w:rsidRPr="00E73F6F">
        <w:rPr>
          <w:spacing w:val="-10"/>
        </w:rPr>
        <w:t xml:space="preserve"> </w:t>
      </w:r>
      <w:r w:rsidRPr="00E73F6F">
        <w:t>versetzt</w:t>
      </w:r>
      <w:r w:rsidRPr="00E73F6F">
        <w:rPr>
          <w:spacing w:val="-10"/>
        </w:rPr>
        <w:t xml:space="preserve"> </w:t>
      </w:r>
      <w:r w:rsidRPr="00E73F6F">
        <w:t>„das</w:t>
      </w:r>
      <w:r w:rsidRPr="00E73F6F">
        <w:rPr>
          <w:spacing w:val="-10"/>
        </w:rPr>
        <w:t xml:space="preserve"> </w:t>
      </w:r>
      <w:r w:rsidRPr="00E73F6F">
        <w:t>Netz“</w:t>
      </w:r>
      <w:r w:rsidRPr="00E73F6F">
        <w:rPr>
          <w:spacing w:val="-10"/>
        </w:rPr>
        <w:t xml:space="preserve"> </w:t>
      </w:r>
      <w:r w:rsidRPr="00E73F6F">
        <w:t>Millionen</w:t>
      </w:r>
      <w:r w:rsidRPr="00E73F6F">
        <w:rPr>
          <w:spacing w:val="-10"/>
        </w:rPr>
        <w:t xml:space="preserve"> </w:t>
      </w:r>
      <w:r w:rsidRPr="00E73F6F">
        <w:t>von Menschen in die Lage, weltweit und zeitgleich (Preis-) Informationen von Herstellern, Händlern, Verbraucherschutzorganisationen etc. abzurufen. Elektronische Marktplätze, die insb. für den Verkauf von Investitionsgütern international</w:t>
      </w:r>
      <w:r w:rsidRPr="00E73F6F">
        <w:rPr>
          <w:spacing w:val="-12"/>
        </w:rPr>
        <w:t xml:space="preserve"> </w:t>
      </w:r>
      <w:r w:rsidRPr="00E73F6F">
        <w:t>genutzt</w:t>
      </w:r>
      <w:r w:rsidRPr="00E73F6F">
        <w:rPr>
          <w:spacing w:val="-11"/>
        </w:rPr>
        <w:t xml:space="preserve"> </w:t>
      </w:r>
      <w:r w:rsidRPr="00E73F6F">
        <w:t>werden,</w:t>
      </w:r>
      <w:r w:rsidRPr="00E73F6F">
        <w:rPr>
          <w:spacing w:val="-11"/>
        </w:rPr>
        <w:t xml:space="preserve"> </w:t>
      </w:r>
      <w:r w:rsidRPr="00E73F6F">
        <w:t>sorgen</w:t>
      </w:r>
      <w:r w:rsidRPr="00E73F6F">
        <w:rPr>
          <w:spacing w:val="-11"/>
        </w:rPr>
        <w:t xml:space="preserve"> </w:t>
      </w:r>
      <w:r w:rsidRPr="00E73F6F">
        <w:t>zusätzlich</w:t>
      </w:r>
      <w:r w:rsidRPr="00E73F6F">
        <w:rPr>
          <w:spacing w:val="-12"/>
        </w:rPr>
        <w:t xml:space="preserve"> </w:t>
      </w:r>
      <w:r w:rsidRPr="00E73F6F">
        <w:t>für</w:t>
      </w:r>
      <w:r w:rsidRPr="00E73F6F">
        <w:rPr>
          <w:spacing w:val="-11"/>
        </w:rPr>
        <w:t xml:space="preserve"> </w:t>
      </w:r>
      <w:r w:rsidRPr="00E73F6F">
        <w:t>Preistransparenz.</w:t>
      </w:r>
      <w:r w:rsidRPr="00E73F6F">
        <w:rPr>
          <w:spacing w:val="-11"/>
        </w:rPr>
        <w:t xml:space="preserve"> </w:t>
      </w:r>
      <w:r w:rsidRPr="00E73F6F">
        <w:t>Da</w:t>
      </w:r>
      <w:r w:rsidRPr="00E73F6F">
        <w:rPr>
          <w:spacing w:val="-11"/>
        </w:rPr>
        <w:t xml:space="preserve"> </w:t>
      </w:r>
      <w:r w:rsidRPr="00E73F6F">
        <w:t>der</w:t>
      </w:r>
      <w:r w:rsidRPr="00E73F6F">
        <w:rPr>
          <w:spacing w:val="-12"/>
        </w:rPr>
        <w:t xml:space="preserve"> </w:t>
      </w:r>
      <w:r w:rsidRPr="00E73F6F">
        <w:t>Kunde somit auf elektronischem Wege mit geographisch weit entfernten potenziellen Anbietern</w:t>
      </w:r>
      <w:r w:rsidRPr="00E73F6F">
        <w:rPr>
          <w:spacing w:val="-12"/>
        </w:rPr>
        <w:t xml:space="preserve"> </w:t>
      </w:r>
      <w:r w:rsidRPr="00E73F6F">
        <w:t>ohne</w:t>
      </w:r>
      <w:r w:rsidRPr="00E73F6F">
        <w:rPr>
          <w:spacing w:val="-11"/>
        </w:rPr>
        <w:t xml:space="preserve"> </w:t>
      </w:r>
      <w:r w:rsidRPr="00E73F6F">
        <w:t>nennenswerte</w:t>
      </w:r>
      <w:r w:rsidRPr="00E73F6F">
        <w:rPr>
          <w:spacing w:val="-11"/>
        </w:rPr>
        <w:t xml:space="preserve"> </w:t>
      </w:r>
      <w:r w:rsidRPr="00E73F6F">
        <w:t>Transaktionskosten</w:t>
      </w:r>
      <w:r w:rsidRPr="00E73F6F">
        <w:rPr>
          <w:spacing w:val="-11"/>
        </w:rPr>
        <w:t xml:space="preserve"> </w:t>
      </w:r>
      <w:r w:rsidRPr="00E73F6F">
        <w:t>in</w:t>
      </w:r>
      <w:r w:rsidRPr="00E73F6F">
        <w:rPr>
          <w:spacing w:val="-10"/>
        </w:rPr>
        <w:t xml:space="preserve"> </w:t>
      </w:r>
      <w:r w:rsidRPr="00E73F6F">
        <w:t>Verbindung</w:t>
      </w:r>
      <w:r w:rsidRPr="00E73F6F">
        <w:rPr>
          <w:spacing w:val="-10"/>
        </w:rPr>
        <w:t xml:space="preserve"> </w:t>
      </w:r>
      <w:r w:rsidRPr="00E73F6F">
        <w:t>treten</w:t>
      </w:r>
      <w:r w:rsidRPr="00E73F6F">
        <w:rPr>
          <w:spacing w:val="-10"/>
        </w:rPr>
        <w:t xml:space="preserve"> </w:t>
      </w:r>
      <w:r w:rsidRPr="00E73F6F">
        <w:t>kann,</w:t>
      </w:r>
      <w:r w:rsidRPr="00E73F6F">
        <w:rPr>
          <w:spacing w:val="-11"/>
        </w:rPr>
        <w:t xml:space="preserve"> </w:t>
      </w:r>
      <w:r w:rsidRPr="00E73F6F">
        <w:t>wird es zunehmend schwer, Preise regional zu differenzieren.</w:t>
      </w:r>
    </w:p>
    <w:p w14:paraId="0B87AB41" w14:textId="77777777" w:rsidR="00FF7799" w:rsidRPr="00E73F6F" w:rsidRDefault="00FF7799" w:rsidP="00247954">
      <w:pPr>
        <w:pStyle w:val="StandardText"/>
      </w:pPr>
      <w:r w:rsidRPr="00E73F6F">
        <w:t>Dennoch werden die Preisunterschiede zwischen einzelnen Ländermärkten nicht völlig verschwinden:</w:t>
      </w:r>
    </w:p>
    <w:p w14:paraId="6EC1A5F7" w14:textId="77777777" w:rsidR="00FF7799" w:rsidRPr="00E73F6F" w:rsidRDefault="00FF7799" w:rsidP="002E3E4F">
      <w:pPr>
        <w:pStyle w:val="StandardTextAufzhlung"/>
        <w:ind w:left="426"/>
      </w:pPr>
      <w:r w:rsidRPr="00E73F6F">
        <w:t>Die</w:t>
      </w:r>
      <w:r w:rsidRPr="00E73F6F">
        <w:rPr>
          <w:spacing w:val="-5"/>
        </w:rPr>
        <w:t xml:space="preserve"> </w:t>
      </w:r>
      <w:r w:rsidRPr="00E73F6F">
        <w:t>Hersteller</w:t>
      </w:r>
      <w:r w:rsidRPr="00E73F6F">
        <w:rPr>
          <w:spacing w:val="-5"/>
        </w:rPr>
        <w:t xml:space="preserve"> </w:t>
      </w:r>
      <w:r w:rsidRPr="00E73F6F">
        <w:t>wissen</w:t>
      </w:r>
      <w:r w:rsidRPr="00E73F6F">
        <w:rPr>
          <w:spacing w:val="-3"/>
        </w:rPr>
        <w:t xml:space="preserve"> </w:t>
      </w:r>
      <w:r w:rsidRPr="00E73F6F">
        <w:t>um</w:t>
      </w:r>
      <w:r w:rsidRPr="00E73F6F">
        <w:rPr>
          <w:spacing w:val="-4"/>
        </w:rPr>
        <w:t xml:space="preserve"> </w:t>
      </w:r>
      <w:r w:rsidRPr="00E73F6F">
        <w:t>die</w:t>
      </w:r>
      <w:r w:rsidRPr="00E73F6F">
        <w:rPr>
          <w:spacing w:val="-4"/>
        </w:rPr>
        <w:t xml:space="preserve"> </w:t>
      </w:r>
      <w:r w:rsidRPr="00E73F6F">
        <w:t>Risiken,</w:t>
      </w:r>
      <w:r w:rsidRPr="00E73F6F">
        <w:rPr>
          <w:spacing w:val="-4"/>
        </w:rPr>
        <w:t xml:space="preserve"> </w:t>
      </w:r>
      <w:r w:rsidRPr="00E73F6F">
        <w:t>die</w:t>
      </w:r>
      <w:r w:rsidRPr="00E73F6F">
        <w:rPr>
          <w:spacing w:val="-4"/>
        </w:rPr>
        <w:t xml:space="preserve"> </w:t>
      </w:r>
      <w:r w:rsidRPr="00E73F6F">
        <w:t>einer</w:t>
      </w:r>
      <w:r w:rsidRPr="00E73F6F">
        <w:rPr>
          <w:spacing w:val="-4"/>
        </w:rPr>
        <w:t xml:space="preserve"> </w:t>
      </w:r>
      <w:r w:rsidRPr="00E73F6F">
        <w:t>erhöhten</w:t>
      </w:r>
      <w:r w:rsidRPr="00E73F6F">
        <w:rPr>
          <w:spacing w:val="-3"/>
        </w:rPr>
        <w:t xml:space="preserve"> </w:t>
      </w:r>
      <w:r w:rsidRPr="00E73F6F">
        <w:t>Transparenz innewohnen, und geben im Netz oft bewusst keine Preise an, sondern verweisen hierfür auf ihre Händler.</w:t>
      </w:r>
    </w:p>
    <w:p w14:paraId="1608EE44" w14:textId="77777777" w:rsidR="00FF7799" w:rsidRPr="00E73F6F" w:rsidRDefault="00FF7799" w:rsidP="002E3E4F">
      <w:pPr>
        <w:pStyle w:val="StandardTextAufzhlung"/>
        <w:ind w:left="426"/>
      </w:pPr>
      <w:r w:rsidRPr="00E73F6F">
        <w:t>Viele Websites sind nur in der Landessprache verfasst, zusätzlich allenfalls in Englisch. Das verringert die Wahrscheinlichkeit, dass Ausländer</w:t>
      </w:r>
      <w:r w:rsidRPr="00E73F6F">
        <w:rPr>
          <w:spacing w:val="-5"/>
        </w:rPr>
        <w:t xml:space="preserve"> </w:t>
      </w:r>
      <w:r w:rsidRPr="00E73F6F">
        <w:t>diese</w:t>
      </w:r>
      <w:r w:rsidRPr="00E73F6F">
        <w:rPr>
          <w:spacing w:val="-6"/>
        </w:rPr>
        <w:t xml:space="preserve"> </w:t>
      </w:r>
      <w:r w:rsidRPr="00E73F6F">
        <w:t>Informationsmöglichkeit</w:t>
      </w:r>
      <w:r w:rsidRPr="00E73F6F">
        <w:rPr>
          <w:spacing w:val="-5"/>
        </w:rPr>
        <w:t xml:space="preserve"> </w:t>
      </w:r>
      <w:r w:rsidRPr="00E73F6F">
        <w:t>nutzen;</w:t>
      </w:r>
      <w:r w:rsidRPr="00E73F6F">
        <w:rPr>
          <w:spacing w:val="-5"/>
        </w:rPr>
        <w:t xml:space="preserve"> </w:t>
      </w:r>
      <w:r w:rsidRPr="00E73F6F">
        <w:t>zumindest</w:t>
      </w:r>
      <w:r w:rsidRPr="00E73F6F">
        <w:rPr>
          <w:spacing w:val="-5"/>
        </w:rPr>
        <w:t xml:space="preserve"> </w:t>
      </w:r>
      <w:r w:rsidRPr="00E73F6F">
        <w:t>erhöht</w:t>
      </w:r>
      <w:r w:rsidRPr="00E73F6F">
        <w:rPr>
          <w:spacing w:val="-9"/>
        </w:rPr>
        <w:t xml:space="preserve"> </w:t>
      </w:r>
      <w:r w:rsidRPr="00E73F6F">
        <w:t>es deren Lesewiderstand.</w:t>
      </w:r>
    </w:p>
    <w:p w14:paraId="684133F1" w14:textId="77777777" w:rsidR="002E3E4F" w:rsidRDefault="002E3E4F" w:rsidP="00247954">
      <w:pPr>
        <w:pStyle w:val="StandardText"/>
      </w:pPr>
    </w:p>
    <w:p w14:paraId="6FA97227" w14:textId="7133B8B0" w:rsidR="00FF7799" w:rsidRPr="00E73F6F" w:rsidRDefault="00FF7799" w:rsidP="00247954">
      <w:pPr>
        <w:pStyle w:val="StandardText"/>
      </w:pPr>
      <w:r w:rsidRPr="00E73F6F">
        <w:t>Weit schwieriger, als Kontakt zu einem ausländischen Lieferanten herzustellen, ist es, den Transport der bestellten Ware zu organisieren. Die allermeisten</w:t>
      </w:r>
      <w:r w:rsidRPr="00E73F6F">
        <w:rPr>
          <w:spacing w:val="-5"/>
        </w:rPr>
        <w:t xml:space="preserve"> </w:t>
      </w:r>
      <w:r w:rsidRPr="00E73F6F">
        <w:t>privaten</w:t>
      </w:r>
      <w:r w:rsidRPr="00E73F6F">
        <w:rPr>
          <w:spacing w:val="-4"/>
        </w:rPr>
        <w:t xml:space="preserve"> </w:t>
      </w:r>
      <w:r w:rsidRPr="00E73F6F">
        <w:t>Käufer</w:t>
      </w:r>
      <w:r w:rsidRPr="00E73F6F">
        <w:rPr>
          <w:spacing w:val="-6"/>
        </w:rPr>
        <w:t xml:space="preserve"> </w:t>
      </w:r>
      <w:r w:rsidRPr="00E73F6F">
        <w:t>wissen</w:t>
      </w:r>
      <w:r w:rsidRPr="00E73F6F">
        <w:rPr>
          <w:spacing w:val="-4"/>
        </w:rPr>
        <w:t xml:space="preserve"> </w:t>
      </w:r>
      <w:r w:rsidRPr="00E73F6F">
        <w:t>nicht,</w:t>
      </w:r>
      <w:r w:rsidRPr="00E73F6F">
        <w:rPr>
          <w:spacing w:val="-5"/>
        </w:rPr>
        <w:t xml:space="preserve"> </w:t>
      </w:r>
      <w:r w:rsidRPr="00E73F6F">
        <w:t>welche</w:t>
      </w:r>
      <w:r w:rsidRPr="00E73F6F">
        <w:rPr>
          <w:spacing w:val="-6"/>
        </w:rPr>
        <w:t xml:space="preserve"> </w:t>
      </w:r>
      <w:r w:rsidRPr="00E73F6F">
        <w:t>Garantieleistungen</w:t>
      </w:r>
      <w:r w:rsidRPr="00E73F6F">
        <w:rPr>
          <w:spacing w:val="-4"/>
        </w:rPr>
        <w:t xml:space="preserve"> </w:t>
      </w:r>
      <w:r w:rsidRPr="00E73F6F">
        <w:t>ihnen zustehen. Auch verlangen viele Lieferanten bei Bestellungen aus dem Ausland Vorkasse. Und falls die Ware bei der Auslieferung beschädigt ist, fällt es schwer, die Gewährleistungsansprüche im Ausland durchzusetzen. Allein der ferne Gerichtsort stellt eine kaum zu überwindende Hürde dar.</w:t>
      </w:r>
    </w:p>
    <w:p w14:paraId="528D3EFF" w14:textId="77777777" w:rsidR="00FF7799" w:rsidRPr="00E73F6F" w:rsidRDefault="00FF7799" w:rsidP="00247954">
      <w:pPr>
        <w:pStyle w:val="StandardText"/>
      </w:pPr>
      <w:r w:rsidRPr="00E73F6F">
        <w:t>Wer als mehrwertsteuerpflichtiger Einkäufer Ware aus dem Ausland bezieht,</w:t>
      </w:r>
      <w:r w:rsidRPr="00E73F6F">
        <w:rPr>
          <w:spacing w:val="-3"/>
        </w:rPr>
        <w:t xml:space="preserve"> </w:t>
      </w:r>
      <w:r w:rsidRPr="00E73F6F">
        <w:t>kann</w:t>
      </w:r>
      <w:r w:rsidRPr="00E73F6F">
        <w:rPr>
          <w:spacing w:val="-4"/>
        </w:rPr>
        <w:t xml:space="preserve"> </w:t>
      </w:r>
      <w:r w:rsidRPr="00E73F6F">
        <w:t>die</w:t>
      </w:r>
      <w:r w:rsidRPr="00E73F6F">
        <w:rPr>
          <w:spacing w:val="-3"/>
        </w:rPr>
        <w:t xml:space="preserve"> </w:t>
      </w:r>
      <w:r w:rsidRPr="00E73F6F">
        <w:t>Vorsteuer,</w:t>
      </w:r>
      <w:r w:rsidRPr="00E73F6F">
        <w:rPr>
          <w:spacing w:val="-3"/>
        </w:rPr>
        <w:t xml:space="preserve"> </w:t>
      </w:r>
      <w:r w:rsidRPr="00E73F6F">
        <w:t>die</w:t>
      </w:r>
      <w:r w:rsidRPr="00E73F6F">
        <w:rPr>
          <w:spacing w:val="-6"/>
        </w:rPr>
        <w:t xml:space="preserve"> </w:t>
      </w:r>
      <w:r w:rsidRPr="00E73F6F">
        <w:t>im</w:t>
      </w:r>
      <w:r w:rsidRPr="00E73F6F">
        <w:rPr>
          <w:spacing w:val="-3"/>
        </w:rPr>
        <w:t xml:space="preserve"> </w:t>
      </w:r>
      <w:r w:rsidRPr="00E73F6F">
        <w:t>Ausland</w:t>
      </w:r>
      <w:r w:rsidRPr="00E73F6F">
        <w:rPr>
          <w:spacing w:val="-4"/>
        </w:rPr>
        <w:t xml:space="preserve"> </w:t>
      </w:r>
      <w:r w:rsidRPr="00E73F6F">
        <w:t>anfällt,</w:t>
      </w:r>
      <w:r w:rsidRPr="00E73F6F">
        <w:rPr>
          <w:spacing w:val="-5"/>
        </w:rPr>
        <w:t xml:space="preserve"> </w:t>
      </w:r>
      <w:r w:rsidRPr="00E73F6F">
        <w:t>nicht</w:t>
      </w:r>
      <w:r w:rsidRPr="00E73F6F">
        <w:rPr>
          <w:spacing w:val="-5"/>
        </w:rPr>
        <w:t xml:space="preserve"> </w:t>
      </w:r>
      <w:r w:rsidRPr="00E73F6F">
        <w:t>ohne</w:t>
      </w:r>
      <w:r w:rsidRPr="00E73F6F">
        <w:rPr>
          <w:spacing w:val="-4"/>
        </w:rPr>
        <w:t xml:space="preserve"> </w:t>
      </w:r>
      <w:r w:rsidRPr="00E73F6F">
        <w:t>weiteres „ziehen“;</w:t>
      </w:r>
      <w:r w:rsidRPr="00E73F6F">
        <w:rPr>
          <w:spacing w:val="-4"/>
        </w:rPr>
        <w:t xml:space="preserve"> </w:t>
      </w:r>
      <w:r w:rsidRPr="00E73F6F">
        <w:t>auf</w:t>
      </w:r>
      <w:r w:rsidRPr="00E73F6F">
        <w:rPr>
          <w:spacing w:val="-4"/>
        </w:rPr>
        <w:t xml:space="preserve"> </w:t>
      </w:r>
      <w:r w:rsidRPr="00E73F6F">
        <w:t>jeden</w:t>
      </w:r>
      <w:r w:rsidRPr="00E73F6F">
        <w:rPr>
          <w:spacing w:val="-3"/>
        </w:rPr>
        <w:t xml:space="preserve"> </w:t>
      </w:r>
      <w:r w:rsidRPr="00E73F6F">
        <w:t>Fall</w:t>
      </w:r>
      <w:r w:rsidRPr="00E73F6F">
        <w:rPr>
          <w:spacing w:val="-4"/>
        </w:rPr>
        <w:t xml:space="preserve"> </w:t>
      </w:r>
      <w:r w:rsidRPr="00E73F6F">
        <w:t>ist</w:t>
      </w:r>
      <w:r w:rsidRPr="00E73F6F">
        <w:rPr>
          <w:spacing w:val="-4"/>
        </w:rPr>
        <w:t xml:space="preserve"> </w:t>
      </w:r>
      <w:r w:rsidRPr="00E73F6F">
        <w:t>dies</w:t>
      </w:r>
      <w:r w:rsidRPr="00E73F6F">
        <w:rPr>
          <w:spacing w:val="-5"/>
        </w:rPr>
        <w:t xml:space="preserve"> </w:t>
      </w:r>
      <w:r w:rsidRPr="00E73F6F">
        <w:t>wesentlich</w:t>
      </w:r>
      <w:r w:rsidRPr="00E73F6F">
        <w:rPr>
          <w:spacing w:val="-1"/>
        </w:rPr>
        <w:t xml:space="preserve"> </w:t>
      </w:r>
      <w:r w:rsidRPr="00E73F6F">
        <w:t>aufwändiger</w:t>
      </w:r>
      <w:r w:rsidRPr="00E73F6F">
        <w:rPr>
          <w:spacing w:val="-3"/>
        </w:rPr>
        <w:t xml:space="preserve"> </w:t>
      </w:r>
      <w:r w:rsidRPr="00E73F6F">
        <w:t>als</w:t>
      </w:r>
      <w:r w:rsidRPr="00E73F6F">
        <w:rPr>
          <w:spacing w:val="-5"/>
        </w:rPr>
        <w:t xml:space="preserve"> </w:t>
      </w:r>
      <w:r w:rsidRPr="00E73F6F">
        <w:t>im</w:t>
      </w:r>
      <w:r w:rsidRPr="00E73F6F">
        <w:rPr>
          <w:spacing w:val="-2"/>
        </w:rPr>
        <w:t xml:space="preserve"> </w:t>
      </w:r>
      <w:r w:rsidRPr="00E73F6F">
        <w:t>Inland.</w:t>
      </w:r>
      <w:r w:rsidRPr="00E73F6F">
        <w:rPr>
          <w:spacing w:val="-2"/>
        </w:rPr>
        <w:t xml:space="preserve"> </w:t>
      </w:r>
      <w:r w:rsidRPr="00E73F6F">
        <w:t>Dies gilt insb. dann, wenn es sich um eine einmalige Transaktion handelt.</w:t>
      </w:r>
    </w:p>
    <w:p w14:paraId="0FB6AE28" w14:textId="77777777" w:rsidR="00FF7799" w:rsidRPr="00E73F6F" w:rsidRDefault="00FF7799" w:rsidP="00247954">
      <w:pPr>
        <w:pStyle w:val="StandardText"/>
      </w:pPr>
      <w:r w:rsidRPr="00E73F6F">
        <w:t>Schwierigkeiten</w:t>
      </w:r>
      <w:r w:rsidRPr="00E73F6F">
        <w:rPr>
          <w:spacing w:val="-2"/>
        </w:rPr>
        <w:t xml:space="preserve"> </w:t>
      </w:r>
      <w:r w:rsidRPr="00E73F6F">
        <w:t>dieser</w:t>
      </w:r>
      <w:r w:rsidRPr="00E73F6F">
        <w:rPr>
          <w:spacing w:val="-3"/>
        </w:rPr>
        <w:t xml:space="preserve"> </w:t>
      </w:r>
      <w:r w:rsidRPr="00E73F6F">
        <w:t>Art</w:t>
      </w:r>
      <w:r w:rsidRPr="00E73F6F">
        <w:rPr>
          <w:spacing w:val="-3"/>
        </w:rPr>
        <w:t xml:space="preserve"> </w:t>
      </w:r>
      <w:r w:rsidRPr="00E73F6F">
        <w:t>halten</w:t>
      </w:r>
      <w:r w:rsidRPr="00E73F6F">
        <w:rPr>
          <w:spacing w:val="-2"/>
        </w:rPr>
        <w:t xml:space="preserve"> </w:t>
      </w:r>
      <w:r w:rsidRPr="00E73F6F">
        <w:t>Endverbraucher</w:t>
      </w:r>
      <w:r w:rsidRPr="00E73F6F">
        <w:rPr>
          <w:spacing w:val="-1"/>
        </w:rPr>
        <w:t xml:space="preserve"> </w:t>
      </w:r>
      <w:r w:rsidRPr="00E73F6F">
        <w:t>oft</w:t>
      </w:r>
      <w:r w:rsidRPr="00E73F6F">
        <w:rPr>
          <w:spacing w:val="-5"/>
        </w:rPr>
        <w:t xml:space="preserve"> </w:t>
      </w:r>
      <w:r w:rsidRPr="00E73F6F">
        <w:t>davon</w:t>
      </w:r>
      <w:r w:rsidRPr="00E73F6F">
        <w:rPr>
          <w:spacing w:val="-2"/>
        </w:rPr>
        <w:t xml:space="preserve"> </w:t>
      </w:r>
      <w:r w:rsidRPr="00E73F6F">
        <w:t>ab,</w:t>
      </w:r>
      <w:r w:rsidRPr="00E73F6F">
        <w:rPr>
          <w:spacing w:val="-3"/>
        </w:rPr>
        <w:t xml:space="preserve"> </w:t>
      </w:r>
      <w:r w:rsidRPr="00E73F6F">
        <w:t>handelbare</w:t>
      </w:r>
      <w:r w:rsidRPr="00E73F6F">
        <w:rPr>
          <w:spacing w:val="-4"/>
        </w:rPr>
        <w:t xml:space="preserve"> </w:t>
      </w:r>
      <w:r w:rsidRPr="00E73F6F">
        <w:t>Güter im Ausland billiger einzukaufen. Betrachten wir als Beispiel einen deutschen Bauherrn. Im Internet macht er einen toskanischen Anbieter ausfindig, welcher Terra</w:t>
      </w:r>
      <w:r w:rsidRPr="00E73F6F">
        <w:rPr>
          <w:spacing w:val="-4"/>
        </w:rPr>
        <w:t xml:space="preserve"> </w:t>
      </w:r>
      <w:r w:rsidRPr="00E73F6F">
        <w:t>Cotta-Platten</w:t>
      </w:r>
      <w:r w:rsidRPr="00E73F6F">
        <w:rPr>
          <w:spacing w:val="-5"/>
        </w:rPr>
        <w:t xml:space="preserve"> </w:t>
      </w:r>
      <w:r w:rsidRPr="00E73F6F">
        <w:t>deutlich</w:t>
      </w:r>
      <w:r w:rsidRPr="00E73F6F">
        <w:rPr>
          <w:spacing w:val="-5"/>
        </w:rPr>
        <w:t xml:space="preserve"> </w:t>
      </w:r>
      <w:r w:rsidRPr="00E73F6F">
        <w:t>billiger</w:t>
      </w:r>
      <w:r w:rsidRPr="00E73F6F">
        <w:rPr>
          <w:spacing w:val="-3"/>
        </w:rPr>
        <w:t xml:space="preserve"> </w:t>
      </w:r>
      <w:r w:rsidRPr="00E73F6F">
        <w:t>verkauft</w:t>
      </w:r>
      <w:r w:rsidRPr="00E73F6F">
        <w:rPr>
          <w:spacing w:val="-3"/>
        </w:rPr>
        <w:t xml:space="preserve"> </w:t>
      </w:r>
      <w:r w:rsidRPr="00E73F6F">
        <w:t>als</w:t>
      </w:r>
      <w:r w:rsidRPr="00E73F6F">
        <w:rPr>
          <w:spacing w:val="-5"/>
        </w:rPr>
        <w:t xml:space="preserve"> </w:t>
      </w:r>
      <w:r w:rsidRPr="00E73F6F">
        <w:t>deutsche</w:t>
      </w:r>
      <w:r w:rsidRPr="00E73F6F">
        <w:rPr>
          <w:spacing w:val="-4"/>
        </w:rPr>
        <w:t xml:space="preserve"> </w:t>
      </w:r>
      <w:r w:rsidRPr="00E73F6F">
        <w:t>Lieferanten,</w:t>
      </w:r>
      <w:r w:rsidRPr="00E73F6F">
        <w:rPr>
          <w:spacing w:val="-3"/>
        </w:rPr>
        <w:t xml:space="preserve"> </w:t>
      </w:r>
      <w:r w:rsidRPr="00E73F6F">
        <w:t>die</w:t>
      </w:r>
      <w:r w:rsidRPr="00E73F6F">
        <w:rPr>
          <w:spacing w:val="-3"/>
        </w:rPr>
        <w:t xml:space="preserve"> </w:t>
      </w:r>
      <w:r w:rsidRPr="00E73F6F">
        <w:t>„ihren“ Cotto übrigens ebenfalls aus der Toskana beziehen (vgl. Tab. 1).</w:t>
      </w:r>
    </w:p>
    <w:p w14:paraId="6E43EF1F" w14:textId="77777777" w:rsidR="00FF7799" w:rsidRPr="00E73F6F" w:rsidRDefault="00FF7799" w:rsidP="00247954">
      <w:pPr>
        <w:pStyle w:val="StandardText"/>
      </w:pPr>
    </w:p>
    <w:p w14:paraId="3F397A1D" w14:textId="77777777" w:rsidR="00FF7799" w:rsidRPr="002E3E4F" w:rsidRDefault="00FF7799" w:rsidP="00247954">
      <w:pPr>
        <w:pStyle w:val="BeschriftungTab"/>
        <w:rPr>
          <w:i/>
          <w:iCs/>
        </w:rPr>
      </w:pPr>
      <w:r w:rsidRPr="002E3E4F">
        <w:rPr>
          <w:i/>
          <w:iCs/>
        </w:rPr>
        <w:lastRenderedPageBreak/>
        <w:t>Tab. 1:</w:t>
      </w:r>
      <w:r w:rsidRPr="002E3E4F">
        <w:rPr>
          <w:i/>
          <w:iCs/>
          <w:spacing w:val="-1"/>
        </w:rPr>
        <w:t xml:space="preserve"> </w:t>
      </w:r>
      <w:r w:rsidRPr="002E3E4F">
        <w:rPr>
          <w:i/>
          <w:iCs/>
        </w:rPr>
        <w:t>Preise</w:t>
      </w:r>
      <w:r w:rsidRPr="002E3E4F">
        <w:rPr>
          <w:i/>
          <w:iCs/>
          <w:spacing w:val="-2"/>
        </w:rPr>
        <w:t xml:space="preserve"> </w:t>
      </w:r>
      <w:r w:rsidRPr="002E3E4F">
        <w:rPr>
          <w:i/>
          <w:iCs/>
        </w:rPr>
        <w:t>für</w:t>
      </w:r>
      <w:r w:rsidRPr="002E3E4F">
        <w:rPr>
          <w:i/>
          <w:iCs/>
          <w:spacing w:val="-3"/>
        </w:rPr>
        <w:t xml:space="preserve"> </w:t>
      </w:r>
      <w:r w:rsidRPr="002E3E4F">
        <w:rPr>
          <w:i/>
          <w:iCs/>
        </w:rPr>
        <w:t>20</w:t>
      </w:r>
      <w:r w:rsidRPr="002E3E4F">
        <w:rPr>
          <w:i/>
          <w:iCs/>
          <w:spacing w:val="-2"/>
        </w:rPr>
        <w:t xml:space="preserve"> </w:t>
      </w:r>
      <w:r w:rsidRPr="002E3E4F">
        <w:rPr>
          <w:i/>
          <w:iCs/>
        </w:rPr>
        <w:t>qm</w:t>
      </w:r>
      <w:r w:rsidRPr="002E3E4F">
        <w:rPr>
          <w:i/>
          <w:iCs/>
          <w:spacing w:val="-1"/>
        </w:rPr>
        <w:t xml:space="preserve"> </w:t>
      </w:r>
      <w:r w:rsidRPr="002E3E4F">
        <w:rPr>
          <w:i/>
          <w:iCs/>
        </w:rPr>
        <w:t>Terra</w:t>
      </w:r>
      <w:r w:rsidRPr="002E3E4F">
        <w:rPr>
          <w:i/>
          <w:iCs/>
          <w:spacing w:val="1"/>
        </w:rPr>
        <w:t xml:space="preserve"> </w:t>
      </w:r>
      <w:r w:rsidRPr="002E3E4F">
        <w:rPr>
          <w:i/>
          <w:iCs/>
        </w:rPr>
        <w:t>Cotta-Platten (in</w:t>
      </w:r>
      <w:r w:rsidRPr="002E3E4F">
        <w:rPr>
          <w:i/>
          <w:iCs/>
          <w:spacing w:val="-1"/>
        </w:rPr>
        <w:t xml:space="preserve"> </w:t>
      </w:r>
      <w:r w:rsidRPr="002E3E4F">
        <w:rPr>
          <w:i/>
          <w:iCs/>
          <w:spacing w:val="-5"/>
        </w:rPr>
        <w:t>€)</w:t>
      </w:r>
    </w:p>
    <w:tbl>
      <w:tblPr>
        <w:tblStyle w:val="TableNormal"/>
        <w:tblW w:w="5000" w:type="pct"/>
        <w:tblLook w:val="01E0" w:firstRow="1" w:lastRow="1" w:firstColumn="1" w:lastColumn="1" w:noHBand="0" w:noVBand="0"/>
      </w:tblPr>
      <w:tblGrid>
        <w:gridCol w:w="2573"/>
        <w:gridCol w:w="1598"/>
        <w:gridCol w:w="2219"/>
        <w:gridCol w:w="1252"/>
        <w:gridCol w:w="1430"/>
      </w:tblGrid>
      <w:tr w:rsidR="00FF7799" w:rsidRPr="00E73F6F" w14:paraId="5052422C" w14:textId="77777777" w:rsidTr="0007144F">
        <w:trPr>
          <w:trHeight w:val="304"/>
          <w:tblHeader/>
        </w:trPr>
        <w:tc>
          <w:tcPr>
            <w:tcW w:w="1418" w:type="pct"/>
            <w:tcBorders>
              <w:top w:val="single" w:sz="4" w:space="0" w:color="000000"/>
              <w:bottom w:val="single" w:sz="4" w:space="0" w:color="000000"/>
            </w:tcBorders>
            <w:shd w:val="clear" w:color="auto" w:fill="FFC000" w:themeFill="accent4"/>
          </w:tcPr>
          <w:p w14:paraId="1B0E7C22" w14:textId="77777777" w:rsidR="00FF7799" w:rsidRPr="00E73F6F" w:rsidRDefault="00FF7799" w:rsidP="00247954">
            <w:pPr>
              <w:pStyle w:val="StandardText"/>
              <w:spacing w:after="120"/>
              <w:jc w:val="center"/>
              <w:rPr>
                <w:b/>
                <w:lang w:val="de-DE"/>
              </w:rPr>
            </w:pPr>
            <w:r w:rsidRPr="00E73F6F">
              <w:rPr>
                <w:b/>
                <w:lang w:val="de-DE"/>
              </w:rPr>
              <w:t>Lieferant</w:t>
            </w:r>
          </w:p>
        </w:tc>
        <w:tc>
          <w:tcPr>
            <w:tcW w:w="881" w:type="pct"/>
            <w:tcBorders>
              <w:top w:val="single" w:sz="4" w:space="0" w:color="000000"/>
              <w:bottom w:val="single" w:sz="4" w:space="0" w:color="000000"/>
            </w:tcBorders>
            <w:shd w:val="clear" w:color="auto" w:fill="FFC000" w:themeFill="accent4"/>
          </w:tcPr>
          <w:p w14:paraId="15BCF6C7" w14:textId="77777777" w:rsidR="00FF7799" w:rsidRPr="00E73F6F" w:rsidRDefault="00FF7799" w:rsidP="00247954">
            <w:pPr>
              <w:pStyle w:val="StandardText"/>
              <w:spacing w:after="120"/>
              <w:jc w:val="center"/>
              <w:rPr>
                <w:b/>
                <w:lang w:val="de-DE"/>
              </w:rPr>
            </w:pPr>
            <w:r w:rsidRPr="00E73F6F">
              <w:rPr>
                <w:b/>
                <w:lang w:val="de-DE"/>
              </w:rPr>
              <w:t>Warenwert</w:t>
            </w:r>
          </w:p>
        </w:tc>
        <w:tc>
          <w:tcPr>
            <w:tcW w:w="1223" w:type="pct"/>
            <w:tcBorders>
              <w:top w:val="single" w:sz="4" w:space="0" w:color="000000"/>
              <w:bottom w:val="single" w:sz="4" w:space="0" w:color="000000"/>
            </w:tcBorders>
            <w:shd w:val="clear" w:color="auto" w:fill="FFC000" w:themeFill="accent4"/>
          </w:tcPr>
          <w:p w14:paraId="0D53DC48" w14:textId="77777777" w:rsidR="00FF7799" w:rsidRPr="00E73F6F" w:rsidRDefault="00FF7799" w:rsidP="00247954">
            <w:pPr>
              <w:pStyle w:val="StandardText"/>
              <w:spacing w:after="120"/>
              <w:jc w:val="center"/>
              <w:rPr>
                <w:b/>
                <w:lang w:val="de-DE"/>
              </w:rPr>
            </w:pPr>
            <w:r w:rsidRPr="00E73F6F">
              <w:rPr>
                <w:b/>
                <w:lang w:val="de-DE"/>
              </w:rPr>
              <w:t>Transportkosten</w:t>
            </w:r>
          </w:p>
        </w:tc>
        <w:tc>
          <w:tcPr>
            <w:tcW w:w="690" w:type="pct"/>
            <w:tcBorders>
              <w:top w:val="single" w:sz="4" w:space="0" w:color="000000"/>
              <w:bottom w:val="single" w:sz="4" w:space="0" w:color="000000"/>
            </w:tcBorders>
            <w:shd w:val="clear" w:color="auto" w:fill="FFC000" w:themeFill="accent4"/>
          </w:tcPr>
          <w:p w14:paraId="65365B2B" w14:textId="77777777" w:rsidR="00FF7799" w:rsidRPr="00E73F6F" w:rsidRDefault="00FF7799" w:rsidP="00247954">
            <w:pPr>
              <w:pStyle w:val="StandardText"/>
              <w:spacing w:after="120"/>
              <w:jc w:val="center"/>
              <w:rPr>
                <w:b/>
                <w:lang w:val="de-DE"/>
              </w:rPr>
            </w:pPr>
            <w:r w:rsidRPr="00E73F6F">
              <w:rPr>
                <w:b/>
                <w:lang w:val="de-DE"/>
              </w:rPr>
              <w:t>MwSt.</w:t>
            </w:r>
          </w:p>
        </w:tc>
        <w:tc>
          <w:tcPr>
            <w:tcW w:w="788" w:type="pct"/>
            <w:tcBorders>
              <w:top w:val="single" w:sz="4" w:space="0" w:color="000000"/>
              <w:bottom w:val="single" w:sz="4" w:space="0" w:color="000000"/>
            </w:tcBorders>
            <w:shd w:val="clear" w:color="auto" w:fill="FFC000" w:themeFill="accent4"/>
          </w:tcPr>
          <w:p w14:paraId="7154767B" w14:textId="77777777" w:rsidR="00FF7799" w:rsidRPr="00E73F6F" w:rsidRDefault="00FF7799" w:rsidP="00247954">
            <w:pPr>
              <w:pStyle w:val="StandardText"/>
              <w:spacing w:after="120"/>
              <w:jc w:val="center"/>
              <w:rPr>
                <w:b/>
                <w:lang w:val="de-DE"/>
              </w:rPr>
            </w:pPr>
            <w:r w:rsidRPr="00E73F6F">
              <w:rPr>
                <w:b/>
                <w:lang w:val="de-DE"/>
              </w:rPr>
              <w:t>Summe</w:t>
            </w:r>
          </w:p>
        </w:tc>
      </w:tr>
      <w:tr w:rsidR="00FF7799" w:rsidRPr="00E73F6F" w14:paraId="7E4544CE" w14:textId="77777777" w:rsidTr="00BA2245">
        <w:trPr>
          <w:trHeight w:val="304"/>
        </w:trPr>
        <w:tc>
          <w:tcPr>
            <w:tcW w:w="1418" w:type="pct"/>
            <w:tcBorders>
              <w:top w:val="single" w:sz="4" w:space="0" w:color="000000"/>
              <w:bottom w:val="single" w:sz="4" w:space="0" w:color="000000"/>
            </w:tcBorders>
            <w:shd w:val="clear" w:color="auto" w:fill="FFF2CC" w:themeFill="accent4" w:themeFillTint="33"/>
          </w:tcPr>
          <w:p w14:paraId="7EC164A0" w14:textId="77777777" w:rsidR="00FF7799" w:rsidRPr="00E73F6F" w:rsidRDefault="00FF7799" w:rsidP="00247954">
            <w:pPr>
              <w:pStyle w:val="StandardText"/>
              <w:rPr>
                <w:lang w:val="de-DE"/>
              </w:rPr>
            </w:pPr>
            <w:r w:rsidRPr="00E73F6F">
              <w:rPr>
                <w:lang w:val="de-DE"/>
              </w:rPr>
              <w:t>Italienischer</w:t>
            </w:r>
            <w:r w:rsidRPr="00E73F6F">
              <w:rPr>
                <w:spacing w:val="14"/>
                <w:lang w:val="de-DE"/>
              </w:rPr>
              <w:t xml:space="preserve"> </w:t>
            </w:r>
            <w:r w:rsidRPr="00E73F6F">
              <w:rPr>
                <w:lang w:val="de-DE"/>
              </w:rPr>
              <w:t>Hersteller</w:t>
            </w:r>
          </w:p>
        </w:tc>
        <w:tc>
          <w:tcPr>
            <w:tcW w:w="881" w:type="pct"/>
            <w:tcBorders>
              <w:top w:val="single" w:sz="4" w:space="0" w:color="000000"/>
              <w:bottom w:val="single" w:sz="4" w:space="0" w:color="000000"/>
            </w:tcBorders>
          </w:tcPr>
          <w:p w14:paraId="5C3E5BBD" w14:textId="77777777" w:rsidR="00FF7799" w:rsidRPr="00E73F6F" w:rsidRDefault="00BA2245" w:rsidP="00247954">
            <w:pPr>
              <w:pStyle w:val="StandardText"/>
              <w:rPr>
                <w:lang w:val="de-DE"/>
              </w:rPr>
            </w:pPr>
            <w:r>
              <w:rPr>
                <w:lang w:val="de-DE"/>
              </w:rPr>
              <w:t xml:space="preserve">   </w:t>
            </w:r>
            <w:r w:rsidR="00FF7799" w:rsidRPr="00E73F6F">
              <w:rPr>
                <w:lang w:val="de-DE"/>
              </w:rPr>
              <w:t>910,26</w:t>
            </w:r>
          </w:p>
        </w:tc>
        <w:tc>
          <w:tcPr>
            <w:tcW w:w="1223" w:type="pct"/>
            <w:tcBorders>
              <w:top w:val="single" w:sz="4" w:space="0" w:color="000000"/>
              <w:bottom w:val="single" w:sz="4" w:space="0" w:color="000000"/>
            </w:tcBorders>
          </w:tcPr>
          <w:p w14:paraId="5F524730" w14:textId="77777777" w:rsidR="00FF7799" w:rsidRPr="00E73F6F" w:rsidRDefault="00FF7799" w:rsidP="00247954">
            <w:pPr>
              <w:pStyle w:val="StandardText"/>
              <w:rPr>
                <w:lang w:val="de-DE"/>
              </w:rPr>
            </w:pPr>
            <w:r w:rsidRPr="00E73F6F">
              <w:rPr>
                <w:spacing w:val="-4"/>
                <w:lang w:val="de-DE"/>
              </w:rPr>
              <w:t>k.A.</w:t>
            </w:r>
          </w:p>
        </w:tc>
        <w:tc>
          <w:tcPr>
            <w:tcW w:w="690" w:type="pct"/>
            <w:tcBorders>
              <w:top w:val="single" w:sz="4" w:space="0" w:color="000000"/>
              <w:bottom w:val="single" w:sz="4" w:space="0" w:color="000000"/>
            </w:tcBorders>
          </w:tcPr>
          <w:p w14:paraId="7281DAFF" w14:textId="77777777" w:rsidR="00FF7799" w:rsidRPr="00E73F6F" w:rsidRDefault="00FF7799" w:rsidP="00247954">
            <w:pPr>
              <w:pStyle w:val="StandardText"/>
              <w:rPr>
                <w:lang w:val="de-DE"/>
              </w:rPr>
            </w:pPr>
            <w:r w:rsidRPr="00E73F6F">
              <w:rPr>
                <w:lang w:val="de-DE"/>
              </w:rPr>
              <w:t>182,05</w:t>
            </w:r>
          </w:p>
        </w:tc>
        <w:tc>
          <w:tcPr>
            <w:tcW w:w="788" w:type="pct"/>
            <w:tcBorders>
              <w:top w:val="single" w:sz="4" w:space="0" w:color="000000"/>
              <w:bottom w:val="single" w:sz="4" w:space="0" w:color="000000"/>
            </w:tcBorders>
          </w:tcPr>
          <w:p w14:paraId="7ABB4B50" w14:textId="77777777" w:rsidR="00FF7799" w:rsidRPr="00E73F6F" w:rsidRDefault="00FF7799" w:rsidP="00247954">
            <w:pPr>
              <w:pStyle w:val="StandardText"/>
              <w:rPr>
                <w:lang w:val="de-DE"/>
              </w:rPr>
            </w:pPr>
            <w:r w:rsidRPr="00E73F6F">
              <w:rPr>
                <w:lang w:val="de-DE"/>
              </w:rPr>
              <w:t>1.092,31</w:t>
            </w:r>
          </w:p>
        </w:tc>
      </w:tr>
      <w:tr w:rsidR="00FF7799" w:rsidRPr="00E73F6F" w14:paraId="5F25D6C5" w14:textId="77777777" w:rsidTr="00BA2245">
        <w:trPr>
          <w:trHeight w:val="301"/>
        </w:trPr>
        <w:tc>
          <w:tcPr>
            <w:tcW w:w="1418" w:type="pct"/>
            <w:tcBorders>
              <w:top w:val="single" w:sz="4" w:space="0" w:color="000000"/>
              <w:bottom w:val="single" w:sz="4" w:space="0" w:color="000000"/>
            </w:tcBorders>
            <w:shd w:val="clear" w:color="auto" w:fill="FFF2CC" w:themeFill="accent4" w:themeFillTint="33"/>
          </w:tcPr>
          <w:p w14:paraId="426D7FB5" w14:textId="77777777" w:rsidR="00FF7799" w:rsidRPr="00E73F6F" w:rsidRDefault="00FF7799" w:rsidP="00247954">
            <w:pPr>
              <w:pStyle w:val="StandardText"/>
              <w:rPr>
                <w:lang w:val="de-DE"/>
              </w:rPr>
            </w:pPr>
            <w:r w:rsidRPr="00E73F6F">
              <w:rPr>
                <w:lang w:val="de-DE"/>
              </w:rPr>
              <w:t>Deutscher</w:t>
            </w:r>
            <w:r w:rsidRPr="00E73F6F">
              <w:rPr>
                <w:spacing w:val="-8"/>
                <w:lang w:val="de-DE"/>
              </w:rPr>
              <w:t xml:space="preserve"> </w:t>
            </w:r>
            <w:r w:rsidRPr="00E73F6F">
              <w:rPr>
                <w:lang w:val="de-DE"/>
              </w:rPr>
              <w:t>Händler</w:t>
            </w:r>
            <w:r w:rsidRPr="00E73F6F">
              <w:rPr>
                <w:spacing w:val="-7"/>
                <w:lang w:val="de-DE"/>
              </w:rPr>
              <w:t xml:space="preserve"> </w:t>
            </w:r>
            <w:r w:rsidRPr="00E73F6F">
              <w:rPr>
                <w:spacing w:val="-10"/>
                <w:lang w:val="de-DE"/>
              </w:rPr>
              <w:t>A</w:t>
            </w:r>
          </w:p>
        </w:tc>
        <w:tc>
          <w:tcPr>
            <w:tcW w:w="881" w:type="pct"/>
            <w:tcBorders>
              <w:top w:val="single" w:sz="4" w:space="0" w:color="000000"/>
              <w:bottom w:val="single" w:sz="4" w:space="0" w:color="000000"/>
            </w:tcBorders>
          </w:tcPr>
          <w:p w14:paraId="7DC919BE" w14:textId="77777777" w:rsidR="00FF7799" w:rsidRPr="00E73F6F" w:rsidRDefault="00FF7799" w:rsidP="00247954">
            <w:pPr>
              <w:pStyle w:val="StandardText"/>
              <w:rPr>
                <w:lang w:val="de-DE"/>
              </w:rPr>
            </w:pPr>
            <w:r w:rsidRPr="00E73F6F">
              <w:rPr>
                <w:lang w:val="de-DE"/>
              </w:rPr>
              <w:t>1.480,93</w:t>
            </w:r>
          </w:p>
        </w:tc>
        <w:tc>
          <w:tcPr>
            <w:tcW w:w="1223" w:type="pct"/>
            <w:tcBorders>
              <w:top w:val="single" w:sz="4" w:space="0" w:color="000000"/>
              <w:bottom w:val="single" w:sz="4" w:space="0" w:color="000000"/>
            </w:tcBorders>
          </w:tcPr>
          <w:p w14:paraId="26ED89CF" w14:textId="77777777" w:rsidR="00FF7799" w:rsidRPr="00E73F6F" w:rsidRDefault="00FF7799" w:rsidP="00247954">
            <w:pPr>
              <w:pStyle w:val="StandardText"/>
              <w:rPr>
                <w:lang w:val="de-DE"/>
              </w:rPr>
            </w:pPr>
            <w:r w:rsidRPr="00E73F6F">
              <w:rPr>
                <w:lang w:val="de-DE"/>
              </w:rPr>
              <w:t>inklusive</w:t>
            </w:r>
          </w:p>
        </w:tc>
        <w:tc>
          <w:tcPr>
            <w:tcW w:w="690" w:type="pct"/>
            <w:tcBorders>
              <w:top w:val="single" w:sz="4" w:space="0" w:color="000000"/>
              <w:bottom w:val="single" w:sz="4" w:space="0" w:color="000000"/>
            </w:tcBorders>
          </w:tcPr>
          <w:p w14:paraId="01CC8060" w14:textId="77777777" w:rsidR="00FF7799" w:rsidRPr="00E73F6F" w:rsidRDefault="00FF7799" w:rsidP="00247954">
            <w:pPr>
              <w:pStyle w:val="StandardText"/>
              <w:rPr>
                <w:lang w:val="de-DE"/>
              </w:rPr>
            </w:pPr>
            <w:r w:rsidRPr="00E73F6F">
              <w:rPr>
                <w:lang w:val="de-DE"/>
              </w:rPr>
              <w:t>238,55</w:t>
            </w:r>
          </w:p>
        </w:tc>
        <w:tc>
          <w:tcPr>
            <w:tcW w:w="788" w:type="pct"/>
            <w:tcBorders>
              <w:top w:val="single" w:sz="4" w:space="0" w:color="000000"/>
              <w:bottom w:val="single" w:sz="4" w:space="0" w:color="000000"/>
            </w:tcBorders>
          </w:tcPr>
          <w:p w14:paraId="1D65A2DE" w14:textId="77777777" w:rsidR="00FF7799" w:rsidRPr="00E73F6F" w:rsidRDefault="00FF7799" w:rsidP="00247954">
            <w:pPr>
              <w:pStyle w:val="StandardText"/>
              <w:rPr>
                <w:lang w:val="de-DE"/>
              </w:rPr>
            </w:pPr>
            <w:r w:rsidRPr="00E73F6F">
              <w:rPr>
                <w:lang w:val="de-DE"/>
              </w:rPr>
              <w:t>1.694,89</w:t>
            </w:r>
          </w:p>
        </w:tc>
      </w:tr>
      <w:tr w:rsidR="00FF7799" w:rsidRPr="00E73F6F" w14:paraId="7D875339" w14:textId="77777777" w:rsidTr="00BA2245">
        <w:trPr>
          <w:trHeight w:val="304"/>
        </w:trPr>
        <w:tc>
          <w:tcPr>
            <w:tcW w:w="1418" w:type="pct"/>
            <w:tcBorders>
              <w:top w:val="single" w:sz="4" w:space="0" w:color="000000"/>
              <w:bottom w:val="single" w:sz="4" w:space="0" w:color="000000"/>
            </w:tcBorders>
            <w:shd w:val="clear" w:color="auto" w:fill="FFF2CC" w:themeFill="accent4" w:themeFillTint="33"/>
          </w:tcPr>
          <w:p w14:paraId="49AD3648" w14:textId="77777777" w:rsidR="00FF7799" w:rsidRPr="00E73F6F" w:rsidRDefault="00FF7799" w:rsidP="00247954">
            <w:pPr>
              <w:pStyle w:val="StandardText"/>
              <w:rPr>
                <w:lang w:val="de-DE"/>
              </w:rPr>
            </w:pPr>
            <w:r w:rsidRPr="00E73F6F">
              <w:rPr>
                <w:lang w:val="de-DE"/>
              </w:rPr>
              <w:t>Deutscher</w:t>
            </w:r>
            <w:r w:rsidRPr="00E73F6F">
              <w:rPr>
                <w:spacing w:val="-8"/>
                <w:lang w:val="de-DE"/>
              </w:rPr>
              <w:t xml:space="preserve"> </w:t>
            </w:r>
            <w:r w:rsidRPr="00E73F6F">
              <w:rPr>
                <w:lang w:val="de-DE"/>
              </w:rPr>
              <w:t>Händler</w:t>
            </w:r>
            <w:r w:rsidRPr="00E73F6F">
              <w:rPr>
                <w:spacing w:val="-7"/>
                <w:lang w:val="de-DE"/>
              </w:rPr>
              <w:t xml:space="preserve"> </w:t>
            </w:r>
            <w:r w:rsidRPr="00E73F6F">
              <w:rPr>
                <w:spacing w:val="-10"/>
                <w:lang w:val="de-DE"/>
              </w:rPr>
              <w:t>B</w:t>
            </w:r>
          </w:p>
        </w:tc>
        <w:tc>
          <w:tcPr>
            <w:tcW w:w="881" w:type="pct"/>
            <w:tcBorders>
              <w:top w:val="single" w:sz="4" w:space="0" w:color="000000"/>
              <w:bottom w:val="single" w:sz="4" w:space="0" w:color="000000"/>
            </w:tcBorders>
          </w:tcPr>
          <w:p w14:paraId="15084585" w14:textId="77777777" w:rsidR="00FF7799" w:rsidRPr="00E73F6F" w:rsidRDefault="00FF7799" w:rsidP="00247954">
            <w:pPr>
              <w:pStyle w:val="StandardText"/>
              <w:rPr>
                <w:lang w:val="de-DE"/>
              </w:rPr>
            </w:pPr>
            <w:r w:rsidRPr="00E73F6F">
              <w:rPr>
                <w:lang w:val="de-DE"/>
              </w:rPr>
              <w:t>1.519,00</w:t>
            </w:r>
          </w:p>
        </w:tc>
        <w:tc>
          <w:tcPr>
            <w:tcW w:w="1223" w:type="pct"/>
            <w:tcBorders>
              <w:top w:val="single" w:sz="4" w:space="0" w:color="000000"/>
              <w:bottom w:val="single" w:sz="4" w:space="0" w:color="000000"/>
            </w:tcBorders>
          </w:tcPr>
          <w:p w14:paraId="795FBF3A" w14:textId="77777777" w:rsidR="00FF7799" w:rsidRPr="00E73F6F" w:rsidRDefault="00FF7799" w:rsidP="00247954">
            <w:pPr>
              <w:pStyle w:val="StandardText"/>
              <w:rPr>
                <w:lang w:val="de-DE"/>
              </w:rPr>
            </w:pPr>
            <w:r w:rsidRPr="00E73F6F">
              <w:rPr>
                <w:lang w:val="de-DE"/>
              </w:rPr>
              <w:t>335,00</w:t>
            </w:r>
          </w:p>
        </w:tc>
        <w:tc>
          <w:tcPr>
            <w:tcW w:w="690" w:type="pct"/>
            <w:tcBorders>
              <w:top w:val="single" w:sz="4" w:space="0" w:color="000000"/>
              <w:bottom w:val="single" w:sz="4" w:space="0" w:color="000000"/>
            </w:tcBorders>
          </w:tcPr>
          <w:p w14:paraId="693811F3" w14:textId="77777777" w:rsidR="00FF7799" w:rsidRPr="00E73F6F" w:rsidRDefault="00FF7799" w:rsidP="00247954">
            <w:pPr>
              <w:pStyle w:val="StandardText"/>
              <w:rPr>
                <w:lang w:val="de-DE"/>
              </w:rPr>
            </w:pPr>
            <w:r w:rsidRPr="00E73F6F">
              <w:rPr>
                <w:lang w:val="de-DE"/>
              </w:rPr>
              <w:t>296,64</w:t>
            </w:r>
          </w:p>
        </w:tc>
        <w:tc>
          <w:tcPr>
            <w:tcW w:w="788" w:type="pct"/>
            <w:tcBorders>
              <w:top w:val="single" w:sz="4" w:space="0" w:color="000000"/>
              <w:bottom w:val="single" w:sz="4" w:space="0" w:color="000000"/>
            </w:tcBorders>
          </w:tcPr>
          <w:p w14:paraId="2715771D" w14:textId="77777777" w:rsidR="00FF7799" w:rsidRPr="00E73F6F" w:rsidRDefault="00FF7799" w:rsidP="00247954">
            <w:pPr>
              <w:pStyle w:val="StandardText"/>
              <w:rPr>
                <w:lang w:val="de-DE"/>
              </w:rPr>
            </w:pPr>
            <w:r w:rsidRPr="00E73F6F">
              <w:rPr>
                <w:lang w:val="de-DE"/>
              </w:rPr>
              <w:t>2.150,64</w:t>
            </w:r>
          </w:p>
        </w:tc>
      </w:tr>
      <w:tr w:rsidR="00FF7799" w:rsidRPr="00E73F6F" w14:paraId="05219817" w14:textId="77777777" w:rsidTr="00BA2245">
        <w:trPr>
          <w:trHeight w:val="304"/>
        </w:trPr>
        <w:tc>
          <w:tcPr>
            <w:tcW w:w="1418" w:type="pct"/>
            <w:tcBorders>
              <w:top w:val="single" w:sz="4" w:space="0" w:color="000000"/>
              <w:bottom w:val="single" w:sz="4" w:space="0" w:color="000000"/>
            </w:tcBorders>
            <w:shd w:val="clear" w:color="auto" w:fill="FFF2CC" w:themeFill="accent4" w:themeFillTint="33"/>
          </w:tcPr>
          <w:p w14:paraId="4B909AAE" w14:textId="77777777" w:rsidR="00FF7799" w:rsidRPr="00E73F6F" w:rsidRDefault="00FF7799" w:rsidP="00247954">
            <w:pPr>
              <w:pStyle w:val="StandardText"/>
              <w:rPr>
                <w:lang w:val="de-DE"/>
              </w:rPr>
            </w:pPr>
            <w:r w:rsidRPr="00E73F6F">
              <w:rPr>
                <w:lang w:val="de-DE"/>
              </w:rPr>
              <w:t>Deutscher</w:t>
            </w:r>
            <w:r w:rsidRPr="00E73F6F">
              <w:rPr>
                <w:spacing w:val="-8"/>
                <w:lang w:val="de-DE"/>
              </w:rPr>
              <w:t xml:space="preserve"> </w:t>
            </w:r>
            <w:r w:rsidRPr="00E73F6F">
              <w:rPr>
                <w:lang w:val="de-DE"/>
              </w:rPr>
              <w:t>Händler</w:t>
            </w:r>
            <w:r w:rsidRPr="00E73F6F">
              <w:rPr>
                <w:spacing w:val="-7"/>
                <w:lang w:val="de-DE"/>
              </w:rPr>
              <w:t xml:space="preserve"> </w:t>
            </w:r>
            <w:r w:rsidRPr="00E73F6F">
              <w:rPr>
                <w:spacing w:val="-10"/>
                <w:lang w:val="de-DE"/>
              </w:rPr>
              <w:t>C</w:t>
            </w:r>
          </w:p>
        </w:tc>
        <w:tc>
          <w:tcPr>
            <w:tcW w:w="881" w:type="pct"/>
            <w:tcBorders>
              <w:top w:val="single" w:sz="4" w:space="0" w:color="000000"/>
              <w:bottom w:val="single" w:sz="4" w:space="0" w:color="000000"/>
            </w:tcBorders>
          </w:tcPr>
          <w:p w14:paraId="058AF17C" w14:textId="77777777" w:rsidR="00FF7799" w:rsidRPr="00E73F6F" w:rsidRDefault="00FF7799" w:rsidP="00247954">
            <w:pPr>
              <w:pStyle w:val="StandardText"/>
              <w:rPr>
                <w:lang w:val="de-DE"/>
              </w:rPr>
            </w:pPr>
            <w:r w:rsidRPr="00E73F6F">
              <w:rPr>
                <w:lang w:val="de-DE"/>
              </w:rPr>
              <w:t>1.897,24</w:t>
            </w:r>
          </w:p>
        </w:tc>
        <w:tc>
          <w:tcPr>
            <w:tcW w:w="1223" w:type="pct"/>
            <w:tcBorders>
              <w:top w:val="single" w:sz="4" w:space="0" w:color="000000"/>
              <w:bottom w:val="single" w:sz="4" w:space="0" w:color="000000"/>
            </w:tcBorders>
          </w:tcPr>
          <w:p w14:paraId="3E5EE795" w14:textId="77777777" w:rsidR="00FF7799" w:rsidRPr="00E73F6F" w:rsidRDefault="00FF7799" w:rsidP="00247954">
            <w:pPr>
              <w:pStyle w:val="StandardText"/>
              <w:rPr>
                <w:lang w:val="de-DE"/>
              </w:rPr>
            </w:pPr>
            <w:r w:rsidRPr="00E73F6F">
              <w:rPr>
                <w:lang w:val="de-DE"/>
              </w:rPr>
              <w:t>250,00</w:t>
            </w:r>
          </w:p>
        </w:tc>
        <w:tc>
          <w:tcPr>
            <w:tcW w:w="690" w:type="pct"/>
            <w:tcBorders>
              <w:top w:val="single" w:sz="4" w:space="0" w:color="000000"/>
              <w:bottom w:val="single" w:sz="4" w:space="0" w:color="000000"/>
            </w:tcBorders>
          </w:tcPr>
          <w:p w14:paraId="59E7082F" w14:textId="77777777" w:rsidR="00FF7799" w:rsidRPr="00E73F6F" w:rsidRDefault="00FF7799" w:rsidP="00247954">
            <w:pPr>
              <w:pStyle w:val="StandardText"/>
              <w:rPr>
                <w:lang w:val="de-DE"/>
              </w:rPr>
            </w:pPr>
            <w:r w:rsidRPr="00E73F6F">
              <w:rPr>
                <w:lang w:val="de-DE"/>
              </w:rPr>
              <w:t>343,56</w:t>
            </w:r>
          </w:p>
        </w:tc>
        <w:tc>
          <w:tcPr>
            <w:tcW w:w="788" w:type="pct"/>
            <w:tcBorders>
              <w:top w:val="single" w:sz="4" w:space="0" w:color="000000"/>
              <w:bottom w:val="single" w:sz="4" w:space="0" w:color="000000"/>
            </w:tcBorders>
          </w:tcPr>
          <w:p w14:paraId="0F31D0BD" w14:textId="77777777" w:rsidR="00FF7799" w:rsidRPr="00E73F6F" w:rsidRDefault="00FF7799" w:rsidP="00247954">
            <w:pPr>
              <w:pStyle w:val="StandardText"/>
              <w:rPr>
                <w:lang w:val="de-DE"/>
              </w:rPr>
            </w:pPr>
            <w:r w:rsidRPr="00E73F6F">
              <w:rPr>
                <w:lang w:val="de-DE"/>
              </w:rPr>
              <w:t>2.490,80</w:t>
            </w:r>
          </w:p>
        </w:tc>
      </w:tr>
      <w:tr w:rsidR="00FF7799" w:rsidRPr="00E73F6F" w14:paraId="5DADF5E1" w14:textId="77777777" w:rsidTr="00BA2245">
        <w:trPr>
          <w:trHeight w:val="304"/>
        </w:trPr>
        <w:tc>
          <w:tcPr>
            <w:tcW w:w="1418" w:type="pct"/>
            <w:tcBorders>
              <w:top w:val="single" w:sz="4" w:space="0" w:color="000000"/>
              <w:bottom w:val="single" w:sz="4" w:space="0" w:color="000000"/>
            </w:tcBorders>
            <w:shd w:val="clear" w:color="auto" w:fill="FFF2CC" w:themeFill="accent4" w:themeFillTint="33"/>
          </w:tcPr>
          <w:p w14:paraId="74D44B05" w14:textId="77777777" w:rsidR="00FF7799" w:rsidRPr="00E73F6F" w:rsidRDefault="00FF7799" w:rsidP="00247954">
            <w:pPr>
              <w:pStyle w:val="StandardText"/>
              <w:rPr>
                <w:lang w:val="de-DE"/>
              </w:rPr>
            </w:pPr>
            <w:r w:rsidRPr="00E73F6F">
              <w:rPr>
                <w:lang w:val="de-DE"/>
              </w:rPr>
              <w:t>Deutscher</w:t>
            </w:r>
            <w:r w:rsidRPr="00E73F6F">
              <w:rPr>
                <w:spacing w:val="-8"/>
                <w:lang w:val="de-DE"/>
              </w:rPr>
              <w:t xml:space="preserve"> </w:t>
            </w:r>
            <w:r w:rsidRPr="00E73F6F">
              <w:rPr>
                <w:lang w:val="de-DE"/>
              </w:rPr>
              <w:t>Händler</w:t>
            </w:r>
            <w:r w:rsidRPr="00E73F6F">
              <w:rPr>
                <w:spacing w:val="-7"/>
                <w:lang w:val="de-DE"/>
              </w:rPr>
              <w:t xml:space="preserve"> </w:t>
            </w:r>
            <w:r w:rsidRPr="00E73F6F">
              <w:rPr>
                <w:spacing w:val="-10"/>
                <w:lang w:val="de-DE"/>
              </w:rPr>
              <w:t>D</w:t>
            </w:r>
          </w:p>
        </w:tc>
        <w:tc>
          <w:tcPr>
            <w:tcW w:w="881" w:type="pct"/>
            <w:tcBorders>
              <w:top w:val="single" w:sz="4" w:space="0" w:color="000000"/>
              <w:bottom w:val="single" w:sz="4" w:space="0" w:color="000000"/>
            </w:tcBorders>
          </w:tcPr>
          <w:p w14:paraId="0F4F0684" w14:textId="77777777" w:rsidR="00FF7799" w:rsidRPr="00E73F6F" w:rsidRDefault="00FF7799" w:rsidP="00247954">
            <w:pPr>
              <w:pStyle w:val="StandardText"/>
              <w:rPr>
                <w:lang w:val="de-DE"/>
              </w:rPr>
            </w:pPr>
            <w:r w:rsidRPr="00E73F6F">
              <w:rPr>
                <w:lang w:val="de-DE"/>
              </w:rPr>
              <w:t>2.561,80</w:t>
            </w:r>
          </w:p>
        </w:tc>
        <w:tc>
          <w:tcPr>
            <w:tcW w:w="1223" w:type="pct"/>
            <w:tcBorders>
              <w:top w:val="single" w:sz="4" w:space="0" w:color="000000"/>
              <w:bottom w:val="single" w:sz="4" w:space="0" w:color="000000"/>
            </w:tcBorders>
          </w:tcPr>
          <w:p w14:paraId="65B9A7A1" w14:textId="77777777" w:rsidR="00FF7799" w:rsidRPr="00E73F6F" w:rsidRDefault="00FF7799" w:rsidP="00247954">
            <w:pPr>
              <w:pStyle w:val="StandardText"/>
              <w:rPr>
                <w:lang w:val="de-DE"/>
              </w:rPr>
            </w:pPr>
            <w:r w:rsidRPr="00E73F6F">
              <w:rPr>
                <w:lang w:val="de-DE"/>
              </w:rPr>
              <w:t>300,00</w:t>
            </w:r>
          </w:p>
        </w:tc>
        <w:tc>
          <w:tcPr>
            <w:tcW w:w="690" w:type="pct"/>
            <w:tcBorders>
              <w:top w:val="single" w:sz="4" w:space="0" w:color="000000"/>
              <w:bottom w:val="single" w:sz="4" w:space="0" w:color="000000"/>
            </w:tcBorders>
          </w:tcPr>
          <w:p w14:paraId="1E60B5BD" w14:textId="77777777" w:rsidR="00FF7799" w:rsidRPr="00E73F6F" w:rsidRDefault="00FF7799" w:rsidP="00247954">
            <w:pPr>
              <w:pStyle w:val="StandardText"/>
              <w:rPr>
                <w:lang w:val="de-DE"/>
              </w:rPr>
            </w:pPr>
            <w:r w:rsidRPr="00E73F6F">
              <w:rPr>
                <w:lang w:val="de-DE"/>
              </w:rPr>
              <w:t>457,89</w:t>
            </w:r>
          </w:p>
        </w:tc>
        <w:tc>
          <w:tcPr>
            <w:tcW w:w="788" w:type="pct"/>
            <w:tcBorders>
              <w:top w:val="single" w:sz="4" w:space="0" w:color="000000"/>
              <w:bottom w:val="single" w:sz="4" w:space="0" w:color="000000"/>
            </w:tcBorders>
          </w:tcPr>
          <w:p w14:paraId="7F28DCDD" w14:textId="77777777" w:rsidR="00FF7799" w:rsidRPr="00E73F6F" w:rsidRDefault="00FF7799" w:rsidP="00247954">
            <w:pPr>
              <w:pStyle w:val="StandardText"/>
              <w:rPr>
                <w:lang w:val="de-DE"/>
              </w:rPr>
            </w:pPr>
            <w:r w:rsidRPr="00E73F6F">
              <w:rPr>
                <w:lang w:val="de-DE"/>
              </w:rPr>
              <w:t>3.319,69</w:t>
            </w:r>
          </w:p>
        </w:tc>
      </w:tr>
    </w:tbl>
    <w:p w14:paraId="75BEB2A5" w14:textId="77777777" w:rsidR="00FF7799" w:rsidRPr="00E73F6F" w:rsidRDefault="00FF7799" w:rsidP="00247954">
      <w:pPr>
        <w:pStyle w:val="StandardText"/>
      </w:pPr>
    </w:p>
    <w:p w14:paraId="2FD85216" w14:textId="77777777" w:rsidR="00FF7799" w:rsidRPr="00E73F6F" w:rsidRDefault="00FF7799" w:rsidP="00247954">
      <w:pPr>
        <w:pStyle w:val="StandardText"/>
      </w:pPr>
      <w:r w:rsidRPr="00E73F6F">
        <w:t>Nach eingehendem Preis- und Leistungsvergleich entscheidet sich der Bauherr schließlich für den billigsten deutschen Lieferanten A. Zwar ist auch dieser deutlich teurer als der italienische Hersteller, welcher sich aber für die unübliche Transportleistung (kleine Menge, nach Deutschland) nicht zuständig fühlt. Auch möchte er die Ware im Voraus bezahlt haben. Hinzu kommt, dass die Erstattung der Mehrwertsteuer nach Auskunft des Steuerberaters Probleme bereitet, da aufgrund von Missbrauch die Finanzbehörden bei Antrag auf Mehrwertsteuererstattung äußerst misstrauisch sind. Schließlich erweist die Idee, das</w:t>
      </w:r>
      <w:r w:rsidRPr="00E73F6F">
        <w:rPr>
          <w:spacing w:val="-11"/>
        </w:rPr>
        <w:t xml:space="preserve"> </w:t>
      </w:r>
      <w:r w:rsidRPr="00E73F6F">
        <w:t>Transportproblem</w:t>
      </w:r>
      <w:r w:rsidRPr="00E73F6F">
        <w:rPr>
          <w:spacing w:val="-10"/>
        </w:rPr>
        <w:t xml:space="preserve"> </w:t>
      </w:r>
      <w:r w:rsidRPr="00E73F6F">
        <w:t>durch</w:t>
      </w:r>
      <w:r w:rsidRPr="00E73F6F">
        <w:rPr>
          <w:spacing w:val="-8"/>
        </w:rPr>
        <w:t xml:space="preserve"> </w:t>
      </w:r>
      <w:r w:rsidRPr="00E73F6F">
        <w:t>eine</w:t>
      </w:r>
      <w:r w:rsidRPr="00E73F6F">
        <w:rPr>
          <w:spacing w:val="-12"/>
        </w:rPr>
        <w:t xml:space="preserve"> </w:t>
      </w:r>
      <w:r w:rsidRPr="00E73F6F">
        <w:t>Urlaubsreise</w:t>
      </w:r>
      <w:r w:rsidRPr="00E73F6F">
        <w:rPr>
          <w:spacing w:val="-10"/>
        </w:rPr>
        <w:t xml:space="preserve"> </w:t>
      </w:r>
      <w:r w:rsidRPr="00E73F6F">
        <w:t>nach</w:t>
      </w:r>
      <w:r w:rsidRPr="00E73F6F">
        <w:rPr>
          <w:spacing w:val="-8"/>
        </w:rPr>
        <w:t xml:space="preserve"> </w:t>
      </w:r>
      <w:r w:rsidRPr="00E73F6F">
        <w:t>Italien</w:t>
      </w:r>
      <w:r w:rsidRPr="00E73F6F">
        <w:rPr>
          <w:spacing w:val="-11"/>
        </w:rPr>
        <w:t xml:space="preserve"> </w:t>
      </w:r>
      <w:r w:rsidRPr="00E73F6F">
        <w:t>privat</w:t>
      </w:r>
      <w:r w:rsidRPr="00E73F6F">
        <w:rPr>
          <w:spacing w:val="-9"/>
        </w:rPr>
        <w:t xml:space="preserve"> </w:t>
      </w:r>
      <w:r w:rsidRPr="00E73F6F">
        <w:t>zu</w:t>
      </w:r>
      <w:r w:rsidRPr="00E73F6F">
        <w:rPr>
          <w:spacing w:val="-10"/>
        </w:rPr>
        <w:t xml:space="preserve"> </w:t>
      </w:r>
      <w:r w:rsidRPr="00E73F6F">
        <w:t>lösen</w:t>
      </w:r>
      <w:r w:rsidRPr="00E73F6F">
        <w:rPr>
          <w:spacing w:val="-8"/>
        </w:rPr>
        <w:t xml:space="preserve"> </w:t>
      </w:r>
      <w:r w:rsidRPr="00E73F6F">
        <w:t>zwar</w:t>
      </w:r>
      <w:r w:rsidRPr="00E73F6F">
        <w:rPr>
          <w:spacing w:val="-9"/>
        </w:rPr>
        <w:t xml:space="preserve"> </w:t>
      </w:r>
      <w:r w:rsidRPr="00E73F6F">
        <w:t>als reizvoll,</w:t>
      </w:r>
      <w:r w:rsidRPr="00E73F6F">
        <w:rPr>
          <w:spacing w:val="46"/>
        </w:rPr>
        <w:t xml:space="preserve"> </w:t>
      </w:r>
      <w:r w:rsidRPr="00E73F6F">
        <w:t>letztlich</w:t>
      </w:r>
      <w:r w:rsidRPr="00E73F6F">
        <w:rPr>
          <w:spacing w:val="48"/>
        </w:rPr>
        <w:t xml:space="preserve"> </w:t>
      </w:r>
      <w:r w:rsidRPr="00E73F6F">
        <w:t>aber</w:t>
      </w:r>
      <w:r w:rsidRPr="00E73F6F">
        <w:rPr>
          <w:spacing w:val="47"/>
        </w:rPr>
        <w:t xml:space="preserve"> </w:t>
      </w:r>
      <w:r w:rsidRPr="00E73F6F">
        <w:t>unrealistisch.</w:t>
      </w:r>
      <w:r w:rsidRPr="00E73F6F">
        <w:rPr>
          <w:spacing w:val="47"/>
        </w:rPr>
        <w:t xml:space="preserve"> </w:t>
      </w:r>
      <w:r w:rsidRPr="00E73F6F">
        <w:t>Ganz</w:t>
      </w:r>
      <w:r w:rsidRPr="00E73F6F">
        <w:rPr>
          <w:spacing w:val="46"/>
        </w:rPr>
        <w:t xml:space="preserve"> </w:t>
      </w:r>
      <w:r w:rsidRPr="00E73F6F">
        <w:t>anders</w:t>
      </w:r>
      <w:r w:rsidRPr="00E73F6F">
        <w:rPr>
          <w:spacing w:val="46"/>
        </w:rPr>
        <w:t xml:space="preserve"> </w:t>
      </w:r>
      <w:r w:rsidRPr="00E73F6F">
        <w:t>verhält</w:t>
      </w:r>
      <w:r w:rsidRPr="00E73F6F">
        <w:rPr>
          <w:spacing w:val="48"/>
        </w:rPr>
        <w:t xml:space="preserve"> </w:t>
      </w:r>
      <w:r w:rsidRPr="00E73F6F">
        <w:t>es</w:t>
      </w:r>
      <w:r w:rsidRPr="00E73F6F">
        <w:rPr>
          <w:spacing w:val="47"/>
        </w:rPr>
        <w:t xml:space="preserve"> </w:t>
      </w:r>
      <w:r w:rsidRPr="00E73F6F">
        <w:t>sich,</w:t>
      </w:r>
      <w:r w:rsidRPr="00E73F6F">
        <w:rPr>
          <w:spacing w:val="47"/>
        </w:rPr>
        <w:t xml:space="preserve"> </w:t>
      </w:r>
      <w:r w:rsidRPr="00E73F6F">
        <w:t>wenn</w:t>
      </w:r>
      <w:r w:rsidRPr="00E73F6F">
        <w:rPr>
          <w:spacing w:val="48"/>
        </w:rPr>
        <w:t xml:space="preserve"> </w:t>
      </w:r>
      <w:r w:rsidRPr="00E73F6F">
        <w:rPr>
          <w:spacing w:val="-2"/>
        </w:rPr>
        <w:t xml:space="preserve">statt </w:t>
      </w:r>
      <w:r w:rsidRPr="00E73F6F">
        <w:t>unerfahrener Endverbraucher der etablierte Handel seine Logistik-Kompetenz, Marktkenntnis und</w:t>
      </w:r>
      <w:r w:rsidR="00BA2245">
        <w:t xml:space="preserve"> Einkaufsmacht einsetzt, um </w:t>
      </w:r>
      <w:r w:rsidR="00BA2245">
        <w:sym w:font="Symbol" w:char="F0DE"/>
      </w:r>
      <w:r w:rsidR="00BA2245">
        <w:t xml:space="preserve"> </w:t>
      </w:r>
      <w:r w:rsidRPr="00E73F6F">
        <w:t>Arbitrage-Handel zu betreiben.</w:t>
      </w:r>
    </w:p>
    <w:p w14:paraId="18D1F06F" w14:textId="77777777" w:rsidR="00FF7799" w:rsidRPr="00BA2245" w:rsidRDefault="00FF7799" w:rsidP="00247954">
      <w:pPr>
        <w:pStyle w:val="StandardText"/>
        <w:rPr>
          <w:sz w:val="22"/>
          <w:szCs w:val="22"/>
        </w:rPr>
      </w:pPr>
      <w:r w:rsidRPr="00BA2245">
        <w:rPr>
          <w:b/>
          <w:i/>
          <w:sz w:val="22"/>
          <w:szCs w:val="22"/>
        </w:rPr>
        <w:t>Literatur</w:t>
      </w:r>
      <w:r w:rsidRPr="00BA2245">
        <w:rPr>
          <w:i/>
          <w:sz w:val="22"/>
          <w:szCs w:val="22"/>
        </w:rPr>
        <w:t>:</w:t>
      </w:r>
      <w:r w:rsidRPr="00BA2245">
        <w:rPr>
          <w:sz w:val="22"/>
          <w:szCs w:val="22"/>
        </w:rPr>
        <w:t xml:space="preserve"> Büschemann, K.-H. (1999): Viele Preise für einen Mercedes, Sächsische Zeitung, 173(30.07.1999): 2. Diller, H. (2008): Preispolitik, 4.Aufl., Stuttgart: Kohlhammer. </w:t>
      </w:r>
      <w:r w:rsidRPr="00E17A2B">
        <w:rPr>
          <w:sz w:val="22"/>
          <w:szCs w:val="22"/>
        </w:rPr>
        <w:t xml:space="preserve">Keegan, W.J.; Schlegelmilch, B.B. (2001): Global Marketing Management. A European Perspective, Edinburgh: Pearson. </w:t>
      </w:r>
      <w:r w:rsidRPr="00BA2245">
        <w:rPr>
          <w:sz w:val="22"/>
          <w:szCs w:val="22"/>
        </w:rPr>
        <w:t>Lingenfelder, M.; Lauer, A. (2003): Preisagenten und Preisagenturen, in: Diller, H.; Herrmann, A. (Hrsg.), Handbuch Preispolitik, 813-827, Wiesbaden: Gabler.</w:t>
      </w:r>
    </w:p>
    <w:p w14:paraId="49018F04" w14:textId="77777777" w:rsidR="00FF7799" w:rsidRPr="00E73F6F" w:rsidRDefault="00FF7799" w:rsidP="00247954">
      <w:pPr>
        <w:pStyle w:val="StandardText"/>
      </w:pPr>
    </w:p>
    <w:p w14:paraId="5BD86B3C" w14:textId="77777777" w:rsidR="00FF7799" w:rsidRPr="002E3E4F" w:rsidRDefault="00FF7799" w:rsidP="002E3E4F">
      <w:pPr>
        <w:pStyle w:val="berschrift1"/>
        <w:rPr>
          <w:color w:val="2E74B5"/>
        </w:rPr>
      </w:pPr>
      <w:r w:rsidRPr="002E3E4F">
        <w:rPr>
          <w:color w:val="2E74B5"/>
        </w:rPr>
        <w:t>Preisfindung international tätiger Unternehmen</w:t>
      </w:r>
    </w:p>
    <w:p w14:paraId="1896D463" w14:textId="77777777" w:rsidR="00FF7799" w:rsidRPr="00E73F6F" w:rsidRDefault="00FF7799" w:rsidP="002B3C2E">
      <w:pPr>
        <w:pStyle w:val="StandardText"/>
      </w:pPr>
      <w:r w:rsidRPr="00E73F6F">
        <w:t>der internationalen Preispolitik zuzurechnende Teilfunktion des Marketing-Mix international tätiger Unternehmen.</w:t>
      </w:r>
    </w:p>
    <w:p w14:paraId="6D5E898B" w14:textId="77777777" w:rsidR="00FF7799" w:rsidRPr="00E73F6F" w:rsidRDefault="00FF7799" w:rsidP="002B3C2E">
      <w:pPr>
        <w:pStyle w:val="StandardText"/>
      </w:pPr>
    </w:p>
    <w:p w14:paraId="5ECF8072" w14:textId="77777777" w:rsidR="00FF7799" w:rsidRPr="00BA2245" w:rsidRDefault="00FF7799" w:rsidP="00247954">
      <w:pPr>
        <w:pStyle w:val="StandardTextkursiv"/>
        <w:rPr>
          <w:i w:val="0"/>
        </w:rPr>
      </w:pPr>
      <w:r w:rsidRPr="00BA2245">
        <w:rPr>
          <w:i w:val="0"/>
        </w:rPr>
        <w:t>1 Überblick</w:t>
      </w:r>
    </w:p>
    <w:p w14:paraId="597F856E" w14:textId="77777777" w:rsidR="00FF7799" w:rsidRPr="00E73F6F" w:rsidRDefault="00FF7799" w:rsidP="00247954">
      <w:pPr>
        <w:pStyle w:val="StandardText"/>
      </w:pPr>
      <w:r w:rsidRPr="00E73F6F">
        <w:t>Diese Unternehmensfunktion konkretisiert sich u.a. durch Stichworte wie Preiskalkulation, Penetrations- und Abschöpfungsstrategie internati</w:t>
      </w:r>
      <w:r w:rsidR="00BA2245">
        <w:t xml:space="preserve">onal tätiger Unternehmen sowie </w:t>
      </w:r>
      <w:r w:rsidR="00BA2245">
        <w:sym w:font="Symbol" w:char="F0DE"/>
      </w:r>
      <w:r w:rsidR="00BA2245">
        <w:t xml:space="preserve"> Preisdiffernzierung, </w:t>
      </w:r>
      <w:r w:rsidR="00BA2245">
        <w:sym w:font="Symbol" w:char="F0DE"/>
      </w:r>
      <w:r w:rsidRPr="00E73F6F">
        <w:t xml:space="preserve"> Dumping, </w:t>
      </w:r>
      <w:r w:rsidR="00BA2245">
        <w:sym w:font="Symbol" w:char="F0DE"/>
      </w:r>
      <w:r w:rsidR="00BA2245">
        <w:t xml:space="preserve"> Transferpreise und </w:t>
      </w:r>
      <w:r w:rsidR="00BA2245">
        <w:sym w:font="Symbol" w:char="F0DE"/>
      </w:r>
      <w:r w:rsidRPr="00E73F6F">
        <w:t xml:space="preserve"> Kompensationsgeschäfte.</w:t>
      </w:r>
    </w:p>
    <w:p w14:paraId="0C2EBC02" w14:textId="77777777" w:rsidR="00FF7799" w:rsidRPr="00E73F6F" w:rsidRDefault="00FF7799" w:rsidP="00247954">
      <w:pPr>
        <w:pStyle w:val="StandardText"/>
      </w:pPr>
      <w:r w:rsidRPr="00E73F6F">
        <w:t xml:space="preserve">Üblicherweise wird der Preis eines Produktes innerhalb des sog. Magischen Dreiecks (Kunde, Kosten und Konkurrenten) festgelegt. Die kundenorientierte Preisfindung orientiert sich an der Zahlungsbereitschaft potenzieller </w:t>
      </w:r>
      <w:r w:rsidRPr="000843DD">
        <w:t>Käufer. Interne</w:t>
      </w:r>
      <w:r w:rsidRPr="000843DD">
        <w:rPr>
          <w:spacing w:val="-12"/>
        </w:rPr>
        <w:t xml:space="preserve"> </w:t>
      </w:r>
      <w:r w:rsidRPr="000843DD">
        <w:t>Kosten</w:t>
      </w:r>
      <w:r w:rsidRPr="000843DD">
        <w:rPr>
          <w:spacing w:val="-11"/>
        </w:rPr>
        <w:t xml:space="preserve"> </w:t>
      </w:r>
      <w:r w:rsidRPr="000843DD">
        <w:t>bilden</w:t>
      </w:r>
      <w:r w:rsidRPr="000843DD">
        <w:rPr>
          <w:spacing w:val="-11"/>
        </w:rPr>
        <w:t xml:space="preserve"> </w:t>
      </w:r>
      <w:r w:rsidRPr="000843DD">
        <w:t>die</w:t>
      </w:r>
      <w:r w:rsidRPr="000843DD">
        <w:rPr>
          <w:spacing w:val="-11"/>
        </w:rPr>
        <w:t xml:space="preserve"> </w:t>
      </w:r>
      <w:r w:rsidRPr="000843DD">
        <w:t>Basis</w:t>
      </w:r>
      <w:r w:rsidRPr="000843DD">
        <w:rPr>
          <w:spacing w:val="-12"/>
        </w:rPr>
        <w:t xml:space="preserve"> </w:t>
      </w:r>
      <w:r w:rsidRPr="000843DD">
        <w:t>für</w:t>
      </w:r>
      <w:r w:rsidRPr="000843DD">
        <w:rPr>
          <w:spacing w:val="-11"/>
        </w:rPr>
        <w:t xml:space="preserve"> </w:t>
      </w:r>
      <w:r w:rsidRPr="000843DD">
        <w:t>eine</w:t>
      </w:r>
      <w:r w:rsidRPr="000843DD">
        <w:rPr>
          <w:spacing w:val="-11"/>
        </w:rPr>
        <w:t xml:space="preserve"> </w:t>
      </w:r>
      <w:r w:rsidRPr="000843DD">
        <w:t>kostenorientierte</w:t>
      </w:r>
      <w:r w:rsidRPr="000843DD">
        <w:rPr>
          <w:spacing w:val="-11"/>
        </w:rPr>
        <w:t xml:space="preserve"> </w:t>
      </w:r>
      <w:r w:rsidRPr="000843DD">
        <w:t>Preisfindung.</w:t>
      </w:r>
      <w:r w:rsidRPr="000843DD">
        <w:rPr>
          <w:spacing w:val="-12"/>
        </w:rPr>
        <w:t xml:space="preserve"> </w:t>
      </w:r>
      <w:r w:rsidRPr="000843DD">
        <w:t>Schließlich kann sich ein Anbieter auch an der Preispolitik, welche seine Wettbewerber betreiben, ausrichten. Wie die Konkurrenten von Aldi und anderen Harddiscountern Tag für Tag erfahren müssen, hängen die Erfolgsaussichten der eigenen</w:t>
      </w:r>
      <w:r w:rsidRPr="00E73F6F">
        <w:t xml:space="preserve"> Angebote nicht zuletzt von deren Preisgestaltung ab.</w:t>
      </w:r>
    </w:p>
    <w:p w14:paraId="77EF538B" w14:textId="77777777" w:rsidR="00FF7799" w:rsidRPr="00E73F6F" w:rsidRDefault="00FF7799" w:rsidP="00247954">
      <w:pPr>
        <w:pStyle w:val="StandardText"/>
      </w:pPr>
      <w:r w:rsidRPr="00E73F6F">
        <w:t>Jene</w:t>
      </w:r>
      <w:r w:rsidRPr="00E73F6F">
        <w:rPr>
          <w:spacing w:val="-12"/>
        </w:rPr>
        <w:t xml:space="preserve"> </w:t>
      </w:r>
      <w:r w:rsidRPr="00E73F6F">
        <w:t>Faktoren,</w:t>
      </w:r>
      <w:r w:rsidRPr="00E73F6F">
        <w:rPr>
          <w:spacing w:val="-11"/>
        </w:rPr>
        <w:t xml:space="preserve"> </w:t>
      </w:r>
      <w:r w:rsidRPr="00E73F6F">
        <w:t>die</w:t>
      </w:r>
      <w:r w:rsidRPr="00E73F6F">
        <w:rPr>
          <w:spacing w:val="-11"/>
        </w:rPr>
        <w:t xml:space="preserve"> </w:t>
      </w:r>
      <w:r w:rsidRPr="00E73F6F">
        <w:t>vor</w:t>
      </w:r>
      <w:r w:rsidRPr="00E73F6F">
        <w:rPr>
          <w:spacing w:val="-11"/>
        </w:rPr>
        <w:t xml:space="preserve"> </w:t>
      </w:r>
      <w:r w:rsidRPr="00E73F6F">
        <w:t>allem</w:t>
      </w:r>
      <w:r w:rsidRPr="00E73F6F">
        <w:rPr>
          <w:spacing w:val="-12"/>
        </w:rPr>
        <w:t xml:space="preserve"> </w:t>
      </w:r>
      <w:r w:rsidRPr="00E73F6F">
        <w:t>auf</w:t>
      </w:r>
      <w:r w:rsidRPr="00E73F6F">
        <w:rPr>
          <w:spacing w:val="-11"/>
        </w:rPr>
        <w:t xml:space="preserve"> </w:t>
      </w:r>
      <w:r w:rsidRPr="00E73F6F">
        <w:t>Auslandsmärkten</w:t>
      </w:r>
      <w:r w:rsidRPr="00E73F6F">
        <w:rPr>
          <w:spacing w:val="-11"/>
        </w:rPr>
        <w:t xml:space="preserve"> </w:t>
      </w:r>
      <w:r w:rsidRPr="00E73F6F">
        <w:t>dafür</w:t>
      </w:r>
      <w:r w:rsidRPr="00E73F6F">
        <w:rPr>
          <w:spacing w:val="-11"/>
        </w:rPr>
        <w:t xml:space="preserve"> </w:t>
      </w:r>
      <w:r w:rsidRPr="00E73F6F">
        <w:t>sorgen,</w:t>
      </w:r>
      <w:r w:rsidRPr="00E73F6F">
        <w:rPr>
          <w:spacing w:val="-12"/>
        </w:rPr>
        <w:t xml:space="preserve"> </w:t>
      </w:r>
      <w:r w:rsidRPr="00E73F6F">
        <w:t>dass</w:t>
      </w:r>
      <w:r w:rsidRPr="00E73F6F">
        <w:rPr>
          <w:spacing w:val="-11"/>
        </w:rPr>
        <w:t xml:space="preserve"> </w:t>
      </w:r>
      <w:r w:rsidRPr="00E73F6F">
        <w:t>die</w:t>
      </w:r>
      <w:r w:rsidRPr="00E73F6F">
        <w:rPr>
          <w:spacing w:val="-11"/>
        </w:rPr>
        <w:t xml:space="preserve"> </w:t>
      </w:r>
      <w:r w:rsidRPr="00E73F6F">
        <w:t>Endpreise erheblich von den Werkspreisen abweichen, vernachlässigt das „magische Dreieck“ allerdings. Zusammengenommen bilden sie das Umfeld im Zielmarkt, auf</w:t>
      </w:r>
      <w:r w:rsidRPr="00E73F6F">
        <w:rPr>
          <w:spacing w:val="-12"/>
        </w:rPr>
        <w:t xml:space="preserve"> </w:t>
      </w:r>
      <w:r w:rsidRPr="00E73F6F">
        <w:t>das</w:t>
      </w:r>
      <w:r w:rsidRPr="00E73F6F">
        <w:rPr>
          <w:spacing w:val="-11"/>
        </w:rPr>
        <w:t xml:space="preserve"> </w:t>
      </w:r>
      <w:r w:rsidRPr="00E73F6F">
        <w:t>sich</w:t>
      </w:r>
      <w:r w:rsidRPr="00E73F6F">
        <w:rPr>
          <w:spacing w:val="-11"/>
        </w:rPr>
        <w:t xml:space="preserve"> </w:t>
      </w:r>
      <w:r w:rsidRPr="00E73F6F">
        <w:t>die</w:t>
      </w:r>
      <w:r w:rsidRPr="00E73F6F">
        <w:rPr>
          <w:spacing w:val="-11"/>
        </w:rPr>
        <w:t xml:space="preserve"> </w:t>
      </w:r>
      <w:r w:rsidRPr="00E73F6F">
        <w:t>Akteure</w:t>
      </w:r>
      <w:r w:rsidRPr="00E73F6F">
        <w:rPr>
          <w:spacing w:val="-11"/>
        </w:rPr>
        <w:t xml:space="preserve"> </w:t>
      </w:r>
      <w:r w:rsidRPr="00E73F6F">
        <w:t>einzustellen</w:t>
      </w:r>
      <w:r w:rsidRPr="00E73F6F">
        <w:rPr>
          <w:spacing w:val="-9"/>
        </w:rPr>
        <w:t xml:space="preserve"> </w:t>
      </w:r>
      <w:r w:rsidRPr="00E73F6F">
        <w:t>haben.</w:t>
      </w:r>
      <w:r w:rsidRPr="00E73F6F">
        <w:rPr>
          <w:spacing w:val="-12"/>
        </w:rPr>
        <w:t xml:space="preserve"> </w:t>
      </w:r>
      <w:r w:rsidRPr="00E73F6F">
        <w:lastRenderedPageBreak/>
        <w:t>Müller/Gelbrich</w:t>
      </w:r>
      <w:r w:rsidRPr="00E73F6F">
        <w:rPr>
          <w:spacing w:val="-8"/>
        </w:rPr>
        <w:t xml:space="preserve"> </w:t>
      </w:r>
      <w:r w:rsidRPr="00E73F6F">
        <w:t>(2014)</w:t>
      </w:r>
      <w:r w:rsidRPr="00E73F6F">
        <w:rPr>
          <w:spacing w:val="-12"/>
        </w:rPr>
        <w:t xml:space="preserve"> </w:t>
      </w:r>
      <w:r w:rsidRPr="00E73F6F">
        <w:t>behandeln</w:t>
      </w:r>
      <w:r w:rsidRPr="00E73F6F">
        <w:rPr>
          <w:spacing w:val="-8"/>
        </w:rPr>
        <w:t xml:space="preserve"> </w:t>
      </w:r>
      <w:r w:rsidRPr="00E73F6F">
        <w:t>mit der Landeskultur eine wichtige Facette dieses Umfeldes. Zu den Besonderheiten internationaler Preispolitik vgl. Diller (2008, S.296ff.).</w:t>
      </w:r>
    </w:p>
    <w:p w14:paraId="3364EBE4" w14:textId="77777777" w:rsidR="00FF7799" w:rsidRPr="00E73F6F" w:rsidRDefault="00FF7799" w:rsidP="00247954">
      <w:pPr>
        <w:pStyle w:val="StandardText"/>
      </w:pPr>
    </w:p>
    <w:p w14:paraId="41BA4EFD" w14:textId="77777777" w:rsidR="00FF7799" w:rsidRPr="000843DD" w:rsidRDefault="00FF7799" w:rsidP="00247954">
      <w:pPr>
        <w:pStyle w:val="StandardTextkursiv"/>
        <w:rPr>
          <w:i w:val="0"/>
        </w:rPr>
      </w:pPr>
      <w:r w:rsidRPr="000843DD">
        <w:rPr>
          <w:i w:val="0"/>
        </w:rPr>
        <w:t>2 Preiskalkulation</w:t>
      </w:r>
    </w:p>
    <w:p w14:paraId="23750C7D" w14:textId="77777777" w:rsidR="00FF7799" w:rsidRPr="000843DD" w:rsidRDefault="00FF7799" w:rsidP="00247954">
      <w:pPr>
        <w:pStyle w:val="StandardText"/>
      </w:pPr>
      <w:r w:rsidRPr="000843DD">
        <w:t>Mehr noch als im nationalen Geschäft bedient sich die internationale Preispolitik kostenorientierter kalkulatorischer Methoden, vor allem der progressiven Kalkulation. Denn dies erübrigt aufwändige Preisbereitschaftstests in ausländischen</w:t>
      </w:r>
      <w:r w:rsidRPr="000843DD">
        <w:rPr>
          <w:spacing w:val="-5"/>
        </w:rPr>
        <w:t xml:space="preserve"> </w:t>
      </w:r>
      <w:r w:rsidRPr="000843DD">
        <w:t>Märkten.</w:t>
      </w:r>
      <w:r w:rsidRPr="000843DD">
        <w:rPr>
          <w:spacing w:val="-6"/>
        </w:rPr>
        <w:t xml:space="preserve"> </w:t>
      </w:r>
      <w:r w:rsidRPr="000843DD">
        <w:t>Auch</w:t>
      </w:r>
      <w:r w:rsidRPr="000843DD">
        <w:rPr>
          <w:spacing w:val="-5"/>
        </w:rPr>
        <w:t xml:space="preserve"> </w:t>
      </w:r>
      <w:r w:rsidRPr="000843DD">
        <w:t>lassen</w:t>
      </w:r>
      <w:r w:rsidRPr="000843DD">
        <w:rPr>
          <w:spacing w:val="-3"/>
        </w:rPr>
        <w:t xml:space="preserve"> </w:t>
      </w:r>
      <w:r w:rsidRPr="000843DD">
        <w:t>sich</w:t>
      </w:r>
      <w:r w:rsidRPr="000843DD">
        <w:rPr>
          <w:spacing w:val="-5"/>
        </w:rPr>
        <w:t xml:space="preserve"> </w:t>
      </w:r>
      <w:r w:rsidRPr="000843DD">
        <w:t>kostendeckende</w:t>
      </w:r>
      <w:r w:rsidRPr="000843DD">
        <w:rPr>
          <w:spacing w:val="-5"/>
        </w:rPr>
        <w:t xml:space="preserve"> </w:t>
      </w:r>
      <w:r w:rsidRPr="000843DD">
        <w:t>Preise</w:t>
      </w:r>
      <w:r w:rsidRPr="000843DD">
        <w:rPr>
          <w:spacing w:val="-5"/>
        </w:rPr>
        <w:t xml:space="preserve"> </w:t>
      </w:r>
      <w:r w:rsidRPr="000843DD">
        <w:t>im</w:t>
      </w:r>
      <w:r w:rsidRPr="000843DD">
        <w:rPr>
          <w:spacing w:val="-5"/>
        </w:rPr>
        <w:t xml:space="preserve"> </w:t>
      </w:r>
      <w:r w:rsidRPr="000843DD">
        <w:t>Unternehmen vergleichsweise leicht durchsetzen.</w:t>
      </w:r>
    </w:p>
    <w:p w14:paraId="5C6CE350" w14:textId="77777777" w:rsidR="00FF7799" w:rsidRPr="000843DD" w:rsidRDefault="00FF7799" w:rsidP="00247954">
      <w:pPr>
        <w:pStyle w:val="StandardText"/>
      </w:pPr>
      <w:r w:rsidRPr="000843DD">
        <w:t>Da somit bspw. im Exportgeschäft zusätzliche Kosten (z.B. für Lager und Transport) anfallen und Währungsrisiken zu managen sind, die im nationalen Geschäft keine Rolle spielen, tendiert das Management vielfach dazu, im Zweifel eher</w:t>
      </w:r>
      <w:r w:rsidRPr="000843DD">
        <w:rPr>
          <w:spacing w:val="-8"/>
        </w:rPr>
        <w:t xml:space="preserve"> </w:t>
      </w:r>
      <w:r w:rsidRPr="000843DD">
        <w:t>zu</w:t>
      </w:r>
      <w:r w:rsidRPr="000843DD">
        <w:rPr>
          <w:spacing w:val="-7"/>
        </w:rPr>
        <w:t xml:space="preserve"> </w:t>
      </w:r>
      <w:r w:rsidRPr="000843DD">
        <w:t>hohe</w:t>
      </w:r>
      <w:r w:rsidRPr="000843DD">
        <w:rPr>
          <w:spacing w:val="-8"/>
        </w:rPr>
        <w:t xml:space="preserve"> </w:t>
      </w:r>
      <w:r w:rsidRPr="000843DD">
        <w:t>als</w:t>
      </w:r>
      <w:r w:rsidRPr="000843DD">
        <w:rPr>
          <w:spacing w:val="-8"/>
        </w:rPr>
        <w:t xml:space="preserve"> </w:t>
      </w:r>
      <w:r w:rsidRPr="000843DD">
        <w:t>zu</w:t>
      </w:r>
      <w:r w:rsidRPr="000843DD">
        <w:rPr>
          <w:spacing w:val="-9"/>
        </w:rPr>
        <w:t xml:space="preserve"> </w:t>
      </w:r>
      <w:r w:rsidRPr="000843DD">
        <w:t>geringe</w:t>
      </w:r>
      <w:r w:rsidRPr="000843DD">
        <w:rPr>
          <w:spacing w:val="-8"/>
        </w:rPr>
        <w:t xml:space="preserve"> </w:t>
      </w:r>
      <w:r w:rsidRPr="000843DD">
        <w:t>Kosten-</w:t>
      </w:r>
      <w:r w:rsidRPr="000843DD">
        <w:rPr>
          <w:spacing w:val="-8"/>
        </w:rPr>
        <w:t xml:space="preserve"> </w:t>
      </w:r>
      <w:r w:rsidRPr="000843DD">
        <w:t>und</w:t>
      </w:r>
      <w:r w:rsidRPr="000843DD">
        <w:rPr>
          <w:spacing w:val="-7"/>
        </w:rPr>
        <w:t xml:space="preserve"> </w:t>
      </w:r>
      <w:r w:rsidRPr="000843DD">
        <w:t>Risikozuschläge</w:t>
      </w:r>
      <w:r w:rsidRPr="000843DD">
        <w:rPr>
          <w:spacing w:val="-7"/>
        </w:rPr>
        <w:t xml:space="preserve"> </w:t>
      </w:r>
      <w:r w:rsidRPr="000843DD">
        <w:t>anzusetzen.</w:t>
      </w:r>
      <w:r w:rsidRPr="000843DD">
        <w:rPr>
          <w:spacing w:val="-7"/>
        </w:rPr>
        <w:t xml:space="preserve"> </w:t>
      </w:r>
      <w:r w:rsidRPr="000843DD">
        <w:t>Diese</w:t>
      </w:r>
      <w:r w:rsidRPr="000843DD">
        <w:rPr>
          <w:spacing w:val="-9"/>
        </w:rPr>
        <w:t xml:space="preserve"> </w:t>
      </w:r>
      <w:r w:rsidRPr="000843DD">
        <w:t>Praxis gefährdet die preisliche Wettbewerbsfähigkeit.</w:t>
      </w:r>
    </w:p>
    <w:p w14:paraId="58594DFA" w14:textId="77777777" w:rsidR="00FF7799" w:rsidRPr="000843DD" w:rsidRDefault="00FF7799" w:rsidP="00247954">
      <w:pPr>
        <w:pStyle w:val="StandardText"/>
      </w:pPr>
      <w:r w:rsidRPr="000843DD">
        <w:t>Als</w:t>
      </w:r>
      <w:r w:rsidRPr="000843DD">
        <w:rPr>
          <w:spacing w:val="-7"/>
        </w:rPr>
        <w:t xml:space="preserve"> </w:t>
      </w:r>
      <w:r w:rsidRPr="000843DD">
        <w:t>weltweit</w:t>
      </w:r>
      <w:r w:rsidRPr="000843DD">
        <w:rPr>
          <w:spacing w:val="-6"/>
        </w:rPr>
        <w:t xml:space="preserve"> </w:t>
      </w:r>
      <w:r w:rsidRPr="000843DD">
        <w:t>erste</w:t>
      </w:r>
      <w:r w:rsidRPr="000843DD">
        <w:rPr>
          <w:spacing w:val="-7"/>
        </w:rPr>
        <w:t xml:space="preserve"> </w:t>
      </w:r>
      <w:r w:rsidRPr="000843DD">
        <w:t>Entscheidungshilfe</w:t>
      </w:r>
      <w:r w:rsidRPr="000843DD">
        <w:rPr>
          <w:spacing w:val="-7"/>
        </w:rPr>
        <w:t xml:space="preserve"> </w:t>
      </w:r>
      <w:r w:rsidRPr="000843DD">
        <w:t>akzeptiertes</w:t>
      </w:r>
      <w:r w:rsidRPr="000843DD">
        <w:rPr>
          <w:spacing w:val="-7"/>
        </w:rPr>
        <w:t xml:space="preserve"> </w:t>
      </w:r>
      <w:r w:rsidRPr="000843DD">
        <w:t>Kalkulationsschema</w:t>
      </w:r>
      <w:r w:rsidRPr="000843DD">
        <w:rPr>
          <w:spacing w:val="-7"/>
        </w:rPr>
        <w:t xml:space="preserve"> </w:t>
      </w:r>
      <w:r w:rsidRPr="000843DD">
        <w:t>leisten</w:t>
      </w:r>
      <w:r w:rsidRPr="000843DD">
        <w:rPr>
          <w:spacing w:val="-5"/>
        </w:rPr>
        <w:t xml:space="preserve"> </w:t>
      </w:r>
      <w:r w:rsidRPr="000843DD">
        <w:t>die INCOTERMS erste Entscheidungshilfe. Diese internationalen Lieferbedingungen wurden 1936 von der Internationalen Handelskammer veröffentlicht und, als allgemein verbindliche Regeln für den grenzüberschreitenden Warenaustausch, 1953, 1990 und 2000 wiederholt neu festgelegt. Sie dominieren das jeweilige nationale Recht und sehen im Streitfall, bevor der ordentliche Gerichtsweg beschritten wird, ein spezielles Schiedsverfahren vor. „Ausgehend von dem für den Inlandsmarkt ermittelten Verkaufswert eines Gutes ab Werk kann für einen abgegrenzten Auftrag dann progressiv, je nach erbrachtem Leistungsumfang, stufenweise der entsprechende Verkaufswert ermittelt werden“ (Diller 2008, S.355).</w:t>
      </w:r>
    </w:p>
    <w:p w14:paraId="75114875" w14:textId="77777777" w:rsidR="00FF7799" w:rsidRPr="000843DD" w:rsidRDefault="00FF7799" w:rsidP="00247954">
      <w:pPr>
        <w:pStyle w:val="StandardText"/>
      </w:pPr>
      <w:r w:rsidRPr="000843DD">
        <w:t>Noch</w:t>
      </w:r>
      <w:r w:rsidRPr="000843DD">
        <w:rPr>
          <w:spacing w:val="-8"/>
        </w:rPr>
        <w:t xml:space="preserve"> </w:t>
      </w:r>
      <w:r w:rsidRPr="000843DD">
        <w:t>wichtiger</w:t>
      </w:r>
      <w:r w:rsidRPr="000843DD">
        <w:rPr>
          <w:spacing w:val="-11"/>
        </w:rPr>
        <w:t xml:space="preserve"> </w:t>
      </w:r>
      <w:r w:rsidRPr="000843DD">
        <w:t>aber</w:t>
      </w:r>
      <w:r w:rsidRPr="000843DD">
        <w:rPr>
          <w:spacing w:val="-11"/>
        </w:rPr>
        <w:t xml:space="preserve"> </w:t>
      </w:r>
      <w:r w:rsidRPr="000843DD">
        <w:t>ist</w:t>
      </w:r>
      <w:r w:rsidRPr="000843DD">
        <w:rPr>
          <w:spacing w:val="-8"/>
        </w:rPr>
        <w:t xml:space="preserve"> </w:t>
      </w:r>
      <w:r w:rsidRPr="000843DD">
        <w:t>eine</w:t>
      </w:r>
      <w:r w:rsidRPr="000843DD">
        <w:rPr>
          <w:spacing w:val="-9"/>
        </w:rPr>
        <w:t xml:space="preserve"> </w:t>
      </w:r>
      <w:r w:rsidRPr="000843DD">
        <w:t>andere</w:t>
      </w:r>
      <w:r w:rsidRPr="000843DD">
        <w:rPr>
          <w:spacing w:val="-9"/>
        </w:rPr>
        <w:t xml:space="preserve"> </w:t>
      </w:r>
      <w:r w:rsidRPr="000843DD">
        <w:t>Funktion</w:t>
      </w:r>
      <w:r w:rsidRPr="000843DD">
        <w:rPr>
          <w:spacing w:val="-10"/>
        </w:rPr>
        <w:t xml:space="preserve"> </w:t>
      </w:r>
      <w:r w:rsidRPr="000843DD">
        <w:t>der</w:t>
      </w:r>
      <w:r w:rsidRPr="000843DD">
        <w:rPr>
          <w:spacing w:val="-6"/>
        </w:rPr>
        <w:t xml:space="preserve"> </w:t>
      </w:r>
      <w:r w:rsidRPr="000843DD">
        <w:t>INCOTERMS:</w:t>
      </w:r>
      <w:r w:rsidRPr="000843DD">
        <w:rPr>
          <w:spacing w:val="-11"/>
        </w:rPr>
        <w:t xml:space="preserve"> </w:t>
      </w:r>
      <w:r w:rsidRPr="000843DD">
        <w:t>Indem</w:t>
      </w:r>
      <w:r w:rsidRPr="000843DD">
        <w:rPr>
          <w:spacing w:val="-10"/>
        </w:rPr>
        <w:t xml:space="preserve"> </w:t>
      </w:r>
      <w:r w:rsidRPr="000843DD">
        <w:t>sie</w:t>
      </w:r>
      <w:r w:rsidRPr="000843DD">
        <w:rPr>
          <w:spacing w:val="-9"/>
        </w:rPr>
        <w:t xml:space="preserve"> </w:t>
      </w:r>
      <w:r w:rsidRPr="000843DD">
        <w:t>sich</w:t>
      </w:r>
      <w:r w:rsidRPr="000843DD">
        <w:rPr>
          <w:spacing w:val="-8"/>
        </w:rPr>
        <w:t xml:space="preserve"> </w:t>
      </w:r>
      <w:r w:rsidRPr="000843DD">
        <w:t>auf eine der 13 „Klauseln“ ('terms') einigen (vgl. Tab. 1), können Vertragspartner in standardisierter Weise und damit sehr einfach festlegen,</w:t>
      </w:r>
    </w:p>
    <w:p w14:paraId="3315AC23" w14:textId="77777777" w:rsidR="00FF7799" w:rsidRPr="000843DD" w:rsidRDefault="00FF7799" w:rsidP="002E3E4F">
      <w:pPr>
        <w:pStyle w:val="StandardTextAufzhlung"/>
        <w:ind w:left="426"/>
      </w:pPr>
      <w:r w:rsidRPr="000843DD">
        <w:t>ab</w:t>
      </w:r>
      <w:r w:rsidRPr="000843DD">
        <w:rPr>
          <w:spacing w:val="-7"/>
        </w:rPr>
        <w:t xml:space="preserve"> </w:t>
      </w:r>
      <w:r w:rsidRPr="000843DD">
        <w:t>wann</w:t>
      </w:r>
      <w:r w:rsidRPr="000843DD">
        <w:rPr>
          <w:spacing w:val="-7"/>
        </w:rPr>
        <w:t xml:space="preserve"> </w:t>
      </w:r>
      <w:r w:rsidRPr="000843DD">
        <w:t>(d.h.</w:t>
      </w:r>
      <w:r w:rsidRPr="000843DD">
        <w:rPr>
          <w:spacing w:val="-10"/>
        </w:rPr>
        <w:t xml:space="preserve"> </w:t>
      </w:r>
      <w:r w:rsidRPr="000843DD">
        <w:t>zeitlich)</w:t>
      </w:r>
      <w:r w:rsidRPr="000843DD">
        <w:rPr>
          <w:spacing w:val="-10"/>
        </w:rPr>
        <w:t xml:space="preserve"> </w:t>
      </w:r>
      <w:r w:rsidRPr="000843DD">
        <w:t>und</w:t>
      </w:r>
      <w:r w:rsidRPr="000843DD">
        <w:rPr>
          <w:spacing w:val="40"/>
        </w:rPr>
        <w:t xml:space="preserve"> </w:t>
      </w:r>
      <w:r w:rsidRPr="000843DD">
        <w:t>ab wo (d.h. räumlich)</w:t>
      </w:r>
    </w:p>
    <w:p w14:paraId="61798976" w14:textId="77777777" w:rsidR="00FF7799" w:rsidRPr="00E73F6F" w:rsidRDefault="00FF7799" w:rsidP="002E3E4F">
      <w:pPr>
        <w:pStyle w:val="StandardTextAufzhlung"/>
        <w:ind w:left="426"/>
      </w:pPr>
      <w:r w:rsidRPr="000843DD">
        <w:t>Transportkosten und Transportrisiken vom Verkäufer auf den Käufer übergehen. Die</w:t>
      </w:r>
      <w:r w:rsidRPr="000843DD">
        <w:rPr>
          <w:spacing w:val="40"/>
        </w:rPr>
        <w:t xml:space="preserve"> </w:t>
      </w:r>
      <w:r w:rsidRPr="000843DD">
        <w:t>E-Terms (= 'ex work')</w:t>
      </w:r>
      <w:r w:rsidRPr="000843DD">
        <w:rPr>
          <w:spacing w:val="-2"/>
        </w:rPr>
        <w:t xml:space="preserve"> </w:t>
      </w:r>
      <w:r w:rsidRPr="000843DD">
        <w:t>bspw. bestimmen, dass die gehandelten Güter</w:t>
      </w:r>
      <w:r w:rsidRPr="000843DD">
        <w:rPr>
          <w:spacing w:val="-2"/>
        </w:rPr>
        <w:t xml:space="preserve"> </w:t>
      </w:r>
      <w:r w:rsidRPr="000843DD">
        <w:t>dem Käufer, der</w:t>
      </w:r>
      <w:r w:rsidRPr="000843DD">
        <w:rPr>
          <w:spacing w:val="40"/>
        </w:rPr>
        <w:t xml:space="preserve"> </w:t>
      </w:r>
      <w:r w:rsidRPr="000843DD">
        <w:t>dann alle weiteren Kosten und Risiken zu tragen hat, im Bereich des Verkäufers</w:t>
      </w:r>
      <w:r w:rsidRPr="000843DD">
        <w:rPr>
          <w:spacing w:val="40"/>
        </w:rPr>
        <w:t xml:space="preserve"> </w:t>
      </w:r>
      <w:r w:rsidRPr="000843DD">
        <w:t>bereitgestellt werden (bspw. ab Werk, Mühle, Plantage). Gemäß den F-Terms (=</w:t>
      </w:r>
      <w:r w:rsidRPr="000843DD">
        <w:rPr>
          <w:spacing w:val="40"/>
        </w:rPr>
        <w:t xml:space="preserve"> </w:t>
      </w:r>
      <w:r w:rsidRPr="000843DD">
        <w:t>'free') hat der Verkäufer die Ware auf seine Kosten und eigenes Risiko dem vom</w:t>
      </w:r>
      <w:r w:rsidRPr="000843DD">
        <w:rPr>
          <w:spacing w:val="40"/>
        </w:rPr>
        <w:t xml:space="preserve"> </w:t>
      </w:r>
      <w:r w:rsidRPr="000843DD">
        <w:t>Käufer</w:t>
      </w:r>
      <w:r w:rsidRPr="000843DD">
        <w:rPr>
          <w:spacing w:val="-6"/>
        </w:rPr>
        <w:t xml:space="preserve"> </w:t>
      </w:r>
      <w:r w:rsidRPr="000843DD">
        <w:t>benannten</w:t>
      </w:r>
      <w:r w:rsidRPr="000843DD">
        <w:rPr>
          <w:spacing w:val="-4"/>
        </w:rPr>
        <w:t xml:space="preserve"> </w:t>
      </w:r>
      <w:r w:rsidRPr="000843DD">
        <w:t>Hauptfrachtführer</w:t>
      </w:r>
      <w:r w:rsidRPr="000843DD">
        <w:rPr>
          <w:spacing w:val="-4"/>
        </w:rPr>
        <w:t xml:space="preserve"> </w:t>
      </w:r>
      <w:r w:rsidRPr="000843DD">
        <w:t>zu</w:t>
      </w:r>
      <w:r w:rsidRPr="000843DD">
        <w:rPr>
          <w:spacing w:val="-4"/>
        </w:rPr>
        <w:t xml:space="preserve"> </w:t>
      </w:r>
      <w:r w:rsidRPr="000843DD">
        <w:t>übergeben.</w:t>
      </w:r>
      <w:r w:rsidRPr="000843DD">
        <w:rPr>
          <w:spacing w:val="-2"/>
        </w:rPr>
        <w:t xml:space="preserve"> </w:t>
      </w:r>
      <w:r w:rsidRPr="000843DD">
        <w:t>D-Terms</w:t>
      </w:r>
      <w:r w:rsidRPr="000843DD">
        <w:rPr>
          <w:spacing w:val="-6"/>
        </w:rPr>
        <w:t xml:space="preserve"> </w:t>
      </w:r>
      <w:r w:rsidRPr="000843DD">
        <w:t>(=</w:t>
      </w:r>
      <w:r w:rsidRPr="000843DD">
        <w:rPr>
          <w:spacing w:val="-2"/>
        </w:rPr>
        <w:t xml:space="preserve"> </w:t>
      </w:r>
      <w:r w:rsidRPr="000843DD">
        <w:t>'delivered')</w:t>
      </w:r>
      <w:r w:rsidRPr="000843DD">
        <w:rPr>
          <w:spacing w:val="-6"/>
        </w:rPr>
        <w:t xml:space="preserve"> </w:t>
      </w:r>
      <w:r w:rsidRPr="000843DD">
        <w:t>wiederum</w:t>
      </w:r>
      <w:r w:rsidRPr="000843DD">
        <w:rPr>
          <w:spacing w:val="40"/>
        </w:rPr>
        <w:t xml:space="preserve"> </w:t>
      </w:r>
      <w:r w:rsidRPr="000843DD">
        <w:t>verpflichten den Verkäufer zur „Ankunftsvereinbarung“: Er muss die Ware auf seine</w:t>
      </w:r>
      <w:r w:rsidRPr="000843DD">
        <w:rPr>
          <w:spacing w:val="40"/>
        </w:rPr>
        <w:t xml:space="preserve"> </w:t>
      </w:r>
      <w:r w:rsidRPr="000843DD">
        <w:t>Kosten und sein Risiko bis zum vereinbarten Bestimmungsort transportieren lassen.</w:t>
      </w:r>
      <w:r w:rsidRPr="000843DD">
        <w:rPr>
          <w:spacing w:val="40"/>
        </w:rPr>
        <w:t xml:space="preserve"> </w:t>
      </w:r>
      <w:r w:rsidRPr="000843DD">
        <w:t>C-Terms (= 'carrige') schließlich sind eine „Abgangsvereinbarung“. Zwar hat der</w:t>
      </w:r>
      <w:r w:rsidRPr="000843DD">
        <w:rPr>
          <w:spacing w:val="40"/>
        </w:rPr>
        <w:t xml:space="preserve"> </w:t>
      </w:r>
      <w:r w:rsidRPr="000843DD">
        <w:t>Verkäufer einen Transportvertrag abzuschließen und die Frachtkosten, die bis zum</w:t>
      </w:r>
      <w:r w:rsidRPr="000843DD">
        <w:rPr>
          <w:spacing w:val="40"/>
        </w:rPr>
        <w:t xml:space="preserve"> </w:t>
      </w:r>
      <w:r w:rsidRPr="000843DD">
        <w:t>Bestimmungsort</w:t>
      </w:r>
      <w:r w:rsidRPr="000843DD">
        <w:rPr>
          <w:spacing w:val="-2"/>
        </w:rPr>
        <w:t xml:space="preserve"> </w:t>
      </w:r>
      <w:r w:rsidRPr="000843DD">
        <w:t>anfallen,</w:t>
      </w:r>
      <w:r w:rsidRPr="000843DD">
        <w:rPr>
          <w:spacing w:val="-3"/>
        </w:rPr>
        <w:t xml:space="preserve"> </w:t>
      </w:r>
      <w:r w:rsidRPr="000843DD">
        <w:t>zu</w:t>
      </w:r>
      <w:r w:rsidRPr="000843DD">
        <w:rPr>
          <w:spacing w:val="-2"/>
        </w:rPr>
        <w:t xml:space="preserve"> </w:t>
      </w:r>
      <w:r w:rsidRPr="000843DD">
        <w:t>übernehmen. Der</w:t>
      </w:r>
      <w:r w:rsidRPr="000843DD">
        <w:rPr>
          <w:spacing w:val="-4"/>
        </w:rPr>
        <w:t xml:space="preserve"> </w:t>
      </w:r>
      <w:r w:rsidRPr="000843DD">
        <w:t>Käufer</w:t>
      </w:r>
      <w:r w:rsidRPr="000843DD">
        <w:rPr>
          <w:spacing w:val="-4"/>
        </w:rPr>
        <w:t xml:space="preserve"> </w:t>
      </w:r>
      <w:r w:rsidRPr="000843DD">
        <w:t>muss</w:t>
      </w:r>
      <w:r w:rsidRPr="000843DD">
        <w:rPr>
          <w:spacing w:val="-4"/>
        </w:rPr>
        <w:t xml:space="preserve"> </w:t>
      </w:r>
      <w:r w:rsidRPr="000843DD">
        <w:t>die</w:t>
      </w:r>
      <w:r w:rsidRPr="000843DD">
        <w:rPr>
          <w:spacing w:val="-3"/>
        </w:rPr>
        <w:t xml:space="preserve"> </w:t>
      </w:r>
      <w:r w:rsidRPr="000843DD">
        <w:t>Transportrisiken</w:t>
      </w:r>
      <w:r w:rsidRPr="000843DD">
        <w:rPr>
          <w:spacing w:val="-2"/>
        </w:rPr>
        <w:t xml:space="preserve"> </w:t>
      </w:r>
      <w:r w:rsidRPr="000843DD">
        <w:t>aber</w:t>
      </w:r>
      <w:r w:rsidRPr="000843DD">
        <w:rPr>
          <w:spacing w:val="40"/>
        </w:rPr>
        <w:t xml:space="preserve"> </w:t>
      </w:r>
      <w:r w:rsidRPr="000843DD">
        <w:t>bereits ab dem Zeitpunkt der</w:t>
      </w:r>
      <w:r w:rsidRPr="00E73F6F">
        <w:t xml:space="preserve"> Verladung tragen.</w:t>
      </w:r>
    </w:p>
    <w:p w14:paraId="0E9B7067" w14:textId="77777777" w:rsidR="00FF7799" w:rsidRPr="00E73F6F" w:rsidRDefault="00FF7799" w:rsidP="002E3E4F">
      <w:pPr>
        <w:pStyle w:val="StandardText"/>
        <w:ind w:left="426"/>
      </w:pPr>
    </w:p>
    <w:p w14:paraId="7C33CE8B" w14:textId="77777777" w:rsidR="00FF7799" w:rsidRPr="002E3E4F" w:rsidRDefault="00FF7799" w:rsidP="002B3C2E">
      <w:pPr>
        <w:pStyle w:val="BeschriftungTab"/>
        <w:rPr>
          <w:i/>
          <w:iCs/>
        </w:rPr>
      </w:pPr>
      <w:r w:rsidRPr="002E3E4F">
        <w:rPr>
          <w:i/>
          <w:iCs/>
        </w:rPr>
        <w:t>Tab.</w:t>
      </w:r>
      <w:r w:rsidRPr="002E3E4F">
        <w:rPr>
          <w:i/>
          <w:iCs/>
          <w:spacing w:val="-1"/>
        </w:rPr>
        <w:t xml:space="preserve"> </w:t>
      </w:r>
      <w:r w:rsidRPr="002E3E4F">
        <w:rPr>
          <w:i/>
          <w:iCs/>
        </w:rPr>
        <w:t>1:</w:t>
      </w:r>
      <w:r w:rsidRPr="002E3E4F">
        <w:rPr>
          <w:i/>
          <w:iCs/>
          <w:spacing w:val="-2"/>
        </w:rPr>
        <w:t xml:space="preserve"> </w:t>
      </w:r>
      <w:r w:rsidRPr="002E3E4F">
        <w:rPr>
          <w:i/>
          <w:iCs/>
        </w:rPr>
        <w:t>INCOTERMS</w:t>
      </w:r>
      <w:r w:rsidRPr="002E3E4F">
        <w:rPr>
          <w:i/>
          <w:iCs/>
          <w:spacing w:val="-1"/>
        </w:rPr>
        <w:t xml:space="preserve"> </w:t>
      </w:r>
      <w:r w:rsidRPr="002E3E4F">
        <w:rPr>
          <w:i/>
          <w:iCs/>
          <w:spacing w:val="-4"/>
        </w:rPr>
        <w:t>2000</w:t>
      </w:r>
    </w:p>
    <w:tbl>
      <w:tblPr>
        <w:tblStyle w:val="TableNormal"/>
        <w:tblW w:w="4922" w:type="pct"/>
        <w:tblInd w:w="142" w:type="dxa"/>
        <w:tblBorders>
          <w:top w:val="single" w:sz="4" w:space="0" w:color="auto"/>
          <w:bottom w:val="single" w:sz="4" w:space="0" w:color="auto"/>
          <w:insideH w:val="single" w:sz="4" w:space="0" w:color="auto"/>
        </w:tblBorders>
        <w:tblCellMar>
          <w:left w:w="57" w:type="dxa"/>
          <w:right w:w="57" w:type="dxa"/>
        </w:tblCellMar>
        <w:tblLook w:val="01E0" w:firstRow="1" w:lastRow="1" w:firstColumn="1" w:lastColumn="1" w:noHBand="0" w:noVBand="0"/>
      </w:tblPr>
      <w:tblGrid>
        <w:gridCol w:w="1131"/>
        <w:gridCol w:w="1845"/>
        <w:gridCol w:w="2088"/>
        <w:gridCol w:w="1941"/>
        <w:gridCol w:w="1925"/>
      </w:tblGrid>
      <w:tr w:rsidR="00FF7799" w:rsidRPr="00E73F6F" w14:paraId="6F0EFB6E" w14:textId="77777777" w:rsidTr="000843DD">
        <w:trPr>
          <w:trHeight w:val="487"/>
          <w:tblHeader/>
        </w:trPr>
        <w:tc>
          <w:tcPr>
            <w:tcW w:w="633" w:type="pct"/>
            <w:shd w:val="clear" w:color="auto" w:fill="FFC000" w:themeFill="accent4"/>
          </w:tcPr>
          <w:p w14:paraId="6A87B45D" w14:textId="77777777" w:rsidR="00FF7799" w:rsidRPr="00E73F6F" w:rsidRDefault="00FF7799" w:rsidP="002B3C2E">
            <w:pPr>
              <w:pStyle w:val="StandardText"/>
              <w:jc w:val="center"/>
              <w:rPr>
                <w:b/>
                <w:lang w:val="de-DE"/>
              </w:rPr>
            </w:pPr>
            <w:r w:rsidRPr="00E73F6F">
              <w:rPr>
                <w:b/>
                <w:lang w:val="de-DE"/>
              </w:rPr>
              <w:t>Klausel</w:t>
            </w:r>
          </w:p>
        </w:tc>
        <w:tc>
          <w:tcPr>
            <w:tcW w:w="1033" w:type="pct"/>
            <w:shd w:val="clear" w:color="auto" w:fill="FFC000" w:themeFill="accent4"/>
          </w:tcPr>
          <w:p w14:paraId="731F3603" w14:textId="77777777" w:rsidR="00FF7799" w:rsidRPr="00E73F6F" w:rsidRDefault="00FF7799" w:rsidP="002B3C2E">
            <w:pPr>
              <w:pStyle w:val="StandardText"/>
              <w:jc w:val="center"/>
              <w:rPr>
                <w:b/>
                <w:lang w:val="de-DE"/>
              </w:rPr>
            </w:pPr>
            <w:r w:rsidRPr="00E73F6F">
              <w:rPr>
                <w:b/>
                <w:lang w:val="de-DE"/>
              </w:rPr>
              <w:t>Transport</w:t>
            </w:r>
            <w:r w:rsidRPr="00E73F6F">
              <w:rPr>
                <w:b/>
                <w:spacing w:val="-4"/>
                <w:lang w:val="de-DE"/>
              </w:rPr>
              <w:t>art</w:t>
            </w:r>
          </w:p>
        </w:tc>
        <w:tc>
          <w:tcPr>
            <w:tcW w:w="1169" w:type="pct"/>
            <w:shd w:val="clear" w:color="auto" w:fill="FFC000" w:themeFill="accent4"/>
          </w:tcPr>
          <w:p w14:paraId="0F681651" w14:textId="77777777" w:rsidR="00FF7799" w:rsidRPr="00E73F6F" w:rsidRDefault="00FF7799" w:rsidP="002B3C2E">
            <w:pPr>
              <w:pStyle w:val="StandardText"/>
              <w:jc w:val="center"/>
              <w:rPr>
                <w:b/>
                <w:lang w:val="de-DE"/>
              </w:rPr>
            </w:pPr>
            <w:r w:rsidRPr="00E73F6F">
              <w:rPr>
                <w:b/>
                <w:lang w:val="de-DE"/>
              </w:rPr>
              <w:t>Bedeutung</w:t>
            </w:r>
          </w:p>
        </w:tc>
        <w:tc>
          <w:tcPr>
            <w:tcW w:w="1087" w:type="pct"/>
            <w:shd w:val="clear" w:color="auto" w:fill="FFC000" w:themeFill="accent4"/>
          </w:tcPr>
          <w:p w14:paraId="272CD368" w14:textId="77777777" w:rsidR="00FF7799" w:rsidRPr="00E73F6F" w:rsidRDefault="00FF7799" w:rsidP="002B3C2E">
            <w:pPr>
              <w:pStyle w:val="StandardText"/>
              <w:jc w:val="center"/>
              <w:rPr>
                <w:b/>
                <w:lang w:val="de-DE"/>
              </w:rPr>
            </w:pPr>
            <w:r w:rsidRPr="00E73F6F">
              <w:rPr>
                <w:b/>
                <w:lang w:val="de-DE"/>
              </w:rPr>
              <w:t>Übergang</w:t>
            </w:r>
            <w:r w:rsidRPr="00E73F6F">
              <w:rPr>
                <w:b/>
                <w:spacing w:val="-10"/>
                <w:lang w:val="de-DE"/>
              </w:rPr>
              <w:t xml:space="preserve"> </w:t>
            </w:r>
            <w:r w:rsidRPr="00E73F6F">
              <w:rPr>
                <w:b/>
                <w:lang w:val="de-DE"/>
              </w:rPr>
              <w:t>der</w:t>
            </w:r>
            <w:r w:rsidRPr="00E73F6F">
              <w:rPr>
                <w:b/>
                <w:spacing w:val="40"/>
                <w:lang w:val="de-DE"/>
              </w:rPr>
              <w:t xml:space="preserve"> </w:t>
            </w:r>
            <w:r w:rsidRPr="00E73F6F">
              <w:rPr>
                <w:b/>
                <w:lang w:val="de-DE"/>
              </w:rPr>
              <w:t>Kosten</w:t>
            </w:r>
          </w:p>
        </w:tc>
        <w:tc>
          <w:tcPr>
            <w:tcW w:w="1079" w:type="pct"/>
            <w:shd w:val="clear" w:color="auto" w:fill="FFC000" w:themeFill="accent4"/>
          </w:tcPr>
          <w:p w14:paraId="7DB6F62C" w14:textId="77777777" w:rsidR="00FF7799" w:rsidRPr="00E73F6F" w:rsidRDefault="00FF7799" w:rsidP="002B3C2E">
            <w:pPr>
              <w:pStyle w:val="StandardText"/>
              <w:jc w:val="center"/>
              <w:rPr>
                <w:b/>
                <w:lang w:val="de-DE"/>
              </w:rPr>
            </w:pPr>
            <w:r w:rsidRPr="00E73F6F">
              <w:rPr>
                <w:b/>
                <w:lang w:val="de-DE"/>
              </w:rPr>
              <w:t>Gefahrenübergang</w:t>
            </w:r>
          </w:p>
        </w:tc>
      </w:tr>
      <w:tr w:rsidR="00FF7799" w:rsidRPr="00E73F6F" w14:paraId="1B7A8BF8" w14:textId="77777777" w:rsidTr="000843DD">
        <w:trPr>
          <w:trHeight w:val="1235"/>
        </w:trPr>
        <w:tc>
          <w:tcPr>
            <w:tcW w:w="633" w:type="pct"/>
            <w:shd w:val="clear" w:color="auto" w:fill="FFF2CC" w:themeFill="accent4" w:themeFillTint="33"/>
          </w:tcPr>
          <w:p w14:paraId="2CD09822" w14:textId="77777777" w:rsidR="00FF7799" w:rsidRPr="00E35FFF" w:rsidRDefault="00FF7799" w:rsidP="0078772A">
            <w:pPr>
              <w:pStyle w:val="StandardText"/>
              <w:jc w:val="left"/>
            </w:pPr>
            <w:r w:rsidRPr="00E35FFF">
              <w:rPr>
                <w:spacing w:val="-5"/>
              </w:rPr>
              <w:t>EXW</w:t>
            </w:r>
          </w:p>
          <w:p w14:paraId="59691CDA" w14:textId="77777777" w:rsidR="00FF7799" w:rsidRPr="00E35FFF" w:rsidRDefault="00FF7799" w:rsidP="0078772A">
            <w:pPr>
              <w:pStyle w:val="StandardText"/>
              <w:jc w:val="left"/>
            </w:pPr>
            <w:r w:rsidRPr="00E35FFF">
              <w:rPr>
                <w:spacing w:val="-4"/>
              </w:rPr>
              <w:t>(ex</w:t>
            </w:r>
            <w:r w:rsidRPr="00E35FFF">
              <w:rPr>
                <w:spacing w:val="40"/>
              </w:rPr>
              <w:t xml:space="preserve"> </w:t>
            </w:r>
            <w:r w:rsidRPr="00E35FFF">
              <w:t>works,</w:t>
            </w:r>
            <w:r w:rsidRPr="00E35FFF">
              <w:rPr>
                <w:spacing w:val="40"/>
              </w:rPr>
              <w:t xml:space="preserve"> </w:t>
            </w:r>
            <w:r w:rsidRPr="00E35FFF">
              <w:t>named</w:t>
            </w:r>
            <w:r w:rsidRPr="00E35FFF">
              <w:rPr>
                <w:spacing w:val="40"/>
              </w:rPr>
              <w:t xml:space="preserve"> </w:t>
            </w:r>
            <w:r w:rsidRPr="00E35FFF">
              <w:t>place)</w:t>
            </w:r>
          </w:p>
        </w:tc>
        <w:tc>
          <w:tcPr>
            <w:tcW w:w="1033" w:type="pct"/>
          </w:tcPr>
          <w:p w14:paraId="3084C27E" w14:textId="77777777" w:rsidR="00FF7799" w:rsidRPr="00E73F6F" w:rsidRDefault="00FF7799" w:rsidP="0078772A">
            <w:pPr>
              <w:pStyle w:val="StandardText"/>
              <w:jc w:val="left"/>
              <w:rPr>
                <w:lang w:val="de-DE"/>
              </w:rPr>
            </w:pPr>
            <w:r w:rsidRPr="00E73F6F">
              <w:rPr>
                <w:spacing w:val="-4"/>
                <w:lang w:val="de-DE"/>
              </w:rPr>
              <w:t>Alle</w:t>
            </w:r>
          </w:p>
          <w:p w14:paraId="702639CE" w14:textId="77777777" w:rsidR="00FF7799" w:rsidRPr="00E73F6F" w:rsidRDefault="00FF7799" w:rsidP="0078772A">
            <w:pPr>
              <w:pStyle w:val="StandardText"/>
              <w:jc w:val="left"/>
              <w:rPr>
                <w:lang w:val="de-DE"/>
              </w:rPr>
            </w:pPr>
            <w:r w:rsidRPr="00E73F6F">
              <w:rPr>
                <w:lang w:val="de-DE"/>
              </w:rPr>
              <w:t>(=</w:t>
            </w:r>
            <w:r w:rsidRPr="00E73F6F">
              <w:rPr>
                <w:spacing w:val="-10"/>
                <w:lang w:val="de-DE"/>
              </w:rPr>
              <w:t xml:space="preserve"> </w:t>
            </w:r>
            <w:r w:rsidRPr="00E73F6F">
              <w:rPr>
                <w:lang w:val="de-DE"/>
              </w:rPr>
              <w:t>Bahn,</w:t>
            </w:r>
            <w:r w:rsidRPr="00E73F6F">
              <w:rPr>
                <w:spacing w:val="40"/>
                <w:lang w:val="de-DE"/>
              </w:rPr>
              <w:t xml:space="preserve"> </w:t>
            </w:r>
            <w:r w:rsidRPr="00E73F6F">
              <w:rPr>
                <w:lang w:val="de-DE"/>
              </w:rPr>
              <w:t>Flug-</w:t>
            </w:r>
            <w:r w:rsidRPr="00E73F6F">
              <w:rPr>
                <w:spacing w:val="40"/>
                <w:lang w:val="de-DE"/>
              </w:rPr>
              <w:t xml:space="preserve"> </w:t>
            </w:r>
            <w:r w:rsidRPr="00E73F6F">
              <w:rPr>
                <w:lang w:val="de-DE"/>
              </w:rPr>
              <w:t>zeug,</w:t>
            </w:r>
            <w:r w:rsidRPr="00E73F6F">
              <w:rPr>
                <w:spacing w:val="40"/>
                <w:lang w:val="de-DE"/>
              </w:rPr>
              <w:t xml:space="preserve"> </w:t>
            </w:r>
            <w:r w:rsidRPr="00E73F6F">
              <w:rPr>
                <w:spacing w:val="-4"/>
                <w:lang w:val="de-DE"/>
              </w:rPr>
              <w:t>LKW,</w:t>
            </w:r>
          </w:p>
          <w:p w14:paraId="05849278" w14:textId="77777777" w:rsidR="00FF7799" w:rsidRPr="00E73F6F" w:rsidRDefault="00FF7799" w:rsidP="0078772A">
            <w:pPr>
              <w:pStyle w:val="StandardText"/>
              <w:jc w:val="left"/>
              <w:rPr>
                <w:lang w:val="de-DE"/>
              </w:rPr>
            </w:pPr>
            <w:r w:rsidRPr="00E73F6F">
              <w:rPr>
                <w:lang w:val="de-DE"/>
              </w:rPr>
              <w:t>Schiff)</w:t>
            </w:r>
          </w:p>
        </w:tc>
        <w:tc>
          <w:tcPr>
            <w:tcW w:w="1169" w:type="pct"/>
          </w:tcPr>
          <w:p w14:paraId="49F3B82C" w14:textId="77777777" w:rsidR="00FF7799" w:rsidRPr="00E73F6F" w:rsidRDefault="00FF7799" w:rsidP="0078772A">
            <w:pPr>
              <w:pStyle w:val="StandardText"/>
              <w:jc w:val="left"/>
              <w:rPr>
                <w:lang w:val="de-DE"/>
              </w:rPr>
            </w:pPr>
            <w:r w:rsidRPr="00E73F6F">
              <w:rPr>
                <w:lang w:val="de-DE"/>
              </w:rPr>
              <w:t xml:space="preserve">Ab </w:t>
            </w:r>
            <w:r w:rsidRPr="00E73F6F">
              <w:rPr>
                <w:spacing w:val="-4"/>
                <w:lang w:val="de-DE"/>
              </w:rPr>
              <w:t>Werk</w:t>
            </w:r>
          </w:p>
          <w:p w14:paraId="25ED3AC4" w14:textId="77777777" w:rsidR="00FF7799" w:rsidRPr="00E73F6F" w:rsidRDefault="00FF7799" w:rsidP="0078772A">
            <w:pPr>
              <w:pStyle w:val="StandardText"/>
              <w:jc w:val="left"/>
              <w:rPr>
                <w:lang w:val="de-DE"/>
              </w:rPr>
            </w:pPr>
            <w:r w:rsidRPr="00E73F6F">
              <w:rPr>
                <w:lang w:val="de-DE"/>
              </w:rPr>
              <w:t>(...</w:t>
            </w:r>
            <w:r w:rsidRPr="00E73F6F">
              <w:rPr>
                <w:spacing w:val="-10"/>
                <w:lang w:val="de-DE"/>
              </w:rPr>
              <w:t xml:space="preserve"> </w:t>
            </w:r>
            <w:r w:rsidRPr="00E73F6F">
              <w:rPr>
                <w:lang w:val="de-DE"/>
              </w:rPr>
              <w:t>benannter</w:t>
            </w:r>
            <w:r w:rsidRPr="00E73F6F">
              <w:rPr>
                <w:spacing w:val="40"/>
                <w:lang w:val="de-DE"/>
              </w:rPr>
              <w:t xml:space="preserve"> </w:t>
            </w:r>
            <w:r w:rsidRPr="00E73F6F">
              <w:rPr>
                <w:spacing w:val="-4"/>
                <w:lang w:val="de-DE"/>
              </w:rPr>
              <w:t>Ort)</w:t>
            </w:r>
          </w:p>
        </w:tc>
        <w:tc>
          <w:tcPr>
            <w:tcW w:w="1087" w:type="pct"/>
          </w:tcPr>
          <w:p w14:paraId="18F42F52" w14:textId="77777777" w:rsidR="00FF7799" w:rsidRPr="00E73F6F" w:rsidRDefault="00FF7799" w:rsidP="0078772A">
            <w:pPr>
              <w:pStyle w:val="StandardText"/>
              <w:jc w:val="left"/>
              <w:rPr>
                <w:lang w:val="de-DE"/>
              </w:rPr>
            </w:pPr>
            <w:r w:rsidRPr="00E73F6F">
              <w:rPr>
                <w:lang w:val="de-DE"/>
              </w:rPr>
              <w:t>Am</w:t>
            </w:r>
            <w:r w:rsidRPr="00E73F6F">
              <w:rPr>
                <w:spacing w:val="-10"/>
                <w:lang w:val="de-DE"/>
              </w:rPr>
              <w:t xml:space="preserve"> </w:t>
            </w:r>
            <w:r w:rsidRPr="00E73F6F">
              <w:rPr>
                <w:lang w:val="de-DE"/>
              </w:rPr>
              <w:t>benannten</w:t>
            </w:r>
            <w:r w:rsidRPr="00E73F6F">
              <w:rPr>
                <w:spacing w:val="40"/>
                <w:lang w:val="de-DE"/>
              </w:rPr>
              <w:t xml:space="preserve"> </w:t>
            </w:r>
            <w:r w:rsidRPr="00E73F6F">
              <w:rPr>
                <w:spacing w:val="-4"/>
                <w:lang w:val="de-DE"/>
              </w:rPr>
              <w:t>Werk</w:t>
            </w:r>
          </w:p>
        </w:tc>
        <w:tc>
          <w:tcPr>
            <w:tcW w:w="1079" w:type="pct"/>
          </w:tcPr>
          <w:p w14:paraId="6AC82684" w14:textId="77777777" w:rsidR="00FF7799" w:rsidRPr="00E73F6F" w:rsidRDefault="00FF7799" w:rsidP="0078772A">
            <w:pPr>
              <w:pStyle w:val="StandardText"/>
              <w:jc w:val="left"/>
              <w:rPr>
                <w:lang w:val="de-DE"/>
              </w:rPr>
            </w:pPr>
            <w:r w:rsidRPr="00E73F6F">
              <w:rPr>
                <w:lang w:val="de-DE"/>
              </w:rPr>
              <w:t>Am</w:t>
            </w:r>
            <w:r w:rsidRPr="00E73F6F">
              <w:rPr>
                <w:spacing w:val="-10"/>
                <w:lang w:val="de-DE"/>
              </w:rPr>
              <w:t xml:space="preserve"> </w:t>
            </w:r>
            <w:r w:rsidRPr="00E73F6F">
              <w:rPr>
                <w:lang w:val="de-DE"/>
              </w:rPr>
              <w:t>benannten</w:t>
            </w:r>
            <w:r w:rsidRPr="00E73F6F">
              <w:rPr>
                <w:spacing w:val="40"/>
                <w:lang w:val="de-DE"/>
              </w:rPr>
              <w:t xml:space="preserve"> </w:t>
            </w:r>
            <w:r w:rsidRPr="00E73F6F">
              <w:rPr>
                <w:spacing w:val="-4"/>
                <w:lang w:val="de-DE"/>
              </w:rPr>
              <w:t>Werk</w:t>
            </w:r>
          </w:p>
        </w:tc>
      </w:tr>
      <w:tr w:rsidR="00FF7799" w:rsidRPr="00E73F6F" w14:paraId="0618992D" w14:textId="77777777" w:rsidTr="000843DD">
        <w:trPr>
          <w:trHeight w:val="683"/>
        </w:trPr>
        <w:tc>
          <w:tcPr>
            <w:tcW w:w="633" w:type="pct"/>
            <w:shd w:val="clear" w:color="auto" w:fill="FFF2CC" w:themeFill="accent4" w:themeFillTint="33"/>
          </w:tcPr>
          <w:p w14:paraId="47585FDE" w14:textId="77777777" w:rsidR="00FF7799" w:rsidRPr="00E73F6F" w:rsidRDefault="00FF7799" w:rsidP="0078772A">
            <w:pPr>
              <w:pStyle w:val="StandardText"/>
              <w:jc w:val="left"/>
              <w:rPr>
                <w:lang w:val="de-DE"/>
              </w:rPr>
            </w:pPr>
            <w:r w:rsidRPr="00E73F6F">
              <w:rPr>
                <w:spacing w:val="-5"/>
                <w:lang w:val="de-DE"/>
              </w:rPr>
              <w:lastRenderedPageBreak/>
              <w:t>FCA</w:t>
            </w:r>
          </w:p>
          <w:p w14:paraId="24629906" w14:textId="77777777" w:rsidR="00FF7799" w:rsidRPr="00E73F6F" w:rsidRDefault="00FF7799" w:rsidP="0078772A">
            <w:pPr>
              <w:pStyle w:val="StandardText"/>
              <w:jc w:val="left"/>
              <w:rPr>
                <w:lang w:val="de-DE"/>
              </w:rPr>
            </w:pPr>
            <w:r w:rsidRPr="00E73F6F">
              <w:rPr>
                <w:lang w:val="de-DE"/>
              </w:rPr>
              <w:t>(free</w:t>
            </w:r>
            <w:r w:rsidRPr="00E73F6F">
              <w:rPr>
                <w:spacing w:val="40"/>
                <w:lang w:val="de-DE"/>
              </w:rPr>
              <w:t xml:space="preserve"> </w:t>
            </w:r>
            <w:r w:rsidRPr="00E73F6F">
              <w:rPr>
                <w:lang w:val="de-DE"/>
              </w:rPr>
              <w:t>carrier)</w:t>
            </w:r>
          </w:p>
        </w:tc>
        <w:tc>
          <w:tcPr>
            <w:tcW w:w="1033" w:type="pct"/>
          </w:tcPr>
          <w:p w14:paraId="759538B1" w14:textId="77777777" w:rsidR="00FF7799" w:rsidRPr="00E73F6F" w:rsidRDefault="00FF7799" w:rsidP="0078772A">
            <w:pPr>
              <w:pStyle w:val="StandardText"/>
              <w:jc w:val="left"/>
              <w:rPr>
                <w:lang w:val="de-DE"/>
              </w:rPr>
            </w:pPr>
            <w:r w:rsidRPr="00E73F6F">
              <w:rPr>
                <w:spacing w:val="-4"/>
                <w:lang w:val="de-DE"/>
              </w:rPr>
              <w:t>Alle</w:t>
            </w:r>
          </w:p>
        </w:tc>
        <w:tc>
          <w:tcPr>
            <w:tcW w:w="1169" w:type="pct"/>
          </w:tcPr>
          <w:p w14:paraId="78ACE35F" w14:textId="77777777" w:rsidR="00FF7799" w:rsidRPr="00E73F6F" w:rsidRDefault="00FF7799" w:rsidP="0078772A">
            <w:pPr>
              <w:pStyle w:val="StandardText"/>
              <w:jc w:val="left"/>
              <w:rPr>
                <w:lang w:val="de-DE"/>
              </w:rPr>
            </w:pPr>
            <w:r w:rsidRPr="00E73F6F">
              <w:rPr>
                <w:spacing w:val="-4"/>
                <w:lang w:val="de-DE"/>
              </w:rPr>
              <w:t>Frei</w:t>
            </w:r>
            <w:r w:rsidRPr="00E73F6F">
              <w:rPr>
                <w:spacing w:val="40"/>
                <w:lang w:val="de-DE"/>
              </w:rPr>
              <w:t xml:space="preserve"> </w:t>
            </w:r>
            <w:r w:rsidRPr="00E73F6F">
              <w:rPr>
                <w:lang w:val="de-DE"/>
              </w:rPr>
              <w:t>Frachtführer</w:t>
            </w:r>
          </w:p>
        </w:tc>
        <w:tc>
          <w:tcPr>
            <w:tcW w:w="1087" w:type="pct"/>
          </w:tcPr>
          <w:p w14:paraId="1B9BA422" w14:textId="77777777" w:rsidR="00FF7799" w:rsidRPr="00E73F6F" w:rsidRDefault="00FF7799" w:rsidP="0078772A">
            <w:pPr>
              <w:pStyle w:val="StandardText"/>
              <w:jc w:val="left"/>
              <w:rPr>
                <w:lang w:val="de-DE"/>
              </w:rPr>
            </w:pPr>
            <w:r w:rsidRPr="00E73F6F">
              <w:rPr>
                <w:lang w:val="de-DE"/>
              </w:rPr>
              <w:t>Bei</w:t>
            </w:r>
            <w:r w:rsidRPr="00E73F6F">
              <w:rPr>
                <w:spacing w:val="-10"/>
                <w:lang w:val="de-DE"/>
              </w:rPr>
              <w:t xml:space="preserve"> </w:t>
            </w:r>
            <w:r w:rsidRPr="00E73F6F">
              <w:rPr>
                <w:lang w:val="de-DE"/>
              </w:rPr>
              <w:t>Übergabe</w:t>
            </w:r>
            <w:r w:rsidRPr="00E73F6F">
              <w:rPr>
                <w:spacing w:val="-10"/>
                <w:lang w:val="de-DE"/>
              </w:rPr>
              <w:t xml:space="preserve"> </w:t>
            </w:r>
            <w:r w:rsidRPr="00E73F6F">
              <w:rPr>
                <w:lang w:val="de-DE"/>
              </w:rPr>
              <w:t>an</w:t>
            </w:r>
            <w:r w:rsidRPr="00E73F6F">
              <w:rPr>
                <w:spacing w:val="40"/>
                <w:lang w:val="de-DE"/>
              </w:rPr>
              <w:t xml:space="preserve"> </w:t>
            </w:r>
            <w:r w:rsidRPr="00E73F6F">
              <w:rPr>
                <w:lang w:val="de-DE"/>
              </w:rPr>
              <w:t>Frachtführer</w:t>
            </w:r>
            <w:r w:rsidRPr="00E73F6F">
              <w:rPr>
                <w:spacing w:val="-7"/>
                <w:lang w:val="de-DE"/>
              </w:rPr>
              <w:t xml:space="preserve"> </w:t>
            </w:r>
            <w:r w:rsidRPr="00E73F6F">
              <w:rPr>
                <w:lang w:val="de-DE"/>
              </w:rPr>
              <w:t>am</w:t>
            </w:r>
            <w:r w:rsidRPr="00E73F6F">
              <w:rPr>
                <w:spacing w:val="40"/>
                <w:lang w:val="de-DE"/>
              </w:rPr>
              <w:t xml:space="preserve"> </w:t>
            </w:r>
            <w:r w:rsidRPr="00E73F6F">
              <w:rPr>
                <w:lang w:val="de-DE"/>
              </w:rPr>
              <w:t>benannten Ort</w:t>
            </w:r>
          </w:p>
        </w:tc>
        <w:tc>
          <w:tcPr>
            <w:tcW w:w="1079" w:type="pct"/>
          </w:tcPr>
          <w:p w14:paraId="3CF46021" w14:textId="77777777" w:rsidR="00FF7799" w:rsidRPr="00E73F6F" w:rsidRDefault="00FF7799" w:rsidP="0078772A">
            <w:pPr>
              <w:pStyle w:val="StandardText"/>
              <w:jc w:val="left"/>
              <w:rPr>
                <w:lang w:val="de-DE"/>
              </w:rPr>
            </w:pPr>
            <w:r w:rsidRPr="00E73F6F">
              <w:rPr>
                <w:lang w:val="de-DE"/>
              </w:rPr>
              <w:t>Bei</w:t>
            </w:r>
            <w:r w:rsidRPr="00E73F6F">
              <w:rPr>
                <w:spacing w:val="-10"/>
                <w:lang w:val="de-DE"/>
              </w:rPr>
              <w:t xml:space="preserve"> </w:t>
            </w:r>
            <w:r w:rsidRPr="00E73F6F">
              <w:rPr>
                <w:lang w:val="de-DE"/>
              </w:rPr>
              <w:t>Übergabe</w:t>
            </w:r>
            <w:r w:rsidRPr="00E73F6F">
              <w:rPr>
                <w:spacing w:val="-10"/>
                <w:lang w:val="de-DE"/>
              </w:rPr>
              <w:t xml:space="preserve"> </w:t>
            </w:r>
            <w:r w:rsidRPr="00E73F6F">
              <w:rPr>
                <w:lang w:val="de-DE"/>
              </w:rPr>
              <w:t>an</w:t>
            </w:r>
            <w:r w:rsidRPr="00E73F6F">
              <w:rPr>
                <w:spacing w:val="40"/>
                <w:lang w:val="de-DE"/>
              </w:rPr>
              <w:t xml:space="preserve"> </w:t>
            </w:r>
            <w:r w:rsidRPr="00E73F6F">
              <w:rPr>
                <w:lang w:val="de-DE"/>
              </w:rPr>
              <w:t>Frachtführer</w:t>
            </w:r>
            <w:r w:rsidRPr="00E73F6F">
              <w:rPr>
                <w:spacing w:val="-7"/>
                <w:lang w:val="de-DE"/>
              </w:rPr>
              <w:t xml:space="preserve"> </w:t>
            </w:r>
            <w:r w:rsidRPr="00E73F6F">
              <w:rPr>
                <w:lang w:val="de-DE"/>
              </w:rPr>
              <w:t>am</w:t>
            </w:r>
            <w:r w:rsidRPr="00E73F6F">
              <w:rPr>
                <w:spacing w:val="40"/>
                <w:lang w:val="de-DE"/>
              </w:rPr>
              <w:t xml:space="preserve"> </w:t>
            </w:r>
            <w:r w:rsidRPr="00E73F6F">
              <w:rPr>
                <w:lang w:val="de-DE"/>
              </w:rPr>
              <w:t>benannten Ort</w:t>
            </w:r>
          </w:p>
        </w:tc>
      </w:tr>
      <w:tr w:rsidR="00FF7799" w:rsidRPr="00E73F6F" w14:paraId="4DCD297D" w14:textId="77777777" w:rsidTr="000843DD">
        <w:trPr>
          <w:trHeight w:val="429"/>
        </w:trPr>
        <w:tc>
          <w:tcPr>
            <w:tcW w:w="633" w:type="pct"/>
            <w:shd w:val="clear" w:color="auto" w:fill="FFF2CC" w:themeFill="accent4" w:themeFillTint="33"/>
          </w:tcPr>
          <w:p w14:paraId="78B8F5E3" w14:textId="77777777" w:rsidR="00FF7799" w:rsidRPr="00E73F6F" w:rsidRDefault="00FF7799" w:rsidP="0078772A">
            <w:pPr>
              <w:pStyle w:val="StandardText"/>
              <w:jc w:val="left"/>
              <w:rPr>
                <w:lang w:val="de-DE"/>
              </w:rPr>
            </w:pPr>
          </w:p>
        </w:tc>
        <w:tc>
          <w:tcPr>
            <w:tcW w:w="1033" w:type="pct"/>
          </w:tcPr>
          <w:p w14:paraId="6ABDFB8D" w14:textId="77777777" w:rsidR="00FF7799" w:rsidRPr="00E73F6F" w:rsidRDefault="00FF7799" w:rsidP="0078772A">
            <w:pPr>
              <w:pStyle w:val="StandardText"/>
              <w:jc w:val="left"/>
              <w:rPr>
                <w:lang w:val="de-DE"/>
              </w:rPr>
            </w:pPr>
          </w:p>
        </w:tc>
        <w:tc>
          <w:tcPr>
            <w:tcW w:w="1169" w:type="pct"/>
          </w:tcPr>
          <w:p w14:paraId="15683441" w14:textId="77777777" w:rsidR="00FF7799" w:rsidRPr="00E73F6F" w:rsidRDefault="00FF7799" w:rsidP="0078772A">
            <w:pPr>
              <w:pStyle w:val="StandardText"/>
              <w:jc w:val="left"/>
              <w:rPr>
                <w:lang w:val="de-DE"/>
              </w:rPr>
            </w:pPr>
            <w:r w:rsidRPr="00E73F6F">
              <w:rPr>
                <w:lang w:val="de-DE"/>
              </w:rPr>
              <w:t>(...</w:t>
            </w:r>
            <w:r w:rsidRPr="00E73F6F">
              <w:rPr>
                <w:spacing w:val="-10"/>
                <w:lang w:val="de-DE"/>
              </w:rPr>
              <w:t xml:space="preserve"> </w:t>
            </w:r>
            <w:r w:rsidRPr="00E73F6F">
              <w:rPr>
                <w:lang w:val="de-DE"/>
              </w:rPr>
              <w:t>benannter</w:t>
            </w:r>
            <w:r w:rsidRPr="00E73F6F">
              <w:rPr>
                <w:spacing w:val="40"/>
                <w:lang w:val="de-DE"/>
              </w:rPr>
              <w:t xml:space="preserve"> </w:t>
            </w:r>
            <w:r w:rsidRPr="00E73F6F">
              <w:rPr>
                <w:spacing w:val="-4"/>
                <w:lang w:val="de-DE"/>
              </w:rPr>
              <w:t>Ort)</w:t>
            </w:r>
          </w:p>
        </w:tc>
        <w:tc>
          <w:tcPr>
            <w:tcW w:w="1087" w:type="pct"/>
          </w:tcPr>
          <w:p w14:paraId="59A967E5" w14:textId="77777777" w:rsidR="00FF7799" w:rsidRPr="00E73F6F" w:rsidRDefault="00FF7799" w:rsidP="0078772A">
            <w:pPr>
              <w:pStyle w:val="StandardText"/>
              <w:jc w:val="left"/>
              <w:rPr>
                <w:lang w:val="de-DE"/>
              </w:rPr>
            </w:pPr>
          </w:p>
        </w:tc>
        <w:tc>
          <w:tcPr>
            <w:tcW w:w="1079" w:type="pct"/>
          </w:tcPr>
          <w:p w14:paraId="5303A491" w14:textId="77777777" w:rsidR="00FF7799" w:rsidRPr="00E73F6F" w:rsidRDefault="00FF7799" w:rsidP="0078772A">
            <w:pPr>
              <w:pStyle w:val="StandardText"/>
              <w:jc w:val="left"/>
              <w:rPr>
                <w:lang w:val="de-DE"/>
              </w:rPr>
            </w:pPr>
          </w:p>
        </w:tc>
      </w:tr>
      <w:tr w:rsidR="00FF7799" w:rsidRPr="00E73F6F" w14:paraId="5231BF2E" w14:textId="77777777" w:rsidTr="000843DD">
        <w:trPr>
          <w:trHeight w:val="1235"/>
        </w:trPr>
        <w:tc>
          <w:tcPr>
            <w:tcW w:w="633" w:type="pct"/>
            <w:shd w:val="clear" w:color="auto" w:fill="FFF2CC" w:themeFill="accent4" w:themeFillTint="33"/>
          </w:tcPr>
          <w:p w14:paraId="52BD7FF1" w14:textId="77777777" w:rsidR="00FF7799" w:rsidRPr="00E73F6F" w:rsidRDefault="00FF7799" w:rsidP="0078772A">
            <w:pPr>
              <w:pStyle w:val="StandardText"/>
              <w:jc w:val="left"/>
              <w:rPr>
                <w:lang w:val="de-DE"/>
              </w:rPr>
            </w:pPr>
            <w:r w:rsidRPr="00E73F6F">
              <w:rPr>
                <w:spacing w:val="-5"/>
                <w:lang w:val="de-DE"/>
              </w:rPr>
              <w:t>FAS</w:t>
            </w:r>
          </w:p>
          <w:p w14:paraId="4AE23118" w14:textId="77777777" w:rsidR="00FF7799" w:rsidRPr="00E73F6F" w:rsidRDefault="00FF7799" w:rsidP="0078772A">
            <w:pPr>
              <w:pStyle w:val="StandardText"/>
              <w:jc w:val="left"/>
              <w:rPr>
                <w:lang w:val="de-DE"/>
              </w:rPr>
            </w:pPr>
            <w:r w:rsidRPr="00E73F6F">
              <w:rPr>
                <w:lang w:val="de-DE"/>
              </w:rPr>
              <w:t>(free</w:t>
            </w:r>
            <w:r w:rsidRPr="00E73F6F">
              <w:rPr>
                <w:spacing w:val="40"/>
                <w:lang w:val="de-DE"/>
              </w:rPr>
              <w:t xml:space="preserve"> </w:t>
            </w:r>
            <w:r w:rsidRPr="00E73F6F">
              <w:rPr>
                <w:lang w:val="de-DE"/>
              </w:rPr>
              <w:t>alongside</w:t>
            </w:r>
            <w:r w:rsidRPr="00E73F6F">
              <w:rPr>
                <w:spacing w:val="40"/>
                <w:lang w:val="de-DE"/>
              </w:rPr>
              <w:t xml:space="preserve"> </w:t>
            </w:r>
            <w:r w:rsidRPr="00E73F6F">
              <w:rPr>
                <w:lang w:val="de-DE"/>
              </w:rPr>
              <w:t>ship)</w:t>
            </w:r>
          </w:p>
        </w:tc>
        <w:tc>
          <w:tcPr>
            <w:tcW w:w="1033" w:type="pct"/>
          </w:tcPr>
          <w:p w14:paraId="628238D0" w14:textId="77777777" w:rsidR="00FF7799" w:rsidRPr="00E73F6F" w:rsidRDefault="00FF7799" w:rsidP="0078772A">
            <w:pPr>
              <w:pStyle w:val="StandardText"/>
              <w:jc w:val="left"/>
              <w:rPr>
                <w:lang w:val="de-DE"/>
              </w:rPr>
            </w:pPr>
            <w:r w:rsidRPr="00E73F6F">
              <w:rPr>
                <w:lang w:val="de-DE"/>
              </w:rPr>
              <w:t>Schiff</w:t>
            </w:r>
          </w:p>
          <w:p w14:paraId="38CA6E43" w14:textId="77777777" w:rsidR="00FF7799" w:rsidRPr="00E73F6F" w:rsidRDefault="00FF7799" w:rsidP="0078772A">
            <w:pPr>
              <w:pStyle w:val="StandardText"/>
              <w:jc w:val="left"/>
              <w:rPr>
                <w:lang w:val="de-DE"/>
              </w:rPr>
            </w:pPr>
            <w:r w:rsidRPr="00E73F6F">
              <w:rPr>
                <w:lang w:val="de-DE"/>
              </w:rPr>
              <w:t>(=</w:t>
            </w:r>
            <w:r w:rsidRPr="00E73F6F">
              <w:rPr>
                <w:spacing w:val="-10"/>
                <w:lang w:val="de-DE"/>
              </w:rPr>
              <w:t xml:space="preserve"> </w:t>
            </w:r>
            <w:r w:rsidRPr="00E73F6F">
              <w:rPr>
                <w:lang w:val="de-DE"/>
              </w:rPr>
              <w:t>See-/</w:t>
            </w:r>
            <w:r w:rsidRPr="00E73F6F">
              <w:rPr>
                <w:spacing w:val="40"/>
                <w:lang w:val="de-DE"/>
              </w:rPr>
              <w:t xml:space="preserve"> </w:t>
            </w:r>
            <w:r w:rsidRPr="00E73F6F">
              <w:rPr>
                <w:lang w:val="de-DE"/>
              </w:rPr>
              <w:t>Fluss-</w:t>
            </w:r>
            <w:r w:rsidRPr="00E73F6F">
              <w:rPr>
                <w:spacing w:val="40"/>
                <w:lang w:val="de-DE"/>
              </w:rPr>
              <w:t xml:space="preserve"> </w:t>
            </w:r>
            <w:r w:rsidRPr="00E73F6F">
              <w:rPr>
                <w:lang w:val="de-DE"/>
              </w:rPr>
              <w:t>Schiff)</w:t>
            </w:r>
          </w:p>
        </w:tc>
        <w:tc>
          <w:tcPr>
            <w:tcW w:w="1169" w:type="pct"/>
          </w:tcPr>
          <w:p w14:paraId="48F4CCFE" w14:textId="77777777" w:rsidR="00FF7799" w:rsidRPr="00E73F6F" w:rsidRDefault="00FF7799" w:rsidP="0078772A">
            <w:pPr>
              <w:pStyle w:val="StandardText"/>
              <w:jc w:val="left"/>
              <w:rPr>
                <w:lang w:val="de-DE"/>
              </w:rPr>
            </w:pPr>
            <w:r w:rsidRPr="00E73F6F">
              <w:rPr>
                <w:spacing w:val="-4"/>
                <w:lang w:val="de-DE"/>
              </w:rPr>
              <w:t>Frei</w:t>
            </w:r>
            <w:r w:rsidRPr="00E73F6F">
              <w:rPr>
                <w:spacing w:val="40"/>
                <w:lang w:val="de-DE"/>
              </w:rPr>
              <w:t xml:space="preserve"> </w:t>
            </w:r>
            <w:r w:rsidRPr="00E73F6F">
              <w:rPr>
                <w:lang w:val="de-DE"/>
              </w:rPr>
              <w:t>Längsseite</w:t>
            </w:r>
            <w:r w:rsidRPr="00E73F6F">
              <w:rPr>
                <w:spacing w:val="40"/>
                <w:lang w:val="de-DE"/>
              </w:rPr>
              <w:t xml:space="preserve"> </w:t>
            </w:r>
            <w:r w:rsidRPr="00E73F6F">
              <w:rPr>
                <w:lang w:val="de-DE"/>
              </w:rPr>
              <w:t>Schiff</w:t>
            </w:r>
          </w:p>
          <w:p w14:paraId="7268FF24" w14:textId="77777777" w:rsidR="00FF7799" w:rsidRPr="00E73F6F" w:rsidRDefault="00FF7799" w:rsidP="0078772A">
            <w:pPr>
              <w:pStyle w:val="StandardText"/>
              <w:jc w:val="left"/>
              <w:rPr>
                <w:lang w:val="de-DE"/>
              </w:rPr>
            </w:pPr>
            <w:r w:rsidRPr="00E73F6F">
              <w:rPr>
                <w:lang w:val="de-DE"/>
              </w:rPr>
              <w:t>(...</w:t>
            </w:r>
            <w:r w:rsidRPr="00E73F6F">
              <w:rPr>
                <w:spacing w:val="-5"/>
                <w:lang w:val="de-DE"/>
              </w:rPr>
              <w:t xml:space="preserve"> </w:t>
            </w:r>
            <w:r w:rsidRPr="00E73F6F">
              <w:rPr>
                <w:lang w:val="de-DE"/>
              </w:rPr>
              <w:t>benannter</w:t>
            </w:r>
            <w:r w:rsidRPr="00E73F6F">
              <w:rPr>
                <w:spacing w:val="40"/>
                <w:lang w:val="de-DE"/>
              </w:rPr>
              <w:t xml:space="preserve"> </w:t>
            </w:r>
            <w:r w:rsidRPr="00E73F6F">
              <w:rPr>
                <w:lang w:val="de-DE"/>
              </w:rPr>
              <w:t>Verschiffungs</w:t>
            </w:r>
            <w:r w:rsidRPr="00E73F6F">
              <w:rPr>
                <w:spacing w:val="40"/>
                <w:lang w:val="de-DE"/>
              </w:rPr>
              <w:t xml:space="preserve"> </w:t>
            </w:r>
            <w:r w:rsidRPr="00E73F6F">
              <w:rPr>
                <w:lang w:val="de-DE"/>
              </w:rPr>
              <w:t>hafen)</w:t>
            </w:r>
          </w:p>
        </w:tc>
        <w:tc>
          <w:tcPr>
            <w:tcW w:w="1087" w:type="pct"/>
          </w:tcPr>
          <w:p w14:paraId="4111043C" w14:textId="77777777" w:rsidR="00FF7799" w:rsidRPr="00E73F6F" w:rsidRDefault="00FF7799" w:rsidP="0078772A">
            <w:pPr>
              <w:pStyle w:val="StandardText"/>
              <w:jc w:val="left"/>
              <w:rPr>
                <w:lang w:val="de-DE"/>
              </w:rPr>
            </w:pPr>
            <w:r w:rsidRPr="00E73F6F">
              <w:rPr>
                <w:lang w:val="de-DE"/>
              </w:rPr>
              <w:t>Längsseite</w:t>
            </w:r>
            <w:r w:rsidRPr="00E73F6F">
              <w:rPr>
                <w:spacing w:val="-3"/>
                <w:lang w:val="de-DE"/>
              </w:rPr>
              <w:t xml:space="preserve"> </w:t>
            </w:r>
            <w:r w:rsidRPr="00E73F6F">
              <w:rPr>
                <w:lang w:val="de-DE"/>
              </w:rPr>
              <w:t>des</w:t>
            </w:r>
            <w:r w:rsidRPr="00E73F6F">
              <w:rPr>
                <w:spacing w:val="40"/>
                <w:lang w:val="de-DE"/>
              </w:rPr>
              <w:t xml:space="preserve"> </w:t>
            </w:r>
            <w:r w:rsidRPr="00E73F6F">
              <w:rPr>
                <w:lang w:val="de-DE"/>
              </w:rPr>
              <w:t>Schiffes</w:t>
            </w:r>
            <w:r w:rsidRPr="00E73F6F">
              <w:rPr>
                <w:spacing w:val="-1"/>
                <w:lang w:val="de-DE"/>
              </w:rPr>
              <w:t xml:space="preserve"> </w:t>
            </w:r>
            <w:r w:rsidRPr="00E73F6F">
              <w:rPr>
                <w:lang w:val="de-DE"/>
              </w:rPr>
              <w:t>im</w:t>
            </w:r>
            <w:r w:rsidRPr="00E73F6F">
              <w:rPr>
                <w:spacing w:val="40"/>
                <w:lang w:val="de-DE"/>
              </w:rPr>
              <w:t xml:space="preserve"> </w:t>
            </w:r>
            <w:r w:rsidRPr="00E73F6F">
              <w:rPr>
                <w:lang w:val="de-DE"/>
              </w:rPr>
              <w:t>benannten</w:t>
            </w:r>
            <w:r w:rsidRPr="00E73F6F">
              <w:rPr>
                <w:spacing w:val="-6"/>
                <w:lang w:val="de-DE"/>
              </w:rPr>
              <w:t xml:space="preserve"> </w:t>
            </w:r>
            <w:r w:rsidRPr="00E73F6F">
              <w:rPr>
                <w:lang w:val="de-DE"/>
              </w:rPr>
              <w:t>Ver-</w:t>
            </w:r>
            <w:r w:rsidRPr="00E73F6F">
              <w:rPr>
                <w:spacing w:val="40"/>
                <w:lang w:val="de-DE"/>
              </w:rPr>
              <w:t xml:space="preserve"> </w:t>
            </w:r>
            <w:r w:rsidRPr="00E73F6F">
              <w:rPr>
                <w:lang w:val="de-DE"/>
              </w:rPr>
              <w:t>schiffungshafen</w:t>
            </w:r>
          </w:p>
        </w:tc>
        <w:tc>
          <w:tcPr>
            <w:tcW w:w="1079" w:type="pct"/>
          </w:tcPr>
          <w:p w14:paraId="44DC4AE3" w14:textId="77777777" w:rsidR="00FF7799" w:rsidRPr="00E73F6F" w:rsidRDefault="00FF7799" w:rsidP="0078772A">
            <w:pPr>
              <w:pStyle w:val="StandardText"/>
              <w:jc w:val="left"/>
              <w:rPr>
                <w:lang w:val="de-DE"/>
              </w:rPr>
            </w:pPr>
            <w:r w:rsidRPr="00E73F6F">
              <w:rPr>
                <w:lang w:val="de-DE"/>
              </w:rPr>
              <w:t>Längsseite</w:t>
            </w:r>
            <w:r w:rsidRPr="00E73F6F">
              <w:rPr>
                <w:spacing w:val="-5"/>
                <w:lang w:val="de-DE"/>
              </w:rPr>
              <w:t xml:space="preserve"> </w:t>
            </w:r>
            <w:r w:rsidRPr="00E73F6F">
              <w:rPr>
                <w:lang w:val="de-DE"/>
              </w:rPr>
              <w:t>des</w:t>
            </w:r>
            <w:r w:rsidRPr="00E73F6F">
              <w:rPr>
                <w:spacing w:val="40"/>
                <w:lang w:val="de-DE"/>
              </w:rPr>
              <w:t xml:space="preserve"> </w:t>
            </w:r>
            <w:r w:rsidRPr="00E73F6F">
              <w:rPr>
                <w:lang w:val="de-DE"/>
              </w:rPr>
              <w:t>Schiffes</w:t>
            </w:r>
            <w:r w:rsidRPr="00E73F6F">
              <w:rPr>
                <w:spacing w:val="-1"/>
                <w:lang w:val="de-DE"/>
              </w:rPr>
              <w:t xml:space="preserve"> </w:t>
            </w:r>
            <w:r w:rsidRPr="00E73F6F">
              <w:rPr>
                <w:lang w:val="de-DE"/>
              </w:rPr>
              <w:t>im</w:t>
            </w:r>
            <w:r w:rsidRPr="00E73F6F">
              <w:rPr>
                <w:spacing w:val="40"/>
                <w:lang w:val="de-DE"/>
              </w:rPr>
              <w:t xml:space="preserve"> </w:t>
            </w:r>
            <w:r w:rsidRPr="00E73F6F">
              <w:rPr>
                <w:lang w:val="de-DE"/>
              </w:rPr>
              <w:t>benannten</w:t>
            </w:r>
            <w:r w:rsidRPr="00E73F6F">
              <w:rPr>
                <w:spacing w:val="-6"/>
                <w:lang w:val="de-DE"/>
              </w:rPr>
              <w:t xml:space="preserve"> </w:t>
            </w:r>
            <w:r w:rsidRPr="00E73F6F">
              <w:rPr>
                <w:lang w:val="de-DE"/>
              </w:rPr>
              <w:t>Ver-</w:t>
            </w:r>
            <w:r w:rsidRPr="00E73F6F">
              <w:rPr>
                <w:spacing w:val="40"/>
                <w:lang w:val="de-DE"/>
              </w:rPr>
              <w:t xml:space="preserve"> </w:t>
            </w:r>
            <w:r w:rsidRPr="00E73F6F">
              <w:rPr>
                <w:lang w:val="de-DE"/>
              </w:rPr>
              <w:t>schiffungshafen</w:t>
            </w:r>
          </w:p>
        </w:tc>
      </w:tr>
      <w:tr w:rsidR="00FF7799" w:rsidRPr="00E73F6F" w14:paraId="3171E3F5" w14:textId="77777777" w:rsidTr="000843DD">
        <w:trPr>
          <w:trHeight w:val="1236"/>
        </w:trPr>
        <w:tc>
          <w:tcPr>
            <w:tcW w:w="633" w:type="pct"/>
            <w:shd w:val="clear" w:color="auto" w:fill="FFF2CC" w:themeFill="accent4" w:themeFillTint="33"/>
          </w:tcPr>
          <w:p w14:paraId="598023F2" w14:textId="77777777" w:rsidR="00FF7799" w:rsidRPr="00E73F6F" w:rsidRDefault="00FF7799" w:rsidP="0078772A">
            <w:pPr>
              <w:pStyle w:val="StandardText"/>
              <w:jc w:val="left"/>
              <w:rPr>
                <w:lang w:val="de-DE"/>
              </w:rPr>
            </w:pPr>
            <w:r w:rsidRPr="00E73F6F">
              <w:rPr>
                <w:spacing w:val="-5"/>
                <w:lang w:val="de-DE"/>
              </w:rPr>
              <w:t>FOB</w:t>
            </w:r>
          </w:p>
          <w:p w14:paraId="23EFEBC2" w14:textId="77777777" w:rsidR="00FF7799" w:rsidRPr="00E73F6F" w:rsidRDefault="00FF7799" w:rsidP="0078772A">
            <w:pPr>
              <w:pStyle w:val="StandardText"/>
              <w:jc w:val="left"/>
              <w:rPr>
                <w:lang w:val="de-DE"/>
              </w:rPr>
            </w:pPr>
            <w:r w:rsidRPr="00E73F6F">
              <w:rPr>
                <w:lang w:val="de-DE"/>
              </w:rPr>
              <w:t>(free</w:t>
            </w:r>
            <w:r w:rsidRPr="00E73F6F">
              <w:rPr>
                <w:spacing w:val="-10"/>
                <w:lang w:val="de-DE"/>
              </w:rPr>
              <w:t xml:space="preserve"> </w:t>
            </w:r>
            <w:r w:rsidRPr="00E73F6F">
              <w:rPr>
                <w:lang w:val="de-DE"/>
              </w:rPr>
              <w:t>on</w:t>
            </w:r>
            <w:r w:rsidRPr="00E73F6F">
              <w:rPr>
                <w:spacing w:val="40"/>
                <w:lang w:val="de-DE"/>
              </w:rPr>
              <w:t xml:space="preserve"> </w:t>
            </w:r>
            <w:r w:rsidRPr="00E73F6F">
              <w:rPr>
                <w:lang w:val="de-DE"/>
              </w:rPr>
              <w:t>board)</w:t>
            </w:r>
          </w:p>
        </w:tc>
        <w:tc>
          <w:tcPr>
            <w:tcW w:w="1033" w:type="pct"/>
          </w:tcPr>
          <w:p w14:paraId="46343A15" w14:textId="77777777" w:rsidR="00FF7799" w:rsidRPr="00E73F6F" w:rsidRDefault="00FF7799" w:rsidP="0078772A">
            <w:pPr>
              <w:pStyle w:val="StandardText"/>
              <w:jc w:val="left"/>
              <w:rPr>
                <w:lang w:val="de-DE"/>
              </w:rPr>
            </w:pPr>
            <w:r w:rsidRPr="00E73F6F">
              <w:rPr>
                <w:lang w:val="de-DE"/>
              </w:rPr>
              <w:t>Schiff</w:t>
            </w:r>
          </w:p>
        </w:tc>
        <w:tc>
          <w:tcPr>
            <w:tcW w:w="1169" w:type="pct"/>
          </w:tcPr>
          <w:p w14:paraId="5CA511D7" w14:textId="77777777" w:rsidR="00FF7799" w:rsidRPr="00E73F6F" w:rsidRDefault="00FF7799" w:rsidP="0078772A">
            <w:pPr>
              <w:pStyle w:val="StandardText"/>
              <w:jc w:val="left"/>
              <w:rPr>
                <w:lang w:val="de-DE"/>
              </w:rPr>
            </w:pPr>
            <w:r w:rsidRPr="00E73F6F">
              <w:rPr>
                <w:lang w:val="de-DE"/>
              </w:rPr>
              <w:t>Frei an Bord</w:t>
            </w:r>
            <w:r w:rsidRPr="00E73F6F">
              <w:rPr>
                <w:spacing w:val="40"/>
                <w:lang w:val="de-DE"/>
              </w:rPr>
              <w:t xml:space="preserve"> </w:t>
            </w:r>
            <w:r w:rsidRPr="00E73F6F">
              <w:rPr>
                <w:lang w:val="de-DE"/>
              </w:rPr>
              <w:t>(.. benannter</w:t>
            </w:r>
            <w:r w:rsidRPr="00E73F6F">
              <w:rPr>
                <w:spacing w:val="40"/>
                <w:lang w:val="de-DE"/>
              </w:rPr>
              <w:t xml:space="preserve"> </w:t>
            </w:r>
            <w:r w:rsidRPr="00E73F6F">
              <w:rPr>
                <w:spacing w:val="-4"/>
                <w:lang w:val="de-DE"/>
              </w:rPr>
              <w:t>Ver-</w:t>
            </w:r>
            <w:r w:rsidRPr="00E73F6F">
              <w:rPr>
                <w:spacing w:val="40"/>
                <w:lang w:val="de-DE"/>
              </w:rPr>
              <w:t xml:space="preserve"> </w:t>
            </w:r>
            <w:r w:rsidRPr="00E73F6F">
              <w:rPr>
                <w:lang w:val="de-DE"/>
              </w:rPr>
              <w:t>schiffungshafe</w:t>
            </w:r>
            <w:r w:rsidRPr="00E73F6F">
              <w:rPr>
                <w:spacing w:val="40"/>
                <w:lang w:val="de-DE"/>
              </w:rPr>
              <w:t xml:space="preserve"> </w:t>
            </w:r>
            <w:r w:rsidRPr="00E73F6F">
              <w:rPr>
                <w:spacing w:val="-6"/>
                <w:lang w:val="de-DE"/>
              </w:rPr>
              <w:t>n)</w:t>
            </w:r>
          </w:p>
        </w:tc>
        <w:tc>
          <w:tcPr>
            <w:tcW w:w="1087" w:type="pct"/>
          </w:tcPr>
          <w:p w14:paraId="43AA599E" w14:textId="77777777" w:rsidR="00FF7799" w:rsidRPr="00E73F6F" w:rsidRDefault="00FF7799" w:rsidP="0078772A">
            <w:pPr>
              <w:pStyle w:val="StandardText"/>
              <w:jc w:val="left"/>
              <w:rPr>
                <w:lang w:val="de-DE"/>
              </w:rPr>
            </w:pPr>
            <w:r w:rsidRPr="00E73F6F">
              <w:rPr>
                <w:lang w:val="de-DE"/>
              </w:rPr>
              <w:t>Passieren</w:t>
            </w:r>
            <w:r w:rsidRPr="00E73F6F">
              <w:rPr>
                <w:spacing w:val="-3"/>
                <w:lang w:val="de-DE"/>
              </w:rPr>
              <w:t xml:space="preserve"> </w:t>
            </w:r>
            <w:r w:rsidRPr="00E73F6F">
              <w:rPr>
                <w:lang w:val="de-DE"/>
              </w:rPr>
              <w:t>der</w:t>
            </w:r>
            <w:r w:rsidRPr="00E73F6F">
              <w:rPr>
                <w:spacing w:val="40"/>
                <w:lang w:val="de-DE"/>
              </w:rPr>
              <w:t xml:space="preserve"> </w:t>
            </w:r>
            <w:r w:rsidRPr="00E73F6F">
              <w:rPr>
                <w:lang w:val="de-DE"/>
              </w:rPr>
              <w:t>Reling</w:t>
            </w:r>
            <w:r w:rsidRPr="00E73F6F">
              <w:rPr>
                <w:spacing w:val="-3"/>
                <w:lang w:val="de-DE"/>
              </w:rPr>
              <w:t xml:space="preserve"> </w:t>
            </w:r>
            <w:r w:rsidRPr="00E73F6F">
              <w:rPr>
                <w:lang w:val="de-DE"/>
              </w:rPr>
              <w:t>des</w:t>
            </w:r>
            <w:r w:rsidRPr="00E73F6F">
              <w:rPr>
                <w:spacing w:val="40"/>
                <w:lang w:val="de-DE"/>
              </w:rPr>
              <w:t xml:space="preserve"> </w:t>
            </w:r>
            <w:r w:rsidRPr="00E73F6F">
              <w:rPr>
                <w:lang w:val="de-DE"/>
              </w:rPr>
              <w:t>Schiffes</w:t>
            </w:r>
            <w:r w:rsidRPr="00E73F6F">
              <w:rPr>
                <w:spacing w:val="-10"/>
                <w:lang w:val="de-DE"/>
              </w:rPr>
              <w:t xml:space="preserve"> </w:t>
            </w:r>
            <w:r w:rsidRPr="00E73F6F">
              <w:rPr>
                <w:lang w:val="de-DE"/>
              </w:rPr>
              <w:t>im</w:t>
            </w:r>
            <w:r w:rsidRPr="00E73F6F">
              <w:rPr>
                <w:spacing w:val="-10"/>
                <w:lang w:val="de-DE"/>
              </w:rPr>
              <w:t xml:space="preserve"> </w:t>
            </w:r>
            <w:r w:rsidRPr="00E73F6F">
              <w:rPr>
                <w:lang w:val="de-DE"/>
              </w:rPr>
              <w:t>be-</w:t>
            </w:r>
            <w:r w:rsidRPr="00E73F6F">
              <w:rPr>
                <w:spacing w:val="40"/>
                <w:lang w:val="de-DE"/>
              </w:rPr>
              <w:t xml:space="preserve"> </w:t>
            </w:r>
            <w:r w:rsidRPr="00E73F6F">
              <w:rPr>
                <w:lang w:val="de-DE"/>
              </w:rPr>
              <w:t>nannten</w:t>
            </w:r>
            <w:r w:rsidRPr="00E73F6F">
              <w:rPr>
                <w:spacing w:val="40"/>
                <w:lang w:val="de-DE"/>
              </w:rPr>
              <w:t xml:space="preserve"> </w:t>
            </w:r>
            <w:r w:rsidRPr="00E73F6F">
              <w:rPr>
                <w:lang w:val="de-DE"/>
              </w:rPr>
              <w:t>Verschif-</w:t>
            </w:r>
            <w:r w:rsidRPr="00E73F6F">
              <w:rPr>
                <w:spacing w:val="40"/>
                <w:lang w:val="de-DE"/>
              </w:rPr>
              <w:t xml:space="preserve"> </w:t>
            </w:r>
            <w:r w:rsidRPr="00E73F6F">
              <w:rPr>
                <w:lang w:val="de-DE"/>
              </w:rPr>
              <w:t>fungshafen</w:t>
            </w:r>
          </w:p>
        </w:tc>
        <w:tc>
          <w:tcPr>
            <w:tcW w:w="1079" w:type="pct"/>
          </w:tcPr>
          <w:p w14:paraId="793CED8B" w14:textId="77777777" w:rsidR="00FF7799" w:rsidRPr="00E73F6F" w:rsidRDefault="00FF7799" w:rsidP="0078772A">
            <w:pPr>
              <w:pStyle w:val="StandardText"/>
              <w:jc w:val="left"/>
              <w:rPr>
                <w:lang w:val="de-DE"/>
              </w:rPr>
            </w:pPr>
            <w:r w:rsidRPr="00E73F6F">
              <w:rPr>
                <w:lang w:val="de-DE"/>
              </w:rPr>
              <w:t>Passieren</w:t>
            </w:r>
            <w:r w:rsidRPr="00E73F6F">
              <w:rPr>
                <w:spacing w:val="-3"/>
                <w:lang w:val="de-DE"/>
              </w:rPr>
              <w:t xml:space="preserve"> </w:t>
            </w:r>
            <w:r w:rsidRPr="00E73F6F">
              <w:rPr>
                <w:lang w:val="de-DE"/>
              </w:rPr>
              <w:t>der</w:t>
            </w:r>
            <w:r w:rsidRPr="00E73F6F">
              <w:rPr>
                <w:spacing w:val="40"/>
                <w:lang w:val="de-DE"/>
              </w:rPr>
              <w:t xml:space="preserve"> </w:t>
            </w:r>
            <w:r w:rsidRPr="00E73F6F">
              <w:rPr>
                <w:lang w:val="de-DE"/>
              </w:rPr>
              <w:t>Reling</w:t>
            </w:r>
            <w:r w:rsidRPr="00E73F6F">
              <w:rPr>
                <w:spacing w:val="-3"/>
                <w:lang w:val="de-DE"/>
              </w:rPr>
              <w:t xml:space="preserve"> </w:t>
            </w:r>
            <w:r w:rsidRPr="00E73F6F">
              <w:rPr>
                <w:lang w:val="de-DE"/>
              </w:rPr>
              <w:t>des</w:t>
            </w:r>
            <w:r w:rsidRPr="00E73F6F">
              <w:rPr>
                <w:spacing w:val="40"/>
                <w:lang w:val="de-DE"/>
              </w:rPr>
              <w:t xml:space="preserve"> </w:t>
            </w:r>
            <w:r w:rsidRPr="00E73F6F">
              <w:rPr>
                <w:lang w:val="de-DE"/>
              </w:rPr>
              <w:t>Schiffes</w:t>
            </w:r>
            <w:r w:rsidRPr="00E73F6F">
              <w:rPr>
                <w:spacing w:val="-10"/>
                <w:lang w:val="de-DE"/>
              </w:rPr>
              <w:t xml:space="preserve"> </w:t>
            </w:r>
            <w:r w:rsidRPr="00E73F6F">
              <w:rPr>
                <w:lang w:val="de-DE"/>
              </w:rPr>
              <w:t>im</w:t>
            </w:r>
            <w:r w:rsidRPr="00E73F6F">
              <w:rPr>
                <w:spacing w:val="-10"/>
                <w:lang w:val="de-DE"/>
              </w:rPr>
              <w:t xml:space="preserve"> </w:t>
            </w:r>
            <w:r w:rsidRPr="00E73F6F">
              <w:rPr>
                <w:lang w:val="de-DE"/>
              </w:rPr>
              <w:t>be-</w:t>
            </w:r>
            <w:r w:rsidRPr="00E73F6F">
              <w:rPr>
                <w:spacing w:val="40"/>
                <w:lang w:val="de-DE"/>
              </w:rPr>
              <w:t xml:space="preserve"> </w:t>
            </w:r>
            <w:r w:rsidRPr="00E73F6F">
              <w:rPr>
                <w:lang w:val="de-DE"/>
              </w:rPr>
              <w:t>nannten</w:t>
            </w:r>
            <w:r w:rsidRPr="00E73F6F">
              <w:rPr>
                <w:spacing w:val="40"/>
                <w:lang w:val="de-DE"/>
              </w:rPr>
              <w:t xml:space="preserve"> </w:t>
            </w:r>
            <w:r w:rsidRPr="00E73F6F">
              <w:rPr>
                <w:lang w:val="de-DE"/>
              </w:rPr>
              <w:t>Verschif-</w:t>
            </w:r>
            <w:r w:rsidRPr="00E73F6F">
              <w:rPr>
                <w:spacing w:val="40"/>
                <w:lang w:val="de-DE"/>
              </w:rPr>
              <w:t xml:space="preserve"> </w:t>
            </w:r>
            <w:r w:rsidRPr="00E73F6F">
              <w:rPr>
                <w:lang w:val="de-DE"/>
              </w:rPr>
              <w:t>fungshafen</w:t>
            </w:r>
          </w:p>
        </w:tc>
      </w:tr>
      <w:tr w:rsidR="00FF7799" w:rsidRPr="00E73F6F" w14:paraId="635E4547" w14:textId="77777777" w:rsidTr="000843DD">
        <w:trPr>
          <w:trHeight w:val="1050"/>
        </w:trPr>
        <w:tc>
          <w:tcPr>
            <w:tcW w:w="633" w:type="pct"/>
            <w:shd w:val="clear" w:color="auto" w:fill="FFF2CC" w:themeFill="accent4" w:themeFillTint="33"/>
          </w:tcPr>
          <w:p w14:paraId="79430E95" w14:textId="77777777" w:rsidR="00FF7799" w:rsidRPr="00E73F6F" w:rsidRDefault="00FF7799" w:rsidP="0078772A">
            <w:pPr>
              <w:pStyle w:val="StandardText"/>
              <w:jc w:val="left"/>
              <w:rPr>
                <w:lang w:val="de-DE"/>
              </w:rPr>
            </w:pPr>
            <w:r w:rsidRPr="00E73F6F">
              <w:rPr>
                <w:spacing w:val="-5"/>
                <w:lang w:val="de-DE"/>
              </w:rPr>
              <w:t>CFR</w:t>
            </w:r>
          </w:p>
          <w:p w14:paraId="1C936F81" w14:textId="77777777" w:rsidR="00FF7799" w:rsidRPr="00E73F6F" w:rsidRDefault="00FF7799" w:rsidP="0078772A">
            <w:pPr>
              <w:pStyle w:val="StandardText"/>
              <w:jc w:val="left"/>
              <w:rPr>
                <w:lang w:val="de-DE"/>
              </w:rPr>
            </w:pPr>
            <w:r w:rsidRPr="00E73F6F">
              <w:rPr>
                <w:lang w:val="de-DE"/>
              </w:rPr>
              <w:t>(cost</w:t>
            </w:r>
            <w:r w:rsidRPr="00E73F6F">
              <w:rPr>
                <w:spacing w:val="-10"/>
                <w:lang w:val="de-DE"/>
              </w:rPr>
              <w:t xml:space="preserve"> </w:t>
            </w:r>
            <w:r w:rsidRPr="00E73F6F">
              <w:rPr>
                <w:lang w:val="de-DE"/>
              </w:rPr>
              <w:t>and</w:t>
            </w:r>
            <w:r w:rsidRPr="00E73F6F">
              <w:rPr>
                <w:spacing w:val="40"/>
                <w:lang w:val="de-DE"/>
              </w:rPr>
              <w:t xml:space="preserve"> </w:t>
            </w:r>
            <w:r w:rsidRPr="00E73F6F">
              <w:rPr>
                <w:lang w:val="de-DE"/>
              </w:rPr>
              <w:t>freight)</w:t>
            </w:r>
          </w:p>
        </w:tc>
        <w:tc>
          <w:tcPr>
            <w:tcW w:w="1033" w:type="pct"/>
          </w:tcPr>
          <w:p w14:paraId="5F2967A0" w14:textId="77777777" w:rsidR="00FF7799" w:rsidRPr="00E73F6F" w:rsidRDefault="00FF7799" w:rsidP="0078772A">
            <w:pPr>
              <w:pStyle w:val="StandardText"/>
              <w:jc w:val="left"/>
              <w:rPr>
                <w:lang w:val="de-DE"/>
              </w:rPr>
            </w:pPr>
            <w:r w:rsidRPr="00E73F6F">
              <w:rPr>
                <w:lang w:val="de-DE"/>
              </w:rPr>
              <w:t>Schiff</w:t>
            </w:r>
          </w:p>
        </w:tc>
        <w:tc>
          <w:tcPr>
            <w:tcW w:w="1169" w:type="pct"/>
          </w:tcPr>
          <w:p w14:paraId="52795511" w14:textId="77777777" w:rsidR="00FF7799" w:rsidRPr="00E73F6F" w:rsidRDefault="00FF7799" w:rsidP="0078772A">
            <w:pPr>
              <w:pStyle w:val="StandardText"/>
              <w:jc w:val="left"/>
              <w:rPr>
                <w:lang w:val="de-DE"/>
              </w:rPr>
            </w:pPr>
            <w:r w:rsidRPr="00E73F6F">
              <w:rPr>
                <w:lang w:val="de-DE"/>
              </w:rPr>
              <w:t>Kosten</w:t>
            </w:r>
            <w:r w:rsidRPr="00E73F6F">
              <w:rPr>
                <w:spacing w:val="-10"/>
                <w:lang w:val="de-DE"/>
              </w:rPr>
              <w:t xml:space="preserve"> </w:t>
            </w:r>
            <w:r w:rsidRPr="00E73F6F">
              <w:rPr>
                <w:lang w:val="de-DE"/>
              </w:rPr>
              <w:t>und</w:t>
            </w:r>
            <w:r w:rsidRPr="00E73F6F">
              <w:rPr>
                <w:spacing w:val="40"/>
                <w:lang w:val="de-DE"/>
              </w:rPr>
              <w:t xml:space="preserve"> </w:t>
            </w:r>
            <w:r w:rsidRPr="00E73F6F">
              <w:rPr>
                <w:lang w:val="de-DE"/>
              </w:rPr>
              <w:t>Fracht</w:t>
            </w:r>
          </w:p>
          <w:p w14:paraId="13C15541" w14:textId="77777777" w:rsidR="00FF7799" w:rsidRPr="00E73F6F" w:rsidRDefault="00FF7799" w:rsidP="0078772A">
            <w:pPr>
              <w:pStyle w:val="StandardText"/>
              <w:jc w:val="left"/>
              <w:rPr>
                <w:lang w:val="de-DE"/>
              </w:rPr>
            </w:pPr>
            <w:r w:rsidRPr="00E73F6F">
              <w:rPr>
                <w:lang w:val="de-DE"/>
              </w:rPr>
              <w:t>(...</w:t>
            </w:r>
            <w:r w:rsidRPr="00E73F6F">
              <w:rPr>
                <w:spacing w:val="-5"/>
                <w:lang w:val="de-DE"/>
              </w:rPr>
              <w:t xml:space="preserve"> </w:t>
            </w:r>
            <w:r w:rsidRPr="00E73F6F">
              <w:rPr>
                <w:lang w:val="de-DE"/>
              </w:rPr>
              <w:t>benannter</w:t>
            </w:r>
            <w:r w:rsidRPr="00E73F6F">
              <w:rPr>
                <w:spacing w:val="40"/>
                <w:lang w:val="de-DE"/>
              </w:rPr>
              <w:t xml:space="preserve"> </w:t>
            </w:r>
            <w:r w:rsidRPr="00E73F6F">
              <w:rPr>
                <w:lang w:val="de-DE"/>
              </w:rPr>
              <w:t>Bestimmungshafen)</w:t>
            </w:r>
          </w:p>
        </w:tc>
        <w:tc>
          <w:tcPr>
            <w:tcW w:w="1087" w:type="pct"/>
          </w:tcPr>
          <w:p w14:paraId="7AF05D8D" w14:textId="77777777" w:rsidR="00FF7799" w:rsidRPr="00E73F6F" w:rsidRDefault="00FF7799" w:rsidP="0078772A">
            <w:pPr>
              <w:pStyle w:val="StandardText"/>
              <w:jc w:val="left"/>
              <w:rPr>
                <w:lang w:val="de-DE"/>
              </w:rPr>
            </w:pPr>
            <w:r w:rsidRPr="00E73F6F">
              <w:rPr>
                <w:lang w:val="de-DE"/>
              </w:rPr>
              <w:t>Erreichen</w:t>
            </w:r>
            <w:r w:rsidRPr="00E73F6F">
              <w:rPr>
                <w:spacing w:val="-10"/>
                <w:lang w:val="de-DE"/>
              </w:rPr>
              <w:t xml:space="preserve"> </w:t>
            </w:r>
            <w:r w:rsidRPr="00E73F6F">
              <w:rPr>
                <w:lang w:val="de-DE"/>
              </w:rPr>
              <w:t>des</w:t>
            </w:r>
            <w:r w:rsidRPr="00E73F6F">
              <w:rPr>
                <w:spacing w:val="40"/>
                <w:lang w:val="de-DE"/>
              </w:rPr>
              <w:t xml:space="preserve"> </w:t>
            </w:r>
            <w:r w:rsidRPr="00E73F6F">
              <w:rPr>
                <w:lang w:val="de-DE"/>
              </w:rPr>
              <w:t>Bestim-</w:t>
            </w:r>
            <w:r w:rsidRPr="00E73F6F">
              <w:rPr>
                <w:spacing w:val="40"/>
                <w:lang w:val="de-DE"/>
              </w:rPr>
              <w:t xml:space="preserve"> </w:t>
            </w:r>
            <w:r w:rsidRPr="00E73F6F">
              <w:rPr>
                <w:lang w:val="de-DE"/>
              </w:rPr>
              <w:t>mungshafens</w:t>
            </w:r>
          </w:p>
        </w:tc>
        <w:tc>
          <w:tcPr>
            <w:tcW w:w="1079" w:type="pct"/>
          </w:tcPr>
          <w:p w14:paraId="7241DA3D" w14:textId="77777777" w:rsidR="00FF7799" w:rsidRPr="00E73F6F" w:rsidRDefault="00FF7799" w:rsidP="0078772A">
            <w:pPr>
              <w:pStyle w:val="StandardText"/>
              <w:jc w:val="left"/>
              <w:rPr>
                <w:lang w:val="de-DE"/>
              </w:rPr>
            </w:pPr>
            <w:r w:rsidRPr="00E73F6F">
              <w:rPr>
                <w:lang w:val="de-DE"/>
              </w:rPr>
              <w:t>Passieren</w:t>
            </w:r>
            <w:r w:rsidRPr="00E73F6F">
              <w:rPr>
                <w:spacing w:val="-3"/>
                <w:lang w:val="de-DE"/>
              </w:rPr>
              <w:t xml:space="preserve"> </w:t>
            </w:r>
            <w:r w:rsidRPr="00E73F6F">
              <w:rPr>
                <w:lang w:val="de-DE"/>
              </w:rPr>
              <w:t>der</w:t>
            </w:r>
            <w:r w:rsidRPr="00E73F6F">
              <w:rPr>
                <w:spacing w:val="40"/>
                <w:lang w:val="de-DE"/>
              </w:rPr>
              <w:t xml:space="preserve"> </w:t>
            </w:r>
            <w:r w:rsidRPr="00E73F6F">
              <w:rPr>
                <w:lang w:val="de-DE"/>
              </w:rPr>
              <w:t>Reling</w:t>
            </w:r>
            <w:r w:rsidRPr="00E73F6F">
              <w:rPr>
                <w:spacing w:val="-3"/>
                <w:lang w:val="de-DE"/>
              </w:rPr>
              <w:t xml:space="preserve"> </w:t>
            </w:r>
            <w:r w:rsidRPr="00E73F6F">
              <w:rPr>
                <w:lang w:val="de-DE"/>
              </w:rPr>
              <w:t>des</w:t>
            </w:r>
            <w:r w:rsidRPr="00E73F6F">
              <w:rPr>
                <w:spacing w:val="40"/>
                <w:lang w:val="de-DE"/>
              </w:rPr>
              <w:t xml:space="preserve"> </w:t>
            </w:r>
            <w:r w:rsidRPr="00E73F6F">
              <w:rPr>
                <w:lang w:val="de-DE"/>
              </w:rPr>
              <w:t>Schiffes</w:t>
            </w:r>
            <w:r w:rsidRPr="00E73F6F">
              <w:rPr>
                <w:spacing w:val="-10"/>
                <w:lang w:val="de-DE"/>
              </w:rPr>
              <w:t xml:space="preserve"> </w:t>
            </w:r>
            <w:r w:rsidRPr="00E73F6F">
              <w:rPr>
                <w:lang w:val="de-DE"/>
              </w:rPr>
              <w:t>im</w:t>
            </w:r>
            <w:r w:rsidRPr="00E73F6F">
              <w:rPr>
                <w:spacing w:val="-10"/>
                <w:lang w:val="de-DE"/>
              </w:rPr>
              <w:t xml:space="preserve"> </w:t>
            </w:r>
            <w:r w:rsidRPr="00E73F6F">
              <w:rPr>
                <w:lang w:val="de-DE"/>
              </w:rPr>
              <w:t>Verschiffungshafen</w:t>
            </w:r>
          </w:p>
        </w:tc>
      </w:tr>
      <w:tr w:rsidR="00FF7799" w:rsidRPr="00E73F6F" w14:paraId="51F2CACC" w14:textId="77777777" w:rsidTr="000843DD">
        <w:trPr>
          <w:trHeight w:val="1235"/>
        </w:trPr>
        <w:tc>
          <w:tcPr>
            <w:tcW w:w="633" w:type="pct"/>
            <w:shd w:val="clear" w:color="auto" w:fill="FFF2CC" w:themeFill="accent4" w:themeFillTint="33"/>
          </w:tcPr>
          <w:p w14:paraId="32949D05" w14:textId="77777777" w:rsidR="00FF7799" w:rsidRPr="00E35FFF" w:rsidRDefault="00FF7799" w:rsidP="0078772A">
            <w:pPr>
              <w:pStyle w:val="StandardText"/>
              <w:jc w:val="left"/>
            </w:pPr>
            <w:r w:rsidRPr="00E35FFF">
              <w:rPr>
                <w:spacing w:val="-5"/>
              </w:rPr>
              <w:t>CIF</w:t>
            </w:r>
          </w:p>
          <w:p w14:paraId="0A5895B2" w14:textId="77777777" w:rsidR="00FF7799" w:rsidRPr="00E35FFF" w:rsidRDefault="00FF7799" w:rsidP="0078772A">
            <w:pPr>
              <w:pStyle w:val="StandardText"/>
              <w:jc w:val="left"/>
            </w:pPr>
            <w:r w:rsidRPr="00E35FFF">
              <w:t>(cost,</w:t>
            </w:r>
            <w:r w:rsidRPr="00E35FFF">
              <w:rPr>
                <w:spacing w:val="40"/>
              </w:rPr>
              <w:t xml:space="preserve"> </w:t>
            </w:r>
            <w:r w:rsidRPr="00E35FFF">
              <w:t>insu-</w:t>
            </w:r>
            <w:r w:rsidRPr="00E35FFF">
              <w:rPr>
                <w:spacing w:val="40"/>
              </w:rPr>
              <w:t xml:space="preserve"> </w:t>
            </w:r>
            <w:r w:rsidRPr="00E35FFF">
              <w:t>rance</w:t>
            </w:r>
            <w:r w:rsidRPr="00E35FFF">
              <w:rPr>
                <w:spacing w:val="-10"/>
              </w:rPr>
              <w:t xml:space="preserve"> </w:t>
            </w:r>
            <w:r w:rsidRPr="00E35FFF">
              <w:t>and</w:t>
            </w:r>
            <w:r w:rsidRPr="00E35FFF">
              <w:rPr>
                <w:spacing w:val="40"/>
              </w:rPr>
              <w:t xml:space="preserve"> </w:t>
            </w:r>
            <w:r w:rsidRPr="00E35FFF">
              <w:t>freight)</w:t>
            </w:r>
          </w:p>
        </w:tc>
        <w:tc>
          <w:tcPr>
            <w:tcW w:w="1033" w:type="pct"/>
          </w:tcPr>
          <w:p w14:paraId="03738F15" w14:textId="77777777" w:rsidR="00FF7799" w:rsidRPr="00E73F6F" w:rsidRDefault="00FF7799" w:rsidP="0078772A">
            <w:pPr>
              <w:pStyle w:val="StandardText"/>
              <w:jc w:val="left"/>
              <w:rPr>
                <w:lang w:val="de-DE"/>
              </w:rPr>
            </w:pPr>
            <w:r w:rsidRPr="00E73F6F">
              <w:rPr>
                <w:lang w:val="de-DE"/>
              </w:rPr>
              <w:t>Schiff</w:t>
            </w:r>
          </w:p>
        </w:tc>
        <w:tc>
          <w:tcPr>
            <w:tcW w:w="1169" w:type="pct"/>
          </w:tcPr>
          <w:p w14:paraId="0344BBB3" w14:textId="77777777" w:rsidR="00FF7799" w:rsidRPr="00E73F6F" w:rsidRDefault="00FF7799" w:rsidP="0078772A">
            <w:pPr>
              <w:pStyle w:val="StandardText"/>
              <w:jc w:val="left"/>
              <w:rPr>
                <w:lang w:val="de-DE"/>
              </w:rPr>
            </w:pPr>
            <w:r w:rsidRPr="00E73F6F">
              <w:rPr>
                <w:lang w:val="de-DE"/>
              </w:rPr>
              <w:t>Kosten,</w:t>
            </w:r>
            <w:r w:rsidRPr="00E73F6F">
              <w:rPr>
                <w:spacing w:val="40"/>
                <w:lang w:val="de-DE"/>
              </w:rPr>
              <w:t xml:space="preserve"> </w:t>
            </w:r>
            <w:r w:rsidRPr="00E73F6F">
              <w:rPr>
                <w:lang w:val="de-DE"/>
              </w:rPr>
              <w:t>Versicherung</w:t>
            </w:r>
            <w:r w:rsidRPr="00E73F6F">
              <w:rPr>
                <w:spacing w:val="40"/>
                <w:lang w:val="de-DE"/>
              </w:rPr>
              <w:t xml:space="preserve"> </w:t>
            </w:r>
            <w:r w:rsidRPr="00E73F6F">
              <w:rPr>
                <w:lang w:val="de-DE"/>
              </w:rPr>
              <w:t>und Fracht</w:t>
            </w:r>
            <w:r w:rsidRPr="00E73F6F">
              <w:rPr>
                <w:spacing w:val="40"/>
                <w:lang w:val="de-DE"/>
              </w:rPr>
              <w:t xml:space="preserve"> </w:t>
            </w:r>
            <w:r w:rsidRPr="00E73F6F">
              <w:rPr>
                <w:lang w:val="de-DE"/>
              </w:rPr>
              <w:t>(…</w:t>
            </w:r>
            <w:r w:rsidRPr="00E73F6F">
              <w:rPr>
                <w:spacing w:val="-10"/>
                <w:lang w:val="de-DE"/>
              </w:rPr>
              <w:t xml:space="preserve"> </w:t>
            </w:r>
            <w:r w:rsidRPr="00E73F6F">
              <w:rPr>
                <w:lang w:val="de-DE"/>
              </w:rPr>
              <w:t>benannter</w:t>
            </w:r>
            <w:r w:rsidRPr="00E73F6F">
              <w:rPr>
                <w:spacing w:val="40"/>
                <w:lang w:val="de-DE"/>
              </w:rPr>
              <w:t xml:space="preserve"> </w:t>
            </w:r>
            <w:r w:rsidRPr="00E73F6F">
              <w:rPr>
                <w:lang w:val="de-DE"/>
              </w:rPr>
              <w:t>Bestimmungshafen)</w:t>
            </w:r>
          </w:p>
        </w:tc>
        <w:tc>
          <w:tcPr>
            <w:tcW w:w="1087" w:type="pct"/>
          </w:tcPr>
          <w:p w14:paraId="7EE175CD" w14:textId="77777777" w:rsidR="00FF7799" w:rsidRPr="00E73F6F" w:rsidRDefault="00FF7799" w:rsidP="0078772A">
            <w:pPr>
              <w:pStyle w:val="StandardText"/>
              <w:jc w:val="left"/>
              <w:rPr>
                <w:lang w:val="de-DE"/>
              </w:rPr>
            </w:pPr>
            <w:r w:rsidRPr="00E73F6F">
              <w:rPr>
                <w:lang w:val="de-DE"/>
              </w:rPr>
              <w:t>Erreichen</w:t>
            </w:r>
            <w:r w:rsidRPr="00E73F6F">
              <w:rPr>
                <w:spacing w:val="-3"/>
                <w:lang w:val="de-DE"/>
              </w:rPr>
              <w:t xml:space="preserve"> </w:t>
            </w:r>
            <w:r w:rsidRPr="00E73F6F">
              <w:rPr>
                <w:lang w:val="de-DE"/>
              </w:rPr>
              <w:t>des</w:t>
            </w:r>
            <w:r w:rsidRPr="00E73F6F">
              <w:rPr>
                <w:spacing w:val="40"/>
                <w:lang w:val="de-DE"/>
              </w:rPr>
              <w:t xml:space="preserve"> </w:t>
            </w:r>
            <w:r w:rsidRPr="00E73F6F">
              <w:rPr>
                <w:lang w:val="de-DE"/>
              </w:rPr>
              <w:t>benannten</w:t>
            </w:r>
            <w:r w:rsidRPr="00E73F6F">
              <w:rPr>
                <w:spacing w:val="40"/>
                <w:lang w:val="de-DE"/>
              </w:rPr>
              <w:t xml:space="preserve"> </w:t>
            </w:r>
            <w:r w:rsidRPr="00E73F6F">
              <w:rPr>
                <w:lang w:val="de-DE"/>
              </w:rPr>
              <w:t>Bestimmungshafens</w:t>
            </w:r>
            <w:r w:rsidRPr="00E73F6F">
              <w:rPr>
                <w:spacing w:val="-5"/>
                <w:lang w:val="de-DE"/>
              </w:rPr>
              <w:t xml:space="preserve"> </w:t>
            </w:r>
            <w:r w:rsidRPr="00E73F6F">
              <w:rPr>
                <w:lang w:val="de-DE"/>
              </w:rPr>
              <w:t>einschl.</w:t>
            </w:r>
            <w:r w:rsidRPr="00E73F6F">
              <w:rPr>
                <w:spacing w:val="40"/>
                <w:lang w:val="de-DE"/>
              </w:rPr>
              <w:t xml:space="preserve"> </w:t>
            </w:r>
            <w:r w:rsidRPr="00E73F6F">
              <w:rPr>
                <w:lang w:val="de-DE"/>
              </w:rPr>
              <w:t>Transportversich</w:t>
            </w:r>
            <w:r w:rsidRPr="00E73F6F">
              <w:rPr>
                <w:spacing w:val="40"/>
                <w:lang w:val="de-DE"/>
              </w:rPr>
              <w:t xml:space="preserve"> </w:t>
            </w:r>
            <w:r w:rsidRPr="00E73F6F">
              <w:rPr>
                <w:lang w:val="de-DE"/>
              </w:rPr>
              <w:t>erung</w:t>
            </w:r>
          </w:p>
        </w:tc>
        <w:tc>
          <w:tcPr>
            <w:tcW w:w="1079" w:type="pct"/>
          </w:tcPr>
          <w:p w14:paraId="2A712706" w14:textId="77777777" w:rsidR="00FF7799" w:rsidRPr="00E73F6F" w:rsidRDefault="00FF7799" w:rsidP="0078772A">
            <w:pPr>
              <w:pStyle w:val="StandardText"/>
              <w:jc w:val="left"/>
              <w:rPr>
                <w:lang w:val="de-DE"/>
              </w:rPr>
            </w:pPr>
            <w:r w:rsidRPr="00E73F6F">
              <w:rPr>
                <w:lang w:val="de-DE"/>
              </w:rPr>
              <w:t>Passieren</w:t>
            </w:r>
            <w:r w:rsidRPr="00E73F6F">
              <w:rPr>
                <w:spacing w:val="-3"/>
                <w:lang w:val="de-DE"/>
              </w:rPr>
              <w:t xml:space="preserve"> </w:t>
            </w:r>
            <w:r w:rsidRPr="00E73F6F">
              <w:rPr>
                <w:lang w:val="de-DE"/>
              </w:rPr>
              <w:t>der</w:t>
            </w:r>
            <w:r w:rsidRPr="00E73F6F">
              <w:rPr>
                <w:spacing w:val="40"/>
                <w:lang w:val="de-DE"/>
              </w:rPr>
              <w:t xml:space="preserve"> </w:t>
            </w:r>
            <w:r w:rsidRPr="00E73F6F">
              <w:rPr>
                <w:lang w:val="de-DE"/>
              </w:rPr>
              <w:t>Reling</w:t>
            </w:r>
            <w:r w:rsidRPr="00E73F6F">
              <w:rPr>
                <w:spacing w:val="-3"/>
                <w:lang w:val="de-DE"/>
              </w:rPr>
              <w:t xml:space="preserve"> </w:t>
            </w:r>
            <w:r w:rsidRPr="00E73F6F">
              <w:rPr>
                <w:lang w:val="de-DE"/>
              </w:rPr>
              <w:t>des</w:t>
            </w:r>
            <w:r w:rsidRPr="00E73F6F">
              <w:rPr>
                <w:spacing w:val="40"/>
                <w:lang w:val="de-DE"/>
              </w:rPr>
              <w:t xml:space="preserve"> </w:t>
            </w:r>
            <w:r w:rsidRPr="00E73F6F">
              <w:rPr>
                <w:lang w:val="de-DE"/>
              </w:rPr>
              <w:t>Schiffes</w:t>
            </w:r>
            <w:r w:rsidRPr="00E73F6F">
              <w:rPr>
                <w:spacing w:val="-10"/>
                <w:lang w:val="de-DE"/>
              </w:rPr>
              <w:t xml:space="preserve"> </w:t>
            </w:r>
            <w:r w:rsidRPr="00E73F6F">
              <w:rPr>
                <w:lang w:val="de-DE"/>
              </w:rPr>
              <w:t>im</w:t>
            </w:r>
            <w:r w:rsidRPr="00E73F6F">
              <w:rPr>
                <w:spacing w:val="-10"/>
                <w:lang w:val="de-DE"/>
              </w:rPr>
              <w:t xml:space="preserve"> </w:t>
            </w:r>
            <w:r w:rsidRPr="00E73F6F">
              <w:rPr>
                <w:lang w:val="de-DE"/>
              </w:rPr>
              <w:t>Verschiffungshafen</w:t>
            </w:r>
          </w:p>
        </w:tc>
      </w:tr>
      <w:tr w:rsidR="00FF7799" w:rsidRPr="00E73F6F" w14:paraId="51CFCD80" w14:textId="77777777" w:rsidTr="000843DD">
        <w:trPr>
          <w:trHeight w:val="1050"/>
        </w:trPr>
        <w:tc>
          <w:tcPr>
            <w:tcW w:w="633" w:type="pct"/>
            <w:shd w:val="clear" w:color="auto" w:fill="FFF2CC" w:themeFill="accent4" w:themeFillTint="33"/>
          </w:tcPr>
          <w:p w14:paraId="6A5AE819" w14:textId="77777777" w:rsidR="00FF7799" w:rsidRPr="00E73F6F" w:rsidRDefault="00FF7799" w:rsidP="0078772A">
            <w:pPr>
              <w:pStyle w:val="StandardText"/>
              <w:jc w:val="left"/>
              <w:rPr>
                <w:lang w:val="de-DE"/>
              </w:rPr>
            </w:pPr>
            <w:r w:rsidRPr="00E73F6F">
              <w:rPr>
                <w:spacing w:val="-5"/>
                <w:lang w:val="de-DE"/>
              </w:rPr>
              <w:t>DES</w:t>
            </w:r>
          </w:p>
          <w:p w14:paraId="3C86E7D1" w14:textId="77777777" w:rsidR="00FF7799" w:rsidRPr="00E73F6F" w:rsidRDefault="00FF7799" w:rsidP="0078772A">
            <w:pPr>
              <w:pStyle w:val="StandardText"/>
              <w:jc w:val="left"/>
              <w:rPr>
                <w:lang w:val="de-DE"/>
              </w:rPr>
            </w:pPr>
            <w:r w:rsidRPr="00E73F6F">
              <w:rPr>
                <w:lang w:val="de-DE"/>
              </w:rPr>
              <w:t>(delivered ex</w:t>
            </w:r>
            <w:r w:rsidRPr="00E73F6F">
              <w:rPr>
                <w:spacing w:val="40"/>
                <w:lang w:val="de-DE"/>
              </w:rPr>
              <w:t xml:space="preserve"> </w:t>
            </w:r>
            <w:r w:rsidRPr="00E73F6F">
              <w:rPr>
                <w:lang w:val="de-DE"/>
              </w:rPr>
              <w:t>ship)</w:t>
            </w:r>
          </w:p>
        </w:tc>
        <w:tc>
          <w:tcPr>
            <w:tcW w:w="1033" w:type="pct"/>
          </w:tcPr>
          <w:p w14:paraId="1E780383" w14:textId="77777777" w:rsidR="00FF7799" w:rsidRPr="00E73F6F" w:rsidRDefault="00FF7799" w:rsidP="0078772A">
            <w:pPr>
              <w:pStyle w:val="StandardText"/>
              <w:jc w:val="left"/>
              <w:rPr>
                <w:lang w:val="de-DE"/>
              </w:rPr>
            </w:pPr>
            <w:r w:rsidRPr="00E73F6F">
              <w:rPr>
                <w:lang w:val="de-DE"/>
              </w:rPr>
              <w:t>Schiff</w:t>
            </w:r>
          </w:p>
        </w:tc>
        <w:tc>
          <w:tcPr>
            <w:tcW w:w="1169" w:type="pct"/>
          </w:tcPr>
          <w:p w14:paraId="7D2B701C" w14:textId="77777777" w:rsidR="00FF7799" w:rsidRPr="00E73F6F" w:rsidRDefault="00FF7799" w:rsidP="0078772A">
            <w:pPr>
              <w:pStyle w:val="StandardText"/>
              <w:jc w:val="left"/>
              <w:rPr>
                <w:lang w:val="de-DE"/>
              </w:rPr>
            </w:pPr>
            <w:r w:rsidRPr="00E73F6F">
              <w:rPr>
                <w:lang w:val="de-DE"/>
              </w:rPr>
              <w:t>Geliefert</w:t>
            </w:r>
            <w:r w:rsidRPr="00E73F6F">
              <w:rPr>
                <w:spacing w:val="-10"/>
                <w:lang w:val="de-DE"/>
              </w:rPr>
              <w:t xml:space="preserve"> </w:t>
            </w:r>
            <w:r w:rsidRPr="00E73F6F">
              <w:rPr>
                <w:lang w:val="de-DE"/>
              </w:rPr>
              <w:t>ab</w:t>
            </w:r>
            <w:r w:rsidRPr="00E73F6F">
              <w:rPr>
                <w:spacing w:val="40"/>
                <w:lang w:val="de-DE"/>
              </w:rPr>
              <w:t xml:space="preserve"> </w:t>
            </w:r>
            <w:r w:rsidRPr="00E73F6F">
              <w:rPr>
                <w:lang w:val="de-DE"/>
              </w:rPr>
              <w:t>Schiff</w:t>
            </w:r>
          </w:p>
          <w:p w14:paraId="0678D2DE" w14:textId="77777777" w:rsidR="00FF7799" w:rsidRPr="00E73F6F" w:rsidRDefault="00FF7799" w:rsidP="0078772A">
            <w:pPr>
              <w:pStyle w:val="StandardText"/>
              <w:jc w:val="left"/>
              <w:rPr>
                <w:lang w:val="de-DE"/>
              </w:rPr>
            </w:pPr>
            <w:r w:rsidRPr="00E73F6F">
              <w:rPr>
                <w:lang w:val="de-DE"/>
              </w:rPr>
              <w:t>(…</w:t>
            </w:r>
            <w:r w:rsidRPr="00E73F6F">
              <w:rPr>
                <w:spacing w:val="-10"/>
                <w:lang w:val="de-DE"/>
              </w:rPr>
              <w:t xml:space="preserve"> </w:t>
            </w:r>
            <w:r w:rsidRPr="00E73F6F">
              <w:rPr>
                <w:lang w:val="de-DE"/>
              </w:rPr>
              <w:t>benannter</w:t>
            </w:r>
            <w:r w:rsidRPr="00E73F6F">
              <w:rPr>
                <w:spacing w:val="40"/>
                <w:lang w:val="de-DE"/>
              </w:rPr>
              <w:t xml:space="preserve"> </w:t>
            </w:r>
            <w:r w:rsidRPr="00E73F6F">
              <w:rPr>
                <w:lang w:val="de-DE"/>
              </w:rPr>
              <w:t>Bestimmungshafen)</w:t>
            </w:r>
          </w:p>
        </w:tc>
        <w:tc>
          <w:tcPr>
            <w:tcW w:w="1087" w:type="pct"/>
          </w:tcPr>
          <w:p w14:paraId="643E4951" w14:textId="77777777" w:rsidR="00FF7799" w:rsidRPr="00E73F6F" w:rsidRDefault="00FF7799" w:rsidP="0078772A">
            <w:pPr>
              <w:pStyle w:val="StandardText"/>
              <w:jc w:val="left"/>
              <w:rPr>
                <w:lang w:val="de-DE"/>
              </w:rPr>
            </w:pPr>
            <w:r w:rsidRPr="00E73F6F">
              <w:rPr>
                <w:lang w:val="de-DE"/>
              </w:rPr>
              <w:t>Erreichen</w:t>
            </w:r>
            <w:r w:rsidRPr="00E73F6F">
              <w:rPr>
                <w:spacing w:val="-3"/>
                <w:lang w:val="de-DE"/>
              </w:rPr>
              <w:t xml:space="preserve"> </w:t>
            </w:r>
            <w:r w:rsidRPr="00E73F6F">
              <w:rPr>
                <w:lang w:val="de-DE"/>
              </w:rPr>
              <w:t>des</w:t>
            </w:r>
            <w:r w:rsidRPr="00E73F6F">
              <w:rPr>
                <w:spacing w:val="40"/>
                <w:lang w:val="de-DE"/>
              </w:rPr>
              <w:t xml:space="preserve"> </w:t>
            </w:r>
            <w:r w:rsidRPr="00E73F6F">
              <w:rPr>
                <w:lang w:val="de-DE"/>
              </w:rPr>
              <w:t>benannten</w:t>
            </w:r>
            <w:r w:rsidRPr="00E73F6F">
              <w:rPr>
                <w:spacing w:val="40"/>
                <w:lang w:val="de-DE"/>
              </w:rPr>
              <w:t xml:space="preserve"> </w:t>
            </w:r>
            <w:r w:rsidRPr="00E73F6F">
              <w:rPr>
                <w:lang w:val="de-DE"/>
              </w:rPr>
              <w:t>Bestimmungshafens</w:t>
            </w:r>
            <w:r w:rsidRPr="00E73F6F">
              <w:rPr>
                <w:spacing w:val="-5"/>
                <w:lang w:val="de-DE"/>
              </w:rPr>
              <w:t xml:space="preserve"> </w:t>
            </w:r>
            <w:r w:rsidRPr="00E73F6F">
              <w:rPr>
                <w:lang w:val="de-DE"/>
              </w:rPr>
              <w:t>einschl.</w:t>
            </w:r>
            <w:r w:rsidRPr="00E73F6F">
              <w:rPr>
                <w:spacing w:val="40"/>
                <w:lang w:val="de-DE"/>
              </w:rPr>
              <w:t xml:space="preserve"> </w:t>
            </w:r>
            <w:r w:rsidRPr="00E73F6F">
              <w:rPr>
                <w:lang w:val="de-DE"/>
              </w:rPr>
              <w:t>Entladekosten</w:t>
            </w:r>
          </w:p>
        </w:tc>
        <w:tc>
          <w:tcPr>
            <w:tcW w:w="1079" w:type="pct"/>
          </w:tcPr>
          <w:p w14:paraId="448F8AE2" w14:textId="77777777" w:rsidR="00FF7799" w:rsidRPr="00E73F6F" w:rsidRDefault="00FF7799" w:rsidP="0078772A">
            <w:pPr>
              <w:pStyle w:val="StandardText"/>
              <w:jc w:val="left"/>
              <w:rPr>
                <w:lang w:val="de-DE"/>
              </w:rPr>
            </w:pPr>
            <w:r w:rsidRPr="00E73F6F">
              <w:rPr>
                <w:lang w:val="de-DE"/>
              </w:rPr>
              <w:t>Passieren</w:t>
            </w:r>
            <w:r w:rsidRPr="00E73F6F">
              <w:rPr>
                <w:spacing w:val="-3"/>
                <w:lang w:val="de-DE"/>
              </w:rPr>
              <w:t xml:space="preserve"> </w:t>
            </w:r>
            <w:r w:rsidRPr="00E73F6F">
              <w:rPr>
                <w:lang w:val="de-DE"/>
              </w:rPr>
              <w:t>der</w:t>
            </w:r>
            <w:r w:rsidRPr="00E73F6F">
              <w:rPr>
                <w:spacing w:val="40"/>
                <w:lang w:val="de-DE"/>
              </w:rPr>
              <w:t xml:space="preserve"> </w:t>
            </w:r>
            <w:r w:rsidRPr="00E73F6F">
              <w:rPr>
                <w:lang w:val="de-DE"/>
              </w:rPr>
              <w:t>Reling</w:t>
            </w:r>
            <w:r w:rsidRPr="00E73F6F">
              <w:rPr>
                <w:spacing w:val="-3"/>
                <w:lang w:val="de-DE"/>
              </w:rPr>
              <w:t xml:space="preserve"> </w:t>
            </w:r>
            <w:r w:rsidRPr="00E73F6F">
              <w:rPr>
                <w:lang w:val="de-DE"/>
              </w:rPr>
              <w:t>im</w:t>
            </w:r>
            <w:r w:rsidRPr="00E73F6F">
              <w:rPr>
                <w:spacing w:val="40"/>
                <w:lang w:val="de-DE"/>
              </w:rPr>
              <w:t xml:space="preserve"> </w:t>
            </w:r>
            <w:r w:rsidRPr="00E73F6F">
              <w:rPr>
                <w:lang w:val="de-DE"/>
              </w:rPr>
              <w:t>Bestimmungshaf</w:t>
            </w:r>
            <w:r w:rsidRPr="00E73F6F">
              <w:rPr>
                <w:spacing w:val="-6"/>
                <w:lang w:val="de-DE"/>
              </w:rPr>
              <w:t>en</w:t>
            </w:r>
          </w:p>
        </w:tc>
      </w:tr>
      <w:tr w:rsidR="00FF7799" w:rsidRPr="00E73F6F" w14:paraId="69322A8D" w14:textId="77777777" w:rsidTr="000843DD">
        <w:trPr>
          <w:trHeight w:val="1053"/>
        </w:trPr>
        <w:tc>
          <w:tcPr>
            <w:tcW w:w="633" w:type="pct"/>
            <w:shd w:val="clear" w:color="auto" w:fill="FFF2CC" w:themeFill="accent4" w:themeFillTint="33"/>
          </w:tcPr>
          <w:p w14:paraId="2C0B99B1" w14:textId="77777777" w:rsidR="00FF7799" w:rsidRPr="00E73F6F" w:rsidRDefault="00FF7799" w:rsidP="0078772A">
            <w:pPr>
              <w:pStyle w:val="StandardText"/>
              <w:jc w:val="left"/>
              <w:rPr>
                <w:lang w:val="de-DE"/>
              </w:rPr>
            </w:pPr>
            <w:r w:rsidRPr="00E73F6F">
              <w:rPr>
                <w:spacing w:val="-5"/>
                <w:lang w:val="de-DE"/>
              </w:rPr>
              <w:t>DEQ</w:t>
            </w:r>
          </w:p>
          <w:p w14:paraId="5413EE3F" w14:textId="77777777" w:rsidR="00FF7799" w:rsidRPr="00E73F6F" w:rsidRDefault="00FF7799" w:rsidP="0078772A">
            <w:pPr>
              <w:pStyle w:val="StandardText"/>
              <w:jc w:val="left"/>
              <w:rPr>
                <w:lang w:val="de-DE"/>
              </w:rPr>
            </w:pPr>
            <w:r w:rsidRPr="00E73F6F">
              <w:rPr>
                <w:lang w:val="de-DE"/>
              </w:rPr>
              <w:t>(delivered ex</w:t>
            </w:r>
            <w:r w:rsidRPr="00E73F6F">
              <w:rPr>
                <w:spacing w:val="40"/>
                <w:lang w:val="de-DE"/>
              </w:rPr>
              <w:t xml:space="preserve"> </w:t>
            </w:r>
            <w:r w:rsidRPr="00E73F6F">
              <w:rPr>
                <w:lang w:val="de-DE"/>
              </w:rPr>
              <w:t>quay)</w:t>
            </w:r>
          </w:p>
        </w:tc>
        <w:tc>
          <w:tcPr>
            <w:tcW w:w="1033" w:type="pct"/>
          </w:tcPr>
          <w:p w14:paraId="1BA7C3A7" w14:textId="77777777" w:rsidR="00FF7799" w:rsidRPr="00E73F6F" w:rsidRDefault="00FF7799" w:rsidP="0078772A">
            <w:pPr>
              <w:pStyle w:val="StandardText"/>
              <w:jc w:val="left"/>
              <w:rPr>
                <w:lang w:val="de-DE"/>
              </w:rPr>
            </w:pPr>
            <w:r w:rsidRPr="00E73F6F">
              <w:rPr>
                <w:lang w:val="de-DE"/>
              </w:rPr>
              <w:t>Schiff</w:t>
            </w:r>
          </w:p>
        </w:tc>
        <w:tc>
          <w:tcPr>
            <w:tcW w:w="1169" w:type="pct"/>
          </w:tcPr>
          <w:p w14:paraId="0E098C34" w14:textId="77777777" w:rsidR="00FF7799" w:rsidRPr="00E73F6F" w:rsidRDefault="00FF7799" w:rsidP="0078772A">
            <w:pPr>
              <w:pStyle w:val="StandardText"/>
              <w:jc w:val="left"/>
              <w:rPr>
                <w:lang w:val="de-DE"/>
              </w:rPr>
            </w:pPr>
            <w:r w:rsidRPr="00E73F6F">
              <w:rPr>
                <w:lang w:val="de-DE"/>
              </w:rPr>
              <w:t>Geliefert</w:t>
            </w:r>
            <w:r w:rsidRPr="00E73F6F">
              <w:rPr>
                <w:spacing w:val="-10"/>
                <w:lang w:val="de-DE"/>
              </w:rPr>
              <w:t xml:space="preserve"> </w:t>
            </w:r>
            <w:r w:rsidRPr="00E73F6F">
              <w:rPr>
                <w:lang w:val="de-DE"/>
              </w:rPr>
              <w:t>ab</w:t>
            </w:r>
            <w:r w:rsidRPr="00E73F6F">
              <w:rPr>
                <w:spacing w:val="40"/>
                <w:lang w:val="de-DE"/>
              </w:rPr>
              <w:t xml:space="preserve"> </w:t>
            </w:r>
            <w:r w:rsidRPr="00E73F6F">
              <w:rPr>
                <w:lang w:val="de-DE"/>
              </w:rPr>
              <w:t>Hafen</w:t>
            </w:r>
          </w:p>
          <w:p w14:paraId="1F5452A7" w14:textId="77777777" w:rsidR="00FF7799" w:rsidRPr="00E73F6F" w:rsidRDefault="00FF7799" w:rsidP="0078772A">
            <w:pPr>
              <w:pStyle w:val="StandardText"/>
              <w:jc w:val="left"/>
              <w:rPr>
                <w:lang w:val="de-DE"/>
              </w:rPr>
            </w:pPr>
            <w:r w:rsidRPr="00E73F6F">
              <w:rPr>
                <w:lang w:val="de-DE"/>
              </w:rPr>
              <w:t>(...</w:t>
            </w:r>
            <w:r w:rsidRPr="00E73F6F">
              <w:rPr>
                <w:spacing w:val="-5"/>
                <w:lang w:val="de-DE"/>
              </w:rPr>
              <w:t xml:space="preserve"> </w:t>
            </w:r>
            <w:r w:rsidRPr="00E73F6F">
              <w:rPr>
                <w:lang w:val="de-DE"/>
              </w:rPr>
              <w:t>benannter</w:t>
            </w:r>
            <w:r w:rsidRPr="00E73F6F">
              <w:rPr>
                <w:spacing w:val="40"/>
                <w:lang w:val="de-DE"/>
              </w:rPr>
              <w:t xml:space="preserve"> </w:t>
            </w:r>
            <w:r w:rsidRPr="00E73F6F">
              <w:rPr>
                <w:lang w:val="de-DE"/>
              </w:rPr>
              <w:t>Bestimmungshafen)</w:t>
            </w:r>
          </w:p>
        </w:tc>
        <w:tc>
          <w:tcPr>
            <w:tcW w:w="1087" w:type="pct"/>
          </w:tcPr>
          <w:p w14:paraId="00F38725" w14:textId="77777777" w:rsidR="00FF7799" w:rsidRPr="00E73F6F" w:rsidRDefault="00FF7799" w:rsidP="0078772A">
            <w:pPr>
              <w:pStyle w:val="StandardText"/>
              <w:jc w:val="left"/>
              <w:rPr>
                <w:lang w:val="de-DE"/>
              </w:rPr>
            </w:pPr>
            <w:r w:rsidRPr="00E73F6F">
              <w:rPr>
                <w:lang w:val="de-DE"/>
              </w:rPr>
              <w:t>Längsseite</w:t>
            </w:r>
            <w:r w:rsidRPr="00E73F6F">
              <w:rPr>
                <w:spacing w:val="-5"/>
                <w:lang w:val="de-DE"/>
              </w:rPr>
              <w:t xml:space="preserve"> </w:t>
            </w:r>
            <w:r w:rsidRPr="00E73F6F">
              <w:rPr>
                <w:lang w:val="de-DE"/>
              </w:rPr>
              <w:t>des</w:t>
            </w:r>
            <w:r w:rsidRPr="00E73F6F">
              <w:rPr>
                <w:spacing w:val="40"/>
                <w:lang w:val="de-DE"/>
              </w:rPr>
              <w:t xml:space="preserve"> </w:t>
            </w:r>
            <w:r w:rsidRPr="00E73F6F">
              <w:rPr>
                <w:lang w:val="de-DE"/>
              </w:rPr>
              <w:t>Schiffes</w:t>
            </w:r>
            <w:r w:rsidRPr="00E73F6F">
              <w:rPr>
                <w:spacing w:val="-1"/>
                <w:lang w:val="de-DE"/>
              </w:rPr>
              <w:t xml:space="preserve"> </w:t>
            </w:r>
            <w:r w:rsidRPr="00E73F6F">
              <w:rPr>
                <w:lang w:val="de-DE"/>
              </w:rPr>
              <w:t>im</w:t>
            </w:r>
            <w:r w:rsidRPr="00E73F6F">
              <w:rPr>
                <w:spacing w:val="40"/>
                <w:lang w:val="de-DE"/>
              </w:rPr>
              <w:t xml:space="preserve"> </w:t>
            </w:r>
            <w:r w:rsidRPr="00E73F6F">
              <w:rPr>
                <w:lang w:val="de-DE"/>
              </w:rPr>
              <w:t>benannten</w:t>
            </w:r>
            <w:r w:rsidRPr="00E73F6F">
              <w:rPr>
                <w:spacing w:val="-3"/>
                <w:lang w:val="de-DE"/>
              </w:rPr>
              <w:t xml:space="preserve"> </w:t>
            </w:r>
            <w:r w:rsidRPr="00E73F6F">
              <w:rPr>
                <w:lang w:val="de-DE"/>
              </w:rPr>
              <w:t>Be-</w:t>
            </w:r>
            <w:r w:rsidRPr="00E73F6F">
              <w:rPr>
                <w:spacing w:val="40"/>
                <w:lang w:val="de-DE"/>
              </w:rPr>
              <w:t xml:space="preserve"> </w:t>
            </w:r>
            <w:r w:rsidRPr="00E73F6F">
              <w:rPr>
                <w:lang w:val="de-DE"/>
              </w:rPr>
              <w:t>stimmungshafen</w:t>
            </w:r>
          </w:p>
        </w:tc>
        <w:tc>
          <w:tcPr>
            <w:tcW w:w="1079" w:type="pct"/>
          </w:tcPr>
          <w:p w14:paraId="19944BF1" w14:textId="77777777" w:rsidR="00FF7799" w:rsidRPr="00E73F6F" w:rsidRDefault="00FF7799" w:rsidP="0078772A">
            <w:pPr>
              <w:pStyle w:val="StandardText"/>
              <w:jc w:val="left"/>
              <w:rPr>
                <w:lang w:val="de-DE"/>
              </w:rPr>
            </w:pPr>
            <w:r w:rsidRPr="00E73F6F">
              <w:rPr>
                <w:lang w:val="de-DE"/>
              </w:rPr>
              <w:t>Längsseite</w:t>
            </w:r>
            <w:r w:rsidRPr="00E73F6F">
              <w:rPr>
                <w:spacing w:val="-5"/>
                <w:lang w:val="de-DE"/>
              </w:rPr>
              <w:t xml:space="preserve"> </w:t>
            </w:r>
            <w:r w:rsidRPr="00E73F6F">
              <w:rPr>
                <w:lang w:val="de-DE"/>
              </w:rPr>
              <w:t>des</w:t>
            </w:r>
            <w:r w:rsidRPr="00E73F6F">
              <w:rPr>
                <w:spacing w:val="40"/>
                <w:lang w:val="de-DE"/>
              </w:rPr>
              <w:t xml:space="preserve"> </w:t>
            </w:r>
            <w:r w:rsidRPr="00E73F6F">
              <w:rPr>
                <w:lang w:val="de-DE"/>
              </w:rPr>
              <w:t>Schiffes</w:t>
            </w:r>
            <w:r w:rsidRPr="00E73F6F">
              <w:rPr>
                <w:spacing w:val="-1"/>
                <w:lang w:val="de-DE"/>
              </w:rPr>
              <w:t xml:space="preserve"> </w:t>
            </w:r>
            <w:r w:rsidRPr="00E73F6F">
              <w:rPr>
                <w:lang w:val="de-DE"/>
              </w:rPr>
              <w:t>im</w:t>
            </w:r>
            <w:r w:rsidRPr="00E73F6F">
              <w:rPr>
                <w:spacing w:val="40"/>
                <w:lang w:val="de-DE"/>
              </w:rPr>
              <w:t xml:space="preserve"> </w:t>
            </w:r>
            <w:r w:rsidRPr="00E73F6F">
              <w:rPr>
                <w:lang w:val="de-DE"/>
              </w:rPr>
              <w:t>benannten</w:t>
            </w:r>
            <w:r w:rsidRPr="00E73F6F">
              <w:rPr>
                <w:spacing w:val="-3"/>
                <w:lang w:val="de-DE"/>
              </w:rPr>
              <w:t xml:space="preserve"> </w:t>
            </w:r>
            <w:r w:rsidRPr="00E73F6F">
              <w:rPr>
                <w:lang w:val="de-DE"/>
              </w:rPr>
              <w:t>Bestimmungshafen</w:t>
            </w:r>
          </w:p>
        </w:tc>
      </w:tr>
      <w:tr w:rsidR="00FF7799" w:rsidRPr="00E73F6F" w14:paraId="083537B8" w14:textId="77777777" w:rsidTr="000843DD">
        <w:trPr>
          <w:trHeight w:val="1051"/>
        </w:trPr>
        <w:tc>
          <w:tcPr>
            <w:tcW w:w="633" w:type="pct"/>
            <w:shd w:val="clear" w:color="auto" w:fill="FFF2CC" w:themeFill="accent4" w:themeFillTint="33"/>
          </w:tcPr>
          <w:p w14:paraId="44974BEF" w14:textId="77777777" w:rsidR="00FF7799" w:rsidRPr="00E73F6F" w:rsidRDefault="00FF7799" w:rsidP="0078772A">
            <w:pPr>
              <w:pStyle w:val="StandardText"/>
              <w:jc w:val="left"/>
              <w:rPr>
                <w:lang w:val="de-DE"/>
              </w:rPr>
            </w:pPr>
            <w:r w:rsidRPr="00E73F6F">
              <w:rPr>
                <w:spacing w:val="-5"/>
                <w:lang w:val="de-DE"/>
              </w:rPr>
              <w:t>CPT</w:t>
            </w:r>
          </w:p>
          <w:p w14:paraId="7B48F6C6" w14:textId="77777777" w:rsidR="00FF7799" w:rsidRPr="00E73F6F" w:rsidRDefault="00FF7799" w:rsidP="0078772A">
            <w:pPr>
              <w:pStyle w:val="StandardText"/>
              <w:jc w:val="left"/>
              <w:rPr>
                <w:lang w:val="de-DE"/>
              </w:rPr>
            </w:pPr>
            <w:r w:rsidRPr="00E73F6F">
              <w:rPr>
                <w:lang w:val="de-DE"/>
              </w:rPr>
              <w:t>(carriage</w:t>
            </w:r>
            <w:r w:rsidRPr="00E73F6F">
              <w:rPr>
                <w:spacing w:val="40"/>
                <w:lang w:val="de-DE"/>
              </w:rPr>
              <w:t xml:space="preserve"> </w:t>
            </w:r>
            <w:r w:rsidRPr="00E73F6F">
              <w:rPr>
                <w:lang w:val="de-DE"/>
              </w:rPr>
              <w:t>paid</w:t>
            </w:r>
            <w:r w:rsidRPr="00E73F6F">
              <w:rPr>
                <w:spacing w:val="-3"/>
                <w:lang w:val="de-DE"/>
              </w:rPr>
              <w:t xml:space="preserve"> </w:t>
            </w:r>
            <w:r w:rsidRPr="00E73F6F">
              <w:rPr>
                <w:lang w:val="de-DE"/>
              </w:rPr>
              <w:t>to)</w:t>
            </w:r>
          </w:p>
        </w:tc>
        <w:tc>
          <w:tcPr>
            <w:tcW w:w="1033" w:type="pct"/>
          </w:tcPr>
          <w:p w14:paraId="392FF9CC" w14:textId="77777777" w:rsidR="00FF7799" w:rsidRPr="00E73F6F" w:rsidRDefault="00FF7799" w:rsidP="0078772A">
            <w:pPr>
              <w:pStyle w:val="StandardText"/>
              <w:jc w:val="left"/>
              <w:rPr>
                <w:lang w:val="de-DE"/>
              </w:rPr>
            </w:pPr>
            <w:r w:rsidRPr="00E73F6F">
              <w:rPr>
                <w:spacing w:val="-4"/>
                <w:lang w:val="de-DE"/>
              </w:rPr>
              <w:t>Alle</w:t>
            </w:r>
          </w:p>
        </w:tc>
        <w:tc>
          <w:tcPr>
            <w:tcW w:w="1169" w:type="pct"/>
          </w:tcPr>
          <w:p w14:paraId="008EE84C" w14:textId="77777777" w:rsidR="00FF7799" w:rsidRPr="00E73F6F" w:rsidRDefault="00FF7799" w:rsidP="0078772A">
            <w:pPr>
              <w:pStyle w:val="StandardText"/>
              <w:jc w:val="left"/>
              <w:rPr>
                <w:lang w:val="de-DE"/>
              </w:rPr>
            </w:pPr>
            <w:r w:rsidRPr="00E73F6F">
              <w:rPr>
                <w:lang w:val="de-DE"/>
              </w:rPr>
              <w:t>Transport</w:t>
            </w:r>
            <w:r w:rsidRPr="00E73F6F">
              <w:rPr>
                <w:spacing w:val="40"/>
                <w:lang w:val="de-DE"/>
              </w:rPr>
              <w:t xml:space="preserve"> </w:t>
            </w:r>
            <w:r w:rsidRPr="00E73F6F">
              <w:rPr>
                <w:lang w:val="de-DE"/>
              </w:rPr>
              <w:t>bezahlt</w:t>
            </w:r>
            <w:r w:rsidRPr="00E73F6F">
              <w:rPr>
                <w:spacing w:val="-3"/>
                <w:lang w:val="de-DE"/>
              </w:rPr>
              <w:t xml:space="preserve"> </w:t>
            </w:r>
            <w:r w:rsidRPr="00E73F6F">
              <w:rPr>
                <w:lang w:val="de-DE"/>
              </w:rPr>
              <w:t>bis</w:t>
            </w:r>
            <w:r w:rsidRPr="00E73F6F">
              <w:rPr>
                <w:spacing w:val="40"/>
                <w:lang w:val="de-DE"/>
              </w:rPr>
              <w:t xml:space="preserve"> </w:t>
            </w:r>
            <w:r w:rsidRPr="00E73F6F">
              <w:rPr>
                <w:lang w:val="de-DE"/>
              </w:rPr>
              <w:t>(...</w:t>
            </w:r>
            <w:r w:rsidRPr="00E73F6F">
              <w:rPr>
                <w:spacing w:val="-5"/>
                <w:lang w:val="de-DE"/>
              </w:rPr>
              <w:t xml:space="preserve"> </w:t>
            </w:r>
            <w:r w:rsidRPr="00E73F6F">
              <w:rPr>
                <w:lang w:val="de-DE"/>
              </w:rPr>
              <w:t>benannter</w:t>
            </w:r>
            <w:r w:rsidRPr="00E73F6F">
              <w:rPr>
                <w:spacing w:val="40"/>
                <w:lang w:val="de-DE"/>
              </w:rPr>
              <w:t xml:space="preserve"> </w:t>
            </w:r>
            <w:r w:rsidRPr="00E73F6F">
              <w:rPr>
                <w:lang w:val="de-DE"/>
              </w:rPr>
              <w:t>Bestimmungs</w:t>
            </w:r>
            <w:r w:rsidRPr="00E73F6F">
              <w:rPr>
                <w:spacing w:val="-4"/>
                <w:lang w:val="de-DE"/>
              </w:rPr>
              <w:t>ort)</w:t>
            </w:r>
          </w:p>
        </w:tc>
        <w:tc>
          <w:tcPr>
            <w:tcW w:w="1087" w:type="pct"/>
          </w:tcPr>
          <w:p w14:paraId="05724F47" w14:textId="77777777" w:rsidR="00FF7799" w:rsidRPr="00E73F6F" w:rsidRDefault="00FF7799" w:rsidP="0078772A">
            <w:pPr>
              <w:pStyle w:val="StandardText"/>
              <w:jc w:val="left"/>
              <w:rPr>
                <w:lang w:val="de-DE"/>
              </w:rPr>
            </w:pPr>
            <w:r w:rsidRPr="00E73F6F">
              <w:rPr>
                <w:lang w:val="de-DE"/>
              </w:rPr>
              <w:t>Benannter</w:t>
            </w:r>
            <w:r w:rsidRPr="00E73F6F">
              <w:rPr>
                <w:spacing w:val="40"/>
                <w:lang w:val="de-DE"/>
              </w:rPr>
              <w:t xml:space="preserve"> </w:t>
            </w:r>
            <w:r w:rsidRPr="00E73F6F">
              <w:rPr>
                <w:lang w:val="de-DE"/>
              </w:rPr>
              <w:t>Bestimmungsort</w:t>
            </w:r>
          </w:p>
        </w:tc>
        <w:tc>
          <w:tcPr>
            <w:tcW w:w="1079" w:type="pct"/>
          </w:tcPr>
          <w:p w14:paraId="0D581BF5" w14:textId="77777777" w:rsidR="00FF7799" w:rsidRPr="00E73F6F" w:rsidRDefault="00FF7799" w:rsidP="0078772A">
            <w:pPr>
              <w:pStyle w:val="StandardText"/>
              <w:jc w:val="left"/>
              <w:rPr>
                <w:lang w:val="de-DE"/>
              </w:rPr>
            </w:pPr>
            <w:r w:rsidRPr="00E73F6F">
              <w:rPr>
                <w:lang w:val="de-DE"/>
              </w:rPr>
              <w:t>Übergabe an den</w:t>
            </w:r>
            <w:r w:rsidRPr="00E73F6F">
              <w:rPr>
                <w:spacing w:val="40"/>
                <w:lang w:val="de-DE"/>
              </w:rPr>
              <w:t xml:space="preserve"> </w:t>
            </w:r>
            <w:r w:rsidRPr="00E73F6F">
              <w:rPr>
                <w:lang w:val="de-DE"/>
              </w:rPr>
              <w:t>Hauptfrachtführer</w:t>
            </w:r>
            <w:r w:rsidRPr="00E73F6F">
              <w:rPr>
                <w:spacing w:val="-6"/>
                <w:lang w:val="de-DE"/>
              </w:rPr>
              <w:t xml:space="preserve"> </w:t>
            </w:r>
            <w:r w:rsidRPr="00E73F6F">
              <w:rPr>
                <w:lang w:val="de-DE"/>
              </w:rPr>
              <w:t>am</w:t>
            </w:r>
            <w:r w:rsidRPr="00E73F6F">
              <w:rPr>
                <w:spacing w:val="-4"/>
                <w:lang w:val="de-DE"/>
              </w:rPr>
              <w:t xml:space="preserve"> </w:t>
            </w:r>
            <w:r w:rsidRPr="00E73F6F">
              <w:rPr>
                <w:lang w:val="de-DE"/>
              </w:rPr>
              <w:t>Abgangs</w:t>
            </w:r>
            <w:r w:rsidRPr="00E73F6F">
              <w:rPr>
                <w:spacing w:val="-5"/>
                <w:lang w:val="de-DE"/>
              </w:rPr>
              <w:t>ort</w:t>
            </w:r>
          </w:p>
        </w:tc>
      </w:tr>
      <w:tr w:rsidR="00FF7799" w:rsidRPr="00E73F6F" w14:paraId="618457B3" w14:textId="77777777" w:rsidTr="000843DD">
        <w:trPr>
          <w:trHeight w:val="1235"/>
        </w:trPr>
        <w:tc>
          <w:tcPr>
            <w:tcW w:w="633" w:type="pct"/>
            <w:shd w:val="clear" w:color="auto" w:fill="FFF2CC" w:themeFill="accent4" w:themeFillTint="33"/>
          </w:tcPr>
          <w:p w14:paraId="7CA73A67" w14:textId="77777777" w:rsidR="00FF7799" w:rsidRPr="00E35FFF" w:rsidRDefault="00FF7799" w:rsidP="0078772A">
            <w:pPr>
              <w:pStyle w:val="StandardText"/>
              <w:jc w:val="left"/>
            </w:pPr>
            <w:r w:rsidRPr="00E35FFF">
              <w:rPr>
                <w:spacing w:val="-5"/>
              </w:rPr>
              <w:t>CIP</w:t>
            </w:r>
          </w:p>
          <w:p w14:paraId="36788C64" w14:textId="77777777" w:rsidR="00FF7799" w:rsidRPr="00E35FFF" w:rsidRDefault="00FF7799" w:rsidP="0078772A">
            <w:pPr>
              <w:pStyle w:val="StandardText"/>
              <w:jc w:val="left"/>
            </w:pPr>
            <w:r w:rsidRPr="00E35FFF">
              <w:t>(carriage</w:t>
            </w:r>
            <w:r w:rsidRPr="00E35FFF">
              <w:rPr>
                <w:spacing w:val="40"/>
              </w:rPr>
              <w:t xml:space="preserve"> </w:t>
            </w:r>
            <w:r w:rsidRPr="00E35FFF">
              <w:rPr>
                <w:spacing w:val="-4"/>
              </w:rPr>
              <w:t>and</w:t>
            </w:r>
            <w:r w:rsidRPr="00E35FFF">
              <w:rPr>
                <w:spacing w:val="40"/>
              </w:rPr>
              <w:t xml:space="preserve"> </w:t>
            </w:r>
            <w:r w:rsidRPr="00E35FFF">
              <w:t>insurance</w:t>
            </w:r>
            <w:r w:rsidRPr="00E35FFF">
              <w:rPr>
                <w:spacing w:val="40"/>
              </w:rPr>
              <w:t xml:space="preserve"> </w:t>
            </w:r>
            <w:r w:rsidRPr="00E35FFF">
              <w:t>paid</w:t>
            </w:r>
            <w:r w:rsidRPr="00E35FFF">
              <w:rPr>
                <w:spacing w:val="-3"/>
              </w:rPr>
              <w:t xml:space="preserve"> </w:t>
            </w:r>
            <w:r w:rsidRPr="00E35FFF">
              <w:t>to)</w:t>
            </w:r>
          </w:p>
        </w:tc>
        <w:tc>
          <w:tcPr>
            <w:tcW w:w="1033" w:type="pct"/>
          </w:tcPr>
          <w:p w14:paraId="49AEB7DD" w14:textId="77777777" w:rsidR="00FF7799" w:rsidRPr="00E73F6F" w:rsidRDefault="00FF7799" w:rsidP="0078772A">
            <w:pPr>
              <w:pStyle w:val="StandardText"/>
              <w:jc w:val="left"/>
              <w:rPr>
                <w:lang w:val="de-DE"/>
              </w:rPr>
            </w:pPr>
            <w:r w:rsidRPr="00E73F6F">
              <w:rPr>
                <w:spacing w:val="-4"/>
                <w:lang w:val="de-DE"/>
              </w:rPr>
              <w:t>Alle</w:t>
            </w:r>
          </w:p>
        </w:tc>
        <w:tc>
          <w:tcPr>
            <w:tcW w:w="1169" w:type="pct"/>
          </w:tcPr>
          <w:p w14:paraId="4ED06377" w14:textId="77777777" w:rsidR="00FF7799" w:rsidRPr="00E73F6F" w:rsidRDefault="00FF7799" w:rsidP="0078772A">
            <w:pPr>
              <w:pStyle w:val="StandardText"/>
              <w:jc w:val="left"/>
              <w:rPr>
                <w:lang w:val="de-DE"/>
              </w:rPr>
            </w:pPr>
            <w:r w:rsidRPr="00E73F6F">
              <w:rPr>
                <w:lang w:val="de-DE"/>
              </w:rPr>
              <w:t>Transport</w:t>
            </w:r>
            <w:r w:rsidRPr="00E73F6F">
              <w:rPr>
                <w:spacing w:val="-10"/>
                <w:lang w:val="de-DE"/>
              </w:rPr>
              <w:t xml:space="preserve"> </w:t>
            </w:r>
            <w:r w:rsidRPr="00E73F6F">
              <w:rPr>
                <w:lang w:val="de-DE"/>
              </w:rPr>
              <w:t>und</w:t>
            </w:r>
            <w:r w:rsidRPr="00E73F6F">
              <w:rPr>
                <w:spacing w:val="40"/>
                <w:lang w:val="de-DE"/>
              </w:rPr>
              <w:t xml:space="preserve"> </w:t>
            </w:r>
            <w:r w:rsidRPr="00E73F6F">
              <w:rPr>
                <w:lang w:val="de-DE"/>
              </w:rPr>
              <w:t>Versicherung</w:t>
            </w:r>
            <w:r w:rsidRPr="00E73F6F">
              <w:rPr>
                <w:spacing w:val="40"/>
                <w:lang w:val="de-DE"/>
              </w:rPr>
              <w:t xml:space="preserve"> </w:t>
            </w:r>
            <w:r w:rsidRPr="00E73F6F">
              <w:rPr>
                <w:lang w:val="de-DE"/>
              </w:rPr>
              <w:t>bezahlt</w:t>
            </w:r>
            <w:r w:rsidRPr="00E73F6F">
              <w:rPr>
                <w:spacing w:val="-3"/>
                <w:lang w:val="de-DE"/>
              </w:rPr>
              <w:t xml:space="preserve"> </w:t>
            </w:r>
            <w:r w:rsidRPr="00E73F6F">
              <w:rPr>
                <w:lang w:val="de-DE"/>
              </w:rPr>
              <w:t>bis</w:t>
            </w:r>
          </w:p>
          <w:p w14:paraId="2B849F54" w14:textId="77777777" w:rsidR="00FF7799" w:rsidRPr="00E73F6F" w:rsidRDefault="00FF7799" w:rsidP="0078772A">
            <w:pPr>
              <w:pStyle w:val="StandardText"/>
              <w:jc w:val="left"/>
              <w:rPr>
                <w:lang w:val="de-DE"/>
              </w:rPr>
            </w:pPr>
            <w:r w:rsidRPr="00E73F6F">
              <w:rPr>
                <w:lang w:val="de-DE"/>
              </w:rPr>
              <w:t>(...</w:t>
            </w:r>
            <w:r w:rsidRPr="00E73F6F">
              <w:rPr>
                <w:spacing w:val="-10"/>
                <w:lang w:val="de-DE"/>
              </w:rPr>
              <w:t xml:space="preserve"> </w:t>
            </w:r>
            <w:r w:rsidRPr="00E73F6F">
              <w:rPr>
                <w:lang w:val="de-DE"/>
              </w:rPr>
              <w:t>benanntem</w:t>
            </w:r>
            <w:r w:rsidRPr="00E73F6F">
              <w:rPr>
                <w:spacing w:val="40"/>
                <w:lang w:val="de-DE"/>
              </w:rPr>
              <w:t xml:space="preserve"> </w:t>
            </w:r>
            <w:r w:rsidRPr="00E73F6F">
              <w:rPr>
                <w:lang w:val="de-DE"/>
              </w:rPr>
              <w:t>Bestimmungs</w:t>
            </w:r>
            <w:r w:rsidRPr="00E73F6F">
              <w:rPr>
                <w:spacing w:val="-4"/>
                <w:lang w:val="de-DE"/>
              </w:rPr>
              <w:t>ort)</w:t>
            </w:r>
          </w:p>
        </w:tc>
        <w:tc>
          <w:tcPr>
            <w:tcW w:w="1087" w:type="pct"/>
          </w:tcPr>
          <w:p w14:paraId="19E11DDA" w14:textId="77777777" w:rsidR="00FF7799" w:rsidRPr="00E73F6F" w:rsidRDefault="00FF7799" w:rsidP="0078772A">
            <w:pPr>
              <w:pStyle w:val="StandardText"/>
              <w:jc w:val="left"/>
              <w:rPr>
                <w:lang w:val="de-DE"/>
              </w:rPr>
            </w:pPr>
            <w:r w:rsidRPr="00E73F6F">
              <w:rPr>
                <w:lang w:val="de-DE"/>
              </w:rPr>
              <w:t>Benannter</w:t>
            </w:r>
            <w:r w:rsidRPr="00E73F6F">
              <w:rPr>
                <w:spacing w:val="40"/>
                <w:lang w:val="de-DE"/>
              </w:rPr>
              <w:t xml:space="preserve"> </w:t>
            </w:r>
            <w:r w:rsidRPr="00E73F6F">
              <w:rPr>
                <w:lang w:val="de-DE"/>
              </w:rPr>
              <w:t>Bestimmungsort</w:t>
            </w:r>
            <w:r w:rsidRPr="00E73F6F">
              <w:rPr>
                <w:spacing w:val="40"/>
                <w:lang w:val="de-DE"/>
              </w:rPr>
              <w:t xml:space="preserve"> </w:t>
            </w:r>
            <w:r w:rsidRPr="00E73F6F">
              <w:rPr>
                <w:lang w:val="de-DE"/>
              </w:rPr>
              <w:t>einschl.</w:t>
            </w:r>
            <w:r w:rsidRPr="00E73F6F">
              <w:rPr>
                <w:spacing w:val="40"/>
                <w:lang w:val="de-DE"/>
              </w:rPr>
              <w:t xml:space="preserve"> </w:t>
            </w:r>
            <w:r w:rsidRPr="00E73F6F">
              <w:rPr>
                <w:lang w:val="de-DE"/>
              </w:rPr>
              <w:t>Transportversich</w:t>
            </w:r>
            <w:r w:rsidRPr="00E73F6F">
              <w:rPr>
                <w:spacing w:val="40"/>
                <w:lang w:val="de-DE"/>
              </w:rPr>
              <w:t xml:space="preserve"> </w:t>
            </w:r>
            <w:r w:rsidRPr="00E73F6F">
              <w:rPr>
                <w:lang w:val="de-DE"/>
              </w:rPr>
              <w:t>erung</w:t>
            </w:r>
          </w:p>
        </w:tc>
        <w:tc>
          <w:tcPr>
            <w:tcW w:w="1079" w:type="pct"/>
          </w:tcPr>
          <w:p w14:paraId="6C4300D8" w14:textId="77777777" w:rsidR="00FF7799" w:rsidRPr="00E73F6F" w:rsidRDefault="00FF7799" w:rsidP="0078772A">
            <w:pPr>
              <w:pStyle w:val="StandardText"/>
              <w:jc w:val="left"/>
              <w:rPr>
                <w:lang w:val="de-DE"/>
              </w:rPr>
            </w:pPr>
            <w:r w:rsidRPr="00E73F6F">
              <w:rPr>
                <w:lang w:val="de-DE"/>
              </w:rPr>
              <w:t>Übergabe an den</w:t>
            </w:r>
            <w:r w:rsidRPr="00E73F6F">
              <w:rPr>
                <w:spacing w:val="40"/>
                <w:lang w:val="de-DE"/>
              </w:rPr>
              <w:t xml:space="preserve"> </w:t>
            </w:r>
            <w:r w:rsidRPr="00E73F6F">
              <w:rPr>
                <w:lang w:val="de-DE"/>
              </w:rPr>
              <w:t>Hauptfrachtführer</w:t>
            </w:r>
            <w:r w:rsidRPr="00E73F6F">
              <w:rPr>
                <w:spacing w:val="-6"/>
                <w:lang w:val="de-DE"/>
              </w:rPr>
              <w:t xml:space="preserve"> </w:t>
            </w:r>
            <w:r w:rsidRPr="00E73F6F">
              <w:rPr>
                <w:lang w:val="de-DE"/>
              </w:rPr>
              <w:t>am</w:t>
            </w:r>
            <w:r w:rsidRPr="00E73F6F">
              <w:rPr>
                <w:spacing w:val="-4"/>
                <w:lang w:val="de-DE"/>
              </w:rPr>
              <w:t xml:space="preserve"> </w:t>
            </w:r>
            <w:r w:rsidRPr="00E73F6F">
              <w:rPr>
                <w:lang w:val="de-DE"/>
              </w:rPr>
              <w:t>Abgangs</w:t>
            </w:r>
            <w:r w:rsidRPr="00E73F6F">
              <w:rPr>
                <w:spacing w:val="-5"/>
                <w:lang w:val="de-DE"/>
              </w:rPr>
              <w:t>ort</w:t>
            </w:r>
          </w:p>
        </w:tc>
      </w:tr>
      <w:tr w:rsidR="00FF7799" w:rsidRPr="00E73F6F" w14:paraId="6C574D3E" w14:textId="77777777" w:rsidTr="000843DD">
        <w:trPr>
          <w:trHeight w:val="868"/>
        </w:trPr>
        <w:tc>
          <w:tcPr>
            <w:tcW w:w="633" w:type="pct"/>
            <w:shd w:val="clear" w:color="auto" w:fill="FFF2CC" w:themeFill="accent4" w:themeFillTint="33"/>
          </w:tcPr>
          <w:p w14:paraId="2D256A56" w14:textId="77777777" w:rsidR="00FF7799" w:rsidRPr="00E73F6F" w:rsidRDefault="00FF7799" w:rsidP="0078772A">
            <w:pPr>
              <w:pStyle w:val="StandardText"/>
              <w:jc w:val="left"/>
              <w:rPr>
                <w:lang w:val="de-DE"/>
              </w:rPr>
            </w:pPr>
            <w:r w:rsidRPr="00E73F6F">
              <w:rPr>
                <w:spacing w:val="-5"/>
                <w:lang w:val="de-DE"/>
              </w:rPr>
              <w:lastRenderedPageBreak/>
              <w:t>DAF</w:t>
            </w:r>
          </w:p>
          <w:p w14:paraId="0F6D25D5" w14:textId="77777777" w:rsidR="00FF7799" w:rsidRPr="00E73F6F" w:rsidRDefault="00FF7799" w:rsidP="0078772A">
            <w:pPr>
              <w:pStyle w:val="StandardText"/>
              <w:jc w:val="left"/>
              <w:rPr>
                <w:lang w:val="de-DE"/>
              </w:rPr>
            </w:pPr>
            <w:r w:rsidRPr="00E73F6F">
              <w:rPr>
                <w:lang w:val="de-DE"/>
              </w:rPr>
              <w:t>(delivered at</w:t>
            </w:r>
            <w:r w:rsidRPr="00E73F6F">
              <w:rPr>
                <w:spacing w:val="40"/>
                <w:lang w:val="de-DE"/>
              </w:rPr>
              <w:t xml:space="preserve"> </w:t>
            </w:r>
            <w:r w:rsidRPr="00E73F6F">
              <w:rPr>
                <w:lang w:val="de-DE"/>
              </w:rPr>
              <w:t>frontier)</w:t>
            </w:r>
          </w:p>
        </w:tc>
        <w:tc>
          <w:tcPr>
            <w:tcW w:w="1033" w:type="pct"/>
          </w:tcPr>
          <w:p w14:paraId="695125E2" w14:textId="77777777" w:rsidR="00FF7799" w:rsidRPr="00E73F6F" w:rsidRDefault="00FF7799" w:rsidP="0078772A">
            <w:pPr>
              <w:pStyle w:val="StandardText"/>
              <w:jc w:val="left"/>
              <w:rPr>
                <w:lang w:val="de-DE"/>
              </w:rPr>
            </w:pPr>
            <w:r w:rsidRPr="00E73F6F">
              <w:rPr>
                <w:spacing w:val="-4"/>
                <w:lang w:val="de-DE"/>
              </w:rPr>
              <w:t>Alle</w:t>
            </w:r>
          </w:p>
        </w:tc>
        <w:tc>
          <w:tcPr>
            <w:tcW w:w="1169" w:type="pct"/>
          </w:tcPr>
          <w:p w14:paraId="69273035" w14:textId="77777777" w:rsidR="00FF7799" w:rsidRPr="00E73F6F" w:rsidRDefault="00FF7799" w:rsidP="0078772A">
            <w:pPr>
              <w:pStyle w:val="StandardText"/>
              <w:jc w:val="left"/>
              <w:rPr>
                <w:lang w:val="de-DE"/>
              </w:rPr>
            </w:pPr>
            <w:r w:rsidRPr="00E73F6F">
              <w:rPr>
                <w:lang w:val="de-DE"/>
              </w:rPr>
              <w:t>Geliefert</w:t>
            </w:r>
            <w:r w:rsidRPr="00E73F6F">
              <w:rPr>
                <w:spacing w:val="40"/>
                <w:lang w:val="de-DE"/>
              </w:rPr>
              <w:t xml:space="preserve"> </w:t>
            </w:r>
            <w:r w:rsidRPr="00E73F6F">
              <w:rPr>
                <w:lang w:val="de-DE"/>
              </w:rPr>
              <w:t>Grenze</w:t>
            </w:r>
          </w:p>
          <w:p w14:paraId="1F714AAE" w14:textId="77777777" w:rsidR="00FF7799" w:rsidRPr="00E73F6F" w:rsidRDefault="00FF7799" w:rsidP="0078772A">
            <w:pPr>
              <w:pStyle w:val="StandardText"/>
              <w:jc w:val="left"/>
              <w:rPr>
                <w:lang w:val="de-DE"/>
              </w:rPr>
            </w:pPr>
            <w:r w:rsidRPr="00E73F6F">
              <w:rPr>
                <w:lang w:val="de-DE"/>
              </w:rPr>
              <w:t>(...</w:t>
            </w:r>
            <w:r w:rsidRPr="00E73F6F">
              <w:rPr>
                <w:spacing w:val="-10"/>
                <w:lang w:val="de-DE"/>
              </w:rPr>
              <w:t xml:space="preserve"> </w:t>
            </w:r>
            <w:r w:rsidRPr="00E73F6F">
              <w:rPr>
                <w:lang w:val="de-DE"/>
              </w:rPr>
              <w:t>benannter</w:t>
            </w:r>
            <w:r w:rsidRPr="00E73F6F">
              <w:rPr>
                <w:spacing w:val="40"/>
                <w:lang w:val="de-DE"/>
              </w:rPr>
              <w:t xml:space="preserve"> </w:t>
            </w:r>
            <w:r w:rsidRPr="00E73F6F">
              <w:rPr>
                <w:lang w:val="de-DE"/>
              </w:rPr>
              <w:t>Platz)</w:t>
            </w:r>
          </w:p>
        </w:tc>
        <w:tc>
          <w:tcPr>
            <w:tcW w:w="1087" w:type="pct"/>
          </w:tcPr>
          <w:p w14:paraId="584ABE7D" w14:textId="77777777" w:rsidR="00FF7799" w:rsidRPr="00E73F6F" w:rsidRDefault="00FF7799" w:rsidP="0078772A">
            <w:pPr>
              <w:pStyle w:val="StandardText"/>
              <w:jc w:val="left"/>
              <w:rPr>
                <w:lang w:val="de-DE"/>
              </w:rPr>
            </w:pPr>
            <w:r w:rsidRPr="00E73F6F">
              <w:rPr>
                <w:lang w:val="de-DE"/>
              </w:rPr>
              <w:t>Am</w:t>
            </w:r>
            <w:r w:rsidRPr="00E73F6F">
              <w:rPr>
                <w:spacing w:val="-1"/>
                <w:lang w:val="de-DE"/>
              </w:rPr>
              <w:t xml:space="preserve"> </w:t>
            </w:r>
            <w:r w:rsidRPr="00E73F6F">
              <w:rPr>
                <w:lang w:val="de-DE"/>
              </w:rPr>
              <w:t>vereinbarten</w:t>
            </w:r>
            <w:r w:rsidRPr="00E73F6F">
              <w:rPr>
                <w:spacing w:val="40"/>
                <w:lang w:val="de-DE"/>
              </w:rPr>
              <w:t xml:space="preserve"> </w:t>
            </w:r>
            <w:r w:rsidRPr="00E73F6F">
              <w:rPr>
                <w:lang w:val="de-DE"/>
              </w:rPr>
              <w:t>Grenzübergangsp</w:t>
            </w:r>
            <w:r w:rsidRPr="00E73F6F">
              <w:rPr>
                <w:spacing w:val="-4"/>
                <w:lang w:val="de-DE"/>
              </w:rPr>
              <w:t>unkt</w:t>
            </w:r>
          </w:p>
        </w:tc>
        <w:tc>
          <w:tcPr>
            <w:tcW w:w="1079" w:type="pct"/>
          </w:tcPr>
          <w:p w14:paraId="467AB3FA" w14:textId="77777777" w:rsidR="00FF7799" w:rsidRPr="00E73F6F" w:rsidRDefault="00FF7799" w:rsidP="0078772A">
            <w:pPr>
              <w:pStyle w:val="StandardText"/>
              <w:jc w:val="left"/>
              <w:rPr>
                <w:lang w:val="de-DE"/>
              </w:rPr>
            </w:pPr>
            <w:r w:rsidRPr="00E73F6F">
              <w:rPr>
                <w:lang w:val="de-DE"/>
              </w:rPr>
              <w:t>Am vereinbarten</w:t>
            </w:r>
            <w:r w:rsidRPr="00E73F6F">
              <w:rPr>
                <w:spacing w:val="40"/>
                <w:lang w:val="de-DE"/>
              </w:rPr>
              <w:t xml:space="preserve"> </w:t>
            </w:r>
            <w:r w:rsidRPr="00E73F6F">
              <w:rPr>
                <w:lang w:val="de-DE"/>
              </w:rPr>
              <w:t>Grenzübergangsp</w:t>
            </w:r>
            <w:r w:rsidRPr="00E73F6F">
              <w:rPr>
                <w:spacing w:val="-4"/>
                <w:lang w:val="de-DE"/>
              </w:rPr>
              <w:t>unkt</w:t>
            </w:r>
          </w:p>
        </w:tc>
      </w:tr>
      <w:tr w:rsidR="00FF7799" w:rsidRPr="00E73F6F" w14:paraId="3CBABADF" w14:textId="77777777" w:rsidTr="000843DD">
        <w:trPr>
          <w:trHeight w:val="1050"/>
        </w:trPr>
        <w:tc>
          <w:tcPr>
            <w:tcW w:w="633" w:type="pct"/>
            <w:shd w:val="clear" w:color="auto" w:fill="FFF2CC" w:themeFill="accent4" w:themeFillTint="33"/>
          </w:tcPr>
          <w:p w14:paraId="6C3B320A" w14:textId="77777777" w:rsidR="00FF7799" w:rsidRPr="00E73F6F" w:rsidRDefault="00FF7799" w:rsidP="0078772A">
            <w:pPr>
              <w:pStyle w:val="StandardText"/>
              <w:jc w:val="left"/>
              <w:rPr>
                <w:lang w:val="de-DE"/>
              </w:rPr>
            </w:pPr>
            <w:r w:rsidRPr="00E73F6F">
              <w:rPr>
                <w:spacing w:val="-5"/>
                <w:lang w:val="de-DE"/>
              </w:rPr>
              <w:t>DDU</w:t>
            </w:r>
          </w:p>
          <w:p w14:paraId="35FBA6D7" w14:textId="77777777" w:rsidR="00FF7799" w:rsidRPr="00E73F6F" w:rsidRDefault="00FF7799" w:rsidP="0078772A">
            <w:pPr>
              <w:pStyle w:val="StandardText"/>
              <w:jc w:val="left"/>
              <w:rPr>
                <w:lang w:val="de-DE"/>
              </w:rPr>
            </w:pPr>
            <w:r w:rsidRPr="00E73F6F">
              <w:rPr>
                <w:lang w:val="de-DE"/>
              </w:rPr>
              <w:t>(delivered</w:t>
            </w:r>
            <w:r w:rsidRPr="00E73F6F">
              <w:rPr>
                <w:spacing w:val="-3"/>
                <w:lang w:val="de-DE"/>
              </w:rPr>
              <w:t xml:space="preserve"> </w:t>
            </w:r>
            <w:r w:rsidRPr="00E73F6F">
              <w:rPr>
                <w:lang w:val="de-DE"/>
              </w:rPr>
              <w:t>duty</w:t>
            </w:r>
            <w:r w:rsidRPr="00E73F6F">
              <w:rPr>
                <w:spacing w:val="40"/>
                <w:lang w:val="de-DE"/>
              </w:rPr>
              <w:t xml:space="preserve"> </w:t>
            </w:r>
            <w:r w:rsidRPr="00E73F6F">
              <w:rPr>
                <w:lang w:val="de-DE"/>
              </w:rPr>
              <w:t>unpaid)</w:t>
            </w:r>
          </w:p>
        </w:tc>
        <w:tc>
          <w:tcPr>
            <w:tcW w:w="1033" w:type="pct"/>
          </w:tcPr>
          <w:p w14:paraId="123C4DAA" w14:textId="77777777" w:rsidR="00FF7799" w:rsidRPr="00E73F6F" w:rsidRDefault="00FF7799" w:rsidP="0078772A">
            <w:pPr>
              <w:pStyle w:val="StandardText"/>
              <w:jc w:val="left"/>
              <w:rPr>
                <w:lang w:val="de-DE"/>
              </w:rPr>
            </w:pPr>
            <w:r w:rsidRPr="00E73F6F">
              <w:rPr>
                <w:spacing w:val="-4"/>
                <w:lang w:val="de-DE"/>
              </w:rPr>
              <w:t>Alle</w:t>
            </w:r>
          </w:p>
        </w:tc>
        <w:tc>
          <w:tcPr>
            <w:tcW w:w="1169" w:type="pct"/>
          </w:tcPr>
          <w:p w14:paraId="2E7C3825" w14:textId="77777777" w:rsidR="00FF7799" w:rsidRPr="00E73F6F" w:rsidRDefault="00FF7799" w:rsidP="0078772A">
            <w:pPr>
              <w:pStyle w:val="StandardText"/>
              <w:jc w:val="left"/>
              <w:rPr>
                <w:lang w:val="de-DE"/>
              </w:rPr>
            </w:pPr>
            <w:r w:rsidRPr="00E73F6F">
              <w:rPr>
                <w:lang w:val="de-DE"/>
              </w:rPr>
              <w:t>Geliefert</w:t>
            </w:r>
            <w:r w:rsidRPr="00E73F6F">
              <w:rPr>
                <w:spacing w:val="40"/>
                <w:lang w:val="de-DE"/>
              </w:rPr>
              <w:t xml:space="preserve"> </w:t>
            </w:r>
            <w:r w:rsidRPr="00E73F6F">
              <w:rPr>
                <w:lang w:val="de-DE"/>
              </w:rPr>
              <w:t>unverzollt</w:t>
            </w:r>
            <w:r w:rsidRPr="00E73F6F">
              <w:rPr>
                <w:spacing w:val="80"/>
                <w:lang w:val="de-DE"/>
              </w:rPr>
              <w:t xml:space="preserve"> </w:t>
            </w:r>
            <w:r w:rsidRPr="00E73F6F">
              <w:rPr>
                <w:lang w:val="de-DE"/>
              </w:rPr>
              <w:t>(...</w:t>
            </w:r>
            <w:r w:rsidRPr="00E73F6F">
              <w:rPr>
                <w:spacing w:val="-3"/>
                <w:lang w:val="de-DE"/>
              </w:rPr>
              <w:t xml:space="preserve"> </w:t>
            </w:r>
            <w:r w:rsidRPr="00E73F6F">
              <w:rPr>
                <w:lang w:val="de-DE"/>
              </w:rPr>
              <w:t>benannter</w:t>
            </w:r>
          </w:p>
          <w:p w14:paraId="6E829E8F" w14:textId="77777777" w:rsidR="00FF7799" w:rsidRPr="00E73F6F" w:rsidRDefault="00FF7799" w:rsidP="0078772A">
            <w:pPr>
              <w:pStyle w:val="StandardText"/>
              <w:jc w:val="left"/>
              <w:rPr>
                <w:lang w:val="de-DE"/>
              </w:rPr>
            </w:pPr>
            <w:r w:rsidRPr="00E73F6F">
              <w:rPr>
                <w:lang w:val="de-DE"/>
              </w:rPr>
              <w:t>Bestimmungs</w:t>
            </w:r>
            <w:r w:rsidRPr="00E73F6F">
              <w:rPr>
                <w:spacing w:val="-4"/>
                <w:lang w:val="de-DE"/>
              </w:rPr>
              <w:t>ort)</w:t>
            </w:r>
          </w:p>
        </w:tc>
        <w:tc>
          <w:tcPr>
            <w:tcW w:w="1087" w:type="pct"/>
          </w:tcPr>
          <w:p w14:paraId="2409B9DB" w14:textId="77777777" w:rsidR="00FF7799" w:rsidRPr="00E73F6F" w:rsidRDefault="00FF7799" w:rsidP="0078772A">
            <w:pPr>
              <w:pStyle w:val="StandardText"/>
              <w:jc w:val="left"/>
              <w:rPr>
                <w:lang w:val="de-DE"/>
              </w:rPr>
            </w:pPr>
            <w:r w:rsidRPr="00E73F6F">
              <w:rPr>
                <w:lang w:val="de-DE"/>
              </w:rPr>
              <w:t>Am</w:t>
            </w:r>
            <w:r w:rsidRPr="00E73F6F">
              <w:rPr>
                <w:spacing w:val="-10"/>
                <w:lang w:val="de-DE"/>
              </w:rPr>
              <w:t xml:space="preserve"> </w:t>
            </w:r>
            <w:r w:rsidRPr="00E73F6F">
              <w:rPr>
                <w:lang w:val="de-DE"/>
              </w:rPr>
              <w:t>vereinbarten</w:t>
            </w:r>
            <w:r w:rsidRPr="00E73F6F">
              <w:rPr>
                <w:spacing w:val="40"/>
                <w:lang w:val="de-DE"/>
              </w:rPr>
              <w:t xml:space="preserve"> </w:t>
            </w:r>
            <w:r w:rsidRPr="00E73F6F">
              <w:rPr>
                <w:lang w:val="de-DE"/>
              </w:rPr>
              <w:t>Bestimmungsort</w:t>
            </w:r>
            <w:r w:rsidRPr="00E73F6F">
              <w:rPr>
                <w:spacing w:val="40"/>
                <w:lang w:val="de-DE"/>
              </w:rPr>
              <w:t xml:space="preserve"> </w:t>
            </w:r>
            <w:r w:rsidRPr="00E73F6F">
              <w:rPr>
                <w:lang w:val="de-DE"/>
              </w:rPr>
              <w:t>im Lande des</w:t>
            </w:r>
            <w:r w:rsidRPr="00E73F6F">
              <w:rPr>
                <w:spacing w:val="40"/>
                <w:lang w:val="de-DE"/>
              </w:rPr>
              <w:t xml:space="preserve"> </w:t>
            </w:r>
            <w:r w:rsidRPr="00E73F6F">
              <w:rPr>
                <w:lang w:val="de-DE"/>
              </w:rPr>
              <w:t>Käufers,</w:t>
            </w:r>
            <w:r w:rsidRPr="00E73F6F">
              <w:rPr>
                <w:spacing w:val="-5"/>
                <w:lang w:val="de-DE"/>
              </w:rPr>
              <w:t xml:space="preserve"> </w:t>
            </w:r>
            <w:r w:rsidRPr="00E73F6F">
              <w:rPr>
                <w:lang w:val="de-DE"/>
              </w:rPr>
              <w:t>ohne</w:t>
            </w:r>
            <w:r w:rsidRPr="00E73F6F">
              <w:rPr>
                <w:spacing w:val="40"/>
                <w:lang w:val="de-DE"/>
              </w:rPr>
              <w:t xml:space="preserve"> </w:t>
            </w:r>
            <w:r w:rsidRPr="00E73F6F">
              <w:rPr>
                <w:lang w:val="de-DE"/>
              </w:rPr>
              <w:t>Einfuhrzoll</w:t>
            </w:r>
          </w:p>
        </w:tc>
        <w:tc>
          <w:tcPr>
            <w:tcW w:w="1079" w:type="pct"/>
          </w:tcPr>
          <w:p w14:paraId="242BBB3C" w14:textId="77777777" w:rsidR="00FF7799" w:rsidRPr="00E73F6F" w:rsidRDefault="00FF7799" w:rsidP="0078772A">
            <w:pPr>
              <w:pStyle w:val="StandardText"/>
              <w:jc w:val="left"/>
              <w:rPr>
                <w:lang w:val="de-DE"/>
              </w:rPr>
            </w:pPr>
            <w:r w:rsidRPr="00E73F6F">
              <w:rPr>
                <w:lang w:val="de-DE"/>
              </w:rPr>
              <w:t>Am</w:t>
            </w:r>
            <w:r w:rsidRPr="00E73F6F">
              <w:rPr>
                <w:spacing w:val="-10"/>
                <w:lang w:val="de-DE"/>
              </w:rPr>
              <w:t xml:space="preserve"> </w:t>
            </w:r>
            <w:r w:rsidRPr="00E73F6F">
              <w:rPr>
                <w:lang w:val="de-DE"/>
              </w:rPr>
              <w:t>vereinbarten</w:t>
            </w:r>
            <w:r w:rsidRPr="00E73F6F">
              <w:rPr>
                <w:spacing w:val="40"/>
                <w:lang w:val="de-DE"/>
              </w:rPr>
              <w:t xml:space="preserve"> </w:t>
            </w:r>
            <w:r w:rsidRPr="00E73F6F">
              <w:rPr>
                <w:lang w:val="de-DE"/>
              </w:rPr>
              <w:t>Bestimmungsort</w:t>
            </w:r>
            <w:r w:rsidRPr="00E73F6F">
              <w:rPr>
                <w:spacing w:val="40"/>
                <w:lang w:val="de-DE"/>
              </w:rPr>
              <w:t xml:space="preserve"> </w:t>
            </w:r>
            <w:r w:rsidRPr="00E73F6F">
              <w:rPr>
                <w:lang w:val="de-DE"/>
              </w:rPr>
              <w:t>im Lande des</w:t>
            </w:r>
            <w:r w:rsidRPr="00E73F6F">
              <w:rPr>
                <w:spacing w:val="40"/>
                <w:lang w:val="de-DE"/>
              </w:rPr>
              <w:t xml:space="preserve"> </w:t>
            </w:r>
            <w:r w:rsidRPr="00E73F6F">
              <w:rPr>
                <w:lang w:val="de-DE"/>
              </w:rPr>
              <w:t>Käufers</w:t>
            </w:r>
          </w:p>
        </w:tc>
      </w:tr>
      <w:tr w:rsidR="00FF7799" w:rsidRPr="00E73F6F" w14:paraId="11CD4AC1" w14:textId="77777777" w:rsidTr="000843DD">
        <w:trPr>
          <w:trHeight w:val="1053"/>
        </w:trPr>
        <w:tc>
          <w:tcPr>
            <w:tcW w:w="633" w:type="pct"/>
            <w:shd w:val="clear" w:color="auto" w:fill="FFF2CC" w:themeFill="accent4" w:themeFillTint="33"/>
          </w:tcPr>
          <w:p w14:paraId="629FE130" w14:textId="77777777" w:rsidR="00FF7799" w:rsidRPr="00E73F6F" w:rsidRDefault="00FF7799" w:rsidP="0078772A">
            <w:pPr>
              <w:pStyle w:val="StandardText"/>
              <w:jc w:val="left"/>
              <w:rPr>
                <w:lang w:val="de-DE"/>
              </w:rPr>
            </w:pPr>
            <w:r w:rsidRPr="00E73F6F">
              <w:rPr>
                <w:spacing w:val="-5"/>
                <w:lang w:val="de-DE"/>
              </w:rPr>
              <w:t>DDP</w:t>
            </w:r>
          </w:p>
          <w:p w14:paraId="2A8EE906" w14:textId="77777777" w:rsidR="00FF7799" w:rsidRPr="00E73F6F" w:rsidRDefault="00FF7799" w:rsidP="0078772A">
            <w:pPr>
              <w:pStyle w:val="StandardText"/>
              <w:jc w:val="left"/>
              <w:rPr>
                <w:lang w:val="de-DE"/>
              </w:rPr>
            </w:pPr>
            <w:r w:rsidRPr="00E73F6F">
              <w:rPr>
                <w:lang w:val="de-DE"/>
              </w:rPr>
              <w:t>(delivered</w:t>
            </w:r>
            <w:r w:rsidRPr="00E73F6F">
              <w:rPr>
                <w:spacing w:val="-3"/>
                <w:lang w:val="de-DE"/>
              </w:rPr>
              <w:t xml:space="preserve"> </w:t>
            </w:r>
            <w:r w:rsidRPr="00E73F6F">
              <w:rPr>
                <w:lang w:val="de-DE"/>
              </w:rPr>
              <w:t>duty</w:t>
            </w:r>
            <w:r w:rsidRPr="00E73F6F">
              <w:rPr>
                <w:spacing w:val="40"/>
                <w:lang w:val="de-DE"/>
              </w:rPr>
              <w:t xml:space="preserve"> </w:t>
            </w:r>
            <w:r w:rsidRPr="00E73F6F">
              <w:rPr>
                <w:lang w:val="de-DE"/>
              </w:rPr>
              <w:t>paid)</w:t>
            </w:r>
          </w:p>
        </w:tc>
        <w:tc>
          <w:tcPr>
            <w:tcW w:w="1033" w:type="pct"/>
          </w:tcPr>
          <w:p w14:paraId="478E44F3" w14:textId="77777777" w:rsidR="00FF7799" w:rsidRPr="00E73F6F" w:rsidRDefault="00FF7799" w:rsidP="0078772A">
            <w:pPr>
              <w:pStyle w:val="StandardText"/>
              <w:jc w:val="left"/>
              <w:rPr>
                <w:lang w:val="de-DE"/>
              </w:rPr>
            </w:pPr>
            <w:r w:rsidRPr="00E73F6F">
              <w:rPr>
                <w:spacing w:val="-4"/>
                <w:lang w:val="de-DE"/>
              </w:rPr>
              <w:t>Alle</w:t>
            </w:r>
          </w:p>
        </w:tc>
        <w:tc>
          <w:tcPr>
            <w:tcW w:w="1169" w:type="pct"/>
          </w:tcPr>
          <w:p w14:paraId="37F7F9D7" w14:textId="77777777" w:rsidR="00FF7799" w:rsidRPr="00E73F6F" w:rsidRDefault="00FF7799" w:rsidP="0078772A">
            <w:pPr>
              <w:pStyle w:val="StandardText"/>
              <w:jc w:val="left"/>
              <w:rPr>
                <w:lang w:val="de-DE"/>
              </w:rPr>
            </w:pPr>
            <w:r w:rsidRPr="00E73F6F">
              <w:rPr>
                <w:lang w:val="de-DE"/>
              </w:rPr>
              <w:t>Geliefert</w:t>
            </w:r>
            <w:r w:rsidRPr="00E73F6F">
              <w:rPr>
                <w:spacing w:val="40"/>
                <w:lang w:val="de-DE"/>
              </w:rPr>
              <w:t xml:space="preserve"> </w:t>
            </w:r>
            <w:r w:rsidRPr="00E73F6F">
              <w:rPr>
                <w:lang w:val="de-DE"/>
              </w:rPr>
              <w:t>verzollt</w:t>
            </w:r>
          </w:p>
          <w:p w14:paraId="3F388599" w14:textId="77777777" w:rsidR="00FF7799" w:rsidRPr="00E73F6F" w:rsidRDefault="00FF7799" w:rsidP="0078772A">
            <w:pPr>
              <w:pStyle w:val="StandardText"/>
              <w:jc w:val="left"/>
              <w:rPr>
                <w:lang w:val="de-DE"/>
              </w:rPr>
            </w:pPr>
            <w:r w:rsidRPr="00E73F6F">
              <w:rPr>
                <w:lang w:val="de-DE"/>
              </w:rPr>
              <w:t>(...</w:t>
            </w:r>
            <w:r w:rsidRPr="00E73F6F">
              <w:rPr>
                <w:spacing w:val="-5"/>
                <w:lang w:val="de-DE"/>
              </w:rPr>
              <w:t xml:space="preserve"> </w:t>
            </w:r>
            <w:r w:rsidRPr="00E73F6F">
              <w:rPr>
                <w:lang w:val="de-DE"/>
              </w:rPr>
              <w:t>benannter</w:t>
            </w:r>
            <w:r w:rsidRPr="00E73F6F">
              <w:rPr>
                <w:spacing w:val="40"/>
                <w:lang w:val="de-DE"/>
              </w:rPr>
              <w:t xml:space="preserve"> </w:t>
            </w:r>
            <w:r w:rsidRPr="00E73F6F">
              <w:rPr>
                <w:lang w:val="de-DE"/>
              </w:rPr>
              <w:t>Bestimmungs</w:t>
            </w:r>
            <w:r w:rsidRPr="00E73F6F">
              <w:rPr>
                <w:spacing w:val="-4"/>
                <w:lang w:val="de-DE"/>
              </w:rPr>
              <w:t>ort)</w:t>
            </w:r>
          </w:p>
        </w:tc>
        <w:tc>
          <w:tcPr>
            <w:tcW w:w="1087" w:type="pct"/>
          </w:tcPr>
          <w:p w14:paraId="766A05E9" w14:textId="77777777" w:rsidR="00FF7799" w:rsidRPr="00E73F6F" w:rsidRDefault="00FF7799" w:rsidP="0078772A">
            <w:pPr>
              <w:pStyle w:val="StandardText"/>
              <w:jc w:val="left"/>
              <w:rPr>
                <w:lang w:val="de-DE"/>
              </w:rPr>
            </w:pPr>
            <w:r w:rsidRPr="00E73F6F">
              <w:rPr>
                <w:lang w:val="de-DE"/>
              </w:rPr>
              <w:t>Am</w:t>
            </w:r>
            <w:r w:rsidRPr="00E73F6F">
              <w:rPr>
                <w:spacing w:val="-10"/>
                <w:lang w:val="de-DE"/>
              </w:rPr>
              <w:t xml:space="preserve"> </w:t>
            </w:r>
            <w:r w:rsidRPr="00E73F6F">
              <w:rPr>
                <w:lang w:val="de-DE"/>
              </w:rPr>
              <w:t>vereinbarten</w:t>
            </w:r>
            <w:r w:rsidRPr="00E73F6F">
              <w:rPr>
                <w:spacing w:val="40"/>
                <w:lang w:val="de-DE"/>
              </w:rPr>
              <w:t xml:space="preserve"> </w:t>
            </w:r>
            <w:r w:rsidRPr="00E73F6F">
              <w:rPr>
                <w:lang w:val="de-DE"/>
              </w:rPr>
              <w:t>Bestimmungsort</w:t>
            </w:r>
            <w:r w:rsidRPr="00E73F6F">
              <w:rPr>
                <w:spacing w:val="40"/>
                <w:lang w:val="de-DE"/>
              </w:rPr>
              <w:t xml:space="preserve"> </w:t>
            </w:r>
            <w:r w:rsidRPr="00E73F6F">
              <w:rPr>
                <w:lang w:val="de-DE"/>
              </w:rPr>
              <w:t>im Landes des</w:t>
            </w:r>
            <w:r w:rsidRPr="00E73F6F">
              <w:rPr>
                <w:spacing w:val="40"/>
                <w:lang w:val="de-DE"/>
              </w:rPr>
              <w:t xml:space="preserve"> </w:t>
            </w:r>
            <w:r w:rsidRPr="00E73F6F">
              <w:rPr>
                <w:lang w:val="de-DE"/>
              </w:rPr>
              <w:t>Käufers,</w:t>
            </w:r>
            <w:r w:rsidRPr="00E73F6F">
              <w:rPr>
                <w:spacing w:val="-10"/>
                <w:lang w:val="de-DE"/>
              </w:rPr>
              <w:t xml:space="preserve"> </w:t>
            </w:r>
            <w:r w:rsidRPr="00E73F6F">
              <w:rPr>
                <w:lang w:val="de-DE"/>
              </w:rPr>
              <w:t>einschl.</w:t>
            </w:r>
            <w:r w:rsidRPr="00E73F6F">
              <w:rPr>
                <w:spacing w:val="40"/>
                <w:lang w:val="de-DE"/>
              </w:rPr>
              <w:t xml:space="preserve"> </w:t>
            </w:r>
            <w:r w:rsidRPr="00E73F6F">
              <w:rPr>
                <w:lang w:val="de-DE"/>
              </w:rPr>
              <w:t>Einfuhrzoll</w:t>
            </w:r>
          </w:p>
        </w:tc>
        <w:tc>
          <w:tcPr>
            <w:tcW w:w="1079" w:type="pct"/>
          </w:tcPr>
          <w:p w14:paraId="5C71B8D9" w14:textId="77777777" w:rsidR="00FF7799" w:rsidRPr="00E73F6F" w:rsidRDefault="00FF7799" w:rsidP="0078772A">
            <w:pPr>
              <w:pStyle w:val="StandardText"/>
              <w:jc w:val="left"/>
              <w:rPr>
                <w:lang w:val="de-DE"/>
              </w:rPr>
            </w:pPr>
            <w:r w:rsidRPr="00E73F6F">
              <w:rPr>
                <w:lang w:val="de-DE"/>
              </w:rPr>
              <w:t>Am</w:t>
            </w:r>
            <w:r w:rsidRPr="00E73F6F">
              <w:rPr>
                <w:spacing w:val="-10"/>
                <w:lang w:val="de-DE"/>
              </w:rPr>
              <w:t xml:space="preserve"> </w:t>
            </w:r>
            <w:r w:rsidRPr="00E73F6F">
              <w:rPr>
                <w:lang w:val="de-DE"/>
              </w:rPr>
              <w:t>vereinbarten</w:t>
            </w:r>
            <w:r w:rsidRPr="00E73F6F">
              <w:rPr>
                <w:spacing w:val="40"/>
                <w:lang w:val="de-DE"/>
              </w:rPr>
              <w:t xml:space="preserve"> </w:t>
            </w:r>
            <w:r w:rsidRPr="00E73F6F">
              <w:rPr>
                <w:lang w:val="de-DE"/>
              </w:rPr>
              <w:t>Bestimmungsort</w:t>
            </w:r>
            <w:r w:rsidRPr="00E73F6F">
              <w:rPr>
                <w:spacing w:val="40"/>
                <w:lang w:val="de-DE"/>
              </w:rPr>
              <w:t xml:space="preserve"> </w:t>
            </w:r>
            <w:r w:rsidRPr="00E73F6F">
              <w:rPr>
                <w:lang w:val="de-DE"/>
              </w:rPr>
              <w:t>im Lande des</w:t>
            </w:r>
            <w:r w:rsidRPr="00E73F6F">
              <w:rPr>
                <w:spacing w:val="40"/>
                <w:lang w:val="de-DE"/>
              </w:rPr>
              <w:t xml:space="preserve"> </w:t>
            </w:r>
            <w:r w:rsidRPr="00E73F6F">
              <w:rPr>
                <w:lang w:val="de-DE"/>
              </w:rPr>
              <w:t>Käufers</w:t>
            </w:r>
          </w:p>
        </w:tc>
      </w:tr>
    </w:tbl>
    <w:p w14:paraId="0BB99380" w14:textId="77777777" w:rsidR="00FF7799" w:rsidRPr="00E73F6F" w:rsidRDefault="00FF7799" w:rsidP="007D50DA">
      <w:pPr>
        <w:pStyle w:val="Quellen"/>
      </w:pPr>
      <w:r w:rsidRPr="00E73F6F">
        <w:rPr>
          <w:spacing w:val="-2"/>
        </w:rPr>
        <w:t>Quelle:</w:t>
      </w:r>
      <w:r w:rsidRPr="00E73F6F">
        <w:tab/>
        <w:t>Internationale</w:t>
      </w:r>
      <w:r w:rsidRPr="00E73F6F">
        <w:rPr>
          <w:spacing w:val="-4"/>
        </w:rPr>
        <w:t xml:space="preserve"> </w:t>
      </w:r>
      <w:r w:rsidRPr="00E73F6F">
        <w:t>Handelskammer,</w:t>
      </w:r>
      <w:r w:rsidRPr="00E73F6F">
        <w:rPr>
          <w:spacing w:val="-1"/>
        </w:rPr>
        <w:t xml:space="preserve"> </w:t>
      </w:r>
      <w:r w:rsidRPr="00E73F6F">
        <w:rPr>
          <w:spacing w:val="-2"/>
        </w:rPr>
        <w:t>Paris.</w:t>
      </w:r>
    </w:p>
    <w:p w14:paraId="695C509E" w14:textId="77777777" w:rsidR="00FF7799" w:rsidRPr="00E73F6F" w:rsidRDefault="00FF7799" w:rsidP="007D50DA">
      <w:pPr>
        <w:pStyle w:val="StandardText"/>
      </w:pPr>
    </w:p>
    <w:p w14:paraId="158DA34E" w14:textId="77777777" w:rsidR="00FF7799" w:rsidRPr="00E73F6F" w:rsidRDefault="00FF7799" w:rsidP="00862DBA">
      <w:pPr>
        <w:rPr>
          <w:sz w:val="24"/>
          <w:szCs w:val="24"/>
        </w:rPr>
      </w:pPr>
    </w:p>
    <w:p w14:paraId="75BE9C02" w14:textId="77777777" w:rsidR="00FF7799" w:rsidRPr="000843DD" w:rsidRDefault="00FF7799" w:rsidP="00247954">
      <w:pPr>
        <w:pStyle w:val="StandardTextkursiv"/>
        <w:rPr>
          <w:i w:val="0"/>
        </w:rPr>
      </w:pPr>
      <w:r w:rsidRPr="000843DD">
        <w:rPr>
          <w:i w:val="0"/>
        </w:rPr>
        <w:t>3 Wechselkurse</w:t>
      </w:r>
    </w:p>
    <w:p w14:paraId="2C73ED2B" w14:textId="77777777" w:rsidR="00FF7799" w:rsidRPr="000843DD" w:rsidRDefault="00FF7799" w:rsidP="007D50DA">
      <w:pPr>
        <w:pStyle w:val="StandardText"/>
      </w:pPr>
      <w:r w:rsidRPr="000843DD">
        <w:t>Teil der Vertragsfreiheit ist die Wahl der Währung, in welcher ein Geschäft getätigt werden soll. Dies ist insofern bedeutsam, als jede Entscheidung für eine ausländische</w:t>
      </w:r>
      <w:r w:rsidRPr="000843DD">
        <w:rPr>
          <w:spacing w:val="-9"/>
        </w:rPr>
        <w:t xml:space="preserve"> </w:t>
      </w:r>
      <w:r w:rsidRPr="000843DD">
        <w:t>Währung</w:t>
      </w:r>
      <w:r w:rsidRPr="000843DD">
        <w:rPr>
          <w:spacing w:val="-8"/>
        </w:rPr>
        <w:t xml:space="preserve"> </w:t>
      </w:r>
      <w:r w:rsidRPr="000843DD">
        <w:t>ein</w:t>
      </w:r>
      <w:r w:rsidRPr="000843DD">
        <w:rPr>
          <w:spacing w:val="-7"/>
        </w:rPr>
        <w:t xml:space="preserve"> </w:t>
      </w:r>
      <w:r w:rsidRPr="000843DD">
        <w:t>mehr</w:t>
      </w:r>
      <w:r w:rsidRPr="000843DD">
        <w:rPr>
          <w:spacing w:val="-11"/>
        </w:rPr>
        <w:t xml:space="preserve"> </w:t>
      </w:r>
      <w:r w:rsidRPr="000843DD">
        <w:t>oder</w:t>
      </w:r>
      <w:r w:rsidRPr="000843DD">
        <w:rPr>
          <w:spacing w:val="-9"/>
        </w:rPr>
        <w:t xml:space="preserve"> </w:t>
      </w:r>
      <w:r w:rsidRPr="000843DD">
        <w:t>minder</w:t>
      </w:r>
      <w:r w:rsidRPr="000843DD">
        <w:rPr>
          <w:spacing w:val="-11"/>
        </w:rPr>
        <w:t xml:space="preserve"> </w:t>
      </w:r>
      <w:r w:rsidRPr="000843DD">
        <w:t>großes</w:t>
      </w:r>
      <w:r w:rsidRPr="000843DD">
        <w:rPr>
          <w:spacing w:val="-9"/>
        </w:rPr>
        <w:t xml:space="preserve"> </w:t>
      </w:r>
      <w:r w:rsidRPr="000843DD">
        <w:t>Wechselkursrisiko</w:t>
      </w:r>
      <w:r w:rsidRPr="000843DD">
        <w:rPr>
          <w:spacing w:val="-8"/>
        </w:rPr>
        <w:t xml:space="preserve"> </w:t>
      </w:r>
      <w:r w:rsidRPr="000843DD">
        <w:t>impliziert. Je</w:t>
      </w:r>
      <w:r w:rsidRPr="000843DD">
        <w:rPr>
          <w:spacing w:val="10"/>
        </w:rPr>
        <w:t xml:space="preserve"> </w:t>
      </w:r>
      <w:r w:rsidRPr="000843DD">
        <w:t>nachdem,</w:t>
      </w:r>
      <w:r w:rsidRPr="000843DD">
        <w:rPr>
          <w:spacing w:val="11"/>
        </w:rPr>
        <w:t xml:space="preserve"> </w:t>
      </w:r>
      <w:r w:rsidRPr="000843DD">
        <w:t>wie</w:t>
      </w:r>
      <w:r w:rsidRPr="000843DD">
        <w:rPr>
          <w:spacing w:val="10"/>
        </w:rPr>
        <w:t xml:space="preserve"> </w:t>
      </w:r>
      <w:r w:rsidRPr="000843DD">
        <w:t>sich</w:t>
      </w:r>
      <w:r w:rsidRPr="000843DD">
        <w:rPr>
          <w:spacing w:val="10"/>
        </w:rPr>
        <w:t xml:space="preserve"> </w:t>
      </w:r>
      <w:r w:rsidRPr="000843DD">
        <w:t>der</w:t>
      </w:r>
      <w:r w:rsidRPr="000843DD">
        <w:rPr>
          <w:spacing w:val="11"/>
        </w:rPr>
        <w:t xml:space="preserve"> </w:t>
      </w:r>
      <w:r w:rsidRPr="000843DD">
        <w:t>Wechselkurs</w:t>
      </w:r>
      <w:r w:rsidRPr="000843DD">
        <w:rPr>
          <w:spacing w:val="9"/>
        </w:rPr>
        <w:t xml:space="preserve"> </w:t>
      </w:r>
      <w:r w:rsidRPr="000843DD">
        <w:t>der</w:t>
      </w:r>
      <w:r w:rsidRPr="000843DD">
        <w:rPr>
          <w:spacing w:val="9"/>
        </w:rPr>
        <w:t xml:space="preserve"> </w:t>
      </w:r>
      <w:r w:rsidRPr="000843DD">
        <w:t>beteiligten</w:t>
      </w:r>
      <w:r w:rsidRPr="000843DD">
        <w:rPr>
          <w:spacing w:val="9"/>
        </w:rPr>
        <w:t xml:space="preserve"> </w:t>
      </w:r>
      <w:r w:rsidRPr="000843DD">
        <w:t>Währungen</w:t>
      </w:r>
      <w:r w:rsidRPr="000843DD">
        <w:rPr>
          <w:spacing w:val="10"/>
        </w:rPr>
        <w:t xml:space="preserve"> </w:t>
      </w:r>
      <w:r w:rsidRPr="000843DD">
        <w:t>(bspw.</w:t>
      </w:r>
      <w:r w:rsidRPr="000843DD">
        <w:rPr>
          <w:spacing w:val="6"/>
        </w:rPr>
        <w:t xml:space="preserve"> </w:t>
      </w:r>
      <w:r w:rsidRPr="000843DD">
        <w:t>$</w:t>
      </w:r>
      <w:r w:rsidRPr="000843DD">
        <w:rPr>
          <w:spacing w:val="11"/>
        </w:rPr>
        <w:t xml:space="preserve"> </w:t>
      </w:r>
      <w:r w:rsidRPr="000843DD">
        <w:rPr>
          <w:spacing w:val="-4"/>
        </w:rPr>
        <w:t>oder</w:t>
      </w:r>
      <w:r w:rsidRPr="000843DD">
        <w:t xml:space="preserve"> €) im Vertragszeitraum ändert, erleidet der eine Vertragspartner einen währungsbedingten Verlust, während der andere einen entsprechenden Gewinn verbuchen kann. Das Ausmaß des Währungsrisikos hängt zunächst davon ab, ob das</w:t>
      </w:r>
      <w:r w:rsidRPr="000843DD">
        <w:rPr>
          <w:spacing w:val="-1"/>
        </w:rPr>
        <w:t xml:space="preserve"> </w:t>
      </w:r>
      <w:r w:rsidRPr="000843DD">
        <w:t>Austauschverhältnis</w:t>
      </w:r>
      <w:r w:rsidRPr="000843DD">
        <w:rPr>
          <w:spacing w:val="-1"/>
        </w:rPr>
        <w:t xml:space="preserve"> </w:t>
      </w:r>
      <w:r w:rsidRPr="000843DD">
        <w:t>zwischen</w:t>
      </w:r>
      <w:r w:rsidRPr="000843DD">
        <w:rPr>
          <w:spacing w:val="-2"/>
        </w:rPr>
        <w:t xml:space="preserve"> </w:t>
      </w:r>
      <w:r w:rsidRPr="000843DD">
        <w:t>den</w:t>
      </w:r>
      <w:r w:rsidRPr="000843DD">
        <w:rPr>
          <w:spacing w:val="-2"/>
        </w:rPr>
        <w:t xml:space="preserve"> </w:t>
      </w:r>
      <w:r w:rsidRPr="000843DD">
        <w:t>betroffenen</w:t>
      </w:r>
      <w:r w:rsidRPr="000843DD">
        <w:rPr>
          <w:spacing w:val="-2"/>
        </w:rPr>
        <w:t xml:space="preserve"> </w:t>
      </w:r>
      <w:r w:rsidRPr="000843DD">
        <w:t>Währungen</w:t>
      </w:r>
      <w:r w:rsidRPr="000843DD">
        <w:rPr>
          <w:spacing w:val="-2"/>
        </w:rPr>
        <w:t xml:space="preserve"> </w:t>
      </w:r>
      <w:r w:rsidRPr="000843DD">
        <w:t>fixiert ist</w:t>
      </w:r>
      <w:r w:rsidRPr="000843DD">
        <w:rPr>
          <w:spacing w:val="-3"/>
        </w:rPr>
        <w:t xml:space="preserve"> </w:t>
      </w:r>
      <w:r w:rsidRPr="000843DD">
        <w:t>oder</w:t>
      </w:r>
      <w:r w:rsidRPr="000843DD">
        <w:rPr>
          <w:spacing w:val="-3"/>
        </w:rPr>
        <w:t xml:space="preserve"> </w:t>
      </w:r>
      <w:r w:rsidRPr="000843DD">
        <w:t xml:space="preserve">frei bzw. innerhalb einer vereinbarten Bandbreite schwanken kann. Um Risikomanagement zu betreiben, ergreifen Unternehmen hauptsächlich folgende </w:t>
      </w:r>
      <w:r w:rsidRPr="000843DD">
        <w:rPr>
          <w:spacing w:val="-2"/>
        </w:rPr>
        <w:t>Gegenmaßnahmen:</w:t>
      </w:r>
    </w:p>
    <w:p w14:paraId="765E4895" w14:textId="77777777" w:rsidR="00FF7799" w:rsidRPr="000843DD" w:rsidRDefault="00FF7799" w:rsidP="002E3E4F">
      <w:pPr>
        <w:pStyle w:val="StandardTextAufzhlung"/>
        <w:ind w:left="567"/>
      </w:pPr>
      <w:r w:rsidRPr="000843DD">
        <w:t>Wahl</w:t>
      </w:r>
      <w:r w:rsidRPr="000843DD">
        <w:rPr>
          <w:spacing w:val="-5"/>
        </w:rPr>
        <w:t xml:space="preserve"> </w:t>
      </w:r>
      <w:r w:rsidRPr="000843DD">
        <w:t>einer</w:t>
      </w:r>
      <w:r w:rsidRPr="000843DD">
        <w:rPr>
          <w:spacing w:val="-5"/>
        </w:rPr>
        <w:t xml:space="preserve"> </w:t>
      </w:r>
      <w:r w:rsidRPr="000843DD">
        <w:t>Währung,</w:t>
      </w:r>
      <w:r w:rsidRPr="000843DD">
        <w:rPr>
          <w:spacing w:val="-7"/>
        </w:rPr>
        <w:t xml:space="preserve"> </w:t>
      </w:r>
      <w:r w:rsidRPr="000843DD">
        <w:t>die</w:t>
      </w:r>
      <w:r w:rsidRPr="000843DD">
        <w:rPr>
          <w:spacing w:val="-5"/>
        </w:rPr>
        <w:t xml:space="preserve"> </w:t>
      </w:r>
      <w:r w:rsidRPr="000843DD">
        <w:t>wenig</w:t>
      </w:r>
      <w:r w:rsidRPr="000843DD">
        <w:rPr>
          <w:spacing w:val="-4"/>
        </w:rPr>
        <w:t xml:space="preserve"> </w:t>
      </w:r>
      <w:r w:rsidRPr="000843DD">
        <w:t>anfällig</w:t>
      </w:r>
      <w:r w:rsidRPr="000843DD">
        <w:rPr>
          <w:spacing w:val="-4"/>
        </w:rPr>
        <w:t xml:space="preserve"> </w:t>
      </w:r>
      <w:r w:rsidRPr="000843DD">
        <w:t>für</w:t>
      </w:r>
      <w:r w:rsidRPr="000843DD">
        <w:rPr>
          <w:spacing w:val="-5"/>
        </w:rPr>
        <w:t xml:space="preserve"> </w:t>
      </w:r>
      <w:r w:rsidRPr="000843DD">
        <w:t xml:space="preserve">Wechselkursschwankungen </w:t>
      </w:r>
      <w:r w:rsidRPr="000843DD">
        <w:rPr>
          <w:spacing w:val="-4"/>
        </w:rPr>
        <w:t>ist,</w:t>
      </w:r>
    </w:p>
    <w:p w14:paraId="1A1384A7" w14:textId="77777777" w:rsidR="00FF7799" w:rsidRPr="000843DD" w:rsidRDefault="00FF7799" w:rsidP="002E3E4F">
      <w:pPr>
        <w:pStyle w:val="StandardTextAufzhlung"/>
        <w:ind w:left="567"/>
      </w:pPr>
      <w:r w:rsidRPr="000843DD">
        <w:t>vertragliche</w:t>
      </w:r>
      <w:r w:rsidRPr="000843DD">
        <w:rPr>
          <w:spacing w:val="-12"/>
        </w:rPr>
        <w:t xml:space="preserve"> </w:t>
      </w:r>
      <w:r w:rsidRPr="000843DD">
        <w:t>Vorsorge</w:t>
      </w:r>
      <w:r w:rsidRPr="000843DD">
        <w:rPr>
          <w:spacing w:val="-10"/>
        </w:rPr>
        <w:t xml:space="preserve"> </w:t>
      </w:r>
      <w:r w:rsidRPr="000843DD">
        <w:t>(z.B.</w:t>
      </w:r>
      <w:r w:rsidRPr="000843DD">
        <w:rPr>
          <w:spacing w:val="-12"/>
        </w:rPr>
        <w:t xml:space="preserve"> </w:t>
      </w:r>
      <w:r w:rsidRPr="000843DD">
        <w:t xml:space="preserve">Kurssicherungsklausel, </w:t>
      </w:r>
      <w:r w:rsidRPr="000843DD">
        <w:rPr>
          <w:spacing w:val="-2"/>
        </w:rPr>
        <w:t>Währungsoptionsrecht),</w:t>
      </w:r>
    </w:p>
    <w:p w14:paraId="79D4AC58" w14:textId="77777777" w:rsidR="00FF7799" w:rsidRPr="000843DD" w:rsidRDefault="00FF7799" w:rsidP="002E3E4F">
      <w:pPr>
        <w:pStyle w:val="StandardTextAufzhlung"/>
        <w:ind w:left="567"/>
      </w:pPr>
      <w:r w:rsidRPr="000843DD">
        <w:t>Versicherung</w:t>
      </w:r>
      <w:r w:rsidRPr="000843DD">
        <w:rPr>
          <w:spacing w:val="-1"/>
        </w:rPr>
        <w:t xml:space="preserve"> </w:t>
      </w:r>
      <w:r w:rsidRPr="000843DD">
        <w:t>(HERMES-</w:t>
      </w:r>
      <w:r w:rsidRPr="000843DD">
        <w:rPr>
          <w:spacing w:val="-2"/>
        </w:rPr>
        <w:t>Deckung),</w:t>
      </w:r>
    </w:p>
    <w:p w14:paraId="6EE49637" w14:textId="77777777" w:rsidR="00FF7799" w:rsidRPr="000843DD" w:rsidRDefault="00FF7799" w:rsidP="002E3E4F">
      <w:pPr>
        <w:pStyle w:val="StandardTextAufzhlung"/>
        <w:ind w:left="567"/>
      </w:pPr>
      <w:r w:rsidRPr="000843DD">
        <w:t>Handel</w:t>
      </w:r>
      <w:r w:rsidRPr="000843DD">
        <w:rPr>
          <w:spacing w:val="-2"/>
        </w:rPr>
        <w:t xml:space="preserve"> </w:t>
      </w:r>
      <w:r w:rsidRPr="000843DD">
        <w:t>mit</w:t>
      </w:r>
      <w:r w:rsidRPr="000843DD">
        <w:rPr>
          <w:spacing w:val="-2"/>
        </w:rPr>
        <w:t xml:space="preserve"> </w:t>
      </w:r>
      <w:r w:rsidRPr="000843DD">
        <w:t>Forderungen</w:t>
      </w:r>
      <w:r w:rsidRPr="000843DD">
        <w:rPr>
          <w:spacing w:val="-1"/>
        </w:rPr>
        <w:t xml:space="preserve"> </w:t>
      </w:r>
      <w:r w:rsidRPr="000843DD">
        <w:t xml:space="preserve">(Factoring, </w:t>
      </w:r>
      <w:r w:rsidRPr="000843DD">
        <w:rPr>
          <w:spacing w:val="-2"/>
        </w:rPr>
        <w:t>Forfaitierung),</w:t>
      </w:r>
    </w:p>
    <w:p w14:paraId="5263ABB3" w14:textId="77777777" w:rsidR="00FF7799" w:rsidRPr="000843DD" w:rsidRDefault="00FF7799" w:rsidP="002E3E4F">
      <w:pPr>
        <w:pStyle w:val="StandardTextAufzhlung"/>
        <w:ind w:left="567"/>
      </w:pPr>
      <w:r w:rsidRPr="000843DD">
        <w:rPr>
          <w:spacing w:val="-2"/>
        </w:rPr>
        <w:t>Termingeschäfte.</w:t>
      </w:r>
    </w:p>
    <w:p w14:paraId="07C9D9F5" w14:textId="77777777" w:rsidR="002E3E4F" w:rsidRDefault="002E3E4F" w:rsidP="007D50DA">
      <w:pPr>
        <w:pStyle w:val="StandardText"/>
      </w:pPr>
    </w:p>
    <w:p w14:paraId="54BEC546" w14:textId="3EB6D9AF" w:rsidR="00FF7799" w:rsidRPr="000843DD" w:rsidRDefault="00FF7799" w:rsidP="007D50DA">
      <w:pPr>
        <w:pStyle w:val="StandardText"/>
      </w:pPr>
      <w:r w:rsidRPr="000843DD">
        <w:t>Der Wechselkurs einer Währung gibt ihren Außenwert an, d.h. den in ausländischen Währungseinheiten ausgedrückten Gegenwert einer bestimmten Menge einheimischer Währungseinheiten. Umgangssprachlich formuliert ist dies der</w:t>
      </w:r>
      <w:r w:rsidRPr="000843DD">
        <w:rPr>
          <w:spacing w:val="-12"/>
        </w:rPr>
        <w:t xml:space="preserve"> </w:t>
      </w:r>
      <w:r w:rsidRPr="000843DD">
        <w:t>Preis,</w:t>
      </w:r>
      <w:r w:rsidRPr="000843DD">
        <w:rPr>
          <w:spacing w:val="-11"/>
        </w:rPr>
        <w:t xml:space="preserve"> </w:t>
      </w:r>
      <w:r w:rsidRPr="000843DD">
        <w:t>den</w:t>
      </w:r>
      <w:r w:rsidRPr="000843DD">
        <w:rPr>
          <w:spacing w:val="-11"/>
        </w:rPr>
        <w:t xml:space="preserve"> </w:t>
      </w:r>
      <w:r w:rsidRPr="000843DD">
        <w:t>man</w:t>
      </w:r>
      <w:r w:rsidRPr="000843DD">
        <w:rPr>
          <w:spacing w:val="-11"/>
        </w:rPr>
        <w:t xml:space="preserve"> </w:t>
      </w:r>
      <w:r w:rsidRPr="000843DD">
        <w:t>entrichten</w:t>
      </w:r>
      <w:r w:rsidRPr="000843DD">
        <w:rPr>
          <w:spacing w:val="-12"/>
        </w:rPr>
        <w:t xml:space="preserve"> </w:t>
      </w:r>
      <w:r w:rsidRPr="000843DD">
        <w:t>muss,</w:t>
      </w:r>
      <w:r w:rsidRPr="000843DD">
        <w:rPr>
          <w:spacing w:val="-11"/>
        </w:rPr>
        <w:t xml:space="preserve"> </w:t>
      </w:r>
      <w:r w:rsidRPr="000843DD">
        <w:t>wenn</w:t>
      </w:r>
      <w:r w:rsidRPr="000843DD">
        <w:rPr>
          <w:spacing w:val="-11"/>
        </w:rPr>
        <w:t xml:space="preserve"> </w:t>
      </w:r>
      <w:r w:rsidRPr="000843DD">
        <w:t>man</w:t>
      </w:r>
      <w:r w:rsidRPr="000843DD">
        <w:rPr>
          <w:spacing w:val="-11"/>
        </w:rPr>
        <w:t xml:space="preserve"> </w:t>
      </w:r>
      <w:r w:rsidRPr="000843DD">
        <w:t>eine</w:t>
      </w:r>
      <w:r w:rsidRPr="000843DD">
        <w:rPr>
          <w:spacing w:val="-12"/>
        </w:rPr>
        <w:t xml:space="preserve"> </w:t>
      </w:r>
      <w:r w:rsidRPr="000843DD">
        <w:t>Fremdwährung</w:t>
      </w:r>
      <w:r w:rsidRPr="000843DD">
        <w:rPr>
          <w:spacing w:val="-11"/>
        </w:rPr>
        <w:t xml:space="preserve"> </w:t>
      </w:r>
      <w:r w:rsidRPr="000843DD">
        <w:t>kaufen</w:t>
      </w:r>
      <w:r w:rsidRPr="000843DD">
        <w:rPr>
          <w:spacing w:val="-11"/>
        </w:rPr>
        <w:t xml:space="preserve"> </w:t>
      </w:r>
      <w:r w:rsidRPr="000843DD">
        <w:t>möchte. Werden die in der jeweiligen Währung ausgedrückten Preise mithilfe des Wechselkurses</w:t>
      </w:r>
      <w:r w:rsidRPr="000843DD">
        <w:rPr>
          <w:spacing w:val="-11"/>
        </w:rPr>
        <w:t xml:space="preserve"> </w:t>
      </w:r>
      <w:r w:rsidRPr="000843DD">
        <w:t>umgerechnet,</w:t>
      </w:r>
      <w:r w:rsidRPr="000843DD">
        <w:rPr>
          <w:spacing w:val="-9"/>
        </w:rPr>
        <w:t xml:space="preserve"> </w:t>
      </w:r>
      <w:r w:rsidRPr="000843DD">
        <w:t>so</w:t>
      </w:r>
      <w:r w:rsidRPr="000843DD">
        <w:rPr>
          <w:spacing w:val="-12"/>
        </w:rPr>
        <w:t xml:space="preserve"> </w:t>
      </w:r>
      <w:r w:rsidRPr="000843DD">
        <w:t>lassen</w:t>
      </w:r>
      <w:r w:rsidRPr="000843DD">
        <w:rPr>
          <w:spacing w:val="-8"/>
        </w:rPr>
        <w:t xml:space="preserve"> </w:t>
      </w:r>
      <w:r w:rsidRPr="000843DD">
        <w:t>sich</w:t>
      </w:r>
      <w:r w:rsidRPr="000843DD">
        <w:rPr>
          <w:spacing w:val="-9"/>
        </w:rPr>
        <w:t xml:space="preserve"> </w:t>
      </w:r>
      <w:r w:rsidRPr="000843DD">
        <w:t>die</w:t>
      </w:r>
      <w:r w:rsidRPr="000843DD">
        <w:rPr>
          <w:spacing w:val="-11"/>
        </w:rPr>
        <w:t xml:space="preserve"> </w:t>
      </w:r>
      <w:r w:rsidRPr="000843DD">
        <w:t>international</w:t>
      </w:r>
      <w:r w:rsidRPr="000843DD">
        <w:rPr>
          <w:spacing w:val="-12"/>
        </w:rPr>
        <w:t xml:space="preserve"> </w:t>
      </w:r>
      <w:r w:rsidRPr="000843DD">
        <w:t>geforderten</w:t>
      </w:r>
      <w:r w:rsidRPr="000843DD">
        <w:rPr>
          <w:spacing w:val="-8"/>
        </w:rPr>
        <w:t xml:space="preserve"> </w:t>
      </w:r>
      <w:r w:rsidRPr="000843DD">
        <w:t>Preise</w:t>
      </w:r>
      <w:r w:rsidRPr="000843DD">
        <w:rPr>
          <w:spacing w:val="-11"/>
        </w:rPr>
        <w:t xml:space="preserve"> </w:t>
      </w:r>
      <w:r w:rsidRPr="000843DD">
        <w:t>für ein bestimmtes Produkt direkt miteinander vergleichen. Grundsätzlich gilt: der zwischen zwei Ländern bestehende Wechselkurs sollte die Kaufkraft beider Währungen</w:t>
      </w:r>
      <w:r w:rsidRPr="000843DD">
        <w:rPr>
          <w:spacing w:val="-3"/>
        </w:rPr>
        <w:t xml:space="preserve"> </w:t>
      </w:r>
      <w:r w:rsidRPr="000843DD">
        <w:t>widerspiegeln.</w:t>
      </w:r>
      <w:r w:rsidRPr="000843DD">
        <w:rPr>
          <w:spacing w:val="-4"/>
        </w:rPr>
        <w:t xml:space="preserve"> </w:t>
      </w:r>
      <w:r w:rsidRPr="000843DD">
        <w:t>Demnach</w:t>
      </w:r>
      <w:r w:rsidRPr="000843DD">
        <w:rPr>
          <w:spacing w:val="-3"/>
        </w:rPr>
        <w:t xml:space="preserve"> </w:t>
      </w:r>
      <w:r w:rsidRPr="000843DD">
        <w:t>müsste</w:t>
      </w:r>
      <w:r w:rsidRPr="000843DD">
        <w:rPr>
          <w:spacing w:val="-4"/>
        </w:rPr>
        <w:t xml:space="preserve"> </w:t>
      </w:r>
      <w:r w:rsidRPr="000843DD">
        <w:t>ein</w:t>
      </w:r>
      <w:r w:rsidRPr="000843DD">
        <w:rPr>
          <w:spacing w:val="-3"/>
        </w:rPr>
        <w:t xml:space="preserve"> </w:t>
      </w:r>
      <w:r w:rsidRPr="000843DD">
        <w:t>deutscher</w:t>
      </w:r>
      <w:r w:rsidRPr="000843DD">
        <w:rPr>
          <w:spacing w:val="-4"/>
        </w:rPr>
        <w:t xml:space="preserve"> </w:t>
      </w:r>
      <w:r w:rsidRPr="000843DD">
        <w:t>Tourist,</w:t>
      </w:r>
      <w:r w:rsidRPr="000843DD">
        <w:rPr>
          <w:spacing w:val="-8"/>
        </w:rPr>
        <w:t xml:space="preserve"> </w:t>
      </w:r>
      <w:r w:rsidRPr="000843DD">
        <w:t>der</w:t>
      </w:r>
      <w:r w:rsidRPr="000843DD">
        <w:rPr>
          <w:spacing w:val="-4"/>
        </w:rPr>
        <w:t xml:space="preserve"> </w:t>
      </w:r>
      <w:r w:rsidRPr="000843DD">
        <w:t>US-Dollar zu einem Kurs von 0,84 € gekauft hat, in den USA für 75 $ die gleiche Jeans erwerben</w:t>
      </w:r>
      <w:r w:rsidRPr="000843DD">
        <w:rPr>
          <w:spacing w:val="-4"/>
        </w:rPr>
        <w:t xml:space="preserve"> </w:t>
      </w:r>
      <w:r w:rsidRPr="000843DD">
        <w:t>können,</w:t>
      </w:r>
      <w:r w:rsidRPr="000843DD">
        <w:rPr>
          <w:spacing w:val="-3"/>
        </w:rPr>
        <w:t xml:space="preserve"> </w:t>
      </w:r>
      <w:r w:rsidRPr="000843DD">
        <w:t>welche</w:t>
      </w:r>
      <w:r w:rsidRPr="000843DD">
        <w:rPr>
          <w:spacing w:val="-4"/>
        </w:rPr>
        <w:t xml:space="preserve"> </w:t>
      </w:r>
      <w:r w:rsidRPr="000843DD">
        <w:t>hierzulande</w:t>
      </w:r>
      <w:r w:rsidRPr="000843DD">
        <w:rPr>
          <w:spacing w:val="-4"/>
        </w:rPr>
        <w:t xml:space="preserve"> </w:t>
      </w:r>
      <w:r w:rsidRPr="000843DD">
        <w:t>63</w:t>
      </w:r>
      <w:r w:rsidRPr="000843DD">
        <w:rPr>
          <w:spacing w:val="-5"/>
        </w:rPr>
        <w:t xml:space="preserve"> </w:t>
      </w:r>
      <w:r w:rsidRPr="000843DD">
        <w:t>€</w:t>
      </w:r>
      <w:r w:rsidRPr="000843DD">
        <w:rPr>
          <w:spacing w:val="-1"/>
        </w:rPr>
        <w:t xml:space="preserve"> </w:t>
      </w:r>
      <w:r w:rsidRPr="000843DD">
        <w:t>kostet.</w:t>
      </w:r>
      <w:r w:rsidRPr="000843DD">
        <w:rPr>
          <w:spacing w:val="-3"/>
        </w:rPr>
        <w:t xml:space="preserve"> </w:t>
      </w:r>
      <w:r w:rsidRPr="000843DD">
        <w:t>In</w:t>
      </w:r>
      <w:r w:rsidRPr="000843DD">
        <w:rPr>
          <w:spacing w:val="-2"/>
        </w:rPr>
        <w:t xml:space="preserve"> </w:t>
      </w:r>
      <w:r w:rsidRPr="000843DD">
        <w:t>der</w:t>
      </w:r>
      <w:r w:rsidRPr="000843DD">
        <w:rPr>
          <w:spacing w:val="-3"/>
        </w:rPr>
        <w:t xml:space="preserve"> </w:t>
      </w:r>
      <w:r w:rsidRPr="000843DD">
        <w:t>Realität</w:t>
      </w:r>
      <w:r w:rsidRPr="000843DD">
        <w:rPr>
          <w:spacing w:val="-3"/>
        </w:rPr>
        <w:t xml:space="preserve"> </w:t>
      </w:r>
      <w:r w:rsidRPr="000843DD">
        <w:t>aber</w:t>
      </w:r>
      <w:r w:rsidRPr="000843DD">
        <w:rPr>
          <w:spacing w:val="-2"/>
        </w:rPr>
        <w:t xml:space="preserve"> reflektieren </w:t>
      </w:r>
      <w:r w:rsidRPr="000843DD">
        <w:t>Wechselkurse nur selten die tatsächliche Kaufkraft, da neben unterschiedli</w:t>
      </w:r>
      <w:r w:rsidRPr="000843DD">
        <w:lastRenderedPageBreak/>
        <w:t>chen Preisen weitere Faktoren (z.B. Inflation, Währungsspekulation) dieses Austauschverhältnis</w:t>
      </w:r>
      <w:r w:rsidRPr="000843DD">
        <w:rPr>
          <w:spacing w:val="-12"/>
        </w:rPr>
        <w:t xml:space="preserve"> </w:t>
      </w:r>
      <w:r w:rsidRPr="000843DD">
        <w:t>beeinflussen.</w:t>
      </w:r>
      <w:r w:rsidRPr="000843DD">
        <w:rPr>
          <w:spacing w:val="-11"/>
        </w:rPr>
        <w:t xml:space="preserve"> </w:t>
      </w:r>
      <w:r w:rsidRPr="000843DD">
        <w:t>Um</w:t>
      </w:r>
      <w:r w:rsidRPr="000843DD">
        <w:rPr>
          <w:spacing w:val="-11"/>
        </w:rPr>
        <w:t xml:space="preserve"> </w:t>
      </w:r>
      <w:r w:rsidRPr="000843DD">
        <w:t>die</w:t>
      </w:r>
      <w:r w:rsidRPr="000843DD">
        <w:rPr>
          <w:spacing w:val="-11"/>
        </w:rPr>
        <w:t xml:space="preserve"> </w:t>
      </w:r>
      <w:r w:rsidRPr="000843DD">
        <w:t>Differenz</w:t>
      </w:r>
      <w:r w:rsidRPr="000843DD">
        <w:rPr>
          <w:spacing w:val="-12"/>
        </w:rPr>
        <w:t xml:space="preserve"> </w:t>
      </w:r>
      <w:r w:rsidRPr="000843DD">
        <w:t>zwischen</w:t>
      </w:r>
      <w:r w:rsidRPr="000843DD">
        <w:rPr>
          <w:spacing w:val="-11"/>
        </w:rPr>
        <w:t xml:space="preserve"> </w:t>
      </w:r>
      <w:r w:rsidRPr="000843DD">
        <w:t>der</w:t>
      </w:r>
      <w:r w:rsidRPr="000843DD">
        <w:rPr>
          <w:spacing w:val="-11"/>
        </w:rPr>
        <w:t xml:space="preserve"> </w:t>
      </w:r>
      <w:r w:rsidRPr="000843DD">
        <w:t>realen</w:t>
      </w:r>
      <w:r w:rsidRPr="000843DD">
        <w:rPr>
          <w:spacing w:val="-11"/>
        </w:rPr>
        <w:t xml:space="preserve"> </w:t>
      </w:r>
      <w:r w:rsidRPr="000843DD">
        <w:t>Kaufkraft und dem durch den Wechselkurs</w:t>
      </w:r>
      <w:r w:rsidRPr="000843DD">
        <w:rPr>
          <w:spacing w:val="-1"/>
        </w:rPr>
        <w:t xml:space="preserve"> </w:t>
      </w:r>
      <w:r w:rsidRPr="000843DD">
        <w:t xml:space="preserve">„erzeugten Kaufpotenzial“ zu objektivieren und zu dokumentieren (z.B. gegenüber Touristen), gibt man die sog. Kaufkraftparität </w:t>
      </w:r>
      <w:r w:rsidRPr="000843DD">
        <w:rPr>
          <w:spacing w:val="-4"/>
        </w:rPr>
        <w:t>an.</w:t>
      </w:r>
    </w:p>
    <w:p w14:paraId="35A2E0B4" w14:textId="77777777" w:rsidR="00FF7799" w:rsidRPr="00E73F6F" w:rsidRDefault="00FF7799" w:rsidP="007D50DA">
      <w:pPr>
        <w:pStyle w:val="StandardText"/>
      </w:pPr>
      <w:r w:rsidRPr="00E73F6F">
        <w:t>Der</w:t>
      </w:r>
      <w:r w:rsidRPr="00E73F6F">
        <w:rPr>
          <w:spacing w:val="-12"/>
        </w:rPr>
        <w:t xml:space="preserve"> </w:t>
      </w:r>
      <w:r w:rsidRPr="00E73F6F">
        <w:t>reale</w:t>
      </w:r>
      <w:r w:rsidRPr="00E73F6F">
        <w:rPr>
          <w:spacing w:val="-11"/>
        </w:rPr>
        <w:t xml:space="preserve"> </w:t>
      </w:r>
      <w:r w:rsidRPr="00E73F6F">
        <w:t>Wechselkurs</w:t>
      </w:r>
      <w:r w:rsidRPr="00E73F6F">
        <w:rPr>
          <w:spacing w:val="-11"/>
        </w:rPr>
        <w:t xml:space="preserve"> </w:t>
      </w:r>
      <w:r w:rsidRPr="00E73F6F">
        <w:t>einer</w:t>
      </w:r>
      <w:r w:rsidRPr="00E73F6F">
        <w:rPr>
          <w:spacing w:val="-11"/>
        </w:rPr>
        <w:t xml:space="preserve"> </w:t>
      </w:r>
      <w:r w:rsidRPr="00E73F6F">
        <w:t>Währung</w:t>
      </w:r>
      <w:r w:rsidRPr="00E73F6F">
        <w:rPr>
          <w:spacing w:val="-12"/>
        </w:rPr>
        <w:t xml:space="preserve"> </w:t>
      </w:r>
      <w:r w:rsidRPr="00E73F6F">
        <w:t>spiegelt</w:t>
      </w:r>
      <w:r w:rsidRPr="00E73F6F">
        <w:rPr>
          <w:spacing w:val="-11"/>
        </w:rPr>
        <w:t xml:space="preserve"> </w:t>
      </w:r>
      <w:r w:rsidRPr="00E73F6F">
        <w:t>neben</w:t>
      </w:r>
      <w:r w:rsidRPr="00E73F6F">
        <w:rPr>
          <w:spacing w:val="-11"/>
        </w:rPr>
        <w:t xml:space="preserve"> </w:t>
      </w:r>
      <w:r w:rsidRPr="00E73F6F">
        <w:t>den</w:t>
      </w:r>
      <w:r w:rsidRPr="00E73F6F">
        <w:rPr>
          <w:spacing w:val="-11"/>
        </w:rPr>
        <w:t xml:space="preserve"> </w:t>
      </w:r>
      <w:r w:rsidRPr="00E73F6F">
        <w:t>Wechselkursänderungen die Veränderungen der Preise in den fraglichen Ländern wider. Hierzu stellt man für diese Länder einen (vergleichbaren) Warenkorb zusammen und ermittelt dessen Preis in jeder Währung. Kostet bspw. ein Warenkorb nach den in Deutschland erhobenen Preisen 500 € und in den USA 500 $ (in landesüblichen Preisen), dann müsste der Wechselkurs 1:1 betragen, wenn eine Person in beiden Ländern dieselbe Kaufkraft besitzen soll. Allerdings geht dieses Konzept von einem</w:t>
      </w:r>
      <w:r w:rsidRPr="00E73F6F">
        <w:rPr>
          <w:spacing w:val="-4"/>
        </w:rPr>
        <w:t xml:space="preserve"> </w:t>
      </w:r>
      <w:r w:rsidRPr="00E73F6F">
        <w:t>für</w:t>
      </w:r>
      <w:r w:rsidRPr="00E73F6F">
        <w:rPr>
          <w:spacing w:val="-3"/>
        </w:rPr>
        <w:t xml:space="preserve"> </w:t>
      </w:r>
      <w:r w:rsidRPr="00E73F6F">
        <w:t>alle</w:t>
      </w:r>
      <w:r w:rsidRPr="00E73F6F">
        <w:rPr>
          <w:spacing w:val="-4"/>
        </w:rPr>
        <w:t xml:space="preserve"> </w:t>
      </w:r>
      <w:r w:rsidRPr="00E73F6F">
        <w:t>Länder</w:t>
      </w:r>
      <w:r w:rsidRPr="00E73F6F">
        <w:rPr>
          <w:spacing w:val="-3"/>
        </w:rPr>
        <w:t xml:space="preserve"> </w:t>
      </w:r>
      <w:r w:rsidRPr="00E73F6F">
        <w:t>vergleichbaren</w:t>
      </w:r>
      <w:r w:rsidRPr="00E73F6F">
        <w:rPr>
          <w:spacing w:val="-2"/>
        </w:rPr>
        <w:t xml:space="preserve"> </w:t>
      </w:r>
      <w:r w:rsidRPr="00E73F6F">
        <w:t>Warenkorb</w:t>
      </w:r>
      <w:r w:rsidRPr="00E73F6F">
        <w:rPr>
          <w:spacing w:val="-2"/>
        </w:rPr>
        <w:t xml:space="preserve"> </w:t>
      </w:r>
      <w:r w:rsidRPr="00E73F6F">
        <w:t>aus:</w:t>
      </w:r>
      <w:r w:rsidRPr="00E73F6F">
        <w:rPr>
          <w:spacing w:val="-3"/>
        </w:rPr>
        <w:t xml:space="preserve"> </w:t>
      </w:r>
      <w:r w:rsidRPr="00E73F6F">
        <w:t>Tatsächlich</w:t>
      </w:r>
      <w:r w:rsidRPr="00E73F6F">
        <w:rPr>
          <w:spacing w:val="-2"/>
        </w:rPr>
        <w:t xml:space="preserve"> </w:t>
      </w:r>
      <w:r w:rsidRPr="00E73F6F">
        <w:t>aber</w:t>
      </w:r>
      <w:r w:rsidRPr="00E73F6F">
        <w:rPr>
          <w:spacing w:val="-3"/>
        </w:rPr>
        <w:t xml:space="preserve"> </w:t>
      </w:r>
      <w:r w:rsidRPr="00E73F6F">
        <w:t>mögen</w:t>
      </w:r>
      <w:r w:rsidRPr="00E73F6F">
        <w:rPr>
          <w:spacing w:val="-2"/>
        </w:rPr>
        <w:t xml:space="preserve"> </w:t>
      </w:r>
      <w:r w:rsidRPr="00E73F6F">
        <w:t>die Briten</w:t>
      </w:r>
      <w:r w:rsidRPr="00E73F6F">
        <w:rPr>
          <w:spacing w:val="-2"/>
        </w:rPr>
        <w:t xml:space="preserve"> </w:t>
      </w:r>
      <w:r w:rsidRPr="00E73F6F">
        <w:t>'fish</w:t>
      </w:r>
      <w:r w:rsidRPr="00E73F6F">
        <w:rPr>
          <w:spacing w:val="-2"/>
        </w:rPr>
        <w:t xml:space="preserve"> </w:t>
      </w:r>
      <w:r w:rsidRPr="00E73F6F">
        <w:t>and</w:t>
      </w:r>
      <w:r w:rsidRPr="00E73F6F">
        <w:rPr>
          <w:spacing w:val="-2"/>
        </w:rPr>
        <w:t xml:space="preserve"> </w:t>
      </w:r>
      <w:r w:rsidRPr="00E73F6F">
        <w:t>chips',</w:t>
      </w:r>
      <w:r w:rsidRPr="00E73F6F">
        <w:rPr>
          <w:spacing w:val="-2"/>
        </w:rPr>
        <w:t xml:space="preserve"> </w:t>
      </w:r>
      <w:r w:rsidRPr="00E73F6F">
        <w:t>die</w:t>
      </w:r>
      <w:r w:rsidRPr="00E73F6F">
        <w:rPr>
          <w:spacing w:val="-5"/>
        </w:rPr>
        <w:t xml:space="preserve"> </w:t>
      </w:r>
      <w:r w:rsidRPr="00E73F6F">
        <w:t>Spanier</w:t>
      </w:r>
      <w:r w:rsidRPr="00E73F6F">
        <w:rPr>
          <w:spacing w:val="-2"/>
        </w:rPr>
        <w:t xml:space="preserve"> </w:t>
      </w:r>
      <w:r w:rsidRPr="00E73F6F">
        <w:t>'tapas'</w:t>
      </w:r>
      <w:r w:rsidRPr="00E73F6F">
        <w:rPr>
          <w:spacing w:val="-4"/>
        </w:rPr>
        <w:t xml:space="preserve"> </w:t>
      </w:r>
      <w:r w:rsidRPr="00E73F6F">
        <w:t>und</w:t>
      </w:r>
      <w:r w:rsidRPr="00E73F6F">
        <w:rPr>
          <w:spacing w:val="-3"/>
        </w:rPr>
        <w:t xml:space="preserve"> </w:t>
      </w:r>
      <w:r w:rsidRPr="00E73F6F">
        <w:t>die</w:t>
      </w:r>
      <w:r w:rsidRPr="00E73F6F">
        <w:rPr>
          <w:spacing w:val="-2"/>
        </w:rPr>
        <w:t xml:space="preserve"> </w:t>
      </w:r>
      <w:r w:rsidRPr="00E73F6F">
        <w:t>Deutschen</w:t>
      </w:r>
      <w:r w:rsidRPr="00E73F6F">
        <w:rPr>
          <w:spacing w:val="-3"/>
        </w:rPr>
        <w:t xml:space="preserve"> </w:t>
      </w:r>
      <w:r w:rsidRPr="00E73F6F">
        <w:t>Curry-Wurst,</w:t>
      </w:r>
      <w:r w:rsidRPr="00E73F6F">
        <w:rPr>
          <w:spacing w:val="-4"/>
        </w:rPr>
        <w:t xml:space="preserve"> </w:t>
      </w:r>
      <w:r w:rsidRPr="00E73F6F">
        <w:t>um</w:t>
      </w:r>
      <w:r w:rsidRPr="00E73F6F">
        <w:rPr>
          <w:spacing w:val="-3"/>
        </w:rPr>
        <w:t xml:space="preserve"> </w:t>
      </w:r>
      <w:r w:rsidRPr="00E73F6F">
        <w:t xml:space="preserve">nur ein Beispiel für die zahllosen landes- bzw. kulturspezifischen Präferenzen zu </w:t>
      </w:r>
      <w:r w:rsidRPr="00E73F6F">
        <w:rPr>
          <w:spacing w:val="-2"/>
        </w:rPr>
        <w:t>geben.</w:t>
      </w:r>
    </w:p>
    <w:p w14:paraId="44931DCD" w14:textId="77777777" w:rsidR="00FF7799" w:rsidRPr="00E73F6F" w:rsidRDefault="00FF7799" w:rsidP="007D50DA">
      <w:pPr>
        <w:pStyle w:val="StandardText"/>
      </w:pPr>
      <w:r w:rsidRPr="00E73F6F">
        <w:t xml:space="preserve">Um das Problem der Vergleichbarkeit pragmatisch zu lösen, entwickelte </w:t>
      </w:r>
      <w:r w:rsidRPr="00E73F6F">
        <w:rPr>
          <w:i/>
        </w:rPr>
        <w:t>The Economist</w:t>
      </w:r>
      <w:r w:rsidRPr="00E73F6F">
        <w:rPr>
          <w:i/>
          <w:spacing w:val="-6"/>
        </w:rPr>
        <w:t xml:space="preserve"> </w:t>
      </w:r>
      <w:r w:rsidRPr="00E73F6F">
        <w:t>1986</w:t>
      </w:r>
      <w:r w:rsidRPr="00E73F6F">
        <w:rPr>
          <w:spacing w:val="-3"/>
        </w:rPr>
        <w:t xml:space="preserve"> </w:t>
      </w:r>
      <w:r w:rsidRPr="00E73F6F">
        <w:t>einen</w:t>
      </w:r>
      <w:r w:rsidRPr="00E73F6F">
        <w:rPr>
          <w:spacing w:val="-3"/>
        </w:rPr>
        <w:t xml:space="preserve"> </w:t>
      </w:r>
      <w:r w:rsidRPr="00E73F6F">
        <w:t>Wechselkurs,</w:t>
      </w:r>
      <w:r w:rsidRPr="00E73F6F">
        <w:rPr>
          <w:spacing w:val="-4"/>
        </w:rPr>
        <w:t xml:space="preserve"> </w:t>
      </w:r>
      <w:r w:rsidRPr="00E73F6F">
        <w:t>welchem</w:t>
      </w:r>
      <w:r w:rsidRPr="00E73F6F">
        <w:rPr>
          <w:spacing w:val="-5"/>
        </w:rPr>
        <w:t xml:space="preserve"> </w:t>
      </w:r>
      <w:r w:rsidRPr="00E73F6F">
        <w:t>die</w:t>
      </w:r>
      <w:r w:rsidRPr="00E73F6F">
        <w:rPr>
          <w:spacing w:val="-5"/>
        </w:rPr>
        <w:t xml:space="preserve"> </w:t>
      </w:r>
      <w:r w:rsidRPr="00E73F6F">
        <w:t>landesüblichen</w:t>
      </w:r>
      <w:r w:rsidRPr="00E73F6F">
        <w:rPr>
          <w:spacing w:val="-6"/>
        </w:rPr>
        <w:t xml:space="preserve"> </w:t>
      </w:r>
      <w:r w:rsidRPr="00E73F6F">
        <w:t>Preise</w:t>
      </w:r>
      <w:r w:rsidRPr="00E73F6F">
        <w:rPr>
          <w:spacing w:val="-5"/>
        </w:rPr>
        <w:t xml:space="preserve"> </w:t>
      </w:r>
      <w:r w:rsidRPr="00E73F6F">
        <w:t>eines</w:t>
      </w:r>
      <w:r w:rsidRPr="00E73F6F">
        <w:rPr>
          <w:spacing w:val="-5"/>
        </w:rPr>
        <w:t xml:space="preserve"> </w:t>
      </w:r>
      <w:r w:rsidRPr="00E73F6F">
        <w:t>'big mac' zugrunde liegen; denn dieser ist in über 100 Ländern in mehr oder weniger vergleichbarer</w:t>
      </w:r>
      <w:r w:rsidRPr="00E73F6F">
        <w:rPr>
          <w:spacing w:val="-3"/>
        </w:rPr>
        <w:t xml:space="preserve"> </w:t>
      </w:r>
      <w:r w:rsidRPr="00E73F6F">
        <w:t>Qualität</w:t>
      </w:r>
      <w:r w:rsidRPr="00E73F6F">
        <w:rPr>
          <w:spacing w:val="-3"/>
        </w:rPr>
        <w:t xml:space="preserve"> </w:t>
      </w:r>
      <w:r w:rsidRPr="00E73F6F">
        <w:t>erhältlich.</w:t>
      </w:r>
      <w:r w:rsidRPr="00E73F6F">
        <w:rPr>
          <w:spacing w:val="-5"/>
        </w:rPr>
        <w:t xml:space="preserve"> </w:t>
      </w:r>
      <w:r w:rsidRPr="00E73F6F">
        <w:t>Die</w:t>
      </w:r>
      <w:r w:rsidRPr="00E73F6F">
        <w:rPr>
          <w:spacing w:val="-4"/>
        </w:rPr>
        <w:t xml:space="preserve"> </w:t>
      </w:r>
      <w:r w:rsidRPr="00E73F6F">
        <w:t>sog.</w:t>
      </w:r>
      <w:r w:rsidRPr="00E73F6F">
        <w:rPr>
          <w:spacing w:val="-3"/>
        </w:rPr>
        <w:t xml:space="preserve"> </w:t>
      </w:r>
      <w:r w:rsidRPr="00E73F6F">
        <w:t>Big</w:t>
      </w:r>
      <w:r w:rsidRPr="00E73F6F">
        <w:rPr>
          <w:spacing w:val="-4"/>
        </w:rPr>
        <w:t xml:space="preserve"> </w:t>
      </w:r>
      <w:r w:rsidRPr="00E73F6F">
        <w:t>Mac-Parität</w:t>
      </w:r>
      <w:r w:rsidRPr="00E73F6F">
        <w:rPr>
          <w:spacing w:val="-2"/>
        </w:rPr>
        <w:t xml:space="preserve"> </w:t>
      </w:r>
      <w:r w:rsidRPr="00E73F6F">
        <w:t>berechnet</w:t>
      </w:r>
      <w:r w:rsidRPr="00E73F6F">
        <w:rPr>
          <w:spacing w:val="-3"/>
        </w:rPr>
        <w:t xml:space="preserve"> </w:t>
      </w:r>
      <w:r w:rsidRPr="00E73F6F">
        <w:t>sich,</w:t>
      </w:r>
      <w:r w:rsidRPr="00E73F6F">
        <w:rPr>
          <w:spacing w:val="-5"/>
        </w:rPr>
        <w:t xml:space="preserve"> </w:t>
      </w:r>
      <w:r w:rsidRPr="00E73F6F">
        <w:t>indem man</w:t>
      </w:r>
      <w:r w:rsidRPr="00E73F6F">
        <w:rPr>
          <w:spacing w:val="-6"/>
        </w:rPr>
        <w:t xml:space="preserve"> </w:t>
      </w:r>
      <w:r w:rsidRPr="00E73F6F">
        <w:t>den</w:t>
      </w:r>
      <w:r w:rsidRPr="00E73F6F">
        <w:rPr>
          <w:spacing w:val="-8"/>
        </w:rPr>
        <w:t xml:space="preserve"> </w:t>
      </w:r>
      <w:r w:rsidRPr="00E73F6F">
        <w:t>Preis,</w:t>
      </w:r>
      <w:r w:rsidRPr="00E73F6F">
        <w:rPr>
          <w:spacing w:val="-6"/>
        </w:rPr>
        <w:t xml:space="preserve"> </w:t>
      </w:r>
      <w:r w:rsidRPr="00E73F6F">
        <w:t>der</w:t>
      </w:r>
      <w:r w:rsidRPr="00E73F6F">
        <w:rPr>
          <w:spacing w:val="-9"/>
        </w:rPr>
        <w:t xml:space="preserve"> </w:t>
      </w:r>
      <w:r w:rsidRPr="00E73F6F">
        <w:t>für</w:t>
      </w:r>
      <w:r w:rsidRPr="00E73F6F">
        <w:rPr>
          <w:spacing w:val="-9"/>
        </w:rPr>
        <w:t xml:space="preserve"> </w:t>
      </w:r>
      <w:r w:rsidRPr="00E73F6F">
        <w:t>dieses</w:t>
      </w:r>
      <w:r w:rsidRPr="00E73F6F">
        <w:rPr>
          <w:spacing w:val="-7"/>
        </w:rPr>
        <w:t xml:space="preserve"> </w:t>
      </w:r>
      <w:r w:rsidRPr="00E73F6F">
        <w:t>Produkt</w:t>
      </w:r>
      <w:r w:rsidRPr="00E73F6F">
        <w:rPr>
          <w:spacing w:val="-9"/>
        </w:rPr>
        <w:t xml:space="preserve"> </w:t>
      </w:r>
      <w:r w:rsidRPr="00E73F6F">
        <w:t>in</w:t>
      </w:r>
      <w:r w:rsidRPr="00E73F6F">
        <w:rPr>
          <w:spacing w:val="-8"/>
        </w:rPr>
        <w:t xml:space="preserve"> </w:t>
      </w:r>
      <w:r w:rsidRPr="00E73F6F">
        <w:t>dem</w:t>
      </w:r>
      <w:r w:rsidRPr="00E73F6F">
        <w:rPr>
          <w:spacing w:val="-8"/>
        </w:rPr>
        <w:t xml:space="preserve"> </w:t>
      </w:r>
      <w:r w:rsidRPr="00E73F6F">
        <w:t>einen</w:t>
      </w:r>
      <w:r w:rsidRPr="00E73F6F">
        <w:rPr>
          <w:spacing w:val="-8"/>
        </w:rPr>
        <w:t xml:space="preserve"> </w:t>
      </w:r>
      <w:r w:rsidRPr="00E73F6F">
        <w:t>Land</w:t>
      </w:r>
      <w:r w:rsidRPr="00E73F6F">
        <w:rPr>
          <w:spacing w:val="-6"/>
        </w:rPr>
        <w:t xml:space="preserve"> </w:t>
      </w:r>
      <w:r w:rsidRPr="00E73F6F">
        <w:t>gefordert</w:t>
      </w:r>
      <w:r w:rsidRPr="00E73F6F">
        <w:rPr>
          <w:spacing w:val="-9"/>
        </w:rPr>
        <w:t xml:space="preserve"> </w:t>
      </w:r>
      <w:r w:rsidRPr="00E73F6F">
        <w:t>wird,</w:t>
      </w:r>
      <w:r w:rsidRPr="00E73F6F">
        <w:rPr>
          <w:spacing w:val="-9"/>
        </w:rPr>
        <w:t xml:space="preserve"> </w:t>
      </w:r>
      <w:r w:rsidRPr="00E73F6F">
        <w:t>durch</w:t>
      </w:r>
      <w:r w:rsidRPr="00E73F6F">
        <w:rPr>
          <w:spacing w:val="-8"/>
        </w:rPr>
        <w:t xml:space="preserve"> </w:t>
      </w:r>
      <w:r w:rsidRPr="00E73F6F">
        <w:t>den entsprechenden</w:t>
      </w:r>
      <w:r w:rsidRPr="00E73F6F">
        <w:rPr>
          <w:spacing w:val="-2"/>
        </w:rPr>
        <w:t xml:space="preserve"> </w:t>
      </w:r>
      <w:r w:rsidRPr="00E73F6F">
        <w:t>Preis</w:t>
      </w:r>
      <w:r w:rsidRPr="00E73F6F">
        <w:rPr>
          <w:spacing w:val="-3"/>
        </w:rPr>
        <w:t xml:space="preserve"> </w:t>
      </w:r>
      <w:r w:rsidRPr="00E73F6F">
        <w:t>in</w:t>
      </w:r>
      <w:r w:rsidRPr="00E73F6F">
        <w:rPr>
          <w:spacing w:val="-4"/>
        </w:rPr>
        <w:t xml:space="preserve"> </w:t>
      </w:r>
      <w:r w:rsidRPr="00E73F6F">
        <w:t>dem</w:t>
      </w:r>
      <w:r w:rsidRPr="00E73F6F">
        <w:rPr>
          <w:spacing w:val="-4"/>
        </w:rPr>
        <w:t xml:space="preserve"> </w:t>
      </w:r>
      <w:r w:rsidRPr="00E73F6F">
        <w:t>zweiten</w:t>
      </w:r>
      <w:r w:rsidRPr="00E73F6F">
        <w:rPr>
          <w:spacing w:val="-2"/>
        </w:rPr>
        <w:t xml:space="preserve"> </w:t>
      </w:r>
      <w:r w:rsidRPr="00E73F6F">
        <w:t>Land</w:t>
      </w:r>
      <w:r w:rsidRPr="00E73F6F">
        <w:rPr>
          <w:spacing w:val="-2"/>
        </w:rPr>
        <w:t xml:space="preserve"> </w:t>
      </w:r>
      <w:r w:rsidRPr="00E73F6F">
        <w:t>dividiert.</w:t>
      </w:r>
      <w:r w:rsidRPr="00E73F6F">
        <w:rPr>
          <w:spacing w:val="-3"/>
        </w:rPr>
        <w:t xml:space="preserve"> </w:t>
      </w:r>
      <w:r w:rsidRPr="00E73F6F">
        <w:t>Im</w:t>
      </w:r>
      <w:r w:rsidRPr="00E73F6F">
        <w:rPr>
          <w:spacing w:val="-6"/>
        </w:rPr>
        <w:t xml:space="preserve"> </w:t>
      </w:r>
      <w:r w:rsidRPr="00E73F6F">
        <w:t>Falle</w:t>
      </w:r>
      <w:r w:rsidRPr="00E73F6F">
        <w:rPr>
          <w:spacing w:val="-4"/>
        </w:rPr>
        <w:t xml:space="preserve"> </w:t>
      </w:r>
      <w:r w:rsidRPr="00E73F6F">
        <w:t>von</w:t>
      </w:r>
      <w:r w:rsidRPr="00E73F6F">
        <w:rPr>
          <w:spacing w:val="-7"/>
        </w:rPr>
        <w:t xml:space="preserve"> </w:t>
      </w:r>
      <w:r w:rsidRPr="00E73F6F">
        <w:t>Deutschland</w:t>
      </w:r>
      <w:r w:rsidRPr="00E73F6F">
        <w:rPr>
          <w:spacing w:val="-2"/>
        </w:rPr>
        <w:t xml:space="preserve"> </w:t>
      </w:r>
      <w:r w:rsidRPr="00E73F6F">
        <w:t>(= 4,95 DM) vs. USA (= 2,43 $) ergab sich zum</w:t>
      </w:r>
      <w:r w:rsidRPr="00E73F6F">
        <w:rPr>
          <w:spacing w:val="-1"/>
        </w:rPr>
        <w:t xml:space="preserve"> </w:t>
      </w:r>
      <w:r w:rsidRPr="00E73F6F">
        <w:t>Zeitpunkt</w:t>
      </w:r>
      <w:r w:rsidRPr="00E73F6F">
        <w:rPr>
          <w:spacing w:val="-2"/>
        </w:rPr>
        <w:t xml:space="preserve"> </w:t>
      </w:r>
      <w:r w:rsidRPr="00E73F6F">
        <w:t>der Analyse so eine „Big Mac- bzw. Kaufkraftparität“</w:t>
      </w:r>
      <w:r w:rsidRPr="00E73F6F">
        <w:rPr>
          <w:spacing w:val="-2"/>
        </w:rPr>
        <w:t xml:space="preserve"> </w:t>
      </w:r>
      <w:r w:rsidRPr="00E73F6F">
        <w:t>von</w:t>
      </w:r>
      <w:r w:rsidRPr="00E73F6F">
        <w:rPr>
          <w:spacing w:val="-3"/>
        </w:rPr>
        <w:t xml:space="preserve"> </w:t>
      </w:r>
      <w:r w:rsidRPr="00E73F6F">
        <w:t>2,04 DM je</w:t>
      </w:r>
      <w:r w:rsidRPr="00E73F6F">
        <w:rPr>
          <w:spacing w:val="-2"/>
        </w:rPr>
        <w:t xml:space="preserve"> </w:t>
      </w:r>
      <w:r w:rsidRPr="00E73F6F">
        <w:t>$</w:t>
      </w:r>
      <w:r w:rsidRPr="00E73F6F">
        <w:rPr>
          <w:spacing w:val="-1"/>
        </w:rPr>
        <w:t xml:space="preserve"> </w:t>
      </w:r>
      <w:r w:rsidRPr="00E73F6F">
        <w:t>(vgl.</w:t>
      </w:r>
      <w:r w:rsidRPr="00E73F6F">
        <w:rPr>
          <w:spacing w:val="-1"/>
        </w:rPr>
        <w:t xml:space="preserve"> </w:t>
      </w:r>
      <w:r w:rsidRPr="00E73F6F">
        <w:t>Tab.</w:t>
      </w:r>
      <w:r w:rsidRPr="00E73F6F">
        <w:rPr>
          <w:spacing w:val="-4"/>
        </w:rPr>
        <w:t xml:space="preserve"> </w:t>
      </w:r>
      <w:r w:rsidRPr="00E73F6F">
        <w:t>2).</w:t>
      </w:r>
      <w:r w:rsidRPr="00E73F6F">
        <w:rPr>
          <w:spacing w:val="-2"/>
        </w:rPr>
        <w:t xml:space="preserve"> </w:t>
      </w:r>
      <w:r w:rsidRPr="00E73F6F">
        <w:t>Entspräche der reale Wechselkurs zwischen beiden Ländern diesem Verhältnis, würde ein (deutscher oder</w:t>
      </w:r>
      <w:r w:rsidRPr="00E73F6F">
        <w:rPr>
          <w:spacing w:val="-10"/>
        </w:rPr>
        <w:t xml:space="preserve"> </w:t>
      </w:r>
      <w:r w:rsidRPr="00E73F6F">
        <w:t>ein</w:t>
      </w:r>
      <w:r w:rsidRPr="00E73F6F">
        <w:rPr>
          <w:spacing w:val="-9"/>
        </w:rPr>
        <w:t xml:space="preserve"> </w:t>
      </w:r>
      <w:r w:rsidRPr="00E73F6F">
        <w:t>amerikanischer)</w:t>
      </w:r>
      <w:r w:rsidRPr="00E73F6F">
        <w:rPr>
          <w:spacing w:val="-10"/>
        </w:rPr>
        <w:t xml:space="preserve"> </w:t>
      </w:r>
      <w:r w:rsidRPr="00E73F6F">
        <w:t>Tourist</w:t>
      </w:r>
      <w:r w:rsidRPr="00E73F6F">
        <w:rPr>
          <w:spacing w:val="-10"/>
        </w:rPr>
        <w:t xml:space="preserve"> </w:t>
      </w:r>
      <w:r w:rsidRPr="00E73F6F">
        <w:t>für</w:t>
      </w:r>
      <w:r w:rsidRPr="00E73F6F">
        <w:rPr>
          <w:spacing w:val="-10"/>
        </w:rPr>
        <w:t xml:space="preserve"> </w:t>
      </w:r>
      <w:r w:rsidRPr="00E73F6F">
        <w:t>einen</w:t>
      </w:r>
      <w:r w:rsidRPr="00E73F6F">
        <w:rPr>
          <w:spacing w:val="-9"/>
        </w:rPr>
        <w:t xml:space="preserve"> </w:t>
      </w:r>
      <w:r w:rsidRPr="00E73F6F">
        <w:t>bestimmten</w:t>
      </w:r>
      <w:r w:rsidRPr="00E73F6F">
        <w:rPr>
          <w:spacing w:val="-9"/>
        </w:rPr>
        <w:t xml:space="preserve"> </w:t>
      </w:r>
      <w:r w:rsidRPr="00E73F6F">
        <w:t>Geldbetrag</w:t>
      </w:r>
      <w:r w:rsidRPr="00E73F6F">
        <w:rPr>
          <w:spacing w:val="-9"/>
        </w:rPr>
        <w:t xml:space="preserve"> </w:t>
      </w:r>
      <w:r w:rsidRPr="00E73F6F">
        <w:t>dieselbe</w:t>
      </w:r>
      <w:r w:rsidRPr="00E73F6F">
        <w:rPr>
          <w:spacing w:val="-11"/>
        </w:rPr>
        <w:t xml:space="preserve"> </w:t>
      </w:r>
      <w:r w:rsidRPr="00E73F6F">
        <w:t>Menge an 'big macs' erhalten, gleichgültig, ob er sie in den USA oder in Deutschland erwirbt. Liegt der reale Wechselkurs indessen unter diesem Betrag, so bedeutet dies, dass – wie im vorliegenden Fall – Deutsche, die in die USA reisen, dort weniger zu entrichten haben als daheim. Statt 2,04 DM je Dollar, was der „Big Mac-Parität“ entspräche, müssen sie nur 1,82 DM je Dollar aufwenden.</w:t>
      </w:r>
    </w:p>
    <w:p w14:paraId="5AEB1517" w14:textId="77777777" w:rsidR="00FF7799" w:rsidRPr="00E73F6F" w:rsidRDefault="00FF7799" w:rsidP="007D50DA">
      <w:pPr>
        <w:pStyle w:val="StandardText"/>
      </w:pPr>
      <w:r w:rsidRPr="00E73F6F">
        <w:t>Streng genommen gilt dieser Index natürlich nur für den 'big mac'. Er liefert allerdings</w:t>
      </w:r>
      <w:r w:rsidRPr="00E73F6F">
        <w:rPr>
          <w:spacing w:val="-3"/>
        </w:rPr>
        <w:t xml:space="preserve"> </w:t>
      </w:r>
      <w:r w:rsidRPr="00E73F6F">
        <w:t>auch</w:t>
      </w:r>
      <w:r w:rsidRPr="00E73F6F">
        <w:rPr>
          <w:spacing w:val="-2"/>
        </w:rPr>
        <w:t xml:space="preserve"> </w:t>
      </w:r>
      <w:r w:rsidRPr="00E73F6F">
        <w:t>Hinweise</w:t>
      </w:r>
      <w:r w:rsidRPr="00E73F6F">
        <w:rPr>
          <w:spacing w:val="-4"/>
        </w:rPr>
        <w:t xml:space="preserve"> </w:t>
      </w:r>
      <w:r w:rsidRPr="00E73F6F">
        <w:t>auf</w:t>
      </w:r>
      <w:r w:rsidRPr="00E73F6F">
        <w:rPr>
          <w:spacing w:val="-1"/>
        </w:rPr>
        <w:t xml:space="preserve"> </w:t>
      </w:r>
      <w:r w:rsidRPr="00E73F6F">
        <w:t>die</w:t>
      </w:r>
      <w:r w:rsidRPr="00E73F6F">
        <w:rPr>
          <w:spacing w:val="-3"/>
        </w:rPr>
        <w:t xml:space="preserve"> </w:t>
      </w:r>
      <w:r w:rsidRPr="00E73F6F">
        <w:t>generellen</w:t>
      </w:r>
      <w:r w:rsidRPr="00E73F6F">
        <w:rPr>
          <w:spacing w:val="-2"/>
        </w:rPr>
        <w:t xml:space="preserve"> </w:t>
      </w:r>
      <w:r w:rsidRPr="00E73F6F">
        <w:t>Kosten</w:t>
      </w:r>
      <w:r w:rsidRPr="00E73F6F">
        <w:rPr>
          <w:spacing w:val="-4"/>
        </w:rPr>
        <w:t xml:space="preserve"> </w:t>
      </w:r>
      <w:r w:rsidRPr="00E73F6F">
        <w:t>der</w:t>
      </w:r>
      <w:r w:rsidRPr="00E73F6F">
        <w:rPr>
          <w:spacing w:val="-3"/>
        </w:rPr>
        <w:t xml:space="preserve"> </w:t>
      </w:r>
      <w:r w:rsidRPr="00E73F6F">
        <w:t>Lebenshaltung,</w:t>
      </w:r>
      <w:r w:rsidRPr="00E73F6F">
        <w:rPr>
          <w:spacing w:val="-3"/>
        </w:rPr>
        <w:t xml:space="preserve"> </w:t>
      </w:r>
      <w:r w:rsidRPr="00E73F6F">
        <w:t>mit</w:t>
      </w:r>
      <w:r w:rsidRPr="00E73F6F">
        <w:rPr>
          <w:spacing w:val="-3"/>
        </w:rPr>
        <w:t xml:space="preserve"> </w:t>
      </w:r>
      <w:r w:rsidRPr="00E73F6F">
        <w:t xml:space="preserve">denen man in einem bestimmten Land zu rechnen hat. Denn </w:t>
      </w:r>
      <w:r w:rsidRPr="00E73F6F">
        <w:rPr>
          <w:i/>
        </w:rPr>
        <w:t xml:space="preserve">McDonald´s </w:t>
      </w:r>
      <w:r w:rsidRPr="00E73F6F">
        <w:t>(und andere Anbieter) müssen diese bei ihrer Preisgestaltung berücksichtigen.</w:t>
      </w:r>
    </w:p>
    <w:p w14:paraId="07950879" w14:textId="77777777" w:rsidR="00FF7799" w:rsidRPr="00E73F6F" w:rsidRDefault="00FF7799" w:rsidP="007D50DA">
      <w:pPr>
        <w:pStyle w:val="StandardText"/>
      </w:pPr>
    </w:p>
    <w:p w14:paraId="7B72B9C2" w14:textId="77777777" w:rsidR="00FF7799" w:rsidRPr="002E3E4F" w:rsidRDefault="00FF7799" w:rsidP="007D50DA">
      <w:pPr>
        <w:pStyle w:val="BeschriftungTab"/>
        <w:rPr>
          <w:i/>
          <w:iCs/>
        </w:rPr>
      </w:pPr>
      <w:r w:rsidRPr="002E3E4F">
        <w:rPr>
          <w:i/>
          <w:iCs/>
        </w:rPr>
        <w:t>Tab.</w:t>
      </w:r>
      <w:r w:rsidRPr="002E3E4F">
        <w:rPr>
          <w:i/>
          <w:iCs/>
          <w:spacing w:val="-4"/>
        </w:rPr>
        <w:t xml:space="preserve"> </w:t>
      </w:r>
      <w:r w:rsidRPr="002E3E4F">
        <w:rPr>
          <w:i/>
          <w:iCs/>
        </w:rPr>
        <w:t>2:</w:t>
      </w:r>
      <w:r w:rsidRPr="002E3E4F">
        <w:rPr>
          <w:i/>
          <w:iCs/>
          <w:spacing w:val="-6"/>
        </w:rPr>
        <w:t xml:space="preserve"> </w:t>
      </w:r>
      <w:r w:rsidRPr="002E3E4F">
        <w:rPr>
          <w:i/>
          <w:iCs/>
        </w:rPr>
        <w:t>„Big</w:t>
      </w:r>
      <w:r w:rsidRPr="002E3E4F">
        <w:rPr>
          <w:i/>
          <w:iCs/>
          <w:spacing w:val="-3"/>
        </w:rPr>
        <w:t xml:space="preserve"> </w:t>
      </w:r>
      <w:r w:rsidRPr="002E3E4F">
        <w:rPr>
          <w:i/>
          <w:iCs/>
        </w:rPr>
        <w:t>Mac-Parität“</w:t>
      </w:r>
      <w:r w:rsidRPr="002E3E4F">
        <w:rPr>
          <w:i/>
          <w:iCs/>
          <w:spacing w:val="-5"/>
        </w:rPr>
        <w:t xml:space="preserve"> </w:t>
      </w:r>
      <w:r w:rsidRPr="002E3E4F">
        <w:rPr>
          <w:i/>
          <w:iCs/>
        </w:rPr>
        <w:t>als</w:t>
      </w:r>
      <w:r w:rsidRPr="002E3E4F">
        <w:rPr>
          <w:i/>
          <w:iCs/>
          <w:spacing w:val="-6"/>
        </w:rPr>
        <w:t xml:space="preserve"> </w:t>
      </w:r>
      <w:r w:rsidRPr="002E3E4F">
        <w:rPr>
          <w:i/>
          <w:iCs/>
        </w:rPr>
        <w:t>Versuch</w:t>
      </w:r>
      <w:r w:rsidRPr="002E3E4F">
        <w:rPr>
          <w:i/>
          <w:iCs/>
          <w:spacing w:val="-3"/>
        </w:rPr>
        <w:t xml:space="preserve"> </w:t>
      </w:r>
      <w:r w:rsidRPr="002E3E4F">
        <w:rPr>
          <w:i/>
          <w:iCs/>
        </w:rPr>
        <w:t>der</w:t>
      </w:r>
      <w:r w:rsidRPr="002E3E4F">
        <w:rPr>
          <w:i/>
          <w:iCs/>
          <w:spacing w:val="-5"/>
        </w:rPr>
        <w:t xml:space="preserve"> </w:t>
      </w:r>
      <w:r w:rsidRPr="002E3E4F">
        <w:rPr>
          <w:i/>
          <w:iCs/>
        </w:rPr>
        <w:t xml:space="preserve">Objektivierung des Kaufkraftverhältnisses </w:t>
      </w:r>
      <w:r w:rsidRPr="002E3E4F">
        <w:rPr>
          <w:i/>
          <w:iCs/>
        </w:rPr>
        <w:br/>
        <w:t>zwischen Ländern</w:t>
      </w:r>
    </w:p>
    <w:tbl>
      <w:tblPr>
        <w:tblStyle w:val="TableNormal"/>
        <w:tblW w:w="5000" w:type="pct"/>
        <w:tblBorders>
          <w:top w:val="single" w:sz="4" w:space="0" w:color="auto"/>
          <w:bottom w:val="single" w:sz="4" w:space="0" w:color="auto"/>
          <w:insideH w:val="single" w:sz="4" w:space="0" w:color="auto"/>
        </w:tblBorders>
        <w:tblLook w:val="01E0" w:firstRow="1" w:lastRow="1" w:firstColumn="1" w:lastColumn="1" w:noHBand="0" w:noVBand="0"/>
      </w:tblPr>
      <w:tblGrid>
        <w:gridCol w:w="2410"/>
        <w:gridCol w:w="2410"/>
        <w:gridCol w:w="2126"/>
        <w:gridCol w:w="2126"/>
      </w:tblGrid>
      <w:tr w:rsidR="00FF7799" w:rsidRPr="00E73F6F" w14:paraId="7024C471" w14:textId="77777777" w:rsidTr="007D50DA">
        <w:trPr>
          <w:trHeight w:val="673"/>
        </w:trPr>
        <w:tc>
          <w:tcPr>
            <w:tcW w:w="1328" w:type="pct"/>
            <w:shd w:val="clear" w:color="auto" w:fill="FFC000" w:themeFill="accent4"/>
          </w:tcPr>
          <w:p w14:paraId="7B4D4354" w14:textId="77777777" w:rsidR="00FF7799" w:rsidRPr="00E73F6F" w:rsidRDefault="00FF7799" w:rsidP="007D50DA">
            <w:pPr>
              <w:pStyle w:val="StandardText"/>
              <w:spacing w:after="120"/>
              <w:jc w:val="center"/>
              <w:rPr>
                <w:b/>
                <w:lang w:val="de-DE"/>
              </w:rPr>
            </w:pPr>
            <w:r w:rsidRPr="00E73F6F">
              <w:rPr>
                <w:b/>
                <w:lang w:val="de-DE"/>
              </w:rPr>
              <w:t>Währung</w:t>
            </w:r>
          </w:p>
        </w:tc>
        <w:tc>
          <w:tcPr>
            <w:tcW w:w="1328" w:type="pct"/>
            <w:shd w:val="clear" w:color="auto" w:fill="FFC000" w:themeFill="accent4"/>
          </w:tcPr>
          <w:p w14:paraId="5E1CF775" w14:textId="77777777" w:rsidR="00FF7799" w:rsidRPr="00E73F6F" w:rsidRDefault="00FF7799" w:rsidP="007D50DA">
            <w:pPr>
              <w:pStyle w:val="StandardText"/>
              <w:spacing w:after="120"/>
              <w:jc w:val="center"/>
              <w:rPr>
                <w:b/>
                <w:lang w:val="de-DE"/>
              </w:rPr>
            </w:pPr>
            <w:r w:rsidRPr="00E73F6F">
              <w:rPr>
                <w:b/>
                <w:lang w:val="de-DE"/>
              </w:rPr>
              <w:t>Tatsächlicher</w:t>
            </w:r>
            <w:r w:rsidRPr="00E73F6F">
              <w:rPr>
                <w:b/>
                <w:spacing w:val="40"/>
                <w:lang w:val="de-DE"/>
              </w:rPr>
              <w:br/>
            </w:r>
            <w:r w:rsidRPr="00E73F6F">
              <w:rPr>
                <w:b/>
                <w:lang w:val="de-DE"/>
              </w:rPr>
              <w:t>Wechselkurs</w:t>
            </w:r>
            <w:r w:rsidRPr="00E73F6F">
              <w:rPr>
                <w:b/>
                <w:spacing w:val="40"/>
                <w:lang w:val="de-DE"/>
              </w:rPr>
              <w:t xml:space="preserve"> </w:t>
            </w:r>
            <w:r w:rsidRPr="00E73F6F">
              <w:rPr>
                <w:b/>
                <w:lang w:val="de-DE"/>
              </w:rPr>
              <w:t>(1986)</w:t>
            </w:r>
          </w:p>
        </w:tc>
        <w:tc>
          <w:tcPr>
            <w:tcW w:w="1172" w:type="pct"/>
            <w:shd w:val="clear" w:color="auto" w:fill="FFC000" w:themeFill="accent4"/>
          </w:tcPr>
          <w:p w14:paraId="184E2CC8" w14:textId="77777777" w:rsidR="00FF7799" w:rsidRPr="00E73F6F" w:rsidRDefault="00FF7799" w:rsidP="007D50DA">
            <w:pPr>
              <w:pStyle w:val="StandardText"/>
              <w:spacing w:after="120"/>
              <w:jc w:val="center"/>
              <w:rPr>
                <w:b/>
                <w:lang w:val="de-DE"/>
              </w:rPr>
            </w:pPr>
            <w:r w:rsidRPr="00E73F6F">
              <w:rPr>
                <w:b/>
                <w:lang w:val="de-DE"/>
              </w:rPr>
              <w:t>Big Mac-</w:t>
            </w:r>
            <w:r w:rsidRPr="00E73F6F">
              <w:rPr>
                <w:b/>
                <w:lang w:val="de-DE"/>
              </w:rPr>
              <w:br/>
              <w:t>Wechselkurs</w:t>
            </w:r>
            <w:r w:rsidRPr="00E73F6F">
              <w:rPr>
                <w:b/>
                <w:spacing w:val="40"/>
                <w:lang w:val="de-DE"/>
              </w:rPr>
              <w:t xml:space="preserve"> </w:t>
            </w:r>
            <w:r w:rsidRPr="00E73F6F">
              <w:rPr>
                <w:b/>
                <w:lang w:val="de-DE"/>
              </w:rPr>
              <w:t>(1986)</w:t>
            </w:r>
          </w:p>
        </w:tc>
        <w:tc>
          <w:tcPr>
            <w:tcW w:w="1172" w:type="pct"/>
            <w:shd w:val="clear" w:color="auto" w:fill="FFC000" w:themeFill="accent4"/>
          </w:tcPr>
          <w:p w14:paraId="0A18B001" w14:textId="77777777" w:rsidR="00FF7799" w:rsidRPr="00E73F6F" w:rsidRDefault="00FF7799" w:rsidP="007D50DA">
            <w:pPr>
              <w:pStyle w:val="StandardText"/>
              <w:spacing w:after="120"/>
              <w:jc w:val="center"/>
              <w:rPr>
                <w:b/>
                <w:spacing w:val="40"/>
                <w:lang w:val="de-DE"/>
              </w:rPr>
            </w:pPr>
            <w:r w:rsidRPr="00E73F6F">
              <w:rPr>
                <w:b/>
                <w:lang w:val="de-DE"/>
              </w:rPr>
              <w:t>Big</w:t>
            </w:r>
            <w:r w:rsidRPr="00E73F6F">
              <w:rPr>
                <w:b/>
                <w:spacing w:val="-10"/>
                <w:lang w:val="de-DE"/>
              </w:rPr>
              <w:t xml:space="preserve"> </w:t>
            </w:r>
            <w:r w:rsidRPr="00E73F6F">
              <w:rPr>
                <w:b/>
                <w:lang w:val="de-DE"/>
              </w:rPr>
              <w:t>Mac-Index</w:t>
            </w:r>
            <w:r w:rsidRPr="00E73F6F">
              <w:rPr>
                <w:b/>
                <w:spacing w:val="40"/>
                <w:lang w:val="de-DE"/>
              </w:rPr>
              <w:br/>
            </w:r>
            <w:r w:rsidRPr="00E73F6F">
              <w:rPr>
                <w:b/>
                <w:lang w:val="de-DE"/>
              </w:rPr>
              <w:t>(1986)</w:t>
            </w:r>
          </w:p>
        </w:tc>
      </w:tr>
      <w:tr w:rsidR="00FF7799" w:rsidRPr="00E73F6F" w14:paraId="249C8431" w14:textId="77777777" w:rsidTr="000843DD">
        <w:trPr>
          <w:trHeight w:val="301"/>
        </w:trPr>
        <w:tc>
          <w:tcPr>
            <w:tcW w:w="1328" w:type="pct"/>
            <w:shd w:val="clear" w:color="auto" w:fill="FFF2CC" w:themeFill="accent4" w:themeFillTint="33"/>
          </w:tcPr>
          <w:p w14:paraId="4D911817" w14:textId="77777777" w:rsidR="00FF7799" w:rsidRPr="00E73F6F" w:rsidRDefault="00FF7799" w:rsidP="007D50DA">
            <w:pPr>
              <w:pStyle w:val="StandardText"/>
              <w:rPr>
                <w:lang w:val="de-DE"/>
              </w:rPr>
            </w:pPr>
            <w:r w:rsidRPr="00E73F6F">
              <w:rPr>
                <w:lang w:val="de-DE"/>
              </w:rPr>
              <w:t>Schweizer</w:t>
            </w:r>
            <w:r w:rsidRPr="00E73F6F">
              <w:rPr>
                <w:spacing w:val="-9"/>
                <w:lang w:val="de-DE"/>
              </w:rPr>
              <w:t xml:space="preserve"> </w:t>
            </w:r>
            <w:r w:rsidRPr="00E73F6F">
              <w:rPr>
                <w:lang w:val="de-DE"/>
              </w:rPr>
              <w:t>Franken</w:t>
            </w:r>
          </w:p>
        </w:tc>
        <w:tc>
          <w:tcPr>
            <w:tcW w:w="1328" w:type="pct"/>
          </w:tcPr>
          <w:p w14:paraId="5255F9B4" w14:textId="77777777" w:rsidR="00FF7799" w:rsidRPr="00E73F6F" w:rsidRDefault="00FF7799" w:rsidP="007D50DA">
            <w:pPr>
              <w:pStyle w:val="StandardText"/>
              <w:jc w:val="center"/>
              <w:rPr>
                <w:lang w:val="de-DE"/>
              </w:rPr>
            </w:pPr>
            <w:r w:rsidRPr="00E73F6F">
              <w:rPr>
                <w:spacing w:val="-4"/>
                <w:lang w:val="de-DE"/>
              </w:rPr>
              <w:t>1,48</w:t>
            </w:r>
          </w:p>
        </w:tc>
        <w:tc>
          <w:tcPr>
            <w:tcW w:w="1172" w:type="pct"/>
          </w:tcPr>
          <w:p w14:paraId="475955F1" w14:textId="77777777" w:rsidR="00FF7799" w:rsidRPr="00E73F6F" w:rsidRDefault="00FF7799" w:rsidP="007D50DA">
            <w:pPr>
              <w:pStyle w:val="StandardText"/>
              <w:jc w:val="center"/>
              <w:rPr>
                <w:lang w:val="de-DE"/>
              </w:rPr>
            </w:pPr>
            <w:r w:rsidRPr="00E73F6F">
              <w:rPr>
                <w:spacing w:val="-4"/>
                <w:lang w:val="de-DE"/>
              </w:rPr>
              <w:t>2,43</w:t>
            </w:r>
          </w:p>
        </w:tc>
        <w:tc>
          <w:tcPr>
            <w:tcW w:w="1172" w:type="pct"/>
          </w:tcPr>
          <w:p w14:paraId="4942D970" w14:textId="77777777" w:rsidR="00FF7799" w:rsidRPr="00E73F6F" w:rsidRDefault="00FF7799" w:rsidP="007D50DA">
            <w:pPr>
              <w:pStyle w:val="StandardText"/>
              <w:jc w:val="center"/>
              <w:rPr>
                <w:lang w:val="de-DE"/>
              </w:rPr>
            </w:pPr>
            <w:r w:rsidRPr="00E73F6F">
              <w:rPr>
                <w:spacing w:val="-5"/>
                <w:lang w:val="de-DE"/>
              </w:rPr>
              <w:t>+64</w:t>
            </w:r>
          </w:p>
        </w:tc>
      </w:tr>
      <w:tr w:rsidR="00FF7799" w:rsidRPr="00E73F6F" w14:paraId="7A41EC2C" w14:textId="77777777" w:rsidTr="000843DD">
        <w:trPr>
          <w:trHeight w:val="304"/>
        </w:trPr>
        <w:tc>
          <w:tcPr>
            <w:tcW w:w="1328" w:type="pct"/>
            <w:shd w:val="clear" w:color="auto" w:fill="FFF2CC" w:themeFill="accent4" w:themeFillTint="33"/>
          </w:tcPr>
          <w:p w14:paraId="238811DC" w14:textId="77777777" w:rsidR="00FF7799" w:rsidRPr="00E73F6F" w:rsidRDefault="00FF7799" w:rsidP="007D50DA">
            <w:pPr>
              <w:pStyle w:val="StandardText"/>
              <w:rPr>
                <w:lang w:val="de-DE"/>
              </w:rPr>
            </w:pPr>
            <w:r w:rsidRPr="00E73F6F">
              <w:rPr>
                <w:lang w:val="de-DE"/>
              </w:rPr>
              <w:t>Dänische</w:t>
            </w:r>
            <w:r w:rsidRPr="00E73F6F">
              <w:rPr>
                <w:spacing w:val="-10"/>
                <w:lang w:val="de-DE"/>
              </w:rPr>
              <w:t xml:space="preserve"> </w:t>
            </w:r>
            <w:r w:rsidRPr="00E73F6F">
              <w:rPr>
                <w:lang w:val="de-DE"/>
              </w:rPr>
              <w:t>Krone</w:t>
            </w:r>
          </w:p>
        </w:tc>
        <w:tc>
          <w:tcPr>
            <w:tcW w:w="1328" w:type="pct"/>
          </w:tcPr>
          <w:p w14:paraId="3621F865" w14:textId="77777777" w:rsidR="00FF7799" w:rsidRPr="00E73F6F" w:rsidRDefault="00FF7799" w:rsidP="007D50DA">
            <w:pPr>
              <w:pStyle w:val="StandardText"/>
              <w:jc w:val="center"/>
              <w:rPr>
                <w:lang w:val="de-DE"/>
              </w:rPr>
            </w:pPr>
            <w:r w:rsidRPr="00E73F6F">
              <w:rPr>
                <w:spacing w:val="-4"/>
                <w:lang w:val="de-DE"/>
              </w:rPr>
              <w:t>6,91</w:t>
            </w:r>
          </w:p>
        </w:tc>
        <w:tc>
          <w:tcPr>
            <w:tcW w:w="1172" w:type="pct"/>
          </w:tcPr>
          <w:p w14:paraId="5042FB81" w14:textId="77777777" w:rsidR="00FF7799" w:rsidRPr="00E73F6F" w:rsidRDefault="00FF7799" w:rsidP="007D50DA">
            <w:pPr>
              <w:pStyle w:val="StandardText"/>
              <w:jc w:val="center"/>
              <w:rPr>
                <w:lang w:val="de-DE"/>
              </w:rPr>
            </w:pPr>
            <w:r w:rsidRPr="00E73F6F">
              <w:rPr>
                <w:lang w:val="de-DE"/>
              </w:rPr>
              <w:t>10,19</w:t>
            </w:r>
          </w:p>
        </w:tc>
        <w:tc>
          <w:tcPr>
            <w:tcW w:w="1172" w:type="pct"/>
          </w:tcPr>
          <w:p w14:paraId="34B76246" w14:textId="77777777" w:rsidR="00FF7799" w:rsidRPr="00E73F6F" w:rsidRDefault="00FF7799" w:rsidP="007D50DA">
            <w:pPr>
              <w:pStyle w:val="StandardText"/>
              <w:jc w:val="center"/>
              <w:rPr>
                <w:lang w:val="de-DE"/>
              </w:rPr>
            </w:pPr>
            <w:r w:rsidRPr="00E73F6F">
              <w:rPr>
                <w:spacing w:val="-5"/>
                <w:lang w:val="de-DE"/>
              </w:rPr>
              <w:t>+47</w:t>
            </w:r>
          </w:p>
        </w:tc>
      </w:tr>
      <w:tr w:rsidR="00FF7799" w:rsidRPr="00E73F6F" w14:paraId="46EBD8BA" w14:textId="77777777" w:rsidTr="000843DD">
        <w:trPr>
          <w:trHeight w:val="304"/>
        </w:trPr>
        <w:tc>
          <w:tcPr>
            <w:tcW w:w="1328" w:type="pct"/>
            <w:shd w:val="clear" w:color="auto" w:fill="FFF2CC" w:themeFill="accent4" w:themeFillTint="33"/>
          </w:tcPr>
          <w:p w14:paraId="4E0E3E88" w14:textId="77777777" w:rsidR="00FF7799" w:rsidRPr="00E73F6F" w:rsidRDefault="00FF7799" w:rsidP="007D50DA">
            <w:pPr>
              <w:pStyle w:val="StandardText"/>
              <w:rPr>
                <w:lang w:val="de-DE"/>
              </w:rPr>
            </w:pPr>
            <w:r w:rsidRPr="00E73F6F">
              <w:rPr>
                <w:lang w:val="de-DE"/>
              </w:rPr>
              <w:t>Britisches</w:t>
            </w:r>
            <w:r w:rsidRPr="00E73F6F">
              <w:rPr>
                <w:spacing w:val="-9"/>
                <w:lang w:val="de-DE"/>
              </w:rPr>
              <w:t xml:space="preserve"> </w:t>
            </w:r>
            <w:r w:rsidRPr="00E73F6F">
              <w:rPr>
                <w:lang w:val="de-DE"/>
              </w:rPr>
              <w:t>Pfund</w:t>
            </w:r>
          </w:p>
        </w:tc>
        <w:tc>
          <w:tcPr>
            <w:tcW w:w="1328" w:type="pct"/>
          </w:tcPr>
          <w:p w14:paraId="1381CCA3" w14:textId="77777777" w:rsidR="00FF7799" w:rsidRPr="00E73F6F" w:rsidRDefault="00FF7799" w:rsidP="007D50DA">
            <w:pPr>
              <w:pStyle w:val="StandardText"/>
              <w:jc w:val="center"/>
              <w:rPr>
                <w:lang w:val="de-DE"/>
              </w:rPr>
            </w:pPr>
            <w:r w:rsidRPr="00E73F6F">
              <w:rPr>
                <w:spacing w:val="-4"/>
                <w:lang w:val="de-DE"/>
              </w:rPr>
              <w:t>0,62</w:t>
            </w:r>
          </w:p>
        </w:tc>
        <w:tc>
          <w:tcPr>
            <w:tcW w:w="1172" w:type="pct"/>
          </w:tcPr>
          <w:p w14:paraId="75944BE6" w14:textId="77777777" w:rsidR="00FF7799" w:rsidRPr="00E73F6F" w:rsidRDefault="00FF7799" w:rsidP="007D50DA">
            <w:pPr>
              <w:pStyle w:val="StandardText"/>
              <w:jc w:val="center"/>
              <w:rPr>
                <w:lang w:val="de-DE"/>
              </w:rPr>
            </w:pPr>
            <w:r w:rsidRPr="00E73F6F">
              <w:rPr>
                <w:spacing w:val="-4"/>
                <w:lang w:val="de-DE"/>
              </w:rPr>
              <w:t>0,78</w:t>
            </w:r>
          </w:p>
        </w:tc>
        <w:tc>
          <w:tcPr>
            <w:tcW w:w="1172" w:type="pct"/>
          </w:tcPr>
          <w:p w14:paraId="5530A9B8" w14:textId="77777777" w:rsidR="00FF7799" w:rsidRPr="00E73F6F" w:rsidRDefault="00FF7799" w:rsidP="007D50DA">
            <w:pPr>
              <w:pStyle w:val="StandardText"/>
              <w:jc w:val="center"/>
              <w:rPr>
                <w:lang w:val="de-DE"/>
              </w:rPr>
            </w:pPr>
            <w:r w:rsidRPr="00E73F6F">
              <w:rPr>
                <w:spacing w:val="-5"/>
                <w:lang w:val="de-DE"/>
              </w:rPr>
              <w:t>+26</w:t>
            </w:r>
          </w:p>
        </w:tc>
      </w:tr>
      <w:tr w:rsidR="00FF7799" w:rsidRPr="00E73F6F" w14:paraId="3D2DE8F7" w14:textId="77777777" w:rsidTr="000843DD">
        <w:trPr>
          <w:trHeight w:val="304"/>
        </w:trPr>
        <w:tc>
          <w:tcPr>
            <w:tcW w:w="1328" w:type="pct"/>
            <w:shd w:val="clear" w:color="auto" w:fill="FFF2CC" w:themeFill="accent4" w:themeFillTint="33"/>
          </w:tcPr>
          <w:p w14:paraId="60E62C16" w14:textId="77777777" w:rsidR="00FF7799" w:rsidRPr="00E73F6F" w:rsidRDefault="00FF7799" w:rsidP="007D50DA">
            <w:pPr>
              <w:pStyle w:val="StandardText"/>
              <w:rPr>
                <w:lang w:val="de-DE"/>
              </w:rPr>
            </w:pPr>
            <w:r w:rsidRPr="00E73F6F">
              <w:rPr>
                <w:lang w:val="de-DE"/>
              </w:rPr>
              <w:t>Schwedische</w:t>
            </w:r>
            <w:r w:rsidRPr="00E73F6F">
              <w:rPr>
                <w:spacing w:val="9"/>
                <w:lang w:val="de-DE"/>
              </w:rPr>
              <w:t xml:space="preserve"> </w:t>
            </w:r>
            <w:r w:rsidRPr="00E73F6F">
              <w:rPr>
                <w:lang w:val="de-DE"/>
              </w:rPr>
              <w:t>Krone</w:t>
            </w:r>
          </w:p>
        </w:tc>
        <w:tc>
          <w:tcPr>
            <w:tcW w:w="1328" w:type="pct"/>
          </w:tcPr>
          <w:p w14:paraId="793643FF" w14:textId="77777777" w:rsidR="00FF7799" w:rsidRPr="00E73F6F" w:rsidRDefault="00FF7799" w:rsidP="007D50DA">
            <w:pPr>
              <w:pStyle w:val="StandardText"/>
              <w:jc w:val="center"/>
              <w:rPr>
                <w:lang w:val="de-DE"/>
              </w:rPr>
            </w:pPr>
            <w:r w:rsidRPr="00E73F6F">
              <w:rPr>
                <w:spacing w:val="-4"/>
                <w:lang w:val="de-DE"/>
              </w:rPr>
              <w:t>8,32</w:t>
            </w:r>
          </w:p>
        </w:tc>
        <w:tc>
          <w:tcPr>
            <w:tcW w:w="1172" w:type="pct"/>
          </w:tcPr>
          <w:p w14:paraId="31DB7F14" w14:textId="77777777" w:rsidR="00FF7799" w:rsidRPr="00E73F6F" w:rsidRDefault="00FF7799" w:rsidP="007D50DA">
            <w:pPr>
              <w:pStyle w:val="StandardText"/>
              <w:jc w:val="center"/>
              <w:rPr>
                <w:lang w:val="de-DE"/>
              </w:rPr>
            </w:pPr>
            <w:r w:rsidRPr="00E73F6F">
              <w:rPr>
                <w:spacing w:val="-4"/>
                <w:lang w:val="de-DE"/>
              </w:rPr>
              <w:t>9,88</w:t>
            </w:r>
          </w:p>
        </w:tc>
        <w:tc>
          <w:tcPr>
            <w:tcW w:w="1172" w:type="pct"/>
          </w:tcPr>
          <w:p w14:paraId="4CA6FC67" w14:textId="77777777" w:rsidR="00FF7799" w:rsidRPr="00E73F6F" w:rsidRDefault="00FF7799" w:rsidP="007D50DA">
            <w:pPr>
              <w:pStyle w:val="StandardText"/>
              <w:jc w:val="center"/>
              <w:rPr>
                <w:lang w:val="de-DE"/>
              </w:rPr>
            </w:pPr>
            <w:r w:rsidRPr="00E73F6F">
              <w:rPr>
                <w:spacing w:val="-5"/>
                <w:lang w:val="de-DE"/>
              </w:rPr>
              <w:t>+19</w:t>
            </w:r>
          </w:p>
        </w:tc>
      </w:tr>
      <w:tr w:rsidR="00FF7799" w:rsidRPr="00E73F6F" w14:paraId="3F519780" w14:textId="77777777" w:rsidTr="000843DD">
        <w:trPr>
          <w:trHeight w:val="304"/>
        </w:trPr>
        <w:tc>
          <w:tcPr>
            <w:tcW w:w="1328" w:type="pct"/>
            <w:shd w:val="clear" w:color="auto" w:fill="FFF2CC" w:themeFill="accent4" w:themeFillTint="33"/>
          </w:tcPr>
          <w:p w14:paraId="254F14A3" w14:textId="77777777" w:rsidR="00FF7799" w:rsidRPr="00E73F6F" w:rsidRDefault="00FF7799" w:rsidP="007D50DA">
            <w:pPr>
              <w:pStyle w:val="StandardText"/>
              <w:rPr>
                <w:lang w:val="de-DE"/>
              </w:rPr>
            </w:pPr>
            <w:r w:rsidRPr="00E73F6F">
              <w:rPr>
                <w:lang w:val="de-DE"/>
              </w:rPr>
              <w:t>Französischer</w:t>
            </w:r>
            <w:r w:rsidRPr="00E73F6F">
              <w:rPr>
                <w:spacing w:val="-10"/>
                <w:lang w:val="de-DE"/>
              </w:rPr>
              <w:t xml:space="preserve"> </w:t>
            </w:r>
            <w:r w:rsidRPr="00E73F6F">
              <w:rPr>
                <w:lang w:val="de-DE"/>
              </w:rPr>
              <w:t>Franc</w:t>
            </w:r>
          </w:p>
        </w:tc>
        <w:tc>
          <w:tcPr>
            <w:tcW w:w="1328" w:type="pct"/>
          </w:tcPr>
          <w:p w14:paraId="65D780F0" w14:textId="77777777" w:rsidR="00FF7799" w:rsidRPr="00E73F6F" w:rsidRDefault="00FF7799" w:rsidP="007D50DA">
            <w:pPr>
              <w:pStyle w:val="StandardText"/>
              <w:jc w:val="center"/>
              <w:rPr>
                <w:lang w:val="de-DE"/>
              </w:rPr>
            </w:pPr>
            <w:r w:rsidRPr="00E73F6F">
              <w:rPr>
                <w:spacing w:val="-4"/>
                <w:lang w:val="de-DE"/>
              </w:rPr>
              <w:t>6,10</w:t>
            </w:r>
          </w:p>
        </w:tc>
        <w:tc>
          <w:tcPr>
            <w:tcW w:w="1172" w:type="pct"/>
          </w:tcPr>
          <w:p w14:paraId="177A5B38" w14:textId="77777777" w:rsidR="00FF7799" w:rsidRPr="00E73F6F" w:rsidRDefault="00FF7799" w:rsidP="007D50DA">
            <w:pPr>
              <w:pStyle w:val="StandardText"/>
              <w:jc w:val="center"/>
              <w:rPr>
                <w:lang w:val="de-DE"/>
              </w:rPr>
            </w:pPr>
            <w:r w:rsidRPr="00E73F6F">
              <w:rPr>
                <w:spacing w:val="-4"/>
                <w:lang w:val="de-DE"/>
              </w:rPr>
              <w:t>7,20</w:t>
            </w:r>
          </w:p>
        </w:tc>
        <w:tc>
          <w:tcPr>
            <w:tcW w:w="1172" w:type="pct"/>
          </w:tcPr>
          <w:p w14:paraId="4C0A39A0" w14:textId="77777777" w:rsidR="00FF7799" w:rsidRPr="00E73F6F" w:rsidRDefault="00FF7799" w:rsidP="007D50DA">
            <w:pPr>
              <w:pStyle w:val="StandardText"/>
              <w:jc w:val="center"/>
              <w:rPr>
                <w:lang w:val="de-DE"/>
              </w:rPr>
            </w:pPr>
            <w:r w:rsidRPr="00E73F6F">
              <w:rPr>
                <w:spacing w:val="-5"/>
                <w:lang w:val="de-DE"/>
              </w:rPr>
              <w:t>+18</w:t>
            </w:r>
          </w:p>
        </w:tc>
      </w:tr>
      <w:tr w:rsidR="00FF7799" w:rsidRPr="00E73F6F" w14:paraId="08CDD987" w14:textId="77777777" w:rsidTr="000843DD">
        <w:trPr>
          <w:trHeight w:val="302"/>
        </w:trPr>
        <w:tc>
          <w:tcPr>
            <w:tcW w:w="1328" w:type="pct"/>
            <w:shd w:val="clear" w:color="auto" w:fill="FFF2CC" w:themeFill="accent4" w:themeFillTint="33"/>
          </w:tcPr>
          <w:p w14:paraId="382DE450" w14:textId="77777777" w:rsidR="00FF7799" w:rsidRPr="00E73F6F" w:rsidRDefault="00FF7799" w:rsidP="007D50DA">
            <w:pPr>
              <w:pStyle w:val="StandardText"/>
              <w:rPr>
                <w:lang w:val="de-DE"/>
              </w:rPr>
            </w:pPr>
            <w:r w:rsidRPr="00E73F6F">
              <w:rPr>
                <w:lang w:val="de-DE"/>
              </w:rPr>
              <w:t>Deutsche</w:t>
            </w:r>
            <w:r w:rsidRPr="00E73F6F">
              <w:rPr>
                <w:spacing w:val="-8"/>
                <w:lang w:val="de-DE"/>
              </w:rPr>
              <w:t xml:space="preserve"> </w:t>
            </w:r>
            <w:r w:rsidRPr="00E73F6F">
              <w:rPr>
                <w:spacing w:val="-4"/>
                <w:lang w:val="de-DE"/>
              </w:rPr>
              <w:t>Mark</w:t>
            </w:r>
          </w:p>
        </w:tc>
        <w:tc>
          <w:tcPr>
            <w:tcW w:w="1328" w:type="pct"/>
          </w:tcPr>
          <w:p w14:paraId="539CB098" w14:textId="77777777" w:rsidR="00FF7799" w:rsidRPr="00E73F6F" w:rsidRDefault="00FF7799" w:rsidP="007D50DA">
            <w:pPr>
              <w:pStyle w:val="StandardText"/>
              <w:jc w:val="center"/>
              <w:rPr>
                <w:lang w:val="de-DE"/>
              </w:rPr>
            </w:pPr>
            <w:r w:rsidRPr="00E73F6F">
              <w:rPr>
                <w:spacing w:val="-4"/>
                <w:lang w:val="de-DE"/>
              </w:rPr>
              <w:t>1,82</w:t>
            </w:r>
          </w:p>
        </w:tc>
        <w:tc>
          <w:tcPr>
            <w:tcW w:w="1172" w:type="pct"/>
          </w:tcPr>
          <w:p w14:paraId="3D2FA7C3" w14:textId="77777777" w:rsidR="00FF7799" w:rsidRPr="00E73F6F" w:rsidRDefault="00FF7799" w:rsidP="007D50DA">
            <w:pPr>
              <w:pStyle w:val="StandardText"/>
              <w:jc w:val="center"/>
              <w:rPr>
                <w:lang w:val="de-DE"/>
              </w:rPr>
            </w:pPr>
            <w:r w:rsidRPr="00E73F6F">
              <w:rPr>
                <w:spacing w:val="-4"/>
                <w:lang w:val="de-DE"/>
              </w:rPr>
              <w:t>2,04</w:t>
            </w:r>
          </w:p>
        </w:tc>
        <w:tc>
          <w:tcPr>
            <w:tcW w:w="1172" w:type="pct"/>
          </w:tcPr>
          <w:p w14:paraId="6843B6EF" w14:textId="77777777" w:rsidR="00FF7799" w:rsidRPr="00E73F6F" w:rsidRDefault="00FF7799" w:rsidP="007D50DA">
            <w:pPr>
              <w:pStyle w:val="StandardText"/>
              <w:jc w:val="center"/>
              <w:rPr>
                <w:lang w:val="de-DE"/>
              </w:rPr>
            </w:pPr>
            <w:r w:rsidRPr="00E73F6F">
              <w:rPr>
                <w:spacing w:val="-5"/>
                <w:lang w:val="de-DE"/>
              </w:rPr>
              <w:t>+12</w:t>
            </w:r>
          </w:p>
        </w:tc>
      </w:tr>
      <w:tr w:rsidR="00FF7799" w:rsidRPr="00E73F6F" w14:paraId="52A86056" w14:textId="77777777" w:rsidTr="000843DD">
        <w:trPr>
          <w:trHeight w:val="304"/>
        </w:trPr>
        <w:tc>
          <w:tcPr>
            <w:tcW w:w="1328" w:type="pct"/>
            <w:shd w:val="clear" w:color="auto" w:fill="FFF2CC" w:themeFill="accent4" w:themeFillTint="33"/>
          </w:tcPr>
          <w:p w14:paraId="5C1EB654" w14:textId="77777777" w:rsidR="00FF7799" w:rsidRPr="00E73F6F" w:rsidRDefault="00FF7799" w:rsidP="007D50DA">
            <w:pPr>
              <w:pStyle w:val="StandardText"/>
              <w:rPr>
                <w:lang w:val="de-DE"/>
              </w:rPr>
            </w:pPr>
            <w:r w:rsidRPr="00E73F6F">
              <w:rPr>
                <w:lang w:val="de-DE"/>
              </w:rPr>
              <w:t>Niederländischer</w:t>
            </w:r>
            <w:r w:rsidRPr="00E73F6F">
              <w:rPr>
                <w:spacing w:val="18"/>
                <w:lang w:val="de-DE"/>
              </w:rPr>
              <w:t xml:space="preserve"> </w:t>
            </w:r>
            <w:r w:rsidRPr="00E73F6F">
              <w:rPr>
                <w:lang w:val="de-DE"/>
              </w:rPr>
              <w:t>Gulden</w:t>
            </w:r>
          </w:p>
        </w:tc>
        <w:tc>
          <w:tcPr>
            <w:tcW w:w="1328" w:type="pct"/>
          </w:tcPr>
          <w:p w14:paraId="2145ADC0" w14:textId="77777777" w:rsidR="00FF7799" w:rsidRPr="00E73F6F" w:rsidRDefault="00FF7799" w:rsidP="007D50DA">
            <w:pPr>
              <w:pStyle w:val="StandardText"/>
              <w:jc w:val="center"/>
              <w:rPr>
                <w:lang w:val="de-DE"/>
              </w:rPr>
            </w:pPr>
            <w:r w:rsidRPr="00E73F6F">
              <w:rPr>
                <w:spacing w:val="-4"/>
                <w:lang w:val="de-DE"/>
              </w:rPr>
              <w:t>2,05</w:t>
            </w:r>
          </w:p>
        </w:tc>
        <w:tc>
          <w:tcPr>
            <w:tcW w:w="1172" w:type="pct"/>
          </w:tcPr>
          <w:p w14:paraId="0927748C" w14:textId="77777777" w:rsidR="00FF7799" w:rsidRPr="00E73F6F" w:rsidRDefault="00FF7799" w:rsidP="007D50DA">
            <w:pPr>
              <w:pStyle w:val="StandardText"/>
              <w:jc w:val="center"/>
              <w:rPr>
                <w:lang w:val="de-DE"/>
              </w:rPr>
            </w:pPr>
            <w:r w:rsidRPr="00E73F6F">
              <w:rPr>
                <w:spacing w:val="-4"/>
                <w:lang w:val="de-DE"/>
              </w:rPr>
              <w:t>2,24</w:t>
            </w:r>
          </w:p>
        </w:tc>
        <w:tc>
          <w:tcPr>
            <w:tcW w:w="1172" w:type="pct"/>
          </w:tcPr>
          <w:p w14:paraId="49AED183" w14:textId="77777777" w:rsidR="00FF7799" w:rsidRPr="00E73F6F" w:rsidRDefault="00FF7799" w:rsidP="007D50DA">
            <w:pPr>
              <w:pStyle w:val="StandardText"/>
              <w:jc w:val="center"/>
              <w:rPr>
                <w:lang w:val="de-DE"/>
              </w:rPr>
            </w:pPr>
            <w:r w:rsidRPr="00E73F6F">
              <w:rPr>
                <w:spacing w:val="-5"/>
                <w:lang w:val="de-DE"/>
              </w:rPr>
              <w:t>+9</w:t>
            </w:r>
          </w:p>
        </w:tc>
      </w:tr>
      <w:tr w:rsidR="00FF7799" w:rsidRPr="00E73F6F" w14:paraId="6D9530F1" w14:textId="77777777" w:rsidTr="000843DD">
        <w:trPr>
          <w:trHeight w:val="304"/>
        </w:trPr>
        <w:tc>
          <w:tcPr>
            <w:tcW w:w="1328" w:type="pct"/>
            <w:shd w:val="clear" w:color="auto" w:fill="FFF2CC" w:themeFill="accent4" w:themeFillTint="33"/>
          </w:tcPr>
          <w:p w14:paraId="2084A39A" w14:textId="77777777" w:rsidR="00FF7799" w:rsidRPr="00E73F6F" w:rsidRDefault="00FF7799" w:rsidP="007D50DA">
            <w:pPr>
              <w:pStyle w:val="StandardText"/>
              <w:rPr>
                <w:lang w:val="de-DE"/>
              </w:rPr>
            </w:pPr>
            <w:r w:rsidRPr="00E73F6F">
              <w:rPr>
                <w:lang w:val="de-DE"/>
              </w:rPr>
              <w:t>Italienische</w:t>
            </w:r>
            <w:r w:rsidRPr="00E73F6F">
              <w:rPr>
                <w:spacing w:val="-10"/>
                <w:lang w:val="de-DE"/>
              </w:rPr>
              <w:t xml:space="preserve"> </w:t>
            </w:r>
            <w:r w:rsidRPr="00E73F6F">
              <w:rPr>
                <w:spacing w:val="-4"/>
                <w:lang w:val="de-DE"/>
              </w:rPr>
              <w:t>Lira</w:t>
            </w:r>
          </w:p>
        </w:tc>
        <w:tc>
          <w:tcPr>
            <w:tcW w:w="1328" w:type="pct"/>
          </w:tcPr>
          <w:p w14:paraId="1B85150D" w14:textId="77777777" w:rsidR="00FF7799" w:rsidRPr="00E73F6F" w:rsidRDefault="00FF7799" w:rsidP="007D50DA">
            <w:pPr>
              <w:pStyle w:val="StandardText"/>
              <w:jc w:val="center"/>
              <w:rPr>
                <w:lang w:val="de-DE"/>
              </w:rPr>
            </w:pPr>
            <w:r w:rsidRPr="00E73F6F">
              <w:rPr>
                <w:lang w:val="de-DE"/>
              </w:rPr>
              <w:t>1.799</w:t>
            </w:r>
          </w:p>
        </w:tc>
        <w:tc>
          <w:tcPr>
            <w:tcW w:w="1172" w:type="pct"/>
          </w:tcPr>
          <w:p w14:paraId="5B855FD9" w14:textId="77777777" w:rsidR="00FF7799" w:rsidRPr="00E73F6F" w:rsidRDefault="00FF7799" w:rsidP="007D50DA">
            <w:pPr>
              <w:pStyle w:val="StandardText"/>
              <w:jc w:val="center"/>
              <w:rPr>
                <w:lang w:val="de-DE"/>
              </w:rPr>
            </w:pPr>
            <w:r w:rsidRPr="00E73F6F">
              <w:rPr>
                <w:spacing w:val="-4"/>
                <w:lang w:val="de-DE"/>
              </w:rPr>
              <w:t>1852</w:t>
            </w:r>
          </w:p>
        </w:tc>
        <w:tc>
          <w:tcPr>
            <w:tcW w:w="1172" w:type="pct"/>
          </w:tcPr>
          <w:p w14:paraId="26BAF6A7" w14:textId="77777777" w:rsidR="00FF7799" w:rsidRPr="00E73F6F" w:rsidRDefault="00FF7799" w:rsidP="007D50DA">
            <w:pPr>
              <w:pStyle w:val="StandardText"/>
              <w:jc w:val="center"/>
              <w:rPr>
                <w:lang w:val="de-DE"/>
              </w:rPr>
            </w:pPr>
            <w:r w:rsidRPr="00E73F6F">
              <w:rPr>
                <w:spacing w:val="-5"/>
                <w:lang w:val="de-DE"/>
              </w:rPr>
              <w:t>+3</w:t>
            </w:r>
          </w:p>
        </w:tc>
      </w:tr>
      <w:tr w:rsidR="00FF7799" w:rsidRPr="00E73F6F" w14:paraId="3BC94D7E" w14:textId="77777777" w:rsidTr="000843DD">
        <w:trPr>
          <w:trHeight w:val="304"/>
        </w:trPr>
        <w:tc>
          <w:tcPr>
            <w:tcW w:w="1328" w:type="pct"/>
            <w:shd w:val="clear" w:color="auto" w:fill="FFF2CC" w:themeFill="accent4" w:themeFillTint="33"/>
          </w:tcPr>
          <w:p w14:paraId="0F838A4F" w14:textId="77777777" w:rsidR="00FF7799" w:rsidRPr="00E73F6F" w:rsidRDefault="00FF7799" w:rsidP="007D50DA">
            <w:pPr>
              <w:pStyle w:val="StandardText"/>
              <w:rPr>
                <w:lang w:val="de-DE"/>
              </w:rPr>
            </w:pPr>
            <w:r w:rsidRPr="00E73F6F">
              <w:rPr>
                <w:lang w:val="de-DE"/>
              </w:rPr>
              <w:lastRenderedPageBreak/>
              <w:t>Spanische</w:t>
            </w:r>
            <w:r w:rsidRPr="00E73F6F">
              <w:rPr>
                <w:spacing w:val="-9"/>
                <w:lang w:val="de-DE"/>
              </w:rPr>
              <w:t xml:space="preserve"> </w:t>
            </w:r>
            <w:r w:rsidRPr="00E73F6F">
              <w:rPr>
                <w:lang w:val="de-DE"/>
              </w:rPr>
              <w:t>Peseta</w:t>
            </w:r>
          </w:p>
        </w:tc>
        <w:tc>
          <w:tcPr>
            <w:tcW w:w="1328" w:type="pct"/>
          </w:tcPr>
          <w:p w14:paraId="445DBCCF" w14:textId="77777777" w:rsidR="00FF7799" w:rsidRPr="00E73F6F" w:rsidRDefault="00FF7799" w:rsidP="007D50DA">
            <w:pPr>
              <w:pStyle w:val="StandardText"/>
              <w:jc w:val="center"/>
              <w:rPr>
                <w:lang w:val="de-DE"/>
              </w:rPr>
            </w:pPr>
            <w:r w:rsidRPr="00E73F6F">
              <w:rPr>
                <w:spacing w:val="-5"/>
                <w:lang w:val="de-DE"/>
              </w:rPr>
              <w:t>155</w:t>
            </w:r>
          </w:p>
        </w:tc>
        <w:tc>
          <w:tcPr>
            <w:tcW w:w="1172" w:type="pct"/>
          </w:tcPr>
          <w:p w14:paraId="5B212F4F" w14:textId="77777777" w:rsidR="00FF7799" w:rsidRPr="00E73F6F" w:rsidRDefault="00FF7799" w:rsidP="007D50DA">
            <w:pPr>
              <w:pStyle w:val="StandardText"/>
              <w:jc w:val="center"/>
              <w:rPr>
                <w:lang w:val="de-DE"/>
              </w:rPr>
            </w:pPr>
            <w:r w:rsidRPr="00E73F6F">
              <w:rPr>
                <w:spacing w:val="-5"/>
                <w:lang w:val="de-DE"/>
              </w:rPr>
              <w:t>154</w:t>
            </w:r>
          </w:p>
        </w:tc>
        <w:tc>
          <w:tcPr>
            <w:tcW w:w="1172" w:type="pct"/>
          </w:tcPr>
          <w:p w14:paraId="2320C8EF" w14:textId="77777777" w:rsidR="00FF7799" w:rsidRPr="00E73F6F" w:rsidRDefault="00FF7799" w:rsidP="007D50DA">
            <w:pPr>
              <w:pStyle w:val="StandardText"/>
              <w:jc w:val="center"/>
              <w:rPr>
                <w:lang w:val="de-DE"/>
              </w:rPr>
            </w:pPr>
            <w:r w:rsidRPr="00E73F6F">
              <w:rPr>
                <w:lang w:val="de-DE"/>
              </w:rPr>
              <w:t>0</w:t>
            </w:r>
          </w:p>
        </w:tc>
      </w:tr>
      <w:tr w:rsidR="00FF7799" w:rsidRPr="00E73F6F" w14:paraId="656E4BD8" w14:textId="77777777" w:rsidTr="000843DD">
        <w:trPr>
          <w:trHeight w:val="304"/>
        </w:trPr>
        <w:tc>
          <w:tcPr>
            <w:tcW w:w="1328" w:type="pct"/>
            <w:shd w:val="clear" w:color="auto" w:fill="FFF2CC" w:themeFill="accent4" w:themeFillTint="33"/>
          </w:tcPr>
          <w:p w14:paraId="34AEBE5B" w14:textId="77777777" w:rsidR="00FF7799" w:rsidRPr="00E73F6F" w:rsidRDefault="00FF7799" w:rsidP="007D50DA">
            <w:pPr>
              <w:pStyle w:val="StandardText"/>
              <w:rPr>
                <w:lang w:val="de-DE"/>
              </w:rPr>
            </w:pPr>
            <w:r w:rsidRPr="00E73F6F">
              <w:rPr>
                <w:lang w:val="de-DE"/>
              </w:rPr>
              <w:t>Kanadischer</w:t>
            </w:r>
            <w:r w:rsidRPr="00E73F6F">
              <w:rPr>
                <w:spacing w:val="-10"/>
                <w:lang w:val="de-DE"/>
              </w:rPr>
              <w:t xml:space="preserve"> </w:t>
            </w:r>
            <w:r w:rsidRPr="00E73F6F">
              <w:rPr>
                <w:lang w:val="de-DE"/>
              </w:rPr>
              <w:t>Dollar</w:t>
            </w:r>
          </w:p>
        </w:tc>
        <w:tc>
          <w:tcPr>
            <w:tcW w:w="1328" w:type="pct"/>
          </w:tcPr>
          <w:p w14:paraId="2EC96BE5" w14:textId="77777777" w:rsidR="00FF7799" w:rsidRPr="00E73F6F" w:rsidRDefault="00FF7799" w:rsidP="007D50DA">
            <w:pPr>
              <w:pStyle w:val="StandardText"/>
              <w:jc w:val="center"/>
              <w:rPr>
                <w:lang w:val="de-DE"/>
              </w:rPr>
            </w:pPr>
            <w:r w:rsidRPr="00E73F6F">
              <w:rPr>
                <w:spacing w:val="-4"/>
                <w:lang w:val="de-DE"/>
              </w:rPr>
              <w:t>1,51</w:t>
            </w:r>
          </w:p>
        </w:tc>
        <w:tc>
          <w:tcPr>
            <w:tcW w:w="1172" w:type="pct"/>
          </w:tcPr>
          <w:p w14:paraId="003D0AEF" w14:textId="77777777" w:rsidR="00FF7799" w:rsidRPr="00E73F6F" w:rsidRDefault="00FF7799" w:rsidP="007D50DA">
            <w:pPr>
              <w:pStyle w:val="StandardText"/>
              <w:jc w:val="center"/>
              <w:rPr>
                <w:lang w:val="de-DE"/>
              </w:rPr>
            </w:pPr>
            <w:r w:rsidRPr="00E73F6F">
              <w:rPr>
                <w:spacing w:val="-4"/>
                <w:lang w:val="de-DE"/>
              </w:rPr>
              <w:t>1,23</w:t>
            </w:r>
          </w:p>
        </w:tc>
        <w:tc>
          <w:tcPr>
            <w:tcW w:w="1172" w:type="pct"/>
          </w:tcPr>
          <w:p w14:paraId="40D92507" w14:textId="77777777" w:rsidR="00FF7799" w:rsidRPr="00E73F6F" w:rsidRDefault="00FF7799" w:rsidP="007D50DA">
            <w:pPr>
              <w:pStyle w:val="StandardText"/>
              <w:jc w:val="center"/>
              <w:rPr>
                <w:lang w:val="de-DE"/>
              </w:rPr>
            </w:pPr>
            <w:r w:rsidRPr="00E73F6F">
              <w:rPr>
                <w:lang w:val="de-DE"/>
              </w:rPr>
              <w:t>-</w:t>
            </w:r>
            <w:r w:rsidRPr="00E73F6F">
              <w:rPr>
                <w:spacing w:val="-7"/>
                <w:lang w:val="de-DE"/>
              </w:rPr>
              <w:t>19</w:t>
            </w:r>
          </w:p>
        </w:tc>
      </w:tr>
      <w:tr w:rsidR="00FF7799" w:rsidRPr="00E73F6F" w14:paraId="7E6819FC" w14:textId="77777777" w:rsidTr="000843DD">
        <w:trPr>
          <w:trHeight w:val="305"/>
        </w:trPr>
        <w:tc>
          <w:tcPr>
            <w:tcW w:w="1328" w:type="pct"/>
            <w:shd w:val="clear" w:color="auto" w:fill="FFF2CC" w:themeFill="accent4" w:themeFillTint="33"/>
          </w:tcPr>
          <w:p w14:paraId="53607E93" w14:textId="77777777" w:rsidR="00FF7799" w:rsidRPr="00E73F6F" w:rsidRDefault="00FF7799" w:rsidP="007D50DA">
            <w:pPr>
              <w:pStyle w:val="StandardText"/>
              <w:rPr>
                <w:lang w:val="de-DE"/>
              </w:rPr>
            </w:pPr>
            <w:r w:rsidRPr="00E73F6F">
              <w:rPr>
                <w:lang w:val="de-DE"/>
              </w:rPr>
              <w:t>Polnischer</w:t>
            </w:r>
            <w:r w:rsidRPr="00E73F6F">
              <w:rPr>
                <w:spacing w:val="-9"/>
                <w:lang w:val="de-DE"/>
              </w:rPr>
              <w:t xml:space="preserve"> </w:t>
            </w:r>
            <w:r w:rsidRPr="00E73F6F">
              <w:rPr>
                <w:lang w:val="de-DE"/>
              </w:rPr>
              <w:t>Sloty</w:t>
            </w:r>
          </w:p>
        </w:tc>
        <w:tc>
          <w:tcPr>
            <w:tcW w:w="1328" w:type="pct"/>
          </w:tcPr>
          <w:p w14:paraId="37E4B6D4" w14:textId="77777777" w:rsidR="00FF7799" w:rsidRPr="00E73F6F" w:rsidRDefault="00FF7799" w:rsidP="007D50DA">
            <w:pPr>
              <w:pStyle w:val="StandardText"/>
              <w:jc w:val="center"/>
              <w:rPr>
                <w:lang w:val="de-DE"/>
              </w:rPr>
            </w:pPr>
            <w:r w:rsidRPr="00E73F6F">
              <w:rPr>
                <w:spacing w:val="-4"/>
                <w:lang w:val="de-DE"/>
              </w:rPr>
              <w:t>3,98</w:t>
            </w:r>
          </w:p>
        </w:tc>
        <w:tc>
          <w:tcPr>
            <w:tcW w:w="1172" w:type="pct"/>
          </w:tcPr>
          <w:p w14:paraId="5C46AC4B" w14:textId="77777777" w:rsidR="00FF7799" w:rsidRPr="00E73F6F" w:rsidRDefault="00FF7799" w:rsidP="007D50DA">
            <w:pPr>
              <w:pStyle w:val="StandardText"/>
              <w:jc w:val="center"/>
              <w:rPr>
                <w:lang w:val="de-DE"/>
              </w:rPr>
            </w:pPr>
            <w:r w:rsidRPr="00E73F6F">
              <w:rPr>
                <w:spacing w:val="-4"/>
                <w:lang w:val="de-DE"/>
              </w:rPr>
              <w:t>2,26</w:t>
            </w:r>
          </w:p>
        </w:tc>
        <w:tc>
          <w:tcPr>
            <w:tcW w:w="1172" w:type="pct"/>
          </w:tcPr>
          <w:p w14:paraId="1E4CABD0" w14:textId="77777777" w:rsidR="00FF7799" w:rsidRPr="00E73F6F" w:rsidRDefault="00FF7799" w:rsidP="007D50DA">
            <w:pPr>
              <w:pStyle w:val="StandardText"/>
              <w:jc w:val="center"/>
              <w:rPr>
                <w:lang w:val="de-DE"/>
              </w:rPr>
            </w:pPr>
            <w:r w:rsidRPr="00E73F6F">
              <w:rPr>
                <w:lang w:val="de-DE"/>
              </w:rPr>
              <w:t>-</w:t>
            </w:r>
            <w:r w:rsidRPr="00E73F6F">
              <w:rPr>
                <w:spacing w:val="-7"/>
                <w:lang w:val="de-DE"/>
              </w:rPr>
              <w:t>43</w:t>
            </w:r>
          </w:p>
        </w:tc>
      </w:tr>
      <w:tr w:rsidR="00FF7799" w:rsidRPr="00E73F6F" w14:paraId="658FB275" w14:textId="77777777" w:rsidTr="000843DD">
        <w:trPr>
          <w:trHeight w:val="302"/>
        </w:trPr>
        <w:tc>
          <w:tcPr>
            <w:tcW w:w="1328" w:type="pct"/>
            <w:shd w:val="clear" w:color="auto" w:fill="FFF2CC" w:themeFill="accent4" w:themeFillTint="33"/>
          </w:tcPr>
          <w:p w14:paraId="7AB9C710" w14:textId="77777777" w:rsidR="00FF7799" w:rsidRPr="00E73F6F" w:rsidRDefault="00FF7799" w:rsidP="007D50DA">
            <w:pPr>
              <w:pStyle w:val="StandardText"/>
              <w:rPr>
                <w:lang w:val="de-DE"/>
              </w:rPr>
            </w:pPr>
            <w:r w:rsidRPr="00E73F6F">
              <w:rPr>
                <w:lang w:val="de-DE"/>
              </w:rPr>
              <w:t>Russischer</w:t>
            </w:r>
            <w:r w:rsidRPr="00E73F6F">
              <w:rPr>
                <w:spacing w:val="-10"/>
                <w:lang w:val="de-DE"/>
              </w:rPr>
              <w:t xml:space="preserve"> </w:t>
            </w:r>
            <w:r w:rsidRPr="00E73F6F">
              <w:rPr>
                <w:lang w:val="de-DE"/>
              </w:rPr>
              <w:t>Rubel</w:t>
            </w:r>
          </w:p>
        </w:tc>
        <w:tc>
          <w:tcPr>
            <w:tcW w:w="1328" w:type="pct"/>
          </w:tcPr>
          <w:p w14:paraId="4416AE05" w14:textId="77777777" w:rsidR="00FF7799" w:rsidRPr="00E73F6F" w:rsidRDefault="00FF7799" w:rsidP="007D50DA">
            <w:pPr>
              <w:pStyle w:val="StandardText"/>
              <w:jc w:val="center"/>
              <w:rPr>
                <w:lang w:val="de-DE"/>
              </w:rPr>
            </w:pPr>
            <w:r w:rsidRPr="00E73F6F">
              <w:rPr>
                <w:spacing w:val="-4"/>
                <w:lang w:val="de-DE"/>
              </w:rPr>
              <w:t>24,7</w:t>
            </w:r>
          </w:p>
        </w:tc>
        <w:tc>
          <w:tcPr>
            <w:tcW w:w="1172" w:type="pct"/>
          </w:tcPr>
          <w:p w14:paraId="351EBD60" w14:textId="77777777" w:rsidR="00FF7799" w:rsidRPr="00E73F6F" w:rsidRDefault="00FF7799" w:rsidP="007D50DA">
            <w:pPr>
              <w:pStyle w:val="StandardText"/>
              <w:jc w:val="center"/>
              <w:rPr>
                <w:lang w:val="de-DE"/>
              </w:rPr>
            </w:pPr>
            <w:r w:rsidRPr="00E73F6F">
              <w:rPr>
                <w:spacing w:val="-4"/>
                <w:lang w:val="de-DE"/>
              </w:rPr>
              <w:t>13,8</w:t>
            </w:r>
          </w:p>
        </w:tc>
        <w:tc>
          <w:tcPr>
            <w:tcW w:w="1172" w:type="pct"/>
          </w:tcPr>
          <w:p w14:paraId="7753D141" w14:textId="77777777" w:rsidR="00FF7799" w:rsidRPr="00E73F6F" w:rsidRDefault="00FF7799" w:rsidP="007D50DA">
            <w:pPr>
              <w:pStyle w:val="StandardText"/>
              <w:jc w:val="center"/>
              <w:rPr>
                <w:lang w:val="de-DE"/>
              </w:rPr>
            </w:pPr>
            <w:r w:rsidRPr="00E73F6F">
              <w:rPr>
                <w:lang w:val="de-DE"/>
              </w:rPr>
              <w:t>-</w:t>
            </w:r>
            <w:r w:rsidRPr="00E73F6F">
              <w:rPr>
                <w:spacing w:val="-7"/>
                <w:lang w:val="de-DE"/>
              </w:rPr>
              <w:t>44</w:t>
            </w:r>
          </w:p>
        </w:tc>
      </w:tr>
      <w:tr w:rsidR="00FF7799" w:rsidRPr="00E73F6F" w14:paraId="6F3C1451" w14:textId="77777777" w:rsidTr="000843DD">
        <w:trPr>
          <w:trHeight w:val="304"/>
        </w:trPr>
        <w:tc>
          <w:tcPr>
            <w:tcW w:w="1328" w:type="pct"/>
            <w:shd w:val="clear" w:color="auto" w:fill="FFF2CC" w:themeFill="accent4" w:themeFillTint="33"/>
          </w:tcPr>
          <w:p w14:paraId="54BE187B" w14:textId="77777777" w:rsidR="00FF7799" w:rsidRPr="00E73F6F" w:rsidRDefault="00FF7799" w:rsidP="007D50DA">
            <w:pPr>
              <w:pStyle w:val="StandardText"/>
              <w:rPr>
                <w:lang w:val="de-DE"/>
              </w:rPr>
            </w:pPr>
            <w:r w:rsidRPr="00E73F6F">
              <w:rPr>
                <w:lang w:val="de-DE"/>
              </w:rPr>
              <w:t>Ungarische</w:t>
            </w:r>
            <w:r w:rsidRPr="00E73F6F">
              <w:rPr>
                <w:spacing w:val="-10"/>
                <w:lang w:val="de-DE"/>
              </w:rPr>
              <w:t xml:space="preserve"> </w:t>
            </w:r>
            <w:r w:rsidRPr="00E73F6F">
              <w:rPr>
                <w:lang w:val="de-DE"/>
              </w:rPr>
              <w:t>Forint</w:t>
            </w:r>
          </w:p>
        </w:tc>
        <w:tc>
          <w:tcPr>
            <w:tcW w:w="1328" w:type="pct"/>
          </w:tcPr>
          <w:p w14:paraId="1BBE08B1" w14:textId="77777777" w:rsidR="00FF7799" w:rsidRPr="00E73F6F" w:rsidRDefault="00FF7799" w:rsidP="007D50DA">
            <w:pPr>
              <w:pStyle w:val="StandardText"/>
              <w:jc w:val="center"/>
              <w:rPr>
                <w:lang w:val="de-DE"/>
              </w:rPr>
            </w:pPr>
            <w:r w:rsidRPr="00E73F6F">
              <w:rPr>
                <w:spacing w:val="-5"/>
                <w:lang w:val="de-DE"/>
              </w:rPr>
              <w:t>237</w:t>
            </w:r>
          </w:p>
        </w:tc>
        <w:tc>
          <w:tcPr>
            <w:tcW w:w="1172" w:type="pct"/>
          </w:tcPr>
          <w:p w14:paraId="64603841" w14:textId="77777777" w:rsidR="00FF7799" w:rsidRPr="00E73F6F" w:rsidRDefault="00FF7799" w:rsidP="007D50DA">
            <w:pPr>
              <w:pStyle w:val="StandardText"/>
              <w:jc w:val="center"/>
              <w:rPr>
                <w:lang w:val="de-DE"/>
              </w:rPr>
            </w:pPr>
            <w:r w:rsidRPr="00E73F6F">
              <w:rPr>
                <w:spacing w:val="-5"/>
                <w:lang w:val="de-DE"/>
              </w:rPr>
              <w:t>123</w:t>
            </w:r>
          </w:p>
        </w:tc>
        <w:tc>
          <w:tcPr>
            <w:tcW w:w="1172" w:type="pct"/>
          </w:tcPr>
          <w:p w14:paraId="5A5AFA2A" w14:textId="77777777" w:rsidR="00FF7799" w:rsidRPr="00E73F6F" w:rsidRDefault="00FF7799" w:rsidP="007D50DA">
            <w:pPr>
              <w:pStyle w:val="StandardText"/>
              <w:jc w:val="center"/>
              <w:rPr>
                <w:lang w:val="de-DE"/>
              </w:rPr>
            </w:pPr>
            <w:r w:rsidRPr="00E73F6F">
              <w:rPr>
                <w:lang w:val="de-DE"/>
              </w:rPr>
              <w:t>-</w:t>
            </w:r>
            <w:r w:rsidRPr="00E73F6F">
              <w:rPr>
                <w:spacing w:val="-7"/>
                <w:lang w:val="de-DE"/>
              </w:rPr>
              <w:t>48</w:t>
            </w:r>
          </w:p>
        </w:tc>
      </w:tr>
      <w:tr w:rsidR="00FF7799" w:rsidRPr="00E73F6F" w14:paraId="494355DC" w14:textId="77777777" w:rsidTr="007D50DA">
        <w:trPr>
          <w:trHeight w:val="398"/>
        </w:trPr>
        <w:tc>
          <w:tcPr>
            <w:tcW w:w="5000" w:type="pct"/>
            <w:gridSpan w:val="4"/>
          </w:tcPr>
          <w:p w14:paraId="6EE45950" w14:textId="77777777" w:rsidR="00FF7799" w:rsidRPr="00E73F6F" w:rsidRDefault="00FF7799" w:rsidP="007D50DA">
            <w:pPr>
              <w:pStyle w:val="Quellen"/>
              <w:rPr>
                <w:lang w:val="de-DE"/>
              </w:rPr>
            </w:pPr>
            <w:r w:rsidRPr="00E73F6F">
              <w:rPr>
                <w:lang w:val="de-DE"/>
              </w:rPr>
              <w:t>Anmerkung: Der</w:t>
            </w:r>
            <w:r w:rsidRPr="00E73F6F">
              <w:rPr>
                <w:spacing w:val="-4"/>
                <w:lang w:val="de-DE"/>
              </w:rPr>
              <w:t xml:space="preserve"> </w:t>
            </w:r>
            <w:r w:rsidRPr="00E73F6F">
              <w:rPr>
                <w:lang w:val="de-DE"/>
              </w:rPr>
              <w:t>„Big</w:t>
            </w:r>
            <w:r w:rsidRPr="00E73F6F">
              <w:rPr>
                <w:spacing w:val="-4"/>
                <w:lang w:val="de-DE"/>
              </w:rPr>
              <w:t xml:space="preserve"> </w:t>
            </w:r>
            <w:r w:rsidRPr="00E73F6F">
              <w:rPr>
                <w:lang w:val="de-DE"/>
              </w:rPr>
              <w:t>Mac-Index“</w:t>
            </w:r>
            <w:r w:rsidRPr="00E73F6F">
              <w:rPr>
                <w:spacing w:val="-5"/>
                <w:lang w:val="de-DE"/>
              </w:rPr>
              <w:t xml:space="preserve"> </w:t>
            </w:r>
            <w:r w:rsidRPr="00E73F6F">
              <w:rPr>
                <w:lang w:val="de-DE"/>
              </w:rPr>
              <w:t>berechnet</w:t>
            </w:r>
            <w:r w:rsidRPr="00E73F6F">
              <w:rPr>
                <w:spacing w:val="-4"/>
                <w:lang w:val="de-DE"/>
              </w:rPr>
              <w:t xml:space="preserve"> </w:t>
            </w:r>
            <w:r w:rsidRPr="00E73F6F">
              <w:rPr>
                <w:lang w:val="de-DE"/>
              </w:rPr>
              <w:t>sich</w:t>
            </w:r>
            <w:r w:rsidRPr="00E73F6F">
              <w:rPr>
                <w:spacing w:val="-5"/>
                <w:lang w:val="de-DE"/>
              </w:rPr>
              <w:t xml:space="preserve"> </w:t>
            </w:r>
            <w:r w:rsidRPr="00E73F6F">
              <w:rPr>
                <w:lang w:val="de-DE"/>
              </w:rPr>
              <w:t>als</w:t>
            </w:r>
            <w:r w:rsidRPr="00E73F6F">
              <w:rPr>
                <w:spacing w:val="-6"/>
                <w:lang w:val="de-DE"/>
              </w:rPr>
              <w:t xml:space="preserve"> </w:t>
            </w:r>
            <w:r w:rsidRPr="00E73F6F">
              <w:rPr>
                <w:lang w:val="de-DE"/>
              </w:rPr>
              <w:t>Abweichung</w:t>
            </w:r>
            <w:r w:rsidRPr="00E73F6F">
              <w:rPr>
                <w:spacing w:val="-5"/>
                <w:lang w:val="de-DE"/>
              </w:rPr>
              <w:t xml:space="preserve"> </w:t>
            </w:r>
            <w:r w:rsidRPr="00E73F6F">
              <w:rPr>
                <w:lang w:val="de-DE"/>
              </w:rPr>
              <w:t>(in</w:t>
            </w:r>
            <w:r w:rsidRPr="00E73F6F">
              <w:rPr>
                <w:spacing w:val="-4"/>
                <w:lang w:val="de-DE"/>
              </w:rPr>
              <w:t xml:space="preserve"> </w:t>
            </w:r>
            <w:r w:rsidRPr="00E73F6F">
              <w:rPr>
                <w:lang w:val="de-DE"/>
              </w:rPr>
              <w:t>%)</w:t>
            </w:r>
            <w:r w:rsidRPr="00E73F6F">
              <w:rPr>
                <w:spacing w:val="-4"/>
                <w:lang w:val="de-DE"/>
              </w:rPr>
              <w:t xml:space="preserve"> </w:t>
            </w:r>
            <w:r w:rsidRPr="00E73F6F">
              <w:rPr>
                <w:lang w:val="de-DE"/>
              </w:rPr>
              <w:t>zwischen</w:t>
            </w:r>
            <w:r w:rsidRPr="00E73F6F">
              <w:rPr>
                <w:spacing w:val="-5"/>
                <w:lang w:val="de-DE"/>
              </w:rPr>
              <w:t xml:space="preserve"> </w:t>
            </w:r>
            <w:r w:rsidRPr="00E73F6F">
              <w:rPr>
                <w:lang w:val="de-DE"/>
              </w:rPr>
              <w:t>dem</w:t>
            </w:r>
            <w:r w:rsidRPr="00E73F6F">
              <w:rPr>
                <w:spacing w:val="-4"/>
                <w:lang w:val="de-DE"/>
              </w:rPr>
              <w:t xml:space="preserve"> </w:t>
            </w:r>
            <w:r w:rsidRPr="00E73F6F">
              <w:rPr>
                <w:lang w:val="de-DE"/>
              </w:rPr>
              <w:t>Preis,</w:t>
            </w:r>
            <w:r w:rsidRPr="00E73F6F">
              <w:rPr>
                <w:spacing w:val="-6"/>
                <w:lang w:val="de-DE"/>
              </w:rPr>
              <w:t xml:space="preserve"> </w:t>
            </w:r>
            <w:r w:rsidRPr="00E73F6F">
              <w:rPr>
                <w:lang w:val="de-DE"/>
              </w:rPr>
              <w:t>der</w:t>
            </w:r>
            <w:r w:rsidRPr="00E73F6F">
              <w:rPr>
                <w:spacing w:val="-4"/>
                <w:lang w:val="de-DE"/>
              </w:rPr>
              <w:t xml:space="preserve"> </w:t>
            </w:r>
            <w:r w:rsidRPr="00E73F6F">
              <w:rPr>
                <w:lang w:val="de-DE"/>
              </w:rPr>
              <w:t>für</w:t>
            </w:r>
            <w:r w:rsidRPr="00E73F6F">
              <w:rPr>
                <w:spacing w:val="-4"/>
                <w:lang w:val="de-DE"/>
              </w:rPr>
              <w:t xml:space="preserve"> </w:t>
            </w:r>
            <w:r w:rsidRPr="00E73F6F">
              <w:rPr>
                <w:lang w:val="de-DE"/>
              </w:rPr>
              <w:t>einen</w:t>
            </w:r>
            <w:r w:rsidRPr="00E73F6F">
              <w:rPr>
                <w:spacing w:val="-5"/>
                <w:lang w:val="de-DE"/>
              </w:rPr>
              <w:t xml:space="preserve"> </w:t>
            </w:r>
            <w:r w:rsidRPr="00E73F6F">
              <w:rPr>
                <w:lang w:val="de-DE"/>
              </w:rPr>
              <w:t>'big</w:t>
            </w:r>
            <w:r w:rsidRPr="00E73F6F">
              <w:rPr>
                <w:spacing w:val="40"/>
                <w:lang w:val="de-DE"/>
              </w:rPr>
              <w:t xml:space="preserve"> </w:t>
            </w:r>
            <w:r w:rsidRPr="00E73F6F">
              <w:rPr>
                <w:lang w:val="de-DE"/>
              </w:rPr>
              <w:t>mac' in den USA und dem Preis, der dafür in dem jeweiligen Land verlangt wird.</w:t>
            </w:r>
          </w:p>
        </w:tc>
      </w:tr>
    </w:tbl>
    <w:p w14:paraId="3741C63E" w14:textId="77777777" w:rsidR="00FF7799" w:rsidRPr="00E73F6F" w:rsidRDefault="00FF7799" w:rsidP="007D50DA">
      <w:pPr>
        <w:pStyle w:val="Quellen"/>
      </w:pPr>
      <w:r w:rsidRPr="00E73F6F">
        <w:t>Quelle:</w:t>
      </w:r>
      <w:r w:rsidRPr="00E73F6F">
        <w:tab/>
        <w:t>The Economist.</w:t>
      </w:r>
    </w:p>
    <w:p w14:paraId="715F12E2" w14:textId="77777777" w:rsidR="00FF7799" w:rsidRPr="00E73F6F" w:rsidRDefault="00FF7799" w:rsidP="007D50DA">
      <w:pPr>
        <w:pStyle w:val="StandardText"/>
      </w:pPr>
    </w:p>
    <w:p w14:paraId="67646A8D" w14:textId="77777777" w:rsidR="00FF7799" w:rsidRDefault="00FF7799" w:rsidP="007D50DA">
      <w:pPr>
        <w:pStyle w:val="StandardText"/>
      </w:pPr>
      <w:r w:rsidRPr="000843DD">
        <w:t>Wechselkursschwankungen in Gestalt eines „starken Euros“ werden gerne als Argument</w:t>
      </w:r>
      <w:r w:rsidRPr="000843DD">
        <w:rPr>
          <w:spacing w:val="-8"/>
        </w:rPr>
        <w:t xml:space="preserve"> </w:t>
      </w:r>
      <w:r w:rsidRPr="000843DD">
        <w:t>für</w:t>
      </w:r>
      <w:r w:rsidRPr="000843DD">
        <w:rPr>
          <w:spacing w:val="-10"/>
        </w:rPr>
        <w:t xml:space="preserve"> </w:t>
      </w:r>
      <w:r w:rsidRPr="000843DD">
        <w:t>angebliche</w:t>
      </w:r>
      <w:r w:rsidRPr="000843DD">
        <w:rPr>
          <w:spacing w:val="-9"/>
        </w:rPr>
        <w:t xml:space="preserve"> </w:t>
      </w:r>
      <w:r w:rsidRPr="000843DD">
        <w:t>Probleme</w:t>
      </w:r>
      <w:r w:rsidRPr="000843DD">
        <w:rPr>
          <w:spacing w:val="-9"/>
        </w:rPr>
        <w:t xml:space="preserve"> </w:t>
      </w:r>
      <w:r w:rsidRPr="000843DD">
        <w:t>der</w:t>
      </w:r>
      <w:r w:rsidRPr="000843DD">
        <w:rPr>
          <w:spacing w:val="-9"/>
        </w:rPr>
        <w:t xml:space="preserve"> </w:t>
      </w:r>
      <w:r w:rsidRPr="000843DD">
        <w:t>deutschen</w:t>
      </w:r>
      <w:r w:rsidRPr="000843DD">
        <w:rPr>
          <w:spacing w:val="-8"/>
        </w:rPr>
        <w:t xml:space="preserve"> </w:t>
      </w:r>
      <w:r w:rsidRPr="000843DD">
        <w:t>Exportwirtschaft</w:t>
      </w:r>
      <w:r w:rsidRPr="000843DD">
        <w:rPr>
          <w:spacing w:val="-10"/>
        </w:rPr>
        <w:t xml:space="preserve"> </w:t>
      </w:r>
      <w:r w:rsidRPr="000843DD">
        <w:t>herangezogen. Tatsächlich aber ist aus einer ganzen Reihe von Gründen das Problempotenzial weit geringer, als gemeinhin angenommen bzw. behauptet wird. Zunächst betreiben die Mitgliedsländer der Europäischen Union zu einem Großteil Intra- Handel, d.h. innerhalb der Wirtschaftsgemeinschaft (vgl. Abb. 1). Verrechnungsbasis ist dann die Gemeinschaftswährung, weshalb sich in diesem Bereich das Wechselkursproblem erst gar nicht stellt. Hinzu komme ein Risikoausgleich, der dadurch entsteht, weil in einer extrem arbeitsteiligen Wirtschaft Wechselkursnachteilen im Exportgeschäft entsprechende Vorteile im Importgeschäft (z. B. Einfuhr) gegenüberstehen. So verteuert eine Dollarabwertung zwar die Ausfuhren des verarbeitenden Gewerbes in dem Dollarraum, verbilligt aber die Einfuhr von Rohstoffen aller Art. Außerdem betreiben große Unternehmen ein gut funktionierendes Risikomanagement und nutzen z.B. derivate Finanzinstrumente, um sich gegen Währungs- und Zinsschwankungen abzusichern (vgl. Graf von Bernstorff 2008).</w:t>
      </w:r>
    </w:p>
    <w:p w14:paraId="12588635" w14:textId="77777777" w:rsidR="00A92766" w:rsidRPr="000843DD" w:rsidRDefault="00A92766" w:rsidP="007D50DA">
      <w:pPr>
        <w:pStyle w:val="StandardText"/>
      </w:pPr>
    </w:p>
    <w:p w14:paraId="692150B4" w14:textId="77777777" w:rsidR="00FF7799" w:rsidRPr="002E3E4F" w:rsidRDefault="00FF7799" w:rsidP="007D50DA">
      <w:pPr>
        <w:pStyle w:val="BeschriftungTab"/>
        <w:rPr>
          <w:i/>
          <w:iCs/>
          <w:spacing w:val="-5"/>
        </w:rPr>
      </w:pPr>
      <w:r w:rsidRPr="002E3E4F">
        <w:rPr>
          <w:i/>
          <w:iCs/>
        </w:rPr>
        <w:t>Abb.</w:t>
      </w:r>
      <w:r w:rsidRPr="002E3E4F">
        <w:rPr>
          <w:i/>
          <w:iCs/>
          <w:spacing w:val="-6"/>
        </w:rPr>
        <w:t xml:space="preserve"> </w:t>
      </w:r>
      <w:r w:rsidRPr="002E3E4F">
        <w:rPr>
          <w:i/>
          <w:iCs/>
        </w:rPr>
        <w:t>1:</w:t>
      </w:r>
      <w:r w:rsidRPr="002E3E4F">
        <w:rPr>
          <w:i/>
          <w:iCs/>
          <w:spacing w:val="-1"/>
        </w:rPr>
        <w:t xml:space="preserve"> </w:t>
      </w:r>
      <w:r w:rsidRPr="002E3E4F">
        <w:rPr>
          <w:i/>
          <w:iCs/>
        </w:rPr>
        <w:t>Welthandelsströme</w:t>
      </w:r>
      <w:r w:rsidRPr="002E3E4F">
        <w:rPr>
          <w:i/>
          <w:iCs/>
          <w:spacing w:val="-2"/>
        </w:rPr>
        <w:t xml:space="preserve"> </w:t>
      </w:r>
      <w:r w:rsidRPr="002E3E4F">
        <w:rPr>
          <w:i/>
          <w:iCs/>
        </w:rPr>
        <w:t>(1997;</w:t>
      </w:r>
      <w:r w:rsidRPr="002E3E4F">
        <w:rPr>
          <w:i/>
          <w:iCs/>
          <w:spacing w:val="-1"/>
        </w:rPr>
        <w:t xml:space="preserve"> </w:t>
      </w:r>
      <w:r w:rsidRPr="002E3E4F">
        <w:rPr>
          <w:i/>
          <w:iCs/>
        </w:rPr>
        <w:t>in</w:t>
      </w:r>
      <w:r w:rsidRPr="002E3E4F">
        <w:rPr>
          <w:i/>
          <w:iCs/>
          <w:spacing w:val="-2"/>
        </w:rPr>
        <w:t xml:space="preserve"> </w:t>
      </w:r>
      <w:r w:rsidRPr="002E3E4F">
        <w:rPr>
          <w:i/>
          <w:iCs/>
        </w:rPr>
        <w:t>Mrd.</w:t>
      </w:r>
      <w:r w:rsidRPr="002E3E4F">
        <w:rPr>
          <w:i/>
          <w:iCs/>
          <w:spacing w:val="-3"/>
        </w:rPr>
        <w:t xml:space="preserve"> </w:t>
      </w:r>
      <w:r w:rsidRPr="002E3E4F">
        <w:rPr>
          <w:i/>
          <w:iCs/>
          <w:spacing w:val="-5"/>
        </w:rPr>
        <w:t xml:space="preserve">$) </w:t>
      </w:r>
    </w:p>
    <w:p w14:paraId="3E220519" w14:textId="77777777" w:rsidR="00FF7799" w:rsidRPr="00E73F6F" w:rsidRDefault="00A92766" w:rsidP="00247954">
      <w:pPr>
        <w:pStyle w:val="StandardText"/>
      </w:pPr>
      <w:r>
        <w:rPr>
          <w:noProof/>
        </w:rPr>
        <w:lastRenderedPageBreak/>
        <w:drawing>
          <wp:inline distT="0" distB="0" distL="0" distR="0" wp14:anchorId="24F63DB7" wp14:editId="15AA6236">
            <wp:extent cx="5804426" cy="4095750"/>
            <wp:effectExtent l="0" t="0" r="635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5810823" cy="4100264"/>
                    </a:xfrm>
                    <a:prstGeom prst="rect">
                      <a:avLst/>
                    </a:prstGeom>
                    <a:noFill/>
                  </pic:spPr>
                </pic:pic>
              </a:graphicData>
            </a:graphic>
          </wp:inline>
        </w:drawing>
      </w:r>
    </w:p>
    <w:p w14:paraId="3A2A65A7" w14:textId="77777777" w:rsidR="00A92766" w:rsidRDefault="00A92766" w:rsidP="00247954">
      <w:pPr>
        <w:pStyle w:val="StandardTextkursiv"/>
      </w:pPr>
    </w:p>
    <w:p w14:paraId="078A7BC8" w14:textId="77777777" w:rsidR="00FF7799" w:rsidRPr="00A92766" w:rsidRDefault="00FF7799" w:rsidP="00247954">
      <w:pPr>
        <w:pStyle w:val="StandardTextkursiv"/>
        <w:rPr>
          <w:i w:val="0"/>
        </w:rPr>
      </w:pPr>
      <w:r w:rsidRPr="00A92766">
        <w:rPr>
          <w:i w:val="0"/>
        </w:rPr>
        <w:t>4 Staatliche</w:t>
      </w:r>
      <w:r w:rsidRPr="00A92766">
        <w:rPr>
          <w:i w:val="0"/>
          <w:spacing w:val="-4"/>
        </w:rPr>
        <w:t xml:space="preserve"> </w:t>
      </w:r>
      <w:r w:rsidRPr="00A92766">
        <w:rPr>
          <w:i w:val="0"/>
        </w:rPr>
        <w:t>Auflagen</w:t>
      </w:r>
      <w:r w:rsidRPr="00A92766">
        <w:rPr>
          <w:i w:val="0"/>
          <w:spacing w:val="-3"/>
        </w:rPr>
        <w:t xml:space="preserve"> </w:t>
      </w:r>
      <w:r w:rsidRPr="00A92766">
        <w:rPr>
          <w:i w:val="0"/>
        </w:rPr>
        <w:t>und</w:t>
      </w:r>
      <w:r w:rsidRPr="00A92766">
        <w:rPr>
          <w:i w:val="0"/>
          <w:spacing w:val="-1"/>
        </w:rPr>
        <w:t xml:space="preserve"> </w:t>
      </w:r>
      <w:r w:rsidRPr="00A92766">
        <w:rPr>
          <w:i w:val="0"/>
        </w:rPr>
        <w:t>sonstige</w:t>
      </w:r>
      <w:r w:rsidRPr="00A92766">
        <w:rPr>
          <w:i w:val="0"/>
          <w:spacing w:val="-3"/>
        </w:rPr>
        <w:t xml:space="preserve"> </w:t>
      </w:r>
      <w:r w:rsidRPr="00A92766">
        <w:rPr>
          <w:i w:val="0"/>
          <w:spacing w:val="-2"/>
        </w:rPr>
        <w:t>Eingriffe</w:t>
      </w:r>
    </w:p>
    <w:p w14:paraId="66BB5F67" w14:textId="77777777" w:rsidR="00FF7799" w:rsidRPr="00A92766" w:rsidRDefault="00FF7799" w:rsidP="004407DA">
      <w:pPr>
        <w:pStyle w:val="StandardText"/>
      </w:pPr>
      <w:r w:rsidRPr="00A92766">
        <w:t>Nicht zuletzt geben Staat, Verbände und Absatzmittler Eckdaten vor bzw. schaffen Rahmenbedingungen, welche für die Preisgestaltung bedeutsam sind. Für international tätige Unternehmen ist es schwierig, diese Normen, Regelwerke und Instrumentarien zu durchdringen, zumal sie in den verschiedenen Auslandsmärkten zum Teil höchst unterschiedlich gestaltet sind und sich zudem häufig ändern.</w:t>
      </w:r>
    </w:p>
    <w:p w14:paraId="3D47D1A7" w14:textId="77777777" w:rsidR="00FF7799" w:rsidRPr="00A92766" w:rsidRDefault="00FF7799" w:rsidP="004407DA">
      <w:pPr>
        <w:pStyle w:val="StandardText"/>
      </w:pPr>
    </w:p>
    <w:p w14:paraId="0742C857" w14:textId="77777777" w:rsidR="00FF7799" w:rsidRPr="00A92766" w:rsidRDefault="0007144F" w:rsidP="00E94FD0">
      <w:pPr>
        <w:pStyle w:val="StandardTextkursiv"/>
        <w:rPr>
          <w:i w:val="0"/>
        </w:rPr>
      </w:pPr>
      <w:r w:rsidRPr="00A92766">
        <w:rPr>
          <w:i w:val="0"/>
        </w:rPr>
        <w:t>4.1</w:t>
      </w:r>
      <w:r w:rsidR="00FF7799" w:rsidRPr="00A92766">
        <w:rPr>
          <w:i w:val="0"/>
        </w:rPr>
        <w:t xml:space="preserve"> Einflussnahme des Handels</w:t>
      </w:r>
    </w:p>
    <w:p w14:paraId="280C6ED3" w14:textId="77777777" w:rsidR="00FF7799" w:rsidRPr="00A92766" w:rsidRDefault="00FF7799" w:rsidP="004407DA">
      <w:pPr>
        <w:pStyle w:val="StandardText"/>
      </w:pPr>
      <w:r w:rsidRPr="00A92766">
        <w:t>In vielen Fällen sorgen allein schon gravierende Unterschiede in der Handelsspanne für spürbare Preisunterschiede. Sie kann für ein identisches Körperpflegeprodukt in Deutschland 38%, in Frankreich 20% und in Irland 13% betragen (vgl. Leach 1999, S.56). Hinzu kommen die eigenständigen Preisstrategien der Handelsunternehmen.</w:t>
      </w:r>
    </w:p>
    <w:p w14:paraId="0004577E" w14:textId="77777777" w:rsidR="00FF7799" w:rsidRPr="00A92766" w:rsidRDefault="00FF7799" w:rsidP="004407DA">
      <w:pPr>
        <w:pStyle w:val="StandardText"/>
      </w:pPr>
    </w:p>
    <w:p w14:paraId="419D3126" w14:textId="77777777" w:rsidR="00FF7799" w:rsidRPr="00A92766" w:rsidRDefault="0007144F" w:rsidP="00E94FD0">
      <w:pPr>
        <w:pStyle w:val="StandardTextkursiv"/>
        <w:rPr>
          <w:i w:val="0"/>
        </w:rPr>
      </w:pPr>
      <w:r w:rsidRPr="00A92766">
        <w:rPr>
          <w:i w:val="0"/>
        </w:rPr>
        <w:t>4.</w:t>
      </w:r>
      <w:r w:rsidR="00FF7799" w:rsidRPr="00A92766">
        <w:rPr>
          <w:i w:val="0"/>
        </w:rPr>
        <w:t>2 Einflussnahme staatlicher Instanzen</w:t>
      </w:r>
    </w:p>
    <w:p w14:paraId="4673575F" w14:textId="77777777" w:rsidR="00FF7799" w:rsidRPr="00E73F6F" w:rsidRDefault="00FF7799" w:rsidP="004407DA">
      <w:pPr>
        <w:pStyle w:val="StandardText"/>
      </w:pPr>
      <w:r w:rsidRPr="00E73F6F">
        <w:t>Häufig unterschätzt wird in diesem Kontext die Rolle des Staates. Er kann den Herstellern und anderen Akteuren im Absatzkanal aus politischen Gründen Preisober- und Untergrenzen vorschreiben.</w:t>
      </w:r>
    </w:p>
    <w:p w14:paraId="51EBB3AC" w14:textId="77777777" w:rsidR="00FF7799" w:rsidRPr="00E73F6F" w:rsidRDefault="00FF7799" w:rsidP="004407DA">
      <w:pPr>
        <w:pStyle w:val="StandardText"/>
      </w:pPr>
    </w:p>
    <w:p w14:paraId="5A58B75B" w14:textId="77777777" w:rsidR="00FF7799" w:rsidRPr="002E3E4F" w:rsidRDefault="00FF7799" w:rsidP="00E94FD0">
      <w:pPr>
        <w:pStyle w:val="StandardTextkursiv"/>
        <w:rPr>
          <w:iCs/>
        </w:rPr>
      </w:pPr>
      <w:r w:rsidRPr="002E3E4F">
        <w:rPr>
          <w:iCs/>
        </w:rPr>
        <w:t>Erzeugerschutz</w:t>
      </w:r>
    </w:p>
    <w:p w14:paraId="187F1127" w14:textId="77777777" w:rsidR="00FF7799" w:rsidRPr="00A92766" w:rsidRDefault="00FF7799" w:rsidP="00E94FD0">
      <w:pPr>
        <w:pStyle w:val="StandardText"/>
        <w:rPr>
          <w:spacing w:val="-2"/>
        </w:rPr>
      </w:pPr>
      <w:r w:rsidRPr="00A92766">
        <w:t xml:space="preserve">In vielen Ländern ist der Markt für Lebensmittel stark reguliert. Italien bspw. sicherte 1989 den Landwirten (= Anbieter) per Gesetz zu, dass sie den Liter Milch für 772,47 Lire (ca. 40 Cent) </w:t>
      </w:r>
      <w:r w:rsidRPr="00A92766">
        <w:lastRenderedPageBreak/>
        <w:t>an die Molkereien (= Weiterverarbeiter)</w:t>
      </w:r>
      <w:r w:rsidRPr="00A92766">
        <w:rPr>
          <w:spacing w:val="-6"/>
        </w:rPr>
        <w:t xml:space="preserve"> </w:t>
      </w:r>
      <w:r w:rsidRPr="00A92766">
        <w:t>verkaufen</w:t>
      </w:r>
      <w:r w:rsidRPr="00A92766">
        <w:rPr>
          <w:spacing w:val="-8"/>
        </w:rPr>
        <w:t xml:space="preserve"> </w:t>
      </w:r>
      <w:r w:rsidRPr="00A92766">
        <w:t>können.</w:t>
      </w:r>
      <w:r w:rsidRPr="00A92766">
        <w:rPr>
          <w:spacing w:val="-6"/>
        </w:rPr>
        <w:t xml:space="preserve"> </w:t>
      </w:r>
      <w:r w:rsidRPr="00A92766">
        <w:t>Damit</w:t>
      </w:r>
      <w:r w:rsidRPr="00A92766">
        <w:rPr>
          <w:spacing w:val="-6"/>
        </w:rPr>
        <w:t xml:space="preserve"> </w:t>
      </w:r>
      <w:r w:rsidRPr="00A92766">
        <w:t>musste</w:t>
      </w:r>
      <w:r w:rsidRPr="00A92766">
        <w:rPr>
          <w:spacing w:val="-7"/>
        </w:rPr>
        <w:t xml:space="preserve"> </w:t>
      </w:r>
      <w:r w:rsidRPr="00A92766">
        <w:t>die</w:t>
      </w:r>
      <w:r w:rsidRPr="00A92766">
        <w:rPr>
          <w:spacing w:val="-7"/>
        </w:rPr>
        <w:t xml:space="preserve"> </w:t>
      </w:r>
      <w:r w:rsidRPr="00A92766">
        <w:t>italienische</w:t>
      </w:r>
      <w:r w:rsidRPr="00A92766">
        <w:rPr>
          <w:spacing w:val="-7"/>
        </w:rPr>
        <w:t xml:space="preserve"> </w:t>
      </w:r>
      <w:r w:rsidRPr="00A92766">
        <w:t>verarbeitende Lebensmittelindustrie</w:t>
      </w:r>
      <w:r w:rsidRPr="00A92766">
        <w:rPr>
          <w:spacing w:val="13"/>
        </w:rPr>
        <w:t xml:space="preserve"> </w:t>
      </w:r>
      <w:r w:rsidRPr="00A92766">
        <w:t>30%</w:t>
      </w:r>
      <w:r w:rsidRPr="00A92766">
        <w:rPr>
          <w:spacing w:val="13"/>
        </w:rPr>
        <w:t xml:space="preserve"> </w:t>
      </w:r>
      <w:r w:rsidRPr="00A92766">
        <w:t>höhere</w:t>
      </w:r>
      <w:r w:rsidRPr="00A92766">
        <w:rPr>
          <w:spacing w:val="14"/>
        </w:rPr>
        <w:t xml:space="preserve"> </w:t>
      </w:r>
      <w:r w:rsidRPr="00A92766">
        <w:t>Einkaufspreise</w:t>
      </w:r>
      <w:r w:rsidRPr="00A92766">
        <w:rPr>
          <w:spacing w:val="13"/>
        </w:rPr>
        <w:t xml:space="preserve"> </w:t>
      </w:r>
      <w:r w:rsidRPr="00A92766">
        <w:t>akzeptieren,</w:t>
      </w:r>
      <w:r w:rsidRPr="00A92766">
        <w:rPr>
          <w:spacing w:val="14"/>
        </w:rPr>
        <w:t xml:space="preserve"> </w:t>
      </w:r>
      <w:r w:rsidRPr="00A92766">
        <w:t>als</w:t>
      </w:r>
      <w:r w:rsidRPr="00A92766">
        <w:rPr>
          <w:spacing w:val="12"/>
        </w:rPr>
        <w:t xml:space="preserve"> </w:t>
      </w:r>
      <w:r w:rsidRPr="00A92766">
        <w:t>damals</w:t>
      </w:r>
      <w:r w:rsidRPr="00A92766">
        <w:rPr>
          <w:spacing w:val="14"/>
        </w:rPr>
        <w:t xml:space="preserve"> </w:t>
      </w:r>
      <w:r w:rsidRPr="00A92766">
        <w:t>in</w:t>
      </w:r>
      <w:r w:rsidRPr="00A92766">
        <w:rPr>
          <w:spacing w:val="16"/>
        </w:rPr>
        <w:t xml:space="preserve"> </w:t>
      </w:r>
      <w:r w:rsidRPr="00A92766">
        <w:rPr>
          <w:spacing w:val="-5"/>
        </w:rPr>
        <w:t xml:space="preserve">der </w:t>
      </w:r>
      <w:r w:rsidRPr="00A92766">
        <w:t>Europäischen</w:t>
      </w:r>
      <w:r w:rsidRPr="00A92766">
        <w:rPr>
          <w:spacing w:val="-2"/>
        </w:rPr>
        <w:t xml:space="preserve"> </w:t>
      </w:r>
      <w:r w:rsidRPr="00A92766">
        <w:t>Union</w:t>
      </w:r>
      <w:r w:rsidRPr="00A92766">
        <w:rPr>
          <w:spacing w:val="-1"/>
        </w:rPr>
        <w:t xml:space="preserve"> </w:t>
      </w:r>
      <w:r w:rsidRPr="00A92766">
        <w:rPr>
          <w:spacing w:val="-2"/>
        </w:rPr>
        <w:t>üblich.</w:t>
      </w:r>
    </w:p>
    <w:p w14:paraId="5DC1B8A4" w14:textId="77777777" w:rsidR="00FF7799" w:rsidRPr="00A92766" w:rsidRDefault="00FF7799" w:rsidP="00E94FD0">
      <w:pPr>
        <w:pStyle w:val="StandardText"/>
      </w:pPr>
    </w:p>
    <w:p w14:paraId="6BD5639C" w14:textId="77777777" w:rsidR="00FF7799" w:rsidRPr="002E3E4F" w:rsidRDefault="00FF7799" w:rsidP="00E94FD0">
      <w:pPr>
        <w:pStyle w:val="StandardTextkursiv"/>
        <w:rPr>
          <w:iCs/>
        </w:rPr>
      </w:pPr>
      <w:r w:rsidRPr="002E3E4F">
        <w:rPr>
          <w:iCs/>
        </w:rPr>
        <w:t>Verbraucherschutz</w:t>
      </w:r>
    </w:p>
    <w:p w14:paraId="745B576C" w14:textId="77777777" w:rsidR="00FF7799" w:rsidRPr="00A92766" w:rsidRDefault="00FF7799" w:rsidP="00E94FD0">
      <w:pPr>
        <w:pStyle w:val="StandardText"/>
      </w:pPr>
      <w:r w:rsidRPr="00A92766">
        <w:t>Vor allem dann, wenn es um die Versorgung mit Grundnahrungsmitteln geht, muss man mit Eingriffen politischer Instanzen rechnen. So ist der Brotpreis vielerorts ein „politischer Preis“. In Ägypten bspw. wurde</w:t>
      </w:r>
      <w:r w:rsidRPr="00A92766">
        <w:rPr>
          <w:spacing w:val="-3"/>
        </w:rPr>
        <w:t xml:space="preserve"> </w:t>
      </w:r>
      <w:r w:rsidRPr="00A92766">
        <w:t>er</w:t>
      </w:r>
      <w:r w:rsidRPr="00A92766">
        <w:rPr>
          <w:spacing w:val="-2"/>
        </w:rPr>
        <w:t xml:space="preserve"> </w:t>
      </w:r>
      <w:r w:rsidRPr="00A92766">
        <w:t>in</w:t>
      </w:r>
      <w:r w:rsidRPr="00A92766">
        <w:rPr>
          <w:spacing w:val="-1"/>
        </w:rPr>
        <w:t xml:space="preserve"> </w:t>
      </w:r>
      <w:r w:rsidRPr="00A92766">
        <w:t>den</w:t>
      </w:r>
      <w:r w:rsidRPr="00A92766">
        <w:rPr>
          <w:spacing w:val="-1"/>
        </w:rPr>
        <w:t xml:space="preserve"> </w:t>
      </w:r>
      <w:r w:rsidRPr="00A92766">
        <w:t>1950er-Jahren</w:t>
      </w:r>
      <w:r w:rsidRPr="00A92766">
        <w:rPr>
          <w:spacing w:val="-3"/>
        </w:rPr>
        <w:t xml:space="preserve"> </w:t>
      </w:r>
      <w:r w:rsidRPr="00A92766">
        <w:t>derart</w:t>
      </w:r>
      <w:r w:rsidRPr="00A92766">
        <w:rPr>
          <w:spacing w:val="-2"/>
        </w:rPr>
        <w:t xml:space="preserve"> </w:t>
      </w:r>
      <w:r w:rsidRPr="00A92766">
        <w:t>niedrig</w:t>
      </w:r>
      <w:r w:rsidRPr="00A92766">
        <w:rPr>
          <w:spacing w:val="-3"/>
        </w:rPr>
        <w:t xml:space="preserve"> </w:t>
      </w:r>
      <w:r w:rsidRPr="00A92766">
        <w:t>gehalten,</w:t>
      </w:r>
      <w:r w:rsidRPr="00A92766">
        <w:rPr>
          <w:spacing w:val="-2"/>
        </w:rPr>
        <w:t xml:space="preserve"> </w:t>
      </w:r>
      <w:r w:rsidRPr="00A92766">
        <w:t>dass</w:t>
      </w:r>
      <w:r w:rsidRPr="00A92766">
        <w:rPr>
          <w:spacing w:val="-3"/>
        </w:rPr>
        <w:t xml:space="preserve"> </w:t>
      </w:r>
      <w:r w:rsidRPr="00A92766">
        <w:t>es</w:t>
      </w:r>
      <w:r w:rsidRPr="00A92766">
        <w:rPr>
          <w:spacing w:val="-2"/>
        </w:rPr>
        <w:t xml:space="preserve"> </w:t>
      </w:r>
      <w:r w:rsidRPr="00A92766">
        <w:t>sich</w:t>
      </w:r>
      <w:r w:rsidRPr="00A92766">
        <w:rPr>
          <w:spacing w:val="-1"/>
        </w:rPr>
        <w:t xml:space="preserve"> </w:t>
      </w:r>
      <w:r w:rsidRPr="00A92766">
        <w:t>für</w:t>
      </w:r>
      <w:r w:rsidRPr="00A92766">
        <w:rPr>
          <w:spacing w:val="-2"/>
        </w:rPr>
        <w:t xml:space="preserve"> </w:t>
      </w:r>
      <w:r w:rsidRPr="00A92766">
        <w:t>die</w:t>
      </w:r>
      <w:r w:rsidRPr="00A92766">
        <w:rPr>
          <w:spacing w:val="-2"/>
        </w:rPr>
        <w:t xml:space="preserve"> </w:t>
      </w:r>
      <w:r w:rsidRPr="00A92766">
        <w:t xml:space="preserve">Bauern lohnte, (billiges) Brot anstelle von (teurem) Futtergetreide an ihre Tiere zu </w:t>
      </w:r>
      <w:r w:rsidRPr="00A92766">
        <w:rPr>
          <w:spacing w:val="-2"/>
        </w:rPr>
        <w:t>verfüttern.</w:t>
      </w:r>
    </w:p>
    <w:p w14:paraId="6F35BEE5" w14:textId="77777777" w:rsidR="00FF7799" w:rsidRPr="00A92766" w:rsidRDefault="00FF7799" w:rsidP="00E94FD0">
      <w:pPr>
        <w:pStyle w:val="StandardText"/>
      </w:pPr>
    </w:p>
    <w:p w14:paraId="7BE95059" w14:textId="26E98632" w:rsidR="00FF7799" w:rsidRPr="002E3E4F" w:rsidRDefault="00FF7799" w:rsidP="00E94FD0">
      <w:pPr>
        <w:pStyle w:val="StandardTextkursiv"/>
        <w:rPr>
          <w:iCs/>
        </w:rPr>
      </w:pPr>
      <w:r w:rsidRPr="002E3E4F">
        <w:rPr>
          <w:iCs/>
        </w:rPr>
        <w:t xml:space="preserve">Steuern </w:t>
      </w:r>
      <w:proofErr w:type="gramStart"/>
      <w:r w:rsidR="002E3E4F">
        <w:rPr>
          <w:iCs/>
        </w:rPr>
        <w:t xml:space="preserve">&amp; </w:t>
      </w:r>
      <w:r w:rsidRPr="002E3E4F">
        <w:rPr>
          <w:iCs/>
        </w:rPr>
        <w:t xml:space="preserve"> Zölle</w:t>
      </w:r>
      <w:proofErr w:type="gramEnd"/>
    </w:p>
    <w:p w14:paraId="40BC5B98" w14:textId="77777777" w:rsidR="004C56ED" w:rsidRPr="00E73F6F" w:rsidRDefault="00FF7799" w:rsidP="004C56ED">
      <w:pPr>
        <w:pStyle w:val="StandardText"/>
      </w:pPr>
      <w:r w:rsidRPr="00A92766">
        <w:t>Eine weltweit einheitliche Preisgestaltung scheitert häufig bereits an den unterschiedlichen Modalitäten der Besteuerung in den einzelnen Zielmärkten. So variiert die Mehrwertsteuer innerhalb der EU stark. In Deutschland beträgt sie 16%, in Italien 20% und in Dänemark sogar 25% (vgl. Tab. 3).</w:t>
      </w:r>
      <w:r w:rsidR="004C56ED">
        <w:t xml:space="preserve"> </w:t>
      </w:r>
      <w:r w:rsidR="004C56ED" w:rsidRPr="00E73F6F">
        <w:t xml:space="preserve">Hinzu kommen produktspezifische Abgaben, z.B. auf Alkohol, Benzin oder Tabak. </w:t>
      </w:r>
    </w:p>
    <w:p w14:paraId="1512BA67" w14:textId="77777777" w:rsidR="004C56ED" w:rsidRPr="002E3E4F" w:rsidRDefault="004C56ED" w:rsidP="004407DA">
      <w:pPr>
        <w:pStyle w:val="BeschriftungTab"/>
        <w:rPr>
          <w:i/>
          <w:iCs/>
        </w:rPr>
      </w:pPr>
    </w:p>
    <w:p w14:paraId="0A85AF47" w14:textId="77777777" w:rsidR="00FF7799" w:rsidRPr="002E3E4F" w:rsidRDefault="00FF7799" w:rsidP="004407DA">
      <w:pPr>
        <w:pStyle w:val="BeschriftungTab"/>
        <w:rPr>
          <w:i/>
          <w:iCs/>
        </w:rPr>
      </w:pPr>
      <w:r w:rsidRPr="002E3E4F">
        <w:rPr>
          <w:i/>
          <w:iCs/>
        </w:rPr>
        <w:t>Tab.</w:t>
      </w:r>
      <w:r w:rsidRPr="002E3E4F">
        <w:rPr>
          <w:i/>
          <w:iCs/>
          <w:spacing w:val="-6"/>
        </w:rPr>
        <w:t xml:space="preserve"> </w:t>
      </w:r>
      <w:r w:rsidRPr="002E3E4F">
        <w:rPr>
          <w:i/>
          <w:iCs/>
        </w:rPr>
        <w:t>3:</w:t>
      </w:r>
      <w:r w:rsidRPr="002E3E4F">
        <w:rPr>
          <w:i/>
          <w:iCs/>
          <w:spacing w:val="-8"/>
        </w:rPr>
        <w:t xml:space="preserve"> </w:t>
      </w:r>
      <w:r w:rsidRPr="002E3E4F">
        <w:rPr>
          <w:i/>
          <w:iCs/>
        </w:rPr>
        <w:t>Mehrwertsteuersätze</w:t>
      </w:r>
      <w:r w:rsidRPr="002E3E4F">
        <w:rPr>
          <w:i/>
          <w:iCs/>
          <w:spacing w:val="-7"/>
        </w:rPr>
        <w:t xml:space="preserve"> </w:t>
      </w:r>
      <w:r w:rsidRPr="002E3E4F">
        <w:rPr>
          <w:i/>
          <w:iCs/>
        </w:rPr>
        <w:t>in</w:t>
      </w:r>
      <w:r w:rsidRPr="002E3E4F">
        <w:rPr>
          <w:i/>
          <w:iCs/>
          <w:spacing w:val="-7"/>
        </w:rPr>
        <w:t xml:space="preserve"> </w:t>
      </w:r>
      <w:r w:rsidR="00621BAD" w:rsidRPr="002E3E4F">
        <w:rPr>
          <w:i/>
          <w:iCs/>
        </w:rPr>
        <w:t>ausgewählten europäischen S</w:t>
      </w:r>
      <w:r w:rsidRPr="002E3E4F">
        <w:rPr>
          <w:i/>
          <w:iCs/>
        </w:rPr>
        <w:t xml:space="preserve">taaten (Stand </w:t>
      </w:r>
      <w:r w:rsidR="00621BAD" w:rsidRPr="002E3E4F">
        <w:rPr>
          <w:i/>
          <w:iCs/>
        </w:rPr>
        <w:t>01.01.2020</w:t>
      </w:r>
      <w:r w:rsidRPr="002E3E4F">
        <w:rPr>
          <w:i/>
          <w:iCs/>
        </w:rPr>
        <w:t>, in %)</w:t>
      </w:r>
    </w:p>
    <w:tbl>
      <w:tblPr>
        <w:tblStyle w:val="TableNormal"/>
        <w:tblW w:w="5000" w:type="pct"/>
        <w:tblLook w:val="01E0" w:firstRow="1" w:lastRow="1" w:firstColumn="1" w:lastColumn="1" w:noHBand="0" w:noVBand="0"/>
      </w:tblPr>
      <w:tblGrid>
        <w:gridCol w:w="1560"/>
        <w:gridCol w:w="2410"/>
        <w:gridCol w:w="1842"/>
        <w:gridCol w:w="3260"/>
      </w:tblGrid>
      <w:tr w:rsidR="00FF7799" w:rsidRPr="00E73F6F" w14:paraId="2EAFDEE6" w14:textId="77777777" w:rsidTr="004407DA">
        <w:trPr>
          <w:trHeight w:val="326"/>
        </w:trPr>
        <w:tc>
          <w:tcPr>
            <w:tcW w:w="860" w:type="pct"/>
            <w:tcBorders>
              <w:top w:val="single" w:sz="4" w:space="0" w:color="000000"/>
              <w:bottom w:val="single" w:sz="4" w:space="0" w:color="000000"/>
            </w:tcBorders>
            <w:shd w:val="clear" w:color="auto" w:fill="FFC000" w:themeFill="accent4"/>
          </w:tcPr>
          <w:p w14:paraId="45A1F090" w14:textId="77777777" w:rsidR="00FF7799" w:rsidRPr="00E73F6F" w:rsidRDefault="00FF7799" w:rsidP="004407DA">
            <w:pPr>
              <w:spacing w:before="120" w:after="120"/>
              <w:rPr>
                <w:b/>
                <w:sz w:val="24"/>
                <w:szCs w:val="24"/>
                <w:lang w:val="de-DE"/>
              </w:rPr>
            </w:pPr>
            <w:r w:rsidRPr="00E73F6F">
              <w:rPr>
                <w:b/>
                <w:spacing w:val="-4"/>
                <w:sz w:val="24"/>
                <w:szCs w:val="24"/>
                <w:lang w:val="de-DE"/>
              </w:rPr>
              <w:t>Land</w:t>
            </w:r>
          </w:p>
        </w:tc>
        <w:tc>
          <w:tcPr>
            <w:tcW w:w="1328" w:type="pct"/>
            <w:tcBorders>
              <w:top w:val="single" w:sz="4" w:space="0" w:color="000000"/>
              <w:bottom w:val="single" w:sz="4" w:space="0" w:color="000000"/>
            </w:tcBorders>
            <w:shd w:val="clear" w:color="auto" w:fill="FFC000" w:themeFill="accent4"/>
          </w:tcPr>
          <w:p w14:paraId="70969FDF" w14:textId="77777777" w:rsidR="00FF7799" w:rsidRPr="00E73F6F" w:rsidRDefault="00FF7799" w:rsidP="004407DA">
            <w:pPr>
              <w:spacing w:before="120" w:after="120"/>
              <w:jc w:val="center"/>
              <w:rPr>
                <w:b/>
                <w:sz w:val="24"/>
                <w:szCs w:val="24"/>
                <w:lang w:val="de-DE"/>
              </w:rPr>
            </w:pPr>
            <w:r w:rsidRPr="00E73F6F">
              <w:rPr>
                <w:b/>
                <w:spacing w:val="-4"/>
                <w:sz w:val="24"/>
                <w:szCs w:val="24"/>
                <w:lang w:val="de-DE"/>
              </w:rPr>
              <w:t>Satz</w:t>
            </w:r>
          </w:p>
        </w:tc>
        <w:tc>
          <w:tcPr>
            <w:tcW w:w="1015" w:type="pct"/>
            <w:tcBorders>
              <w:top w:val="single" w:sz="4" w:space="0" w:color="000000"/>
              <w:bottom w:val="single" w:sz="4" w:space="0" w:color="000000"/>
            </w:tcBorders>
            <w:shd w:val="clear" w:color="auto" w:fill="FFC000" w:themeFill="accent4"/>
          </w:tcPr>
          <w:p w14:paraId="5D802CDD" w14:textId="77777777" w:rsidR="00FF7799" w:rsidRPr="00E73F6F" w:rsidRDefault="00FF7799" w:rsidP="004407DA">
            <w:pPr>
              <w:spacing w:before="120" w:after="120"/>
              <w:rPr>
                <w:b/>
                <w:sz w:val="24"/>
                <w:szCs w:val="24"/>
                <w:lang w:val="de-DE"/>
              </w:rPr>
            </w:pPr>
            <w:r w:rsidRPr="00E73F6F">
              <w:rPr>
                <w:b/>
                <w:spacing w:val="-4"/>
                <w:sz w:val="24"/>
                <w:szCs w:val="24"/>
                <w:lang w:val="de-DE"/>
              </w:rPr>
              <w:t>Land</w:t>
            </w:r>
          </w:p>
        </w:tc>
        <w:tc>
          <w:tcPr>
            <w:tcW w:w="1797" w:type="pct"/>
            <w:tcBorders>
              <w:top w:val="single" w:sz="4" w:space="0" w:color="000000"/>
              <w:bottom w:val="single" w:sz="4" w:space="0" w:color="000000"/>
            </w:tcBorders>
            <w:shd w:val="clear" w:color="auto" w:fill="FFC000" w:themeFill="accent4"/>
          </w:tcPr>
          <w:p w14:paraId="1946080F" w14:textId="77777777" w:rsidR="00FF7799" w:rsidRPr="00E73F6F" w:rsidRDefault="00FF7799" w:rsidP="004407DA">
            <w:pPr>
              <w:spacing w:before="120" w:after="120"/>
              <w:jc w:val="center"/>
              <w:rPr>
                <w:b/>
                <w:sz w:val="24"/>
                <w:szCs w:val="24"/>
                <w:lang w:val="de-DE"/>
              </w:rPr>
            </w:pPr>
            <w:r w:rsidRPr="00E73F6F">
              <w:rPr>
                <w:b/>
                <w:spacing w:val="-4"/>
                <w:sz w:val="24"/>
                <w:szCs w:val="24"/>
                <w:lang w:val="de-DE"/>
              </w:rPr>
              <w:t>Satz</w:t>
            </w:r>
          </w:p>
        </w:tc>
      </w:tr>
      <w:tr w:rsidR="00FF7799" w:rsidRPr="00E73F6F" w14:paraId="32318875" w14:textId="77777777" w:rsidTr="004407DA">
        <w:trPr>
          <w:trHeight w:val="323"/>
        </w:trPr>
        <w:tc>
          <w:tcPr>
            <w:tcW w:w="860" w:type="pct"/>
            <w:tcBorders>
              <w:top w:val="single" w:sz="4" w:space="0" w:color="000000"/>
              <w:bottom w:val="single" w:sz="4" w:space="0" w:color="000000"/>
            </w:tcBorders>
          </w:tcPr>
          <w:p w14:paraId="2C06E0EB" w14:textId="77777777" w:rsidR="00FF7799" w:rsidRPr="00E73F6F" w:rsidRDefault="00FF7799" w:rsidP="00862DBA">
            <w:pPr>
              <w:spacing w:before="71"/>
              <w:rPr>
                <w:sz w:val="24"/>
                <w:szCs w:val="24"/>
                <w:lang w:val="de-DE"/>
              </w:rPr>
            </w:pPr>
            <w:r w:rsidRPr="00E73F6F">
              <w:rPr>
                <w:spacing w:val="-2"/>
                <w:sz w:val="24"/>
                <w:szCs w:val="24"/>
                <w:lang w:val="de-DE"/>
              </w:rPr>
              <w:t>Dänemark</w:t>
            </w:r>
          </w:p>
        </w:tc>
        <w:tc>
          <w:tcPr>
            <w:tcW w:w="1328" w:type="pct"/>
            <w:tcBorders>
              <w:top w:val="single" w:sz="4" w:space="0" w:color="000000"/>
              <w:bottom w:val="single" w:sz="4" w:space="0" w:color="000000"/>
            </w:tcBorders>
          </w:tcPr>
          <w:p w14:paraId="1EEF562A" w14:textId="77777777" w:rsidR="00FF7799" w:rsidRPr="00E73F6F" w:rsidRDefault="00FF7799" w:rsidP="004407DA">
            <w:pPr>
              <w:spacing w:before="71"/>
              <w:jc w:val="center"/>
              <w:rPr>
                <w:sz w:val="24"/>
                <w:szCs w:val="24"/>
                <w:lang w:val="de-DE"/>
              </w:rPr>
            </w:pPr>
            <w:r w:rsidRPr="00E73F6F">
              <w:rPr>
                <w:spacing w:val="-4"/>
                <w:sz w:val="24"/>
                <w:szCs w:val="24"/>
                <w:lang w:val="de-DE"/>
              </w:rPr>
              <w:t>25,0</w:t>
            </w:r>
          </w:p>
        </w:tc>
        <w:tc>
          <w:tcPr>
            <w:tcW w:w="1015" w:type="pct"/>
            <w:tcBorders>
              <w:top w:val="single" w:sz="4" w:space="0" w:color="000000"/>
              <w:bottom w:val="single" w:sz="4" w:space="0" w:color="000000"/>
            </w:tcBorders>
          </w:tcPr>
          <w:p w14:paraId="5EC944F9" w14:textId="77777777" w:rsidR="00FF7799" w:rsidRPr="00E73F6F" w:rsidRDefault="00FF7799" w:rsidP="004407DA">
            <w:pPr>
              <w:spacing w:before="71"/>
              <w:rPr>
                <w:sz w:val="24"/>
                <w:szCs w:val="24"/>
                <w:lang w:val="de-DE"/>
              </w:rPr>
            </w:pPr>
            <w:r w:rsidRPr="00E73F6F">
              <w:rPr>
                <w:spacing w:val="-2"/>
                <w:sz w:val="24"/>
                <w:szCs w:val="24"/>
                <w:lang w:val="de-DE"/>
              </w:rPr>
              <w:t>Griechenland</w:t>
            </w:r>
          </w:p>
        </w:tc>
        <w:tc>
          <w:tcPr>
            <w:tcW w:w="1797" w:type="pct"/>
            <w:tcBorders>
              <w:top w:val="single" w:sz="4" w:space="0" w:color="000000"/>
              <w:bottom w:val="single" w:sz="4" w:space="0" w:color="000000"/>
            </w:tcBorders>
          </w:tcPr>
          <w:p w14:paraId="6A67FBBE" w14:textId="77777777" w:rsidR="00FF7799" w:rsidRPr="00E73F6F" w:rsidRDefault="00621BAD" w:rsidP="004407DA">
            <w:pPr>
              <w:spacing w:before="71"/>
              <w:jc w:val="center"/>
              <w:rPr>
                <w:sz w:val="24"/>
                <w:szCs w:val="24"/>
                <w:lang w:val="de-DE"/>
              </w:rPr>
            </w:pPr>
            <w:r>
              <w:rPr>
                <w:spacing w:val="-4"/>
                <w:sz w:val="24"/>
                <w:szCs w:val="24"/>
                <w:lang w:val="de-DE"/>
              </w:rPr>
              <w:t>24</w:t>
            </w:r>
            <w:r w:rsidR="00FF7799" w:rsidRPr="00E73F6F">
              <w:rPr>
                <w:spacing w:val="-4"/>
                <w:sz w:val="24"/>
                <w:szCs w:val="24"/>
                <w:lang w:val="de-DE"/>
              </w:rPr>
              <w:t>,0</w:t>
            </w:r>
          </w:p>
        </w:tc>
      </w:tr>
      <w:tr w:rsidR="00FF7799" w:rsidRPr="00E73F6F" w14:paraId="74EC7A5E" w14:textId="77777777" w:rsidTr="004407DA">
        <w:trPr>
          <w:trHeight w:val="323"/>
        </w:trPr>
        <w:tc>
          <w:tcPr>
            <w:tcW w:w="860" w:type="pct"/>
            <w:tcBorders>
              <w:top w:val="single" w:sz="4" w:space="0" w:color="000000"/>
              <w:bottom w:val="single" w:sz="4" w:space="0" w:color="000000"/>
            </w:tcBorders>
          </w:tcPr>
          <w:p w14:paraId="314CC194" w14:textId="77777777" w:rsidR="00FF7799" w:rsidRPr="00E73F6F" w:rsidRDefault="00FF7799" w:rsidP="00862DBA">
            <w:pPr>
              <w:spacing w:before="71"/>
              <w:rPr>
                <w:sz w:val="24"/>
                <w:szCs w:val="24"/>
                <w:lang w:val="de-DE"/>
              </w:rPr>
            </w:pPr>
            <w:r w:rsidRPr="00E73F6F">
              <w:rPr>
                <w:spacing w:val="-2"/>
                <w:sz w:val="24"/>
                <w:szCs w:val="24"/>
                <w:lang w:val="de-DE"/>
              </w:rPr>
              <w:t>Schweden</w:t>
            </w:r>
          </w:p>
        </w:tc>
        <w:tc>
          <w:tcPr>
            <w:tcW w:w="1328" w:type="pct"/>
            <w:tcBorders>
              <w:top w:val="single" w:sz="4" w:space="0" w:color="000000"/>
              <w:bottom w:val="single" w:sz="4" w:space="0" w:color="000000"/>
            </w:tcBorders>
          </w:tcPr>
          <w:p w14:paraId="68AB12C5" w14:textId="77777777" w:rsidR="00FF7799" w:rsidRPr="00E73F6F" w:rsidRDefault="00FF7799" w:rsidP="004407DA">
            <w:pPr>
              <w:spacing w:before="71"/>
              <w:jc w:val="center"/>
              <w:rPr>
                <w:sz w:val="24"/>
                <w:szCs w:val="24"/>
                <w:lang w:val="de-DE"/>
              </w:rPr>
            </w:pPr>
            <w:r w:rsidRPr="00E73F6F">
              <w:rPr>
                <w:spacing w:val="-4"/>
                <w:sz w:val="24"/>
                <w:szCs w:val="24"/>
                <w:lang w:val="de-DE"/>
              </w:rPr>
              <w:t>25,0</w:t>
            </w:r>
          </w:p>
        </w:tc>
        <w:tc>
          <w:tcPr>
            <w:tcW w:w="1015" w:type="pct"/>
            <w:tcBorders>
              <w:top w:val="single" w:sz="4" w:space="0" w:color="000000"/>
              <w:bottom w:val="single" w:sz="4" w:space="0" w:color="000000"/>
            </w:tcBorders>
          </w:tcPr>
          <w:p w14:paraId="05FBFEC4" w14:textId="77777777" w:rsidR="00FF7799" w:rsidRPr="00E73F6F" w:rsidRDefault="00FF7799" w:rsidP="004407DA">
            <w:pPr>
              <w:spacing w:before="71"/>
              <w:rPr>
                <w:sz w:val="24"/>
                <w:szCs w:val="24"/>
                <w:lang w:val="de-DE"/>
              </w:rPr>
            </w:pPr>
            <w:r w:rsidRPr="00E73F6F">
              <w:rPr>
                <w:spacing w:val="-2"/>
                <w:sz w:val="24"/>
                <w:szCs w:val="24"/>
                <w:lang w:val="de-DE"/>
              </w:rPr>
              <w:t>Großbritannien</w:t>
            </w:r>
          </w:p>
        </w:tc>
        <w:tc>
          <w:tcPr>
            <w:tcW w:w="1797" w:type="pct"/>
            <w:tcBorders>
              <w:top w:val="single" w:sz="4" w:space="0" w:color="000000"/>
              <w:bottom w:val="single" w:sz="4" w:space="0" w:color="000000"/>
            </w:tcBorders>
          </w:tcPr>
          <w:p w14:paraId="2F694799" w14:textId="77777777" w:rsidR="00FF7799" w:rsidRPr="00E73F6F" w:rsidRDefault="00621BAD" w:rsidP="004407DA">
            <w:pPr>
              <w:spacing w:before="71"/>
              <w:jc w:val="center"/>
              <w:rPr>
                <w:sz w:val="24"/>
                <w:szCs w:val="24"/>
                <w:lang w:val="de-DE"/>
              </w:rPr>
            </w:pPr>
            <w:r>
              <w:rPr>
                <w:spacing w:val="-4"/>
                <w:sz w:val="24"/>
                <w:szCs w:val="24"/>
                <w:lang w:val="de-DE"/>
              </w:rPr>
              <w:t>20,0</w:t>
            </w:r>
          </w:p>
        </w:tc>
      </w:tr>
      <w:tr w:rsidR="00FF7799" w:rsidRPr="00E73F6F" w14:paraId="04613E3A" w14:textId="77777777" w:rsidTr="004407DA">
        <w:trPr>
          <w:trHeight w:val="323"/>
        </w:trPr>
        <w:tc>
          <w:tcPr>
            <w:tcW w:w="860" w:type="pct"/>
            <w:tcBorders>
              <w:top w:val="single" w:sz="4" w:space="0" w:color="000000"/>
              <w:bottom w:val="single" w:sz="4" w:space="0" w:color="000000"/>
            </w:tcBorders>
          </w:tcPr>
          <w:p w14:paraId="2F1F546C" w14:textId="77777777" w:rsidR="00FF7799" w:rsidRPr="00E73F6F" w:rsidRDefault="00FF7799" w:rsidP="00862DBA">
            <w:pPr>
              <w:spacing w:before="71"/>
              <w:rPr>
                <w:sz w:val="24"/>
                <w:szCs w:val="24"/>
                <w:lang w:val="de-DE"/>
              </w:rPr>
            </w:pPr>
            <w:r w:rsidRPr="00E73F6F">
              <w:rPr>
                <w:spacing w:val="-2"/>
                <w:sz w:val="24"/>
                <w:szCs w:val="24"/>
                <w:lang w:val="de-DE"/>
              </w:rPr>
              <w:t>Finnland</w:t>
            </w:r>
          </w:p>
        </w:tc>
        <w:tc>
          <w:tcPr>
            <w:tcW w:w="1328" w:type="pct"/>
            <w:tcBorders>
              <w:top w:val="single" w:sz="4" w:space="0" w:color="000000"/>
              <w:bottom w:val="single" w:sz="4" w:space="0" w:color="000000"/>
            </w:tcBorders>
          </w:tcPr>
          <w:p w14:paraId="5FF678D7" w14:textId="77777777" w:rsidR="00FF7799" w:rsidRPr="00E73F6F" w:rsidRDefault="00621BAD" w:rsidP="004407DA">
            <w:pPr>
              <w:spacing w:before="71"/>
              <w:jc w:val="center"/>
              <w:rPr>
                <w:sz w:val="24"/>
                <w:szCs w:val="24"/>
                <w:lang w:val="de-DE"/>
              </w:rPr>
            </w:pPr>
            <w:r>
              <w:rPr>
                <w:spacing w:val="-4"/>
                <w:sz w:val="24"/>
                <w:szCs w:val="24"/>
                <w:lang w:val="de-DE"/>
              </w:rPr>
              <w:t>24</w:t>
            </w:r>
            <w:r w:rsidR="00FF7799" w:rsidRPr="00E73F6F">
              <w:rPr>
                <w:spacing w:val="-4"/>
                <w:sz w:val="24"/>
                <w:szCs w:val="24"/>
                <w:lang w:val="de-DE"/>
              </w:rPr>
              <w:t>,0</w:t>
            </w:r>
          </w:p>
        </w:tc>
        <w:tc>
          <w:tcPr>
            <w:tcW w:w="1015" w:type="pct"/>
            <w:tcBorders>
              <w:top w:val="single" w:sz="4" w:space="0" w:color="000000"/>
              <w:bottom w:val="single" w:sz="4" w:space="0" w:color="000000"/>
            </w:tcBorders>
          </w:tcPr>
          <w:p w14:paraId="0D86C67F" w14:textId="77777777" w:rsidR="00FF7799" w:rsidRPr="00E73F6F" w:rsidRDefault="00FF7799" w:rsidP="004407DA">
            <w:pPr>
              <w:spacing w:before="71"/>
              <w:rPr>
                <w:sz w:val="24"/>
                <w:szCs w:val="24"/>
                <w:lang w:val="de-DE"/>
              </w:rPr>
            </w:pPr>
            <w:r w:rsidRPr="00E73F6F">
              <w:rPr>
                <w:spacing w:val="-2"/>
                <w:sz w:val="24"/>
                <w:szCs w:val="24"/>
                <w:lang w:val="de-DE"/>
              </w:rPr>
              <w:t>Niederlande</w:t>
            </w:r>
          </w:p>
        </w:tc>
        <w:tc>
          <w:tcPr>
            <w:tcW w:w="1797" w:type="pct"/>
            <w:tcBorders>
              <w:top w:val="single" w:sz="4" w:space="0" w:color="000000"/>
              <w:bottom w:val="single" w:sz="4" w:space="0" w:color="000000"/>
            </w:tcBorders>
          </w:tcPr>
          <w:p w14:paraId="0679A951" w14:textId="77777777" w:rsidR="00FF7799" w:rsidRPr="00E73F6F" w:rsidRDefault="00621BAD" w:rsidP="004407DA">
            <w:pPr>
              <w:spacing w:before="71"/>
              <w:jc w:val="center"/>
              <w:rPr>
                <w:sz w:val="24"/>
                <w:szCs w:val="24"/>
                <w:lang w:val="de-DE"/>
              </w:rPr>
            </w:pPr>
            <w:r>
              <w:rPr>
                <w:spacing w:val="-4"/>
                <w:sz w:val="24"/>
                <w:szCs w:val="24"/>
                <w:lang w:val="de-DE"/>
              </w:rPr>
              <w:t>21,0</w:t>
            </w:r>
          </w:p>
        </w:tc>
      </w:tr>
      <w:tr w:rsidR="00FF7799" w:rsidRPr="00E73F6F" w14:paraId="75C2281B" w14:textId="77777777" w:rsidTr="004407DA">
        <w:trPr>
          <w:trHeight w:val="323"/>
        </w:trPr>
        <w:tc>
          <w:tcPr>
            <w:tcW w:w="860" w:type="pct"/>
            <w:tcBorders>
              <w:top w:val="single" w:sz="4" w:space="0" w:color="000000"/>
              <w:bottom w:val="single" w:sz="4" w:space="0" w:color="000000"/>
            </w:tcBorders>
          </w:tcPr>
          <w:p w14:paraId="219CFA95" w14:textId="77777777" w:rsidR="00FF7799" w:rsidRPr="00E73F6F" w:rsidRDefault="00FF7799" w:rsidP="00862DBA">
            <w:pPr>
              <w:spacing w:before="71"/>
              <w:rPr>
                <w:sz w:val="24"/>
                <w:szCs w:val="24"/>
                <w:lang w:val="de-DE"/>
              </w:rPr>
            </w:pPr>
            <w:r w:rsidRPr="00E73F6F">
              <w:rPr>
                <w:spacing w:val="-2"/>
                <w:sz w:val="24"/>
                <w:szCs w:val="24"/>
                <w:lang w:val="de-DE"/>
              </w:rPr>
              <w:t>Irland</w:t>
            </w:r>
          </w:p>
        </w:tc>
        <w:tc>
          <w:tcPr>
            <w:tcW w:w="1328" w:type="pct"/>
            <w:tcBorders>
              <w:top w:val="single" w:sz="4" w:space="0" w:color="000000"/>
              <w:bottom w:val="single" w:sz="4" w:space="0" w:color="000000"/>
            </w:tcBorders>
          </w:tcPr>
          <w:p w14:paraId="1E45F2DC" w14:textId="77777777" w:rsidR="00FF7799" w:rsidRPr="00E73F6F" w:rsidRDefault="00621BAD" w:rsidP="004407DA">
            <w:pPr>
              <w:spacing w:before="71"/>
              <w:jc w:val="center"/>
              <w:rPr>
                <w:sz w:val="24"/>
                <w:szCs w:val="24"/>
                <w:lang w:val="de-DE"/>
              </w:rPr>
            </w:pPr>
            <w:r>
              <w:rPr>
                <w:spacing w:val="-4"/>
                <w:sz w:val="24"/>
                <w:szCs w:val="24"/>
                <w:lang w:val="de-DE"/>
              </w:rPr>
              <w:t>24</w:t>
            </w:r>
            <w:r w:rsidR="00FF7799" w:rsidRPr="00E73F6F">
              <w:rPr>
                <w:spacing w:val="-4"/>
                <w:sz w:val="24"/>
                <w:szCs w:val="24"/>
                <w:lang w:val="de-DE"/>
              </w:rPr>
              <w:t>,0</w:t>
            </w:r>
          </w:p>
        </w:tc>
        <w:tc>
          <w:tcPr>
            <w:tcW w:w="1015" w:type="pct"/>
            <w:tcBorders>
              <w:top w:val="single" w:sz="4" w:space="0" w:color="000000"/>
              <w:bottom w:val="single" w:sz="4" w:space="0" w:color="000000"/>
            </w:tcBorders>
          </w:tcPr>
          <w:p w14:paraId="7C829565" w14:textId="77777777" w:rsidR="00FF7799" w:rsidRPr="00E73F6F" w:rsidRDefault="00FF7799" w:rsidP="004407DA">
            <w:pPr>
              <w:spacing w:before="71"/>
              <w:rPr>
                <w:sz w:val="24"/>
                <w:szCs w:val="24"/>
                <w:lang w:val="de-DE"/>
              </w:rPr>
            </w:pPr>
            <w:r w:rsidRPr="00E73F6F">
              <w:rPr>
                <w:spacing w:val="-2"/>
                <w:sz w:val="24"/>
                <w:szCs w:val="24"/>
                <w:lang w:val="de-DE"/>
              </w:rPr>
              <w:t>Portugal</w:t>
            </w:r>
          </w:p>
        </w:tc>
        <w:tc>
          <w:tcPr>
            <w:tcW w:w="1797" w:type="pct"/>
            <w:tcBorders>
              <w:top w:val="single" w:sz="4" w:space="0" w:color="000000"/>
              <w:bottom w:val="single" w:sz="4" w:space="0" w:color="000000"/>
            </w:tcBorders>
          </w:tcPr>
          <w:p w14:paraId="38AA3BBA" w14:textId="77777777" w:rsidR="00FF7799" w:rsidRPr="00E73F6F" w:rsidRDefault="00621BAD" w:rsidP="004407DA">
            <w:pPr>
              <w:spacing w:before="71"/>
              <w:jc w:val="center"/>
              <w:rPr>
                <w:sz w:val="24"/>
                <w:szCs w:val="24"/>
                <w:lang w:val="de-DE"/>
              </w:rPr>
            </w:pPr>
            <w:r>
              <w:rPr>
                <w:spacing w:val="-4"/>
                <w:sz w:val="24"/>
                <w:szCs w:val="24"/>
                <w:lang w:val="de-DE"/>
              </w:rPr>
              <w:t>23</w:t>
            </w:r>
            <w:r w:rsidR="00FF7799" w:rsidRPr="00E73F6F">
              <w:rPr>
                <w:spacing w:val="-4"/>
                <w:sz w:val="24"/>
                <w:szCs w:val="24"/>
                <w:lang w:val="de-DE"/>
              </w:rPr>
              <w:t>,0</w:t>
            </w:r>
          </w:p>
        </w:tc>
      </w:tr>
      <w:tr w:rsidR="00FF7799" w:rsidRPr="00E73F6F" w14:paraId="7D260F10" w14:textId="77777777" w:rsidTr="004407DA">
        <w:trPr>
          <w:trHeight w:val="323"/>
        </w:trPr>
        <w:tc>
          <w:tcPr>
            <w:tcW w:w="860" w:type="pct"/>
            <w:tcBorders>
              <w:top w:val="single" w:sz="4" w:space="0" w:color="000000"/>
              <w:bottom w:val="single" w:sz="4" w:space="0" w:color="000000"/>
            </w:tcBorders>
          </w:tcPr>
          <w:p w14:paraId="34899656" w14:textId="77777777" w:rsidR="00FF7799" w:rsidRPr="00E73F6F" w:rsidRDefault="00FF7799" w:rsidP="00862DBA">
            <w:pPr>
              <w:spacing w:before="71"/>
              <w:rPr>
                <w:sz w:val="24"/>
                <w:szCs w:val="24"/>
                <w:lang w:val="de-DE"/>
              </w:rPr>
            </w:pPr>
            <w:r w:rsidRPr="00E73F6F">
              <w:rPr>
                <w:spacing w:val="-2"/>
                <w:sz w:val="24"/>
                <w:szCs w:val="24"/>
                <w:lang w:val="de-DE"/>
              </w:rPr>
              <w:t>Belgien</w:t>
            </w:r>
          </w:p>
        </w:tc>
        <w:tc>
          <w:tcPr>
            <w:tcW w:w="1328" w:type="pct"/>
            <w:tcBorders>
              <w:top w:val="single" w:sz="4" w:space="0" w:color="000000"/>
              <w:bottom w:val="single" w:sz="4" w:space="0" w:color="000000"/>
            </w:tcBorders>
          </w:tcPr>
          <w:p w14:paraId="1D5924E8" w14:textId="77777777" w:rsidR="00FF7799" w:rsidRPr="00E73F6F" w:rsidRDefault="00FF7799" w:rsidP="004407DA">
            <w:pPr>
              <w:spacing w:before="71"/>
              <w:jc w:val="center"/>
              <w:rPr>
                <w:sz w:val="24"/>
                <w:szCs w:val="24"/>
                <w:lang w:val="de-DE"/>
              </w:rPr>
            </w:pPr>
            <w:r w:rsidRPr="00E73F6F">
              <w:rPr>
                <w:spacing w:val="-4"/>
                <w:sz w:val="24"/>
                <w:szCs w:val="24"/>
                <w:lang w:val="de-DE"/>
              </w:rPr>
              <w:t>21,0</w:t>
            </w:r>
          </w:p>
        </w:tc>
        <w:tc>
          <w:tcPr>
            <w:tcW w:w="1015" w:type="pct"/>
            <w:tcBorders>
              <w:top w:val="single" w:sz="4" w:space="0" w:color="000000"/>
              <w:bottom w:val="single" w:sz="4" w:space="0" w:color="000000"/>
            </w:tcBorders>
          </w:tcPr>
          <w:p w14:paraId="7FE98C94" w14:textId="77777777" w:rsidR="00FF7799" w:rsidRPr="00E73F6F" w:rsidRDefault="00FF7799" w:rsidP="004407DA">
            <w:pPr>
              <w:spacing w:before="71"/>
              <w:rPr>
                <w:sz w:val="24"/>
                <w:szCs w:val="24"/>
                <w:lang w:val="de-DE"/>
              </w:rPr>
            </w:pPr>
            <w:r w:rsidRPr="00E73F6F">
              <w:rPr>
                <w:spacing w:val="-2"/>
                <w:sz w:val="24"/>
                <w:szCs w:val="24"/>
                <w:lang w:val="de-DE"/>
              </w:rPr>
              <w:t>Spanien</w:t>
            </w:r>
          </w:p>
        </w:tc>
        <w:tc>
          <w:tcPr>
            <w:tcW w:w="1797" w:type="pct"/>
            <w:tcBorders>
              <w:top w:val="single" w:sz="4" w:space="0" w:color="000000"/>
              <w:bottom w:val="single" w:sz="4" w:space="0" w:color="000000"/>
            </w:tcBorders>
          </w:tcPr>
          <w:p w14:paraId="3DC301BA" w14:textId="77777777" w:rsidR="00FF7799" w:rsidRPr="00E73F6F" w:rsidRDefault="00621BAD" w:rsidP="004407DA">
            <w:pPr>
              <w:spacing w:before="71"/>
              <w:jc w:val="center"/>
              <w:rPr>
                <w:sz w:val="24"/>
                <w:szCs w:val="24"/>
                <w:lang w:val="de-DE"/>
              </w:rPr>
            </w:pPr>
            <w:r>
              <w:rPr>
                <w:spacing w:val="-4"/>
                <w:sz w:val="24"/>
                <w:szCs w:val="24"/>
                <w:lang w:val="de-DE"/>
              </w:rPr>
              <w:t>21</w:t>
            </w:r>
            <w:r w:rsidR="00FF7799" w:rsidRPr="00E73F6F">
              <w:rPr>
                <w:spacing w:val="-4"/>
                <w:sz w:val="24"/>
                <w:szCs w:val="24"/>
                <w:lang w:val="de-DE"/>
              </w:rPr>
              <w:t>,0</w:t>
            </w:r>
          </w:p>
        </w:tc>
      </w:tr>
      <w:tr w:rsidR="00FF7799" w:rsidRPr="00E73F6F" w14:paraId="5F4C3361" w14:textId="77777777" w:rsidTr="004407DA">
        <w:trPr>
          <w:trHeight w:val="323"/>
        </w:trPr>
        <w:tc>
          <w:tcPr>
            <w:tcW w:w="860" w:type="pct"/>
            <w:tcBorders>
              <w:top w:val="single" w:sz="4" w:space="0" w:color="000000"/>
              <w:bottom w:val="single" w:sz="4" w:space="0" w:color="000000"/>
            </w:tcBorders>
          </w:tcPr>
          <w:p w14:paraId="381CD87E" w14:textId="77777777" w:rsidR="00FF7799" w:rsidRPr="00E73F6F" w:rsidRDefault="00FF7799" w:rsidP="00862DBA">
            <w:pPr>
              <w:spacing w:before="71"/>
              <w:rPr>
                <w:sz w:val="24"/>
                <w:szCs w:val="24"/>
                <w:lang w:val="de-DE"/>
              </w:rPr>
            </w:pPr>
            <w:r w:rsidRPr="00E73F6F">
              <w:rPr>
                <w:spacing w:val="-2"/>
                <w:sz w:val="24"/>
                <w:szCs w:val="24"/>
                <w:lang w:val="de-DE"/>
              </w:rPr>
              <w:t>Frankreich</w:t>
            </w:r>
          </w:p>
        </w:tc>
        <w:tc>
          <w:tcPr>
            <w:tcW w:w="1328" w:type="pct"/>
            <w:tcBorders>
              <w:top w:val="single" w:sz="4" w:space="0" w:color="000000"/>
              <w:bottom w:val="single" w:sz="4" w:space="0" w:color="000000"/>
            </w:tcBorders>
          </w:tcPr>
          <w:p w14:paraId="45AA2108" w14:textId="77777777" w:rsidR="00FF7799" w:rsidRPr="00E73F6F" w:rsidRDefault="00FF7799" w:rsidP="004407DA">
            <w:pPr>
              <w:spacing w:before="71"/>
              <w:jc w:val="center"/>
              <w:rPr>
                <w:sz w:val="24"/>
                <w:szCs w:val="24"/>
                <w:lang w:val="de-DE"/>
              </w:rPr>
            </w:pPr>
            <w:r w:rsidRPr="00E73F6F">
              <w:rPr>
                <w:spacing w:val="-4"/>
                <w:sz w:val="24"/>
                <w:szCs w:val="24"/>
                <w:lang w:val="de-DE"/>
              </w:rPr>
              <w:t>20,6</w:t>
            </w:r>
          </w:p>
        </w:tc>
        <w:tc>
          <w:tcPr>
            <w:tcW w:w="1015" w:type="pct"/>
            <w:tcBorders>
              <w:top w:val="single" w:sz="4" w:space="0" w:color="000000"/>
              <w:bottom w:val="single" w:sz="4" w:space="0" w:color="000000"/>
            </w:tcBorders>
          </w:tcPr>
          <w:p w14:paraId="2AC1FFC8" w14:textId="77777777" w:rsidR="00FF7799" w:rsidRPr="00E73F6F" w:rsidRDefault="00FF7799" w:rsidP="004407DA">
            <w:pPr>
              <w:spacing w:before="71"/>
              <w:rPr>
                <w:sz w:val="24"/>
                <w:szCs w:val="24"/>
                <w:lang w:val="de-DE"/>
              </w:rPr>
            </w:pPr>
            <w:r w:rsidRPr="00E73F6F">
              <w:rPr>
                <w:spacing w:val="-2"/>
                <w:sz w:val="24"/>
                <w:szCs w:val="24"/>
                <w:lang w:val="de-DE"/>
              </w:rPr>
              <w:t>Deutschland</w:t>
            </w:r>
          </w:p>
        </w:tc>
        <w:tc>
          <w:tcPr>
            <w:tcW w:w="1797" w:type="pct"/>
            <w:tcBorders>
              <w:top w:val="single" w:sz="4" w:space="0" w:color="000000"/>
              <w:bottom w:val="single" w:sz="4" w:space="0" w:color="000000"/>
            </w:tcBorders>
          </w:tcPr>
          <w:p w14:paraId="6F7E6742" w14:textId="77777777" w:rsidR="00FF7799" w:rsidRPr="00E73F6F" w:rsidRDefault="00621BAD" w:rsidP="004407DA">
            <w:pPr>
              <w:spacing w:before="71"/>
              <w:jc w:val="center"/>
              <w:rPr>
                <w:sz w:val="24"/>
                <w:szCs w:val="24"/>
                <w:lang w:val="de-DE"/>
              </w:rPr>
            </w:pPr>
            <w:r>
              <w:rPr>
                <w:spacing w:val="-4"/>
                <w:sz w:val="24"/>
                <w:szCs w:val="24"/>
                <w:lang w:val="de-DE"/>
              </w:rPr>
              <w:t>19</w:t>
            </w:r>
            <w:r w:rsidR="00FF7799" w:rsidRPr="00E73F6F">
              <w:rPr>
                <w:spacing w:val="-4"/>
                <w:sz w:val="24"/>
                <w:szCs w:val="24"/>
                <w:lang w:val="de-DE"/>
              </w:rPr>
              <w:t>,0</w:t>
            </w:r>
          </w:p>
        </w:tc>
      </w:tr>
      <w:tr w:rsidR="00FF7799" w:rsidRPr="00E73F6F" w14:paraId="3438144D" w14:textId="77777777" w:rsidTr="004407DA">
        <w:trPr>
          <w:trHeight w:val="326"/>
        </w:trPr>
        <w:tc>
          <w:tcPr>
            <w:tcW w:w="860" w:type="pct"/>
            <w:tcBorders>
              <w:top w:val="single" w:sz="4" w:space="0" w:color="000000"/>
              <w:bottom w:val="single" w:sz="4" w:space="0" w:color="000000"/>
            </w:tcBorders>
          </w:tcPr>
          <w:p w14:paraId="095BF95E" w14:textId="77777777" w:rsidR="00FF7799" w:rsidRPr="00E73F6F" w:rsidRDefault="00FF7799" w:rsidP="00862DBA">
            <w:pPr>
              <w:spacing w:before="73"/>
              <w:rPr>
                <w:sz w:val="24"/>
                <w:szCs w:val="24"/>
                <w:lang w:val="de-DE"/>
              </w:rPr>
            </w:pPr>
            <w:r w:rsidRPr="00E73F6F">
              <w:rPr>
                <w:spacing w:val="-2"/>
                <w:sz w:val="24"/>
                <w:szCs w:val="24"/>
                <w:lang w:val="de-DE"/>
              </w:rPr>
              <w:t>Österreich</w:t>
            </w:r>
          </w:p>
        </w:tc>
        <w:tc>
          <w:tcPr>
            <w:tcW w:w="1328" w:type="pct"/>
            <w:tcBorders>
              <w:top w:val="single" w:sz="4" w:space="0" w:color="000000"/>
              <w:bottom w:val="single" w:sz="4" w:space="0" w:color="000000"/>
            </w:tcBorders>
          </w:tcPr>
          <w:p w14:paraId="287A388F" w14:textId="77777777" w:rsidR="00FF7799" w:rsidRPr="00E73F6F" w:rsidRDefault="00FF7799" w:rsidP="004407DA">
            <w:pPr>
              <w:spacing w:before="73"/>
              <w:jc w:val="center"/>
              <w:rPr>
                <w:sz w:val="24"/>
                <w:szCs w:val="24"/>
                <w:lang w:val="de-DE"/>
              </w:rPr>
            </w:pPr>
            <w:r w:rsidRPr="00E73F6F">
              <w:rPr>
                <w:spacing w:val="-4"/>
                <w:sz w:val="24"/>
                <w:szCs w:val="24"/>
                <w:lang w:val="de-DE"/>
              </w:rPr>
              <w:t>20,0</w:t>
            </w:r>
          </w:p>
        </w:tc>
        <w:tc>
          <w:tcPr>
            <w:tcW w:w="1015" w:type="pct"/>
            <w:tcBorders>
              <w:top w:val="single" w:sz="4" w:space="0" w:color="000000"/>
              <w:bottom w:val="single" w:sz="4" w:space="0" w:color="000000"/>
            </w:tcBorders>
          </w:tcPr>
          <w:p w14:paraId="73D87C45" w14:textId="77777777" w:rsidR="00FF7799" w:rsidRPr="00E73F6F" w:rsidRDefault="00FF7799" w:rsidP="004407DA">
            <w:pPr>
              <w:spacing w:before="73"/>
              <w:rPr>
                <w:sz w:val="24"/>
                <w:szCs w:val="24"/>
                <w:lang w:val="de-DE"/>
              </w:rPr>
            </w:pPr>
            <w:r w:rsidRPr="00E73F6F">
              <w:rPr>
                <w:spacing w:val="-2"/>
                <w:sz w:val="24"/>
                <w:szCs w:val="24"/>
                <w:lang w:val="de-DE"/>
              </w:rPr>
              <w:t>Luxemburg</w:t>
            </w:r>
          </w:p>
        </w:tc>
        <w:tc>
          <w:tcPr>
            <w:tcW w:w="1797" w:type="pct"/>
            <w:tcBorders>
              <w:top w:val="single" w:sz="4" w:space="0" w:color="000000"/>
              <w:bottom w:val="single" w:sz="4" w:space="0" w:color="000000"/>
            </w:tcBorders>
          </w:tcPr>
          <w:p w14:paraId="5324575B" w14:textId="77777777" w:rsidR="00FF7799" w:rsidRPr="00E73F6F" w:rsidRDefault="00621BAD" w:rsidP="004407DA">
            <w:pPr>
              <w:spacing w:before="73"/>
              <w:jc w:val="center"/>
              <w:rPr>
                <w:sz w:val="24"/>
                <w:szCs w:val="24"/>
                <w:lang w:val="de-DE"/>
              </w:rPr>
            </w:pPr>
            <w:r>
              <w:rPr>
                <w:spacing w:val="-4"/>
                <w:sz w:val="24"/>
                <w:szCs w:val="24"/>
                <w:lang w:val="de-DE"/>
              </w:rPr>
              <w:t>17</w:t>
            </w:r>
            <w:r w:rsidR="00FF7799" w:rsidRPr="00E73F6F">
              <w:rPr>
                <w:spacing w:val="-4"/>
                <w:sz w:val="24"/>
                <w:szCs w:val="24"/>
                <w:lang w:val="de-DE"/>
              </w:rPr>
              <w:t>,0</w:t>
            </w:r>
          </w:p>
        </w:tc>
      </w:tr>
      <w:tr w:rsidR="00FF7799" w:rsidRPr="00E73F6F" w14:paraId="77FE716C" w14:textId="77777777" w:rsidTr="004407DA">
        <w:trPr>
          <w:trHeight w:val="323"/>
        </w:trPr>
        <w:tc>
          <w:tcPr>
            <w:tcW w:w="860" w:type="pct"/>
            <w:tcBorders>
              <w:top w:val="single" w:sz="4" w:space="0" w:color="000000"/>
              <w:bottom w:val="single" w:sz="4" w:space="0" w:color="000000"/>
            </w:tcBorders>
          </w:tcPr>
          <w:p w14:paraId="666FAA6F" w14:textId="77777777" w:rsidR="00FF7799" w:rsidRPr="00E73F6F" w:rsidRDefault="00FF7799" w:rsidP="00862DBA">
            <w:pPr>
              <w:spacing w:before="71"/>
              <w:rPr>
                <w:sz w:val="24"/>
                <w:szCs w:val="24"/>
                <w:lang w:val="de-DE"/>
              </w:rPr>
            </w:pPr>
            <w:r w:rsidRPr="00E73F6F">
              <w:rPr>
                <w:spacing w:val="-2"/>
                <w:sz w:val="24"/>
                <w:szCs w:val="24"/>
                <w:lang w:val="de-DE"/>
              </w:rPr>
              <w:t>Italien</w:t>
            </w:r>
          </w:p>
        </w:tc>
        <w:tc>
          <w:tcPr>
            <w:tcW w:w="1328" w:type="pct"/>
            <w:tcBorders>
              <w:top w:val="single" w:sz="4" w:space="0" w:color="000000"/>
              <w:bottom w:val="single" w:sz="4" w:space="0" w:color="000000"/>
            </w:tcBorders>
          </w:tcPr>
          <w:p w14:paraId="64EA43B5" w14:textId="77777777" w:rsidR="00FF7799" w:rsidRPr="00E73F6F" w:rsidRDefault="00621BAD" w:rsidP="004407DA">
            <w:pPr>
              <w:spacing w:before="71"/>
              <w:jc w:val="center"/>
              <w:rPr>
                <w:sz w:val="24"/>
                <w:szCs w:val="24"/>
                <w:lang w:val="de-DE"/>
              </w:rPr>
            </w:pPr>
            <w:r>
              <w:rPr>
                <w:spacing w:val="-4"/>
                <w:sz w:val="24"/>
                <w:szCs w:val="24"/>
                <w:lang w:val="de-DE"/>
              </w:rPr>
              <w:t>22</w:t>
            </w:r>
            <w:r w:rsidR="00FF7799" w:rsidRPr="00E73F6F">
              <w:rPr>
                <w:spacing w:val="-4"/>
                <w:sz w:val="24"/>
                <w:szCs w:val="24"/>
                <w:lang w:val="de-DE"/>
              </w:rPr>
              <w:t>,0</w:t>
            </w:r>
          </w:p>
        </w:tc>
        <w:tc>
          <w:tcPr>
            <w:tcW w:w="1015" w:type="pct"/>
            <w:tcBorders>
              <w:top w:val="single" w:sz="4" w:space="0" w:color="000000"/>
              <w:bottom w:val="single" w:sz="4" w:space="0" w:color="000000"/>
            </w:tcBorders>
          </w:tcPr>
          <w:p w14:paraId="0A34595D" w14:textId="77777777" w:rsidR="00FF7799" w:rsidRPr="00E73F6F" w:rsidRDefault="00FF7799" w:rsidP="004407DA">
            <w:pPr>
              <w:rPr>
                <w:sz w:val="24"/>
                <w:szCs w:val="24"/>
                <w:lang w:val="de-DE"/>
              </w:rPr>
            </w:pPr>
          </w:p>
        </w:tc>
        <w:tc>
          <w:tcPr>
            <w:tcW w:w="1797" w:type="pct"/>
            <w:tcBorders>
              <w:top w:val="single" w:sz="4" w:space="0" w:color="000000"/>
              <w:bottom w:val="single" w:sz="4" w:space="0" w:color="000000"/>
            </w:tcBorders>
          </w:tcPr>
          <w:p w14:paraId="1554F9C3" w14:textId="77777777" w:rsidR="00FF7799" w:rsidRPr="00E73F6F" w:rsidRDefault="00FF7799" w:rsidP="004407DA">
            <w:pPr>
              <w:jc w:val="center"/>
              <w:rPr>
                <w:sz w:val="24"/>
                <w:szCs w:val="24"/>
                <w:lang w:val="de-DE"/>
              </w:rPr>
            </w:pPr>
          </w:p>
        </w:tc>
      </w:tr>
    </w:tbl>
    <w:p w14:paraId="7752364A" w14:textId="77777777" w:rsidR="00FF7799" w:rsidRPr="00E73F6F" w:rsidRDefault="00621BAD" w:rsidP="004407DA">
      <w:pPr>
        <w:pStyle w:val="Quellen"/>
      </w:pPr>
      <w:r>
        <w:t>Quelle:</w:t>
      </w:r>
      <w:r w:rsidRPr="00621BAD">
        <w:t xml:space="preserve"> </w:t>
      </w:r>
      <w:hyperlink r:id="rId181" w:history="1">
        <w:r w:rsidRPr="00074577">
          <w:rPr>
            <w:rStyle w:val="Hyperlink"/>
          </w:rPr>
          <w:t>https://www.ihk.de/hamburg/produktmarken/beratung-service/recht-und-steuern/steuerrecht/umsatzsteuer-mehrwertsteuer/umsatzsteuer-mehrwertsteuer-international/warenhandel/umsatzsteuersaetze-eu-drittstaaten-1167702/</w:t>
        </w:r>
      </w:hyperlink>
      <w:r>
        <w:t xml:space="preserve"> (27.02.2025)</w:t>
      </w:r>
    </w:p>
    <w:p w14:paraId="27F9B10A" w14:textId="77777777" w:rsidR="00FF7799" w:rsidRPr="00E73F6F" w:rsidRDefault="00FF7799" w:rsidP="00862DBA">
      <w:pPr>
        <w:rPr>
          <w:sz w:val="24"/>
          <w:szCs w:val="24"/>
        </w:rPr>
      </w:pPr>
    </w:p>
    <w:p w14:paraId="3109A5B9" w14:textId="77777777" w:rsidR="00FF7799" w:rsidRPr="00E73F6F" w:rsidRDefault="00FF7799" w:rsidP="00E94FD0">
      <w:pPr>
        <w:pStyle w:val="StandardText"/>
      </w:pPr>
      <w:r w:rsidRPr="00E73F6F">
        <w:rPr>
          <w:noProof/>
        </w:rPr>
        <mc:AlternateContent>
          <mc:Choice Requires="wps">
            <w:drawing>
              <wp:anchor distT="0" distB="0" distL="0" distR="0" simplePos="0" relativeHeight="251907072" behindDoc="1" locked="0" layoutInCell="1" allowOverlap="1" wp14:anchorId="44866518" wp14:editId="72E11B63">
                <wp:simplePos x="0" y="0"/>
                <wp:positionH relativeFrom="page">
                  <wp:posOffset>3520446</wp:posOffset>
                </wp:positionH>
                <wp:positionV relativeFrom="paragraph">
                  <wp:posOffset>-962751</wp:posOffset>
                </wp:positionV>
                <wp:extent cx="653415" cy="89535"/>
                <wp:effectExtent l="0" t="0" r="0" b="0"/>
                <wp:wrapNone/>
                <wp:docPr id="2177" name="Textbox 2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3415" cy="89535"/>
                        </a:xfrm>
                        <a:prstGeom prst="rect">
                          <a:avLst/>
                        </a:prstGeom>
                      </wps:spPr>
                      <wps:txbx>
                        <w:txbxContent>
                          <w:p w14:paraId="675C996E" w14:textId="77777777" w:rsidR="00E17A2B" w:rsidRDefault="00E17A2B" w:rsidP="004F0929">
                            <w:pPr>
                              <w:tabs>
                                <w:tab w:val="left" w:pos="807"/>
                              </w:tabs>
                              <w:spacing w:before="1"/>
                              <w:rPr>
                                <w:sz w:val="12"/>
                              </w:rPr>
                            </w:pPr>
                            <w:r>
                              <w:rPr>
                                <w:w w:val="105"/>
                                <w:sz w:val="12"/>
                              </w:rPr>
                              <w:t>1,98</w:t>
                            </w:r>
                            <w:r>
                              <w:rPr>
                                <w:spacing w:val="39"/>
                                <w:w w:val="105"/>
                                <w:sz w:val="12"/>
                              </w:rPr>
                              <w:t xml:space="preserve">  </w:t>
                            </w:r>
                            <w:r>
                              <w:rPr>
                                <w:color w:val="FFFFFF"/>
                                <w:spacing w:val="-4"/>
                                <w:w w:val="105"/>
                                <w:sz w:val="12"/>
                              </w:rPr>
                              <w:t>1,36</w:t>
                            </w:r>
                            <w:r>
                              <w:rPr>
                                <w:color w:val="FFFFFF"/>
                                <w:sz w:val="12"/>
                              </w:rPr>
                              <w:tab/>
                            </w:r>
                            <w:r>
                              <w:rPr>
                                <w:spacing w:val="-4"/>
                                <w:w w:val="105"/>
                                <w:sz w:val="12"/>
                              </w:rPr>
                              <w:t>69,0</w:t>
                            </w:r>
                          </w:p>
                        </w:txbxContent>
                      </wps:txbx>
                      <wps:bodyPr wrap="square" lIns="0" tIns="0" rIns="0" bIns="0" rtlCol="0">
                        <a:noAutofit/>
                      </wps:bodyPr>
                    </wps:wsp>
                  </a:graphicData>
                </a:graphic>
              </wp:anchor>
            </w:drawing>
          </mc:Choice>
          <mc:Fallback>
            <w:pict>
              <v:shape w14:anchorId="44866518" id="Textbox 2177" o:spid="_x0000_s1073" type="#_x0000_t202" style="position:absolute;left:0;text-align:left;margin-left:277.2pt;margin-top:-75.8pt;width:51.45pt;height:7.05pt;z-index:-2514094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" filled="f" stroked="f">
                <v:textbox inset="0,0,0,0">
                  <w:txbxContent>
                    <w:p w14:paraId="675C996E" w14:textId="77777777" w:rsidR="00E17A2B" w:rsidRDefault="00E17A2B" w:rsidP="004F0929">
                      <w:pPr>
                        <w:tabs>
                          <w:tab w:val="left" w:pos="807"/>
                        </w:tabs>
                        <w:spacing w:before="1"/>
                        <w:rPr>
                          <w:sz w:val="12"/>
                        </w:rPr>
                      </w:pPr>
                      <w:r>
                        <w:rPr>
                          <w:w w:val="105"/>
                          <w:sz w:val="12"/>
                        </w:rPr>
                        <w:t>1,98</w:t>
                      </w:r>
                      <w:r>
                        <w:rPr>
                          <w:spacing w:val="39"/>
                          <w:w w:val="105"/>
                          <w:sz w:val="12"/>
                        </w:rPr>
                        <w:t xml:space="preserve">  </w:t>
                      </w:r>
                      <w:r>
                        <w:rPr>
                          <w:color w:val="FFFFFF"/>
                          <w:spacing w:val="-4"/>
                          <w:w w:val="105"/>
                          <w:sz w:val="12"/>
                        </w:rPr>
                        <w:t>1,36</w:t>
                      </w:r>
                      <w:r>
                        <w:rPr>
                          <w:color w:val="FFFFFF"/>
                          <w:sz w:val="12"/>
                        </w:rPr>
                        <w:tab/>
                      </w:r>
                      <w:r>
                        <w:rPr>
                          <w:spacing w:val="-4"/>
                          <w:w w:val="105"/>
                          <w:sz w:val="12"/>
                        </w:rPr>
                        <w:t>69,0</w:t>
                      </w:r>
                    </w:p>
                  </w:txbxContent>
                </v:textbox>
                <w10:wrap anchorx="page"/>
              </v:shape>
            </w:pict>
          </mc:Fallback>
        </mc:AlternateContent>
      </w:r>
      <w:r w:rsidRPr="00E73F6F">
        <w:rPr>
          <w:noProof/>
        </w:rPr>
        <mc:AlternateContent>
          <mc:Choice Requires="wps">
            <w:drawing>
              <wp:anchor distT="0" distB="0" distL="0" distR="0" simplePos="0" relativeHeight="251908096" behindDoc="1" locked="0" layoutInCell="1" allowOverlap="1" wp14:anchorId="40E4A4B8" wp14:editId="1E8FF525">
                <wp:simplePos x="0" y="0"/>
                <wp:positionH relativeFrom="page">
                  <wp:posOffset>3520446</wp:posOffset>
                </wp:positionH>
                <wp:positionV relativeFrom="paragraph">
                  <wp:posOffset>-1199465</wp:posOffset>
                </wp:positionV>
                <wp:extent cx="660400" cy="89535"/>
                <wp:effectExtent l="0" t="0" r="0" b="0"/>
                <wp:wrapNone/>
                <wp:docPr id="2178" name="Textbox 2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400" cy="89535"/>
                        </a:xfrm>
                        <a:prstGeom prst="rect">
                          <a:avLst/>
                        </a:prstGeom>
                      </wps:spPr>
                      <wps:txbx>
                        <w:txbxContent>
                          <w:p w14:paraId="7D147561" w14:textId="77777777" w:rsidR="00E17A2B" w:rsidRDefault="00E17A2B" w:rsidP="004F0929">
                            <w:pPr>
                              <w:tabs>
                                <w:tab w:val="left" w:pos="818"/>
                              </w:tabs>
                              <w:spacing w:before="1"/>
                              <w:rPr>
                                <w:sz w:val="12"/>
                              </w:rPr>
                            </w:pPr>
                            <w:r>
                              <w:rPr>
                                <w:w w:val="105"/>
                                <w:sz w:val="12"/>
                              </w:rPr>
                              <w:t>3,89</w:t>
                            </w:r>
                            <w:r>
                              <w:rPr>
                                <w:spacing w:val="39"/>
                                <w:w w:val="105"/>
                                <w:sz w:val="12"/>
                              </w:rPr>
                              <w:t xml:space="preserve">  </w:t>
                            </w:r>
                            <w:r>
                              <w:rPr>
                                <w:color w:val="FFFFFF"/>
                                <w:spacing w:val="-4"/>
                                <w:w w:val="105"/>
                                <w:sz w:val="12"/>
                              </w:rPr>
                              <w:t>2,72</w:t>
                            </w:r>
                            <w:r>
                              <w:rPr>
                                <w:color w:val="FFFFFF"/>
                                <w:sz w:val="12"/>
                              </w:rPr>
                              <w:tab/>
                            </w:r>
                            <w:r>
                              <w:rPr>
                                <w:spacing w:val="-4"/>
                                <w:w w:val="105"/>
                                <w:sz w:val="12"/>
                              </w:rPr>
                              <w:t>69,9</w:t>
                            </w:r>
                          </w:p>
                        </w:txbxContent>
                      </wps:txbx>
                      <wps:bodyPr wrap="square" lIns="0" tIns="0" rIns="0" bIns="0" rtlCol="0">
                        <a:noAutofit/>
                      </wps:bodyPr>
                    </wps:wsp>
                  </a:graphicData>
                </a:graphic>
              </wp:anchor>
            </w:drawing>
          </mc:Choice>
          <mc:Fallback>
            <w:pict>
              <v:shape w14:anchorId="40E4A4B8" id="Textbox 2178" o:spid="_x0000_s1074" type="#_x0000_t202" style="position:absolute;left:0;text-align:left;margin-left:277.2pt;margin-top:-94.45pt;width:52pt;height:7.05pt;z-index:-2514083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" filled="f" stroked="f">
                <v:textbox inset="0,0,0,0">
                  <w:txbxContent>
                    <w:p w14:paraId="7D147561" w14:textId="77777777" w:rsidR="00E17A2B" w:rsidRDefault="00E17A2B" w:rsidP="004F0929">
                      <w:pPr>
                        <w:tabs>
                          <w:tab w:val="left" w:pos="818"/>
                        </w:tabs>
                        <w:spacing w:before="1"/>
                        <w:rPr>
                          <w:sz w:val="12"/>
                        </w:rPr>
                      </w:pPr>
                      <w:r>
                        <w:rPr>
                          <w:w w:val="105"/>
                          <w:sz w:val="12"/>
                        </w:rPr>
                        <w:t>3,89</w:t>
                      </w:r>
                      <w:r>
                        <w:rPr>
                          <w:spacing w:val="39"/>
                          <w:w w:val="105"/>
                          <w:sz w:val="12"/>
                        </w:rPr>
                        <w:t xml:space="preserve">  </w:t>
                      </w:r>
                      <w:r>
                        <w:rPr>
                          <w:color w:val="FFFFFF"/>
                          <w:spacing w:val="-4"/>
                          <w:w w:val="105"/>
                          <w:sz w:val="12"/>
                        </w:rPr>
                        <w:t>2,72</w:t>
                      </w:r>
                      <w:r>
                        <w:rPr>
                          <w:color w:val="FFFFFF"/>
                          <w:sz w:val="12"/>
                        </w:rPr>
                        <w:tab/>
                      </w:r>
                      <w:r>
                        <w:rPr>
                          <w:spacing w:val="-4"/>
                          <w:w w:val="105"/>
                          <w:sz w:val="12"/>
                        </w:rPr>
                        <w:t>69,9</w:t>
                      </w:r>
                    </w:p>
                  </w:txbxContent>
                </v:textbox>
                <w10:wrap anchorx="page"/>
              </v:shape>
            </w:pict>
          </mc:Fallback>
        </mc:AlternateContent>
      </w:r>
      <w:r w:rsidRPr="00E73F6F">
        <w:rPr>
          <w:noProof/>
        </w:rPr>
        <mc:AlternateContent>
          <mc:Choice Requires="wps">
            <w:drawing>
              <wp:anchor distT="0" distB="0" distL="0" distR="0" simplePos="0" relativeHeight="251909120" behindDoc="1" locked="0" layoutInCell="1" allowOverlap="1" wp14:anchorId="13BC5F2A" wp14:editId="3C9B961D">
                <wp:simplePos x="0" y="0"/>
                <wp:positionH relativeFrom="page">
                  <wp:posOffset>3520446</wp:posOffset>
                </wp:positionH>
                <wp:positionV relativeFrom="paragraph">
                  <wp:posOffset>-1436739</wp:posOffset>
                </wp:positionV>
                <wp:extent cx="733425" cy="89535"/>
                <wp:effectExtent l="0" t="0" r="0" b="0"/>
                <wp:wrapNone/>
                <wp:docPr id="2179" name="Textbox 2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3425" cy="89535"/>
                        </a:xfrm>
                        <a:prstGeom prst="rect">
                          <a:avLst/>
                        </a:prstGeom>
                      </wps:spPr>
                      <wps:txbx>
                        <w:txbxContent>
                          <w:p w14:paraId="255E1D5E" w14:textId="77777777" w:rsidR="00E17A2B" w:rsidRDefault="00E17A2B" w:rsidP="004F0929">
                            <w:pPr>
                              <w:tabs>
                                <w:tab w:val="left" w:pos="933"/>
                              </w:tabs>
                              <w:spacing w:before="1"/>
                              <w:rPr>
                                <w:sz w:val="12"/>
                              </w:rPr>
                            </w:pPr>
                            <w:r>
                              <w:rPr>
                                <w:w w:val="105"/>
                                <w:sz w:val="12"/>
                              </w:rPr>
                              <w:t>1,85</w:t>
                            </w:r>
                            <w:r>
                              <w:rPr>
                                <w:spacing w:val="39"/>
                                <w:w w:val="105"/>
                                <w:sz w:val="12"/>
                              </w:rPr>
                              <w:t xml:space="preserve">  </w:t>
                            </w:r>
                            <w:r>
                              <w:rPr>
                                <w:color w:val="FFFFFF"/>
                                <w:spacing w:val="-4"/>
                                <w:w w:val="105"/>
                                <w:sz w:val="12"/>
                              </w:rPr>
                              <w:t>1,33</w:t>
                            </w:r>
                            <w:r>
                              <w:rPr>
                                <w:color w:val="FFFFFF"/>
                                <w:sz w:val="12"/>
                              </w:rPr>
                              <w:tab/>
                            </w:r>
                            <w:r>
                              <w:rPr>
                                <w:spacing w:val="-4"/>
                                <w:w w:val="105"/>
                                <w:sz w:val="12"/>
                              </w:rPr>
                              <w:t>71,8</w:t>
                            </w:r>
                          </w:p>
                        </w:txbxContent>
                      </wps:txbx>
                      <wps:bodyPr wrap="square" lIns="0" tIns="0" rIns="0" bIns="0" rtlCol="0">
                        <a:noAutofit/>
                      </wps:bodyPr>
                    </wps:wsp>
                  </a:graphicData>
                </a:graphic>
              </wp:anchor>
            </w:drawing>
          </mc:Choice>
          <mc:Fallback>
            <w:pict>
              <v:shape w14:anchorId="13BC5F2A" id="Textbox 2179" o:spid="_x0000_s1075" type="#_x0000_t202" style="position:absolute;left:0;text-align:left;margin-left:277.2pt;margin-top:-113.15pt;width:57.75pt;height:7.05pt;z-index:-2514073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" filled="f" stroked="f">
                <v:textbox inset="0,0,0,0">
                  <w:txbxContent>
                    <w:p w14:paraId="255E1D5E" w14:textId="77777777" w:rsidR="00E17A2B" w:rsidRDefault="00E17A2B" w:rsidP="004F0929">
                      <w:pPr>
                        <w:tabs>
                          <w:tab w:val="left" w:pos="933"/>
                        </w:tabs>
                        <w:spacing w:before="1"/>
                        <w:rPr>
                          <w:sz w:val="12"/>
                        </w:rPr>
                      </w:pPr>
                      <w:r>
                        <w:rPr>
                          <w:w w:val="105"/>
                          <w:sz w:val="12"/>
                        </w:rPr>
                        <w:t>1,85</w:t>
                      </w:r>
                      <w:r>
                        <w:rPr>
                          <w:spacing w:val="39"/>
                          <w:w w:val="105"/>
                          <w:sz w:val="12"/>
                        </w:rPr>
                        <w:t xml:space="preserve">  </w:t>
                      </w:r>
                      <w:r>
                        <w:rPr>
                          <w:color w:val="FFFFFF"/>
                          <w:spacing w:val="-4"/>
                          <w:w w:val="105"/>
                          <w:sz w:val="12"/>
                        </w:rPr>
                        <w:t>1,33</w:t>
                      </w:r>
                      <w:r>
                        <w:rPr>
                          <w:color w:val="FFFFFF"/>
                          <w:sz w:val="12"/>
                        </w:rPr>
                        <w:tab/>
                      </w:r>
                      <w:r>
                        <w:rPr>
                          <w:spacing w:val="-4"/>
                          <w:w w:val="105"/>
                          <w:sz w:val="12"/>
                        </w:rPr>
                        <w:t>71,8</w:t>
                      </w:r>
                    </w:p>
                  </w:txbxContent>
                </v:textbox>
                <w10:wrap anchorx="page"/>
              </v:shape>
            </w:pict>
          </mc:Fallback>
        </mc:AlternateContent>
      </w:r>
      <w:r w:rsidRPr="00E73F6F">
        <w:rPr>
          <w:noProof/>
        </w:rPr>
        <mc:AlternateContent>
          <mc:Choice Requires="wps">
            <w:drawing>
              <wp:anchor distT="0" distB="0" distL="0" distR="0" simplePos="0" relativeHeight="251915264" behindDoc="1" locked="0" layoutInCell="1" allowOverlap="1" wp14:anchorId="37DAB7CB" wp14:editId="5CC9B7BE">
                <wp:simplePos x="0" y="0"/>
                <wp:positionH relativeFrom="page">
                  <wp:posOffset>1577263</wp:posOffset>
                </wp:positionH>
                <wp:positionV relativeFrom="paragraph">
                  <wp:posOffset>-962751</wp:posOffset>
                </wp:positionV>
                <wp:extent cx="872490" cy="89535"/>
                <wp:effectExtent l="0" t="0" r="0" b="0"/>
                <wp:wrapNone/>
                <wp:docPr id="2180" name="Textbox 2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2490" cy="89535"/>
                        </a:xfrm>
                        <a:prstGeom prst="rect">
                          <a:avLst/>
                        </a:prstGeom>
                      </wps:spPr>
                      <wps:txbx>
                        <w:txbxContent>
                          <w:p w14:paraId="66CC4A36" w14:textId="77777777" w:rsidR="00E17A2B" w:rsidRDefault="00E17A2B" w:rsidP="004F0929">
                            <w:pPr>
                              <w:tabs>
                                <w:tab w:val="left" w:pos="1152"/>
                              </w:tabs>
                              <w:spacing w:before="1"/>
                              <w:rPr>
                                <w:sz w:val="12"/>
                              </w:rPr>
                            </w:pPr>
                            <w:r>
                              <w:rPr>
                                <w:w w:val="105"/>
                                <w:sz w:val="12"/>
                              </w:rPr>
                              <w:t>3,71</w:t>
                            </w:r>
                            <w:r>
                              <w:rPr>
                                <w:spacing w:val="40"/>
                                <w:w w:val="105"/>
                                <w:sz w:val="12"/>
                              </w:rPr>
                              <w:t xml:space="preserve">  </w:t>
                            </w:r>
                            <w:r>
                              <w:rPr>
                                <w:color w:val="FFFFFF"/>
                                <w:spacing w:val="-4"/>
                                <w:w w:val="105"/>
                                <w:sz w:val="12"/>
                              </w:rPr>
                              <w:t>2,79</w:t>
                            </w:r>
                            <w:r>
                              <w:rPr>
                                <w:color w:val="FFFFFF"/>
                                <w:sz w:val="12"/>
                              </w:rPr>
                              <w:tab/>
                            </w:r>
                            <w:r>
                              <w:rPr>
                                <w:spacing w:val="-4"/>
                                <w:w w:val="105"/>
                                <w:sz w:val="12"/>
                              </w:rPr>
                              <w:t>75,4</w:t>
                            </w:r>
                          </w:p>
                        </w:txbxContent>
                      </wps:txbx>
                      <wps:bodyPr wrap="square" lIns="0" tIns="0" rIns="0" bIns="0" rtlCol="0">
                        <a:noAutofit/>
                      </wps:bodyPr>
                    </wps:wsp>
                  </a:graphicData>
                </a:graphic>
              </wp:anchor>
            </w:drawing>
          </mc:Choice>
          <mc:Fallback>
            <w:pict>
              <v:shape w14:anchorId="37DAB7CB" id="Textbox 2180" o:spid="_x0000_s1076" type="#_x0000_t202" style="position:absolute;left:0;text-align:left;margin-left:124.2pt;margin-top:-75.8pt;width:68.7pt;height:7.05pt;z-index:-2514012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" filled="f" stroked="f">
                <v:textbox inset="0,0,0,0">
                  <w:txbxContent>
                    <w:p w14:paraId="66CC4A36" w14:textId="77777777" w:rsidR="00E17A2B" w:rsidRDefault="00E17A2B" w:rsidP="004F0929">
                      <w:pPr>
                        <w:tabs>
                          <w:tab w:val="left" w:pos="1152"/>
                        </w:tabs>
                        <w:spacing w:before="1"/>
                        <w:rPr>
                          <w:sz w:val="12"/>
                        </w:rPr>
                      </w:pPr>
                      <w:r>
                        <w:rPr>
                          <w:w w:val="105"/>
                          <w:sz w:val="12"/>
                        </w:rPr>
                        <w:t>3,71</w:t>
                      </w:r>
                      <w:r>
                        <w:rPr>
                          <w:spacing w:val="40"/>
                          <w:w w:val="105"/>
                          <w:sz w:val="12"/>
                        </w:rPr>
                        <w:t xml:space="preserve">  </w:t>
                      </w:r>
                      <w:r>
                        <w:rPr>
                          <w:color w:val="FFFFFF"/>
                          <w:spacing w:val="-4"/>
                          <w:w w:val="105"/>
                          <w:sz w:val="12"/>
                        </w:rPr>
                        <w:t>2,79</w:t>
                      </w:r>
                      <w:r>
                        <w:rPr>
                          <w:color w:val="FFFFFF"/>
                          <w:sz w:val="12"/>
                        </w:rPr>
                        <w:tab/>
                      </w:r>
                      <w:r>
                        <w:rPr>
                          <w:spacing w:val="-4"/>
                          <w:w w:val="105"/>
                          <w:sz w:val="12"/>
                        </w:rPr>
                        <w:t>75,4</w:t>
                      </w:r>
                    </w:p>
                  </w:txbxContent>
                </v:textbox>
                <w10:wrap anchorx="page"/>
              </v:shape>
            </w:pict>
          </mc:Fallback>
        </mc:AlternateContent>
      </w:r>
      <w:r w:rsidRPr="00E73F6F">
        <w:rPr>
          <w:noProof/>
        </w:rPr>
        <mc:AlternateContent>
          <mc:Choice Requires="wps">
            <w:drawing>
              <wp:anchor distT="0" distB="0" distL="0" distR="0" simplePos="0" relativeHeight="251916288" behindDoc="1" locked="0" layoutInCell="1" allowOverlap="1" wp14:anchorId="419ADB6D" wp14:editId="6CE0B18C">
                <wp:simplePos x="0" y="0"/>
                <wp:positionH relativeFrom="page">
                  <wp:posOffset>1577263</wp:posOffset>
                </wp:positionH>
                <wp:positionV relativeFrom="paragraph">
                  <wp:posOffset>-1199465</wp:posOffset>
                </wp:positionV>
                <wp:extent cx="879475" cy="89535"/>
                <wp:effectExtent l="0" t="0" r="0" b="0"/>
                <wp:wrapNone/>
                <wp:docPr id="2181" name="Textbox 2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9475" cy="89535"/>
                        </a:xfrm>
                        <a:prstGeom prst="rect">
                          <a:avLst/>
                        </a:prstGeom>
                      </wps:spPr>
                      <wps:txbx>
                        <w:txbxContent>
                          <w:p w14:paraId="510E6D0F" w14:textId="77777777" w:rsidR="00E17A2B" w:rsidRDefault="00E17A2B" w:rsidP="004F0929">
                            <w:pPr>
                              <w:tabs>
                                <w:tab w:val="left" w:pos="1163"/>
                              </w:tabs>
                              <w:spacing w:before="1"/>
                              <w:rPr>
                                <w:sz w:val="12"/>
                              </w:rPr>
                            </w:pPr>
                            <w:r>
                              <w:rPr>
                                <w:w w:val="105"/>
                                <w:sz w:val="12"/>
                              </w:rPr>
                              <w:t>3,80</w:t>
                            </w:r>
                            <w:r>
                              <w:rPr>
                                <w:spacing w:val="40"/>
                                <w:w w:val="105"/>
                                <w:sz w:val="12"/>
                              </w:rPr>
                              <w:t xml:space="preserve">  </w:t>
                            </w:r>
                            <w:r>
                              <w:rPr>
                                <w:color w:val="FFFFFF"/>
                                <w:spacing w:val="-4"/>
                                <w:w w:val="105"/>
                                <w:sz w:val="12"/>
                              </w:rPr>
                              <w:t>2,87</w:t>
                            </w:r>
                            <w:r>
                              <w:rPr>
                                <w:color w:val="FFFFFF"/>
                                <w:sz w:val="12"/>
                              </w:rPr>
                              <w:tab/>
                            </w:r>
                            <w:r>
                              <w:rPr>
                                <w:spacing w:val="-4"/>
                                <w:w w:val="105"/>
                                <w:sz w:val="12"/>
                              </w:rPr>
                              <w:t>75,6</w:t>
                            </w:r>
                          </w:p>
                        </w:txbxContent>
                      </wps:txbx>
                      <wps:bodyPr wrap="square" lIns="0" tIns="0" rIns="0" bIns="0" rtlCol="0">
                        <a:noAutofit/>
                      </wps:bodyPr>
                    </wps:wsp>
                  </a:graphicData>
                </a:graphic>
              </wp:anchor>
            </w:drawing>
          </mc:Choice>
          <mc:Fallback>
            <w:pict>
              <v:shape w14:anchorId="419ADB6D" id="Textbox 2181" o:spid="_x0000_s1077" type="#_x0000_t202" style="position:absolute;left:0;text-align:left;margin-left:124.2pt;margin-top:-94.45pt;width:69.25pt;height:7.05pt;z-index:-2514001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" filled="f" stroked="f">
                <v:textbox inset="0,0,0,0">
                  <w:txbxContent>
                    <w:p w14:paraId="510E6D0F" w14:textId="77777777" w:rsidR="00E17A2B" w:rsidRDefault="00E17A2B" w:rsidP="004F0929">
                      <w:pPr>
                        <w:tabs>
                          <w:tab w:val="left" w:pos="1163"/>
                        </w:tabs>
                        <w:spacing w:before="1"/>
                        <w:rPr>
                          <w:sz w:val="12"/>
                        </w:rPr>
                      </w:pPr>
                      <w:r>
                        <w:rPr>
                          <w:w w:val="105"/>
                          <w:sz w:val="12"/>
                        </w:rPr>
                        <w:t>3,80</w:t>
                      </w:r>
                      <w:r>
                        <w:rPr>
                          <w:spacing w:val="40"/>
                          <w:w w:val="105"/>
                          <w:sz w:val="12"/>
                        </w:rPr>
                        <w:t xml:space="preserve">  </w:t>
                      </w:r>
                      <w:r>
                        <w:rPr>
                          <w:color w:val="FFFFFF"/>
                          <w:spacing w:val="-4"/>
                          <w:w w:val="105"/>
                          <w:sz w:val="12"/>
                        </w:rPr>
                        <w:t>2,87</w:t>
                      </w:r>
                      <w:r>
                        <w:rPr>
                          <w:color w:val="FFFFFF"/>
                          <w:sz w:val="12"/>
                        </w:rPr>
                        <w:tab/>
                      </w:r>
                      <w:r>
                        <w:rPr>
                          <w:spacing w:val="-4"/>
                          <w:w w:val="105"/>
                          <w:sz w:val="12"/>
                        </w:rPr>
                        <w:t>75,6</w:t>
                      </w:r>
                    </w:p>
                  </w:txbxContent>
                </v:textbox>
                <w10:wrap anchorx="page"/>
              </v:shape>
            </w:pict>
          </mc:Fallback>
        </mc:AlternateContent>
      </w:r>
      <w:r w:rsidRPr="00E73F6F">
        <w:rPr>
          <w:noProof/>
        </w:rPr>
        <mc:AlternateContent>
          <mc:Choice Requires="wps">
            <w:drawing>
              <wp:anchor distT="0" distB="0" distL="0" distR="0" simplePos="0" relativeHeight="251917312" behindDoc="1" locked="0" layoutInCell="1" allowOverlap="1" wp14:anchorId="0308369C" wp14:editId="6D239DC4">
                <wp:simplePos x="0" y="0"/>
                <wp:positionH relativeFrom="page">
                  <wp:posOffset>1577263</wp:posOffset>
                </wp:positionH>
                <wp:positionV relativeFrom="paragraph">
                  <wp:posOffset>-1436739</wp:posOffset>
                </wp:positionV>
                <wp:extent cx="915035" cy="89535"/>
                <wp:effectExtent l="0" t="0" r="0" b="0"/>
                <wp:wrapNone/>
                <wp:docPr id="2182" name="Textbox 2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15035" cy="89535"/>
                        </a:xfrm>
                        <a:prstGeom prst="rect">
                          <a:avLst/>
                        </a:prstGeom>
                      </wps:spPr>
                      <wps:txbx>
                        <w:txbxContent>
                          <w:p w14:paraId="4959069A" w14:textId="77777777" w:rsidR="00E17A2B" w:rsidRDefault="00E17A2B" w:rsidP="004F0929">
                            <w:pPr>
                              <w:tabs>
                                <w:tab w:val="left" w:pos="1219"/>
                              </w:tabs>
                              <w:spacing w:before="1"/>
                              <w:rPr>
                                <w:sz w:val="12"/>
                              </w:rPr>
                            </w:pPr>
                            <w:r>
                              <w:rPr>
                                <w:w w:val="105"/>
                                <w:sz w:val="12"/>
                              </w:rPr>
                              <w:t>2,68</w:t>
                            </w:r>
                            <w:r>
                              <w:rPr>
                                <w:spacing w:val="40"/>
                                <w:w w:val="105"/>
                                <w:sz w:val="12"/>
                              </w:rPr>
                              <w:t xml:space="preserve">  </w:t>
                            </w:r>
                            <w:r>
                              <w:rPr>
                                <w:color w:val="FFFFFF"/>
                                <w:spacing w:val="-4"/>
                                <w:w w:val="105"/>
                                <w:sz w:val="12"/>
                              </w:rPr>
                              <w:t>2,05</w:t>
                            </w:r>
                            <w:r>
                              <w:rPr>
                                <w:color w:val="FFFFFF"/>
                                <w:sz w:val="12"/>
                              </w:rPr>
                              <w:tab/>
                            </w:r>
                            <w:r>
                              <w:rPr>
                                <w:spacing w:val="-4"/>
                                <w:w w:val="105"/>
                                <w:sz w:val="12"/>
                              </w:rPr>
                              <w:t>76,5</w:t>
                            </w:r>
                          </w:p>
                        </w:txbxContent>
                      </wps:txbx>
                      <wps:bodyPr wrap="square" lIns="0" tIns="0" rIns="0" bIns="0" rtlCol="0">
                        <a:noAutofit/>
                      </wps:bodyPr>
                    </wps:wsp>
                  </a:graphicData>
                </a:graphic>
              </wp:anchor>
            </w:drawing>
          </mc:Choice>
          <mc:Fallback>
            <w:pict>
              <v:shape w14:anchorId="0308369C" id="Textbox 2182" o:spid="_x0000_s1078" type="#_x0000_t202" style="position:absolute;left:0;text-align:left;margin-left:124.2pt;margin-top:-113.15pt;width:72.05pt;height:7.05pt;z-index:-2513991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" filled="f" stroked="f">
                <v:textbox inset="0,0,0,0">
                  <w:txbxContent>
                    <w:p w14:paraId="4959069A" w14:textId="77777777" w:rsidR="00E17A2B" w:rsidRDefault="00E17A2B" w:rsidP="004F0929">
                      <w:pPr>
                        <w:tabs>
                          <w:tab w:val="left" w:pos="1219"/>
                        </w:tabs>
                        <w:spacing w:before="1"/>
                        <w:rPr>
                          <w:sz w:val="12"/>
                        </w:rPr>
                      </w:pPr>
                      <w:r>
                        <w:rPr>
                          <w:w w:val="105"/>
                          <w:sz w:val="12"/>
                        </w:rPr>
                        <w:t>2,68</w:t>
                      </w:r>
                      <w:r>
                        <w:rPr>
                          <w:spacing w:val="40"/>
                          <w:w w:val="105"/>
                          <w:sz w:val="12"/>
                        </w:rPr>
                        <w:t xml:space="preserve">  </w:t>
                      </w:r>
                      <w:r>
                        <w:rPr>
                          <w:color w:val="FFFFFF"/>
                          <w:spacing w:val="-4"/>
                          <w:w w:val="105"/>
                          <w:sz w:val="12"/>
                        </w:rPr>
                        <w:t>2,05</w:t>
                      </w:r>
                      <w:r>
                        <w:rPr>
                          <w:color w:val="FFFFFF"/>
                          <w:sz w:val="12"/>
                        </w:rPr>
                        <w:tab/>
                      </w:r>
                      <w:r>
                        <w:rPr>
                          <w:spacing w:val="-4"/>
                          <w:w w:val="105"/>
                          <w:sz w:val="12"/>
                        </w:rPr>
                        <w:t>76,5</w:t>
                      </w:r>
                    </w:p>
                  </w:txbxContent>
                </v:textbox>
                <w10:wrap anchorx="page"/>
              </v:shape>
            </w:pict>
          </mc:Fallback>
        </mc:AlternateContent>
      </w:r>
      <w:r w:rsidRPr="00E73F6F">
        <w:rPr>
          <w:noProof/>
        </w:rPr>
        <mc:AlternateContent>
          <mc:Choice Requires="wps">
            <w:drawing>
              <wp:anchor distT="0" distB="0" distL="0" distR="0" simplePos="0" relativeHeight="251933696" behindDoc="1" locked="0" layoutInCell="1" allowOverlap="1" wp14:anchorId="0A6850A9" wp14:editId="5EEB0F87">
                <wp:simplePos x="0" y="0"/>
                <wp:positionH relativeFrom="page">
                  <wp:posOffset>1577263</wp:posOffset>
                </wp:positionH>
                <wp:positionV relativeFrom="paragraph">
                  <wp:posOffset>-1436739</wp:posOffset>
                </wp:positionV>
                <wp:extent cx="140970" cy="89535"/>
                <wp:effectExtent l="0" t="0" r="0" b="0"/>
                <wp:wrapNone/>
                <wp:docPr id="2183" name="Textbox 2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970" cy="89535"/>
                        </a:xfrm>
                        <a:prstGeom prst="rect">
                          <a:avLst/>
                        </a:prstGeom>
                      </wps:spPr>
                      <wps:txbx>
                        <w:txbxContent>
                          <w:p w14:paraId="14A5F79F" w14:textId="77777777" w:rsidR="00E17A2B" w:rsidRDefault="00E17A2B" w:rsidP="004F0929">
                            <w:pPr>
                              <w:spacing w:before="1"/>
                              <w:rPr>
                                <w:sz w:val="12"/>
                              </w:rPr>
                            </w:pPr>
                            <w:r>
                              <w:rPr>
                                <w:spacing w:val="-4"/>
                                <w:w w:val="105"/>
                                <w:sz w:val="12"/>
                              </w:rPr>
                              <w:t>2,68</w:t>
                            </w:r>
                          </w:p>
                        </w:txbxContent>
                      </wps:txbx>
                      <wps:bodyPr wrap="square" lIns="0" tIns="0" rIns="0" bIns="0" rtlCol="0">
                        <a:noAutofit/>
                      </wps:bodyPr>
                    </wps:wsp>
                  </a:graphicData>
                </a:graphic>
              </wp:anchor>
            </w:drawing>
          </mc:Choice>
          <mc:Fallback>
            <w:pict>
              <v:shape w14:anchorId="0A6850A9" id="Textbox 2183" o:spid="_x0000_s1079" type="#_x0000_t202" style="position:absolute;left:0;text-align:left;margin-left:124.2pt;margin-top:-113.15pt;width:11.1pt;height:7.05pt;z-index:-251382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" filled="f" stroked="f">
                <v:textbox inset="0,0,0,0">
                  <w:txbxContent>
                    <w:p w14:paraId="14A5F79F" w14:textId="77777777" w:rsidR="00E17A2B" w:rsidRDefault="00E17A2B" w:rsidP="004F0929">
                      <w:pPr>
                        <w:spacing w:before="1"/>
                        <w:rPr>
                          <w:sz w:val="12"/>
                        </w:rPr>
                      </w:pPr>
                      <w:r>
                        <w:rPr>
                          <w:spacing w:val="-4"/>
                          <w:w w:val="105"/>
                          <w:sz w:val="12"/>
                        </w:rPr>
                        <w:t>2,68</w:t>
                      </w:r>
                    </w:p>
                  </w:txbxContent>
                </v:textbox>
                <w10:wrap anchorx="page"/>
              </v:shape>
            </w:pict>
          </mc:Fallback>
        </mc:AlternateContent>
      </w:r>
      <w:r w:rsidRPr="00E73F6F">
        <w:rPr>
          <w:noProof/>
        </w:rPr>
        <mc:AlternateContent>
          <mc:Choice Requires="wps">
            <w:drawing>
              <wp:anchor distT="0" distB="0" distL="0" distR="0" simplePos="0" relativeHeight="251934720" behindDoc="1" locked="0" layoutInCell="1" allowOverlap="1" wp14:anchorId="7ABF875B" wp14:editId="20B89BAE">
                <wp:simplePos x="0" y="0"/>
                <wp:positionH relativeFrom="page">
                  <wp:posOffset>1810086</wp:posOffset>
                </wp:positionH>
                <wp:positionV relativeFrom="paragraph">
                  <wp:posOffset>-1436739</wp:posOffset>
                </wp:positionV>
                <wp:extent cx="140970" cy="89535"/>
                <wp:effectExtent l="0" t="0" r="0" b="0"/>
                <wp:wrapNone/>
                <wp:docPr id="2184" name="Textbox 2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970" cy="89535"/>
                        </a:xfrm>
                        <a:prstGeom prst="rect">
                          <a:avLst/>
                        </a:prstGeom>
                      </wps:spPr>
                      <wps:txbx>
                        <w:txbxContent>
                          <w:p w14:paraId="6945B8E2" w14:textId="77777777" w:rsidR="00E17A2B" w:rsidRDefault="00E17A2B" w:rsidP="004F0929">
                            <w:pPr>
                              <w:spacing w:before="1"/>
                              <w:rPr>
                                <w:sz w:val="12"/>
                              </w:rPr>
                            </w:pPr>
                            <w:r>
                              <w:rPr>
                                <w:color w:val="FFFFFF"/>
                                <w:spacing w:val="-4"/>
                                <w:w w:val="105"/>
                                <w:sz w:val="12"/>
                              </w:rPr>
                              <w:t>2,05</w:t>
                            </w:r>
                          </w:p>
                        </w:txbxContent>
                      </wps:txbx>
                      <wps:bodyPr wrap="square" lIns="0" tIns="0" rIns="0" bIns="0" rtlCol="0">
                        <a:noAutofit/>
                      </wps:bodyPr>
                    </wps:wsp>
                  </a:graphicData>
                </a:graphic>
              </wp:anchor>
            </w:drawing>
          </mc:Choice>
          <mc:Fallback>
            <w:pict>
              <v:shape w14:anchorId="7ABF875B" id="Textbox 2184" o:spid="_x0000_s1080" type="#_x0000_t202" style="position:absolute;left:0;text-align:left;margin-left:142.55pt;margin-top:-113.15pt;width:11.1pt;height:7.05pt;z-index:-251381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" filled="f" stroked="f">
                <v:textbox inset="0,0,0,0">
                  <w:txbxContent>
                    <w:p w14:paraId="6945B8E2" w14:textId="77777777" w:rsidR="00E17A2B" w:rsidRDefault="00E17A2B" w:rsidP="004F0929">
                      <w:pPr>
                        <w:spacing w:before="1"/>
                        <w:rPr>
                          <w:sz w:val="12"/>
                        </w:rPr>
                      </w:pPr>
                      <w:r>
                        <w:rPr>
                          <w:color w:val="FFFFFF"/>
                          <w:spacing w:val="-4"/>
                          <w:w w:val="105"/>
                          <w:sz w:val="12"/>
                        </w:rPr>
                        <w:t>2,05</w:t>
                      </w:r>
                    </w:p>
                  </w:txbxContent>
                </v:textbox>
                <w10:wrap anchorx="page"/>
              </v:shape>
            </w:pict>
          </mc:Fallback>
        </mc:AlternateContent>
      </w:r>
      <w:r w:rsidRPr="00E73F6F">
        <w:rPr>
          <w:noProof/>
        </w:rPr>
        <mc:AlternateContent>
          <mc:Choice Requires="wps">
            <w:drawing>
              <wp:anchor distT="0" distB="0" distL="0" distR="0" simplePos="0" relativeHeight="251935744" behindDoc="1" locked="0" layoutInCell="1" allowOverlap="1" wp14:anchorId="65393228" wp14:editId="5E462177">
                <wp:simplePos x="0" y="0"/>
                <wp:positionH relativeFrom="page">
                  <wp:posOffset>1577263</wp:posOffset>
                </wp:positionH>
                <wp:positionV relativeFrom="paragraph">
                  <wp:posOffset>-1199465</wp:posOffset>
                </wp:positionV>
                <wp:extent cx="140970" cy="89535"/>
                <wp:effectExtent l="0" t="0" r="0" b="0"/>
                <wp:wrapNone/>
                <wp:docPr id="2185" name="Textbox 2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970" cy="89535"/>
                        </a:xfrm>
                        <a:prstGeom prst="rect">
                          <a:avLst/>
                        </a:prstGeom>
                      </wps:spPr>
                      <wps:txbx>
                        <w:txbxContent>
                          <w:p w14:paraId="55D44099" w14:textId="77777777" w:rsidR="00E17A2B" w:rsidRDefault="00E17A2B" w:rsidP="004F0929">
                            <w:pPr>
                              <w:spacing w:before="1"/>
                              <w:rPr>
                                <w:sz w:val="12"/>
                              </w:rPr>
                            </w:pPr>
                            <w:r>
                              <w:rPr>
                                <w:spacing w:val="-4"/>
                                <w:w w:val="105"/>
                                <w:sz w:val="12"/>
                              </w:rPr>
                              <w:t>3,80</w:t>
                            </w:r>
                          </w:p>
                        </w:txbxContent>
                      </wps:txbx>
                      <wps:bodyPr wrap="square" lIns="0" tIns="0" rIns="0" bIns="0" rtlCol="0">
                        <a:noAutofit/>
                      </wps:bodyPr>
                    </wps:wsp>
                  </a:graphicData>
                </a:graphic>
              </wp:anchor>
            </w:drawing>
          </mc:Choice>
          <mc:Fallback>
            <w:pict>
              <v:shape w14:anchorId="65393228" id="Textbox 2185" o:spid="_x0000_s1081" type="#_x0000_t202" style="position:absolute;left:0;text-align:left;margin-left:124.2pt;margin-top:-94.45pt;width:11.1pt;height:7.05pt;z-index:-2513807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" filled="f" stroked="f">
                <v:textbox inset="0,0,0,0">
                  <w:txbxContent>
                    <w:p w14:paraId="55D44099" w14:textId="77777777" w:rsidR="00E17A2B" w:rsidRDefault="00E17A2B" w:rsidP="004F0929">
                      <w:pPr>
                        <w:spacing w:before="1"/>
                        <w:rPr>
                          <w:sz w:val="12"/>
                        </w:rPr>
                      </w:pPr>
                      <w:r>
                        <w:rPr>
                          <w:spacing w:val="-4"/>
                          <w:w w:val="105"/>
                          <w:sz w:val="12"/>
                        </w:rPr>
                        <w:t>3,80</w:t>
                      </w:r>
                    </w:p>
                  </w:txbxContent>
                </v:textbox>
                <w10:wrap anchorx="page"/>
              </v:shape>
            </w:pict>
          </mc:Fallback>
        </mc:AlternateContent>
      </w:r>
      <w:r w:rsidRPr="00E73F6F">
        <w:rPr>
          <w:noProof/>
        </w:rPr>
        <mc:AlternateContent>
          <mc:Choice Requires="wps">
            <w:drawing>
              <wp:anchor distT="0" distB="0" distL="0" distR="0" simplePos="0" relativeHeight="251936768" behindDoc="1" locked="0" layoutInCell="1" allowOverlap="1" wp14:anchorId="437EB283" wp14:editId="6E933516">
                <wp:simplePos x="0" y="0"/>
                <wp:positionH relativeFrom="page">
                  <wp:posOffset>1810086</wp:posOffset>
                </wp:positionH>
                <wp:positionV relativeFrom="paragraph">
                  <wp:posOffset>-1199465</wp:posOffset>
                </wp:positionV>
                <wp:extent cx="140970" cy="89535"/>
                <wp:effectExtent l="0" t="0" r="0" b="0"/>
                <wp:wrapNone/>
                <wp:docPr id="2186" name="Textbox 2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970" cy="89535"/>
                        </a:xfrm>
                        <a:prstGeom prst="rect">
                          <a:avLst/>
                        </a:prstGeom>
                      </wps:spPr>
                      <wps:txbx>
                        <w:txbxContent>
                          <w:p w14:paraId="1DE2C807" w14:textId="77777777" w:rsidR="00E17A2B" w:rsidRDefault="00E17A2B" w:rsidP="004F0929">
                            <w:pPr>
                              <w:spacing w:before="1"/>
                              <w:rPr>
                                <w:sz w:val="12"/>
                              </w:rPr>
                            </w:pPr>
                            <w:r>
                              <w:rPr>
                                <w:color w:val="FFFFFF"/>
                                <w:spacing w:val="-4"/>
                                <w:w w:val="105"/>
                                <w:sz w:val="12"/>
                              </w:rPr>
                              <w:t>2,87</w:t>
                            </w:r>
                          </w:p>
                        </w:txbxContent>
                      </wps:txbx>
                      <wps:bodyPr wrap="square" lIns="0" tIns="0" rIns="0" bIns="0" rtlCol="0">
                        <a:noAutofit/>
                      </wps:bodyPr>
                    </wps:wsp>
                  </a:graphicData>
                </a:graphic>
              </wp:anchor>
            </w:drawing>
          </mc:Choice>
          <mc:Fallback>
            <w:pict>
              <v:shape w14:anchorId="437EB283" id="Textbox 2186" o:spid="_x0000_s1082" type="#_x0000_t202" style="position:absolute;left:0;text-align:left;margin-left:142.55pt;margin-top:-94.45pt;width:11.1pt;height:7.05pt;z-index:-2513797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" filled="f" stroked="f">
                <v:textbox inset="0,0,0,0">
                  <w:txbxContent>
                    <w:p w14:paraId="1DE2C807" w14:textId="77777777" w:rsidR="00E17A2B" w:rsidRDefault="00E17A2B" w:rsidP="004F0929">
                      <w:pPr>
                        <w:spacing w:before="1"/>
                        <w:rPr>
                          <w:sz w:val="12"/>
                        </w:rPr>
                      </w:pPr>
                      <w:r>
                        <w:rPr>
                          <w:color w:val="FFFFFF"/>
                          <w:spacing w:val="-4"/>
                          <w:w w:val="105"/>
                          <w:sz w:val="12"/>
                        </w:rPr>
                        <w:t>2,87</w:t>
                      </w:r>
                    </w:p>
                  </w:txbxContent>
                </v:textbox>
                <w10:wrap anchorx="page"/>
              </v:shape>
            </w:pict>
          </mc:Fallback>
        </mc:AlternateContent>
      </w:r>
      <w:r w:rsidRPr="00E73F6F">
        <w:rPr>
          <w:noProof/>
        </w:rPr>
        <mc:AlternateContent>
          <mc:Choice Requires="wps">
            <w:drawing>
              <wp:anchor distT="0" distB="0" distL="0" distR="0" simplePos="0" relativeHeight="251937792" behindDoc="1" locked="0" layoutInCell="1" allowOverlap="1" wp14:anchorId="2068839B" wp14:editId="648D9976">
                <wp:simplePos x="0" y="0"/>
                <wp:positionH relativeFrom="page">
                  <wp:posOffset>1577263</wp:posOffset>
                </wp:positionH>
                <wp:positionV relativeFrom="paragraph">
                  <wp:posOffset>-962751</wp:posOffset>
                </wp:positionV>
                <wp:extent cx="140970" cy="89535"/>
                <wp:effectExtent l="0" t="0" r="0" b="0"/>
                <wp:wrapNone/>
                <wp:docPr id="2187" name="Textbox 2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970" cy="89535"/>
                        </a:xfrm>
                        <a:prstGeom prst="rect">
                          <a:avLst/>
                        </a:prstGeom>
                      </wps:spPr>
                      <wps:txbx>
                        <w:txbxContent>
                          <w:p w14:paraId="1AAA26CC" w14:textId="77777777" w:rsidR="00E17A2B" w:rsidRDefault="00E17A2B" w:rsidP="004F0929">
                            <w:pPr>
                              <w:spacing w:before="1"/>
                              <w:rPr>
                                <w:sz w:val="12"/>
                              </w:rPr>
                            </w:pPr>
                            <w:r>
                              <w:rPr>
                                <w:spacing w:val="-4"/>
                                <w:w w:val="105"/>
                                <w:sz w:val="12"/>
                              </w:rPr>
                              <w:t>3,71</w:t>
                            </w:r>
                          </w:p>
                        </w:txbxContent>
                      </wps:txbx>
                      <wps:bodyPr wrap="square" lIns="0" tIns="0" rIns="0" bIns="0" rtlCol="0">
                        <a:noAutofit/>
                      </wps:bodyPr>
                    </wps:wsp>
                  </a:graphicData>
                </a:graphic>
              </wp:anchor>
            </w:drawing>
          </mc:Choice>
          <mc:Fallback>
            <w:pict>
              <v:shape w14:anchorId="2068839B" id="Textbox 2187" o:spid="_x0000_s1083" type="#_x0000_t202" style="position:absolute;left:0;text-align:left;margin-left:124.2pt;margin-top:-75.8pt;width:11.1pt;height:7.05pt;z-index:-2513786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" filled="f" stroked="f">
                <v:textbox inset="0,0,0,0">
                  <w:txbxContent>
                    <w:p w14:paraId="1AAA26CC" w14:textId="77777777" w:rsidR="00E17A2B" w:rsidRDefault="00E17A2B" w:rsidP="004F0929">
                      <w:pPr>
                        <w:spacing w:before="1"/>
                        <w:rPr>
                          <w:sz w:val="12"/>
                        </w:rPr>
                      </w:pPr>
                      <w:r>
                        <w:rPr>
                          <w:spacing w:val="-4"/>
                          <w:w w:val="105"/>
                          <w:sz w:val="12"/>
                        </w:rPr>
                        <w:t>3,71</w:t>
                      </w:r>
                    </w:p>
                  </w:txbxContent>
                </v:textbox>
                <w10:wrap anchorx="page"/>
              </v:shape>
            </w:pict>
          </mc:Fallback>
        </mc:AlternateContent>
      </w:r>
      <w:r w:rsidRPr="00E73F6F">
        <w:rPr>
          <w:noProof/>
        </w:rPr>
        <mc:AlternateContent>
          <mc:Choice Requires="wps">
            <w:drawing>
              <wp:anchor distT="0" distB="0" distL="0" distR="0" simplePos="0" relativeHeight="251938816" behindDoc="1" locked="0" layoutInCell="1" allowOverlap="1" wp14:anchorId="27454100" wp14:editId="26DB5D84">
                <wp:simplePos x="0" y="0"/>
                <wp:positionH relativeFrom="page">
                  <wp:posOffset>1810086</wp:posOffset>
                </wp:positionH>
                <wp:positionV relativeFrom="paragraph">
                  <wp:posOffset>-962751</wp:posOffset>
                </wp:positionV>
                <wp:extent cx="140970" cy="89535"/>
                <wp:effectExtent l="0" t="0" r="0" b="0"/>
                <wp:wrapNone/>
                <wp:docPr id="2188" name="Textbox 2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970" cy="89535"/>
                        </a:xfrm>
                        <a:prstGeom prst="rect">
                          <a:avLst/>
                        </a:prstGeom>
                      </wps:spPr>
                      <wps:txbx>
                        <w:txbxContent>
                          <w:p w14:paraId="4D0CFB2F" w14:textId="77777777" w:rsidR="00E17A2B" w:rsidRDefault="00E17A2B" w:rsidP="004F0929">
                            <w:pPr>
                              <w:spacing w:before="1"/>
                              <w:rPr>
                                <w:sz w:val="12"/>
                              </w:rPr>
                            </w:pPr>
                            <w:r>
                              <w:rPr>
                                <w:color w:val="FFFFFF"/>
                                <w:spacing w:val="-4"/>
                                <w:w w:val="105"/>
                                <w:sz w:val="12"/>
                              </w:rPr>
                              <w:t>2,79</w:t>
                            </w:r>
                          </w:p>
                        </w:txbxContent>
                      </wps:txbx>
                      <wps:bodyPr wrap="square" lIns="0" tIns="0" rIns="0" bIns="0" rtlCol="0">
                        <a:noAutofit/>
                      </wps:bodyPr>
                    </wps:wsp>
                  </a:graphicData>
                </a:graphic>
              </wp:anchor>
            </w:drawing>
          </mc:Choice>
          <mc:Fallback>
            <w:pict>
              <v:shape w14:anchorId="27454100" id="Textbox 2188" o:spid="_x0000_s1084" type="#_x0000_t202" style="position:absolute;left:0;text-align:left;margin-left:142.55pt;margin-top:-75.8pt;width:11.1pt;height:7.05pt;z-index:-2513776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" filled="f" stroked="f">
                <v:textbox inset="0,0,0,0">
                  <w:txbxContent>
                    <w:p w14:paraId="4D0CFB2F" w14:textId="77777777" w:rsidR="00E17A2B" w:rsidRDefault="00E17A2B" w:rsidP="004F0929">
                      <w:pPr>
                        <w:spacing w:before="1"/>
                        <w:rPr>
                          <w:sz w:val="12"/>
                        </w:rPr>
                      </w:pPr>
                      <w:r>
                        <w:rPr>
                          <w:color w:val="FFFFFF"/>
                          <w:spacing w:val="-4"/>
                          <w:w w:val="105"/>
                          <w:sz w:val="12"/>
                        </w:rPr>
                        <w:t>2,79</w:t>
                      </w:r>
                    </w:p>
                  </w:txbxContent>
                </v:textbox>
                <w10:wrap anchorx="page"/>
              </v:shape>
            </w:pict>
          </mc:Fallback>
        </mc:AlternateContent>
      </w:r>
      <w:r w:rsidRPr="00E73F6F">
        <w:rPr>
          <w:noProof/>
        </w:rPr>
        <mc:AlternateContent>
          <mc:Choice Requires="wps">
            <w:drawing>
              <wp:anchor distT="0" distB="0" distL="0" distR="0" simplePos="0" relativeHeight="251950080" behindDoc="1" locked="0" layoutInCell="1" allowOverlap="1" wp14:anchorId="489F537D" wp14:editId="2352C7A4">
                <wp:simplePos x="0" y="0"/>
                <wp:positionH relativeFrom="page">
                  <wp:posOffset>3520446</wp:posOffset>
                </wp:positionH>
                <wp:positionV relativeFrom="paragraph">
                  <wp:posOffset>-1436739</wp:posOffset>
                </wp:positionV>
                <wp:extent cx="140970" cy="89535"/>
                <wp:effectExtent l="0" t="0" r="0" b="0"/>
                <wp:wrapNone/>
                <wp:docPr id="2189" name="Textbox 2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970" cy="89535"/>
                        </a:xfrm>
                        <a:prstGeom prst="rect">
                          <a:avLst/>
                        </a:prstGeom>
                      </wps:spPr>
                      <wps:txbx>
                        <w:txbxContent>
                          <w:p w14:paraId="3CBC60F5" w14:textId="77777777" w:rsidR="00E17A2B" w:rsidRDefault="00E17A2B" w:rsidP="004F0929">
                            <w:pPr>
                              <w:spacing w:before="1"/>
                              <w:rPr>
                                <w:sz w:val="12"/>
                              </w:rPr>
                            </w:pPr>
                            <w:r>
                              <w:rPr>
                                <w:spacing w:val="-4"/>
                                <w:w w:val="105"/>
                                <w:sz w:val="12"/>
                              </w:rPr>
                              <w:t>1,85</w:t>
                            </w:r>
                          </w:p>
                        </w:txbxContent>
                      </wps:txbx>
                      <wps:bodyPr wrap="square" lIns="0" tIns="0" rIns="0" bIns="0" rtlCol="0">
                        <a:noAutofit/>
                      </wps:bodyPr>
                    </wps:wsp>
                  </a:graphicData>
                </a:graphic>
              </wp:anchor>
            </w:drawing>
          </mc:Choice>
          <mc:Fallback>
            <w:pict>
              <v:shape w14:anchorId="489F537D" id="Textbox 2189" o:spid="_x0000_s1085" type="#_x0000_t202" style="position:absolute;left:0;text-align:left;margin-left:277.2pt;margin-top:-113.15pt;width:11.1pt;height:7.05pt;z-index:-2513664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" filled="f" stroked="f">
                <v:textbox inset="0,0,0,0">
                  <w:txbxContent>
                    <w:p w14:paraId="3CBC60F5" w14:textId="77777777" w:rsidR="00E17A2B" w:rsidRDefault="00E17A2B" w:rsidP="004F0929">
                      <w:pPr>
                        <w:spacing w:before="1"/>
                        <w:rPr>
                          <w:sz w:val="12"/>
                        </w:rPr>
                      </w:pPr>
                      <w:r>
                        <w:rPr>
                          <w:spacing w:val="-4"/>
                          <w:w w:val="105"/>
                          <w:sz w:val="12"/>
                        </w:rPr>
                        <w:t>1,85</w:t>
                      </w:r>
                    </w:p>
                  </w:txbxContent>
                </v:textbox>
                <w10:wrap anchorx="page"/>
              </v:shape>
            </w:pict>
          </mc:Fallback>
        </mc:AlternateContent>
      </w:r>
      <w:r w:rsidRPr="00E73F6F">
        <w:rPr>
          <w:noProof/>
        </w:rPr>
        <mc:AlternateContent>
          <mc:Choice Requires="wps">
            <w:drawing>
              <wp:anchor distT="0" distB="0" distL="0" distR="0" simplePos="0" relativeHeight="251951104" behindDoc="1" locked="0" layoutInCell="1" allowOverlap="1" wp14:anchorId="39C1A144" wp14:editId="54547A81">
                <wp:simplePos x="0" y="0"/>
                <wp:positionH relativeFrom="page">
                  <wp:posOffset>3751896</wp:posOffset>
                </wp:positionH>
                <wp:positionV relativeFrom="paragraph">
                  <wp:posOffset>-1436739</wp:posOffset>
                </wp:positionV>
                <wp:extent cx="140970" cy="89535"/>
                <wp:effectExtent l="0" t="0" r="0" b="0"/>
                <wp:wrapNone/>
                <wp:docPr id="2190" name="Textbox 2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970" cy="89535"/>
                        </a:xfrm>
                        <a:prstGeom prst="rect">
                          <a:avLst/>
                        </a:prstGeom>
                      </wps:spPr>
                      <wps:txbx>
                        <w:txbxContent>
                          <w:p w14:paraId="3C330AAC" w14:textId="77777777" w:rsidR="00E17A2B" w:rsidRDefault="00E17A2B" w:rsidP="004F0929">
                            <w:pPr>
                              <w:spacing w:before="1"/>
                              <w:rPr>
                                <w:sz w:val="12"/>
                              </w:rPr>
                            </w:pPr>
                            <w:r>
                              <w:rPr>
                                <w:color w:val="FFFFFF"/>
                                <w:spacing w:val="-4"/>
                                <w:w w:val="105"/>
                                <w:sz w:val="12"/>
                              </w:rPr>
                              <w:t>1,33</w:t>
                            </w:r>
                          </w:p>
                        </w:txbxContent>
                      </wps:txbx>
                      <wps:bodyPr wrap="square" lIns="0" tIns="0" rIns="0" bIns="0" rtlCol="0">
                        <a:noAutofit/>
                      </wps:bodyPr>
                    </wps:wsp>
                  </a:graphicData>
                </a:graphic>
              </wp:anchor>
            </w:drawing>
          </mc:Choice>
          <mc:Fallback>
            <w:pict>
              <v:shape w14:anchorId="39C1A144" id="Textbox 2190" o:spid="_x0000_s1086" type="#_x0000_t202" style="position:absolute;left:0;text-align:left;margin-left:295.4pt;margin-top:-113.15pt;width:11.1pt;height:7.05pt;z-index:-2513653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" filled="f" stroked="f">
                <v:textbox inset="0,0,0,0">
                  <w:txbxContent>
                    <w:p w14:paraId="3C330AAC" w14:textId="77777777" w:rsidR="00E17A2B" w:rsidRDefault="00E17A2B" w:rsidP="004F0929">
                      <w:pPr>
                        <w:spacing w:before="1"/>
                        <w:rPr>
                          <w:sz w:val="12"/>
                        </w:rPr>
                      </w:pPr>
                      <w:r>
                        <w:rPr>
                          <w:color w:val="FFFFFF"/>
                          <w:spacing w:val="-4"/>
                          <w:w w:val="105"/>
                          <w:sz w:val="12"/>
                        </w:rPr>
                        <w:t>1,33</w:t>
                      </w:r>
                    </w:p>
                  </w:txbxContent>
                </v:textbox>
                <w10:wrap anchorx="page"/>
              </v:shape>
            </w:pict>
          </mc:Fallback>
        </mc:AlternateContent>
      </w:r>
      <w:r w:rsidRPr="00E73F6F">
        <w:rPr>
          <w:noProof/>
        </w:rPr>
        <mc:AlternateContent>
          <mc:Choice Requires="wps">
            <w:drawing>
              <wp:anchor distT="0" distB="0" distL="0" distR="0" simplePos="0" relativeHeight="251952128" behindDoc="1" locked="0" layoutInCell="1" allowOverlap="1" wp14:anchorId="47EC87AC" wp14:editId="581D9F09">
                <wp:simplePos x="0" y="0"/>
                <wp:positionH relativeFrom="page">
                  <wp:posOffset>3520446</wp:posOffset>
                </wp:positionH>
                <wp:positionV relativeFrom="paragraph">
                  <wp:posOffset>-1199465</wp:posOffset>
                </wp:positionV>
                <wp:extent cx="140970" cy="89535"/>
                <wp:effectExtent l="0" t="0" r="0" b="0"/>
                <wp:wrapNone/>
                <wp:docPr id="2191" name="Textbox 2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970" cy="89535"/>
                        </a:xfrm>
                        <a:prstGeom prst="rect">
                          <a:avLst/>
                        </a:prstGeom>
                      </wps:spPr>
                      <wps:txbx>
                        <w:txbxContent>
                          <w:p w14:paraId="1D3C317B" w14:textId="77777777" w:rsidR="00E17A2B" w:rsidRDefault="00E17A2B" w:rsidP="004F0929">
                            <w:pPr>
                              <w:spacing w:before="1"/>
                              <w:rPr>
                                <w:sz w:val="12"/>
                              </w:rPr>
                            </w:pPr>
                            <w:r>
                              <w:rPr>
                                <w:spacing w:val="-4"/>
                                <w:w w:val="105"/>
                                <w:sz w:val="12"/>
                              </w:rPr>
                              <w:t>3,89</w:t>
                            </w:r>
                          </w:p>
                        </w:txbxContent>
                      </wps:txbx>
                      <wps:bodyPr wrap="square" lIns="0" tIns="0" rIns="0" bIns="0" rtlCol="0">
                        <a:noAutofit/>
                      </wps:bodyPr>
                    </wps:wsp>
                  </a:graphicData>
                </a:graphic>
              </wp:anchor>
            </w:drawing>
          </mc:Choice>
          <mc:Fallback>
            <w:pict>
              <v:shape w14:anchorId="47EC87AC" id="Textbox 2191" o:spid="_x0000_s1087" type="#_x0000_t202" style="position:absolute;left:0;text-align:left;margin-left:277.2pt;margin-top:-94.45pt;width:11.1pt;height:7.05pt;z-index:-2513643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" filled="f" stroked="f">
                <v:textbox inset="0,0,0,0">
                  <w:txbxContent>
                    <w:p w14:paraId="1D3C317B" w14:textId="77777777" w:rsidR="00E17A2B" w:rsidRDefault="00E17A2B" w:rsidP="004F0929">
                      <w:pPr>
                        <w:spacing w:before="1"/>
                        <w:rPr>
                          <w:sz w:val="12"/>
                        </w:rPr>
                      </w:pPr>
                      <w:r>
                        <w:rPr>
                          <w:spacing w:val="-4"/>
                          <w:w w:val="105"/>
                          <w:sz w:val="12"/>
                        </w:rPr>
                        <w:t>3,89</w:t>
                      </w:r>
                    </w:p>
                  </w:txbxContent>
                </v:textbox>
                <w10:wrap anchorx="page"/>
              </v:shape>
            </w:pict>
          </mc:Fallback>
        </mc:AlternateContent>
      </w:r>
      <w:r w:rsidRPr="00E73F6F">
        <w:rPr>
          <w:noProof/>
        </w:rPr>
        <mc:AlternateContent>
          <mc:Choice Requires="wps">
            <w:drawing>
              <wp:anchor distT="0" distB="0" distL="0" distR="0" simplePos="0" relativeHeight="251953152" behindDoc="1" locked="0" layoutInCell="1" allowOverlap="1" wp14:anchorId="036AF60A" wp14:editId="396D81F9">
                <wp:simplePos x="0" y="0"/>
                <wp:positionH relativeFrom="page">
                  <wp:posOffset>3751896</wp:posOffset>
                </wp:positionH>
                <wp:positionV relativeFrom="paragraph">
                  <wp:posOffset>-1199465</wp:posOffset>
                </wp:positionV>
                <wp:extent cx="140970" cy="89535"/>
                <wp:effectExtent l="0" t="0" r="0" b="0"/>
                <wp:wrapNone/>
                <wp:docPr id="2192" name="Textbox 2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970" cy="89535"/>
                        </a:xfrm>
                        <a:prstGeom prst="rect">
                          <a:avLst/>
                        </a:prstGeom>
                      </wps:spPr>
                      <wps:txbx>
                        <w:txbxContent>
                          <w:p w14:paraId="0A226F72" w14:textId="77777777" w:rsidR="00E17A2B" w:rsidRDefault="00E17A2B" w:rsidP="004F0929">
                            <w:pPr>
                              <w:spacing w:before="1"/>
                              <w:rPr>
                                <w:sz w:val="12"/>
                              </w:rPr>
                            </w:pPr>
                            <w:r>
                              <w:rPr>
                                <w:color w:val="FFFFFF"/>
                                <w:spacing w:val="-4"/>
                                <w:w w:val="105"/>
                                <w:sz w:val="12"/>
                              </w:rPr>
                              <w:t>2,72</w:t>
                            </w:r>
                          </w:p>
                        </w:txbxContent>
                      </wps:txbx>
                      <wps:bodyPr wrap="square" lIns="0" tIns="0" rIns="0" bIns="0" rtlCol="0">
                        <a:noAutofit/>
                      </wps:bodyPr>
                    </wps:wsp>
                  </a:graphicData>
                </a:graphic>
              </wp:anchor>
            </w:drawing>
          </mc:Choice>
          <mc:Fallback>
            <w:pict>
              <v:shape w14:anchorId="036AF60A" id="Textbox 2192" o:spid="_x0000_s1088" type="#_x0000_t202" style="position:absolute;left:0;text-align:left;margin-left:295.4pt;margin-top:-94.45pt;width:11.1pt;height:7.05pt;z-index:-2513633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" filled="f" stroked="f">
                <v:textbox inset="0,0,0,0">
                  <w:txbxContent>
                    <w:p w14:paraId="0A226F72" w14:textId="77777777" w:rsidR="00E17A2B" w:rsidRDefault="00E17A2B" w:rsidP="004F0929">
                      <w:pPr>
                        <w:spacing w:before="1"/>
                        <w:rPr>
                          <w:sz w:val="12"/>
                        </w:rPr>
                      </w:pPr>
                      <w:r>
                        <w:rPr>
                          <w:color w:val="FFFFFF"/>
                          <w:spacing w:val="-4"/>
                          <w:w w:val="105"/>
                          <w:sz w:val="12"/>
                        </w:rPr>
                        <w:t>2,72</w:t>
                      </w:r>
                    </w:p>
                  </w:txbxContent>
                </v:textbox>
                <w10:wrap anchorx="page"/>
              </v:shape>
            </w:pict>
          </mc:Fallback>
        </mc:AlternateContent>
      </w:r>
      <w:r w:rsidRPr="00E73F6F">
        <w:rPr>
          <w:noProof/>
        </w:rPr>
        <mc:AlternateContent>
          <mc:Choice Requires="wps">
            <w:drawing>
              <wp:anchor distT="0" distB="0" distL="0" distR="0" simplePos="0" relativeHeight="251954176" behindDoc="1" locked="0" layoutInCell="1" allowOverlap="1" wp14:anchorId="39200AF8" wp14:editId="1D5199F2">
                <wp:simplePos x="0" y="0"/>
                <wp:positionH relativeFrom="page">
                  <wp:posOffset>3520446</wp:posOffset>
                </wp:positionH>
                <wp:positionV relativeFrom="paragraph">
                  <wp:posOffset>-962751</wp:posOffset>
                </wp:positionV>
                <wp:extent cx="140970" cy="89535"/>
                <wp:effectExtent l="0" t="0" r="0" b="0"/>
                <wp:wrapNone/>
                <wp:docPr id="2193" name="Textbox 2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970" cy="89535"/>
                        </a:xfrm>
                        <a:prstGeom prst="rect">
                          <a:avLst/>
                        </a:prstGeom>
                      </wps:spPr>
                      <wps:txbx>
                        <w:txbxContent>
                          <w:p w14:paraId="1456385D" w14:textId="77777777" w:rsidR="00E17A2B" w:rsidRDefault="00E17A2B" w:rsidP="004F0929">
                            <w:pPr>
                              <w:spacing w:before="1"/>
                              <w:rPr>
                                <w:sz w:val="12"/>
                              </w:rPr>
                            </w:pPr>
                            <w:r>
                              <w:rPr>
                                <w:spacing w:val="-4"/>
                                <w:w w:val="105"/>
                                <w:sz w:val="12"/>
                              </w:rPr>
                              <w:t>1,98</w:t>
                            </w:r>
                          </w:p>
                        </w:txbxContent>
                      </wps:txbx>
                      <wps:bodyPr wrap="square" lIns="0" tIns="0" rIns="0" bIns="0" rtlCol="0">
                        <a:noAutofit/>
                      </wps:bodyPr>
                    </wps:wsp>
                  </a:graphicData>
                </a:graphic>
              </wp:anchor>
            </w:drawing>
          </mc:Choice>
          <mc:Fallback>
            <w:pict>
              <v:shape w14:anchorId="39200AF8" id="Textbox 2193" o:spid="_x0000_s1089" type="#_x0000_t202" style="position:absolute;left:0;text-align:left;margin-left:277.2pt;margin-top:-75.8pt;width:11.1pt;height:7.05pt;z-index:-251362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" filled="f" stroked="f">
                <v:textbox inset="0,0,0,0">
                  <w:txbxContent>
                    <w:p w14:paraId="1456385D" w14:textId="77777777" w:rsidR="00E17A2B" w:rsidRDefault="00E17A2B" w:rsidP="004F0929">
                      <w:pPr>
                        <w:spacing w:before="1"/>
                        <w:rPr>
                          <w:sz w:val="12"/>
                        </w:rPr>
                      </w:pPr>
                      <w:r>
                        <w:rPr>
                          <w:spacing w:val="-4"/>
                          <w:w w:val="105"/>
                          <w:sz w:val="12"/>
                        </w:rPr>
                        <w:t>1,98</w:t>
                      </w:r>
                    </w:p>
                  </w:txbxContent>
                </v:textbox>
                <w10:wrap anchorx="page"/>
              </v:shape>
            </w:pict>
          </mc:Fallback>
        </mc:AlternateContent>
      </w:r>
      <w:r w:rsidRPr="00E73F6F">
        <w:rPr>
          <w:noProof/>
        </w:rPr>
        <mc:AlternateContent>
          <mc:Choice Requires="wps">
            <w:drawing>
              <wp:anchor distT="0" distB="0" distL="0" distR="0" simplePos="0" relativeHeight="251955200" behindDoc="1" locked="0" layoutInCell="1" allowOverlap="1" wp14:anchorId="5E8BA830" wp14:editId="2EC01A05">
                <wp:simplePos x="0" y="0"/>
                <wp:positionH relativeFrom="page">
                  <wp:posOffset>3751896</wp:posOffset>
                </wp:positionH>
                <wp:positionV relativeFrom="paragraph">
                  <wp:posOffset>-962751</wp:posOffset>
                </wp:positionV>
                <wp:extent cx="140970" cy="89535"/>
                <wp:effectExtent l="0" t="0" r="0" b="0"/>
                <wp:wrapNone/>
                <wp:docPr id="2194" name="Textbox 2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970" cy="89535"/>
                        </a:xfrm>
                        <a:prstGeom prst="rect">
                          <a:avLst/>
                        </a:prstGeom>
                      </wps:spPr>
                      <wps:txbx>
                        <w:txbxContent>
                          <w:p w14:paraId="4F844510" w14:textId="77777777" w:rsidR="00E17A2B" w:rsidRDefault="00E17A2B" w:rsidP="004F0929">
                            <w:pPr>
                              <w:spacing w:before="1"/>
                              <w:rPr>
                                <w:sz w:val="12"/>
                              </w:rPr>
                            </w:pPr>
                            <w:r>
                              <w:rPr>
                                <w:color w:val="FFFFFF"/>
                                <w:spacing w:val="-4"/>
                                <w:w w:val="105"/>
                                <w:sz w:val="12"/>
                              </w:rPr>
                              <w:t>1,36</w:t>
                            </w:r>
                          </w:p>
                        </w:txbxContent>
                      </wps:txbx>
                      <wps:bodyPr wrap="square" lIns="0" tIns="0" rIns="0" bIns="0" rtlCol="0">
                        <a:noAutofit/>
                      </wps:bodyPr>
                    </wps:wsp>
                  </a:graphicData>
                </a:graphic>
              </wp:anchor>
            </w:drawing>
          </mc:Choice>
          <mc:Fallback>
            <w:pict>
              <v:shape w14:anchorId="5E8BA830" id="Textbox 2194" o:spid="_x0000_s1090" type="#_x0000_t202" style="position:absolute;left:0;text-align:left;margin-left:295.4pt;margin-top:-75.8pt;width:11.1pt;height:7.05pt;z-index:-2513612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" filled="f" stroked="f">
                <v:textbox inset="0,0,0,0">
                  <w:txbxContent>
                    <w:p w14:paraId="4F844510" w14:textId="77777777" w:rsidR="00E17A2B" w:rsidRDefault="00E17A2B" w:rsidP="004F0929">
                      <w:pPr>
                        <w:spacing w:before="1"/>
                        <w:rPr>
                          <w:sz w:val="12"/>
                        </w:rPr>
                      </w:pPr>
                      <w:r>
                        <w:rPr>
                          <w:color w:val="FFFFFF"/>
                          <w:spacing w:val="-4"/>
                          <w:w w:val="105"/>
                          <w:sz w:val="12"/>
                        </w:rPr>
                        <w:t>1,36</w:t>
                      </w:r>
                    </w:p>
                  </w:txbxContent>
                </v:textbox>
                <w10:wrap anchorx="page"/>
              </v:shape>
            </w:pict>
          </mc:Fallback>
        </mc:AlternateContent>
      </w:r>
      <w:r w:rsidRPr="00E73F6F">
        <w:t>Ob verschiedene Steuern einheimische Anbieter und Arbeitsplätze im Inland schützen, oder primär die öffentlichen Kassen füllen sollen, ist in unserem Zusammenhang zweitrangig. Aus welchem Grund auch immer: Ausländische Ware wird häufig mit Importzoll belegt oder zum Luxusgut erklärt, für das eine Luxussteuer anfällt. Dadurch verteuern sich z.B. deutsche Automobile im Ausland bisweilen um 100% und mehr. Eine andere Form des Protektionismus stellt der Zulassungsaufschlag für Automobile dar. Dieser berechnet sich nach dem Werkspreis und beträgt in</w:t>
      </w:r>
    </w:p>
    <w:p w14:paraId="5A2782EC" w14:textId="77777777" w:rsidR="00FF7799" w:rsidRPr="00E73F6F" w:rsidRDefault="00FF7799" w:rsidP="002E3E4F">
      <w:pPr>
        <w:pStyle w:val="StandardTextAufzhlung"/>
        <w:ind w:left="567"/>
      </w:pPr>
      <w:r w:rsidRPr="00E73F6F">
        <w:t>Dänemark</w:t>
      </w:r>
      <w:r w:rsidRPr="00E73F6F">
        <w:rPr>
          <w:spacing w:val="-3"/>
        </w:rPr>
        <w:t xml:space="preserve"> </w:t>
      </w:r>
      <w:r w:rsidRPr="00E73F6F">
        <w:t>weit</w:t>
      </w:r>
      <w:r w:rsidRPr="00E73F6F">
        <w:rPr>
          <w:spacing w:val="-2"/>
        </w:rPr>
        <w:t xml:space="preserve"> </w:t>
      </w:r>
      <w:r w:rsidRPr="00E73F6F">
        <w:t>über</w:t>
      </w:r>
      <w:r w:rsidRPr="00E73F6F">
        <w:rPr>
          <w:spacing w:val="-1"/>
        </w:rPr>
        <w:t xml:space="preserve"> </w:t>
      </w:r>
      <w:r w:rsidRPr="00E73F6F">
        <w:rPr>
          <w:spacing w:val="-4"/>
        </w:rPr>
        <w:t>100%,</w:t>
      </w:r>
    </w:p>
    <w:p w14:paraId="38D673F9" w14:textId="77777777" w:rsidR="00FF7799" w:rsidRPr="00E73F6F" w:rsidRDefault="00FF7799" w:rsidP="002E3E4F">
      <w:pPr>
        <w:pStyle w:val="StandardTextAufzhlung"/>
        <w:ind w:left="567"/>
      </w:pPr>
      <w:r w:rsidRPr="00E73F6F">
        <w:t>Finnland</w:t>
      </w:r>
      <w:r w:rsidRPr="00E73F6F">
        <w:rPr>
          <w:spacing w:val="-2"/>
        </w:rPr>
        <w:t xml:space="preserve"> 100%,</w:t>
      </w:r>
    </w:p>
    <w:p w14:paraId="162BE1F0" w14:textId="77777777" w:rsidR="00FF7799" w:rsidRPr="00E73F6F" w:rsidRDefault="00FF7799" w:rsidP="002E3E4F">
      <w:pPr>
        <w:pStyle w:val="StandardTextAufzhlung"/>
        <w:ind w:left="567"/>
      </w:pPr>
      <w:r w:rsidRPr="00E73F6F">
        <w:t>Griechenland</w:t>
      </w:r>
      <w:r w:rsidRPr="00E73F6F">
        <w:rPr>
          <w:spacing w:val="-2"/>
        </w:rPr>
        <w:t xml:space="preserve"> </w:t>
      </w:r>
      <w:r w:rsidRPr="00E73F6F">
        <w:t>bis zu</w:t>
      </w:r>
      <w:r w:rsidRPr="00E73F6F">
        <w:rPr>
          <w:spacing w:val="-2"/>
        </w:rPr>
        <w:t xml:space="preserve"> </w:t>
      </w:r>
      <w:r w:rsidRPr="00E73F6F">
        <w:t>75%</w:t>
      </w:r>
      <w:r w:rsidRPr="00E73F6F">
        <w:rPr>
          <w:spacing w:val="-1"/>
        </w:rPr>
        <w:t xml:space="preserve"> </w:t>
      </w:r>
      <w:r w:rsidRPr="00E73F6F">
        <w:rPr>
          <w:spacing w:val="-5"/>
        </w:rPr>
        <w:t>und</w:t>
      </w:r>
    </w:p>
    <w:p w14:paraId="2C877CCB" w14:textId="77777777" w:rsidR="00FF7799" w:rsidRPr="00E73F6F" w:rsidRDefault="00FF7799" w:rsidP="002E3E4F">
      <w:pPr>
        <w:pStyle w:val="StandardTextAufzhlung"/>
        <w:ind w:left="567"/>
      </w:pPr>
      <w:r w:rsidRPr="00E73F6F">
        <w:t>den</w:t>
      </w:r>
      <w:r w:rsidRPr="00E73F6F">
        <w:rPr>
          <w:spacing w:val="-3"/>
        </w:rPr>
        <w:t xml:space="preserve"> </w:t>
      </w:r>
      <w:r w:rsidRPr="00E73F6F">
        <w:t>Niederlanden</w:t>
      </w:r>
      <w:r w:rsidRPr="00E73F6F">
        <w:rPr>
          <w:spacing w:val="-2"/>
        </w:rPr>
        <w:t xml:space="preserve"> </w:t>
      </w:r>
      <w:r w:rsidRPr="00E73F6F">
        <w:rPr>
          <w:spacing w:val="-4"/>
        </w:rPr>
        <w:t>45%.</w:t>
      </w:r>
    </w:p>
    <w:p w14:paraId="64CB51F5" w14:textId="77777777" w:rsidR="00FF7799" w:rsidRPr="00E73F6F" w:rsidRDefault="00FF7799" w:rsidP="00E94FD0">
      <w:pPr>
        <w:pStyle w:val="StandardText"/>
      </w:pPr>
      <w:r w:rsidRPr="00E73F6F">
        <w:lastRenderedPageBreak/>
        <w:t xml:space="preserve">Um diese Steuer zu kompensieren und ihre Produkte zu Preisen anbieten zu können, welche die Zahlungsbereitschaft der </w:t>
      </w:r>
      <w:r w:rsidR="00F3160E">
        <w:sym w:font="Symbol" w:char="F0DE"/>
      </w:r>
      <w:r w:rsidR="00F3160E">
        <w:t xml:space="preserve"> </w:t>
      </w:r>
      <w:r w:rsidRPr="00E73F6F">
        <w:t>Zielgruppe nicht überfordern, reduzieren die Automobilhersteller in Ländern mit hohem Zulassungsaufschlag entsprechend ihre Werksabgabepreise (vgl. Büschemann 1999, S.2).</w:t>
      </w:r>
    </w:p>
    <w:p w14:paraId="67141884" w14:textId="77777777" w:rsidR="00FF7799" w:rsidRPr="00E73F6F" w:rsidRDefault="00FF7799" w:rsidP="00E94FD0">
      <w:pPr>
        <w:pStyle w:val="StandardText"/>
      </w:pPr>
    </w:p>
    <w:p w14:paraId="08FD6B1B" w14:textId="77777777" w:rsidR="00FF7799" w:rsidRPr="002E3E4F" w:rsidRDefault="00FF7799" w:rsidP="00E94FD0">
      <w:pPr>
        <w:pStyle w:val="StandardTextkursiv"/>
        <w:rPr>
          <w:iCs/>
        </w:rPr>
      </w:pPr>
      <w:r w:rsidRPr="002E3E4F">
        <w:rPr>
          <w:iCs/>
        </w:rPr>
        <w:t>Rabattvorschriften</w:t>
      </w:r>
    </w:p>
    <w:p w14:paraId="7D02948A" w14:textId="77777777" w:rsidR="00FF7799" w:rsidRPr="00E73F6F" w:rsidRDefault="00FF7799" w:rsidP="00E94FD0">
      <w:pPr>
        <w:pStyle w:val="StandardText"/>
      </w:pPr>
      <w:r w:rsidRPr="00E73F6F">
        <w:t>Sie sollen einerseits den Handel vor ruinösem Preiswettbewerb und andererseits die Verbraucher vor irreführenden Informationen schützen. Rabattvorschriften beziehen sich auf die drei gängigen Arten von Nachlässen und sind von Land zu Land unterschiedlich streng (vgl. Tab. 4):</w:t>
      </w:r>
    </w:p>
    <w:p w14:paraId="67097900" w14:textId="77777777" w:rsidR="00FF7799" w:rsidRPr="00E73F6F" w:rsidRDefault="00FF7799" w:rsidP="002E3E4F">
      <w:pPr>
        <w:pStyle w:val="StandardTextAufzhlung"/>
        <w:ind w:left="709"/>
      </w:pPr>
      <w:r w:rsidRPr="00E73F6F">
        <w:t>Barrabatte</w:t>
      </w:r>
      <w:r w:rsidRPr="00E73F6F">
        <w:rPr>
          <w:spacing w:val="-5"/>
        </w:rPr>
        <w:t xml:space="preserve"> </w:t>
      </w:r>
      <w:r w:rsidRPr="00E73F6F">
        <w:t>sind</w:t>
      </w:r>
      <w:r w:rsidRPr="00E73F6F">
        <w:rPr>
          <w:spacing w:val="-5"/>
        </w:rPr>
        <w:t xml:space="preserve"> </w:t>
      </w:r>
      <w:r w:rsidRPr="00E73F6F">
        <w:t>direkte</w:t>
      </w:r>
      <w:r w:rsidRPr="00E73F6F">
        <w:rPr>
          <w:spacing w:val="-4"/>
        </w:rPr>
        <w:t xml:space="preserve"> </w:t>
      </w:r>
      <w:r w:rsidRPr="00E73F6F">
        <w:t>Preisnachlässe</w:t>
      </w:r>
      <w:r w:rsidRPr="00E73F6F">
        <w:rPr>
          <w:spacing w:val="-5"/>
        </w:rPr>
        <w:t xml:space="preserve"> </w:t>
      </w:r>
      <w:r w:rsidRPr="00E73F6F">
        <w:t>(d.h.</w:t>
      </w:r>
      <w:r w:rsidRPr="00E73F6F">
        <w:rPr>
          <w:spacing w:val="-4"/>
        </w:rPr>
        <w:t xml:space="preserve"> </w:t>
      </w:r>
      <w:r w:rsidRPr="00E73F6F">
        <w:t>ein</w:t>
      </w:r>
      <w:r w:rsidRPr="00E73F6F">
        <w:rPr>
          <w:spacing w:val="-5"/>
        </w:rPr>
        <w:t xml:space="preserve"> </w:t>
      </w:r>
      <w:r w:rsidRPr="00E73F6F">
        <w:t>Produkt</w:t>
      </w:r>
      <w:r w:rsidRPr="00E73F6F">
        <w:rPr>
          <w:spacing w:val="-4"/>
        </w:rPr>
        <w:t xml:space="preserve"> </w:t>
      </w:r>
      <w:r w:rsidRPr="00E73F6F">
        <w:t>wird</w:t>
      </w:r>
      <w:r w:rsidRPr="00E73F6F">
        <w:rPr>
          <w:spacing w:val="-5"/>
        </w:rPr>
        <w:t xml:space="preserve"> </w:t>
      </w:r>
      <w:r w:rsidRPr="00E73F6F">
        <w:t>x%</w:t>
      </w:r>
      <w:r w:rsidRPr="00E73F6F">
        <w:rPr>
          <w:spacing w:val="-5"/>
        </w:rPr>
        <w:t xml:space="preserve"> </w:t>
      </w:r>
      <w:r w:rsidRPr="00E73F6F">
        <w:t>billiger als normal angeboten).</w:t>
      </w:r>
    </w:p>
    <w:p w14:paraId="7173F367" w14:textId="77777777" w:rsidR="00FF7799" w:rsidRPr="00E73F6F" w:rsidRDefault="00FF7799" w:rsidP="002E3E4F">
      <w:pPr>
        <w:pStyle w:val="StandardTextAufzhlung"/>
        <w:ind w:left="709"/>
      </w:pPr>
      <w:r w:rsidRPr="00E73F6F">
        <w:t>Bei</w:t>
      </w:r>
      <w:r w:rsidRPr="00E73F6F">
        <w:rPr>
          <w:spacing w:val="-5"/>
        </w:rPr>
        <w:t xml:space="preserve"> </w:t>
      </w:r>
      <w:r w:rsidRPr="00E73F6F">
        <w:t>Warenrabatten</w:t>
      </w:r>
      <w:r w:rsidRPr="00E73F6F">
        <w:rPr>
          <w:spacing w:val="-4"/>
        </w:rPr>
        <w:t xml:space="preserve"> </w:t>
      </w:r>
      <w:r w:rsidRPr="00E73F6F">
        <w:t>handelt</w:t>
      </w:r>
      <w:r w:rsidRPr="00E73F6F">
        <w:rPr>
          <w:spacing w:val="-5"/>
        </w:rPr>
        <w:t xml:space="preserve"> </w:t>
      </w:r>
      <w:r w:rsidRPr="00E73F6F">
        <w:t>es</w:t>
      </w:r>
      <w:r w:rsidRPr="00E73F6F">
        <w:rPr>
          <w:spacing w:val="-5"/>
        </w:rPr>
        <w:t xml:space="preserve"> </w:t>
      </w:r>
      <w:r w:rsidRPr="00E73F6F">
        <w:t>sich</w:t>
      </w:r>
      <w:r w:rsidRPr="00E73F6F">
        <w:rPr>
          <w:spacing w:val="-4"/>
        </w:rPr>
        <w:t xml:space="preserve"> </w:t>
      </w:r>
      <w:r w:rsidRPr="00E73F6F">
        <w:t>um</w:t>
      </w:r>
      <w:r w:rsidRPr="00E73F6F">
        <w:rPr>
          <w:spacing w:val="-6"/>
        </w:rPr>
        <w:t xml:space="preserve"> </w:t>
      </w:r>
      <w:r w:rsidRPr="00E73F6F">
        <w:t>Kopplungsangebote</w:t>
      </w:r>
      <w:r w:rsidRPr="00E73F6F">
        <w:rPr>
          <w:spacing w:val="-5"/>
        </w:rPr>
        <w:t xml:space="preserve"> </w:t>
      </w:r>
      <w:r w:rsidRPr="00E73F6F">
        <w:t>(etwa</w:t>
      </w:r>
      <w:r w:rsidRPr="00E73F6F">
        <w:rPr>
          <w:spacing w:val="-6"/>
        </w:rPr>
        <w:t xml:space="preserve"> </w:t>
      </w:r>
      <w:r w:rsidRPr="00E73F6F">
        <w:t>dann, wenn der Käufer drei Exemplare eines Artikels zum Preis von zweien erwerben kann).</w:t>
      </w:r>
    </w:p>
    <w:p w14:paraId="084DA0AC" w14:textId="77777777" w:rsidR="00FF7799" w:rsidRPr="00E73F6F" w:rsidRDefault="00FF7799" w:rsidP="002E3E4F">
      <w:pPr>
        <w:pStyle w:val="StandardTextAufzhlung"/>
        <w:ind w:left="709"/>
      </w:pPr>
      <w:r w:rsidRPr="00E73F6F">
        <w:t>Gutscheine</w:t>
      </w:r>
      <w:r w:rsidRPr="00E73F6F">
        <w:rPr>
          <w:spacing w:val="-5"/>
        </w:rPr>
        <w:t xml:space="preserve"> </w:t>
      </w:r>
      <w:r w:rsidRPr="00E73F6F">
        <w:t>(Kupons)</w:t>
      </w:r>
      <w:r w:rsidRPr="00E73F6F">
        <w:rPr>
          <w:spacing w:val="-5"/>
        </w:rPr>
        <w:t xml:space="preserve"> </w:t>
      </w:r>
      <w:r w:rsidRPr="00E73F6F">
        <w:t>werden</w:t>
      </w:r>
      <w:r w:rsidRPr="00E73F6F">
        <w:rPr>
          <w:spacing w:val="-4"/>
        </w:rPr>
        <w:t xml:space="preserve"> </w:t>
      </w:r>
      <w:r w:rsidRPr="00E73F6F">
        <w:t>auf</w:t>
      </w:r>
      <w:r w:rsidRPr="00E73F6F">
        <w:rPr>
          <w:spacing w:val="-6"/>
        </w:rPr>
        <w:t xml:space="preserve"> </w:t>
      </w:r>
      <w:r w:rsidRPr="00E73F6F">
        <w:t>verschiedenen</w:t>
      </w:r>
      <w:r w:rsidRPr="00E73F6F">
        <w:rPr>
          <w:spacing w:val="-4"/>
        </w:rPr>
        <w:t xml:space="preserve"> </w:t>
      </w:r>
      <w:r w:rsidRPr="00E73F6F">
        <w:t>Wegen</w:t>
      </w:r>
      <w:r w:rsidRPr="00E73F6F">
        <w:rPr>
          <w:spacing w:val="-5"/>
        </w:rPr>
        <w:t xml:space="preserve"> </w:t>
      </w:r>
      <w:r w:rsidRPr="00E73F6F">
        <w:t>verteilt</w:t>
      </w:r>
      <w:r w:rsidRPr="00E73F6F">
        <w:rPr>
          <w:spacing w:val="-5"/>
        </w:rPr>
        <w:t xml:space="preserve"> </w:t>
      </w:r>
      <w:r w:rsidRPr="00E73F6F">
        <w:t>(z.B.</w:t>
      </w:r>
      <w:r w:rsidRPr="00E73F6F">
        <w:rPr>
          <w:spacing w:val="-5"/>
        </w:rPr>
        <w:t xml:space="preserve"> </w:t>
      </w:r>
      <w:r w:rsidRPr="00E73F6F">
        <w:t>zum Ausschneiden in der Tageszeitung). Sie berechtigen zum ermäßigten</w:t>
      </w:r>
      <w:r w:rsidRPr="00E73F6F">
        <w:rPr>
          <w:spacing w:val="40"/>
        </w:rPr>
        <w:t xml:space="preserve"> </w:t>
      </w:r>
      <w:r w:rsidRPr="00E73F6F">
        <w:t>Kauf einer Ware.</w:t>
      </w:r>
    </w:p>
    <w:p w14:paraId="2519897A" w14:textId="77777777" w:rsidR="00FF7799" w:rsidRPr="00E73F6F" w:rsidRDefault="00FF7799" w:rsidP="00862DBA">
      <w:pPr>
        <w:spacing w:before="1"/>
        <w:rPr>
          <w:sz w:val="24"/>
          <w:szCs w:val="24"/>
        </w:rPr>
      </w:pPr>
    </w:p>
    <w:p w14:paraId="5FBBE07D" w14:textId="77777777" w:rsidR="00FF7799" w:rsidRPr="002E3E4F" w:rsidRDefault="00FF7799" w:rsidP="002251EC">
      <w:pPr>
        <w:pStyle w:val="BeschriftungTab"/>
        <w:rPr>
          <w:i/>
          <w:iCs/>
        </w:rPr>
      </w:pPr>
      <w:r w:rsidRPr="002E3E4F">
        <w:rPr>
          <w:i/>
          <w:iCs/>
        </w:rPr>
        <w:t>Tab. 4:</w:t>
      </w:r>
      <w:r w:rsidRPr="002E3E4F">
        <w:rPr>
          <w:i/>
          <w:iCs/>
          <w:spacing w:val="-2"/>
        </w:rPr>
        <w:t xml:space="preserve"> </w:t>
      </w:r>
      <w:r w:rsidRPr="002E3E4F">
        <w:rPr>
          <w:i/>
          <w:iCs/>
        </w:rPr>
        <w:t>Rabattvorschriften</w:t>
      </w:r>
      <w:r w:rsidRPr="002E3E4F">
        <w:rPr>
          <w:i/>
          <w:iCs/>
          <w:spacing w:val="1"/>
        </w:rPr>
        <w:t xml:space="preserve"> </w:t>
      </w:r>
      <w:r w:rsidRPr="002E3E4F">
        <w:rPr>
          <w:i/>
          <w:iCs/>
        </w:rPr>
        <w:t>in</w:t>
      </w:r>
      <w:r w:rsidRPr="002E3E4F">
        <w:rPr>
          <w:i/>
          <w:iCs/>
          <w:spacing w:val="-1"/>
        </w:rPr>
        <w:t xml:space="preserve"> </w:t>
      </w:r>
      <w:r w:rsidRPr="002E3E4F">
        <w:rPr>
          <w:i/>
          <w:iCs/>
        </w:rPr>
        <w:t>den</w:t>
      </w:r>
      <w:r w:rsidRPr="002E3E4F">
        <w:rPr>
          <w:i/>
          <w:iCs/>
          <w:spacing w:val="-1"/>
        </w:rPr>
        <w:t xml:space="preserve"> </w:t>
      </w:r>
      <w:r w:rsidRPr="002E3E4F">
        <w:rPr>
          <w:i/>
          <w:iCs/>
        </w:rPr>
        <w:t>EU-15-</w:t>
      </w:r>
      <w:r w:rsidRPr="002E3E4F">
        <w:rPr>
          <w:i/>
          <w:iCs/>
          <w:spacing w:val="-2"/>
        </w:rPr>
        <w:t>Ländern</w:t>
      </w:r>
    </w:p>
    <w:p w14:paraId="45A00D14" w14:textId="77777777" w:rsidR="00FF7799" w:rsidRPr="00E73F6F" w:rsidRDefault="00FF7799" w:rsidP="00862DBA">
      <w:pPr>
        <w:spacing w:before="4" w:after="1"/>
        <w:rPr>
          <w:i/>
          <w:sz w:val="24"/>
          <w:szCs w:val="24"/>
        </w:rPr>
      </w:pPr>
    </w:p>
    <w:tbl>
      <w:tblPr>
        <w:tblStyle w:val="TableNormal"/>
        <w:tblW w:w="5000" w:type="pct"/>
        <w:tblBorders>
          <w:top w:val="single" w:sz="4" w:space="0" w:color="auto"/>
          <w:bottom w:val="single" w:sz="4" w:space="0" w:color="auto"/>
          <w:insideH w:val="single" w:sz="4" w:space="0" w:color="auto"/>
        </w:tblBorders>
        <w:tblLayout w:type="fixed"/>
        <w:tblCellMar>
          <w:left w:w="57" w:type="dxa"/>
          <w:right w:w="57" w:type="dxa"/>
        </w:tblCellMar>
        <w:tblLook w:val="01E0" w:firstRow="1" w:lastRow="1" w:firstColumn="1" w:lastColumn="1" w:noHBand="0" w:noVBand="0"/>
      </w:tblPr>
      <w:tblGrid>
        <w:gridCol w:w="846"/>
        <w:gridCol w:w="2742"/>
        <w:gridCol w:w="2742"/>
        <w:gridCol w:w="2742"/>
      </w:tblGrid>
      <w:tr w:rsidR="00FF7799" w:rsidRPr="00E73F6F" w14:paraId="2B141D81" w14:textId="77777777" w:rsidTr="002251EC">
        <w:trPr>
          <w:trHeight w:val="304"/>
          <w:tblHeader/>
        </w:trPr>
        <w:tc>
          <w:tcPr>
            <w:tcW w:w="467" w:type="pct"/>
            <w:shd w:val="clear" w:color="auto" w:fill="FFC000" w:themeFill="accent4"/>
          </w:tcPr>
          <w:p w14:paraId="282280CC" w14:textId="77777777" w:rsidR="00FF7799" w:rsidRPr="00E73F6F" w:rsidRDefault="00FF7799" w:rsidP="00E94FD0">
            <w:pPr>
              <w:pStyle w:val="StandardText"/>
              <w:spacing w:after="120"/>
              <w:rPr>
                <w:b/>
                <w:lang w:val="de-DE"/>
              </w:rPr>
            </w:pPr>
            <w:r w:rsidRPr="00E73F6F">
              <w:rPr>
                <w:b/>
                <w:lang w:val="de-DE"/>
              </w:rPr>
              <w:t>Land</w:t>
            </w:r>
          </w:p>
        </w:tc>
        <w:tc>
          <w:tcPr>
            <w:tcW w:w="1511" w:type="pct"/>
            <w:shd w:val="clear" w:color="auto" w:fill="FFC000" w:themeFill="accent4"/>
          </w:tcPr>
          <w:p w14:paraId="4EB3E55B" w14:textId="77777777" w:rsidR="00FF7799" w:rsidRPr="00E73F6F" w:rsidRDefault="00FF7799" w:rsidP="002251EC">
            <w:pPr>
              <w:pStyle w:val="StandardText"/>
              <w:spacing w:after="120"/>
              <w:jc w:val="center"/>
              <w:rPr>
                <w:b/>
                <w:lang w:val="de-DE"/>
              </w:rPr>
            </w:pPr>
            <w:r w:rsidRPr="00E73F6F">
              <w:rPr>
                <w:b/>
                <w:spacing w:val="-2"/>
                <w:lang w:val="de-DE"/>
              </w:rPr>
              <w:t>Barrabatte</w:t>
            </w:r>
          </w:p>
        </w:tc>
        <w:tc>
          <w:tcPr>
            <w:tcW w:w="1511" w:type="pct"/>
            <w:shd w:val="clear" w:color="auto" w:fill="FFC000" w:themeFill="accent4"/>
          </w:tcPr>
          <w:p w14:paraId="6672A654" w14:textId="77777777" w:rsidR="00FF7799" w:rsidRPr="00E73F6F" w:rsidRDefault="00FF7799" w:rsidP="002251EC">
            <w:pPr>
              <w:pStyle w:val="StandardText"/>
              <w:spacing w:after="120"/>
              <w:jc w:val="center"/>
              <w:rPr>
                <w:b/>
                <w:lang w:val="de-DE"/>
              </w:rPr>
            </w:pPr>
            <w:r w:rsidRPr="00E73F6F">
              <w:rPr>
                <w:b/>
                <w:spacing w:val="-2"/>
                <w:lang w:val="de-DE"/>
              </w:rPr>
              <w:t>Warenrabatte</w:t>
            </w:r>
          </w:p>
        </w:tc>
        <w:tc>
          <w:tcPr>
            <w:tcW w:w="1511" w:type="pct"/>
            <w:shd w:val="clear" w:color="auto" w:fill="FFC000" w:themeFill="accent4"/>
          </w:tcPr>
          <w:p w14:paraId="5763CF4A" w14:textId="77777777" w:rsidR="00FF7799" w:rsidRPr="00E73F6F" w:rsidRDefault="00FF7799" w:rsidP="002251EC">
            <w:pPr>
              <w:pStyle w:val="StandardText"/>
              <w:spacing w:after="120"/>
              <w:jc w:val="center"/>
              <w:rPr>
                <w:b/>
                <w:lang w:val="de-DE"/>
              </w:rPr>
            </w:pPr>
            <w:r w:rsidRPr="00E73F6F">
              <w:rPr>
                <w:b/>
                <w:spacing w:val="-2"/>
                <w:lang w:val="de-DE"/>
              </w:rPr>
              <w:t>Gutscheine</w:t>
            </w:r>
          </w:p>
        </w:tc>
      </w:tr>
      <w:tr w:rsidR="00FF7799" w:rsidRPr="00E73F6F" w14:paraId="50D3320A" w14:textId="77777777" w:rsidTr="002251EC">
        <w:trPr>
          <w:trHeight w:val="1590"/>
        </w:trPr>
        <w:tc>
          <w:tcPr>
            <w:tcW w:w="467" w:type="pct"/>
          </w:tcPr>
          <w:p w14:paraId="3DBCAC9D" w14:textId="77777777" w:rsidR="00FF7799" w:rsidRPr="00E73F6F" w:rsidRDefault="00FF7799" w:rsidP="00E94FD0">
            <w:pPr>
              <w:pStyle w:val="StandardText"/>
              <w:rPr>
                <w:lang w:val="de-DE"/>
              </w:rPr>
            </w:pPr>
            <w:r w:rsidRPr="00E73F6F">
              <w:rPr>
                <w:lang w:val="de-DE"/>
              </w:rPr>
              <w:t>A</w:t>
            </w:r>
          </w:p>
        </w:tc>
        <w:tc>
          <w:tcPr>
            <w:tcW w:w="1511" w:type="pct"/>
          </w:tcPr>
          <w:p w14:paraId="0A36D935" w14:textId="77777777" w:rsidR="00FF7799" w:rsidRPr="00E73F6F" w:rsidRDefault="00FF7799" w:rsidP="002251EC">
            <w:pPr>
              <w:pStyle w:val="StandardText"/>
              <w:jc w:val="left"/>
              <w:rPr>
                <w:lang w:val="de-DE"/>
              </w:rPr>
            </w:pPr>
            <w:r w:rsidRPr="00E73F6F">
              <w:rPr>
                <w:lang w:val="de-DE"/>
              </w:rPr>
              <w:t>Theoretisch</w:t>
            </w:r>
            <w:r w:rsidRPr="00E73F6F">
              <w:rPr>
                <w:spacing w:val="-3"/>
                <w:lang w:val="de-DE"/>
              </w:rPr>
              <w:t xml:space="preserve"> </w:t>
            </w:r>
            <w:r w:rsidRPr="00E73F6F">
              <w:rPr>
                <w:lang w:val="de-DE"/>
              </w:rPr>
              <w:t>keine</w:t>
            </w:r>
            <w:r w:rsidRPr="00E73F6F">
              <w:rPr>
                <w:spacing w:val="40"/>
                <w:lang w:val="de-DE"/>
              </w:rPr>
              <w:t xml:space="preserve"> </w:t>
            </w:r>
            <w:r w:rsidRPr="00E73F6F">
              <w:rPr>
                <w:lang w:val="de-DE"/>
              </w:rPr>
              <w:t>Beschränkungen,</w:t>
            </w:r>
            <w:r w:rsidRPr="00E73F6F">
              <w:rPr>
                <w:spacing w:val="-10"/>
                <w:lang w:val="de-DE"/>
              </w:rPr>
              <w:t xml:space="preserve"> </w:t>
            </w:r>
            <w:r w:rsidRPr="00E73F6F">
              <w:rPr>
                <w:lang w:val="de-DE"/>
              </w:rPr>
              <w:t>Rabatt</w:t>
            </w:r>
            <w:r w:rsidRPr="00E73F6F">
              <w:rPr>
                <w:spacing w:val="40"/>
                <w:lang w:val="de-DE"/>
              </w:rPr>
              <w:t xml:space="preserve"> </w:t>
            </w:r>
            <w:r w:rsidRPr="00E73F6F">
              <w:rPr>
                <w:lang w:val="de-DE"/>
              </w:rPr>
              <w:t>muss vom Kunden</w:t>
            </w:r>
            <w:r w:rsidRPr="00E73F6F">
              <w:rPr>
                <w:spacing w:val="40"/>
                <w:lang w:val="de-DE"/>
              </w:rPr>
              <w:t xml:space="preserve"> </w:t>
            </w:r>
            <w:r w:rsidRPr="00E73F6F">
              <w:rPr>
                <w:lang w:val="de-DE"/>
              </w:rPr>
              <w:t>leicht</w:t>
            </w:r>
            <w:r w:rsidRPr="00E73F6F">
              <w:rPr>
                <w:spacing w:val="-2"/>
                <w:lang w:val="de-DE"/>
              </w:rPr>
              <w:t xml:space="preserve"> </w:t>
            </w:r>
            <w:r w:rsidRPr="00E73F6F">
              <w:rPr>
                <w:lang w:val="de-DE"/>
              </w:rPr>
              <w:t>berechnet werden</w:t>
            </w:r>
            <w:r w:rsidRPr="00E73F6F">
              <w:rPr>
                <w:spacing w:val="40"/>
                <w:lang w:val="de-DE"/>
              </w:rPr>
              <w:t xml:space="preserve"> </w:t>
            </w:r>
            <w:r w:rsidRPr="00E73F6F">
              <w:rPr>
                <w:lang w:val="de-DE"/>
              </w:rPr>
              <w:t>können.</w:t>
            </w:r>
            <w:r w:rsidRPr="00E73F6F">
              <w:rPr>
                <w:spacing w:val="-10"/>
                <w:lang w:val="de-DE"/>
              </w:rPr>
              <w:t xml:space="preserve"> </w:t>
            </w:r>
            <w:r w:rsidRPr="00E73F6F">
              <w:rPr>
                <w:lang w:val="de-DE"/>
              </w:rPr>
              <w:t>Für</w:t>
            </w:r>
            <w:r w:rsidRPr="00E73F6F">
              <w:rPr>
                <w:spacing w:val="-10"/>
                <w:lang w:val="de-DE"/>
              </w:rPr>
              <w:t xml:space="preserve"> </w:t>
            </w:r>
            <w:r w:rsidRPr="00E73F6F">
              <w:rPr>
                <w:lang w:val="de-DE"/>
              </w:rPr>
              <w:t>Ausverkauf</w:t>
            </w:r>
            <w:r w:rsidRPr="00E73F6F">
              <w:rPr>
                <w:spacing w:val="40"/>
                <w:lang w:val="de-DE"/>
              </w:rPr>
              <w:t xml:space="preserve"> </w:t>
            </w:r>
            <w:r w:rsidRPr="00E73F6F">
              <w:rPr>
                <w:lang w:val="de-DE"/>
              </w:rPr>
              <w:t>Genehmigung notwendig (außer Saisonverkauf)</w:t>
            </w:r>
          </w:p>
        </w:tc>
        <w:tc>
          <w:tcPr>
            <w:tcW w:w="1511" w:type="pct"/>
          </w:tcPr>
          <w:p w14:paraId="75377562" w14:textId="77777777" w:rsidR="00FF7799" w:rsidRPr="00E73F6F" w:rsidRDefault="00FF7799" w:rsidP="002251EC">
            <w:pPr>
              <w:pStyle w:val="StandardText"/>
              <w:jc w:val="left"/>
              <w:rPr>
                <w:lang w:val="de-DE"/>
              </w:rPr>
            </w:pPr>
            <w:r w:rsidRPr="00E73F6F">
              <w:rPr>
                <w:lang w:val="de-DE"/>
              </w:rPr>
              <w:t>Müssen</w:t>
            </w:r>
            <w:r w:rsidRPr="00E73F6F">
              <w:rPr>
                <w:spacing w:val="-3"/>
                <w:lang w:val="de-DE"/>
              </w:rPr>
              <w:t xml:space="preserve"> </w:t>
            </w:r>
            <w:r w:rsidRPr="00E73F6F">
              <w:rPr>
                <w:lang w:val="de-DE"/>
              </w:rPr>
              <w:t>dasselbe</w:t>
            </w:r>
            <w:r w:rsidRPr="00E73F6F">
              <w:rPr>
                <w:spacing w:val="40"/>
                <w:lang w:val="de-DE"/>
              </w:rPr>
              <w:t xml:space="preserve"> </w:t>
            </w:r>
            <w:r w:rsidRPr="00E73F6F">
              <w:rPr>
                <w:lang w:val="de-DE"/>
              </w:rPr>
              <w:t>Produkt</w:t>
            </w:r>
            <w:r w:rsidRPr="00E73F6F">
              <w:rPr>
                <w:spacing w:val="-10"/>
                <w:lang w:val="de-DE"/>
              </w:rPr>
              <w:t xml:space="preserve"> </w:t>
            </w:r>
            <w:r w:rsidRPr="00E73F6F">
              <w:rPr>
                <w:lang w:val="de-DE"/>
              </w:rPr>
              <w:t>betreffen</w:t>
            </w:r>
          </w:p>
        </w:tc>
        <w:tc>
          <w:tcPr>
            <w:tcW w:w="1511" w:type="pct"/>
          </w:tcPr>
          <w:p w14:paraId="6B9F141B" w14:textId="77777777" w:rsidR="00FF7799" w:rsidRPr="00E73F6F" w:rsidRDefault="00FF7799" w:rsidP="002251EC">
            <w:pPr>
              <w:pStyle w:val="StandardText"/>
              <w:jc w:val="left"/>
              <w:rPr>
                <w:lang w:val="de-DE"/>
              </w:rPr>
            </w:pPr>
            <w:r w:rsidRPr="00E73F6F">
              <w:rPr>
                <w:lang w:val="de-DE"/>
              </w:rPr>
              <w:t>Im</w:t>
            </w:r>
            <w:r w:rsidRPr="00E73F6F">
              <w:rPr>
                <w:spacing w:val="-5"/>
                <w:lang w:val="de-DE"/>
              </w:rPr>
              <w:t xml:space="preserve"> </w:t>
            </w:r>
            <w:r w:rsidRPr="00E73F6F">
              <w:rPr>
                <w:lang w:val="de-DE"/>
              </w:rPr>
              <w:t>Regelfall</w:t>
            </w:r>
            <w:r w:rsidRPr="00E73F6F">
              <w:rPr>
                <w:spacing w:val="-5"/>
                <w:lang w:val="de-DE"/>
              </w:rPr>
              <w:t xml:space="preserve"> </w:t>
            </w:r>
            <w:r w:rsidRPr="00E73F6F">
              <w:rPr>
                <w:spacing w:val="-2"/>
                <w:lang w:val="de-DE"/>
              </w:rPr>
              <w:t>zulässig</w:t>
            </w:r>
          </w:p>
        </w:tc>
      </w:tr>
      <w:tr w:rsidR="00FF7799" w:rsidRPr="00E73F6F" w14:paraId="6BA18893" w14:textId="77777777" w:rsidTr="002251EC">
        <w:trPr>
          <w:trHeight w:val="2697"/>
        </w:trPr>
        <w:tc>
          <w:tcPr>
            <w:tcW w:w="467" w:type="pct"/>
          </w:tcPr>
          <w:p w14:paraId="51338891" w14:textId="77777777" w:rsidR="00FF7799" w:rsidRPr="00E73F6F" w:rsidRDefault="00FF7799" w:rsidP="00E94FD0">
            <w:pPr>
              <w:pStyle w:val="StandardText"/>
              <w:rPr>
                <w:lang w:val="de-DE"/>
              </w:rPr>
            </w:pPr>
            <w:r w:rsidRPr="00E73F6F">
              <w:rPr>
                <w:lang w:val="de-DE"/>
              </w:rPr>
              <w:t>B</w:t>
            </w:r>
          </w:p>
        </w:tc>
        <w:tc>
          <w:tcPr>
            <w:tcW w:w="1511" w:type="pct"/>
          </w:tcPr>
          <w:p w14:paraId="410B01D6" w14:textId="77777777" w:rsidR="00FF7799" w:rsidRPr="00E73F6F" w:rsidRDefault="00FF7799" w:rsidP="002251EC">
            <w:pPr>
              <w:pStyle w:val="StandardText"/>
              <w:jc w:val="left"/>
              <w:rPr>
                <w:lang w:val="de-DE"/>
              </w:rPr>
            </w:pPr>
            <w:r w:rsidRPr="00E73F6F">
              <w:rPr>
                <w:lang w:val="de-DE"/>
              </w:rPr>
              <w:t>Kostenloser Anteil an</w:t>
            </w:r>
            <w:r w:rsidRPr="00E73F6F">
              <w:rPr>
                <w:spacing w:val="40"/>
                <w:lang w:val="de-DE"/>
              </w:rPr>
              <w:t xml:space="preserve"> </w:t>
            </w:r>
            <w:r w:rsidRPr="00E73F6F">
              <w:rPr>
                <w:lang w:val="de-DE"/>
              </w:rPr>
              <w:t>der normalen Menge</w:t>
            </w:r>
            <w:r w:rsidRPr="00E73F6F">
              <w:rPr>
                <w:spacing w:val="40"/>
                <w:lang w:val="de-DE"/>
              </w:rPr>
              <w:t xml:space="preserve"> </w:t>
            </w:r>
            <w:r w:rsidRPr="00E73F6F">
              <w:rPr>
                <w:lang w:val="de-DE"/>
              </w:rPr>
              <w:t>einer Ware</w:t>
            </w:r>
            <w:r w:rsidRPr="00E73F6F">
              <w:rPr>
                <w:spacing w:val="-1"/>
                <w:lang w:val="de-DE"/>
              </w:rPr>
              <w:t xml:space="preserve"> </w:t>
            </w:r>
            <w:r w:rsidRPr="00E73F6F">
              <w:rPr>
                <w:lang w:val="de-DE"/>
              </w:rPr>
              <w:t>ist verboten;</w:t>
            </w:r>
            <w:r w:rsidRPr="00E73F6F">
              <w:rPr>
                <w:spacing w:val="40"/>
                <w:lang w:val="de-DE"/>
              </w:rPr>
              <w:t xml:space="preserve"> </w:t>
            </w:r>
            <w:r w:rsidRPr="00E73F6F">
              <w:rPr>
                <w:lang w:val="de-DE"/>
              </w:rPr>
              <w:t>Rabatt muss</w:t>
            </w:r>
            <w:r w:rsidRPr="00E73F6F">
              <w:rPr>
                <w:spacing w:val="40"/>
                <w:lang w:val="de-DE"/>
              </w:rPr>
              <w:t xml:space="preserve"> </w:t>
            </w:r>
            <w:r w:rsidRPr="00E73F6F">
              <w:rPr>
                <w:spacing w:val="-2"/>
                <w:lang w:val="de-DE"/>
              </w:rPr>
              <w:t>kommerziell</w:t>
            </w:r>
            <w:r w:rsidRPr="00E73F6F">
              <w:rPr>
                <w:spacing w:val="40"/>
                <w:lang w:val="de-DE"/>
              </w:rPr>
              <w:t xml:space="preserve"> </w:t>
            </w:r>
            <w:r w:rsidRPr="00E73F6F">
              <w:rPr>
                <w:lang w:val="de-DE"/>
              </w:rPr>
              <w:t>kommuniziert werden</w:t>
            </w:r>
            <w:r w:rsidRPr="00E73F6F">
              <w:rPr>
                <w:spacing w:val="40"/>
                <w:lang w:val="de-DE"/>
              </w:rPr>
              <w:t xml:space="preserve"> </w:t>
            </w:r>
            <w:r w:rsidRPr="00E73F6F">
              <w:rPr>
                <w:lang w:val="de-DE"/>
              </w:rPr>
              <w:t>und sich auf eine</w:t>
            </w:r>
            <w:r w:rsidRPr="00E73F6F">
              <w:rPr>
                <w:spacing w:val="40"/>
                <w:lang w:val="de-DE"/>
              </w:rPr>
              <w:t xml:space="preserve"> </w:t>
            </w:r>
            <w:r w:rsidRPr="00E73F6F">
              <w:rPr>
                <w:lang w:val="de-DE"/>
              </w:rPr>
              <w:t>bestimmte Waren- bzw.</w:t>
            </w:r>
            <w:r w:rsidRPr="00E73F6F">
              <w:rPr>
                <w:spacing w:val="40"/>
                <w:lang w:val="de-DE"/>
              </w:rPr>
              <w:t xml:space="preserve"> </w:t>
            </w:r>
            <w:r w:rsidRPr="00E73F6F">
              <w:rPr>
                <w:spacing w:val="-2"/>
                <w:lang w:val="de-DE"/>
              </w:rPr>
              <w:t>Dienstleistungskategorie</w:t>
            </w:r>
            <w:r w:rsidRPr="00E73F6F">
              <w:rPr>
                <w:spacing w:val="40"/>
                <w:lang w:val="de-DE"/>
              </w:rPr>
              <w:t xml:space="preserve"> </w:t>
            </w:r>
            <w:r w:rsidRPr="00E73F6F">
              <w:rPr>
                <w:lang w:val="de-DE"/>
              </w:rPr>
              <w:t>beziehen;</w:t>
            </w:r>
            <w:r w:rsidRPr="00E73F6F">
              <w:rPr>
                <w:spacing w:val="-3"/>
                <w:lang w:val="de-DE"/>
              </w:rPr>
              <w:t xml:space="preserve"> </w:t>
            </w:r>
            <w:r w:rsidRPr="00E73F6F">
              <w:rPr>
                <w:lang w:val="de-DE"/>
              </w:rPr>
              <w:t>genereller,</w:t>
            </w:r>
            <w:r w:rsidRPr="00E73F6F">
              <w:rPr>
                <w:spacing w:val="40"/>
                <w:lang w:val="de-DE"/>
              </w:rPr>
              <w:t xml:space="preserve"> </w:t>
            </w:r>
            <w:r w:rsidRPr="00E73F6F">
              <w:rPr>
                <w:spacing w:val="-2"/>
                <w:lang w:val="de-DE"/>
              </w:rPr>
              <w:t>prozentualer</w:t>
            </w:r>
            <w:r w:rsidRPr="00E73F6F">
              <w:rPr>
                <w:spacing w:val="40"/>
                <w:lang w:val="de-DE"/>
              </w:rPr>
              <w:t xml:space="preserve"> </w:t>
            </w:r>
            <w:r w:rsidRPr="00E73F6F">
              <w:rPr>
                <w:lang w:val="de-DE"/>
              </w:rPr>
              <w:t>Preisnachlass</w:t>
            </w:r>
            <w:r w:rsidRPr="00E73F6F">
              <w:rPr>
                <w:spacing w:val="-5"/>
                <w:lang w:val="de-DE"/>
              </w:rPr>
              <w:t xml:space="preserve"> </w:t>
            </w:r>
            <w:r w:rsidRPr="00E73F6F">
              <w:rPr>
                <w:lang w:val="de-DE"/>
              </w:rPr>
              <w:t xml:space="preserve">auf </w:t>
            </w:r>
            <w:r w:rsidRPr="00E73F6F">
              <w:rPr>
                <w:spacing w:val="-2"/>
                <w:lang w:val="de-DE"/>
              </w:rPr>
              <w:t>„gekennzeichnete</w:t>
            </w:r>
            <w:r w:rsidRPr="00E73F6F">
              <w:rPr>
                <w:spacing w:val="40"/>
                <w:lang w:val="de-DE"/>
              </w:rPr>
              <w:t xml:space="preserve"> </w:t>
            </w:r>
            <w:r w:rsidRPr="00E73F6F">
              <w:rPr>
                <w:lang w:val="de-DE"/>
              </w:rPr>
              <w:t>Ware“</w:t>
            </w:r>
            <w:r w:rsidRPr="00E73F6F">
              <w:rPr>
                <w:spacing w:val="-10"/>
                <w:lang w:val="de-DE"/>
              </w:rPr>
              <w:t xml:space="preserve"> </w:t>
            </w:r>
            <w:r w:rsidRPr="00E73F6F">
              <w:rPr>
                <w:lang w:val="de-DE"/>
              </w:rPr>
              <w:t>ist</w:t>
            </w:r>
            <w:r w:rsidRPr="00E73F6F">
              <w:rPr>
                <w:spacing w:val="-10"/>
                <w:lang w:val="de-DE"/>
              </w:rPr>
              <w:t xml:space="preserve"> </w:t>
            </w:r>
            <w:r w:rsidRPr="00E73F6F">
              <w:rPr>
                <w:lang w:val="de-DE"/>
              </w:rPr>
              <w:t>nicht</w:t>
            </w:r>
            <w:r w:rsidRPr="00E73F6F">
              <w:rPr>
                <w:spacing w:val="-10"/>
                <w:lang w:val="de-DE"/>
              </w:rPr>
              <w:t xml:space="preserve"> </w:t>
            </w:r>
            <w:r w:rsidRPr="00E73F6F">
              <w:rPr>
                <w:lang w:val="de-DE"/>
              </w:rPr>
              <w:t>zulässig</w:t>
            </w:r>
          </w:p>
        </w:tc>
        <w:tc>
          <w:tcPr>
            <w:tcW w:w="1511" w:type="pct"/>
          </w:tcPr>
          <w:p w14:paraId="5E523C71" w14:textId="77777777" w:rsidR="00FF7799" w:rsidRPr="00E73F6F" w:rsidRDefault="00FF7799" w:rsidP="002251EC">
            <w:pPr>
              <w:pStyle w:val="StandardText"/>
              <w:jc w:val="left"/>
              <w:rPr>
                <w:lang w:val="de-DE"/>
              </w:rPr>
            </w:pPr>
            <w:r w:rsidRPr="00E73F6F">
              <w:rPr>
                <w:lang w:val="de-DE"/>
              </w:rPr>
              <w:t>Identische Waren und</w:t>
            </w:r>
            <w:r w:rsidRPr="00E73F6F">
              <w:rPr>
                <w:spacing w:val="40"/>
                <w:lang w:val="de-DE"/>
              </w:rPr>
              <w:t xml:space="preserve"> </w:t>
            </w:r>
            <w:r w:rsidRPr="00E73F6F">
              <w:rPr>
                <w:spacing w:val="-2"/>
                <w:lang w:val="de-DE"/>
              </w:rPr>
              <w:t>Dienstleistungen</w:t>
            </w:r>
            <w:r w:rsidRPr="00E73F6F">
              <w:rPr>
                <w:spacing w:val="40"/>
                <w:lang w:val="de-DE"/>
              </w:rPr>
              <w:t xml:space="preserve"> </w:t>
            </w:r>
            <w:r w:rsidRPr="00E73F6F">
              <w:rPr>
                <w:lang w:val="de-DE"/>
              </w:rPr>
              <w:t>können nur zusammen</w:t>
            </w:r>
            <w:r w:rsidRPr="00E73F6F">
              <w:rPr>
                <w:spacing w:val="40"/>
                <w:lang w:val="de-DE"/>
              </w:rPr>
              <w:t xml:space="preserve"> </w:t>
            </w:r>
            <w:r w:rsidRPr="00E73F6F">
              <w:rPr>
                <w:lang w:val="de-DE"/>
              </w:rPr>
              <w:t>zu einem Gesamtpreis</w:t>
            </w:r>
            <w:r w:rsidRPr="00E73F6F">
              <w:rPr>
                <w:spacing w:val="40"/>
                <w:lang w:val="de-DE"/>
              </w:rPr>
              <w:t xml:space="preserve"> </w:t>
            </w:r>
            <w:r w:rsidRPr="00E73F6F">
              <w:rPr>
                <w:lang w:val="de-DE"/>
              </w:rPr>
              <w:t>verkauft werden, wenn</w:t>
            </w:r>
            <w:r w:rsidRPr="00E73F6F">
              <w:rPr>
                <w:spacing w:val="40"/>
                <w:lang w:val="de-DE"/>
              </w:rPr>
              <w:t xml:space="preserve"> </w:t>
            </w:r>
            <w:r w:rsidRPr="00E73F6F">
              <w:rPr>
                <w:lang w:val="de-DE"/>
              </w:rPr>
              <w:t>der Kunde sie auch</w:t>
            </w:r>
            <w:r w:rsidRPr="00E73F6F">
              <w:rPr>
                <w:spacing w:val="40"/>
                <w:lang w:val="de-DE"/>
              </w:rPr>
              <w:t xml:space="preserve"> </w:t>
            </w:r>
            <w:r w:rsidRPr="00E73F6F">
              <w:rPr>
                <w:lang w:val="de-DE"/>
              </w:rPr>
              <w:t>getrennt</w:t>
            </w:r>
            <w:r w:rsidRPr="00E73F6F">
              <w:rPr>
                <w:spacing w:val="-10"/>
                <w:lang w:val="de-DE"/>
              </w:rPr>
              <w:t xml:space="preserve"> </w:t>
            </w:r>
            <w:r w:rsidRPr="00E73F6F">
              <w:rPr>
                <w:lang w:val="de-DE"/>
              </w:rPr>
              <w:t>erwerben</w:t>
            </w:r>
            <w:r w:rsidRPr="00E73F6F">
              <w:rPr>
                <w:spacing w:val="-10"/>
                <w:lang w:val="de-DE"/>
              </w:rPr>
              <w:t xml:space="preserve"> </w:t>
            </w:r>
            <w:r w:rsidRPr="00E73F6F">
              <w:rPr>
                <w:lang w:val="de-DE"/>
              </w:rPr>
              <w:t>kann,</w:t>
            </w:r>
            <w:r w:rsidRPr="00E73F6F">
              <w:rPr>
                <w:spacing w:val="40"/>
                <w:lang w:val="de-DE"/>
              </w:rPr>
              <w:t xml:space="preserve"> </w:t>
            </w:r>
            <w:r w:rsidRPr="00E73F6F">
              <w:rPr>
                <w:lang w:val="de-DE"/>
              </w:rPr>
              <w:t>er klar über diese</w:t>
            </w:r>
            <w:r w:rsidRPr="00E73F6F">
              <w:rPr>
                <w:spacing w:val="40"/>
                <w:lang w:val="de-DE"/>
              </w:rPr>
              <w:t xml:space="preserve"> </w:t>
            </w:r>
            <w:r w:rsidRPr="00E73F6F">
              <w:rPr>
                <w:lang w:val="de-DE"/>
              </w:rPr>
              <w:t>Möglichkeit sowie die</w:t>
            </w:r>
            <w:r w:rsidRPr="00E73F6F">
              <w:rPr>
                <w:spacing w:val="40"/>
                <w:lang w:val="de-DE"/>
              </w:rPr>
              <w:t xml:space="preserve"> </w:t>
            </w:r>
            <w:r w:rsidRPr="00E73F6F">
              <w:rPr>
                <w:lang w:val="de-DE"/>
              </w:rPr>
              <w:t>Einzelpreise informiert</w:t>
            </w:r>
            <w:r w:rsidRPr="00E73F6F">
              <w:rPr>
                <w:spacing w:val="40"/>
                <w:lang w:val="de-DE"/>
              </w:rPr>
              <w:t xml:space="preserve"> </w:t>
            </w:r>
            <w:r w:rsidRPr="00E73F6F">
              <w:rPr>
                <w:lang w:val="de-DE"/>
              </w:rPr>
              <w:t>wurde und die</w:t>
            </w:r>
            <w:r w:rsidRPr="00E73F6F">
              <w:rPr>
                <w:spacing w:val="40"/>
                <w:lang w:val="de-DE"/>
              </w:rPr>
              <w:t xml:space="preserve"> </w:t>
            </w:r>
            <w:r w:rsidRPr="00E73F6F">
              <w:rPr>
                <w:lang w:val="de-DE"/>
              </w:rPr>
              <w:t>Preisermäßigung</w:t>
            </w:r>
            <w:r w:rsidRPr="00E73F6F">
              <w:rPr>
                <w:spacing w:val="-3"/>
                <w:lang w:val="de-DE"/>
              </w:rPr>
              <w:t xml:space="preserve"> </w:t>
            </w:r>
            <w:r w:rsidRPr="00E73F6F">
              <w:rPr>
                <w:lang w:val="de-DE"/>
              </w:rPr>
              <w:t>max.</w:t>
            </w:r>
            <w:r w:rsidRPr="00E73F6F">
              <w:rPr>
                <w:spacing w:val="40"/>
                <w:lang w:val="de-DE"/>
              </w:rPr>
              <w:t xml:space="preserve"> </w:t>
            </w:r>
            <w:r w:rsidRPr="00E73F6F">
              <w:rPr>
                <w:lang w:val="de-DE"/>
              </w:rPr>
              <w:t>ein Drittel des</w:t>
            </w:r>
            <w:r w:rsidRPr="00E73F6F">
              <w:rPr>
                <w:spacing w:val="40"/>
                <w:lang w:val="de-DE"/>
              </w:rPr>
              <w:t xml:space="preserve"> </w:t>
            </w:r>
            <w:r w:rsidRPr="00E73F6F">
              <w:rPr>
                <w:lang w:val="de-DE"/>
              </w:rPr>
              <w:t>Kaufpreises</w:t>
            </w:r>
            <w:r w:rsidRPr="00E73F6F">
              <w:rPr>
                <w:spacing w:val="-5"/>
                <w:lang w:val="de-DE"/>
              </w:rPr>
              <w:t xml:space="preserve"> </w:t>
            </w:r>
            <w:r w:rsidRPr="00E73F6F">
              <w:rPr>
                <w:lang w:val="de-DE"/>
              </w:rPr>
              <w:t>beträgt</w:t>
            </w:r>
          </w:p>
        </w:tc>
        <w:tc>
          <w:tcPr>
            <w:tcW w:w="1511" w:type="pct"/>
          </w:tcPr>
          <w:p w14:paraId="13E5A2C1" w14:textId="77777777" w:rsidR="00FF7799" w:rsidRPr="00E73F6F" w:rsidRDefault="00FF7799" w:rsidP="00B61F55">
            <w:pPr>
              <w:pStyle w:val="StandardText"/>
              <w:jc w:val="left"/>
              <w:rPr>
                <w:lang w:val="de-DE"/>
              </w:rPr>
            </w:pPr>
            <w:r w:rsidRPr="00E73F6F">
              <w:rPr>
                <w:lang w:val="de-DE"/>
              </w:rPr>
              <w:t>Gutscheine</w:t>
            </w:r>
            <w:r w:rsidRPr="00E73F6F">
              <w:rPr>
                <w:spacing w:val="-10"/>
                <w:lang w:val="de-DE"/>
              </w:rPr>
              <w:t xml:space="preserve"> </w:t>
            </w:r>
            <w:r w:rsidRPr="00E73F6F">
              <w:rPr>
                <w:lang w:val="de-DE"/>
              </w:rPr>
              <w:t>können</w:t>
            </w:r>
            <w:r w:rsidRPr="00E73F6F">
              <w:rPr>
                <w:spacing w:val="-10"/>
                <w:lang w:val="de-DE"/>
              </w:rPr>
              <w:t xml:space="preserve"> </w:t>
            </w:r>
            <w:r w:rsidRPr="00E73F6F">
              <w:rPr>
                <w:lang w:val="de-DE"/>
              </w:rPr>
              <w:t>für</w:t>
            </w:r>
            <w:r w:rsidRPr="00E73F6F">
              <w:rPr>
                <w:spacing w:val="40"/>
                <w:lang w:val="de-DE"/>
              </w:rPr>
              <w:t xml:space="preserve"> </w:t>
            </w:r>
            <w:r w:rsidRPr="00E73F6F">
              <w:rPr>
                <w:lang w:val="de-DE"/>
              </w:rPr>
              <w:t>dieselbe Ware bzw. Leistung ausgegeben</w:t>
            </w:r>
            <w:r w:rsidRPr="00E73F6F">
              <w:rPr>
                <w:spacing w:val="40"/>
                <w:lang w:val="de-DE"/>
              </w:rPr>
              <w:t xml:space="preserve"> </w:t>
            </w:r>
            <w:r w:rsidRPr="00E73F6F">
              <w:rPr>
                <w:lang w:val="de-DE"/>
              </w:rPr>
              <w:t>werden, sofern der</w:t>
            </w:r>
            <w:r w:rsidRPr="00E73F6F">
              <w:rPr>
                <w:spacing w:val="40"/>
                <w:lang w:val="de-DE"/>
              </w:rPr>
              <w:t xml:space="preserve"> </w:t>
            </w:r>
            <w:r w:rsidRPr="00E73F6F">
              <w:rPr>
                <w:lang w:val="de-DE"/>
              </w:rPr>
              <w:t>Gesamtnachlass</w:t>
            </w:r>
            <w:r w:rsidRPr="00E73F6F">
              <w:rPr>
                <w:spacing w:val="-10"/>
                <w:lang w:val="de-DE"/>
              </w:rPr>
              <w:t xml:space="preserve"> </w:t>
            </w:r>
            <w:r w:rsidRPr="00E73F6F">
              <w:rPr>
                <w:lang w:val="de-DE"/>
              </w:rPr>
              <w:t>max.</w:t>
            </w:r>
            <w:r w:rsidRPr="00E73F6F">
              <w:rPr>
                <w:spacing w:val="40"/>
                <w:lang w:val="de-DE"/>
              </w:rPr>
              <w:t xml:space="preserve"> </w:t>
            </w:r>
            <w:r w:rsidRPr="00E73F6F">
              <w:rPr>
                <w:lang w:val="de-DE"/>
              </w:rPr>
              <w:t>ein Drittel des</w:t>
            </w:r>
            <w:r w:rsidRPr="00E73F6F">
              <w:rPr>
                <w:spacing w:val="40"/>
                <w:lang w:val="de-DE"/>
              </w:rPr>
              <w:t xml:space="preserve"> </w:t>
            </w:r>
            <w:r w:rsidRPr="00E73F6F">
              <w:rPr>
                <w:lang w:val="de-DE"/>
              </w:rPr>
              <w:t>Kaufpreises</w:t>
            </w:r>
            <w:r w:rsidRPr="00E73F6F">
              <w:rPr>
                <w:spacing w:val="-5"/>
                <w:lang w:val="de-DE"/>
              </w:rPr>
              <w:t xml:space="preserve"> </w:t>
            </w:r>
            <w:r w:rsidRPr="00E73F6F">
              <w:rPr>
                <w:lang w:val="de-DE"/>
              </w:rPr>
              <w:t>beträgt</w:t>
            </w:r>
          </w:p>
        </w:tc>
      </w:tr>
      <w:tr w:rsidR="00FF7799" w:rsidRPr="00E73F6F" w14:paraId="766BFBD7" w14:textId="77777777" w:rsidTr="002251EC">
        <w:trPr>
          <w:trHeight w:val="305"/>
        </w:trPr>
        <w:tc>
          <w:tcPr>
            <w:tcW w:w="467" w:type="pct"/>
          </w:tcPr>
          <w:p w14:paraId="2F014DAA" w14:textId="77777777" w:rsidR="00FF7799" w:rsidRPr="00E73F6F" w:rsidRDefault="00FF7799" w:rsidP="00E94FD0">
            <w:pPr>
              <w:pStyle w:val="StandardText"/>
              <w:rPr>
                <w:lang w:val="de-DE"/>
              </w:rPr>
            </w:pPr>
            <w:r w:rsidRPr="00E73F6F">
              <w:rPr>
                <w:lang w:val="de-DE"/>
              </w:rPr>
              <w:t>D</w:t>
            </w:r>
          </w:p>
        </w:tc>
        <w:tc>
          <w:tcPr>
            <w:tcW w:w="4533" w:type="pct"/>
            <w:gridSpan w:val="3"/>
          </w:tcPr>
          <w:p w14:paraId="600D39B7" w14:textId="77777777" w:rsidR="00FF7799" w:rsidRPr="00E73F6F" w:rsidRDefault="00FF7799" w:rsidP="002251EC">
            <w:pPr>
              <w:pStyle w:val="StandardText"/>
              <w:jc w:val="left"/>
              <w:rPr>
                <w:lang w:val="de-DE"/>
              </w:rPr>
            </w:pPr>
            <w:r w:rsidRPr="00E73F6F">
              <w:rPr>
                <w:lang w:val="de-DE"/>
              </w:rPr>
              <w:t>Rabattgesetz</w:t>
            </w:r>
            <w:r w:rsidRPr="00E73F6F">
              <w:rPr>
                <w:spacing w:val="-7"/>
                <w:lang w:val="de-DE"/>
              </w:rPr>
              <w:t xml:space="preserve"> </w:t>
            </w:r>
            <w:r w:rsidRPr="00E73F6F">
              <w:rPr>
                <w:lang w:val="de-DE"/>
              </w:rPr>
              <w:t>wurde</w:t>
            </w:r>
            <w:r w:rsidRPr="00E73F6F">
              <w:rPr>
                <w:spacing w:val="-6"/>
                <w:lang w:val="de-DE"/>
              </w:rPr>
              <w:t xml:space="preserve"> </w:t>
            </w:r>
            <w:r w:rsidRPr="00E73F6F">
              <w:rPr>
                <w:lang w:val="de-DE"/>
              </w:rPr>
              <w:t>im Juli</w:t>
            </w:r>
            <w:r w:rsidRPr="00E73F6F">
              <w:rPr>
                <w:spacing w:val="-6"/>
                <w:lang w:val="de-DE"/>
              </w:rPr>
              <w:t xml:space="preserve"> </w:t>
            </w:r>
            <w:r w:rsidRPr="00E73F6F">
              <w:rPr>
                <w:lang w:val="de-DE"/>
              </w:rPr>
              <w:t>2001</w:t>
            </w:r>
            <w:r w:rsidRPr="00E73F6F">
              <w:rPr>
                <w:spacing w:val="-5"/>
                <w:lang w:val="de-DE"/>
              </w:rPr>
              <w:t xml:space="preserve"> </w:t>
            </w:r>
            <w:r w:rsidRPr="00E73F6F">
              <w:rPr>
                <w:lang w:val="de-DE"/>
              </w:rPr>
              <w:t xml:space="preserve">ersatzlos </w:t>
            </w:r>
            <w:r w:rsidRPr="00E73F6F">
              <w:rPr>
                <w:spacing w:val="-2"/>
                <w:lang w:val="de-DE"/>
              </w:rPr>
              <w:t>abgeschafft</w:t>
            </w:r>
          </w:p>
        </w:tc>
      </w:tr>
      <w:tr w:rsidR="00FF7799" w:rsidRPr="00E73F6F" w14:paraId="6DB7FC77" w14:textId="77777777" w:rsidTr="002251EC">
        <w:trPr>
          <w:trHeight w:val="2085"/>
        </w:trPr>
        <w:tc>
          <w:tcPr>
            <w:tcW w:w="467" w:type="pct"/>
          </w:tcPr>
          <w:p w14:paraId="27A9698F" w14:textId="77777777" w:rsidR="00FF7799" w:rsidRPr="00E73F6F" w:rsidRDefault="00FF7799" w:rsidP="00E94FD0">
            <w:pPr>
              <w:pStyle w:val="StandardText"/>
              <w:rPr>
                <w:lang w:val="de-DE"/>
              </w:rPr>
            </w:pPr>
            <w:r w:rsidRPr="00E73F6F">
              <w:rPr>
                <w:spacing w:val="-5"/>
                <w:lang w:val="de-DE"/>
              </w:rPr>
              <w:lastRenderedPageBreak/>
              <w:t>DK</w:t>
            </w:r>
          </w:p>
        </w:tc>
        <w:tc>
          <w:tcPr>
            <w:tcW w:w="1511" w:type="pct"/>
          </w:tcPr>
          <w:p w14:paraId="29434F91" w14:textId="77777777" w:rsidR="00FF7799" w:rsidRPr="00E73F6F" w:rsidRDefault="00FF7799" w:rsidP="002251EC">
            <w:pPr>
              <w:pStyle w:val="StandardText"/>
              <w:jc w:val="left"/>
              <w:rPr>
                <w:lang w:val="de-DE"/>
              </w:rPr>
            </w:pPr>
            <w:r w:rsidRPr="00E73F6F">
              <w:rPr>
                <w:lang w:val="de-DE"/>
              </w:rPr>
              <w:t>Zulässig,</w:t>
            </w:r>
            <w:r w:rsidRPr="00E73F6F">
              <w:rPr>
                <w:spacing w:val="-5"/>
                <w:lang w:val="de-DE"/>
              </w:rPr>
              <w:t xml:space="preserve"> </w:t>
            </w:r>
            <w:r w:rsidRPr="00E73F6F">
              <w:rPr>
                <w:lang w:val="de-DE"/>
              </w:rPr>
              <w:t>sofern</w:t>
            </w:r>
            <w:r w:rsidRPr="00E73F6F">
              <w:rPr>
                <w:spacing w:val="40"/>
                <w:lang w:val="de-DE"/>
              </w:rPr>
              <w:t xml:space="preserve"> </w:t>
            </w:r>
            <w:r w:rsidRPr="00E73F6F">
              <w:rPr>
                <w:lang w:val="de-DE"/>
              </w:rPr>
              <w:t>Angaben</w:t>
            </w:r>
            <w:r w:rsidRPr="00E73F6F">
              <w:rPr>
                <w:spacing w:val="-10"/>
                <w:lang w:val="de-DE"/>
              </w:rPr>
              <w:t xml:space="preserve"> </w:t>
            </w:r>
            <w:r w:rsidRPr="00E73F6F">
              <w:rPr>
                <w:lang w:val="de-DE"/>
              </w:rPr>
              <w:t>nicht</w:t>
            </w:r>
            <w:r w:rsidRPr="00E73F6F">
              <w:rPr>
                <w:spacing w:val="-10"/>
                <w:lang w:val="de-DE"/>
              </w:rPr>
              <w:t xml:space="preserve"> </w:t>
            </w:r>
            <w:r w:rsidRPr="00E73F6F">
              <w:rPr>
                <w:lang w:val="de-DE"/>
              </w:rPr>
              <w:t>falsch,</w:t>
            </w:r>
            <w:r w:rsidRPr="00E73F6F">
              <w:rPr>
                <w:spacing w:val="40"/>
                <w:lang w:val="de-DE"/>
              </w:rPr>
              <w:t xml:space="preserve"> </w:t>
            </w:r>
            <w:r w:rsidRPr="00E73F6F">
              <w:rPr>
                <w:spacing w:val="-2"/>
                <w:lang w:val="de-DE"/>
              </w:rPr>
              <w:t>irreführend,</w:t>
            </w:r>
            <w:r w:rsidRPr="00E73F6F">
              <w:rPr>
                <w:spacing w:val="40"/>
                <w:lang w:val="de-DE"/>
              </w:rPr>
              <w:t xml:space="preserve"> </w:t>
            </w:r>
            <w:r w:rsidRPr="00E73F6F">
              <w:rPr>
                <w:lang w:val="de-DE"/>
              </w:rPr>
              <w:t>unangemessen</w:t>
            </w:r>
            <w:r w:rsidRPr="00E73F6F">
              <w:rPr>
                <w:spacing w:val="-3"/>
                <w:lang w:val="de-DE"/>
              </w:rPr>
              <w:t xml:space="preserve"> </w:t>
            </w:r>
            <w:r w:rsidRPr="00E73F6F">
              <w:rPr>
                <w:lang w:val="de-DE"/>
              </w:rPr>
              <w:t>oder</w:t>
            </w:r>
            <w:r w:rsidRPr="00E73F6F">
              <w:rPr>
                <w:spacing w:val="40"/>
                <w:lang w:val="de-DE"/>
              </w:rPr>
              <w:t xml:space="preserve"> </w:t>
            </w:r>
            <w:r w:rsidRPr="00E73F6F">
              <w:rPr>
                <w:lang w:val="de-DE"/>
              </w:rPr>
              <w:t>unvollständig sind</w:t>
            </w:r>
          </w:p>
        </w:tc>
        <w:tc>
          <w:tcPr>
            <w:tcW w:w="1511" w:type="pct"/>
          </w:tcPr>
          <w:p w14:paraId="1650457F" w14:textId="77777777" w:rsidR="00FF7799" w:rsidRPr="00E73F6F" w:rsidRDefault="00FF7799" w:rsidP="002251EC">
            <w:pPr>
              <w:pStyle w:val="StandardText"/>
              <w:jc w:val="left"/>
              <w:rPr>
                <w:lang w:val="de-DE"/>
              </w:rPr>
            </w:pPr>
            <w:r w:rsidRPr="00E73F6F">
              <w:rPr>
                <w:lang w:val="de-DE"/>
              </w:rPr>
              <w:t>Zulässig,</w:t>
            </w:r>
            <w:r w:rsidRPr="00E73F6F">
              <w:rPr>
                <w:spacing w:val="-10"/>
                <w:lang w:val="de-DE"/>
              </w:rPr>
              <w:t xml:space="preserve"> </w:t>
            </w:r>
            <w:r w:rsidRPr="00E73F6F">
              <w:rPr>
                <w:lang w:val="de-DE"/>
              </w:rPr>
              <w:t>wenn</w:t>
            </w:r>
            <w:r w:rsidRPr="00E73F6F">
              <w:rPr>
                <w:spacing w:val="-10"/>
                <w:lang w:val="de-DE"/>
              </w:rPr>
              <w:t xml:space="preserve"> </w:t>
            </w:r>
            <w:r w:rsidRPr="00E73F6F">
              <w:rPr>
                <w:lang w:val="de-DE"/>
              </w:rPr>
              <w:t>die</w:t>
            </w:r>
            <w:r w:rsidRPr="00E73F6F">
              <w:rPr>
                <w:spacing w:val="40"/>
                <w:lang w:val="de-DE"/>
              </w:rPr>
              <w:t xml:space="preserve"> </w:t>
            </w:r>
            <w:r w:rsidRPr="00E73F6F">
              <w:rPr>
                <w:lang w:val="de-DE"/>
              </w:rPr>
              <w:t>Ware identisch ist</w:t>
            </w:r>
          </w:p>
        </w:tc>
        <w:tc>
          <w:tcPr>
            <w:tcW w:w="1511" w:type="pct"/>
          </w:tcPr>
          <w:p w14:paraId="2086C81E" w14:textId="77777777" w:rsidR="00FF7799" w:rsidRPr="00E73F6F" w:rsidRDefault="00FF7799" w:rsidP="002251EC">
            <w:pPr>
              <w:pStyle w:val="StandardText"/>
              <w:jc w:val="left"/>
              <w:rPr>
                <w:lang w:val="de-DE"/>
              </w:rPr>
            </w:pPr>
            <w:r w:rsidRPr="00E73F6F">
              <w:rPr>
                <w:lang w:val="de-DE"/>
              </w:rPr>
              <w:t>Ausgabe</w:t>
            </w:r>
            <w:r w:rsidRPr="00E73F6F">
              <w:rPr>
                <w:spacing w:val="-6"/>
                <w:lang w:val="de-DE"/>
              </w:rPr>
              <w:t xml:space="preserve"> </w:t>
            </w:r>
            <w:r w:rsidRPr="00E73F6F">
              <w:rPr>
                <w:lang w:val="de-DE"/>
              </w:rPr>
              <w:t>von</w:t>
            </w:r>
            <w:r w:rsidRPr="00E73F6F">
              <w:rPr>
                <w:spacing w:val="-5"/>
                <w:lang w:val="de-DE"/>
              </w:rPr>
              <w:t xml:space="preserve"> </w:t>
            </w:r>
            <w:r w:rsidRPr="00E73F6F">
              <w:rPr>
                <w:lang w:val="de-DE"/>
              </w:rPr>
              <w:t>Marken</w:t>
            </w:r>
            <w:r w:rsidRPr="00E73F6F">
              <w:rPr>
                <w:spacing w:val="40"/>
                <w:lang w:val="de-DE"/>
              </w:rPr>
              <w:t xml:space="preserve"> </w:t>
            </w:r>
            <w:r w:rsidRPr="00E73F6F">
              <w:rPr>
                <w:lang w:val="de-DE"/>
              </w:rPr>
              <w:t>o.ä.</w:t>
            </w:r>
            <w:r w:rsidRPr="00E73F6F">
              <w:rPr>
                <w:spacing w:val="-9"/>
                <w:lang w:val="de-DE"/>
              </w:rPr>
              <w:t xml:space="preserve"> </w:t>
            </w:r>
            <w:r w:rsidRPr="00E73F6F">
              <w:rPr>
                <w:lang w:val="de-DE"/>
              </w:rPr>
              <w:t>vor</w:t>
            </w:r>
            <w:r w:rsidRPr="00E73F6F">
              <w:rPr>
                <w:spacing w:val="-10"/>
                <w:lang w:val="de-DE"/>
              </w:rPr>
              <w:t xml:space="preserve"> </w:t>
            </w:r>
            <w:r w:rsidRPr="00E73F6F">
              <w:rPr>
                <w:lang w:val="de-DE"/>
              </w:rPr>
              <w:t>dem</w:t>
            </w:r>
            <w:r w:rsidRPr="00E73F6F">
              <w:rPr>
                <w:spacing w:val="-9"/>
                <w:lang w:val="de-DE"/>
              </w:rPr>
              <w:t xml:space="preserve"> </w:t>
            </w:r>
            <w:r w:rsidRPr="00E73F6F">
              <w:rPr>
                <w:lang w:val="de-DE"/>
              </w:rPr>
              <w:t>Kauf</w:t>
            </w:r>
            <w:r w:rsidRPr="00E73F6F">
              <w:rPr>
                <w:spacing w:val="-10"/>
                <w:lang w:val="de-DE"/>
              </w:rPr>
              <w:t xml:space="preserve"> </w:t>
            </w:r>
            <w:r w:rsidRPr="00E73F6F">
              <w:rPr>
                <w:lang w:val="de-DE"/>
              </w:rPr>
              <w:t>zur</w:t>
            </w:r>
            <w:r w:rsidRPr="00E73F6F">
              <w:rPr>
                <w:spacing w:val="40"/>
                <w:lang w:val="de-DE"/>
              </w:rPr>
              <w:t xml:space="preserve"> </w:t>
            </w:r>
            <w:r w:rsidRPr="00E73F6F">
              <w:rPr>
                <w:lang w:val="de-DE"/>
              </w:rPr>
              <w:t>späteren Einlösung</w:t>
            </w:r>
            <w:r w:rsidRPr="00E73F6F">
              <w:rPr>
                <w:spacing w:val="40"/>
                <w:lang w:val="de-DE"/>
              </w:rPr>
              <w:t xml:space="preserve"> </w:t>
            </w:r>
            <w:r w:rsidRPr="00E73F6F">
              <w:rPr>
                <w:lang w:val="de-DE"/>
              </w:rPr>
              <w:t>nicht zulässig;</w:t>
            </w:r>
            <w:r w:rsidRPr="00E73F6F">
              <w:rPr>
                <w:spacing w:val="-6"/>
                <w:lang w:val="de-DE"/>
              </w:rPr>
              <w:t xml:space="preserve"> </w:t>
            </w:r>
            <w:r w:rsidRPr="00E73F6F">
              <w:rPr>
                <w:lang w:val="de-DE"/>
              </w:rPr>
              <w:t>Rabatt</w:t>
            </w:r>
            <w:r w:rsidRPr="00E73F6F">
              <w:rPr>
                <w:spacing w:val="40"/>
                <w:lang w:val="de-DE"/>
              </w:rPr>
              <w:t xml:space="preserve"> </w:t>
            </w:r>
            <w:r w:rsidRPr="00E73F6F">
              <w:rPr>
                <w:lang w:val="de-DE"/>
              </w:rPr>
              <w:t>auf</w:t>
            </w:r>
            <w:r w:rsidRPr="00E73F6F">
              <w:rPr>
                <w:spacing w:val="-7"/>
                <w:lang w:val="de-DE"/>
              </w:rPr>
              <w:t xml:space="preserve"> </w:t>
            </w:r>
            <w:r w:rsidRPr="00E73F6F">
              <w:rPr>
                <w:lang w:val="de-DE"/>
              </w:rPr>
              <w:t>nachfolgende</w:t>
            </w:r>
            <w:r w:rsidRPr="00E73F6F">
              <w:rPr>
                <w:spacing w:val="40"/>
                <w:lang w:val="de-DE"/>
              </w:rPr>
              <w:t xml:space="preserve"> </w:t>
            </w:r>
            <w:r w:rsidRPr="00E73F6F">
              <w:rPr>
                <w:lang w:val="de-DE"/>
              </w:rPr>
              <w:t>Einkäufe</w:t>
            </w:r>
            <w:r w:rsidRPr="00E73F6F">
              <w:rPr>
                <w:spacing w:val="-5"/>
                <w:lang w:val="de-DE"/>
              </w:rPr>
              <w:t xml:space="preserve"> </w:t>
            </w:r>
            <w:r w:rsidRPr="00E73F6F">
              <w:rPr>
                <w:lang w:val="de-DE"/>
              </w:rPr>
              <w:t>möglich,</w:t>
            </w:r>
            <w:r w:rsidRPr="00E73F6F">
              <w:rPr>
                <w:spacing w:val="40"/>
                <w:lang w:val="de-DE"/>
              </w:rPr>
              <w:t xml:space="preserve"> </w:t>
            </w:r>
            <w:r w:rsidRPr="00E73F6F">
              <w:rPr>
                <w:lang w:val="de-DE"/>
              </w:rPr>
              <w:t>wenn die Marken</w:t>
            </w:r>
            <w:r w:rsidRPr="00E73F6F">
              <w:rPr>
                <w:spacing w:val="40"/>
                <w:lang w:val="de-DE"/>
              </w:rPr>
              <w:t xml:space="preserve"> </w:t>
            </w:r>
            <w:r w:rsidRPr="00E73F6F">
              <w:rPr>
                <w:lang w:val="de-DE"/>
              </w:rPr>
              <w:t>Angaben</w:t>
            </w:r>
            <w:r w:rsidRPr="00E73F6F">
              <w:rPr>
                <w:spacing w:val="-10"/>
                <w:lang w:val="de-DE"/>
              </w:rPr>
              <w:t xml:space="preserve"> </w:t>
            </w:r>
            <w:r w:rsidRPr="00E73F6F">
              <w:rPr>
                <w:lang w:val="de-DE"/>
              </w:rPr>
              <w:t>zum</w:t>
            </w:r>
            <w:r w:rsidRPr="00E73F6F">
              <w:rPr>
                <w:spacing w:val="-10"/>
                <w:lang w:val="de-DE"/>
              </w:rPr>
              <w:t xml:space="preserve"> </w:t>
            </w:r>
            <w:r w:rsidRPr="00E73F6F">
              <w:rPr>
                <w:lang w:val="de-DE"/>
              </w:rPr>
              <w:t>Namen</w:t>
            </w:r>
            <w:r w:rsidRPr="00E73F6F">
              <w:rPr>
                <w:spacing w:val="40"/>
                <w:lang w:val="de-DE"/>
              </w:rPr>
              <w:t xml:space="preserve"> </w:t>
            </w:r>
            <w:r w:rsidRPr="00E73F6F">
              <w:rPr>
                <w:lang w:val="de-DE"/>
              </w:rPr>
              <w:t>des</w:t>
            </w:r>
            <w:r w:rsidRPr="00E73F6F">
              <w:rPr>
                <w:spacing w:val="-1"/>
                <w:lang w:val="de-DE"/>
              </w:rPr>
              <w:t xml:space="preserve"> </w:t>
            </w:r>
            <w:r w:rsidRPr="00E73F6F">
              <w:rPr>
                <w:lang w:val="de-DE"/>
              </w:rPr>
              <w:t>Ausstellers,</w:t>
            </w:r>
            <w:r w:rsidRPr="00E73F6F">
              <w:rPr>
                <w:spacing w:val="40"/>
                <w:lang w:val="de-DE"/>
              </w:rPr>
              <w:t xml:space="preserve"> </w:t>
            </w:r>
            <w:r w:rsidRPr="00E73F6F">
              <w:rPr>
                <w:lang w:val="de-DE"/>
              </w:rPr>
              <w:t>Markenwert</w:t>
            </w:r>
            <w:r w:rsidRPr="00E73F6F">
              <w:rPr>
                <w:spacing w:val="-3"/>
                <w:lang w:val="de-DE"/>
              </w:rPr>
              <w:t xml:space="preserve"> </w:t>
            </w:r>
            <w:r w:rsidRPr="00E73F6F">
              <w:rPr>
                <w:lang w:val="de-DE"/>
              </w:rPr>
              <w:t>(in dänischer</w:t>
            </w:r>
            <w:r w:rsidRPr="00E73F6F">
              <w:rPr>
                <w:spacing w:val="-10"/>
                <w:lang w:val="de-DE"/>
              </w:rPr>
              <w:t xml:space="preserve"> </w:t>
            </w:r>
            <w:r w:rsidRPr="00E73F6F">
              <w:rPr>
                <w:spacing w:val="-2"/>
                <w:lang w:val="de-DE"/>
              </w:rPr>
              <w:t>Währung)</w:t>
            </w:r>
            <w:r w:rsidRPr="00E73F6F">
              <w:rPr>
                <w:color w:val="FF0000"/>
                <w:lang w:val="de-DE"/>
              </w:rPr>
              <w:t xml:space="preserve"> </w:t>
            </w:r>
            <w:r w:rsidRPr="00E73F6F">
              <w:rPr>
                <w:lang w:val="de-DE"/>
              </w:rPr>
              <w:t>und</w:t>
            </w:r>
            <w:r w:rsidRPr="00E73F6F">
              <w:rPr>
                <w:spacing w:val="-10"/>
                <w:lang w:val="de-DE"/>
              </w:rPr>
              <w:t xml:space="preserve"> </w:t>
            </w:r>
            <w:r w:rsidRPr="00E73F6F">
              <w:rPr>
                <w:lang w:val="de-DE"/>
              </w:rPr>
              <w:t>den</w:t>
            </w:r>
            <w:r w:rsidRPr="00E73F6F">
              <w:rPr>
                <w:spacing w:val="-10"/>
                <w:lang w:val="de-DE"/>
              </w:rPr>
              <w:t xml:space="preserve"> </w:t>
            </w:r>
            <w:r w:rsidRPr="00E73F6F">
              <w:rPr>
                <w:lang w:val="de-DE"/>
              </w:rPr>
              <w:t>Einlösestellen</w:t>
            </w:r>
            <w:r w:rsidRPr="00E73F6F">
              <w:rPr>
                <w:spacing w:val="40"/>
                <w:lang w:val="de-DE"/>
              </w:rPr>
              <w:t xml:space="preserve"> </w:t>
            </w:r>
            <w:r w:rsidRPr="00E73F6F">
              <w:rPr>
                <w:spacing w:val="-2"/>
                <w:lang w:val="de-DE"/>
              </w:rPr>
              <w:t>enthalten</w:t>
            </w:r>
          </w:p>
        </w:tc>
      </w:tr>
      <w:tr w:rsidR="00FF7799" w:rsidRPr="00E73F6F" w14:paraId="7724EB9A" w14:textId="77777777" w:rsidTr="002251EC">
        <w:trPr>
          <w:trHeight w:val="302"/>
        </w:trPr>
        <w:tc>
          <w:tcPr>
            <w:tcW w:w="467" w:type="pct"/>
          </w:tcPr>
          <w:p w14:paraId="465D4BB4" w14:textId="77777777" w:rsidR="00FF7799" w:rsidRPr="00E73F6F" w:rsidRDefault="00FF7799" w:rsidP="00E94FD0">
            <w:pPr>
              <w:pStyle w:val="StandardText"/>
              <w:rPr>
                <w:lang w:val="de-DE"/>
              </w:rPr>
            </w:pPr>
            <w:r w:rsidRPr="00E73F6F">
              <w:rPr>
                <w:lang w:val="de-DE"/>
              </w:rPr>
              <w:t>F</w:t>
            </w:r>
          </w:p>
        </w:tc>
        <w:tc>
          <w:tcPr>
            <w:tcW w:w="4533" w:type="pct"/>
            <w:gridSpan w:val="3"/>
          </w:tcPr>
          <w:p w14:paraId="042E1694" w14:textId="77777777" w:rsidR="00FF7799" w:rsidRPr="00E73F6F" w:rsidRDefault="00FF7799" w:rsidP="002251EC">
            <w:pPr>
              <w:pStyle w:val="StandardText"/>
              <w:jc w:val="left"/>
              <w:rPr>
                <w:lang w:val="de-DE"/>
              </w:rPr>
            </w:pPr>
            <w:r w:rsidRPr="00E73F6F">
              <w:rPr>
                <w:lang w:val="de-DE"/>
              </w:rPr>
              <w:t>Keine Vorschriften, außer</w:t>
            </w:r>
            <w:r w:rsidRPr="00E73F6F">
              <w:rPr>
                <w:spacing w:val="-7"/>
                <w:lang w:val="de-DE"/>
              </w:rPr>
              <w:t xml:space="preserve"> </w:t>
            </w:r>
            <w:r w:rsidRPr="00E73F6F">
              <w:rPr>
                <w:lang w:val="de-DE"/>
              </w:rPr>
              <w:t>in</w:t>
            </w:r>
            <w:r w:rsidRPr="00E73F6F">
              <w:rPr>
                <w:spacing w:val="-6"/>
                <w:lang w:val="de-DE"/>
              </w:rPr>
              <w:t xml:space="preserve"> </w:t>
            </w:r>
            <w:r w:rsidRPr="00E73F6F">
              <w:rPr>
                <w:lang w:val="de-DE"/>
              </w:rPr>
              <w:t>Bezug</w:t>
            </w:r>
            <w:r w:rsidRPr="00E73F6F">
              <w:rPr>
                <w:spacing w:val="-5"/>
                <w:lang w:val="de-DE"/>
              </w:rPr>
              <w:t xml:space="preserve"> </w:t>
            </w:r>
            <w:r w:rsidRPr="00E73F6F">
              <w:rPr>
                <w:lang w:val="de-DE"/>
              </w:rPr>
              <w:t>auf</w:t>
            </w:r>
            <w:r w:rsidRPr="00E73F6F">
              <w:rPr>
                <w:spacing w:val="-6"/>
                <w:lang w:val="de-DE"/>
              </w:rPr>
              <w:t xml:space="preserve"> </w:t>
            </w:r>
            <w:r w:rsidRPr="00E73F6F">
              <w:rPr>
                <w:lang w:val="de-DE"/>
              </w:rPr>
              <w:t>Bücher</w:t>
            </w:r>
            <w:r w:rsidRPr="00E73F6F">
              <w:rPr>
                <w:spacing w:val="-7"/>
                <w:lang w:val="de-DE"/>
              </w:rPr>
              <w:t xml:space="preserve"> </w:t>
            </w:r>
            <w:r w:rsidRPr="00E73F6F">
              <w:rPr>
                <w:lang w:val="de-DE"/>
              </w:rPr>
              <w:t>und</w:t>
            </w:r>
            <w:r w:rsidRPr="00E73F6F">
              <w:rPr>
                <w:spacing w:val="-6"/>
                <w:lang w:val="de-DE"/>
              </w:rPr>
              <w:t xml:space="preserve"> </w:t>
            </w:r>
            <w:r w:rsidRPr="00E73F6F">
              <w:rPr>
                <w:lang w:val="de-DE"/>
              </w:rPr>
              <w:t>veredelte</w:t>
            </w:r>
            <w:r w:rsidRPr="00E73F6F">
              <w:rPr>
                <w:spacing w:val="-3"/>
                <w:lang w:val="de-DE"/>
              </w:rPr>
              <w:t xml:space="preserve"> </w:t>
            </w:r>
            <w:r w:rsidRPr="00E73F6F">
              <w:rPr>
                <w:spacing w:val="-2"/>
                <w:lang w:val="de-DE"/>
              </w:rPr>
              <w:t>Produkte</w:t>
            </w:r>
          </w:p>
        </w:tc>
      </w:tr>
      <w:tr w:rsidR="00FF7799" w:rsidRPr="00E73F6F" w14:paraId="65CF58E9" w14:textId="77777777" w:rsidTr="002251EC">
        <w:trPr>
          <w:trHeight w:val="1593"/>
        </w:trPr>
        <w:tc>
          <w:tcPr>
            <w:tcW w:w="467" w:type="pct"/>
          </w:tcPr>
          <w:p w14:paraId="5E6F69DB" w14:textId="77777777" w:rsidR="00FF7799" w:rsidRPr="00E73F6F" w:rsidRDefault="00FF7799" w:rsidP="00E94FD0">
            <w:pPr>
              <w:pStyle w:val="StandardText"/>
              <w:rPr>
                <w:lang w:val="de-DE"/>
              </w:rPr>
            </w:pPr>
            <w:r w:rsidRPr="00E73F6F">
              <w:rPr>
                <w:spacing w:val="-5"/>
                <w:lang w:val="de-DE"/>
              </w:rPr>
              <w:t>FL</w:t>
            </w:r>
          </w:p>
        </w:tc>
        <w:tc>
          <w:tcPr>
            <w:tcW w:w="1511" w:type="pct"/>
          </w:tcPr>
          <w:p w14:paraId="733CDA96" w14:textId="77777777" w:rsidR="00FF7799" w:rsidRPr="00E73F6F" w:rsidRDefault="00FF7799" w:rsidP="002251EC">
            <w:pPr>
              <w:pStyle w:val="StandardText"/>
              <w:jc w:val="left"/>
              <w:rPr>
                <w:lang w:val="de-DE"/>
              </w:rPr>
            </w:pPr>
            <w:r w:rsidRPr="00E73F6F">
              <w:rPr>
                <w:lang w:val="de-DE"/>
              </w:rPr>
              <w:t>Zulässig, wenn der</w:t>
            </w:r>
            <w:r w:rsidRPr="00E73F6F">
              <w:rPr>
                <w:spacing w:val="40"/>
                <w:lang w:val="de-DE"/>
              </w:rPr>
              <w:t xml:space="preserve"> </w:t>
            </w:r>
            <w:r w:rsidRPr="00E73F6F">
              <w:rPr>
                <w:lang w:val="de-DE"/>
              </w:rPr>
              <w:t>Preisnachlass</w:t>
            </w:r>
            <w:r w:rsidRPr="00E73F6F">
              <w:rPr>
                <w:spacing w:val="-1"/>
                <w:lang w:val="de-DE"/>
              </w:rPr>
              <w:t xml:space="preserve"> </w:t>
            </w:r>
            <w:r w:rsidRPr="00E73F6F">
              <w:rPr>
                <w:lang w:val="de-DE"/>
              </w:rPr>
              <w:t>weniger</w:t>
            </w:r>
            <w:r w:rsidRPr="00E73F6F">
              <w:rPr>
                <w:spacing w:val="40"/>
                <w:lang w:val="de-DE"/>
              </w:rPr>
              <w:t xml:space="preserve"> </w:t>
            </w:r>
            <w:r w:rsidRPr="00E73F6F">
              <w:rPr>
                <w:lang w:val="de-DE"/>
              </w:rPr>
              <w:t>als die tatsächliche</w:t>
            </w:r>
            <w:r w:rsidRPr="00E73F6F">
              <w:rPr>
                <w:spacing w:val="40"/>
                <w:lang w:val="de-DE"/>
              </w:rPr>
              <w:t xml:space="preserve"> </w:t>
            </w:r>
            <w:r w:rsidRPr="00E73F6F">
              <w:rPr>
                <w:lang w:val="de-DE"/>
              </w:rPr>
              <w:t>Differenz</w:t>
            </w:r>
            <w:r w:rsidRPr="00E73F6F">
              <w:rPr>
                <w:spacing w:val="-10"/>
                <w:lang w:val="de-DE"/>
              </w:rPr>
              <w:t xml:space="preserve"> </w:t>
            </w:r>
            <w:r w:rsidRPr="00E73F6F">
              <w:rPr>
                <w:lang w:val="de-DE"/>
              </w:rPr>
              <w:t>zwischen</w:t>
            </w:r>
            <w:r w:rsidRPr="00E73F6F">
              <w:rPr>
                <w:spacing w:val="-10"/>
                <w:lang w:val="de-DE"/>
              </w:rPr>
              <w:t xml:space="preserve"> </w:t>
            </w:r>
            <w:r w:rsidRPr="00E73F6F">
              <w:rPr>
                <w:lang w:val="de-DE"/>
              </w:rPr>
              <w:t>dem</w:t>
            </w:r>
            <w:r w:rsidRPr="00E73F6F">
              <w:rPr>
                <w:spacing w:val="40"/>
                <w:lang w:val="de-DE"/>
              </w:rPr>
              <w:t xml:space="preserve"> </w:t>
            </w:r>
            <w:r w:rsidRPr="00E73F6F">
              <w:rPr>
                <w:lang w:val="de-DE"/>
              </w:rPr>
              <w:t>ermäßigten und dem</w:t>
            </w:r>
            <w:r w:rsidRPr="00E73F6F">
              <w:rPr>
                <w:spacing w:val="40"/>
                <w:lang w:val="de-DE"/>
              </w:rPr>
              <w:t xml:space="preserve"> </w:t>
            </w:r>
            <w:r w:rsidRPr="00E73F6F">
              <w:rPr>
                <w:lang w:val="de-DE"/>
              </w:rPr>
              <w:t>vom Händler zuvor</w:t>
            </w:r>
            <w:r w:rsidRPr="00E73F6F">
              <w:rPr>
                <w:spacing w:val="40"/>
                <w:lang w:val="de-DE"/>
              </w:rPr>
              <w:t xml:space="preserve"> </w:t>
            </w:r>
            <w:r w:rsidRPr="00E73F6F">
              <w:rPr>
                <w:lang w:val="de-DE"/>
              </w:rPr>
              <w:t>berechneten Preis</w:t>
            </w:r>
            <w:r w:rsidRPr="00E73F6F">
              <w:rPr>
                <w:spacing w:val="40"/>
                <w:lang w:val="de-DE"/>
              </w:rPr>
              <w:t xml:space="preserve"> </w:t>
            </w:r>
            <w:r w:rsidRPr="00E73F6F">
              <w:rPr>
                <w:spacing w:val="-2"/>
                <w:lang w:val="de-DE"/>
              </w:rPr>
              <w:t>beträgt</w:t>
            </w:r>
          </w:p>
        </w:tc>
        <w:tc>
          <w:tcPr>
            <w:tcW w:w="1511" w:type="pct"/>
          </w:tcPr>
          <w:p w14:paraId="009A9924" w14:textId="77777777" w:rsidR="00FF7799" w:rsidRPr="00E73F6F" w:rsidRDefault="00FF7799" w:rsidP="002251EC">
            <w:pPr>
              <w:pStyle w:val="StandardText"/>
              <w:jc w:val="left"/>
              <w:rPr>
                <w:lang w:val="de-DE"/>
              </w:rPr>
            </w:pPr>
            <w:r w:rsidRPr="00E73F6F">
              <w:rPr>
                <w:lang w:val="de-DE"/>
              </w:rPr>
              <w:t>Zulässig, wenn ein</w:t>
            </w:r>
            <w:r w:rsidRPr="00E73F6F">
              <w:rPr>
                <w:spacing w:val="40"/>
                <w:lang w:val="de-DE"/>
              </w:rPr>
              <w:t xml:space="preserve"> </w:t>
            </w:r>
            <w:r w:rsidRPr="00E73F6F">
              <w:rPr>
                <w:lang w:val="de-DE"/>
              </w:rPr>
              <w:t>klarer</w:t>
            </w:r>
            <w:r w:rsidRPr="00E73F6F">
              <w:rPr>
                <w:spacing w:val="-3"/>
                <w:lang w:val="de-DE"/>
              </w:rPr>
              <w:t xml:space="preserve"> </w:t>
            </w:r>
            <w:r w:rsidRPr="00E73F6F">
              <w:rPr>
                <w:lang w:val="de-DE"/>
              </w:rPr>
              <w:t>materieller</w:t>
            </w:r>
            <w:r w:rsidRPr="00E73F6F">
              <w:rPr>
                <w:spacing w:val="40"/>
                <w:lang w:val="de-DE"/>
              </w:rPr>
              <w:t xml:space="preserve"> </w:t>
            </w:r>
            <w:r w:rsidRPr="00E73F6F">
              <w:rPr>
                <w:spacing w:val="-2"/>
                <w:lang w:val="de-DE"/>
              </w:rPr>
              <w:t>Zusammenhang</w:t>
            </w:r>
            <w:r w:rsidRPr="00E73F6F">
              <w:rPr>
                <w:spacing w:val="40"/>
                <w:lang w:val="de-DE"/>
              </w:rPr>
              <w:t xml:space="preserve"> </w:t>
            </w:r>
            <w:r w:rsidRPr="00E73F6F">
              <w:rPr>
                <w:lang w:val="de-DE"/>
              </w:rPr>
              <w:t>zwischen</w:t>
            </w:r>
            <w:r w:rsidRPr="00E73F6F">
              <w:rPr>
                <w:spacing w:val="-3"/>
                <w:lang w:val="de-DE"/>
              </w:rPr>
              <w:t xml:space="preserve"> </w:t>
            </w:r>
            <w:r w:rsidRPr="00E73F6F">
              <w:rPr>
                <w:lang w:val="de-DE"/>
              </w:rPr>
              <w:t>den</w:t>
            </w:r>
            <w:r w:rsidRPr="00E73F6F">
              <w:rPr>
                <w:spacing w:val="40"/>
                <w:lang w:val="de-DE"/>
              </w:rPr>
              <w:t xml:space="preserve"> </w:t>
            </w:r>
            <w:r w:rsidRPr="00E73F6F">
              <w:rPr>
                <w:lang w:val="de-DE"/>
              </w:rPr>
              <w:t>angebotenen Waren</w:t>
            </w:r>
            <w:r w:rsidRPr="00E73F6F">
              <w:rPr>
                <w:spacing w:val="40"/>
                <w:lang w:val="de-DE"/>
              </w:rPr>
              <w:t xml:space="preserve"> </w:t>
            </w:r>
            <w:r w:rsidRPr="00E73F6F">
              <w:rPr>
                <w:lang w:val="de-DE"/>
              </w:rPr>
              <w:t>bzw.</w:t>
            </w:r>
            <w:r w:rsidRPr="00E73F6F">
              <w:rPr>
                <w:spacing w:val="-10"/>
                <w:lang w:val="de-DE"/>
              </w:rPr>
              <w:t xml:space="preserve"> </w:t>
            </w:r>
            <w:r w:rsidRPr="00E73F6F">
              <w:rPr>
                <w:lang w:val="de-DE"/>
              </w:rPr>
              <w:t>Dienstleistungen</w:t>
            </w:r>
            <w:r w:rsidRPr="00E73F6F">
              <w:rPr>
                <w:spacing w:val="40"/>
                <w:lang w:val="de-DE"/>
              </w:rPr>
              <w:t xml:space="preserve"> </w:t>
            </w:r>
            <w:r w:rsidRPr="00E73F6F">
              <w:rPr>
                <w:spacing w:val="-2"/>
                <w:lang w:val="de-DE"/>
              </w:rPr>
              <w:t>besteht</w:t>
            </w:r>
          </w:p>
        </w:tc>
        <w:tc>
          <w:tcPr>
            <w:tcW w:w="1511" w:type="pct"/>
          </w:tcPr>
          <w:p w14:paraId="45F1BC3D" w14:textId="77777777" w:rsidR="00FF7799" w:rsidRPr="00E73F6F" w:rsidRDefault="00FF7799" w:rsidP="002251EC">
            <w:pPr>
              <w:pStyle w:val="StandardText"/>
              <w:jc w:val="left"/>
              <w:rPr>
                <w:lang w:val="de-DE"/>
              </w:rPr>
            </w:pPr>
            <w:r w:rsidRPr="00E73F6F">
              <w:rPr>
                <w:lang w:val="de-DE"/>
              </w:rPr>
              <w:t>Keine</w:t>
            </w:r>
            <w:r w:rsidRPr="00E73F6F">
              <w:rPr>
                <w:spacing w:val="-10"/>
                <w:lang w:val="de-DE"/>
              </w:rPr>
              <w:t xml:space="preserve"> </w:t>
            </w:r>
            <w:r w:rsidRPr="00E73F6F">
              <w:rPr>
                <w:lang w:val="de-DE"/>
              </w:rPr>
              <w:t>detaillierten</w:t>
            </w:r>
            <w:r w:rsidRPr="00E73F6F">
              <w:rPr>
                <w:spacing w:val="40"/>
                <w:lang w:val="de-DE"/>
              </w:rPr>
              <w:t xml:space="preserve"> </w:t>
            </w:r>
            <w:r w:rsidRPr="00E73F6F">
              <w:rPr>
                <w:spacing w:val="-2"/>
                <w:lang w:val="de-DE"/>
              </w:rPr>
              <w:t>Vorschriften</w:t>
            </w:r>
          </w:p>
        </w:tc>
      </w:tr>
      <w:tr w:rsidR="00FF7799" w:rsidRPr="00E73F6F" w14:paraId="623A30D7" w14:textId="77777777" w:rsidTr="002251EC">
        <w:trPr>
          <w:trHeight w:val="305"/>
        </w:trPr>
        <w:tc>
          <w:tcPr>
            <w:tcW w:w="467" w:type="pct"/>
          </w:tcPr>
          <w:p w14:paraId="5E92C566" w14:textId="77777777" w:rsidR="00FF7799" w:rsidRPr="00E73F6F" w:rsidRDefault="00FF7799" w:rsidP="00E94FD0">
            <w:pPr>
              <w:pStyle w:val="StandardText"/>
              <w:rPr>
                <w:lang w:val="de-DE"/>
              </w:rPr>
            </w:pPr>
            <w:r w:rsidRPr="00E73F6F">
              <w:rPr>
                <w:spacing w:val="-5"/>
                <w:lang w:val="de-DE"/>
              </w:rPr>
              <w:t>GB</w:t>
            </w:r>
          </w:p>
        </w:tc>
        <w:tc>
          <w:tcPr>
            <w:tcW w:w="1511" w:type="pct"/>
          </w:tcPr>
          <w:p w14:paraId="3FABC354" w14:textId="77777777" w:rsidR="00FF7799" w:rsidRPr="00E73F6F" w:rsidRDefault="00FF7799" w:rsidP="002251EC">
            <w:pPr>
              <w:pStyle w:val="StandardText"/>
              <w:jc w:val="left"/>
              <w:rPr>
                <w:lang w:val="de-DE"/>
              </w:rPr>
            </w:pPr>
            <w:r w:rsidRPr="00E73F6F">
              <w:rPr>
                <w:spacing w:val="-2"/>
                <w:lang w:val="de-DE"/>
              </w:rPr>
              <w:t>Zulässig</w:t>
            </w:r>
          </w:p>
        </w:tc>
        <w:tc>
          <w:tcPr>
            <w:tcW w:w="1511" w:type="pct"/>
          </w:tcPr>
          <w:p w14:paraId="3B714F39" w14:textId="77777777" w:rsidR="00FF7799" w:rsidRPr="00E73F6F" w:rsidRDefault="00FF7799" w:rsidP="002251EC">
            <w:pPr>
              <w:pStyle w:val="StandardText"/>
              <w:jc w:val="left"/>
              <w:rPr>
                <w:lang w:val="de-DE"/>
              </w:rPr>
            </w:pPr>
            <w:r w:rsidRPr="00E73F6F">
              <w:rPr>
                <w:spacing w:val="-2"/>
                <w:lang w:val="de-DE"/>
              </w:rPr>
              <w:t>Zulässig</w:t>
            </w:r>
          </w:p>
        </w:tc>
        <w:tc>
          <w:tcPr>
            <w:tcW w:w="1511" w:type="pct"/>
          </w:tcPr>
          <w:p w14:paraId="04F91228" w14:textId="77777777" w:rsidR="00FF7799" w:rsidRPr="00E73F6F" w:rsidRDefault="00FF7799" w:rsidP="002251EC">
            <w:pPr>
              <w:pStyle w:val="StandardText"/>
              <w:jc w:val="left"/>
              <w:rPr>
                <w:lang w:val="de-DE"/>
              </w:rPr>
            </w:pPr>
            <w:r w:rsidRPr="00E73F6F">
              <w:rPr>
                <w:spacing w:val="-2"/>
                <w:lang w:val="de-DE"/>
              </w:rPr>
              <w:t>Zulässig</w:t>
            </w:r>
          </w:p>
        </w:tc>
      </w:tr>
      <w:tr w:rsidR="00FF7799" w:rsidRPr="00E73F6F" w14:paraId="392E09CC" w14:textId="77777777" w:rsidTr="002251EC">
        <w:trPr>
          <w:trHeight w:val="304"/>
        </w:trPr>
        <w:tc>
          <w:tcPr>
            <w:tcW w:w="467" w:type="pct"/>
          </w:tcPr>
          <w:p w14:paraId="6D709DAA" w14:textId="77777777" w:rsidR="00FF7799" w:rsidRPr="00E73F6F" w:rsidRDefault="00FF7799" w:rsidP="00E94FD0">
            <w:pPr>
              <w:pStyle w:val="StandardText"/>
              <w:rPr>
                <w:lang w:val="de-DE"/>
              </w:rPr>
            </w:pPr>
            <w:r w:rsidRPr="00E73F6F">
              <w:rPr>
                <w:spacing w:val="-5"/>
                <w:lang w:val="de-DE"/>
              </w:rPr>
              <w:t>GR</w:t>
            </w:r>
          </w:p>
        </w:tc>
        <w:tc>
          <w:tcPr>
            <w:tcW w:w="1511" w:type="pct"/>
          </w:tcPr>
          <w:p w14:paraId="145D82BD" w14:textId="77777777" w:rsidR="00FF7799" w:rsidRPr="00E73F6F" w:rsidRDefault="00FF7799" w:rsidP="002251EC">
            <w:pPr>
              <w:pStyle w:val="StandardText"/>
              <w:jc w:val="left"/>
              <w:rPr>
                <w:lang w:val="de-DE"/>
              </w:rPr>
            </w:pPr>
            <w:r w:rsidRPr="00E73F6F">
              <w:rPr>
                <w:spacing w:val="-2"/>
                <w:lang w:val="de-DE"/>
              </w:rPr>
              <w:t>Verboten</w:t>
            </w:r>
          </w:p>
        </w:tc>
        <w:tc>
          <w:tcPr>
            <w:tcW w:w="1511" w:type="pct"/>
          </w:tcPr>
          <w:p w14:paraId="626D496D" w14:textId="77777777" w:rsidR="00FF7799" w:rsidRPr="00E73F6F" w:rsidRDefault="00FF7799" w:rsidP="002251EC">
            <w:pPr>
              <w:pStyle w:val="StandardText"/>
              <w:jc w:val="left"/>
              <w:rPr>
                <w:lang w:val="de-DE"/>
              </w:rPr>
            </w:pPr>
            <w:r w:rsidRPr="00E73F6F">
              <w:rPr>
                <w:spacing w:val="-2"/>
                <w:lang w:val="de-DE"/>
              </w:rPr>
              <w:t>Verboten</w:t>
            </w:r>
          </w:p>
        </w:tc>
        <w:tc>
          <w:tcPr>
            <w:tcW w:w="1511" w:type="pct"/>
          </w:tcPr>
          <w:p w14:paraId="15A6C05A" w14:textId="77777777" w:rsidR="00FF7799" w:rsidRPr="00E73F6F" w:rsidRDefault="00FF7799" w:rsidP="002251EC">
            <w:pPr>
              <w:pStyle w:val="StandardText"/>
              <w:jc w:val="left"/>
              <w:rPr>
                <w:lang w:val="de-DE"/>
              </w:rPr>
            </w:pPr>
            <w:r w:rsidRPr="00E73F6F">
              <w:rPr>
                <w:lang w:val="de-DE"/>
              </w:rPr>
              <w:t>k.A.</w:t>
            </w:r>
          </w:p>
        </w:tc>
      </w:tr>
      <w:tr w:rsidR="00FF7799" w:rsidRPr="00E73F6F" w14:paraId="2BC8FFBE" w14:textId="77777777" w:rsidTr="002251EC">
        <w:trPr>
          <w:trHeight w:val="730"/>
        </w:trPr>
        <w:tc>
          <w:tcPr>
            <w:tcW w:w="467" w:type="pct"/>
          </w:tcPr>
          <w:p w14:paraId="363AAD6D" w14:textId="77777777" w:rsidR="00FF7799" w:rsidRPr="00E73F6F" w:rsidRDefault="00FF7799" w:rsidP="00E94FD0">
            <w:pPr>
              <w:pStyle w:val="StandardText"/>
              <w:rPr>
                <w:lang w:val="de-DE"/>
              </w:rPr>
            </w:pPr>
            <w:r w:rsidRPr="00E73F6F">
              <w:rPr>
                <w:lang w:val="de-DE"/>
              </w:rPr>
              <w:t>I</w:t>
            </w:r>
          </w:p>
        </w:tc>
        <w:tc>
          <w:tcPr>
            <w:tcW w:w="1511" w:type="pct"/>
          </w:tcPr>
          <w:p w14:paraId="041C1208" w14:textId="77777777" w:rsidR="00FF7799" w:rsidRPr="00E73F6F" w:rsidRDefault="00FF7799" w:rsidP="002251EC">
            <w:pPr>
              <w:pStyle w:val="StandardText"/>
              <w:jc w:val="left"/>
              <w:rPr>
                <w:lang w:val="de-DE"/>
              </w:rPr>
            </w:pPr>
            <w:r w:rsidRPr="00E73F6F">
              <w:rPr>
                <w:lang w:val="de-DE"/>
              </w:rPr>
              <w:t>Zulässig, aber nicht in</w:t>
            </w:r>
            <w:r w:rsidRPr="00E73F6F">
              <w:rPr>
                <w:spacing w:val="40"/>
                <w:lang w:val="de-DE"/>
              </w:rPr>
              <w:t xml:space="preserve"> </w:t>
            </w:r>
            <w:r w:rsidRPr="00E73F6F">
              <w:rPr>
                <w:lang w:val="de-DE"/>
              </w:rPr>
              <w:t>Form</w:t>
            </w:r>
            <w:r w:rsidRPr="00E73F6F">
              <w:rPr>
                <w:spacing w:val="-10"/>
                <w:lang w:val="de-DE"/>
              </w:rPr>
              <w:t xml:space="preserve"> </w:t>
            </w:r>
            <w:r w:rsidRPr="00E73F6F">
              <w:rPr>
                <w:lang w:val="de-DE"/>
              </w:rPr>
              <w:t>des</w:t>
            </w:r>
            <w:r w:rsidRPr="00E73F6F">
              <w:rPr>
                <w:spacing w:val="-10"/>
                <w:lang w:val="de-DE"/>
              </w:rPr>
              <w:t xml:space="preserve"> </w:t>
            </w:r>
            <w:r w:rsidRPr="00E73F6F">
              <w:rPr>
                <w:lang w:val="de-DE"/>
              </w:rPr>
              <w:t>prozentualen</w:t>
            </w:r>
            <w:r w:rsidRPr="00E73F6F">
              <w:rPr>
                <w:spacing w:val="40"/>
                <w:lang w:val="de-DE"/>
              </w:rPr>
              <w:t xml:space="preserve"> </w:t>
            </w:r>
            <w:r w:rsidRPr="00E73F6F">
              <w:rPr>
                <w:lang w:val="de-DE"/>
              </w:rPr>
              <w:t>Anteils</w:t>
            </w:r>
            <w:r w:rsidRPr="00E73F6F">
              <w:rPr>
                <w:spacing w:val="-5"/>
                <w:lang w:val="de-DE"/>
              </w:rPr>
              <w:t xml:space="preserve"> </w:t>
            </w:r>
            <w:r w:rsidRPr="00E73F6F">
              <w:rPr>
                <w:lang w:val="de-DE"/>
              </w:rPr>
              <w:t>eines</w:t>
            </w:r>
            <w:r w:rsidRPr="00E73F6F">
              <w:rPr>
                <w:spacing w:val="40"/>
                <w:lang w:val="de-DE"/>
              </w:rPr>
              <w:t xml:space="preserve"> </w:t>
            </w:r>
            <w:r w:rsidRPr="00E73F6F">
              <w:rPr>
                <w:spacing w:val="-2"/>
                <w:lang w:val="de-DE"/>
              </w:rPr>
              <w:t>Konkurrenzpreises</w:t>
            </w:r>
          </w:p>
        </w:tc>
        <w:tc>
          <w:tcPr>
            <w:tcW w:w="1511" w:type="pct"/>
          </w:tcPr>
          <w:p w14:paraId="43EC71CE" w14:textId="77777777" w:rsidR="00FF7799" w:rsidRPr="00E73F6F" w:rsidRDefault="00FF7799" w:rsidP="002251EC">
            <w:pPr>
              <w:pStyle w:val="StandardText"/>
              <w:jc w:val="left"/>
              <w:rPr>
                <w:lang w:val="de-DE"/>
              </w:rPr>
            </w:pPr>
            <w:r w:rsidRPr="00E73F6F">
              <w:rPr>
                <w:lang w:val="de-DE"/>
              </w:rPr>
              <w:t>k.A.</w:t>
            </w:r>
          </w:p>
        </w:tc>
        <w:tc>
          <w:tcPr>
            <w:tcW w:w="1511" w:type="pct"/>
          </w:tcPr>
          <w:p w14:paraId="60D6CED1" w14:textId="77777777" w:rsidR="00FF7799" w:rsidRPr="00E73F6F" w:rsidRDefault="00FF7799" w:rsidP="002251EC">
            <w:pPr>
              <w:pStyle w:val="StandardText"/>
              <w:jc w:val="left"/>
              <w:rPr>
                <w:lang w:val="de-DE"/>
              </w:rPr>
            </w:pPr>
            <w:r w:rsidRPr="00E73F6F">
              <w:rPr>
                <w:lang w:val="de-DE"/>
              </w:rPr>
              <w:t>Zulässig, wenn sie</w:t>
            </w:r>
            <w:r w:rsidRPr="00E73F6F">
              <w:rPr>
                <w:spacing w:val="40"/>
                <w:lang w:val="de-DE"/>
              </w:rPr>
              <w:t xml:space="preserve"> </w:t>
            </w:r>
            <w:r w:rsidRPr="00E73F6F">
              <w:rPr>
                <w:lang w:val="de-DE"/>
              </w:rPr>
              <w:t>keinen</w:t>
            </w:r>
            <w:r w:rsidRPr="00E73F6F">
              <w:rPr>
                <w:spacing w:val="-3"/>
                <w:lang w:val="de-DE"/>
              </w:rPr>
              <w:t xml:space="preserve"> </w:t>
            </w:r>
            <w:r w:rsidRPr="00E73F6F">
              <w:rPr>
                <w:lang w:val="de-DE"/>
              </w:rPr>
              <w:t>Kaufanreiz</w:t>
            </w:r>
            <w:r w:rsidRPr="00E73F6F">
              <w:rPr>
                <w:spacing w:val="40"/>
                <w:lang w:val="de-DE"/>
              </w:rPr>
              <w:t xml:space="preserve"> </w:t>
            </w:r>
            <w:r w:rsidRPr="00E73F6F">
              <w:rPr>
                <w:spacing w:val="-2"/>
                <w:lang w:val="de-DE"/>
              </w:rPr>
              <w:t>darstellen;</w:t>
            </w:r>
            <w:r w:rsidRPr="00E73F6F">
              <w:rPr>
                <w:spacing w:val="40"/>
                <w:lang w:val="de-DE"/>
              </w:rPr>
              <w:t xml:space="preserve"> </w:t>
            </w:r>
            <w:r w:rsidRPr="00E73F6F">
              <w:rPr>
                <w:lang w:val="de-DE"/>
              </w:rPr>
              <w:t>Ermäßigungen</w:t>
            </w:r>
            <w:r w:rsidRPr="00E73F6F">
              <w:rPr>
                <w:spacing w:val="-3"/>
                <w:lang w:val="de-DE"/>
              </w:rPr>
              <w:t xml:space="preserve"> </w:t>
            </w:r>
            <w:r w:rsidRPr="00E73F6F">
              <w:rPr>
                <w:lang w:val="de-DE"/>
              </w:rPr>
              <w:t>durch</w:t>
            </w:r>
            <w:r w:rsidRPr="00E73F6F">
              <w:rPr>
                <w:spacing w:val="40"/>
                <w:lang w:val="de-DE"/>
              </w:rPr>
              <w:t xml:space="preserve"> </w:t>
            </w:r>
            <w:r w:rsidRPr="00E73F6F">
              <w:rPr>
                <w:lang w:val="de-DE"/>
              </w:rPr>
              <w:t>Gutscheine gelten als</w:t>
            </w:r>
            <w:r w:rsidRPr="00E73F6F">
              <w:rPr>
                <w:spacing w:val="40"/>
                <w:lang w:val="de-DE"/>
              </w:rPr>
              <w:t xml:space="preserve"> </w:t>
            </w:r>
            <w:r w:rsidRPr="00E73F6F">
              <w:rPr>
                <w:lang w:val="de-DE"/>
              </w:rPr>
              <w:t>Gewinnpreise</w:t>
            </w:r>
            <w:r w:rsidRPr="00E73F6F">
              <w:rPr>
                <w:spacing w:val="-10"/>
                <w:lang w:val="de-DE"/>
              </w:rPr>
              <w:t xml:space="preserve"> </w:t>
            </w:r>
            <w:r w:rsidRPr="00E73F6F">
              <w:rPr>
                <w:lang w:val="de-DE"/>
              </w:rPr>
              <w:t>und</w:t>
            </w:r>
            <w:r w:rsidRPr="00E73F6F">
              <w:rPr>
                <w:spacing w:val="-10"/>
                <w:lang w:val="de-DE"/>
              </w:rPr>
              <w:t xml:space="preserve"> </w:t>
            </w:r>
            <w:r w:rsidRPr="00E73F6F">
              <w:rPr>
                <w:lang w:val="de-DE"/>
              </w:rPr>
              <w:t>sind</w:t>
            </w:r>
            <w:r w:rsidRPr="00E73F6F">
              <w:rPr>
                <w:spacing w:val="40"/>
                <w:lang w:val="de-DE"/>
              </w:rPr>
              <w:t xml:space="preserve"> </w:t>
            </w:r>
            <w:r w:rsidRPr="00E73F6F">
              <w:rPr>
                <w:spacing w:val="-2"/>
                <w:lang w:val="de-DE"/>
              </w:rPr>
              <w:t>steuerpflichtig</w:t>
            </w:r>
          </w:p>
        </w:tc>
      </w:tr>
      <w:tr w:rsidR="00FF7799" w:rsidRPr="00E73F6F" w14:paraId="582D78FC" w14:textId="77777777" w:rsidTr="002251EC">
        <w:trPr>
          <w:trHeight w:val="304"/>
        </w:trPr>
        <w:tc>
          <w:tcPr>
            <w:tcW w:w="467" w:type="pct"/>
          </w:tcPr>
          <w:p w14:paraId="5907F15E" w14:textId="77777777" w:rsidR="00FF7799" w:rsidRPr="00E73F6F" w:rsidRDefault="00FF7799" w:rsidP="00E94FD0">
            <w:pPr>
              <w:pStyle w:val="StandardText"/>
              <w:rPr>
                <w:lang w:val="de-DE"/>
              </w:rPr>
            </w:pPr>
            <w:r w:rsidRPr="00E73F6F">
              <w:rPr>
                <w:spacing w:val="-5"/>
                <w:lang w:val="de-DE"/>
              </w:rPr>
              <w:t>IRL</w:t>
            </w:r>
          </w:p>
        </w:tc>
        <w:tc>
          <w:tcPr>
            <w:tcW w:w="1511" w:type="pct"/>
          </w:tcPr>
          <w:p w14:paraId="20C378B8" w14:textId="77777777" w:rsidR="00FF7799" w:rsidRPr="00E73F6F" w:rsidRDefault="00FF7799" w:rsidP="002251EC">
            <w:pPr>
              <w:pStyle w:val="StandardText"/>
              <w:jc w:val="left"/>
              <w:rPr>
                <w:lang w:val="de-DE"/>
              </w:rPr>
            </w:pPr>
            <w:r w:rsidRPr="00E73F6F">
              <w:rPr>
                <w:lang w:val="de-DE"/>
              </w:rPr>
              <w:t>Keine</w:t>
            </w:r>
            <w:r w:rsidRPr="00E73F6F">
              <w:rPr>
                <w:spacing w:val="-6"/>
                <w:lang w:val="de-DE"/>
              </w:rPr>
              <w:t xml:space="preserve"> </w:t>
            </w:r>
            <w:r w:rsidRPr="00E73F6F">
              <w:rPr>
                <w:lang w:val="de-DE"/>
              </w:rPr>
              <w:t>speziellen</w:t>
            </w:r>
            <w:r w:rsidRPr="00E73F6F">
              <w:rPr>
                <w:spacing w:val="-6"/>
                <w:lang w:val="de-DE"/>
              </w:rPr>
              <w:t xml:space="preserve"> </w:t>
            </w:r>
            <w:r w:rsidRPr="00E73F6F">
              <w:rPr>
                <w:spacing w:val="-2"/>
                <w:lang w:val="de-DE"/>
              </w:rPr>
              <w:t>Vorschriften</w:t>
            </w:r>
          </w:p>
        </w:tc>
        <w:tc>
          <w:tcPr>
            <w:tcW w:w="1511" w:type="pct"/>
          </w:tcPr>
          <w:p w14:paraId="05FAEEF5" w14:textId="77777777" w:rsidR="00FF7799" w:rsidRPr="00E73F6F" w:rsidRDefault="00FF7799" w:rsidP="002251EC">
            <w:pPr>
              <w:pStyle w:val="StandardText"/>
              <w:jc w:val="left"/>
              <w:rPr>
                <w:lang w:val="de-DE"/>
              </w:rPr>
            </w:pPr>
          </w:p>
        </w:tc>
        <w:tc>
          <w:tcPr>
            <w:tcW w:w="1511" w:type="pct"/>
          </w:tcPr>
          <w:p w14:paraId="06ADE4C1" w14:textId="77777777" w:rsidR="00FF7799" w:rsidRPr="00E73F6F" w:rsidRDefault="00FF7799" w:rsidP="002251EC">
            <w:pPr>
              <w:pStyle w:val="StandardText"/>
              <w:jc w:val="left"/>
              <w:rPr>
                <w:lang w:val="de-DE"/>
              </w:rPr>
            </w:pPr>
          </w:p>
        </w:tc>
      </w:tr>
      <w:tr w:rsidR="00FF7799" w:rsidRPr="00E73F6F" w14:paraId="24B7AD10" w14:textId="77777777" w:rsidTr="002251EC">
        <w:trPr>
          <w:trHeight w:val="1960"/>
        </w:trPr>
        <w:tc>
          <w:tcPr>
            <w:tcW w:w="467" w:type="pct"/>
          </w:tcPr>
          <w:p w14:paraId="63873037" w14:textId="77777777" w:rsidR="00FF7799" w:rsidRPr="00E73F6F" w:rsidRDefault="00FF7799" w:rsidP="00E94FD0">
            <w:pPr>
              <w:pStyle w:val="StandardText"/>
              <w:rPr>
                <w:lang w:val="de-DE"/>
              </w:rPr>
            </w:pPr>
            <w:r w:rsidRPr="00E73F6F">
              <w:rPr>
                <w:lang w:val="de-DE"/>
              </w:rPr>
              <w:t>L</w:t>
            </w:r>
          </w:p>
        </w:tc>
        <w:tc>
          <w:tcPr>
            <w:tcW w:w="1511" w:type="pct"/>
          </w:tcPr>
          <w:p w14:paraId="5451918F" w14:textId="77777777" w:rsidR="00FF7799" w:rsidRPr="00E73F6F" w:rsidRDefault="00FF7799" w:rsidP="002251EC">
            <w:pPr>
              <w:pStyle w:val="StandardText"/>
              <w:jc w:val="left"/>
              <w:rPr>
                <w:lang w:val="de-DE"/>
              </w:rPr>
            </w:pPr>
            <w:r w:rsidRPr="00E73F6F">
              <w:rPr>
                <w:lang w:val="de-DE"/>
              </w:rPr>
              <w:t>Zulässig</w:t>
            </w:r>
            <w:r w:rsidRPr="00E73F6F">
              <w:rPr>
                <w:spacing w:val="-3"/>
                <w:lang w:val="de-DE"/>
              </w:rPr>
              <w:t xml:space="preserve"> </w:t>
            </w:r>
            <w:r w:rsidRPr="00E73F6F">
              <w:rPr>
                <w:lang w:val="de-DE"/>
              </w:rPr>
              <w:t>unter</w:t>
            </w:r>
            <w:r w:rsidRPr="00E73F6F">
              <w:rPr>
                <w:spacing w:val="40"/>
                <w:lang w:val="de-DE"/>
              </w:rPr>
              <w:t xml:space="preserve"> </w:t>
            </w:r>
            <w:r w:rsidRPr="00E73F6F">
              <w:rPr>
                <w:spacing w:val="-2"/>
                <w:lang w:val="de-DE"/>
              </w:rPr>
              <w:t>bestimmten</w:t>
            </w:r>
            <w:r w:rsidRPr="00E73F6F">
              <w:rPr>
                <w:spacing w:val="40"/>
                <w:lang w:val="de-DE"/>
              </w:rPr>
              <w:t xml:space="preserve"> </w:t>
            </w:r>
            <w:r w:rsidRPr="00E73F6F">
              <w:rPr>
                <w:lang w:val="de-DE"/>
              </w:rPr>
              <w:t>Bedingungen</w:t>
            </w:r>
            <w:r w:rsidRPr="00E73F6F">
              <w:rPr>
                <w:spacing w:val="-10"/>
                <w:lang w:val="de-DE"/>
              </w:rPr>
              <w:t xml:space="preserve"> </w:t>
            </w:r>
            <w:r w:rsidRPr="00E73F6F">
              <w:rPr>
                <w:lang w:val="de-DE"/>
              </w:rPr>
              <w:t>(z.B.</w:t>
            </w:r>
            <w:r w:rsidRPr="00E73F6F">
              <w:rPr>
                <w:spacing w:val="-10"/>
                <w:lang w:val="de-DE"/>
              </w:rPr>
              <w:t xml:space="preserve"> </w:t>
            </w:r>
            <w:r w:rsidRPr="00E73F6F">
              <w:rPr>
                <w:lang w:val="de-DE"/>
              </w:rPr>
              <w:t>muss</w:t>
            </w:r>
            <w:r w:rsidRPr="00E73F6F">
              <w:rPr>
                <w:spacing w:val="40"/>
                <w:lang w:val="de-DE"/>
              </w:rPr>
              <w:t xml:space="preserve"> </w:t>
            </w:r>
            <w:r w:rsidRPr="00E73F6F">
              <w:rPr>
                <w:lang w:val="de-DE"/>
              </w:rPr>
              <w:t>der „normale“ Preis für</w:t>
            </w:r>
            <w:r w:rsidRPr="00E73F6F">
              <w:rPr>
                <w:spacing w:val="40"/>
                <w:lang w:val="de-DE"/>
              </w:rPr>
              <w:t xml:space="preserve"> </w:t>
            </w:r>
            <w:r w:rsidRPr="00E73F6F">
              <w:rPr>
                <w:lang w:val="de-DE"/>
              </w:rPr>
              <w:t>dieselbe Ware in</w:t>
            </w:r>
            <w:r w:rsidRPr="00E73F6F">
              <w:rPr>
                <w:spacing w:val="40"/>
                <w:lang w:val="de-DE"/>
              </w:rPr>
              <w:t xml:space="preserve"> </w:t>
            </w:r>
            <w:r w:rsidRPr="00E73F6F">
              <w:rPr>
                <w:lang w:val="de-DE"/>
              </w:rPr>
              <w:t>derselben</w:t>
            </w:r>
            <w:r w:rsidRPr="00E73F6F">
              <w:rPr>
                <w:spacing w:val="-10"/>
                <w:lang w:val="de-DE"/>
              </w:rPr>
              <w:t xml:space="preserve"> </w:t>
            </w:r>
            <w:r w:rsidRPr="00E73F6F">
              <w:rPr>
                <w:lang w:val="de-DE"/>
              </w:rPr>
              <w:t>Verkaufsstätte</w:t>
            </w:r>
            <w:r w:rsidRPr="00E73F6F">
              <w:rPr>
                <w:spacing w:val="40"/>
                <w:lang w:val="de-DE"/>
              </w:rPr>
              <w:t xml:space="preserve"> </w:t>
            </w:r>
            <w:r w:rsidRPr="00E73F6F">
              <w:rPr>
                <w:lang w:val="de-DE"/>
              </w:rPr>
              <w:t>mindestens</w:t>
            </w:r>
            <w:r w:rsidRPr="00E73F6F">
              <w:rPr>
                <w:spacing w:val="-5"/>
                <w:lang w:val="de-DE"/>
              </w:rPr>
              <w:t xml:space="preserve"> </w:t>
            </w:r>
            <w:r w:rsidRPr="00E73F6F">
              <w:rPr>
                <w:lang w:val="de-DE"/>
              </w:rPr>
              <w:t>zwei</w:t>
            </w:r>
            <w:r w:rsidRPr="00E73F6F">
              <w:rPr>
                <w:spacing w:val="40"/>
                <w:lang w:val="de-DE"/>
              </w:rPr>
              <w:t xml:space="preserve"> </w:t>
            </w:r>
            <w:r w:rsidRPr="00E73F6F">
              <w:rPr>
                <w:lang w:val="de-DE"/>
              </w:rPr>
              <w:t>Monate vor Beginn der</w:t>
            </w:r>
            <w:r w:rsidRPr="00E73F6F">
              <w:rPr>
                <w:spacing w:val="40"/>
                <w:lang w:val="de-DE"/>
              </w:rPr>
              <w:t xml:space="preserve"> </w:t>
            </w:r>
            <w:r w:rsidRPr="00E73F6F">
              <w:rPr>
                <w:lang w:val="de-DE"/>
              </w:rPr>
              <w:t>Rabattgewährung gültig</w:t>
            </w:r>
            <w:r w:rsidRPr="00E73F6F">
              <w:rPr>
                <w:spacing w:val="40"/>
                <w:lang w:val="de-DE"/>
              </w:rPr>
              <w:t xml:space="preserve"> </w:t>
            </w:r>
            <w:r w:rsidRPr="00E73F6F">
              <w:rPr>
                <w:lang w:val="de-DE"/>
              </w:rPr>
              <w:t>gewesen</w:t>
            </w:r>
            <w:r w:rsidRPr="00E73F6F">
              <w:rPr>
                <w:spacing w:val="-3"/>
                <w:lang w:val="de-DE"/>
              </w:rPr>
              <w:t xml:space="preserve"> </w:t>
            </w:r>
            <w:r w:rsidRPr="00E73F6F">
              <w:rPr>
                <w:lang w:val="de-DE"/>
              </w:rPr>
              <w:t>sein)</w:t>
            </w:r>
          </w:p>
        </w:tc>
        <w:tc>
          <w:tcPr>
            <w:tcW w:w="1511" w:type="pct"/>
          </w:tcPr>
          <w:p w14:paraId="584A0426" w14:textId="77777777" w:rsidR="00FF7799" w:rsidRPr="00E73F6F" w:rsidRDefault="00FF7799" w:rsidP="002251EC">
            <w:pPr>
              <w:pStyle w:val="StandardText"/>
              <w:jc w:val="left"/>
              <w:rPr>
                <w:lang w:val="de-DE"/>
              </w:rPr>
            </w:pPr>
            <w:r w:rsidRPr="00E73F6F">
              <w:rPr>
                <w:lang w:val="de-DE"/>
              </w:rPr>
              <w:t>Zulässig, wenn jede</w:t>
            </w:r>
            <w:r w:rsidRPr="00E73F6F">
              <w:rPr>
                <w:spacing w:val="40"/>
                <w:lang w:val="de-DE"/>
              </w:rPr>
              <w:t xml:space="preserve"> </w:t>
            </w:r>
            <w:r w:rsidRPr="00E73F6F">
              <w:rPr>
                <w:lang w:val="de-DE"/>
              </w:rPr>
              <w:t>Ware</w:t>
            </w:r>
            <w:r w:rsidRPr="00E73F6F">
              <w:rPr>
                <w:spacing w:val="-1"/>
                <w:lang w:val="de-DE"/>
              </w:rPr>
              <w:t xml:space="preserve"> </w:t>
            </w:r>
            <w:r w:rsidRPr="00E73F6F">
              <w:rPr>
                <w:lang w:val="de-DE"/>
              </w:rPr>
              <w:t>einzeln</w:t>
            </w:r>
            <w:r w:rsidRPr="00E73F6F">
              <w:rPr>
                <w:spacing w:val="-2"/>
                <w:lang w:val="de-DE"/>
              </w:rPr>
              <w:t xml:space="preserve"> </w:t>
            </w:r>
            <w:r w:rsidRPr="00E73F6F">
              <w:rPr>
                <w:lang w:val="de-DE"/>
              </w:rPr>
              <w:t>auch zum</w:t>
            </w:r>
            <w:r w:rsidRPr="00E73F6F">
              <w:rPr>
                <w:spacing w:val="40"/>
                <w:lang w:val="de-DE"/>
              </w:rPr>
              <w:t xml:space="preserve"> </w:t>
            </w:r>
            <w:r w:rsidRPr="00E73F6F">
              <w:rPr>
                <w:lang w:val="de-DE"/>
              </w:rPr>
              <w:t>gewöhnlichen Preis</w:t>
            </w:r>
            <w:r w:rsidRPr="00E73F6F">
              <w:rPr>
                <w:spacing w:val="40"/>
                <w:lang w:val="de-DE"/>
              </w:rPr>
              <w:t xml:space="preserve"> </w:t>
            </w:r>
            <w:r w:rsidRPr="00E73F6F">
              <w:rPr>
                <w:lang w:val="de-DE"/>
              </w:rPr>
              <w:t>erworben werden kann</w:t>
            </w:r>
            <w:r w:rsidRPr="00E73F6F">
              <w:rPr>
                <w:spacing w:val="40"/>
                <w:lang w:val="de-DE"/>
              </w:rPr>
              <w:t xml:space="preserve"> </w:t>
            </w:r>
            <w:r w:rsidRPr="00E73F6F">
              <w:rPr>
                <w:lang w:val="de-DE"/>
              </w:rPr>
              <w:t>und der Rabatt nicht</w:t>
            </w:r>
            <w:r w:rsidRPr="00E73F6F">
              <w:rPr>
                <w:spacing w:val="40"/>
                <w:lang w:val="de-DE"/>
              </w:rPr>
              <w:t xml:space="preserve"> </w:t>
            </w:r>
            <w:r w:rsidRPr="00E73F6F">
              <w:rPr>
                <w:lang w:val="de-DE"/>
              </w:rPr>
              <w:t>mehr als ein Drittel des</w:t>
            </w:r>
            <w:r w:rsidRPr="00E73F6F">
              <w:rPr>
                <w:spacing w:val="40"/>
                <w:lang w:val="de-DE"/>
              </w:rPr>
              <w:t xml:space="preserve"> </w:t>
            </w:r>
            <w:r w:rsidRPr="00E73F6F">
              <w:rPr>
                <w:lang w:val="de-DE"/>
              </w:rPr>
              <w:t>Preises</w:t>
            </w:r>
            <w:r w:rsidRPr="00E73F6F">
              <w:rPr>
                <w:spacing w:val="-10"/>
                <w:lang w:val="de-DE"/>
              </w:rPr>
              <w:t xml:space="preserve"> </w:t>
            </w:r>
            <w:r w:rsidRPr="00E73F6F">
              <w:rPr>
                <w:lang w:val="de-DE"/>
              </w:rPr>
              <w:t>der</w:t>
            </w:r>
            <w:r w:rsidRPr="00E73F6F">
              <w:rPr>
                <w:spacing w:val="-10"/>
                <w:lang w:val="de-DE"/>
              </w:rPr>
              <w:t xml:space="preserve"> </w:t>
            </w:r>
            <w:r w:rsidRPr="00E73F6F">
              <w:rPr>
                <w:lang w:val="de-DE"/>
              </w:rPr>
              <w:t>Einzelwaren</w:t>
            </w:r>
            <w:r w:rsidRPr="00E73F6F">
              <w:rPr>
                <w:spacing w:val="40"/>
                <w:lang w:val="de-DE"/>
              </w:rPr>
              <w:t xml:space="preserve"> </w:t>
            </w:r>
            <w:r w:rsidRPr="00E73F6F">
              <w:rPr>
                <w:spacing w:val="-2"/>
                <w:lang w:val="de-DE"/>
              </w:rPr>
              <w:t>zusammengenommen</w:t>
            </w:r>
            <w:r w:rsidRPr="00E73F6F">
              <w:rPr>
                <w:spacing w:val="40"/>
                <w:lang w:val="de-DE"/>
              </w:rPr>
              <w:t xml:space="preserve"> </w:t>
            </w:r>
            <w:r w:rsidRPr="00E73F6F">
              <w:rPr>
                <w:spacing w:val="-2"/>
                <w:lang w:val="de-DE"/>
              </w:rPr>
              <w:t>beträgt</w:t>
            </w:r>
          </w:p>
        </w:tc>
        <w:tc>
          <w:tcPr>
            <w:tcW w:w="1511" w:type="pct"/>
          </w:tcPr>
          <w:p w14:paraId="2A8E008B" w14:textId="77777777" w:rsidR="00FF7799" w:rsidRPr="00E73F6F" w:rsidRDefault="00FF7799" w:rsidP="002251EC">
            <w:pPr>
              <w:pStyle w:val="StandardText"/>
              <w:jc w:val="left"/>
              <w:rPr>
                <w:lang w:val="de-DE"/>
              </w:rPr>
            </w:pPr>
            <w:r w:rsidRPr="00E73F6F">
              <w:rPr>
                <w:lang w:val="de-DE"/>
              </w:rPr>
              <w:t>Zulässig (mit</w:t>
            </w:r>
            <w:r w:rsidRPr="00E73F6F">
              <w:rPr>
                <w:spacing w:val="40"/>
                <w:lang w:val="de-DE"/>
              </w:rPr>
              <w:t xml:space="preserve"> </w:t>
            </w:r>
            <w:r w:rsidRPr="00E73F6F">
              <w:rPr>
                <w:spacing w:val="-2"/>
                <w:lang w:val="de-DE"/>
              </w:rPr>
              <w:t>denselben</w:t>
            </w:r>
            <w:r w:rsidRPr="00E73F6F">
              <w:rPr>
                <w:spacing w:val="40"/>
                <w:lang w:val="de-DE"/>
              </w:rPr>
              <w:t xml:space="preserve"> </w:t>
            </w:r>
            <w:r w:rsidRPr="00E73F6F">
              <w:rPr>
                <w:lang w:val="de-DE"/>
              </w:rPr>
              <w:t>Bedingungen</w:t>
            </w:r>
            <w:r w:rsidRPr="00E73F6F">
              <w:rPr>
                <w:spacing w:val="-3"/>
                <w:lang w:val="de-DE"/>
              </w:rPr>
              <w:t xml:space="preserve"> </w:t>
            </w:r>
            <w:r w:rsidRPr="00E73F6F">
              <w:rPr>
                <w:lang w:val="de-DE"/>
              </w:rPr>
              <w:t>wie</w:t>
            </w:r>
            <w:r w:rsidRPr="00E73F6F">
              <w:rPr>
                <w:spacing w:val="40"/>
                <w:lang w:val="de-DE"/>
              </w:rPr>
              <w:t xml:space="preserve"> </w:t>
            </w:r>
            <w:r w:rsidRPr="00E73F6F">
              <w:rPr>
                <w:spacing w:val="-2"/>
                <w:lang w:val="de-DE"/>
              </w:rPr>
              <w:t>Warenrabatte);</w:t>
            </w:r>
            <w:r w:rsidRPr="00E73F6F">
              <w:rPr>
                <w:spacing w:val="40"/>
                <w:lang w:val="de-DE"/>
              </w:rPr>
              <w:t xml:space="preserve"> </w:t>
            </w:r>
            <w:r w:rsidRPr="00E73F6F">
              <w:rPr>
                <w:lang w:val="de-DE"/>
              </w:rPr>
              <w:t>Angebot</w:t>
            </w:r>
            <w:r w:rsidRPr="00E73F6F">
              <w:rPr>
                <w:spacing w:val="-10"/>
                <w:lang w:val="de-DE"/>
              </w:rPr>
              <w:t xml:space="preserve"> </w:t>
            </w:r>
            <w:r w:rsidRPr="00E73F6F">
              <w:rPr>
                <w:lang w:val="de-DE"/>
              </w:rPr>
              <w:t>kostenloser</w:t>
            </w:r>
            <w:r w:rsidRPr="00E73F6F">
              <w:rPr>
                <w:spacing w:val="40"/>
                <w:lang w:val="de-DE"/>
              </w:rPr>
              <w:t xml:space="preserve"> </w:t>
            </w:r>
            <w:r w:rsidRPr="00E73F6F">
              <w:rPr>
                <w:lang w:val="de-DE"/>
              </w:rPr>
              <w:t>künftiger</w:t>
            </w:r>
            <w:r w:rsidRPr="00E73F6F">
              <w:rPr>
                <w:spacing w:val="-3"/>
                <w:lang w:val="de-DE"/>
              </w:rPr>
              <w:t xml:space="preserve"> </w:t>
            </w:r>
            <w:r w:rsidRPr="00E73F6F">
              <w:rPr>
                <w:lang w:val="de-DE"/>
              </w:rPr>
              <w:t>Einkäufe</w:t>
            </w:r>
            <w:r w:rsidRPr="00E73F6F">
              <w:rPr>
                <w:spacing w:val="40"/>
                <w:lang w:val="de-DE"/>
              </w:rPr>
              <w:t xml:space="preserve"> </w:t>
            </w:r>
            <w:r w:rsidRPr="00E73F6F">
              <w:rPr>
                <w:lang w:val="de-DE"/>
              </w:rPr>
              <w:t>nicht zulässig</w:t>
            </w:r>
          </w:p>
        </w:tc>
      </w:tr>
      <w:tr w:rsidR="00FF7799" w:rsidRPr="00E73F6F" w14:paraId="45191136" w14:textId="77777777" w:rsidTr="002251EC">
        <w:trPr>
          <w:trHeight w:val="671"/>
        </w:trPr>
        <w:tc>
          <w:tcPr>
            <w:tcW w:w="467" w:type="pct"/>
          </w:tcPr>
          <w:p w14:paraId="35770D1D" w14:textId="77777777" w:rsidR="00FF7799" w:rsidRPr="00E73F6F" w:rsidRDefault="00FF7799" w:rsidP="00E94FD0">
            <w:pPr>
              <w:pStyle w:val="StandardText"/>
              <w:rPr>
                <w:lang w:val="de-DE"/>
              </w:rPr>
            </w:pPr>
            <w:r w:rsidRPr="00E73F6F">
              <w:rPr>
                <w:spacing w:val="-5"/>
                <w:lang w:val="de-DE"/>
              </w:rPr>
              <w:t>NL</w:t>
            </w:r>
          </w:p>
        </w:tc>
        <w:tc>
          <w:tcPr>
            <w:tcW w:w="1511" w:type="pct"/>
          </w:tcPr>
          <w:p w14:paraId="333EE442" w14:textId="77777777" w:rsidR="00FF7799" w:rsidRPr="00E73F6F" w:rsidRDefault="00FF7799" w:rsidP="002251EC">
            <w:pPr>
              <w:pStyle w:val="StandardText"/>
              <w:jc w:val="left"/>
              <w:rPr>
                <w:lang w:val="de-DE"/>
              </w:rPr>
            </w:pPr>
            <w:r w:rsidRPr="00E73F6F">
              <w:rPr>
                <w:lang w:val="de-DE"/>
              </w:rPr>
              <w:t>Zulässig,</w:t>
            </w:r>
            <w:r w:rsidRPr="00E73F6F">
              <w:rPr>
                <w:spacing w:val="-10"/>
                <w:lang w:val="de-DE"/>
              </w:rPr>
              <w:t xml:space="preserve"> </w:t>
            </w:r>
            <w:r w:rsidRPr="00E73F6F">
              <w:rPr>
                <w:lang w:val="de-DE"/>
              </w:rPr>
              <w:t>außer</w:t>
            </w:r>
            <w:r w:rsidRPr="00E73F6F">
              <w:rPr>
                <w:spacing w:val="-10"/>
                <w:lang w:val="de-DE"/>
              </w:rPr>
              <w:t xml:space="preserve"> </w:t>
            </w:r>
            <w:r w:rsidRPr="00E73F6F">
              <w:rPr>
                <w:lang w:val="de-DE"/>
              </w:rPr>
              <w:t>im</w:t>
            </w:r>
            <w:r w:rsidRPr="00E73F6F">
              <w:rPr>
                <w:spacing w:val="-10"/>
                <w:lang w:val="de-DE"/>
              </w:rPr>
              <w:t xml:space="preserve"> </w:t>
            </w:r>
            <w:r w:rsidRPr="00E73F6F">
              <w:rPr>
                <w:lang w:val="de-DE"/>
              </w:rPr>
              <w:t>Falle</w:t>
            </w:r>
            <w:r w:rsidRPr="00E73F6F">
              <w:rPr>
                <w:spacing w:val="40"/>
                <w:lang w:val="de-DE"/>
              </w:rPr>
              <w:t xml:space="preserve"> </w:t>
            </w:r>
            <w:r w:rsidRPr="00E73F6F">
              <w:rPr>
                <w:lang w:val="de-DE"/>
              </w:rPr>
              <w:t>von Zigaretten und</w:t>
            </w:r>
            <w:r w:rsidRPr="00E73F6F">
              <w:rPr>
                <w:spacing w:val="40"/>
                <w:lang w:val="de-DE"/>
              </w:rPr>
              <w:t xml:space="preserve"> </w:t>
            </w:r>
            <w:r w:rsidRPr="00E73F6F">
              <w:rPr>
                <w:spacing w:val="-2"/>
                <w:lang w:val="de-DE"/>
              </w:rPr>
              <w:t>Versicherungen</w:t>
            </w:r>
          </w:p>
        </w:tc>
        <w:tc>
          <w:tcPr>
            <w:tcW w:w="1511" w:type="pct"/>
          </w:tcPr>
          <w:p w14:paraId="0EC77FD6" w14:textId="77777777" w:rsidR="00FF7799" w:rsidRPr="00E73F6F" w:rsidRDefault="00FF7799" w:rsidP="002251EC">
            <w:pPr>
              <w:pStyle w:val="StandardText"/>
              <w:jc w:val="left"/>
              <w:rPr>
                <w:lang w:val="de-DE"/>
              </w:rPr>
            </w:pPr>
            <w:r w:rsidRPr="00E73F6F">
              <w:rPr>
                <w:lang w:val="de-DE"/>
              </w:rPr>
              <w:t>Zulässig,</w:t>
            </w:r>
            <w:r w:rsidRPr="00E73F6F">
              <w:rPr>
                <w:spacing w:val="-10"/>
                <w:lang w:val="de-DE"/>
              </w:rPr>
              <w:t xml:space="preserve"> </w:t>
            </w:r>
            <w:r w:rsidRPr="00E73F6F">
              <w:rPr>
                <w:lang w:val="de-DE"/>
              </w:rPr>
              <w:t>außer</w:t>
            </w:r>
            <w:r w:rsidRPr="00E73F6F">
              <w:rPr>
                <w:spacing w:val="-10"/>
                <w:lang w:val="de-DE"/>
              </w:rPr>
              <w:t xml:space="preserve"> </w:t>
            </w:r>
            <w:r w:rsidRPr="00E73F6F">
              <w:rPr>
                <w:lang w:val="de-DE"/>
              </w:rPr>
              <w:t>im</w:t>
            </w:r>
            <w:r w:rsidRPr="00E73F6F">
              <w:rPr>
                <w:spacing w:val="-10"/>
                <w:lang w:val="de-DE"/>
              </w:rPr>
              <w:t xml:space="preserve"> </w:t>
            </w:r>
            <w:r w:rsidRPr="00E73F6F">
              <w:rPr>
                <w:lang w:val="de-DE"/>
              </w:rPr>
              <w:t>Falle</w:t>
            </w:r>
            <w:r w:rsidRPr="00E73F6F">
              <w:rPr>
                <w:spacing w:val="40"/>
                <w:lang w:val="de-DE"/>
              </w:rPr>
              <w:t xml:space="preserve"> </w:t>
            </w:r>
            <w:r w:rsidRPr="00E73F6F">
              <w:rPr>
                <w:lang w:val="de-DE"/>
              </w:rPr>
              <w:t>von Zigaretten und</w:t>
            </w:r>
            <w:r w:rsidRPr="00E73F6F">
              <w:rPr>
                <w:spacing w:val="40"/>
                <w:lang w:val="de-DE"/>
              </w:rPr>
              <w:t xml:space="preserve"> </w:t>
            </w:r>
            <w:r w:rsidRPr="00E73F6F">
              <w:rPr>
                <w:spacing w:val="-2"/>
                <w:lang w:val="de-DE"/>
              </w:rPr>
              <w:t>Versicherungen</w:t>
            </w:r>
          </w:p>
        </w:tc>
        <w:tc>
          <w:tcPr>
            <w:tcW w:w="1511" w:type="pct"/>
          </w:tcPr>
          <w:p w14:paraId="167FEFA4" w14:textId="77777777" w:rsidR="00FF7799" w:rsidRPr="00E73F6F" w:rsidRDefault="00FF7799" w:rsidP="002251EC">
            <w:pPr>
              <w:pStyle w:val="StandardText"/>
              <w:jc w:val="left"/>
              <w:rPr>
                <w:lang w:val="de-DE"/>
              </w:rPr>
            </w:pPr>
            <w:r w:rsidRPr="00E73F6F">
              <w:rPr>
                <w:spacing w:val="-2"/>
                <w:lang w:val="de-DE"/>
              </w:rPr>
              <w:t>Zulässig</w:t>
            </w:r>
          </w:p>
        </w:tc>
      </w:tr>
      <w:tr w:rsidR="00FF7799" w:rsidRPr="00E73F6F" w14:paraId="1762FA5D" w14:textId="77777777" w:rsidTr="002251EC">
        <w:trPr>
          <w:trHeight w:val="835"/>
        </w:trPr>
        <w:tc>
          <w:tcPr>
            <w:tcW w:w="467" w:type="pct"/>
          </w:tcPr>
          <w:p w14:paraId="6DB62C04" w14:textId="77777777" w:rsidR="00FF7799" w:rsidRPr="00E73F6F" w:rsidRDefault="00FF7799" w:rsidP="00E94FD0">
            <w:pPr>
              <w:pStyle w:val="StandardText"/>
              <w:rPr>
                <w:lang w:val="de-DE"/>
              </w:rPr>
            </w:pPr>
            <w:r w:rsidRPr="00E73F6F">
              <w:rPr>
                <w:lang w:val="de-DE"/>
              </w:rPr>
              <w:t>P</w:t>
            </w:r>
          </w:p>
        </w:tc>
        <w:tc>
          <w:tcPr>
            <w:tcW w:w="1511" w:type="pct"/>
          </w:tcPr>
          <w:p w14:paraId="00C388C6" w14:textId="77777777" w:rsidR="00FF7799" w:rsidRPr="00E73F6F" w:rsidRDefault="00FF7799" w:rsidP="002251EC">
            <w:pPr>
              <w:pStyle w:val="StandardText"/>
              <w:jc w:val="left"/>
              <w:rPr>
                <w:lang w:val="de-DE"/>
              </w:rPr>
            </w:pPr>
            <w:r w:rsidRPr="00E73F6F">
              <w:rPr>
                <w:lang w:val="de-DE"/>
              </w:rPr>
              <w:t>Zulässig,</w:t>
            </w:r>
            <w:r w:rsidRPr="00E73F6F">
              <w:rPr>
                <w:spacing w:val="-10"/>
                <w:lang w:val="de-DE"/>
              </w:rPr>
              <w:t xml:space="preserve"> </w:t>
            </w:r>
            <w:r w:rsidRPr="00E73F6F">
              <w:rPr>
                <w:lang w:val="de-DE"/>
              </w:rPr>
              <w:t>alter</w:t>
            </w:r>
            <w:r w:rsidRPr="00E73F6F">
              <w:rPr>
                <w:spacing w:val="-10"/>
                <w:lang w:val="de-DE"/>
              </w:rPr>
              <w:t xml:space="preserve"> </w:t>
            </w:r>
            <w:r w:rsidRPr="00E73F6F">
              <w:rPr>
                <w:lang w:val="de-DE"/>
              </w:rPr>
              <w:t>und</w:t>
            </w:r>
            <w:r w:rsidRPr="00E73F6F">
              <w:rPr>
                <w:spacing w:val="-10"/>
                <w:lang w:val="de-DE"/>
              </w:rPr>
              <w:t xml:space="preserve"> </w:t>
            </w:r>
            <w:r w:rsidRPr="00E73F6F">
              <w:rPr>
                <w:lang w:val="de-DE"/>
              </w:rPr>
              <w:t>neuer</w:t>
            </w:r>
            <w:r w:rsidRPr="00E73F6F">
              <w:rPr>
                <w:spacing w:val="40"/>
                <w:lang w:val="de-DE"/>
              </w:rPr>
              <w:t xml:space="preserve"> </w:t>
            </w:r>
            <w:r w:rsidRPr="00E73F6F">
              <w:rPr>
                <w:lang w:val="de-DE"/>
              </w:rPr>
              <w:t>Preis oder prozentualer</w:t>
            </w:r>
            <w:r w:rsidRPr="00E73F6F">
              <w:rPr>
                <w:spacing w:val="40"/>
                <w:lang w:val="de-DE"/>
              </w:rPr>
              <w:t xml:space="preserve"> </w:t>
            </w:r>
            <w:r w:rsidRPr="00E73F6F">
              <w:rPr>
                <w:lang w:val="de-DE"/>
              </w:rPr>
              <w:t>Nachlass</w:t>
            </w:r>
            <w:r w:rsidRPr="00E73F6F">
              <w:rPr>
                <w:spacing w:val="-7"/>
                <w:lang w:val="de-DE"/>
              </w:rPr>
              <w:t xml:space="preserve"> </w:t>
            </w:r>
            <w:r w:rsidRPr="00E73F6F">
              <w:rPr>
                <w:lang w:val="de-DE"/>
              </w:rPr>
              <w:t>müssen</w:t>
            </w:r>
            <w:r w:rsidRPr="00E73F6F">
              <w:rPr>
                <w:spacing w:val="40"/>
                <w:lang w:val="de-DE"/>
              </w:rPr>
              <w:t xml:space="preserve"> </w:t>
            </w:r>
            <w:r w:rsidRPr="00E73F6F">
              <w:rPr>
                <w:lang w:val="de-DE"/>
              </w:rPr>
              <w:t>angegeben werden</w:t>
            </w:r>
          </w:p>
        </w:tc>
        <w:tc>
          <w:tcPr>
            <w:tcW w:w="1511" w:type="pct"/>
          </w:tcPr>
          <w:p w14:paraId="6862B605" w14:textId="77777777" w:rsidR="00FF7799" w:rsidRPr="00E73F6F" w:rsidRDefault="00FF7799" w:rsidP="002251EC">
            <w:pPr>
              <w:pStyle w:val="StandardText"/>
              <w:jc w:val="left"/>
              <w:rPr>
                <w:lang w:val="de-DE"/>
              </w:rPr>
            </w:pPr>
            <w:r w:rsidRPr="00E73F6F">
              <w:rPr>
                <w:lang w:val="de-DE"/>
              </w:rPr>
              <w:t>k.A.</w:t>
            </w:r>
          </w:p>
        </w:tc>
        <w:tc>
          <w:tcPr>
            <w:tcW w:w="1511" w:type="pct"/>
          </w:tcPr>
          <w:p w14:paraId="2DEDD076" w14:textId="77777777" w:rsidR="00FF7799" w:rsidRPr="00E73F6F" w:rsidRDefault="00FF7799" w:rsidP="002251EC">
            <w:pPr>
              <w:pStyle w:val="StandardText"/>
              <w:jc w:val="left"/>
              <w:rPr>
                <w:lang w:val="de-DE"/>
              </w:rPr>
            </w:pPr>
            <w:r w:rsidRPr="00E73F6F">
              <w:rPr>
                <w:lang w:val="de-DE"/>
              </w:rPr>
              <w:t>k.A.</w:t>
            </w:r>
          </w:p>
        </w:tc>
      </w:tr>
      <w:tr w:rsidR="00FF7799" w:rsidRPr="00E73F6F" w14:paraId="007CE777" w14:textId="77777777" w:rsidTr="002251EC">
        <w:trPr>
          <w:trHeight w:val="1338"/>
        </w:trPr>
        <w:tc>
          <w:tcPr>
            <w:tcW w:w="467" w:type="pct"/>
          </w:tcPr>
          <w:p w14:paraId="4B2B7DCD" w14:textId="77777777" w:rsidR="00FF7799" w:rsidRPr="00E73F6F" w:rsidRDefault="00FF7799" w:rsidP="00E94FD0">
            <w:pPr>
              <w:pStyle w:val="StandardText"/>
              <w:rPr>
                <w:lang w:val="de-DE"/>
              </w:rPr>
            </w:pPr>
            <w:r w:rsidRPr="00E73F6F">
              <w:rPr>
                <w:lang w:val="de-DE"/>
              </w:rPr>
              <w:lastRenderedPageBreak/>
              <w:t>S</w:t>
            </w:r>
          </w:p>
        </w:tc>
        <w:tc>
          <w:tcPr>
            <w:tcW w:w="1511" w:type="pct"/>
          </w:tcPr>
          <w:p w14:paraId="5E860E44" w14:textId="77777777" w:rsidR="00FF7799" w:rsidRPr="00E73F6F" w:rsidRDefault="00FF7799" w:rsidP="002251EC">
            <w:pPr>
              <w:pStyle w:val="StandardText"/>
              <w:jc w:val="left"/>
              <w:rPr>
                <w:lang w:val="de-DE"/>
              </w:rPr>
            </w:pPr>
            <w:r w:rsidRPr="00E73F6F">
              <w:rPr>
                <w:lang w:val="de-DE"/>
              </w:rPr>
              <w:t>Zulässig,</w:t>
            </w:r>
            <w:r w:rsidRPr="00E73F6F">
              <w:rPr>
                <w:spacing w:val="-5"/>
                <w:lang w:val="de-DE"/>
              </w:rPr>
              <w:t xml:space="preserve"> </w:t>
            </w:r>
            <w:r w:rsidRPr="00E73F6F">
              <w:rPr>
                <w:lang w:val="de-DE"/>
              </w:rPr>
              <w:t>wenn</w:t>
            </w:r>
            <w:r w:rsidRPr="00E73F6F">
              <w:rPr>
                <w:spacing w:val="40"/>
                <w:lang w:val="de-DE"/>
              </w:rPr>
              <w:t xml:space="preserve"> </w:t>
            </w:r>
            <w:r w:rsidRPr="00E73F6F">
              <w:rPr>
                <w:lang w:val="de-DE"/>
              </w:rPr>
              <w:t>Verbraucher</w:t>
            </w:r>
            <w:r w:rsidRPr="00E73F6F">
              <w:rPr>
                <w:spacing w:val="-3"/>
                <w:lang w:val="de-DE"/>
              </w:rPr>
              <w:t xml:space="preserve"> </w:t>
            </w:r>
            <w:r w:rsidRPr="00E73F6F">
              <w:rPr>
                <w:lang w:val="de-DE"/>
              </w:rPr>
              <w:t>folgende</w:t>
            </w:r>
            <w:r w:rsidRPr="00E73F6F">
              <w:rPr>
                <w:spacing w:val="40"/>
                <w:lang w:val="de-DE"/>
              </w:rPr>
              <w:t xml:space="preserve"> </w:t>
            </w:r>
            <w:r w:rsidRPr="00E73F6F">
              <w:rPr>
                <w:lang w:val="de-DE"/>
              </w:rPr>
              <w:t>Informationen erhält:</w:t>
            </w:r>
            <w:r w:rsidRPr="00E73F6F">
              <w:rPr>
                <w:spacing w:val="40"/>
                <w:lang w:val="de-DE"/>
              </w:rPr>
              <w:t xml:space="preserve"> </w:t>
            </w:r>
            <w:r w:rsidRPr="00E73F6F">
              <w:rPr>
                <w:lang w:val="de-DE"/>
              </w:rPr>
              <w:t>Bedingungen für die</w:t>
            </w:r>
            <w:r w:rsidRPr="00E73F6F">
              <w:rPr>
                <w:spacing w:val="40"/>
                <w:lang w:val="de-DE"/>
              </w:rPr>
              <w:t xml:space="preserve"> </w:t>
            </w:r>
            <w:r w:rsidRPr="00E73F6F">
              <w:rPr>
                <w:lang w:val="de-DE"/>
              </w:rPr>
              <w:t>Wahrnehmung</w:t>
            </w:r>
            <w:r w:rsidRPr="00E73F6F">
              <w:rPr>
                <w:spacing w:val="-3"/>
                <w:lang w:val="de-DE"/>
              </w:rPr>
              <w:t xml:space="preserve"> </w:t>
            </w:r>
            <w:r w:rsidRPr="00E73F6F">
              <w:rPr>
                <w:lang w:val="de-DE"/>
              </w:rPr>
              <w:t>des</w:t>
            </w:r>
            <w:r w:rsidRPr="00E73F6F">
              <w:rPr>
                <w:spacing w:val="40"/>
                <w:lang w:val="de-DE"/>
              </w:rPr>
              <w:t xml:space="preserve"> </w:t>
            </w:r>
            <w:r w:rsidRPr="00E73F6F">
              <w:rPr>
                <w:lang w:val="de-DE"/>
              </w:rPr>
              <w:t>Angebots,</w:t>
            </w:r>
            <w:r w:rsidRPr="00E73F6F">
              <w:rPr>
                <w:spacing w:val="-10"/>
                <w:lang w:val="de-DE"/>
              </w:rPr>
              <w:t xml:space="preserve"> </w:t>
            </w:r>
            <w:r w:rsidRPr="00E73F6F">
              <w:rPr>
                <w:lang w:val="de-DE"/>
              </w:rPr>
              <w:t>Art</w:t>
            </w:r>
            <w:r w:rsidRPr="00E73F6F">
              <w:rPr>
                <w:spacing w:val="-10"/>
                <w:lang w:val="de-DE"/>
              </w:rPr>
              <w:t xml:space="preserve"> </w:t>
            </w:r>
            <w:r w:rsidRPr="00E73F6F">
              <w:rPr>
                <w:lang w:val="de-DE"/>
              </w:rPr>
              <w:t>und</w:t>
            </w:r>
            <w:r w:rsidRPr="00E73F6F">
              <w:rPr>
                <w:spacing w:val="-10"/>
                <w:lang w:val="de-DE"/>
              </w:rPr>
              <w:t xml:space="preserve"> </w:t>
            </w:r>
            <w:r w:rsidRPr="00E73F6F">
              <w:rPr>
                <w:lang w:val="de-DE"/>
              </w:rPr>
              <w:t xml:space="preserve">Wert des </w:t>
            </w:r>
            <w:r w:rsidRPr="00E73F6F">
              <w:rPr>
                <w:spacing w:val="-2"/>
                <w:lang w:val="de-DE"/>
              </w:rPr>
              <w:t>Angebots,</w:t>
            </w:r>
            <w:r w:rsidRPr="00E73F6F">
              <w:rPr>
                <w:lang w:val="de-DE"/>
              </w:rPr>
              <w:t xml:space="preserve"> Gültigkeitsdauer</w:t>
            </w:r>
            <w:r w:rsidRPr="00E73F6F">
              <w:rPr>
                <w:spacing w:val="-7"/>
                <w:lang w:val="de-DE"/>
              </w:rPr>
              <w:t xml:space="preserve"> </w:t>
            </w:r>
            <w:r w:rsidRPr="00E73F6F">
              <w:rPr>
                <w:lang w:val="de-DE"/>
              </w:rPr>
              <w:t>bzw.</w:t>
            </w:r>
            <w:r w:rsidRPr="00E73F6F">
              <w:rPr>
                <w:spacing w:val="40"/>
                <w:lang w:val="de-DE"/>
              </w:rPr>
              <w:t xml:space="preserve"> </w:t>
            </w:r>
            <w:r w:rsidRPr="00E73F6F">
              <w:rPr>
                <w:lang w:val="de-DE"/>
              </w:rPr>
              <w:t>andere</w:t>
            </w:r>
            <w:r w:rsidRPr="00E73F6F">
              <w:rPr>
                <w:spacing w:val="-10"/>
                <w:lang w:val="de-DE"/>
              </w:rPr>
              <w:t xml:space="preserve"> </w:t>
            </w:r>
            <w:r w:rsidRPr="00E73F6F">
              <w:rPr>
                <w:lang w:val="de-DE"/>
              </w:rPr>
              <w:t>Einschränkungen</w:t>
            </w:r>
          </w:p>
        </w:tc>
        <w:tc>
          <w:tcPr>
            <w:tcW w:w="1511" w:type="pct"/>
          </w:tcPr>
          <w:p w14:paraId="57DE3D04" w14:textId="77777777" w:rsidR="00FF7799" w:rsidRPr="00E73F6F" w:rsidRDefault="00FF7799" w:rsidP="002251EC">
            <w:pPr>
              <w:pStyle w:val="StandardText"/>
              <w:jc w:val="left"/>
              <w:rPr>
                <w:lang w:val="de-DE"/>
              </w:rPr>
            </w:pPr>
            <w:r w:rsidRPr="00E73F6F">
              <w:rPr>
                <w:lang w:val="de-DE"/>
              </w:rPr>
              <w:t>Zulässig</w:t>
            </w:r>
            <w:r w:rsidRPr="00E73F6F">
              <w:rPr>
                <w:spacing w:val="-3"/>
                <w:lang w:val="de-DE"/>
              </w:rPr>
              <w:t xml:space="preserve"> </w:t>
            </w:r>
            <w:r w:rsidRPr="00E73F6F">
              <w:rPr>
                <w:lang w:val="de-DE"/>
              </w:rPr>
              <w:t>unter</w:t>
            </w:r>
            <w:r w:rsidRPr="00E73F6F">
              <w:rPr>
                <w:spacing w:val="40"/>
                <w:lang w:val="de-DE"/>
              </w:rPr>
              <w:t xml:space="preserve"> </w:t>
            </w:r>
            <w:r w:rsidRPr="00E73F6F">
              <w:rPr>
                <w:lang w:val="de-DE"/>
              </w:rPr>
              <w:t>denselben</w:t>
            </w:r>
            <w:r w:rsidRPr="00E73F6F">
              <w:rPr>
                <w:spacing w:val="-10"/>
                <w:lang w:val="de-DE"/>
              </w:rPr>
              <w:t xml:space="preserve"> </w:t>
            </w:r>
            <w:r w:rsidRPr="00E73F6F">
              <w:rPr>
                <w:lang w:val="de-DE"/>
              </w:rPr>
              <w:t>Bedingungen</w:t>
            </w:r>
            <w:r w:rsidRPr="00E73F6F">
              <w:rPr>
                <w:spacing w:val="40"/>
                <w:lang w:val="de-DE"/>
              </w:rPr>
              <w:t xml:space="preserve"> </w:t>
            </w:r>
            <w:r w:rsidRPr="00E73F6F">
              <w:rPr>
                <w:lang w:val="de-DE"/>
              </w:rPr>
              <w:t>wie</w:t>
            </w:r>
            <w:r w:rsidRPr="00E73F6F">
              <w:rPr>
                <w:spacing w:val="-5"/>
                <w:lang w:val="de-DE"/>
              </w:rPr>
              <w:t xml:space="preserve"> </w:t>
            </w:r>
            <w:r w:rsidRPr="00E73F6F">
              <w:rPr>
                <w:lang w:val="de-DE"/>
              </w:rPr>
              <w:t>Barrabatt</w:t>
            </w:r>
          </w:p>
        </w:tc>
        <w:tc>
          <w:tcPr>
            <w:tcW w:w="1511" w:type="pct"/>
          </w:tcPr>
          <w:p w14:paraId="03D79507" w14:textId="77777777" w:rsidR="00FF7799" w:rsidRPr="00E73F6F" w:rsidRDefault="00FF7799" w:rsidP="002251EC">
            <w:pPr>
              <w:pStyle w:val="StandardText"/>
              <w:jc w:val="left"/>
              <w:rPr>
                <w:lang w:val="de-DE"/>
              </w:rPr>
            </w:pPr>
            <w:r w:rsidRPr="00E73F6F">
              <w:rPr>
                <w:lang w:val="de-DE"/>
              </w:rPr>
              <w:t>Zulässig</w:t>
            </w:r>
            <w:r w:rsidRPr="00E73F6F">
              <w:rPr>
                <w:spacing w:val="-3"/>
                <w:lang w:val="de-DE"/>
              </w:rPr>
              <w:t xml:space="preserve"> </w:t>
            </w:r>
            <w:r w:rsidRPr="00E73F6F">
              <w:rPr>
                <w:lang w:val="de-DE"/>
              </w:rPr>
              <w:t>unter</w:t>
            </w:r>
            <w:r w:rsidRPr="00E73F6F">
              <w:rPr>
                <w:spacing w:val="40"/>
                <w:lang w:val="de-DE"/>
              </w:rPr>
              <w:t xml:space="preserve"> </w:t>
            </w:r>
            <w:r w:rsidRPr="00E73F6F">
              <w:rPr>
                <w:spacing w:val="-2"/>
                <w:lang w:val="de-DE"/>
              </w:rPr>
              <w:t>denselben</w:t>
            </w:r>
            <w:r w:rsidRPr="00E73F6F">
              <w:rPr>
                <w:spacing w:val="40"/>
                <w:lang w:val="de-DE"/>
              </w:rPr>
              <w:t xml:space="preserve"> </w:t>
            </w:r>
            <w:r w:rsidRPr="00E73F6F">
              <w:rPr>
                <w:lang w:val="de-DE"/>
              </w:rPr>
              <w:t>Bedingungen</w:t>
            </w:r>
            <w:r w:rsidRPr="00E73F6F">
              <w:rPr>
                <w:spacing w:val="-10"/>
                <w:lang w:val="de-DE"/>
              </w:rPr>
              <w:t xml:space="preserve"> </w:t>
            </w:r>
            <w:r w:rsidRPr="00E73F6F">
              <w:rPr>
                <w:lang w:val="de-DE"/>
              </w:rPr>
              <w:t>wie</w:t>
            </w:r>
            <w:r w:rsidRPr="00E73F6F">
              <w:rPr>
                <w:spacing w:val="40"/>
                <w:lang w:val="de-DE"/>
              </w:rPr>
              <w:t xml:space="preserve"> </w:t>
            </w:r>
            <w:r w:rsidRPr="00E73F6F">
              <w:rPr>
                <w:spacing w:val="-2"/>
                <w:lang w:val="de-DE"/>
              </w:rPr>
              <w:t>Barrabatt</w:t>
            </w:r>
          </w:p>
        </w:tc>
      </w:tr>
      <w:tr w:rsidR="00FF7799" w:rsidRPr="00E73F6F" w14:paraId="372B859A" w14:textId="77777777" w:rsidTr="002251EC">
        <w:trPr>
          <w:trHeight w:val="285"/>
        </w:trPr>
        <w:tc>
          <w:tcPr>
            <w:tcW w:w="467" w:type="pct"/>
          </w:tcPr>
          <w:p w14:paraId="52C8835E" w14:textId="77777777" w:rsidR="00FF7799" w:rsidRPr="00E73F6F" w:rsidRDefault="00FF7799" w:rsidP="00E94FD0">
            <w:pPr>
              <w:pStyle w:val="StandardText"/>
              <w:rPr>
                <w:lang w:val="de-DE"/>
              </w:rPr>
            </w:pPr>
            <w:r w:rsidRPr="00E73F6F">
              <w:rPr>
                <w:spacing w:val="-5"/>
                <w:lang w:val="de-DE"/>
              </w:rPr>
              <w:t>SP</w:t>
            </w:r>
          </w:p>
        </w:tc>
        <w:tc>
          <w:tcPr>
            <w:tcW w:w="4533" w:type="pct"/>
            <w:gridSpan w:val="3"/>
          </w:tcPr>
          <w:p w14:paraId="71647D65" w14:textId="77777777" w:rsidR="00FF7799" w:rsidRPr="00E73F6F" w:rsidRDefault="00FF7799" w:rsidP="002251EC">
            <w:pPr>
              <w:pStyle w:val="StandardText"/>
              <w:jc w:val="left"/>
              <w:rPr>
                <w:lang w:val="de-DE"/>
              </w:rPr>
            </w:pPr>
            <w:r w:rsidRPr="00E73F6F">
              <w:rPr>
                <w:lang w:val="de-DE"/>
              </w:rPr>
              <w:t>Keine</w:t>
            </w:r>
            <w:r w:rsidRPr="00E73F6F">
              <w:rPr>
                <w:spacing w:val="-2"/>
                <w:lang w:val="de-DE"/>
              </w:rPr>
              <w:t xml:space="preserve"> Vorschriften</w:t>
            </w:r>
          </w:p>
        </w:tc>
      </w:tr>
    </w:tbl>
    <w:p w14:paraId="1BB12CCE" w14:textId="77777777" w:rsidR="00FF7799" w:rsidRPr="00E73F6F" w:rsidRDefault="00FF7799" w:rsidP="00E94FD0">
      <w:pPr>
        <w:pStyle w:val="Quellen"/>
      </w:pPr>
      <w:r w:rsidRPr="00E73F6F">
        <w:t>Quelle:</w:t>
      </w:r>
      <w:r w:rsidRPr="00E73F6F">
        <w:tab/>
        <w:t>Bergevin</w:t>
      </w:r>
      <w:r w:rsidRPr="00E73F6F">
        <w:rPr>
          <w:spacing w:val="-4"/>
        </w:rPr>
        <w:t xml:space="preserve"> </w:t>
      </w:r>
      <w:r w:rsidRPr="00E73F6F">
        <w:t>(1998).</w:t>
      </w:r>
    </w:p>
    <w:p w14:paraId="045FF4F9" w14:textId="77777777" w:rsidR="000D74BB" w:rsidRDefault="000D74BB" w:rsidP="00B61F55">
      <w:pPr>
        <w:pStyle w:val="StandardText"/>
        <w:rPr>
          <w:b/>
          <w:i/>
          <w:sz w:val="22"/>
          <w:szCs w:val="22"/>
        </w:rPr>
      </w:pPr>
    </w:p>
    <w:p w14:paraId="524CF7EE" w14:textId="7DBADA91" w:rsidR="00FF7799" w:rsidRPr="004C56ED" w:rsidRDefault="00FF7799" w:rsidP="00B61F55">
      <w:pPr>
        <w:pStyle w:val="StandardText"/>
        <w:rPr>
          <w:sz w:val="22"/>
          <w:szCs w:val="22"/>
        </w:rPr>
      </w:pPr>
      <w:r w:rsidRPr="004C56ED">
        <w:rPr>
          <w:b/>
          <w:i/>
          <w:sz w:val="22"/>
          <w:szCs w:val="22"/>
        </w:rPr>
        <w:t>Literatur</w:t>
      </w:r>
      <w:r w:rsidRPr="004C56ED">
        <w:rPr>
          <w:i/>
          <w:sz w:val="22"/>
          <w:szCs w:val="22"/>
        </w:rPr>
        <w:t>:</w:t>
      </w:r>
      <w:r w:rsidRPr="004C56ED">
        <w:rPr>
          <w:sz w:val="22"/>
          <w:szCs w:val="22"/>
        </w:rPr>
        <w:t xml:space="preserve"> Bergevin, J. (1998): Die Rabattvorschriften in den einzelnen Mitgliedsstaaten,</w:t>
      </w:r>
      <w:r w:rsidRPr="004C56ED">
        <w:rPr>
          <w:spacing w:val="40"/>
          <w:sz w:val="22"/>
          <w:szCs w:val="22"/>
        </w:rPr>
        <w:t xml:space="preserve"> </w:t>
      </w:r>
      <w:r w:rsidRPr="004C56ED">
        <w:rPr>
          <w:sz w:val="22"/>
          <w:szCs w:val="22"/>
        </w:rPr>
        <w:t>Kommerzielle</w:t>
      </w:r>
      <w:r w:rsidRPr="004C56ED">
        <w:rPr>
          <w:spacing w:val="-10"/>
          <w:sz w:val="22"/>
          <w:szCs w:val="22"/>
        </w:rPr>
        <w:t xml:space="preserve"> </w:t>
      </w:r>
      <w:r w:rsidRPr="004C56ED">
        <w:rPr>
          <w:sz w:val="22"/>
          <w:szCs w:val="22"/>
        </w:rPr>
        <w:t>Kommunikation,</w:t>
      </w:r>
      <w:r w:rsidRPr="004C56ED">
        <w:rPr>
          <w:spacing w:val="-10"/>
          <w:sz w:val="22"/>
          <w:szCs w:val="22"/>
        </w:rPr>
        <w:t xml:space="preserve"> </w:t>
      </w:r>
      <w:r w:rsidRPr="004C56ED">
        <w:rPr>
          <w:sz w:val="22"/>
          <w:szCs w:val="22"/>
        </w:rPr>
        <w:t>o.Jg.,</w:t>
      </w:r>
      <w:r w:rsidRPr="004C56ED">
        <w:rPr>
          <w:spacing w:val="-10"/>
          <w:sz w:val="22"/>
          <w:szCs w:val="22"/>
        </w:rPr>
        <w:t xml:space="preserve"> </w:t>
      </w:r>
      <w:r w:rsidRPr="004C56ED">
        <w:rPr>
          <w:sz w:val="22"/>
          <w:szCs w:val="22"/>
        </w:rPr>
        <w:t>14.</w:t>
      </w:r>
      <w:r w:rsidRPr="004C56ED">
        <w:rPr>
          <w:spacing w:val="40"/>
          <w:sz w:val="22"/>
          <w:szCs w:val="22"/>
        </w:rPr>
        <w:t xml:space="preserve"> </w:t>
      </w:r>
      <w:r w:rsidRPr="004C56ED">
        <w:rPr>
          <w:sz w:val="22"/>
          <w:szCs w:val="22"/>
        </w:rPr>
        <w:t>Büschemann,</w:t>
      </w:r>
      <w:r w:rsidRPr="004C56ED">
        <w:rPr>
          <w:spacing w:val="-10"/>
          <w:sz w:val="22"/>
          <w:szCs w:val="22"/>
        </w:rPr>
        <w:t xml:space="preserve"> </w:t>
      </w:r>
      <w:r w:rsidRPr="004C56ED">
        <w:rPr>
          <w:sz w:val="22"/>
          <w:szCs w:val="22"/>
        </w:rPr>
        <w:t>K.-H.</w:t>
      </w:r>
      <w:r w:rsidRPr="004C56ED">
        <w:rPr>
          <w:spacing w:val="-8"/>
          <w:sz w:val="22"/>
          <w:szCs w:val="22"/>
        </w:rPr>
        <w:t xml:space="preserve"> </w:t>
      </w:r>
      <w:r w:rsidRPr="004C56ED">
        <w:rPr>
          <w:sz w:val="22"/>
          <w:szCs w:val="22"/>
        </w:rPr>
        <w:t>(1999):</w:t>
      </w:r>
      <w:r w:rsidRPr="004C56ED">
        <w:rPr>
          <w:spacing w:val="-8"/>
          <w:sz w:val="22"/>
          <w:szCs w:val="22"/>
        </w:rPr>
        <w:t xml:space="preserve"> </w:t>
      </w:r>
      <w:r w:rsidRPr="004C56ED">
        <w:rPr>
          <w:sz w:val="22"/>
          <w:szCs w:val="22"/>
        </w:rPr>
        <w:t>Viele</w:t>
      </w:r>
      <w:r w:rsidRPr="004C56ED">
        <w:rPr>
          <w:spacing w:val="-10"/>
          <w:sz w:val="22"/>
          <w:szCs w:val="22"/>
        </w:rPr>
        <w:t xml:space="preserve"> </w:t>
      </w:r>
      <w:r w:rsidRPr="004C56ED">
        <w:rPr>
          <w:sz w:val="22"/>
          <w:szCs w:val="22"/>
        </w:rPr>
        <w:t>Preise</w:t>
      </w:r>
      <w:r w:rsidRPr="004C56ED">
        <w:rPr>
          <w:spacing w:val="-10"/>
          <w:sz w:val="22"/>
          <w:szCs w:val="22"/>
        </w:rPr>
        <w:t xml:space="preserve"> </w:t>
      </w:r>
      <w:r w:rsidRPr="004C56ED">
        <w:rPr>
          <w:sz w:val="22"/>
          <w:szCs w:val="22"/>
        </w:rPr>
        <w:t>für</w:t>
      </w:r>
      <w:r w:rsidRPr="004C56ED">
        <w:rPr>
          <w:spacing w:val="-10"/>
          <w:sz w:val="22"/>
          <w:szCs w:val="22"/>
        </w:rPr>
        <w:t xml:space="preserve"> </w:t>
      </w:r>
      <w:r w:rsidRPr="004C56ED">
        <w:rPr>
          <w:sz w:val="22"/>
          <w:szCs w:val="22"/>
        </w:rPr>
        <w:t>einen</w:t>
      </w:r>
      <w:r w:rsidRPr="004C56ED">
        <w:rPr>
          <w:spacing w:val="40"/>
          <w:sz w:val="22"/>
          <w:szCs w:val="22"/>
        </w:rPr>
        <w:t xml:space="preserve"> </w:t>
      </w:r>
      <w:r w:rsidRPr="004C56ED">
        <w:rPr>
          <w:sz w:val="22"/>
          <w:szCs w:val="22"/>
        </w:rPr>
        <w:t>Mercedes,</w:t>
      </w:r>
      <w:r w:rsidRPr="004C56ED">
        <w:rPr>
          <w:spacing w:val="-7"/>
          <w:sz w:val="22"/>
          <w:szCs w:val="22"/>
        </w:rPr>
        <w:t xml:space="preserve"> </w:t>
      </w:r>
      <w:r w:rsidRPr="004C56ED">
        <w:rPr>
          <w:sz w:val="22"/>
          <w:szCs w:val="22"/>
        </w:rPr>
        <w:t>Sächsische</w:t>
      </w:r>
      <w:r w:rsidRPr="004C56ED">
        <w:rPr>
          <w:spacing w:val="-7"/>
          <w:sz w:val="22"/>
          <w:szCs w:val="22"/>
        </w:rPr>
        <w:t xml:space="preserve"> </w:t>
      </w:r>
      <w:r w:rsidRPr="004C56ED">
        <w:rPr>
          <w:sz w:val="22"/>
          <w:szCs w:val="22"/>
        </w:rPr>
        <w:t>Zeitung,</w:t>
      </w:r>
      <w:r w:rsidRPr="004C56ED">
        <w:rPr>
          <w:spacing w:val="-7"/>
          <w:sz w:val="22"/>
          <w:szCs w:val="22"/>
        </w:rPr>
        <w:t xml:space="preserve"> </w:t>
      </w:r>
      <w:r w:rsidRPr="004C56ED">
        <w:rPr>
          <w:sz w:val="22"/>
          <w:szCs w:val="22"/>
        </w:rPr>
        <w:t>173</w:t>
      </w:r>
      <w:r w:rsidRPr="004C56ED">
        <w:rPr>
          <w:spacing w:val="-6"/>
          <w:sz w:val="22"/>
          <w:szCs w:val="22"/>
        </w:rPr>
        <w:t xml:space="preserve"> </w:t>
      </w:r>
      <w:r w:rsidRPr="004C56ED">
        <w:rPr>
          <w:sz w:val="22"/>
          <w:szCs w:val="22"/>
        </w:rPr>
        <w:t>(30.07.1999):</w:t>
      </w:r>
      <w:r w:rsidRPr="004C56ED">
        <w:rPr>
          <w:spacing w:val="-7"/>
          <w:sz w:val="22"/>
          <w:szCs w:val="22"/>
        </w:rPr>
        <w:t xml:space="preserve"> </w:t>
      </w:r>
      <w:r w:rsidRPr="004C56ED">
        <w:rPr>
          <w:sz w:val="22"/>
          <w:szCs w:val="22"/>
        </w:rPr>
        <w:t>2.</w:t>
      </w:r>
      <w:r w:rsidRPr="004C56ED">
        <w:rPr>
          <w:spacing w:val="40"/>
          <w:sz w:val="22"/>
          <w:szCs w:val="22"/>
        </w:rPr>
        <w:t xml:space="preserve"> </w:t>
      </w:r>
      <w:r w:rsidRPr="004C56ED">
        <w:rPr>
          <w:sz w:val="22"/>
          <w:szCs w:val="22"/>
        </w:rPr>
        <w:t>Diller,</w:t>
      </w:r>
      <w:r w:rsidRPr="004C56ED">
        <w:rPr>
          <w:spacing w:val="-5"/>
          <w:sz w:val="22"/>
          <w:szCs w:val="22"/>
        </w:rPr>
        <w:t xml:space="preserve"> </w:t>
      </w:r>
      <w:r w:rsidRPr="004C56ED">
        <w:rPr>
          <w:sz w:val="22"/>
          <w:szCs w:val="22"/>
        </w:rPr>
        <w:t>H.</w:t>
      </w:r>
      <w:r w:rsidRPr="004C56ED">
        <w:rPr>
          <w:spacing w:val="-4"/>
          <w:sz w:val="22"/>
          <w:szCs w:val="22"/>
        </w:rPr>
        <w:t xml:space="preserve"> </w:t>
      </w:r>
      <w:r w:rsidRPr="004C56ED">
        <w:rPr>
          <w:sz w:val="22"/>
          <w:szCs w:val="22"/>
        </w:rPr>
        <w:t>(2008):</w:t>
      </w:r>
      <w:r w:rsidRPr="004C56ED">
        <w:rPr>
          <w:spacing w:val="-7"/>
          <w:sz w:val="22"/>
          <w:szCs w:val="22"/>
        </w:rPr>
        <w:t xml:space="preserve"> </w:t>
      </w:r>
      <w:r w:rsidRPr="004C56ED">
        <w:rPr>
          <w:sz w:val="22"/>
          <w:szCs w:val="22"/>
        </w:rPr>
        <w:t>Preispolitik,</w:t>
      </w:r>
      <w:r w:rsidRPr="004C56ED">
        <w:rPr>
          <w:spacing w:val="-8"/>
          <w:sz w:val="22"/>
          <w:szCs w:val="22"/>
        </w:rPr>
        <w:t xml:space="preserve"> </w:t>
      </w:r>
      <w:r w:rsidRPr="004C56ED">
        <w:rPr>
          <w:sz w:val="22"/>
          <w:szCs w:val="22"/>
        </w:rPr>
        <w:t>4.Aufl.,</w:t>
      </w:r>
      <w:r w:rsidRPr="004C56ED">
        <w:rPr>
          <w:spacing w:val="40"/>
          <w:sz w:val="22"/>
          <w:szCs w:val="22"/>
        </w:rPr>
        <w:t xml:space="preserve"> </w:t>
      </w:r>
      <w:r w:rsidRPr="004C56ED">
        <w:rPr>
          <w:sz w:val="22"/>
          <w:szCs w:val="22"/>
        </w:rPr>
        <w:t>Stuttgart: Kohlhammer.</w:t>
      </w:r>
      <w:r w:rsidRPr="004C56ED">
        <w:rPr>
          <w:spacing w:val="40"/>
          <w:sz w:val="22"/>
          <w:szCs w:val="22"/>
        </w:rPr>
        <w:t xml:space="preserve"> </w:t>
      </w:r>
      <w:r w:rsidRPr="004C56ED">
        <w:rPr>
          <w:sz w:val="22"/>
          <w:szCs w:val="22"/>
        </w:rPr>
        <w:t>Graf von Bernstorff, C. (2008): Risikomanagement im</w:t>
      </w:r>
      <w:r w:rsidRPr="004C56ED">
        <w:rPr>
          <w:spacing w:val="40"/>
          <w:sz w:val="22"/>
          <w:szCs w:val="22"/>
        </w:rPr>
        <w:t xml:space="preserve"> </w:t>
      </w:r>
      <w:r w:rsidRPr="004C56ED">
        <w:rPr>
          <w:sz w:val="22"/>
          <w:szCs w:val="22"/>
        </w:rPr>
        <w:t>Auslandsgeschäft,</w:t>
      </w:r>
      <w:r w:rsidRPr="004C56ED">
        <w:rPr>
          <w:spacing w:val="-1"/>
          <w:sz w:val="22"/>
          <w:szCs w:val="22"/>
        </w:rPr>
        <w:t xml:space="preserve"> </w:t>
      </w:r>
      <w:r w:rsidRPr="004C56ED">
        <w:rPr>
          <w:sz w:val="22"/>
          <w:szCs w:val="22"/>
        </w:rPr>
        <w:t>4.Aufl.; Frankfurt/Main:</w:t>
      </w:r>
      <w:r w:rsidRPr="004C56ED">
        <w:rPr>
          <w:spacing w:val="-1"/>
          <w:sz w:val="22"/>
          <w:szCs w:val="22"/>
        </w:rPr>
        <w:t xml:space="preserve"> </w:t>
      </w:r>
      <w:r w:rsidRPr="004C56ED">
        <w:rPr>
          <w:sz w:val="22"/>
          <w:szCs w:val="22"/>
        </w:rPr>
        <w:t>Knapp.</w:t>
      </w:r>
      <w:r w:rsidRPr="004C56ED">
        <w:rPr>
          <w:spacing w:val="80"/>
          <w:sz w:val="22"/>
          <w:szCs w:val="22"/>
        </w:rPr>
        <w:t xml:space="preserve"> </w:t>
      </w:r>
      <w:r w:rsidRPr="004C56ED">
        <w:rPr>
          <w:sz w:val="22"/>
          <w:szCs w:val="22"/>
        </w:rPr>
        <w:t>Leach, B. (1999): Arbitrageure setzen</w:t>
      </w:r>
      <w:r w:rsidRPr="004C56ED">
        <w:rPr>
          <w:spacing w:val="40"/>
          <w:sz w:val="22"/>
          <w:szCs w:val="22"/>
        </w:rPr>
        <w:t xml:space="preserve"> </w:t>
      </w:r>
      <w:r w:rsidRPr="004C56ED">
        <w:rPr>
          <w:sz w:val="22"/>
          <w:szCs w:val="22"/>
        </w:rPr>
        <w:t>den Hebel an, LebensmittelZeitung, 38 (24.09.1999): 56-58.</w:t>
      </w:r>
      <w:r w:rsidRPr="004C56ED">
        <w:rPr>
          <w:spacing w:val="80"/>
          <w:sz w:val="22"/>
          <w:szCs w:val="22"/>
        </w:rPr>
        <w:t xml:space="preserve"> </w:t>
      </w:r>
      <w:r w:rsidRPr="004C56ED">
        <w:rPr>
          <w:sz w:val="22"/>
          <w:szCs w:val="22"/>
        </w:rPr>
        <w:t>Müller, S.; Gelbrich, K.</w:t>
      </w:r>
      <w:r w:rsidRPr="004C56ED">
        <w:rPr>
          <w:spacing w:val="40"/>
          <w:sz w:val="22"/>
          <w:szCs w:val="22"/>
        </w:rPr>
        <w:t xml:space="preserve"> </w:t>
      </w:r>
      <w:r w:rsidRPr="004C56ED">
        <w:rPr>
          <w:sz w:val="22"/>
          <w:szCs w:val="22"/>
        </w:rPr>
        <w:t>(2015): Interkulturelles Marketing, 2.Aufl., München: Vahlen.</w:t>
      </w:r>
    </w:p>
    <w:p w14:paraId="6DD04CEF" w14:textId="77777777" w:rsidR="00FF7799" w:rsidRPr="00E73F6F" w:rsidRDefault="00FF7799" w:rsidP="00B61F55">
      <w:pPr>
        <w:pStyle w:val="StandardText"/>
      </w:pPr>
    </w:p>
    <w:p w14:paraId="6B24671B" w14:textId="77777777" w:rsidR="00FF7799" w:rsidRPr="00E73F6F" w:rsidRDefault="00FF7799" w:rsidP="007B4146">
      <w:pPr>
        <w:pStyle w:val="berschrift1"/>
      </w:pPr>
      <w:r w:rsidRPr="002E3E4F">
        <w:rPr>
          <w:color w:val="2E74B5"/>
        </w:rPr>
        <w:t xml:space="preserve">Preiskorridor </w:t>
      </w:r>
      <w:r w:rsidRPr="00E73F6F">
        <w:rPr>
          <w:b w:val="0"/>
        </w:rPr>
        <w:t>→</w:t>
      </w:r>
      <w:r w:rsidRPr="00E73F6F">
        <w:rPr>
          <w:b w:val="0"/>
          <w:spacing w:val="-5"/>
        </w:rPr>
        <w:t xml:space="preserve"> </w:t>
      </w:r>
      <w:r w:rsidRPr="00E73F6F">
        <w:rPr>
          <w:b w:val="0"/>
        </w:rPr>
        <w:t>Arbitrage-</w:t>
      </w:r>
      <w:r w:rsidRPr="00E73F6F">
        <w:rPr>
          <w:b w:val="0"/>
          <w:spacing w:val="-2"/>
        </w:rPr>
        <w:t>Handel</w:t>
      </w:r>
    </w:p>
    <w:p w14:paraId="1D95057E" w14:textId="77777777" w:rsidR="00677BB9" w:rsidRPr="000D74BB" w:rsidRDefault="00677BB9" w:rsidP="00677BB9">
      <w:pPr>
        <w:keepNext/>
        <w:keepLines/>
        <w:spacing w:before="240"/>
        <w:jc w:val="both"/>
        <w:outlineLvl w:val="1"/>
        <w:rPr>
          <w:b/>
          <w:bCs/>
          <w:color w:val="2E74B5"/>
          <w:sz w:val="24"/>
        </w:rPr>
      </w:pPr>
      <w:r w:rsidRPr="000D74BB">
        <w:rPr>
          <w:b/>
          <w:bCs/>
          <w:color w:val="2E74B5"/>
          <w:sz w:val="24"/>
        </w:rPr>
        <w:t>Product Placement</w:t>
      </w:r>
    </w:p>
    <w:p w14:paraId="6ED9F758" w14:textId="77777777" w:rsidR="000D74BB" w:rsidRDefault="000D74BB" w:rsidP="00677BB9">
      <w:pPr>
        <w:jc w:val="both"/>
        <w:rPr>
          <w:szCs w:val="24"/>
          <w:lang w:bidi="en-US"/>
        </w:rPr>
      </w:pPr>
    </w:p>
    <w:p w14:paraId="208A3E93" w14:textId="50191F7E" w:rsidR="00677BB9" w:rsidRDefault="00677BB9" w:rsidP="00677BB9">
      <w:pPr>
        <w:jc w:val="both"/>
        <w:rPr>
          <w:szCs w:val="24"/>
          <w:lang w:bidi="en-US"/>
        </w:rPr>
      </w:pPr>
      <w:r w:rsidRPr="007F69DA">
        <w:rPr>
          <w:szCs w:val="24"/>
          <w:lang w:bidi="en-US"/>
        </w:rPr>
        <w:t>1. Grundlagen</w:t>
      </w:r>
    </w:p>
    <w:p w14:paraId="298D5B67" w14:textId="77777777" w:rsidR="00677BB9" w:rsidRPr="00677BB9" w:rsidRDefault="00677BB9" w:rsidP="00677BB9">
      <w:pPr>
        <w:jc w:val="both"/>
        <w:rPr>
          <w:szCs w:val="24"/>
          <w:lang w:bidi="en-US"/>
        </w:rPr>
      </w:pPr>
    </w:p>
    <w:p w14:paraId="728F4106" w14:textId="77777777" w:rsidR="00677BB9" w:rsidRPr="007F69DA" w:rsidRDefault="00677BB9" w:rsidP="00677BB9">
      <w:pPr>
        <w:jc w:val="both"/>
        <w:rPr>
          <w:szCs w:val="24"/>
          <w:lang w:bidi="en-US"/>
        </w:rPr>
      </w:pPr>
      <w:r w:rsidRPr="007F69DA">
        <w:rPr>
          <w:szCs w:val="24"/>
          <w:lang w:bidi="en-US"/>
        </w:rPr>
        <w:t>Ist der BMW Roadster Z3, mit dessen Hilfe James Bond Verbrecher jagte, eine ganz normale Requisite, weil der Geheimagent Ihrer Majestät nun einmal nicht auf einem Fahrrad die Welt retten kann? Oder hat BMW dafür bezahlt, dass das blau-weiße Markenlogo ausführlich und publikumswirksam in Golden Eye und anderen Bond-Filmen zu sehen ist? Da Produktplatzierung von den meisten Zuschauern nicht als kommerzielle Werbung wahrgenommen wird, gilt sie angesichts der weit verbreiten Ablehnung von Werbung als ein besonders wirksames Instrument der betrieblichen Kommunikationspolitik. Zu den spektakulären Erfolgsgeschichten zählt Reese’s Pieces Candy. Dank der Platzierung in dem Film E.T. konnte der Umsatz mit diesem Riegel mit Erdnussgeschmack im Beobachtungszeitraum um 65% gesteigert werden (vgl. Balasubramanian et al. 2006).</w:t>
      </w:r>
    </w:p>
    <w:p w14:paraId="7CBE8926" w14:textId="77777777" w:rsidR="00677BB9" w:rsidRPr="007F69DA" w:rsidRDefault="00677BB9" w:rsidP="00677BB9">
      <w:pPr>
        <w:jc w:val="both"/>
        <w:rPr>
          <w:szCs w:val="24"/>
          <w:lang w:bidi="en-US"/>
        </w:rPr>
      </w:pPr>
    </w:p>
    <w:p w14:paraId="34A06E51" w14:textId="77777777" w:rsidR="00677BB9" w:rsidRPr="007F69DA" w:rsidRDefault="00677BB9" w:rsidP="00677BB9">
      <w:pPr>
        <w:jc w:val="both"/>
        <w:rPr>
          <w:szCs w:val="24"/>
          <w:lang w:bidi="en-US"/>
        </w:rPr>
      </w:pPr>
      <w:r w:rsidRPr="007F69DA">
        <w:rPr>
          <w:szCs w:val="24"/>
          <w:lang w:bidi="en-US"/>
        </w:rPr>
        <w:t>Über derartige Einzelbeobachtungen hinausgehend belegen verschiedene systematische Erfolgskontrollen die Wirksamkeit dieser Werbestrategie:</w:t>
      </w:r>
    </w:p>
    <w:p w14:paraId="09B4E87B" w14:textId="77777777" w:rsidR="00677BB9" w:rsidRPr="007F69DA" w:rsidRDefault="00677BB9" w:rsidP="000D74BB">
      <w:pPr>
        <w:widowControl/>
        <w:numPr>
          <w:ilvl w:val="0"/>
          <w:numId w:val="73"/>
        </w:numPr>
        <w:autoSpaceDE/>
        <w:autoSpaceDN/>
        <w:ind w:left="426" w:right="-851"/>
        <w:contextualSpacing/>
        <w:jc w:val="both"/>
        <w:rPr>
          <w:lang w:bidi="en-US"/>
        </w:rPr>
      </w:pPr>
      <w:r w:rsidRPr="007F69DA">
        <w:rPr>
          <w:lang w:bidi="en-US"/>
        </w:rPr>
        <w:t xml:space="preserve">Die Recall-Werte bekannter Marken lassen sich durch </w:t>
      </w:r>
      <w:proofErr w:type="gramStart"/>
      <w:r w:rsidRPr="007F69DA">
        <w:rPr>
          <w:szCs w:val="24"/>
          <w:lang w:bidi="en-US"/>
        </w:rPr>
        <w:t>Product Placement</w:t>
      </w:r>
      <w:proofErr w:type="gramEnd"/>
      <w:r w:rsidRPr="007F69DA">
        <w:rPr>
          <w:lang w:bidi="en-US"/>
        </w:rPr>
        <w:t xml:space="preserve"> signifikant verbessern, während weniger bekannte Marken davon kaum profitieren (vgl. Brennan/Babin 2004).</w:t>
      </w:r>
    </w:p>
    <w:p w14:paraId="7C475BFF" w14:textId="77777777" w:rsidR="00677BB9" w:rsidRPr="007F69DA" w:rsidRDefault="00677BB9" w:rsidP="000D74BB">
      <w:pPr>
        <w:widowControl/>
        <w:numPr>
          <w:ilvl w:val="0"/>
          <w:numId w:val="73"/>
        </w:numPr>
        <w:autoSpaceDE/>
        <w:autoSpaceDN/>
        <w:ind w:left="426" w:right="-851"/>
        <w:contextualSpacing/>
        <w:jc w:val="both"/>
        <w:rPr>
          <w:lang w:bidi="en-US"/>
        </w:rPr>
      </w:pPr>
      <w:r w:rsidRPr="007F69DA">
        <w:rPr>
          <w:lang w:bidi="en-US"/>
        </w:rPr>
        <w:t>Das Markenbewusstsein von Fernsehzuschauern kann um bis zu 20% gesteigert werden, was u.a. eine Intensivierung der Kaufintention zur Folge hat (vgl. Tsai et al. 2007; Cebrzynski 2006).</w:t>
      </w:r>
    </w:p>
    <w:p w14:paraId="58A13102" w14:textId="77777777" w:rsidR="00677BB9" w:rsidRPr="007F69DA" w:rsidRDefault="00677BB9" w:rsidP="000D74BB">
      <w:pPr>
        <w:widowControl/>
        <w:numPr>
          <w:ilvl w:val="0"/>
          <w:numId w:val="73"/>
        </w:numPr>
        <w:autoSpaceDE/>
        <w:autoSpaceDN/>
        <w:ind w:left="426" w:right="-851"/>
        <w:contextualSpacing/>
        <w:jc w:val="both"/>
        <w:rPr>
          <w:lang w:bidi="en-US"/>
        </w:rPr>
      </w:pPr>
      <w:r w:rsidRPr="007F69DA">
        <w:rPr>
          <w:lang w:bidi="en-US"/>
        </w:rPr>
        <w:t>Die Verkaufszahlen von Cosmopolitan Martini’s stiegen ebenso markant an wie die Verkaufszahlen anderer Produkte, die in Sex and the City platziert wurden (vgl. Russel/Stern 2006).</w:t>
      </w:r>
    </w:p>
    <w:p w14:paraId="3AE1FECE" w14:textId="77777777" w:rsidR="00677BB9" w:rsidRPr="007F69DA" w:rsidRDefault="00677BB9" w:rsidP="00677BB9">
      <w:pPr>
        <w:ind w:left="1004" w:right="-851"/>
        <w:contextualSpacing/>
        <w:jc w:val="both"/>
        <w:rPr>
          <w:lang w:bidi="en-US"/>
        </w:rPr>
      </w:pPr>
    </w:p>
    <w:p w14:paraId="0AF8FFF4" w14:textId="77777777" w:rsidR="00677BB9" w:rsidRPr="007F69DA" w:rsidRDefault="00677BB9" w:rsidP="00677BB9">
      <w:pPr>
        <w:ind w:left="284" w:right="-851"/>
      </w:pPr>
    </w:p>
    <w:p w14:paraId="0D7FE253" w14:textId="77777777" w:rsidR="00677BB9" w:rsidRPr="007F69DA" w:rsidRDefault="00677BB9" w:rsidP="00677BB9">
      <w:pPr>
        <w:jc w:val="both"/>
        <w:rPr>
          <w:szCs w:val="24"/>
          <w:lang w:bidi="en-US"/>
        </w:rPr>
      </w:pPr>
      <w:r w:rsidRPr="007F69DA">
        <w:rPr>
          <w:szCs w:val="24"/>
          <w:lang w:bidi="en-US"/>
        </w:rPr>
        <w:t>2.  Einfluss der Landeskultur</w:t>
      </w:r>
    </w:p>
    <w:p w14:paraId="7E1A43D8" w14:textId="77777777" w:rsidR="00677BB9" w:rsidRPr="007F69DA" w:rsidRDefault="00677BB9" w:rsidP="00677BB9">
      <w:pPr>
        <w:jc w:val="both"/>
        <w:rPr>
          <w:szCs w:val="24"/>
          <w:lang w:bidi="en-US"/>
        </w:rPr>
      </w:pPr>
      <w:r w:rsidRPr="007F69DA">
        <w:rPr>
          <w:szCs w:val="24"/>
          <w:lang w:bidi="en-US"/>
        </w:rPr>
        <w:t xml:space="preserve">Auf die Frage, ob Produktplatzierung kulturübergreifend akzeptiert wird, lässt sich keine einfache Antwort geben. Wie Eisend (2009) aufgezeigt hat, ist die Akzeptanz des Produkts, das auf diese Weise </w:t>
      </w:r>
      <w:r w:rsidRPr="007F69DA">
        <w:rPr>
          <w:szCs w:val="24"/>
          <w:lang w:bidi="en-US"/>
        </w:rPr>
        <w:lastRenderedPageBreak/>
        <w:t>beworben wird, der entscheidende Moderator. Werden ethisch kontrovers beurteilte Produkte (z.B. alkoholische Getränke, Verhütungsmittel, Zigaretten) in einem Film gezeigt, reagieren weltweit die meisten Konsumenten darauf „indifferent“. Die Platzierung ethisch unproblematischer Produkte wird hingegen überall akzeptiert wird, wenn auch in von Land zu Land unterschiedlicher Intensität.</w:t>
      </w:r>
    </w:p>
    <w:p w14:paraId="50A9B06D" w14:textId="77777777" w:rsidR="00677BB9" w:rsidRPr="007F69DA" w:rsidRDefault="00677BB9" w:rsidP="00677BB9">
      <w:pPr>
        <w:jc w:val="both"/>
        <w:rPr>
          <w:szCs w:val="24"/>
          <w:lang w:bidi="en-US"/>
        </w:rPr>
      </w:pPr>
    </w:p>
    <w:p w14:paraId="18E22249" w14:textId="77777777" w:rsidR="00677BB9" w:rsidRPr="007F69DA" w:rsidRDefault="00677BB9" w:rsidP="00677BB9">
      <w:pPr>
        <w:jc w:val="both"/>
        <w:rPr>
          <w:szCs w:val="24"/>
          <w:lang w:bidi="en-US"/>
        </w:rPr>
      </w:pPr>
      <w:r w:rsidRPr="007F69DA">
        <w:rPr>
          <w:szCs w:val="24"/>
          <w:lang w:bidi="en-US"/>
        </w:rPr>
        <w:t>Abgesehen von dieser Studie liegen nur wenige und überdies weder theoretisch noch empirisch überzeugende kulturvergleichende Untersuchungen zu diesem Themenkomplex vor. Tews/Halliburton (2013) erhoben in einer Online-Umfrage die Ansichten von 338 Probanden aus drei Ländern. Dabei äußerten die befragten Mexikaner als Repräsentanten des kollektivistischen Kulturtyps (IDV = 30) mehr ethische Bedenken (z.B. „Irreführung der Zuschauer durch Produktplatzierung“) als Deutsche (IDV = 67) und Briten (IDV = 89). Ähnliches berichten Karrh et al. (2001). In ihrer Studie vertraten 97 Studenten aus Singapur (IDV = 20) die kollektivistische Kultur. Sie stimmten u.a. der Aussage „It is unethical for movie producers to attempt to influence the audience by including brand-name products in their movies” signifikant stärker zu als 97 Studenten aus den USA, welche in dieser Untersuchung die individualistische Kultur repräsentierten (IDV = 91). Vergleichbare Einstellungsunterschiede bestehen zwischen chinesischen (IDV = 15) und amerikanischen Studenten (vgl. McKechnie/Zhou 2003).</w:t>
      </w:r>
    </w:p>
    <w:p w14:paraId="364A1872" w14:textId="77777777" w:rsidR="00677BB9" w:rsidRPr="007F69DA" w:rsidRDefault="00677BB9" w:rsidP="00677BB9">
      <w:pPr>
        <w:jc w:val="both"/>
        <w:rPr>
          <w:szCs w:val="24"/>
          <w:lang w:bidi="en-US"/>
        </w:rPr>
      </w:pPr>
    </w:p>
    <w:p w14:paraId="5398A3A8" w14:textId="77777777" w:rsidR="00677BB9" w:rsidRPr="007F69DA" w:rsidRDefault="00677BB9" w:rsidP="00677BB9">
      <w:pPr>
        <w:jc w:val="both"/>
        <w:rPr>
          <w:szCs w:val="24"/>
          <w:lang w:bidi="en-US"/>
        </w:rPr>
      </w:pPr>
      <w:r w:rsidRPr="007F69DA">
        <w:rPr>
          <w:szCs w:val="24"/>
          <w:lang w:bidi="en-US"/>
        </w:rPr>
        <w:t>Lee et al. (2011) verglichen in einer Online-Umfrage die einschlägigen Einstellungen von 471 Studenten aus Südkorea (IDV = 18) und den USA. Ein weiteres Mal zeigten sich die Kollektivisten wesentlich besorgter als die Individualisten und forderten mehr staatliche Regulierung, während es amerikanischen Probanden wichtiger war, dass Produktplatzierung geeignet ist, den Realitätsgrad von Filmen und anderen Kulturerzeugnissen zu stärken.</w:t>
      </w:r>
    </w:p>
    <w:p w14:paraId="21CB407F" w14:textId="77777777" w:rsidR="00677BB9" w:rsidRPr="007F69DA" w:rsidRDefault="00677BB9" w:rsidP="00677BB9">
      <w:pPr>
        <w:jc w:val="both"/>
        <w:rPr>
          <w:szCs w:val="24"/>
          <w:lang w:bidi="en-US"/>
        </w:rPr>
      </w:pPr>
    </w:p>
    <w:p w14:paraId="0D760129" w14:textId="77777777" w:rsidR="00677BB9" w:rsidRPr="00BF04C9" w:rsidRDefault="00677BB9" w:rsidP="000D74BB">
      <w:pPr>
        <w:pStyle w:val="Literatur"/>
        <w:numPr>
          <w:ilvl w:val="0"/>
          <w:numId w:val="0"/>
        </w:numPr>
        <w:spacing w:line="240" w:lineRule="auto"/>
        <w:rPr>
          <w:sz w:val="22"/>
          <w:szCs w:val="22"/>
          <w:lang w:val="en-US"/>
        </w:rPr>
      </w:pPr>
      <w:r w:rsidRPr="000D74BB">
        <w:rPr>
          <w:b/>
          <w:bCs w:val="0"/>
          <w:i/>
          <w:sz w:val="22"/>
          <w:szCs w:val="22"/>
          <w:lang w:val="en-US"/>
        </w:rPr>
        <w:t>Literatur:</w:t>
      </w:r>
      <w:r w:rsidRPr="00BF04C9">
        <w:rPr>
          <w:sz w:val="22"/>
          <w:szCs w:val="22"/>
          <w:lang w:val="en-US"/>
        </w:rPr>
        <w:t xml:space="preserve"> Balasubramanian, S.K.; Karrh, J.A.; Patwardhan, H. (2006): Audience Response to Product Placements. An Integrative Framework and Future Research Agenda, Journal of Advertising, 35(3): 115-141.   Brennan, I.; Babin, L.A. (2004): Brand Placement Recognition. The Influence of Presentation Mode and Brand Familiarity, Journal of Promotion Management, 10(1-2): 185-202.   Cebrzynski, G. (2006): Lights! Camera! Product Placement, Nation's Restaurant News, 40(49): 1-5.   Eisend, M. (2009a): A Cross-Cultural Generalizability Study of Consumers' Acceptance of Product Placements in Movies, Journal of Current Issues &amp; Research in Advertising, 31(1): 15-25.   Karrh, J.A.; Frith, K.T.; Callison, C. (2001): Audience Attitudes toward Brand Placement. Singapore and the United States, International Journal of Advertising, 20(1): 3-24.   Lee, T.D., Sung, Y.; de Gregorio, F. (2011): Cross-Cultural Challenges in Product Placement, Marketing Intelligence &amp; Planning, 29(4): 366-384.   McKechnie, S.A.; Zhou, J. (2003): Product Placement in Movies. A Comparison of Chinese and American Consumers' Attitudes, International Journal of Advertising, 22(3): 349-374.   Tews, D.I.C.; Halliburton, C. (2013): Cross-Cultural Differences in Response to Product Placements. A Comparative Study of the UK, Germany and Mexico, </w:t>
      </w:r>
      <w:hyperlink r:id="rId182" w:history="1">
        <w:r w:rsidRPr="00BF04C9">
          <w:rPr>
            <w:rStyle w:val="Hyperlink"/>
            <w:sz w:val="22"/>
            <w:szCs w:val="22"/>
            <w:lang w:val="en-US"/>
          </w:rPr>
          <w:t>www.marketing-trends-congress.com/paper</w:t>
        </w:r>
      </w:hyperlink>
      <w:r w:rsidRPr="00BF04C9">
        <w:rPr>
          <w:sz w:val="22"/>
          <w:szCs w:val="22"/>
          <w:lang w:val="en-US"/>
        </w:rPr>
        <w:t xml:space="preserve">.   Tsai, M.; Liang, W.; Liu, M. (2007): The Effects of Subliminal Advertising on Consumer Attitudes and Buying Intentions, International Journal of Management, 24(1): 3-14. </w:t>
      </w:r>
    </w:p>
    <w:p w14:paraId="03173E24" w14:textId="77777777" w:rsidR="00677BB9" w:rsidRPr="00BF04C9" w:rsidRDefault="00677BB9" w:rsidP="00677BB9">
      <w:pPr>
        <w:rPr>
          <w:bCs/>
          <w:noProof/>
          <w:lang w:val="en-US"/>
        </w:rPr>
      </w:pPr>
    </w:p>
    <w:p w14:paraId="6E94616E" w14:textId="77777777" w:rsidR="00FF7799" w:rsidRPr="00E73F6F" w:rsidRDefault="00FF7799" w:rsidP="007B4146">
      <w:pPr>
        <w:pStyle w:val="berschrift1"/>
      </w:pPr>
      <w:r w:rsidRPr="000D74BB">
        <w:rPr>
          <w:color w:val="2E74B5"/>
        </w:rPr>
        <w:t xml:space="preserve">Produktpiraterie </w:t>
      </w:r>
      <w:r w:rsidRPr="00E73F6F">
        <w:rPr>
          <w:b w:val="0"/>
        </w:rPr>
        <w:t>→ Marken- und Produktpiraterie; → Counterfeiting Intelligence Bureau</w:t>
      </w:r>
    </w:p>
    <w:p w14:paraId="6CFB003E" w14:textId="77777777" w:rsidR="00677BB9" w:rsidRPr="000D74BB" w:rsidRDefault="00677BB9" w:rsidP="00677BB9">
      <w:pPr>
        <w:keepNext/>
        <w:keepLines/>
        <w:spacing w:before="240"/>
        <w:jc w:val="both"/>
        <w:outlineLvl w:val="1"/>
        <w:rPr>
          <w:b/>
          <w:bCs/>
          <w:color w:val="2E74B5"/>
          <w:sz w:val="24"/>
        </w:rPr>
      </w:pPr>
      <w:r w:rsidRPr="000D74BB">
        <w:rPr>
          <w:b/>
          <w:bCs/>
          <w:color w:val="2E74B5"/>
          <w:sz w:val="24"/>
        </w:rPr>
        <w:t>Protestantismus, asketischer</w:t>
      </w:r>
    </w:p>
    <w:p w14:paraId="74452FF9" w14:textId="77777777" w:rsidR="00677BB9" w:rsidRPr="007F69DA" w:rsidRDefault="00677BB9" w:rsidP="00677BB9">
      <w:pPr>
        <w:rPr>
          <w:szCs w:val="24"/>
        </w:rPr>
      </w:pPr>
      <w:r w:rsidRPr="007F69DA">
        <w:rPr>
          <w:szCs w:val="24"/>
        </w:rPr>
        <w:t>wurde vom Calvinismus bzw. Puritanismus gefordert und gefördert. Der asketische Protestantismus manifestiert sich in strenger Selbstkontrolle, Sparsamkeit, einer asketischen Lebensweise (d.h. Konsumverzicht, insb. Verzicht auf Luxus) und Streben nach beruflichen Erfolg durch Gewissenhaftigkeit und Fleiß („harte Arbeit“).</w:t>
      </w:r>
    </w:p>
    <w:p w14:paraId="1D4E6190" w14:textId="77777777" w:rsidR="00677BB9" w:rsidRPr="007F69DA" w:rsidRDefault="00677BB9" w:rsidP="00677BB9">
      <w:pPr>
        <w:rPr>
          <w:szCs w:val="24"/>
        </w:rPr>
      </w:pPr>
    </w:p>
    <w:p w14:paraId="63019FC3" w14:textId="77777777" w:rsidR="00677BB9" w:rsidRPr="007F69DA" w:rsidRDefault="00677BB9" w:rsidP="00677BB9"/>
    <w:p w14:paraId="4D6AA515" w14:textId="77777777" w:rsidR="00FF7799" w:rsidRPr="000D74BB" w:rsidRDefault="00FF7799" w:rsidP="000D74BB">
      <w:pPr>
        <w:keepNext/>
        <w:keepLines/>
        <w:spacing w:before="240"/>
        <w:jc w:val="both"/>
        <w:outlineLvl w:val="1"/>
        <w:rPr>
          <w:b/>
          <w:bCs/>
          <w:color w:val="2E74B5"/>
          <w:sz w:val="24"/>
        </w:rPr>
      </w:pPr>
      <w:r w:rsidRPr="000D74BB">
        <w:rPr>
          <w:b/>
          <w:bCs/>
          <w:color w:val="2E74B5"/>
          <w:sz w:val="24"/>
        </w:rPr>
        <w:t>Proxy-Variable</w:t>
      </w:r>
    </w:p>
    <w:p w14:paraId="0F4BF4AB" w14:textId="77777777" w:rsidR="00FF7799" w:rsidRDefault="00FF7799" w:rsidP="00B61F55">
      <w:pPr>
        <w:pStyle w:val="StandardText"/>
      </w:pPr>
      <w:r w:rsidRPr="00E73F6F">
        <w:t>misst</w:t>
      </w:r>
      <w:r w:rsidRPr="00E73F6F">
        <w:rPr>
          <w:spacing w:val="-10"/>
        </w:rPr>
        <w:t xml:space="preserve"> </w:t>
      </w:r>
      <w:r w:rsidRPr="00E73F6F">
        <w:t>auf</w:t>
      </w:r>
      <w:r w:rsidRPr="00E73F6F">
        <w:rPr>
          <w:spacing w:val="-9"/>
        </w:rPr>
        <w:t xml:space="preserve"> </w:t>
      </w:r>
      <w:r w:rsidRPr="00E73F6F">
        <w:t>einfache</w:t>
      </w:r>
      <w:r w:rsidRPr="00E73F6F">
        <w:rPr>
          <w:spacing w:val="-10"/>
        </w:rPr>
        <w:t xml:space="preserve"> </w:t>
      </w:r>
      <w:r w:rsidRPr="00E73F6F">
        <w:t>und</w:t>
      </w:r>
      <w:r w:rsidRPr="00E73F6F">
        <w:rPr>
          <w:spacing w:val="-10"/>
        </w:rPr>
        <w:t xml:space="preserve"> </w:t>
      </w:r>
      <w:r w:rsidRPr="00E73F6F">
        <w:t>plausible</w:t>
      </w:r>
      <w:r w:rsidRPr="00E73F6F">
        <w:rPr>
          <w:spacing w:val="-12"/>
        </w:rPr>
        <w:t xml:space="preserve"> </w:t>
      </w:r>
      <w:r w:rsidRPr="00E73F6F">
        <w:t>Weise</w:t>
      </w:r>
      <w:r w:rsidRPr="00E73F6F">
        <w:rPr>
          <w:spacing w:val="-10"/>
        </w:rPr>
        <w:t xml:space="preserve"> </w:t>
      </w:r>
      <w:r w:rsidRPr="00E73F6F">
        <w:t>ein</w:t>
      </w:r>
      <w:r w:rsidRPr="00E73F6F">
        <w:rPr>
          <w:spacing w:val="-9"/>
        </w:rPr>
        <w:t xml:space="preserve"> </w:t>
      </w:r>
      <w:r w:rsidRPr="00E73F6F">
        <w:t>komplexes</w:t>
      </w:r>
      <w:r w:rsidRPr="00E73F6F">
        <w:rPr>
          <w:spacing w:val="-10"/>
        </w:rPr>
        <w:t xml:space="preserve"> </w:t>
      </w:r>
      <w:r w:rsidRPr="00E73F6F">
        <w:t>Merkmal,</w:t>
      </w:r>
      <w:r w:rsidRPr="00E73F6F">
        <w:rPr>
          <w:spacing w:val="-11"/>
        </w:rPr>
        <w:t xml:space="preserve"> </w:t>
      </w:r>
      <w:r w:rsidRPr="00E73F6F">
        <w:t>das</w:t>
      </w:r>
      <w:r w:rsidRPr="00E73F6F">
        <w:rPr>
          <w:spacing w:val="-10"/>
        </w:rPr>
        <w:t xml:space="preserve"> </w:t>
      </w:r>
      <w:r w:rsidRPr="00E73F6F">
        <w:t>einer</w:t>
      </w:r>
      <w:r w:rsidRPr="00E73F6F">
        <w:rPr>
          <w:spacing w:val="-9"/>
        </w:rPr>
        <w:t xml:space="preserve"> </w:t>
      </w:r>
      <w:r w:rsidRPr="00E73F6F">
        <w:t>direkten Messung nicht oder nur unter unverhältnismäßig schwierigen Bedingungen zugänglich</w:t>
      </w:r>
      <w:r w:rsidRPr="00E73F6F">
        <w:rPr>
          <w:spacing w:val="-9"/>
        </w:rPr>
        <w:t xml:space="preserve"> </w:t>
      </w:r>
      <w:r w:rsidRPr="00E73F6F">
        <w:t>ist.</w:t>
      </w:r>
      <w:r w:rsidRPr="00E73F6F">
        <w:rPr>
          <w:spacing w:val="-12"/>
        </w:rPr>
        <w:t xml:space="preserve"> </w:t>
      </w:r>
      <w:r w:rsidRPr="00E73F6F">
        <w:t>So</w:t>
      </w:r>
      <w:r w:rsidRPr="00E73F6F">
        <w:rPr>
          <w:spacing w:val="-8"/>
        </w:rPr>
        <w:t xml:space="preserve"> </w:t>
      </w:r>
      <w:r w:rsidRPr="00E73F6F">
        <w:t>lässt</w:t>
      </w:r>
      <w:r w:rsidRPr="00E73F6F">
        <w:rPr>
          <w:spacing w:val="-10"/>
        </w:rPr>
        <w:t xml:space="preserve"> </w:t>
      </w:r>
      <w:r w:rsidRPr="00E73F6F">
        <w:t>sich</w:t>
      </w:r>
      <w:r w:rsidRPr="00E73F6F">
        <w:rPr>
          <w:spacing w:val="-9"/>
        </w:rPr>
        <w:t xml:space="preserve"> </w:t>
      </w:r>
      <w:r w:rsidRPr="00E73F6F">
        <w:lastRenderedPageBreak/>
        <w:t>die</w:t>
      </w:r>
      <w:r w:rsidRPr="00E73F6F">
        <w:rPr>
          <w:spacing w:val="-10"/>
        </w:rPr>
        <w:t xml:space="preserve"> </w:t>
      </w:r>
      <w:r w:rsidRPr="00E73F6F">
        <w:t>„Anzahl</w:t>
      </w:r>
      <w:r w:rsidRPr="00E73F6F">
        <w:rPr>
          <w:spacing w:val="-9"/>
        </w:rPr>
        <w:t xml:space="preserve"> </w:t>
      </w:r>
      <w:r w:rsidRPr="00E73F6F">
        <w:t>angemeldeter</w:t>
      </w:r>
      <w:r w:rsidRPr="00E73F6F">
        <w:rPr>
          <w:spacing w:val="-10"/>
        </w:rPr>
        <w:t xml:space="preserve"> </w:t>
      </w:r>
      <w:r w:rsidRPr="00E73F6F">
        <w:t>Patente“</w:t>
      </w:r>
      <w:r w:rsidRPr="00E73F6F">
        <w:rPr>
          <w:spacing w:val="-11"/>
        </w:rPr>
        <w:t xml:space="preserve"> </w:t>
      </w:r>
      <w:r w:rsidRPr="00E73F6F">
        <w:t>als</w:t>
      </w:r>
      <w:r w:rsidRPr="00E73F6F">
        <w:rPr>
          <w:spacing w:val="-9"/>
        </w:rPr>
        <w:t xml:space="preserve"> </w:t>
      </w:r>
      <w:r w:rsidRPr="00E73F6F">
        <w:t>Proxy-Variable für die Quantifizierung der „Innovativität eines Unternehmens“ nutzen. Und für den äußerst aufwändig zu berechnenden „Index der Globalität von Automobilmarken“ hat sich der Bekanntheitsgrad als eine brauchbare Proxy- Variable erwiesen. Denn Weltmarken sind bekannter als lokale Marken.</w:t>
      </w:r>
    </w:p>
    <w:p w14:paraId="6FF5F605" w14:textId="77777777" w:rsidR="00FF7799" w:rsidRPr="00E17A2B" w:rsidRDefault="00FF7799" w:rsidP="00B61F55">
      <w:pPr>
        <w:pStyle w:val="StandardText"/>
        <w:rPr>
          <w:sz w:val="22"/>
          <w:szCs w:val="22"/>
        </w:rPr>
      </w:pPr>
      <w:r w:rsidRPr="00E17A2B">
        <w:rPr>
          <w:b/>
          <w:i/>
          <w:sz w:val="22"/>
          <w:szCs w:val="22"/>
        </w:rPr>
        <w:t>Literatur</w:t>
      </w:r>
      <w:r w:rsidRPr="00E17A2B">
        <w:rPr>
          <w:i/>
          <w:sz w:val="22"/>
          <w:szCs w:val="22"/>
        </w:rPr>
        <w:t>:</w:t>
      </w:r>
      <w:r w:rsidRPr="00E17A2B">
        <w:rPr>
          <w:sz w:val="22"/>
          <w:szCs w:val="22"/>
        </w:rPr>
        <w:t xml:space="preserve"> Maddala, G.S.; Lahiri, K. (1992): Introduction to Econometrics, Vol. 2, 454ff.,</w:t>
      </w:r>
      <w:r w:rsidRPr="00E17A2B">
        <w:rPr>
          <w:spacing w:val="40"/>
          <w:sz w:val="22"/>
          <w:szCs w:val="22"/>
        </w:rPr>
        <w:t xml:space="preserve"> </w:t>
      </w:r>
      <w:r w:rsidRPr="00E17A2B">
        <w:rPr>
          <w:sz w:val="22"/>
          <w:szCs w:val="22"/>
        </w:rPr>
        <w:t>New York: Macmillan.</w:t>
      </w:r>
    </w:p>
    <w:p w14:paraId="0DEBF90B" w14:textId="77777777" w:rsidR="00677BB9" w:rsidRPr="007F69DA" w:rsidRDefault="00677BB9" w:rsidP="00677BB9">
      <w:pPr>
        <w:keepNext/>
        <w:keepLines/>
        <w:spacing w:before="240"/>
        <w:jc w:val="both"/>
        <w:outlineLvl w:val="1"/>
        <w:rPr>
          <w:b/>
          <w:color w:val="2E74B5"/>
        </w:rPr>
      </w:pPr>
      <w:r w:rsidRPr="007F69DA">
        <w:rPr>
          <w:b/>
          <w:color w:val="2E74B5"/>
        </w:rPr>
        <w:t>Psychologie, interkulturelle</w:t>
      </w:r>
      <w:r w:rsidRPr="007F69DA">
        <w:rPr>
          <w:szCs w:val="24"/>
        </w:rPr>
        <w:t xml:space="preserve"> </w:t>
      </w:r>
      <w:r w:rsidRPr="007F69DA">
        <w:rPr>
          <w:szCs w:val="24"/>
        </w:rPr>
        <w:sym w:font="Symbol" w:char="F0AE"/>
      </w:r>
      <w:r w:rsidRPr="007F69DA">
        <w:rPr>
          <w:szCs w:val="24"/>
        </w:rPr>
        <w:t xml:space="preserve"> Interkulturelle Psychologie</w:t>
      </w:r>
    </w:p>
    <w:p w14:paraId="30BDD6CA" w14:textId="77777777" w:rsidR="00677BB9" w:rsidRPr="007F69DA" w:rsidRDefault="00677BB9" w:rsidP="00677BB9">
      <w:pPr>
        <w:rPr>
          <w:szCs w:val="24"/>
        </w:rPr>
      </w:pPr>
    </w:p>
    <w:p w14:paraId="1998C4FB" w14:textId="77777777" w:rsidR="00677BB9" w:rsidRPr="007F69DA" w:rsidRDefault="00677BB9" w:rsidP="00677BB9">
      <w:pPr>
        <w:keepNext/>
        <w:keepLines/>
        <w:spacing w:before="240"/>
        <w:jc w:val="both"/>
        <w:outlineLvl w:val="1"/>
        <w:rPr>
          <w:b/>
          <w:color w:val="2E74B5"/>
        </w:rPr>
      </w:pPr>
      <w:r w:rsidRPr="007F69DA">
        <w:rPr>
          <w:b/>
          <w:color w:val="2E74B5"/>
        </w:rPr>
        <w:t>Psychologie, kulturvergleichende</w:t>
      </w:r>
      <w:r w:rsidRPr="007F69DA">
        <w:rPr>
          <w:szCs w:val="24"/>
        </w:rPr>
        <w:t xml:space="preserve"> </w:t>
      </w:r>
      <w:r w:rsidRPr="007F69DA">
        <w:rPr>
          <w:szCs w:val="24"/>
        </w:rPr>
        <w:sym w:font="Symbol" w:char="F0AE"/>
      </w:r>
      <w:r w:rsidRPr="007F69DA">
        <w:rPr>
          <w:szCs w:val="24"/>
        </w:rPr>
        <w:t xml:space="preserve"> Interkulturelles Marketing</w:t>
      </w:r>
    </w:p>
    <w:p w14:paraId="14C99B24" w14:textId="77777777" w:rsidR="00677BB9" w:rsidRPr="007F69DA" w:rsidRDefault="00677BB9" w:rsidP="00677BB9">
      <w:pPr>
        <w:rPr>
          <w:szCs w:val="24"/>
        </w:rPr>
      </w:pPr>
    </w:p>
    <w:p w14:paraId="49EC1CF8" w14:textId="77777777" w:rsidR="00FF7799" w:rsidRPr="00E73F6F" w:rsidRDefault="00FF7799" w:rsidP="007B4146">
      <w:pPr>
        <w:pStyle w:val="berschrift1"/>
      </w:pPr>
      <w:r w:rsidRPr="000D74BB">
        <w:rPr>
          <w:color w:val="2E74B5"/>
        </w:rPr>
        <w:t>P-Time-Kultur</w:t>
      </w:r>
      <w:r w:rsidRPr="00E73F6F">
        <w:rPr>
          <w:spacing w:val="-6"/>
        </w:rPr>
        <w:t xml:space="preserve"> </w:t>
      </w:r>
      <w:r w:rsidRPr="00E73F6F">
        <w:rPr>
          <w:b w:val="0"/>
        </w:rPr>
        <w:t>→</w:t>
      </w:r>
      <w:r w:rsidRPr="00E73F6F">
        <w:rPr>
          <w:b w:val="0"/>
          <w:spacing w:val="-5"/>
        </w:rPr>
        <w:t xml:space="preserve"> </w:t>
      </w:r>
      <w:r w:rsidRPr="00E73F6F">
        <w:rPr>
          <w:b w:val="0"/>
          <w:spacing w:val="-4"/>
        </w:rPr>
        <w:t>Zeit</w:t>
      </w:r>
    </w:p>
    <w:p w14:paraId="6CBA2A16" w14:textId="77777777" w:rsidR="00677BB9" w:rsidRPr="007F69DA" w:rsidRDefault="00677BB9" w:rsidP="00677BB9">
      <w:pPr>
        <w:keepNext/>
        <w:keepLines/>
        <w:spacing w:before="240"/>
        <w:jc w:val="both"/>
        <w:outlineLvl w:val="1"/>
        <w:rPr>
          <w:b/>
          <w:color w:val="2E74B5"/>
        </w:rPr>
      </w:pPr>
      <w:r w:rsidRPr="007F69DA">
        <w:rPr>
          <w:b/>
          <w:color w:val="2E74B5"/>
        </w:rPr>
        <w:t>Public Relations</w:t>
      </w:r>
    </w:p>
    <w:p w14:paraId="3CED8594" w14:textId="77777777" w:rsidR="00677BB9" w:rsidRPr="007F69DA" w:rsidRDefault="00677BB9" w:rsidP="00677BB9">
      <w:pPr>
        <w:pStyle w:val="Listenabsatz"/>
        <w:spacing w:before="60"/>
        <w:ind w:left="284"/>
        <w:rPr>
          <w:szCs w:val="24"/>
          <w:lang w:eastAsia="de-DE"/>
        </w:rPr>
      </w:pPr>
      <w:bookmarkStart w:id="118" w:name="_Toc310454345"/>
      <w:bookmarkStart w:id="119" w:name="_Toc310455636"/>
      <w:bookmarkStart w:id="120" w:name="_Toc332808302"/>
    </w:p>
    <w:p w14:paraId="7F2A54B4" w14:textId="77777777" w:rsidR="00677BB9" w:rsidRPr="007F69DA" w:rsidRDefault="00677BB9">
      <w:pPr>
        <w:pStyle w:val="Listenabsatz"/>
        <w:widowControl/>
        <w:numPr>
          <w:ilvl w:val="0"/>
          <w:numId w:val="68"/>
        </w:numPr>
        <w:autoSpaceDE/>
        <w:autoSpaceDN/>
        <w:spacing w:before="60"/>
        <w:ind w:left="284"/>
        <w:contextualSpacing/>
        <w:rPr>
          <w:szCs w:val="24"/>
          <w:lang w:eastAsia="de-DE"/>
        </w:rPr>
      </w:pPr>
      <w:r w:rsidRPr="007F69DA">
        <w:rPr>
          <w:szCs w:val="24"/>
          <w:lang w:eastAsia="de-DE"/>
        </w:rPr>
        <w:t>Prinzip &amp; Nutzen d</w:t>
      </w:r>
      <w:bookmarkEnd w:id="118"/>
      <w:bookmarkEnd w:id="119"/>
      <w:r w:rsidRPr="007F69DA">
        <w:rPr>
          <w:szCs w:val="24"/>
          <w:lang w:eastAsia="de-DE"/>
        </w:rPr>
        <w:t>er Öffentlichkeitsarbeit</w:t>
      </w:r>
      <w:bookmarkEnd w:id="120"/>
    </w:p>
    <w:p w14:paraId="16008AB5" w14:textId="77777777" w:rsidR="00677BB9" w:rsidRPr="007F69DA" w:rsidRDefault="00677BB9" w:rsidP="00677BB9">
      <w:pPr>
        <w:spacing w:before="60"/>
        <w:jc w:val="both"/>
        <w:rPr>
          <w:szCs w:val="24"/>
          <w:lang w:eastAsia="de-DE"/>
        </w:rPr>
      </w:pPr>
    </w:p>
    <w:p w14:paraId="2DD60B69" w14:textId="77777777" w:rsidR="00677BB9" w:rsidRPr="007F69DA" w:rsidRDefault="00677BB9" w:rsidP="00677BB9">
      <w:pPr>
        <w:jc w:val="both"/>
        <w:rPr>
          <w:szCs w:val="24"/>
          <w:lang w:bidi="en-US"/>
        </w:rPr>
      </w:pPr>
      <w:r w:rsidRPr="007F69DA">
        <w:rPr>
          <w:szCs w:val="24"/>
          <w:lang w:bidi="en-US"/>
        </w:rPr>
        <w:t xml:space="preserve">Aufgabe der Public Relations ist es, das Unternehmen in der Öffentlichkeit positiv darzustellen, Vertrauen zu schaffen und gegebenenfalls Konflikte mit relevanten Stakeholdern </w:t>
      </w:r>
      <w:r w:rsidRPr="007F69DA">
        <w:rPr>
          <w:rFonts w:ascii="Cambria Math" w:hAnsi="Cambria Math" w:cs="Cambria Math"/>
          <w:szCs w:val="24"/>
          <w:lang w:bidi="en-US"/>
        </w:rPr>
        <w:t>(</w:t>
      </w:r>
      <w:r w:rsidRPr="007F69DA">
        <w:rPr>
          <w:szCs w:val="24"/>
          <w:lang w:bidi="en-US"/>
        </w:rPr>
        <w:t xml:space="preserve">Interessengruppen) zu lösen (z.B. lokale Bürgerinitiative, die eine großräumige Erweiterung eines Einkaufszentrums ablehnt). Global agierende Unternehmen wie Amazon oder Siemens sind auf globalen Goodwill angewiesen. Deshalb und da Public Relations zunehmend als strategische, bei der Unternehmensleitung angesiedelte Aufgabe verstanden wird, steigen die Aufwendungen für Öffentlichkeitsarbeit weltweit kontinuierlich. </w:t>
      </w:r>
    </w:p>
    <w:p w14:paraId="078083D4" w14:textId="77777777" w:rsidR="00677BB9" w:rsidRPr="007F69DA" w:rsidRDefault="00677BB9" w:rsidP="00677BB9">
      <w:pPr>
        <w:jc w:val="both"/>
        <w:rPr>
          <w:szCs w:val="24"/>
          <w:lang w:bidi="en-US"/>
        </w:rPr>
      </w:pPr>
    </w:p>
    <w:p w14:paraId="684E16D5" w14:textId="77777777" w:rsidR="00677BB9" w:rsidRPr="007F69DA" w:rsidRDefault="00677BB9" w:rsidP="00677BB9">
      <w:pPr>
        <w:jc w:val="both"/>
      </w:pPr>
      <w:r w:rsidRPr="007F69DA">
        <w:rPr>
          <w:szCs w:val="24"/>
          <w:lang w:bidi="en-US"/>
        </w:rPr>
        <w:t xml:space="preserve">Die Kommunikationsabteilungen internationaler und globaler Unternehmen nutzen alle nur denkbaren Kanäle. Zum einen sind dies interne Medien wie Broschüren, Newsletter, Ad hoc-Mitteilungen, Briefe, E-Mails und Webseiten. Zum anderen werden auch externe Kanäle genutzt, neben der traditionellen Presse zunehmend auch die sozialen Medien. Vertreter des Unternehmens nehmen an Talk Shows teil, geben Influencern und Podcastern und beantworten die Anfragen von Medienvertretern. </w:t>
      </w:r>
    </w:p>
    <w:p w14:paraId="16CED9C6" w14:textId="77777777" w:rsidR="00677BB9" w:rsidRPr="007F69DA" w:rsidRDefault="00677BB9" w:rsidP="00677BB9">
      <w:pPr>
        <w:spacing w:line="360" w:lineRule="auto"/>
        <w:ind w:left="284" w:right="-851"/>
      </w:pPr>
    </w:p>
    <w:p w14:paraId="18854617" w14:textId="77777777" w:rsidR="00677BB9" w:rsidRPr="007F69DA" w:rsidRDefault="00677BB9" w:rsidP="00677BB9">
      <w:pPr>
        <w:spacing w:before="60"/>
        <w:jc w:val="both"/>
        <w:rPr>
          <w:szCs w:val="24"/>
          <w:lang w:eastAsia="de-DE"/>
        </w:rPr>
      </w:pPr>
      <w:bookmarkStart w:id="121" w:name="_Toc332808304"/>
      <w:r w:rsidRPr="007F69DA">
        <w:rPr>
          <w:szCs w:val="24"/>
          <w:lang w:eastAsia="de-DE"/>
        </w:rPr>
        <w:t>2. Manipulierbarer vs. investigativer Journalismus</w:t>
      </w:r>
      <w:bookmarkEnd w:id="121"/>
    </w:p>
    <w:p w14:paraId="4BDEACEF" w14:textId="77777777" w:rsidR="00677BB9" w:rsidRPr="007F69DA" w:rsidRDefault="00677BB9" w:rsidP="00677BB9">
      <w:pPr>
        <w:spacing w:before="60"/>
        <w:jc w:val="both"/>
        <w:rPr>
          <w:szCs w:val="24"/>
          <w:lang w:eastAsia="de-DE"/>
        </w:rPr>
      </w:pPr>
    </w:p>
    <w:p w14:paraId="389D18BA" w14:textId="20D45B2B" w:rsidR="00677BB9" w:rsidRPr="007F69DA" w:rsidRDefault="000D74BB" w:rsidP="00677BB9">
      <w:pPr>
        <w:jc w:val="both"/>
        <w:rPr>
          <w:szCs w:val="24"/>
          <w:lang w:bidi="en-US"/>
        </w:rPr>
      </w:pPr>
      <w:r>
        <w:rPr>
          <w:szCs w:val="24"/>
          <w:lang w:bidi="en-US"/>
        </w:rPr>
        <w:t xml:space="preserve">2.1 </w:t>
      </w:r>
      <w:r w:rsidR="00677BB9" w:rsidRPr="007F69DA">
        <w:rPr>
          <w:szCs w:val="24"/>
          <w:lang w:bidi="en-US"/>
        </w:rPr>
        <w:t>Redaktionelle und lancierte Beiträge</w:t>
      </w:r>
    </w:p>
    <w:p w14:paraId="7DCA717B" w14:textId="77777777" w:rsidR="00677BB9" w:rsidRPr="007F69DA" w:rsidRDefault="00677BB9" w:rsidP="00677BB9">
      <w:pPr>
        <w:jc w:val="both"/>
        <w:rPr>
          <w:szCs w:val="24"/>
          <w:lang w:bidi="en-US"/>
        </w:rPr>
      </w:pPr>
      <w:r w:rsidRPr="007F69DA">
        <w:rPr>
          <w:szCs w:val="24"/>
          <w:lang w:bidi="en-US"/>
        </w:rPr>
        <w:t>Anders als klassische Medienwerbung werden zahlreiche PR-Maßnahmen im Regelfall nicht bezahlt. Um ihrer Informationspflicht nachzukommen, berichten Medien freiwillig und kostenlos über einzelne Unternehmen, sofern die verantwortlichen Redakteure ein Interesse der Öffentlichkeit vermuten (weil die Nachricht wichtig, interessant, neu, unterhaltsam ist). Derartige redaktionelle Beiträge besitzen gewöhnlich mehr Glaubwürdigkeit als klassische Werbung. Denn Berichte wie „Unternehmen XY hat einen betriebseigenen Kindergarten eröffnet, um Mitarbeiter, die Vorschulkinder haben, zu unterstützen“ sind in ein informativ-unterhaltendes Umfeld eingebettet und werden idealerweise von Redakteuren verfasst, die objektiv berichten, ohne Rücksicht auf wirtschaftliches Interessen nehmen zu müssen.</w:t>
      </w:r>
    </w:p>
    <w:p w14:paraId="5A707AB0" w14:textId="77777777" w:rsidR="00677BB9" w:rsidRPr="007F69DA" w:rsidRDefault="00677BB9" w:rsidP="00677BB9">
      <w:pPr>
        <w:jc w:val="both"/>
        <w:rPr>
          <w:szCs w:val="24"/>
          <w:lang w:bidi="en-US"/>
        </w:rPr>
      </w:pPr>
    </w:p>
    <w:p w14:paraId="281F8748" w14:textId="77777777" w:rsidR="00677BB9" w:rsidRPr="007F69DA" w:rsidRDefault="00677BB9" w:rsidP="00677BB9">
      <w:pPr>
        <w:jc w:val="both"/>
        <w:rPr>
          <w:szCs w:val="24"/>
          <w:lang w:bidi="en-US"/>
        </w:rPr>
      </w:pPr>
      <w:r w:rsidRPr="007F69DA">
        <w:rPr>
          <w:szCs w:val="24"/>
          <w:lang w:bidi="en-US"/>
        </w:rPr>
        <w:t>So weit der Idealfall. In der Wirklichkeit verhält es sich allerdings häufig anders. Da immer mehr Redakteursstellen dem Kostendruck im Mediengewerbe zum Opfer fallen, gehen zahlreiche Medien dazu über, „fertige“, von Nachrichtenagenturen und Freelancern verfasste Beiträge zu übernehmen, aber auch von den Kommunikationsabteilungen einzelner Unternehmen oder Verbänden.</w:t>
      </w:r>
    </w:p>
    <w:p w14:paraId="5C95AAB9" w14:textId="77777777" w:rsidR="00677BB9" w:rsidRPr="007F69DA" w:rsidRDefault="00677BB9" w:rsidP="00677BB9">
      <w:pPr>
        <w:jc w:val="both"/>
        <w:rPr>
          <w:szCs w:val="24"/>
          <w:lang w:bidi="en-US"/>
        </w:rPr>
      </w:pPr>
    </w:p>
    <w:p w14:paraId="74C365AD" w14:textId="77777777" w:rsidR="00677BB9" w:rsidRDefault="00677BB9" w:rsidP="00677BB9">
      <w:pPr>
        <w:jc w:val="both"/>
        <w:rPr>
          <w:szCs w:val="24"/>
          <w:lang w:bidi="en-US"/>
        </w:rPr>
      </w:pPr>
      <w:r w:rsidRPr="007F69DA">
        <w:rPr>
          <w:szCs w:val="24"/>
          <w:lang w:bidi="en-US"/>
        </w:rPr>
        <w:t xml:space="preserve">Aus Unternehmenssicht ist es eine besondere Kunst, bestimmte Informationen oder gar ganze Berichte zu platzieren. Denn Medien bzw. einzelne Redakteure lassen sich nicht beliebig instrumentalisieren. Nur ein Bruchteil der zahllosen Pressemitteilungen wird mehr oder minder modifiziert verwendet. Und letztlich besitzt das Unternehmen keine Kontrolle darüber, welche Informationen tatsächlich gesendet </w:t>
      </w:r>
      <w:r w:rsidRPr="007F69DA">
        <w:rPr>
          <w:szCs w:val="24"/>
          <w:lang w:bidi="en-US"/>
        </w:rPr>
        <w:lastRenderedPageBreak/>
        <w:t>bzw. gedruckt werden. Hinzu kommt, dass investigative Journalisten selbst aktiv werden und– zumeist kritische – Nachrichten vorzugsweise über Unternehmen, die im Licht der Öffentlichkeit stehen, verbreiten. Ein Beispiel hierfür ist der Rechercheverbund von NDR, WDR und Süddeutscher Zeitung.</w:t>
      </w:r>
    </w:p>
    <w:p w14:paraId="7F5DE060" w14:textId="77777777" w:rsidR="000D74BB" w:rsidRPr="007F69DA" w:rsidRDefault="000D74BB" w:rsidP="00677BB9">
      <w:pPr>
        <w:jc w:val="both"/>
        <w:rPr>
          <w:szCs w:val="24"/>
          <w:lang w:bidi="en-US"/>
        </w:rPr>
      </w:pPr>
    </w:p>
    <w:p w14:paraId="0720A253" w14:textId="77777777" w:rsidR="00677BB9" w:rsidRPr="007F69DA" w:rsidRDefault="00677BB9" w:rsidP="00677BB9">
      <w:pPr>
        <w:jc w:val="both"/>
        <w:rPr>
          <w:szCs w:val="24"/>
          <w:lang w:bidi="en-US"/>
        </w:rPr>
      </w:pPr>
    </w:p>
    <w:p w14:paraId="0A000307" w14:textId="68281338" w:rsidR="00677BB9" w:rsidRPr="007F69DA" w:rsidRDefault="000D74BB" w:rsidP="00677BB9">
      <w:pPr>
        <w:jc w:val="both"/>
        <w:rPr>
          <w:szCs w:val="24"/>
          <w:lang w:bidi="en-US"/>
        </w:rPr>
      </w:pPr>
      <w:r>
        <w:rPr>
          <w:szCs w:val="24"/>
          <w:lang w:bidi="en-US"/>
        </w:rPr>
        <w:t xml:space="preserve">2.2 </w:t>
      </w:r>
      <w:r w:rsidR="00677BB9" w:rsidRPr="007F69DA">
        <w:rPr>
          <w:szCs w:val="24"/>
          <w:lang w:bidi="en-US"/>
        </w:rPr>
        <w:t xml:space="preserve">Adidas, Nike, H&amp;M </w:t>
      </w:r>
      <w:r>
        <w:rPr>
          <w:szCs w:val="24"/>
          <w:lang w:bidi="en-US"/>
        </w:rPr>
        <w:t>&amp;</w:t>
      </w:r>
      <w:r w:rsidR="00677BB9" w:rsidRPr="007F69DA">
        <w:rPr>
          <w:szCs w:val="24"/>
          <w:lang w:bidi="en-US"/>
        </w:rPr>
        <w:t xml:space="preserve"> andere </w:t>
      </w:r>
    </w:p>
    <w:p w14:paraId="3D80D1D9" w14:textId="77777777" w:rsidR="00677BB9" w:rsidRPr="007F69DA" w:rsidRDefault="00677BB9" w:rsidP="00677BB9">
      <w:pPr>
        <w:jc w:val="both"/>
        <w:rPr>
          <w:szCs w:val="24"/>
          <w:lang w:bidi="en-US"/>
        </w:rPr>
      </w:pPr>
      <w:r w:rsidRPr="007F69DA">
        <w:rPr>
          <w:szCs w:val="24"/>
          <w:lang w:bidi="en-US"/>
        </w:rPr>
        <w:t>Als einer der ersten Global Player bekam Adidas dies zu spüren. Der in Herzogenaurach ansässige Sportartikelhersteller war Hauptsponsor der Fußballweltmeisterschaft 1998. Im Vorfeld dieses Großereignisses erschienen plötzlich Presseberichte, wonach Adidas – bzw. dessen Subunternehmer – die für die WM bestimmten Fußbälle unter unzumutbaren Umständen von Kindern nähen lasse. Die Christliche Initiative Romero (CIR) warf dem Sportartikelhersteller vor, in El Salvador den Arbeiterinnen nur verschmutztes Trinkwasser zur Verfügung zu stellen, und initiierte eine Unterschriftenaktion. Die Vorwürfe, die bis heute in ähnlicher Form immer wieder aufflammen und nicht nur Sportartikel-Bekleidungshersteller treffen, ließen den Aktienkurs von Adidas damals erstmals absacken, kurz bevor er dann im Zuge der Asien- bzw. beginnenden Russlandkrise gemeinsam mit dem Gesamtmarkt einbrach (vgl. Abb. 1).</w:t>
      </w:r>
    </w:p>
    <w:p w14:paraId="11FF556A" w14:textId="77777777" w:rsidR="00677BB9" w:rsidRPr="007F69DA" w:rsidRDefault="00677BB9" w:rsidP="00677BB9">
      <w:pPr>
        <w:spacing w:line="360" w:lineRule="auto"/>
        <w:ind w:left="567" w:right="-851"/>
      </w:pPr>
    </w:p>
    <w:p w14:paraId="0B7C8659" w14:textId="77777777" w:rsidR="00677BB9" w:rsidRPr="00BF04C9" w:rsidRDefault="00677BB9" w:rsidP="00677BB9">
      <w:pPr>
        <w:pStyle w:val="Beschriftung"/>
        <w:ind w:right="-851"/>
        <w:rPr>
          <w:sz w:val="22"/>
          <w:szCs w:val="22"/>
        </w:rPr>
      </w:pPr>
      <w:r w:rsidRPr="00BF04C9">
        <w:rPr>
          <w:sz w:val="22"/>
          <w:szCs w:val="22"/>
        </w:rPr>
        <w:t>Abb. 1: Reaktion der Adidas-Aktie auf kritische Presseberichte</w:t>
      </w:r>
      <w:r w:rsidRPr="00BF04C9">
        <w:rPr>
          <w:sz w:val="22"/>
          <w:szCs w:val="22"/>
        </w:rPr>
        <w:br/>
        <w:t>(Kursverlauf 1998)</w:t>
      </w:r>
    </w:p>
    <w:p w14:paraId="433AB8B5" w14:textId="77777777" w:rsidR="00677BB9" w:rsidRPr="007F69DA" w:rsidRDefault="00677BB9" w:rsidP="00677BB9">
      <w:pPr>
        <w:rPr>
          <w:lang w:eastAsia="de-DE"/>
        </w:rPr>
      </w:pPr>
      <w:r w:rsidRPr="007F69DA">
        <w:rPr>
          <w:noProof/>
          <w:lang w:eastAsia="de-DE"/>
        </w:rPr>
        <w:drawing>
          <wp:inline distT="0" distB="0" distL="0" distR="0" wp14:anchorId="5E4929FF" wp14:editId="37DD00B7">
            <wp:extent cx="5944893" cy="2981325"/>
            <wp:effectExtent l="0" t="0" r="0" b="0"/>
            <wp:docPr id="907480344" name="Grafik 907480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5953551" cy="2985667"/>
                    </a:xfrm>
                    <a:prstGeom prst="rect">
                      <a:avLst/>
                    </a:prstGeom>
                    <a:noFill/>
                  </pic:spPr>
                </pic:pic>
              </a:graphicData>
            </a:graphic>
          </wp:inline>
        </w:drawing>
      </w:r>
    </w:p>
    <w:p w14:paraId="3ECCD052" w14:textId="77777777" w:rsidR="00677BB9" w:rsidRPr="007F69DA" w:rsidRDefault="00677BB9" w:rsidP="00677BB9">
      <w:pPr>
        <w:ind w:right="-851"/>
      </w:pPr>
    </w:p>
    <w:p w14:paraId="5260A817" w14:textId="77777777" w:rsidR="00677BB9" w:rsidRPr="007F69DA" w:rsidRDefault="00677BB9" w:rsidP="00677BB9">
      <w:pPr>
        <w:jc w:val="both"/>
        <w:rPr>
          <w:szCs w:val="24"/>
          <w:lang w:bidi="en-US"/>
        </w:rPr>
      </w:pPr>
      <w:r w:rsidRPr="007F69DA">
        <w:rPr>
          <w:szCs w:val="24"/>
          <w:lang w:bidi="en-US"/>
        </w:rPr>
        <w:t xml:space="preserve">Natürlich ist es am besten, erst gar keinen Anlass für derartige Berichte zu geben. Falls es aber doch so weit kommt, dann ist Krisenkommunikation gefragt: Es gilt, die Öffentlichkeit so frühzeitig, umfassend und vorbehaltlos wie möglich zu informieren (vgl. Nolting/Thießen 2007). Aus kulturvergleichender Sicht ist zu bedenken, dass in den verschiedenen Gesellschaften tatsächliches oder vermeintliches Fehlverhalten unterschiedlich bewertet wird. Menschen, die Machtdistanz akzeptieren, reagieren kulturbedingt eher nachsichtig, wenn Mächtige Fehltritte begehen. Auf Nachsicht dürfen dort auch Unternehmen hoffen, die für das Renommee des eigenen Landes bedeutsam sind. Gleiches gilt für das Management dieser Unternehmen. Weiterhin ist von Bedeutung, welche Rolle „die Öffentlichkeit“ in der jeweiligen Gesellschaft spielt. </w:t>
      </w:r>
    </w:p>
    <w:p w14:paraId="611D4D13" w14:textId="77777777" w:rsidR="00677BB9" w:rsidRPr="007F69DA" w:rsidRDefault="00677BB9" w:rsidP="00677BB9">
      <w:pPr>
        <w:ind w:left="567" w:right="-851"/>
      </w:pPr>
    </w:p>
    <w:p w14:paraId="3C22C01F" w14:textId="77777777" w:rsidR="00677BB9" w:rsidRPr="007F69DA" w:rsidRDefault="00677BB9" w:rsidP="00677BB9">
      <w:pPr>
        <w:spacing w:line="360" w:lineRule="auto"/>
        <w:ind w:right="-851"/>
      </w:pPr>
      <w:bookmarkStart w:id="122" w:name="_Toc332808305"/>
      <w:r w:rsidRPr="007F69DA">
        <w:t>3. Formen &amp; Bedeutung von Öffentlichkeit</w:t>
      </w:r>
      <w:bookmarkEnd w:id="122"/>
    </w:p>
    <w:p w14:paraId="1C314685" w14:textId="42B6F8F7" w:rsidR="00677BB9" w:rsidRPr="007F69DA" w:rsidRDefault="000D74BB" w:rsidP="00677BB9">
      <w:pPr>
        <w:jc w:val="both"/>
        <w:rPr>
          <w:szCs w:val="24"/>
          <w:lang w:bidi="en-US"/>
        </w:rPr>
      </w:pPr>
      <w:r>
        <w:rPr>
          <w:szCs w:val="24"/>
          <w:lang w:bidi="en-US"/>
        </w:rPr>
        <w:t xml:space="preserve">3.1 </w:t>
      </w:r>
      <w:r w:rsidR="00677BB9" w:rsidRPr="007F69DA">
        <w:rPr>
          <w:szCs w:val="24"/>
          <w:lang w:bidi="en-US"/>
        </w:rPr>
        <w:t>Von der Öffentlichkeit zu den Stakeholdern</w:t>
      </w:r>
    </w:p>
    <w:p w14:paraId="296B2D51" w14:textId="77777777" w:rsidR="00677BB9" w:rsidRPr="007F69DA" w:rsidRDefault="00677BB9" w:rsidP="00677BB9">
      <w:pPr>
        <w:jc w:val="both"/>
        <w:rPr>
          <w:szCs w:val="24"/>
          <w:lang w:bidi="en-US"/>
        </w:rPr>
      </w:pPr>
      <w:r w:rsidRPr="007F69DA">
        <w:rPr>
          <w:szCs w:val="24"/>
          <w:lang w:bidi="en-US"/>
        </w:rPr>
        <w:t>Kommuniziert eine PR-Abteilung mit „der Öffentlichkeit“, dann sind damit „jene Personen und Gruppen gemeint, die ein signifikantes Interesse an dem Unternehmen haben“. Heute werden sie als Stake</w:t>
      </w:r>
      <w:r w:rsidRPr="007F69DA">
        <w:rPr>
          <w:szCs w:val="24"/>
          <w:lang w:bidi="en-US"/>
        </w:rPr>
        <w:lastRenderedPageBreak/>
        <w:t>holder bezeichnet (vgl. Abb. 2). Während der klassische Shareholder-Ansatz lediglich die Anteilseigener eines Unternehmens als legitime Anspruchsgruppe begreift, definiert der Stakeholder-Ansatz „Öffentlichkeit“ umfassend: alle Gruppen von Personen, die von der Tätigkeit eines Unternehmens betroffen werden und deshalb ein berechtigtes Interesse daran haben (vgl. Welge/Holtbrügge 2010).</w:t>
      </w:r>
    </w:p>
    <w:p w14:paraId="0FB63D78" w14:textId="77777777" w:rsidR="00677BB9" w:rsidRPr="007F69DA" w:rsidRDefault="00677BB9" w:rsidP="00677BB9">
      <w:pPr>
        <w:spacing w:line="360" w:lineRule="auto"/>
        <w:ind w:left="567" w:right="-851"/>
      </w:pPr>
    </w:p>
    <w:p w14:paraId="5D60CB2E" w14:textId="77777777" w:rsidR="00677BB9" w:rsidRPr="00BF04C9" w:rsidRDefault="00677BB9" w:rsidP="00677BB9">
      <w:pPr>
        <w:spacing w:before="60"/>
        <w:jc w:val="center"/>
        <w:rPr>
          <w:i/>
        </w:rPr>
      </w:pPr>
      <w:r w:rsidRPr="00BF04C9">
        <w:rPr>
          <w:i/>
        </w:rPr>
        <w:t>Abb. 2: Öffentlichkeit eines Unternehmens</w:t>
      </w:r>
    </w:p>
    <w:p w14:paraId="655F9274" w14:textId="77777777" w:rsidR="00677BB9" w:rsidRPr="007F69DA" w:rsidRDefault="00677BB9" w:rsidP="00677BB9">
      <w:pPr>
        <w:spacing w:before="20" w:line="360" w:lineRule="auto"/>
        <w:ind w:right="-851"/>
      </w:pPr>
      <w:r w:rsidRPr="007F69DA">
        <w:rPr>
          <w:noProof/>
          <w:lang w:eastAsia="de-DE"/>
        </w:rPr>
        <w:drawing>
          <wp:inline distT="0" distB="0" distL="0" distR="0" wp14:anchorId="34714798" wp14:editId="78D46742">
            <wp:extent cx="5876925" cy="3156068"/>
            <wp:effectExtent l="0" t="0" r="0" b="6350"/>
            <wp:docPr id="1343244096" name="Grafik 1343244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5884556" cy="3160166"/>
                    </a:xfrm>
                    <a:prstGeom prst="rect">
                      <a:avLst/>
                    </a:prstGeom>
                    <a:noFill/>
                  </pic:spPr>
                </pic:pic>
              </a:graphicData>
            </a:graphic>
          </wp:inline>
        </w:drawing>
      </w:r>
    </w:p>
    <w:p w14:paraId="1E8257D1" w14:textId="77777777" w:rsidR="00677BB9" w:rsidRPr="007F69DA" w:rsidRDefault="00677BB9" w:rsidP="00677BB9">
      <w:pPr>
        <w:spacing w:line="360" w:lineRule="auto"/>
        <w:ind w:right="-851"/>
      </w:pPr>
    </w:p>
    <w:p w14:paraId="096FA114" w14:textId="098A21EE" w:rsidR="00677BB9" w:rsidRPr="007F69DA" w:rsidRDefault="000D74BB" w:rsidP="00677BB9">
      <w:pPr>
        <w:jc w:val="both"/>
        <w:rPr>
          <w:szCs w:val="24"/>
          <w:lang w:bidi="en-US"/>
        </w:rPr>
      </w:pPr>
      <w:r>
        <w:rPr>
          <w:szCs w:val="24"/>
          <w:lang w:bidi="en-US"/>
        </w:rPr>
        <w:t xml:space="preserve">3.2 </w:t>
      </w:r>
      <w:r w:rsidR="00677BB9" w:rsidRPr="007F69DA">
        <w:rPr>
          <w:szCs w:val="24"/>
          <w:lang w:bidi="en-US"/>
        </w:rPr>
        <w:t xml:space="preserve">Phase des </w:t>
      </w:r>
      <w:proofErr w:type="spellStart"/>
      <w:r w:rsidR="00677BB9" w:rsidRPr="007F69DA">
        <w:rPr>
          <w:szCs w:val="24"/>
          <w:lang w:bidi="en-US"/>
        </w:rPr>
        <w:t>Konsumerismus</w:t>
      </w:r>
      <w:proofErr w:type="spellEnd"/>
    </w:p>
    <w:p w14:paraId="1A833FEE" w14:textId="77777777" w:rsidR="00677BB9" w:rsidRPr="007F69DA" w:rsidRDefault="00677BB9" w:rsidP="00677BB9">
      <w:pPr>
        <w:jc w:val="both"/>
        <w:rPr>
          <w:szCs w:val="24"/>
          <w:lang w:val="en-US" w:bidi="en-US"/>
        </w:rPr>
      </w:pPr>
      <w:r w:rsidRPr="007F69DA">
        <w:rPr>
          <w:szCs w:val="24"/>
          <w:lang w:bidi="en-US"/>
        </w:rPr>
        <w:t xml:space="preserve">Vor allem in den pluralistischen Industrieländern wandeln sich die Akteure und Zielsetzungen der zahlreichen Interessensgruppen fortlaufend (vgl. Abb. 3). Anfänglich hatten die Unternehmen lediglich mit Gruppierungen zu tun, mit denen sie direkte (Geschäfts-)Beziehungen unterhielten. In den 1970er-Jahen forderten dann Verbraucherverbände aller Art Mitsprache und stritten für die Interessen der Verbraucher (z.B. Rechtssicherheit und verlässliche Produktinformationen). </w:t>
      </w:r>
      <w:r w:rsidRPr="007F69DA">
        <w:rPr>
          <w:szCs w:val="24"/>
          <w:lang w:val="en-US" w:bidi="en-US"/>
        </w:rPr>
        <w:t>Bekannt geworden ist diese Bewegung als Konsumerismus:  „A social movement seeking to augment the rights and power of buyers in relation to sellers” (Quazi 2002, S.36).</w:t>
      </w:r>
    </w:p>
    <w:p w14:paraId="383841C3" w14:textId="77777777" w:rsidR="00677BB9" w:rsidRPr="007F69DA" w:rsidRDefault="00677BB9" w:rsidP="00677BB9">
      <w:pPr>
        <w:spacing w:line="360" w:lineRule="auto"/>
        <w:ind w:right="-851"/>
        <w:rPr>
          <w:lang w:val="en-US"/>
        </w:rPr>
      </w:pPr>
    </w:p>
    <w:p w14:paraId="613FA76F" w14:textId="77777777" w:rsidR="00677BB9" w:rsidRPr="00BF04C9" w:rsidRDefault="00677BB9" w:rsidP="00677BB9">
      <w:pPr>
        <w:pStyle w:val="Beschriftung"/>
        <w:ind w:right="-851"/>
        <w:rPr>
          <w:sz w:val="22"/>
          <w:szCs w:val="22"/>
        </w:rPr>
      </w:pPr>
      <w:r w:rsidRPr="00BF04C9">
        <w:rPr>
          <w:sz w:val="22"/>
          <w:szCs w:val="22"/>
        </w:rPr>
        <w:t>Abb. 3: Organisationsformen &amp; Ziele der Öffentlichkeit im Zeitverlauf</w:t>
      </w:r>
    </w:p>
    <w:p w14:paraId="6207461B" w14:textId="77777777" w:rsidR="00677BB9" w:rsidRPr="007F69DA" w:rsidRDefault="00677BB9" w:rsidP="00677BB9">
      <w:pPr>
        <w:rPr>
          <w:lang w:eastAsia="de-DE"/>
        </w:rPr>
      </w:pPr>
      <w:r w:rsidRPr="007F69DA">
        <w:rPr>
          <w:noProof/>
          <w:lang w:eastAsia="de-DE"/>
        </w:rPr>
        <w:lastRenderedPageBreak/>
        <w:drawing>
          <wp:inline distT="0" distB="0" distL="0" distR="0" wp14:anchorId="078A5567" wp14:editId="60FAFECC">
            <wp:extent cx="6026549" cy="3733800"/>
            <wp:effectExtent l="0" t="0" r="0" b="0"/>
            <wp:docPr id="1734951413" name="Grafik 1734951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6035084" cy="3739088"/>
                    </a:xfrm>
                    <a:prstGeom prst="rect">
                      <a:avLst/>
                    </a:prstGeom>
                    <a:noFill/>
                  </pic:spPr>
                </pic:pic>
              </a:graphicData>
            </a:graphic>
          </wp:inline>
        </w:drawing>
      </w:r>
    </w:p>
    <w:p w14:paraId="4C197285" w14:textId="77777777" w:rsidR="00677BB9" w:rsidRPr="007F69DA" w:rsidRDefault="00677BB9" w:rsidP="00677BB9">
      <w:pPr>
        <w:spacing w:before="20" w:line="360" w:lineRule="auto"/>
        <w:ind w:right="-851"/>
      </w:pPr>
    </w:p>
    <w:p w14:paraId="074B23B3" w14:textId="5201FF64" w:rsidR="00677BB9" w:rsidRPr="007F69DA" w:rsidRDefault="000D74BB" w:rsidP="00677BB9">
      <w:pPr>
        <w:jc w:val="both"/>
        <w:rPr>
          <w:szCs w:val="24"/>
          <w:lang w:bidi="en-US"/>
        </w:rPr>
      </w:pPr>
      <w:r>
        <w:rPr>
          <w:szCs w:val="24"/>
          <w:lang w:bidi="en-US"/>
        </w:rPr>
        <w:t xml:space="preserve">3.3 </w:t>
      </w:r>
      <w:r w:rsidR="00677BB9" w:rsidRPr="007F69DA">
        <w:rPr>
          <w:szCs w:val="24"/>
          <w:lang w:bidi="en-US"/>
        </w:rPr>
        <w:t>Phase der Multi-Kritik</w:t>
      </w:r>
    </w:p>
    <w:p w14:paraId="68A53329" w14:textId="77777777" w:rsidR="00677BB9" w:rsidRPr="007F69DA" w:rsidRDefault="00677BB9" w:rsidP="00677BB9">
      <w:pPr>
        <w:jc w:val="both"/>
        <w:rPr>
          <w:szCs w:val="24"/>
          <w:lang w:bidi="en-US"/>
        </w:rPr>
      </w:pPr>
      <w:r w:rsidRPr="007F69DA">
        <w:rPr>
          <w:szCs w:val="24"/>
          <w:lang w:bidi="en-US"/>
        </w:rPr>
        <w:t>In den 1950er- und 1960er-Jahren trieben vor allem US-amerikanische Unternehmen die Internationalisierung voran, indem sie in Europa und Lateinamerika Tochtergesellschaften gründeten. Die Machtfülle der so geschaffenen Multinationalen Unternehmen löste bei vielen Verbrauchern Befürchtungen aus. Angesichts der für Laien nicht durchschaubaren länderübergreifenden Konzernverflechtungen und Lieferbeziehungen von BP, GM, United Fruit und anderen „Multis“ sahen viele ihre Interessen nunmehr in Gefahr. Denn anders als zu Zeiten des Konsumerismus sorgten sich die Kritiker nun nicht „nur“ um ihre Rechte als Verbraucher, sondern bspw. auch um die Produktions- und Lebensbedingungen in der damals so genannten Dritten Welt. Und viele, welche die „Multis“ als Agenten des Neokolonialismus empfanden, wollten nun ein „wachsames Auge“ auf deren Tätigkeit werfen. Noch aber waren die Kritiker wenig organisiert.</w:t>
      </w:r>
    </w:p>
    <w:p w14:paraId="24A8A162" w14:textId="77777777" w:rsidR="00677BB9" w:rsidRPr="007F69DA" w:rsidRDefault="00677BB9" w:rsidP="00677BB9">
      <w:pPr>
        <w:spacing w:before="240" w:after="60" w:line="360" w:lineRule="auto"/>
        <w:ind w:left="284" w:right="-851"/>
      </w:pPr>
    </w:p>
    <w:p w14:paraId="7443FF3F" w14:textId="67197253" w:rsidR="00677BB9" w:rsidRPr="007F69DA" w:rsidRDefault="000D74BB" w:rsidP="00677BB9">
      <w:pPr>
        <w:jc w:val="both"/>
        <w:rPr>
          <w:szCs w:val="24"/>
          <w:lang w:bidi="en-US"/>
        </w:rPr>
      </w:pPr>
      <w:r>
        <w:rPr>
          <w:szCs w:val="24"/>
          <w:lang w:bidi="en-US"/>
        </w:rPr>
        <w:t xml:space="preserve">3.4 </w:t>
      </w:r>
      <w:r w:rsidR="00677BB9" w:rsidRPr="007F69DA">
        <w:rPr>
          <w:szCs w:val="24"/>
          <w:lang w:bidi="en-US"/>
        </w:rPr>
        <w:t>Phase der Nicht-Regierungsorganisationen</w:t>
      </w:r>
    </w:p>
    <w:p w14:paraId="6FA3FB23" w14:textId="77777777" w:rsidR="00677BB9" w:rsidRPr="007F69DA" w:rsidRDefault="00677BB9" w:rsidP="00677BB9">
      <w:pPr>
        <w:jc w:val="both"/>
        <w:rPr>
          <w:szCs w:val="24"/>
          <w:lang w:bidi="en-US"/>
        </w:rPr>
      </w:pPr>
      <w:r w:rsidRPr="007F69DA">
        <w:rPr>
          <w:szCs w:val="24"/>
          <w:lang w:bidi="en-US"/>
        </w:rPr>
        <w:t>Auf dem Nährboden dieser überwiegend pauschalen und nicht selten ideologischen Multi-Kritik entwickelten sich in den 1990er-Jahren überwiegend dezentral geführte politische Organisationen. Ihr Engagement legitimierten die Aktivisten damit, dass angesichts der Globalisierung der Wirtschaft die traditionellen nationalstaatlichen Institutionen immer weniger in der Lage seien, „für Recht und Ordnung“ zu sorgen, weil ihr Zuständigkeitsbereich an den Ländergrenzen endet. Parallel zu den supra-nationalen Organisationen (z.B. EU, Weltbank) entstanden nun zahllose Non-Government Organizations (NGOs), etwa Transfair, ATTAC oder Reporter ohne Grenzen. Sie sehen ihre Aufgabe darin, im Interesse der Weltbevölkerung globale Standards (z.B. Produkthaftung, Öko- und Sozial-Mindestnormen) zu erarbeiten, durchzusetzen und zu überwachen. Besonderen Wert legen sie auf Transparenz und Integrität (vgl. Doh/Teegen 2003). Charakteristisch für diese Phase ist der Ethik-Check bekannter Hersteller von Sportschuhen durch Verbruikersunie, eine belgische Verbraucherschutzorganisation (vgl. Tab. 1).</w:t>
      </w:r>
    </w:p>
    <w:p w14:paraId="00E6533F" w14:textId="77777777" w:rsidR="00677BB9" w:rsidRPr="007F69DA" w:rsidRDefault="00677BB9" w:rsidP="00677BB9">
      <w:pPr>
        <w:jc w:val="both"/>
        <w:rPr>
          <w:szCs w:val="24"/>
          <w:lang w:bidi="en-US"/>
        </w:rPr>
      </w:pPr>
    </w:p>
    <w:p w14:paraId="1F145029" w14:textId="77777777" w:rsidR="00677BB9" w:rsidRPr="00BF04C9" w:rsidRDefault="00677BB9" w:rsidP="00677BB9">
      <w:pPr>
        <w:pStyle w:val="Beschriftung"/>
        <w:ind w:right="-851"/>
        <w:rPr>
          <w:sz w:val="22"/>
          <w:szCs w:val="22"/>
        </w:rPr>
      </w:pPr>
      <w:r w:rsidRPr="00BF04C9">
        <w:rPr>
          <w:sz w:val="22"/>
          <w:szCs w:val="22"/>
        </w:rPr>
        <w:t>Tab. 1: Sportschuh-Produzenten auf dem Ethik-Prüfstand</w:t>
      </w:r>
    </w:p>
    <w:tbl>
      <w:tblPr>
        <w:tblW w:w="8397" w:type="dxa"/>
        <w:tblInd w:w="709" w:type="dxa"/>
        <w:tblCellMar>
          <w:left w:w="28" w:type="dxa"/>
          <w:right w:w="28" w:type="dxa"/>
        </w:tblCellMar>
        <w:tblLook w:val="0000" w:firstRow="0" w:lastRow="0" w:firstColumn="0" w:lastColumn="0" w:noHBand="0" w:noVBand="0"/>
      </w:tblPr>
      <w:tblGrid>
        <w:gridCol w:w="2205"/>
        <w:gridCol w:w="949"/>
        <w:gridCol w:w="587"/>
        <w:gridCol w:w="774"/>
        <w:gridCol w:w="478"/>
        <w:gridCol w:w="882"/>
        <w:gridCol w:w="532"/>
        <w:gridCol w:w="277"/>
        <w:gridCol w:w="211"/>
        <w:gridCol w:w="167"/>
        <w:gridCol w:w="267"/>
        <w:gridCol w:w="222"/>
        <w:gridCol w:w="222"/>
        <w:gridCol w:w="91"/>
        <w:gridCol w:w="59"/>
        <w:gridCol w:w="173"/>
        <w:gridCol w:w="173"/>
        <w:gridCol w:w="128"/>
      </w:tblGrid>
      <w:tr w:rsidR="00677BB9" w:rsidRPr="007F69DA" w14:paraId="2B074270" w14:textId="77777777" w:rsidTr="00F46ACB">
        <w:trPr>
          <w:trHeight w:val="568"/>
        </w:trPr>
        <w:tc>
          <w:tcPr>
            <w:tcW w:w="2205" w:type="dxa"/>
            <w:tcBorders>
              <w:top w:val="single" w:sz="4" w:space="0" w:color="auto"/>
              <w:bottom w:val="single" w:sz="4" w:space="0" w:color="auto"/>
            </w:tcBorders>
            <w:shd w:val="clear" w:color="auto" w:fill="FFC000"/>
            <w:vAlign w:val="center"/>
          </w:tcPr>
          <w:p w14:paraId="6953F82E" w14:textId="77777777" w:rsidR="00677BB9" w:rsidRPr="007F69DA" w:rsidRDefault="00677BB9" w:rsidP="00F46ACB">
            <w:pPr>
              <w:pStyle w:val="TabelleBuch"/>
              <w:spacing w:after="0" w:line="240" w:lineRule="auto"/>
              <w:ind w:right="-851"/>
              <w:rPr>
                <w:rFonts w:ascii="Times New Roman" w:hAnsi="Times New Roman"/>
                <w:szCs w:val="22"/>
              </w:rPr>
            </w:pPr>
          </w:p>
        </w:tc>
        <w:tc>
          <w:tcPr>
            <w:tcW w:w="949" w:type="dxa"/>
            <w:tcBorders>
              <w:top w:val="single" w:sz="4" w:space="0" w:color="auto"/>
              <w:bottom w:val="single" w:sz="4" w:space="0" w:color="auto"/>
            </w:tcBorders>
            <w:shd w:val="clear" w:color="auto" w:fill="FFC000"/>
            <w:vAlign w:val="center"/>
          </w:tcPr>
          <w:p w14:paraId="5564E665" w14:textId="77777777" w:rsidR="00677BB9" w:rsidRPr="007F69DA" w:rsidRDefault="00677BB9" w:rsidP="00F46ACB">
            <w:pPr>
              <w:pStyle w:val="TabelleBuch"/>
              <w:spacing w:after="0" w:line="240" w:lineRule="auto"/>
              <w:ind w:right="-851"/>
              <w:jc w:val="center"/>
              <w:rPr>
                <w:rFonts w:ascii="Times New Roman" w:hAnsi="Times New Roman"/>
                <w:b/>
                <w:bCs w:val="0"/>
                <w:iCs/>
                <w:szCs w:val="22"/>
                <w:lang w:val="en-GB"/>
              </w:rPr>
            </w:pPr>
            <w:r w:rsidRPr="007F69DA">
              <w:rPr>
                <w:rFonts w:ascii="Times New Roman" w:hAnsi="Times New Roman"/>
                <w:b/>
                <w:bCs w:val="0"/>
                <w:iCs/>
                <w:szCs w:val="22"/>
                <w:lang w:val="en-GB"/>
              </w:rPr>
              <w:t>Adidas-Salomon</w:t>
            </w:r>
          </w:p>
        </w:tc>
        <w:tc>
          <w:tcPr>
            <w:tcW w:w="586" w:type="dxa"/>
            <w:tcBorders>
              <w:top w:val="single" w:sz="4" w:space="0" w:color="auto"/>
              <w:bottom w:val="single" w:sz="4" w:space="0" w:color="auto"/>
            </w:tcBorders>
            <w:shd w:val="clear" w:color="auto" w:fill="FFC000"/>
            <w:vAlign w:val="center"/>
          </w:tcPr>
          <w:p w14:paraId="1AE7A595" w14:textId="77777777" w:rsidR="00677BB9" w:rsidRPr="007F69DA" w:rsidRDefault="00677BB9" w:rsidP="00F46ACB">
            <w:pPr>
              <w:pStyle w:val="TabelleBuch"/>
              <w:spacing w:after="0" w:line="240" w:lineRule="auto"/>
              <w:ind w:right="-851"/>
              <w:jc w:val="center"/>
              <w:rPr>
                <w:rFonts w:ascii="Times New Roman" w:hAnsi="Times New Roman"/>
                <w:b/>
                <w:bCs w:val="0"/>
                <w:iCs/>
                <w:szCs w:val="22"/>
                <w:lang w:val="en-GB"/>
              </w:rPr>
            </w:pPr>
            <w:r w:rsidRPr="007F69DA">
              <w:rPr>
                <w:rFonts w:ascii="Times New Roman" w:hAnsi="Times New Roman"/>
                <w:b/>
                <w:bCs w:val="0"/>
                <w:iCs/>
                <w:szCs w:val="22"/>
                <w:lang w:val="en-GB"/>
              </w:rPr>
              <w:t>Asics</w:t>
            </w:r>
          </w:p>
        </w:tc>
        <w:tc>
          <w:tcPr>
            <w:tcW w:w="774" w:type="dxa"/>
            <w:tcBorders>
              <w:top w:val="single" w:sz="4" w:space="0" w:color="auto"/>
              <w:bottom w:val="single" w:sz="4" w:space="0" w:color="auto"/>
            </w:tcBorders>
            <w:shd w:val="clear" w:color="auto" w:fill="FFC000"/>
            <w:vAlign w:val="center"/>
          </w:tcPr>
          <w:p w14:paraId="43C80664" w14:textId="77777777" w:rsidR="00677BB9" w:rsidRPr="007F69DA" w:rsidRDefault="00677BB9" w:rsidP="00F46ACB">
            <w:pPr>
              <w:pStyle w:val="TabelleBuch"/>
              <w:spacing w:after="0" w:line="240" w:lineRule="auto"/>
              <w:ind w:right="-851"/>
              <w:jc w:val="center"/>
              <w:rPr>
                <w:rFonts w:ascii="Times New Roman" w:hAnsi="Times New Roman"/>
                <w:b/>
                <w:bCs w:val="0"/>
                <w:iCs/>
                <w:szCs w:val="22"/>
                <w:lang w:val="en-GB"/>
              </w:rPr>
            </w:pPr>
            <w:r w:rsidRPr="007F69DA">
              <w:rPr>
                <w:rFonts w:ascii="Times New Roman" w:hAnsi="Times New Roman"/>
                <w:b/>
                <w:bCs w:val="0"/>
                <w:iCs/>
                <w:szCs w:val="22"/>
                <w:lang w:val="en-GB"/>
              </w:rPr>
              <w:t>Brooks</w:t>
            </w:r>
          </w:p>
        </w:tc>
        <w:tc>
          <w:tcPr>
            <w:tcW w:w="478" w:type="dxa"/>
            <w:tcBorders>
              <w:top w:val="single" w:sz="4" w:space="0" w:color="auto"/>
              <w:bottom w:val="single" w:sz="4" w:space="0" w:color="auto"/>
            </w:tcBorders>
            <w:shd w:val="clear" w:color="auto" w:fill="FFC000"/>
            <w:vAlign w:val="center"/>
          </w:tcPr>
          <w:p w14:paraId="6BAA0C2F" w14:textId="77777777" w:rsidR="00677BB9" w:rsidRPr="007F69DA" w:rsidRDefault="00677BB9" w:rsidP="00F46ACB">
            <w:pPr>
              <w:pStyle w:val="TabelleBuch"/>
              <w:spacing w:after="0" w:line="240" w:lineRule="auto"/>
              <w:ind w:right="-851"/>
              <w:jc w:val="center"/>
              <w:rPr>
                <w:rFonts w:ascii="Times New Roman" w:hAnsi="Times New Roman"/>
                <w:b/>
                <w:bCs w:val="0"/>
                <w:iCs/>
                <w:szCs w:val="22"/>
                <w:lang w:val="en-GB"/>
              </w:rPr>
            </w:pPr>
            <w:r w:rsidRPr="007F69DA">
              <w:rPr>
                <w:rFonts w:ascii="Times New Roman" w:hAnsi="Times New Roman"/>
                <w:b/>
                <w:bCs w:val="0"/>
                <w:iCs/>
                <w:szCs w:val="22"/>
                <w:lang w:val="en-GB"/>
              </w:rPr>
              <w:t>Fila</w:t>
            </w:r>
          </w:p>
        </w:tc>
        <w:tc>
          <w:tcPr>
            <w:tcW w:w="882" w:type="dxa"/>
            <w:tcBorders>
              <w:top w:val="single" w:sz="4" w:space="0" w:color="auto"/>
              <w:bottom w:val="single" w:sz="4" w:space="0" w:color="auto"/>
            </w:tcBorders>
            <w:shd w:val="clear" w:color="auto" w:fill="FFC000"/>
            <w:vAlign w:val="center"/>
          </w:tcPr>
          <w:p w14:paraId="75A24974" w14:textId="77777777" w:rsidR="00677BB9" w:rsidRPr="007F69DA" w:rsidRDefault="00677BB9" w:rsidP="00F46ACB">
            <w:pPr>
              <w:pStyle w:val="TabelleBuch"/>
              <w:spacing w:after="0" w:line="240" w:lineRule="auto"/>
              <w:ind w:right="-851"/>
              <w:jc w:val="center"/>
              <w:rPr>
                <w:rFonts w:ascii="Times New Roman" w:hAnsi="Times New Roman"/>
                <w:b/>
                <w:bCs w:val="0"/>
                <w:iCs/>
                <w:szCs w:val="22"/>
                <w:lang w:val="en-GB"/>
              </w:rPr>
            </w:pPr>
            <w:r w:rsidRPr="007F69DA">
              <w:rPr>
                <w:rFonts w:ascii="Times New Roman" w:hAnsi="Times New Roman"/>
                <w:b/>
                <w:bCs w:val="0"/>
                <w:iCs/>
                <w:szCs w:val="22"/>
                <w:lang w:val="en-GB"/>
              </w:rPr>
              <w:t>New Balance</w:t>
            </w:r>
          </w:p>
        </w:tc>
        <w:tc>
          <w:tcPr>
            <w:tcW w:w="532" w:type="dxa"/>
            <w:tcBorders>
              <w:top w:val="single" w:sz="4" w:space="0" w:color="auto"/>
              <w:bottom w:val="single" w:sz="4" w:space="0" w:color="auto"/>
            </w:tcBorders>
            <w:shd w:val="clear" w:color="auto" w:fill="FFC000"/>
            <w:vAlign w:val="center"/>
          </w:tcPr>
          <w:p w14:paraId="6DE8D402" w14:textId="77777777" w:rsidR="00677BB9" w:rsidRPr="007F69DA" w:rsidRDefault="00677BB9" w:rsidP="00F46ACB">
            <w:pPr>
              <w:pStyle w:val="TabelleBuch"/>
              <w:spacing w:after="0" w:line="240" w:lineRule="auto"/>
              <w:ind w:right="-851"/>
              <w:jc w:val="center"/>
              <w:rPr>
                <w:rFonts w:ascii="Times New Roman" w:hAnsi="Times New Roman"/>
                <w:b/>
                <w:bCs w:val="0"/>
                <w:iCs/>
                <w:szCs w:val="22"/>
                <w:lang w:val="en-GB"/>
              </w:rPr>
            </w:pPr>
            <w:r w:rsidRPr="007F69DA">
              <w:rPr>
                <w:rFonts w:ascii="Times New Roman" w:hAnsi="Times New Roman"/>
                <w:b/>
                <w:bCs w:val="0"/>
                <w:iCs/>
                <w:szCs w:val="22"/>
                <w:lang w:val="en-GB"/>
              </w:rPr>
              <w:t>Nike</w:t>
            </w:r>
          </w:p>
        </w:tc>
        <w:tc>
          <w:tcPr>
            <w:tcW w:w="653" w:type="dxa"/>
            <w:gridSpan w:val="3"/>
            <w:tcBorders>
              <w:top w:val="single" w:sz="4" w:space="0" w:color="auto"/>
              <w:bottom w:val="single" w:sz="4" w:space="0" w:color="auto"/>
            </w:tcBorders>
            <w:shd w:val="clear" w:color="auto" w:fill="FFC000"/>
            <w:vAlign w:val="center"/>
          </w:tcPr>
          <w:p w14:paraId="181A4E16" w14:textId="77777777" w:rsidR="00677BB9" w:rsidRPr="007F69DA" w:rsidRDefault="00677BB9" w:rsidP="00F46ACB">
            <w:pPr>
              <w:pStyle w:val="TabelleBuch"/>
              <w:spacing w:after="0" w:line="240" w:lineRule="auto"/>
              <w:ind w:right="-851"/>
              <w:jc w:val="center"/>
              <w:rPr>
                <w:rFonts w:ascii="Times New Roman" w:hAnsi="Times New Roman"/>
                <w:b/>
                <w:bCs w:val="0"/>
                <w:iCs/>
                <w:szCs w:val="22"/>
                <w:lang w:val="en-GB"/>
              </w:rPr>
            </w:pPr>
            <w:r w:rsidRPr="007F69DA">
              <w:rPr>
                <w:rFonts w:ascii="Times New Roman" w:hAnsi="Times New Roman"/>
                <w:b/>
                <w:bCs w:val="0"/>
                <w:iCs/>
                <w:szCs w:val="22"/>
                <w:lang w:val="en-GB"/>
              </w:rPr>
              <w:t>Puma</w:t>
            </w:r>
          </w:p>
        </w:tc>
        <w:tc>
          <w:tcPr>
            <w:tcW w:w="802" w:type="dxa"/>
            <w:gridSpan w:val="4"/>
            <w:tcBorders>
              <w:top w:val="single" w:sz="4" w:space="0" w:color="auto"/>
              <w:bottom w:val="single" w:sz="4" w:space="0" w:color="auto"/>
            </w:tcBorders>
            <w:shd w:val="clear" w:color="auto" w:fill="FFC000"/>
            <w:vAlign w:val="center"/>
          </w:tcPr>
          <w:p w14:paraId="4432511F" w14:textId="77777777" w:rsidR="00677BB9" w:rsidRPr="007F69DA" w:rsidRDefault="00677BB9" w:rsidP="00F46ACB">
            <w:pPr>
              <w:pStyle w:val="TabelleBuch"/>
              <w:spacing w:after="0" w:line="240" w:lineRule="auto"/>
              <w:ind w:right="-851"/>
              <w:jc w:val="center"/>
              <w:rPr>
                <w:rFonts w:ascii="Times New Roman" w:hAnsi="Times New Roman"/>
                <w:b/>
                <w:bCs w:val="0"/>
                <w:iCs/>
                <w:szCs w:val="22"/>
                <w:lang w:val="en-GB"/>
              </w:rPr>
            </w:pPr>
            <w:r w:rsidRPr="007F69DA">
              <w:rPr>
                <w:rFonts w:ascii="Times New Roman" w:hAnsi="Times New Roman"/>
                <w:b/>
                <w:bCs w:val="0"/>
                <w:iCs/>
                <w:szCs w:val="22"/>
                <w:lang w:val="en-GB"/>
              </w:rPr>
              <w:t>Reebok</w:t>
            </w:r>
          </w:p>
        </w:tc>
        <w:tc>
          <w:tcPr>
            <w:tcW w:w="532" w:type="dxa"/>
            <w:gridSpan w:val="4"/>
            <w:tcBorders>
              <w:top w:val="single" w:sz="4" w:space="0" w:color="auto"/>
              <w:bottom w:val="single" w:sz="4" w:space="0" w:color="auto"/>
            </w:tcBorders>
            <w:shd w:val="clear" w:color="auto" w:fill="FFC000"/>
            <w:vAlign w:val="center"/>
          </w:tcPr>
          <w:p w14:paraId="595EF5C4" w14:textId="77777777" w:rsidR="00677BB9" w:rsidRPr="007F69DA" w:rsidRDefault="00677BB9" w:rsidP="00F46ACB">
            <w:pPr>
              <w:pStyle w:val="TabelleBuch"/>
              <w:spacing w:after="0" w:line="240" w:lineRule="auto"/>
              <w:ind w:right="-851"/>
              <w:jc w:val="center"/>
              <w:rPr>
                <w:rFonts w:ascii="Times New Roman" w:hAnsi="Times New Roman"/>
                <w:b/>
                <w:bCs w:val="0"/>
                <w:iCs/>
                <w:szCs w:val="22"/>
              </w:rPr>
            </w:pPr>
            <w:r w:rsidRPr="007F69DA">
              <w:rPr>
                <w:rFonts w:ascii="Times New Roman" w:hAnsi="Times New Roman"/>
                <w:b/>
                <w:bCs w:val="0"/>
                <w:iCs/>
                <w:szCs w:val="22"/>
              </w:rPr>
              <w:t>Sau-</w:t>
            </w:r>
            <w:r w:rsidRPr="007F69DA">
              <w:rPr>
                <w:rFonts w:ascii="Times New Roman" w:hAnsi="Times New Roman"/>
                <w:b/>
                <w:bCs w:val="0"/>
                <w:iCs/>
                <w:szCs w:val="22"/>
              </w:rPr>
              <w:br/>
              <w:t>cony</w:t>
            </w:r>
          </w:p>
        </w:tc>
      </w:tr>
      <w:tr w:rsidR="00677BB9" w:rsidRPr="007F69DA" w14:paraId="326AC2D8" w14:textId="77777777" w:rsidTr="00F46ACB">
        <w:trPr>
          <w:trHeight w:val="383"/>
        </w:trPr>
        <w:tc>
          <w:tcPr>
            <w:tcW w:w="6684" w:type="dxa"/>
            <w:gridSpan w:val="8"/>
            <w:tcBorders>
              <w:top w:val="single" w:sz="4" w:space="0" w:color="auto"/>
              <w:bottom w:val="single" w:sz="4" w:space="0" w:color="auto"/>
            </w:tcBorders>
            <w:shd w:val="clear" w:color="auto" w:fill="FFF2CC" w:themeFill="accent4" w:themeFillTint="33"/>
            <w:vAlign w:val="center"/>
          </w:tcPr>
          <w:p w14:paraId="508C7B2F" w14:textId="77777777" w:rsidR="00677BB9" w:rsidRPr="007F69DA" w:rsidRDefault="00677BB9" w:rsidP="00F46ACB">
            <w:pPr>
              <w:pStyle w:val="TabelleBuch"/>
              <w:spacing w:line="240" w:lineRule="auto"/>
              <w:ind w:left="42" w:right="-851"/>
              <w:rPr>
                <w:rFonts w:ascii="Times New Roman" w:hAnsi="Times New Roman"/>
                <w:szCs w:val="22"/>
              </w:rPr>
            </w:pPr>
            <w:r w:rsidRPr="007F69DA">
              <w:rPr>
                <w:rFonts w:ascii="Times New Roman" w:hAnsi="Times New Roman"/>
                <w:b/>
                <w:bCs w:val="0"/>
                <w:szCs w:val="22"/>
              </w:rPr>
              <w:lastRenderedPageBreak/>
              <w:t>Transparenz</w:t>
            </w:r>
          </w:p>
        </w:tc>
        <w:tc>
          <w:tcPr>
            <w:tcW w:w="211" w:type="dxa"/>
            <w:tcBorders>
              <w:top w:val="single" w:sz="4" w:space="0" w:color="auto"/>
              <w:bottom w:val="single" w:sz="4" w:space="0" w:color="auto"/>
            </w:tcBorders>
            <w:shd w:val="clear" w:color="auto" w:fill="FFF2CC" w:themeFill="accent4" w:themeFillTint="33"/>
            <w:vAlign w:val="center"/>
          </w:tcPr>
          <w:p w14:paraId="385E9244"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167" w:type="dxa"/>
            <w:tcBorders>
              <w:top w:val="single" w:sz="4" w:space="0" w:color="auto"/>
              <w:bottom w:val="single" w:sz="4" w:space="0" w:color="auto"/>
            </w:tcBorders>
            <w:shd w:val="clear" w:color="auto" w:fill="FFF2CC" w:themeFill="accent4" w:themeFillTint="33"/>
            <w:vAlign w:val="center"/>
          </w:tcPr>
          <w:p w14:paraId="1F1E0C87"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267" w:type="dxa"/>
            <w:tcBorders>
              <w:top w:val="single" w:sz="4" w:space="0" w:color="auto"/>
              <w:bottom w:val="single" w:sz="4" w:space="0" w:color="auto"/>
            </w:tcBorders>
            <w:shd w:val="clear" w:color="auto" w:fill="FFF2CC" w:themeFill="accent4" w:themeFillTint="33"/>
            <w:vAlign w:val="center"/>
          </w:tcPr>
          <w:p w14:paraId="5ED35801"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222" w:type="dxa"/>
            <w:tcBorders>
              <w:top w:val="single" w:sz="4" w:space="0" w:color="auto"/>
              <w:bottom w:val="single" w:sz="4" w:space="0" w:color="auto"/>
            </w:tcBorders>
            <w:shd w:val="clear" w:color="auto" w:fill="FFF2CC" w:themeFill="accent4" w:themeFillTint="33"/>
            <w:vAlign w:val="center"/>
          </w:tcPr>
          <w:p w14:paraId="6CE40AB5"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222" w:type="dxa"/>
            <w:tcBorders>
              <w:top w:val="single" w:sz="4" w:space="0" w:color="auto"/>
              <w:bottom w:val="single" w:sz="4" w:space="0" w:color="auto"/>
            </w:tcBorders>
            <w:shd w:val="clear" w:color="auto" w:fill="FFF2CC" w:themeFill="accent4" w:themeFillTint="33"/>
            <w:vAlign w:val="center"/>
          </w:tcPr>
          <w:p w14:paraId="037BB49F"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149" w:type="dxa"/>
            <w:gridSpan w:val="2"/>
            <w:tcBorders>
              <w:top w:val="single" w:sz="4" w:space="0" w:color="auto"/>
              <w:bottom w:val="single" w:sz="4" w:space="0" w:color="auto"/>
            </w:tcBorders>
            <w:shd w:val="clear" w:color="auto" w:fill="FFF2CC" w:themeFill="accent4" w:themeFillTint="33"/>
            <w:vAlign w:val="center"/>
          </w:tcPr>
          <w:p w14:paraId="3BCCFCC5"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173" w:type="dxa"/>
            <w:tcBorders>
              <w:top w:val="single" w:sz="4" w:space="0" w:color="auto"/>
              <w:bottom w:val="single" w:sz="4" w:space="0" w:color="auto"/>
            </w:tcBorders>
            <w:shd w:val="clear" w:color="auto" w:fill="FFF2CC" w:themeFill="accent4" w:themeFillTint="33"/>
            <w:vAlign w:val="center"/>
          </w:tcPr>
          <w:p w14:paraId="4209F692"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173" w:type="dxa"/>
            <w:tcBorders>
              <w:top w:val="single" w:sz="4" w:space="0" w:color="auto"/>
              <w:bottom w:val="single" w:sz="4" w:space="0" w:color="auto"/>
            </w:tcBorders>
            <w:shd w:val="clear" w:color="auto" w:fill="FFF2CC" w:themeFill="accent4" w:themeFillTint="33"/>
            <w:vAlign w:val="center"/>
          </w:tcPr>
          <w:p w14:paraId="13451330"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125" w:type="dxa"/>
            <w:tcBorders>
              <w:top w:val="single" w:sz="4" w:space="0" w:color="auto"/>
              <w:bottom w:val="single" w:sz="4" w:space="0" w:color="auto"/>
            </w:tcBorders>
            <w:vAlign w:val="center"/>
          </w:tcPr>
          <w:p w14:paraId="5BFDCB3D" w14:textId="77777777" w:rsidR="00677BB9" w:rsidRPr="007F69DA" w:rsidRDefault="00677BB9" w:rsidP="00F46ACB">
            <w:pPr>
              <w:pStyle w:val="TabelleBuch"/>
              <w:spacing w:line="240" w:lineRule="auto"/>
              <w:ind w:right="-851"/>
              <w:jc w:val="center"/>
              <w:rPr>
                <w:rFonts w:ascii="Times New Roman" w:hAnsi="Times New Roman"/>
                <w:szCs w:val="22"/>
              </w:rPr>
            </w:pPr>
          </w:p>
        </w:tc>
      </w:tr>
      <w:tr w:rsidR="00677BB9" w:rsidRPr="007F69DA" w14:paraId="782727C2" w14:textId="77777777" w:rsidTr="00F46ACB">
        <w:trPr>
          <w:trHeight w:val="629"/>
        </w:trPr>
        <w:tc>
          <w:tcPr>
            <w:tcW w:w="2205" w:type="dxa"/>
            <w:tcBorders>
              <w:top w:val="single" w:sz="4" w:space="0" w:color="auto"/>
              <w:bottom w:val="single" w:sz="4" w:space="0" w:color="auto"/>
            </w:tcBorders>
            <w:vAlign w:val="center"/>
          </w:tcPr>
          <w:p w14:paraId="44C1B096" w14:textId="77777777" w:rsidR="00677BB9" w:rsidRPr="007F69DA" w:rsidRDefault="00677BB9" w:rsidP="00F46ACB">
            <w:pPr>
              <w:pStyle w:val="TabelleBuch"/>
              <w:spacing w:line="240" w:lineRule="auto"/>
              <w:ind w:left="42" w:right="-851"/>
              <w:jc w:val="left"/>
              <w:rPr>
                <w:rFonts w:ascii="Times New Roman" w:hAnsi="Times New Roman"/>
                <w:szCs w:val="22"/>
              </w:rPr>
            </w:pPr>
            <w:r w:rsidRPr="007F69DA">
              <w:rPr>
                <w:rFonts w:ascii="Times New Roman" w:hAnsi="Times New Roman"/>
                <w:szCs w:val="22"/>
              </w:rPr>
              <w:t xml:space="preserve">Kooperation mit </w:t>
            </w:r>
            <w:r w:rsidRPr="007F69DA">
              <w:rPr>
                <w:rFonts w:ascii="Times New Roman" w:hAnsi="Times New Roman"/>
                <w:szCs w:val="22"/>
              </w:rPr>
              <w:br/>
              <w:t>Rechercheuren</w:t>
            </w:r>
          </w:p>
        </w:tc>
        <w:tc>
          <w:tcPr>
            <w:tcW w:w="949" w:type="dxa"/>
            <w:tcBorders>
              <w:top w:val="single" w:sz="4" w:space="0" w:color="auto"/>
              <w:bottom w:val="single" w:sz="4" w:space="0" w:color="auto"/>
            </w:tcBorders>
            <w:vAlign w:val="center"/>
          </w:tcPr>
          <w:p w14:paraId="55A03558"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586" w:type="dxa"/>
            <w:tcBorders>
              <w:top w:val="single" w:sz="4" w:space="0" w:color="auto"/>
              <w:bottom w:val="single" w:sz="4" w:space="0" w:color="auto"/>
            </w:tcBorders>
            <w:vAlign w:val="center"/>
          </w:tcPr>
          <w:p w14:paraId="7E2B5C6A"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6"/>
            </w:r>
          </w:p>
        </w:tc>
        <w:tc>
          <w:tcPr>
            <w:tcW w:w="774" w:type="dxa"/>
            <w:tcBorders>
              <w:top w:val="single" w:sz="4" w:space="0" w:color="auto"/>
              <w:bottom w:val="single" w:sz="4" w:space="0" w:color="auto"/>
            </w:tcBorders>
            <w:vAlign w:val="center"/>
          </w:tcPr>
          <w:p w14:paraId="60853A7A"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6"/>
            </w:r>
          </w:p>
        </w:tc>
        <w:tc>
          <w:tcPr>
            <w:tcW w:w="478" w:type="dxa"/>
            <w:tcBorders>
              <w:top w:val="single" w:sz="4" w:space="0" w:color="auto"/>
              <w:bottom w:val="single" w:sz="4" w:space="0" w:color="auto"/>
            </w:tcBorders>
            <w:vAlign w:val="center"/>
          </w:tcPr>
          <w:p w14:paraId="722150C7"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6"/>
            </w:r>
          </w:p>
        </w:tc>
        <w:tc>
          <w:tcPr>
            <w:tcW w:w="882" w:type="dxa"/>
            <w:tcBorders>
              <w:top w:val="single" w:sz="4" w:space="0" w:color="auto"/>
              <w:bottom w:val="single" w:sz="4" w:space="0" w:color="auto"/>
            </w:tcBorders>
            <w:vAlign w:val="center"/>
          </w:tcPr>
          <w:p w14:paraId="0324E92B"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532" w:type="dxa"/>
            <w:tcBorders>
              <w:top w:val="single" w:sz="4" w:space="0" w:color="auto"/>
              <w:bottom w:val="single" w:sz="4" w:space="0" w:color="auto"/>
            </w:tcBorders>
            <w:vAlign w:val="center"/>
          </w:tcPr>
          <w:p w14:paraId="3A11C84D"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c>
          <w:tcPr>
            <w:tcW w:w="653" w:type="dxa"/>
            <w:gridSpan w:val="3"/>
            <w:tcBorders>
              <w:top w:val="single" w:sz="4" w:space="0" w:color="auto"/>
              <w:bottom w:val="single" w:sz="4" w:space="0" w:color="auto"/>
            </w:tcBorders>
            <w:vAlign w:val="center"/>
          </w:tcPr>
          <w:p w14:paraId="573DF5DC"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861" w:type="dxa"/>
            <w:gridSpan w:val="5"/>
            <w:tcBorders>
              <w:top w:val="single" w:sz="4" w:space="0" w:color="auto"/>
              <w:bottom w:val="single" w:sz="4" w:space="0" w:color="auto"/>
            </w:tcBorders>
            <w:vAlign w:val="center"/>
          </w:tcPr>
          <w:p w14:paraId="7F0DD920"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6"/>
            </w:r>
          </w:p>
        </w:tc>
        <w:tc>
          <w:tcPr>
            <w:tcW w:w="473" w:type="dxa"/>
            <w:gridSpan w:val="3"/>
            <w:tcBorders>
              <w:top w:val="single" w:sz="4" w:space="0" w:color="auto"/>
              <w:bottom w:val="single" w:sz="4" w:space="0" w:color="auto"/>
            </w:tcBorders>
            <w:vAlign w:val="center"/>
          </w:tcPr>
          <w:p w14:paraId="514FA985"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6"/>
            </w:r>
          </w:p>
        </w:tc>
      </w:tr>
      <w:tr w:rsidR="00677BB9" w:rsidRPr="007F69DA" w14:paraId="34960D8E" w14:textId="77777777" w:rsidTr="00F46ACB">
        <w:trPr>
          <w:trHeight w:val="645"/>
        </w:trPr>
        <w:tc>
          <w:tcPr>
            <w:tcW w:w="2205" w:type="dxa"/>
            <w:tcBorders>
              <w:top w:val="single" w:sz="4" w:space="0" w:color="auto"/>
              <w:bottom w:val="single" w:sz="4" w:space="0" w:color="auto"/>
            </w:tcBorders>
            <w:vAlign w:val="center"/>
          </w:tcPr>
          <w:p w14:paraId="112D3285" w14:textId="77777777" w:rsidR="00677BB9" w:rsidRPr="007F69DA" w:rsidRDefault="00677BB9" w:rsidP="00F46ACB">
            <w:pPr>
              <w:pStyle w:val="TabelleBuch"/>
              <w:spacing w:line="240" w:lineRule="auto"/>
              <w:ind w:left="42" w:right="-851"/>
              <w:jc w:val="left"/>
              <w:rPr>
                <w:rFonts w:ascii="Times New Roman" w:hAnsi="Times New Roman"/>
                <w:szCs w:val="22"/>
              </w:rPr>
            </w:pPr>
            <w:r w:rsidRPr="007F69DA">
              <w:rPr>
                <w:rFonts w:ascii="Times New Roman" w:hAnsi="Times New Roman"/>
                <w:szCs w:val="22"/>
              </w:rPr>
              <w:t xml:space="preserve">Berichte für die </w:t>
            </w:r>
            <w:r w:rsidRPr="007F69DA">
              <w:rPr>
                <w:rFonts w:ascii="Times New Roman" w:hAnsi="Times New Roman"/>
                <w:szCs w:val="22"/>
              </w:rPr>
              <w:br/>
              <w:t>Öffentlichkeit</w:t>
            </w:r>
          </w:p>
        </w:tc>
        <w:tc>
          <w:tcPr>
            <w:tcW w:w="949" w:type="dxa"/>
            <w:tcBorders>
              <w:top w:val="single" w:sz="4" w:space="0" w:color="auto"/>
              <w:bottom w:val="single" w:sz="4" w:space="0" w:color="auto"/>
            </w:tcBorders>
            <w:vAlign w:val="center"/>
          </w:tcPr>
          <w:p w14:paraId="0DF7C14E"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586" w:type="dxa"/>
            <w:tcBorders>
              <w:top w:val="single" w:sz="4" w:space="0" w:color="auto"/>
              <w:bottom w:val="single" w:sz="4" w:space="0" w:color="auto"/>
            </w:tcBorders>
            <w:vAlign w:val="center"/>
          </w:tcPr>
          <w:p w14:paraId="74BF8E85"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6"/>
            </w:r>
          </w:p>
        </w:tc>
        <w:tc>
          <w:tcPr>
            <w:tcW w:w="774" w:type="dxa"/>
            <w:tcBorders>
              <w:top w:val="single" w:sz="4" w:space="0" w:color="auto"/>
              <w:bottom w:val="single" w:sz="4" w:space="0" w:color="auto"/>
            </w:tcBorders>
            <w:vAlign w:val="center"/>
          </w:tcPr>
          <w:p w14:paraId="73CB8591"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6"/>
            </w:r>
          </w:p>
        </w:tc>
        <w:tc>
          <w:tcPr>
            <w:tcW w:w="478" w:type="dxa"/>
            <w:tcBorders>
              <w:top w:val="single" w:sz="4" w:space="0" w:color="auto"/>
              <w:bottom w:val="single" w:sz="4" w:space="0" w:color="auto"/>
            </w:tcBorders>
            <w:vAlign w:val="center"/>
          </w:tcPr>
          <w:p w14:paraId="61CFF240"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6"/>
            </w:r>
          </w:p>
        </w:tc>
        <w:tc>
          <w:tcPr>
            <w:tcW w:w="882" w:type="dxa"/>
            <w:tcBorders>
              <w:top w:val="single" w:sz="4" w:space="0" w:color="auto"/>
              <w:bottom w:val="single" w:sz="4" w:space="0" w:color="auto"/>
            </w:tcBorders>
            <w:vAlign w:val="center"/>
          </w:tcPr>
          <w:p w14:paraId="018D74B8"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532" w:type="dxa"/>
            <w:tcBorders>
              <w:top w:val="single" w:sz="4" w:space="0" w:color="auto"/>
              <w:bottom w:val="single" w:sz="4" w:space="0" w:color="auto"/>
            </w:tcBorders>
            <w:vAlign w:val="center"/>
          </w:tcPr>
          <w:p w14:paraId="2AC366CD"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653" w:type="dxa"/>
            <w:gridSpan w:val="3"/>
            <w:tcBorders>
              <w:top w:val="single" w:sz="4" w:space="0" w:color="auto"/>
              <w:bottom w:val="single" w:sz="4" w:space="0" w:color="auto"/>
            </w:tcBorders>
            <w:vAlign w:val="center"/>
          </w:tcPr>
          <w:p w14:paraId="254B838B"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861" w:type="dxa"/>
            <w:gridSpan w:val="5"/>
            <w:tcBorders>
              <w:top w:val="single" w:sz="4" w:space="0" w:color="auto"/>
              <w:bottom w:val="single" w:sz="4" w:space="0" w:color="auto"/>
            </w:tcBorders>
            <w:vAlign w:val="center"/>
          </w:tcPr>
          <w:p w14:paraId="5D022BE5"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473" w:type="dxa"/>
            <w:gridSpan w:val="3"/>
            <w:tcBorders>
              <w:top w:val="single" w:sz="4" w:space="0" w:color="auto"/>
              <w:bottom w:val="single" w:sz="4" w:space="0" w:color="auto"/>
            </w:tcBorders>
            <w:vAlign w:val="center"/>
          </w:tcPr>
          <w:p w14:paraId="375AE1D2"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6"/>
            </w:r>
          </w:p>
        </w:tc>
      </w:tr>
      <w:tr w:rsidR="00677BB9" w:rsidRPr="007F69DA" w14:paraId="372494BC" w14:textId="77777777" w:rsidTr="00F46ACB">
        <w:trPr>
          <w:trHeight w:val="890"/>
        </w:trPr>
        <w:tc>
          <w:tcPr>
            <w:tcW w:w="2205" w:type="dxa"/>
            <w:tcBorders>
              <w:top w:val="single" w:sz="4" w:space="0" w:color="auto"/>
              <w:bottom w:val="single" w:sz="4" w:space="0" w:color="auto"/>
            </w:tcBorders>
            <w:vAlign w:val="center"/>
          </w:tcPr>
          <w:p w14:paraId="7B92D95F" w14:textId="77777777" w:rsidR="00677BB9" w:rsidRPr="007F69DA" w:rsidRDefault="00677BB9" w:rsidP="00F46ACB">
            <w:pPr>
              <w:pStyle w:val="TabelleBuch"/>
              <w:spacing w:line="240" w:lineRule="auto"/>
              <w:ind w:left="42" w:right="-851"/>
              <w:jc w:val="left"/>
              <w:rPr>
                <w:rFonts w:ascii="Times New Roman" w:hAnsi="Times New Roman"/>
                <w:szCs w:val="22"/>
              </w:rPr>
            </w:pPr>
            <w:r w:rsidRPr="007F69DA">
              <w:rPr>
                <w:rFonts w:ascii="Times New Roman" w:hAnsi="Times New Roman"/>
                <w:szCs w:val="22"/>
              </w:rPr>
              <w:t>Dialog mit</w:t>
            </w:r>
            <w:r w:rsidRPr="007F69DA">
              <w:rPr>
                <w:rFonts w:ascii="Times New Roman" w:hAnsi="Times New Roman"/>
                <w:szCs w:val="22"/>
              </w:rPr>
              <w:br/>
              <w:t>kritischen</w:t>
            </w:r>
            <w:r w:rsidRPr="007F69DA">
              <w:rPr>
                <w:rFonts w:ascii="Times New Roman" w:hAnsi="Times New Roman"/>
                <w:szCs w:val="22"/>
              </w:rPr>
              <w:br/>
              <w:t>Organisationen</w:t>
            </w:r>
          </w:p>
        </w:tc>
        <w:tc>
          <w:tcPr>
            <w:tcW w:w="949" w:type="dxa"/>
            <w:tcBorders>
              <w:top w:val="single" w:sz="4" w:space="0" w:color="auto"/>
              <w:bottom w:val="single" w:sz="4" w:space="0" w:color="auto"/>
            </w:tcBorders>
            <w:vAlign w:val="center"/>
          </w:tcPr>
          <w:p w14:paraId="4BAA1B14"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586" w:type="dxa"/>
            <w:tcBorders>
              <w:top w:val="single" w:sz="4" w:space="0" w:color="auto"/>
              <w:bottom w:val="single" w:sz="4" w:space="0" w:color="auto"/>
            </w:tcBorders>
            <w:vAlign w:val="center"/>
          </w:tcPr>
          <w:p w14:paraId="57DDBAFC"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c>
          <w:tcPr>
            <w:tcW w:w="774" w:type="dxa"/>
            <w:tcBorders>
              <w:top w:val="single" w:sz="4" w:space="0" w:color="auto"/>
              <w:bottom w:val="single" w:sz="4" w:space="0" w:color="auto"/>
            </w:tcBorders>
            <w:vAlign w:val="center"/>
          </w:tcPr>
          <w:p w14:paraId="705B44E3"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c>
          <w:tcPr>
            <w:tcW w:w="478" w:type="dxa"/>
            <w:tcBorders>
              <w:top w:val="single" w:sz="4" w:space="0" w:color="auto"/>
              <w:bottom w:val="single" w:sz="4" w:space="0" w:color="auto"/>
            </w:tcBorders>
            <w:vAlign w:val="center"/>
          </w:tcPr>
          <w:p w14:paraId="786EB584"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6"/>
            </w:r>
          </w:p>
        </w:tc>
        <w:tc>
          <w:tcPr>
            <w:tcW w:w="882" w:type="dxa"/>
            <w:tcBorders>
              <w:top w:val="single" w:sz="4" w:space="0" w:color="auto"/>
              <w:bottom w:val="single" w:sz="4" w:space="0" w:color="auto"/>
            </w:tcBorders>
            <w:vAlign w:val="center"/>
          </w:tcPr>
          <w:p w14:paraId="4A368F4D"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532" w:type="dxa"/>
            <w:tcBorders>
              <w:top w:val="single" w:sz="4" w:space="0" w:color="auto"/>
              <w:bottom w:val="single" w:sz="4" w:space="0" w:color="auto"/>
            </w:tcBorders>
            <w:vAlign w:val="center"/>
          </w:tcPr>
          <w:p w14:paraId="2A244AAD"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653" w:type="dxa"/>
            <w:gridSpan w:val="3"/>
            <w:tcBorders>
              <w:top w:val="single" w:sz="4" w:space="0" w:color="auto"/>
              <w:bottom w:val="single" w:sz="4" w:space="0" w:color="auto"/>
            </w:tcBorders>
            <w:vAlign w:val="center"/>
          </w:tcPr>
          <w:p w14:paraId="4D51902F"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861" w:type="dxa"/>
            <w:gridSpan w:val="5"/>
            <w:tcBorders>
              <w:top w:val="single" w:sz="4" w:space="0" w:color="auto"/>
              <w:bottom w:val="single" w:sz="4" w:space="0" w:color="auto"/>
            </w:tcBorders>
            <w:vAlign w:val="center"/>
          </w:tcPr>
          <w:p w14:paraId="4D1543E6"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473" w:type="dxa"/>
            <w:gridSpan w:val="3"/>
            <w:tcBorders>
              <w:top w:val="single" w:sz="4" w:space="0" w:color="auto"/>
              <w:bottom w:val="single" w:sz="4" w:space="0" w:color="auto"/>
            </w:tcBorders>
            <w:vAlign w:val="center"/>
          </w:tcPr>
          <w:p w14:paraId="43DAACD1"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r>
      <w:tr w:rsidR="00677BB9" w:rsidRPr="007F69DA" w14:paraId="6E7979ED" w14:textId="77777777" w:rsidTr="00F46ACB">
        <w:trPr>
          <w:trHeight w:val="383"/>
        </w:trPr>
        <w:tc>
          <w:tcPr>
            <w:tcW w:w="2205" w:type="dxa"/>
            <w:tcBorders>
              <w:top w:val="single" w:sz="4" w:space="0" w:color="auto"/>
              <w:bottom w:val="single" w:sz="4" w:space="0" w:color="auto"/>
            </w:tcBorders>
            <w:shd w:val="clear" w:color="auto" w:fill="FFF2CC" w:themeFill="accent4" w:themeFillTint="33"/>
            <w:vAlign w:val="center"/>
          </w:tcPr>
          <w:p w14:paraId="116ABCBA" w14:textId="77777777" w:rsidR="00677BB9" w:rsidRPr="007F69DA" w:rsidRDefault="00677BB9" w:rsidP="00F46ACB">
            <w:pPr>
              <w:pStyle w:val="TabelleBuch"/>
              <w:spacing w:line="240" w:lineRule="auto"/>
              <w:ind w:left="-1871" w:right="-851"/>
              <w:jc w:val="center"/>
              <w:rPr>
                <w:rFonts w:ascii="Times New Roman" w:hAnsi="Times New Roman"/>
                <w:szCs w:val="22"/>
              </w:rPr>
            </w:pPr>
            <w:r w:rsidRPr="007F69DA">
              <w:rPr>
                <w:rFonts w:ascii="Times New Roman" w:hAnsi="Times New Roman"/>
                <w:b/>
                <w:bCs w:val="0"/>
                <w:szCs w:val="22"/>
              </w:rPr>
              <w:t>Umwelt</w:t>
            </w:r>
          </w:p>
        </w:tc>
        <w:tc>
          <w:tcPr>
            <w:tcW w:w="949" w:type="dxa"/>
            <w:tcBorders>
              <w:top w:val="single" w:sz="4" w:space="0" w:color="auto"/>
              <w:bottom w:val="single" w:sz="4" w:space="0" w:color="auto"/>
            </w:tcBorders>
            <w:shd w:val="clear" w:color="auto" w:fill="FFF2CC" w:themeFill="accent4" w:themeFillTint="33"/>
            <w:vAlign w:val="center"/>
          </w:tcPr>
          <w:p w14:paraId="46D6E989"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586" w:type="dxa"/>
            <w:tcBorders>
              <w:top w:val="single" w:sz="4" w:space="0" w:color="auto"/>
              <w:bottom w:val="single" w:sz="4" w:space="0" w:color="auto"/>
            </w:tcBorders>
            <w:shd w:val="clear" w:color="auto" w:fill="FFF2CC" w:themeFill="accent4" w:themeFillTint="33"/>
            <w:vAlign w:val="center"/>
          </w:tcPr>
          <w:p w14:paraId="3DCA0EED"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774" w:type="dxa"/>
            <w:tcBorders>
              <w:top w:val="single" w:sz="4" w:space="0" w:color="auto"/>
              <w:bottom w:val="single" w:sz="4" w:space="0" w:color="auto"/>
            </w:tcBorders>
            <w:shd w:val="clear" w:color="auto" w:fill="FFF2CC" w:themeFill="accent4" w:themeFillTint="33"/>
            <w:vAlign w:val="center"/>
          </w:tcPr>
          <w:p w14:paraId="0BAB71FE"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478" w:type="dxa"/>
            <w:tcBorders>
              <w:top w:val="single" w:sz="4" w:space="0" w:color="auto"/>
              <w:bottom w:val="single" w:sz="4" w:space="0" w:color="auto"/>
            </w:tcBorders>
            <w:shd w:val="clear" w:color="auto" w:fill="FFF2CC" w:themeFill="accent4" w:themeFillTint="33"/>
            <w:vAlign w:val="center"/>
          </w:tcPr>
          <w:p w14:paraId="4B40D339"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882" w:type="dxa"/>
            <w:tcBorders>
              <w:top w:val="single" w:sz="4" w:space="0" w:color="auto"/>
              <w:bottom w:val="single" w:sz="4" w:space="0" w:color="auto"/>
            </w:tcBorders>
            <w:shd w:val="clear" w:color="auto" w:fill="FFF2CC" w:themeFill="accent4" w:themeFillTint="33"/>
            <w:vAlign w:val="center"/>
          </w:tcPr>
          <w:p w14:paraId="10F40328"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532" w:type="dxa"/>
            <w:tcBorders>
              <w:top w:val="single" w:sz="4" w:space="0" w:color="auto"/>
              <w:bottom w:val="single" w:sz="4" w:space="0" w:color="auto"/>
            </w:tcBorders>
            <w:shd w:val="clear" w:color="auto" w:fill="FFF2CC" w:themeFill="accent4" w:themeFillTint="33"/>
            <w:vAlign w:val="center"/>
          </w:tcPr>
          <w:p w14:paraId="7C29DA03"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653" w:type="dxa"/>
            <w:gridSpan w:val="3"/>
            <w:tcBorders>
              <w:top w:val="single" w:sz="4" w:space="0" w:color="auto"/>
              <w:bottom w:val="single" w:sz="4" w:space="0" w:color="auto"/>
            </w:tcBorders>
            <w:shd w:val="clear" w:color="auto" w:fill="FFF2CC" w:themeFill="accent4" w:themeFillTint="33"/>
            <w:vAlign w:val="center"/>
          </w:tcPr>
          <w:p w14:paraId="6C9DA60A"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861" w:type="dxa"/>
            <w:gridSpan w:val="5"/>
            <w:tcBorders>
              <w:top w:val="single" w:sz="4" w:space="0" w:color="auto"/>
              <w:bottom w:val="single" w:sz="4" w:space="0" w:color="auto"/>
            </w:tcBorders>
            <w:shd w:val="clear" w:color="auto" w:fill="FFF2CC" w:themeFill="accent4" w:themeFillTint="33"/>
            <w:vAlign w:val="center"/>
          </w:tcPr>
          <w:p w14:paraId="76F7BEB2"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473" w:type="dxa"/>
            <w:gridSpan w:val="3"/>
            <w:tcBorders>
              <w:top w:val="single" w:sz="4" w:space="0" w:color="auto"/>
              <w:bottom w:val="single" w:sz="4" w:space="0" w:color="auto"/>
            </w:tcBorders>
            <w:shd w:val="clear" w:color="auto" w:fill="FFF2CC" w:themeFill="accent4" w:themeFillTint="33"/>
            <w:vAlign w:val="center"/>
          </w:tcPr>
          <w:p w14:paraId="195BB69E" w14:textId="77777777" w:rsidR="00677BB9" w:rsidRPr="007F69DA" w:rsidRDefault="00677BB9" w:rsidP="00F46ACB">
            <w:pPr>
              <w:pStyle w:val="TabelleBuch"/>
              <w:spacing w:line="240" w:lineRule="auto"/>
              <w:ind w:right="-851"/>
              <w:jc w:val="center"/>
              <w:rPr>
                <w:rFonts w:ascii="Times New Roman" w:hAnsi="Times New Roman"/>
                <w:szCs w:val="22"/>
              </w:rPr>
            </w:pPr>
          </w:p>
        </w:tc>
      </w:tr>
      <w:tr w:rsidR="00677BB9" w:rsidRPr="007F69DA" w14:paraId="6A2752DC" w14:textId="77777777" w:rsidTr="00F46ACB">
        <w:trPr>
          <w:trHeight w:val="890"/>
        </w:trPr>
        <w:tc>
          <w:tcPr>
            <w:tcW w:w="2205" w:type="dxa"/>
            <w:tcBorders>
              <w:top w:val="single" w:sz="4" w:space="0" w:color="auto"/>
              <w:bottom w:val="single" w:sz="4" w:space="0" w:color="auto"/>
            </w:tcBorders>
            <w:vAlign w:val="center"/>
          </w:tcPr>
          <w:p w14:paraId="45477195" w14:textId="77777777" w:rsidR="00677BB9" w:rsidRPr="007F69DA" w:rsidRDefault="00677BB9" w:rsidP="00F46ACB">
            <w:pPr>
              <w:pStyle w:val="TabelleBuch"/>
              <w:spacing w:line="240" w:lineRule="auto"/>
              <w:ind w:left="42" w:right="-851"/>
              <w:jc w:val="left"/>
              <w:rPr>
                <w:rFonts w:ascii="Times New Roman" w:hAnsi="Times New Roman"/>
                <w:szCs w:val="22"/>
              </w:rPr>
            </w:pPr>
            <w:r w:rsidRPr="007F69DA">
              <w:rPr>
                <w:rFonts w:ascii="Times New Roman" w:hAnsi="Times New Roman"/>
                <w:szCs w:val="22"/>
              </w:rPr>
              <w:t xml:space="preserve">Umweltmanagement- </w:t>
            </w:r>
            <w:r w:rsidRPr="007F69DA">
              <w:rPr>
                <w:rFonts w:ascii="Times New Roman" w:hAnsi="Times New Roman"/>
                <w:szCs w:val="22"/>
              </w:rPr>
              <w:br/>
              <w:t xml:space="preserve">Richtlinien für </w:t>
            </w:r>
            <w:r w:rsidRPr="007F69DA">
              <w:rPr>
                <w:rFonts w:ascii="Times New Roman" w:hAnsi="Times New Roman"/>
                <w:szCs w:val="22"/>
              </w:rPr>
              <w:br/>
              <w:t>Lieferanten</w:t>
            </w:r>
          </w:p>
        </w:tc>
        <w:tc>
          <w:tcPr>
            <w:tcW w:w="949" w:type="dxa"/>
            <w:tcBorders>
              <w:top w:val="single" w:sz="4" w:space="0" w:color="auto"/>
              <w:bottom w:val="single" w:sz="4" w:space="0" w:color="auto"/>
            </w:tcBorders>
            <w:vAlign w:val="center"/>
          </w:tcPr>
          <w:p w14:paraId="60DD3DF7"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586" w:type="dxa"/>
            <w:tcBorders>
              <w:top w:val="single" w:sz="4" w:space="0" w:color="auto"/>
              <w:bottom w:val="single" w:sz="4" w:space="0" w:color="auto"/>
            </w:tcBorders>
            <w:vAlign w:val="center"/>
          </w:tcPr>
          <w:p w14:paraId="229F0898"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774" w:type="dxa"/>
            <w:tcBorders>
              <w:top w:val="single" w:sz="4" w:space="0" w:color="auto"/>
              <w:bottom w:val="single" w:sz="4" w:space="0" w:color="auto"/>
            </w:tcBorders>
            <w:vAlign w:val="center"/>
          </w:tcPr>
          <w:p w14:paraId="4A197D38"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c>
          <w:tcPr>
            <w:tcW w:w="478" w:type="dxa"/>
            <w:tcBorders>
              <w:top w:val="single" w:sz="4" w:space="0" w:color="auto"/>
              <w:bottom w:val="single" w:sz="4" w:space="0" w:color="auto"/>
            </w:tcBorders>
            <w:vAlign w:val="center"/>
          </w:tcPr>
          <w:p w14:paraId="4EE5AA8E"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c>
          <w:tcPr>
            <w:tcW w:w="882" w:type="dxa"/>
            <w:tcBorders>
              <w:top w:val="single" w:sz="4" w:space="0" w:color="auto"/>
              <w:bottom w:val="single" w:sz="4" w:space="0" w:color="auto"/>
            </w:tcBorders>
            <w:vAlign w:val="center"/>
          </w:tcPr>
          <w:p w14:paraId="5BCCE1ED"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532" w:type="dxa"/>
            <w:tcBorders>
              <w:top w:val="single" w:sz="4" w:space="0" w:color="auto"/>
              <w:bottom w:val="single" w:sz="4" w:space="0" w:color="auto"/>
            </w:tcBorders>
            <w:vAlign w:val="center"/>
          </w:tcPr>
          <w:p w14:paraId="5E0420DB"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653" w:type="dxa"/>
            <w:gridSpan w:val="3"/>
            <w:tcBorders>
              <w:top w:val="single" w:sz="4" w:space="0" w:color="auto"/>
              <w:bottom w:val="single" w:sz="4" w:space="0" w:color="auto"/>
            </w:tcBorders>
            <w:vAlign w:val="center"/>
          </w:tcPr>
          <w:p w14:paraId="5F6D50A4"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861" w:type="dxa"/>
            <w:gridSpan w:val="5"/>
            <w:tcBorders>
              <w:top w:val="single" w:sz="4" w:space="0" w:color="auto"/>
              <w:bottom w:val="single" w:sz="4" w:space="0" w:color="auto"/>
            </w:tcBorders>
            <w:vAlign w:val="center"/>
          </w:tcPr>
          <w:p w14:paraId="7FBB90AC"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473" w:type="dxa"/>
            <w:gridSpan w:val="3"/>
            <w:tcBorders>
              <w:top w:val="single" w:sz="4" w:space="0" w:color="auto"/>
              <w:bottom w:val="single" w:sz="4" w:space="0" w:color="auto"/>
            </w:tcBorders>
            <w:vAlign w:val="center"/>
          </w:tcPr>
          <w:p w14:paraId="59AA024E"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r>
      <w:tr w:rsidR="00677BB9" w:rsidRPr="007F69DA" w14:paraId="60A6132E" w14:textId="77777777" w:rsidTr="00F46ACB">
        <w:trPr>
          <w:trHeight w:val="629"/>
        </w:trPr>
        <w:tc>
          <w:tcPr>
            <w:tcW w:w="2205" w:type="dxa"/>
            <w:tcBorders>
              <w:top w:val="single" w:sz="4" w:space="0" w:color="auto"/>
              <w:bottom w:val="single" w:sz="4" w:space="0" w:color="auto"/>
            </w:tcBorders>
            <w:vAlign w:val="center"/>
          </w:tcPr>
          <w:p w14:paraId="01A2AAAD" w14:textId="77777777" w:rsidR="00677BB9" w:rsidRPr="007F69DA" w:rsidRDefault="00677BB9" w:rsidP="00F46ACB">
            <w:pPr>
              <w:pStyle w:val="TabelleBuch"/>
              <w:spacing w:line="240" w:lineRule="auto"/>
              <w:ind w:left="42" w:right="-851"/>
              <w:jc w:val="left"/>
              <w:rPr>
                <w:rFonts w:ascii="Times New Roman" w:hAnsi="Times New Roman"/>
                <w:szCs w:val="22"/>
              </w:rPr>
            </w:pPr>
            <w:r w:rsidRPr="007F69DA">
              <w:rPr>
                <w:rFonts w:ascii="Times New Roman" w:hAnsi="Times New Roman"/>
                <w:szCs w:val="22"/>
              </w:rPr>
              <w:t xml:space="preserve">Umweltaspekte </w:t>
            </w:r>
            <w:r w:rsidRPr="007F69DA">
              <w:rPr>
                <w:rFonts w:ascii="Times New Roman" w:hAnsi="Times New Roman"/>
                <w:szCs w:val="22"/>
              </w:rPr>
              <w:br/>
              <w:t>in der Produktion</w:t>
            </w:r>
          </w:p>
        </w:tc>
        <w:tc>
          <w:tcPr>
            <w:tcW w:w="949" w:type="dxa"/>
            <w:tcBorders>
              <w:top w:val="single" w:sz="4" w:space="0" w:color="auto"/>
              <w:bottom w:val="single" w:sz="4" w:space="0" w:color="auto"/>
            </w:tcBorders>
            <w:vAlign w:val="center"/>
          </w:tcPr>
          <w:p w14:paraId="587A5FC6"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586" w:type="dxa"/>
            <w:tcBorders>
              <w:top w:val="single" w:sz="4" w:space="0" w:color="auto"/>
              <w:bottom w:val="single" w:sz="4" w:space="0" w:color="auto"/>
            </w:tcBorders>
            <w:vAlign w:val="center"/>
          </w:tcPr>
          <w:p w14:paraId="69B92038"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774" w:type="dxa"/>
            <w:tcBorders>
              <w:top w:val="single" w:sz="4" w:space="0" w:color="auto"/>
              <w:bottom w:val="single" w:sz="4" w:space="0" w:color="auto"/>
            </w:tcBorders>
            <w:vAlign w:val="center"/>
          </w:tcPr>
          <w:p w14:paraId="7E160238"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c>
          <w:tcPr>
            <w:tcW w:w="478" w:type="dxa"/>
            <w:tcBorders>
              <w:top w:val="single" w:sz="4" w:space="0" w:color="auto"/>
              <w:bottom w:val="single" w:sz="4" w:space="0" w:color="auto"/>
            </w:tcBorders>
            <w:vAlign w:val="center"/>
          </w:tcPr>
          <w:p w14:paraId="2D60248B"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c>
          <w:tcPr>
            <w:tcW w:w="882" w:type="dxa"/>
            <w:tcBorders>
              <w:top w:val="single" w:sz="4" w:space="0" w:color="auto"/>
              <w:bottom w:val="single" w:sz="4" w:space="0" w:color="auto"/>
            </w:tcBorders>
            <w:vAlign w:val="center"/>
          </w:tcPr>
          <w:p w14:paraId="5C66A842"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532" w:type="dxa"/>
            <w:tcBorders>
              <w:top w:val="single" w:sz="4" w:space="0" w:color="auto"/>
              <w:bottom w:val="single" w:sz="4" w:space="0" w:color="auto"/>
            </w:tcBorders>
            <w:vAlign w:val="center"/>
          </w:tcPr>
          <w:p w14:paraId="6951DBEB"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653" w:type="dxa"/>
            <w:gridSpan w:val="3"/>
            <w:tcBorders>
              <w:top w:val="single" w:sz="4" w:space="0" w:color="auto"/>
              <w:bottom w:val="single" w:sz="4" w:space="0" w:color="auto"/>
            </w:tcBorders>
            <w:vAlign w:val="center"/>
          </w:tcPr>
          <w:p w14:paraId="046EAE73"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861" w:type="dxa"/>
            <w:gridSpan w:val="5"/>
            <w:tcBorders>
              <w:top w:val="single" w:sz="4" w:space="0" w:color="auto"/>
              <w:bottom w:val="single" w:sz="4" w:space="0" w:color="auto"/>
            </w:tcBorders>
            <w:vAlign w:val="center"/>
          </w:tcPr>
          <w:p w14:paraId="252730B8"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473" w:type="dxa"/>
            <w:gridSpan w:val="3"/>
            <w:tcBorders>
              <w:top w:val="single" w:sz="4" w:space="0" w:color="auto"/>
              <w:bottom w:val="single" w:sz="4" w:space="0" w:color="auto"/>
            </w:tcBorders>
            <w:vAlign w:val="center"/>
          </w:tcPr>
          <w:p w14:paraId="6B84CC7F"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r>
      <w:tr w:rsidR="00677BB9" w:rsidRPr="007F69DA" w14:paraId="7E6B4FCC" w14:textId="77777777" w:rsidTr="00F46ACB">
        <w:trPr>
          <w:trHeight w:val="383"/>
        </w:trPr>
        <w:tc>
          <w:tcPr>
            <w:tcW w:w="2205" w:type="dxa"/>
            <w:tcBorders>
              <w:top w:val="single" w:sz="4" w:space="0" w:color="auto"/>
              <w:bottom w:val="single" w:sz="4" w:space="0" w:color="auto"/>
            </w:tcBorders>
            <w:shd w:val="clear" w:color="auto" w:fill="FFF2CC" w:themeFill="accent4" w:themeFillTint="33"/>
            <w:vAlign w:val="center"/>
          </w:tcPr>
          <w:p w14:paraId="5E3AAD0B" w14:textId="77777777" w:rsidR="00677BB9" w:rsidRPr="007F69DA" w:rsidRDefault="00677BB9" w:rsidP="00F46ACB">
            <w:pPr>
              <w:pStyle w:val="TabelleBuch"/>
              <w:spacing w:line="240" w:lineRule="auto"/>
              <w:ind w:left="42" w:right="-851"/>
              <w:jc w:val="left"/>
              <w:rPr>
                <w:rFonts w:ascii="Times New Roman" w:hAnsi="Times New Roman"/>
                <w:b/>
                <w:bCs w:val="0"/>
                <w:szCs w:val="22"/>
              </w:rPr>
            </w:pPr>
            <w:r w:rsidRPr="007F69DA">
              <w:rPr>
                <w:rFonts w:ascii="Times New Roman" w:hAnsi="Times New Roman"/>
                <w:b/>
                <w:bCs w:val="0"/>
                <w:szCs w:val="22"/>
              </w:rPr>
              <w:t>Soziales</w:t>
            </w:r>
          </w:p>
        </w:tc>
        <w:tc>
          <w:tcPr>
            <w:tcW w:w="949" w:type="dxa"/>
            <w:tcBorders>
              <w:top w:val="single" w:sz="4" w:space="0" w:color="auto"/>
              <w:bottom w:val="single" w:sz="4" w:space="0" w:color="auto"/>
            </w:tcBorders>
            <w:shd w:val="clear" w:color="auto" w:fill="FFF2CC" w:themeFill="accent4" w:themeFillTint="33"/>
            <w:vAlign w:val="center"/>
          </w:tcPr>
          <w:p w14:paraId="0C0D56F7"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586" w:type="dxa"/>
            <w:tcBorders>
              <w:top w:val="single" w:sz="4" w:space="0" w:color="auto"/>
              <w:bottom w:val="single" w:sz="4" w:space="0" w:color="auto"/>
            </w:tcBorders>
            <w:shd w:val="clear" w:color="auto" w:fill="FFF2CC" w:themeFill="accent4" w:themeFillTint="33"/>
            <w:vAlign w:val="center"/>
          </w:tcPr>
          <w:p w14:paraId="76CDFEA5"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774" w:type="dxa"/>
            <w:tcBorders>
              <w:top w:val="single" w:sz="4" w:space="0" w:color="auto"/>
              <w:bottom w:val="single" w:sz="4" w:space="0" w:color="auto"/>
            </w:tcBorders>
            <w:shd w:val="clear" w:color="auto" w:fill="FFF2CC" w:themeFill="accent4" w:themeFillTint="33"/>
            <w:vAlign w:val="center"/>
          </w:tcPr>
          <w:p w14:paraId="57AEF3A1"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478" w:type="dxa"/>
            <w:tcBorders>
              <w:top w:val="single" w:sz="4" w:space="0" w:color="auto"/>
              <w:bottom w:val="single" w:sz="4" w:space="0" w:color="auto"/>
            </w:tcBorders>
            <w:shd w:val="clear" w:color="auto" w:fill="FFF2CC" w:themeFill="accent4" w:themeFillTint="33"/>
            <w:vAlign w:val="center"/>
          </w:tcPr>
          <w:p w14:paraId="6DC552B5"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882" w:type="dxa"/>
            <w:tcBorders>
              <w:top w:val="single" w:sz="4" w:space="0" w:color="auto"/>
              <w:bottom w:val="single" w:sz="4" w:space="0" w:color="auto"/>
            </w:tcBorders>
            <w:shd w:val="clear" w:color="auto" w:fill="FFF2CC" w:themeFill="accent4" w:themeFillTint="33"/>
            <w:vAlign w:val="center"/>
          </w:tcPr>
          <w:p w14:paraId="4602E72F"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532" w:type="dxa"/>
            <w:tcBorders>
              <w:top w:val="single" w:sz="4" w:space="0" w:color="auto"/>
              <w:bottom w:val="single" w:sz="4" w:space="0" w:color="auto"/>
            </w:tcBorders>
            <w:shd w:val="clear" w:color="auto" w:fill="FFF2CC" w:themeFill="accent4" w:themeFillTint="33"/>
            <w:vAlign w:val="center"/>
          </w:tcPr>
          <w:p w14:paraId="786BD29C"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653" w:type="dxa"/>
            <w:gridSpan w:val="3"/>
            <w:tcBorders>
              <w:top w:val="single" w:sz="4" w:space="0" w:color="auto"/>
              <w:bottom w:val="single" w:sz="4" w:space="0" w:color="auto"/>
            </w:tcBorders>
            <w:shd w:val="clear" w:color="auto" w:fill="FFF2CC" w:themeFill="accent4" w:themeFillTint="33"/>
            <w:vAlign w:val="center"/>
          </w:tcPr>
          <w:p w14:paraId="5B7B9106"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861" w:type="dxa"/>
            <w:gridSpan w:val="5"/>
            <w:tcBorders>
              <w:top w:val="single" w:sz="4" w:space="0" w:color="auto"/>
              <w:bottom w:val="single" w:sz="4" w:space="0" w:color="auto"/>
            </w:tcBorders>
            <w:shd w:val="clear" w:color="auto" w:fill="FFF2CC" w:themeFill="accent4" w:themeFillTint="33"/>
            <w:vAlign w:val="center"/>
          </w:tcPr>
          <w:p w14:paraId="2E7771D1" w14:textId="77777777" w:rsidR="00677BB9" w:rsidRPr="007F69DA" w:rsidRDefault="00677BB9" w:rsidP="00F46ACB">
            <w:pPr>
              <w:pStyle w:val="TabelleBuch"/>
              <w:spacing w:line="240" w:lineRule="auto"/>
              <w:ind w:right="-851"/>
              <w:jc w:val="center"/>
              <w:rPr>
                <w:rFonts w:ascii="Times New Roman" w:hAnsi="Times New Roman"/>
                <w:szCs w:val="22"/>
              </w:rPr>
            </w:pPr>
          </w:p>
        </w:tc>
        <w:tc>
          <w:tcPr>
            <w:tcW w:w="473" w:type="dxa"/>
            <w:gridSpan w:val="3"/>
            <w:tcBorders>
              <w:top w:val="single" w:sz="4" w:space="0" w:color="auto"/>
              <w:bottom w:val="single" w:sz="4" w:space="0" w:color="auto"/>
            </w:tcBorders>
            <w:shd w:val="clear" w:color="auto" w:fill="FFF2CC" w:themeFill="accent4" w:themeFillTint="33"/>
            <w:vAlign w:val="center"/>
          </w:tcPr>
          <w:p w14:paraId="37562236" w14:textId="77777777" w:rsidR="00677BB9" w:rsidRPr="007F69DA" w:rsidRDefault="00677BB9" w:rsidP="00F46ACB">
            <w:pPr>
              <w:pStyle w:val="TabelleBuch"/>
              <w:spacing w:line="240" w:lineRule="auto"/>
              <w:ind w:right="-851"/>
              <w:jc w:val="center"/>
              <w:rPr>
                <w:rFonts w:ascii="Times New Roman" w:hAnsi="Times New Roman"/>
                <w:szCs w:val="22"/>
              </w:rPr>
            </w:pPr>
          </w:p>
        </w:tc>
      </w:tr>
      <w:tr w:rsidR="00677BB9" w:rsidRPr="007F69DA" w14:paraId="3EC8EC76" w14:textId="77777777" w:rsidTr="00F46ACB">
        <w:trPr>
          <w:trHeight w:val="629"/>
        </w:trPr>
        <w:tc>
          <w:tcPr>
            <w:tcW w:w="2205" w:type="dxa"/>
            <w:tcBorders>
              <w:top w:val="single" w:sz="4" w:space="0" w:color="auto"/>
              <w:bottom w:val="single" w:sz="4" w:space="0" w:color="auto"/>
            </w:tcBorders>
            <w:vAlign w:val="center"/>
          </w:tcPr>
          <w:p w14:paraId="75E151AC" w14:textId="77777777" w:rsidR="00677BB9" w:rsidRPr="007F69DA" w:rsidRDefault="00677BB9" w:rsidP="00F46ACB">
            <w:pPr>
              <w:pStyle w:val="TabelleBuch"/>
              <w:spacing w:line="240" w:lineRule="auto"/>
              <w:ind w:left="42" w:right="-851"/>
              <w:jc w:val="left"/>
              <w:rPr>
                <w:rFonts w:ascii="Times New Roman" w:hAnsi="Times New Roman"/>
                <w:szCs w:val="22"/>
              </w:rPr>
            </w:pPr>
            <w:r w:rsidRPr="007F69DA">
              <w:rPr>
                <w:rFonts w:ascii="Times New Roman" w:hAnsi="Times New Roman"/>
                <w:szCs w:val="22"/>
              </w:rPr>
              <w:t>Prinzipien für</w:t>
            </w:r>
            <w:r w:rsidRPr="007F69DA">
              <w:rPr>
                <w:rFonts w:ascii="Times New Roman" w:hAnsi="Times New Roman"/>
                <w:szCs w:val="22"/>
              </w:rPr>
              <w:br/>
              <w:t>Arbeiterrechte</w:t>
            </w:r>
          </w:p>
        </w:tc>
        <w:tc>
          <w:tcPr>
            <w:tcW w:w="949" w:type="dxa"/>
            <w:tcBorders>
              <w:top w:val="single" w:sz="4" w:space="0" w:color="auto"/>
              <w:bottom w:val="single" w:sz="4" w:space="0" w:color="auto"/>
            </w:tcBorders>
            <w:vAlign w:val="center"/>
          </w:tcPr>
          <w:p w14:paraId="60072A65"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586" w:type="dxa"/>
            <w:tcBorders>
              <w:top w:val="single" w:sz="4" w:space="0" w:color="auto"/>
              <w:bottom w:val="single" w:sz="4" w:space="0" w:color="auto"/>
            </w:tcBorders>
            <w:vAlign w:val="center"/>
          </w:tcPr>
          <w:p w14:paraId="0DF248B9"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774" w:type="dxa"/>
            <w:tcBorders>
              <w:top w:val="single" w:sz="4" w:space="0" w:color="auto"/>
              <w:bottom w:val="single" w:sz="4" w:space="0" w:color="auto"/>
            </w:tcBorders>
            <w:vAlign w:val="center"/>
          </w:tcPr>
          <w:p w14:paraId="22DCA77E"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c>
          <w:tcPr>
            <w:tcW w:w="478" w:type="dxa"/>
            <w:tcBorders>
              <w:top w:val="single" w:sz="4" w:space="0" w:color="auto"/>
              <w:bottom w:val="single" w:sz="4" w:space="0" w:color="auto"/>
            </w:tcBorders>
            <w:vAlign w:val="center"/>
          </w:tcPr>
          <w:p w14:paraId="06124ECA"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c>
          <w:tcPr>
            <w:tcW w:w="882" w:type="dxa"/>
            <w:tcBorders>
              <w:top w:val="single" w:sz="4" w:space="0" w:color="auto"/>
              <w:bottom w:val="single" w:sz="4" w:space="0" w:color="auto"/>
            </w:tcBorders>
            <w:vAlign w:val="center"/>
          </w:tcPr>
          <w:p w14:paraId="07654FD6"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6"/>
            </w:r>
          </w:p>
        </w:tc>
        <w:tc>
          <w:tcPr>
            <w:tcW w:w="532" w:type="dxa"/>
            <w:tcBorders>
              <w:top w:val="single" w:sz="4" w:space="0" w:color="auto"/>
              <w:bottom w:val="single" w:sz="4" w:space="0" w:color="auto"/>
            </w:tcBorders>
            <w:vAlign w:val="center"/>
          </w:tcPr>
          <w:p w14:paraId="54B47DE9"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653" w:type="dxa"/>
            <w:gridSpan w:val="3"/>
            <w:tcBorders>
              <w:top w:val="single" w:sz="4" w:space="0" w:color="auto"/>
              <w:bottom w:val="single" w:sz="4" w:space="0" w:color="auto"/>
            </w:tcBorders>
            <w:vAlign w:val="center"/>
          </w:tcPr>
          <w:p w14:paraId="2B4F4430"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861" w:type="dxa"/>
            <w:gridSpan w:val="5"/>
            <w:tcBorders>
              <w:top w:val="single" w:sz="4" w:space="0" w:color="auto"/>
              <w:bottom w:val="single" w:sz="4" w:space="0" w:color="auto"/>
            </w:tcBorders>
            <w:vAlign w:val="center"/>
          </w:tcPr>
          <w:p w14:paraId="1AF7B889"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473" w:type="dxa"/>
            <w:gridSpan w:val="3"/>
            <w:tcBorders>
              <w:top w:val="single" w:sz="4" w:space="0" w:color="auto"/>
              <w:bottom w:val="single" w:sz="4" w:space="0" w:color="auto"/>
            </w:tcBorders>
            <w:vAlign w:val="center"/>
          </w:tcPr>
          <w:p w14:paraId="2C6F241B"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r>
      <w:tr w:rsidR="00677BB9" w:rsidRPr="007F69DA" w14:paraId="4E8BF294" w14:textId="77777777" w:rsidTr="00F46ACB">
        <w:trPr>
          <w:trHeight w:val="645"/>
        </w:trPr>
        <w:tc>
          <w:tcPr>
            <w:tcW w:w="2205" w:type="dxa"/>
            <w:tcBorders>
              <w:top w:val="single" w:sz="4" w:space="0" w:color="auto"/>
              <w:bottom w:val="single" w:sz="4" w:space="0" w:color="auto"/>
            </w:tcBorders>
            <w:vAlign w:val="center"/>
          </w:tcPr>
          <w:p w14:paraId="3D243DBD" w14:textId="77777777" w:rsidR="00677BB9" w:rsidRPr="007F69DA" w:rsidRDefault="00677BB9" w:rsidP="00F46ACB">
            <w:pPr>
              <w:pStyle w:val="TabelleBuch"/>
              <w:spacing w:line="240" w:lineRule="auto"/>
              <w:ind w:left="42" w:right="-851"/>
              <w:jc w:val="left"/>
              <w:rPr>
                <w:rFonts w:ascii="Times New Roman" w:hAnsi="Times New Roman"/>
                <w:szCs w:val="22"/>
              </w:rPr>
            </w:pPr>
            <w:r w:rsidRPr="007F69DA">
              <w:rPr>
                <w:rFonts w:ascii="Times New Roman" w:hAnsi="Times New Roman"/>
                <w:szCs w:val="22"/>
              </w:rPr>
              <w:t xml:space="preserve">Auswahl der </w:t>
            </w:r>
            <w:r w:rsidRPr="007F69DA">
              <w:rPr>
                <w:rFonts w:ascii="Times New Roman" w:hAnsi="Times New Roman"/>
                <w:szCs w:val="22"/>
              </w:rPr>
              <w:br/>
              <w:t>Lieferanten</w:t>
            </w:r>
          </w:p>
        </w:tc>
        <w:tc>
          <w:tcPr>
            <w:tcW w:w="949" w:type="dxa"/>
            <w:tcBorders>
              <w:top w:val="single" w:sz="4" w:space="0" w:color="auto"/>
              <w:bottom w:val="single" w:sz="4" w:space="0" w:color="auto"/>
            </w:tcBorders>
            <w:vAlign w:val="center"/>
          </w:tcPr>
          <w:p w14:paraId="32615174"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586" w:type="dxa"/>
            <w:tcBorders>
              <w:top w:val="single" w:sz="4" w:space="0" w:color="auto"/>
              <w:bottom w:val="single" w:sz="4" w:space="0" w:color="auto"/>
            </w:tcBorders>
            <w:vAlign w:val="center"/>
          </w:tcPr>
          <w:p w14:paraId="5A7EA827"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c>
          <w:tcPr>
            <w:tcW w:w="774" w:type="dxa"/>
            <w:tcBorders>
              <w:top w:val="single" w:sz="4" w:space="0" w:color="auto"/>
              <w:bottom w:val="single" w:sz="4" w:space="0" w:color="auto"/>
            </w:tcBorders>
            <w:vAlign w:val="center"/>
          </w:tcPr>
          <w:p w14:paraId="4805D847"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c>
          <w:tcPr>
            <w:tcW w:w="478" w:type="dxa"/>
            <w:tcBorders>
              <w:top w:val="single" w:sz="4" w:space="0" w:color="auto"/>
              <w:bottom w:val="single" w:sz="4" w:space="0" w:color="auto"/>
            </w:tcBorders>
            <w:vAlign w:val="center"/>
          </w:tcPr>
          <w:p w14:paraId="2346FC27"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c>
          <w:tcPr>
            <w:tcW w:w="882" w:type="dxa"/>
            <w:tcBorders>
              <w:top w:val="single" w:sz="4" w:space="0" w:color="auto"/>
              <w:bottom w:val="single" w:sz="4" w:space="0" w:color="auto"/>
            </w:tcBorders>
            <w:vAlign w:val="center"/>
          </w:tcPr>
          <w:p w14:paraId="75442E45"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532" w:type="dxa"/>
            <w:tcBorders>
              <w:top w:val="single" w:sz="4" w:space="0" w:color="auto"/>
              <w:bottom w:val="single" w:sz="4" w:space="0" w:color="auto"/>
            </w:tcBorders>
            <w:vAlign w:val="center"/>
          </w:tcPr>
          <w:p w14:paraId="53AFFF8E"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653" w:type="dxa"/>
            <w:gridSpan w:val="3"/>
            <w:tcBorders>
              <w:top w:val="single" w:sz="4" w:space="0" w:color="auto"/>
              <w:bottom w:val="single" w:sz="4" w:space="0" w:color="auto"/>
            </w:tcBorders>
            <w:vAlign w:val="center"/>
          </w:tcPr>
          <w:p w14:paraId="21EBD968"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c>
          <w:tcPr>
            <w:tcW w:w="861" w:type="dxa"/>
            <w:gridSpan w:val="5"/>
            <w:tcBorders>
              <w:top w:val="single" w:sz="4" w:space="0" w:color="auto"/>
              <w:bottom w:val="single" w:sz="4" w:space="0" w:color="auto"/>
            </w:tcBorders>
            <w:vAlign w:val="center"/>
          </w:tcPr>
          <w:p w14:paraId="7000370E"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473" w:type="dxa"/>
            <w:gridSpan w:val="3"/>
            <w:tcBorders>
              <w:top w:val="single" w:sz="4" w:space="0" w:color="auto"/>
              <w:bottom w:val="single" w:sz="4" w:space="0" w:color="auto"/>
            </w:tcBorders>
            <w:vAlign w:val="center"/>
          </w:tcPr>
          <w:p w14:paraId="534D10D7"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r>
      <w:tr w:rsidR="00677BB9" w:rsidRPr="007F69DA" w14:paraId="1258F62B" w14:textId="77777777" w:rsidTr="00F46ACB">
        <w:trPr>
          <w:trHeight w:val="629"/>
        </w:trPr>
        <w:tc>
          <w:tcPr>
            <w:tcW w:w="2205" w:type="dxa"/>
            <w:tcBorders>
              <w:top w:val="single" w:sz="4" w:space="0" w:color="auto"/>
              <w:bottom w:val="single" w:sz="4" w:space="0" w:color="auto"/>
            </w:tcBorders>
            <w:vAlign w:val="center"/>
          </w:tcPr>
          <w:p w14:paraId="69E5F5E0" w14:textId="77777777" w:rsidR="00677BB9" w:rsidRPr="007F69DA" w:rsidRDefault="00677BB9" w:rsidP="00F46ACB">
            <w:pPr>
              <w:pStyle w:val="TabelleBuch"/>
              <w:spacing w:line="240" w:lineRule="auto"/>
              <w:ind w:left="42" w:right="-851"/>
              <w:jc w:val="left"/>
              <w:rPr>
                <w:rFonts w:ascii="Times New Roman" w:hAnsi="Times New Roman"/>
                <w:szCs w:val="22"/>
              </w:rPr>
            </w:pPr>
            <w:r w:rsidRPr="007F69DA">
              <w:rPr>
                <w:rFonts w:ascii="Times New Roman" w:hAnsi="Times New Roman"/>
                <w:szCs w:val="22"/>
              </w:rPr>
              <w:t>Kontrolle der  Arbeitsbedingungen</w:t>
            </w:r>
          </w:p>
        </w:tc>
        <w:tc>
          <w:tcPr>
            <w:tcW w:w="949" w:type="dxa"/>
            <w:tcBorders>
              <w:top w:val="single" w:sz="4" w:space="0" w:color="auto"/>
              <w:bottom w:val="single" w:sz="4" w:space="0" w:color="auto"/>
            </w:tcBorders>
            <w:vAlign w:val="center"/>
          </w:tcPr>
          <w:p w14:paraId="3616719C"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586" w:type="dxa"/>
            <w:tcBorders>
              <w:top w:val="single" w:sz="4" w:space="0" w:color="auto"/>
              <w:bottom w:val="single" w:sz="4" w:space="0" w:color="auto"/>
            </w:tcBorders>
            <w:vAlign w:val="center"/>
          </w:tcPr>
          <w:p w14:paraId="16114258"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c>
          <w:tcPr>
            <w:tcW w:w="774" w:type="dxa"/>
            <w:tcBorders>
              <w:top w:val="single" w:sz="4" w:space="0" w:color="auto"/>
              <w:bottom w:val="single" w:sz="4" w:space="0" w:color="auto"/>
            </w:tcBorders>
            <w:vAlign w:val="center"/>
          </w:tcPr>
          <w:p w14:paraId="2F2AE730"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c>
          <w:tcPr>
            <w:tcW w:w="478" w:type="dxa"/>
            <w:tcBorders>
              <w:top w:val="single" w:sz="4" w:space="0" w:color="auto"/>
              <w:bottom w:val="single" w:sz="4" w:space="0" w:color="auto"/>
            </w:tcBorders>
            <w:vAlign w:val="center"/>
          </w:tcPr>
          <w:p w14:paraId="1BF3DF47"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c>
          <w:tcPr>
            <w:tcW w:w="882" w:type="dxa"/>
            <w:tcBorders>
              <w:top w:val="single" w:sz="4" w:space="0" w:color="auto"/>
              <w:bottom w:val="single" w:sz="4" w:space="0" w:color="auto"/>
            </w:tcBorders>
            <w:vAlign w:val="center"/>
          </w:tcPr>
          <w:p w14:paraId="75C95B2A"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0"/>
            </w:r>
          </w:p>
        </w:tc>
        <w:tc>
          <w:tcPr>
            <w:tcW w:w="532" w:type="dxa"/>
            <w:tcBorders>
              <w:top w:val="single" w:sz="4" w:space="0" w:color="auto"/>
              <w:bottom w:val="single" w:sz="4" w:space="0" w:color="auto"/>
            </w:tcBorders>
            <w:vAlign w:val="center"/>
          </w:tcPr>
          <w:p w14:paraId="48BB5930"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653" w:type="dxa"/>
            <w:gridSpan w:val="3"/>
            <w:tcBorders>
              <w:top w:val="single" w:sz="4" w:space="0" w:color="auto"/>
              <w:bottom w:val="single" w:sz="4" w:space="0" w:color="auto"/>
            </w:tcBorders>
            <w:vAlign w:val="center"/>
          </w:tcPr>
          <w:p w14:paraId="565954E3"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6"/>
            </w:r>
          </w:p>
        </w:tc>
        <w:tc>
          <w:tcPr>
            <w:tcW w:w="861" w:type="dxa"/>
            <w:gridSpan w:val="5"/>
            <w:tcBorders>
              <w:top w:val="single" w:sz="4" w:space="0" w:color="auto"/>
              <w:bottom w:val="single" w:sz="4" w:space="0" w:color="auto"/>
            </w:tcBorders>
            <w:vAlign w:val="center"/>
          </w:tcPr>
          <w:p w14:paraId="3C1A691F"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sym w:font="Wingdings" w:char="F0E4"/>
            </w:r>
          </w:p>
        </w:tc>
        <w:tc>
          <w:tcPr>
            <w:tcW w:w="473" w:type="dxa"/>
            <w:gridSpan w:val="3"/>
            <w:tcBorders>
              <w:top w:val="single" w:sz="4" w:space="0" w:color="auto"/>
              <w:bottom w:val="single" w:sz="4" w:space="0" w:color="auto"/>
            </w:tcBorders>
            <w:vAlign w:val="center"/>
          </w:tcPr>
          <w:p w14:paraId="5C3FB03D" w14:textId="77777777" w:rsidR="00677BB9" w:rsidRPr="007F69DA" w:rsidRDefault="00677BB9" w:rsidP="00F46ACB">
            <w:pPr>
              <w:pStyle w:val="TabelleBuch"/>
              <w:spacing w:line="240" w:lineRule="auto"/>
              <w:ind w:right="-851"/>
              <w:jc w:val="center"/>
              <w:rPr>
                <w:rFonts w:ascii="Times New Roman" w:hAnsi="Times New Roman"/>
                <w:szCs w:val="22"/>
              </w:rPr>
            </w:pPr>
            <w:r w:rsidRPr="007F69DA">
              <w:rPr>
                <w:rFonts w:ascii="Times New Roman" w:hAnsi="Times New Roman"/>
                <w:szCs w:val="22"/>
              </w:rPr>
              <w:t>n.b.</w:t>
            </w:r>
          </w:p>
        </w:tc>
      </w:tr>
      <w:tr w:rsidR="00677BB9" w:rsidRPr="007F69DA" w14:paraId="3D5807DA" w14:textId="77777777" w:rsidTr="00F46ACB">
        <w:trPr>
          <w:trHeight w:val="368"/>
        </w:trPr>
        <w:tc>
          <w:tcPr>
            <w:tcW w:w="3741" w:type="dxa"/>
            <w:gridSpan w:val="3"/>
            <w:tcBorders>
              <w:top w:val="single" w:sz="4" w:space="0" w:color="auto"/>
            </w:tcBorders>
            <w:vAlign w:val="center"/>
          </w:tcPr>
          <w:p w14:paraId="79E89992" w14:textId="77777777" w:rsidR="00677BB9" w:rsidRPr="007F69DA" w:rsidRDefault="00677BB9" w:rsidP="00F46ACB">
            <w:pPr>
              <w:pStyle w:val="TabelleBuch"/>
              <w:spacing w:line="240" w:lineRule="auto"/>
              <w:ind w:right="-851"/>
              <w:rPr>
                <w:rFonts w:ascii="Times New Roman" w:hAnsi="Times New Roman"/>
                <w:bCs w:val="0"/>
                <w:szCs w:val="22"/>
              </w:rPr>
            </w:pPr>
            <w:r w:rsidRPr="007F69DA">
              <w:rPr>
                <w:rFonts w:ascii="Times New Roman" w:hAnsi="Times New Roman"/>
                <w:bCs w:val="0"/>
                <w:szCs w:val="22"/>
              </w:rPr>
              <w:t>Legende:</w:t>
            </w:r>
          </w:p>
        </w:tc>
        <w:tc>
          <w:tcPr>
            <w:tcW w:w="4656" w:type="dxa"/>
            <w:gridSpan w:val="15"/>
            <w:tcBorders>
              <w:top w:val="single" w:sz="4" w:space="0" w:color="auto"/>
            </w:tcBorders>
            <w:vAlign w:val="center"/>
          </w:tcPr>
          <w:p w14:paraId="6B5880F4" w14:textId="77777777" w:rsidR="00677BB9" w:rsidRPr="007F69DA" w:rsidRDefault="00677BB9" w:rsidP="00F46ACB">
            <w:pPr>
              <w:pStyle w:val="TabelleBuch"/>
              <w:spacing w:line="240" w:lineRule="auto"/>
              <w:ind w:right="-851"/>
              <w:rPr>
                <w:rFonts w:ascii="Times New Roman" w:hAnsi="Times New Roman"/>
                <w:szCs w:val="22"/>
              </w:rPr>
            </w:pPr>
          </w:p>
        </w:tc>
      </w:tr>
      <w:tr w:rsidR="00677BB9" w:rsidRPr="007F69DA" w14:paraId="3A972187" w14:textId="77777777" w:rsidTr="00F46ACB">
        <w:trPr>
          <w:trHeight w:val="1105"/>
        </w:trPr>
        <w:tc>
          <w:tcPr>
            <w:tcW w:w="3741" w:type="dxa"/>
            <w:gridSpan w:val="3"/>
            <w:tcBorders>
              <w:bottom w:val="single" w:sz="4" w:space="0" w:color="auto"/>
            </w:tcBorders>
            <w:vAlign w:val="center"/>
          </w:tcPr>
          <w:p w14:paraId="75320FBB" w14:textId="77777777" w:rsidR="00677BB9" w:rsidRPr="007F69DA" w:rsidRDefault="00677BB9" w:rsidP="00F46ACB">
            <w:pPr>
              <w:pStyle w:val="TabelleBuch"/>
              <w:spacing w:before="0" w:line="240" w:lineRule="auto"/>
              <w:ind w:right="-851"/>
              <w:jc w:val="left"/>
              <w:rPr>
                <w:rFonts w:ascii="Times New Roman" w:hAnsi="Times New Roman"/>
                <w:szCs w:val="22"/>
              </w:rPr>
            </w:pPr>
            <w:r w:rsidRPr="007F69DA">
              <w:rPr>
                <w:rFonts w:ascii="Times New Roman" w:hAnsi="Times New Roman"/>
                <w:szCs w:val="22"/>
              </w:rPr>
              <w:sym w:font="Wingdings" w:char="F0E4"/>
            </w:r>
            <w:r w:rsidRPr="007F69DA">
              <w:rPr>
                <w:rFonts w:ascii="Times New Roman" w:hAnsi="Times New Roman"/>
                <w:szCs w:val="22"/>
              </w:rPr>
              <w:t xml:space="preserve"> ... besser als der Durchschnitt</w:t>
            </w:r>
            <w:r w:rsidRPr="007F69DA">
              <w:rPr>
                <w:rFonts w:ascii="Times New Roman" w:hAnsi="Times New Roman"/>
                <w:szCs w:val="22"/>
              </w:rPr>
              <w:br/>
            </w:r>
            <w:r w:rsidRPr="007F69DA">
              <w:rPr>
                <w:rFonts w:ascii="Times New Roman" w:hAnsi="Times New Roman"/>
                <w:szCs w:val="22"/>
              </w:rPr>
              <w:sym w:font="Wingdings" w:char="F0E0"/>
            </w:r>
            <w:r w:rsidRPr="007F69DA">
              <w:rPr>
                <w:rFonts w:ascii="Times New Roman" w:hAnsi="Times New Roman"/>
                <w:szCs w:val="22"/>
              </w:rPr>
              <w:t xml:space="preserve"> ... Branchendurchschnitt</w:t>
            </w:r>
            <w:r w:rsidRPr="007F69DA">
              <w:rPr>
                <w:rFonts w:ascii="Times New Roman" w:hAnsi="Times New Roman"/>
                <w:szCs w:val="22"/>
              </w:rPr>
              <w:br/>
            </w:r>
            <w:r w:rsidRPr="007F69DA">
              <w:rPr>
                <w:rFonts w:ascii="Times New Roman" w:hAnsi="Times New Roman"/>
                <w:szCs w:val="22"/>
              </w:rPr>
              <w:sym w:font="Wingdings" w:char="F0E6"/>
            </w:r>
            <w:r w:rsidRPr="007F69DA">
              <w:rPr>
                <w:rFonts w:ascii="Times New Roman" w:hAnsi="Times New Roman"/>
                <w:szCs w:val="22"/>
              </w:rPr>
              <w:t xml:space="preserve"> ... schlechter als der Durchschnitt </w:t>
            </w:r>
          </w:p>
        </w:tc>
        <w:tc>
          <w:tcPr>
            <w:tcW w:w="4656" w:type="dxa"/>
            <w:gridSpan w:val="15"/>
            <w:tcBorders>
              <w:bottom w:val="single" w:sz="4" w:space="0" w:color="auto"/>
            </w:tcBorders>
            <w:vAlign w:val="center"/>
          </w:tcPr>
          <w:p w14:paraId="1C927B76" w14:textId="77777777" w:rsidR="00677BB9" w:rsidRPr="007F69DA" w:rsidRDefault="00677BB9" w:rsidP="00F46ACB">
            <w:pPr>
              <w:pStyle w:val="TabelleBuch"/>
              <w:spacing w:before="0" w:line="240" w:lineRule="auto"/>
              <w:ind w:right="-851"/>
              <w:jc w:val="left"/>
              <w:rPr>
                <w:rFonts w:ascii="Times New Roman" w:hAnsi="Times New Roman"/>
                <w:szCs w:val="22"/>
              </w:rPr>
            </w:pPr>
            <w:r w:rsidRPr="007F69DA">
              <w:rPr>
                <w:rFonts w:ascii="Times New Roman" w:hAnsi="Times New Roman"/>
                <w:szCs w:val="22"/>
              </w:rPr>
              <w:t>n.b. ... Nicht bewertet, weil die Informationen der</w:t>
            </w:r>
            <w:r w:rsidRPr="007F69DA">
              <w:rPr>
                <w:rFonts w:ascii="Times New Roman" w:hAnsi="Times New Roman"/>
                <w:szCs w:val="22"/>
              </w:rPr>
              <w:br/>
              <w:t>Unternehmen dazu nicht ausreichten. Vermutung der Verbraucherschutzorganisation: Es gibt hier kein nennenswertes Engagement.</w:t>
            </w:r>
          </w:p>
        </w:tc>
      </w:tr>
    </w:tbl>
    <w:p w14:paraId="52EE12B5" w14:textId="77777777" w:rsidR="00677BB9" w:rsidRPr="007F69DA" w:rsidRDefault="00677BB9" w:rsidP="00677BB9">
      <w:pPr>
        <w:pStyle w:val="Quelle"/>
        <w:ind w:right="-851"/>
        <w:rPr>
          <w:sz w:val="22"/>
          <w:szCs w:val="22"/>
        </w:rPr>
      </w:pPr>
      <w:r w:rsidRPr="007F69DA">
        <w:rPr>
          <w:sz w:val="22"/>
          <w:szCs w:val="22"/>
        </w:rPr>
        <w:t xml:space="preserve">Quelle: </w:t>
      </w:r>
      <w:r w:rsidRPr="007F69DA">
        <w:rPr>
          <w:sz w:val="22"/>
          <w:szCs w:val="22"/>
        </w:rPr>
        <w:tab/>
        <w:t>Stiftung Warentest, o.Jg. (2003), Nr.6, S.84.</w:t>
      </w:r>
    </w:p>
    <w:p w14:paraId="12507B5B" w14:textId="77777777" w:rsidR="00677BB9" w:rsidRPr="007F69DA" w:rsidRDefault="00677BB9" w:rsidP="00677BB9">
      <w:pPr>
        <w:ind w:right="-851"/>
      </w:pPr>
    </w:p>
    <w:p w14:paraId="3498FE1E" w14:textId="77777777" w:rsidR="00677BB9" w:rsidRPr="007F69DA" w:rsidRDefault="00677BB9" w:rsidP="00677BB9">
      <w:pPr>
        <w:jc w:val="both"/>
        <w:rPr>
          <w:szCs w:val="24"/>
          <w:lang w:bidi="en-US"/>
        </w:rPr>
      </w:pPr>
      <w:r w:rsidRPr="007F69DA">
        <w:rPr>
          <w:szCs w:val="24"/>
          <w:lang w:bidi="en-US"/>
        </w:rPr>
        <w:t>Phase der gesellschaftsbewussten Unternehmensführung: Das Unternehmen als „guter Bürger“</w:t>
      </w:r>
    </w:p>
    <w:p w14:paraId="6C59973E" w14:textId="77777777" w:rsidR="00677BB9" w:rsidRPr="007F69DA" w:rsidRDefault="00677BB9" w:rsidP="00677BB9">
      <w:pPr>
        <w:jc w:val="both"/>
        <w:rPr>
          <w:szCs w:val="24"/>
          <w:lang w:bidi="en-US"/>
        </w:rPr>
      </w:pPr>
      <w:r w:rsidRPr="007F69DA">
        <w:rPr>
          <w:szCs w:val="24"/>
          <w:lang w:bidi="en-US"/>
        </w:rPr>
        <w:t>Das Konzept einer verantwortungsvollen Unternehmensführung wurzelt in der Diskus</w:t>
      </w:r>
      <w:r w:rsidRPr="007F69DA">
        <w:rPr>
          <w:szCs w:val="24"/>
          <w:lang w:bidi="en-US"/>
        </w:rPr>
        <w:softHyphen/>
        <w:t>sion, welche Heald (1970) und Steinmann (1973) initiiert haben. Beide postulierten, dass der wirt</w:t>
      </w:r>
      <w:r w:rsidRPr="007F69DA">
        <w:rPr>
          <w:szCs w:val="24"/>
          <w:lang w:bidi="en-US"/>
        </w:rPr>
        <w:softHyphen/>
        <w:t>schaftliche Erfolg national und interna</w:t>
      </w:r>
      <w:r w:rsidRPr="007F69DA">
        <w:rPr>
          <w:szCs w:val="24"/>
          <w:lang w:bidi="en-US"/>
        </w:rPr>
        <w:softHyphen/>
        <w:t xml:space="preserve">tional tätiger Unternehmen zunehmend von sog. Non Market-Faktoren abhängt. Dies bedeutet: Angesichts der wachsenden Bedeutung der sozialen Umwelt müssten Unternehmen mehr denn je eine nachhaltige, transparente und mithin glaubwürdige Kommunikationsstrategie verfolgen. </w:t>
      </w:r>
    </w:p>
    <w:p w14:paraId="440C1744" w14:textId="77777777" w:rsidR="00677BB9" w:rsidRPr="007F69DA" w:rsidRDefault="00677BB9" w:rsidP="00677BB9">
      <w:pPr>
        <w:pStyle w:val="Erlaeuterung"/>
        <w:spacing w:before="240" w:after="60" w:line="360" w:lineRule="auto"/>
        <w:ind w:left="284" w:rightChars="921" w:right="2026"/>
        <w:rPr>
          <w:sz w:val="22"/>
          <w:szCs w:val="22"/>
        </w:rPr>
      </w:pPr>
    </w:p>
    <w:p w14:paraId="1EE55B5B" w14:textId="77777777" w:rsidR="00677BB9" w:rsidRPr="007F69DA" w:rsidRDefault="00677BB9" w:rsidP="00677BB9">
      <w:pPr>
        <w:jc w:val="both"/>
        <w:rPr>
          <w:szCs w:val="24"/>
          <w:lang w:bidi="en-US"/>
        </w:rPr>
      </w:pPr>
      <w:r w:rsidRPr="007F69DA">
        <w:rPr>
          <w:szCs w:val="24"/>
          <w:lang w:bidi="en-US"/>
        </w:rPr>
        <w:t>Hinzu kam die Verunsicherung breiter Schichten der Bevölkerung durch „die Globalisierung“. Um das Vertrauen der Bevölkerung (zurück)zugewinnen und diese davon zu überzeugen, dass auch die neue, bislang nur in Teilen erkennbare Weltwirtschaftsordnung rechtstaatlicher Natur sei, solle durch ein engmaschiges Netz an Vereinbarungen (z.B. gegen Bestechung von Beamten durch Multinationale Unternehmen) ein Gegengewicht zu weltweiter Korruption, Kriminalität und Geldwäscherei, Steuerflucht, destruktivem Steuerwettbewerb, Verletzung sozialer Mindestnormen und Umweltverschmutzung geschaffen werden. Global Compact etwa ist eine Initiative der Vereinten Nationen. Im Mittelpunkt des „Globalen Vertrags“ steht ein Katalog von zehn allgemeinen Grundsätzen der Unternehmensführung (z.B. „dafür Sorge tragen, dass innerhalb des eigenen Einflussbereiches die Menschenrechte gewahrt werden“). Vertragspartner verpflichten sich dazu, diese Grundsätze zu achten und insgesamt als Good Corporate Citizen zu agieren (vgl. Cetindamar 2007; Rieth 2003).</w:t>
      </w:r>
    </w:p>
    <w:p w14:paraId="5FEE68C1" w14:textId="77777777" w:rsidR="00677BB9" w:rsidRPr="007F69DA" w:rsidRDefault="00677BB9" w:rsidP="00677BB9">
      <w:pPr>
        <w:jc w:val="both"/>
        <w:rPr>
          <w:szCs w:val="24"/>
          <w:lang w:bidi="en-US"/>
        </w:rPr>
      </w:pPr>
    </w:p>
    <w:p w14:paraId="5835A4E1" w14:textId="77777777" w:rsidR="00677BB9" w:rsidRPr="007F69DA" w:rsidRDefault="00677BB9" w:rsidP="00677BB9">
      <w:pPr>
        <w:jc w:val="both"/>
        <w:rPr>
          <w:szCs w:val="24"/>
          <w:lang w:bidi="en-US"/>
        </w:rPr>
      </w:pPr>
      <w:bookmarkStart w:id="123" w:name="_Toc358883021"/>
      <w:r w:rsidRPr="007F69DA">
        <w:rPr>
          <w:szCs w:val="24"/>
          <w:lang w:bidi="en-US"/>
        </w:rPr>
        <w:t>4. Formen moderner Öffentlichkeitsarbeit</w:t>
      </w:r>
      <w:bookmarkEnd w:id="123"/>
    </w:p>
    <w:p w14:paraId="1D0333BE" w14:textId="77777777" w:rsidR="00677BB9" w:rsidRPr="007F69DA" w:rsidRDefault="00677BB9" w:rsidP="00677BB9">
      <w:pPr>
        <w:jc w:val="both"/>
        <w:rPr>
          <w:szCs w:val="24"/>
          <w:lang w:bidi="en-US"/>
        </w:rPr>
      </w:pPr>
    </w:p>
    <w:p w14:paraId="1EE4B7FF" w14:textId="5FD18A66" w:rsidR="00677BB9" w:rsidRPr="007F69DA" w:rsidRDefault="000D74BB" w:rsidP="00677BB9">
      <w:pPr>
        <w:jc w:val="both"/>
        <w:rPr>
          <w:szCs w:val="24"/>
          <w:lang w:bidi="en-US"/>
        </w:rPr>
      </w:pPr>
      <w:r>
        <w:rPr>
          <w:szCs w:val="24"/>
          <w:lang w:bidi="en-US"/>
        </w:rPr>
        <w:t xml:space="preserve">4.1 </w:t>
      </w:r>
      <w:r w:rsidR="00677BB9" w:rsidRPr="007F69DA">
        <w:rPr>
          <w:szCs w:val="24"/>
          <w:lang w:bidi="en-US"/>
        </w:rPr>
        <w:t>Corporate Citizenship (CCS)</w:t>
      </w:r>
    </w:p>
    <w:p w14:paraId="47737F6A" w14:textId="77777777" w:rsidR="00677BB9" w:rsidRPr="007F69DA" w:rsidRDefault="00677BB9" w:rsidP="00677BB9">
      <w:pPr>
        <w:jc w:val="both"/>
        <w:rPr>
          <w:szCs w:val="24"/>
          <w:lang w:bidi="en-US"/>
        </w:rPr>
      </w:pPr>
      <w:r w:rsidRPr="007F69DA">
        <w:rPr>
          <w:szCs w:val="24"/>
          <w:lang w:bidi="en-US"/>
        </w:rPr>
        <w:t>Durch „bürgerschaftliches Engagement“ versuchen immer mehr Unternehmen dazu beizutragen, die Globalisierung möglichst menschengerecht zu gestalten. Hierzu bedient man sich we</w:t>
      </w:r>
      <w:r w:rsidRPr="007F69DA">
        <w:rPr>
          <w:szCs w:val="24"/>
          <w:lang w:bidi="en-US"/>
        </w:rPr>
        <w:softHyphen/>
        <w:t xml:space="preserve">niger des Instruments der finanziellen Unterstützung z.B. von kommunalen Anliegen (durch </w:t>
      </w:r>
      <w:r w:rsidRPr="007F69DA">
        <w:rPr>
          <w:szCs w:val="24"/>
          <w:lang w:bidi="en-US"/>
        </w:rPr>
        <w:sym w:font="Symbol" w:char="F0DE"/>
      </w:r>
      <w:r w:rsidRPr="007F69DA">
        <w:rPr>
          <w:szCs w:val="24"/>
          <w:lang w:bidi="en-US"/>
        </w:rPr>
        <w:t xml:space="preserve"> Sponsoring oder Mäzenatentum). Vielmehr übernehmen Unternehmen bzw. deren Mitarbeiter Verantwortung für das Gemeinwesen, an dem sie ihren Standort haben, indem sie Know how und private Zeit in soziale oder ökologische Projekte einbringen. Anstatt, wie bis</w:t>
      </w:r>
      <w:r w:rsidRPr="007F69DA">
        <w:rPr>
          <w:szCs w:val="24"/>
          <w:lang w:bidi="en-US"/>
        </w:rPr>
        <w:softHyphen/>
        <w:t>her, dann und wann eher zufällig für wohltätige Zwecke zu spenden, beteiligen sich mehr und mehr Unternehmen nicht nur materiell, sondern auch konzeptionell an dauerhaft angelegten Projekten, welche zur Lösung gravierender gesellschaftli</w:t>
      </w:r>
      <w:r w:rsidRPr="007F69DA">
        <w:rPr>
          <w:szCs w:val="24"/>
          <w:lang w:bidi="en-US"/>
        </w:rPr>
        <w:softHyphen/>
        <w:t xml:space="preserve">cher Probleme beitragen wollen (z.B. zunehmende Fettleibigkeit der Jugend, Erosion der Innenstädte; vgl. Habisch et al. 2008). </w:t>
      </w:r>
    </w:p>
    <w:p w14:paraId="34EBCDD1" w14:textId="77777777" w:rsidR="00677BB9" w:rsidRPr="007F69DA" w:rsidRDefault="00677BB9" w:rsidP="00677BB9">
      <w:pPr>
        <w:jc w:val="both"/>
        <w:rPr>
          <w:szCs w:val="24"/>
          <w:lang w:bidi="en-US"/>
        </w:rPr>
      </w:pPr>
    </w:p>
    <w:p w14:paraId="55438944" w14:textId="77777777" w:rsidR="00677BB9" w:rsidRPr="007F69DA" w:rsidRDefault="00677BB9" w:rsidP="00677BB9">
      <w:pPr>
        <w:jc w:val="both"/>
        <w:rPr>
          <w:szCs w:val="24"/>
          <w:lang w:bidi="en-US"/>
        </w:rPr>
      </w:pPr>
      <w:r w:rsidRPr="007F69DA">
        <w:rPr>
          <w:szCs w:val="24"/>
          <w:lang w:bidi="en-US"/>
        </w:rPr>
        <w:t xml:space="preserve">Wie eine 2001von der Europäischen Kommission in Auftrag gegebene Umfrage bei 7.662 klein- und mittelständischen Unternehmen ergab, engagierten sich damals 49% der europäischen KMU auf die ein oder andere Weise für ein soziales Projekt (deutsche KMU = 54%). 33% der befragten Unternehmen erhofften sich davon eine Verbesserung ihrer Beziehungen zu öffentlichen Einrichtungen (D = 29%), 26% zu Kunden (D = 27%), 15% zu Geschäftspartnern und Investoren (D = 24%) sowie 14% zu ihren Mitarbeitern (D = 14%). </w:t>
      </w:r>
    </w:p>
    <w:p w14:paraId="1AF5D457" w14:textId="77777777" w:rsidR="00677BB9" w:rsidRPr="007F69DA" w:rsidRDefault="00677BB9" w:rsidP="00677BB9">
      <w:pPr>
        <w:pStyle w:val="Erlaeuterung"/>
        <w:spacing w:line="360" w:lineRule="auto"/>
        <w:ind w:right="-851"/>
        <w:rPr>
          <w:bCs w:val="0"/>
          <w:sz w:val="22"/>
          <w:szCs w:val="22"/>
        </w:rPr>
      </w:pPr>
    </w:p>
    <w:p w14:paraId="63DFD0E4" w14:textId="77777777" w:rsidR="00677BB9" w:rsidRPr="007F69DA" w:rsidRDefault="00677BB9" w:rsidP="00677BB9">
      <w:pPr>
        <w:jc w:val="both"/>
        <w:rPr>
          <w:szCs w:val="24"/>
          <w:lang w:bidi="en-US"/>
        </w:rPr>
      </w:pPr>
      <w:r w:rsidRPr="007F69DA">
        <w:rPr>
          <w:szCs w:val="24"/>
          <w:lang w:bidi="en-US"/>
        </w:rPr>
        <w:t>CCS kann, muss aber nicht selbstlos sein. Denn soziales Engagement erhöht die Kundenbindung, die Loyalität der Mitarbeiter sowie die Akzeptanz eigener Anliegen im gesellschaftlich-politischen Umfeld. Wenn sich Unter</w:t>
      </w:r>
      <w:r w:rsidRPr="007F69DA">
        <w:rPr>
          <w:szCs w:val="24"/>
          <w:lang w:bidi="en-US"/>
        </w:rPr>
        <w:softHyphen/>
        <w:t>nehmen als Teil der Bürgergesellschaft begreifen, so erhöht dies bei einem Gutteil der Deutschen die Wahrscheinlichkeit, dass sie Leistungen dieses Unternehmens erwerben. Entsprechend versprachen sich 13% der in der Studie befragten Unternehmen (D = 14%) von ihrem Engagement eine indirekte Stärkung ihrer wirtschaftlichen Leistungsfähigkeit (insb. durch Steigerung der Kunden- und Mitarbeiterzufriedenheit). Groß ist der personalpolitische Effekt von CCS: bspw. bei der Akquisition von High Potentials. Gemäß einer Studie des Instituts Industrial Society wollen 82% der besonders qualifizierten Bewerber nur für ein Unternehmen arbeiten, dessen Werte sie teilen. Und gemäß einer Ipsos-Studie wünschen sich 60% der deutschen Kandidaten einen Arbeitgeber, der Social Sponsoring betreibt (vgl. Sarstedt/Ganßauge 2009; Kiefer 2004).</w:t>
      </w:r>
    </w:p>
    <w:p w14:paraId="1C5D9904" w14:textId="77777777" w:rsidR="00677BB9" w:rsidRPr="007F69DA" w:rsidRDefault="00677BB9" w:rsidP="00677BB9">
      <w:pPr>
        <w:jc w:val="both"/>
        <w:rPr>
          <w:szCs w:val="24"/>
          <w:lang w:bidi="en-US"/>
        </w:rPr>
      </w:pPr>
    </w:p>
    <w:p w14:paraId="4DC3EE4B" w14:textId="77777777" w:rsidR="00677BB9" w:rsidRPr="007F69DA" w:rsidRDefault="00677BB9" w:rsidP="00677BB9">
      <w:pPr>
        <w:jc w:val="both"/>
      </w:pPr>
      <w:r w:rsidRPr="007F69DA">
        <w:rPr>
          <w:szCs w:val="24"/>
          <w:lang w:bidi="en-US"/>
        </w:rPr>
        <w:t>Aus Sicht von Kritikern allerdings verfolgt CCS einen ganz anderen Zweck. Durch gute Taten versuchen die Unternehmen demnach, in der Gesellschaft Akzeptanz für eine „zügellose</w:t>
      </w:r>
      <w:r w:rsidRPr="007F69DA">
        <w:t xml:space="preserve"> Globalisierung“ zu erlangen. </w:t>
      </w:r>
    </w:p>
    <w:p w14:paraId="709983CB" w14:textId="77777777" w:rsidR="00677BB9" w:rsidRPr="007F69DA" w:rsidRDefault="00677BB9" w:rsidP="00677BB9">
      <w:pPr>
        <w:jc w:val="both"/>
      </w:pPr>
    </w:p>
    <w:p w14:paraId="4C61E6B3" w14:textId="77777777" w:rsidR="00677BB9" w:rsidRPr="007F69DA" w:rsidRDefault="00677BB9" w:rsidP="00677BB9">
      <w:pPr>
        <w:jc w:val="both"/>
        <w:rPr>
          <w:szCs w:val="24"/>
          <w:lang w:bidi="en-US"/>
        </w:rPr>
      </w:pPr>
      <w:r w:rsidRPr="007F69DA">
        <w:rPr>
          <w:szCs w:val="24"/>
          <w:lang w:bidi="en-US"/>
        </w:rPr>
        <w:t>Bürgerschaftliches Engagement von Unternehmen hat vor allem in den USA eine langjährige Tradition. Dort erwarten viele Unternehmen auch von ihren Mitarbeitern sozial verantwortliches Verhalten. So meinten laut der Cone Corpo</w:t>
      </w:r>
      <w:r w:rsidRPr="007F69DA">
        <w:rPr>
          <w:szCs w:val="24"/>
          <w:lang w:bidi="en-US"/>
        </w:rPr>
        <w:softHyphen/>
        <w:t>rate Citizenship Study 2004 zwei Drittel der befragten US-Bürger, Unternehmen sollten in ihrem Umfeld für soziale Belange Verantwortung übernehmen. Eine Vorreiterrolle billigen sie dabei Wal-Mart zu. Auch in Dänemark, Großbritannien und den Niederlanden bekennen sich prozentual gesehen wesentlich mehr Unternehmen zur CCS-Philosophie als in Deutschland.</w:t>
      </w:r>
    </w:p>
    <w:p w14:paraId="62DC46DA" w14:textId="77777777" w:rsidR="00677BB9" w:rsidRPr="007F69DA" w:rsidRDefault="00677BB9" w:rsidP="00677BB9">
      <w:pPr>
        <w:jc w:val="both"/>
        <w:rPr>
          <w:szCs w:val="24"/>
          <w:lang w:bidi="en-US"/>
        </w:rPr>
      </w:pPr>
    </w:p>
    <w:p w14:paraId="379713A1" w14:textId="77777777" w:rsidR="00677BB9" w:rsidRPr="007F69DA" w:rsidRDefault="00677BB9" w:rsidP="00677BB9">
      <w:pPr>
        <w:jc w:val="both"/>
        <w:rPr>
          <w:szCs w:val="24"/>
          <w:lang w:bidi="en-US"/>
        </w:rPr>
      </w:pPr>
      <w:r w:rsidRPr="007F69DA">
        <w:rPr>
          <w:szCs w:val="24"/>
          <w:lang w:bidi="en-US"/>
        </w:rPr>
        <w:t>Länderübergreifend scheinen Maskulinität und das Streben nach Unsicherheitsvermeidung die Bereitschaft von Unternehmen, als „guter Bürger“ zu agieren und eine proaktive Umweltpolitik zu betreiben (z.B. freiwillig ihren Ausstoß an Treibhausgasen zu senken), zu behindern. Wang et al. (2021) erklären dies folgendermaßen: Maskuline Gesellschaften legen besonders viel Wert auf Wettbewerb, Durchsetzungskraft und kurzfristigen Erfolg, während es für ungewissheitsmeidende Gesellschaften vor allem wichtig ist, Risiken zu vermeiden. Da eine proaktive Umweltpolitik oft Unsicherheit schafft – bspw. weil die dazu erforderlichen Investitionen sich bestenfalls langfristig rentieren, tendieren Unternehmen mit maskulinen Werten und der Tendenz, Unsicherheit unbedingt zu vermeiden, Umweltmaßnahmen zurückzustellen, um Risiken zu minimieren und den Status quo zu bewahren (vgl. auch Hsiao et al 2024).</w:t>
      </w:r>
    </w:p>
    <w:p w14:paraId="39D8D9AF" w14:textId="77777777" w:rsidR="00677BB9" w:rsidRPr="007F69DA" w:rsidRDefault="00677BB9" w:rsidP="00677BB9">
      <w:pPr>
        <w:jc w:val="both"/>
        <w:rPr>
          <w:szCs w:val="24"/>
          <w:lang w:bidi="en-US"/>
        </w:rPr>
      </w:pPr>
    </w:p>
    <w:p w14:paraId="4F23F261" w14:textId="39BF5476" w:rsidR="00677BB9" w:rsidRPr="007F69DA" w:rsidRDefault="000D74BB" w:rsidP="00677BB9">
      <w:pPr>
        <w:pStyle w:val="Erlaeuterung"/>
        <w:spacing w:before="240" w:after="60" w:line="360" w:lineRule="auto"/>
        <w:ind w:rightChars="921" w:right="2026"/>
        <w:rPr>
          <w:bCs w:val="0"/>
          <w:sz w:val="22"/>
          <w:szCs w:val="22"/>
        </w:rPr>
      </w:pPr>
      <w:r>
        <w:rPr>
          <w:bCs w:val="0"/>
          <w:sz w:val="22"/>
          <w:szCs w:val="22"/>
        </w:rPr>
        <w:t xml:space="preserve">4.2 </w:t>
      </w:r>
      <w:r w:rsidR="00677BB9" w:rsidRPr="007F69DA">
        <w:rPr>
          <w:bCs w:val="0"/>
          <w:sz w:val="22"/>
          <w:szCs w:val="22"/>
        </w:rPr>
        <w:t xml:space="preserve">Corporate </w:t>
      </w:r>
      <w:proofErr w:type="spellStart"/>
      <w:r w:rsidR="00677BB9" w:rsidRPr="007F69DA">
        <w:rPr>
          <w:bCs w:val="0"/>
          <w:sz w:val="22"/>
          <w:szCs w:val="22"/>
        </w:rPr>
        <w:t>Governance</w:t>
      </w:r>
      <w:proofErr w:type="spellEnd"/>
      <w:r w:rsidR="00677BB9" w:rsidRPr="007F69DA">
        <w:rPr>
          <w:bCs w:val="0"/>
          <w:sz w:val="22"/>
          <w:szCs w:val="22"/>
        </w:rPr>
        <w:t xml:space="preserve"> (CG)</w:t>
      </w:r>
    </w:p>
    <w:p w14:paraId="31164AFB" w14:textId="77777777" w:rsidR="00677BB9" w:rsidRPr="007F69DA" w:rsidRDefault="00677BB9" w:rsidP="00677BB9">
      <w:pPr>
        <w:jc w:val="both"/>
        <w:rPr>
          <w:szCs w:val="24"/>
          <w:lang w:bidi="en-US"/>
        </w:rPr>
      </w:pPr>
      <w:r w:rsidRPr="007F69DA">
        <w:rPr>
          <w:szCs w:val="24"/>
          <w:lang w:bidi="en-US"/>
        </w:rPr>
        <w:t>Als Corporate Governance wird eine dem Gemeinwohl verantwortliche, auf langfristige Wertsteigerung ausgerichtete Form der Unter</w:t>
      </w:r>
      <w:r w:rsidRPr="007F69DA">
        <w:rPr>
          <w:szCs w:val="24"/>
          <w:lang w:bidi="en-US"/>
        </w:rPr>
        <w:softHyphen/>
        <w:t>nehmensführung bezeichnet. Die Unternehmen verpflichten sich freiwillig, dem CG-Regelwerk Folge zu leisten. Hierbei handelt es sich um ein komplexes Sys</w:t>
      </w:r>
      <w:r w:rsidRPr="007F69DA">
        <w:rPr>
          <w:szCs w:val="24"/>
          <w:lang w:bidi="en-US"/>
        </w:rPr>
        <w:softHyphen/>
        <w:t>tem von Regeln unterschiedlicher Konk</w:t>
      </w:r>
      <w:r w:rsidRPr="007F69DA">
        <w:rPr>
          <w:szCs w:val="24"/>
          <w:lang w:bidi="en-US"/>
        </w:rPr>
        <w:softHyphen/>
        <w:t xml:space="preserve">retheit und Verbindlichkeit, die explizit bzw. implizit darauf Einfluss nehmen, wie in Unternehmen Entscheidungen getroffen werden. Die einschlägige Literatur unterscheidet zwei Strömungen (vgl. Enriques/Volpin 2007; Theissen 2002). </w:t>
      </w:r>
    </w:p>
    <w:p w14:paraId="3F474D8F" w14:textId="77777777" w:rsidR="00677BB9" w:rsidRPr="007F69DA" w:rsidRDefault="00677BB9" w:rsidP="000D74BB">
      <w:pPr>
        <w:pStyle w:val="Erlaeuterung"/>
        <w:numPr>
          <w:ilvl w:val="0"/>
          <w:numId w:val="62"/>
        </w:numPr>
        <w:spacing w:before="240" w:after="60" w:line="240" w:lineRule="auto"/>
        <w:ind w:left="567" w:rightChars="70" w:right="154"/>
        <w:rPr>
          <w:bCs w:val="0"/>
          <w:sz w:val="22"/>
          <w:szCs w:val="22"/>
        </w:rPr>
      </w:pPr>
      <w:r w:rsidRPr="007F69DA">
        <w:rPr>
          <w:bCs w:val="0"/>
          <w:sz w:val="22"/>
          <w:szCs w:val="22"/>
        </w:rPr>
        <w:t>Shareholder Value-Perspektive: Unternehmerische Entscheidungen sollten primär den Inte</w:t>
      </w:r>
      <w:r w:rsidRPr="007F69DA">
        <w:rPr>
          <w:bCs w:val="0"/>
          <w:sz w:val="22"/>
          <w:szCs w:val="22"/>
        </w:rPr>
        <w:softHyphen/>
        <w:t>ressen der Anteilseigner dienen.</w:t>
      </w:r>
    </w:p>
    <w:p w14:paraId="2D7740A4" w14:textId="77777777" w:rsidR="00677BB9" w:rsidRPr="007F69DA" w:rsidRDefault="00677BB9" w:rsidP="000D74BB">
      <w:pPr>
        <w:pStyle w:val="Erlaeuterung"/>
        <w:numPr>
          <w:ilvl w:val="0"/>
          <w:numId w:val="62"/>
        </w:numPr>
        <w:spacing w:before="240" w:after="60" w:line="240" w:lineRule="auto"/>
        <w:ind w:left="567" w:rightChars="70" w:right="154"/>
        <w:rPr>
          <w:sz w:val="22"/>
          <w:szCs w:val="22"/>
        </w:rPr>
      </w:pPr>
      <w:r w:rsidRPr="007F69DA">
        <w:rPr>
          <w:bCs w:val="0"/>
          <w:sz w:val="22"/>
          <w:szCs w:val="22"/>
        </w:rPr>
        <w:t>Stakeholder-Ansatz: Unternehmerische Entscheidungen haben auch und gerade den Interessen der anderen Anspruchsgruppen Rechnung zu tragen (z.B. Mitarbeiter, Lieferanten, Kirchen, Nicht-Regierungsorganisationen)</w:t>
      </w:r>
    </w:p>
    <w:p w14:paraId="52F79750" w14:textId="77777777" w:rsidR="00677BB9" w:rsidRPr="007F69DA" w:rsidRDefault="00677BB9" w:rsidP="00677BB9">
      <w:pPr>
        <w:pStyle w:val="Erlaeuterung"/>
        <w:spacing w:before="240" w:after="60" w:line="240" w:lineRule="auto"/>
        <w:ind w:left="1134" w:rightChars="70" w:right="154"/>
        <w:rPr>
          <w:sz w:val="22"/>
          <w:szCs w:val="22"/>
        </w:rPr>
      </w:pPr>
    </w:p>
    <w:p w14:paraId="7F74B9B1" w14:textId="77777777" w:rsidR="00677BB9" w:rsidRPr="007F69DA" w:rsidRDefault="00677BB9" w:rsidP="00677BB9">
      <w:pPr>
        <w:jc w:val="both"/>
        <w:rPr>
          <w:szCs w:val="24"/>
          <w:lang w:bidi="en-US"/>
        </w:rPr>
      </w:pPr>
      <w:r w:rsidRPr="007F69DA">
        <w:rPr>
          <w:szCs w:val="24"/>
          <w:lang w:bidi="en-US"/>
        </w:rPr>
        <w:t>Das Spencer Stuart Governance-Lexikon informiert umfas</w:t>
      </w:r>
      <w:r w:rsidRPr="007F69DA">
        <w:rPr>
          <w:szCs w:val="24"/>
          <w:lang w:bidi="en-US"/>
        </w:rPr>
        <w:softHyphen/>
        <w:t>send über die stellenweise höchst unterschiedliche Ausgestaltung der verschiedenen Corporate Governance-Regelwerke in führenden In</w:t>
      </w:r>
      <w:r w:rsidRPr="007F69DA">
        <w:rPr>
          <w:szCs w:val="24"/>
          <w:lang w:bidi="en-US"/>
        </w:rPr>
        <w:softHyphen/>
        <w:t>dustrienationen (z.B. Deutschland, Frankreich, Großbritannien, USA) und wichtigen supranationalen Organisa</w:t>
      </w:r>
      <w:r w:rsidRPr="007F69DA">
        <w:rPr>
          <w:szCs w:val="24"/>
          <w:lang w:bidi="en-US"/>
        </w:rPr>
        <w:softHyphen/>
        <w:t xml:space="preserve">tionen (z.B. Europäische Union; OECD; Weltbank). Paul (2007) begründet diese Unterschiedlichkeit mit dem Einfluss unterschiedliche Rechtssysteme und kultureller Eigenheiten. </w:t>
      </w:r>
    </w:p>
    <w:p w14:paraId="3C04AF24" w14:textId="77777777" w:rsidR="00677BB9" w:rsidRPr="007F69DA" w:rsidRDefault="00677BB9" w:rsidP="000D74BB">
      <w:pPr>
        <w:pStyle w:val="Erlaeuterung"/>
        <w:numPr>
          <w:ilvl w:val="0"/>
          <w:numId w:val="62"/>
        </w:numPr>
        <w:spacing w:before="240" w:after="60" w:line="240" w:lineRule="auto"/>
        <w:ind w:left="567" w:rightChars="70" w:right="154"/>
        <w:rPr>
          <w:bCs w:val="0"/>
          <w:sz w:val="22"/>
          <w:szCs w:val="22"/>
        </w:rPr>
      </w:pPr>
      <w:r w:rsidRPr="007F69DA">
        <w:rPr>
          <w:bCs w:val="0"/>
          <w:sz w:val="22"/>
          <w:szCs w:val="22"/>
        </w:rPr>
        <w:t>Im angelsächsischen Kulturraum etwa sind trotz des 2002 vom amerikanischen Präsidenten unterzeichneten Sarbaues-Oxley-Act nach wie vor das Aktionärsinteresse und der Share</w:t>
      </w:r>
      <w:r w:rsidRPr="007F69DA">
        <w:rPr>
          <w:bCs w:val="0"/>
          <w:sz w:val="22"/>
          <w:szCs w:val="22"/>
        </w:rPr>
        <w:softHyphen/>
        <w:t>holder Value die entscheidenden Zielgrößen der Leitung und Überwa</w:t>
      </w:r>
      <w:r w:rsidRPr="007F69DA">
        <w:rPr>
          <w:bCs w:val="0"/>
          <w:sz w:val="22"/>
          <w:szCs w:val="22"/>
        </w:rPr>
        <w:softHyphen/>
        <w:t xml:space="preserve">chung eines Unternehmens (vgl. Jacoby 2005; Hohnstrom/Kaplan 2003). </w:t>
      </w:r>
    </w:p>
    <w:p w14:paraId="1ABFCB07" w14:textId="77777777" w:rsidR="00677BB9" w:rsidRPr="007F69DA" w:rsidRDefault="00677BB9" w:rsidP="000D74BB">
      <w:pPr>
        <w:pStyle w:val="Erlaeuterung"/>
        <w:numPr>
          <w:ilvl w:val="0"/>
          <w:numId w:val="62"/>
        </w:numPr>
        <w:spacing w:before="240" w:after="60" w:line="240" w:lineRule="auto"/>
        <w:ind w:left="567" w:rightChars="70" w:right="154"/>
        <w:rPr>
          <w:bCs w:val="0"/>
          <w:sz w:val="22"/>
          <w:szCs w:val="22"/>
        </w:rPr>
      </w:pPr>
      <w:r w:rsidRPr="007F69DA">
        <w:rPr>
          <w:bCs w:val="0"/>
          <w:sz w:val="22"/>
          <w:szCs w:val="22"/>
        </w:rPr>
        <w:t>Die Europäische Union hat sich die Harmonisierung der einschlägigen Regelungen ihrer Mitgliedsländer zur Aufgabe gemacht. Hierzu wurde 2003 ein Akti</w:t>
      </w:r>
      <w:r w:rsidRPr="007F69DA">
        <w:rPr>
          <w:bCs w:val="0"/>
          <w:sz w:val="22"/>
          <w:szCs w:val="22"/>
        </w:rPr>
        <w:softHyphen/>
        <w:t>onsplan formuliert: „Modernisierung des Gemeinschaftsrechts und Verbesserung der Corporate Governance in der EU“. Einerseits sollen sich die einzelnen Län</w:t>
      </w:r>
      <w:r w:rsidRPr="007F69DA">
        <w:rPr>
          <w:bCs w:val="0"/>
          <w:sz w:val="22"/>
          <w:szCs w:val="22"/>
        </w:rPr>
        <w:softHyphen/>
        <w:t>der eine gewisse Eigenständigkeit bewahren können, andererseits aber einen gemeinsamen Kern zentraler Ziele und Vorgaben beachten (z.B. Stärkung der Aktionärsrechte, Steigerung der Trans</w:t>
      </w:r>
      <w:r w:rsidRPr="007F69DA">
        <w:rPr>
          <w:bCs w:val="0"/>
          <w:sz w:val="22"/>
          <w:szCs w:val="22"/>
        </w:rPr>
        <w:softHyphen/>
        <w:t xml:space="preserve">parenz, Harmonisierung des Gesellschaftsrechts; vgl. Hopt/Leyens 2004, Pfitzer et al. 2003). </w:t>
      </w:r>
    </w:p>
    <w:p w14:paraId="4ADC81F1" w14:textId="77777777" w:rsidR="00677BB9" w:rsidRPr="007F69DA" w:rsidRDefault="00677BB9" w:rsidP="000D74BB">
      <w:pPr>
        <w:pStyle w:val="Erlaeuterung"/>
        <w:numPr>
          <w:ilvl w:val="0"/>
          <w:numId w:val="62"/>
        </w:numPr>
        <w:spacing w:before="240" w:after="60" w:line="240" w:lineRule="auto"/>
        <w:ind w:left="567" w:rightChars="70" w:right="154"/>
        <w:rPr>
          <w:bCs w:val="0"/>
          <w:sz w:val="22"/>
          <w:szCs w:val="22"/>
        </w:rPr>
      </w:pPr>
      <w:r w:rsidRPr="007F69DA">
        <w:rPr>
          <w:bCs w:val="0"/>
          <w:sz w:val="22"/>
          <w:szCs w:val="22"/>
        </w:rPr>
        <w:t xml:space="preserve">Das japanische Corporate Governance-System vereinigt Elemente des amerikanischen und des deutschen Modells. Trotz der Einrichtung des Kansayaku-Board, das ein externes Mitglied vorsieht, ist es vergleichsweise intransparent. Da im gesamten ostasiatischen Raum die Familie der Prototyp aller gesellschaftlichen Organisationsformen ist (vgl. Müller/Gelbrich 2014, S.131f.), hat sich dort ein familienbasiertes Corporate Governance-System entwickelt. Charakteristisch ist die von persönlichen Abhängigkeiten und sozialen Netzwerken geprägte Beziehung zwischen Familie und Minderheitsaktionären (vgl. Jackson 2005). </w:t>
      </w:r>
    </w:p>
    <w:p w14:paraId="0871CF73" w14:textId="77777777" w:rsidR="00677BB9" w:rsidRPr="007F69DA" w:rsidRDefault="00677BB9" w:rsidP="00677BB9">
      <w:pPr>
        <w:pStyle w:val="Erlaeuterung"/>
        <w:tabs>
          <w:tab w:val="left" w:pos="9781"/>
        </w:tabs>
        <w:spacing w:before="240" w:after="60" w:line="240" w:lineRule="auto"/>
        <w:ind w:left="1004" w:right="-851"/>
        <w:rPr>
          <w:sz w:val="22"/>
          <w:szCs w:val="22"/>
        </w:rPr>
      </w:pPr>
    </w:p>
    <w:p w14:paraId="11301A8A" w14:textId="15F83E9B" w:rsidR="00677BB9" w:rsidRPr="007F69DA" w:rsidRDefault="000D74BB" w:rsidP="00677BB9">
      <w:pPr>
        <w:pStyle w:val="Erlaeuterung"/>
        <w:spacing w:before="240" w:after="60" w:line="360" w:lineRule="auto"/>
        <w:ind w:rightChars="921" w:right="2026"/>
        <w:rPr>
          <w:bCs w:val="0"/>
          <w:sz w:val="22"/>
          <w:szCs w:val="22"/>
        </w:rPr>
      </w:pPr>
      <w:r>
        <w:rPr>
          <w:bCs w:val="0"/>
          <w:sz w:val="22"/>
          <w:szCs w:val="22"/>
        </w:rPr>
        <w:t xml:space="preserve">4.3 </w:t>
      </w:r>
      <w:r w:rsidR="00677BB9" w:rsidRPr="007F69DA">
        <w:rPr>
          <w:bCs w:val="0"/>
          <w:sz w:val="22"/>
          <w:szCs w:val="22"/>
        </w:rPr>
        <w:t>Corporate Reputation (CR)</w:t>
      </w:r>
    </w:p>
    <w:p w14:paraId="7D76D69A" w14:textId="77777777" w:rsidR="00677BB9" w:rsidRPr="007F69DA" w:rsidRDefault="00677BB9" w:rsidP="00677BB9">
      <w:pPr>
        <w:jc w:val="both"/>
        <w:rPr>
          <w:szCs w:val="24"/>
          <w:lang w:bidi="en-US"/>
        </w:rPr>
      </w:pPr>
      <w:r w:rsidRPr="007F69DA">
        <w:rPr>
          <w:szCs w:val="24"/>
          <w:lang w:bidi="en-US"/>
        </w:rPr>
        <w:t xml:space="preserve">Im Mittelpunkt dieses Konzepts steht die Vertrauenswürdigkeit der Anbieter. Wie </w:t>
      </w:r>
      <w:r w:rsidRPr="007F69DA">
        <w:rPr>
          <w:rFonts w:ascii="Cambria Math" w:hAnsi="Cambria Math" w:cs="Cambria Math"/>
          <w:szCs w:val="24"/>
          <w:lang w:bidi="en-US"/>
        </w:rPr>
        <w:t>⇒</w:t>
      </w:r>
      <w:r w:rsidRPr="007F69DA">
        <w:rPr>
          <w:szCs w:val="24"/>
          <w:lang w:bidi="en-US"/>
        </w:rPr>
        <w:t xml:space="preserve"> etymologische Überlegungen vermuten lassen – Reputation als Synonym für Ansehen und guter Ruf –, fällt es allerdings schwer zu erklären, worin sich CR von bereits etablierten Konstrukten wie Goodwill, Public Relations oder Corporate Social Responsibility so sehr unterscheidet, dass es mit Blick auf das wissenschaftstheoretisch begründbare Sparsamkeitsgebot der Theorienbildung notwendig bzw. sinnvoll ist, ein </w:t>
      </w:r>
      <w:r w:rsidRPr="007F69DA">
        <w:rPr>
          <w:szCs w:val="24"/>
          <w:lang w:bidi="en-US"/>
        </w:rPr>
        <w:lastRenderedPageBreak/>
        <w:t>zusätzliches Konstrukt einzuführen. Weiterhin überschneidet sich CR mit Corporate Identity, Gesellschaftsorientiertem Marketing und Cause Marketing (vgl. Bloom et al. 2006).</w:t>
      </w:r>
    </w:p>
    <w:p w14:paraId="5313D42B" w14:textId="77777777" w:rsidR="00677BB9" w:rsidRPr="007F69DA" w:rsidRDefault="00677BB9" w:rsidP="00677BB9">
      <w:pPr>
        <w:jc w:val="both"/>
        <w:rPr>
          <w:szCs w:val="24"/>
          <w:lang w:bidi="en-US"/>
        </w:rPr>
      </w:pPr>
    </w:p>
    <w:p w14:paraId="3ABF6A23" w14:textId="77777777" w:rsidR="00677BB9" w:rsidRPr="007F69DA" w:rsidRDefault="00677BB9" w:rsidP="00677BB9">
      <w:pPr>
        <w:jc w:val="both"/>
        <w:rPr>
          <w:szCs w:val="24"/>
          <w:lang w:bidi="en-US"/>
        </w:rPr>
      </w:pPr>
      <w:r w:rsidRPr="007F69DA">
        <w:rPr>
          <w:szCs w:val="24"/>
          <w:lang w:bidi="en-US"/>
        </w:rPr>
        <w:t>Bislang wurden verschiedene Ansätze entwickelt, um CR zu operationalisieren. Allerdings spricht die Heterogenität der Messverfahren dafür, dass zentrale Gütekriterien der Testentwicklung wie Konstruktvalidität und Diskriminanzvalidität nicht hinreichend erfüllt sind.</w:t>
      </w:r>
    </w:p>
    <w:p w14:paraId="5C57857F" w14:textId="77777777" w:rsidR="00677BB9" w:rsidRPr="007F69DA" w:rsidRDefault="00677BB9" w:rsidP="000D74BB">
      <w:pPr>
        <w:pStyle w:val="Erlaeuterung"/>
        <w:numPr>
          <w:ilvl w:val="0"/>
          <w:numId w:val="63"/>
        </w:numPr>
        <w:spacing w:before="240" w:after="60"/>
        <w:ind w:left="567" w:rightChars="141" w:right="310"/>
        <w:rPr>
          <w:sz w:val="22"/>
          <w:szCs w:val="22"/>
        </w:rPr>
      </w:pPr>
      <w:r w:rsidRPr="007F69DA">
        <w:rPr>
          <w:sz w:val="22"/>
          <w:szCs w:val="22"/>
        </w:rPr>
        <w:t>Die „Reputationsliste“ (America’s Most Admired Companies) des Fortune Magazine beruht auf den Urteilen von ca. 8.000 Top-Managern über Unternehmen der Branche, der sie selbst angehören. Strukturiert wird die Beurteilung anhand von acht Kriterien (z.B. Innovationskraft, Verantwortung im Umgang mit Gesellschaft und Natur, finanzielle Performance). Die Variablen der AMAC-Liste sind übermäßig interkorreliert.</w:t>
      </w:r>
    </w:p>
    <w:p w14:paraId="24A94F9A" w14:textId="77777777" w:rsidR="00677BB9" w:rsidRPr="007F69DA" w:rsidRDefault="00677BB9" w:rsidP="000D74BB">
      <w:pPr>
        <w:pStyle w:val="Erlaeuterung"/>
        <w:numPr>
          <w:ilvl w:val="0"/>
          <w:numId w:val="63"/>
        </w:numPr>
        <w:spacing w:before="240" w:after="60"/>
        <w:ind w:left="567" w:rightChars="212" w:right="466"/>
        <w:rPr>
          <w:sz w:val="22"/>
          <w:szCs w:val="22"/>
        </w:rPr>
      </w:pPr>
      <w:r w:rsidRPr="007F69DA">
        <w:rPr>
          <w:sz w:val="22"/>
          <w:szCs w:val="22"/>
        </w:rPr>
        <w:t>Die GMAC-Liste (Global Most Admired Companies) berücksichtigt neben den acht AMAC-Kriterien noch die Fähigkeit der Unternehmen zu einem globalen Auftritt.</w:t>
      </w:r>
    </w:p>
    <w:p w14:paraId="0E5F8118" w14:textId="77777777" w:rsidR="00677BB9" w:rsidRPr="007F69DA" w:rsidRDefault="00677BB9" w:rsidP="000D74BB">
      <w:pPr>
        <w:pStyle w:val="Erlaeuterung"/>
        <w:numPr>
          <w:ilvl w:val="0"/>
          <w:numId w:val="63"/>
        </w:numPr>
        <w:spacing w:before="240" w:after="60"/>
        <w:ind w:left="567" w:rightChars="212" w:right="466"/>
        <w:rPr>
          <w:sz w:val="22"/>
          <w:szCs w:val="22"/>
        </w:rPr>
      </w:pPr>
      <w:r w:rsidRPr="007F69DA">
        <w:rPr>
          <w:sz w:val="22"/>
          <w:szCs w:val="22"/>
        </w:rPr>
        <w:t>Das Manager Magazin lässt die Gesamtreputation der 100 umsatzstärksten deutschen Unternehmen z.B. nach Maßgabe von Innovationsfreudigkeit, Kommunikationsfähigkeit, Managementqualität und Umweltorientierung bewerten.</w:t>
      </w:r>
    </w:p>
    <w:p w14:paraId="00E82766" w14:textId="77777777" w:rsidR="00677BB9" w:rsidRPr="007F69DA" w:rsidRDefault="00677BB9" w:rsidP="000D74BB">
      <w:pPr>
        <w:pStyle w:val="Erlaeuterung"/>
        <w:numPr>
          <w:ilvl w:val="0"/>
          <w:numId w:val="63"/>
        </w:numPr>
        <w:spacing w:before="240" w:after="60"/>
        <w:ind w:left="567" w:rightChars="212" w:right="466"/>
        <w:rPr>
          <w:sz w:val="22"/>
          <w:szCs w:val="22"/>
        </w:rPr>
      </w:pPr>
      <w:r w:rsidRPr="007F69DA">
        <w:rPr>
          <w:sz w:val="22"/>
          <w:szCs w:val="22"/>
        </w:rPr>
        <w:t xml:space="preserve">Der Harris-Fombrun Reputation </w:t>
      </w:r>
      <w:r w:rsidRPr="007F69DA">
        <w:rPr>
          <w:sz w:val="22"/>
          <w:szCs w:val="22"/>
          <w:vertAlign w:val="superscript"/>
        </w:rPr>
        <w:t>SM</w:t>
      </w:r>
      <w:r w:rsidRPr="007F69DA">
        <w:rPr>
          <w:sz w:val="22"/>
          <w:szCs w:val="22"/>
        </w:rPr>
        <w:t xml:space="preserve"> Quotient basiert auf 20 Items, die in sechs Kategorien eingeteilt sind (z.B.: Emotional Appeal, Financial Perfor</w:t>
      </w:r>
      <w:r w:rsidRPr="007F69DA">
        <w:rPr>
          <w:sz w:val="22"/>
          <w:szCs w:val="22"/>
        </w:rPr>
        <w:softHyphen/>
        <w:t>mance, Vision &amp; Leadership).</w:t>
      </w:r>
    </w:p>
    <w:p w14:paraId="653C37F0" w14:textId="77777777" w:rsidR="00677BB9" w:rsidRPr="007F69DA" w:rsidRDefault="00677BB9" w:rsidP="000D74BB">
      <w:pPr>
        <w:pStyle w:val="Erlaeuterung"/>
        <w:numPr>
          <w:ilvl w:val="0"/>
          <w:numId w:val="63"/>
        </w:numPr>
        <w:spacing w:before="240" w:after="60"/>
        <w:ind w:left="567" w:rightChars="212" w:right="466"/>
        <w:rPr>
          <w:sz w:val="22"/>
          <w:szCs w:val="22"/>
        </w:rPr>
      </w:pPr>
      <w:r w:rsidRPr="007F69DA">
        <w:rPr>
          <w:sz w:val="22"/>
          <w:szCs w:val="22"/>
        </w:rPr>
        <w:t>Das Schwaiger-Messmodell berücksichtigt 21 Indikatoren (z.B. faires Verhal</w:t>
      </w:r>
      <w:r w:rsidRPr="007F69DA">
        <w:rPr>
          <w:sz w:val="22"/>
          <w:szCs w:val="22"/>
        </w:rPr>
        <w:softHyphen/>
        <w:t>ten, qualifizierte Mitarbeiter, guter Ser</w:t>
      </w:r>
      <w:r w:rsidRPr="007F69DA">
        <w:rPr>
          <w:sz w:val="22"/>
          <w:szCs w:val="22"/>
        </w:rPr>
        <w:softHyphen/>
        <w:t>vice, wirtschaftliche Stabilität). Sie lassen sich zu vier Konstrukten zusam</w:t>
      </w:r>
      <w:r w:rsidRPr="007F69DA">
        <w:rPr>
          <w:sz w:val="22"/>
          <w:szCs w:val="22"/>
        </w:rPr>
        <w:softHyphen/>
        <w:t>menfassen (Attraktivität, Performance, Qualität und Verantwor</w:t>
      </w:r>
      <w:r w:rsidRPr="007F69DA">
        <w:rPr>
          <w:sz w:val="22"/>
          <w:szCs w:val="22"/>
        </w:rPr>
        <w:softHyphen/>
        <w:t>tung). Damit erklären Schwaiger/Cannon (2004) die von ihnen zweidimensional konzipierte Reputation (Kompetenz und Sympathie).</w:t>
      </w:r>
    </w:p>
    <w:p w14:paraId="523AE1C2" w14:textId="77777777" w:rsidR="00677BB9" w:rsidRPr="007F69DA" w:rsidRDefault="00677BB9" w:rsidP="000D74BB">
      <w:pPr>
        <w:pStyle w:val="Erlaeuterung"/>
        <w:numPr>
          <w:ilvl w:val="0"/>
          <w:numId w:val="63"/>
        </w:numPr>
        <w:spacing w:before="240" w:after="60"/>
        <w:ind w:left="567" w:rightChars="212" w:right="466"/>
        <w:rPr>
          <w:sz w:val="22"/>
          <w:szCs w:val="22"/>
        </w:rPr>
      </w:pPr>
      <w:r w:rsidRPr="007F69DA">
        <w:rPr>
          <w:sz w:val="22"/>
          <w:szCs w:val="22"/>
        </w:rPr>
        <w:t>Das Reputation Institute Germany erfasst Vertrauen, Bewunderung, positive Ge</w:t>
      </w:r>
      <w:r w:rsidRPr="007F69DA">
        <w:rPr>
          <w:sz w:val="22"/>
          <w:szCs w:val="22"/>
        </w:rPr>
        <w:softHyphen/>
        <w:t>fühle und Wertschätzung auf sieben Dimensionen (Products &amp; Services, Innovation, Performance, Leader</w:t>
      </w:r>
      <w:r w:rsidRPr="007F69DA">
        <w:rPr>
          <w:sz w:val="22"/>
          <w:szCs w:val="22"/>
        </w:rPr>
        <w:softHyphen/>
        <w:t>ship, Workplace, Governance und Lea</w:t>
      </w:r>
      <w:r w:rsidRPr="007F69DA">
        <w:rPr>
          <w:sz w:val="22"/>
          <w:szCs w:val="22"/>
        </w:rPr>
        <w:softHyphen/>
        <w:t>dership). Diese Bewertungen bilden die empirische Basis der RepTrakScorecard (vgl. Wiedmann et al. 2007).</w:t>
      </w:r>
    </w:p>
    <w:p w14:paraId="37F3A02D" w14:textId="77777777" w:rsidR="00677BB9" w:rsidRPr="007F69DA" w:rsidRDefault="00677BB9" w:rsidP="00677BB9">
      <w:pPr>
        <w:pStyle w:val="Erlaeuterung"/>
        <w:spacing w:before="240" w:after="60"/>
        <w:ind w:left="1429" w:rightChars="212" w:right="466"/>
        <w:rPr>
          <w:sz w:val="22"/>
          <w:szCs w:val="22"/>
        </w:rPr>
      </w:pPr>
    </w:p>
    <w:p w14:paraId="1854A9E1" w14:textId="77777777" w:rsidR="00677BB9" w:rsidRPr="007F69DA" w:rsidRDefault="00677BB9" w:rsidP="00677BB9">
      <w:pPr>
        <w:jc w:val="both"/>
        <w:rPr>
          <w:szCs w:val="24"/>
          <w:lang w:bidi="en-US"/>
        </w:rPr>
      </w:pPr>
      <w:r w:rsidRPr="007F69DA">
        <w:rPr>
          <w:szCs w:val="24"/>
          <w:lang w:bidi="en-US"/>
        </w:rPr>
        <w:t>Die bislang vorliegenden Evaluationsstudien können nicht zweifelsfrei klären, ob Unternehmensreputation Ursache oder Konsequenz verschiedener wünschenswerter Effekte ist: erleichterte Akquisition und Bindung von High Potentials, fallende Lohnstückkosten, stärkere Bindung und höhere Preisbereitschaft der Kunden, leichterer Zugang zum Kapitalmarkt und verbesserte Profitabilität. Wie eine Befragung von mehr als 55.000 Konsumenten in den 15 bedeutendsten Ländermärkten ergab, führen aus Verbrauchersicht Google und Walt Disney die Rangliste der 100 World’s Most Respected Companies an (vgl. Tab. 2). BMW, das deutsche Unternehmen mit der größten internationalen Reputation, nimmt Rang 3 ein und Daimler Rang 8.</w:t>
      </w:r>
    </w:p>
    <w:p w14:paraId="0305D3D1" w14:textId="77777777" w:rsidR="00677BB9" w:rsidRPr="00BF04C9" w:rsidRDefault="00677BB9" w:rsidP="00677BB9">
      <w:pPr>
        <w:pStyle w:val="Erlaeuterung"/>
        <w:spacing w:before="240" w:after="60" w:line="360" w:lineRule="auto"/>
        <w:ind w:left="284" w:rightChars="141" w:right="310"/>
        <w:jc w:val="center"/>
        <w:rPr>
          <w:i/>
          <w:sz w:val="22"/>
          <w:szCs w:val="22"/>
          <w:lang w:val="en-US"/>
        </w:rPr>
      </w:pPr>
      <w:r w:rsidRPr="00BF04C9">
        <w:rPr>
          <w:i/>
          <w:sz w:val="22"/>
          <w:szCs w:val="22"/>
          <w:lang w:val="en-US"/>
        </w:rPr>
        <w:t>Tab. 2: World’s Most Respected Companies</w:t>
      </w:r>
    </w:p>
    <w:tbl>
      <w:tblPr>
        <w:tblW w:w="0" w:type="auto"/>
        <w:tblInd w:w="284" w:type="dxa"/>
        <w:tblLook w:val="04A0" w:firstRow="1" w:lastRow="0" w:firstColumn="1" w:lastColumn="0" w:noHBand="0" w:noVBand="1"/>
      </w:tblPr>
      <w:tblGrid>
        <w:gridCol w:w="1759"/>
        <w:gridCol w:w="1738"/>
        <w:gridCol w:w="1744"/>
        <w:gridCol w:w="1761"/>
        <w:gridCol w:w="1786"/>
      </w:tblGrid>
      <w:tr w:rsidR="00677BB9" w:rsidRPr="007F69DA" w14:paraId="398C435B" w14:textId="77777777" w:rsidTr="00F46ACB">
        <w:tc>
          <w:tcPr>
            <w:tcW w:w="2012" w:type="dxa"/>
          </w:tcPr>
          <w:p w14:paraId="119B9973" w14:textId="77777777" w:rsidR="00677BB9" w:rsidRPr="007F69DA" w:rsidRDefault="00677BB9" w:rsidP="00F46ACB">
            <w:pPr>
              <w:pStyle w:val="Erlaeuterung"/>
              <w:spacing w:before="240" w:after="60" w:line="360" w:lineRule="auto"/>
              <w:ind w:rightChars="-4139" w:right="-9106"/>
              <w:rPr>
                <w:sz w:val="22"/>
                <w:szCs w:val="22"/>
              </w:rPr>
            </w:pPr>
            <w:r w:rsidRPr="007F69DA">
              <w:rPr>
                <w:sz w:val="22"/>
                <w:szCs w:val="22"/>
              </w:rPr>
              <w:t xml:space="preserve">1a  Google </w:t>
            </w:r>
          </w:p>
        </w:tc>
        <w:tc>
          <w:tcPr>
            <w:tcW w:w="2012" w:type="dxa"/>
          </w:tcPr>
          <w:p w14:paraId="195A7DD0" w14:textId="77777777" w:rsidR="00677BB9" w:rsidRPr="007F69DA" w:rsidRDefault="00677BB9" w:rsidP="00F46ACB">
            <w:pPr>
              <w:pStyle w:val="Erlaeuterung"/>
              <w:spacing w:before="240" w:after="60" w:line="360" w:lineRule="auto"/>
              <w:ind w:rightChars="-2981" w:right="-6558"/>
              <w:rPr>
                <w:sz w:val="22"/>
                <w:szCs w:val="22"/>
              </w:rPr>
            </w:pPr>
            <w:r w:rsidRPr="007F69DA">
              <w:rPr>
                <w:sz w:val="22"/>
                <w:szCs w:val="22"/>
              </w:rPr>
              <w:t>3a  BMW</w:t>
            </w:r>
          </w:p>
        </w:tc>
        <w:tc>
          <w:tcPr>
            <w:tcW w:w="2012" w:type="dxa"/>
          </w:tcPr>
          <w:p w14:paraId="3F996569" w14:textId="77777777" w:rsidR="00677BB9" w:rsidRPr="007F69DA" w:rsidRDefault="00677BB9" w:rsidP="00F46ACB">
            <w:pPr>
              <w:pStyle w:val="Erlaeuterung"/>
              <w:spacing w:before="240" w:after="60" w:line="360" w:lineRule="auto"/>
              <w:ind w:rightChars="-2203" w:right="-4847"/>
              <w:rPr>
                <w:sz w:val="22"/>
                <w:szCs w:val="22"/>
              </w:rPr>
            </w:pPr>
            <w:r w:rsidRPr="007F69DA">
              <w:rPr>
                <w:sz w:val="22"/>
                <w:szCs w:val="22"/>
              </w:rPr>
              <w:t>5  Sony</w:t>
            </w:r>
          </w:p>
        </w:tc>
        <w:tc>
          <w:tcPr>
            <w:tcW w:w="2013" w:type="dxa"/>
          </w:tcPr>
          <w:p w14:paraId="7AD4469B" w14:textId="77777777" w:rsidR="00677BB9" w:rsidRPr="007F69DA" w:rsidRDefault="00677BB9" w:rsidP="00F46ACB">
            <w:pPr>
              <w:pStyle w:val="Erlaeuterung"/>
              <w:spacing w:before="240" w:after="60" w:line="360" w:lineRule="auto"/>
              <w:ind w:rightChars="-1031" w:right="-2268"/>
              <w:rPr>
                <w:sz w:val="22"/>
                <w:szCs w:val="22"/>
              </w:rPr>
            </w:pPr>
            <w:r w:rsidRPr="007F69DA">
              <w:rPr>
                <w:sz w:val="22"/>
                <w:szCs w:val="22"/>
              </w:rPr>
              <w:t>7  Apple</w:t>
            </w:r>
          </w:p>
        </w:tc>
        <w:tc>
          <w:tcPr>
            <w:tcW w:w="2013" w:type="dxa"/>
          </w:tcPr>
          <w:p w14:paraId="3CA5A3DE" w14:textId="77777777" w:rsidR="00677BB9" w:rsidRPr="007F69DA" w:rsidRDefault="00677BB9" w:rsidP="00F46ACB">
            <w:pPr>
              <w:pStyle w:val="Erlaeuterung"/>
              <w:spacing w:before="240" w:after="60" w:line="360" w:lineRule="auto"/>
              <w:ind w:rightChars="70" w:right="154"/>
              <w:rPr>
                <w:sz w:val="22"/>
                <w:szCs w:val="22"/>
              </w:rPr>
            </w:pPr>
            <w:r w:rsidRPr="007F69DA">
              <w:rPr>
                <w:sz w:val="22"/>
                <w:szCs w:val="22"/>
              </w:rPr>
              <w:t>9   Lego</w:t>
            </w:r>
          </w:p>
        </w:tc>
      </w:tr>
      <w:tr w:rsidR="00677BB9" w:rsidRPr="007F69DA" w14:paraId="2F834C45" w14:textId="77777777" w:rsidTr="00F46ACB">
        <w:trPr>
          <w:trHeight w:val="567"/>
        </w:trPr>
        <w:tc>
          <w:tcPr>
            <w:tcW w:w="2012" w:type="dxa"/>
          </w:tcPr>
          <w:p w14:paraId="5500CD61" w14:textId="77777777" w:rsidR="00677BB9" w:rsidRPr="007F69DA" w:rsidRDefault="00677BB9" w:rsidP="00F46ACB">
            <w:pPr>
              <w:pStyle w:val="Erlaeuterung"/>
              <w:spacing w:before="240" w:after="60" w:line="240" w:lineRule="auto"/>
              <w:ind w:rightChars="-4062" w:right="-8936"/>
              <w:rPr>
                <w:sz w:val="22"/>
                <w:szCs w:val="22"/>
              </w:rPr>
            </w:pPr>
            <w:r w:rsidRPr="007F69DA">
              <w:rPr>
                <w:sz w:val="22"/>
                <w:szCs w:val="22"/>
              </w:rPr>
              <w:t>1b  Walt Disney</w:t>
            </w:r>
          </w:p>
        </w:tc>
        <w:tc>
          <w:tcPr>
            <w:tcW w:w="2012" w:type="dxa"/>
          </w:tcPr>
          <w:p w14:paraId="1AD3DB7B" w14:textId="77777777" w:rsidR="00677BB9" w:rsidRPr="007F69DA" w:rsidRDefault="00677BB9" w:rsidP="00F46ACB">
            <w:pPr>
              <w:pStyle w:val="Erlaeuterung"/>
              <w:spacing w:before="240" w:after="60" w:line="240" w:lineRule="auto"/>
              <w:ind w:rightChars="-2692" w:right="-5922"/>
              <w:rPr>
                <w:sz w:val="22"/>
                <w:szCs w:val="22"/>
              </w:rPr>
            </w:pPr>
            <w:r w:rsidRPr="007F69DA">
              <w:rPr>
                <w:sz w:val="22"/>
                <w:szCs w:val="22"/>
              </w:rPr>
              <w:t>3b  Rolex</w:t>
            </w:r>
          </w:p>
        </w:tc>
        <w:tc>
          <w:tcPr>
            <w:tcW w:w="2012" w:type="dxa"/>
          </w:tcPr>
          <w:p w14:paraId="4C97BDF9" w14:textId="77777777" w:rsidR="00677BB9" w:rsidRPr="007F69DA" w:rsidRDefault="00677BB9" w:rsidP="00F46ACB">
            <w:pPr>
              <w:pStyle w:val="Erlaeuterung"/>
              <w:spacing w:before="240" w:after="60" w:line="240" w:lineRule="auto"/>
              <w:ind w:rightChars="-2264" w:right="-4981"/>
              <w:rPr>
                <w:sz w:val="22"/>
                <w:szCs w:val="22"/>
              </w:rPr>
            </w:pPr>
            <w:r w:rsidRPr="007F69DA">
              <w:rPr>
                <w:sz w:val="22"/>
                <w:szCs w:val="22"/>
              </w:rPr>
              <w:t>6  Canon</w:t>
            </w:r>
          </w:p>
        </w:tc>
        <w:tc>
          <w:tcPr>
            <w:tcW w:w="2013" w:type="dxa"/>
          </w:tcPr>
          <w:p w14:paraId="745FCD73" w14:textId="77777777" w:rsidR="00677BB9" w:rsidRPr="007F69DA" w:rsidRDefault="00677BB9" w:rsidP="00F46ACB">
            <w:pPr>
              <w:pStyle w:val="Erlaeuterung"/>
              <w:spacing w:before="240" w:after="60" w:line="240" w:lineRule="auto"/>
              <w:ind w:rightChars="39" w:right="86"/>
              <w:rPr>
                <w:sz w:val="22"/>
                <w:szCs w:val="22"/>
              </w:rPr>
            </w:pPr>
            <w:r w:rsidRPr="007F69DA">
              <w:rPr>
                <w:sz w:val="22"/>
                <w:szCs w:val="22"/>
              </w:rPr>
              <w:t>8  Daimler</w:t>
            </w:r>
          </w:p>
        </w:tc>
        <w:tc>
          <w:tcPr>
            <w:tcW w:w="2013" w:type="dxa"/>
          </w:tcPr>
          <w:p w14:paraId="1A59A65F" w14:textId="77777777" w:rsidR="00677BB9" w:rsidRPr="007F69DA" w:rsidRDefault="00677BB9" w:rsidP="00F46ACB">
            <w:pPr>
              <w:pStyle w:val="Erlaeuterung"/>
              <w:spacing w:before="240" w:after="60" w:line="240" w:lineRule="auto"/>
              <w:ind w:rightChars="70" w:right="154"/>
              <w:rPr>
                <w:sz w:val="22"/>
                <w:szCs w:val="22"/>
              </w:rPr>
            </w:pPr>
            <w:r w:rsidRPr="007F69DA">
              <w:rPr>
                <w:sz w:val="22"/>
                <w:szCs w:val="22"/>
              </w:rPr>
              <w:t>10a Samsung</w:t>
            </w:r>
          </w:p>
          <w:p w14:paraId="7C504C12" w14:textId="77777777" w:rsidR="00677BB9" w:rsidRPr="007F69DA" w:rsidRDefault="00677BB9" w:rsidP="00F46ACB">
            <w:pPr>
              <w:pStyle w:val="Erlaeuterung"/>
              <w:spacing w:before="240" w:after="60" w:line="240" w:lineRule="auto"/>
              <w:ind w:rightChars="70" w:right="154"/>
              <w:rPr>
                <w:sz w:val="22"/>
                <w:szCs w:val="22"/>
              </w:rPr>
            </w:pPr>
            <w:r w:rsidRPr="007F69DA">
              <w:rPr>
                <w:sz w:val="22"/>
                <w:szCs w:val="22"/>
              </w:rPr>
              <w:t>10b Microsoft</w:t>
            </w:r>
          </w:p>
        </w:tc>
      </w:tr>
    </w:tbl>
    <w:p w14:paraId="5B11C51D" w14:textId="77777777" w:rsidR="00677BB9" w:rsidRPr="007F69DA" w:rsidRDefault="00677BB9" w:rsidP="00677BB9">
      <w:pPr>
        <w:pStyle w:val="Erlaeuterung"/>
        <w:spacing w:before="240" w:after="60" w:line="240" w:lineRule="auto"/>
        <w:ind w:left="284" w:rightChars="-71" w:right="-156"/>
        <w:rPr>
          <w:sz w:val="22"/>
          <w:szCs w:val="22"/>
        </w:rPr>
      </w:pPr>
      <w:r w:rsidRPr="007F69DA">
        <w:rPr>
          <w:sz w:val="22"/>
          <w:szCs w:val="22"/>
        </w:rPr>
        <w:t>Quelle: Reputation Institute 2014; Global RepTrak</w:t>
      </w:r>
      <w:r w:rsidRPr="007F69DA">
        <w:rPr>
          <w:sz w:val="22"/>
          <w:szCs w:val="22"/>
          <w:vertAlign w:val="superscript"/>
        </w:rPr>
        <w:t>®</w:t>
      </w:r>
      <w:r w:rsidRPr="007F69DA">
        <w:rPr>
          <w:sz w:val="22"/>
          <w:szCs w:val="22"/>
        </w:rPr>
        <w:t>100 (http://www.reputationinstitute.com/thought-leadership/global-reptrak-100).</w:t>
      </w:r>
    </w:p>
    <w:p w14:paraId="53C3BF67" w14:textId="77777777" w:rsidR="00677BB9" w:rsidRPr="007F69DA" w:rsidRDefault="00677BB9" w:rsidP="00677BB9">
      <w:pPr>
        <w:spacing w:before="240" w:after="60"/>
        <w:ind w:left="284" w:rightChars="921" w:right="2026"/>
        <w:jc w:val="center"/>
        <w:rPr>
          <w:lang w:val="en-US"/>
        </w:rPr>
      </w:pPr>
    </w:p>
    <w:p w14:paraId="1792B267" w14:textId="0DDA55A5" w:rsidR="00677BB9" w:rsidRPr="007F69DA" w:rsidRDefault="000D74BB" w:rsidP="00677BB9">
      <w:pPr>
        <w:jc w:val="both"/>
        <w:rPr>
          <w:szCs w:val="24"/>
          <w:lang w:bidi="en-US"/>
        </w:rPr>
      </w:pPr>
      <w:r>
        <w:rPr>
          <w:szCs w:val="24"/>
          <w:lang w:bidi="en-US"/>
        </w:rPr>
        <w:t xml:space="preserve">4.4 </w:t>
      </w:r>
      <w:r w:rsidR="00677BB9" w:rsidRPr="007F69DA">
        <w:rPr>
          <w:szCs w:val="24"/>
          <w:lang w:bidi="en-US"/>
        </w:rPr>
        <w:t xml:space="preserve">Corporate </w:t>
      </w:r>
      <w:proofErr w:type="spellStart"/>
      <w:r w:rsidR="00677BB9" w:rsidRPr="007F69DA">
        <w:rPr>
          <w:szCs w:val="24"/>
          <w:lang w:bidi="en-US"/>
        </w:rPr>
        <w:t>Social</w:t>
      </w:r>
      <w:proofErr w:type="spellEnd"/>
      <w:r w:rsidR="00677BB9" w:rsidRPr="007F69DA">
        <w:rPr>
          <w:szCs w:val="24"/>
          <w:lang w:bidi="en-US"/>
        </w:rPr>
        <w:t xml:space="preserve"> </w:t>
      </w:r>
      <w:proofErr w:type="spellStart"/>
      <w:r w:rsidR="00677BB9" w:rsidRPr="007F69DA">
        <w:rPr>
          <w:szCs w:val="24"/>
          <w:lang w:bidi="en-US"/>
        </w:rPr>
        <w:t>Responsibility</w:t>
      </w:r>
      <w:proofErr w:type="spellEnd"/>
      <w:r w:rsidR="00677BB9" w:rsidRPr="007F69DA">
        <w:rPr>
          <w:szCs w:val="24"/>
          <w:lang w:bidi="en-US"/>
        </w:rPr>
        <w:t xml:space="preserve"> </w:t>
      </w:r>
    </w:p>
    <w:p w14:paraId="71D2E70A" w14:textId="77777777" w:rsidR="00677BB9" w:rsidRPr="007F69DA" w:rsidRDefault="00677BB9" w:rsidP="00677BB9">
      <w:pPr>
        <w:jc w:val="both"/>
        <w:rPr>
          <w:szCs w:val="24"/>
          <w:lang w:bidi="en-US"/>
        </w:rPr>
      </w:pPr>
      <w:r w:rsidRPr="007F69DA">
        <w:rPr>
          <w:szCs w:val="24"/>
          <w:lang w:bidi="en-US"/>
        </w:rPr>
        <w:t>Mit dieser kommunikativen Unternehmensstrategie versuchen Global Player, Imageschäden und Markenerosion zu vermeiden (vgl. Doh/Stumpf 2005). Das dazu entwickelte CSR-Instrumentarium soll hel</w:t>
      </w:r>
      <w:r w:rsidRPr="007F69DA">
        <w:rPr>
          <w:szCs w:val="24"/>
          <w:lang w:bidi="en-US"/>
        </w:rPr>
        <w:softHyphen/>
        <w:t>fen, auch in einem schwierigen sozialen Umfeld den Markenwert der Unternehmensmarke zu erhalten. Entscheidend dafür ist, dass es dem Unternehmen gelingt, der (kritischen) Öffentlichkeit glaubhaft zu vermitteln, dass es sich sozial verantwortlich verhält (vgl. Fritz/Wagner 2004). Diesem Zweck dienen u.a. …</w:t>
      </w:r>
    </w:p>
    <w:p w14:paraId="42F671BB" w14:textId="77777777" w:rsidR="00677BB9" w:rsidRPr="007F69DA" w:rsidRDefault="00677BB9" w:rsidP="000D74BB">
      <w:pPr>
        <w:pStyle w:val="Erlaeuterung"/>
        <w:numPr>
          <w:ilvl w:val="0"/>
          <w:numId w:val="64"/>
        </w:numPr>
        <w:spacing w:before="240" w:after="60" w:line="240" w:lineRule="auto"/>
        <w:ind w:left="567" w:rightChars="921" w:right="2026"/>
        <w:rPr>
          <w:sz w:val="22"/>
          <w:szCs w:val="22"/>
        </w:rPr>
      </w:pPr>
      <w:r w:rsidRPr="007F69DA">
        <w:rPr>
          <w:sz w:val="22"/>
          <w:szCs w:val="22"/>
        </w:rPr>
        <w:t>Nachhaltigkeits-Berichterstattung,</w:t>
      </w:r>
    </w:p>
    <w:p w14:paraId="0375D998" w14:textId="77777777" w:rsidR="00677BB9" w:rsidRPr="007F69DA" w:rsidRDefault="00677BB9" w:rsidP="000D74BB">
      <w:pPr>
        <w:pStyle w:val="Erlaeuterung"/>
        <w:numPr>
          <w:ilvl w:val="0"/>
          <w:numId w:val="64"/>
        </w:numPr>
        <w:spacing w:before="240" w:after="60" w:line="240" w:lineRule="auto"/>
        <w:ind w:left="567" w:rightChars="921" w:right="2026"/>
        <w:rPr>
          <w:sz w:val="22"/>
          <w:szCs w:val="22"/>
        </w:rPr>
      </w:pPr>
      <w:r w:rsidRPr="007F69DA">
        <w:rPr>
          <w:sz w:val="22"/>
          <w:szCs w:val="22"/>
        </w:rPr>
        <w:t>Mitgliedschaft bei einschlägigen Nicht-Regierungsorganisationen.</w:t>
      </w:r>
    </w:p>
    <w:p w14:paraId="5B295AB5" w14:textId="77777777" w:rsidR="00677BB9" w:rsidRPr="007F69DA" w:rsidRDefault="00677BB9" w:rsidP="000D74BB">
      <w:pPr>
        <w:pStyle w:val="Erlaeuterung"/>
        <w:numPr>
          <w:ilvl w:val="0"/>
          <w:numId w:val="64"/>
        </w:numPr>
        <w:spacing w:before="240" w:after="60" w:line="240" w:lineRule="auto"/>
        <w:ind w:left="567" w:rightChars="921" w:right="2026"/>
        <w:rPr>
          <w:sz w:val="22"/>
          <w:szCs w:val="22"/>
        </w:rPr>
      </w:pPr>
      <w:r w:rsidRPr="007F69DA">
        <w:rPr>
          <w:sz w:val="22"/>
          <w:szCs w:val="22"/>
        </w:rPr>
        <w:t xml:space="preserve">Sponsorship, </w:t>
      </w:r>
    </w:p>
    <w:p w14:paraId="5C89BE53" w14:textId="77777777" w:rsidR="00677BB9" w:rsidRPr="007F69DA" w:rsidRDefault="00677BB9" w:rsidP="000D74BB">
      <w:pPr>
        <w:pStyle w:val="Erlaeuterung"/>
        <w:numPr>
          <w:ilvl w:val="0"/>
          <w:numId w:val="64"/>
        </w:numPr>
        <w:spacing w:before="240" w:after="60" w:line="240" w:lineRule="auto"/>
        <w:ind w:left="567" w:rightChars="921" w:right="2026"/>
        <w:rPr>
          <w:sz w:val="22"/>
          <w:szCs w:val="22"/>
        </w:rPr>
      </w:pPr>
      <w:r w:rsidRPr="007F69DA">
        <w:rPr>
          <w:sz w:val="22"/>
          <w:szCs w:val="22"/>
        </w:rPr>
        <w:t>Organisation von und Teilnahme an CSR-Workshops,</w:t>
      </w:r>
    </w:p>
    <w:p w14:paraId="2B575790" w14:textId="77777777" w:rsidR="00677BB9" w:rsidRPr="007F69DA" w:rsidRDefault="00677BB9" w:rsidP="000D74BB">
      <w:pPr>
        <w:pStyle w:val="Erlaeuterung"/>
        <w:numPr>
          <w:ilvl w:val="0"/>
          <w:numId w:val="64"/>
        </w:numPr>
        <w:spacing w:before="240" w:after="60" w:line="240" w:lineRule="auto"/>
        <w:ind w:left="567" w:rightChars="921" w:right="2026"/>
        <w:rPr>
          <w:sz w:val="22"/>
          <w:szCs w:val="22"/>
        </w:rPr>
      </w:pPr>
      <w:r w:rsidRPr="007F69DA">
        <w:rPr>
          <w:sz w:val="22"/>
          <w:szCs w:val="22"/>
        </w:rPr>
        <w:t>Medienkampagnen.</w:t>
      </w:r>
    </w:p>
    <w:p w14:paraId="50C6E7E2" w14:textId="77777777" w:rsidR="00677BB9" w:rsidRPr="007F69DA" w:rsidRDefault="00677BB9" w:rsidP="000D74BB">
      <w:pPr>
        <w:pStyle w:val="Erlaeuterung"/>
        <w:spacing w:before="240" w:after="60" w:line="360" w:lineRule="auto"/>
        <w:ind w:left="567" w:right="-851"/>
        <w:rPr>
          <w:sz w:val="22"/>
          <w:szCs w:val="22"/>
        </w:rPr>
      </w:pPr>
    </w:p>
    <w:p w14:paraId="79BAA842" w14:textId="77777777" w:rsidR="00677BB9" w:rsidRPr="007F69DA" w:rsidRDefault="00677BB9" w:rsidP="00677BB9">
      <w:pPr>
        <w:jc w:val="both"/>
        <w:rPr>
          <w:szCs w:val="24"/>
          <w:lang w:bidi="en-US"/>
        </w:rPr>
      </w:pPr>
      <w:r w:rsidRPr="007F69DA">
        <w:rPr>
          <w:szCs w:val="24"/>
          <w:lang w:bidi="en-US"/>
        </w:rPr>
        <w:t>Dass im vierten europaweiten CSR-Ranking der Kirchhoff Consult AG acht der zehn Spitzenplätze von deutschen DAX-Unternehmen besetzt werden (vgl. Tab. 3), erklären die an der Studie beteiligten Wissenschaftler zum einen mit der zu diesem Zeitpunkt ausnehmend guten wirtschaftlichen Lage in Deutschland. Zum anderen sei der soziale Druck auf die Unternehmen, verantwortungsbewusst zu handeln, in Europa nirgendwo so groß wie in Deutschland.</w:t>
      </w:r>
    </w:p>
    <w:p w14:paraId="08D5E00B" w14:textId="77777777" w:rsidR="00677BB9" w:rsidRPr="00BF04C9" w:rsidRDefault="00677BB9" w:rsidP="00677BB9">
      <w:pPr>
        <w:pStyle w:val="Erlaeuterung"/>
        <w:spacing w:before="240" w:after="60" w:line="360" w:lineRule="auto"/>
        <w:ind w:left="284" w:rightChars="141" w:right="310"/>
        <w:jc w:val="center"/>
        <w:rPr>
          <w:i/>
          <w:sz w:val="22"/>
          <w:szCs w:val="22"/>
        </w:rPr>
      </w:pPr>
      <w:bookmarkStart w:id="124" w:name="_Toc358883022"/>
      <w:r w:rsidRPr="00BF04C9">
        <w:rPr>
          <w:i/>
          <w:sz w:val="22"/>
          <w:szCs w:val="22"/>
        </w:rPr>
        <w:t>Tab. 3: CSR-Ranking der 70 größten Unternehmen</w:t>
      </w:r>
      <w:bookmarkEnd w:id="124"/>
      <w:r w:rsidRPr="00BF04C9">
        <w:rPr>
          <w:i/>
          <w:sz w:val="22"/>
          <w:szCs w:val="22"/>
        </w:rPr>
        <w:t xml:space="preserve"> Europas (2013)</w:t>
      </w:r>
    </w:p>
    <w:tbl>
      <w:tblPr>
        <w:tblW w:w="0" w:type="auto"/>
        <w:tblLook w:val="04A0" w:firstRow="1" w:lastRow="0" w:firstColumn="1" w:lastColumn="0" w:noHBand="0" w:noVBand="1"/>
      </w:tblPr>
      <w:tblGrid>
        <w:gridCol w:w="1812"/>
        <w:gridCol w:w="1825"/>
        <w:gridCol w:w="1817"/>
        <w:gridCol w:w="1816"/>
        <w:gridCol w:w="1802"/>
      </w:tblGrid>
      <w:tr w:rsidR="00677BB9" w:rsidRPr="007F69DA" w14:paraId="19C722A0" w14:textId="77777777" w:rsidTr="00F46ACB">
        <w:tc>
          <w:tcPr>
            <w:tcW w:w="2012" w:type="dxa"/>
          </w:tcPr>
          <w:p w14:paraId="1000C769" w14:textId="77777777" w:rsidR="00677BB9" w:rsidRPr="007F69DA" w:rsidRDefault="00677BB9" w:rsidP="00F46ACB">
            <w:pPr>
              <w:ind w:right="-851"/>
            </w:pPr>
            <w:r w:rsidRPr="007F69DA">
              <w:t>1  Bayer             74,0</w:t>
            </w:r>
          </w:p>
        </w:tc>
        <w:tc>
          <w:tcPr>
            <w:tcW w:w="2012" w:type="dxa"/>
          </w:tcPr>
          <w:p w14:paraId="08EED094" w14:textId="77777777" w:rsidR="00677BB9" w:rsidRPr="007F69DA" w:rsidRDefault="00677BB9" w:rsidP="00F46ACB">
            <w:pPr>
              <w:ind w:right="-851"/>
            </w:pPr>
            <w:r w:rsidRPr="007F69DA">
              <w:t>3  BASF            70,7</w:t>
            </w:r>
          </w:p>
        </w:tc>
        <w:tc>
          <w:tcPr>
            <w:tcW w:w="2012" w:type="dxa"/>
          </w:tcPr>
          <w:p w14:paraId="4CC4718A" w14:textId="77777777" w:rsidR="00677BB9" w:rsidRPr="007F69DA" w:rsidRDefault="00677BB9" w:rsidP="00F46ACB">
            <w:pPr>
              <w:ind w:right="-851"/>
            </w:pPr>
            <w:r w:rsidRPr="007F69DA">
              <w:t>5  Henkel          70,2</w:t>
            </w:r>
          </w:p>
        </w:tc>
        <w:tc>
          <w:tcPr>
            <w:tcW w:w="2013" w:type="dxa"/>
          </w:tcPr>
          <w:p w14:paraId="2744A8AE" w14:textId="77777777" w:rsidR="00677BB9" w:rsidRPr="007F69DA" w:rsidRDefault="00677BB9" w:rsidP="00F46ACB">
            <w:pPr>
              <w:ind w:right="-851"/>
            </w:pPr>
            <w:r w:rsidRPr="007F69DA">
              <w:t>7  Daimler          69,5</w:t>
            </w:r>
          </w:p>
        </w:tc>
        <w:tc>
          <w:tcPr>
            <w:tcW w:w="2013" w:type="dxa"/>
          </w:tcPr>
          <w:p w14:paraId="1007E41F" w14:textId="77777777" w:rsidR="00677BB9" w:rsidRPr="007F69DA" w:rsidRDefault="00677BB9" w:rsidP="00F46ACB">
            <w:pPr>
              <w:ind w:right="-851"/>
              <w:rPr>
                <w:lang w:val="en-US"/>
              </w:rPr>
            </w:pPr>
            <w:r w:rsidRPr="007F69DA">
              <w:rPr>
                <w:lang w:val="en-US"/>
              </w:rPr>
              <w:t xml:space="preserve"> 9  G-S-K           68,9</w:t>
            </w:r>
          </w:p>
        </w:tc>
      </w:tr>
      <w:tr w:rsidR="00677BB9" w:rsidRPr="007F69DA" w14:paraId="76DFA1EC" w14:textId="77777777" w:rsidTr="00F46ACB">
        <w:tc>
          <w:tcPr>
            <w:tcW w:w="2012" w:type="dxa"/>
          </w:tcPr>
          <w:p w14:paraId="078811CB" w14:textId="77777777" w:rsidR="00677BB9" w:rsidRPr="007F69DA" w:rsidRDefault="00677BB9" w:rsidP="00F46ACB">
            <w:pPr>
              <w:ind w:right="-851"/>
              <w:rPr>
                <w:lang w:val="en-US"/>
              </w:rPr>
            </w:pPr>
            <w:r w:rsidRPr="007F69DA">
              <w:rPr>
                <w:lang w:val="en-US"/>
              </w:rPr>
              <w:t>2  BMW             73,2</w:t>
            </w:r>
          </w:p>
        </w:tc>
        <w:tc>
          <w:tcPr>
            <w:tcW w:w="2012" w:type="dxa"/>
          </w:tcPr>
          <w:p w14:paraId="0A1F5F08" w14:textId="77777777" w:rsidR="00677BB9" w:rsidRPr="007F69DA" w:rsidRDefault="00677BB9" w:rsidP="00F46ACB">
            <w:pPr>
              <w:ind w:right="-851"/>
              <w:rPr>
                <w:lang w:val="en-US"/>
              </w:rPr>
            </w:pPr>
            <w:r w:rsidRPr="007F69DA">
              <w:rPr>
                <w:lang w:val="en-US"/>
              </w:rPr>
              <w:t>4  Adidas           70,6</w:t>
            </w:r>
          </w:p>
        </w:tc>
        <w:tc>
          <w:tcPr>
            <w:tcW w:w="2012" w:type="dxa"/>
          </w:tcPr>
          <w:p w14:paraId="708D77EA" w14:textId="77777777" w:rsidR="00677BB9" w:rsidRPr="007F69DA" w:rsidRDefault="00677BB9" w:rsidP="00F46ACB">
            <w:pPr>
              <w:ind w:right="-851"/>
              <w:rPr>
                <w:lang w:val="en-US"/>
              </w:rPr>
            </w:pPr>
            <w:r w:rsidRPr="007F69DA">
              <w:rPr>
                <w:lang w:val="en-US"/>
              </w:rPr>
              <w:t>6  Sanofi           69,6</w:t>
            </w:r>
          </w:p>
        </w:tc>
        <w:tc>
          <w:tcPr>
            <w:tcW w:w="2013" w:type="dxa"/>
          </w:tcPr>
          <w:p w14:paraId="7E3E4D2E" w14:textId="77777777" w:rsidR="00677BB9" w:rsidRPr="007F69DA" w:rsidRDefault="00677BB9" w:rsidP="00F46ACB">
            <w:pPr>
              <w:ind w:right="-851"/>
              <w:rPr>
                <w:lang w:val="en-US"/>
              </w:rPr>
            </w:pPr>
            <w:r w:rsidRPr="007F69DA">
              <w:rPr>
                <w:lang w:val="en-US"/>
              </w:rPr>
              <w:t>8   SAP               69,2</w:t>
            </w:r>
          </w:p>
        </w:tc>
        <w:tc>
          <w:tcPr>
            <w:tcW w:w="2013" w:type="dxa"/>
          </w:tcPr>
          <w:p w14:paraId="3723E39C" w14:textId="77777777" w:rsidR="00677BB9" w:rsidRPr="007F69DA" w:rsidRDefault="00677BB9" w:rsidP="00F46ACB">
            <w:pPr>
              <w:ind w:right="-851"/>
              <w:rPr>
                <w:lang w:val="en-US"/>
              </w:rPr>
            </w:pPr>
            <w:r w:rsidRPr="007F69DA">
              <w:rPr>
                <w:lang w:val="en-US"/>
              </w:rPr>
              <w:t>10  Merk            68,9</w:t>
            </w:r>
          </w:p>
        </w:tc>
      </w:tr>
    </w:tbl>
    <w:p w14:paraId="7C53DB28" w14:textId="77777777" w:rsidR="00677BB9" w:rsidRPr="007F69DA" w:rsidRDefault="00677BB9" w:rsidP="00677BB9">
      <w:pPr>
        <w:pStyle w:val="QuelleTabelle"/>
        <w:spacing w:before="240" w:after="60"/>
        <w:ind w:left="284" w:rightChars="921" w:right="2026" w:hanging="284"/>
        <w:rPr>
          <w:rFonts w:ascii="Times New Roman" w:hAnsi="Times New Roman"/>
          <w:i w:val="0"/>
          <w:szCs w:val="22"/>
          <w:lang w:val="en-US"/>
        </w:rPr>
      </w:pPr>
      <w:r w:rsidRPr="007F69DA">
        <w:rPr>
          <w:rFonts w:ascii="Times New Roman" w:hAnsi="Times New Roman"/>
          <w:i w:val="0"/>
          <w:szCs w:val="22"/>
          <w:lang w:val="en-US"/>
        </w:rPr>
        <w:t>Quelle:</w:t>
      </w:r>
      <w:r w:rsidRPr="007F69DA">
        <w:rPr>
          <w:rFonts w:ascii="Times New Roman" w:hAnsi="Times New Roman"/>
          <w:i w:val="0"/>
          <w:szCs w:val="22"/>
          <w:lang w:val="en-US"/>
        </w:rPr>
        <w:tab/>
      </w:r>
      <w:hyperlink r:id="rId186" w:history="1">
        <w:r w:rsidRPr="007F69DA">
          <w:rPr>
            <w:rStyle w:val="Hyperlink"/>
            <w:i w:val="0"/>
            <w:szCs w:val="22"/>
            <w:lang w:val="en-US"/>
          </w:rPr>
          <w:t>http://www.kirchhoff.de/fileadmin/20_Download/2013 Highlights/Studie_Good_Company_Ranking_2013.pdf</w:t>
        </w:r>
      </w:hyperlink>
      <w:r w:rsidRPr="007F69DA">
        <w:rPr>
          <w:rFonts w:ascii="Times New Roman" w:hAnsi="Times New Roman"/>
          <w:i w:val="0"/>
          <w:szCs w:val="22"/>
          <w:lang w:val="en-US"/>
        </w:rPr>
        <w:t>.</w:t>
      </w:r>
    </w:p>
    <w:p w14:paraId="380B9A9F" w14:textId="77777777" w:rsidR="00677BB9" w:rsidRPr="007F69DA" w:rsidRDefault="00677BB9" w:rsidP="00677BB9">
      <w:pPr>
        <w:pStyle w:val="QuelleTabelle"/>
        <w:spacing w:before="240" w:after="60"/>
        <w:ind w:left="284" w:rightChars="921" w:right="2026" w:hanging="284"/>
        <w:rPr>
          <w:rFonts w:ascii="Times New Roman" w:hAnsi="Times New Roman"/>
          <w:i w:val="0"/>
          <w:szCs w:val="22"/>
          <w:lang w:val="en-US"/>
        </w:rPr>
      </w:pPr>
    </w:p>
    <w:p w14:paraId="3037A0CD" w14:textId="77777777" w:rsidR="00677BB9" w:rsidRPr="007F69DA" w:rsidRDefault="00677BB9" w:rsidP="00677BB9">
      <w:pPr>
        <w:jc w:val="both"/>
        <w:rPr>
          <w:szCs w:val="24"/>
          <w:lang w:bidi="en-US"/>
        </w:rPr>
      </w:pPr>
      <w:bookmarkStart w:id="125" w:name="_Toc332808309"/>
      <w:bookmarkEnd w:id="125"/>
      <w:r w:rsidRPr="007F69DA">
        <w:rPr>
          <w:szCs w:val="24"/>
          <w:lang w:bidi="en-US"/>
        </w:rPr>
        <w:t>Was genau ist jedoch unter „verantwortlichem Unternehmensverhalten“ zu verstehen? Mehr als 400 Experten aus 91 Ländern haben unter dem Dach der International Organisation of Standardisation (ISO) einen Leitfaden erarbeitet, der helfen soll, diese Frage zu beantworten: ISO 26000. Dieser Leitfaden wurde Ende 2010 veröffentlicht (in Deutschland Anfang 2011 unter der Bezeichnung DIN ISO 26000). Dabei handelt es sich allerdings nicht um eine überprüf- und zertifizierbare internationale Norm, sondern um einen Leitfaden, der seine Wirkung dadurch entfalten soll, dass sich möglichst viele Unternehmen freiwillig daran orientieren (vgl. Jastram 2012; Schoenheit et al. 2006).</w:t>
      </w:r>
    </w:p>
    <w:p w14:paraId="6120A68C" w14:textId="77777777" w:rsidR="00677BB9" w:rsidRPr="007F69DA" w:rsidRDefault="00677BB9" w:rsidP="00677BB9">
      <w:pPr>
        <w:jc w:val="both"/>
        <w:rPr>
          <w:szCs w:val="24"/>
          <w:lang w:bidi="en-US"/>
        </w:rPr>
      </w:pPr>
    </w:p>
    <w:p w14:paraId="3CA22D0A" w14:textId="77777777" w:rsidR="00677BB9" w:rsidRPr="007F69DA" w:rsidRDefault="00677BB9" w:rsidP="00677BB9">
      <w:pPr>
        <w:jc w:val="both"/>
        <w:rPr>
          <w:szCs w:val="24"/>
          <w:lang w:bidi="en-US"/>
        </w:rPr>
      </w:pPr>
    </w:p>
    <w:p w14:paraId="34A6ACDA" w14:textId="77777777" w:rsidR="00677BB9" w:rsidRPr="007F69DA" w:rsidRDefault="00677BB9" w:rsidP="00677BB9">
      <w:pPr>
        <w:jc w:val="both"/>
      </w:pPr>
      <w:bookmarkStart w:id="126" w:name="_Toc358883024"/>
      <w:r w:rsidRPr="007F69DA">
        <w:t>5. Einflussnahme auf die öffentliche Meinung</w:t>
      </w:r>
      <w:bookmarkEnd w:id="126"/>
    </w:p>
    <w:p w14:paraId="79420753" w14:textId="3BBBF03F" w:rsidR="00677BB9" w:rsidRPr="007F69DA" w:rsidRDefault="000D74BB" w:rsidP="00677BB9">
      <w:pPr>
        <w:tabs>
          <w:tab w:val="left" w:pos="9639"/>
          <w:tab w:val="left" w:pos="9781"/>
        </w:tabs>
        <w:spacing w:before="240" w:after="60" w:line="360" w:lineRule="auto"/>
        <w:ind w:rightChars="70" w:right="154"/>
      </w:pPr>
      <w:r>
        <w:t xml:space="preserve">5.1 </w:t>
      </w:r>
      <w:r w:rsidR="00677BB9" w:rsidRPr="007F69DA">
        <w:t>Vertrauen &amp; Misstrauen</w:t>
      </w:r>
    </w:p>
    <w:p w14:paraId="751FFD13" w14:textId="77777777" w:rsidR="00677BB9" w:rsidRPr="007F69DA" w:rsidRDefault="00677BB9" w:rsidP="00677BB9">
      <w:pPr>
        <w:jc w:val="both"/>
      </w:pPr>
      <w:r w:rsidRPr="007F69DA">
        <w:t>In letzter Konsequenz ist es die Aufgabe der PR-Abteilungen, Menschen zu beeinflussen. Sieht man einmal von manipulativen Techniken ab, so kann dies nur gelingen, wenn der Empfänger einer Botschaft deren Sender v</w:t>
      </w:r>
      <w:r w:rsidRPr="007F69DA">
        <w:rPr>
          <w:bCs/>
        </w:rPr>
        <w:t>ertrau</w:t>
      </w:r>
      <w:r w:rsidRPr="007F69DA">
        <w:t xml:space="preserve">t. Im Rahmen der World Value Survey </w:t>
      </w:r>
      <w:r w:rsidRPr="007F69DA">
        <w:rPr>
          <w:iCs/>
        </w:rPr>
        <w:t xml:space="preserve">der </w:t>
      </w:r>
      <w:r w:rsidRPr="007F69DA">
        <w:t>University of Michigan wurden Bürger aus 54 Nationen u.a. zum Grad ihres Vertrauens in 28 Institutionen befragt. Wie die Auswertung der Antworten ergab, müssen (Groß-)</w:t>
      </w:r>
      <w:r w:rsidRPr="007F69DA">
        <w:rPr>
          <w:bCs/>
        </w:rPr>
        <w:t>Unternehmen</w:t>
      </w:r>
      <w:r w:rsidRPr="007F69DA">
        <w:t xml:space="preserve"> in Deutschland mit vergleichsweise großem Misstrauen rechnen, während Australier, Chinesen, Norweger, Schweden, Türkei und einige andere Nationalitäten diesen eher vertrauen </w:t>
      </w:r>
      <w:r w:rsidRPr="007F69DA">
        <w:rPr>
          <w:iCs/>
        </w:rPr>
        <w:t>(</w:t>
      </w:r>
      <w:r w:rsidRPr="007F69DA">
        <w:t>vgl. Inglehart et al. 2004</w:t>
      </w:r>
      <w:r w:rsidRPr="007F69DA">
        <w:rPr>
          <w:iCs/>
        </w:rPr>
        <w:t>)</w:t>
      </w:r>
      <w:r w:rsidRPr="007F69DA">
        <w:t xml:space="preserve">. Erhebliche Vorbehalte müssen hierzulande auch die </w:t>
      </w:r>
      <w:r w:rsidRPr="007F69DA">
        <w:lastRenderedPageBreak/>
        <w:t xml:space="preserve">Institutionen der </w:t>
      </w:r>
      <w:r w:rsidRPr="007F69DA">
        <w:rPr>
          <w:iCs/>
        </w:rPr>
        <w:t>Europäischen Union</w:t>
      </w:r>
      <w:r w:rsidRPr="007F69DA">
        <w:t xml:space="preserve"> bewältigen. Weiterhin ist die innere Distanz vieler Deutschen zu ihrem Rechtssystem erstaunlich groß. Hingegen werden Organisationen, die sich den Umweltschutz auf die Fahne geschrieben haben, weitgehend akzeptiert.</w:t>
      </w:r>
    </w:p>
    <w:p w14:paraId="673CC0E7" w14:textId="77777777" w:rsidR="00677BB9" w:rsidRPr="007F69DA" w:rsidRDefault="00677BB9" w:rsidP="00677BB9">
      <w:pPr>
        <w:pStyle w:val="Punkt"/>
        <w:numPr>
          <w:ilvl w:val="0"/>
          <w:numId w:val="0"/>
        </w:numPr>
        <w:tabs>
          <w:tab w:val="clear" w:pos="170"/>
          <w:tab w:val="left" w:pos="0"/>
        </w:tabs>
        <w:spacing w:before="240" w:after="60" w:line="276" w:lineRule="auto"/>
        <w:ind w:rightChars="70" w:right="154"/>
        <w:rPr>
          <w:sz w:val="22"/>
          <w:szCs w:val="22"/>
        </w:rPr>
      </w:pPr>
      <w:r w:rsidRPr="007F69DA">
        <w:rPr>
          <w:sz w:val="22"/>
          <w:szCs w:val="22"/>
        </w:rPr>
        <w:t>Unterzieht man die in der dritten Erhebungswelle des WVS gewonnenen Angaben einer Faktoranalyse, so lassen sich durch Hauptkomponentenanalyse und VARIMAX-Rotation drei Faktoren des Vertrauens in die Organe des öffentlichen Lebens identifizieren:</w:t>
      </w:r>
    </w:p>
    <w:p w14:paraId="20C159A0" w14:textId="77777777" w:rsidR="00677BB9" w:rsidRPr="007F69DA" w:rsidRDefault="00677BB9" w:rsidP="000D74BB">
      <w:pPr>
        <w:pStyle w:val="Punkt"/>
        <w:numPr>
          <w:ilvl w:val="0"/>
          <w:numId w:val="65"/>
        </w:numPr>
        <w:tabs>
          <w:tab w:val="clear" w:pos="170"/>
        </w:tabs>
        <w:spacing w:before="240" w:after="60" w:line="264" w:lineRule="auto"/>
        <w:ind w:left="567" w:rightChars="70" w:right="154"/>
        <w:rPr>
          <w:sz w:val="22"/>
          <w:szCs w:val="22"/>
        </w:rPr>
      </w:pPr>
      <w:r w:rsidRPr="007F69DA">
        <w:rPr>
          <w:sz w:val="22"/>
          <w:szCs w:val="22"/>
        </w:rPr>
        <w:t>„Autorität“: Bürger aus Ländern, die ihrem Parlament, ihrer Regierung und ihrem Rechtssystem vertrauen, erachten auch politische Parteien, den öffentlichen Dienst, Gewerkschaften, die Polizei, das Militär und große Unternehmen als vertrauenswürdig – und umgekehrt.</w:t>
      </w:r>
    </w:p>
    <w:p w14:paraId="349824B2" w14:textId="77777777" w:rsidR="00677BB9" w:rsidRPr="007F69DA" w:rsidRDefault="00677BB9" w:rsidP="000D74BB">
      <w:pPr>
        <w:pStyle w:val="Punkt"/>
        <w:numPr>
          <w:ilvl w:val="0"/>
          <w:numId w:val="65"/>
        </w:numPr>
        <w:tabs>
          <w:tab w:val="clear" w:pos="170"/>
        </w:tabs>
        <w:spacing w:before="240" w:after="60" w:line="264" w:lineRule="auto"/>
        <w:ind w:left="567" w:rightChars="70" w:right="154"/>
        <w:rPr>
          <w:sz w:val="22"/>
          <w:szCs w:val="22"/>
        </w:rPr>
      </w:pPr>
      <w:r w:rsidRPr="007F69DA">
        <w:rPr>
          <w:sz w:val="22"/>
          <w:szCs w:val="22"/>
        </w:rPr>
        <w:t xml:space="preserve">„Soziales“: Diese Dimension umfasst das Vertrauen in religiöse Institutionen, die Presse, das Fernsehen sowie in supranationale Institutionen (wie die </w:t>
      </w:r>
      <w:r w:rsidRPr="007F69DA">
        <w:rPr>
          <w:iCs/>
          <w:sz w:val="22"/>
          <w:szCs w:val="22"/>
        </w:rPr>
        <w:t>Europäische Union</w:t>
      </w:r>
      <w:r w:rsidRPr="007F69DA">
        <w:rPr>
          <w:sz w:val="22"/>
          <w:szCs w:val="22"/>
        </w:rPr>
        <w:t xml:space="preserve"> und die </w:t>
      </w:r>
      <w:r w:rsidRPr="007F69DA">
        <w:rPr>
          <w:iCs/>
          <w:sz w:val="22"/>
          <w:szCs w:val="22"/>
        </w:rPr>
        <w:t>Vereinten Nationen</w:t>
      </w:r>
      <w:r w:rsidRPr="007F69DA">
        <w:rPr>
          <w:sz w:val="22"/>
          <w:szCs w:val="22"/>
        </w:rPr>
        <w:t>).</w:t>
      </w:r>
    </w:p>
    <w:p w14:paraId="4BC484C6" w14:textId="77777777" w:rsidR="00677BB9" w:rsidRPr="007F69DA" w:rsidRDefault="00677BB9" w:rsidP="000D74BB">
      <w:pPr>
        <w:pStyle w:val="Punkt"/>
        <w:numPr>
          <w:ilvl w:val="0"/>
          <w:numId w:val="65"/>
        </w:numPr>
        <w:tabs>
          <w:tab w:val="clear" w:pos="170"/>
        </w:tabs>
        <w:spacing w:before="240" w:after="60" w:line="264" w:lineRule="auto"/>
        <w:ind w:left="567" w:rightChars="70" w:right="154"/>
        <w:rPr>
          <w:sz w:val="22"/>
          <w:szCs w:val="22"/>
        </w:rPr>
      </w:pPr>
      <w:r w:rsidRPr="007F69DA">
        <w:rPr>
          <w:sz w:val="22"/>
          <w:szCs w:val="22"/>
        </w:rPr>
        <w:t>„Alternative Bewegungen“: In Ländern, in denen die ökologische Bewegung Ansehen genießt, findet auch die Frauenbewegung Zustimmung.</w:t>
      </w:r>
    </w:p>
    <w:p w14:paraId="58BE24DE" w14:textId="77777777" w:rsidR="00677BB9" w:rsidRPr="007F69DA" w:rsidRDefault="00677BB9" w:rsidP="00677BB9">
      <w:pPr>
        <w:pStyle w:val="Punkt"/>
        <w:numPr>
          <w:ilvl w:val="0"/>
          <w:numId w:val="0"/>
        </w:numPr>
        <w:tabs>
          <w:tab w:val="clear" w:pos="170"/>
          <w:tab w:val="left" w:pos="0"/>
        </w:tabs>
        <w:spacing w:before="240" w:after="60" w:line="276" w:lineRule="auto"/>
        <w:ind w:rightChars="70" w:right="154"/>
        <w:rPr>
          <w:sz w:val="22"/>
          <w:szCs w:val="22"/>
        </w:rPr>
      </w:pPr>
      <w:r w:rsidRPr="007F69DA">
        <w:rPr>
          <w:sz w:val="22"/>
          <w:szCs w:val="22"/>
        </w:rPr>
        <w:t>International tätige Unternehmen, welche ihre Öffentlichkeitsarbeit standardisieren möchten, sollten wissen, welche Länder sich in ihrer „Vertrauensstruktur“ ähneln. Dies lässt sich mit Hilfe einer Clusteranalyse klären. Aufgrund unvollständiger Daten mussten Südkorea, Pakistan, China, Ghana und Kolumbien aus dem Datensatz entfernt werden. Das gewählte Single Linkage-Verfahren identifizierte zudem Aserbaidschan als „Ausreißer“, weshalb auch dieses Landes ausgesondert wurde. Die verbleibenden Nationen ließen sich anhand des Ward-Verfahrens vier eindeutig unterscheidbaren Länderclustern zuordnen (vgl. Abb. 4). Die Mitgliedsländer eines Clusters weisen eine ähnliche Vertrauensstruktur auf und unterscheiden sich diesbezüglich zugleich deutlich von jenen Ländern, welche den anderen Clustern zugeordnet wurden.</w:t>
      </w:r>
    </w:p>
    <w:p w14:paraId="11992D52" w14:textId="77777777" w:rsidR="00677BB9" w:rsidRPr="007F69DA" w:rsidRDefault="00677BB9" w:rsidP="00677BB9">
      <w:pPr>
        <w:pStyle w:val="Punkt"/>
        <w:numPr>
          <w:ilvl w:val="0"/>
          <w:numId w:val="0"/>
        </w:numPr>
        <w:tabs>
          <w:tab w:val="clear" w:pos="170"/>
          <w:tab w:val="left" w:pos="0"/>
        </w:tabs>
        <w:spacing w:before="240" w:after="60" w:line="276" w:lineRule="auto"/>
        <w:ind w:rightChars="70" w:right="154"/>
        <w:rPr>
          <w:sz w:val="22"/>
          <w:szCs w:val="22"/>
        </w:rPr>
      </w:pPr>
    </w:p>
    <w:p w14:paraId="3C6C6002" w14:textId="77777777" w:rsidR="00677BB9" w:rsidRPr="00BF04C9" w:rsidRDefault="00677BB9" w:rsidP="00677BB9">
      <w:pPr>
        <w:pStyle w:val="Beschriftung"/>
        <w:spacing w:before="240" w:after="60"/>
        <w:ind w:left="284" w:rightChars="921" w:right="2026"/>
        <w:rPr>
          <w:sz w:val="22"/>
          <w:szCs w:val="22"/>
        </w:rPr>
      </w:pPr>
      <w:r w:rsidRPr="00BF04C9">
        <w:rPr>
          <w:sz w:val="22"/>
          <w:szCs w:val="22"/>
        </w:rPr>
        <w:t>Abb. 4: Ländercluster nach Maßgabe des Vertrauens in Institutionen</w:t>
      </w:r>
    </w:p>
    <w:p w14:paraId="24ABEF91" w14:textId="77777777" w:rsidR="00677BB9" w:rsidRPr="007F69DA" w:rsidRDefault="00677BB9" w:rsidP="00677BB9">
      <w:pPr>
        <w:spacing w:before="240" w:after="60"/>
        <w:ind w:left="284" w:rightChars="354" w:right="779"/>
      </w:pPr>
      <w:r w:rsidRPr="007F69DA">
        <w:rPr>
          <w:noProof/>
          <w:lang w:eastAsia="de-DE"/>
        </w:rPr>
        <w:lastRenderedPageBreak/>
        <w:drawing>
          <wp:inline distT="0" distB="0" distL="0" distR="0" wp14:anchorId="180DC2A9" wp14:editId="62F18C1C">
            <wp:extent cx="5810250" cy="6821805"/>
            <wp:effectExtent l="0" t="0" r="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5810250" cy="6821805"/>
                    </a:xfrm>
                    <a:prstGeom prst="rect">
                      <a:avLst/>
                    </a:prstGeom>
                    <a:noFill/>
                  </pic:spPr>
                </pic:pic>
              </a:graphicData>
            </a:graphic>
          </wp:inline>
        </w:drawing>
      </w:r>
      <w:r w:rsidRPr="007F69DA">
        <w:t>Quelle: University of Michigan (2004), WVS, 3.Welle; eigene Berechnung.</w:t>
      </w:r>
    </w:p>
    <w:p w14:paraId="7312420C" w14:textId="77777777" w:rsidR="00677BB9" w:rsidRPr="007F69DA" w:rsidRDefault="00677BB9" w:rsidP="00677BB9">
      <w:pPr>
        <w:pStyle w:val="Punkt"/>
        <w:numPr>
          <w:ilvl w:val="0"/>
          <w:numId w:val="0"/>
        </w:numPr>
        <w:tabs>
          <w:tab w:val="clear" w:pos="170"/>
          <w:tab w:val="left" w:pos="0"/>
        </w:tabs>
        <w:spacing w:before="240" w:after="60" w:line="276" w:lineRule="auto"/>
        <w:ind w:rightChars="70" w:right="154"/>
        <w:rPr>
          <w:sz w:val="22"/>
          <w:szCs w:val="22"/>
        </w:rPr>
      </w:pPr>
      <w:r w:rsidRPr="007F69DA">
        <w:rPr>
          <w:sz w:val="22"/>
          <w:szCs w:val="22"/>
        </w:rPr>
        <w:t xml:space="preserve">Einige lateinamerikanische Länder sowie einige Mitgliedsstaaten des ehemaligen Ostblocks bilden Cluster I. Abgesehen von den sozio-politischen Einrichtungen misstrauen die dort lebenden Menschen allen Institutionen ihres Landes weitgehend. Cluster II vereint weitere Länder des ehemaligen Ostblocks, eine Reihe lateinamerikanischer Länder sowie Spanien, USA und Australien. Deren Bevölkerungen vertrauen am ehesten den alternativen Bewegungen. Japan und Taiwan bilden zusammen mit mehreren europäischen Ländern Cluster III. Ihnen ist ein ausgeprägtes Misstrauen gegenüber den sozio-politischen Institutionen gemeinsam. Bemerkenswerterweise teilten Ost- und Westdeutsche, die damals noch getrennt erfasst wurden, ihre Skepsis gegenüber großen Unternehmen. Die Bewohner einiger afrikanischer und asiatischer Länder sowie Bosnien-Herzegowinas (= Cluster IV) hingegen </w:t>
      </w:r>
      <w:r w:rsidRPr="007F69DA">
        <w:rPr>
          <w:sz w:val="22"/>
          <w:szCs w:val="22"/>
        </w:rPr>
        <w:lastRenderedPageBreak/>
        <w:t xml:space="preserve">scheinen voll des Vertrauens zu sein (vgl. Tab. 4), sieht man einmal von einer gewissen Skepsis gegenüber alternativen Bewegungen ab (z.B. Umweltschutzorganisationen). </w:t>
      </w:r>
    </w:p>
    <w:p w14:paraId="1E7CC54A" w14:textId="77777777" w:rsidR="00677BB9" w:rsidRPr="007F69DA" w:rsidRDefault="00677BB9" w:rsidP="00677BB9">
      <w:pPr>
        <w:ind w:right="-851"/>
      </w:pPr>
    </w:p>
    <w:p w14:paraId="33A97655" w14:textId="77777777" w:rsidR="00677BB9" w:rsidRPr="00BF04C9" w:rsidRDefault="00677BB9" w:rsidP="00677BB9">
      <w:pPr>
        <w:pStyle w:val="Beschriftung"/>
        <w:spacing w:before="240" w:after="60"/>
        <w:ind w:left="284" w:rightChars="921" w:right="2026"/>
        <w:rPr>
          <w:sz w:val="22"/>
          <w:szCs w:val="22"/>
        </w:rPr>
      </w:pPr>
      <w:r w:rsidRPr="00BF04C9">
        <w:rPr>
          <w:sz w:val="22"/>
          <w:szCs w:val="22"/>
        </w:rPr>
        <w:t>Tab. 4: Vertrauensprofil der vier Ländercluster (Faktorwerte)</w:t>
      </w:r>
    </w:p>
    <w:tbl>
      <w:tblPr>
        <w:tblW w:w="8008" w:type="dxa"/>
        <w:tblInd w:w="70" w:type="dxa"/>
        <w:tblBorders>
          <w:top w:val="single" w:sz="4" w:space="0" w:color="auto"/>
          <w:left w:val="single" w:sz="4" w:space="0" w:color="auto"/>
          <w:bottom w:val="single" w:sz="4" w:space="0" w:color="auto"/>
          <w:right w:val="single" w:sz="4" w:space="0" w:color="auto"/>
          <w:insideH w:val="single" w:sz="4" w:space="0" w:color="auto"/>
        </w:tblBorders>
        <w:tblLayout w:type="fixed"/>
        <w:tblCellMar>
          <w:left w:w="56" w:type="dxa"/>
          <w:right w:w="56" w:type="dxa"/>
        </w:tblCellMar>
        <w:tblLook w:val="0000" w:firstRow="0" w:lastRow="0" w:firstColumn="0" w:lastColumn="0" w:noHBand="0" w:noVBand="0"/>
      </w:tblPr>
      <w:tblGrid>
        <w:gridCol w:w="1499"/>
        <w:gridCol w:w="2090"/>
        <w:gridCol w:w="28"/>
        <w:gridCol w:w="2120"/>
        <w:gridCol w:w="2271"/>
      </w:tblGrid>
      <w:tr w:rsidR="00677BB9" w:rsidRPr="007F69DA" w14:paraId="56CED448" w14:textId="77777777" w:rsidTr="00F46ACB">
        <w:trPr>
          <w:trHeight w:val="1966"/>
        </w:trPr>
        <w:tc>
          <w:tcPr>
            <w:tcW w:w="1499" w:type="dxa"/>
            <w:tcBorders>
              <w:right w:val="single" w:sz="4" w:space="0" w:color="auto"/>
            </w:tcBorders>
            <w:shd w:val="clear" w:color="auto" w:fill="FFC000"/>
          </w:tcPr>
          <w:p w14:paraId="072D7B8A" w14:textId="77777777" w:rsidR="00677BB9" w:rsidRPr="007F69DA" w:rsidRDefault="00677BB9" w:rsidP="00F46ACB">
            <w:pPr>
              <w:spacing w:before="240" w:after="60"/>
              <w:ind w:left="284" w:right="-851"/>
              <w:rPr>
                <w:b/>
              </w:rPr>
            </w:pPr>
          </w:p>
        </w:tc>
        <w:tc>
          <w:tcPr>
            <w:tcW w:w="2118" w:type="dxa"/>
            <w:gridSpan w:val="2"/>
            <w:tcBorders>
              <w:left w:val="single" w:sz="4" w:space="0" w:color="auto"/>
            </w:tcBorders>
            <w:shd w:val="clear" w:color="auto" w:fill="FFC000"/>
          </w:tcPr>
          <w:p w14:paraId="76E91CBE" w14:textId="77777777" w:rsidR="00677BB9" w:rsidRPr="007F69DA" w:rsidRDefault="00677BB9" w:rsidP="00F46ACB">
            <w:pPr>
              <w:spacing w:before="240" w:after="60"/>
              <w:ind w:left="284" w:right="-851"/>
              <w:jc w:val="center"/>
              <w:rPr>
                <w:b/>
              </w:rPr>
            </w:pPr>
            <w:r w:rsidRPr="007F69DA">
              <w:rPr>
                <w:b/>
              </w:rPr>
              <w:t xml:space="preserve">Vertrauen in </w:t>
            </w:r>
            <w:r w:rsidRPr="007F69DA">
              <w:rPr>
                <w:b/>
              </w:rPr>
              <w:br/>
              <w:t>Institutionen der staatlichen Autorität</w:t>
            </w:r>
          </w:p>
          <w:p w14:paraId="6800AD64" w14:textId="77777777" w:rsidR="00677BB9" w:rsidRPr="007F69DA" w:rsidRDefault="00677BB9" w:rsidP="00F46ACB">
            <w:pPr>
              <w:spacing w:before="240" w:after="60"/>
              <w:ind w:left="284" w:right="-851"/>
              <w:jc w:val="center"/>
            </w:pPr>
            <w:r w:rsidRPr="007F69DA">
              <w:t>(z.B. Polizei)</w:t>
            </w:r>
          </w:p>
        </w:tc>
        <w:tc>
          <w:tcPr>
            <w:tcW w:w="2119" w:type="dxa"/>
            <w:shd w:val="clear" w:color="auto" w:fill="FFC000"/>
          </w:tcPr>
          <w:p w14:paraId="7D08C5A4" w14:textId="77777777" w:rsidR="00677BB9" w:rsidRPr="007F69DA" w:rsidRDefault="00677BB9" w:rsidP="00F46ACB">
            <w:pPr>
              <w:pStyle w:val="Textkrper2"/>
              <w:spacing w:before="240" w:after="60"/>
              <w:ind w:left="342" w:right="-851"/>
              <w:jc w:val="center"/>
              <w:rPr>
                <w:rFonts w:ascii="Times New Roman" w:hAnsi="Times New Roman"/>
                <w:szCs w:val="22"/>
              </w:rPr>
            </w:pPr>
            <w:r w:rsidRPr="007F69DA">
              <w:rPr>
                <w:rFonts w:ascii="Times New Roman" w:hAnsi="Times New Roman"/>
                <w:szCs w:val="22"/>
              </w:rPr>
              <w:t xml:space="preserve">Vertrauen in </w:t>
            </w:r>
            <w:r w:rsidRPr="007F69DA">
              <w:rPr>
                <w:rFonts w:ascii="Times New Roman" w:hAnsi="Times New Roman"/>
                <w:szCs w:val="22"/>
              </w:rPr>
              <w:br/>
              <w:t>sozio-politische</w:t>
            </w:r>
            <w:r w:rsidRPr="007F69DA">
              <w:rPr>
                <w:rFonts w:ascii="Times New Roman" w:hAnsi="Times New Roman"/>
                <w:szCs w:val="22"/>
              </w:rPr>
              <w:br/>
              <w:t>Institutionen</w:t>
            </w:r>
          </w:p>
          <w:p w14:paraId="54932F7F" w14:textId="77777777" w:rsidR="00677BB9" w:rsidRPr="007F69DA" w:rsidRDefault="00677BB9" w:rsidP="00F46ACB">
            <w:pPr>
              <w:pStyle w:val="Textkrper2"/>
              <w:spacing w:before="240" w:after="60"/>
              <w:ind w:left="342" w:right="-851"/>
              <w:jc w:val="center"/>
              <w:rPr>
                <w:rFonts w:ascii="Times New Roman" w:hAnsi="Times New Roman"/>
                <w:b w:val="0"/>
                <w:szCs w:val="22"/>
              </w:rPr>
            </w:pPr>
            <w:r w:rsidRPr="007F69DA">
              <w:rPr>
                <w:rFonts w:ascii="Times New Roman" w:hAnsi="Times New Roman"/>
                <w:b w:val="0"/>
                <w:szCs w:val="22"/>
              </w:rPr>
              <w:t>(z.B. Europäische Union)</w:t>
            </w:r>
          </w:p>
        </w:tc>
        <w:tc>
          <w:tcPr>
            <w:tcW w:w="2271" w:type="dxa"/>
            <w:shd w:val="clear" w:color="auto" w:fill="FFC000"/>
          </w:tcPr>
          <w:p w14:paraId="2D91EBFC" w14:textId="77777777" w:rsidR="00677BB9" w:rsidRPr="007F69DA" w:rsidRDefault="00677BB9" w:rsidP="00F46ACB">
            <w:pPr>
              <w:spacing w:before="240" w:after="60"/>
              <w:ind w:left="284" w:right="-851"/>
              <w:jc w:val="center"/>
              <w:rPr>
                <w:b/>
              </w:rPr>
            </w:pPr>
            <w:r w:rsidRPr="007F69DA">
              <w:rPr>
                <w:b/>
              </w:rPr>
              <w:t xml:space="preserve">Vertrauen in </w:t>
            </w:r>
            <w:r w:rsidRPr="007F69DA">
              <w:rPr>
                <w:b/>
              </w:rPr>
              <w:br/>
              <w:t xml:space="preserve">alternative </w:t>
            </w:r>
            <w:r w:rsidRPr="007F69DA">
              <w:rPr>
                <w:b/>
              </w:rPr>
              <w:br/>
              <w:t>Bewegungen</w:t>
            </w:r>
          </w:p>
          <w:p w14:paraId="5216FC03" w14:textId="77777777" w:rsidR="00677BB9" w:rsidRPr="007F69DA" w:rsidRDefault="00677BB9" w:rsidP="00F46ACB">
            <w:pPr>
              <w:spacing w:before="240" w:after="60"/>
              <w:ind w:left="284" w:right="-851"/>
              <w:jc w:val="center"/>
            </w:pPr>
            <w:r w:rsidRPr="007F69DA">
              <w:t>(z.B. ökologische Institutionen)</w:t>
            </w:r>
          </w:p>
        </w:tc>
      </w:tr>
      <w:tr w:rsidR="00677BB9" w:rsidRPr="007F69DA" w14:paraId="792F1CE1" w14:textId="77777777" w:rsidTr="00F46ACB">
        <w:trPr>
          <w:trHeight w:val="599"/>
        </w:trPr>
        <w:tc>
          <w:tcPr>
            <w:tcW w:w="1499" w:type="dxa"/>
            <w:tcBorders>
              <w:right w:val="single" w:sz="4" w:space="0" w:color="auto"/>
            </w:tcBorders>
            <w:shd w:val="clear" w:color="auto" w:fill="FFF2CC" w:themeFill="accent4" w:themeFillTint="33"/>
          </w:tcPr>
          <w:p w14:paraId="57B2BC26" w14:textId="77777777" w:rsidR="00677BB9" w:rsidRPr="007F69DA" w:rsidRDefault="00677BB9" w:rsidP="00F46ACB">
            <w:pPr>
              <w:spacing w:before="240" w:after="60"/>
              <w:ind w:left="284" w:right="-851"/>
            </w:pPr>
            <w:r w:rsidRPr="007F69DA">
              <w:t>Cluster I</w:t>
            </w:r>
          </w:p>
        </w:tc>
        <w:tc>
          <w:tcPr>
            <w:tcW w:w="2090" w:type="dxa"/>
            <w:tcBorders>
              <w:left w:val="single" w:sz="4" w:space="0" w:color="auto"/>
            </w:tcBorders>
          </w:tcPr>
          <w:p w14:paraId="7EE8F084" w14:textId="77777777" w:rsidR="00677BB9" w:rsidRPr="007F69DA" w:rsidRDefault="00677BB9" w:rsidP="00F46ACB">
            <w:pPr>
              <w:tabs>
                <w:tab w:val="decimal" w:pos="694"/>
              </w:tabs>
              <w:spacing w:before="240" w:after="60"/>
              <w:ind w:left="284" w:right="-851"/>
            </w:pPr>
            <w:r w:rsidRPr="007F69DA">
              <w:sym w:font="Symbol" w:char="F02D"/>
            </w:r>
            <w:r w:rsidRPr="007F69DA">
              <w:t>1,06</w:t>
            </w:r>
          </w:p>
        </w:tc>
        <w:tc>
          <w:tcPr>
            <w:tcW w:w="2148" w:type="dxa"/>
            <w:gridSpan w:val="2"/>
          </w:tcPr>
          <w:p w14:paraId="495FFBAD" w14:textId="77777777" w:rsidR="00677BB9" w:rsidRPr="007F69DA" w:rsidRDefault="00677BB9" w:rsidP="00F46ACB">
            <w:pPr>
              <w:tabs>
                <w:tab w:val="decimal" w:pos="681"/>
              </w:tabs>
              <w:spacing w:before="240" w:after="60"/>
              <w:ind w:left="284" w:right="-851"/>
            </w:pPr>
            <w:r w:rsidRPr="007F69DA">
              <w:t>0,55</w:t>
            </w:r>
          </w:p>
        </w:tc>
        <w:tc>
          <w:tcPr>
            <w:tcW w:w="2271" w:type="dxa"/>
          </w:tcPr>
          <w:p w14:paraId="02470247" w14:textId="77777777" w:rsidR="00677BB9" w:rsidRPr="007F69DA" w:rsidRDefault="00677BB9" w:rsidP="00F46ACB">
            <w:pPr>
              <w:tabs>
                <w:tab w:val="decimal" w:pos="696"/>
              </w:tabs>
              <w:spacing w:before="240" w:after="60"/>
              <w:ind w:left="284" w:right="-851"/>
            </w:pPr>
            <w:r w:rsidRPr="007F69DA">
              <w:sym w:font="Symbol" w:char="F02D"/>
            </w:r>
            <w:r w:rsidRPr="007F69DA">
              <w:t>0,74</w:t>
            </w:r>
          </w:p>
        </w:tc>
      </w:tr>
      <w:tr w:rsidR="00677BB9" w:rsidRPr="007F69DA" w14:paraId="2AF24EB5" w14:textId="77777777" w:rsidTr="00F46ACB">
        <w:trPr>
          <w:trHeight w:val="599"/>
        </w:trPr>
        <w:tc>
          <w:tcPr>
            <w:tcW w:w="1499" w:type="dxa"/>
            <w:tcBorders>
              <w:right w:val="single" w:sz="4" w:space="0" w:color="auto"/>
            </w:tcBorders>
            <w:shd w:val="clear" w:color="auto" w:fill="FFF2CC" w:themeFill="accent4" w:themeFillTint="33"/>
          </w:tcPr>
          <w:p w14:paraId="1F73E1B3" w14:textId="77777777" w:rsidR="00677BB9" w:rsidRPr="007F69DA" w:rsidRDefault="00677BB9" w:rsidP="00F46ACB">
            <w:pPr>
              <w:spacing w:before="240" w:after="60"/>
              <w:ind w:left="284" w:right="-851"/>
            </w:pPr>
            <w:r w:rsidRPr="007F69DA">
              <w:t>Cluster II</w:t>
            </w:r>
          </w:p>
        </w:tc>
        <w:tc>
          <w:tcPr>
            <w:tcW w:w="2090" w:type="dxa"/>
            <w:tcBorders>
              <w:left w:val="single" w:sz="4" w:space="0" w:color="auto"/>
            </w:tcBorders>
          </w:tcPr>
          <w:p w14:paraId="3BA6411B" w14:textId="77777777" w:rsidR="00677BB9" w:rsidRPr="007F69DA" w:rsidRDefault="00677BB9" w:rsidP="00F46ACB">
            <w:pPr>
              <w:tabs>
                <w:tab w:val="decimal" w:pos="694"/>
              </w:tabs>
              <w:spacing w:before="240" w:after="60"/>
              <w:ind w:left="284" w:right="-851"/>
            </w:pPr>
            <w:r w:rsidRPr="007F69DA">
              <w:sym w:font="Symbol" w:char="F02D"/>
            </w:r>
            <w:r w:rsidRPr="007F69DA">
              <w:t>0,31</w:t>
            </w:r>
          </w:p>
        </w:tc>
        <w:tc>
          <w:tcPr>
            <w:tcW w:w="2148" w:type="dxa"/>
            <w:gridSpan w:val="2"/>
          </w:tcPr>
          <w:p w14:paraId="741C81AC" w14:textId="77777777" w:rsidR="00677BB9" w:rsidRPr="007F69DA" w:rsidRDefault="00677BB9" w:rsidP="00F46ACB">
            <w:pPr>
              <w:tabs>
                <w:tab w:val="decimal" w:pos="681"/>
              </w:tabs>
              <w:spacing w:before="240" w:after="60"/>
              <w:ind w:left="284" w:right="-851"/>
            </w:pPr>
            <w:r w:rsidRPr="007F69DA">
              <w:t>0,01</w:t>
            </w:r>
          </w:p>
        </w:tc>
        <w:tc>
          <w:tcPr>
            <w:tcW w:w="2271" w:type="dxa"/>
          </w:tcPr>
          <w:p w14:paraId="04A78DA9" w14:textId="77777777" w:rsidR="00677BB9" w:rsidRPr="007F69DA" w:rsidRDefault="00677BB9" w:rsidP="00F46ACB">
            <w:pPr>
              <w:tabs>
                <w:tab w:val="decimal" w:pos="696"/>
              </w:tabs>
              <w:spacing w:before="240" w:after="60"/>
              <w:ind w:left="284" w:right="-851"/>
              <w:rPr>
                <w:lang w:val="en-US"/>
              </w:rPr>
            </w:pPr>
            <w:r w:rsidRPr="007F69DA">
              <w:t>0</w:t>
            </w:r>
            <w:r w:rsidRPr="007F69DA">
              <w:rPr>
                <w:lang w:val="en-US"/>
              </w:rPr>
              <w:t>,53</w:t>
            </w:r>
          </w:p>
        </w:tc>
      </w:tr>
      <w:tr w:rsidR="00677BB9" w:rsidRPr="007F69DA" w14:paraId="0E3299EF" w14:textId="77777777" w:rsidTr="00F46ACB">
        <w:trPr>
          <w:trHeight w:val="599"/>
        </w:trPr>
        <w:tc>
          <w:tcPr>
            <w:tcW w:w="1499" w:type="dxa"/>
            <w:tcBorders>
              <w:right w:val="single" w:sz="4" w:space="0" w:color="auto"/>
            </w:tcBorders>
            <w:shd w:val="clear" w:color="auto" w:fill="FFF2CC" w:themeFill="accent4" w:themeFillTint="33"/>
          </w:tcPr>
          <w:p w14:paraId="2CC24614" w14:textId="77777777" w:rsidR="00677BB9" w:rsidRPr="007F69DA" w:rsidRDefault="00677BB9" w:rsidP="00F46ACB">
            <w:pPr>
              <w:spacing w:before="240" w:after="60"/>
              <w:ind w:left="284" w:right="-851"/>
              <w:rPr>
                <w:lang w:val="en-US"/>
              </w:rPr>
            </w:pPr>
            <w:r w:rsidRPr="007F69DA">
              <w:rPr>
                <w:lang w:val="en-US"/>
              </w:rPr>
              <w:t>Cluster III</w:t>
            </w:r>
          </w:p>
        </w:tc>
        <w:tc>
          <w:tcPr>
            <w:tcW w:w="2090" w:type="dxa"/>
            <w:tcBorders>
              <w:left w:val="single" w:sz="4" w:space="0" w:color="auto"/>
            </w:tcBorders>
          </w:tcPr>
          <w:p w14:paraId="34073C51" w14:textId="77777777" w:rsidR="00677BB9" w:rsidRPr="007F69DA" w:rsidRDefault="00677BB9" w:rsidP="00F46ACB">
            <w:pPr>
              <w:tabs>
                <w:tab w:val="decimal" w:pos="694"/>
              </w:tabs>
              <w:spacing w:before="240" w:after="60"/>
              <w:ind w:left="284" w:right="-851"/>
              <w:rPr>
                <w:lang w:val="en-US"/>
              </w:rPr>
            </w:pPr>
            <w:r w:rsidRPr="007F69DA">
              <w:rPr>
                <w:lang w:val="en-US"/>
              </w:rPr>
              <w:t>0,67</w:t>
            </w:r>
          </w:p>
        </w:tc>
        <w:tc>
          <w:tcPr>
            <w:tcW w:w="2148" w:type="dxa"/>
            <w:gridSpan w:val="2"/>
          </w:tcPr>
          <w:p w14:paraId="14A1BB1B" w14:textId="77777777" w:rsidR="00677BB9" w:rsidRPr="007F69DA" w:rsidRDefault="00677BB9" w:rsidP="00F46ACB">
            <w:pPr>
              <w:tabs>
                <w:tab w:val="decimal" w:pos="681"/>
              </w:tabs>
              <w:spacing w:before="240" w:after="60"/>
              <w:ind w:left="284" w:right="-851"/>
              <w:rPr>
                <w:lang w:val="en-US"/>
              </w:rPr>
            </w:pPr>
            <w:r w:rsidRPr="007F69DA">
              <w:sym w:font="Symbol" w:char="F02D"/>
            </w:r>
            <w:r w:rsidRPr="007F69DA">
              <w:rPr>
                <w:lang w:val="en-US"/>
              </w:rPr>
              <w:t>1,15</w:t>
            </w:r>
          </w:p>
        </w:tc>
        <w:tc>
          <w:tcPr>
            <w:tcW w:w="2271" w:type="dxa"/>
          </w:tcPr>
          <w:p w14:paraId="1B93BFD2" w14:textId="77777777" w:rsidR="00677BB9" w:rsidRPr="007F69DA" w:rsidRDefault="00677BB9" w:rsidP="00F46ACB">
            <w:pPr>
              <w:tabs>
                <w:tab w:val="decimal" w:pos="696"/>
              </w:tabs>
              <w:spacing w:before="240" w:after="60"/>
              <w:ind w:left="284" w:right="-851"/>
              <w:rPr>
                <w:lang w:val="en-US"/>
              </w:rPr>
            </w:pPr>
            <w:r w:rsidRPr="007F69DA">
              <w:rPr>
                <w:lang w:val="en-US"/>
              </w:rPr>
              <w:t>0,22</w:t>
            </w:r>
          </w:p>
        </w:tc>
      </w:tr>
      <w:tr w:rsidR="00677BB9" w:rsidRPr="007F69DA" w14:paraId="13BF0185" w14:textId="77777777" w:rsidTr="00F46ACB">
        <w:trPr>
          <w:trHeight w:val="583"/>
        </w:trPr>
        <w:tc>
          <w:tcPr>
            <w:tcW w:w="1499" w:type="dxa"/>
            <w:tcBorders>
              <w:right w:val="single" w:sz="4" w:space="0" w:color="auto"/>
            </w:tcBorders>
            <w:shd w:val="clear" w:color="auto" w:fill="FFF2CC" w:themeFill="accent4" w:themeFillTint="33"/>
          </w:tcPr>
          <w:p w14:paraId="4648139B" w14:textId="77777777" w:rsidR="00677BB9" w:rsidRPr="007F69DA" w:rsidRDefault="00677BB9" w:rsidP="00F46ACB">
            <w:pPr>
              <w:spacing w:before="240" w:after="60"/>
              <w:ind w:left="284" w:right="-851"/>
              <w:rPr>
                <w:lang w:val="en-US"/>
              </w:rPr>
            </w:pPr>
            <w:r w:rsidRPr="007F69DA">
              <w:rPr>
                <w:lang w:val="en-US"/>
              </w:rPr>
              <w:t>Cluster IV</w:t>
            </w:r>
          </w:p>
        </w:tc>
        <w:tc>
          <w:tcPr>
            <w:tcW w:w="2090" w:type="dxa"/>
            <w:tcBorders>
              <w:left w:val="single" w:sz="4" w:space="0" w:color="auto"/>
            </w:tcBorders>
          </w:tcPr>
          <w:p w14:paraId="5624FA79" w14:textId="77777777" w:rsidR="00677BB9" w:rsidRPr="007F69DA" w:rsidRDefault="00677BB9" w:rsidP="00F46ACB">
            <w:pPr>
              <w:tabs>
                <w:tab w:val="decimal" w:pos="694"/>
              </w:tabs>
              <w:spacing w:before="240" w:after="60"/>
              <w:ind w:left="284" w:right="-851"/>
              <w:rPr>
                <w:lang w:val="en-US"/>
              </w:rPr>
            </w:pPr>
            <w:r w:rsidRPr="007F69DA">
              <w:rPr>
                <w:lang w:val="en-US"/>
              </w:rPr>
              <w:t>1,45</w:t>
            </w:r>
          </w:p>
        </w:tc>
        <w:tc>
          <w:tcPr>
            <w:tcW w:w="2148" w:type="dxa"/>
            <w:gridSpan w:val="2"/>
          </w:tcPr>
          <w:p w14:paraId="63A9D3A3" w14:textId="77777777" w:rsidR="00677BB9" w:rsidRPr="007F69DA" w:rsidRDefault="00677BB9" w:rsidP="00F46ACB">
            <w:pPr>
              <w:tabs>
                <w:tab w:val="decimal" w:pos="681"/>
              </w:tabs>
              <w:spacing w:before="240" w:after="60"/>
              <w:ind w:left="284" w:right="-851"/>
              <w:rPr>
                <w:lang w:val="en-US"/>
              </w:rPr>
            </w:pPr>
            <w:r w:rsidRPr="007F69DA">
              <w:rPr>
                <w:lang w:val="en-US"/>
              </w:rPr>
              <w:t>1,30</w:t>
            </w:r>
          </w:p>
        </w:tc>
        <w:tc>
          <w:tcPr>
            <w:tcW w:w="2271" w:type="dxa"/>
          </w:tcPr>
          <w:p w14:paraId="052912B3" w14:textId="77777777" w:rsidR="00677BB9" w:rsidRPr="007F69DA" w:rsidRDefault="00677BB9" w:rsidP="00F46ACB">
            <w:pPr>
              <w:tabs>
                <w:tab w:val="decimal" w:pos="696"/>
              </w:tabs>
              <w:spacing w:before="240" w:after="60"/>
              <w:ind w:left="284" w:right="-851"/>
              <w:rPr>
                <w:lang w:val="en-US"/>
              </w:rPr>
            </w:pPr>
            <w:r w:rsidRPr="007F69DA">
              <w:rPr>
                <w:lang w:val="en-US"/>
              </w:rPr>
              <w:t>0,10</w:t>
            </w:r>
          </w:p>
        </w:tc>
      </w:tr>
    </w:tbl>
    <w:p w14:paraId="21AA1067" w14:textId="77777777" w:rsidR="00677BB9" w:rsidRDefault="00677BB9" w:rsidP="00677BB9">
      <w:pPr>
        <w:pStyle w:val="Quelle"/>
        <w:spacing w:before="240" w:after="60"/>
        <w:ind w:left="284" w:hanging="284"/>
        <w:rPr>
          <w:sz w:val="22"/>
          <w:szCs w:val="22"/>
        </w:rPr>
      </w:pPr>
      <w:r w:rsidRPr="007F69DA">
        <w:rPr>
          <w:sz w:val="22"/>
          <w:szCs w:val="22"/>
          <w:lang w:val="en-US"/>
        </w:rPr>
        <w:t xml:space="preserve">Quelle: University of Michigan (2004), WVS, 3. </w:t>
      </w:r>
      <w:r w:rsidRPr="007F69DA">
        <w:rPr>
          <w:sz w:val="22"/>
          <w:szCs w:val="22"/>
        </w:rPr>
        <w:t>Erhebungswelle; eigene Berechnung.</w:t>
      </w:r>
    </w:p>
    <w:p w14:paraId="6B91B6AF" w14:textId="77777777" w:rsidR="000D74BB" w:rsidRPr="007F69DA" w:rsidRDefault="000D74BB" w:rsidP="00677BB9">
      <w:pPr>
        <w:pStyle w:val="Quelle"/>
        <w:spacing w:before="240" w:after="60"/>
        <w:ind w:left="284" w:hanging="284"/>
        <w:rPr>
          <w:sz w:val="22"/>
          <w:szCs w:val="22"/>
        </w:rPr>
      </w:pPr>
    </w:p>
    <w:p w14:paraId="14440508" w14:textId="5BB0BF1A" w:rsidR="00677BB9" w:rsidRPr="007F69DA" w:rsidRDefault="000D74BB" w:rsidP="00677BB9">
      <w:pPr>
        <w:tabs>
          <w:tab w:val="left" w:pos="9639"/>
          <w:tab w:val="left" w:pos="9781"/>
        </w:tabs>
        <w:spacing w:before="240" w:after="60" w:line="360" w:lineRule="auto"/>
        <w:ind w:rightChars="70" w:right="154"/>
      </w:pPr>
      <w:r>
        <w:t xml:space="preserve">5.2 </w:t>
      </w:r>
      <w:r w:rsidR="00677BB9" w:rsidRPr="007F69DA">
        <w:t>Einfluss der Landeskultur</w:t>
      </w:r>
    </w:p>
    <w:p w14:paraId="1081AD92" w14:textId="77777777" w:rsidR="00677BB9" w:rsidRPr="007F69DA" w:rsidRDefault="00677BB9" w:rsidP="00677BB9">
      <w:pPr>
        <w:pStyle w:val="Punkt"/>
        <w:numPr>
          <w:ilvl w:val="0"/>
          <w:numId w:val="0"/>
        </w:numPr>
        <w:tabs>
          <w:tab w:val="clear" w:pos="170"/>
          <w:tab w:val="left" w:pos="0"/>
        </w:tabs>
        <w:spacing w:before="240" w:after="60" w:line="276" w:lineRule="auto"/>
        <w:ind w:rightChars="70" w:right="154"/>
        <w:rPr>
          <w:sz w:val="22"/>
          <w:szCs w:val="22"/>
        </w:rPr>
      </w:pPr>
      <w:r w:rsidRPr="007F69DA">
        <w:rPr>
          <w:sz w:val="22"/>
          <w:szCs w:val="22"/>
        </w:rPr>
        <w:t>Vertrauen wird offenbar kulturspezifisch definiert: Wie eine pfadanalytische Auswertung der WVS-Daten ergab, gelten in kollektivistischen Ländern sowie in Ländern, die Machtdistanz akzeptieren, sozi-politische Institutionen (Kirche, Presse, Fernsehen) als tendenziell vertrauenswürdig (vgl. Abb. 5). Umgekehrt neigen die Bürger dieser Länder dazu, „ihrer“ Polizei und anderen Institutionen staatlicher Autorität zu misstrauen.</w:t>
      </w:r>
    </w:p>
    <w:p w14:paraId="59EC6D37" w14:textId="77777777" w:rsidR="00677BB9" w:rsidRPr="00BF04C9" w:rsidRDefault="00677BB9" w:rsidP="00677BB9">
      <w:pPr>
        <w:pStyle w:val="Beschriftung"/>
        <w:spacing w:before="240" w:after="60"/>
        <w:ind w:left="284" w:rightChars="921" w:right="2026"/>
        <w:rPr>
          <w:sz w:val="22"/>
          <w:szCs w:val="22"/>
        </w:rPr>
      </w:pPr>
      <w:r w:rsidRPr="00BF04C9">
        <w:rPr>
          <w:sz w:val="22"/>
          <w:szCs w:val="22"/>
        </w:rPr>
        <w:t>Abb. 5: Pfadmodell „Landeskultur &amp; Vertrauen in Institutionen“</w:t>
      </w:r>
    </w:p>
    <w:p w14:paraId="5E26B324" w14:textId="77777777" w:rsidR="00677BB9" w:rsidRPr="007F69DA" w:rsidRDefault="00677BB9" w:rsidP="00677BB9">
      <w:pPr>
        <w:spacing w:before="240" w:after="60"/>
        <w:ind w:left="284" w:rightChars="921" w:right="2026"/>
      </w:pPr>
      <w:r w:rsidRPr="007F69DA">
        <w:rPr>
          <w:noProof/>
          <w:lang w:eastAsia="de-DE"/>
        </w:rPr>
        <w:lastRenderedPageBreak/>
        <w:drawing>
          <wp:inline distT="0" distB="0" distL="0" distR="0" wp14:anchorId="6798E948" wp14:editId="703A6A8F">
            <wp:extent cx="5742477" cy="2771775"/>
            <wp:effectExtent l="0" t="0" r="0" b="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5748453" cy="2774660"/>
                    </a:xfrm>
                    <a:prstGeom prst="rect">
                      <a:avLst/>
                    </a:prstGeom>
                    <a:noFill/>
                  </pic:spPr>
                </pic:pic>
              </a:graphicData>
            </a:graphic>
          </wp:inline>
        </w:drawing>
      </w:r>
    </w:p>
    <w:p w14:paraId="0DB355F5" w14:textId="77777777" w:rsidR="00677BB9" w:rsidRPr="007F69DA" w:rsidRDefault="00677BB9" w:rsidP="00677BB9">
      <w:pPr>
        <w:pStyle w:val="Quelle"/>
        <w:spacing w:before="240" w:after="60"/>
        <w:ind w:left="284" w:rightChars="236" w:right="519" w:firstLine="0"/>
        <w:rPr>
          <w:sz w:val="22"/>
          <w:szCs w:val="22"/>
        </w:rPr>
      </w:pPr>
      <w:r w:rsidRPr="007F69DA">
        <w:rPr>
          <w:sz w:val="22"/>
          <w:szCs w:val="22"/>
          <w:lang w:val="en-US"/>
        </w:rPr>
        <w:t>Quelle:</w:t>
      </w:r>
      <w:r w:rsidRPr="007F69DA">
        <w:rPr>
          <w:sz w:val="22"/>
          <w:szCs w:val="22"/>
          <w:lang w:val="en-US"/>
        </w:rPr>
        <w:tab/>
        <w:t xml:space="preserve"> University of Michigan (2004), WVS, 3. </w:t>
      </w:r>
      <w:r w:rsidRPr="007F69DA">
        <w:rPr>
          <w:sz w:val="22"/>
          <w:szCs w:val="22"/>
        </w:rPr>
        <w:t>Erhebungswelle; eigene Berechnung.</w:t>
      </w:r>
    </w:p>
    <w:p w14:paraId="33F53E5E" w14:textId="77777777" w:rsidR="00677BB9" w:rsidRPr="007F69DA" w:rsidRDefault="00677BB9" w:rsidP="00677BB9">
      <w:pPr>
        <w:pStyle w:val="Punkt"/>
        <w:numPr>
          <w:ilvl w:val="0"/>
          <w:numId w:val="0"/>
        </w:numPr>
        <w:tabs>
          <w:tab w:val="clear" w:pos="170"/>
          <w:tab w:val="left" w:pos="0"/>
        </w:tabs>
        <w:spacing w:before="240" w:after="60" w:line="276" w:lineRule="auto"/>
        <w:ind w:rightChars="70" w:right="154"/>
        <w:rPr>
          <w:sz w:val="22"/>
          <w:szCs w:val="22"/>
        </w:rPr>
      </w:pPr>
      <w:r w:rsidRPr="007F69DA">
        <w:rPr>
          <w:sz w:val="22"/>
          <w:szCs w:val="22"/>
        </w:rPr>
        <w:t xml:space="preserve">Weiterhin hat sich gezeigt, dass in einem individualistischen Land wie den USA Öffentlichkeitsarbeit anders betrieben werden muss als in einem kollektivistischen Land (z.B. Mexiko). </w:t>
      </w:r>
    </w:p>
    <w:p w14:paraId="626675FC" w14:textId="77777777" w:rsidR="00677BB9" w:rsidRPr="007F69DA" w:rsidRDefault="00677BB9" w:rsidP="000D74BB">
      <w:pPr>
        <w:pStyle w:val="Listenabsatz"/>
        <w:widowControl/>
        <w:numPr>
          <w:ilvl w:val="0"/>
          <w:numId w:val="66"/>
        </w:numPr>
        <w:autoSpaceDE/>
        <w:autoSpaceDN/>
        <w:spacing w:before="240" w:after="60"/>
        <w:ind w:left="567" w:rightChars="70" w:right="154"/>
        <w:contextualSpacing/>
      </w:pPr>
      <w:r w:rsidRPr="007F69DA">
        <w:t>Steil/Hillmann (1993, S.459) baten 138 amerikanische, 41 japanische und 44 koreanische Studenten, sich eine Lebenssituation ins Gedächtnis zu rufen, in der sie jemanden beeinflussen wollten. Sodann sollten diese Probanden angeben, ob sie dabei auf Widerstand gestoßen sind und wie sie darauf gegebenenfalls reagiert haben. Während die meisten amerikanischen Studenten meinten, sie hätten ihren Willen auch gegen den Widerstand ihrer Eltern (= 82%) und Freunde (= 94%) durchgesetzt, hatten offenbar deutlich weniger als die Hälfte der japanischen und koreanischen Studenten die Konfrontation gesucht (34-41%).</w:t>
      </w:r>
    </w:p>
    <w:p w14:paraId="0FC93C96" w14:textId="77777777" w:rsidR="00677BB9" w:rsidRPr="007F69DA" w:rsidRDefault="00677BB9" w:rsidP="000D74BB">
      <w:pPr>
        <w:pStyle w:val="Listenabsatz"/>
        <w:spacing w:before="240" w:after="60"/>
        <w:ind w:left="567" w:rightChars="70" w:right="154"/>
      </w:pPr>
    </w:p>
    <w:p w14:paraId="3625F985" w14:textId="77777777" w:rsidR="00677BB9" w:rsidRPr="007F69DA" w:rsidRDefault="00677BB9" w:rsidP="000D74BB">
      <w:pPr>
        <w:pStyle w:val="Listenabsatz"/>
        <w:widowControl/>
        <w:numPr>
          <w:ilvl w:val="0"/>
          <w:numId w:val="66"/>
        </w:numPr>
        <w:autoSpaceDE/>
        <w:autoSpaceDN/>
        <w:spacing w:before="240" w:after="60"/>
        <w:ind w:left="567" w:rightChars="70" w:right="154"/>
        <w:contextualSpacing/>
      </w:pPr>
      <w:r w:rsidRPr="007F69DA">
        <w:t xml:space="preserve">Terpstra-Tong/Ralston (2002, S.391) werteten </w:t>
      </w:r>
      <w:r w:rsidRPr="007F69DA">
        <w:rPr>
          <w:szCs w:val="24"/>
          <w:lang w:bidi="en-US"/>
        </w:rPr>
        <w:sym w:font="Symbol" w:char="F0DE"/>
      </w:r>
      <w:r>
        <w:rPr>
          <w:szCs w:val="24"/>
          <w:lang w:bidi="en-US"/>
        </w:rPr>
        <w:t xml:space="preserve"> </w:t>
      </w:r>
      <w:r w:rsidRPr="007F69DA">
        <w:t>meta</w:t>
      </w:r>
      <w:r>
        <w:t>-</w:t>
      </w:r>
      <w:r w:rsidRPr="007F69DA">
        <w:t>analytisch kulturvergleichende Studien zu den Beeinflussungsstrategien von Managern aus. Ihr Fazit: Angehörige von machtdistanten, kollektivistischen Kulturen (z.B. Hong Kong, Portugal, Mexiko, China) bevorzugen „harte“ Strategien. Sie weisen an und fragen ständig nach oder versichern sich der Unterstützung von hierarchisch Höhergestellten. Vertreter individualistischer Kulturen, die Machtdistanz ablehnen (z.B. USA, Kanada, Niederlande), präferieren hingegen „weiche“ Methoden: Sie warten auf eine günstige Gelegenheit bzw. „machen schön Wetter“ oder bieten im Gegenzug ihre Hilfe in einer anderen Angelegenheit an – d.h. sie verfolgen die Reziprozitätsstrategie.</w:t>
      </w:r>
    </w:p>
    <w:p w14:paraId="69E2318A" w14:textId="77777777" w:rsidR="00677BB9" w:rsidRPr="007F69DA" w:rsidRDefault="00677BB9" w:rsidP="00677BB9">
      <w:pPr>
        <w:pStyle w:val="Listenabsatz"/>
      </w:pPr>
    </w:p>
    <w:p w14:paraId="25936D40" w14:textId="77777777" w:rsidR="00677BB9" w:rsidRPr="007F69DA" w:rsidRDefault="00677BB9" w:rsidP="00677BB9">
      <w:pPr>
        <w:pStyle w:val="Punkt"/>
        <w:numPr>
          <w:ilvl w:val="0"/>
          <w:numId w:val="0"/>
        </w:numPr>
        <w:tabs>
          <w:tab w:val="clear" w:pos="170"/>
          <w:tab w:val="left" w:pos="0"/>
        </w:tabs>
        <w:spacing w:before="240" w:after="60" w:line="276" w:lineRule="auto"/>
        <w:ind w:rightChars="70" w:right="154"/>
        <w:rPr>
          <w:sz w:val="22"/>
          <w:szCs w:val="22"/>
        </w:rPr>
      </w:pPr>
      <w:r w:rsidRPr="007F69DA">
        <w:rPr>
          <w:sz w:val="22"/>
          <w:szCs w:val="22"/>
        </w:rPr>
        <w:t>6.   Rolle der Medien</w:t>
      </w:r>
    </w:p>
    <w:p w14:paraId="23D2FC3B" w14:textId="77777777" w:rsidR="00677BB9" w:rsidRPr="007F69DA" w:rsidRDefault="00677BB9" w:rsidP="00677BB9">
      <w:pPr>
        <w:pStyle w:val="Punkt"/>
        <w:numPr>
          <w:ilvl w:val="0"/>
          <w:numId w:val="0"/>
        </w:numPr>
        <w:tabs>
          <w:tab w:val="clear" w:pos="170"/>
          <w:tab w:val="left" w:pos="0"/>
        </w:tabs>
        <w:spacing w:before="240" w:after="60" w:line="276" w:lineRule="auto"/>
        <w:ind w:rightChars="70" w:right="154"/>
        <w:rPr>
          <w:sz w:val="22"/>
          <w:szCs w:val="22"/>
        </w:rPr>
      </w:pPr>
      <w:r w:rsidRPr="007F69DA">
        <w:rPr>
          <w:sz w:val="22"/>
          <w:szCs w:val="22"/>
        </w:rPr>
        <w:t>Unternehmen, welche mit Hilfe der Medien die öffentliche Meinung in ihrem Sinn beeinflussen möchten, müssen eine Vielzahl von Einflussfaktoren beachten. Wie viele Menschen in dem Zielgebiet können lesen? Bei einer hohen Analphabetenrate ist das Fernsehen der entscheidende Kommunikationskanal. Haben jedoch nur wenige Menschen Zugang zu den elektronischen Medien, kann es sinnvoll sein, Meinungsführer und Multiplikatoren direkt anzusprechen, welche dann das Gehörte bzw. Gesehene per Mund-zu-Mund-Propaganda verbreiten – in Zeiten von Twitter, Facebook etc. immer häufiger in Gestalt von eWoM.</w:t>
      </w:r>
    </w:p>
    <w:p w14:paraId="70231DF3" w14:textId="77777777" w:rsidR="00677BB9" w:rsidRPr="007F69DA" w:rsidRDefault="00677BB9" w:rsidP="00677BB9">
      <w:pPr>
        <w:pStyle w:val="Punkt"/>
        <w:numPr>
          <w:ilvl w:val="0"/>
          <w:numId w:val="0"/>
        </w:numPr>
        <w:tabs>
          <w:tab w:val="clear" w:pos="170"/>
          <w:tab w:val="left" w:pos="0"/>
        </w:tabs>
        <w:spacing w:before="240" w:after="60" w:line="276" w:lineRule="auto"/>
        <w:ind w:rightChars="70" w:right="154"/>
        <w:rPr>
          <w:sz w:val="22"/>
          <w:szCs w:val="22"/>
        </w:rPr>
      </w:pPr>
      <w:r w:rsidRPr="007F69DA">
        <w:rPr>
          <w:sz w:val="22"/>
          <w:szCs w:val="22"/>
        </w:rPr>
        <w:lastRenderedPageBreak/>
        <w:t>Nachdem die Industrieländer vor allem untereinander Handel betreiben, behindert Analphabetentum in ihrem Fall nur selten die grenzüberschreitende Öffentlichkeitsarbeit. Gravierende Unterschiede bestehen allerdings bezüglich Struktur und Verbreitung der Medien. Während in manchen Ländern noch immer zahlreiche kleinere Zeitungen die Menschen mit Nachrichten versorgen, sind in anderen Ländern (z.B. Kanada) Lokalzeitungen nahezu „ausgestorben“. Dort dominieren große, überregionale Blätter. Wenn also z.B. ein Chemiekonzern in Kanada um Akzeptanz eines neuen Standortes werben möchte, dann sind die Bewohner des betroffenen Gebietes mit diesem Medium nur unter Inkaufnahme erheblicher Streuverluste zu erreichen (vgl. Keegan et al. 2002, S.538f.).</w:t>
      </w:r>
    </w:p>
    <w:p w14:paraId="0E40EE2A" w14:textId="77777777" w:rsidR="00677BB9" w:rsidRPr="007F69DA" w:rsidRDefault="00677BB9" w:rsidP="00677BB9">
      <w:pPr>
        <w:pStyle w:val="Glossar"/>
        <w:ind w:right="-851"/>
        <w:rPr>
          <w:sz w:val="22"/>
          <w:szCs w:val="22"/>
        </w:rPr>
      </w:pPr>
    </w:p>
    <w:p w14:paraId="6BFD7089" w14:textId="77777777" w:rsidR="00677BB9" w:rsidRPr="007F69DA" w:rsidRDefault="00677BB9" w:rsidP="00677BB9">
      <w:pPr>
        <w:pStyle w:val="Punkt"/>
        <w:numPr>
          <w:ilvl w:val="0"/>
          <w:numId w:val="0"/>
        </w:numPr>
        <w:tabs>
          <w:tab w:val="clear" w:pos="170"/>
          <w:tab w:val="left" w:pos="0"/>
        </w:tabs>
        <w:spacing w:before="240" w:after="60" w:line="276" w:lineRule="auto"/>
        <w:ind w:rightChars="70" w:right="154"/>
        <w:rPr>
          <w:sz w:val="22"/>
          <w:szCs w:val="22"/>
        </w:rPr>
      </w:pPr>
      <w:r w:rsidRPr="007F69DA">
        <w:rPr>
          <w:sz w:val="22"/>
          <w:szCs w:val="22"/>
        </w:rPr>
        <w:t>Aber auch dann, wenn die sozio-ökonomischen und technischen Voraussetzungen für eine Verbreitung von Unternehmensnachrichten durch Presse und Fernsehen gegeben sind, folgt daraus nicht zwangsläufig, dass ein Unternehmen diese Medien für seine Zwecke nutzen sollte bzw. kann. In zahlreichen Ländern hängen sie von Interessengruppen ab, deren Ziele nicht immer sozialverträglich sind. An Indiens florierender Filmproduktion etwa ist die Mafia maßgeblich beteiligt.</w:t>
      </w:r>
    </w:p>
    <w:p w14:paraId="74D32935" w14:textId="77777777" w:rsidR="00677BB9" w:rsidRPr="007F69DA" w:rsidRDefault="00677BB9" w:rsidP="00677BB9">
      <w:pPr>
        <w:ind w:right="-851"/>
      </w:pPr>
    </w:p>
    <w:p w14:paraId="63E0D6C1" w14:textId="77777777" w:rsidR="00677BB9" w:rsidRPr="007F69DA" w:rsidRDefault="00677BB9" w:rsidP="00677BB9">
      <w:pPr>
        <w:pStyle w:val="Punkt"/>
        <w:numPr>
          <w:ilvl w:val="0"/>
          <w:numId w:val="0"/>
        </w:numPr>
        <w:shd w:val="clear" w:color="auto" w:fill="DEEAF6" w:themeFill="accent1" w:themeFillTint="33"/>
        <w:tabs>
          <w:tab w:val="clear" w:pos="170"/>
          <w:tab w:val="left" w:pos="0"/>
        </w:tabs>
        <w:spacing w:before="240" w:after="60" w:line="276" w:lineRule="auto"/>
        <w:ind w:rightChars="70" w:right="154"/>
        <w:jc w:val="center"/>
        <w:rPr>
          <w:sz w:val="22"/>
          <w:szCs w:val="22"/>
        </w:rPr>
      </w:pPr>
      <w:r w:rsidRPr="007F69DA">
        <w:rPr>
          <w:sz w:val="22"/>
          <w:szCs w:val="22"/>
        </w:rPr>
        <w:t>Mafia zieht die Fäden</w:t>
      </w:r>
    </w:p>
    <w:p w14:paraId="439B97BC" w14:textId="77777777" w:rsidR="00677BB9" w:rsidRPr="007F69DA" w:rsidRDefault="00677BB9" w:rsidP="00677BB9">
      <w:pPr>
        <w:pStyle w:val="Punkt"/>
        <w:numPr>
          <w:ilvl w:val="0"/>
          <w:numId w:val="0"/>
        </w:numPr>
        <w:shd w:val="clear" w:color="auto" w:fill="DEEAF6" w:themeFill="accent1" w:themeFillTint="33"/>
        <w:tabs>
          <w:tab w:val="clear" w:pos="170"/>
          <w:tab w:val="left" w:pos="0"/>
        </w:tabs>
        <w:spacing w:before="240" w:after="60" w:line="276" w:lineRule="auto"/>
        <w:ind w:rightChars="70" w:right="154"/>
        <w:rPr>
          <w:sz w:val="22"/>
          <w:szCs w:val="22"/>
        </w:rPr>
      </w:pPr>
      <w:r w:rsidRPr="007F69DA">
        <w:rPr>
          <w:sz w:val="22"/>
          <w:szCs w:val="22"/>
        </w:rPr>
        <w:t>„Arthur Andersen schätzt die Herstellungskosten für das gesamte indische Filmschaffen 2001 auf eine Milliarde Franken. Um die Kosten zu begleichen, arbeitet die Filmindustrie oft mit der indischen Mafia zusammen. Diese wiederum wäscht so ihr Schwarzgeld aus Drogenhandel, Schmuggel und Prostitution. Einige Produzenten wurden sogar Opfer der Mafia. Wer genau die Drahtzieher waren, weiß niemand mit Sicherheit zu sagen. Bekannt ist nur, dass die Filmproduktion viel Geld kostet und sich niemand um dessen Herkunft kümmert. Keiner kann sagen, ob es von Diamantenhändlern, Immobilienhaien, der Unterwelt oder von Politikern stammt“ (Singh 2002).</w:t>
      </w:r>
    </w:p>
    <w:p w14:paraId="4318D72C" w14:textId="77777777" w:rsidR="00677BB9" w:rsidRPr="007F69DA" w:rsidRDefault="00677BB9" w:rsidP="00677BB9">
      <w:pPr>
        <w:pStyle w:val="Punkt"/>
        <w:numPr>
          <w:ilvl w:val="0"/>
          <w:numId w:val="0"/>
        </w:numPr>
        <w:tabs>
          <w:tab w:val="clear" w:pos="170"/>
          <w:tab w:val="left" w:pos="0"/>
        </w:tabs>
        <w:spacing w:before="240" w:after="60" w:line="276" w:lineRule="auto"/>
        <w:ind w:rightChars="70" w:right="154"/>
        <w:rPr>
          <w:sz w:val="22"/>
          <w:szCs w:val="22"/>
        </w:rPr>
      </w:pPr>
    </w:p>
    <w:p w14:paraId="2B037E97" w14:textId="77777777" w:rsidR="00677BB9" w:rsidRPr="007F69DA" w:rsidRDefault="00677BB9" w:rsidP="00677BB9">
      <w:pPr>
        <w:pStyle w:val="Punkt"/>
        <w:numPr>
          <w:ilvl w:val="0"/>
          <w:numId w:val="0"/>
        </w:numPr>
        <w:tabs>
          <w:tab w:val="clear" w:pos="170"/>
          <w:tab w:val="left" w:pos="0"/>
        </w:tabs>
        <w:spacing w:before="240" w:after="60" w:line="276" w:lineRule="auto"/>
        <w:ind w:rightChars="70" w:right="154"/>
        <w:rPr>
          <w:sz w:val="22"/>
          <w:szCs w:val="22"/>
        </w:rPr>
      </w:pPr>
      <w:r w:rsidRPr="007F69DA">
        <w:rPr>
          <w:sz w:val="22"/>
          <w:szCs w:val="22"/>
        </w:rPr>
        <w:t>Vom Ausmaß an Pressefreiheit, das in einem Land herrscht, hängt es u.a. ab, welche Sachverhalte wie in den Medien dargestellt werden können. In Russland bspw. müssen Journalisten kritische Berichterstattung bisweilen noch immer teuer bezahlen: mit ihrer Freiheit, Gesundheit und manche gar mit ihrem Leben. Wie Recherchen von Reporter ohne Grenzen e.V. zeigen, wurden in diesem Land seit 2/2003 insgesamt 22 Journalisten ermordet. Deshalb und aus anderen Gründen nimmt Russland den 148. Platz auf der Rangliste der Pressefreiheit ein. Am wenigsten werden demnach Journalisten in Finnland behindert und am meisten in Eritrea (vgl. Tab. 5).</w:t>
      </w:r>
    </w:p>
    <w:p w14:paraId="401C24E5" w14:textId="77777777" w:rsidR="00677BB9" w:rsidRPr="007F69DA" w:rsidRDefault="00677BB9" w:rsidP="00677BB9">
      <w:pPr>
        <w:ind w:right="-851"/>
      </w:pPr>
    </w:p>
    <w:p w14:paraId="12C04E52" w14:textId="77777777" w:rsidR="00677BB9" w:rsidRPr="00BF04C9" w:rsidRDefault="00677BB9" w:rsidP="00677BB9">
      <w:pPr>
        <w:spacing w:before="240" w:after="60"/>
        <w:ind w:left="284" w:rightChars="921" w:right="2026"/>
        <w:jc w:val="center"/>
        <w:rPr>
          <w:i/>
        </w:rPr>
      </w:pPr>
      <w:r w:rsidRPr="00BF04C9">
        <w:rPr>
          <w:i/>
        </w:rPr>
        <w:t>Tab. 5: Rangliste der Pressefreiheit 2014 (Auswahl)</w:t>
      </w:r>
    </w:p>
    <w:tbl>
      <w:tblPr>
        <w:tblW w:w="991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7"/>
        <w:gridCol w:w="2331"/>
        <w:gridCol w:w="362"/>
        <w:gridCol w:w="2069"/>
        <w:gridCol w:w="362"/>
        <w:gridCol w:w="2763"/>
        <w:gridCol w:w="362"/>
      </w:tblGrid>
      <w:tr w:rsidR="00677BB9" w:rsidRPr="007F69DA" w14:paraId="66D3EA37" w14:textId="77777777" w:rsidTr="000D74BB">
        <w:trPr>
          <w:gridAfter w:val="1"/>
          <w:wAfter w:w="362" w:type="dxa"/>
        </w:trPr>
        <w:tc>
          <w:tcPr>
            <w:tcW w:w="1667" w:type="dxa"/>
            <w:tcBorders>
              <w:right w:val="nil"/>
            </w:tcBorders>
          </w:tcPr>
          <w:p w14:paraId="76894D31" w14:textId="77777777" w:rsidR="00677BB9" w:rsidRPr="007F69DA" w:rsidRDefault="00677BB9" w:rsidP="00F46ACB">
            <w:pPr>
              <w:spacing w:before="240" w:after="60"/>
              <w:ind w:rightChars="921" w:right="2026"/>
            </w:pPr>
            <w:r w:rsidRPr="007F69DA">
              <w:t>1</w:t>
            </w:r>
          </w:p>
        </w:tc>
        <w:tc>
          <w:tcPr>
            <w:tcW w:w="2331" w:type="dxa"/>
            <w:tcBorders>
              <w:left w:val="nil"/>
            </w:tcBorders>
          </w:tcPr>
          <w:p w14:paraId="0C6353DB" w14:textId="77777777" w:rsidR="00677BB9" w:rsidRPr="007F69DA" w:rsidRDefault="00677BB9" w:rsidP="00F46ACB">
            <w:pPr>
              <w:spacing w:before="240" w:after="60"/>
              <w:ind w:left="-1161" w:rightChars="270" w:right="594" w:firstLine="1161"/>
            </w:pPr>
            <w:r w:rsidRPr="007F69DA">
              <w:t>Finnland</w:t>
            </w:r>
          </w:p>
        </w:tc>
        <w:tc>
          <w:tcPr>
            <w:tcW w:w="2431" w:type="dxa"/>
            <w:gridSpan w:val="2"/>
            <w:tcBorders>
              <w:right w:val="nil"/>
            </w:tcBorders>
          </w:tcPr>
          <w:p w14:paraId="5994A032" w14:textId="77777777" w:rsidR="00677BB9" w:rsidRPr="007F69DA" w:rsidRDefault="00677BB9" w:rsidP="00F46ACB">
            <w:pPr>
              <w:spacing w:before="240" w:after="60"/>
              <w:ind w:rightChars="921" w:right="2026"/>
            </w:pPr>
            <w:r w:rsidRPr="007F69DA">
              <w:t>164</w:t>
            </w:r>
          </w:p>
        </w:tc>
        <w:tc>
          <w:tcPr>
            <w:tcW w:w="3125" w:type="dxa"/>
            <w:gridSpan w:val="2"/>
            <w:tcBorders>
              <w:left w:val="nil"/>
            </w:tcBorders>
          </w:tcPr>
          <w:p w14:paraId="35D27B60" w14:textId="77777777" w:rsidR="00677BB9" w:rsidRPr="007F69DA" w:rsidRDefault="00677BB9" w:rsidP="00F46ACB">
            <w:pPr>
              <w:spacing w:before="240" w:after="60"/>
              <w:ind w:rightChars="283" w:right="623"/>
            </w:pPr>
            <w:r w:rsidRPr="007F69DA">
              <w:t>Saudi-Arabien</w:t>
            </w:r>
          </w:p>
        </w:tc>
      </w:tr>
      <w:tr w:rsidR="00677BB9" w:rsidRPr="007F69DA" w14:paraId="2452C130" w14:textId="77777777" w:rsidTr="000D74BB">
        <w:trPr>
          <w:gridAfter w:val="1"/>
          <w:wAfter w:w="362" w:type="dxa"/>
        </w:trPr>
        <w:tc>
          <w:tcPr>
            <w:tcW w:w="1667" w:type="dxa"/>
            <w:tcBorders>
              <w:right w:val="nil"/>
            </w:tcBorders>
          </w:tcPr>
          <w:p w14:paraId="6ACD1FBD" w14:textId="77777777" w:rsidR="00677BB9" w:rsidRPr="007F69DA" w:rsidRDefault="00677BB9" w:rsidP="00F46ACB">
            <w:pPr>
              <w:spacing w:before="240" w:after="60"/>
              <w:ind w:rightChars="921" w:right="2026"/>
            </w:pPr>
            <w:r w:rsidRPr="007F69DA">
              <w:t>2</w:t>
            </w:r>
          </w:p>
        </w:tc>
        <w:tc>
          <w:tcPr>
            <w:tcW w:w="2331" w:type="dxa"/>
            <w:tcBorders>
              <w:left w:val="nil"/>
            </w:tcBorders>
          </w:tcPr>
          <w:p w14:paraId="5A4774BE" w14:textId="77777777" w:rsidR="00677BB9" w:rsidRPr="007F69DA" w:rsidRDefault="00677BB9" w:rsidP="00F46ACB">
            <w:pPr>
              <w:spacing w:before="240" w:after="60"/>
              <w:ind w:left="-1161" w:rightChars="51" w:right="112" w:firstLine="1161"/>
            </w:pPr>
            <w:r w:rsidRPr="007F69DA">
              <w:t>Niederlande</w:t>
            </w:r>
          </w:p>
        </w:tc>
        <w:tc>
          <w:tcPr>
            <w:tcW w:w="2431" w:type="dxa"/>
            <w:gridSpan w:val="2"/>
            <w:tcBorders>
              <w:right w:val="nil"/>
            </w:tcBorders>
          </w:tcPr>
          <w:p w14:paraId="02568A33" w14:textId="77777777" w:rsidR="00677BB9" w:rsidRPr="007F69DA" w:rsidRDefault="00677BB9" w:rsidP="00F46ACB">
            <w:pPr>
              <w:spacing w:before="240" w:after="60"/>
              <w:ind w:rightChars="921" w:right="2026"/>
            </w:pPr>
            <w:r w:rsidRPr="007F69DA">
              <w:t>165</w:t>
            </w:r>
          </w:p>
        </w:tc>
        <w:tc>
          <w:tcPr>
            <w:tcW w:w="3125" w:type="dxa"/>
            <w:gridSpan w:val="2"/>
            <w:tcBorders>
              <w:left w:val="nil"/>
            </w:tcBorders>
          </w:tcPr>
          <w:p w14:paraId="4D006C97" w14:textId="77777777" w:rsidR="00677BB9" w:rsidRPr="007F69DA" w:rsidRDefault="00677BB9" w:rsidP="00F46ACB">
            <w:pPr>
              <w:spacing w:before="240" w:after="60"/>
              <w:ind w:rightChars="921" w:right="2026"/>
            </w:pPr>
            <w:r w:rsidRPr="007F69DA">
              <w:t>Sri Lanka</w:t>
            </w:r>
          </w:p>
        </w:tc>
      </w:tr>
      <w:tr w:rsidR="00677BB9" w:rsidRPr="007F69DA" w14:paraId="25E4ACFB" w14:textId="77777777" w:rsidTr="000D74BB">
        <w:trPr>
          <w:gridAfter w:val="1"/>
          <w:wAfter w:w="362" w:type="dxa"/>
        </w:trPr>
        <w:tc>
          <w:tcPr>
            <w:tcW w:w="1667" w:type="dxa"/>
            <w:tcBorders>
              <w:right w:val="nil"/>
            </w:tcBorders>
          </w:tcPr>
          <w:p w14:paraId="15CA213C" w14:textId="77777777" w:rsidR="00677BB9" w:rsidRPr="007F69DA" w:rsidRDefault="00677BB9" w:rsidP="00F46ACB">
            <w:pPr>
              <w:spacing w:before="240" w:after="60"/>
              <w:ind w:rightChars="921" w:right="2026"/>
            </w:pPr>
            <w:r w:rsidRPr="007F69DA">
              <w:t>3</w:t>
            </w:r>
          </w:p>
        </w:tc>
        <w:tc>
          <w:tcPr>
            <w:tcW w:w="2331" w:type="dxa"/>
            <w:tcBorders>
              <w:left w:val="nil"/>
            </w:tcBorders>
          </w:tcPr>
          <w:p w14:paraId="0669C9A0" w14:textId="77777777" w:rsidR="00677BB9" w:rsidRPr="007F69DA" w:rsidRDefault="00677BB9" w:rsidP="00F46ACB">
            <w:pPr>
              <w:tabs>
                <w:tab w:val="left" w:pos="1675"/>
              </w:tabs>
              <w:spacing w:before="240" w:after="60"/>
              <w:ind w:left="-1161" w:rightChars="403" w:right="887" w:firstLine="1161"/>
            </w:pPr>
            <w:r w:rsidRPr="007F69DA">
              <w:t>Norwegen</w:t>
            </w:r>
          </w:p>
        </w:tc>
        <w:tc>
          <w:tcPr>
            <w:tcW w:w="2431" w:type="dxa"/>
            <w:gridSpan w:val="2"/>
            <w:tcBorders>
              <w:right w:val="nil"/>
            </w:tcBorders>
          </w:tcPr>
          <w:p w14:paraId="2368B5E6" w14:textId="77777777" w:rsidR="00677BB9" w:rsidRPr="007F69DA" w:rsidRDefault="00677BB9" w:rsidP="00F46ACB">
            <w:pPr>
              <w:spacing w:before="240" w:after="60"/>
              <w:ind w:rightChars="921" w:right="2026"/>
            </w:pPr>
            <w:r w:rsidRPr="007F69DA">
              <w:t>16</w:t>
            </w:r>
            <w:r w:rsidRPr="007F69DA">
              <w:lastRenderedPageBreak/>
              <w:t>6</w:t>
            </w:r>
          </w:p>
        </w:tc>
        <w:tc>
          <w:tcPr>
            <w:tcW w:w="3125" w:type="dxa"/>
            <w:gridSpan w:val="2"/>
            <w:tcBorders>
              <w:left w:val="nil"/>
            </w:tcBorders>
          </w:tcPr>
          <w:p w14:paraId="031709EE" w14:textId="77777777" w:rsidR="00677BB9" w:rsidRPr="007F69DA" w:rsidRDefault="00677BB9" w:rsidP="00F46ACB">
            <w:pPr>
              <w:spacing w:before="240" w:after="60"/>
              <w:ind w:rightChars="921" w:right="2026"/>
            </w:pPr>
            <w:r w:rsidRPr="007F69DA">
              <w:lastRenderedPageBreak/>
              <w:t>Usbekistan</w:t>
            </w:r>
          </w:p>
        </w:tc>
      </w:tr>
      <w:tr w:rsidR="00677BB9" w:rsidRPr="007F69DA" w14:paraId="62DA40E7" w14:textId="77777777" w:rsidTr="00F46ACB">
        <w:tc>
          <w:tcPr>
            <w:tcW w:w="1667" w:type="dxa"/>
            <w:tcBorders>
              <w:right w:val="nil"/>
            </w:tcBorders>
          </w:tcPr>
          <w:p w14:paraId="50CCD188" w14:textId="77777777" w:rsidR="00677BB9" w:rsidRPr="007F69DA" w:rsidRDefault="00677BB9" w:rsidP="00F46ACB">
            <w:pPr>
              <w:spacing w:before="240" w:after="60"/>
              <w:ind w:rightChars="921" w:right="2026"/>
            </w:pPr>
            <w:r w:rsidRPr="007F69DA">
              <w:t>4</w:t>
            </w:r>
          </w:p>
        </w:tc>
        <w:tc>
          <w:tcPr>
            <w:tcW w:w="2693" w:type="dxa"/>
            <w:gridSpan w:val="2"/>
            <w:tcBorders>
              <w:left w:val="nil"/>
            </w:tcBorders>
          </w:tcPr>
          <w:p w14:paraId="5C8F2FA9" w14:textId="77777777" w:rsidR="00677BB9" w:rsidRPr="007F69DA" w:rsidRDefault="00677BB9" w:rsidP="00F46ACB">
            <w:pPr>
              <w:spacing w:before="240" w:after="60"/>
              <w:ind w:left="-1161" w:rightChars="185" w:right="407" w:firstLine="1161"/>
            </w:pPr>
            <w:r w:rsidRPr="007F69DA">
              <w:t>Luxemburg</w:t>
            </w:r>
          </w:p>
        </w:tc>
        <w:tc>
          <w:tcPr>
            <w:tcW w:w="2431" w:type="dxa"/>
            <w:gridSpan w:val="2"/>
            <w:tcBorders>
              <w:right w:val="nil"/>
            </w:tcBorders>
          </w:tcPr>
          <w:p w14:paraId="7C245DC0" w14:textId="77777777" w:rsidR="00677BB9" w:rsidRPr="007F69DA" w:rsidRDefault="00677BB9" w:rsidP="00F46ACB">
            <w:pPr>
              <w:spacing w:before="240" w:after="60"/>
              <w:ind w:rightChars="921" w:right="2026"/>
            </w:pPr>
            <w:r w:rsidRPr="007F69DA">
              <w:t>167</w:t>
            </w:r>
          </w:p>
        </w:tc>
        <w:tc>
          <w:tcPr>
            <w:tcW w:w="3125" w:type="dxa"/>
            <w:gridSpan w:val="2"/>
            <w:tcBorders>
              <w:left w:val="nil"/>
            </w:tcBorders>
          </w:tcPr>
          <w:p w14:paraId="1A2D9C84" w14:textId="77777777" w:rsidR="00677BB9" w:rsidRPr="007F69DA" w:rsidRDefault="00677BB9" w:rsidP="00F46ACB">
            <w:pPr>
              <w:spacing w:before="240" w:after="60"/>
              <w:ind w:rightChars="243" w:right="535"/>
            </w:pPr>
            <w:r w:rsidRPr="007F69DA">
              <w:t>Jemen</w:t>
            </w:r>
          </w:p>
        </w:tc>
      </w:tr>
      <w:tr w:rsidR="00677BB9" w:rsidRPr="007F69DA" w14:paraId="78DC1A07" w14:textId="77777777" w:rsidTr="00F46ACB">
        <w:tc>
          <w:tcPr>
            <w:tcW w:w="1667" w:type="dxa"/>
            <w:tcBorders>
              <w:right w:val="nil"/>
            </w:tcBorders>
          </w:tcPr>
          <w:p w14:paraId="69F8CCA9" w14:textId="77777777" w:rsidR="00677BB9" w:rsidRPr="007F69DA" w:rsidRDefault="00677BB9" w:rsidP="00F46ACB">
            <w:pPr>
              <w:spacing w:before="240" w:after="60"/>
              <w:ind w:rightChars="921" w:right="2026"/>
            </w:pPr>
            <w:r w:rsidRPr="007F69DA">
              <w:t>5</w:t>
            </w:r>
          </w:p>
        </w:tc>
        <w:tc>
          <w:tcPr>
            <w:tcW w:w="2693" w:type="dxa"/>
            <w:gridSpan w:val="2"/>
            <w:tcBorders>
              <w:left w:val="nil"/>
            </w:tcBorders>
          </w:tcPr>
          <w:p w14:paraId="08D05B12" w14:textId="77777777" w:rsidR="00677BB9" w:rsidRPr="007F69DA" w:rsidRDefault="00677BB9" w:rsidP="00F46ACB">
            <w:pPr>
              <w:spacing w:before="240" w:after="60"/>
              <w:ind w:left="-1161" w:rightChars="613" w:right="1349" w:firstLine="1161"/>
            </w:pPr>
            <w:r w:rsidRPr="007F69DA">
              <w:t>Andorra</w:t>
            </w:r>
          </w:p>
        </w:tc>
        <w:tc>
          <w:tcPr>
            <w:tcW w:w="2431" w:type="dxa"/>
            <w:gridSpan w:val="2"/>
            <w:tcBorders>
              <w:right w:val="nil"/>
            </w:tcBorders>
          </w:tcPr>
          <w:p w14:paraId="3C4275B1" w14:textId="77777777" w:rsidR="00677BB9" w:rsidRPr="007F69DA" w:rsidRDefault="00677BB9" w:rsidP="00F46ACB">
            <w:pPr>
              <w:spacing w:before="240" w:after="60"/>
              <w:ind w:rightChars="921" w:right="2026"/>
            </w:pPr>
            <w:r w:rsidRPr="007F69DA">
              <w:t>168</w:t>
            </w:r>
          </w:p>
        </w:tc>
        <w:tc>
          <w:tcPr>
            <w:tcW w:w="3125" w:type="dxa"/>
            <w:gridSpan w:val="2"/>
            <w:tcBorders>
              <w:left w:val="nil"/>
            </w:tcBorders>
          </w:tcPr>
          <w:p w14:paraId="5CA9CAF6" w14:textId="77777777" w:rsidR="00677BB9" w:rsidRPr="007F69DA" w:rsidRDefault="00677BB9" w:rsidP="00F46ACB">
            <w:pPr>
              <w:spacing w:before="240" w:after="60"/>
              <w:ind w:rightChars="921" w:right="2026"/>
            </w:pPr>
            <w:r w:rsidRPr="007F69DA">
              <w:t>Äquatorialguinea</w:t>
            </w:r>
          </w:p>
        </w:tc>
      </w:tr>
      <w:tr w:rsidR="00677BB9" w:rsidRPr="007F69DA" w14:paraId="1A59673F" w14:textId="77777777" w:rsidTr="00F46ACB">
        <w:tc>
          <w:tcPr>
            <w:tcW w:w="1667" w:type="dxa"/>
            <w:tcBorders>
              <w:right w:val="nil"/>
            </w:tcBorders>
          </w:tcPr>
          <w:p w14:paraId="2EDF7681" w14:textId="77777777" w:rsidR="00677BB9" w:rsidRPr="007F69DA" w:rsidRDefault="00677BB9" w:rsidP="00F46ACB">
            <w:pPr>
              <w:spacing w:before="240" w:after="60"/>
              <w:ind w:rightChars="921" w:right="2026"/>
            </w:pPr>
            <w:r w:rsidRPr="007F69DA">
              <w:t>6</w:t>
            </w:r>
          </w:p>
        </w:tc>
        <w:tc>
          <w:tcPr>
            <w:tcW w:w="2693" w:type="dxa"/>
            <w:gridSpan w:val="2"/>
            <w:tcBorders>
              <w:left w:val="nil"/>
            </w:tcBorders>
          </w:tcPr>
          <w:p w14:paraId="4DD2055C" w14:textId="77777777" w:rsidR="00677BB9" w:rsidRPr="007F69DA" w:rsidRDefault="00677BB9" w:rsidP="00F46ACB">
            <w:pPr>
              <w:spacing w:before="240" w:after="60"/>
              <w:ind w:left="-1161" w:rightChars="513" w:right="1129" w:firstLine="1161"/>
            </w:pPr>
            <w:r w:rsidRPr="007F69DA">
              <w:t>Liechtenstein</w:t>
            </w:r>
          </w:p>
        </w:tc>
        <w:tc>
          <w:tcPr>
            <w:tcW w:w="2431" w:type="dxa"/>
            <w:gridSpan w:val="2"/>
            <w:tcBorders>
              <w:right w:val="nil"/>
            </w:tcBorders>
          </w:tcPr>
          <w:p w14:paraId="0D2473BD" w14:textId="77777777" w:rsidR="00677BB9" w:rsidRPr="007F69DA" w:rsidRDefault="00677BB9" w:rsidP="00F46ACB">
            <w:pPr>
              <w:spacing w:before="240" w:after="60"/>
              <w:ind w:rightChars="921" w:right="2026"/>
            </w:pPr>
            <w:r w:rsidRPr="007F69DA">
              <w:t>169</w:t>
            </w:r>
          </w:p>
        </w:tc>
        <w:tc>
          <w:tcPr>
            <w:tcW w:w="3125" w:type="dxa"/>
            <w:gridSpan w:val="2"/>
            <w:tcBorders>
              <w:left w:val="nil"/>
            </w:tcBorders>
          </w:tcPr>
          <w:p w14:paraId="4A78E0EB" w14:textId="77777777" w:rsidR="00677BB9" w:rsidRPr="007F69DA" w:rsidRDefault="00677BB9" w:rsidP="00F46ACB">
            <w:pPr>
              <w:spacing w:before="240" w:after="60"/>
              <w:ind w:rightChars="921" w:right="2026"/>
            </w:pPr>
            <w:r w:rsidRPr="007F69DA">
              <w:t xml:space="preserve">Dschibuti </w:t>
            </w:r>
          </w:p>
        </w:tc>
      </w:tr>
      <w:tr w:rsidR="00677BB9" w:rsidRPr="007F69DA" w14:paraId="7CE0A970" w14:textId="77777777" w:rsidTr="00F46ACB">
        <w:tc>
          <w:tcPr>
            <w:tcW w:w="1667" w:type="dxa"/>
            <w:tcBorders>
              <w:right w:val="nil"/>
            </w:tcBorders>
          </w:tcPr>
          <w:p w14:paraId="72DAA77D" w14:textId="77777777" w:rsidR="00677BB9" w:rsidRPr="007F69DA" w:rsidRDefault="00677BB9" w:rsidP="00F46ACB">
            <w:pPr>
              <w:spacing w:before="240" w:after="60"/>
              <w:ind w:rightChars="921" w:right="2026"/>
            </w:pPr>
            <w:r w:rsidRPr="007F69DA">
              <w:t>7</w:t>
            </w:r>
          </w:p>
        </w:tc>
        <w:tc>
          <w:tcPr>
            <w:tcW w:w="2693" w:type="dxa"/>
            <w:gridSpan w:val="2"/>
            <w:tcBorders>
              <w:left w:val="nil"/>
            </w:tcBorders>
          </w:tcPr>
          <w:p w14:paraId="49584AD0" w14:textId="77777777" w:rsidR="00677BB9" w:rsidRPr="007F69DA" w:rsidRDefault="00677BB9" w:rsidP="00F46ACB">
            <w:pPr>
              <w:spacing w:before="240" w:after="60"/>
              <w:ind w:left="-1161" w:rightChars="300" w:right="660" w:firstLine="1161"/>
            </w:pPr>
            <w:r w:rsidRPr="007F69DA">
              <w:t>Dänemark</w:t>
            </w:r>
          </w:p>
        </w:tc>
        <w:tc>
          <w:tcPr>
            <w:tcW w:w="2431" w:type="dxa"/>
            <w:gridSpan w:val="2"/>
            <w:tcBorders>
              <w:right w:val="nil"/>
            </w:tcBorders>
          </w:tcPr>
          <w:p w14:paraId="5B3AF6B0" w14:textId="77777777" w:rsidR="00677BB9" w:rsidRPr="007F69DA" w:rsidRDefault="00677BB9" w:rsidP="00F46ACB">
            <w:pPr>
              <w:spacing w:before="240" w:after="60"/>
              <w:ind w:rightChars="921" w:right="2026"/>
            </w:pPr>
            <w:r w:rsidRPr="007F69DA">
              <w:t>170</w:t>
            </w:r>
          </w:p>
        </w:tc>
        <w:tc>
          <w:tcPr>
            <w:tcW w:w="3125" w:type="dxa"/>
            <w:gridSpan w:val="2"/>
            <w:tcBorders>
              <w:left w:val="nil"/>
            </w:tcBorders>
          </w:tcPr>
          <w:p w14:paraId="001691B6" w14:textId="77777777" w:rsidR="00677BB9" w:rsidRPr="007F69DA" w:rsidRDefault="00677BB9" w:rsidP="00F46ACB">
            <w:pPr>
              <w:spacing w:before="240" w:after="60"/>
              <w:ind w:rightChars="921" w:right="2026"/>
            </w:pPr>
            <w:r w:rsidRPr="007F69DA">
              <w:t>Kuba</w:t>
            </w:r>
          </w:p>
        </w:tc>
      </w:tr>
      <w:tr w:rsidR="00677BB9" w:rsidRPr="007F69DA" w14:paraId="6505637A" w14:textId="77777777" w:rsidTr="00F46ACB">
        <w:tc>
          <w:tcPr>
            <w:tcW w:w="1667" w:type="dxa"/>
            <w:tcBorders>
              <w:right w:val="nil"/>
            </w:tcBorders>
          </w:tcPr>
          <w:p w14:paraId="51D121FA" w14:textId="77777777" w:rsidR="00677BB9" w:rsidRPr="007F69DA" w:rsidRDefault="00677BB9" w:rsidP="00F46ACB">
            <w:pPr>
              <w:spacing w:before="240" w:after="60"/>
              <w:ind w:rightChars="921" w:right="2026"/>
            </w:pPr>
            <w:r w:rsidRPr="007F69DA">
              <w:t>8</w:t>
            </w:r>
          </w:p>
        </w:tc>
        <w:tc>
          <w:tcPr>
            <w:tcW w:w="2693" w:type="dxa"/>
            <w:gridSpan w:val="2"/>
            <w:tcBorders>
              <w:left w:val="nil"/>
            </w:tcBorders>
          </w:tcPr>
          <w:p w14:paraId="5F1157D9" w14:textId="77777777" w:rsidR="00677BB9" w:rsidRPr="007F69DA" w:rsidRDefault="00677BB9" w:rsidP="00F46ACB">
            <w:pPr>
              <w:spacing w:before="240" w:after="60"/>
              <w:ind w:left="-1161" w:rightChars="442" w:right="972" w:firstLine="1161"/>
            </w:pPr>
            <w:r w:rsidRPr="007F69DA">
              <w:t>Island</w:t>
            </w:r>
          </w:p>
        </w:tc>
        <w:tc>
          <w:tcPr>
            <w:tcW w:w="2431" w:type="dxa"/>
            <w:gridSpan w:val="2"/>
            <w:tcBorders>
              <w:right w:val="nil"/>
            </w:tcBorders>
          </w:tcPr>
          <w:p w14:paraId="37640C7B" w14:textId="77777777" w:rsidR="00677BB9" w:rsidRPr="007F69DA" w:rsidRDefault="00677BB9" w:rsidP="00F46ACB">
            <w:pPr>
              <w:spacing w:before="240" w:after="60"/>
              <w:ind w:rightChars="921" w:right="2026"/>
            </w:pPr>
            <w:r w:rsidRPr="007F69DA">
              <w:t>171</w:t>
            </w:r>
          </w:p>
        </w:tc>
        <w:tc>
          <w:tcPr>
            <w:tcW w:w="3125" w:type="dxa"/>
            <w:gridSpan w:val="2"/>
            <w:tcBorders>
              <w:left w:val="nil"/>
            </w:tcBorders>
          </w:tcPr>
          <w:p w14:paraId="143F8CB3" w14:textId="77777777" w:rsidR="00677BB9" w:rsidRPr="007F69DA" w:rsidRDefault="00677BB9" w:rsidP="00F46ACB">
            <w:pPr>
              <w:spacing w:before="240" w:after="60"/>
              <w:ind w:rightChars="921" w:right="2026"/>
            </w:pPr>
            <w:r w:rsidRPr="007F69DA">
              <w:t>Laos</w:t>
            </w:r>
          </w:p>
        </w:tc>
      </w:tr>
      <w:tr w:rsidR="00677BB9" w:rsidRPr="007F69DA" w14:paraId="398E4837" w14:textId="77777777" w:rsidTr="00F46ACB">
        <w:tc>
          <w:tcPr>
            <w:tcW w:w="1667" w:type="dxa"/>
            <w:tcBorders>
              <w:right w:val="nil"/>
            </w:tcBorders>
          </w:tcPr>
          <w:p w14:paraId="1AC61EDB" w14:textId="77777777" w:rsidR="00677BB9" w:rsidRPr="007F69DA" w:rsidRDefault="00677BB9" w:rsidP="00F46ACB">
            <w:pPr>
              <w:spacing w:before="240" w:after="60"/>
              <w:ind w:rightChars="921" w:right="2026"/>
            </w:pPr>
            <w:r w:rsidRPr="007F69DA">
              <w:t>9</w:t>
            </w:r>
          </w:p>
        </w:tc>
        <w:tc>
          <w:tcPr>
            <w:tcW w:w="2693" w:type="dxa"/>
            <w:gridSpan w:val="2"/>
            <w:tcBorders>
              <w:left w:val="nil"/>
            </w:tcBorders>
          </w:tcPr>
          <w:p w14:paraId="3D9A81BD" w14:textId="77777777" w:rsidR="00677BB9" w:rsidRPr="007F69DA" w:rsidRDefault="00677BB9" w:rsidP="00F46ACB">
            <w:pPr>
              <w:spacing w:before="240" w:after="60"/>
              <w:ind w:left="-1161" w:rightChars="354" w:right="779" w:firstLine="1161"/>
            </w:pPr>
            <w:r w:rsidRPr="007F69DA">
              <w:t>Neuseeland</w:t>
            </w:r>
          </w:p>
        </w:tc>
        <w:tc>
          <w:tcPr>
            <w:tcW w:w="2431" w:type="dxa"/>
            <w:gridSpan w:val="2"/>
            <w:tcBorders>
              <w:right w:val="nil"/>
            </w:tcBorders>
          </w:tcPr>
          <w:p w14:paraId="6B7002C1" w14:textId="77777777" w:rsidR="00677BB9" w:rsidRPr="007F69DA" w:rsidRDefault="00677BB9" w:rsidP="00F46ACB">
            <w:pPr>
              <w:spacing w:before="240" w:after="60"/>
              <w:ind w:rightChars="921" w:right="2026"/>
            </w:pPr>
            <w:r w:rsidRPr="007F69DA">
              <w:t>172</w:t>
            </w:r>
          </w:p>
        </w:tc>
        <w:tc>
          <w:tcPr>
            <w:tcW w:w="3125" w:type="dxa"/>
            <w:gridSpan w:val="2"/>
            <w:tcBorders>
              <w:left w:val="nil"/>
            </w:tcBorders>
          </w:tcPr>
          <w:p w14:paraId="432690D0" w14:textId="77777777" w:rsidR="00677BB9" w:rsidRPr="007F69DA" w:rsidRDefault="00677BB9" w:rsidP="00F46ACB">
            <w:pPr>
              <w:spacing w:before="240" w:after="60"/>
              <w:ind w:rightChars="921" w:right="2026"/>
            </w:pPr>
            <w:r w:rsidRPr="007F69DA">
              <w:t>Sudan</w:t>
            </w:r>
          </w:p>
        </w:tc>
      </w:tr>
      <w:tr w:rsidR="00677BB9" w:rsidRPr="007F69DA" w14:paraId="198CA9D4" w14:textId="77777777" w:rsidTr="00F46ACB">
        <w:tc>
          <w:tcPr>
            <w:tcW w:w="1667" w:type="dxa"/>
            <w:tcBorders>
              <w:right w:val="nil"/>
            </w:tcBorders>
          </w:tcPr>
          <w:p w14:paraId="227538DA" w14:textId="77777777" w:rsidR="00677BB9" w:rsidRPr="007F69DA" w:rsidRDefault="00677BB9" w:rsidP="00F46ACB">
            <w:pPr>
              <w:spacing w:before="240" w:after="60"/>
              <w:ind w:rightChars="921" w:right="2026"/>
            </w:pPr>
            <w:r w:rsidRPr="007F69DA">
              <w:t>10</w:t>
            </w:r>
          </w:p>
        </w:tc>
        <w:tc>
          <w:tcPr>
            <w:tcW w:w="2693" w:type="dxa"/>
            <w:gridSpan w:val="2"/>
            <w:tcBorders>
              <w:left w:val="nil"/>
            </w:tcBorders>
          </w:tcPr>
          <w:p w14:paraId="0612D8FE" w14:textId="77777777" w:rsidR="00677BB9" w:rsidRPr="007F69DA" w:rsidRDefault="00677BB9" w:rsidP="00F46ACB">
            <w:pPr>
              <w:spacing w:before="240" w:after="60"/>
              <w:ind w:left="-499" w:rightChars="637" w:right="1401" w:firstLine="499"/>
            </w:pPr>
            <w:r w:rsidRPr="007F69DA">
              <w:t>Schweden</w:t>
            </w:r>
          </w:p>
        </w:tc>
        <w:tc>
          <w:tcPr>
            <w:tcW w:w="2431" w:type="dxa"/>
            <w:gridSpan w:val="2"/>
            <w:tcBorders>
              <w:right w:val="nil"/>
            </w:tcBorders>
          </w:tcPr>
          <w:p w14:paraId="1C1B3AED" w14:textId="77777777" w:rsidR="00677BB9" w:rsidRPr="007F69DA" w:rsidRDefault="00677BB9" w:rsidP="00F46ACB">
            <w:pPr>
              <w:spacing w:before="240" w:after="60"/>
              <w:ind w:rightChars="921" w:right="2026"/>
            </w:pPr>
            <w:r w:rsidRPr="007F69DA">
              <w:t>173</w:t>
            </w:r>
          </w:p>
        </w:tc>
        <w:tc>
          <w:tcPr>
            <w:tcW w:w="3125" w:type="dxa"/>
            <w:gridSpan w:val="2"/>
            <w:tcBorders>
              <w:left w:val="nil"/>
            </w:tcBorders>
          </w:tcPr>
          <w:p w14:paraId="5BB067D8" w14:textId="77777777" w:rsidR="00677BB9" w:rsidRPr="007F69DA" w:rsidRDefault="00677BB9" w:rsidP="00F46ACB">
            <w:pPr>
              <w:spacing w:before="240" w:after="60"/>
              <w:ind w:rightChars="921" w:right="2026"/>
            </w:pPr>
            <w:r w:rsidRPr="007F69DA">
              <w:t>Iran</w:t>
            </w:r>
          </w:p>
        </w:tc>
      </w:tr>
      <w:tr w:rsidR="00677BB9" w:rsidRPr="007F69DA" w14:paraId="75EFE600" w14:textId="77777777" w:rsidTr="00F46ACB">
        <w:tc>
          <w:tcPr>
            <w:tcW w:w="1667" w:type="dxa"/>
            <w:tcBorders>
              <w:right w:val="nil"/>
            </w:tcBorders>
          </w:tcPr>
          <w:p w14:paraId="445BF41F" w14:textId="77777777" w:rsidR="00677BB9" w:rsidRPr="007F69DA" w:rsidRDefault="00677BB9" w:rsidP="00F46ACB">
            <w:pPr>
              <w:spacing w:before="240" w:after="60"/>
              <w:ind w:rightChars="921" w:right="2026"/>
            </w:pPr>
            <w:r w:rsidRPr="007F69DA">
              <w:t>11</w:t>
            </w:r>
          </w:p>
        </w:tc>
        <w:tc>
          <w:tcPr>
            <w:tcW w:w="2693" w:type="dxa"/>
            <w:gridSpan w:val="2"/>
            <w:tcBorders>
              <w:left w:val="nil"/>
            </w:tcBorders>
          </w:tcPr>
          <w:p w14:paraId="16B11564" w14:textId="77777777" w:rsidR="00677BB9" w:rsidRPr="007F69DA" w:rsidRDefault="00677BB9" w:rsidP="00F46ACB">
            <w:pPr>
              <w:spacing w:before="240" w:after="60"/>
              <w:ind w:left="-1161" w:rightChars="850" w:right="1870" w:firstLine="1161"/>
            </w:pPr>
            <w:r w:rsidRPr="007F69DA">
              <w:t>Estland</w:t>
            </w:r>
          </w:p>
        </w:tc>
        <w:tc>
          <w:tcPr>
            <w:tcW w:w="2431" w:type="dxa"/>
            <w:gridSpan w:val="2"/>
            <w:tcBorders>
              <w:right w:val="nil"/>
            </w:tcBorders>
          </w:tcPr>
          <w:p w14:paraId="228E65C9" w14:textId="77777777" w:rsidR="00677BB9" w:rsidRPr="007F69DA" w:rsidRDefault="00677BB9" w:rsidP="00F46ACB">
            <w:pPr>
              <w:spacing w:before="240" w:after="60"/>
              <w:ind w:rightChars="921" w:right="2026"/>
            </w:pPr>
            <w:r w:rsidRPr="007F69DA">
              <w:t>174</w:t>
            </w:r>
          </w:p>
        </w:tc>
        <w:tc>
          <w:tcPr>
            <w:tcW w:w="3125" w:type="dxa"/>
            <w:gridSpan w:val="2"/>
            <w:tcBorders>
              <w:left w:val="nil"/>
            </w:tcBorders>
          </w:tcPr>
          <w:p w14:paraId="4BE39C4C" w14:textId="77777777" w:rsidR="00677BB9" w:rsidRPr="007F69DA" w:rsidRDefault="00677BB9" w:rsidP="00F46ACB">
            <w:pPr>
              <w:spacing w:before="240" w:after="60"/>
              <w:ind w:rightChars="921" w:right="2026"/>
            </w:pPr>
            <w:r w:rsidRPr="007F69DA">
              <w:t xml:space="preserve">Vietnam </w:t>
            </w:r>
          </w:p>
        </w:tc>
      </w:tr>
      <w:tr w:rsidR="00677BB9" w:rsidRPr="007F69DA" w14:paraId="18B182C7" w14:textId="77777777" w:rsidTr="00F46ACB">
        <w:tc>
          <w:tcPr>
            <w:tcW w:w="1667" w:type="dxa"/>
            <w:tcBorders>
              <w:right w:val="nil"/>
            </w:tcBorders>
          </w:tcPr>
          <w:p w14:paraId="0F577867" w14:textId="77777777" w:rsidR="00677BB9" w:rsidRPr="007F69DA" w:rsidRDefault="00677BB9" w:rsidP="00F46ACB">
            <w:pPr>
              <w:spacing w:before="240" w:after="60"/>
              <w:ind w:rightChars="921" w:right="2026"/>
            </w:pPr>
            <w:r w:rsidRPr="007F69DA">
              <w:t>12</w:t>
            </w:r>
          </w:p>
        </w:tc>
        <w:tc>
          <w:tcPr>
            <w:tcW w:w="2693" w:type="dxa"/>
            <w:gridSpan w:val="2"/>
            <w:tcBorders>
              <w:left w:val="nil"/>
            </w:tcBorders>
          </w:tcPr>
          <w:p w14:paraId="29B2B833" w14:textId="77777777" w:rsidR="00677BB9" w:rsidRPr="007F69DA" w:rsidRDefault="00677BB9" w:rsidP="00F46ACB">
            <w:pPr>
              <w:spacing w:before="240" w:after="60"/>
              <w:ind w:left="-1161" w:rightChars="425" w:right="935" w:firstLine="1161"/>
            </w:pPr>
            <w:r w:rsidRPr="007F69DA">
              <w:t>Österreich</w:t>
            </w:r>
          </w:p>
        </w:tc>
        <w:tc>
          <w:tcPr>
            <w:tcW w:w="2431" w:type="dxa"/>
            <w:gridSpan w:val="2"/>
            <w:tcBorders>
              <w:right w:val="nil"/>
            </w:tcBorders>
          </w:tcPr>
          <w:p w14:paraId="48513985" w14:textId="77777777" w:rsidR="00677BB9" w:rsidRPr="007F69DA" w:rsidRDefault="00677BB9" w:rsidP="00F46ACB">
            <w:pPr>
              <w:spacing w:before="240" w:after="60"/>
              <w:ind w:rightChars="921" w:right="2026"/>
            </w:pPr>
            <w:r w:rsidRPr="007F69DA">
              <w:t>175</w:t>
            </w:r>
          </w:p>
        </w:tc>
        <w:tc>
          <w:tcPr>
            <w:tcW w:w="3125" w:type="dxa"/>
            <w:gridSpan w:val="2"/>
            <w:tcBorders>
              <w:left w:val="nil"/>
            </w:tcBorders>
          </w:tcPr>
          <w:p w14:paraId="6F18779C" w14:textId="77777777" w:rsidR="00677BB9" w:rsidRPr="007F69DA" w:rsidRDefault="00677BB9" w:rsidP="00F46ACB">
            <w:pPr>
              <w:spacing w:before="240" w:after="60"/>
              <w:ind w:rightChars="921" w:right="2026"/>
            </w:pPr>
            <w:r w:rsidRPr="007F69DA">
              <w:t>China</w:t>
            </w:r>
          </w:p>
        </w:tc>
      </w:tr>
      <w:tr w:rsidR="00677BB9" w:rsidRPr="007F69DA" w14:paraId="193D0982" w14:textId="77777777" w:rsidTr="00F46ACB">
        <w:tc>
          <w:tcPr>
            <w:tcW w:w="1667" w:type="dxa"/>
            <w:tcBorders>
              <w:right w:val="nil"/>
            </w:tcBorders>
          </w:tcPr>
          <w:p w14:paraId="6CF2BD5E" w14:textId="77777777" w:rsidR="00677BB9" w:rsidRPr="007F69DA" w:rsidRDefault="00677BB9" w:rsidP="00F46ACB">
            <w:pPr>
              <w:spacing w:before="240" w:after="60"/>
              <w:ind w:rightChars="921" w:right="2026"/>
            </w:pPr>
            <w:r w:rsidRPr="007F69DA">
              <w:t>13</w:t>
            </w:r>
          </w:p>
        </w:tc>
        <w:tc>
          <w:tcPr>
            <w:tcW w:w="2693" w:type="dxa"/>
            <w:gridSpan w:val="2"/>
            <w:tcBorders>
              <w:left w:val="nil"/>
            </w:tcBorders>
          </w:tcPr>
          <w:p w14:paraId="3757BE61" w14:textId="77777777" w:rsidR="00677BB9" w:rsidRPr="007F69DA" w:rsidRDefault="00677BB9" w:rsidP="00F46ACB">
            <w:pPr>
              <w:spacing w:before="240" w:after="60"/>
              <w:ind w:left="-1161" w:rightChars="141" w:right="310" w:firstLine="1161"/>
            </w:pPr>
            <w:r w:rsidRPr="007F69DA">
              <w:t>Tschechien</w:t>
            </w:r>
          </w:p>
        </w:tc>
        <w:tc>
          <w:tcPr>
            <w:tcW w:w="2431" w:type="dxa"/>
            <w:gridSpan w:val="2"/>
            <w:tcBorders>
              <w:right w:val="nil"/>
            </w:tcBorders>
          </w:tcPr>
          <w:p w14:paraId="3C2F5333" w14:textId="77777777" w:rsidR="00677BB9" w:rsidRPr="007F69DA" w:rsidRDefault="00677BB9" w:rsidP="00F46ACB">
            <w:pPr>
              <w:spacing w:before="240" w:after="60"/>
              <w:ind w:rightChars="921" w:right="2026"/>
            </w:pPr>
            <w:r w:rsidRPr="007F69DA">
              <w:t>176</w:t>
            </w:r>
          </w:p>
        </w:tc>
        <w:tc>
          <w:tcPr>
            <w:tcW w:w="3125" w:type="dxa"/>
            <w:gridSpan w:val="2"/>
            <w:tcBorders>
              <w:left w:val="nil"/>
            </w:tcBorders>
          </w:tcPr>
          <w:p w14:paraId="7E979BB2" w14:textId="77777777" w:rsidR="00677BB9" w:rsidRPr="007F69DA" w:rsidRDefault="00677BB9" w:rsidP="00F46ACB">
            <w:pPr>
              <w:spacing w:before="240" w:after="60"/>
              <w:ind w:rightChars="921" w:right="2026"/>
            </w:pPr>
            <w:r w:rsidRPr="007F69DA">
              <w:t>Somalia</w:t>
            </w:r>
          </w:p>
        </w:tc>
      </w:tr>
      <w:tr w:rsidR="00677BB9" w:rsidRPr="007F69DA" w14:paraId="120091DF" w14:textId="77777777" w:rsidTr="00F46ACB">
        <w:tc>
          <w:tcPr>
            <w:tcW w:w="1667" w:type="dxa"/>
            <w:tcBorders>
              <w:right w:val="nil"/>
            </w:tcBorders>
          </w:tcPr>
          <w:p w14:paraId="55A26DDB" w14:textId="77777777" w:rsidR="00677BB9" w:rsidRPr="007F69DA" w:rsidRDefault="00677BB9" w:rsidP="00F46ACB">
            <w:pPr>
              <w:spacing w:before="240" w:after="60"/>
              <w:ind w:rightChars="921" w:right="2026"/>
            </w:pPr>
            <w:r w:rsidRPr="007F69DA">
              <w:t>14</w:t>
            </w:r>
          </w:p>
        </w:tc>
        <w:tc>
          <w:tcPr>
            <w:tcW w:w="2693" w:type="dxa"/>
            <w:gridSpan w:val="2"/>
            <w:tcBorders>
              <w:left w:val="nil"/>
            </w:tcBorders>
          </w:tcPr>
          <w:p w14:paraId="535D5C26" w14:textId="77777777" w:rsidR="00677BB9" w:rsidRPr="007F69DA" w:rsidRDefault="00677BB9" w:rsidP="00F46ACB">
            <w:pPr>
              <w:tabs>
                <w:tab w:val="left" w:pos="776"/>
              </w:tabs>
              <w:spacing w:before="240" w:after="60"/>
              <w:ind w:left="-641" w:rightChars="708" w:right="1558" w:firstLine="641"/>
            </w:pPr>
            <w:r w:rsidRPr="007F69DA">
              <w:t>Schweiz</w:t>
            </w:r>
          </w:p>
        </w:tc>
        <w:tc>
          <w:tcPr>
            <w:tcW w:w="2431" w:type="dxa"/>
            <w:gridSpan w:val="2"/>
            <w:tcBorders>
              <w:right w:val="nil"/>
            </w:tcBorders>
          </w:tcPr>
          <w:p w14:paraId="3FA505BB" w14:textId="77777777" w:rsidR="00677BB9" w:rsidRPr="007F69DA" w:rsidRDefault="00677BB9" w:rsidP="00F46ACB">
            <w:pPr>
              <w:spacing w:before="240" w:after="60"/>
              <w:ind w:rightChars="921" w:right="2026"/>
            </w:pPr>
            <w:r w:rsidRPr="007F69DA">
              <w:t>177</w:t>
            </w:r>
          </w:p>
        </w:tc>
        <w:tc>
          <w:tcPr>
            <w:tcW w:w="3125" w:type="dxa"/>
            <w:gridSpan w:val="2"/>
            <w:tcBorders>
              <w:left w:val="nil"/>
            </w:tcBorders>
          </w:tcPr>
          <w:p w14:paraId="38D9AE4D" w14:textId="77777777" w:rsidR="00677BB9" w:rsidRPr="007F69DA" w:rsidRDefault="00677BB9" w:rsidP="00F46ACB">
            <w:pPr>
              <w:spacing w:before="240" w:after="60"/>
              <w:ind w:rightChars="921" w:right="2026"/>
            </w:pPr>
            <w:r w:rsidRPr="007F69DA">
              <w:t>Syrien</w:t>
            </w:r>
          </w:p>
        </w:tc>
      </w:tr>
      <w:tr w:rsidR="00677BB9" w:rsidRPr="007F69DA" w14:paraId="59E7667C" w14:textId="77777777" w:rsidTr="00F46ACB">
        <w:tc>
          <w:tcPr>
            <w:tcW w:w="1667" w:type="dxa"/>
            <w:tcBorders>
              <w:right w:val="nil"/>
            </w:tcBorders>
          </w:tcPr>
          <w:p w14:paraId="3AE8DFF2" w14:textId="77777777" w:rsidR="00677BB9" w:rsidRPr="007F69DA" w:rsidRDefault="00677BB9" w:rsidP="00F46ACB">
            <w:pPr>
              <w:spacing w:before="240" w:after="60"/>
              <w:ind w:rightChars="921" w:right="2026"/>
            </w:pPr>
            <w:r w:rsidRPr="007F69DA">
              <w:t>15</w:t>
            </w:r>
          </w:p>
        </w:tc>
        <w:tc>
          <w:tcPr>
            <w:tcW w:w="2693" w:type="dxa"/>
            <w:gridSpan w:val="2"/>
            <w:tcBorders>
              <w:left w:val="nil"/>
            </w:tcBorders>
          </w:tcPr>
          <w:p w14:paraId="12E408C7" w14:textId="77777777" w:rsidR="00677BB9" w:rsidRPr="007F69DA" w:rsidRDefault="00677BB9" w:rsidP="00F46ACB">
            <w:pPr>
              <w:spacing w:before="240" w:after="60"/>
              <w:ind w:left="-1161" w:rightChars="141" w:right="310" w:firstLine="1161"/>
            </w:pPr>
            <w:r w:rsidRPr="007F69DA">
              <w:t>Deutschland</w:t>
            </w:r>
          </w:p>
        </w:tc>
        <w:tc>
          <w:tcPr>
            <w:tcW w:w="2431" w:type="dxa"/>
            <w:gridSpan w:val="2"/>
            <w:tcBorders>
              <w:right w:val="nil"/>
            </w:tcBorders>
          </w:tcPr>
          <w:p w14:paraId="5131872B" w14:textId="77777777" w:rsidR="00677BB9" w:rsidRPr="007F69DA" w:rsidRDefault="00677BB9" w:rsidP="00F46ACB">
            <w:pPr>
              <w:spacing w:before="240" w:after="60"/>
              <w:ind w:rightChars="921" w:right="2026"/>
            </w:pPr>
            <w:r w:rsidRPr="007F69DA">
              <w:t xml:space="preserve">178 </w:t>
            </w:r>
          </w:p>
        </w:tc>
        <w:tc>
          <w:tcPr>
            <w:tcW w:w="3125" w:type="dxa"/>
            <w:gridSpan w:val="2"/>
            <w:tcBorders>
              <w:left w:val="nil"/>
            </w:tcBorders>
          </w:tcPr>
          <w:p w14:paraId="741B6465" w14:textId="77777777" w:rsidR="00677BB9" w:rsidRPr="007F69DA" w:rsidRDefault="00677BB9" w:rsidP="00F46ACB">
            <w:pPr>
              <w:spacing w:before="240" w:after="60"/>
              <w:ind w:rightChars="651" w:right="1432"/>
            </w:pPr>
            <w:r w:rsidRPr="007F69DA">
              <w:t>Turkmenistan</w:t>
            </w:r>
          </w:p>
        </w:tc>
      </w:tr>
      <w:tr w:rsidR="00677BB9" w:rsidRPr="007F69DA" w14:paraId="191FF680" w14:textId="77777777" w:rsidTr="00F46ACB">
        <w:tc>
          <w:tcPr>
            <w:tcW w:w="1667" w:type="dxa"/>
            <w:tcBorders>
              <w:right w:val="nil"/>
            </w:tcBorders>
          </w:tcPr>
          <w:p w14:paraId="1D537D30" w14:textId="77777777" w:rsidR="00677BB9" w:rsidRPr="007F69DA" w:rsidRDefault="00677BB9" w:rsidP="00F46ACB">
            <w:pPr>
              <w:spacing w:before="240" w:after="60"/>
              <w:ind w:rightChars="921" w:right="2026"/>
            </w:pPr>
            <w:r w:rsidRPr="007F69DA">
              <w:t>16</w:t>
            </w:r>
          </w:p>
        </w:tc>
        <w:tc>
          <w:tcPr>
            <w:tcW w:w="2693" w:type="dxa"/>
            <w:gridSpan w:val="2"/>
            <w:tcBorders>
              <w:left w:val="nil"/>
            </w:tcBorders>
          </w:tcPr>
          <w:p w14:paraId="26F6619F" w14:textId="77777777" w:rsidR="00677BB9" w:rsidRPr="007F69DA" w:rsidRDefault="00677BB9" w:rsidP="00F46ACB">
            <w:pPr>
              <w:spacing w:before="240" w:after="60"/>
              <w:ind w:left="-1161" w:rightChars="921" w:right="2026" w:firstLine="1161"/>
            </w:pPr>
            <w:r w:rsidRPr="007F69DA">
              <w:t>Irland</w:t>
            </w:r>
          </w:p>
        </w:tc>
        <w:tc>
          <w:tcPr>
            <w:tcW w:w="2431" w:type="dxa"/>
            <w:gridSpan w:val="2"/>
            <w:tcBorders>
              <w:right w:val="nil"/>
            </w:tcBorders>
          </w:tcPr>
          <w:p w14:paraId="550BD9AA" w14:textId="77777777" w:rsidR="00677BB9" w:rsidRPr="007F69DA" w:rsidRDefault="00677BB9" w:rsidP="00F46ACB">
            <w:pPr>
              <w:spacing w:before="240" w:after="60"/>
              <w:ind w:rightChars="921" w:right="2026"/>
            </w:pPr>
            <w:r w:rsidRPr="007F69DA">
              <w:t>179</w:t>
            </w:r>
          </w:p>
        </w:tc>
        <w:tc>
          <w:tcPr>
            <w:tcW w:w="3125" w:type="dxa"/>
            <w:gridSpan w:val="2"/>
            <w:tcBorders>
              <w:left w:val="nil"/>
            </w:tcBorders>
          </w:tcPr>
          <w:p w14:paraId="42AA44D8" w14:textId="77777777" w:rsidR="00677BB9" w:rsidRPr="007F69DA" w:rsidRDefault="00677BB9" w:rsidP="00F46ACB">
            <w:pPr>
              <w:spacing w:before="240" w:after="60"/>
              <w:ind w:rightChars="921" w:right="2026"/>
            </w:pPr>
            <w:r w:rsidRPr="007F69DA">
              <w:t>Nordkorea</w:t>
            </w:r>
          </w:p>
        </w:tc>
      </w:tr>
      <w:tr w:rsidR="00677BB9" w:rsidRPr="007F69DA" w14:paraId="22BFB34F" w14:textId="77777777" w:rsidTr="00F46ACB">
        <w:tc>
          <w:tcPr>
            <w:tcW w:w="1667" w:type="dxa"/>
            <w:tcBorders>
              <w:right w:val="nil"/>
            </w:tcBorders>
          </w:tcPr>
          <w:p w14:paraId="7A4052C8" w14:textId="77777777" w:rsidR="00677BB9" w:rsidRPr="007F69DA" w:rsidRDefault="00677BB9" w:rsidP="00F46ACB">
            <w:pPr>
              <w:spacing w:before="240" w:after="60"/>
              <w:ind w:rightChars="921" w:right="2026"/>
            </w:pPr>
            <w:r w:rsidRPr="007F69DA">
              <w:lastRenderedPageBreak/>
              <w:t>17</w:t>
            </w:r>
          </w:p>
        </w:tc>
        <w:tc>
          <w:tcPr>
            <w:tcW w:w="2693" w:type="dxa"/>
            <w:gridSpan w:val="2"/>
            <w:tcBorders>
              <w:left w:val="nil"/>
            </w:tcBorders>
          </w:tcPr>
          <w:p w14:paraId="10B4AB09" w14:textId="77777777" w:rsidR="00677BB9" w:rsidRPr="007F69DA" w:rsidRDefault="00677BB9" w:rsidP="00F46ACB">
            <w:pPr>
              <w:spacing w:before="240" w:after="60"/>
              <w:ind w:left="-1161" w:rightChars="637" w:right="1401" w:firstLine="1161"/>
            </w:pPr>
            <w:r w:rsidRPr="007F69DA">
              <w:t>Jamaika</w:t>
            </w:r>
          </w:p>
        </w:tc>
        <w:tc>
          <w:tcPr>
            <w:tcW w:w="2431" w:type="dxa"/>
            <w:gridSpan w:val="2"/>
            <w:tcBorders>
              <w:right w:val="nil"/>
            </w:tcBorders>
          </w:tcPr>
          <w:p w14:paraId="7E122CCA" w14:textId="77777777" w:rsidR="00677BB9" w:rsidRPr="007F69DA" w:rsidRDefault="00677BB9" w:rsidP="00F46ACB">
            <w:pPr>
              <w:spacing w:before="240" w:after="60"/>
              <w:ind w:rightChars="921" w:right="2026"/>
            </w:pPr>
            <w:r w:rsidRPr="007F69DA">
              <w:t>180</w:t>
            </w:r>
          </w:p>
        </w:tc>
        <w:tc>
          <w:tcPr>
            <w:tcW w:w="3125" w:type="dxa"/>
            <w:gridSpan w:val="2"/>
            <w:tcBorders>
              <w:left w:val="nil"/>
            </w:tcBorders>
          </w:tcPr>
          <w:p w14:paraId="1A4D4E40" w14:textId="77777777" w:rsidR="00677BB9" w:rsidRPr="007F69DA" w:rsidRDefault="00677BB9" w:rsidP="00F46ACB">
            <w:pPr>
              <w:spacing w:before="240" w:after="60"/>
              <w:ind w:rightChars="921" w:right="2026"/>
            </w:pPr>
            <w:r w:rsidRPr="007F69DA">
              <w:t>Eritrea</w:t>
            </w:r>
          </w:p>
        </w:tc>
      </w:tr>
    </w:tbl>
    <w:p w14:paraId="2F4EB12C" w14:textId="77777777" w:rsidR="00677BB9" w:rsidRPr="007F69DA" w:rsidRDefault="00677BB9" w:rsidP="00677BB9">
      <w:pPr>
        <w:spacing w:before="240" w:after="60"/>
        <w:ind w:left="284" w:rightChars="921" w:right="2026"/>
      </w:pPr>
      <w:r w:rsidRPr="007F69DA">
        <w:t>Quelle: Reporter ohne Grenzen e.V.</w:t>
      </w:r>
    </w:p>
    <w:p w14:paraId="78EFA5CB" w14:textId="77777777" w:rsidR="00677BB9" w:rsidRPr="007F69DA" w:rsidRDefault="00677BB9" w:rsidP="00677BB9">
      <w:pPr>
        <w:spacing w:before="240" w:after="60"/>
        <w:ind w:rightChars="70" w:right="154"/>
        <w:jc w:val="both"/>
      </w:pPr>
    </w:p>
    <w:p w14:paraId="1CB86186" w14:textId="77777777" w:rsidR="00677BB9" w:rsidRPr="00BF04C9" w:rsidRDefault="00677BB9" w:rsidP="000D74BB">
      <w:pPr>
        <w:pStyle w:val="Literatur"/>
        <w:numPr>
          <w:ilvl w:val="0"/>
          <w:numId w:val="0"/>
        </w:numPr>
        <w:spacing w:line="240" w:lineRule="auto"/>
        <w:rPr>
          <w:sz w:val="22"/>
          <w:szCs w:val="22"/>
          <w:lang w:val="en-US"/>
        </w:rPr>
      </w:pPr>
      <w:r w:rsidRPr="000D74BB">
        <w:rPr>
          <w:b/>
          <w:bCs w:val="0"/>
          <w:i/>
          <w:sz w:val="22"/>
          <w:szCs w:val="22"/>
          <w:lang w:val="en-US"/>
        </w:rPr>
        <w:t>Literatur</w:t>
      </w:r>
      <w:r w:rsidRPr="000D74BB">
        <w:rPr>
          <w:b/>
          <w:bCs w:val="0"/>
          <w:sz w:val="22"/>
          <w:szCs w:val="22"/>
          <w:lang w:val="en-US"/>
        </w:rPr>
        <w:t xml:space="preserve">: </w:t>
      </w:r>
      <w:r w:rsidRPr="00BF04C9">
        <w:rPr>
          <w:sz w:val="22"/>
          <w:szCs w:val="22"/>
          <w:lang w:val="en-US"/>
        </w:rPr>
        <w:t xml:space="preserve">  Bloom, P.N.; Hoeffler, S.; Keller, K.L.; Meza, C.E.B. (2006): How Social-Cause Marketing Affects Consumer Perceptions, Sloan Management Review, 47(2): 49-55.    Cetindamar, D. (2007): Corporate Social Responsibility Practices and Environmentally Responsible Behavior. The Case of the United Nations Global Compact, Journal of Business Ethics, 76(2): 163-176.    Doh, J.P.; Stumpf, S.A. (Eds.) (2005): Handbook on Responsible Leadership and Governance in Global Business, Cheltenham: Edgar Elgar.    Doh, J.P.; Teegen, H. (Eds.) (2003): Globalization and NGOs. Transforming Business, Government, and Society, Westport/TN: Praeger.    Enriques, L.; Volpin, P. (2007): Corporate Governance Reforms in Continental Europe, Journal of Economic Perspectives, 21(1): 117-140.    </w:t>
      </w:r>
      <w:r w:rsidRPr="00BF04C9">
        <w:rPr>
          <w:sz w:val="22"/>
          <w:szCs w:val="22"/>
        </w:rPr>
        <w:t xml:space="preserve">Fritz, W.; Wagner, U. (2004): Soziale Verantwortung als Leitidee der Unternehmensführung und Gegenstand der akademischen Ausbildung, in: Wiedmann, K.-P.; Fritz, W.; Abel, B. (Hrsg.), Management mit Vision und Verantwortung, 425-449, Wiesbaden: Gabler.    </w:t>
      </w:r>
      <w:r w:rsidRPr="00BF04C9">
        <w:rPr>
          <w:sz w:val="22"/>
          <w:szCs w:val="22"/>
          <w:lang w:val="en-US"/>
        </w:rPr>
        <w:t xml:space="preserve">Habisch, A.; Schmidpeter, R.; Neureiter, M. (Hrsg.) (2008): Handbuch Corporate Citizenship, Berlin: Springer.    Heald, M. (1970): The Social Responsibilities of Business. Company and Community: 1900-1960, Cleveland: Case Western Reserve University Press.    Holmstrom, B.; Kaplan, S.N. (2003): The State of US Corporate Covernance. What's Right and What's Wrong? Journal of Applied Corporate Finance, 15(3): 8-20.    Hopt, K.J.; Leyens, P.C. (2004): Board Models in Europe. Recent Developments of Internal Corporate Governance Structures in Germany, the United Kingdom, France, and Italy, European Company and Financial Law Review, 1(2): 135-168.    Hsiao, H.F.; Zhong, T.; Wang, J. (2024): Does National Culture Influence Corporate Social Responsibility on Firm Performance? </w:t>
      </w:r>
      <w:r w:rsidRPr="00BF04C9">
        <w:rPr>
          <w:iCs/>
          <w:sz w:val="22"/>
          <w:szCs w:val="22"/>
          <w:lang w:val="en-US"/>
        </w:rPr>
        <w:t>Humanities and Social Sciences Communications</w:t>
      </w:r>
      <w:r w:rsidRPr="00BF04C9">
        <w:rPr>
          <w:sz w:val="22"/>
          <w:szCs w:val="22"/>
          <w:lang w:val="en-US"/>
        </w:rPr>
        <w:t xml:space="preserve">, </w:t>
      </w:r>
      <w:r w:rsidRPr="00BF04C9">
        <w:rPr>
          <w:iCs/>
          <w:sz w:val="22"/>
          <w:szCs w:val="22"/>
          <w:lang w:val="en-US"/>
        </w:rPr>
        <w:t>11</w:t>
      </w:r>
      <w:r w:rsidRPr="00BF04C9">
        <w:rPr>
          <w:sz w:val="22"/>
          <w:szCs w:val="22"/>
          <w:lang w:val="en-US"/>
        </w:rPr>
        <w:t xml:space="preserve">(1): 1-9.    Inglehart, R.; Basanez, M.; Diez-Medrano, J.; Halman, L.; Luijkx, R. (2004): Human Beliefs and Values. A </w:t>
      </w:r>
      <w:proofErr w:type="gramStart"/>
      <w:r w:rsidRPr="00BF04C9">
        <w:rPr>
          <w:sz w:val="22"/>
          <w:szCs w:val="22"/>
          <w:lang w:val="en-US"/>
        </w:rPr>
        <w:t>Cross Cultural</w:t>
      </w:r>
      <w:proofErr w:type="gramEnd"/>
      <w:r w:rsidRPr="00BF04C9">
        <w:rPr>
          <w:sz w:val="22"/>
          <w:szCs w:val="22"/>
          <w:lang w:val="en-US"/>
        </w:rPr>
        <w:t xml:space="preserve"> Sourcebook Based on the 1999-2002 Values Surveys, Mexico City: Siglo XXI Editores.    Jackson, G. (2005): Stakeholders under Pressure. Corporate Governance and Labour Management in Germany and Japan, Corporate Governance: An International Review, 13(3): 419-428.    Jacoby, S.M. (2005): The Embedded Corporation. Corporate Governance and Employment Relations     Jastram, S. (2012): Legitimation privater Governance. </w:t>
      </w:r>
      <w:r w:rsidRPr="00BF04C9">
        <w:rPr>
          <w:sz w:val="22"/>
          <w:szCs w:val="22"/>
        </w:rPr>
        <w:t xml:space="preserve">Chancen und Probleme am Beispiel von ISO 26000, Wiesbaden: Gabler.   Keegan, W.J.; Schlegelmilch, B.B.; Schöttinger, B. (2002): Globales Marketing-Management. Eine europäische Perspektive, München: Oldenbourg.   Kiefer, R. (2004): Corporate Citizenship. Mehr als Sponsoring, bank und markt, 33(4): 19-22.    Nolting, T.; Thießen, A. (2007): Krisenmanagement in der Mediengesellschaft. Potenziale und Perspektiven in der Krisenkommunikation, Wiesbaden: VS Verlag für Sozialwissenschaften.    Müller, S.; Gelbrich, K. (2014): Interkulturelle Kommunikation, München: Vahlen.    Paul, W. (2007): Die Ausgestaltung eines Corporate Governance-Systems in der EU vor dem Hintergrund international angewandter Systeme, Wirtschaftswissenschaftliches Studium, 36(4): 348-354.    Pfitzer, N.; Oser, P.; Orth, C.E. (2003): Deutscher Corporate Governance Kodex, Stuttgart: Schäffer-Poeschel.    </w:t>
      </w:r>
      <w:r w:rsidRPr="00BF04C9">
        <w:rPr>
          <w:sz w:val="22"/>
          <w:szCs w:val="22"/>
          <w:lang w:val="en-US"/>
        </w:rPr>
        <w:t xml:space="preserve">Quazi, A.M. (2002): Managerial Views of Consumerism. A Two-Country Comparison, European Journal of Marketing, 36(1/2): 36-50.    </w:t>
      </w:r>
      <w:r w:rsidRPr="00BF04C9">
        <w:rPr>
          <w:sz w:val="22"/>
          <w:szCs w:val="22"/>
        </w:rPr>
        <w:t xml:space="preserve">Rieth, L. (2003): Deutsche Unternehmen, Soziale Verantwortung und der Global Compact, Zeitschrift für Wirtschafts-und Unternehmensethik, 4(3): 372-391.    Sarstedt, M.; Ganßauge, R. (2009): Über die Effekte von Corporate Social Responsibility auf unternehmerische Zielgrößen, Wirtschaftswissenschaftliches Studium, 38(10): 500-505.    Schoenheit, I.; Wieland, J.; Kleinfeld, A. (2006): Nutzen und Herausforderungen einer Internationalen Norm über verantwortliches Verhalten von Unternehmen und Organisationen, DIN-Mitteilungen, 85(9): 31-37.  Schwaiger, M.; Cannon, H.M. (2004): Unternehmensreputation. Bestandsaufnahme und Messkonzepte, Jahrbuch der Absatz- und Verbrauchsforschung, 50(3): 237-261.  </w:t>
      </w:r>
      <w:r w:rsidRPr="00BF04C9">
        <w:rPr>
          <w:sz w:val="22"/>
          <w:szCs w:val="22"/>
          <w:lang w:val="en-US"/>
        </w:rPr>
        <w:t xml:space="preserve">Steil, J.M.; Hillman, J.L. (1993): The Perceived Value of Direct and Indirect Influence Strategies. A Cross-Cultural Comparison, Psychology of Woman Quarterly, 17(4): 457-462.  Terpstra-Tong, J.; Ralston, D.A. (2002): Moving toward a Global Understanding of Upward Influence Strategies. An Asian Perspective with Directions for Cross-Cultural Research, Asian Pacific Journal of Management, 19(2/3): 373-374.   </w:t>
      </w:r>
      <w:r w:rsidRPr="00BF04C9">
        <w:rPr>
          <w:sz w:val="22"/>
          <w:szCs w:val="22"/>
        </w:rPr>
        <w:t xml:space="preserve">Steinmann, H. (1973): Zur Lehre von der “Gesellschaftlichen Verantwortung der Unternehmensführung”. Zugleich eine Kritik des Davoser Manifests, Wirtschaftswissenschaftliches Studium, </w:t>
      </w:r>
      <w:r w:rsidRPr="00BF04C9">
        <w:rPr>
          <w:sz w:val="22"/>
          <w:szCs w:val="22"/>
        </w:rPr>
        <w:lastRenderedPageBreak/>
        <w:t xml:space="preserve">2(10): 467-473.    Wang, H.; Guo, T.; Tang, Q. (2021): The Effect of National Culture on Corporate Green Proactivity, </w:t>
      </w:r>
      <w:r w:rsidRPr="00BF04C9">
        <w:rPr>
          <w:iCs/>
          <w:sz w:val="22"/>
          <w:szCs w:val="22"/>
        </w:rPr>
        <w:t>Journal of Business Research</w:t>
      </w:r>
      <w:r w:rsidRPr="00BF04C9">
        <w:rPr>
          <w:sz w:val="22"/>
          <w:szCs w:val="22"/>
        </w:rPr>
        <w:t xml:space="preserve">, </w:t>
      </w:r>
      <w:r w:rsidRPr="00BF04C9">
        <w:rPr>
          <w:iCs/>
          <w:sz w:val="22"/>
          <w:szCs w:val="22"/>
        </w:rPr>
        <w:t>131(July)</w:t>
      </w:r>
      <w:r w:rsidRPr="00BF04C9">
        <w:rPr>
          <w:sz w:val="22"/>
          <w:szCs w:val="22"/>
        </w:rPr>
        <w:t xml:space="preserve">: 140-150.   Welge, M.K.; Holtbrügge, D. (2010): Internationales Management, 5. Aufl., Stuttgart: Schäffer-Poeschel.    </w:t>
      </w:r>
      <w:r w:rsidRPr="00BF04C9">
        <w:rPr>
          <w:sz w:val="22"/>
          <w:szCs w:val="22"/>
          <w:lang w:val="en-US"/>
        </w:rPr>
        <w:t>Wiedmann, K.-P.; Hennigs, N.; Siebels, A. (2007): Measuring Consumers’ Luxury Value Perception. A Cross-Cultural Framework, Academy of Marketing Science Review, 7(7): 333-361.</w:t>
      </w:r>
    </w:p>
    <w:p w14:paraId="6882000F" w14:textId="77777777" w:rsidR="00677BB9" w:rsidRPr="007F69DA" w:rsidRDefault="00677BB9" w:rsidP="00677BB9">
      <w:pPr>
        <w:rPr>
          <w:szCs w:val="24"/>
          <w:lang w:val="en-US"/>
        </w:rPr>
      </w:pPr>
    </w:p>
    <w:p w14:paraId="02203961" w14:textId="77777777" w:rsidR="00FF7799" w:rsidRPr="000D74BB" w:rsidRDefault="00FF7799" w:rsidP="007B4146">
      <w:pPr>
        <w:pStyle w:val="berschrift1"/>
        <w:rPr>
          <w:color w:val="2E74B5"/>
        </w:rPr>
      </w:pPr>
      <w:r w:rsidRPr="000D74BB">
        <w:rPr>
          <w:color w:val="2E74B5"/>
        </w:rPr>
        <w:t>Pünktlichkeit</w:t>
      </w:r>
    </w:p>
    <w:p w14:paraId="2945E534" w14:textId="77777777" w:rsidR="00FF7799" w:rsidRPr="00E73F6F" w:rsidRDefault="004C56ED" w:rsidP="00B61F55">
      <w:pPr>
        <w:pStyle w:val="StandardText"/>
      </w:pPr>
      <w:r>
        <w:t xml:space="preserve">wird nicht überall als eine Tugend angesehen. </w:t>
      </w:r>
      <w:r w:rsidR="00FF7799" w:rsidRPr="00E73F6F">
        <w:t xml:space="preserve">Lateinamerikaner </w:t>
      </w:r>
      <w:r>
        <w:t xml:space="preserve">etwa </w:t>
      </w:r>
      <w:r w:rsidR="00FF7799" w:rsidRPr="00E73F6F">
        <w:t>empfinden allzu große Pünktlichkeit als Ausdruck von Unterwürfigkeit und Abhängigkeit. Und im arabischen Kulturraum ist es üblich, dass</w:t>
      </w:r>
      <w:r w:rsidR="00FF7799" w:rsidRPr="00E73F6F">
        <w:rPr>
          <w:spacing w:val="-12"/>
        </w:rPr>
        <w:t xml:space="preserve"> </w:t>
      </w:r>
      <w:r w:rsidR="00FF7799" w:rsidRPr="00E73F6F">
        <w:t>Ranghöhere</w:t>
      </w:r>
      <w:r w:rsidR="00FF7799" w:rsidRPr="00E73F6F">
        <w:rPr>
          <w:spacing w:val="-11"/>
        </w:rPr>
        <w:t xml:space="preserve"> </w:t>
      </w:r>
      <w:r w:rsidR="00FF7799" w:rsidRPr="00E73F6F">
        <w:t>die</w:t>
      </w:r>
      <w:r w:rsidR="00FF7799" w:rsidRPr="00E73F6F">
        <w:rPr>
          <w:spacing w:val="-11"/>
        </w:rPr>
        <w:t xml:space="preserve"> </w:t>
      </w:r>
      <w:r w:rsidR="00FF7799" w:rsidRPr="00E73F6F">
        <w:t>Uhrzeit</w:t>
      </w:r>
      <w:r w:rsidR="00FF7799" w:rsidRPr="00E73F6F">
        <w:rPr>
          <w:spacing w:val="-11"/>
        </w:rPr>
        <w:t xml:space="preserve"> </w:t>
      </w:r>
      <w:r w:rsidR="00FF7799" w:rsidRPr="00E73F6F">
        <w:t>ignorieren</w:t>
      </w:r>
      <w:r w:rsidR="00FF7799" w:rsidRPr="00E73F6F">
        <w:rPr>
          <w:spacing w:val="-12"/>
        </w:rPr>
        <w:t xml:space="preserve"> </w:t>
      </w:r>
      <w:r w:rsidR="00FF7799" w:rsidRPr="00E73F6F">
        <w:t>und</w:t>
      </w:r>
      <w:r w:rsidR="00FF7799" w:rsidRPr="00E73F6F">
        <w:rPr>
          <w:spacing w:val="-11"/>
        </w:rPr>
        <w:t xml:space="preserve"> </w:t>
      </w:r>
      <w:r w:rsidR="00FF7799" w:rsidRPr="00E73F6F">
        <w:t>Rangniedere</w:t>
      </w:r>
      <w:r w:rsidR="00FF7799" w:rsidRPr="00E73F6F">
        <w:rPr>
          <w:spacing w:val="-11"/>
        </w:rPr>
        <w:t xml:space="preserve"> </w:t>
      </w:r>
      <w:r w:rsidR="00FF7799" w:rsidRPr="00E73F6F">
        <w:t>warten</w:t>
      </w:r>
      <w:r w:rsidR="00FF7799" w:rsidRPr="00E73F6F">
        <w:rPr>
          <w:spacing w:val="-11"/>
        </w:rPr>
        <w:t xml:space="preserve"> </w:t>
      </w:r>
      <w:r w:rsidR="00FF7799" w:rsidRPr="00E73F6F">
        <w:t>lassen,</w:t>
      </w:r>
      <w:r w:rsidR="00FF7799" w:rsidRPr="00E73F6F">
        <w:rPr>
          <w:spacing w:val="-12"/>
        </w:rPr>
        <w:t xml:space="preserve"> </w:t>
      </w:r>
      <w:r w:rsidR="00FF7799" w:rsidRPr="00E73F6F">
        <w:t>ohne</w:t>
      </w:r>
      <w:r w:rsidR="00FF7799" w:rsidRPr="00E73F6F">
        <w:rPr>
          <w:spacing w:val="-11"/>
        </w:rPr>
        <w:t xml:space="preserve"> </w:t>
      </w:r>
      <w:r w:rsidR="00FF7799" w:rsidRPr="00E73F6F">
        <w:t>diese dafür um Entschuldigung zu bitten. Die meisten westlichen Gesellschaften hingegen erachten Termintreue als eine Tugend und wichtige Voraussetzung für beruflichen Erfolg. Entsprechend wird Unpünktlichkeit als unhöflich, möglicherweise sogar als „Charakterschwäche“ gedeutet: als Unfähigkeit zur Selbstkontrolle. Verabreden</w:t>
      </w:r>
      <w:r w:rsidR="00FF7799" w:rsidRPr="00E73F6F">
        <w:rPr>
          <w:spacing w:val="-2"/>
        </w:rPr>
        <w:t xml:space="preserve"> </w:t>
      </w:r>
      <w:r w:rsidR="00FF7799" w:rsidRPr="00E73F6F">
        <w:t>sich</w:t>
      </w:r>
      <w:r w:rsidR="00FF7799" w:rsidRPr="00E73F6F">
        <w:rPr>
          <w:spacing w:val="-2"/>
        </w:rPr>
        <w:t xml:space="preserve"> </w:t>
      </w:r>
      <w:r w:rsidR="00FF7799" w:rsidRPr="00E73F6F">
        <w:t>Angehörige</w:t>
      </w:r>
      <w:r w:rsidR="00FF7799" w:rsidRPr="00E73F6F">
        <w:rPr>
          <w:spacing w:val="-4"/>
        </w:rPr>
        <w:t xml:space="preserve"> </w:t>
      </w:r>
      <w:r w:rsidR="00FF7799" w:rsidRPr="00E73F6F">
        <w:t>unterschiedlicher</w:t>
      </w:r>
      <w:r w:rsidR="00FF7799" w:rsidRPr="00E73F6F">
        <w:rPr>
          <w:spacing w:val="-1"/>
        </w:rPr>
        <w:t xml:space="preserve"> </w:t>
      </w:r>
      <w:r w:rsidR="00FF7799" w:rsidRPr="00E73F6F">
        <w:t>Kulturen</w:t>
      </w:r>
      <w:r w:rsidR="00FF7799" w:rsidRPr="00E73F6F">
        <w:rPr>
          <w:spacing w:val="-2"/>
        </w:rPr>
        <w:t xml:space="preserve"> </w:t>
      </w:r>
      <w:r w:rsidR="00FF7799" w:rsidRPr="00E73F6F">
        <w:t>und sind sie sich der Relativität ihres Zeitverständnisses nicht bewusst, sind Konflikte unvermeidlich.</w:t>
      </w:r>
      <w:r w:rsidR="00FF7799" w:rsidRPr="00E73F6F">
        <w:rPr>
          <w:spacing w:val="-12"/>
        </w:rPr>
        <w:t xml:space="preserve"> </w:t>
      </w:r>
      <w:r w:rsidR="00FF7799" w:rsidRPr="00E73F6F">
        <w:t>Zumal</w:t>
      </w:r>
      <w:r w:rsidR="00FF7799" w:rsidRPr="00E73F6F">
        <w:rPr>
          <w:spacing w:val="-11"/>
        </w:rPr>
        <w:t xml:space="preserve"> </w:t>
      </w:r>
      <w:r w:rsidR="00FF7799" w:rsidRPr="00E73F6F">
        <w:t>es</w:t>
      </w:r>
      <w:r w:rsidR="00FF7799" w:rsidRPr="00E73F6F">
        <w:rPr>
          <w:spacing w:val="-11"/>
        </w:rPr>
        <w:t xml:space="preserve"> </w:t>
      </w:r>
      <w:r w:rsidR="00FF7799" w:rsidRPr="00E73F6F">
        <w:t>dabei</w:t>
      </w:r>
      <w:r w:rsidR="00FF7799" w:rsidRPr="00E73F6F">
        <w:rPr>
          <w:spacing w:val="-11"/>
        </w:rPr>
        <w:t xml:space="preserve"> </w:t>
      </w:r>
      <w:r w:rsidR="00FF7799" w:rsidRPr="00E73F6F">
        <w:t>bisweilen</w:t>
      </w:r>
      <w:r w:rsidR="00FF7799" w:rsidRPr="00E73F6F">
        <w:rPr>
          <w:spacing w:val="-12"/>
        </w:rPr>
        <w:t xml:space="preserve"> </w:t>
      </w:r>
      <w:r w:rsidR="00FF7799" w:rsidRPr="00E73F6F">
        <w:t>zu</w:t>
      </w:r>
      <w:r w:rsidR="00FF7799" w:rsidRPr="00E73F6F">
        <w:rPr>
          <w:spacing w:val="-9"/>
        </w:rPr>
        <w:t xml:space="preserve"> </w:t>
      </w:r>
      <w:r w:rsidR="00FF7799" w:rsidRPr="00E73F6F">
        <w:t>einer</w:t>
      </w:r>
      <w:r w:rsidR="00FF7799" w:rsidRPr="00E73F6F">
        <w:rPr>
          <w:spacing w:val="-10"/>
        </w:rPr>
        <w:t xml:space="preserve"> </w:t>
      </w:r>
      <w:r w:rsidR="00FF7799" w:rsidRPr="00E73F6F">
        <w:t>Art</w:t>
      </w:r>
      <w:r w:rsidR="00FF7799" w:rsidRPr="00E73F6F">
        <w:rPr>
          <w:spacing w:val="-12"/>
        </w:rPr>
        <w:t xml:space="preserve"> </w:t>
      </w:r>
      <w:r w:rsidR="00FF7799" w:rsidRPr="00E73F6F">
        <w:t>von</w:t>
      </w:r>
      <w:r w:rsidR="00FF7799" w:rsidRPr="00E73F6F">
        <w:rPr>
          <w:spacing w:val="-11"/>
        </w:rPr>
        <w:t xml:space="preserve"> </w:t>
      </w:r>
      <w:r w:rsidR="00FF7799" w:rsidRPr="00E73F6F">
        <w:t>„Bewusstseinsspaltung“ kommt: „Franzosen schätzen »deutsche Tugenden« wie Pünktlichkeit durchaus. Und auch, wenn sie es selbst nicht so genau mit ihr nehmen – vom deutschen Gegenüber werde sie unbedingt erwartet“ (Roth 2012, S.79).</w:t>
      </w:r>
    </w:p>
    <w:p w14:paraId="7976C0C0" w14:textId="5BDBE643" w:rsidR="00FF7799" w:rsidRPr="00E73F6F" w:rsidRDefault="00FF7799" w:rsidP="00B61F55">
      <w:pPr>
        <w:pStyle w:val="StandardText"/>
      </w:pPr>
      <w:r w:rsidRPr="00E73F6F">
        <w:t>Das</w:t>
      </w:r>
      <w:r w:rsidR="003F5EB6">
        <w:t xml:space="preserve"> </w:t>
      </w:r>
      <w:r w:rsidR="003F5EB6">
        <w:sym w:font="Symbol" w:char="F0DE"/>
      </w:r>
      <w:r w:rsidRPr="00E73F6F">
        <w:rPr>
          <w:spacing w:val="-8"/>
        </w:rPr>
        <w:t xml:space="preserve"> </w:t>
      </w:r>
      <w:r w:rsidRPr="00E73F6F">
        <w:t>Stereotyp</w:t>
      </w:r>
      <w:r w:rsidRPr="00E73F6F">
        <w:rPr>
          <w:spacing w:val="-7"/>
        </w:rPr>
        <w:t xml:space="preserve"> </w:t>
      </w:r>
      <w:r w:rsidRPr="00E73F6F">
        <w:t>des</w:t>
      </w:r>
      <w:r w:rsidRPr="00E73F6F">
        <w:rPr>
          <w:spacing w:val="-8"/>
        </w:rPr>
        <w:t xml:space="preserve"> </w:t>
      </w:r>
      <w:r w:rsidRPr="00E73F6F">
        <w:t>zwanghaft</w:t>
      </w:r>
      <w:r w:rsidRPr="00E73F6F">
        <w:rPr>
          <w:spacing w:val="-7"/>
        </w:rPr>
        <w:t xml:space="preserve"> </w:t>
      </w:r>
      <w:r w:rsidRPr="00E73F6F">
        <w:t>pünktlichen</w:t>
      </w:r>
      <w:r w:rsidRPr="00E73F6F">
        <w:rPr>
          <w:spacing w:val="-7"/>
        </w:rPr>
        <w:t xml:space="preserve"> </w:t>
      </w:r>
      <w:r w:rsidRPr="00E73F6F">
        <w:t>Deutschen</w:t>
      </w:r>
      <w:r w:rsidRPr="00E73F6F">
        <w:rPr>
          <w:spacing w:val="-3"/>
        </w:rPr>
        <w:t xml:space="preserve"> </w:t>
      </w:r>
      <w:r w:rsidRPr="00E73F6F">
        <w:t>ist</w:t>
      </w:r>
      <w:r w:rsidRPr="00E73F6F">
        <w:rPr>
          <w:spacing w:val="-7"/>
        </w:rPr>
        <w:t xml:space="preserve"> </w:t>
      </w:r>
      <w:r w:rsidRPr="00E73F6F">
        <w:t>im</w:t>
      </w:r>
      <w:r w:rsidRPr="00E73F6F">
        <w:rPr>
          <w:spacing w:val="-8"/>
        </w:rPr>
        <w:t xml:space="preserve"> </w:t>
      </w:r>
      <w:r w:rsidRPr="00E73F6F">
        <w:t>Übrigen</w:t>
      </w:r>
      <w:r w:rsidRPr="00E73F6F">
        <w:rPr>
          <w:spacing w:val="-9"/>
        </w:rPr>
        <w:t xml:space="preserve"> </w:t>
      </w:r>
      <w:r w:rsidRPr="00E73F6F">
        <w:t>eine</w:t>
      </w:r>
      <w:r w:rsidRPr="00E73F6F">
        <w:rPr>
          <w:spacing w:val="-8"/>
        </w:rPr>
        <w:t xml:space="preserve"> </w:t>
      </w:r>
      <w:r w:rsidRPr="00E73F6F">
        <w:t>Legende, wie</w:t>
      </w:r>
      <w:r w:rsidRPr="00E73F6F">
        <w:rPr>
          <w:spacing w:val="-1"/>
        </w:rPr>
        <w:t xml:space="preserve"> </w:t>
      </w:r>
      <w:r w:rsidRPr="00E73F6F">
        <w:t>britische</w:t>
      </w:r>
      <w:r w:rsidRPr="00E73F6F">
        <w:rPr>
          <w:spacing w:val="-1"/>
        </w:rPr>
        <w:t xml:space="preserve"> </w:t>
      </w:r>
      <w:r w:rsidRPr="00E73F6F">
        <w:t>Wissenschaftler</w:t>
      </w:r>
      <w:r w:rsidRPr="00E73F6F">
        <w:rPr>
          <w:spacing w:val="-1"/>
        </w:rPr>
        <w:t xml:space="preserve"> </w:t>
      </w:r>
      <w:r w:rsidRPr="00E73F6F">
        <w:t>berichten. Sie</w:t>
      </w:r>
      <w:r w:rsidRPr="00E73F6F">
        <w:rPr>
          <w:spacing w:val="-1"/>
        </w:rPr>
        <w:t xml:space="preserve"> </w:t>
      </w:r>
      <w:r w:rsidRPr="00E73F6F">
        <w:t>haben in Großbritannien, Frankreich, Deutschland, Bulgarien, Polen und der Tschechischen Republik jeweils 200 Manager zu ihrem Umgang mit der Zeit befragt. „Auf die Frage, nach wie vielen Minuten</w:t>
      </w:r>
      <w:r w:rsidRPr="00E73F6F">
        <w:rPr>
          <w:spacing w:val="-9"/>
        </w:rPr>
        <w:t xml:space="preserve"> </w:t>
      </w:r>
      <w:r w:rsidRPr="00E73F6F">
        <w:t>sie</w:t>
      </w:r>
      <w:r w:rsidRPr="00E73F6F">
        <w:rPr>
          <w:spacing w:val="-8"/>
        </w:rPr>
        <w:t xml:space="preserve"> </w:t>
      </w:r>
      <w:r w:rsidRPr="00E73F6F">
        <w:t>davon</w:t>
      </w:r>
      <w:r w:rsidRPr="00E73F6F">
        <w:rPr>
          <w:spacing w:val="-7"/>
        </w:rPr>
        <w:t xml:space="preserve"> </w:t>
      </w:r>
      <w:r w:rsidRPr="00E73F6F">
        <w:t>sprechen</w:t>
      </w:r>
      <w:r w:rsidRPr="00E73F6F">
        <w:rPr>
          <w:spacing w:val="-9"/>
        </w:rPr>
        <w:t xml:space="preserve"> </w:t>
      </w:r>
      <w:r w:rsidRPr="00E73F6F">
        <w:t>würden,</w:t>
      </w:r>
      <w:r w:rsidRPr="00E73F6F">
        <w:rPr>
          <w:spacing w:val="-10"/>
        </w:rPr>
        <w:t xml:space="preserve"> </w:t>
      </w:r>
      <w:r w:rsidRPr="00E73F6F">
        <w:t>dass</w:t>
      </w:r>
      <w:r w:rsidRPr="00E73F6F">
        <w:rPr>
          <w:spacing w:val="-9"/>
        </w:rPr>
        <w:t xml:space="preserve"> </w:t>
      </w:r>
      <w:r w:rsidRPr="00E73F6F">
        <w:t>jemand</w:t>
      </w:r>
      <w:r w:rsidRPr="00E73F6F">
        <w:rPr>
          <w:spacing w:val="-9"/>
        </w:rPr>
        <w:t xml:space="preserve"> </w:t>
      </w:r>
      <w:r w:rsidRPr="00E73F6F">
        <w:t>zu</w:t>
      </w:r>
      <w:r w:rsidRPr="00E73F6F">
        <w:rPr>
          <w:spacing w:val="-9"/>
        </w:rPr>
        <w:t xml:space="preserve"> </w:t>
      </w:r>
      <w:r w:rsidRPr="00E73F6F">
        <w:t>spät</w:t>
      </w:r>
      <w:r w:rsidRPr="00E73F6F">
        <w:rPr>
          <w:spacing w:val="-10"/>
        </w:rPr>
        <w:t xml:space="preserve"> </w:t>
      </w:r>
      <w:r w:rsidRPr="00E73F6F">
        <w:t>sei,</w:t>
      </w:r>
      <w:r w:rsidRPr="00E73F6F">
        <w:rPr>
          <w:spacing w:val="-9"/>
        </w:rPr>
        <w:t xml:space="preserve"> </w:t>
      </w:r>
      <w:r w:rsidRPr="00E73F6F">
        <w:t>gaben</w:t>
      </w:r>
      <w:r w:rsidRPr="00E73F6F">
        <w:rPr>
          <w:spacing w:val="-9"/>
        </w:rPr>
        <w:t xml:space="preserve"> </w:t>
      </w:r>
      <w:r w:rsidRPr="00E73F6F">
        <w:t>die</w:t>
      </w:r>
      <w:r w:rsidRPr="00E73F6F">
        <w:rPr>
          <w:spacing w:val="-10"/>
        </w:rPr>
        <w:t xml:space="preserve"> </w:t>
      </w:r>
      <w:r w:rsidRPr="00E73F6F">
        <w:t>Deutschen durchschnittlich 15 Minuten an - mehr als alle anderen. Britische Manager etwa sind mit ihrer Geduld schon nach etwa acht Minuten am Ende. Entgegen den Erwartungen</w:t>
      </w:r>
      <w:r w:rsidRPr="00E73F6F">
        <w:rPr>
          <w:spacing w:val="-2"/>
        </w:rPr>
        <w:t xml:space="preserve"> </w:t>
      </w:r>
      <w:r w:rsidRPr="00E73F6F">
        <w:t>ließen</w:t>
      </w:r>
      <w:r w:rsidRPr="00E73F6F">
        <w:rPr>
          <w:spacing w:val="-2"/>
        </w:rPr>
        <w:t xml:space="preserve"> </w:t>
      </w:r>
      <w:r w:rsidRPr="00E73F6F">
        <w:t>sich</w:t>
      </w:r>
      <w:r w:rsidRPr="00E73F6F">
        <w:rPr>
          <w:spacing w:val="-5"/>
        </w:rPr>
        <w:t xml:space="preserve"> </w:t>
      </w:r>
      <w:r w:rsidRPr="00E73F6F">
        <w:t>die</w:t>
      </w:r>
      <w:r w:rsidRPr="00E73F6F">
        <w:rPr>
          <w:spacing w:val="-3"/>
        </w:rPr>
        <w:t xml:space="preserve"> </w:t>
      </w:r>
      <w:r w:rsidRPr="00E73F6F">
        <w:t>Deutschen</w:t>
      </w:r>
      <w:r w:rsidRPr="00E73F6F">
        <w:rPr>
          <w:spacing w:val="-2"/>
        </w:rPr>
        <w:t xml:space="preserve"> </w:t>
      </w:r>
      <w:r w:rsidRPr="00E73F6F">
        <w:t>ihren</w:t>
      </w:r>
      <w:r w:rsidRPr="00E73F6F">
        <w:rPr>
          <w:spacing w:val="-4"/>
        </w:rPr>
        <w:t xml:space="preserve"> </w:t>
      </w:r>
      <w:r w:rsidRPr="00E73F6F">
        <w:t>Tagesablauf</w:t>
      </w:r>
      <w:r w:rsidRPr="00E73F6F">
        <w:rPr>
          <w:spacing w:val="-3"/>
        </w:rPr>
        <w:t xml:space="preserve"> </w:t>
      </w:r>
      <w:r w:rsidRPr="00E73F6F">
        <w:t>auch</w:t>
      </w:r>
      <w:r w:rsidRPr="00E73F6F">
        <w:rPr>
          <w:spacing w:val="-2"/>
        </w:rPr>
        <w:t xml:space="preserve"> </w:t>
      </w:r>
      <w:r w:rsidRPr="00E73F6F">
        <w:t>am</w:t>
      </w:r>
      <w:r w:rsidRPr="00E73F6F">
        <w:rPr>
          <w:spacing w:val="-6"/>
        </w:rPr>
        <w:t xml:space="preserve"> </w:t>
      </w:r>
      <w:r w:rsidRPr="00E73F6F">
        <w:t>wenigsten</w:t>
      </w:r>
      <w:r w:rsidRPr="00E73F6F">
        <w:rPr>
          <w:spacing w:val="-4"/>
        </w:rPr>
        <w:t xml:space="preserve"> </w:t>
      </w:r>
      <w:r w:rsidRPr="00E73F6F">
        <w:t>von der</w:t>
      </w:r>
      <w:r w:rsidRPr="00E73F6F">
        <w:rPr>
          <w:spacing w:val="-3"/>
        </w:rPr>
        <w:t xml:space="preserve"> </w:t>
      </w:r>
      <w:r w:rsidRPr="00E73F6F">
        <w:t>Zeit</w:t>
      </w:r>
      <w:r w:rsidRPr="00E73F6F">
        <w:rPr>
          <w:spacing w:val="-5"/>
        </w:rPr>
        <w:t xml:space="preserve"> </w:t>
      </w:r>
      <w:r w:rsidRPr="00E73F6F">
        <w:t>diktieren.</w:t>
      </w:r>
      <w:r w:rsidRPr="00E73F6F">
        <w:rPr>
          <w:spacing w:val="-3"/>
        </w:rPr>
        <w:t xml:space="preserve"> </w:t>
      </w:r>
      <w:r w:rsidRPr="00E73F6F">
        <w:t>Ihnen</w:t>
      </w:r>
      <w:r w:rsidRPr="00E73F6F">
        <w:rPr>
          <w:spacing w:val="-2"/>
        </w:rPr>
        <w:t xml:space="preserve"> </w:t>
      </w:r>
      <w:r w:rsidRPr="00E73F6F">
        <w:t>machte</w:t>
      </w:r>
      <w:r w:rsidRPr="00E73F6F">
        <w:rPr>
          <w:spacing w:val="-3"/>
        </w:rPr>
        <w:t xml:space="preserve"> </w:t>
      </w:r>
      <w:r w:rsidRPr="00E73F6F">
        <w:t>es</w:t>
      </w:r>
      <w:r w:rsidRPr="00E73F6F">
        <w:rPr>
          <w:spacing w:val="-3"/>
        </w:rPr>
        <w:t xml:space="preserve"> </w:t>
      </w:r>
      <w:r w:rsidRPr="00E73F6F">
        <w:t>z.B.</w:t>
      </w:r>
      <w:r w:rsidRPr="00E73F6F">
        <w:rPr>
          <w:spacing w:val="-3"/>
        </w:rPr>
        <w:t xml:space="preserve"> </w:t>
      </w:r>
      <w:r w:rsidRPr="00E73F6F">
        <w:t>am</w:t>
      </w:r>
      <w:r w:rsidRPr="00E73F6F">
        <w:rPr>
          <w:spacing w:val="-4"/>
        </w:rPr>
        <w:t xml:space="preserve"> </w:t>
      </w:r>
      <w:r w:rsidRPr="00E73F6F">
        <w:t>wenigsten</w:t>
      </w:r>
      <w:r w:rsidRPr="00E73F6F">
        <w:rPr>
          <w:spacing w:val="-2"/>
        </w:rPr>
        <w:t xml:space="preserve"> </w:t>
      </w:r>
      <w:r w:rsidRPr="00E73F6F">
        <w:t>aus,</w:t>
      </w:r>
      <w:r w:rsidRPr="00E73F6F">
        <w:rPr>
          <w:spacing w:val="-3"/>
        </w:rPr>
        <w:t xml:space="preserve"> </w:t>
      </w:r>
      <w:r w:rsidRPr="00E73F6F">
        <w:t>noch</w:t>
      </w:r>
      <w:r w:rsidRPr="00E73F6F">
        <w:rPr>
          <w:spacing w:val="-4"/>
        </w:rPr>
        <w:t xml:space="preserve"> </w:t>
      </w:r>
      <w:r w:rsidRPr="00E73F6F">
        <w:t>keinen</w:t>
      </w:r>
      <w:r w:rsidRPr="00E73F6F">
        <w:rPr>
          <w:spacing w:val="-2"/>
        </w:rPr>
        <w:t xml:space="preserve"> </w:t>
      </w:r>
      <w:r w:rsidRPr="00E73F6F">
        <w:t>Überblick über die anstehenden Termine zu haben. Auch die Vorstellung, ohne Uhr zurechtzukommen, konnte sie nicht aus der Fassung bringen“ (o.V. 1999, S.16).</w:t>
      </w:r>
    </w:p>
    <w:p w14:paraId="5BCD73D1" w14:textId="77777777" w:rsidR="00FF7799" w:rsidRPr="004C56ED" w:rsidRDefault="00FF7799" w:rsidP="00B61F55">
      <w:pPr>
        <w:pStyle w:val="StandardText"/>
        <w:rPr>
          <w:sz w:val="22"/>
          <w:szCs w:val="22"/>
        </w:rPr>
      </w:pPr>
      <w:r w:rsidRPr="004C56ED">
        <w:rPr>
          <w:b/>
          <w:i/>
          <w:sz w:val="22"/>
          <w:szCs w:val="22"/>
        </w:rPr>
        <w:t>Literatur:</w:t>
      </w:r>
      <w:r w:rsidRPr="004C56ED">
        <w:rPr>
          <w:b/>
          <w:spacing w:val="-11"/>
          <w:sz w:val="22"/>
          <w:szCs w:val="22"/>
        </w:rPr>
        <w:t xml:space="preserve"> </w:t>
      </w:r>
      <w:r w:rsidRPr="004C56ED">
        <w:rPr>
          <w:sz w:val="22"/>
          <w:szCs w:val="22"/>
        </w:rPr>
        <w:t>o.V.</w:t>
      </w:r>
      <w:r w:rsidRPr="004C56ED">
        <w:rPr>
          <w:spacing w:val="-5"/>
          <w:sz w:val="22"/>
          <w:szCs w:val="22"/>
        </w:rPr>
        <w:t xml:space="preserve"> </w:t>
      </w:r>
      <w:r w:rsidRPr="004C56ED">
        <w:rPr>
          <w:sz w:val="22"/>
          <w:szCs w:val="22"/>
        </w:rPr>
        <w:t>(1999):</w:t>
      </w:r>
      <w:r w:rsidRPr="004C56ED">
        <w:rPr>
          <w:spacing w:val="-6"/>
          <w:sz w:val="22"/>
          <w:szCs w:val="22"/>
        </w:rPr>
        <w:t xml:space="preserve"> </w:t>
      </w:r>
      <w:r w:rsidRPr="004C56ED">
        <w:rPr>
          <w:sz w:val="22"/>
          <w:szCs w:val="22"/>
        </w:rPr>
        <w:t>Deutsche</w:t>
      </w:r>
      <w:r w:rsidRPr="004C56ED">
        <w:rPr>
          <w:spacing w:val="-5"/>
          <w:sz w:val="22"/>
          <w:szCs w:val="22"/>
        </w:rPr>
        <w:t xml:space="preserve"> </w:t>
      </w:r>
      <w:r w:rsidRPr="004C56ED">
        <w:rPr>
          <w:sz w:val="22"/>
          <w:szCs w:val="22"/>
        </w:rPr>
        <w:t>Pünktlichkeit</w:t>
      </w:r>
      <w:r w:rsidRPr="004C56ED">
        <w:rPr>
          <w:spacing w:val="-7"/>
          <w:sz w:val="22"/>
          <w:szCs w:val="22"/>
        </w:rPr>
        <w:t xml:space="preserve"> </w:t>
      </w:r>
      <w:r w:rsidRPr="004C56ED">
        <w:rPr>
          <w:sz w:val="22"/>
          <w:szCs w:val="22"/>
        </w:rPr>
        <w:t>ist</w:t>
      </w:r>
      <w:r w:rsidRPr="004C56ED">
        <w:rPr>
          <w:spacing w:val="-8"/>
          <w:sz w:val="22"/>
          <w:szCs w:val="22"/>
        </w:rPr>
        <w:t xml:space="preserve"> </w:t>
      </w:r>
      <w:r w:rsidRPr="004C56ED">
        <w:rPr>
          <w:sz w:val="22"/>
          <w:szCs w:val="22"/>
        </w:rPr>
        <w:t>eine</w:t>
      </w:r>
      <w:r w:rsidRPr="004C56ED">
        <w:rPr>
          <w:spacing w:val="-8"/>
          <w:sz w:val="22"/>
          <w:szCs w:val="22"/>
        </w:rPr>
        <w:t xml:space="preserve"> </w:t>
      </w:r>
      <w:r w:rsidRPr="004C56ED">
        <w:rPr>
          <w:sz w:val="22"/>
          <w:szCs w:val="22"/>
        </w:rPr>
        <w:t>Mär,</w:t>
      </w:r>
      <w:r w:rsidRPr="004C56ED">
        <w:rPr>
          <w:spacing w:val="-5"/>
          <w:sz w:val="22"/>
          <w:szCs w:val="22"/>
        </w:rPr>
        <w:t xml:space="preserve"> </w:t>
      </w:r>
      <w:r w:rsidRPr="004C56ED">
        <w:rPr>
          <w:sz w:val="22"/>
          <w:szCs w:val="22"/>
        </w:rPr>
        <w:t>Süddeutsche</w:t>
      </w:r>
      <w:r w:rsidRPr="004C56ED">
        <w:rPr>
          <w:spacing w:val="-6"/>
          <w:sz w:val="22"/>
          <w:szCs w:val="22"/>
        </w:rPr>
        <w:t xml:space="preserve"> </w:t>
      </w:r>
      <w:r w:rsidRPr="004C56ED">
        <w:rPr>
          <w:sz w:val="22"/>
          <w:szCs w:val="22"/>
        </w:rPr>
        <w:t>Zeitung,</w:t>
      </w:r>
      <w:r w:rsidRPr="004C56ED">
        <w:rPr>
          <w:spacing w:val="-5"/>
          <w:sz w:val="22"/>
          <w:szCs w:val="22"/>
        </w:rPr>
        <w:t xml:space="preserve"> </w:t>
      </w:r>
      <w:r w:rsidRPr="004C56ED">
        <w:rPr>
          <w:spacing w:val="-2"/>
          <w:sz w:val="22"/>
          <w:szCs w:val="22"/>
        </w:rPr>
        <w:t xml:space="preserve">55(295): </w:t>
      </w:r>
      <w:r w:rsidRPr="004C56ED">
        <w:rPr>
          <w:sz w:val="22"/>
          <w:szCs w:val="22"/>
        </w:rPr>
        <w:t>16.</w:t>
      </w:r>
      <w:r w:rsidRPr="004C56ED">
        <w:rPr>
          <w:spacing w:val="67"/>
          <w:sz w:val="22"/>
          <w:szCs w:val="22"/>
        </w:rPr>
        <w:t xml:space="preserve"> </w:t>
      </w:r>
      <w:r w:rsidRPr="004C56ED">
        <w:rPr>
          <w:sz w:val="22"/>
          <w:szCs w:val="22"/>
        </w:rPr>
        <w:t>Roth,</w:t>
      </w:r>
      <w:r w:rsidRPr="004C56ED">
        <w:rPr>
          <w:spacing w:val="-6"/>
          <w:sz w:val="22"/>
          <w:szCs w:val="22"/>
        </w:rPr>
        <w:t xml:space="preserve"> </w:t>
      </w:r>
      <w:r w:rsidRPr="004C56ED">
        <w:rPr>
          <w:sz w:val="22"/>
          <w:szCs w:val="22"/>
        </w:rPr>
        <w:t>J.</w:t>
      </w:r>
      <w:r w:rsidRPr="004C56ED">
        <w:rPr>
          <w:spacing w:val="-3"/>
          <w:sz w:val="22"/>
          <w:szCs w:val="22"/>
        </w:rPr>
        <w:t xml:space="preserve"> </w:t>
      </w:r>
      <w:r w:rsidRPr="004C56ED">
        <w:rPr>
          <w:sz w:val="22"/>
          <w:szCs w:val="22"/>
        </w:rPr>
        <w:t>(2012):</w:t>
      </w:r>
      <w:r w:rsidRPr="004C56ED">
        <w:rPr>
          <w:spacing w:val="-5"/>
          <w:sz w:val="22"/>
          <w:szCs w:val="22"/>
        </w:rPr>
        <w:t xml:space="preserve"> </w:t>
      </w:r>
      <w:r w:rsidRPr="004C56ED">
        <w:rPr>
          <w:sz w:val="22"/>
          <w:szCs w:val="22"/>
        </w:rPr>
        <w:t>Wie</w:t>
      </w:r>
      <w:r w:rsidRPr="004C56ED">
        <w:rPr>
          <w:spacing w:val="-6"/>
          <w:sz w:val="22"/>
          <w:szCs w:val="22"/>
        </w:rPr>
        <w:t xml:space="preserve"> </w:t>
      </w:r>
      <w:r w:rsidRPr="004C56ED">
        <w:rPr>
          <w:sz w:val="22"/>
          <w:szCs w:val="22"/>
        </w:rPr>
        <w:t>die</w:t>
      </w:r>
      <w:r w:rsidRPr="004C56ED">
        <w:rPr>
          <w:spacing w:val="-6"/>
          <w:sz w:val="22"/>
          <w:szCs w:val="22"/>
        </w:rPr>
        <w:t xml:space="preserve"> </w:t>
      </w:r>
      <w:r w:rsidRPr="004C56ED">
        <w:rPr>
          <w:sz w:val="22"/>
          <w:szCs w:val="22"/>
        </w:rPr>
        <w:t>Welt</w:t>
      </w:r>
      <w:r w:rsidRPr="004C56ED">
        <w:rPr>
          <w:spacing w:val="-5"/>
          <w:sz w:val="22"/>
          <w:szCs w:val="22"/>
        </w:rPr>
        <w:t xml:space="preserve"> </w:t>
      </w:r>
      <w:r w:rsidRPr="004C56ED">
        <w:rPr>
          <w:sz w:val="22"/>
          <w:szCs w:val="22"/>
        </w:rPr>
        <w:t>verhandelt.</w:t>
      </w:r>
      <w:r w:rsidRPr="004C56ED">
        <w:rPr>
          <w:spacing w:val="-3"/>
          <w:sz w:val="22"/>
          <w:szCs w:val="22"/>
        </w:rPr>
        <w:t xml:space="preserve"> </w:t>
      </w:r>
      <w:r w:rsidRPr="004C56ED">
        <w:rPr>
          <w:sz w:val="22"/>
          <w:szCs w:val="22"/>
        </w:rPr>
        <w:t>Frankreich,</w:t>
      </w:r>
      <w:r w:rsidRPr="004C56ED">
        <w:rPr>
          <w:spacing w:val="-4"/>
          <w:sz w:val="22"/>
          <w:szCs w:val="22"/>
        </w:rPr>
        <w:t xml:space="preserve"> </w:t>
      </w:r>
      <w:r w:rsidRPr="004C56ED">
        <w:rPr>
          <w:sz w:val="22"/>
          <w:szCs w:val="22"/>
        </w:rPr>
        <w:t>Die</w:t>
      </w:r>
      <w:r w:rsidRPr="004C56ED">
        <w:rPr>
          <w:spacing w:val="-3"/>
          <w:sz w:val="22"/>
          <w:szCs w:val="22"/>
        </w:rPr>
        <w:t xml:space="preserve"> </w:t>
      </w:r>
      <w:r w:rsidRPr="004C56ED">
        <w:rPr>
          <w:sz w:val="22"/>
          <w:szCs w:val="22"/>
        </w:rPr>
        <w:t>Zeit,</w:t>
      </w:r>
      <w:r w:rsidRPr="004C56ED">
        <w:rPr>
          <w:spacing w:val="-6"/>
          <w:sz w:val="22"/>
          <w:szCs w:val="22"/>
        </w:rPr>
        <w:t xml:space="preserve"> </w:t>
      </w:r>
      <w:r w:rsidRPr="004C56ED">
        <w:rPr>
          <w:sz w:val="22"/>
          <w:szCs w:val="22"/>
        </w:rPr>
        <w:t>67(38):</w:t>
      </w:r>
      <w:r w:rsidRPr="004C56ED">
        <w:rPr>
          <w:spacing w:val="-3"/>
          <w:sz w:val="22"/>
          <w:szCs w:val="22"/>
        </w:rPr>
        <w:t xml:space="preserve"> </w:t>
      </w:r>
      <w:r w:rsidRPr="004C56ED">
        <w:rPr>
          <w:spacing w:val="-5"/>
          <w:sz w:val="22"/>
          <w:szCs w:val="22"/>
        </w:rPr>
        <w:t>79.</w:t>
      </w:r>
    </w:p>
    <w:p w14:paraId="73E112AE" w14:textId="77777777" w:rsidR="00FF7799" w:rsidRPr="00E73F6F" w:rsidRDefault="00FF7799" w:rsidP="00B61F55">
      <w:pPr>
        <w:pStyle w:val="StandardText"/>
      </w:pPr>
    </w:p>
    <w:p w14:paraId="1C96A3C9" w14:textId="77777777" w:rsidR="00FF7799" w:rsidRPr="00E73F6F" w:rsidRDefault="00FF7799" w:rsidP="007B4146">
      <w:pPr>
        <w:pStyle w:val="berschrift1"/>
      </w:pPr>
      <w:r w:rsidRPr="003F5EB6">
        <w:rPr>
          <w:color w:val="2E74B5"/>
        </w:rPr>
        <w:t xml:space="preserve">Rabattvorschriften </w:t>
      </w:r>
      <w:r w:rsidRPr="00E73F6F">
        <w:rPr>
          <w:b w:val="0"/>
        </w:rPr>
        <w:t>→</w:t>
      </w:r>
      <w:r w:rsidRPr="00E73F6F">
        <w:rPr>
          <w:b w:val="0"/>
          <w:spacing w:val="-7"/>
        </w:rPr>
        <w:t xml:space="preserve"> </w:t>
      </w:r>
      <w:r w:rsidRPr="00E73F6F">
        <w:rPr>
          <w:b w:val="0"/>
        </w:rPr>
        <w:t>Preisfindung</w:t>
      </w:r>
      <w:r w:rsidRPr="00E73F6F">
        <w:rPr>
          <w:b w:val="0"/>
          <w:spacing w:val="-4"/>
        </w:rPr>
        <w:t xml:space="preserve"> </w:t>
      </w:r>
      <w:r w:rsidRPr="00E73F6F">
        <w:rPr>
          <w:b w:val="0"/>
        </w:rPr>
        <w:t>internationaler</w:t>
      </w:r>
      <w:r w:rsidRPr="00E73F6F">
        <w:rPr>
          <w:b w:val="0"/>
          <w:spacing w:val="-5"/>
        </w:rPr>
        <w:t xml:space="preserve"> </w:t>
      </w:r>
      <w:r w:rsidRPr="00E73F6F">
        <w:rPr>
          <w:b w:val="0"/>
          <w:spacing w:val="-2"/>
        </w:rPr>
        <w:t>Unternehmen</w:t>
      </w:r>
    </w:p>
    <w:p w14:paraId="5A161230" w14:textId="77777777" w:rsidR="00FF7799" w:rsidRPr="003F5EB6" w:rsidRDefault="00FF7799" w:rsidP="007B4146">
      <w:pPr>
        <w:pStyle w:val="berschrift1"/>
        <w:rPr>
          <w:color w:val="2E74B5"/>
        </w:rPr>
      </w:pPr>
      <w:r w:rsidRPr="003F5EB6">
        <w:rPr>
          <w:color w:val="2E74B5"/>
        </w:rPr>
        <w:t xml:space="preserve">Rassenkunde </w:t>
      </w:r>
    </w:p>
    <w:p w14:paraId="1BC48FCF" w14:textId="77777777" w:rsidR="00FF7799" w:rsidRPr="00163FEF" w:rsidRDefault="00FF7799" w:rsidP="00B61F55">
      <w:pPr>
        <w:pStyle w:val="StandardText"/>
      </w:pPr>
      <w:r w:rsidRPr="00163FEF">
        <w:t xml:space="preserve">Teilgebiet der biologischen </w:t>
      </w:r>
      <w:r w:rsidR="00B70510" w:rsidRPr="00163FEF">
        <w:sym w:font="Symbol" w:char="F0DE"/>
      </w:r>
      <w:r w:rsidR="00B70510" w:rsidRPr="00163FEF">
        <w:t xml:space="preserve"> </w:t>
      </w:r>
      <w:r w:rsidRPr="00163FEF">
        <w:t>Anthropologie</w:t>
      </w:r>
      <w:r w:rsidR="00163FEF" w:rsidRPr="00163FEF">
        <w:t xml:space="preserve">, die zum </w:t>
      </w:r>
      <w:r w:rsidR="00163FEF" w:rsidRPr="00163FEF">
        <w:sym w:font="Symbol" w:char="F0DE"/>
      </w:r>
      <w:r w:rsidR="00163FEF" w:rsidRPr="00163FEF">
        <w:t xml:space="preserve"> Rassismus verkommen ist</w:t>
      </w:r>
      <w:r w:rsidRPr="00163FEF">
        <w:t>. Die Rassenkunde befasst sich mit Rassen. Damit ist eine Gruppe von Menschen (bzw. Tieren) gemeint, die sich in ihren Erbanlagen ähnelt und darin zugleich von anderen Rassen unterscheidbar ist.</w:t>
      </w:r>
      <w:r w:rsidR="00B70510" w:rsidRPr="00163FEF">
        <w:t xml:space="preserve"> </w:t>
      </w:r>
      <w:r w:rsidR="00B70510">
        <w:t>Wissenschaftlich ist „längst widerlegt, dass es so etwas wie Menschen"rassen" gibt. Aber trotzdem halten viele weiterhin daran fest. Genetisch-biologisch spielt das Konzept also schon längst keine Rolle mehr – gesellschaftlich jedoch sehr wohl</w:t>
      </w:r>
      <w:r w:rsidR="00163FEF">
        <w:t>“ (Klattmann 2025)</w:t>
      </w:r>
      <w:r w:rsidR="00B70510">
        <w:t>.</w:t>
      </w:r>
    </w:p>
    <w:p w14:paraId="5ECDBFE7" w14:textId="77777777" w:rsidR="00FF7799" w:rsidRPr="00163FEF" w:rsidRDefault="00FF7799" w:rsidP="00B61F55">
      <w:pPr>
        <w:pStyle w:val="StandardText"/>
      </w:pPr>
      <w:r w:rsidRPr="00163FEF">
        <w:t xml:space="preserve">Der Begriff der Rasse lässt sich auf 'ras' (arab. = Kopf) zurückführen. Damit wird zum Ausdruck gebracht, dass eine bestimmte Gruppe von Lebewesen sich aufgrund gemeinsamer Erbanlagen auch äußerlich von anderen Rassen unterscheidet (z.B. in der Kopfform). In Abgrenzung zur „ethnischen Gruppe“ wurde das </w:t>
      </w:r>
      <w:r w:rsidRPr="00163FEF">
        <w:rPr>
          <w:rFonts w:ascii="Cambria Math" w:hAnsi="Cambria Math" w:cs="Cambria Math"/>
        </w:rPr>
        <w:t>⇒</w:t>
      </w:r>
      <w:r w:rsidRPr="00163FEF">
        <w:t xml:space="preserve"> Konstrukt „Rasse“ meist ideologisch, benutzt und verstanden (d.h. als Kampfbegriff). Unterstellt wird die (genetisch begründete) Überlegenheit einer: </w:t>
      </w:r>
      <w:r w:rsidRPr="00163FEF">
        <w:lastRenderedPageBreak/>
        <w:t>gewöhnlich der eigenen Rasse. Und die sog. Rassenfrage thematisiert soziopolitische Probleme, die aus dem Zusammenleben mehrerer Rassen innerhalb eines Staatsgebietes erwachsen können.</w:t>
      </w:r>
    </w:p>
    <w:p w14:paraId="1647FA9B" w14:textId="77777777" w:rsidR="00FF7799" w:rsidRPr="00163FEF" w:rsidRDefault="00FF7799" w:rsidP="00B61F55">
      <w:pPr>
        <w:pStyle w:val="StandardText"/>
      </w:pPr>
      <w:r w:rsidRPr="00163FEF">
        <w:t>Rassentheoretiker</w:t>
      </w:r>
      <w:r w:rsidRPr="00163FEF">
        <w:rPr>
          <w:spacing w:val="-6"/>
        </w:rPr>
        <w:t xml:space="preserve"> </w:t>
      </w:r>
      <w:r w:rsidRPr="00163FEF">
        <w:t>haben</w:t>
      </w:r>
      <w:r w:rsidRPr="00163FEF">
        <w:rPr>
          <w:spacing w:val="-5"/>
        </w:rPr>
        <w:t xml:space="preserve"> </w:t>
      </w:r>
      <w:r w:rsidRPr="00163FEF">
        <w:t>immer</w:t>
      </w:r>
      <w:r w:rsidRPr="00163FEF">
        <w:rPr>
          <w:spacing w:val="-6"/>
        </w:rPr>
        <w:t xml:space="preserve"> </w:t>
      </w:r>
      <w:r w:rsidRPr="00163FEF">
        <w:t>wieder</w:t>
      </w:r>
      <w:r w:rsidRPr="00163FEF">
        <w:rPr>
          <w:spacing w:val="-6"/>
        </w:rPr>
        <w:t xml:space="preserve"> </w:t>
      </w:r>
      <w:r w:rsidRPr="00163FEF">
        <w:t>versucht,</w:t>
      </w:r>
      <w:r w:rsidRPr="00163FEF">
        <w:rPr>
          <w:spacing w:val="-6"/>
        </w:rPr>
        <w:t xml:space="preserve"> </w:t>
      </w:r>
      <w:r w:rsidRPr="00163FEF">
        <w:t>Zusammenhänge</w:t>
      </w:r>
      <w:r w:rsidRPr="00163FEF">
        <w:rPr>
          <w:spacing w:val="-7"/>
        </w:rPr>
        <w:t xml:space="preserve"> </w:t>
      </w:r>
      <w:r w:rsidRPr="00163FEF">
        <w:t>zwischen</w:t>
      </w:r>
      <w:r w:rsidRPr="00163FEF">
        <w:rPr>
          <w:spacing w:val="-5"/>
        </w:rPr>
        <w:t xml:space="preserve"> </w:t>
      </w:r>
      <w:r w:rsidRPr="00163FEF">
        <w:t>einer Kultur</w:t>
      </w:r>
      <w:r w:rsidRPr="00163FEF">
        <w:rPr>
          <w:spacing w:val="-10"/>
        </w:rPr>
        <w:t xml:space="preserve"> </w:t>
      </w:r>
      <w:r w:rsidRPr="00163FEF">
        <w:t>und</w:t>
      </w:r>
      <w:r w:rsidRPr="00163FEF">
        <w:rPr>
          <w:spacing w:val="-10"/>
        </w:rPr>
        <w:t xml:space="preserve"> </w:t>
      </w:r>
      <w:r w:rsidRPr="00163FEF">
        <w:t>der</w:t>
      </w:r>
      <w:r w:rsidRPr="00163FEF">
        <w:rPr>
          <w:spacing w:val="-9"/>
        </w:rPr>
        <w:t xml:space="preserve"> </w:t>
      </w:r>
      <w:r w:rsidRPr="00163FEF">
        <w:t>rassischen</w:t>
      </w:r>
      <w:r w:rsidRPr="00163FEF">
        <w:rPr>
          <w:spacing w:val="-10"/>
        </w:rPr>
        <w:t xml:space="preserve"> </w:t>
      </w:r>
      <w:r w:rsidRPr="00163FEF">
        <w:t>bzw.</w:t>
      </w:r>
      <w:r w:rsidRPr="00163FEF">
        <w:rPr>
          <w:spacing w:val="-8"/>
        </w:rPr>
        <w:t xml:space="preserve"> </w:t>
      </w:r>
      <w:r w:rsidRPr="00163FEF">
        <w:t>morphologischen</w:t>
      </w:r>
      <w:r w:rsidRPr="00163FEF">
        <w:rPr>
          <w:spacing w:val="-8"/>
        </w:rPr>
        <w:t xml:space="preserve"> </w:t>
      </w:r>
      <w:r w:rsidRPr="00163FEF">
        <w:t>bzw.</w:t>
      </w:r>
      <w:r w:rsidRPr="00163FEF">
        <w:rPr>
          <w:spacing w:val="-10"/>
        </w:rPr>
        <w:t xml:space="preserve"> </w:t>
      </w:r>
      <w:r w:rsidRPr="00163FEF">
        <w:t>genetischen</w:t>
      </w:r>
      <w:r w:rsidRPr="00163FEF">
        <w:rPr>
          <w:spacing w:val="-10"/>
        </w:rPr>
        <w:t xml:space="preserve"> </w:t>
      </w:r>
      <w:r w:rsidRPr="00163FEF">
        <w:t>Beschaffenheit ihrer Schöpfer bzw. Träg</w:t>
      </w:r>
      <w:r w:rsidR="00163FEF" w:rsidRPr="00163FEF">
        <w:t xml:space="preserve">er nachzuweisen und dabei dem </w:t>
      </w:r>
      <w:r w:rsidRPr="00163FEF">
        <w:t>Rassismus den Weg bereitet. Denn viele Rassentheoretiker argumentierten nicht wissenschaftlich- zweckfrei,</w:t>
      </w:r>
      <w:r w:rsidRPr="00163FEF">
        <w:rPr>
          <w:spacing w:val="-3"/>
        </w:rPr>
        <w:t xml:space="preserve"> </w:t>
      </w:r>
      <w:r w:rsidRPr="00163FEF">
        <w:t>sondern</w:t>
      </w:r>
      <w:r w:rsidRPr="00163FEF">
        <w:rPr>
          <w:spacing w:val="-5"/>
        </w:rPr>
        <w:t xml:space="preserve"> </w:t>
      </w:r>
      <w:r w:rsidRPr="00163FEF">
        <w:t>opportunistisch.</w:t>
      </w:r>
      <w:r w:rsidRPr="00163FEF">
        <w:rPr>
          <w:spacing w:val="-4"/>
        </w:rPr>
        <w:t xml:space="preserve"> </w:t>
      </w:r>
      <w:r w:rsidRPr="00163FEF">
        <w:t>Schon</w:t>
      </w:r>
      <w:r w:rsidRPr="00163FEF">
        <w:rPr>
          <w:spacing w:val="-5"/>
        </w:rPr>
        <w:t xml:space="preserve"> </w:t>
      </w:r>
      <w:r w:rsidRPr="00163FEF">
        <w:t>die</w:t>
      </w:r>
      <w:r w:rsidRPr="00163FEF">
        <w:rPr>
          <w:spacing w:val="-4"/>
        </w:rPr>
        <w:t xml:space="preserve"> </w:t>
      </w:r>
      <w:r w:rsidRPr="00163FEF">
        <w:t>von Henri</w:t>
      </w:r>
      <w:r w:rsidRPr="00163FEF">
        <w:rPr>
          <w:spacing w:val="-4"/>
        </w:rPr>
        <w:t xml:space="preserve"> </w:t>
      </w:r>
      <w:r w:rsidRPr="00163FEF">
        <w:t>de</w:t>
      </w:r>
      <w:r w:rsidRPr="00163FEF">
        <w:rPr>
          <w:spacing w:val="-5"/>
        </w:rPr>
        <w:t xml:space="preserve"> </w:t>
      </w:r>
      <w:r w:rsidRPr="00163FEF">
        <w:t>Boulainvillier</w:t>
      </w:r>
      <w:r w:rsidRPr="00163FEF">
        <w:rPr>
          <w:spacing w:val="-2"/>
        </w:rPr>
        <w:t xml:space="preserve"> </w:t>
      </w:r>
      <w:r w:rsidRPr="00163FEF">
        <w:t>(1658-1722) formulierte Zwei-Rassen-Theorie war primär dazu bestimmt, die Überlegenheit der Germanen über die Kelten zu begründen und dadurch die damals in Frankreich bestehenden Machtverhältnisse zu rechtfertigen.</w:t>
      </w:r>
    </w:p>
    <w:p w14:paraId="6265BF2F" w14:textId="77777777" w:rsidR="00FF7799" w:rsidRPr="00E73F6F" w:rsidRDefault="00FF7799" w:rsidP="00B61F55">
      <w:pPr>
        <w:pStyle w:val="StandardText"/>
      </w:pPr>
      <w:r w:rsidRPr="00E73F6F">
        <w:t>Im</w:t>
      </w:r>
      <w:r w:rsidRPr="00E73F6F">
        <w:rPr>
          <w:spacing w:val="-7"/>
        </w:rPr>
        <w:t xml:space="preserve"> </w:t>
      </w:r>
      <w:r w:rsidRPr="00E73F6F">
        <w:t>weiteren</w:t>
      </w:r>
      <w:r w:rsidRPr="00E73F6F">
        <w:rPr>
          <w:spacing w:val="-5"/>
        </w:rPr>
        <w:t xml:space="preserve"> </w:t>
      </w:r>
      <w:r w:rsidRPr="00E73F6F">
        <w:t>Verlauf</w:t>
      </w:r>
      <w:r w:rsidRPr="00E73F6F">
        <w:rPr>
          <w:spacing w:val="-8"/>
        </w:rPr>
        <w:t xml:space="preserve"> </w:t>
      </w:r>
      <w:r w:rsidRPr="00E73F6F">
        <w:t>der</w:t>
      </w:r>
      <w:r w:rsidRPr="00E73F6F">
        <w:rPr>
          <w:spacing w:val="-6"/>
        </w:rPr>
        <w:t xml:space="preserve"> </w:t>
      </w:r>
      <w:r w:rsidRPr="00E73F6F">
        <w:t>Geschichte</w:t>
      </w:r>
      <w:r w:rsidRPr="00E73F6F">
        <w:rPr>
          <w:spacing w:val="-7"/>
        </w:rPr>
        <w:t xml:space="preserve"> </w:t>
      </w:r>
      <w:r w:rsidRPr="00E73F6F">
        <w:t>manifestierte</w:t>
      </w:r>
      <w:r w:rsidRPr="00E73F6F">
        <w:rPr>
          <w:spacing w:val="-7"/>
        </w:rPr>
        <w:t xml:space="preserve"> </w:t>
      </w:r>
      <w:r w:rsidRPr="00E73F6F">
        <w:t>sich</w:t>
      </w:r>
      <w:r w:rsidRPr="00E73F6F">
        <w:rPr>
          <w:spacing w:val="-8"/>
        </w:rPr>
        <w:t xml:space="preserve"> </w:t>
      </w:r>
      <w:r w:rsidRPr="00E73F6F">
        <w:t>das</w:t>
      </w:r>
      <w:r w:rsidRPr="00E73F6F">
        <w:rPr>
          <w:spacing w:val="-7"/>
        </w:rPr>
        <w:t xml:space="preserve"> </w:t>
      </w:r>
      <w:r w:rsidRPr="00E73F6F">
        <w:t>rassistische</w:t>
      </w:r>
      <w:r w:rsidRPr="00E73F6F">
        <w:rPr>
          <w:spacing w:val="-7"/>
        </w:rPr>
        <w:t xml:space="preserve"> </w:t>
      </w:r>
      <w:r w:rsidRPr="00E73F6F">
        <w:t>Denken</w:t>
      </w:r>
      <w:r w:rsidRPr="00E73F6F">
        <w:rPr>
          <w:spacing w:val="-8"/>
        </w:rPr>
        <w:t xml:space="preserve"> </w:t>
      </w:r>
      <w:r w:rsidRPr="00E73F6F">
        <w:t xml:space="preserve">auf schreckliche und vielfältige Weise: Vor allen im mörderischen Rassenwahn der Nationalsozialisten, aber auch in der Apartheid südafrikanischer Prägung und anderen Eruptionen von Rassismus (bspw. der Unterjochung Ostasiens durch </w:t>
      </w:r>
      <w:r w:rsidRPr="00E73F6F">
        <w:rPr>
          <w:spacing w:val="-2"/>
        </w:rPr>
        <w:t>Japan).</w:t>
      </w:r>
    </w:p>
    <w:p w14:paraId="746454B9" w14:textId="77777777" w:rsidR="00FF7799" w:rsidRPr="00163FEF" w:rsidRDefault="00FF7799" w:rsidP="00B61F55">
      <w:pPr>
        <w:pStyle w:val="StandardText"/>
      </w:pPr>
      <w:r w:rsidRPr="00163FEF">
        <w:t xml:space="preserve">Wesentlich zur Lehre von der angeblich </w:t>
      </w:r>
      <w:r w:rsidR="00163FEF" w:rsidRPr="00163FEF">
        <w:t xml:space="preserve">(!) </w:t>
      </w:r>
      <w:r w:rsidRPr="00163FEF">
        <w:t>genetisch bedingt minderwertigen intellektuellen Ausstattung fremder Rassen beigetragen hat die Vorstellung einer zur Herrschaft berufenen Elite-Rasse: die Arier. Entsprechende Überlegungen lassen sich u.a. in den Werken von F. Nietzsche und R. Wagner nachweisen. Vor dem Hintergrund des durch den Sozialdarwinismus theoretisch begründeten Ausleseprinzips</w:t>
      </w:r>
      <w:r w:rsidRPr="00163FEF">
        <w:rPr>
          <w:spacing w:val="7"/>
        </w:rPr>
        <w:t xml:space="preserve"> </w:t>
      </w:r>
      <w:r w:rsidRPr="00163FEF">
        <w:t>verschmolzen</w:t>
      </w:r>
      <w:r w:rsidRPr="00163FEF">
        <w:rPr>
          <w:spacing w:val="11"/>
        </w:rPr>
        <w:t xml:space="preserve"> </w:t>
      </w:r>
      <w:r w:rsidRPr="00163FEF">
        <w:t>rassistische</w:t>
      </w:r>
      <w:r w:rsidRPr="00163FEF">
        <w:rPr>
          <w:spacing w:val="9"/>
        </w:rPr>
        <w:t xml:space="preserve"> </w:t>
      </w:r>
      <w:r w:rsidRPr="00163FEF">
        <w:t>und</w:t>
      </w:r>
      <w:r w:rsidRPr="00163FEF">
        <w:rPr>
          <w:spacing w:val="9"/>
        </w:rPr>
        <w:t xml:space="preserve"> </w:t>
      </w:r>
      <w:r w:rsidRPr="00163FEF">
        <w:t>nationalistische</w:t>
      </w:r>
      <w:r w:rsidRPr="00163FEF">
        <w:rPr>
          <w:spacing w:val="9"/>
        </w:rPr>
        <w:t xml:space="preserve"> </w:t>
      </w:r>
      <w:r w:rsidRPr="00163FEF">
        <w:t>(Wahn-)Ideen</w:t>
      </w:r>
      <w:r w:rsidRPr="00163FEF">
        <w:rPr>
          <w:spacing w:val="10"/>
        </w:rPr>
        <w:t xml:space="preserve"> </w:t>
      </w:r>
      <w:r w:rsidRPr="00163FEF">
        <w:rPr>
          <w:spacing w:val="-5"/>
        </w:rPr>
        <w:t>im</w:t>
      </w:r>
      <w:r w:rsidRPr="00163FEF">
        <w:t xml:space="preserve"> 20. Jahrhundert zum Nationalsozialismus, dessen paranoides Denken die bislang schrecklichste</w:t>
      </w:r>
      <w:r w:rsidRPr="00163FEF">
        <w:rPr>
          <w:spacing w:val="-9"/>
        </w:rPr>
        <w:t xml:space="preserve"> </w:t>
      </w:r>
      <w:r w:rsidRPr="00163FEF">
        <w:t>Tragödie</w:t>
      </w:r>
      <w:r w:rsidRPr="00163FEF">
        <w:rPr>
          <w:spacing w:val="-9"/>
        </w:rPr>
        <w:t xml:space="preserve"> </w:t>
      </w:r>
      <w:r w:rsidRPr="00163FEF">
        <w:t>der</w:t>
      </w:r>
      <w:r w:rsidRPr="00163FEF">
        <w:rPr>
          <w:spacing w:val="-9"/>
        </w:rPr>
        <w:t xml:space="preserve"> </w:t>
      </w:r>
      <w:r w:rsidRPr="00163FEF">
        <w:t>Weltgeschichte</w:t>
      </w:r>
      <w:r w:rsidRPr="00163FEF">
        <w:rPr>
          <w:spacing w:val="-9"/>
        </w:rPr>
        <w:t xml:space="preserve"> </w:t>
      </w:r>
      <w:r w:rsidRPr="00163FEF">
        <w:t>heraufbeschwor.</w:t>
      </w:r>
      <w:r w:rsidRPr="00163FEF">
        <w:rPr>
          <w:spacing w:val="-8"/>
        </w:rPr>
        <w:t xml:space="preserve"> </w:t>
      </w:r>
      <w:r w:rsidRPr="00163FEF">
        <w:t>„Am</w:t>
      </w:r>
      <w:r w:rsidRPr="00163FEF">
        <w:rPr>
          <w:spacing w:val="-10"/>
        </w:rPr>
        <w:t xml:space="preserve"> </w:t>
      </w:r>
      <w:r w:rsidRPr="00163FEF">
        <w:t>radikalsten</w:t>
      </w:r>
      <w:r w:rsidRPr="00163FEF">
        <w:rPr>
          <w:spacing w:val="-8"/>
        </w:rPr>
        <w:t xml:space="preserve"> </w:t>
      </w:r>
      <w:r w:rsidRPr="00163FEF">
        <w:t>und grausamsten wirkte</w:t>
      </w:r>
      <w:r w:rsidRPr="00163FEF">
        <w:rPr>
          <w:spacing w:val="-3"/>
        </w:rPr>
        <w:t xml:space="preserve"> </w:t>
      </w:r>
      <w:r w:rsidRPr="00163FEF">
        <w:t>der</w:t>
      </w:r>
      <w:r w:rsidRPr="00163FEF">
        <w:rPr>
          <w:spacing w:val="-3"/>
        </w:rPr>
        <w:t xml:space="preserve"> </w:t>
      </w:r>
      <w:r w:rsidRPr="00163FEF">
        <w:t>Rassismus</w:t>
      </w:r>
      <w:r w:rsidRPr="00163FEF">
        <w:rPr>
          <w:spacing w:val="-1"/>
        </w:rPr>
        <w:t xml:space="preserve"> </w:t>
      </w:r>
      <w:r w:rsidRPr="00163FEF">
        <w:t>der Nazis,</w:t>
      </w:r>
      <w:r w:rsidRPr="00163FEF">
        <w:rPr>
          <w:spacing w:val="-2"/>
        </w:rPr>
        <w:t xml:space="preserve"> </w:t>
      </w:r>
      <w:r w:rsidRPr="00163FEF">
        <w:t>ihre</w:t>
      </w:r>
      <w:r w:rsidRPr="00163FEF">
        <w:rPr>
          <w:spacing w:val="-4"/>
        </w:rPr>
        <w:t xml:space="preserve"> </w:t>
      </w:r>
      <w:r w:rsidRPr="00163FEF">
        <w:t>archaische</w:t>
      </w:r>
      <w:r w:rsidRPr="00163FEF">
        <w:rPr>
          <w:spacing w:val="-1"/>
        </w:rPr>
        <w:t xml:space="preserve"> </w:t>
      </w:r>
      <w:r w:rsidRPr="00163FEF">
        <w:t>Aufteilung</w:t>
      </w:r>
      <w:r w:rsidRPr="00163FEF">
        <w:rPr>
          <w:spacing w:val="-2"/>
        </w:rPr>
        <w:t xml:space="preserve"> </w:t>
      </w:r>
      <w:r w:rsidRPr="00163FEF">
        <w:t>der</w:t>
      </w:r>
      <w:r w:rsidRPr="00163FEF">
        <w:rPr>
          <w:spacing w:val="-3"/>
        </w:rPr>
        <w:t xml:space="preserve"> </w:t>
      </w:r>
      <w:r w:rsidRPr="00163FEF">
        <w:t>Welt in Arier und Untermenschen: der eliminatorische Antisemitismus, der am Ende zum Holocaust führte. Daneben existiert eine Art</w:t>
      </w:r>
      <w:r w:rsidRPr="00163FEF">
        <w:rPr>
          <w:spacing w:val="-1"/>
        </w:rPr>
        <w:t xml:space="preserve"> </w:t>
      </w:r>
      <w:r w:rsidRPr="00163FEF">
        <w:t>alltäglicher Rassismus, der</w:t>
      </w:r>
      <w:r w:rsidRPr="00163FEF">
        <w:rPr>
          <w:spacing w:val="-1"/>
        </w:rPr>
        <w:t xml:space="preserve"> </w:t>
      </w:r>
      <w:r w:rsidRPr="00163FEF">
        <w:t>sich gegen Ausländer richtet und aus dumpfen sozialen Bedrohungsängsten herrührt. In</w:t>
      </w:r>
      <w:r w:rsidRPr="00163FEF">
        <w:rPr>
          <w:spacing w:val="-6"/>
        </w:rPr>
        <w:t xml:space="preserve"> </w:t>
      </w:r>
      <w:r w:rsidRPr="00163FEF">
        <w:t>jüngster</w:t>
      </w:r>
      <w:r w:rsidRPr="00163FEF">
        <w:rPr>
          <w:spacing w:val="-7"/>
        </w:rPr>
        <w:t xml:space="preserve"> </w:t>
      </w:r>
      <w:r w:rsidRPr="00163FEF">
        <w:t>Zeit</w:t>
      </w:r>
      <w:r w:rsidRPr="00163FEF">
        <w:rPr>
          <w:spacing w:val="-6"/>
        </w:rPr>
        <w:t xml:space="preserve"> </w:t>
      </w:r>
      <w:r w:rsidRPr="00163FEF">
        <w:t>hat</w:t>
      </w:r>
      <w:r w:rsidRPr="00163FEF">
        <w:rPr>
          <w:spacing w:val="-6"/>
        </w:rPr>
        <w:t xml:space="preserve"> </w:t>
      </w:r>
      <w:r w:rsidRPr="00163FEF">
        <w:t>eine</w:t>
      </w:r>
      <w:r w:rsidRPr="00163FEF">
        <w:rPr>
          <w:spacing w:val="-7"/>
        </w:rPr>
        <w:t xml:space="preserve"> </w:t>
      </w:r>
      <w:r w:rsidRPr="00163FEF">
        <w:t>dritte</w:t>
      </w:r>
      <w:r w:rsidRPr="00163FEF">
        <w:rPr>
          <w:spacing w:val="-7"/>
        </w:rPr>
        <w:t xml:space="preserve"> </w:t>
      </w:r>
      <w:r w:rsidRPr="00163FEF">
        <w:t>Form</w:t>
      </w:r>
      <w:r w:rsidRPr="00163FEF">
        <w:rPr>
          <w:spacing w:val="-8"/>
        </w:rPr>
        <w:t xml:space="preserve"> </w:t>
      </w:r>
      <w:r w:rsidRPr="00163FEF">
        <w:t>größere</w:t>
      </w:r>
      <w:r w:rsidRPr="00163FEF">
        <w:rPr>
          <w:spacing w:val="-7"/>
        </w:rPr>
        <w:t xml:space="preserve"> </w:t>
      </w:r>
      <w:r w:rsidRPr="00163FEF">
        <w:t>Aufmerksamkeit</w:t>
      </w:r>
      <w:r w:rsidRPr="00163FEF">
        <w:rPr>
          <w:spacing w:val="-6"/>
        </w:rPr>
        <w:t xml:space="preserve"> </w:t>
      </w:r>
      <w:r w:rsidRPr="00163FEF">
        <w:t>gefunden,</w:t>
      </w:r>
      <w:r w:rsidRPr="00163FEF">
        <w:rPr>
          <w:spacing w:val="-6"/>
        </w:rPr>
        <w:t xml:space="preserve"> </w:t>
      </w:r>
      <w:r w:rsidRPr="00163FEF">
        <w:t>die</w:t>
      </w:r>
      <w:r w:rsidRPr="00163FEF">
        <w:rPr>
          <w:spacing w:val="-7"/>
        </w:rPr>
        <w:t xml:space="preserve"> </w:t>
      </w:r>
      <w:r w:rsidRPr="00163FEF">
        <w:t>jenem Moment des Irrationalen, das die beiden anderen Formen auszeichnet, auf den ersten Blick zu widersprechen scheint: der wissenschaftliche Rassismus der Eugeniker, Anthropologen, Rassenkundler und Humanbiologen“ (vgl. Geulen 1999, S.16).</w:t>
      </w:r>
    </w:p>
    <w:p w14:paraId="48133791" w14:textId="77777777" w:rsidR="00FF7799" w:rsidRPr="00163FEF" w:rsidRDefault="00FF7799" w:rsidP="00B61F55">
      <w:pPr>
        <w:pStyle w:val="StandardText"/>
      </w:pPr>
      <w:r w:rsidRPr="00163FEF">
        <w:t>Tatsächlich aber gibt es keinen überzeugenden wissenschaftlichen Beleg dafür, dass menschliche Populationen sich in genetisch bedingten Merkmalen von sozialer Relevanz voneinander unterscheiden und deshalb höher- oder minderwertiger</w:t>
      </w:r>
      <w:r w:rsidRPr="00163FEF">
        <w:rPr>
          <w:spacing w:val="-6"/>
        </w:rPr>
        <w:t xml:space="preserve"> </w:t>
      </w:r>
      <w:r w:rsidRPr="00163FEF">
        <w:t>als</w:t>
      </w:r>
      <w:r w:rsidRPr="00163FEF">
        <w:rPr>
          <w:spacing w:val="-9"/>
        </w:rPr>
        <w:t xml:space="preserve"> </w:t>
      </w:r>
      <w:r w:rsidRPr="00163FEF">
        <w:t>andere</w:t>
      </w:r>
      <w:r w:rsidRPr="00163FEF">
        <w:rPr>
          <w:spacing w:val="-7"/>
        </w:rPr>
        <w:t xml:space="preserve"> </w:t>
      </w:r>
      <w:r w:rsidRPr="00163FEF">
        <w:t>sein</w:t>
      </w:r>
      <w:r w:rsidRPr="00163FEF">
        <w:rPr>
          <w:spacing w:val="-5"/>
        </w:rPr>
        <w:t xml:space="preserve"> </w:t>
      </w:r>
      <w:r w:rsidRPr="00163FEF">
        <w:t>sollten.</w:t>
      </w:r>
      <w:r w:rsidRPr="00163FEF">
        <w:rPr>
          <w:spacing w:val="-6"/>
        </w:rPr>
        <w:t xml:space="preserve"> </w:t>
      </w:r>
      <w:r w:rsidRPr="00163FEF">
        <w:t>Die</w:t>
      </w:r>
      <w:r w:rsidRPr="00163FEF">
        <w:rPr>
          <w:spacing w:val="-9"/>
        </w:rPr>
        <w:t xml:space="preserve"> </w:t>
      </w:r>
      <w:r w:rsidRPr="00163FEF">
        <w:t>moderne</w:t>
      </w:r>
      <w:r w:rsidRPr="00163FEF">
        <w:rPr>
          <w:spacing w:val="-7"/>
        </w:rPr>
        <w:t xml:space="preserve"> </w:t>
      </w:r>
      <w:r w:rsidRPr="00163FEF">
        <w:t>Populationsgenetik</w:t>
      </w:r>
      <w:r w:rsidRPr="00163FEF">
        <w:rPr>
          <w:spacing w:val="-8"/>
        </w:rPr>
        <w:t xml:space="preserve"> </w:t>
      </w:r>
      <w:r w:rsidRPr="00163FEF">
        <w:t>bestätigte die von C. Darwin</w:t>
      </w:r>
      <w:r w:rsidRPr="00163FEF">
        <w:rPr>
          <w:spacing w:val="40"/>
        </w:rPr>
        <w:t xml:space="preserve"> </w:t>
      </w:r>
      <w:r w:rsidRPr="00163FEF">
        <w:t>schon frühzeitig in seinem zweiten Hauptwerk („Die Abstammung des Menschen“) formulierte Vermutung weitgehend: Dass die verschiedenen</w:t>
      </w:r>
      <w:r w:rsidRPr="00163FEF">
        <w:rPr>
          <w:spacing w:val="-4"/>
        </w:rPr>
        <w:t xml:space="preserve"> </w:t>
      </w:r>
      <w:r w:rsidRPr="00163FEF">
        <w:t>Menschenrassen</w:t>
      </w:r>
      <w:r w:rsidRPr="00163FEF">
        <w:rPr>
          <w:spacing w:val="-4"/>
        </w:rPr>
        <w:t xml:space="preserve"> </w:t>
      </w:r>
      <w:r w:rsidRPr="00163FEF">
        <w:t>allmählich</w:t>
      </w:r>
      <w:r w:rsidRPr="00163FEF">
        <w:rPr>
          <w:spacing w:val="-4"/>
        </w:rPr>
        <w:t xml:space="preserve"> </w:t>
      </w:r>
      <w:r w:rsidRPr="00163FEF">
        <w:t>ineinander</w:t>
      </w:r>
      <w:r w:rsidRPr="00163FEF">
        <w:rPr>
          <w:spacing w:val="-5"/>
        </w:rPr>
        <w:t xml:space="preserve"> </w:t>
      </w:r>
      <w:r w:rsidRPr="00163FEF">
        <w:t>übergehen</w:t>
      </w:r>
      <w:r w:rsidRPr="00163FEF">
        <w:rPr>
          <w:spacing w:val="-4"/>
        </w:rPr>
        <w:t xml:space="preserve"> </w:t>
      </w:r>
      <w:r w:rsidRPr="00163FEF">
        <w:t>werden</w:t>
      </w:r>
      <w:r w:rsidRPr="00163FEF">
        <w:rPr>
          <w:spacing w:val="-4"/>
        </w:rPr>
        <w:t xml:space="preserve"> </w:t>
      </w:r>
      <w:r w:rsidRPr="00163FEF">
        <w:t>und</w:t>
      </w:r>
      <w:r w:rsidRPr="00163FEF">
        <w:rPr>
          <w:spacing w:val="-4"/>
        </w:rPr>
        <w:t xml:space="preserve"> </w:t>
      </w:r>
      <w:r w:rsidRPr="00163FEF">
        <w:t>sich nicht mehr eindeutig voneinander unterscheiden lassen. (vgl. Shipman 1995).</w:t>
      </w:r>
    </w:p>
    <w:p w14:paraId="244780FB" w14:textId="77777777" w:rsidR="00FF7799" w:rsidRPr="00163FEF" w:rsidRDefault="00FF7799" w:rsidP="00B61F55">
      <w:pPr>
        <w:pStyle w:val="StandardText"/>
      </w:pPr>
      <w:r w:rsidRPr="00163FEF">
        <w:t>Äußere Merkmale (z.B. Körpergröße, Hautfarbe) hängen demnach stärker von Umwelteinflüssen (z.B. Ernährung, Sonneneinstrahlung) ab als vom genetischen Code.</w:t>
      </w:r>
      <w:r w:rsidRPr="00163FEF">
        <w:rPr>
          <w:spacing w:val="-5"/>
        </w:rPr>
        <w:t xml:space="preserve"> </w:t>
      </w:r>
      <w:r w:rsidRPr="00163FEF">
        <w:t>Vor</w:t>
      </w:r>
      <w:r w:rsidRPr="00163FEF">
        <w:rPr>
          <w:spacing w:val="-5"/>
        </w:rPr>
        <w:t xml:space="preserve"> </w:t>
      </w:r>
      <w:r w:rsidRPr="00163FEF">
        <w:t>allem</w:t>
      </w:r>
      <w:r w:rsidRPr="00163FEF">
        <w:rPr>
          <w:spacing w:val="-6"/>
        </w:rPr>
        <w:t xml:space="preserve"> </w:t>
      </w:r>
      <w:r w:rsidRPr="00163FEF">
        <w:t>aber</w:t>
      </w:r>
      <w:r w:rsidRPr="00163FEF">
        <w:rPr>
          <w:spacing w:val="-5"/>
        </w:rPr>
        <w:t xml:space="preserve"> </w:t>
      </w:r>
      <w:r w:rsidRPr="00163FEF">
        <w:t>sind</w:t>
      </w:r>
      <w:r w:rsidRPr="00163FEF">
        <w:rPr>
          <w:spacing w:val="-7"/>
        </w:rPr>
        <w:t xml:space="preserve"> </w:t>
      </w:r>
      <w:r w:rsidRPr="00163FEF">
        <w:t>die</w:t>
      </w:r>
      <w:r w:rsidRPr="00163FEF">
        <w:rPr>
          <w:spacing w:val="-6"/>
        </w:rPr>
        <w:t xml:space="preserve"> </w:t>
      </w:r>
      <w:r w:rsidRPr="00163FEF">
        <w:t>Übergänge</w:t>
      </w:r>
      <w:r w:rsidRPr="00163FEF">
        <w:rPr>
          <w:spacing w:val="-6"/>
        </w:rPr>
        <w:t xml:space="preserve"> </w:t>
      </w:r>
      <w:r w:rsidRPr="00163FEF">
        <w:t>zwischen</w:t>
      </w:r>
      <w:r w:rsidRPr="00163FEF">
        <w:rPr>
          <w:spacing w:val="-7"/>
        </w:rPr>
        <w:t xml:space="preserve"> </w:t>
      </w:r>
      <w:r w:rsidRPr="00163FEF">
        <w:t>den</w:t>
      </w:r>
      <w:r w:rsidRPr="00163FEF">
        <w:rPr>
          <w:spacing w:val="-4"/>
        </w:rPr>
        <w:t xml:space="preserve"> </w:t>
      </w:r>
      <w:r w:rsidRPr="00163FEF">
        <w:t>Erbanlagen</w:t>
      </w:r>
      <w:r w:rsidRPr="00163FEF">
        <w:rPr>
          <w:spacing w:val="-7"/>
        </w:rPr>
        <w:t xml:space="preserve"> </w:t>
      </w:r>
      <w:r w:rsidRPr="00163FEF">
        <w:t>verschiedener Ethnien fließend, weshalb die Unterschiede zwischen zwei Mitgliedern einer Ethnie</w:t>
      </w:r>
      <w:r w:rsidRPr="00163FEF">
        <w:rPr>
          <w:spacing w:val="-12"/>
        </w:rPr>
        <w:t xml:space="preserve"> </w:t>
      </w:r>
      <w:r w:rsidRPr="00163FEF">
        <w:t>größer</w:t>
      </w:r>
      <w:r w:rsidRPr="00163FEF">
        <w:rPr>
          <w:spacing w:val="-11"/>
        </w:rPr>
        <w:t xml:space="preserve"> </w:t>
      </w:r>
      <w:r w:rsidRPr="00163FEF">
        <w:t>ausfallen</w:t>
      </w:r>
      <w:r w:rsidRPr="00163FEF">
        <w:rPr>
          <w:spacing w:val="-11"/>
        </w:rPr>
        <w:t xml:space="preserve"> </w:t>
      </w:r>
      <w:r w:rsidRPr="00163FEF">
        <w:t>können</w:t>
      </w:r>
      <w:r w:rsidRPr="00163FEF">
        <w:rPr>
          <w:spacing w:val="-11"/>
        </w:rPr>
        <w:t xml:space="preserve"> </w:t>
      </w:r>
      <w:r w:rsidRPr="00163FEF">
        <w:t>als</w:t>
      </w:r>
      <w:r w:rsidRPr="00163FEF">
        <w:rPr>
          <w:spacing w:val="-12"/>
        </w:rPr>
        <w:t xml:space="preserve"> </w:t>
      </w:r>
      <w:r w:rsidRPr="00163FEF">
        <w:t>zwischen</w:t>
      </w:r>
      <w:r w:rsidRPr="00163FEF">
        <w:rPr>
          <w:spacing w:val="-11"/>
        </w:rPr>
        <w:t xml:space="preserve"> </w:t>
      </w:r>
      <w:r w:rsidRPr="00163FEF">
        <w:t>zwei</w:t>
      </w:r>
      <w:r w:rsidRPr="00163FEF">
        <w:rPr>
          <w:spacing w:val="-11"/>
        </w:rPr>
        <w:t xml:space="preserve"> </w:t>
      </w:r>
      <w:r w:rsidRPr="00163FEF">
        <w:t>beliebigen</w:t>
      </w:r>
      <w:r w:rsidRPr="00163FEF">
        <w:rPr>
          <w:spacing w:val="-11"/>
        </w:rPr>
        <w:t xml:space="preserve"> </w:t>
      </w:r>
      <w:r w:rsidRPr="00163FEF">
        <w:t>Ethnien</w:t>
      </w:r>
      <w:r w:rsidRPr="00163FEF">
        <w:rPr>
          <w:spacing w:val="-12"/>
        </w:rPr>
        <w:t xml:space="preserve"> </w:t>
      </w:r>
      <w:r w:rsidRPr="00163FEF">
        <w:t>(vgl.</w:t>
      </w:r>
      <w:r w:rsidRPr="00163FEF">
        <w:rPr>
          <w:spacing w:val="-11"/>
        </w:rPr>
        <w:t xml:space="preserve"> </w:t>
      </w:r>
      <w:r w:rsidRPr="00163FEF">
        <w:t>Cavalli- Sforza 1999). Erklären lässt sich dies damit, dass entsprechend der mittlerweile allgemein</w:t>
      </w:r>
      <w:r w:rsidRPr="00163FEF">
        <w:rPr>
          <w:spacing w:val="-9"/>
        </w:rPr>
        <w:t xml:space="preserve"> </w:t>
      </w:r>
      <w:r w:rsidRPr="00163FEF">
        <w:t>akzeptierten</w:t>
      </w:r>
      <w:r w:rsidRPr="00163FEF">
        <w:rPr>
          <w:spacing w:val="-9"/>
        </w:rPr>
        <w:t xml:space="preserve"> </w:t>
      </w:r>
      <w:r w:rsidRPr="00163FEF">
        <w:t>Out</w:t>
      </w:r>
      <w:r w:rsidRPr="00163FEF">
        <w:rPr>
          <w:spacing w:val="-10"/>
        </w:rPr>
        <w:t xml:space="preserve"> </w:t>
      </w:r>
      <w:r w:rsidRPr="00163FEF">
        <w:t>of</w:t>
      </w:r>
      <w:r w:rsidRPr="00163FEF">
        <w:rPr>
          <w:spacing w:val="-10"/>
        </w:rPr>
        <w:t xml:space="preserve"> </w:t>
      </w:r>
      <w:r w:rsidRPr="00163FEF">
        <w:t>Africa-Hypothese</w:t>
      </w:r>
      <w:r w:rsidRPr="00163FEF">
        <w:rPr>
          <w:spacing w:val="-11"/>
        </w:rPr>
        <w:t xml:space="preserve"> </w:t>
      </w:r>
      <w:r w:rsidRPr="00163FEF">
        <w:t>weltweit</w:t>
      </w:r>
      <w:r w:rsidRPr="00163FEF">
        <w:rPr>
          <w:spacing w:val="-10"/>
        </w:rPr>
        <w:t xml:space="preserve"> </w:t>
      </w:r>
      <w:r w:rsidRPr="00163FEF">
        <w:t>alle</w:t>
      </w:r>
      <w:r w:rsidRPr="00163FEF">
        <w:rPr>
          <w:spacing w:val="-11"/>
        </w:rPr>
        <w:t xml:space="preserve"> </w:t>
      </w:r>
      <w:r w:rsidRPr="00163FEF">
        <w:t>Menschen</w:t>
      </w:r>
      <w:r w:rsidRPr="00163FEF">
        <w:rPr>
          <w:spacing w:val="-9"/>
        </w:rPr>
        <w:t xml:space="preserve"> </w:t>
      </w:r>
      <w:r w:rsidRPr="00163FEF">
        <w:t>von</w:t>
      </w:r>
      <w:r w:rsidRPr="00163FEF">
        <w:rPr>
          <w:spacing w:val="-9"/>
        </w:rPr>
        <w:t xml:space="preserve"> </w:t>
      </w:r>
      <w:r w:rsidRPr="00163FEF">
        <w:t>einer einzigen</w:t>
      </w:r>
      <w:r w:rsidRPr="00163FEF">
        <w:rPr>
          <w:spacing w:val="-12"/>
        </w:rPr>
        <w:t xml:space="preserve"> </w:t>
      </w:r>
      <w:r w:rsidRPr="00163FEF">
        <w:t>afrikanischen</w:t>
      </w:r>
      <w:r w:rsidRPr="00163FEF">
        <w:rPr>
          <w:spacing w:val="-11"/>
        </w:rPr>
        <w:t xml:space="preserve"> </w:t>
      </w:r>
      <w:r w:rsidRPr="00163FEF">
        <w:t>Spezies</w:t>
      </w:r>
      <w:r w:rsidRPr="00163FEF">
        <w:rPr>
          <w:spacing w:val="-11"/>
        </w:rPr>
        <w:t xml:space="preserve"> </w:t>
      </w:r>
      <w:r w:rsidRPr="00163FEF">
        <w:t>abstammen.</w:t>
      </w:r>
      <w:r w:rsidRPr="00163FEF">
        <w:rPr>
          <w:spacing w:val="-11"/>
        </w:rPr>
        <w:t xml:space="preserve"> </w:t>
      </w:r>
      <w:r w:rsidRPr="00163FEF">
        <w:t>Vor</w:t>
      </w:r>
      <w:r w:rsidRPr="00163FEF">
        <w:rPr>
          <w:spacing w:val="-12"/>
        </w:rPr>
        <w:t xml:space="preserve"> </w:t>
      </w:r>
      <w:r w:rsidRPr="00163FEF">
        <w:t>weniger</w:t>
      </w:r>
      <w:r w:rsidRPr="00163FEF">
        <w:rPr>
          <w:spacing w:val="-11"/>
        </w:rPr>
        <w:t xml:space="preserve"> </w:t>
      </w:r>
      <w:r w:rsidRPr="00163FEF">
        <w:t>als</w:t>
      </w:r>
      <w:r w:rsidRPr="00163FEF">
        <w:rPr>
          <w:spacing w:val="-11"/>
        </w:rPr>
        <w:t xml:space="preserve"> </w:t>
      </w:r>
      <w:r w:rsidRPr="00163FEF">
        <w:t>hunderttausend</w:t>
      </w:r>
      <w:r w:rsidRPr="00163FEF">
        <w:rPr>
          <w:spacing w:val="-11"/>
        </w:rPr>
        <w:t xml:space="preserve"> </w:t>
      </w:r>
      <w:r w:rsidRPr="00163FEF">
        <w:t>Jahren begannen die Cro-Magnon, aus Afrika auszuwandern. Im Verlaufe</w:t>
      </w:r>
      <w:r w:rsidRPr="00163FEF">
        <w:rPr>
          <w:spacing w:val="-1"/>
        </w:rPr>
        <w:t xml:space="preserve"> </w:t>
      </w:r>
      <w:r w:rsidRPr="00163FEF">
        <w:t>der folgenden sechzigtausend Jahre verdrängten sie</w:t>
      </w:r>
    </w:p>
    <w:p w14:paraId="662BE5B6" w14:textId="77777777" w:rsidR="00FF7799" w:rsidRPr="00163FEF" w:rsidRDefault="00FF7799" w:rsidP="003F5EB6">
      <w:pPr>
        <w:pStyle w:val="StandardTextAufzhlung"/>
        <w:ind w:left="567"/>
      </w:pPr>
      <w:r w:rsidRPr="00163FEF">
        <w:t>in Europa</w:t>
      </w:r>
      <w:r w:rsidRPr="00163FEF">
        <w:rPr>
          <w:spacing w:val="-2"/>
        </w:rPr>
        <w:t xml:space="preserve"> </w:t>
      </w:r>
      <w:r w:rsidRPr="00163FEF">
        <w:t xml:space="preserve">die </w:t>
      </w:r>
      <w:r w:rsidRPr="00163FEF">
        <w:rPr>
          <w:spacing w:val="-2"/>
        </w:rPr>
        <w:t>Neandertaler,</w:t>
      </w:r>
    </w:p>
    <w:p w14:paraId="3D1870BA" w14:textId="77777777" w:rsidR="00FF7799" w:rsidRPr="00163FEF" w:rsidRDefault="00FF7799" w:rsidP="003F5EB6">
      <w:pPr>
        <w:pStyle w:val="StandardTextAufzhlung"/>
        <w:ind w:left="567"/>
      </w:pPr>
      <w:r w:rsidRPr="00163FEF">
        <w:t>in</w:t>
      </w:r>
      <w:r w:rsidRPr="00163FEF">
        <w:rPr>
          <w:spacing w:val="-2"/>
        </w:rPr>
        <w:t xml:space="preserve"> </w:t>
      </w:r>
      <w:r w:rsidRPr="00163FEF">
        <w:t>Indonesien</w:t>
      </w:r>
      <w:r w:rsidRPr="00163FEF">
        <w:rPr>
          <w:spacing w:val="-2"/>
        </w:rPr>
        <w:t xml:space="preserve"> </w:t>
      </w:r>
      <w:r w:rsidRPr="00163FEF">
        <w:t>den</w:t>
      </w:r>
      <w:r w:rsidRPr="00163FEF">
        <w:rPr>
          <w:spacing w:val="-1"/>
        </w:rPr>
        <w:t xml:space="preserve"> </w:t>
      </w:r>
      <w:r w:rsidRPr="00163FEF">
        <w:t>Java-</w:t>
      </w:r>
      <w:r w:rsidRPr="00163FEF">
        <w:rPr>
          <w:spacing w:val="-2"/>
        </w:rPr>
        <w:t>Menschen,</w:t>
      </w:r>
    </w:p>
    <w:p w14:paraId="6DA961D7" w14:textId="77777777" w:rsidR="00FF7799" w:rsidRPr="00163FEF" w:rsidRDefault="00FF7799" w:rsidP="003F5EB6">
      <w:pPr>
        <w:pStyle w:val="StandardTextAufzhlung"/>
        <w:ind w:left="567"/>
      </w:pPr>
      <w:r w:rsidRPr="00163FEF">
        <w:t>in</w:t>
      </w:r>
      <w:r w:rsidRPr="00163FEF">
        <w:rPr>
          <w:spacing w:val="1"/>
        </w:rPr>
        <w:t xml:space="preserve"> </w:t>
      </w:r>
      <w:r w:rsidRPr="00163FEF">
        <w:t>China</w:t>
      </w:r>
      <w:r w:rsidRPr="00163FEF">
        <w:rPr>
          <w:spacing w:val="1"/>
        </w:rPr>
        <w:t xml:space="preserve"> </w:t>
      </w:r>
      <w:r w:rsidRPr="00163FEF">
        <w:t>die</w:t>
      </w:r>
      <w:r w:rsidRPr="00163FEF">
        <w:rPr>
          <w:spacing w:val="-3"/>
        </w:rPr>
        <w:t xml:space="preserve"> </w:t>
      </w:r>
      <w:r w:rsidRPr="00163FEF">
        <w:t>Abkömmlinge</w:t>
      </w:r>
      <w:r w:rsidRPr="00163FEF">
        <w:rPr>
          <w:spacing w:val="-3"/>
        </w:rPr>
        <w:t xml:space="preserve"> </w:t>
      </w:r>
      <w:r w:rsidRPr="00163FEF">
        <w:t>des</w:t>
      </w:r>
      <w:r w:rsidRPr="00163FEF">
        <w:rPr>
          <w:spacing w:val="1"/>
        </w:rPr>
        <w:t xml:space="preserve"> </w:t>
      </w:r>
      <w:r w:rsidRPr="00163FEF">
        <w:t>Peking-</w:t>
      </w:r>
      <w:r w:rsidRPr="00163FEF">
        <w:rPr>
          <w:spacing w:val="-2"/>
        </w:rPr>
        <w:t>Menschen.</w:t>
      </w:r>
    </w:p>
    <w:p w14:paraId="161B5FE2" w14:textId="77777777" w:rsidR="00FF7799" w:rsidRPr="00163FEF" w:rsidRDefault="00FF7799" w:rsidP="009A0488">
      <w:pPr>
        <w:pStyle w:val="StandardText"/>
      </w:pPr>
      <w:r w:rsidRPr="00163FEF">
        <w:lastRenderedPageBreak/>
        <w:t>„Auch</w:t>
      </w:r>
      <w:r w:rsidRPr="00163FEF">
        <w:rPr>
          <w:spacing w:val="-7"/>
        </w:rPr>
        <w:t xml:space="preserve"> </w:t>
      </w:r>
      <w:r w:rsidRPr="00163FEF">
        <w:t>wenn</w:t>
      </w:r>
      <w:r w:rsidRPr="00163FEF">
        <w:rPr>
          <w:spacing w:val="-9"/>
        </w:rPr>
        <w:t xml:space="preserve"> </w:t>
      </w:r>
      <w:r w:rsidRPr="00163FEF">
        <w:t>wir</w:t>
      </w:r>
      <w:r w:rsidRPr="00163FEF">
        <w:rPr>
          <w:spacing w:val="-10"/>
        </w:rPr>
        <w:t xml:space="preserve"> </w:t>
      </w:r>
      <w:r w:rsidRPr="00163FEF">
        <w:t>nicht</w:t>
      </w:r>
      <w:r w:rsidRPr="00163FEF">
        <w:rPr>
          <w:spacing w:val="-10"/>
        </w:rPr>
        <w:t xml:space="preserve"> </w:t>
      </w:r>
      <w:r w:rsidRPr="00163FEF">
        <w:t>alle</w:t>
      </w:r>
      <w:r w:rsidRPr="00163FEF">
        <w:rPr>
          <w:spacing w:val="-8"/>
        </w:rPr>
        <w:t xml:space="preserve"> </w:t>
      </w:r>
      <w:r w:rsidRPr="00163FEF">
        <w:t>gleich</w:t>
      </w:r>
      <w:r w:rsidRPr="00163FEF">
        <w:rPr>
          <w:spacing w:val="-9"/>
        </w:rPr>
        <w:t xml:space="preserve"> </w:t>
      </w:r>
      <w:r w:rsidRPr="00163FEF">
        <w:t>aussehen:</w:t>
      </w:r>
      <w:r w:rsidRPr="00163FEF">
        <w:rPr>
          <w:spacing w:val="-10"/>
        </w:rPr>
        <w:t xml:space="preserve"> </w:t>
      </w:r>
      <w:r w:rsidRPr="00163FEF">
        <w:t>unter</w:t>
      </w:r>
      <w:r w:rsidRPr="00163FEF">
        <w:rPr>
          <w:spacing w:val="-10"/>
        </w:rPr>
        <w:t xml:space="preserve"> </w:t>
      </w:r>
      <w:r w:rsidRPr="00163FEF">
        <w:t>der</w:t>
      </w:r>
      <w:r w:rsidRPr="00163FEF">
        <w:rPr>
          <w:spacing w:val="-10"/>
        </w:rPr>
        <w:t xml:space="preserve"> </w:t>
      </w:r>
      <w:r w:rsidRPr="00163FEF">
        <w:t>Haut</w:t>
      </w:r>
      <w:r w:rsidRPr="00163FEF">
        <w:rPr>
          <w:spacing w:val="-7"/>
        </w:rPr>
        <w:t xml:space="preserve"> </w:t>
      </w:r>
      <w:r w:rsidRPr="00163FEF">
        <w:t>sind</w:t>
      </w:r>
      <w:r w:rsidRPr="00163FEF">
        <w:rPr>
          <w:spacing w:val="-9"/>
        </w:rPr>
        <w:t xml:space="preserve"> </w:t>
      </w:r>
      <w:r w:rsidRPr="00163FEF">
        <w:t>wir</w:t>
      </w:r>
      <w:r w:rsidRPr="00163FEF">
        <w:rPr>
          <w:spacing w:val="-11"/>
        </w:rPr>
        <w:t xml:space="preserve"> </w:t>
      </w:r>
      <w:r w:rsidRPr="00163FEF">
        <w:t>alle</w:t>
      </w:r>
      <w:r w:rsidRPr="00163FEF">
        <w:rPr>
          <w:spacing w:val="-8"/>
        </w:rPr>
        <w:t xml:space="preserve"> </w:t>
      </w:r>
      <w:r w:rsidRPr="00163FEF">
        <w:t>Afrikaner“ (vgl. Stringer/McKie 1996).</w:t>
      </w:r>
    </w:p>
    <w:p w14:paraId="333A0E6F" w14:textId="77777777" w:rsidR="00FF7799" w:rsidRPr="00163FEF" w:rsidRDefault="00FF7799" w:rsidP="009A0488">
      <w:pPr>
        <w:pStyle w:val="StandardText"/>
      </w:pPr>
      <w:r w:rsidRPr="00163FEF">
        <w:t>Die Ideen und Argumente der „Ahnherren des Rassismus“ entstammen dem 19. Jahrhundert,</w:t>
      </w:r>
      <w:r w:rsidRPr="00163FEF">
        <w:rPr>
          <w:spacing w:val="6"/>
        </w:rPr>
        <w:t xml:space="preserve"> </w:t>
      </w:r>
      <w:r w:rsidRPr="00163FEF">
        <w:t>das</w:t>
      </w:r>
      <w:r w:rsidRPr="00163FEF">
        <w:rPr>
          <w:spacing w:val="11"/>
        </w:rPr>
        <w:t xml:space="preserve"> </w:t>
      </w:r>
      <w:r w:rsidRPr="00163FEF">
        <w:t>deshalb</w:t>
      </w:r>
      <w:r w:rsidRPr="00163FEF">
        <w:rPr>
          <w:spacing w:val="12"/>
        </w:rPr>
        <w:t xml:space="preserve"> </w:t>
      </w:r>
      <w:r w:rsidRPr="00163FEF">
        <w:t>häufig</w:t>
      </w:r>
      <w:r w:rsidRPr="00163FEF">
        <w:rPr>
          <w:spacing w:val="12"/>
        </w:rPr>
        <w:t xml:space="preserve"> </w:t>
      </w:r>
      <w:r w:rsidRPr="00163FEF">
        <w:t>als</w:t>
      </w:r>
      <w:r w:rsidRPr="00163FEF">
        <w:rPr>
          <w:spacing w:val="10"/>
        </w:rPr>
        <w:t xml:space="preserve"> </w:t>
      </w:r>
      <w:r w:rsidRPr="00163FEF">
        <w:t>das</w:t>
      </w:r>
      <w:r w:rsidRPr="00163FEF">
        <w:rPr>
          <w:spacing w:val="11"/>
        </w:rPr>
        <w:t xml:space="preserve"> </w:t>
      </w:r>
      <w:r w:rsidRPr="00163FEF">
        <w:t>„Labor</w:t>
      </w:r>
      <w:r w:rsidRPr="00163FEF">
        <w:rPr>
          <w:spacing w:val="11"/>
        </w:rPr>
        <w:t xml:space="preserve"> </w:t>
      </w:r>
      <w:r w:rsidRPr="00163FEF">
        <w:t>des</w:t>
      </w:r>
      <w:r w:rsidRPr="00163FEF">
        <w:rPr>
          <w:spacing w:val="11"/>
        </w:rPr>
        <w:t xml:space="preserve"> </w:t>
      </w:r>
      <w:r w:rsidRPr="00163FEF">
        <w:t>Rassismus“</w:t>
      </w:r>
      <w:r w:rsidRPr="00163FEF">
        <w:rPr>
          <w:spacing w:val="10"/>
        </w:rPr>
        <w:t xml:space="preserve"> </w:t>
      </w:r>
      <w:r w:rsidRPr="00163FEF">
        <w:t>bezeichnet</w:t>
      </w:r>
      <w:r w:rsidRPr="00163FEF">
        <w:rPr>
          <w:spacing w:val="11"/>
        </w:rPr>
        <w:t xml:space="preserve"> </w:t>
      </w:r>
      <w:r w:rsidRPr="00163FEF">
        <w:rPr>
          <w:spacing w:val="-2"/>
        </w:rPr>
        <w:t xml:space="preserve">wird. </w:t>
      </w:r>
      <w:r w:rsidRPr="00163FEF">
        <w:t>Damals wurden breite Schichten der Bevölkerung von der These der eigenen rassischen Überlegenheit und der Unterlegenheit anderer Völker infiziert. F. Galton,</w:t>
      </w:r>
      <w:r w:rsidRPr="00163FEF">
        <w:rPr>
          <w:spacing w:val="-12"/>
        </w:rPr>
        <w:t xml:space="preserve"> </w:t>
      </w:r>
      <w:r w:rsidRPr="00163FEF">
        <w:t>ein</w:t>
      </w:r>
      <w:r w:rsidRPr="00163FEF">
        <w:rPr>
          <w:spacing w:val="-11"/>
        </w:rPr>
        <w:t xml:space="preserve"> </w:t>
      </w:r>
      <w:r w:rsidRPr="00163FEF">
        <w:t>britischer</w:t>
      </w:r>
      <w:r w:rsidRPr="00163FEF">
        <w:rPr>
          <w:spacing w:val="-11"/>
        </w:rPr>
        <w:t xml:space="preserve"> </w:t>
      </w:r>
      <w:r w:rsidRPr="00163FEF">
        <w:t>Naturforscher</w:t>
      </w:r>
      <w:r w:rsidRPr="00163FEF">
        <w:rPr>
          <w:spacing w:val="-11"/>
        </w:rPr>
        <w:t xml:space="preserve"> </w:t>
      </w:r>
      <w:r w:rsidRPr="00163FEF">
        <w:t>und</w:t>
      </w:r>
      <w:r w:rsidRPr="00163FEF">
        <w:rPr>
          <w:spacing w:val="-12"/>
        </w:rPr>
        <w:t xml:space="preserve"> </w:t>
      </w:r>
      <w:r w:rsidRPr="00163FEF">
        <w:t>Vetter</w:t>
      </w:r>
      <w:r w:rsidRPr="00163FEF">
        <w:rPr>
          <w:spacing w:val="-11"/>
        </w:rPr>
        <w:t xml:space="preserve"> </w:t>
      </w:r>
      <w:r w:rsidRPr="00163FEF">
        <w:t>C.</w:t>
      </w:r>
      <w:r w:rsidRPr="00163FEF">
        <w:rPr>
          <w:spacing w:val="-11"/>
        </w:rPr>
        <w:t xml:space="preserve"> </w:t>
      </w:r>
      <w:r w:rsidRPr="00163FEF">
        <w:t>Darwins,</w:t>
      </w:r>
      <w:r w:rsidRPr="00163FEF">
        <w:rPr>
          <w:spacing w:val="-11"/>
        </w:rPr>
        <w:t xml:space="preserve"> </w:t>
      </w:r>
      <w:r w:rsidRPr="00163FEF">
        <w:t>unterteilte</w:t>
      </w:r>
      <w:r w:rsidRPr="00163FEF">
        <w:rPr>
          <w:spacing w:val="-12"/>
        </w:rPr>
        <w:t xml:space="preserve"> </w:t>
      </w:r>
      <w:r w:rsidRPr="00163FEF">
        <w:t>Mitte</w:t>
      </w:r>
      <w:r w:rsidRPr="00163FEF">
        <w:rPr>
          <w:spacing w:val="-11"/>
        </w:rPr>
        <w:t xml:space="preserve"> </w:t>
      </w:r>
      <w:r w:rsidRPr="00163FEF">
        <w:t>dieses Jahrhunderts die Menschheit in wertvolle und weniger wertvolle Rassen. „Die Rasse</w:t>
      </w:r>
      <w:r w:rsidRPr="00163FEF">
        <w:rPr>
          <w:spacing w:val="-6"/>
        </w:rPr>
        <w:t xml:space="preserve"> </w:t>
      </w:r>
      <w:r w:rsidRPr="00163FEF">
        <w:t>wurde</w:t>
      </w:r>
      <w:r w:rsidRPr="00163FEF">
        <w:rPr>
          <w:spacing w:val="-6"/>
        </w:rPr>
        <w:t xml:space="preserve"> </w:t>
      </w:r>
      <w:r w:rsidRPr="00163FEF">
        <w:t>ihm</w:t>
      </w:r>
      <w:r w:rsidRPr="00163FEF">
        <w:rPr>
          <w:spacing w:val="-6"/>
        </w:rPr>
        <w:t xml:space="preserve"> </w:t>
      </w:r>
      <w:r w:rsidRPr="00163FEF">
        <w:t>zu</w:t>
      </w:r>
      <w:r w:rsidRPr="00163FEF">
        <w:rPr>
          <w:spacing w:val="-4"/>
        </w:rPr>
        <w:t xml:space="preserve"> </w:t>
      </w:r>
      <w:r w:rsidRPr="00163FEF">
        <w:t>einem</w:t>
      </w:r>
      <w:r w:rsidRPr="00163FEF">
        <w:rPr>
          <w:spacing w:val="-6"/>
        </w:rPr>
        <w:t xml:space="preserve"> </w:t>
      </w:r>
      <w:r w:rsidRPr="00163FEF">
        <w:t>Faktor,</w:t>
      </w:r>
      <w:r w:rsidRPr="00163FEF">
        <w:rPr>
          <w:spacing w:val="-5"/>
        </w:rPr>
        <w:t xml:space="preserve"> </w:t>
      </w:r>
      <w:r w:rsidRPr="00163FEF">
        <w:t>der</w:t>
      </w:r>
      <w:r w:rsidRPr="00163FEF">
        <w:rPr>
          <w:spacing w:val="-5"/>
        </w:rPr>
        <w:t xml:space="preserve"> </w:t>
      </w:r>
      <w:r w:rsidRPr="00163FEF">
        <w:t>die</w:t>
      </w:r>
      <w:r w:rsidRPr="00163FEF">
        <w:rPr>
          <w:spacing w:val="-6"/>
        </w:rPr>
        <w:t xml:space="preserve"> </w:t>
      </w:r>
      <w:r w:rsidRPr="00163FEF">
        <w:t>Weltgeschichte</w:t>
      </w:r>
      <w:r w:rsidRPr="00163FEF">
        <w:rPr>
          <w:spacing w:val="-6"/>
        </w:rPr>
        <w:t xml:space="preserve"> </w:t>
      </w:r>
      <w:r w:rsidRPr="00163FEF">
        <w:t>scheinbar</w:t>
      </w:r>
      <w:r w:rsidRPr="00163FEF">
        <w:rPr>
          <w:spacing w:val="-5"/>
        </w:rPr>
        <w:t xml:space="preserve"> </w:t>
      </w:r>
      <w:r w:rsidRPr="00163FEF">
        <w:t>erklärte.</w:t>
      </w:r>
      <w:r w:rsidRPr="00163FEF">
        <w:rPr>
          <w:spacing w:val="-5"/>
        </w:rPr>
        <w:t xml:space="preserve"> </w:t>
      </w:r>
      <w:r w:rsidRPr="00163FEF">
        <w:t>Und hier entstanden die großen rassistischen Geschichtsphilosophien wie der tausendseitige</w:t>
      </w:r>
      <w:r w:rsidRPr="00163FEF">
        <w:rPr>
          <w:spacing w:val="-7"/>
        </w:rPr>
        <w:t xml:space="preserve"> </w:t>
      </w:r>
      <w:r w:rsidRPr="00163FEF">
        <w:t>»Versuch</w:t>
      </w:r>
      <w:r w:rsidRPr="00163FEF">
        <w:rPr>
          <w:spacing w:val="-5"/>
        </w:rPr>
        <w:t xml:space="preserve"> </w:t>
      </w:r>
      <w:r w:rsidRPr="00163FEF">
        <w:t>über</w:t>
      </w:r>
      <w:r w:rsidRPr="00163FEF">
        <w:rPr>
          <w:spacing w:val="-6"/>
        </w:rPr>
        <w:t xml:space="preserve"> </w:t>
      </w:r>
      <w:r w:rsidRPr="00163FEF">
        <w:t>die</w:t>
      </w:r>
      <w:r w:rsidRPr="00163FEF">
        <w:rPr>
          <w:spacing w:val="-7"/>
        </w:rPr>
        <w:t xml:space="preserve"> </w:t>
      </w:r>
      <w:r w:rsidRPr="00163FEF">
        <w:t>Ungleichheit</w:t>
      </w:r>
      <w:r w:rsidRPr="00163FEF">
        <w:rPr>
          <w:spacing w:val="-6"/>
        </w:rPr>
        <w:t xml:space="preserve"> </w:t>
      </w:r>
      <w:r w:rsidRPr="00163FEF">
        <w:t>der</w:t>
      </w:r>
      <w:r w:rsidRPr="00163FEF">
        <w:rPr>
          <w:spacing w:val="-4"/>
        </w:rPr>
        <w:t xml:space="preserve"> </w:t>
      </w:r>
      <w:r w:rsidRPr="00163FEF">
        <w:t>Menschenrassen«</w:t>
      </w:r>
      <w:r w:rsidRPr="00163FEF">
        <w:rPr>
          <w:spacing w:val="-3"/>
        </w:rPr>
        <w:t xml:space="preserve"> </w:t>
      </w:r>
      <w:r w:rsidRPr="00163FEF">
        <w:t>(1853-1855) des Franzosen J.A. Comte de Gobineau. Für ihn liegt der Schlüssel zur Menschheitsentwicklung in der Rasse. Die arische Rasse stehe der Urmenschheit am</w:t>
      </w:r>
      <w:r w:rsidRPr="00163FEF">
        <w:rPr>
          <w:spacing w:val="-11"/>
        </w:rPr>
        <w:t xml:space="preserve"> </w:t>
      </w:r>
      <w:r w:rsidRPr="00163FEF">
        <w:t>nächsten,</w:t>
      </w:r>
      <w:r w:rsidRPr="00163FEF">
        <w:rPr>
          <w:spacing w:val="-10"/>
        </w:rPr>
        <w:t xml:space="preserve"> </w:t>
      </w:r>
      <w:r w:rsidRPr="00163FEF">
        <w:t>wohingegen</w:t>
      </w:r>
      <w:r w:rsidRPr="00163FEF">
        <w:rPr>
          <w:spacing w:val="-9"/>
        </w:rPr>
        <w:t xml:space="preserve"> </w:t>
      </w:r>
      <w:r w:rsidRPr="00163FEF">
        <w:t>die</w:t>
      </w:r>
      <w:r w:rsidRPr="00163FEF">
        <w:rPr>
          <w:spacing w:val="-11"/>
        </w:rPr>
        <w:t xml:space="preserve"> </w:t>
      </w:r>
      <w:r w:rsidRPr="00163FEF">
        <w:t>anderen</w:t>
      </w:r>
      <w:r w:rsidRPr="00163FEF">
        <w:rPr>
          <w:spacing w:val="-9"/>
        </w:rPr>
        <w:t xml:space="preserve"> </w:t>
      </w:r>
      <w:r w:rsidRPr="00163FEF">
        <w:t>durch</w:t>
      </w:r>
      <w:r w:rsidRPr="00163FEF">
        <w:rPr>
          <w:spacing w:val="-11"/>
        </w:rPr>
        <w:t xml:space="preserve"> </w:t>
      </w:r>
      <w:r w:rsidRPr="00163FEF">
        <w:t>Mischung</w:t>
      </w:r>
      <w:r w:rsidRPr="00163FEF">
        <w:rPr>
          <w:spacing w:val="-9"/>
        </w:rPr>
        <w:t xml:space="preserve"> </w:t>
      </w:r>
      <w:r w:rsidRPr="00163FEF">
        <w:t>mit</w:t>
      </w:r>
      <w:r w:rsidRPr="00163FEF">
        <w:rPr>
          <w:spacing w:val="-12"/>
        </w:rPr>
        <w:t xml:space="preserve"> </w:t>
      </w:r>
      <w:r w:rsidRPr="00163FEF">
        <w:t>»unterlegenen«</w:t>
      </w:r>
      <w:r w:rsidRPr="00163FEF">
        <w:rPr>
          <w:spacing w:val="-9"/>
        </w:rPr>
        <w:t xml:space="preserve"> </w:t>
      </w:r>
      <w:r w:rsidRPr="00163FEF">
        <w:t>Rassen degeneriert seien. So seien die Völker aufgerufen, auf ihre »Reinhaltung« zu achten,</w:t>
      </w:r>
      <w:r w:rsidRPr="00163FEF">
        <w:rPr>
          <w:spacing w:val="-5"/>
        </w:rPr>
        <w:t xml:space="preserve"> </w:t>
      </w:r>
      <w:r w:rsidRPr="00163FEF">
        <w:t>da</w:t>
      </w:r>
      <w:r w:rsidRPr="00163FEF">
        <w:rPr>
          <w:spacing w:val="-6"/>
        </w:rPr>
        <w:t xml:space="preserve"> </w:t>
      </w:r>
      <w:r w:rsidRPr="00163FEF">
        <w:t>der</w:t>
      </w:r>
      <w:r w:rsidRPr="00163FEF">
        <w:rPr>
          <w:spacing w:val="-5"/>
        </w:rPr>
        <w:t xml:space="preserve"> </w:t>
      </w:r>
      <w:r w:rsidRPr="00163FEF">
        <w:t>Niedergang</w:t>
      </w:r>
      <w:r w:rsidRPr="00163FEF">
        <w:rPr>
          <w:spacing w:val="-4"/>
        </w:rPr>
        <w:t xml:space="preserve"> </w:t>
      </w:r>
      <w:r w:rsidRPr="00163FEF">
        <w:t>eines</w:t>
      </w:r>
      <w:r w:rsidRPr="00163FEF">
        <w:rPr>
          <w:spacing w:val="-6"/>
        </w:rPr>
        <w:t xml:space="preserve"> </w:t>
      </w:r>
      <w:r w:rsidRPr="00163FEF">
        <w:t>Volkes</w:t>
      </w:r>
      <w:r w:rsidRPr="00163FEF">
        <w:rPr>
          <w:spacing w:val="-6"/>
        </w:rPr>
        <w:t xml:space="preserve"> </w:t>
      </w:r>
      <w:r w:rsidRPr="00163FEF">
        <w:t>auf</w:t>
      </w:r>
      <w:r w:rsidRPr="00163FEF">
        <w:rPr>
          <w:spacing w:val="-5"/>
        </w:rPr>
        <w:t xml:space="preserve"> </w:t>
      </w:r>
      <w:r w:rsidRPr="00163FEF">
        <w:t>der</w:t>
      </w:r>
      <w:r w:rsidRPr="00163FEF">
        <w:rPr>
          <w:spacing w:val="-5"/>
        </w:rPr>
        <w:t xml:space="preserve"> </w:t>
      </w:r>
      <w:r w:rsidRPr="00163FEF">
        <w:t>Entfernung</w:t>
      </w:r>
      <w:r w:rsidRPr="00163FEF">
        <w:rPr>
          <w:spacing w:val="-4"/>
        </w:rPr>
        <w:t xml:space="preserve"> </w:t>
      </w:r>
      <w:r w:rsidRPr="00163FEF">
        <w:t>von</w:t>
      </w:r>
      <w:r w:rsidRPr="00163FEF">
        <w:rPr>
          <w:spacing w:val="-4"/>
        </w:rPr>
        <w:t xml:space="preserve"> </w:t>
      </w:r>
      <w:r w:rsidRPr="00163FEF">
        <w:t>seinem</w:t>
      </w:r>
      <w:r w:rsidRPr="00163FEF">
        <w:rPr>
          <w:spacing w:val="-6"/>
        </w:rPr>
        <w:t xml:space="preserve"> </w:t>
      </w:r>
      <w:r w:rsidRPr="00163FEF">
        <w:t>rassischen Ursprung</w:t>
      </w:r>
      <w:r w:rsidRPr="00163FEF">
        <w:rPr>
          <w:spacing w:val="-12"/>
        </w:rPr>
        <w:t xml:space="preserve"> </w:t>
      </w:r>
      <w:r w:rsidRPr="00163FEF">
        <w:t>beruhe.</w:t>
      </w:r>
      <w:r w:rsidRPr="00163FEF">
        <w:rPr>
          <w:spacing w:val="-11"/>
        </w:rPr>
        <w:t xml:space="preserve"> </w:t>
      </w:r>
      <w:r w:rsidRPr="00163FEF">
        <w:t>Und</w:t>
      </w:r>
      <w:r w:rsidRPr="00163FEF">
        <w:rPr>
          <w:spacing w:val="-11"/>
        </w:rPr>
        <w:t xml:space="preserve"> </w:t>
      </w:r>
      <w:r w:rsidRPr="00163FEF">
        <w:t>nicht</w:t>
      </w:r>
      <w:r w:rsidRPr="00163FEF">
        <w:rPr>
          <w:spacing w:val="-11"/>
        </w:rPr>
        <w:t xml:space="preserve"> </w:t>
      </w:r>
      <w:r w:rsidRPr="00163FEF">
        <w:t>zuletzt</w:t>
      </w:r>
      <w:r w:rsidRPr="00163FEF">
        <w:rPr>
          <w:spacing w:val="-12"/>
        </w:rPr>
        <w:t xml:space="preserve"> </w:t>
      </w:r>
      <w:r w:rsidRPr="00163FEF">
        <w:t>erschien</w:t>
      </w:r>
      <w:r w:rsidRPr="00163FEF">
        <w:rPr>
          <w:spacing w:val="-11"/>
        </w:rPr>
        <w:t xml:space="preserve"> </w:t>
      </w:r>
      <w:r w:rsidRPr="00163FEF">
        <w:t>damals</w:t>
      </w:r>
      <w:r w:rsidRPr="00163FEF">
        <w:rPr>
          <w:spacing w:val="-11"/>
        </w:rPr>
        <w:t xml:space="preserve"> </w:t>
      </w:r>
      <w:r w:rsidRPr="00163FEF">
        <w:t>H.S.</w:t>
      </w:r>
      <w:r w:rsidRPr="00163FEF">
        <w:rPr>
          <w:spacing w:val="-11"/>
        </w:rPr>
        <w:t xml:space="preserve"> </w:t>
      </w:r>
      <w:r w:rsidRPr="00163FEF">
        <w:t>Chamberlains</w:t>
      </w:r>
      <w:r w:rsidRPr="00163FEF">
        <w:rPr>
          <w:spacing w:val="-12"/>
        </w:rPr>
        <w:t xml:space="preserve"> </w:t>
      </w:r>
      <w:r w:rsidRPr="00163FEF">
        <w:t>Buch</w:t>
      </w:r>
      <w:r w:rsidRPr="00163FEF">
        <w:rPr>
          <w:spacing w:val="-11"/>
        </w:rPr>
        <w:t xml:space="preserve"> </w:t>
      </w:r>
      <w:r w:rsidRPr="00163FEF">
        <w:t>»Die Grundlagen des 19. Jahrhunderts«, das der erste rassistische Bestseller werden sollte. Chamberlain, ein Schwiegersohn R. Wagners, gehörte zu den einflussreichsten</w:t>
      </w:r>
      <w:r w:rsidRPr="00163FEF">
        <w:rPr>
          <w:spacing w:val="-12"/>
        </w:rPr>
        <w:t xml:space="preserve"> </w:t>
      </w:r>
      <w:r w:rsidRPr="00163FEF">
        <w:t>Herolden</w:t>
      </w:r>
      <w:r w:rsidRPr="00163FEF">
        <w:rPr>
          <w:spacing w:val="-11"/>
        </w:rPr>
        <w:t xml:space="preserve"> </w:t>
      </w:r>
      <w:r w:rsidRPr="00163FEF">
        <w:t>der</w:t>
      </w:r>
      <w:r w:rsidRPr="00163FEF">
        <w:rPr>
          <w:spacing w:val="-11"/>
        </w:rPr>
        <w:t xml:space="preserve"> </w:t>
      </w:r>
      <w:r w:rsidRPr="00163FEF">
        <w:t>Verherrlichung</w:t>
      </w:r>
      <w:r w:rsidRPr="00163FEF">
        <w:rPr>
          <w:spacing w:val="-11"/>
        </w:rPr>
        <w:t xml:space="preserve"> </w:t>
      </w:r>
      <w:r w:rsidRPr="00163FEF">
        <w:t>germanischen</w:t>
      </w:r>
      <w:r w:rsidRPr="00163FEF">
        <w:rPr>
          <w:spacing w:val="-12"/>
        </w:rPr>
        <w:t xml:space="preserve"> </w:t>
      </w:r>
      <w:r w:rsidRPr="00163FEF">
        <w:t>Rassenbewusstseins. Der 1855 in Portsmouth geborene Sohn eines britischen Admirals wurde gar aufgrund seiner Germanophilie 1917 deutscher Staatsbürger. Er verkündete, dass die »gesamte heutige Civilisation und Kultur das Werk einer bestimmten Menschenart</w:t>
      </w:r>
      <w:r w:rsidRPr="00163FEF">
        <w:rPr>
          <w:spacing w:val="-12"/>
        </w:rPr>
        <w:t xml:space="preserve"> </w:t>
      </w:r>
      <w:r w:rsidRPr="00163FEF">
        <w:t>ist:</w:t>
      </w:r>
      <w:r w:rsidRPr="00163FEF">
        <w:rPr>
          <w:spacing w:val="-11"/>
        </w:rPr>
        <w:t xml:space="preserve"> </w:t>
      </w:r>
      <w:r w:rsidRPr="00163FEF">
        <w:t>des</w:t>
      </w:r>
      <w:r w:rsidRPr="00163FEF">
        <w:rPr>
          <w:spacing w:val="-11"/>
        </w:rPr>
        <w:t xml:space="preserve"> </w:t>
      </w:r>
      <w:r w:rsidRPr="00163FEF">
        <w:t>Germanen«.</w:t>
      </w:r>
      <w:r w:rsidRPr="00163FEF">
        <w:rPr>
          <w:spacing w:val="-11"/>
        </w:rPr>
        <w:t xml:space="preserve"> </w:t>
      </w:r>
      <w:r w:rsidRPr="00163FEF">
        <w:t>Der</w:t>
      </w:r>
      <w:r w:rsidRPr="00163FEF">
        <w:rPr>
          <w:spacing w:val="-12"/>
        </w:rPr>
        <w:t xml:space="preserve"> </w:t>
      </w:r>
      <w:r w:rsidRPr="00163FEF">
        <w:t>nicht-germanische</w:t>
      </w:r>
      <w:r w:rsidRPr="00163FEF">
        <w:rPr>
          <w:spacing w:val="-11"/>
        </w:rPr>
        <w:t xml:space="preserve"> </w:t>
      </w:r>
      <w:r w:rsidRPr="00163FEF">
        <w:t>Kulturanteil</w:t>
      </w:r>
      <w:r w:rsidRPr="00163FEF">
        <w:rPr>
          <w:spacing w:val="-11"/>
        </w:rPr>
        <w:t xml:space="preserve"> </w:t>
      </w:r>
      <w:r w:rsidRPr="00163FEF">
        <w:t>dagegen</w:t>
      </w:r>
      <w:r w:rsidRPr="00163FEF">
        <w:rPr>
          <w:spacing w:val="-11"/>
        </w:rPr>
        <w:t xml:space="preserve"> </w:t>
      </w:r>
      <w:r w:rsidRPr="00163FEF">
        <w:t>war für ihn entweder ein »noch nicht ausgeschiedener fremder Bestandteil«, der »in früheren Zeiten gewaltsam eingetrieben« worden war »und jetzt noch wie ein Krankheitsstoff im Blute« kreiste, oder »fremde Ware«, die »unter germanischer Flagge,</w:t>
      </w:r>
      <w:r w:rsidRPr="00163FEF">
        <w:rPr>
          <w:spacing w:val="-10"/>
        </w:rPr>
        <w:t xml:space="preserve"> </w:t>
      </w:r>
      <w:r w:rsidRPr="00163FEF">
        <w:t>unter</w:t>
      </w:r>
      <w:r w:rsidRPr="00163FEF">
        <w:rPr>
          <w:spacing w:val="-8"/>
        </w:rPr>
        <w:t xml:space="preserve"> </w:t>
      </w:r>
      <w:r w:rsidRPr="00163FEF">
        <w:t>germanischem</w:t>
      </w:r>
      <w:r w:rsidRPr="00163FEF">
        <w:rPr>
          <w:spacing w:val="-9"/>
        </w:rPr>
        <w:t xml:space="preserve"> </w:t>
      </w:r>
      <w:r w:rsidRPr="00163FEF">
        <w:t>Schutz</w:t>
      </w:r>
      <w:r w:rsidRPr="00163FEF">
        <w:rPr>
          <w:spacing w:val="-8"/>
        </w:rPr>
        <w:t xml:space="preserve"> </w:t>
      </w:r>
      <w:r w:rsidRPr="00163FEF">
        <w:t>und</w:t>
      </w:r>
      <w:r w:rsidRPr="00163FEF">
        <w:rPr>
          <w:spacing w:val="-7"/>
        </w:rPr>
        <w:t xml:space="preserve"> </w:t>
      </w:r>
      <w:r w:rsidRPr="00163FEF">
        <w:t>Vorrecht«</w:t>
      </w:r>
      <w:r w:rsidRPr="00163FEF">
        <w:rPr>
          <w:spacing w:val="-6"/>
        </w:rPr>
        <w:t xml:space="preserve"> </w:t>
      </w:r>
      <w:r w:rsidRPr="00163FEF">
        <w:t>segelte,</w:t>
      </w:r>
      <w:r w:rsidRPr="00163FEF">
        <w:rPr>
          <w:spacing w:val="-7"/>
        </w:rPr>
        <w:t xml:space="preserve"> </w:t>
      </w:r>
      <w:r w:rsidRPr="00163FEF">
        <w:t>»zum</w:t>
      </w:r>
      <w:r w:rsidRPr="00163FEF">
        <w:rPr>
          <w:spacing w:val="-9"/>
        </w:rPr>
        <w:t xml:space="preserve"> </w:t>
      </w:r>
      <w:r w:rsidRPr="00163FEF">
        <w:t>Nachteil</w:t>
      </w:r>
      <w:r w:rsidRPr="00163FEF">
        <w:rPr>
          <w:spacing w:val="-7"/>
        </w:rPr>
        <w:t xml:space="preserve"> </w:t>
      </w:r>
      <w:r w:rsidRPr="00163FEF">
        <w:t xml:space="preserve">unserer </w:t>
      </w:r>
      <w:r w:rsidRPr="00163FEF">
        <w:rPr>
          <w:spacing w:val="-2"/>
        </w:rPr>
        <w:t>Weiterentwicklung«.</w:t>
      </w:r>
    </w:p>
    <w:p w14:paraId="55488E0B" w14:textId="77777777" w:rsidR="00FF7799" w:rsidRPr="00163FEF" w:rsidRDefault="00FF7799" w:rsidP="009A0488">
      <w:pPr>
        <w:pStyle w:val="StandardText"/>
      </w:pPr>
      <w:r w:rsidRPr="00163FEF">
        <w:t>Aber schon etwa hundert Jahre zuvor tobte im gelehrten Deutschland ein bemerkenswerter Streit um diese Fragen. Der Göttinger Professor C. Meiners tat 1785</w:t>
      </w:r>
      <w:r w:rsidRPr="00163FEF">
        <w:rPr>
          <w:spacing w:val="-12"/>
        </w:rPr>
        <w:t xml:space="preserve"> </w:t>
      </w:r>
      <w:r w:rsidRPr="00163FEF">
        <w:t>programmatisch</w:t>
      </w:r>
      <w:r w:rsidRPr="00163FEF">
        <w:rPr>
          <w:spacing w:val="-11"/>
        </w:rPr>
        <w:t xml:space="preserve"> </w:t>
      </w:r>
      <w:r w:rsidRPr="00163FEF">
        <w:t>in</w:t>
      </w:r>
      <w:r w:rsidRPr="00163FEF">
        <w:rPr>
          <w:spacing w:val="-11"/>
        </w:rPr>
        <w:t xml:space="preserve"> </w:t>
      </w:r>
      <w:r w:rsidRPr="00163FEF">
        <w:t>seinem</w:t>
      </w:r>
      <w:r w:rsidRPr="00163FEF">
        <w:rPr>
          <w:spacing w:val="-11"/>
        </w:rPr>
        <w:t xml:space="preserve"> </w:t>
      </w:r>
      <w:r w:rsidRPr="00163FEF">
        <w:t>»Grundriss</w:t>
      </w:r>
      <w:r w:rsidRPr="00163FEF">
        <w:rPr>
          <w:spacing w:val="-12"/>
        </w:rPr>
        <w:t xml:space="preserve"> </w:t>
      </w:r>
      <w:r w:rsidRPr="00163FEF">
        <w:t>der</w:t>
      </w:r>
      <w:r w:rsidRPr="00163FEF">
        <w:rPr>
          <w:spacing w:val="-11"/>
        </w:rPr>
        <w:t xml:space="preserve"> </w:t>
      </w:r>
      <w:r w:rsidRPr="00163FEF">
        <w:t>Geschichte</w:t>
      </w:r>
      <w:r w:rsidRPr="00163FEF">
        <w:rPr>
          <w:spacing w:val="-11"/>
        </w:rPr>
        <w:t xml:space="preserve"> </w:t>
      </w:r>
      <w:r w:rsidRPr="00163FEF">
        <w:t>der</w:t>
      </w:r>
      <w:r w:rsidRPr="00163FEF">
        <w:rPr>
          <w:spacing w:val="-11"/>
        </w:rPr>
        <w:t xml:space="preserve"> </w:t>
      </w:r>
      <w:r w:rsidRPr="00163FEF">
        <w:t>Menschheit»</w:t>
      </w:r>
      <w:r w:rsidRPr="00163FEF">
        <w:rPr>
          <w:spacing w:val="-12"/>
        </w:rPr>
        <w:t xml:space="preserve"> </w:t>
      </w:r>
      <w:r w:rsidRPr="00163FEF">
        <w:t>kund, dass »das gegenwärtige Menschengeschlecht aus zween Hauptstämmen bestehe, dem</w:t>
      </w:r>
      <w:r w:rsidRPr="00163FEF">
        <w:rPr>
          <w:spacing w:val="-5"/>
        </w:rPr>
        <w:t xml:space="preserve"> </w:t>
      </w:r>
      <w:r w:rsidRPr="00163FEF">
        <w:t>Kaukasischen</w:t>
      </w:r>
      <w:r w:rsidRPr="00163FEF">
        <w:rPr>
          <w:spacing w:val="-4"/>
        </w:rPr>
        <w:t xml:space="preserve"> </w:t>
      </w:r>
      <w:r w:rsidRPr="00163FEF">
        <w:t>und</w:t>
      </w:r>
      <w:r w:rsidRPr="00163FEF">
        <w:rPr>
          <w:spacing w:val="-4"/>
        </w:rPr>
        <w:t xml:space="preserve"> </w:t>
      </w:r>
      <w:r w:rsidRPr="00163FEF">
        <w:t>dem</w:t>
      </w:r>
      <w:r w:rsidRPr="00163FEF">
        <w:rPr>
          <w:spacing w:val="-5"/>
        </w:rPr>
        <w:t xml:space="preserve"> </w:t>
      </w:r>
      <w:r w:rsidRPr="00163FEF">
        <w:t>Mongolischen</w:t>
      </w:r>
      <w:r w:rsidRPr="00163FEF">
        <w:rPr>
          <w:spacing w:val="-4"/>
        </w:rPr>
        <w:t xml:space="preserve"> </w:t>
      </w:r>
      <w:r w:rsidRPr="00163FEF">
        <w:t>Stamm:</w:t>
      </w:r>
      <w:r w:rsidRPr="00163FEF">
        <w:rPr>
          <w:spacing w:val="-4"/>
        </w:rPr>
        <w:t xml:space="preserve"> </w:t>
      </w:r>
      <w:r w:rsidRPr="00163FEF">
        <w:t>dass</w:t>
      </w:r>
      <w:r w:rsidRPr="00163FEF">
        <w:rPr>
          <w:spacing w:val="-5"/>
        </w:rPr>
        <w:t xml:space="preserve"> </w:t>
      </w:r>
      <w:r w:rsidRPr="00163FEF">
        <w:t>der</w:t>
      </w:r>
      <w:r w:rsidRPr="00163FEF">
        <w:rPr>
          <w:spacing w:val="-4"/>
        </w:rPr>
        <w:t xml:space="preserve"> </w:t>
      </w:r>
      <w:r w:rsidRPr="00163FEF">
        <w:t>letztere</w:t>
      </w:r>
      <w:r w:rsidRPr="00163FEF">
        <w:rPr>
          <w:spacing w:val="-5"/>
        </w:rPr>
        <w:t xml:space="preserve"> </w:t>
      </w:r>
      <w:r w:rsidRPr="00163FEF">
        <w:t>nicht</w:t>
      </w:r>
      <w:r w:rsidRPr="00163FEF">
        <w:rPr>
          <w:spacing w:val="-4"/>
        </w:rPr>
        <w:t xml:space="preserve"> </w:t>
      </w:r>
      <w:r w:rsidRPr="00163FEF">
        <w:t>nur</w:t>
      </w:r>
      <w:r w:rsidRPr="00163FEF">
        <w:rPr>
          <w:spacing w:val="-4"/>
        </w:rPr>
        <w:t xml:space="preserve"> </w:t>
      </w:r>
      <w:r w:rsidRPr="00163FEF">
        <w:t>viel schwächer</w:t>
      </w:r>
      <w:r w:rsidRPr="00163FEF">
        <w:rPr>
          <w:spacing w:val="-12"/>
        </w:rPr>
        <w:t xml:space="preserve"> </w:t>
      </w:r>
      <w:r w:rsidRPr="00163FEF">
        <w:t>von</w:t>
      </w:r>
      <w:r w:rsidRPr="00163FEF">
        <w:rPr>
          <w:spacing w:val="-11"/>
        </w:rPr>
        <w:t xml:space="preserve"> </w:t>
      </w:r>
      <w:r w:rsidRPr="00163FEF">
        <w:t>Körper</w:t>
      </w:r>
      <w:r w:rsidRPr="00163FEF">
        <w:rPr>
          <w:spacing w:val="-11"/>
        </w:rPr>
        <w:t xml:space="preserve"> </w:t>
      </w:r>
      <w:r w:rsidRPr="00163FEF">
        <w:t>und</w:t>
      </w:r>
      <w:r w:rsidRPr="00163FEF">
        <w:rPr>
          <w:spacing w:val="-11"/>
        </w:rPr>
        <w:t xml:space="preserve"> </w:t>
      </w:r>
      <w:r w:rsidRPr="00163FEF">
        <w:t>Geist,</w:t>
      </w:r>
      <w:r w:rsidRPr="00163FEF">
        <w:rPr>
          <w:spacing w:val="-12"/>
        </w:rPr>
        <w:t xml:space="preserve"> </w:t>
      </w:r>
      <w:r w:rsidRPr="00163FEF">
        <w:t>sondern</w:t>
      </w:r>
      <w:r w:rsidRPr="00163FEF">
        <w:rPr>
          <w:spacing w:val="-11"/>
        </w:rPr>
        <w:t xml:space="preserve"> </w:t>
      </w:r>
      <w:r w:rsidRPr="00163FEF">
        <w:t>auch</w:t>
      </w:r>
      <w:r w:rsidRPr="00163FEF">
        <w:rPr>
          <w:spacing w:val="-11"/>
        </w:rPr>
        <w:t xml:space="preserve"> </w:t>
      </w:r>
      <w:r w:rsidRPr="00163FEF">
        <w:t>viel</w:t>
      </w:r>
      <w:r w:rsidRPr="00163FEF">
        <w:rPr>
          <w:spacing w:val="-11"/>
        </w:rPr>
        <w:t xml:space="preserve"> </w:t>
      </w:r>
      <w:r w:rsidRPr="00163FEF">
        <w:t>übel</w:t>
      </w:r>
      <w:r w:rsidRPr="00163FEF">
        <w:rPr>
          <w:spacing w:val="-12"/>
        </w:rPr>
        <w:t xml:space="preserve"> </w:t>
      </w:r>
      <w:r w:rsidRPr="00163FEF">
        <w:t>gearteter</w:t>
      </w:r>
      <w:r w:rsidRPr="00163FEF">
        <w:rPr>
          <w:spacing w:val="-11"/>
        </w:rPr>
        <w:t xml:space="preserve"> </w:t>
      </w:r>
      <w:r w:rsidRPr="00163FEF">
        <w:t>und</w:t>
      </w:r>
      <w:r w:rsidRPr="00163FEF">
        <w:rPr>
          <w:spacing w:val="-11"/>
        </w:rPr>
        <w:t xml:space="preserve"> </w:t>
      </w:r>
      <w:r w:rsidRPr="00163FEF">
        <w:t>tugendleerer sey«. Von Göttingen aus – seine weiteste Reise hatte ihn immerhin bis in die Schweiz</w:t>
      </w:r>
      <w:r w:rsidRPr="00163FEF">
        <w:rPr>
          <w:spacing w:val="-8"/>
        </w:rPr>
        <w:t xml:space="preserve"> </w:t>
      </w:r>
      <w:r w:rsidRPr="00163FEF">
        <w:t>geführt</w:t>
      </w:r>
      <w:r w:rsidRPr="00163FEF">
        <w:rPr>
          <w:spacing w:val="-8"/>
        </w:rPr>
        <w:t xml:space="preserve"> </w:t>
      </w:r>
      <w:r w:rsidRPr="00163FEF">
        <w:t>–</w:t>
      </w:r>
      <w:r w:rsidRPr="00163FEF">
        <w:rPr>
          <w:spacing w:val="-9"/>
        </w:rPr>
        <w:t xml:space="preserve"> </w:t>
      </w:r>
      <w:r w:rsidRPr="00163FEF">
        <w:t>unterteilte</w:t>
      </w:r>
      <w:r w:rsidRPr="00163FEF">
        <w:rPr>
          <w:spacing w:val="-8"/>
        </w:rPr>
        <w:t xml:space="preserve"> </w:t>
      </w:r>
      <w:r w:rsidRPr="00163FEF">
        <w:t>er</w:t>
      </w:r>
      <w:r w:rsidRPr="00163FEF">
        <w:rPr>
          <w:spacing w:val="-8"/>
        </w:rPr>
        <w:t xml:space="preserve"> </w:t>
      </w:r>
      <w:r w:rsidRPr="00163FEF">
        <w:t>die</w:t>
      </w:r>
      <w:r w:rsidRPr="00163FEF">
        <w:rPr>
          <w:spacing w:val="-8"/>
        </w:rPr>
        <w:t xml:space="preserve"> </w:t>
      </w:r>
      <w:r w:rsidRPr="00163FEF">
        <w:t>Weltbevölkerung</w:t>
      </w:r>
      <w:r w:rsidRPr="00163FEF">
        <w:rPr>
          <w:spacing w:val="-9"/>
        </w:rPr>
        <w:t xml:space="preserve"> </w:t>
      </w:r>
      <w:r w:rsidRPr="00163FEF">
        <w:t>in</w:t>
      </w:r>
      <w:r w:rsidRPr="00163FEF">
        <w:rPr>
          <w:spacing w:val="-9"/>
        </w:rPr>
        <w:t xml:space="preserve"> </w:t>
      </w:r>
      <w:r w:rsidRPr="00163FEF">
        <w:t>den</w:t>
      </w:r>
      <w:r w:rsidRPr="00163FEF">
        <w:rPr>
          <w:spacing w:val="-7"/>
        </w:rPr>
        <w:t xml:space="preserve"> </w:t>
      </w:r>
      <w:r w:rsidRPr="00163FEF">
        <w:t>schönen,</w:t>
      </w:r>
      <w:r w:rsidRPr="00163FEF">
        <w:rPr>
          <w:spacing w:val="-7"/>
        </w:rPr>
        <w:t xml:space="preserve"> </w:t>
      </w:r>
      <w:r w:rsidRPr="00163FEF">
        <w:t xml:space="preserve">intelligenten und weißen Stamm der Kaukasier und den hässlichen, dummen und schwarzen oder braunen oder gelben oder roten Stamm der Mongolen. Später fügte er seiner Kartierung noch den morgenländischen Stamm hinzu, zwischen Mongolen und </w:t>
      </w:r>
      <w:r w:rsidRPr="00163FEF">
        <w:rPr>
          <w:spacing w:val="-2"/>
        </w:rPr>
        <w:t>Kaukasiern.</w:t>
      </w:r>
    </w:p>
    <w:p w14:paraId="5B7E0E0B" w14:textId="77777777" w:rsidR="00FF7799" w:rsidRPr="00163FEF" w:rsidRDefault="00FF7799" w:rsidP="009A0488">
      <w:pPr>
        <w:pStyle w:val="StandardText"/>
      </w:pPr>
      <w:r w:rsidRPr="00163FEF">
        <w:t>Obwohl Meiners heute nur wenigen noch ein Begriff ist, sind seine anthropologischen</w:t>
      </w:r>
      <w:r w:rsidRPr="00163FEF">
        <w:rPr>
          <w:spacing w:val="-3"/>
        </w:rPr>
        <w:t xml:space="preserve"> </w:t>
      </w:r>
      <w:r w:rsidRPr="00163FEF">
        <w:t>Phantastereien</w:t>
      </w:r>
      <w:r w:rsidRPr="00163FEF">
        <w:rPr>
          <w:spacing w:val="-3"/>
        </w:rPr>
        <w:t xml:space="preserve"> </w:t>
      </w:r>
      <w:r w:rsidRPr="00163FEF">
        <w:t>ein</w:t>
      </w:r>
      <w:r w:rsidRPr="00163FEF">
        <w:rPr>
          <w:spacing w:val="-3"/>
        </w:rPr>
        <w:t xml:space="preserve"> </w:t>
      </w:r>
      <w:r w:rsidRPr="00163FEF">
        <w:t>Meilenstein</w:t>
      </w:r>
      <w:r w:rsidRPr="00163FEF">
        <w:rPr>
          <w:spacing w:val="-3"/>
        </w:rPr>
        <w:t xml:space="preserve"> </w:t>
      </w:r>
      <w:r w:rsidRPr="00163FEF">
        <w:t>auf</w:t>
      </w:r>
      <w:r w:rsidRPr="00163FEF">
        <w:rPr>
          <w:spacing w:val="-4"/>
        </w:rPr>
        <w:t xml:space="preserve"> </w:t>
      </w:r>
      <w:r w:rsidRPr="00163FEF">
        <w:t>dem</w:t>
      </w:r>
      <w:r w:rsidRPr="00163FEF">
        <w:rPr>
          <w:spacing w:val="-5"/>
        </w:rPr>
        <w:t xml:space="preserve"> </w:t>
      </w:r>
      <w:r w:rsidRPr="00163FEF">
        <w:t>Weg</w:t>
      </w:r>
      <w:r w:rsidRPr="00163FEF">
        <w:rPr>
          <w:spacing w:val="-3"/>
        </w:rPr>
        <w:t xml:space="preserve"> </w:t>
      </w:r>
      <w:r w:rsidRPr="00163FEF">
        <w:t>hin</w:t>
      </w:r>
      <w:r w:rsidRPr="00163FEF">
        <w:rPr>
          <w:spacing w:val="-5"/>
        </w:rPr>
        <w:t xml:space="preserve"> </w:t>
      </w:r>
      <w:r w:rsidRPr="00163FEF">
        <w:t>zu Gobineau, Chamberlain und dem Vulgär-Rassismus eines J.L. von Liebenfels oder J. Streicher. Neben seiner Einteilung der Menschheit in geistbegabte schöne und geistlose hässliche Völker entwickelte Meiners anhand körperlicher, psychischer und charakterlicher Merkmale ein hierarchisches System der Kulturstufen, das vom</w:t>
      </w:r>
      <w:r w:rsidRPr="00163FEF">
        <w:rPr>
          <w:spacing w:val="-3"/>
        </w:rPr>
        <w:t xml:space="preserve"> </w:t>
      </w:r>
      <w:r w:rsidRPr="00163FEF">
        <w:t>Affen</w:t>
      </w:r>
      <w:r w:rsidRPr="00163FEF">
        <w:rPr>
          <w:spacing w:val="-3"/>
        </w:rPr>
        <w:t xml:space="preserve"> </w:t>
      </w:r>
      <w:r w:rsidRPr="00163FEF">
        <w:t>über</w:t>
      </w:r>
      <w:r w:rsidRPr="00163FEF">
        <w:rPr>
          <w:spacing w:val="-4"/>
        </w:rPr>
        <w:t xml:space="preserve"> </w:t>
      </w:r>
      <w:r w:rsidRPr="00163FEF">
        <w:t>den</w:t>
      </w:r>
      <w:r w:rsidRPr="00163FEF">
        <w:rPr>
          <w:spacing w:val="-3"/>
        </w:rPr>
        <w:t xml:space="preserve"> </w:t>
      </w:r>
      <w:r w:rsidRPr="00163FEF">
        <w:t>»Neger«</w:t>
      </w:r>
      <w:r w:rsidRPr="00163FEF">
        <w:rPr>
          <w:spacing w:val="-1"/>
        </w:rPr>
        <w:t xml:space="preserve"> </w:t>
      </w:r>
      <w:r w:rsidRPr="00163FEF">
        <w:t>bis</w:t>
      </w:r>
      <w:r w:rsidRPr="00163FEF">
        <w:rPr>
          <w:spacing w:val="-4"/>
        </w:rPr>
        <w:t xml:space="preserve"> </w:t>
      </w:r>
      <w:r w:rsidRPr="00163FEF">
        <w:t>zum</w:t>
      </w:r>
      <w:r w:rsidRPr="00163FEF">
        <w:rPr>
          <w:spacing w:val="-3"/>
        </w:rPr>
        <w:t xml:space="preserve"> </w:t>
      </w:r>
      <w:r w:rsidRPr="00163FEF">
        <w:t>Europäer</w:t>
      </w:r>
      <w:r w:rsidRPr="00163FEF">
        <w:rPr>
          <w:spacing w:val="-2"/>
        </w:rPr>
        <w:t xml:space="preserve"> </w:t>
      </w:r>
      <w:r w:rsidRPr="00163FEF">
        <w:t>reichte.</w:t>
      </w:r>
      <w:r w:rsidRPr="00163FEF">
        <w:rPr>
          <w:spacing w:val="-2"/>
        </w:rPr>
        <w:t xml:space="preserve"> </w:t>
      </w:r>
      <w:r w:rsidRPr="00163FEF">
        <w:t>Wobei</w:t>
      </w:r>
      <w:r w:rsidRPr="00163FEF">
        <w:rPr>
          <w:spacing w:val="-2"/>
        </w:rPr>
        <w:t xml:space="preserve"> </w:t>
      </w:r>
      <w:r w:rsidRPr="00163FEF">
        <w:t>alle</w:t>
      </w:r>
      <w:r w:rsidRPr="00163FEF">
        <w:rPr>
          <w:spacing w:val="-5"/>
        </w:rPr>
        <w:t xml:space="preserve"> </w:t>
      </w:r>
      <w:r w:rsidRPr="00163FEF">
        <w:t>mongolischen Völker als »Mittelwesen</w:t>
      </w:r>
      <w:r w:rsidRPr="00163FEF">
        <w:rPr>
          <w:spacing w:val="4"/>
        </w:rPr>
        <w:t xml:space="preserve"> </w:t>
      </w:r>
      <w:r w:rsidRPr="00163FEF">
        <w:t>zwischen</w:t>
      </w:r>
      <w:r w:rsidRPr="00163FEF">
        <w:rPr>
          <w:spacing w:val="1"/>
        </w:rPr>
        <w:t xml:space="preserve"> </w:t>
      </w:r>
      <w:r w:rsidRPr="00163FEF">
        <w:t>den</w:t>
      </w:r>
      <w:r w:rsidRPr="00163FEF">
        <w:rPr>
          <w:spacing w:val="1"/>
        </w:rPr>
        <w:t xml:space="preserve"> </w:t>
      </w:r>
      <w:r w:rsidRPr="00163FEF">
        <w:t>Europäern</w:t>
      </w:r>
      <w:r w:rsidRPr="00163FEF">
        <w:rPr>
          <w:spacing w:val="2"/>
        </w:rPr>
        <w:t xml:space="preserve"> </w:t>
      </w:r>
      <w:r w:rsidRPr="00163FEF">
        <w:t>und</w:t>
      </w:r>
      <w:r w:rsidRPr="00163FEF">
        <w:rPr>
          <w:spacing w:val="-1"/>
        </w:rPr>
        <w:t xml:space="preserve"> </w:t>
      </w:r>
      <w:r w:rsidRPr="00163FEF">
        <w:t>den</w:t>
      </w:r>
      <w:r w:rsidRPr="00163FEF">
        <w:rPr>
          <w:spacing w:val="1"/>
        </w:rPr>
        <w:t xml:space="preserve"> </w:t>
      </w:r>
      <w:r w:rsidRPr="00163FEF">
        <w:t>unvernünftigen</w:t>
      </w:r>
      <w:r w:rsidRPr="00163FEF">
        <w:rPr>
          <w:spacing w:val="1"/>
        </w:rPr>
        <w:t xml:space="preserve"> </w:t>
      </w:r>
      <w:r w:rsidRPr="00163FEF">
        <w:rPr>
          <w:spacing w:val="-2"/>
        </w:rPr>
        <w:t xml:space="preserve">Tieren </w:t>
      </w:r>
      <w:r w:rsidRPr="00163FEF">
        <w:t>oder als eine Art von Halbmenschen« verstanden wurden, »die sich sehr oft den Tieren weit mehr als dem Europäer nähern«.</w:t>
      </w:r>
    </w:p>
    <w:p w14:paraId="0DED91DE" w14:textId="77777777" w:rsidR="00FF7799" w:rsidRPr="00163FEF" w:rsidRDefault="00FF7799" w:rsidP="009A0488">
      <w:pPr>
        <w:pStyle w:val="StandardText"/>
      </w:pPr>
      <w:r w:rsidRPr="00163FEF">
        <w:t>Meiners</w:t>
      </w:r>
      <w:r w:rsidRPr="00163FEF">
        <w:rPr>
          <w:spacing w:val="-7"/>
        </w:rPr>
        <w:t xml:space="preserve"> </w:t>
      </w:r>
      <w:r w:rsidRPr="00163FEF">
        <w:t>anthropologische</w:t>
      </w:r>
      <w:r w:rsidRPr="00163FEF">
        <w:rPr>
          <w:spacing w:val="-7"/>
        </w:rPr>
        <w:t xml:space="preserve"> </w:t>
      </w:r>
      <w:r w:rsidRPr="00163FEF">
        <w:t>Bemühungen</w:t>
      </w:r>
      <w:r w:rsidRPr="00163FEF">
        <w:rPr>
          <w:spacing w:val="-5"/>
        </w:rPr>
        <w:t xml:space="preserve"> </w:t>
      </w:r>
      <w:r w:rsidRPr="00163FEF">
        <w:t>stehen</w:t>
      </w:r>
      <w:r w:rsidRPr="00163FEF">
        <w:rPr>
          <w:spacing w:val="-8"/>
        </w:rPr>
        <w:t xml:space="preserve"> </w:t>
      </w:r>
      <w:r w:rsidRPr="00163FEF">
        <w:t>nicht</w:t>
      </w:r>
      <w:r w:rsidRPr="00163FEF">
        <w:rPr>
          <w:spacing w:val="-8"/>
        </w:rPr>
        <w:t xml:space="preserve"> </w:t>
      </w:r>
      <w:r w:rsidRPr="00163FEF">
        <w:t>allein.</w:t>
      </w:r>
      <w:r w:rsidRPr="00163FEF">
        <w:rPr>
          <w:spacing w:val="-8"/>
        </w:rPr>
        <w:t xml:space="preserve"> </w:t>
      </w:r>
      <w:r w:rsidRPr="00163FEF">
        <w:t>Wie</w:t>
      </w:r>
      <w:r w:rsidRPr="00163FEF">
        <w:rPr>
          <w:spacing w:val="-6"/>
        </w:rPr>
        <w:t xml:space="preserve"> </w:t>
      </w:r>
      <w:r w:rsidRPr="00163FEF">
        <w:t>kaum</w:t>
      </w:r>
      <w:r w:rsidRPr="00163FEF">
        <w:rPr>
          <w:spacing w:val="-7"/>
        </w:rPr>
        <w:t xml:space="preserve"> </w:t>
      </w:r>
      <w:r w:rsidRPr="00163FEF">
        <w:t>ein</w:t>
      </w:r>
      <w:r w:rsidRPr="00163FEF">
        <w:rPr>
          <w:spacing w:val="-7"/>
        </w:rPr>
        <w:t xml:space="preserve"> </w:t>
      </w:r>
      <w:r w:rsidRPr="00163FEF">
        <w:t>anderes Thema beherrschte diese Frage in der zweiten Hälfte des 18. Jahrhundert die Wissenschaftler.</w:t>
      </w:r>
      <w:r w:rsidRPr="00163FEF">
        <w:rPr>
          <w:spacing w:val="-10"/>
        </w:rPr>
        <w:t xml:space="preserve"> </w:t>
      </w:r>
      <w:r w:rsidRPr="00163FEF">
        <w:t>Ob</w:t>
      </w:r>
      <w:r w:rsidRPr="00163FEF">
        <w:rPr>
          <w:spacing w:val="-8"/>
        </w:rPr>
        <w:t xml:space="preserve"> </w:t>
      </w:r>
      <w:r w:rsidRPr="00163FEF">
        <w:t>C.</w:t>
      </w:r>
      <w:r w:rsidRPr="00163FEF">
        <w:rPr>
          <w:spacing w:val="-10"/>
        </w:rPr>
        <w:t xml:space="preserve"> </w:t>
      </w:r>
      <w:r w:rsidRPr="00163FEF">
        <w:t>von</w:t>
      </w:r>
      <w:r w:rsidRPr="00163FEF">
        <w:rPr>
          <w:spacing w:val="-9"/>
        </w:rPr>
        <w:t xml:space="preserve"> </w:t>
      </w:r>
      <w:r w:rsidRPr="00163FEF">
        <w:t>Linné,</w:t>
      </w:r>
      <w:r w:rsidRPr="00163FEF">
        <w:rPr>
          <w:spacing w:val="-12"/>
        </w:rPr>
        <w:t xml:space="preserve"> </w:t>
      </w:r>
      <w:r w:rsidRPr="00163FEF">
        <w:t>J.F.</w:t>
      </w:r>
      <w:r w:rsidRPr="00163FEF">
        <w:rPr>
          <w:spacing w:val="-8"/>
        </w:rPr>
        <w:t xml:space="preserve"> </w:t>
      </w:r>
      <w:r w:rsidRPr="00163FEF">
        <w:t>Blumenbach</w:t>
      </w:r>
      <w:r w:rsidRPr="00163FEF">
        <w:rPr>
          <w:spacing w:val="-7"/>
        </w:rPr>
        <w:t xml:space="preserve"> </w:t>
      </w:r>
      <w:r w:rsidRPr="00163FEF">
        <w:t>oder</w:t>
      </w:r>
      <w:r w:rsidRPr="00163FEF">
        <w:rPr>
          <w:spacing w:val="-10"/>
        </w:rPr>
        <w:t xml:space="preserve"> </w:t>
      </w:r>
      <w:r w:rsidRPr="00163FEF">
        <w:t>I.</w:t>
      </w:r>
      <w:r w:rsidRPr="00163FEF">
        <w:rPr>
          <w:spacing w:val="-10"/>
        </w:rPr>
        <w:t xml:space="preserve"> </w:t>
      </w:r>
      <w:r w:rsidRPr="00163FEF">
        <w:t>Kant:</w:t>
      </w:r>
      <w:r w:rsidRPr="00163FEF">
        <w:rPr>
          <w:spacing w:val="-10"/>
        </w:rPr>
        <w:t xml:space="preserve"> </w:t>
      </w:r>
      <w:r w:rsidRPr="00163FEF">
        <w:t>Alle</w:t>
      </w:r>
      <w:r w:rsidRPr="00163FEF">
        <w:rPr>
          <w:spacing w:val="-11"/>
        </w:rPr>
        <w:t xml:space="preserve"> </w:t>
      </w:r>
      <w:r w:rsidRPr="00163FEF">
        <w:t>mühten</w:t>
      </w:r>
      <w:r w:rsidRPr="00163FEF">
        <w:rPr>
          <w:spacing w:val="-9"/>
        </w:rPr>
        <w:t xml:space="preserve"> </w:t>
      </w:r>
      <w:r w:rsidRPr="00163FEF">
        <w:t xml:space="preserve">sich um eine Klassifizierung der Menschheit. Das Bestimmen von </w:t>
      </w:r>
      <w:r w:rsidRPr="00163FEF">
        <w:rPr>
          <w:rFonts w:ascii="Cambria Math" w:hAnsi="Cambria Math" w:cs="Cambria Math"/>
        </w:rPr>
        <w:t>⇒</w:t>
      </w:r>
      <w:r w:rsidRPr="00163FEF">
        <w:rPr>
          <w:spacing w:val="40"/>
        </w:rPr>
        <w:t xml:space="preserve"> </w:t>
      </w:r>
      <w:r w:rsidRPr="00163FEF">
        <w:t>Nationalcharakteren – der stolze Spanier, der leichtsinnige Franzose et cetera – avancierte zum Modethema“ (Schmidt 1999, S.92).</w:t>
      </w:r>
    </w:p>
    <w:p w14:paraId="6E01AB44" w14:textId="77777777" w:rsidR="00FF7799" w:rsidRPr="00163FEF" w:rsidRDefault="00FF7799" w:rsidP="009A0488">
      <w:pPr>
        <w:pStyle w:val="StandardText"/>
        <w:rPr>
          <w:sz w:val="22"/>
          <w:szCs w:val="22"/>
        </w:rPr>
      </w:pPr>
      <w:r w:rsidRPr="00163FEF">
        <w:rPr>
          <w:b/>
          <w:i/>
          <w:sz w:val="22"/>
          <w:szCs w:val="22"/>
        </w:rPr>
        <w:lastRenderedPageBreak/>
        <w:t xml:space="preserve">Literatur: </w:t>
      </w:r>
      <w:r w:rsidRPr="00163FEF">
        <w:rPr>
          <w:sz w:val="22"/>
          <w:szCs w:val="22"/>
        </w:rPr>
        <w:t>Cavalli-Sforza, L.L. (1999): Gene, Völker und Sprachen. Die biologischen</w:t>
      </w:r>
      <w:r w:rsidRPr="00163FEF">
        <w:rPr>
          <w:spacing w:val="40"/>
          <w:sz w:val="22"/>
          <w:szCs w:val="22"/>
        </w:rPr>
        <w:t xml:space="preserve"> </w:t>
      </w:r>
      <w:r w:rsidRPr="00163FEF">
        <w:rPr>
          <w:sz w:val="22"/>
          <w:szCs w:val="22"/>
        </w:rPr>
        <w:t>Grundlagen unserer Zivilisation, München: Hanser.</w:t>
      </w:r>
      <w:r w:rsidRPr="00163FEF">
        <w:rPr>
          <w:spacing w:val="80"/>
          <w:sz w:val="22"/>
          <w:szCs w:val="22"/>
        </w:rPr>
        <w:t xml:space="preserve"> </w:t>
      </w:r>
      <w:r w:rsidRPr="00163FEF">
        <w:rPr>
          <w:sz w:val="22"/>
          <w:szCs w:val="22"/>
        </w:rPr>
        <w:t>Chamberlain, H.S. (1899): Die</w:t>
      </w:r>
      <w:r w:rsidRPr="00163FEF">
        <w:rPr>
          <w:spacing w:val="40"/>
          <w:sz w:val="22"/>
          <w:szCs w:val="22"/>
        </w:rPr>
        <w:t xml:space="preserve"> </w:t>
      </w:r>
      <w:r w:rsidRPr="00163FEF">
        <w:rPr>
          <w:sz w:val="22"/>
          <w:szCs w:val="22"/>
        </w:rPr>
        <w:t>Grundlagen</w:t>
      </w:r>
      <w:r w:rsidRPr="00163FEF">
        <w:rPr>
          <w:spacing w:val="-8"/>
          <w:sz w:val="22"/>
          <w:szCs w:val="22"/>
        </w:rPr>
        <w:t xml:space="preserve"> </w:t>
      </w:r>
      <w:r w:rsidRPr="00163FEF">
        <w:rPr>
          <w:sz w:val="22"/>
          <w:szCs w:val="22"/>
        </w:rPr>
        <w:t>des</w:t>
      </w:r>
      <w:r w:rsidRPr="00163FEF">
        <w:rPr>
          <w:spacing w:val="-7"/>
          <w:sz w:val="22"/>
          <w:szCs w:val="22"/>
        </w:rPr>
        <w:t xml:space="preserve"> </w:t>
      </w:r>
      <w:r w:rsidRPr="00163FEF">
        <w:rPr>
          <w:sz w:val="22"/>
          <w:szCs w:val="22"/>
        </w:rPr>
        <w:t>19.</w:t>
      </w:r>
      <w:r w:rsidRPr="00163FEF">
        <w:rPr>
          <w:spacing w:val="-8"/>
          <w:sz w:val="22"/>
          <w:szCs w:val="22"/>
        </w:rPr>
        <w:t xml:space="preserve"> </w:t>
      </w:r>
      <w:r w:rsidRPr="00163FEF">
        <w:rPr>
          <w:sz w:val="22"/>
          <w:szCs w:val="22"/>
        </w:rPr>
        <w:t>Jahrhunderts,</w:t>
      </w:r>
      <w:r w:rsidRPr="00163FEF">
        <w:rPr>
          <w:spacing w:val="-8"/>
          <w:sz w:val="22"/>
          <w:szCs w:val="22"/>
        </w:rPr>
        <w:t xml:space="preserve"> </w:t>
      </w:r>
      <w:r w:rsidRPr="00163FEF">
        <w:rPr>
          <w:sz w:val="22"/>
          <w:szCs w:val="22"/>
        </w:rPr>
        <w:t>Bd.1</w:t>
      </w:r>
      <w:r w:rsidRPr="00163FEF">
        <w:rPr>
          <w:spacing w:val="-6"/>
          <w:sz w:val="22"/>
          <w:szCs w:val="22"/>
        </w:rPr>
        <w:t xml:space="preserve"> </w:t>
      </w:r>
      <w:r w:rsidRPr="00163FEF">
        <w:rPr>
          <w:sz w:val="22"/>
          <w:szCs w:val="22"/>
        </w:rPr>
        <w:t>+</w:t>
      </w:r>
      <w:r w:rsidRPr="00163FEF">
        <w:rPr>
          <w:spacing w:val="-9"/>
          <w:sz w:val="22"/>
          <w:szCs w:val="22"/>
        </w:rPr>
        <w:t xml:space="preserve"> </w:t>
      </w:r>
      <w:r w:rsidRPr="00163FEF">
        <w:rPr>
          <w:sz w:val="22"/>
          <w:szCs w:val="22"/>
        </w:rPr>
        <w:t>2,</w:t>
      </w:r>
      <w:r w:rsidRPr="00163FEF">
        <w:rPr>
          <w:spacing w:val="-8"/>
          <w:sz w:val="22"/>
          <w:szCs w:val="22"/>
        </w:rPr>
        <w:t xml:space="preserve"> </w:t>
      </w:r>
      <w:r w:rsidRPr="00163FEF">
        <w:rPr>
          <w:sz w:val="22"/>
          <w:szCs w:val="22"/>
        </w:rPr>
        <w:t>München:</w:t>
      </w:r>
      <w:r w:rsidRPr="00163FEF">
        <w:rPr>
          <w:spacing w:val="-8"/>
          <w:sz w:val="22"/>
          <w:szCs w:val="22"/>
        </w:rPr>
        <w:t xml:space="preserve"> </w:t>
      </w:r>
      <w:r w:rsidRPr="00163FEF">
        <w:rPr>
          <w:sz w:val="22"/>
          <w:szCs w:val="22"/>
        </w:rPr>
        <w:t>Bruckmann.</w:t>
      </w:r>
      <w:r w:rsidRPr="00163FEF">
        <w:rPr>
          <w:spacing w:val="80"/>
          <w:sz w:val="22"/>
          <w:szCs w:val="22"/>
        </w:rPr>
        <w:t xml:space="preserve"> </w:t>
      </w:r>
      <w:r w:rsidRPr="00163FEF">
        <w:rPr>
          <w:sz w:val="22"/>
          <w:szCs w:val="22"/>
        </w:rPr>
        <w:t>Geulen,</w:t>
      </w:r>
      <w:r w:rsidRPr="00163FEF">
        <w:rPr>
          <w:spacing w:val="-8"/>
          <w:sz w:val="22"/>
          <w:szCs w:val="22"/>
        </w:rPr>
        <w:t xml:space="preserve"> </w:t>
      </w:r>
      <w:r w:rsidRPr="00163FEF">
        <w:rPr>
          <w:sz w:val="22"/>
          <w:szCs w:val="22"/>
        </w:rPr>
        <w:t>C.</w:t>
      </w:r>
      <w:r w:rsidRPr="00163FEF">
        <w:rPr>
          <w:spacing w:val="-4"/>
          <w:sz w:val="22"/>
          <w:szCs w:val="22"/>
        </w:rPr>
        <w:t xml:space="preserve"> </w:t>
      </w:r>
      <w:r w:rsidRPr="00163FEF">
        <w:rPr>
          <w:sz w:val="22"/>
          <w:szCs w:val="22"/>
        </w:rPr>
        <w:t>(1999):</w:t>
      </w:r>
      <w:r w:rsidRPr="00163FEF">
        <w:rPr>
          <w:spacing w:val="-6"/>
          <w:sz w:val="22"/>
          <w:szCs w:val="22"/>
        </w:rPr>
        <w:t xml:space="preserve"> </w:t>
      </w:r>
      <w:r w:rsidRPr="00163FEF">
        <w:rPr>
          <w:sz w:val="22"/>
          <w:szCs w:val="22"/>
        </w:rPr>
        <w:t>Wie</w:t>
      </w:r>
      <w:r w:rsidRPr="00163FEF">
        <w:rPr>
          <w:spacing w:val="40"/>
          <w:sz w:val="22"/>
          <w:szCs w:val="22"/>
        </w:rPr>
        <w:t xml:space="preserve"> </w:t>
      </w:r>
      <w:r w:rsidRPr="00163FEF">
        <w:rPr>
          <w:sz w:val="22"/>
          <w:szCs w:val="22"/>
        </w:rPr>
        <w:t>böse können Biologen sein? Süddeutsche Zeitung, 55(173): 16.</w:t>
      </w:r>
      <w:r w:rsidRPr="00163FEF">
        <w:rPr>
          <w:spacing w:val="80"/>
          <w:sz w:val="22"/>
          <w:szCs w:val="22"/>
        </w:rPr>
        <w:t xml:space="preserve"> </w:t>
      </w:r>
      <w:r w:rsidRPr="00163FEF">
        <w:rPr>
          <w:sz w:val="22"/>
          <w:szCs w:val="22"/>
        </w:rPr>
        <w:t>Gobineau, J.A. de (1899-</w:t>
      </w:r>
      <w:r w:rsidRPr="00163FEF">
        <w:rPr>
          <w:spacing w:val="40"/>
          <w:sz w:val="22"/>
          <w:szCs w:val="22"/>
        </w:rPr>
        <w:t xml:space="preserve"> </w:t>
      </w:r>
      <w:r w:rsidRPr="00163FEF">
        <w:rPr>
          <w:sz w:val="22"/>
          <w:szCs w:val="22"/>
        </w:rPr>
        <w:t>1903): Versuch über die Ungleichheit der Menschenrassen, 5 Bd., Stuttgart: Frommann.</w:t>
      </w:r>
      <w:r w:rsidRPr="00163FEF">
        <w:rPr>
          <w:spacing w:val="40"/>
          <w:sz w:val="22"/>
          <w:szCs w:val="22"/>
        </w:rPr>
        <w:t xml:space="preserve"> </w:t>
      </w:r>
      <w:r w:rsidRPr="00163FEF">
        <w:rPr>
          <w:sz w:val="22"/>
          <w:szCs w:val="22"/>
        </w:rPr>
        <w:t>Hund,</w:t>
      </w:r>
      <w:r w:rsidRPr="00163FEF">
        <w:rPr>
          <w:spacing w:val="-7"/>
          <w:sz w:val="22"/>
          <w:szCs w:val="22"/>
        </w:rPr>
        <w:t xml:space="preserve"> </w:t>
      </w:r>
      <w:r w:rsidRPr="00163FEF">
        <w:rPr>
          <w:sz w:val="22"/>
          <w:szCs w:val="22"/>
        </w:rPr>
        <w:t>W.D.</w:t>
      </w:r>
      <w:r w:rsidRPr="00163FEF">
        <w:rPr>
          <w:spacing w:val="-6"/>
          <w:sz w:val="22"/>
          <w:szCs w:val="22"/>
        </w:rPr>
        <w:t xml:space="preserve"> </w:t>
      </w:r>
      <w:r w:rsidRPr="00163FEF">
        <w:rPr>
          <w:sz w:val="22"/>
          <w:szCs w:val="22"/>
        </w:rPr>
        <w:t>(1999):</w:t>
      </w:r>
      <w:r w:rsidRPr="00163FEF">
        <w:rPr>
          <w:spacing w:val="-9"/>
          <w:sz w:val="22"/>
          <w:szCs w:val="22"/>
        </w:rPr>
        <w:t xml:space="preserve"> </w:t>
      </w:r>
      <w:r w:rsidRPr="00163FEF">
        <w:rPr>
          <w:sz w:val="22"/>
          <w:szCs w:val="22"/>
        </w:rPr>
        <w:t>Rassismus.</w:t>
      </w:r>
      <w:r w:rsidRPr="00163FEF">
        <w:rPr>
          <w:spacing w:val="-7"/>
          <w:sz w:val="22"/>
          <w:szCs w:val="22"/>
        </w:rPr>
        <w:t xml:space="preserve"> </w:t>
      </w:r>
      <w:r w:rsidRPr="00163FEF">
        <w:rPr>
          <w:sz w:val="22"/>
          <w:szCs w:val="22"/>
        </w:rPr>
        <w:t>Die</w:t>
      </w:r>
      <w:r w:rsidRPr="00163FEF">
        <w:rPr>
          <w:spacing w:val="-7"/>
          <w:sz w:val="22"/>
          <w:szCs w:val="22"/>
        </w:rPr>
        <w:t xml:space="preserve"> </w:t>
      </w:r>
      <w:r w:rsidRPr="00163FEF">
        <w:rPr>
          <w:sz w:val="22"/>
          <w:szCs w:val="22"/>
        </w:rPr>
        <w:t>soziale</w:t>
      </w:r>
      <w:r w:rsidRPr="00163FEF">
        <w:rPr>
          <w:spacing w:val="-7"/>
          <w:sz w:val="22"/>
          <w:szCs w:val="22"/>
        </w:rPr>
        <w:t xml:space="preserve"> </w:t>
      </w:r>
      <w:r w:rsidRPr="00163FEF">
        <w:rPr>
          <w:sz w:val="22"/>
          <w:szCs w:val="22"/>
        </w:rPr>
        <w:t>Konstruktion</w:t>
      </w:r>
      <w:r w:rsidRPr="00163FEF">
        <w:rPr>
          <w:spacing w:val="-7"/>
          <w:sz w:val="22"/>
          <w:szCs w:val="22"/>
        </w:rPr>
        <w:t xml:space="preserve"> </w:t>
      </w:r>
      <w:r w:rsidRPr="00163FEF">
        <w:rPr>
          <w:sz w:val="22"/>
          <w:szCs w:val="22"/>
        </w:rPr>
        <w:t>natürlicher</w:t>
      </w:r>
      <w:r w:rsidRPr="00163FEF">
        <w:rPr>
          <w:spacing w:val="-6"/>
          <w:sz w:val="22"/>
          <w:szCs w:val="22"/>
        </w:rPr>
        <w:t xml:space="preserve"> </w:t>
      </w:r>
      <w:r w:rsidRPr="00163FEF">
        <w:rPr>
          <w:sz w:val="22"/>
          <w:szCs w:val="22"/>
        </w:rPr>
        <w:t>Ungleichheit,</w:t>
      </w:r>
      <w:r w:rsidRPr="00163FEF">
        <w:rPr>
          <w:spacing w:val="-7"/>
          <w:sz w:val="22"/>
          <w:szCs w:val="22"/>
        </w:rPr>
        <w:t xml:space="preserve"> </w:t>
      </w:r>
      <w:r w:rsidRPr="00163FEF">
        <w:rPr>
          <w:sz w:val="22"/>
          <w:szCs w:val="22"/>
        </w:rPr>
        <w:t>Münster:</w:t>
      </w:r>
      <w:r w:rsidRPr="00163FEF">
        <w:rPr>
          <w:spacing w:val="40"/>
          <w:sz w:val="22"/>
          <w:szCs w:val="22"/>
        </w:rPr>
        <w:t xml:space="preserve"> </w:t>
      </w:r>
      <w:r w:rsidRPr="00163FEF">
        <w:rPr>
          <w:sz w:val="22"/>
          <w:szCs w:val="22"/>
        </w:rPr>
        <w:t>Westfälisches</w:t>
      </w:r>
      <w:r w:rsidRPr="00163FEF">
        <w:rPr>
          <w:spacing w:val="-7"/>
          <w:sz w:val="22"/>
          <w:szCs w:val="22"/>
        </w:rPr>
        <w:t xml:space="preserve"> </w:t>
      </w:r>
      <w:r w:rsidRPr="00163FEF">
        <w:rPr>
          <w:sz w:val="22"/>
          <w:szCs w:val="22"/>
        </w:rPr>
        <w:t>Dampfboot.</w:t>
      </w:r>
      <w:r w:rsidRPr="00163FEF">
        <w:rPr>
          <w:spacing w:val="80"/>
          <w:sz w:val="22"/>
          <w:szCs w:val="22"/>
        </w:rPr>
        <w:t xml:space="preserve"> </w:t>
      </w:r>
      <w:r w:rsidRPr="00163FEF">
        <w:rPr>
          <w:sz w:val="22"/>
          <w:szCs w:val="22"/>
        </w:rPr>
        <w:t>Jäckle,</w:t>
      </w:r>
      <w:r w:rsidRPr="00163FEF">
        <w:rPr>
          <w:spacing w:val="-6"/>
          <w:sz w:val="22"/>
          <w:szCs w:val="22"/>
        </w:rPr>
        <w:t xml:space="preserve"> </w:t>
      </w:r>
      <w:r w:rsidRPr="00163FEF">
        <w:rPr>
          <w:sz w:val="22"/>
          <w:szCs w:val="22"/>
        </w:rPr>
        <w:t>N.</w:t>
      </w:r>
      <w:r w:rsidRPr="00163FEF">
        <w:rPr>
          <w:spacing w:val="-5"/>
          <w:sz w:val="22"/>
          <w:szCs w:val="22"/>
        </w:rPr>
        <w:t xml:space="preserve"> </w:t>
      </w:r>
      <w:r w:rsidRPr="00163FEF">
        <w:rPr>
          <w:sz w:val="22"/>
          <w:szCs w:val="22"/>
        </w:rPr>
        <w:t>(2008):</w:t>
      </w:r>
      <w:r w:rsidRPr="00163FEF">
        <w:rPr>
          <w:spacing w:val="-6"/>
          <w:sz w:val="22"/>
          <w:szCs w:val="22"/>
        </w:rPr>
        <w:t xml:space="preserve"> </w:t>
      </w:r>
      <w:r w:rsidRPr="00163FEF">
        <w:rPr>
          <w:sz w:val="22"/>
          <w:szCs w:val="22"/>
        </w:rPr>
        <w:t>Die</w:t>
      </w:r>
      <w:r w:rsidRPr="00163FEF">
        <w:rPr>
          <w:spacing w:val="-6"/>
          <w:sz w:val="22"/>
          <w:szCs w:val="22"/>
        </w:rPr>
        <w:t xml:space="preserve"> </w:t>
      </w:r>
      <w:r w:rsidRPr="00163FEF">
        <w:rPr>
          <w:sz w:val="22"/>
          <w:szCs w:val="22"/>
        </w:rPr>
        <w:t>Ethnische</w:t>
      </w:r>
      <w:r w:rsidRPr="00163FEF">
        <w:rPr>
          <w:spacing w:val="-6"/>
          <w:sz w:val="22"/>
          <w:szCs w:val="22"/>
        </w:rPr>
        <w:t xml:space="preserve"> </w:t>
      </w:r>
      <w:r w:rsidRPr="00163FEF">
        <w:rPr>
          <w:sz w:val="22"/>
          <w:szCs w:val="22"/>
        </w:rPr>
        <w:t>Hierarchie</w:t>
      </w:r>
      <w:r w:rsidRPr="00163FEF">
        <w:rPr>
          <w:spacing w:val="-6"/>
          <w:sz w:val="22"/>
          <w:szCs w:val="22"/>
        </w:rPr>
        <w:t xml:space="preserve"> </w:t>
      </w:r>
      <w:r w:rsidRPr="00163FEF">
        <w:rPr>
          <w:sz w:val="22"/>
          <w:szCs w:val="22"/>
        </w:rPr>
        <w:t>in</w:t>
      </w:r>
      <w:r w:rsidRPr="00163FEF">
        <w:rPr>
          <w:spacing w:val="-8"/>
          <w:sz w:val="22"/>
          <w:szCs w:val="22"/>
        </w:rPr>
        <w:t xml:space="preserve"> </w:t>
      </w:r>
      <w:r w:rsidRPr="00163FEF">
        <w:rPr>
          <w:sz w:val="22"/>
          <w:szCs w:val="22"/>
        </w:rPr>
        <w:t>Deutschland</w:t>
      </w:r>
      <w:r w:rsidRPr="00163FEF">
        <w:rPr>
          <w:spacing w:val="-6"/>
          <w:sz w:val="22"/>
          <w:szCs w:val="22"/>
        </w:rPr>
        <w:t xml:space="preserve"> </w:t>
      </w:r>
      <w:r w:rsidRPr="00163FEF">
        <w:rPr>
          <w:sz w:val="22"/>
          <w:szCs w:val="22"/>
        </w:rPr>
        <w:t>und</w:t>
      </w:r>
      <w:r w:rsidRPr="00163FEF">
        <w:rPr>
          <w:spacing w:val="40"/>
          <w:sz w:val="22"/>
          <w:szCs w:val="22"/>
        </w:rPr>
        <w:t xml:space="preserve"> </w:t>
      </w:r>
      <w:r w:rsidRPr="00163FEF">
        <w:rPr>
          <w:sz w:val="22"/>
          <w:szCs w:val="22"/>
        </w:rPr>
        <w:t>die Legitimierung der Ablehnung und Diskriminierung ethnischer Minoritäten. Über den</w:t>
      </w:r>
      <w:r w:rsidRPr="00163FEF">
        <w:rPr>
          <w:spacing w:val="40"/>
          <w:sz w:val="22"/>
          <w:szCs w:val="22"/>
        </w:rPr>
        <w:t xml:space="preserve"> </w:t>
      </w:r>
      <w:r w:rsidRPr="00163FEF">
        <w:rPr>
          <w:sz w:val="22"/>
          <w:szCs w:val="22"/>
        </w:rPr>
        <w:t>Konsens in den individuellen Vorurteilen von Mitgliedern einer Gesellschaft, Diss.,</w:t>
      </w:r>
      <w:r w:rsidRPr="00163FEF">
        <w:rPr>
          <w:spacing w:val="40"/>
          <w:sz w:val="22"/>
          <w:szCs w:val="22"/>
        </w:rPr>
        <w:t xml:space="preserve"> </w:t>
      </w:r>
      <w:r w:rsidRPr="00163FEF">
        <w:rPr>
          <w:sz w:val="22"/>
          <w:szCs w:val="22"/>
        </w:rPr>
        <w:t>Marburg:</w:t>
      </w:r>
      <w:r w:rsidRPr="00163FEF">
        <w:rPr>
          <w:spacing w:val="-3"/>
          <w:sz w:val="22"/>
          <w:szCs w:val="22"/>
        </w:rPr>
        <w:t xml:space="preserve"> </w:t>
      </w:r>
      <w:r w:rsidRPr="00163FEF">
        <w:rPr>
          <w:sz w:val="22"/>
          <w:szCs w:val="22"/>
        </w:rPr>
        <w:t>Philipps-Universität</w:t>
      </w:r>
      <w:r w:rsidRPr="00163FEF">
        <w:rPr>
          <w:spacing w:val="-3"/>
          <w:sz w:val="22"/>
          <w:szCs w:val="22"/>
        </w:rPr>
        <w:t xml:space="preserve"> </w:t>
      </w:r>
      <w:r w:rsidRPr="00163FEF">
        <w:rPr>
          <w:sz w:val="22"/>
          <w:szCs w:val="22"/>
        </w:rPr>
        <w:t>Marburg.</w:t>
      </w:r>
      <w:r w:rsidRPr="00163FEF">
        <w:rPr>
          <w:spacing w:val="80"/>
          <w:sz w:val="22"/>
          <w:szCs w:val="22"/>
        </w:rPr>
        <w:t xml:space="preserve"> </w:t>
      </w:r>
      <w:r w:rsidR="00163FEF" w:rsidRPr="00163FEF">
        <w:rPr>
          <w:sz w:val="22"/>
          <w:szCs w:val="22"/>
        </w:rPr>
        <w:t xml:space="preserve">Klatmann, U. (2005): </w:t>
      </w:r>
      <w:r w:rsidR="00163FEF">
        <w:rPr>
          <w:sz w:val="22"/>
          <w:szCs w:val="22"/>
        </w:rPr>
        <w:t xml:space="preserve">Rassen? Gibt’s doch gar nicht! </w:t>
      </w:r>
      <w:hyperlink r:id="rId189" w:history="1">
        <w:r w:rsidR="00163FEF" w:rsidRPr="00074577">
          <w:rPr>
            <w:rStyle w:val="Hyperlink"/>
            <w:sz w:val="22"/>
            <w:szCs w:val="22"/>
          </w:rPr>
          <w:t>https://www.bpb.de/themen/rechtsextremismus/dossier-rechtsextremismus/213673/rassen-gibt-s-doch-gar-nicht/</w:t>
        </w:r>
      </w:hyperlink>
      <w:r w:rsidR="00163FEF">
        <w:rPr>
          <w:sz w:val="22"/>
          <w:szCs w:val="22"/>
        </w:rPr>
        <w:t xml:space="preserve"> (27.02.2025)   </w:t>
      </w:r>
      <w:r w:rsidRPr="00163FEF">
        <w:rPr>
          <w:sz w:val="22"/>
          <w:szCs w:val="22"/>
        </w:rPr>
        <w:t>Meiners,</w:t>
      </w:r>
      <w:r w:rsidRPr="00163FEF">
        <w:rPr>
          <w:spacing w:val="-6"/>
          <w:sz w:val="22"/>
          <w:szCs w:val="22"/>
        </w:rPr>
        <w:t xml:space="preserve"> </w:t>
      </w:r>
      <w:r w:rsidRPr="00163FEF">
        <w:rPr>
          <w:sz w:val="22"/>
          <w:szCs w:val="22"/>
        </w:rPr>
        <w:t>C. (1785):</w:t>
      </w:r>
      <w:r w:rsidRPr="00163FEF">
        <w:rPr>
          <w:spacing w:val="-3"/>
          <w:sz w:val="22"/>
          <w:szCs w:val="22"/>
        </w:rPr>
        <w:t xml:space="preserve"> </w:t>
      </w:r>
      <w:r w:rsidRPr="00163FEF">
        <w:rPr>
          <w:sz w:val="22"/>
          <w:szCs w:val="22"/>
        </w:rPr>
        <w:t>Grundriss</w:t>
      </w:r>
      <w:r w:rsidRPr="00163FEF">
        <w:rPr>
          <w:spacing w:val="-4"/>
          <w:sz w:val="22"/>
          <w:szCs w:val="22"/>
        </w:rPr>
        <w:t xml:space="preserve"> </w:t>
      </w:r>
      <w:r w:rsidRPr="00163FEF">
        <w:rPr>
          <w:sz w:val="22"/>
          <w:szCs w:val="22"/>
        </w:rPr>
        <w:t>der</w:t>
      </w:r>
      <w:r w:rsidRPr="00163FEF">
        <w:rPr>
          <w:spacing w:val="-3"/>
          <w:sz w:val="22"/>
          <w:szCs w:val="22"/>
        </w:rPr>
        <w:t xml:space="preserve"> </w:t>
      </w:r>
      <w:r w:rsidRPr="00163FEF">
        <w:rPr>
          <w:sz w:val="22"/>
          <w:szCs w:val="22"/>
        </w:rPr>
        <w:t>Geschichte</w:t>
      </w:r>
      <w:r w:rsidRPr="00163FEF">
        <w:rPr>
          <w:spacing w:val="-6"/>
          <w:sz w:val="22"/>
          <w:szCs w:val="22"/>
        </w:rPr>
        <w:t xml:space="preserve"> </w:t>
      </w:r>
      <w:r w:rsidRPr="00163FEF">
        <w:rPr>
          <w:sz w:val="22"/>
          <w:szCs w:val="22"/>
        </w:rPr>
        <w:t>der</w:t>
      </w:r>
      <w:r w:rsidRPr="00163FEF">
        <w:rPr>
          <w:spacing w:val="40"/>
          <w:sz w:val="22"/>
          <w:szCs w:val="22"/>
        </w:rPr>
        <w:t xml:space="preserve"> </w:t>
      </w:r>
      <w:r w:rsidRPr="00163FEF">
        <w:rPr>
          <w:sz w:val="22"/>
          <w:szCs w:val="22"/>
        </w:rPr>
        <w:t>Menschheit, Lemgo: Meyer.</w:t>
      </w:r>
      <w:r w:rsidRPr="00163FEF">
        <w:rPr>
          <w:spacing w:val="80"/>
          <w:sz w:val="22"/>
          <w:szCs w:val="22"/>
        </w:rPr>
        <w:t xml:space="preserve"> </w:t>
      </w:r>
      <w:r w:rsidRPr="00163FEF">
        <w:rPr>
          <w:sz w:val="22"/>
          <w:szCs w:val="22"/>
        </w:rPr>
        <w:t>Rosenberg, A. (1927): Houston Stewart Chamberlain, als</w:t>
      </w:r>
      <w:r w:rsidRPr="00163FEF">
        <w:rPr>
          <w:spacing w:val="40"/>
          <w:sz w:val="22"/>
          <w:szCs w:val="22"/>
        </w:rPr>
        <w:t xml:space="preserve"> </w:t>
      </w:r>
      <w:r w:rsidRPr="00163FEF">
        <w:rPr>
          <w:sz w:val="22"/>
          <w:szCs w:val="22"/>
        </w:rPr>
        <w:t>Verkünder und Begründer einer deutschen Zukunft, München: Bruckmann.</w:t>
      </w:r>
      <w:r w:rsidRPr="00163FEF">
        <w:rPr>
          <w:spacing w:val="80"/>
          <w:sz w:val="22"/>
          <w:szCs w:val="22"/>
        </w:rPr>
        <w:t xml:space="preserve"> </w:t>
      </w:r>
      <w:r w:rsidRPr="00163FEF">
        <w:rPr>
          <w:sz w:val="22"/>
          <w:szCs w:val="22"/>
        </w:rPr>
        <w:t>Schmidt, J.</w:t>
      </w:r>
      <w:r w:rsidRPr="00163FEF">
        <w:rPr>
          <w:spacing w:val="40"/>
          <w:sz w:val="22"/>
          <w:szCs w:val="22"/>
        </w:rPr>
        <w:t xml:space="preserve"> </w:t>
      </w:r>
      <w:r w:rsidRPr="00163FEF">
        <w:rPr>
          <w:sz w:val="22"/>
          <w:szCs w:val="22"/>
        </w:rPr>
        <w:t>(1999): Wurzeln des Wahns, Die Zeit, 54(18): 92. Shipman, P. (1995): Die Evolution des</w:t>
      </w:r>
      <w:r w:rsidRPr="00163FEF">
        <w:rPr>
          <w:spacing w:val="40"/>
          <w:sz w:val="22"/>
          <w:szCs w:val="22"/>
        </w:rPr>
        <w:t xml:space="preserve"> </w:t>
      </w:r>
      <w:r w:rsidRPr="00163FEF">
        <w:rPr>
          <w:sz w:val="22"/>
          <w:szCs w:val="22"/>
        </w:rPr>
        <w:t>Rassismus. Gebrauch und Missbrauch von Wissenschaft, Frankfurt/Main: S. Fischer.</w:t>
      </w:r>
      <w:r w:rsidRPr="00163FEF">
        <w:rPr>
          <w:spacing w:val="40"/>
          <w:sz w:val="22"/>
          <w:szCs w:val="22"/>
        </w:rPr>
        <w:t xml:space="preserve"> </w:t>
      </w:r>
      <w:r w:rsidRPr="00163FEF">
        <w:rPr>
          <w:sz w:val="22"/>
          <w:szCs w:val="22"/>
        </w:rPr>
        <w:t>Stringer, C.; McKie, R. (1996): African Exodus, London: Cape.</w:t>
      </w:r>
    </w:p>
    <w:p w14:paraId="511443B1" w14:textId="77777777" w:rsidR="00FF7799" w:rsidRPr="00E73F6F" w:rsidRDefault="00FF7799" w:rsidP="009A0488">
      <w:pPr>
        <w:pStyle w:val="StandardText"/>
      </w:pPr>
    </w:p>
    <w:p w14:paraId="1175BE09" w14:textId="77777777" w:rsidR="00FF7799" w:rsidRPr="003F5EB6" w:rsidRDefault="00FF7799" w:rsidP="007B4146">
      <w:pPr>
        <w:pStyle w:val="berschrift1"/>
        <w:rPr>
          <w:color w:val="2E74B5"/>
        </w:rPr>
      </w:pPr>
      <w:r w:rsidRPr="003F5EB6">
        <w:rPr>
          <w:color w:val="2E74B5"/>
        </w:rPr>
        <w:t>Rassismus</w:t>
      </w:r>
    </w:p>
    <w:p w14:paraId="6D0825D9" w14:textId="77777777" w:rsidR="00FF7799" w:rsidRPr="00163FEF" w:rsidRDefault="00FF7799" w:rsidP="009A0488">
      <w:pPr>
        <w:pStyle w:val="StandardText"/>
      </w:pPr>
      <w:r w:rsidRPr="00163FEF">
        <w:t>biolog</w:t>
      </w:r>
      <w:r w:rsidR="00163FEF" w:rsidRPr="00163FEF">
        <w:t xml:space="preserve">istische Ideologie, welche die </w:t>
      </w:r>
      <w:r w:rsidR="00163FEF" w:rsidRPr="00163FEF">
        <w:sym w:font="Symbol" w:char="F0DE"/>
      </w:r>
      <w:r w:rsidRPr="00163FEF">
        <w:t xml:space="preserve"> Rassenkunde simplifiziert und vorurteilsbehaftet verzerrt. Rassisten überbewerten genetisch bedingte Unterschiede zwischen verschiedenen Menschengruppen (den „Rassen“) quantitativ und qualitativ (z.B. hinsichtlich der moralischen, intellektuellen und körperlichen Leistungsfähigkeit). Dabei wird häufig pseudowissenschaftlich argumentiert. Letztlich aber geht es immer darum, Bevölkerungsgruppen nach Maßgabe</w:t>
      </w:r>
      <w:r w:rsidRPr="00163FEF">
        <w:rPr>
          <w:spacing w:val="-9"/>
        </w:rPr>
        <w:t xml:space="preserve"> </w:t>
      </w:r>
      <w:r w:rsidRPr="00163FEF">
        <w:t>biologischer</w:t>
      </w:r>
      <w:r w:rsidRPr="00163FEF">
        <w:rPr>
          <w:spacing w:val="-11"/>
        </w:rPr>
        <w:t xml:space="preserve"> </w:t>
      </w:r>
      <w:r w:rsidRPr="00163FEF">
        <w:t>oder</w:t>
      </w:r>
      <w:r w:rsidRPr="00163FEF">
        <w:rPr>
          <w:spacing w:val="-9"/>
        </w:rPr>
        <w:t xml:space="preserve"> </w:t>
      </w:r>
      <w:r w:rsidRPr="00163FEF">
        <w:rPr>
          <w:rFonts w:ascii="Cambria Math" w:hAnsi="Cambria Math" w:cs="Cambria Math"/>
        </w:rPr>
        <w:t>⇒</w:t>
      </w:r>
      <w:r w:rsidRPr="00163FEF">
        <w:rPr>
          <w:spacing w:val="-6"/>
        </w:rPr>
        <w:t xml:space="preserve"> </w:t>
      </w:r>
      <w:r w:rsidRPr="00163FEF">
        <w:t>ethnischer</w:t>
      </w:r>
      <w:r w:rsidRPr="00163FEF">
        <w:rPr>
          <w:spacing w:val="-9"/>
        </w:rPr>
        <w:t xml:space="preserve"> </w:t>
      </w:r>
      <w:r w:rsidRPr="00163FEF">
        <w:t>Kriterien</w:t>
      </w:r>
      <w:r w:rsidRPr="00163FEF">
        <w:rPr>
          <w:spacing w:val="-10"/>
        </w:rPr>
        <w:t xml:space="preserve"> </w:t>
      </w:r>
      <w:r w:rsidRPr="00163FEF">
        <w:t>in</w:t>
      </w:r>
      <w:r w:rsidRPr="00163FEF">
        <w:rPr>
          <w:spacing w:val="-8"/>
        </w:rPr>
        <w:t xml:space="preserve"> </w:t>
      </w:r>
      <w:r w:rsidRPr="00163FEF">
        <w:t>institutionalisierter</w:t>
      </w:r>
      <w:r w:rsidRPr="00163FEF">
        <w:rPr>
          <w:spacing w:val="-9"/>
        </w:rPr>
        <w:t xml:space="preserve"> </w:t>
      </w:r>
      <w:r w:rsidRPr="00163FEF">
        <w:t>Weise</w:t>
      </w:r>
      <w:r w:rsidRPr="00163FEF">
        <w:rPr>
          <w:spacing w:val="-10"/>
        </w:rPr>
        <w:t xml:space="preserve"> </w:t>
      </w:r>
      <w:r w:rsidRPr="00163FEF">
        <w:t>zu diskriminieren.</w:t>
      </w:r>
      <w:r w:rsidRPr="00163FEF">
        <w:rPr>
          <w:spacing w:val="72"/>
        </w:rPr>
        <w:t xml:space="preserve"> </w:t>
      </w:r>
      <w:r w:rsidRPr="00163FEF">
        <w:t>Hundt-Radowsky</w:t>
      </w:r>
      <w:r w:rsidRPr="00163FEF">
        <w:rPr>
          <w:spacing w:val="74"/>
        </w:rPr>
        <w:t xml:space="preserve"> </w:t>
      </w:r>
      <w:r w:rsidRPr="00163FEF">
        <w:t>(1822/23),</w:t>
      </w:r>
      <w:r w:rsidRPr="00163FEF">
        <w:rPr>
          <w:spacing w:val="70"/>
        </w:rPr>
        <w:t xml:space="preserve"> </w:t>
      </w:r>
      <w:r w:rsidRPr="00163FEF">
        <w:t>der</w:t>
      </w:r>
      <w:r w:rsidRPr="00163FEF">
        <w:rPr>
          <w:spacing w:val="72"/>
        </w:rPr>
        <w:t xml:space="preserve"> </w:t>
      </w:r>
      <w:r w:rsidRPr="00163FEF">
        <w:t>Verfasser</w:t>
      </w:r>
      <w:r w:rsidRPr="00163FEF">
        <w:rPr>
          <w:spacing w:val="72"/>
        </w:rPr>
        <w:t xml:space="preserve"> </w:t>
      </w:r>
      <w:r w:rsidRPr="00163FEF">
        <w:t>des</w:t>
      </w:r>
      <w:r w:rsidRPr="00163FEF">
        <w:rPr>
          <w:spacing w:val="73"/>
        </w:rPr>
        <w:t xml:space="preserve"> </w:t>
      </w:r>
      <w:r w:rsidRPr="00163FEF">
        <w:rPr>
          <w:spacing w:val="-2"/>
        </w:rPr>
        <w:t>berüchtigten</w:t>
      </w:r>
      <w:r w:rsidRPr="00163FEF">
        <w:t xml:space="preserve"> „Judenspiegels“ und der nicht minder obszönen „Judenschule“, war einer der Protagonisten der „Inkubationszeit des Antisemitismus“ im ersten Drittel des 19. </w:t>
      </w:r>
      <w:r w:rsidRPr="00163FEF">
        <w:rPr>
          <w:spacing w:val="-2"/>
        </w:rPr>
        <w:t>Jahrhunderts.</w:t>
      </w:r>
    </w:p>
    <w:p w14:paraId="6CA0FA14" w14:textId="77777777" w:rsidR="00FF7799" w:rsidRPr="00163FEF" w:rsidRDefault="00FF7799" w:rsidP="009A0488">
      <w:pPr>
        <w:pStyle w:val="StandardText"/>
      </w:pPr>
      <w:r w:rsidRPr="00163FEF">
        <w:t>Nach Ansicht</w:t>
      </w:r>
      <w:r w:rsidRPr="00163FEF">
        <w:rPr>
          <w:spacing w:val="-2"/>
        </w:rPr>
        <w:t xml:space="preserve"> </w:t>
      </w:r>
      <w:r w:rsidRPr="00163FEF">
        <w:t>von</w:t>
      </w:r>
      <w:r w:rsidRPr="00163FEF">
        <w:rPr>
          <w:spacing w:val="-2"/>
        </w:rPr>
        <w:t xml:space="preserve"> </w:t>
      </w:r>
      <w:r w:rsidRPr="00163FEF">
        <w:t>Hall</w:t>
      </w:r>
      <w:r w:rsidRPr="00163FEF">
        <w:rPr>
          <w:spacing w:val="-2"/>
        </w:rPr>
        <w:t xml:space="preserve"> </w:t>
      </w:r>
      <w:r w:rsidRPr="00163FEF">
        <w:t>(1991)</w:t>
      </w:r>
      <w:r w:rsidRPr="00163FEF">
        <w:rPr>
          <w:spacing w:val="-1"/>
        </w:rPr>
        <w:t xml:space="preserve"> </w:t>
      </w:r>
      <w:r w:rsidRPr="00163FEF">
        <w:t>allerdings</w:t>
      </w:r>
      <w:r w:rsidRPr="00163FEF">
        <w:rPr>
          <w:spacing w:val="-3"/>
        </w:rPr>
        <w:t xml:space="preserve"> </w:t>
      </w:r>
      <w:r w:rsidRPr="00163FEF">
        <w:t>schwindet</w:t>
      </w:r>
      <w:r w:rsidRPr="00163FEF">
        <w:rPr>
          <w:spacing w:val="-3"/>
        </w:rPr>
        <w:t xml:space="preserve"> </w:t>
      </w:r>
      <w:r w:rsidRPr="00163FEF">
        <w:t>der</w:t>
      </w:r>
      <w:r w:rsidRPr="00163FEF">
        <w:rPr>
          <w:spacing w:val="-1"/>
        </w:rPr>
        <w:t xml:space="preserve"> </w:t>
      </w:r>
      <w:r w:rsidRPr="00163FEF">
        <w:t>klassische</w:t>
      </w:r>
      <w:r w:rsidRPr="00163FEF">
        <w:rPr>
          <w:spacing w:val="-4"/>
        </w:rPr>
        <w:t xml:space="preserve"> </w:t>
      </w:r>
      <w:r w:rsidRPr="00163FEF">
        <w:t>Rassismus, der sich</w:t>
      </w:r>
      <w:r w:rsidRPr="00163FEF">
        <w:rPr>
          <w:spacing w:val="-2"/>
        </w:rPr>
        <w:t xml:space="preserve"> </w:t>
      </w:r>
      <w:r w:rsidRPr="00163FEF">
        <w:t>der</w:t>
      </w:r>
      <w:r w:rsidRPr="00163FEF">
        <w:rPr>
          <w:spacing w:val="-3"/>
        </w:rPr>
        <w:t xml:space="preserve"> </w:t>
      </w:r>
      <w:r w:rsidRPr="00163FEF">
        <w:t>überkommenen,</w:t>
      </w:r>
      <w:r w:rsidRPr="00163FEF">
        <w:rPr>
          <w:spacing w:val="-3"/>
        </w:rPr>
        <w:t xml:space="preserve"> </w:t>
      </w:r>
      <w:r w:rsidRPr="00163FEF">
        <w:t>d.h.</w:t>
      </w:r>
      <w:r w:rsidRPr="00163FEF">
        <w:rPr>
          <w:spacing w:val="-3"/>
        </w:rPr>
        <w:t xml:space="preserve"> </w:t>
      </w:r>
      <w:r w:rsidRPr="00163FEF">
        <w:t>der</w:t>
      </w:r>
      <w:r w:rsidRPr="00163FEF">
        <w:rPr>
          <w:spacing w:val="-5"/>
        </w:rPr>
        <w:t xml:space="preserve"> </w:t>
      </w:r>
      <w:r w:rsidRPr="00163FEF">
        <w:t>„alten“ und</w:t>
      </w:r>
      <w:r w:rsidRPr="00163FEF">
        <w:rPr>
          <w:spacing w:val="-2"/>
        </w:rPr>
        <w:t xml:space="preserve"> </w:t>
      </w:r>
      <w:r w:rsidRPr="00163FEF">
        <w:t>vielfach</w:t>
      </w:r>
      <w:r w:rsidRPr="00163FEF">
        <w:rPr>
          <w:spacing w:val="-2"/>
        </w:rPr>
        <w:t xml:space="preserve"> </w:t>
      </w:r>
      <w:r w:rsidRPr="00163FEF">
        <w:t>widerlegten</w:t>
      </w:r>
      <w:r w:rsidRPr="00163FEF">
        <w:rPr>
          <w:spacing w:val="-5"/>
        </w:rPr>
        <w:t xml:space="preserve"> </w:t>
      </w:r>
      <w:r w:rsidRPr="00163FEF">
        <w:t>biologistischen und anthropologistischen Argumente bedient (→ Anthropologie). Angesichts der mittlerweile selbst in das Alltagswissen eingegangenen naturwissenschaftlichen Erkenntnisse würden diese selbst die voreingenommenen, für Vorurteile anfällige Schichten der Bevölkerung nicht mehr überzeugen.</w:t>
      </w:r>
    </w:p>
    <w:p w14:paraId="76A6C208" w14:textId="77777777" w:rsidR="00FF7799" w:rsidRPr="00163FEF" w:rsidRDefault="00FF7799" w:rsidP="009A0488">
      <w:pPr>
        <w:pStyle w:val="StandardText"/>
      </w:pPr>
      <w:r w:rsidRPr="00163FEF">
        <w:t>Schon vor mehr als einem Jahrhundert hat Lindworsky (1916) die zentrale These von</w:t>
      </w:r>
      <w:r w:rsidRPr="00163FEF">
        <w:rPr>
          <w:spacing w:val="6"/>
        </w:rPr>
        <w:t xml:space="preserve"> </w:t>
      </w:r>
      <w:r w:rsidRPr="00163FEF">
        <w:t>der</w:t>
      </w:r>
      <w:r w:rsidRPr="00163FEF">
        <w:rPr>
          <w:spacing w:val="8"/>
        </w:rPr>
        <w:t xml:space="preserve"> </w:t>
      </w:r>
      <w:r w:rsidRPr="00163FEF">
        <w:t>genetischen</w:t>
      </w:r>
      <w:r w:rsidRPr="00163FEF">
        <w:rPr>
          <w:spacing w:val="9"/>
        </w:rPr>
        <w:t xml:space="preserve"> </w:t>
      </w:r>
      <w:r w:rsidRPr="00163FEF">
        <w:t>Unterlegenheit</w:t>
      </w:r>
      <w:r w:rsidRPr="00163FEF">
        <w:rPr>
          <w:spacing w:val="8"/>
        </w:rPr>
        <w:t xml:space="preserve"> </w:t>
      </w:r>
      <w:r w:rsidRPr="00163FEF">
        <w:t>„primitiver“,</w:t>
      </w:r>
      <w:r w:rsidRPr="00163FEF">
        <w:rPr>
          <w:spacing w:val="8"/>
        </w:rPr>
        <w:t xml:space="preserve"> </w:t>
      </w:r>
      <w:r w:rsidRPr="00163FEF">
        <w:t>d.h.</w:t>
      </w:r>
      <w:r w:rsidRPr="00163FEF">
        <w:rPr>
          <w:spacing w:val="6"/>
        </w:rPr>
        <w:t xml:space="preserve"> </w:t>
      </w:r>
      <w:r w:rsidRPr="00163FEF">
        <w:t>andersartiger</w:t>
      </w:r>
      <w:r w:rsidRPr="00163FEF">
        <w:rPr>
          <w:spacing w:val="8"/>
        </w:rPr>
        <w:t xml:space="preserve"> </w:t>
      </w:r>
      <w:r w:rsidRPr="00163FEF">
        <w:t>Kulturen,</w:t>
      </w:r>
      <w:r w:rsidRPr="00163FEF">
        <w:rPr>
          <w:spacing w:val="8"/>
        </w:rPr>
        <w:t xml:space="preserve"> </w:t>
      </w:r>
      <w:r w:rsidRPr="00163FEF">
        <w:rPr>
          <w:spacing w:val="-5"/>
        </w:rPr>
        <w:t>die</w:t>
      </w:r>
      <w:r w:rsidRPr="00163FEF">
        <w:t xml:space="preserve"> sich auf die vom englischen Naturforscher F. Galton (1822-1911) entwickelte Normalverteilungskurve</w:t>
      </w:r>
      <w:r w:rsidRPr="00163FEF">
        <w:rPr>
          <w:spacing w:val="-12"/>
        </w:rPr>
        <w:t xml:space="preserve"> </w:t>
      </w:r>
      <w:r w:rsidRPr="00163FEF">
        <w:t>stützt,</w:t>
      </w:r>
      <w:r w:rsidRPr="00163FEF">
        <w:rPr>
          <w:spacing w:val="-11"/>
        </w:rPr>
        <w:t xml:space="preserve"> </w:t>
      </w:r>
      <w:r w:rsidRPr="00163FEF">
        <w:t>widerlegt.</w:t>
      </w:r>
      <w:r w:rsidRPr="00163FEF">
        <w:rPr>
          <w:spacing w:val="-11"/>
        </w:rPr>
        <w:t xml:space="preserve"> </w:t>
      </w:r>
      <w:r w:rsidRPr="00163FEF">
        <w:t>Sie</w:t>
      </w:r>
      <w:r w:rsidRPr="00163FEF">
        <w:rPr>
          <w:spacing w:val="-11"/>
        </w:rPr>
        <w:t xml:space="preserve"> </w:t>
      </w:r>
      <w:r w:rsidRPr="00163FEF">
        <w:t>sei</w:t>
      </w:r>
      <w:r w:rsidRPr="00163FEF">
        <w:rPr>
          <w:spacing w:val="-12"/>
        </w:rPr>
        <w:t xml:space="preserve"> </w:t>
      </w:r>
      <w:r w:rsidRPr="00163FEF">
        <w:t>Konsequenz</w:t>
      </w:r>
      <w:r w:rsidRPr="00163FEF">
        <w:rPr>
          <w:spacing w:val="-11"/>
        </w:rPr>
        <w:t xml:space="preserve"> </w:t>
      </w:r>
      <w:r w:rsidRPr="00163FEF">
        <w:t>eines</w:t>
      </w:r>
      <w:r w:rsidRPr="00163FEF">
        <w:rPr>
          <w:spacing w:val="-11"/>
        </w:rPr>
        <w:t xml:space="preserve"> </w:t>
      </w:r>
      <w:r w:rsidRPr="00163FEF">
        <w:t>ethnozentrisch verzerrten</w:t>
      </w:r>
      <w:r w:rsidRPr="00163FEF">
        <w:rPr>
          <w:spacing w:val="-12"/>
        </w:rPr>
        <w:t xml:space="preserve"> </w:t>
      </w:r>
      <w:r w:rsidR="00D22D27">
        <w:rPr>
          <w:spacing w:val="-12"/>
        </w:rPr>
        <w:sym w:font="Symbol" w:char="F0DE"/>
      </w:r>
      <w:r w:rsidR="00D22D27">
        <w:rPr>
          <w:spacing w:val="-12"/>
        </w:rPr>
        <w:t xml:space="preserve"> </w:t>
      </w:r>
      <w:r w:rsidRPr="00163FEF">
        <w:t>Weltbildes</w:t>
      </w:r>
      <w:r w:rsidRPr="00163FEF">
        <w:rPr>
          <w:spacing w:val="-11"/>
        </w:rPr>
        <w:t xml:space="preserve"> </w:t>
      </w:r>
      <w:r w:rsidRPr="00163FEF">
        <w:t>im</w:t>
      </w:r>
      <w:r w:rsidRPr="00163FEF">
        <w:rPr>
          <w:spacing w:val="-11"/>
        </w:rPr>
        <w:t xml:space="preserve"> </w:t>
      </w:r>
      <w:r w:rsidRPr="00163FEF">
        <w:t>Allgemeinen</w:t>
      </w:r>
      <w:r w:rsidRPr="00163FEF">
        <w:rPr>
          <w:spacing w:val="-11"/>
        </w:rPr>
        <w:t xml:space="preserve"> </w:t>
      </w:r>
      <w:r w:rsidRPr="00163FEF">
        <w:t>und</w:t>
      </w:r>
      <w:r w:rsidRPr="00163FEF">
        <w:rPr>
          <w:spacing w:val="-12"/>
        </w:rPr>
        <w:t xml:space="preserve"> </w:t>
      </w:r>
      <w:r w:rsidRPr="00163FEF">
        <w:t>von</w:t>
      </w:r>
      <w:r w:rsidRPr="00163FEF">
        <w:rPr>
          <w:spacing w:val="-11"/>
        </w:rPr>
        <w:t xml:space="preserve"> </w:t>
      </w:r>
      <w:r w:rsidRPr="00163FEF">
        <w:t>Selbstreferenz</w:t>
      </w:r>
      <w:r w:rsidRPr="00163FEF">
        <w:rPr>
          <w:spacing w:val="-11"/>
        </w:rPr>
        <w:t xml:space="preserve"> </w:t>
      </w:r>
      <w:r w:rsidRPr="00163FEF">
        <w:t>im</w:t>
      </w:r>
      <w:r w:rsidRPr="00163FEF">
        <w:rPr>
          <w:spacing w:val="-11"/>
        </w:rPr>
        <w:t xml:space="preserve"> </w:t>
      </w:r>
      <w:r w:rsidRPr="00163FEF">
        <w:t>Besonderen.</w:t>
      </w:r>
      <w:r w:rsidRPr="00163FEF">
        <w:rPr>
          <w:spacing w:val="-12"/>
        </w:rPr>
        <w:t xml:space="preserve"> </w:t>
      </w:r>
      <w:r w:rsidRPr="00163FEF">
        <w:t>Wie Lee (1966) am Beispiel der Kulturgebundenheit von Leistungstests nachwies, agieren Europäer in „ungewohnten Situationen“ nicht weniger „dumm“ als Naturvölker, für welche die „eurozentrischen“ Leistungstests ja nichts anderes sind als „ungewohnte Situationen“.</w:t>
      </w:r>
    </w:p>
    <w:p w14:paraId="766E94FB" w14:textId="77777777" w:rsidR="00FF7799" w:rsidRPr="00E73F6F" w:rsidRDefault="00FF7799" w:rsidP="009A0488">
      <w:pPr>
        <w:pStyle w:val="StandardText"/>
      </w:pPr>
      <w:r w:rsidRPr="00163FEF">
        <w:t xml:space="preserve"> „Moderne</w:t>
      </w:r>
      <w:r w:rsidRPr="00163FEF">
        <w:rPr>
          <w:spacing w:val="-4"/>
        </w:rPr>
        <w:t xml:space="preserve"> </w:t>
      </w:r>
      <w:r w:rsidRPr="00163FEF">
        <w:t>Rassisten“</w:t>
      </w:r>
      <w:r w:rsidRPr="00163FEF">
        <w:rPr>
          <w:spacing w:val="-1"/>
        </w:rPr>
        <w:t xml:space="preserve"> </w:t>
      </w:r>
      <w:r w:rsidRPr="00163FEF">
        <w:t>argumentieren</w:t>
      </w:r>
      <w:r w:rsidRPr="00163FEF">
        <w:rPr>
          <w:spacing w:val="-1"/>
        </w:rPr>
        <w:t xml:space="preserve"> </w:t>
      </w:r>
      <w:r w:rsidRPr="00163FEF">
        <w:t>nicht</w:t>
      </w:r>
      <w:r w:rsidRPr="00163FEF">
        <w:rPr>
          <w:spacing w:val="-4"/>
        </w:rPr>
        <w:t xml:space="preserve"> </w:t>
      </w:r>
      <w:r w:rsidRPr="00163FEF">
        <w:t>mehr</w:t>
      </w:r>
      <w:r w:rsidRPr="00163FEF">
        <w:rPr>
          <w:spacing w:val="-4"/>
        </w:rPr>
        <w:t xml:space="preserve"> </w:t>
      </w:r>
      <w:r w:rsidRPr="00163FEF">
        <w:t>genetisch,</w:t>
      </w:r>
      <w:r w:rsidRPr="00163FEF">
        <w:rPr>
          <w:spacing w:val="-3"/>
        </w:rPr>
        <w:t xml:space="preserve"> </w:t>
      </w:r>
      <w:r w:rsidRPr="00163FEF">
        <w:t>sondern</w:t>
      </w:r>
      <w:r w:rsidRPr="00163FEF">
        <w:rPr>
          <w:spacing w:val="-3"/>
        </w:rPr>
        <w:t xml:space="preserve"> </w:t>
      </w:r>
      <w:r w:rsidRPr="00163FEF">
        <w:t>kulturalistisch (vgl. Kaschuba 1995): Jede Kultur sei singulär und habe ein Recht auf Existenz, allerdings</w:t>
      </w:r>
      <w:r w:rsidRPr="00163FEF">
        <w:rPr>
          <w:spacing w:val="46"/>
        </w:rPr>
        <w:t xml:space="preserve"> </w:t>
      </w:r>
      <w:r w:rsidRPr="00163FEF">
        <w:t>nur</w:t>
      </w:r>
      <w:r w:rsidRPr="00163FEF">
        <w:rPr>
          <w:spacing w:val="47"/>
        </w:rPr>
        <w:t xml:space="preserve"> </w:t>
      </w:r>
      <w:r w:rsidRPr="00163FEF">
        <w:t>in</w:t>
      </w:r>
      <w:r w:rsidRPr="00163FEF">
        <w:rPr>
          <w:spacing w:val="48"/>
        </w:rPr>
        <w:t xml:space="preserve"> </w:t>
      </w:r>
      <w:r w:rsidRPr="00163FEF">
        <w:t>ihrem</w:t>
      </w:r>
      <w:r w:rsidRPr="00163FEF">
        <w:rPr>
          <w:spacing w:val="48"/>
        </w:rPr>
        <w:t xml:space="preserve"> </w:t>
      </w:r>
      <w:r w:rsidRPr="00163FEF">
        <w:t>Stammland.</w:t>
      </w:r>
      <w:r w:rsidRPr="00163FEF">
        <w:rPr>
          <w:spacing w:val="50"/>
        </w:rPr>
        <w:t xml:space="preserve"> </w:t>
      </w:r>
      <w:r w:rsidRPr="00163FEF">
        <w:t>Überschreite</w:t>
      </w:r>
      <w:r w:rsidRPr="00163FEF">
        <w:rPr>
          <w:spacing w:val="49"/>
        </w:rPr>
        <w:t xml:space="preserve"> </w:t>
      </w:r>
      <w:r w:rsidRPr="00163FEF">
        <w:t>sie</w:t>
      </w:r>
      <w:r w:rsidRPr="00163FEF">
        <w:rPr>
          <w:spacing w:val="49"/>
        </w:rPr>
        <w:t xml:space="preserve"> </w:t>
      </w:r>
      <w:r w:rsidRPr="00163FEF">
        <w:t>dessen</w:t>
      </w:r>
      <w:r w:rsidRPr="00163FEF">
        <w:rPr>
          <w:spacing w:val="50"/>
        </w:rPr>
        <w:t xml:space="preserve"> </w:t>
      </w:r>
      <w:r w:rsidRPr="00163FEF">
        <w:t>Grenzen,</w:t>
      </w:r>
      <w:r w:rsidRPr="00163FEF">
        <w:rPr>
          <w:spacing w:val="50"/>
        </w:rPr>
        <w:t xml:space="preserve"> </w:t>
      </w:r>
      <w:r w:rsidRPr="00163FEF">
        <w:rPr>
          <w:spacing w:val="-2"/>
        </w:rPr>
        <w:t xml:space="preserve">drohe </w:t>
      </w:r>
      <w:r w:rsidRPr="00163FEF">
        <w:t>„Kulturvermischung“.</w:t>
      </w:r>
      <w:r w:rsidRPr="00163FEF">
        <w:rPr>
          <w:spacing w:val="-10"/>
        </w:rPr>
        <w:t xml:space="preserve"> </w:t>
      </w:r>
      <w:r w:rsidRPr="00163FEF">
        <w:t>Dabei</w:t>
      </w:r>
      <w:r w:rsidRPr="00163FEF">
        <w:rPr>
          <w:spacing w:val="-8"/>
        </w:rPr>
        <w:t xml:space="preserve"> </w:t>
      </w:r>
      <w:r w:rsidRPr="00163FEF">
        <w:t>wird</w:t>
      </w:r>
      <w:r w:rsidRPr="00163FEF">
        <w:rPr>
          <w:spacing w:val="-9"/>
        </w:rPr>
        <w:t xml:space="preserve"> </w:t>
      </w:r>
      <w:r w:rsidRPr="00163FEF">
        <w:t>aus</w:t>
      </w:r>
      <w:r w:rsidRPr="00163FEF">
        <w:rPr>
          <w:spacing w:val="-9"/>
        </w:rPr>
        <w:t xml:space="preserve"> </w:t>
      </w:r>
      <w:r w:rsidRPr="00163FEF">
        <w:t>dem</w:t>
      </w:r>
      <w:r w:rsidRPr="00163FEF">
        <w:rPr>
          <w:spacing w:val="-9"/>
        </w:rPr>
        <w:t xml:space="preserve"> </w:t>
      </w:r>
      <w:r w:rsidRPr="00163FEF">
        <w:t>„Lob</w:t>
      </w:r>
      <w:r w:rsidRPr="00163FEF">
        <w:rPr>
          <w:spacing w:val="-10"/>
        </w:rPr>
        <w:t xml:space="preserve"> </w:t>
      </w:r>
      <w:r w:rsidRPr="00163FEF">
        <w:t>des</w:t>
      </w:r>
      <w:r w:rsidRPr="00163FEF">
        <w:rPr>
          <w:spacing w:val="-9"/>
        </w:rPr>
        <w:t xml:space="preserve"> </w:t>
      </w:r>
      <w:r w:rsidRPr="00163FEF">
        <w:t>kulturellen</w:t>
      </w:r>
      <w:r w:rsidRPr="00163FEF">
        <w:rPr>
          <w:spacing w:val="-8"/>
        </w:rPr>
        <w:t xml:space="preserve"> </w:t>
      </w:r>
      <w:r w:rsidRPr="00163FEF">
        <w:t>Unterschieds“</w:t>
      </w:r>
      <w:r w:rsidRPr="00163FEF">
        <w:rPr>
          <w:spacing w:val="-8"/>
        </w:rPr>
        <w:t xml:space="preserve"> </w:t>
      </w:r>
      <w:r w:rsidRPr="00163FEF">
        <w:t>(R. Sennett)</w:t>
      </w:r>
      <w:r w:rsidRPr="00163FEF">
        <w:rPr>
          <w:spacing w:val="-10"/>
        </w:rPr>
        <w:t xml:space="preserve"> </w:t>
      </w:r>
      <w:r w:rsidRPr="00163FEF">
        <w:t>das</w:t>
      </w:r>
      <w:r w:rsidRPr="00163FEF">
        <w:rPr>
          <w:spacing w:val="-9"/>
        </w:rPr>
        <w:t xml:space="preserve"> </w:t>
      </w:r>
      <w:r w:rsidRPr="00163FEF">
        <w:t>Verdikt</w:t>
      </w:r>
      <w:r w:rsidRPr="00163FEF">
        <w:rPr>
          <w:spacing w:val="-10"/>
        </w:rPr>
        <w:t xml:space="preserve"> </w:t>
      </w:r>
      <w:r w:rsidRPr="00163FEF">
        <w:t>der</w:t>
      </w:r>
      <w:r w:rsidRPr="00163FEF">
        <w:rPr>
          <w:spacing w:val="-9"/>
        </w:rPr>
        <w:t xml:space="preserve"> </w:t>
      </w:r>
      <w:r w:rsidRPr="00163FEF">
        <w:t>„kulturellen</w:t>
      </w:r>
      <w:r w:rsidRPr="00163FEF">
        <w:rPr>
          <w:spacing w:val="-8"/>
        </w:rPr>
        <w:t xml:space="preserve"> </w:t>
      </w:r>
      <w:r w:rsidRPr="00163FEF">
        <w:t>Unvereinbarkeit</w:t>
      </w:r>
      <w:r w:rsidRPr="00E73F6F">
        <w:t>“.</w:t>
      </w:r>
      <w:r w:rsidRPr="00E73F6F">
        <w:rPr>
          <w:spacing w:val="-8"/>
        </w:rPr>
        <w:t xml:space="preserve"> </w:t>
      </w:r>
      <w:r w:rsidRPr="00E73F6F">
        <w:t>Diese</w:t>
      </w:r>
      <w:r w:rsidRPr="00E73F6F">
        <w:rPr>
          <w:spacing w:val="-9"/>
        </w:rPr>
        <w:t xml:space="preserve"> </w:t>
      </w:r>
      <w:r w:rsidRPr="00E73F6F">
        <w:t>letztlich</w:t>
      </w:r>
      <w:r w:rsidRPr="00E73F6F">
        <w:rPr>
          <w:spacing w:val="-8"/>
        </w:rPr>
        <w:t xml:space="preserve"> </w:t>
      </w:r>
      <w:r w:rsidRPr="00E73F6F">
        <w:t>rassistische These ist statisch und begreift Kultur als geschlossene Identität, als etwas Authentisch-Gemeinsames,</w:t>
      </w:r>
      <w:r w:rsidRPr="00E73F6F">
        <w:rPr>
          <w:spacing w:val="-12"/>
        </w:rPr>
        <w:t xml:space="preserve"> </w:t>
      </w:r>
      <w:r w:rsidRPr="00E73F6F">
        <w:t>das</w:t>
      </w:r>
      <w:r w:rsidRPr="00E73F6F">
        <w:rPr>
          <w:spacing w:val="-11"/>
        </w:rPr>
        <w:t xml:space="preserve"> </w:t>
      </w:r>
      <w:r w:rsidRPr="00E73F6F">
        <w:t>durch</w:t>
      </w:r>
      <w:r w:rsidRPr="00E73F6F">
        <w:rPr>
          <w:spacing w:val="-11"/>
        </w:rPr>
        <w:t xml:space="preserve"> </w:t>
      </w:r>
      <w:r w:rsidRPr="00E73F6F">
        <w:t>Modernisierung</w:t>
      </w:r>
      <w:r w:rsidRPr="00E73F6F">
        <w:rPr>
          <w:spacing w:val="-11"/>
        </w:rPr>
        <w:t xml:space="preserve"> </w:t>
      </w:r>
      <w:r w:rsidRPr="00E73F6F">
        <w:t>und</w:t>
      </w:r>
      <w:r w:rsidRPr="00E73F6F">
        <w:rPr>
          <w:spacing w:val="-12"/>
        </w:rPr>
        <w:t xml:space="preserve"> </w:t>
      </w:r>
      <w:r w:rsidRPr="00E73F6F">
        <w:t>Migration</w:t>
      </w:r>
      <w:r w:rsidRPr="00E73F6F">
        <w:rPr>
          <w:spacing w:val="-11"/>
        </w:rPr>
        <w:t xml:space="preserve"> </w:t>
      </w:r>
      <w:r w:rsidRPr="00E73F6F">
        <w:t>bedroht</w:t>
      </w:r>
      <w:r w:rsidRPr="00E73F6F">
        <w:rPr>
          <w:spacing w:val="-11"/>
        </w:rPr>
        <w:t xml:space="preserve"> </w:t>
      </w:r>
      <w:r w:rsidRPr="00E73F6F">
        <w:t>wird (vgl. Bornewasser/Waage 2006).</w:t>
      </w:r>
    </w:p>
    <w:p w14:paraId="0B564691" w14:textId="77777777" w:rsidR="00FF7799" w:rsidRPr="00163FEF" w:rsidRDefault="00FF7799" w:rsidP="009A0488">
      <w:pPr>
        <w:pStyle w:val="StandardText"/>
        <w:rPr>
          <w:sz w:val="22"/>
          <w:szCs w:val="22"/>
        </w:rPr>
      </w:pPr>
      <w:r w:rsidRPr="00163FEF">
        <w:rPr>
          <w:b/>
          <w:i/>
          <w:sz w:val="22"/>
          <w:szCs w:val="22"/>
        </w:rPr>
        <w:t>Literatur:</w:t>
      </w:r>
      <w:r w:rsidRPr="00163FEF">
        <w:rPr>
          <w:b/>
          <w:sz w:val="22"/>
          <w:szCs w:val="22"/>
        </w:rPr>
        <w:t xml:space="preserve"> </w:t>
      </w:r>
      <w:r w:rsidRPr="00163FEF">
        <w:rPr>
          <w:sz w:val="22"/>
          <w:szCs w:val="22"/>
        </w:rPr>
        <w:t>Bornewasser, M.; Waage, M. (2006): Rassismus, in: Bierhoff, H.-W.; Frey, D.</w:t>
      </w:r>
      <w:r w:rsidRPr="00163FEF">
        <w:rPr>
          <w:spacing w:val="40"/>
          <w:sz w:val="22"/>
          <w:szCs w:val="22"/>
        </w:rPr>
        <w:t xml:space="preserve"> </w:t>
      </w:r>
      <w:r w:rsidRPr="00163FEF">
        <w:rPr>
          <w:sz w:val="22"/>
          <w:szCs w:val="22"/>
        </w:rPr>
        <w:t>(Hrsg.), Handbuch der Sozialpsychologie und Kommunikationspsychologie, 764-771,</w:t>
      </w:r>
      <w:r w:rsidRPr="00163FEF">
        <w:rPr>
          <w:spacing w:val="40"/>
          <w:sz w:val="22"/>
          <w:szCs w:val="22"/>
        </w:rPr>
        <w:t xml:space="preserve"> </w:t>
      </w:r>
      <w:r w:rsidRPr="00163FEF">
        <w:rPr>
          <w:sz w:val="22"/>
          <w:szCs w:val="22"/>
        </w:rPr>
        <w:t>Göttingen:</w:t>
      </w:r>
      <w:r w:rsidRPr="00163FEF">
        <w:rPr>
          <w:spacing w:val="-1"/>
          <w:sz w:val="22"/>
          <w:szCs w:val="22"/>
        </w:rPr>
        <w:t xml:space="preserve"> </w:t>
      </w:r>
      <w:r w:rsidRPr="00163FEF">
        <w:rPr>
          <w:sz w:val="22"/>
          <w:szCs w:val="22"/>
        </w:rPr>
        <w:t>Hogrefe.</w:t>
      </w:r>
      <w:r w:rsidRPr="00163FEF">
        <w:rPr>
          <w:spacing w:val="80"/>
          <w:sz w:val="22"/>
          <w:szCs w:val="22"/>
        </w:rPr>
        <w:t xml:space="preserve"> </w:t>
      </w:r>
      <w:r w:rsidRPr="00163FEF">
        <w:rPr>
          <w:sz w:val="22"/>
          <w:szCs w:val="22"/>
          <w:lang w:val="en-US"/>
        </w:rPr>
        <w:t>Hall,</w:t>
      </w:r>
      <w:r w:rsidRPr="00163FEF">
        <w:rPr>
          <w:spacing w:val="-1"/>
          <w:sz w:val="22"/>
          <w:szCs w:val="22"/>
          <w:lang w:val="en-US"/>
        </w:rPr>
        <w:t xml:space="preserve"> </w:t>
      </w:r>
      <w:r w:rsidRPr="00163FEF">
        <w:rPr>
          <w:sz w:val="22"/>
          <w:szCs w:val="22"/>
          <w:lang w:val="en-US"/>
        </w:rPr>
        <w:t>S.</w:t>
      </w:r>
      <w:r w:rsidRPr="00163FEF">
        <w:rPr>
          <w:spacing w:val="-1"/>
          <w:sz w:val="22"/>
          <w:szCs w:val="22"/>
          <w:lang w:val="en-US"/>
        </w:rPr>
        <w:t xml:space="preserve"> </w:t>
      </w:r>
      <w:r w:rsidRPr="00163FEF">
        <w:rPr>
          <w:sz w:val="22"/>
          <w:szCs w:val="22"/>
          <w:lang w:val="en-US"/>
        </w:rPr>
        <w:t>(1991):</w:t>
      </w:r>
      <w:r w:rsidRPr="00163FEF">
        <w:rPr>
          <w:spacing w:val="-3"/>
          <w:sz w:val="22"/>
          <w:szCs w:val="22"/>
          <w:lang w:val="en-US"/>
        </w:rPr>
        <w:t xml:space="preserve"> </w:t>
      </w:r>
      <w:r w:rsidRPr="00163FEF">
        <w:rPr>
          <w:sz w:val="22"/>
          <w:szCs w:val="22"/>
          <w:lang w:val="en-US"/>
        </w:rPr>
        <w:t>Old</w:t>
      </w:r>
      <w:r w:rsidRPr="00163FEF">
        <w:rPr>
          <w:spacing w:val="-1"/>
          <w:sz w:val="22"/>
          <w:szCs w:val="22"/>
          <w:lang w:val="en-US"/>
        </w:rPr>
        <w:t xml:space="preserve"> </w:t>
      </w:r>
      <w:r w:rsidRPr="00163FEF">
        <w:rPr>
          <w:sz w:val="22"/>
          <w:szCs w:val="22"/>
          <w:lang w:val="en-US"/>
        </w:rPr>
        <w:t>and</w:t>
      </w:r>
      <w:r w:rsidRPr="00163FEF">
        <w:rPr>
          <w:spacing w:val="-1"/>
          <w:sz w:val="22"/>
          <w:szCs w:val="22"/>
          <w:lang w:val="en-US"/>
        </w:rPr>
        <w:t xml:space="preserve"> </w:t>
      </w:r>
      <w:r w:rsidRPr="00163FEF">
        <w:rPr>
          <w:sz w:val="22"/>
          <w:szCs w:val="22"/>
          <w:lang w:val="en-US"/>
        </w:rPr>
        <w:t>New</w:t>
      </w:r>
      <w:r w:rsidRPr="00163FEF">
        <w:rPr>
          <w:spacing w:val="-3"/>
          <w:sz w:val="22"/>
          <w:szCs w:val="22"/>
          <w:lang w:val="en-US"/>
        </w:rPr>
        <w:t xml:space="preserve"> </w:t>
      </w:r>
      <w:r w:rsidRPr="00163FEF">
        <w:rPr>
          <w:sz w:val="22"/>
          <w:szCs w:val="22"/>
          <w:lang w:val="en-US"/>
        </w:rPr>
        <w:t>Identities,</w:t>
      </w:r>
      <w:r w:rsidRPr="00163FEF">
        <w:rPr>
          <w:spacing w:val="-1"/>
          <w:sz w:val="22"/>
          <w:szCs w:val="22"/>
          <w:lang w:val="en-US"/>
        </w:rPr>
        <w:t xml:space="preserve"> </w:t>
      </w:r>
      <w:r w:rsidRPr="00163FEF">
        <w:rPr>
          <w:sz w:val="22"/>
          <w:szCs w:val="22"/>
          <w:lang w:val="en-US"/>
        </w:rPr>
        <w:t>Old</w:t>
      </w:r>
      <w:r w:rsidRPr="00163FEF">
        <w:rPr>
          <w:spacing w:val="-3"/>
          <w:sz w:val="22"/>
          <w:szCs w:val="22"/>
          <w:lang w:val="en-US"/>
        </w:rPr>
        <w:t xml:space="preserve"> </w:t>
      </w:r>
      <w:r w:rsidRPr="00163FEF">
        <w:rPr>
          <w:sz w:val="22"/>
          <w:szCs w:val="22"/>
          <w:lang w:val="en-US"/>
        </w:rPr>
        <w:t>and</w:t>
      </w:r>
      <w:r w:rsidRPr="00163FEF">
        <w:rPr>
          <w:spacing w:val="-1"/>
          <w:sz w:val="22"/>
          <w:szCs w:val="22"/>
          <w:lang w:val="en-US"/>
        </w:rPr>
        <w:t xml:space="preserve"> </w:t>
      </w:r>
      <w:r w:rsidRPr="00163FEF">
        <w:rPr>
          <w:sz w:val="22"/>
          <w:szCs w:val="22"/>
          <w:lang w:val="en-US"/>
        </w:rPr>
        <w:t>New</w:t>
      </w:r>
      <w:r w:rsidRPr="00163FEF">
        <w:rPr>
          <w:spacing w:val="-3"/>
          <w:sz w:val="22"/>
          <w:szCs w:val="22"/>
          <w:lang w:val="en-US"/>
        </w:rPr>
        <w:t xml:space="preserve"> </w:t>
      </w:r>
      <w:r w:rsidRPr="00163FEF">
        <w:rPr>
          <w:sz w:val="22"/>
          <w:szCs w:val="22"/>
          <w:lang w:val="en-US"/>
        </w:rPr>
        <w:t>Ethnicities,</w:t>
      </w:r>
      <w:r w:rsidRPr="00163FEF">
        <w:rPr>
          <w:spacing w:val="-1"/>
          <w:sz w:val="22"/>
          <w:szCs w:val="22"/>
          <w:lang w:val="en-US"/>
        </w:rPr>
        <w:t xml:space="preserve"> </w:t>
      </w:r>
      <w:r w:rsidRPr="00163FEF">
        <w:rPr>
          <w:sz w:val="22"/>
          <w:szCs w:val="22"/>
          <w:lang w:val="en-US"/>
        </w:rPr>
        <w:t>in:</w:t>
      </w:r>
      <w:r w:rsidRPr="00163FEF">
        <w:rPr>
          <w:spacing w:val="40"/>
          <w:sz w:val="22"/>
          <w:szCs w:val="22"/>
          <w:lang w:val="en-US"/>
        </w:rPr>
        <w:t xml:space="preserve"> </w:t>
      </w:r>
      <w:r w:rsidRPr="00163FEF">
        <w:rPr>
          <w:sz w:val="22"/>
          <w:szCs w:val="22"/>
          <w:lang w:val="en-US"/>
        </w:rPr>
        <w:t xml:space="preserve">King, A.D. (Ed.), Culture, Globalization </w:t>
      </w:r>
      <w:r w:rsidRPr="00163FEF">
        <w:rPr>
          <w:sz w:val="22"/>
          <w:szCs w:val="22"/>
          <w:lang w:val="en-US"/>
        </w:rPr>
        <w:lastRenderedPageBreak/>
        <w:t>and the World-System, 41-48, Houndmills:</w:t>
      </w:r>
      <w:r w:rsidRPr="00163FEF">
        <w:rPr>
          <w:spacing w:val="40"/>
          <w:sz w:val="22"/>
          <w:szCs w:val="22"/>
          <w:lang w:val="en-US"/>
        </w:rPr>
        <w:t xml:space="preserve"> </w:t>
      </w:r>
      <w:r w:rsidRPr="00163FEF">
        <w:rPr>
          <w:sz w:val="22"/>
          <w:szCs w:val="22"/>
          <w:lang w:val="en-US"/>
        </w:rPr>
        <w:t xml:space="preserve">McMillan. </w:t>
      </w:r>
      <w:r w:rsidRPr="00163FEF">
        <w:rPr>
          <w:sz w:val="22"/>
          <w:szCs w:val="22"/>
        </w:rPr>
        <w:t>Heitmeyer, W. (2004): Deutsche Zustände, Folge 3, Frankfurt/Main: Suhrkamp.</w:t>
      </w:r>
      <w:r w:rsidRPr="00163FEF">
        <w:rPr>
          <w:spacing w:val="40"/>
          <w:sz w:val="22"/>
          <w:szCs w:val="22"/>
        </w:rPr>
        <w:t xml:space="preserve"> </w:t>
      </w:r>
      <w:r w:rsidRPr="00163FEF">
        <w:rPr>
          <w:sz w:val="22"/>
          <w:szCs w:val="22"/>
        </w:rPr>
        <w:t>Hundt-Radowsky, H. (1822/23): Die Judenschule,</w:t>
      </w:r>
      <w:r w:rsidRPr="00163FEF">
        <w:rPr>
          <w:spacing w:val="-1"/>
          <w:sz w:val="22"/>
          <w:szCs w:val="22"/>
        </w:rPr>
        <w:t xml:space="preserve"> </w:t>
      </w:r>
      <w:r w:rsidRPr="00163FEF">
        <w:rPr>
          <w:sz w:val="22"/>
          <w:szCs w:val="22"/>
        </w:rPr>
        <w:t>oder</w:t>
      </w:r>
      <w:r w:rsidRPr="00163FEF">
        <w:rPr>
          <w:spacing w:val="-3"/>
          <w:sz w:val="22"/>
          <w:szCs w:val="22"/>
        </w:rPr>
        <w:t xml:space="preserve"> </w:t>
      </w:r>
      <w:r w:rsidRPr="00163FEF">
        <w:rPr>
          <w:sz w:val="22"/>
          <w:szCs w:val="22"/>
        </w:rPr>
        <w:t>gründliche Anleitung, in</w:t>
      </w:r>
      <w:r w:rsidRPr="00163FEF">
        <w:rPr>
          <w:spacing w:val="-1"/>
          <w:sz w:val="22"/>
          <w:szCs w:val="22"/>
        </w:rPr>
        <w:t xml:space="preserve"> </w:t>
      </w:r>
      <w:r w:rsidRPr="00163FEF">
        <w:rPr>
          <w:sz w:val="22"/>
          <w:szCs w:val="22"/>
        </w:rPr>
        <w:t>kurzer Zeit</w:t>
      </w:r>
      <w:r w:rsidRPr="00163FEF">
        <w:rPr>
          <w:spacing w:val="40"/>
          <w:sz w:val="22"/>
          <w:szCs w:val="22"/>
        </w:rPr>
        <w:t xml:space="preserve"> </w:t>
      </w:r>
      <w:r w:rsidRPr="00163FEF">
        <w:rPr>
          <w:sz w:val="22"/>
          <w:szCs w:val="22"/>
        </w:rPr>
        <w:t>ein vollkommener schwarzer oder weißer Jude zu werden, Jerusalem: In der neuen</w:t>
      </w:r>
      <w:r w:rsidRPr="00163FEF">
        <w:rPr>
          <w:spacing w:val="40"/>
          <w:sz w:val="22"/>
          <w:szCs w:val="22"/>
        </w:rPr>
        <w:t xml:space="preserve"> </w:t>
      </w:r>
      <w:r w:rsidRPr="00163FEF">
        <w:rPr>
          <w:sz w:val="22"/>
          <w:szCs w:val="22"/>
        </w:rPr>
        <w:t>Buchhandlung.</w:t>
      </w:r>
      <w:r w:rsidRPr="00163FEF">
        <w:rPr>
          <w:spacing w:val="80"/>
          <w:sz w:val="22"/>
          <w:szCs w:val="22"/>
        </w:rPr>
        <w:t xml:space="preserve"> </w:t>
      </w:r>
      <w:r w:rsidRPr="00163FEF">
        <w:rPr>
          <w:sz w:val="22"/>
          <w:szCs w:val="22"/>
        </w:rPr>
        <w:t>Kaschuba,</w:t>
      </w:r>
      <w:r w:rsidRPr="00163FEF">
        <w:rPr>
          <w:spacing w:val="-9"/>
          <w:sz w:val="22"/>
          <w:szCs w:val="22"/>
        </w:rPr>
        <w:t xml:space="preserve"> </w:t>
      </w:r>
      <w:r w:rsidRPr="00163FEF">
        <w:rPr>
          <w:sz w:val="22"/>
          <w:szCs w:val="22"/>
        </w:rPr>
        <w:t>W.</w:t>
      </w:r>
      <w:r w:rsidRPr="00163FEF">
        <w:rPr>
          <w:spacing w:val="-5"/>
          <w:sz w:val="22"/>
          <w:szCs w:val="22"/>
        </w:rPr>
        <w:t xml:space="preserve"> </w:t>
      </w:r>
      <w:r w:rsidRPr="00163FEF">
        <w:rPr>
          <w:sz w:val="22"/>
          <w:szCs w:val="22"/>
        </w:rPr>
        <w:t>(1995):</w:t>
      </w:r>
      <w:r w:rsidRPr="00163FEF">
        <w:rPr>
          <w:spacing w:val="-7"/>
          <w:sz w:val="22"/>
          <w:szCs w:val="22"/>
        </w:rPr>
        <w:t xml:space="preserve"> </w:t>
      </w:r>
      <w:r w:rsidRPr="00163FEF">
        <w:rPr>
          <w:sz w:val="22"/>
          <w:szCs w:val="22"/>
        </w:rPr>
        <w:t>Kulturalismus.</w:t>
      </w:r>
      <w:r w:rsidRPr="00163FEF">
        <w:rPr>
          <w:spacing w:val="-9"/>
          <w:sz w:val="22"/>
          <w:szCs w:val="22"/>
        </w:rPr>
        <w:t xml:space="preserve"> </w:t>
      </w:r>
      <w:r w:rsidRPr="00163FEF">
        <w:rPr>
          <w:sz w:val="22"/>
          <w:szCs w:val="22"/>
        </w:rPr>
        <w:t>Kultur</w:t>
      </w:r>
      <w:r w:rsidRPr="00163FEF">
        <w:rPr>
          <w:spacing w:val="-8"/>
          <w:sz w:val="22"/>
          <w:szCs w:val="22"/>
        </w:rPr>
        <w:t xml:space="preserve"> </w:t>
      </w:r>
      <w:r w:rsidRPr="00163FEF">
        <w:rPr>
          <w:sz w:val="22"/>
          <w:szCs w:val="22"/>
        </w:rPr>
        <w:t>statt</w:t>
      </w:r>
      <w:r w:rsidRPr="00163FEF">
        <w:rPr>
          <w:spacing w:val="-7"/>
          <w:sz w:val="22"/>
          <w:szCs w:val="22"/>
        </w:rPr>
        <w:t xml:space="preserve"> </w:t>
      </w:r>
      <w:r w:rsidRPr="00163FEF">
        <w:rPr>
          <w:sz w:val="22"/>
          <w:szCs w:val="22"/>
        </w:rPr>
        <w:t>Gesellschaft?</w:t>
      </w:r>
      <w:r w:rsidRPr="00163FEF">
        <w:rPr>
          <w:spacing w:val="-7"/>
          <w:sz w:val="22"/>
          <w:szCs w:val="22"/>
        </w:rPr>
        <w:t xml:space="preserve"> </w:t>
      </w:r>
      <w:r w:rsidRPr="00163FEF">
        <w:rPr>
          <w:sz w:val="22"/>
          <w:szCs w:val="22"/>
        </w:rPr>
        <w:t>Geschichte</w:t>
      </w:r>
      <w:r w:rsidRPr="00163FEF">
        <w:rPr>
          <w:spacing w:val="40"/>
          <w:sz w:val="22"/>
          <w:szCs w:val="22"/>
        </w:rPr>
        <w:t xml:space="preserve"> </w:t>
      </w:r>
      <w:r w:rsidRPr="00163FEF">
        <w:rPr>
          <w:sz w:val="22"/>
          <w:szCs w:val="22"/>
        </w:rPr>
        <w:t>und</w:t>
      </w:r>
      <w:r w:rsidRPr="00163FEF">
        <w:rPr>
          <w:spacing w:val="-6"/>
          <w:sz w:val="22"/>
          <w:szCs w:val="22"/>
        </w:rPr>
        <w:t xml:space="preserve"> </w:t>
      </w:r>
      <w:r w:rsidRPr="00163FEF">
        <w:rPr>
          <w:sz w:val="22"/>
          <w:szCs w:val="22"/>
        </w:rPr>
        <w:t>Gesellschaft,</w:t>
      </w:r>
      <w:r w:rsidRPr="00163FEF">
        <w:rPr>
          <w:spacing w:val="-7"/>
          <w:sz w:val="22"/>
          <w:szCs w:val="22"/>
        </w:rPr>
        <w:t xml:space="preserve"> </w:t>
      </w:r>
      <w:r w:rsidRPr="00163FEF">
        <w:rPr>
          <w:sz w:val="22"/>
          <w:szCs w:val="22"/>
        </w:rPr>
        <w:t>21(1):</w:t>
      </w:r>
      <w:r w:rsidRPr="00163FEF">
        <w:rPr>
          <w:spacing w:val="-8"/>
          <w:sz w:val="22"/>
          <w:szCs w:val="22"/>
        </w:rPr>
        <w:t xml:space="preserve"> </w:t>
      </w:r>
      <w:r w:rsidRPr="00163FEF">
        <w:rPr>
          <w:sz w:val="22"/>
          <w:szCs w:val="22"/>
        </w:rPr>
        <w:t>80-95.</w:t>
      </w:r>
      <w:r w:rsidRPr="00163FEF">
        <w:rPr>
          <w:spacing w:val="80"/>
          <w:sz w:val="22"/>
          <w:szCs w:val="22"/>
        </w:rPr>
        <w:t xml:space="preserve"> </w:t>
      </w:r>
      <w:r w:rsidRPr="00163FEF">
        <w:rPr>
          <w:sz w:val="22"/>
          <w:szCs w:val="22"/>
        </w:rPr>
        <w:t>Lee,</w:t>
      </w:r>
      <w:r w:rsidRPr="00163FEF">
        <w:rPr>
          <w:spacing w:val="-8"/>
          <w:sz w:val="22"/>
          <w:szCs w:val="22"/>
        </w:rPr>
        <w:t xml:space="preserve"> </w:t>
      </w:r>
      <w:r w:rsidRPr="00163FEF">
        <w:rPr>
          <w:sz w:val="22"/>
          <w:szCs w:val="22"/>
        </w:rPr>
        <w:t>J.A.</w:t>
      </w:r>
      <w:r w:rsidRPr="00163FEF">
        <w:rPr>
          <w:spacing w:val="-8"/>
          <w:sz w:val="22"/>
          <w:szCs w:val="22"/>
        </w:rPr>
        <w:t xml:space="preserve"> </w:t>
      </w:r>
      <w:r w:rsidRPr="00163FEF">
        <w:rPr>
          <w:sz w:val="22"/>
          <w:szCs w:val="22"/>
        </w:rPr>
        <w:t>(1966):</w:t>
      </w:r>
      <w:r w:rsidRPr="00163FEF">
        <w:rPr>
          <w:spacing w:val="-8"/>
          <w:sz w:val="22"/>
          <w:szCs w:val="22"/>
        </w:rPr>
        <w:t xml:space="preserve"> </w:t>
      </w:r>
      <w:r w:rsidRPr="00163FEF">
        <w:rPr>
          <w:sz w:val="22"/>
          <w:szCs w:val="22"/>
        </w:rPr>
        <w:t>Cultural</w:t>
      </w:r>
      <w:r w:rsidRPr="00163FEF">
        <w:rPr>
          <w:spacing w:val="-6"/>
          <w:sz w:val="22"/>
          <w:szCs w:val="22"/>
        </w:rPr>
        <w:t xml:space="preserve"> </w:t>
      </w:r>
      <w:r w:rsidRPr="00163FEF">
        <w:rPr>
          <w:sz w:val="22"/>
          <w:szCs w:val="22"/>
        </w:rPr>
        <w:t>Analysis</w:t>
      </w:r>
      <w:r w:rsidRPr="00163FEF">
        <w:rPr>
          <w:spacing w:val="-9"/>
          <w:sz w:val="22"/>
          <w:szCs w:val="22"/>
        </w:rPr>
        <w:t xml:space="preserve"> </w:t>
      </w:r>
      <w:r w:rsidRPr="00163FEF">
        <w:rPr>
          <w:sz w:val="22"/>
          <w:szCs w:val="22"/>
        </w:rPr>
        <w:t>in</w:t>
      </w:r>
      <w:r w:rsidRPr="00163FEF">
        <w:rPr>
          <w:spacing w:val="-6"/>
          <w:sz w:val="22"/>
          <w:szCs w:val="22"/>
        </w:rPr>
        <w:t xml:space="preserve"> </w:t>
      </w:r>
      <w:r w:rsidRPr="00163FEF">
        <w:rPr>
          <w:sz w:val="22"/>
          <w:szCs w:val="22"/>
        </w:rPr>
        <w:t>Overseas</w:t>
      </w:r>
      <w:r w:rsidRPr="00163FEF">
        <w:rPr>
          <w:spacing w:val="-7"/>
          <w:sz w:val="22"/>
          <w:szCs w:val="22"/>
        </w:rPr>
        <w:t xml:space="preserve"> </w:t>
      </w:r>
      <w:r w:rsidRPr="00163FEF">
        <w:rPr>
          <w:sz w:val="22"/>
          <w:szCs w:val="22"/>
        </w:rPr>
        <w:t>Operations,</w:t>
      </w:r>
      <w:r w:rsidRPr="00163FEF">
        <w:rPr>
          <w:spacing w:val="40"/>
          <w:sz w:val="22"/>
          <w:szCs w:val="22"/>
        </w:rPr>
        <w:t xml:space="preserve"> </w:t>
      </w:r>
      <w:r w:rsidRPr="00163FEF">
        <w:rPr>
          <w:sz w:val="22"/>
          <w:szCs w:val="22"/>
        </w:rPr>
        <w:t>Harvard Business Review, 44(2): 106-114.</w:t>
      </w:r>
      <w:r w:rsidRPr="00163FEF">
        <w:rPr>
          <w:spacing w:val="80"/>
          <w:sz w:val="22"/>
          <w:szCs w:val="22"/>
        </w:rPr>
        <w:t xml:space="preserve"> </w:t>
      </w:r>
      <w:r w:rsidRPr="00163FEF">
        <w:rPr>
          <w:sz w:val="22"/>
          <w:szCs w:val="22"/>
        </w:rPr>
        <w:t>Lindworsky, J. (1916): Das schlussfolgernde</w:t>
      </w:r>
      <w:r w:rsidRPr="00163FEF">
        <w:rPr>
          <w:spacing w:val="40"/>
          <w:sz w:val="22"/>
          <w:szCs w:val="22"/>
        </w:rPr>
        <w:t xml:space="preserve"> </w:t>
      </w:r>
      <w:r w:rsidRPr="00163FEF">
        <w:rPr>
          <w:sz w:val="22"/>
          <w:szCs w:val="22"/>
        </w:rPr>
        <w:t>Denken, Freiburg: Herder.</w:t>
      </w:r>
    </w:p>
    <w:p w14:paraId="63F4E59E" w14:textId="77777777" w:rsidR="00FF7799" w:rsidRPr="003F5EB6" w:rsidRDefault="00FF7799" w:rsidP="007B4146">
      <w:pPr>
        <w:pStyle w:val="berschrift1"/>
        <w:rPr>
          <w:color w:val="2E74B5"/>
        </w:rPr>
      </w:pPr>
      <w:r w:rsidRPr="003F5EB6">
        <w:rPr>
          <w:color w:val="2E74B5"/>
        </w:rPr>
        <w:t>Rechtssystem</w:t>
      </w:r>
    </w:p>
    <w:p w14:paraId="4519BBD6" w14:textId="77777777" w:rsidR="00FF7799" w:rsidRPr="00E73F6F" w:rsidRDefault="00FF7799" w:rsidP="009A0488">
      <w:pPr>
        <w:pStyle w:val="StandardText"/>
      </w:pPr>
      <w:r w:rsidRPr="00E73F6F">
        <w:t>übergeordnete Rechtsordnung, welche selbständige Staaten sich geben. Geprägt wird das Rechtssystem von kulturspezifischen Rechtsauffassungen bzw. Rechtsphilosophien. Als Basistypen unter</w:t>
      </w:r>
      <w:r w:rsidR="00163FEF">
        <w:t xml:space="preserve">scheidet man das </w:t>
      </w:r>
      <w:r w:rsidR="00163FEF">
        <w:sym w:font="Symbol" w:char="F0DE"/>
      </w:r>
      <w:r w:rsidR="00163FEF">
        <w:t xml:space="preserve"> Common Law und das </w:t>
      </w:r>
      <w:r w:rsidR="00C75F20">
        <w:sym w:font="Symbol" w:char="F0DE"/>
      </w:r>
      <w:r w:rsidR="00C75F20">
        <w:t xml:space="preserve"> </w:t>
      </w:r>
      <w:r w:rsidRPr="00E73F6F">
        <w:t>Code Law.</w:t>
      </w:r>
    </w:p>
    <w:p w14:paraId="67C21885" w14:textId="77777777" w:rsidR="00FF7799" w:rsidRPr="003F5EB6" w:rsidRDefault="00FF7799" w:rsidP="007B4146">
      <w:pPr>
        <w:pStyle w:val="berschrift1"/>
        <w:rPr>
          <w:color w:val="2E74B5"/>
        </w:rPr>
      </w:pPr>
      <w:r w:rsidRPr="003F5EB6">
        <w:rPr>
          <w:color w:val="2E74B5"/>
        </w:rPr>
        <w:t>Regionalwissenschaften</w:t>
      </w:r>
    </w:p>
    <w:p w14:paraId="1C338687" w14:textId="77777777" w:rsidR="00FF7799" w:rsidRPr="00E73F6F" w:rsidRDefault="00FF7799" w:rsidP="009A0488">
      <w:pPr>
        <w:pStyle w:val="StandardText"/>
      </w:pPr>
      <w:r w:rsidRPr="00E73F6F">
        <w:t>Afrikanistik, Indologie, Orientalistik, Sinologie und andere Regionalwissenschaften befassen sich mit Sprache, Kunst und Religion der jeweiligen Region. Die Orientalistik bspw. analysiert die Kultur des Orients. Arbeitsgebiet</w:t>
      </w:r>
      <w:r w:rsidRPr="00E73F6F">
        <w:rPr>
          <w:spacing w:val="-3"/>
        </w:rPr>
        <w:t xml:space="preserve"> </w:t>
      </w:r>
      <w:r w:rsidRPr="00E73F6F">
        <w:t>der</w:t>
      </w:r>
      <w:r w:rsidRPr="00E73F6F">
        <w:rPr>
          <w:spacing w:val="-1"/>
        </w:rPr>
        <w:t xml:space="preserve"> </w:t>
      </w:r>
      <w:r w:rsidRPr="00E73F6F">
        <w:t>Sinologen ist</w:t>
      </w:r>
      <w:r w:rsidRPr="00E73F6F">
        <w:rPr>
          <w:spacing w:val="-3"/>
        </w:rPr>
        <w:t xml:space="preserve"> </w:t>
      </w:r>
      <w:r w:rsidRPr="00E73F6F">
        <w:t>China,</w:t>
      </w:r>
      <w:r w:rsidRPr="00E73F6F">
        <w:rPr>
          <w:spacing w:val="-2"/>
        </w:rPr>
        <w:t xml:space="preserve"> </w:t>
      </w:r>
      <w:r w:rsidRPr="00E73F6F">
        <w:t>Indologen</w:t>
      </w:r>
      <w:r w:rsidRPr="00E73F6F">
        <w:rPr>
          <w:spacing w:val="-2"/>
        </w:rPr>
        <w:t xml:space="preserve"> </w:t>
      </w:r>
      <w:r w:rsidRPr="00E73F6F">
        <w:t xml:space="preserve">setzen sich wissenschaftlich mit Indien auseinander und die Afrikanistik mit den afrikanischen Völkern. Kulturwissenschaftler werfen den Regionalwissenschaften vor, die </w:t>
      </w:r>
      <w:r w:rsidRPr="00E73F6F">
        <w:rPr>
          <w:rFonts w:ascii="Cambria Math" w:hAnsi="Cambria Math" w:cs="Cambria Math"/>
        </w:rPr>
        <w:t>⇒</w:t>
      </w:r>
      <w:r w:rsidRPr="00E73F6F">
        <w:t xml:space="preserve"> Konstrukte Region und Kultur unzulässigerweise zu vermengen Diesen „Kurzschluss“ begehen im Übrigen auch die multidisziplinären Regionalstudien (Area Studies), welche die natürlichen, ökonomischen, sozialen und politischen Bedingungen großer Regionen analysieren (z.B. in Europa-, Lateinamerika-, Nahost- oder </w:t>
      </w:r>
      <w:r w:rsidRPr="00E73F6F">
        <w:rPr>
          <w:spacing w:val="-2"/>
        </w:rPr>
        <w:t>Nordamerika-Studien).</w:t>
      </w:r>
    </w:p>
    <w:p w14:paraId="7FBCA535" w14:textId="77777777" w:rsidR="00FF7799" w:rsidRPr="00C75F20" w:rsidRDefault="00FF7799" w:rsidP="009A0488">
      <w:pPr>
        <w:pStyle w:val="StandardText"/>
        <w:rPr>
          <w:sz w:val="22"/>
          <w:szCs w:val="22"/>
        </w:rPr>
      </w:pPr>
      <w:r w:rsidRPr="00C75F20">
        <w:rPr>
          <w:b/>
          <w:i/>
          <w:sz w:val="22"/>
          <w:szCs w:val="22"/>
        </w:rPr>
        <w:t>Literatur:</w:t>
      </w:r>
      <w:r w:rsidRPr="00C75F20">
        <w:rPr>
          <w:b/>
          <w:sz w:val="22"/>
          <w:szCs w:val="22"/>
        </w:rPr>
        <w:t xml:space="preserve"> </w:t>
      </w:r>
      <w:r w:rsidRPr="00C75F20">
        <w:rPr>
          <w:sz w:val="22"/>
          <w:szCs w:val="22"/>
        </w:rPr>
        <w:t>Vorstand der Gesellschaft für Regionalforschung e.V. (Hrsg.) (2000): Jahrbuch</w:t>
      </w:r>
      <w:r w:rsidRPr="00C75F20">
        <w:rPr>
          <w:spacing w:val="40"/>
          <w:sz w:val="22"/>
          <w:szCs w:val="22"/>
        </w:rPr>
        <w:t xml:space="preserve"> </w:t>
      </w:r>
      <w:r w:rsidRPr="00C75F20">
        <w:rPr>
          <w:sz w:val="22"/>
          <w:szCs w:val="22"/>
        </w:rPr>
        <w:t>für Regionalwissenschaften, Heidelberg: Springer.</w:t>
      </w:r>
    </w:p>
    <w:p w14:paraId="031ADCFE" w14:textId="77777777" w:rsidR="00FF7799" w:rsidRPr="00E73F6F" w:rsidRDefault="00FF7799" w:rsidP="009A0488">
      <w:pPr>
        <w:pStyle w:val="StandardText"/>
      </w:pPr>
    </w:p>
    <w:p w14:paraId="389C9DC4" w14:textId="77777777" w:rsidR="00FF7799" w:rsidRPr="003F5EB6" w:rsidRDefault="00FF7799" w:rsidP="007B4146">
      <w:pPr>
        <w:pStyle w:val="berschrift1"/>
        <w:rPr>
          <w:color w:val="2E74B5"/>
        </w:rPr>
      </w:pPr>
      <w:r w:rsidRPr="003F5EB6">
        <w:rPr>
          <w:color w:val="2E74B5"/>
        </w:rPr>
        <w:t>Regionen-Marketing</w:t>
      </w:r>
    </w:p>
    <w:p w14:paraId="6B5D4976" w14:textId="77777777" w:rsidR="00FF7799" w:rsidRPr="00E73F6F" w:rsidRDefault="00C75F20" w:rsidP="009A0488">
      <w:pPr>
        <w:pStyle w:val="StandardText"/>
      </w:pPr>
      <w:r>
        <w:t xml:space="preserve">befasst sich mit der </w:t>
      </w:r>
      <w:r w:rsidR="00FF7799" w:rsidRPr="00E73F6F">
        <w:t>„Planung, Entwicklung und Umsetzung von Strategien zur Vermarktung regionaler Standorte“ (Hammann 1995, S.1167)</w:t>
      </w:r>
    </w:p>
    <w:p w14:paraId="74D81BDD" w14:textId="77777777" w:rsidR="00FF7799" w:rsidRPr="00C75F20" w:rsidRDefault="00FF7799" w:rsidP="009A0488">
      <w:pPr>
        <w:pStyle w:val="StandardText"/>
        <w:rPr>
          <w:sz w:val="22"/>
          <w:szCs w:val="22"/>
        </w:rPr>
      </w:pPr>
      <w:r w:rsidRPr="00C75F20">
        <w:rPr>
          <w:b/>
          <w:i/>
          <w:sz w:val="22"/>
          <w:szCs w:val="22"/>
        </w:rPr>
        <w:t>Literatur:</w:t>
      </w:r>
      <w:r w:rsidRPr="00C75F20">
        <w:rPr>
          <w:b/>
          <w:sz w:val="22"/>
          <w:szCs w:val="22"/>
        </w:rPr>
        <w:t xml:space="preserve"> </w:t>
      </w:r>
      <w:r w:rsidRPr="00C75F20">
        <w:rPr>
          <w:sz w:val="22"/>
          <w:szCs w:val="22"/>
        </w:rPr>
        <w:t>Hammann, P. (1995): Kommunales und regionales Marketing, in: Tietz, B.; Köhler,R.; Zentes, J. (Hrsg.), Handwörterbuch des Marketing, 2. Aufl., 1166-1176, Stuttgart: Schäffer-Poeschel.</w:t>
      </w:r>
    </w:p>
    <w:p w14:paraId="21B1F1FC" w14:textId="77777777" w:rsidR="00FF7799" w:rsidRPr="00E73F6F" w:rsidRDefault="00FF7799" w:rsidP="009A0488">
      <w:pPr>
        <w:pStyle w:val="StandardText"/>
      </w:pPr>
    </w:p>
    <w:p w14:paraId="429D1E66" w14:textId="77777777" w:rsidR="00FF7799" w:rsidRPr="003F5EB6" w:rsidRDefault="00FF7799" w:rsidP="007B4146">
      <w:pPr>
        <w:pStyle w:val="berschrift1"/>
        <w:rPr>
          <w:color w:val="2E74B5"/>
        </w:rPr>
      </w:pPr>
      <w:r w:rsidRPr="003F5EB6">
        <w:rPr>
          <w:color w:val="2E74B5"/>
        </w:rPr>
        <w:t>Reichtum der Nationen</w:t>
      </w:r>
    </w:p>
    <w:p w14:paraId="20A3FE55" w14:textId="77777777" w:rsidR="00FF7799" w:rsidRPr="00C75F20" w:rsidRDefault="00FF7799" w:rsidP="009A0488">
      <w:pPr>
        <w:pStyle w:val="StandardText"/>
      </w:pPr>
      <w:r w:rsidRPr="00E73F6F">
        <w:t>zentrales Schlagwort der Diskussion über die „Quellen des Wohlstands von Volkswirtschaften“: In der absolutistischen Epoche hatte der (internationale) Handel vorrangig die Aufgabe, den Wohlstand des absoluten Herrschers zu mehren.</w:t>
      </w:r>
      <w:r w:rsidRPr="00E73F6F">
        <w:rPr>
          <w:spacing w:val="-12"/>
        </w:rPr>
        <w:t xml:space="preserve"> </w:t>
      </w:r>
      <w:r w:rsidRPr="00E73F6F">
        <w:t>Mit</w:t>
      </w:r>
      <w:r w:rsidRPr="00E73F6F">
        <w:rPr>
          <w:spacing w:val="-11"/>
        </w:rPr>
        <w:t xml:space="preserve"> </w:t>
      </w:r>
      <w:r w:rsidRPr="00E73F6F">
        <w:t>der</w:t>
      </w:r>
      <w:r w:rsidRPr="00E73F6F">
        <w:rPr>
          <w:spacing w:val="-11"/>
        </w:rPr>
        <w:t xml:space="preserve"> </w:t>
      </w:r>
      <w:r w:rsidRPr="00E73F6F">
        <w:t>französischen</w:t>
      </w:r>
      <w:r w:rsidRPr="00E73F6F">
        <w:rPr>
          <w:spacing w:val="-11"/>
        </w:rPr>
        <w:t xml:space="preserve"> </w:t>
      </w:r>
      <w:r w:rsidRPr="00E73F6F">
        <w:t>Revolution</w:t>
      </w:r>
      <w:r w:rsidRPr="00E73F6F">
        <w:rPr>
          <w:spacing w:val="-12"/>
        </w:rPr>
        <w:t xml:space="preserve"> </w:t>
      </w:r>
      <w:r w:rsidRPr="00E73F6F">
        <w:t>wandelte</w:t>
      </w:r>
      <w:r w:rsidRPr="00E73F6F">
        <w:rPr>
          <w:spacing w:val="-11"/>
        </w:rPr>
        <w:t xml:space="preserve"> </w:t>
      </w:r>
      <w:r w:rsidRPr="00E73F6F">
        <w:t>sich</w:t>
      </w:r>
      <w:r w:rsidRPr="00E73F6F">
        <w:rPr>
          <w:spacing w:val="-11"/>
        </w:rPr>
        <w:t xml:space="preserve"> </w:t>
      </w:r>
      <w:r w:rsidRPr="00E73F6F">
        <w:t>die</w:t>
      </w:r>
      <w:r w:rsidRPr="00E73F6F">
        <w:rPr>
          <w:spacing w:val="-11"/>
        </w:rPr>
        <w:t xml:space="preserve"> </w:t>
      </w:r>
      <w:r w:rsidRPr="00E73F6F">
        <w:t>Zielsetzung.</w:t>
      </w:r>
      <w:r w:rsidRPr="00E73F6F">
        <w:rPr>
          <w:spacing w:val="-12"/>
        </w:rPr>
        <w:t xml:space="preserve"> </w:t>
      </w:r>
      <w:r w:rsidRPr="00E73F6F">
        <w:t>Nunmehr galt</w:t>
      </w:r>
      <w:r w:rsidRPr="00E73F6F">
        <w:rPr>
          <w:spacing w:val="-3"/>
        </w:rPr>
        <w:t xml:space="preserve"> </w:t>
      </w:r>
      <w:r w:rsidRPr="00E73F6F">
        <w:t>es,</w:t>
      </w:r>
      <w:r w:rsidRPr="00E73F6F">
        <w:rPr>
          <w:spacing w:val="-3"/>
        </w:rPr>
        <w:t xml:space="preserve"> </w:t>
      </w:r>
      <w:r w:rsidRPr="00E73F6F">
        <w:t>den</w:t>
      </w:r>
      <w:r w:rsidRPr="00E73F6F">
        <w:rPr>
          <w:spacing w:val="-2"/>
        </w:rPr>
        <w:t xml:space="preserve"> </w:t>
      </w:r>
      <w:r w:rsidRPr="00E73F6F">
        <w:t>Wohlstand</w:t>
      </w:r>
      <w:r w:rsidRPr="00E73F6F">
        <w:rPr>
          <w:spacing w:val="-4"/>
        </w:rPr>
        <w:t xml:space="preserve"> </w:t>
      </w:r>
      <w:r w:rsidRPr="00E73F6F">
        <w:t>der</w:t>
      </w:r>
      <w:r w:rsidRPr="00E73F6F">
        <w:rPr>
          <w:spacing w:val="-3"/>
        </w:rPr>
        <w:t xml:space="preserve"> </w:t>
      </w:r>
      <w:r w:rsidRPr="00E73F6F">
        <w:t>Volkswirtschaft</w:t>
      </w:r>
      <w:r w:rsidRPr="00E73F6F">
        <w:rPr>
          <w:spacing w:val="-3"/>
        </w:rPr>
        <w:t xml:space="preserve"> </w:t>
      </w:r>
      <w:r w:rsidRPr="00E73F6F">
        <w:t>zu</w:t>
      </w:r>
      <w:r w:rsidRPr="00E73F6F">
        <w:rPr>
          <w:spacing w:val="-2"/>
        </w:rPr>
        <w:t xml:space="preserve"> </w:t>
      </w:r>
      <w:r w:rsidRPr="00E73F6F">
        <w:t>mehren.</w:t>
      </w:r>
      <w:r w:rsidRPr="00E73F6F">
        <w:rPr>
          <w:spacing w:val="-5"/>
        </w:rPr>
        <w:t xml:space="preserve"> </w:t>
      </w:r>
      <w:r w:rsidRPr="00E73F6F">
        <w:t>Was</w:t>
      </w:r>
      <w:r w:rsidRPr="00E73F6F">
        <w:rPr>
          <w:spacing w:val="-4"/>
        </w:rPr>
        <w:t xml:space="preserve"> </w:t>
      </w:r>
      <w:r w:rsidRPr="00E73F6F">
        <w:t>aber</w:t>
      </w:r>
      <w:r w:rsidRPr="00E73F6F">
        <w:rPr>
          <w:spacing w:val="-3"/>
        </w:rPr>
        <w:t xml:space="preserve"> </w:t>
      </w:r>
      <w:r w:rsidRPr="00C75F20">
        <w:t>sind</w:t>
      </w:r>
      <w:r w:rsidRPr="00C75F20">
        <w:rPr>
          <w:spacing w:val="-4"/>
        </w:rPr>
        <w:t xml:space="preserve"> </w:t>
      </w:r>
      <w:r w:rsidRPr="00C75F20">
        <w:t>die</w:t>
      </w:r>
      <w:r w:rsidRPr="00C75F20">
        <w:rPr>
          <w:spacing w:val="-3"/>
        </w:rPr>
        <w:t xml:space="preserve"> </w:t>
      </w:r>
      <w:r w:rsidRPr="00C75F20">
        <w:t>Quellen des Wohlstands? Die Physiokraten (d.h. der Vertreter der Ende des 18. Jahrhunderts dominierenden Wirtschaftslehre) hielten die Verfügbarkeit von und die Fruchtbarkeit des Bodens für ausschlaggebend (vgl. Hensmann 1976). Mit Beginn der Industrialisierung wurde der ungehinderte Zugang zu Bodenschätzen zum</w:t>
      </w:r>
      <w:r w:rsidRPr="00C75F20">
        <w:rPr>
          <w:spacing w:val="-2"/>
        </w:rPr>
        <w:t xml:space="preserve"> </w:t>
      </w:r>
      <w:r w:rsidRPr="00C75F20">
        <w:t>vorherrschenden Erklärungskonzept. Waren die</w:t>
      </w:r>
      <w:r w:rsidRPr="00C75F20">
        <w:rPr>
          <w:spacing w:val="-1"/>
        </w:rPr>
        <w:t xml:space="preserve"> </w:t>
      </w:r>
      <w:r w:rsidRPr="00C75F20">
        <w:t>Bodenschätze</w:t>
      </w:r>
      <w:r w:rsidRPr="00C75F20">
        <w:rPr>
          <w:spacing w:val="-1"/>
        </w:rPr>
        <w:t xml:space="preserve"> </w:t>
      </w:r>
      <w:r w:rsidRPr="00C75F20">
        <w:t>nicht auf</w:t>
      </w:r>
      <w:r w:rsidRPr="00C75F20">
        <w:rPr>
          <w:spacing w:val="-1"/>
        </w:rPr>
        <w:t xml:space="preserve"> </w:t>
      </w:r>
      <w:r w:rsidRPr="00C75F20">
        <w:t>dem eigenen Staatsgebiet verfügbar, dann „mussten“ sie durch Ausbeutung von Kolonien erschlossen werden (vgl. Wendt 2007). Weitere Protagonisten der Diskussion</w:t>
      </w:r>
      <w:r w:rsidRPr="00C75F20">
        <w:rPr>
          <w:spacing w:val="-2"/>
        </w:rPr>
        <w:t xml:space="preserve"> </w:t>
      </w:r>
      <w:r w:rsidRPr="00C75F20">
        <w:t>über</w:t>
      </w:r>
      <w:r w:rsidRPr="00C75F20">
        <w:rPr>
          <w:spacing w:val="-3"/>
        </w:rPr>
        <w:t xml:space="preserve"> </w:t>
      </w:r>
      <w:r w:rsidRPr="00C75F20">
        <w:t>die</w:t>
      </w:r>
      <w:r w:rsidRPr="00C75F20">
        <w:rPr>
          <w:spacing w:val="-3"/>
        </w:rPr>
        <w:t xml:space="preserve"> </w:t>
      </w:r>
      <w:r w:rsidRPr="00C75F20">
        <w:t>Ursachen</w:t>
      </w:r>
      <w:r w:rsidRPr="00C75F20">
        <w:rPr>
          <w:spacing w:val="-2"/>
        </w:rPr>
        <w:t xml:space="preserve"> </w:t>
      </w:r>
      <w:r w:rsidRPr="00C75F20">
        <w:t>des</w:t>
      </w:r>
      <w:r w:rsidRPr="00C75F20">
        <w:rPr>
          <w:spacing w:val="-6"/>
        </w:rPr>
        <w:t xml:space="preserve"> </w:t>
      </w:r>
      <w:r w:rsidRPr="00C75F20">
        <w:t>Reichtums</w:t>
      </w:r>
      <w:r w:rsidRPr="00C75F20">
        <w:rPr>
          <w:spacing w:val="-3"/>
        </w:rPr>
        <w:t xml:space="preserve"> </w:t>
      </w:r>
      <w:r w:rsidRPr="00C75F20">
        <w:t>der</w:t>
      </w:r>
      <w:r w:rsidRPr="00C75F20">
        <w:rPr>
          <w:spacing w:val="-3"/>
        </w:rPr>
        <w:t xml:space="preserve"> </w:t>
      </w:r>
      <w:r w:rsidRPr="00C75F20">
        <w:t>Nationen</w:t>
      </w:r>
      <w:r w:rsidRPr="00C75F20">
        <w:rPr>
          <w:spacing w:val="-4"/>
        </w:rPr>
        <w:t xml:space="preserve"> </w:t>
      </w:r>
      <w:r w:rsidRPr="00C75F20">
        <w:t>waren A.</w:t>
      </w:r>
      <w:r w:rsidRPr="00C75F20">
        <w:rPr>
          <w:spacing w:val="-3"/>
        </w:rPr>
        <w:t xml:space="preserve"> </w:t>
      </w:r>
      <w:r w:rsidRPr="00C75F20">
        <w:t>Smith</w:t>
      </w:r>
      <w:r w:rsidRPr="00C75F20">
        <w:rPr>
          <w:spacing w:val="-3"/>
        </w:rPr>
        <w:t xml:space="preserve"> </w:t>
      </w:r>
      <w:r w:rsidRPr="00C75F20">
        <w:t>und</w:t>
      </w:r>
      <w:r w:rsidRPr="00C75F20">
        <w:rPr>
          <w:spacing w:val="-2"/>
        </w:rPr>
        <w:t xml:space="preserve"> </w:t>
      </w:r>
      <w:r w:rsidRPr="00C75F20">
        <w:t>K. Marx. Der Marxismus erhob bekanntlich die menschliche Arbeit zum zentralen Erklärungsobjekt. Denn der Boden bzw. die Natur seien nur Objekte der menschlichen</w:t>
      </w:r>
      <w:r w:rsidRPr="00C75F20">
        <w:rPr>
          <w:spacing w:val="-12"/>
        </w:rPr>
        <w:t xml:space="preserve"> </w:t>
      </w:r>
      <w:r w:rsidRPr="00C75F20">
        <w:t>Arbeitsleistung.</w:t>
      </w:r>
      <w:r w:rsidRPr="00C75F20">
        <w:rPr>
          <w:spacing w:val="-11"/>
        </w:rPr>
        <w:t xml:space="preserve"> </w:t>
      </w:r>
      <w:r w:rsidRPr="00C75F20">
        <w:t>Und</w:t>
      </w:r>
      <w:r w:rsidRPr="00C75F20">
        <w:rPr>
          <w:spacing w:val="-11"/>
        </w:rPr>
        <w:t xml:space="preserve"> </w:t>
      </w:r>
      <w:r w:rsidRPr="00C75F20">
        <w:t>A.</w:t>
      </w:r>
      <w:r w:rsidRPr="00C75F20">
        <w:rPr>
          <w:spacing w:val="-11"/>
        </w:rPr>
        <w:t xml:space="preserve"> </w:t>
      </w:r>
      <w:r w:rsidRPr="00C75F20">
        <w:lastRenderedPageBreak/>
        <w:t>Smith,</w:t>
      </w:r>
      <w:r w:rsidRPr="00C75F20">
        <w:rPr>
          <w:spacing w:val="-12"/>
        </w:rPr>
        <w:t xml:space="preserve"> </w:t>
      </w:r>
      <w:r w:rsidRPr="00C75F20">
        <w:t>Repräsentant</w:t>
      </w:r>
      <w:r w:rsidRPr="00C75F20">
        <w:rPr>
          <w:spacing w:val="-11"/>
        </w:rPr>
        <w:t xml:space="preserve"> </w:t>
      </w:r>
      <w:r w:rsidRPr="00C75F20">
        <w:t>der</w:t>
      </w:r>
      <w:r w:rsidRPr="00C75F20">
        <w:rPr>
          <w:spacing w:val="-11"/>
        </w:rPr>
        <w:t xml:space="preserve"> </w:t>
      </w:r>
      <w:r w:rsidRPr="00C75F20">
        <w:t>liberalen</w:t>
      </w:r>
      <w:r w:rsidRPr="00C75F20">
        <w:rPr>
          <w:spacing w:val="-11"/>
        </w:rPr>
        <w:t xml:space="preserve"> </w:t>
      </w:r>
      <w:r w:rsidRPr="00C75F20">
        <w:t>Schule</w:t>
      </w:r>
      <w:r w:rsidRPr="00C75F20">
        <w:rPr>
          <w:spacing w:val="-12"/>
        </w:rPr>
        <w:t xml:space="preserve"> </w:t>
      </w:r>
      <w:r w:rsidRPr="00C75F20">
        <w:t>der Nationalökonomie,</w:t>
      </w:r>
      <w:r w:rsidRPr="00C75F20">
        <w:rPr>
          <w:spacing w:val="-10"/>
        </w:rPr>
        <w:t xml:space="preserve"> </w:t>
      </w:r>
      <w:r w:rsidRPr="00C75F20">
        <w:t>lenkte</w:t>
      </w:r>
      <w:r w:rsidRPr="00C75F20">
        <w:rPr>
          <w:spacing w:val="-11"/>
        </w:rPr>
        <w:t xml:space="preserve"> </w:t>
      </w:r>
      <w:r w:rsidRPr="00C75F20">
        <w:t>das</w:t>
      </w:r>
      <w:r w:rsidRPr="00C75F20">
        <w:rPr>
          <w:spacing w:val="-11"/>
        </w:rPr>
        <w:t xml:space="preserve"> </w:t>
      </w:r>
      <w:r w:rsidRPr="00C75F20">
        <w:t>Augenmerk</w:t>
      </w:r>
      <w:r w:rsidRPr="00C75F20">
        <w:rPr>
          <w:spacing w:val="-9"/>
        </w:rPr>
        <w:t xml:space="preserve"> </w:t>
      </w:r>
      <w:r w:rsidRPr="00C75F20">
        <w:t>auf</w:t>
      </w:r>
      <w:r w:rsidRPr="00C75F20">
        <w:rPr>
          <w:spacing w:val="-10"/>
        </w:rPr>
        <w:t xml:space="preserve"> </w:t>
      </w:r>
      <w:r w:rsidRPr="00C75F20">
        <w:t>die</w:t>
      </w:r>
      <w:r w:rsidRPr="00C75F20">
        <w:rPr>
          <w:spacing w:val="-11"/>
        </w:rPr>
        <w:t xml:space="preserve"> </w:t>
      </w:r>
      <w:r w:rsidRPr="00C75F20">
        <w:t>überragende</w:t>
      </w:r>
      <w:r w:rsidRPr="00C75F20">
        <w:rPr>
          <w:spacing w:val="-11"/>
        </w:rPr>
        <w:t xml:space="preserve"> </w:t>
      </w:r>
      <w:r w:rsidRPr="00C75F20">
        <w:t>Bedeutung,</w:t>
      </w:r>
      <w:r w:rsidRPr="00C75F20">
        <w:rPr>
          <w:spacing w:val="-10"/>
        </w:rPr>
        <w:t xml:space="preserve"> </w:t>
      </w:r>
      <w:r w:rsidRPr="00C75F20">
        <w:t>welche Arbeitsteilung, bis hin zum internationalen Wettbewerb, in diesem Zusammenhang besitzt.</w:t>
      </w:r>
    </w:p>
    <w:p w14:paraId="4E60BD19" w14:textId="77777777" w:rsidR="00FF7799" w:rsidRPr="00C75F20" w:rsidRDefault="00FF7799" w:rsidP="009A0488">
      <w:pPr>
        <w:pStyle w:val="StandardText"/>
      </w:pPr>
      <w:r w:rsidRPr="00C75F20">
        <w:t>Im Zuge der Aufwertung des Tertiären Sektors und des Wandels von der Produktions- zur Wissensgesellschaft richtete sich der Fokus der Diskussion dann zunehmend auf immaterielle Güter (z.B. Humankapital; Infrastruktur). Aber auch diese Perspektive hat sich mit dem Platzen der New Economy-Blase als einseitig erwiesen.</w:t>
      </w:r>
    </w:p>
    <w:p w14:paraId="70434717" w14:textId="77777777" w:rsidR="00FF7799" w:rsidRPr="00C75F20" w:rsidRDefault="00FF7799" w:rsidP="009A0488">
      <w:pPr>
        <w:pStyle w:val="StandardText"/>
      </w:pPr>
      <w:r w:rsidRPr="00C75F20">
        <w:t>Die Diskussion über die Quellen des „Reichtums von Nationen“ wurde begleitet von einer kontroversen Diskussion über den Aussagewert ökonomischer Erfolgsgrößen wie das Bruttosozialprodukt oder das Pro-Kopf-Einkommen (vgl. Meran/Schwarze 2005; Leipert 1975).</w:t>
      </w:r>
    </w:p>
    <w:p w14:paraId="600B237B" w14:textId="77777777" w:rsidR="00FF7799" w:rsidRPr="00C75F20" w:rsidRDefault="00FF7799" w:rsidP="009A0488">
      <w:pPr>
        <w:pStyle w:val="StandardText"/>
        <w:rPr>
          <w:sz w:val="22"/>
          <w:szCs w:val="22"/>
        </w:rPr>
      </w:pPr>
      <w:r w:rsidRPr="00C75F20">
        <w:rPr>
          <w:b/>
          <w:i/>
          <w:sz w:val="22"/>
          <w:szCs w:val="22"/>
        </w:rPr>
        <w:t>Literatur:</w:t>
      </w:r>
      <w:r w:rsidRPr="00C75F20">
        <w:rPr>
          <w:b/>
          <w:sz w:val="22"/>
          <w:szCs w:val="22"/>
        </w:rPr>
        <w:t xml:space="preserve"> </w:t>
      </w:r>
      <w:r w:rsidRPr="00C75F20">
        <w:rPr>
          <w:sz w:val="22"/>
          <w:szCs w:val="22"/>
        </w:rPr>
        <w:t>Hensmann, F. (1976): Staat und Absolutismus im Denken der Physikraten. Ein</w:t>
      </w:r>
      <w:r w:rsidRPr="00C75F20">
        <w:rPr>
          <w:spacing w:val="40"/>
          <w:sz w:val="22"/>
          <w:szCs w:val="22"/>
        </w:rPr>
        <w:t xml:space="preserve"> </w:t>
      </w:r>
      <w:r w:rsidRPr="00C75F20">
        <w:rPr>
          <w:sz w:val="22"/>
          <w:szCs w:val="22"/>
        </w:rPr>
        <w:t>Beitrag zur physiokratischen Staatsauffassung von Quesnay bis Turgot, Frankfurt/Main:</w:t>
      </w:r>
      <w:r w:rsidRPr="00C75F20">
        <w:rPr>
          <w:spacing w:val="40"/>
          <w:sz w:val="22"/>
          <w:szCs w:val="22"/>
        </w:rPr>
        <w:t xml:space="preserve"> </w:t>
      </w:r>
      <w:r w:rsidRPr="00C75F20">
        <w:rPr>
          <w:sz w:val="22"/>
          <w:szCs w:val="22"/>
        </w:rPr>
        <w:t>Haag</w:t>
      </w:r>
      <w:r w:rsidRPr="00C75F20">
        <w:rPr>
          <w:spacing w:val="-8"/>
          <w:sz w:val="22"/>
          <w:szCs w:val="22"/>
        </w:rPr>
        <w:t xml:space="preserve"> </w:t>
      </w:r>
      <w:r w:rsidRPr="00C75F20">
        <w:rPr>
          <w:sz w:val="22"/>
          <w:szCs w:val="22"/>
        </w:rPr>
        <w:t>+</w:t>
      </w:r>
      <w:r w:rsidRPr="00C75F20">
        <w:rPr>
          <w:spacing w:val="-8"/>
          <w:sz w:val="22"/>
          <w:szCs w:val="22"/>
        </w:rPr>
        <w:t xml:space="preserve"> </w:t>
      </w:r>
      <w:r w:rsidRPr="00C75F20">
        <w:rPr>
          <w:sz w:val="22"/>
          <w:szCs w:val="22"/>
        </w:rPr>
        <w:t>Herchen.</w:t>
      </w:r>
      <w:r w:rsidRPr="00C75F20">
        <w:rPr>
          <w:spacing w:val="40"/>
          <w:sz w:val="22"/>
          <w:szCs w:val="22"/>
        </w:rPr>
        <w:t xml:space="preserve"> </w:t>
      </w:r>
      <w:r w:rsidRPr="00C75F20">
        <w:rPr>
          <w:sz w:val="22"/>
          <w:szCs w:val="22"/>
        </w:rPr>
        <w:t>Wendt,</w:t>
      </w:r>
      <w:r w:rsidRPr="00C75F20">
        <w:rPr>
          <w:spacing w:val="-8"/>
          <w:sz w:val="22"/>
          <w:szCs w:val="22"/>
        </w:rPr>
        <w:t xml:space="preserve"> </w:t>
      </w:r>
      <w:r w:rsidRPr="00C75F20">
        <w:rPr>
          <w:sz w:val="22"/>
          <w:szCs w:val="22"/>
        </w:rPr>
        <w:t>R.</w:t>
      </w:r>
      <w:r w:rsidRPr="00C75F20">
        <w:rPr>
          <w:spacing w:val="-8"/>
          <w:sz w:val="22"/>
          <w:szCs w:val="22"/>
        </w:rPr>
        <w:t xml:space="preserve"> </w:t>
      </w:r>
      <w:r w:rsidRPr="00C75F20">
        <w:rPr>
          <w:sz w:val="22"/>
          <w:szCs w:val="22"/>
        </w:rPr>
        <w:t>(2007):</w:t>
      </w:r>
      <w:r w:rsidRPr="00C75F20">
        <w:rPr>
          <w:spacing w:val="-8"/>
          <w:sz w:val="22"/>
          <w:szCs w:val="22"/>
        </w:rPr>
        <w:t xml:space="preserve"> </w:t>
      </w:r>
      <w:r w:rsidRPr="00C75F20">
        <w:rPr>
          <w:sz w:val="22"/>
          <w:szCs w:val="22"/>
        </w:rPr>
        <w:t>Vom</w:t>
      </w:r>
      <w:r w:rsidRPr="00C75F20">
        <w:rPr>
          <w:spacing w:val="-9"/>
          <w:sz w:val="22"/>
          <w:szCs w:val="22"/>
        </w:rPr>
        <w:t xml:space="preserve"> </w:t>
      </w:r>
      <w:r w:rsidRPr="00C75F20">
        <w:rPr>
          <w:sz w:val="22"/>
          <w:szCs w:val="22"/>
        </w:rPr>
        <w:t>Kolonialismus</w:t>
      </w:r>
      <w:r w:rsidRPr="00C75F20">
        <w:rPr>
          <w:spacing w:val="-9"/>
          <w:sz w:val="22"/>
          <w:szCs w:val="22"/>
        </w:rPr>
        <w:t xml:space="preserve"> </w:t>
      </w:r>
      <w:r w:rsidRPr="00C75F20">
        <w:rPr>
          <w:sz w:val="22"/>
          <w:szCs w:val="22"/>
        </w:rPr>
        <w:t>zur</w:t>
      </w:r>
      <w:r w:rsidRPr="00C75F20">
        <w:rPr>
          <w:spacing w:val="-7"/>
          <w:sz w:val="22"/>
          <w:szCs w:val="22"/>
        </w:rPr>
        <w:t xml:space="preserve"> </w:t>
      </w:r>
      <w:r w:rsidRPr="00C75F20">
        <w:rPr>
          <w:sz w:val="22"/>
          <w:szCs w:val="22"/>
        </w:rPr>
        <w:t>Globalisierung.</w:t>
      </w:r>
      <w:r w:rsidRPr="00C75F20">
        <w:rPr>
          <w:spacing w:val="-8"/>
          <w:sz w:val="22"/>
          <w:szCs w:val="22"/>
        </w:rPr>
        <w:t xml:space="preserve"> </w:t>
      </w:r>
      <w:r w:rsidRPr="00C75F20">
        <w:rPr>
          <w:sz w:val="22"/>
          <w:szCs w:val="22"/>
        </w:rPr>
        <w:t>Europa</w:t>
      </w:r>
      <w:r w:rsidRPr="00C75F20">
        <w:rPr>
          <w:spacing w:val="-8"/>
          <w:sz w:val="22"/>
          <w:szCs w:val="22"/>
        </w:rPr>
        <w:t xml:space="preserve"> </w:t>
      </w:r>
      <w:r w:rsidRPr="00C75F20">
        <w:rPr>
          <w:sz w:val="22"/>
          <w:szCs w:val="22"/>
        </w:rPr>
        <w:t>und</w:t>
      </w:r>
      <w:r w:rsidRPr="00C75F20">
        <w:rPr>
          <w:spacing w:val="-8"/>
          <w:sz w:val="22"/>
          <w:szCs w:val="22"/>
        </w:rPr>
        <w:t xml:space="preserve"> </w:t>
      </w:r>
      <w:r w:rsidRPr="00C75F20">
        <w:rPr>
          <w:sz w:val="22"/>
          <w:szCs w:val="22"/>
        </w:rPr>
        <w:t>die</w:t>
      </w:r>
      <w:r w:rsidRPr="00C75F20">
        <w:rPr>
          <w:spacing w:val="40"/>
          <w:sz w:val="22"/>
          <w:szCs w:val="22"/>
        </w:rPr>
        <w:t xml:space="preserve"> </w:t>
      </w:r>
      <w:r w:rsidRPr="00C75F20">
        <w:rPr>
          <w:sz w:val="22"/>
          <w:szCs w:val="22"/>
        </w:rPr>
        <w:t>Welt seit 1500, Paderborn: Schöningh.</w:t>
      </w:r>
      <w:r w:rsidRPr="00C75F20">
        <w:rPr>
          <w:spacing w:val="40"/>
          <w:sz w:val="22"/>
          <w:szCs w:val="22"/>
        </w:rPr>
        <w:t xml:space="preserve"> </w:t>
      </w:r>
      <w:r w:rsidRPr="00C75F20">
        <w:rPr>
          <w:sz w:val="22"/>
          <w:szCs w:val="22"/>
        </w:rPr>
        <w:t>Leipert, C. (1975): Unzulänglichkeiten des</w:t>
      </w:r>
      <w:r w:rsidRPr="00C75F20">
        <w:rPr>
          <w:spacing w:val="40"/>
          <w:sz w:val="22"/>
          <w:szCs w:val="22"/>
        </w:rPr>
        <w:t xml:space="preserve"> </w:t>
      </w:r>
      <w:r w:rsidRPr="00C75F20">
        <w:rPr>
          <w:sz w:val="22"/>
          <w:szCs w:val="22"/>
        </w:rPr>
        <w:t>Sozialprodukts in seiner Eigenschaft als Wohlstandsmaß, Tübingen: Mohr.</w:t>
      </w:r>
      <w:r w:rsidRPr="00C75F20">
        <w:rPr>
          <w:spacing w:val="40"/>
          <w:sz w:val="22"/>
          <w:szCs w:val="22"/>
        </w:rPr>
        <w:t xml:space="preserve"> </w:t>
      </w:r>
      <w:r w:rsidRPr="00C75F20">
        <w:rPr>
          <w:sz w:val="22"/>
          <w:szCs w:val="22"/>
        </w:rPr>
        <w:t>Meran, G.;</w:t>
      </w:r>
      <w:r w:rsidRPr="00C75F20">
        <w:rPr>
          <w:spacing w:val="40"/>
          <w:sz w:val="22"/>
          <w:szCs w:val="22"/>
        </w:rPr>
        <w:t xml:space="preserve"> </w:t>
      </w:r>
      <w:r w:rsidRPr="00C75F20">
        <w:rPr>
          <w:sz w:val="22"/>
          <w:szCs w:val="22"/>
        </w:rPr>
        <w:t>Schwarze, R.</w:t>
      </w:r>
      <w:r w:rsidRPr="00C75F20">
        <w:rPr>
          <w:spacing w:val="40"/>
          <w:sz w:val="22"/>
          <w:szCs w:val="22"/>
        </w:rPr>
        <w:t xml:space="preserve"> </w:t>
      </w:r>
      <w:r w:rsidRPr="00C75F20">
        <w:rPr>
          <w:sz w:val="22"/>
          <w:szCs w:val="22"/>
        </w:rPr>
        <w:t>(2005): Das Ökosozialprodukt. Neues Maß für den Reichtum der Nationen?</w:t>
      </w:r>
      <w:r w:rsidRPr="00C75F20">
        <w:rPr>
          <w:spacing w:val="40"/>
          <w:sz w:val="22"/>
          <w:szCs w:val="22"/>
        </w:rPr>
        <w:t xml:space="preserve"> </w:t>
      </w:r>
      <w:r w:rsidRPr="00C75F20">
        <w:rPr>
          <w:sz w:val="22"/>
          <w:szCs w:val="22"/>
        </w:rPr>
        <w:t>Wirtschaftswissenschaftliches Studium, 34(10): 573-576.</w:t>
      </w:r>
    </w:p>
    <w:p w14:paraId="265D15B4" w14:textId="77777777" w:rsidR="00FF7799" w:rsidRPr="00E73F6F" w:rsidRDefault="00FF7799" w:rsidP="009A0488">
      <w:pPr>
        <w:pStyle w:val="StandardText"/>
      </w:pPr>
    </w:p>
    <w:p w14:paraId="5C166312" w14:textId="77777777" w:rsidR="00FF7799" w:rsidRPr="00E73F6F" w:rsidRDefault="00FF7799" w:rsidP="007B4146">
      <w:pPr>
        <w:pStyle w:val="berschrift1"/>
        <w:rPr>
          <w:noProof/>
          <w:lang w:eastAsia="de-DE"/>
        </w:rPr>
      </w:pPr>
      <w:r w:rsidRPr="003F5EB6">
        <w:rPr>
          <w:color w:val="2E74B5"/>
        </w:rPr>
        <w:t xml:space="preserve">Reisanbaugesellschaft </w:t>
      </w:r>
      <w:r w:rsidRPr="00C75F20">
        <w:rPr>
          <w:b w:val="0"/>
          <w:noProof/>
          <w:lang w:eastAsia="de-DE"/>
        </w:rPr>
        <w:sym w:font="Symbol" w:char="F0AE"/>
      </w:r>
      <w:r w:rsidRPr="00C75F20">
        <w:rPr>
          <w:b w:val="0"/>
          <w:noProof/>
          <w:lang w:eastAsia="de-DE"/>
        </w:rPr>
        <w:t xml:space="preserve"> </w:t>
      </w:r>
      <w:r w:rsidR="00C75F20">
        <w:rPr>
          <w:b w:val="0"/>
          <w:noProof/>
          <w:lang w:eastAsia="de-DE"/>
        </w:rPr>
        <w:t>I</w:t>
      </w:r>
      <w:r w:rsidRPr="00C75F20">
        <w:rPr>
          <w:b w:val="0"/>
          <w:noProof/>
          <w:lang w:eastAsia="de-DE"/>
        </w:rPr>
        <w:t xml:space="preserve">ndividualismus </w:t>
      </w:r>
      <w:r w:rsidR="00C75F20">
        <w:rPr>
          <w:b w:val="0"/>
          <w:noProof/>
          <w:lang w:eastAsia="de-DE"/>
        </w:rPr>
        <w:t xml:space="preserve">vs. </w:t>
      </w:r>
      <w:r w:rsidRPr="00C75F20">
        <w:rPr>
          <w:b w:val="0"/>
          <w:noProof/>
          <w:lang w:eastAsia="de-DE"/>
        </w:rPr>
        <w:t>Kollektivismus</w:t>
      </w:r>
      <w:r w:rsidR="00C75F20">
        <w:rPr>
          <w:b w:val="0"/>
          <w:noProof/>
          <w:lang w:eastAsia="de-DE"/>
        </w:rPr>
        <w:t xml:space="preserve"> (Ideengeschichte)</w:t>
      </w:r>
    </w:p>
    <w:p w14:paraId="3C9D69B9" w14:textId="77777777" w:rsidR="00677BB9" w:rsidRPr="007F69DA" w:rsidRDefault="00677BB9" w:rsidP="00677BB9">
      <w:pPr>
        <w:keepNext/>
        <w:keepLines/>
        <w:spacing w:before="240"/>
        <w:jc w:val="both"/>
        <w:outlineLvl w:val="1"/>
        <w:rPr>
          <w:b/>
          <w:color w:val="2E74B5"/>
          <w:lang w:val="en-US"/>
        </w:rPr>
      </w:pPr>
      <w:proofErr w:type="spellStart"/>
      <w:r w:rsidRPr="003F5EB6">
        <w:rPr>
          <w:b/>
          <w:bCs/>
          <w:color w:val="2E74B5"/>
          <w:sz w:val="24"/>
        </w:rPr>
        <w:t>Relativismus</w:t>
      </w:r>
      <w:proofErr w:type="spellEnd"/>
      <w:r w:rsidRPr="003F5EB6">
        <w:rPr>
          <w:b/>
          <w:bCs/>
          <w:color w:val="2E74B5"/>
          <w:sz w:val="24"/>
        </w:rPr>
        <w:t xml:space="preserve">, </w:t>
      </w:r>
      <w:proofErr w:type="spellStart"/>
      <w:r w:rsidRPr="003F5EB6">
        <w:rPr>
          <w:b/>
          <w:bCs/>
          <w:color w:val="2E74B5"/>
          <w:sz w:val="24"/>
        </w:rPr>
        <w:t>kultureller</w:t>
      </w:r>
      <w:proofErr w:type="spellEnd"/>
      <w:r w:rsidRPr="003F5EB6">
        <w:rPr>
          <w:b/>
          <w:bCs/>
          <w:color w:val="2E74B5"/>
          <w:sz w:val="24"/>
        </w:rPr>
        <w:t xml:space="preserve"> </w:t>
      </w:r>
      <w:r w:rsidRPr="007F69DA">
        <w:rPr>
          <w:szCs w:val="24"/>
        </w:rPr>
        <w:sym w:font="Symbol" w:char="F0AE"/>
      </w:r>
      <w:r w:rsidRPr="007F69DA">
        <w:rPr>
          <w:szCs w:val="24"/>
          <w:lang w:val="en-US"/>
        </w:rPr>
        <w:t xml:space="preserve"> </w:t>
      </w:r>
      <w:proofErr w:type="spellStart"/>
      <w:r w:rsidRPr="007F69DA">
        <w:rPr>
          <w:szCs w:val="24"/>
          <w:lang w:val="en-US"/>
        </w:rPr>
        <w:t>Kompetenz</w:t>
      </w:r>
      <w:proofErr w:type="spellEnd"/>
      <w:r w:rsidRPr="007F69DA">
        <w:rPr>
          <w:szCs w:val="24"/>
          <w:lang w:val="en-US"/>
        </w:rPr>
        <w:t xml:space="preserve">, </w:t>
      </w:r>
      <w:proofErr w:type="spellStart"/>
      <w:r w:rsidRPr="007F69DA">
        <w:rPr>
          <w:szCs w:val="24"/>
          <w:lang w:val="en-US"/>
        </w:rPr>
        <w:t>interkulturelle</w:t>
      </w:r>
      <w:proofErr w:type="spellEnd"/>
    </w:p>
    <w:p w14:paraId="7DEDA59C" w14:textId="77777777" w:rsidR="00677BB9" w:rsidRPr="007F69DA" w:rsidRDefault="00677BB9" w:rsidP="00677BB9">
      <w:pPr>
        <w:rPr>
          <w:szCs w:val="24"/>
          <w:lang w:val="en-US"/>
        </w:rPr>
      </w:pPr>
    </w:p>
    <w:p w14:paraId="61E38AB8" w14:textId="77777777" w:rsidR="00FF7799" w:rsidRPr="003F5EB6" w:rsidRDefault="00FF7799" w:rsidP="007B4146">
      <w:pPr>
        <w:pStyle w:val="berschrift1"/>
        <w:rPr>
          <w:color w:val="2E74B5"/>
        </w:rPr>
      </w:pPr>
      <w:r w:rsidRPr="003F5EB6">
        <w:rPr>
          <w:color w:val="2E74B5"/>
        </w:rPr>
        <w:t>Religion</w:t>
      </w:r>
    </w:p>
    <w:p w14:paraId="714DA53C" w14:textId="77777777" w:rsidR="00FF7799" w:rsidRPr="00E73F6F" w:rsidRDefault="00FF7799" w:rsidP="00517303">
      <w:pPr>
        <w:pStyle w:val="StandardText"/>
        <w:rPr>
          <w:noProof/>
        </w:rPr>
      </w:pPr>
      <w:r w:rsidRPr="00E73F6F">
        <w:rPr>
          <w:noProof/>
        </w:rPr>
        <w:t>Glaube, welchen eine Gemeinschaft von Menschen teilt und zu welchem sie sich bekennt (vgl. Beyer 1994, S.6). Abgesehen von derart allgemein gehaltenen Vorschlägen wurde und wird dieser Begriff jedoch weder einheitlich noch eindeutig definiert (vgl. Goodman 1994, S.14ff.).</w:t>
      </w:r>
    </w:p>
    <w:p w14:paraId="4AC8DA52" w14:textId="77777777" w:rsidR="00FF7799" w:rsidRPr="00E73F6F" w:rsidRDefault="00FF7799" w:rsidP="00517303">
      <w:pPr>
        <w:pStyle w:val="StandardText"/>
        <w:rPr>
          <w:noProof/>
        </w:rPr>
      </w:pPr>
      <w:r w:rsidRPr="00E73F6F">
        <w:rPr>
          <w:noProof/>
        </w:rPr>
        <w:t xml:space="preserve">Der Sozialphilosoph und Ethnologe E. Tylor bezeichnete in seinem 1871 veröffentlichten Werk Religion als „Glaube an geistige Wesen“. La Barre (1970, S.12f.) wiederum beschrieb dieses Phänomen aus psychologischer Sicht als kollektiven Traum bzw. Alptraum, in welchem die Menschen die „richtige Haltung“ gegenüber dem von den Eltern repräsentierten Göttlichen erlernen. Für Spiro (1966, S.96), einen Anthropologen, ist Religion ein System von Erkenntnissen bzw. eine Sammlung von explizit und implizit formulierten Auffassungen über die Beziehungen der Menschen mit der (übermenschlichen) Welt. Am bekanntesten aber wurden vermutlich die religions-kritischen Thesen von K. Marx („Opium fürs Volk“) und S. Freud. Der Begründer der klassischen Psychoanalyse kritisierte Religion als „universelle Zwangsneurose“ und als Ausdruck einer „kindlichen Erwartungshaltung gegenüber einem allmächtigen Wesen.“ </w:t>
      </w:r>
    </w:p>
    <w:p w14:paraId="166C4872" w14:textId="77777777" w:rsidR="00FF7799" w:rsidRPr="00E73F6F" w:rsidRDefault="00FF7799" w:rsidP="00517303">
      <w:pPr>
        <w:pStyle w:val="StandardText"/>
        <w:rPr>
          <w:noProof/>
        </w:rPr>
      </w:pPr>
    </w:p>
    <w:p w14:paraId="5323E9EC" w14:textId="77777777" w:rsidR="00FF7799" w:rsidRPr="00C75F20" w:rsidRDefault="00FF7799" w:rsidP="009472F0">
      <w:pPr>
        <w:pStyle w:val="StandardTextkursiv"/>
        <w:rPr>
          <w:i w:val="0"/>
          <w:noProof/>
        </w:rPr>
      </w:pPr>
      <w:bookmarkStart w:id="127" w:name="_Toc46892028"/>
      <w:bookmarkStart w:id="128" w:name="_Toc67285042"/>
      <w:bookmarkStart w:id="129" w:name="_Toc67921998"/>
      <w:bookmarkStart w:id="130" w:name="_Toc67929734"/>
      <w:bookmarkStart w:id="131" w:name="_Toc226259979"/>
      <w:r w:rsidRPr="00C75F20">
        <w:rPr>
          <w:i w:val="0"/>
          <w:noProof/>
        </w:rPr>
        <w:t>1 Definitionen</w:t>
      </w:r>
      <w:bookmarkEnd w:id="127"/>
      <w:bookmarkEnd w:id="128"/>
      <w:bookmarkEnd w:id="129"/>
      <w:bookmarkEnd w:id="130"/>
      <w:bookmarkEnd w:id="131"/>
    </w:p>
    <w:p w14:paraId="23D1D888" w14:textId="77777777" w:rsidR="00FF7799" w:rsidRPr="00C75F20" w:rsidRDefault="00FF7799" w:rsidP="009472F0">
      <w:pPr>
        <w:pStyle w:val="StandardTextkursiv"/>
        <w:rPr>
          <w:i w:val="0"/>
          <w:noProof/>
        </w:rPr>
      </w:pPr>
      <w:bookmarkStart w:id="132" w:name="_Toc226259980"/>
      <w:r w:rsidRPr="00C75F20">
        <w:rPr>
          <w:i w:val="0"/>
          <w:noProof/>
        </w:rPr>
        <w:t>1.1 Konzeptionelle und begriffliche Merkmale</w:t>
      </w:r>
      <w:bookmarkEnd w:id="132"/>
      <w:r w:rsidRPr="00C75F20">
        <w:rPr>
          <w:i w:val="0"/>
          <w:noProof/>
        </w:rPr>
        <w:t xml:space="preserve"> </w:t>
      </w:r>
    </w:p>
    <w:p w14:paraId="446C8C0F" w14:textId="77777777" w:rsidR="00FF7799" w:rsidRPr="00E73F6F" w:rsidRDefault="00FF7799" w:rsidP="00517303">
      <w:pPr>
        <w:pStyle w:val="StandardText"/>
        <w:rPr>
          <w:noProof/>
        </w:rPr>
      </w:pPr>
      <w:r w:rsidRPr="00E73F6F">
        <w:rPr>
          <w:noProof/>
        </w:rPr>
        <w:t>Die Erscheinungsformen sind zu vielgestaltig, als dass man das Phänomen „Religion“ in einer Definition hinreichend erfassen könnte. Hansen/Bode (1995, S.64ff.) schlugen deshalb drei grundlegende Ansätze vor:</w:t>
      </w:r>
    </w:p>
    <w:p w14:paraId="1345ED33" w14:textId="77777777" w:rsidR="00FF7799" w:rsidRPr="00E73F6F" w:rsidRDefault="00FF7799">
      <w:pPr>
        <w:pStyle w:val="StandardText"/>
        <w:numPr>
          <w:ilvl w:val="0"/>
          <w:numId w:val="15"/>
        </w:numPr>
        <w:ind w:left="426" w:hanging="426"/>
        <w:rPr>
          <w:noProof/>
        </w:rPr>
      </w:pPr>
      <w:r w:rsidRPr="00E73F6F">
        <w:rPr>
          <w:noProof/>
        </w:rPr>
        <w:t xml:space="preserve">Die institutionelle Definition stellt die Bindung des Religiösen an eine Organisation in den Mittelpunkt der Betrachtung. Unterschieden werden institutionell gebundene Religionen </w:t>
      </w:r>
      <w:r w:rsidRPr="00E73F6F">
        <w:rPr>
          <w:noProof/>
        </w:rPr>
        <w:lastRenderedPageBreak/>
        <w:t>(z.B. Christentum, Judentum) von nicht gebundenen „Religionen“ (z.B. New Age-Bewegung, Human Potential-Movement). Gegen diese Perspektive spricht, dass sie statisch ist und die Dynamik soziokultureller Prozesse vernachlässigt. Hierzu zählt die an der zunehmenden Zahl der Kirchenaustritte erkennbare Säkularisierung, die als De-Institutionalisierung beschrieben werden kann.</w:t>
      </w:r>
    </w:p>
    <w:p w14:paraId="7CA97785" w14:textId="77777777" w:rsidR="00FF7799" w:rsidRPr="00E73F6F" w:rsidRDefault="00FF7799">
      <w:pPr>
        <w:pStyle w:val="StandardText"/>
        <w:numPr>
          <w:ilvl w:val="0"/>
          <w:numId w:val="15"/>
        </w:numPr>
        <w:ind w:left="426" w:hanging="426"/>
        <w:rPr>
          <w:noProof/>
        </w:rPr>
      </w:pPr>
      <w:r w:rsidRPr="00E73F6F">
        <w:rPr>
          <w:noProof/>
        </w:rPr>
        <w:t xml:space="preserve">Entsprechend der substanziellen Definition verkörpern Religionen ein System von Überzeugungen, Symbolen und rituellen bzw. kultischen Verhaltensweisen. </w:t>
      </w:r>
      <w:r w:rsidRPr="00E35FFF">
        <w:rPr>
          <w:noProof/>
          <w:lang w:val="en-US"/>
        </w:rPr>
        <w:t xml:space="preserve">„Each theological philosophy is viewed as constituting a 'world view' (i.e. Weltanschauung) through which the consumer perceives self and events” (Hirschman 1983, S.133). </w:t>
      </w:r>
      <w:r w:rsidRPr="00E73F6F">
        <w:rPr>
          <w:noProof/>
        </w:rPr>
        <w:t>Dieses Überzeugungssystem (= Glaube) bezieht sich explizit auf eine oder mehrere übernatürliche Instanzen (= Gott). Demzufolge gilt bspw. der Konfuzianismus nicht als Religion; denn diese vor allem in Ostasien einflussreiche Lehre erteilt „lediglich“ moralische Ratschläge, wie eine bestimmte, für wünschenswert gehaltene Gesellschaftsordnung zu schaffen und zu bewahren ist. Konfuzius bezog sich dabei jedoch nicht auf Gott und entwickelte auch keine eigenständigen Vorstellungen über ein Leben nach dem Tod (vgl. von Glasenapp 2005). Als Nichtreligion ist gemäß der substanziellen Definition weiterhin der philosophisch-kognitivistische Ansatz einzuordnen. Demnach sind Gläubige einander durch ein kognitives System, das eine bestimmte Weltanschauung konstituiert, verbunden (vgl. Gurvitch 1971).</w:t>
      </w:r>
    </w:p>
    <w:p w14:paraId="0C5B19CA" w14:textId="77777777" w:rsidR="00FF7799" w:rsidRPr="00E73F6F" w:rsidRDefault="00FF7799">
      <w:pPr>
        <w:pStyle w:val="StandardText"/>
        <w:numPr>
          <w:ilvl w:val="0"/>
          <w:numId w:val="15"/>
        </w:numPr>
        <w:ind w:left="426" w:hanging="426"/>
        <w:rPr>
          <w:noProof/>
        </w:rPr>
      </w:pPr>
      <w:r w:rsidRPr="00E73F6F">
        <w:rPr>
          <w:noProof/>
        </w:rPr>
        <w:t>Folgt man der funktionalen Definition, so ist nicht das „Wesen“ einer Religion maßgeblich. Entscheidend sind die Aufgaben, die sie erfüllt.</w:t>
      </w:r>
    </w:p>
    <w:p w14:paraId="1DF90039" w14:textId="77777777" w:rsidR="00FF7799" w:rsidRPr="00E73F6F" w:rsidRDefault="00FF7799" w:rsidP="00517303">
      <w:pPr>
        <w:pStyle w:val="StandardTextAufzhlung"/>
        <w:ind w:left="709" w:hanging="283"/>
        <w:rPr>
          <w:noProof/>
        </w:rPr>
      </w:pPr>
      <w:r w:rsidRPr="00E73F6F">
        <w:rPr>
          <w:noProof/>
        </w:rPr>
        <w:t xml:space="preserve">Zugehörigkeits- bzw. Identitätsfunktion: Indem sie gemeinsame sakrale Überzeugungen und Praktiken schaffen, integrieren Religionen den Einzelnen in die Gesellschaft (vgl. Durkheim 1994, S.289). Wie wichtig diese Funktion für gläubige Menschen ist, verdeutlicht mehr als alles andere die vergleichsweise große Leichtigkeit, mit der dieser Menschentypus bereit ist, sich an einem der Religionskriege zu beteiligen. Dem Märtyrer wiederum ist sein Bekenntnis, d.h. seine religiöse Identität, wichtiger als das nackte körperliche Überleben. Zu Konflikten kommt es, wenn zentrale Bedürfnisse des Einzelnen nicht vereinbar sind mit den Normen seiner Religion. Dies ist etwa dann der Fall, wenn ein Katholik zwischen seinem privaten Wunsch nach Familienplanung und der Gehorsamspflicht gegenüber dem Papst abwägen muss (vgl. Hansen/Bode 1999, S.91). </w:t>
      </w:r>
    </w:p>
    <w:p w14:paraId="748A5A21" w14:textId="77777777" w:rsidR="00FF7799" w:rsidRPr="00E73F6F" w:rsidRDefault="00FF7799" w:rsidP="00517303">
      <w:pPr>
        <w:pStyle w:val="StandardTextAufzhlung"/>
        <w:ind w:left="709" w:hanging="283"/>
        <w:rPr>
          <w:noProof/>
        </w:rPr>
      </w:pPr>
      <w:r w:rsidRPr="00E73F6F">
        <w:rPr>
          <w:noProof/>
        </w:rPr>
        <w:t>Aus evolutionstheoretischer Sicht ist Religion eine „soziale Erfindung“, welche der Evolution unterliegt, da sie das Überleben und die Reproduktion menschlicher Gemeinschaften beeinflusst (vgl. Wilson 2002). Zwar sei das von Hamer (2004) postulierte „Gottesgen“ eine Erfindung. Aber im Zuge der kulturellen Evolution trage Religion als symbolisches System dazu bei, die jeweilige Gesellschaft effizient zu organisieren. Gemäß der Theorie der Evolution von kooperativen Einheiten kommt es nicht darauf an, ob die Glaubensinhalte einer Religion wahr oder falsch sind, sondern wozu sie Gläubige veranlassen, um ihrer Gemeinschaft einen Überlebensvorteil zu verschaffen. Fälschlicherweise wird vielfach angenommen, dieser bestehe darin, den Gläubigen die Angst vor dem Tod zu nehmen. Tatsächlich aber versprechen nur wenige Religionen (z.B. Islam, Christentum) dem (Recht</w:t>
      </w:r>
      <w:r w:rsidRPr="00E73F6F">
        <w:rPr>
          <w:noProof/>
        </w:rPr>
        <w:noBreakHyphen/>
        <w:t>)Gläubigen ein Leben nach dem Tod. Die tatsächliche Funktion von Religion lässt sich am Beispiel der afrikanische Mbona-Kult erläutern. Dessen Mitglieder errichten immer wieder einen Schrein. Zerfällt dieser, was regelmäßig geschieht, muss ein neuer Schrein geschaffen werden – aber erst, nachdem die Gläubigen ihre Streitigkeiten beigelegt haben. Als „fortschrittliche“ Europäer Anhängern dieses Kultes deshalb anboten, den Schrein aus dauerhaftem Material zu errichten, lehnten diese ab. Denn das Heiligtum war letztlich nebensächlich. Entscheidend war seine gesellschaftliche Funktion: Konflikte zu lösen.</w:t>
      </w:r>
    </w:p>
    <w:p w14:paraId="7AB09281" w14:textId="77777777" w:rsidR="00FF7799" w:rsidRPr="00E73F6F" w:rsidRDefault="00FF7799" w:rsidP="00517303">
      <w:pPr>
        <w:pStyle w:val="StandardTextAufzhlung"/>
        <w:ind w:left="709" w:hanging="283"/>
        <w:rPr>
          <w:noProof/>
        </w:rPr>
      </w:pPr>
      <w:r w:rsidRPr="00E73F6F">
        <w:rPr>
          <w:noProof/>
        </w:rPr>
        <w:lastRenderedPageBreak/>
        <w:t xml:space="preserve">Bedeutungs- und Sinnfunktion: Zu den grundlegenden Aufgaben von Religion gehört Sinnstiftung. Menschen, die zufällige, tragische oder glückliche Ereignisse zu bewältigen haben, wollen diesen Sinn verleihen, bspw. indem sie derartige kritische Lebensereignisse in ein übergreifendes </w:t>
      </w:r>
      <w:r w:rsidR="00D22D27">
        <w:rPr>
          <w:noProof/>
        </w:rPr>
        <w:sym w:font="Symbol" w:char="F0DE"/>
      </w:r>
      <w:r w:rsidR="00D22D27">
        <w:rPr>
          <w:noProof/>
        </w:rPr>
        <w:t xml:space="preserve"> </w:t>
      </w:r>
      <w:r w:rsidRPr="00E73F6F">
        <w:rPr>
          <w:noProof/>
        </w:rPr>
        <w:t>Weltbild einordnen. Manche Wissenschaftler betrachten das Bedürfnis nach Orientierung und Einsicht in die Bedeutung des Lebens als eine universelle Eigenschaft der Menschen (vgl. Hansen/Bode 1999, S.90). Allerdings weiß man, dass Art und Ausmaß des Wunsches nach Erkenntnis bzw. des Denkens in Ursache/Wirkungs-Zusammenhängen kulturspezifisch geformt sind. So neigen Angehörige von individualistischen Gesellschaften zu kausalem Denken und Angehörige von kollektivistischen Gesellschaften zu assoziativem Denken (vgl. Müller/Gelbrich 2021, S.174ff.).</w:t>
      </w:r>
    </w:p>
    <w:p w14:paraId="62F15C11" w14:textId="77777777" w:rsidR="00FF7799" w:rsidRPr="00E73F6F" w:rsidRDefault="00FF7799" w:rsidP="00517303">
      <w:pPr>
        <w:pStyle w:val="StandardText"/>
        <w:rPr>
          <w:noProof/>
        </w:rPr>
      </w:pPr>
    </w:p>
    <w:tbl>
      <w:tblPr>
        <w:tblW w:w="4612" w:type="pct"/>
        <w:tblInd w:w="704" w:type="dxa"/>
        <w:tblBorders>
          <w:top w:val="single" w:sz="4" w:space="0" w:color="auto"/>
          <w:left w:val="single" w:sz="4" w:space="0" w:color="auto"/>
          <w:bottom w:val="single" w:sz="4" w:space="0" w:color="auto"/>
          <w:right w:val="single" w:sz="4" w:space="0" w:color="auto"/>
        </w:tblBorders>
        <w:tblCellMar>
          <w:left w:w="85" w:type="dxa"/>
          <w:right w:w="85" w:type="dxa"/>
        </w:tblCellMar>
        <w:tblLook w:val="0000" w:firstRow="0" w:lastRow="0" w:firstColumn="0" w:lastColumn="0" w:noHBand="0" w:noVBand="0"/>
      </w:tblPr>
      <w:tblGrid>
        <w:gridCol w:w="8359"/>
      </w:tblGrid>
      <w:tr w:rsidR="00FF7799" w:rsidRPr="00E73F6F" w14:paraId="40391277" w14:textId="77777777" w:rsidTr="00C75F20">
        <w:trPr>
          <w:trHeight w:val="18"/>
        </w:trPr>
        <w:tc>
          <w:tcPr>
            <w:tcW w:w="5000" w:type="pct"/>
            <w:shd w:val="clear" w:color="auto" w:fill="DEEAF6" w:themeFill="accent1" w:themeFillTint="33"/>
          </w:tcPr>
          <w:p w14:paraId="6065E618" w14:textId="77777777" w:rsidR="00FF7799" w:rsidRPr="00E73F6F" w:rsidRDefault="00FF7799" w:rsidP="00517303">
            <w:pPr>
              <w:pStyle w:val="Standardklein"/>
              <w:rPr>
                <w:noProof/>
              </w:rPr>
            </w:pPr>
            <w:r w:rsidRPr="00E73F6F">
              <w:rPr>
                <w:noProof/>
              </w:rPr>
              <w:tab/>
            </w:r>
          </w:p>
        </w:tc>
      </w:tr>
      <w:tr w:rsidR="00FF7799" w:rsidRPr="00E73F6F" w14:paraId="016D6C06" w14:textId="77777777" w:rsidTr="00C75F20">
        <w:trPr>
          <w:trHeight w:val="63"/>
        </w:trPr>
        <w:tc>
          <w:tcPr>
            <w:tcW w:w="5000" w:type="pct"/>
            <w:shd w:val="clear" w:color="auto" w:fill="DEEAF6" w:themeFill="accent1" w:themeFillTint="33"/>
          </w:tcPr>
          <w:p w14:paraId="688640B6" w14:textId="77777777" w:rsidR="00FF7799" w:rsidRPr="00E73F6F" w:rsidRDefault="00FF7799" w:rsidP="003F5EB6">
            <w:pPr>
              <w:pStyle w:val="Standardklein"/>
              <w:jc w:val="center"/>
              <w:rPr>
                <w:b/>
                <w:noProof/>
              </w:rPr>
            </w:pPr>
            <w:r w:rsidRPr="00E73F6F">
              <w:rPr>
                <w:b/>
                <w:noProof/>
              </w:rPr>
              <w:t>Dreifache Ehrfurcht</w:t>
            </w:r>
          </w:p>
        </w:tc>
      </w:tr>
      <w:tr w:rsidR="00FF7799" w:rsidRPr="00E73F6F" w14:paraId="6FA05DA2" w14:textId="77777777" w:rsidTr="00C75F20">
        <w:trPr>
          <w:trHeight w:val="18"/>
        </w:trPr>
        <w:tc>
          <w:tcPr>
            <w:tcW w:w="5000" w:type="pct"/>
            <w:shd w:val="clear" w:color="auto" w:fill="DEEAF6" w:themeFill="accent1" w:themeFillTint="33"/>
          </w:tcPr>
          <w:p w14:paraId="5DD5D6DA" w14:textId="77777777" w:rsidR="00FF7799" w:rsidRPr="00E73F6F" w:rsidRDefault="00FF7799" w:rsidP="00517303">
            <w:pPr>
              <w:pStyle w:val="Standardklein"/>
              <w:rPr>
                <w:noProof/>
              </w:rPr>
            </w:pPr>
          </w:p>
        </w:tc>
      </w:tr>
      <w:tr w:rsidR="00FF7799" w:rsidRPr="00E73F6F" w14:paraId="6006D3D8" w14:textId="77777777" w:rsidTr="00C75F20">
        <w:trPr>
          <w:trHeight w:val="989"/>
        </w:trPr>
        <w:tc>
          <w:tcPr>
            <w:tcW w:w="5000" w:type="pct"/>
            <w:shd w:val="clear" w:color="auto" w:fill="DEEAF6" w:themeFill="accent1" w:themeFillTint="33"/>
          </w:tcPr>
          <w:p w14:paraId="7634FF7E" w14:textId="77777777" w:rsidR="00FF7799" w:rsidRPr="00E73F6F" w:rsidRDefault="00FF7799" w:rsidP="00517303">
            <w:pPr>
              <w:pStyle w:val="Standardklein"/>
              <w:rPr>
                <w:noProof/>
              </w:rPr>
            </w:pPr>
            <w:r w:rsidRPr="00E73F6F">
              <w:rPr>
                <w:i/>
                <w:noProof/>
              </w:rPr>
              <w:t>J.W. Goethe</w:t>
            </w:r>
            <w:r w:rsidRPr="00E73F6F">
              <w:rPr>
                <w:noProof/>
              </w:rPr>
              <w:t xml:space="preserve"> formulierte in „</w:t>
            </w:r>
            <w:r w:rsidRPr="00E73F6F">
              <w:rPr>
                <w:iCs/>
                <w:noProof/>
              </w:rPr>
              <w:t>Wilhelm Meisters Wanderjahren</w:t>
            </w:r>
            <w:r w:rsidRPr="00E73F6F">
              <w:rPr>
                <w:noProof/>
              </w:rPr>
              <w:t xml:space="preserve">“, zweites Buch, seine Lehre von der </w:t>
            </w:r>
            <w:r w:rsidRPr="00E73F6F">
              <w:rPr>
                <w:bCs/>
                <w:noProof/>
              </w:rPr>
              <w:t>dreifachen Ehrfurcht</w:t>
            </w:r>
            <w:r w:rsidRPr="00E73F6F">
              <w:rPr>
                <w:noProof/>
              </w:rPr>
              <w:t>: Aufgabe einer echten Religion sei es, den Menschen Ehrfurcht beizubringen: zuerst die Ehrfurcht vor dem, was über uns ist – also dem Göttlichen, weiterhin Ehrfurcht vor dem, was unter uns ist, die Erde zum einen und zum anderen unsere Triebe und Gefühle, auch Niedrigkeit und Armut, ... ja Sünde selbst; schließlich Ehrfurcht vor dem, was uns gleich ist – unsere Mitmenschen.</w:t>
            </w:r>
          </w:p>
          <w:p w14:paraId="6A3A777D" w14:textId="77777777" w:rsidR="00FF7799" w:rsidRPr="00E73F6F" w:rsidRDefault="00FF7799" w:rsidP="00517303">
            <w:pPr>
              <w:pStyle w:val="Standardklein"/>
              <w:rPr>
                <w:noProof/>
              </w:rPr>
            </w:pPr>
            <w:r w:rsidRPr="00E73F6F">
              <w:rPr>
                <w:noProof/>
              </w:rPr>
              <w:t>Aus diesen drei Ehrfurchten entspringt die oberste Ehrfurcht, die Ehrfurcht vor sich selbst. Goethes Variation der antiken Maxime „Werde der du bist“ und „Erkenne dich selbst“ findet sich auch bei W. James wieder, der 1902 „</w:t>
            </w:r>
            <w:r w:rsidRPr="00E73F6F">
              <w:rPr>
                <w:iCs/>
                <w:noProof/>
              </w:rPr>
              <w:t xml:space="preserve">The Varieties of Religious Experience“ </w:t>
            </w:r>
            <w:r w:rsidRPr="00E73F6F">
              <w:rPr>
                <w:noProof/>
              </w:rPr>
              <w:t xml:space="preserve">veröffentlichte. In diesem Klassiker der Religionspsychologie misst er Religionen daran, ob sie demjenigen, der an sie glaubt, zur Lebensbewältigung und Lebensfreude verhelfen. Beile (1998) fasst diesen Grundgedanken in dem Konzept der vier religiösen Emotionen zusammen: Vertrauen, Geborgenheit, Dankbarkeit und Freude. Jörns (1997), der gleichfalls von einer „Quaternität“ (der Lebensbeziehungen) spricht, betont demgegenüber stärker den Zusammenhang, der zwischen Religion und Werten sowie Ordnung </w:t>
            </w:r>
            <w:r w:rsidRPr="00E73F6F">
              <w:rPr>
                <w:bCs/>
                <w:noProof/>
              </w:rPr>
              <w:t>besteht</w:t>
            </w:r>
            <w:r w:rsidRPr="00E73F6F">
              <w:rPr>
                <w:noProof/>
              </w:rPr>
              <w:t>.</w:t>
            </w:r>
          </w:p>
        </w:tc>
      </w:tr>
    </w:tbl>
    <w:p w14:paraId="00F9F2B8" w14:textId="77777777" w:rsidR="00FF7799" w:rsidRPr="00E73F6F" w:rsidRDefault="00FF7799" w:rsidP="00517303">
      <w:pPr>
        <w:pStyle w:val="StandardTextAufzhlung"/>
        <w:numPr>
          <w:ilvl w:val="0"/>
          <w:numId w:val="0"/>
        </w:numPr>
        <w:ind w:left="709"/>
        <w:rPr>
          <w:noProof/>
        </w:rPr>
      </w:pPr>
    </w:p>
    <w:p w14:paraId="0FE129E1" w14:textId="77777777" w:rsidR="00FF7799" w:rsidRPr="00E73F6F" w:rsidRDefault="00FF7799" w:rsidP="00517303">
      <w:pPr>
        <w:pStyle w:val="StandardTextAufzhlung"/>
        <w:ind w:left="709" w:hanging="283"/>
        <w:rPr>
          <w:noProof/>
        </w:rPr>
      </w:pPr>
      <w:r w:rsidRPr="00E73F6F">
        <w:rPr>
          <w:bCs/>
          <w:noProof/>
          <w:szCs w:val="24"/>
        </w:rPr>
        <w:t xml:space="preserve">Institutionelle und strukturelle Funktion: Religionen zeigen den „Weg des Heils“ auf </w:t>
      </w:r>
      <w:r w:rsidRPr="00E73F6F">
        <w:rPr>
          <w:noProof/>
        </w:rPr>
        <w:t>(vgl. Kaufer 1998). Er steht gewöhnlich nur jenen Gläubigen offen, die bestimmte ethische Forderungen und kultische Verpflichtungen erfüllen (Gebet, Opfer u.ä.). Die dadurch vermittelten Normen und Werte tragen dazu bei, die mit der jeweiligen Religion verbundene Gesellschaft zu organisieren, z.B. in Form von Gemeinden, Kirchen oder Orden, aber auch von Staaten (Sakral-Königtum). Indem sie gemeinsame Werte definieren und der Gemeinschaft eine sinnstiftende Mythologie (z.B. als „erwähltes Volk“) geben, sorgen Religion nicht nur für soziale Identität, sondern auch für institutionelle und strukturelle Stabilität einer Gesellschaft.</w:t>
      </w:r>
    </w:p>
    <w:p w14:paraId="4C105695" w14:textId="77777777" w:rsidR="00FF7799" w:rsidRPr="00E73F6F" w:rsidRDefault="00FF7799" w:rsidP="00517303">
      <w:pPr>
        <w:pStyle w:val="StandardTextAufzhlung"/>
        <w:ind w:left="709" w:hanging="283"/>
        <w:rPr>
          <w:noProof/>
        </w:rPr>
      </w:pPr>
      <w:r w:rsidRPr="00E73F6F">
        <w:rPr>
          <w:noProof/>
        </w:rPr>
        <w:t>Kulturelle Funktion: Den Alltag gestalten Religionen, indem sie zentrale soziokulturelle Themen (z.B. Gesundheit, Armut) mit Hilfe moralischer Lehrsätze mit solchen Wertvorstellungen verknüpfen, die für die jeweilige Religion maßgeblich sind. Dies geschieht etwa dadurch, dass negative Ereignisse (z.B. Krankheit, Armut) als unmittelbare Konsequenz von Verhaltensweisen gedeutet werden, die mit den Geboten dieser Religion nicht vereinbar sind (= Sünden). Weitere Beispiele sind Hygiene- und Ernährungsvorschriften (z.B. regelmäßige, im Verlauf der Jahrhunderte allerdings ritualisierte Waschungen oder das Gebot, kein Schweinefleisch zu essen). Bekanntlich besteht auch zwischen dem von einer Gesellschaft als erstrebenswert angesehenen Leistungsverhalten und religiös begründeten Wertvorstellungen ein enger Zusammenhang (</w:t>
      </w:r>
      <w:r w:rsidRPr="00E73F6F">
        <w:rPr>
          <w:rFonts w:ascii="Cambria Math" w:hAnsi="Cambria Math" w:cs="Cambria Math"/>
          <w:noProof/>
        </w:rPr>
        <w:t>⇒</w:t>
      </w:r>
      <w:r w:rsidRPr="00E73F6F">
        <w:rPr>
          <w:noProof/>
        </w:rPr>
        <w:t xml:space="preserve"> Prädestinationslehre).</w:t>
      </w:r>
    </w:p>
    <w:p w14:paraId="29D6802A" w14:textId="77777777" w:rsidR="00FF7799" w:rsidRPr="00E73F6F" w:rsidRDefault="00FF7799" w:rsidP="00517303">
      <w:pPr>
        <w:pStyle w:val="StandardTextAufzhlung"/>
        <w:ind w:left="709" w:hanging="283"/>
        <w:rPr>
          <w:noProof/>
        </w:rPr>
      </w:pPr>
      <w:r w:rsidRPr="00E73F6F">
        <w:rPr>
          <w:noProof/>
        </w:rPr>
        <w:t>Psychologische Funktion: Religionen legitimieren die in einer Gesellschaft dominanten Werte und vermitteln den Gläubigen so Stabilität und Sicherheit (vgl. Vivelo 1995, S.256f.).</w:t>
      </w:r>
    </w:p>
    <w:p w14:paraId="24FF87F4" w14:textId="77777777" w:rsidR="00FF7799" w:rsidRPr="00E73F6F" w:rsidRDefault="00FF7799" w:rsidP="00844171">
      <w:pPr>
        <w:pStyle w:val="StandardText"/>
        <w:rPr>
          <w:noProof/>
        </w:rPr>
      </w:pPr>
      <w:bookmarkStart w:id="133" w:name="_Toc226259981"/>
    </w:p>
    <w:p w14:paraId="7A0F540F" w14:textId="77777777" w:rsidR="00FF7799" w:rsidRPr="00C75F20" w:rsidRDefault="00FF7799" w:rsidP="00844171">
      <w:pPr>
        <w:pStyle w:val="StandardTextkursiv"/>
        <w:rPr>
          <w:i w:val="0"/>
          <w:noProof/>
        </w:rPr>
      </w:pPr>
      <w:r w:rsidRPr="00C75F20">
        <w:rPr>
          <w:i w:val="0"/>
          <w:noProof/>
        </w:rPr>
        <w:t>1.2 Phänomenologische Merkmale</w:t>
      </w:r>
      <w:bookmarkEnd w:id="133"/>
    </w:p>
    <w:p w14:paraId="3918BB09" w14:textId="77777777" w:rsidR="00FF7799" w:rsidRPr="00C75F20" w:rsidRDefault="00FF7799" w:rsidP="009472F0">
      <w:pPr>
        <w:pStyle w:val="StandardText"/>
        <w:rPr>
          <w:noProof/>
        </w:rPr>
      </w:pPr>
      <w:r w:rsidRPr="00C75F20">
        <w:rPr>
          <w:noProof/>
        </w:rPr>
        <w:t xml:space="preserve">Sichtbarer Ausdruck einer Religion sind heilige Stätten (z.B. Mekka), rituelle Zeiten (z.B. Adventszeit, Ramadan) bzw. Feste (z.B. Ostern), Bilder und Symbole. Je nachdem, auf welche Art und Weise eine Religion das Heilige objektiviert, unterscheidet man Offenbarungs-Religionen (z.B. Christentum), prophetische Religionen (z.B. Judentum) und mystische Religionen (z.B. Taoismus). </w:t>
      </w:r>
    </w:p>
    <w:p w14:paraId="04CC1E37" w14:textId="77777777" w:rsidR="00FF7799" w:rsidRPr="00C75F20" w:rsidRDefault="00FF7799" w:rsidP="009472F0">
      <w:pPr>
        <w:pStyle w:val="StandardText"/>
        <w:rPr>
          <w:noProof/>
        </w:rPr>
      </w:pPr>
      <w:r w:rsidRPr="00C75F20">
        <w:rPr>
          <w:noProof/>
        </w:rPr>
        <w:t xml:space="preserve">Dennoch sind die Gemeinsamkeiten, welche alle Erklärungsansätze bzw. Definitionen mehr oder weniger explizit thematisieren (vgl. Goodman 1994, S.16ff.), weit bedeutsamer als die genannten Unterschiede. </w:t>
      </w:r>
    </w:p>
    <w:p w14:paraId="25AFE492" w14:textId="77777777" w:rsidR="00FF7799" w:rsidRPr="00C75F20" w:rsidRDefault="00FF7799" w:rsidP="003F5EB6">
      <w:pPr>
        <w:pStyle w:val="StandardTextAufzhlung"/>
        <w:ind w:left="567"/>
        <w:rPr>
          <w:noProof/>
        </w:rPr>
      </w:pPr>
      <w:r w:rsidRPr="00C75F20">
        <w:rPr>
          <w:noProof/>
        </w:rPr>
        <w:t>Religionen entwickeln bestimmte Rituale.</w:t>
      </w:r>
    </w:p>
    <w:p w14:paraId="67E07E8B" w14:textId="77777777" w:rsidR="00FF7799" w:rsidRPr="00C75F20" w:rsidRDefault="00FF7799" w:rsidP="003F5EB6">
      <w:pPr>
        <w:pStyle w:val="StandardTextAufzhlung"/>
        <w:ind w:left="567"/>
        <w:rPr>
          <w:noProof/>
        </w:rPr>
      </w:pPr>
      <w:r w:rsidRPr="00C75F20">
        <w:rPr>
          <w:noProof/>
        </w:rPr>
        <w:t>Religiöse Handlungen können den Zustand des Bewusstseins bzw. der Wahrnehmung verändern.</w:t>
      </w:r>
    </w:p>
    <w:p w14:paraId="2A637B9B" w14:textId="77777777" w:rsidR="00FF7799" w:rsidRPr="00C75F20" w:rsidRDefault="00FF7799" w:rsidP="003F5EB6">
      <w:pPr>
        <w:pStyle w:val="StandardTextAufzhlung"/>
        <w:ind w:left="567"/>
        <w:rPr>
          <w:noProof/>
        </w:rPr>
      </w:pPr>
      <w:r w:rsidRPr="00C75F20">
        <w:rPr>
          <w:noProof/>
        </w:rPr>
        <w:t>Unerklärbare bzw. überraschende Ereignisse werden nichtmenschlichen Kräften zugeschrieben.</w:t>
      </w:r>
    </w:p>
    <w:p w14:paraId="4589AC5F" w14:textId="77777777" w:rsidR="00FF7799" w:rsidRPr="00C75F20" w:rsidRDefault="00FF7799" w:rsidP="003F5EB6">
      <w:pPr>
        <w:pStyle w:val="StandardTextAufzhlung"/>
        <w:ind w:left="567"/>
        <w:rPr>
          <w:noProof/>
        </w:rPr>
      </w:pPr>
      <w:r w:rsidRPr="00C75F20">
        <w:rPr>
          <w:noProof/>
        </w:rPr>
        <w:t>Religionen formulieren Normen bzw. Verhaltensregeln, die geeignet erscheinen, ein harmonisches Zusammenleben sicherzustellen.</w:t>
      </w:r>
    </w:p>
    <w:p w14:paraId="4DA681CB" w14:textId="77777777" w:rsidR="00FF7799" w:rsidRPr="00C75F20" w:rsidRDefault="00FF7799" w:rsidP="003F5EB6">
      <w:pPr>
        <w:pStyle w:val="StandardText"/>
        <w:ind w:left="567"/>
        <w:rPr>
          <w:noProof/>
        </w:rPr>
      </w:pPr>
      <w:bookmarkStart w:id="134" w:name="_Toc46892029"/>
      <w:bookmarkStart w:id="135" w:name="_Toc67285043"/>
      <w:bookmarkStart w:id="136" w:name="_Toc67921999"/>
      <w:bookmarkStart w:id="137" w:name="_Toc67929735"/>
      <w:bookmarkStart w:id="138" w:name="_Toc226259982"/>
    </w:p>
    <w:p w14:paraId="07CE14F4" w14:textId="77777777" w:rsidR="00FF7799" w:rsidRPr="00C75F20" w:rsidRDefault="00FF7799" w:rsidP="009472F0">
      <w:pPr>
        <w:pStyle w:val="StandardTextkursiv"/>
        <w:rPr>
          <w:i w:val="0"/>
          <w:noProof/>
        </w:rPr>
      </w:pPr>
      <w:r w:rsidRPr="00C75F20">
        <w:rPr>
          <w:i w:val="0"/>
          <w:noProof/>
        </w:rPr>
        <w:t>2 Verwandte Konzepte</w:t>
      </w:r>
      <w:bookmarkEnd w:id="134"/>
      <w:bookmarkEnd w:id="135"/>
      <w:bookmarkEnd w:id="136"/>
      <w:bookmarkEnd w:id="137"/>
      <w:bookmarkEnd w:id="138"/>
    </w:p>
    <w:p w14:paraId="08067DB4" w14:textId="77777777" w:rsidR="00FF7799" w:rsidRPr="00E73F6F" w:rsidRDefault="00FF7799" w:rsidP="009472F0">
      <w:pPr>
        <w:pStyle w:val="StandardText"/>
        <w:rPr>
          <w:noProof/>
        </w:rPr>
      </w:pPr>
      <w:r w:rsidRPr="00C75F20">
        <w:rPr>
          <w:noProof/>
        </w:rPr>
        <w:t>Im Regelfall sind die Konstrukte Religion, Nation und Kultur nicht deckungsgleich (vgl. Müller/Gelbrich 2015, S.22ff.). Zu den wenigen Gegenbeispielen zählt Spanien, wo der römische Katholizismus zwar nicht mehr Staatsreligion ist, aber noch immer Konfession fast aller Spanier. Vor allem im Falle des Islam ist in der jüngeren Vergangenheit eine allzu simplifizierende und von vielen intellektuellen</w:t>
      </w:r>
      <w:r w:rsidRPr="00E73F6F">
        <w:rPr>
          <w:noProof/>
        </w:rPr>
        <w:t xml:space="preserve"> Muslimen beklagte Gleichsetzung dieser komplexen Konstrukte zu beobachten.</w:t>
      </w:r>
    </w:p>
    <w:p w14:paraId="7C112A8B" w14:textId="77777777" w:rsidR="00FF7799" w:rsidRPr="00E73F6F" w:rsidRDefault="00FF7799" w:rsidP="009472F0">
      <w:pPr>
        <w:pStyle w:val="StandardText"/>
        <w:rPr>
          <w:noProof/>
        </w:rPr>
      </w:pPr>
    </w:p>
    <w:p w14:paraId="399A13A1" w14:textId="77777777" w:rsidR="00FF7799" w:rsidRPr="00E73F6F" w:rsidRDefault="00FF7799" w:rsidP="007B4146">
      <w:pPr>
        <w:rPr>
          <w:noProof/>
        </w:rPr>
      </w:pPr>
    </w:p>
    <w:tbl>
      <w:tblPr>
        <w:tblW w:w="5000" w:type="pct"/>
        <w:tblBorders>
          <w:top w:val="single" w:sz="4" w:space="0" w:color="auto"/>
          <w:left w:val="single" w:sz="4" w:space="0" w:color="auto"/>
          <w:bottom w:val="single" w:sz="4" w:space="0" w:color="auto"/>
          <w:right w:val="single" w:sz="4" w:space="0" w:color="auto"/>
        </w:tblBorders>
        <w:tblCellMar>
          <w:left w:w="85" w:type="dxa"/>
          <w:right w:w="85" w:type="dxa"/>
        </w:tblCellMar>
        <w:tblLook w:val="0000" w:firstRow="0" w:lastRow="0" w:firstColumn="0" w:lastColumn="0" w:noHBand="0" w:noVBand="0"/>
      </w:tblPr>
      <w:tblGrid>
        <w:gridCol w:w="9062"/>
      </w:tblGrid>
      <w:tr w:rsidR="00FF7799" w:rsidRPr="00E73F6F" w14:paraId="17DE50A5" w14:textId="77777777" w:rsidTr="009472F0">
        <w:trPr>
          <w:trHeight w:val="8"/>
        </w:trPr>
        <w:tc>
          <w:tcPr>
            <w:tcW w:w="5000" w:type="pct"/>
          </w:tcPr>
          <w:p w14:paraId="66EFC826" w14:textId="77777777" w:rsidR="00FF7799" w:rsidRPr="00E73F6F" w:rsidRDefault="00FF7799" w:rsidP="009472F0">
            <w:pPr>
              <w:pStyle w:val="Standardklein"/>
              <w:rPr>
                <w:noProof/>
              </w:rPr>
            </w:pPr>
          </w:p>
        </w:tc>
      </w:tr>
      <w:tr w:rsidR="00FF7799" w:rsidRPr="00E73F6F" w14:paraId="14F8FE1D" w14:textId="77777777" w:rsidTr="00C75F20">
        <w:trPr>
          <w:trHeight w:val="30"/>
        </w:trPr>
        <w:tc>
          <w:tcPr>
            <w:tcW w:w="5000" w:type="pct"/>
            <w:shd w:val="clear" w:color="auto" w:fill="DEEAF6" w:themeFill="accent1" w:themeFillTint="33"/>
          </w:tcPr>
          <w:p w14:paraId="46C88090" w14:textId="7ACB2931" w:rsidR="00FF7799" w:rsidRPr="00C75F20" w:rsidRDefault="00FF7799" w:rsidP="003F5EB6">
            <w:pPr>
              <w:pStyle w:val="Standardklein"/>
              <w:jc w:val="center"/>
              <w:rPr>
                <w:b/>
                <w:noProof/>
              </w:rPr>
            </w:pPr>
            <w:r w:rsidRPr="00C75F20">
              <w:rPr>
                <w:b/>
                <w:noProof/>
              </w:rPr>
              <w:t xml:space="preserve">Weiße </w:t>
            </w:r>
            <w:r w:rsidR="003F5EB6">
              <w:rPr>
                <w:b/>
                <w:noProof/>
              </w:rPr>
              <w:t>&amp;</w:t>
            </w:r>
            <w:r w:rsidRPr="00C75F20">
              <w:rPr>
                <w:b/>
                <w:noProof/>
              </w:rPr>
              <w:t xml:space="preserve"> schwarze Türkei</w:t>
            </w:r>
          </w:p>
        </w:tc>
      </w:tr>
      <w:tr w:rsidR="00FF7799" w:rsidRPr="00E73F6F" w14:paraId="47C96F35" w14:textId="77777777" w:rsidTr="00C75F20">
        <w:trPr>
          <w:trHeight w:val="8"/>
        </w:trPr>
        <w:tc>
          <w:tcPr>
            <w:tcW w:w="5000" w:type="pct"/>
            <w:shd w:val="clear" w:color="auto" w:fill="DEEAF6" w:themeFill="accent1" w:themeFillTint="33"/>
          </w:tcPr>
          <w:p w14:paraId="2F39644B" w14:textId="77777777" w:rsidR="00FF7799" w:rsidRPr="00C75F20" w:rsidRDefault="00FF7799" w:rsidP="009472F0">
            <w:pPr>
              <w:pStyle w:val="Standardklein"/>
              <w:rPr>
                <w:noProof/>
              </w:rPr>
            </w:pPr>
          </w:p>
        </w:tc>
      </w:tr>
      <w:tr w:rsidR="00FF7799" w:rsidRPr="00E73F6F" w14:paraId="3028DB08" w14:textId="77777777" w:rsidTr="00C75F20">
        <w:trPr>
          <w:trHeight w:val="4"/>
        </w:trPr>
        <w:tc>
          <w:tcPr>
            <w:tcW w:w="5000" w:type="pct"/>
            <w:shd w:val="clear" w:color="auto" w:fill="DEEAF6" w:themeFill="accent1" w:themeFillTint="33"/>
          </w:tcPr>
          <w:p w14:paraId="15BC158E" w14:textId="77777777" w:rsidR="00FF7799" w:rsidRPr="00C75F20" w:rsidRDefault="00FF7799" w:rsidP="009472F0">
            <w:pPr>
              <w:pStyle w:val="Standardklein"/>
              <w:rPr>
                <w:noProof/>
              </w:rPr>
            </w:pPr>
            <w:r w:rsidRPr="00C75F20">
              <w:rPr>
                <w:noProof/>
              </w:rPr>
              <w:t xml:space="preserve">„Es ist die Obsession des Westens, die Muslime auf den Islam zu reduzieren. Wie jede andere Weltreligion bietet der Islam jedoch Legitimation für alle erdenklichen Systeme, zumal der Koran selbst keinerlei Herrschaftsdoktrin enthält – was immer Islamisten und westliche Experten nahezu wortgleich über die Einheit von Staat und Religion im Islam herbeten mögen. … Ebenso trefflich lässt sich der Sozialismus aus dem Koran ableiten, und dass eine Theokratie islamisch legitimiert werden kann, das haben die Iraner bis zum Überdruss erfahren müssen. … Der westliche Blick auf die islamische Welt ist in dieser Frage absolut fundamentalistisch: Man schließt von vermeintlich vorgegebenen Normen auf die gesellschaftliche Realität. Würde man diese Logik auf die restliche Welt übertragen, müsste man die Tatsache, dass Lateinamerika bis vor wenigen Jahren durchweg von Militärdiktaturen regiert wurde, allein mit dem Katholizismus begründen, die Chinesen qua Hautfarbe zu Kollektivisten erklären oder die israelische Besatzung ausschließlich aus der Bibel ableiten. </w:t>
            </w:r>
          </w:p>
          <w:p w14:paraId="6B939F22" w14:textId="77777777" w:rsidR="00FF7799" w:rsidRPr="00C75F20" w:rsidRDefault="00FF7799" w:rsidP="009472F0">
            <w:pPr>
              <w:pStyle w:val="Standardklein"/>
              <w:rPr>
                <w:noProof/>
              </w:rPr>
            </w:pPr>
            <w:r w:rsidRPr="00C75F20">
              <w:rPr>
                <w:noProof/>
              </w:rPr>
              <w:t xml:space="preserve">Schlagendes Beispiel für einen solchen Fundamentalismus ist die Debatte um die Türkei. Statt die Vor- und Nachteile eines EU-Beitritts im Sinne eigener, materieller Interessen abzuwägen, argumentieren beinahe alle Diskutanten mit der Kultur: Ist der Islam mit den Werten Europas vereinbar? „Niemals!“, rufen die Gegner und zitieren Verse aus dem Koran. „Aber natürlich!“, rufen die Befürworter und verweisen auf das bürgerliche Leben in Istanbul oder Ankara, das sich innerhalb eines europäischen Koordinatensystems bewegt. Dabei verschweigen sie, dass man sich in den Dörfern Anatoliens tatsächlich auf einem anderen Kontinent wähnen mag. Das aber heißt, dass die Grenze Europas (vgl. Anhang 2), wenn man den Begriff einmal so emphatisch gebrauchen darf, nicht zwischen Christentum und Islam, sondern mitten durch die Türkei selbst verläuft, zwischen dem, was die türkische Soziologin N. Göle die „weiße und die schwarze Türkei“ nannte. Die „weißen“ Türken haben nicht aufgehört, Muslime zu sein. </w:t>
            </w:r>
          </w:p>
          <w:p w14:paraId="194CBE2F" w14:textId="77777777" w:rsidR="00FF7799" w:rsidRPr="00C75F20" w:rsidRDefault="00FF7799" w:rsidP="009472F0">
            <w:pPr>
              <w:pStyle w:val="Standardklein"/>
              <w:rPr>
                <w:noProof/>
              </w:rPr>
            </w:pPr>
            <w:r w:rsidRPr="00C75F20">
              <w:rPr>
                <w:noProof/>
              </w:rPr>
              <w:lastRenderedPageBreak/>
              <w:t>Dies gilt aber auch für die Muslime in Deutschland, die in der ersten Generation zumeist aus ländlichen Gegenden stammen. Die Schwierigkeiten, sich in eine städtische, industrialisierte Welt einzugewöhnen, sind zum großen Teil dieselben, wie sie als Folge der Landflucht überall in den Metropolen der islamischen Welt zu beobachten sind. Einem Angehörigen der Istanbuler, Beiruter oder Teheraner Mittelschicht sind die Gewohnheiten und Wertvorstellungen eines anatolischen Dorfbewohners kaum weniger fremd als den meisten Deutschen. Die deutschen Probleme mit der Integration wären daher weit unscheinbarer, stammte das Gros der muslimischen Einwanderer aus den Städten. Diese Probleme auf den Islam zu reduzieren, grenzt an Volksverdummung. Von westlichen Kommentatoren wird immer wieder verwundert vermerkt, dass Migranten aus dem Libanon oder dem Iran in großer Zahl in die Bildungs- oder Wirtschaftseliten ihrer neuen Heimat vorstoßen. Das liegt nicht daran, dass sie vom Islam abgefallen wären, sondern erklärt sich daraus, dass sie bereits in der alten Heimat Angehörige</w:t>
            </w:r>
            <w:r w:rsidR="00C75F20">
              <w:rPr>
                <w:noProof/>
              </w:rPr>
              <w:t xml:space="preserve"> privilegierter Schichten waren</w:t>
            </w:r>
            <w:r w:rsidRPr="00C75F20">
              <w:rPr>
                <w:noProof/>
              </w:rPr>
              <w:t>“</w:t>
            </w:r>
            <w:r w:rsidR="00C75F20">
              <w:rPr>
                <w:noProof/>
              </w:rPr>
              <w:t xml:space="preserve"> (Kermani </w:t>
            </w:r>
            <w:r w:rsidR="00C75F20" w:rsidRPr="00E73F6F">
              <w:rPr>
                <w:noProof/>
              </w:rPr>
              <w:t>2003, S.5).</w:t>
            </w:r>
          </w:p>
        </w:tc>
      </w:tr>
      <w:tr w:rsidR="00FF7799" w:rsidRPr="00E73F6F" w14:paraId="5FAA0FC7" w14:textId="77777777" w:rsidTr="00C75F20">
        <w:trPr>
          <w:trHeight w:val="17"/>
        </w:trPr>
        <w:tc>
          <w:tcPr>
            <w:tcW w:w="5000" w:type="pct"/>
            <w:shd w:val="clear" w:color="auto" w:fill="DEEAF6" w:themeFill="accent1" w:themeFillTint="33"/>
          </w:tcPr>
          <w:p w14:paraId="2A678019" w14:textId="77777777" w:rsidR="00FF7799" w:rsidRPr="00C75F20" w:rsidRDefault="00FF7799" w:rsidP="009472F0">
            <w:pPr>
              <w:pStyle w:val="Standardklein"/>
              <w:rPr>
                <w:noProof/>
              </w:rPr>
            </w:pPr>
          </w:p>
        </w:tc>
      </w:tr>
    </w:tbl>
    <w:p w14:paraId="1A2C3730" w14:textId="77777777" w:rsidR="00FF7799" w:rsidRPr="00E73F6F" w:rsidRDefault="00FF7799" w:rsidP="009472F0">
      <w:pPr>
        <w:pStyle w:val="StandardText"/>
        <w:rPr>
          <w:noProof/>
        </w:rPr>
      </w:pPr>
      <w:r w:rsidRPr="00E73F6F">
        <w:rPr>
          <w:noProof/>
        </w:rPr>
        <w:t>Indem Religionen bestimmte Werte einer Gesellschaft akzentuieren und legitimieren, schaffen sie in Gestalt der Religionsgemeinschaft ein kulturelles Subsystem. Dessen Mitglieder sind einander durch gemeinsame Überzeugungen und Werte, aber auch durch Rituale, Helden und Symbole verbunden, deren tiefere Bedeutung Außenstehenden im Regelfall verborgen bleibt (vgl. Hofstede et al. 2017, S.6ff.). So ist Nicht-Christen der Symbolgehalt des Rituals „Abendmahl“ und Nicht-Muslimen der Symbolgehalt des siebenmaligen Umschreitens der Kaaba gewöhnlich nur schwer zu vermitteln.</w:t>
      </w:r>
    </w:p>
    <w:p w14:paraId="2D4DE383" w14:textId="77777777" w:rsidR="00FF7799" w:rsidRPr="00C75F20" w:rsidRDefault="00FF7799" w:rsidP="009472F0">
      <w:pPr>
        <w:pStyle w:val="StandardText"/>
        <w:rPr>
          <w:noProof/>
          <w:sz w:val="22"/>
          <w:szCs w:val="22"/>
          <w:lang w:val="en-US"/>
        </w:rPr>
      </w:pPr>
      <w:r w:rsidRPr="00C75F20">
        <w:rPr>
          <w:b/>
          <w:i/>
          <w:noProof/>
          <w:sz w:val="22"/>
          <w:szCs w:val="22"/>
          <w:lang w:val="en-US"/>
        </w:rPr>
        <w:t>Literatur:</w:t>
      </w:r>
      <w:r w:rsidRPr="00C75F20">
        <w:rPr>
          <w:b/>
          <w:noProof/>
          <w:sz w:val="22"/>
          <w:szCs w:val="22"/>
          <w:lang w:val="en-US"/>
        </w:rPr>
        <w:t xml:space="preserve"> </w:t>
      </w:r>
      <w:r w:rsidRPr="00C75F20">
        <w:rPr>
          <w:noProof/>
          <w:sz w:val="22"/>
          <w:szCs w:val="22"/>
          <w:lang w:val="en-US"/>
        </w:rPr>
        <w:t xml:space="preserve">Beyer, P. (1994): Religion and Globalization, London: Sage. </w:t>
      </w:r>
      <w:r w:rsidRPr="00C75F20">
        <w:rPr>
          <w:noProof/>
          <w:sz w:val="22"/>
          <w:szCs w:val="22"/>
        </w:rPr>
        <w:t xml:space="preserve">Beile, H. (1998): Religiöse Emotionen und religiöses Urteil. Eine empirische Studie über Religiosität bei Jugendlichen, Ostfildern: Schwabenverlag. </w:t>
      </w:r>
      <w:r w:rsidRPr="00C75F20">
        <w:rPr>
          <w:noProof/>
          <w:sz w:val="22"/>
          <w:szCs w:val="22"/>
          <w:lang w:val="en-US"/>
        </w:rPr>
        <w:t xml:space="preserve">Durkheim, E. (1994): The Elementary Forms of the Religious Life. The Totemic System in Australia, in: Pickering, W.S.F. (Ed.), </w:t>
      </w:r>
      <w:r w:rsidRPr="00C75F20">
        <w:rPr>
          <w:iCs/>
          <w:noProof/>
          <w:sz w:val="22"/>
          <w:szCs w:val="22"/>
          <w:lang w:val="en-US"/>
        </w:rPr>
        <w:t>Durkheim</w:t>
      </w:r>
      <w:r w:rsidRPr="00C75F20">
        <w:rPr>
          <w:noProof/>
          <w:sz w:val="22"/>
          <w:szCs w:val="22"/>
          <w:lang w:val="en-US"/>
        </w:rPr>
        <w:t xml:space="preserve"> on Religion, 102</w:t>
      </w:r>
      <w:r w:rsidRPr="00C75F20">
        <w:rPr>
          <w:noProof/>
          <w:sz w:val="22"/>
          <w:szCs w:val="22"/>
          <w:lang w:val="en-US"/>
        </w:rPr>
        <w:noBreakHyphen/>
        <w:t xml:space="preserve">166, Atlanta/GA: Scholars Press. Goodman, M. (1994): Mission and Conversion. Proselytizing in the Religious History of the Roman Empire, Clarendon Press. Gurvitch, G. (1971): The Social Frameworks of Knowledge, Oxford: Basil Blackwell. Hamer, D.H. (2004): The God Gene. How Faith is Hardwired into Our Genes, New York: Doubleday. </w:t>
      </w:r>
      <w:r w:rsidRPr="00C75F20">
        <w:rPr>
          <w:noProof/>
          <w:sz w:val="22"/>
          <w:szCs w:val="22"/>
        </w:rPr>
        <w:t>Hansen, U.; Bode, M. (1999): Religion und Konsum, Jahrbuch der Absatz- und Verbrauchsforschung, 45(1): 86</w:t>
      </w:r>
      <w:r w:rsidRPr="00C75F20">
        <w:rPr>
          <w:noProof/>
          <w:sz w:val="22"/>
          <w:szCs w:val="22"/>
        </w:rPr>
        <w:noBreakHyphen/>
        <w:t xml:space="preserve">111. Hofstede, G.; Hofstede, G.J.; Minkov, M. (2017): Lokales Denken, globales Handeln. Interkulturelle Zusammenarbeit und globales Management, München: Beck/dtv. Jörns, K.-P. (1997): Die neuen Gesichter Gottes. Was die Menschen heute wirklich glauben, München: Beck. Kaufer, E. (1998): Spiegelungen wirtschaftlichen Denkens im Mittelalter, Innsbruck: Studien-Verlag. Kermani, N. (2003): Das heilige Phantasma. Auch die islamischen Gesellschaften brauchen Demokratie, Die Zeit, 58(2): 5. </w:t>
      </w:r>
      <w:r w:rsidRPr="00C75F20">
        <w:rPr>
          <w:noProof/>
          <w:sz w:val="22"/>
          <w:szCs w:val="22"/>
          <w:lang w:val="en-US"/>
        </w:rPr>
        <w:t xml:space="preserve">La Barre, W. (1970): The Ghost Dance. </w:t>
      </w:r>
      <w:r w:rsidRPr="00E17A2B">
        <w:rPr>
          <w:noProof/>
          <w:sz w:val="22"/>
          <w:szCs w:val="22"/>
          <w:lang w:val="en-US"/>
        </w:rPr>
        <w:t xml:space="preserve">Origins of Religion, New York: Delta. </w:t>
      </w:r>
      <w:r w:rsidRPr="00C75F20">
        <w:rPr>
          <w:noProof/>
          <w:sz w:val="22"/>
          <w:szCs w:val="22"/>
        </w:rPr>
        <w:t xml:space="preserve">Müller, S.; Gelbrich, K. (2021): Interkulturelles Konsumentenverhalten, München: Vahlen. Müller, S.; Gelbrich, K. (2015): Interkulturelles Marketing, 2. Aufl., München: Vahlen. Spiro, M.E. (1966). Buddhism and Economic Action in Burma, American Anthropologist, 68(5): 1163-1173. von Glasenapp, H. (2005): Die fünf Weltreligionen. Brahmanismus, Buddhismus, chinesischer Universismus, Christentum, Islam, München: Diederichs. Vivelo, F.R. (1995): Handbuch der Kulturanthropologie. Eine grundlegende Einführung, 2.Aufl., Stuttgart: Klett-Cotta. </w:t>
      </w:r>
      <w:r w:rsidRPr="00E17A2B">
        <w:rPr>
          <w:noProof/>
          <w:sz w:val="22"/>
          <w:szCs w:val="22"/>
        </w:rPr>
        <w:t xml:space="preserve">Wilson, D.S. (2003): Darwins’s Chathedral. </w:t>
      </w:r>
      <w:r w:rsidRPr="00C75F20">
        <w:rPr>
          <w:noProof/>
          <w:sz w:val="22"/>
          <w:szCs w:val="22"/>
          <w:lang w:val="en-US"/>
        </w:rPr>
        <w:t xml:space="preserve">Evolution, Religion, and the Nature of Society, Chicago/MA: University of Chicago Press. </w:t>
      </w:r>
    </w:p>
    <w:p w14:paraId="201DDF79" w14:textId="77777777" w:rsidR="00FF7799" w:rsidRPr="00E35FFF" w:rsidRDefault="00FF7799" w:rsidP="009472F0">
      <w:pPr>
        <w:pStyle w:val="StandardText"/>
        <w:rPr>
          <w:noProof/>
          <w:lang w:val="en-US"/>
        </w:rPr>
      </w:pPr>
    </w:p>
    <w:p w14:paraId="3512F85A" w14:textId="77777777" w:rsidR="00FF7799" w:rsidRPr="003F5EB6" w:rsidRDefault="00FF7799" w:rsidP="009355CA">
      <w:pPr>
        <w:pStyle w:val="berschrift1"/>
        <w:rPr>
          <w:color w:val="2E74B5"/>
        </w:rPr>
      </w:pPr>
      <w:r w:rsidRPr="003F5EB6">
        <w:rPr>
          <w:color w:val="2E74B5"/>
        </w:rPr>
        <w:t>Religion (evolutionstheoretische Sicht)</w:t>
      </w:r>
    </w:p>
    <w:p w14:paraId="33CE74E8" w14:textId="77777777" w:rsidR="00FF7799" w:rsidRPr="00E73F6F" w:rsidRDefault="00FF7799" w:rsidP="0078656A">
      <w:pPr>
        <w:pStyle w:val="StandardText"/>
      </w:pPr>
      <w:r w:rsidRPr="00E73F6F">
        <w:t>eine „soziale Erfindung“, welche der Evolution unterliegt, da sie das Überleben und die Reproduktion menschlicher Gemeinschaften beeinflusst (vgl. Wilson 2003).</w:t>
      </w:r>
      <w:r w:rsidRPr="00E73F6F">
        <w:rPr>
          <w:spacing w:val="-8"/>
        </w:rPr>
        <w:t xml:space="preserve"> </w:t>
      </w:r>
      <w:r w:rsidRPr="00E73F6F">
        <w:t>Zwar</w:t>
      </w:r>
      <w:r w:rsidRPr="00E73F6F">
        <w:rPr>
          <w:spacing w:val="-7"/>
        </w:rPr>
        <w:t xml:space="preserve"> </w:t>
      </w:r>
      <w:r w:rsidRPr="00E73F6F">
        <w:t>gebe</w:t>
      </w:r>
      <w:r w:rsidRPr="00E73F6F">
        <w:rPr>
          <w:spacing w:val="-10"/>
        </w:rPr>
        <w:t xml:space="preserve"> </w:t>
      </w:r>
      <w:r w:rsidRPr="00E73F6F">
        <w:t>es</w:t>
      </w:r>
      <w:r w:rsidRPr="00E73F6F">
        <w:rPr>
          <w:spacing w:val="-7"/>
        </w:rPr>
        <w:t xml:space="preserve"> </w:t>
      </w:r>
      <w:r w:rsidRPr="00E73F6F">
        <w:t>das</w:t>
      </w:r>
      <w:r w:rsidRPr="00E73F6F">
        <w:rPr>
          <w:spacing w:val="-7"/>
        </w:rPr>
        <w:t xml:space="preserve"> </w:t>
      </w:r>
      <w:r w:rsidRPr="00E73F6F">
        <w:t>von</w:t>
      </w:r>
      <w:r w:rsidRPr="00E73F6F">
        <w:rPr>
          <w:spacing w:val="-8"/>
        </w:rPr>
        <w:t xml:space="preserve"> </w:t>
      </w:r>
      <w:r w:rsidRPr="00E73F6F">
        <w:t>Hamer</w:t>
      </w:r>
      <w:r w:rsidRPr="00E73F6F">
        <w:rPr>
          <w:spacing w:val="-7"/>
        </w:rPr>
        <w:t xml:space="preserve"> </w:t>
      </w:r>
      <w:r w:rsidRPr="00E73F6F">
        <w:t>(2004)</w:t>
      </w:r>
      <w:r w:rsidRPr="00E73F6F">
        <w:rPr>
          <w:spacing w:val="-9"/>
        </w:rPr>
        <w:t xml:space="preserve"> </w:t>
      </w:r>
      <w:r w:rsidRPr="00E73F6F">
        <w:t>postulierte</w:t>
      </w:r>
      <w:r w:rsidRPr="00E73F6F">
        <w:rPr>
          <w:spacing w:val="-7"/>
        </w:rPr>
        <w:t xml:space="preserve"> </w:t>
      </w:r>
      <w:r w:rsidRPr="00E73F6F">
        <w:t>„Gottesgen“</w:t>
      </w:r>
      <w:r w:rsidRPr="00E73F6F">
        <w:rPr>
          <w:spacing w:val="-10"/>
        </w:rPr>
        <w:t xml:space="preserve"> </w:t>
      </w:r>
      <w:r w:rsidRPr="00E73F6F">
        <w:t>nicht.</w:t>
      </w:r>
      <w:r w:rsidRPr="00E73F6F">
        <w:rPr>
          <w:spacing w:val="-8"/>
        </w:rPr>
        <w:t xml:space="preserve"> </w:t>
      </w:r>
      <w:r w:rsidRPr="00E73F6F">
        <w:t>Aber</w:t>
      </w:r>
      <w:r w:rsidRPr="00E73F6F">
        <w:rPr>
          <w:spacing w:val="-7"/>
        </w:rPr>
        <w:t xml:space="preserve"> </w:t>
      </w:r>
      <w:r w:rsidRPr="00E73F6F">
        <w:t>im Zuge</w:t>
      </w:r>
      <w:r w:rsidRPr="00E73F6F">
        <w:rPr>
          <w:spacing w:val="-8"/>
        </w:rPr>
        <w:t xml:space="preserve"> </w:t>
      </w:r>
      <w:r w:rsidRPr="00E73F6F">
        <w:t>einer</w:t>
      </w:r>
      <w:r w:rsidRPr="00E73F6F">
        <w:rPr>
          <w:spacing w:val="-10"/>
        </w:rPr>
        <w:t xml:space="preserve"> </w:t>
      </w:r>
      <w:r w:rsidRPr="00E73F6F">
        <w:t>kulturellen</w:t>
      </w:r>
      <w:r w:rsidRPr="00E73F6F">
        <w:rPr>
          <w:spacing w:val="-7"/>
        </w:rPr>
        <w:t xml:space="preserve"> </w:t>
      </w:r>
      <w:r w:rsidRPr="00E73F6F">
        <w:t>Evolution</w:t>
      </w:r>
      <w:r w:rsidRPr="00E73F6F">
        <w:rPr>
          <w:spacing w:val="-9"/>
        </w:rPr>
        <w:t xml:space="preserve"> </w:t>
      </w:r>
      <w:r w:rsidRPr="00E73F6F">
        <w:t>trage</w:t>
      </w:r>
      <w:r w:rsidRPr="00E73F6F">
        <w:rPr>
          <w:spacing w:val="-8"/>
        </w:rPr>
        <w:t xml:space="preserve"> </w:t>
      </w:r>
      <w:r w:rsidRPr="00E73F6F">
        <w:t>Religion</w:t>
      </w:r>
      <w:r w:rsidRPr="00E73F6F">
        <w:rPr>
          <w:spacing w:val="-9"/>
        </w:rPr>
        <w:t xml:space="preserve"> </w:t>
      </w:r>
      <w:r w:rsidRPr="00E73F6F">
        <w:t>als</w:t>
      </w:r>
      <w:r w:rsidRPr="00E73F6F">
        <w:rPr>
          <w:spacing w:val="-8"/>
        </w:rPr>
        <w:t xml:space="preserve"> </w:t>
      </w:r>
      <w:r w:rsidRPr="00E73F6F">
        <w:t>symbolisches</w:t>
      </w:r>
      <w:r w:rsidRPr="00E73F6F">
        <w:rPr>
          <w:spacing w:val="-11"/>
        </w:rPr>
        <w:t xml:space="preserve"> </w:t>
      </w:r>
      <w:r w:rsidRPr="00E73F6F">
        <w:t>System</w:t>
      </w:r>
      <w:r w:rsidRPr="00E73F6F">
        <w:rPr>
          <w:spacing w:val="-9"/>
        </w:rPr>
        <w:t xml:space="preserve"> </w:t>
      </w:r>
      <w:r w:rsidRPr="00E73F6F">
        <w:t>dazu</w:t>
      </w:r>
      <w:r w:rsidRPr="00E73F6F">
        <w:rPr>
          <w:spacing w:val="-7"/>
        </w:rPr>
        <w:t xml:space="preserve"> </w:t>
      </w:r>
      <w:r w:rsidRPr="00E73F6F">
        <w:t>bei, die</w:t>
      </w:r>
      <w:r w:rsidRPr="00E73F6F">
        <w:rPr>
          <w:spacing w:val="51"/>
        </w:rPr>
        <w:t xml:space="preserve"> </w:t>
      </w:r>
      <w:r w:rsidRPr="00E73F6F">
        <w:t>jeweilige</w:t>
      </w:r>
      <w:r w:rsidRPr="00E73F6F">
        <w:rPr>
          <w:spacing w:val="51"/>
        </w:rPr>
        <w:t xml:space="preserve"> </w:t>
      </w:r>
      <w:r w:rsidRPr="00E73F6F">
        <w:t>Gesellschaft</w:t>
      </w:r>
      <w:r w:rsidRPr="00E73F6F">
        <w:rPr>
          <w:spacing w:val="52"/>
        </w:rPr>
        <w:t xml:space="preserve"> </w:t>
      </w:r>
      <w:r w:rsidRPr="00E73F6F">
        <w:t>effizient</w:t>
      </w:r>
      <w:r w:rsidRPr="00E73F6F">
        <w:rPr>
          <w:spacing w:val="52"/>
        </w:rPr>
        <w:t xml:space="preserve"> </w:t>
      </w:r>
      <w:r w:rsidRPr="00E73F6F">
        <w:t>zu</w:t>
      </w:r>
      <w:r w:rsidRPr="00E73F6F">
        <w:rPr>
          <w:spacing w:val="53"/>
        </w:rPr>
        <w:t xml:space="preserve"> </w:t>
      </w:r>
      <w:r w:rsidRPr="00E73F6F">
        <w:t>organisieren.</w:t>
      </w:r>
      <w:r w:rsidRPr="00E73F6F">
        <w:rPr>
          <w:spacing w:val="52"/>
        </w:rPr>
        <w:t xml:space="preserve"> </w:t>
      </w:r>
      <w:r w:rsidRPr="00E73F6F">
        <w:t>Gemäß</w:t>
      </w:r>
      <w:r w:rsidRPr="00E73F6F">
        <w:rPr>
          <w:spacing w:val="51"/>
        </w:rPr>
        <w:t xml:space="preserve"> </w:t>
      </w:r>
      <w:r w:rsidRPr="00E73F6F">
        <w:t>der</w:t>
      </w:r>
      <w:r w:rsidRPr="00E73F6F">
        <w:rPr>
          <w:spacing w:val="52"/>
        </w:rPr>
        <w:t xml:space="preserve"> </w:t>
      </w:r>
      <w:r w:rsidRPr="00E73F6F">
        <w:t>Theorie</w:t>
      </w:r>
      <w:r w:rsidRPr="00E73F6F">
        <w:rPr>
          <w:spacing w:val="52"/>
        </w:rPr>
        <w:t xml:space="preserve"> </w:t>
      </w:r>
      <w:r w:rsidRPr="00E73F6F">
        <w:rPr>
          <w:spacing w:val="-5"/>
        </w:rPr>
        <w:t>der</w:t>
      </w:r>
    </w:p>
    <w:p w14:paraId="1267A474" w14:textId="77777777" w:rsidR="00FF7799" w:rsidRPr="00E73F6F" w:rsidRDefault="00FF7799" w:rsidP="0078656A">
      <w:pPr>
        <w:pStyle w:val="StandardText"/>
      </w:pPr>
      <w:r w:rsidRPr="00E73F6F">
        <w:t xml:space="preserve">Evolution von kooperativen Einheiten kommt es nicht darauf an, ob die Glaubensinhalte einer Religion „wahr“ oder „falsch“ sind, sondern wozu sie Gläubige veranlassen bzw. befähigen, um ihrer Gemeinschaft einen Überlebensvorteil zu verschaffen. Dieser bestehe allerdings nicht, </w:t>
      </w:r>
      <w:r w:rsidRPr="00E73F6F">
        <w:lastRenderedPageBreak/>
        <w:t>wie vielfach angenommen</w:t>
      </w:r>
      <w:r w:rsidRPr="00E73F6F">
        <w:rPr>
          <w:spacing w:val="-8"/>
        </w:rPr>
        <w:t xml:space="preserve"> </w:t>
      </w:r>
      <w:r w:rsidRPr="00E73F6F">
        <w:t>wird,</w:t>
      </w:r>
      <w:r w:rsidRPr="00E73F6F">
        <w:rPr>
          <w:spacing w:val="-9"/>
        </w:rPr>
        <w:t xml:space="preserve"> </w:t>
      </w:r>
      <w:r w:rsidRPr="00E73F6F">
        <w:t>darin,</w:t>
      </w:r>
      <w:r w:rsidRPr="00E73F6F">
        <w:rPr>
          <w:spacing w:val="-9"/>
        </w:rPr>
        <w:t xml:space="preserve"> </w:t>
      </w:r>
      <w:r w:rsidRPr="00E73F6F">
        <w:t>den</w:t>
      </w:r>
      <w:r w:rsidRPr="00E73F6F">
        <w:rPr>
          <w:spacing w:val="-8"/>
        </w:rPr>
        <w:t xml:space="preserve"> </w:t>
      </w:r>
      <w:r w:rsidRPr="00E73F6F">
        <w:t>Gläubigen</w:t>
      </w:r>
      <w:r w:rsidRPr="00E73F6F">
        <w:rPr>
          <w:spacing w:val="-8"/>
        </w:rPr>
        <w:t xml:space="preserve"> </w:t>
      </w:r>
      <w:r w:rsidRPr="00E73F6F">
        <w:t>die</w:t>
      </w:r>
      <w:r w:rsidRPr="00E73F6F">
        <w:rPr>
          <w:spacing w:val="-10"/>
        </w:rPr>
        <w:t xml:space="preserve"> </w:t>
      </w:r>
      <w:r w:rsidRPr="00E73F6F">
        <w:t>Angst</w:t>
      </w:r>
      <w:r w:rsidRPr="00E73F6F">
        <w:rPr>
          <w:spacing w:val="-9"/>
        </w:rPr>
        <w:t xml:space="preserve"> </w:t>
      </w:r>
      <w:r w:rsidRPr="00E73F6F">
        <w:t>vor</w:t>
      </w:r>
      <w:r w:rsidRPr="00E73F6F">
        <w:rPr>
          <w:spacing w:val="-9"/>
        </w:rPr>
        <w:t xml:space="preserve"> </w:t>
      </w:r>
      <w:r w:rsidRPr="00E73F6F">
        <w:t>dem</w:t>
      </w:r>
      <w:r w:rsidRPr="00E73F6F">
        <w:rPr>
          <w:spacing w:val="-10"/>
        </w:rPr>
        <w:t xml:space="preserve"> </w:t>
      </w:r>
      <w:r w:rsidRPr="00E73F6F">
        <w:t>Tod</w:t>
      </w:r>
      <w:r w:rsidRPr="00E73F6F">
        <w:rPr>
          <w:spacing w:val="-8"/>
        </w:rPr>
        <w:t xml:space="preserve"> </w:t>
      </w:r>
      <w:r w:rsidRPr="00E73F6F">
        <w:t>zu</w:t>
      </w:r>
      <w:r w:rsidRPr="00E73F6F">
        <w:rPr>
          <w:spacing w:val="-10"/>
        </w:rPr>
        <w:t xml:space="preserve"> </w:t>
      </w:r>
      <w:r w:rsidRPr="00E73F6F">
        <w:t>nehmen.</w:t>
      </w:r>
      <w:r w:rsidRPr="00E73F6F">
        <w:rPr>
          <w:spacing w:val="-9"/>
        </w:rPr>
        <w:t xml:space="preserve"> </w:t>
      </w:r>
      <w:r w:rsidRPr="00E73F6F">
        <w:t>Denn nur</w:t>
      </w:r>
      <w:r w:rsidRPr="00E73F6F">
        <w:rPr>
          <w:spacing w:val="63"/>
        </w:rPr>
        <w:t xml:space="preserve"> </w:t>
      </w:r>
      <w:r w:rsidRPr="00E73F6F">
        <w:t>wenige</w:t>
      </w:r>
      <w:r w:rsidRPr="00E73F6F">
        <w:rPr>
          <w:spacing w:val="64"/>
        </w:rPr>
        <w:t xml:space="preserve"> </w:t>
      </w:r>
      <w:r w:rsidRPr="00E73F6F">
        <w:t>Religionen</w:t>
      </w:r>
      <w:r w:rsidRPr="00E73F6F">
        <w:rPr>
          <w:spacing w:val="65"/>
        </w:rPr>
        <w:t xml:space="preserve"> </w:t>
      </w:r>
      <w:r w:rsidRPr="00E73F6F">
        <w:t>(z.B.</w:t>
      </w:r>
      <w:r w:rsidRPr="00E73F6F">
        <w:rPr>
          <w:spacing w:val="64"/>
        </w:rPr>
        <w:t xml:space="preserve"> </w:t>
      </w:r>
      <w:r w:rsidRPr="00E73F6F">
        <w:t>Islam,</w:t>
      </w:r>
      <w:r w:rsidRPr="00E73F6F">
        <w:rPr>
          <w:spacing w:val="64"/>
        </w:rPr>
        <w:t xml:space="preserve"> </w:t>
      </w:r>
      <w:r w:rsidRPr="00E73F6F">
        <w:t>Christentum)</w:t>
      </w:r>
      <w:r w:rsidRPr="00E73F6F">
        <w:rPr>
          <w:spacing w:val="64"/>
        </w:rPr>
        <w:t xml:space="preserve"> </w:t>
      </w:r>
      <w:r w:rsidRPr="00E73F6F">
        <w:t>versprechen</w:t>
      </w:r>
      <w:r w:rsidRPr="00E73F6F">
        <w:rPr>
          <w:spacing w:val="62"/>
        </w:rPr>
        <w:t xml:space="preserve"> </w:t>
      </w:r>
      <w:r w:rsidRPr="00E73F6F">
        <w:t>dem</w:t>
      </w:r>
      <w:r w:rsidRPr="00E73F6F">
        <w:rPr>
          <w:spacing w:val="63"/>
        </w:rPr>
        <w:t xml:space="preserve"> </w:t>
      </w:r>
      <w:r w:rsidRPr="00E73F6F">
        <w:rPr>
          <w:spacing w:val="-2"/>
        </w:rPr>
        <w:t>(Recht-</w:t>
      </w:r>
      <w:r w:rsidRPr="00E73F6F">
        <w:t>)Gläubigen</w:t>
      </w:r>
      <w:r w:rsidRPr="00E73F6F">
        <w:rPr>
          <w:spacing w:val="-1"/>
        </w:rPr>
        <w:t xml:space="preserve"> </w:t>
      </w:r>
      <w:r w:rsidRPr="00E73F6F">
        <w:t>ein</w:t>
      </w:r>
      <w:r w:rsidRPr="00E73F6F">
        <w:rPr>
          <w:spacing w:val="-2"/>
        </w:rPr>
        <w:t xml:space="preserve"> </w:t>
      </w:r>
      <w:r w:rsidRPr="00E73F6F">
        <w:t>Leben</w:t>
      </w:r>
      <w:r w:rsidRPr="00E73F6F">
        <w:rPr>
          <w:spacing w:val="-2"/>
        </w:rPr>
        <w:t xml:space="preserve"> </w:t>
      </w:r>
      <w:r w:rsidRPr="00E73F6F">
        <w:t>nach dem</w:t>
      </w:r>
      <w:r w:rsidRPr="00E73F6F">
        <w:rPr>
          <w:spacing w:val="-3"/>
        </w:rPr>
        <w:t xml:space="preserve"> </w:t>
      </w:r>
      <w:r w:rsidRPr="00E73F6F">
        <w:rPr>
          <w:spacing w:val="-4"/>
        </w:rPr>
        <w:t>Tod.</w:t>
      </w:r>
    </w:p>
    <w:p w14:paraId="2D1CA426" w14:textId="77777777" w:rsidR="00FF7799" w:rsidRPr="00E73F6F" w:rsidRDefault="00FF7799" w:rsidP="0078656A">
      <w:pPr>
        <w:pStyle w:val="StandardText"/>
      </w:pPr>
      <w:r w:rsidRPr="00E73F6F">
        <w:t>Die tatsächliche Funktion von Religion lasse sich am Beispiel des afrikanischen Mbona-Kults verdeutlichen. Dessen Mitglieder errichten immer wieder einen Schrein. Zerfällt dieser, was regelmäßig geschieht, muss ein neuer Schrein errichtet werden – aber erst, nachdem die Gläubigen ihre Streitigkeiten beigelegt haben. Als „fortschrittliche“ Europäer Anhängern dieses Kultes deshalb anboten, den Schrein aus dauerhaftem Material zu errichten, lehnten diese ab. Denn das Heiligtum</w:t>
      </w:r>
      <w:r w:rsidRPr="00E73F6F">
        <w:rPr>
          <w:spacing w:val="9"/>
        </w:rPr>
        <w:t xml:space="preserve"> </w:t>
      </w:r>
      <w:r w:rsidRPr="00E73F6F">
        <w:t>war</w:t>
      </w:r>
      <w:r w:rsidRPr="00E73F6F">
        <w:rPr>
          <w:spacing w:val="10"/>
        </w:rPr>
        <w:t xml:space="preserve"> </w:t>
      </w:r>
      <w:r w:rsidRPr="00E73F6F">
        <w:t>letztlich</w:t>
      </w:r>
      <w:r w:rsidRPr="00E73F6F">
        <w:rPr>
          <w:spacing w:val="9"/>
        </w:rPr>
        <w:t xml:space="preserve"> </w:t>
      </w:r>
      <w:r w:rsidRPr="00E73F6F">
        <w:t>nebensächlich.</w:t>
      </w:r>
      <w:r w:rsidRPr="00E73F6F">
        <w:rPr>
          <w:spacing w:val="8"/>
        </w:rPr>
        <w:t xml:space="preserve"> </w:t>
      </w:r>
      <w:r w:rsidRPr="00E73F6F">
        <w:t>Entscheidend</w:t>
      </w:r>
      <w:r w:rsidRPr="00E73F6F">
        <w:rPr>
          <w:spacing w:val="10"/>
        </w:rPr>
        <w:t xml:space="preserve"> </w:t>
      </w:r>
      <w:r w:rsidRPr="00E73F6F">
        <w:t>war</w:t>
      </w:r>
      <w:r w:rsidRPr="00E73F6F">
        <w:rPr>
          <w:spacing w:val="10"/>
        </w:rPr>
        <w:t xml:space="preserve"> </w:t>
      </w:r>
      <w:r w:rsidRPr="00E73F6F">
        <w:t>seine</w:t>
      </w:r>
      <w:r w:rsidRPr="00E73F6F">
        <w:rPr>
          <w:spacing w:val="10"/>
        </w:rPr>
        <w:t xml:space="preserve"> </w:t>
      </w:r>
      <w:r w:rsidRPr="00E73F6F">
        <w:rPr>
          <w:spacing w:val="-2"/>
        </w:rPr>
        <w:t xml:space="preserve">gesellschaftliche, </w:t>
      </w:r>
      <w:r w:rsidRPr="00E73F6F">
        <w:t>d.h.</w:t>
      </w:r>
      <w:r w:rsidRPr="00E73F6F">
        <w:rPr>
          <w:spacing w:val="-2"/>
        </w:rPr>
        <w:t xml:space="preserve"> </w:t>
      </w:r>
      <w:r w:rsidRPr="00E73F6F">
        <w:t>konfliktlösende</w:t>
      </w:r>
      <w:r w:rsidRPr="00E73F6F">
        <w:rPr>
          <w:spacing w:val="-3"/>
        </w:rPr>
        <w:t xml:space="preserve"> </w:t>
      </w:r>
      <w:r w:rsidRPr="00E73F6F">
        <w:rPr>
          <w:spacing w:val="-2"/>
        </w:rPr>
        <w:t>Funktion.</w:t>
      </w:r>
    </w:p>
    <w:p w14:paraId="3ED20D83" w14:textId="77777777" w:rsidR="00FF7799" w:rsidRPr="0029467E" w:rsidRDefault="00FF7799" w:rsidP="0078656A">
      <w:pPr>
        <w:pStyle w:val="StandardText"/>
        <w:rPr>
          <w:sz w:val="22"/>
          <w:szCs w:val="22"/>
          <w:lang w:val="en-US"/>
        </w:rPr>
      </w:pPr>
      <w:r w:rsidRPr="0029467E">
        <w:rPr>
          <w:b/>
          <w:i/>
          <w:sz w:val="22"/>
          <w:szCs w:val="22"/>
          <w:lang w:val="en-US"/>
        </w:rPr>
        <w:t>Literatur:</w:t>
      </w:r>
      <w:r w:rsidRPr="0029467E">
        <w:rPr>
          <w:b/>
          <w:sz w:val="22"/>
          <w:szCs w:val="22"/>
          <w:lang w:val="en-US"/>
        </w:rPr>
        <w:t xml:space="preserve"> </w:t>
      </w:r>
      <w:r w:rsidRPr="0029467E">
        <w:rPr>
          <w:sz w:val="22"/>
          <w:szCs w:val="22"/>
          <w:lang w:val="en-US"/>
        </w:rPr>
        <w:t>Wilson, D.S. (2003): Darwins’s</w:t>
      </w:r>
      <w:r w:rsidRPr="0029467E">
        <w:rPr>
          <w:spacing w:val="-1"/>
          <w:sz w:val="22"/>
          <w:szCs w:val="22"/>
          <w:lang w:val="en-US"/>
        </w:rPr>
        <w:t xml:space="preserve"> </w:t>
      </w:r>
      <w:r w:rsidRPr="0029467E">
        <w:rPr>
          <w:sz w:val="22"/>
          <w:szCs w:val="22"/>
          <w:lang w:val="en-US"/>
        </w:rPr>
        <w:t>Chathedral. Evolution, Religion, and the Nature</w:t>
      </w:r>
      <w:r w:rsidRPr="0029467E">
        <w:rPr>
          <w:spacing w:val="40"/>
          <w:sz w:val="22"/>
          <w:szCs w:val="22"/>
          <w:lang w:val="en-US"/>
        </w:rPr>
        <w:t xml:space="preserve"> </w:t>
      </w:r>
      <w:r w:rsidRPr="0029467E">
        <w:rPr>
          <w:sz w:val="22"/>
          <w:szCs w:val="22"/>
          <w:lang w:val="en-US"/>
        </w:rPr>
        <w:t>of</w:t>
      </w:r>
      <w:r w:rsidRPr="0029467E">
        <w:rPr>
          <w:spacing w:val="-10"/>
          <w:sz w:val="22"/>
          <w:szCs w:val="22"/>
          <w:lang w:val="en-US"/>
        </w:rPr>
        <w:t xml:space="preserve"> </w:t>
      </w:r>
      <w:r w:rsidRPr="0029467E">
        <w:rPr>
          <w:sz w:val="22"/>
          <w:szCs w:val="22"/>
          <w:lang w:val="en-US"/>
        </w:rPr>
        <w:t>Society,</w:t>
      </w:r>
      <w:r w:rsidRPr="0029467E">
        <w:rPr>
          <w:spacing w:val="-8"/>
          <w:sz w:val="22"/>
          <w:szCs w:val="22"/>
          <w:lang w:val="en-US"/>
        </w:rPr>
        <w:t xml:space="preserve"> </w:t>
      </w:r>
      <w:r w:rsidRPr="0029467E">
        <w:rPr>
          <w:sz w:val="22"/>
          <w:szCs w:val="22"/>
          <w:lang w:val="en-US"/>
        </w:rPr>
        <w:t>Chicago/MA:</w:t>
      </w:r>
      <w:r w:rsidRPr="0029467E">
        <w:rPr>
          <w:spacing w:val="-8"/>
          <w:sz w:val="22"/>
          <w:szCs w:val="22"/>
          <w:lang w:val="en-US"/>
        </w:rPr>
        <w:t xml:space="preserve"> </w:t>
      </w:r>
      <w:r w:rsidRPr="0029467E">
        <w:rPr>
          <w:sz w:val="22"/>
          <w:szCs w:val="22"/>
          <w:lang w:val="en-US"/>
        </w:rPr>
        <w:t>University</w:t>
      </w:r>
      <w:r w:rsidRPr="0029467E">
        <w:rPr>
          <w:spacing w:val="-10"/>
          <w:sz w:val="22"/>
          <w:szCs w:val="22"/>
          <w:lang w:val="en-US"/>
        </w:rPr>
        <w:t xml:space="preserve"> </w:t>
      </w:r>
      <w:r w:rsidRPr="0029467E">
        <w:rPr>
          <w:sz w:val="22"/>
          <w:szCs w:val="22"/>
          <w:lang w:val="en-US"/>
        </w:rPr>
        <w:t>of</w:t>
      </w:r>
      <w:r w:rsidRPr="0029467E">
        <w:rPr>
          <w:spacing w:val="-7"/>
          <w:sz w:val="22"/>
          <w:szCs w:val="22"/>
          <w:lang w:val="en-US"/>
        </w:rPr>
        <w:t xml:space="preserve"> </w:t>
      </w:r>
      <w:r w:rsidRPr="0029467E">
        <w:rPr>
          <w:sz w:val="22"/>
          <w:szCs w:val="22"/>
          <w:lang w:val="en-US"/>
        </w:rPr>
        <w:t>Chicago</w:t>
      </w:r>
      <w:r w:rsidRPr="0029467E">
        <w:rPr>
          <w:spacing w:val="-8"/>
          <w:sz w:val="22"/>
          <w:szCs w:val="22"/>
          <w:lang w:val="en-US"/>
        </w:rPr>
        <w:t xml:space="preserve"> </w:t>
      </w:r>
      <w:r w:rsidRPr="0029467E">
        <w:rPr>
          <w:sz w:val="22"/>
          <w:szCs w:val="22"/>
          <w:lang w:val="en-US"/>
        </w:rPr>
        <w:t>Press.</w:t>
      </w:r>
      <w:r w:rsidRPr="0029467E">
        <w:rPr>
          <w:spacing w:val="40"/>
          <w:sz w:val="22"/>
          <w:szCs w:val="22"/>
          <w:lang w:val="en-US"/>
        </w:rPr>
        <w:t xml:space="preserve"> </w:t>
      </w:r>
      <w:r w:rsidRPr="0029467E">
        <w:rPr>
          <w:sz w:val="22"/>
          <w:szCs w:val="22"/>
          <w:lang w:val="en-US"/>
        </w:rPr>
        <w:t>Hamer,</w:t>
      </w:r>
      <w:r w:rsidRPr="0029467E">
        <w:rPr>
          <w:spacing w:val="-8"/>
          <w:sz w:val="22"/>
          <w:szCs w:val="22"/>
          <w:lang w:val="en-US"/>
        </w:rPr>
        <w:t xml:space="preserve"> </w:t>
      </w:r>
      <w:r w:rsidRPr="0029467E">
        <w:rPr>
          <w:sz w:val="22"/>
          <w:szCs w:val="22"/>
          <w:lang w:val="en-US"/>
        </w:rPr>
        <w:t>D.H.</w:t>
      </w:r>
      <w:r w:rsidRPr="0029467E">
        <w:rPr>
          <w:spacing w:val="-7"/>
          <w:sz w:val="22"/>
          <w:szCs w:val="22"/>
          <w:lang w:val="en-US"/>
        </w:rPr>
        <w:t xml:space="preserve"> </w:t>
      </w:r>
      <w:r w:rsidRPr="0029467E">
        <w:rPr>
          <w:sz w:val="22"/>
          <w:szCs w:val="22"/>
          <w:lang w:val="en-US"/>
        </w:rPr>
        <w:t>(2004):</w:t>
      </w:r>
      <w:r w:rsidRPr="0029467E">
        <w:rPr>
          <w:spacing w:val="-8"/>
          <w:sz w:val="22"/>
          <w:szCs w:val="22"/>
          <w:lang w:val="en-US"/>
        </w:rPr>
        <w:t xml:space="preserve"> </w:t>
      </w:r>
      <w:r w:rsidRPr="0029467E">
        <w:rPr>
          <w:sz w:val="22"/>
          <w:szCs w:val="22"/>
          <w:lang w:val="en-US"/>
        </w:rPr>
        <w:t>The</w:t>
      </w:r>
      <w:r w:rsidRPr="0029467E">
        <w:rPr>
          <w:spacing w:val="-8"/>
          <w:sz w:val="22"/>
          <w:szCs w:val="22"/>
          <w:lang w:val="en-US"/>
        </w:rPr>
        <w:t xml:space="preserve"> </w:t>
      </w:r>
      <w:r w:rsidRPr="0029467E">
        <w:rPr>
          <w:sz w:val="22"/>
          <w:szCs w:val="22"/>
          <w:lang w:val="en-US"/>
        </w:rPr>
        <w:t>God</w:t>
      </w:r>
      <w:r w:rsidRPr="0029467E">
        <w:rPr>
          <w:spacing w:val="-8"/>
          <w:sz w:val="22"/>
          <w:szCs w:val="22"/>
          <w:lang w:val="en-US"/>
        </w:rPr>
        <w:t xml:space="preserve"> </w:t>
      </w:r>
      <w:r w:rsidRPr="0029467E">
        <w:rPr>
          <w:sz w:val="22"/>
          <w:szCs w:val="22"/>
          <w:lang w:val="en-US"/>
        </w:rPr>
        <w:t>Gene.</w:t>
      </w:r>
      <w:r w:rsidRPr="0029467E">
        <w:rPr>
          <w:spacing w:val="40"/>
          <w:sz w:val="22"/>
          <w:szCs w:val="22"/>
          <w:lang w:val="en-US"/>
        </w:rPr>
        <w:t xml:space="preserve"> </w:t>
      </w:r>
      <w:r w:rsidRPr="0029467E">
        <w:rPr>
          <w:sz w:val="22"/>
          <w:szCs w:val="22"/>
          <w:lang w:val="en-US"/>
        </w:rPr>
        <w:t>How Faith is Hardwired into Our Genes, New York: Doubleday.</w:t>
      </w:r>
    </w:p>
    <w:p w14:paraId="60B71CE2" w14:textId="77777777" w:rsidR="00FF7799" w:rsidRPr="00E35FFF" w:rsidRDefault="00FF7799" w:rsidP="00862DBA">
      <w:pPr>
        <w:jc w:val="both"/>
        <w:rPr>
          <w:sz w:val="24"/>
          <w:szCs w:val="24"/>
          <w:lang w:val="en-US"/>
        </w:rPr>
      </w:pPr>
    </w:p>
    <w:p w14:paraId="6BDBF0C0" w14:textId="77777777" w:rsidR="00FF7799" w:rsidRPr="00BA3271" w:rsidRDefault="00FF7799" w:rsidP="00BA3271">
      <w:pPr>
        <w:pStyle w:val="berschrift1"/>
        <w:rPr>
          <w:color w:val="2E74B5"/>
        </w:rPr>
      </w:pPr>
      <w:bookmarkStart w:id="139" w:name="_Toc226259984"/>
      <w:r w:rsidRPr="00BA3271">
        <w:rPr>
          <w:color w:val="2E74B5"/>
        </w:rPr>
        <w:t>Religiosität</w:t>
      </w:r>
    </w:p>
    <w:p w14:paraId="6FAFF01B" w14:textId="77777777" w:rsidR="00FF7799" w:rsidRPr="0029467E" w:rsidRDefault="00FF7799" w:rsidP="00B416AD">
      <w:pPr>
        <w:pStyle w:val="StandardTextkursiv"/>
        <w:rPr>
          <w:rFonts w:eastAsia="Calibri"/>
          <w:i w:val="0"/>
        </w:rPr>
      </w:pPr>
      <w:r w:rsidRPr="0029467E">
        <w:rPr>
          <w:rFonts w:eastAsia="Calibri"/>
          <w:i w:val="0"/>
        </w:rPr>
        <w:t>1 Definition und Abgrenzung</w:t>
      </w:r>
    </w:p>
    <w:p w14:paraId="4B9B2D79" w14:textId="77777777" w:rsidR="00FF7799" w:rsidRPr="0029467E" w:rsidRDefault="00FF7799" w:rsidP="00784BA5">
      <w:pPr>
        <w:pStyle w:val="StandardText"/>
      </w:pPr>
      <w:r w:rsidRPr="0029467E">
        <w:t xml:space="preserve">individuelle Einstellung gegenüber der eigenen Religion, eine innere Haltung, die sich als Glaube bzw. Frömmigkeit manifestiert: das Maß, mit der Einzelne seine Werte, Normen oder Handlungen an den Vorgaben seiner Konfession ausrichtet? Abstrakt formuliert kann man Religiosität als „Transformation von Religion in ein individuelles Bedeutungs- und Handlungssystem“ begreifen (vgl. Kecskes/Wolf 1993, S.272). Angehörige aller Religionen können mehr oder weniger religiös sein. Dies bestätigt bspw. eine Studie von Delener (1990, S.35), der amerikanische Katholiken und Juden nach der Stärke ihre Glaubens befragt hat. </w:t>
      </w:r>
    </w:p>
    <w:p w14:paraId="1B2C69EE" w14:textId="77777777" w:rsidR="00FF7799" w:rsidRPr="0029467E" w:rsidRDefault="00FF7799" w:rsidP="00784BA5">
      <w:pPr>
        <w:pStyle w:val="StandardText"/>
      </w:pPr>
      <w:r w:rsidRPr="0029467E">
        <w:t>Religiosität ist besser a</w:t>
      </w:r>
      <w:r w:rsidR="0029467E">
        <w:t xml:space="preserve">ls Religionszugehörigkeit bzw. </w:t>
      </w:r>
      <w:r w:rsidR="0029467E">
        <w:sym w:font="Symbol" w:char="F0DE"/>
      </w:r>
      <w:r w:rsidRPr="0029467E">
        <w:t xml:space="preserve"> Konfession geeignet, wichtige sozioökonomische Verhaltensweisen zu prognostizieren. </w:t>
      </w:r>
    </w:p>
    <w:p w14:paraId="11E88351" w14:textId="77777777" w:rsidR="00FF7799" w:rsidRPr="0029467E" w:rsidRDefault="00FF7799" w:rsidP="00784BA5">
      <w:pPr>
        <w:pStyle w:val="StandardText"/>
      </w:pPr>
      <w:r w:rsidRPr="0029467E">
        <w:t xml:space="preserve">Der dem </w:t>
      </w:r>
      <w:r w:rsidR="0029467E">
        <w:sym w:font="Symbol" w:char="F0DE"/>
      </w:r>
      <w:r w:rsidR="0029467E">
        <w:t xml:space="preserve"> Patriotismus verwandte </w:t>
      </w:r>
      <w:r w:rsidR="0029467E">
        <w:sym w:font="Symbol" w:char="F0DE"/>
      </w:r>
      <w:r w:rsidRPr="0029467E">
        <w:t xml:space="preserve"> Nationalstolz korreliert eng mit </w:t>
      </w:r>
      <w:r w:rsidRPr="0029467E">
        <w:rPr>
          <w:iCs/>
        </w:rPr>
        <w:t>Religiosität</w:t>
      </w:r>
      <w:r w:rsidRPr="0029467E">
        <w:t xml:space="preserve">. Menschen, die stolz darauf sind, in einem bestimmten Land geboren zu sein (d.h. vor allem Iren, Inder, US-Amerikaner, Polen, Nigerianer und Türken), sagen auch, dass Gott für ihr Leben von großer Bedeutung ist. Ganz anders verhält es sich mit Chinesen, Russen und Japanern einerseits sowie Dänen, Schweden, Belgiern und Franzosen andererseits: Nur wenige von ihnen bekennen sich zu Gott. </w:t>
      </w:r>
    </w:p>
    <w:p w14:paraId="20026237" w14:textId="77777777" w:rsidR="00FF7799" w:rsidRPr="0029467E" w:rsidRDefault="00FF7799" w:rsidP="00784BA5">
      <w:pPr>
        <w:pStyle w:val="StandardText"/>
      </w:pPr>
    </w:p>
    <w:p w14:paraId="167E9CC4" w14:textId="77777777" w:rsidR="00FF7799" w:rsidRPr="0029467E" w:rsidRDefault="00FF7799" w:rsidP="007E1D1A">
      <w:pPr>
        <w:pStyle w:val="StandardTextkursiv"/>
        <w:rPr>
          <w:rFonts w:eastAsia="Calibri"/>
          <w:i w:val="0"/>
        </w:rPr>
      </w:pPr>
      <w:bookmarkStart w:id="140" w:name="_Toc67922002"/>
      <w:bookmarkStart w:id="141" w:name="_Toc67929738"/>
      <w:bookmarkStart w:id="142" w:name="_Toc226259985"/>
      <w:r w:rsidRPr="0029467E">
        <w:rPr>
          <w:rFonts w:eastAsia="Calibri"/>
          <w:i w:val="0"/>
        </w:rPr>
        <w:t>2 Messkonzepte</w:t>
      </w:r>
      <w:bookmarkEnd w:id="140"/>
      <w:bookmarkEnd w:id="141"/>
      <w:bookmarkEnd w:id="142"/>
    </w:p>
    <w:p w14:paraId="1250DB4E" w14:textId="77777777" w:rsidR="00FF7799" w:rsidRPr="00E73F6F" w:rsidRDefault="00FF7799" w:rsidP="00784BA5">
      <w:pPr>
        <w:pStyle w:val="StandardText"/>
      </w:pPr>
      <w:r w:rsidRPr="0029467E">
        <w:t xml:space="preserve">Wie andere </w:t>
      </w:r>
      <w:r w:rsidR="0029467E">
        <w:sym w:font="Symbol" w:char="F0DE"/>
      </w:r>
      <w:r w:rsidRPr="0029467E">
        <w:t xml:space="preserve"> Konstrukte, so wird auch Religiosität nicht einheitlich definiert. Dies wiederum bedeutet, dass die Messung erhebliche Schwierigkeiten bereitet. Hinzu kommt, dass dabei häufig das Oberflächenphänomen (d.h. die Institution Kirche) mit dem Grundphänomen (d.h. Religiosität) verwechselt wird. Als Beispiel sei Gabriel (1994, S.28f.) genannt, der die seit Beginn der 1970er-Jahre ständig wachsende Zahl der Kirchenaustritte und die Abschaffung des obligatorischen Religionsunterrichts als Beleg für den Bedeutungsverlust von Religion und Religiosität</w:t>
      </w:r>
      <w:r w:rsidRPr="00E73F6F">
        <w:t xml:space="preserve"> in der Gegenwartskultur wertete. Tatsächlich blieb gemäß einschlägiger religionssoziologischer Erhebungen der Anteil derer, die sich selbst als religiös einstufen, in den USA (= 81%) und der Bundesrepublik Deutschland (= 54%) zwischen 1981 und 1990 weitgehend konstant (vgl. Hahn et al. 1993, S.7).</w:t>
      </w:r>
    </w:p>
    <w:p w14:paraId="42F9F97B" w14:textId="77777777" w:rsidR="00FF7799" w:rsidRPr="00E73F6F" w:rsidRDefault="00FF7799" w:rsidP="00784BA5">
      <w:pPr>
        <w:pStyle w:val="StandardText"/>
      </w:pPr>
    </w:p>
    <w:p w14:paraId="0AE4BBBA" w14:textId="77777777" w:rsidR="00FF7799" w:rsidRPr="0029467E" w:rsidRDefault="00FF7799" w:rsidP="0078656A">
      <w:pPr>
        <w:pStyle w:val="StandardTextkursiv"/>
        <w:rPr>
          <w:rFonts w:eastAsia="Calibri"/>
          <w:i w:val="0"/>
        </w:rPr>
      </w:pPr>
      <w:bookmarkStart w:id="143" w:name="_Toc226259986"/>
      <w:r w:rsidRPr="0029467E">
        <w:rPr>
          <w:rFonts w:eastAsia="Calibri"/>
          <w:i w:val="0"/>
        </w:rPr>
        <w:t>2.1 Fünfdimensionaler Ansatz</w:t>
      </w:r>
      <w:bookmarkEnd w:id="143"/>
    </w:p>
    <w:p w14:paraId="04029276" w14:textId="77777777" w:rsidR="00FF7799" w:rsidRPr="0029467E" w:rsidRDefault="00FF7799" w:rsidP="00784BA5">
      <w:pPr>
        <w:pStyle w:val="StandardText"/>
      </w:pPr>
      <w:r w:rsidRPr="0029467E">
        <w:lastRenderedPageBreak/>
        <w:t>Glock (1969, S.151ff.) begreift individuelle Religiosität als ein komplexes Konstrukt, das fünf Dimensionen aufweist.</w:t>
      </w:r>
    </w:p>
    <w:p w14:paraId="71B95BB5" w14:textId="77777777" w:rsidR="00FF7799" w:rsidRPr="0029467E" w:rsidRDefault="00FF7799" w:rsidP="00A7181D">
      <w:pPr>
        <w:pStyle w:val="StandardTextAufzhlung"/>
        <w:ind w:left="567"/>
      </w:pPr>
      <w:r w:rsidRPr="0029467E">
        <w:t>Rituelle Dimension: Teilnahme an religiösen Festen und Ritualen (z.B. Besuch von Gottesdiensten, Beten, Beichte, Heilige Kommunion)</w:t>
      </w:r>
    </w:p>
    <w:p w14:paraId="6F001A59" w14:textId="77777777" w:rsidR="00FF7799" w:rsidRPr="0029467E" w:rsidRDefault="00FF7799" w:rsidP="00A7181D">
      <w:pPr>
        <w:pStyle w:val="StandardTextAufzhlung"/>
        <w:ind w:left="567"/>
      </w:pPr>
      <w:r w:rsidRPr="0029467E">
        <w:t>Ideologische Dimension: Glaube an die von einer Religion verbreitete Lehre (insb. an Gott) sowie an ein Leben nach dem Tod</w:t>
      </w:r>
    </w:p>
    <w:p w14:paraId="71FFC23D" w14:textId="77777777" w:rsidR="00FF7799" w:rsidRPr="0029467E" w:rsidRDefault="00FF7799" w:rsidP="00A7181D">
      <w:pPr>
        <w:pStyle w:val="StandardTextAufzhlung"/>
        <w:ind w:left="567"/>
      </w:pPr>
      <w:r w:rsidRPr="0029467E">
        <w:t xml:space="preserve">Intellektuelle Dimension: Wissen über die eigene Religion und fremde Glaubensbekenntnisse (z.B. Inhalt der Bibel </w:t>
      </w:r>
      <w:r w:rsidRPr="0029467E">
        <w:rPr>
          <w:iCs/>
        </w:rPr>
        <w:t>oder des</w:t>
      </w:r>
      <w:r w:rsidRPr="0029467E">
        <w:t xml:space="preserve"> Koran)</w:t>
      </w:r>
    </w:p>
    <w:p w14:paraId="7BCB8C60" w14:textId="77777777" w:rsidR="00FF7799" w:rsidRPr="0029467E" w:rsidRDefault="00FF7799" w:rsidP="00A7181D">
      <w:pPr>
        <w:pStyle w:val="StandardTextAufzhlung"/>
        <w:ind w:left="567"/>
      </w:pPr>
      <w:r w:rsidRPr="0029467E">
        <w:t>Dimension der sozialen Konsequenzen: Verhalten im Einklang mit den Normen und Werten einer Religion (etwa das Befolgen der Zehn Gebote im Sinne von Alltagsethik)</w:t>
      </w:r>
    </w:p>
    <w:p w14:paraId="4AD54692" w14:textId="77777777" w:rsidR="00FF7799" w:rsidRPr="0029467E" w:rsidRDefault="00FF7799" w:rsidP="00A7181D">
      <w:pPr>
        <w:pStyle w:val="StandardTextAufzhlung"/>
        <w:ind w:left="567"/>
      </w:pPr>
      <w:r w:rsidRPr="0029467E">
        <w:t>Dimension des religiösen Erlebens: Gefühle (z.B. Angst, Geborgenheit, Glück oder Trost) und Überzeugungen (z.B. Bedeutung des Glaubens für das eigene Leben), die mit der Ausübung einer Religion verbunden sind</w:t>
      </w:r>
    </w:p>
    <w:p w14:paraId="73012714" w14:textId="77777777" w:rsidR="00FF7799" w:rsidRPr="0029467E" w:rsidRDefault="00FF7799" w:rsidP="00784BA5">
      <w:pPr>
        <w:pStyle w:val="StandardText"/>
      </w:pPr>
      <w:r w:rsidRPr="0029467E">
        <w:t>Obwohl es sich immer wieder als schwierig erwies, vor allem die beiden zuletzt genannten Dimensionen (soziale Konsequenzen und religiöses Erleben) valide zu operationalisieren, übernahmen viele Wissenschaftler diese Fünfteilung (vgl. Hillebrecht 1995, S.223f.).</w:t>
      </w:r>
    </w:p>
    <w:p w14:paraId="0E451484" w14:textId="77777777" w:rsidR="00FF7799" w:rsidRPr="0029467E" w:rsidRDefault="00FF7799" w:rsidP="00784BA5">
      <w:pPr>
        <w:pStyle w:val="StandardText"/>
        <w:rPr>
          <w:rFonts w:eastAsia="Calibri"/>
        </w:rPr>
      </w:pPr>
      <w:bookmarkStart w:id="144" w:name="_Toc226259987"/>
    </w:p>
    <w:p w14:paraId="0B30D550" w14:textId="77777777" w:rsidR="00FF7799" w:rsidRPr="0029467E" w:rsidRDefault="00FF7799" w:rsidP="0078656A">
      <w:pPr>
        <w:pStyle w:val="StandardTextkursiv"/>
        <w:rPr>
          <w:rFonts w:eastAsia="Calibri"/>
          <w:i w:val="0"/>
        </w:rPr>
      </w:pPr>
      <w:r w:rsidRPr="0029467E">
        <w:rPr>
          <w:rFonts w:eastAsia="Calibri"/>
          <w:i w:val="0"/>
        </w:rPr>
        <w:t>2.2 Dreidimensionaler Ansatz</w:t>
      </w:r>
      <w:bookmarkEnd w:id="144"/>
    </w:p>
    <w:p w14:paraId="6B740ADE" w14:textId="77777777" w:rsidR="00FF7799" w:rsidRPr="0029467E" w:rsidRDefault="00FF7799" w:rsidP="00784BA5">
      <w:pPr>
        <w:pStyle w:val="StandardText"/>
      </w:pPr>
      <w:r w:rsidRPr="0029467E">
        <w:t>Batson et al. (1993) unterscheiden nach einer Reanalyse einschlägiger empirischer Studien lediglich drei Ausprägungen von Religiosität:</w:t>
      </w:r>
    </w:p>
    <w:p w14:paraId="5DD1D850" w14:textId="77777777" w:rsidR="00FF7799" w:rsidRPr="0029467E" w:rsidRDefault="00FF7799" w:rsidP="00A7181D">
      <w:pPr>
        <w:pStyle w:val="StandardTextAufzhlung"/>
        <w:ind w:left="567"/>
      </w:pPr>
      <w:r w:rsidRPr="0029467E">
        <w:t>Extrinsische Religiosität: Religion wird instrumentalisiert, um eigene Ziele (z.B. soziale Anerkennung aufgrund regelmäßigen Besuchs der Gottesdienste) zu erreichen. Extrinsisch Religiöse empfinden Religion eher als einengend, besitzen weniger Selbstvertrauen, sind intoleranter und mit mehr Vorurteilen behaftet als intrinsisch Religiöse.</w:t>
      </w:r>
    </w:p>
    <w:p w14:paraId="56646408" w14:textId="77777777" w:rsidR="00FF7799" w:rsidRPr="0029467E" w:rsidRDefault="00FF7799" w:rsidP="00A7181D">
      <w:pPr>
        <w:pStyle w:val="StandardTextAufzhlung"/>
        <w:ind w:left="567"/>
      </w:pPr>
      <w:r w:rsidRPr="0029467E">
        <w:t>Intrinsische Religiosität: Religion ist zentral für die Lebensführung und manifestiert sich in einem festen Glauben sowie dem Gefühl der Kontrolle („Kontrollüberzeugung“; vgl. Thomas 1991, S.47f.). Sie vermittelt dem Leben Sinn und befreit den Einzelnen von Ängsten und Zweifeln.</w:t>
      </w:r>
    </w:p>
    <w:p w14:paraId="645E611E" w14:textId="77777777" w:rsidR="00FF7799" w:rsidRPr="0029467E" w:rsidRDefault="00FF7799" w:rsidP="00A7181D">
      <w:pPr>
        <w:pStyle w:val="StandardTextAufzhlung"/>
        <w:ind w:left="567"/>
      </w:pPr>
      <w:r w:rsidRPr="0029467E">
        <w:t xml:space="preserve">Religiosität als Suche: Im Mittelpunkt dieser Form von Religiosität steht die Auseinandersetzung mit existenziellen Fragen. „Suchende“ sind gegenüber anderen Formen von Religiosität offener als intrinsisch Religiöse − und insgesamt flexibler sowie toleranter. Nicht selten streben sie nach mystischen Erlebnissen, vor allem nach dem unwiderstehlichen und plötzlich auftretenden Gefühl, tiefere Einsicht in kosmische Gesetzmäßigkeiten erlangt und die „wirkliche“, nicht-irdische Realität erblickt zu haben. </w:t>
      </w:r>
    </w:p>
    <w:p w14:paraId="41FDC84F" w14:textId="77777777" w:rsidR="00A7181D" w:rsidRDefault="00A7181D" w:rsidP="00784BA5">
      <w:pPr>
        <w:pStyle w:val="StandardText"/>
      </w:pPr>
    </w:p>
    <w:p w14:paraId="13C0B06A" w14:textId="7A3AEF5D" w:rsidR="00FF7799" w:rsidRPr="0029467E" w:rsidRDefault="00FF7799" w:rsidP="00784BA5">
      <w:pPr>
        <w:pStyle w:val="StandardText"/>
      </w:pPr>
      <w:r w:rsidRPr="0029467E">
        <w:t xml:space="preserve">Extrinsisch Motivierte befolgen religiöse Werte, um ihren sozialen Status zu sichern oder Selbstbestätigung zu erfahren. Dagegen ordnet der intrinsisch Gläubige alles seinem Glauben unter. So wird er Werbung nur akzeptieren, wenn diese dem streng ausgelegten Gebot „Du sollst nicht lügen“ Rechnung trägt. </w:t>
      </w:r>
    </w:p>
    <w:p w14:paraId="623C974A" w14:textId="77777777" w:rsidR="00FF7799" w:rsidRPr="0029467E" w:rsidRDefault="00FF7799" w:rsidP="00784BA5">
      <w:pPr>
        <w:pStyle w:val="StandardText"/>
      </w:pPr>
    </w:p>
    <w:p w14:paraId="4984E858" w14:textId="77777777" w:rsidR="00FF7799" w:rsidRPr="0029467E" w:rsidRDefault="00FF7799" w:rsidP="0078656A">
      <w:pPr>
        <w:pStyle w:val="StandardTextkursiv"/>
        <w:rPr>
          <w:rFonts w:eastAsia="Calibri"/>
          <w:i w:val="0"/>
        </w:rPr>
      </w:pPr>
      <w:bookmarkStart w:id="145" w:name="_Toc226259988"/>
      <w:r w:rsidRPr="0029467E">
        <w:rPr>
          <w:rFonts w:eastAsia="Calibri"/>
          <w:i w:val="0"/>
        </w:rPr>
        <w:t>2.3 Zweidimensionaler Ansatz</w:t>
      </w:r>
      <w:bookmarkEnd w:id="145"/>
    </w:p>
    <w:p w14:paraId="0AD2587B" w14:textId="77777777" w:rsidR="00FF7799" w:rsidRPr="00E73F6F" w:rsidRDefault="00FF7799" w:rsidP="00784BA5">
      <w:pPr>
        <w:pStyle w:val="StandardText"/>
      </w:pPr>
      <w:r w:rsidRPr="00E73F6F">
        <w:t xml:space="preserve">McDaniel/Burnett (1990, S.103ff.) definieren Religiosität als ’religious commitment’ und unterscheiden zwischen einer kognitiven und einer konativen Dimension. Demnach manifestiert sich Religiosität zum einen in dem Ausmaß, in dem jemand glaubt (= kognitive Dimension). Zum anderen äußert sich dieser Bewusstseinszustand in sichtbaren Verhaltensweisen (= konative Dimension; vgl. Abb. 1). Zu kritisieren ist die eingeschränkte externe Validität dieser Operationalisierung („Ich glaube an Gott“). Denn sie vermag nicht die Religiosität von Buddhisten </w:t>
      </w:r>
      <w:r w:rsidRPr="00E73F6F">
        <w:lastRenderedPageBreak/>
        <w:t xml:space="preserve">zu messen, die keinen „Gott an sich“ verehren. Darüber hinaus erwähnen die Autoren eine weitere Dimension, die sie als 'religious affiliation' bezeichnen. Damit ist jedoch nichts anderes als die Religionszugehörigkeit gemeint. </w:t>
      </w:r>
    </w:p>
    <w:p w14:paraId="4299185C" w14:textId="77777777" w:rsidR="00FF7799" w:rsidRPr="00E73F6F" w:rsidRDefault="00FF7799" w:rsidP="00784BA5">
      <w:pPr>
        <w:pStyle w:val="StandardText"/>
        <w:rPr>
          <w:i/>
        </w:rPr>
      </w:pPr>
    </w:p>
    <w:p w14:paraId="06486BAD" w14:textId="77777777" w:rsidR="00FF7799" w:rsidRPr="00A7181D" w:rsidRDefault="00FF7799" w:rsidP="0078656A">
      <w:pPr>
        <w:pStyle w:val="BeschriftungTab"/>
        <w:rPr>
          <w:i/>
          <w:iCs/>
        </w:rPr>
      </w:pPr>
      <w:bookmarkStart w:id="146" w:name="_Ref222556808"/>
      <w:r w:rsidRPr="00A7181D">
        <w:rPr>
          <w:i/>
          <w:iCs/>
        </w:rPr>
        <w:t>Abb.</w:t>
      </w:r>
      <w:bookmarkEnd w:id="146"/>
      <w:r w:rsidRPr="00A7181D">
        <w:rPr>
          <w:i/>
          <w:iCs/>
        </w:rPr>
        <w:t xml:space="preserve"> 1: Zweidimensionale Operationalisierung von Religiosität</w:t>
      </w:r>
    </w:p>
    <w:tbl>
      <w:tblPr>
        <w:tblW w:w="5000" w:type="pct"/>
        <w:tblBorders>
          <w:top w:val="single" w:sz="4" w:space="0" w:color="auto"/>
          <w:bottom w:val="single" w:sz="4" w:space="0" w:color="auto"/>
          <w:insideH w:val="single" w:sz="4" w:space="0" w:color="auto"/>
        </w:tblBorders>
        <w:tblCellMar>
          <w:left w:w="70" w:type="dxa"/>
          <w:right w:w="70" w:type="dxa"/>
        </w:tblCellMar>
        <w:tblLook w:val="0000" w:firstRow="0" w:lastRow="0" w:firstColumn="0" w:lastColumn="0" w:noHBand="0" w:noVBand="0"/>
      </w:tblPr>
      <w:tblGrid>
        <w:gridCol w:w="4536"/>
        <w:gridCol w:w="4536"/>
      </w:tblGrid>
      <w:tr w:rsidR="00FF7799" w:rsidRPr="00E73F6F" w14:paraId="2B64F851" w14:textId="77777777" w:rsidTr="0007144F">
        <w:trPr>
          <w:tblHeader/>
        </w:trPr>
        <w:tc>
          <w:tcPr>
            <w:tcW w:w="2500" w:type="pct"/>
            <w:shd w:val="clear" w:color="auto" w:fill="FFC000"/>
          </w:tcPr>
          <w:p w14:paraId="23576EB1" w14:textId="77777777" w:rsidR="00FF7799" w:rsidRPr="00E73F6F" w:rsidRDefault="00FF7799" w:rsidP="00C60F01">
            <w:pPr>
              <w:spacing w:line="276" w:lineRule="auto"/>
              <w:rPr>
                <w:b/>
                <w:bCs/>
                <w:sz w:val="24"/>
                <w:szCs w:val="24"/>
              </w:rPr>
            </w:pPr>
            <w:r w:rsidRPr="00E73F6F">
              <w:rPr>
                <w:b/>
                <w:bCs/>
                <w:sz w:val="24"/>
                <w:szCs w:val="24"/>
              </w:rPr>
              <w:t>Kognitive Dimension</w:t>
            </w:r>
          </w:p>
        </w:tc>
        <w:tc>
          <w:tcPr>
            <w:tcW w:w="2500" w:type="pct"/>
            <w:shd w:val="clear" w:color="auto" w:fill="FFC000"/>
          </w:tcPr>
          <w:p w14:paraId="6C3E4188" w14:textId="77777777" w:rsidR="00FF7799" w:rsidRPr="00E73F6F" w:rsidRDefault="00FF7799" w:rsidP="00C60F01">
            <w:pPr>
              <w:spacing w:line="276" w:lineRule="auto"/>
              <w:rPr>
                <w:b/>
                <w:bCs/>
                <w:sz w:val="24"/>
                <w:szCs w:val="24"/>
              </w:rPr>
            </w:pPr>
            <w:r w:rsidRPr="00E73F6F">
              <w:rPr>
                <w:b/>
                <w:bCs/>
                <w:sz w:val="24"/>
                <w:szCs w:val="24"/>
              </w:rPr>
              <w:t>Konative Dimension</w:t>
            </w:r>
          </w:p>
        </w:tc>
      </w:tr>
      <w:tr w:rsidR="00FF7799" w:rsidRPr="00E73F6F" w14:paraId="7431DB69" w14:textId="77777777" w:rsidTr="00784BA5">
        <w:tc>
          <w:tcPr>
            <w:tcW w:w="2500" w:type="pct"/>
          </w:tcPr>
          <w:p w14:paraId="5B970348" w14:textId="77777777" w:rsidR="00FF7799" w:rsidRPr="00E73F6F" w:rsidRDefault="00FF7799" w:rsidP="00C60F01">
            <w:pPr>
              <w:spacing w:line="276" w:lineRule="auto"/>
              <w:jc w:val="both"/>
              <w:rPr>
                <w:sz w:val="24"/>
                <w:szCs w:val="24"/>
              </w:rPr>
            </w:pPr>
            <w:r w:rsidRPr="00E73F6F">
              <w:rPr>
                <w:sz w:val="24"/>
                <w:szCs w:val="24"/>
              </w:rPr>
              <w:t xml:space="preserve">Als wie religiös stufen Sie sich ein? </w:t>
            </w:r>
          </w:p>
          <w:p w14:paraId="4B65C26A" w14:textId="77777777" w:rsidR="00FF7799" w:rsidRPr="00E73F6F" w:rsidRDefault="00FF7799" w:rsidP="00C60F01">
            <w:pPr>
              <w:spacing w:line="276" w:lineRule="auto"/>
              <w:jc w:val="both"/>
              <w:rPr>
                <w:sz w:val="24"/>
                <w:szCs w:val="24"/>
              </w:rPr>
            </w:pPr>
            <w:r w:rsidRPr="00E73F6F">
              <w:rPr>
                <w:sz w:val="24"/>
                <w:szCs w:val="24"/>
              </w:rPr>
              <w:t>Meine Religion ist sehr wichtig für mich.</w:t>
            </w:r>
          </w:p>
          <w:p w14:paraId="19E02D82" w14:textId="77777777" w:rsidR="00FF7799" w:rsidRPr="00E73F6F" w:rsidRDefault="00FF7799" w:rsidP="00C60F01">
            <w:pPr>
              <w:spacing w:line="276" w:lineRule="auto"/>
              <w:jc w:val="both"/>
              <w:rPr>
                <w:sz w:val="24"/>
                <w:szCs w:val="24"/>
              </w:rPr>
            </w:pPr>
            <w:r w:rsidRPr="00E73F6F">
              <w:rPr>
                <w:sz w:val="24"/>
                <w:szCs w:val="24"/>
              </w:rPr>
              <w:t>Ich glaube an Gott.</w:t>
            </w:r>
          </w:p>
        </w:tc>
        <w:tc>
          <w:tcPr>
            <w:tcW w:w="2500" w:type="pct"/>
          </w:tcPr>
          <w:p w14:paraId="483E9544" w14:textId="77777777" w:rsidR="00FF7799" w:rsidRPr="00E73F6F" w:rsidRDefault="00FF7799" w:rsidP="00C60F01">
            <w:pPr>
              <w:spacing w:line="276" w:lineRule="auto"/>
              <w:jc w:val="both"/>
              <w:rPr>
                <w:sz w:val="24"/>
                <w:szCs w:val="24"/>
              </w:rPr>
            </w:pPr>
            <w:r w:rsidRPr="00E73F6F">
              <w:rPr>
                <w:sz w:val="24"/>
                <w:szCs w:val="24"/>
              </w:rPr>
              <w:t>Wie oft gehen Sie in die Kirche?</w:t>
            </w:r>
          </w:p>
          <w:p w14:paraId="23F11EA8" w14:textId="77777777" w:rsidR="00FF7799" w:rsidRPr="00E73F6F" w:rsidRDefault="00FF7799" w:rsidP="00C60F01">
            <w:pPr>
              <w:spacing w:line="276" w:lineRule="auto"/>
              <w:jc w:val="both"/>
              <w:rPr>
                <w:sz w:val="24"/>
                <w:szCs w:val="24"/>
              </w:rPr>
            </w:pPr>
            <w:r w:rsidRPr="00E73F6F">
              <w:rPr>
                <w:sz w:val="24"/>
                <w:szCs w:val="24"/>
              </w:rPr>
              <w:t xml:space="preserve">Wie viel spenden Sie für die Kirche bzw. für kirchliche Organisationen? </w:t>
            </w:r>
          </w:p>
        </w:tc>
      </w:tr>
    </w:tbl>
    <w:p w14:paraId="37BB36D1" w14:textId="77777777" w:rsidR="00FF7799" w:rsidRPr="00E73F6F" w:rsidRDefault="00FF7799" w:rsidP="00784BA5">
      <w:pPr>
        <w:pStyle w:val="Quellen"/>
      </w:pPr>
      <w:r w:rsidRPr="00E73F6F">
        <w:t>Quelle: auf Basis von McDaniel/Burnett (1990, S.106).</w:t>
      </w:r>
    </w:p>
    <w:p w14:paraId="2432CA84" w14:textId="77777777" w:rsidR="00FF7799" w:rsidRPr="00E73F6F" w:rsidRDefault="00FF7799" w:rsidP="00862DBA">
      <w:pPr>
        <w:rPr>
          <w:sz w:val="24"/>
          <w:szCs w:val="24"/>
        </w:rPr>
      </w:pPr>
    </w:p>
    <w:p w14:paraId="4B8FF495" w14:textId="77777777" w:rsidR="00FF7799" w:rsidRDefault="00FF7799" w:rsidP="00784BA5">
      <w:pPr>
        <w:pStyle w:val="StandardText"/>
      </w:pPr>
      <w:r w:rsidRPr="00E73F6F">
        <w:t>Weiterhin ist zu bedenken, dass Einstellung und Verhalten, also Glaube und regelmäßiger Kirchgang, nicht unbedingt übereinstimmen. Dies belegt die Europäische Wertestudie, für die zwischen 1999 und 2001 insgesamt 22.368 Personen zwischen 20 und 90 Jahren befragt wurden. Dabei zeigte sich, dass die Zahl derjenigen, die regelmäßig ein Gotteshaus besuchen, generell deutlich geringer ausfällt als die Zahl der Gläubigen (vgl. Abb. 2). Besonders augenscheinlich ist die Diskrepanz in Nordeuropa.</w:t>
      </w:r>
    </w:p>
    <w:p w14:paraId="6CA6CEAB" w14:textId="77777777" w:rsidR="00025512" w:rsidRPr="00E73F6F" w:rsidRDefault="00025512" w:rsidP="00784BA5">
      <w:pPr>
        <w:pStyle w:val="StandardText"/>
      </w:pPr>
    </w:p>
    <w:p w14:paraId="56536E74" w14:textId="77777777" w:rsidR="00FF7799" w:rsidRPr="00E73F6F" w:rsidRDefault="00FF7799" w:rsidP="00784BA5">
      <w:pPr>
        <w:pStyle w:val="BeschriftungTab"/>
      </w:pPr>
      <w:bookmarkStart w:id="147" w:name="_Ref62050977"/>
      <w:r w:rsidRPr="00E73F6F">
        <w:t>Abb.</w:t>
      </w:r>
      <w:bookmarkEnd w:id="147"/>
      <w:r w:rsidRPr="00E73F6F">
        <w:t xml:space="preserve"> 2: Glaube und Kirchgang unter Europäern</w:t>
      </w:r>
    </w:p>
    <w:p w14:paraId="59C14D8D" w14:textId="77777777" w:rsidR="00FF7799" w:rsidRPr="00E73F6F" w:rsidRDefault="00FF7799" w:rsidP="00862DBA">
      <w:pPr>
        <w:rPr>
          <w:sz w:val="24"/>
          <w:szCs w:val="24"/>
        </w:rPr>
      </w:pPr>
      <w:r w:rsidRPr="00E73F6F">
        <w:rPr>
          <w:noProof/>
          <w:sz w:val="24"/>
          <w:szCs w:val="24"/>
          <w:lang w:eastAsia="de-DE"/>
        </w:rPr>
        <w:drawing>
          <wp:inline distT="0" distB="0" distL="0" distR="0" wp14:anchorId="1AB310D4" wp14:editId="629954C7">
            <wp:extent cx="5771692" cy="4297400"/>
            <wp:effectExtent l="0" t="0" r="635" b="8255"/>
            <wp:docPr id="329993" name="Grafik 329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5801805" cy="4319821"/>
                    </a:xfrm>
                    <a:prstGeom prst="rect">
                      <a:avLst/>
                    </a:prstGeom>
                    <a:noFill/>
                    <a:ln>
                      <a:noFill/>
                    </a:ln>
                  </pic:spPr>
                </pic:pic>
              </a:graphicData>
            </a:graphic>
          </wp:inline>
        </w:drawing>
      </w:r>
    </w:p>
    <w:p w14:paraId="67C90C43" w14:textId="77777777" w:rsidR="00FF7799" w:rsidRPr="00E73F6F" w:rsidRDefault="00FF7799" w:rsidP="00784BA5">
      <w:pPr>
        <w:pStyle w:val="Quellen"/>
      </w:pPr>
      <w:r w:rsidRPr="00E73F6F">
        <w:t>Quelle: iwd Nr. 51/52 (</w:t>
      </w:r>
      <w:smartTag w:uri="urn:schemas-microsoft-com:office:smarttags" w:element="date">
        <w:smartTagPr>
          <w:attr w:name="Year" w:val="2003"/>
          <w:attr w:name="Day" w:val="18"/>
          <w:attr w:name="Month" w:val="12"/>
          <w:attr w:name="ls" w:val="trans"/>
        </w:smartTagPr>
        <w:r w:rsidRPr="00E73F6F">
          <w:t>18.12.2003</w:t>
        </w:r>
      </w:smartTag>
      <w:r w:rsidRPr="00E73F6F">
        <w:t>), S.1; Ursprungsdaten: Institut der deutschen Wirtschaft, Köln.</w:t>
      </w:r>
    </w:p>
    <w:p w14:paraId="26E851B7" w14:textId="77777777" w:rsidR="00FF7799" w:rsidRPr="00E73F6F" w:rsidRDefault="00FF7799" w:rsidP="0078656A">
      <w:pPr>
        <w:pStyle w:val="StandardText"/>
      </w:pPr>
    </w:p>
    <w:p w14:paraId="3993981F" w14:textId="77777777" w:rsidR="00FF7799" w:rsidRPr="00E73F6F" w:rsidRDefault="00FF7799" w:rsidP="0078656A">
      <w:pPr>
        <w:pStyle w:val="StandardText"/>
      </w:pPr>
      <w:r w:rsidRPr="00E73F6F">
        <w:lastRenderedPageBreak/>
        <w:t xml:space="preserve">Roof/McKinney (1987) bezeichneten das Phänomen als „believer but not belonger“ und bezogen sich dabei auf die Vereinigten Staaten. Auch dort ist die Zahl der offiziell einer Kirche Zugehörigen geringer als die Zahl derjenigen, die sich selbst als gläubig bezeichnen. </w:t>
      </w:r>
    </w:p>
    <w:p w14:paraId="6E3FB167" w14:textId="77777777" w:rsidR="00FF7799" w:rsidRPr="00E73F6F" w:rsidRDefault="00FF7799" w:rsidP="0078656A">
      <w:pPr>
        <w:pStyle w:val="StandardText"/>
      </w:pPr>
      <w:r w:rsidRPr="00E73F6F">
        <w:t xml:space="preserve">Dass Religiosität zum einen mit Glauben zu tun hat (= kognitiv) und sich zum anderen darin äußert, wie jemand diesen praktiziert (= konativ), ist auch der Grundgedanke der von Wulff (1997) vorgeschlagenen Operationalisierung. Er bezeichnet die kognitive Dimension als „Inklusion vs. Exklusion von Transzendenz“. Religiös ist demnach, wer an Übersinnliches glaubt. Religiöse bejahen Aussagen wie „Allein Religion gibt dem Leben in jeder Hinsicht einen Sinn“. Nicht-Religiöse schließen Übersinnliches aus und befürworten Statements wie „Religion dient häufig als Machtinstrument und ist deshalb suspekt“. Die Verhaltensdimension wird als „wörtlich vs. symbolisch“ bezeichnet und meint die Art und Weise, wie jemand mit Religion umgeht: Legt er sie wörtlich und streng aus („Ich bin der Ansicht, dass biblische Geschichten wortwörtlich verstanden werden müssen.) oder nur im übertragenen Sinne („Die historische Genauigkeit der biblischen Geschichten ist für meinen Glauben an Gott ohne Belang.“)? </w:t>
      </w:r>
    </w:p>
    <w:p w14:paraId="1C85BBF3" w14:textId="77777777" w:rsidR="00FF7799" w:rsidRPr="00E73F6F" w:rsidRDefault="00FF7799" w:rsidP="0078656A">
      <w:pPr>
        <w:pStyle w:val="StandardText"/>
      </w:pPr>
      <w:r w:rsidRPr="00E73F6F">
        <w:t xml:space="preserve">Beide Dimensionen sind unabhängig voneinander. Dass somit nicht jeder Gläubige streng religiös handelt, ist als allgemeines Prinzip aus der sozialpsychologischen Einstellungsforschung als Einstellungs/Verhaltens-Diskrepanz bekannt. </w:t>
      </w:r>
    </w:p>
    <w:p w14:paraId="518812BF" w14:textId="77777777" w:rsidR="00FF7799" w:rsidRPr="00E73F6F" w:rsidRDefault="00FF7799" w:rsidP="0078656A">
      <w:pPr>
        <w:pStyle w:val="StandardText"/>
        <w:rPr>
          <w:rFonts w:eastAsia="Calibri"/>
          <w:b/>
          <w:i/>
        </w:rPr>
      </w:pPr>
      <w:bookmarkStart w:id="148" w:name="_Toc226259989"/>
    </w:p>
    <w:p w14:paraId="6C440F70" w14:textId="77777777" w:rsidR="00FF7799" w:rsidRPr="00805AA4" w:rsidRDefault="00FF7799" w:rsidP="0078656A">
      <w:pPr>
        <w:pStyle w:val="StandardTextkursiv"/>
        <w:rPr>
          <w:rFonts w:eastAsia="Calibri"/>
          <w:i w:val="0"/>
        </w:rPr>
      </w:pPr>
      <w:r w:rsidRPr="00805AA4">
        <w:rPr>
          <w:rFonts w:eastAsia="Calibri"/>
          <w:i w:val="0"/>
        </w:rPr>
        <w:t>2.4 Eindimensionaler Ansatz</w:t>
      </w:r>
      <w:bookmarkEnd w:id="148"/>
    </w:p>
    <w:p w14:paraId="0A1124AA" w14:textId="77777777" w:rsidR="00FF7799" w:rsidRPr="00805AA4" w:rsidRDefault="00FF7799" w:rsidP="00C50682">
      <w:pPr>
        <w:pStyle w:val="StandardText"/>
      </w:pPr>
      <w:r w:rsidRPr="00805AA4">
        <w:t>Eine in Anlehnung an Glock (1958, S.25ff.) durchgeführte eigene Untersuchung von Religiosität – operationalisiert mit neun Variablen, die intuitiv fünf Dimensionen bilden: „religiöse Erfahrungen“, „ideologische Dimension“, „rituelle Dimension“, „religiöse Überzeugungen“ und „Konsequenzen religiöser Überzeugungen“ ergab, dass Religiosität als ein eindimensionales Konstrukt begriffen werden sollte (Faktorenanalyse; 47% Varianzerklärung, KMO = 0,81). Ähnliche Befunde haben zuvor schon Haub (1992, S.263) und Gibbs/Crader (1970, S.109f.) vorgelegt.</w:t>
      </w:r>
    </w:p>
    <w:p w14:paraId="4EB853AA" w14:textId="77777777" w:rsidR="00FF7799" w:rsidRPr="00805AA4" w:rsidRDefault="00FF7799" w:rsidP="00C50682">
      <w:pPr>
        <w:pStyle w:val="StandardText"/>
      </w:pPr>
    </w:p>
    <w:p w14:paraId="106E8CA8" w14:textId="77777777" w:rsidR="00FF7799" w:rsidRPr="00805AA4" w:rsidRDefault="00FF7799" w:rsidP="0078656A">
      <w:pPr>
        <w:pStyle w:val="StandardTextkursiv"/>
        <w:rPr>
          <w:rFonts w:eastAsia="Calibri"/>
          <w:i w:val="0"/>
        </w:rPr>
      </w:pPr>
      <w:bookmarkStart w:id="149" w:name="_Toc226259990"/>
      <w:r w:rsidRPr="00805AA4">
        <w:rPr>
          <w:rFonts w:eastAsia="Calibri"/>
          <w:i w:val="0"/>
        </w:rPr>
        <w:t>2.5 Kulturspezifischer Ansatz</w:t>
      </w:r>
      <w:bookmarkEnd w:id="149"/>
    </w:p>
    <w:p w14:paraId="7C16D215" w14:textId="77777777" w:rsidR="00FF7799" w:rsidRPr="00805AA4" w:rsidRDefault="00FF7799" w:rsidP="00C50682">
      <w:pPr>
        <w:pStyle w:val="StandardText"/>
      </w:pPr>
      <w:r w:rsidRPr="00805AA4">
        <w:t>Die von westlichen Wissenschaftlern (z.B. McDaniel/Burnett 1990) entwickelten Messansätze sind nicht geeignet, die Religiosität von Buddhisten oder von Anhängern anderer polytheistischer Religionen valide zu erfassen. Sood/Nasu (1995) umgingen dieses Problem, als sie die Religiosität von Japanern (Buddhisten und Shintoisten) und Amerikanern (überwiegend Protestanten) erfassen wollten, indem sie in Anlehnung an Wilkes et al. (1986) die Skala in einen allgemeinen und einen religionsspezifischen Teil splitteten (vgl. Abb. 3). Letzterer nimmt zum einen Bezug auf die für den Buddhismus charakteristische Überzeugung von der Wiedergeburt („Der Mensch hat eine unendliche Anzahl von Leben.“) und zum anderen auf die für den Protestantismus typische Vorstellung der Eigenverantwortung des Individuums. Beide Skalen wiesen vergleichsweise befriedigende Reliabilitätswerte auf (</w:t>
      </w:r>
      <w:r w:rsidRPr="00805AA4">
        <w:rPr>
          <w:iCs/>
        </w:rPr>
        <w:t>Cronbachs Alpha</w:t>
      </w:r>
      <w:r w:rsidRPr="00805AA4">
        <w:t xml:space="preserve"> = 0,82 für die amerikanische und 0,65 für die japanische Stichprobe). Der Grad der Religiosität bestimmten die Autoren als Mittelwert der jeweiligen neun Items.</w:t>
      </w:r>
    </w:p>
    <w:p w14:paraId="128673A8" w14:textId="77777777" w:rsidR="00FF7799" w:rsidRPr="00E73F6F" w:rsidRDefault="00FF7799" w:rsidP="00C50682">
      <w:pPr>
        <w:pStyle w:val="StandardText"/>
      </w:pPr>
    </w:p>
    <w:p w14:paraId="4B0FA99B" w14:textId="77777777" w:rsidR="00FF7799" w:rsidRPr="00A7181D" w:rsidRDefault="00FF7799" w:rsidP="00C50682">
      <w:pPr>
        <w:pStyle w:val="BeschriftungTab"/>
        <w:rPr>
          <w:i/>
          <w:iCs/>
        </w:rPr>
      </w:pPr>
      <w:bookmarkStart w:id="150" w:name="_Ref17080206"/>
      <w:r w:rsidRPr="00A7181D">
        <w:rPr>
          <w:i/>
          <w:iCs/>
        </w:rPr>
        <w:t>Abb.</w:t>
      </w:r>
      <w:bookmarkEnd w:id="150"/>
      <w:r w:rsidRPr="00A7181D">
        <w:rPr>
          <w:i/>
          <w:iCs/>
        </w:rPr>
        <w:t xml:space="preserve"> 3: Kulturspezifische Skalen zur Messung von Religiosität</w:t>
      </w:r>
    </w:p>
    <w:tbl>
      <w:tblPr>
        <w:tblW w:w="5000" w:type="pct"/>
        <w:tblBorders>
          <w:top w:val="single" w:sz="4" w:space="0" w:color="auto"/>
          <w:bottom w:val="single" w:sz="4" w:space="0" w:color="auto"/>
          <w:insideH w:val="single" w:sz="4" w:space="0" w:color="auto"/>
        </w:tblBorders>
        <w:tblLook w:val="00A0" w:firstRow="1" w:lastRow="0" w:firstColumn="1" w:lastColumn="0" w:noHBand="0" w:noVBand="0"/>
      </w:tblPr>
      <w:tblGrid>
        <w:gridCol w:w="4512"/>
        <w:gridCol w:w="4560"/>
      </w:tblGrid>
      <w:tr w:rsidR="00FF7799" w:rsidRPr="00E73F6F" w14:paraId="0CD7D6D2" w14:textId="77777777" w:rsidTr="00784BA5">
        <w:trPr>
          <w:trHeight w:val="68"/>
          <w:tblHeader/>
        </w:trPr>
        <w:tc>
          <w:tcPr>
            <w:tcW w:w="2487" w:type="pct"/>
            <w:tcBorders>
              <w:bottom w:val="single" w:sz="4" w:space="0" w:color="auto"/>
            </w:tcBorders>
            <w:shd w:val="clear" w:color="auto" w:fill="FFC000"/>
          </w:tcPr>
          <w:p w14:paraId="32EA7447" w14:textId="77777777" w:rsidR="00FF7799" w:rsidRPr="00E73F6F" w:rsidRDefault="00FF7799" w:rsidP="00C50682">
            <w:pPr>
              <w:pStyle w:val="StandardText"/>
              <w:spacing w:after="120"/>
              <w:jc w:val="center"/>
              <w:rPr>
                <w:b/>
              </w:rPr>
            </w:pPr>
            <w:r w:rsidRPr="00E73F6F">
              <w:rPr>
                <w:b/>
              </w:rPr>
              <w:t>Japaner</w:t>
            </w:r>
          </w:p>
        </w:tc>
        <w:tc>
          <w:tcPr>
            <w:tcW w:w="2513" w:type="pct"/>
            <w:tcBorders>
              <w:bottom w:val="single" w:sz="4" w:space="0" w:color="auto"/>
            </w:tcBorders>
            <w:shd w:val="clear" w:color="auto" w:fill="FFC000"/>
          </w:tcPr>
          <w:p w14:paraId="677BA0E1" w14:textId="77777777" w:rsidR="00FF7799" w:rsidRPr="00E73F6F" w:rsidRDefault="00FF7799" w:rsidP="00C50682">
            <w:pPr>
              <w:pStyle w:val="StandardText"/>
              <w:spacing w:after="120"/>
              <w:jc w:val="center"/>
              <w:rPr>
                <w:b/>
              </w:rPr>
            </w:pPr>
            <w:r w:rsidRPr="00E73F6F">
              <w:rPr>
                <w:b/>
              </w:rPr>
              <w:t>Amerikanische Protestanten</w:t>
            </w:r>
          </w:p>
        </w:tc>
      </w:tr>
      <w:tr w:rsidR="00FF7799" w:rsidRPr="00E73F6F" w14:paraId="2168D1BD" w14:textId="77777777" w:rsidTr="00C50682">
        <w:trPr>
          <w:trHeight w:val="47"/>
        </w:trPr>
        <w:tc>
          <w:tcPr>
            <w:tcW w:w="5000" w:type="pct"/>
            <w:gridSpan w:val="2"/>
            <w:tcBorders>
              <w:bottom w:val="dashed" w:sz="4" w:space="0" w:color="auto"/>
            </w:tcBorders>
            <w:shd w:val="clear" w:color="auto" w:fill="FFF2CC" w:themeFill="accent4" w:themeFillTint="33"/>
          </w:tcPr>
          <w:p w14:paraId="4F58EC29" w14:textId="77777777" w:rsidR="00FF7799" w:rsidRPr="00E73F6F" w:rsidRDefault="00FF7799" w:rsidP="00C50682">
            <w:pPr>
              <w:pStyle w:val="StandardText"/>
              <w:spacing w:after="120"/>
              <w:jc w:val="center"/>
              <w:rPr>
                <w:b/>
              </w:rPr>
            </w:pPr>
            <w:r w:rsidRPr="00E73F6F">
              <w:rPr>
                <w:b/>
              </w:rPr>
              <w:t>Allgemeiner Teil</w:t>
            </w:r>
          </w:p>
        </w:tc>
      </w:tr>
      <w:tr w:rsidR="00FF7799" w:rsidRPr="00E73F6F" w14:paraId="2EDD217B" w14:textId="77777777" w:rsidTr="00C50682">
        <w:trPr>
          <w:trHeight w:val="298"/>
        </w:trPr>
        <w:tc>
          <w:tcPr>
            <w:tcW w:w="5000" w:type="pct"/>
            <w:gridSpan w:val="2"/>
            <w:tcBorders>
              <w:top w:val="dashed" w:sz="4" w:space="0" w:color="auto"/>
              <w:bottom w:val="single" w:sz="4" w:space="0" w:color="auto"/>
            </w:tcBorders>
          </w:tcPr>
          <w:p w14:paraId="4D430844" w14:textId="77777777" w:rsidR="00FF7799" w:rsidRPr="00E73F6F" w:rsidRDefault="00FF7799" w:rsidP="00C50682">
            <w:pPr>
              <w:pStyle w:val="StandardText"/>
            </w:pPr>
            <w:r w:rsidRPr="00E73F6F">
              <w:lastRenderedPageBreak/>
              <w:t>Ich nehme regelmäßig an einem Gottesdienst teil.</w:t>
            </w:r>
          </w:p>
          <w:p w14:paraId="1FA0F2EB" w14:textId="77777777" w:rsidR="00FF7799" w:rsidRPr="00E73F6F" w:rsidRDefault="00FF7799" w:rsidP="00C50682">
            <w:pPr>
              <w:pStyle w:val="StandardText"/>
            </w:pPr>
            <w:r w:rsidRPr="00E73F6F">
              <w:t>Spirituelle Werte sind wichtiger als Materielles.</w:t>
            </w:r>
          </w:p>
          <w:p w14:paraId="7C93EF85" w14:textId="77777777" w:rsidR="00FF7799" w:rsidRPr="00E73F6F" w:rsidRDefault="00FF7799" w:rsidP="00C50682">
            <w:pPr>
              <w:pStyle w:val="StandardText"/>
            </w:pPr>
            <w:r w:rsidRPr="00E73F6F">
              <w:t>Religiöse Menschen sind bessere Bürger.</w:t>
            </w:r>
          </w:p>
          <w:p w14:paraId="5258AC77" w14:textId="77777777" w:rsidR="00FF7799" w:rsidRPr="00E73F6F" w:rsidRDefault="00FF7799" w:rsidP="00C50682">
            <w:pPr>
              <w:pStyle w:val="StandardText"/>
            </w:pPr>
            <w:r w:rsidRPr="00E73F6F">
              <w:t>Wie charakterisieren sie sich selbst (nicht religiös – sehr religiös)?</w:t>
            </w:r>
          </w:p>
        </w:tc>
      </w:tr>
      <w:tr w:rsidR="00FF7799" w:rsidRPr="00E73F6F" w14:paraId="4380B600" w14:textId="77777777" w:rsidTr="00C50682">
        <w:trPr>
          <w:cantSplit/>
          <w:trHeight w:val="58"/>
        </w:trPr>
        <w:tc>
          <w:tcPr>
            <w:tcW w:w="5000" w:type="pct"/>
            <w:gridSpan w:val="2"/>
            <w:tcBorders>
              <w:bottom w:val="dashed" w:sz="4" w:space="0" w:color="auto"/>
            </w:tcBorders>
            <w:shd w:val="clear" w:color="auto" w:fill="FFF2CC" w:themeFill="accent4" w:themeFillTint="33"/>
          </w:tcPr>
          <w:p w14:paraId="745A33C3" w14:textId="77777777" w:rsidR="00FF7799" w:rsidRPr="00E73F6F" w:rsidRDefault="00FF7799" w:rsidP="00C50682">
            <w:pPr>
              <w:pStyle w:val="StandardText"/>
              <w:spacing w:after="120"/>
              <w:jc w:val="center"/>
              <w:rPr>
                <w:b/>
              </w:rPr>
            </w:pPr>
            <w:r w:rsidRPr="00E73F6F">
              <w:rPr>
                <w:b/>
              </w:rPr>
              <w:t>Religionsspezifischer Teil</w:t>
            </w:r>
          </w:p>
        </w:tc>
      </w:tr>
      <w:tr w:rsidR="00FF7799" w:rsidRPr="00E73F6F" w14:paraId="3835FE6F" w14:textId="77777777" w:rsidTr="00C50682">
        <w:trPr>
          <w:cantSplit/>
          <w:trHeight w:val="714"/>
        </w:trPr>
        <w:tc>
          <w:tcPr>
            <w:tcW w:w="2487" w:type="pct"/>
            <w:tcBorders>
              <w:top w:val="dashed" w:sz="4" w:space="0" w:color="auto"/>
              <w:bottom w:val="single" w:sz="4" w:space="0" w:color="auto"/>
            </w:tcBorders>
          </w:tcPr>
          <w:p w14:paraId="3BD30913" w14:textId="77777777" w:rsidR="00FF7799" w:rsidRPr="00E73F6F" w:rsidRDefault="00FF7799" w:rsidP="00C50682">
            <w:pPr>
              <w:pStyle w:val="StandardText"/>
            </w:pPr>
            <w:r w:rsidRPr="00E73F6F">
              <w:t>Die höchste Realität liegt jenseits der Vor</w:t>
            </w:r>
            <w:r w:rsidRPr="00E73F6F">
              <w:softHyphen/>
              <w:t>stellungskraft des menschlichen Geistes.</w:t>
            </w:r>
          </w:p>
          <w:p w14:paraId="2A0FE709" w14:textId="77777777" w:rsidR="00FF7799" w:rsidRPr="00E73F6F" w:rsidRDefault="00FF7799" w:rsidP="00C50682">
            <w:pPr>
              <w:pStyle w:val="StandardText"/>
            </w:pPr>
            <w:r w:rsidRPr="00E73F6F">
              <w:t xml:space="preserve">Religion ist Selbsterziehung, mit der sich Schmerz, Trauer und Leid überwinden </w:t>
            </w:r>
            <w:r w:rsidRPr="00E73F6F">
              <w:br/>
              <w:t>lassen.</w:t>
            </w:r>
          </w:p>
          <w:p w14:paraId="3F1F0289" w14:textId="77777777" w:rsidR="00FF7799" w:rsidRPr="00E73F6F" w:rsidRDefault="00FF7799" w:rsidP="00C50682">
            <w:pPr>
              <w:pStyle w:val="StandardText"/>
            </w:pPr>
            <w:r w:rsidRPr="00E73F6F">
              <w:t>Der Mensch hat eine unendliche Anzahl von Leben.</w:t>
            </w:r>
          </w:p>
          <w:p w14:paraId="23B11970" w14:textId="77777777" w:rsidR="00FF7799" w:rsidRPr="00E73F6F" w:rsidRDefault="00FF7799" w:rsidP="00C50682">
            <w:pPr>
              <w:pStyle w:val="StandardText"/>
            </w:pPr>
            <w:r w:rsidRPr="00E73F6F">
              <w:t>Der einzelne Mensch ist für sich genommen nicht wichtig.</w:t>
            </w:r>
          </w:p>
          <w:p w14:paraId="5C29A518" w14:textId="77777777" w:rsidR="00FF7799" w:rsidRPr="00E73F6F" w:rsidRDefault="00FF7799" w:rsidP="00C50682">
            <w:pPr>
              <w:pStyle w:val="StandardText"/>
            </w:pPr>
            <w:r w:rsidRPr="00E73F6F">
              <w:t>Man sollte nach innerer Reinheit durch Nachsinnen und Befolgen von Zeremonien streben.</w:t>
            </w:r>
          </w:p>
        </w:tc>
        <w:tc>
          <w:tcPr>
            <w:tcW w:w="2513" w:type="pct"/>
            <w:tcBorders>
              <w:top w:val="dashed" w:sz="4" w:space="0" w:color="auto"/>
              <w:bottom w:val="single" w:sz="4" w:space="0" w:color="auto"/>
            </w:tcBorders>
          </w:tcPr>
          <w:p w14:paraId="44AF6787" w14:textId="77777777" w:rsidR="00FF7799" w:rsidRPr="00E35FFF" w:rsidRDefault="00FF7799" w:rsidP="00C50682">
            <w:pPr>
              <w:pStyle w:val="StandardText"/>
              <w:rPr>
                <w:lang w:val="en-US"/>
              </w:rPr>
            </w:pPr>
            <w:r w:rsidRPr="00E35FFF">
              <w:rPr>
                <w:i/>
                <w:lang w:val="en-US"/>
              </w:rPr>
              <w:t>Jesus Christus</w:t>
            </w:r>
            <w:r w:rsidRPr="00E35FFF">
              <w:rPr>
                <w:lang w:val="en-US"/>
              </w:rPr>
              <w:t xml:space="preserve"> ist Gottes Sohn.</w:t>
            </w:r>
          </w:p>
          <w:p w14:paraId="18238FC5" w14:textId="77777777" w:rsidR="00FF7799" w:rsidRPr="00E73F6F" w:rsidRDefault="00FF7799" w:rsidP="00C50682">
            <w:pPr>
              <w:pStyle w:val="StandardText"/>
            </w:pPr>
            <w:r w:rsidRPr="00E73F6F">
              <w:t>Jeder kann selbst frei entscheiden, sich Gott zu nähern.</w:t>
            </w:r>
          </w:p>
          <w:p w14:paraId="274F375C" w14:textId="77777777" w:rsidR="00FF7799" w:rsidRPr="00E73F6F" w:rsidRDefault="00FF7799" w:rsidP="00C50682">
            <w:pPr>
              <w:pStyle w:val="StandardText"/>
            </w:pPr>
            <w:r w:rsidRPr="00E73F6F">
              <w:t>Die Bibel ist das Wort Gottes.</w:t>
            </w:r>
          </w:p>
          <w:p w14:paraId="250B8024" w14:textId="77777777" w:rsidR="00FF7799" w:rsidRPr="00E73F6F" w:rsidRDefault="00FF7799" w:rsidP="00C50682">
            <w:pPr>
              <w:pStyle w:val="StandardText"/>
            </w:pPr>
            <w:r w:rsidRPr="00E73F6F">
              <w:t>Der Mensch ist dafür verantwortlich, seine freie Willensausübung zum Guten einzusetzen.</w:t>
            </w:r>
          </w:p>
          <w:p w14:paraId="453FB600" w14:textId="77777777" w:rsidR="00FF7799" w:rsidRPr="00E73F6F" w:rsidRDefault="00FF7799" w:rsidP="00C50682">
            <w:pPr>
              <w:pStyle w:val="StandardText"/>
            </w:pPr>
            <w:r w:rsidRPr="00E73F6F">
              <w:t>Die Seele des Menschen ist unsterblich.</w:t>
            </w:r>
          </w:p>
        </w:tc>
      </w:tr>
      <w:tr w:rsidR="00FF7799" w:rsidRPr="00E73F6F" w14:paraId="54CB460F" w14:textId="77777777" w:rsidTr="00805AA4">
        <w:trPr>
          <w:trHeight w:val="110"/>
        </w:trPr>
        <w:tc>
          <w:tcPr>
            <w:tcW w:w="5000" w:type="pct"/>
            <w:gridSpan w:val="2"/>
            <w:shd w:val="clear" w:color="auto" w:fill="DEEAF6" w:themeFill="accent1" w:themeFillTint="33"/>
          </w:tcPr>
          <w:p w14:paraId="0A6EB966" w14:textId="77777777" w:rsidR="00FF7799" w:rsidRPr="00E73F6F" w:rsidRDefault="00FF7799" w:rsidP="00C50682">
            <w:pPr>
              <w:pStyle w:val="Quellen"/>
            </w:pPr>
            <w:r w:rsidRPr="00E73F6F">
              <w:t xml:space="preserve">Anmerkung: fünfstufige </w:t>
            </w:r>
            <w:r w:rsidRPr="00E73F6F">
              <w:rPr>
                <w:iCs/>
              </w:rPr>
              <w:t>Likert</w:t>
            </w:r>
            <w:r w:rsidRPr="00E73F6F">
              <w:t>-Skala: „lehne vollkommen ab“ – „stimme vollkommen zu“</w:t>
            </w:r>
          </w:p>
        </w:tc>
      </w:tr>
    </w:tbl>
    <w:p w14:paraId="154B9CA5" w14:textId="77777777" w:rsidR="00FF7799" w:rsidRPr="00E73F6F" w:rsidRDefault="00C60F01" w:rsidP="00C50682">
      <w:pPr>
        <w:pStyle w:val="Quellen"/>
      </w:pPr>
      <w:r>
        <w:t xml:space="preserve">Quelle: </w:t>
      </w:r>
      <w:r w:rsidR="00FF7799" w:rsidRPr="00E73F6F">
        <w:t>Wilkes et al. (1986); modifiziert.</w:t>
      </w:r>
    </w:p>
    <w:p w14:paraId="10C52EB3" w14:textId="77777777" w:rsidR="00FF7799" w:rsidRPr="00E73F6F" w:rsidRDefault="00FF7799" w:rsidP="00C50682">
      <w:pPr>
        <w:pStyle w:val="StandardText"/>
      </w:pPr>
    </w:p>
    <w:p w14:paraId="779D4AD0" w14:textId="77777777" w:rsidR="00FF7799" w:rsidRPr="00E73F6F" w:rsidRDefault="00FF7799" w:rsidP="00C50682">
      <w:pPr>
        <w:pStyle w:val="StandardText"/>
      </w:pPr>
      <w:r w:rsidRPr="00E73F6F">
        <w:t>Mittels Mediansplit wurde die Stichprobe in Strenggläubige und gelegentlich Religiöse eingeteilt. Während dieses Merkmal geschlechtsunspezifisch zu sein scheint (52% der Frauen und 44% der Männer wurden als strenggläubig eingestuft), trat ein markanter Ländereffekt zu Tage: 81% der Amerikaner, aber lediglich 33% der Japaner stellten sich selbst als strenggläubig dar. Die Unterschiede erklärten die Autoren damit, dass die japanische Gesellschaft säkularer sei als die amerikanische. Möglicherweise spielen dabei aber auch unterschiedliche Antworttendenzen eine Rolle, z.B. die bei Japanern stark ausgeprägte „Tendenz zur Mitte“, d.h. die Bevorzugung des Skalenmittelpunktes (vgl. Müller/Gelbrich 2021, S.135ff).</w:t>
      </w:r>
    </w:p>
    <w:p w14:paraId="684BF9D5" w14:textId="77777777" w:rsidR="00FF7799" w:rsidRPr="00E73F6F" w:rsidRDefault="00FF7799" w:rsidP="00C50682">
      <w:pPr>
        <w:pStyle w:val="StandardText"/>
      </w:pPr>
    </w:p>
    <w:p w14:paraId="45BC4C5A" w14:textId="77777777" w:rsidR="00FF7799" w:rsidRPr="00805AA4" w:rsidRDefault="00FF7799" w:rsidP="0078656A">
      <w:pPr>
        <w:pStyle w:val="StandardTextkursiv"/>
        <w:rPr>
          <w:rFonts w:eastAsia="Calibri"/>
          <w:i w:val="0"/>
        </w:rPr>
      </w:pPr>
      <w:bookmarkStart w:id="151" w:name="_Toc226259991"/>
      <w:r w:rsidRPr="00805AA4">
        <w:rPr>
          <w:rFonts w:eastAsia="Calibri"/>
          <w:i w:val="0"/>
        </w:rPr>
        <w:t>3 Religiosität und Persönlichkeit</w:t>
      </w:r>
      <w:bookmarkEnd w:id="151"/>
    </w:p>
    <w:p w14:paraId="63C9E8B8" w14:textId="77777777" w:rsidR="00FF7799" w:rsidRPr="00805AA4" w:rsidRDefault="00FF7799" w:rsidP="00C50682">
      <w:pPr>
        <w:pStyle w:val="StandardText"/>
      </w:pPr>
      <w:r w:rsidRPr="00805AA4">
        <w:t xml:space="preserve">Religionen nehmen auf vielfältige Weise Einfluss auf die Persönlichkeitsstruktur der Gläubigen, teilweise direkt und offensichtlich, teilweise auf indirekten Wirkungspfaden. In verschiedenen Studien hat sich gezeigt, dass nicht nur Anhänger bestimmter Konfessionen eher zu Autoritarismus, </w:t>
      </w:r>
      <w:r w:rsidR="00805AA4">
        <w:sym w:font="Symbol" w:char="F0DE"/>
      </w:r>
      <w:r w:rsidR="00805AA4">
        <w:t xml:space="preserve"> </w:t>
      </w:r>
      <w:r w:rsidRPr="00805AA4">
        <w:t xml:space="preserve">Rassismus oder </w:t>
      </w:r>
      <w:r w:rsidR="00805AA4">
        <w:sym w:font="Symbol" w:char="F0DE"/>
      </w:r>
      <w:r w:rsidR="00805AA4">
        <w:t xml:space="preserve"> </w:t>
      </w:r>
      <w:r w:rsidRPr="00805AA4">
        <w:t xml:space="preserve">Nationalstolz neigen als andere, sondern auch streng Religiöse – und zwar unabhängig von der Glaubensrichtung. </w:t>
      </w:r>
    </w:p>
    <w:p w14:paraId="53F1B462" w14:textId="77777777" w:rsidR="00FF7799" w:rsidRPr="00E73F6F" w:rsidRDefault="00FF7799" w:rsidP="00C50682">
      <w:pPr>
        <w:pStyle w:val="StandardText"/>
        <w:rPr>
          <w:i/>
        </w:rPr>
      </w:pPr>
      <w:r w:rsidRPr="00805AA4">
        <w:t>Der autoritäre Persönlichkeitstyp (</w:t>
      </w:r>
      <w:r w:rsidRPr="00805AA4">
        <w:rPr>
          <w:rFonts w:ascii="Cambria Math" w:hAnsi="Cambria Math" w:cs="Cambria Math"/>
        </w:rPr>
        <w:t>⇒</w:t>
      </w:r>
      <w:r w:rsidRPr="00805AA4">
        <w:t xml:space="preserve"> Persönlichkeit, autoritäre) ist unter Katholiken vergleichsweise stark verbreitet, stärker jedenfalls als unter Juden (vgl. Jones 1958). Da aber nicht nur die Religionszugehörigkeit, sondern auch die Religiosität dieses Syndrom von Werthaltungen und Einstellungen begünstigt, sind religiöse Katholiken vermutlich autoritärer als nichtreligiöse Katholiken. Wie schon Hagen (1962, S.88ff.) argumentiert, ist auch in islamisch geprägten Kulturen der autoritäre Persönlichkeitstypus überdurchschnittlich häufig vertreten (vgl. auch </w:t>
      </w:r>
      <w:r w:rsidRPr="00805AA4">
        <w:lastRenderedPageBreak/>
        <w:t>Brown 1996). Die Bereitschaft, auf alte, erprobte Verhaltensmuster bzw. -normen zurückzugreifen oder sich dem Urteil älterer bzw. höherrangiger Personen anzuschließen, ist in solchen Gesellschaften groß. Da selbst islamische Wissenschaftler den Islam als nicht zu hinterfragende Wahrheit betrachten, stehen die modernen Wissenschaften und die sog. islamischen Werte häufig im Gegensatz zueinander (vgl. Weiss 1995, S.6f.). Der allumfassende Wahrheitsanspruch des Islam verhindert auch die Akzeptanz kulturpluralistischer Gesellschaftsformen</w:t>
      </w:r>
      <w:r w:rsidRPr="00E73F6F">
        <w:rPr>
          <w:i/>
        </w:rPr>
        <w:t>.</w:t>
      </w:r>
    </w:p>
    <w:p w14:paraId="7AA1EFC3" w14:textId="77777777" w:rsidR="00FF7799" w:rsidRPr="00E73F6F" w:rsidRDefault="00FF7799" w:rsidP="00C50682">
      <w:pPr>
        <w:pStyle w:val="StandardText"/>
      </w:pPr>
    </w:p>
    <w:tbl>
      <w:tblPr>
        <w:tblW w:w="5000" w:type="pct"/>
        <w:tblBorders>
          <w:top w:val="single" w:sz="4" w:space="0" w:color="auto"/>
          <w:left w:val="single" w:sz="4" w:space="0" w:color="auto"/>
          <w:bottom w:val="single" w:sz="4" w:space="0" w:color="auto"/>
          <w:right w:val="single" w:sz="4" w:space="0" w:color="auto"/>
        </w:tblBorders>
        <w:tblCellMar>
          <w:left w:w="85" w:type="dxa"/>
          <w:right w:w="85" w:type="dxa"/>
        </w:tblCellMar>
        <w:tblLook w:val="0000" w:firstRow="0" w:lastRow="0" w:firstColumn="0" w:lastColumn="0" w:noHBand="0" w:noVBand="0"/>
      </w:tblPr>
      <w:tblGrid>
        <w:gridCol w:w="9062"/>
      </w:tblGrid>
      <w:tr w:rsidR="00FF7799" w:rsidRPr="00E73F6F" w14:paraId="28E4E8B7" w14:textId="77777777" w:rsidTr="00436621">
        <w:trPr>
          <w:trHeight w:val="3954"/>
        </w:trPr>
        <w:tc>
          <w:tcPr>
            <w:tcW w:w="5000" w:type="pct"/>
          </w:tcPr>
          <w:p w14:paraId="3177F5B7" w14:textId="6A0525CE" w:rsidR="00FF7799" w:rsidRPr="00E73F6F" w:rsidRDefault="00FF7799" w:rsidP="00A7181D">
            <w:pPr>
              <w:pStyle w:val="Standardklein"/>
              <w:shd w:val="clear" w:color="auto" w:fill="DEEAF6" w:themeFill="accent1" w:themeFillTint="33"/>
              <w:spacing w:before="120"/>
              <w:jc w:val="center"/>
            </w:pPr>
            <w:r w:rsidRPr="00E73F6F">
              <w:rPr>
                <w:b/>
              </w:rPr>
              <w:t>Der Orient als Antithese des Westens</w:t>
            </w:r>
          </w:p>
          <w:p w14:paraId="621A3A48" w14:textId="77777777" w:rsidR="00FF7799" w:rsidRPr="00E73F6F" w:rsidRDefault="00FF7799" w:rsidP="00A7181D">
            <w:pPr>
              <w:pStyle w:val="Standardklein"/>
              <w:shd w:val="clear" w:color="auto" w:fill="DEEAF6" w:themeFill="accent1" w:themeFillTint="33"/>
              <w:jc w:val="center"/>
            </w:pPr>
          </w:p>
          <w:p w14:paraId="233ABCF7" w14:textId="77777777" w:rsidR="00FF7799" w:rsidRPr="00E73F6F" w:rsidRDefault="00FF7799" w:rsidP="00805AA4">
            <w:pPr>
              <w:pStyle w:val="Standardklein"/>
              <w:shd w:val="clear" w:color="auto" w:fill="DEEAF6" w:themeFill="accent1" w:themeFillTint="33"/>
            </w:pPr>
            <w:r w:rsidRPr="00E73F6F">
              <w:t xml:space="preserve">Kaum war das </w:t>
            </w:r>
            <w:r w:rsidRPr="00E73F6F">
              <w:rPr>
                <w:iCs/>
              </w:rPr>
              <w:t xml:space="preserve">Brandenburger Tor </w:t>
            </w:r>
            <w:r w:rsidRPr="00E73F6F">
              <w:t xml:space="preserve">wieder offen, hatte der Westen einen Nachfolger für das östliche „Reich des Bösen“ gefunden: den Irak und, als Inkarnation des Bösen, </w:t>
            </w:r>
            <w:r w:rsidRPr="00E73F6F">
              <w:rPr>
                <w:iCs/>
              </w:rPr>
              <w:t>Saddam Hussein</w:t>
            </w:r>
            <w:r w:rsidRPr="00E73F6F">
              <w:t xml:space="preserve">. Fast nahtlos konnten die im </w:t>
            </w:r>
            <w:r w:rsidRPr="00E73F6F">
              <w:rPr>
                <w:iCs/>
              </w:rPr>
              <w:t>Kalten Krieg</w:t>
            </w:r>
            <w:r w:rsidRPr="00E73F6F">
              <w:t xml:space="preserve"> gewachsenen Feindbilder auf den Nahen Osten übertragen und dem Selbstverständnis des Westens („Ort der Freiheit und des Rechts“) gehuldigt werden.</w:t>
            </w:r>
          </w:p>
          <w:p w14:paraId="1F701D49" w14:textId="77777777" w:rsidR="00FF7799" w:rsidRPr="00E73F6F" w:rsidRDefault="00FF7799" w:rsidP="00805AA4">
            <w:pPr>
              <w:pStyle w:val="Standardklein"/>
              <w:shd w:val="clear" w:color="auto" w:fill="DEEAF6" w:themeFill="accent1" w:themeFillTint="33"/>
            </w:pPr>
            <w:r w:rsidRPr="00E73F6F">
              <w:t>Seit fast drei Jahrhunderten dient der Orient der Selbstfindung des modernen Okzidents (zunächst Europas und dann des Westens). Während der (europäischen) Aufklärung imaginierten viele engagierte Kritiker des Absolutismus einen Orient, der ihnen als Hort aufgeklärten Lebens und Denkens erschien. In Persien oder Ägypten glaubten</w:t>
            </w:r>
            <w:r w:rsidRPr="00E73F6F">
              <w:rPr>
                <w:iCs/>
              </w:rPr>
              <w:t xml:space="preserve"> Galland</w:t>
            </w:r>
            <w:r w:rsidRPr="00E73F6F">
              <w:t xml:space="preserve">, der Übersetzer der „Märchen aus Tausendundeiner Nacht“, </w:t>
            </w:r>
            <w:r w:rsidRPr="00E73F6F">
              <w:rPr>
                <w:iCs/>
              </w:rPr>
              <w:t>Wieland</w:t>
            </w:r>
            <w:r w:rsidRPr="00E73F6F">
              <w:t xml:space="preserve"> und </w:t>
            </w:r>
            <w:r w:rsidRPr="00E73F6F">
              <w:rPr>
                <w:iCs/>
              </w:rPr>
              <w:t>Gibbon</w:t>
            </w:r>
            <w:r w:rsidRPr="00E73F6F">
              <w:t xml:space="preserve"> die Quellen ihres Lebensgefühls zu finden. In das Morgenland projizierten diese Idealisten nicht nur die Schätze der Welt (z.B. den Berg Sesam), sondern auch den Raum, in dem sie ihre Träume verwirklicht sahen. Es war aber niemals der reale Orient, den sie meinten. Vielmehr erträumten sie sich ein orientalisch drapiertes Arkadien mit einer durch und durch abendländischen Kultur.</w:t>
            </w:r>
          </w:p>
          <w:p w14:paraId="2B202CEC" w14:textId="77777777" w:rsidR="00FF7799" w:rsidRPr="00E73F6F" w:rsidRDefault="00FF7799" w:rsidP="00805AA4">
            <w:pPr>
              <w:pStyle w:val="Standardklein"/>
              <w:shd w:val="clear" w:color="auto" w:fill="DEEAF6" w:themeFill="accent1" w:themeFillTint="33"/>
            </w:pPr>
            <w:r w:rsidRPr="00E73F6F">
              <w:t xml:space="preserve">Als dann später Forscher und Bildungsreisende den Raum erkundeten, den die aufgeklärten Philosophen und empfindsamen Dichter phantasievoll beschrieben hatten, waren sie zutiefst enttäuscht von dem, was sie sahen. Dieser Orient unterschied sich in nichts von den Ländern, aus denen sie kamen. Das Kairoer East End glich dem Londoner East End; an der Cholera starben in Kairo zu Beginn des 19. Jahrhundert ebenso viele Menschen wie in Hamburg. Die Bauern Ägyptens und Syriens hungerten wie die in Irland, Südfrankreich oder im Erzgebirge. Die gleiche Armut, das gleiche Elend. Reisende, wie </w:t>
            </w:r>
            <w:r w:rsidRPr="00E73F6F">
              <w:rPr>
                <w:iCs/>
              </w:rPr>
              <w:t>Helmut Graf Moltke</w:t>
            </w:r>
            <w:r w:rsidRPr="00E73F6F">
              <w:t>, Instrukteur der türkischen Armee, glaubten deshalb, dass der wahre und noch zu entdeckende Orient erst „hinter dem Osmanischen Reich“ beginne. Doch alles, was die Europäer dort fanden, war nur ihre eigene Enttäuschung und Demütigung: Hatten sie doch wenige Jahre zuvor noch das Leben dort so maßlos verherrlicht.</w:t>
            </w:r>
          </w:p>
          <w:p w14:paraId="0C682471" w14:textId="77777777" w:rsidR="00FF7799" w:rsidRPr="00E73F6F" w:rsidRDefault="00FF7799" w:rsidP="00805AA4">
            <w:pPr>
              <w:pStyle w:val="Standardklein"/>
              <w:shd w:val="clear" w:color="auto" w:fill="DEEAF6" w:themeFill="accent1" w:themeFillTint="33"/>
            </w:pPr>
            <w:r w:rsidRPr="00E73F6F">
              <w:t>Aber der idealisierte Orient durfte nicht verloren sein. Eine ganze Wissenschaft entstand, die Orientalistik, die sich bemühte, das „wahre Morgenland“ für Europa zu retten. Nach dem intensiven Studium des gesamten orientalischen Schrifttums glaubten die Orientalisten, dass die Religion, der Islam, den wahren Orient verfälscht und zerstört habe.</w:t>
            </w:r>
          </w:p>
          <w:p w14:paraId="124ABA33" w14:textId="77777777" w:rsidR="00FF7799" w:rsidRPr="00E73F6F" w:rsidRDefault="00FF7799" w:rsidP="00805AA4">
            <w:pPr>
              <w:pStyle w:val="Standardklein"/>
              <w:shd w:val="clear" w:color="auto" w:fill="DEEAF6" w:themeFill="accent1" w:themeFillTint="33"/>
            </w:pPr>
            <w:r w:rsidRPr="00E73F6F">
              <w:t xml:space="preserve">Das Abendland sagte sich so vom Orient, wie er wirklich war, los und präsentierte sich als dessen Retter; denn man kannte den „wahren“ Orient und den „wahren“ Islam. Auch die politische Infrastruktur des Morgenlandes konnte nur „krank“ sein: Der „kranke Mann am Bosporus“ wurde zur beliebten Metapher für das Osmanische Reich. Ihm galt es zu helfen. Kein anderer hat den Überlegenheitsdünkel der Europäer „besser“ inszeniert als </w:t>
            </w:r>
            <w:r w:rsidRPr="00E73F6F">
              <w:rPr>
                <w:iCs/>
              </w:rPr>
              <w:t>Karl May</w:t>
            </w:r>
            <w:r w:rsidRPr="00E73F6F">
              <w:t>. Der als Araber verkleidete Sachse sprach besser Arabisch als der Araber, kannte den Islam und den Koran besser als der gelehrte Muselman und bewegte sich in den orientalischen Kulturen souveräner als der „fatalistische“ Einheimische.</w:t>
            </w:r>
          </w:p>
          <w:p w14:paraId="57D60460" w14:textId="77777777" w:rsidR="00FF7799" w:rsidRPr="00E73F6F" w:rsidRDefault="00FF7799" w:rsidP="00805AA4">
            <w:pPr>
              <w:pStyle w:val="Standardklein"/>
              <w:shd w:val="clear" w:color="auto" w:fill="DEEAF6" w:themeFill="accent1" w:themeFillTint="33"/>
            </w:pPr>
            <w:r w:rsidRPr="00E73F6F">
              <w:t xml:space="preserve">Das Selbstbild des Okzidents wurde zur Antithese des Orients. Folglich durfte dieser auch keine Errungenschaften der okzidentalen Moderne besitzen (Aufklärung, Säkularisierung der Gesellschaft, gesellschaftliche und politische Emanzipation). Vor allem aber wurde alles, was nicht mit dem Idealbild eines aufgeklärten Abendlandes in Einklang stand, in den Orient projiziert und zum Bestandteil der </w:t>
            </w:r>
            <w:r w:rsidRPr="00E73F6F">
              <w:rPr>
                <w:iCs/>
              </w:rPr>
              <w:t>orientalischen</w:t>
            </w:r>
            <w:r w:rsidRPr="00E73F6F">
              <w:t xml:space="preserve"> Identität erklärt. Aus dem Despoten wurde ein orientalischer Despot; aus der politischen Entmündigung weiter Kreise der Bevölkerung Europas im 19. Jahrhundert wurde ein </w:t>
            </w:r>
            <w:r w:rsidRPr="00E73F6F">
              <w:rPr>
                <w:iCs/>
              </w:rPr>
              <w:t>orientalischer</w:t>
            </w:r>
            <w:r w:rsidRPr="00E73F6F">
              <w:t xml:space="preserve"> Fatalismus. Irrationalität, Fanatismus und Gewalt wurden zum Kainsmal nicht etwa der westlichen, sondern der orientalischen Kulturen.</w:t>
            </w:r>
          </w:p>
          <w:p w14:paraId="4872CC83" w14:textId="77777777" w:rsidR="00FF7799" w:rsidRPr="00E73F6F" w:rsidRDefault="00FF7799" w:rsidP="00805AA4">
            <w:pPr>
              <w:pStyle w:val="Standardklein"/>
              <w:shd w:val="clear" w:color="auto" w:fill="DEEAF6" w:themeFill="accent1" w:themeFillTint="33"/>
            </w:pPr>
            <w:r w:rsidRPr="00E73F6F">
              <w:t>Orientalisierung war in der Folgezeit das Schicksal des europäischen Judentums wie des Kommunismus. Aus dem Orient war der Osten geworden. Doch diesmal handelte es sich um einen neuen, ideologischen Konflikt zwischen zwei Systemen, die ihre eigene Legitimität jeweils bewusst aus der Exist</w:t>
            </w:r>
            <w:r w:rsidR="00C60F01">
              <w:t>enz des anderen ableiteten (Ost</w:t>
            </w:r>
            <w:r w:rsidRPr="00E73F6F">
              <w:t xml:space="preserve">/West-Konflikt). Einige wenige Jahrzehnte lang dachte kaum noch einer an den Orient, bis zur massiven Einwanderung von türkischen und nordafrikanischen Gastarbeitern nach Westeuropa. Als der Ost-/West-Konflikt seine Schärfe zu verlieren begann (etwa von 1975 an), hofften Intellektuelle in den islamischen Ländern, die militärisch gestützten Staatsbürokratien ihrer Länder gewaltfrei in zivile Gesellschaft wandeln zu können. Sofern es sich dabei um teils faschistische, teils rechtsradikale islamische Gruppen handelte, propagierten sie </w:t>
            </w:r>
            <w:r w:rsidRPr="00E73F6F">
              <w:lastRenderedPageBreak/>
              <w:t>die Umkehrung des traditionellen abendländischen Bildes vom Orient: der Islam als Perfektion des Rationalismus, als Religion der Vernunft. Nunmehr erschien der Westen als negative Antithese zur eigenen Kultur, deren negative Merkmale man in den Westen projizierte. Folglich darf der Islam (als Antithese zum Westen) weder der „Aufklärung“ huldigen noch die Trennung von Religion und Staat zulassen; auch bedürfe keiner Reformation oder Säkularisierung.</w:t>
            </w:r>
          </w:p>
          <w:p w14:paraId="771C9E2B" w14:textId="77777777" w:rsidR="00FF7799" w:rsidRPr="00E73F6F" w:rsidRDefault="00FF7799" w:rsidP="00805AA4">
            <w:pPr>
              <w:pStyle w:val="Standardklein"/>
              <w:shd w:val="clear" w:color="auto" w:fill="DEEAF6" w:themeFill="accent1" w:themeFillTint="33"/>
            </w:pPr>
            <w:r w:rsidRPr="00E73F6F">
              <w:t xml:space="preserve">Während es aus westlicher Sicht im Islam keine zivile Oppositionsbewegung geben konnte (da die Muslime ja „anders“ sind und mit den westlichen Werten auf Kriegsfuß stehen), behandelte der Westen die Oppositionsbewegungen Osteuropas ganz anders. In Polen etwa erhielten sie sofort Unterstützung – politisch und wirtschaftlich. Dass auch hier ziviler Protest im Religiösen verankert war und </w:t>
            </w:r>
            <w:r w:rsidRPr="00E73F6F">
              <w:rPr>
                <w:iCs/>
              </w:rPr>
              <w:t xml:space="preserve">Lech Walesa </w:t>
            </w:r>
            <w:r w:rsidRPr="00E73F6F">
              <w:t xml:space="preserve">auf die </w:t>
            </w:r>
            <w:r w:rsidRPr="00E73F6F">
              <w:rPr>
                <w:iCs/>
              </w:rPr>
              <w:t>Schwarze Madonna</w:t>
            </w:r>
            <w:r w:rsidRPr="00E73F6F">
              <w:t xml:space="preserve"> von Tschenstochau schwor, schien nicht zu stören. </w:t>
            </w:r>
          </w:p>
          <w:p w14:paraId="1FECDCFF" w14:textId="77777777" w:rsidR="00FF7799" w:rsidRPr="00E73F6F" w:rsidRDefault="00FF7799" w:rsidP="00805AA4">
            <w:pPr>
              <w:pStyle w:val="Standardklein"/>
              <w:shd w:val="clear" w:color="auto" w:fill="DEEAF6" w:themeFill="accent1" w:themeFillTint="33"/>
            </w:pPr>
            <w:r w:rsidRPr="00E73F6F">
              <w:t xml:space="preserve">Weil sich der Westen von diesem Bild des Orients als dem ganz Anderen nicht befreien kann, stärkt dieses als 'self-fulfilling prophecy' fatalerweise nun die rechten, rechtsradikalen und besonders die faschistischen Gruppen und Parteien, die mit antiwestlichen Parolen ihre Anhänger rekrutieren. In vielen arabischen Ländern versteht sich die traditionelle Links-Opposition inzwischen als Teil des islamischen Protestes. Ein älterer ägyptischer Sozialist stellte kürzlich traurig fest, dass viele Mitglieder der zivilen Opposition sich durch die westliche Öffentlichkeit im Stich gelassen fühlen. Er fragte, warum ihre Zugehörigkeit zur islamischen Kultur jede Auseinandersetzung mit den Inhalten ihrer Bewegung zu verhindern scheint. Die trotzige Reaktion lässt nicht auf sich warten. Immer mehr linke Gruppen propagieren nunmehr eine deutliche Distanz vom Westen und radikalisieren ihre islamische Identität. Auch für sie wird so der Islam zur Antithese zum Westen. Im Irak hatte </w:t>
            </w:r>
            <w:r w:rsidRPr="00E73F6F">
              <w:rPr>
                <w:iCs/>
              </w:rPr>
              <w:t>Saddam Hussein</w:t>
            </w:r>
            <w:r w:rsidRPr="00E73F6F">
              <w:t xml:space="preserve"> sich diese Tendenz zunutze gemacht und im Iran die islamische Revolution, nachdem die meisten Regierungen des Westens den zivilen Protest gegen das Regime des </w:t>
            </w:r>
            <w:r w:rsidRPr="00E73F6F">
              <w:rPr>
                <w:iCs/>
              </w:rPr>
              <w:t>Schahs</w:t>
            </w:r>
            <w:r w:rsidRPr="00E73F6F">
              <w:t xml:space="preserve"> jahrelang ignoriert hatte. </w:t>
            </w:r>
          </w:p>
          <w:p w14:paraId="5CE6E266" w14:textId="77777777" w:rsidR="00FF7799" w:rsidRPr="00E73F6F" w:rsidRDefault="00FF7799" w:rsidP="00805AA4">
            <w:pPr>
              <w:pStyle w:val="Standardklein"/>
              <w:shd w:val="clear" w:color="auto" w:fill="DEEAF6" w:themeFill="accent1" w:themeFillTint="33"/>
            </w:pPr>
          </w:p>
          <w:p w14:paraId="20885300" w14:textId="77777777" w:rsidR="00FF7799" w:rsidRPr="00E73F6F" w:rsidRDefault="00FF7799" w:rsidP="00805AA4">
            <w:pPr>
              <w:pStyle w:val="Standardklein"/>
              <w:shd w:val="clear" w:color="auto" w:fill="DEEAF6" w:themeFill="accent1" w:themeFillTint="33"/>
            </w:pPr>
            <w:r w:rsidRPr="00E73F6F">
              <w:t>Schulze (1991, S.56)</w:t>
            </w:r>
          </w:p>
        </w:tc>
      </w:tr>
    </w:tbl>
    <w:p w14:paraId="70C0736B" w14:textId="77777777" w:rsidR="00805AA4" w:rsidRDefault="00805AA4" w:rsidP="00C50682">
      <w:pPr>
        <w:pStyle w:val="StandardText"/>
      </w:pPr>
    </w:p>
    <w:p w14:paraId="2218BFE4" w14:textId="77777777" w:rsidR="00FF7799" w:rsidRPr="00E73F6F" w:rsidRDefault="00FF7799" w:rsidP="00C50682">
      <w:pPr>
        <w:pStyle w:val="StandardText"/>
      </w:pPr>
      <w:r w:rsidRPr="00E73F6F">
        <w:t xml:space="preserve">Der </w:t>
      </w:r>
      <w:r w:rsidRPr="00E73F6F">
        <w:rPr>
          <w:rFonts w:ascii="Cambria Math" w:hAnsi="Cambria Math" w:cs="Cambria Math"/>
        </w:rPr>
        <w:t>⇒</w:t>
      </w:r>
      <w:r w:rsidRPr="00E73F6F">
        <w:t xml:space="preserve"> Hinduismus hingegen bietet dem Autoritären keinen speziellen Nährboden. Denn diese polytheistische Religion besitzt keine ultimative Autorität wie bspw. das Christentum. Daher gelten z.B. Inder, die zu 80% dem Hinduismus anhängen, als ausgesprochen tolerant. Konsequenz ist eine ausgeprägte Ambiguitätstoleranz: die Fähigkeit, Widersprüchliches nebeneinander stehen zu lassen, was mit dem Autoritarismus unvereinbar ist. Ramanujan (1989) beschreibt die für Inder „typischen Denk- und Verhaltensweisen“ folgendermaßen: Sie verbinden Gegensätzliches problemlos miteinander, sie trennen „ich“ und „andere“ nicht eindeutig und sie nehmen selten auf universelle, allgemeingültige Gesetze Bezug, weil sie nicht axiomatisch denken.</w:t>
      </w:r>
    </w:p>
    <w:p w14:paraId="2A865696" w14:textId="77777777" w:rsidR="00FF7799" w:rsidRPr="00E73F6F" w:rsidRDefault="00FF7799" w:rsidP="00C50682">
      <w:pPr>
        <w:pStyle w:val="StandardText"/>
      </w:pPr>
    </w:p>
    <w:p w14:paraId="7EB47A47" w14:textId="77777777" w:rsidR="00FF7799" w:rsidRPr="00805AA4" w:rsidRDefault="00FF7799" w:rsidP="0078656A">
      <w:pPr>
        <w:pStyle w:val="StandardTextkursiv"/>
        <w:rPr>
          <w:rFonts w:eastAsia="Calibri"/>
          <w:i w:val="0"/>
        </w:rPr>
      </w:pPr>
      <w:bookmarkStart w:id="152" w:name="_Toc226259993"/>
      <w:r w:rsidRPr="00805AA4">
        <w:rPr>
          <w:rFonts w:eastAsia="Calibri"/>
          <w:i w:val="0"/>
        </w:rPr>
        <w:t>4 Spiritualität</w:t>
      </w:r>
      <w:bookmarkEnd w:id="152"/>
      <w:r w:rsidR="00805AA4">
        <w:rPr>
          <w:rFonts w:eastAsia="Calibri"/>
          <w:i w:val="0"/>
        </w:rPr>
        <w:t xml:space="preserve"> &amp;</w:t>
      </w:r>
      <w:r w:rsidRPr="00805AA4">
        <w:rPr>
          <w:rFonts w:eastAsia="Calibri"/>
          <w:i w:val="0"/>
        </w:rPr>
        <w:t xml:space="preserve"> Mystik</w:t>
      </w:r>
    </w:p>
    <w:p w14:paraId="6CC3E210" w14:textId="77777777" w:rsidR="00FF7799" w:rsidRPr="00E73F6F" w:rsidRDefault="00FF7799" w:rsidP="00C50682">
      <w:pPr>
        <w:pStyle w:val="StandardText"/>
      </w:pPr>
      <w:r w:rsidRPr="00E73F6F">
        <w:t xml:space="preserve">Hierbei handelt es sich um einen mehrdeutigen Begriff, der im angelsächsischen Sprachraum häufig mit Religiosität gleichgesetzt wird. Ausgehend vom Wortstamm (lat.: spiritus = Geist) lässt sich Spiritualität in Abgrenzung zur Materialität auch als Geistigkeit begreifen. Folgt man Büsing et al. (2007), so ist mit Spiritualität „eine nach Sinn und Bedeutung suchende Lebenseinstellung gemeint, bei der sich der/die Suchende ihres göttlichen Ursprungs bewusst ist.“ </w:t>
      </w:r>
    </w:p>
    <w:p w14:paraId="31C46BC9" w14:textId="77777777" w:rsidR="00FF7799" w:rsidRPr="00E73F6F" w:rsidRDefault="00FF7799" w:rsidP="00C50682">
      <w:pPr>
        <w:pStyle w:val="StandardText"/>
      </w:pPr>
      <w:r w:rsidRPr="00E73F6F">
        <w:t xml:space="preserve">Wie </w:t>
      </w:r>
      <w:r w:rsidRPr="00E73F6F">
        <w:fldChar w:fldCharType="begin"/>
      </w:r>
      <w:r w:rsidRPr="00E73F6F">
        <w:instrText xml:space="preserve"> REF _Ref224984135 \h  \* MERGEFORMAT </w:instrText>
      </w:r>
      <w:r w:rsidRPr="00E73F6F">
        <w:fldChar w:fldCharType="separate"/>
      </w:r>
      <w:r w:rsidRPr="00E73F6F">
        <w:t xml:space="preserve">Abb. </w:t>
      </w:r>
      <w:r w:rsidRPr="00E73F6F">
        <w:rPr>
          <w:noProof/>
        </w:rPr>
        <w:t>5</w:t>
      </w:r>
      <w:r w:rsidRPr="00E73F6F">
        <w:fldChar w:fldCharType="end"/>
      </w:r>
      <w:r w:rsidRPr="00E73F6F">
        <w:t xml:space="preserve"> aufzeigt, scheinen Deutsche weniger atheistisch zu sein als Franzosen und Briten („Ich glaube nicht an Gott“; „Ich weiß nicht, ob es einen Gott gibt, und ich glaube nicht, dass man es herausfinden kann.“), aber weniger gläubig als Italiener und vor allem weniger als US-Amerikaner und Mexikaner „Ich weiß, dass Gott wirklich existiert und habe keine Zweifel.“). Die Domäne der Deutschen ist die Spiritualität: 33% von ihnen „glauben zwar an keinen personellen Gott, aber an eine höhere Macht“. </w:t>
      </w:r>
    </w:p>
    <w:p w14:paraId="5767CE1E" w14:textId="77777777" w:rsidR="00FF7799" w:rsidRPr="00E73F6F" w:rsidRDefault="00FF7799" w:rsidP="00C50682">
      <w:pPr>
        <w:pStyle w:val="StandardText"/>
      </w:pPr>
    </w:p>
    <w:p w14:paraId="445B3568" w14:textId="77777777" w:rsidR="00FF7799" w:rsidRPr="00A7181D" w:rsidRDefault="00FF7799" w:rsidP="0078656A">
      <w:pPr>
        <w:pStyle w:val="BeschriftungTab"/>
        <w:rPr>
          <w:i/>
          <w:iCs/>
        </w:rPr>
      </w:pPr>
      <w:bookmarkStart w:id="153" w:name="_Ref224984135"/>
      <w:r w:rsidRPr="00A7181D">
        <w:rPr>
          <w:i/>
          <w:iCs/>
        </w:rPr>
        <w:t xml:space="preserve">Abb. </w:t>
      </w:r>
      <w:r w:rsidRPr="00A7181D">
        <w:rPr>
          <w:i/>
          <w:iCs/>
          <w:noProof/>
        </w:rPr>
        <w:fldChar w:fldCharType="begin"/>
      </w:r>
      <w:r w:rsidRPr="00A7181D">
        <w:rPr>
          <w:i/>
          <w:iCs/>
          <w:noProof/>
        </w:rPr>
        <w:instrText xml:space="preserve"> SEQ Abb. \* ARABIC </w:instrText>
      </w:r>
      <w:r w:rsidRPr="00A7181D">
        <w:rPr>
          <w:i/>
          <w:iCs/>
          <w:noProof/>
        </w:rPr>
        <w:fldChar w:fldCharType="separate"/>
      </w:r>
      <w:r w:rsidRPr="00A7181D">
        <w:rPr>
          <w:i/>
          <w:iCs/>
          <w:noProof/>
        </w:rPr>
        <w:t>5</w:t>
      </w:r>
      <w:r w:rsidRPr="00A7181D">
        <w:rPr>
          <w:i/>
          <w:iCs/>
          <w:noProof/>
        </w:rPr>
        <w:fldChar w:fldCharType="end"/>
      </w:r>
      <w:bookmarkEnd w:id="153"/>
      <w:r w:rsidR="00C60F01" w:rsidRPr="00A7181D">
        <w:rPr>
          <w:i/>
          <w:iCs/>
        </w:rPr>
        <w:t>: Gottesglaube &amp;</w:t>
      </w:r>
      <w:r w:rsidRPr="00A7181D">
        <w:rPr>
          <w:i/>
          <w:iCs/>
        </w:rPr>
        <w:t xml:space="preserve"> Spiritualität </w:t>
      </w:r>
    </w:p>
    <w:p w14:paraId="7A1CAED2" w14:textId="77777777" w:rsidR="00FF7799" w:rsidRPr="00E73F6F" w:rsidRDefault="00FF7799" w:rsidP="00862DBA">
      <w:pPr>
        <w:rPr>
          <w:i/>
          <w:sz w:val="24"/>
          <w:szCs w:val="24"/>
        </w:rPr>
      </w:pPr>
      <w:r w:rsidRPr="00E73F6F">
        <w:rPr>
          <w:i/>
          <w:noProof/>
          <w:sz w:val="24"/>
          <w:szCs w:val="24"/>
          <w:lang w:eastAsia="de-DE"/>
        </w:rPr>
        <w:lastRenderedPageBreak/>
        <w:drawing>
          <wp:inline distT="0" distB="0" distL="0" distR="0" wp14:anchorId="2F56463D" wp14:editId="1BD153E0">
            <wp:extent cx="5654649" cy="3939882"/>
            <wp:effectExtent l="0" t="0" r="3810" b="3810"/>
            <wp:docPr id="329992" name="Grafik 329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5676383" cy="3955025"/>
                    </a:xfrm>
                    <a:prstGeom prst="rect">
                      <a:avLst/>
                    </a:prstGeom>
                    <a:noFill/>
                    <a:ln>
                      <a:noFill/>
                    </a:ln>
                  </pic:spPr>
                </pic:pic>
              </a:graphicData>
            </a:graphic>
          </wp:inline>
        </w:drawing>
      </w:r>
    </w:p>
    <w:p w14:paraId="396B988A" w14:textId="77777777" w:rsidR="00FF7799" w:rsidRPr="00E73F6F" w:rsidRDefault="00FF7799" w:rsidP="0078656A">
      <w:pPr>
        <w:pStyle w:val="Quellen"/>
      </w:pPr>
      <w:r w:rsidRPr="00E73F6F">
        <w:t>Quelle:</w:t>
      </w:r>
      <w:r w:rsidRPr="00E73F6F">
        <w:tab/>
        <w:t>AP-Ipsos 2005.</w:t>
      </w:r>
    </w:p>
    <w:p w14:paraId="6FC7AF7C" w14:textId="77777777" w:rsidR="00FF7799" w:rsidRPr="00E73F6F" w:rsidRDefault="00FF7799" w:rsidP="0078656A">
      <w:pPr>
        <w:pStyle w:val="StandardText"/>
      </w:pPr>
    </w:p>
    <w:p w14:paraId="5AA42194" w14:textId="77777777" w:rsidR="00FF7799" w:rsidRPr="00E73F6F" w:rsidRDefault="00FF7799" w:rsidP="0078656A">
      <w:pPr>
        <w:pStyle w:val="StandardText"/>
      </w:pPr>
      <w:r w:rsidRPr="00E73F6F">
        <w:t xml:space="preserve">Als spezielle Erscheinungsform von Spiritualität zählt Mystik zu den Sonderformen religiösen Verhaltens. Für diese vor der Aufklärung weltweit und in archaischen Gesellschaften nach wie vor verbreitete Form von Religiosität ist charakteristisch, dass die Gläubigen nach mystischer Vereinigung mit der Gottheit streben, die im Mittelpunkt des jeweiligen Glaubens steht (unio mystica). Einerseits wird mit Hilfe von Kontemplation, Meditation und Askese der Weg der Läuterung beschritten. Andererseits ist aber auch religiöse Inbrunst, bis hin zu außergewöhnlicher Sinnlichkeit, charakteristisch für die Mystiker, welche institutionelle Grenzen der Weltreligionen häufig ignorieren. Endzustand können Ekstase und Visionen sein, verbunden mit persönlichen Offenbarungen. </w:t>
      </w:r>
    </w:p>
    <w:p w14:paraId="65A91C94" w14:textId="77777777" w:rsidR="00FF7799" w:rsidRPr="00E73F6F" w:rsidRDefault="00FF7799" w:rsidP="0078656A">
      <w:pPr>
        <w:pStyle w:val="StandardText"/>
      </w:pPr>
      <w:r w:rsidRPr="00E73F6F">
        <w:t>Ziel christlicher Mystiker ist u.a. die unmittelbare Einheit mit Jesus Christus, z.B. in der Passions-Mystik durch „Mitleiden“ mit Gottes Sohn. Bekannt geworden sind innerhalb des Christentums weiterhin die prophetische Mystik der Hildegard von Bingen und die spekulative Mystik von Meister Eckehart, einem Dominikaner-Mönch. Mystische Strömungen des Judentums sind insb. der Chassidismus, die Kabbala sowie der Sabbatianismus. Im Islam spielt der Sufismus eine entsprechende Rolle. Vorläufer der Mystik waren u.a. die Lehre des Vedanta (Indien) und die Mysterienkulte im antiken Griechenland. Nach Auffassung der Buddhisten führen vier Stufen des „sich Versenkens“ dazu, dass der Mystiker eine höhere Ebene des Wissens erlangt, welche die Erkenntnis des „Nicht-Seienden“, die vollkommene Leere, zum Gegenstand hat. Diese Philosophie ist heute vor allem im japanischen Zen verbreitet.</w:t>
      </w:r>
    </w:p>
    <w:p w14:paraId="23BA5699" w14:textId="77777777" w:rsidR="00FF7799" w:rsidRPr="00E73F6F" w:rsidRDefault="00FF7799" w:rsidP="0078656A">
      <w:pPr>
        <w:pStyle w:val="StandardText"/>
      </w:pPr>
      <w:r w:rsidRPr="00E73F6F">
        <w:t xml:space="preserve">Die sog. Neuro-Theologie versucht, die Gehirntätigkeit bei mystischen Erlebnissen darzustellen. Hierzu bedient sie sich bildgebender Verfahren, die Einblick in die Funktionsweise des menschlichen Gehirns gewähren. Wie Newberg (2001) berichtet, mindert Meditation die neuronale Aktivität in jenem Hirnareal im Hinterkopf, das für die räumliche Orientierung zuständig ist. Deshalb könne das Individuum sich selbst (d.h. seine innere Welt) nicht mehr von der äußeren Welt abgrenzen. Den dadurch bedingten Zustand des Aufgehens im Universum haben </w:t>
      </w:r>
      <w:r w:rsidRPr="00E73F6F">
        <w:lastRenderedPageBreak/>
        <w:t>Mystiker als vollkommenes Eins-Sein mit dem Universum beschrieben. Die Mehrzahl der Wissenschaftler lehnt diese Interpretation allerdings als zu weitgehend und hypothetisch ab. So sei nicht erklärlich, warum das für die 'unio mystica' charakteristische Glücksgefühl durch eine verminderte Aktivität des räumlichen Orientierungsareals ausgelöst werden soll. Aber auch kritischere Wissenschaftler bringen Meditation (im Sinne von Erleuchtung und mystischen Erlebnissen) mit dem Verlust des egozentrischen Selbstbildes in Verbindung; daran seien allerdings mindestens drei Hirnareale beteiligt: nämlich Amygdala, Hypothalamus und Mittelhirn (vgl. Austin 2001).</w:t>
      </w:r>
    </w:p>
    <w:p w14:paraId="3E98F696" w14:textId="77777777" w:rsidR="00FF7799" w:rsidRPr="00E73F6F" w:rsidRDefault="00FF7799" w:rsidP="0078656A">
      <w:pPr>
        <w:pStyle w:val="StandardText"/>
      </w:pPr>
      <w:r w:rsidRPr="00E73F6F">
        <w:t>Persinger/Healey (2002) konnten experimentell nachweisen, dass bei schwacher elektromagnetischer Bestrahlung der rechten Gehirnhälfte signifikant häufiger die Anwesenheit einer „überirdischen Kraft“ wahrgenommen wird als bei einer unbestrahlten Kontrollgruppe. Die Forscher folgern daraus, dass das Zentrum für spirituelles Erleben in der rechten Hemisphäre zu suchen sei.</w:t>
      </w:r>
    </w:p>
    <w:p w14:paraId="0D38AB84" w14:textId="77777777" w:rsidR="00FF7799" w:rsidRPr="00805AA4" w:rsidRDefault="00FF7799" w:rsidP="0078656A">
      <w:pPr>
        <w:pStyle w:val="StandardText"/>
        <w:rPr>
          <w:sz w:val="22"/>
          <w:szCs w:val="22"/>
          <w:lang w:val="en-US"/>
        </w:rPr>
      </w:pPr>
      <w:r w:rsidRPr="00805AA4">
        <w:rPr>
          <w:b/>
          <w:i/>
          <w:sz w:val="22"/>
          <w:szCs w:val="22"/>
          <w:lang w:val="en-US"/>
        </w:rPr>
        <w:t>Literatur</w:t>
      </w:r>
      <w:r w:rsidRPr="00805AA4">
        <w:rPr>
          <w:i/>
          <w:sz w:val="22"/>
          <w:szCs w:val="22"/>
          <w:lang w:val="en-US"/>
        </w:rPr>
        <w:t>:</w:t>
      </w:r>
      <w:r w:rsidRPr="00805AA4">
        <w:rPr>
          <w:sz w:val="22"/>
          <w:szCs w:val="22"/>
          <w:lang w:val="en-US"/>
        </w:rPr>
        <w:t xml:space="preserve"> Austin, J.H. (2001): Zen and the Brain. Toward an Understanding of Meditation and Consciousness, 6th Ed., Cambridge/MA: MIT. Batson, C.D.; Schoenrade, P.; Ventis, W.L. (1993): Religion and the Individual. A Social-Psychological Perspective, New York: Oxford University Press. Brown, B.A. (1996): Authoritarianism in the New States of Central Asia. </w:t>
      </w:r>
      <w:r w:rsidRPr="00805AA4">
        <w:rPr>
          <w:sz w:val="22"/>
          <w:szCs w:val="22"/>
        </w:rPr>
        <w:t xml:space="preserve">An Overview of Post-Independence Politics, Bericht des BIOst 46/1996, Köln: Bundesinstitut für Ostwissenschaftliche und Internationale Studien. Büsing, A.; Ostermann, T.; Glöckler, M.; Matthiessen, P.F. (2007): Spiritualität, Krankheit und Heilung. Bedeutung und Ausdrucksformen der Spiritualität in der Medizin, Frankfurt/Main: Verlag für akademische Schriften. </w:t>
      </w:r>
      <w:r w:rsidRPr="00805AA4">
        <w:rPr>
          <w:sz w:val="22"/>
          <w:szCs w:val="22"/>
          <w:lang w:val="en-US"/>
        </w:rPr>
        <w:t>Delener, N. (1990): The Effects of Religious Factors on Perceived Risk in Durable Goods Purchase Decisions, Journal of Consumer Marketing, 7(3): 27</w:t>
      </w:r>
      <w:r w:rsidRPr="00805AA4">
        <w:rPr>
          <w:sz w:val="22"/>
          <w:szCs w:val="22"/>
          <w:lang w:val="en-US"/>
        </w:rPr>
        <w:noBreakHyphen/>
        <w:t>38. Gibbs, J.; Kraemer, K.L.; Dedrick, J. (2003): Environment and Policy Factors Shaping Global E</w:t>
      </w:r>
      <w:r w:rsidRPr="00805AA4">
        <w:rPr>
          <w:sz w:val="22"/>
          <w:szCs w:val="22"/>
          <w:lang w:val="en-US"/>
        </w:rPr>
        <w:noBreakHyphen/>
        <w:t xml:space="preserve">Commerce Diffusion. </w:t>
      </w:r>
      <w:r w:rsidRPr="00805AA4">
        <w:rPr>
          <w:sz w:val="22"/>
          <w:szCs w:val="22"/>
        </w:rPr>
        <w:t>A Cross-Country Comparison, The Information Society, 19(1): 5</w:t>
      </w:r>
      <w:r w:rsidRPr="00805AA4">
        <w:rPr>
          <w:sz w:val="22"/>
          <w:szCs w:val="22"/>
        </w:rPr>
        <w:noBreakHyphen/>
        <w:t xml:space="preserve">18. Gabriel, K. (1994): Christentum zwischen Tradition und Postmoderne, 3.Aufl., Freiburg: Herder. Glock, C.Y. (1969): Über die Dimensionen der Religiosität, in: Matthes, J. (Hrsg.), Kirche und Gesellschaft. </w:t>
      </w:r>
      <w:r w:rsidRPr="00805AA4">
        <w:rPr>
          <w:sz w:val="22"/>
          <w:szCs w:val="22"/>
          <w:lang w:val="en-US"/>
        </w:rPr>
        <w:t>Einführung in die Religionssoziologie II, 150</w:t>
      </w:r>
      <w:r w:rsidRPr="00805AA4">
        <w:rPr>
          <w:sz w:val="22"/>
          <w:szCs w:val="22"/>
          <w:lang w:val="en-US"/>
        </w:rPr>
        <w:noBreakHyphen/>
        <w:t xml:space="preserve">168, Reinbek: Rowohlt. Hagen, E.E. (1962): On the Theory of Social Change. How Economic Growth Begins, Homewood/IL: Dorsey. </w:t>
      </w:r>
      <w:r w:rsidRPr="00805AA4">
        <w:rPr>
          <w:sz w:val="22"/>
          <w:szCs w:val="22"/>
        </w:rPr>
        <w:t>Hahn, A.; Bergmann, J.R.; Luckmann, T. (1993): Die Kulturbedeutung der Religion in der Gegenwart der westlichen Gesellschaften, in: Bergmann, J.; Hahn, A.; Luckmann, T. (Hrsg.), Religion und Kultur, 7</w:t>
      </w:r>
      <w:r w:rsidRPr="00805AA4">
        <w:rPr>
          <w:sz w:val="22"/>
          <w:szCs w:val="22"/>
        </w:rPr>
        <w:noBreakHyphen/>
        <w:t>15, Opladen: Westdeutscher Verlag. Haub, E. (1992): Die Messung der Religiosität. Empirische Grundlagen und Methoden, in: Schmitz, E. (Hrsg.), Religionspsychologie. Eine Bestandsaufnahme des gegenwärtigen Forschungsstandes, Göttingen: Hogrefe. Hillebrecht, S.W. (1995): Grundlagen des Kirchlichen Marketing, Marketing ZFP, 17(4): 221</w:t>
      </w:r>
      <w:r w:rsidRPr="00805AA4">
        <w:rPr>
          <w:sz w:val="22"/>
          <w:szCs w:val="22"/>
        </w:rPr>
        <w:noBreakHyphen/>
        <w:t xml:space="preserve">231. </w:t>
      </w:r>
      <w:r w:rsidRPr="00805AA4">
        <w:rPr>
          <w:sz w:val="22"/>
          <w:szCs w:val="22"/>
          <w:lang w:val="en-US"/>
        </w:rPr>
        <w:t>Jones, M.B. (1958): Religious Values and Authoritarian Tendency, Journal of Social Psychology, 48(1): 83-89. Kecskes, R.; Wolf, C. (1993): Christian Religiosity. Concepts, Indicators, and Measuring Instruments, Kölner Zeitschrift für Soziologie und Sozialpsychologie, 45(2): 270</w:t>
      </w:r>
      <w:r w:rsidRPr="00805AA4">
        <w:rPr>
          <w:sz w:val="22"/>
          <w:szCs w:val="22"/>
          <w:lang w:val="en-US"/>
        </w:rPr>
        <w:noBreakHyphen/>
        <w:t>287. McDaniel, S.W.; Burnett, J.J. (1990): Consumer Religiosity and Retail Store Evaluation Criteria, Journal of the Academy of Marketing Science, 18(2): 101</w:t>
      </w:r>
      <w:r w:rsidRPr="00805AA4">
        <w:rPr>
          <w:sz w:val="22"/>
          <w:szCs w:val="22"/>
          <w:lang w:val="en-US"/>
        </w:rPr>
        <w:noBreakHyphen/>
        <w:t xml:space="preserve">112. </w:t>
      </w:r>
      <w:r w:rsidRPr="00805AA4">
        <w:rPr>
          <w:sz w:val="22"/>
          <w:szCs w:val="22"/>
        </w:rPr>
        <w:t xml:space="preserve">Müller, S.; Gelbrich, K. (2021): Interkulturelles Konsumentenverhalten, München: Vahlen. Newberg, A.; D’Aquili, E.G.; Rause, V. (2001): Why God Won’t Go Away. </w:t>
      </w:r>
      <w:r w:rsidRPr="00805AA4">
        <w:rPr>
          <w:sz w:val="22"/>
          <w:szCs w:val="22"/>
          <w:lang w:val="en-US"/>
        </w:rPr>
        <w:t>Brain Science and the Biology of Belief, New York: Ballantine. Persinger, M.A.; Healey, F. (2002): Experimental Facilitation of the Sensed Presence. Possible Intercalation between the Hemispheres Induced by Complex Magnetic Fields, Journal of Nervous &amp; Mental Disease, 190(8): 533</w:t>
      </w:r>
      <w:r w:rsidRPr="00805AA4">
        <w:rPr>
          <w:sz w:val="22"/>
          <w:szCs w:val="22"/>
          <w:lang w:val="en-US"/>
        </w:rPr>
        <w:noBreakHyphen/>
        <w:t xml:space="preserve">541. Roof, W.C.; McKinney, W. (1987): American Mainline Religion. Its Changing Shape and Future, New Brunswick/NJ: Rutgers University Press. </w:t>
      </w:r>
      <w:r w:rsidR="00805AA4">
        <w:rPr>
          <w:sz w:val="22"/>
          <w:szCs w:val="22"/>
          <w:lang w:val="en-US"/>
        </w:rPr>
        <w:t xml:space="preserve">  </w:t>
      </w:r>
      <w:r w:rsidRPr="00805AA4">
        <w:rPr>
          <w:sz w:val="22"/>
          <w:szCs w:val="22"/>
          <w:lang w:val="en-US"/>
        </w:rPr>
        <w:t xml:space="preserve">Ramanujan, A.K. (1989): Is there an Indian Way of Thinking? </w:t>
      </w:r>
      <w:r w:rsidRPr="00805AA4">
        <w:rPr>
          <w:sz w:val="22"/>
          <w:szCs w:val="22"/>
        </w:rPr>
        <w:t xml:space="preserve">Contributions to Indian Sociology, 23(1): 41-58. Schulze, R. (1991): Weil sie ganz anders sind. Alte Klischees verstellen uns den Blick auf einen Orient im Aufbruch, Die Zeit, 46(19): 56. </w:t>
      </w:r>
      <w:r w:rsidRPr="00805AA4">
        <w:rPr>
          <w:sz w:val="22"/>
          <w:szCs w:val="22"/>
          <w:lang w:val="en-US"/>
        </w:rPr>
        <w:t>Sood, J.; Nasu, Y. (1995): Religiosity and Nationality. An Exploratory Study of Their Effect on Consumer Behavior in Japan and the United States, Journal of Business Research, 34(1): 1</w:t>
      </w:r>
      <w:r w:rsidRPr="00805AA4">
        <w:rPr>
          <w:sz w:val="22"/>
          <w:szCs w:val="22"/>
          <w:lang w:val="en-US"/>
        </w:rPr>
        <w:noBreakHyphen/>
        <w:t xml:space="preserve">9. </w:t>
      </w:r>
      <w:r w:rsidRPr="00805AA4">
        <w:rPr>
          <w:sz w:val="22"/>
          <w:szCs w:val="22"/>
        </w:rPr>
        <w:t>Thomas, A. (1991): Grundriss der Sozialpsychologie, Göttingen: Hogrefe. Weiss, D. (1995): Entwicklung als Wettbewerb der Kulturen, Aus Politik und Zeitgeschichte, 45(B29): 3</w:t>
      </w:r>
      <w:r w:rsidRPr="00805AA4">
        <w:rPr>
          <w:sz w:val="22"/>
          <w:szCs w:val="22"/>
        </w:rPr>
        <w:noBreakHyphen/>
        <w:t xml:space="preserve">10. </w:t>
      </w:r>
      <w:r w:rsidRPr="00805AA4">
        <w:rPr>
          <w:sz w:val="22"/>
          <w:szCs w:val="22"/>
          <w:lang w:val="en-US"/>
        </w:rPr>
        <w:t>Wilkes, R.E.; Burnett, J.J.; Howell, R.D. (1986): On the Meaning and Measurement of Religiosity in Consumer Research, Journal of the Academy of Marketing Science, 14(1): 47</w:t>
      </w:r>
      <w:r w:rsidRPr="00805AA4">
        <w:rPr>
          <w:sz w:val="22"/>
          <w:szCs w:val="22"/>
          <w:lang w:val="en-US"/>
        </w:rPr>
        <w:noBreakHyphen/>
        <w:t>56. Wulff, D.M. (1991): Psychology of Religion. Classic and Contemporary Views, New York: Wiley.</w:t>
      </w:r>
    </w:p>
    <w:bookmarkEnd w:id="139"/>
    <w:p w14:paraId="5218A452" w14:textId="77777777" w:rsidR="00FF7799" w:rsidRPr="00805AA4" w:rsidRDefault="00FF7799" w:rsidP="0078656A">
      <w:pPr>
        <w:pStyle w:val="StandardText"/>
        <w:rPr>
          <w:sz w:val="22"/>
          <w:szCs w:val="22"/>
          <w:lang w:val="en-US"/>
        </w:rPr>
      </w:pPr>
    </w:p>
    <w:p w14:paraId="1664AE91" w14:textId="77777777" w:rsidR="00FF7799" w:rsidRPr="00E35FFF" w:rsidRDefault="00FF7799" w:rsidP="00862DBA">
      <w:pPr>
        <w:spacing w:before="9"/>
        <w:rPr>
          <w:sz w:val="24"/>
          <w:szCs w:val="24"/>
          <w:lang w:val="en-US"/>
        </w:rPr>
      </w:pPr>
    </w:p>
    <w:p w14:paraId="2F899CCF" w14:textId="77777777" w:rsidR="00FF7799" w:rsidRPr="0076699A" w:rsidRDefault="00FF7799" w:rsidP="00862DBA">
      <w:pPr>
        <w:rPr>
          <w:sz w:val="24"/>
          <w:szCs w:val="24"/>
          <w:lang w:val="en-US"/>
        </w:rPr>
      </w:pPr>
      <w:r w:rsidRPr="00BA3271">
        <w:rPr>
          <w:b/>
          <w:bCs/>
          <w:color w:val="2E74B5"/>
          <w:sz w:val="24"/>
        </w:rPr>
        <w:t>Research Review</w:t>
      </w:r>
      <w:r w:rsidRPr="0076699A">
        <w:rPr>
          <w:b/>
          <w:spacing w:val="-7"/>
          <w:sz w:val="24"/>
          <w:szCs w:val="24"/>
          <w:lang w:val="en-US"/>
        </w:rPr>
        <w:t xml:space="preserve"> </w:t>
      </w:r>
      <w:r w:rsidRPr="0076699A">
        <w:rPr>
          <w:sz w:val="24"/>
          <w:szCs w:val="24"/>
          <w:lang w:val="en-US"/>
        </w:rPr>
        <w:t>→</w:t>
      </w:r>
      <w:r w:rsidR="00805AA4" w:rsidRPr="0076699A">
        <w:rPr>
          <w:spacing w:val="-2"/>
          <w:sz w:val="24"/>
          <w:szCs w:val="24"/>
          <w:lang w:val="en-US"/>
        </w:rPr>
        <w:t xml:space="preserve"> Meta-A</w:t>
      </w:r>
      <w:r w:rsidRPr="0076699A">
        <w:rPr>
          <w:spacing w:val="-2"/>
          <w:sz w:val="24"/>
          <w:szCs w:val="24"/>
          <w:lang w:val="en-US"/>
        </w:rPr>
        <w:t>nalyse</w:t>
      </w:r>
    </w:p>
    <w:p w14:paraId="4D518A83" w14:textId="77777777" w:rsidR="00FF7799" w:rsidRPr="0076699A" w:rsidRDefault="00FF7799" w:rsidP="00862DBA">
      <w:pPr>
        <w:spacing w:before="10"/>
        <w:rPr>
          <w:sz w:val="24"/>
          <w:szCs w:val="24"/>
          <w:lang w:val="en-US"/>
        </w:rPr>
      </w:pPr>
    </w:p>
    <w:p w14:paraId="46542A12" w14:textId="77777777" w:rsidR="00677BB9" w:rsidRPr="007F69DA" w:rsidRDefault="00677BB9" w:rsidP="00677BB9">
      <w:pPr>
        <w:keepNext/>
        <w:keepLines/>
        <w:spacing w:before="240"/>
        <w:jc w:val="both"/>
        <w:outlineLvl w:val="1"/>
        <w:rPr>
          <w:b/>
          <w:color w:val="2E74B5"/>
          <w:lang w:val="en-US"/>
        </w:rPr>
      </w:pPr>
      <w:r w:rsidRPr="00A7181D">
        <w:rPr>
          <w:b/>
          <w:bCs/>
          <w:color w:val="2E74B5"/>
          <w:sz w:val="24"/>
        </w:rPr>
        <w:t>Response-bias corrected values</w:t>
      </w:r>
      <w:r w:rsidRPr="007F69DA">
        <w:rPr>
          <w:b/>
          <w:color w:val="2E74B5"/>
          <w:lang w:val="en-US"/>
        </w:rPr>
        <w:t xml:space="preserve"> </w:t>
      </w:r>
      <w:r w:rsidRPr="007F69DA">
        <w:rPr>
          <w:szCs w:val="24"/>
        </w:rPr>
        <w:sym w:font="Symbol" w:char="F0AE"/>
      </w:r>
      <w:r w:rsidRPr="007F69DA">
        <w:rPr>
          <w:szCs w:val="24"/>
          <w:lang w:val="en-US"/>
        </w:rPr>
        <w:t xml:space="preserve"> Global Leadership and Organizational Behavior  Effectiveness (GLOBE)</w:t>
      </w:r>
    </w:p>
    <w:p w14:paraId="25DECBE8" w14:textId="77777777" w:rsidR="00677BB9" w:rsidRPr="007F69DA" w:rsidRDefault="00677BB9" w:rsidP="00677BB9">
      <w:pPr>
        <w:rPr>
          <w:szCs w:val="24"/>
          <w:lang w:val="en-US"/>
        </w:rPr>
      </w:pPr>
    </w:p>
    <w:p w14:paraId="4C3BB136" w14:textId="77777777" w:rsidR="00FF7799" w:rsidRPr="00812008" w:rsidRDefault="00FF7799" w:rsidP="009355CA">
      <w:pPr>
        <w:pStyle w:val="berschrift1"/>
        <w:rPr>
          <w:color w:val="2E74B5"/>
        </w:rPr>
      </w:pPr>
      <w:proofErr w:type="spellStart"/>
      <w:r w:rsidRPr="00812008">
        <w:rPr>
          <w:color w:val="2E74B5"/>
        </w:rPr>
        <w:t>Ringi-Seido</w:t>
      </w:r>
      <w:proofErr w:type="spellEnd"/>
    </w:p>
    <w:p w14:paraId="290A347E" w14:textId="77777777" w:rsidR="00FF7799" w:rsidRPr="00E73F6F" w:rsidRDefault="00FF7799" w:rsidP="00436621">
      <w:pPr>
        <w:pStyle w:val="StandardText"/>
      </w:pPr>
      <w:r w:rsidRPr="00E73F6F">
        <w:t>Technik der Entscheidungsfindung, die nicht auf dem demokratischen Mehrheitsprinzip, sondern auf dem konfuzianischen Konsensusprinzip basiert. Wurde in traditionellen japanischen Unternehmen ein Entscheidungsproblem zur Ringi-Angelegenheit erhoben, dann zirkulierte das Ringi-Formular mit dem Lösungsentwurf</w:t>
      </w:r>
      <w:r w:rsidRPr="00E73F6F">
        <w:rPr>
          <w:spacing w:val="56"/>
        </w:rPr>
        <w:t xml:space="preserve"> </w:t>
      </w:r>
      <w:r w:rsidRPr="00E73F6F">
        <w:t>so</w:t>
      </w:r>
      <w:r w:rsidRPr="00E73F6F">
        <w:rPr>
          <w:spacing w:val="56"/>
        </w:rPr>
        <w:t xml:space="preserve"> </w:t>
      </w:r>
      <w:r w:rsidRPr="00E73F6F">
        <w:t>lange</w:t>
      </w:r>
      <w:r w:rsidRPr="00E73F6F">
        <w:rPr>
          <w:spacing w:val="55"/>
        </w:rPr>
        <w:t xml:space="preserve"> </w:t>
      </w:r>
      <w:r w:rsidRPr="00E73F6F">
        <w:t>zwischen</w:t>
      </w:r>
      <w:r w:rsidRPr="00E73F6F">
        <w:rPr>
          <w:spacing w:val="57"/>
        </w:rPr>
        <w:t xml:space="preserve"> </w:t>
      </w:r>
      <w:r w:rsidRPr="00E73F6F">
        <w:t>allen</w:t>
      </w:r>
      <w:r w:rsidRPr="00E73F6F">
        <w:rPr>
          <w:spacing w:val="54"/>
        </w:rPr>
        <w:t xml:space="preserve"> </w:t>
      </w:r>
      <w:r w:rsidRPr="00E73F6F">
        <w:t>davon</w:t>
      </w:r>
      <w:r w:rsidRPr="00E73F6F">
        <w:rPr>
          <w:spacing w:val="54"/>
        </w:rPr>
        <w:t xml:space="preserve"> </w:t>
      </w:r>
      <w:r w:rsidRPr="00E73F6F">
        <w:t>betroffenen</w:t>
      </w:r>
      <w:r w:rsidRPr="00E73F6F">
        <w:rPr>
          <w:spacing w:val="58"/>
        </w:rPr>
        <w:t xml:space="preserve"> </w:t>
      </w:r>
      <w:r w:rsidRPr="00E73F6F">
        <w:rPr>
          <w:spacing w:val="-2"/>
        </w:rPr>
        <w:t>(Unternehmens-</w:t>
      </w:r>
      <w:r w:rsidRPr="00E73F6F">
        <w:t>)Abteilungen und wurde dabei immer wieder geprüft, ergänzt sowie modifiziert, bis jeder Beteiligte dem Konzept zustimmen konnte. Zwar dehnt diese Prozedur die Phase der</w:t>
      </w:r>
      <w:r w:rsidRPr="00E73F6F">
        <w:rPr>
          <w:spacing w:val="-1"/>
        </w:rPr>
        <w:t xml:space="preserve"> </w:t>
      </w:r>
      <w:r w:rsidRPr="00E73F6F">
        <w:t>Entscheidungsfindung stark aus. Sie sorgt aber zugleich dafür, dass die</w:t>
      </w:r>
      <w:r w:rsidRPr="00E73F6F">
        <w:rPr>
          <w:spacing w:val="-5"/>
        </w:rPr>
        <w:t xml:space="preserve"> </w:t>
      </w:r>
      <w:r w:rsidRPr="00E73F6F">
        <w:t>Durchführungsphase</w:t>
      </w:r>
      <w:r w:rsidRPr="00E73F6F">
        <w:rPr>
          <w:spacing w:val="-5"/>
        </w:rPr>
        <w:t xml:space="preserve"> </w:t>
      </w:r>
      <w:r w:rsidRPr="00E73F6F">
        <w:t>verkürzt</w:t>
      </w:r>
      <w:r w:rsidRPr="00E73F6F">
        <w:rPr>
          <w:spacing w:val="-6"/>
        </w:rPr>
        <w:t xml:space="preserve"> </w:t>
      </w:r>
      <w:r w:rsidRPr="00E73F6F">
        <w:t>und</w:t>
      </w:r>
      <w:r w:rsidRPr="00E73F6F">
        <w:rPr>
          <w:spacing w:val="-6"/>
        </w:rPr>
        <w:t xml:space="preserve"> </w:t>
      </w:r>
      <w:r w:rsidRPr="00E73F6F">
        <w:t>vergleichsweise</w:t>
      </w:r>
      <w:r w:rsidRPr="00E73F6F">
        <w:rPr>
          <w:spacing w:val="-5"/>
        </w:rPr>
        <w:t xml:space="preserve"> </w:t>
      </w:r>
      <w:r w:rsidRPr="00E73F6F">
        <w:t>problemlos</w:t>
      </w:r>
      <w:r w:rsidRPr="00E73F6F">
        <w:rPr>
          <w:spacing w:val="-5"/>
        </w:rPr>
        <w:t xml:space="preserve"> </w:t>
      </w:r>
      <w:r w:rsidRPr="00E73F6F">
        <w:t>abläuft</w:t>
      </w:r>
      <w:r w:rsidRPr="00E73F6F">
        <w:rPr>
          <w:spacing w:val="-4"/>
        </w:rPr>
        <w:t xml:space="preserve"> </w:t>
      </w:r>
      <w:r w:rsidRPr="00E73F6F">
        <w:t>(da</w:t>
      </w:r>
      <w:r w:rsidRPr="00E73F6F">
        <w:rPr>
          <w:spacing w:val="-5"/>
        </w:rPr>
        <w:t xml:space="preserve"> </w:t>
      </w:r>
      <w:r w:rsidRPr="00E73F6F">
        <w:t>nun nicht</w:t>
      </w:r>
      <w:r w:rsidRPr="00E73F6F">
        <w:rPr>
          <w:spacing w:val="-5"/>
        </w:rPr>
        <w:t xml:space="preserve"> </w:t>
      </w:r>
      <w:r w:rsidRPr="00E73F6F">
        <w:t>mehr</w:t>
      </w:r>
      <w:r w:rsidRPr="00E73F6F">
        <w:rPr>
          <w:spacing w:val="-5"/>
        </w:rPr>
        <w:t xml:space="preserve"> </w:t>
      </w:r>
      <w:r w:rsidRPr="00E73F6F">
        <w:t>mit</w:t>
      </w:r>
      <w:r w:rsidRPr="00E73F6F">
        <w:rPr>
          <w:spacing w:val="-5"/>
        </w:rPr>
        <w:t xml:space="preserve"> </w:t>
      </w:r>
      <w:r w:rsidRPr="00E73F6F">
        <w:t>innerbetrieblichem</w:t>
      </w:r>
      <w:r w:rsidRPr="00E73F6F">
        <w:rPr>
          <w:spacing w:val="-6"/>
        </w:rPr>
        <w:t xml:space="preserve"> </w:t>
      </w:r>
      <w:r w:rsidRPr="00E73F6F">
        <w:t>Widerstand</w:t>
      </w:r>
      <w:r w:rsidRPr="00E73F6F">
        <w:rPr>
          <w:spacing w:val="-4"/>
        </w:rPr>
        <w:t xml:space="preserve"> </w:t>
      </w:r>
      <w:r w:rsidRPr="00E73F6F">
        <w:t>gerechnet</w:t>
      </w:r>
      <w:r w:rsidRPr="00E73F6F">
        <w:rPr>
          <w:spacing w:val="-5"/>
        </w:rPr>
        <w:t xml:space="preserve"> </w:t>
      </w:r>
      <w:r w:rsidRPr="00E73F6F">
        <w:t>werden</w:t>
      </w:r>
      <w:r w:rsidRPr="00E73F6F">
        <w:rPr>
          <w:spacing w:val="-7"/>
        </w:rPr>
        <w:t xml:space="preserve"> </w:t>
      </w:r>
      <w:r w:rsidRPr="00E73F6F">
        <w:t>muss).</w:t>
      </w:r>
      <w:r w:rsidRPr="00E73F6F">
        <w:rPr>
          <w:spacing w:val="-5"/>
        </w:rPr>
        <w:t xml:space="preserve"> </w:t>
      </w:r>
      <w:r w:rsidRPr="00E73F6F">
        <w:t>Man</w:t>
      </w:r>
      <w:r w:rsidRPr="00E73F6F">
        <w:rPr>
          <w:spacing w:val="-4"/>
        </w:rPr>
        <w:t xml:space="preserve"> </w:t>
      </w:r>
      <w:r w:rsidRPr="00E73F6F">
        <w:t>geht davon aus, dass insgesamt gesehen das Konsensusprinzip</w:t>
      </w:r>
      <w:r w:rsidRPr="00E73F6F">
        <w:rPr>
          <w:spacing w:val="40"/>
        </w:rPr>
        <w:t xml:space="preserve"> </w:t>
      </w:r>
      <w:r w:rsidRPr="00E73F6F">
        <w:t>letztlich den Entscheidungsprozess</w:t>
      </w:r>
      <w:r w:rsidRPr="00E73F6F">
        <w:rPr>
          <w:spacing w:val="-12"/>
        </w:rPr>
        <w:t xml:space="preserve"> </w:t>
      </w:r>
      <w:r w:rsidRPr="00E73F6F">
        <w:t>verkürzt.</w:t>
      </w:r>
      <w:r w:rsidRPr="00E73F6F">
        <w:rPr>
          <w:spacing w:val="-11"/>
        </w:rPr>
        <w:t xml:space="preserve"> </w:t>
      </w:r>
      <w:r w:rsidRPr="00E73F6F">
        <w:t>Jedenfalls</w:t>
      </w:r>
      <w:r w:rsidRPr="00E73F6F">
        <w:rPr>
          <w:spacing w:val="-11"/>
        </w:rPr>
        <w:t xml:space="preserve"> </w:t>
      </w:r>
      <w:r w:rsidRPr="00E73F6F">
        <w:t>steigt</w:t>
      </w:r>
      <w:r w:rsidRPr="00E73F6F">
        <w:rPr>
          <w:spacing w:val="-11"/>
        </w:rPr>
        <w:t xml:space="preserve"> </w:t>
      </w:r>
      <w:r w:rsidRPr="00E73F6F">
        <w:t>in</w:t>
      </w:r>
      <w:r w:rsidRPr="00E73F6F">
        <w:rPr>
          <w:spacing w:val="-12"/>
        </w:rPr>
        <w:t xml:space="preserve"> </w:t>
      </w:r>
      <w:r w:rsidRPr="00E73F6F">
        <w:t>dem</w:t>
      </w:r>
      <w:r w:rsidRPr="00E73F6F">
        <w:rPr>
          <w:spacing w:val="-11"/>
        </w:rPr>
        <w:t xml:space="preserve"> </w:t>
      </w:r>
      <w:r w:rsidRPr="00E73F6F">
        <w:t>Maße,</w:t>
      </w:r>
      <w:r w:rsidRPr="00E73F6F">
        <w:rPr>
          <w:spacing w:val="-11"/>
        </w:rPr>
        <w:t xml:space="preserve"> </w:t>
      </w:r>
      <w:r w:rsidRPr="00E73F6F">
        <w:t>wie</w:t>
      </w:r>
      <w:r w:rsidRPr="00E73F6F">
        <w:rPr>
          <w:spacing w:val="-11"/>
        </w:rPr>
        <w:t xml:space="preserve"> </w:t>
      </w:r>
      <w:r w:rsidRPr="00E73F6F">
        <w:t>verschiedene Mitarbeiter, Abteilungen etc. einbezogen werden, die Akzeptanz der Entscheidung.</w:t>
      </w:r>
      <w:r w:rsidRPr="00E73F6F">
        <w:rPr>
          <w:spacing w:val="-8"/>
        </w:rPr>
        <w:t xml:space="preserve"> </w:t>
      </w:r>
      <w:r w:rsidRPr="00E73F6F">
        <w:t>Weitere</w:t>
      </w:r>
      <w:r w:rsidRPr="00E73F6F">
        <w:rPr>
          <w:spacing w:val="-10"/>
        </w:rPr>
        <w:t xml:space="preserve"> </w:t>
      </w:r>
      <w:r w:rsidRPr="00E73F6F">
        <w:t>positive</w:t>
      </w:r>
      <w:r w:rsidRPr="00E73F6F">
        <w:rPr>
          <w:spacing w:val="-12"/>
        </w:rPr>
        <w:t xml:space="preserve"> </w:t>
      </w:r>
      <w:r w:rsidRPr="00E73F6F">
        <w:t>unspezifische</w:t>
      </w:r>
      <w:r w:rsidRPr="00E73F6F">
        <w:rPr>
          <w:spacing w:val="-8"/>
        </w:rPr>
        <w:t xml:space="preserve"> </w:t>
      </w:r>
      <w:r w:rsidRPr="00E73F6F">
        <w:t>innerbetriebliche</w:t>
      </w:r>
      <w:r w:rsidRPr="00E73F6F">
        <w:rPr>
          <w:spacing w:val="-9"/>
        </w:rPr>
        <w:t xml:space="preserve"> </w:t>
      </w:r>
      <w:r w:rsidRPr="00E73F6F">
        <w:t>Effekte</w:t>
      </w:r>
      <w:r w:rsidRPr="00E73F6F">
        <w:rPr>
          <w:spacing w:val="-9"/>
        </w:rPr>
        <w:t xml:space="preserve"> </w:t>
      </w:r>
      <w:r w:rsidRPr="00E73F6F">
        <w:t xml:space="preserve">erwachsen aus der Dezentralisierung der Kontrollfunktion, der Intensivierung der innerbetrieblichen Kommunikation und der Partizipation der mittleren </w:t>
      </w:r>
      <w:r w:rsidRPr="00E73F6F">
        <w:rPr>
          <w:spacing w:val="-2"/>
        </w:rPr>
        <w:t>Unternehmensebene.</w:t>
      </w:r>
    </w:p>
    <w:p w14:paraId="078C9161" w14:textId="77777777" w:rsidR="00FF7799" w:rsidRPr="00C60F01" w:rsidRDefault="00FF7799" w:rsidP="00436621">
      <w:pPr>
        <w:pStyle w:val="StandardText"/>
        <w:rPr>
          <w:sz w:val="22"/>
          <w:szCs w:val="22"/>
        </w:rPr>
      </w:pPr>
      <w:r w:rsidRPr="00C60F01">
        <w:rPr>
          <w:b/>
          <w:i/>
          <w:sz w:val="22"/>
          <w:szCs w:val="22"/>
          <w:lang w:val="en-US"/>
        </w:rPr>
        <w:t xml:space="preserve">Literatur: </w:t>
      </w:r>
      <w:r w:rsidRPr="00C60F01">
        <w:rPr>
          <w:sz w:val="22"/>
          <w:szCs w:val="22"/>
          <w:lang w:val="en-US"/>
        </w:rPr>
        <w:t>Abramson, N.R.; Keating, R.J.; Lane, H.W. (1996): Cross-National Cognitive</w:t>
      </w:r>
      <w:r w:rsidRPr="00C60F01">
        <w:rPr>
          <w:spacing w:val="40"/>
          <w:sz w:val="22"/>
          <w:szCs w:val="22"/>
          <w:lang w:val="en-US"/>
        </w:rPr>
        <w:t xml:space="preserve"> </w:t>
      </w:r>
      <w:r w:rsidRPr="00C60F01">
        <w:rPr>
          <w:sz w:val="22"/>
          <w:szCs w:val="22"/>
          <w:lang w:val="en-US"/>
        </w:rPr>
        <w:t>Process Differences. A Comparison of Canadian, American and Japanese Managers,</w:t>
      </w:r>
      <w:r w:rsidRPr="00C60F01">
        <w:rPr>
          <w:spacing w:val="40"/>
          <w:sz w:val="22"/>
          <w:szCs w:val="22"/>
          <w:lang w:val="en-US"/>
        </w:rPr>
        <w:t xml:space="preserve"> </w:t>
      </w:r>
      <w:r w:rsidRPr="00C60F01">
        <w:rPr>
          <w:sz w:val="22"/>
          <w:szCs w:val="22"/>
          <w:lang w:val="en-US"/>
        </w:rPr>
        <w:t>Management</w:t>
      </w:r>
      <w:r w:rsidRPr="00C60F01">
        <w:rPr>
          <w:spacing w:val="-2"/>
          <w:sz w:val="22"/>
          <w:szCs w:val="22"/>
          <w:lang w:val="en-US"/>
        </w:rPr>
        <w:t xml:space="preserve"> </w:t>
      </w:r>
      <w:r w:rsidRPr="00C60F01">
        <w:rPr>
          <w:sz w:val="22"/>
          <w:szCs w:val="22"/>
          <w:lang w:val="en-US"/>
        </w:rPr>
        <w:t>International</w:t>
      </w:r>
      <w:r w:rsidRPr="00C60F01">
        <w:rPr>
          <w:spacing w:val="-4"/>
          <w:sz w:val="22"/>
          <w:szCs w:val="22"/>
          <w:lang w:val="en-US"/>
        </w:rPr>
        <w:t xml:space="preserve"> </w:t>
      </w:r>
      <w:r w:rsidRPr="00C60F01">
        <w:rPr>
          <w:sz w:val="22"/>
          <w:szCs w:val="22"/>
          <w:lang w:val="en-US"/>
        </w:rPr>
        <w:t>Review,</w:t>
      </w:r>
      <w:r w:rsidRPr="00C60F01">
        <w:rPr>
          <w:spacing w:val="-1"/>
          <w:sz w:val="22"/>
          <w:szCs w:val="22"/>
          <w:lang w:val="en-US"/>
        </w:rPr>
        <w:t xml:space="preserve"> </w:t>
      </w:r>
      <w:r w:rsidRPr="00C60F01">
        <w:rPr>
          <w:sz w:val="22"/>
          <w:szCs w:val="22"/>
          <w:lang w:val="en-US"/>
        </w:rPr>
        <w:t>36(2):</w:t>
      </w:r>
      <w:r w:rsidRPr="00C60F01">
        <w:rPr>
          <w:spacing w:val="-4"/>
          <w:sz w:val="22"/>
          <w:szCs w:val="22"/>
          <w:lang w:val="en-US"/>
        </w:rPr>
        <w:t xml:space="preserve"> </w:t>
      </w:r>
      <w:r w:rsidRPr="00C60F01">
        <w:rPr>
          <w:sz w:val="22"/>
          <w:szCs w:val="22"/>
          <w:lang w:val="en-US"/>
        </w:rPr>
        <w:t>123-147.</w:t>
      </w:r>
      <w:r w:rsidRPr="00C60F01">
        <w:rPr>
          <w:spacing w:val="73"/>
          <w:sz w:val="22"/>
          <w:szCs w:val="22"/>
          <w:lang w:val="en-US"/>
        </w:rPr>
        <w:t xml:space="preserve"> </w:t>
      </w:r>
      <w:r w:rsidRPr="00C60F01">
        <w:rPr>
          <w:sz w:val="22"/>
          <w:szCs w:val="22"/>
          <w:lang w:val="en-US"/>
        </w:rPr>
        <w:t>Ohtsu,</w:t>
      </w:r>
      <w:r w:rsidRPr="00C60F01">
        <w:rPr>
          <w:spacing w:val="-5"/>
          <w:sz w:val="22"/>
          <w:szCs w:val="22"/>
          <w:lang w:val="en-US"/>
        </w:rPr>
        <w:t xml:space="preserve"> </w:t>
      </w:r>
      <w:r w:rsidRPr="00C60F01">
        <w:rPr>
          <w:sz w:val="22"/>
          <w:szCs w:val="22"/>
          <w:lang w:val="en-US"/>
        </w:rPr>
        <w:t>M.;</w:t>
      </w:r>
      <w:r w:rsidRPr="00C60F01">
        <w:rPr>
          <w:spacing w:val="-4"/>
          <w:sz w:val="22"/>
          <w:szCs w:val="22"/>
          <w:lang w:val="en-US"/>
        </w:rPr>
        <w:t xml:space="preserve"> </w:t>
      </w:r>
      <w:r w:rsidRPr="00C60F01">
        <w:rPr>
          <w:sz w:val="22"/>
          <w:szCs w:val="22"/>
          <w:lang w:val="en-US"/>
        </w:rPr>
        <w:t>Imanari,</w:t>
      </w:r>
      <w:r w:rsidRPr="00C60F01">
        <w:rPr>
          <w:spacing w:val="-5"/>
          <w:sz w:val="22"/>
          <w:szCs w:val="22"/>
          <w:lang w:val="en-US"/>
        </w:rPr>
        <w:t xml:space="preserve"> </w:t>
      </w:r>
      <w:r w:rsidRPr="00C60F01">
        <w:rPr>
          <w:sz w:val="22"/>
          <w:szCs w:val="22"/>
          <w:lang w:val="en-US"/>
        </w:rPr>
        <w:t>T.</w:t>
      </w:r>
      <w:r w:rsidRPr="00C60F01">
        <w:rPr>
          <w:spacing w:val="-1"/>
          <w:sz w:val="22"/>
          <w:szCs w:val="22"/>
          <w:lang w:val="en-US"/>
        </w:rPr>
        <w:t xml:space="preserve"> </w:t>
      </w:r>
      <w:r w:rsidRPr="00C60F01">
        <w:rPr>
          <w:sz w:val="22"/>
          <w:szCs w:val="22"/>
          <w:lang w:val="en-US"/>
        </w:rPr>
        <w:t>(2001):</w:t>
      </w:r>
      <w:r w:rsidRPr="00C60F01">
        <w:rPr>
          <w:spacing w:val="-4"/>
          <w:sz w:val="22"/>
          <w:szCs w:val="22"/>
          <w:lang w:val="en-US"/>
        </w:rPr>
        <w:t xml:space="preserve"> </w:t>
      </w:r>
      <w:r w:rsidRPr="00C60F01">
        <w:rPr>
          <w:sz w:val="22"/>
          <w:szCs w:val="22"/>
          <w:lang w:val="en-US"/>
        </w:rPr>
        <w:t>Inside</w:t>
      </w:r>
      <w:r w:rsidRPr="00C60F01">
        <w:rPr>
          <w:spacing w:val="40"/>
          <w:sz w:val="22"/>
          <w:szCs w:val="22"/>
          <w:lang w:val="en-US"/>
        </w:rPr>
        <w:t xml:space="preserve"> </w:t>
      </w:r>
      <w:r w:rsidRPr="00C60F01">
        <w:rPr>
          <w:sz w:val="22"/>
          <w:szCs w:val="22"/>
          <w:lang w:val="en-US"/>
        </w:rPr>
        <w:t>Japanese</w:t>
      </w:r>
      <w:r w:rsidRPr="00C60F01">
        <w:rPr>
          <w:spacing w:val="-1"/>
          <w:sz w:val="22"/>
          <w:szCs w:val="22"/>
          <w:lang w:val="en-US"/>
        </w:rPr>
        <w:t xml:space="preserve"> </w:t>
      </w:r>
      <w:r w:rsidRPr="00C60F01">
        <w:rPr>
          <w:sz w:val="22"/>
          <w:szCs w:val="22"/>
          <w:lang w:val="en-US"/>
        </w:rPr>
        <w:t>Business. A Narrative</w:t>
      </w:r>
      <w:r w:rsidRPr="00C60F01">
        <w:rPr>
          <w:spacing w:val="-1"/>
          <w:sz w:val="22"/>
          <w:szCs w:val="22"/>
          <w:lang w:val="en-US"/>
        </w:rPr>
        <w:t xml:space="preserve"> </w:t>
      </w:r>
      <w:r w:rsidRPr="00C60F01">
        <w:rPr>
          <w:sz w:val="22"/>
          <w:szCs w:val="22"/>
          <w:lang w:val="en-US"/>
        </w:rPr>
        <w:t>History,</w:t>
      </w:r>
      <w:r w:rsidRPr="00C60F01">
        <w:rPr>
          <w:spacing w:val="-1"/>
          <w:sz w:val="22"/>
          <w:szCs w:val="22"/>
          <w:lang w:val="en-US"/>
        </w:rPr>
        <w:t xml:space="preserve"> </w:t>
      </w:r>
      <w:r w:rsidRPr="00C60F01">
        <w:rPr>
          <w:sz w:val="22"/>
          <w:szCs w:val="22"/>
          <w:lang w:val="en-US"/>
        </w:rPr>
        <w:t>1960-2000, Armonk/NY: Sharpe.</w:t>
      </w:r>
      <w:r w:rsidRPr="00C60F01">
        <w:rPr>
          <w:spacing w:val="80"/>
          <w:sz w:val="22"/>
          <w:szCs w:val="22"/>
          <w:lang w:val="en-US"/>
        </w:rPr>
        <w:t xml:space="preserve"> </w:t>
      </w:r>
      <w:r w:rsidRPr="00C60F01">
        <w:rPr>
          <w:sz w:val="22"/>
          <w:szCs w:val="22"/>
        </w:rPr>
        <w:t>Yoshino,</w:t>
      </w:r>
      <w:r w:rsidRPr="00C60F01">
        <w:rPr>
          <w:spacing w:val="-1"/>
          <w:sz w:val="22"/>
          <w:szCs w:val="22"/>
        </w:rPr>
        <w:t xml:space="preserve"> </w:t>
      </w:r>
      <w:r w:rsidRPr="00C60F01">
        <w:rPr>
          <w:sz w:val="22"/>
          <w:szCs w:val="22"/>
        </w:rPr>
        <w:t>M.Y.</w:t>
      </w:r>
      <w:r w:rsidRPr="00C60F01">
        <w:rPr>
          <w:spacing w:val="40"/>
          <w:sz w:val="22"/>
          <w:szCs w:val="22"/>
        </w:rPr>
        <w:t xml:space="preserve"> </w:t>
      </w:r>
      <w:r w:rsidRPr="00C60F01">
        <w:rPr>
          <w:sz w:val="22"/>
          <w:szCs w:val="22"/>
        </w:rPr>
        <w:t>(1968): Japan´s Managerial System, Cambridge/MA: MIT.</w:t>
      </w:r>
    </w:p>
    <w:p w14:paraId="36B1F448" w14:textId="77777777" w:rsidR="00FF7799" w:rsidRPr="00E73F6F" w:rsidRDefault="00FF7799" w:rsidP="00436621">
      <w:pPr>
        <w:pStyle w:val="StandardText"/>
      </w:pPr>
    </w:p>
    <w:p w14:paraId="63F530EA" w14:textId="77777777" w:rsidR="00FF7799" w:rsidRPr="00E73F6F" w:rsidRDefault="00FF7799" w:rsidP="009355CA">
      <w:pPr>
        <w:pStyle w:val="berschrift1"/>
      </w:pPr>
      <w:r w:rsidRPr="00812008">
        <w:rPr>
          <w:color w:val="2E74B5"/>
        </w:rPr>
        <w:t>Risikomanagement</w:t>
      </w:r>
      <w:r w:rsidRPr="00E73F6F">
        <w:rPr>
          <w:spacing w:val="-4"/>
        </w:rPr>
        <w:t xml:space="preserve"> </w:t>
      </w:r>
      <w:r w:rsidRPr="00E73F6F">
        <w:rPr>
          <w:b w:val="0"/>
        </w:rPr>
        <w:t>→</w:t>
      </w:r>
      <w:r w:rsidRPr="00E73F6F">
        <w:rPr>
          <w:spacing w:val="-5"/>
        </w:rPr>
        <w:t xml:space="preserve"> </w:t>
      </w:r>
      <w:r w:rsidRPr="00E73F6F">
        <w:rPr>
          <w:b w:val="0"/>
          <w:spacing w:val="-2"/>
        </w:rPr>
        <w:t>Wechselkursrisiko</w:t>
      </w:r>
    </w:p>
    <w:p w14:paraId="50627B24" w14:textId="77777777" w:rsidR="00FF7799" w:rsidRPr="00E73F6F" w:rsidRDefault="00FF7799" w:rsidP="009355CA">
      <w:pPr>
        <w:pStyle w:val="berschrift1"/>
        <w:rPr>
          <w:spacing w:val="-2"/>
        </w:rPr>
      </w:pPr>
      <w:r w:rsidRPr="00812008">
        <w:rPr>
          <w:color w:val="2E74B5"/>
        </w:rPr>
        <w:t>Rückkaufgeschäft</w:t>
      </w:r>
      <w:r w:rsidRPr="00E73F6F">
        <w:rPr>
          <w:spacing w:val="-3"/>
        </w:rPr>
        <w:t xml:space="preserve"> </w:t>
      </w:r>
      <w:r w:rsidRPr="00E73F6F">
        <w:rPr>
          <w:b w:val="0"/>
        </w:rPr>
        <w:t>→</w:t>
      </w:r>
      <w:r w:rsidRPr="00E73F6F">
        <w:rPr>
          <w:spacing w:val="-3"/>
        </w:rPr>
        <w:t xml:space="preserve"> </w:t>
      </w:r>
      <w:r w:rsidRPr="00E73F6F">
        <w:rPr>
          <w:b w:val="0"/>
          <w:spacing w:val="-2"/>
        </w:rPr>
        <w:t>Kompensationsgeschäfte</w:t>
      </w:r>
    </w:p>
    <w:p w14:paraId="6D1AF0C3" w14:textId="77777777" w:rsidR="00FF7799" w:rsidRPr="00812008" w:rsidRDefault="00FF7799" w:rsidP="009355CA">
      <w:pPr>
        <w:pStyle w:val="berschrift1"/>
        <w:rPr>
          <w:color w:val="2E74B5"/>
        </w:rPr>
      </w:pPr>
      <w:r w:rsidRPr="00812008">
        <w:rPr>
          <w:color w:val="2E74B5"/>
        </w:rPr>
        <w:t>Sakralisierung</w:t>
      </w:r>
    </w:p>
    <w:p w14:paraId="3D935D21" w14:textId="77777777" w:rsidR="00FF7799" w:rsidRPr="00E73F6F" w:rsidRDefault="00FF7799" w:rsidP="007A178A">
      <w:pPr>
        <w:pStyle w:val="StandardText"/>
      </w:pPr>
      <w:r w:rsidRPr="00E73F6F">
        <w:t xml:space="preserve">Zuschreibung religiöser Inhalte, Formen und Symbole zu ursprünglich weltlichen Phänomenen. In den postmaterialistischen Gesellschaften vollzieht sich Sakralisierung als Gegenbewegung zur </w:t>
      </w:r>
      <w:r w:rsidRPr="00E73F6F">
        <w:rPr>
          <w:rFonts w:ascii="Cambria Math" w:hAnsi="Cambria Math" w:cs="Cambria Math"/>
        </w:rPr>
        <w:t>⇒</w:t>
      </w:r>
      <w:r w:rsidRPr="00E73F6F">
        <w:t xml:space="preserve"> Säkularisierung, d.h. zur Verweltlichung bzw. Entkirchlichung (vgl. Kaufmann 1989, S.158): Ergänzt wird die Sakralisierung des Alltäglichen durch die Suche nach alternativen Orten und Formen von Religion bzw. nach Religionsersatz (z.B. Esoterik).</w:t>
      </w:r>
    </w:p>
    <w:p w14:paraId="5968913B" w14:textId="77777777" w:rsidR="00FF7799" w:rsidRPr="00E73F6F" w:rsidRDefault="00FF7799" w:rsidP="007A178A">
      <w:pPr>
        <w:pStyle w:val="StandardText"/>
      </w:pPr>
      <w:r w:rsidRPr="00E73F6F">
        <w:t xml:space="preserve">Indem immer mehr Konsumenten „sakralisieren“ bestimmte Luxusartikel (z.B. Schmuck, hochwertige Pkws und Kleidung) und Marken, die sie als etwas Besonderes, Nichtalltägliches bisweilen geradezu verehren (vgl. Belk et al. 1989, S.11). Die ursprünglich nur den Religionen obliegende Funktion, den Einzelnen mittels gemeinsamer sakraler Überzeugungen und Praktiken sozial zu integrieren, kommt zunehmend auch der Konsumwelt zu (vgl. Durkheim 1994, S.113f.). Beispielhaft hierfür seien „Institutionen“ wie der Fan-Club, der Fitness-Club oder der </w:t>
      </w:r>
      <w:r w:rsidRPr="00E73F6F">
        <w:lastRenderedPageBreak/>
        <w:t xml:space="preserve">informelle Club derer, die bestimmte Luxusartikel konsumieren, bestimmte Marken demonstrativ tragen etc., genannt. Wenn solche ehemals profanen Lebensbereiche zunehmend mit Werten befrachtet werden, so geschieht dies in dem Spannungsfeld von Hedonismus einerseits und religiös oder ethisch motiviertem demonstrativen Verzicht (Einfachheit, Sparsamkeit, Natürlichkeit) andererseits (vgl. Belk et al. 1989). Für beide Tendenzen bieten sich die gleichen Produktkategorien als Projektionsfläche an (z.B. Kleidung, Pkw, Reisen, Wohnen). </w:t>
      </w:r>
    </w:p>
    <w:p w14:paraId="1B9860E6" w14:textId="77777777" w:rsidR="00FF7799" w:rsidRPr="00C60F01" w:rsidRDefault="00FF7799" w:rsidP="007A178A">
      <w:pPr>
        <w:pStyle w:val="StandardText"/>
      </w:pPr>
      <w:r w:rsidRPr="00C60F01">
        <w:t xml:space="preserve">Wie kaum ein anderer hat Kilian (2009) die Sakralisierung der Markenwelt am Beispiel der Erfolgsgeschichten von Apple, Mini, Harley-Davidson, Mercedes-Benz, Nintendo und Rolex dokumentiert und gleichermaßen heiter wie kenntnisreich hinterfragt. Den Prolog zu seiner kritischen Liebeserklärung an den Mythos Marke („Kultmarken sind unser Leben“) leitet er mit der Beschwerde einer Coke-Kundin ein, die 1985, anlässlich der Markteinführung von New Coke, nach Atlanta schrieb: „In meinem Leben gab es nur zwei Größen von bleibendem Wert: Gott und Coca-Cola. Eine haben Sie mir genommen.“ Auf vergnügliche Weise führt der Autor dem Leser vor Augen, wie häufig sich die sakrale und die profane Sphäre berühren und wie zahlreich die Überschneidungen sind: „Gott versprach uns das ewige Leben, Marken die ewige Jugend“ (S.15). Dies gilt in besonderem Maße für die Herleitung der „Zehn Gebote der Kultmarke“ aus den biblischen Zehn Geboten (S.18ff.), z.B. </w:t>
      </w:r>
    </w:p>
    <w:p w14:paraId="3FCA1093" w14:textId="77777777" w:rsidR="00FF7799" w:rsidRPr="00E73F6F" w:rsidRDefault="00FF7799" w:rsidP="00812008">
      <w:pPr>
        <w:pStyle w:val="StandardTextAufzhlung"/>
        <w:ind w:left="567"/>
      </w:pPr>
      <w:r w:rsidRPr="00E73F6F">
        <w:t xml:space="preserve">1. Gebot: Du sollst nicht andere Götter neben mir haben. → Du sollst keine Konkurrenzmarken besitzen und verehren. </w:t>
      </w:r>
    </w:p>
    <w:p w14:paraId="45EABA02" w14:textId="77777777" w:rsidR="00FF7799" w:rsidRPr="00E73F6F" w:rsidRDefault="00FF7799" w:rsidP="00812008">
      <w:pPr>
        <w:pStyle w:val="StandardTextAufzhlung"/>
        <w:ind w:left="567"/>
      </w:pPr>
      <w:r w:rsidRPr="00E73F6F">
        <w:t xml:space="preserve">5. Gebot: Du sollst nicht töten. → Du sollst mich sorgsam behandeln. Ich bin ein Sammlerstück, das man nicht wegwirft, sondern umsichtig pflegt und aufbewahrt. </w:t>
      </w:r>
    </w:p>
    <w:p w14:paraId="58EEBA10" w14:textId="77777777" w:rsidR="00FF7799" w:rsidRPr="00E73F6F" w:rsidRDefault="00FF7799" w:rsidP="00812008">
      <w:pPr>
        <w:pStyle w:val="StandardTextAufzhlung"/>
        <w:ind w:left="567"/>
      </w:pPr>
      <w:r w:rsidRPr="00E73F6F">
        <w:t>7. Gebot: Du sollst nicht stehlen. → Du sollst immer nur das Originalprodukt erwerben, nie aber eine Fälschung oder ein billiges Imitat.</w:t>
      </w:r>
    </w:p>
    <w:p w14:paraId="5964E1C3" w14:textId="77777777" w:rsidR="00FF7799" w:rsidRPr="00C60F01" w:rsidRDefault="00FF7799" w:rsidP="007A178A">
      <w:pPr>
        <w:pStyle w:val="StandardText"/>
      </w:pPr>
      <w:r w:rsidRPr="00C60F01">
        <w:t>Das Phänomen Harley-Davidson beschreibt Kilian (2009, S.41) mit den Worten eines evangelischen Pfarrers: „Harley ist … ein Mythos. Sie verkörpert das Gefährt als Gefährtin für den Lonesome Cowboy. Zum Mythos gehört aber auch eine Gemeinschaft, also eine Gemeinde, die den Kult lebt.“ Von besonderer Bedeutung ist in diesem Zusammenhang die Bereitschaft, ein sichtbares Zeichen der Zugehörigkeit zur Gemeinschaft der Gläubigen (bzw. Markenbesitzer) zu tragen. Und was wäre bindender als ein in die Haut eingebranntes Zeichen: ein Tattoo? Wie Lindstrom (2005) berichtet, wären 18,7% der Befragten bereit, sich die Harley-Davidson-Marke auf den Arm tätowieren zu lassen, aber bspw. nur 7,7% Coca-Cola, 6,6% Google, 5,6% Rolex, 4,6% Nike, 3,1% Adidas, 2,6% Absolut Vodka und 1,5% Nintendo. Die Originalfrage lautet: „Welche Marke, wenn überhaupt, wären Sie bereit, sich auf ihren Arm tätowieren zu lassen?“</w:t>
      </w:r>
    </w:p>
    <w:p w14:paraId="0E35C98A" w14:textId="77777777" w:rsidR="00FF7799" w:rsidRPr="00C60F01" w:rsidRDefault="00FF7799" w:rsidP="007A178A">
      <w:pPr>
        <w:pStyle w:val="StandardText"/>
        <w:rPr>
          <w:rFonts w:eastAsia="Calibri"/>
          <w:bCs/>
          <w:sz w:val="22"/>
          <w:szCs w:val="22"/>
          <w:lang w:val="en-US"/>
        </w:rPr>
      </w:pPr>
      <w:r w:rsidRPr="00C60F01">
        <w:rPr>
          <w:rFonts w:eastAsia="Calibri"/>
          <w:b/>
          <w:bCs/>
          <w:i/>
          <w:sz w:val="22"/>
          <w:szCs w:val="22"/>
          <w:lang w:val="en-US"/>
        </w:rPr>
        <w:t>Literatur</w:t>
      </w:r>
      <w:r w:rsidRPr="00C60F01">
        <w:rPr>
          <w:rFonts w:eastAsia="Calibri"/>
          <w:bCs/>
          <w:i/>
          <w:sz w:val="22"/>
          <w:szCs w:val="22"/>
          <w:lang w:val="en-US"/>
        </w:rPr>
        <w:t>:</w:t>
      </w:r>
      <w:r w:rsidRPr="00C60F01">
        <w:rPr>
          <w:rFonts w:eastAsia="Calibri"/>
          <w:bCs/>
          <w:sz w:val="22"/>
          <w:szCs w:val="22"/>
          <w:lang w:val="en-US"/>
        </w:rPr>
        <w:t xml:space="preserve"> Belk, R.W.; Wallendorf, M.; Sherry Jr, J.F. (1989): The Sacred and the Profane in Consumer Behavior. Theodicy on the Odyssey, Journal of Consumer Research, 16(1): 1-38. Durkheim, E. (1994): The Elementary Forms of the Religious Life. The Totemic System in Australia, in: Pickering, W.S.F. (Ed.), </w:t>
      </w:r>
      <w:r w:rsidRPr="00C60F01">
        <w:rPr>
          <w:rFonts w:eastAsia="Calibri"/>
          <w:bCs/>
          <w:iCs/>
          <w:sz w:val="22"/>
          <w:szCs w:val="22"/>
          <w:lang w:val="en-US"/>
        </w:rPr>
        <w:t>Durkheim</w:t>
      </w:r>
      <w:r w:rsidRPr="00C60F01">
        <w:rPr>
          <w:rFonts w:eastAsia="Calibri"/>
          <w:bCs/>
          <w:sz w:val="22"/>
          <w:szCs w:val="22"/>
          <w:lang w:val="en-US"/>
        </w:rPr>
        <w:t xml:space="preserve"> on Religion, 102</w:t>
      </w:r>
      <w:r w:rsidRPr="00C60F01">
        <w:rPr>
          <w:rFonts w:eastAsia="Calibri"/>
          <w:bCs/>
          <w:sz w:val="22"/>
          <w:szCs w:val="22"/>
          <w:lang w:val="en-US"/>
        </w:rPr>
        <w:noBreakHyphen/>
        <w:t xml:space="preserve">166, Atlanta/GA: Scholars Press. </w:t>
      </w:r>
      <w:r w:rsidRPr="00C60F01">
        <w:rPr>
          <w:rFonts w:eastAsia="Calibri"/>
          <w:bCs/>
          <w:sz w:val="22"/>
          <w:szCs w:val="22"/>
        </w:rPr>
        <w:t xml:space="preserve">Kaufmann, F.-X. (1989): Religion und Modernität. Sozialwissenschaftliche Perspektiven, Tübingen: Mohr Siebeck. </w:t>
      </w:r>
      <w:r w:rsidRPr="00C60F01">
        <w:rPr>
          <w:rFonts w:eastAsia="Calibri"/>
          <w:bCs/>
          <w:sz w:val="22"/>
          <w:szCs w:val="22"/>
          <w:lang w:val="en-US"/>
        </w:rPr>
        <w:t>Lindstrom, M. (2005): Brand Sense. Build Powerful Brands Through Touch, Taste, Smell, Sight, and Sound, New York: Free Press.</w:t>
      </w:r>
    </w:p>
    <w:p w14:paraId="4081627D" w14:textId="77777777" w:rsidR="00FF7799" w:rsidRPr="00812008" w:rsidRDefault="00FF7799" w:rsidP="009355CA">
      <w:pPr>
        <w:pStyle w:val="berschrift1"/>
        <w:rPr>
          <w:color w:val="2E74B5"/>
        </w:rPr>
      </w:pPr>
      <w:r w:rsidRPr="00812008">
        <w:rPr>
          <w:color w:val="2E74B5"/>
        </w:rPr>
        <w:t>S</w:t>
      </w:r>
      <w:bookmarkStart w:id="154" w:name="_Toc8190810"/>
      <w:bookmarkStart w:id="155" w:name="_Toc8190935"/>
      <w:bookmarkStart w:id="156" w:name="_Toc9218510"/>
      <w:bookmarkStart w:id="157" w:name="_Toc46892032"/>
      <w:bookmarkStart w:id="158" w:name="_Ref62051703"/>
      <w:bookmarkStart w:id="159" w:name="_Toc67285048"/>
      <w:bookmarkStart w:id="160" w:name="_Toc67922004"/>
      <w:bookmarkStart w:id="161" w:name="_Toc67929740"/>
      <w:bookmarkStart w:id="162" w:name="_Toc226259996"/>
      <w:r w:rsidRPr="00812008">
        <w:rPr>
          <w:color w:val="2E74B5"/>
        </w:rPr>
        <w:t xml:space="preserve">äkularisierung </w:t>
      </w:r>
      <w:bookmarkEnd w:id="154"/>
      <w:bookmarkEnd w:id="155"/>
      <w:bookmarkEnd w:id="156"/>
      <w:bookmarkEnd w:id="157"/>
      <w:bookmarkEnd w:id="158"/>
      <w:bookmarkEnd w:id="159"/>
      <w:bookmarkEnd w:id="160"/>
      <w:bookmarkEnd w:id="161"/>
      <w:bookmarkEnd w:id="162"/>
    </w:p>
    <w:p w14:paraId="3EAC2775" w14:textId="77777777" w:rsidR="00FF7799" w:rsidRPr="00E73F6F" w:rsidRDefault="00FF7799" w:rsidP="00436621">
      <w:pPr>
        <w:pStyle w:val="StandardText"/>
      </w:pPr>
      <w:r w:rsidRPr="00E73F6F">
        <w:t>Verdrängung bzw. Umbewertung des Religiösen in einer Gesellschaft. Wenn Weber (1920, S.54) in diesem Zusammenhang von der „Entzauberung der Welt“ spricht, so meint er damit, dass im Gefolge der Aufklärung das naturwissenschaftliche Paradigma die mythologische Erklärung der Welt abgelöst hat. In Deutschland verlor seit 1950 vor allem die Evangelische Kirche stetig Mitglieder, während parallel dazu der Anteil der Nicht- und Andersgläubigen gestiegen ist und mittlerweile bei mehr als 30% liegt. Dass gleichzeitig immer mehr Muslime in Deutschland leben (vgl. Abb. 1), ist Konsequenz der Immigration.</w:t>
      </w:r>
    </w:p>
    <w:p w14:paraId="6D72895F" w14:textId="77777777" w:rsidR="00FF7799" w:rsidRPr="00E73F6F" w:rsidRDefault="00FF7799" w:rsidP="00436621">
      <w:pPr>
        <w:pStyle w:val="StandardText"/>
      </w:pPr>
    </w:p>
    <w:p w14:paraId="5E0CE17E" w14:textId="77777777" w:rsidR="00FF7799" w:rsidRPr="00E73F6F" w:rsidRDefault="00FF7799" w:rsidP="007A178A">
      <w:pPr>
        <w:pStyle w:val="BeschriftungTab"/>
      </w:pPr>
      <w:bookmarkStart w:id="163" w:name="_Ref61964423"/>
      <w:r w:rsidRPr="00E73F6F">
        <w:t>Abb.</w:t>
      </w:r>
      <w:bookmarkEnd w:id="163"/>
      <w:r w:rsidRPr="00E73F6F">
        <w:t xml:space="preserve"> 1: Religionszugehörigkeit in Deutschland (in % der Gesamtbevölkerung)</w:t>
      </w:r>
    </w:p>
    <w:p w14:paraId="2F3392D7" w14:textId="77777777" w:rsidR="00FF7799" w:rsidRPr="00E73F6F" w:rsidRDefault="00FF7799" w:rsidP="007A178A">
      <w:pPr>
        <w:keepNext/>
        <w:jc w:val="center"/>
        <w:rPr>
          <w:szCs w:val="24"/>
        </w:rPr>
      </w:pPr>
      <w:r w:rsidRPr="00E73F6F">
        <w:rPr>
          <w:noProof/>
          <w:szCs w:val="24"/>
          <w:lang w:eastAsia="de-DE"/>
        </w:rPr>
        <w:drawing>
          <wp:inline distT="0" distB="0" distL="0" distR="0" wp14:anchorId="488B7751" wp14:editId="296D2815">
            <wp:extent cx="5040173" cy="3715315"/>
            <wp:effectExtent l="0" t="0" r="825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0" y="0"/>
                      <a:ext cx="5070759" cy="3737861"/>
                    </a:xfrm>
                    <a:prstGeom prst="rect">
                      <a:avLst/>
                    </a:prstGeom>
                    <a:noFill/>
                  </pic:spPr>
                </pic:pic>
              </a:graphicData>
            </a:graphic>
          </wp:inline>
        </w:drawing>
      </w:r>
    </w:p>
    <w:p w14:paraId="68950371" w14:textId="77777777" w:rsidR="00FF7799" w:rsidRPr="00E73F6F" w:rsidRDefault="00FF7799" w:rsidP="007A178A">
      <w:pPr>
        <w:pStyle w:val="Quellen"/>
      </w:pPr>
      <w:r w:rsidRPr="00E73F6F">
        <w:t>Quelle:</w:t>
      </w:r>
      <w:r w:rsidRPr="00E73F6F">
        <w:tab/>
        <w:t>Statistisches Bundesamt</w:t>
      </w:r>
    </w:p>
    <w:p w14:paraId="37B1EEE0" w14:textId="77777777" w:rsidR="00FF7799" w:rsidRPr="00E73F6F" w:rsidRDefault="00FF7799" w:rsidP="00436621">
      <w:pPr>
        <w:pStyle w:val="StandardText"/>
      </w:pPr>
    </w:p>
    <w:p w14:paraId="4025E5A3" w14:textId="77777777" w:rsidR="00FF7799" w:rsidRPr="00E73F6F" w:rsidRDefault="00FF7799" w:rsidP="00436621">
      <w:pPr>
        <w:pStyle w:val="StandardText"/>
      </w:pPr>
      <w:r w:rsidRPr="00E73F6F">
        <w:t>Im Zuge des Wertewandels (</w:t>
      </w:r>
      <w:r w:rsidRPr="00E73F6F">
        <w:rPr>
          <w:rFonts w:ascii="Cambria Math" w:hAnsi="Cambria Math" w:cs="Cambria Math"/>
        </w:rPr>
        <w:t>⇒</w:t>
      </w:r>
      <w:r w:rsidRPr="00E73F6F">
        <w:t xml:space="preserve"> Postmaterialismus-These) verloren die Kirchen in weiten Teilen der industrialisierten Welt ihre soziopolitische Alleinstellung und agieren dort allenfalls noch gleichrangig mit staatlichen, ökonomischen und familiären Institutionen (vgl. Luhmann 1977, S.229). Am Beispiel einer repräsentativen Stichprobe deutscher Konsumenten lässt sich eine weitere Konsequenz der Säkularisierung nachweisen: weitgehende Angleichung von Meinungen und Einstellungen der Mitglieder der verschiedenen Konfessionen innerhalb eines Landes bzw. einer Kultur. So sind Sparsamkeit und Konsumverzicht keine typisch calvinistischen Tugenden mehr (vgl. Abb. 2).</w:t>
      </w:r>
    </w:p>
    <w:p w14:paraId="08E76507" w14:textId="77777777" w:rsidR="00FF7799" w:rsidRPr="00E73F6F" w:rsidRDefault="00FF7799" w:rsidP="00436621">
      <w:pPr>
        <w:pStyle w:val="StandardText"/>
      </w:pPr>
    </w:p>
    <w:p w14:paraId="301B639C" w14:textId="77777777" w:rsidR="00FF7799" w:rsidRPr="00E73F6F" w:rsidRDefault="00FF7799" w:rsidP="007A178A">
      <w:pPr>
        <w:pStyle w:val="BeschriftungTab"/>
      </w:pPr>
      <w:bookmarkStart w:id="164" w:name="_Ref61964518"/>
      <w:r w:rsidRPr="00E73F6F">
        <w:t>Abb.</w:t>
      </w:r>
      <w:bookmarkEnd w:id="164"/>
      <w:r w:rsidRPr="00E73F6F">
        <w:t xml:space="preserve"> 2: Nivellierung von Einstellungen als Konsequenz der Säkularisierung </w:t>
      </w:r>
    </w:p>
    <w:tbl>
      <w:tblPr>
        <w:tblW w:w="5000" w:type="pct"/>
        <w:tblBorders>
          <w:top w:val="single" w:sz="4" w:space="0" w:color="auto"/>
          <w:bottom w:val="single" w:sz="4" w:space="0" w:color="auto"/>
          <w:insideH w:val="single" w:sz="4" w:space="0" w:color="auto"/>
        </w:tblBorders>
        <w:tblCellMar>
          <w:left w:w="70" w:type="dxa"/>
          <w:right w:w="70" w:type="dxa"/>
        </w:tblCellMar>
        <w:tblLook w:val="0000" w:firstRow="0" w:lastRow="0" w:firstColumn="0" w:lastColumn="0" w:noHBand="0" w:noVBand="0"/>
      </w:tblPr>
      <w:tblGrid>
        <w:gridCol w:w="3251"/>
        <w:gridCol w:w="1598"/>
        <w:gridCol w:w="1470"/>
        <w:gridCol w:w="1383"/>
        <w:gridCol w:w="1228"/>
        <w:gridCol w:w="142"/>
      </w:tblGrid>
      <w:tr w:rsidR="00FF7799" w:rsidRPr="00E73F6F" w14:paraId="4E6BC616" w14:textId="77777777" w:rsidTr="007A178A">
        <w:trPr>
          <w:trHeight w:val="581"/>
          <w:tblHeader/>
        </w:trPr>
        <w:tc>
          <w:tcPr>
            <w:tcW w:w="1792" w:type="pct"/>
            <w:tcBorders>
              <w:bottom w:val="nil"/>
            </w:tcBorders>
            <w:shd w:val="clear" w:color="auto" w:fill="FFC000"/>
          </w:tcPr>
          <w:p w14:paraId="25C915A4" w14:textId="77777777" w:rsidR="00FF7799" w:rsidRPr="00E73F6F" w:rsidRDefault="00FF7799" w:rsidP="00436621">
            <w:pPr>
              <w:pStyle w:val="StandardText"/>
              <w:rPr>
                <w:b/>
              </w:rPr>
            </w:pPr>
          </w:p>
        </w:tc>
        <w:tc>
          <w:tcPr>
            <w:tcW w:w="881" w:type="pct"/>
            <w:tcBorders>
              <w:bottom w:val="nil"/>
            </w:tcBorders>
            <w:shd w:val="clear" w:color="auto" w:fill="FFC000"/>
          </w:tcPr>
          <w:p w14:paraId="2E4FF05F" w14:textId="77777777" w:rsidR="00FF7799" w:rsidRPr="00E73F6F" w:rsidRDefault="00F84D87" w:rsidP="007A178A">
            <w:pPr>
              <w:pStyle w:val="StandardText"/>
              <w:jc w:val="center"/>
            </w:pPr>
            <w:r>
              <w:rPr>
                <w:b/>
                <w:bCs/>
              </w:rPr>
              <w:t>e</w:t>
            </w:r>
            <w:r w:rsidR="00FF7799" w:rsidRPr="00E73F6F">
              <w:rPr>
                <w:b/>
                <w:bCs/>
              </w:rPr>
              <w:t>vangelische Deutsche</w:t>
            </w:r>
            <w:r w:rsidR="00FF7799" w:rsidRPr="00E73F6F">
              <w:br/>
            </w:r>
          </w:p>
        </w:tc>
        <w:tc>
          <w:tcPr>
            <w:tcW w:w="810" w:type="pct"/>
            <w:tcBorders>
              <w:bottom w:val="nil"/>
            </w:tcBorders>
            <w:shd w:val="clear" w:color="auto" w:fill="FFC000"/>
          </w:tcPr>
          <w:p w14:paraId="4BC54467" w14:textId="77777777" w:rsidR="00FF7799" w:rsidRPr="00E73F6F" w:rsidRDefault="00F84D87" w:rsidP="007A178A">
            <w:pPr>
              <w:pStyle w:val="StandardText"/>
              <w:jc w:val="center"/>
            </w:pPr>
            <w:r>
              <w:rPr>
                <w:b/>
                <w:bCs/>
              </w:rPr>
              <w:t>k</w:t>
            </w:r>
            <w:r w:rsidR="00FF7799" w:rsidRPr="00E73F6F">
              <w:rPr>
                <w:b/>
                <w:bCs/>
              </w:rPr>
              <w:t>atholische Deutsche</w:t>
            </w:r>
            <w:r w:rsidR="00FF7799" w:rsidRPr="00E73F6F">
              <w:br/>
            </w:r>
          </w:p>
        </w:tc>
        <w:tc>
          <w:tcPr>
            <w:tcW w:w="762" w:type="pct"/>
            <w:tcBorders>
              <w:bottom w:val="nil"/>
            </w:tcBorders>
            <w:shd w:val="clear" w:color="auto" w:fill="FFC000"/>
          </w:tcPr>
          <w:p w14:paraId="69DDFFBA" w14:textId="77777777" w:rsidR="00FF7799" w:rsidRPr="00E73F6F" w:rsidRDefault="00FF7799" w:rsidP="007A178A">
            <w:pPr>
              <w:pStyle w:val="StandardText"/>
              <w:jc w:val="center"/>
            </w:pPr>
            <w:r w:rsidRPr="00E73F6F">
              <w:rPr>
                <w:b/>
                <w:bCs/>
              </w:rPr>
              <w:t xml:space="preserve">Deutsche anderer </w:t>
            </w:r>
            <w:r w:rsidRPr="00E73F6F">
              <w:rPr>
                <w:b/>
                <w:bCs/>
              </w:rPr>
              <w:br/>
              <w:t>Konfession</w:t>
            </w:r>
          </w:p>
        </w:tc>
        <w:tc>
          <w:tcPr>
            <w:tcW w:w="755" w:type="pct"/>
            <w:gridSpan w:val="2"/>
            <w:tcBorders>
              <w:bottom w:val="nil"/>
            </w:tcBorders>
            <w:shd w:val="clear" w:color="auto" w:fill="FFC000"/>
          </w:tcPr>
          <w:p w14:paraId="04A87A62" w14:textId="77777777" w:rsidR="00FF7799" w:rsidRPr="00F84D87" w:rsidRDefault="00FF7799" w:rsidP="00F84D87">
            <w:pPr>
              <w:pStyle w:val="StandardText"/>
              <w:jc w:val="center"/>
              <w:rPr>
                <w:b/>
                <w:bCs/>
              </w:rPr>
            </w:pPr>
            <w:r w:rsidRPr="00E73F6F">
              <w:rPr>
                <w:b/>
                <w:bCs/>
              </w:rPr>
              <w:t xml:space="preserve">Deutsche ohne </w:t>
            </w:r>
            <w:r w:rsidR="00F84D87">
              <w:rPr>
                <w:b/>
                <w:bCs/>
              </w:rPr>
              <w:br/>
            </w:r>
            <w:r w:rsidRPr="00E73F6F">
              <w:rPr>
                <w:b/>
                <w:bCs/>
              </w:rPr>
              <w:t>Glaubensbekenntnis</w:t>
            </w:r>
          </w:p>
        </w:tc>
      </w:tr>
      <w:tr w:rsidR="00FF7799" w:rsidRPr="00E73F6F" w14:paraId="7E425A42" w14:textId="77777777" w:rsidTr="009355CA">
        <w:trPr>
          <w:trHeight w:val="249"/>
        </w:trPr>
        <w:tc>
          <w:tcPr>
            <w:tcW w:w="1792" w:type="pct"/>
            <w:tcBorders>
              <w:top w:val="nil"/>
            </w:tcBorders>
            <w:shd w:val="clear" w:color="auto" w:fill="FFC000"/>
          </w:tcPr>
          <w:p w14:paraId="179B1495" w14:textId="77777777" w:rsidR="00FF7799" w:rsidRPr="00E73F6F" w:rsidRDefault="00FF7799" w:rsidP="00436621">
            <w:pPr>
              <w:pStyle w:val="StandardText"/>
            </w:pPr>
          </w:p>
        </w:tc>
        <w:tc>
          <w:tcPr>
            <w:tcW w:w="881" w:type="pct"/>
            <w:tcBorders>
              <w:top w:val="nil"/>
            </w:tcBorders>
            <w:shd w:val="clear" w:color="auto" w:fill="FFC000"/>
          </w:tcPr>
          <w:p w14:paraId="337162C2" w14:textId="77777777" w:rsidR="00FF7799" w:rsidRPr="00E73F6F" w:rsidRDefault="00FF7799" w:rsidP="007A178A">
            <w:pPr>
              <w:pStyle w:val="StandardText"/>
              <w:jc w:val="center"/>
            </w:pPr>
            <w:r w:rsidRPr="00E73F6F">
              <w:rPr>
                <w:iCs/>
              </w:rPr>
              <w:t>n = 12.301</w:t>
            </w:r>
          </w:p>
        </w:tc>
        <w:tc>
          <w:tcPr>
            <w:tcW w:w="810" w:type="pct"/>
            <w:tcBorders>
              <w:top w:val="nil"/>
            </w:tcBorders>
            <w:shd w:val="clear" w:color="auto" w:fill="FFC000"/>
          </w:tcPr>
          <w:p w14:paraId="1FE68305" w14:textId="77777777" w:rsidR="00FF7799" w:rsidRPr="00E73F6F" w:rsidRDefault="00FF7799" w:rsidP="007A178A">
            <w:pPr>
              <w:pStyle w:val="StandardText"/>
              <w:jc w:val="center"/>
            </w:pPr>
            <w:r w:rsidRPr="00E73F6F">
              <w:rPr>
                <w:iCs/>
              </w:rPr>
              <w:t>n = 10.952</w:t>
            </w:r>
          </w:p>
        </w:tc>
        <w:tc>
          <w:tcPr>
            <w:tcW w:w="762" w:type="pct"/>
            <w:tcBorders>
              <w:top w:val="nil"/>
            </w:tcBorders>
            <w:shd w:val="clear" w:color="auto" w:fill="FFC000"/>
          </w:tcPr>
          <w:p w14:paraId="693D28C9" w14:textId="77777777" w:rsidR="00FF7799" w:rsidRPr="00E73F6F" w:rsidRDefault="00FF7799" w:rsidP="007A178A">
            <w:pPr>
              <w:pStyle w:val="StandardText"/>
              <w:jc w:val="center"/>
            </w:pPr>
            <w:r w:rsidRPr="00E73F6F">
              <w:rPr>
                <w:iCs/>
              </w:rPr>
              <w:t>n = 973</w:t>
            </w:r>
          </w:p>
        </w:tc>
        <w:tc>
          <w:tcPr>
            <w:tcW w:w="755" w:type="pct"/>
            <w:gridSpan w:val="2"/>
            <w:tcBorders>
              <w:top w:val="nil"/>
            </w:tcBorders>
            <w:shd w:val="clear" w:color="auto" w:fill="FFC000"/>
          </w:tcPr>
          <w:p w14:paraId="6A529C48" w14:textId="77777777" w:rsidR="00FF7799" w:rsidRPr="00E73F6F" w:rsidRDefault="00FF7799" w:rsidP="007A178A">
            <w:pPr>
              <w:pStyle w:val="StandardText"/>
              <w:jc w:val="center"/>
            </w:pPr>
            <w:r w:rsidRPr="00E73F6F">
              <w:rPr>
                <w:iCs/>
              </w:rPr>
              <w:t>n = 6.447</w:t>
            </w:r>
          </w:p>
        </w:tc>
      </w:tr>
      <w:tr w:rsidR="00FF7799" w:rsidRPr="00E73F6F" w14:paraId="0982B4AE" w14:textId="77777777" w:rsidTr="00F84D87">
        <w:trPr>
          <w:trHeight w:val="416"/>
        </w:trPr>
        <w:tc>
          <w:tcPr>
            <w:tcW w:w="1792" w:type="pct"/>
            <w:shd w:val="clear" w:color="auto" w:fill="FFF2CC" w:themeFill="accent4" w:themeFillTint="33"/>
          </w:tcPr>
          <w:p w14:paraId="528D8997" w14:textId="77777777" w:rsidR="00FF7799" w:rsidRPr="00E73F6F" w:rsidRDefault="00FF7799" w:rsidP="007A178A">
            <w:pPr>
              <w:pStyle w:val="StandardText"/>
              <w:jc w:val="left"/>
            </w:pPr>
            <w:r w:rsidRPr="00E73F6F">
              <w:t>Bei uns wird jeden Monat eine feste Summe gespart.</w:t>
            </w:r>
          </w:p>
        </w:tc>
        <w:tc>
          <w:tcPr>
            <w:tcW w:w="881" w:type="pct"/>
          </w:tcPr>
          <w:p w14:paraId="1AE44A30" w14:textId="77777777" w:rsidR="00FF7799" w:rsidRPr="00E73F6F" w:rsidRDefault="00FF7799" w:rsidP="007A178A">
            <w:pPr>
              <w:pStyle w:val="StandardText"/>
              <w:jc w:val="center"/>
            </w:pPr>
            <w:r w:rsidRPr="00E73F6F">
              <w:t>2,46</w:t>
            </w:r>
          </w:p>
        </w:tc>
        <w:tc>
          <w:tcPr>
            <w:tcW w:w="810" w:type="pct"/>
          </w:tcPr>
          <w:p w14:paraId="42FECF3B" w14:textId="77777777" w:rsidR="00FF7799" w:rsidRPr="00E73F6F" w:rsidRDefault="00FF7799" w:rsidP="007A178A">
            <w:pPr>
              <w:pStyle w:val="StandardText"/>
              <w:jc w:val="center"/>
            </w:pPr>
            <w:r w:rsidRPr="00E73F6F">
              <w:t>2,41</w:t>
            </w:r>
          </w:p>
        </w:tc>
        <w:tc>
          <w:tcPr>
            <w:tcW w:w="762" w:type="pct"/>
          </w:tcPr>
          <w:p w14:paraId="4460E253" w14:textId="77777777" w:rsidR="00FF7799" w:rsidRPr="00E73F6F" w:rsidRDefault="00FF7799" w:rsidP="007A178A">
            <w:pPr>
              <w:pStyle w:val="StandardText"/>
              <w:jc w:val="center"/>
            </w:pPr>
            <w:r w:rsidRPr="00E73F6F">
              <w:t>2,66</w:t>
            </w:r>
          </w:p>
        </w:tc>
        <w:tc>
          <w:tcPr>
            <w:tcW w:w="755" w:type="pct"/>
            <w:gridSpan w:val="2"/>
          </w:tcPr>
          <w:p w14:paraId="53D76677" w14:textId="77777777" w:rsidR="00FF7799" w:rsidRPr="00E73F6F" w:rsidRDefault="00FF7799" w:rsidP="007A178A">
            <w:pPr>
              <w:pStyle w:val="StandardText"/>
              <w:jc w:val="center"/>
            </w:pPr>
            <w:r w:rsidRPr="00E73F6F">
              <w:t>2,63</w:t>
            </w:r>
          </w:p>
        </w:tc>
      </w:tr>
      <w:tr w:rsidR="00FF7799" w:rsidRPr="00E73F6F" w14:paraId="7E0EC7CB" w14:textId="77777777" w:rsidTr="00F84D87">
        <w:trPr>
          <w:trHeight w:val="416"/>
        </w:trPr>
        <w:tc>
          <w:tcPr>
            <w:tcW w:w="1792" w:type="pct"/>
            <w:shd w:val="clear" w:color="auto" w:fill="FFF2CC" w:themeFill="accent4" w:themeFillTint="33"/>
          </w:tcPr>
          <w:p w14:paraId="765A3BB1" w14:textId="77777777" w:rsidR="00FF7799" w:rsidRPr="00E73F6F" w:rsidRDefault="00FF7799" w:rsidP="007A178A">
            <w:pPr>
              <w:pStyle w:val="StandardText"/>
              <w:jc w:val="left"/>
            </w:pPr>
            <w:r w:rsidRPr="00E73F6F">
              <w:t>Ich prüfe regelmäßig mein Körpergewicht.</w:t>
            </w:r>
          </w:p>
        </w:tc>
        <w:tc>
          <w:tcPr>
            <w:tcW w:w="881" w:type="pct"/>
          </w:tcPr>
          <w:p w14:paraId="7EB0F640" w14:textId="77777777" w:rsidR="00FF7799" w:rsidRPr="00E73F6F" w:rsidRDefault="00FF7799" w:rsidP="007A178A">
            <w:pPr>
              <w:pStyle w:val="StandardText"/>
              <w:jc w:val="center"/>
            </w:pPr>
            <w:r w:rsidRPr="00E73F6F">
              <w:t>2,42</w:t>
            </w:r>
          </w:p>
        </w:tc>
        <w:tc>
          <w:tcPr>
            <w:tcW w:w="810" w:type="pct"/>
          </w:tcPr>
          <w:p w14:paraId="65E3E651" w14:textId="77777777" w:rsidR="00FF7799" w:rsidRPr="00E73F6F" w:rsidRDefault="00FF7799" w:rsidP="007A178A">
            <w:pPr>
              <w:pStyle w:val="StandardText"/>
              <w:jc w:val="center"/>
            </w:pPr>
            <w:r w:rsidRPr="00E73F6F">
              <w:t>2,41</w:t>
            </w:r>
          </w:p>
        </w:tc>
        <w:tc>
          <w:tcPr>
            <w:tcW w:w="762" w:type="pct"/>
          </w:tcPr>
          <w:p w14:paraId="73078F02" w14:textId="77777777" w:rsidR="00FF7799" w:rsidRPr="00E73F6F" w:rsidRDefault="00FF7799" w:rsidP="007A178A">
            <w:pPr>
              <w:pStyle w:val="StandardText"/>
              <w:jc w:val="center"/>
            </w:pPr>
            <w:r w:rsidRPr="00E73F6F">
              <w:t>2,58</w:t>
            </w:r>
          </w:p>
        </w:tc>
        <w:tc>
          <w:tcPr>
            <w:tcW w:w="755" w:type="pct"/>
            <w:gridSpan w:val="2"/>
          </w:tcPr>
          <w:p w14:paraId="04063AEA" w14:textId="77777777" w:rsidR="00FF7799" w:rsidRPr="00E73F6F" w:rsidRDefault="00FF7799" w:rsidP="007A178A">
            <w:pPr>
              <w:pStyle w:val="StandardText"/>
              <w:jc w:val="center"/>
            </w:pPr>
            <w:r w:rsidRPr="00E73F6F">
              <w:t>2,5</w:t>
            </w:r>
          </w:p>
        </w:tc>
      </w:tr>
      <w:tr w:rsidR="00FF7799" w:rsidRPr="00E73F6F" w14:paraId="19582AC5" w14:textId="77777777" w:rsidTr="00F84D87">
        <w:trPr>
          <w:trHeight w:val="581"/>
        </w:trPr>
        <w:tc>
          <w:tcPr>
            <w:tcW w:w="1792" w:type="pct"/>
            <w:shd w:val="clear" w:color="auto" w:fill="FFF2CC" w:themeFill="accent4" w:themeFillTint="33"/>
          </w:tcPr>
          <w:p w14:paraId="1813BE12" w14:textId="77777777" w:rsidR="00FF7799" w:rsidRPr="00E73F6F" w:rsidRDefault="00FF7799" w:rsidP="007A178A">
            <w:pPr>
              <w:pStyle w:val="StandardText"/>
              <w:jc w:val="left"/>
            </w:pPr>
            <w:r w:rsidRPr="00E73F6F">
              <w:lastRenderedPageBreak/>
              <w:t>Ich kaufe gezielt umwelt-freundliche Produkte, auch wenn sie teurer sind.</w:t>
            </w:r>
          </w:p>
        </w:tc>
        <w:tc>
          <w:tcPr>
            <w:tcW w:w="881" w:type="pct"/>
          </w:tcPr>
          <w:p w14:paraId="486F6DD0" w14:textId="77777777" w:rsidR="00FF7799" w:rsidRPr="00E73F6F" w:rsidRDefault="00FF7799" w:rsidP="007A178A">
            <w:pPr>
              <w:pStyle w:val="StandardText"/>
              <w:jc w:val="center"/>
            </w:pPr>
            <w:r w:rsidRPr="00E73F6F">
              <w:t>2,63</w:t>
            </w:r>
          </w:p>
        </w:tc>
        <w:tc>
          <w:tcPr>
            <w:tcW w:w="810" w:type="pct"/>
          </w:tcPr>
          <w:p w14:paraId="75D4A405" w14:textId="77777777" w:rsidR="00FF7799" w:rsidRPr="00E73F6F" w:rsidRDefault="00FF7799" w:rsidP="007A178A">
            <w:pPr>
              <w:pStyle w:val="StandardText"/>
              <w:jc w:val="center"/>
            </w:pPr>
            <w:r w:rsidRPr="00E73F6F">
              <w:t>2,62</w:t>
            </w:r>
          </w:p>
        </w:tc>
        <w:tc>
          <w:tcPr>
            <w:tcW w:w="762" w:type="pct"/>
          </w:tcPr>
          <w:p w14:paraId="79A53D63" w14:textId="77777777" w:rsidR="00FF7799" w:rsidRPr="00E73F6F" w:rsidRDefault="00FF7799" w:rsidP="007A178A">
            <w:pPr>
              <w:pStyle w:val="StandardText"/>
              <w:jc w:val="center"/>
            </w:pPr>
            <w:r w:rsidRPr="00E73F6F">
              <w:t>2,67</w:t>
            </w:r>
          </w:p>
        </w:tc>
        <w:tc>
          <w:tcPr>
            <w:tcW w:w="755" w:type="pct"/>
            <w:gridSpan w:val="2"/>
          </w:tcPr>
          <w:p w14:paraId="5330FC9E" w14:textId="77777777" w:rsidR="00FF7799" w:rsidRPr="00E73F6F" w:rsidRDefault="00FF7799" w:rsidP="007A178A">
            <w:pPr>
              <w:pStyle w:val="StandardText"/>
              <w:jc w:val="center"/>
            </w:pPr>
            <w:r w:rsidRPr="00E73F6F">
              <w:t>2,67</w:t>
            </w:r>
          </w:p>
        </w:tc>
      </w:tr>
      <w:tr w:rsidR="00FF7799" w:rsidRPr="00E73F6F" w14:paraId="473329B4" w14:textId="77777777" w:rsidTr="00F84D87">
        <w:trPr>
          <w:trHeight w:val="581"/>
        </w:trPr>
        <w:tc>
          <w:tcPr>
            <w:tcW w:w="1792" w:type="pct"/>
            <w:shd w:val="clear" w:color="auto" w:fill="FFF2CC" w:themeFill="accent4" w:themeFillTint="33"/>
          </w:tcPr>
          <w:p w14:paraId="666D7439" w14:textId="77777777" w:rsidR="00FF7799" w:rsidRPr="00E73F6F" w:rsidRDefault="00FF7799" w:rsidP="007A178A">
            <w:pPr>
              <w:pStyle w:val="StandardText"/>
              <w:jc w:val="left"/>
            </w:pPr>
            <w:r w:rsidRPr="00E73F6F">
              <w:t>In der Haushaltsführung kann mir keiner etwas vormachen.</w:t>
            </w:r>
          </w:p>
        </w:tc>
        <w:tc>
          <w:tcPr>
            <w:tcW w:w="881" w:type="pct"/>
          </w:tcPr>
          <w:p w14:paraId="10109271" w14:textId="77777777" w:rsidR="00FF7799" w:rsidRPr="00E73F6F" w:rsidRDefault="00FF7799" w:rsidP="007A178A">
            <w:pPr>
              <w:pStyle w:val="StandardText"/>
              <w:jc w:val="center"/>
            </w:pPr>
            <w:r w:rsidRPr="00E73F6F">
              <w:t>2,62</w:t>
            </w:r>
          </w:p>
        </w:tc>
        <w:tc>
          <w:tcPr>
            <w:tcW w:w="810" w:type="pct"/>
          </w:tcPr>
          <w:p w14:paraId="66CEA375" w14:textId="77777777" w:rsidR="00FF7799" w:rsidRPr="00E73F6F" w:rsidRDefault="00FF7799" w:rsidP="007A178A">
            <w:pPr>
              <w:pStyle w:val="StandardText"/>
              <w:jc w:val="center"/>
            </w:pPr>
            <w:r w:rsidRPr="00E73F6F">
              <w:t>2,60</w:t>
            </w:r>
          </w:p>
        </w:tc>
        <w:tc>
          <w:tcPr>
            <w:tcW w:w="762" w:type="pct"/>
          </w:tcPr>
          <w:p w14:paraId="2061B85E" w14:textId="77777777" w:rsidR="00FF7799" w:rsidRPr="00E73F6F" w:rsidRDefault="00FF7799" w:rsidP="007A178A">
            <w:pPr>
              <w:pStyle w:val="StandardText"/>
              <w:jc w:val="center"/>
            </w:pPr>
            <w:r w:rsidRPr="00E73F6F">
              <w:t>2,64</w:t>
            </w:r>
          </w:p>
        </w:tc>
        <w:tc>
          <w:tcPr>
            <w:tcW w:w="755" w:type="pct"/>
            <w:gridSpan w:val="2"/>
          </w:tcPr>
          <w:p w14:paraId="5FEAA119" w14:textId="77777777" w:rsidR="00FF7799" w:rsidRPr="00E73F6F" w:rsidRDefault="00FF7799" w:rsidP="007A178A">
            <w:pPr>
              <w:pStyle w:val="StandardText"/>
              <w:jc w:val="center"/>
            </w:pPr>
            <w:r w:rsidRPr="00E73F6F">
              <w:t>2,64</w:t>
            </w:r>
          </w:p>
        </w:tc>
      </w:tr>
      <w:tr w:rsidR="00FF7799" w:rsidRPr="00E73F6F" w14:paraId="02A21539" w14:textId="77777777" w:rsidTr="00F84D87">
        <w:trPr>
          <w:trHeight w:val="416"/>
        </w:trPr>
        <w:tc>
          <w:tcPr>
            <w:tcW w:w="1792" w:type="pct"/>
            <w:shd w:val="clear" w:color="auto" w:fill="FFF2CC" w:themeFill="accent4" w:themeFillTint="33"/>
          </w:tcPr>
          <w:p w14:paraId="10D3AE44" w14:textId="77777777" w:rsidR="00FF7799" w:rsidRPr="00E73F6F" w:rsidRDefault="00FF7799" w:rsidP="007A178A">
            <w:pPr>
              <w:pStyle w:val="StandardText"/>
              <w:jc w:val="left"/>
            </w:pPr>
            <w:r w:rsidRPr="00E73F6F">
              <w:t>Hausarbeit ist Sache der Frau.</w:t>
            </w:r>
          </w:p>
        </w:tc>
        <w:tc>
          <w:tcPr>
            <w:tcW w:w="881" w:type="pct"/>
          </w:tcPr>
          <w:p w14:paraId="23D1324F" w14:textId="77777777" w:rsidR="00FF7799" w:rsidRPr="00E73F6F" w:rsidRDefault="00FF7799" w:rsidP="007A178A">
            <w:pPr>
              <w:pStyle w:val="StandardText"/>
              <w:jc w:val="center"/>
            </w:pPr>
            <w:r w:rsidRPr="00E73F6F">
              <w:t>2,46</w:t>
            </w:r>
          </w:p>
        </w:tc>
        <w:tc>
          <w:tcPr>
            <w:tcW w:w="810" w:type="pct"/>
          </w:tcPr>
          <w:p w14:paraId="2B83BEBE" w14:textId="77777777" w:rsidR="00FF7799" w:rsidRPr="00E73F6F" w:rsidRDefault="00FF7799" w:rsidP="007A178A">
            <w:pPr>
              <w:pStyle w:val="StandardText"/>
              <w:jc w:val="center"/>
            </w:pPr>
            <w:r w:rsidRPr="00E73F6F">
              <w:t>2,47</w:t>
            </w:r>
          </w:p>
        </w:tc>
        <w:tc>
          <w:tcPr>
            <w:tcW w:w="762" w:type="pct"/>
          </w:tcPr>
          <w:p w14:paraId="783941C8" w14:textId="77777777" w:rsidR="00FF7799" w:rsidRPr="00E73F6F" w:rsidRDefault="00FF7799" w:rsidP="007A178A">
            <w:pPr>
              <w:pStyle w:val="StandardText"/>
              <w:jc w:val="center"/>
            </w:pPr>
            <w:r w:rsidRPr="00E73F6F">
              <w:t>2,50</w:t>
            </w:r>
          </w:p>
        </w:tc>
        <w:tc>
          <w:tcPr>
            <w:tcW w:w="755" w:type="pct"/>
            <w:gridSpan w:val="2"/>
          </w:tcPr>
          <w:p w14:paraId="479D8FCA" w14:textId="77777777" w:rsidR="00FF7799" w:rsidRPr="00E73F6F" w:rsidRDefault="00FF7799" w:rsidP="007A178A">
            <w:pPr>
              <w:pStyle w:val="StandardText"/>
              <w:jc w:val="center"/>
            </w:pPr>
            <w:r w:rsidRPr="00E73F6F">
              <w:t>2,50</w:t>
            </w:r>
          </w:p>
        </w:tc>
      </w:tr>
      <w:tr w:rsidR="00FF7799" w:rsidRPr="00E73F6F" w14:paraId="1E1ABE22" w14:textId="77777777" w:rsidTr="00F84D87">
        <w:trPr>
          <w:trHeight w:val="581"/>
        </w:trPr>
        <w:tc>
          <w:tcPr>
            <w:tcW w:w="1792" w:type="pct"/>
            <w:shd w:val="clear" w:color="auto" w:fill="FFF2CC" w:themeFill="accent4" w:themeFillTint="33"/>
          </w:tcPr>
          <w:p w14:paraId="1F14E135" w14:textId="77777777" w:rsidR="00FF7799" w:rsidRPr="00E73F6F" w:rsidRDefault="00FF7799" w:rsidP="007A178A">
            <w:pPr>
              <w:pStyle w:val="StandardText"/>
              <w:jc w:val="left"/>
            </w:pPr>
            <w:r w:rsidRPr="00E73F6F">
              <w:t xml:space="preserve">Wenn ich mit einer Marke zufrieden bin, bleibe ich auch dabei. </w:t>
            </w:r>
          </w:p>
        </w:tc>
        <w:tc>
          <w:tcPr>
            <w:tcW w:w="881" w:type="pct"/>
          </w:tcPr>
          <w:p w14:paraId="7F107C41" w14:textId="77777777" w:rsidR="00FF7799" w:rsidRPr="00E73F6F" w:rsidRDefault="00FF7799" w:rsidP="007A178A">
            <w:pPr>
              <w:pStyle w:val="StandardText"/>
              <w:jc w:val="center"/>
            </w:pPr>
            <w:r w:rsidRPr="00E73F6F">
              <w:t>1,85</w:t>
            </w:r>
          </w:p>
        </w:tc>
        <w:tc>
          <w:tcPr>
            <w:tcW w:w="810" w:type="pct"/>
          </w:tcPr>
          <w:p w14:paraId="367BBDD4" w14:textId="77777777" w:rsidR="00FF7799" w:rsidRPr="00E73F6F" w:rsidRDefault="00FF7799" w:rsidP="007A178A">
            <w:pPr>
              <w:pStyle w:val="StandardText"/>
              <w:jc w:val="center"/>
            </w:pPr>
            <w:r w:rsidRPr="00E73F6F">
              <w:t>1,85</w:t>
            </w:r>
          </w:p>
        </w:tc>
        <w:tc>
          <w:tcPr>
            <w:tcW w:w="762" w:type="pct"/>
          </w:tcPr>
          <w:p w14:paraId="442E3D5D" w14:textId="77777777" w:rsidR="00FF7799" w:rsidRPr="00E73F6F" w:rsidRDefault="00FF7799" w:rsidP="007A178A">
            <w:pPr>
              <w:pStyle w:val="StandardText"/>
              <w:jc w:val="center"/>
            </w:pPr>
            <w:r w:rsidRPr="00E73F6F">
              <w:t>1,98</w:t>
            </w:r>
          </w:p>
        </w:tc>
        <w:tc>
          <w:tcPr>
            <w:tcW w:w="755" w:type="pct"/>
            <w:gridSpan w:val="2"/>
          </w:tcPr>
          <w:p w14:paraId="3CF50056" w14:textId="77777777" w:rsidR="00FF7799" w:rsidRPr="00E73F6F" w:rsidRDefault="00FF7799" w:rsidP="007A178A">
            <w:pPr>
              <w:pStyle w:val="StandardText"/>
              <w:jc w:val="center"/>
            </w:pPr>
            <w:r w:rsidRPr="00E73F6F">
              <w:t>1,86</w:t>
            </w:r>
          </w:p>
        </w:tc>
      </w:tr>
      <w:tr w:rsidR="00FF7799" w:rsidRPr="00E73F6F" w14:paraId="478D0DF8" w14:textId="77777777" w:rsidTr="00F84D87">
        <w:trPr>
          <w:trHeight w:val="416"/>
        </w:trPr>
        <w:tc>
          <w:tcPr>
            <w:tcW w:w="1792" w:type="pct"/>
            <w:shd w:val="clear" w:color="auto" w:fill="FFF2CC" w:themeFill="accent4" w:themeFillTint="33"/>
          </w:tcPr>
          <w:p w14:paraId="02FCDE7F" w14:textId="77777777" w:rsidR="00FF7799" w:rsidRPr="00E73F6F" w:rsidRDefault="00FF7799" w:rsidP="007A178A">
            <w:pPr>
              <w:pStyle w:val="StandardText"/>
              <w:jc w:val="left"/>
            </w:pPr>
            <w:r w:rsidRPr="00E73F6F">
              <w:t>Werbung ist meist recht unterhaltsam.</w:t>
            </w:r>
          </w:p>
        </w:tc>
        <w:tc>
          <w:tcPr>
            <w:tcW w:w="881" w:type="pct"/>
          </w:tcPr>
          <w:p w14:paraId="39F04DD5" w14:textId="77777777" w:rsidR="00FF7799" w:rsidRPr="00E73F6F" w:rsidRDefault="00FF7799" w:rsidP="007A178A">
            <w:pPr>
              <w:pStyle w:val="StandardText"/>
              <w:jc w:val="center"/>
            </w:pPr>
            <w:r w:rsidRPr="00E73F6F">
              <w:t>2,68</w:t>
            </w:r>
          </w:p>
        </w:tc>
        <w:tc>
          <w:tcPr>
            <w:tcW w:w="810" w:type="pct"/>
          </w:tcPr>
          <w:p w14:paraId="52E6B7DA" w14:textId="77777777" w:rsidR="00FF7799" w:rsidRPr="00E73F6F" w:rsidRDefault="00FF7799" w:rsidP="007A178A">
            <w:pPr>
              <w:pStyle w:val="StandardText"/>
              <w:jc w:val="center"/>
            </w:pPr>
            <w:r w:rsidRPr="00E73F6F">
              <w:t>2,66</w:t>
            </w:r>
          </w:p>
        </w:tc>
        <w:tc>
          <w:tcPr>
            <w:tcW w:w="762" w:type="pct"/>
          </w:tcPr>
          <w:p w14:paraId="7827FE02" w14:textId="77777777" w:rsidR="00FF7799" w:rsidRPr="00E73F6F" w:rsidRDefault="00FF7799" w:rsidP="007A178A">
            <w:pPr>
              <w:pStyle w:val="StandardText"/>
              <w:jc w:val="center"/>
            </w:pPr>
            <w:r w:rsidRPr="00E73F6F">
              <w:t>2,66</w:t>
            </w:r>
          </w:p>
        </w:tc>
        <w:tc>
          <w:tcPr>
            <w:tcW w:w="755" w:type="pct"/>
            <w:gridSpan w:val="2"/>
          </w:tcPr>
          <w:p w14:paraId="31488E6F" w14:textId="77777777" w:rsidR="00FF7799" w:rsidRPr="00E73F6F" w:rsidRDefault="00FF7799" w:rsidP="007A178A">
            <w:pPr>
              <w:pStyle w:val="StandardText"/>
              <w:jc w:val="center"/>
            </w:pPr>
            <w:r w:rsidRPr="00E73F6F">
              <w:t>2,72</w:t>
            </w:r>
          </w:p>
        </w:tc>
      </w:tr>
      <w:tr w:rsidR="00FF7799" w:rsidRPr="00E73F6F" w14:paraId="42A3E5B3" w14:textId="77777777" w:rsidTr="00F84D87">
        <w:trPr>
          <w:trHeight w:val="581"/>
        </w:trPr>
        <w:tc>
          <w:tcPr>
            <w:tcW w:w="1792" w:type="pct"/>
            <w:shd w:val="clear" w:color="auto" w:fill="FFF2CC" w:themeFill="accent4" w:themeFillTint="33"/>
          </w:tcPr>
          <w:p w14:paraId="095DAE2D" w14:textId="77777777" w:rsidR="00FF7799" w:rsidRPr="00E73F6F" w:rsidRDefault="00FF7799" w:rsidP="007A178A">
            <w:pPr>
              <w:pStyle w:val="StandardText"/>
              <w:jc w:val="left"/>
            </w:pPr>
            <w:r w:rsidRPr="00E73F6F">
              <w:t>Es ist wichtig, gegen alle Risiken Versicherungen abzuschließen.</w:t>
            </w:r>
          </w:p>
        </w:tc>
        <w:tc>
          <w:tcPr>
            <w:tcW w:w="881" w:type="pct"/>
          </w:tcPr>
          <w:p w14:paraId="69EFA7F9" w14:textId="77777777" w:rsidR="00FF7799" w:rsidRPr="00E73F6F" w:rsidRDefault="00FF7799" w:rsidP="007A178A">
            <w:pPr>
              <w:pStyle w:val="StandardText"/>
              <w:jc w:val="center"/>
            </w:pPr>
            <w:r w:rsidRPr="00E73F6F">
              <w:t>2,55</w:t>
            </w:r>
          </w:p>
        </w:tc>
        <w:tc>
          <w:tcPr>
            <w:tcW w:w="810" w:type="pct"/>
          </w:tcPr>
          <w:p w14:paraId="2A0BDB11" w14:textId="77777777" w:rsidR="00FF7799" w:rsidRPr="00E73F6F" w:rsidRDefault="00FF7799" w:rsidP="007A178A">
            <w:pPr>
              <w:pStyle w:val="StandardText"/>
              <w:jc w:val="center"/>
            </w:pPr>
            <w:r w:rsidRPr="00E73F6F">
              <w:t>2,53</w:t>
            </w:r>
          </w:p>
        </w:tc>
        <w:tc>
          <w:tcPr>
            <w:tcW w:w="762" w:type="pct"/>
          </w:tcPr>
          <w:p w14:paraId="23DFEC53" w14:textId="77777777" w:rsidR="00FF7799" w:rsidRPr="00E73F6F" w:rsidRDefault="00FF7799" w:rsidP="007A178A">
            <w:pPr>
              <w:pStyle w:val="StandardText"/>
              <w:jc w:val="center"/>
            </w:pPr>
            <w:r w:rsidRPr="00E73F6F">
              <w:t>2,73</w:t>
            </w:r>
          </w:p>
        </w:tc>
        <w:tc>
          <w:tcPr>
            <w:tcW w:w="755" w:type="pct"/>
            <w:gridSpan w:val="2"/>
          </w:tcPr>
          <w:p w14:paraId="6079FB20" w14:textId="77777777" w:rsidR="00FF7799" w:rsidRPr="00E73F6F" w:rsidRDefault="00FF7799" w:rsidP="007A178A">
            <w:pPr>
              <w:pStyle w:val="StandardText"/>
              <w:jc w:val="center"/>
            </w:pPr>
            <w:r w:rsidRPr="00E73F6F">
              <w:t>2,66</w:t>
            </w:r>
          </w:p>
        </w:tc>
      </w:tr>
      <w:tr w:rsidR="00FF7799" w:rsidRPr="00E73F6F" w14:paraId="597223B8" w14:textId="77777777" w:rsidTr="00F84D87">
        <w:trPr>
          <w:gridAfter w:val="1"/>
          <w:wAfter w:w="78" w:type="pct"/>
          <w:trHeight w:val="841"/>
        </w:trPr>
        <w:tc>
          <w:tcPr>
            <w:tcW w:w="4922" w:type="pct"/>
            <w:gridSpan w:val="5"/>
            <w:shd w:val="clear" w:color="auto" w:fill="F2F2F2" w:themeFill="background1" w:themeFillShade="F2"/>
          </w:tcPr>
          <w:p w14:paraId="24AFCD29" w14:textId="77777777" w:rsidR="00FF7799" w:rsidRPr="00E73F6F" w:rsidRDefault="00FF7799" w:rsidP="00436621">
            <w:pPr>
              <w:pStyle w:val="StandardText"/>
              <w:rPr>
                <w:u w:val="single"/>
              </w:rPr>
            </w:pPr>
            <w:r w:rsidRPr="00E73F6F">
              <w:rPr>
                <w:u w:val="single"/>
              </w:rPr>
              <w:t>Legende:</w:t>
            </w:r>
          </w:p>
          <w:p w14:paraId="075E5C2A" w14:textId="77777777" w:rsidR="00FF7799" w:rsidRPr="00E73F6F" w:rsidRDefault="00FF7799" w:rsidP="00436621">
            <w:pPr>
              <w:pStyle w:val="StandardText"/>
            </w:pPr>
            <w:r w:rsidRPr="00E73F6F">
              <w:t>Zustimmung: 1 = stimme voll und ganz zu, 2 = stimme weitgehend zu, 3 = stimme eher nicht zu, 4 = stimme überhaupt nicht zu</w:t>
            </w:r>
          </w:p>
          <w:p w14:paraId="4A02688F" w14:textId="77777777" w:rsidR="00FF7799" w:rsidRPr="00E73F6F" w:rsidRDefault="00FF7799" w:rsidP="00436621">
            <w:pPr>
              <w:pStyle w:val="StandardText"/>
            </w:pPr>
            <w:r w:rsidRPr="00E73F6F">
              <w:t>Wichtigkeit: 1 = ganz besonders wichtig, 2 = sehr wichtig, 3 = wichtig, 4 = unwichtig</w:t>
            </w:r>
          </w:p>
        </w:tc>
      </w:tr>
    </w:tbl>
    <w:p w14:paraId="0AD127A8" w14:textId="77777777" w:rsidR="00FF7799" w:rsidRPr="00E73F6F" w:rsidRDefault="00FF7799" w:rsidP="00436621">
      <w:pPr>
        <w:pStyle w:val="Quellen"/>
      </w:pPr>
      <w:r w:rsidRPr="00E73F6F">
        <w:t>Quelle:</w:t>
      </w:r>
      <w:r w:rsidRPr="00E73F6F">
        <w:tab/>
        <w:t>eigene Auswertung; Ursprungsdaten, Verbraucheranalyse (2008).</w:t>
      </w:r>
    </w:p>
    <w:p w14:paraId="14EB1B65" w14:textId="77777777" w:rsidR="00FF7799" w:rsidRPr="00E73F6F" w:rsidRDefault="00FF7799" w:rsidP="00436621">
      <w:pPr>
        <w:pStyle w:val="StandardText"/>
      </w:pPr>
    </w:p>
    <w:p w14:paraId="1A86B07C" w14:textId="77777777" w:rsidR="00FF7799" w:rsidRPr="00E73F6F" w:rsidRDefault="00FF7799" w:rsidP="00436621">
      <w:pPr>
        <w:pStyle w:val="StandardText"/>
      </w:pPr>
      <w:r w:rsidRPr="00E73F6F">
        <w:t>In den meisten Industriegesellschaften ist die vielfach von einer De-Institutionalisierung begleitete Säkularisierung weit fortgeschritten. Dies bedeutet jedoch nicht zwangsläufig, dass die Religionen bzw. Kirchen in entsprechendem Maße an Einfluss verloren hätten. Hauptsächlich durch sekundäre Sozialisation vermitteln sie nach wie vor ihre zentralen Werte (z.B. Vergebung). Selbst eine militante Säkularisierung, wie in der Sowjetunion, konnte an dieser überaus wichtigen Funktion nichts ändern, wie folgende Aussage des estnischen Schriftstellers Kaplinsiki aus dem Jahre 1989 belegt.</w:t>
      </w:r>
    </w:p>
    <w:p w14:paraId="3C2D40C4" w14:textId="77777777" w:rsidR="00FF7799" w:rsidRPr="00E73F6F" w:rsidRDefault="00FF7799" w:rsidP="00436621">
      <w:pPr>
        <w:pStyle w:val="StandardText"/>
      </w:pPr>
      <w:r w:rsidRPr="00E73F6F">
        <w:t xml:space="preserve"> „Unsere Traditionen, Werte und Normen haben einen protestantischen, westlichen Hintergrund. Und wenn die Sowjetregierung wirklich im Umgang mit den westlichen Nationen vorankommen will, dann sollte sie zuerst lernen, mit dem Westen in ihren eigenen Grenzen auszukommen“ (von Pistohlkors 1991, S.11).</w:t>
      </w:r>
    </w:p>
    <w:p w14:paraId="2F1A7021" w14:textId="77777777" w:rsidR="00FF7799" w:rsidRPr="00E73F6F" w:rsidRDefault="00FF7799" w:rsidP="00436621">
      <w:pPr>
        <w:pStyle w:val="StandardText"/>
      </w:pPr>
      <w:r w:rsidRPr="00E73F6F">
        <w:t xml:space="preserve">Dennoch dürfte unstrittig sein, dass, von Ausnahmesituationen wie Geburt, Eheschließung und Tod abgesehen, die christlichen Kirchen ihr jahrhunderte-altes Monopol, die Sehnsucht des Menschen nach Orientierung und Lebenssinn zu stillen, in den westlichen Industriestaaten weitgehend verloren haben. </w:t>
      </w:r>
    </w:p>
    <w:p w14:paraId="244C5C0F" w14:textId="77777777" w:rsidR="00FF7799" w:rsidRPr="00F84D87" w:rsidRDefault="00FF7799" w:rsidP="00436621">
      <w:pPr>
        <w:pStyle w:val="StandardText"/>
        <w:rPr>
          <w:rFonts w:eastAsia="Calibri"/>
          <w:bCs/>
          <w:sz w:val="22"/>
          <w:szCs w:val="22"/>
        </w:rPr>
      </w:pPr>
      <w:r w:rsidRPr="00F84D87">
        <w:rPr>
          <w:rFonts w:eastAsia="Calibri"/>
          <w:b/>
          <w:bCs/>
          <w:i/>
          <w:sz w:val="22"/>
          <w:szCs w:val="22"/>
        </w:rPr>
        <w:t>Literatur</w:t>
      </w:r>
      <w:r w:rsidRPr="00F84D87">
        <w:rPr>
          <w:rFonts w:eastAsia="Calibri"/>
          <w:bCs/>
          <w:i/>
          <w:sz w:val="22"/>
          <w:szCs w:val="22"/>
        </w:rPr>
        <w:t>:</w:t>
      </w:r>
      <w:r w:rsidRPr="00F84D87">
        <w:rPr>
          <w:rFonts w:eastAsia="Calibri"/>
          <w:bCs/>
          <w:sz w:val="22"/>
          <w:szCs w:val="22"/>
        </w:rPr>
        <w:t xml:space="preserve"> Luhmann, N. (1977): Funktion der Religion, Frankfurt/Main: Suhrkamp. von Pistohlkors, G. (1991): Die historischen Voraussetzungen für die Entstehung der drei baltischen Staaten, in: Meissner, B. (Hrsg.), Die baltischen Nationen Estland, Lettland, Litauen, 2. Aufl., 10</w:t>
      </w:r>
      <w:r w:rsidRPr="00F84D87">
        <w:rPr>
          <w:rFonts w:eastAsia="Calibri"/>
          <w:bCs/>
          <w:sz w:val="22"/>
          <w:szCs w:val="22"/>
        </w:rPr>
        <w:noBreakHyphen/>
        <w:t>49, Köln: Markus. Weber, M. (1920): Gesammelte Aufsätze zur Religionssoziologie, Bd.1, Tübingen: UTB.</w:t>
      </w:r>
    </w:p>
    <w:p w14:paraId="20747C86" w14:textId="77777777" w:rsidR="00FF7799" w:rsidRPr="00E73F6F" w:rsidRDefault="00FF7799" w:rsidP="00436621">
      <w:pPr>
        <w:pStyle w:val="StandardText"/>
        <w:rPr>
          <w:rFonts w:eastAsia="Calibri"/>
          <w:bCs/>
        </w:rPr>
      </w:pPr>
    </w:p>
    <w:p w14:paraId="2FD9E8B0" w14:textId="77777777" w:rsidR="00FF7799" w:rsidRPr="00812008" w:rsidRDefault="00FF7799" w:rsidP="009355CA">
      <w:pPr>
        <w:pStyle w:val="berschrift1"/>
        <w:rPr>
          <w:color w:val="2E74B5"/>
        </w:rPr>
      </w:pPr>
      <w:r w:rsidRPr="00812008">
        <w:rPr>
          <w:color w:val="2E74B5"/>
        </w:rPr>
        <w:lastRenderedPageBreak/>
        <w:t>Sapir/Whorf-These</w:t>
      </w:r>
    </w:p>
    <w:p w14:paraId="55C070C4" w14:textId="77777777" w:rsidR="00FF7799" w:rsidRPr="00F84D87" w:rsidRDefault="00FF7799" w:rsidP="007A178A">
      <w:pPr>
        <w:pStyle w:val="StandardText"/>
      </w:pPr>
      <w:r w:rsidRPr="00F84D87">
        <w:t xml:space="preserve">formulierte erstmals den zwischen Sprache einerseits und </w:t>
      </w:r>
      <w:r w:rsidR="00D22D27">
        <w:sym w:font="Symbol" w:char="F0DE"/>
      </w:r>
      <w:r w:rsidR="00D22D27">
        <w:t xml:space="preserve"> </w:t>
      </w:r>
      <w:r w:rsidRPr="00F84D87">
        <w:t>Weltbild andererseits vermuteten Zusammenhang. Hierzu verglich B.L. Whorf die Sprachstruktur nordamerikanischer</w:t>
      </w:r>
      <w:r w:rsidRPr="00F84D87">
        <w:rPr>
          <w:spacing w:val="-2"/>
        </w:rPr>
        <w:t xml:space="preserve"> </w:t>
      </w:r>
      <w:r w:rsidRPr="00F84D87">
        <w:t>Indianersprachen</w:t>
      </w:r>
      <w:r w:rsidRPr="00F84D87">
        <w:rPr>
          <w:spacing w:val="-1"/>
        </w:rPr>
        <w:t xml:space="preserve"> </w:t>
      </w:r>
      <w:r w:rsidRPr="00F84D87">
        <w:t>mit</w:t>
      </w:r>
      <w:r w:rsidRPr="00F84D87">
        <w:rPr>
          <w:spacing w:val="-6"/>
        </w:rPr>
        <w:t xml:space="preserve"> </w:t>
      </w:r>
      <w:r w:rsidRPr="00F84D87">
        <w:t>der</w:t>
      </w:r>
      <w:r w:rsidRPr="00F84D87">
        <w:rPr>
          <w:spacing w:val="-2"/>
        </w:rPr>
        <w:t xml:space="preserve"> </w:t>
      </w:r>
      <w:r w:rsidRPr="00F84D87">
        <w:t>Struktur</w:t>
      </w:r>
      <w:r w:rsidRPr="00F84D87">
        <w:rPr>
          <w:spacing w:val="-4"/>
        </w:rPr>
        <w:t xml:space="preserve"> </w:t>
      </w:r>
      <w:r w:rsidRPr="00F84D87">
        <w:t>europäischer</w:t>
      </w:r>
      <w:r w:rsidRPr="00F84D87">
        <w:rPr>
          <w:spacing w:val="-4"/>
        </w:rPr>
        <w:t xml:space="preserve"> </w:t>
      </w:r>
      <w:r w:rsidRPr="00F84D87">
        <w:t>Sprachen.</w:t>
      </w:r>
      <w:r w:rsidRPr="00F84D87">
        <w:rPr>
          <w:spacing w:val="-3"/>
        </w:rPr>
        <w:t xml:space="preserve"> </w:t>
      </w:r>
      <w:r w:rsidRPr="00F84D87">
        <w:t>Da er dabei auf den Arbeiten des Ethnolinguisten E. Sapir aufbaute, ist häufig auch von</w:t>
      </w:r>
      <w:r w:rsidRPr="00F84D87">
        <w:rPr>
          <w:spacing w:val="-12"/>
        </w:rPr>
        <w:t xml:space="preserve"> </w:t>
      </w:r>
      <w:r w:rsidRPr="00F84D87">
        <w:t>der</w:t>
      </w:r>
      <w:r w:rsidRPr="00F84D87">
        <w:rPr>
          <w:spacing w:val="-11"/>
        </w:rPr>
        <w:t xml:space="preserve"> </w:t>
      </w:r>
      <w:r w:rsidRPr="00F84D87">
        <w:t>Sapir/Whorf-These</w:t>
      </w:r>
      <w:r w:rsidRPr="00F84D87">
        <w:rPr>
          <w:spacing w:val="-10"/>
        </w:rPr>
        <w:t xml:space="preserve"> </w:t>
      </w:r>
      <w:r w:rsidRPr="00F84D87">
        <w:t>die</w:t>
      </w:r>
      <w:r w:rsidRPr="00F84D87">
        <w:rPr>
          <w:spacing w:val="-11"/>
        </w:rPr>
        <w:t xml:space="preserve"> </w:t>
      </w:r>
      <w:r w:rsidRPr="00F84D87">
        <w:t>Rede.</w:t>
      </w:r>
      <w:r w:rsidRPr="00F84D87">
        <w:rPr>
          <w:spacing w:val="-10"/>
        </w:rPr>
        <w:t xml:space="preserve"> </w:t>
      </w:r>
      <w:r w:rsidRPr="00F84D87">
        <w:t>Zahlreiche</w:t>
      </w:r>
      <w:r w:rsidRPr="00F84D87">
        <w:rPr>
          <w:spacing w:val="-11"/>
        </w:rPr>
        <w:t xml:space="preserve"> </w:t>
      </w:r>
      <w:r w:rsidRPr="00F84D87">
        <w:t>Kritiker</w:t>
      </w:r>
      <w:r w:rsidRPr="00F84D87">
        <w:rPr>
          <w:spacing w:val="-10"/>
        </w:rPr>
        <w:t xml:space="preserve"> </w:t>
      </w:r>
      <w:r w:rsidRPr="00F84D87">
        <w:t>wiesen</w:t>
      </w:r>
      <w:r w:rsidRPr="00F84D87">
        <w:rPr>
          <w:spacing w:val="-9"/>
        </w:rPr>
        <w:t xml:space="preserve"> </w:t>
      </w:r>
      <w:r w:rsidRPr="00F84D87">
        <w:t>jedoch</w:t>
      </w:r>
      <w:r w:rsidRPr="00F84D87">
        <w:rPr>
          <w:spacing w:val="-9"/>
        </w:rPr>
        <w:t xml:space="preserve"> </w:t>
      </w:r>
      <w:r w:rsidRPr="00F84D87">
        <w:t>nach,</w:t>
      </w:r>
      <w:r w:rsidRPr="00F84D87">
        <w:rPr>
          <w:spacing w:val="-10"/>
        </w:rPr>
        <w:t xml:space="preserve"> </w:t>
      </w:r>
      <w:r w:rsidRPr="00F84D87">
        <w:t>dass in der ursprünglichen extremen Form (= linguistischer Determinismus) diese These unhaltbar ist: Die verschiedenen Sprachen sind weit unterschiedlicher als die</w:t>
      </w:r>
      <w:r w:rsidRPr="00F84D87">
        <w:rPr>
          <w:spacing w:val="-11"/>
        </w:rPr>
        <w:t xml:space="preserve"> </w:t>
      </w:r>
      <w:r w:rsidRPr="00F84D87">
        <w:t>verschiedenen</w:t>
      </w:r>
      <w:r w:rsidRPr="00F84D87">
        <w:rPr>
          <w:spacing w:val="-11"/>
        </w:rPr>
        <w:t xml:space="preserve"> </w:t>
      </w:r>
      <w:r w:rsidRPr="00F84D87">
        <w:t>Weltbilder.</w:t>
      </w:r>
      <w:r w:rsidRPr="00F84D87">
        <w:rPr>
          <w:spacing w:val="-10"/>
        </w:rPr>
        <w:t xml:space="preserve"> </w:t>
      </w:r>
      <w:r w:rsidRPr="00F84D87">
        <w:t>Es</w:t>
      </w:r>
      <w:r w:rsidRPr="00F84D87">
        <w:rPr>
          <w:spacing w:val="-12"/>
        </w:rPr>
        <w:t xml:space="preserve"> </w:t>
      </w:r>
      <w:r w:rsidRPr="00F84D87">
        <w:t>gibt</w:t>
      </w:r>
      <w:r w:rsidRPr="00F84D87">
        <w:rPr>
          <w:spacing w:val="-9"/>
        </w:rPr>
        <w:t xml:space="preserve"> </w:t>
      </w:r>
      <w:r w:rsidRPr="00F84D87">
        <w:t>einen</w:t>
      </w:r>
      <w:r w:rsidRPr="00F84D87">
        <w:rPr>
          <w:spacing w:val="-9"/>
        </w:rPr>
        <w:t xml:space="preserve"> </w:t>
      </w:r>
      <w:r w:rsidRPr="00F84D87">
        <w:t>sprachunabhängigen</w:t>
      </w:r>
      <w:r w:rsidRPr="00F84D87">
        <w:rPr>
          <w:spacing w:val="-9"/>
        </w:rPr>
        <w:t xml:space="preserve"> </w:t>
      </w:r>
      <w:r w:rsidRPr="00F84D87">
        <w:t>Konsens</w:t>
      </w:r>
      <w:r w:rsidRPr="00F84D87">
        <w:rPr>
          <w:spacing w:val="-11"/>
        </w:rPr>
        <w:t xml:space="preserve"> </w:t>
      </w:r>
      <w:r w:rsidRPr="00F84D87">
        <w:t>über</w:t>
      </w:r>
      <w:r w:rsidRPr="00F84D87">
        <w:rPr>
          <w:spacing w:val="-10"/>
        </w:rPr>
        <w:t xml:space="preserve"> </w:t>
      </w:r>
      <w:r w:rsidRPr="00F84D87">
        <w:t xml:space="preserve">die Beschaffenheit der realen Welt. Deshalb wird der wissenschaftliche Diskurs mittlerweile von der These des linguistischen Relativitätsprinzips bestimmt. Demzufolge besteht zwischen Sprache, Denken und Landeskultur eine </w:t>
      </w:r>
      <w:r w:rsidRPr="00F84D87">
        <w:rPr>
          <w:spacing w:val="-2"/>
        </w:rPr>
        <w:t>Wechselwirkung.</w:t>
      </w:r>
    </w:p>
    <w:p w14:paraId="52B2FE52" w14:textId="77777777" w:rsidR="00FF7799" w:rsidRPr="00F84D87" w:rsidRDefault="00FF7799" w:rsidP="007A178A">
      <w:pPr>
        <w:pStyle w:val="StandardText"/>
        <w:rPr>
          <w:sz w:val="22"/>
          <w:szCs w:val="22"/>
          <w:lang w:val="en-US"/>
        </w:rPr>
      </w:pPr>
      <w:r w:rsidRPr="00F84D87">
        <w:rPr>
          <w:b/>
          <w:i/>
          <w:sz w:val="22"/>
          <w:szCs w:val="22"/>
        </w:rPr>
        <w:t>Literatur</w:t>
      </w:r>
      <w:r w:rsidRPr="00F84D87">
        <w:rPr>
          <w:i/>
          <w:sz w:val="22"/>
          <w:szCs w:val="22"/>
        </w:rPr>
        <w:t>:</w:t>
      </w:r>
      <w:r w:rsidRPr="00F84D87">
        <w:rPr>
          <w:sz w:val="22"/>
          <w:szCs w:val="22"/>
        </w:rPr>
        <w:t xml:space="preserve"> Gipper,</w:t>
      </w:r>
      <w:r w:rsidRPr="00F84D87">
        <w:rPr>
          <w:spacing w:val="-3"/>
          <w:sz w:val="22"/>
          <w:szCs w:val="22"/>
        </w:rPr>
        <w:t xml:space="preserve"> </w:t>
      </w:r>
      <w:r w:rsidRPr="00F84D87">
        <w:rPr>
          <w:sz w:val="22"/>
          <w:szCs w:val="22"/>
        </w:rPr>
        <w:t>H. (1972):</w:t>
      </w:r>
      <w:r w:rsidRPr="00F84D87">
        <w:rPr>
          <w:spacing w:val="-3"/>
          <w:sz w:val="22"/>
          <w:szCs w:val="22"/>
        </w:rPr>
        <w:t xml:space="preserve"> </w:t>
      </w:r>
      <w:r w:rsidRPr="00F84D87">
        <w:rPr>
          <w:sz w:val="22"/>
          <w:szCs w:val="22"/>
        </w:rPr>
        <w:t>Gibt</w:t>
      </w:r>
      <w:r w:rsidRPr="00F84D87">
        <w:rPr>
          <w:spacing w:val="-3"/>
          <w:sz w:val="22"/>
          <w:szCs w:val="22"/>
        </w:rPr>
        <w:t xml:space="preserve"> </w:t>
      </w:r>
      <w:r w:rsidRPr="00F84D87">
        <w:rPr>
          <w:sz w:val="22"/>
          <w:szCs w:val="22"/>
        </w:rPr>
        <w:t>es</w:t>
      </w:r>
      <w:r w:rsidRPr="00F84D87">
        <w:rPr>
          <w:spacing w:val="-6"/>
          <w:sz w:val="22"/>
          <w:szCs w:val="22"/>
        </w:rPr>
        <w:t xml:space="preserve"> </w:t>
      </w:r>
      <w:r w:rsidRPr="00F84D87">
        <w:rPr>
          <w:sz w:val="22"/>
          <w:szCs w:val="22"/>
        </w:rPr>
        <w:t>ein</w:t>
      </w:r>
      <w:r w:rsidRPr="00F84D87">
        <w:rPr>
          <w:spacing w:val="-3"/>
          <w:sz w:val="22"/>
          <w:szCs w:val="22"/>
        </w:rPr>
        <w:t xml:space="preserve"> </w:t>
      </w:r>
      <w:r w:rsidRPr="00F84D87">
        <w:rPr>
          <w:sz w:val="22"/>
          <w:szCs w:val="22"/>
        </w:rPr>
        <w:t>sprachliches</w:t>
      </w:r>
      <w:r w:rsidRPr="00F84D87">
        <w:rPr>
          <w:spacing w:val="-6"/>
          <w:sz w:val="22"/>
          <w:szCs w:val="22"/>
        </w:rPr>
        <w:t xml:space="preserve"> </w:t>
      </w:r>
      <w:r w:rsidRPr="00F84D87">
        <w:rPr>
          <w:sz w:val="22"/>
          <w:szCs w:val="22"/>
        </w:rPr>
        <w:t>Relativitätsprinzip?</w:t>
      </w:r>
      <w:r w:rsidRPr="00F84D87">
        <w:rPr>
          <w:spacing w:val="-1"/>
          <w:sz w:val="22"/>
          <w:szCs w:val="22"/>
        </w:rPr>
        <w:t xml:space="preserve"> </w:t>
      </w:r>
      <w:r w:rsidRPr="00F84D87">
        <w:rPr>
          <w:sz w:val="22"/>
          <w:szCs w:val="22"/>
          <w:lang w:val="en-US"/>
        </w:rPr>
        <w:t>Untersuchungen</w:t>
      </w:r>
      <w:r w:rsidRPr="00F84D87">
        <w:rPr>
          <w:spacing w:val="40"/>
          <w:sz w:val="22"/>
          <w:szCs w:val="22"/>
          <w:lang w:val="en-US"/>
        </w:rPr>
        <w:t xml:space="preserve"> </w:t>
      </w:r>
      <w:r w:rsidRPr="00F84D87">
        <w:rPr>
          <w:sz w:val="22"/>
          <w:szCs w:val="22"/>
          <w:lang w:val="en-US"/>
        </w:rPr>
        <w:t>zur Sapir-Whorf-Hypothese, Frankfurt/Main: S. Fischer.</w:t>
      </w:r>
      <w:r w:rsidRPr="00F84D87">
        <w:rPr>
          <w:spacing w:val="80"/>
          <w:w w:val="150"/>
          <w:sz w:val="22"/>
          <w:szCs w:val="22"/>
          <w:lang w:val="en-US"/>
        </w:rPr>
        <w:t xml:space="preserve"> </w:t>
      </w:r>
      <w:r w:rsidRPr="00F84D87">
        <w:rPr>
          <w:sz w:val="22"/>
          <w:szCs w:val="22"/>
          <w:lang w:val="en-US"/>
        </w:rPr>
        <w:t>Sapir, E. (1921): An</w:t>
      </w:r>
      <w:r w:rsidRPr="00F84D87">
        <w:rPr>
          <w:spacing w:val="40"/>
          <w:sz w:val="22"/>
          <w:szCs w:val="22"/>
          <w:lang w:val="en-US"/>
        </w:rPr>
        <w:t xml:space="preserve"> </w:t>
      </w:r>
      <w:r w:rsidRPr="00F84D87">
        <w:rPr>
          <w:sz w:val="22"/>
          <w:szCs w:val="22"/>
          <w:lang w:val="en-US"/>
        </w:rPr>
        <w:t>Introduction to the Study of Speech, New York: Harcourt.</w:t>
      </w:r>
      <w:r w:rsidRPr="00F84D87">
        <w:rPr>
          <w:spacing w:val="40"/>
          <w:sz w:val="22"/>
          <w:szCs w:val="22"/>
          <w:lang w:val="en-US"/>
        </w:rPr>
        <w:t xml:space="preserve"> </w:t>
      </w:r>
      <w:r w:rsidRPr="00F84D87">
        <w:rPr>
          <w:sz w:val="22"/>
          <w:szCs w:val="22"/>
          <w:lang w:val="en-US"/>
        </w:rPr>
        <w:t>Whorf, B.L. (1956): Language,</w:t>
      </w:r>
      <w:r w:rsidRPr="00F84D87">
        <w:rPr>
          <w:spacing w:val="40"/>
          <w:sz w:val="22"/>
          <w:szCs w:val="22"/>
          <w:lang w:val="en-US"/>
        </w:rPr>
        <w:t xml:space="preserve"> </w:t>
      </w:r>
      <w:r w:rsidRPr="00F84D87">
        <w:rPr>
          <w:sz w:val="22"/>
          <w:szCs w:val="22"/>
          <w:lang w:val="en-US"/>
        </w:rPr>
        <w:t>Thought and Reality, Cambridge/MA: MIT Press.</w:t>
      </w:r>
    </w:p>
    <w:p w14:paraId="37D377F1" w14:textId="77777777" w:rsidR="00FF7799" w:rsidRPr="00812008" w:rsidRDefault="00FF7799" w:rsidP="009355CA">
      <w:pPr>
        <w:pStyle w:val="berschrift1"/>
        <w:rPr>
          <w:color w:val="2E74B5"/>
        </w:rPr>
      </w:pPr>
      <w:r w:rsidRPr="00812008">
        <w:rPr>
          <w:color w:val="2E74B5"/>
        </w:rPr>
        <w:t>Sarbanes-Oxley-Act</w:t>
      </w:r>
    </w:p>
    <w:p w14:paraId="46AD1E75" w14:textId="77777777" w:rsidR="00FF7799" w:rsidRPr="00E73F6F" w:rsidRDefault="00FF7799" w:rsidP="007A178A">
      <w:pPr>
        <w:pStyle w:val="StandardText"/>
      </w:pPr>
      <w:r w:rsidRPr="00E73F6F">
        <w:t>soll</w:t>
      </w:r>
      <w:r w:rsidRPr="00E73F6F">
        <w:rPr>
          <w:spacing w:val="80"/>
        </w:rPr>
        <w:t xml:space="preserve"> </w:t>
      </w:r>
      <w:r w:rsidRPr="00E73F6F">
        <w:t>eine</w:t>
      </w:r>
      <w:r w:rsidRPr="00E73F6F">
        <w:rPr>
          <w:spacing w:val="80"/>
        </w:rPr>
        <w:t xml:space="preserve"> </w:t>
      </w:r>
      <w:r w:rsidRPr="00E73F6F">
        <w:t>verlässlichere</w:t>
      </w:r>
      <w:r w:rsidRPr="00E73F6F">
        <w:rPr>
          <w:spacing w:val="80"/>
        </w:rPr>
        <w:t xml:space="preserve"> </w:t>
      </w:r>
      <w:r w:rsidRPr="00E73F6F">
        <w:t>Berichterstattung</w:t>
      </w:r>
      <w:r w:rsidRPr="00E73F6F">
        <w:rPr>
          <w:spacing w:val="80"/>
        </w:rPr>
        <w:t xml:space="preserve"> </w:t>
      </w:r>
      <w:r w:rsidRPr="00E73F6F">
        <w:t>von</w:t>
      </w:r>
      <w:r w:rsidRPr="00E73F6F">
        <w:rPr>
          <w:spacing w:val="80"/>
        </w:rPr>
        <w:t xml:space="preserve"> </w:t>
      </w:r>
      <w:r w:rsidRPr="00E73F6F">
        <w:t>Unternehmen,</w:t>
      </w:r>
      <w:r w:rsidRPr="00E73F6F">
        <w:rPr>
          <w:spacing w:val="80"/>
        </w:rPr>
        <w:t xml:space="preserve"> </w:t>
      </w:r>
      <w:r w:rsidRPr="00E73F6F">
        <w:t>welche</w:t>
      </w:r>
      <w:r w:rsidRPr="00E73F6F">
        <w:rPr>
          <w:spacing w:val="80"/>
        </w:rPr>
        <w:t xml:space="preserve"> </w:t>
      </w:r>
      <w:r w:rsidRPr="00E73F6F">
        <w:t>den öffentlichen US-Kapitalmarkt in Anspruch nehmen, gewährleisten</w:t>
      </w:r>
    </w:p>
    <w:p w14:paraId="7A765A66" w14:textId="77777777" w:rsidR="00FF7799" w:rsidRPr="00812008" w:rsidRDefault="00FF7799" w:rsidP="009355CA">
      <w:pPr>
        <w:pStyle w:val="berschrift1"/>
        <w:rPr>
          <w:color w:val="2E74B5"/>
        </w:rPr>
      </w:pPr>
      <w:r w:rsidRPr="00812008">
        <w:rPr>
          <w:color w:val="2E74B5"/>
        </w:rPr>
        <w:t>Schema</w:t>
      </w:r>
    </w:p>
    <w:p w14:paraId="2976EA7A" w14:textId="77777777" w:rsidR="00FF7799" w:rsidRPr="00E73F6F" w:rsidRDefault="00FF7799" w:rsidP="007A178A">
      <w:pPr>
        <w:pStyle w:val="StandardText"/>
      </w:pPr>
      <w:r w:rsidRPr="00E73F6F">
        <w:t>mentale</w:t>
      </w:r>
      <w:r w:rsidRPr="00E73F6F">
        <w:rPr>
          <w:spacing w:val="40"/>
        </w:rPr>
        <w:t xml:space="preserve"> </w:t>
      </w:r>
      <w:r w:rsidRPr="00E73F6F">
        <w:t>Struktur,</w:t>
      </w:r>
      <w:r w:rsidRPr="00E73F6F">
        <w:rPr>
          <w:spacing w:val="67"/>
        </w:rPr>
        <w:t xml:space="preserve"> </w:t>
      </w:r>
      <w:r w:rsidRPr="00E73F6F">
        <w:t>welche</w:t>
      </w:r>
      <w:r w:rsidRPr="00E73F6F">
        <w:rPr>
          <w:spacing w:val="40"/>
        </w:rPr>
        <w:t xml:space="preserve"> </w:t>
      </w:r>
      <w:r w:rsidRPr="00E73F6F">
        <w:t>hilft,</w:t>
      </w:r>
      <w:r w:rsidRPr="00E73F6F">
        <w:rPr>
          <w:spacing w:val="40"/>
        </w:rPr>
        <w:t xml:space="preserve"> </w:t>
      </w:r>
      <w:r w:rsidRPr="00E73F6F">
        <w:t>das</w:t>
      </w:r>
      <w:r w:rsidRPr="00E73F6F">
        <w:rPr>
          <w:spacing w:val="40"/>
        </w:rPr>
        <w:t xml:space="preserve"> </w:t>
      </w:r>
      <w:r w:rsidRPr="00E73F6F">
        <w:t>eigene</w:t>
      </w:r>
      <w:r w:rsidRPr="00E73F6F">
        <w:rPr>
          <w:spacing w:val="40"/>
        </w:rPr>
        <w:t xml:space="preserve"> </w:t>
      </w:r>
      <w:r w:rsidRPr="00E73F6F">
        <w:t>Wissen</w:t>
      </w:r>
      <w:r w:rsidRPr="00E73F6F">
        <w:rPr>
          <w:spacing w:val="68"/>
        </w:rPr>
        <w:t xml:space="preserve"> </w:t>
      </w:r>
      <w:r w:rsidRPr="00E73F6F">
        <w:t>über</w:t>
      </w:r>
      <w:r w:rsidRPr="00E73F6F">
        <w:rPr>
          <w:spacing w:val="67"/>
        </w:rPr>
        <w:t xml:space="preserve"> </w:t>
      </w:r>
      <w:r w:rsidRPr="00E73F6F">
        <w:t>die</w:t>
      </w:r>
      <w:r w:rsidRPr="00E73F6F">
        <w:rPr>
          <w:spacing w:val="40"/>
        </w:rPr>
        <w:t xml:space="preserve"> </w:t>
      </w:r>
      <w:r w:rsidRPr="00E73F6F">
        <w:t>soziale</w:t>
      </w:r>
      <w:r w:rsidRPr="00E73F6F">
        <w:rPr>
          <w:spacing w:val="40"/>
        </w:rPr>
        <w:t xml:space="preserve"> </w:t>
      </w:r>
      <w:r w:rsidRPr="00E73F6F">
        <w:t>Welt komprimiert in Themenbereiche bzw. kognitive Kategorien zu organisieren</w:t>
      </w:r>
    </w:p>
    <w:p w14:paraId="520E01B1" w14:textId="77777777" w:rsidR="00FF7799" w:rsidRPr="00E73F6F" w:rsidRDefault="00FF7799" w:rsidP="007A178A">
      <w:pPr>
        <w:pStyle w:val="StandardText"/>
      </w:pPr>
    </w:p>
    <w:p w14:paraId="7E63C60E" w14:textId="77777777" w:rsidR="00FF7799" w:rsidRPr="00812008" w:rsidRDefault="00FF7799" w:rsidP="009355CA">
      <w:pPr>
        <w:pStyle w:val="berschrift1"/>
        <w:rPr>
          <w:color w:val="2E74B5"/>
        </w:rPr>
      </w:pPr>
      <w:r w:rsidRPr="00812008">
        <w:rPr>
          <w:color w:val="2E74B5"/>
        </w:rPr>
        <w:t>Schicksal</w:t>
      </w:r>
    </w:p>
    <w:p w14:paraId="54B1F05C" w14:textId="77777777" w:rsidR="00FF7799" w:rsidRPr="00E73F6F" w:rsidRDefault="00FF7799" w:rsidP="007A178A">
      <w:pPr>
        <w:pStyle w:val="StandardText"/>
        <w:rPr>
          <w:spacing w:val="-2"/>
        </w:rPr>
      </w:pPr>
      <w:r w:rsidRPr="00E73F6F">
        <w:t>voraussichtlicher Lebenslauf eines Individuums oder Kollektivs. Dieser kann prinzipiell</w:t>
      </w:r>
      <w:r w:rsidRPr="00E73F6F">
        <w:rPr>
          <w:spacing w:val="-5"/>
        </w:rPr>
        <w:t xml:space="preserve"> </w:t>
      </w:r>
      <w:r w:rsidRPr="00E73F6F">
        <w:t>als</w:t>
      </w:r>
      <w:r w:rsidRPr="00E73F6F">
        <w:rPr>
          <w:spacing w:val="-5"/>
        </w:rPr>
        <w:t xml:space="preserve"> </w:t>
      </w:r>
      <w:r w:rsidRPr="00E73F6F">
        <w:t>von</w:t>
      </w:r>
      <w:r w:rsidRPr="00E73F6F">
        <w:rPr>
          <w:spacing w:val="-4"/>
        </w:rPr>
        <w:t xml:space="preserve"> </w:t>
      </w:r>
      <w:r w:rsidRPr="00E73F6F">
        <w:t>einer</w:t>
      </w:r>
      <w:r w:rsidRPr="00E73F6F">
        <w:rPr>
          <w:spacing w:val="-4"/>
        </w:rPr>
        <w:t xml:space="preserve"> </w:t>
      </w:r>
      <w:r w:rsidRPr="00E73F6F">
        <w:t>höheren</w:t>
      </w:r>
      <w:r w:rsidRPr="00E73F6F">
        <w:rPr>
          <w:spacing w:val="-7"/>
        </w:rPr>
        <w:t xml:space="preserve"> </w:t>
      </w:r>
      <w:r w:rsidRPr="00E73F6F">
        <w:t>Macht</w:t>
      </w:r>
      <w:r w:rsidRPr="00E73F6F">
        <w:rPr>
          <w:spacing w:val="-5"/>
        </w:rPr>
        <w:t xml:space="preserve"> </w:t>
      </w:r>
      <w:r w:rsidRPr="00E73F6F">
        <w:t>vorgegeben</w:t>
      </w:r>
      <w:r w:rsidRPr="00E73F6F">
        <w:rPr>
          <w:spacing w:val="-4"/>
        </w:rPr>
        <w:t xml:space="preserve"> </w:t>
      </w:r>
      <w:r w:rsidRPr="00E73F6F">
        <w:t>angesehen</w:t>
      </w:r>
      <w:r w:rsidRPr="00E73F6F">
        <w:rPr>
          <w:spacing w:val="-4"/>
        </w:rPr>
        <w:t xml:space="preserve"> </w:t>
      </w:r>
      <w:r w:rsidRPr="00E73F6F">
        <w:t>werden</w:t>
      </w:r>
      <w:r w:rsidRPr="00E73F6F">
        <w:rPr>
          <w:spacing w:val="-4"/>
        </w:rPr>
        <w:t xml:space="preserve"> </w:t>
      </w:r>
      <w:r w:rsidRPr="00E73F6F">
        <w:t>und</w:t>
      </w:r>
      <w:r w:rsidRPr="00E73F6F">
        <w:rPr>
          <w:spacing w:val="-7"/>
        </w:rPr>
        <w:t xml:space="preserve"> </w:t>
      </w:r>
      <w:r w:rsidRPr="00E73F6F">
        <w:t>damit unveränderbar oder als selbstbestimmt und damit veränderbar. Das Christentum hat mit der Prädestinationslehre in diesem Zusammenhang eine besondere Vorstellung entwickelt: Schicksal als göttliche Vorsehung. Angehörige individualistischer Gesellschaften erachten ihr Schicksal als tendenziell selbstbestimmt (</w:t>
      </w:r>
      <w:r w:rsidRPr="00E73F6F">
        <w:rPr>
          <w:rFonts w:ascii="Cambria Math" w:hAnsi="Cambria Math" w:cs="Cambria Math"/>
        </w:rPr>
        <w:t>⇒</w:t>
      </w:r>
      <w:r w:rsidRPr="00E73F6F">
        <w:t xml:space="preserve"> Voluntarismus), Angehörige von kollektivistischen Gesellschaften hingegen als weitgehend fremdbestimmt und unveränderbar (</w:t>
      </w:r>
      <w:r w:rsidRPr="00E73F6F">
        <w:rPr>
          <w:rFonts w:ascii="Cambria Math" w:hAnsi="Cambria Math" w:cs="Cambria Math"/>
        </w:rPr>
        <w:t>⇒</w:t>
      </w:r>
      <w:r w:rsidRPr="00E73F6F">
        <w:rPr>
          <w:spacing w:val="40"/>
        </w:rPr>
        <w:t xml:space="preserve"> </w:t>
      </w:r>
      <w:r w:rsidRPr="00E73F6F">
        <w:rPr>
          <w:spacing w:val="-2"/>
        </w:rPr>
        <w:t>Determinismus).</w:t>
      </w:r>
    </w:p>
    <w:p w14:paraId="495EDB34" w14:textId="77777777" w:rsidR="00FF7799" w:rsidRPr="00E73F6F" w:rsidRDefault="00FF7799" w:rsidP="007A178A">
      <w:pPr>
        <w:pStyle w:val="StandardText"/>
      </w:pPr>
    </w:p>
    <w:p w14:paraId="570C354D" w14:textId="77777777" w:rsidR="00FF7799" w:rsidRPr="00812008" w:rsidRDefault="00FF7799" w:rsidP="009355CA">
      <w:pPr>
        <w:pStyle w:val="berschrift1"/>
        <w:rPr>
          <w:color w:val="2E74B5"/>
        </w:rPr>
      </w:pPr>
      <w:r w:rsidRPr="00812008">
        <w:rPr>
          <w:color w:val="2E74B5"/>
        </w:rPr>
        <w:t>Schlüsselinformation</w:t>
      </w:r>
    </w:p>
    <w:p w14:paraId="0A65BBE5" w14:textId="77777777" w:rsidR="00FF7799" w:rsidRPr="00E73F6F" w:rsidRDefault="00FF7799" w:rsidP="007A178A">
      <w:pPr>
        <w:pStyle w:val="StandardText"/>
      </w:pPr>
      <w:r w:rsidRPr="00E73F6F">
        <w:t>wie Preis, Qualitätsgarantie oder Art der Verpackung bündeln bzw. substituieren mehrere „einfache“ Informationen. Die auch ‘information chunk‘ bzw. ‘information cues‘ genannten Schlüsselinformationen sind geeignet, komplexe Informationsbündel, welche der Verbraucher aufgrund von individuellen Lernerfahrungen</w:t>
      </w:r>
      <w:r w:rsidRPr="00E73F6F">
        <w:rPr>
          <w:spacing w:val="-8"/>
        </w:rPr>
        <w:t xml:space="preserve"> </w:t>
      </w:r>
      <w:r w:rsidRPr="00E73F6F">
        <w:t>oder</w:t>
      </w:r>
      <w:r w:rsidRPr="00E73F6F">
        <w:rPr>
          <w:spacing w:val="-6"/>
        </w:rPr>
        <w:t xml:space="preserve"> </w:t>
      </w:r>
      <w:r w:rsidRPr="00E73F6F">
        <w:t>als</w:t>
      </w:r>
      <w:r w:rsidRPr="00E73F6F">
        <w:rPr>
          <w:spacing w:val="-6"/>
        </w:rPr>
        <w:t xml:space="preserve"> </w:t>
      </w:r>
      <w:r w:rsidRPr="00E73F6F">
        <w:t>angeborene</w:t>
      </w:r>
      <w:r w:rsidRPr="00E73F6F">
        <w:rPr>
          <w:spacing w:val="-7"/>
        </w:rPr>
        <w:t xml:space="preserve"> </w:t>
      </w:r>
      <w:r w:rsidRPr="00E73F6F">
        <w:t>kognitive</w:t>
      </w:r>
      <w:r w:rsidRPr="00E73F6F">
        <w:rPr>
          <w:spacing w:val="-7"/>
        </w:rPr>
        <w:t xml:space="preserve"> </w:t>
      </w:r>
      <w:r w:rsidRPr="00E73F6F">
        <w:t>Muster</w:t>
      </w:r>
      <w:r w:rsidRPr="00E73F6F">
        <w:rPr>
          <w:spacing w:val="-3"/>
        </w:rPr>
        <w:t xml:space="preserve"> </w:t>
      </w:r>
      <w:r w:rsidRPr="00E73F6F">
        <w:t>gespeichert</w:t>
      </w:r>
      <w:r w:rsidRPr="00E73F6F">
        <w:rPr>
          <w:spacing w:val="-8"/>
        </w:rPr>
        <w:t xml:space="preserve"> </w:t>
      </w:r>
      <w:r w:rsidRPr="00E73F6F">
        <w:t>hat,</w:t>
      </w:r>
      <w:r w:rsidRPr="00E73F6F">
        <w:rPr>
          <w:spacing w:val="-6"/>
        </w:rPr>
        <w:t xml:space="preserve"> </w:t>
      </w:r>
      <w:r w:rsidRPr="00E73F6F">
        <w:t>abzurufen und für Entscheidungsprozesse nutzbar zu machen. Dies ermöglicht es dem Verbraucher,</w:t>
      </w:r>
      <w:r w:rsidRPr="00E73F6F">
        <w:rPr>
          <w:spacing w:val="-12"/>
        </w:rPr>
        <w:t xml:space="preserve"> </w:t>
      </w:r>
      <w:r w:rsidRPr="00E73F6F">
        <w:t>sich</w:t>
      </w:r>
      <w:r w:rsidRPr="00E73F6F">
        <w:rPr>
          <w:spacing w:val="-11"/>
        </w:rPr>
        <w:t xml:space="preserve"> </w:t>
      </w:r>
      <w:r w:rsidRPr="00E73F6F">
        <w:t>unter</w:t>
      </w:r>
      <w:r w:rsidRPr="00E73F6F">
        <w:rPr>
          <w:spacing w:val="-11"/>
        </w:rPr>
        <w:t xml:space="preserve"> </w:t>
      </w:r>
      <w:r w:rsidRPr="00E73F6F">
        <w:t>Minimierung</w:t>
      </w:r>
      <w:r w:rsidRPr="00E73F6F">
        <w:rPr>
          <w:spacing w:val="-11"/>
        </w:rPr>
        <w:t xml:space="preserve"> </w:t>
      </w:r>
      <w:r w:rsidRPr="00E73F6F">
        <w:t>der</w:t>
      </w:r>
      <w:r w:rsidRPr="00E73F6F">
        <w:rPr>
          <w:spacing w:val="-12"/>
        </w:rPr>
        <w:t xml:space="preserve"> </w:t>
      </w:r>
      <w:r w:rsidRPr="00E73F6F">
        <w:t>Informationsbeschaffungsanstrengungen und damit der Transaktionskosten in einer komplexen und weitgehend unüberschaubaren Warenwelt zurechtzufinden. Es entspricht der Informationsökonomie, dass der unter Informationsüberlastung leidende Verbraucher Schlüsselinformationen bevorzugt heranzieht, um die Menge der im Entscheidungsablauf</w:t>
      </w:r>
      <w:r w:rsidRPr="00E73F6F">
        <w:rPr>
          <w:spacing w:val="-12"/>
        </w:rPr>
        <w:t xml:space="preserve"> </w:t>
      </w:r>
      <w:r w:rsidRPr="00E73F6F">
        <w:t>benötigten</w:t>
      </w:r>
      <w:r w:rsidRPr="00E73F6F">
        <w:rPr>
          <w:spacing w:val="-11"/>
        </w:rPr>
        <w:t xml:space="preserve"> </w:t>
      </w:r>
      <w:r w:rsidRPr="00E73F6F">
        <w:t>Informationen</w:t>
      </w:r>
      <w:r w:rsidRPr="00E73F6F">
        <w:rPr>
          <w:spacing w:val="-11"/>
        </w:rPr>
        <w:t xml:space="preserve"> </w:t>
      </w:r>
      <w:r w:rsidRPr="00E73F6F">
        <w:t>möglichst</w:t>
      </w:r>
      <w:r w:rsidRPr="00E73F6F">
        <w:rPr>
          <w:spacing w:val="-11"/>
        </w:rPr>
        <w:t xml:space="preserve"> </w:t>
      </w:r>
      <w:r w:rsidRPr="00E73F6F">
        <w:t>gering</w:t>
      </w:r>
      <w:r w:rsidRPr="00E73F6F">
        <w:rPr>
          <w:spacing w:val="-12"/>
        </w:rPr>
        <w:t xml:space="preserve"> </w:t>
      </w:r>
      <w:r w:rsidRPr="00E73F6F">
        <w:t>zu</w:t>
      </w:r>
      <w:r w:rsidRPr="00E73F6F">
        <w:rPr>
          <w:spacing w:val="-11"/>
        </w:rPr>
        <w:t xml:space="preserve"> </w:t>
      </w:r>
      <w:r w:rsidRPr="00E73F6F">
        <w:t>halten.</w:t>
      </w:r>
      <w:r w:rsidRPr="00E73F6F">
        <w:rPr>
          <w:spacing w:val="-11"/>
        </w:rPr>
        <w:t xml:space="preserve"> </w:t>
      </w:r>
      <w:r w:rsidRPr="00E73F6F">
        <w:t>Für</w:t>
      </w:r>
      <w:r w:rsidRPr="00E73F6F">
        <w:rPr>
          <w:spacing w:val="-11"/>
        </w:rPr>
        <w:t xml:space="preserve"> </w:t>
      </w:r>
      <w:r w:rsidRPr="00E73F6F">
        <w:t>das Käuferverhalten</w:t>
      </w:r>
      <w:r w:rsidRPr="00E73F6F">
        <w:rPr>
          <w:spacing w:val="-12"/>
        </w:rPr>
        <w:t xml:space="preserve"> </w:t>
      </w:r>
      <w:r w:rsidRPr="00E73F6F">
        <w:lastRenderedPageBreak/>
        <w:t>bedeutsame</w:t>
      </w:r>
      <w:r w:rsidRPr="00E73F6F">
        <w:rPr>
          <w:spacing w:val="-11"/>
        </w:rPr>
        <w:t xml:space="preserve"> </w:t>
      </w:r>
      <w:r w:rsidRPr="00E73F6F">
        <w:t>Schlüsselinformationen</w:t>
      </w:r>
      <w:r w:rsidRPr="00E73F6F">
        <w:rPr>
          <w:spacing w:val="-11"/>
        </w:rPr>
        <w:t xml:space="preserve"> </w:t>
      </w:r>
      <w:r w:rsidRPr="00E73F6F">
        <w:t>sind</w:t>
      </w:r>
      <w:r w:rsidRPr="00E73F6F">
        <w:rPr>
          <w:spacing w:val="-11"/>
        </w:rPr>
        <w:t xml:space="preserve"> </w:t>
      </w:r>
      <w:r w:rsidRPr="00E73F6F">
        <w:t>u.a.</w:t>
      </w:r>
      <w:r w:rsidRPr="00E73F6F">
        <w:rPr>
          <w:spacing w:val="-12"/>
        </w:rPr>
        <w:t xml:space="preserve"> </w:t>
      </w:r>
      <w:r w:rsidRPr="00E73F6F">
        <w:t>Marken,</w:t>
      </w:r>
      <w:r w:rsidRPr="00E73F6F">
        <w:rPr>
          <w:spacing w:val="-11"/>
        </w:rPr>
        <w:t xml:space="preserve"> </w:t>
      </w:r>
      <w:r w:rsidRPr="00E73F6F">
        <w:t>Urteile</w:t>
      </w:r>
      <w:r w:rsidRPr="00E73F6F">
        <w:rPr>
          <w:spacing w:val="-11"/>
        </w:rPr>
        <w:t xml:space="preserve"> </w:t>
      </w:r>
      <w:r w:rsidRPr="00E73F6F">
        <w:t xml:space="preserve">von </w:t>
      </w:r>
      <w:r w:rsidRPr="00E73F6F">
        <w:rPr>
          <w:i/>
        </w:rPr>
        <w:t>Stiftung</w:t>
      </w:r>
      <w:r w:rsidRPr="00E73F6F">
        <w:rPr>
          <w:i/>
          <w:spacing w:val="-1"/>
        </w:rPr>
        <w:t xml:space="preserve"> </w:t>
      </w:r>
      <w:r w:rsidRPr="00E73F6F">
        <w:rPr>
          <w:i/>
        </w:rPr>
        <w:t>Warentest</w:t>
      </w:r>
      <w:r w:rsidRPr="00E73F6F">
        <w:rPr>
          <w:i/>
          <w:spacing w:val="-2"/>
        </w:rPr>
        <w:t xml:space="preserve"> </w:t>
      </w:r>
      <w:r w:rsidRPr="00E73F6F">
        <w:t>und</w:t>
      </w:r>
      <w:r w:rsidRPr="00E73F6F">
        <w:rPr>
          <w:spacing w:val="-3"/>
        </w:rPr>
        <w:t xml:space="preserve"> </w:t>
      </w:r>
      <w:r w:rsidRPr="00E73F6F">
        <w:t>Gütesiegel</w:t>
      </w:r>
      <w:r w:rsidRPr="00E73F6F">
        <w:rPr>
          <w:spacing w:val="-1"/>
        </w:rPr>
        <w:t xml:space="preserve"> </w:t>
      </w:r>
      <w:r w:rsidRPr="00E73F6F">
        <w:t>aller</w:t>
      </w:r>
      <w:r w:rsidRPr="00E73F6F">
        <w:rPr>
          <w:spacing w:val="-2"/>
        </w:rPr>
        <w:t xml:space="preserve"> </w:t>
      </w:r>
      <w:r w:rsidRPr="00E73F6F">
        <w:t>Art:</w:t>
      </w:r>
      <w:r w:rsidRPr="00E73F6F">
        <w:rPr>
          <w:spacing w:val="-4"/>
        </w:rPr>
        <w:t xml:space="preserve"> </w:t>
      </w:r>
      <w:r w:rsidRPr="00E73F6F">
        <w:t>Sie</w:t>
      </w:r>
      <w:r w:rsidRPr="00E73F6F">
        <w:rPr>
          <w:spacing w:val="-4"/>
        </w:rPr>
        <w:t xml:space="preserve"> </w:t>
      </w:r>
      <w:r w:rsidRPr="00E73F6F">
        <w:t>alle</w:t>
      </w:r>
      <w:r w:rsidRPr="00E73F6F">
        <w:rPr>
          <w:spacing w:val="-2"/>
        </w:rPr>
        <w:t xml:space="preserve"> </w:t>
      </w:r>
      <w:r w:rsidRPr="00E73F6F">
        <w:t>ersetzen Detailinformationen über Eigenschaften, Preis und Tauglichkeit von Gütern.</w:t>
      </w:r>
    </w:p>
    <w:p w14:paraId="7BE5E966" w14:textId="77777777" w:rsidR="00FF7799" w:rsidRPr="00E73F6F" w:rsidRDefault="00FF7799" w:rsidP="007A178A">
      <w:pPr>
        <w:pStyle w:val="StandardText"/>
      </w:pPr>
    </w:p>
    <w:p w14:paraId="3E37EA83" w14:textId="77777777" w:rsidR="00FF7799" w:rsidRPr="00812008" w:rsidRDefault="00FF7799" w:rsidP="009355CA">
      <w:pPr>
        <w:pStyle w:val="berschrift1"/>
        <w:rPr>
          <w:color w:val="2E74B5"/>
        </w:rPr>
      </w:pPr>
      <w:r w:rsidRPr="00812008">
        <w:rPr>
          <w:color w:val="2E74B5"/>
        </w:rPr>
        <w:t>Schuldknechtschaft</w:t>
      </w:r>
    </w:p>
    <w:p w14:paraId="022C7232" w14:textId="77777777" w:rsidR="00FF7799" w:rsidRPr="00F84D87" w:rsidRDefault="00FF7799" w:rsidP="007A178A">
      <w:pPr>
        <w:pStyle w:val="StandardText"/>
      </w:pPr>
      <w:r w:rsidRPr="00F84D87">
        <w:t>liegt gemäß den Vereinten Nationen vor, wenn Eltern ihre Nachkommen an Personen</w:t>
      </w:r>
      <w:r w:rsidRPr="00F84D87">
        <w:rPr>
          <w:spacing w:val="-12"/>
        </w:rPr>
        <w:t xml:space="preserve"> </w:t>
      </w:r>
      <w:r w:rsidRPr="00F84D87">
        <w:t>oder</w:t>
      </w:r>
      <w:r w:rsidRPr="00F84D87">
        <w:rPr>
          <w:spacing w:val="-11"/>
        </w:rPr>
        <w:t xml:space="preserve"> </w:t>
      </w:r>
      <w:r w:rsidRPr="00F84D87">
        <w:t>Organisationen</w:t>
      </w:r>
      <w:r w:rsidRPr="00F84D87">
        <w:rPr>
          <w:spacing w:val="-11"/>
        </w:rPr>
        <w:t xml:space="preserve"> </w:t>
      </w:r>
      <w:r w:rsidRPr="00F84D87">
        <w:t>verkaufen,</w:t>
      </w:r>
      <w:r w:rsidRPr="00F84D87">
        <w:rPr>
          <w:spacing w:val="-11"/>
        </w:rPr>
        <w:t xml:space="preserve"> </w:t>
      </w:r>
      <w:r w:rsidRPr="00F84D87">
        <w:t>welche</w:t>
      </w:r>
      <w:r w:rsidRPr="00F84D87">
        <w:rPr>
          <w:spacing w:val="-12"/>
        </w:rPr>
        <w:t xml:space="preserve"> </w:t>
      </w:r>
      <w:r w:rsidRPr="00F84D87">
        <w:t>die</w:t>
      </w:r>
      <w:r w:rsidRPr="00F84D87">
        <w:rPr>
          <w:spacing w:val="-11"/>
        </w:rPr>
        <w:t xml:space="preserve"> </w:t>
      </w:r>
      <w:r w:rsidRPr="00F84D87">
        <w:t>Kinder</w:t>
      </w:r>
      <w:r w:rsidRPr="00F84D87">
        <w:rPr>
          <w:spacing w:val="-11"/>
        </w:rPr>
        <w:t xml:space="preserve"> </w:t>
      </w:r>
      <w:r w:rsidRPr="00F84D87">
        <w:t>für</w:t>
      </w:r>
      <w:r w:rsidRPr="00F84D87">
        <w:rPr>
          <w:spacing w:val="-11"/>
        </w:rPr>
        <w:t xml:space="preserve"> </w:t>
      </w:r>
      <w:r w:rsidRPr="00F84D87">
        <w:t>Kinderprostitution oder andere „Tätigkeiten“, die deren Gesundheit, Sittlichkeit oder Sicherheit gefährden, missbrauchen.</w:t>
      </w:r>
    </w:p>
    <w:p w14:paraId="7E258A07" w14:textId="77777777" w:rsidR="00FF7799" w:rsidRPr="00F84D87" w:rsidRDefault="00FF7799" w:rsidP="007A178A">
      <w:pPr>
        <w:pStyle w:val="StandardText"/>
      </w:pPr>
    </w:p>
    <w:p w14:paraId="012D32A6" w14:textId="77777777" w:rsidR="00FF7799" w:rsidRPr="00812008" w:rsidRDefault="00FF7799" w:rsidP="009355CA">
      <w:pPr>
        <w:pStyle w:val="berschrift1"/>
        <w:rPr>
          <w:color w:val="2E74B5"/>
        </w:rPr>
      </w:pPr>
      <w:r w:rsidRPr="00812008">
        <w:rPr>
          <w:color w:val="2E74B5"/>
        </w:rPr>
        <w:t>Schutzzoll</w:t>
      </w:r>
    </w:p>
    <w:p w14:paraId="3DFCB756" w14:textId="77777777" w:rsidR="00FF7799" w:rsidRPr="00F84D87" w:rsidRDefault="00FF7799" w:rsidP="007A178A">
      <w:pPr>
        <w:pStyle w:val="StandardText"/>
      </w:pPr>
      <w:r w:rsidRPr="00F84D87">
        <w:t>wird – im Gegensatz zum Erziehungszoll – erhoben, um nicht mehr wettbewerbsfähige Wirtschaftszweige vor überlegener ausländischer Konkurrenz zu</w:t>
      </w:r>
      <w:r w:rsidRPr="00F84D87">
        <w:rPr>
          <w:spacing w:val="-3"/>
        </w:rPr>
        <w:t xml:space="preserve"> </w:t>
      </w:r>
      <w:r w:rsidRPr="00F84D87">
        <w:t>schützen.</w:t>
      </w:r>
      <w:r w:rsidRPr="00F84D87">
        <w:rPr>
          <w:spacing w:val="-4"/>
        </w:rPr>
        <w:t xml:space="preserve"> </w:t>
      </w:r>
      <w:r w:rsidRPr="00F84D87">
        <w:t>Der</w:t>
      </w:r>
      <w:r w:rsidRPr="00F84D87">
        <w:rPr>
          <w:spacing w:val="-4"/>
        </w:rPr>
        <w:t xml:space="preserve"> </w:t>
      </w:r>
      <w:r w:rsidRPr="00F84D87">
        <w:t>Erziehungszoll</w:t>
      </w:r>
      <w:r w:rsidRPr="00F84D87">
        <w:rPr>
          <w:spacing w:val="-4"/>
        </w:rPr>
        <w:t xml:space="preserve"> </w:t>
      </w:r>
      <w:r w:rsidRPr="00F84D87">
        <w:t>ist</w:t>
      </w:r>
      <w:r w:rsidRPr="00F84D87">
        <w:rPr>
          <w:spacing w:val="-4"/>
        </w:rPr>
        <w:t xml:space="preserve"> </w:t>
      </w:r>
      <w:r w:rsidRPr="00F84D87">
        <w:t>dazu</w:t>
      </w:r>
      <w:r w:rsidRPr="00F84D87">
        <w:rPr>
          <w:spacing w:val="-3"/>
        </w:rPr>
        <w:t xml:space="preserve"> </w:t>
      </w:r>
      <w:r w:rsidRPr="00F84D87">
        <w:t>bestimmt, noch</w:t>
      </w:r>
      <w:r w:rsidRPr="00F84D87">
        <w:rPr>
          <w:spacing w:val="-3"/>
        </w:rPr>
        <w:t xml:space="preserve"> </w:t>
      </w:r>
      <w:r w:rsidRPr="00F84D87">
        <w:t>nicht</w:t>
      </w:r>
      <w:r w:rsidRPr="00F84D87">
        <w:rPr>
          <w:spacing w:val="-2"/>
        </w:rPr>
        <w:t xml:space="preserve"> </w:t>
      </w:r>
      <w:r w:rsidRPr="00F84D87">
        <w:t>wettbewerbsfähige Wirtschaftszweige zu schützen.</w:t>
      </w:r>
    </w:p>
    <w:p w14:paraId="23123E74" w14:textId="77777777" w:rsidR="00FF7799" w:rsidRPr="00E73F6F" w:rsidRDefault="00FF7799" w:rsidP="007A178A">
      <w:pPr>
        <w:pStyle w:val="StandardText"/>
      </w:pPr>
    </w:p>
    <w:p w14:paraId="0DF2AFC7" w14:textId="77777777" w:rsidR="00FF7799" w:rsidRPr="00812008" w:rsidRDefault="00FF7799" w:rsidP="00812008">
      <w:pPr>
        <w:pStyle w:val="berschrift1"/>
        <w:rPr>
          <w:color w:val="2E74B5"/>
        </w:rPr>
      </w:pPr>
      <w:r w:rsidRPr="00812008">
        <w:rPr>
          <w:color w:val="2E74B5"/>
        </w:rPr>
        <w:t>Schweigen</w:t>
      </w:r>
    </w:p>
    <w:p w14:paraId="324E0B48" w14:textId="77777777" w:rsidR="00FF7799" w:rsidRPr="00E73F6F" w:rsidRDefault="00FF7799" w:rsidP="0046492B">
      <w:pPr>
        <w:pStyle w:val="StandardText"/>
      </w:pPr>
      <w:r w:rsidRPr="00E73F6F">
        <w:t>vieldeutige Form der paraverbalen Kommunikation. Schweigen kann sowohl eine Aussage als auch eine Aufforderung, z.B. zum Rednerwechsel, sein. Bisweilen</w:t>
      </w:r>
      <w:r w:rsidRPr="00E73F6F">
        <w:rPr>
          <w:spacing w:val="-6"/>
        </w:rPr>
        <w:t xml:space="preserve"> </w:t>
      </w:r>
      <w:r w:rsidRPr="00E73F6F">
        <w:t>wird</w:t>
      </w:r>
      <w:r w:rsidRPr="00E73F6F">
        <w:rPr>
          <w:spacing w:val="-6"/>
        </w:rPr>
        <w:t xml:space="preserve"> </w:t>
      </w:r>
      <w:r w:rsidRPr="00E73F6F">
        <w:t>damit</w:t>
      </w:r>
      <w:r w:rsidRPr="00E73F6F">
        <w:rPr>
          <w:spacing w:val="-7"/>
        </w:rPr>
        <w:t xml:space="preserve"> </w:t>
      </w:r>
      <w:r w:rsidRPr="00E73F6F">
        <w:t>auch</w:t>
      </w:r>
      <w:r w:rsidRPr="00E73F6F">
        <w:rPr>
          <w:spacing w:val="-4"/>
        </w:rPr>
        <w:t xml:space="preserve"> </w:t>
      </w:r>
      <w:r w:rsidRPr="00E73F6F">
        <w:t>Verweigerung</w:t>
      </w:r>
      <w:r w:rsidRPr="00E73F6F">
        <w:rPr>
          <w:spacing w:val="-8"/>
        </w:rPr>
        <w:t xml:space="preserve"> </w:t>
      </w:r>
      <w:r w:rsidRPr="00E73F6F">
        <w:t>von</w:t>
      </w:r>
      <w:r w:rsidRPr="00E73F6F">
        <w:rPr>
          <w:spacing w:val="-6"/>
        </w:rPr>
        <w:t xml:space="preserve"> </w:t>
      </w:r>
      <w:r w:rsidRPr="00E73F6F">
        <w:t>Gespräch</w:t>
      </w:r>
      <w:r w:rsidRPr="00E73F6F">
        <w:rPr>
          <w:spacing w:val="-6"/>
        </w:rPr>
        <w:t xml:space="preserve"> </w:t>
      </w:r>
      <w:r w:rsidRPr="00E73F6F">
        <w:t>oder</w:t>
      </w:r>
      <w:r w:rsidRPr="00E73F6F">
        <w:rPr>
          <w:spacing w:val="-7"/>
        </w:rPr>
        <w:t xml:space="preserve"> </w:t>
      </w:r>
      <w:r w:rsidRPr="00E73F6F">
        <w:t>Kontakt</w:t>
      </w:r>
      <w:r w:rsidRPr="00E73F6F">
        <w:rPr>
          <w:spacing w:val="-7"/>
        </w:rPr>
        <w:t xml:space="preserve"> </w:t>
      </w:r>
      <w:r w:rsidRPr="00E73F6F">
        <w:t>signalisiert. In anderen Situationen hingegen, z.B. in einem sakralen Kontext, drückt Schweigen Ehrfurcht aus. In einem Schlafraum, einer Bibliothek oder bei ähnlichen Gelegenheiten bzw. Orten erfüllt Schweigen primär eine soziale Funktion (d.h. Rücksichtnahme auf andere). Wann welche Art von Schweigen angemessen ist, wird durch kulturspezifisch geprägte Erwartungen und Normen bestimmt. Da diese unterschiedlich sind, empfinden Kulturfremde Engländer bspw. als auffällig schweigsam, während diese sich selbst aber als „normal gesprächig“ ansehen. Hingegen halten sie Schweden für ungewöhnlich wortkarg, die wiederum den Finnen diese Eigenschaft zuschreiben. Da die Normen, welche das</w:t>
      </w:r>
      <w:r w:rsidRPr="00E73F6F">
        <w:rPr>
          <w:spacing w:val="52"/>
        </w:rPr>
        <w:t xml:space="preserve"> </w:t>
      </w:r>
      <w:r w:rsidRPr="00E73F6F">
        <w:t>Schweigen</w:t>
      </w:r>
      <w:r w:rsidRPr="00E73F6F">
        <w:rPr>
          <w:spacing w:val="52"/>
        </w:rPr>
        <w:t xml:space="preserve"> </w:t>
      </w:r>
      <w:r w:rsidRPr="00E73F6F">
        <w:t>regeln,</w:t>
      </w:r>
      <w:r w:rsidRPr="00E73F6F">
        <w:rPr>
          <w:spacing w:val="52"/>
        </w:rPr>
        <w:t xml:space="preserve"> </w:t>
      </w:r>
      <w:r w:rsidRPr="00E73F6F">
        <w:t>zumeist</w:t>
      </w:r>
      <w:r w:rsidRPr="00E73F6F">
        <w:rPr>
          <w:spacing w:val="52"/>
        </w:rPr>
        <w:t xml:space="preserve"> </w:t>
      </w:r>
      <w:r w:rsidRPr="00E73F6F">
        <w:t>nur</w:t>
      </w:r>
      <w:r w:rsidRPr="00E73F6F">
        <w:rPr>
          <w:spacing w:val="52"/>
        </w:rPr>
        <w:t xml:space="preserve"> </w:t>
      </w:r>
      <w:r w:rsidRPr="00E73F6F">
        <w:t>implizit</w:t>
      </w:r>
      <w:r w:rsidRPr="00E73F6F">
        <w:rPr>
          <w:spacing w:val="51"/>
        </w:rPr>
        <w:t xml:space="preserve"> </w:t>
      </w:r>
      <w:r w:rsidRPr="00E73F6F">
        <w:t>vermittelt</w:t>
      </w:r>
      <w:r w:rsidRPr="00E73F6F">
        <w:rPr>
          <w:spacing w:val="52"/>
        </w:rPr>
        <w:t xml:space="preserve"> </w:t>
      </w:r>
      <w:r w:rsidRPr="00E73F6F">
        <w:t>werden,</w:t>
      </w:r>
      <w:r w:rsidRPr="00E73F6F">
        <w:rPr>
          <w:spacing w:val="52"/>
        </w:rPr>
        <w:t xml:space="preserve"> </w:t>
      </w:r>
      <w:r w:rsidRPr="00E73F6F">
        <w:rPr>
          <w:spacing w:val="-5"/>
        </w:rPr>
        <w:t xml:space="preserve">ist </w:t>
      </w:r>
      <w:r w:rsidRPr="00E73F6F">
        <w:t>„fremdsprachiges Schweigen“ schwerer zu erlernen als die betreffende Fremdsprache selbst. Überdies sind diese paraverbalen Signale zumeist mehrdeutig. Sie können bedeuten:</w:t>
      </w:r>
    </w:p>
    <w:p w14:paraId="7713A684" w14:textId="77777777" w:rsidR="00FF7799" w:rsidRPr="00E73F6F" w:rsidRDefault="00FF7799" w:rsidP="00812008">
      <w:pPr>
        <w:pStyle w:val="StandardTextAufzhlung"/>
        <w:ind w:left="567"/>
      </w:pPr>
      <w:r w:rsidRPr="00E73F6F">
        <w:t>in</w:t>
      </w:r>
      <w:r w:rsidRPr="00E73F6F">
        <w:rPr>
          <w:spacing w:val="-7"/>
        </w:rPr>
        <w:t xml:space="preserve"> </w:t>
      </w:r>
      <w:r w:rsidRPr="00E73F6F">
        <w:t>normalen</w:t>
      </w:r>
      <w:r w:rsidRPr="00E73F6F">
        <w:rPr>
          <w:spacing w:val="-4"/>
        </w:rPr>
        <w:t xml:space="preserve"> </w:t>
      </w:r>
      <w:r w:rsidRPr="00E73F6F">
        <w:t>Gesprächen:</w:t>
      </w:r>
      <w:r w:rsidRPr="00E73F6F">
        <w:rPr>
          <w:spacing w:val="-5"/>
        </w:rPr>
        <w:t xml:space="preserve"> </w:t>
      </w:r>
      <w:r w:rsidRPr="00E73F6F">
        <w:t>Ende</w:t>
      </w:r>
      <w:r w:rsidRPr="00E73F6F">
        <w:rPr>
          <w:spacing w:val="-7"/>
        </w:rPr>
        <w:t xml:space="preserve"> </w:t>
      </w:r>
      <w:r w:rsidRPr="00E73F6F">
        <w:t>der</w:t>
      </w:r>
      <w:r w:rsidRPr="00E73F6F">
        <w:rPr>
          <w:spacing w:val="-7"/>
        </w:rPr>
        <w:t xml:space="preserve"> </w:t>
      </w:r>
      <w:r w:rsidRPr="00E73F6F">
        <w:t>Mitteilung,</w:t>
      </w:r>
      <w:r w:rsidRPr="00E73F6F">
        <w:rPr>
          <w:spacing w:val="-7"/>
        </w:rPr>
        <w:t xml:space="preserve"> </w:t>
      </w:r>
      <w:r w:rsidRPr="00E73F6F">
        <w:t>des</w:t>
      </w:r>
      <w:r w:rsidRPr="00E73F6F">
        <w:rPr>
          <w:spacing w:val="-5"/>
        </w:rPr>
        <w:t xml:space="preserve"> </w:t>
      </w:r>
      <w:r w:rsidRPr="00E73F6F">
        <w:t>Satzes</w:t>
      </w:r>
      <w:r w:rsidRPr="00E73F6F">
        <w:rPr>
          <w:spacing w:val="-7"/>
        </w:rPr>
        <w:t xml:space="preserve"> </w:t>
      </w:r>
      <w:r w:rsidRPr="00E73F6F">
        <w:rPr>
          <w:spacing w:val="-2"/>
        </w:rPr>
        <w:t>etc.,</w:t>
      </w:r>
    </w:p>
    <w:p w14:paraId="47E7FC3B" w14:textId="77777777" w:rsidR="00FF7799" w:rsidRPr="00E73F6F" w:rsidRDefault="00FF7799" w:rsidP="00812008">
      <w:pPr>
        <w:pStyle w:val="StandardTextAufzhlung"/>
        <w:ind w:left="567"/>
      </w:pPr>
      <w:r w:rsidRPr="00E73F6F">
        <w:t>in</w:t>
      </w:r>
      <w:r w:rsidRPr="00E73F6F">
        <w:rPr>
          <w:spacing w:val="-6"/>
        </w:rPr>
        <w:t xml:space="preserve"> </w:t>
      </w:r>
      <w:r w:rsidRPr="00E73F6F">
        <w:t>Streitgesprächen:</w:t>
      </w:r>
      <w:r w:rsidRPr="00E73F6F">
        <w:rPr>
          <w:spacing w:val="-6"/>
        </w:rPr>
        <w:t xml:space="preserve"> </w:t>
      </w:r>
      <w:r w:rsidRPr="00E73F6F">
        <w:t>Mittel</w:t>
      </w:r>
      <w:r w:rsidRPr="00E73F6F">
        <w:rPr>
          <w:spacing w:val="-7"/>
        </w:rPr>
        <w:t xml:space="preserve"> </w:t>
      </w:r>
      <w:r w:rsidRPr="00E73F6F">
        <w:t>der</w:t>
      </w:r>
      <w:r w:rsidRPr="00E73F6F">
        <w:rPr>
          <w:spacing w:val="-8"/>
        </w:rPr>
        <w:t xml:space="preserve"> </w:t>
      </w:r>
      <w:r w:rsidRPr="00E73F6F">
        <w:rPr>
          <w:spacing w:val="-2"/>
        </w:rPr>
        <w:t>Konfrontation,</w:t>
      </w:r>
    </w:p>
    <w:p w14:paraId="29C43B07" w14:textId="77777777" w:rsidR="00FF7799" w:rsidRPr="00E73F6F" w:rsidRDefault="00FF7799" w:rsidP="00812008">
      <w:pPr>
        <w:pStyle w:val="StandardTextAufzhlung"/>
        <w:ind w:left="567"/>
      </w:pPr>
      <w:r w:rsidRPr="00E73F6F">
        <w:t>in</w:t>
      </w:r>
      <w:r w:rsidRPr="00E73F6F">
        <w:rPr>
          <w:spacing w:val="-9"/>
        </w:rPr>
        <w:t xml:space="preserve"> </w:t>
      </w:r>
      <w:r w:rsidRPr="00E73F6F">
        <w:t>Konfliktsituationen:</w:t>
      </w:r>
      <w:r w:rsidRPr="00E73F6F">
        <w:rPr>
          <w:spacing w:val="-8"/>
        </w:rPr>
        <w:t xml:space="preserve"> </w:t>
      </w:r>
      <w:r w:rsidRPr="00E73F6F">
        <w:t>Eingeständnis</w:t>
      </w:r>
      <w:r w:rsidRPr="00E73F6F">
        <w:rPr>
          <w:spacing w:val="-9"/>
        </w:rPr>
        <w:t xml:space="preserve"> </w:t>
      </w:r>
      <w:r w:rsidRPr="00E73F6F">
        <w:t>der</w:t>
      </w:r>
      <w:r w:rsidRPr="00E73F6F">
        <w:rPr>
          <w:spacing w:val="-10"/>
        </w:rPr>
        <w:t xml:space="preserve"> </w:t>
      </w:r>
      <w:r w:rsidRPr="00E73F6F">
        <w:t>eigenen</w:t>
      </w:r>
      <w:r w:rsidRPr="00E73F6F">
        <w:rPr>
          <w:spacing w:val="-6"/>
        </w:rPr>
        <w:t xml:space="preserve"> </w:t>
      </w:r>
      <w:r w:rsidRPr="00E73F6F">
        <w:rPr>
          <w:spacing w:val="-2"/>
        </w:rPr>
        <w:t>Niederlage.</w:t>
      </w:r>
    </w:p>
    <w:p w14:paraId="68193BFB" w14:textId="77777777" w:rsidR="00FF7799" w:rsidRPr="00E73F6F" w:rsidRDefault="00FF7799" w:rsidP="0007144F">
      <w:pPr>
        <w:pStyle w:val="StandardText"/>
      </w:pPr>
    </w:p>
    <w:p w14:paraId="2B1EEE1E" w14:textId="77777777" w:rsidR="00FF7799" w:rsidRPr="00812008" w:rsidRDefault="00FF7799" w:rsidP="0046492B">
      <w:pPr>
        <w:pStyle w:val="BeschriftungTab"/>
        <w:rPr>
          <w:i/>
          <w:iCs/>
          <w:spacing w:val="-2"/>
        </w:rPr>
      </w:pPr>
      <w:r w:rsidRPr="00812008">
        <w:rPr>
          <w:i/>
          <w:iCs/>
        </w:rPr>
        <w:t>Abb.</w:t>
      </w:r>
      <w:r w:rsidRPr="00812008">
        <w:rPr>
          <w:i/>
          <w:iCs/>
          <w:spacing w:val="-3"/>
        </w:rPr>
        <w:t xml:space="preserve"> </w:t>
      </w:r>
      <w:r w:rsidRPr="00812008">
        <w:rPr>
          <w:i/>
          <w:iCs/>
        </w:rPr>
        <w:t>1:</w:t>
      </w:r>
      <w:r w:rsidRPr="00812008">
        <w:rPr>
          <w:i/>
          <w:iCs/>
          <w:spacing w:val="-1"/>
        </w:rPr>
        <w:t xml:space="preserve"> </w:t>
      </w:r>
      <w:r w:rsidRPr="00812008">
        <w:rPr>
          <w:i/>
          <w:iCs/>
        </w:rPr>
        <w:t>Jagdlinie</w:t>
      </w:r>
      <w:r w:rsidRPr="00812008">
        <w:rPr>
          <w:i/>
          <w:iCs/>
          <w:spacing w:val="-1"/>
        </w:rPr>
        <w:t xml:space="preserve"> </w:t>
      </w:r>
      <w:r w:rsidRPr="00812008">
        <w:rPr>
          <w:i/>
          <w:iCs/>
        </w:rPr>
        <w:t xml:space="preserve">der </w:t>
      </w:r>
      <w:r w:rsidRPr="00812008">
        <w:rPr>
          <w:i/>
          <w:iCs/>
          <w:spacing w:val="-2"/>
        </w:rPr>
        <w:t>Schweigsamkeit</w:t>
      </w:r>
    </w:p>
    <w:p w14:paraId="5CA1B7E2" w14:textId="77777777" w:rsidR="00C85BF5" w:rsidRPr="00E73F6F" w:rsidRDefault="00C85BF5" w:rsidP="0046492B">
      <w:pPr>
        <w:pStyle w:val="BeschriftungTab"/>
        <w:rPr>
          <w:spacing w:val="-2"/>
        </w:rPr>
      </w:pPr>
      <w:r>
        <w:rPr>
          <w:noProof/>
          <w:spacing w:val="-2"/>
        </w:rPr>
        <w:lastRenderedPageBreak/>
        <w:drawing>
          <wp:inline distT="0" distB="0" distL="0" distR="0" wp14:anchorId="5BA7764F" wp14:editId="427295E2">
            <wp:extent cx="5504787" cy="2266950"/>
            <wp:effectExtent l="0" t="0" r="127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5510625" cy="2269354"/>
                    </a:xfrm>
                    <a:prstGeom prst="rect">
                      <a:avLst/>
                    </a:prstGeom>
                    <a:noFill/>
                  </pic:spPr>
                </pic:pic>
              </a:graphicData>
            </a:graphic>
          </wp:inline>
        </w:drawing>
      </w:r>
    </w:p>
    <w:p w14:paraId="431841C7" w14:textId="77777777" w:rsidR="00FF7799" w:rsidRPr="00E73F6F" w:rsidRDefault="00FF7799" w:rsidP="00862DBA">
      <w:pPr>
        <w:spacing w:before="155"/>
        <w:rPr>
          <w:i/>
          <w:spacing w:val="-2"/>
          <w:sz w:val="24"/>
          <w:szCs w:val="24"/>
        </w:rPr>
      </w:pPr>
    </w:p>
    <w:p w14:paraId="14A03F9E" w14:textId="77777777" w:rsidR="00FF7799" w:rsidRPr="00E73F6F" w:rsidRDefault="00FF7799" w:rsidP="00862DBA">
      <w:pPr>
        <w:spacing w:before="10" w:after="1"/>
        <w:rPr>
          <w:i/>
          <w:sz w:val="24"/>
          <w:szCs w:val="24"/>
        </w:rPr>
      </w:pPr>
    </w:p>
    <w:p w14:paraId="62B55F72" w14:textId="77777777" w:rsidR="00FF7799" w:rsidRPr="00E73F6F" w:rsidRDefault="00FF7799" w:rsidP="0046492B">
      <w:pPr>
        <w:pStyle w:val="StandardText"/>
      </w:pPr>
      <w:r w:rsidRPr="00E73F6F">
        <w:t>Gesprächspausen, als eine zeitlich begrenzte Form des Schweigens, ermöglichen in vielen Sprachkulturen erst das Gespräch zwischen mehreren Personen. Insofern ist Schweigen auch für die Gesprächsführung bedeutsam: Generell gilt, dass die Sprecherfolge durch Blickkontakt, Intonation etc. geregelt wird. Wer dem Gesprächs- oder Diskussionspartner das Wort erteilen möchte, schweigt meist eine oder zwei Sekunden lang und sucht dabei Blickkontakt. Allerdings sind die Gepflogenheiten von Land zu Land, von Kultur zu Kultur höchst unterschiedlich. Weil es bspw. in angelsächsischen Ländern als unhöflich gilt,</w:t>
      </w:r>
      <w:r w:rsidRPr="00E73F6F">
        <w:rPr>
          <w:spacing w:val="-7"/>
        </w:rPr>
        <w:t xml:space="preserve"> </w:t>
      </w:r>
      <w:r w:rsidRPr="00E73F6F">
        <w:t>jemanden</w:t>
      </w:r>
      <w:r w:rsidRPr="00E73F6F">
        <w:rPr>
          <w:spacing w:val="-4"/>
        </w:rPr>
        <w:t xml:space="preserve"> </w:t>
      </w:r>
      <w:r w:rsidRPr="00E73F6F">
        <w:t>zu</w:t>
      </w:r>
      <w:r w:rsidRPr="00E73F6F">
        <w:rPr>
          <w:spacing w:val="-7"/>
        </w:rPr>
        <w:t xml:space="preserve"> </w:t>
      </w:r>
      <w:r w:rsidRPr="00E73F6F">
        <w:t>unterbrechen,</w:t>
      </w:r>
      <w:r w:rsidRPr="00E73F6F">
        <w:rPr>
          <w:spacing w:val="-7"/>
        </w:rPr>
        <w:t xml:space="preserve"> </w:t>
      </w:r>
      <w:r w:rsidRPr="00E73F6F">
        <w:t>greift</w:t>
      </w:r>
      <w:r w:rsidRPr="00E73F6F">
        <w:rPr>
          <w:spacing w:val="-5"/>
        </w:rPr>
        <w:t xml:space="preserve"> </w:t>
      </w:r>
      <w:r w:rsidRPr="00E73F6F">
        <w:t>dort</w:t>
      </w:r>
      <w:r w:rsidRPr="00E73F6F">
        <w:rPr>
          <w:spacing w:val="-7"/>
        </w:rPr>
        <w:t xml:space="preserve"> </w:t>
      </w:r>
      <w:r w:rsidRPr="00E73F6F">
        <w:t>Gesprächsteilnehmer</w:t>
      </w:r>
      <w:r w:rsidRPr="00E73F6F">
        <w:rPr>
          <w:spacing w:val="-5"/>
        </w:rPr>
        <w:t xml:space="preserve"> </w:t>
      </w:r>
      <w:r w:rsidRPr="00E73F6F">
        <w:t>B</w:t>
      </w:r>
      <w:r w:rsidRPr="00E73F6F">
        <w:rPr>
          <w:spacing w:val="-5"/>
        </w:rPr>
        <w:t xml:space="preserve"> </w:t>
      </w:r>
      <w:r w:rsidRPr="00E73F6F">
        <w:t>erst</w:t>
      </w:r>
      <w:r w:rsidRPr="00E73F6F">
        <w:rPr>
          <w:spacing w:val="-5"/>
        </w:rPr>
        <w:t xml:space="preserve"> </w:t>
      </w:r>
      <w:r w:rsidRPr="00E73F6F">
        <w:t>dann</w:t>
      </w:r>
      <w:r w:rsidRPr="00E73F6F">
        <w:rPr>
          <w:spacing w:val="-1"/>
        </w:rPr>
        <w:t xml:space="preserve"> </w:t>
      </w:r>
      <w:r w:rsidRPr="00E73F6F">
        <w:t>in</w:t>
      </w:r>
      <w:r w:rsidRPr="00E73F6F">
        <w:rPr>
          <w:spacing w:val="-6"/>
        </w:rPr>
        <w:t xml:space="preserve"> </w:t>
      </w:r>
      <w:r w:rsidRPr="00E73F6F">
        <w:t>die Diskussion</w:t>
      </w:r>
      <w:r w:rsidRPr="00E73F6F">
        <w:rPr>
          <w:spacing w:val="-1"/>
        </w:rPr>
        <w:t xml:space="preserve"> </w:t>
      </w:r>
      <w:r w:rsidRPr="00E73F6F">
        <w:t>ein,</w:t>
      </w:r>
      <w:r w:rsidRPr="00E73F6F">
        <w:rPr>
          <w:spacing w:val="-4"/>
        </w:rPr>
        <w:t xml:space="preserve"> </w:t>
      </w:r>
      <w:r w:rsidRPr="00E73F6F">
        <w:t>wenn</w:t>
      </w:r>
      <w:r w:rsidRPr="00E73F6F">
        <w:rPr>
          <w:spacing w:val="-3"/>
        </w:rPr>
        <w:t xml:space="preserve"> </w:t>
      </w:r>
      <w:r w:rsidRPr="00E73F6F">
        <w:t>A</w:t>
      </w:r>
      <w:r w:rsidRPr="00E73F6F">
        <w:rPr>
          <w:spacing w:val="-2"/>
        </w:rPr>
        <w:t xml:space="preserve"> </w:t>
      </w:r>
      <w:r w:rsidRPr="00E73F6F">
        <w:t>seine</w:t>
      </w:r>
      <w:r w:rsidRPr="00E73F6F">
        <w:rPr>
          <w:spacing w:val="-5"/>
        </w:rPr>
        <w:t xml:space="preserve"> </w:t>
      </w:r>
      <w:r w:rsidRPr="00E73F6F">
        <w:t>Ausführungen</w:t>
      </w:r>
      <w:r w:rsidRPr="00E73F6F">
        <w:rPr>
          <w:spacing w:val="-3"/>
        </w:rPr>
        <w:t xml:space="preserve"> </w:t>
      </w:r>
      <w:r w:rsidRPr="00E73F6F">
        <w:t>beendet</w:t>
      </w:r>
      <w:r w:rsidRPr="00E73F6F">
        <w:rPr>
          <w:spacing w:val="-4"/>
        </w:rPr>
        <w:t xml:space="preserve"> </w:t>
      </w:r>
      <w:r w:rsidRPr="00E73F6F">
        <w:t>hat</w:t>
      </w:r>
      <w:r w:rsidRPr="00E73F6F">
        <w:rPr>
          <w:spacing w:val="-4"/>
        </w:rPr>
        <w:t xml:space="preserve"> </w:t>
      </w:r>
      <w:r w:rsidRPr="00E73F6F">
        <w:t>(vgl.</w:t>
      </w:r>
      <w:r w:rsidRPr="00E73F6F">
        <w:rPr>
          <w:spacing w:val="-4"/>
        </w:rPr>
        <w:t xml:space="preserve"> </w:t>
      </w:r>
      <w:r w:rsidRPr="00E73F6F">
        <w:t>Abb.</w:t>
      </w:r>
      <w:r w:rsidRPr="00E73F6F">
        <w:rPr>
          <w:spacing w:val="-4"/>
        </w:rPr>
        <w:t xml:space="preserve"> </w:t>
      </w:r>
      <w:r w:rsidRPr="00E73F6F">
        <w:t>2).</w:t>
      </w:r>
      <w:r w:rsidRPr="00E73F6F">
        <w:rPr>
          <w:spacing w:val="-4"/>
        </w:rPr>
        <w:t xml:space="preserve"> </w:t>
      </w:r>
      <w:r w:rsidRPr="00E73F6F">
        <w:t>Handelt</w:t>
      </w:r>
      <w:r w:rsidRPr="00E73F6F">
        <w:rPr>
          <w:spacing w:val="-2"/>
        </w:rPr>
        <w:t xml:space="preserve"> </w:t>
      </w:r>
      <w:r w:rsidRPr="00E73F6F">
        <w:t>es sich bei A jedoch um einen Finnen, ist die Gefahr groß, dass B die in Finnland besonders</w:t>
      </w:r>
      <w:r w:rsidRPr="00E73F6F">
        <w:rPr>
          <w:spacing w:val="-8"/>
        </w:rPr>
        <w:t xml:space="preserve"> </w:t>
      </w:r>
      <w:r w:rsidRPr="00E73F6F">
        <w:t>langen</w:t>
      </w:r>
      <w:r w:rsidRPr="00E73F6F">
        <w:rPr>
          <w:spacing w:val="-7"/>
        </w:rPr>
        <w:t xml:space="preserve"> </w:t>
      </w:r>
      <w:r w:rsidRPr="00E73F6F">
        <w:t>Gesprächspausen</w:t>
      </w:r>
      <w:r w:rsidRPr="00E73F6F">
        <w:rPr>
          <w:spacing w:val="-7"/>
        </w:rPr>
        <w:t xml:space="preserve"> </w:t>
      </w:r>
      <w:r w:rsidRPr="00E73F6F">
        <w:t>irrtümlicherweise</w:t>
      </w:r>
      <w:r w:rsidRPr="00E73F6F">
        <w:rPr>
          <w:spacing w:val="-8"/>
        </w:rPr>
        <w:t xml:space="preserve"> </w:t>
      </w:r>
      <w:r w:rsidRPr="00E73F6F">
        <w:t>als</w:t>
      </w:r>
      <w:r w:rsidRPr="00E73F6F">
        <w:rPr>
          <w:spacing w:val="-8"/>
        </w:rPr>
        <w:t xml:space="preserve"> </w:t>
      </w:r>
      <w:r w:rsidRPr="00E73F6F">
        <w:t>Ende</w:t>
      </w:r>
      <w:r w:rsidRPr="00E73F6F">
        <w:rPr>
          <w:spacing w:val="-8"/>
        </w:rPr>
        <w:t xml:space="preserve"> </w:t>
      </w:r>
      <w:r w:rsidRPr="00E73F6F">
        <w:t>der</w:t>
      </w:r>
      <w:r w:rsidRPr="00E73F6F">
        <w:rPr>
          <w:spacing w:val="-8"/>
        </w:rPr>
        <w:t xml:space="preserve"> </w:t>
      </w:r>
      <w:r w:rsidRPr="00E73F6F">
        <w:t>Argumentation begreift.</w:t>
      </w:r>
      <w:r w:rsidRPr="00E73F6F">
        <w:rPr>
          <w:spacing w:val="-9"/>
        </w:rPr>
        <w:t xml:space="preserve"> </w:t>
      </w:r>
      <w:r w:rsidRPr="00E73F6F">
        <w:t>In</w:t>
      </w:r>
      <w:r w:rsidRPr="00E73F6F">
        <w:rPr>
          <w:spacing w:val="-8"/>
        </w:rPr>
        <w:t xml:space="preserve"> </w:t>
      </w:r>
      <w:r w:rsidRPr="00E73F6F">
        <w:t>romanischen</w:t>
      </w:r>
      <w:r w:rsidRPr="00E73F6F">
        <w:rPr>
          <w:spacing w:val="-8"/>
        </w:rPr>
        <w:t xml:space="preserve"> </w:t>
      </w:r>
      <w:r w:rsidRPr="00E73F6F">
        <w:t>Ländern</w:t>
      </w:r>
      <w:r w:rsidRPr="00E73F6F">
        <w:rPr>
          <w:spacing w:val="-10"/>
        </w:rPr>
        <w:t xml:space="preserve"> </w:t>
      </w:r>
      <w:r w:rsidRPr="00E73F6F">
        <w:t>hingegen</w:t>
      </w:r>
      <w:r w:rsidRPr="00E73F6F">
        <w:rPr>
          <w:spacing w:val="-8"/>
        </w:rPr>
        <w:t xml:space="preserve"> </w:t>
      </w:r>
      <w:r w:rsidRPr="00E73F6F">
        <w:t>ist</w:t>
      </w:r>
      <w:r w:rsidRPr="00E73F6F">
        <w:rPr>
          <w:spacing w:val="-9"/>
        </w:rPr>
        <w:t xml:space="preserve"> </w:t>
      </w:r>
      <w:r w:rsidRPr="00E73F6F">
        <w:t>es</w:t>
      </w:r>
      <w:r w:rsidRPr="00E73F6F">
        <w:rPr>
          <w:spacing w:val="-10"/>
        </w:rPr>
        <w:t xml:space="preserve"> </w:t>
      </w:r>
      <w:r w:rsidRPr="00E73F6F">
        <w:t>durchaus</w:t>
      </w:r>
      <w:r w:rsidRPr="00E73F6F">
        <w:rPr>
          <w:spacing w:val="-10"/>
        </w:rPr>
        <w:t xml:space="preserve"> </w:t>
      </w:r>
      <w:r w:rsidRPr="00E73F6F">
        <w:t>üblich,</w:t>
      </w:r>
      <w:r w:rsidRPr="00E73F6F">
        <w:rPr>
          <w:spacing w:val="-9"/>
        </w:rPr>
        <w:t xml:space="preserve"> </w:t>
      </w:r>
      <w:r w:rsidRPr="00E73F6F">
        <w:t>sich</w:t>
      </w:r>
      <w:r w:rsidRPr="00E73F6F">
        <w:rPr>
          <w:spacing w:val="-8"/>
        </w:rPr>
        <w:t xml:space="preserve"> </w:t>
      </w:r>
      <w:r w:rsidRPr="00E73F6F">
        <w:t>gegenseitig immer</w:t>
      </w:r>
      <w:r w:rsidRPr="00E73F6F">
        <w:rPr>
          <w:spacing w:val="-8"/>
        </w:rPr>
        <w:t xml:space="preserve"> </w:t>
      </w:r>
      <w:r w:rsidRPr="00E73F6F">
        <w:t>wieder</w:t>
      </w:r>
      <w:r w:rsidRPr="00E73F6F">
        <w:rPr>
          <w:spacing w:val="-8"/>
        </w:rPr>
        <w:t xml:space="preserve"> </w:t>
      </w:r>
      <w:r w:rsidRPr="00E73F6F">
        <w:t>zu</w:t>
      </w:r>
      <w:r w:rsidRPr="00E73F6F">
        <w:rPr>
          <w:spacing w:val="-9"/>
        </w:rPr>
        <w:t xml:space="preserve"> </w:t>
      </w:r>
      <w:r w:rsidRPr="00E73F6F">
        <w:t>unterbrechen</w:t>
      </w:r>
      <w:r w:rsidRPr="00E73F6F">
        <w:rPr>
          <w:spacing w:val="-9"/>
        </w:rPr>
        <w:t xml:space="preserve"> </w:t>
      </w:r>
      <w:r w:rsidRPr="00E73F6F">
        <w:t>bzw.</w:t>
      </w:r>
      <w:r w:rsidRPr="00E73F6F">
        <w:rPr>
          <w:spacing w:val="-7"/>
        </w:rPr>
        <w:t xml:space="preserve"> </w:t>
      </w:r>
      <w:r w:rsidRPr="00E73F6F">
        <w:t>ins</w:t>
      </w:r>
      <w:r w:rsidRPr="00E73F6F">
        <w:rPr>
          <w:spacing w:val="-11"/>
        </w:rPr>
        <w:t xml:space="preserve"> </w:t>
      </w:r>
      <w:r w:rsidRPr="00E73F6F">
        <w:t>Wort</w:t>
      </w:r>
      <w:r w:rsidRPr="00E73F6F">
        <w:rPr>
          <w:spacing w:val="-10"/>
        </w:rPr>
        <w:t xml:space="preserve"> </w:t>
      </w:r>
      <w:r w:rsidRPr="00E73F6F">
        <w:t>zu</w:t>
      </w:r>
      <w:r w:rsidRPr="00E73F6F">
        <w:rPr>
          <w:spacing w:val="-7"/>
        </w:rPr>
        <w:t xml:space="preserve"> </w:t>
      </w:r>
      <w:r w:rsidRPr="00E73F6F">
        <w:t>fallen.</w:t>
      </w:r>
      <w:r w:rsidRPr="00E73F6F">
        <w:rPr>
          <w:spacing w:val="-9"/>
        </w:rPr>
        <w:t xml:space="preserve"> </w:t>
      </w:r>
      <w:r w:rsidRPr="00E73F6F">
        <w:t>Denn</w:t>
      </w:r>
      <w:r w:rsidRPr="00E73F6F">
        <w:rPr>
          <w:spacing w:val="-9"/>
        </w:rPr>
        <w:t xml:space="preserve"> </w:t>
      </w:r>
      <w:r w:rsidRPr="00E73F6F">
        <w:t>nicht</w:t>
      </w:r>
      <w:r w:rsidRPr="00E73F6F">
        <w:rPr>
          <w:spacing w:val="-12"/>
        </w:rPr>
        <w:t xml:space="preserve"> </w:t>
      </w:r>
      <w:r w:rsidRPr="00E73F6F">
        <w:t>zuletzt</w:t>
      </w:r>
      <w:r w:rsidRPr="00E73F6F">
        <w:rPr>
          <w:spacing w:val="-6"/>
        </w:rPr>
        <w:t xml:space="preserve"> </w:t>
      </w:r>
      <w:r w:rsidRPr="00E73F6F">
        <w:t>dadurch bekunden</w:t>
      </w:r>
      <w:r w:rsidRPr="00E73F6F">
        <w:rPr>
          <w:spacing w:val="21"/>
        </w:rPr>
        <w:t xml:space="preserve"> </w:t>
      </w:r>
      <w:r w:rsidRPr="00E73F6F">
        <w:t>dort</w:t>
      </w:r>
      <w:r w:rsidRPr="00E73F6F">
        <w:rPr>
          <w:spacing w:val="23"/>
        </w:rPr>
        <w:t xml:space="preserve"> </w:t>
      </w:r>
      <w:r w:rsidRPr="00E73F6F">
        <w:t>die</w:t>
      </w:r>
      <w:r w:rsidRPr="00E73F6F">
        <w:rPr>
          <w:spacing w:val="24"/>
        </w:rPr>
        <w:t xml:space="preserve"> </w:t>
      </w:r>
      <w:r w:rsidRPr="00E73F6F">
        <w:t>Beteiligten</w:t>
      </w:r>
      <w:r w:rsidRPr="00E73F6F">
        <w:rPr>
          <w:spacing w:val="26"/>
        </w:rPr>
        <w:t xml:space="preserve"> </w:t>
      </w:r>
      <w:r w:rsidRPr="00E73F6F">
        <w:t>ihr</w:t>
      </w:r>
      <w:r w:rsidRPr="00E73F6F">
        <w:rPr>
          <w:spacing w:val="25"/>
        </w:rPr>
        <w:t xml:space="preserve"> </w:t>
      </w:r>
      <w:r w:rsidRPr="00E73F6F">
        <w:t>Interesse</w:t>
      </w:r>
      <w:r w:rsidRPr="00E73F6F">
        <w:rPr>
          <w:spacing w:val="24"/>
        </w:rPr>
        <w:t xml:space="preserve"> </w:t>
      </w:r>
      <w:r w:rsidRPr="00E73F6F">
        <w:t>an</w:t>
      </w:r>
      <w:r w:rsidRPr="00E73F6F">
        <w:rPr>
          <w:spacing w:val="26"/>
        </w:rPr>
        <w:t xml:space="preserve"> </w:t>
      </w:r>
      <w:r w:rsidRPr="00E73F6F">
        <w:t>der</w:t>
      </w:r>
      <w:r w:rsidRPr="00E73F6F">
        <w:rPr>
          <w:spacing w:val="25"/>
        </w:rPr>
        <w:t xml:space="preserve"> </w:t>
      </w:r>
      <w:r w:rsidRPr="00E73F6F">
        <w:t>Diskussion.</w:t>
      </w:r>
      <w:r w:rsidRPr="00E73F6F">
        <w:rPr>
          <w:spacing w:val="25"/>
        </w:rPr>
        <w:t xml:space="preserve"> </w:t>
      </w:r>
      <w:r w:rsidRPr="00E73F6F">
        <w:t>Diese</w:t>
      </w:r>
      <w:r w:rsidRPr="00E73F6F">
        <w:rPr>
          <w:spacing w:val="25"/>
        </w:rPr>
        <w:t xml:space="preserve"> </w:t>
      </w:r>
      <w:r w:rsidRPr="00E73F6F">
        <w:t>Form</w:t>
      </w:r>
      <w:r w:rsidRPr="00E73F6F">
        <w:rPr>
          <w:spacing w:val="25"/>
        </w:rPr>
        <w:t xml:space="preserve"> </w:t>
      </w:r>
      <w:r w:rsidRPr="00E73F6F">
        <w:rPr>
          <w:spacing w:val="-5"/>
        </w:rPr>
        <w:t xml:space="preserve">der </w:t>
      </w:r>
      <w:r w:rsidRPr="00E73F6F">
        <w:t xml:space="preserve">„lebendig-chaotischen Gesprächsführung“ (Trompenaars 1993) ist in westlichen Kulturen ebenso wenig erwünscht wie das Gegenteil: Stille bzw. lange </w:t>
      </w:r>
      <w:r w:rsidRPr="00E73F6F">
        <w:rPr>
          <w:spacing w:val="-2"/>
        </w:rPr>
        <w:t>Gesprächspausen.</w:t>
      </w:r>
    </w:p>
    <w:p w14:paraId="631B8A74" w14:textId="77777777" w:rsidR="00FF7799" w:rsidRPr="00E73F6F" w:rsidRDefault="00FF7799" w:rsidP="0046492B">
      <w:pPr>
        <w:pStyle w:val="StandardText"/>
      </w:pPr>
    </w:p>
    <w:p w14:paraId="329B6F84" w14:textId="77777777" w:rsidR="00FF7799" w:rsidRPr="00812008" w:rsidRDefault="00FF7799" w:rsidP="0046492B">
      <w:pPr>
        <w:pStyle w:val="BeschriftungTab"/>
        <w:rPr>
          <w:i/>
          <w:iCs/>
        </w:rPr>
      </w:pPr>
      <w:r w:rsidRPr="00812008">
        <w:rPr>
          <w:i/>
          <w:iCs/>
        </w:rPr>
        <w:t>Abb.</w:t>
      </w:r>
      <w:r w:rsidRPr="00812008">
        <w:rPr>
          <w:i/>
          <w:iCs/>
          <w:spacing w:val="-8"/>
        </w:rPr>
        <w:t xml:space="preserve"> </w:t>
      </w:r>
      <w:r w:rsidRPr="00812008">
        <w:rPr>
          <w:i/>
          <w:iCs/>
        </w:rPr>
        <w:t>2:</w:t>
      </w:r>
      <w:r w:rsidRPr="00812008">
        <w:rPr>
          <w:i/>
          <w:iCs/>
          <w:spacing w:val="-8"/>
        </w:rPr>
        <w:t xml:space="preserve"> </w:t>
      </w:r>
      <w:r w:rsidRPr="00812008">
        <w:rPr>
          <w:i/>
          <w:iCs/>
        </w:rPr>
        <w:t>Sprachraumspezifischer</w:t>
      </w:r>
      <w:r w:rsidRPr="00812008">
        <w:rPr>
          <w:i/>
          <w:iCs/>
          <w:spacing w:val="-9"/>
        </w:rPr>
        <w:t xml:space="preserve"> </w:t>
      </w:r>
      <w:r w:rsidRPr="00812008">
        <w:rPr>
          <w:i/>
          <w:iCs/>
          <w:spacing w:val="-2"/>
        </w:rPr>
        <w:t>Kommunikationsstil</w:t>
      </w:r>
    </w:p>
    <w:p w14:paraId="1011D999" w14:textId="77777777" w:rsidR="00FF7799" w:rsidRPr="00E73F6F" w:rsidRDefault="00FF7799" w:rsidP="00862DBA">
      <w:pPr>
        <w:spacing w:before="2"/>
        <w:rPr>
          <w:i/>
          <w:sz w:val="24"/>
          <w:szCs w:val="24"/>
        </w:rPr>
      </w:pPr>
      <w:r w:rsidRPr="00E73F6F">
        <w:rPr>
          <w:noProof/>
          <w:sz w:val="24"/>
          <w:szCs w:val="24"/>
          <w:lang w:eastAsia="de-DE"/>
        </w:rPr>
        <mc:AlternateContent>
          <mc:Choice Requires="wpg">
            <w:drawing>
              <wp:inline distT="0" distB="0" distL="0" distR="0" wp14:anchorId="40ECC922" wp14:editId="56ECE282">
                <wp:extent cx="5648634" cy="2289657"/>
                <wp:effectExtent l="0" t="0" r="9525" b="15875"/>
                <wp:docPr id="2209" name="Group 2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48634" cy="2289657"/>
                          <a:chOff x="0" y="0"/>
                          <a:chExt cx="3824604" cy="1550035"/>
                        </a:xfrm>
                      </wpg:grpSpPr>
                      <wps:wsp>
                        <wps:cNvPr id="2210" name="Graphic 2210"/>
                        <wps:cNvSpPr/>
                        <wps:spPr>
                          <a:xfrm>
                            <a:off x="908814" y="358670"/>
                            <a:ext cx="2803525" cy="1073785"/>
                          </a:xfrm>
                          <a:custGeom>
                            <a:avLst/>
                            <a:gdLst/>
                            <a:ahLst/>
                            <a:cxnLst/>
                            <a:rect l="l" t="t" r="r" b="b"/>
                            <a:pathLst>
                              <a:path w="2803525" h="1073785">
                                <a:moveTo>
                                  <a:pt x="0" y="79992"/>
                                </a:moveTo>
                                <a:lnTo>
                                  <a:pt x="141191" y="81624"/>
                                </a:lnTo>
                              </a:path>
                              <a:path w="2803525" h="1073785">
                                <a:moveTo>
                                  <a:pt x="288969" y="79992"/>
                                </a:moveTo>
                                <a:lnTo>
                                  <a:pt x="431858" y="81624"/>
                                </a:lnTo>
                              </a:path>
                              <a:path w="2803525" h="1073785">
                                <a:moveTo>
                                  <a:pt x="579637" y="79992"/>
                                </a:moveTo>
                                <a:lnTo>
                                  <a:pt x="721779" y="81624"/>
                                </a:lnTo>
                              </a:path>
                              <a:path w="2803525" h="1073785">
                                <a:moveTo>
                                  <a:pt x="146148" y="174744"/>
                                </a:moveTo>
                                <a:lnTo>
                                  <a:pt x="288154" y="175560"/>
                                </a:lnTo>
                              </a:path>
                              <a:path w="2803525" h="1073785">
                                <a:moveTo>
                                  <a:pt x="423709" y="174744"/>
                                </a:moveTo>
                                <a:lnTo>
                                  <a:pt x="563405" y="175560"/>
                                </a:lnTo>
                              </a:path>
                              <a:path w="2803525" h="1073785">
                                <a:moveTo>
                                  <a:pt x="704597" y="174744"/>
                                </a:moveTo>
                                <a:lnTo>
                                  <a:pt x="846603" y="175560"/>
                                </a:lnTo>
                              </a:path>
                              <a:path w="2803525" h="1073785">
                                <a:moveTo>
                                  <a:pt x="1558670" y="165833"/>
                                </a:moveTo>
                                <a:lnTo>
                                  <a:pt x="1691712" y="165833"/>
                                </a:lnTo>
                                <a:lnTo>
                                  <a:pt x="1730218" y="142911"/>
                                </a:lnTo>
                                <a:lnTo>
                                  <a:pt x="1750524" y="107064"/>
                                </a:lnTo>
                                <a:lnTo>
                                  <a:pt x="1773479" y="0"/>
                                </a:lnTo>
                                <a:lnTo>
                                  <a:pt x="1788148" y="92371"/>
                                </a:lnTo>
                                <a:lnTo>
                                  <a:pt x="1802002" y="132299"/>
                                </a:lnTo>
                                <a:lnTo>
                                  <a:pt x="1816739" y="165833"/>
                                </a:lnTo>
                                <a:lnTo>
                                  <a:pt x="1834736" y="176377"/>
                                </a:lnTo>
                                <a:lnTo>
                                  <a:pt x="1857487" y="158419"/>
                                </a:lnTo>
                                <a:lnTo>
                                  <a:pt x="1879627" y="136449"/>
                                </a:lnTo>
                                <a:lnTo>
                                  <a:pt x="1903260" y="113458"/>
                                </a:lnTo>
                                <a:lnTo>
                                  <a:pt x="1917930" y="102914"/>
                                </a:lnTo>
                                <a:lnTo>
                                  <a:pt x="1926894" y="102098"/>
                                </a:lnTo>
                                <a:lnTo>
                                  <a:pt x="1941563" y="117607"/>
                                </a:lnTo>
                                <a:lnTo>
                                  <a:pt x="1961190" y="151141"/>
                                </a:lnTo>
                                <a:lnTo>
                                  <a:pt x="1981700" y="161684"/>
                                </a:lnTo>
                                <a:lnTo>
                                  <a:pt x="1996369" y="195218"/>
                                </a:lnTo>
                                <a:lnTo>
                                  <a:pt x="2010223" y="217189"/>
                                </a:lnTo>
                                <a:lnTo>
                                  <a:pt x="2033857" y="257321"/>
                                </a:lnTo>
                                <a:lnTo>
                                  <a:pt x="2042957" y="207462"/>
                                </a:lnTo>
                                <a:lnTo>
                                  <a:pt x="2054367" y="169166"/>
                                </a:lnTo>
                                <a:lnTo>
                                  <a:pt x="2085403" y="146992"/>
                                </a:lnTo>
                                <a:lnTo>
                                  <a:pt x="2132806" y="151141"/>
                                </a:lnTo>
                                <a:lnTo>
                                  <a:pt x="2204590" y="158419"/>
                                </a:lnTo>
                                <a:lnTo>
                                  <a:pt x="2237324" y="161684"/>
                                </a:lnTo>
                                <a:lnTo>
                                  <a:pt x="2280585" y="161684"/>
                                </a:lnTo>
                                <a:lnTo>
                                  <a:pt x="2312300" y="142911"/>
                                </a:lnTo>
                                <a:lnTo>
                                  <a:pt x="2335187" y="124885"/>
                                </a:lnTo>
                                <a:lnTo>
                                  <a:pt x="2341027" y="98765"/>
                                </a:lnTo>
                                <a:lnTo>
                                  <a:pt x="2358006" y="69380"/>
                                </a:lnTo>
                                <a:lnTo>
                                  <a:pt x="2367106" y="35846"/>
                                </a:lnTo>
                                <a:lnTo>
                                  <a:pt x="2384288" y="76795"/>
                                </a:lnTo>
                                <a:lnTo>
                                  <a:pt x="2404594" y="117607"/>
                                </a:lnTo>
                                <a:lnTo>
                                  <a:pt x="2421776" y="151141"/>
                                </a:lnTo>
                                <a:lnTo>
                                  <a:pt x="2433932" y="169166"/>
                                </a:lnTo>
                                <a:lnTo>
                                  <a:pt x="2448669" y="169166"/>
                                </a:lnTo>
                                <a:lnTo>
                                  <a:pt x="2467481" y="152774"/>
                                </a:lnTo>
                                <a:lnTo>
                                  <a:pt x="2476378" y="139578"/>
                                </a:lnTo>
                                <a:lnTo>
                                  <a:pt x="2493560" y="138081"/>
                                </a:lnTo>
                                <a:lnTo>
                                  <a:pt x="2549860" y="139578"/>
                                </a:lnTo>
                              </a:path>
                              <a:path w="2803525" h="1073785">
                                <a:moveTo>
                                  <a:pt x="1559485" y="632195"/>
                                </a:moveTo>
                                <a:lnTo>
                                  <a:pt x="1637924" y="513758"/>
                                </a:lnTo>
                                <a:lnTo>
                                  <a:pt x="1659860" y="690156"/>
                                </a:lnTo>
                                <a:lnTo>
                                  <a:pt x="1708079" y="618319"/>
                                </a:lnTo>
                                <a:lnTo>
                                  <a:pt x="1726075" y="563658"/>
                                </a:lnTo>
                                <a:lnTo>
                                  <a:pt x="1744072" y="517091"/>
                                </a:lnTo>
                                <a:lnTo>
                                  <a:pt x="1756297" y="471313"/>
                                </a:lnTo>
                                <a:lnTo>
                                  <a:pt x="1787333" y="646888"/>
                                </a:lnTo>
                                <a:lnTo>
                                  <a:pt x="1797112" y="713936"/>
                                </a:lnTo>
                                <a:lnTo>
                                  <a:pt x="1822512" y="748286"/>
                                </a:lnTo>
                                <a:lnTo>
                                  <a:pt x="1837181" y="678762"/>
                                </a:lnTo>
                                <a:lnTo>
                                  <a:pt x="1853412" y="612538"/>
                                </a:lnTo>
                                <a:lnTo>
                                  <a:pt x="1882751" y="548959"/>
                                </a:lnTo>
                                <a:lnTo>
                                  <a:pt x="1904075" y="618319"/>
                                </a:lnTo>
                                <a:lnTo>
                                  <a:pt x="1910663" y="718894"/>
                                </a:lnTo>
                                <a:lnTo>
                                  <a:pt x="1927709" y="677939"/>
                                </a:lnTo>
                                <a:lnTo>
                                  <a:pt x="1940069" y="672321"/>
                                </a:lnTo>
                                <a:lnTo>
                                  <a:pt x="1974229" y="624101"/>
                                </a:lnTo>
                                <a:lnTo>
                                  <a:pt x="1987337" y="710637"/>
                                </a:lnTo>
                                <a:lnTo>
                                  <a:pt x="2044587" y="557053"/>
                                </a:lnTo>
                                <a:lnTo>
                                  <a:pt x="2069851" y="511309"/>
                                </a:lnTo>
                                <a:lnTo>
                                  <a:pt x="2090157" y="494100"/>
                                </a:lnTo>
                                <a:lnTo>
                                  <a:pt x="2085403" y="618319"/>
                                </a:lnTo>
                                <a:lnTo>
                                  <a:pt x="2085403" y="727812"/>
                                </a:lnTo>
                                <a:lnTo>
                                  <a:pt x="2087848" y="791554"/>
                                </a:lnTo>
                                <a:lnTo>
                                  <a:pt x="2126966" y="673151"/>
                                </a:lnTo>
                                <a:lnTo>
                                  <a:pt x="2152229" y="588928"/>
                                </a:lnTo>
                                <a:lnTo>
                                  <a:pt x="2186593" y="526009"/>
                                </a:lnTo>
                                <a:lnTo>
                                  <a:pt x="2207103" y="502399"/>
                                </a:lnTo>
                                <a:lnTo>
                                  <a:pt x="2213555" y="566134"/>
                                </a:lnTo>
                                <a:lnTo>
                                  <a:pt x="2229039" y="597845"/>
                                </a:lnTo>
                                <a:lnTo>
                                  <a:pt x="2247851" y="548959"/>
                                </a:lnTo>
                                <a:lnTo>
                                  <a:pt x="2256815" y="615020"/>
                                </a:lnTo>
                                <a:lnTo>
                                  <a:pt x="2286154" y="580833"/>
                                </a:lnTo>
                                <a:lnTo>
                                  <a:pt x="2293624" y="643589"/>
                                </a:lnTo>
                                <a:lnTo>
                                  <a:pt x="2331927" y="586445"/>
                                </a:lnTo>
                                <a:lnTo>
                                  <a:pt x="2347411" y="554577"/>
                                </a:lnTo>
                                <a:lnTo>
                                  <a:pt x="2376818" y="508861"/>
                                </a:lnTo>
                                <a:lnTo>
                                  <a:pt x="2399772" y="476959"/>
                                </a:lnTo>
                                <a:lnTo>
                                  <a:pt x="2443033" y="433698"/>
                                </a:lnTo>
                                <a:lnTo>
                                  <a:pt x="2451929" y="398532"/>
                                </a:lnTo>
                                <a:lnTo>
                                  <a:pt x="2450299" y="508861"/>
                                </a:lnTo>
                                <a:lnTo>
                                  <a:pt x="2450299" y="588928"/>
                                </a:lnTo>
                                <a:lnTo>
                                  <a:pt x="2459400" y="609402"/>
                                </a:lnTo>
                                <a:lnTo>
                                  <a:pt x="2493560" y="588928"/>
                                </a:lnTo>
                                <a:lnTo>
                                  <a:pt x="2507414" y="624924"/>
                                </a:lnTo>
                                <a:lnTo>
                                  <a:pt x="2516515" y="624924"/>
                                </a:lnTo>
                                <a:lnTo>
                                  <a:pt x="2540963" y="586445"/>
                                </a:lnTo>
                                <a:lnTo>
                                  <a:pt x="2549860" y="616666"/>
                                </a:lnTo>
                                <a:lnTo>
                                  <a:pt x="2557330" y="624101"/>
                                </a:lnTo>
                                <a:lnTo>
                                  <a:pt x="2590811" y="618319"/>
                                </a:lnTo>
                                <a:lnTo>
                                  <a:pt x="2618588" y="603620"/>
                                </a:lnTo>
                                <a:lnTo>
                                  <a:pt x="2700966" y="597845"/>
                                </a:lnTo>
                                <a:lnTo>
                                  <a:pt x="2717333" y="606103"/>
                                </a:lnTo>
                                <a:lnTo>
                                  <a:pt x="2718963" y="630543"/>
                                </a:lnTo>
                                <a:lnTo>
                                  <a:pt x="2731187" y="645242"/>
                                </a:lnTo>
                                <a:lnTo>
                                  <a:pt x="2803039" y="646888"/>
                                </a:lnTo>
                              </a:path>
                              <a:path w="2803525" h="1073785">
                                <a:moveTo>
                                  <a:pt x="1559485" y="1017797"/>
                                </a:moveTo>
                                <a:lnTo>
                                  <a:pt x="1629843" y="1035802"/>
                                </a:lnTo>
                                <a:lnTo>
                                  <a:pt x="1678672" y="1067669"/>
                                </a:lnTo>
                                <a:lnTo>
                                  <a:pt x="1729403" y="1070805"/>
                                </a:lnTo>
                                <a:lnTo>
                                  <a:pt x="1784888" y="1073288"/>
                                </a:lnTo>
                                <a:lnTo>
                                  <a:pt x="1815109" y="1067669"/>
                                </a:lnTo>
                                <a:lnTo>
                                  <a:pt x="1870594" y="1050494"/>
                                </a:lnTo>
                                <a:lnTo>
                                  <a:pt x="1886893" y="1021103"/>
                                </a:lnTo>
                                <a:lnTo>
                                  <a:pt x="1908218" y="997323"/>
                                </a:lnTo>
                                <a:lnTo>
                                  <a:pt x="1917115" y="973706"/>
                                </a:lnTo>
                                <a:lnTo>
                                  <a:pt x="1926894" y="983446"/>
                                </a:lnTo>
                                <a:lnTo>
                                  <a:pt x="1935927" y="1014498"/>
                                </a:lnTo>
                                <a:lnTo>
                                  <a:pt x="1947336" y="1024402"/>
                                </a:lnTo>
                                <a:lnTo>
                                  <a:pt x="1961190" y="1014498"/>
                                </a:lnTo>
                                <a:lnTo>
                                  <a:pt x="1973415" y="1003098"/>
                                </a:lnTo>
                                <a:lnTo>
                                  <a:pt x="1984960" y="1000622"/>
                                </a:lnTo>
                                <a:lnTo>
                                  <a:pt x="1991411" y="1021103"/>
                                </a:lnTo>
                                <a:lnTo>
                                  <a:pt x="2025775" y="1025061"/>
                                </a:lnTo>
                                <a:lnTo>
                                  <a:pt x="2068221" y="1025891"/>
                                </a:lnTo>
                                <a:lnTo>
                                  <a:pt x="2103400" y="1025891"/>
                                </a:lnTo>
                                <a:lnTo>
                                  <a:pt x="2279770" y="1024402"/>
                                </a:lnTo>
                                <a:lnTo>
                                  <a:pt x="2351554" y="1021103"/>
                                </a:lnTo>
                                <a:lnTo>
                                  <a:pt x="2379330" y="1003098"/>
                                </a:lnTo>
                                <a:lnTo>
                                  <a:pt x="2398142" y="983446"/>
                                </a:lnTo>
                                <a:lnTo>
                                  <a:pt x="2411996" y="977005"/>
                                </a:lnTo>
                                <a:lnTo>
                                  <a:pt x="2418448" y="977005"/>
                                </a:lnTo>
                                <a:lnTo>
                                  <a:pt x="2439773" y="991704"/>
                                </a:lnTo>
                                <a:lnTo>
                                  <a:pt x="2456072" y="1009539"/>
                                </a:lnTo>
                                <a:lnTo>
                                  <a:pt x="2482151" y="1021103"/>
                                </a:lnTo>
                                <a:lnTo>
                                  <a:pt x="2509112" y="1014498"/>
                                </a:lnTo>
                                <a:lnTo>
                                  <a:pt x="2531252" y="1000622"/>
                                </a:lnTo>
                                <a:lnTo>
                                  <a:pt x="2544291" y="988405"/>
                                </a:lnTo>
                                <a:lnTo>
                                  <a:pt x="2558145" y="973706"/>
                                </a:lnTo>
                                <a:lnTo>
                                  <a:pt x="2581779" y="973706"/>
                                </a:lnTo>
                                <a:lnTo>
                                  <a:pt x="2737775" y="973706"/>
                                </a:lnTo>
                              </a:path>
                              <a:path w="2803525" h="1073785">
                                <a:moveTo>
                                  <a:pt x="0" y="985922"/>
                                </a:moveTo>
                                <a:lnTo>
                                  <a:pt x="132294" y="987575"/>
                                </a:lnTo>
                              </a:path>
                              <a:path w="2803525" h="1073785">
                                <a:moveTo>
                                  <a:pt x="382146" y="985922"/>
                                </a:moveTo>
                                <a:lnTo>
                                  <a:pt x="515187" y="987575"/>
                                </a:lnTo>
                              </a:path>
                              <a:path w="2803525" h="1073785">
                                <a:moveTo>
                                  <a:pt x="769997" y="985922"/>
                                </a:moveTo>
                                <a:lnTo>
                                  <a:pt x="902291" y="987575"/>
                                </a:lnTo>
                              </a:path>
                              <a:path w="2803525" h="1073785">
                                <a:moveTo>
                                  <a:pt x="1149630" y="985922"/>
                                </a:moveTo>
                                <a:lnTo>
                                  <a:pt x="1284370" y="987575"/>
                                </a:lnTo>
                              </a:path>
                              <a:path w="2803525" h="1073785">
                                <a:moveTo>
                                  <a:pt x="189409" y="1070145"/>
                                </a:moveTo>
                                <a:lnTo>
                                  <a:pt x="323333" y="1071635"/>
                                </a:lnTo>
                              </a:path>
                              <a:path w="2803525" h="1073785">
                                <a:moveTo>
                                  <a:pt x="574815" y="1070145"/>
                                </a:moveTo>
                                <a:lnTo>
                                  <a:pt x="708739" y="1071635"/>
                                </a:lnTo>
                              </a:path>
                              <a:path w="2803525" h="1073785">
                                <a:moveTo>
                                  <a:pt x="962734" y="1070145"/>
                                </a:moveTo>
                                <a:lnTo>
                                  <a:pt x="1096590" y="1071635"/>
                                </a:lnTo>
                              </a:path>
                              <a:path w="2803525" h="1073785">
                                <a:moveTo>
                                  <a:pt x="86589" y="639623"/>
                                </a:moveTo>
                                <a:lnTo>
                                  <a:pt x="328970" y="641276"/>
                                </a:lnTo>
                              </a:path>
                              <a:path w="2803525" h="1073785">
                                <a:moveTo>
                                  <a:pt x="382961" y="639623"/>
                                </a:moveTo>
                                <a:lnTo>
                                  <a:pt x="627855" y="641276"/>
                                </a:lnTo>
                              </a:path>
                              <a:path w="2803525" h="1073785">
                                <a:moveTo>
                                  <a:pt x="681031" y="639623"/>
                                </a:moveTo>
                                <a:lnTo>
                                  <a:pt x="923412" y="641276"/>
                                </a:lnTo>
                              </a:path>
                              <a:path w="2803525" h="1073785">
                                <a:moveTo>
                                  <a:pt x="977403" y="641276"/>
                                </a:moveTo>
                                <a:lnTo>
                                  <a:pt x="1222297" y="642099"/>
                                </a:lnTo>
                              </a:path>
                              <a:path w="2803525" h="1073785">
                                <a:moveTo>
                                  <a:pt x="0" y="542354"/>
                                </a:moveTo>
                                <a:lnTo>
                                  <a:pt x="181191" y="544007"/>
                                </a:lnTo>
                              </a:path>
                              <a:path w="2803525" h="1073785">
                                <a:moveTo>
                                  <a:pt x="290667" y="542354"/>
                                </a:moveTo>
                                <a:lnTo>
                                  <a:pt x="497190" y="544007"/>
                                </a:lnTo>
                              </a:path>
                              <a:path w="2803525" h="1073785">
                                <a:moveTo>
                                  <a:pt x="580452" y="542354"/>
                                </a:moveTo>
                                <a:lnTo>
                                  <a:pt x="783036" y="544007"/>
                                </a:lnTo>
                              </a:path>
                              <a:path w="2803525" h="1073785">
                                <a:moveTo>
                                  <a:pt x="867927" y="542354"/>
                                </a:moveTo>
                                <a:lnTo>
                                  <a:pt x="1075333" y="544007"/>
                                </a:lnTo>
                              </a:path>
                              <a:path w="2803525" h="1073785">
                                <a:moveTo>
                                  <a:pt x="1157712" y="542354"/>
                                </a:moveTo>
                                <a:lnTo>
                                  <a:pt x="1332588" y="544007"/>
                                </a:lnTo>
                              </a:path>
                              <a:path w="2803525" h="1073785">
                                <a:moveTo>
                                  <a:pt x="867927" y="79992"/>
                                </a:moveTo>
                                <a:lnTo>
                                  <a:pt x="1009933" y="81624"/>
                                </a:lnTo>
                              </a:path>
                              <a:path w="2803525" h="1073785">
                                <a:moveTo>
                                  <a:pt x="1009933" y="177261"/>
                                </a:moveTo>
                                <a:lnTo>
                                  <a:pt x="1151260" y="178893"/>
                                </a:lnTo>
                              </a:path>
                            </a:pathLst>
                          </a:custGeom>
                          <a:ln w="3305">
                            <a:solidFill>
                              <a:srgbClr val="000000"/>
                            </a:solidFill>
                            <a:prstDash val="solid"/>
                          </a:ln>
                        </wps:spPr>
                        <wps:bodyPr wrap="square" lIns="0" tIns="0" rIns="0" bIns="0" rtlCol="0">
                          <a:prstTxWarp prst="textNoShape">
                            <a:avLst/>
                          </a:prstTxWarp>
                          <a:noAutofit/>
                        </wps:bodyPr>
                      </wps:wsp>
                      <wps:wsp>
                        <wps:cNvPr id="2211" name="Graphic 2211"/>
                        <wps:cNvSpPr/>
                        <wps:spPr>
                          <a:xfrm>
                            <a:off x="2480" y="2480"/>
                            <a:ext cx="3820160" cy="1544955"/>
                          </a:xfrm>
                          <a:custGeom>
                            <a:avLst/>
                            <a:gdLst/>
                            <a:ahLst/>
                            <a:cxnLst/>
                            <a:rect l="l" t="t" r="r" b="b"/>
                            <a:pathLst>
                              <a:path w="3820160" h="1544955">
                                <a:moveTo>
                                  <a:pt x="0" y="1544745"/>
                                </a:moveTo>
                                <a:lnTo>
                                  <a:pt x="3819629" y="1544745"/>
                                </a:lnTo>
                                <a:lnTo>
                                  <a:pt x="3819629" y="0"/>
                                </a:lnTo>
                                <a:lnTo>
                                  <a:pt x="0" y="0"/>
                                </a:lnTo>
                                <a:lnTo>
                                  <a:pt x="0" y="1544745"/>
                                </a:lnTo>
                                <a:close/>
                              </a:path>
                            </a:pathLst>
                          </a:custGeom>
                          <a:ln w="4960">
                            <a:solidFill>
                              <a:srgbClr val="000000"/>
                            </a:solidFill>
                            <a:prstDash val="solid"/>
                          </a:ln>
                        </wps:spPr>
                        <wps:bodyPr wrap="square" lIns="0" tIns="0" rIns="0" bIns="0" rtlCol="0">
                          <a:prstTxWarp prst="textNoShape">
                            <a:avLst/>
                          </a:prstTxWarp>
                          <a:noAutofit/>
                        </wps:bodyPr>
                      </wps:wsp>
                      <wps:wsp>
                        <wps:cNvPr id="2212" name="Graphic 2212"/>
                        <wps:cNvSpPr/>
                        <wps:spPr>
                          <a:xfrm>
                            <a:off x="908814" y="358670"/>
                            <a:ext cx="2803525" cy="1073785"/>
                          </a:xfrm>
                          <a:custGeom>
                            <a:avLst/>
                            <a:gdLst/>
                            <a:ahLst/>
                            <a:cxnLst/>
                            <a:rect l="l" t="t" r="r" b="b"/>
                            <a:pathLst>
                              <a:path w="2803525" h="1073785">
                                <a:moveTo>
                                  <a:pt x="0" y="79992"/>
                                </a:moveTo>
                                <a:lnTo>
                                  <a:pt x="141191" y="81624"/>
                                </a:lnTo>
                              </a:path>
                              <a:path w="2803525" h="1073785">
                                <a:moveTo>
                                  <a:pt x="288969" y="79992"/>
                                </a:moveTo>
                                <a:lnTo>
                                  <a:pt x="431858" y="81624"/>
                                </a:lnTo>
                              </a:path>
                              <a:path w="2803525" h="1073785">
                                <a:moveTo>
                                  <a:pt x="579637" y="79992"/>
                                </a:moveTo>
                                <a:lnTo>
                                  <a:pt x="721779" y="81624"/>
                                </a:lnTo>
                              </a:path>
                              <a:path w="2803525" h="1073785">
                                <a:moveTo>
                                  <a:pt x="146148" y="174744"/>
                                </a:moveTo>
                                <a:lnTo>
                                  <a:pt x="288154" y="175560"/>
                                </a:lnTo>
                              </a:path>
                              <a:path w="2803525" h="1073785">
                                <a:moveTo>
                                  <a:pt x="423709" y="174744"/>
                                </a:moveTo>
                                <a:lnTo>
                                  <a:pt x="563405" y="175560"/>
                                </a:lnTo>
                              </a:path>
                              <a:path w="2803525" h="1073785">
                                <a:moveTo>
                                  <a:pt x="704597" y="174744"/>
                                </a:moveTo>
                                <a:lnTo>
                                  <a:pt x="846603" y="175560"/>
                                </a:lnTo>
                              </a:path>
                              <a:path w="2803525" h="1073785">
                                <a:moveTo>
                                  <a:pt x="1558670" y="165833"/>
                                </a:moveTo>
                                <a:lnTo>
                                  <a:pt x="1691712" y="165833"/>
                                </a:lnTo>
                                <a:lnTo>
                                  <a:pt x="1730218" y="142911"/>
                                </a:lnTo>
                                <a:lnTo>
                                  <a:pt x="1750524" y="107064"/>
                                </a:lnTo>
                                <a:lnTo>
                                  <a:pt x="1773479" y="0"/>
                                </a:lnTo>
                                <a:lnTo>
                                  <a:pt x="1788148" y="92371"/>
                                </a:lnTo>
                                <a:lnTo>
                                  <a:pt x="1802002" y="132299"/>
                                </a:lnTo>
                                <a:lnTo>
                                  <a:pt x="1816739" y="165833"/>
                                </a:lnTo>
                                <a:lnTo>
                                  <a:pt x="1834736" y="176377"/>
                                </a:lnTo>
                                <a:lnTo>
                                  <a:pt x="1857487" y="158419"/>
                                </a:lnTo>
                                <a:lnTo>
                                  <a:pt x="1879627" y="136449"/>
                                </a:lnTo>
                                <a:lnTo>
                                  <a:pt x="1903260" y="113458"/>
                                </a:lnTo>
                                <a:lnTo>
                                  <a:pt x="1917930" y="102914"/>
                                </a:lnTo>
                                <a:lnTo>
                                  <a:pt x="1926894" y="102098"/>
                                </a:lnTo>
                                <a:lnTo>
                                  <a:pt x="1941563" y="117607"/>
                                </a:lnTo>
                                <a:lnTo>
                                  <a:pt x="1961190" y="151141"/>
                                </a:lnTo>
                                <a:lnTo>
                                  <a:pt x="1981700" y="161684"/>
                                </a:lnTo>
                                <a:lnTo>
                                  <a:pt x="1996369" y="195218"/>
                                </a:lnTo>
                                <a:lnTo>
                                  <a:pt x="2010223" y="217189"/>
                                </a:lnTo>
                                <a:lnTo>
                                  <a:pt x="2033857" y="257321"/>
                                </a:lnTo>
                                <a:lnTo>
                                  <a:pt x="2042957" y="207462"/>
                                </a:lnTo>
                                <a:lnTo>
                                  <a:pt x="2054367" y="169166"/>
                                </a:lnTo>
                                <a:lnTo>
                                  <a:pt x="2085403" y="146992"/>
                                </a:lnTo>
                                <a:lnTo>
                                  <a:pt x="2132806" y="151141"/>
                                </a:lnTo>
                                <a:lnTo>
                                  <a:pt x="2204590" y="158419"/>
                                </a:lnTo>
                                <a:lnTo>
                                  <a:pt x="2237324" y="161684"/>
                                </a:lnTo>
                                <a:lnTo>
                                  <a:pt x="2280585" y="161684"/>
                                </a:lnTo>
                                <a:lnTo>
                                  <a:pt x="2312300" y="142911"/>
                                </a:lnTo>
                                <a:lnTo>
                                  <a:pt x="2335187" y="124885"/>
                                </a:lnTo>
                                <a:lnTo>
                                  <a:pt x="2341027" y="98765"/>
                                </a:lnTo>
                                <a:lnTo>
                                  <a:pt x="2358006" y="69380"/>
                                </a:lnTo>
                                <a:lnTo>
                                  <a:pt x="2367106" y="35846"/>
                                </a:lnTo>
                                <a:lnTo>
                                  <a:pt x="2384288" y="76795"/>
                                </a:lnTo>
                                <a:lnTo>
                                  <a:pt x="2404594" y="117607"/>
                                </a:lnTo>
                                <a:lnTo>
                                  <a:pt x="2421776" y="151141"/>
                                </a:lnTo>
                                <a:lnTo>
                                  <a:pt x="2433932" y="169166"/>
                                </a:lnTo>
                                <a:lnTo>
                                  <a:pt x="2448669" y="169166"/>
                                </a:lnTo>
                                <a:lnTo>
                                  <a:pt x="2467481" y="152774"/>
                                </a:lnTo>
                                <a:lnTo>
                                  <a:pt x="2476378" y="139578"/>
                                </a:lnTo>
                                <a:lnTo>
                                  <a:pt x="2493560" y="138081"/>
                                </a:lnTo>
                                <a:lnTo>
                                  <a:pt x="2549860" y="139578"/>
                                </a:lnTo>
                              </a:path>
                              <a:path w="2803525" h="1073785">
                                <a:moveTo>
                                  <a:pt x="1559485" y="632195"/>
                                </a:moveTo>
                                <a:lnTo>
                                  <a:pt x="1637924" y="513758"/>
                                </a:lnTo>
                                <a:lnTo>
                                  <a:pt x="1659860" y="690156"/>
                                </a:lnTo>
                                <a:lnTo>
                                  <a:pt x="1708079" y="618319"/>
                                </a:lnTo>
                                <a:lnTo>
                                  <a:pt x="1726075" y="563658"/>
                                </a:lnTo>
                                <a:lnTo>
                                  <a:pt x="1744072" y="517091"/>
                                </a:lnTo>
                                <a:lnTo>
                                  <a:pt x="1756297" y="471313"/>
                                </a:lnTo>
                                <a:lnTo>
                                  <a:pt x="1787333" y="646888"/>
                                </a:lnTo>
                                <a:lnTo>
                                  <a:pt x="1797112" y="713936"/>
                                </a:lnTo>
                                <a:lnTo>
                                  <a:pt x="1822512" y="748286"/>
                                </a:lnTo>
                                <a:lnTo>
                                  <a:pt x="1837181" y="678762"/>
                                </a:lnTo>
                                <a:lnTo>
                                  <a:pt x="1853412" y="612538"/>
                                </a:lnTo>
                                <a:lnTo>
                                  <a:pt x="1882751" y="548959"/>
                                </a:lnTo>
                                <a:lnTo>
                                  <a:pt x="1904075" y="618319"/>
                                </a:lnTo>
                                <a:lnTo>
                                  <a:pt x="1910663" y="718894"/>
                                </a:lnTo>
                                <a:lnTo>
                                  <a:pt x="1927709" y="677939"/>
                                </a:lnTo>
                                <a:lnTo>
                                  <a:pt x="1940069" y="672321"/>
                                </a:lnTo>
                                <a:lnTo>
                                  <a:pt x="1974229" y="624101"/>
                                </a:lnTo>
                                <a:lnTo>
                                  <a:pt x="1987337" y="710637"/>
                                </a:lnTo>
                                <a:lnTo>
                                  <a:pt x="2044587" y="557053"/>
                                </a:lnTo>
                                <a:lnTo>
                                  <a:pt x="2069851" y="511309"/>
                                </a:lnTo>
                                <a:lnTo>
                                  <a:pt x="2090157" y="494100"/>
                                </a:lnTo>
                                <a:lnTo>
                                  <a:pt x="2085403" y="618319"/>
                                </a:lnTo>
                                <a:lnTo>
                                  <a:pt x="2085403" y="727812"/>
                                </a:lnTo>
                                <a:lnTo>
                                  <a:pt x="2087848" y="791554"/>
                                </a:lnTo>
                                <a:lnTo>
                                  <a:pt x="2126966" y="673151"/>
                                </a:lnTo>
                                <a:lnTo>
                                  <a:pt x="2152229" y="588928"/>
                                </a:lnTo>
                                <a:lnTo>
                                  <a:pt x="2186593" y="526009"/>
                                </a:lnTo>
                                <a:lnTo>
                                  <a:pt x="2207103" y="502399"/>
                                </a:lnTo>
                                <a:lnTo>
                                  <a:pt x="2213555" y="566134"/>
                                </a:lnTo>
                                <a:lnTo>
                                  <a:pt x="2229039" y="597845"/>
                                </a:lnTo>
                                <a:lnTo>
                                  <a:pt x="2247851" y="548959"/>
                                </a:lnTo>
                                <a:lnTo>
                                  <a:pt x="2256815" y="615020"/>
                                </a:lnTo>
                                <a:lnTo>
                                  <a:pt x="2286154" y="580833"/>
                                </a:lnTo>
                                <a:lnTo>
                                  <a:pt x="2293624" y="643589"/>
                                </a:lnTo>
                                <a:lnTo>
                                  <a:pt x="2331927" y="586445"/>
                                </a:lnTo>
                                <a:lnTo>
                                  <a:pt x="2347411" y="554577"/>
                                </a:lnTo>
                                <a:lnTo>
                                  <a:pt x="2376818" y="508861"/>
                                </a:lnTo>
                                <a:lnTo>
                                  <a:pt x="2399772" y="476959"/>
                                </a:lnTo>
                                <a:lnTo>
                                  <a:pt x="2443033" y="433698"/>
                                </a:lnTo>
                                <a:lnTo>
                                  <a:pt x="2451929" y="398532"/>
                                </a:lnTo>
                                <a:lnTo>
                                  <a:pt x="2450299" y="508861"/>
                                </a:lnTo>
                                <a:lnTo>
                                  <a:pt x="2450299" y="588928"/>
                                </a:lnTo>
                                <a:lnTo>
                                  <a:pt x="2459400" y="609402"/>
                                </a:lnTo>
                                <a:lnTo>
                                  <a:pt x="2493560" y="588928"/>
                                </a:lnTo>
                                <a:lnTo>
                                  <a:pt x="2507414" y="624924"/>
                                </a:lnTo>
                                <a:lnTo>
                                  <a:pt x="2516515" y="624924"/>
                                </a:lnTo>
                                <a:lnTo>
                                  <a:pt x="2540963" y="586445"/>
                                </a:lnTo>
                                <a:lnTo>
                                  <a:pt x="2549860" y="616666"/>
                                </a:lnTo>
                                <a:lnTo>
                                  <a:pt x="2557330" y="624101"/>
                                </a:lnTo>
                                <a:lnTo>
                                  <a:pt x="2590811" y="618319"/>
                                </a:lnTo>
                                <a:lnTo>
                                  <a:pt x="2618588" y="603620"/>
                                </a:lnTo>
                                <a:lnTo>
                                  <a:pt x="2700966" y="597845"/>
                                </a:lnTo>
                                <a:lnTo>
                                  <a:pt x="2717333" y="606103"/>
                                </a:lnTo>
                                <a:lnTo>
                                  <a:pt x="2718963" y="630543"/>
                                </a:lnTo>
                                <a:lnTo>
                                  <a:pt x="2731187" y="645242"/>
                                </a:lnTo>
                                <a:lnTo>
                                  <a:pt x="2803039" y="646888"/>
                                </a:lnTo>
                              </a:path>
                              <a:path w="2803525" h="1073785">
                                <a:moveTo>
                                  <a:pt x="1559485" y="1017797"/>
                                </a:moveTo>
                                <a:lnTo>
                                  <a:pt x="1629843" y="1035802"/>
                                </a:lnTo>
                                <a:lnTo>
                                  <a:pt x="1678672" y="1067669"/>
                                </a:lnTo>
                                <a:lnTo>
                                  <a:pt x="1729403" y="1070805"/>
                                </a:lnTo>
                                <a:lnTo>
                                  <a:pt x="1784888" y="1073288"/>
                                </a:lnTo>
                                <a:lnTo>
                                  <a:pt x="1815109" y="1067669"/>
                                </a:lnTo>
                                <a:lnTo>
                                  <a:pt x="1870594" y="1050494"/>
                                </a:lnTo>
                                <a:lnTo>
                                  <a:pt x="1886893" y="1021103"/>
                                </a:lnTo>
                                <a:lnTo>
                                  <a:pt x="1908218" y="997323"/>
                                </a:lnTo>
                                <a:lnTo>
                                  <a:pt x="1917115" y="973706"/>
                                </a:lnTo>
                                <a:lnTo>
                                  <a:pt x="1926894" y="983446"/>
                                </a:lnTo>
                                <a:lnTo>
                                  <a:pt x="1935927" y="1014498"/>
                                </a:lnTo>
                                <a:lnTo>
                                  <a:pt x="1947336" y="1024402"/>
                                </a:lnTo>
                                <a:lnTo>
                                  <a:pt x="1961190" y="1014498"/>
                                </a:lnTo>
                                <a:lnTo>
                                  <a:pt x="1973415" y="1003098"/>
                                </a:lnTo>
                                <a:lnTo>
                                  <a:pt x="1984960" y="1000622"/>
                                </a:lnTo>
                                <a:lnTo>
                                  <a:pt x="1991411" y="1021103"/>
                                </a:lnTo>
                                <a:lnTo>
                                  <a:pt x="2025775" y="1025061"/>
                                </a:lnTo>
                                <a:lnTo>
                                  <a:pt x="2068221" y="1025891"/>
                                </a:lnTo>
                                <a:lnTo>
                                  <a:pt x="2103400" y="1025891"/>
                                </a:lnTo>
                                <a:lnTo>
                                  <a:pt x="2279770" y="1024402"/>
                                </a:lnTo>
                                <a:lnTo>
                                  <a:pt x="2351554" y="1021103"/>
                                </a:lnTo>
                                <a:lnTo>
                                  <a:pt x="2379330" y="1003098"/>
                                </a:lnTo>
                                <a:lnTo>
                                  <a:pt x="2398142" y="983446"/>
                                </a:lnTo>
                                <a:lnTo>
                                  <a:pt x="2411996" y="977005"/>
                                </a:lnTo>
                                <a:lnTo>
                                  <a:pt x="2418448" y="977005"/>
                                </a:lnTo>
                                <a:lnTo>
                                  <a:pt x="2439773" y="991704"/>
                                </a:lnTo>
                                <a:lnTo>
                                  <a:pt x="2456072" y="1009539"/>
                                </a:lnTo>
                                <a:lnTo>
                                  <a:pt x="2482151" y="1021103"/>
                                </a:lnTo>
                                <a:lnTo>
                                  <a:pt x="2509112" y="1014498"/>
                                </a:lnTo>
                                <a:lnTo>
                                  <a:pt x="2531252" y="1000622"/>
                                </a:lnTo>
                                <a:lnTo>
                                  <a:pt x="2544291" y="988405"/>
                                </a:lnTo>
                                <a:lnTo>
                                  <a:pt x="2558145" y="973706"/>
                                </a:lnTo>
                                <a:lnTo>
                                  <a:pt x="2581779" y="973706"/>
                                </a:lnTo>
                                <a:lnTo>
                                  <a:pt x="2737775" y="973706"/>
                                </a:lnTo>
                              </a:path>
                              <a:path w="2803525" h="1073785">
                                <a:moveTo>
                                  <a:pt x="0" y="985922"/>
                                </a:moveTo>
                                <a:lnTo>
                                  <a:pt x="132294" y="987575"/>
                                </a:lnTo>
                              </a:path>
                              <a:path w="2803525" h="1073785">
                                <a:moveTo>
                                  <a:pt x="382146" y="985922"/>
                                </a:moveTo>
                                <a:lnTo>
                                  <a:pt x="515187" y="987575"/>
                                </a:lnTo>
                              </a:path>
                              <a:path w="2803525" h="1073785">
                                <a:moveTo>
                                  <a:pt x="769997" y="985922"/>
                                </a:moveTo>
                                <a:lnTo>
                                  <a:pt x="902291" y="987575"/>
                                </a:lnTo>
                              </a:path>
                              <a:path w="2803525" h="1073785">
                                <a:moveTo>
                                  <a:pt x="1149630" y="985922"/>
                                </a:moveTo>
                                <a:lnTo>
                                  <a:pt x="1284370" y="987575"/>
                                </a:lnTo>
                              </a:path>
                              <a:path w="2803525" h="1073785">
                                <a:moveTo>
                                  <a:pt x="189409" y="1070145"/>
                                </a:moveTo>
                                <a:lnTo>
                                  <a:pt x="323333" y="1071635"/>
                                </a:lnTo>
                              </a:path>
                              <a:path w="2803525" h="1073785">
                                <a:moveTo>
                                  <a:pt x="574815" y="1070145"/>
                                </a:moveTo>
                                <a:lnTo>
                                  <a:pt x="708739" y="1071635"/>
                                </a:lnTo>
                              </a:path>
                              <a:path w="2803525" h="1073785">
                                <a:moveTo>
                                  <a:pt x="962734" y="1070145"/>
                                </a:moveTo>
                                <a:lnTo>
                                  <a:pt x="1096590" y="1071635"/>
                                </a:lnTo>
                              </a:path>
                              <a:path w="2803525" h="1073785">
                                <a:moveTo>
                                  <a:pt x="86589" y="639623"/>
                                </a:moveTo>
                                <a:lnTo>
                                  <a:pt x="328970" y="641276"/>
                                </a:lnTo>
                              </a:path>
                              <a:path w="2803525" h="1073785">
                                <a:moveTo>
                                  <a:pt x="382961" y="639623"/>
                                </a:moveTo>
                                <a:lnTo>
                                  <a:pt x="627855" y="641276"/>
                                </a:lnTo>
                              </a:path>
                              <a:path w="2803525" h="1073785">
                                <a:moveTo>
                                  <a:pt x="681031" y="639623"/>
                                </a:moveTo>
                                <a:lnTo>
                                  <a:pt x="923412" y="641276"/>
                                </a:lnTo>
                              </a:path>
                              <a:path w="2803525" h="1073785">
                                <a:moveTo>
                                  <a:pt x="977403" y="641276"/>
                                </a:moveTo>
                                <a:lnTo>
                                  <a:pt x="1222297" y="642099"/>
                                </a:lnTo>
                              </a:path>
                              <a:path w="2803525" h="1073785">
                                <a:moveTo>
                                  <a:pt x="0" y="542354"/>
                                </a:moveTo>
                                <a:lnTo>
                                  <a:pt x="181191" y="544007"/>
                                </a:lnTo>
                              </a:path>
                              <a:path w="2803525" h="1073785">
                                <a:moveTo>
                                  <a:pt x="290667" y="542354"/>
                                </a:moveTo>
                                <a:lnTo>
                                  <a:pt x="497190" y="544007"/>
                                </a:lnTo>
                              </a:path>
                              <a:path w="2803525" h="1073785">
                                <a:moveTo>
                                  <a:pt x="580452" y="542354"/>
                                </a:moveTo>
                                <a:lnTo>
                                  <a:pt x="783036" y="544007"/>
                                </a:lnTo>
                              </a:path>
                              <a:path w="2803525" h="1073785">
                                <a:moveTo>
                                  <a:pt x="867927" y="542354"/>
                                </a:moveTo>
                                <a:lnTo>
                                  <a:pt x="1075333" y="544007"/>
                                </a:lnTo>
                              </a:path>
                              <a:path w="2803525" h="1073785">
                                <a:moveTo>
                                  <a:pt x="1157712" y="542354"/>
                                </a:moveTo>
                                <a:lnTo>
                                  <a:pt x="1332588" y="544007"/>
                                </a:lnTo>
                              </a:path>
                              <a:path w="2803525" h="1073785">
                                <a:moveTo>
                                  <a:pt x="867927" y="79992"/>
                                </a:moveTo>
                                <a:lnTo>
                                  <a:pt x="1009933" y="81624"/>
                                </a:lnTo>
                              </a:path>
                              <a:path w="2803525" h="1073785">
                                <a:moveTo>
                                  <a:pt x="1009933" y="177261"/>
                                </a:moveTo>
                                <a:lnTo>
                                  <a:pt x="1151260" y="178893"/>
                                </a:lnTo>
                              </a:path>
                            </a:pathLst>
                          </a:custGeom>
                          <a:ln w="3305">
                            <a:solidFill>
                              <a:srgbClr val="000000"/>
                            </a:solidFill>
                            <a:prstDash val="solid"/>
                          </a:ln>
                        </wps:spPr>
                        <wps:bodyPr wrap="square" lIns="0" tIns="0" rIns="0" bIns="0" rtlCol="0">
                          <a:prstTxWarp prst="textNoShape">
                            <a:avLst/>
                          </a:prstTxWarp>
                          <a:noAutofit/>
                        </wps:bodyPr>
                      </wps:wsp>
                      <wps:wsp>
                        <wps:cNvPr id="2213" name="Graphic 2213"/>
                        <wps:cNvSpPr/>
                        <wps:spPr>
                          <a:xfrm>
                            <a:off x="2480" y="2480"/>
                            <a:ext cx="3820160" cy="1544955"/>
                          </a:xfrm>
                          <a:custGeom>
                            <a:avLst/>
                            <a:gdLst/>
                            <a:ahLst/>
                            <a:cxnLst/>
                            <a:rect l="l" t="t" r="r" b="b"/>
                            <a:pathLst>
                              <a:path w="3820160" h="1544955">
                                <a:moveTo>
                                  <a:pt x="0" y="1544745"/>
                                </a:moveTo>
                                <a:lnTo>
                                  <a:pt x="3819629" y="1544745"/>
                                </a:lnTo>
                                <a:lnTo>
                                  <a:pt x="3819629" y="0"/>
                                </a:lnTo>
                                <a:lnTo>
                                  <a:pt x="0" y="0"/>
                                </a:lnTo>
                                <a:lnTo>
                                  <a:pt x="0" y="1544745"/>
                                </a:lnTo>
                                <a:close/>
                              </a:path>
                            </a:pathLst>
                          </a:custGeom>
                          <a:ln w="4960">
                            <a:solidFill>
                              <a:srgbClr val="000000"/>
                            </a:solidFill>
                            <a:prstDash val="solid"/>
                          </a:ln>
                        </wps:spPr>
                        <wps:bodyPr wrap="square" lIns="0" tIns="0" rIns="0" bIns="0" rtlCol="0">
                          <a:prstTxWarp prst="textNoShape">
                            <a:avLst/>
                          </a:prstTxWarp>
                          <a:noAutofit/>
                        </wps:bodyPr>
                      </wps:wsp>
                      <wps:wsp>
                        <wps:cNvPr id="2214" name="Textbox 2214"/>
                        <wps:cNvSpPr txBox="1"/>
                        <wps:spPr>
                          <a:xfrm>
                            <a:off x="130613" y="65276"/>
                            <a:ext cx="453390" cy="90805"/>
                          </a:xfrm>
                          <a:prstGeom prst="rect">
                            <a:avLst/>
                          </a:prstGeom>
                        </wps:spPr>
                        <wps:txbx>
                          <w:txbxContent>
                            <w:p w14:paraId="4419E53C" w14:textId="77777777" w:rsidR="00E17A2B" w:rsidRPr="0046492B" w:rsidRDefault="00E17A2B" w:rsidP="004F0929">
                              <w:pPr>
                                <w:spacing w:line="142" w:lineRule="exact"/>
                                <w:rPr>
                                  <w:b/>
                                  <w:sz w:val="16"/>
                                  <w:szCs w:val="16"/>
                                </w:rPr>
                              </w:pPr>
                              <w:r w:rsidRPr="0046492B">
                                <w:rPr>
                                  <w:b/>
                                  <w:spacing w:val="-2"/>
                                  <w:sz w:val="16"/>
                                  <w:szCs w:val="16"/>
                                </w:rPr>
                                <w:t>Sprachraum</w:t>
                              </w:r>
                            </w:p>
                          </w:txbxContent>
                        </wps:txbx>
                        <wps:bodyPr wrap="square" lIns="0" tIns="0" rIns="0" bIns="0" rtlCol="0">
                          <a:noAutofit/>
                        </wps:bodyPr>
                      </wps:wsp>
                      <wps:wsp>
                        <wps:cNvPr id="2215" name="Textbox 2215"/>
                        <wps:cNvSpPr txBox="1"/>
                        <wps:spPr>
                          <a:xfrm>
                            <a:off x="885045" y="65276"/>
                            <a:ext cx="499109" cy="90805"/>
                          </a:xfrm>
                          <a:prstGeom prst="rect">
                            <a:avLst/>
                          </a:prstGeom>
                        </wps:spPr>
                        <wps:txbx>
                          <w:txbxContent>
                            <w:p w14:paraId="23BFCBBB" w14:textId="77777777" w:rsidR="00E17A2B" w:rsidRPr="0046492B" w:rsidRDefault="00E17A2B" w:rsidP="004F0929">
                              <w:pPr>
                                <w:spacing w:line="142" w:lineRule="exact"/>
                                <w:rPr>
                                  <w:b/>
                                  <w:sz w:val="16"/>
                                  <w:szCs w:val="16"/>
                                </w:rPr>
                              </w:pPr>
                              <w:r w:rsidRPr="0046492B">
                                <w:rPr>
                                  <w:b/>
                                  <w:spacing w:val="-2"/>
                                  <w:sz w:val="16"/>
                                  <w:szCs w:val="16"/>
                                </w:rPr>
                                <w:t>Sprecherfolge</w:t>
                              </w:r>
                            </w:p>
                          </w:txbxContent>
                        </wps:txbx>
                        <wps:bodyPr wrap="square" lIns="0" tIns="0" rIns="0" bIns="0" rtlCol="0">
                          <a:noAutofit/>
                        </wps:bodyPr>
                      </wps:wsp>
                      <wps:wsp>
                        <wps:cNvPr id="2216" name="Textbox 2216"/>
                        <wps:cNvSpPr txBox="1"/>
                        <wps:spPr>
                          <a:xfrm>
                            <a:off x="2902739" y="65276"/>
                            <a:ext cx="384810" cy="90805"/>
                          </a:xfrm>
                          <a:prstGeom prst="rect">
                            <a:avLst/>
                          </a:prstGeom>
                        </wps:spPr>
                        <wps:txbx>
                          <w:txbxContent>
                            <w:p w14:paraId="264B895E" w14:textId="77777777" w:rsidR="00E17A2B" w:rsidRPr="0046492B" w:rsidRDefault="00E17A2B" w:rsidP="004F0929">
                              <w:pPr>
                                <w:spacing w:line="142" w:lineRule="exact"/>
                                <w:rPr>
                                  <w:b/>
                                  <w:sz w:val="16"/>
                                  <w:szCs w:val="16"/>
                                </w:rPr>
                              </w:pPr>
                              <w:r w:rsidRPr="0046492B">
                                <w:rPr>
                                  <w:b/>
                                  <w:spacing w:val="-2"/>
                                  <w:sz w:val="16"/>
                                  <w:szCs w:val="16"/>
                                </w:rPr>
                                <w:t>Stimmlage</w:t>
                              </w:r>
                            </w:p>
                          </w:txbxContent>
                        </wps:txbx>
                        <wps:bodyPr wrap="square" lIns="0" tIns="0" rIns="0" bIns="0" rtlCol="0">
                          <a:noAutofit/>
                        </wps:bodyPr>
                      </wps:wsp>
                      <wps:wsp>
                        <wps:cNvPr id="2217" name="Textbox 2217"/>
                        <wps:cNvSpPr txBox="1"/>
                        <wps:spPr>
                          <a:xfrm>
                            <a:off x="90653" y="428777"/>
                            <a:ext cx="521334" cy="90805"/>
                          </a:xfrm>
                          <a:prstGeom prst="rect">
                            <a:avLst/>
                          </a:prstGeom>
                        </wps:spPr>
                        <wps:txbx>
                          <w:txbxContent>
                            <w:p w14:paraId="7C348A42" w14:textId="77777777" w:rsidR="00E17A2B" w:rsidRPr="0046492B" w:rsidRDefault="00E17A2B" w:rsidP="004F0929">
                              <w:pPr>
                                <w:spacing w:line="142" w:lineRule="exact"/>
                                <w:rPr>
                                  <w:sz w:val="16"/>
                                  <w:szCs w:val="16"/>
                                </w:rPr>
                              </w:pPr>
                              <w:r w:rsidRPr="0046492B">
                                <w:rPr>
                                  <w:spacing w:val="-2"/>
                                  <w:sz w:val="16"/>
                                  <w:szCs w:val="16"/>
                                </w:rPr>
                                <w:t>Angelsächsisch</w:t>
                              </w:r>
                            </w:p>
                          </w:txbxContent>
                        </wps:txbx>
                        <wps:bodyPr wrap="square" lIns="0" tIns="0" rIns="0" bIns="0" rtlCol="0">
                          <a:noAutofit/>
                        </wps:bodyPr>
                      </wps:wsp>
                      <wps:wsp>
                        <wps:cNvPr id="2218" name="Textbox 2218"/>
                        <wps:cNvSpPr txBox="1"/>
                        <wps:spPr>
                          <a:xfrm>
                            <a:off x="826300" y="390414"/>
                            <a:ext cx="71755" cy="194310"/>
                          </a:xfrm>
                          <a:prstGeom prst="rect">
                            <a:avLst/>
                          </a:prstGeom>
                        </wps:spPr>
                        <wps:txbx>
                          <w:txbxContent>
                            <w:p w14:paraId="1A2309B5" w14:textId="77777777" w:rsidR="00E17A2B" w:rsidRPr="0046492B" w:rsidRDefault="00E17A2B" w:rsidP="004F0929">
                              <w:pPr>
                                <w:spacing w:line="261" w:lineRule="auto"/>
                                <w:ind w:left="1" w:right="10" w:hanging="2"/>
                                <w:rPr>
                                  <w:sz w:val="16"/>
                                  <w:szCs w:val="16"/>
                                </w:rPr>
                              </w:pPr>
                              <w:r w:rsidRPr="0046492B">
                                <w:rPr>
                                  <w:spacing w:val="-10"/>
                                  <w:sz w:val="16"/>
                                  <w:szCs w:val="16"/>
                                </w:rPr>
                                <w:t>A</w:t>
                              </w:r>
                              <w:r w:rsidRPr="0046492B">
                                <w:rPr>
                                  <w:spacing w:val="40"/>
                                  <w:sz w:val="16"/>
                                  <w:szCs w:val="16"/>
                                </w:rPr>
                                <w:t xml:space="preserve"> </w:t>
                              </w:r>
                              <w:r w:rsidRPr="0046492B">
                                <w:rPr>
                                  <w:spacing w:val="-12"/>
                                  <w:sz w:val="16"/>
                                  <w:szCs w:val="16"/>
                                </w:rPr>
                                <w:t>B</w:t>
                              </w:r>
                            </w:p>
                          </w:txbxContent>
                        </wps:txbx>
                        <wps:bodyPr wrap="square" lIns="0" tIns="0" rIns="0" bIns="0" rtlCol="0">
                          <a:noAutofit/>
                        </wps:bodyPr>
                      </wps:wsp>
                      <wps:wsp>
                        <wps:cNvPr id="2219" name="Textbox 2219"/>
                        <wps:cNvSpPr txBox="1"/>
                        <wps:spPr>
                          <a:xfrm>
                            <a:off x="84874" y="860918"/>
                            <a:ext cx="354330" cy="90805"/>
                          </a:xfrm>
                          <a:prstGeom prst="rect">
                            <a:avLst/>
                          </a:prstGeom>
                        </wps:spPr>
                        <wps:txbx>
                          <w:txbxContent>
                            <w:p w14:paraId="7CA479FD" w14:textId="77777777" w:rsidR="00E17A2B" w:rsidRPr="0046492B" w:rsidRDefault="00E17A2B" w:rsidP="004F0929">
                              <w:pPr>
                                <w:spacing w:line="142" w:lineRule="exact"/>
                                <w:rPr>
                                  <w:sz w:val="16"/>
                                  <w:szCs w:val="16"/>
                                </w:rPr>
                              </w:pPr>
                              <w:r w:rsidRPr="0046492B">
                                <w:rPr>
                                  <w:spacing w:val="-2"/>
                                  <w:sz w:val="16"/>
                                  <w:szCs w:val="16"/>
                                </w:rPr>
                                <w:t>Lateinisch</w:t>
                              </w:r>
                            </w:p>
                          </w:txbxContent>
                        </wps:txbx>
                        <wps:bodyPr wrap="square" lIns="0" tIns="0" rIns="0" bIns="0" rtlCol="0">
                          <a:noAutofit/>
                        </wps:bodyPr>
                      </wps:wsp>
                      <wps:wsp>
                        <wps:cNvPr id="2220" name="Textbox 2220"/>
                        <wps:cNvSpPr txBox="1"/>
                        <wps:spPr>
                          <a:xfrm>
                            <a:off x="826300" y="853490"/>
                            <a:ext cx="71755" cy="195580"/>
                          </a:xfrm>
                          <a:prstGeom prst="rect">
                            <a:avLst/>
                          </a:prstGeom>
                        </wps:spPr>
                        <wps:txbx>
                          <w:txbxContent>
                            <w:p w14:paraId="1D3A07E8" w14:textId="77777777" w:rsidR="00E17A2B" w:rsidRPr="0046492B" w:rsidRDefault="00E17A2B" w:rsidP="004F0929">
                              <w:pPr>
                                <w:spacing w:line="264" w:lineRule="auto"/>
                                <w:ind w:left="1" w:right="10" w:hanging="2"/>
                                <w:rPr>
                                  <w:sz w:val="16"/>
                                  <w:szCs w:val="16"/>
                                </w:rPr>
                              </w:pPr>
                              <w:r w:rsidRPr="0046492B">
                                <w:rPr>
                                  <w:spacing w:val="-10"/>
                                  <w:sz w:val="16"/>
                                  <w:szCs w:val="16"/>
                                </w:rPr>
                                <w:t>A</w:t>
                              </w:r>
                              <w:r w:rsidRPr="0046492B">
                                <w:rPr>
                                  <w:spacing w:val="40"/>
                                  <w:sz w:val="16"/>
                                  <w:szCs w:val="16"/>
                                </w:rPr>
                                <w:t xml:space="preserve"> </w:t>
                              </w:r>
                              <w:r w:rsidRPr="0046492B">
                                <w:rPr>
                                  <w:spacing w:val="-12"/>
                                  <w:sz w:val="16"/>
                                  <w:szCs w:val="16"/>
                                </w:rPr>
                                <w:t>B</w:t>
                              </w:r>
                            </w:p>
                          </w:txbxContent>
                        </wps:txbx>
                        <wps:bodyPr wrap="square" lIns="0" tIns="0" rIns="0" bIns="0" rtlCol="0">
                          <a:noAutofit/>
                        </wps:bodyPr>
                      </wps:wsp>
                      <wps:wsp>
                        <wps:cNvPr id="2221" name="Textbox 2221"/>
                        <wps:cNvSpPr txBox="1"/>
                        <wps:spPr>
                          <a:xfrm>
                            <a:off x="88181" y="1323315"/>
                            <a:ext cx="413384" cy="90805"/>
                          </a:xfrm>
                          <a:prstGeom prst="rect">
                            <a:avLst/>
                          </a:prstGeom>
                        </wps:spPr>
                        <wps:txbx>
                          <w:txbxContent>
                            <w:p w14:paraId="0D28177C" w14:textId="77777777" w:rsidR="00E17A2B" w:rsidRPr="0046492B" w:rsidRDefault="00E17A2B" w:rsidP="004F0929">
                              <w:pPr>
                                <w:spacing w:line="142" w:lineRule="exact"/>
                                <w:rPr>
                                  <w:sz w:val="16"/>
                                  <w:szCs w:val="16"/>
                                </w:rPr>
                              </w:pPr>
                              <w:r w:rsidRPr="0046492B">
                                <w:rPr>
                                  <w:spacing w:val="-2"/>
                                  <w:sz w:val="16"/>
                                  <w:szCs w:val="16"/>
                                </w:rPr>
                                <w:t>Orientalisch</w:t>
                              </w:r>
                            </w:p>
                          </w:txbxContent>
                        </wps:txbx>
                        <wps:bodyPr wrap="square" lIns="0" tIns="0" rIns="0" bIns="0" rtlCol="0">
                          <a:noAutofit/>
                        </wps:bodyPr>
                      </wps:wsp>
                      <wps:wsp>
                        <wps:cNvPr id="2222" name="Textbox 2222"/>
                        <wps:cNvSpPr txBox="1"/>
                        <wps:spPr>
                          <a:xfrm>
                            <a:off x="826300" y="1302840"/>
                            <a:ext cx="71755" cy="193675"/>
                          </a:xfrm>
                          <a:prstGeom prst="rect">
                            <a:avLst/>
                          </a:prstGeom>
                        </wps:spPr>
                        <wps:txbx>
                          <w:txbxContent>
                            <w:p w14:paraId="2FE28605" w14:textId="77777777" w:rsidR="00E17A2B" w:rsidRPr="0046492B" w:rsidRDefault="00E17A2B" w:rsidP="004F0929">
                              <w:pPr>
                                <w:spacing w:line="259" w:lineRule="auto"/>
                                <w:ind w:left="1" w:right="10" w:hanging="2"/>
                                <w:rPr>
                                  <w:sz w:val="16"/>
                                  <w:szCs w:val="16"/>
                                </w:rPr>
                              </w:pPr>
                              <w:r w:rsidRPr="0046492B">
                                <w:rPr>
                                  <w:spacing w:val="-10"/>
                                  <w:sz w:val="16"/>
                                  <w:szCs w:val="16"/>
                                </w:rPr>
                                <w:t>A</w:t>
                              </w:r>
                              <w:r w:rsidRPr="0046492B">
                                <w:rPr>
                                  <w:spacing w:val="40"/>
                                  <w:sz w:val="16"/>
                                  <w:szCs w:val="16"/>
                                </w:rPr>
                                <w:t xml:space="preserve"> </w:t>
                              </w:r>
                              <w:r w:rsidRPr="0046492B">
                                <w:rPr>
                                  <w:spacing w:val="-12"/>
                                  <w:sz w:val="16"/>
                                  <w:szCs w:val="16"/>
                                </w:rPr>
                                <w:t>B</w:t>
                              </w:r>
                            </w:p>
                          </w:txbxContent>
                        </wps:txbx>
                        <wps:bodyPr wrap="square" lIns="0" tIns="0" rIns="0" bIns="0" rtlCol="0">
                          <a:noAutofit/>
                        </wps:bodyPr>
                      </wps:wsp>
                    </wpg:wgp>
                  </a:graphicData>
                </a:graphic>
              </wp:inline>
            </w:drawing>
          </mc:Choice>
          <mc:Fallback>
            <w:pict>
              <v:group w14:anchorId="40ECC922" id="Group 2209" o:spid="_x0000_s1091" style="width:444.75pt;height:180.3pt;mso-position-horizontal-relative:char;mso-position-vertical-relative:line" coordsize="38246,15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">
                <v:shape id="Graphic 2210" o:spid="_x0000_s1092" style="position:absolute;left:9088;top:3586;width:28035;height:10738;visibility:visible;mso-wrap-style:square;v-text-anchor:top" coordsize="2803525,1073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" path="m,79992r141191,1632em288969,79992r142889,1632em579637,79992r142142,1632em146148,174744r142006,816em423709,174744r139696,816em704597,174744r142006,816em1558670,165833r133042,l1730218,142911r20306,-35847l1773479,r14669,92371l1802002,132299r14737,33534l1834736,176377r22751,-17958l1879627,136449r23633,-22991l1917930,102914r8964,-816l1941563,117607r19627,33534l1981700,161684r14669,33534l2010223,217189r23634,40132l2042957,207462r11410,-38296l2085403,146992r47403,4149l2204590,158419r32734,3265l2280585,161684r31715,-18773l2335187,124885r5840,-26120l2358006,69380r9100,-33534l2384288,76795r20306,40812l2421776,151141r12156,18025l2448669,169166r18812,-16392l2476378,139578r17182,-1497l2549860,139578em1559485,632195r78439,-118437l1659860,690156r48219,-71837l1726075,563658r17997,-46567l1756297,471313r31036,175575l1797112,713936r25400,34350l1837181,678762r16231,-66224l1882751,548959r21324,69360l1910663,718894r17046,-40955l1940069,672321r34160,-48220l1987337,710637r57250,-153584l2069851,511309r20306,-17209l2085403,618319r,109493l2087848,791554r39118,-118403l2152229,588928r34364,-62919l2207103,502399r6452,63735l2229039,597845r18812,-48886l2256815,615020r29339,-34187l2293624,643589r38303,-57144l2347411,554577r29407,-45716l2399772,476959r43261,-43261l2451929,398532r-1630,110329l2450299,588928r9101,20474l2493560,588928r13854,35996l2516515,624924r24448,-38479l2549860,616666r7470,7435l2590811,618319r27777,-14699l2700966,597845r16367,8258l2718963,630543r12224,14699l2803039,646888em1559485,1017797r70358,18005l1678672,1067669r50731,3136l1784888,1073288r30221,-5619l1870594,1050494r16299,-29391l1908218,997323r8897,-23617l1926894,983446r9033,31052l1947336,1024402r13854,-9904l1973415,1003098r11545,-2476l1991411,1021103r34364,3958l2068221,1025891r35179,l2279770,1024402r71784,-3299l2379330,1003098r18812,-19652l2411996,977005r6452,l2439773,991704r16299,17835l2482151,1021103r26961,-6605l2531252,1000622r13039,-12217l2558145,973706r23634,l2737775,973706em,985922r132294,1653em382146,985922r133041,1653em769997,985922r132294,1653em1149630,985922r134740,1653em189409,1070145r133924,1490em574815,1070145r133924,1490em962734,1070145r133856,1490em86589,639623r242381,1653em382961,639623r244894,1653em681031,639623r242381,1653em977403,641276r244894,823em,542354r181191,1653em290667,542354r206523,1653em580452,542354r202584,1653em867927,542354r207406,1653em1157712,542354r174876,1653em867927,79992r142006,1632em1009933,177261r141327,1632e" filled="f" strokeweight=".09181mm">
                  <v:path arrowok="t"/>
                </v:shape>
                <v:shape id="Graphic 2211" o:spid="_x0000_s1093" style="position:absolute;left:24;top:24;width:38202;height:15450;visibility:visible;mso-wrap-style:square;v-text-anchor:top" coordsize="3820160,1544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" path="m,1544745r3819629,l3819629,,,,,1544745xe" filled="f" strokeweight=".1378mm">
                  <v:path arrowok="t"/>
                </v:shape>
                <v:shape id="Graphic 2212" o:spid="_x0000_s1094" style="position:absolute;left:9088;top:3586;width:28035;height:10738;visibility:visible;mso-wrap-style:square;v-text-anchor:top" coordsize="2803525,1073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" path="m,79992r141191,1632em288969,79992r142889,1632em579637,79992r142142,1632em146148,174744r142006,816em423709,174744r139696,816em704597,174744r142006,816em1558670,165833r133042,l1730218,142911r20306,-35847l1773479,r14669,92371l1802002,132299r14737,33534l1834736,176377r22751,-17958l1879627,136449r23633,-22991l1917930,102914r8964,-816l1941563,117607r19627,33534l1981700,161684r14669,33534l2010223,217189r23634,40132l2042957,207462r11410,-38296l2085403,146992r47403,4149l2204590,158419r32734,3265l2280585,161684r31715,-18773l2335187,124885r5840,-26120l2358006,69380r9100,-33534l2384288,76795r20306,40812l2421776,151141r12156,18025l2448669,169166r18812,-16392l2476378,139578r17182,-1497l2549860,139578em1559485,632195r78439,-118437l1659860,690156r48219,-71837l1726075,563658r17997,-46567l1756297,471313r31036,175575l1797112,713936r25400,34350l1837181,678762r16231,-66224l1882751,548959r21324,69360l1910663,718894r17046,-40955l1940069,672321r34160,-48220l1987337,710637r57250,-153584l2069851,511309r20306,-17209l2085403,618319r,109493l2087848,791554r39118,-118403l2152229,588928r34364,-62919l2207103,502399r6452,63735l2229039,597845r18812,-48886l2256815,615020r29339,-34187l2293624,643589r38303,-57144l2347411,554577r29407,-45716l2399772,476959r43261,-43261l2451929,398532r-1630,110329l2450299,588928r9101,20474l2493560,588928r13854,35996l2516515,624924r24448,-38479l2549860,616666r7470,7435l2590811,618319r27777,-14699l2700966,597845r16367,8258l2718963,630543r12224,14699l2803039,646888em1559485,1017797r70358,18005l1678672,1067669r50731,3136l1784888,1073288r30221,-5619l1870594,1050494r16299,-29391l1908218,997323r8897,-23617l1926894,983446r9033,31052l1947336,1024402r13854,-9904l1973415,1003098r11545,-2476l1991411,1021103r34364,3958l2068221,1025891r35179,l2279770,1024402r71784,-3299l2379330,1003098r18812,-19652l2411996,977005r6452,l2439773,991704r16299,17835l2482151,1021103r26961,-6605l2531252,1000622r13039,-12217l2558145,973706r23634,l2737775,973706em,985922r132294,1653em382146,985922r133041,1653em769997,985922r132294,1653em1149630,985922r134740,1653em189409,1070145r133924,1490em574815,1070145r133924,1490em962734,1070145r133856,1490em86589,639623r242381,1653em382961,639623r244894,1653em681031,639623r242381,1653em977403,641276r244894,823em,542354r181191,1653em290667,542354r206523,1653em580452,542354r202584,1653em867927,542354r207406,1653em1157712,542354r174876,1653em867927,79992r142006,1632em1009933,177261r141327,1632e" filled="f" strokeweight=".09181mm">
                  <v:path arrowok="t"/>
                </v:shape>
                <v:shape id="Graphic 2213" o:spid="_x0000_s1095" style="position:absolute;left:24;top:24;width:38202;height:15450;visibility:visible;mso-wrap-style:square;v-text-anchor:top" coordsize="3820160,1544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" path="m,1544745r3819629,l3819629,,,,,1544745xe" filled="f" strokeweight=".1378mm">
                  <v:path arrowok="t"/>
                </v:shape>
                <v:shape id="Textbox 2214" o:spid="_x0000_s1096" type="#_x0000_t202" style="position:absolute;left:1306;top:652;width:4534;height: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" filled="f" stroked="f">
                  <v:textbox inset="0,0,0,0">
                    <w:txbxContent>
                      <w:p w14:paraId="4419E53C" w14:textId="77777777" w:rsidR="00E17A2B" w:rsidRPr="0046492B" w:rsidRDefault="00E17A2B" w:rsidP="004F0929">
                        <w:pPr>
                          <w:spacing w:line="142" w:lineRule="exact"/>
                          <w:rPr>
                            <w:b/>
                            <w:sz w:val="16"/>
                            <w:szCs w:val="16"/>
                          </w:rPr>
                        </w:pPr>
                        <w:r w:rsidRPr="0046492B">
                          <w:rPr>
                            <w:b/>
                            <w:spacing w:val="-2"/>
                            <w:sz w:val="16"/>
                            <w:szCs w:val="16"/>
                          </w:rPr>
                          <w:t>Sprachraum</w:t>
                        </w:r>
                      </w:p>
                    </w:txbxContent>
                  </v:textbox>
                </v:shape>
                <v:shape id="Textbox 2215" o:spid="_x0000_s1097" type="#_x0000_t202" style="position:absolute;left:8850;top:652;width:4991;height: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" filled="f" stroked="f">
                  <v:textbox inset="0,0,0,0">
                    <w:txbxContent>
                      <w:p w14:paraId="23BFCBBB" w14:textId="77777777" w:rsidR="00E17A2B" w:rsidRPr="0046492B" w:rsidRDefault="00E17A2B" w:rsidP="004F0929">
                        <w:pPr>
                          <w:spacing w:line="142" w:lineRule="exact"/>
                          <w:rPr>
                            <w:b/>
                            <w:sz w:val="16"/>
                            <w:szCs w:val="16"/>
                          </w:rPr>
                        </w:pPr>
                        <w:r w:rsidRPr="0046492B">
                          <w:rPr>
                            <w:b/>
                            <w:spacing w:val="-2"/>
                            <w:sz w:val="16"/>
                            <w:szCs w:val="16"/>
                          </w:rPr>
                          <w:t>Sprecherfolge</w:t>
                        </w:r>
                      </w:p>
                    </w:txbxContent>
                  </v:textbox>
                </v:shape>
                <v:shape id="Textbox 2216" o:spid="_x0000_s1098" type="#_x0000_t202" style="position:absolute;left:29027;top:652;width:3848;height: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" filled="f" stroked="f">
                  <v:textbox inset="0,0,0,0">
                    <w:txbxContent>
                      <w:p w14:paraId="264B895E" w14:textId="77777777" w:rsidR="00E17A2B" w:rsidRPr="0046492B" w:rsidRDefault="00E17A2B" w:rsidP="004F0929">
                        <w:pPr>
                          <w:spacing w:line="142" w:lineRule="exact"/>
                          <w:rPr>
                            <w:b/>
                            <w:sz w:val="16"/>
                            <w:szCs w:val="16"/>
                          </w:rPr>
                        </w:pPr>
                        <w:r w:rsidRPr="0046492B">
                          <w:rPr>
                            <w:b/>
                            <w:spacing w:val="-2"/>
                            <w:sz w:val="16"/>
                            <w:szCs w:val="16"/>
                          </w:rPr>
                          <w:t>Stimmlage</w:t>
                        </w:r>
                      </w:p>
                    </w:txbxContent>
                  </v:textbox>
                </v:shape>
                <v:shape id="Textbox 2217" o:spid="_x0000_s1099" type="#_x0000_t202" style="position:absolute;left:906;top:4287;width:5213;height: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" filled="f" stroked="f">
                  <v:textbox inset="0,0,0,0">
                    <w:txbxContent>
                      <w:p w14:paraId="7C348A42" w14:textId="77777777" w:rsidR="00E17A2B" w:rsidRPr="0046492B" w:rsidRDefault="00E17A2B" w:rsidP="004F0929">
                        <w:pPr>
                          <w:spacing w:line="142" w:lineRule="exact"/>
                          <w:rPr>
                            <w:sz w:val="16"/>
                            <w:szCs w:val="16"/>
                          </w:rPr>
                        </w:pPr>
                        <w:r w:rsidRPr="0046492B">
                          <w:rPr>
                            <w:spacing w:val="-2"/>
                            <w:sz w:val="16"/>
                            <w:szCs w:val="16"/>
                          </w:rPr>
                          <w:t>Angelsächsisch</w:t>
                        </w:r>
                      </w:p>
                    </w:txbxContent>
                  </v:textbox>
                </v:shape>
                <v:shape id="Textbox 2218" o:spid="_x0000_s1100" type="#_x0000_t202" style="position:absolute;left:8263;top:3904;width:717;height:19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" filled="f" stroked="f">
                  <v:textbox inset="0,0,0,0">
                    <w:txbxContent>
                      <w:p w14:paraId="1A2309B5" w14:textId="77777777" w:rsidR="00E17A2B" w:rsidRPr="0046492B" w:rsidRDefault="00E17A2B" w:rsidP="004F0929">
                        <w:pPr>
                          <w:spacing w:line="261" w:lineRule="auto"/>
                          <w:ind w:left="1" w:right="10" w:hanging="2"/>
                          <w:rPr>
                            <w:sz w:val="16"/>
                            <w:szCs w:val="16"/>
                          </w:rPr>
                        </w:pPr>
                        <w:r w:rsidRPr="0046492B">
                          <w:rPr>
                            <w:spacing w:val="-10"/>
                            <w:sz w:val="16"/>
                            <w:szCs w:val="16"/>
                          </w:rPr>
                          <w:t>A</w:t>
                        </w:r>
                        <w:r w:rsidRPr="0046492B">
                          <w:rPr>
                            <w:spacing w:val="40"/>
                            <w:sz w:val="16"/>
                            <w:szCs w:val="16"/>
                          </w:rPr>
                          <w:t xml:space="preserve"> </w:t>
                        </w:r>
                        <w:r w:rsidRPr="0046492B">
                          <w:rPr>
                            <w:spacing w:val="-12"/>
                            <w:sz w:val="16"/>
                            <w:szCs w:val="16"/>
                          </w:rPr>
                          <w:t>B</w:t>
                        </w:r>
                      </w:p>
                    </w:txbxContent>
                  </v:textbox>
                </v:shape>
                <v:shape id="Textbox 2219" o:spid="_x0000_s1101" type="#_x0000_t202" style="position:absolute;left:848;top:8609;width:3544;height: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" filled="f" stroked="f">
                  <v:textbox inset="0,0,0,0">
                    <w:txbxContent>
                      <w:p w14:paraId="7CA479FD" w14:textId="77777777" w:rsidR="00E17A2B" w:rsidRPr="0046492B" w:rsidRDefault="00E17A2B" w:rsidP="004F0929">
                        <w:pPr>
                          <w:spacing w:line="142" w:lineRule="exact"/>
                          <w:rPr>
                            <w:sz w:val="16"/>
                            <w:szCs w:val="16"/>
                          </w:rPr>
                        </w:pPr>
                        <w:r w:rsidRPr="0046492B">
                          <w:rPr>
                            <w:spacing w:val="-2"/>
                            <w:sz w:val="16"/>
                            <w:szCs w:val="16"/>
                          </w:rPr>
                          <w:t>Lateinisch</w:t>
                        </w:r>
                      </w:p>
                    </w:txbxContent>
                  </v:textbox>
                </v:shape>
                <v:shape id="Textbox 2220" o:spid="_x0000_s1102" type="#_x0000_t202" style="position:absolute;left:8263;top:8534;width:717;height:19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" filled="f" stroked="f">
                  <v:textbox inset="0,0,0,0">
                    <w:txbxContent>
                      <w:p w14:paraId="1D3A07E8" w14:textId="77777777" w:rsidR="00E17A2B" w:rsidRPr="0046492B" w:rsidRDefault="00E17A2B" w:rsidP="004F0929">
                        <w:pPr>
                          <w:spacing w:line="264" w:lineRule="auto"/>
                          <w:ind w:left="1" w:right="10" w:hanging="2"/>
                          <w:rPr>
                            <w:sz w:val="16"/>
                            <w:szCs w:val="16"/>
                          </w:rPr>
                        </w:pPr>
                        <w:r w:rsidRPr="0046492B">
                          <w:rPr>
                            <w:spacing w:val="-10"/>
                            <w:sz w:val="16"/>
                            <w:szCs w:val="16"/>
                          </w:rPr>
                          <w:t>A</w:t>
                        </w:r>
                        <w:r w:rsidRPr="0046492B">
                          <w:rPr>
                            <w:spacing w:val="40"/>
                            <w:sz w:val="16"/>
                            <w:szCs w:val="16"/>
                          </w:rPr>
                          <w:t xml:space="preserve"> </w:t>
                        </w:r>
                        <w:r w:rsidRPr="0046492B">
                          <w:rPr>
                            <w:spacing w:val="-12"/>
                            <w:sz w:val="16"/>
                            <w:szCs w:val="16"/>
                          </w:rPr>
                          <w:t>B</w:t>
                        </w:r>
                      </w:p>
                    </w:txbxContent>
                  </v:textbox>
                </v:shape>
                <v:shape id="Textbox 2221" o:spid="_x0000_s1103" type="#_x0000_t202" style="position:absolute;left:881;top:13233;width:4134;height: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" filled="f" stroked="f">
                  <v:textbox inset="0,0,0,0">
                    <w:txbxContent>
                      <w:p w14:paraId="0D28177C" w14:textId="77777777" w:rsidR="00E17A2B" w:rsidRPr="0046492B" w:rsidRDefault="00E17A2B" w:rsidP="004F0929">
                        <w:pPr>
                          <w:spacing w:line="142" w:lineRule="exact"/>
                          <w:rPr>
                            <w:sz w:val="16"/>
                            <w:szCs w:val="16"/>
                          </w:rPr>
                        </w:pPr>
                        <w:r w:rsidRPr="0046492B">
                          <w:rPr>
                            <w:spacing w:val="-2"/>
                            <w:sz w:val="16"/>
                            <w:szCs w:val="16"/>
                          </w:rPr>
                          <w:t>Orientalisch</w:t>
                        </w:r>
                      </w:p>
                    </w:txbxContent>
                  </v:textbox>
                </v:shape>
                <v:shape id="Textbox 2222" o:spid="_x0000_s1104" type="#_x0000_t202" style="position:absolute;left:8263;top:13028;width:717;height:1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" filled="f" stroked="f">
                  <v:textbox inset="0,0,0,0">
                    <w:txbxContent>
                      <w:p w14:paraId="2FE28605" w14:textId="77777777" w:rsidR="00E17A2B" w:rsidRPr="0046492B" w:rsidRDefault="00E17A2B" w:rsidP="004F0929">
                        <w:pPr>
                          <w:spacing w:line="259" w:lineRule="auto"/>
                          <w:ind w:left="1" w:right="10" w:hanging="2"/>
                          <w:rPr>
                            <w:sz w:val="16"/>
                            <w:szCs w:val="16"/>
                          </w:rPr>
                        </w:pPr>
                        <w:r w:rsidRPr="0046492B">
                          <w:rPr>
                            <w:spacing w:val="-10"/>
                            <w:sz w:val="16"/>
                            <w:szCs w:val="16"/>
                          </w:rPr>
                          <w:t>A</w:t>
                        </w:r>
                        <w:r w:rsidRPr="0046492B">
                          <w:rPr>
                            <w:spacing w:val="40"/>
                            <w:sz w:val="16"/>
                            <w:szCs w:val="16"/>
                          </w:rPr>
                          <w:t xml:space="preserve"> </w:t>
                        </w:r>
                        <w:r w:rsidRPr="0046492B">
                          <w:rPr>
                            <w:spacing w:val="-12"/>
                            <w:sz w:val="16"/>
                            <w:szCs w:val="16"/>
                          </w:rPr>
                          <w:t>B</w:t>
                        </w:r>
                      </w:p>
                    </w:txbxContent>
                  </v:textbox>
                </v:shape>
                <w10:anchorlock/>
              </v:group>
            </w:pict>
          </mc:Fallback>
        </mc:AlternateContent>
      </w:r>
    </w:p>
    <w:p w14:paraId="17D5705E" w14:textId="77777777" w:rsidR="00FF7799" w:rsidRPr="00E73F6F" w:rsidRDefault="00FF7799" w:rsidP="0046492B">
      <w:pPr>
        <w:pStyle w:val="Quellen"/>
      </w:pPr>
      <w:r w:rsidRPr="00E73F6F">
        <w:t>Quelle:</w:t>
      </w:r>
      <w:r w:rsidRPr="00E73F6F">
        <w:rPr>
          <w:spacing w:val="-1"/>
        </w:rPr>
        <w:t xml:space="preserve"> </w:t>
      </w:r>
      <w:r w:rsidRPr="00E73F6F">
        <w:t>Trompenaars</w:t>
      </w:r>
      <w:r w:rsidRPr="00E73F6F">
        <w:rPr>
          <w:spacing w:val="-2"/>
        </w:rPr>
        <w:t xml:space="preserve"> </w:t>
      </w:r>
      <w:r w:rsidRPr="00E73F6F">
        <w:t>(1993,</w:t>
      </w:r>
      <w:r w:rsidRPr="00E73F6F">
        <w:rPr>
          <w:spacing w:val="-2"/>
        </w:rPr>
        <w:t xml:space="preserve"> </w:t>
      </w:r>
      <w:r w:rsidRPr="00E73F6F">
        <w:t>S.102f.);</w:t>
      </w:r>
      <w:r w:rsidRPr="00E73F6F">
        <w:rPr>
          <w:spacing w:val="-4"/>
        </w:rPr>
        <w:t xml:space="preserve"> </w:t>
      </w:r>
      <w:r w:rsidRPr="00E73F6F">
        <w:t xml:space="preserve">leicht </w:t>
      </w:r>
      <w:r w:rsidRPr="00E73F6F">
        <w:rPr>
          <w:spacing w:val="-2"/>
        </w:rPr>
        <w:t>modifiziert.</w:t>
      </w:r>
    </w:p>
    <w:p w14:paraId="724478F2" w14:textId="77777777" w:rsidR="00FF7799" w:rsidRPr="00E73F6F" w:rsidRDefault="00FF7799" w:rsidP="00862DBA">
      <w:pPr>
        <w:rPr>
          <w:sz w:val="24"/>
          <w:szCs w:val="24"/>
        </w:rPr>
      </w:pPr>
    </w:p>
    <w:p w14:paraId="47E0E1F6" w14:textId="77777777" w:rsidR="00FF7799" w:rsidRPr="00E73F6F" w:rsidRDefault="00FF7799" w:rsidP="00862DBA">
      <w:pPr>
        <w:rPr>
          <w:sz w:val="24"/>
          <w:szCs w:val="24"/>
        </w:rPr>
      </w:pPr>
    </w:p>
    <w:p w14:paraId="1949728F" w14:textId="77777777" w:rsidR="00FF7799" w:rsidRPr="00E73F6F" w:rsidRDefault="00FF7799" w:rsidP="0046492B">
      <w:pPr>
        <w:pStyle w:val="StandardText"/>
      </w:pPr>
      <w:r w:rsidRPr="00E73F6F">
        <w:lastRenderedPageBreak/>
        <w:t>Über extreme Erscheinungsformen dieses paraverbalen Kommunikationsmittels berichten Ethnologen: „Bei den Warm Spring Indians in Georgia etwa fallen</w:t>
      </w:r>
      <w:r w:rsidRPr="00E73F6F">
        <w:rPr>
          <w:spacing w:val="-2"/>
        </w:rPr>
        <w:t xml:space="preserve"> </w:t>
      </w:r>
      <w:r w:rsidRPr="00E73F6F">
        <w:t>die</w:t>
      </w:r>
      <w:r w:rsidRPr="00E73F6F">
        <w:rPr>
          <w:spacing w:val="-6"/>
        </w:rPr>
        <w:t xml:space="preserve"> </w:t>
      </w:r>
      <w:r w:rsidRPr="00E73F6F">
        <w:t>für</w:t>
      </w:r>
      <w:r w:rsidRPr="00E73F6F">
        <w:rPr>
          <w:spacing w:val="-5"/>
        </w:rPr>
        <w:t xml:space="preserve"> </w:t>
      </w:r>
      <w:r w:rsidRPr="00E73F6F">
        <w:t>unser</w:t>
      </w:r>
      <w:r w:rsidRPr="00E73F6F">
        <w:rPr>
          <w:spacing w:val="-3"/>
        </w:rPr>
        <w:t xml:space="preserve"> </w:t>
      </w:r>
      <w:r w:rsidRPr="00E73F6F">
        <w:t>Empfinden</w:t>
      </w:r>
      <w:r w:rsidRPr="00E73F6F">
        <w:rPr>
          <w:spacing w:val="-4"/>
        </w:rPr>
        <w:t xml:space="preserve"> </w:t>
      </w:r>
      <w:r w:rsidRPr="00E73F6F">
        <w:t>ungewöhnlich</w:t>
      </w:r>
      <w:r w:rsidRPr="00E73F6F">
        <w:rPr>
          <w:spacing w:val="-4"/>
        </w:rPr>
        <w:t xml:space="preserve"> </w:t>
      </w:r>
      <w:r w:rsidRPr="00E73F6F">
        <w:t>lange</w:t>
      </w:r>
      <w:r w:rsidRPr="00E73F6F">
        <w:rPr>
          <w:spacing w:val="-6"/>
        </w:rPr>
        <w:t xml:space="preserve"> </w:t>
      </w:r>
      <w:r w:rsidRPr="00E73F6F">
        <w:t>Pausen</w:t>
      </w:r>
      <w:r w:rsidRPr="00E73F6F">
        <w:rPr>
          <w:spacing w:val="-4"/>
        </w:rPr>
        <w:t xml:space="preserve"> </w:t>
      </w:r>
      <w:r w:rsidRPr="00E73F6F">
        <w:t>auf -</w:t>
      </w:r>
      <w:r w:rsidRPr="00E73F6F">
        <w:rPr>
          <w:spacing w:val="-5"/>
        </w:rPr>
        <w:t xml:space="preserve"> </w:t>
      </w:r>
      <w:r w:rsidRPr="00E73F6F">
        <w:t>teilweise</w:t>
      </w:r>
      <w:r w:rsidRPr="00E73F6F">
        <w:rPr>
          <w:spacing w:val="-4"/>
        </w:rPr>
        <w:t xml:space="preserve"> </w:t>
      </w:r>
      <w:r w:rsidRPr="00E73F6F">
        <w:t>werden die Antworten erst am nächsten Tag nachgeliefert. Bei den Apachen in Arizona wiederum ist es nicht üblich, sich gegenseitig vorzustellen. Von neu zur Gruppe hinzukommenden Personen wird erwartet, dass sie zum „richtigen“ Zeitpunkt selbst zu sprechen anfangen (d.h. im Regelfall nicht sofort). Voreiliges Sprechen wird</w:t>
      </w:r>
      <w:r w:rsidRPr="00E73F6F">
        <w:rPr>
          <w:spacing w:val="-6"/>
        </w:rPr>
        <w:t xml:space="preserve"> </w:t>
      </w:r>
      <w:r w:rsidRPr="00E73F6F">
        <w:t>negativ</w:t>
      </w:r>
      <w:r w:rsidRPr="00E73F6F">
        <w:rPr>
          <w:spacing w:val="-6"/>
        </w:rPr>
        <w:t xml:space="preserve"> </w:t>
      </w:r>
      <w:r w:rsidRPr="00E73F6F">
        <w:t>bewertet,</w:t>
      </w:r>
      <w:r w:rsidRPr="00E73F6F">
        <w:rPr>
          <w:spacing w:val="-6"/>
        </w:rPr>
        <w:t xml:space="preserve"> </w:t>
      </w:r>
      <w:r w:rsidRPr="00E73F6F">
        <w:t>da</w:t>
      </w:r>
      <w:r w:rsidRPr="00E73F6F">
        <w:rPr>
          <w:spacing w:val="-7"/>
        </w:rPr>
        <w:t xml:space="preserve"> </w:t>
      </w:r>
      <w:r w:rsidRPr="00E73F6F">
        <w:t>es</w:t>
      </w:r>
      <w:r w:rsidRPr="00E73F6F">
        <w:rPr>
          <w:spacing w:val="-7"/>
        </w:rPr>
        <w:t xml:space="preserve"> </w:t>
      </w:r>
      <w:r w:rsidRPr="00E73F6F">
        <w:t>als</w:t>
      </w:r>
      <w:r w:rsidRPr="00E73F6F">
        <w:rPr>
          <w:spacing w:val="-7"/>
        </w:rPr>
        <w:t xml:space="preserve"> </w:t>
      </w:r>
      <w:r w:rsidRPr="00E73F6F">
        <w:t>Ausdruck</w:t>
      </w:r>
      <w:r w:rsidRPr="00E73F6F">
        <w:rPr>
          <w:spacing w:val="-6"/>
        </w:rPr>
        <w:t xml:space="preserve"> </w:t>
      </w:r>
      <w:r w:rsidRPr="00E73F6F">
        <w:t>verborgener</w:t>
      </w:r>
      <w:r w:rsidRPr="00E73F6F">
        <w:rPr>
          <w:spacing w:val="-7"/>
        </w:rPr>
        <w:t xml:space="preserve"> </w:t>
      </w:r>
      <w:r w:rsidRPr="00E73F6F">
        <w:t>Absichten</w:t>
      </w:r>
      <w:r w:rsidRPr="00E73F6F">
        <w:rPr>
          <w:spacing w:val="-6"/>
        </w:rPr>
        <w:t xml:space="preserve"> </w:t>
      </w:r>
      <w:r w:rsidRPr="00E73F6F">
        <w:t>oder</w:t>
      </w:r>
      <w:r w:rsidRPr="00E73F6F">
        <w:rPr>
          <w:spacing w:val="-7"/>
        </w:rPr>
        <w:t xml:space="preserve"> </w:t>
      </w:r>
      <w:r w:rsidRPr="00E73F6F">
        <w:t>als</w:t>
      </w:r>
      <w:r w:rsidRPr="00E73F6F">
        <w:rPr>
          <w:spacing w:val="-7"/>
        </w:rPr>
        <w:t xml:space="preserve"> </w:t>
      </w:r>
      <w:r w:rsidRPr="00E73F6F">
        <w:t>Zeichen für</w:t>
      </w:r>
      <w:r w:rsidRPr="00E73F6F">
        <w:rPr>
          <w:spacing w:val="-3"/>
        </w:rPr>
        <w:t xml:space="preserve"> </w:t>
      </w:r>
      <w:r w:rsidRPr="00E73F6F">
        <w:t>Trunkenheit</w:t>
      </w:r>
      <w:r w:rsidRPr="00E73F6F">
        <w:rPr>
          <w:spacing w:val="-5"/>
        </w:rPr>
        <w:t xml:space="preserve"> </w:t>
      </w:r>
      <w:r w:rsidRPr="00E73F6F">
        <w:t>gilt. In</w:t>
      </w:r>
      <w:r w:rsidRPr="00E73F6F">
        <w:rPr>
          <w:spacing w:val="-2"/>
        </w:rPr>
        <w:t xml:space="preserve"> </w:t>
      </w:r>
      <w:r w:rsidRPr="00E73F6F">
        <w:t>dieser</w:t>
      </w:r>
      <w:r w:rsidRPr="00E73F6F">
        <w:rPr>
          <w:spacing w:val="-3"/>
        </w:rPr>
        <w:t xml:space="preserve"> </w:t>
      </w:r>
      <w:r w:rsidRPr="00E73F6F">
        <w:t>Kultur</w:t>
      </w:r>
      <w:r w:rsidRPr="00E73F6F">
        <w:rPr>
          <w:spacing w:val="-3"/>
        </w:rPr>
        <w:t xml:space="preserve"> </w:t>
      </w:r>
      <w:r w:rsidRPr="00E73F6F">
        <w:t>ist</w:t>
      </w:r>
      <w:r w:rsidRPr="00E73F6F">
        <w:rPr>
          <w:spacing w:val="-3"/>
        </w:rPr>
        <w:t xml:space="preserve"> </w:t>
      </w:r>
      <w:r w:rsidRPr="00E73F6F">
        <w:t>es</w:t>
      </w:r>
      <w:r w:rsidRPr="00E73F6F">
        <w:rPr>
          <w:spacing w:val="-3"/>
        </w:rPr>
        <w:t xml:space="preserve"> </w:t>
      </w:r>
      <w:r w:rsidRPr="00E73F6F">
        <w:t>in</w:t>
      </w:r>
      <w:r w:rsidRPr="00E73F6F">
        <w:rPr>
          <w:spacing w:val="-2"/>
        </w:rPr>
        <w:t xml:space="preserve"> </w:t>
      </w:r>
      <w:r w:rsidRPr="00E73F6F">
        <w:t>sozialen</w:t>
      </w:r>
      <w:r w:rsidRPr="00E73F6F">
        <w:rPr>
          <w:spacing w:val="-4"/>
        </w:rPr>
        <w:t xml:space="preserve"> </w:t>
      </w:r>
      <w:r w:rsidRPr="00E73F6F">
        <w:t>Beziehungen</w:t>
      </w:r>
      <w:r w:rsidRPr="00E73F6F">
        <w:rPr>
          <w:spacing w:val="-4"/>
        </w:rPr>
        <w:t xml:space="preserve"> </w:t>
      </w:r>
      <w:r w:rsidRPr="00E73F6F">
        <w:t>offensichtlich besonders wichtig, sich Zeit zu geben, um sich zu beobachten und kennen zu lernen. Sprache als Zeichen von Sicherheit und Eindeutigkeit wird erst dann eingesetzt,</w:t>
      </w:r>
      <w:r w:rsidRPr="00E73F6F">
        <w:rPr>
          <w:spacing w:val="-7"/>
        </w:rPr>
        <w:t xml:space="preserve"> </w:t>
      </w:r>
      <w:r w:rsidRPr="00E73F6F">
        <w:t>wenn</w:t>
      </w:r>
      <w:r w:rsidRPr="00E73F6F">
        <w:rPr>
          <w:spacing w:val="-7"/>
        </w:rPr>
        <w:t xml:space="preserve"> </w:t>
      </w:r>
      <w:r w:rsidRPr="00E73F6F">
        <w:t>ein</w:t>
      </w:r>
      <w:r w:rsidRPr="00E73F6F">
        <w:rPr>
          <w:spacing w:val="-6"/>
        </w:rPr>
        <w:t xml:space="preserve"> </w:t>
      </w:r>
      <w:r w:rsidRPr="00E73F6F">
        <w:t>angenehmes</w:t>
      </w:r>
      <w:r w:rsidRPr="00E73F6F">
        <w:rPr>
          <w:spacing w:val="-8"/>
        </w:rPr>
        <w:t xml:space="preserve"> </w:t>
      </w:r>
      <w:r w:rsidRPr="00E73F6F">
        <w:t>und</w:t>
      </w:r>
      <w:r w:rsidRPr="00E73F6F">
        <w:rPr>
          <w:spacing w:val="-7"/>
        </w:rPr>
        <w:t xml:space="preserve"> </w:t>
      </w:r>
      <w:r w:rsidRPr="00E73F6F">
        <w:t>sicheres</w:t>
      </w:r>
      <w:r w:rsidRPr="00E73F6F">
        <w:rPr>
          <w:spacing w:val="-8"/>
        </w:rPr>
        <w:t xml:space="preserve"> </w:t>
      </w:r>
      <w:r w:rsidRPr="00E73F6F">
        <w:t>Grundgefühl</w:t>
      </w:r>
      <w:r w:rsidRPr="00E73F6F">
        <w:rPr>
          <w:spacing w:val="-7"/>
        </w:rPr>
        <w:t xml:space="preserve"> </w:t>
      </w:r>
      <w:r w:rsidRPr="00E73F6F">
        <w:t>in</w:t>
      </w:r>
      <w:r w:rsidRPr="00E73F6F">
        <w:rPr>
          <w:spacing w:val="-7"/>
        </w:rPr>
        <w:t xml:space="preserve"> </w:t>
      </w:r>
      <w:r w:rsidRPr="00E73F6F">
        <w:t>der</w:t>
      </w:r>
      <w:r w:rsidRPr="00E73F6F">
        <w:rPr>
          <w:spacing w:val="-8"/>
        </w:rPr>
        <w:t xml:space="preserve"> </w:t>
      </w:r>
      <w:r w:rsidRPr="00E73F6F">
        <w:t>Beziehung</w:t>
      </w:r>
      <w:r w:rsidRPr="00E73F6F">
        <w:rPr>
          <w:spacing w:val="-7"/>
        </w:rPr>
        <w:t xml:space="preserve"> </w:t>
      </w:r>
      <w:r w:rsidRPr="00E73F6F">
        <w:t>zum anderen Menschen eingetreten ist. So ist auch das Schweigen der Eltern dieses Stammes</w:t>
      </w:r>
      <w:r w:rsidRPr="00E73F6F">
        <w:rPr>
          <w:spacing w:val="-3"/>
        </w:rPr>
        <w:t xml:space="preserve"> </w:t>
      </w:r>
      <w:r w:rsidRPr="00E73F6F">
        <w:t>zu</w:t>
      </w:r>
      <w:r w:rsidRPr="00E73F6F">
        <w:rPr>
          <w:spacing w:val="-3"/>
        </w:rPr>
        <w:t xml:space="preserve"> </w:t>
      </w:r>
      <w:r w:rsidRPr="00E73F6F">
        <w:t>verstehen,</w:t>
      </w:r>
      <w:r w:rsidRPr="00E73F6F">
        <w:rPr>
          <w:spacing w:val="-5"/>
        </w:rPr>
        <w:t xml:space="preserve"> </w:t>
      </w:r>
      <w:r w:rsidRPr="00E73F6F">
        <w:t>wenn</w:t>
      </w:r>
      <w:r w:rsidRPr="00E73F6F">
        <w:rPr>
          <w:spacing w:val="-4"/>
        </w:rPr>
        <w:t xml:space="preserve"> </w:t>
      </w:r>
      <w:r w:rsidRPr="00E73F6F">
        <w:t>ihre</w:t>
      </w:r>
      <w:r w:rsidRPr="00E73F6F">
        <w:rPr>
          <w:spacing w:val="-8"/>
        </w:rPr>
        <w:t xml:space="preserve"> </w:t>
      </w:r>
      <w:r w:rsidRPr="00E73F6F">
        <w:t>Kinder</w:t>
      </w:r>
      <w:r w:rsidRPr="00E73F6F">
        <w:rPr>
          <w:spacing w:val="-5"/>
        </w:rPr>
        <w:t xml:space="preserve"> </w:t>
      </w:r>
      <w:r w:rsidRPr="00E73F6F">
        <w:t>nach</w:t>
      </w:r>
      <w:r w:rsidRPr="00E73F6F">
        <w:rPr>
          <w:spacing w:val="-3"/>
        </w:rPr>
        <w:t xml:space="preserve"> </w:t>
      </w:r>
      <w:r w:rsidRPr="00E73F6F">
        <w:t>längerer</w:t>
      </w:r>
      <w:r w:rsidRPr="00E73F6F">
        <w:rPr>
          <w:spacing w:val="-3"/>
        </w:rPr>
        <w:t xml:space="preserve"> </w:t>
      </w:r>
      <w:r w:rsidRPr="00E73F6F">
        <w:t>Abwesenheit</w:t>
      </w:r>
      <w:r w:rsidRPr="00E73F6F">
        <w:rPr>
          <w:spacing w:val="-3"/>
        </w:rPr>
        <w:t xml:space="preserve"> </w:t>
      </w:r>
      <w:r w:rsidRPr="00E73F6F">
        <w:t>heimkehren. Die</w:t>
      </w:r>
      <w:r w:rsidRPr="00E73F6F">
        <w:rPr>
          <w:spacing w:val="-8"/>
        </w:rPr>
        <w:t xml:space="preserve"> </w:t>
      </w:r>
      <w:r w:rsidRPr="00E73F6F">
        <w:t>anfängliche</w:t>
      </w:r>
      <w:r w:rsidRPr="00E73F6F">
        <w:rPr>
          <w:spacing w:val="-8"/>
        </w:rPr>
        <w:t xml:space="preserve"> </w:t>
      </w:r>
      <w:r w:rsidRPr="00E73F6F">
        <w:t>Unsicherheit</w:t>
      </w:r>
      <w:r w:rsidRPr="00E73F6F">
        <w:rPr>
          <w:spacing w:val="-8"/>
        </w:rPr>
        <w:t xml:space="preserve"> </w:t>
      </w:r>
      <w:r w:rsidRPr="00E73F6F">
        <w:t>wird</w:t>
      </w:r>
      <w:r w:rsidRPr="00E73F6F">
        <w:rPr>
          <w:spacing w:val="-8"/>
        </w:rPr>
        <w:t xml:space="preserve"> </w:t>
      </w:r>
      <w:r w:rsidRPr="00E73F6F">
        <w:t>nicht</w:t>
      </w:r>
      <w:r w:rsidRPr="00E73F6F">
        <w:rPr>
          <w:spacing w:val="-8"/>
        </w:rPr>
        <w:t xml:space="preserve"> </w:t>
      </w:r>
      <w:r w:rsidRPr="00E73F6F">
        <w:t>durch</w:t>
      </w:r>
      <w:r w:rsidRPr="00E73F6F">
        <w:rPr>
          <w:spacing w:val="-8"/>
        </w:rPr>
        <w:t xml:space="preserve"> </w:t>
      </w:r>
      <w:r w:rsidRPr="00E73F6F">
        <w:t>Sprechen</w:t>
      </w:r>
      <w:r w:rsidRPr="00E73F6F">
        <w:rPr>
          <w:spacing w:val="-9"/>
        </w:rPr>
        <w:t xml:space="preserve"> </w:t>
      </w:r>
      <w:r w:rsidRPr="00E73F6F">
        <w:t>überspielt,</w:t>
      </w:r>
      <w:r w:rsidRPr="00E73F6F">
        <w:rPr>
          <w:spacing w:val="-9"/>
        </w:rPr>
        <w:t xml:space="preserve"> </w:t>
      </w:r>
      <w:r w:rsidRPr="00E73F6F">
        <w:t>sondern</w:t>
      </w:r>
      <w:r w:rsidRPr="00E73F6F">
        <w:rPr>
          <w:spacing w:val="-8"/>
        </w:rPr>
        <w:t xml:space="preserve"> </w:t>
      </w:r>
      <w:r w:rsidRPr="00E73F6F">
        <w:t>findet im Schweigen ihren Platz. Erst wenn die erste Gewöhnungsphase erfolgreich überwunden ist, beginnt ein Gespräch“ (Müller 2001, S.67).</w:t>
      </w:r>
    </w:p>
    <w:p w14:paraId="31BCA9C6" w14:textId="77777777" w:rsidR="00FF7799" w:rsidRPr="00E73F6F" w:rsidRDefault="00FF7799" w:rsidP="0046492B">
      <w:pPr>
        <w:pStyle w:val="StandardText"/>
      </w:pPr>
      <w:r w:rsidRPr="00E73F6F">
        <w:t>Wie zahlreiche Rituale, Sprichworte und Überlieferungen belegen, besteht zwischen</w:t>
      </w:r>
      <w:r w:rsidRPr="00E73F6F">
        <w:rPr>
          <w:spacing w:val="-12"/>
        </w:rPr>
        <w:t xml:space="preserve"> </w:t>
      </w:r>
      <w:r w:rsidRPr="00E73F6F">
        <w:t>Sprechen</w:t>
      </w:r>
      <w:r w:rsidRPr="00E73F6F">
        <w:rPr>
          <w:spacing w:val="-11"/>
        </w:rPr>
        <w:t xml:space="preserve"> </w:t>
      </w:r>
      <w:r w:rsidRPr="00E73F6F">
        <w:t>und</w:t>
      </w:r>
      <w:r w:rsidRPr="00E73F6F">
        <w:rPr>
          <w:spacing w:val="-11"/>
        </w:rPr>
        <w:t xml:space="preserve"> </w:t>
      </w:r>
      <w:r w:rsidRPr="00E73F6F">
        <w:t>Schweigen</w:t>
      </w:r>
      <w:r w:rsidRPr="00E73F6F">
        <w:rPr>
          <w:spacing w:val="-11"/>
        </w:rPr>
        <w:t xml:space="preserve"> </w:t>
      </w:r>
      <w:r w:rsidRPr="00E73F6F">
        <w:t>eine</w:t>
      </w:r>
      <w:r w:rsidRPr="00E73F6F">
        <w:rPr>
          <w:spacing w:val="-12"/>
        </w:rPr>
        <w:t xml:space="preserve"> </w:t>
      </w:r>
      <w:r w:rsidRPr="00E73F6F">
        <w:t>gleichermaßen</w:t>
      </w:r>
      <w:r w:rsidRPr="00E73F6F">
        <w:rPr>
          <w:spacing w:val="-11"/>
        </w:rPr>
        <w:t xml:space="preserve"> </w:t>
      </w:r>
      <w:r w:rsidRPr="00E73F6F">
        <w:t>komplexe</w:t>
      </w:r>
      <w:r w:rsidRPr="00E73F6F">
        <w:rPr>
          <w:spacing w:val="-11"/>
        </w:rPr>
        <w:t xml:space="preserve"> </w:t>
      </w:r>
      <w:r w:rsidRPr="00E73F6F">
        <w:t>wie</w:t>
      </w:r>
      <w:r w:rsidRPr="00E73F6F">
        <w:rPr>
          <w:spacing w:val="-11"/>
        </w:rPr>
        <w:t xml:space="preserve"> </w:t>
      </w:r>
      <w:r w:rsidRPr="00E73F6F">
        <w:t>ambivalente Beziehung: Wertschätzung einerseits („Wovon man nicht sprechen kann, darüber muss man schweigen“; „Reden ist Silber, Schweigen ist Gold“; „Hättest Du geschwiegen,</w:t>
      </w:r>
      <w:r w:rsidRPr="00E73F6F">
        <w:rPr>
          <w:spacing w:val="-12"/>
        </w:rPr>
        <w:t xml:space="preserve"> </w:t>
      </w:r>
      <w:r w:rsidRPr="00E73F6F">
        <w:t>hätte</w:t>
      </w:r>
      <w:r w:rsidRPr="00E73F6F">
        <w:rPr>
          <w:spacing w:val="-10"/>
        </w:rPr>
        <w:t xml:space="preserve"> </w:t>
      </w:r>
      <w:r w:rsidRPr="00E73F6F">
        <w:t>man</w:t>
      </w:r>
      <w:r w:rsidRPr="00E73F6F">
        <w:rPr>
          <w:spacing w:val="-9"/>
        </w:rPr>
        <w:t xml:space="preserve"> </w:t>
      </w:r>
      <w:r w:rsidRPr="00E73F6F">
        <w:t>Dich</w:t>
      </w:r>
      <w:r w:rsidRPr="00E73F6F">
        <w:rPr>
          <w:spacing w:val="-9"/>
        </w:rPr>
        <w:t xml:space="preserve"> </w:t>
      </w:r>
      <w:r w:rsidRPr="00E73F6F">
        <w:t>für</w:t>
      </w:r>
      <w:r w:rsidRPr="00E73F6F">
        <w:rPr>
          <w:spacing w:val="-12"/>
        </w:rPr>
        <w:t xml:space="preserve"> </w:t>
      </w:r>
      <w:r w:rsidRPr="00E73F6F">
        <w:t>weise</w:t>
      </w:r>
      <w:r w:rsidRPr="00E73F6F">
        <w:rPr>
          <w:spacing w:val="-10"/>
        </w:rPr>
        <w:t xml:space="preserve"> </w:t>
      </w:r>
      <w:r w:rsidRPr="00E73F6F">
        <w:t>gehalten“)</w:t>
      </w:r>
      <w:r w:rsidRPr="00E73F6F">
        <w:rPr>
          <w:spacing w:val="-10"/>
        </w:rPr>
        <w:t xml:space="preserve"> </w:t>
      </w:r>
      <w:r w:rsidRPr="00E73F6F">
        <w:t>und</w:t>
      </w:r>
      <w:r w:rsidRPr="00E73F6F">
        <w:rPr>
          <w:spacing w:val="-9"/>
        </w:rPr>
        <w:t xml:space="preserve"> </w:t>
      </w:r>
      <w:r w:rsidRPr="00E73F6F">
        <w:t>Ablehnung</w:t>
      </w:r>
      <w:r w:rsidRPr="00E73F6F">
        <w:rPr>
          <w:spacing w:val="-11"/>
        </w:rPr>
        <w:t xml:space="preserve"> </w:t>
      </w:r>
      <w:r w:rsidRPr="00E73F6F">
        <w:t>andererseits.</w:t>
      </w:r>
      <w:r w:rsidRPr="00E73F6F">
        <w:rPr>
          <w:spacing w:val="-10"/>
        </w:rPr>
        <w:t xml:space="preserve"> </w:t>
      </w:r>
      <w:r w:rsidRPr="00E73F6F">
        <w:t>So setzt das Alte Testament die Rede dem Leben gleich. Als „sinnliche Kunst der Rhetorik“</w:t>
      </w:r>
      <w:r w:rsidRPr="00E73F6F">
        <w:rPr>
          <w:spacing w:val="-9"/>
        </w:rPr>
        <w:t xml:space="preserve"> </w:t>
      </w:r>
      <w:r w:rsidRPr="00E73F6F">
        <w:t>sei</w:t>
      </w:r>
      <w:r w:rsidRPr="00E73F6F">
        <w:rPr>
          <w:spacing w:val="-8"/>
        </w:rPr>
        <w:t xml:space="preserve"> </w:t>
      </w:r>
      <w:r w:rsidRPr="00E73F6F">
        <w:t>sie</w:t>
      </w:r>
      <w:r w:rsidRPr="00E73F6F">
        <w:rPr>
          <w:spacing w:val="-11"/>
        </w:rPr>
        <w:t xml:space="preserve"> </w:t>
      </w:r>
      <w:r w:rsidRPr="00E73F6F">
        <w:t>dazu</w:t>
      </w:r>
      <w:r w:rsidRPr="00E73F6F">
        <w:rPr>
          <w:spacing w:val="-10"/>
        </w:rPr>
        <w:t xml:space="preserve"> </w:t>
      </w:r>
      <w:r w:rsidRPr="00E73F6F">
        <w:t>bestimmt,</w:t>
      </w:r>
      <w:r w:rsidRPr="00E73F6F">
        <w:rPr>
          <w:spacing w:val="-10"/>
        </w:rPr>
        <w:t xml:space="preserve"> </w:t>
      </w:r>
      <w:r w:rsidRPr="00E73F6F">
        <w:t>Gott</w:t>
      </w:r>
      <w:r w:rsidRPr="00E73F6F">
        <w:rPr>
          <w:spacing w:val="-8"/>
        </w:rPr>
        <w:t xml:space="preserve"> </w:t>
      </w:r>
      <w:r w:rsidRPr="00E73F6F">
        <w:t>zu</w:t>
      </w:r>
      <w:r w:rsidRPr="00E73F6F">
        <w:rPr>
          <w:spacing w:val="-8"/>
        </w:rPr>
        <w:t xml:space="preserve"> </w:t>
      </w:r>
      <w:r w:rsidRPr="00E73F6F">
        <w:t>lobpreisen.</w:t>
      </w:r>
      <w:r w:rsidRPr="00E73F6F">
        <w:rPr>
          <w:spacing w:val="-8"/>
        </w:rPr>
        <w:t xml:space="preserve"> </w:t>
      </w:r>
      <w:r w:rsidRPr="00E73F6F">
        <w:t>„Schweigen,</w:t>
      </w:r>
      <w:r w:rsidRPr="00E73F6F">
        <w:rPr>
          <w:spacing w:val="-10"/>
        </w:rPr>
        <w:t xml:space="preserve"> </w:t>
      </w:r>
      <w:r w:rsidRPr="00E73F6F">
        <w:t>als</w:t>
      </w:r>
      <w:r w:rsidRPr="00E73F6F">
        <w:rPr>
          <w:spacing w:val="-9"/>
        </w:rPr>
        <w:t xml:space="preserve"> </w:t>
      </w:r>
      <w:r w:rsidRPr="00E73F6F">
        <w:t>Abwesenheit der Rede, impliziert dagegen die Nichtexistenz des Menschen und zugleich das Fehlen des göttlichen Wortes, die Ferne Gottes. Schweigende oder stumme Menschen galten als vom Dämon besessen.“</w:t>
      </w:r>
    </w:p>
    <w:p w14:paraId="2DC9D1E5" w14:textId="77777777" w:rsidR="00FF7799" w:rsidRPr="00C85BF5" w:rsidRDefault="00FF7799" w:rsidP="0046492B">
      <w:pPr>
        <w:pStyle w:val="StandardText"/>
      </w:pPr>
      <w:r w:rsidRPr="00C85BF5">
        <w:t>Gleichzeitig warnt das Alte Testament vor der Gefahr der „Zungensünde“. Das Neue Testament geht zwar prinzipiell von einem Dialog zwischen Gott und Menschen</w:t>
      </w:r>
      <w:r w:rsidRPr="00C85BF5">
        <w:rPr>
          <w:spacing w:val="-5"/>
        </w:rPr>
        <w:t xml:space="preserve"> </w:t>
      </w:r>
      <w:r w:rsidRPr="00C85BF5">
        <w:t>aus,</w:t>
      </w:r>
      <w:r w:rsidRPr="00C85BF5">
        <w:rPr>
          <w:spacing w:val="-6"/>
        </w:rPr>
        <w:t xml:space="preserve"> </w:t>
      </w:r>
      <w:r w:rsidRPr="00C85BF5">
        <w:t>fordert</w:t>
      </w:r>
      <w:r w:rsidRPr="00C85BF5">
        <w:rPr>
          <w:spacing w:val="-7"/>
        </w:rPr>
        <w:t xml:space="preserve"> </w:t>
      </w:r>
      <w:r w:rsidRPr="00C85BF5">
        <w:t>aber</w:t>
      </w:r>
      <w:r w:rsidRPr="00C85BF5">
        <w:rPr>
          <w:spacing w:val="-6"/>
        </w:rPr>
        <w:t xml:space="preserve"> </w:t>
      </w:r>
      <w:r w:rsidRPr="00C85BF5">
        <w:t>zum</w:t>
      </w:r>
      <w:r w:rsidRPr="00C85BF5">
        <w:rPr>
          <w:spacing w:val="-9"/>
        </w:rPr>
        <w:t xml:space="preserve"> </w:t>
      </w:r>
      <w:r w:rsidRPr="00C85BF5">
        <w:t>Schweigen</w:t>
      </w:r>
      <w:r w:rsidRPr="00C85BF5">
        <w:rPr>
          <w:spacing w:val="-5"/>
        </w:rPr>
        <w:t xml:space="preserve"> </w:t>
      </w:r>
      <w:r w:rsidRPr="00C85BF5">
        <w:t>auf.</w:t>
      </w:r>
      <w:r w:rsidRPr="00C85BF5">
        <w:rPr>
          <w:spacing w:val="-6"/>
        </w:rPr>
        <w:t xml:space="preserve"> </w:t>
      </w:r>
      <w:r w:rsidRPr="00C85BF5">
        <w:t>Als</w:t>
      </w:r>
      <w:r w:rsidRPr="00C85BF5">
        <w:rPr>
          <w:spacing w:val="-8"/>
        </w:rPr>
        <w:t xml:space="preserve"> </w:t>
      </w:r>
      <w:r w:rsidRPr="00C85BF5">
        <w:t>Voraussetzung</w:t>
      </w:r>
      <w:r w:rsidRPr="00C85BF5">
        <w:rPr>
          <w:spacing w:val="-7"/>
        </w:rPr>
        <w:t xml:space="preserve"> </w:t>
      </w:r>
      <w:r w:rsidRPr="00C85BF5">
        <w:t>von</w:t>
      </w:r>
      <w:r w:rsidRPr="00C85BF5">
        <w:rPr>
          <w:spacing w:val="-7"/>
        </w:rPr>
        <w:t xml:space="preserve"> </w:t>
      </w:r>
      <w:r w:rsidRPr="00C85BF5">
        <w:t>Lauschen sei es erforderlich, um das Wort Gottes hören zu können. Die mittelalterliche Mystik setzte diese Tradition fort. Bei Meister Eckhart bspw. heißt es, das Wort Gottes</w:t>
      </w:r>
      <w:r w:rsidRPr="00C85BF5">
        <w:rPr>
          <w:spacing w:val="7"/>
        </w:rPr>
        <w:t xml:space="preserve"> </w:t>
      </w:r>
      <w:r w:rsidRPr="00C85BF5">
        <w:t>sei</w:t>
      </w:r>
      <w:r w:rsidRPr="00C85BF5">
        <w:rPr>
          <w:spacing w:val="9"/>
        </w:rPr>
        <w:t xml:space="preserve"> </w:t>
      </w:r>
      <w:r w:rsidRPr="00C85BF5">
        <w:t>erst</w:t>
      </w:r>
      <w:r w:rsidRPr="00C85BF5">
        <w:rPr>
          <w:spacing w:val="8"/>
        </w:rPr>
        <w:t xml:space="preserve"> </w:t>
      </w:r>
      <w:r w:rsidRPr="00C85BF5">
        <w:t>in</w:t>
      </w:r>
      <w:r w:rsidRPr="00C85BF5">
        <w:rPr>
          <w:spacing w:val="10"/>
        </w:rPr>
        <w:t xml:space="preserve"> </w:t>
      </w:r>
      <w:r w:rsidRPr="00C85BF5">
        <w:t>der</w:t>
      </w:r>
      <w:r w:rsidRPr="00C85BF5">
        <w:rPr>
          <w:spacing w:val="9"/>
        </w:rPr>
        <w:t xml:space="preserve"> </w:t>
      </w:r>
      <w:r w:rsidRPr="00C85BF5">
        <w:t>Ruhe</w:t>
      </w:r>
      <w:r w:rsidRPr="00C85BF5">
        <w:rPr>
          <w:spacing w:val="9"/>
        </w:rPr>
        <w:t xml:space="preserve"> </w:t>
      </w:r>
      <w:r w:rsidRPr="00C85BF5">
        <w:t>der</w:t>
      </w:r>
      <w:r w:rsidRPr="00C85BF5">
        <w:rPr>
          <w:spacing w:val="9"/>
        </w:rPr>
        <w:t xml:space="preserve"> </w:t>
      </w:r>
      <w:r w:rsidRPr="00C85BF5">
        <w:t>Seele</w:t>
      </w:r>
      <w:r w:rsidRPr="00C85BF5">
        <w:rPr>
          <w:spacing w:val="8"/>
        </w:rPr>
        <w:t xml:space="preserve"> </w:t>
      </w:r>
      <w:r w:rsidRPr="00C85BF5">
        <w:t>zu</w:t>
      </w:r>
      <w:r w:rsidRPr="00C85BF5">
        <w:rPr>
          <w:spacing w:val="9"/>
        </w:rPr>
        <w:t xml:space="preserve"> </w:t>
      </w:r>
      <w:r w:rsidRPr="00C85BF5">
        <w:t>vernehmen.</w:t>
      </w:r>
      <w:r w:rsidRPr="00C85BF5">
        <w:rPr>
          <w:spacing w:val="9"/>
        </w:rPr>
        <w:t xml:space="preserve"> </w:t>
      </w:r>
      <w:r w:rsidRPr="00C85BF5">
        <w:t>Entsprechend</w:t>
      </w:r>
      <w:r w:rsidRPr="00C85BF5">
        <w:rPr>
          <w:spacing w:val="7"/>
        </w:rPr>
        <w:t xml:space="preserve"> </w:t>
      </w:r>
      <w:r w:rsidRPr="00C85BF5">
        <w:rPr>
          <w:spacing w:val="-2"/>
        </w:rPr>
        <w:t>argumentierte</w:t>
      </w:r>
      <w:r w:rsidRPr="00C85BF5">
        <w:t xml:space="preserve"> S. Kierkegaard: „Schaffe Schweigen, erwirke Schweigen, man kann Gottes Wort nicht vernehmen.“ Und für L. Wittgenstein markieren die „Grenzen der Sprache“ den Beginn des Mystischen. Die christlich motivierten Asketen betrachteten Schweigen als</w:t>
      </w:r>
      <w:r w:rsidRPr="00C85BF5">
        <w:rPr>
          <w:spacing w:val="-1"/>
        </w:rPr>
        <w:t xml:space="preserve"> </w:t>
      </w:r>
      <w:r w:rsidRPr="00C85BF5">
        <w:t>den Weg zur Selbstbeherrschung und als</w:t>
      </w:r>
      <w:r w:rsidRPr="00C85BF5">
        <w:rPr>
          <w:spacing w:val="-1"/>
        </w:rPr>
        <w:t xml:space="preserve"> </w:t>
      </w:r>
      <w:r w:rsidRPr="00C85BF5">
        <w:t>deren Beweis. Ähnliches gilt für das „monastische“ Schweigen, das Schweigen der Mönche, das mehr als allen</w:t>
      </w:r>
      <w:r w:rsidRPr="00C85BF5">
        <w:rPr>
          <w:spacing w:val="-12"/>
        </w:rPr>
        <w:t xml:space="preserve"> </w:t>
      </w:r>
      <w:r w:rsidRPr="00C85BF5">
        <w:t>anderen</w:t>
      </w:r>
      <w:r w:rsidRPr="00C85BF5">
        <w:rPr>
          <w:spacing w:val="-11"/>
        </w:rPr>
        <w:t xml:space="preserve"> </w:t>
      </w:r>
      <w:r w:rsidRPr="00C85BF5">
        <w:t>Orden</w:t>
      </w:r>
      <w:r w:rsidRPr="00C85BF5">
        <w:rPr>
          <w:spacing w:val="-11"/>
        </w:rPr>
        <w:t xml:space="preserve"> </w:t>
      </w:r>
      <w:r w:rsidRPr="00C85BF5">
        <w:t>den</w:t>
      </w:r>
      <w:r w:rsidRPr="00C85BF5">
        <w:rPr>
          <w:spacing w:val="-11"/>
        </w:rPr>
        <w:t xml:space="preserve"> </w:t>
      </w:r>
      <w:r w:rsidRPr="00C85BF5">
        <w:t>Trappisten</w:t>
      </w:r>
      <w:r w:rsidRPr="00C85BF5">
        <w:rPr>
          <w:spacing w:val="-12"/>
        </w:rPr>
        <w:t xml:space="preserve"> </w:t>
      </w:r>
      <w:r w:rsidRPr="00C85BF5">
        <w:t>und</w:t>
      </w:r>
      <w:r w:rsidRPr="00C85BF5">
        <w:rPr>
          <w:spacing w:val="-11"/>
        </w:rPr>
        <w:t xml:space="preserve"> </w:t>
      </w:r>
      <w:r w:rsidRPr="00C85BF5">
        <w:t>den</w:t>
      </w:r>
      <w:r w:rsidRPr="00C85BF5">
        <w:rPr>
          <w:spacing w:val="-11"/>
        </w:rPr>
        <w:t xml:space="preserve"> </w:t>
      </w:r>
      <w:r w:rsidRPr="00C85BF5">
        <w:t>Karmeliterinnen</w:t>
      </w:r>
      <w:r w:rsidRPr="00C85BF5">
        <w:rPr>
          <w:spacing w:val="-11"/>
        </w:rPr>
        <w:t xml:space="preserve"> </w:t>
      </w:r>
      <w:r w:rsidRPr="00C85BF5">
        <w:t>als</w:t>
      </w:r>
      <w:r w:rsidRPr="00C85BF5">
        <w:rPr>
          <w:spacing w:val="-12"/>
        </w:rPr>
        <w:t xml:space="preserve"> </w:t>
      </w:r>
      <w:r w:rsidRPr="00C85BF5">
        <w:t>asketische</w:t>
      </w:r>
      <w:r w:rsidRPr="00C85BF5">
        <w:rPr>
          <w:spacing w:val="-11"/>
        </w:rPr>
        <w:t xml:space="preserve"> </w:t>
      </w:r>
      <w:r w:rsidRPr="00C85BF5">
        <w:t>Übung dient. Die Kartäuser wiederum streben danach, durch äußeres und inneres Schweigen lediglich Gefäß zu sein, damit Er, der persönliche Gott, sie erfüllt.“ Nicht geringer ist die Rolle der „Sprachlosigkeit“ im Buddhismus, Hinduismus und Taoismus: Als Mittel der Meditation erfüllt Schweigen eine wichtige Funktion,</w:t>
      </w:r>
      <w:r w:rsidRPr="00C85BF5">
        <w:rPr>
          <w:spacing w:val="-1"/>
        </w:rPr>
        <w:t xml:space="preserve"> </w:t>
      </w:r>
      <w:r w:rsidRPr="00C85BF5">
        <w:t>indem</w:t>
      </w:r>
      <w:r w:rsidRPr="00C85BF5">
        <w:rPr>
          <w:spacing w:val="-2"/>
        </w:rPr>
        <w:t xml:space="preserve"> </w:t>
      </w:r>
      <w:r w:rsidRPr="00C85BF5">
        <w:t>es</w:t>
      </w:r>
      <w:r w:rsidRPr="00C85BF5">
        <w:rPr>
          <w:spacing w:val="-1"/>
        </w:rPr>
        <w:t xml:space="preserve"> </w:t>
      </w:r>
      <w:r w:rsidRPr="00C85BF5">
        <w:t>das</w:t>
      </w:r>
      <w:r w:rsidRPr="00C85BF5">
        <w:rPr>
          <w:spacing w:val="-1"/>
        </w:rPr>
        <w:t xml:space="preserve"> </w:t>
      </w:r>
      <w:r w:rsidRPr="00C85BF5">
        <w:t>spirituelle</w:t>
      </w:r>
      <w:r w:rsidRPr="00C85BF5">
        <w:rPr>
          <w:spacing w:val="-1"/>
        </w:rPr>
        <w:t xml:space="preserve"> </w:t>
      </w:r>
      <w:r w:rsidRPr="00C85BF5">
        <w:t>Streben</w:t>
      </w:r>
      <w:r w:rsidRPr="00C85BF5">
        <w:rPr>
          <w:spacing w:val="-1"/>
        </w:rPr>
        <w:t xml:space="preserve"> </w:t>
      </w:r>
      <w:r w:rsidRPr="00C85BF5">
        <w:t>nach Vereinigung aller</w:t>
      </w:r>
      <w:r w:rsidRPr="00C85BF5">
        <w:rPr>
          <w:spacing w:val="-2"/>
        </w:rPr>
        <w:t xml:space="preserve"> </w:t>
      </w:r>
      <w:r w:rsidRPr="00C85BF5">
        <w:t>Gegensätze</w:t>
      </w:r>
      <w:r w:rsidRPr="00C85BF5">
        <w:rPr>
          <w:spacing w:val="-1"/>
        </w:rPr>
        <w:t xml:space="preserve"> </w:t>
      </w:r>
      <w:r w:rsidRPr="00C85BF5">
        <w:t>der realen Welt in einer allumfassenden Einheit unterstützt.</w:t>
      </w:r>
    </w:p>
    <w:p w14:paraId="3286042D" w14:textId="77777777" w:rsidR="00FF7799" w:rsidRPr="00C85BF5" w:rsidRDefault="00FF7799" w:rsidP="0046492B">
      <w:pPr>
        <w:pStyle w:val="StandardText"/>
      </w:pPr>
      <w:r w:rsidRPr="00C85BF5">
        <w:t>Im orientalischen Sprachraum drückt die dort, wie in allen High-Context Kulturen, weit verbreitete „stille Kommunikation“ besondere Achtung vor dem Gesprächspartner aus: Man lässt ihm Zeit, seine Gedanken darzulegen, ohne ihn zu unterbrechen. Deshalb ist es für Araber ein Rätsel, wie sich die Menschen im Westen verständigen wollen, wenn sie einander keine Zeit lassen, ihre Gedanken auszudrücken oder das zu verstehen, was der Gesprächspartner gesagt hat.</w:t>
      </w:r>
    </w:p>
    <w:p w14:paraId="5A5AFED9" w14:textId="77777777" w:rsidR="00FF7799" w:rsidRPr="00C85BF5" w:rsidRDefault="00FF7799" w:rsidP="0046492B">
      <w:pPr>
        <w:pStyle w:val="StandardText"/>
        <w:rPr>
          <w:sz w:val="22"/>
          <w:szCs w:val="22"/>
        </w:rPr>
      </w:pPr>
      <w:r w:rsidRPr="00C85BF5">
        <w:rPr>
          <w:b/>
          <w:i/>
          <w:sz w:val="22"/>
          <w:szCs w:val="22"/>
          <w:lang w:val="en-US"/>
        </w:rPr>
        <w:t>Literatur:</w:t>
      </w:r>
      <w:r w:rsidRPr="00C85BF5">
        <w:rPr>
          <w:b/>
          <w:sz w:val="22"/>
          <w:szCs w:val="22"/>
          <w:lang w:val="en-US"/>
        </w:rPr>
        <w:t xml:space="preserve"> </w:t>
      </w:r>
      <w:r w:rsidRPr="00C85BF5">
        <w:rPr>
          <w:sz w:val="22"/>
          <w:szCs w:val="22"/>
          <w:lang w:val="en-US"/>
        </w:rPr>
        <w:t>Trompenaars, F. (1993): Riding the Waves of Culture. Understanding Cultural</w:t>
      </w:r>
      <w:r w:rsidRPr="00C85BF5">
        <w:rPr>
          <w:spacing w:val="40"/>
          <w:sz w:val="22"/>
          <w:szCs w:val="22"/>
          <w:lang w:val="en-US"/>
        </w:rPr>
        <w:t xml:space="preserve"> </w:t>
      </w:r>
      <w:r w:rsidRPr="00C85BF5">
        <w:rPr>
          <w:sz w:val="22"/>
          <w:szCs w:val="22"/>
          <w:lang w:val="en-US"/>
        </w:rPr>
        <w:t>Diversity in Business, London: Brealey.</w:t>
      </w:r>
      <w:r w:rsidRPr="00C85BF5">
        <w:rPr>
          <w:spacing w:val="40"/>
          <w:sz w:val="22"/>
          <w:szCs w:val="22"/>
          <w:lang w:val="en-US"/>
        </w:rPr>
        <w:t xml:space="preserve"> </w:t>
      </w:r>
      <w:r w:rsidRPr="00C85BF5">
        <w:rPr>
          <w:sz w:val="22"/>
          <w:szCs w:val="22"/>
        </w:rPr>
        <w:t>Müller, S. (2001): Schweig mit mir, Psychologie</w:t>
      </w:r>
      <w:r w:rsidRPr="00C85BF5">
        <w:rPr>
          <w:spacing w:val="40"/>
          <w:sz w:val="22"/>
          <w:szCs w:val="22"/>
        </w:rPr>
        <w:t xml:space="preserve"> </w:t>
      </w:r>
      <w:r w:rsidRPr="00C85BF5">
        <w:rPr>
          <w:sz w:val="22"/>
          <w:szCs w:val="22"/>
        </w:rPr>
        <w:t>Heute, 28(9): 62-69.</w:t>
      </w:r>
    </w:p>
    <w:p w14:paraId="6FEFB620" w14:textId="77777777" w:rsidR="00FF7799" w:rsidRPr="00E73F6F" w:rsidRDefault="00FF7799" w:rsidP="0046492B">
      <w:pPr>
        <w:pStyle w:val="StandardText"/>
      </w:pPr>
    </w:p>
    <w:p w14:paraId="448E9D1F" w14:textId="77777777" w:rsidR="007745DA" w:rsidRPr="007F69DA" w:rsidRDefault="007745DA" w:rsidP="00812008">
      <w:pPr>
        <w:pStyle w:val="berschrift1"/>
        <w:rPr>
          <w:b w:val="0"/>
          <w:color w:val="2E74B5"/>
          <w:szCs w:val="24"/>
        </w:rPr>
      </w:pPr>
      <w:r w:rsidRPr="00812008">
        <w:rPr>
          <w:color w:val="2E74B5"/>
        </w:rPr>
        <w:lastRenderedPageBreak/>
        <w:t>Segmentierungsverfahren</w:t>
      </w:r>
    </w:p>
    <w:p w14:paraId="2E2E997C" w14:textId="77777777" w:rsidR="007745DA" w:rsidRPr="007F69DA" w:rsidRDefault="007745DA" w:rsidP="007745DA">
      <w:pPr>
        <w:jc w:val="both"/>
        <w:rPr>
          <w:szCs w:val="24"/>
          <w:lang w:bidi="en-US"/>
        </w:rPr>
      </w:pPr>
      <w:r w:rsidRPr="007F69DA">
        <w:rPr>
          <w:szCs w:val="24"/>
          <w:lang w:bidi="en-US"/>
        </w:rPr>
        <w:t>Algorithmen, die bei der Clusteranalyse zum Einsatz kommen. Dabei werden Länder nicht anhand eines einzelnen vorgegebenen Kriteriums sortiert (bspw. geographische Distanz, sprachliche Distanz, ökonomischer Entwicklungsstand), sondern „segmentiert“: d.h. einem Cluster zugewiesen, das durch das gewählte Segmentierungsverfahren identifiziert wurde. Formal gesehen ist ein Cluster ein Muster, das aus einem n-dimensionalen Datensatz „herausgelesen“ wurde.</w:t>
      </w:r>
    </w:p>
    <w:p w14:paraId="4CC3011D" w14:textId="77777777" w:rsidR="007745DA" w:rsidRPr="007F69DA" w:rsidRDefault="007745DA" w:rsidP="007745DA">
      <w:pPr>
        <w:jc w:val="both"/>
        <w:rPr>
          <w:szCs w:val="24"/>
          <w:lang w:bidi="en-US"/>
        </w:rPr>
      </w:pPr>
    </w:p>
    <w:p w14:paraId="700E91EB" w14:textId="77777777" w:rsidR="007745DA" w:rsidRPr="007F69DA" w:rsidRDefault="007745DA" w:rsidP="007745DA">
      <w:pPr>
        <w:spacing w:before="60"/>
        <w:ind w:right="84"/>
        <w:jc w:val="both"/>
        <w:rPr>
          <w:rFonts w:eastAsia="Arial Unicode MS"/>
          <w:bCs/>
          <w:szCs w:val="24"/>
          <w:lang w:eastAsia="de-DE"/>
        </w:rPr>
      </w:pPr>
      <w:r w:rsidRPr="007F69DA">
        <w:rPr>
          <w:rFonts w:eastAsia="Arial Unicode MS"/>
          <w:bCs/>
          <w:szCs w:val="24"/>
          <w:lang w:eastAsia="de-DE"/>
        </w:rPr>
        <w:t>Die Clusteranalyse ist kein gänzlich objektives Verfahren. Wissenschaftler nehmen, wenn sie sich für bestimmte Distanzmaße und Fusionierungsalgorithmen entscheiden, nicht unerheblichen Einfluss auf das Ergebnis der Analyse. Bacher et al. 2010; Backhaus et al. 2023</w:t>
      </w:r>
    </w:p>
    <w:p w14:paraId="7A00E326" w14:textId="77777777" w:rsidR="007745DA" w:rsidRPr="007F69DA" w:rsidRDefault="007745DA" w:rsidP="007745DA">
      <w:pPr>
        <w:spacing w:before="180" w:after="120" w:line="240" w:lineRule="atLeast"/>
        <w:jc w:val="both"/>
        <w:rPr>
          <w:szCs w:val="24"/>
          <w:lang w:eastAsia="de-DE"/>
        </w:rPr>
      </w:pPr>
      <w:r w:rsidRPr="007F69DA">
        <w:rPr>
          <w:szCs w:val="24"/>
          <w:lang w:eastAsia="de-DE"/>
        </w:rPr>
        <w:t xml:space="preserve">Der </w:t>
      </w:r>
      <w:r w:rsidRPr="007F69DA">
        <w:rPr>
          <w:bCs/>
          <w:iCs/>
          <w:szCs w:val="24"/>
          <w:lang w:eastAsia="de-DE"/>
        </w:rPr>
        <w:t>Single</w:t>
      </w:r>
      <w:r w:rsidRPr="007F69DA">
        <w:rPr>
          <w:iCs/>
          <w:szCs w:val="24"/>
          <w:lang w:eastAsia="de-DE"/>
        </w:rPr>
        <w:t xml:space="preserve"> </w:t>
      </w:r>
      <w:r w:rsidRPr="007F69DA">
        <w:rPr>
          <w:bCs/>
          <w:iCs/>
          <w:szCs w:val="24"/>
          <w:lang w:eastAsia="de-DE"/>
        </w:rPr>
        <w:t>Linkage</w:t>
      </w:r>
      <w:r w:rsidRPr="007F69DA">
        <w:rPr>
          <w:bCs/>
          <w:szCs w:val="24"/>
          <w:lang w:eastAsia="de-DE"/>
        </w:rPr>
        <w:t>-Algorithmus</w:t>
      </w:r>
      <w:r w:rsidRPr="007F69DA">
        <w:rPr>
          <w:szCs w:val="24"/>
          <w:lang w:eastAsia="de-DE"/>
        </w:rPr>
        <w:t xml:space="preserve"> etwa</w:t>
      </w:r>
      <w:r w:rsidRPr="007F69DA">
        <w:rPr>
          <w:bCs/>
          <w:szCs w:val="24"/>
          <w:lang w:eastAsia="de-DE"/>
        </w:rPr>
        <w:t xml:space="preserve"> </w:t>
      </w:r>
      <w:r w:rsidRPr="007F69DA">
        <w:rPr>
          <w:szCs w:val="24"/>
          <w:lang w:eastAsia="de-DE"/>
        </w:rPr>
        <w:t xml:space="preserve">bestimmt die Entfernung zwischen zwei Gruppen anhand der zueinander am nächsten liegenden Objekte (hier: Länder), weshalb man auch vom </w:t>
      </w:r>
      <w:r w:rsidRPr="007F69DA">
        <w:rPr>
          <w:iCs/>
          <w:szCs w:val="24"/>
          <w:lang w:eastAsia="de-DE"/>
        </w:rPr>
        <w:t>Nearest Neighbor</w:t>
      </w:r>
      <w:r w:rsidRPr="007F69DA">
        <w:rPr>
          <w:szCs w:val="24"/>
          <w:lang w:eastAsia="de-DE"/>
        </w:rPr>
        <w:t xml:space="preserve">-Verfahren spricht. Das </w:t>
      </w:r>
      <w:r w:rsidRPr="007F69DA">
        <w:rPr>
          <w:bCs/>
          <w:iCs/>
          <w:szCs w:val="24"/>
          <w:lang w:eastAsia="de-DE"/>
        </w:rPr>
        <w:t>Complete Linkage</w:t>
      </w:r>
      <w:r w:rsidRPr="007F69DA">
        <w:rPr>
          <w:bCs/>
          <w:szCs w:val="24"/>
          <w:lang w:eastAsia="de-DE"/>
        </w:rPr>
        <w:t>-Verfahren</w:t>
      </w:r>
      <w:r w:rsidRPr="007F69DA">
        <w:rPr>
          <w:szCs w:val="24"/>
          <w:lang w:eastAsia="de-DE"/>
        </w:rPr>
        <w:t xml:space="preserve"> nimmt hingegen den Abstand zwischen den zwei unähnlichsten Objekten einer Gruppe als Maßstab für die Fusion ('furthest neighbor'). Folglich eignet sich das </w:t>
      </w:r>
      <w:r w:rsidRPr="007F69DA">
        <w:rPr>
          <w:iCs/>
          <w:szCs w:val="24"/>
          <w:lang w:eastAsia="de-DE"/>
        </w:rPr>
        <w:t>Single Linkage</w:t>
      </w:r>
      <w:r w:rsidRPr="007F69DA">
        <w:rPr>
          <w:szCs w:val="24"/>
          <w:lang w:eastAsia="de-DE"/>
        </w:rPr>
        <w:t xml:space="preserve">-Verfahren am besten zur Identifikation von „Ausreißern“, weshalb es häufig der eigentlichen Analyse vorgeschaltet wird. Wenn nötig, d.h. wenn sie das Gesamtergebnis nachhaltig verzerren würden, sind derartige atypische Fälle aus dem Datensatz zu entfernen. Anschließend bietet es sich an, das </w:t>
      </w:r>
      <w:r w:rsidRPr="007F69DA">
        <w:rPr>
          <w:bCs/>
          <w:iCs/>
          <w:szCs w:val="24"/>
          <w:lang w:eastAsia="de-DE"/>
        </w:rPr>
        <w:t>Ward</w:t>
      </w:r>
      <w:r w:rsidRPr="007F69DA">
        <w:rPr>
          <w:bCs/>
          <w:szCs w:val="24"/>
          <w:lang w:eastAsia="de-DE"/>
        </w:rPr>
        <w:t>-Verfahren</w:t>
      </w:r>
      <w:r w:rsidRPr="007F69DA">
        <w:rPr>
          <w:szCs w:val="24"/>
          <w:lang w:eastAsia="de-DE"/>
        </w:rPr>
        <w:t xml:space="preserve"> einzusetzen. Dieses bietet mehrere Vorteile: Es ...</w:t>
      </w:r>
    </w:p>
    <w:p w14:paraId="0F170F89" w14:textId="77777777" w:rsidR="007745DA" w:rsidRPr="007F69DA" w:rsidRDefault="007745DA" w:rsidP="00812008">
      <w:pPr>
        <w:widowControl/>
        <w:numPr>
          <w:ilvl w:val="0"/>
          <w:numId w:val="25"/>
        </w:numPr>
        <w:tabs>
          <w:tab w:val="left" w:pos="227"/>
        </w:tabs>
        <w:autoSpaceDE/>
        <w:autoSpaceDN/>
        <w:spacing w:before="60" w:line="264" w:lineRule="auto"/>
        <w:ind w:left="567"/>
        <w:jc w:val="both"/>
        <w:rPr>
          <w:bCs/>
          <w:szCs w:val="24"/>
          <w:lang w:eastAsia="de-DE"/>
        </w:rPr>
      </w:pPr>
      <w:r w:rsidRPr="007F69DA">
        <w:rPr>
          <w:bCs/>
          <w:szCs w:val="24"/>
          <w:lang w:eastAsia="de-DE"/>
        </w:rPr>
        <w:t xml:space="preserve">gewährleistet die sog. </w:t>
      </w:r>
      <w:r w:rsidRPr="007F69DA">
        <w:rPr>
          <w:szCs w:val="24"/>
          <w:lang w:eastAsia="de-DE"/>
        </w:rPr>
        <w:t>Monotonie des Heterogenitätsmaßes</w:t>
      </w:r>
      <w:r w:rsidRPr="007F69DA">
        <w:rPr>
          <w:bCs/>
          <w:szCs w:val="24"/>
          <w:lang w:eastAsia="de-DE"/>
        </w:rPr>
        <w:t>, d.h. es treten keine Inversionen auf (= mit abnehmender Gruppenzahl steigt die Varianz in den Clustern). Umgekehrt werden die Gruppen in sich immer homogener, je mehr Cluster man unterscheidet.</w:t>
      </w:r>
    </w:p>
    <w:p w14:paraId="02BBAF73" w14:textId="77777777" w:rsidR="007745DA" w:rsidRPr="007F69DA" w:rsidRDefault="007745DA" w:rsidP="00812008">
      <w:pPr>
        <w:widowControl/>
        <w:numPr>
          <w:ilvl w:val="0"/>
          <w:numId w:val="25"/>
        </w:numPr>
        <w:tabs>
          <w:tab w:val="left" w:pos="227"/>
        </w:tabs>
        <w:autoSpaceDE/>
        <w:autoSpaceDN/>
        <w:spacing w:before="60" w:line="264" w:lineRule="auto"/>
        <w:ind w:left="567"/>
        <w:jc w:val="both"/>
        <w:rPr>
          <w:bCs/>
          <w:szCs w:val="24"/>
          <w:lang w:eastAsia="de-DE"/>
        </w:rPr>
      </w:pPr>
      <w:r w:rsidRPr="007F69DA">
        <w:rPr>
          <w:bCs/>
          <w:szCs w:val="24"/>
          <w:lang w:eastAsia="de-DE"/>
        </w:rPr>
        <w:t xml:space="preserve">neigt anders als das </w:t>
      </w:r>
      <w:r w:rsidRPr="007F69DA">
        <w:rPr>
          <w:bCs/>
          <w:iCs/>
          <w:szCs w:val="24"/>
          <w:lang w:eastAsia="de-DE"/>
        </w:rPr>
        <w:t>Single Linkage</w:t>
      </w:r>
      <w:r w:rsidRPr="007F69DA">
        <w:rPr>
          <w:bCs/>
          <w:szCs w:val="24"/>
          <w:lang w:eastAsia="de-DE"/>
        </w:rPr>
        <w:t xml:space="preserve">-Verfahren nicht zur Kettenbildung. Davon spricht man, wenn einerseits wenige große Cluster gebildet werden und andererseits viele kleine. Manchmal allerdings kann dieser sog. </w:t>
      </w:r>
      <w:r w:rsidRPr="007F69DA">
        <w:rPr>
          <w:szCs w:val="24"/>
          <w:lang w:eastAsia="de-DE"/>
        </w:rPr>
        <w:t>Kontraktions-Effekt</w:t>
      </w:r>
      <w:r w:rsidRPr="007F69DA">
        <w:rPr>
          <w:bCs/>
          <w:szCs w:val="24"/>
          <w:lang w:eastAsia="de-DE"/>
        </w:rPr>
        <w:t xml:space="preserve"> gewollt sein; nämlich dann, wenn das Untersuchungsziel lautet, kleine Gruppen zu identifizieren.</w:t>
      </w:r>
    </w:p>
    <w:p w14:paraId="7546767D" w14:textId="77777777" w:rsidR="007745DA" w:rsidRPr="007F69DA" w:rsidRDefault="007745DA" w:rsidP="00812008">
      <w:pPr>
        <w:widowControl/>
        <w:numPr>
          <w:ilvl w:val="0"/>
          <w:numId w:val="25"/>
        </w:numPr>
        <w:tabs>
          <w:tab w:val="left" w:pos="227"/>
        </w:tabs>
        <w:autoSpaceDE/>
        <w:autoSpaceDN/>
        <w:spacing w:before="60" w:line="264" w:lineRule="auto"/>
        <w:ind w:left="567"/>
        <w:jc w:val="both"/>
        <w:rPr>
          <w:bCs/>
          <w:szCs w:val="24"/>
          <w:lang w:eastAsia="de-DE"/>
        </w:rPr>
      </w:pPr>
      <w:r w:rsidRPr="007F69DA">
        <w:rPr>
          <w:bCs/>
          <w:szCs w:val="24"/>
          <w:lang w:eastAsia="de-DE"/>
        </w:rPr>
        <w:t>neigt auch nicht zum</w:t>
      </w:r>
      <w:r w:rsidRPr="007F69DA">
        <w:rPr>
          <w:szCs w:val="24"/>
          <w:lang w:eastAsia="de-DE"/>
        </w:rPr>
        <w:t xml:space="preserve"> Dilatations-Effekt</w:t>
      </w:r>
      <w:r w:rsidRPr="007F69DA">
        <w:rPr>
          <w:bCs/>
          <w:szCs w:val="24"/>
          <w:lang w:eastAsia="de-DE"/>
        </w:rPr>
        <w:t>: Somit besteht weiterhin keine Gefahr, dass (zu) viele kleine Gruppen gebildet werden. Für das Interkulturelle Marketing wäre dies im Regelfall ungünstig, da man nur dann auf spürbare Kostenvorteile hoffen kann, wenn die Zahl standardisiert bearbeitbarer Länder innerhalb eines Clusters hinreichend groß ist.</w:t>
      </w:r>
    </w:p>
    <w:p w14:paraId="2B3C7D98" w14:textId="77777777" w:rsidR="007745DA" w:rsidRPr="007F69DA" w:rsidRDefault="007745DA" w:rsidP="00812008">
      <w:pPr>
        <w:widowControl/>
        <w:numPr>
          <w:ilvl w:val="0"/>
          <w:numId w:val="25"/>
        </w:numPr>
        <w:tabs>
          <w:tab w:val="left" w:pos="227"/>
        </w:tabs>
        <w:autoSpaceDE/>
        <w:autoSpaceDN/>
        <w:spacing w:before="60" w:line="264" w:lineRule="auto"/>
        <w:ind w:left="567"/>
        <w:jc w:val="both"/>
        <w:rPr>
          <w:bCs/>
          <w:lang w:eastAsia="de-DE"/>
        </w:rPr>
      </w:pPr>
      <w:r w:rsidRPr="007F69DA">
        <w:rPr>
          <w:bCs/>
          <w:szCs w:val="24"/>
          <w:lang w:eastAsia="de-DE"/>
        </w:rPr>
        <w:t xml:space="preserve">nutzt die zu minimierende Zunahme der Fehlerquadratsumme als Kriterium zur Verschmelzung von Clustern. Diese Eigenschaft ist aus Marketingsicht besonders wichtig, da es </w:t>
      </w:r>
      <w:r w:rsidRPr="007F69DA">
        <w:rPr>
          <w:szCs w:val="24"/>
          <w:lang w:eastAsia="de-DE"/>
        </w:rPr>
        <w:t>größtmöglicher Homogenität</w:t>
      </w:r>
      <w:r w:rsidRPr="007F69DA">
        <w:rPr>
          <w:bCs/>
          <w:szCs w:val="24"/>
          <w:lang w:eastAsia="de-DE"/>
        </w:rPr>
        <w:t xml:space="preserve"> innerhalb der Cluster bedarf, um die </w:t>
      </w:r>
      <w:r w:rsidRPr="007F69DA">
        <w:rPr>
          <w:bCs/>
          <w:lang w:eastAsia="de-DE"/>
        </w:rPr>
        <w:t>absatzpolitischen Instrumente (z.B. Werbung) mit geringem Streuverlust einsetzen zu können.</w:t>
      </w:r>
    </w:p>
    <w:p w14:paraId="4AAAF514" w14:textId="77777777" w:rsidR="007745DA" w:rsidRPr="007F69DA" w:rsidRDefault="007745DA" w:rsidP="007745DA">
      <w:pPr>
        <w:tabs>
          <w:tab w:val="left" w:pos="227"/>
        </w:tabs>
        <w:spacing w:before="60" w:line="264" w:lineRule="auto"/>
        <w:ind w:left="709"/>
        <w:jc w:val="both"/>
        <w:rPr>
          <w:bCs/>
          <w:lang w:eastAsia="de-DE"/>
        </w:rPr>
      </w:pPr>
    </w:p>
    <w:p w14:paraId="1B88D756" w14:textId="77777777" w:rsidR="007745DA" w:rsidRPr="007F69DA" w:rsidRDefault="007745DA" w:rsidP="007745DA">
      <w:pPr>
        <w:rPr>
          <w:bCs/>
          <w:noProof/>
        </w:rPr>
      </w:pPr>
      <w:r w:rsidRPr="00812008">
        <w:rPr>
          <w:b/>
          <w:i/>
          <w:noProof/>
        </w:rPr>
        <w:t>Literatur:</w:t>
      </w:r>
      <w:r w:rsidRPr="00BF04C9">
        <w:rPr>
          <w:bCs/>
          <w:i/>
          <w:noProof/>
        </w:rPr>
        <w:t xml:space="preserve"> </w:t>
      </w:r>
      <w:r w:rsidRPr="007F69DA">
        <w:rPr>
          <w:bCs/>
          <w:noProof/>
        </w:rPr>
        <w:t>Bacher, J., Pöge, A., &amp; Wenzig, K. (2010). Clusteranalyse. Anwendungsorientierte Einführung in Klassifikationsverfahren, 3. Aufl., München: Oldenbourg.   Backhaus, K., Erichson, B., Gensler, S., Weiber, R. &amp; Weiber, T. (2023). Multivariate Analysemethoden, 17. Aufl., Berlin: Springer.</w:t>
      </w:r>
    </w:p>
    <w:p w14:paraId="6BB9B443" w14:textId="77777777" w:rsidR="007745DA" w:rsidRPr="007F69DA" w:rsidRDefault="007745DA" w:rsidP="007745DA">
      <w:pPr>
        <w:rPr>
          <w:bCs/>
          <w:noProof/>
        </w:rPr>
      </w:pPr>
    </w:p>
    <w:p w14:paraId="5A2AEE06" w14:textId="77777777" w:rsidR="00FF7799" w:rsidRPr="00812008" w:rsidRDefault="00FF7799" w:rsidP="009355CA">
      <w:pPr>
        <w:pStyle w:val="berschrift1"/>
        <w:rPr>
          <w:color w:val="2E74B5"/>
        </w:rPr>
      </w:pPr>
      <w:r w:rsidRPr="00812008">
        <w:rPr>
          <w:color w:val="2E74B5"/>
        </w:rPr>
        <w:t>Selbstbild</w:t>
      </w:r>
    </w:p>
    <w:p w14:paraId="3BFA3485" w14:textId="77777777" w:rsidR="00E35FFF" w:rsidRPr="00E73F6F" w:rsidRDefault="00E35FFF" w:rsidP="00E35FFF">
      <w:pPr>
        <w:pStyle w:val="StandardText"/>
        <w:rPr>
          <w:spacing w:val="-2"/>
        </w:rPr>
      </w:pPr>
      <w:r>
        <w:t xml:space="preserve">Gesamtheit der </w:t>
      </w:r>
      <w:r w:rsidRPr="00E73F6F">
        <w:t>Vorstellungen, Hoffnungen und Befürchtungen</w:t>
      </w:r>
      <w:r>
        <w:t>, welche j</w:t>
      </w:r>
      <w:r w:rsidRPr="00E73F6F">
        <w:t xml:space="preserve">eder Mensch </w:t>
      </w:r>
      <w:r>
        <w:t>bezüglich sich</w:t>
      </w:r>
      <w:r w:rsidRPr="00E73F6F">
        <w:t xml:space="preserve"> selbst </w:t>
      </w:r>
      <w:r>
        <w:t xml:space="preserve">hat </w:t>
      </w:r>
      <w:r w:rsidRPr="00E73F6F">
        <w:t>(z.B. „ich bin kompromissbereit, ein guter Schwimmer, faul etc.). Zusammenfassend werden diese Kognitionen und Emotionen als Selbstbild bzw. Selbstkonzept bezeichnet.</w:t>
      </w:r>
      <w:r w:rsidR="00872828">
        <w:t xml:space="preserve"> </w:t>
      </w:r>
      <w:r w:rsidRPr="00E73F6F">
        <w:t>Das Bild, das sich Menschen von sich</w:t>
      </w:r>
      <w:r w:rsidRPr="00E73F6F">
        <w:rPr>
          <w:spacing w:val="-8"/>
        </w:rPr>
        <w:t xml:space="preserve"> </w:t>
      </w:r>
      <w:r w:rsidRPr="00E73F6F">
        <w:t>selbst</w:t>
      </w:r>
      <w:r w:rsidRPr="00E73F6F">
        <w:rPr>
          <w:spacing w:val="-9"/>
        </w:rPr>
        <w:t xml:space="preserve"> </w:t>
      </w:r>
      <w:r w:rsidRPr="00E73F6F">
        <w:t>machen</w:t>
      </w:r>
      <w:r w:rsidRPr="00E73F6F">
        <w:rPr>
          <w:spacing w:val="-8"/>
        </w:rPr>
        <w:t xml:space="preserve"> </w:t>
      </w:r>
      <w:r w:rsidRPr="00E73F6F">
        <w:t>(d.h.</w:t>
      </w:r>
      <w:r w:rsidRPr="00E73F6F">
        <w:rPr>
          <w:spacing w:val="-9"/>
        </w:rPr>
        <w:t xml:space="preserve"> </w:t>
      </w:r>
      <w:r w:rsidRPr="00E73F6F">
        <w:t>von</w:t>
      </w:r>
      <w:r w:rsidRPr="00E73F6F">
        <w:rPr>
          <w:spacing w:val="-8"/>
        </w:rPr>
        <w:t xml:space="preserve"> </w:t>
      </w:r>
      <w:r w:rsidRPr="00E73F6F">
        <w:t>ihrem</w:t>
      </w:r>
      <w:r w:rsidRPr="00E73F6F">
        <w:rPr>
          <w:spacing w:val="-10"/>
        </w:rPr>
        <w:t xml:space="preserve"> </w:t>
      </w:r>
      <w:r>
        <w:t xml:space="preserve">Selbst), </w:t>
      </w:r>
      <w:r w:rsidRPr="00E73F6F">
        <w:t>ist das Ergebnis der Identitätsbildung. Es besteht aus universellen Anteilen, die sich bei</w:t>
      </w:r>
      <w:r w:rsidRPr="00E73F6F">
        <w:rPr>
          <w:spacing w:val="-12"/>
        </w:rPr>
        <w:t xml:space="preserve"> </w:t>
      </w:r>
      <w:r w:rsidRPr="00E73F6F">
        <w:t>nahezu</w:t>
      </w:r>
      <w:r w:rsidRPr="00E73F6F">
        <w:rPr>
          <w:spacing w:val="-11"/>
        </w:rPr>
        <w:t xml:space="preserve"> </w:t>
      </w:r>
      <w:r w:rsidRPr="00E73F6F">
        <w:t>allen</w:t>
      </w:r>
      <w:r w:rsidRPr="00E73F6F">
        <w:rPr>
          <w:spacing w:val="-11"/>
        </w:rPr>
        <w:t xml:space="preserve"> </w:t>
      </w:r>
      <w:r w:rsidRPr="00E73F6F">
        <w:t>Mitgliedern</w:t>
      </w:r>
      <w:r w:rsidRPr="00E73F6F">
        <w:rPr>
          <w:spacing w:val="-11"/>
        </w:rPr>
        <w:t xml:space="preserve"> </w:t>
      </w:r>
      <w:r w:rsidRPr="00E73F6F">
        <w:t>einer</w:t>
      </w:r>
      <w:r w:rsidRPr="00E73F6F">
        <w:rPr>
          <w:spacing w:val="-12"/>
        </w:rPr>
        <w:t xml:space="preserve"> </w:t>
      </w:r>
      <w:r w:rsidRPr="00E73F6F">
        <w:t>(Sub-)Kultur</w:t>
      </w:r>
      <w:r w:rsidRPr="00E73F6F">
        <w:rPr>
          <w:spacing w:val="-11"/>
        </w:rPr>
        <w:t xml:space="preserve"> </w:t>
      </w:r>
      <w:r w:rsidRPr="00E73F6F">
        <w:t>nachweisen</w:t>
      </w:r>
      <w:r w:rsidRPr="00E73F6F">
        <w:rPr>
          <w:spacing w:val="-11"/>
        </w:rPr>
        <w:t xml:space="preserve"> </w:t>
      </w:r>
      <w:r w:rsidRPr="00E73F6F">
        <w:t>lassen:</w:t>
      </w:r>
      <w:r w:rsidRPr="00E73F6F">
        <w:rPr>
          <w:spacing w:val="-11"/>
        </w:rPr>
        <w:t xml:space="preserve"> </w:t>
      </w:r>
      <w:r w:rsidRPr="00E73F6F">
        <w:t>Beispielsweise sind über 90% der amerikanischen Studenten davon überzeugt, selbstkritischer, sensibler</w:t>
      </w:r>
      <w:r w:rsidRPr="00E73F6F">
        <w:rPr>
          <w:spacing w:val="-7"/>
        </w:rPr>
        <w:t xml:space="preserve"> </w:t>
      </w:r>
      <w:r w:rsidRPr="00E73F6F">
        <w:t>und</w:t>
      </w:r>
      <w:r w:rsidRPr="00E73F6F">
        <w:rPr>
          <w:spacing w:val="-3"/>
        </w:rPr>
        <w:t xml:space="preserve"> </w:t>
      </w:r>
      <w:r w:rsidRPr="00E73F6F">
        <w:t>humorvoller</w:t>
      </w:r>
      <w:r w:rsidRPr="00E73F6F">
        <w:rPr>
          <w:spacing w:val="-2"/>
        </w:rPr>
        <w:t xml:space="preserve"> </w:t>
      </w:r>
      <w:r w:rsidRPr="00E73F6F">
        <w:t>zu</w:t>
      </w:r>
      <w:r w:rsidRPr="00E73F6F">
        <w:rPr>
          <w:spacing w:val="-3"/>
        </w:rPr>
        <w:t xml:space="preserve"> </w:t>
      </w:r>
      <w:r w:rsidRPr="00E73F6F">
        <w:t>sein</w:t>
      </w:r>
      <w:r w:rsidRPr="00E73F6F">
        <w:rPr>
          <w:spacing w:val="-2"/>
        </w:rPr>
        <w:t xml:space="preserve"> </w:t>
      </w:r>
      <w:r w:rsidRPr="00E73F6F">
        <w:t>als</w:t>
      </w:r>
      <w:r w:rsidRPr="00E73F6F">
        <w:rPr>
          <w:spacing w:val="-4"/>
        </w:rPr>
        <w:t xml:space="preserve"> </w:t>
      </w:r>
      <w:r w:rsidRPr="00E73F6F">
        <w:t>die</w:t>
      </w:r>
      <w:r w:rsidRPr="00E73F6F">
        <w:rPr>
          <w:spacing w:val="-2"/>
        </w:rPr>
        <w:t xml:space="preserve"> </w:t>
      </w:r>
      <w:r w:rsidRPr="00E73F6F">
        <w:lastRenderedPageBreak/>
        <w:t>meisten</w:t>
      </w:r>
      <w:r w:rsidRPr="00E73F6F">
        <w:rPr>
          <w:spacing w:val="-2"/>
        </w:rPr>
        <w:t xml:space="preserve"> </w:t>
      </w:r>
      <w:r w:rsidRPr="00E73F6F">
        <w:t>anderen</w:t>
      </w:r>
      <w:r w:rsidRPr="00E73F6F">
        <w:rPr>
          <w:spacing w:val="-3"/>
        </w:rPr>
        <w:t xml:space="preserve"> </w:t>
      </w:r>
      <w:r w:rsidRPr="00E73F6F">
        <w:t>Menschen.</w:t>
      </w:r>
      <w:r w:rsidRPr="00E73F6F">
        <w:rPr>
          <w:spacing w:val="4"/>
        </w:rPr>
        <w:t xml:space="preserve"> </w:t>
      </w:r>
      <w:r w:rsidRPr="00E73F6F">
        <w:t>Der</w:t>
      </w:r>
      <w:r w:rsidRPr="00E73F6F">
        <w:rPr>
          <w:spacing w:val="-3"/>
        </w:rPr>
        <w:t xml:space="preserve"> </w:t>
      </w:r>
      <w:r w:rsidRPr="00E73F6F">
        <w:rPr>
          <w:spacing w:val="-2"/>
        </w:rPr>
        <w:t>weitaus</w:t>
      </w:r>
      <w:r w:rsidRPr="00E73F6F">
        <w:t xml:space="preserve"> größte Teil des Selbstkonzepts besteht jedoch aus individual-typischen Anteilen. Allerdings darf man sich „das Selbst“ nicht, wie anfangs die Persönlichkeitspsychologie,</w:t>
      </w:r>
      <w:r w:rsidRPr="00E73F6F">
        <w:rPr>
          <w:spacing w:val="-11"/>
        </w:rPr>
        <w:t xml:space="preserve"> </w:t>
      </w:r>
      <w:r w:rsidRPr="00E73F6F">
        <w:t>als</w:t>
      </w:r>
      <w:r w:rsidRPr="00E73F6F">
        <w:rPr>
          <w:spacing w:val="-10"/>
        </w:rPr>
        <w:t xml:space="preserve"> </w:t>
      </w:r>
      <w:r w:rsidRPr="00E73F6F">
        <w:t>ein</w:t>
      </w:r>
      <w:r w:rsidRPr="00E73F6F">
        <w:rPr>
          <w:spacing w:val="-9"/>
        </w:rPr>
        <w:t xml:space="preserve"> </w:t>
      </w:r>
      <w:r w:rsidRPr="00E73F6F">
        <w:t>festgefügtes</w:t>
      </w:r>
      <w:r w:rsidRPr="00E73F6F">
        <w:rPr>
          <w:spacing w:val="-11"/>
        </w:rPr>
        <w:t xml:space="preserve"> </w:t>
      </w:r>
      <w:r w:rsidRPr="00E73F6F">
        <w:t>Ganzes</w:t>
      </w:r>
      <w:r w:rsidRPr="00E73F6F">
        <w:rPr>
          <w:spacing w:val="-11"/>
        </w:rPr>
        <w:t xml:space="preserve"> </w:t>
      </w:r>
      <w:r w:rsidRPr="00E73F6F">
        <w:t>vorstellen.</w:t>
      </w:r>
      <w:r w:rsidRPr="00E73F6F">
        <w:rPr>
          <w:spacing w:val="-12"/>
        </w:rPr>
        <w:t xml:space="preserve"> </w:t>
      </w:r>
      <w:r w:rsidRPr="00E73F6F">
        <w:t>Vielmehr</w:t>
      </w:r>
      <w:r w:rsidRPr="00E73F6F">
        <w:rPr>
          <w:spacing w:val="-9"/>
        </w:rPr>
        <w:t xml:space="preserve"> </w:t>
      </w:r>
      <w:r w:rsidRPr="00E73F6F">
        <w:t>ist</w:t>
      </w:r>
      <w:r w:rsidRPr="00E73F6F">
        <w:rPr>
          <w:spacing w:val="-10"/>
        </w:rPr>
        <w:t xml:space="preserve"> </w:t>
      </w:r>
      <w:r w:rsidRPr="00E73F6F">
        <w:t xml:space="preserve">es ein Konglomerat von Selbstbildern, Selbstschemata, Selbstthesen und </w:t>
      </w:r>
      <w:r w:rsidRPr="00E73F6F">
        <w:rPr>
          <w:spacing w:val="-2"/>
        </w:rPr>
        <w:t>Selbstzielsetzungen.</w:t>
      </w:r>
    </w:p>
    <w:p w14:paraId="08BDB214" w14:textId="77777777" w:rsidR="00E35FFF" w:rsidRPr="00E73F6F" w:rsidRDefault="00E35FFF" w:rsidP="00E35FFF">
      <w:pPr>
        <w:pStyle w:val="StandardText"/>
      </w:pPr>
      <w:bookmarkStart w:id="165" w:name="_Toc297282282"/>
      <w:bookmarkStart w:id="166" w:name="_Toc75174979"/>
      <w:bookmarkStart w:id="167" w:name="_Toc73438032"/>
      <w:r w:rsidRPr="00E73F6F">
        <w:t>Im Mittelpunkt des Konstrukts der relationalen Kultur</w:t>
      </w:r>
      <w:bookmarkEnd w:id="165"/>
      <w:bookmarkEnd w:id="166"/>
      <w:bookmarkEnd w:id="167"/>
      <w:r w:rsidRPr="00E73F6F">
        <w:t xml:space="preserve"> stehen die Art der Beziehungen zwischen den Mitgliedern einer Gesellschaft sowie das Konzept der Selbstorientierung (vgl. Kagitçibasi 1997, S.36ff.). Der Wunsch, gleich wie und zugleich anders als die anderen Menschen zu sein, ist universell (vgl. Bakan 1966). Diese Erkenntnis führt zur Unterscheidung von abhängigem Selbst und unabhängigem Selbst (vgl. Markus/Kitayama 1991). Denn das innere Bild, das ein Mensch von sich selbst hat (d.h. dessen Selbst, Selbstkonzept bzw. Selbstbild), kann die Abhängigkeit oder die Unabhängigkeit von anderen, der Gesellschaft etc. betonen. Deshalb wird das </w:t>
      </w:r>
      <w:r w:rsidRPr="00E73F6F">
        <w:rPr>
          <w:bCs/>
        </w:rPr>
        <w:t>„abhängige“</w:t>
      </w:r>
      <w:r w:rsidRPr="00E73F6F">
        <w:t xml:space="preserve"> Selbstkonzept bisweilen auch als </w:t>
      </w:r>
      <w:r w:rsidRPr="00E73F6F">
        <w:rPr>
          <w:bCs/>
        </w:rPr>
        <w:t>„vernetztes“</w:t>
      </w:r>
      <w:r w:rsidRPr="00E73F6F">
        <w:t xml:space="preserve"> Selbstkonzept bezeichnet. </w:t>
      </w:r>
    </w:p>
    <w:p w14:paraId="706561FC" w14:textId="77777777" w:rsidR="00E35FFF" w:rsidRDefault="00E35FFF" w:rsidP="00E35FFF">
      <w:pPr>
        <w:pStyle w:val="StandardText"/>
      </w:pPr>
      <w:r w:rsidRPr="00E73F6F">
        <w:t>Beide, das abhängige und das unabhängige Selbst, lassen sich sowohl in individualistischen wie auch in kollektivistischen Kulturen nachweisen, wenn auch in unterschiedlichen Erscheinungsformen. So kennen auch kollektivistische Gesellschaften das „eigentlich typisch individualistische“ Ideal der Unabhängigkeit. Allerdings meint es dort die Fähigkeit, unabhängig von der Ursprungsfamilie mit anderen interagieren und Beziehungen eingehen zu können.</w:t>
      </w:r>
    </w:p>
    <w:p w14:paraId="7C6CEDA4" w14:textId="77777777" w:rsidR="00C85BF5" w:rsidRPr="0076699A" w:rsidRDefault="00C85BF5" w:rsidP="00C274AE">
      <w:pPr>
        <w:pStyle w:val="Literatur"/>
        <w:numPr>
          <w:ilvl w:val="0"/>
          <w:numId w:val="0"/>
        </w:numPr>
        <w:tabs>
          <w:tab w:val="clear" w:pos="284"/>
          <w:tab w:val="left" w:pos="142"/>
        </w:tabs>
        <w:spacing w:line="240" w:lineRule="auto"/>
        <w:rPr>
          <w:b/>
          <w:bCs w:val="0"/>
          <w:sz w:val="22"/>
          <w:szCs w:val="22"/>
        </w:rPr>
      </w:pPr>
    </w:p>
    <w:p w14:paraId="79E59866" w14:textId="77777777" w:rsidR="00C274AE" w:rsidRPr="00C85BF5" w:rsidRDefault="00C274AE" w:rsidP="00C274AE">
      <w:pPr>
        <w:pStyle w:val="Literatur"/>
        <w:numPr>
          <w:ilvl w:val="0"/>
          <w:numId w:val="0"/>
        </w:numPr>
        <w:tabs>
          <w:tab w:val="clear" w:pos="284"/>
          <w:tab w:val="left" w:pos="142"/>
        </w:tabs>
        <w:spacing w:line="240" w:lineRule="auto"/>
        <w:rPr>
          <w:sz w:val="22"/>
          <w:szCs w:val="22"/>
          <w:lang w:val="en-US"/>
        </w:rPr>
      </w:pPr>
      <w:r w:rsidRPr="00C85BF5">
        <w:rPr>
          <w:b/>
          <w:bCs w:val="0"/>
          <w:i/>
          <w:sz w:val="22"/>
          <w:szCs w:val="22"/>
          <w:lang w:val="en-US"/>
        </w:rPr>
        <w:t>Literatur:</w:t>
      </w:r>
      <w:r w:rsidRPr="00C85BF5">
        <w:rPr>
          <w:b/>
          <w:sz w:val="22"/>
          <w:szCs w:val="22"/>
          <w:lang w:val="en-US"/>
        </w:rPr>
        <w:t xml:space="preserve">  </w:t>
      </w:r>
      <w:r w:rsidRPr="00C85BF5">
        <w:rPr>
          <w:sz w:val="22"/>
          <w:szCs w:val="22"/>
          <w:lang w:val="en-US"/>
        </w:rPr>
        <w:t xml:space="preserve">Bakan, D. (1966): The Duality of Human Existence. An Essay on Psychology and Religion, Oxford: Rand McNally.   </w:t>
      </w:r>
      <w:r w:rsidRPr="00C85BF5">
        <w:rPr>
          <w:sz w:val="22"/>
          <w:szCs w:val="22"/>
          <w:lang w:val="en-GB"/>
        </w:rPr>
        <w:t xml:space="preserve">Kagitçibasi, C. (1997): Individualism and Collectivism, in: Berry J.W.; Segal, M.H.; Kagitçibasi, C. (Eds.), Handbook of Cross-Cultural Psychology. Social Behavior and Applications, Vol.3, 2nd Ed., 1-49, Boston/MA: Allyn &amp; Bacon.   </w:t>
      </w:r>
      <w:r w:rsidRPr="00C85BF5">
        <w:rPr>
          <w:sz w:val="22"/>
          <w:szCs w:val="22"/>
          <w:lang w:val="en-US"/>
        </w:rPr>
        <w:t>Markus, H.R.; Kitayama, S. (1991): Culture and the Self. Implications for Cognition, Emotion, and Motivation, Psychological Review, 98(2): 224-253.    Markus, H.R.; Kitayama, S. (2003): Culture, Self, and the Reality of the Social, Psychological Inquiry, 14(3/4): 277-283.</w:t>
      </w:r>
    </w:p>
    <w:p w14:paraId="78146994" w14:textId="77777777" w:rsidR="00C274AE" w:rsidRPr="00C85BF5" w:rsidRDefault="00C274AE" w:rsidP="00C274AE">
      <w:pPr>
        <w:pStyle w:val="StandardText"/>
        <w:tabs>
          <w:tab w:val="left" w:pos="142"/>
        </w:tabs>
        <w:ind w:hanging="142"/>
        <w:rPr>
          <w:b/>
          <w:bCs/>
          <w:sz w:val="22"/>
          <w:szCs w:val="22"/>
          <w:lang w:val="en-US"/>
        </w:rPr>
      </w:pPr>
    </w:p>
    <w:p w14:paraId="42233B97" w14:textId="77777777" w:rsidR="00FF7799" w:rsidRPr="00812008" w:rsidRDefault="00FF7799" w:rsidP="009355CA">
      <w:pPr>
        <w:pStyle w:val="berschrift1"/>
        <w:rPr>
          <w:color w:val="2E74B5"/>
        </w:rPr>
      </w:pPr>
      <w:r w:rsidRPr="00812008">
        <w:rPr>
          <w:color w:val="2E74B5"/>
        </w:rPr>
        <w:t>Selbstwirksamkeit</w:t>
      </w:r>
    </w:p>
    <w:p w14:paraId="5CB1EE30" w14:textId="77777777" w:rsidR="00FF7799" w:rsidRPr="00E73F6F" w:rsidRDefault="00FF7799" w:rsidP="0046492B">
      <w:pPr>
        <w:pStyle w:val="StandardText"/>
      </w:pPr>
      <w:r w:rsidRPr="00E73F6F">
        <w:t>„Überzeugung, dass es im Bereich der eigenen Möglichkeiten bzw. Fähigkeiten liegt,</w:t>
      </w:r>
      <w:r w:rsidRPr="00E73F6F">
        <w:rPr>
          <w:spacing w:val="-1"/>
        </w:rPr>
        <w:t xml:space="preserve"> </w:t>
      </w:r>
      <w:r w:rsidRPr="00E73F6F">
        <w:t>bestimmte Handlungen</w:t>
      </w:r>
      <w:r w:rsidRPr="00E73F6F">
        <w:rPr>
          <w:spacing w:val="-1"/>
        </w:rPr>
        <w:t xml:space="preserve"> </w:t>
      </w:r>
      <w:r w:rsidRPr="00E73F6F">
        <w:t>auszuführen, die zum gewünschten</w:t>
      </w:r>
      <w:r w:rsidRPr="00E73F6F">
        <w:rPr>
          <w:spacing w:val="-1"/>
        </w:rPr>
        <w:t xml:space="preserve"> </w:t>
      </w:r>
      <w:r w:rsidRPr="00E73F6F">
        <w:t>Ergebnis führen werden“ (Aronson et al. 2004, S.539).</w:t>
      </w:r>
    </w:p>
    <w:p w14:paraId="310B9B94" w14:textId="77777777" w:rsidR="00FF7799" w:rsidRPr="00C85BF5" w:rsidRDefault="00FF7799" w:rsidP="0046492B">
      <w:pPr>
        <w:pStyle w:val="StandardText"/>
        <w:rPr>
          <w:sz w:val="22"/>
          <w:szCs w:val="22"/>
        </w:rPr>
      </w:pPr>
      <w:r w:rsidRPr="00C85BF5">
        <w:rPr>
          <w:b/>
          <w:i/>
          <w:sz w:val="22"/>
          <w:szCs w:val="22"/>
        </w:rPr>
        <w:t>Literatur</w:t>
      </w:r>
      <w:r w:rsidRPr="00C85BF5">
        <w:rPr>
          <w:b/>
          <w:sz w:val="22"/>
          <w:szCs w:val="22"/>
        </w:rPr>
        <w:t xml:space="preserve">: </w:t>
      </w:r>
      <w:r w:rsidRPr="00C85BF5">
        <w:rPr>
          <w:sz w:val="22"/>
          <w:szCs w:val="22"/>
        </w:rPr>
        <w:t>Aronson, E.; Wilson, T.D.; Akert, R.M. (2004): Sozialpsychologie, 4.Aufl.,</w:t>
      </w:r>
      <w:r w:rsidRPr="00C85BF5">
        <w:rPr>
          <w:spacing w:val="40"/>
          <w:sz w:val="22"/>
          <w:szCs w:val="22"/>
        </w:rPr>
        <w:t xml:space="preserve"> </w:t>
      </w:r>
      <w:r w:rsidRPr="00C85BF5">
        <w:rPr>
          <w:sz w:val="22"/>
          <w:szCs w:val="22"/>
        </w:rPr>
        <w:t>München: Pearson.</w:t>
      </w:r>
    </w:p>
    <w:p w14:paraId="255C4513" w14:textId="77777777" w:rsidR="00FF7799" w:rsidRPr="00E73F6F" w:rsidRDefault="00FF7799" w:rsidP="0046492B">
      <w:pPr>
        <w:pStyle w:val="StandardText"/>
      </w:pPr>
    </w:p>
    <w:p w14:paraId="5FD2A83E" w14:textId="77777777" w:rsidR="00FF7799" w:rsidRPr="00E73F6F" w:rsidRDefault="00FF7799" w:rsidP="00862DBA">
      <w:pPr>
        <w:rPr>
          <w:sz w:val="24"/>
          <w:szCs w:val="24"/>
        </w:rPr>
      </w:pPr>
      <w:r w:rsidRPr="00812008">
        <w:rPr>
          <w:b/>
          <w:bCs/>
          <w:color w:val="2E74B5"/>
          <w:sz w:val="24"/>
        </w:rPr>
        <w:t>Silent Language</w:t>
      </w:r>
      <w:r w:rsidRPr="00E73F6F">
        <w:rPr>
          <w:sz w:val="24"/>
          <w:szCs w:val="24"/>
        </w:rPr>
        <w:t xml:space="preserve"> </w:t>
      </w:r>
      <w:r w:rsidRPr="00E73F6F">
        <w:rPr>
          <w:b/>
        </w:rPr>
        <w:t>→</w:t>
      </w:r>
      <w:r w:rsidRPr="00E73F6F">
        <w:rPr>
          <w:spacing w:val="-4"/>
          <w:sz w:val="24"/>
          <w:szCs w:val="24"/>
        </w:rPr>
        <w:t xml:space="preserve"> Direktheit </w:t>
      </w:r>
      <w:r w:rsidRPr="00E73F6F">
        <w:rPr>
          <w:sz w:val="24"/>
          <w:szCs w:val="24"/>
        </w:rPr>
        <w:t>der Kommunikation</w:t>
      </w:r>
    </w:p>
    <w:p w14:paraId="6A9C578A" w14:textId="77777777" w:rsidR="007745DA" w:rsidRPr="007F69DA" w:rsidRDefault="007745DA" w:rsidP="007745DA">
      <w:pPr>
        <w:keepNext/>
        <w:keepLines/>
        <w:spacing w:before="240"/>
        <w:jc w:val="both"/>
        <w:outlineLvl w:val="1"/>
        <w:rPr>
          <w:b/>
          <w:color w:val="2E74B5"/>
        </w:rPr>
      </w:pPr>
      <w:r w:rsidRPr="00812008">
        <w:rPr>
          <w:b/>
          <w:bCs/>
          <w:color w:val="2E74B5"/>
          <w:sz w:val="24"/>
        </w:rPr>
        <w:t>Sensibilität, interkulturelle</w:t>
      </w:r>
      <w:r w:rsidRPr="007F69DA">
        <w:rPr>
          <w:b/>
          <w:color w:val="2E74B5"/>
        </w:rPr>
        <w:t xml:space="preserve"> </w:t>
      </w:r>
    </w:p>
    <w:p w14:paraId="0AD73A34" w14:textId="77777777" w:rsidR="007745DA" w:rsidRPr="007F69DA" w:rsidRDefault="007745DA" w:rsidP="007745DA">
      <w:pPr>
        <w:jc w:val="both"/>
        <w:rPr>
          <w:szCs w:val="24"/>
          <w:lang w:bidi="en-US"/>
        </w:rPr>
      </w:pPr>
      <w:r w:rsidRPr="007F69DA">
        <w:rPr>
          <w:szCs w:val="24"/>
          <w:lang w:bidi="en-US"/>
        </w:rPr>
        <w:t xml:space="preserve">zentrales, zur Erklärung interkultureller Kompetenz entwickeltes </w:t>
      </w:r>
      <w:r w:rsidRPr="007F69DA">
        <w:rPr>
          <w:szCs w:val="24"/>
          <w:lang w:bidi="en-US"/>
        </w:rPr>
        <w:sym w:font="Symbol" w:char="F0DE"/>
      </w:r>
      <w:r w:rsidRPr="007F69DA">
        <w:rPr>
          <w:szCs w:val="24"/>
          <w:lang w:bidi="en-US"/>
        </w:rPr>
        <w:t xml:space="preserve"> Konstrukt ( </w:t>
      </w:r>
      <w:r w:rsidRPr="007F69DA">
        <w:rPr>
          <w:szCs w:val="24"/>
          <w:lang w:bidi="en-US"/>
        </w:rPr>
        <w:sym w:font="Symbol" w:char="F0DE"/>
      </w:r>
      <w:r w:rsidRPr="007F69DA">
        <w:rPr>
          <w:szCs w:val="24"/>
          <w:lang w:bidi="en-US"/>
        </w:rPr>
        <w:t xml:space="preserve"> Kompetenz, interkulturelle). Sensibilität meint zunächst die Fähigkeit, relevante Umweltreize zu erkennen und zu verarbeiten. Im vorliegenden Fall stehen dabei kulturbedingte Unterschiede im Denken und Handeln im Mittelpunkt des Interesses. Aufgabe eines interkulturellen Trainings ist es, Weltoffenheit zu fördern (</w:t>
      </w:r>
      <w:r w:rsidRPr="007F69DA">
        <w:rPr>
          <w:szCs w:val="24"/>
          <w:lang w:bidi="en-US"/>
        </w:rPr>
        <w:sym w:font="Symbol" w:char="F0DE"/>
      </w:r>
      <w:r w:rsidRPr="007F69DA">
        <w:rPr>
          <w:szCs w:val="24"/>
          <w:lang w:bidi="en-US"/>
        </w:rPr>
        <w:t xml:space="preserve"> Global Citizen), einer stereotypisierenden Wahrnehmung fremdkultureller Phänomene entgegenzuwirken sowie realistische Erwartungen an das Leben und Arbeiten in einem fremd-kulturellen Kontext zu fördern (</w:t>
      </w:r>
      <w:r w:rsidRPr="007F69DA">
        <w:rPr>
          <w:szCs w:val="24"/>
          <w:lang w:bidi="en-US"/>
        </w:rPr>
        <w:sym w:font="Symbol" w:char="F0DE"/>
      </w:r>
      <w:r w:rsidRPr="007F69DA">
        <w:rPr>
          <w:szCs w:val="24"/>
          <w:lang w:bidi="en-US"/>
        </w:rPr>
        <w:t xml:space="preserve"> Stereotyp). </w:t>
      </w:r>
    </w:p>
    <w:p w14:paraId="7DE09409" w14:textId="77777777" w:rsidR="007745DA" w:rsidRPr="007F69DA" w:rsidRDefault="007745DA" w:rsidP="007745DA">
      <w:pPr>
        <w:jc w:val="both"/>
        <w:rPr>
          <w:szCs w:val="24"/>
          <w:lang w:bidi="en-US"/>
        </w:rPr>
      </w:pPr>
    </w:p>
    <w:p w14:paraId="2B9C117C" w14:textId="77777777" w:rsidR="007745DA" w:rsidRPr="007F69DA" w:rsidRDefault="007745DA" w:rsidP="007745DA">
      <w:pPr>
        <w:jc w:val="both"/>
        <w:rPr>
          <w:szCs w:val="24"/>
          <w:lang w:bidi="en-US"/>
        </w:rPr>
      </w:pPr>
      <w:r w:rsidRPr="007F69DA">
        <w:rPr>
          <w:szCs w:val="24"/>
          <w:lang w:bidi="en-US"/>
        </w:rPr>
        <w:t xml:space="preserve">Im dreidimensionalen Konzept der interkulturellen Kompetenz von Chen &amp; Starosta, das noch die Dimensionen interkulturelles Bewusstsein und interkulturelle Gewandtheit vorsieht, wird interkulturelle Sensibilität hingegen als die affektive Komponente von interkultureller Kompetenz konzeptualisiert: als Akzeptanz bzw. Wertschätzung einer fremden Kultur. Für die Fähigkeit einer Person, die emotionalen </w:t>
      </w:r>
      <w:r w:rsidRPr="007F69DA">
        <w:rPr>
          <w:szCs w:val="24"/>
          <w:lang w:bidi="en-US"/>
        </w:rPr>
        <w:lastRenderedPageBreak/>
        <w:t xml:space="preserve">Anteile einer interkulturellen Interaktion während des Zusammentreffens, aber auch antizipativ und retrospektiv wahrzunehmen und (positiv) zu würdigen, sind demnach folgende „Eigenschaften“ bedeutsam: Aufgeschlossenheit, Selbstkonzept, Selbstwertgefühl, soziale Entspanntheit und Unvoreingenommenheit. </w:t>
      </w:r>
    </w:p>
    <w:p w14:paraId="1D579166" w14:textId="77777777" w:rsidR="007745DA" w:rsidRPr="007F69DA" w:rsidRDefault="007745DA" w:rsidP="007745DA">
      <w:pPr>
        <w:jc w:val="both"/>
        <w:rPr>
          <w:szCs w:val="24"/>
          <w:lang w:bidi="en-US"/>
        </w:rPr>
      </w:pPr>
    </w:p>
    <w:p w14:paraId="4371B73E" w14:textId="77777777" w:rsidR="007745DA" w:rsidRPr="007F69DA" w:rsidRDefault="007745DA" w:rsidP="007745DA">
      <w:pPr>
        <w:jc w:val="both"/>
        <w:rPr>
          <w:szCs w:val="24"/>
          <w:lang w:bidi="en-US"/>
        </w:rPr>
      </w:pPr>
      <w:r w:rsidRPr="007F69DA">
        <w:rPr>
          <w:szCs w:val="24"/>
          <w:lang w:bidi="en-US"/>
        </w:rPr>
        <w:t xml:space="preserve">Interkulturelle Sensibilität wird aber nicht nur als wichtige bzw. wichtigste Komponente interkultureller Kompetenz, sondern auch als eigenständiges Konstrukt aufgefasst. Als Operationalisierung steht die Intercultural Sensitivity Scale (ISS) und deren deutschsprachige Adaption zur Verfügung. Der Fragebogen umfasst 22 fünfstufige Items, die fünf Subdimensionen bilden: </w:t>
      </w:r>
    </w:p>
    <w:p w14:paraId="7C8FA068" w14:textId="77777777" w:rsidR="007745DA" w:rsidRPr="007F69DA" w:rsidRDefault="007745DA">
      <w:pPr>
        <w:pStyle w:val="Listenabsatz"/>
        <w:widowControl/>
        <w:numPr>
          <w:ilvl w:val="0"/>
          <w:numId w:val="34"/>
        </w:numPr>
        <w:autoSpaceDE/>
        <w:autoSpaceDN/>
        <w:contextualSpacing/>
        <w:rPr>
          <w:szCs w:val="24"/>
          <w:lang w:bidi="en-US"/>
        </w:rPr>
      </w:pPr>
      <w:r w:rsidRPr="007F69DA">
        <w:rPr>
          <w:szCs w:val="24"/>
          <w:lang w:bidi="en-US"/>
        </w:rPr>
        <w:t xml:space="preserve">Engagement (z.B. „Ich gehe gerne mit Menschen aus anderen Kulturen um“), </w:t>
      </w:r>
    </w:p>
    <w:p w14:paraId="2D09C2A6" w14:textId="77777777" w:rsidR="007745DA" w:rsidRPr="007F69DA" w:rsidRDefault="007745DA">
      <w:pPr>
        <w:pStyle w:val="Listenabsatz"/>
        <w:widowControl/>
        <w:numPr>
          <w:ilvl w:val="0"/>
          <w:numId w:val="34"/>
        </w:numPr>
        <w:autoSpaceDE/>
        <w:autoSpaceDN/>
        <w:contextualSpacing/>
        <w:rPr>
          <w:szCs w:val="24"/>
          <w:lang w:bidi="en-US"/>
        </w:rPr>
      </w:pPr>
      <w:r w:rsidRPr="007F69DA">
        <w:rPr>
          <w:szCs w:val="24"/>
          <w:lang w:bidi="en-US"/>
        </w:rPr>
        <w:t xml:space="preserve">Respekt vor kulturellen Unterschieden (z.B. „Ich respektiere die Werte von Menschen aus anderen Kulturen“), </w:t>
      </w:r>
    </w:p>
    <w:p w14:paraId="6A7D205C" w14:textId="77777777" w:rsidR="007745DA" w:rsidRPr="007F69DA" w:rsidRDefault="007745DA">
      <w:pPr>
        <w:pStyle w:val="Listenabsatz"/>
        <w:widowControl/>
        <w:numPr>
          <w:ilvl w:val="0"/>
          <w:numId w:val="34"/>
        </w:numPr>
        <w:autoSpaceDE/>
        <w:autoSpaceDN/>
        <w:contextualSpacing/>
        <w:rPr>
          <w:szCs w:val="24"/>
          <w:lang w:bidi="en-US"/>
        </w:rPr>
      </w:pPr>
      <w:r w:rsidRPr="007F69DA">
        <w:rPr>
          <w:szCs w:val="24"/>
          <w:lang w:bidi="en-US"/>
        </w:rPr>
        <w:t xml:space="preserve">Selbstsicherheit (z.B. „Ich bin selbstsicher, wenn ich mit Menschen aus anderen Kulturen umgehe“), </w:t>
      </w:r>
    </w:p>
    <w:p w14:paraId="5D4F6341" w14:textId="77777777" w:rsidR="007745DA" w:rsidRPr="007F69DA" w:rsidRDefault="007745DA">
      <w:pPr>
        <w:pStyle w:val="Listenabsatz"/>
        <w:widowControl/>
        <w:numPr>
          <w:ilvl w:val="0"/>
          <w:numId w:val="34"/>
        </w:numPr>
        <w:autoSpaceDE/>
        <w:autoSpaceDN/>
        <w:contextualSpacing/>
        <w:rPr>
          <w:szCs w:val="24"/>
          <w:lang w:bidi="en-US"/>
        </w:rPr>
      </w:pPr>
      <w:r w:rsidRPr="007F69DA">
        <w:rPr>
          <w:szCs w:val="24"/>
          <w:lang w:bidi="en-US"/>
        </w:rPr>
        <w:t xml:space="preserve">Freude (z.B. Verneinung des Statements: „Ich gerate schnell aus der Fassung, wenn ich mit Menschen aus anderen Kulturen umgehe“), </w:t>
      </w:r>
    </w:p>
    <w:p w14:paraId="499F9BCA" w14:textId="77777777" w:rsidR="007745DA" w:rsidRPr="007F69DA" w:rsidRDefault="007745DA">
      <w:pPr>
        <w:pStyle w:val="Default"/>
        <w:numPr>
          <w:ilvl w:val="0"/>
          <w:numId w:val="34"/>
        </w:numPr>
        <w:spacing w:after="31"/>
        <w:rPr>
          <w:rFonts w:ascii="Times New Roman" w:eastAsia="Times New Roman" w:hAnsi="Times New Roman" w:cs="Times New Roman"/>
          <w:color w:val="auto"/>
          <w:lang w:bidi="en-US"/>
        </w:rPr>
      </w:pPr>
      <w:r w:rsidRPr="007F69DA">
        <w:rPr>
          <w:rFonts w:ascii="Times New Roman" w:eastAsia="Times New Roman" w:hAnsi="Times New Roman" w:cs="Times New Roman"/>
          <w:color w:val="auto"/>
          <w:lang w:bidi="en-US"/>
        </w:rPr>
        <w:t xml:space="preserve">Aufmerksamkeit (z.B. „Ich beobachte sehr aufmerksam, wenn ich mit Menschen aus anderen Kulturen umgehe“). </w:t>
      </w:r>
    </w:p>
    <w:p w14:paraId="0B2872CC" w14:textId="77777777" w:rsidR="007745DA" w:rsidRPr="007F69DA" w:rsidRDefault="007745DA" w:rsidP="007745DA">
      <w:pPr>
        <w:pStyle w:val="Default"/>
        <w:spacing w:after="31"/>
        <w:ind w:left="720"/>
        <w:rPr>
          <w:rFonts w:ascii="Times New Roman" w:eastAsia="Times New Roman" w:hAnsi="Times New Roman" w:cs="Times New Roman"/>
          <w:color w:val="auto"/>
          <w:lang w:bidi="en-US"/>
        </w:rPr>
      </w:pPr>
    </w:p>
    <w:p w14:paraId="29C8AA7E" w14:textId="77777777" w:rsidR="007745DA" w:rsidRPr="007F69DA" w:rsidRDefault="007745DA" w:rsidP="007745DA">
      <w:pPr>
        <w:pStyle w:val="Default"/>
        <w:rPr>
          <w:rFonts w:ascii="Times New Roman" w:eastAsia="Times New Roman" w:hAnsi="Times New Roman" w:cs="Times New Roman"/>
          <w:color w:val="auto"/>
          <w:sz w:val="22"/>
          <w:szCs w:val="22"/>
          <w:lang w:eastAsia="de-DE"/>
        </w:rPr>
      </w:pPr>
      <w:r w:rsidRPr="00812008">
        <w:rPr>
          <w:rFonts w:ascii="Times New Roman" w:eastAsia="Times New Roman" w:hAnsi="Times New Roman" w:cs="Times New Roman"/>
          <w:b/>
          <w:bCs/>
          <w:i/>
          <w:color w:val="auto"/>
          <w:sz w:val="22"/>
          <w:szCs w:val="22"/>
          <w:lang w:val="en-US" w:eastAsia="de-DE"/>
        </w:rPr>
        <w:t>Literatur:</w:t>
      </w:r>
      <w:r w:rsidRPr="007F69DA">
        <w:rPr>
          <w:rFonts w:ascii="Times New Roman" w:eastAsia="Times New Roman" w:hAnsi="Times New Roman" w:cs="Times New Roman"/>
          <w:color w:val="auto"/>
          <w:sz w:val="22"/>
          <w:szCs w:val="22"/>
          <w:lang w:val="en-US" w:eastAsia="de-DE"/>
        </w:rPr>
        <w:t xml:space="preserve"> Chen, G.-M.; Starosta, W.J. (1996): Intercultural Communication Competence. A Synthesis, in: Communication Yearbook, Vol.19, pp.353-383.   Chen, G.-M.; Starosta, W.J. (1997): A Review of the Concept of Intercultural Sensitivity, in: Human Communication, Vol.1, pp.1-16.   Chen, G.-M.; Starosta, W.J. (2000): The Development and Validation of the Intercultural Comunication Sensitivity Scale, in: Human Communication, Vol.3, pp.1-15.   Fritz, W.; Möllenberg, A.; Chen, G.-M. (2002): Measuring Intercultural Sensitivity in Different Cultural Contexts, in: Intercultural Communication Studies, Vol.11, No.2, pp.165-176.   </w:t>
      </w:r>
      <w:r w:rsidRPr="007F69DA">
        <w:rPr>
          <w:rFonts w:ascii="Times New Roman" w:eastAsia="Times New Roman" w:hAnsi="Times New Roman" w:cs="Times New Roman"/>
          <w:color w:val="auto"/>
          <w:sz w:val="22"/>
          <w:szCs w:val="22"/>
          <w:lang w:eastAsia="de-DE"/>
        </w:rPr>
        <w:t xml:space="preserve">Herbrand, F. (2000): Interkulturelle Kompetenz, Berner betriebswirtschaftliche Schriften Bd. 25, Bern, S.90f. </w:t>
      </w:r>
    </w:p>
    <w:p w14:paraId="124167F6" w14:textId="77777777" w:rsidR="007745DA" w:rsidRPr="007F69DA" w:rsidRDefault="007745DA" w:rsidP="007745DA">
      <w:pPr>
        <w:pStyle w:val="Default"/>
        <w:rPr>
          <w:rFonts w:ascii="Times New Roman" w:eastAsia="Times New Roman" w:hAnsi="Times New Roman" w:cs="Times New Roman"/>
          <w:color w:val="auto"/>
          <w:sz w:val="22"/>
          <w:szCs w:val="22"/>
          <w:lang w:eastAsia="de-DE"/>
        </w:rPr>
      </w:pPr>
    </w:p>
    <w:p w14:paraId="723E0714" w14:textId="77777777" w:rsidR="007745DA" w:rsidRPr="007F69DA" w:rsidRDefault="007745DA" w:rsidP="007745DA">
      <w:pPr>
        <w:pStyle w:val="Default"/>
        <w:rPr>
          <w:rFonts w:ascii="Times New Roman" w:hAnsi="Times New Roman" w:cs="Times New Roman"/>
          <w:sz w:val="14"/>
          <w:szCs w:val="14"/>
        </w:rPr>
      </w:pPr>
    </w:p>
    <w:p w14:paraId="466D2ABA" w14:textId="77777777" w:rsidR="007745DA" w:rsidRPr="00812008" w:rsidRDefault="007745DA" w:rsidP="007745DA">
      <w:pPr>
        <w:keepNext/>
        <w:keepLines/>
        <w:spacing w:before="240"/>
        <w:jc w:val="both"/>
        <w:outlineLvl w:val="1"/>
        <w:rPr>
          <w:b/>
          <w:bCs/>
          <w:color w:val="2E74B5"/>
          <w:sz w:val="24"/>
        </w:rPr>
      </w:pPr>
      <w:r w:rsidRPr="00812008">
        <w:rPr>
          <w:b/>
          <w:bCs/>
          <w:color w:val="2E74B5"/>
          <w:sz w:val="24"/>
        </w:rPr>
        <w:t xml:space="preserve">Similarity-Attraction Paradigma </w:t>
      </w:r>
    </w:p>
    <w:p w14:paraId="650D0C0B" w14:textId="77777777" w:rsidR="007745DA" w:rsidRDefault="007745DA" w:rsidP="00812008">
      <w:pPr>
        <w:pStyle w:val="Literatur"/>
        <w:numPr>
          <w:ilvl w:val="0"/>
          <w:numId w:val="0"/>
        </w:numPr>
        <w:spacing w:line="240" w:lineRule="auto"/>
        <w:rPr>
          <w:sz w:val="24"/>
          <w:szCs w:val="24"/>
        </w:rPr>
      </w:pPr>
      <w:r w:rsidRPr="007F69DA">
        <w:rPr>
          <w:sz w:val="24"/>
          <w:szCs w:val="24"/>
        </w:rPr>
        <w:t>besagt, dass Menschen sich zu anderen Menschen hingezogen fühlen, die ihnen ähnlich sind. Ähnlichkeit kann aus übereinstimmenden Einstellungen, Werten, Interessen und Persönlichkeitsmerkmalen erwachsen. Byrne et al. argumentieren, dass Ähnlichkeit das Gefühl von Vertrautheit und Sicherheit fördert, was die zwischenmenschliche Anziehung verstärkt. In seinen Studien stellte er fest, dass Probanden bestimmte Personenmit umso größerer Wahrscheinlichkeit positiv beurteilten, die ihnen ähnlich waren. Interpersonelle Ähnlichkeit begünstigt die Bildung von Freundschaften und romantischen Beziehungen. Auch erleichtert sie die Kommunikation und das Verständnis füreinander. Byrne vermutet, dass „Anziehung durch Ähnlichkeit“ nicht nur auf bewussten, sondern auch auf unbewussten Prozessen basiert. Zusammenfassend spricht das Similarity-Attraction Paradigma dafür, dass für soziale Beziehungen die Suche nach Gemeinsamkeiten eine wichtige Funktion erfüllt.</w:t>
      </w:r>
    </w:p>
    <w:p w14:paraId="1FCB6BEF" w14:textId="77777777" w:rsidR="00812008" w:rsidRPr="007F69DA" w:rsidRDefault="00812008" w:rsidP="00812008">
      <w:pPr>
        <w:pStyle w:val="Literatur"/>
        <w:numPr>
          <w:ilvl w:val="0"/>
          <w:numId w:val="0"/>
        </w:numPr>
        <w:spacing w:line="240" w:lineRule="auto"/>
        <w:rPr>
          <w:sz w:val="24"/>
          <w:szCs w:val="24"/>
        </w:rPr>
      </w:pPr>
    </w:p>
    <w:p w14:paraId="4093E01B" w14:textId="77777777" w:rsidR="007745DA" w:rsidRPr="007F69DA" w:rsidRDefault="007745DA" w:rsidP="007745DA">
      <w:pPr>
        <w:rPr>
          <w:bCs/>
          <w:noProof/>
          <w:lang w:val="en-US"/>
        </w:rPr>
      </w:pPr>
      <w:r w:rsidRPr="00812008">
        <w:rPr>
          <w:b/>
          <w:i/>
          <w:noProof/>
          <w:lang w:val="en-US"/>
        </w:rPr>
        <w:t>Literatur:</w:t>
      </w:r>
      <w:r w:rsidRPr="007F69DA">
        <w:rPr>
          <w:bCs/>
          <w:noProof/>
          <w:lang w:val="en-US"/>
        </w:rPr>
        <w:t xml:space="preserve"> Byrne, D., Gouaux, C., Griffitt, W., Lamberth, J., Murakawa, N. B. P. M., Prasad, M., ... &amp; Ramirez III, M. (1971). The ubiquitous relationship: Attitude similarity and attraction: A cross-cultural study, Human Relations, 24(3): 201-207.</w:t>
      </w:r>
    </w:p>
    <w:p w14:paraId="04094B0C" w14:textId="77777777" w:rsidR="007745DA" w:rsidRPr="007F69DA" w:rsidRDefault="007745DA" w:rsidP="007745DA">
      <w:pPr>
        <w:rPr>
          <w:bCs/>
          <w:noProof/>
          <w:lang w:val="en-US"/>
        </w:rPr>
      </w:pPr>
    </w:p>
    <w:p w14:paraId="56A3B52E" w14:textId="77777777" w:rsidR="00FF7799" w:rsidRPr="00812008" w:rsidRDefault="00FF7799" w:rsidP="00812008">
      <w:pPr>
        <w:keepNext/>
        <w:keepLines/>
        <w:spacing w:before="240"/>
        <w:jc w:val="both"/>
        <w:outlineLvl w:val="1"/>
        <w:rPr>
          <w:b/>
          <w:bCs/>
          <w:color w:val="2E74B5"/>
          <w:sz w:val="24"/>
        </w:rPr>
      </w:pPr>
      <w:r w:rsidRPr="00812008">
        <w:rPr>
          <w:b/>
          <w:bCs/>
          <w:color w:val="2E74B5"/>
          <w:sz w:val="24"/>
        </w:rPr>
        <w:t>Single Linkage-Verfahren</w:t>
      </w:r>
    </w:p>
    <w:p w14:paraId="616A83E5" w14:textId="77777777" w:rsidR="00FF7799" w:rsidRPr="00E73F6F" w:rsidRDefault="00FF7799" w:rsidP="0046492B">
      <w:pPr>
        <w:pStyle w:val="StandardText"/>
        <w:rPr>
          <w:spacing w:val="-2"/>
        </w:rPr>
      </w:pPr>
      <w:r w:rsidRPr="00E73F6F">
        <w:t>clusteranalytisches Verfahren, welches dazu neigt, wenige und damit vergleichsweise umfangreiche Cluster zu bilden</w:t>
      </w:r>
      <w:r w:rsidR="00C85BF5">
        <w:t xml:space="preserve"> sowie Ausreißer zu isolieren (</w:t>
      </w:r>
      <w:r w:rsidR="00C85BF5">
        <w:sym w:font="Symbol" w:char="F0DE"/>
      </w:r>
      <w:r w:rsidRPr="00E73F6F">
        <w:t xml:space="preserve"> </w:t>
      </w:r>
      <w:r w:rsidRPr="00E73F6F">
        <w:rPr>
          <w:spacing w:val="-2"/>
        </w:rPr>
        <w:t>Ward-Verfahren)</w:t>
      </w:r>
    </w:p>
    <w:p w14:paraId="4E52CE65" w14:textId="77777777" w:rsidR="00FF7799" w:rsidRPr="00E73F6F" w:rsidRDefault="00FF7799" w:rsidP="0046492B">
      <w:pPr>
        <w:pStyle w:val="StandardText"/>
        <w:rPr>
          <w:spacing w:val="-2"/>
        </w:rPr>
      </w:pPr>
    </w:p>
    <w:p w14:paraId="59C4C93D" w14:textId="77777777" w:rsidR="00FF7799" w:rsidRPr="00812008" w:rsidRDefault="00FF7799" w:rsidP="00812008">
      <w:pPr>
        <w:keepNext/>
        <w:keepLines/>
        <w:spacing w:before="240"/>
        <w:jc w:val="both"/>
        <w:outlineLvl w:val="1"/>
        <w:rPr>
          <w:b/>
          <w:bCs/>
          <w:color w:val="2E74B5"/>
          <w:sz w:val="24"/>
        </w:rPr>
      </w:pPr>
      <w:r w:rsidRPr="00812008">
        <w:rPr>
          <w:b/>
          <w:bCs/>
          <w:color w:val="2E74B5"/>
          <w:sz w:val="24"/>
        </w:rPr>
        <w:lastRenderedPageBreak/>
        <w:t>Skaleneffekte</w:t>
      </w:r>
    </w:p>
    <w:p w14:paraId="6D690D1D" w14:textId="77777777" w:rsidR="00FF7799" w:rsidRPr="00E73F6F" w:rsidRDefault="00FF7799" w:rsidP="0046492B">
      <w:pPr>
        <w:pStyle w:val="StandardText"/>
      </w:pPr>
      <w:r w:rsidRPr="00E73F6F">
        <w:t>mehrere Effekte, die Folge einer Intensivierung der Unternehmenstätigkeit, d.h. der Erhöhung des Absatzvolumens sind:</w:t>
      </w:r>
    </w:p>
    <w:p w14:paraId="7228F736" w14:textId="77777777" w:rsidR="00FF7799" w:rsidRPr="00E73F6F" w:rsidRDefault="00FF7799" w:rsidP="00812008">
      <w:pPr>
        <w:pStyle w:val="StandardTextAufzhlung"/>
        <w:ind w:left="567"/>
      </w:pPr>
      <w:r w:rsidRPr="00E73F6F">
        <w:t>Economies of</w:t>
      </w:r>
      <w:r w:rsidRPr="00E73F6F">
        <w:rPr>
          <w:iCs/>
        </w:rPr>
        <w:t xml:space="preserve"> Scale</w:t>
      </w:r>
      <w:r w:rsidRPr="00E73F6F">
        <w:t xml:space="preserve"> (= Betriebsgrößenvorteile wie günstigere Einkaufskonditionen),</w:t>
      </w:r>
    </w:p>
    <w:p w14:paraId="28A0BF31" w14:textId="77777777" w:rsidR="00FF7799" w:rsidRPr="00E73F6F" w:rsidRDefault="00FF7799" w:rsidP="00812008">
      <w:pPr>
        <w:pStyle w:val="StandardTextAufzhlung"/>
        <w:ind w:left="567"/>
      </w:pPr>
      <w:r w:rsidRPr="00E73F6F">
        <w:rPr>
          <w:iCs/>
        </w:rPr>
        <w:t>Fixkostendegression</w:t>
      </w:r>
      <w:r w:rsidRPr="00E73F6F">
        <w:t xml:space="preserve"> (= sinkende durchschnittliche Kosten aufgrund der Möglichkeit, die durch Produktionsanlagen, Verwaltungstätigkeit etc. bedingten Fixkosten auf eine größere Ausbringungsmenge umzulegen),</w:t>
      </w:r>
    </w:p>
    <w:p w14:paraId="39D375EB" w14:textId="77777777" w:rsidR="00FF7799" w:rsidRPr="00E73F6F" w:rsidRDefault="00FF7799" w:rsidP="00812008">
      <w:pPr>
        <w:pStyle w:val="StandardTextAufzhlung"/>
        <w:ind w:left="567"/>
      </w:pPr>
      <w:r w:rsidRPr="00E73F6F">
        <w:rPr>
          <w:iCs/>
        </w:rPr>
        <w:t>Erfahrungskurveneffekte</w:t>
      </w:r>
      <w:r w:rsidRPr="00E73F6F">
        <w:t xml:space="preserve"> (= Möglichkeit, den mit steigenden Produktionszahlen einhergehenden Erfahrungszuwachs für kostensenkende Produkt- und Verfahrensinnovationen zu nutzen).</w:t>
      </w:r>
    </w:p>
    <w:p w14:paraId="005F9E47" w14:textId="77777777" w:rsidR="00FF7799" w:rsidRPr="00E73F6F" w:rsidRDefault="00FF7799" w:rsidP="00812008">
      <w:pPr>
        <w:pStyle w:val="StandardTextAufzhlung"/>
        <w:ind w:left="567"/>
      </w:pPr>
      <w:r w:rsidRPr="00E73F6F">
        <w:rPr>
          <w:iCs/>
        </w:rPr>
        <w:t>Economies of Scope</w:t>
      </w:r>
      <w:r w:rsidRPr="00E73F6F">
        <w:t xml:space="preserve"> (= Verbundvorteile, von denen vor allem diversifizierte Unternehmen profitieren können). Dies ist etwa dann der Fall, wenn Teile und Baugruppen, aber auch Fertigungsanlagen für die Herstellung mehrerer Produkte genutzt werden können. Im Gegenzug steigen allerdings die Komplexitäts- und die Koordinationskosten. </w:t>
      </w:r>
    </w:p>
    <w:p w14:paraId="6F47BE77" w14:textId="77777777" w:rsidR="00FF7799" w:rsidRPr="00E73F6F" w:rsidRDefault="00FF7799" w:rsidP="00812008">
      <w:pPr>
        <w:pStyle w:val="StandardText"/>
        <w:ind w:left="567"/>
      </w:pPr>
    </w:p>
    <w:p w14:paraId="2E62CFAC" w14:textId="77777777" w:rsidR="00FF7799" w:rsidRPr="00812008" w:rsidRDefault="00FF7799" w:rsidP="00812008">
      <w:pPr>
        <w:keepNext/>
        <w:keepLines/>
        <w:spacing w:before="240"/>
        <w:jc w:val="both"/>
        <w:outlineLvl w:val="1"/>
        <w:rPr>
          <w:b/>
          <w:bCs/>
          <w:color w:val="2E74B5"/>
          <w:sz w:val="24"/>
        </w:rPr>
      </w:pPr>
      <w:r w:rsidRPr="00812008">
        <w:rPr>
          <w:b/>
          <w:bCs/>
          <w:color w:val="2E74B5"/>
          <w:sz w:val="24"/>
        </w:rPr>
        <w:t>Skalenentwicklung</w:t>
      </w:r>
    </w:p>
    <w:p w14:paraId="1FC5C5B0" w14:textId="77777777" w:rsidR="00FF7799" w:rsidRPr="00E73F6F" w:rsidRDefault="00FF7799" w:rsidP="0046492B">
      <w:pPr>
        <w:pStyle w:val="StandardText"/>
      </w:pPr>
      <w:r w:rsidRPr="00E73F6F">
        <w:t>besteht u.a. aus folgenden Arbeitsschritten: Prüfung der Augenscheinvalidität, Austausch von Items mit redundantem Inhalt und Anpassung von Items mit unklaren Aussagen, Reliabilitäts- und Validitätsprüfung in me</w:t>
      </w:r>
      <w:r w:rsidR="00C85BF5">
        <w:t>hreren Stichproben und Kulturen</w:t>
      </w:r>
      <w:r w:rsidRPr="00E73F6F">
        <w:t>.</w:t>
      </w:r>
    </w:p>
    <w:p w14:paraId="013DC05E" w14:textId="77777777" w:rsidR="00FF7799" w:rsidRPr="00E73F6F" w:rsidRDefault="00FF7799" w:rsidP="0046492B">
      <w:pPr>
        <w:pStyle w:val="StandardText"/>
      </w:pPr>
    </w:p>
    <w:p w14:paraId="76928BDC" w14:textId="77777777" w:rsidR="007745DA" w:rsidRPr="00812008" w:rsidRDefault="007745DA" w:rsidP="007745DA">
      <w:pPr>
        <w:keepNext/>
        <w:keepLines/>
        <w:spacing w:before="240"/>
        <w:jc w:val="both"/>
        <w:outlineLvl w:val="1"/>
        <w:rPr>
          <w:b/>
          <w:bCs/>
          <w:color w:val="2E74B5"/>
          <w:sz w:val="24"/>
        </w:rPr>
      </w:pPr>
      <w:r w:rsidRPr="00812008">
        <w:rPr>
          <w:b/>
          <w:bCs/>
          <w:color w:val="2E74B5"/>
          <w:sz w:val="24"/>
        </w:rPr>
        <w:t>Skript</w:t>
      </w:r>
    </w:p>
    <w:p w14:paraId="6F0C80B6" w14:textId="77777777" w:rsidR="007745DA" w:rsidRPr="007F69DA" w:rsidRDefault="007745DA" w:rsidP="007745DA">
      <w:pPr>
        <w:rPr>
          <w:bCs/>
          <w:noProof/>
          <w:szCs w:val="24"/>
        </w:rPr>
      </w:pPr>
      <w:r w:rsidRPr="007F69DA">
        <w:rPr>
          <w:bCs/>
          <w:noProof/>
          <w:szCs w:val="24"/>
        </w:rPr>
        <w:t xml:space="preserve">eine im Langzeitgedächtnis gespeicherte Abfolge von schematisierten Handelungssequenzen eines Ereignisses (bspw. eines Restaurantbesuchs oder eines Einkaufsbummels). In einem Skript werden u.a. die Rollen der handelnden Personen festgelegt, die Abfolge der Ereignisse und deren Kontext. </w:t>
      </w:r>
    </w:p>
    <w:p w14:paraId="4DB2C7D1" w14:textId="77777777" w:rsidR="007745DA" w:rsidRPr="007F69DA" w:rsidRDefault="007745DA" w:rsidP="007745DA">
      <w:pPr>
        <w:rPr>
          <w:bCs/>
          <w:noProof/>
          <w:szCs w:val="24"/>
        </w:rPr>
      </w:pPr>
    </w:p>
    <w:p w14:paraId="390977F1" w14:textId="77777777" w:rsidR="00FF7799" w:rsidRPr="00812008" w:rsidRDefault="00FF7799" w:rsidP="00812008">
      <w:pPr>
        <w:keepNext/>
        <w:keepLines/>
        <w:spacing w:before="240"/>
        <w:jc w:val="both"/>
        <w:outlineLvl w:val="1"/>
        <w:rPr>
          <w:b/>
          <w:bCs/>
          <w:color w:val="2E74B5"/>
          <w:sz w:val="24"/>
        </w:rPr>
      </w:pPr>
      <w:r w:rsidRPr="00812008">
        <w:rPr>
          <w:b/>
          <w:bCs/>
          <w:color w:val="2E74B5"/>
          <w:sz w:val="24"/>
        </w:rPr>
        <w:t>Sozialisation</w:t>
      </w:r>
    </w:p>
    <w:p w14:paraId="3B4B2F52" w14:textId="77777777" w:rsidR="00FF7799" w:rsidRPr="00E73F6F" w:rsidRDefault="00FF7799" w:rsidP="0046492B">
      <w:pPr>
        <w:pStyle w:val="StandardText"/>
      </w:pPr>
      <w:r w:rsidRPr="00E73F6F">
        <w:t>„lebenslanger Prozess, in dem die Verhaltensmuster, Werte, Standards, Fertigkeiten, Einstellungen und Motive einer Person so geformt werden, dass sie mit denen übereinstimmen, die in einer bestimmten Gesellschaft als wünschenswert erachtet werden“ (Gerrig 2016, S.397).</w:t>
      </w:r>
    </w:p>
    <w:p w14:paraId="4E6328C4" w14:textId="77777777" w:rsidR="00FF7799" w:rsidRPr="00C85BF5" w:rsidRDefault="00FF7799" w:rsidP="0046492B">
      <w:pPr>
        <w:pStyle w:val="StandardText"/>
        <w:rPr>
          <w:sz w:val="22"/>
          <w:szCs w:val="22"/>
        </w:rPr>
      </w:pPr>
      <w:r w:rsidRPr="00C85BF5">
        <w:rPr>
          <w:b/>
          <w:i/>
          <w:sz w:val="22"/>
          <w:szCs w:val="22"/>
        </w:rPr>
        <w:t>Literatur</w:t>
      </w:r>
      <w:r w:rsidRPr="00C85BF5">
        <w:rPr>
          <w:i/>
          <w:sz w:val="22"/>
          <w:szCs w:val="22"/>
        </w:rPr>
        <w:t>:</w:t>
      </w:r>
      <w:r w:rsidRPr="00C85BF5">
        <w:rPr>
          <w:spacing w:val="-7"/>
          <w:sz w:val="22"/>
          <w:szCs w:val="22"/>
        </w:rPr>
        <w:t xml:space="preserve"> </w:t>
      </w:r>
      <w:r w:rsidRPr="00C85BF5">
        <w:rPr>
          <w:sz w:val="22"/>
          <w:szCs w:val="22"/>
        </w:rPr>
        <w:t>Gerrig,</w:t>
      </w:r>
      <w:r w:rsidRPr="00C85BF5">
        <w:rPr>
          <w:spacing w:val="-8"/>
          <w:sz w:val="22"/>
          <w:szCs w:val="22"/>
        </w:rPr>
        <w:t xml:space="preserve"> </w:t>
      </w:r>
      <w:r w:rsidRPr="00C85BF5">
        <w:rPr>
          <w:sz w:val="22"/>
          <w:szCs w:val="22"/>
        </w:rPr>
        <w:t>R.J.</w:t>
      </w:r>
      <w:r w:rsidRPr="00C85BF5">
        <w:rPr>
          <w:spacing w:val="-6"/>
          <w:sz w:val="22"/>
          <w:szCs w:val="22"/>
        </w:rPr>
        <w:t xml:space="preserve"> </w:t>
      </w:r>
      <w:r w:rsidRPr="00C85BF5">
        <w:rPr>
          <w:sz w:val="22"/>
          <w:szCs w:val="22"/>
        </w:rPr>
        <w:t>(2016):</w:t>
      </w:r>
      <w:r w:rsidRPr="00C85BF5">
        <w:rPr>
          <w:spacing w:val="-6"/>
          <w:sz w:val="22"/>
          <w:szCs w:val="22"/>
        </w:rPr>
        <w:t xml:space="preserve"> </w:t>
      </w:r>
      <w:r w:rsidRPr="00C85BF5">
        <w:rPr>
          <w:sz w:val="22"/>
          <w:szCs w:val="22"/>
        </w:rPr>
        <w:t>Psychologie,</w:t>
      </w:r>
      <w:r w:rsidRPr="00C85BF5">
        <w:rPr>
          <w:spacing w:val="-8"/>
          <w:sz w:val="22"/>
          <w:szCs w:val="22"/>
        </w:rPr>
        <w:t xml:space="preserve"> </w:t>
      </w:r>
      <w:r w:rsidRPr="00C85BF5">
        <w:rPr>
          <w:sz w:val="22"/>
          <w:szCs w:val="22"/>
        </w:rPr>
        <w:t>20.Aufl.,</w:t>
      </w:r>
      <w:r w:rsidRPr="00C85BF5">
        <w:rPr>
          <w:spacing w:val="-8"/>
          <w:sz w:val="22"/>
          <w:szCs w:val="22"/>
        </w:rPr>
        <w:t xml:space="preserve"> </w:t>
      </w:r>
      <w:r w:rsidRPr="00C85BF5">
        <w:rPr>
          <w:sz w:val="22"/>
          <w:szCs w:val="22"/>
        </w:rPr>
        <w:t>München:</w:t>
      </w:r>
      <w:r w:rsidRPr="00C85BF5">
        <w:rPr>
          <w:spacing w:val="-6"/>
          <w:sz w:val="22"/>
          <w:szCs w:val="22"/>
        </w:rPr>
        <w:t xml:space="preserve"> </w:t>
      </w:r>
      <w:r w:rsidRPr="00C85BF5">
        <w:rPr>
          <w:spacing w:val="-2"/>
          <w:sz w:val="22"/>
          <w:szCs w:val="22"/>
        </w:rPr>
        <w:t>Pearson.</w:t>
      </w:r>
    </w:p>
    <w:p w14:paraId="4D1FC816" w14:textId="77777777" w:rsidR="00FF7799" w:rsidRPr="00C85BF5" w:rsidRDefault="00FF7799" w:rsidP="0046492B">
      <w:pPr>
        <w:pStyle w:val="StandardText"/>
        <w:rPr>
          <w:sz w:val="22"/>
          <w:szCs w:val="22"/>
        </w:rPr>
      </w:pPr>
    </w:p>
    <w:p w14:paraId="574BC883" w14:textId="77777777" w:rsidR="00FF7799" w:rsidRPr="00E73F6F" w:rsidRDefault="00FF7799" w:rsidP="009355CA">
      <w:pPr>
        <w:pStyle w:val="berschrift1"/>
      </w:pPr>
      <w:r w:rsidRPr="00812008">
        <w:rPr>
          <w:color w:val="2E74B5"/>
        </w:rPr>
        <w:t>Sparsamkeitsgebot der Theorienbildung</w:t>
      </w:r>
      <w:r w:rsidRPr="00E73F6F">
        <w:rPr>
          <w:spacing w:val="-3"/>
        </w:rPr>
        <w:t xml:space="preserve"> </w:t>
      </w:r>
      <w:r w:rsidRPr="00E73F6F">
        <w:rPr>
          <w:b w:val="0"/>
        </w:rPr>
        <w:t>→</w:t>
      </w:r>
      <w:r w:rsidRPr="00E73F6F">
        <w:rPr>
          <w:b w:val="0"/>
          <w:spacing w:val="-5"/>
        </w:rPr>
        <w:t xml:space="preserve"> </w:t>
      </w:r>
      <w:r w:rsidRPr="00E73F6F">
        <w:rPr>
          <w:b w:val="0"/>
        </w:rPr>
        <w:t>Parsimony</w:t>
      </w:r>
      <w:r w:rsidRPr="00E73F6F">
        <w:rPr>
          <w:b w:val="0"/>
          <w:spacing w:val="-2"/>
        </w:rPr>
        <w:t xml:space="preserve"> </w:t>
      </w:r>
      <w:r w:rsidRPr="00E73F6F">
        <w:rPr>
          <w:b w:val="0"/>
        </w:rPr>
        <w:t>&amp;</w:t>
      </w:r>
      <w:r w:rsidRPr="00E73F6F">
        <w:rPr>
          <w:b w:val="0"/>
          <w:spacing w:val="-3"/>
        </w:rPr>
        <w:t xml:space="preserve"> </w:t>
      </w:r>
      <w:r w:rsidRPr="00E73F6F">
        <w:rPr>
          <w:b w:val="0"/>
          <w:spacing w:val="-2"/>
        </w:rPr>
        <w:t>Simplicity</w:t>
      </w:r>
    </w:p>
    <w:p w14:paraId="11581F3C" w14:textId="77777777" w:rsidR="00FF7799" w:rsidRPr="00E73F6F" w:rsidRDefault="00FF7799" w:rsidP="009355CA">
      <w:pPr>
        <w:pStyle w:val="berschrift1"/>
      </w:pPr>
      <w:r w:rsidRPr="00812008">
        <w:rPr>
          <w:color w:val="2E74B5"/>
        </w:rPr>
        <w:t>Spezifität</w:t>
      </w:r>
      <w:r w:rsidRPr="00E73F6F">
        <w:rPr>
          <w:spacing w:val="1"/>
        </w:rPr>
        <w:t xml:space="preserve"> </w:t>
      </w:r>
      <w:r w:rsidRPr="00E73F6F">
        <w:rPr>
          <w:b w:val="0"/>
        </w:rPr>
        <w:t>→</w:t>
      </w:r>
      <w:r w:rsidRPr="00E73F6F">
        <w:rPr>
          <w:b w:val="0"/>
          <w:spacing w:val="-4"/>
        </w:rPr>
        <w:t xml:space="preserve"> </w:t>
      </w:r>
      <w:r w:rsidRPr="00E73F6F">
        <w:rPr>
          <w:b w:val="0"/>
        </w:rPr>
        <w:t>Kulturdimensionen</w:t>
      </w:r>
      <w:r w:rsidRPr="00E73F6F">
        <w:rPr>
          <w:b w:val="0"/>
          <w:spacing w:val="-1"/>
        </w:rPr>
        <w:t xml:space="preserve"> </w:t>
      </w:r>
      <w:r w:rsidRPr="00E73F6F">
        <w:rPr>
          <w:b w:val="0"/>
        </w:rPr>
        <w:t>nach</w:t>
      </w:r>
      <w:r w:rsidRPr="00E73F6F">
        <w:rPr>
          <w:b w:val="0"/>
          <w:spacing w:val="-1"/>
        </w:rPr>
        <w:t xml:space="preserve"> </w:t>
      </w:r>
      <w:r w:rsidRPr="00E73F6F">
        <w:rPr>
          <w:b w:val="0"/>
          <w:spacing w:val="-2"/>
        </w:rPr>
        <w:t>Trompenaars</w:t>
      </w:r>
    </w:p>
    <w:p w14:paraId="7CB30BDF" w14:textId="77777777" w:rsidR="00FF7799" w:rsidRPr="00E73F6F" w:rsidRDefault="00FF7799" w:rsidP="009355CA">
      <w:pPr>
        <w:pStyle w:val="berschrift1"/>
      </w:pPr>
      <w:r w:rsidRPr="00812008">
        <w:rPr>
          <w:color w:val="2E74B5"/>
        </w:rPr>
        <w:t>Spiritualität</w:t>
      </w:r>
      <w:r w:rsidRPr="00E73F6F">
        <w:t xml:space="preserve"> </w:t>
      </w:r>
      <w:r w:rsidRPr="00E73F6F">
        <w:rPr>
          <w:b w:val="0"/>
        </w:rPr>
        <w:t>→ Religiosität</w:t>
      </w:r>
    </w:p>
    <w:p w14:paraId="5AAD5EC7" w14:textId="77777777" w:rsidR="0069244A" w:rsidRPr="00812008" w:rsidRDefault="0069244A" w:rsidP="0069244A">
      <w:pPr>
        <w:keepNext/>
        <w:keepLines/>
        <w:spacing w:before="240"/>
        <w:jc w:val="both"/>
        <w:outlineLvl w:val="1"/>
        <w:rPr>
          <w:b/>
          <w:bCs/>
          <w:color w:val="2E74B5"/>
          <w:sz w:val="24"/>
        </w:rPr>
      </w:pPr>
      <w:r w:rsidRPr="00812008">
        <w:rPr>
          <w:b/>
          <w:bCs/>
          <w:color w:val="2E74B5"/>
          <w:sz w:val="24"/>
        </w:rPr>
        <w:t>Sponsoring</w:t>
      </w:r>
    </w:p>
    <w:p w14:paraId="4819D341" w14:textId="77777777" w:rsidR="0069244A" w:rsidRPr="007F69DA" w:rsidRDefault="0069244A" w:rsidP="00812008">
      <w:pPr>
        <w:pStyle w:val="Literatur"/>
        <w:numPr>
          <w:ilvl w:val="0"/>
          <w:numId w:val="0"/>
        </w:numPr>
        <w:spacing w:line="240" w:lineRule="auto"/>
        <w:ind w:left="426"/>
        <w:rPr>
          <w:sz w:val="24"/>
          <w:szCs w:val="24"/>
        </w:rPr>
      </w:pPr>
      <w:bookmarkStart w:id="168" w:name="_Toc358883033"/>
    </w:p>
    <w:p w14:paraId="21CA5216" w14:textId="77777777" w:rsidR="0069244A" w:rsidRPr="007F69DA" w:rsidRDefault="0069244A" w:rsidP="00812008">
      <w:pPr>
        <w:pStyle w:val="Literatur"/>
        <w:numPr>
          <w:ilvl w:val="0"/>
          <w:numId w:val="0"/>
        </w:numPr>
        <w:spacing w:line="240" w:lineRule="auto"/>
        <w:rPr>
          <w:sz w:val="24"/>
          <w:szCs w:val="24"/>
        </w:rPr>
      </w:pPr>
      <w:proofErr w:type="gramStart"/>
      <w:r w:rsidRPr="007F69DA">
        <w:rPr>
          <w:sz w:val="24"/>
          <w:szCs w:val="24"/>
        </w:rPr>
        <w:t xml:space="preserve">1  </w:t>
      </w:r>
      <w:bookmarkEnd w:id="168"/>
      <w:r w:rsidRPr="007F69DA">
        <w:rPr>
          <w:sz w:val="24"/>
          <w:szCs w:val="24"/>
        </w:rPr>
        <w:t>Grundlagen</w:t>
      </w:r>
      <w:proofErr w:type="gramEnd"/>
    </w:p>
    <w:p w14:paraId="69BBD7ED" w14:textId="77777777" w:rsidR="0069244A" w:rsidRPr="007F69DA" w:rsidRDefault="0069244A" w:rsidP="00812008">
      <w:pPr>
        <w:pStyle w:val="Literatur"/>
        <w:numPr>
          <w:ilvl w:val="0"/>
          <w:numId w:val="0"/>
        </w:numPr>
        <w:spacing w:line="240" w:lineRule="auto"/>
        <w:rPr>
          <w:sz w:val="24"/>
          <w:szCs w:val="24"/>
        </w:rPr>
      </w:pPr>
      <w:r w:rsidRPr="007F69DA">
        <w:rPr>
          <w:sz w:val="24"/>
          <w:szCs w:val="24"/>
        </w:rPr>
        <w:t xml:space="preserve">Sponsoring basiert auf einer vertraglichen Vereinbarung zwischen zwei Parteien. Abhängig davon, welche Person, welches Event oder welche Organisation finanziell oder auf andere Weise unterstützt wird, unterscheidet man Sport-, Kultur-, Sozio. und Umweltsponsoring. Gemessen </w:t>
      </w:r>
      <w:r w:rsidRPr="007F69DA">
        <w:rPr>
          <w:sz w:val="24"/>
          <w:szCs w:val="24"/>
        </w:rPr>
        <w:lastRenderedPageBreak/>
        <w:t>an den finanziellen Aufwendungen der Unternehmen ist Sportsponsoring die bedeutendste Form von Sponsoring. Der Sponsor – gewöhnlich ein Unternehmen – entrichtet einen bestimmten Geldbetrag oder erbringt geldwerte Leistungen. Der Sponsornehmer – zumeist eine Person oder Organisation aus dem Non Profit-Bereich – räumt dem Sponsorgeber im Gegenzug das Recht ein, sein Engagement kommunikativ zu vermarkten. Anders als Spender oder Mäzene engagieren sich Sponsoren somit nicht vorrangig aus altruistischen Gründen. Vielmehr verfolgen sie direkt und indirekt kommerzielle Interessen: Bekanntheit erlangen und das positive Image des Sponsornehmers auf das eigene Unternehmen bzw. Produkt transferieren. (vgl. Abb. 1).</w:t>
      </w:r>
    </w:p>
    <w:p w14:paraId="6657994E" w14:textId="77777777" w:rsidR="0069244A" w:rsidRPr="007F69DA" w:rsidRDefault="0069244A" w:rsidP="0069244A">
      <w:pPr>
        <w:spacing w:line="360" w:lineRule="auto"/>
        <w:ind w:right="-851"/>
        <w:jc w:val="both"/>
        <w:rPr>
          <w:bCs/>
          <w:highlight w:val="yellow"/>
          <w:lang w:eastAsia="de-DE"/>
        </w:rPr>
      </w:pPr>
    </w:p>
    <w:p w14:paraId="49A128FE" w14:textId="77777777" w:rsidR="0069244A" w:rsidRPr="00BF04C9" w:rsidRDefault="0069244A" w:rsidP="0069244A">
      <w:pPr>
        <w:spacing w:after="120" w:line="264" w:lineRule="auto"/>
        <w:ind w:right="-851"/>
        <w:jc w:val="center"/>
        <w:rPr>
          <w:i/>
          <w:lang w:eastAsia="de-DE"/>
        </w:rPr>
      </w:pPr>
      <w:r w:rsidRPr="00BF04C9">
        <w:rPr>
          <w:i/>
          <w:lang w:eastAsia="de-DE"/>
        </w:rPr>
        <w:t>Abb. 1: Sponsoring zwischen Kommerz &amp; Gemeinwohl</w:t>
      </w:r>
    </w:p>
    <w:p w14:paraId="46AE6214" w14:textId="77777777" w:rsidR="0069244A" w:rsidRPr="007F69DA" w:rsidRDefault="0069244A" w:rsidP="0069244A">
      <w:pPr>
        <w:shd w:val="clear" w:color="auto" w:fill="FFFFFF" w:themeFill="background1"/>
        <w:spacing w:line="220" w:lineRule="atLeast"/>
        <w:ind w:right="-851"/>
        <w:jc w:val="both"/>
        <w:rPr>
          <w:bCs/>
          <w:lang w:eastAsia="de-DE"/>
        </w:rPr>
      </w:pPr>
      <w:r w:rsidRPr="007F69DA">
        <w:rPr>
          <w:bCs/>
          <w:noProof/>
          <w:lang w:eastAsia="de-DE"/>
        </w:rPr>
        <w:drawing>
          <wp:inline distT="0" distB="0" distL="0" distR="0" wp14:anchorId="3153DE3F" wp14:editId="7981F478">
            <wp:extent cx="5457825" cy="2914528"/>
            <wp:effectExtent l="0" t="0" r="0" b="635"/>
            <wp:docPr id="696277609" name="Grafik 696277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5467679" cy="2919790"/>
                    </a:xfrm>
                    <a:prstGeom prst="rect">
                      <a:avLst/>
                    </a:prstGeom>
                    <a:noFill/>
                  </pic:spPr>
                </pic:pic>
              </a:graphicData>
            </a:graphic>
          </wp:inline>
        </w:drawing>
      </w:r>
    </w:p>
    <w:p w14:paraId="2AF56FE2" w14:textId="77777777" w:rsidR="0069244A" w:rsidRPr="007F69DA" w:rsidRDefault="0069244A" w:rsidP="0069244A">
      <w:pPr>
        <w:rPr>
          <w:bCs/>
          <w:noProof/>
          <w:szCs w:val="24"/>
        </w:rPr>
      </w:pPr>
      <w:r w:rsidRPr="007F69DA">
        <w:rPr>
          <w:bCs/>
          <w:noProof/>
          <w:szCs w:val="24"/>
        </w:rPr>
        <w:t>Quelle: eigene Darstellung auf der Basis von Leuteritz et al. (2008, S.8ff.).</w:t>
      </w:r>
    </w:p>
    <w:p w14:paraId="24D20A0B" w14:textId="77777777" w:rsidR="0069244A" w:rsidRPr="007F69DA" w:rsidRDefault="0069244A" w:rsidP="0069244A">
      <w:pPr>
        <w:rPr>
          <w:bCs/>
          <w:noProof/>
          <w:szCs w:val="24"/>
        </w:rPr>
      </w:pPr>
    </w:p>
    <w:p w14:paraId="28D812C7" w14:textId="77777777" w:rsidR="0069244A" w:rsidRPr="007F69DA" w:rsidRDefault="0069244A" w:rsidP="00812008">
      <w:pPr>
        <w:pStyle w:val="Literatur"/>
        <w:numPr>
          <w:ilvl w:val="0"/>
          <w:numId w:val="0"/>
        </w:numPr>
        <w:spacing w:line="240" w:lineRule="auto"/>
        <w:rPr>
          <w:sz w:val="24"/>
          <w:szCs w:val="24"/>
        </w:rPr>
      </w:pPr>
      <w:r w:rsidRPr="007F69DA">
        <w:rPr>
          <w:sz w:val="24"/>
          <w:szCs w:val="24"/>
        </w:rPr>
        <w:t xml:space="preserve">Sponsoring – z.B. eines Golfturniers durch einen Sportartikelhersteller oder eines Rock-Konzerts durch einen Soft Drink-Produzenten – versetzt die Sponsoren in die Lage, eine eindeutig abgrenzbare und motivierte Zielgruppe anzusprechen. Weiterhin können diese Sponsoren auf vermehrte gesellschaftliche Akzeptanz ihrer kommerziellen Vorhaben hoffen. Diese „leihen“ sie sich </w:t>
      </w:r>
      <w:proofErr w:type="gramStart"/>
      <w:r w:rsidRPr="007F69DA">
        <w:rPr>
          <w:sz w:val="24"/>
          <w:szCs w:val="24"/>
        </w:rPr>
        <w:t>von der gemeinnützigen Organisationen</w:t>
      </w:r>
      <w:proofErr w:type="gramEnd"/>
      <w:r w:rsidRPr="007F69DA">
        <w:rPr>
          <w:sz w:val="24"/>
          <w:szCs w:val="24"/>
        </w:rPr>
        <w:t xml:space="preserve"> und deren Veranstaltungen, die zu unterstützen. Denn die weit überwiegende Mehrheit der Bevölkerung findet nicht nur Kultur-, Sozio- und Umweltsponsoring gut, sondern auch Sportsponsoring. Auch stören sich nur wenige an Hinweisen auf den Sponsor, bspw. vor und nach Fernsehsendungen (vgl. Tab. 1). </w:t>
      </w:r>
    </w:p>
    <w:p w14:paraId="04551A6A" w14:textId="77777777" w:rsidR="0069244A" w:rsidRPr="00330087" w:rsidRDefault="0069244A" w:rsidP="0069244A">
      <w:pPr>
        <w:spacing w:before="240" w:after="60" w:line="360" w:lineRule="auto"/>
        <w:ind w:left="284" w:rightChars="921" w:right="2026"/>
        <w:jc w:val="center"/>
        <w:rPr>
          <w:i/>
          <w:lang w:eastAsia="de-DE"/>
        </w:rPr>
      </w:pPr>
      <w:r w:rsidRPr="00330087">
        <w:rPr>
          <w:i/>
          <w:lang w:eastAsia="de-DE"/>
        </w:rPr>
        <w:t>Tab. 1: Merkmale von Sponsoring</w:t>
      </w:r>
    </w:p>
    <w:tbl>
      <w:tblPr>
        <w:tblW w:w="8430" w:type="dxa"/>
        <w:tblInd w:w="70" w:type="dxa"/>
        <w:tblBorders>
          <w:top w:val="single" w:sz="4" w:space="0" w:color="auto"/>
          <w:left w:val="single" w:sz="4" w:space="0" w:color="auto"/>
          <w:bottom w:val="single" w:sz="4" w:space="0" w:color="auto"/>
          <w:right w:val="single" w:sz="4" w:space="0" w:color="auto"/>
          <w:insideH w:val="single" w:sz="4" w:space="0" w:color="auto"/>
        </w:tblBorders>
        <w:tblCellMar>
          <w:left w:w="70" w:type="dxa"/>
          <w:right w:w="70" w:type="dxa"/>
        </w:tblCellMar>
        <w:tblLook w:val="0000" w:firstRow="0" w:lastRow="0" w:firstColumn="0" w:lastColumn="0" w:noHBand="0" w:noVBand="0"/>
      </w:tblPr>
      <w:tblGrid>
        <w:gridCol w:w="2617"/>
        <w:gridCol w:w="2378"/>
        <w:gridCol w:w="3435"/>
      </w:tblGrid>
      <w:tr w:rsidR="0069244A" w:rsidRPr="007F69DA" w14:paraId="6375E7ED" w14:textId="77777777" w:rsidTr="00F46ACB">
        <w:tc>
          <w:tcPr>
            <w:tcW w:w="2617" w:type="dxa"/>
            <w:tcBorders>
              <w:right w:val="single" w:sz="4" w:space="0" w:color="auto"/>
            </w:tcBorders>
            <w:shd w:val="clear" w:color="auto" w:fill="FFC000" w:themeFill="accent4"/>
          </w:tcPr>
          <w:p w14:paraId="4FE2F7E0" w14:textId="77777777" w:rsidR="0069244A" w:rsidRPr="007F69DA" w:rsidRDefault="0069244A" w:rsidP="00F46ACB">
            <w:pPr>
              <w:spacing w:before="240" w:after="60"/>
              <w:ind w:left="284" w:rightChars="921" w:right="2026"/>
              <w:jc w:val="both"/>
              <w:rPr>
                <w:b/>
                <w:lang w:eastAsia="de-DE"/>
              </w:rPr>
            </w:pPr>
          </w:p>
        </w:tc>
        <w:tc>
          <w:tcPr>
            <w:tcW w:w="2378" w:type="dxa"/>
            <w:tcBorders>
              <w:left w:val="single" w:sz="4" w:space="0" w:color="auto"/>
            </w:tcBorders>
            <w:shd w:val="clear" w:color="auto" w:fill="FFC000" w:themeFill="accent4"/>
          </w:tcPr>
          <w:p w14:paraId="514C1C06" w14:textId="77777777" w:rsidR="0069244A" w:rsidRPr="007F69DA" w:rsidRDefault="0069244A" w:rsidP="00F46ACB">
            <w:pPr>
              <w:spacing w:before="240" w:after="60"/>
              <w:ind w:left="284" w:rightChars="74" w:right="163"/>
              <w:jc w:val="center"/>
              <w:rPr>
                <w:b/>
                <w:lang w:eastAsia="de-DE"/>
              </w:rPr>
            </w:pPr>
            <w:r w:rsidRPr="007F69DA">
              <w:rPr>
                <w:b/>
                <w:lang w:eastAsia="de-DE"/>
              </w:rPr>
              <w:t>Sponsorgeber</w:t>
            </w:r>
          </w:p>
        </w:tc>
        <w:tc>
          <w:tcPr>
            <w:tcW w:w="3435" w:type="dxa"/>
            <w:shd w:val="clear" w:color="auto" w:fill="FFC000" w:themeFill="accent4"/>
          </w:tcPr>
          <w:p w14:paraId="6FDBEF3D" w14:textId="77777777" w:rsidR="0069244A" w:rsidRPr="007F69DA" w:rsidRDefault="0069244A" w:rsidP="00F46ACB">
            <w:pPr>
              <w:tabs>
                <w:tab w:val="left" w:pos="17"/>
              </w:tabs>
              <w:spacing w:before="240" w:after="60"/>
              <w:ind w:left="284" w:rightChars="212" w:right="466"/>
              <w:jc w:val="center"/>
              <w:rPr>
                <w:b/>
                <w:lang w:eastAsia="de-DE"/>
              </w:rPr>
            </w:pPr>
            <w:r w:rsidRPr="007F69DA">
              <w:rPr>
                <w:b/>
                <w:lang w:eastAsia="de-DE"/>
              </w:rPr>
              <w:t>Sponsornehmer</w:t>
            </w:r>
          </w:p>
        </w:tc>
      </w:tr>
      <w:tr w:rsidR="0069244A" w:rsidRPr="007F69DA" w14:paraId="185E2329" w14:textId="77777777" w:rsidTr="00F46ACB">
        <w:tc>
          <w:tcPr>
            <w:tcW w:w="2617" w:type="dxa"/>
            <w:tcBorders>
              <w:right w:val="single" w:sz="4" w:space="0" w:color="auto"/>
            </w:tcBorders>
            <w:shd w:val="clear" w:color="auto" w:fill="FFF2CC" w:themeFill="accent4" w:themeFillTint="33"/>
          </w:tcPr>
          <w:p w14:paraId="3D4F572C" w14:textId="77777777" w:rsidR="0069244A" w:rsidRPr="007F69DA" w:rsidRDefault="0069244A" w:rsidP="00F46ACB">
            <w:pPr>
              <w:spacing w:before="240" w:after="60"/>
              <w:ind w:left="284" w:rightChars="597" w:right="1313"/>
              <w:jc w:val="both"/>
              <w:rPr>
                <w:b/>
                <w:lang w:eastAsia="de-DE"/>
              </w:rPr>
            </w:pPr>
            <w:r w:rsidRPr="007F69DA">
              <w:rPr>
                <w:b/>
                <w:lang w:eastAsia="de-DE"/>
              </w:rPr>
              <w:t>Beteiligte</w:t>
            </w:r>
          </w:p>
        </w:tc>
        <w:tc>
          <w:tcPr>
            <w:tcW w:w="2378" w:type="dxa"/>
            <w:tcBorders>
              <w:left w:val="single" w:sz="4" w:space="0" w:color="auto"/>
            </w:tcBorders>
          </w:tcPr>
          <w:p w14:paraId="27D0184A" w14:textId="77777777" w:rsidR="0069244A" w:rsidRPr="007F69DA" w:rsidRDefault="0069244A" w:rsidP="00F46ACB">
            <w:pPr>
              <w:spacing w:before="240" w:after="60"/>
              <w:ind w:left="284" w:rightChars="74" w:right="163"/>
              <w:jc w:val="both"/>
              <w:rPr>
                <w:bCs/>
                <w:lang w:eastAsia="de-DE"/>
              </w:rPr>
            </w:pPr>
            <w:r w:rsidRPr="007F69DA">
              <w:rPr>
                <w:bCs/>
                <w:lang w:eastAsia="de-DE"/>
              </w:rPr>
              <w:t>Unternehmen</w:t>
            </w:r>
          </w:p>
        </w:tc>
        <w:tc>
          <w:tcPr>
            <w:tcW w:w="3435" w:type="dxa"/>
          </w:tcPr>
          <w:p w14:paraId="75409889" w14:textId="77777777" w:rsidR="0069244A" w:rsidRPr="007F69DA" w:rsidRDefault="0069244A">
            <w:pPr>
              <w:widowControl/>
              <w:numPr>
                <w:ilvl w:val="0"/>
                <w:numId w:val="71"/>
              </w:numPr>
              <w:autoSpaceDE/>
              <w:autoSpaceDN/>
              <w:spacing w:before="240" w:after="60"/>
              <w:ind w:left="300" w:rightChars="212" w:right="466" w:hanging="283"/>
              <w:rPr>
                <w:bCs/>
                <w:lang w:eastAsia="de-DE"/>
              </w:rPr>
            </w:pPr>
            <w:r w:rsidRPr="007F69DA">
              <w:rPr>
                <w:bCs/>
                <w:lang w:eastAsia="de-DE"/>
              </w:rPr>
              <w:t>Einzelpersonen</w:t>
            </w:r>
          </w:p>
          <w:p w14:paraId="4A28AED0" w14:textId="77777777" w:rsidR="0069244A" w:rsidRPr="007F69DA" w:rsidRDefault="0069244A">
            <w:pPr>
              <w:widowControl/>
              <w:numPr>
                <w:ilvl w:val="0"/>
                <w:numId w:val="71"/>
              </w:numPr>
              <w:autoSpaceDE/>
              <w:autoSpaceDN/>
              <w:spacing w:before="240" w:after="60"/>
              <w:ind w:left="300" w:rightChars="212" w:right="466" w:hanging="283"/>
              <w:rPr>
                <w:bCs/>
                <w:lang w:eastAsia="de-DE"/>
              </w:rPr>
            </w:pPr>
            <w:r w:rsidRPr="007F69DA">
              <w:rPr>
                <w:bCs/>
                <w:lang w:eastAsia="de-DE"/>
              </w:rPr>
              <w:t xml:space="preserve">Gruppen von Personen </w:t>
            </w:r>
          </w:p>
          <w:p w14:paraId="15C742E6" w14:textId="77777777" w:rsidR="0069244A" w:rsidRPr="007F69DA" w:rsidRDefault="0069244A">
            <w:pPr>
              <w:widowControl/>
              <w:numPr>
                <w:ilvl w:val="0"/>
                <w:numId w:val="71"/>
              </w:numPr>
              <w:autoSpaceDE/>
              <w:autoSpaceDN/>
              <w:spacing w:before="240" w:after="60"/>
              <w:ind w:left="300" w:rightChars="212" w:right="466" w:hanging="283"/>
              <w:rPr>
                <w:bCs/>
                <w:lang w:eastAsia="de-DE"/>
              </w:rPr>
            </w:pPr>
            <w:r w:rsidRPr="007F69DA">
              <w:rPr>
                <w:bCs/>
                <w:lang w:eastAsia="de-DE"/>
              </w:rPr>
              <w:t>Non Profit-Organisationen</w:t>
            </w:r>
          </w:p>
        </w:tc>
      </w:tr>
      <w:tr w:rsidR="0069244A" w:rsidRPr="007F69DA" w14:paraId="50218614" w14:textId="77777777" w:rsidTr="00F46ACB">
        <w:tc>
          <w:tcPr>
            <w:tcW w:w="2617" w:type="dxa"/>
            <w:tcBorders>
              <w:right w:val="single" w:sz="4" w:space="0" w:color="auto"/>
            </w:tcBorders>
            <w:shd w:val="clear" w:color="auto" w:fill="FFF2CC" w:themeFill="accent4" w:themeFillTint="33"/>
          </w:tcPr>
          <w:p w14:paraId="6E7798CF" w14:textId="77777777" w:rsidR="0069244A" w:rsidRPr="007F69DA" w:rsidRDefault="0069244A" w:rsidP="00F46ACB">
            <w:pPr>
              <w:spacing w:before="240" w:after="60"/>
              <w:ind w:left="284" w:rightChars="455" w:right="1001"/>
              <w:jc w:val="both"/>
              <w:rPr>
                <w:b/>
                <w:lang w:eastAsia="de-DE"/>
              </w:rPr>
            </w:pPr>
            <w:r w:rsidRPr="007F69DA">
              <w:rPr>
                <w:b/>
                <w:lang w:eastAsia="de-DE"/>
              </w:rPr>
              <w:lastRenderedPageBreak/>
              <w:t>Leistungen</w:t>
            </w:r>
          </w:p>
        </w:tc>
        <w:tc>
          <w:tcPr>
            <w:tcW w:w="2378" w:type="dxa"/>
            <w:tcBorders>
              <w:left w:val="single" w:sz="4" w:space="0" w:color="auto"/>
            </w:tcBorders>
          </w:tcPr>
          <w:p w14:paraId="7D2E30E3" w14:textId="77777777" w:rsidR="0069244A" w:rsidRPr="007F69DA" w:rsidRDefault="0069244A">
            <w:pPr>
              <w:widowControl/>
              <w:numPr>
                <w:ilvl w:val="0"/>
                <w:numId w:val="27"/>
              </w:numPr>
              <w:tabs>
                <w:tab w:val="clear" w:pos="360"/>
              </w:tabs>
              <w:autoSpaceDE/>
              <w:autoSpaceDN/>
              <w:spacing w:before="240" w:after="60"/>
              <w:ind w:left="284" w:rightChars="216" w:right="475"/>
              <w:rPr>
                <w:bCs/>
                <w:lang w:eastAsia="de-DE"/>
              </w:rPr>
            </w:pPr>
            <w:r w:rsidRPr="007F69DA">
              <w:rPr>
                <w:bCs/>
                <w:lang w:eastAsia="de-DE"/>
              </w:rPr>
              <w:t>Geld</w:t>
            </w:r>
          </w:p>
          <w:p w14:paraId="70165FAF" w14:textId="77777777" w:rsidR="0069244A" w:rsidRPr="007F69DA" w:rsidRDefault="0069244A">
            <w:pPr>
              <w:widowControl/>
              <w:numPr>
                <w:ilvl w:val="0"/>
                <w:numId w:val="27"/>
              </w:numPr>
              <w:tabs>
                <w:tab w:val="clear" w:pos="360"/>
              </w:tabs>
              <w:autoSpaceDE/>
              <w:autoSpaceDN/>
              <w:spacing w:before="240" w:after="60"/>
              <w:ind w:left="284" w:rightChars="216" w:right="475"/>
              <w:rPr>
                <w:bCs/>
                <w:lang w:eastAsia="de-DE"/>
              </w:rPr>
            </w:pPr>
            <w:r w:rsidRPr="007F69DA">
              <w:rPr>
                <w:bCs/>
                <w:lang w:eastAsia="de-DE"/>
              </w:rPr>
              <w:t>Sachleistungen</w:t>
            </w:r>
          </w:p>
          <w:p w14:paraId="2561BA15" w14:textId="77777777" w:rsidR="0069244A" w:rsidRPr="007F69DA" w:rsidRDefault="0069244A">
            <w:pPr>
              <w:widowControl/>
              <w:numPr>
                <w:ilvl w:val="0"/>
                <w:numId w:val="27"/>
              </w:numPr>
              <w:tabs>
                <w:tab w:val="clear" w:pos="360"/>
              </w:tabs>
              <w:autoSpaceDE/>
              <w:autoSpaceDN/>
              <w:spacing w:before="240" w:after="60"/>
              <w:ind w:left="284" w:rightChars="216" w:right="475"/>
              <w:rPr>
                <w:bCs/>
                <w:lang w:eastAsia="de-DE"/>
              </w:rPr>
            </w:pPr>
            <w:r w:rsidRPr="007F69DA">
              <w:rPr>
                <w:bCs/>
                <w:lang w:eastAsia="de-DE"/>
              </w:rPr>
              <w:t>Dienstleistungen</w:t>
            </w:r>
          </w:p>
        </w:tc>
        <w:tc>
          <w:tcPr>
            <w:tcW w:w="3435" w:type="dxa"/>
          </w:tcPr>
          <w:p w14:paraId="312C74B2" w14:textId="77777777" w:rsidR="0069244A" w:rsidRPr="007F69DA" w:rsidRDefault="0069244A">
            <w:pPr>
              <w:widowControl/>
              <w:numPr>
                <w:ilvl w:val="0"/>
                <w:numId w:val="27"/>
              </w:numPr>
              <w:tabs>
                <w:tab w:val="clear" w:pos="360"/>
              </w:tabs>
              <w:autoSpaceDE/>
              <w:autoSpaceDN/>
              <w:spacing w:before="240" w:after="60"/>
              <w:ind w:left="284" w:right="-851"/>
              <w:rPr>
                <w:bCs/>
                <w:lang w:eastAsia="de-DE"/>
              </w:rPr>
            </w:pPr>
            <w:r w:rsidRPr="007F69DA">
              <w:rPr>
                <w:bCs/>
                <w:lang w:eastAsia="de-DE"/>
              </w:rPr>
              <w:t>Kommunikative Nutzung des Namens des Sponsornehmers bzw. seiner Leistungen</w:t>
            </w:r>
          </w:p>
          <w:p w14:paraId="1185ABEE" w14:textId="77777777" w:rsidR="0069244A" w:rsidRPr="007F69DA" w:rsidRDefault="0069244A">
            <w:pPr>
              <w:widowControl/>
              <w:numPr>
                <w:ilvl w:val="0"/>
                <w:numId w:val="27"/>
              </w:numPr>
              <w:tabs>
                <w:tab w:val="clear" w:pos="360"/>
              </w:tabs>
              <w:autoSpaceDE/>
              <w:autoSpaceDN/>
              <w:spacing w:before="240" w:after="60"/>
              <w:ind w:left="284" w:right="-851"/>
              <w:rPr>
                <w:bCs/>
                <w:lang w:eastAsia="de-DE"/>
              </w:rPr>
            </w:pPr>
            <w:r w:rsidRPr="007F69DA">
              <w:rPr>
                <w:bCs/>
                <w:lang w:eastAsia="de-DE"/>
              </w:rPr>
              <w:t>Werbung für den Sponsor</w:t>
            </w:r>
          </w:p>
        </w:tc>
      </w:tr>
      <w:tr w:rsidR="0069244A" w:rsidRPr="007F69DA" w14:paraId="76A8F114" w14:textId="77777777" w:rsidTr="00F46ACB">
        <w:tc>
          <w:tcPr>
            <w:tcW w:w="2617" w:type="dxa"/>
            <w:tcBorders>
              <w:right w:val="single" w:sz="4" w:space="0" w:color="auto"/>
            </w:tcBorders>
            <w:shd w:val="clear" w:color="auto" w:fill="FFF2CC" w:themeFill="accent4" w:themeFillTint="33"/>
          </w:tcPr>
          <w:p w14:paraId="31218515" w14:textId="77777777" w:rsidR="0069244A" w:rsidRPr="007F69DA" w:rsidRDefault="0069244A" w:rsidP="00F46ACB">
            <w:pPr>
              <w:spacing w:before="240" w:after="60"/>
              <w:ind w:left="284" w:rightChars="401" w:right="882"/>
              <w:jc w:val="both"/>
              <w:rPr>
                <w:b/>
                <w:lang w:eastAsia="de-DE"/>
              </w:rPr>
            </w:pPr>
            <w:r w:rsidRPr="007F69DA">
              <w:rPr>
                <w:b/>
                <w:lang w:eastAsia="de-DE"/>
              </w:rPr>
              <w:t>Vorteil bzw. Nutzen</w:t>
            </w:r>
          </w:p>
        </w:tc>
        <w:tc>
          <w:tcPr>
            <w:tcW w:w="2378" w:type="dxa"/>
            <w:tcBorders>
              <w:left w:val="single" w:sz="4" w:space="0" w:color="auto"/>
            </w:tcBorders>
          </w:tcPr>
          <w:p w14:paraId="6DFB4BF8" w14:textId="77777777" w:rsidR="0069244A" w:rsidRPr="007F69DA" w:rsidRDefault="0069244A">
            <w:pPr>
              <w:widowControl/>
              <w:numPr>
                <w:ilvl w:val="0"/>
                <w:numId w:val="27"/>
              </w:numPr>
              <w:tabs>
                <w:tab w:val="clear" w:pos="360"/>
              </w:tabs>
              <w:autoSpaceDE/>
              <w:autoSpaceDN/>
              <w:spacing w:before="240" w:after="60"/>
              <w:ind w:left="284" w:right="-851"/>
              <w:rPr>
                <w:bCs/>
                <w:lang w:eastAsia="de-DE"/>
              </w:rPr>
            </w:pPr>
            <w:r w:rsidRPr="007F69DA">
              <w:rPr>
                <w:bCs/>
                <w:lang w:eastAsia="de-DE"/>
              </w:rPr>
              <w:t>Alternative zur „Werbeflut“</w:t>
            </w:r>
          </w:p>
          <w:p w14:paraId="5C9E6506" w14:textId="77777777" w:rsidR="0069244A" w:rsidRPr="007F69DA" w:rsidRDefault="0069244A">
            <w:pPr>
              <w:widowControl/>
              <w:numPr>
                <w:ilvl w:val="0"/>
                <w:numId w:val="27"/>
              </w:numPr>
              <w:tabs>
                <w:tab w:val="clear" w:pos="360"/>
              </w:tabs>
              <w:autoSpaceDE/>
              <w:autoSpaceDN/>
              <w:spacing w:before="240" w:after="60"/>
              <w:ind w:left="284" w:right="-851"/>
              <w:rPr>
                <w:bCs/>
                <w:lang w:eastAsia="de-DE"/>
              </w:rPr>
            </w:pPr>
            <w:r w:rsidRPr="007F69DA">
              <w:rPr>
                <w:bCs/>
                <w:lang w:eastAsia="de-DE"/>
              </w:rPr>
              <w:t>Zielgruppe kann nicht „wegzappen“</w:t>
            </w:r>
          </w:p>
          <w:p w14:paraId="439681CE" w14:textId="77777777" w:rsidR="0069244A" w:rsidRPr="007F69DA" w:rsidRDefault="0069244A">
            <w:pPr>
              <w:widowControl/>
              <w:numPr>
                <w:ilvl w:val="0"/>
                <w:numId w:val="27"/>
              </w:numPr>
              <w:tabs>
                <w:tab w:val="clear" w:pos="360"/>
              </w:tabs>
              <w:autoSpaceDE/>
              <w:autoSpaceDN/>
              <w:spacing w:before="240" w:after="60"/>
              <w:ind w:left="284" w:right="-851"/>
              <w:rPr>
                <w:bCs/>
                <w:lang w:eastAsia="de-DE"/>
              </w:rPr>
            </w:pPr>
            <w:r w:rsidRPr="007F69DA">
              <w:rPr>
                <w:bCs/>
                <w:lang w:eastAsia="de-DE"/>
              </w:rPr>
              <w:t>Umgehung von Werbeverboten (z.B. für Zigaretten)</w:t>
            </w:r>
          </w:p>
          <w:p w14:paraId="7FFE8184" w14:textId="77777777" w:rsidR="0069244A" w:rsidRPr="007F69DA" w:rsidRDefault="0069244A">
            <w:pPr>
              <w:widowControl/>
              <w:numPr>
                <w:ilvl w:val="0"/>
                <w:numId w:val="27"/>
              </w:numPr>
              <w:tabs>
                <w:tab w:val="clear" w:pos="360"/>
              </w:tabs>
              <w:autoSpaceDE/>
              <w:autoSpaceDN/>
              <w:spacing w:before="240" w:after="60"/>
              <w:ind w:left="284" w:right="-851"/>
              <w:rPr>
                <w:bCs/>
                <w:lang w:eastAsia="de-DE"/>
              </w:rPr>
            </w:pPr>
            <w:r w:rsidRPr="007F69DA">
              <w:rPr>
                <w:bCs/>
                <w:lang w:eastAsia="de-DE"/>
              </w:rPr>
              <w:t>Präsentation des Unternehmens in einem positivem, zumeist emotionalisierten Umfeld ( z.B. Kunstevent)</w:t>
            </w:r>
          </w:p>
          <w:p w14:paraId="61BBA24E" w14:textId="77777777" w:rsidR="0069244A" w:rsidRPr="007F69DA" w:rsidRDefault="0069244A">
            <w:pPr>
              <w:widowControl/>
              <w:numPr>
                <w:ilvl w:val="0"/>
                <w:numId w:val="27"/>
              </w:numPr>
              <w:tabs>
                <w:tab w:val="clear" w:pos="360"/>
              </w:tabs>
              <w:autoSpaceDE/>
              <w:autoSpaceDN/>
              <w:spacing w:before="240" w:after="60"/>
              <w:ind w:left="284" w:right="-851"/>
              <w:rPr>
                <w:bCs/>
                <w:lang w:eastAsia="de-DE"/>
              </w:rPr>
            </w:pPr>
            <w:r w:rsidRPr="007F69DA">
              <w:rPr>
                <w:bCs/>
                <w:lang w:eastAsia="de-DE"/>
              </w:rPr>
              <w:t>Geringe Streuverluste (=  günstige  Kontaktpreise)</w:t>
            </w:r>
          </w:p>
          <w:p w14:paraId="764E8630" w14:textId="77777777" w:rsidR="0069244A" w:rsidRPr="007F69DA" w:rsidRDefault="0069244A">
            <w:pPr>
              <w:widowControl/>
              <w:numPr>
                <w:ilvl w:val="0"/>
                <w:numId w:val="27"/>
              </w:numPr>
              <w:tabs>
                <w:tab w:val="clear" w:pos="360"/>
              </w:tabs>
              <w:autoSpaceDE/>
              <w:autoSpaceDN/>
              <w:spacing w:before="240" w:after="60"/>
              <w:ind w:left="284" w:right="-851"/>
              <w:rPr>
                <w:bCs/>
                <w:lang w:eastAsia="de-DE"/>
              </w:rPr>
            </w:pPr>
            <w:r w:rsidRPr="007F69DA">
              <w:rPr>
                <w:bCs/>
                <w:lang w:eastAsia="de-DE"/>
              </w:rPr>
              <w:t>Ansprache schwer erreichbarer Zielgruppen (z.B. Golfer)</w:t>
            </w:r>
          </w:p>
          <w:p w14:paraId="3D7EE94E" w14:textId="77777777" w:rsidR="0069244A" w:rsidRPr="007F69DA" w:rsidRDefault="0069244A">
            <w:pPr>
              <w:widowControl/>
              <w:numPr>
                <w:ilvl w:val="0"/>
                <w:numId w:val="27"/>
              </w:numPr>
              <w:tabs>
                <w:tab w:val="clear" w:pos="360"/>
              </w:tabs>
              <w:autoSpaceDE/>
              <w:autoSpaceDN/>
              <w:spacing w:before="240" w:after="60"/>
              <w:ind w:left="284" w:right="-851"/>
              <w:rPr>
                <w:bCs/>
                <w:lang w:eastAsia="de-DE"/>
              </w:rPr>
            </w:pPr>
            <w:r w:rsidRPr="007F69DA">
              <w:rPr>
                <w:bCs/>
                <w:lang w:eastAsia="de-DE"/>
              </w:rPr>
              <w:t>Ausschluss von Konkurrenten durch Exklusivvertrag</w:t>
            </w:r>
          </w:p>
          <w:p w14:paraId="48C93791" w14:textId="77777777" w:rsidR="0069244A" w:rsidRPr="007F69DA" w:rsidRDefault="0069244A">
            <w:pPr>
              <w:widowControl/>
              <w:numPr>
                <w:ilvl w:val="0"/>
                <w:numId w:val="27"/>
              </w:numPr>
              <w:tabs>
                <w:tab w:val="clear" w:pos="360"/>
              </w:tabs>
              <w:autoSpaceDE/>
              <w:autoSpaceDN/>
              <w:spacing w:before="240" w:after="60"/>
              <w:ind w:left="284" w:right="-851"/>
              <w:rPr>
                <w:bCs/>
                <w:lang w:eastAsia="de-DE"/>
              </w:rPr>
            </w:pPr>
            <w:r w:rsidRPr="007F69DA">
              <w:rPr>
                <w:bCs/>
                <w:lang w:eastAsia="de-DE"/>
              </w:rPr>
              <w:t xml:space="preserve">Redaktionelle Berichterstattung sorgt für Glaubwürdigkeit) </w:t>
            </w:r>
          </w:p>
          <w:p w14:paraId="6A659488" w14:textId="77777777" w:rsidR="0069244A" w:rsidRPr="007F69DA" w:rsidRDefault="0069244A">
            <w:pPr>
              <w:widowControl/>
              <w:numPr>
                <w:ilvl w:val="0"/>
                <w:numId w:val="27"/>
              </w:numPr>
              <w:tabs>
                <w:tab w:val="clear" w:pos="360"/>
              </w:tabs>
              <w:autoSpaceDE/>
              <w:autoSpaceDN/>
              <w:spacing w:before="240" w:after="60"/>
              <w:ind w:left="284" w:right="-851"/>
              <w:rPr>
                <w:bCs/>
                <w:lang w:eastAsia="de-DE"/>
              </w:rPr>
            </w:pPr>
            <w:r w:rsidRPr="007F69DA">
              <w:rPr>
                <w:bCs/>
                <w:lang w:eastAsia="de-DE"/>
              </w:rPr>
              <w:t>Gesellschaftliche Akzeptanz</w:t>
            </w:r>
          </w:p>
        </w:tc>
        <w:tc>
          <w:tcPr>
            <w:tcW w:w="3435" w:type="dxa"/>
          </w:tcPr>
          <w:p w14:paraId="560023F6" w14:textId="77777777" w:rsidR="0069244A" w:rsidRPr="007F69DA" w:rsidRDefault="0069244A">
            <w:pPr>
              <w:widowControl/>
              <w:numPr>
                <w:ilvl w:val="0"/>
                <w:numId w:val="27"/>
              </w:numPr>
              <w:tabs>
                <w:tab w:val="clear" w:pos="360"/>
              </w:tabs>
              <w:autoSpaceDE/>
              <w:autoSpaceDN/>
              <w:spacing w:before="240" w:after="60"/>
              <w:ind w:left="284" w:right="-851"/>
              <w:rPr>
                <w:bCs/>
                <w:lang w:eastAsia="de-DE"/>
              </w:rPr>
            </w:pPr>
            <w:r w:rsidRPr="007F69DA">
              <w:rPr>
                <w:bCs/>
                <w:lang w:eastAsia="de-DE"/>
              </w:rPr>
              <w:t>Finanzielle Unterstützung</w:t>
            </w:r>
          </w:p>
          <w:p w14:paraId="5E706630" w14:textId="77777777" w:rsidR="0069244A" w:rsidRPr="007F69DA" w:rsidRDefault="0069244A">
            <w:pPr>
              <w:widowControl/>
              <w:numPr>
                <w:ilvl w:val="0"/>
                <w:numId w:val="27"/>
              </w:numPr>
              <w:tabs>
                <w:tab w:val="clear" w:pos="360"/>
              </w:tabs>
              <w:autoSpaceDE/>
              <w:autoSpaceDN/>
              <w:spacing w:before="240" w:after="60"/>
              <w:ind w:left="284" w:right="-851"/>
              <w:rPr>
                <w:bCs/>
                <w:lang w:eastAsia="de-DE"/>
              </w:rPr>
            </w:pPr>
            <w:r w:rsidRPr="007F69DA">
              <w:rPr>
                <w:bCs/>
                <w:lang w:eastAsia="de-DE"/>
              </w:rPr>
              <w:t>Imagegewinn</w:t>
            </w:r>
          </w:p>
          <w:p w14:paraId="190D26C4" w14:textId="77777777" w:rsidR="0069244A" w:rsidRPr="007F69DA" w:rsidRDefault="0069244A">
            <w:pPr>
              <w:widowControl/>
              <w:numPr>
                <w:ilvl w:val="0"/>
                <w:numId w:val="27"/>
              </w:numPr>
              <w:tabs>
                <w:tab w:val="clear" w:pos="360"/>
              </w:tabs>
              <w:autoSpaceDE/>
              <w:autoSpaceDN/>
              <w:spacing w:before="240" w:after="60"/>
              <w:ind w:left="284" w:right="-851"/>
              <w:rPr>
                <w:bCs/>
                <w:lang w:eastAsia="de-DE"/>
              </w:rPr>
            </w:pPr>
            <w:r w:rsidRPr="007F69DA">
              <w:rPr>
                <w:bCs/>
                <w:lang w:eastAsia="de-DE"/>
              </w:rPr>
              <w:t>Erhöhung des Bekanntheitsgrades (z.B. unter Journalisten)</w:t>
            </w:r>
          </w:p>
          <w:p w14:paraId="2894F330" w14:textId="77777777" w:rsidR="0069244A" w:rsidRPr="007F69DA" w:rsidRDefault="0069244A">
            <w:pPr>
              <w:widowControl/>
              <w:numPr>
                <w:ilvl w:val="0"/>
                <w:numId w:val="27"/>
              </w:numPr>
              <w:tabs>
                <w:tab w:val="clear" w:pos="360"/>
              </w:tabs>
              <w:autoSpaceDE/>
              <w:autoSpaceDN/>
              <w:spacing w:before="240" w:after="60"/>
              <w:ind w:left="284" w:right="-851"/>
              <w:rPr>
                <w:bCs/>
                <w:lang w:eastAsia="de-DE"/>
              </w:rPr>
            </w:pPr>
            <w:r w:rsidRPr="007F69DA">
              <w:rPr>
                <w:bCs/>
                <w:lang w:eastAsia="de-DE"/>
              </w:rPr>
              <w:t>Aufwertung von Veranstaltungen durch zusätzliche Events des Sponsorgebers</w:t>
            </w:r>
          </w:p>
          <w:p w14:paraId="754244F0" w14:textId="77777777" w:rsidR="0069244A" w:rsidRPr="007F69DA" w:rsidRDefault="0069244A" w:rsidP="00F46ACB">
            <w:pPr>
              <w:spacing w:before="240" w:after="60"/>
              <w:ind w:left="284" w:right="-851"/>
              <w:rPr>
                <w:vanish/>
              </w:rPr>
            </w:pPr>
          </w:p>
          <w:p w14:paraId="0A5B967D" w14:textId="77777777" w:rsidR="0069244A" w:rsidRPr="007F69DA" w:rsidRDefault="0069244A" w:rsidP="00F46ACB">
            <w:pPr>
              <w:spacing w:before="240" w:after="60"/>
              <w:ind w:left="284" w:right="-851" w:hanging="170"/>
              <w:rPr>
                <w:bCs/>
                <w:lang w:eastAsia="de-DE"/>
              </w:rPr>
            </w:pPr>
          </w:p>
        </w:tc>
      </w:tr>
    </w:tbl>
    <w:p w14:paraId="4A358AE5" w14:textId="77777777" w:rsidR="0069244A" w:rsidRPr="007F69DA" w:rsidRDefault="0069244A" w:rsidP="00812008">
      <w:pPr>
        <w:pStyle w:val="Literatur"/>
        <w:numPr>
          <w:ilvl w:val="0"/>
          <w:numId w:val="0"/>
        </w:numPr>
        <w:spacing w:line="240" w:lineRule="auto"/>
        <w:rPr>
          <w:sz w:val="24"/>
          <w:szCs w:val="24"/>
        </w:rPr>
      </w:pPr>
      <w:r w:rsidRPr="007F69DA">
        <w:rPr>
          <w:sz w:val="24"/>
          <w:szCs w:val="24"/>
        </w:rPr>
        <w:t>Quelle: eigene Darstellung auf Basis von Hermanns et al. (2016) und Leuteritz et al. (2008).</w:t>
      </w:r>
    </w:p>
    <w:p w14:paraId="031E4C23" w14:textId="77777777" w:rsidR="0069244A" w:rsidRPr="007F69DA" w:rsidRDefault="0069244A" w:rsidP="0069244A">
      <w:pPr>
        <w:spacing w:line="360" w:lineRule="auto"/>
        <w:ind w:right="-851"/>
        <w:jc w:val="both"/>
        <w:rPr>
          <w:bCs/>
          <w:highlight w:val="yellow"/>
          <w:lang w:eastAsia="de-DE"/>
        </w:rPr>
      </w:pPr>
    </w:p>
    <w:p w14:paraId="3C5B7F21" w14:textId="77777777" w:rsidR="0069244A" w:rsidRPr="007F69DA" w:rsidRDefault="0069244A" w:rsidP="00812008">
      <w:pPr>
        <w:pStyle w:val="Literatur"/>
        <w:numPr>
          <w:ilvl w:val="0"/>
          <w:numId w:val="0"/>
        </w:numPr>
        <w:spacing w:line="240" w:lineRule="auto"/>
        <w:rPr>
          <w:sz w:val="24"/>
          <w:szCs w:val="24"/>
        </w:rPr>
      </w:pPr>
      <w:bookmarkStart w:id="169" w:name="_Toc310454353"/>
      <w:bookmarkStart w:id="170" w:name="_Toc358883034"/>
      <w:proofErr w:type="gramStart"/>
      <w:r w:rsidRPr="007F69DA">
        <w:rPr>
          <w:sz w:val="24"/>
          <w:szCs w:val="24"/>
        </w:rPr>
        <w:t xml:space="preserve">2  </w:t>
      </w:r>
      <w:bookmarkEnd w:id="169"/>
      <w:bookmarkEnd w:id="170"/>
      <w:r w:rsidRPr="007F69DA">
        <w:rPr>
          <w:sz w:val="24"/>
          <w:szCs w:val="24"/>
        </w:rPr>
        <w:t>Einfluss</w:t>
      </w:r>
      <w:proofErr w:type="gramEnd"/>
      <w:r w:rsidRPr="007F69DA">
        <w:rPr>
          <w:sz w:val="24"/>
          <w:szCs w:val="24"/>
        </w:rPr>
        <w:t xml:space="preserve"> der Landeskultur</w:t>
      </w:r>
    </w:p>
    <w:p w14:paraId="1D28F979" w14:textId="77777777" w:rsidR="0069244A" w:rsidRDefault="0069244A" w:rsidP="00812008">
      <w:pPr>
        <w:pStyle w:val="Literatur"/>
        <w:numPr>
          <w:ilvl w:val="0"/>
          <w:numId w:val="0"/>
        </w:numPr>
        <w:spacing w:line="240" w:lineRule="auto"/>
        <w:rPr>
          <w:sz w:val="24"/>
          <w:szCs w:val="24"/>
        </w:rPr>
      </w:pPr>
      <w:r w:rsidRPr="007F69DA">
        <w:rPr>
          <w:sz w:val="24"/>
          <w:szCs w:val="24"/>
        </w:rPr>
        <w:t>Für das Sponsoring ist die steuerrechtliche Bewertung von Gemeinnützigkeit bedeutsam. Während im westlichen Kulturkreis mit Abstufungen nicht nur Institutionen, die Menschen helfen, als gemeinnützig gelten, sondern bspw. auch Tierschutz-Organisationen, ist die Gesetzeslage in vielen Ländern des östlichen Kulturkreises weniger eindeutig. In Japan etwa sind Einzelfallentscheidungen der jeweils zuständigen Regierungsbehörde üblich. Auch in Indien sind die Kriterien vage formuliert: „The Benefit of Society.“ In diesen Ländern ist Steuerbefreiung weitgehend Ermessens- bzw. Verhandlungssache, weshalb Sponsoren dort, wie in allen High Context-Kulturen, gute informelle Beziehungen zu den Behörden haben sollten. In Low Context-Kulturen, etwa des angelsächsischen Raumes, ist hingegen entscheidend, ob die formalen Kriterien der Gemeinnützigkeit erfüllt sind.</w:t>
      </w:r>
    </w:p>
    <w:p w14:paraId="47F75153" w14:textId="77777777" w:rsidR="0069244A" w:rsidRPr="007F69DA" w:rsidRDefault="0069244A" w:rsidP="00812008">
      <w:pPr>
        <w:pStyle w:val="Literatur"/>
        <w:numPr>
          <w:ilvl w:val="0"/>
          <w:numId w:val="0"/>
        </w:numPr>
        <w:spacing w:line="240" w:lineRule="auto"/>
        <w:rPr>
          <w:sz w:val="24"/>
          <w:szCs w:val="24"/>
        </w:rPr>
      </w:pPr>
    </w:p>
    <w:p w14:paraId="75F7CA18" w14:textId="77777777" w:rsidR="0069244A" w:rsidRPr="007F69DA" w:rsidRDefault="0069244A" w:rsidP="00812008">
      <w:pPr>
        <w:pStyle w:val="Literatur"/>
        <w:numPr>
          <w:ilvl w:val="0"/>
          <w:numId w:val="0"/>
        </w:numPr>
        <w:spacing w:line="240" w:lineRule="auto"/>
        <w:rPr>
          <w:sz w:val="24"/>
          <w:szCs w:val="24"/>
        </w:rPr>
      </w:pPr>
      <w:r w:rsidRPr="007F69DA">
        <w:rPr>
          <w:sz w:val="24"/>
          <w:szCs w:val="24"/>
        </w:rPr>
        <w:t xml:space="preserve">Gibt die Landeskultur des Zielmarktes Hinweise darauf, welche Personen, Veranstaltungen oder Organisationen Unternehmen sponsern sollten? Kollektivistische Gesellschaften achten bekanntlich mehr als andere auf ein harmonisches Miteinander, weshalb dort eher Teams bzw. Massenveranstaltungen für eine Förderung in Frage kommen. Umgekehrt empfiehlt es sich in </w:t>
      </w:r>
      <w:r w:rsidRPr="007F69DA">
        <w:rPr>
          <w:sz w:val="24"/>
          <w:szCs w:val="24"/>
        </w:rPr>
        <w:lastRenderedPageBreak/>
        <w:t>individualistischen Kulturen, bekannte Einzelpersonen und öffentlichkeitswirksame Wettkämpfe zu unterstützen. Denn dort sind Wettbewerbsorientierung und Selbstverwirklichung wichtig. Geeignet sind in Märkten, für die …</w:t>
      </w:r>
    </w:p>
    <w:p w14:paraId="3E10FEF8" w14:textId="77777777" w:rsidR="0069244A" w:rsidRPr="007F69DA" w:rsidRDefault="0069244A" w:rsidP="00812008">
      <w:pPr>
        <w:pStyle w:val="Literatur"/>
        <w:numPr>
          <w:ilvl w:val="0"/>
          <w:numId w:val="72"/>
        </w:numPr>
        <w:tabs>
          <w:tab w:val="clear" w:pos="284"/>
        </w:tabs>
        <w:snapToGrid w:val="0"/>
        <w:spacing w:before="0" w:after="120" w:line="240" w:lineRule="auto"/>
        <w:ind w:left="567"/>
        <w:jc w:val="left"/>
        <w:rPr>
          <w:sz w:val="24"/>
          <w:szCs w:val="24"/>
        </w:rPr>
      </w:pPr>
      <w:r w:rsidRPr="007F69DA">
        <w:rPr>
          <w:sz w:val="24"/>
          <w:szCs w:val="24"/>
        </w:rPr>
        <w:t>Ungewissheitsmeidung wichtig ist: Personen und Organisationen, die verlässlich sind.</w:t>
      </w:r>
    </w:p>
    <w:p w14:paraId="2D123A80" w14:textId="77777777" w:rsidR="0069244A" w:rsidRPr="007F69DA" w:rsidRDefault="0069244A" w:rsidP="00812008">
      <w:pPr>
        <w:pStyle w:val="Literatur"/>
        <w:numPr>
          <w:ilvl w:val="0"/>
          <w:numId w:val="72"/>
        </w:numPr>
        <w:tabs>
          <w:tab w:val="clear" w:pos="284"/>
        </w:tabs>
        <w:snapToGrid w:val="0"/>
        <w:spacing w:before="0" w:after="120" w:line="240" w:lineRule="auto"/>
        <w:ind w:left="567"/>
        <w:jc w:val="left"/>
        <w:rPr>
          <w:sz w:val="24"/>
          <w:szCs w:val="24"/>
        </w:rPr>
      </w:pPr>
      <w:r w:rsidRPr="007F69DA">
        <w:rPr>
          <w:sz w:val="24"/>
          <w:szCs w:val="24"/>
        </w:rPr>
        <w:t>Maskulinität wichtig ist: Personen und Organisationen, welche die traditionelle Rollenverteilung verkörpern.</w:t>
      </w:r>
    </w:p>
    <w:p w14:paraId="2F5B0223" w14:textId="77777777" w:rsidR="0069244A" w:rsidRPr="007F69DA" w:rsidRDefault="0069244A" w:rsidP="00812008">
      <w:pPr>
        <w:pStyle w:val="Literatur"/>
        <w:numPr>
          <w:ilvl w:val="0"/>
          <w:numId w:val="72"/>
        </w:numPr>
        <w:tabs>
          <w:tab w:val="clear" w:pos="284"/>
        </w:tabs>
        <w:snapToGrid w:val="0"/>
        <w:spacing w:before="0" w:after="120" w:line="240" w:lineRule="auto"/>
        <w:ind w:left="567"/>
        <w:jc w:val="left"/>
        <w:rPr>
          <w:sz w:val="24"/>
          <w:szCs w:val="24"/>
        </w:rPr>
      </w:pPr>
      <w:r w:rsidRPr="007F69DA">
        <w:rPr>
          <w:sz w:val="24"/>
          <w:szCs w:val="24"/>
        </w:rPr>
        <w:t>Akzeptanz von Machtdistanz wichtig ist: Personen und Organisationen mit einem hohen sozialen Status.</w:t>
      </w:r>
    </w:p>
    <w:p w14:paraId="516DD70C" w14:textId="77777777" w:rsidR="0069244A" w:rsidRPr="007F69DA" w:rsidRDefault="0069244A" w:rsidP="00812008">
      <w:pPr>
        <w:pStyle w:val="Literatur"/>
        <w:numPr>
          <w:ilvl w:val="0"/>
          <w:numId w:val="72"/>
        </w:numPr>
        <w:tabs>
          <w:tab w:val="clear" w:pos="284"/>
        </w:tabs>
        <w:snapToGrid w:val="0"/>
        <w:spacing w:before="0" w:after="120" w:line="240" w:lineRule="auto"/>
        <w:ind w:left="567"/>
        <w:jc w:val="left"/>
        <w:rPr>
          <w:sz w:val="24"/>
          <w:szCs w:val="24"/>
        </w:rPr>
      </w:pPr>
      <w:r w:rsidRPr="007F69DA">
        <w:rPr>
          <w:sz w:val="24"/>
          <w:szCs w:val="24"/>
        </w:rPr>
        <w:t>Langfristorientierung wichtig ist: Personen und Organisationen, die sich für Umweltschutz und andere langfristig bedeutsame Ziele einsetzen.</w:t>
      </w:r>
    </w:p>
    <w:p w14:paraId="7DDFDB7F" w14:textId="77777777" w:rsidR="0069244A" w:rsidRPr="007F69DA" w:rsidRDefault="0069244A" w:rsidP="00812008">
      <w:pPr>
        <w:pStyle w:val="Literatur"/>
        <w:numPr>
          <w:ilvl w:val="0"/>
          <w:numId w:val="72"/>
        </w:numPr>
        <w:tabs>
          <w:tab w:val="clear" w:pos="284"/>
        </w:tabs>
        <w:snapToGrid w:val="0"/>
        <w:spacing w:before="0" w:after="120" w:line="240" w:lineRule="auto"/>
        <w:ind w:left="567"/>
        <w:jc w:val="left"/>
        <w:rPr>
          <w:sz w:val="24"/>
          <w:szCs w:val="24"/>
        </w:rPr>
      </w:pPr>
      <w:r w:rsidRPr="007F69DA">
        <w:rPr>
          <w:sz w:val="24"/>
          <w:szCs w:val="24"/>
        </w:rPr>
        <w:t>Genussorientierung wichtig ist: Personen und Organisationen, die Lebensfreude symbolisieren.</w:t>
      </w:r>
    </w:p>
    <w:p w14:paraId="0FF485CF" w14:textId="77777777" w:rsidR="0069244A" w:rsidRPr="007F69DA" w:rsidRDefault="0069244A" w:rsidP="00812008">
      <w:pPr>
        <w:pStyle w:val="Literatur"/>
        <w:numPr>
          <w:ilvl w:val="0"/>
          <w:numId w:val="0"/>
        </w:numPr>
        <w:spacing w:line="240" w:lineRule="auto"/>
        <w:ind w:left="426"/>
        <w:rPr>
          <w:sz w:val="24"/>
          <w:szCs w:val="24"/>
        </w:rPr>
      </w:pPr>
    </w:p>
    <w:p w14:paraId="32BE149E" w14:textId="77777777" w:rsidR="0069244A" w:rsidRPr="007F69DA" w:rsidRDefault="0069244A" w:rsidP="00812008">
      <w:pPr>
        <w:pStyle w:val="Literatur"/>
        <w:numPr>
          <w:ilvl w:val="0"/>
          <w:numId w:val="0"/>
        </w:numPr>
        <w:spacing w:line="240" w:lineRule="auto"/>
        <w:rPr>
          <w:sz w:val="24"/>
          <w:szCs w:val="24"/>
        </w:rPr>
      </w:pPr>
      <w:r w:rsidRPr="007F69DA">
        <w:rPr>
          <w:sz w:val="24"/>
          <w:szCs w:val="24"/>
        </w:rPr>
        <w:t>Und was wissen wir über den Erfolg von Sponsoring in Abhängigkeit von der Landeskultur? In einer Untersuchung der Einstellungen zum Sportsponsoring äußerten junge Amerikaner eine stärkere Bereitschaft, bei den Sponsoren ihres Teams einzukaufen, als griechische und südkoreanische Vergleichspersonen (vgl. Dalakas/Kropp 2002). Ursächlich dafür scheint die jeweilige Intensität der Identifikation mit der eigenen Mannschaft zu sein, für die das jeweilige Selbstkonzept wesentlich ist. In kollektivistischen Gesellschaften wie Griechenland und Südkorea ist dieses weniger ich-bezogen als im individualistischen Kulturkreis (vgl. Hofstede 2001, S.210f.). Dies wiederum hat zur Folge, dass Griechen und Koreaner ihr soziales Bedürfnis nach Zugehörigkeit zu einer Ingroup vorzugsweise in ihrer primären sozialen Bezugsgruppe stillen: der Familie. Für die individualistischen Amerikaner erfüllt die Mitgliedschaft in einem Sportclub eine vergleichbare Funktion – was eine stärkere Identifikation mit diesem begünstigt (vgl. Gau/Kim 2011).</w:t>
      </w:r>
    </w:p>
    <w:p w14:paraId="4129B0A3" w14:textId="77777777" w:rsidR="0069244A" w:rsidRPr="007F69DA" w:rsidRDefault="0069244A" w:rsidP="00812008">
      <w:pPr>
        <w:pStyle w:val="Literatur"/>
        <w:numPr>
          <w:ilvl w:val="0"/>
          <w:numId w:val="0"/>
        </w:numPr>
        <w:spacing w:line="240" w:lineRule="auto"/>
        <w:rPr>
          <w:sz w:val="24"/>
          <w:szCs w:val="24"/>
        </w:rPr>
      </w:pPr>
    </w:p>
    <w:p w14:paraId="776A42BD" w14:textId="77777777" w:rsidR="0069244A" w:rsidRDefault="0069244A" w:rsidP="00812008">
      <w:pPr>
        <w:pStyle w:val="Literatur"/>
        <w:numPr>
          <w:ilvl w:val="0"/>
          <w:numId w:val="0"/>
        </w:numPr>
        <w:spacing w:line="240" w:lineRule="auto"/>
        <w:rPr>
          <w:sz w:val="24"/>
          <w:szCs w:val="24"/>
        </w:rPr>
      </w:pPr>
      <w:r w:rsidRPr="007F69DA">
        <w:rPr>
          <w:sz w:val="24"/>
          <w:szCs w:val="24"/>
        </w:rPr>
        <w:t>Generell aber werden ausländische Sponsoren weniger wertgeschätzt als inländische Geldgeber. In welchem Maße, hängt von der vorherrschenden Einstellung gegenüber Ausländern bzw. dem Fremden an sich ab.Vor allem bei ethnozentrischen und zu Animosität neigenden Konsumenten ist die Ablehnung groß, während kosmopolitische Zielgruppen dafür prinzipiell empfänglich sind (vgl. Meng-Lewis et al. 2014; Lee/</w:t>
      </w:r>
      <w:proofErr w:type="spellStart"/>
      <w:r w:rsidRPr="007F69DA">
        <w:rPr>
          <w:sz w:val="24"/>
          <w:szCs w:val="24"/>
        </w:rPr>
        <w:t>Mazodier</w:t>
      </w:r>
      <w:proofErr w:type="spellEnd"/>
      <w:r w:rsidRPr="007F69DA">
        <w:rPr>
          <w:sz w:val="24"/>
          <w:szCs w:val="24"/>
        </w:rPr>
        <w:t xml:space="preserve"> 2015).</w:t>
      </w:r>
    </w:p>
    <w:p w14:paraId="1C2C2207" w14:textId="77777777" w:rsidR="00812008" w:rsidRPr="007F69DA" w:rsidRDefault="00812008" w:rsidP="00812008">
      <w:pPr>
        <w:pStyle w:val="Literatur"/>
        <w:numPr>
          <w:ilvl w:val="0"/>
          <w:numId w:val="0"/>
        </w:numPr>
        <w:spacing w:line="240" w:lineRule="auto"/>
        <w:rPr>
          <w:sz w:val="24"/>
          <w:szCs w:val="24"/>
        </w:rPr>
      </w:pPr>
    </w:p>
    <w:p w14:paraId="428F5195" w14:textId="77777777" w:rsidR="0069244A" w:rsidRDefault="0069244A" w:rsidP="0069244A">
      <w:pPr>
        <w:rPr>
          <w:bCs/>
          <w:noProof/>
          <w:lang w:val="en-US"/>
        </w:rPr>
      </w:pPr>
      <w:r w:rsidRPr="00812008">
        <w:rPr>
          <w:b/>
          <w:bCs/>
          <w:i/>
          <w:lang w:val="en-US"/>
        </w:rPr>
        <w:t>Literatur:</w:t>
      </w:r>
      <w:r w:rsidRPr="007F69DA">
        <w:rPr>
          <w:lang w:val="en-US"/>
        </w:rPr>
        <w:t xml:space="preserve">  </w:t>
      </w:r>
      <w:r w:rsidRPr="007F69DA">
        <w:rPr>
          <w:bCs/>
          <w:noProof/>
          <w:lang w:val="en-US"/>
        </w:rPr>
        <w:t xml:space="preserve">Dalakas, V.; Kropp, F. (2002): Attitudes of Youth toward Purchasing from Sponsors. A Cross-cultural Perspective, Journal of Euromarketing, 12(1): 19-39.   Gau, L.S.; Kim, J.C. (2011): The Influence of Cultural Values on Spectators' Sport Attitudes and Team Identification: An East-West Perspective, Social Behavior and Personality: An International Journal, 39(5): 587-596.   </w:t>
      </w:r>
      <w:r w:rsidRPr="007F69DA">
        <w:rPr>
          <w:bCs/>
          <w:noProof/>
        </w:rPr>
        <w:t>Hermanns, A. (2001): Sponsoring, in: Diller, H. (Hrsg.), Vahlens Großes Marketing Lexikon, 2. Aufl., 1587</w:t>
      </w:r>
      <w:r w:rsidRPr="007F69DA">
        <w:rPr>
          <w:bCs/>
          <w:noProof/>
        </w:rPr>
        <w:noBreakHyphen/>
        <w:t xml:space="preserve">1590, München: Vahlen.   Hermanns, A.; Marwitz, C. (2008): Sponsoring, 3. Aufl., München: Vahlen.   </w:t>
      </w:r>
      <w:r w:rsidRPr="007F69DA">
        <w:rPr>
          <w:bCs/>
          <w:noProof/>
          <w:lang w:val="en-US"/>
        </w:rPr>
        <w:t xml:space="preserve">Hofstede, G. (2001): Culture´s Consequences. Comparing Values, Behaviors, Institutions and Organizations across Nations, 2nd Ed., Thousand Oaks/CA: Sage.   Lee, R.; Mazodier, M. (2015): The Roles of Consumer Ethnocentrism, Animosity, and Cosmopolitanism in Sponsorship Effects, European Journal of Marketing, 49(5/6): 919-942.   </w:t>
      </w:r>
      <w:r w:rsidRPr="007F69DA">
        <w:rPr>
          <w:bCs/>
          <w:noProof/>
        </w:rPr>
        <w:t xml:space="preserve">Leuteritz, A.; Wünschmann, S.; Schwarz, U.; Müller, S. (2008): Erfolgsfaktoren des Sponsoring. </w:t>
      </w:r>
      <w:r w:rsidRPr="007F69DA">
        <w:rPr>
          <w:bCs/>
          <w:noProof/>
          <w:lang w:val="en-US"/>
        </w:rPr>
        <w:t>Messansatz, empirische Studie, Praxisleitfaden, Göttingen: Cuvillier.   Meng-Lewis, Y.; Thwaites, D.; Pillai, K.G. (2014): Effectiveness of Olympic Sponsorship by Foreign and Domestic Companies. The Influential Role of Consumer Ethnocentrism, International Journal of Sports Marketing and Sponsorship, 15(2): 30-46.</w:t>
      </w:r>
    </w:p>
    <w:p w14:paraId="0F39A3F6" w14:textId="77777777" w:rsidR="0069244A" w:rsidRDefault="0069244A" w:rsidP="0069244A">
      <w:pPr>
        <w:rPr>
          <w:bCs/>
          <w:noProof/>
          <w:lang w:val="en-US"/>
        </w:rPr>
      </w:pPr>
    </w:p>
    <w:p w14:paraId="7BDB6A5C" w14:textId="77777777" w:rsidR="00FF7799" w:rsidRPr="00812008" w:rsidRDefault="00FF7799" w:rsidP="00812008">
      <w:pPr>
        <w:keepNext/>
        <w:keepLines/>
        <w:spacing w:before="240"/>
        <w:jc w:val="both"/>
        <w:outlineLvl w:val="1"/>
        <w:rPr>
          <w:b/>
          <w:bCs/>
          <w:color w:val="2E74B5"/>
          <w:sz w:val="24"/>
        </w:rPr>
      </w:pPr>
      <w:r w:rsidRPr="00812008">
        <w:rPr>
          <w:b/>
          <w:bCs/>
          <w:color w:val="2E74B5"/>
          <w:sz w:val="24"/>
        </w:rPr>
        <w:lastRenderedPageBreak/>
        <w:t>Staat</w:t>
      </w:r>
    </w:p>
    <w:p w14:paraId="2B8C5178" w14:textId="77777777" w:rsidR="00FF7799" w:rsidRPr="00C85BF5" w:rsidRDefault="00FF7799" w:rsidP="0046492B">
      <w:pPr>
        <w:pStyle w:val="StandardText"/>
      </w:pPr>
      <w:r w:rsidRPr="00C85BF5">
        <w:t>Ausgangs des Mittelalters, als die universalen und transzendenten Reichs- und Herrschaftsideen (z.B. Heiliges Römisches Reich Deutscher Nation) zerfielen, gewann das bis dahin unbekannte Ordnungskonzept des Staates an Bedeutung. Vergleichbar</w:t>
      </w:r>
      <w:r w:rsidRPr="00C85BF5">
        <w:rPr>
          <w:spacing w:val="-11"/>
        </w:rPr>
        <w:t xml:space="preserve"> </w:t>
      </w:r>
      <w:r w:rsidRPr="00C85BF5">
        <w:t>waren</w:t>
      </w:r>
      <w:r w:rsidRPr="00C85BF5">
        <w:rPr>
          <w:spacing w:val="-10"/>
        </w:rPr>
        <w:t xml:space="preserve"> </w:t>
      </w:r>
      <w:r w:rsidRPr="00C85BF5">
        <w:t>lediglich</w:t>
      </w:r>
      <w:r w:rsidRPr="00C85BF5">
        <w:rPr>
          <w:spacing w:val="-10"/>
        </w:rPr>
        <w:t xml:space="preserve"> </w:t>
      </w:r>
      <w:r w:rsidRPr="00C85BF5">
        <w:t>'politeia'</w:t>
      </w:r>
      <w:r w:rsidRPr="00C85BF5">
        <w:rPr>
          <w:spacing w:val="-12"/>
        </w:rPr>
        <w:t xml:space="preserve"> </w:t>
      </w:r>
      <w:r w:rsidRPr="00C85BF5">
        <w:t>(gr.)</w:t>
      </w:r>
      <w:r w:rsidRPr="00C85BF5">
        <w:rPr>
          <w:spacing w:val="-10"/>
        </w:rPr>
        <w:t xml:space="preserve"> </w:t>
      </w:r>
      <w:r w:rsidRPr="00C85BF5">
        <w:t>und</w:t>
      </w:r>
      <w:r w:rsidRPr="00C85BF5">
        <w:rPr>
          <w:spacing w:val="-12"/>
        </w:rPr>
        <w:t xml:space="preserve"> </w:t>
      </w:r>
      <w:r w:rsidRPr="00C85BF5">
        <w:t>'res</w:t>
      </w:r>
      <w:r w:rsidRPr="00C85BF5">
        <w:rPr>
          <w:spacing w:val="-11"/>
        </w:rPr>
        <w:t xml:space="preserve"> </w:t>
      </w:r>
      <w:r w:rsidRPr="00C85BF5">
        <w:t>publica'</w:t>
      </w:r>
      <w:r w:rsidRPr="00C85BF5">
        <w:rPr>
          <w:spacing w:val="-11"/>
        </w:rPr>
        <w:t xml:space="preserve"> </w:t>
      </w:r>
      <w:r w:rsidRPr="00C85BF5">
        <w:t>(lat.).</w:t>
      </w:r>
      <w:r w:rsidRPr="00C85BF5">
        <w:rPr>
          <w:spacing w:val="-10"/>
        </w:rPr>
        <w:t xml:space="preserve"> </w:t>
      </w:r>
      <w:r w:rsidRPr="00C85BF5">
        <w:t>Beeinflusst</w:t>
      </w:r>
      <w:r w:rsidRPr="00C85BF5">
        <w:rPr>
          <w:spacing w:val="-11"/>
        </w:rPr>
        <w:t xml:space="preserve"> </w:t>
      </w:r>
      <w:r w:rsidRPr="00C85BF5">
        <w:t>vom Lateinischen ('status' = Stand bzw. die soziale Stellung) bezeichnete das Mittelhochdeutsche mit 'stat'</w:t>
      </w:r>
      <w:r w:rsidRPr="00C85BF5">
        <w:rPr>
          <w:spacing w:val="-1"/>
        </w:rPr>
        <w:t xml:space="preserve"> </w:t>
      </w:r>
      <w:r w:rsidRPr="00C85BF5">
        <w:t>vom 15. Jahrhundert an den sozialen</w:t>
      </w:r>
      <w:r w:rsidRPr="00C85BF5">
        <w:rPr>
          <w:spacing w:val="-1"/>
        </w:rPr>
        <w:t xml:space="preserve"> </w:t>
      </w:r>
      <w:r w:rsidRPr="00C85BF5">
        <w:t>Stand bzw.</w:t>
      </w:r>
      <w:r w:rsidRPr="00C85BF5">
        <w:rPr>
          <w:spacing w:val="-2"/>
        </w:rPr>
        <w:t xml:space="preserve"> </w:t>
      </w:r>
      <w:r w:rsidRPr="00C85BF5">
        <w:t>die gesellschaftliche Stellung eines Menschen, aber auch Rang und Lebensweise. Heute meint man mit „Staat“ eine politische Herrschaftsform, welche das Zusammenleben</w:t>
      </w:r>
      <w:r w:rsidRPr="00C85BF5">
        <w:rPr>
          <w:spacing w:val="37"/>
        </w:rPr>
        <w:t xml:space="preserve"> </w:t>
      </w:r>
      <w:r w:rsidRPr="00C85BF5">
        <w:t>einer</w:t>
      </w:r>
      <w:r w:rsidRPr="00C85BF5">
        <w:rPr>
          <w:spacing w:val="35"/>
        </w:rPr>
        <w:t xml:space="preserve"> </w:t>
      </w:r>
      <w:r w:rsidRPr="00C85BF5">
        <w:t>Gesellschaft</w:t>
      </w:r>
      <w:r w:rsidRPr="00C85BF5">
        <w:rPr>
          <w:spacing w:val="38"/>
        </w:rPr>
        <w:t xml:space="preserve"> </w:t>
      </w:r>
      <w:r w:rsidRPr="00C85BF5">
        <w:t>innerhalb</w:t>
      </w:r>
      <w:r w:rsidRPr="00C85BF5">
        <w:rPr>
          <w:spacing w:val="38"/>
        </w:rPr>
        <w:t xml:space="preserve"> </w:t>
      </w:r>
      <w:r w:rsidRPr="00C85BF5">
        <w:t>festgelegter</w:t>
      </w:r>
      <w:r w:rsidRPr="00C85BF5">
        <w:rPr>
          <w:spacing w:val="35"/>
        </w:rPr>
        <w:t xml:space="preserve"> </w:t>
      </w:r>
      <w:r w:rsidRPr="00C85BF5">
        <w:t>territorialer</w:t>
      </w:r>
      <w:r w:rsidRPr="00C85BF5">
        <w:rPr>
          <w:spacing w:val="39"/>
        </w:rPr>
        <w:t xml:space="preserve"> </w:t>
      </w:r>
      <w:r w:rsidRPr="00C85BF5">
        <w:rPr>
          <w:spacing w:val="-2"/>
        </w:rPr>
        <w:t xml:space="preserve">Grenzen </w:t>
      </w:r>
      <w:r w:rsidRPr="00C85BF5">
        <w:t>regelt. Nicht zuletzt aufgrund des Gewaltmonopols sind Staaten in der Lage, gemeinsame Güter und Werte zu wahren.</w:t>
      </w:r>
    </w:p>
    <w:p w14:paraId="411E40C9" w14:textId="77777777" w:rsidR="00FF7799" w:rsidRPr="00C85BF5" w:rsidRDefault="00FF7799" w:rsidP="0046492B">
      <w:pPr>
        <w:pStyle w:val="StandardText"/>
      </w:pPr>
    </w:p>
    <w:tbl>
      <w:tblPr>
        <w:tblStyle w:val="TableNormal"/>
        <w:tblW w:w="5000" w:type="pct"/>
        <w:tblBorders>
          <w:top w:val="single" w:sz="4" w:space="0" w:color="auto"/>
          <w:left w:val="single" w:sz="4" w:space="0" w:color="auto"/>
          <w:bottom w:val="single" w:sz="4" w:space="0" w:color="auto"/>
          <w:right w:val="single" w:sz="4" w:space="0" w:color="auto"/>
        </w:tblBorders>
        <w:shd w:val="clear" w:color="auto" w:fill="F2F2F2" w:themeFill="background1" w:themeFillShade="F2"/>
        <w:tblLook w:val="01E0" w:firstRow="1" w:lastRow="1" w:firstColumn="1" w:lastColumn="1" w:noHBand="0" w:noVBand="0"/>
      </w:tblPr>
      <w:tblGrid>
        <w:gridCol w:w="9062"/>
      </w:tblGrid>
      <w:tr w:rsidR="00FF7799" w:rsidRPr="00C85BF5" w14:paraId="01A71190" w14:textId="77777777" w:rsidTr="00C85BF5">
        <w:trPr>
          <w:trHeight w:val="4102"/>
        </w:trPr>
        <w:tc>
          <w:tcPr>
            <w:tcW w:w="5000" w:type="pct"/>
            <w:shd w:val="clear" w:color="auto" w:fill="DEEAF6" w:themeFill="accent1" w:themeFillTint="33"/>
          </w:tcPr>
          <w:p w14:paraId="40A830D7" w14:textId="64223930" w:rsidR="00FF7799" w:rsidRPr="00C85BF5" w:rsidRDefault="00FF7799" w:rsidP="00812008">
            <w:pPr>
              <w:pStyle w:val="Standardklein"/>
              <w:spacing w:before="120" w:after="120"/>
              <w:jc w:val="center"/>
              <w:rPr>
                <w:b/>
                <w:lang w:val="de-DE"/>
              </w:rPr>
            </w:pPr>
            <w:r w:rsidRPr="00C85BF5">
              <w:rPr>
                <w:b/>
                <w:lang w:val="de-DE"/>
              </w:rPr>
              <w:t>1648:</w:t>
            </w:r>
            <w:r w:rsidRPr="00C85BF5">
              <w:rPr>
                <w:b/>
                <w:spacing w:val="-7"/>
                <w:lang w:val="de-DE"/>
              </w:rPr>
              <w:t xml:space="preserve"> </w:t>
            </w:r>
            <w:r w:rsidRPr="00C85BF5">
              <w:rPr>
                <w:b/>
                <w:lang w:val="de-DE"/>
              </w:rPr>
              <w:t>Von</w:t>
            </w:r>
            <w:r w:rsidRPr="00C85BF5">
              <w:rPr>
                <w:b/>
                <w:spacing w:val="-7"/>
                <w:lang w:val="de-DE"/>
              </w:rPr>
              <w:t xml:space="preserve"> </w:t>
            </w:r>
            <w:r w:rsidRPr="00C85BF5">
              <w:rPr>
                <w:b/>
                <w:lang w:val="de-DE"/>
              </w:rPr>
              <w:t>der</w:t>
            </w:r>
            <w:r w:rsidRPr="00C85BF5">
              <w:rPr>
                <w:b/>
                <w:spacing w:val="-6"/>
                <w:lang w:val="de-DE"/>
              </w:rPr>
              <w:t xml:space="preserve"> </w:t>
            </w:r>
            <w:r w:rsidRPr="00C85BF5">
              <w:rPr>
                <w:b/>
                <w:lang w:val="de-DE"/>
              </w:rPr>
              <w:t>multiplen</w:t>
            </w:r>
            <w:r w:rsidRPr="00C85BF5">
              <w:rPr>
                <w:b/>
                <w:spacing w:val="-4"/>
                <w:lang w:val="de-DE"/>
              </w:rPr>
              <w:t xml:space="preserve"> </w:t>
            </w:r>
            <w:r w:rsidRPr="00C85BF5">
              <w:rPr>
                <w:b/>
                <w:lang w:val="de-DE"/>
              </w:rPr>
              <w:t>zur</w:t>
            </w:r>
            <w:r w:rsidRPr="00C85BF5">
              <w:rPr>
                <w:b/>
                <w:spacing w:val="-5"/>
                <w:lang w:val="de-DE"/>
              </w:rPr>
              <w:t xml:space="preserve"> </w:t>
            </w:r>
            <w:r w:rsidRPr="00C85BF5">
              <w:rPr>
                <w:b/>
                <w:lang w:val="de-DE"/>
              </w:rPr>
              <w:t>absoluten</w:t>
            </w:r>
            <w:r w:rsidRPr="00C85BF5">
              <w:rPr>
                <w:b/>
                <w:spacing w:val="-4"/>
                <w:lang w:val="de-DE"/>
              </w:rPr>
              <w:t xml:space="preserve"> Macht</w:t>
            </w:r>
          </w:p>
          <w:p w14:paraId="0F668F6F" w14:textId="77777777" w:rsidR="00FF7799" w:rsidRPr="00C85BF5" w:rsidRDefault="00FF7799" w:rsidP="00812008">
            <w:pPr>
              <w:pStyle w:val="Standardklein"/>
              <w:spacing w:before="120" w:after="120"/>
              <w:jc w:val="center"/>
              <w:rPr>
                <w:lang w:val="de-DE"/>
              </w:rPr>
            </w:pPr>
          </w:p>
          <w:p w14:paraId="6C995B4E" w14:textId="77777777" w:rsidR="00FF7799" w:rsidRPr="00C85BF5" w:rsidRDefault="00FF7799" w:rsidP="0046492B">
            <w:pPr>
              <w:pStyle w:val="Standardklein"/>
              <w:spacing w:before="120" w:after="120"/>
              <w:rPr>
                <w:lang w:val="de-DE"/>
              </w:rPr>
            </w:pPr>
            <w:r w:rsidRPr="00C85BF5">
              <w:rPr>
                <w:lang w:val="de-DE"/>
              </w:rPr>
              <w:t>„Im Mittelalter war das Sacrum Romanum Imperium, das Heilige Römische Reich, das</w:t>
            </w:r>
            <w:r w:rsidRPr="00C85BF5">
              <w:rPr>
                <w:spacing w:val="40"/>
                <w:lang w:val="de-DE"/>
              </w:rPr>
              <w:t xml:space="preserve"> </w:t>
            </w:r>
            <w:r w:rsidRPr="00C85BF5">
              <w:rPr>
                <w:lang w:val="de-DE"/>
              </w:rPr>
              <w:t>1254 den Zusatz Deutscher Nation erhielt, das dominierende Staatswesen. Allerdings</w:t>
            </w:r>
            <w:r w:rsidRPr="00C85BF5">
              <w:rPr>
                <w:spacing w:val="40"/>
                <w:lang w:val="de-DE"/>
              </w:rPr>
              <w:t xml:space="preserve"> </w:t>
            </w:r>
            <w:r w:rsidRPr="00C85BF5">
              <w:rPr>
                <w:lang w:val="de-DE"/>
              </w:rPr>
              <w:t>konnten</w:t>
            </w:r>
            <w:r w:rsidRPr="00C85BF5">
              <w:rPr>
                <w:spacing w:val="-10"/>
                <w:lang w:val="de-DE"/>
              </w:rPr>
              <w:t xml:space="preserve"> </w:t>
            </w:r>
            <w:r w:rsidRPr="00C85BF5">
              <w:rPr>
                <w:lang w:val="de-DE"/>
              </w:rPr>
              <w:t>damals</w:t>
            </w:r>
            <w:r w:rsidRPr="00C85BF5">
              <w:rPr>
                <w:spacing w:val="-10"/>
                <w:lang w:val="de-DE"/>
              </w:rPr>
              <w:t xml:space="preserve"> </w:t>
            </w:r>
            <w:r w:rsidRPr="00C85BF5">
              <w:rPr>
                <w:lang w:val="de-DE"/>
              </w:rPr>
              <w:t>gleichzeitig</w:t>
            </w:r>
            <w:r w:rsidRPr="00C85BF5">
              <w:rPr>
                <w:spacing w:val="-10"/>
                <w:lang w:val="de-DE"/>
              </w:rPr>
              <w:t xml:space="preserve"> </w:t>
            </w:r>
            <w:r w:rsidRPr="00C85BF5">
              <w:rPr>
                <w:lang w:val="de-DE"/>
              </w:rPr>
              <w:t>verschiedene</w:t>
            </w:r>
            <w:r w:rsidRPr="00C85BF5">
              <w:rPr>
                <w:spacing w:val="-10"/>
                <w:lang w:val="de-DE"/>
              </w:rPr>
              <w:t xml:space="preserve"> </w:t>
            </w:r>
            <w:r w:rsidRPr="00C85BF5">
              <w:rPr>
                <w:lang w:val="de-DE"/>
              </w:rPr>
              <w:t>Instanzen</w:t>
            </w:r>
            <w:r w:rsidRPr="00C85BF5">
              <w:rPr>
                <w:spacing w:val="-10"/>
                <w:lang w:val="de-DE"/>
              </w:rPr>
              <w:t xml:space="preserve"> </w:t>
            </w:r>
            <w:r w:rsidRPr="00C85BF5">
              <w:rPr>
                <w:lang w:val="de-DE"/>
              </w:rPr>
              <w:t>(z.B.</w:t>
            </w:r>
            <w:r w:rsidRPr="00C85BF5">
              <w:rPr>
                <w:spacing w:val="-10"/>
                <w:lang w:val="de-DE"/>
              </w:rPr>
              <w:t xml:space="preserve"> </w:t>
            </w:r>
            <w:r w:rsidRPr="00C85BF5">
              <w:rPr>
                <w:lang w:val="de-DE"/>
              </w:rPr>
              <w:t>der</w:t>
            </w:r>
            <w:r w:rsidRPr="00C85BF5">
              <w:rPr>
                <w:spacing w:val="-10"/>
                <w:lang w:val="de-DE"/>
              </w:rPr>
              <w:t xml:space="preserve"> </w:t>
            </w:r>
            <w:r w:rsidRPr="00C85BF5">
              <w:rPr>
                <w:lang w:val="de-DE"/>
              </w:rPr>
              <w:t>klerikale</w:t>
            </w:r>
            <w:r w:rsidRPr="00C85BF5">
              <w:rPr>
                <w:spacing w:val="-10"/>
                <w:lang w:val="de-DE"/>
              </w:rPr>
              <w:t xml:space="preserve"> </w:t>
            </w:r>
            <w:r w:rsidRPr="00C85BF5">
              <w:rPr>
                <w:lang w:val="de-DE"/>
              </w:rPr>
              <w:t>Fürst,</w:t>
            </w:r>
            <w:r w:rsidRPr="00C85BF5">
              <w:rPr>
                <w:spacing w:val="-10"/>
                <w:lang w:val="de-DE"/>
              </w:rPr>
              <w:t xml:space="preserve"> </w:t>
            </w:r>
            <w:r w:rsidRPr="00C85BF5">
              <w:rPr>
                <w:lang w:val="de-DE"/>
              </w:rPr>
              <w:t>der</w:t>
            </w:r>
            <w:r w:rsidRPr="00C85BF5">
              <w:rPr>
                <w:spacing w:val="-10"/>
                <w:lang w:val="de-DE"/>
              </w:rPr>
              <w:t xml:space="preserve"> </w:t>
            </w:r>
            <w:r w:rsidRPr="00C85BF5">
              <w:rPr>
                <w:lang w:val="de-DE"/>
              </w:rPr>
              <w:t>regionale</w:t>
            </w:r>
            <w:r w:rsidRPr="00C85BF5">
              <w:rPr>
                <w:spacing w:val="40"/>
                <w:lang w:val="de-DE"/>
              </w:rPr>
              <w:t xml:space="preserve"> </w:t>
            </w:r>
            <w:r w:rsidRPr="00C85BF5">
              <w:rPr>
                <w:lang w:val="de-DE"/>
              </w:rPr>
              <w:t>Herrscher sowie der Kaiser) über dieselben Untertanen innerhalb eines bestimmten</w:t>
            </w:r>
            <w:r w:rsidRPr="00C85BF5">
              <w:rPr>
                <w:spacing w:val="40"/>
                <w:lang w:val="de-DE"/>
              </w:rPr>
              <w:t xml:space="preserve"> </w:t>
            </w:r>
            <w:r w:rsidRPr="00C85BF5">
              <w:rPr>
                <w:lang w:val="de-DE"/>
              </w:rPr>
              <w:t>Gebietes unterschiedliche Formen von Souveränität ausüben.</w:t>
            </w:r>
          </w:p>
          <w:p w14:paraId="5250B233" w14:textId="77777777" w:rsidR="00FF7799" w:rsidRPr="00C85BF5" w:rsidRDefault="00FF7799" w:rsidP="0046492B">
            <w:pPr>
              <w:pStyle w:val="Standardklein"/>
              <w:spacing w:before="120" w:after="120"/>
              <w:rPr>
                <w:lang w:val="de-DE"/>
              </w:rPr>
            </w:pPr>
            <w:r w:rsidRPr="00C85BF5">
              <w:rPr>
                <w:lang w:val="de-DE"/>
              </w:rPr>
              <w:t>Als Geburtsstunde des europäischen Verständnisses von Staat und Souveränität wird</w:t>
            </w:r>
            <w:r w:rsidRPr="00C85BF5">
              <w:rPr>
                <w:spacing w:val="40"/>
                <w:lang w:val="de-DE"/>
              </w:rPr>
              <w:t xml:space="preserve"> </w:t>
            </w:r>
            <w:r w:rsidRPr="00C85BF5">
              <w:rPr>
                <w:lang w:val="de-DE"/>
              </w:rPr>
              <w:t>gewöhnlich das Jahr 1648 angegeben. Damals schlossen die protestantischen und die</w:t>
            </w:r>
            <w:r w:rsidRPr="00C85BF5">
              <w:rPr>
                <w:spacing w:val="40"/>
                <w:lang w:val="de-DE"/>
              </w:rPr>
              <w:t xml:space="preserve"> </w:t>
            </w:r>
            <w:r w:rsidRPr="00C85BF5">
              <w:rPr>
                <w:lang w:val="de-DE"/>
              </w:rPr>
              <w:t>katholischen Mächte Europas den Westfälischen Frieden und beendeten damit den</w:t>
            </w:r>
            <w:r w:rsidRPr="00C85BF5">
              <w:rPr>
                <w:spacing w:val="40"/>
                <w:lang w:val="de-DE"/>
              </w:rPr>
              <w:t xml:space="preserve"> </w:t>
            </w:r>
            <w:r w:rsidRPr="00C85BF5">
              <w:rPr>
                <w:lang w:val="de-DE"/>
              </w:rPr>
              <w:t>Dreißigjährigen Krieg. Wichtige Bestandteile des Friedensabkommens waren das im</w:t>
            </w:r>
            <w:r w:rsidRPr="00C85BF5">
              <w:rPr>
                <w:spacing w:val="40"/>
                <w:lang w:val="de-DE"/>
              </w:rPr>
              <w:t xml:space="preserve"> </w:t>
            </w:r>
            <w:r w:rsidRPr="00C85BF5">
              <w:rPr>
                <w:lang w:val="de-DE"/>
              </w:rPr>
              <w:t>Augsburger Religionsfrieden von 1555 erstmals formulierte Prinzip cuius regio, eius</w:t>
            </w:r>
            <w:r w:rsidRPr="00C85BF5">
              <w:rPr>
                <w:spacing w:val="40"/>
                <w:lang w:val="de-DE"/>
              </w:rPr>
              <w:t xml:space="preserve"> </w:t>
            </w:r>
            <w:r w:rsidRPr="00C85BF5">
              <w:rPr>
                <w:lang w:val="de-DE"/>
              </w:rPr>
              <w:t>religio</w:t>
            </w:r>
            <w:r w:rsidRPr="00C85BF5">
              <w:rPr>
                <w:spacing w:val="-10"/>
                <w:lang w:val="de-DE"/>
              </w:rPr>
              <w:t xml:space="preserve"> </w:t>
            </w:r>
            <w:r w:rsidRPr="00C85BF5">
              <w:rPr>
                <w:lang w:val="de-DE"/>
              </w:rPr>
              <w:t>und</w:t>
            </w:r>
            <w:r w:rsidRPr="00C85BF5">
              <w:rPr>
                <w:spacing w:val="-10"/>
                <w:lang w:val="de-DE"/>
              </w:rPr>
              <w:t xml:space="preserve"> </w:t>
            </w:r>
            <w:r w:rsidRPr="00C85BF5">
              <w:rPr>
                <w:lang w:val="de-DE"/>
              </w:rPr>
              <w:t>der</w:t>
            </w:r>
            <w:r w:rsidRPr="00C85BF5">
              <w:rPr>
                <w:spacing w:val="-10"/>
                <w:lang w:val="de-DE"/>
              </w:rPr>
              <w:t xml:space="preserve"> </w:t>
            </w:r>
            <w:r w:rsidRPr="00C85BF5">
              <w:rPr>
                <w:lang w:val="de-DE"/>
              </w:rPr>
              <w:t>aus</w:t>
            </w:r>
            <w:r w:rsidRPr="00C85BF5">
              <w:rPr>
                <w:spacing w:val="-10"/>
                <w:lang w:val="de-DE"/>
              </w:rPr>
              <w:t xml:space="preserve"> </w:t>
            </w:r>
            <w:r w:rsidRPr="00C85BF5">
              <w:rPr>
                <w:lang w:val="de-DE"/>
              </w:rPr>
              <w:t>dem</w:t>
            </w:r>
            <w:r w:rsidRPr="00C85BF5">
              <w:rPr>
                <w:spacing w:val="-10"/>
                <w:lang w:val="de-DE"/>
              </w:rPr>
              <w:t xml:space="preserve"> </w:t>
            </w:r>
            <w:r w:rsidRPr="00C85BF5">
              <w:rPr>
                <w:lang w:val="de-DE"/>
              </w:rPr>
              <w:t>römischen</w:t>
            </w:r>
            <w:r w:rsidRPr="00C85BF5">
              <w:rPr>
                <w:spacing w:val="-10"/>
                <w:lang w:val="de-DE"/>
              </w:rPr>
              <w:t xml:space="preserve"> </w:t>
            </w:r>
            <w:r w:rsidRPr="00C85BF5">
              <w:rPr>
                <w:lang w:val="de-DE"/>
              </w:rPr>
              <w:t>Privatrecht</w:t>
            </w:r>
            <w:r w:rsidRPr="00C85BF5">
              <w:rPr>
                <w:spacing w:val="-10"/>
                <w:lang w:val="de-DE"/>
              </w:rPr>
              <w:t xml:space="preserve"> </w:t>
            </w:r>
            <w:r w:rsidRPr="00C85BF5">
              <w:rPr>
                <w:lang w:val="de-DE"/>
              </w:rPr>
              <w:t>stammende</w:t>
            </w:r>
            <w:r w:rsidRPr="00C85BF5">
              <w:rPr>
                <w:spacing w:val="-10"/>
                <w:lang w:val="de-DE"/>
              </w:rPr>
              <w:t xml:space="preserve"> </w:t>
            </w:r>
            <w:r w:rsidRPr="00C85BF5">
              <w:rPr>
                <w:lang w:val="de-DE"/>
              </w:rPr>
              <w:t>Grundsatz</w:t>
            </w:r>
            <w:r w:rsidRPr="00C85BF5">
              <w:rPr>
                <w:spacing w:val="-10"/>
                <w:lang w:val="de-DE"/>
              </w:rPr>
              <w:t xml:space="preserve"> </w:t>
            </w:r>
            <w:r w:rsidRPr="00C85BF5">
              <w:rPr>
                <w:lang w:val="de-DE"/>
              </w:rPr>
              <w:t>des</w:t>
            </w:r>
            <w:r w:rsidRPr="00C85BF5">
              <w:rPr>
                <w:spacing w:val="-10"/>
                <w:lang w:val="de-DE"/>
              </w:rPr>
              <w:t xml:space="preserve"> </w:t>
            </w:r>
            <w:r w:rsidRPr="00C85BF5">
              <w:rPr>
                <w:lang w:val="de-DE"/>
              </w:rPr>
              <w:t>dominium.</w:t>
            </w:r>
            <w:r w:rsidRPr="00C85BF5">
              <w:rPr>
                <w:spacing w:val="-10"/>
                <w:lang w:val="de-DE"/>
              </w:rPr>
              <w:t xml:space="preserve"> </w:t>
            </w:r>
            <w:r w:rsidRPr="00C85BF5">
              <w:rPr>
                <w:lang w:val="de-DE"/>
              </w:rPr>
              <w:t>Beide</w:t>
            </w:r>
            <w:r w:rsidRPr="00C85BF5">
              <w:rPr>
                <w:spacing w:val="40"/>
                <w:lang w:val="de-DE"/>
              </w:rPr>
              <w:t xml:space="preserve"> </w:t>
            </w:r>
            <w:r w:rsidRPr="00C85BF5">
              <w:rPr>
                <w:lang w:val="de-DE"/>
              </w:rPr>
              <w:t>Rechtsprinzipien</w:t>
            </w:r>
            <w:r w:rsidRPr="00C85BF5">
              <w:rPr>
                <w:spacing w:val="-10"/>
                <w:lang w:val="de-DE"/>
              </w:rPr>
              <w:t xml:space="preserve"> </w:t>
            </w:r>
            <w:r w:rsidRPr="00C85BF5">
              <w:rPr>
                <w:lang w:val="de-DE"/>
              </w:rPr>
              <w:t>hatten</w:t>
            </w:r>
            <w:r w:rsidRPr="00C85BF5">
              <w:rPr>
                <w:spacing w:val="-10"/>
                <w:lang w:val="de-DE"/>
              </w:rPr>
              <w:t xml:space="preserve"> </w:t>
            </w:r>
            <w:r w:rsidRPr="00C85BF5">
              <w:rPr>
                <w:lang w:val="de-DE"/>
              </w:rPr>
              <w:t>zur</w:t>
            </w:r>
            <w:r w:rsidRPr="00C85BF5">
              <w:rPr>
                <w:spacing w:val="-10"/>
                <w:lang w:val="de-DE"/>
              </w:rPr>
              <w:t xml:space="preserve"> </w:t>
            </w:r>
            <w:r w:rsidRPr="00C85BF5">
              <w:rPr>
                <w:lang w:val="de-DE"/>
              </w:rPr>
              <w:t>Folge,</w:t>
            </w:r>
            <w:r w:rsidRPr="00C85BF5">
              <w:rPr>
                <w:spacing w:val="-10"/>
                <w:lang w:val="de-DE"/>
              </w:rPr>
              <w:t xml:space="preserve"> </w:t>
            </w:r>
            <w:r w:rsidRPr="00C85BF5">
              <w:rPr>
                <w:lang w:val="de-DE"/>
              </w:rPr>
              <w:t>dass</w:t>
            </w:r>
            <w:r w:rsidRPr="00C85BF5">
              <w:rPr>
                <w:spacing w:val="-9"/>
                <w:lang w:val="de-DE"/>
              </w:rPr>
              <w:t xml:space="preserve"> </w:t>
            </w:r>
            <w:r w:rsidRPr="00C85BF5">
              <w:rPr>
                <w:lang w:val="de-DE"/>
              </w:rPr>
              <w:t>Besitz</w:t>
            </w:r>
            <w:r w:rsidRPr="00C85BF5">
              <w:rPr>
                <w:spacing w:val="-10"/>
                <w:lang w:val="de-DE"/>
              </w:rPr>
              <w:t xml:space="preserve"> </w:t>
            </w:r>
            <w:r w:rsidRPr="00C85BF5">
              <w:rPr>
                <w:lang w:val="de-DE"/>
              </w:rPr>
              <w:t>und</w:t>
            </w:r>
            <w:r w:rsidRPr="00C85BF5">
              <w:rPr>
                <w:spacing w:val="-8"/>
                <w:lang w:val="de-DE"/>
              </w:rPr>
              <w:t xml:space="preserve"> </w:t>
            </w:r>
            <w:r w:rsidRPr="00C85BF5">
              <w:rPr>
                <w:lang w:val="de-DE"/>
              </w:rPr>
              <w:t>Verfügungsgewalt</w:t>
            </w:r>
            <w:r w:rsidRPr="00C85BF5">
              <w:rPr>
                <w:spacing w:val="-9"/>
                <w:lang w:val="de-DE"/>
              </w:rPr>
              <w:t xml:space="preserve"> </w:t>
            </w:r>
            <w:r w:rsidRPr="00C85BF5">
              <w:rPr>
                <w:lang w:val="de-DE"/>
              </w:rPr>
              <w:t>über</w:t>
            </w:r>
            <w:r w:rsidRPr="00C85BF5">
              <w:rPr>
                <w:spacing w:val="-10"/>
                <w:lang w:val="de-DE"/>
              </w:rPr>
              <w:t xml:space="preserve"> </w:t>
            </w:r>
            <w:r w:rsidRPr="00C85BF5">
              <w:rPr>
                <w:lang w:val="de-DE"/>
              </w:rPr>
              <w:t>ein</w:t>
            </w:r>
            <w:r w:rsidRPr="00C85BF5">
              <w:rPr>
                <w:spacing w:val="-8"/>
                <w:lang w:val="de-DE"/>
              </w:rPr>
              <w:t xml:space="preserve"> </w:t>
            </w:r>
            <w:r w:rsidRPr="00C85BF5">
              <w:rPr>
                <w:lang w:val="de-DE"/>
              </w:rPr>
              <w:t>Stück</w:t>
            </w:r>
            <w:r w:rsidRPr="00C85BF5">
              <w:rPr>
                <w:spacing w:val="-8"/>
                <w:lang w:val="de-DE"/>
              </w:rPr>
              <w:t xml:space="preserve"> </w:t>
            </w:r>
            <w:r w:rsidRPr="00C85BF5">
              <w:rPr>
                <w:lang w:val="de-DE"/>
              </w:rPr>
              <w:t>Land</w:t>
            </w:r>
            <w:r w:rsidRPr="00C85BF5">
              <w:rPr>
                <w:spacing w:val="40"/>
                <w:lang w:val="de-DE"/>
              </w:rPr>
              <w:t xml:space="preserve"> </w:t>
            </w:r>
            <w:r w:rsidRPr="00C85BF5">
              <w:rPr>
                <w:lang w:val="de-DE"/>
              </w:rPr>
              <w:t>absolut und unteilbar waren (= Vorbedingungen für einen mehr oder weniger</w:t>
            </w:r>
            <w:r w:rsidRPr="00C85BF5">
              <w:rPr>
                <w:spacing w:val="40"/>
                <w:lang w:val="de-DE"/>
              </w:rPr>
              <w:t xml:space="preserve"> </w:t>
            </w:r>
            <w:r w:rsidRPr="00C85BF5">
              <w:rPr>
                <w:lang w:val="de-DE"/>
              </w:rPr>
              <w:t>zentralisierten und hierarchisch strukturierten Staat).</w:t>
            </w:r>
          </w:p>
          <w:p w14:paraId="7CD139E5" w14:textId="77777777" w:rsidR="00FF7799" w:rsidRPr="00C85BF5" w:rsidRDefault="00FF7799" w:rsidP="0046492B">
            <w:pPr>
              <w:pStyle w:val="Standardklein"/>
              <w:spacing w:before="120" w:after="120"/>
              <w:rPr>
                <w:lang w:val="de-DE"/>
              </w:rPr>
            </w:pPr>
            <w:r w:rsidRPr="00C85BF5">
              <w:rPr>
                <w:lang w:val="de-DE"/>
              </w:rPr>
              <w:t>Im 19. Jahrhundert verlor die Religion ihre Bedeutung als verbindendes Element. Sie</w:t>
            </w:r>
            <w:r w:rsidRPr="00C85BF5">
              <w:rPr>
                <w:spacing w:val="40"/>
                <w:lang w:val="de-DE"/>
              </w:rPr>
              <w:t xml:space="preserve"> </w:t>
            </w:r>
            <w:r w:rsidRPr="00C85BF5">
              <w:rPr>
                <w:lang w:val="de-DE"/>
              </w:rPr>
              <w:t>wurde</w:t>
            </w:r>
            <w:r w:rsidRPr="00C85BF5">
              <w:rPr>
                <w:spacing w:val="-9"/>
                <w:lang w:val="de-DE"/>
              </w:rPr>
              <w:t xml:space="preserve"> </w:t>
            </w:r>
            <w:r w:rsidRPr="00C85BF5">
              <w:rPr>
                <w:lang w:val="de-DE"/>
              </w:rPr>
              <w:t>durch</w:t>
            </w:r>
            <w:r w:rsidRPr="00C85BF5">
              <w:rPr>
                <w:spacing w:val="-9"/>
                <w:lang w:val="de-DE"/>
              </w:rPr>
              <w:t xml:space="preserve"> </w:t>
            </w:r>
            <w:r w:rsidRPr="00C85BF5">
              <w:rPr>
                <w:lang w:val="de-DE"/>
              </w:rPr>
              <w:t>den</w:t>
            </w:r>
            <w:r w:rsidRPr="00C85BF5">
              <w:rPr>
                <w:spacing w:val="-7"/>
                <w:lang w:val="de-DE"/>
              </w:rPr>
              <w:t xml:space="preserve"> </w:t>
            </w:r>
            <w:r w:rsidRPr="00C85BF5">
              <w:rPr>
                <w:lang w:val="de-DE"/>
              </w:rPr>
              <w:t>Mythos</w:t>
            </w:r>
            <w:r w:rsidRPr="00C85BF5">
              <w:rPr>
                <w:spacing w:val="-8"/>
                <w:lang w:val="de-DE"/>
              </w:rPr>
              <w:t xml:space="preserve"> </w:t>
            </w:r>
            <w:r w:rsidRPr="00C85BF5">
              <w:rPr>
                <w:lang w:val="de-DE"/>
              </w:rPr>
              <w:t>der</w:t>
            </w:r>
            <w:r w:rsidRPr="00C85BF5">
              <w:rPr>
                <w:spacing w:val="-8"/>
                <w:lang w:val="de-DE"/>
              </w:rPr>
              <w:t xml:space="preserve"> </w:t>
            </w:r>
            <w:r w:rsidRPr="00C85BF5">
              <w:rPr>
                <w:lang w:val="de-DE"/>
              </w:rPr>
              <w:t>nationalen</w:t>
            </w:r>
            <w:r w:rsidRPr="00C85BF5">
              <w:rPr>
                <w:spacing w:val="-7"/>
                <w:lang w:val="de-DE"/>
              </w:rPr>
              <w:t xml:space="preserve"> </w:t>
            </w:r>
            <w:r w:rsidRPr="00C85BF5">
              <w:rPr>
                <w:lang w:val="de-DE"/>
              </w:rPr>
              <w:t>Schicksalsgemeinschaft</w:t>
            </w:r>
            <w:r w:rsidRPr="00C85BF5">
              <w:rPr>
                <w:spacing w:val="-7"/>
                <w:lang w:val="de-DE"/>
              </w:rPr>
              <w:t xml:space="preserve"> </w:t>
            </w:r>
            <w:r w:rsidRPr="00C85BF5">
              <w:rPr>
                <w:lang w:val="de-DE"/>
              </w:rPr>
              <w:t>ersetzt,</w:t>
            </w:r>
            <w:r w:rsidRPr="00C85BF5">
              <w:rPr>
                <w:spacing w:val="-7"/>
                <w:lang w:val="de-DE"/>
              </w:rPr>
              <w:t xml:space="preserve"> </w:t>
            </w:r>
            <w:r w:rsidRPr="00C85BF5">
              <w:rPr>
                <w:lang w:val="de-DE"/>
              </w:rPr>
              <w:t>welche</w:t>
            </w:r>
            <w:r w:rsidRPr="00C85BF5">
              <w:rPr>
                <w:spacing w:val="-7"/>
                <w:lang w:val="de-DE"/>
              </w:rPr>
              <w:t xml:space="preserve"> </w:t>
            </w:r>
            <w:r w:rsidRPr="00C85BF5">
              <w:rPr>
                <w:lang w:val="de-DE"/>
              </w:rPr>
              <w:t>innerhalb</w:t>
            </w:r>
            <w:r w:rsidRPr="00C85BF5">
              <w:rPr>
                <w:spacing w:val="40"/>
                <w:lang w:val="de-DE"/>
              </w:rPr>
              <w:t xml:space="preserve"> </w:t>
            </w:r>
            <w:r w:rsidRPr="00C85BF5">
              <w:rPr>
                <w:lang w:val="de-DE"/>
              </w:rPr>
              <w:t>eines</w:t>
            </w:r>
            <w:r w:rsidRPr="00C85BF5">
              <w:rPr>
                <w:spacing w:val="-10"/>
                <w:lang w:val="de-DE"/>
              </w:rPr>
              <w:t xml:space="preserve"> </w:t>
            </w:r>
            <w:r w:rsidRPr="00C85BF5">
              <w:rPr>
                <w:lang w:val="de-DE"/>
              </w:rPr>
              <w:t>Gebietes</w:t>
            </w:r>
            <w:r w:rsidRPr="00C85BF5">
              <w:rPr>
                <w:spacing w:val="-10"/>
                <w:lang w:val="de-DE"/>
              </w:rPr>
              <w:t xml:space="preserve"> </w:t>
            </w:r>
            <w:r w:rsidRPr="00C85BF5">
              <w:rPr>
                <w:lang w:val="de-DE"/>
              </w:rPr>
              <w:t>(in</w:t>
            </w:r>
            <w:r w:rsidRPr="00C85BF5">
              <w:rPr>
                <w:spacing w:val="-10"/>
                <w:lang w:val="de-DE"/>
              </w:rPr>
              <w:t xml:space="preserve"> </w:t>
            </w:r>
            <w:r w:rsidRPr="00C85BF5">
              <w:rPr>
                <w:lang w:val="de-DE"/>
              </w:rPr>
              <w:t>ihren</w:t>
            </w:r>
            <w:r w:rsidRPr="00C85BF5">
              <w:rPr>
                <w:spacing w:val="-10"/>
                <w:lang w:val="de-DE"/>
              </w:rPr>
              <w:t xml:space="preserve"> </w:t>
            </w:r>
            <w:r w:rsidRPr="00C85BF5">
              <w:rPr>
                <w:lang w:val="de-DE"/>
              </w:rPr>
              <w:t>„natürlichen</w:t>
            </w:r>
            <w:r w:rsidRPr="00C85BF5">
              <w:rPr>
                <w:spacing w:val="-10"/>
                <w:lang w:val="de-DE"/>
              </w:rPr>
              <w:t xml:space="preserve"> </w:t>
            </w:r>
            <w:r w:rsidRPr="00C85BF5">
              <w:rPr>
                <w:lang w:val="de-DE"/>
              </w:rPr>
              <w:t>Grenzen“)</w:t>
            </w:r>
            <w:r w:rsidRPr="00C85BF5">
              <w:rPr>
                <w:spacing w:val="-10"/>
                <w:lang w:val="de-DE"/>
              </w:rPr>
              <w:t xml:space="preserve"> </w:t>
            </w:r>
            <w:r w:rsidRPr="00C85BF5">
              <w:rPr>
                <w:lang w:val="de-DE"/>
              </w:rPr>
              <w:t>zusammenlebt.</w:t>
            </w:r>
            <w:r w:rsidRPr="00C85BF5">
              <w:rPr>
                <w:spacing w:val="-10"/>
                <w:lang w:val="de-DE"/>
              </w:rPr>
              <w:t xml:space="preserve"> </w:t>
            </w:r>
            <w:r w:rsidRPr="00C85BF5">
              <w:rPr>
                <w:lang w:val="de-DE"/>
              </w:rPr>
              <w:t>Die</w:t>
            </w:r>
            <w:r w:rsidRPr="00C85BF5">
              <w:rPr>
                <w:spacing w:val="-10"/>
                <w:lang w:val="de-DE"/>
              </w:rPr>
              <w:t xml:space="preserve"> </w:t>
            </w:r>
            <w:r w:rsidRPr="00C85BF5">
              <w:rPr>
                <w:lang w:val="de-DE"/>
              </w:rPr>
              <w:t>durch</w:t>
            </w:r>
            <w:r w:rsidRPr="00C85BF5">
              <w:rPr>
                <w:spacing w:val="-10"/>
                <w:lang w:val="de-DE"/>
              </w:rPr>
              <w:t xml:space="preserve"> </w:t>
            </w:r>
            <w:r w:rsidRPr="00C85BF5">
              <w:rPr>
                <w:lang w:val="de-DE"/>
              </w:rPr>
              <w:t>das</w:t>
            </w:r>
            <w:r w:rsidRPr="00C85BF5">
              <w:rPr>
                <w:spacing w:val="-10"/>
                <w:lang w:val="de-DE"/>
              </w:rPr>
              <w:t xml:space="preserve"> </w:t>
            </w:r>
            <w:r w:rsidRPr="00C85BF5">
              <w:rPr>
                <w:lang w:val="de-DE"/>
              </w:rPr>
              <w:t>Konzept</w:t>
            </w:r>
            <w:r w:rsidRPr="00C85BF5">
              <w:rPr>
                <w:spacing w:val="-10"/>
                <w:lang w:val="de-DE"/>
              </w:rPr>
              <w:t xml:space="preserve"> </w:t>
            </w:r>
            <w:r w:rsidRPr="00C85BF5">
              <w:rPr>
                <w:lang w:val="de-DE"/>
              </w:rPr>
              <w:t>der</w:t>
            </w:r>
            <w:r w:rsidRPr="00C85BF5">
              <w:rPr>
                <w:spacing w:val="40"/>
                <w:lang w:val="de-DE"/>
              </w:rPr>
              <w:t xml:space="preserve"> </w:t>
            </w:r>
            <w:r w:rsidRPr="00C85BF5">
              <w:rPr>
                <w:lang w:val="de-DE"/>
              </w:rPr>
              <w:t>Nation angereicherte Idee des Flächenstaates verschärfte den Gegensatz</w:t>
            </w:r>
            <w:r w:rsidRPr="00C85BF5">
              <w:rPr>
                <w:spacing w:val="-1"/>
                <w:lang w:val="de-DE"/>
              </w:rPr>
              <w:t xml:space="preserve"> </w:t>
            </w:r>
            <w:r w:rsidRPr="00C85BF5">
              <w:rPr>
                <w:lang w:val="de-DE"/>
              </w:rPr>
              <w:t>zwischen „Wir“</w:t>
            </w:r>
            <w:r w:rsidRPr="00C85BF5">
              <w:rPr>
                <w:spacing w:val="40"/>
                <w:lang w:val="de-DE"/>
              </w:rPr>
              <w:t xml:space="preserve"> </w:t>
            </w:r>
            <w:r w:rsidRPr="00C85BF5">
              <w:rPr>
                <w:lang w:val="de-DE"/>
              </w:rPr>
              <w:t>und</w:t>
            </w:r>
            <w:r w:rsidRPr="00C85BF5">
              <w:rPr>
                <w:spacing w:val="-2"/>
                <w:lang w:val="de-DE"/>
              </w:rPr>
              <w:t xml:space="preserve"> </w:t>
            </w:r>
            <w:r w:rsidRPr="00C85BF5">
              <w:rPr>
                <w:lang w:val="de-DE"/>
              </w:rPr>
              <w:t>„Ihr“, zwischen Vertrautem</w:t>
            </w:r>
            <w:r w:rsidRPr="00C85BF5">
              <w:rPr>
                <w:spacing w:val="-3"/>
                <w:lang w:val="de-DE"/>
              </w:rPr>
              <w:t xml:space="preserve"> </w:t>
            </w:r>
            <w:r w:rsidRPr="00C85BF5">
              <w:rPr>
                <w:lang w:val="de-DE"/>
              </w:rPr>
              <w:t>und</w:t>
            </w:r>
            <w:r w:rsidRPr="00C85BF5">
              <w:rPr>
                <w:spacing w:val="-2"/>
                <w:lang w:val="de-DE"/>
              </w:rPr>
              <w:t xml:space="preserve"> </w:t>
            </w:r>
            <w:r w:rsidRPr="00C85BF5">
              <w:rPr>
                <w:lang w:val="de-DE"/>
              </w:rPr>
              <w:t>Fremdartigem. Sie setzte</w:t>
            </w:r>
            <w:r w:rsidRPr="00C85BF5">
              <w:rPr>
                <w:spacing w:val="-2"/>
                <w:lang w:val="de-DE"/>
              </w:rPr>
              <w:t xml:space="preserve"> </w:t>
            </w:r>
            <w:r w:rsidRPr="00C85BF5">
              <w:rPr>
                <w:lang w:val="de-DE"/>
              </w:rPr>
              <w:t>sich</w:t>
            </w:r>
            <w:r w:rsidRPr="00C85BF5">
              <w:rPr>
                <w:spacing w:val="-2"/>
                <w:lang w:val="de-DE"/>
              </w:rPr>
              <w:t xml:space="preserve"> </w:t>
            </w:r>
            <w:r w:rsidRPr="00C85BF5">
              <w:rPr>
                <w:lang w:val="de-DE"/>
              </w:rPr>
              <w:t>später</w:t>
            </w:r>
            <w:r w:rsidRPr="00C85BF5">
              <w:rPr>
                <w:spacing w:val="-1"/>
                <w:lang w:val="de-DE"/>
              </w:rPr>
              <w:t xml:space="preserve"> </w:t>
            </w:r>
            <w:r w:rsidRPr="00C85BF5">
              <w:rPr>
                <w:lang w:val="de-DE"/>
              </w:rPr>
              <w:t>auch außerhalb</w:t>
            </w:r>
            <w:r w:rsidRPr="00C85BF5">
              <w:rPr>
                <w:spacing w:val="40"/>
                <w:lang w:val="de-DE"/>
              </w:rPr>
              <w:t xml:space="preserve"> </w:t>
            </w:r>
            <w:r w:rsidRPr="00C85BF5">
              <w:rPr>
                <w:lang w:val="de-DE"/>
              </w:rPr>
              <w:t>Europas</w:t>
            </w:r>
            <w:r w:rsidRPr="00C85BF5">
              <w:rPr>
                <w:spacing w:val="-5"/>
                <w:lang w:val="de-DE"/>
              </w:rPr>
              <w:t xml:space="preserve"> </w:t>
            </w:r>
            <w:r w:rsidRPr="00C85BF5">
              <w:rPr>
                <w:lang w:val="de-DE"/>
              </w:rPr>
              <w:t>durch.</w:t>
            </w:r>
            <w:r w:rsidRPr="00C85BF5">
              <w:rPr>
                <w:spacing w:val="-3"/>
                <w:lang w:val="de-DE"/>
              </w:rPr>
              <w:t xml:space="preserve"> </w:t>
            </w:r>
            <w:r w:rsidRPr="00C85BF5">
              <w:rPr>
                <w:lang w:val="de-DE"/>
              </w:rPr>
              <w:t>Selbst</w:t>
            </w:r>
            <w:r w:rsidRPr="00C85BF5">
              <w:rPr>
                <w:spacing w:val="-7"/>
                <w:lang w:val="de-DE"/>
              </w:rPr>
              <w:t xml:space="preserve"> </w:t>
            </w:r>
            <w:r w:rsidRPr="00C85BF5">
              <w:rPr>
                <w:lang w:val="de-DE"/>
              </w:rPr>
              <w:t>die</w:t>
            </w:r>
            <w:r w:rsidRPr="00C85BF5">
              <w:rPr>
                <w:spacing w:val="-3"/>
                <w:lang w:val="de-DE"/>
              </w:rPr>
              <w:t xml:space="preserve"> </w:t>
            </w:r>
            <w:r w:rsidRPr="00C85BF5">
              <w:rPr>
                <w:lang w:val="de-DE"/>
              </w:rPr>
              <w:t>Vereinten</w:t>
            </w:r>
            <w:r w:rsidRPr="00C85BF5">
              <w:rPr>
                <w:spacing w:val="-5"/>
                <w:lang w:val="de-DE"/>
              </w:rPr>
              <w:t xml:space="preserve"> </w:t>
            </w:r>
            <w:r w:rsidRPr="00C85BF5">
              <w:rPr>
                <w:lang w:val="de-DE"/>
              </w:rPr>
              <w:t>Nationen</w:t>
            </w:r>
            <w:r w:rsidRPr="00C85BF5">
              <w:rPr>
                <w:spacing w:val="-4"/>
                <w:lang w:val="de-DE"/>
              </w:rPr>
              <w:t xml:space="preserve"> </w:t>
            </w:r>
            <w:r w:rsidRPr="00C85BF5">
              <w:rPr>
                <w:lang w:val="de-DE"/>
              </w:rPr>
              <w:t>verankerten</w:t>
            </w:r>
            <w:r w:rsidRPr="00C85BF5">
              <w:rPr>
                <w:spacing w:val="-5"/>
                <w:lang w:val="de-DE"/>
              </w:rPr>
              <w:t xml:space="preserve"> </w:t>
            </w:r>
            <w:r w:rsidRPr="00C85BF5">
              <w:rPr>
                <w:lang w:val="de-DE"/>
              </w:rPr>
              <w:t>dieses</w:t>
            </w:r>
            <w:r w:rsidRPr="00C85BF5">
              <w:rPr>
                <w:spacing w:val="-4"/>
                <w:lang w:val="de-DE"/>
              </w:rPr>
              <w:t xml:space="preserve"> </w:t>
            </w:r>
            <w:r w:rsidRPr="00C85BF5">
              <w:rPr>
                <w:lang w:val="de-DE"/>
              </w:rPr>
              <w:t>Prinzip</w:t>
            </w:r>
            <w:r w:rsidRPr="00C85BF5">
              <w:rPr>
                <w:spacing w:val="-5"/>
                <w:lang w:val="de-DE"/>
              </w:rPr>
              <w:t xml:space="preserve"> </w:t>
            </w:r>
            <w:r w:rsidRPr="00C85BF5">
              <w:rPr>
                <w:lang w:val="de-DE"/>
              </w:rPr>
              <w:t>in</w:t>
            </w:r>
            <w:r w:rsidRPr="00C85BF5">
              <w:rPr>
                <w:spacing w:val="-5"/>
                <w:lang w:val="de-DE"/>
              </w:rPr>
              <w:t xml:space="preserve"> </w:t>
            </w:r>
            <w:r w:rsidRPr="00C85BF5">
              <w:rPr>
                <w:lang w:val="de-DE"/>
              </w:rPr>
              <w:t>ihrer</w:t>
            </w:r>
            <w:r w:rsidRPr="00C85BF5">
              <w:rPr>
                <w:spacing w:val="-6"/>
                <w:lang w:val="de-DE"/>
              </w:rPr>
              <w:t xml:space="preserve"> </w:t>
            </w:r>
            <w:r w:rsidR="00C85BF5">
              <w:rPr>
                <w:lang w:val="de-DE"/>
              </w:rPr>
              <w:t>Charta</w:t>
            </w:r>
            <w:r w:rsidRPr="00C85BF5">
              <w:rPr>
                <w:lang w:val="de-DE"/>
              </w:rPr>
              <w:t>“</w:t>
            </w:r>
            <w:r w:rsidR="00C85BF5">
              <w:rPr>
                <w:lang w:val="de-DE"/>
              </w:rPr>
              <w:t xml:space="preserve"> (</w:t>
            </w:r>
            <w:r w:rsidR="00C85BF5" w:rsidRPr="00E73F6F">
              <w:rPr>
                <w:lang w:val="de-DE"/>
              </w:rPr>
              <w:t>Güsgen</w:t>
            </w:r>
            <w:r w:rsidR="00C85BF5" w:rsidRPr="00E73F6F">
              <w:rPr>
                <w:spacing w:val="-1"/>
                <w:lang w:val="de-DE"/>
              </w:rPr>
              <w:t xml:space="preserve"> </w:t>
            </w:r>
            <w:r w:rsidR="00C85BF5" w:rsidRPr="00E73F6F">
              <w:rPr>
                <w:lang w:val="de-DE"/>
              </w:rPr>
              <w:t>1998,</w:t>
            </w:r>
            <w:r w:rsidR="00C85BF5" w:rsidRPr="00E73F6F">
              <w:rPr>
                <w:spacing w:val="1"/>
                <w:lang w:val="de-DE"/>
              </w:rPr>
              <w:t xml:space="preserve"> </w:t>
            </w:r>
            <w:r w:rsidR="00C85BF5" w:rsidRPr="00E73F6F">
              <w:rPr>
                <w:spacing w:val="-2"/>
                <w:lang w:val="de-DE"/>
              </w:rPr>
              <w:t>S.13)</w:t>
            </w:r>
            <w:r w:rsidR="00C85BF5">
              <w:rPr>
                <w:spacing w:val="-2"/>
                <w:lang w:val="de-DE"/>
              </w:rPr>
              <w:t>.</w:t>
            </w:r>
          </w:p>
        </w:tc>
      </w:tr>
    </w:tbl>
    <w:p w14:paraId="01596F19" w14:textId="77777777" w:rsidR="00C85BF5" w:rsidRDefault="00C85BF5" w:rsidP="0046492B">
      <w:pPr>
        <w:pStyle w:val="StandardText"/>
      </w:pPr>
    </w:p>
    <w:p w14:paraId="5F07C4E2" w14:textId="77777777" w:rsidR="00FF7799" w:rsidRPr="00E73F6F" w:rsidRDefault="00FF7799" w:rsidP="0046492B">
      <w:pPr>
        <w:pStyle w:val="StandardText"/>
      </w:pPr>
      <w:r w:rsidRPr="00E73F6F">
        <w:t>Das Staatsvolk verkörpert die Gesamtheit der durch eine legitime Herrschaftsordnung vereinigten Menschen. Da in der arabischen Region demokratische Strukturen allenfalls in Ansätzen vorhanden sind und die Grenzen der meisten arabischen Staaten von den ehemaligen Kolonialmächten Frankreich und</w:t>
      </w:r>
      <w:r w:rsidRPr="00E73F6F">
        <w:rPr>
          <w:spacing w:val="-4"/>
        </w:rPr>
        <w:t xml:space="preserve"> </w:t>
      </w:r>
      <w:r w:rsidRPr="00E73F6F">
        <w:t>Großbritannien</w:t>
      </w:r>
      <w:r w:rsidRPr="00E73F6F">
        <w:rPr>
          <w:spacing w:val="-2"/>
        </w:rPr>
        <w:t xml:space="preserve"> </w:t>
      </w:r>
      <w:r w:rsidRPr="00E73F6F">
        <w:t>willkürlich,</w:t>
      </w:r>
      <w:r w:rsidRPr="00E73F6F">
        <w:rPr>
          <w:spacing w:val="-5"/>
        </w:rPr>
        <w:t xml:space="preserve"> </w:t>
      </w:r>
      <w:r w:rsidRPr="00E73F6F">
        <w:t>d.h.</w:t>
      </w:r>
      <w:r w:rsidRPr="00E73F6F">
        <w:rPr>
          <w:spacing w:val="-3"/>
        </w:rPr>
        <w:t xml:space="preserve"> </w:t>
      </w:r>
      <w:r w:rsidRPr="00E73F6F">
        <w:t>mit</w:t>
      </w:r>
      <w:r w:rsidRPr="00E73F6F">
        <w:rPr>
          <w:spacing w:val="-5"/>
        </w:rPr>
        <w:t xml:space="preserve"> </w:t>
      </w:r>
      <w:r w:rsidRPr="00E73F6F">
        <w:t>dem</w:t>
      </w:r>
      <w:r w:rsidRPr="00E73F6F">
        <w:rPr>
          <w:spacing w:val="-4"/>
        </w:rPr>
        <w:t xml:space="preserve"> </w:t>
      </w:r>
      <w:r w:rsidRPr="00E73F6F">
        <w:t>Lineal</w:t>
      </w:r>
      <w:r w:rsidRPr="00E73F6F">
        <w:rPr>
          <w:spacing w:val="-3"/>
        </w:rPr>
        <w:t xml:space="preserve"> </w:t>
      </w:r>
      <w:r w:rsidRPr="00E73F6F">
        <w:t>gezogen</w:t>
      </w:r>
      <w:r w:rsidRPr="00E73F6F">
        <w:rPr>
          <w:spacing w:val="-2"/>
        </w:rPr>
        <w:t xml:space="preserve"> </w:t>
      </w:r>
      <w:r w:rsidRPr="00E73F6F">
        <w:t>wurden,</w:t>
      </w:r>
      <w:r w:rsidRPr="00E73F6F">
        <w:rPr>
          <w:spacing w:val="-3"/>
        </w:rPr>
        <w:t xml:space="preserve"> </w:t>
      </w:r>
      <w:r w:rsidRPr="00E73F6F">
        <w:t>konnte</w:t>
      </w:r>
      <w:r w:rsidRPr="00E73F6F">
        <w:rPr>
          <w:spacing w:val="-3"/>
        </w:rPr>
        <w:t xml:space="preserve"> </w:t>
      </w:r>
      <w:r w:rsidRPr="00E73F6F">
        <w:t>sich dort kein wirkliches Staatsvolk entwickeln. Einen jordanischen Beduinen unterscheidet von einem irakischen oder saudischen Beduinen allein die Stammeszugehörigkeit, nicht die Nationalität. Und da die Grenzen der Stämme nicht</w:t>
      </w:r>
      <w:r w:rsidRPr="00E73F6F">
        <w:rPr>
          <w:spacing w:val="-10"/>
        </w:rPr>
        <w:t xml:space="preserve"> </w:t>
      </w:r>
      <w:r w:rsidRPr="00E73F6F">
        <w:t>mit</w:t>
      </w:r>
      <w:r w:rsidRPr="00E73F6F">
        <w:rPr>
          <w:spacing w:val="-10"/>
        </w:rPr>
        <w:t xml:space="preserve"> </w:t>
      </w:r>
      <w:r w:rsidRPr="00E73F6F">
        <w:t>den</w:t>
      </w:r>
      <w:r w:rsidRPr="00E73F6F">
        <w:rPr>
          <w:spacing w:val="-9"/>
        </w:rPr>
        <w:t xml:space="preserve"> </w:t>
      </w:r>
      <w:r w:rsidRPr="00E73F6F">
        <w:t>Landesgrenzen</w:t>
      </w:r>
      <w:r w:rsidRPr="00E73F6F">
        <w:rPr>
          <w:spacing w:val="-9"/>
        </w:rPr>
        <w:t xml:space="preserve"> </w:t>
      </w:r>
      <w:r w:rsidRPr="00E73F6F">
        <w:t>übereinstimmen,</w:t>
      </w:r>
      <w:r w:rsidRPr="00E73F6F">
        <w:rPr>
          <w:spacing w:val="-7"/>
        </w:rPr>
        <w:t xml:space="preserve"> </w:t>
      </w:r>
      <w:r w:rsidRPr="00E73F6F">
        <w:t>gilt</w:t>
      </w:r>
      <w:r w:rsidRPr="00E73F6F">
        <w:rPr>
          <w:spacing w:val="-10"/>
        </w:rPr>
        <w:t xml:space="preserve"> </w:t>
      </w:r>
      <w:r w:rsidRPr="00E73F6F">
        <w:t>die</w:t>
      </w:r>
      <w:r w:rsidRPr="00E73F6F">
        <w:rPr>
          <w:spacing w:val="-11"/>
        </w:rPr>
        <w:t xml:space="preserve"> </w:t>
      </w:r>
      <w:r w:rsidRPr="00E73F6F">
        <w:t>politische</w:t>
      </w:r>
      <w:r w:rsidRPr="00E73F6F">
        <w:rPr>
          <w:spacing w:val="-11"/>
        </w:rPr>
        <w:t xml:space="preserve"> </w:t>
      </w:r>
      <w:r w:rsidRPr="00E73F6F">
        <w:t>Loyalität</w:t>
      </w:r>
      <w:r w:rsidRPr="00E73F6F">
        <w:rPr>
          <w:spacing w:val="-8"/>
        </w:rPr>
        <w:t xml:space="preserve"> </w:t>
      </w:r>
      <w:r w:rsidRPr="00E73F6F">
        <w:t>weniger dem jeweiligen Regime, als vielmehr dem jeweiligen Stamm, dem Clan, der Großfamilie</w:t>
      </w:r>
      <w:r w:rsidRPr="00E73F6F">
        <w:rPr>
          <w:spacing w:val="-3"/>
        </w:rPr>
        <w:t xml:space="preserve"> </w:t>
      </w:r>
      <w:r w:rsidRPr="00E73F6F">
        <w:t>und</w:t>
      </w:r>
      <w:r w:rsidRPr="00E73F6F">
        <w:rPr>
          <w:spacing w:val="-4"/>
        </w:rPr>
        <w:t xml:space="preserve"> </w:t>
      </w:r>
      <w:r w:rsidRPr="00E73F6F">
        <w:t>neuerdings</w:t>
      </w:r>
      <w:r w:rsidRPr="00E73F6F">
        <w:rPr>
          <w:spacing w:val="-3"/>
        </w:rPr>
        <w:t xml:space="preserve"> </w:t>
      </w:r>
      <w:r w:rsidRPr="00E73F6F">
        <w:t>wieder</w:t>
      </w:r>
      <w:r w:rsidRPr="00E73F6F">
        <w:rPr>
          <w:spacing w:val="-3"/>
        </w:rPr>
        <w:t xml:space="preserve"> </w:t>
      </w:r>
      <w:r w:rsidRPr="00E73F6F">
        <w:t>vermehrt</w:t>
      </w:r>
      <w:r w:rsidRPr="00E73F6F">
        <w:rPr>
          <w:spacing w:val="-5"/>
        </w:rPr>
        <w:t xml:space="preserve"> </w:t>
      </w:r>
      <w:r w:rsidRPr="00E73F6F">
        <w:t>der</w:t>
      </w:r>
      <w:r w:rsidRPr="00E73F6F">
        <w:rPr>
          <w:spacing w:val="-3"/>
        </w:rPr>
        <w:t xml:space="preserve"> </w:t>
      </w:r>
      <w:r w:rsidRPr="00E73F6F">
        <w:t>Religion.</w:t>
      </w:r>
      <w:r w:rsidRPr="00E73F6F">
        <w:rPr>
          <w:spacing w:val="-3"/>
        </w:rPr>
        <w:t xml:space="preserve"> </w:t>
      </w:r>
      <w:r w:rsidRPr="00E73F6F">
        <w:t>Für</w:t>
      </w:r>
      <w:r w:rsidRPr="00E73F6F">
        <w:rPr>
          <w:spacing w:val="-5"/>
        </w:rPr>
        <w:t xml:space="preserve"> </w:t>
      </w:r>
      <w:r w:rsidRPr="00E73F6F">
        <w:t>die</w:t>
      </w:r>
      <w:r w:rsidRPr="00E73F6F">
        <w:rPr>
          <w:spacing w:val="-6"/>
        </w:rPr>
        <w:t xml:space="preserve"> </w:t>
      </w:r>
      <w:r w:rsidRPr="00E73F6F">
        <w:t>Herrscher</w:t>
      </w:r>
      <w:r w:rsidRPr="00E73F6F">
        <w:rPr>
          <w:spacing w:val="-3"/>
        </w:rPr>
        <w:t xml:space="preserve"> </w:t>
      </w:r>
      <w:r w:rsidRPr="00E73F6F">
        <w:t>sind Machterhalt und Eigenstaatlichkeit weitgehend identisch. Zwang, Gewalt und Unterdrückung gehören vor diesem Hintergrund zum Repertoire arabischer Herrschaft, ausgeübt vom Militär und den Geheimdiensten. Das Spektrum reicht dabei vom »weitsichtigen</w:t>
      </w:r>
      <w:r w:rsidRPr="00E73F6F">
        <w:rPr>
          <w:spacing w:val="-1"/>
        </w:rPr>
        <w:t xml:space="preserve"> </w:t>
      </w:r>
      <w:r w:rsidRPr="00E73F6F">
        <w:t xml:space="preserve">Autokraten«, wie ihn König </w:t>
      </w:r>
      <w:r w:rsidRPr="00E73F6F">
        <w:rPr>
          <w:i/>
        </w:rPr>
        <w:t xml:space="preserve">Hussein </w:t>
      </w:r>
      <w:r w:rsidRPr="00E73F6F">
        <w:t xml:space="preserve">verkörpert, bis zu </w:t>
      </w:r>
      <w:r w:rsidRPr="00E73F6F">
        <w:rPr>
          <w:i/>
        </w:rPr>
        <w:t>Saddam Hussein</w:t>
      </w:r>
      <w:r w:rsidRPr="00E73F6F">
        <w:t>. Keinem arabischen Land ist die Transformation traditioneller, patriarchalisch geprägter</w:t>
      </w:r>
      <w:r w:rsidRPr="00E73F6F">
        <w:rPr>
          <w:spacing w:val="-1"/>
        </w:rPr>
        <w:t xml:space="preserve"> </w:t>
      </w:r>
      <w:r w:rsidRPr="00E73F6F">
        <w:t>Gesellschaftsformen in</w:t>
      </w:r>
      <w:r w:rsidRPr="00E73F6F">
        <w:rPr>
          <w:spacing w:val="-1"/>
        </w:rPr>
        <w:t xml:space="preserve"> </w:t>
      </w:r>
      <w:r w:rsidRPr="00E73F6F">
        <w:t>die</w:t>
      </w:r>
      <w:r w:rsidRPr="00E73F6F">
        <w:rPr>
          <w:spacing w:val="-1"/>
        </w:rPr>
        <w:t xml:space="preserve"> </w:t>
      </w:r>
      <w:r w:rsidRPr="00E73F6F">
        <w:t>technisch-rationale</w:t>
      </w:r>
      <w:r w:rsidRPr="00E73F6F">
        <w:rPr>
          <w:spacing w:val="-1"/>
        </w:rPr>
        <w:t xml:space="preserve"> </w:t>
      </w:r>
      <w:r w:rsidRPr="00E73F6F">
        <w:t>Moderne gelungen. Sie waren und sind überwiegend künstliche Gebilde, ohne nationale Geschichte und Mythologie (vgl. Lüders 1998).</w:t>
      </w:r>
    </w:p>
    <w:p w14:paraId="4818FD49" w14:textId="77777777" w:rsidR="00FF7799" w:rsidRPr="00C85BF5" w:rsidRDefault="00FF7799" w:rsidP="0046492B">
      <w:pPr>
        <w:pStyle w:val="StandardText"/>
        <w:rPr>
          <w:spacing w:val="-5"/>
          <w:sz w:val="22"/>
          <w:szCs w:val="22"/>
        </w:rPr>
      </w:pPr>
      <w:r w:rsidRPr="00C85BF5">
        <w:rPr>
          <w:b/>
          <w:i/>
          <w:sz w:val="22"/>
          <w:szCs w:val="22"/>
        </w:rPr>
        <w:t>Literatur</w:t>
      </w:r>
      <w:r w:rsidRPr="00C85BF5">
        <w:rPr>
          <w:i/>
          <w:sz w:val="22"/>
          <w:szCs w:val="22"/>
        </w:rPr>
        <w:t>:</w:t>
      </w:r>
      <w:r w:rsidRPr="00C85BF5">
        <w:rPr>
          <w:spacing w:val="25"/>
          <w:sz w:val="22"/>
          <w:szCs w:val="22"/>
        </w:rPr>
        <w:t xml:space="preserve"> </w:t>
      </w:r>
      <w:r w:rsidRPr="00C85BF5">
        <w:rPr>
          <w:sz w:val="22"/>
          <w:szCs w:val="22"/>
        </w:rPr>
        <w:t>Güsgen,</w:t>
      </w:r>
      <w:r w:rsidRPr="00C85BF5">
        <w:rPr>
          <w:spacing w:val="25"/>
          <w:sz w:val="22"/>
          <w:szCs w:val="22"/>
        </w:rPr>
        <w:t xml:space="preserve"> </w:t>
      </w:r>
      <w:r w:rsidRPr="00C85BF5">
        <w:rPr>
          <w:sz w:val="22"/>
          <w:szCs w:val="22"/>
        </w:rPr>
        <w:t>F.</w:t>
      </w:r>
      <w:r w:rsidRPr="00C85BF5">
        <w:rPr>
          <w:spacing w:val="27"/>
          <w:sz w:val="22"/>
          <w:szCs w:val="22"/>
        </w:rPr>
        <w:t xml:space="preserve"> </w:t>
      </w:r>
      <w:r w:rsidRPr="00C85BF5">
        <w:rPr>
          <w:sz w:val="22"/>
          <w:szCs w:val="22"/>
        </w:rPr>
        <w:t>(1998):</w:t>
      </w:r>
      <w:r w:rsidRPr="00C85BF5">
        <w:rPr>
          <w:spacing w:val="25"/>
          <w:sz w:val="22"/>
          <w:szCs w:val="22"/>
        </w:rPr>
        <w:t xml:space="preserve"> </w:t>
      </w:r>
      <w:r w:rsidRPr="00C85BF5">
        <w:rPr>
          <w:sz w:val="22"/>
          <w:szCs w:val="22"/>
        </w:rPr>
        <w:t>Das</w:t>
      </w:r>
      <w:r w:rsidRPr="00C85BF5">
        <w:rPr>
          <w:spacing w:val="23"/>
          <w:sz w:val="22"/>
          <w:szCs w:val="22"/>
        </w:rPr>
        <w:t xml:space="preserve"> </w:t>
      </w:r>
      <w:r w:rsidRPr="00C85BF5">
        <w:rPr>
          <w:sz w:val="22"/>
          <w:szCs w:val="22"/>
        </w:rPr>
        <w:t>unheilige</w:t>
      </w:r>
      <w:r w:rsidRPr="00C85BF5">
        <w:rPr>
          <w:spacing w:val="25"/>
          <w:sz w:val="22"/>
          <w:szCs w:val="22"/>
        </w:rPr>
        <w:t xml:space="preserve"> </w:t>
      </w:r>
      <w:r w:rsidRPr="00C85BF5">
        <w:rPr>
          <w:sz w:val="22"/>
          <w:szCs w:val="22"/>
        </w:rPr>
        <w:t>Reich,</w:t>
      </w:r>
      <w:r w:rsidRPr="00C85BF5">
        <w:rPr>
          <w:spacing w:val="27"/>
          <w:sz w:val="22"/>
          <w:szCs w:val="22"/>
        </w:rPr>
        <w:t xml:space="preserve"> </w:t>
      </w:r>
      <w:r w:rsidRPr="00C85BF5">
        <w:rPr>
          <w:sz w:val="22"/>
          <w:szCs w:val="22"/>
        </w:rPr>
        <w:t>Süddeutsche</w:t>
      </w:r>
      <w:r w:rsidRPr="00C85BF5">
        <w:rPr>
          <w:spacing w:val="25"/>
          <w:sz w:val="22"/>
          <w:szCs w:val="22"/>
        </w:rPr>
        <w:t xml:space="preserve"> </w:t>
      </w:r>
      <w:r w:rsidRPr="00C85BF5">
        <w:rPr>
          <w:sz w:val="22"/>
          <w:szCs w:val="22"/>
        </w:rPr>
        <w:t>Zeitung,</w:t>
      </w:r>
      <w:r w:rsidRPr="00C85BF5">
        <w:rPr>
          <w:spacing w:val="25"/>
          <w:sz w:val="22"/>
          <w:szCs w:val="22"/>
        </w:rPr>
        <w:t xml:space="preserve"> </w:t>
      </w:r>
      <w:r w:rsidRPr="00C85BF5">
        <w:rPr>
          <w:sz w:val="22"/>
          <w:szCs w:val="22"/>
        </w:rPr>
        <w:t>54(119):</w:t>
      </w:r>
      <w:r w:rsidRPr="00C85BF5">
        <w:rPr>
          <w:spacing w:val="24"/>
          <w:sz w:val="22"/>
          <w:szCs w:val="22"/>
        </w:rPr>
        <w:t xml:space="preserve"> </w:t>
      </w:r>
      <w:r w:rsidRPr="00C85BF5">
        <w:rPr>
          <w:spacing w:val="-5"/>
          <w:sz w:val="22"/>
          <w:szCs w:val="22"/>
        </w:rPr>
        <w:t xml:space="preserve">13. </w:t>
      </w:r>
      <w:r w:rsidRPr="00C85BF5">
        <w:rPr>
          <w:sz w:val="22"/>
          <w:szCs w:val="22"/>
        </w:rPr>
        <w:t>Lüders,</w:t>
      </w:r>
      <w:r w:rsidRPr="00C85BF5">
        <w:rPr>
          <w:spacing w:val="-6"/>
          <w:sz w:val="22"/>
          <w:szCs w:val="22"/>
        </w:rPr>
        <w:t xml:space="preserve"> </w:t>
      </w:r>
      <w:r w:rsidRPr="00C85BF5">
        <w:rPr>
          <w:sz w:val="22"/>
          <w:szCs w:val="22"/>
        </w:rPr>
        <w:t>M.</w:t>
      </w:r>
      <w:r w:rsidRPr="00C85BF5">
        <w:rPr>
          <w:spacing w:val="-5"/>
          <w:sz w:val="22"/>
          <w:szCs w:val="22"/>
        </w:rPr>
        <w:t xml:space="preserve"> </w:t>
      </w:r>
      <w:r w:rsidRPr="00C85BF5">
        <w:rPr>
          <w:sz w:val="22"/>
          <w:szCs w:val="22"/>
        </w:rPr>
        <w:t>(1998):</w:t>
      </w:r>
      <w:r w:rsidRPr="00C85BF5">
        <w:rPr>
          <w:spacing w:val="-5"/>
          <w:sz w:val="22"/>
          <w:szCs w:val="22"/>
        </w:rPr>
        <w:t xml:space="preserve"> </w:t>
      </w:r>
      <w:r w:rsidRPr="00C85BF5">
        <w:rPr>
          <w:sz w:val="22"/>
          <w:szCs w:val="22"/>
        </w:rPr>
        <w:t>Herrschaft</w:t>
      </w:r>
      <w:r w:rsidRPr="00C85BF5">
        <w:rPr>
          <w:spacing w:val="-5"/>
          <w:sz w:val="22"/>
          <w:szCs w:val="22"/>
        </w:rPr>
        <w:t xml:space="preserve"> </w:t>
      </w:r>
      <w:r w:rsidRPr="00C85BF5">
        <w:rPr>
          <w:sz w:val="22"/>
          <w:szCs w:val="22"/>
        </w:rPr>
        <w:t>auf</w:t>
      </w:r>
      <w:r w:rsidRPr="00C85BF5">
        <w:rPr>
          <w:spacing w:val="-5"/>
          <w:sz w:val="22"/>
          <w:szCs w:val="22"/>
        </w:rPr>
        <w:t xml:space="preserve"> </w:t>
      </w:r>
      <w:r w:rsidRPr="00C85BF5">
        <w:rPr>
          <w:sz w:val="22"/>
          <w:szCs w:val="22"/>
        </w:rPr>
        <w:t>Sand</w:t>
      </w:r>
      <w:r w:rsidRPr="00C85BF5">
        <w:rPr>
          <w:spacing w:val="-5"/>
          <w:sz w:val="22"/>
          <w:szCs w:val="22"/>
        </w:rPr>
        <w:t xml:space="preserve"> </w:t>
      </w:r>
      <w:r w:rsidRPr="00C85BF5">
        <w:rPr>
          <w:sz w:val="22"/>
          <w:szCs w:val="22"/>
        </w:rPr>
        <w:t>gebaut, Die</w:t>
      </w:r>
      <w:r w:rsidRPr="00C85BF5">
        <w:rPr>
          <w:spacing w:val="-4"/>
          <w:sz w:val="22"/>
          <w:szCs w:val="22"/>
        </w:rPr>
        <w:t xml:space="preserve"> </w:t>
      </w:r>
      <w:r w:rsidRPr="00C85BF5">
        <w:rPr>
          <w:sz w:val="22"/>
          <w:szCs w:val="22"/>
        </w:rPr>
        <w:t>Zeit,</w:t>
      </w:r>
      <w:r w:rsidRPr="00C85BF5">
        <w:rPr>
          <w:spacing w:val="-5"/>
          <w:sz w:val="22"/>
          <w:szCs w:val="22"/>
        </w:rPr>
        <w:t xml:space="preserve"> </w:t>
      </w:r>
      <w:r w:rsidRPr="00C85BF5">
        <w:rPr>
          <w:sz w:val="22"/>
          <w:szCs w:val="22"/>
        </w:rPr>
        <w:t>53(9):</w:t>
      </w:r>
      <w:r w:rsidRPr="00C85BF5">
        <w:rPr>
          <w:spacing w:val="-4"/>
          <w:sz w:val="22"/>
          <w:szCs w:val="22"/>
        </w:rPr>
        <w:t xml:space="preserve"> </w:t>
      </w:r>
      <w:r w:rsidRPr="00C85BF5">
        <w:rPr>
          <w:spacing w:val="-5"/>
          <w:sz w:val="22"/>
          <w:szCs w:val="22"/>
        </w:rPr>
        <w:t>9.</w:t>
      </w:r>
    </w:p>
    <w:p w14:paraId="01B9A953" w14:textId="77777777" w:rsidR="00FF7799" w:rsidRPr="00E73F6F" w:rsidRDefault="00FF7799" w:rsidP="0046492B">
      <w:pPr>
        <w:pStyle w:val="StandardText"/>
        <w:rPr>
          <w:spacing w:val="-5"/>
        </w:rPr>
      </w:pPr>
    </w:p>
    <w:p w14:paraId="4AA1736C" w14:textId="77777777" w:rsidR="00FF7799" w:rsidRPr="00C139BC" w:rsidRDefault="00FF7799" w:rsidP="00C139BC">
      <w:pPr>
        <w:keepNext/>
        <w:keepLines/>
        <w:spacing w:before="240"/>
        <w:jc w:val="both"/>
        <w:outlineLvl w:val="1"/>
        <w:rPr>
          <w:b/>
          <w:bCs/>
          <w:color w:val="2E74B5"/>
          <w:sz w:val="24"/>
        </w:rPr>
      </w:pPr>
      <w:r w:rsidRPr="00C139BC">
        <w:rPr>
          <w:b/>
          <w:bCs/>
          <w:color w:val="2E74B5"/>
          <w:sz w:val="24"/>
        </w:rPr>
        <w:t>Standardisierungs/Differenzierungs-Debatte</w:t>
      </w:r>
    </w:p>
    <w:p w14:paraId="2ED5DEC3" w14:textId="77777777" w:rsidR="00FF7799" w:rsidRPr="00E73F6F" w:rsidRDefault="00FF7799" w:rsidP="00EB5484">
      <w:pPr>
        <w:pStyle w:val="StandardText"/>
      </w:pPr>
      <w:r w:rsidRPr="00E73F6F">
        <w:t>wurde schwergewichtig in den 1980er-Jahren geführt. Sollen Produkte, Verfahrensweisen, Instrumente, Theorien etc. den unterschiedlichen Bedingungen auf den verschiedenen Ländermärkten angepasst werden? Oder überwiegen aus produktionstechnischer und ökonomischer Sicht die Vorteile der Standardisierung die Nachteile, die aus dem Verzicht auf eine kulturadäquate Differenzierung erwachsen? Bisweilen argumentierten oder dachten die Anhänger der Standardisierungsthese Teils aus Bequemlichkeit und Teils aus der Überzeugung kulturimperialistisch. Das eigene Herkunftsland bzw. die Herkunftskultur sei allen anderen Ländern bzw. Kulturen grundsätzlich überlegen, weshalb es angemessen und vernünftig sei, sich ausschließlich an den eigenen We</w:t>
      </w:r>
      <w:r w:rsidR="00C85BF5">
        <w:t xml:space="preserve">rtmaßstäben zu orientieren und </w:t>
      </w:r>
      <w:r w:rsidR="00C85BF5">
        <w:sym w:font="Symbol" w:char="F0DE"/>
      </w:r>
      <w:r w:rsidRPr="00E73F6F">
        <w:t xml:space="preserve"> Global Marketing zu betreiben.</w:t>
      </w:r>
    </w:p>
    <w:p w14:paraId="5DCFB83A" w14:textId="77777777" w:rsidR="00FF7799" w:rsidRPr="00C85BF5" w:rsidRDefault="00FF7799" w:rsidP="00EB5484">
      <w:pPr>
        <w:pStyle w:val="StandardText"/>
      </w:pPr>
      <w:r w:rsidRPr="00C85BF5">
        <w:t xml:space="preserve">Nachdem aber viele Unternehmen in den 1990er-Jahren mit dieser kostengetriebenen Vereinfachungsstrategie wenig erfolgreich waren bzw. ganz scheiterten, ist man mittlerweile folgender Ansicht: Standardisiert vermarket können lediglich kulturfreie Produkte werden (insb. aus der technischen Sphäre, dem B-to-B-Bereich etc.). Die Mehrzahl der Konsumgüter aber ist ‘culture bound‘: kulturgebunden. Hier empfiehlt es sich, Strategien und Instrumente den jeweiligen landes- und kulturspezifischen Bedingungen anzupassen. Coca Cola, regelmäßig als Prototyp der Standardisierungsphilosophie genannt, trägt dem mittlerweile Rechnung. Standardisiert wird „lediglich“ die strategische Positionierung („Lebensfreude“), ansonsten differenziert man das Leistungsangebot (u.a. selbst die Produktpalette). Selbst Waschmittel sind kulturgebunden. Denn die Vorstellungen von „Reinheit“ variieren weltweit. </w:t>
      </w:r>
    </w:p>
    <w:p w14:paraId="04DB7DAA" w14:textId="77777777" w:rsidR="00FF7799" w:rsidRPr="00E73F6F" w:rsidRDefault="00FF7799" w:rsidP="00EB5484">
      <w:pPr>
        <w:pStyle w:val="StandardText"/>
      </w:pPr>
    </w:p>
    <w:p w14:paraId="73708825" w14:textId="77777777" w:rsidR="00FF7799" w:rsidRPr="00C139BC" w:rsidRDefault="00FF7799" w:rsidP="00C139BC">
      <w:pPr>
        <w:keepNext/>
        <w:keepLines/>
        <w:spacing w:before="240"/>
        <w:jc w:val="both"/>
        <w:outlineLvl w:val="1"/>
        <w:rPr>
          <w:b/>
          <w:bCs/>
          <w:color w:val="2E74B5"/>
          <w:sz w:val="24"/>
        </w:rPr>
      </w:pPr>
      <w:r w:rsidRPr="00C139BC">
        <w:rPr>
          <w:b/>
          <w:bCs/>
          <w:color w:val="2E74B5"/>
          <w:sz w:val="24"/>
        </w:rPr>
        <w:t>Standardisierungstrategie</w:t>
      </w:r>
    </w:p>
    <w:p w14:paraId="3F23E5C8" w14:textId="77777777" w:rsidR="00FF7799" w:rsidRPr="00C85BF5" w:rsidRDefault="00FF7799" w:rsidP="00EB5484">
      <w:pPr>
        <w:pStyle w:val="StandardText"/>
      </w:pPr>
      <w:r w:rsidRPr="00C85BF5">
        <w:t>Strategie</w:t>
      </w:r>
      <w:r w:rsidRPr="00C85BF5">
        <w:rPr>
          <w:spacing w:val="-4"/>
        </w:rPr>
        <w:t xml:space="preserve"> </w:t>
      </w:r>
      <w:r w:rsidRPr="00C85BF5">
        <w:t>des</w:t>
      </w:r>
      <w:r w:rsidRPr="00C85BF5">
        <w:rPr>
          <w:spacing w:val="-4"/>
        </w:rPr>
        <w:t xml:space="preserve"> </w:t>
      </w:r>
      <w:r w:rsidR="00C85BF5" w:rsidRPr="00C85BF5">
        <w:rPr>
          <w:spacing w:val="-4"/>
        </w:rPr>
        <w:sym w:font="Symbol" w:char="F0DE"/>
      </w:r>
      <w:r w:rsidRPr="00C85BF5">
        <w:rPr>
          <w:spacing w:val="-4"/>
        </w:rPr>
        <w:t xml:space="preserve"> </w:t>
      </w:r>
      <w:r w:rsidRPr="00C85BF5">
        <w:t>Global</w:t>
      </w:r>
      <w:r w:rsidRPr="00C85BF5">
        <w:rPr>
          <w:spacing w:val="-5"/>
        </w:rPr>
        <w:t xml:space="preserve"> </w:t>
      </w:r>
      <w:r w:rsidRPr="00C85BF5">
        <w:t>Marketing.</w:t>
      </w:r>
      <w:r w:rsidRPr="00C85BF5">
        <w:rPr>
          <w:spacing w:val="-5"/>
        </w:rPr>
        <w:t xml:space="preserve"> </w:t>
      </w:r>
      <w:r w:rsidRPr="00C85BF5">
        <w:t>Nachdem</w:t>
      </w:r>
      <w:r w:rsidRPr="00C85BF5">
        <w:rPr>
          <w:spacing w:val="-2"/>
        </w:rPr>
        <w:t xml:space="preserve"> </w:t>
      </w:r>
      <w:r w:rsidRPr="00C85BF5">
        <w:t>aber</w:t>
      </w:r>
      <w:r w:rsidRPr="00C85BF5">
        <w:rPr>
          <w:spacing w:val="-4"/>
        </w:rPr>
        <w:t xml:space="preserve"> </w:t>
      </w:r>
      <w:r w:rsidRPr="00C85BF5">
        <w:t>viele</w:t>
      </w:r>
      <w:r w:rsidRPr="00C85BF5">
        <w:rPr>
          <w:spacing w:val="-5"/>
        </w:rPr>
        <w:t xml:space="preserve"> </w:t>
      </w:r>
      <w:r w:rsidRPr="00C85BF5">
        <w:t>Unternehmen</w:t>
      </w:r>
      <w:r w:rsidRPr="00C85BF5">
        <w:rPr>
          <w:spacing w:val="-1"/>
        </w:rPr>
        <w:t xml:space="preserve"> </w:t>
      </w:r>
      <w:r w:rsidRPr="00C85BF5">
        <w:t>in</w:t>
      </w:r>
      <w:r w:rsidRPr="00C85BF5">
        <w:rPr>
          <w:spacing w:val="-5"/>
        </w:rPr>
        <w:t xml:space="preserve"> </w:t>
      </w:r>
      <w:r w:rsidRPr="00C85BF5">
        <w:t>den</w:t>
      </w:r>
      <w:r w:rsidRPr="00C85BF5">
        <w:rPr>
          <w:spacing w:val="-5"/>
        </w:rPr>
        <w:t xml:space="preserve"> </w:t>
      </w:r>
      <w:r w:rsidRPr="00C85BF5">
        <w:t>1990er- Jahren mit dieser kostengetriebenen Vereinfachungsstrategie wenig erfolgreich waren bzw. ganz scheiterten, ist man mittlerweile folgender Ansicht: Standardisiert vermarket können lediglich kulturfreie Produkte werden (insb. aus der</w:t>
      </w:r>
      <w:r w:rsidRPr="00C85BF5">
        <w:rPr>
          <w:spacing w:val="-12"/>
        </w:rPr>
        <w:t xml:space="preserve"> </w:t>
      </w:r>
      <w:r w:rsidRPr="00C85BF5">
        <w:t>technischen</w:t>
      </w:r>
      <w:r w:rsidRPr="00C85BF5">
        <w:rPr>
          <w:spacing w:val="-11"/>
        </w:rPr>
        <w:t xml:space="preserve"> </w:t>
      </w:r>
      <w:r w:rsidRPr="00C85BF5">
        <w:t>Sphäre,</w:t>
      </w:r>
      <w:r w:rsidRPr="00C85BF5">
        <w:rPr>
          <w:spacing w:val="-11"/>
        </w:rPr>
        <w:t xml:space="preserve"> </w:t>
      </w:r>
      <w:r w:rsidRPr="00C85BF5">
        <w:t>dem</w:t>
      </w:r>
      <w:r w:rsidRPr="00C85BF5">
        <w:rPr>
          <w:spacing w:val="-11"/>
        </w:rPr>
        <w:t xml:space="preserve"> </w:t>
      </w:r>
      <w:r w:rsidRPr="00C85BF5">
        <w:t>B-to-B-Bereich</w:t>
      </w:r>
      <w:r w:rsidRPr="00C85BF5">
        <w:rPr>
          <w:spacing w:val="-12"/>
        </w:rPr>
        <w:t xml:space="preserve"> </w:t>
      </w:r>
      <w:r w:rsidRPr="00C85BF5">
        <w:t>etc.).</w:t>
      </w:r>
      <w:r w:rsidRPr="00C85BF5">
        <w:rPr>
          <w:spacing w:val="-11"/>
        </w:rPr>
        <w:t xml:space="preserve"> </w:t>
      </w:r>
      <w:r w:rsidRPr="00C85BF5">
        <w:t>Die</w:t>
      </w:r>
      <w:r w:rsidRPr="00C85BF5">
        <w:rPr>
          <w:spacing w:val="-11"/>
        </w:rPr>
        <w:t xml:space="preserve"> </w:t>
      </w:r>
      <w:r w:rsidRPr="00C85BF5">
        <w:t>Mehrzahl</w:t>
      </w:r>
      <w:r w:rsidRPr="00C85BF5">
        <w:rPr>
          <w:spacing w:val="-11"/>
        </w:rPr>
        <w:t xml:space="preserve"> </w:t>
      </w:r>
      <w:r w:rsidRPr="00C85BF5">
        <w:t>der</w:t>
      </w:r>
      <w:r w:rsidRPr="00C85BF5">
        <w:rPr>
          <w:spacing w:val="-12"/>
        </w:rPr>
        <w:t xml:space="preserve"> </w:t>
      </w:r>
      <w:r w:rsidRPr="00C85BF5">
        <w:t>Konsumgüter aber ist „culture bound“: kulturgebunden. In solchen Fällen empfiehlt es sich, Strategien und Instrumente den jeweiligen landes- und kulturspezifischen Bedingungen anzupassen. Selbst Coca Cola, regelmäßig als Prototyp der Standardisierungsphilosophie genannt, trägt dem mittlerweile Rechnung. Standardisiert wird „lediglich“ die strategische Positionierung („Lebensfreude“), ansonsten</w:t>
      </w:r>
      <w:r w:rsidRPr="00C85BF5">
        <w:rPr>
          <w:spacing w:val="-3"/>
        </w:rPr>
        <w:t xml:space="preserve"> </w:t>
      </w:r>
      <w:r w:rsidRPr="00C85BF5">
        <w:t>differenziert</w:t>
      </w:r>
      <w:r w:rsidRPr="00C85BF5">
        <w:rPr>
          <w:spacing w:val="-2"/>
        </w:rPr>
        <w:t xml:space="preserve"> </w:t>
      </w:r>
      <w:r w:rsidRPr="00C85BF5">
        <w:t>man</w:t>
      </w:r>
      <w:r w:rsidRPr="00C85BF5">
        <w:rPr>
          <w:spacing w:val="-3"/>
        </w:rPr>
        <w:t xml:space="preserve"> </w:t>
      </w:r>
      <w:r w:rsidRPr="00C85BF5">
        <w:t>das</w:t>
      </w:r>
      <w:r w:rsidRPr="00C85BF5">
        <w:rPr>
          <w:spacing w:val="-2"/>
        </w:rPr>
        <w:t xml:space="preserve"> </w:t>
      </w:r>
      <w:r w:rsidRPr="00C85BF5">
        <w:t>Leistungsangebot</w:t>
      </w:r>
      <w:r w:rsidRPr="00C85BF5">
        <w:rPr>
          <w:spacing w:val="-2"/>
        </w:rPr>
        <w:t xml:space="preserve"> </w:t>
      </w:r>
      <w:r w:rsidRPr="00C85BF5">
        <w:t>(u.a.</w:t>
      </w:r>
      <w:r w:rsidRPr="00C85BF5">
        <w:rPr>
          <w:spacing w:val="-2"/>
        </w:rPr>
        <w:t xml:space="preserve"> </w:t>
      </w:r>
      <w:r w:rsidRPr="00C85BF5">
        <w:t>selbst</w:t>
      </w:r>
      <w:r w:rsidRPr="00C85BF5">
        <w:rPr>
          <w:spacing w:val="-4"/>
        </w:rPr>
        <w:t xml:space="preserve"> </w:t>
      </w:r>
      <w:r w:rsidRPr="00C85BF5">
        <w:t>die</w:t>
      </w:r>
      <w:r w:rsidRPr="00C85BF5">
        <w:rPr>
          <w:spacing w:val="-2"/>
        </w:rPr>
        <w:t xml:space="preserve"> </w:t>
      </w:r>
      <w:r w:rsidRPr="00C85BF5">
        <w:t>Produktpalette). Bemerkenswerterweise sind auch Waschmittel kulturgebunden. Denn</w:t>
      </w:r>
      <w:r w:rsidRPr="00C85BF5">
        <w:rPr>
          <w:spacing w:val="-3"/>
        </w:rPr>
        <w:t xml:space="preserve"> </w:t>
      </w:r>
      <w:r w:rsidRPr="00C85BF5">
        <w:t>die Vorstellungen von „Reinheit“ variieren weltweit. Für den islamisch geprägten Kulturraum gilt darüber hinaus, dass dort bspw. die Kommunikationspolitik zahlreichen Restriktionen unterliegt, die aus der Tradition und dem islamischen Recht erwachsen. Dies gilt</w:t>
      </w:r>
      <w:r w:rsidRPr="00C85BF5">
        <w:rPr>
          <w:spacing w:val="-2"/>
        </w:rPr>
        <w:t xml:space="preserve"> </w:t>
      </w:r>
      <w:r w:rsidRPr="00C85BF5">
        <w:t>für</w:t>
      </w:r>
      <w:r w:rsidRPr="00C85BF5">
        <w:rPr>
          <w:spacing w:val="-2"/>
        </w:rPr>
        <w:t xml:space="preserve"> </w:t>
      </w:r>
      <w:r w:rsidRPr="00C85BF5">
        <w:t>die Rolle von</w:t>
      </w:r>
      <w:r w:rsidRPr="00C85BF5">
        <w:rPr>
          <w:spacing w:val="-1"/>
        </w:rPr>
        <w:t xml:space="preserve"> </w:t>
      </w:r>
      <w:r w:rsidRPr="00C85BF5">
        <w:t>Frauen</w:t>
      </w:r>
      <w:r w:rsidRPr="00C85BF5">
        <w:rPr>
          <w:spacing w:val="-1"/>
        </w:rPr>
        <w:t xml:space="preserve"> </w:t>
      </w:r>
      <w:r w:rsidRPr="00C85BF5">
        <w:t>in der Werbung (z.B. die</w:t>
      </w:r>
      <w:r w:rsidRPr="00C85BF5">
        <w:rPr>
          <w:spacing w:val="-2"/>
        </w:rPr>
        <w:t xml:space="preserve"> </w:t>
      </w:r>
      <w:r w:rsidRPr="00C85BF5">
        <w:t>von diesen zu tragende Kleidung) ebenso wie für den erwarteten Wahrheitsgehalt der Claims („Ein Muslim sollte nichts versprechen, was er nicht halten kann“).</w:t>
      </w:r>
    </w:p>
    <w:p w14:paraId="5F330AB0" w14:textId="77777777" w:rsidR="00FF7799" w:rsidRPr="00E73F6F" w:rsidRDefault="00FF7799" w:rsidP="00EB5484">
      <w:pPr>
        <w:pStyle w:val="StandardText"/>
      </w:pPr>
    </w:p>
    <w:p w14:paraId="442DE465" w14:textId="77777777" w:rsidR="00FF7799" w:rsidRPr="007F2875" w:rsidRDefault="00FF7799" w:rsidP="00660B55">
      <w:pPr>
        <w:pStyle w:val="berschrift1"/>
        <w:rPr>
          <w:b w:val="0"/>
        </w:rPr>
      </w:pPr>
      <w:r w:rsidRPr="00C139BC">
        <w:rPr>
          <w:color w:val="2E74B5"/>
        </w:rPr>
        <w:t>Status</w:t>
      </w:r>
      <w:r w:rsidRPr="00E73F6F">
        <w:rPr>
          <w:spacing w:val="1"/>
        </w:rPr>
        <w:t xml:space="preserve"> </w:t>
      </w:r>
      <w:r w:rsidRPr="00E73F6F">
        <w:rPr>
          <w:b w:val="0"/>
        </w:rPr>
        <w:t>→</w:t>
      </w:r>
      <w:r w:rsidRPr="00E73F6F">
        <w:rPr>
          <w:spacing w:val="-4"/>
        </w:rPr>
        <w:t xml:space="preserve"> </w:t>
      </w:r>
      <w:r w:rsidRPr="007F2875">
        <w:rPr>
          <w:b w:val="0"/>
        </w:rPr>
        <w:t>Kulturdimensionen</w:t>
      </w:r>
      <w:r w:rsidRPr="007F2875">
        <w:rPr>
          <w:b w:val="0"/>
          <w:spacing w:val="-1"/>
        </w:rPr>
        <w:t xml:space="preserve"> </w:t>
      </w:r>
      <w:r w:rsidRPr="007F2875">
        <w:rPr>
          <w:b w:val="0"/>
        </w:rPr>
        <w:t>nach</w:t>
      </w:r>
      <w:r w:rsidRPr="007F2875">
        <w:rPr>
          <w:b w:val="0"/>
          <w:spacing w:val="-1"/>
        </w:rPr>
        <w:t xml:space="preserve"> </w:t>
      </w:r>
      <w:r w:rsidRPr="007F2875">
        <w:rPr>
          <w:b w:val="0"/>
          <w:spacing w:val="-2"/>
        </w:rPr>
        <w:t>Trompenaars</w:t>
      </w:r>
    </w:p>
    <w:p w14:paraId="2F9FC418" w14:textId="77777777" w:rsidR="00FF7799" w:rsidRPr="00C139BC" w:rsidRDefault="00FF7799" w:rsidP="00660B55">
      <w:pPr>
        <w:pStyle w:val="berschrift1"/>
        <w:rPr>
          <w:color w:val="2E74B5"/>
        </w:rPr>
      </w:pPr>
      <w:r w:rsidRPr="00C139BC">
        <w:rPr>
          <w:color w:val="2E74B5"/>
        </w:rPr>
        <w:t>Status, sozialer</w:t>
      </w:r>
    </w:p>
    <w:p w14:paraId="1F32988C" w14:textId="77777777" w:rsidR="00FF7799" w:rsidRDefault="00FF7799" w:rsidP="00EB5484">
      <w:pPr>
        <w:pStyle w:val="StandardText"/>
      </w:pPr>
      <w:r w:rsidRPr="00E73F6F">
        <w:t>leitet sich daraus ab, wie die Position bzw. funktionale Einordnung der Person in ein</w:t>
      </w:r>
      <w:r w:rsidRPr="00E73F6F">
        <w:rPr>
          <w:spacing w:val="-12"/>
        </w:rPr>
        <w:t xml:space="preserve"> </w:t>
      </w:r>
      <w:r w:rsidRPr="00E73F6F">
        <w:t>soziales</w:t>
      </w:r>
      <w:r w:rsidRPr="00E73F6F">
        <w:rPr>
          <w:spacing w:val="-11"/>
        </w:rPr>
        <w:t xml:space="preserve"> </w:t>
      </w:r>
      <w:r w:rsidRPr="00E73F6F">
        <w:t>System</w:t>
      </w:r>
      <w:r w:rsidRPr="00E73F6F">
        <w:rPr>
          <w:spacing w:val="-11"/>
        </w:rPr>
        <w:t xml:space="preserve"> </w:t>
      </w:r>
      <w:r w:rsidRPr="00E73F6F">
        <w:t>bewertet</w:t>
      </w:r>
      <w:r w:rsidRPr="00E73F6F">
        <w:rPr>
          <w:spacing w:val="-11"/>
        </w:rPr>
        <w:t xml:space="preserve"> </w:t>
      </w:r>
      <w:r w:rsidRPr="00E73F6F">
        <w:t>wird</w:t>
      </w:r>
      <w:r w:rsidRPr="00E73F6F">
        <w:rPr>
          <w:spacing w:val="-12"/>
        </w:rPr>
        <w:t xml:space="preserve"> </w:t>
      </w:r>
      <w:r w:rsidRPr="00E73F6F">
        <w:t>und</w:t>
      </w:r>
      <w:r w:rsidRPr="00E73F6F">
        <w:rPr>
          <w:spacing w:val="-11"/>
        </w:rPr>
        <w:t xml:space="preserve"> </w:t>
      </w:r>
      <w:r w:rsidRPr="00E73F6F">
        <w:t>welche</w:t>
      </w:r>
      <w:r w:rsidRPr="00E73F6F">
        <w:rPr>
          <w:spacing w:val="-11"/>
        </w:rPr>
        <w:t xml:space="preserve"> </w:t>
      </w:r>
      <w:r w:rsidRPr="00E73F6F">
        <w:t>Wertschätzung</w:t>
      </w:r>
      <w:r w:rsidRPr="00E73F6F">
        <w:rPr>
          <w:spacing w:val="-11"/>
        </w:rPr>
        <w:t xml:space="preserve"> </w:t>
      </w:r>
      <w:r w:rsidRPr="00E73F6F">
        <w:t>sie</w:t>
      </w:r>
      <w:r w:rsidRPr="00E73F6F">
        <w:rPr>
          <w:spacing w:val="-12"/>
        </w:rPr>
        <w:t xml:space="preserve"> </w:t>
      </w:r>
      <w:r w:rsidRPr="00E73F6F">
        <w:t>erfährt.</w:t>
      </w:r>
      <w:r w:rsidRPr="00E73F6F">
        <w:rPr>
          <w:spacing w:val="-11"/>
        </w:rPr>
        <w:t xml:space="preserve"> </w:t>
      </w:r>
      <w:r w:rsidRPr="00E73F6F">
        <w:t>So</w:t>
      </w:r>
      <w:r w:rsidRPr="00E73F6F">
        <w:rPr>
          <w:spacing w:val="-11"/>
        </w:rPr>
        <w:t xml:space="preserve"> </w:t>
      </w:r>
      <w:r w:rsidRPr="00E73F6F">
        <w:t xml:space="preserve">erfährt die Berufsgruppe der Ärzte traditionell eine hohe Wertschätzung, während Versicherungsvermittler eher skeptisch </w:t>
      </w:r>
      <w:r w:rsidRPr="00E73F6F">
        <w:lastRenderedPageBreak/>
        <w:t>betrachtet werden. Bestimmen bzw. quantifizieren lässt sich der soziale Status anhand folgender Kriterien: erstens ökonomische Variablen wie der Beruf, das Einkommen und das Vermögen; zweitens interaktionale Variablen wie das persönliche Prestige, die Vernetzung und die Sozialisation und drittens politische Variablen wie Macht, Klassenbewusstsein und Mobilität.</w:t>
      </w:r>
    </w:p>
    <w:p w14:paraId="731305CD" w14:textId="77777777" w:rsidR="0007144F" w:rsidRPr="00E73F6F" w:rsidRDefault="0007144F" w:rsidP="00EB5484">
      <w:pPr>
        <w:pStyle w:val="StandardText"/>
      </w:pPr>
    </w:p>
    <w:p w14:paraId="3BD28C99" w14:textId="77777777" w:rsidR="00FF7799" w:rsidRPr="00C139BC" w:rsidRDefault="00FF7799" w:rsidP="00660B55">
      <w:pPr>
        <w:pStyle w:val="berschrift1"/>
        <w:rPr>
          <w:color w:val="2E74B5"/>
        </w:rPr>
      </w:pPr>
      <w:r w:rsidRPr="00C139BC">
        <w:rPr>
          <w:color w:val="2E74B5"/>
        </w:rPr>
        <w:t>Stereotyp</w:t>
      </w:r>
    </w:p>
    <w:p w14:paraId="17689EA1" w14:textId="77777777" w:rsidR="00FF7799" w:rsidRDefault="00C85BF5" w:rsidP="00EB5484">
      <w:pPr>
        <w:pStyle w:val="StandardText"/>
      </w:pPr>
      <w:r>
        <w:t xml:space="preserve">von </w:t>
      </w:r>
      <w:r w:rsidR="00FF7799" w:rsidRPr="00E73F6F">
        <w:t>Lippmann (1922) aus der Buchdruckersprache in die Kognitive Psychologie eingeführt</w:t>
      </w:r>
      <w:r>
        <w:t>er Begriff</w:t>
      </w:r>
      <w:r w:rsidR="00FF7799" w:rsidRPr="00E73F6F">
        <w:t xml:space="preserve"> ('pictures in our head'). Später formulierte Lippmann (1964): „Ein Stereotypenmodell … ist eine Methode, der großen, blühenden, summenden Unordnung der Wirklichkeit eine Ordnung zu unterschieben.“ Tajfel (1976/2001) schließlich definierte Stereotyp als das vereinfachte geistige Bild einer Klasse von Menschen, Institutionen oder Ereignissen, das in seinen wesentlichen Merkmalen von einer großen Zahl von Personen geteilt wird. Stereotype begegnen uns u.a. als Auto- und Heteroster</w:t>
      </w:r>
      <w:r>
        <w:t>eotyp und als Länderstereotyp (</w:t>
      </w:r>
      <w:r>
        <w:sym w:font="Symbol" w:char="F0DE"/>
      </w:r>
      <w:r w:rsidR="00FF7799" w:rsidRPr="00E73F6F">
        <w:t xml:space="preserve"> </w:t>
      </w:r>
      <w:r w:rsidR="00F675AD">
        <w:t>„</w:t>
      </w:r>
      <w:r w:rsidR="00FF7799" w:rsidRPr="00E73F6F">
        <w:t>Made in …</w:t>
      </w:r>
      <w:r w:rsidR="00F675AD">
        <w:t>“</w:t>
      </w:r>
      <w:r w:rsidR="00FF7799" w:rsidRPr="00E73F6F">
        <w:t>).</w:t>
      </w:r>
    </w:p>
    <w:p w14:paraId="239A402F" w14:textId="77777777" w:rsidR="00FF7799" w:rsidRPr="00F675AD" w:rsidRDefault="00FF7799" w:rsidP="00EB5484">
      <w:pPr>
        <w:pStyle w:val="StandardText"/>
        <w:rPr>
          <w:sz w:val="22"/>
          <w:szCs w:val="22"/>
        </w:rPr>
      </w:pPr>
      <w:r w:rsidRPr="00F675AD">
        <w:rPr>
          <w:b/>
          <w:i/>
          <w:sz w:val="22"/>
          <w:szCs w:val="22"/>
          <w:lang w:val="en-US"/>
        </w:rPr>
        <w:t>Literatur:</w:t>
      </w:r>
      <w:r w:rsidRPr="00F675AD">
        <w:rPr>
          <w:b/>
          <w:spacing w:val="-5"/>
          <w:sz w:val="22"/>
          <w:szCs w:val="22"/>
          <w:lang w:val="en-US"/>
        </w:rPr>
        <w:t xml:space="preserve"> </w:t>
      </w:r>
      <w:r w:rsidRPr="00F675AD">
        <w:rPr>
          <w:sz w:val="22"/>
          <w:szCs w:val="22"/>
          <w:lang w:val="en-US"/>
        </w:rPr>
        <w:t>Lippman,</w:t>
      </w:r>
      <w:r w:rsidRPr="00F675AD">
        <w:rPr>
          <w:spacing w:val="-5"/>
          <w:sz w:val="22"/>
          <w:szCs w:val="22"/>
          <w:lang w:val="en-US"/>
        </w:rPr>
        <w:t xml:space="preserve"> </w:t>
      </w:r>
      <w:r w:rsidRPr="00F675AD">
        <w:rPr>
          <w:sz w:val="22"/>
          <w:szCs w:val="22"/>
          <w:lang w:val="en-US"/>
        </w:rPr>
        <w:t>W. (1922):</w:t>
      </w:r>
      <w:r w:rsidRPr="00F675AD">
        <w:rPr>
          <w:spacing w:val="-2"/>
          <w:sz w:val="22"/>
          <w:szCs w:val="22"/>
          <w:lang w:val="en-US"/>
        </w:rPr>
        <w:t xml:space="preserve"> </w:t>
      </w:r>
      <w:r w:rsidRPr="00F675AD">
        <w:rPr>
          <w:sz w:val="22"/>
          <w:szCs w:val="22"/>
          <w:lang w:val="en-US"/>
        </w:rPr>
        <w:t>Stereotypes,</w:t>
      </w:r>
      <w:r w:rsidRPr="00F675AD">
        <w:rPr>
          <w:spacing w:val="-5"/>
          <w:sz w:val="22"/>
          <w:szCs w:val="22"/>
          <w:lang w:val="en-US"/>
        </w:rPr>
        <w:t xml:space="preserve"> </w:t>
      </w:r>
      <w:r w:rsidRPr="00F675AD">
        <w:rPr>
          <w:sz w:val="22"/>
          <w:szCs w:val="22"/>
          <w:lang w:val="en-US"/>
        </w:rPr>
        <w:t>in:</w:t>
      </w:r>
      <w:r w:rsidRPr="00F675AD">
        <w:rPr>
          <w:spacing w:val="-2"/>
          <w:sz w:val="22"/>
          <w:szCs w:val="22"/>
          <w:lang w:val="en-US"/>
        </w:rPr>
        <w:t xml:space="preserve"> </w:t>
      </w:r>
      <w:r w:rsidRPr="00F675AD">
        <w:rPr>
          <w:sz w:val="22"/>
          <w:szCs w:val="22"/>
          <w:lang w:val="en-US"/>
        </w:rPr>
        <w:t>Public</w:t>
      </w:r>
      <w:r w:rsidRPr="00F675AD">
        <w:rPr>
          <w:spacing w:val="-2"/>
          <w:sz w:val="22"/>
          <w:szCs w:val="22"/>
          <w:lang w:val="en-US"/>
        </w:rPr>
        <w:t xml:space="preserve"> </w:t>
      </w:r>
      <w:r w:rsidRPr="00F675AD">
        <w:rPr>
          <w:sz w:val="22"/>
          <w:szCs w:val="22"/>
          <w:lang w:val="en-US"/>
        </w:rPr>
        <w:t>Opinion,</w:t>
      </w:r>
      <w:r w:rsidRPr="00F675AD">
        <w:rPr>
          <w:spacing w:val="-5"/>
          <w:sz w:val="22"/>
          <w:szCs w:val="22"/>
          <w:lang w:val="en-US"/>
        </w:rPr>
        <w:t xml:space="preserve"> </w:t>
      </w:r>
      <w:r w:rsidRPr="00F675AD">
        <w:rPr>
          <w:sz w:val="22"/>
          <w:szCs w:val="22"/>
          <w:lang w:val="en-US"/>
        </w:rPr>
        <w:t>79-94,</w:t>
      </w:r>
      <w:r w:rsidRPr="00F675AD">
        <w:rPr>
          <w:spacing w:val="-5"/>
          <w:sz w:val="22"/>
          <w:szCs w:val="22"/>
          <w:lang w:val="en-US"/>
        </w:rPr>
        <w:t xml:space="preserve"> </w:t>
      </w:r>
      <w:r w:rsidRPr="00F675AD">
        <w:rPr>
          <w:sz w:val="22"/>
          <w:szCs w:val="22"/>
          <w:lang w:val="en-US"/>
        </w:rPr>
        <w:t>New</w:t>
      </w:r>
      <w:r w:rsidRPr="00F675AD">
        <w:rPr>
          <w:spacing w:val="-4"/>
          <w:sz w:val="22"/>
          <w:szCs w:val="22"/>
          <w:lang w:val="en-US"/>
        </w:rPr>
        <w:t xml:space="preserve"> </w:t>
      </w:r>
      <w:r w:rsidRPr="00F675AD">
        <w:rPr>
          <w:sz w:val="22"/>
          <w:szCs w:val="22"/>
          <w:lang w:val="en-US"/>
        </w:rPr>
        <w:t>York/NY:</w:t>
      </w:r>
      <w:r w:rsidRPr="00F675AD">
        <w:rPr>
          <w:spacing w:val="40"/>
          <w:sz w:val="22"/>
          <w:szCs w:val="22"/>
          <w:lang w:val="en-US"/>
        </w:rPr>
        <w:t xml:space="preserve"> </w:t>
      </w:r>
      <w:r w:rsidRPr="00F675AD">
        <w:rPr>
          <w:sz w:val="22"/>
          <w:szCs w:val="22"/>
          <w:lang w:val="en-US"/>
        </w:rPr>
        <w:t>MacMillan.</w:t>
      </w:r>
      <w:r w:rsidRPr="00F675AD">
        <w:rPr>
          <w:spacing w:val="80"/>
          <w:sz w:val="22"/>
          <w:szCs w:val="22"/>
          <w:lang w:val="en-US"/>
        </w:rPr>
        <w:t xml:space="preserve"> </w:t>
      </w:r>
      <w:r w:rsidRPr="00F675AD">
        <w:rPr>
          <w:sz w:val="22"/>
          <w:szCs w:val="22"/>
          <w:lang w:val="en-US"/>
        </w:rPr>
        <w:t>Tajfel, H. (2001): Social Stereotypes and Social Groups,</w:t>
      </w:r>
      <w:r w:rsidRPr="00F675AD">
        <w:rPr>
          <w:spacing w:val="-1"/>
          <w:sz w:val="22"/>
          <w:szCs w:val="22"/>
          <w:lang w:val="en-US"/>
        </w:rPr>
        <w:t xml:space="preserve"> </w:t>
      </w:r>
      <w:r w:rsidRPr="00F675AD">
        <w:rPr>
          <w:sz w:val="22"/>
          <w:szCs w:val="22"/>
          <w:lang w:val="en-US"/>
        </w:rPr>
        <w:t>in: Hogg,</w:t>
      </w:r>
      <w:r w:rsidRPr="00F675AD">
        <w:rPr>
          <w:spacing w:val="-1"/>
          <w:sz w:val="22"/>
          <w:szCs w:val="22"/>
          <w:lang w:val="en-US"/>
        </w:rPr>
        <w:t xml:space="preserve"> </w:t>
      </w:r>
      <w:r w:rsidRPr="00F675AD">
        <w:rPr>
          <w:sz w:val="22"/>
          <w:szCs w:val="22"/>
          <w:lang w:val="en-US"/>
        </w:rPr>
        <w:t>M.A.;</w:t>
      </w:r>
      <w:r w:rsidRPr="00F675AD">
        <w:rPr>
          <w:spacing w:val="40"/>
          <w:sz w:val="22"/>
          <w:szCs w:val="22"/>
          <w:lang w:val="en-US"/>
        </w:rPr>
        <w:t xml:space="preserve"> </w:t>
      </w:r>
      <w:r w:rsidRPr="00F675AD">
        <w:rPr>
          <w:sz w:val="22"/>
          <w:szCs w:val="22"/>
          <w:lang w:val="en-US"/>
        </w:rPr>
        <w:t>Abrams,</w:t>
      </w:r>
      <w:r w:rsidRPr="00F675AD">
        <w:rPr>
          <w:spacing w:val="-1"/>
          <w:sz w:val="22"/>
          <w:szCs w:val="22"/>
          <w:lang w:val="en-US"/>
        </w:rPr>
        <w:t xml:space="preserve"> </w:t>
      </w:r>
      <w:r w:rsidRPr="00F675AD">
        <w:rPr>
          <w:sz w:val="22"/>
          <w:szCs w:val="22"/>
          <w:lang w:val="en-US"/>
        </w:rPr>
        <w:t>D. (Eds.),</w:t>
      </w:r>
      <w:r w:rsidRPr="00F675AD">
        <w:rPr>
          <w:spacing w:val="-3"/>
          <w:sz w:val="22"/>
          <w:szCs w:val="22"/>
          <w:lang w:val="en-US"/>
        </w:rPr>
        <w:t xml:space="preserve"> </w:t>
      </w:r>
      <w:r w:rsidRPr="00F675AD">
        <w:rPr>
          <w:sz w:val="22"/>
          <w:szCs w:val="22"/>
          <w:lang w:val="en-US"/>
        </w:rPr>
        <w:t>Key Readings</w:t>
      </w:r>
      <w:r w:rsidRPr="00F675AD">
        <w:rPr>
          <w:spacing w:val="-1"/>
          <w:sz w:val="22"/>
          <w:szCs w:val="22"/>
          <w:lang w:val="en-US"/>
        </w:rPr>
        <w:t xml:space="preserve"> </w:t>
      </w:r>
      <w:r w:rsidRPr="00F675AD">
        <w:rPr>
          <w:sz w:val="22"/>
          <w:szCs w:val="22"/>
          <w:lang w:val="en-US"/>
        </w:rPr>
        <w:t xml:space="preserve">in Social Psychology. </w:t>
      </w:r>
      <w:r w:rsidRPr="00F675AD">
        <w:rPr>
          <w:sz w:val="22"/>
          <w:szCs w:val="22"/>
        </w:rPr>
        <w:t>Intergroup Relations, Essential</w:t>
      </w:r>
      <w:r w:rsidRPr="00F675AD">
        <w:rPr>
          <w:spacing w:val="40"/>
          <w:sz w:val="22"/>
          <w:szCs w:val="22"/>
        </w:rPr>
        <w:t xml:space="preserve"> </w:t>
      </w:r>
      <w:r w:rsidRPr="00F675AD">
        <w:rPr>
          <w:sz w:val="22"/>
          <w:szCs w:val="22"/>
        </w:rPr>
        <w:t>Readings, 132–145, New York: Psychology Press.</w:t>
      </w:r>
    </w:p>
    <w:p w14:paraId="0CB07709" w14:textId="77777777" w:rsidR="0069244A" w:rsidRPr="00FD7D42" w:rsidRDefault="0069244A" w:rsidP="0069244A">
      <w:pPr>
        <w:keepNext/>
        <w:keepLines/>
        <w:spacing w:before="240"/>
        <w:jc w:val="both"/>
        <w:outlineLvl w:val="1"/>
        <w:rPr>
          <w:b/>
          <w:color w:val="2E74B5"/>
        </w:rPr>
      </w:pPr>
      <w:r w:rsidRPr="00C139BC">
        <w:rPr>
          <w:b/>
          <w:bCs/>
          <w:color w:val="2E74B5"/>
          <w:sz w:val="24"/>
        </w:rPr>
        <w:t>Subkulturen-Marketing</w:t>
      </w:r>
      <w:r w:rsidRPr="00FD7D42">
        <w:rPr>
          <w:b/>
          <w:color w:val="2E74B5"/>
        </w:rPr>
        <w:t xml:space="preserve"> </w:t>
      </w:r>
      <w:r w:rsidRPr="007F69DA">
        <w:rPr>
          <w:szCs w:val="24"/>
        </w:rPr>
        <w:sym w:font="Symbol" w:char="F0AE"/>
      </w:r>
      <w:r w:rsidRPr="00FC6E20">
        <w:rPr>
          <w:szCs w:val="24"/>
        </w:rPr>
        <w:t xml:space="preserve"> Marketing, kultursenibles</w:t>
      </w:r>
    </w:p>
    <w:p w14:paraId="68D347AB" w14:textId="77777777" w:rsidR="0069244A" w:rsidRPr="007F69DA" w:rsidRDefault="0069244A" w:rsidP="0069244A">
      <w:pPr>
        <w:rPr>
          <w:bCs/>
          <w:noProof/>
          <w:szCs w:val="24"/>
          <w:lang w:val="en-US"/>
        </w:rPr>
      </w:pPr>
    </w:p>
    <w:p w14:paraId="6F9D1FAA" w14:textId="77777777" w:rsidR="00FF7799" w:rsidRPr="00C139BC" w:rsidRDefault="00FF7799" w:rsidP="002438F4">
      <w:pPr>
        <w:pStyle w:val="berschrift1"/>
        <w:rPr>
          <w:color w:val="2E74B5"/>
        </w:rPr>
      </w:pPr>
      <w:r w:rsidRPr="00C139BC">
        <w:rPr>
          <w:color w:val="2E74B5"/>
        </w:rPr>
        <w:t>Supranational</w:t>
      </w:r>
    </w:p>
    <w:p w14:paraId="79D4BFBB" w14:textId="77777777" w:rsidR="00FF7799" w:rsidRPr="00F675AD" w:rsidRDefault="00FF7799" w:rsidP="00EB5484">
      <w:pPr>
        <w:pStyle w:val="StandardText"/>
      </w:pPr>
      <w:r w:rsidRPr="00F675AD">
        <w:t>überstaatlich, d.h. zwischen staatlichem Recht und Völkerrecht agierend (bspw. die Europäischen Union)</w:t>
      </w:r>
    </w:p>
    <w:p w14:paraId="71CC5640" w14:textId="77777777" w:rsidR="00FF7799" w:rsidRPr="00C139BC" w:rsidRDefault="00FF7799" w:rsidP="002438F4">
      <w:pPr>
        <w:pStyle w:val="berschrift1"/>
        <w:rPr>
          <w:color w:val="2E74B5"/>
        </w:rPr>
      </w:pPr>
      <w:r w:rsidRPr="00C139BC">
        <w:rPr>
          <w:color w:val="2E74B5"/>
        </w:rPr>
        <w:t>Symbol</w:t>
      </w:r>
    </w:p>
    <w:p w14:paraId="4715D60D" w14:textId="77777777" w:rsidR="00FF7799" w:rsidRPr="00E73F6F" w:rsidRDefault="00FF7799" w:rsidP="00EB5484">
      <w:pPr>
        <w:pStyle w:val="StandardText"/>
      </w:pPr>
      <w:r w:rsidRPr="00E73F6F">
        <w:t>optisches, akustisches oder einen anderen Sinn ansprechendes Zeichen mit Bedeutungsüberschuss, d.h. einer weit über die „Oberflächenbedeutung“ des Zeichens hinausgehende</w:t>
      </w:r>
      <w:r w:rsidRPr="00E73F6F">
        <w:rPr>
          <w:spacing w:val="-2"/>
        </w:rPr>
        <w:t xml:space="preserve"> </w:t>
      </w:r>
      <w:r w:rsidRPr="00E73F6F">
        <w:t>tiefere Bedeutung</w:t>
      </w:r>
      <w:r w:rsidRPr="00E73F6F">
        <w:rPr>
          <w:spacing w:val="-1"/>
        </w:rPr>
        <w:t xml:space="preserve"> </w:t>
      </w:r>
      <w:r w:rsidRPr="00E73F6F">
        <w:t>(vgl.</w:t>
      </w:r>
      <w:r w:rsidRPr="00E73F6F">
        <w:rPr>
          <w:spacing w:val="-1"/>
        </w:rPr>
        <w:t xml:space="preserve"> </w:t>
      </w:r>
      <w:r w:rsidRPr="00E73F6F">
        <w:t>Müller/Gelbrich 2014,</w:t>
      </w:r>
      <w:r w:rsidRPr="00E73F6F">
        <w:rPr>
          <w:spacing w:val="-1"/>
        </w:rPr>
        <w:t xml:space="preserve"> </w:t>
      </w:r>
      <w:r w:rsidRPr="00E73F6F">
        <w:t>S.191ff.). Die „heilige Zahl Fünf“ bspw. ist ein typisches Beispiel der in vielen Kulturen verankerten Zahlensymbolik.</w:t>
      </w:r>
    </w:p>
    <w:p w14:paraId="2BC193DB" w14:textId="77777777" w:rsidR="00FF7799" w:rsidRPr="00E73F6F" w:rsidRDefault="00FF7799" w:rsidP="000B3A5C">
      <w:pPr>
        <w:pStyle w:val="StandardText"/>
      </w:pPr>
    </w:p>
    <w:p w14:paraId="3C51F7F3" w14:textId="77777777" w:rsidR="00FF7799" w:rsidRPr="00C139BC" w:rsidRDefault="00FF7799" w:rsidP="00EB5484">
      <w:pPr>
        <w:pStyle w:val="StandardTextkursiv"/>
        <w:rPr>
          <w:iCs/>
        </w:rPr>
      </w:pPr>
      <w:r w:rsidRPr="00C139BC">
        <w:rPr>
          <w:iCs/>
        </w:rPr>
        <w:t>Altbabylon</w:t>
      </w:r>
    </w:p>
    <w:p w14:paraId="2FA1F261" w14:textId="77777777" w:rsidR="00FF7799" w:rsidRPr="00E73F6F" w:rsidRDefault="00FF7799" w:rsidP="00C139BC">
      <w:pPr>
        <w:pStyle w:val="StandardTextAufzhlung"/>
        <w:ind w:left="567"/>
      </w:pPr>
      <w:r w:rsidRPr="00E73F6F">
        <w:t>Symbolzahl</w:t>
      </w:r>
      <w:r w:rsidRPr="00E73F6F">
        <w:rPr>
          <w:spacing w:val="-2"/>
        </w:rPr>
        <w:t xml:space="preserve"> </w:t>
      </w:r>
      <w:r w:rsidRPr="00E73F6F">
        <w:t>der</w:t>
      </w:r>
      <w:r w:rsidRPr="00E73F6F">
        <w:rPr>
          <w:spacing w:val="-2"/>
        </w:rPr>
        <w:t xml:space="preserve"> </w:t>
      </w:r>
      <w:r w:rsidRPr="00E73F6F">
        <w:t>Göttin</w:t>
      </w:r>
      <w:r w:rsidRPr="00E73F6F">
        <w:rPr>
          <w:spacing w:val="-1"/>
        </w:rPr>
        <w:t xml:space="preserve"> </w:t>
      </w:r>
      <w:r w:rsidRPr="00E73F6F">
        <w:rPr>
          <w:spacing w:val="-2"/>
        </w:rPr>
        <w:t>Ischtar</w:t>
      </w:r>
    </w:p>
    <w:p w14:paraId="72DC498E" w14:textId="77777777" w:rsidR="00FF7799" w:rsidRPr="00E73F6F" w:rsidRDefault="00FF7799" w:rsidP="00C139BC">
      <w:pPr>
        <w:pStyle w:val="StandardTextAufzhlung"/>
        <w:ind w:left="567"/>
      </w:pPr>
      <w:r w:rsidRPr="00E73F6F">
        <w:t>Gleichnis der fünf</w:t>
      </w:r>
      <w:r w:rsidRPr="00E73F6F">
        <w:rPr>
          <w:spacing w:val="-2"/>
        </w:rPr>
        <w:t xml:space="preserve"> </w:t>
      </w:r>
      <w:r w:rsidRPr="00E73F6F">
        <w:t>klugen</w:t>
      </w:r>
      <w:r w:rsidRPr="00E73F6F">
        <w:rPr>
          <w:spacing w:val="-1"/>
        </w:rPr>
        <w:t xml:space="preserve"> </w:t>
      </w:r>
      <w:r w:rsidRPr="00E73F6F">
        <w:t>und</w:t>
      </w:r>
      <w:r w:rsidRPr="00E73F6F">
        <w:rPr>
          <w:spacing w:val="-1"/>
        </w:rPr>
        <w:t xml:space="preserve"> </w:t>
      </w:r>
      <w:r w:rsidRPr="00E73F6F">
        <w:t>der</w:t>
      </w:r>
      <w:r w:rsidRPr="00E73F6F">
        <w:rPr>
          <w:spacing w:val="-2"/>
        </w:rPr>
        <w:t xml:space="preserve"> </w:t>
      </w:r>
      <w:r w:rsidRPr="00E73F6F">
        <w:t>fünf</w:t>
      </w:r>
      <w:r w:rsidRPr="00E73F6F">
        <w:rPr>
          <w:spacing w:val="-2"/>
        </w:rPr>
        <w:t xml:space="preserve"> </w:t>
      </w:r>
      <w:r w:rsidRPr="00E73F6F">
        <w:t>törichten</w:t>
      </w:r>
      <w:r w:rsidRPr="00E73F6F">
        <w:rPr>
          <w:spacing w:val="1"/>
        </w:rPr>
        <w:t xml:space="preserve"> </w:t>
      </w:r>
      <w:r w:rsidRPr="00E73F6F">
        <w:rPr>
          <w:spacing w:val="-2"/>
        </w:rPr>
        <w:t>Jungfrauen</w:t>
      </w:r>
    </w:p>
    <w:p w14:paraId="07FEB005" w14:textId="77777777" w:rsidR="00FF7799" w:rsidRPr="00E73F6F" w:rsidRDefault="00FF7799" w:rsidP="00C139BC">
      <w:pPr>
        <w:pStyle w:val="StandardText"/>
        <w:ind w:left="567"/>
      </w:pPr>
    </w:p>
    <w:p w14:paraId="50B364CA" w14:textId="77777777" w:rsidR="00FF7799" w:rsidRPr="00C139BC" w:rsidRDefault="00FF7799" w:rsidP="00EB5484">
      <w:pPr>
        <w:pStyle w:val="StandardTextkursiv"/>
        <w:rPr>
          <w:iCs/>
        </w:rPr>
      </w:pPr>
      <w:r w:rsidRPr="00C139BC">
        <w:rPr>
          <w:iCs/>
        </w:rPr>
        <w:t>Mayas</w:t>
      </w:r>
    </w:p>
    <w:p w14:paraId="0D2E8356" w14:textId="77777777" w:rsidR="00FF7799" w:rsidRPr="00F675AD" w:rsidRDefault="00FF7799" w:rsidP="00C139BC">
      <w:pPr>
        <w:pStyle w:val="StandardTextAufzhlung"/>
        <w:ind w:left="567"/>
      </w:pPr>
      <w:r w:rsidRPr="00F675AD">
        <w:t>Fünf = Zentrum der vier Weltgegenden</w:t>
      </w:r>
    </w:p>
    <w:p w14:paraId="4C712793" w14:textId="77777777" w:rsidR="00FF7799" w:rsidRPr="00F675AD" w:rsidRDefault="00FF7799" w:rsidP="000B3A5C">
      <w:pPr>
        <w:pStyle w:val="StandardText"/>
      </w:pPr>
    </w:p>
    <w:p w14:paraId="2C08081F" w14:textId="77777777" w:rsidR="00FF7799" w:rsidRPr="00C139BC" w:rsidRDefault="00FF7799" w:rsidP="00EB5484">
      <w:pPr>
        <w:pStyle w:val="StandardTextkursiv"/>
        <w:rPr>
          <w:iCs/>
        </w:rPr>
      </w:pPr>
      <w:r w:rsidRPr="00C139BC">
        <w:rPr>
          <w:iCs/>
        </w:rPr>
        <w:t>Buddhismus</w:t>
      </w:r>
    </w:p>
    <w:p w14:paraId="4B2C5F4F" w14:textId="77777777" w:rsidR="00FF7799" w:rsidRPr="00F675AD" w:rsidRDefault="00FF7799" w:rsidP="00C139BC">
      <w:pPr>
        <w:pStyle w:val="StandardTextAufzhlung"/>
        <w:ind w:left="567"/>
      </w:pPr>
      <w:r w:rsidRPr="00F675AD">
        <w:t>Fünf-Elementenlehre (Erde, Wasser, Feuer, Luft, Leere)</w:t>
      </w:r>
    </w:p>
    <w:p w14:paraId="00512F92" w14:textId="77777777" w:rsidR="00FF7799" w:rsidRPr="00F675AD" w:rsidRDefault="00FF7799" w:rsidP="00C139BC">
      <w:pPr>
        <w:pStyle w:val="StandardText"/>
        <w:ind w:left="567"/>
      </w:pPr>
    </w:p>
    <w:p w14:paraId="459AADA9" w14:textId="77777777" w:rsidR="00FF7799" w:rsidRPr="00C139BC" w:rsidRDefault="00FF7799" w:rsidP="00EB5484">
      <w:pPr>
        <w:pStyle w:val="StandardTextkursiv"/>
        <w:rPr>
          <w:iCs/>
        </w:rPr>
      </w:pPr>
      <w:r w:rsidRPr="00C139BC">
        <w:rPr>
          <w:iCs/>
        </w:rPr>
        <w:t>Chinesische</w:t>
      </w:r>
      <w:r w:rsidRPr="00C139BC">
        <w:rPr>
          <w:iCs/>
          <w:spacing w:val="-3"/>
        </w:rPr>
        <w:t xml:space="preserve"> </w:t>
      </w:r>
      <w:r w:rsidRPr="00C139BC">
        <w:rPr>
          <w:iCs/>
        </w:rPr>
        <w:t>Geistes-</w:t>
      </w:r>
      <w:r w:rsidRPr="00C139BC">
        <w:rPr>
          <w:iCs/>
          <w:spacing w:val="-1"/>
        </w:rPr>
        <w:t xml:space="preserve"> </w:t>
      </w:r>
      <w:r w:rsidRPr="00C139BC">
        <w:rPr>
          <w:iCs/>
        </w:rPr>
        <w:t xml:space="preserve">und </w:t>
      </w:r>
      <w:r w:rsidRPr="00C139BC">
        <w:rPr>
          <w:iCs/>
          <w:spacing w:val="-2"/>
        </w:rPr>
        <w:t>Religionsgeschichte</w:t>
      </w:r>
    </w:p>
    <w:p w14:paraId="5A04FA05" w14:textId="77777777" w:rsidR="00FF7799" w:rsidRPr="00F675AD" w:rsidRDefault="00FF7799" w:rsidP="00C139BC">
      <w:pPr>
        <w:pStyle w:val="StandardTextAufzhlung"/>
        <w:ind w:left="709"/>
      </w:pPr>
      <w:r w:rsidRPr="00F675AD">
        <w:lastRenderedPageBreak/>
        <w:t>Fünf-Elementen-Lehre „Wuxing (= daoistische Naturtheorie). Demnach repräsentieren Holz, Feuer, Erde, Metall und Wasser die Einheit aller materiellen Dinge. In einem unendlichen Prozess gegenseitiger Hervorbringung und Überwindung bedingen sie in wechselnden Kombinationen alles Existierende.</w:t>
      </w:r>
    </w:p>
    <w:p w14:paraId="0BF880F0" w14:textId="77777777" w:rsidR="00FF7799" w:rsidRPr="00F675AD" w:rsidRDefault="00FF7799" w:rsidP="00C139BC">
      <w:pPr>
        <w:pStyle w:val="StandardText"/>
        <w:ind w:left="709"/>
      </w:pPr>
    </w:p>
    <w:p w14:paraId="577738F9" w14:textId="77777777" w:rsidR="00FF7799" w:rsidRPr="00C139BC" w:rsidRDefault="00FF7799" w:rsidP="00EB5484">
      <w:pPr>
        <w:pStyle w:val="StandardTextkursiv"/>
        <w:rPr>
          <w:iCs/>
        </w:rPr>
      </w:pPr>
      <w:r w:rsidRPr="00C139BC">
        <w:rPr>
          <w:iCs/>
        </w:rPr>
        <w:t>Konfuzianismus: Fünf Kardinaltugenden &amp; Pflichtverhältnisse</w:t>
      </w:r>
    </w:p>
    <w:p w14:paraId="13D194BB" w14:textId="77777777" w:rsidR="00FF7799" w:rsidRPr="00F675AD" w:rsidRDefault="00FF7799" w:rsidP="00C139BC">
      <w:pPr>
        <w:pStyle w:val="StandardTextAufzhlung"/>
        <w:ind w:left="709"/>
      </w:pPr>
      <w:r w:rsidRPr="00F675AD">
        <w:t>Liebe → Eltern &amp; Kind</w:t>
      </w:r>
      <w:r w:rsidR="0007144F" w:rsidRPr="00F675AD">
        <w:t xml:space="preserve"> </w:t>
      </w:r>
      <w:r w:rsidRPr="00F675AD">
        <w:t>(Als konfuzianische Kardinaltugend meint Liebe „pflichtgemäßes Verhalten in den zwischenmenschlichen Beziehungen)</w:t>
      </w:r>
    </w:p>
    <w:p w14:paraId="6A438F77" w14:textId="77777777" w:rsidR="00FF7799" w:rsidRPr="00F675AD" w:rsidRDefault="00FF7799" w:rsidP="00C139BC">
      <w:pPr>
        <w:pStyle w:val="StandardTextAufzhlung"/>
        <w:ind w:left="709"/>
      </w:pPr>
      <w:r w:rsidRPr="00F675AD">
        <w:t>Rechtschaffenheit → Herrscher &amp; Untertan</w:t>
      </w:r>
    </w:p>
    <w:p w14:paraId="3CE3B7A6" w14:textId="77777777" w:rsidR="00FF7799" w:rsidRPr="00F675AD" w:rsidRDefault="00FF7799" w:rsidP="00C139BC">
      <w:pPr>
        <w:pStyle w:val="StandardTextAufzhlung"/>
        <w:ind w:left="709"/>
      </w:pPr>
      <w:r w:rsidRPr="00F675AD">
        <w:t>Weisheit → Ältere &amp; jüngere Geschwister</w:t>
      </w:r>
    </w:p>
    <w:p w14:paraId="070938F8" w14:textId="77777777" w:rsidR="00FF7799" w:rsidRPr="00F675AD" w:rsidRDefault="00FF7799" w:rsidP="00C139BC">
      <w:pPr>
        <w:pStyle w:val="StandardTextAufzhlung"/>
        <w:ind w:left="709"/>
      </w:pPr>
      <w:r w:rsidRPr="00F675AD">
        <w:t>Sittlichkeit → Mann &amp; Frau</w:t>
      </w:r>
    </w:p>
    <w:p w14:paraId="07DB3785" w14:textId="77777777" w:rsidR="00FF7799" w:rsidRPr="00F675AD" w:rsidRDefault="00FF7799" w:rsidP="00C139BC">
      <w:pPr>
        <w:pStyle w:val="StandardTextAufzhlung"/>
        <w:ind w:left="709"/>
      </w:pPr>
      <w:r w:rsidRPr="00F675AD">
        <w:t>Aufrichtigkeit → Freund &amp; Freund</w:t>
      </w:r>
    </w:p>
    <w:p w14:paraId="7FEDB058" w14:textId="77777777" w:rsidR="00FF7799" w:rsidRPr="00F675AD" w:rsidRDefault="00FF7799" w:rsidP="00862DBA">
      <w:pPr>
        <w:rPr>
          <w:sz w:val="24"/>
          <w:szCs w:val="24"/>
        </w:rPr>
      </w:pPr>
    </w:p>
    <w:p w14:paraId="5C9327AA" w14:textId="77777777" w:rsidR="00FF7799" w:rsidRPr="00C139BC" w:rsidRDefault="00FF7799" w:rsidP="00EB5484">
      <w:pPr>
        <w:pStyle w:val="StandardTextkursiv"/>
        <w:rPr>
          <w:iCs/>
        </w:rPr>
      </w:pPr>
      <w:r w:rsidRPr="00C139BC">
        <w:rPr>
          <w:iCs/>
        </w:rPr>
        <w:t>Konfuzianismus: Fünf Sekundärtugenden</w:t>
      </w:r>
    </w:p>
    <w:p w14:paraId="14657CCD" w14:textId="77777777" w:rsidR="00FF7799" w:rsidRPr="00F675AD" w:rsidRDefault="00FF7799" w:rsidP="00C139BC">
      <w:pPr>
        <w:pStyle w:val="StandardTextAufzhlung"/>
        <w:ind w:left="709"/>
      </w:pPr>
      <w:r w:rsidRPr="00F675AD">
        <w:t>Disziplin &amp; Respekt vor Autorität</w:t>
      </w:r>
    </w:p>
    <w:p w14:paraId="1471885C" w14:textId="77777777" w:rsidR="00FF7799" w:rsidRPr="00F675AD" w:rsidRDefault="00FF7799" w:rsidP="00C139BC">
      <w:pPr>
        <w:pStyle w:val="StandardTextAufzhlung"/>
        <w:ind w:left="709"/>
      </w:pPr>
      <w:r w:rsidRPr="00F675AD">
        <w:t>Lernen &amp; Gelehrsamkeit</w:t>
      </w:r>
    </w:p>
    <w:p w14:paraId="6288FAA0" w14:textId="77777777" w:rsidR="00FF7799" w:rsidRPr="00F675AD" w:rsidRDefault="00FF7799" w:rsidP="00C139BC">
      <w:pPr>
        <w:pStyle w:val="StandardTextAufzhlung"/>
        <w:ind w:left="709"/>
      </w:pPr>
      <w:r w:rsidRPr="00F675AD">
        <w:t>Akzeptanz hierarchischer Unterschiede &amp; Akzeptanz des Senioritätsprinzips</w:t>
      </w:r>
    </w:p>
    <w:p w14:paraId="3C03B7B9" w14:textId="77777777" w:rsidR="00FF7799" w:rsidRPr="00F675AD" w:rsidRDefault="00FF7799" w:rsidP="00C139BC">
      <w:pPr>
        <w:pStyle w:val="StandardTextAufzhlung"/>
        <w:ind w:left="709"/>
      </w:pPr>
      <w:r w:rsidRPr="00F675AD">
        <w:t>Loyalität &amp; Bereitschaft zur Unterordnung</w:t>
      </w:r>
    </w:p>
    <w:p w14:paraId="75AC07C0" w14:textId="77777777" w:rsidR="00FF7799" w:rsidRPr="00F675AD" w:rsidRDefault="00FF7799" w:rsidP="00C139BC">
      <w:pPr>
        <w:pStyle w:val="StandardTextAufzhlung"/>
        <w:ind w:left="709"/>
      </w:pPr>
      <w:r w:rsidRPr="00F675AD">
        <w:t>Genügsamkeit, Sparsamkeit &amp; Fleiß, Strebsamkeit, Ausdauer</w:t>
      </w:r>
    </w:p>
    <w:p w14:paraId="63B23EE5" w14:textId="77777777" w:rsidR="00FF7799" w:rsidRPr="00F675AD" w:rsidRDefault="00FF7799" w:rsidP="00C139BC">
      <w:pPr>
        <w:spacing w:before="1"/>
        <w:ind w:left="709"/>
        <w:rPr>
          <w:sz w:val="24"/>
          <w:szCs w:val="24"/>
        </w:rPr>
      </w:pPr>
    </w:p>
    <w:p w14:paraId="4823B1A1" w14:textId="77777777" w:rsidR="00FF7799" w:rsidRPr="00C139BC" w:rsidRDefault="00FF7799" w:rsidP="00F64367">
      <w:pPr>
        <w:pStyle w:val="StandardTextkursiv"/>
        <w:rPr>
          <w:iCs/>
        </w:rPr>
      </w:pPr>
      <w:r w:rsidRPr="00C139BC">
        <w:rPr>
          <w:iCs/>
        </w:rPr>
        <w:t>Islam</w:t>
      </w:r>
    </w:p>
    <w:p w14:paraId="1C62508C" w14:textId="77777777" w:rsidR="00FF7799" w:rsidRPr="00F675AD" w:rsidRDefault="00FF7799" w:rsidP="00C139BC">
      <w:pPr>
        <w:pStyle w:val="StandardTextAufzhlung"/>
        <w:ind w:left="709"/>
      </w:pPr>
      <w:r w:rsidRPr="00F675AD">
        <w:t>Fünf Säulen des Islam Christentum</w:t>
      </w:r>
    </w:p>
    <w:p w14:paraId="02B8C349" w14:textId="77777777" w:rsidR="00FF7799" w:rsidRPr="00F675AD" w:rsidRDefault="00FF7799" w:rsidP="00C139BC">
      <w:pPr>
        <w:pStyle w:val="StandardTextAufzhlung"/>
        <w:ind w:left="709"/>
      </w:pPr>
      <w:r w:rsidRPr="00F675AD">
        <w:t>Fünf Wunden Christi</w:t>
      </w:r>
    </w:p>
    <w:p w14:paraId="05287262" w14:textId="77777777" w:rsidR="00FF7799" w:rsidRPr="00F675AD" w:rsidRDefault="00FF7799" w:rsidP="00C139BC">
      <w:pPr>
        <w:pStyle w:val="StandardTextAufzhlung"/>
        <w:ind w:left="709"/>
      </w:pPr>
      <w:r w:rsidRPr="00F675AD">
        <w:t>Fünf Bücher Moses</w:t>
      </w:r>
    </w:p>
    <w:p w14:paraId="7BB8C92E" w14:textId="77777777" w:rsidR="00FF7799" w:rsidRPr="00F675AD" w:rsidRDefault="00FF7799" w:rsidP="00EB5484">
      <w:pPr>
        <w:pStyle w:val="StandardText"/>
      </w:pPr>
      <w:r w:rsidRPr="00F675AD">
        <w:rPr>
          <w:b/>
          <w:i/>
        </w:rPr>
        <w:t>Literatur:</w:t>
      </w:r>
      <w:r w:rsidRPr="00F675AD">
        <w:rPr>
          <w:b/>
          <w:i/>
          <w:spacing w:val="39"/>
        </w:rPr>
        <w:t xml:space="preserve"> </w:t>
      </w:r>
      <w:r w:rsidRPr="00F675AD">
        <w:t>Müller,</w:t>
      </w:r>
      <w:r w:rsidRPr="00F675AD">
        <w:rPr>
          <w:spacing w:val="39"/>
        </w:rPr>
        <w:t xml:space="preserve"> </w:t>
      </w:r>
      <w:r w:rsidRPr="00F675AD">
        <w:t>S.;</w:t>
      </w:r>
      <w:r w:rsidRPr="00F675AD">
        <w:rPr>
          <w:spacing w:val="40"/>
        </w:rPr>
        <w:t xml:space="preserve"> </w:t>
      </w:r>
      <w:r w:rsidRPr="00F675AD">
        <w:t>Gelbrich,</w:t>
      </w:r>
      <w:r w:rsidRPr="00F675AD">
        <w:rPr>
          <w:spacing w:val="39"/>
        </w:rPr>
        <w:t xml:space="preserve"> </w:t>
      </w:r>
      <w:r w:rsidRPr="00F675AD">
        <w:t>K.</w:t>
      </w:r>
      <w:r w:rsidRPr="00F675AD">
        <w:rPr>
          <w:spacing w:val="40"/>
        </w:rPr>
        <w:t xml:space="preserve"> </w:t>
      </w:r>
      <w:r w:rsidRPr="00F675AD">
        <w:t>(2014):</w:t>
      </w:r>
      <w:r w:rsidRPr="00F675AD">
        <w:rPr>
          <w:spacing w:val="40"/>
        </w:rPr>
        <w:t xml:space="preserve"> </w:t>
      </w:r>
      <w:r w:rsidRPr="00F675AD">
        <w:t>Interkulturelle</w:t>
      </w:r>
      <w:r w:rsidRPr="00F675AD">
        <w:rPr>
          <w:spacing w:val="38"/>
        </w:rPr>
        <w:t xml:space="preserve"> </w:t>
      </w:r>
      <w:r w:rsidRPr="00F675AD">
        <w:t>Kommunikation,</w:t>
      </w:r>
      <w:r w:rsidRPr="00F675AD">
        <w:rPr>
          <w:spacing w:val="40"/>
        </w:rPr>
        <w:t xml:space="preserve"> </w:t>
      </w:r>
      <w:r w:rsidRPr="00F675AD">
        <w:t>München:</w:t>
      </w:r>
      <w:r w:rsidRPr="00F675AD">
        <w:rPr>
          <w:spacing w:val="40"/>
        </w:rPr>
        <w:t xml:space="preserve"> </w:t>
      </w:r>
      <w:r w:rsidRPr="00F675AD">
        <w:rPr>
          <w:spacing w:val="-2"/>
        </w:rPr>
        <w:t>Vahlen.</w:t>
      </w:r>
    </w:p>
    <w:p w14:paraId="7B0AE7A7" w14:textId="77777777" w:rsidR="00FF7799" w:rsidRPr="00F675AD" w:rsidRDefault="00FF7799" w:rsidP="00EB5484">
      <w:pPr>
        <w:pStyle w:val="StandardText"/>
      </w:pPr>
    </w:p>
    <w:p w14:paraId="6C65EF9F" w14:textId="77777777" w:rsidR="00FF7799" w:rsidRPr="00C139BC" w:rsidRDefault="00FF7799" w:rsidP="002438F4">
      <w:pPr>
        <w:pStyle w:val="berschrift1"/>
        <w:rPr>
          <w:color w:val="2E74B5"/>
        </w:rPr>
      </w:pPr>
      <w:r w:rsidRPr="00C139BC">
        <w:rPr>
          <w:color w:val="2E74B5"/>
        </w:rPr>
        <w:t>Taoismus</w:t>
      </w:r>
    </w:p>
    <w:p w14:paraId="1DA68DA4" w14:textId="77777777" w:rsidR="00FF7799" w:rsidRPr="00F675AD" w:rsidRDefault="00FF7799" w:rsidP="000B3A5C">
      <w:pPr>
        <w:pStyle w:val="StandardTextkursiv"/>
        <w:rPr>
          <w:i w:val="0"/>
        </w:rPr>
      </w:pPr>
      <w:r w:rsidRPr="00F675AD">
        <w:rPr>
          <w:i w:val="0"/>
        </w:rPr>
        <w:t>1 Geschichte</w:t>
      </w:r>
    </w:p>
    <w:p w14:paraId="19948F31" w14:textId="77777777" w:rsidR="00FF7799" w:rsidRPr="00E73F6F" w:rsidRDefault="00FF7799" w:rsidP="000B3A5C">
      <w:pPr>
        <w:pStyle w:val="StandardText"/>
      </w:pPr>
      <w:r w:rsidRPr="00F675AD">
        <w:t>Tao</w:t>
      </w:r>
      <w:r w:rsidRPr="00F675AD">
        <w:rPr>
          <w:spacing w:val="-9"/>
        </w:rPr>
        <w:t xml:space="preserve"> </w:t>
      </w:r>
      <w:r w:rsidRPr="00F675AD">
        <w:t>ist</w:t>
      </w:r>
      <w:r w:rsidRPr="00F675AD">
        <w:rPr>
          <w:spacing w:val="-9"/>
        </w:rPr>
        <w:t xml:space="preserve"> </w:t>
      </w:r>
      <w:r w:rsidRPr="00F675AD">
        <w:t>„der</w:t>
      </w:r>
      <w:r w:rsidRPr="00F675AD">
        <w:rPr>
          <w:spacing w:val="-9"/>
        </w:rPr>
        <w:t xml:space="preserve"> </w:t>
      </w:r>
      <w:r w:rsidRPr="00F675AD">
        <w:t>Weg“.</w:t>
      </w:r>
      <w:r w:rsidRPr="00F675AD">
        <w:rPr>
          <w:spacing w:val="-9"/>
        </w:rPr>
        <w:t xml:space="preserve"> </w:t>
      </w:r>
      <w:r w:rsidRPr="00F675AD">
        <w:t>Im</w:t>
      </w:r>
      <w:r w:rsidRPr="00F675AD">
        <w:rPr>
          <w:spacing w:val="-10"/>
        </w:rPr>
        <w:t xml:space="preserve"> </w:t>
      </w:r>
      <w:r w:rsidRPr="00F675AD">
        <w:t>westlichen</w:t>
      </w:r>
      <w:r w:rsidRPr="00F675AD">
        <w:rPr>
          <w:spacing w:val="-7"/>
        </w:rPr>
        <w:t xml:space="preserve"> </w:t>
      </w:r>
      <w:r w:rsidRPr="00F675AD">
        <w:t>Kulturkreis</w:t>
      </w:r>
      <w:r w:rsidRPr="00F675AD">
        <w:rPr>
          <w:spacing w:val="-9"/>
        </w:rPr>
        <w:t xml:space="preserve"> </w:t>
      </w:r>
      <w:r w:rsidRPr="00F675AD">
        <w:t>wird</w:t>
      </w:r>
      <w:r w:rsidRPr="00F675AD">
        <w:rPr>
          <w:spacing w:val="-9"/>
        </w:rPr>
        <w:t xml:space="preserve"> </w:t>
      </w:r>
      <w:r w:rsidRPr="00F675AD">
        <w:t>mit</w:t>
      </w:r>
      <w:r w:rsidRPr="00F675AD">
        <w:rPr>
          <w:spacing w:val="-9"/>
        </w:rPr>
        <w:t xml:space="preserve"> </w:t>
      </w:r>
      <w:r w:rsidRPr="00F675AD">
        <w:t>Taoismus</w:t>
      </w:r>
      <w:r w:rsidRPr="00F675AD">
        <w:rPr>
          <w:spacing w:val="-10"/>
        </w:rPr>
        <w:t xml:space="preserve"> </w:t>
      </w:r>
      <w:r w:rsidRPr="00F675AD">
        <w:t>(bzw.</w:t>
      </w:r>
      <w:r w:rsidRPr="00F675AD">
        <w:rPr>
          <w:spacing w:val="-9"/>
        </w:rPr>
        <w:t xml:space="preserve"> </w:t>
      </w:r>
      <w:r w:rsidRPr="00F675AD">
        <w:t>Daoismus) eine philosophische ('tao-chia') und eine religiöse ('tao-chiao'). Tradition bezeichnet.</w:t>
      </w:r>
      <w:r w:rsidRPr="00F675AD">
        <w:rPr>
          <w:spacing w:val="-6"/>
        </w:rPr>
        <w:t xml:space="preserve"> </w:t>
      </w:r>
      <w:r w:rsidRPr="00F675AD">
        <w:t>Beide</w:t>
      </w:r>
      <w:r w:rsidRPr="00F675AD">
        <w:rPr>
          <w:spacing w:val="-7"/>
        </w:rPr>
        <w:t xml:space="preserve"> </w:t>
      </w:r>
      <w:r w:rsidRPr="00F675AD">
        <w:t>befolgen</w:t>
      </w:r>
      <w:r w:rsidRPr="00F675AD">
        <w:rPr>
          <w:spacing w:val="-6"/>
        </w:rPr>
        <w:t xml:space="preserve"> </w:t>
      </w:r>
      <w:r w:rsidRPr="00F675AD">
        <w:t>die</w:t>
      </w:r>
      <w:r w:rsidRPr="00F675AD">
        <w:rPr>
          <w:spacing w:val="-7"/>
        </w:rPr>
        <w:t xml:space="preserve"> </w:t>
      </w:r>
      <w:r w:rsidRPr="00F675AD">
        <w:t>Lehren</w:t>
      </w:r>
      <w:r w:rsidRPr="00F675AD">
        <w:rPr>
          <w:spacing w:val="-6"/>
        </w:rPr>
        <w:t xml:space="preserve"> </w:t>
      </w:r>
      <w:r w:rsidRPr="00F675AD">
        <w:t>von</w:t>
      </w:r>
      <w:r w:rsidRPr="00F675AD">
        <w:rPr>
          <w:spacing w:val="-3"/>
        </w:rPr>
        <w:t xml:space="preserve"> </w:t>
      </w:r>
      <w:r w:rsidRPr="00F675AD">
        <w:t>Laotse</w:t>
      </w:r>
      <w:r w:rsidRPr="00F675AD">
        <w:rPr>
          <w:spacing w:val="-7"/>
        </w:rPr>
        <w:t xml:space="preserve"> </w:t>
      </w:r>
      <w:r w:rsidRPr="00F675AD">
        <w:t>(lao-tzu),</w:t>
      </w:r>
      <w:r w:rsidRPr="00F675AD">
        <w:rPr>
          <w:spacing w:val="-9"/>
        </w:rPr>
        <w:t xml:space="preserve"> </w:t>
      </w:r>
      <w:r w:rsidRPr="00F675AD">
        <w:t>die</w:t>
      </w:r>
      <w:r w:rsidRPr="00F675AD">
        <w:rPr>
          <w:spacing w:val="-7"/>
        </w:rPr>
        <w:t xml:space="preserve"> </w:t>
      </w:r>
      <w:r w:rsidRPr="00F675AD">
        <w:t>in</w:t>
      </w:r>
      <w:r w:rsidRPr="00F675AD">
        <w:rPr>
          <w:spacing w:val="-5"/>
        </w:rPr>
        <w:t xml:space="preserve"> </w:t>
      </w:r>
      <w:r w:rsidRPr="00F675AD">
        <w:t>der</w:t>
      </w:r>
      <w:r w:rsidRPr="00F675AD">
        <w:rPr>
          <w:spacing w:val="-7"/>
        </w:rPr>
        <w:t xml:space="preserve"> </w:t>
      </w:r>
      <w:r w:rsidRPr="00F675AD">
        <w:t>Schrift</w:t>
      </w:r>
      <w:r w:rsidRPr="00F675AD">
        <w:rPr>
          <w:spacing w:val="-6"/>
        </w:rPr>
        <w:t xml:space="preserve"> </w:t>
      </w:r>
      <w:r w:rsidRPr="00F675AD">
        <w:t>'tao- te ching' niedergelegt sind (vgl. Seiwert 1995, S.1224f.). Zusammen mit dem Buddhismus und dem Konfuzianismus hat der Taoismus in Gestalt der „Drei Lehren“</w:t>
      </w:r>
      <w:r w:rsidRPr="00F675AD">
        <w:rPr>
          <w:spacing w:val="-4"/>
        </w:rPr>
        <w:t xml:space="preserve"> </w:t>
      </w:r>
      <w:r w:rsidRPr="00F675AD">
        <w:t>bzw.</w:t>
      </w:r>
      <w:r w:rsidRPr="00F675AD">
        <w:rPr>
          <w:spacing w:val="-3"/>
        </w:rPr>
        <w:t xml:space="preserve"> </w:t>
      </w:r>
      <w:r w:rsidRPr="00F675AD">
        <w:t>„Drei</w:t>
      </w:r>
      <w:r w:rsidRPr="00F675AD">
        <w:rPr>
          <w:spacing w:val="-3"/>
        </w:rPr>
        <w:t xml:space="preserve"> </w:t>
      </w:r>
      <w:r w:rsidRPr="00F675AD">
        <w:t>Denkweisen“</w:t>
      </w:r>
      <w:r w:rsidRPr="00F675AD">
        <w:rPr>
          <w:spacing w:val="-4"/>
        </w:rPr>
        <w:t xml:space="preserve"> </w:t>
      </w:r>
      <w:r w:rsidRPr="00F675AD">
        <w:t>das</w:t>
      </w:r>
      <w:r w:rsidRPr="00F675AD">
        <w:rPr>
          <w:spacing w:val="-4"/>
        </w:rPr>
        <w:t xml:space="preserve"> </w:t>
      </w:r>
      <w:r w:rsidRPr="00F675AD">
        <w:t>soziale,</w:t>
      </w:r>
      <w:r w:rsidRPr="00F675AD">
        <w:rPr>
          <w:spacing w:val="-3"/>
        </w:rPr>
        <w:t xml:space="preserve"> </w:t>
      </w:r>
      <w:r w:rsidRPr="00F675AD">
        <w:t>spirituelle</w:t>
      </w:r>
      <w:r w:rsidRPr="00F675AD">
        <w:rPr>
          <w:spacing w:val="-4"/>
        </w:rPr>
        <w:t xml:space="preserve"> </w:t>
      </w:r>
      <w:r w:rsidRPr="00F675AD">
        <w:t>und</w:t>
      </w:r>
      <w:r w:rsidRPr="00F675AD">
        <w:rPr>
          <w:spacing w:val="-2"/>
        </w:rPr>
        <w:t xml:space="preserve"> </w:t>
      </w:r>
      <w:r w:rsidRPr="00F675AD">
        <w:t>ökonomische</w:t>
      </w:r>
      <w:r w:rsidRPr="00E73F6F">
        <w:rPr>
          <w:spacing w:val="-4"/>
        </w:rPr>
        <w:t xml:space="preserve"> </w:t>
      </w:r>
      <w:r w:rsidRPr="00E73F6F">
        <w:t>Leben in China maßgeblich beeinflusst. Zentral für die von kosmologischen Vorstellungen geprägte Lehre ist das Streben nach Unsterblichkeit (bspw. durch das Gleichgewicht von Yin &amp; Yan, die Energie Qi, Meditation, Atem- und Körpertechniken oder Feng Shui).</w:t>
      </w:r>
    </w:p>
    <w:p w14:paraId="734610A2" w14:textId="77777777" w:rsidR="00FF7799" w:rsidRPr="00E73F6F" w:rsidRDefault="00FF7799" w:rsidP="000B3A5C">
      <w:pPr>
        <w:pStyle w:val="StandardText"/>
      </w:pPr>
    </w:p>
    <w:p w14:paraId="61F8FBC7" w14:textId="77777777" w:rsidR="00FF7799" w:rsidRPr="00F675AD" w:rsidRDefault="00FF7799" w:rsidP="000B3A5C">
      <w:pPr>
        <w:pStyle w:val="StandardTextkursiv"/>
        <w:rPr>
          <w:i w:val="0"/>
        </w:rPr>
      </w:pPr>
      <w:r w:rsidRPr="00F675AD">
        <w:rPr>
          <w:i w:val="0"/>
        </w:rPr>
        <w:t>2 Lehrsatz</w:t>
      </w:r>
      <w:r w:rsidRPr="00F675AD">
        <w:rPr>
          <w:i w:val="0"/>
          <w:spacing w:val="-2"/>
        </w:rPr>
        <w:t xml:space="preserve"> </w:t>
      </w:r>
      <w:r w:rsidRPr="00F675AD">
        <w:rPr>
          <w:i w:val="0"/>
        </w:rPr>
        <w:t>&amp;</w:t>
      </w:r>
      <w:r w:rsidRPr="00F675AD">
        <w:rPr>
          <w:i w:val="0"/>
          <w:spacing w:val="-1"/>
        </w:rPr>
        <w:t xml:space="preserve"> </w:t>
      </w:r>
      <w:r w:rsidRPr="00F675AD">
        <w:rPr>
          <w:i w:val="0"/>
          <w:spacing w:val="-2"/>
        </w:rPr>
        <w:t>Symbol</w:t>
      </w:r>
    </w:p>
    <w:p w14:paraId="27DFF4E9" w14:textId="77777777" w:rsidR="00FF7799" w:rsidRPr="00E73F6F" w:rsidRDefault="00FF7799" w:rsidP="000B3A5C">
      <w:pPr>
        <w:pStyle w:val="StandardText"/>
      </w:pPr>
      <w:r w:rsidRPr="00E73F6F">
        <w:t xml:space="preserve">Im philosophisch-weltlichen Sinn wird 'tao' als Gesetz bzw. naturgesetzlicher Ablauf bzw. als etablierte Methode (z.B. von Handwerkern) bezeichnet. Die philosophisch-religiöse Bedeutung ist wesentlich weiter gefasst und meint den Urgrund der Welt, der hinter allen realen Erscheinungen steht und diese bewirkt. Der Mensch soll dieses Prinzip möglichst wenig durch bewusstes Handeln und Streben stören, sondern mystisch-intuitiv in Einklang mit diesem Weltprinzip </w:t>
      </w:r>
      <w:r w:rsidRPr="00E73F6F">
        <w:lastRenderedPageBreak/>
        <w:t>leben. Häufig wird der davon abgeleitete Grundsatz des 'wei wu wei' als Nichthandeln</w:t>
      </w:r>
      <w:r w:rsidRPr="00E73F6F">
        <w:rPr>
          <w:spacing w:val="-12"/>
        </w:rPr>
        <w:t xml:space="preserve"> </w:t>
      </w:r>
      <w:r w:rsidRPr="00E73F6F">
        <w:t>fehl</w:t>
      </w:r>
      <w:r w:rsidRPr="00E73F6F">
        <w:rPr>
          <w:spacing w:val="-11"/>
        </w:rPr>
        <w:t xml:space="preserve"> </w:t>
      </w:r>
      <w:r w:rsidRPr="00E73F6F">
        <w:t>gedeutet.</w:t>
      </w:r>
      <w:r w:rsidRPr="00E73F6F">
        <w:rPr>
          <w:spacing w:val="-11"/>
        </w:rPr>
        <w:t xml:space="preserve"> </w:t>
      </w:r>
      <w:r w:rsidRPr="00E73F6F">
        <w:t>Gemeint</w:t>
      </w:r>
      <w:r w:rsidRPr="00E73F6F">
        <w:rPr>
          <w:spacing w:val="-11"/>
        </w:rPr>
        <w:t xml:space="preserve"> </w:t>
      </w:r>
      <w:r w:rsidRPr="00E73F6F">
        <w:t>aber</w:t>
      </w:r>
      <w:r w:rsidRPr="00E73F6F">
        <w:rPr>
          <w:spacing w:val="-12"/>
        </w:rPr>
        <w:t xml:space="preserve"> </w:t>
      </w:r>
      <w:r w:rsidRPr="00E73F6F">
        <w:t>ist,</w:t>
      </w:r>
      <w:r w:rsidRPr="00E73F6F">
        <w:rPr>
          <w:spacing w:val="-11"/>
        </w:rPr>
        <w:t xml:space="preserve"> </w:t>
      </w:r>
      <w:r w:rsidRPr="00E73F6F">
        <w:t>der</w:t>
      </w:r>
      <w:r w:rsidRPr="00E73F6F">
        <w:rPr>
          <w:spacing w:val="-11"/>
        </w:rPr>
        <w:t xml:space="preserve"> </w:t>
      </w:r>
      <w:r w:rsidRPr="00E73F6F">
        <w:t>Mensch</w:t>
      </w:r>
      <w:r w:rsidRPr="00E73F6F">
        <w:rPr>
          <w:spacing w:val="-11"/>
        </w:rPr>
        <w:t xml:space="preserve"> </w:t>
      </w:r>
      <w:r w:rsidRPr="00E73F6F">
        <w:t>solle</w:t>
      </w:r>
      <w:r w:rsidRPr="00E73F6F">
        <w:rPr>
          <w:spacing w:val="-12"/>
        </w:rPr>
        <w:t xml:space="preserve"> </w:t>
      </w:r>
      <w:r w:rsidRPr="00E73F6F">
        <w:t>durch</w:t>
      </w:r>
      <w:r w:rsidRPr="00E73F6F">
        <w:rPr>
          <w:spacing w:val="-11"/>
        </w:rPr>
        <w:t xml:space="preserve"> </w:t>
      </w:r>
      <w:r w:rsidRPr="00E73F6F">
        <w:t>sein</w:t>
      </w:r>
      <w:r w:rsidRPr="00E73F6F">
        <w:rPr>
          <w:spacing w:val="-11"/>
        </w:rPr>
        <w:t xml:space="preserve"> </w:t>
      </w:r>
      <w:r w:rsidRPr="00E73F6F">
        <w:t xml:space="preserve">Handeln sich nicht der Eigendynamik des Tao widersetzen, sondern diesem seinen Lauf </w:t>
      </w:r>
      <w:r w:rsidRPr="00E73F6F">
        <w:rPr>
          <w:spacing w:val="-2"/>
        </w:rPr>
        <w:t>lassen.</w:t>
      </w:r>
    </w:p>
    <w:p w14:paraId="55C34C89" w14:textId="77777777" w:rsidR="00FF7799" w:rsidRDefault="00FF7799" w:rsidP="000B3A5C">
      <w:pPr>
        <w:pStyle w:val="StandardText"/>
      </w:pPr>
      <w:r w:rsidRPr="00E73F6F">
        <w:t>Das</w:t>
      </w:r>
      <w:r w:rsidRPr="00E73F6F">
        <w:rPr>
          <w:spacing w:val="-12"/>
        </w:rPr>
        <w:t xml:space="preserve"> </w:t>
      </w:r>
      <w:r w:rsidRPr="00E73F6F">
        <w:t>Symbol</w:t>
      </w:r>
      <w:r w:rsidRPr="00E73F6F">
        <w:rPr>
          <w:spacing w:val="-11"/>
        </w:rPr>
        <w:t xml:space="preserve"> </w:t>
      </w:r>
      <w:r w:rsidRPr="00E73F6F">
        <w:t>dieser</w:t>
      </w:r>
      <w:r w:rsidRPr="00E73F6F">
        <w:rPr>
          <w:spacing w:val="-11"/>
        </w:rPr>
        <w:t xml:space="preserve"> </w:t>
      </w:r>
      <w:r w:rsidRPr="00E73F6F">
        <w:t>religionsähnlichen</w:t>
      </w:r>
      <w:r w:rsidRPr="00E73F6F">
        <w:rPr>
          <w:spacing w:val="-11"/>
        </w:rPr>
        <w:t xml:space="preserve"> </w:t>
      </w:r>
      <w:r w:rsidRPr="00E73F6F">
        <w:t>Lehre</w:t>
      </w:r>
      <w:r w:rsidRPr="00E73F6F">
        <w:rPr>
          <w:spacing w:val="-12"/>
        </w:rPr>
        <w:t xml:space="preserve"> </w:t>
      </w:r>
      <w:r w:rsidRPr="00E73F6F">
        <w:t>sind</w:t>
      </w:r>
      <w:r w:rsidRPr="00E73F6F">
        <w:rPr>
          <w:spacing w:val="-11"/>
        </w:rPr>
        <w:t xml:space="preserve"> </w:t>
      </w:r>
      <w:r w:rsidRPr="00E73F6F">
        <w:t>die</w:t>
      </w:r>
      <w:r w:rsidRPr="00E73F6F">
        <w:rPr>
          <w:spacing w:val="-11"/>
        </w:rPr>
        <w:t xml:space="preserve"> </w:t>
      </w:r>
      <w:r w:rsidRPr="00E73F6F">
        <w:t>ineinander</w:t>
      </w:r>
      <w:r w:rsidRPr="00E73F6F">
        <w:rPr>
          <w:spacing w:val="-11"/>
        </w:rPr>
        <w:t xml:space="preserve"> </w:t>
      </w:r>
      <w:r w:rsidRPr="00E73F6F">
        <w:t>verschränkten</w:t>
      </w:r>
      <w:r w:rsidRPr="00E73F6F">
        <w:rPr>
          <w:spacing w:val="-12"/>
        </w:rPr>
        <w:t xml:space="preserve"> </w:t>
      </w:r>
      <w:r w:rsidRPr="00E73F6F">
        <w:t>Yin und Yang (vgl. Abb.). Sie sind keine gegensätzlichen, antagonistischen Kräfte, sondern Pole, die sich entsprechen und ergänzen. Symbolisiert wird die dynamische</w:t>
      </w:r>
      <w:r w:rsidRPr="00E73F6F">
        <w:rPr>
          <w:spacing w:val="-4"/>
        </w:rPr>
        <w:t xml:space="preserve"> </w:t>
      </w:r>
      <w:r w:rsidRPr="00E73F6F">
        <w:t>Wechselwirkung</w:t>
      </w:r>
      <w:r w:rsidRPr="00E73F6F">
        <w:rPr>
          <w:spacing w:val="-1"/>
        </w:rPr>
        <w:t xml:space="preserve"> </w:t>
      </w:r>
      <w:r w:rsidRPr="00E73F6F">
        <w:t>zwischen</w:t>
      </w:r>
      <w:r w:rsidRPr="00E73F6F">
        <w:rPr>
          <w:spacing w:val="-2"/>
        </w:rPr>
        <w:t xml:space="preserve"> </w:t>
      </w:r>
      <w:r w:rsidRPr="00E73F6F">
        <w:t>Yin</w:t>
      </w:r>
      <w:r w:rsidRPr="00E73F6F">
        <w:rPr>
          <w:spacing w:val="-3"/>
        </w:rPr>
        <w:t xml:space="preserve"> </w:t>
      </w:r>
      <w:r w:rsidRPr="00E73F6F">
        <w:t>und</w:t>
      </w:r>
      <w:r w:rsidRPr="00E73F6F">
        <w:rPr>
          <w:spacing w:val="-1"/>
        </w:rPr>
        <w:t xml:space="preserve"> </w:t>
      </w:r>
      <w:r w:rsidRPr="00E73F6F">
        <w:t>Yang</w:t>
      </w:r>
      <w:r w:rsidRPr="00E73F6F">
        <w:rPr>
          <w:spacing w:val="-2"/>
        </w:rPr>
        <w:t xml:space="preserve"> </w:t>
      </w:r>
      <w:r w:rsidRPr="00E73F6F">
        <w:t>mit</w:t>
      </w:r>
      <w:r w:rsidRPr="00E73F6F">
        <w:rPr>
          <w:spacing w:val="-2"/>
        </w:rPr>
        <w:t xml:space="preserve"> </w:t>
      </w:r>
      <w:r w:rsidRPr="00E73F6F">
        <w:t>Hilfe</w:t>
      </w:r>
      <w:r w:rsidRPr="00E73F6F">
        <w:rPr>
          <w:spacing w:val="-3"/>
        </w:rPr>
        <w:t xml:space="preserve"> </w:t>
      </w:r>
      <w:r w:rsidRPr="00E73F6F">
        <w:t>eines</w:t>
      </w:r>
      <w:r w:rsidRPr="00E73F6F">
        <w:rPr>
          <w:spacing w:val="-2"/>
        </w:rPr>
        <w:t xml:space="preserve"> </w:t>
      </w:r>
      <w:r w:rsidRPr="00E73F6F">
        <w:t>weißen</w:t>
      </w:r>
      <w:r w:rsidRPr="00E73F6F">
        <w:rPr>
          <w:spacing w:val="-1"/>
        </w:rPr>
        <w:t xml:space="preserve"> </w:t>
      </w:r>
      <w:r w:rsidRPr="00E73F6F">
        <w:rPr>
          <w:spacing w:val="-5"/>
        </w:rPr>
        <w:t>und</w:t>
      </w:r>
      <w:r w:rsidR="0007144F">
        <w:rPr>
          <w:spacing w:val="-5"/>
        </w:rPr>
        <w:t xml:space="preserve"> </w:t>
      </w:r>
      <w:r w:rsidRPr="00E73F6F">
        <w:t>eines schwarzen Halbkreises, beide in Gestalt eines stilisierten Fisches, welche sich gegenseitig durchdringen und ein harmonisches Ganzes bilden. Yin symbolisiert</w:t>
      </w:r>
      <w:r w:rsidRPr="00E73F6F">
        <w:rPr>
          <w:spacing w:val="-7"/>
        </w:rPr>
        <w:t xml:space="preserve"> </w:t>
      </w:r>
      <w:r w:rsidRPr="00E73F6F">
        <w:t>Weichheit</w:t>
      </w:r>
      <w:r w:rsidRPr="00E73F6F">
        <w:rPr>
          <w:spacing w:val="-10"/>
        </w:rPr>
        <w:t xml:space="preserve"> </w:t>
      </w:r>
      <w:r w:rsidRPr="00E73F6F">
        <w:t>und</w:t>
      </w:r>
      <w:r w:rsidRPr="00E73F6F">
        <w:rPr>
          <w:spacing w:val="-7"/>
        </w:rPr>
        <w:t xml:space="preserve"> </w:t>
      </w:r>
      <w:r w:rsidRPr="00E73F6F">
        <w:t>Nachgiebigkeit,</w:t>
      </w:r>
      <w:r w:rsidRPr="00E73F6F">
        <w:rPr>
          <w:spacing w:val="-10"/>
        </w:rPr>
        <w:t xml:space="preserve"> </w:t>
      </w:r>
      <w:r w:rsidRPr="00E73F6F">
        <w:t>das</w:t>
      </w:r>
      <w:r w:rsidRPr="00E73F6F">
        <w:rPr>
          <w:spacing w:val="-8"/>
        </w:rPr>
        <w:t xml:space="preserve"> </w:t>
      </w:r>
      <w:r w:rsidRPr="00E73F6F">
        <w:t>Passive,</w:t>
      </w:r>
      <w:r w:rsidRPr="00E73F6F">
        <w:rPr>
          <w:spacing w:val="-7"/>
        </w:rPr>
        <w:t xml:space="preserve"> </w:t>
      </w:r>
      <w:r w:rsidRPr="00E73F6F">
        <w:t>Negative</w:t>
      </w:r>
      <w:r w:rsidRPr="00E73F6F">
        <w:rPr>
          <w:spacing w:val="-8"/>
        </w:rPr>
        <w:t xml:space="preserve"> </w:t>
      </w:r>
      <w:r w:rsidRPr="00E73F6F">
        <w:t>und</w:t>
      </w:r>
      <w:r w:rsidRPr="00E73F6F">
        <w:rPr>
          <w:spacing w:val="-9"/>
        </w:rPr>
        <w:t xml:space="preserve"> </w:t>
      </w:r>
      <w:r w:rsidRPr="00E73F6F">
        <w:t>Weibliche. Yang ist Ergänzung und Gegenteil zugleich: Härte, Festigkeit und Aktivität, das Positive und Männliche.</w:t>
      </w:r>
    </w:p>
    <w:p w14:paraId="405BFEF5" w14:textId="77777777" w:rsidR="00F675AD" w:rsidRPr="00E73F6F" w:rsidRDefault="00F675AD" w:rsidP="000B3A5C">
      <w:pPr>
        <w:pStyle w:val="StandardText"/>
      </w:pPr>
    </w:p>
    <w:p w14:paraId="2450D905" w14:textId="77777777" w:rsidR="00FF7799" w:rsidRPr="00E73F6F" w:rsidRDefault="00FF7799" w:rsidP="00862DBA">
      <w:pPr>
        <w:spacing w:before="7"/>
        <w:rPr>
          <w:sz w:val="24"/>
          <w:szCs w:val="24"/>
        </w:rPr>
      </w:pPr>
      <w:r w:rsidRPr="00E73F6F">
        <w:rPr>
          <w:noProof/>
          <w:sz w:val="24"/>
          <w:szCs w:val="24"/>
          <w:lang w:eastAsia="de-DE"/>
        </w:rPr>
        <mc:AlternateContent>
          <mc:Choice Requires="wpg">
            <w:drawing>
              <wp:inline distT="0" distB="0" distL="0" distR="0" wp14:anchorId="58BA882A" wp14:editId="0706A587">
                <wp:extent cx="5715000" cy="1962785"/>
                <wp:effectExtent l="0" t="0" r="19050" b="18415"/>
                <wp:docPr id="2223" name="Group 2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15000" cy="1962785"/>
                          <a:chOff x="0" y="0"/>
                          <a:chExt cx="3640454" cy="1724660"/>
                        </a:xfrm>
                      </wpg:grpSpPr>
                      <pic:pic xmlns:pic="http://schemas.openxmlformats.org/drawingml/2006/picture">
                        <pic:nvPicPr>
                          <pic:cNvPr id="2224" name="Image 2224"/>
                          <pic:cNvPicPr/>
                        </pic:nvPicPr>
                        <pic:blipFill>
                          <a:blip r:embed="rId195" cstate="print"/>
                          <a:stretch>
                            <a:fillRect/>
                          </a:stretch>
                        </pic:blipFill>
                        <pic:spPr>
                          <a:xfrm>
                            <a:off x="958205" y="161051"/>
                            <a:ext cx="1370652" cy="1376418"/>
                          </a:xfrm>
                          <a:prstGeom prst="rect">
                            <a:avLst/>
                          </a:prstGeom>
                        </pic:spPr>
                      </pic:pic>
                      <wps:wsp>
                        <wps:cNvPr id="2225" name="Graphic 2225"/>
                        <wps:cNvSpPr/>
                        <wps:spPr>
                          <a:xfrm>
                            <a:off x="246201" y="315985"/>
                            <a:ext cx="22860" cy="24130"/>
                          </a:xfrm>
                          <a:custGeom>
                            <a:avLst/>
                            <a:gdLst/>
                            <a:ahLst/>
                            <a:cxnLst/>
                            <a:rect l="l" t="t" r="r" b="b"/>
                            <a:pathLst>
                              <a:path w="22860" h="24130">
                                <a:moveTo>
                                  <a:pt x="17628" y="0"/>
                                </a:moveTo>
                                <a:lnTo>
                                  <a:pt x="5249" y="0"/>
                                </a:lnTo>
                                <a:lnTo>
                                  <a:pt x="0" y="5644"/>
                                </a:lnTo>
                                <a:lnTo>
                                  <a:pt x="0" y="12238"/>
                                </a:lnTo>
                                <a:lnTo>
                                  <a:pt x="0" y="18348"/>
                                </a:lnTo>
                                <a:lnTo>
                                  <a:pt x="5249" y="23527"/>
                                </a:lnTo>
                                <a:lnTo>
                                  <a:pt x="17628" y="23527"/>
                                </a:lnTo>
                                <a:lnTo>
                                  <a:pt x="22858" y="18348"/>
                                </a:lnTo>
                                <a:lnTo>
                                  <a:pt x="22858" y="5644"/>
                                </a:lnTo>
                                <a:lnTo>
                                  <a:pt x="17628" y="0"/>
                                </a:lnTo>
                                <a:close/>
                              </a:path>
                            </a:pathLst>
                          </a:custGeom>
                          <a:solidFill>
                            <a:srgbClr val="000000"/>
                          </a:solidFill>
                        </wps:spPr>
                        <wps:bodyPr wrap="square" lIns="0" tIns="0" rIns="0" bIns="0" rtlCol="0">
                          <a:prstTxWarp prst="textNoShape">
                            <a:avLst/>
                          </a:prstTxWarp>
                          <a:noAutofit/>
                        </wps:bodyPr>
                      </wps:wsp>
                      <wps:wsp>
                        <wps:cNvPr id="2226" name="Graphic 2226"/>
                        <wps:cNvSpPr/>
                        <wps:spPr>
                          <a:xfrm>
                            <a:off x="246201" y="315985"/>
                            <a:ext cx="22860" cy="24130"/>
                          </a:xfrm>
                          <a:custGeom>
                            <a:avLst/>
                            <a:gdLst/>
                            <a:ahLst/>
                            <a:cxnLst/>
                            <a:rect l="l" t="t" r="r" b="b"/>
                            <a:pathLst>
                              <a:path w="22860" h="24130">
                                <a:moveTo>
                                  <a:pt x="0" y="12238"/>
                                </a:moveTo>
                                <a:lnTo>
                                  <a:pt x="0" y="5644"/>
                                </a:lnTo>
                                <a:lnTo>
                                  <a:pt x="5249" y="0"/>
                                </a:lnTo>
                                <a:lnTo>
                                  <a:pt x="11439" y="0"/>
                                </a:lnTo>
                                <a:lnTo>
                                  <a:pt x="17628" y="0"/>
                                </a:lnTo>
                                <a:lnTo>
                                  <a:pt x="22858" y="5644"/>
                                </a:lnTo>
                                <a:lnTo>
                                  <a:pt x="22858" y="12238"/>
                                </a:lnTo>
                                <a:lnTo>
                                  <a:pt x="22858" y="18348"/>
                                </a:lnTo>
                                <a:lnTo>
                                  <a:pt x="17628" y="23527"/>
                                </a:lnTo>
                                <a:lnTo>
                                  <a:pt x="11439" y="23527"/>
                                </a:lnTo>
                                <a:lnTo>
                                  <a:pt x="5249" y="23527"/>
                                </a:lnTo>
                                <a:lnTo>
                                  <a:pt x="0" y="18348"/>
                                </a:lnTo>
                                <a:lnTo>
                                  <a:pt x="0" y="12238"/>
                                </a:lnTo>
                                <a:close/>
                              </a:path>
                            </a:pathLst>
                          </a:custGeom>
                          <a:ln w="2729">
                            <a:solidFill>
                              <a:srgbClr val="000000"/>
                            </a:solidFill>
                            <a:prstDash val="solid"/>
                          </a:ln>
                        </wps:spPr>
                        <wps:bodyPr wrap="square" lIns="0" tIns="0" rIns="0" bIns="0" rtlCol="0">
                          <a:prstTxWarp prst="textNoShape">
                            <a:avLst/>
                          </a:prstTxWarp>
                          <a:noAutofit/>
                        </wps:bodyPr>
                      </wps:wsp>
                      <wps:wsp>
                        <wps:cNvPr id="2227" name="Graphic 2227"/>
                        <wps:cNvSpPr/>
                        <wps:spPr>
                          <a:xfrm>
                            <a:off x="246201" y="432281"/>
                            <a:ext cx="22860" cy="23495"/>
                          </a:xfrm>
                          <a:custGeom>
                            <a:avLst/>
                            <a:gdLst/>
                            <a:ahLst/>
                            <a:cxnLst/>
                            <a:rect l="l" t="t" r="r" b="b"/>
                            <a:pathLst>
                              <a:path w="22860" h="23495">
                                <a:moveTo>
                                  <a:pt x="17628" y="0"/>
                                </a:moveTo>
                                <a:lnTo>
                                  <a:pt x="5249" y="0"/>
                                </a:lnTo>
                                <a:lnTo>
                                  <a:pt x="0" y="5663"/>
                                </a:lnTo>
                                <a:lnTo>
                                  <a:pt x="0" y="11773"/>
                                </a:lnTo>
                                <a:lnTo>
                                  <a:pt x="0" y="17902"/>
                                </a:lnTo>
                                <a:lnTo>
                                  <a:pt x="5249" y="23080"/>
                                </a:lnTo>
                                <a:lnTo>
                                  <a:pt x="17628" y="23080"/>
                                </a:lnTo>
                                <a:lnTo>
                                  <a:pt x="22858" y="17902"/>
                                </a:lnTo>
                                <a:lnTo>
                                  <a:pt x="22858" y="5663"/>
                                </a:lnTo>
                                <a:lnTo>
                                  <a:pt x="17628" y="0"/>
                                </a:lnTo>
                                <a:close/>
                              </a:path>
                            </a:pathLst>
                          </a:custGeom>
                          <a:solidFill>
                            <a:srgbClr val="000000"/>
                          </a:solidFill>
                        </wps:spPr>
                        <wps:bodyPr wrap="square" lIns="0" tIns="0" rIns="0" bIns="0" rtlCol="0">
                          <a:prstTxWarp prst="textNoShape">
                            <a:avLst/>
                          </a:prstTxWarp>
                          <a:noAutofit/>
                        </wps:bodyPr>
                      </wps:wsp>
                      <wps:wsp>
                        <wps:cNvPr id="2228" name="Graphic 2228"/>
                        <wps:cNvSpPr/>
                        <wps:spPr>
                          <a:xfrm>
                            <a:off x="246201" y="432281"/>
                            <a:ext cx="22860" cy="23495"/>
                          </a:xfrm>
                          <a:custGeom>
                            <a:avLst/>
                            <a:gdLst/>
                            <a:ahLst/>
                            <a:cxnLst/>
                            <a:rect l="l" t="t" r="r" b="b"/>
                            <a:pathLst>
                              <a:path w="22860" h="23495">
                                <a:moveTo>
                                  <a:pt x="0" y="11773"/>
                                </a:moveTo>
                                <a:lnTo>
                                  <a:pt x="0" y="5663"/>
                                </a:lnTo>
                                <a:lnTo>
                                  <a:pt x="5249" y="0"/>
                                </a:lnTo>
                                <a:lnTo>
                                  <a:pt x="11439" y="0"/>
                                </a:lnTo>
                                <a:lnTo>
                                  <a:pt x="17628" y="0"/>
                                </a:lnTo>
                                <a:lnTo>
                                  <a:pt x="22858" y="5663"/>
                                </a:lnTo>
                                <a:lnTo>
                                  <a:pt x="22858" y="11773"/>
                                </a:lnTo>
                                <a:lnTo>
                                  <a:pt x="22858" y="17902"/>
                                </a:lnTo>
                                <a:lnTo>
                                  <a:pt x="17628" y="23080"/>
                                </a:lnTo>
                                <a:lnTo>
                                  <a:pt x="11439" y="23080"/>
                                </a:lnTo>
                                <a:lnTo>
                                  <a:pt x="5249" y="23080"/>
                                </a:lnTo>
                                <a:lnTo>
                                  <a:pt x="0" y="17902"/>
                                </a:lnTo>
                                <a:lnTo>
                                  <a:pt x="0" y="11773"/>
                                </a:lnTo>
                                <a:close/>
                              </a:path>
                            </a:pathLst>
                          </a:custGeom>
                          <a:ln w="2728">
                            <a:solidFill>
                              <a:srgbClr val="000000"/>
                            </a:solidFill>
                            <a:prstDash val="solid"/>
                          </a:ln>
                        </wps:spPr>
                        <wps:bodyPr wrap="square" lIns="0" tIns="0" rIns="0" bIns="0" rtlCol="0">
                          <a:prstTxWarp prst="textNoShape">
                            <a:avLst/>
                          </a:prstTxWarp>
                          <a:noAutofit/>
                        </wps:bodyPr>
                      </wps:wsp>
                      <wps:wsp>
                        <wps:cNvPr id="2229" name="Graphic 2229"/>
                        <wps:cNvSpPr/>
                        <wps:spPr>
                          <a:xfrm>
                            <a:off x="246201" y="546716"/>
                            <a:ext cx="22860" cy="24130"/>
                          </a:xfrm>
                          <a:custGeom>
                            <a:avLst/>
                            <a:gdLst/>
                            <a:ahLst/>
                            <a:cxnLst/>
                            <a:rect l="l" t="t" r="r" b="b"/>
                            <a:pathLst>
                              <a:path w="22860" h="24130">
                                <a:moveTo>
                                  <a:pt x="17628" y="0"/>
                                </a:moveTo>
                                <a:lnTo>
                                  <a:pt x="5249" y="0"/>
                                </a:lnTo>
                                <a:lnTo>
                                  <a:pt x="0" y="5644"/>
                                </a:lnTo>
                                <a:lnTo>
                                  <a:pt x="0" y="12238"/>
                                </a:lnTo>
                                <a:lnTo>
                                  <a:pt x="0" y="18833"/>
                                </a:lnTo>
                                <a:lnTo>
                                  <a:pt x="5249" y="24011"/>
                                </a:lnTo>
                                <a:lnTo>
                                  <a:pt x="17628" y="24011"/>
                                </a:lnTo>
                                <a:lnTo>
                                  <a:pt x="22858" y="18833"/>
                                </a:lnTo>
                                <a:lnTo>
                                  <a:pt x="22858" y="5644"/>
                                </a:lnTo>
                                <a:lnTo>
                                  <a:pt x="17628" y="0"/>
                                </a:lnTo>
                                <a:close/>
                              </a:path>
                            </a:pathLst>
                          </a:custGeom>
                          <a:solidFill>
                            <a:srgbClr val="000000"/>
                          </a:solidFill>
                        </wps:spPr>
                        <wps:bodyPr wrap="square" lIns="0" tIns="0" rIns="0" bIns="0" rtlCol="0">
                          <a:prstTxWarp prst="textNoShape">
                            <a:avLst/>
                          </a:prstTxWarp>
                          <a:noAutofit/>
                        </wps:bodyPr>
                      </wps:wsp>
                      <wps:wsp>
                        <wps:cNvPr id="2230" name="Graphic 2230"/>
                        <wps:cNvSpPr/>
                        <wps:spPr>
                          <a:xfrm>
                            <a:off x="246201" y="546716"/>
                            <a:ext cx="22860" cy="24130"/>
                          </a:xfrm>
                          <a:custGeom>
                            <a:avLst/>
                            <a:gdLst/>
                            <a:ahLst/>
                            <a:cxnLst/>
                            <a:rect l="l" t="t" r="r" b="b"/>
                            <a:pathLst>
                              <a:path w="22860" h="24130">
                                <a:moveTo>
                                  <a:pt x="0" y="12238"/>
                                </a:moveTo>
                                <a:lnTo>
                                  <a:pt x="0" y="5644"/>
                                </a:lnTo>
                                <a:lnTo>
                                  <a:pt x="5249" y="0"/>
                                </a:lnTo>
                                <a:lnTo>
                                  <a:pt x="11439" y="0"/>
                                </a:lnTo>
                                <a:lnTo>
                                  <a:pt x="17628" y="0"/>
                                </a:lnTo>
                                <a:lnTo>
                                  <a:pt x="22858" y="5644"/>
                                </a:lnTo>
                                <a:lnTo>
                                  <a:pt x="22858" y="12238"/>
                                </a:lnTo>
                                <a:lnTo>
                                  <a:pt x="22858" y="18833"/>
                                </a:lnTo>
                                <a:lnTo>
                                  <a:pt x="17628" y="24011"/>
                                </a:lnTo>
                                <a:lnTo>
                                  <a:pt x="11439" y="24011"/>
                                </a:lnTo>
                                <a:lnTo>
                                  <a:pt x="5249" y="24011"/>
                                </a:lnTo>
                                <a:lnTo>
                                  <a:pt x="0" y="18833"/>
                                </a:lnTo>
                                <a:lnTo>
                                  <a:pt x="0" y="12238"/>
                                </a:lnTo>
                                <a:close/>
                              </a:path>
                            </a:pathLst>
                          </a:custGeom>
                          <a:ln w="2729">
                            <a:solidFill>
                              <a:srgbClr val="000000"/>
                            </a:solidFill>
                            <a:prstDash val="solid"/>
                          </a:ln>
                        </wps:spPr>
                        <wps:bodyPr wrap="square" lIns="0" tIns="0" rIns="0" bIns="0" rtlCol="0">
                          <a:prstTxWarp prst="textNoShape">
                            <a:avLst/>
                          </a:prstTxWarp>
                          <a:noAutofit/>
                        </wps:bodyPr>
                      </wps:wsp>
                      <wps:wsp>
                        <wps:cNvPr id="2231" name="Graphic 2231"/>
                        <wps:cNvSpPr/>
                        <wps:spPr>
                          <a:xfrm>
                            <a:off x="246201" y="662082"/>
                            <a:ext cx="22860" cy="23495"/>
                          </a:xfrm>
                          <a:custGeom>
                            <a:avLst/>
                            <a:gdLst/>
                            <a:ahLst/>
                            <a:cxnLst/>
                            <a:rect l="l" t="t" r="r" b="b"/>
                            <a:pathLst>
                              <a:path w="22860" h="23495">
                                <a:moveTo>
                                  <a:pt x="17628" y="0"/>
                                </a:moveTo>
                                <a:lnTo>
                                  <a:pt x="5249" y="0"/>
                                </a:lnTo>
                                <a:lnTo>
                                  <a:pt x="0" y="5178"/>
                                </a:lnTo>
                                <a:lnTo>
                                  <a:pt x="0" y="11307"/>
                                </a:lnTo>
                                <a:lnTo>
                                  <a:pt x="0" y="17417"/>
                                </a:lnTo>
                                <a:lnTo>
                                  <a:pt x="5249" y="23080"/>
                                </a:lnTo>
                                <a:lnTo>
                                  <a:pt x="17628" y="23080"/>
                                </a:lnTo>
                                <a:lnTo>
                                  <a:pt x="22858" y="17417"/>
                                </a:lnTo>
                                <a:lnTo>
                                  <a:pt x="22858" y="5178"/>
                                </a:lnTo>
                                <a:lnTo>
                                  <a:pt x="17628" y="0"/>
                                </a:lnTo>
                                <a:close/>
                              </a:path>
                            </a:pathLst>
                          </a:custGeom>
                          <a:solidFill>
                            <a:srgbClr val="000000"/>
                          </a:solidFill>
                        </wps:spPr>
                        <wps:bodyPr wrap="square" lIns="0" tIns="0" rIns="0" bIns="0" rtlCol="0">
                          <a:prstTxWarp prst="textNoShape">
                            <a:avLst/>
                          </a:prstTxWarp>
                          <a:noAutofit/>
                        </wps:bodyPr>
                      </wps:wsp>
                      <wps:wsp>
                        <wps:cNvPr id="2232" name="Graphic 2232"/>
                        <wps:cNvSpPr/>
                        <wps:spPr>
                          <a:xfrm>
                            <a:off x="246201" y="662082"/>
                            <a:ext cx="22860" cy="23495"/>
                          </a:xfrm>
                          <a:custGeom>
                            <a:avLst/>
                            <a:gdLst/>
                            <a:ahLst/>
                            <a:cxnLst/>
                            <a:rect l="l" t="t" r="r" b="b"/>
                            <a:pathLst>
                              <a:path w="22860" h="23495">
                                <a:moveTo>
                                  <a:pt x="0" y="11307"/>
                                </a:moveTo>
                                <a:lnTo>
                                  <a:pt x="0" y="5178"/>
                                </a:lnTo>
                                <a:lnTo>
                                  <a:pt x="5249" y="0"/>
                                </a:lnTo>
                                <a:lnTo>
                                  <a:pt x="11439" y="0"/>
                                </a:lnTo>
                                <a:lnTo>
                                  <a:pt x="17628" y="0"/>
                                </a:lnTo>
                                <a:lnTo>
                                  <a:pt x="22858" y="5178"/>
                                </a:lnTo>
                                <a:lnTo>
                                  <a:pt x="22858" y="11307"/>
                                </a:lnTo>
                                <a:lnTo>
                                  <a:pt x="22858" y="17417"/>
                                </a:lnTo>
                                <a:lnTo>
                                  <a:pt x="17628" y="23080"/>
                                </a:lnTo>
                                <a:lnTo>
                                  <a:pt x="11439" y="23080"/>
                                </a:lnTo>
                                <a:lnTo>
                                  <a:pt x="5249" y="23080"/>
                                </a:lnTo>
                                <a:lnTo>
                                  <a:pt x="0" y="17417"/>
                                </a:lnTo>
                                <a:lnTo>
                                  <a:pt x="0" y="11307"/>
                                </a:lnTo>
                                <a:close/>
                              </a:path>
                            </a:pathLst>
                          </a:custGeom>
                          <a:ln w="2728">
                            <a:solidFill>
                              <a:srgbClr val="000000"/>
                            </a:solidFill>
                            <a:prstDash val="solid"/>
                          </a:ln>
                        </wps:spPr>
                        <wps:bodyPr wrap="square" lIns="0" tIns="0" rIns="0" bIns="0" rtlCol="0">
                          <a:prstTxWarp prst="textNoShape">
                            <a:avLst/>
                          </a:prstTxWarp>
                          <a:noAutofit/>
                        </wps:bodyPr>
                      </wps:wsp>
                      <wps:wsp>
                        <wps:cNvPr id="2233" name="Graphic 2233"/>
                        <wps:cNvSpPr/>
                        <wps:spPr>
                          <a:xfrm>
                            <a:off x="246201" y="777448"/>
                            <a:ext cx="22860" cy="24130"/>
                          </a:xfrm>
                          <a:custGeom>
                            <a:avLst/>
                            <a:gdLst/>
                            <a:ahLst/>
                            <a:cxnLst/>
                            <a:rect l="l" t="t" r="r" b="b"/>
                            <a:pathLst>
                              <a:path w="22860" h="24130">
                                <a:moveTo>
                                  <a:pt x="17628" y="0"/>
                                </a:moveTo>
                                <a:lnTo>
                                  <a:pt x="5249" y="0"/>
                                </a:lnTo>
                                <a:lnTo>
                                  <a:pt x="0" y="5178"/>
                                </a:lnTo>
                                <a:lnTo>
                                  <a:pt x="0" y="11773"/>
                                </a:lnTo>
                                <a:lnTo>
                                  <a:pt x="0" y="18367"/>
                                </a:lnTo>
                                <a:lnTo>
                                  <a:pt x="5249" y="24011"/>
                                </a:lnTo>
                                <a:lnTo>
                                  <a:pt x="17628" y="24011"/>
                                </a:lnTo>
                                <a:lnTo>
                                  <a:pt x="22858" y="18367"/>
                                </a:lnTo>
                                <a:lnTo>
                                  <a:pt x="22858" y="5178"/>
                                </a:lnTo>
                                <a:lnTo>
                                  <a:pt x="17628" y="0"/>
                                </a:lnTo>
                                <a:close/>
                              </a:path>
                            </a:pathLst>
                          </a:custGeom>
                          <a:solidFill>
                            <a:srgbClr val="000000"/>
                          </a:solidFill>
                        </wps:spPr>
                        <wps:bodyPr wrap="square" lIns="0" tIns="0" rIns="0" bIns="0" rtlCol="0">
                          <a:prstTxWarp prst="textNoShape">
                            <a:avLst/>
                          </a:prstTxWarp>
                          <a:noAutofit/>
                        </wps:bodyPr>
                      </wps:wsp>
                      <wps:wsp>
                        <wps:cNvPr id="2234" name="Graphic 2234"/>
                        <wps:cNvSpPr/>
                        <wps:spPr>
                          <a:xfrm>
                            <a:off x="246201" y="777448"/>
                            <a:ext cx="22860" cy="24130"/>
                          </a:xfrm>
                          <a:custGeom>
                            <a:avLst/>
                            <a:gdLst/>
                            <a:ahLst/>
                            <a:cxnLst/>
                            <a:rect l="l" t="t" r="r" b="b"/>
                            <a:pathLst>
                              <a:path w="22860" h="24130">
                                <a:moveTo>
                                  <a:pt x="0" y="11773"/>
                                </a:moveTo>
                                <a:lnTo>
                                  <a:pt x="0" y="5178"/>
                                </a:lnTo>
                                <a:lnTo>
                                  <a:pt x="5249" y="0"/>
                                </a:lnTo>
                                <a:lnTo>
                                  <a:pt x="11439" y="0"/>
                                </a:lnTo>
                                <a:lnTo>
                                  <a:pt x="17628" y="0"/>
                                </a:lnTo>
                                <a:lnTo>
                                  <a:pt x="22858" y="5178"/>
                                </a:lnTo>
                                <a:lnTo>
                                  <a:pt x="22858" y="11773"/>
                                </a:lnTo>
                                <a:lnTo>
                                  <a:pt x="22858" y="18367"/>
                                </a:lnTo>
                                <a:lnTo>
                                  <a:pt x="17628" y="24011"/>
                                </a:lnTo>
                                <a:lnTo>
                                  <a:pt x="11439" y="24011"/>
                                </a:lnTo>
                                <a:lnTo>
                                  <a:pt x="5249" y="24011"/>
                                </a:lnTo>
                                <a:lnTo>
                                  <a:pt x="0" y="18367"/>
                                </a:lnTo>
                                <a:lnTo>
                                  <a:pt x="0" y="11773"/>
                                </a:lnTo>
                                <a:close/>
                              </a:path>
                            </a:pathLst>
                          </a:custGeom>
                          <a:ln w="2729">
                            <a:solidFill>
                              <a:srgbClr val="000000"/>
                            </a:solidFill>
                            <a:prstDash val="solid"/>
                          </a:ln>
                        </wps:spPr>
                        <wps:bodyPr wrap="square" lIns="0" tIns="0" rIns="0" bIns="0" rtlCol="0">
                          <a:prstTxWarp prst="textNoShape">
                            <a:avLst/>
                          </a:prstTxWarp>
                          <a:noAutofit/>
                        </wps:bodyPr>
                      </wps:wsp>
                      <wps:wsp>
                        <wps:cNvPr id="2235" name="Graphic 2235"/>
                        <wps:cNvSpPr/>
                        <wps:spPr>
                          <a:xfrm>
                            <a:off x="246201" y="891883"/>
                            <a:ext cx="22860" cy="24130"/>
                          </a:xfrm>
                          <a:custGeom>
                            <a:avLst/>
                            <a:gdLst/>
                            <a:ahLst/>
                            <a:cxnLst/>
                            <a:rect l="l" t="t" r="r" b="b"/>
                            <a:pathLst>
                              <a:path w="22860" h="24130">
                                <a:moveTo>
                                  <a:pt x="17628" y="0"/>
                                </a:moveTo>
                                <a:lnTo>
                                  <a:pt x="5249" y="0"/>
                                </a:lnTo>
                                <a:lnTo>
                                  <a:pt x="0" y="5178"/>
                                </a:lnTo>
                                <a:lnTo>
                                  <a:pt x="0" y="11773"/>
                                </a:lnTo>
                                <a:lnTo>
                                  <a:pt x="0" y="18367"/>
                                </a:lnTo>
                                <a:lnTo>
                                  <a:pt x="5249" y="23546"/>
                                </a:lnTo>
                                <a:lnTo>
                                  <a:pt x="17628" y="23546"/>
                                </a:lnTo>
                                <a:lnTo>
                                  <a:pt x="22858" y="18367"/>
                                </a:lnTo>
                                <a:lnTo>
                                  <a:pt x="22858" y="5178"/>
                                </a:lnTo>
                                <a:lnTo>
                                  <a:pt x="17628" y="0"/>
                                </a:lnTo>
                                <a:close/>
                              </a:path>
                            </a:pathLst>
                          </a:custGeom>
                          <a:solidFill>
                            <a:srgbClr val="000000"/>
                          </a:solidFill>
                        </wps:spPr>
                        <wps:bodyPr wrap="square" lIns="0" tIns="0" rIns="0" bIns="0" rtlCol="0">
                          <a:prstTxWarp prst="textNoShape">
                            <a:avLst/>
                          </a:prstTxWarp>
                          <a:noAutofit/>
                        </wps:bodyPr>
                      </wps:wsp>
                      <wps:wsp>
                        <wps:cNvPr id="2236" name="Graphic 2236"/>
                        <wps:cNvSpPr/>
                        <wps:spPr>
                          <a:xfrm>
                            <a:off x="246201" y="891883"/>
                            <a:ext cx="22860" cy="24130"/>
                          </a:xfrm>
                          <a:custGeom>
                            <a:avLst/>
                            <a:gdLst/>
                            <a:ahLst/>
                            <a:cxnLst/>
                            <a:rect l="l" t="t" r="r" b="b"/>
                            <a:pathLst>
                              <a:path w="22860" h="24130">
                                <a:moveTo>
                                  <a:pt x="0" y="11773"/>
                                </a:moveTo>
                                <a:lnTo>
                                  <a:pt x="0" y="5178"/>
                                </a:lnTo>
                                <a:lnTo>
                                  <a:pt x="5249" y="0"/>
                                </a:lnTo>
                                <a:lnTo>
                                  <a:pt x="11439" y="0"/>
                                </a:lnTo>
                                <a:lnTo>
                                  <a:pt x="17628" y="0"/>
                                </a:lnTo>
                                <a:lnTo>
                                  <a:pt x="22858" y="5178"/>
                                </a:lnTo>
                                <a:lnTo>
                                  <a:pt x="22858" y="11773"/>
                                </a:lnTo>
                                <a:lnTo>
                                  <a:pt x="22858" y="18367"/>
                                </a:lnTo>
                                <a:lnTo>
                                  <a:pt x="17628" y="23546"/>
                                </a:lnTo>
                                <a:lnTo>
                                  <a:pt x="11439" y="23546"/>
                                </a:lnTo>
                                <a:lnTo>
                                  <a:pt x="5249" y="23546"/>
                                </a:lnTo>
                                <a:lnTo>
                                  <a:pt x="0" y="18367"/>
                                </a:lnTo>
                                <a:lnTo>
                                  <a:pt x="0" y="11773"/>
                                </a:lnTo>
                                <a:close/>
                              </a:path>
                            </a:pathLst>
                          </a:custGeom>
                          <a:ln w="2729">
                            <a:solidFill>
                              <a:srgbClr val="000000"/>
                            </a:solidFill>
                            <a:prstDash val="solid"/>
                          </a:ln>
                        </wps:spPr>
                        <wps:bodyPr wrap="square" lIns="0" tIns="0" rIns="0" bIns="0" rtlCol="0">
                          <a:prstTxWarp prst="textNoShape">
                            <a:avLst/>
                          </a:prstTxWarp>
                          <a:noAutofit/>
                        </wps:bodyPr>
                      </wps:wsp>
                      <wps:wsp>
                        <wps:cNvPr id="2237" name="Graphic 2237"/>
                        <wps:cNvSpPr/>
                        <wps:spPr>
                          <a:xfrm>
                            <a:off x="246201" y="1007249"/>
                            <a:ext cx="22860" cy="24130"/>
                          </a:xfrm>
                          <a:custGeom>
                            <a:avLst/>
                            <a:gdLst/>
                            <a:ahLst/>
                            <a:cxnLst/>
                            <a:rect l="l" t="t" r="r" b="b"/>
                            <a:pathLst>
                              <a:path w="22860" h="24130">
                                <a:moveTo>
                                  <a:pt x="17628" y="0"/>
                                </a:moveTo>
                                <a:lnTo>
                                  <a:pt x="5249" y="0"/>
                                </a:lnTo>
                                <a:lnTo>
                                  <a:pt x="0" y="5178"/>
                                </a:lnTo>
                                <a:lnTo>
                                  <a:pt x="0" y="11773"/>
                                </a:lnTo>
                                <a:lnTo>
                                  <a:pt x="0" y="18367"/>
                                </a:lnTo>
                                <a:lnTo>
                                  <a:pt x="5249" y="23546"/>
                                </a:lnTo>
                                <a:lnTo>
                                  <a:pt x="17628" y="23546"/>
                                </a:lnTo>
                                <a:lnTo>
                                  <a:pt x="22858" y="18367"/>
                                </a:lnTo>
                                <a:lnTo>
                                  <a:pt x="22858" y="5178"/>
                                </a:lnTo>
                                <a:lnTo>
                                  <a:pt x="17628" y="0"/>
                                </a:lnTo>
                                <a:close/>
                              </a:path>
                            </a:pathLst>
                          </a:custGeom>
                          <a:solidFill>
                            <a:srgbClr val="000000"/>
                          </a:solidFill>
                        </wps:spPr>
                        <wps:bodyPr wrap="square" lIns="0" tIns="0" rIns="0" bIns="0" rtlCol="0">
                          <a:prstTxWarp prst="textNoShape">
                            <a:avLst/>
                          </a:prstTxWarp>
                          <a:noAutofit/>
                        </wps:bodyPr>
                      </wps:wsp>
                      <wps:wsp>
                        <wps:cNvPr id="2238" name="Graphic 2238"/>
                        <wps:cNvSpPr/>
                        <wps:spPr>
                          <a:xfrm>
                            <a:off x="246201" y="1007249"/>
                            <a:ext cx="22860" cy="24130"/>
                          </a:xfrm>
                          <a:custGeom>
                            <a:avLst/>
                            <a:gdLst/>
                            <a:ahLst/>
                            <a:cxnLst/>
                            <a:rect l="l" t="t" r="r" b="b"/>
                            <a:pathLst>
                              <a:path w="22860" h="24130">
                                <a:moveTo>
                                  <a:pt x="0" y="11773"/>
                                </a:moveTo>
                                <a:lnTo>
                                  <a:pt x="0" y="5178"/>
                                </a:lnTo>
                                <a:lnTo>
                                  <a:pt x="5249" y="0"/>
                                </a:lnTo>
                                <a:lnTo>
                                  <a:pt x="11439" y="0"/>
                                </a:lnTo>
                                <a:lnTo>
                                  <a:pt x="17628" y="0"/>
                                </a:lnTo>
                                <a:lnTo>
                                  <a:pt x="22858" y="5178"/>
                                </a:lnTo>
                                <a:lnTo>
                                  <a:pt x="22858" y="11773"/>
                                </a:lnTo>
                                <a:lnTo>
                                  <a:pt x="22858" y="18367"/>
                                </a:lnTo>
                                <a:lnTo>
                                  <a:pt x="17628" y="23546"/>
                                </a:lnTo>
                                <a:lnTo>
                                  <a:pt x="11439" y="23546"/>
                                </a:lnTo>
                                <a:lnTo>
                                  <a:pt x="5249" y="23546"/>
                                </a:lnTo>
                                <a:lnTo>
                                  <a:pt x="0" y="18367"/>
                                </a:lnTo>
                                <a:lnTo>
                                  <a:pt x="0" y="11773"/>
                                </a:lnTo>
                                <a:close/>
                              </a:path>
                            </a:pathLst>
                          </a:custGeom>
                          <a:ln w="2729">
                            <a:solidFill>
                              <a:srgbClr val="000000"/>
                            </a:solidFill>
                            <a:prstDash val="solid"/>
                          </a:ln>
                        </wps:spPr>
                        <wps:bodyPr wrap="square" lIns="0" tIns="0" rIns="0" bIns="0" rtlCol="0">
                          <a:prstTxWarp prst="textNoShape">
                            <a:avLst/>
                          </a:prstTxWarp>
                          <a:noAutofit/>
                        </wps:bodyPr>
                      </wps:wsp>
                      <wps:wsp>
                        <wps:cNvPr id="2239" name="Graphic 2239"/>
                        <wps:cNvSpPr/>
                        <wps:spPr>
                          <a:xfrm>
                            <a:off x="246201" y="1122149"/>
                            <a:ext cx="22860" cy="24130"/>
                          </a:xfrm>
                          <a:custGeom>
                            <a:avLst/>
                            <a:gdLst/>
                            <a:ahLst/>
                            <a:cxnLst/>
                            <a:rect l="l" t="t" r="r" b="b"/>
                            <a:pathLst>
                              <a:path w="22860" h="24130">
                                <a:moveTo>
                                  <a:pt x="17628" y="0"/>
                                </a:moveTo>
                                <a:lnTo>
                                  <a:pt x="5249" y="0"/>
                                </a:lnTo>
                                <a:lnTo>
                                  <a:pt x="0" y="5644"/>
                                </a:lnTo>
                                <a:lnTo>
                                  <a:pt x="0" y="11773"/>
                                </a:lnTo>
                                <a:lnTo>
                                  <a:pt x="0" y="17882"/>
                                </a:lnTo>
                                <a:lnTo>
                                  <a:pt x="5249" y="23546"/>
                                </a:lnTo>
                                <a:lnTo>
                                  <a:pt x="17628" y="23546"/>
                                </a:lnTo>
                                <a:lnTo>
                                  <a:pt x="22858" y="17882"/>
                                </a:lnTo>
                                <a:lnTo>
                                  <a:pt x="22858" y="5644"/>
                                </a:lnTo>
                                <a:lnTo>
                                  <a:pt x="17628" y="0"/>
                                </a:lnTo>
                                <a:close/>
                              </a:path>
                            </a:pathLst>
                          </a:custGeom>
                          <a:solidFill>
                            <a:srgbClr val="000000"/>
                          </a:solidFill>
                        </wps:spPr>
                        <wps:bodyPr wrap="square" lIns="0" tIns="0" rIns="0" bIns="0" rtlCol="0">
                          <a:prstTxWarp prst="textNoShape">
                            <a:avLst/>
                          </a:prstTxWarp>
                          <a:noAutofit/>
                        </wps:bodyPr>
                      </wps:wsp>
                      <wps:wsp>
                        <wps:cNvPr id="2240" name="Graphic 2240"/>
                        <wps:cNvSpPr/>
                        <wps:spPr>
                          <a:xfrm>
                            <a:off x="246201" y="1122149"/>
                            <a:ext cx="22860" cy="24130"/>
                          </a:xfrm>
                          <a:custGeom>
                            <a:avLst/>
                            <a:gdLst/>
                            <a:ahLst/>
                            <a:cxnLst/>
                            <a:rect l="l" t="t" r="r" b="b"/>
                            <a:pathLst>
                              <a:path w="22860" h="24130">
                                <a:moveTo>
                                  <a:pt x="0" y="11773"/>
                                </a:moveTo>
                                <a:lnTo>
                                  <a:pt x="0" y="5644"/>
                                </a:lnTo>
                                <a:lnTo>
                                  <a:pt x="5249" y="0"/>
                                </a:lnTo>
                                <a:lnTo>
                                  <a:pt x="11439" y="0"/>
                                </a:lnTo>
                                <a:lnTo>
                                  <a:pt x="17628" y="0"/>
                                </a:lnTo>
                                <a:lnTo>
                                  <a:pt x="22858" y="5644"/>
                                </a:lnTo>
                                <a:lnTo>
                                  <a:pt x="22858" y="11773"/>
                                </a:lnTo>
                                <a:lnTo>
                                  <a:pt x="22858" y="17882"/>
                                </a:lnTo>
                                <a:lnTo>
                                  <a:pt x="17628" y="23546"/>
                                </a:lnTo>
                                <a:lnTo>
                                  <a:pt x="11439" y="23546"/>
                                </a:lnTo>
                                <a:lnTo>
                                  <a:pt x="5249" y="23546"/>
                                </a:lnTo>
                                <a:lnTo>
                                  <a:pt x="0" y="17882"/>
                                </a:lnTo>
                                <a:lnTo>
                                  <a:pt x="0" y="11773"/>
                                </a:lnTo>
                                <a:close/>
                              </a:path>
                            </a:pathLst>
                          </a:custGeom>
                          <a:ln w="2729">
                            <a:solidFill>
                              <a:srgbClr val="000000"/>
                            </a:solidFill>
                            <a:prstDash val="solid"/>
                          </a:ln>
                        </wps:spPr>
                        <wps:bodyPr wrap="square" lIns="0" tIns="0" rIns="0" bIns="0" rtlCol="0">
                          <a:prstTxWarp prst="textNoShape">
                            <a:avLst/>
                          </a:prstTxWarp>
                          <a:noAutofit/>
                        </wps:bodyPr>
                      </wps:wsp>
                      <wps:wsp>
                        <wps:cNvPr id="2241" name="Graphic 2241"/>
                        <wps:cNvSpPr/>
                        <wps:spPr>
                          <a:xfrm>
                            <a:off x="246201" y="1237980"/>
                            <a:ext cx="22860" cy="24130"/>
                          </a:xfrm>
                          <a:custGeom>
                            <a:avLst/>
                            <a:gdLst/>
                            <a:ahLst/>
                            <a:cxnLst/>
                            <a:rect l="l" t="t" r="r" b="b"/>
                            <a:pathLst>
                              <a:path w="22860" h="24130">
                                <a:moveTo>
                                  <a:pt x="17628" y="0"/>
                                </a:moveTo>
                                <a:lnTo>
                                  <a:pt x="5249" y="0"/>
                                </a:lnTo>
                                <a:lnTo>
                                  <a:pt x="0" y="5178"/>
                                </a:lnTo>
                                <a:lnTo>
                                  <a:pt x="0" y="11773"/>
                                </a:lnTo>
                                <a:lnTo>
                                  <a:pt x="0" y="18367"/>
                                </a:lnTo>
                                <a:lnTo>
                                  <a:pt x="5249" y="24031"/>
                                </a:lnTo>
                                <a:lnTo>
                                  <a:pt x="17628" y="24031"/>
                                </a:lnTo>
                                <a:lnTo>
                                  <a:pt x="22858" y="18367"/>
                                </a:lnTo>
                                <a:lnTo>
                                  <a:pt x="22858" y="5178"/>
                                </a:lnTo>
                                <a:lnTo>
                                  <a:pt x="17628" y="0"/>
                                </a:lnTo>
                                <a:close/>
                              </a:path>
                            </a:pathLst>
                          </a:custGeom>
                          <a:solidFill>
                            <a:srgbClr val="000000"/>
                          </a:solidFill>
                        </wps:spPr>
                        <wps:bodyPr wrap="square" lIns="0" tIns="0" rIns="0" bIns="0" rtlCol="0">
                          <a:prstTxWarp prst="textNoShape">
                            <a:avLst/>
                          </a:prstTxWarp>
                          <a:noAutofit/>
                        </wps:bodyPr>
                      </wps:wsp>
                      <wps:wsp>
                        <wps:cNvPr id="2242" name="Graphic 2242"/>
                        <wps:cNvSpPr/>
                        <wps:spPr>
                          <a:xfrm>
                            <a:off x="246201" y="1237980"/>
                            <a:ext cx="22860" cy="24130"/>
                          </a:xfrm>
                          <a:custGeom>
                            <a:avLst/>
                            <a:gdLst/>
                            <a:ahLst/>
                            <a:cxnLst/>
                            <a:rect l="l" t="t" r="r" b="b"/>
                            <a:pathLst>
                              <a:path w="22860" h="24130">
                                <a:moveTo>
                                  <a:pt x="0" y="11773"/>
                                </a:moveTo>
                                <a:lnTo>
                                  <a:pt x="0" y="5178"/>
                                </a:lnTo>
                                <a:lnTo>
                                  <a:pt x="5249" y="0"/>
                                </a:lnTo>
                                <a:lnTo>
                                  <a:pt x="11439" y="0"/>
                                </a:lnTo>
                                <a:lnTo>
                                  <a:pt x="17628" y="0"/>
                                </a:lnTo>
                                <a:lnTo>
                                  <a:pt x="22858" y="5178"/>
                                </a:lnTo>
                                <a:lnTo>
                                  <a:pt x="22858" y="11773"/>
                                </a:lnTo>
                                <a:lnTo>
                                  <a:pt x="22858" y="18367"/>
                                </a:lnTo>
                                <a:lnTo>
                                  <a:pt x="17628" y="24031"/>
                                </a:lnTo>
                                <a:lnTo>
                                  <a:pt x="11439" y="24031"/>
                                </a:lnTo>
                                <a:lnTo>
                                  <a:pt x="5249" y="24031"/>
                                </a:lnTo>
                                <a:lnTo>
                                  <a:pt x="0" y="18367"/>
                                </a:lnTo>
                                <a:lnTo>
                                  <a:pt x="0" y="11773"/>
                                </a:lnTo>
                                <a:close/>
                              </a:path>
                            </a:pathLst>
                          </a:custGeom>
                          <a:ln w="2729">
                            <a:solidFill>
                              <a:srgbClr val="000000"/>
                            </a:solidFill>
                            <a:prstDash val="solid"/>
                          </a:ln>
                        </wps:spPr>
                        <wps:bodyPr wrap="square" lIns="0" tIns="0" rIns="0" bIns="0" rtlCol="0">
                          <a:prstTxWarp prst="textNoShape">
                            <a:avLst/>
                          </a:prstTxWarp>
                          <a:noAutofit/>
                        </wps:bodyPr>
                      </wps:wsp>
                      <wps:wsp>
                        <wps:cNvPr id="2243" name="Graphic 2243"/>
                        <wps:cNvSpPr/>
                        <wps:spPr>
                          <a:xfrm>
                            <a:off x="246201" y="1351950"/>
                            <a:ext cx="22860" cy="24130"/>
                          </a:xfrm>
                          <a:custGeom>
                            <a:avLst/>
                            <a:gdLst/>
                            <a:ahLst/>
                            <a:cxnLst/>
                            <a:rect l="l" t="t" r="r" b="b"/>
                            <a:pathLst>
                              <a:path w="22860" h="24130">
                                <a:moveTo>
                                  <a:pt x="17628" y="0"/>
                                </a:moveTo>
                                <a:lnTo>
                                  <a:pt x="5249" y="0"/>
                                </a:lnTo>
                                <a:lnTo>
                                  <a:pt x="0" y="5644"/>
                                </a:lnTo>
                                <a:lnTo>
                                  <a:pt x="0" y="12238"/>
                                </a:lnTo>
                                <a:lnTo>
                                  <a:pt x="0" y="18833"/>
                                </a:lnTo>
                                <a:lnTo>
                                  <a:pt x="5249" y="24011"/>
                                </a:lnTo>
                                <a:lnTo>
                                  <a:pt x="17628" y="24011"/>
                                </a:lnTo>
                                <a:lnTo>
                                  <a:pt x="22858" y="18833"/>
                                </a:lnTo>
                                <a:lnTo>
                                  <a:pt x="22858" y="5644"/>
                                </a:lnTo>
                                <a:lnTo>
                                  <a:pt x="17628" y="0"/>
                                </a:lnTo>
                                <a:close/>
                              </a:path>
                            </a:pathLst>
                          </a:custGeom>
                          <a:solidFill>
                            <a:srgbClr val="000000"/>
                          </a:solidFill>
                        </wps:spPr>
                        <wps:bodyPr wrap="square" lIns="0" tIns="0" rIns="0" bIns="0" rtlCol="0">
                          <a:prstTxWarp prst="textNoShape">
                            <a:avLst/>
                          </a:prstTxWarp>
                          <a:noAutofit/>
                        </wps:bodyPr>
                      </wps:wsp>
                      <wps:wsp>
                        <wps:cNvPr id="2244" name="Graphic 2244"/>
                        <wps:cNvSpPr/>
                        <wps:spPr>
                          <a:xfrm>
                            <a:off x="246201" y="1351950"/>
                            <a:ext cx="22860" cy="24130"/>
                          </a:xfrm>
                          <a:custGeom>
                            <a:avLst/>
                            <a:gdLst/>
                            <a:ahLst/>
                            <a:cxnLst/>
                            <a:rect l="l" t="t" r="r" b="b"/>
                            <a:pathLst>
                              <a:path w="22860" h="24130">
                                <a:moveTo>
                                  <a:pt x="0" y="12238"/>
                                </a:moveTo>
                                <a:lnTo>
                                  <a:pt x="0" y="5644"/>
                                </a:lnTo>
                                <a:lnTo>
                                  <a:pt x="5249" y="0"/>
                                </a:lnTo>
                                <a:lnTo>
                                  <a:pt x="11439" y="0"/>
                                </a:lnTo>
                                <a:lnTo>
                                  <a:pt x="17628" y="0"/>
                                </a:lnTo>
                                <a:lnTo>
                                  <a:pt x="22858" y="5644"/>
                                </a:lnTo>
                                <a:lnTo>
                                  <a:pt x="22858" y="12238"/>
                                </a:lnTo>
                                <a:lnTo>
                                  <a:pt x="22858" y="18833"/>
                                </a:lnTo>
                                <a:lnTo>
                                  <a:pt x="17628" y="24011"/>
                                </a:lnTo>
                                <a:lnTo>
                                  <a:pt x="11439" y="24011"/>
                                </a:lnTo>
                                <a:lnTo>
                                  <a:pt x="5249" y="24011"/>
                                </a:lnTo>
                                <a:lnTo>
                                  <a:pt x="0" y="18833"/>
                                </a:lnTo>
                                <a:lnTo>
                                  <a:pt x="0" y="12238"/>
                                </a:lnTo>
                                <a:close/>
                              </a:path>
                            </a:pathLst>
                          </a:custGeom>
                          <a:ln w="2729">
                            <a:solidFill>
                              <a:srgbClr val="000000"/>
                            </a:solidFill>
                            <a:prstDash val="solid"/>
                          </a:ln>
                        </wps:spPr>
                        <wps:bodyPr wrap="square" lIns="0" tIns="0" rIns="0" bIns="0" rtlCol="0">
                          <a:prstTxWarp prst="textNoShape">
                            <a:avLst/>
                          </a:prstTxWarp>
                          <a:noAutofit/>
                        </wps:bodyPr>
                      </wps:wsp>
                      <wps:wsp>
                        <wps:cNvPr id="2245" name="Graphic 2245"/>
                        <wps:cNvSpPr/>
                        <wps:spPr>
                          <a:xfrm>
                            <a:off x="246201" y="1468731"/>
                            <a:ext cx="22860" cy="24130"/>
                          </a:xfrm>
                          <a:custGeom>
                            <a:avLst/>
                            <a:gdLst/>
                            <a:ahLst/>
                            <a:cxnLst/>
                            <a:rect l="l" t="t" r="r" b="b"/>
                            <a:pathLst>
                              <a:path w="22860" h="24130">
                                <a:moveTo>
                                  <a:pt x="17628" y="0"/>
                                </a:moveTo>
                                <a:lnTo>
                                  <a:pt x="5249" y="0"/>
                                </a:lnTo>
                                <a:lnTo>
                                  <a:pt x="0" y="5178"/>
                                </a:lnTo>
                                <a:lnTo>
                                  <a:pt x="0" y="11773"/>
                                </a:lnTo>
                                <a:lnTo>
                                  <a:pt x="0" y="18348"/>
                                </a:lnTo>
                                <a:lnTo>
                                  <a:pt x="5249" y="23546"/>
                                </a:lnTo>
                                <a:lnTo>
                                  <a:pt x="17628" y="23546"/>
                                </a:lnTo>
                                <a:lnTo>
                                  <a:pt x="22858" y="18348"/>
                                </a:lnTo>
                                <a:lnTo>
                                  <a:pt x="22858" y="5178"/>
                                </a:lnTo>
                                <a:lnTo>
                                  <a:pt x="17628" y="0"/>
                                </a:lnTo>
                                <a:close/>
                              </a:path>
                            </a:pathLst>
                          </a:custGeom>
                          <a:solidFill>
                            <a:srgbClr val="000000"/>
                          </a:solidFill>
                        </wps:spPr>
                        <wps:bodyPr wrap="square" lIns="0" tIns="0" rIns="0" bIns="0" rtlCol="0">
                          <a:prstTxWarp prst="textNoShape">
                            <a:avLst/>
                          </a:prstTxWarp>
                          <a:noAutofit/>
                        </wps:bodyPr>
                      </wps:wsp>
                      <wps:wsp>
                        <wps:cNvPr id="2246" name="Graphic 2246"/>
                        <wps:cNvSpPr/>
                        <wps:spPr>
                          <a:xfrm>
                            <a:off x="246201" y="1468731"/>
                            <a:ext cx="22860" cy="24130"/>
                          </a:xfrm>
                          <a:custGeom>
                            <a:avLst/>
                            <a:gdLst/>
                            <a:ahLst/>
                            <a:cxnLst/>
                            <a:rect l="l" t="t" r="r" b="b"/>
                            <a:pathLst>
                              <a:path w="22860" h="24130">
                                <a:moveTo>
                                  <a:pt x="0" y="11773"/>
                                </a:moveTo>
                                <a:lnTo>
                                  <a:pt x="0" y="5178"/>
                                </a:lnTo>
                                <a:lnTo>
                                  <a:pt x="5249" y="0"/>
                                </a:lnTo>
                                <a:lnTo>
                                  <a:pt x="11439" y="0"/>
                                </a:lnTo>
                                <a:lnTo>
                                  <a:pt x="17628" y="0"/>
                                </a:lnTo>
                                <a:lnTo>
                                  <a:pt x="22858" y="5178"/>
                                </a:lnTo>
                                <a:lnTo>
                                  <a:pt x="22858" y="11773"/>
                                </a:lnTo>
                                <a:lnTo>
                                  <a:pt x="22858" y="18348"/>
                                </a:lnTo>
                                <a:lnTo>
                                  <a:pt x="17628" y="23546"/>
                                </a:lnTo>
                                <a:lnTo>
                                  <a:pt x="11439" y="23546"/>
                                </a:lnTo>
                                <a:lnTo>
                                  <a:pt x="5249" y="23546"/>
                                </a:lnTo>
                                <a:lnTo>
                                  <a:pt x="0" y="18348"/>
                                </a:lnTo>
                                <a:lnTo>
                                  <a:pt x="0" y="11773"/>
                                </a:lnTo>
                                <a:close/>
                              </a:path>
                            </a:pathLst>
                          </a:custGeom>
                          <a:ln w="2729">
                            <a:solidFill>
                              <a:srgbClr val="000000"/>
                            </a:solidFill>
                            <a:prstDash val="solid"/>
                          </a:ln>
                        </wps:spPr>
                        <wps:bodyPr wrap="square" lIns="0" tIns="0" rIns="0" bIns="0" rtlCol="0">
                          <a:prstTxWarp prst="textNoShape">
                            <a:avLst/>
                          </a:prstTxWarp>
                          <a:noAutofit/>
                        </wps:bodyPr>
                      </wps:wsp>
                      <wps:wsp>
                        <wps:cNvPr id="2247" name="Graphic 2247"/>
                        <wps:cNvSpPr/>
                        <wps:spPr>
                          <a:xfrm>
                            <a:off x="2480817" y="315985"/>
                            <a:ext cx="24130" cy="24130"/>
                          </a:xfrm>
                          <a:custGeom>
                            <a:avLst/>
                            <a:gdLst/>
                            <a:ahLst/>
                            <a:cxnLst/>
                            <a:rect l="l" t="t" r="r" b="b"/>
                            <a:pathLst>
                              <a:path w="24130" h="24130">
                                <a:moveTo>
                                  <a:pt x="18608" y="0"/>
                                </a:moveTo>
                                <a:lnTo>
                                  <a:pt x="5288" y="0"/>
                                </a:lnTo>
                                <a:lnTo>
                                  <a:pt x="0" y="5644"/>
                                </a:lnTo>
                                <a:lnTo>
                                  <a:pt x="0" y="12238"/>
                                </a:lnTo>
                                <a:lnTo>
                                  <a:pt x="0" y="18348"/>
                                </a:lnTo>
                                <a:lnTo>
                                  <a:pt x="5288" y="23527"/>
                                </a:lnTo>
                                <a:lnTo>
                                  <a:pt x="18608" y="23527"/>
                                </a:lnTo>
                                <a:lnTo>
                                  <a:pt x="23700" y="18348"/>
                                </a:lnTo>
                                <a:lnTo>
                                  <a:pt x="23700" y="5644"/>
                                </a:lnTo>
                                <a:lnTo>
                                  <a:pt x="18608" y="0"/>
                                </a:lnTo>
                                <a:close/>
                              </a:path>
                            </a:pathLst>
                          </a:custGeom>
                          <a:solidFill>
                            <a:srgbClr val="000000"/>
                          </a:solidFill>
                        </wps:spPr>
                        <wps:bodyPr wrap="square" lIns="0" tIns="0" rIns="0" bIns="0" rtlCol="0">
                          <a:prstTxWarp prst="textNoShape">
                            <a:avLst/>
                          </a:prstTxWarp>
                          <a:noAutofit/>
                        </wps:bodyPr>
                      </wps:wsp>
                      <wps:wsp>
                        <wps:cNvPr id="2248" name="Graphic 2248"/>
                        <wps:cNvSpPr/>
                        <wps:spPr>
                          <a:xfrm>
                            <a:off x="2480817" y="315985"/>
                            <a:ext cx="24130" cy="24130"/>
                          </a:xfrm>
                          <a:custGeom>
                            <a:avLst/>
                            <a:gdLst/>
                            <a:ahLst/>
                            <a:cxnLst/>
                            <a:rect l="l" t="t" r="r" b="b"/>
                            <a:pathLst>
                              <a:path w="24130" h="24130">
                                <a:moveTo>
                                  <a:pt x="0" y="12238"/>
                                </a:moveTo>
                                <a:lnTo>
                                  <a:pt x="0" y="5644"/>
                                </a:lnTo>
                                <a:lnTo>
                                  <a:pt x="5288" y="0"/>
                                </a:lnTo>
                                <a:lnTo>
                                  <a:pt x="11948" y="0"/>
                                </a:lnTo>
                                <a:lnTo>
                                  <a:pt x="18608" y="0"/>
                                </a:lnTo>
                                <a:lnTo>
                                  <a:pt x="23700" y="5644"/>
                                </a:lnTo>
                                <a:lnTo>
                                  <a:pt x="23700" y="12238"/>
                                </a:lnTo>
                                <a:lnTo>
                                  <a:pt x="23700" y="18348"/>
                                </a:lnTo>
                                <a:lnTo>
                                  <a:pt x="18608" y="23527"/>
                                </a:lnTo>
                                <a:lnTo>
                                  <a:pt x="11948" y="23527"/>
                                </a:lnTo>
                                <a:lnTo>
                                  <a:pt x="5288" y="23527"/>
                                </a:lnTo>
                                <a:lnTo>
                                  <a:pt x="0" y="18348"/>
                                </a:lnTo>
                                <a:lnTo>
                                  <a:pt x="0" y="12238"/>
                                </a:lnTo>
                                <a:close/>
                              </a:path>
                            </a:pathLst>
                          </a:custGeom>
                          <a:ln w="2728">
                            <a:solidFill>
                              <a:srgbClr val="000000"/>
                            </a:solidFill>
                            <a:prstDash val="solid"/>
                          </a:ln>
                        </wps:spPr>
                        <wps:bodyPr wrap="square" lIns="0" tIns="0" rIns="0" bIns="0" rtlCol="0">
                          <a:prstTxWarp prst="textNoShape">
                            <a:avLst/>
                          </a:prstTxWarp>
                          <a:noAutofit/>
                        </wps:bodyPr>
                      </wps:wsp>
                      <wps:wsp>
                        <wps:cNvPr id="2249" name="Graphic 2249"/>
                        <wps:cNvSpPr/>
                        <wps:spPr>
                          <a:xfrm>
                            <a:off x="2480817" y="432281"/>
                            <a:ext cx="24130" cy="23495"/>
                          </a:xfrm>
                          <a:custGeom>
                            <a:avLst/>
                            <a:gdLst/>
                            <a:ahLst/>
                            <a:cxnLst/>
                            <a:rect l="l" t="t" r="r" b="b"/>
                            <a:pathLst>
                              <a:path w="24130" h="23495">
                                <a:moveTo>
                                  <a:pt x="18608" y="0"/>
                                </a:moveTo>
                                <a:lnTo>
                                  <a:pt x="5288" y="0"/>
                                </a:lnTo>
                                <a:lnTo>
                                  <a:pt x="0" y="5663"/>
                                </a:lnTo>
                                <a:lnTo>
                                  <a:pt x="0" y="11773"/>
                                </a:lnTo>
                                <a:lnTo>
                                  <a:pt x="0" y="17902"/>
                                </a:lnTo>
                                <a:lnTo>
                                  <a:pt x="5288" y="23080"/>
                                </a:lnTo>
                                <a:lnTo>
                                  <a:pt x="18608" y="23080"/>
                                </a:lnTo>
                                <a:lnTo>
                                  <a:pt x="23700" y="17902"/>
                                </a:lnTo>
                                <a:lnTo>
                                  <a:pt x="23700" y="5663"/>
                                </a:lnTo>
                                <a:lnTo>
                                  <a:pt x="18608" y="0"/>
                                </a:lnTo>
                                <a:close/>
                              </a:path>
                            </a:pathLst>
                          </a:custGeom>
                          <a:solidFill>
                            <a:srgbClr val="000000"/>
                          </a:solidFill>
                        </wps:spPr>
                        <wps:bodyPr wrap="square" lIns="0" tIns="0" rIns="0" bIns="0" rtlCol="0">
                          <a:prstTxWarp prst="textNoShape">
                            <a:avLst/>
                          </a:prstTxWarp>
                          <a:noAutofit/>
                        </wps:bodyPr>
                      </wps:wsp>
                      <wps:wsp>
                        <wps:cNvPr id="2250" name="Graphic 2250"/>
                        <wps:cNvSpPr/>
                        <wps:spPr>
                          <a:xfrm>
                            <a:off x="2480817" y="432281"/>
                            <a:ext cx="24130" cy="23495"/>
                          </a:xfrm>
                          <a:custGeom>
                            <a:avLst/>
                            <a:gdLst/>
                            <a:ahLst/>
                            <a:cxnLst/>
                            <a:rect l="l" t="t" r="r" b="b"/>
                            <a:pathLst>
                              <a:path w="24130" h="23495">
                                <a:moveTo>
                                  <a:pt x="0" y="11773"/>
                                </a:moveTo>
                                <a:lnTo>
                                  <a:pt x="0" y="5663"/>
                                </a:lnTo>
                                <a:lnTo>
                                  <a:pt x="5288" y="0"/>
                                </a:lnTo>
                                <a:lnTo>
                                  <a:pt x="11948" y="0"/>
                                </a:lnTo>
                                <a:lnTo>
                                  <a:pt x="18608" y="0"/>
                                </a:lnTo>
                                <a:lnTo>
                                  <a:pt x="23700" y="5663"/>
                                </a:lnTo>
                                <a:lnTo>
                                  <a:pt x="23700" y="11773"/>
                                </a:lnTo>
                                <a:lnTo>
                                  <a:pt x="23700" y="17902"/>
                                </a:lnTo>
                                <a:lnTo>
                                  <a:pt x="18608" y="23080"/>
                                </a:lnTo>
                                <a:lnTo>
                                  <a:pt x="11948" y="23080"/>
                                </a:lnTo>
                                <a:lnTo>
                                  <a:pt x="5288" y="23080"/>
                                </a:lnTo>
                                <a:lnTo>
                                  <a:pt x="0" y="17902"/>
                                </a:lnTo>
                                <a:lnTo>
                                  <a:pt x="0" y="11773"/>
                                </a:lnTo>
                                <a:close/>
                              </a:path>
                            </a:pathLst>
                          </a:custGeom>
                          <a:ln w="2728">
                            <a:solidFill>
                              <a:srgbClr val="000000"/>
                            </a:solidFill>
                            <a:prstDash val="solid"/>
                          </a:ln>
                        </wps:spPr>
                        <wps:bodyPr wrap="square" lIns="0" tIns="0" rIns="0" bIns="0" rtlCol="0">
                          <a:prstTxWarp prst="textNoShape">
                            <a:avLst/>
                          </a:prstTxWarp>
                          <a:noAutofit/>
                        </wps:bodyPr>
                      </wps:wsp>
                      <wps:wsp>
                        <wps:cNvPr id="2251" name="Graphic 2251"/>
                        <wps:cNvSpPr/>
                        <wps:spPr>
                          <a:xfrm>
                            <a:off x="2480817" y="546716"/>
                            <a:ext cx="24130" cy="24130"/>
                          </a:xfrm>
                          <a:custGeom>
                            <a:avLst/>
                            <a:gdLst/>
                            <a:ahLst/>
                            <a:cxnLst/>
                            <a:rect l="l" t="t" r="r" b="b"/>
                            <a:pathLst>
                              <a:path w="24130" h="24130">
                                <a:moveTo>
                                  <a:pt x="18608" y="0"/>
                                </a:moveTo>
                                <a:lnTo>
                                  <a:pt x="5288" y="0"/>
                                </a:lnTo>
                                <a:lnTo>
                                  <a:pt x="0" y="5644"/>
                                </a:lnTo>
                                <a:lnTo>
                                  <a:pt x="0" y="12238"/>
                                </a:lnTo>
                                <a:lnTo>
                                  <a:pt x="0" y="18833"/>
                                </a:lnTo>
                                <a:lnTo>
                                  <a:pt x="5288" y="24011"/>
                                </a:lnTo>
                                <a:lnTo>
                                  <a:pt x="18608" y="24011"/>
                                </a:lnTo>
                                <a:lnTo>
                                  <a:pt x="23700" y="18833"/>
                                </a:lnTo>
                                <a:lnTo>
                                  <a:pt x="23700" y="5644"/>
                                </a:lnTo>
                                <a:lnTo>
                                  <a:pt x="18608" y="0"/>
                                </a:lnTo>
                                <a:close/>
                              </a:path>
                            </a:pathLst>
                          </a:custGeom>
                          <a:solidFill>
                            <a:srgbClr val="000000"/>
                          </a:solidFill>
                        </wps:spPr>
                        <wps:bodyPr wrap="square" lIns="0" tIns="0" rIns="0" bIns="0" rtlCol="0">
                          <a:prstTxWarp prst="textNoShape">
                            <a:avLst/>
                          </a:prstTxWarp>
                          <a:noAutofit/>
                        </wps:bodyPr>
                      </wps:wsp>
                      <wps:wsp>
                        <wps:cNvPr id="2252" name="Graphic 2252"/>
                        <wps:cNvSpPr/>
                        <wps:spPr>
                          <a:xfrm>
                            <a:off x="2480817" y="546716"/>
                            <a:ext cx="24130" cy="24130"/>
                          </a:xfrm>
                          <a:custGeom>
                            <a:avLst/>
                            <a:gdLst/>
                            <a:ahLst/>
                            <a:cxnLst/>
                            <a:rect l="l" t="t" r="r" b="b"/>
                            <a:pathLst>
                              <a:path w="24130" h="24130">
                                <a:moveTo>
                                  <a:pt x="0" y="12238"/>
                                </a:moveTo>
                                <a:lnTo>
                                  <a:pt x="0" y="5644"/>
                                </a:lnTo>
                                <a:lnTo>
                                  <a:pt x="5288" y="0"/>
                                </a:lnTo>
                                <a:lnTo>
                                  <a:pt x="11948" y="0"/>
                                </a:lnTo>
                                <a:lnTo>
                                  <a:pt x="18608" y="0"/>
                                </a:lnTo>
                                <a:lnTo>
                                  <a:pt x="23700" y="5644"/>
                                </a:lnTo>
                                <a:lnTo>
                                  <a:pt x="23700" y="12238"/>
                                </a:lnTo>
                                <a:lnTo>
                                  <a:pt x="23700" y="18833"/>
                                </a:lnTo>
                                <a:lnTo>
                                  <a:pt x="18608" y="24011"/>
                                </a:lnTo>
                                <a:lnTo>
                                  <a:pt x="11948" y="24011"/>
                                </a:lnTo>
                                <a:lnTo>
                                  <a:pt x="5288" y="24011"/>
                                </a:lnTo>
                                <a:lnTo>
                                  <a:pt x="0" y="18833"/>
                                </a:lnTo>
                                <a:lnTo>
                                  <a:pt x="0" y="12238"/>
                                </a:lnTo>
                                <a:close/>
                              </a:path>
                            </a:pathLst>
                          </a:custGeom>
                          <a:ln w="2728">
                            <a:solidFill>
                              <a:srgbClr val="000000"/>
                            </a:solidFill>
                            <a:prstDash val="solid"/>
                          </a:ln>
                        </wps:spPr>
                        <wps:bodyPr wrap="square" lIns="0" tIns="0" rIns="0" bIns="0" rtlCol="0">
                          <a:prstTxWarp prst="textNoShape">
                            <a:avLst/>
                          </a:prstTxWarp>
                          <a:noAutofit/>
                        </wps:bodyPr>
                      </wps:wsp>
                      <wps:wsp>
                        <wps:cNvPr id="2253" name="Graphic 2253"/>
                        <wps:cNvSpPr/>
                        <wps:spPr>
                          <a:xfrm>
                            <a:off x="2480817" y="662082"/>
                            <a:ext cx="24130" cy="23495"/>
                          </a:xfrm>
                          <a:custGeom>
                            <a:avLst/>
                            <a:gdLst/>
                            <a:ahLst/>
                            <a:cxnLst/>
                            <a:rect l="l" t="t" r="r" b="b"/>
                            <a:pathLst>
                              <a:path w="24130" h="23495">
                                <a:moveTo>
                                  <a:pt x="18608" y="0"/>
                                </a:moveTo>
                                <a:lnTo>
                                  <a:pt x="5288" y="0"/>
                                </a:lnTo>
                                <a:lnTo>
                                  <a:pt x="0" y="5178"/>
                                </a:lnTo>
                                <a:lnTo>
                                  <a:pt x="0" y="11307"/>
                                </a:lnTo>
                                <a:lnTo>
                                  <a:pt x="0" y="17417"/>
                                </a:lnTo>
                                <a:lnTo>
                                  <a:pt x="5288" y="23080"/>
                                </a:lnTo>
                                <a:lnTo>
                                  <a:pt x="18608" y="23080"/>
                                </a:lnTo>
                                <a:lnTo>
                                  <a:pt x="23700" y="17417"/>
                                </a:lnTo>
                                <a:lnTo>
                                  <a:pt x="23700" y="5178"/>
                                </a:lnTo>
                                <a:lnTo>
                                  <a:pt x="18608" y="0"/>
                                </a:lnTo>
                                <a:close/>
                              </a:path>
                            </a:pathLst>
                          </a:custGeom>
                          <a:solidFill>
                            <a:srgbClr val="000000"/>
                          </a:solidFill>
                        </wps:spPr>
                        <wps:bodyPr wrap="square" lIns="0" tIns="0" rIns="0" bIns="0" rtlCol="0">
                          <a:prstTxWarp prst="textNoShape">
                            <a:avLst/>
                          </a:prstTxWarp>
                          <a:noAutofit/>
                        </wps:bodyPr>
                      </wps:wsp>
                      <wps:wsp>
                        <wps:cNvPr id="2254" name="Graphic 2254"/>
                        <wps:cNvSpPr/>
                        <wps:spPr>
                          <a:xfrm>
                            <a:off x="2480817" y="662082"/>
                            <a:ext cx="24130" cy="23495"/>
                          </a:xfrm>
                          <a:custGeom>
                            <a:avLst/>
                            <a:gdLst/>
                            <a:ahLst/>
                            <a:cxnLst/>
                            <a:rect l="l" t="t" r="r" b="b"/>
                            <a:pathLst>
                              <a:path w="24130" h="23495">
                                <a:moveTo>
                                  <a:pt x="0" y="11307"/>
                                </a:moveTo>
                                <a:lnTo>
                                  <a:pt x="0" y="5178"/>
                                </a:lnTo>
                                <a:lnTo>
                                  <a:pt x="5288" y="0"/>
                                </a:lnTo>
                                <a:lnTo>
                                  <a:pt x="11948" y="0"/>
                                </a:lnTo>
                                <a:lnTo>
                                  <a:pt x="18608" y="0"/>
                                </a:lnTo>
                                <a:lnTo>
                                  <a:pt x="23700" y="5178"/>
                                </a:lnTo>
                                <a:lnTo>
                                  <a:pt x="23700" y="11307"/>
                                </a:lnTo>
                                <a:lnTo>
                                  <a:pt x="23700" y="17417"/>
                                </a:lnTo>
                                <a:lnTo>
                                  <a:pt x="18608" y="23080"/>
                                </a:lnTo>
                                <a:lnTo>
                                  <a:pt x="11948" y="23080"/>
                                </a:lnTo>
                                <a:lnTo>
                                  <a:pt x="5288" y="23080"/>
                                </a:lnTo>
                                <a:lnTo>
                                  <a:pt x="0" y="17417"/>
                                </a:lnTo>
                                <a:lnTo>
                                  <a:pt x="0" y="11307"/>
                                </a:lnTo>
                                <a:close/>
                              </a:path>
                            </a:pathLst>
                          </a:custGeom>
                          <a:ln w="2728">
                            <a:solidFill>
                              <a:srgbClr val="000000"/>
                            </a:solidFill>
                            <a:prstDash val="solid"/>
                          </a:ln>
                        </wps:spPr>
                        <wps:bodyPr wrap="square" lIns="0" tIns="0" rIns="0" bIns="0" rtlCol="0">
                          <a:prstTxWarp prst="textNoShape">
                            <a:avLst/>
                          </a:prstTxWarp>
                          <a:noAutofit/>
                        </wps:bodyPr>
                      </wps:wsp>
                      <wps:wsp>
                        <wps:cNvPr id="2255" name="Graphic 2255"/>
                        <wps:cNvSpPr/>
                        <wps:spPr>
                          <a:xfrm>
                            <a:off x="2480817" y="777448"/>
                            <a:ext cx="24130" cy="24130"/>
                          </a:xfrm>
                          <a:custGeom>
                            <a:avLst/>
                            <a:gdLst/>
                            <a:ahLst/>
                            <a:cxnLst/>
                            <a:rect l="l" t="t" r="r" b="b"/>
                            <a:pathLst>
                              <a:path w="24130" h="24130">
                                <a:moveTo>
                                  <a:pt x="18608" y="0"/>
                                </a:moveTo>
                                <a:lnTo>
                                  <a:pt x="5288" y="0"/>
                                </a:lnTo>
                                <a:lnTo>
                                  <a:pt x="0" y="5178"/>
                                </a:lnTo>
                                <a:lnTo>
                                  <a:pt x="0" y="11773"/>
                                </a:lnTo>
                                <a:lnTo>
                                  <a:pt x="0" y="18367"/>
                                </a:lnTo>
                                <a:lnTo>
                                  <a:pt x="5288" y="24011"/>
                                </a:lnTo>
                                <a:lnTo>
                                  <a:pt x="18608" y="24011"/>
                                </a:lnTo>
                                <a:lnTo>
                                  <a:pt x="23700" y="18367"/>
                                </a:lnTo>
                                <a:lnTo>
                                  <a:pt x="23700" y="5178"/>
                                </a:lnTo>
                                <a:lnTo>
                                  <a:pt x="18608" y="0"/>
                                </a:lnTo>
                                <a:close/>
                              </a:path>
                            </a:pathLst>
                          </a:custGeom>
                          <a:solidFill>
                            <a:srgbClr val="000000"/>
                          </a:solidFill>
                        </wps:spPr>
                        <wps:bodyPr wrap="square" lIns="0" tIns="0" rIns="0" bIns="0" rtlCol="0">
                          <a:prstTxWarp prst="textNoShape">
                            <a:avLst/>
                          </a:prstTxWarp>
                          <a:noAutofit/>
                        </wps:bodyPr>
                      </wps:wsp>
                      <wps:wsp>
                        <wps:cNvPr id="2256" name="Graphic 2256"/>
                        <wps:cNvSpPr/>
                        <wps:spPr>
                          <a:xfrm>
                            <a:off x="2480817" y="777448"/>
                            <a:ext cx="24130" cy="24130"/>
                          </a:xfrm>
                          <a:custGeom>
                            <a:avLst/>
                            <a:gdLst/>
                            <a:ahLst/>
                            <a:cxnLst/>
                            <a:rect l="l" t="t" r="r" b="b"/>
                            <a:pathLst>
                              <a:path w="24130" h="24130">
                                <a:moveTo>
                                  <a:pt x="0" y="11773"/>
                                </a:moveTo>
                                <a:lnTo>
                                  <a:pt x="0" y="5178"/>
                                </a:lnTo>
                                <a:lnTo>
                                  <a:pt x="5288" y="0"/>
                                </a:lnTo>
                                <a:lnTo>
                                  <a:pt x="11948" y="0"/>
                                </a:lnTo>
                                <a:lnTo>
                                  <a:pt x="18608" y="0"/>
                                </a:lnTo>
                                <a:lnTo>
                                  <a:pt x="23700" y="5178"/>
                                </a:lnTo>
                                <a:lnTo>
                                  <a:pt x="23700" y="11773"/>
                                </a:lnTo>
                                <a:lnTo>
                                  <a:pt x="23700" y="18367"/>
                                </a:lnTo>
                                <a:lnTo>
                                  <a:pt x="18608" y="24011"/>
                                </a:lnTo>
                                <a:lnTo>
                                  <a:pt x="11948" y="24011"/>
                                </a:lnTo>
                                <a:lnTo>
                                  <a:pt x="5288" y="24011"/>
                                </a:lnTo>
                                <a:lnTo>
                                  <a:pt x="0" y="18367"/>
                                </a:lnTo>
                                <a:lnTo>
                                  <a:pt x="0" y="11773"/>
                                </a:lnTo>
                                <a:close/>
                              </a:path>
                            </a:pathLst>
                          </a:custGeom>
                          <a:ln w="2728">
                            <a:solidFill>
                              <a:srgbClr val="000000"/>
                            </a:solidFill>
                            <a:prstDash val="solid"/>
                          </a:ln>
                        </wps:spPr>
                        <wps:bodyPr wrap="square" lIns="0" tIns="0" rIns="0" bIns="0" rtlCol="0">
                          <a:prstTxWarp prst="textNoShape">
                            <a:avLst/>
                          </a:prstTxWarp>
                          <a:noAutofit/>
                        </wps:bodyPr>
                      </wps:wsp>
                      <wps:wsp>
                        <wps:cNvPr id="2257" name="Graphic 2257"/>
                        <wps:cNvSpPr/>
                        <wps:spPr>
                          <a:xfrm>
                            <a:off x="2480817" y="891883"/>
                            <a:ext cx="24130" cy="24130"/>
                          </a:xfrm>
                          <a:custGeom>
                            <a:avLst/>
                            <a:gdLst/>
                            <a:ahLst/>
                            <a:cxnLst/>
                            <a:rect l="l" t="t" r="r" b="b"/>
                            <a:pathLst>
                              <a:path w="24130" h="24130">
                                <a:moveTo>
                                  <a:pt x="18608" y="0"/>
                                </a:moveTo>
                                <a:lnTo>
                                  <a:pt x="5288" y="0"/>
                                </a:lnTo>
                                <a:lnTo>
                                  <a:pt x="0" y="5178"/>
                                </a:lnTo>
                                <a:lnTo>
                                  <a:pt x="0" y="11773"/>
                                </a:lnTo>
                                <a:lnTo>
                                  <a:pt x="0" y="18367"/>
                                </a:lnTo>
                                <a:lnTo>
                                  <a:pt x="5288" y="23546"/>
                                </a:lnTo>
                                <a:lnTo>
                                  <a:pt x="18608" y="23546"/>
                                </a:lnTo>
                                <a:lnTo>
                                  <a:pt x="23700" y="18367"/>
                                </a:lnTo>
                                <a:lnTo>
                                  <a:pt x="23700" y="5178"/>
                                </a:lnTo>
                                <a:lnTo>
                                  <a:pt x="18608" y="0"/>
                                </a:lnTo>
                                <a:close/>
                              </a:path>
                            </a:pathLst>
                          </a:custGeom>
                          <a:solidFill>
                            <a:srgbClr val="000000"/>
                          </a:solidFill>
                        </wps:spPr>
                        <wps:bodyPr wrap="square" lIns="0" tIns="0" rIns="0" bIns="0" rtlCol="0">
                          <a:prstTxWarp prst="textNoShape">
                            <a:avLst/>
                          </a:prstTxWarp>
                          <a:noAutofit/>
                        </wps:bodyPr>
                      </wps:wsp>
                      <wps:wsp>
                        <wps:cNvPr id="2258" name="Graphic 2258"/>
                        <wps:cNvSpPr/>
                        <wps:spPr>
                          <a:xfrm>
                            <a:off x="2480817" y="891883"/>
                            <a:ext cx="24130" cy="24130"/>
                          </a:xfrm>
                          <a:custGeom>
                            <a:avLst/>
                            <a:gdLst/>
                            <a:ahLst/>
                            <a:cxnLst/>
                            <a:rect l="l" t="t" r="r" b="b"/>
                            <a:pathLst>
                              <a:path w="24130" h="24130">
                                <a:moveTo>
                                  <a:pt x="0" y="11773"/>
                                </a:moveTo>
                                <a:lnTo>
                                  <a:pt x="0" y="5178"/>
                                </a:lnTo>
                                <a:lnTo>
                                  <a:pt x="5288" y="0"/>
                                </a:lnTo>
                                <a:lnTo>
                                  <a:pt x="11948" y="0"/>
                                </a:lnTo>
                                <a:lnTo>
                                  <a:pt x="18608" y="0"/>
                                </a:lnTo>
                                <a:lnTo>
                                  <a:pt x="23700" y="5178"/>
                                </a:lnTo>
                                <a:lnTo>
                                  <a:pt x="23700" y="11773"/>
                                </a:lnTo>
                                <a:lnTo>
                                  <a:pt x="23700" y="18367"/>
                                </a:lnTo>
                                <a:lnTo>
                                  <a:pt x="18608" y="23546"/>
                                </a:lnTo>
                                <a:lnTo>
                                  <a:pt x="11948" y="23546"/>
                                </a:lnTo>
                                <a:lnTo>
                                  <a:pt x="5288" y="23546"/>
                                </a:lnTo>
                                <a:lnTo>
                                  <a:pt x="0" y="18367"/>
                                </a:lnTo>
                                <a:lnTo>
                                  <a:pt x="0" y="11773"/>
                                </a:lnTo>
                                <a:close/>
                              </a:path>
                            </a:pathLst>
                          </a:custGeom>
                          <a:ln w="2728">
                            <a:solidFill>
                              <a:srgbClr val="000000"/>
                            </a:solidFill>
                            <a:prstDash val="solid"/>
                          </a:ln>
                        </wps:spPr>
                        <wps:bodyPr wrap="square" lIns="0" tIns="0" rIns="0" bIns="0" rtlCol="0">
                          <a:prstTxWarp prst="textNoShape">
                            <a:avLst/>
                          </a:prstTxWarp>
                          <a:noAutofit/>
                        </wps:bodyPr>
                      </wps:wsp>
                      <wps:wsp>
                        <wps:cNvPr id="2259" name="Graphic 2259"/>
                        <wps:cNvSpPr/>
                        <wps:spPr>
                          <a:xfrm>
                            <a:off x="2480817" y="1007249"/>
                            <a:ext cx="24130" cy="24130"/>
                          </a:xfrm>
                          <a:custGeom>
                            <a:avLst/>
                            <a:gdLst/>
                            <a:ahLst/>
                            <a:cxnLst/>
                            <a:rect l="l" t="t" r="r" b="b"/>
                            <a:pathLst>
                              <a:path w="24130" h="24130">
                                <a:moveTo>
                                  <a:pt x="18608" y="0"/>
                                </a:moveTo>
                                <a:lnTo>
                                  <a:pt x="5288" y="0"/>
                                </a:lnTo>
                                <a:lnTo>
                                  <a:pt x="0" y="5178"/>
                                </a:lnTo>
                                <a:lnTo>
                                  <a:pt x="0" y="11773"/>
                                </a:lnTo>
                                <a:lnTo>
                                  <a:pt x="0" y="18367"/>
                                </a:lnTo>
                                <a:lnTo>
                                  <a:pt x="5288" y="23546"/>
                                </a:lnTo>
                                <a:lnTo>
                                  <a:pt x="18608" y="23546"/>
                                </a:lnTo>
                                <a:lnTo>
                                  <a:pt x="23700" y="18367"/>
                                </a:lnTo>
                                <a:lnTo>
                                  <a:pt x="23700" y="5178"/>
                                </a:lnTo>
                                <a:lnTo>
                                  <a:pt x="18608" y="0"/>
                                </a:lnTo>
                                <a:close/>
                              </a:path>
                            </a:pathLst>
                          </a:custGeom>
                          <a:solidFill>
                            <a:srgbClr val="000000"/>
                          </a:solidFill>
                        </wps:spPr>
                        <wps:bodyPr wrap="square" lIns="0" tIns="0" rIns="0" bIns="0" rtlCol="0">
                          <a:prstTxWarp prst="textNoShape">
                            <a:avLst/>
                          </a:prstTxWarp>
                          <a:noAutofit/>
                        </wps:bodyPr>
                      </wps:wsp>
                      <wps:wsp>
                        <wps:cNvPr id="2260" name="Graphic 2260"/>
                        <wps:cNvSpPr/>
                        <wps:spPr>
                          <a:xfrm>
                            <a:off x="2480817" y="1007249"/>
                            <a:ext cx="24130" cy="24130"/>
                          </a:xfrm>
                          <a:custGeom>
                            <a:avLst/>
                            <a:gdLst/>
                            <a:ahLst/>
                            <a:cxnLst/>
                            <a:rect l="l" t="t" r="r" b="b"/>
                            <a:pathLst>
                              <a:path w="24130" h="24130">
                                <a:moveTo>
                                  <a:pt x="0" y="11773"/>
                                </a:moveTo>
                                <a:lnTo>
                                  <a:pt x="0" y="5178"/>
                                </a:lnTo>
                                <a:lnTo>
                                  <a:pt x="5288" y="0"/>
                                </a:lnTo>
                                <a:lnTo>
                                  <a:pt x="11948" y="0"/>
                                </a:lnTo>
                                <a:lnTo>
                                  <a:pt x="18608" y="0"/>
                                </a:lnTo>
                                <a:lnTo>
                                  <a:pt x="23700" y="5178"/>
                                </a:lnTo>
                                <a:lnTo>
                                  <a:pt x="23700" y="11773"/>
                                </a:lnTo>
                                <a:lnTo>
                                  <a:pt x="23700" y="18367"/>
                                </a:lnTo>
                                <a:lnTo>
                                  <a:pt x="18608" y="23546"/>
                                </a:lnTo>
                                <a:lnTo>
                                  <a:pt x="11948" y="23546"/>
                                </a:lnTo>
                                <a:lnTo>
                                  <a:pt x="5288" y="23546"/>
                                </a:lnTo>
                                <a:lnTo>
                                  <a:pt x="0" y="18367"/>
                                </a:lnTo>
                                <a:lnTo>
                                  <a:pt x="0" y="11773"/>
                                </a:lnTo>
                                <a:close/>
                              </a:path>
                            </a:pathLst>
                          </a:custGeom>
                          <a:ln w="2728">
                            <a:solidFill>
                              <a:srgbClr val="000000"/>
                            </a:solidFill>
                            <a:prstDash val="solid"/>
                          </a:ln>
                        </wps:spPr>
                        <wps:bodyPr wrap="square" lIns="0" tIns="0" rIns="0" bIns="0" rtlCol="0">
                          <a:prstTxWarp prst="textNoShape">
                            <a:avLst/>
                          </a:prstTxWarp>
                          <a:noAutofit/>
                        </wps:bodyPr>
                      </wps:wsp>
                      <wps:wsp>
                        <wps:cNvPr id="2261" name="Graphic 2261"/>
                        <wps:cNvSpPr/>
                        <wps:spPr>
                          <a:xfrm>
                            <a:off x="2480817" y="1122149"/>
                            <a:ext cx="24130" cy="24130"/>
                          </a:xfrm>
                          <a:custGeom>
                            <a:avLst/>
                            <a:gdLst/>
                            <a:ahLst/>
                            <a:cxnLst/>
                            <a:rect l="l" t="t" r="r" b="b"/>
                            <a:pathLst>
                              <a:path w="24130" h="24130">
                                <a:moveTo>
                                  <a:pt x="18608" y="0"/>
                                </a:moveTo>
                                <a:lnTo>
                                  <a:pt x="5288" y="0"/>
                                </a:lnTo>
                                <a:lnTo>
                                  <a:pt x="0" y="5644"/>
                                </a:lnTo>
                                <a:lnTo>
                                  <a:pt x="0" y="11773"/>
                                </a:lnTo>
                                <a:lnTo>
                                  <a:pt x="0" y="17882"/>
                                </a:lnTo>
                                <a:lnTo>
                                  <a:pt x="5288" y="23546"/>
                                </a:lnTo>
                                <a:lnTo>
                                  <a:pt x="18608" y="23546"/>
                                </a:lnTo>
                                <a:lnTo>
                                  <a:pt x="23700" y="17882"/>
                                </a:lnTo>
                                <a:lnTo>
                                  <a:pt x="23700" y="5644"/>
                                </a:lnTo>
                                <a:lnTo>
                                  <a:pt x="18608" y="0"/>
                                </a:lnTo>
                                <a:close/>
                              </a:path>
                            </a:pathLst>
                          </a:custGeom>
                          <a:solidFill>
                            <a:srgbClr val="000000"/>
                          </a:solidFill>
                        </wps:spPr>
                        <wps:bodyPr wrap="square" lIns="0" tIns="0" rIns="0" bIns="0" rtlCol="0">
                          <a:prstTxWarp prst="textNoShape">
                            <a:avLst/>
                          </a:prstTxWarp>
                          <a:noAutofit/>
                        </wps:bodyPr>
                      </wps:wsp>
                      <wps:wsp>
                        <wps:cNvPr id="2262" name="Graphic 2262"/>
                        <wps:cNvSpPr/>
                        <wps:spPr>
                          <a:xfrm>
                            <a:off x="2480817" y="1122149"/>
                            <a:ext cx="24130" cy="24130"/>
                          </a:xfrm>
                          <a:custGeom>
                            <a:avLst/>
                            <a:gdLst/>
                            <a:ahLst/>
                            <a:cxnLst/>
                            <a:rect l="l" t="t" r="r" b="b"/>
                            <a:pathLst>
                              <a:path w="24130" h="24130">
                                <a:moveTo>
                                  <a:pt x="0" y="11773"/>
                                </a:moveTo>
                                <a:lnTo>
                                  <a:pt x="0" y="5644"/>
                                </a:lnTo>
                                <a:lnTo>
                                  <a:pt x="5288" y="0"/>
                                </a:lnTo>
                                <a:lnTo>
                                  <a:pt x="11948" y="0"/>
                                </a:lnTo>
                                <a:lnTo>
                                  <a:pt x="18608" y="0"/>
                                </a:lnTo>
                                <a:lnTo>
                                  <a:pt x="23700" y="5644"/>
                                </a:lnTo>
                                <a:lnTo>
                                  <a:pt x="23700" y="11773"/>
                                </a:lnTo>
                                <a:lnTo>
                                  <a:pt x="23700" y="17882"/>
                                </a:lnTo>
                                <a:lnTo>
                                  <a:pt x="18608" y="23546"/>
                                </a:lnTo>
                                <a:lnTo>
                                  <a:pt x="11948" y="23546"/>
                                </a:lnTo>
                                <a:lnTo>
                                  <a:pt x="5288" y="23546"/>
                                </a:lnTo>
                                <a:lnTo>
                                  <a:pt x="0" y="17882"/>
                                </a:lnTo>
                                <a:lnTo>
                                  <a:pt x="0" y="11773"/>
                                </a:lnTo>
                                <a:close/>
                              </a:path>
                            </a:pathLst>
                          </a:custGeom>
                          <a:ln w="2728">
                            <a:solidFill>
                              <a:srgbClr val="000000"/>
                            </a:solidFill>
                            <a:prstDash val="solid"/>
                          </a:ln>
                        </wps:spPr>
                        <wps:bodyPr wrap="square" lIns="0" tIns="0" rIns="0" bIns="0" rtlCol="0">
                          <a:prstTxWarp prst="textNoShape">
                            <a:avLst/>
                          </a:prstTxWarp>
                          <a:noAutofit/>
                        </wps:bodyPr>
                      </wps:wsp>
                      <wps:wsp>
                        <wps:cNvPr id="2263" name="Graphic 2263"/>
                        <wps:cNvSpPr/>
                        <wps:spPr>
                          <a:xfrm>
                            <a:off x="2480817" y="1237980"/>
                            <a:ext cx="24130" cy="24130"/>
                          </a:xfrm>
                          <a:custGeom>
                            <a:avLst/>
                            <a:gdLst/>
                            <a:ahLst/>
                            <a:cxnLst/>
                            <a:rect l="l" t="t" r="r" b="b"/>
                            <a:pathLst>
                              <a:path w="24130" h="24130">
                                <a:moveTo>
                                  <a:pt x="18608" y="0"/>
                                </a:moveTo>
                                <a:lnTo>
                                  <a:pt x="5288" y="0"/>
                                </a:lnTo>
                                <a:lnTo>
                                  <a:pt x="0" y="5178"/>
                                </a:lnTo>
                                <a:lnTo>
                                  <a:pt x="0" y="11773"/>
                                </a:lnTo>
                                <a:lnTo>
                                  <a:pt x="0" y="18367"/>
                                </a:lnTo>
                                <a:lnTo>
                                  <a:pt x="5288" y="24031"/>
                                </a:lnTo>
                                <a:lnTo>
                                  <a:pt x="18608" y="24031"/>
                                </a:lnTo>
                                <a:lnTo>
                                  <a:pt x="23700" y="18367"/>
                                </a:lnTo>
                                <a:lnTo>
                                  <a:pt x="23700" y="5178"/>
                                </a:lnTo>
                                <a:lnTo>
                                  <a:pt x="18608" y="0"/>
                                </a:lnTo>
                                <a:close/>
                              </a:path>
                            </a:pathLst>
                          </a:custGeom>
                          <a:solidFill>
                            <a:srgbClr val="000000"/>
                          </a:solidFill>
                        </wps:spPr>
                        <wps:bodyPr wrap="square" lIns="0" tIns="0" rIns="0" bIns="0" rtlCol="0">
                          <a:prstTxWarp prst="textNoShape">
                            <a:avLst/>
                          </a:prstTxWarp>
                          <a:noAutofit/>
                        </wps:bodyPr>
                      </wps:wsp>
                      <wps:wsp>
                        <wps:cNvPr id="2264" name="Graphic 2264"/>
                        <wps:cNvSpPr/>
                        <wps:spPr>
                          <a:xfrm>
                            <a:off x="2480817" y="1237980"/>
                            <a:ext cx="24130" cy="24130"/>
                          </a:xfrm>
                          <a:custGeom>
                            <a:avLst/>
                            <a:gdLst/>
                            <a:ahLst/>
                            <a:cxnLst/>
                            <a:rect l="l" t="t" r="r" b="b"/>
                            <a:pathLst>
                              <a:path w="24130" h="24130">
                                <a:moveTo>
                                  <a:pt x="0" y="11773"/>
                                </a:moveTo>
                                <a:lnTo>
                                  <a:pt x="0" y="5178"/>
                                </a:lnTo>
                                <a:lnTo>
                                  <a:pt x="5288" y="0"/>
                                </a:lnTo>
                                <a:lnTo>
                                  <a:pt x="11948" y="0"/>
                                </a:lnTo>
                                <a:lnTo>
                                  <a:pt x="18608" y="0"/>
                                </a:lnTo>
                                <a:lnTo>
                                  <a:pt x="23700" y="5178"/>
                                </a:lnTo>
                                <a:lnTo>
                                  <a:pt x="23700" y="11773"/>
                                </a:lnTo>
                                <a:lnTo>
                                  <a:pt x="23700" y="18367"/>
                                </a:lnTo>
                                <a:lnTo>
                                  <a:pt x="18608" y="24031"/>
                                </a:lnTo>
                                <a:lnTo>
                                  <a:pt x="11948" y="24031"/>
                                </a:lnTo>
                                <a:lnTo>
                                  <a:pt x="5288" y="24031"/>
                                </a:lnTo>
                                <a:lnTo>
                                  <a:pt x="0" y="18367"/>
                                </a:lnTo>
                                <a:lnTo>
                                  <a:pt x="0" y="11773"/>
                                </a:lnTo>
                                <a:close/>
                              </a:path>
                            </a:pathLst>
                          </a:custGeom>
                          <a:ln w="2729">
                            <a:solidFill>
                              <a:srgbClr val="000000"/>
                            </a:solidFill>
                            <a:prstDash val="solid"/>
                          </a:ln>
                        </wps:spPr>
                        <wps:bodyPr wrap="square" lIns="0" tIns="0" rIns="0" bIns="0" rtlCol="0">
                          <a:prstTxWarp prst="textNoShape">
                            <a:avLst/>
                          </a:prstTxWarp>
                          <a:noAutofit/>
                        </wps:bodyPr>
                      </wps:wsp>
                      <wps:wsp>
                        <wps:cNvPr id="2265" name="Graphic 2265"/>
                        <wps:cNvSpPr/>
                        <wps:spPr>
                          <a:xfrm>
                            <a:off x="2480817" y="1351950"/>
                            <a:ext cx="24130" cy="24130"/>
                          </a:xfrm>
                          <a:custGeom>
                            <a:avLst/>
                            <a:gdLst/>
                            <a:ahLst/>
                            <a:cxnLst/>
                            <a:rect l="l" t="t" r="r" b="b"/>
                            <a:pathLst>
                              <a:path w="24130" h="24130">
                                <a:moveTo>
                                  <a:pt x="18608" y="0"/>
                                </a:moveTo>
                                <a:lnTo>
                                  <a:pt x="5288" y="0"/>
                                </a:lnTo>
                                <a:lnTo>
                                  <a:pt x="0" y="5644"/>
                                </a:lnTo>
                                <a:lnTo>
                                  <a:pt x="0" y="12238"/>
                                </a:lnTo>
                                <a:lnTo>
                                  <a:pt x="0" y="18833"/>
                                </a:lnTo>
                                <a:lnTo>
                                  <a:pt x="5288" y="24011"/>
                                </a:lnTo>
                                <a:lnTo>
                                  <a:pt x="18608" y="24011"/>
                                </a:lnTo>
                                <a:lnTo>
                                  <a:pt x="23700" y="18833"/>
                                </a:lnTo>
                                <a:lnTo>
                                  <a:pt x="23700" y="5644"/>
                                </a:lnTo>
                                <a:lnTo>
                                  <a:pt x="18608" y="0"/>
                                </a:lnTo>
                                <a:close/>
                              </a:path>
                            </a:pathLst>
                          </a:custGeom>
                          <a:solidFill>
                            <a:srgbClr val="000000"/>
                          </a:solidFill>
                        </wps:spPr>
                        <wps:bodyPr wrap="square" lIns="0" tIns="0" rIns="0" bIns="0" rtlCol="0">
                          <a:prstTxWarp prst="textNoShape">
                            <a:avLst/>
                          </a:prstTxWarp>
                          <a:noAutofit/>
                        </wps:bodyPr>
                      </wps:wsp>
                      <wps:wsp>
                        <wps:cNvPr id="2266" name="Graphic 2266"/>
                        <wps:cNvSpPr/>
                        <wps:spPr>
                          <a:xfrm>
                            <a:off x="2480817" y="1351950"/>
                            <a:ext cx="24130" cy="24130"/>
                          </a:xfrm>
                          <a:custGeom>
                            <a:avLst/>
                            <a:gdLst/>
                            <a:ahLst/>
                            <a:cxnLst/>
                            <a:rect l="l" t="t" r="r" b="b"/>
                            <a:pathLst>
                              <a:path w="24130" h="24130">
                                <a:moveTo>
                                  <a:pt x="0" y="12238"/>
                                </a:moveTo>
                                <a:lnTo>
                                  <a:pt x="0" y="5644"/>
                                </a:lnTo>
                                <a:lnTo>
                                  <a:pt x="5288" y="0"/>
                                </a:lnTo>
                                <a:lnTo>
                                  <a:pt x="11948" y="0"/>
                                </a:lnTo>
                                <a:lnTo>
                                  <a:pt x="18608" y="0"/>
                                </a:lnTo>
                                <a:lnTo>
                                  <a:pt x="23700" y="5644"/>
                                </a:lnTo>
                                <a:lnTo>
                                  <a:pt x="23700" y="12238"/>
                                </a:lnTo>
                                <a:lnTo>
                                  <a:pt x="23700" y="18833"/>
                                </a:lnTo>
                                <a:lnTo>
                                  <a:pt x="18608" y="24011"/>
                                </a:lnTo>
                                <a:lnTo>
                                  <a:pt x="11948" y="24011"/>
                                </a:lnTo>
                                <a:lnTo>
                                  <a:pt x="5288" y="24011"/>
                                </a:lnTo>
                                <a:lnTo>
                                  <a:pt x="0" y="18833"/>
                                </a:lnTo>
                                <a:lnTo>
                                  <a:pt x="0" y="12238"/>
                                </a:lnTo>
                                <a:close/>
                              </a:path>
                            </a:pathLst>
                          </a:custGeom>
                          <a:ln w="2728">
                            <a:solidFill>
                              <a:srgbClr val="000000"/>
                            </a:solidFill>
                            <a:prstDash val="solid"/>
                          </a:ln>
                        </wps:spPr>
                        <wps:bodyPr wrap="square" lIns="0" tIns="0" rIns="0" bIns="0" rtlCol="0">
                          <a:prstTxWarp prst="textNoShape">
                            <a:avLst/>
                          </a:prstTxWarp>
                          <a:noAutofit/>
                        </wps:bodyPr>
                      </wps:wsp>
                      <wps:wsp>
                        <wps:cNvPr id="2267" name="Graphic 2267"/>
                        <wps:cNvSpPr/>
                        <wps:spPr>
                          <a:xfrm>
                            <a:off x="2480817" y="1468731"/>
                            <a:ext cx="24130" cy="24130"/>
                          </a:xfrm>
                          <a:custGeom>
                            <a:avLst/>
                            <a:gdLst/>
                            <a:ahLst/>
                            <a:cxnLst/>
                            <a:rect l="l" t="t" r="r" b="b"/>
                            <a:pathLst>
                              <a:path w="24130" h="24130">
                                <a:moveTo>
                                  <a:pt x="18608" y="0"/>
                                </a:moveTo>
                                <a:lnTo>
                                  <a:pt x="5288" y="0"/>
                                </a:lnTo>
                                <a:lnTo>
                                  <a:pt x="0" y="5178"/>
                                </a:lnTo>
                                <a:lnTo>
                                  <a:pt x="0" y="11773"/>
                                </a:lnTo>
                                <a:lnTo>
                                  <a:pt x="0" y="18348"/>
                                </a:lnTo>
                                <a:lnTo>
                                  <a:pt x="5288" y="23546"/>
                                </a:lnTo>
                                <a:lnTo>
                                  <a:pt x="18608" y="23546"/>
                                </a:lnTo>
                                <a:lnTo>
                                  <a:pt x="23700" y="18348"/>
                                </a:lnTo>
                                <a:lnTo>
                                  <a:pt x="23700" y="5178"/>
                                </a:lnTo>
                                <a:lnTo>
                                  <a:pt x="18608" y="0"/>
                                </a:lnTo>
                                <a:close/>
                              </a:path>
                            </a:pathLst>
                          </a:custGeom>
                          <a:solidFill>
                            <a:srgbClr val="000000"/>
                          </a:solidFill>
                        </wps:spPr>
                        <wps:bodyPr wrap="square" lIns="0" tIns="0" rIns="0" bIns="0" rtlCol="0">
                          <a:prstTxWarp prst="textNoShape">
                            <a:avLst/>
                          </a:prstTxWarp>
                          <a:noAutofit/>
                        </wps:bodyPr>
                      </wps:wsp>
                      <wps:wsp>
                        <wps:cNvPr id="2268" name="Graphic 2268"/>
                        <wps:cNvSpPr/>
                        <wps:spPr>
                          <a:xfrm>
                            <a:off x="2480817" y="1468731"/>
                            <a:ext cx="24130" cy="24130"/>
                          </a:xfrm>
                          <a:custGeom>
                            <a:avLst/>
                            <a:gdLst/>
                            <a:ahLst/>
                            <a:cxnLst/>
                            <a:rect l="l" t="t" r="r" b="b"/>
                            <a:pathLst>
                              <a:path w="24130" h="24130">
                                <a:moveTo>
                                  <a:pt x="0" y="11773"/>
                                </a:moveTo>
                                <a:lnTo>
                                  <a:pt x="0" y="5178"/>
                                </a:lnTo>
                                <a:lnTo>
                                  <a:pt x="5288" y="0"/>
                                </a:lnTo>
                                <a:lnTo>
                                  <a:pt x="11948" y="0"/>
                                </a:lnTo>
                                <a:lnTo>
                                  <a:pt x="18608" y="0"/>
                                </a:lnTo>
                                <a:lnTo>
                                  <a:pt x="23700" y="5178"/>
                                </a:lnTo>
                                <a:lnTo>
                                  <a:pt x="23700" y="11773"/>
                                </a:lnTo>
                                <a:lnTo>
                                  <a:pt x="23700" y="18348"/>
                                </a:lnTo>
                                <a:lnTo>
                                  <a:pt x="18608" y="23546"/>
                                </a:lnTo>
                                <a:lnTo>
                                  <a:pt x="11948" y="23546"/>
                                </a:lnTo>
                                <a:lnTo>
                                  <a:pt x="5288" y="23546"/>
                                </a:lnTo>
                                <a:lnTo>
                                  <a:pt x="0" y="18348"/>
                                </a:lnTo>
                                <a:lnTo>
                                  <a:pt x="0" y="11773"/>
                                </a:lnTo>
                                <a:close/>
                              </a:path>
                            </a:pathLst>
                          </a:custGeom>
                          <a:ln w="2728">
                            <a:solidFill>
                              <a:srgbClr val="000000"/>
                            </a:solidFill>
                            <a:prstDash val="solid"/>
                          </a:ln>
                        </wps:spPr>
                        <wps:bodyPr wrap="square" lIns="0" tIns="0" rIns="0" bIns="0" rtlCol="0">
                          <a:prstTxWarp prst="textNoShape">
                            <a:avLst/>
                          </a:prstTxWarp>
                          <a:noAutofit/>
                        </wps:bodyPr>
                      </wps:wsp>
                      <wps:wsp>
                        <wps:cNvPr id="2269" name="Graphic 2269"/>
                        <wps:cNvSpPr/>
                        <wps:spPr>
                          <a:xfrm>
                            <a:off x="2362" y="2362"/>
                            <a:ext cx="3636010" cy="1720214"/>
                          </a:xfrm>
                          <a:custGeom>
                            <a:avLst/>
                            <a:gdLst/>
                            <a:ahLst/>
                            <a:cxnLst/>
                            <a:rect l="l" t="t" r="r" b="b"/>
                            <a:pathLst>
                              <a:path w="3636010" h="1720214">
                                <a:moveTo>
                                  <a:pt x="0" y="1719703"/>
                                </a:moveTo>
                                <a:lnTo>
                                  <a:pt x="3635629" y="1719703"/>
                                </a:lnTo>
                                <a:lnTo>
                                  <a:pt x="3635629" y="0"/>
                                </a:lnTo>
                                <a:lnTo>
                                  <a:pt x="0" y="0"/>
                                </a:lnTo>
                                <a:lnTo>
                                  <a:pt x="0" y="1719703"/>
                                </a:lnTo>
                                <a:close/>
                              </a:path>
                            </a:pathLst>
                          </a:custGeom>
                          <a:ln w="4724">
                            <a:solidFill>
                              <a:srgbClr val="000000"/>
                            </a:solidFill>
                            <a:prstDash val="solid"/>
                          </a:ln>
                        </wps:spPr>
                        <wps:bodyPr wrap="square" lIns="0" tIns="0" rIns="0" bIns="0" rtlCol="0">
                          <a:prstTxWarp prst="textNoShape">
                            <a:avLst/>
                          </a:prstTxWarp>
                          <a:noAutofit/>
                        </wps:bodyPr>
                      </wps:wsp>
                      <wps:wsp>
                        <wps:cNvPr id="2270" name="Textbox 2270"/>
                        <wps:cNvSpPr txBox="1"/>
                        <wps:spPr>
                          <a:xfrm>
                            <a:off x="314777" y="112542"/>
                            <a:ext cx="721360" cy="1421765"/>
                          </a:xfrm>
                          <a:prstGeom prst="rect">
                            <a:avLst/>
                          </a:prstGeom>
                        </wps:spPr>
                        <wps:txbx>
                          <w:txbxContent>
                            <w:p w14:paraId="3EE71FA2" w14:textId="77777777" w:rsidR="00E17A2B" w:rsidRDefault="00E17A2B" w:rsidP="004F0929">
                              <w:pPr>
                                <w:spacing w:line="159" w:lineRule="exact"/>
                                <w:ind w:left="328"/>
                                <w:rPr>
                                  <w:b/>
                                  <w:sz w:val="14"/>
                                </w:rPr>
                              </w:pPr>
                              <w:r>
                                <w:rPr>
                                  <w:b/>
                                  <w:spacing w:val="-4"/>
                                  <w:w w:val="105"/>
                                  <w:sz w:val="14"/>
                                </w:rPr>
                                <w:t>Yang</w:t>
                              </w:r>
                            </w:p>
                            <w:p w14:paraId="43B55B60" w14:textId="77777777" w:rsidR="00E17A2B" w:rsidRDefault="00E17A2B" w:rsidP="004F0929">
                              <w:pPr>
                                <w:spacing w:before="103" w:line="271" w:lineRule="auto"/>
                                <w:rPr>
                                  <w:sz w:val="14"/>
                                </w:rPr>
                              </w:pPr>
                              <w:r>
                                <w:rPr>
                                  <w:spacing w:val="-2"/>
                                  <w:w w:val="105"/>
                                  <w:sz w:val="14"/>
                                </w:rPr>
                                <w:t>Prinzip</w:t>
                              </w:r>
                              <w:r>
                                <w:rPr>
                                  <w:spacing w:val="-8"/>
                                  <w:w w:val="105"/>
                                  <w:sz w:val="14"/>
                                </w:rPr>
                                <w:t xml:space="preserve"> </w:t>
                              </w:r>
                              <w:r>
                                <w:rPr>
                                  <w:spacing w:val="-2"/>
                                  <w:w w:val="105"/>
                                  <w:sz w:val="14"/>
                                </w:rPr>
                                <w:t>des</w:t>
                              </w:r>
                              <w:r>
                                <w:rPr>
                                  <w:spacing w:val="-7"/>
                                  <w:w w:val="105"/>
                                  <w:sz w:val="14"/>
                                </w:rPr>
                                <w:t xml:space="preserve"> </w:t>
                              </w:r>
                              <w:r>
                                <w:rPr>
                                  <w:spacing w:val="-2"/>
                                  <w:w w:val="105"/>
                                  <w:sz w:val="14"/>
                                </w:rPr>
                                <w:t>Gebens</w:t>
                              </w:r>
                              <w:r>
                                <w:rPr>
                                  <w:spacing w:val="40"/>
                                  <w:w w:val="105"/>
                                  <w:sz w:val="14"/>
                                </w:rPr>
                                <w:t xml:space="preserve"> </w:t>
                              </w:r>
                              <w:r>
                                <w:rPr>
                                  <w:spacing w:val="-2"/>
                                  <w:w w:val="105"/>
                                  <w:sz w:val="14"/>
                                </w:rPr>
                                <w:t>Männlich</w:t>
                              </w:r>
                            </w:p>
                            <w:p w14:paraId="1F7F3D55" w14:textId="77777777" w:rsidR="00E17A2B" w:rsidRDefault="00E17A2B" w:rsidP="004F0929">
                              <w:pPr>
                                <w:spacing w:line="271" w:lineRule="auto"/>
                                <w:ind w:right="279"/>
                                <w:rPr>
                                  <w:sz w:val="14"/>
                                </w:rPr>
                              </w:pPr>
                              <w:r>
                                <w:rPr>
                                  <w:spacing w:val="-2"/>
                                  <w:w w:val="105"/>
                                  <w:sz w:val="14"/>
                                </w:rPr>
                                <w:t>Positiv</w:t>
                              </w:r>
                              <w:r>
                                <w:rPr>
                                  <w:spacing w:val="40"/>
                                  <w:w w:val="105"/>
                                  <w:sz w:val="14"/>
                                </w:rPr>
                                <w:t xml:space="preserve"> </w:t>
                              </w:r>
                              <w:r>
                                <w:rPr>
                                  <w:spacing w:val="-2"/>
                                  <w:w w:val="105"/>
                                  <w:sz w:val="14"/>
                                </w:rPr>
                                <w:t>Aktivität</w:t>
                              </w:r>
                              <w:r>
                                <w:rPr>
                                  <w:spacing w:val="40"/>
                                  <w:w w:val="105"/>
                                  <w:sz w:val="14"/>
                                </w:rPr>
                                <w:t xml:space="preserve"> </w:t>
                              </w:r>
                              <w:r>
                                <w:rPr>
                                  <w:spacing w:val="-4"/>
                                  <w:w w:val="105"/>
                                  <w:sz w:val="14"/>
                                </w:rPr>
                                <w:t>Bewegung</w:t>
                              </w:r>
                              <w:r>
                                <w:rPr>
                                  <w:spacing w:val="40"/>
                                  <w:w w:val="105"/>
                                  <w:sz w:val="14"/>
                                </w:rPr>
                                <w:t xml:space="preserve"> </w:t>
                              </w:r>
                              <w:r>
                                <w:rPr>
                                  <w:spacing w:val="-2"/>
                                  <w:w w:val="105"/>
                                  <w:sz w:val="14"/>
                                </w:rPr>
                                <w:t>Festigkeit</w:t>
                              </w:r>
                              <w:r>
                                <w:rPr>
                                  <w:spacing w:val="40"/>
                                  <w:w w:val="105"/>
                                  <w:sz w:val="14"/>
                                </w:rPr>
                                <w:t xml:space="preserve"> </w:t>
                              </w:r>
                              <w:r>
                                <w:rPr>
                                  <w:spacing w:val="-2"/>
                                  <w:w w:val="105"/>
                                  <w:sz w:val="14"/>
                                </w:rPr>
                                <w:t>Härte</w:t>
                              </w:r>
                            </w:p>
                            <w:p w14:paraId="6F6095FB" w14:textId="77777777" w:rsidR="00E17A2B" w:rsidRDefault="00E17A2B" w:rsidP="004F0929">
                              <w:pPr>
                                <w:spacing w:line="271" w:lineRule="auto"/>
                                <w:ind w:right="658"/>
                                <w:rPr>
                                  <w:sz w:val="14"/>
                                </w:rPr>
                              </w:pPr>
                              <w:r>
                                <w:rPr>
                                  <w:spacing w:val="-4"/>
                                  <w:w w:val="105"/>
                                  <w:sz w:val="14"/>
                                </w:rPr>
                                <w:t>Tag</w:t>
                              </w:r>
                              <w:r>
                                <w:rPr>
                                  <w:spacing w:val="40"/>
                                  <w:w w:val="105"/>
                                  <w:sz w:val="14"/>
                                </w:rPr>
                                <w:t xml:space="preserve"> </w:t>
                              </w:r>
                              <w:r>
                                <w:rPr>
                                  <w:spacing w:val="-4"/>
                                  <w:w w:val="105"/>
                                  <w:sz w:val="14"/>
                                </w:rPr>
                                <w:t>Himmel</w:t>
                              </w:r>
                              <w:r>
                                <w:rPr>
                                  <w:spacing w:val="40"/>
                                  <w:w w:val="105"/>
                                  <w:sz w:val="14"/>
                                </w:rPr>
                                <w:t xml:space="preserve"> </w:t>
                              </w:r>
                              <w:r>
                                <w:rPr>
                                  <w:spacing w:val="-2"/>
                                  <w:w w:val="105"/>
                                  <w:sz w:val="14"/>
                                </w:rPr>
                                <w:t>Licht</w:t>
                              </w:r>
                              <w:r>
                                <w:rPr>
                                  <w:spacing w:val="40"/>
                                  <w:w w:val="105"/>
                                  <w:sz w:val="14"/>
                                </w:rPr>
                                <w:t xml:space="preserve"> </w:t>
                              </w:r>
                              <w:r>
                                <w:rPr>
                                  <w:spacing w:val="-2"/>
                                  <w:w w:val="105"/>
                                  <w:sz w:val="14"/>
                                </w:rPr>
                                <w:t>Hitze</w:t>
                              </w:r>
                            </w:p>
                          </w:txbxContent>
                        </wps:txbx>
                        <wps:bodyPr wrap="square" lIns="0" tIns="0" rIns="0" bIns="0" rtlCol="0">
                          <a:noAutofit/>
                        </wps:bodyPr>
                      </wps:wsp>
                      <wps:wsp>
                        <wps:cNvPr id="2271" name="Textbox 2271"/>
                        <wps:cNvSpPr txBox="1"/>
                        <wps:spPr>
                          <a:xfrm>
                            <a:off x="2549374" y="112542"/>
                            <a:ext cx="904875" cy="1421765"/>
                          </a:xfrm>
                          <a:prstGeom prst="rect">
                            <a:avLst/>
                          </a:prstGeom>
                        </wps:spPr>
                        <wps:txbx>
                          <w:txbxContent>
                            <w:p w14:paraId="69698751" w14:textId="77777777" w:rsidR="00E17A2B" w:rsidRDefault="00E17A2B" w:rsidP="004F0929">
                              <w:pPr>
                                <w:spacing w:line="159" w:lineRule="exact"/>
                                <w:ind w:left="507" w:right="664"/>
                                <w:jc w:val="center"/>
                                <w:rPr>
                                  <w:b/>
                                  <w:sz w:val="14"/>
                                </w:rPr>
                              </w:pPr>
                              <w:r>
                                <w:rPr>
                                  <w:b/>
                                  <w:spacing w:val="-5"/>
                                  <w:w w:val="105"/>
                                  <w:sz w:val="14"/>
                                </w:rPr>
                                <w:t>Yin</w:t>
                              </w:r>
                            </w:p>
                            <w:p w14:paraId="10791920" w14:textId="77777777" w:rsidR="00E17A2B" w:rsidRDefault="00E17A2B" w:rsidP="004F0929">
                              <w:pPr>
                                <w:spacing w:before="103" w:line="271" w:lineRule="auto"/>
                                <w:rPr>
                                  <w:sz w:val="14"/>
                                </w:rPr>
                              </w:pPr>
                              <w:r>
                                <w:rPr>
                                  <w:spacing w:val="-2"/>
                                  <w:w w:val="105"/>
                                  <w:sz w:val="14"/>
                                </w:rPr>
                                <w:t>Prinzip</w:t>
                              </w:r>
                              <w:r>
                                <w:rPr>
                                  <w:spacing w:val="-8"/>
                                  <w:w w:val="105"/>
                                  <w:sz w:val="14"/>
                                </w:rPr>
                                <w:t xml:space="preserve"> </w:t>
                              </w:r>
                              <w:r>
                                <w:rPr>
                                  <w:spacing w:val="-2"/>
                                  <w:w w:val="105"/>
                                  <w:sz w:val="14"/>
                                </w:rPr>
                                <w:t>des</w:t>
                              </w:r>
                              <w:r>
                                <w:rPr>
                                  <w:spacing w:val="-7"/>
                                  <w:w w:val="105"/>
                                  <w:sz w:val="14"/>
                                </w:rPr>
                                <w:t xml:space="preserve"> </w:t>
                              </w:r>
                              <w:r>
                                <w:rPr>
                                  <w:spacing w:val="-2"/>
                                  <w:w w:val="105"/>
                                  <w:sz w:val="14"/>
                                </w:rPr>
                                <w:t>Empfangens</w:t>
                              </w:r>
                              <w:r>
                                <w:rPr>
                                  <w:spacing w:val="40"/>
                                  <w:w w:val="105"/>
                                  <w:sz w:val="14"/>
                                </w:rPr>
                                <w:t xml:space="preserve"> </w:t>
                              </w:r>
                              <w:r>
                                <w:rPr>
                                  <w:spacing w:val="-2"/>
                                  <w:w w:val="105"/>
                                  <w:sz w:val="14"/>
                                </w:rPr>
                                <w:t>Weiblich</w:t>
                              </w:r>
                            </w:p>
                            <w:p w14:paraId="10C5AD48" w14:textId="77777777" w:rsidR="00E17A2B" w:rsidRDefault="00E17A2B" w:rsidP="004F0929">
                              <w:pPr>
                                <w:spacing w:line="271" w:lineRule="auto"/>
                                <w:ind w:right="541"/>
                                <w:rPr>
                                  <w:sz w:val="14"/>
                                </w:rPr>
                              </w:pPr>
                              <w:r>
                                <w:rPr>
                                  <w:spacing w:val="-2"/>
                                  <w:w w:val="105"/>
                                  <w:sz w:val="14"/>
                                </w:rPr>
                                <w:t>Negativ</w:t>
                              </w:r>
                              <w:r>
                                <w:rPr>
                                  <w:spacing w:val="40"/>
                                  <w:w w:val="105"/>
                                  <w:sz w:val="14"/>
                                </w:rPr>
                                <w:t xml:space="preserve"> </w:t>
                              </w:r>
                              <w:r>
                                <w:rPr>
                                  <w:spacing w:val="-2"/>
                                  <w:w w:val="105"/>
                                  <w:sz w:val="14"/>
                                </w:rPr>
                                <w:t>Passivität</w:t>
                              </w:r>
                              <w:r>
                                <w:rPr>
                                  <w:spacing w:val="80"/>
                                  <w:w w:val="105"/>
                                  <w:sz w:val="14"/>
                                </w:rPr>
                                <w:t xml:space="preserve"> </w:t>
                              </w:r>
                              <w:r>
                                <w:rPr>
                                  <w:spacing w:val="-4"/>
                                  <w:w w:val="105"/>
                                  <w:sz w:val="14"/>
                                </w:rPr>
                                <w:t>Ruhe</w:t>
                              </w:r>
                              <w:r>
                                <w:rPr>
                                  <w:spacing w:val="40"/>
                                  <w:w w:val="105"/>
                                  <w:sz w:val="14"/>
                                </w:rPr>
                                <w:t xml:space="preserve"> </w:t>
                              </w:r>
                              <w:r>
                                <w:rPr>
                                  <w:spacing w:val="-2"/>
                                  <w:w w:val="105"/>
                                  <w:sz w:val="14"/>
                                </w:rPr>
                                <w:t>Nachgiebigkeit</w:t>
                              </w:r>
                              <w:r>
                                <w:rPr>
                                  <w:spacing w:val="40"/>
                                  <w:w w:val="105"/>
                                  <w:sz w:val="14"/>
                                </w:rPr>
                                <w:t xml:space="preserve"> </w:t>
                              </w:r>
                              <w:r>
                                <w:rPr>
                                  <w:spacing w:val="-2"/>
                                  <w:w w:val="105"/>
                                  <w:sz w:val="14"/>
                                </w:rPr>
                                <w:t>Weichheit</w:t>
                              </w:r>
                              <w:r>
                                <w:rPr>
                                  <w:spacing w:val="40"/>
                                  <w:w w:val="105"/>
                                  <w:sz w:val="14"/>
                                </w:rPr>
                                <w:t xml:space="preserve"> </w:t>
                              </w:r>
                              <w:r>
                                <w:rPr>
                                  <w:spacing w:val="-2"/>
                                  <w:w w:val="105"/>
                                  <w:sz w:val="14"/>
                                </w:rPr>
                                <w:t>Nacht</w:t>
                              </w:r>
                            </w:p>
                            <w:p w14:paraId="0A954FAB" w14:textId="77777777" w:rsidR="00E17A2B" w:rsidRDefault="00E17A2B" w:rsidP="004F0929">
                              <w:pPr>
                                <w:spacing w:line="271" w:lineRule="auto"/>
                                <w:ind w:right="771"/>
                                <w:rPr>
                                  <w:sz w:val="14"/>
                                </w:rPr>
                              </w:pPr>
                              <w:r>
                                <w:rPr>
                                  <w:spacing w:val="-4"/>
                                  <w:w w:val="105"/>
                                  <w:sz w:val="14"/>
                                </w:rPr>
                                <w:t>Erde</w:t>
                              </w:r>
                              <w:r>
                                <w:rPr>
                                  <w:spacing w:val="40"/>
                                  <w:w w:val="105"/>
                                  <w:sz w:val="14"/>
                                </w:rPr>
                                <w:t xml:space="preserve"> </w:t>
                              </w:r>
                              <w:r>
                                <w:rPr>
                                  <w:spacing w:val="-2"/>
                                  <w:w w:val="105"/>
                                  <w:sz w:val="14"/>
                                </w:rPr>
                                <w:t>Dunkelheit</w:t>
                              </w:r>
                              <w:r>
                                <w:rPr>
                                  <w:spacing w:val="40"/>
                                  <w:w w:val="105"/>
                                  <w:sz w:val="14"/>
                                </w:rPr>
                                <w:t xml:space="preserve"> </w:t>
                              </w:r>
                              <w:r>
                                <w:rPr>
                                  <w:spacing w:val="-2"/>
                                  <w:w w:val="105"/>
                                  <w:sz w:val="14"/>
                                </w:rPr>
                                <w:t>Kälte</w:t>
                              </w:r>
                            </w:p>
                          </w:txbxContent>
                        </wps:txbx>
                        <wps:bodyPr wrap="square" lIns="0" tIns="0" rIns="0" bIns="0" rtlCol="0">
                          <a:noAutofit/>
                        </wps:bodyPr>
                      </wps:wsp>
                    </wpg:wgp>
                  </a:graphicData>
                </a:graphic>
              </wp:inline>
            </w:drawing>
          </mc:Choice>
          <mc:Fallback>
            <w:pict>
              <v:group w14:anchorId="58BA882A" id="Group 2223" o:spid="_x0000_s1105" style="width:450pt;height:154.55pt;mso-position-horizontal-relative:char;mso-position-vertical-relative:line" coordsize="36404,172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">
                <v:shape id="Image 2224" o:spid="_x0000_s1106" type="#_x0000_t75" style="position:absolute;left:9582;top:1610;width:13706;height:13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">
                  <v:imagedata r:id="rId196" o:title=""/>
                </v:shape>
                <v:shape id="Graphic 2225" o:spid="_x0000_s1107" style="position:absolute;left:2462;top:3159;width:228;height:242;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" path="m17628,l5249,,,5644r,6594l,18348r5249,5179l17628,23527r5230,-5179l22858,5644,17628,xe" fillcolor="black" stroked="f">
                  <v:path arrowok="t"/>
                </v:shape>
                <v:shape id="Graphic 2226" o:spid="_x0000_s1108" style="position:absolute;left:2462;top:3159;width:228;height:242;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" path="m,12238l,5644,5249,r6190,l17628,r5230,5644l22858,12238r,6110l17628,23527r-6189,l5249,23527,,18348,,12238xe" filled="f" strokeweight=".07581mm">
                  <v:path arrowok="t"/>
                </v:shape>
                <v:shape id="Graphic 2227" o:spid="_x0000_s1109" style="position:absolute;left:2462;top:4322;width:228;height:235;visibility:visible;mso-wrap-style:square;v-text-anchor:top" coordsize="22860,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" path="m17628,l5249,,,5663r,6110l,17902r5249,5178l17628,23080r5230,-5178l22858,5663,17628,xe" fillcolor="black" stroked="f">
                  <v:path arrowok="t"/>
                </v:shape>
                <v:shape id="Graphic 2228" o:spid="_x0000_s1110" style="position:absolute;left:2462;top:4322;width:228;height:235;visibility:visible;mso-wrap-style:square;v-text-anchor:top" coordsize="22860,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" path="m,11773l,5663,5249,r6190,l17628,r5230,5663l22858,11773r,6129l17628,23080r-6189,l5249,23080,,17902,,11773xe" filled="f" strokeweight=".07578mm">
                  <v:path arrowok="t"/>
                </v:shape>
                <v:shape id="Graphic 2229" o:spid="_x0000_s1111" style="position:absolute;left:2462;top:5467;width:228;height:241;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" path="m17628,l5249,,,5644r,6594l,18833r5249,5178l17628,24011r5230,-5178l22858,5644,17628,xe" fillcolor="black" stroked="f">
                  <v:path arrowok="t"/>
                </v:shape>
                <v:shape id="Graphic 2230" o:spid="_x0000_s1112" style="position:absolute;left:2462;top:5467;width:228;height:241;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" path="m,12238l,5644,5249,r6190,l17628,r5230,5644l22858,12238r,6595l17628,24011r-6189,l5249,24011,,18833,,12238xe" filled="f" strokeweight=".07581mm">
                  <v:path arrowok="t"/>
                </v:shape>
                <v:shape id="Graphic 2231" o:spid="_x0000_s1113" style="position:absolute;left:2462;top:6620;width:228;height:235;visibility:visible;mso-wrap-style:square;v-text-anchor:top" coordsize="22860,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" path="m17628,l5249,,,5178r,6129l,17417r5249,5663l17628,23080r5230,-5663l22858,5178,17628,xe" fillcolor="black" stroked="f">
                  <v:path arrowok="t"/>
                </v:shape>
                <v:shape id="Graphic 2232" o:spid="_x0000_s1114" style="position:absolute;left:2462;top:6620;width:228;height:235;visibility:visible;mso-wrap-style:square;v-text-anchor:top" coordsize="22860,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" path="m,11307l,5178,5249,r6190,l17628,r5230,5178l22858,11307r,6110l17628,23080r-6189,l5249,23080,,17417,,11307xe" filled="f" strokeweight=".07578mm">
                  <v:path arrowok="t"/>
                </v:shape>
                <v:shape id="Graphic 2233" o:spid="_x0000_s1115" style="position:absolute;left:2462;top:7774;width:228;height:241;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" path="m17628,l5249,,,5178r,6595l,18367r5249,5644l17628,24011r5230,-5644l22858,5178,17628,xe" fillcolor="black" stroked="f">
                  <v:path arrowok="t"/>
                </v:shape>
                <v:shape id="Graphic 2234" o:spid="_x0000_s1116" style="position:absolute;left:2462;top:7774;width:228;height:241;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" path="m,11773l,5178,5249,r6190,l17628,r5230,5178l22858,11773r,6594l17628,24011r-6189,l5249,24011,,18367,,11773xe" filled="f" strokeweight=".07581mm">
                  <v:path arrowok="t"/>
                </v:shape>
                <v:shape id="Graphic 2235" o:spid="_x0000_s1117" style="position:absolute;left:2462;top:8918;width:228;height:242;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" path="m17628,l5249,,,5178r,6595l,18367r5249,5179l17628,23546r5230,-5179l22858,5178,17628,xe" fillcolor="black" stroked="f">
                  <v:path arrowok="t"/>
                </v:shape>
                <v:shape id="Graphic 2236" o:spid="_x0000_s1118" style="position:absolute;left:2462;top:8918;width:228;height:242;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" path="m,11773l,5178,5249,r6190,l17628,r5230,5178l22858,11773r,6594l17628,23546r-6189,l5249,23546,,18367,,11773xe" filled="f" strokeweight=".07581mm">
                  <v:path arrowok="t"/>
                </v:shape>
                <v:shape id="Graphic 2237" o:spid="_x0000_s1119" style="position:absolute;left:2462;top:10072;width:228;height:241;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" path="m17628,l5249,,,5178r,6595l,18367r5249,5179l17628,23546r5230,-5179l22858,5178,17628,xe" fillcolor="black" stroked="f">
                  <v:path arrowok="t"/>
                </v:shape>
                <v:shape id="Graphic 2238" o:spid="_x0000_s1120" style="position:absolute;left:2462;top:10072;width:228;height:241;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" path="m,11773l,5178,5249,r6190,l17628,r5230,5178l22858,11773r,6594l17628,23546r-6189,l5249,23546,,18367,,11773xe" filled="f" strokeweight=".07581mm">
                  <v:path arrowok="t"/>
                </v:shape>
                <v:shape id="Graphic 2239" o:spid="_x0000_s1121" style="position:absolute;left:2462;top:11221;width:228;height:241;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" path="m17628,l5249,,,5644r,6129l,17882r5249,5664l17628,23546r5230,-5664l22858,5644,17628,xe" fillcolor="black" stroked="f">
                  <v:path arrowok="t"/>
                </v:shape>
                <v:shape id="Graphic 2240" o:spid="_x0000_s1122" style="position:absolute;left:2462;top:11221;width:228;height:241;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" path="m,11773l,5644,5249,r6190,l17628,r5230,5644l22858,11773r,6109l17628,23546r-6189,l5249,23546,,17882,,11773xe" filled="f" strokeweight=".07581mm">
                  <v:path arrowok="t"/>
                </v:shape>
                <v:shape id="Graphic 2241" o:spid="_x0000_s1123" style="position:absolute;left:2462;top:12379;width:228;height:242;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" path="m17628,l5249,,,5178r,6595l,18367r5249,5664l17628,24031r5230,-5664l22858,5178,17628,xe" fillcolor="black" stroked="f">
                  <v:path arrowok="t"/>
                </v:shape>
                <v:shape id="Graphic 2242" o:spid="_x0000_s1124" style="position:absolute;left:2462;top:12379;width:228;height:242;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" path="m,11773l,5178,5249,r6190,l17628,r5230,5178l22858,11773r,6594l17628,24031r-6189,l5249,24031,,18367,,11773xe" filled="f" strokeweight=".07581mm">
                  <v:path arrowok="t"/>
                </v:shape>
                <v:shape id="Graphic 2243" o:spid="_x0000_s1125" style="position:absolute;left:2462;top:13519;width:228;height:241;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" path="m17628,l5249,,,5644r,6594l,18833r5249,5178l17628,24011r5230,-5178l22858,5644,17628,xe" fillcolor="black" stroked="f">
                  <v:path arrowok="t"/>
                </v:shape>
                <v:shape id="Graphic 2244" o:spid="_x0000_s1126" style="position:absolute;left:2462;top:13519;width:228;height:241;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" path="m,12238l,5644,5249,r6190,l17628,r5230,5644l22858,12238r,6595l17628,24011r-6189,l5249,24011,,18833,,12238xe" filled="f" strokeweight=".07581mm">
                  <v:path arrowok="t"/>
                </v:shape>
                <v:shape id="Graphic 2245" o:spid="_x0000_s1127" style="position:absolute;left:2462;top:14687;width:228;height:241;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" path="m17628,l5249,,,5178r,6595l,18348r5249,5198l17628,23546r5230,-5198l22858,5178,17628,xe" fillcolor="black" stroked="f">
                  <v:path arrowok="t"/>
                </v:shape>
                <v:shape id="Graphic 2246" o:spid="_x0000_s1128" style="position:absolute;left:2462;top:14687;width:228;height:241;visibility:visible;mso-wrap-style:square;v-text-anchor:top" coordsize="2286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" path="m,11773l,5178,5249,r6190,l17628,r5230,5178l22858,11773r,6575l17628,23546r-6189,l5249,23546,,18348,,11773xe" filled="f" strokeweight=".07581mm">
                  <v:path arrowok="t"/>
                </v:shape>
                <v:shape id="Graphic 2247" o:spid="_x0000_s1129" style="position:absolute;left:24808;top:3159;width:241;height:242;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" path="m18608,l5288,,,5644r,6594l,18348r5288,5179l18608,23527r5092,-5179l23700,5644,18608,xe" fillcolor="black" stroked="f">
                  <v:path arrowok="t"/>
                </v:shape>
                <v:shape id="Graphic 2248" o:spid="_x0000_s1130" style="position:absolute;left:24808;top:3159;width:241;height:242;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" path="m,12238l,5644,5288,r6660,l18608,r5092,5644l23700,12238r,6110l18608,23527r-6660,l5288,23527,,18348,,12238xe" filled="f" strokeweight=".07578mm">
                  <v:path arrowok="t"/>
                </v:shape>
                <v:shape id="Graphic 2249" o:spid="_x0000_s1131" style="position:absolute;left:24808;top:4322;width:241;height:235;visibility:visible;mso-wrap-style:square;v-text-anchor:top" coordsize="24130,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" path="m18608,l5288,,,5663r,6110l,17902r5288,5178l18608,23080r5092,-5178l23700,5663,18608,xe" fillcolor="black" stroked="f">
                  <v:path arrowok="t"/>
                </v:shape>
                <v:shape id="Graphic 2250" o:spid="_x0000_s1132" style="position:absolute;left:24808;top:4322;width:241;height:235;visibility:visible;mso-wrap-style:square;v-text-anchor:top" coordsize="24130,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" path="m,11773l,5663,5288,r6660,l18608,r5092,5663l23700,11773r,6129l18608,23080r-6660,l5288,23080,,17902,,11773xe" filled="f" strokeweight=".07578mm">
                  <v:path arrowok="t"/>
                </v:shape>
                <v:shape id="Graphic 2251" o:spid="_x0000_s1133" style="position:absolute;left:24808;top:5467;width:241;height:241;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" path="m18608,l5288,,,5644r,6594l,18833r5288,5178l18608,24011r5092,-5178l23700,5644,18608,xe" fillcolor="black" stroked="f">
                  <v:path arrowok="t"/>
                </v:shape>
                <v:shape id="Graphic 2252" o:spid="_x0000_s1134" style="position:absolute;left:24808;top:5467;width:241;height:241;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" path="m,12238l,5644,5288,r6660,l18608,r5092,5644l23700,12238r,6595l18608,24011r-6660,l5288,24011,,18833,,12238xe" filled="f" strokeweight=".07578mm">
                  <v:path arrowok="t"/>
                </v:shape>
                <v:shape id="Graphic 2253" o:spid="_x0000_s1135" style="position:absolute;left:24808;top:6620;width:241;height:235;visibility:visible;mso-wrap-style:square;v-text-anchor:top" coordsize="24130,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" path="m18608,l5288,,,5178r,6129l,17417r5288,5663l18608,23080r5092,-5663l23700,5178,18608,xe" fillcolor="black" stroked="f">
                  <v:path arrowok="t"/>
                </v:shape>
                <v:shape id="Graphic 2254" o:spid="_x0000_s1136" style="position:absolute;left:24808;top:6620;width:241;height:235;visibility:visible;mso-wrap-style:square;v-text-anchor:top" coordsize="24130,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" path="m,11307l,5178,5288,r6660,l18608,r5092,5178l23700,11307r,6110l18608,23080r-6660,l5288,23080,,17417,,11307xe" filled="f" strokeweight=".07578mm">
                  <v:path arrowok="t"/>
                </v:shape>
                <v:shape id="Graphic 2255" o:spid="_x0000_s1137" style="position:absolute;left:24808;top:7774;width:241;height:241;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" path="m18608,l5288,,,5178r,6595l,18367r5288,5644l18608,24011r5092,-5644l23700,5178,18608,xe" fillcolor="black" stroked="f">
                  <v:path arrowok="t"/>
                </v:shape>
                <v:shape id="Graphic 2256" o:spid="_x0000_s1138" style="position:absolute;left:24808;top:7774;width:241;height:241;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" path="m,11773l,5178,5288,r6660,l18608,r5092,5178l23700,11773r,6594l18608,24011r-6660,l5288,24011,,18367,,11773xe" filled="f" strokeweight=".07578mm">
                  <v:path arrowok="t"/>
                </v:shape>
                <v:shape id="Graphic 2257" o:spid="_x0000_s1139" style="position:absolute;left:24808;top:8918;width:241;height:242;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" path="m18608,l5288,,,5178r,6595l,18367r5288,5179l18608,23546r5092,-5179l23700,5178,18608,xe" fillcolor="black" stroked="f">
                  <v:path arrowok="t"/>
                </v:shape>
                <v:shape id="Graphic 2258" o:spid="_x0000_s1140" style="position:absolute;left:24808;top:8918;width:241;height:242;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" path="m,11773l,5178,5288,r6660,l18608,r5092,5178l23700,11773r,6594l18608,23546r-6660,l5288,23546,,18367,,11773xe" filled="f" strokeweight=".07578mm">
                  <v:path arrowok="t"/>
                </v:shape>
                <v:shape id="Graphic 2259" o:spid="_x0000_s1141" style="position:absolute;left:24808;top:10072;width:241;height:241;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" path="m18608,l5288,,,5178r,6595l,18367r5288,5179l18608,23546r5092,-5179l23700,5178,18608,xe" fillcolor="black" stroked="f">
                  <v:path arrowok="t"/>
                </v:shape>
                <v:shape id="Graphic 2260" o:spid="_x0000_s1142" style="position:absolute;left:24808;top:10072;width:241;height:241;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" path="m,11773l,5178,5288,r6660,l18608,r5092,5178l23700,11773r,6594l18608,23546r-6660,l5288,23546,,18367,,11773xe" filled="f" strokeweight=".07578mm">
                  <v:path arrowok="t"/>
                </v:shape>
                <v:shape id="Graphic 2261" o:spid="_x0000_s1143" style="position:absolute;left:24808;top:11221;width:241;height:241;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" path="m18608,l5288,,,5644r,6129l,17882r5288,5664l18608,23546r5092,-5664l23700,5644,18608,xe" fillcolor="black" stroked="f">
                  <v:path arrowok="t"/>
                </v:shape>
                <v:shape id="Graphic 2262" o:spid="_x0000_s1144" style="position:absolute;left:24808;top:11221;width:241;height:241;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" path="m,11773l,5644,5288,r6660,l18608,r5092,5644l23700,11773r,6109l18608,23546r-6660,l5288,23546,,17882,,11773xe" filled="f" strokeweight=".07578mm">
                  <v:path arrowok="t"/>
                </v:shape>
                <v:shape id="Graphic 2263" o:spid="_x0000_s1145" style="position:absolute;left:24808;top:12379;width:241;height:242;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" path="m18608,l5288,,,5178r,6595l,18367r5288,5664l18608,24031r5092,-5664l23700,5178,18608,xe" fillcolor="black" stroked="f">
                  <v:path arrowok="t"/>
                </v:shape>
                <v:shape id="Graphic 2264" o:spid="_x0000_s1146" style="position:absolute;left:24808;top:12379;width:241;height:242;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" path="m,11773l,5178,5288,r6660,l18608,r5092,5178l23700,11773r,6594l18608,24031r-6660,l5288,24031,,18367,,11773xe" filled="f" strokeweight=".07581mm">
                  <v:path arrowok="t"/>
                </v:shape>
                <v:shape id="Graphic 2265" o:spid="_x0000_s1147" style="position:absolute;left:24808;top:13519;width:241;height:241;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" path="m18608,l5288,,,5644r,6594l,18833r5288,5178l18608,24011r5092,-5178l23700,5644,18608,xe" fillcolor="black" stroked="f">
                  <v:path arrowok="t"/>
                </v:shape>
                <v:shape id="Graphic 2266" o:spid="_x0000_s1148" style="position:absolute;left:24808;top:13519;width:241;height:241;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" path="m,12238l,5644,5288,r6660,l18608,r5092,5644l23700,12238r,6595l18608,24011r-6660,l5288,24011,,18833,,12238xe" filled="f" strokeweight=".07578mm">
                  <v:path arrowok="t"/>
                </v:shape>
                <v:shape id="Graphic 2267" o:spid="_x0000_s1149" style="position:absolute;left:24808;top:14687;width:241;height:241;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" path="m18608,l5288,,,5178r,6595l,18348r5288,5198l18608,23546r5092,-5198l23700,5178,18608,xe" fillcolor="black" stroked="f">
                  <v:path arrowok="t"/>
                </v:shape>
                <v:shape id="Graphic 2268" o:spid="_x0000_s1150" style="position:absolute;left:24808;top:14687;width:241;height:241;visibility:visible;mso-wrap-style:square;v-text-anchor:top" coordsize="2413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" path="m,11773l,5178,5288,r6660,l18608,r5092,5178l23700,11773r,6575l18608,23546r-6660,l5288,23546,,18348,,11773xe" filled="f" strokeweight=".07578mm">
                  <v:path arrowok="t"/>
                </v:shape>
                <v:shape id="Graphic 2269" o:spid="_x0000_s1151" style="position:absolute;left:23;top:23;width:36360;height:17202;visibility:visible;mso-wrap-style:square;v-text-anchor:top" coordsize="3636010,1720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" path="m,1719703r3635629,l3635629,,,,,1719703xe" filled="f" strokeweight=".1312mm">
                  <v:path arrowok="t"/>
                </v:shape>
                <v:shape id="Textbox 2270" o:spid="_x0000_s1152" type="#_x0000_t202" style="position:absolute;left:3147;top:1125;width:7214;height:14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" filled="f" stroked="f">
                  <v:textbox inset="0,0,0,0">
                    <w:txbxContent>
                      <w:p w14:paraId="3EE71FA2" w14:textId="77777777" w:rsidR="00E17A2B" w:rsidRDefault="00E17A2B" w:rsidP="004F0929">
                        <w:pPr>
                          <w:spacing w:line="159" w:lineRule="exact"/>
                          <w:ind w:left="328"/>
                          <w:rPr>
                            <w:b/>
                            <w:sz w:val="14"/>
                          </w:rPr>
                        </w:pPr>
                        <w:r>
                          <w:rPr>
                            <w:b/>
                            <w:spacing w:val="-4"/>
                            <w:w w:val="105"/>
                            <w:sz w:val="14"/>
                          </w:rPr>
                          <w:t>Yang</w:t>
                        </w:r>
                      </w:p>
                      <w:p w14:paraId="43B55B60" w14:textId="77777777" w:rsidR="00E17A2B" w:rsidRDefault="00E17A2B" w:rsidP="004F0929">
                        <w:pPr>
                          <w:spacing w:before="103" w:line="271" w:lineRule="auto"/>
                          <w:rPr>
                            <w:sz w:val="14"/>
                          </w:rPr>
                        </w:pPr>
                        <w:r>
                          <w:rPr>
                            <w:spacing w:val="-2"/>
                            <w:w w:val="105"/>
                            <w:sz w:val="14"/>
                          </w:rPr>
                          <w:t>Prinzip</w:t>
                        </w:r>
                        <w:r>
                          <w:rPr>
                            <w:spacing w:val="-8"/>
                            <w:w w:val="105"/>
                            <w:sz w:val="14"/>
                          </w:rPr>
                          <w:t xml:space="preserve"> </w:t>
                        </w:r>
                        <w:r>
                          <w:rPr>
                            <w:spacing w:val="-2"/>
                            <w:w w:val="105"/>
                            <w:sz w:val="14"/>
                          </w:rPr>
                          <w:t>des</w:t>
                        </w:r>
                        <w:r>
                          <w:rPr>
                            <w:spacing w:val="-7"/>
                            <w:w w:val="105"/>
                            <w:sz w:val="14"/>
                          </w:rPr>
                          <w:t xml:space="preserve"> </w:t>
                        </w:r>
                        <w:r>
                          <w:rPr>
                            <w:spacing w:val="-2"/>
                            <w:w w:val="105"/>
                            <w:sz w:val="14"/>
                          </w:rPr>
                          <w:t>Gebens</w:t>
                        </w:r>
                        <w:r>
                          <w:rPr>
                            <w:spacing w:val="40"/>
                            <w:w w:val="105"/>
                            <w:sz w:val="14"/>
                          </w:rPr>
                          <w:t xml:space="preserve"> </w:t>
                        </w:r>
                        <w:r>
                          <w:rPr>
                            <w:spacing w:val="-2"/>
                            <w:w w:val="105"/>
                            <w:sz w:val="14"/>
                          </w:rPr>
                          <w:t>Männlich</w:t>
                        </w:r>
                      </w:p>
                      <w:p w14:paraId="1F7F3D55" w14:textId="77777777" w:rsidR="00E17A2B" w:rsidRDefault="00E17A2B" w:rsidP="004F0929">
                        <w:pPr>
                          <w:spacing w:line="271" w:lineRule="auto"/>
                          <w:ind w:right="279"/>
                          <w:rPr>
                            <w:sz w:val="14"/>
                          </w:rPr>
                        </w:pPr>
                        <w:r>
                          <w:rPr>
                            <w:spacing w:val="-2"/>
                            <w:w w:val="105"/>
                            <w:sz w:val="14"/>
                          </w:rPr>
                          <w:t>Positiv</w:t>
                        </w:r>
                        <w:r>
                          <w:rPr>
                            <w:spacing w:val="40"/>
                            <w:w w:val="105"/>
                            <w:sz w:val="14"/>
                          </w:rPr>
                          <w:t xml:space="preserve"> </w:t>
                        </w:r>
                        <w:r>
                          <w:rPr>
                            <w:spacing w:val="-2"/>
                            <w:w w:val="105"/>
                            <w:sz w:val="14"/>
                          </w:rPr>
                          <w:t>Aktivität</w:t>
                        </w:r>
                        <w:r>
                          <w:rPr>
                            <w:spacing w:val="40"/>
                            <w:w w:val="105"/>
                            <w:sz w:val="14"/>
                          </w:rPr>
                          <w:t xml:space="preserve"> </w:t>
                        </w:r>
                        <w:r>
                          <w:rPr>
                            <w:spacing w:val="-4"/>
                            <w:w w:val="105"/>
                            <w:sz w:val="14"/>
                          </w:rPr>
                          <w:t>Bewegung</w:t>
                        </w:r>
                        <w:r>
                          <w:rPr>
                            <w:spacing w:val="40"/>
                            <w:w w:val="105"/>
                            <w:sz w:val="14"/>
                          </w:rPr>
                          <w:t xml:space="preserve"> </w:t>
                        </w:r>
                        <w:r>
                          <w:rPr>
                            <w:spacing w:val="-2"/>
                            <w:w w:val="105"/>
                            <w:sz w:val="14"/>
                          </w:rPr>
                          <w:t>Festigkeit</w:t>
                        </w:r>
                        <w:r>
                          <w:rPr>
                            <w:spacing w:val="40"/>
                            <w:w w:val="105"/>
                            <w:sz w:val="14"/>
                          </w:rPr>
                          <w:t xml:space="preserve"> </w:t>
                        </w:r>
                        <w:r>
                          <w:rPr>
                            <w:spacing w:val="-2"/>
                            <w:w w:val="105"/>
                            <w:sz w:val="14"/>
                          </w:rPr>
                          <w:t>Härte</w:t>
                        </w:r>
                      </w:p>
                      <w:p w14:paraId="6F6095FB" w14:textId="77777777" w:rsidR="00E17A2B" w:rsidRDefault="00E17A2B" w:rsidP="004F0929">
                        <w:pPr>
                          <w:spacing w:line="271" w:lineRule="auto"/>
                          <w:ind w:right="658"/>
                          <w:rPr>
                            <w:sz w:val="14"/>
                          </w:rPr>
                        </w:pPr>
                        <w:r>
                          <w:rPr>
                            <w:spacing w:val="-4"/>
                            <w:w w:val="105"/>
                            <w:sz w:val="14"/>
                          </w:rPr>
                          <w:t>Tag</w:t>
                        </w:r>
                        <w:r>
                          <w:rPr>
                            <w:spacing w:val="40"/>
                            <w:w w:val="105"/>
                            <w:sz w:val="14"/>
                          </w:rPr>
                          <w:t xml:space="preserve"> </w:t>
                        </w:r>
                        <w:r>
                          <w:rPr>
                            <w:spacing w:val="-4"/>
                            <w:w w:val="105"/>
                            <w:sz w:val="14"/>
                          </w:rPr>
                          <w:t>Himmel</w:t>
                        </w:r>
                        <w:r>
                          <w:rPr>
                            <w:spacing w:val="40"/>
                            <w:w w:val="105"/>
                            <w:sz w:val="14"/>
                          </w:rPr>
                          <w:t xml:space="preserve"> </w:t>
                        </w:r>
                        <w:r>
                          <w:rPr>
                            <w:spacing w:val="-2"/>
                            <w:w w:val="105"/>
                            <w:sz w:val="14"/>
                          </w:rPr>
                          <w:t>Licht</w:t>
                        </w:r>
                        <w:r>
                          <w:rPr>
                            <w:spacing w:val="40"/>
                            <w:w w:val="105"/>
                            <w:sz w:val="14"/>
                          </w:rPr>
                          <w:t xml:space="preserve"> </w:t>
                        </w:r>
                        <w:r>
                          <w:rPr>
                            <w:spacing w:val="-2"/>
                            <w:w w:val="105"/>
                            <w:sz w:val="14"/>
                          </w:rPr>
                          <w:t>Hitze</w:t>
                        </w:r>
                      </w:p>
                    </w:txbxContent>
                  </v:textbox>
                </v:shape>
                <v:shape id="Textbox 2271" o:spid="_x0000_s1153" type="#_x0000_t202" style="position:absolute;left:25493;top:1125;width:9049;height:14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" filled="f" stroked="f">
                  <v:textbox inset="0,0,0,0">
                    <w:txbxContent>
                      <w:p w14:paraId="69698751" w14:textId="77777777" w:rsidR="00E17A2B" w:rsidRDefault="00E17A2B" w:rsidP="004F0929">
                        <w:pPr>
                          <w:spacing w:line="159" w:lineRule="exact"/>
                          <w:ind w:left="507" w:right="664"/>
                          <w:jc w:val="center"/>
                          <w:rPr>
                            <w:b/>
                            <w:sz w:val="14"/>
                          </w:rPr>
                        </w:pPr>
                        <w:r>
                          <w:rPr>
                            <w:b/>
                            <w:spacing w:val="-5"/>
                            <w:w w:val="105"/>
                            <w:sz w:val="14"/>
                          </w:rPr>
                          <w:t>Yin</w:t>
                        </w:r>
                      </w:p>
                      <w:p w14:paraId="10791920" w14:textId="77777777" w:rsidR="00E17A2B" w:rsidRDefault="00E17A2B" w:rsidP="004F0929">
                        <w:pPr>
                          <w:spacing w:before="103" w:line="271" w:lineRule="auto"/>
                          <w:rPr>
                            <w:sz w:val="14"/>
                          </w:rPr>
                        </w:pPr>
                        <w:r>
                          <w:rPr>
                            <w:spacing w:val="-2"/>
                            <w:w w:val="105"/>
                            <w:sz w:val="14"/>
                          </w:rPr>
                          <w:t>Prinzip</w:t>
                        </w:r>
                        <w:r>
                          <w:rPr>
                            <w:spacing w:val="-8"/>
                            <w:w w:val="105"/>
                            <w:sz w:val="14"/>
                          </w:rPr>
                          <w:t xml:space="preserve"> </w:t>
                        </w:r>
                        <w:r>
                          <w:rPr>
                            <w:spacing w:val="-2"/>
                            <w:w w:val="105"/>
                            <w:sz w:val="14"/>
                          </w:rPr>
                          <w:t>des</w:t>
                        </w:r>
                        <w:r>
                          <w:rPr>
                            <w:spacing w:val="-7"/>
                            <w:w w:val="105"/>
                            <w:sz w:val="14"/>
                          </w:rPr>
                          <w:t xml:space="preserve"> </w:t>
                        </w:r>
                        <w:r>
                          <w:rPr>
                            <w:spacing w:val="-2"/>
                            <w:w w:val="105"/>
                            <w:sz w:val="14"/>
                          </w:rPr>
                          <w:t>Empfangens</w:t>
                        </w:r>
                        <w:r>
                          <w:rPr>
                            <w:spacing w:val="40"/>
                            <w:w w:val="105"/>
                            <w:sz w:val="14"/>
                          </w:rPr>
                          <w:t xml:space="preserve"> </w:t>
                        </w:r>
                        <w:r>
                          <w:rPr>
                            <w:spacing w:val="-2"/>
                            <w:w w:val="105"/>
                            <w:sz w:val="14"/>
                          </w:rPr>
                          <w:t>Weiblich</w:t>
                        </w:r>
                      </w:p>
                      <w:p w14:paraId="10C5AD48" w14:textId="77777777" w:rsidR="00E17A2B" w:rsidRDefault="00E17A2B" w:rsidP="004F0929">
                        <w:pPr>
                          <w:spacing w:line="271" w:lineRule="auto"/>
                          <w:ind w:right="541"/>
                          <w:rPr>
                            <w:sz w:val="14"/>
                          </w:rPr>
                        </w:pPr>
                        <w:r>
                          <w:rPr>
                            <w:spacing w:val="-2"/>
                            <w:w w:val="105"/>
                            <w:sz w:val="14"/>
                          </w:rPr>
                          <w:t>Negativ</w:t>
                        </w:r>
                        <w:r>
                          <w:rPr>
                            <w:spacing w:val="40"/>
                            <w:w w:val="105"/>
                            <w:sz w:val="14"/>
                          </w:rPr>
                          <w:t xml:space="preserve"> </w:t>
                        </w:r>
                        <w:r>
                          <w:rPr>
                            <w:spacing w:val="-2"/>
                            <w:w w:val="105"/>
                            <w:sz w:val="14"/>
                          </w:rPr>
                          <w:t>Passivität</w:t>
                        </w:r>
                        <w:r>
                          <w:rPr>
                            <w:spacing w:val="80"/>
                            <w:w w:val="105"/>
                            <w:sz w:val="14"/>
                          </w:rPr>
                          <w:t xml:space="preserve"> </w:t>
                        </w:r>
                        <w:r>
                          <w:rPr>
                            <w:spacing w:val="-4"/>
                            <w:w w:val="105"/>
                            <w:sz w:val="14"/>
                          </w:rPr>
                          <w:t>Ruhe</w:t>
                        </w:r>
                        <w:r>
                          <w:rPr>
                            <w:spacing w:val="40"/>
                            <w:w w:val="105"/>
                            <w:sz w:val="14"/>
                          </w:rPr>
                          <w:t xml:space="preserve"> </w:t>
                        </w:r>
                        <w:r>
                          <w:rPr>
                            <w:spacing w:val="-2"/>
                            <w:w w:val="105"/>
                            <w:sz w:val="14"/>
                          </w:rPr>
                          <w:t>Nachgiebigkeit</w:t>
                        </w:r>
                        <w:r>
                          <w:rPr>
                            <w:spacing w:val="40"/>
                            <w:w w:val="105"/>
                            <w:sz w:val="14"/>
                          </w:rPr>
                          <w:t xml:space="preserve"> </w:t>
                        </w:r>
                        <w:r>
                          <w:rPr>
                            <w:spacing w:val="-2"/>
                            <w:w w:val="105"/>
                            <w:sz w:val="14"/>
                          </w:rPr>
                          <w:t>Weichheit</w:t>
                        </w:r>
                        <w:r>
                          <w:rPr>
                            <w:spacing w:val="40"/>
                            <w:w w:val="105"/>
                            <w:sz w:val="14"/>
                          </w:rPr>
                          <w:t xml:space="preserve"> </w:t>
                        </w:r>
                        <w:r>
                          <w:rPr>
                            <w:spacing w:val="-2"/>
                            <w:w w:val="105"/>
                            <w:sz w:val="14"/>
                          </w:rPr>
                          <w:t>Nacht</w:t>
                        </w:r>
                      </w:p>
                      <w:p w14:paraId="0A954FAB" w14:textId="77777777" w:rsidR="00E17A2B" w:rsidRDefault="00E17A2B" w:rsidP="004F0929">
                        <w:pPr>
                          <w:spacing w:line="271" w:lineRule="auto"/>
                          <w:ind w:right="771"/>
                          <w:rPr>
                            <w:sz w:val="14"/>
                          </w:rPr>
                        </w:pPr>
                        <w:r>
                          <w:rPr>
                            <w:spacing w:val="-4"/>
                            <w:w w:val="105"/>
                            <w:sz w:val="14"/>
                          </w:rPr>
                          <w:t>Erde</w:t>
                        </w:r>
                        <w:r>
                          <w:rPr>
                            <w:spacing w:val="40"/>
                            <w:w w:val="105"/>
                            <w:sz w:val="14"/>
                          </w:rPr>
                          <w:t xml:space="preserve"> </w:t>
                        </w:r>
                        <w:r>
                          <w:rPr>
                            <w:spacing w:val="-2"/>
                            <w:w w:val="105"/>
                            <w:sz w:val="14"/>
                          </w:rPr>
                          <w:t>Dunkelheit</w:t>
                        </w:r>
                        <w:r>
                          <w:rPr>
                            <w:spacing w:val="40"/>
                            <w:w w:val="105"/>
                            <w:sz w:val="14"/>
                          </w:rPr>
                          <w:t xml:space="preserve"> </w:t>
                        </w:r>
                        <w:r>
                          <w:rPr>
                            <w:spacing w:val="-2"/>
                            <w:w w:val="105"/>
                            <w:sz w:val="14"/>
                          </w:rPr>
                          <w:t>Kälte</w:t>
                        </w:r>
                      </w:p>
                    </w:txbxContent>
                  </v:textbox>
                </v:shape>
                <w10:anchorlock/>
              </v:group>
            </w:pict>
          </mc:Fallback>
        </mc:AlternateContent>
      </w:r>
    </w:p>
    <w:p w14:paraId="4CA24A64" w14:textId="77777777" w:rsidR="00FF7799" w:rsidRPr="00E73F6F" w:rsidRDefault="00FF7799" w:rsidP="000B3A5C">
      <w:pPr>
        <w:pStyle w:val="StandardText"/>
      </w:pPr>
      <w:r w:rsidRPr="00E73F6F">
        <w:t>Der</w:t>
      </w:r>
      <w:r w:rsidRPr="00E73F6F">
        <w:rPr>
          <w:spacing w:val="-12"/>
        </w:rPr>
        <w:t xml:space="preserve"> </w:t>
      </w:r>
      <w:r w:rsidRPr="00E73F6F">
        <w:t>kleine</w:t>
      </w:r>
      <w:r w:rsidRPr="00E73F6F">
        <w:rPr>
          <w:spacing w:val="-11"/>
        </w:rPr>
        <w:t xml:space="preserve"> </w:t>
      </w:r>
      <w:r w:rsidRPr="00E73F6F">
        <w:t>Kreis</w:t>
      </w:r>
      <w:r w:rsidRPr="00E73F6F">
        <w:rPr>
          <w:spacing w:val="-11"/>
        </w:rPr>
        <w:t xml:space="preserve"> </w:t>
      </w:r>
      <w:r w:rsidRPr="00E73F6F">
        <w:t>in</w:t>
      </w:r>
      <w:r w:rsidRPr="00E73F6F">
        <w:rPr>
          <w:spacing w:val="-11"/>
        </w:rPr>
        <w:t xml:space="preserve"> </w:t>
      </w:r>
      <w:r w:rsidRPr="00E73F6F">
        <w:t>der</w:t>
      </w:r>
      <w:r w:rsidRPr="00E73F6F">
        <w:rPr>
          <w:spacing w:val="-12"/>
        </w:rPr>
        <w:t xml:space="preserve"> </w:t>
      </w:r>
      <w:r w:rsidRPr="00E73F6F">
        <w:t>jeweils</w:t>
      </w:r>
      <w:r w:rsidRPr="00E73F6F">
        <w:rPr>
          <w:spacing w:val="-11"/>
        </w:rPr>
        <w:t xml:space="preserve"> </w:t>
      </w:r>
      <w:r w:rsidRPr="00E73F6F">
        <w:t>anderen</w:t>
      </w:r>
      <w:r w:rsidRPr="00E73F6F">
        <w:rPr>
          <w:spacing w:val="-11"/>
        </w:rPr>
        <w:t xml:space="preserve"> </w:t>
      </w:r>
      <w:r w:rsidRPr="00E73F6F">
        <w:t>Farbe</w:t>
      </w:r>
      <w:r w:rsidRPr="00E73F6F">
        <w:rPr>
          <w:spacing w:val="-11"/>
        </w:rPr>
        <w:t xml:space="preserve"> </w:t>
      </w:r>
      <w:r w:rsidRPr="00E73F6F">
        <w:t>deutet</w:t>
      </w:r>
      <w:r w:rsidRPr="00E73F6F">
        <w:rPr>
          <w:spacing w:val="-12"/>
        </w:rPr>
        <w:t xml:space="preserve"> </w:t>
      </w:r>
      <w:r w:rsidRPr="00E73F6F">
        <w:t>an,</w:t>
      </w:r>
      <w:r w:rsidRPr="00E73F6F">
        <w:rPr>
          <w:spacing w:val="-11"/>
        </w:rPr>
        <w:t xml:space="preserve"> </w:t>
      </w:r>
      <w:r w:rsidRPr="00E73F6F">
        <w:t>dass</w:t>
      </w:r>
      <w:r w:rsidRPr="00E73F6F">
        <w:rPr>
          <w:spacing w:val="-11"/>
        </w:rPr>
        <w:t xml:space="preserve"> </w:t>
      </w:r>
      <w:r w:rsidRPr="00E73F6F">
        <w:t>Yin</w:t>
      </w:r>
      <w:r w:rsidRPr="00E73F6F">
        <w:rPr>
          <w:spacing w:val="-11"/>
        </w:rPr>
        <w:t xml:space="preserve"> </w:t>
      </w:r>
      <w:r w:rsidRPr="00E73F6F">
        <w:t>auch</w:t>
      </w:r>
      <w:r w:rsidRPr="00E73F6F">
        <w:rPr>
          <w:spacing w:val="-12"/>
        </w:rPr>
        <w:t xml:space="preserve"> </w:t>
      </w:r>
      <w:r w:rsidRPr="00E73F6F">
        <w:t>ein</w:t>
      </w:r>
      <w:r w:rsidRPr="00E73F6F">
        <w:rPr>
          <w:spacing w:val="-11"/>
        </w:rPr>
        <w:t xml:space="preserve"> </w:t>
      </w:r>
      <w:r w:rsidRPr="00E73F6F">
        <w:t>gewisses Maß an Yang einschließt und umgekehrt. Obwohl beide gegengerichtete Bewegungen verkörpern, heben sie sich nicht auf, sondern treiben sich ständig wechselseitig</w:t>
      </w:r>
      <w:r w:rsidRPr="00E73F6F">
        <w:rPr>
          <w:spacing w:val="-12"/>
        </w:rPr>
        <w:t xml:space="preserve"> </w:t>
      </w:r>
      <w:r w:rsidRPr="00E73F6F">
        <w:t>an</w:t>
      </w:r>
      <w:r w:rsidRPr="00E73F6F">
        <w:rPr>
          <w:spacing w:val="-11"/>
        </w:rPr>
        <w:t xml:space="preserve"> </w:t>
      </w:r>
      <w:r w:rsidRPr="00E73F6F">
        <w:t>und</w:t>
      </w:r>
      <w:r w:rsidRPr="00E73F6F">
        <w:rPr>
          <w:spacing w:val="-11"/>
        </w:rPr>
        <w:t xml:space="preserve"> </w:t>
      </w:r>
      <w:r w:rsidRPr="00E73F6F">
        <w:t>beeinflussen</w:t>
      </w:r>
      <w:r w:rsidRPr="00E73F6F">
        <w:rPr>
          <w:spacing w:val="-11"/>
        </w:rPr>
        <w:t xml:space="preserve"> </w:t>
      </w:r>
      <w:r w:rsidRPr="00E73F6F">
        <w:t>sich.</w:t>
      </w:r>
      <w:r w:rsidRPr="00E73F6F">
        <w:rPr>
          <w:spacing w:val="-12"/>
        </w:rPr>
        <w:t xml:space="preserve"> </w:t>
      </w:r>
      <w:r w:rsidRPr="00E73F6F">
        <w:t>Dieses</w:t>
      </w:r>
      <w:r w:rsidRPr="00E73F6F">
        <w:rPr>
          <w:spacing w:val="-11"/>
        </w:rPr>
        <w:t xml:space="preserve"> </w:t>
      </w:r>
      <w:r w:rsidRPr="00E73F6F">
        <w:t>dynamische</w:t>
      </w:r>
      <w:r w:rsidRPr="00E73F6F">
        <w:rPr>
          <w:spacing w:val="-11"/>
        </w:rPr>
        <w:t xml:space="preserve"> </w:t>
      </w:r>
      <w:r w:rsidRPr="00E73F6F">
        <w:t>Wechselspiel</w:t>
      </w:r>
      <w:r w:rsidRPr="00E73F6F">
        <w:rPr>
          <w:spacing w:val="-11"/>
        </w:rPr>
        <w:t xml:space="preserve"> </w:t>
      </w:r>
      <w:r w:rsidRPr="00E73F6F">
        <w:t>zeigt</w:t>
      </w:r>
      <w:r w:rsidRPr="00E73F6F">
        <w:rPr>
          <w:spacing w:val="-12"/>
        </w:rPr>
        <w:t xml:space="preserve"> </w:t>
      </w:r>
      <w:r w:rsidRPr="00E73F6F">
        <w:t>sich bspw. im Tag, der in der Nacht endet, und in der Nacht, die in den Tag übergeht. Die Erfüllung des einen wird beständig zur Voraussetzung des anderen.</w:t>
      </w:r>
    </w:p>
    <w:p w14:paraId="090CB34D" w14:textId="77777777" w:rsidR="00FF7799" w:rsidRPr="00E73F6F" w:rsidRDefault="00FF7799" w:rsidP="000B3A5C">
      <w:pPr>
        <w:pStyle w:val="StandardText"/>
      </w:pPr>
    </w:p>
    <w:p w14:paraId="474743B3" w14:textId="77777777" w:rsidR="00FF7799" w:rsidRPr="00F675AD" w:rsidRDefault="00FF7799" w:rsidP="000B3A5C">
      <w:pPr>
        <w:pStyle w:val="StandardTextkursiv"/>
        <w:rPr>
          <w:i w:val="0"/>
        </w:rPr>
      </w:pPr>
      <w:r w:rsidRPr="00F675AD">
        <w:rPr>
          <w:i w:val="0"/>
        </w:rPr>
        <w:t>3 Grundzüge</w:t>
      </w:r>
      <w:r w:rsidRPr="00F675AD">
        <w:rPr>
          <w:i w:val="0"/>
          <w:spacing w:val="-5"/>
        </w:rPr>
        <w:t xml:space="preserve"> </w:t>
      </w:r>
      <w:r w:rsidRPr="00F675AD">
        <w:rPr>
          <w:i w:val="0"/>
        </w:rPr>
        <w:t>der</w:t>
      </w:r>
      <w:r w:rsidRPr="00F675AD">
        <w:rPr>
          <w:i w:val="0"/>
          <w:spacing w:val="-3"/>
        </w:rPr>
        <w:t xml:space="preserve"> </w:t>
      </w:r>
      <w:r w:rsidRPr="00F675AD">
        <w:rPr>
          <w:i w:val="0"/>
        </w:rPr>
        <w:t>taoistischen</w:t>
      </w:r>
      <w:r w:rsidRPr="00F675AD">
        <w:rPr>
          <w:i w:val="0"/>
          <w:spacing w:val="-2"/>
        </w:rPr>
        <w:t xml:space="preserve"> </w:t>
      </w:r>
      <w:r w:rsidRPr="00F675AD">
        <w:rPr>
          <w:i w:val="0"/>
          <w:spacing w:val="-4"/>
        </w:rPr>
        <w:t>Lehre</w:t>
      </w:r>
    </w:p>
    <w:p w14:paraId="13FD02BF" w14:textId="77777777" w:rsidR="00FF7799" w:rsidRPr="00E73F6F" w:rsidRDefault="00FF7799" w:rsidP="000B3A5C">
      <w:pPr>
        <w:pStyle w:val="StandardText"/>
      </w:pPr>
      <w:r w:rsidRPr="00E73F6F">
        <w:t>Als</w:t>
      </w:r>
      <w:r w:rsidRPr="00E73F6F">
        <w:rPr>
          <w:spacing w:val="-4"/>
        </w:rPr>
        <w:t xml:space="preserve"> </w:t>
      </w:r>
      <w:r w:rsidRPr="00E73F6F">
        <w:t>eine</w:t>
      </w:r>
      <w:r w:rsidRPr="00E73F6F">
        <w:rPr>
          <w:spacing w:val="-4"/>
        </w:rPr>
        <w:t xml:space="preserve"> </w:t>
      </w:r>
      <w:r w:rsidRPr="00E73F6F">
        <w:t>Art</w:t>
      </w:r>
      <w:r w:rsidRPr="00E73F6F">
        <w:rPr>
          <w:spacing w:val="-3"/>
        </w:rPr>
        <w:t xml:space="preserve"> </w:t>
      </w:r>
      <w:r w:rsidRPr="00E73F6F">
        <w:t>„Urprinzip“,</w:t>
      </w:r>
      <w:r w:rsidRPr="00E73F6F">
        <w:rPr>
          <w:spacing w:val="-5"/>
        </w:rPr>
        <w:t xml:space="preserve"> </w:t>
      </w:r>
      <w:r w:rsidRPr="00E73F6F">
        <w:t>d.h.</w:t>
      </w:r>
      <w:r w:rsidRPr="00E73F6F">
        <w:rPr>
          <w:spacing w:val="-3"/>
        </w:rPr>
        <w:t xml:space="preserve"> </w:t>
      </w:r>
      <w:r w:rsidRPr="00E73F6F">
        <w:t>Voraussetzung</w:t>
      </w:r>
      <w:r w:rsidRPr="00E73F6F">
        <w:rPr>
          <w:spacing w:val="-2"/>
        </w:rPr>
        <w:t xml:space="preserve"> </w:t>
      </w:r>
      <w:r w:rsidRPr="00E73F6F">
        <w:t>für</w:t>
      </w:r>
      <w:r w:rsidRPr="00E73F6F">
        <w:rPr>
          <w:spacing w:val="-3"/>
        </w:rPr>
        <w:t xml:space="preserve"> </w:t>
      </w:r>
      <w:r w:rsidRPr="00E73F6F">
        <w:t>alles</w:t>
      </w:r>
      <w:r w:rsidRPr="00E73F6F">
        <w:rPr>
          <w:spacing w:val="-4"/>
        </w:rPr>
        <w:t xml:space="preserve"> </w:t>
      </w:r>
      <w:r w:rsidRPr="00E73F6F">
        <w:t>Sein,</w:t>
      </w:r>
      <w:r w:rsidRPr="00E73F6F">
        <w:rPr>
          <w:spacing w:val="-3"/>
        </w:rPr>
        <w:t xml:space="preserve"> </w:t>
      </w:r>
      <w:r w:rsidRPr="00E73F6F">
        <w:t>Handeln</w:t>
      </w:r>
      <w:r w:rsidRPr="00E73F6F">
        <w:rPr>
          <w:spacing w:val="-2"/>
        </w:rPr>
        <w:t xml:space="preserve"> </w:t>
      </w:r>
      <w:r w:rsidRPr="00E73F6F">
        <w:t>und</w:t>
      </w:r>
      <w:r w:rsidRPr="00E73F6F">
        <w:rPr>
          <w:spacing w:val="-4"/>
        </w:rPr>
        <w:t xml:space="preserve"> </w:t>
      </w:r>
      <w:r w:rsidRPr="00E73F6F">
        <w:t>Wirken, bringt</w:t>
      </w:r>
      <w:r w:rsidRPr="00E73F6F">
        <w:rPr>
          <w:spacing w:val="-7"/>
        </w:rPr>
        <w:t xml:space="preserve"> </w:t>
      </w:r>
      <w:r w:rsidRPr="00E73F6F">
        <w:t>Tao</w:t>
      </w:r>
      <w:r w:rsidRPr="00E73F6F">
        <w:rPr>
          <w:spacing w:val="-7"/>
        </w:rPr>
        <w:t xml:space="preserve"> </w:t>
      </w:r>
      <w:r w:rsidRPr="00E73F6F">
        <w:t>das</w:t>
      </w:r>
      <w:r w:rsidRPr="00E73F6F">
        <w:rPr>
          <w:spacing w:val="-6"/>
        </w:rPr>
        <w:t xml:space="preserve"> </w:t>
      </w:r>
      <w:r w:rsidRPr="00E73F6F">
        <w:t>Universum</w:t>
      </w:r>
      <w:r w:rsidRPr="00E73F6F">
        <w:rPr>
          <w:spacing w:val="-6"/>
        </w:rPr>
        <w:t xml:space="preserve"> </w:t>
      </w:r>
      <w:r w:rsidRPr="00E73F6F">
        <w:t>und</w:t>
      </w:r>
      <w:r w:rsidRPr="00E73F6F">
        <w:rPr>
          <w:spacing w:val="-7"/>
        </w:rPr>
        <w:t xml:space="preserve"> </w:t>
      </w:r>
      <w:r w:rsidRPr="00E73F6F">
        <w:t>die</w:t>
      </w:r>
      <w:r w:rsidRPr="00E73F6F">
        <w:rPr>
          <w:spacing w:val="-6"/>
        </w:rPr>
        <w:t xml:space="preserve"> </w:t>
      </w:r>
      <w:r w:rsidRPr="00E73F6F">
        <w:t>Dinge</w:t>
      </w:r>
      <w:r w:rsidRPr="00E73F6F">
        <w:rPr>
          <w:spacing w:val="-6"/>
        </w:rPr>
        <w:t xml:space="preserve"> </w:t>
      </w:r>
      <w:r w:rsidRPr="00E73F6F">
        <w:t>der</w:t>
      </w:r>
      <w:r w:rsidRPr="00E73F6F">
        <w:rPr>
          <w:spacing w:val="-7"/>
        </w:rPr>
        <w:t xml:space="preserve"> </w:t>
      </w:r>
      <w:r w:rsidRPr="00E73F6F">
        <w:t>Welt</w:t>
      </w:r>
      <w:r w:rsidRPr="00E73F6F">
        <w:rPr>
          <w:spacing w:val="-7"/>
        </w:rPr>
        <w:t xml:space="preserve"> </w:t>
      </w:r>
      <w:r w:rsidRPr="00E73F6F">
        <w:t>hervor.</w:t>
      </w:r>
      <w:r w:rsidRPr="00E73F6F">
        <w:rPr>
          <w:spacing w:val="-5"/>
        </w:rPr>
        <w:t xml:space="preserve"> </w:t>
      </w:r>
      <w:r w:rsidRPr="00E73F6F">
        <w:t>Allerdings</w:t>
      </w:r>
      <w:r w:rsidRPr="00E73F6F">
        <w:rPr>
          <w:spacing w:val="-6"/>
        </w:rPr>
        <w:t xml:space="preserve"> </w:t>
      </w:r>
      <w:r w:rsidRPr="00E73F6F">
        <w:t>entzieht</w:t>
      </w:r>
      <w:r w:rsidRPr="00E73F6F">
        <w:rPr>
          <w:spacing w:val="-5"/>
        </w:rPr>
        <w:t xml:space="preserve"> </w:t>
      </w:r>
      <w:r w:rsidRPr="00E73F6F">
        <w:t>sich dieses</w:t>
      </w:r>
      <w:r w:rsidRPr="00E73F6F">
        <w:rPr>
          <w:spacing w:val="-1"/>
        </w:rPr>
        <w:t xml:space="preserve"> </w:t>
      </w:r>
      <w:r w:rsidRPr="00E73F6F">
        <w:t>metaphysische Prinzip dem</w:t>
      </w:r>
      <w:r w:rsidRPr="00E73F6F">
        <w:rPr>
          <w:spacing w:val="-2"/>
        </w:rPr>
        <w:t xml:space="preserve"> </w:t>
      </w:r>
      <w:r w:rsidRPr="00E73F6F">
        <w:t>begrifflichen Denken, weil es</w:t>
      </w:r>
      <w:r w:rsidRPr="00E73F6F">
        <w:rPr>
          <w:spacing w:val="-1"/>
        </w:rPr>
        <w:t xml:space="preserve"> </w:t>
      </w:r>
      <w:r w:rsidRPr="00E73F6F">
        <w:t>sich durch</w:t>
      </w:r>
      <w:r w:rsidRPr="00E73F6F">
        <w:rPr>
          <w:spacing w:val="-2"/>
        </w:rPr>
        <w:t xml:space="preserve"> </w:t>
      </w:r>
      <w:r w:rsidRPr="00E73F6F">
        <w:t>keine konkreten Eigenschaften beschreiben lässt; denn es ist absolut. Das 'te' (= die Tugend)</w:t>
      </w:r>
      <w:r w:rsidRPr="00E73F6F">
        <w:rPr>
          <w:spacing w:val="-8"/>
        </w:rPr>
        <w:t xml:space="preserve"> </w:t>
      </w:r>
      <w:r w:rsidRPr="00E73F6F">
        <w:t>wiederum</w:t>
      </w:r>
      <w:r w:rsidRPr="00E73F6F">
        <w:rPr>
          <w:spacing w:val="-9"/>
        </w:rPr>
        <w:t xml:space="preserve"> </w:t>
      </w:r>
      <w:r w:rsidRPr="00E73F6F">
        <w:t>repräsentiert</w:t>
      </w:r>
      <w:r w:rsidRPr="00E73F6F">
        <w:rPr>
          <w:spacing w:val="-10"/>
        </w:rPr>
        <w:t xml:space="preserve"> </w:t>
      </w:r>
      <w:r w:rsidRPr="00E73F6F">
        <w:t>die</w:t>
      </w:r>
      <w:r w:rsidRPr="00E73F6F">
        <w:rPr>
          <w:spacing w:val="-8"/>
        </w:rPr>
        <w:t xml:space="preserve"> </w:t>
      </w:r>
      <w:r w:rsidRPr="00E73F6F">
        <w:t>Normen,</w:t>
      </w:r>
      <w:r w:rsidRPr="00E73F6F">
        <w:rPr>
          <w:spacing w:val="-8"/>
        </w:rPr>
        <w:t xml:space="preserve"> </w:t>
      </w:r>
      <w:r w:rsidRPr="00E73F6F">
        <w:t>an</w:t>
      </w:r>
      <w:r w:rsidRPr="00E73F6F">
        <w:rPr>
          <w:spacing w:val="-9"/>
        </w:rPr>
        <w:t xml:space="preserve"> </w:t>
      </w:r>
      <w:r w:rsidRPr="00E73F6F">
        <w:t>denen</w:t>
      </w:r>
      <w:r w:rsidRPr="00E73F6F">
        <w:rPr>
          <w:spacing w:val="-9"/>
        </w:rPr>
        <w:t xml:space="preserve"> </w:t>
      </w:r>
      <w:r w:rsidRPr="00E73F6F">
        <w:t>die</w:t>
      </w:r>
      <w:r w:rsidRPr="00E73F6F">
        <w:rPr>
          <w:spacing w:val="-10"/>
        </w:rPr>
        <w:t xml:space="preserve"> </w:t>
      </w:r>
      <w:r w:rsidRPr="00E73F6F">
        <w:t>Menschen</w:t>
      </w:r>
      <w:r w:rsidRPr="00E73F6F">
        <w:rPr>
          <w:spacing w:val="-8"/>
        </w:rPr>
        <w:t xml:space="preserve"> </w:t>
      </w:r>
      <w:r w:rsidRPr="00E73F6F">
        <w:t>ihr</w:t>
      </w:r>
      <w:r w:rsidRPr="00E73F6F">
        <w:rPr>
          <w:spacing w:val="-8"/>
        </w:rPr>
        <w:t xml:space="preserve"> </w:t>
      </w:r>
      <w:r w:rsidRPr="00E73F6F">
        <w:t>ethisches und politisches Verhalten ausrichten können (bzw. sollen).</w:t>
      </w:r>
    </w:p>
    <w:p w14:paraId="6C5F0F42" w14:textId="77777777" w:rsidR="00FF7799" w:rsidRPr="00E73F6F" w:rsidRDefault="00FF7799" w:rsidP="000B3A5C">
      <w:pPr>
        <w:pStyle w:val="StandardText"/>
      </w:pPr>
      <w:r w:rsidRPr="00E73F6F">
        <w:t>Noch heute messen viele Chinesen dem 'tao-te ching', dem Buch über den „Weg der</w:t>
      </w:r>
      <w:r w:rsidRPr="00E73F6F">
        <w:rPr>
          <w:spacing w:val="-9"/>
        </w:rPr>
        <w:t xml:space="preserve"> </w:t>
      </w:r>
      <w:r w:rsidRPr="00E73F6F">
        <w:t>Tugend“,</w:t>
      </w:r>
      <w:r w:rsidRPr="00E73F6F">
        <w:rPr>
          <w:spacing w:val="-11"/>
        </w:rPr>
        <w:t xml:space="preserve"> </w:t>
      </w:r>
      <w:r w:rsidRPr="00E73F6F">
        <w:t>große</w:t>
      </w:r>
      <w:r w:rsidRPr="00E73F6F">
        <w:rPr>
          <w:spacing w:val="-10"/>
        </w:rPr>
        <w:t xml:space="preserve"> </w:t>
      </w:r>
      <w:r w:rsidRPr="00E73F6F">
        <w:t>Bedeutung</w:t>
      </w:r>
      <w:r w:rsidRPr="00E73F6F">
        <w:rPr>
          <w:spacing w:val="-10"/>
        </w:rPr>
        <w:t xml:space="preserve"> </w:t>
      </w:r>
      <w:r w:rsidRPr="00E73F6F">
        <w:t>zu.</w:t>
      </w:r>
      <w:r w:rsidRPr="00E73F6F">
        <w:rPr>
          <w:spacing w:val="-9"/>
        </w:rPr>
        <w:t xml:space="preserve"> </w:t>
      </w:r>
      <w:r w:rsidRPr="00E73F6F">
        <w:t>Sie</w:t>
      </w:r>
      <w:r w:rsidRPr="00E73F6F">
        <w:rPr>
          <w:spacing w:val="-12"/>
        </w:rPr>
        <w:t xml:space="preserve"> </w:t>
      </w:r>
      <w:r w:rsidRPr="00E73F6F">
        <w:t>denken</w:t>
      </w:r>
      <w:r w:rsidRPr="00E73F6F">
        <w:rPr>
          <w:spacing w:val="-9"/>
        </w:rPr>
        <w:t xml:space="preserve"> </w:t>
      </w:r>
      <w:r w:rsidRPr="00E73F6F">
        <w:t>seit</w:t>
      </w:r>
      <w:r w:rsidRPr="00E73F6F">
        <w:rPr>
          <w:spacing w:val="-9"/>
        </w:rPr>
        <w:t xml:space="preserve"> </w:t>
      </w:r>
      <w:r w:rsidRPr="00E73F6F">
        <w:t>jeher</w:t>
      </w:r>
      <w:r w:rsidRPr="00E73F6F">
        <w:rPr>
          <w:spacing w:val="-11"/>
        </w:rPr>
        <w:t xml:space="preserve"> </w:t>
      </w:r>
      <w:r w:rsidRPr="00E73F6F">
        <w:t>in</w:t>
      </w:r>
      <w:r w:rsidRPr="00E73F6F">
        <w:rPr>
          <w:spacing w:val="-10"/>
        </w:rPr>
        <w:t xml:space="preserve"> </w:t>
      </w:r>
      <w:r w:rsidRPr="00E73F6F">
        <w:t>den</w:t>
      </w:r>
      <w:r w:rsidRPr="00E73F6F">
        <w:rPr>
          <w:spacing w:val="-8"/>
        </w:rPr>
        <w:t xml:space="preserve"> </w:t>
      </w:r>
      <w:r w:rsidRPr="00E73F6F">
        <w:t>Kategorien</w:t>
      </w:r>
      <w:r w:rsidRPr="00E73F6F">
        <w:rPr>
          <w:spacing w:val="-11"/>
        </w:rPr>
        <w:t xml:space="preserve"> </w:t>
      </w:r>
      <w:r w:rsidRPr="00E73F6F">
        <w:t>von</w:t>
      </w:r>
      <w:r w:rsidRPr="00E73F6F">
        <w:rPr>
          <w:spacing w:val="-10"/>
        </w:rPr>
        <w:t xml:space="preserve"> </w:t>
      </w:r>
      <w:r w:rsidRPr="00E73F6F">
        <w:t>Yin und</w:t>
      </w:r>
      <w:r w:rsidRPr="00E73F6F">
        <w:rPr>
          <w:spacing w:val="-4"/>
        </w:rPr>
        <w:t xml:space="preserve"> </w:t>
      </w:r>
      <w:r w:rsidRPr="00E73F6F">
        <w:t>Yang.</w:t>
      </w:r>
      <w:r w:rsidRPr="00E73F6F">
        <w:rPr>
          <w:spacing w:val="-3"/>
        </w:rPr>
        <w:t xml:space="preserve"> </w:t>
      </w:r>
      <w:r w:rsidRPr="00E73F6F">
        <w:t>Das</w:t>
      </w:r>
      <w:r w:rsidRPr="00E73F6F">
        <w:rPr>
          <w:spacing w:val="-3"/>
        </w:rPr>
        <w:t xml:space="preserve"> </w:t>
      </w:r>
      <w:r w:rsidRPr="00E73F6F">
        <w:t>Schlüsselwort</w:t>
      </w:r>
      <w:r w:rsidRPr="00E73F6F">
        <w:rPr>
          <w:spacing w:val="-3"/>
        </w:rPr>
        <w:t xml:space="preserve"> </w:t>
      </w:r>
      <w:r w:rsidRPr="00E73F6F">
        <w:t>'bili'</w:t>
      </w:r>
      <w:r w:rsidRPr="00E73F6F">
        <w:rPr>
          <w:spacing w:val="-4"/>
        </w:rPr>
        <w:t xml:space="preserve"> </w:t>
      </w:r>
      <w:r w:rsidRPr="00E73F6F">
        <w:t>lässt</w:t>
      </w:r>
      <w:r w:rsidRPr="00E73F6F">
        <w:rPr>
          <w:spacing w:val="-3"/>
        </w:rPr>
        <w:t xml:space="preserve"> </w:t>
      </w:r>
      <w:r w:rsidRPr="00E73F6F">
        <w:t>sich</w:t>
      </w:r>
      <w:r w:rsidRPr="00E73F6F">
        <w:rPr>
          <w:spacing w:val="-3"/>
        </w:rPr>
        <w:t xml:space="preserve"> </w:t>
      </w:r>
      <w:r w:rsidRPr="00E73F6F">
        <w:t>übersetzen</w:t>
      </w:r>
      <w:r w:rsidRPr="00E73F6F">
        <w:rPr>
          <w:spacing w:val="-3"/>
        </w:rPr>
        <w:t xml:space="preserve"> </w:t>
      </w:r>
      <w:r w:rsidRPr="00E73F6F">
        <w:t>mit</w:t>
      </w:r>
      <w:r w:rsidRPr="00E73F6F">
        <w:rPr>
          <w:spacing w:val="-3"/>
        </w:rPr>
        <w:t xml:space="preserve"> </w:t>
      </w:r>
      <w:r w:rsidRPr="00E73F6F">
        <w:t>Ausgewogenheit</w:t>
      </w:r>
      <w:r w:rsidRPr="00E73F6F">
        <w:rPr>
          <w:spacing w:val="-3"/>
        </w:rPr>
        <w:t xml:space="preserve"> </w:t>
      </w:r>
      <w:r w:rsidRPr="00E73F6F">
        <w:t>oder Gleichgewicht. In der Medizin entspricht dem die Überzeugung, dass Harmonie und Gleichgewicht der Lebenskräfte wesentliche Voraussetzungen für einen gesunden Körper sind. Geheilt werden kann der Mensch nur, wenn man die Störung des Gleichgewichts behebt. Deshalb sucht ein traditionell denkender chinesischer Arzt zunächst nach Einflüssen, welche diese Balance stören: Yin- Krankheiten</w:t>
      </w:r>
      <w:r w:rsidRPr="00E73F6F">
        <w:rPr>
          <w:spacing w:val="63"/>
          <w:w w:val="150"/>
        </w:rPr>
        <w:t xml:space="preserve"> </w:t>
      </w:r>
      <w:r w:rsidRPr="00E73F6F">
        <w:t>werden</w:t>
      </w:r>
      <w:r w:rsidRPr="00E73F6F">
        <w:rPr>
          <w:spacing w:val="64"/>
          <w:w w:val="150"/>
        </w:rPr>
        <w:t xml:space="preserve"> </w:t>
      </w:r>
      <w:r w:rsidRPr="00E73F6F">
        <w:t>der</w:t>
      </w:r>
      <w:r w:rsidRPr="00E73F6F">
        <w:rPr>
          <w:spacing w:val="62"/>
          <w:w w:val="150"/>
        </w:rPr>
        <w:t xml:space="preserve"> </w:t>
      </w:r>
      <w:r w:rsidRPr="00E73F6F">
        <w:t>Lehre</w:t>
      </w:r>
      <w:r w:rsidRPr="00E73F6F">
        <w:rPr>
          <w:spacing w:val="64"/>
          <w:w w:val="150"/>
        </w:rPr>
        <w:t xml:space="preserve"> </w:t>
      </w:r>
      <w:r w:rsidRPr="00E73F6F">
        <w:t>zufolge</w:t>
      </w:r>
      <w:r w:rsidRPr="00E73F6F">
        <w:rPr>
          <w:spacing w:val="64"/>
          <w:w w:val="150"/>
        </w:rPr>
        <w:t xml:space="preserve"> </w:t>
      </w:r>
      <w:r w:rsidRPr="00E73F6F">
        <w:t>durch</w:t>
      </w:r>
      <w:r w:rsidRPr="00E73F6F">
        <w:rPr>
          <w:spacing w:val="64"/>
          <w:w w:val="150"/>
        </w:rPr>
        <w:t xml:space="preserve"> </w:t>
      </w:r>
      <w:r w:rsidRPr="00E73F6F">
        <w:t>eine</w:t>
      </w:r>
      <w:r w:rsidRPr="00E73F6F">
        <w:rPr>
          <w:spacing w:val="64"/>
          <w:w w:val="150"/>
        </w:rPr>
        <w:t xml:space="preserve"> </w:t>
      </w:r>
      <w:r w:rsidRPr="00E73F6F">
        <w:t>Unterfunktion,</w:t>
      </w:r>
      <w:r w:rsidRPr="00E73F6F">
        <w:rPr>
          <w:spacing w:val="65"/>
          <w:w w:val="150"/>
        </w:rPr>
        <w:t xml:space="preserve"> </w:t>
      </w:r>
      <w:r w:rsidRPr="00E73F6F">
        <w:rPr>
          <w:spacing w:val="-2"/>
        </w:rPr>
        <w:t>Yang-Krankheiten durch eine Überfunktion der verschiedenen Organe verursacht.</w:t>
      </w:r>
    </w:p>
    <w:p w14:paraId="15D947D2" w14:textId="77777777" w:rsidR="00FF7799" w:rsidRPr="00E73F6F" w:rsidRDefault="00FF7799" w:rsidP="000B3A5C">
      <w:pPr>
        <w:pStyle w:val="StandardText"/>
      </w:pPr>
      <w:r w:rsidRPr="00E73F6F">
        <w:t>Häufig missverstanden werden Art und Funktion des Harmoniestrebens. Das Prinzip des Tao ist die Wiederkehr: Alles auf dieser Welt kehrt zu seinem Ursprungspunkt</w:t>
      </w:r>
      <w:r w:rsidRPr="00E73F6F">
        <w:rPr>
          <w:spacing w:val="-11"/>
        </w:rPr>
        <w:t xml:space="preserve"> </w:t>
      </w:r>
      <w:r w:rsidRPr="00E73F6F">
        <w:t>zurück.</w:t>
      </w:r>
      <w:r w:rsidRPr="00E73F6F">
        <w:rPr>
          <w:spacing w:val="-11"/>
        </w:rPr>
        <w:t xml:space="preserve"> </w:t>
      </w:r>
      <w:r w:rsidRPr="00E73F6F">
        <w:t>Graphisch</w:t>
      </w:r>
      <w:r w:rsidRPr="00E73F6F">
        <w:rPr>
          <w:spacing w:val="-10"/>
        </w:rPr>
        <w:t xml:space="preserve"> </w:t>
      </w:r>
      <w:r w:rsidRPr="00E73F6F">
        <w:t>lässt</w:t>
      </w:r>
      <w:r w:rsidRPr="00E73F6F">
        <w:rPr>
          <w:spacing w:val="-11"/>
        </w:rPr>
        <w:t xml:space="preserve"> </w:t>
      </w:r>
      <w:r w:rsidRPr="00E73F6F">
        <w:t>sich</w:t>
      </w:r>
      <w:r w:rsidRPr="00E73F6F">
        <w:rPr>
          <w:spacing w:val="-12"/>
        </w:rPr>
        <w:t xml:space="preserve"> </w:t>
      </w:r>
      <w:r w:rsidRPr="00E73F6F">
        <w:t>diese</w:t>
      </w:r>
      <w:r w:rsidRPr="00E73F6F">
        <w:rPr>
          <w:spacing w:val="-11"/>
        </w:rPr>
        <w:t xml:space="preserve"> </w:t>
      </w:r>
      <w:r w:rsidRPr="00E73F6F">
        <w:t>Metapher</w:t>
      </w:r>
      <w:r w:rsidRPr="00E73F6F">
        <w:rPr>
          <w:spacing w:val="-10"/>
        </w:rPr>
        <w:t xml:space="preserve"> </w:t>
      </w:r>
      <w:r w:rsidRPr="00E73F6F">
        <w:t>als</w:t>
      </w:r>
      <w:r w:rsidRPr="00E73F6F">
        <w:rPr>
          <w:spacing w:val="-11"/>
        </w:rPr>
        <w:t xml:space="preserve"> </w:t>
      </w:r>
      <w:r w:rsidRPr="00E73F6F">
        <w:t>Kreis</w:t>
      </w:r>
      <w:r w:rsidRPr="00E73F6F">
        <w:rPr>
          <w:spacing w:val="-11"/>
        </w:rPr>
        <w:t xml:space="preserve"> </w:t>
      </w:r>
      <w:r w:rsidRPr="00E73F6F">
        <w:t>ausdrücken. Im</w:t>
      </w:r>
      <w:r w:rsidRPr="00E73F6F">
        <w:rPr>
          <w:spacing w:val="-3"/>
        </w:rPr>
        <w:t xml:space="preserve"> </w:t>
      </w:r>
      <w:r w:rsidRPr="00E73F6F">
        <w:t>Chinesischen</w:t>
      </w:r>
      <w:r w:rsidRPr="00E73F6F">
        <w:rPr>
          <w:spacing w:val="-1"/>
        </w:rPr>
        <w:t xml:space="preserve"> </w:t>
      </w:r>
      <w:r w:rsidRPr="00E73F6F">
        <w:t>wird</w:t>
      </w:r>
      <w:r w:rsidRPr="00E73F6F">
        <w:rPr>
          <w:spacing w:val="-1"/>
        </w:rPr>
        <w:t xml:space="preserve"> </w:t>
      </w:r>
      <w:r w:rsidRPr="00E73F6F">
        <w:t>deshalb</w:t>
      </w:r>
      <w:r w:rsidRPr="00E73F6F">
        <w:rPr>
          <w:spacing w:val="-1"/>
        </w:rPr>
        <w:t xml:space="preserve"> </w:t>
      </w:r>
      <w:r w:rsidRPr="00E73F6F">
        <w:t>das</w:t>
      </w:r>
      <w:r w:rsidRPr="00E73F6F">
        <w:rPr>
          <w:spacing w:val="-2"/>
        </w:rPr>
        <w:t xml:space="preserve"> </w:t>
      </w:r>
      <w:r w:rsidRPr="00E73F6F">
        <w:t>große</w:t>
      </w:r>
      <w:r w:rsidRPr="00E73F6F">
        <w:rPr>
          <w:spacing w:val="-3"/>
        </w:rPr>
        <w:t xml:space="preserve"> </w:t>
      </w:r>
      <w:r w:rsidRPr="00E73F6F">
        <w:t>Nichts,</w:t>
      </w:r>
      <w:r w:rsidRPr="00E73F6F">
        <w:rPr>
          <w:spacing w:val="-2"/>
        </w:rPr>
        <w:t xml:space="preserve"> </w:t>
      </w:r>
      <w:r w:rsidRPr="00E73F6F">
        <w:t>die</w:t>
      </w:r>
      <w:r w:rsidRPr="00E73F6F">
        <w:rPr>
          <w:spacing w:val="-2"/>
        </w:rPr>
        <w:t xml:space="preserve"> </w:t>
      </w:r>
      <w:r w:rsidRPr="00E73F6F">
        <w:t>Quelle</w:t>
      </w:r>
      <w:r w:rsidRPr="00E73F6F">
        <w:rPr>
          <w:spacing w:val="-3"/>
        </w:rPr>
        <w:t xml:space="preserve"> </w:t>
      </w:r>
      <w:r w:rsidRPr="00E73F6F">
        <w:t>des</w:t>
      </w:r>
      <w:r w:rsidRPr="00E73F6F">
        <w:rPr>
          <w:spacing w:val="-2"/>
        </w:rPr>
        <w:t xml:space="preserve"> </w:t>
      </w:r>
      <w:r w:rsidRPr="00E73F6F">
        <w:t>Seins,</w:t>
      </w:r>
      <w:r w:rsidRPr="00E73F6F">
        <w:rPr>
          <w:spacing w:val="-2"/>
        </w:rPr>
        <w:t xml:space="preserve"> </w:t>
      </w:r>
      <w:r w:rsidRPr="00E73F6F">
        <w:t>als</w:t>
      </w:r>
      <w:r w:rsidRPr="00E73F6F">
        <w:rPr>
          <w:spacing w:val="-2"/>
        </w:rPr>
        <w:t xml:space="preserve"> </w:t>
      </w:r>
      <w:r w:rsidRPr="00E73F6F">
        <w:t>das</w:t>
      </w:r>
      <w:r w:rsidRPr="00E73F6F">
        <w:rPr>
          <w:spacing w:val="-2"/>
        </w:rPr>
        <w:t xml:space="preserve"> </w:t>
      </w:r>
      <w:r w:rsidRPr="00E73F6F">
        <w:t xml:space="preserve">Tao mit dem Symbol ‘wuchi‘, dem vollendeten Kreis, dargestellt. </w:t>
      </w:r>
      <w:r w:rsidRPr="00E73F6F">
        <w:lastRenderedPageBreak/>
        <w:t>Das Tao ist vom Wesen her Bewegung, Wiederkehr, eine zyklische und rhythmische Bewegung. Ohne sie gäbe es nur die undifferenzierte Einheit. Harmonie aber ist aus taoistischer Sicht eine differenzierte Einheit. Während die westliche Welt unter Harmonie ein Leben in einer gleichbleibenden, ruhigen „heilen Welt“ versteht, gehören „für den östlichen Menschen Störung, Leid und Schmerz unzertrennbar zum</w:t>
      </w:r>
      <w:r w:rsidRPr="00E73F6F">
        <w:rPr>
          <w:spacing w:val="-4"/>
        </w:rPr>
        <w:t xml:space="preserve"> </w:t>
      </w:r>
      <w:r w:rsidRPr="00E73F6F">
        <w:t>Leben</w:t>
      </w:r>
      <w:r w:rsidRPr="00E73F6F">
        <w:rPr>
          <w:spacing w:val="59"/>
        </w:rPr>
        <w:t xml:space="preserve"> </w:t>
      </w:r>
      <w:r w:rsidRPr="00E73F6F">
        <w:t>Harmonie</w:t>
      </w:r>
      <w:r w:rsidRPr="00E73F6F">
        <w:rPr>
          <w:spacing w:val="1"/>
        </w:rPr>
        <w:t xml:space="preserve"> </w:t>
      </w:r>
      <w:r w:rsidRPr="00E73F6F">
        <w:t>meint hier</w:t>
      </w:r>
      <w:r w:rsidRPr="00E73F6F">
        <w:rPr>
          <w:spacing w:val="-1"/>
        </w:rPr>
        <w:t xml:space="preserve"> </w:t>
      </w:r>
      <w:r w:rsidRPr="00E73F6F">
        <w:t>Bewegung,</w:t>
      </w:r>
      <w:r w:rsidRPr="00E73F6F">
        <w:rPr>
          <w:spacing w:val="-1"/>
        </w:rPr>
        <w:t xml:space="preserve"> </w:t>
      </w:r>
      <w:r w:rsidRPr="00E73F6F">
        <w:t>Dynamik</w:t>
      </w:r>
      <w:r w:rsidRPr="00E73F6F">
        <w:rPr>
          <w:spacing w:val="1"/>
        </w:rPr>
        <w:t xml:space="preserve"> </w:t>
      </w:r>
      <w:r w:rsidRPr="00E73F6F">
        <w:t>im</w:t>
      </w:r>
      <w:r w:rsidRPr="00E73F6F">
        <w:rPr>
          <w:spacing w:val="-1"/>
        </w:rPr>
        <w:t xml:space="preserve"> </w:t>
      </w:r>
      <w:r w:rsidRPr="00E73F6F">
        <w:t>sinnvollen</w:t>
      </w:r>
      <w:r w:rsidRPr="00E73F6F">
        <w:rPr>
          <w:spacing w:val="1"/>
        </w:rPr>
        <w:t xml:space="preserve"> </w:t>
      </w:r>
      <w:r w:rsidRPr="00E73F6F">
        <w:rPr>
          <w:spacing w:val="-2"/>
        </w:rPr>
        <w:t xml:space="preserve">Wechsel </w:t>
      </w:r>
      <w:r w:rsidRPr="00E73F6F">
        <w:t>und</w:t>
      </w:r>
      <w:r w:rsidRPr="00E73F6F">
        <w:rPr>
          <w:spacing w:val="-3"/>
        </w:rPr>
        <w:t xml:space="preserve"> </w:t>
      </w:r>
      <w:r w:rsidRPr="00E73F6F">
        <w:t>Ausgleich der</w:t>
      </w:r>
      <w:r w:rsidRPr="00E73F6F">
        <w:rPr>
          <w:spacing w:val="-3"/>
        </w:rPr>
        <w:t xml:space="preserve"> </w:t>
      </w:r>
      <w:r w:rsidRPr="00E73F6F">
        <w:t>Lebenskräfte“</w:t>
      </w:r>
      <w:r w:rsidRPr="00E73F6F">
        <w:rPr>
          <w:spacing w:val="-4"/>
        </w:rPr>
        <w:t xml:space="preserve"> </w:t>
      </w:r>
      <w:r w:rsidRPr="00E73F6F">
        <w:t>(Peill-Schoeller</w:t>
      </w:r>
      <w:r w:rsidRPr="00E73F6F">
        <w:rPr>
          <w:spacing w:val="-1"/>
        </w:rPr>
        <w:t xml:space="preserve"> </w:t>
      </w:r>
      <w:r w:rsidRPr="00E73F6F">
        <w:t>1994,</w:t>
      </w:r>
      <w:r w:rsidRPr="00E73F6F">
        <w:rPr>
          <w:spacing w:val="-1"/>
        </w:rPr>
        <w:t xml:space="preserve"> </w:t>
      </w:r>
      <w:r w:rsidRPr="00E73F6F">
        <w:rPr>
          <w:spacing w:val="-2"/>
        </w:rPr>
        <w:t>S.142ff.).</w:t>
      </w:r>
    </w:p>
    <w:p w14:paraId="4BA50C0B" w14:textId="77777777" w:rsidR="00FF7799" w:rsidRPr="00E73F6F" w:rsidRDefault="00FF7799" w:rsidP="000B3A5C">
      <w:pPr>
        <w:pStyle w:val="StandardText"/>
      </w:pPr>
    </w:p>
    <w:p w14:paraId="15CBEA26" w14:textId="77777777" w:rsidR="00FF7799" w:rsidRPr="00F675AD" w:rsidRDefault="00FF7799" w:rsidP="000B3A5C">
      <w:pPr>
        <w:pStyle w:val="StandardTextkursiv"/>
        <w:rPr>
          <w:i w:val="0"/>
        </w:rPr>
      </w:pPr>
      <w:r w:rsidRPr="00F675AD">
        <w:rPr>
          <w:i w:val="0"/>
        </w:rPr>
        <w:t>4 Ökonomisch</w:t>
      </w:r>
      <w:r w:rsidRPr="00F675AD">
        <w:rPr>
          <w:i w:val="0"/>
          <w:spacing w:val="-2"/>
        </w:rPr>
        <w:t xml:space="preserve"> </w:t>
      </w:r>
      <w:r w:rsidRPr="00F675AD">
        <w:rPr>
          <w:i w:val="0"/>
        </w:rPr>
        <w:t>relevante</w:t>
      </w:r>
      <w:r w:rsidRPr="00F675AD">
        <w:rPr>
          <w:i w:val="0"/>
          <w:spacing w:val="-2"/>
        </w:rPr>
        <w:t xml:space="preserve"> Konsequenzen</w:t>
      </w:r>
    </w:p>
    <w:p w14:paraId="4AE279B6" w14:textId="77777777" w:rsidR="00FF7799" w:rsidRPr="00E73F6F" w:rsidRDefault="00FF7799" w:rsidP="000B3A5C">
      <w:pPr>
        <w:pStyle w:val="StandardText"/>
      </w:pPr>
      <w:r w:rsidRPr="00E73F6F">
        <w:t>Chinesen setzen Organisationen mit körperlichen Kreisläufen gleich. Die Ursachen</w:t>
      </w:r>
      <w:r w:rsidRPr="00E73F6F">
        <w:rPr>
          <w:spacing w:val="-9"/>
        </w:rPr>
        <w:t xml:space="preserve"> </w:t>
      </w:r>
      <w:r w:rsidRPr="00E73F6F">
        <w:t>von</w:t>
      </w:r>
      <w:r w:rsidRPr="00E73F6F">
        <w:rPr>
          <w:spacing w:val="-8"/>
        </w:rPr>
        <w:t xml:space="preserve"> </w:t>
      </w:r>
      <w:r w:rsidRPr="00E73F6F">
        <w:t>Störungen</w:t>
      </w:r>
      <w:r w:rsidRPr="00E73F6F">
        <w:rPr>
          <w:spacing w:val="-8"/>
        </w:rPr>
        <w:t xml:space="preserve"> </w:t>
      </w:r>
      <w:r w:rsidRPr="00E73F6F">
        <w:t>betrieblicher</w:t>
      </w:r>
      <w:r w:rsidRPr="00E73F6F">
        <w:rPr>
          <w:spacing w:val="-9"/>
        </w:rPr>
        <w:t xml:space="preserve"> </w:t>
      </w:r>
      <w:r w:rsidRPr="00E73F6F">
        <w:t>Abläufe</w:t>
      </w:r>
      <w:r w:rsidRPr="00E73F6F">
        <w:rPr>
          <w:spacing w:val="-8"/>
        </w:rPr>
        <w:t xml:space="preserve"> </w:t>
      </w:r>
      <w:r w:rsidRPr="00E73F6F">
        <w:t>(z.B.</w:t>
      </w:r>
      <w:r w:rsidRPr="00E73F6F">
        <w:rPr>
          <w:spacing w:val="-8"/>
        </w:rPr>
        <w:t xml:space="preserve"> </w:t>
      </w:r>
      <w:r w:rsidR="009B5040">
        <w:rPr>
          <w:spacing w:val="-8"/>
        </w:rPr>
        <w:sym w:font="Symbol" w:char="F0DE"/>
      </w:r>
      <w:r w:rsidR="009B5040">
        <w:rPr>
          <w:spacing w:val="-8"/>
        </w:rPr>
        <w:t xml:space="preserve"> </w:t>
      </w:r>
      <w:r w:rsidRPr="00E73F6F">
        <w:t>Konflikte)</w:t>
      </w:r>
      <w:r w:rsidRPr="00E73F6F">
        <w:rPr>
          <w:spacing w:val="-7"/>
        </w:rPr>
        <w:t xml:space="preserve"> </w:t>
      </w:r>
      <w:r w:rsidRPr="00E73F6F">
        <w:t>werden</w:t>
      </w:r>
      <w:r w:rsidRPr="00E73F6F">
        <w:rPr>
          <w:spacing w:val="-8"/>
        </w:rPr>
        <w:t xml:space="preserve"> </w:t>
      </w:r>
      <w:r w:rsidRPr="00E73F6F">
        <w:t>folglich ebenfalls in einem Ungleichgewicht von Yin &amp; Yang gesucht. Taoistisches Konfliktmanagement</w:t>
      </w:r>
      <w:r w:rsidRPr="00E73F6F">
        <w:rPr>
          <w:spacing w:val="-10"/>
        </w:rPr>
        <w:t xml:space="preserve"> </w:t>
      </w:r>
      <w:r w:rsidRPr="00E73F6F">
        <w:t>bedeutet</w:t>
      </w:r>
      <w:r w:rsidRPr="00E73F6F">
        <w:rPr>
          <w:spacing w:val="-12"/>
        </w:rPr>
        <w:t xml:space="preserve"> </w:t>
      </w:r>
      <w:r w:rsidRPr="00E73F6F">
        <w:t>u.a.,</w:t>
      </w:r>
      <w:r w:rsidRPr="00E73F6F">
        <w:rPr>
          <w:spacing w:val="-9"/>
        </w:rPr>
        <w:t xml:space="preserve"> </w:t>
      </w:r>
      <w:r w:rsidRPr="00E73F6F">
        <w:t>den</w:t>
      </w:r>
      <w:r w:rsidRPr="00E73F6F">
        <w:rPr>
          <w:spacing w:val="-9"/>
        </w:rPr>
        <w:t xml:space="preserve"> </w:t>
      </w:r>
      <w:r w:rsidRPr="00E73F6F">
        <w:t>Dingen</w:t>
      </w:r>
      <w:r w:rsidRPr="00E73F6F">
        <w:rPr>
          <w:spacing w:val="-11"/>
        </w:rPr>
        <w:t xml:space="preserve"> </w:t>
      </w:r>
      <w:r w:rsidRPr="00E73F6F">
        <w:t>ihren</w:t>
      </w:r>
      <w:r w:rsidRPr="00E73F6F">
        <w:rPr>
          <w:spacing w:val="-11"/>
        </w:rPr>
        <w:t xml:space="preserve"> </w:t>
      </w:r>
      <w:r w:rsidRPr="00E73F6F">
        <w:t>Lauf</w:t>
      </w:r>
      <w:r w:rsidRPr="00E73F6F">
        <w:rPr>
          <w:spacing w:val="-10"/>
        </w:rPr>
        <w:t xml:space="preserve"> </w:t>
      </w:r>
      <w:r w:rsidRPr="00E73F6F">
        <w:t>zu</w:t>
      </w:r>
      <w:r w:rsidRPr="00E73F6F">
        <w:rPr>
          <w:spacing w:val="-11"/>
        </w:rPr>
        <w:t xml:space="preserve"> </w:t>
      </w:r>
      <w:r w:rsidRPr="00E73F6F">
        <w:t>lassen;</w:t>
      </w:r>
      <w:r w:rsidRPr="00E73F6F">
        <w:rPr>
          <w:spacing w:val="-10"/>
        </w:rPr>
        <w:t xml:space="preserve"> </w:t>
      </w:r>
      <w:r w:rsidRPr="00E73F6F">
        <w:t>denn</w:t>
      </w:r>
      <w:r w:rsidRPr="00E73F6F">
        <w:rPr>
          <w:spacing w:val="-9"/>
        </w:rPr>
        <w:t xml:space="preserve"> </w:t>
      </w:r>
      <w:r w:rsidRPr="00E73F6F">
        <w:t>im</w:t>
      </w:r>
      <w:r w:rsidRPr="00E73F6F">
        <w:rPr>
          <w:spacing w:val="-11"/>
        </w:rPr>
        <w:t xml:space="preserve"> </w:t>
      </w:r>
      <w:r w:rsidRPr="00E73F6F">
        <w:t>Lauf der</w:t>
      </w:r>
      <w:r w:rsidRPr="00E73F6F">
        <w:rPr>
          <w:spacing w:val="-5"/>
        </w:rPr>
        <w:t xml:space="preserve"> </w:t>
      </w:r>
      <w:r w:rsidRPr="00E73F6F">
        <w:t>Welt</w:t>
      </w:r>
      <w:r w:rsidRPr="00E73F6F">
        <w:rPr>
          <w:spacing w:val="-5"/>
        </w:rPr>
        <w:t xml:space="preserve"> </w:t>
      </w:r>
      <w:r w:rsidRPr="00E73F6F">
        <w:t>äußert</w:t>
      </w:r>
      <w:r w:rsidRPr="00E73F6F">
        <w:rPr>
          <w:spacing w:val="-5"/>
        </w:rPr>
        <w:t xml:space="preserve"> </w:t>
      </w:r>
      <w:r w:rsidRPr="00E73F6F">
        <w:t>sich</w:t>
      </w:r>
      <w:r w:rsidRPr="00E73F6F">
        <w:rPr>
          <w:spacing w:val="-4"/>
        </w:rPr>
        <w:t xml:space="preserve"> </w:t>
      </w:r>
      <w:r w:rsidRPr="00E73F6F">
        <w:t>das</w:t>
      </w:r>
      <w:r w:rsidRPr="00E73F6F">
        <w:rPr>
          <w:spacing w:val="-6"/>
        </w:rPr>
        <w:t xml:space="preserve"> </w:t>
      </w:r>
      <w:r w:rsidRPr="00E73F6F">
        <w:t>Tao.</w:t>
      </w:r>
      <w:r w:rsidRPr="00E73F6F">
        <w:rPr>
          <w:spacing w:val="-5"/>
        </w:rPr>
        <w:t xml:space="preserve"> </w:t>
      </w:r>
      <w:r w:rsidRPr="00E73F6F">
        <w:t>Jedes</w:t>
      </w:r>
      <w:r w:rsidRPr="00E73F6F">
        <w:rPr>
          <w:spacing w:val="-6"/>
        </w:rPr>
        <w:t xml:space="preserve"> </w:t>
      </w:r>
      <w:r w:rsidRPr="00E73F6F">
        <w:t>Phänomen</w:t>
      </w:r>
      <w:r w:rsidRPr="00E73F6F">
        <w:rPr>
          <w:spacing w:val="-4"/>
        </w:rPr>
        <w:t xml:space="preserve"> </w:t>
      </w:r>
      <w:r w:rsidRPr="00E73F6F">
        <w:t>sucht</w:t>
      </w:r>
      <w:r w:rsidRPr="00E73F6F">
        <w:rPr>
          <w:spacing w:val="-5"/>
        </w:rPr>
        <w:t xml:space="preserve"> </w:t>
      </w:r>
      <w:r w:rsidRPr="00E73F6F">
        <w:t>spontan</w:t>
      </w:r>
      <w:r w:rsidRPr="00E73F6F">
        <w:rPr>
          <w:spacing w:val="-5"/>
        </w:rPr>
        <w:t xml:space="preserve"> </w:t>
      </w:r>
      <w:r w:rsidRPr="00E73F6F">
        <w:t>seinen</w:t>
      </w:r>
      <w:r w:rsidRPr="00E73F6F">
        <w:rPr>
          <w:spacing w:val="-4"/>
        </w:rPr>
        <w:t xml:space="preserve"> </w:t>
      </w:r>
      <w:r w:rsidRPr="00E73F6F">
        <w:t>eigenen</w:t>
      </w:r>
      <w:r w:rsidRPr="00E73F6F">
        <w:rPr>
          <w:spacing w:val="-4"/>
        </w:rPr>
        <w:t xml:space="preserve"> </w:t>
      </w:r>
      <w:r w:rsidRPr="00E73F6F">
        <w:t>Weg, sein</w:t>
      </w:r>
      <w:r w:rsidRPr="00E73F6F">
        <w:rPr>
          <w:spacing w:val="-2"/>
        </w:rPr>
        <w:t xml:space="preserve"> </w:t>
      </w:r>
      <w:r w:rsidRPr="00E73F6F">
        <w:t>Tao.</w:t>
      </w:r>
      <w:r w:rsidRPr="00E73F6F">
        <w:rPr>
          <w:spacing w:val="-3"/>
        </w:rPr>
        <w:t xml:space="preserve"> </w:t>
      </w:r>
      <w:r w:rsidRPr="00E73F6F">
        <w:t>Dieses</w:t>
      </w:r>
      <w:r w:rsidRPr="00E73F6F">
        <w:rPr>
          <w:spacing w:val="-3"/>
        </w:rPr>
        <w:t xml:space="preserve"> </w:t>
      </w:r>
      <w:r w:rsidRPr="00E73F6F">
        <w:t>gilt</w:t>
      </w:r>
      <w:r w:rsidRPr="00E73F6F">
        <w:rPr>
          <w:spacing w:val="-3"/>
        </w:rPr>
        <w:t xml:space="preserve"> </w:t>
      </w:r>
      <w:r w:rsidRPr="00E73F6F">
        <w:t>es</w:t>
      </w:r>
      <w:r w:rsidRPr="00E73F6F">
        <w:rPr>
          <w:spacing w:val="-3"/>
        </w:rPr>
        <w:t xml:space="preserve"> </w:t>
      </w:r>
      <w:r w:rsidRPr="00E73F6F">
        <w:t>zu</w:t>
      </w:r>
      <w:r w:rsidRPr="00E73F6F">
        <w:rPr>
          <w:spacing w:val="-4"/>
        </w:rPr>
        <w:t xml:space="preserve"> </w:t>
      </w:r>
      <w:r w:rsidRPr="00E73F6F">
        <w:t>beobachten</w:t>
      </w:r>
      <w:r w:rsidRPr="00E73F6F">
        <w:rPr>
          <w:spacing w:val="-5"/>
        </w:rPr>
        <w:t xml:space="preserve"> </w:t>
      </w:r>
      <w:r w:rsidRPr="00E73F6F">
        <w:t>und</w:t>
      </w:r>
      <w:r w:rsidRPr="00E73F6F">
        <w:rPr>
          <w:spacing w:val="-2"/>
        </w:rPr>
        <w:t xml:space="preserve"> </w:t>
      </w:r>
      <w:r w:rsidRPr="00E73F6F">
        <w:t>intuitiv</w:t>
      </w:r>
      <w:r w:rsidRPr="00E73F6F">
        <w:rPr>
          <w:spacing w:val="-4"/>
        </w:rPr>
        <w:t xml:space="preserve"> </w:t>
      </w:r>
      <w:r w:rsidRPr="00E73F6F">
        <w:t>zu</w:t>
      </w:r>
      <w:r w:rsidRPr="00E73F6F">
        <w:rPr>
          <w:spacing w:val="-2"/>
        </w:rPr>
        <w:t xml:space="preserve"> </w:t>
      </w:r>
      <w:r w:rsidRPr="00E73F6F">
        <w:t>erfassen.</w:t>
      </w:r>
      <w:r w:rsidRPr="00E73F6F">
        <w:rPr>
          <w:spacing w:val="-3"/>
        </w:rPr>
        <w:t xml:space="preserve"> </w:t>
      </w:r>
      <w:r w:rsidRPr="00E73F6F">
        <w:t>Vorgesetzte</w:t>
      </w:r>
      <w:r w:rsidRPr="00E73F6F">
        <w:rPr>
          <w:spacing w:val="-4"/>
        </w:rPr>
        <w:t xml:space="preserve"> </w:t>
      </w:r>
      <w:r w:rsidRPr="00E73F6F">
        <w:t>sollen nicht unmittelbar in einen Konflikt eingreifen und womöglich entgegen dessen Eigendynamik handeln, sondern durch ihr Vorbild wirken.</w:t>
      </w:r>
    </w:p>
    <w:p w14:paraId="6D642703" w14:textId="77777777" w:rsidR="00FF7799" w:rsidRPr="00E73F6F" w:rsidRDefault="00FF7799" w:rsidP="000B3A5C">
      <w:pPr>
        <w:pStyle w:val="StandardText"/>
      </w:pPr>
      <w:r w:rsidRPr="00E73F6F">
        <w:t>Taijiquan, dem Schattenboxen, schrieb der Taoismus ursprünglich eine lebensverlängernde Wirkung zu. Dies entspricht dem Wunschdenken der chinesischen Gesellschaft, welche seit Jahrtausenden auf der Suche nach einem lebensverlängernden</w:t>
      </w:r>
      <w:r w:rsidRPr="00E73F6F">
        <w:rPr>
          <w:spacing w:val="-4"/>
        </w:rPr>
        <w:t xml:space="preserve"> </w:t>
      </w:r>
      <w:r w:rsidRPr="00E73F6F">
        <w:t>Elixier</w:t>
      </w:r>
      <w:r w:rsidRPr="00E73F6F">
        <w:rPr>
          <w:spacing w:val="-3"/>
        </w:rPr>
        <w:t xml:space="preserve"> </w:t>
      </w:r>
      <w:r w:rsidRPr="00E73F6F">
        <w:t>ist.</w:t>
      </w:r>
      <w:r w:rsidRPr="00E73F6F">
        <w:rPr>
          <w:spacing w:val="-5"/>
        </w:rPr>
        <w:t xml:space="preserve"> </w:t>
      </w:r>
      <w:r w:rsidRPr="00E73F6F">
        <w:t>Taiji</w:t>
      </w:r>
      <w:r w:rsidRPr="00E73F6F">
        <w:rPr>
          <w:spacing w:val="-3"/>
        </w:rPr>
        <w:t xml:space="preserve"> </w:t>
      </w:r>
      <w:r w:rsidRPr="00E73F6F">
        <w:t>heißt</w:t>
      </w:r>
      <w:r w:rsidRPr="00E73F6F">
        <w:rPr>
          <w:spacing w:val="-3"/>
        </w:rPr>
        <w:t xml:space="preserve"> </w:t>
      </w:r>
      <w:r w:rsidRPr="00E73F6F">
        <w:t>das</w:t>
      </w:r>
      <w:r w:rsidRPr="00E73F6F">
        <w:rPr>
          <w:spacing w:val="-3"/>
        </w:rPr>
        <w:t xml:space="preserve"> </w:t>
      </w:r>
      <w:r w:rsidRPr="00E73F6F">
        <w:t>Absolute,</w:t>
      </w:r>
      <w:r w:rsidRPr="00E73F6F">
        <w:rPr>
          <w:spacing w:val="-3"/>
        </w:rPr>
        <w:t xml:space="preserve"> </w:t>
      </w:r>
      <w:r w:rsidRPr="00E73F6F">
        <w:t>das</w:t>
      </w:r>
      <w:r w:rsidRPr="00E73F6F">
        <w:rPr>
          <w:spacing w:val="-6"/>
        </w:rPr>
        <w:t xml:space="preserve"> </w:t>
      </w:r>
      <w:r w:rsidRPr="00E73F6F">
        <w:t>graphisch</w:t>
      </w:r>
      <w:r w:rsidRPr="00E73F6F">
        <w:rPr>
          <w:spacing w:val="-2"/>
        </w:rPr>
        <w:t xml:space="preserve"> </w:t>
      </w:r>
      <w:r w:rsidRPr="00E73F6F">
        <w:t>durch</w:t>
      </w:r>
      <w:r w:rsidRPr="00E73F6F">
        <w:rPr>
          <w:spacing w:val="-2"/>
        </w:rPr>
        <w:t xml:space="preserve"> </w:t>
      </w:r>
      <w:r w:rsidRPr="00E73F6F">
        <w:t>Yin &amp; Yang dargestellt wird. Es hat die pragmatisch und erfahrungswissenschaftlich- denkenden Chinesen immer wieder zu praktischen Anwendungen inspiriert. So zählte</w:t>
      </w:r>
      <w:r w:rsidRPr="00E73F6F">
        <w:rPr>
          <w:spacing w:val="-8"/>
        </w:rPr>
        <w:t xml:space="preserve"> </w:t>
      </w:r>
      <w:r w:rsidRPr="00E73F6F">
        <w:t>für</w:t>
      </w:r>
      <w:r w:rsidRPr="00E73F6F">
        <w:rPr>
          <w:spacing w:val="-10"/>
        </w:rPr>
        <w:t xml:space="preserve"> </w:t>
      </w:r>
      <w:r w:rsidRPr="00E73F6F">
        <w:t>Militärstrategen</w:t>
      </w:r>
      <w:r w:rsidRPr="00E73F6F">
        <w:rPr>
          <w:spacing w:val="-9"/>
        </w:rPr>
        <w:t xml:space="preserve"> </w:t>
      </w:r>
      <w:r w:rsidRPr="00E73F6F">
        <w:t>das</w:t>
      </w:r>
      <w:r w:rsidRPr="00E73F6F">
        <w:rPr>
          <w:spacing w:val="-8"/>
        </w:rPr>
        <w:t xml:space="preserve"> </w:t>
      </w:r>
      <w:r w:rsidRPr="00E73F6F">
        <w:t>Schattenboxen</w:t>
      </w:r>
      <w:r w:rsidRPr="00E73F6F">
        <w:rPr>
          <w:spacing w:val="-9"/>
        </w:rPr>
        <w:t xml:space="preserve"> </w:t>
      </w:r>
      <w:r w:rsidRPr="00E73F6F">
        <w:t>zu</w:t>
      </w:r>
      <w:r w:rsidRPr="00E73F6F">
        <w:rPr>
          <w:spacing w:val="-9"/>
        </w:rPr>
        <w:t xml:space="preserve"> </w:t>
      </w:r>
      <w:r w:rsidRPr="00E73F6F">
        <w:t>den</w:t>
      </w:r>
      <w:r w:rsidRPr="00E73F6F">
        <w:rPr>
          <w:spacing w:val="-9"/>
        </w:rPr>
        <w:t xml:space="preserve"> </w:t>
      </w:r>
      <w:r w:rsidRPr="00E73F6F">
        <w:t>wichtigsten</w:t>
      </w:r>
      <w:r w:rsidRPr="00E73F6F">
        <w:rPr>
          <w:spacing w:val="-8"/>
        </w:rPr>
        <w:t xml:space="preserve"> </w:t>
      </w:r>
      <w:r w:rsidRPr="00E73F6F">
        <w:t>Kriegstechniken:</w:t>
      </w:r>
    </w:p>
    <w:p w14:paraId="36398D82" w14:textId="77777777" w:rsidR="00FF7799" w:rsidRPr="00E73F6F" w:rsidRDefault="00FF7799" w:rsidP="000B3A5C">
      <w:pPr>
        <w:pStyle w:val="StandardText"/>
        <w:rPr>
          <w:spacing w:val="-2"/>
        </w:rPr>
      </w:pPr>
      <w:r w:rsidRPr="00E73F6F">
        <w:t>„In</w:t>
      </w:r>
      <w:r w:rsidRPr="00E73F6F">
        <w:rPr>
          <w:spacing w:val="-7"/>
        </w:rPr>
        <w:t xml:space="preserve"> </w:t>
      </w:r>
      <w:r w:rsidRPr="00E73F6F">
        <w:t>der</w:t>
      </w:r>
      <w:r w:rsidRPr="00E73F6F">
        <w:rPr>
          <w:spacing w:val="-9"/>
        </w:rPr>
        <w:t xml:space="preserve"> </w:t>
      </w:r>
      <w:r w:rsidRPr="00E73F6F">
        <w:t>Defensive</w:t>
      </w:r>
      <w:r w:rsidRPr="00E73F6F">
        <w:rPr>
          <w:spacing w:val="-8"/>
        </w:rPr>
        <w:t xml:space="preserve"> </w:t>
      </w:r>
      <w:r w:rsidRPr="00E73F6F">
        <w:t>liegt</w:t>
      </w:r>
      <w:r w:rsidRPr="00E73F6F">
        <w:rPr>
          <w:spacing w:val="-9"/>
        </w:rPr>
        <w:t xml:space="preserve"> </w:t>
      </w:r>
      <w:r w:rsidRPr="00E73F6F">
        <w:t>der</w:t>
      </w:r>
      <w:r w:rsidRPr="00E73F6F">
        <w:rPr>
          <w:spacing w:val="-8"/>
        </w:rPr>
        <w:t xml:space="preserve"> </w:t>
      </w:r>
      <w:r w:rsidRPr="00E73F6F">
        <w:t>Ansatz</w:t>
      </w:r>
      <w:r w:rsidRPr="00E73F6F">
        <w:rPr>
          <w:spacing w:val="-9"/>
        </w:rPr>
        <w:t xml:space="preserve"> </w:t>
      </w:r>
      <w:r w:rsidRPr="00E73F6F">
        <w:t>zur</w:t>
      </w:r>
      <w:r w:rsidRPr="00E73F6F">
        <w:rPr>
          <w:spacing w:val="-9"/>
        </w:rPr>
        <w:t xml:space="preserve"> </w:t>
      </w:r>
      <w:r w:rsidRPr="00E73F6F">
        <w:t>neuen</w:t>
      </w:r>
      <w:r w:rsidRPr="00E73F6F">
        <w:rPr>
          <w:spacing w:val="-9"/>
        </w:rPr>
        <w:t xml:space="preserve"> </w:t>
      </w:r>
      <w:r w:rsidRPr="00E73F6F">
        <w:t>Offensive.“</w:t>
      </w:r>
      <w:r w:rsidRPr="00E73F6F">
        <w:rPr>
          <w:spacing w:val="-8"/>
        </w:rPr>
        <w:t xml:space="preserve"> </w:t>
      </w:r>
      <w:r w:rsidRPr="00E73F6F">
        <w:t>Auch</w:t>
      </w:r>
      <w:r w:rsidRPr="00E73F6F">
        <w:rPr>
          <w:spacing w:val="-9"/>
        </w:rPr>
        <w:t xml:space="preserve"> </w:t>
      </w:r>
      <w:r w:rsidRPr="00E73F6F">
        <w:t>im</w:t>
      </w:r>
      <w:r w:rsidRPr="00E73F6F">
        <w:rPr>
          <w:spacing w:val="-8"/>
        </w:rPr>
        <w:t xml:space="preserve"> </w:t>
      </w:r>
      <w:r w:rsidRPr="00E73F6F">
        <w:t>täglichen</w:t>
      </w:r>
      <w:r w:rsidRPr="00E73F6F">
        <w:rPr>
          <w:spacing w:val="-9"/>
        </w:rPr>
        <w:t xml:space="preserve"> </w:t>
      </w:r>
      <w:r w:rsidRPr="00E73F6F">
        <w:t>Leben sei es ratsam, wirtschaftlichem, politischem oder sonstigem Druck nachzugeben; denn offene Opposition provoziere die Gefahr des Gesichtsverlustes. Lässt der Druck nach, kann der Schattenboxer den Gegner mit dessen eigenen Waffen schlagen</w:t>
      </w:r>
      <w:r w:rsidRPr="00E73F6F">
        <w:rPr>
          <w:spacing w:val="-1"/>
        </w:rPr>
        <w:t xml:space="preserve"> </w:t>
      </w:r>
      <w:r w:rsidRPr="00E73F6F">
        <w:t>und seinen</w:t>
      </w:r>
      <w:r w:rsidRPr="00E73F6F">
        <w:rPr>
          <w:spacing w:val="-1"/>
        </w:rPr>
        <w:t xml:space="preserve"> </w:t>
      </w:r>
      <w:r w:rsidRPr="00E73F6F">
        <w:t>Gegenangriff mit vergleichsweise begrenztem</w:t>
      </w:r>
      <w:r w:rsidRPr="00E73F6F">
        <w:rPr>
          <w:spacing w:val="-3"/>
        </w:rPr>
        <w:t xml:space="preserve"> </w:t>
      </w:r>
      <w:r w:rsidRPr="00E73F6F">
        <w:t xml:space="preserve">Kräfteeinsatz, aber großer Aussicht auf Erfolg vortragen. Als Verhandlungstaktik empfiehlt der Daoismus Politikern wie Managern, den „Gegner“ nie direkt anzugreifen. Die indirekte Strategie erleichtere es, auch in schwierigen Situationen Auswege zu </w:t>
      </w:r>
      <w:r w:rsidRPr="00E73F6F">
        <w:rPr>
          <w:spacing w:val="-2"/>
        </w:rPr>
        <w:t>finden.</w:t>
      </w:r>
    </w:p>
    <w:p w14:paraId="58F691F6" w14:textId="77777777" w:rsidR="00FF7799" w:rsidRPr="00F675AD" w:rsidRDefault="00FF7799" w:rsidP="000B3A5C">
      <w:pPr>
        <w:pStyle w:val="StandardText"/>
        <w:rPr>
          <w:sz w:val="22"/>
          <w:szCs w:val="22"/>
        </w:rPr>
      </w:pPr>
      <w:r w:rsidRPr="00F675AD">
        <w:rPr>
          <w:b/>
          <w:i/>
          <w:sz w:val="22"/>
          <w:szCs w:val="22"/>
        </w:rPr>
        <w:t>Literatur</w:t>
      </w:r>
      <w:r w:rsidRPr="00F675AD">
        <w:rPr>
          <w:i/>
          <w:sz w:val="22"/>
          <w:szCs w:val="22"/>
        </w:rPr>
        <w:t>:</w:t>
      </w:r>
      <w:r w:rsidRPr="00F675AD">
        <w:rPr>
          <w:i/>
          <w:spacing w:val="40"/>
          <w:sz w:val="22"/>
          <w:szCs w:val="22"/>
        </w:rPr>
        <w:t xml:space="preserve"> </w:t>
      </w:r>
      <w:r w:rsidRPr="00F675AD">
        <w:rPr>
          <w:sz w:val="22"/>
          <w:szCs w:val="22"/>
        </w:rPr>
        <w:t>Peill-Schoeller, P. (1994): Interkulturelles Management. Synergien in Joint</w:t>
      </w:r>
      <w:r w:rsidRPr="00F675AD">
        <w:rPr>
          <w:spacing w:val="40"/>
          <w:sz w:val="22"/>
          <w:szCs w:val="22"/>
        </w:rPr>
        <w:t xml:space="preserve"> </w:t>
      </w:r>
      <w:r w:rsidRPr="00F675AD">
        <w:rPr>
          <w:sz w:val="22"/>
          <w:szCs w:val="22"/>
        </w:rPr>
        <w:t>Ventures zwischen China und deutschsprachigen Ländern, Berlin: Springer.</w:t>
      </w:r>
      <w:r w:rsidRPr="00F675AD">
        <w:rPr>
          <w:spacing w:val="80"/>
          <w:sz w:val="22"/>
          <w:szCs w:val="22"/>
        </w:rPr>
        <w:t xml:space="preserve"> </w:t>
      </w:r>
      <w:r w:rsidRPr="00F675AD">
        <w:rPr>
          <w:sz w:val="22"/>
          <w:szCs w:val="22"/>
        </w:rPr>
        <w:t>Reiter, F.C.</w:t>
      </w:r>
      <w:r w:rsidRPr="00F675AD">
        <w:rPr>
          <w:spacing w:val="40"/>
          <w:sz w:val="22"/>
          <w:szCs w:val="22"/>
        </w:rPr>
        <w:t xml:space="preserve"> </w:t>
      </w:r>
      <w:r w:rsidRPr="00F675AD">
        <w:rPr>
          <w:sz w:val="22"/>
          <w:szCs w:val="22"/>
        </w:rPr>
        <w:t>(2002):</w:t>
      </w:r>
      <w:r w:rsidRPr="00F675AD">
        <w:rPr>
          <w:spacing w:val="-2"/>
          <w:sz w:val="22"/>
          <w:szCs w:val="22"/>
        </w:rPr>
        <w:t xml:space="preserve"> </w:t>
      </w:r>
      <w:r w:rsidRPr="00F675AD">
        <w:rPr>
          <w:sz w:val="22"/>
          <w:szCs w:val="22"/>
        </w:rPr>
        <w:t>Religionen</w:t>
      </w:r>
      <w:r w:rsidRPr="00F675AD">
        <w:rPr>
          <w:spacing w:val="-3"/>
          <w:sz w:val="22"/>
          <w:szCs w:val="22"/>
        </w:rPr>
        <w:t xml:space="preserve"> </w:t>
      </w:r>
      <w:r w:rsidRPr="00F675AD">
        <w:rPr>
          <w:sz w:val="22"/>
          <w:szCs w:val="22"/>
        </w:rPr>
        <w:t>in</w:t>
      </w:r>
      <w:r w:rsidRPr="00F675AD">
        <w:rPr>
          <w:spacing w:val="-3"/>
          <w:sz w:val="22"/>
          <w:szCs w:val="22"/>
        </w:rPr>
        <w:t xml:space="preserve"> </w:t>
      </w:r>
      <w:r w:rsidRPr="00F675AD">
        <w:rPr>
          <w:sz w:val="22"/>
          <w:szCs w:val="22"/>
        </w:rPr>
        <w:t>China.</w:t>
      </w:r>
      <w:r w:rsidRPr="00F675AD">
        <w:rPr>
          <w:spacing w:val="-2"/>
          <w:sz w:val="22"/>
          <w:szCs w:val="22"/>
        </w:rPr>
        <w:t xml:space="preserve"> </w:t>
      </w:r>
      <w:r w:rsidRPr="00F675AD">
        <w:rPr>
          <w:sz w:val="22"/>
          <w:szCs w:val="22"/>
        </w:rPr>
        <w:t>Geschichte,</w:t>
      </w:r>
      <w:r w:rsidRPr="00F675AD">
        <w:rPr>
          <w:spacing w:val="-1"/>
          <w:sz w:val="22"/>
          <w:szCs w:val="22"/>
        </w:rPr>
        <w:t xml:space="preserve"> </w:t>
      </w:r>
      <w:r w:rsidRPr="00F675AD">
        <w:rPr>
          <w:sz w:val="22"/>
          <w:szCs w:val="22"/>
        </w:rPr>
        <w:t>Alltag,</w:t>
      </w:r>
      <w:r w:rsidRPr="00F675AD">
        <w:rPr>
          <w:spacing w:val="-4"/>
          <w:sz w:val="22"/>
          <w:szCs w:val="22"/>
        </w:rPr>
        <w:t xml:space="preserve"> </w:t>
      </w:r>
      <w:r w:rsidRPr="00F675AD">
        <w:rPr>
          <w:sz w:val="22"/>
          <w:szCs w:val="22"/>
        </w:rPr>
        <w:t>Kultur,</w:t>
      </w:r>
      <w:r w:rsidRPr="00F675AD">
        <w:rPr>
          <w:spacing w:val="-6"/>
          <w:sz w:val="22"/>
          <w:szCs w:val="22"/>
        </w:rPr>
        <w:t xml:space="preserve"> </w:t>
      </w:r>
      <w:r w:rsidRPr="00F675AD">
        <w:rPr>
          <w:sz w:val="22"/>
          <w:szCs w:val="22"/>
        </w:rPr>
        <w:t>München:</w:t>
      </w:r>
      <w:r w:rsidRPr="00F675AD">
        <w:rPr>
          <w:spacing w:val="-3"/>
          <w:sz w:val="22"/>
          <w:szCs w:val="22"/>
        </w:rPr>
        <w:t xml:space="preserve"> </w:t>
      </w:r>
      <w:r w:rsidRPr="00F675AD">
        <w:rPr>
          <w:sz w:val="22"/>
          <w:szCs w:val="22"/>
        </w:rPr>
        <w:t>CH</w:t>
      </w:r>
      <w:r w:rsidRPr="00F675AD">
        <w:rPr>
          <w:spacing w:val="-5"/>
          <w:sz w:val="22"/>
          <w:szCs w:val="22"/>
        </w:rPr>
        <w:t xml:space="preserve"> </w:t>
      </w:r>
      <w:r w:rsidRPr="00F675AD">
        <w:rPr>
          <w:sz w:val="22"/>
          <w:szCs w:val="22"/>
        </w:rPr>
        <w:t>Beck.</w:t>
      </w:r>
      <w:r w:rsidRPr="00F675AD">
        <w:rPr>
          <w:spacing w:val="75"/>
          <w:sz w:val="22"/>
          <w:szCs w:val="22"/>
        </w:rPr>
        <w:t xml:space="preserve"> </w:t>
      </w:r>
      <w:r w:rsidRPr="00F675AD">
        <w:rPr>
          <w:sz w:val="22"/>
          <w:szCs w:val="22"/>
        </w:rPr>
        <w:t>Seiwert,</w:t>
      </w:r>
      <w:r w:rsidRPr="00F675AD">
        <w:rPr>
          <w:spacing w:val="-4"/>
          <w:sz w:val="22"/>
          <w:szCs w:val="22"/>
        </w:rPr>
        <w:t xml:space="preserve"> </w:t>
      </w:r>
      <w:r w:rsidRPr="00F675AD">
        <w:rPr>
          <w:sz w:val="22"/>
          <w:szCs w:val="22"/>
        </w:rPr>
        <w:t>H.</w:t>
      </w:r>
      <w:r w:rsidRPr="00F675AD">
        <w:rPr>
          <w:spacing w:val="40"/>
          <w:sz w:val="22"/>
          <w:szCs w:val="22"/>
        </w:rPr>
        <w:t xml:space="preserve"> </w:t>
      </w:r>
      <w:r w:rsidRPr="00F675AD">
        <w:rPr>
          <w:sz w:val="22"/>
          <w:szCs w:val="22"/>
        </w:rPr>
        <w:t>(1995): Taoismus, in: Drehsen, V.; Häring, H.; Kuschel, K.-J.; Siemers, H. (Hrsg.),</w:t>
      </w:r>
      <w:r w:rsidRPr="00F675AD">
        <w:rPr>
          <w:spacing w:val="40"/>
          <w:sz w:val="22"/>
          <w:szCs w:val="22"/>
        </w:rPr>
        <w:t xml:space="preserve"> </w:t>
      </w:r>
      <w:r w:rsidRPr="00F675AD">
        <w:rPr>
          <w:sz w:val="22"/>
          <w:szCs w:val="22"/>
        </w:rPr>
        <w:t>Wörterbuch des Christentums, 1224-1225, München: Orbis.</w:t>
      </w:r>
    </w:p>
    <w:p w14:paraId="064A6D20" w14:textId="77777777" w:rsidR="00FF7799" w:rsidRPr="00F675AD" w:rsidRDefault="00FF7799" w:rsidP="000B3A5C">
      <w:pPr>
        <w:pStyle w:val="StandardText"/>
        <w:rPr>
          <w:sz w:val="22"/>
          <w:szCs w:val="22"/>
        </w:rPr>
      </w:pPr>
    </w:p>
    <w:p w14:paraId="01457E2C" w14:textId="77777777" w:rsidR="0069244A" w:rsidRPr="00C139BC" w:rsidRDefault="0069244A" w:rsidP="00C139BC">
      <w:pPr>
        <w:pStyle w:val="berschrift1"/>
        <w:rPr>
          <w:color w:val="2E74B5"/>
        </w:rPr>
      </w:pPr>
      <w:r w:rsidRPr="007F69DA">
        <w:rPr>
          <w:color w:val="2E74B5"/>
        </w:rPr>
        <w:t>Team, multikulturelles</w:t>
      </w:r>
    </w:p>
    <w:p w14:paraId="62061894" w14:textId="77777777" w:rsidR="0069244A" w:rsidRPr="007F69DA" w:rsidRDefault="0069244A" w:rsidP="0069244A">
      <w:pPr>
        <w:rPr>
          <w:bCs/>
          <w:noProof/>
          <w:szCs w:val="24"/>
        </w:rPr>
      </w:pPr>
      <w:r w:rsidRPr="007F69DA">
        <w:rPr>
          <w:bCs/>
          <w:noProof/>
          <w:szCs w:val="24"/>
        </w:rPr>
        <w:t>mit Angehörigen unterschiedlicher Kulturen bzw. Nationen besetzte Arbeitsgruppe (</w:t>
      </w:r>
      <w:r w:rsidRPr="007F69DA">
        <w:rPr>
          <w:bCs/>
          <w:noProof/>
          <w:szCs w:val="24"/>
        </w:rPr>
        <w:sym w:font="Symbol" w:char="F0DE"/>
      </w:r>
      <w:r w:rsidRPr="007F69DA">
        <w:rPr>
          <w:bCs/>
          <w:noProof/>
          <w:szCs w:val="24"/>
        </w:rPr>
        <w:t xml:space="preserve"> Multi</w:t>
      </w:r>
      <w:r w:rsidRPr="007F69DA">
        <w:rPr>
          <w:bCs/>
          <w:noProof/>
          <w:szCs w:val="24"/>
        </w:rPr>
        <w:softHyphen/>
        <w:t>kul</w:t>
      </w:r>
      <w:r w:rsidRPr="007F69DA">
        <w:rPr>
          <w:bCs/>
          <w:noProof/>
          <w:szCs w:val="24"/>
        </w:rPr>
        <w:softHyphen/>
        <w:t>turalität). Leitidee dieses Instruments internationaler Personalpolitik (</w:t>
      </w:r>
      <w:r w:rsidRPr="007F69DA">
        <w:rPr>
          <w:bCs/>
          <w:noProof/>
          <w:szCs w:val="24"/>
        </w:rPr>
        <w:sym w:font="Symbol" w:char="F0DE"/>
      </w:r>
      <w:r w:rsidRPr="007F69DA">
        <w:rPr>
          <w:bCs/>
          <w:noProof/>
          <w:szCs w:val="24"/>
        </w:rPr>
        <w:t xml:space="preserve"> Diversity Management) ist die Absicht, das Synergiepotenzial, das kultureller Heterogenität innewohnt (bzw. zugeschrieben wird), zu nutzen.</w:t>
      </w:r>
    </w:p>
    <w:p w14:paraId="1EE9C142" w14:textId="77777777" w:rsidR="0069244A" w:rsidRPr="007F69DA" w:rsidRDefault="0069244A" w:rsidP="0069244A">
      <w:pPr>
        <w:spacing w:line="360" w:lineRule="auto"/>
        <w:jc w:val="both"/>
        <w:rPr>
          <w:b/>
          <w:bCs/>
          <w:szCs w:val="28"/>
          <w:lang w:bidi="en-US"/>
        </w:rPr>
      </w:pPr>
    </w:p>
    <w:p w14:paraId="08A7B79A" w14:textId="77777777" w:rsidR="0069244A" w:rsidRPr="007F69DA" w:rsidRDefault="0069244A" w:rsidP="0069244A">
      <w:pPr>
        <w:rPr>
          <w:bCs/>
          <w:noProof/>
          <w:szCs w:val="24"/>
        </w:rPr>
      </w:pPr>
      <w:r w:rsidRPr="007F69DA">
        <w:rPr>
          <w:bCs/>
          <w:noProof/>
          <w:szCs w:val="24"/>
        </w:rPr>
        <w:t>1. Mythos Team</w:t>
      </w:r>
    </w:p>
    <w:p w14:paraId="253B5262" w14:textId="77777777" w:rsidR="0069244A" w:rsidRPr="007F69DA" w:rsidRDefault="0069244A" w:rsidP="0069244A">
      <w:pPr>
        <w:rPr>
          <w:bCs/>
          <w:noProof/>
          <w:szCs w:val="24"/>
        </w:rPr>
      </w:pPr>
      <w:r w:rsidRPr="007F69DA">
        <w:rPr>
          <w:bCs/>
          <w:noProof/>
          <w:szCs w:val="24"/>
        </w:rPr>
        <w:t>Aufgrund der zunehmenden Internationalisierung und Globalisierung der Unternehmenstätigkeit kommt es immer häufiger vor, dass Angehörige verschiedener Kulturkreise kurz- oder längerfristig zusammenarbeiten. Dies kann informell geschehen oder im Rahmen von Teams, die explizit in die Unternehmensstruktur eingebunden sind. Unstrittig ist, dass interkulturelle Kompetenz eine notwendige Bedingung der erfolgreichen Führung von bzw. der Mitarbeit in multikulturellen Teams ist (</w:t>
      </w:r>
      <w:r w:rsidRPr="007F69DA">
        <w:rPr>
          <w:bCs/>
          <w:noProof/>
          <w:szCs w:val="24"/>
        </w:rPr>
        <w:sym w:font="Symbol" w:char="F0DE"/>
      </w:r>
      <w:r w:rsidRPr="007F69DA">
        <w:rPr>
          <w:bCs/>
          <w:noProof/>
          <w:szCs w:val="24"/>
        </w:rPr>
        <w:t xml:space="preserve"> Kompetenz, interkulturelle; vgl. Matveev/Milter 2004).</w:t>
      </w:r>
    </w:p>
    <w:p w14:paraId="6FD43F5B" w14:textId="77777777" w:rsidR="0069244A" w:rsidRPr="007F69DA" w:rsidRDefault="0069244A" w:rsidP="0069244A">
      <w:pPr>
        <w:spacing w:line="360" w:lineRule="auto"/>
        <w:jc w:val="both"/>
        <w:rPr>
          <w:szCs w:val="24"/>
          <w:lang w:bidi="en-US"/>
        </w:rPr>
      </w:pPr>
    </w:p>
    <w:p w14:paraId="3C8F8A62" w14:textId="77777777" w:rsidR="0069244A" w:rsidRPr="007F69DA" w:rsidRDefault="0069244A" w:rsidP="0069244A">
      <w:pPr>
        <w:rPr>
          <w:bCs/>
          <w:noProof/>
          <w:szCs w:val="24"/>
        </w:rPr>
      </w:pPr>
      <w:r w:rsidRPr="007F69DA">
        <w:rPr>
          <w:bCs/>
          <w:noProof/>
          <w:szCs w:val="24"/>
        </w:rPr>
        <w:t xml:space="preserve">Etwas anders verhält es sich mit der grundsätzlichen Einschätzung von multikulturellen Teams. So, wie lange Zeit Teamarbeit idealisiert wurde (vgl. Malik 1999), so glaubte man, dass kulturell heterogene Arbeitsgruppen effizienter, kreativer, innovativer etc. arbeiten als monokulturelle Teams (vgl. Gassmann 2001). Begründet wurde dies mit den kulturbedingt unterschiedlichen Weltbildern, Führungstheorien, Arbeitsstilen etc. der Gruppenmitglieder, die sich – so die Hoffnung – wechselseitig ergänzen und befruchten. </w:t>
      </w:r>
    </w:p>
    <w:p w14:paraId="69BCA30C" w14:textId="77777777" w:rsidR="0069244A" w:rsidRPr="007F69DA" w:rsidRDefault="0069244A" w:rsidP="0069244A">
      <w:pPr>
        <w:spacing w:line="360" w:lineRule="auto"/>
        <w:jc w:val="both"/>
        <w:rPr>
          <w:szCs w:val="24"/>
          <w:lang w:bidi="en-US"/>
        </w:rPr>
      </w:pPr>
    </w:p>
    <w:p w14:paraId="04C7EE36" w14:textId="77777777" w:rsidR="0069244A" w:rsidRPr="007F69DA" w:rsidRDefault="0069244A" w:rsidP="0069244A">
      <w:pPr>
        <w:rPr>
          <w:bCs/>
          <w:noProof/>
          <w:szCs w:val="24"/>
        </w:rPr>
      </w:pPr>
      <w:r w:rsidRPr="007F69DA">
        <w:rPr>
          <w:bCs/>
          <w:noProof/>
          <w:szCs w:val="24"/>
        </w:rPr>
        <w:t>Aufgrund kulturspezifischer Vorstellungen über die Wünschbarkeit oder Angemessenheit unterschiedlicher Problemlösungsstrategien, divergierende Arbeitsstile sowie Modi des Zeit-Mana</w:t>
      </w:r>
      <w:r w:rsidRPr="007F69DA">
        <w:rPr>
          <w:bCs/>
          <w:noProof/>
          <w:szCs w:val="24"/>
        </w:rPr>
        <w:softHyphen/>
        <w:t>ge</w:t>
      </w:r>
      <w:r w:rsidRPr="007F69DA">
        <w:rPr>
          <w:bCs/>
          <w:noProof/>
          <w:szCs w:val="24"/>
        </w:rPr>
        <w:softHyphen/>
        <w:t>ments kommt es in multikulturellen Teams immer wieder zu Konflikten und Enttäuschungen. Nur wenn diese nicht sich selbst überlassen, sondern aktiv und kultursensibel geführt werden (vgl. von der Oelsnitz 2006), kann sich die Hoffnung auf kulturelle Synergie erfüllen. Vor allem in der Anfangsphase der Teambildung haben multikulturelle Teams mehr Probleme zu bewältigen als monokulturelle Teams. Nur dann, wenn die Beteiligten bereit und in der Lage sind, fremdkulturelle Arbeitsstile, Verfahrensweisen, Lösungsansätze als prinzipiell gleichwertig und bisweilen sogar als den eigenen überlegen anzuerkennen, können multikulturelle Teams ihre Stärken ausspielen (vgl. Thomas 2003).</w:t>
      </w:r>
    </w:p>
    <w:p w14:paraId="050A41D9" w14:textId="77777777" w:rsidR="0069244A" w:rsidRPr="007F69DA" w:rsidRDefault="0069244A" w:rsidP="0069244A">
      <w:pPr>
        <w:spacing w:line="360" w:lineRule="auto"/>
        <w:jc w:val="both"/>
        <w:rPr>
          <w:szCs w:val="24"/>
          <w:lang w:bidi="en-US"/>
        </w:rPr>
      </w:pPr>
    </w:p>
    <w:tbl>
      <w:tblPr>
        <w:tblW w:w="58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85" w:type="dxa"/>
          <w:right w:w="85" w:type="dxa"/>
        </w:tblCellMar>
        <w:tblLook w:val="0000" w:firstRow="0" w:lastRow="0" w:firstColumn="0" w:lastColumn="0" w:noHBand="0" w:noVBand="0"/>
      </w:tblPr>
      <w:tblGrid>
        <w:gridCol w:w="5897"/>
      </w:tblGrid>
      <w:tr w:rsidR="0069244A" w:rsidRPr="007F69DA" w14:paraId="349883A0" w14:textId="77777777" w:rsidTr="00F46ACB">
        <w:tc>
          <w:tcPr>
            <w:tcW w:w="5897" w:type="dxa"/>
            <w:tcBorders>
              <w:top w:val="single" w:sz="4" w:space="0" w:color="auto"/>
              <w:left w:val="single" w:sz="4" w:space="0" w:color="auto"/>
              <w:bottom w:val="nil"/>
              <w:right w:val="nil"/>
            </w:tcBorders>
          </w:tcPr>
          <w:p w14:paraId="758CC618" w14:textId="77777777" w:rsidR="0069244A" w:rsidRPr="007F69DA" w:rsidRDefault="0069244A" w:rsidP="00F46ACB">
            <w:pPr>
              <w:spacing w:line="72" w:lineRule="auto"/>
              <w:jc w:val="both"/>
              <w:rPr>
                <w:b/>
                <w:color w:val="000000"/>
                <w:sz w:val="16"/>
                <w:szCs w:val="16"/>
                <w:lang w:bidi="en-US"/>
              </w:rPr>
            </w:pPr>
          </w:p>
        </w:tc>
      </w:tr>
      <w:tr w:rsidR="0069244A" w:rsidRPr="007F69DA" w14:paraId="0F2F64DB" w14:textId="77777777" w:rsidTr="00F46ACB">
        <w:tc>
          <w:tcPr>
            <w:tcW w:w="5897" w:type="dxa"/>
            <w:tcBorders>
              <w:top w:val="nil"/>
              <w:left w:val="single" w:sz="4" w:space="0" w:color="auto"/>
              <w:bottom w:val="nil"/>
              <w:right w:val="nil"/>
            </w:tcBorders>
            <w:shd w:val="clear" w:color="auto" w:fill="DEEAF6" w:themeFill="accent1" w:themeFillTint="33"/>
          </w:tcPr>
          <w:p w14:paraId="59FE632C" w14:textId="77777777" w:rsidR="0069244A" w:rsidRPr="007F69DA" w:rsidRDefault="0069244A" w:rsidP="00F46ACB">
            <w:pPr>
              <w:spacing w:before="40" w:after="40"/>
              <w:jc w:val="center"/>
              <w:rPr>
                <w:color w:val="000000"/>
                <w:sz w:val="18"/>
                <w:szCs w:val="18"/>
                <w:lang w:bidi="en-US"/>
              </w:rPr>
            </w:pPr>
            <w:r w:rsidRPr="007F69DA">
              <w:rPr>
                <w:color w:val="000000"/>
                <w:sz w:val="18"/>
                <w:szCs w:val="18"/>
                <w:lang w:bidi="en-US"/>
              </w:rPr>
              <w:t>Maximal zwölf Zeilen</w:t>
            </w:r>
          </w:p>
        </w:tc>
      </w:tr>
      <w:tr w:rsidR="0069244A" w:rsidRPr="007F69DA" w14:paraId="424AB556" w14:textId="77777777" w:rsidTr="00F46ACB">
        <w:tc>
          <w:tcPr>
            <w:tcW w:w="5897" w:type="dxa"/>
            <w:tcBorders>
              <w:top w:val="nil"/>
              <w:left w:val="single" w:sz="4" w:space="0" w:color="auto"/>
              <w:bottom w:val="nil"/>
              <w:right w:val="nil"/>
            </w:tcBorders>
            <w:shd w:val="clear" w:color="auto" w:fill="DEEAF6" w:themeFill="accent1" w:themeFillTint="33"/>
          </w:tcPr>
          <w:p w14:paraId="283CDF2E" w14:textId="77777777" w:rsidR="0069244A" w:rsidRPr="007F69DA" w:rsidRDefault="0069244A" w:rsidP="00F46ACB">
            <w:pPr>
              <w:spacing w:line="72" w:lineRule="auto"/>
              <w:jc w:val="both"/>
              <w:rPr>
                <w:color w:val="000000"/>
                <w:sz w:val="18"/>
                <w:szCs w:val="18"/>
                <w:lang w:bidi="en-US"/>
              </w:rPr>
            </w:pPr>
          </w:p>
        </w:tc>
      </w:tr>
      <w:tr w:rsidR="0069244A" w:rsidRPr="007F69DA" w14:paraId="05C93168" w14:textId="77777777" w:rsidTr="00F46ACB">
        <w:tc>
          <w:tcPr>
            <w:tcW w:w="5897" w:type="dxa"/>
            <w:tcBorders>
              <w:top w:val="nil"/>
              <w:left w:val="nil"/>
              <w:bottom w:val="nil"/>
              <w:right w:val="nil"/>
            </w:tcBorders>
            <w:shd w:val="clear" w:color="auto" w:fill="DEEAF6" w:themeFill="accent1" w:themeFillTint="33"/>
          </w:tcPr>
          <w:p w14:paraId="471B84F9" w14:textId="77777777" w:rsidR="0069244A" w:rsidRPr="007F69DA" w:rsidRDefault="0069244A" w:rsidP="00F46ACB">
            <w:pPr>
              <w:jc w:val="both"/>
              <w:rPr>
                <w:sz w:val="18"/>
                <w:szCs w:val="18"/>
                <w:lang w:bidi="en-US"/>
              </w:rPr>
            </w:pPr>
            <w:r w:rsidRPr="007F69DA">
              <w:rPr>
                <w:sz w:val="18"/>
                <w:szCs w:val="18"/>
                <w:lang w:bidi="en-US"/>
              </w:rPr>
              <w:t>„Ende der achtziger Jahre verlor die Marketing-Abteilung der deutschen Niederlassung eines amerikanischen multinationalen Konzerns in kurzer Zeit fast ihre gesamte, bis dahin rein deutsche Mitarbeiterschaft. Die Zentrale in den USA hatte als Nachfolgerin eines Deutschen, der für die Niederlassung eine eigenständige, an einheimischen Verhältnissen orientierte Organisationskultur hatte entstehen lassen, eine nur englischsprachige junge Amerikanerin als Geschäftsführerin nach Deutschland beordert, wo sie sogleich die Standards der Muttergesellschaft einführte. Eine ihrer Innovationen betraf die Anpassung des lokalen Berichtswesens an jenes der Zentrale: von Sitzungen, Werbekampagnen usw. durfte in Zukunft nur noch mit maximal zwölf Zeilen berichtet werden. Die deutschen Mitarbeiter sahen sich dadurch um die Möglichkeit gebracht, Sachverhalte differenziert genug darzustellen und damit ihrer Kompetenz Ausdruck zu verleihen. Andere Veränderungen der organisations-internen Kommunikation wie direkte und öffentliche Kritik an – auch älteren – Mitarbeitern und die Anforderung, in ihrer Gegenwart das Englische für alle Gespräche zu gebrauchen, kamen hinzu“ (Knapp 1996, S.69).</w:t>
            </w:r>
          </w:p>
        </w:tc>
      </w:tr>
      <w:tr w:rsidR="0069244A" w:rsidRPr="007F69DA" w14:paraId="4AF2ECAA" w14:textId="77777777" w:rsidTr="00F46ACB">
        <w:tc>
          <w:tcPr>
            <w:tcW w:w="5897" w:type="dxa"/>
            <w:tcBorders>
              <w:top w:val="nil"/>
              <w:left w:val="nil"/>
              <w:bottom w:val="nil"/>
              <w:right w:val="single" w:sz="4" w:space="0" w:color="auto"/>
            </w:tcBorders>
          </w:tcPr>
          <w:p w14:paraId="12791A4E" w14:textId="77777777" w:rsidR="0069244A" w:rsidRPr="007F69DA" w:rsidRDefault="0069244A" w:rsidP="00F46ACB">
            <w:pPr>
              <w:spacing w:line="72" w:lineRule="auto"/>
              <w:jc w:val="right"/>
              <w:rPr>
                <w:sz w:val="18"/>
                <w:szCs w:val="18"/>
                <w:lang w:bidi="en-US"/>
              </w:rPr>
            </w:pPr>
          </w:p>
        </w:tc>
      </w:tr>
      <w:tr w:rsidR="0069244A" w:rsidRPr="007F69DA" w14:paraId="6E6D25D6" w14:textId="77777777" w:rsidTr="00F46ACB">
        <w:tc>
          <w:tcPr>
            <w:tcW w:w="5897" w:type="dxa"/>
            <w:tcBorders>
              <w:top w:val="nil"/>
              <w:left w:val="nil"/>
              <w:bottom w:val="nil"/>
              <w:right w:val="single" w:sz="4" w:space="0" w:color="auto"/>
            </w:tcBorders>
          </w:tcPr>
          <w:p w14:paraId="646E16CA" w14:textId="77777777" w:rsidR="0069244A" w:rsidRPr="007F69DA" w:rsidRDefault="0069244A" w:rsidP="00F46ACB">
            <w:pPr>
              <w:jc w:val="right"/>
              <w:rPr>
                <w:sz w:val="18"/>
                <w:szCs w:val="18"/>
                <w:lang w:bidi="en-US"/>
              </w:rPr>
            </w:pPr>
          </w:p>
        </w:tc>
      </w:tr>
      <w:tr w:rsidR="0069244A" w:rsidRPr="007F69DA" w14:paraId="0C3C2522" w14:textId="77777777" w:rsidTr="00F46ACB">
        <w:tc>
          <w:tcPr>
            <w:tcW w:w="5897" w:type="dxa"/>
            <w:tcBorders>
              <w:top w:val="nil"/>
              <w:left w:val="nil"/>
              <w:bottom w:val="single" w:sz="4" w:space="0" w:color="auto"/>
              <w:right w:val="single" w:sz="4" w:space="0" w:color="auto"/>
            </w:tcBorders>
          </w:tcPr>
          <w:p w14:paraId="6C517681" w14:textId="77777777" w:rsidR="0069244A" w:rsidRPr="007F69DA" w:rsidRDefault="0069244A" w:rsidP="00F46ACB">
            <w:pPr>
              <w:spacing w:line="72" w:lineRule="auto"/>
              <w:jc w:val="both"/>
              <w:rPr>
                <w:sz w:val="18"/>
                <w:szCs w:val="18"/>
                <w:lang w:bidi="en-US"/>
              </w:rPr>
            </w:pPr>
          </w:p>
        </w:tc>
      </w:tr>
    </w:tbl>
    <w:p w14:paraId="7A693CF9" w14:textId="77777777" w:rsidR="0069244A" w:rsidRPr="007F69DA" w:rsidRDefault="0069244A" w:rsidP="0069244A">
      <w:pPr>
        <w:spacing w:line="360" w:lineRule="auto"/>
        <w:jc w:val="both"/>
        <w:rPr>
          <w:b/>
          <w:szCs w:val="24"/>
          <w:lang w:bidi="en-US"/>
        </w:rPr>
      </w:pPr>
    </w:p>
    <w:p w14:paraId="3255226E" w14:textId="77777777" w:rsidR="0069244A" w:rsidRPr="007F69DA" w:rsidRDefault="0069244A" w:rsidP="0069244A">
      <w:pPr>
        <w:rPr>
          <w:bCs/>
          <w:noProof/>
          <w:szCs w:val="24"/>
        </w:rPr>
      </w:pPr>
      <w:r w:rsidRPr="007F69DA">
        <w:rPr>
          <w:bCs/>
          <w:noProof/>
          <w:szCs w:val="24"/>
        </w:rPr>
        <w:t>2. Risiken multikultureller Teams</w:t>
      </w:r>
    </w:p>
    <w:p w14:paraId="0716A71D" w14:textId="77777777" w:rsidR="0069244A" w:rsidRPr="007F69DA" w:rsidRDefault="0069244A" w:rsidP="0069244A">
      <w:pPr>
        <w:rPr>
          <w:bCs/>
          <w:noProof/>
          <w:szCs w:val="24"/>
        </w:rPr>
      </w:pPr>
    </w:p>
    <w:p w14:paraId="0B15AC26" w14:textId="77777777" w:rsidR="0069244A" w:rsidRPr="007F69DA" w:rsidRDefault="0069244A" w:rsidP="0069244A">
      <w:pPr>
        <w:rPr>
          <w:bCs/>
          <w:noProof/>
          <w:szCs w:val="24"/>
        </w:rPr>
      </w:pPr>
      <w:r w:rsidRPr="007F69DA">
        <w:rPr>
          <w:bCs/>
          <w:noProof/>
          <w:szCs w:val="24"/>
        </w:rPr>
        <w:t>Falscher Konsensus</w:t>
      </w:r>
    </w:p>
    <w:p w14:paraId="5979F283" w14:textId="77777777" w:rsidR="0069244A" w:rsidRPr="007F69DA" w:rsidRDefault="0069244A" w:rsidP="0069244A">
      <w:pPr>
        <w:rPr>
          <w:bCs/>
          <w:noProof/>
          <w:szCs w:val="24"/>
        </w:rPr>
      </w:pPr>
      <w:r w:rsidRPr="007F69DA">
        <w:rPr>
          <w:bCs/>
          <w:noProof/>
          <w:szCs w:val="24"/>
        </w:rPr>
        <w:t xml:space="preserve">Gemäß dieser aus der Attributionstheorie bekannten systematischen Fehleinschätzung neigen Menschen dazu, fälschlicherweise zu unterstellen, dass andere Menschen so fühlen, denken und handeln wie sie selbst. Barmeyer/Davoine (2006) beschreiben die Risiken dieser Annahme. </w:t>
      </w:r>
    </w:p>
    <w:p w14:paraId="36597B16" w14:textId="77777777" w:rsidR="0069244A" w:rsidRPr="007F69DA" w:rsidRDefault="0069244A" w:rsidP="0069244A">
      <w:pPr>
        <w:spacing w:line="360" w:lineRule="auto"/>
        <w:jc w:val="both"/>
        <w:rPr>
          <w:szCs w:val="24"/>
          <w:lang w:bidi="en-US"/>
        </w:rPr>
      </w:pPr>
    </w:p>
    <w:p w14:paraId="21D3B943" w14:textId="77777777" w:rsidR="0069244A" w:rsidRPr="007F69DA" w:rsidRDefault="0069244A" w:rsidP="0069244A">
      <w:pPr>
        <w:shd w:val="clear" w:color="auto" w:fill="DEEAF6" w:themeFill="accent1" w:themeFillTint="33"/>
        <w:jc w:val="center"/>
        <w:rPr>
          <w:sz w:val="18"/>
          <w:szCs w:val="18"/>
          <w:lang w:bidi="en-US"/>
        </w:rPr>
      </w:pPr>
      <w:r w:rsidRPr="007F69DA">
        <w:rPr>
          <w:bCs/>
          <w:noProof/>
          <w:sz w:val="18"/>
          <w:szCs w:val="18"/>
        </w:rPr>
        <w:t>Ähnlichkeitsannahme</w:t>
      </w:r>
    </w:p>
    <w:p w14:paraId="5276F0A4" w14:textId="77777777" w:rsidR="0069244A" w:rsidRPr="007F69DA" w:rsidRDefault="0069244A" w:rsidP="0069244A">
      <w:pPr>
        <w:shd w:val="clear" w:color="auto" w:fill="DEEAF6" w:themeFill="accent1" w:themeFillTint="33"/>
        <w:jc w:val="both"/>
        <w:rPr>
          <w:sz w:val="18"/>
          <w:szCs w:val="18"/>
          <w:lang w:bidi="en-US"/>
        </w:rPr>
      </w:pPr>
      <w:r w:rsidRPr="007F69DA">
        <w:rPr>
          <w:sz w:val="18"/>
          <w:szCs w:val="18"/>
          <w:lang w:bidi="en-US"/>
        </w:rPr>
        <w:t xml:space="preserve">„Manager und Mitarbeiter eines Landes haben eine für sie selbstverständliche Auffassung von Teamarbeit, Zusammenarbeit, Führung, Delegation, Partizipation etc, die sie als »normal« und »richtig« ansehen und danach – unbewusst – ihr Verhalten ausrichten. Dabei ist jedes Managementsystem in der Regel erfolgreich und basiert auf bestimmten Grundannahmen, die sich in der Vergangenheit bewährt haben. Diese »Ähnlichkeitsannahme« führt zu der Auffassung, dass das Gegenüber ähnlich denkt, fühlt und handelt. Problematisch ist, dass diese »geglaubte Selbstverständlichkeit« nicht thematisiert wird und die unterschiedlichen Auffassungen verborgen bleiben. Dass es gravierende, meist unterschätzte oder gar vollkommen ignorierte Systemunterschiede gibt, erschwert die Arbeit in interkulturellen Teams“ (Barmeyer/Davoine 2006, S.35). </w:t>
      </w:r>
    </w:p>
    <w:p w14:paraId="37FAB159" w14:textId="77777777" w:rsidR="0069244A" w:rsidRPr="007F69DA" w:rsidRDefault="0069244A" w:rsidP="0069244A">
      <w:pPr>
        <w:shd w:val="clear" w:color="auto" w:fill="DEEAF6" w:themeFill="accent1" w:themeFillTint="33"/>
        <w:jc w:val="both"/>
        <w:rPr>
          <w:sz w:val="18"/>
          <w:szCs w:val="18"/>
          <w:lang w:bidi="en-US"/>
        </w:rPr>
      </w:pPr>
    </w:p>
    <w:p w14:paraId="27728125" w14:textId="77777777" w:rsidR="0069244A" w:rsidRPr="007F69DA" w:rsidRDefault="0069244A" w:rsidP="0069244A">
      <w:pPr>
        <w:spacing w:line="360" w:lineRule="auto"/>
        <w:jc w:val="both"/>
        <w:rPr>
          <w:szCs w:val="24"/>
          <w:lang w:bidi="en-US"/>
        </w:rPr>
      </w:pPr>
    </w:p>
    <w:p w14:paraId="6ED12BCD" w14:textId="77777777" w:rsidR="0069244A" w:rsidRPr="007F69DA" w:rsidRDefault="0069244A" w:rsidP="0069244A">
      <w:pPr>
        <w:spacing w:line="360" w:lineRule="auto"/>
        <w:jc w:val="both"/>
        <w:rPr>
          <w:szCs w:val="24"/>
          <w:lang w:bidi="en-US"/>
        </w:rPr>
      </w:pPr>
      <w:r w:rsidRPr="007F69DA">
        <w:rPr>
          <w:szCs w:val="24"/>
          <w:lang w:bidi="en-US"/>
        </w:rPr>
        <w:t xml:space="preserve">Unvereinbarer Arbeitsstil </w:t>
      </w:r>
    </w:p>
    <w:p w14:paraId="698A3CA0" w14:textId="77777777" w:rsidR="0069244A" w:rsidRPr="007F69DA" w:rsidRDefault="0069244A" w:rsidP="0069244A">
      <w:pPr>
        <w:rPr>
          <w:bCs/>
          <w:noProof/>
          <w:szCs w:val="24"/>
        </w:rPr>
      </w:pPr>
      <w:r w:rsidRPr="007F69DA">
        <w:rPr>
          <w:bCs/>
          <w:noProof/>
          <w:szCs w:val="24"/>
        </w:rPr>
        <w:lastRenderedPageBreak/>
        <w:t>Gibt es, kulturbedingt, unterschiedliche Arbeitsstile? Und begünstigt oder erschwert dies Teamarbeit? Zeutschel (2000) bildete für die Zwecke eines computergestützten Unternehmensplanspiels 27 Teams, bestehend aus deutschen, amerikanischen und indonesischen Teilnehmern. Sie alle erhielten die Aufgabe, ein kleines Textilunternehmen zu leiten. Bemerkenswerte Unterschiede traten vor allem zwischen den überaus ehrgeizigen, leicht übermotiviert agierenden Deutschen und den vergleichsweise gelassenen und rücksichtsvollen Amerikanern auf (vgl. Tab. 1). Deren Arbeitsstil zeichnete sich dadurch aus, dass Misserfolge möglichst nicht persönlich genommen wurden. Hingegen wurden Erfolge, selbst kleinere Erfolge, ausführlich zelebriert.</w:t>
      </w:r>
    </w:p>
    <w:p w14:paraId="7744A85A" w14:textId="77777777" w:rsidR="0069244A" w:rsidRPr="007F69DA" w:rsidRDefault="0069244A" w:rsidP="0069244A">
      <w:pPr>
        <w:spacing w:line="360" w:lineRule="auto"/>
        <w:jc w:val="both"/>
        <w:rPr>
          <w:szCs w:val="24"/>
          <w:lang w:bidi="en-US"/>
        </w:rPr>
      </w:pPr>
    </w:p>
    <w:p w14:paraId="1FFB89EC" w14:textId="77777777" w:rsidR="0069244A" w:rsidRPr="00330087" w:rsidRDefault="0069244A" w:rsidP="0069244A">
      <w:pPr>
        <w:spacing w:after="120" w:line="360" w:lineRule="auto"/>
        <w:jc w:val="center"/>
        <w:rPr>
          <w:i/>
          <w:szCs w:val="20"/>
          <w:lang w:eastAsia="de-DE"/>
        </w:rPr>
      </w:pPr>
      <w:r w:rsidRPr="00330087">
        <w:rPr>
          <w:i/>
          <w:szCs w:val="20"/>
          <w:lang w:eastAsia="de-DE"/>
        </w:rPr>
        <w:t>Tab. 1: Arbeitsstile im Vergleich</w:t>
      </w:r>
    </w:p>
    <w:tbl>
      <w:tblPr>
        <w:tblW w:w="9002" w:type="dxa"/>
        <w:tblInd w:w="70" w:type="dxa"/>
        <w:tblBorders>
          <w:top w:val="single" w:sz="4" w:space="0" w:color="auto"/>
          <w:left w:val="single" w:sz="4" w:space="0" w:color="auto"/>
          <w:bottom w:val="single" w:sz="4" w:space="0" w:color="auto"/>
          <w:right w:val="single" w:sz="4" w:space="0" w:color="auto"/>
          <w:insideH w:val="single" w:sz="4" w:space="0" w:color="auto"/>
        </w:tblBorders>
        <w:tblCellMar>
          <w:left w:w="70" w:type="dxa"/>
          <w:right w:w="70" w:type="dxa"/>
        </w:tblCellMar>
        <w:tblLook w:val="0000" w:firstRow="0" w:lastRow="0" w:firstColumn="0" w:lastColumn="0" w:noHBand="0" w:noVBand="0"/>
      </w:tblPr>
      <w:tblGrid>
        <w:gridCol w:w="1372"/>
        <w:gridCol w:w="3520"/>
        <w:gridCol w:w="4110"/>
      </w:tblGrid>
      <w:tr w:rsidR="0069244A" w:rsidRPr="007F69DA" w14:paraId="51955699" w14:textId="77777777" w:rsidTr="00F46ACB">
        <w:tc>
          <w:tcPr>
            <w:tcW w:w="1372" w:type="dxa"/>
            <w:tcBorders>
              <w:right w:val="single" w:sz="4" w:space="0" w:color="auto"/>
            </w:tcBorders>
            <w:shd w:val="clear" w:color="auto" w:fill="FFC000"/>
          </w:tcPr>
          <w:p w14:paraId="0FE6D4B7" w14:textId="77777777" w:rsidR="0069244A" w:rsidRPr="007F69DA" w:rsidRDefault="0069244A" w:rsidP="00F46ACB">
            <w:pPr>
              <w:spacing w:before="60" w:after="60"/>
              <w:jc w:val="center"/>
              <w:rPr>
                <w:sz w:val="16"/>
                <w:szCs w:val="16"/>
                <w:lang w:bidi="en-US"/>
              </w:rPr>
            </w:pPr>
          </w:p>
        </w:tc>
        <w:tc>
          <w:tcPr>
            <w:tcW w:w="3520" w:type="dxa"/>
            <w:tcBorders>
              <w:left w:val="single" w:sz="4" w:space="0" w:color="auto"/>
            </w:tcBorders>
            <w:shd w:val="clear" w:color="auto" w:fill="FFC000"/>
          </w:tcPr>
          <w:p w14:paraId="257B29E1" w14:textId="77777777" w:rsidR="0069244A" w:rsidRPr="007F69DA" w:rsidRDefault="0069244A" w:rsidP="00F46ACB">
            <w:pPr>
              <w:spacing w:before="60" w:after="60"/>
              <w:jc w:val="center"/>
              <w:rPr>
                <w:b/>
                <w:bCs/>
                <w:sz w:val="16"/>
                <w:szCs w:val="16"/>
                <w:lang w:bidi="en-US"/>
              </w:rPr>
            </w:pPr>
            <w:r w:rsidRPr="007F69DA">
              <w:rPr>
                <w:b/>
                <w:bCs/>
                <w:sz w:val="16"/>
                <w:szCs w:val="16"/>
                <w:lang w:bidi="en-US"/>
              </w:rPr>
              <w:t>Deutsche</w:t>
            </w:r>
          </w:p>
        </w:tc>
        <w:tc>
          <w:tcPr>
            <w:tcW w:w="4110" w:type="dxa"/>
            <w:shd w:val="clear" w:color="auto" w:fill="FFC000"/>
          </w:tcPr>
          <w:p w14:paraId="01025577" w14:textId="77777777" w:rsidR="0069244A" w:rsidRPr="007F69DA" w:rsidRDefault="0069244A" w:rsidP="00F46ACB">
            <w:pPr>
              <w:spacing w:before="60" w:after="60"/>
              <w:jc w:val="center"/>
              <w:rPr>
                <w:b/>
                <w:bCs/>
                <w:sz w:val="16"/>
                <w:szCs w:val="16"/>
                <w:lang w:bidi="en-US"/>
              </w:rPr>
            </w:pPr>
            <w:r w:rsidRPr="007F69DA">
              <w:rPr>
                <w:b/>
                <w:bCs/>
                <w:sz w:val="16"/>
                <w:szCs w:val="16"/>
                <w:lang w:bidi="en-US"/>
              </w:rPr>
              <w:t>US-Amerikaner</w:t>
            </w:r>
          </w:p>
        </w:tc>
      </w:tr>
      <w:tr w:rsidR="0069244A" w:rsidRPr="007F69DA" w14:paraId="6D17DB70" w14:textId="77777777" w:rsidTr="00F46ACB">
        <w:tc>
          <w:tcPr>
            <w:tcW w:w="1372" w:type="dxa"/>
            <w:tcBorders>
              <w:right w:val="single" w:sz="4" w:space="0" w:color="auto"/>
            </w:tcBorders>
            <w:shd w:val="clear" w:color="auto" w:fill="FFF2CC" w:themeFill="accent4" w:themeFillTint="33"/>
            <w:vAlign w:val="center"/>
          </w:tcPr>
          <w:p w14:paraId="69281767" w14:textId="77777777" w:rsidR="0069244A" w:rsidRPr="007F69DA" w:rsidRDefault="0069244A" w:rsidP="00F46ACB">
            <w:pPr>
              <w:spacing w:before="20" w:after="20"/>
              <w:jc w:val="both"/>
              <w:rPr>
                <w:sz w:val="16"/>
                <w:szCs w:val="16"/>
                <w:lang w:bidi="en-US"/>
              </w:rPr>
            </w:pPr>
            <w:r w:rsidRPr="007F69DA">
              <w:rPr>
                <w:sz w:val="16"/>
                <w:szCs w:val="16"/>
                <w:lang w:bidi="en-US"/>
              </w:rPr>
              <w:t>Arbeitsweise</w:t>
            </w:r>
          </w:p>
        </w:tc>
        <w:tc>
          <w:tcPr>
            <w:tcW w:w="3520" w:type="dxa"/>
            <w:tcBorders>
              <w:left w:val="single" w:sz="4" w:space="0" w:color="auto"/>
            </w:tcBorders>
          </w:tcPr>
          <w:p w14:paraId="4216BE55" w14:textId="77777777" w:rsidR="0069244A" w:rsidRPr="007F69DA" w:rsidRDefault="0069244A" w:rsidP="00F46ACB">
            <w:pPr>
              <w:spacing w:before="60" w:after="20"/>
              <w:ind w:left="210" w:hanging="210"/>
              <w:rPr>
                <w:sz w:val="16"/>
                <w:szCs w:val="16"/>
                <w:lang w:eastAsia="de-DE"/>
              </w:rPr>
            </w:pPr>
            <w:r w:rsidRPr="007F69DA">
              <w:rPr>
                <w:sz w:val="16"/>
                <w:szCs w:val="16"/>
                <w:lang w:eastAsia="de-DE"/>
              </w:rPr>
              <w:sym w:font="Symbol" w:char="F0B7"/>
            </w:r>
            <w:r w:rsidRPr="007F69DA">
              <w:rPr>
                <w:sz w:val="16"/>
                <w:szCs w:val="16"/>
                <w:lang w:eastAsia="de-DE"/>
              </w:rPr>
              <w:tab/>
              <w:t>aufgabenorientiert</w:t>
            </w:r>
          </w:p>
          <w:p w14:paraId="7D909CA4" w14:textId="77777777" w:rsidR="0069244A" w:rsidRPr="007F69DA" w:rsidRDefault="0069244A" w:rsidP="00F46ACB">
            <w:pPr>
              <w:spacing w:before="20" w:after="20"/>
              <w:ind w:left="210" w:hanging="210"/>
              <w:rPr>
                <w:sz w:val="16"/>
                <w:szCs w:val="16"/>
                <w:lang w:bidi="en-US"/>
              </w:rPr>
            </w:pPr>
            <w:r w:rsidRPr="007F69DA">
              <w:rPr>
                <w:sz w:val="16"/>
                <w:szCs w:val="16"/>
                <w:lang w:bidi="en-US"/>
              </w:rPr>
              <w:sym w:font="Symbol" w:char="F0B7"/>
            </w:r>
            <w:r w:rsidRPr="007F69DA">
              <w:rPr>
                <w:sz w:val="16"/>
                <w:szCs w:val="16"/>
                <w:lang w:bidi="en-US"/>
              </w:rPr>
              <w:tab/>
              <w:t>analytisch</w:t>
            </w:r>
          </w:p>
          <w:p w14:paraId="2FD630A5" w14:textId="77777777" w:rsidR="0069244A" w:rsidRPr="007F69DA" w:rsidRDefault="0069244A" w:rsidP="00F46ACB">
            <w:pPr>
              <w:spacing w:before="20" w:after="20"/>
              <w:ind w:left="210" w:hanging="210"/>
              <w:rPr>
                <w:sz w:val="16"/>
                <w:szCs w:val="16"/>
                <w:lang w:bidi="en-US"/>
              </w:rPr>
            </w:pPr>
            <w:r w:rsidRPr="007F69DA">
              <w:rPr>
                <w:sz w:val="16"/>
                <w:szCs w:val="16"/>
                <w:lang w:bidi="en-US"/>
              </w:rPr>
              <w:sym w:font="Symbol" w:char="F0B7"/>
            </w:r>
            <w:r w:rsidRPr="007F69DA">
              <w:rPr>
                <w:sz w:val="16"/>
                <w:szCs w:val="16"/>
                <w:lang w:bidi="en-US"/>
              </w:rPr>
              <w:tab/>
              <w:t>faktenorientiert</w:t>
            </w:r>
          </w:p>
          <w:p w14:paraId="47150787" w14:textId="77777777" w:rsidR="0069244A" w:rsidRPr="007F69DA" w:rsidRDefault="0069244A" w:rsidP="00F46ACB">
            <w:pPr>
              <w:spacing w:before="20" w:after="60"/>
              <w:ind w:left="210" w:hanging="210"/>
              <w:rPr>
                <w:sz w:val="16"/>
                <w:szCs w:val="16"/>
                <w:lang w:eastAsia="de-DE"/>
              </w:rPr>
            </w:pPr>
            <w:r w:rsidRPr="007F69DA">
              <w:rPr>
                <w:sz w:val="16"/>
                <w:szCs w:val="16"/>
                <w:lang w:eastAsia="de-DE"/>
              </w:rPr>
              <w:sym w:font="Symbol" w:char="F0B7"/>
            </w:r>
            <w:r w:rsidRPr="007F69DA">
              <w:rPr>
                <w:sz w:val="16"/>
                <w:szCs w:val="16"/>
                <w:lang w:eastAsia="de-DE"/>
              </w:rPr>
              <w:tab/>
              <w:t>Dokumentation der zur Entscheidungsfindung</w:t>
            </w:r>
            <w:r w:rsidRPr="007F69DA">
              <w:rPr>
                <w:sz w:val="16"/>
                <w:szCs w:val="16"/>
                <w:lang w:eastAsia="de-DE"/>
              </w:rPr>
              <w:br/>
              <w:t>genutzten Daten</w:t>
            </w:r>
          </w:p>
        </w:tc>
        <w:tc>
          <w:tcPr>
            <w:tcW w:w="4110" w:type="dxa"/>
          </w:tcPr>
          <w:p w14:paraId="0CCE9ADE" w14:textId="77777777" w:rsidR="0069244A" w:rsidRPr="007F69DA" w:rsidRDefault="0069244A" w:rsidP="00F46ACB">
            <w:pPr>
              <w:spacing w:before="60" w:after="20"/>
              <w:ind w:left="209" w:hanging="209"/>
              <w:rPr>
                <w:sz w:val="16"/>
                <w:szCs w:val="16"/>
                <w:lang w:bidi="en-US"/>
              </w:rPr>
            </w:pPr>
            <w:r w:rsidRPr="007F69DA">
              <w:rPr>
                <w:sz w:val="16"/>
                <w:szCs w:val="16"/>
                <w:lang w:bidi="en-US"/>
              </w:rPr>
              <w:sym w:font="Symbol" w:char="F0B7"/>
            </w:r>
            <w:r w:rsidRPr="007F69DA">
              <w:rPr>
                <w:sz w:val="16"/>
                <w:szCs w:val="16"/>
                <w:lang w:bidi="en-US"/>
              </w:rPr>
              <w:tab/>
              <w:t>entscheidungs- und experimentierfreudig</w:t>
            </w:r>
          </w:p>
        </w:tc>
      </w:tr>
      <w:tr w:rsidR="0069244A" w:rsidRPr="007F69DA" w14:paraId="4BC9927C" w14:textId="77777777" w:rsidTr="00F46ACB">
        <w:tc>
          <w:tcPr>
            <w:tcW w:w="1372" w:type="dxa"/>
            <w:tcBorders>
              <w:right w:val="single" w:sz="4" w:space="0" w:color="auto"/>
            </w:tcBorders>
            <w:shd w:val="clear" w:color="auto" w:fill="FFF2CC" w:themeFill="accent4" w:themeFillTint="33"/>
            <w:vAlign w:val="center"/>
          </w:tcPr>
          <w:p w14:paraId="474A38A5" w14:textId="77777777" w:rsidR="0069244A" w:rsidRPr="007F69DA" w:rsidRDefault="0069244A" w:rsidP="00F46ACB">
            <w:pPr>
              <w:spacing w:before="20" w:after="20"/>
              <w:jc w:val="both"/>
              <w:rPr>
                <w:sz w:val="16"/>
                <w:szCs w:val="16"/>
                <w:lang w:bidi="en-US"/>
              </w:rPr>
            </w:pPr>
            <w:r w:rsidRPr="007F69DA">
              <w:rPr>
                <w:sz w:val="16"/>
                <w:szCs w:val="16"/>
                <w:lang w:bidi="en-US"/>
              </w:rPr>
              <w:t>Arbeitsstil/</w:t>
            </w:r>
            <w:r w:rsidRPr="007F69DA">
              <w:rPr>
                <w:sz w:val="16"/>
                <w:szCs w:val="16"/>
                <w:lang w:bidi="en-US"/>
              </w:rPr>
              <w:br/>
              <w:t>Persönlichkeit</w:t>
            </w:r>
          </w:p>
        </w:tc>
        <w:tc>
          <w:tcPr>
            <w:tcW w:w="3520" w:type="dxa"/>
            <w:tcBorders>
              <w:left w:val="single" w:sz="4" w:space="0" w:color="auto"/>
            </w:tcBorders>
          </w:tcPr>
          <w:p w14:paraId="056BED95" w14:textId="77777777" w:rsidR="0069244A" w:rsidRPr="007F69DA" w:rsidRDefault="0069244A" w:rsidP="00F46ACB">
            <w:pPr>
              <w:spacing w:before="60" w:after="20"/>
              <w:ind w:left="210" w:hanging="210"/>
              <w:rPr>
                <w:sz w:val="16"/>
                <w:szCs w:val="16"/>
                <w:lang w:bidi="en-US"/>
              </w:rPr>
            </w:pPr>
            <w:r w:rsidRPr="007F69DA">
              <w:rPr>
                <w:sz w:val="16"/>
                <w:szCs w:val="16"/>
                <w:lang w:bidi="en-US"/>
              </w:rPr>
              <w:sym w:font="Symbol" w:char="F0B7"/>
            </w:r>
            <w:r w:rsidRPr="007F69DA">
              <w:rPr>
                <w:sz w:val="16"/>
                <w:szCs w:val="16"/>
                <w:lang w:bidi="en-US"/>
              </w:rPr>
              <w:tab/>
              <w:t>Identifikation mit der Aufgabe (bis hin zur Verbissenheit)</w:t>
            </w:r>
          </w:p>
          <w:p w14:paraId="1886263A" w14:textId="77777777" w:rsidR="0069244A" w:rsidRPr="007F69DA" w:rsidRDefault="0069244A" w:rsidP="00F46ACB">
            <w:pPr>
              <w:spacing w:before="20" w:after="20"/>
              <w:ind w:left="210" w:hanging="210"/>
              <w:rPr>
                <w:sz w:val="16"/>
                <w:szCs w:val="16"/>
                <w:lang w:bidi="en-US"/>
              </w:rPr>
            </w:pPr>
            <w:r w:rsidRPr="007F69DA">
              <w:rPr>
                <w:sz w:val="16"/>
                <w:szCs w:val="16"/>
                <w:lang w:bidi="en-US"/>
              </w:rPr>
              <w:sym w:font="Symbol" w:char="F0B7"/>
            </w:r>
            <w:r w:rsidRPr="007F69DA">
              <w:rPr>
                <w:sz w:val="16"/>
                <w:szCs w:val="16"/>
                <w:lang w:bidi="en-US"/>
              </w:rPr>
              <w:tab/>
              <w:t>konfrontative, persönliche Kritik</w:t>
            </w:r>
          </w:p>
          <w:p w14:paraId="6D754247" w14:textId="77777777" w:rsidR="0069244A" w:rsidRPr="007F69DA" w:rsidRDefault="0069244A" w:rsidP="00F46ACB">
            <w:pPr>
              <w:spacing w:before="20" w:after="60"/>
              <w:ind w:left="210" w:hanging="210"/>
              <w:rPr>
                <w:sz w:val="16"/>
                <w:szCs w:val="16"/>
                <w:lang w:bidi="en-US"/>
              </w:rPr>
            </w:pPr>
            <w:r w:rsidRPr="007F69DA">
              <w:rPr>
                <w:sz w:val="16"/>
                <w:szCs w:val="16"/>
                <w:lang w:bidi="en-US"/>
              </w:rPr>
              <w:sym w:font="Symbol" w:char="F0B7"/>
            </w:r>
            <w:r w:rsidRPr="007F69DA">
              <w:rPr>
                <w:sz w:val="16"/>
                <w:szCs w:val="16"/>
                <w:lang w:bidi="en-US"/>
              </w:rPr>
              <w:tab/>
              <w:t>Suche nach der optimalen Lösung</w:t>
            </w:r>
          </w:p>
        </w:tc>
        <w:tc>
          <w:tcPr>
            <w:tcW w:w="4110" w:type="dxa"/>
          </w:tcPr>
          <w:p w14:paraId="467C9B5F" w14:textId="77777777" w:rsidR="0069244A" w:rsidRPr="007F69DA" w:rsidRDefault="0069244A" w:rsidP="00F46ACB">
            <w:pPr>
              <w:spacing w:before="60" w:after="20"/>
              <w:ind w:left="209" w:hanging="209"/>
              <w:rPr>
                <w:sz w:val="16"/>
                <w:szCs w:val="16"/>
                <w:lang w:bidi="en-US"/>
              </w:rPr>
            </w:pPr>
            <w:r w:rsidRPr="007F69DA">
              <w:rPr>
                <w:sz w:val="16"/>
                <w:szCs w:val="16"/>
                <w:lang w:bidi="en-US"/>
              </w:rPr>
              <w:sym w:font="Symbol" w:char="F0B7"/>
            </w:r>
            <w:r w:rsidRPr="007F69DA">
              <w:rPr>
                <w:sz w:val="16"/>
                <w:szCs w:val="16"/>
                <w:lang w:bidi="en-US"/>
              </w:rPr>
              <w:tab/>
              <w:t>Gelassenheit</w:t>
            </w:r>
            <w:r w:rsidRPr="007F69DA">
              <w:rPr>
                <w:sz w:val="16"/>
                <w:szCs w:val="16"/>
                <w:lang w:bidi="en-US"/>
              </w:rPr>
              <w:br/>
            </w:r>
          </w:p>
          <w:p w14:paraId="356175D6" w14:textId="77777777" w:rsidR="0069244A" w:rsidRPr="007F69DA" w:rsidRDefault="0069244A" w:rsidP="00F46ACB">
            <w:pPr>
              <w:spacing w:before="20" w:after="20"/>
              <w:ind w:left="209" w:hanging="209"/>
              <w:rPr>
                <w:sz w:val="16"/>
                <w:szCs w:val="16"/>
                <w:lang w:bidi="en-US"/>
              </w:rPr>
            </w:pPr>
            <w:r w:rsidRPr="007F69DA">
              <w:rPr>
                <w:sz w:val="16"/>
                <w:szCs w:val="16"/>
                <w:lang w:bidi="en-US"/>
              </w:rPr>
              <w:sym w:font="Symbol" w:char="F0B7"/>
            </w:r>
            <w:r w:rsidRPr="007F69DA">
              <w:rPr>
                <w:sz w:val="16"/>
                <w:szCs w:val="16"/>
                <w:lang w:bidi="en-US"/>
              </w:rPr>
              <w:tab/>
              <w:t>eher humorvolle, indirekte Kritik</w:t>
            </w:r>
          </w:p>
          <w:p w14:paraId="76F262EA" w14:textId="77777777" w:rsidR="0069244A" w:rsidRPr="007F69DA" w:rsidRDefault="0069244A" w:rsidP="00F46ACB">
            <w:pPr>
              <w:spacing w:before="20" w:after="60"/>
              <w:ind w:left="209" w:hanging="209"/>
              <w:rPr>
                <w:sz w:val="16"/>
                <w:szCs w:val="16"/>
                <w:lang w:bidi="en-US"/>
              </w:rPr>
            </w:pPr>
            <w:r w:rsidRPr="007F69DA">
              <w:rPr>
                <w:sz w:val="16"/>
                <w:szCs w:val="16"/>
                <w:lang w:bidi="en-US"/>
              </w:rPr>
              <w:sym w:font="Symbol" w:char="F0B7"/>
            </w:r>
            <w:r w:rsidRPr="007F69DA">
              <w:rPr>
                <w:sz w:val="16"/>
                <w:szCs w:val="16"/>
                <w:lang w:bidi="en-US"/>
              </w:rPr>
              <w:tab/>
              <w:t>Suche nach Kompromissen</w:t>
            </w:r>
          </w:p>
        </w:tc>
      </w:tr>
      <w:tr w:rsidR="0069244A" w:rsidRPr="007F69DA" w14:paraId="684DB63D" w14:textId="77777777" w:rsidTr="00F46ACB">
        <w:tc>
          <w:tcPr>
            <w:tcW w:w="1372" w:type="dxa"/>
            <w:tcBorders>
              <w:right w:val="single" w:sz="4" w:space="0" w:color="auto"/>
            </w:tcBorders>
            <w:shd w:val="clear" w:color="auto" w:fill="FFF2CC" w:themeFill="accent4" w:themeFillTint="33"/>
            <w:vAlign w:val="center"/>
          </w:tcPr>
          <w:p w14:paraId="0F05730B" w14:textId="77777777" w:rsidR="0069244A" w:rsidRPr="007F69DA" w:rsidRDefault="0069244A" w:rsidP="00F46ACB">
            <w:pPr>
              <w:spacing w:before="20" w:after="20"/>
              <w:jc w:val="both"/>
              <w:rPr>
                <w:sz w:val="16"/>
                <w:szCs w:val="16"/>
                <w:lang w:bidi="en-US"/>
              </w:rPr>
            </w:pPr>
            <w:r w:rsidRPr="007F69DA">
              <w:rPr>
                <w:sz w:val="16"/>
                <w:szCs w:val="16"/>
                <w:lang w:bidi="en-US"/>
              </w:rPr>
              <w:t>Übergeordnetes Ziel</w:t>
            </w:r>
          </w:p>
        </w:tc>
        <w:tc>
          <w:tcPr>
            <w:tcW w:w="3520" w:type="dxa"/>
            <w:tcBorders>
              <w:left w:val="single" w:sz="4" w:space="0" w:color="auto"/>
            </w:tcBorders>
          </w:tcPr>
          <w:p w14:paraId="5F1B3839" w14:textId="77777777" w:rsidR="0069244A" w:rsidRPr="007F69DA" w:rsidRDefault="0069244A" w:rsidP="00F46ACB">
            <w:pPr>
              <w:spacing w:before="60" w:after="20"/>
              <w:ind w:left="210" w:hanging="210"/>
              <w:rPr>
                <w:sz w:val="16"/>
                <w:szCs w:val="16"/>
                <w:lang w:bidi="en-US"/>
              </w:rPr>
            </w:pPr>
            <w:r w:rsidRPr="007F69DA">
              <w:rPr>
                <w:sz w:val="16"/>
                <w:szCs w:val="16"/>
                <w:lang w:bidi="en-US"/>
              </w:rPr>
              <w:sym w:font="Symbol" w:char="F0B7"/>
            </w:r>
            <w:r w:rsidRPr="007F69DA">
              <w:rPr>
                <w:sz w:val="16"/>
                <w:szCs w:val="16"/>
                <w:lang w:bidi="en-US"/>
              </w:rPr>
              <w:tab/>
              <w:t>Arbeitsergebnis</w:t>
            </w:r>
          </w:p>
          <w:p w14:paraId="3248CAA2" w14:textId="77777777" w:rsidR="0069244A" w:rsidRPr="007F69DA" w:rsidRDefault="0069244A" w:rsidP="00F46ACB">
            <w:pPr>
              <w:spacing w:before="20" w:after="60"/>
              <w:ind w:left="210" w:hanging="210"/>
              <w:rPr>
                <w:sz w:val="16"/>
                <w:szCs w:val="16"/>
                <w:lang w:bidi="en-US"/>
              </w:rPr>
            </w:pPr>
            <w:r w:rsidRPr="007F69DA">
              <w:rPr>
                <w:sz w:val="16"/>
                <w:szCs w:val="16"/>
                <w:lang w:bidi="en-US"/>
              </w:rPr>
              <w:sym w:font="Symbol" w:char="F0B7"/>
            </w:r>
            <w:r w:rsidRPr="007F69DA">
              <w:rPr>
                <w:sz w:val="16"/>
                <w:szCs w:val="16"/>
                <w:lang w:bidi="en-US"/>
              </w:rPr>
              <w:tab/>
              <w:t>Richtigkeit von Ideen und Vorschlägen</w:t>
            </w:r>
          </w:p>
        </w:tc>
        <w:tc>
          <w:tcPr>
            <w:tcW w:w="4110" w:type="dxa"/>
          </w:tcPr>
          <w:p w14:paraId="2D928038" w14:textId="77777777" w:rsidR="0069244A" w:rsidRPr="007F69DA" w:rsidRDefault="0069244A" w:rsidP="00F46ACB">
            <w:pPr>
              <w:spacing w:before="60" w:after="20"/>
              <w:ind w:left="209" w:hanging="209"/>
              <w:rPr>
                <w:sz w:val="16"/>
                <w:szCs w:val="16"/>
                <w:lang w:bidi="en-US"/>
              </w:rPr>
            </w:pPr>
            <w:r w:rsidRPr="007F69DA">
              <w:rPr>
                <w:sz w:val="16"/>
                <w:szCs w:val="16"/>
                <w:lang w:bidi="en-US"/>
              </w:rPr>
              <w:sym w:font="Symbol" w:char="F0B7"/>
            </w:r>
            <w:r w:rsidRPr="007F69DA">
              <w:rPr>
                <w:sz w:val="16"/>
                <w:szCs w:val="16"/>
                <w:lang w:bidi="en-US"/>
              </w:rPr>
              <w:tab/>
              <w:t>Gruppenharmonie</w:t>
            </w:r>
          </w:p>
        </w:tc>
      </w:tr>
    </w:tbl>
    <w:p w14:paraId="08553075" w14:textId="77777777" w:rsidR="0069244A" w:rsidRPr="007F69DA" w:rsidRDefault="0069244A" w:rsidP="0069244A">
      <w:pPr>
        <w:spacing w:before="120" w:line="360" w:lineRule="auto"/>
        <w:ind w:left="709" w:hanging="709"/>
        <w:jc w:val="both"/>
        <w:rPr>
          <w:sz w:val="18"/>
          <w:szCs w:val="20"/>
          <w:lang w:eastAsia="de-DE"/>
        </w:rPr>
      </w:pPr>
      <w:r w:rsidRPr="007F69DA">
        <w:rPr>
          <w:sz w:val="18"/>
          <w:szCs w:val="20"/>
          <w:lang w:eastAsia="de-DE"/>
        </w:rPr>
        <w:t>Quelle:</w:t>
      </w:r>
      <w:r w:rsidRPr="007F69DA">
        <w:rPr>
          <w:sz w:val="18"/>
          <w:szCs w:val="20"/>
          <w:lang w:eastAsia="de-DE"/>
        </w:rPr>
        <w:tab/>
        <w:t>eigene Darstellung auf der Basis von Zeutschel (2000).</w:t>
      </w:r>
    </w:p>
    <w:p w14:paraId="4730BA5E" w14:textId="77777777" w:rsidR="0069244A" w:rsidRPr="007F69DA" w:rsidRDefault="0069244A" w:rsidP="0069244A">
      <w:pPr>
        <w:spacing w:line="360" w:lineRule="auto"/>
        <w:jc w:val="both"/>
        <w:rPr>
          <w:szCs w:val="24"/>
          <w:lang w:bidi="en-US"/>
        </w:rPr>
      </w:pPr>
    </w:p>
    <w:p w14:paraId="336A7507" w14:textId="77777777" w:rsidR="0069244A" w:rsidRPr="007F69DA" w:rsidRDefault="0069244A" w:rsidP="0069244A">
      <w:pPr>
        <w:spacing w:line="360" w:lineRule="auto"/>
        <w:jc w:val="both"/>
        <w:rPr>
          <w:szCs w:val="24"/>
          <w:lang w:bidi="en-US"/>
        </w:rPr>
      </w:pPr>
      <w:r w:rsidRPr="007F69DA">
        <w:rPr>
          <w:szCs w:val="24"/>
          <w:lang w:bidi="en-US"/>
        </w:rPr>
        <w:t xml:space="preserve">Selbst- &amp; Rollenbild </w:t>
      </w:r>
    </w:p>
    <w:p w14:paraId="16184EF5" w14:textId="77777777" w:rsidR="0069244A" w:rsidRPr="007F69DA" w:rsidRDefault="0069244A" w:rsidP="0069244A">
      <w:pPr>
        <w:rPr>
          <w:bCs/>
          <w:noProof/>
          <w:szCs w:val="24"/>
        </w:rPr>
      </w:pPr>
      <w:r w:rsidRPr="007F69DA">
        <w:rPr>
          <w:bCs/>
          <w:noProof/>
          <w:szCs w:val="24"/>
        </w:rPr>
        <w:t>Für die Funktionsfähigkeit und Psychodynamik von Arbeitsgruppen spielt u.a. die von den Mitgliedern einer Gruppe prominenten Gruppenmitgliedern zugeschriebene Problemlösungskompetenz eine zentrale Rolle. Wie ein</w:t>
      </w:r>
      <w:r w:rsidRPr="007F69DA">
        <w:rPr>
          <w:bCs/>
          <w:noProof/>
          <w:szCs w:val="24"/>
        </w:rPr>
        <w:softHyphen/>
        <w:t>schlägige Studien nahe legen (vgl. z.B. Trommsdorff 2002; 1985), haben vornehmlich in Europa Entscheider und Führungskräfte das Bedürfnis, von anderen …</w:t>
      </w:r>
    </w:p>
    <w:p w14:paraId="3D99D66F" w14:textId="77777777" w:rsidR="0069244A" w:rsidRPr="007F69DA" w:rsidRDefault="0069244A">
      <w:pPr>
        <w:pStyle w:val="Listenabsatz"/>
        <w:widowControl/>
        <w:numPr>
          <w:ilvl w:val="0"/>
          <w:numId w:val="59"/>
        </w:numPr>
        <w:autoSpaceDE/>
        <w:autoSpaceDN/>
        <w:contextualSpacing/>
        <w:jc w:val="left"/>
        <w:rPr>
          <w:bCs/>
          <w:noProof/>
          <w:szCs w:val="24"/>
        </w:rPr>
      </w:pPr>
      <w:r w:rsidRPr="007F69DA">
        <w:rPr>
          <w:bCs/>
          <w:noProof/>
          <w:szCs w:val="24"/>
        </w:rPr>
        <w:t>als kompetent wahrgenommen zu werden und</w:t>
      </w:r>
    </w:p>
    <w:p w14:paraId="51C43A76" w14:textId="77777777" w:rsidR="0069244A" w:rsidRPr="007F69DA" w:rsidRDefault="0069244A">
      <w:pPr>
        <w:pStyle w:val="Listenabsatz"/>
        <w:widowControl/>
        <w:numPr>
          <w:ilvl w:val="0"/>
          <w:numId w:val="59"/>
        </w:numPr>
        <w:autoSpaceDE/>
        <w:autoSpaceDN/>
        <w:contextualSpacing/>
        <w:jc w:val="left"/>
        <w:rPr>
          <w:bCs/>
          <w:noProof/>
          <w:szCs w:val="24"/>
        </w:rPr>
      </w:pPr>
      <w:r w:rsidRPr="007F69DA">
        <w:rPr>
          <w:bCs/>
          <w:noProof/>
          <w:szCs w:val="24"/>
        </w:rPr>
        <w:t>diese Problemlösungskompetenz auch dauerhaft zugeschrieben zu bekommen.</w:t>
      </w:r>
    </w:p>
    <w:p w14:paraId="7003AE69" w14:textId="77777777" w:rsidR="0069244A" w:rsidRPr="007F69DA" w:rsidRDefault="0069244A" w:rsidP="0069244A">
      <w:pPr>
        <w:rPr>
          <w:bCs/>
          <w:noProof/>
          <w:szCs w:val="24"/>
        </w:rPr>
      </w:pPr>
    </w:p>
    <w:p w14:paraId="5846E169" w14:textId="77777777" w:rsidR="0069244A" w:rsidRPr="007F69DA" w:rsidRDefault="0069244A" w:rsidP="0069244A">
      <w:pPr>
        <w:rPr>
          <w:bCs/>
          <w:noProof/>
          <w:szCs w:val="24"/>
        </w:rPr>
      </w:pPr>
      <w:r w:rsidRPr="007F69DA">
        <w:rPr>
          <w:bCs/>
          <w:noProof/>
          <w:szCs w:val="24"/>
        </w:rPr>
        <w:t>Wird ihre Kompetenz in Frage gestellt, sind in europäischen Ländern stark emotionale, u.U. aggressive Reaktionen wahrscheinlicher als in anderen Kulturkreisen (vgl. Kornadt 2003).</w:t>
      </w:r>
    </w:p>
    <w:p w14:paraId="32426F4F" w14:textId="77777777" w:rsidR="0069244A" w:rsidRPr="007F69DA" w:rsidRDefault="0069244A" w:rsidP="0069244A">
      <w:pPr>
        <w:spacing w:line="360" w:lineRule="auto"/>
        <w:jc w:val="both"/>
        <w:rPr>
          <w:szCs w:val="24"/>
          <w:lang w:bidi="en-US"/>
        </w:rPr>
      </w:pPr>
    </w:p>
    <w:p w14:paraId="39B4EE56" w14:textId="77777777" w:rsidR="0069244A" w:rsidRPr="007F69DA" w:rsidRDefault="0069244A" w:rsidP="0069244A">
      <w:pPr>
        <w:rPr>
          <w:bCs/>
          <w:noProof/>
          <w:szCs w:val="24"/>
        </w:rPr>
      </w:pPr>
      <w:r w:rsidRPr="007F69DA">
        <w:rPr>
          <w:bCs/>
          <w:noProof/>
          <w:szCs w:val="24"/>
        </w:rPr>
        <w:t xml:space="preserve">Weiterhin ist die sog. Kontrollspanne zu beachten, d.h. der Spielraum, den ein Stelleninhaber besitzt, um Entscheidungen herbeizuführen und umzusetzen (vgl. Frese 2005). In Gesellschaften, die Machtdistanz akzeptieren, hängt die Kontrollspanne von der relativen hierarchischen Position ab. Dort versuchen Manager, die nicht an der Spitze der (Unternehmens-)Hierarchie stehen, möglichst wenig Verantwortung zu übernehmen. Zugleich stellen sie die Kontrollspanne von Vorgesetzten nicht in Frage. Während deutsche Gruppenmitglieder im Regelfall eine ausgeprägte Kontrollmotivation besitzen und dazu neigen, den Gruppenprozess zu beeinflussen, lassen sich indische Probanden bspw. wesentlich stärker vom Affiliationsmotiv lenken. Sie streben nach Zugehörigkeit zur Gruppe und bemühen sich um sog. Legitimitätssignale. Diese zeigen an, dass die eigenen Ansichten, Entscheidungen und Handlungen von wichtigen Bezugspersonen für „richtig“ gehalten werden und niemand die gegebene Sozialstruktur in Frage stellt wird (vgl. Strohschneider 2001, S.293). </w:t>
      </w:r>
    </w:p>
    <w:p w14:paraId="6D281B67" w14:textId="77777777" w:rsidR="0069244A" w:rsidRPr="007F69DA" w:rsidRDefault="0069244A" w:rsidP="0069244A">
      <w:pPr>
        <w:spacing w:after="120" w:line="264" w:lineRule="auto"/>
        <w:jc w:val="both"/>
        <w:rPr>
          <w:bCs/>
          <w:noProof/>
          <w:szCs w:val="20"/>
          <w:lang w:eastAsia="de-DE"/>
        </w:rPr>
      </w:pPr>
    </w:p>
    <w:p w14:paraId="36B0272B" w14:textId="77777777" w:rsidR="0069244A" w:rsidRPr="007F69DA" w:rsidRDefault="0069244A" w:rsidP="0069244A">
      <w:pPr>
        <w:rPr>
          <w:bCs/>
          <w:noProof/>
          <w:szCs w:val="24"/>
        </w:rPr>
      </w:pPr>
      <w:r w:rsidRPr="007F69DA">
        <w:rPr>
          <w:bCs/>
          <w:noProof/>
          <w:szCs w:val="24"/>
        </w:rPr>
        <w:t>3. Beispiele bikultureller Teams</w:t>
      </w:r>
    </w:p>
    <w:p w14:paraId="1EDB7411" w14:textId="77777777" w:rsidR="0069244A" w:rsidRPr="007F69DA" w:rsidRDefault="0069244A" w:rsidP="0069244A">
      <w:pPr>
        <w:rPr>
          <w:bCs/>
          <w:noProof/>
          <w:szCs w:val="24"/>
        </w:rPr>
      </w:pPr>
    </w:p>
    <w:p w14:paraId="640062AD" w14:textId="51F831FF" w:rsidR="0069244A" w:rsidRPr="007F69DA" w:rsidRDefault="00C139BC" w:rsidP="0069244A">
      <w:pPr>
        <w:spacing w:line="360" w:lineRule="auto"/>
        <w:jc w:val="both"/>
        <w:rPr>
          <w:szCs w:val="24"/>
          <w:lang w:bidi="en-US"/>
        </w:rPr>
      </w:pPr>
      <w:r>
        <w:rPr>
          <w:szCs w:val="24"/>
          <w:lang w:bidi="en-US"/>
        </w:rPr>
        <w:t xml:space="preserve">3.1 </w:t>
      </w:r>
      <w:r w:rsidR="0069244A" w:rsidRPr="007F69DA">
        <w:rPr>
          <w:szCs w:val="24"/>
          <w:lang w:bidi="en-US"/>
        </w:rPr>
        <w:t>Deutsch-amerikanische Teams</w:t>
      </w:r>
    </w:p>
    <w:p w14:paraId="7DD67105" w14:textId="77777777" w:rsidR="0069244A" w:rsidRPr="007F69DA" w:rsidRDefault="0069244A" w:rsidP="0069244A">
      <w:pPr>
        <w:rPr>
          <w:bCs/>
          <w:noProof/>
          <w:szCs w:val="24"/>
          <w:lang w:val="en-US"/>
        </w:rPr>
      </w:pPr>
      <w:r w:rsidRPr="007F69DA">
        <w:rPr>
          <w:bCs/>
          <w:noProof/>
          <w:szCs w:val="24"/>
        </w:rPr>
        <w:lastRenderedPageBreak/>
        <w:t xml:space="preserve">Die Unterschiede zwischen der amerikanischen und der deutschen Arbeitskultur sind subtil und beeinträchtigen vielleicht gerade deshalb die Zusammenarbeit. Während das deutsche Ideal sorgfältige und effektive Arbeit ist, entspricht es der amerikanischen Mentalität, schnell und effizient zu arbeiten. Ein weiterer wichtiger Unterschied lautet „doing your best (German) versus being successful (American). </w:t>
      </w:r>
      <w:r w:rsidRPr="007F69DA">
        <w:rPr>
          <w:bCs/>
          <w:noProof/>
          <w:szCs w:val="24"/>
          <w:lang w:val="en-US"/>
        </w:rPr>
        <w:t xml:space="preserve">It is important to discuss these differences because Americans consider themselves to be thorough and effective while putting forth their best performance. However, Americans generally do not meet German expectations when applying American standards“ (Hager 2005, S.275). </w:t>
      </w:r>
    </w:p>
    <w:p w14:paraId="26BAB56B" w14:textId="77777777" w:rsidR="0069244A" w:rsidRPr="007F69DA" w:rsidRDefault="0069244A" w:rsidP="0069244A">
      <w:pPr>
        <w:spacing w:line="360" w:lineRule="auto"/>
        <w:jc w:val="both"/>
        <w:rPr>
          <w:szCs w:val="24"/>
          <w:lang w:val="en-US" w:bidi="en-US"/>
        </w:rPr>
      </w:pPr>
    </w:p>
    <w:p w14:paraId="63CE9339" w14:textId="77777777" w:rsidR="0069244A" w:rsidRPr="007F69DA" w:rsidRDefault="0069244A" w:rsidP="0069244A">
      <w:pPr>
        <w:rPr>
          <w:bCs/>
          <w:noProof/>
          <w:szCs w:val="24"/>
        </w:rPr>
      </w:pPr>
      <w:r w:rsidRPr="007F69DA">
        <w:rPr>
          <w:bCs/>
          <w:noProof/>
          <w:szCs w:val="24"/>
        </w:rPr>
        <w:t>Weiterhin neigen Amerikaner entsprechend ihres voluntaristischen Weltbildes dazu, primär lösungsorientiert zu denken und zu handeln (vgl. Badke-Schaub/Strohschneider 1998). Für Angehörige anderer Gesellschaften hat kulturbedingt in vergleichbaren Situationen das Streben nach Einsicht Vorrang. In Deutschland etwa geht diese vorwiegend kognitive Orientierung mit einer generali</w:t>
      </w:r>
      <w:r w:rsidRPr="007F69DA">
        <w:rPr>
          <w:bCs/>
          <w:noProof/>
          <w:szCs w:val="24"/>
        </w:rPr>
        <w:softHyphen/>
        <w:t xml:space="preserve">sierten Risikoaversion einher sowie einer geringen Kontrollüberzeugung und dem Gefühl des Selbstzweifels, was mit einer überdurchschnittlichen Tendenz zur Unsicherheitsvermeidung korrespondiert. </w:t>
      </w:r>
    </w:p>
    <w:p w14:paraId="06F2EB3F" w14:textId="77777777" w:rsidR="0069244A" w:rsidRPr="007F69DA" w:rsidRDefault="0069244A" w:rsidP="0069244A">
      <w:pPr>
        <w:spacing w:line="360" w:lineRule="auto"/>
        <w:jc w:val="both"/>
        <w:rPr>
          <w:szCs w:val="24"/>
          <w:lang w:bidi="en-US"/>
        </w:rPr>
      </w:pPr>
    </w:p>
    <w:p w14:paraId="303774D4" w14:textId="77777777" w:rsidR="0069244A" w:rsidRPr="007F69DA" w:rsidRDefault="0069244A" w:rsidP="0069244A">
      <w:pPr>
        <w:shd w:val="clear" w:color="auto" w:fill="DEEAF6" w:themeFill="accent1" w:themeFillTint="33"/>
        <w:spacing w:line="360" w:lineRule="auto"/>
        <w:jc w:val="center"/>
        <w:rPr>
          <w:sz w:val="18"/>
          <w:szCs w:val="18"/>
          <w:lang w:bidi="en-US"/>
        </w:rPr>
      </w:pPr>
      <w:r w:rsidRPr="007F69DA">
        <w:rPr>
          <w:sz w:val="18"/>
          <w:szCs w:val="18"/>
          <w:lang w:bidi="en-US"/>
        </w:rPr>
        <w:t>100 vs. 80%</w:t>
      </w:r>
    </w:p>
    <w:p w14:paraId="5A89B18B" w14:textId="77777777" w:rsidR="0069244A" w:rsidRPr="007F69DA" w:rsidRDefault="0069244A" w:rsidP="0069244A">
      <w:pPr>
        <w:shd w:val="clear" w:color="auto" w:fill="DEEAF6" w:themeFill="accent1" w:themeFillTint="33"/>
        <w:jc w:val="both"/>
        <w:rPr>
          <w:sz w:val="18"/>
          <w:szCs w:val="18"/>
          <w:lang w:bidi="en-US"/>
        </w:rPr>
      </w:pPr>
      <w:r w:rsidRPr="007F69DA">
        <w:rPr>
          <w:sz w:val="18"/>
          <w:szCs w:val="18"/>
          <w:lang w:bidi="en-US"/>
        </w:rPr>
        <w:t>M. Emmens, ein 52-jähriger Manager, lei</w:t>
      </w:r>
      <w:r w:rsidRPr="007F69DA">
        <w:rPr>
          <w:sz w:val="18"/>
          <w:szCs w:val="18"/>
          <w:lang w:bidi="en-US"/>
        </w:rPr>
        <w:softHyphen/>
        <w:t>tet ein zehnköpfiges Führungsteam aus Deutschen, Franzosen und Amerikanern, das gemeinsam bestimm</w:t>
      </w:r>
      <w:r w:rsidRPr="007F69DA">
        <w:rPr>
          <w:sz w:val="18"/>
          <w:szCs w:val="18"/>
          <w:lang w:bidi="en-US"/>
        </w:rPr>
        <w:softHyphen/>
        <w:t>te Arzneimittel weltweit vermarktet. Seiner Erfahrung zufolge sind die Kulturen fundamental ver</w:t>
      </w:r>
      <w:r w:rsidRPr="007F69DA">
        <w:rPr>
          <w:sz w:val="18"/>
          <w:szCs w:val="18"/>
          <w:lang w:bidi="en-US"/>
        </w:rPr>
        <w:softHyphen/>
        <w:t>schieden. Besonders auffällig sei der Drang der Deutschen nach Perfektion. Hier würden immer 100% verlangt, während in Amerika 80% genug seien. Der Sinn für Dringlichkeit gehe den Deutschen indessen ab. Bei wichtigen Entscheidungen aber steuerten sie im Team eine Menge Informationen bei, die Franzosen brächten die Sache durch ihre Emotionen voran und die Amerikaner durch ihre Handlungsorientierung.</w:t>
      </w:r>
    </w:p>
    <w:p w14:paraId="6F6D1B1A" w14:textId="77777777" w:rsidR="0069244A" w:rsidRPr="007F69DA" w:rsidRDefault="0069244A" w:rsidP="0069244A">
      <w:pPr>
        <w:spacing w:line="360" w:lineRule="auto"/>
        <w:jc w:val="both"/>
        <w:rPr>
          <w:szCs w:val="24"/>
          <w:lang w:bidi="en-US"/>
        </w:rPr>
      </w:pPr>
    </w:p>
    <w:p w14:paraId="47B5AD14" w14:textId="77777777" w:rsidR="0069244A" w:rsidRPr="007F69DA" w:rsidRDefault="0069244A" w:rsidP="0069244A">
      <w:pPr>
        <w:rPr>
          <w:bCs/>
          <w:noProof/>
          <w:szCs w:val="24"/>
        </w:rPr>
      </w:pPr>
      <w:r w:rsidRPr="007F69DA">
        <w:rPr>
          <w:bCs/>
          <w:noProof/>
          <w:szCs w:val="24"/>
        </w:rPr>
        <w:t>Viele Beobachter schildern das Verhältnis zwischen beiden Seiten als enttäuschte Liebe – wie in folgendem Fall, als die Manager ihres US-Tochterunternehmens sich nach Einschätzung der deutschen Delegation nicht in angemessener Weise auf die Präsentation ihres aus Deutschland angereisten Chefs zur geplanten Fabrikerweiterung konzentrierten. „Und in der Diskussion trugen sie nichts zur Analyse und Problemfindung bei, sondern drängten in ihrer »Cowboy-Mentalität« ständig darauf, endlich zur Tat zu schreiten. Typisch amerikanisch eben: Erst schießen, dann fragen! Frust machte sich auch auf der amerikanischen Seite breit: Die Cowboys empfanden die Besprechung als ‘in</w:t>
      </w:r>
      <w:r w:rsidRPr="007F69DA">
        <w:rPr>
          <w:bCs/>
          <w:noProof/>
          <w:szCs w:val="24"/>
        </w:rPr>
        <w:softHyphen/>
        <w:t>for</w:t>
      </w:r>
      <w:r w:rsidRPr="007F69DA">
        <w:rPr>
          <w:bCs/>
          <w:noProof/>
          <w:szCs w:val="24"/>
        </w:rPr>
        <w:softHyphen/>
        <w:t>mation overkill‘ – also sagten sie nichts, was die Diskussion in die Länge hätte ziehen können. Außerdem waren die Deutschen einfach zu sehr auf die Theorie statt auf die Lösungen fixiert – der Plan würde in der Praxis sowieso modifiziert werden müssen. Typisch deutsch eben: Lieber reden als han</w:t>
      </w:r>
      <w:r w:rsidRPr="007F69DA">
        <w:rPr>
          <w:bCs/>
          <w:noProof/>
          <w:szCs w:val="24"/>
        </w:rPr>
        <w:softHyphen/>
        <w:t>deln“ (LeMont-Schmidt 2002, S.17f.).</w:t>
      </w:r>
    </w:p>
    <w:p w14:paraId="1FBDC331" w14:textId="77777777" w:rsidR="0069244A" w:rsidRPr="007F69DA" w:rsidRDefault="0069244A" w:rsidP="0069244A">
      <w:pPr>
        <w:spacing w:line="360" w:lineRule="auto"/>
        <w:jc w:val="both"/>
        <w:rPr>
          <w:szCs w:val="24"/>
          <w:lang w:bidi="en-US"/>
        </w:rPr>
      </w:pPr>
    </w:p>
    <w:p w14:paraId="4DF5E9FE" w14:textId="77777777" w:rsidR="0069244A" w:rsidRPr="007F69DA" w:rsidRDefault="0069244A" w:rsidP="0069244A">
      <w:pPr>
        <w:rPr>
          <w:bCs/>
          <w:noProof/>
          <w:szCs w:val="24"/>
        </w:rPr>
      </w:pPr>
      <w:r w:rsidRPr="007F69DA">
        <w:rPr>
          <w:bCs/>
          <w:noProof/>
          <w:szCs w:val="24"/>
        </w:rPr>
        <w:t>Auch bezüglich des Verhältnisses von Privatem und Beruflichem bestehen gravierende Unterschiede. In den USA durchdringen und beeinflussen sich die verschiedenen Lebensbereiche wechselseitig, während in Deutschland stärker getrennt wird. „Wenn ein Deutscher zur Arbeit kommt, dann arbeitet er. Da gibt es kein Geplauder, und es werden keine persönlichen Dinge erledigt. Die Zeit, die man in Deutschland im Büro verbringt, ist limitiert, die meisten gehen nach der regulären Arbeitszeit nach Hause. In den USA dagegen arbeiten die Menschen weniger intensiv, dafür länger. C. Martin, Amerikaner und Führungskraft bei Bosch, sagt: »Das hohe Produktivitätsniveau in Deutschland beeindruckt mich. In den USA vermischen wir Privates und Arbeit stärker. Da wir länger im Büro sitzen, wundert sich auch niemand, wenn Sie zwischendurch ein privates Gespräch führen oder mitten am Tag die Kinder von der Schule abholen.« H. Stock, Deutscher und CEO des Arzneimittelkonzerns Grünenthal Group, ergänzt: »In Deutschland gereicht es Managern zum Nachteil, wenn sie sich verabschieden, um das Fußballspiel ihrer Tochter anzuschauen. In den USA ist das völlig akezptabel.« Deutsche Expatriates sollten sich in den USA darauf einstellen, dass Arbeit mehr Raum im Leben einnimmt. Sie müssen ihre Arbeit stärker mit ihrem Privatleben verzahnen und vor allem Verständnis dafür haben, wenn ihre US- Mitarbeiter sich dementsprechend verhalten. Es wird erwartet, dass Sie einen Blackberry benutzen und auch am Wochenende E-Mails beantworten. Flexibilität wird vorausgesetzt und geschätzt. Sie verbringen zwei, drei Stunden mit ihrer Familie und kehren abends an ihren Computer zurück“ (Gorlick 2009).</w:t>
      </w:r>
    </w:p>
    <w:p w14:paraId="6E1EA224" w14:textId="77777777" w:rsidR="0069244A" w:rsidRPr="007F69DA" w:rsidRDefault="0069244A" w:rsidP="0069244A">
      <w:pPr>
        <w:spacing w:after="120" w:line="264" w:lineRule="auto"/>
        <w:jc w:val="both"/>
        <w:rPr>
          <w:bCs/>
          <w:noProof/>
          <w:szCs w:val="20"/>
          <w:lang w:eastAsia="de-DE"/>
        </w:rPr>
      </w:pPr>
    </w:p>
    <w:p w14:paraId="283F3C5C" w14:textId="247D09EA" w:rsidR="0069244A" w:rsidRPr="007F69DA" w:rsidRDefault="00C139BC" w:rsidP="0069244A">
      <w:pPr>
        <w:spacing w:line="360" w:lineRule="auto"/>
        <w:jc w:val="both"/>
        <w:rPr>
          <w:bCs/>
          <w:iCs/>
          <w:szCs w:val="24"/>
          <w:lang w:bidi="en-US"/>
        </w:rPr>
      </w:pPr>
      <w:r>
        <w:rPr>
          <w:bCs/>
          <w:iCs/>
          <w:szCs w:val="24"/>
          <w:lang w:bidi="en-US"/>
        </w:rPr>
        <w:lastRenderedPageBreak/>
        <w:t xml:space="preserve">3.2 </w:t>
      </w:r>
      <w:r w:rsidR="0069244A" w:rsidRPr="007F69DA">
        <w:rPr>
          <w:bCs/>
          <w:iCs/>
          <w:szCs w:val="24"/>
          <w:lang w:bidi="en-US"/>
        </w:rPr>
        <w:t>Deutsch-französische Teams</w:t>
      </w:r>
    </w:p>
    <w:p w14:paraId="1CFB63E0" w14:textId="77777777" w:rsidR="0069244A" w:rsidRPr="007F69DA" w:rsidRDefault="0069244A" w:rsidP="0069244A">
      <w:pPr>
        <w:rPr>
          <w:bCs/>
          <w:noProof/>
          <w:szCs w:val="24"/>
        </w:rPr>
      </w:pPr>
      <w:r w:rsidRPr="007F69DA">
        <w:rPr>
          <w:bCs/>
          <w:noProof/>
          <w:szCs w:val="24"/>
        </w:rPr>
        <w:t>Zu den Mythen der französischen Arbeitswelt zählt „Système D“: D wie ‘se débrouiller‘ (frz. = sich durchbeißen, sich zu helfen wissen) oder ‘se démerder‘ (= vulgäres Äquivalent für ‘se débrouiller‘). Damit ist die in der Tradition des angeblich romanischen Improvisationstalents stehende „Kunst“ gemeint, entsprechend dem betriebswirtschaftlichen Minimalprinzip Arbeitseinsatz und Zeitaufwand zu reduzieren und dennoch ein gutes Ergebnis zu erzielen. Tatsächlich aber handelt es sich dabei nicht um ein „System“, sondern um „flexibles und zielgerichtetes Reagieren auf eine unvorhergesehene Situation mit Hilfe des gesunden Menschenverstandes“ (vgl. Barmeyer 2000). Dennoch ist Système D für das Selbstbild französischer Manager wesentlich. In ihrer Neigung zu situativ angepasster Flexibilität erblicken sie gerne einen Wettbewerbsvorteil, deutsche Manager hingegen eher Unvermögen bzw. Unwilligkeit zu systematischer und zielgerichteter Planung.</w:t>
      </w:r>
    </w:p>
    <w:p w14:paraId="733342AB" w14:textId="77777777" w:rsidR="0069244A" w:rsidRPr="007F69DA" w:rsidRDefault="0069244A" w:rsidP="0069244A">
      <w:pPr>
        <w:spacing w:line="360" w:lineRule="auto"/>
        <w:jc w:val="both"/>
        <w:rPr>
          <w:iCs/>
          <w:szCs w:val="24"/>
          <w:lang w:bidi="en-US"/>
        </w:rPr>
      </w:pPr>
    </w:p>
    <w:p w14:paraId="1091801A" w14:textId="77777777" w:rsidR="0069244A" w:rsidRPr="007F69DA" w:rsidRDefault="0069244A" w:rsidP="0069244A">
      <w:pPr>
        <w:rPr>
          <w:bCs/>
          <w:noProof/>
          <w:szCs w:val="24"/>
        </w:rPr>
      </w:pPr>
      <w:r w:rsidRPr="007F69DA">
        <w:rPr>
          <w:bCs/>
          <w:noProof/>
          <w:szCs w:val="24"/>
        </w:rPr>
        <w:t>Projektplanung und Projektausführung werden in französischen Unternehmen gewöhnlich zeitlich überlappend durchgeführt, in deutschen Unternehmen jedoch deutlich voneinander getrennt. Deshalb empfinden viele französische Manager das vergleichsweise strukturierte Verhalten ihrer deutschen Kollegen häufig nicht als „strukturiert“, sondern als Hinhaltestrategie, während der umgekehrte Vorwurf „überstürztes, fahrlässiges Handeln“ lautet. Ähnlich verhält es sich mit der damit verbundenen Bereitschaft, bereits getroffene Entscheidungen zu revidieren, wenn unvorhergesehene Ereignisse eintreten oder die Rahmenbedingungen sich verändern.</w:t>
      </w:r>
    </w:p>
    <w:p w14:paraId="38EC212A" w14:textId="77777777" w:rsidR="0069244A" w:rsidRPr="007F69DA" w:rsidRDefault="0069244A" w:rsidP="0069244A">
      <w:pPr>
        <w:spacing w:after="120" w:line="264" w:lineRule="auto"/>
        <w:jc w:val="both"/>
        <w:rPr>
          <w:bCs/>
          <w:noProof/>
          <w:szCs w:val="20"/>
          <w:lang w:eastAsia="de-DE"/>
        </w:rPr>
      </w:pPr>
    </w:p>
    <w:p w14:paraId="55C1192E" w14:textId="491FFB35" w:rsidR="0069244A" w:rsidRPr="007F69DA" w:rsidRDefault="00C139BC" w:rsidP="0069244A">
      <w:pPr>
        <w:spacing w:after="120" w:line="264" w:lineRule="auto"/>
        <w:jc w:val="both"/>
        <w:rPr>
          <w:bCs/>
          <w:noProof/>
          <w:szCs w:val="24"/>
          <w:lang w:eastAsia="de-DE"/>
        </w:rPr>
      </w:pPr>
      <w:r>
        <w:rPr>
          <w:bCs/>
          <w:noProof/>
          <w:szCs w:val="24"/>
          <w:lang w:eastAsia="de-DE"/>
        </w:rPr>
        <w:t xml:space="preserve">3.3 </w:t>
      </w:r>
      <w:r w:rsidR="0069244A" w:rsidRPr="007F69DA">
        <w:rPr>
          <w:bCs/>
          <w:noProof/>
          <w:szCs w:val="24"/>
          <w:lang w:eastAsia="de-DE"/>
        </w:rPr>
        <w:t>Deutsch-chinesische Teams</w:t>
      </w:r>
    </w:p>
    <w:p w14:paraId="6BEFDA24" w14:textId="77777777" w:rsidR="0069244A" w:rsidRPr="007F69DA" w:rsidRDefault="0069244A" w:rsidP="0069244A">
      <w:pPr>
        <w:rPr>
          <w:bCs/>
          <w:noProof/>
          <w:szCs w:val="24"/>
        </w:rPr>
      </w:pPr>
      <w:r w:rsidRPr="007F69DA">
        <w:rPr>
          <w:bCs/>
          <w:noProof/>
          <w:szCs w:val="24"/>
        </w:rPr>
        <w:t>Lange Zeit war die Rollenverteilung unstrittig: Die erfahrenen Deutschen hatten die im konfuzianschen China hochgeschätzte Rolle des Lehrers inne, und die Chinesen waren die gelehrigen Schüler, die ihren Meister verehrten. Seitdem China nicht mehr nur die verlängerte Werkbank der Welt und zur führenden Handelsnation aufgestiegen ist, hat sich das Verhätnis grundlegend geändert. „Westliche Experten werden nicht mehr vergöttert. In den vergangenen Jahren hat sich die Qualifikation der Chinesen deutlich verbessert. Sie studieren und arbeiten im Ausland und kommen sehr selbstbewusst nach China zurück. So selbstsicher treten sie dann auch westlichen Managern gegenüber auf“ (Schröder 2012, S.V2/9).</w:t>
      </w:r>
    </w:p>
    <w:p w14:paraId="6B908E83" w14:textId="77777777" w:rsidR="0069244A" w:rsidRPr="007F69DA" w:rsidRDefault="0069244A" w:rsidP="0069244A">
      <w:pPr>
        <w:spacing w:after="120" w:line="360" w:lineRule="auto"/>
        <w:jc w:val="both"/>
        <w:rPr>
          <w:bCs/>
          <w:noProof/>
          <w:szCs w:val="24"/>
          <w:lang w:eastAsia="de-DE"/>
        </w:rPr>
      </w:pPr>
    </w:p>
    <w:p w14:paraId="23B8261C" w14:textId="77777777" w:rsidR="0069244A" w:rsidRPr="007F69DA" w:rsidRDefault="0069244A" w:rsidP="0069244A">
      <w:pPr>
        <w:rPr>
          <w:bCs/>
          <w:noProof/>
          <w:szCs w:val="24"/>
        </w:rPr>
      </w:pPr>
      <w:r w:rsidRPr="007F69DA">
        <w:rPr>
          <w:bCs/>
          <w:noProof/>
          <w:szCs w:val="24"/>
        </w:rPr>
        <w:t>Seitdem Chinesen immer häufiger ausländische Tochterunternehmen kaufen und führen, erwarten sie, dass ihre kulturelle Eigenheiten und ihr direktiver, wenig partizipativer Führungsstil respektiert werden. Selbst höherrangige Mitarbeiter werden zumeist nicht an Entscheidungen beteiligt. Auch bei der Entscheidungsvorbereitung bestehen erhebliche Unterschiede. „In Europa ist man stark in der Analyse. Man trägt Daten zusammen, stellt quantitative Untersuchungen an, baut Foliensätze und trifft daraufhin die Entscheidung. In China dagegen wird nicht groß diskutiert, sondern gehandelt“ (Demmer 2012, S.V2/9).</w:t>
      </w:r>
    </w:p>
    <w:p w14:paraId="6A9AD703" w14:textId="77777777" w:rsidR="0069244A" w:rsidRPr="007F69DA" w:rsidRDefault="0069244A" w:rsidP="0069244A">
      <w:pPr>
        <w:spacing w:after="120" w:line="360" w:lineRule="auto"/>
        <w:jc w:val="both"/>
        <w:rPr>
          <w:bCs/>
          <w:noProof/>
          <w:szCs w:val="24"/>
          <w:lang w:eastAsia="de-DE"/>
        </w:rPr>
      </w:pPr>
    </w:p>
    <w:p w14:paraId="51377BEF" w14:textId="77777777" w:rsidR="0069244A" w:rsidRPr="007F69DA" w:rsidRDefault="0069244A" w:rsidP="0069244A">
      <w:pPr>
        <w:rPr>
          <w:bCs/>
          <w:noProof/>
          <w:szCs w:val="24"/>
        </w:rPr>
      </w:pPr>
      <w:r w:rsidRPr="007F69DA">
        <w:rPr>
          <w:bCs/>
          <w:noProof/>
          <w:szCs w:val="24"/>
        </w:rPr>
        <w:t>Chinesen halten sich nicht nur für tatkräftiger und arbeitsamer als Deutsche, sondern auch für pragmatischer und konstruktiver, für flexibler und loyaler. Ihre Unfähigkeit, mit offener Kritik umzugehen, sowie ihr Bedürfnis nach Respektsbezeugungen sind für Deutsche ebenso gewöhnungsbedürftig wie die Art und Weise der Entscheidungsfindung. „In großer Runde werden selten echte Diskussionen geführt. Die Dinge sind meist vorher abgestimmt worden. Wer versucht, mit originellen und kreativen Ideen in einer Besprechung auf sich aufmerksam zu machen, fällt in Ungnade. Verschmelzen mit der Gruppe ist ein Erfolgsrezept im Umgang mit Vorgesetzten“ (Demmer 2012, S.V2/9).</w:t>
      </w:r>
    </w:p>
    <w:p w14:paraId="589A649A" w14:textId="77777777" w:rsidR="0069244A" w:rsidRPr="007F69DA" w:rsidRDefault="0069244A" w:rsidP="0069244A">
      <w:pPr>
        <w:rPr>
          <w:bCs/>
          <w:noProof/>
          <w:szCs w:val="24"/>
        </w:rPr>
      </w:pPr>
    </w:p>
    <w:p w14:paraId="36124D8D" w14:textId="77777777" w:rsidR="0069244A" w:rsidRPr="007F69DA" w:rsidRDefault="0069244A" w:rsidP="00C139BC">
      <w:pPr>
        <w:pStyle w:val="Literatur"/>
        <w:numPr>
          <w:ilvl w:val="0"/>
          <w:numId w:val="0"/>
        </w:numPr>
        <w:spacing w:line="240" w:lineRule="auto"/>
        <w:rPr>
          <w:sz w:val="22"/>
          <w:szCs w:val="22"/>
          <w:lang w:val="en-US"/>
        </w:rPr>
      </w:pPr>
      <w:r w:rsidRPr="00C139BC">
        <w:rPr>
          <w:b/>
          <w:bCs w:val="0"/>
          <w:i/>
          <w:sz w:val="22"/>
          <w:szCs w:val="22"/>
          <w:lang w:val="en-US"/>
        </w:rPr>
        <w:t>Literatur:</w:t>
      </w:r>
      <w:r w:rsidRPr="00C139BC">
        <w:rPr>
          <w:b/>
          <w:bCs w:val="0"/>
          <w:sz w:val="22"/>
          <w:szCs w:val="22"/>
          <w:lang w:val="en-US"/>
        </w:rPr>
        <w:t xml:space="preserve"> </w:t>
      </w:r>
      <w:r w:rsidRPr="007F69DA">
        <w:rPr>
          <w:sz w:val="22"/>
          <w:szCs w:val="22"/>
          <w:lang w:val="en-US"/>
        </w:rPr>
        <w:t xml:space="preserve">Badke-Schaub, P.; Strohschneider, S. (1998): Complex Problem Solving in the Cultural Context, Le Travail Humain, 61(1): 1-28.   </w:t>
      </w:r>
      <w:r w:rsidRPr="007F69DA">
        <w:rPr>
          <w:sz w:val="22"/>
          <w:szCs w:val="22"/>
        </w:rPr>
        <w:t xml:space="preserve">Barmeyer, C.I. (2000): Interkulturelles Management und Lernstile, Frankfurt/Main: Campus.   Demmer, C. (2012): Verschmelzen mit der Gruppe, Süddeutsche Zeitung, 68(65): V2/9.   Frese, E. (2005): Grundlagen der Organisation. Entscheidungsorientiertes Konzept der Organisationsgestaltung, 9. Aufl., Wiesbaden: Gabler.   </w:t>
      </w:r>
      <w:r w:rsidRPr="007F69DA">
        <w:rPr>
          <w:sz w:val="22"/>
          <w:szCs w:val="22"/>
          <w:lang w:val="en-US"/>
        </w:rPr>
        <w:t xml:space="preserve">Gassmann, O. (2001): Multicultural Teams. </w:t>
      </w:r>
      <w:r w:rsidRPr="007F69DA">
        <w:rPr>
          <w:sz w:val="22"/>
          <w:szCs w:val="22"/>
          <w:lang w:val="en-US"/>
        </w:rPr>
        <w:lastRenderedPageBreak/>
        <w:t xml:space="preserve">Increasing Creativity and Innovation by Diversity, Creativity and Innovation Management, 10(2): 88-95.   </w:t>
      </w:r>
      <w:r w:rsidRPr="007F69DA">
        <w:rPr>
          <w:sz w:val="22"/>
          <w:szCs w:val="22"/>
        </w:rPr>
        <w:t xml:space="preserve">Gorlick, R. (2009): So ticken amerikanische Chefs, </w:t>
      </w:r>
      <w:hyperlink r:id="rId197" w:history="1">
        <w:r w:rsidRPr="007F69DA">
          <w:rPr>
            <w:rStyle w:val="Hyperlink"/>
            <w:sz w:val="22"/>
            <w:szCs w:val="22"/>
          </w:rPr>
          <w:t>http://www.spiegel.de/unispiegel/jobundberuf/0,1518,druck-663918,00.html</w:t>
        </w:r>
      </w:hyperlink>
      <w:r w:rsidRPr="007F69DA">
        <w:rPr>
          <w:sz w:val="22"/>
          <w:szCs w:val="22"/>
        </w:rPr>
        <w:t xml:space="preserve">  (09.12.2009).   </w:t>
      </w:r>
      <w:r w:rsidRPr="007F69DA">
        <w:rPr>
          <w:sz w:val="22"/>
          <w:szCs w:val="22"/>
          <w:lang w:val="en-US"/>
        </w:rPr>
        <w:t xml:space="preserve">Hager, M. (2005): Using German Web Sites to Teach Culture in German Courses, CALICO Journal, 22(2): 269-284.   </w:t>
      </w:r>
      <w:r w:rsidRPr="007F69DA">
        <w:rPr>
          <w:sz w:val="22"/>
          <w:szCs w:val="22"/>
        </w:rPr>
        <w:t xml:space="preserve">Kornadt, H.-J. (2003): Beiträge des Kulturvergleichs zur Motivationsforschung, in: Thomas, A. (Hrsg.), Kulturvergleichende Psychologie, 2.Aufl., 347-383, Göttingen: Hogrefe.   </w:t>
      </w:r>
      <w:r w:rsidRPr="007F69DA">
        <w:rPr>
          <w:iCs/>
          <w:sz w:val="22"/>
          <w:szCs w:val="22"/>
        </w:rPr>
        <w:t>LeMont-Schmidt, P.</w:t>
      </w:r>
      <w:r w:rsidRPr="007F69DA">
        <w:rPr>
          <w:sz w:val="22"/>
          <w:szCs w:val="22"/>
        </w:rPr>
        <w:t xml:space="preserve"> (2002): Die amerikanische und die deutsche Wirtschaftskultur im Vergleich, 4.Aufl., Göttingen: Hainholz.   </w:t>
      </w:r>
      <w:r w:rsidRPr="007F69DA">
        <w:rPr>
          <w:sz w:val="22"/>
          <w:szCs w:val="22"/>
          <w:lang w:val="en-US"/>
        </w:rPr>
        <w:t xml:space="preserve">Malik, F. (1999): Der Mythos vom Team, Psychologie Heute, 26(8): 32-35   Matveev, A.V.; Milter, R.G. (2004): The Value of Intercultural Competence for Performance of Multicultural Teams, Team Performance Management: An International Journal, 10(5/6): 104-111.   </w:t>
      </w:r>
      <w:r w:rsidRPr="007F69DA">
        <w:rPr>
          <w:sz w:val="22"/>
          <w:szCs w:val="22"/>
        </w:rPr>
        <w:t xml:space="preserve">Schröder, S. (2012): Auf Augenhöhe. Was eine interkulturelle Trainerin westlichen Experten vor einem China-Aufenthalt nahelegt, Süddeutsche Zeitung, 68(65): V2/9.   Strohschneider, S. (2001): Kultur – Denken </w:t>
      </w:r>
      <w:r w:rsidRPr="007F69DA">
        <w:rPr>
          <w:sz w:val="22"/>
          <w:szCs w:val="22"/>
        </w:rPr>
        <w:noBreakHyphen/>
        <w:t xml:space="preserve"> Strategie. Eine </w:t>
      </w:r>
      <w:proofErr w:type="gramStart"/>
      <w:r w:rsidRPr="007F69DA">
        <w:rPr>
          <w:sz w:val="22"/>
          <w:szCs w:val="22"/>
        </w:rPr>
        <w:t>Indische</w:t>
      </w:r>
      <w:proofErr w:type="gramEnd"/>
      <w:r w:rsidRPr="007F69DA">
        <w:rPr>
          <w:sz w:val="22"/>
          <w:szCs w:val="22"/>
        </w:rPr>
        <w:t xml:space="preserve"> Suite, Bern: Huber.   Thomas, A. (Hrsg.) (2003a): Psychologie interkulturellen Handelns, 2. Aufl., Göttingen: Hogrefe (1. Aufl. = 1996).   Trommsdorff, G. (1985): Kontrollorientierung aus kulturvergleichender Sicht, in: Montada, L. (Hrsg.), Bericht über die 7. Tagung Entwicklungspsychologie, 309-311, Trier: Universitätsdruckerei.   Trommsdorff, G. (2002): Kulturvergleichende Sozialpsychologie, in: Frey, D.; Irle, M. (Hrsg.), Theorien der Sozialpsychologie Bd.II, Gruppen-, Interaktions- und Lerntheorien, 390-408, Bern: Huber.   von der Oelsnitz, D. (2006): Kulturelle Heterogenität. Leitlinien der Teamführung im interkulturellen Kontext, Zeitschrift für Management, 1(2): 142-166.   </w:t>
      </w:r>
      <w:r w:rsidRPr="007F69DA">
        <w:rPr>
          <w:sz w:val="22"/>
          <w:szCs w:val="22"/>
          <w:lang w:val="en-US"/>
        </w:rPr>
        <w:t>Zeutschel, U. (2000): Potentials and Pitfalls of German/U.S.-American Cooperation in Workgroups, in: Stumpf, S.; Thomas, A. (Eds.), Diversity and Group Effectiveness, 385-402, Lengerich: Pabst Science Publ.</w:t>
      </w:r>
    </w:p>
    <w:p w14:paraId="7735D962" w14:textId="77777777" w:rsidR="0069244A" w:rsidRPr="007F69DA" w:rsidRDefault="0069244A" w:rsidP="0069244A">
      <w:pPr>
        <w:rPr>
          <w:bCs/>
          <w:noProof/>
          <w:sz w:val="20"/>
          <w:szCs w:val="20"/>
          <w:lang w:val="en-US"/>
        </w:rPr>
      </w:pPr>
    </w:p>
    <w:p w14:paraId="70492789" w14:textId="77777777" w:rsidR="00FF7799" w:rsidRPr="00E73F6F" w:rsidRDefault="00FF7799" w:rsidP="00283937">
      <w:pPr>
        <w:pStyle w:val="berschrift1"/>
      </w:pPr>
      <w:r w:rsidRPr="00C139BC">
        <w:rPr>
          <w:color w:val="2E74B5"/>
        </w:rPr>
        <w:t>Technologie</w:t>
      </w:r>
      <w:r w:rsidRPr="00E73F6F">
        <w:rPr>
          <w:spacing w:val="-14"/>
        </w:rPr>
        <w:t xml:space="preserve"> </w:t>
      </w:r>
      <w:r w:rsidRPr="00E73F6F">
        <w:rPr>
          <w:b w:val="0"/>
        </w:rPr>
        <w:t>→ Determinismus</w:t>
      </w:r>
    </w:p>
    <w:p w14:paraId="417E947A" w14:textId="77777777" w:rsidR="00FF7799" w:rsidRPr="00E73F6F" w:rsidRDefault="00FF7799" w:rsidP="00283937">
      <w:pPr>
        <w:pStyle w:val="berschrift1"/>
        <w:rPr>
          <w:spacing w:val="-4"/>
        </w:rPr>
      </w:pPr>
      <w:r w:rsidRPr="008D1F1D">
        <w:rPr>
          <w:color w:val="2E74B5"/>
        </w:rPr>
        <w:t xml:space="preserve">Tempo, soziales </w:t>
      </w:r>
      <w:r w:rsidRPr="00E73F6F">
        <w:rPr>
          <w:b w:val="0"/>
        </w:rPr>
        <w:t>→</w:t>
      </w:r>
      <w:r w:rsidRPr="00E73F6F">
        <w:rPr>
          <w:b w:val="0"/>
          <w:spacing w:val="-1"/>
        </w:rPr>
        <w:t xml:space="preserve"> </w:t>
      </w:r>
      <w:r w:rsidRPr="00E73F6F">
        <w:rPr>
          <w:b w:val="0"/>
          <w:spacing w:val="-4"/>
        </w:rPr>
        <w:t>Zeit</w:t>
      </w:r>
    </w:p>
    <w:p w14:paraId="66C1C519" w14:textId="32B33310" w:rsidR="008D1F1D" w:rsidRPr="008D1F1D" w:rsidRDefault="0069244A" w:rsidP="008D1F1D">
      <w:pPr>
        <w:keepNext/>
        <w:keepLines/>
        <w:spacing w:before="240" w:line="276" w:lineRule="auto"/>
        <w:jc w:val="both"/>
        <w:outlineLvl w:val="1"/>
        <w:rPr>
          <w:b/>
          <w:bCs/>
          <w:color w:val="2E74B5"/>
          <w:sz w:val="24"/>
        </w:rPr>
      </w:pPr>
      <w:r w:rsidRPr="008D1F1D">
        <w:rPr>
          <w:b/>
          <w:bCs/>
          <w:color w:val="2E74B5"/>
          <w:sz w:val="24"/>
        </w:rPr>
        <w:t xml:space="preserve">Theorie der gelernten Hilflosigkeit </w:t>
      </w:r>
    </w:p>
    <w:p w14:paraId="432DDB74" w14:textId="77777777" w:rsidR="0069244A" w:rsidRPr="007F69DA" w:rsidRDefault="0069244A" w:rsidP="008D1F1D">
      <w:pPr>
        <w:spacing w:line="276" w:lineRule="auto"/>
        <w:rPr>
          <w:bCs/>
          <w:noProof/>
        </w:rPr>
      </w:pPr>
      <w:r w:rsidRPr="007F69DA">
        <w:rPr>
          <w:bCs/>
          <w:noProof/>
        </w:rPr>
        <w:t xml:space="preserve">geht davon aus, dass Menschen danach streben, Ereignisse, die für sie bedeutsam sind, zu „kontrollieren“ (faktisch bzw. gedanklich). Positive Kontrollerfahrungen steigern das Selbstwertgefühl, insb. das „Gefühl“ der Selbstwirksamkeit. Können Menschen hingegen keinen systematischen Zusammenhang (= Kontingenz) zwischen ihrem Handeln und den Konsequenzen dieser Handlungen erkennen, so entwickeln sie eine schwache Kontrollüberzeugung. Wiederholt sich der Eindruck, dass man selbst nichts tun kann und verfestigt sich diese </w:t>
      </w:r>
      <w:r w:rsidRPr="007F69DA">
        <w:rPr>
          <w:bCs/>
          <w:noProof/>
        </w:rPr>
        <w:sym w:font="Symbol" w:char="F0DE"/>
      </w:r>
      <w:r w:rsidRPr="007F69DA">
        <w:rPr>
          <w:bCs/>
          <w:noProof/>
        </w:rPr>
        <w:t xml:space="preserve"> Einstellung zu einem Belief, d.h. zu einer glaubensähnlichen Überzeugung („Gleichgültig, was ich tue: Ich kann dieses oder jenes nicht verhindern“), dann spricht man von gelernter Hilflosigkeit.</w:t>
      </w:r>
    </w:p>
    <w:p w14:paraId="5148C2BD" w14:textId="77777777" w:rsidR="0069244A" w:rsidRPr="007F69DA" w:rsidRDefault="0069244A" w:rsidP="0069244A">
      <w:pPr>
        <w:spacing w:before="240" w:after="120"/>
        <w:jc w:val="both"/>
        <w:rPr>
          <w:bCs/>
          <w:noProof/>
          <w:lang w:val="en-US"/>
        </w:rPr>
      </w:pPr>
      <w:r w:rsidRPr="008D1F1D">
        <w:rPr>
          <w:b/>
          <w:i/>
          <w:noProof/>
          <w:lang w:val="en-US"/>
        </w:rPr>
        <w:t>Literatur:</w:t>
      </w:r>
      <w:r w:rsidRPr="007F69DA">
        <w:rPr>
          <w:b/>
          <w:noProof/>
          <w:lang w:val="en-US" w:eastAsia="de-DE"/>
        </w:rPr>
        <w:t xml:space="preserve"> </w:t>
      </w:r>
      <w:r w:rsidRPr="007F69DA">
        <w:rPr>
          <w:bCs/>
          <w:noProof/>
          <w:lang w:val="en-US"/>
        </w:rPr>
        <w:t xml:space="preserve">Seligman, M.E.P. (1975): Helplessness. On Depression, Development, and Death, San Francisco/CA: Freeman. </w:t>
      </w:r>
    </w:p>
    <w:p w14:paraId="6F639F14" w14:textId="77777777" w:rsidR="0069244A" w:rsidRPr="007F69DA" w:rsidRDefault="0069244A" w:rsidP="0069244A">
      <w:pPr>
        <w:spacing w:before="240" w:after="120"/>
        <w:jc w:val="both"/>
        <w:rPr>
          <w:bCs/>
          <w:noProof/>
          <w:sz w:val="20"/>
          <w:szCs w:val="20"/>
          <w:lang w:val="en-US"/>
        </w:rPr>
      </w:pPr>
    </w:p>
    <w:p w14:paraId="3012E0C4" w14:textId="77777777" w:rsidR="00FF7799" w:rsidRPr="008D1F1D" w:rsidRDefault="00FF7799" w:rsidP="008D1F1D">
      <w:pPr>
        <w:keepNext/>
        <w:keepLines/>
        <w:spacing w:before="240" w:line="276" w:lineRule="auto"/>
        <w:jc w:val="both"/>
        <w:outlineLvl w:val="1"/>
        <w:rPr>
          <w:b/>
          <w:bCs/>
          <w:color w:val="2E74B5"/>
          <w:sz w:val="24"/>
        </w:rPr>
      </w:pPr>
      <w:r w:rsidRPr="008D1F1D">
        <w:rPr>
          <w:b/>
          <w:bCs/>
          <w:color w:val="2E74B5"/>
          <w:sz w:val="24"/>
        </w:rPr>
        <w:t xml:space="preserve">Theorie der sozialen Identität </w:t>
      </w:r>
    </w:p>
    <w:p w14:paraId="5F458DE0" w14:textId="77777777" w:rsidR="00FF7799" w:rsidRPr="00E73F6F" w:rsidRDefault="00FF7799" w:rsidP="000B3A5C">
      <w:pPr>
        <w:pStyle w:val="StandardText"/>
        <w:rPr>
          <w:noProof/>
        </w:rPr>
      </w:pPr>
      <w:r w:rsidRPr="00E73F6F">
        <w:rPr>
          <w:noProof/>
        </w:rPr>
        <w:t>besagt, dass Menschen neben ihrer persönlichen Identität auch eine soziale Identität „besitzen“. Letztere ergibt sich aus der Zugehörigkeit zu einer sozialen Gruppe, der ‘in group‘. Identitätsstiftend ist aber auch die Abgrenzung von anderen Gruppen (‘out group‘). Dabei werden Unterschiede, die zwischen der eigenen Gruppe und anderen Gruppen bestehen und für die Definition der sozialen Identität bedeutsam sind, überbetont (akzentuiert). Übertrieben wird auch das Ausmaß, in dem die eigene Gruppe über diese identitätsstiftenden Eigenschaften verfügt.</w:t>
      </w:r>
    </w:p>
    <w:p w14:paraId="0A60BFF1" w14:textId="77777777" w:rsidR="00FF7799" w:rsidRPr="00F675AD" w:rsidRDefault="00FF7799" w:rsidP="000B3A5C">
      <w:pPr>
        <w:pStyle w:val="StandardText"/>
        <w:rPr>
          <w:sz w:val="22"/>
          <w:szCs w:val="22"/>
          <w:lang w:val="en-US"/>
        </w:rPr>
      </w:pPr>
      <w:r w:rsidRPr="00F675AD">
        <w:rPr>
          <w:b/>
          <w:i/>
          <w:sz w:val="22"/>
          <w:szCs w:val="22"/>
          <w:lang w:val="en-US"/>
        </w:rPr>
        <w:t>Literatur:</w:t>
      </w:r>
      <w:r w:rsidRPr="00F675AD">
        <w:rPr>
          <w:b/>
          <w:sz w:val="22"/>
          <w:szCs w:val="22"/>
          <w:lang w:val="en-US"/>
        </w:rPr>
        <w:t xml:space="preserve"> </w:t>
      </w:r>
      <w:r w:rsidRPr="00F675AD">
        <w:rPr>
          <w:sz w:val="22"/>
          <w:szCs w:val="22"/>
          <w:lang w:val="en-US"/>
        </w:rPr>
        <w:t>Tajfel, H.; Turner, J. (1986): The Social Identity Theory of Intergroup Behaviour, in: Worchel, S.; Austin, W.G. (Eds.) Psychology of Intergroup Relations, 2</w:t>
      </w:r>
      <w:r w:rsidRPr="00F675AD">
        <w:rPr>
          <w:sz w:val="22"/>
          <w:szCs w:val="22"/>
          <w:vertAlign w:val="superscript"/>
          <w:lang w:val="en-US"/>
        </w:rPr>
        <w:t>nd</w:t>
      </w:r>
      <w:r w:rsidRPr="00F675AD">
        <w:rPr>
          <w:sz w:val="22"/>
          <w:szCs w:val="22"/>
          <w:lang w:val="en-US"/>
        </w:rPr>
        <w:t xml:space="preserve"> Ed., 7-24, Chicago: Nelson-</w:t>
      </w:r>
      <w:r w:rsidRPr="00F675AD">
        <w:rPr>
          <w:sz w:val="22"/>
          <w:szCs w:val="22"/>
          <w:lang w:val="en-US"/>
        </w:rPr>
        <w:lastRenderedPageBreak/>
        <w:t>Hall. Tajfel, H.; Wilkes, A.L. (1963): Classification and Quantitative Judgement, British Journal of Psychology, 54(2): 101-114.</w:t>
      </w:r>
    </w:p>
    <w:p w14:paraId="3CB033CD" w14:textId="77777777" w:rsidR="00FF7799" w:rsidRPr="00E35FFF" w:rsidRDefault="00FF7799" w:rsidP="00862DBA">
      <w:pPr>
        <w:rPr>
          <w:spacing w:val="-4"/>
          <w:sz w:val="24"/>
          <w:szCs w:val="24"/>
          <w:lang w:val="en-US"/>
        </w:rPr>
      </w:pPr>
    </w:p>
    <w:p w14:paraId="4EC0229A" w14:textId="77777777" w:rsidR="00FF7799" w:rsidRPr="00E73F6F" w:rsidRDefault="00FF7799" w:rsidP="00283937">
      <w:pPr>
        <w:pStyle w:val="berschrift1"/>
        <w:rPr>
          <w:b w:val="0"/>
        </w:rPr>
      </w:pPr>
      <w:r w:rsidRPr="008D1F1D">
        <w:rPr>
          <w:color w:val="2E74B5"/>
        </w:rPr>
        <w:t>Theorie der universellen kulturellen Werte</w:t>
      </w:r>
      <w:r w:rsidRPr="00E73F6F">
        <w:t xml:space="preserve"> </w:t>
      </w:r>
      <w:r w:rsidRPr="00E73F6F">
        <w:rPr>
          <w:b w:val="0"/>
        </w:rPr>
        <w:sym w:font="Symbol" w:char="F0AE"/>
      </w:r>
      <w:r w:rsidRPr="00E73F6F">
        <w:rPr>
          <w:b w:val="0"/>
        </w:rPr>
        <w:t xml:space="preserve"> Kulturdimensionen nach Schwartz</w:t>
      </w:r>
    </w:p>
    <w:p w14:paraId="3BFC53B3" w14:textId="77777777" w:rsidR="00FF7799" w:rsidRPr="008D1F1D" w:rsidRDefault="00FF7799" w:rsidP="008D1F1D">
      <w:pPr>
        <w:keepNext/>
        <w:keepLines/>
        <w:spacing w:before="240" w:line="276" w:lineRule="auto"/>
        <w:jc w:val="both"/>
        <w:outlineLvl w:val="1"/>
        <w:rPr>
          <w:b/>
          <w:bCs/>
          <w:color w:val="2E74B5"/>
          <w:sz w:val="24"/>
        </w:rPr>
      </w:pPr>
      <w:r w:rsidRPr="008D1F1D">
        <w:rPr>
          <w:b/>
          <w:bCs/>
          <w:color w:val="2E74B5"/>
          <w:sz w:val="24"/>
        </w:rPr>
        <w:t>Third Culture</w:t>
      </w:r>
    </w:p>
    <w:p w14:paraId="5A23C721" w14:textId="77777777" w:rsidR="00FF7799" w:rsidRPr="00E73F6F" w:rsidRDefault="00FF7799" w:rsidP="000B3A5C">
      <w:pPr>
        <w:pStyle w:val="StandardText"/>
      </w:pPr>
      <w:r w:rsidRPr="00E73F6F">
        <w:t>Erscheinungsform kultureller Identität. Aus kulturkritischer Sicht sorgt Globalisierung dafür, dass westliche Werte und selbstbestimmte Lebensstile zunehmend in nicht-westlichen Kulturen Eingang finden bzw. diesen oktroyiert werden. Arnett (2002) untersuchte die Konsequenzen dieses Vorgangs für die Identitätsbildung. Ein Teil der jungen Menschen entwickelt demnach eine bikulturelle Identität, indem sie ihre lokale (bzw. nationale) Identität mit einer globalen Identität verbinden. Teils noch den Traditionen ihrer Herkunftsländer verhaftet, fühlen sie sich gleichzeitig der westlichen Globalkultur verbunden bzw. verpflichtet. Glückt ihre Sozialisation, so gewinnen die Bikulturellen Zugang zu beiden Welten. Im negativen Fall aber kommt es zu Identitätskonfusion: Kulturell entwurzelt und innerlich heimatlos, stellen bspw. afrikanische Jugendliche die bislang selbstverständliche absolute Macht der Väter in Frage. Und in ehemals kollektivistischen Gesellschaften geben Jugendliche deren Werte auf, ohne sich jedoch wirklich mit denen der westlichen Welt identifizieren zu können.</w:t>
      </w:r>
    </w:p>
    <w:p w14:paraId="299B134F" w14:textId="77777777" w:rsidR="00FF7799" w:rsidRPr="00E73F6F" w:rsidRDefault="00FF7799" w:rsidP="000B3A5C">
      <w:pPr>
        <w:pStyle w:val="StandardText"/>
      </w:pPr>
      <w:r w:rsidRPr="00E73F6F">
        <w:t xml:space="preserve">Andere wiederum grenzen sich von dieser Entwicklung bewusst ab und entwickeln eine Third Culture-Identität (vgl. Adair et al. 2006): Da sie sich als „Fremde in zwei Welten“ empfinden, suchen sie bei einer künstlichen Identität Zuflucht. So empfinden sich viele der in dritter Generation in Deutschland lebenden Türken weder als Türken noch als Deutsche, weshalb es zu einem Regress auf die idealisierte nationale oder religiös-fundamentalistische Identität ihres Herkunftslandes kommt. </w:t>
      </w:r>
    </w:p>
    <w:p w14:paraId="3D407AC4" w14:textId="77777777" w:rsidR="00FF7799" w:rsidRPr="00E73F6F" w:rsidRDefault="00FF7799" w:rsidP="000B3A5C">
      <w:pPr>
        <w:pStyle w:val="StandardText"/>
      </w:pPr>
      <w:r w:rsidRPr="00E73F6F">
        <w:t xml:space="preserve">Die in vielen Bereichen globalisierte Wirtschaftstätigkeit zeichnet sich u.a. dadurch aus, dass immer seltener eindeutig abgrenzbare „Entitäten“ (Nationalstaaten und Unternehmen) die relevante Bezugsgröße sind und immer häufiger diffusere Phänomene (z.B. Netzwerkstrukturen, multikulturelle Projektteams). </w:t>
      </w:r>
      <w:r w:rsidRPr="00E35FFF">
        <w:rPr>
          <w:lang w:val="en-US"/>
        </w:rPr>
        <w:t xml:space="preserve">Angesichts dieser Entwicklung forderten Søderberg/Holden (2002, S.103) „an alternative approach which acknowledges the growing complexity of inter- and intra-organizational connections and identities, and offers theoretical concepts to think about organizations and multiple cultures in a globalizing business context.” </w:t>
      </w:r>
      <w:r w:rsidRPr="00E73F6F">
        <w:t>Vor allem bei internationalen Fusionen erweisen sich Friktionen aufgrund der Unvereinbarkeit der jeweiligen multiplen kulturellen Bindung der Fusionspartner regelmäßig als Schlüsselproblem. Der Fall DaimlerChrysler demonstrierte dies in dramatischer Weise (vgl. Abb. 1).</w:t>
      </w:r>
    </w:p>
    <w:p w14:paraId="6DB28C77" w14:textId="77777777" w:rsidR="00FF7799" w:rsidRPr="00E73F6F" w:rsidRDefault="00FF7799" w:rsidP="000B3A5C">
      <w:pPr>
        <w:pStyle w:val="StandardText"/>
      </w:pPr>
    </w:p>
    <w:p w14:paraId="75C39435" w14:textId="77777777" w:rsidR="00FF7799" w:rsidRPr="008D1F1D" w:rsidRDefault="00FF7799" w:rsidP="000B3A5C">
      <w:pPr>
        <w:pStyle w:val="BeschriftungTab"/>
        <w:rPr>
          <w:i/>
          <w:iCs/>
        </w:rPr>
      </w:pPr>
      <w:r w:rsidRPr="008D1F1D">
        <w:rPr>
          <w:i/>
          <w:iCs/>
        </w:rPr>
        <w:t xml:space="preserve">Abb. 1: Inkompatible Landes-, Branchen- und Unternehmenskulturen </w:t>
      </w:r>
      <w:r w:rsidRPr="008D1F1D">
        <w:rPr>
          <w:i/>
          <w:iCs/>
        </w:rPr>
        <w:br/>
        <w:t>als Ursache des Scheiterns der DaimlerChrysler-Fusion</w:t>
      </w:r>
    </w:p>
    <w:p w14:paraId="6B19B381" w14:textId="77777777" w:rsidR="00FF7799" w:rsidRPr="00E73F6F" w:rsidRDefault="00986FCD" w:rsidP="00862DBA">
      <w:pPr>
        <w:rPr>
          <w:sz w:val="24"/>
          <w:szCs w:val="24"/>
          <w:lang w:eastAsia="de-DE"/>
        </w:rPr>
      </w:pPr>
      <w:r>
        <w:rPr>
          <w:noProof/>
          <w:sz w:val="24"/>
          <w:szCs w:val="24"/>
          <w:lang w:eastAsia="de-DE"/>
        </w:rPr>
        <w:lastRenderedPageBreak/>
        <w:drawing>
          <wp:inline distT="0" distB="0" distL="0" distR="0" wp14:anchorId="2508DF98" wp14:editId="6076A2DB">
            <wp:extent cx="5722160" cy="4257675"/>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5728056" cy="4262062"/>
                    </a:xfrm>
                    <a:prstGeom prst="rect">
                      <a:avLst/>
                    </a:prstGeom>
                    <a:noFill/>
                  </pic:spPr>
                </pic:pic>
              </a:graphicData>
            </a:graphic>
          </wp:inline>
        </w:drawing>
      </w:r>
    </w:p>
    <w:p w14:paraId="54085E9D" w14:textId="77777777" w:rsidR="00FF7799" w:rsidRPr="00E73F6F" w:rsidRDefault="00FF7799" w:rsidP="00862DBA">
      <w:pPr>
        <w:rPr>
          <w:sz w:val="24"/>
          <w:szCs w:val="24"/>
        </w:rPr>
      </w:pPr>
    </w:p>
    <w:p w14:paraId="60228586" w14:textId="77777777" w:rsidR="00FF7799" w:rsidRPr="00F675AD" w:rsidRDefault="00FF7799" w:rsidP="000B3A5C">
      <w:pPr>
        <w:pStyle w:val="StandardText"/>
        <w:rPr>
          <w:sz w:val="22"/>
          <w:szCs w:val="22"/>
          <w:lang w:val="en-US"/>
        </w:rPr>
      </w:pPr>
      <w:r w:rsidRPr="00F675AD">
        <w:rPr>
          <w:b/>
          <w:i/>
          <w:sz w:val="22"/>
          <w:szCs w:val="22"/>
          <w:lang w:val="en-US"/>
        </w:rPr>
        <w:t>Literatur</w:t>
      </w:r>
      <w:r w:rsidRPr="00F675AD">
        <w:rPr>
          <w:i/>
          <w:sz w:val="22"/>
          <w:szCs w:val="22"/>
          <w:lang w:val="en-US"/>
        </w:rPr>
        <w:t>:</w:t>
      </w:r>
      <w:r w:rsidRPr="00F675AD">
        <w:rPr>
          <w:sz w:val="22"/>
          <w:szCs w:val="22"/>
          <w:lang w:val="en-US"/>
        </w:rPr>
        <w:t xml:space="preserve"> Adair, W.L.; Tinsley, C.H.; Taylor, M. (2006): Managing the Intercultural Interface. Third Cultures, Antecedents, and Consequences, in: Chen, Y.-R. (Ed.), Research on Managing Groups and Teams, Vol. 9: National Culture and Groups, 205-232, New York: JAI. Arnett, J.J. (2002): The Psychology of Globalization, American Psychologist, 57(10): 774-783. Moore, A.M.; Barker, G.G. (2012): Confused or Multicultural: Third Culture Individuals’ Cultural Identity, International Journal of Intercultural Relations, 36(4): 553-562. Søderberg, A.M.; Holden, N. (2002): Rethinking cross Cultural Management in a Globalizing Business World, International Journal of Cross Cultural Management, 2(1): 103-121.</w:t>
      </w:r>
    </w:p>
    <w:p w14:paraId="27695360" w14:textId="77777777" w:rsidR="00FF7799" w:rsidRPr="00E35FFF" w:rsidRDefault="00FF7799" w:rsidP="000B3A5C">
      <w:pPr>
        <w:pStyle w:val="StandardText"/>
        <w:rPr>
          <w:lang w:val="en-US"/>
        </w:rPr>
      </w:pPr>
    </w:p>
    <w:p w14:paraId="4323CC57" w14:textId="77777777" w:rsidR="0069244A" w:rsidRPr="008D1F1D" w:rsidRDefault="0069244A" w:rsidP="008D1F1D">
      <w:pPr>
        <w:keepNext/>
        <w:keepLines/>
        <w:spacing w:before="240" w:line="276" w:lineRule="auto"/>
        <w:jc w:val="both"/>
        <w:outlineLvl w:val="1"/>
        <w:rPr>
          <w:b/>
          <w:bCs/>
          <w:color w:val="2E74B5"/>
          <w:sz w:val="24"/>
        </w:rPr>
      </w:pPr>
      <w:r w:rsidRPr="008D1F1D">
        <w:rPr>
          <w:b/>
          <w:bCs/>
          <w:color w:val="2E74B5"/>
          <w:sz w:val="24"/>
        </w:rPr>
        <w:t>Training, interkulturelles</w:t>
      </w:r>
    </w:p>
    <w:p w14:paraId="4F630BE2" w14:textId="77777777" w:rsidR="0069244A" w:rsidRPr="007F69DA" w:rsidRDefault="0069244A" w:rsidP="0069244A">
      <w:pPr>
        <w:jc w:val="both"/>
        <w:rPr>
          <w:bCs/>
          <w:szCs w:val="24"/>
          <w:lang w:bidi="en-US"/>
        </w:rPr>
      </w:pPr>
      <w:r w:rsidRPr="007F69DA">
        <w:rPr>
          <w:szCs w:val="24"/>
          <w:lang w:bidi="en-US"/>
        </w:rPr>
        <w:t>dient manchmal „nur“ dazu, Fach- und Führungskräfte, die entsandt werden sollen, auf einen fremdkulturellen Lebens- bzw. Arbeitskontext vorzubereiten (</w:t>
      </w:r>
      <w:r w:rsidRPr="007F69DA">
        <w:rPr>
          <w:szCs w:val="24"/>
          <w:lang w:bidi="en-US"/>
        </w:rPr>
        <w:sym w:font="Symbol" w:char="F0DE"/>
      </w:r>
      <w:r w:rsidRPr="007F69DA">
        <w:rPr>
          <w:szCs w:val="24"/>
          <w:lang w:bidi="en-US"/>
        </w:rPr>
        <w:t xml:space="preserve"> Auslandsentsendung). Ein andermal wollen </w:t>
      </w:r>
      <w:r w:rsidRPr="007F69DA">
        <w:rPr>
          <w:bCs/>
          <w:szCs w:val="24"/>
          <w:lang w:bidi="en-US"/>
        </w:rPr>
        <w:t xml:space="preserve">Unternehmen, die Angehörige verschiedener Kulturen beschäftigen, sicherstellen, dass die </w:t>
      </w:r>
      <w:r w:rsidRPr="007F69DA">
        <w:rPr>
          <w:bCs/>
          <w:iCs/>
          <w:szCs w:val="24"/>
          <w:lang w:bidi="en-US"/>
        </w:rPr>
        <w:t>interne Zusammenarbeit</w:t>
      </w:r>
      <w:r w:rsidRPr="007F69DA">
        <w:rPr>
          <w:bCs/>
          <w:szCs w:val="24"/>
          <w:lang w:bidi="en-US"/>
        </w:rPr>
        <w:t xml:space="preserve"> durch die unterschiedlichen Normen, Werte und Verhaltensweisen zumindest nicht verschlechtert und nach Möglichkeit verbessert wird. Ob es sich dabei nun um Diversity Training, kulturelles Training oder </w:t>
      </w:r>
      <w:r w:rsidRPr="007F69DA">
        <w:rPr>
          <w:szCs w:val="24"/>
          <w:lang w:bidi="en-US"/>
        </w:rPr>
        <w:t xml:space="preserve">interkulturelles Coaching handelt: Immer lautet das Ziel, neben der Vermittlung von Landeskunde die </w:t>
      </w:r>
      <w:r w:rsidRPr="007F69DA">
        <w:rPr>
          <w:bCs/>
          <w:szCs w:val="24"/>
          <w:lang w:bidi="en-US"/>
        </w:rPr>
        <w:t>interkulturelle Kompetenz</w:t>
      </w:r>
      <w:r w:rsidRPr="007F69DA">
        <w:rPr>
          <w:szCs w:val="24"/>
          <w:lang w:bidi="en-US"/>
        </w:rPr>
        <w:t xml:space="preserve"> der Trainingsteilnehmer zu fördern (</w:t>
      </w:r>
      <w:r w:rsidRPr="007F69DA">
        <w:rPr>
          <w:szCs w:val="24"/>
          <w:lang w:bidi="en-US"/>
        </w:rPr>
        <w:sym w:font="Symbol" w:char="F0DE"/>
      </w:r>
      <w:r w:rsidRPr="007F69DA">
        <w:rPr>
          <w:szCs w:val="24"/>
          <w:lang w:bidi="en-US"/>
        </w:rPr>
        <w:t xml:space="preserve"> Kompetenz, interkulturelle). Weiterhin sollen derartige </w:t>
      </w:r>
      <w:r w:rsidRPr="007F69DA">
        <w:rPr>
          <w:bCs/>
          <w:szCs w:val="24"/>
          <w:lang w:bidi="en-US"/>
        </w:rPr>
        <w:t xml:space="preserve">Maßnahmen dem Synergie-Management dienen. Denn natürlich ist Diversität nicht immer von Vorteil, etwa dann, wenn sich aus Interessenunterschieden Konflikte entwickeln. Angehörige anderer Kulturen werden zumeist der </w:t>
      </w:r>
      <w:r w:rsidRPr="007F69DA">
        <w:rPr>
          <w:iCs/>
          <w:szCs w:val="24"/>
          <w:lang w:bidi="en-US"/>
        </w:rPr>
        <w:t>‘</w:t>
      </w:r>
      <w:r w:rsidRPr="007F69DA">
        <w:rPr>
          <w:bCs/>
          <w:szCs w:val="24"/>
          <w:lang w:bidi="en-US"/>
        </w:rPr>
        <w:t>out group</w:t>
      </w:r>
      <w:r w:rsidRPr="007F69DA">
        <w:rPr>
          <w:iCs/>
          <w:szCs w:val="24"/>
          <w:lang w:bidi="en-US"/>
        </w:rPr>
        <w:t>‘</w:t>
      </w:r>
      <w:r w:rsidRPr="007F69DA">
        <w:rPr>
          <w:bCs/>
          <w:szCs w:val="24"/>
          <w:lang w:bidi="en-US"/>
        </w:rPr>
        <w:t xml:space="preserve"> zugeordnet, was, wie sich in mehreren empirischen Studien mit amerikanischen und japanischen Probanden gezeigt hat, für negative Konsequenzen sorgt. So gehen Angehörige kollektivistischer Kulturen mit Außenstehenden weniger kooperativ um als mit In Group-Mitgliedern (vgl. Adair et al. 2001).</w:t>
      </w:r>
    </w:p>
    <w:p w14:paraId="25CBB49F" w14:textId="77777777" w:rsidR="0069244A" w:rsidRPr="007F69DA" w:rsidRDefault="0069244A" w:rsidP="0069244A">
      <w:pPr>
        <w:jc w:val="both"/>
        <w:rPr>
          <w:szCs w:val="24"/>
          <w:lang w:bidi="en-US"/>
        </w:rPr>
      </w:pPr>
    </w:p>
    <w:p w14:paraId="12DCF13C" w14:textId="77777777" w:rsidR="0069244A" w:rsidRPr="007F69DA" w:rsidRDefault="0069244A" w:rsidP="0069244A">
      <w:pPr>
        <w:jc w:val="both"/>
        <w:rPr>
          <w:szCs w:val="24"/>
          <w:lang w:bidi="en-US"/>
        </w:rPr>
      </w:pPr>
      <w:r w:rsidRPr="007F69DA">
        <w:rPr>
          <w:szCs w:val="24"/>
          <w:lang w:bidi="en-US"/>
        </w:rPr>
        <w:t>1. Überblick</w:t>
      </w:r>
    </w:p>
    <w:p w14:paraId="411F4A7C" w14:textId="77777777" w:rsidR="0069244A" w:rsidRPr="007F69DA" w:rsidRDefault="0069244A" w:rsidP="0069244A">
      <w:pPr>
        <w:jc w:val="both"/>
        <w:rPr>
          <w:szCs w:val="24"/>
          <w:lang w:bidi="en-US"/>
        </w:rPr>
      </w:pPr>
      <w:r w:rsidRPr="007F69DA">
        <w:rPr>
          <w:szCs w:val="24"/>
          <w:lang w:bidi="en-US"/>
        </w:rPr>
        <w:t xml:space="preserve">Kurz nach dem </w:t>
      </w:r>
      <w:r w:rsidRPr="007F69DA">
        <w:rPr>
          <w:iCs/>
          <w:szCs w:val="24"/>
          <w:lang w:bidi="en-US"/>
        </w:rPr>
        <w:t>Zweiten Weltkrieg</w:t>
      </w:r>
      <w:r w:rsidRPr="007F69DA">
        <w:rPr>
          <w:szCs w:val="24"/>
          <w:lang w:bidi="en-US"/>
        </w:rPr>
        <w:t xml:space="preserve"> wurden die ersten Trainingsmaßnahmen entwickelt, um interkulturell </w:t>
      </w:r>
      <w:r w:rsidRPr="007F69DA">
        <w:rPr>
          <w:szCs w:val="24"/>
          <w:lang w:bidi="en-US"/>
        </w:rPr>
        <w:lastRenderedPageBreak/>
        <w:t>kompetente Diplomaten, Mitarbeiter von Entwicklungshilfeorganisationen etc. auszubilden. Letztlich waren diese Frühformen jedoch kaum mehr als eine verbesserte Form von Sprach- und Länderkunde (vgl. Herbrand 2000). Im Verlauf der 1960er-Jahre wurde dann erstmals versucht, mit Hilfe von ‘a</w:t>
      </w:r>
      <w:r w:rsidRPr="007F69DA">
        <w:rPr>
          <w:iCs/>
          <w:szCs w:val="24"/>
          <w:lang w:bidi="en-US"/>
        </w:rPr>
        <w:t>rea simulations</w:t>
      </w:r>
      <w:r w:rsidRPr="007F69DA">
        <w:rPr>
          <w:szCs w:val="24"/>
          <w:lang w:bidi="en-US"/>
        </w:rPr>
        <w:t>‘ fremdkulturelle Alltagssituationen zu simulieren. Die teilweise extremen Übungen, die an die modernen Survival-Seminare erinnern, sollten den Teilnehmern existentielle Er</w:t>
      </w:r>
      <w:r w:rsidRPr="007F69DA">
        <w:rPr>
          <w:szCs w:val="24"/>
          <w:lang w:bidi="en-US"/>
        </w:rPr>
        <w:softHyphen/>
        <w:t>fah</w:t>
      </w:r>
      <w:r w:rsidRPr="007F69DA">
        <w:rPr>
          <w:szCs w:val="24"/>
          <w:lang w:bidi="en-US"/>
        </w:rPr>
        <w:softHyphen/>
        <w:t>rungen vermitteln und sie in die Lage versetzen, mit „Gefühlen der Befremdung und Unsicherheit, die aus der Konfrontation mit einer fremden Umwelt erwachsen, umzugehen“. Da dieser Trainingsansatz die soziokulturellen und politischen Hintergründe vernachlässigte und primär versuchte, die zu Entsendenden auf die physischen Herausforderungen vorzubereiten, war auch ihm nur wenig Erfolg beschieden.</w:t>
      </w:r>
    </w:p>
    <w:p w14:paraId="68796005" w14:textId="77777777" w:rsidR="0069244A" w:rsidRPr="007F69DA" w:rsidRDefault="0069244A" w:rsidP="0069244A">
      <w:pPr>
        <w:spacing w:line="360" w:lineRule="auto"/>
        <w:jc w:val="both"/>
        <w:rPr>
          <w:szCs w:val="24"/>
          <w:lang w:bidi="en-US"/>
        </w:rPr>
      </w:pPr>
    </w:p>
    <w:p w14:paraId="13658C04" w14:textId="77777777" w:rsidR="0069244A" w:rsidRPr="007F69DA" w:rsidRDefault="0069244A" w:rsidP="0069244A">
      <w:pPr>
        <w:jc w:val="both"/>
        <w:rPr>
          <w:szCs w:val="24"/>
          <w:lang w:bidi="en-US"/>
        </w:rPr>
      </w:pPr>
      <w:r w:rsidRPr="007F69DA">
        <w:rPr>
          <w:szCs w:val="24"/>
          <w:lang w:bidi="en-US"/>
        </w:rPr>
        <w:t xml:space="preserve">Dieses Defizit wollten die sozial- und verhaltenswissenschaftlich begründeten sog. </w:t>
      </w:r>
      <w:r w:rsidRPr="007F69DA">
        <w:rPr>
          <w:iCs/>
          <w:szCs w:val="24"/>
          <w:lang w:bidi="en-US"/>
        </w:rPr>
        <w:t>erfahrungsbezogenen Trainingsansätze</w:t>
      </w:r>
      <w:r w:rsidRPr="007F69DA">
        <w:rPr>
          <w:szCs w:val="24"/>
          <w:lang w:bidi="en-US"/>
        </w:rPr>
        <w:t xml:space="preserve"> beheben. Auf der Basis von Erkenntnissen der </w:t>
      </w:r>
      <w:r w:rsidRPr="007F69DA">
        <w:rPr>
          <w:szCs w:val="24"/>
          <w:lang w:bidi="en-US"/>
        </w:rPr>
        <w:sym w:font="Symbol" w:char="F0DE"/>
      </w:r>
      <w:r w:rsidRPr="007F69DA">
        <w:rPr>
          <w:szCs w:val="24"/>
          <w:lang w:bidi="en-US"/>
        </w:rPr>
        <w:t xml:space="preserve"> Inter</w:t>
      </w:r>
      <w:r w:rsidRPr="007F69DA">
        <w:rPr>
          <w:szCs w:val="24"/>
          <w:lang w:bidi="en-US"/>
        </w:rPr>
        <w:softHyphen/>
        <w:t>kulturellen Psy</w:t>
      </w:r>
      <w:r w:rsidRPr="007F69DA">
        <w:rPr>
          <w:szCs w:val="24"/>
          <w:lang w:bidi="en-US"/>
        </w:rPr>
        <w:softHyphen/>
        <w:t xml:space="preserve">chologie, der Kulturanthropologie und anderer Wissenschaften gehen sie weit über die traditionellen Maßnahmen zur Vorbereitung von Entsandten auf einen Auslandseinsatz (z.B. durch Sprachkurse, länderkundliche Seminare) hinaus und versuchen, interkulturelle Kompetenz authentisch und realitätsnah zu vermitteln – d.h. Wissen, </w:t>
      </w:r>
      <w:r w:rsidRPr="007F69DA">
        <w:rPr>
          <w:szCs w:val="24"/>
          <w:lang w:bidi="en-US"/>
        </w:rPr>
        <w:sym w:font="Symbol" w:char="F0DE"/>
      </w:r>
      <w:r w:rsidRPr="007F69DA">
        <w:rPr>
          <w:szCs w:val="24"/>
          <w:lang w:bidi="en-US"/>
        </w:rPr>
        <w:t xml:space="preserve"> Kulturstandards, Fähigkeiten und Fertigkeiten, welche es ermöglichen, sich an die Zielkultur sozial anzupassen und die gestellten beruflichen Aufgaben effektiv zu bewältigen. Dabei werden die in Abb. 1 zusammengefassten Trainingsmethoden eingesetzt. </w:t>
      </w:r>
    </w:p>
    <w:p w14:paraId="39B93405" w14:textId="77777777" w:rsidR="0069244A" w:rsidRPr="007F69DA" w:rsidRDefault="0069244A" w:rsidP="0069244A">
      <w:pPr>
        <w:jc w:val="both"/>
        <w:rPr>
          <w:szCs w:val="24"/>
          <w:lang w:bidi="en-US"/>
        </w:rPr>
      </w:pPr>
    </w:p>
    <w:p w14:paraId="110D70FF" w14:textId="77777777" w:rsidR="0069244A" w:rsidRPr="007F69DA" w:rsidRDefault="0069244A" w:rsidP="0069244A">
      <w:pPr>
        <w:spacing w:line="360" w:lineRule="auto"/>
        <w:jc w:val="both"/>
        <w:rPr>
          <w:szCs w:val="24"/>
          <w:lang w:bidi="en-US"/>
        </w:rPr>
      </w:pPr>
      <w:r w:rsidRPr="007F69DA">
        <w:rPr>
          <w:szCs w:val="24"/>
          <w:lang w:bidi="en-US"/>
        </w:rPr>
        <w:t xml:space="preserve">. </w:t>
      </w:r>
    </w:p>
    <w:p w14:paraId="4BB49D8F" w14:textId="77777777" w:rsidR="0069244A" w:rsidRPr="00330087" w:rsidRDefault="0069244A" w:rsidP="0069244A">
      <w:pPr>
        <w:spacing w:after="120" w:line="360" w:lineRule="auto"/>
        <w:jc w:val="center"/>
        <w:rPr>
          <w:i/>
          <w:szCs w:val="20"/>
          <w:lang w:eastAsia="de-DE"/>
        </w:rPr>
      </w:pPr>
      <w:bookmarkStart w:id="171" w:name="_Ref282521683"/>
      <w:r w:rsidRPr="00330087">
        <w:rPr>
          <w:i/>
          <w:szCs w:val="20"/>
          <w:lang w:eastAsia="de-DE"/>
        </w:rPr>
        <w:t>Abb.</w:t>
      </w:r>
      <w:bookmarkEnd w:id="171"/>
      <w:r w:rsidRPr="00330087">
        <w:rPr>
          <w:i/>
          <w:szCs w:val="20"/>
          <w:lang w:eastAsia="de-DE"/>
        </w:rPr>
        <w:t xml:space="preserve"> 1: Typologie interkultureller Trainingskonzepte </w:t>
      </w:r>
    </w:p>
    <w:p w14:paraId="6B0D5641" w14:textId="77777777" w:rsidR="0069244A" w:rsidRPr="007F69DA" w:rsidRDefault="0069244A" w:rsidP="0069244A">
      <w:pPr>
        <w:spacing w:after="120" w:line="360" w:lineRule="auto"/>
        <w:jc w:val="center"/>
        <w:rPr>
          <w:szCs w:val="20"/>
          <w:lang w:eastAsia="de-DE"/>
        </w:rPr>
      </w:pPr>
      <w:r w:rsidRPr="007F69DA">
        <w:rPr>
          <w:noProof/>
          <w:szCs w:val="20"/>
          <w:lang w:eastAsia="de-DE"/>
        </w:rPr>
        <w:drawing>
          <wp:inline distT="0" distB="0" distL="0" distR="0" wp14:anchorId="53DE7BA0" wp14:editId="193994BA">
            <wp:extent cx="4115435" cy="2725420"/>
            <wp:effectExtent l="0" t="0" r="0" b="0"/>
            <wp:docPr id="1165961772" name="Grafik 116596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4115435" cy="2725420"/>
                    </a:xfrm>
                    <a:prstGeom prst="rect">
                      <a:avLst/>
                    </a:prstGeom>
                    <a:noFill/>
                  </pic:spPr>
                </pic:pic>
              </a:graphicData>
            </a:graphic>
          </wp:inline>
        </w:drawing>
      </w:r>
    </w:p>
    <w:p w14:paraId="79B2FD9C" w14:textId="77777777" w:rsidR="0069244A" w:rsidRPr="007F69DA" w:rsidRDefault="0069244A" w:rsidP="0069244A">
      <w:pPr>
        <w:spacing w:before="120" w:line="360" w:lineRule="auto"/>
        <w:ind w:left="709" w:hanging="709"/>
        <w:jc w:val="both"/>
        <w:rPr>
          <w:sz w:val="18"/>
          <w:szCs w:val="20"/>
          <w:lang w:eastAsia="de-DE"/>
        </w:rPr>
      </w:pPr>
      <w:r w:rsidRPr="007F69DA">
        <w:rPr>
          <w:sz w:val="18"/>
          <w:szCs w:val="20"/>
          <w:lang w:eastAsia="de-DE"/>
        </w:rPr>
        <w:t>Quelle:</w:t>
      </w:r>
      <w:r w:rsidRPr="007F69DA">
        <w:rPr>
          <w:sz w:val="18"/>
          <w:szCs w:val="20"/>
          <w:lang w:eastAsia="de-DE"/>
        </w:rPr>
        <w:tab/>
        <w:t>Welge/Holtbrügge (2006, S.231).</w:t>
      </w:r>
    </w:p>
    <w:p w14:paraId="62B84F91" w14:textId="77777777" w:rsidR="0069244A" w:rsidRPr="007F69DA" w:rsidRDefault="0069244A" w:rsidP="0069244A">
      <w:pPr>
        <w:jc w:val="both"/>
        <w:rPr>
          <w:szCs w:val="24"/>
          <w:lang w:bidi="en-US"/>
        </w:rPr>
      </w:pPr>
    </w:p>
    <w:p w14:paraId="53D15E4B" w14:textId="77777777" w:rsidR="0069244A" w:rsidRPr="007F69DA" w:rsidRDefault="0069244A" w:rsidP="0069244A">
      <w:pPr>
        <w:spacing w:line="276" w:lineRule="auto"/>
        <w:jc w:val="both"/>
        <w:rPr>
          <w:szCs w:val="24"/>
          <w:lang w:bidi="en-US"/>
        </w:rPr>
      </w:pPr>
      <w:r w:rsidRPr="007F69DA">
        <w:rPr>
          <w:szCs w:val="24"/>
          <w:lang w:bidi="en-US"/>
        </w:rPr>
        <w:t>Entscheidend für den Trainingserfolg ist die Fähigkeit, die in einem letztlich dennoch künstlichen Kontext erworbenen Kompetenzen zu generalisieren und auf Situationen des interkulturellen Alltags zu transferieren. Wie Waxin/Panaccio (2005) nachweisen konnten, vermag erfahrungsorientiertes interkulturelles Training auch die emotionalen und verhaltensbezogenen Facetten interkultureller Kompetenz zu fördern. Dazu konfrontiert man die Trainees mit konkreten Aufgaben oder Konfliktsituationen, die gemeinsam zu lösen sind. Anschließend diskutieren die Teilnehmer über die dabei gewonnenen Erfahrungen (u.a. über Kommunikationsstile und emotionale Reaktionsmuster, fremdkulturelle Normen und Werte).</w:t>
      </w:r>
    </w:p>
    <w:p w14:paraId="221B3D50" w14:textId="77777777" w:rsidR="0069244A" w:rsidRPr="007F69DA" w:rsidRDefault="0069244A" w:rsidP="0069244A">
      <w:pPr>
        <w:spacing w:line="276" w:lineRule="auto"/>
        <w:jc w:val="both"/>
        <w:rPr>
          <w:szCs w:val="24"/>
          <w:lang w:bidi="en-US"/>
        </w:rPr>
      </w:pPr>
    </w:p>
    <w:p w14:paraId="0A0BE648" w14:textId="77777777" w:rsidR="0069244A" w:rsidRPr="007F69DA" w:rsidRDefault="0069244A" w:rsidP="0069244A">
      <w:pPr>
        <w:jc w:val="both"/>
        <w:rPr>
          <w:szCs w:val="24"/>
          <w:lang w:bidi="en-US"/>
        </w:rPr>
      </w:pPr>
      <w:r w:rsidRPr="007F69DA">
        <w:rPr>
          <w:szCs w:val="24"/>
          <w:lang w:bidi="en-US"/>
        </w:rPr>
        <w:t>2. Trainingsformen</w:t>
      </w:r>
    </w:p>
    <w:p w14:paraId="058DFED3" w14:textId="77777777" w:rsidR="0069244A" w:rsidRPr="007F69DA" w:rsidRDefault="0069244A" w:rsidP="0069244A">
      <w:pPr>
        <w:spacing w:line="276" w:lineRule="auto"/>
        <w:jc w:val="both"/>
        <w:rPr>
          <w:szCs w:val="24"/>
          <w:lang w:bidi="en-US"/>
        </w:rPr>
      </w:pPr>
      <w:r w:rsidRPr="007F69DA">
        <w:rPr>
          <w:szCs w:val="24"/>
          <w:lang w:bidi="en-US"/>
        </w:rPr>
        <w:t>2.1 Erfahrungsorientiertes kulturspezifisches Training</w:t>
      </w:r>
    </w:p>
    <w:p w14:paraId="33758DA4" w14:textId="77777777" w:rsidR="0069244A" w:rsidRPr="007F69DA" w:rsidRDefault="0069244A" w:rsidP="0069244A">
      <w:pPr>
        <w:spacing w:line="276" w:lineRule="auto"/>
        <w:jc w:val="both"/>
        <w:rPr>
          <w:szCs w:val="24"/>
          <w:lang w:bidi="en-US"/>
        </w:rPr>
      </w:pPr>
      <w:r w:rsidRPr="007F69DA">
        <w:rPr>
          <w:szCs w:val="24"/>
          <w:lang w:bidi="en-US"/>
        </w:rPr>
        <w:lastRenderedPageBreak/>
        <w:t>Hierbei kommen Techniken zum Einsatz, die auf eine spe</w:t>
      </w:r>
      <w:r w:rsidRPr="007F69DA">
        <w:rPr>
          <w:szCs w:val="24"/>
          <w:lang w:bidi="en-US"/>
        </w:rPr>
        <w:softHyphen/>
        <w:t>zifische Kultur ausgerichtet sind. Anders als traditionelle Workshops konzentrieren sich die bi</w:t>
      </w:r>
      <w:r w:rsidRPr="007F69DA">
        <w:rPr>
          <w:szCs w:val="24"/>
          <w:lang w:bidi="en-US"/>
        </w:rPr>
        <w:softHyphen/>
        <w:t>kul</w:t>
      </w:r>
      <w:r w:rsidRPr="007F69DA">
        <w:rPr>
          <w:szCs w:val="24"/>
          <w:lang w:bidi="en-US"/>
        </w:rPr>
        <w:softHyphen/>
        <w:t>tu</w:t>
      </w:r>
      <w:r w:rsidRPr="007F69DA">
        <w:rPr>
          <w:szCs w:val="24"/>
          <w:lang w:bidi="en-US"/>
        </w:rPr>
        <w:softHyphen/>
        <w:t>re</w:t>
      </w:r>
      <w:r w:rsidRPr="007F69DA">
        <w:rPr>
          <w:szCs w:val="24"/>
          <w:lang w:bidi="en-US"/>
        </w:rPr>
        <w:softHyphen/>
        <w:t>llen Kom</w:t>
      </w:r>
      <w:r w:rsidRPr="007F69DA">
        <w:rPr>
          <w:szCs w:val="24"/>
          <w:lang w:bidi="en-US"/>
        </w:rPr>
        <w:softHyphen/>
        <w:t>munikations-Workshops auf den Kulturraum, in dem die Entsandten sozialisiert wurden, und den Kulturraum, in dem sie tätig werden sollen. Eine spezifische Technik des bikulturellen Kommunikations-Workshops ist das Linguistic Awareness-Training. Die Stärke dieser Technik liegt darin, dass sie den Trainees das Verhältnis zwischen Sprache und Kul</w:t>
      </w:r>
      <w:r w:rsidRPr="007F69DA">
        <w:rPr>
          <w:szCs w:val="24"/>
          <w:lang w:bidi="en-US"/>
        </w:rPr>
        <w:softHyphen/>
        <w:t xml:space="preserve">tur vermittelt (vgl. Müller 2000). Da erfahrungsorientiertes Training – in dieser oder einer anderen Form – höchst zeitaufwendig ist, kann es lernschwache bzw. wenig motivierte Trainees schnell überfordern. Earley/Peterson (2004) sowie Gudykunst et al. (1996) empfehlen deshalb, erfahrungsorientierte mit informationsorientierten zu kombinieren. </w:t>
      </w:r>
    </w:p>
    <w:p w14:paraId="3FC78DC4" w14:textId="77777777" w:rsidR="0069244A" w:rsidRPr="007F69DA" w:rsidRDefault="0069244A" w:rsidP="0069244A">
      <w:pPr>
        <w:spacing w:line="360" w:lineRule="auto"/>
        <w:jc w:val="both"/>
        <w:rPr>
          <w:szCs w:val="24"/>
          <w:lang w:bidi="en-US"/>
        </w:rPr>
      </w:pPr>
    </w:p>
    <w:p w14:paraId="65967317" w14:textId="77777777" w:rsidR="0069244A" w:rsidRPr="007F69DA" w:rsidRDefault="0069244A" w:rsidP="0069244A">
      <w:pPr>
        <w:spacing w:line="360" w:lineRule="auto"/>
        <w:jc w:val="both"/>
        <w:rPr>
          <w:szCs w:val="24"/>
          <w:lang w:bidi="en-US"/>
        </w:rPr>
      </w:pPr>
      <w:r w:rsidRPr="007F69DA">
        <w:rPr>
          <w:szCs w:val="24"/>
          <w:lang w:bidi="en-US"/>
        </w:rPr>
        <w:t xml:space="preserve">2.2 Kulturgenerelle Simulationen &amp; Rollenspiele </w:t>
      </w:r>
    </w:p>
    <w:p w14:paraId="57CA1FDB" w14:textId="77777777" w:rsidR="0069244A" w:rsidRPr="007F69DA" w:rsidRDefault="0069244A" w:rsidP="0069244A">
      <w:pPr>
        <w:jc w:val="both"/>
        <w:rPr>
          <w:szCs w:val="24"/>
          <w:lang w:bidi="en-US"/>
        </w:rPr>
      </w:pPr>
      <w:r w:rsidRPr="007F69DA">
        <w:rPr>
          <w:szCs w:val="24"/>
          <w:lang w:bidi="en-US"/>
        </w:rPr>
        <w:t xml:space="preserve">Die Trainees stellen grundlegende interkulturelle Kontaktsituationen nach und agieren in diesen entsprechend ihrer jeweiligen Rolle. Simulationen wie Bafa Bafa sind so konzipiert, dass die Teilnehmer die Konfrontation mit Fremdheit nachempfinden und dabei möglichst realistisch erleben können, was es bedeutet, ein Fremder zu sein (bis hin zum </w:t>
      </w:r>
      <w:r w:rsidRPr="007F69DA">
        <w:rPr>
          <w:szCs w:val="24"/>
          <w:lang w:bidi="en-US"/>
        </w:rPr>
        <w:sym w:font="Symbol" w:char="F0DE"/>
      </w:r>
      <w:r w:rsidRPr="007F69DA">
        <w:rPr>
          <w:szCs w:val="24"/>
          <w:lang w:bidi="en-US"/>
        </w:rPr>
        <w:t xml:space="preserve"> Kulturschock).</w:t>
      </w:r>
    </w:p>
    <w:p w14:paraId="003500FC" w14:textId="77777777" w:rsidR="0069244A" w:rsidRPr="007F69DA" w:rsidRDefault="0069244A" w:rsidP="0069244A">
      <w:pPr>
        <w:jc w:val="both"/>
        <w:rPr>
          <w:szCs w:val="24"/>
          <w:lang w:bidi="en-US"/>
        </w:rPr>
      </w:pPr>
    </w:p>
    <w:p w14:paraId="0C7370A8" w14:textId="77777777" w:rsidR="0069244A" w:rsidRPr="007F69DA" w:rsidRDefault="0069244A" w:rsidP="0069244A">
      <w:pPr>
        <w:jc w:val="both"/>
        <w:rPr>
          <w:szCs w:val="24"/>
          <w:lang w:bidi="en-US"/>
        </w:rPr>
      </w:pPr>
      <w:r w:rsidRPr="007F69DA">
        <w:rPr>
          <w:szCs w:val="24"/>
          <w:lang w:bidi="en-US"/>
        </w:rPr>
        <w:t xml:space="preserve">Ursprünglich für die Bedürfnisse der </w:t>
      </w:r>
      <w:r w:rsidRPr="007F69DA">
        <w:rPr>
          <w:iCs/>
          <w:szCs w:val="24"/>
          <w:lang w:bidi="en-US"/>
        </w:rPr>
        <w:t xml:space="preserve">amerikanischen Marine </w:t>
      </w:r>
      <w:r w:rsidRPr="007F69DA">
        <w:rPr>
          <w:szCs w:val="24"/>
          <w:lang w:bidi="en-US"/>
        </w:rPr>
        <w:t xml:space="preserve">entwickelt, wurde </w:t>
      </w:r>
      <w:r w:rsidRPr="007F69DA">
        <w:rPr>
          <w:iCs/>
          <w:szCs w:val="24"/>
          <w:lang w:bidi="en-US"/>
        </w:rPr>
        <w:t>Bafa Bafa</w:t>
      </w:r>
      <w:r w:rsidRPr="007F69DA">
        <w:rPr>
          <w:szCs w:val="24"/>
          <w:lang w:bidi="en-US"/>
        </w:rPr>
        <w:t xml:space="preserve"> bspw. auch Bestandteil des Auslandsvorbereitungsprogramms der </w:t>
      </w:r>
      <w:r w:rsidRPr="007F69DA">
        <w:rPr>
          <w:iCs/>
          <w:szCs w:val="24"/>
          <w:lang w:bidi="en-US"/>
        </w:rPr>
        <w:t>Bosch</w:t>
      </w:r>
      <w:r w:rsidRPr="007F69DA">
        <w:rPr>
          <w:szCs w:val="24"/>
          <w:lang w:bidi="en-US"/>
        </w:rPr>
        <w:t>-Gruppe. In dessen Verlauf werden die Kursteilnehmer einer von zwei fiktiven Kulturen zugeteilt. „</w:t>
      </w:r>
      <w:r w:rsidRPr="007F69DA">
        <w:rPr>
          <w:iCs/>
          <w:szCs w:val="24"/>
          <w:lang w:bidi="en-US"/>
        </w:rPr>
        <w:t>Kultur Alpha“</w:t>
      </w:r>
      <w:r w:rsidRPr="007F69DA">
        <w:rPr>
          <w:szCs w:val="24"/>
          <w:lang w:bidi="en-US"/>
        </w:rPr>
        <w:t xml:space="preserve"> ist eine patriarchalisch (oder matriarchalisch) geprägte Gesell</w:t>
      </w:r>
      <w:r w:rsidRPr="007F69DA">
        <w:rPr>
          <w:szCs w:val="24"/>
          <w:lang w:bidi="en-US"/>
        </w:rPr>
        <w:softHyphen/>
        <w:t>schaft, deren Mitglieder freundlich und warmherzig interagieren. Hierbei hilft eine Sprache, die alle beherrschen. Wichtig sind überdies Freundschaften, die durch ein bestimmtes Ritual bekräftigt werden. In der egalitären „</w:t>
      </w:r>
      <w:r w:rsidRPr="007F69DA">
        <w:rPr>
          <w:iCs/>
          <w:szCs w:val="24"/>
          <w:lang w:bidi="en-US"/>
        </w:rPr>
        <w:t>Kultur Beta“</w:t>
      </w:r>
      <w:r w:rsidRPr="007F69DA">
        <w:rPr>
          <w:szCs w:val="24"/>
          <w:lang w:bidi="en-US"/>
        </w:rPr>
        <w:t xml:space="preserve"> dreht sich alles um das Sammeln von „Punkten“. Sie können nur durch den Handel mit anderen gewonnen werden. Eine künstliche, mit Tierlauten durchsetzte „Sprache“ ermöglicht eine rudimentäre „Verständigung“ (vgl. Shirts 1977). </w:t>
      </w:r>
    </w:p>
    <w:p w14:paraId="43B59DD9" w14:textId="77777777" w:rsidR="0069244A" w:rsidRPr="007F69DA" w:rsidRDefault="0069244A" w:rsidP="0069244A">
      <w:pPr>
        <w:jc w:val="both"/>
        <w:rPr>
          <w:szCs w:val="24"/>
          <w:lang w:bidi="en-US"/>
        </w:rPr>
      </w:pPr>
    </w:p>
    <w:p w14:paraId="29755442" w14:textId="77777777" w:rsidR="0069244A" w:rsidRPr="007F69DA" w:rsidRDefault="0069244A" w:rsidP="0069244A">
      <w:pPr>
        <w:jc w:val="both"/>
        <w:rPr>
          <w:szCs w:val="24"/>
          <w:lang w:bidi="en-US"/>
        </w:rPr>
      </w:pPr>
      <w:r w:rsidRPr="007F69DA">
        <w:rPr>
          <w:szCs w:val="24"/>
          <w:lang w:bidi="en-US"/>
        </w:rPr>
        <w:t>Die Kursteilnehmer lernen zunächst, sich entsprechend den Kulturstandards „ihrer Kultur“ zu verhalten. Wie begrüßt man sich? Wie ruft man um Hilfe? Wie hilft man anderen? Wie zeigt man Unsicherheit, Angst (vor Fremden), Ablehnung? Wie äußert man Freude, Zuneigung, Liebe? Wie funktioniert meine Kultur? Wie gehen wir miteinander um? Ist meine Kultur friedlich oder kriegerisch? Will meine Kultur herrschen, beobachten, sich anpassen? Sodann begegnen die Angehörigen der einen den Angehörigen der anderen Kultur. Im anschließenden ‘debriefing‘ erfahren die Akteure, welchen Verhaltensregeln den „Frem</w:t>
      </w:r>
      <w:r w:rsidRPr="007F69DA">
        <w:rPr>
          <w:szCs w:val="24"/>
          <w:lang w:bidi="en-US"/>
        </w:rPr>
        <w:softHyphen/>
        <w:t>den“ vorgegeben waren.</w:t>
      </w:r>
    </w:p>
    <w:p w14:paraId="152E28A5" w14:textId="77777777" w:rsidR="0069244A" w:rsidRPr="007F69DA" w:rsidRDefault="0069244A" w:rsidP="0069244A">
      <w:pPr>
        <w:jc w:val="both"/>
        <w:rPr>
          <w:szCs w:val="24"/>
          <w:lang w:bidi="en-US"/>
        </w:rPr>
      </w:pPr>
    </w:p>
    <w:p w14:paraId="26D9EC0E" w14:textId="77777777" w:rsidR="0069244A" w:rsidRPr="007F69DA" w:rsidRDefault="0069244A" w:rsidP="0069244A">
      <w:pPr>
        <w:jc w:val="both"/>
        <w:rPr>
          <w:szCs w:val="24"/>
          <w:lang w:bidi="en-US"/>
        </w:rPr>
      </w:pPr>
      <w:r w:rsidRPr="007F69DA">
        <w:rPr>
          <w:szCs w:val="24"/>
          <w:lang w:bidi="en-US"/>
        </w:rPr>
        <w:t xml:space="preserve">Ziel von Bafa Bafa ist es, den Teilnehmern Gelegenheit zu geben, durch strukturierte Selbsterfahrung an interkulturelle Sensibilität zu entwickeln. Wie reagiere ich auf Neues, wie auf Zustimmung und wie auf Ablehnung? </w:t>
      </w:r>
    </w:p>
    <w:p w14:paraId="11418BB6" w14:textId="77777777" w:rsidR="0069244A" w:rsidRPr="007F69DA" w:rsidRDefault="0069244A" w:rsidP="0069244A">
      <w:pPr>
        <w:jc w:val="both"/>
        <w:rPr>
          <w:szCs w:val="24"/>
          <w:lang w:bidi="en-US"/>
        </w:rPr>
      </w:pPr>
    </w:p>
    <w:p w14:paraId="1A99888E" w14:textId="77777777" w:rsidR="0069244A" w:rsidRPr="007F69DA" w:rsidRDefault="0069244A" w:rsidP="0069244A">
      <w:pPr>
        <w:jc w:val="both"/>
        <w:rPr>
          <w:szCs w:val="24"/>
          <w:lang w:bidi="en-US"/>
        </w:rPr>
      </w:pPr>
    </w:p>
    <w:p w14:paraId="0F187559" w14:textId="77777777" w:rsidR="0069244A" w:rsidRPr="007F69DA" w:rsidRDefault="0069244A" w:rsidP="0069244A">
      <w:pPr>
        <w:spacing w:line="360" w:lineRule="auto"/>
        <w:jc w:val="both"/>
        <w:rPr>
          <w:szCs w:val="24"/>
          <w:lang w:bidi="en-US"/>
        </w:rPr>
      </w:pPr>
      <w:r w:rsidRPr="007F69DA">
        <w:rPr>
          <w:szCs w:val="24"/>
          <w:lang w:bidi="en-US"/>
        </w:rPr>
        <w:t xml:space="preserve">2.3 Planspiele </w:t>
      </w:r>
    </w:p>
    <w:p w14:paraId="385A8EEE" w14:textId="77777777" w:rsidR="0069244A" w:rsidRPr="007F69DA" w:rsidRDefault="0069244A" w:rsidP="0069244A">
      <w:pPr>
        <w:jc w:val="both"/>
        <w:rPr>
          <w:szCs w:val="24"/>
          <w:lang w:bidi="en-US"/>
        </w:rPr>
      </w:pPr>
      <w:r w:rsidRPr="007F69DA">
        <w:rPr>
          <w:szCs w:val="24"/>
          <w:lang w:bidi="en-US"/>
        </w:rPr>
        <w:t>Diese Trainingsform orientieret sich an der Realität der Arbeitswelt – im Falle von Inter</w:t>
      </w:r>
      <w:r w:rsidRPr="007F69DA">
        <w:rPr>
          <w:szCs w:val="24"/>
          <w:lang w:bidi="en-US"/>
        </w:rPr>
        <w:softHyphen/>
        <w:t>Act an den Geschäftsprozessen eines international tätigen Unterneh</w:t>
      </w:r>
      <w:r w:rsidRPr="007F69DA">
        <w:rPr>
          <w:szCs w:val="24"/>
          <w:lang w:bidi="en-US"/>
        </w:rPr>
        <w:softHyphen/>
        <w:t>mens aus der Textilbranche (vgl. Bolten 2002a/b). Ziel dieses Planspiels ist es, ausländische Geschäftsleute, die von den Trai</w:t>
      </w:r>
      <w:r w:rsidRPr="007F69DA">
        <w:rPr>
          <w:szCs w:val="24"/>
          <w:lang w:bidi="en-US"/>
        </w:rPr>
        <w:softHyphen/>
        <w:t>nees gespielt werden, zur Kooperation zu gewinnen. Da in mehreren Sprachen „verhandelt“ wird, fördert InterAct fachliche, soziale und persönliche Fähigkeiten in einem fremdkulturellen Kontext. Ein weiteres Planspiel ist Atlanticon, welches gleichfalls Geschäfts</w:t>
      </w:r>
      <w:r w:rsidRPr="007F69DA">
        <w:rPr>
          <w:szCs w:val="24"/>
          <w:lang w:bidi="en-US"/>
        </w:rPr>
        <w:softHyphen/>
        <w:t xml:space="preserve">vorgänge eines international tätigen Unternehmens simuliert. Dabei wird das Verhalten der Trainees aufgezeichnet und hinsichtlich der wichtigsten Kriterien interkultureller Kompetenz analysiert (vgl. Stumpf et al. 2003). </w:t>
      </w:r>
    </w:p>
    <w:p w14:paraId="052A11C3" w14:textId="77777777" w:rsidR="0069244A" w:rsidRPr="007F69DA" w:rsidRDefault="0069244A" w:rsidP="0069244A">
      <w:pPr>
        <w:spacing w:line="360" w:lineRule="auto"/>
        <w:jc w:val="both"/>
        <w:rPr>
          <w:szCs w:val="24"/>
          <w:lang w:bidi="en-US"/>
        </w:rPr>
      </w:pPr>
    </w:p>
    <w:p w14:paraId="39F81C63" w14:textId="77777777" w:rsidR="0069244A" w:rsidRPr="007F69DA" w:rsidRDefault="0069244A" w:rsidP="0069244A">
      <w:pPr>
        <w:spacing w:line="360" w:lineRule="auto"/>
        <w:jc w:val="both"/>
        <w:rPr>
          <w:szCs w:val="24"/>
          <w:lang w:bidi="en-US"/>
        </w:rPr>
      </w:pPr>
      <w:r w:rsidRPr="007F69DA">
        <w:rPr>
          <w:szCs w:val="24"/>
          <w:lang w:bidi="en-US"/>
        </w:rPr>
        <w:t>2.4 Interkulturelles Handlungstraining</w:t>
      </w:r>
    </w:p>
    <w:p w14:paraId="7E65E4CB" w14:textId="77777777" w:rsidR="0069244A" w:rsidRPr="008D1F1D" w:rsidRDefault="0069244A" w:rsidP="0069244A">
      <w:pPr>
        <w:spacing w:line="360" w:lineRule="auto"/>
        <w:jc w:val="both"/>
        <w:rPr>
          <w:i/>
          <w:iCs/>
          <w:szCs w:val="24"/>
          <w:lang w:bidi="en-US"/>
        </w:rPr>
      </w:pPr>
      <w:r w:rsidRPr="008D1F1D">
        <w:rPr>
          <w:i/>
          <w:iCs/>
          <w:szCs w:val="24"/>
          <w:lang w:bidi="en-US"/>
        </w:rPr>
        <w:t>Überblick</w:t>
      </w:r>
    </w:p>
    <w:p w14:paraId="26072FFE" w14:textId="77777777" w:rsidR="0069244A" w:rsidRPr="007F69DA" w:rsidRDefault="0069244A" w:rsidP="0069244A">
      <w:pPr>
        <w:spacing w:line="276" w:lineRule="auto"/>
        <w:jc w:val="both"/>
        <w:rPr>
          <w:szCs w:val="24"/>
          <w:lang w:bidi="en-US"/>
        </w:rPr>
      </w:pPr>
      <w:r w:rsidRPr="007F69DA">
        <w:rPr>
          <w:szCs w:val="24"/>
          <w:lang w:bidi="en-US"/>
        </w:rPr>
        <w:t xml:space="preserve">In den frühen 1960er-Jahren wurde der </w:t>
      </w:r>
      <w:r w:rsidRPr="007F69DA">
        <w:rPr>
          <w:iCs/>
          <w:szCs w:val="24"/>
          <w:lang w:bidi="en-US"/>
        </w:rPr>
        <w:t xml:space="preserve">Intercultural Senzitizer entwickelt – einerseits als Instrument zur </w:t>
      </w:r>
      <w:r w:rsidRPr="007F69DA">
        <w:rPr>
          <w:iCs/>
          <w:szCs w:val="24"/>
          <w:lang w:bidi="en-US"/>
        </w:rPr>
        <w:lastRenderedPageBreak/>
        <w:t>Prognose interkulturelle Kompetenz und andererseits als Trainingsmethode für zukünftige Expatriates (vgl. Fiedler et al. 1971).</w:t>
      </w:r>
      <w:r w:rsidRPr="007F69DA">
        <w:rPr>
          <w:szCs w:val="24"/>
          <w:lang w:bidi="en-US"/>
        </w:rPr>
        <w:t xml:space="preserve"> Sog. „Critical Incidents“ stehen im Mittelpunkt dieses auch Culture Assimilator bzw. Kulturassimilator genannten Tests. Zu „kritischen Situationen“ kann es kommen, wenn Angehörige verschiedener Kulturen interagieren. Denn aufgrund unterschiedlicher Normen, Werte, Sitten &amp; Gebräuche sind Missverständnisse absehbar. </w:t>
      </w:r>
    </w:p>
    <w:p w14:paraId="7CC8DAA4" w14:textId="77777777" w:rsidR="0069244A" w:rsidRPr="007F69DA" w:rsidRDefault="0069244A" w:rsidP="0069244A">
      <w:pPr>
        <w:spacing w:line="276" w:lineRule="auto"/>
        <w:jc w:val="both"/>
        <w:rPr>
          <w:szCs w:val="24"/>
          <w:lang w:bidi="en-US"/>
        </w:rPr>
      </w:pPr>
    </w:p>
    <w:p w14:paraId="4078CEB2" w14:textId="77777777" w:rsidR="0069244A" w:rsidRPr="007F69DA" w:rsidRDefault="0069244A" w:rsidP="0069244A">
      <w:pPr>
        <w:spacing w:line="276" w:lineRule="auto"/>
        <w:jc w:val="both"/>
        <w:rPr>
          <w:szCs w:val="24"/>
          <w:lang w:bidi="en-US"/>
        </w:rPr>
      </w:pPr>
      <w:r w:rsidRPr="007F69DA">
        <w:rPr>
          <w:szCs w:val="24"/>
          <w:lang w:bidi="en-US"/>
        </w:rPr>
        <w:t xml:space="preserve">Idealerweise vermittelt ein interkulturelles Handlungstraining - länder- bzw. kulturspezifisch - in </w:t>
      </w:r>
      <w:r w:rsidRPr="007F69DA">
        <w:rPr>
          <w:iCs/>
          <w:szCs w:val="24"/>
          <w:lang w:bidi="en-US"/>
        </w:rPr>
        <w:t>verschiedenen</w:t>
      </w:r>
      <w:r w:rsidRPr="007F69DA">
        <w:rPr>
          <w:szCs w:val="24"/>
          <w:lang w:bidi="en-US"/>
        </w:rPr>
        <w:t xml:space="preserve"> </w:t>
      </w:r>
      <w:r w:rsidRPr="007F69DA">
        <w:rPr>
          <w:iCs/>
          <w:szCs w:val="24"/>
          <w:lang w:bidi="en-US"/>
        </w:rPr>
        <w:t>Verhaltensbereichen</w:t>
      </w:r>
      <w:r w:rsidRPr="007F69DA">
        <w:rPr>
          <w:szCs w:val="24"/>
          <w:lang w:bidi="en-US"/>
        </w:rPr>
        <w:t xml:space="preserve"> Einsichten, Kenntnisse und Fertigkeiten. Hierzu zählt z.B. die Fähigkeit, Nor</w:t>
      </w:r>
      <w:r w:rsidRPr="007F69DA">
        <w:rPr>
          <w:szCs w:val="24"/>
          <w:lang w:bidi="en-US"/>
        </w:rPr>
        <w:softHyphen/>
        <w:t>men, die für angemessenes soziales Verhalten, etwa gegenüber Vorgesetzten, älteren Personen etc., in einem fremden Land bedeutsam sind, zu er</w:t>
      </w:r>
      <w:r w:rsidRPr="007F69DA">
        <w:rPr>
          <w:szCs w:val="24"/>
          <w:lang w:bidi="en-US"/>
        </w:rPr>
        <w:softHyphen/>
        <w:t>ken</w:t>
      </w:r>
      <w:r w:rsidRPr="007F69DA">
        <w:rPr>
          <w:szCs w:val="24"/>
          <w:lang w:bidi="en-US"/>
        </w:rPr>
        <w:softHyphen/>
        <w:t>nen. Denn nur wer weiß, …</w:t>
      </w:r>
    </w:p>
    <w:p w14:paraId="759E6C16" w14:textId="77777777" w:rsidR="0069244A" w:rsidRPr="007F69DA" w:rsidRDefault="0069244A" w:rsidP="008D1F1D">
      <w:pPr>
        <w:widowControl/>
        <w:numPr>
          <w:ilvl w:val="0"/>
          <w:numId w:val="55"/>
        </w:numPr>
        <w:autoSpaceDE/>
        <w:autoSpaceDN/>
        <w:spacing w:line="276" w:lineRule="auto"/>
        <w:ind w:left="993" w:hanging="709"/>
        <w:contextualSpacing/>
        <w:jc w:val="both"/>
        <w:rPr>
          <w:szCs w:val="24"/>
          <w:lang w:bidi="en-US"/>
        </w:rPr>
      </w:pPr>
      <w:r w:rsidRPr="007F69DA">
        <w:rPr>
          <w:szCs w:val="24"/>
          <w:lang w:bidi="en-US"/>
        </w:rPr>
        <w:t xml:space="preserve">warum Verhandlungspartner sich in einer bestimmten, zumeist ungewohnten Weise verhalten (= Kausalattribution) und </w:t>
      </w:r>
    </w:p>
    <w:p w14:paraId="59A577A2" w14:textId="77777777" w:rsidR="0069244A" w:rsidRPr="007F69DA" w:rsidRDefault="0069244A" w:rsidP="008D1F1D">
      <w:pPr>
        <w:widowControl/>
        <w:numPr>
          <w:ilvl w:val="0"/>
          <w:numId w:val="55"/>
        </w:numPr>
        <w:autoSpaceDE/>
        <w:autoSpaceDN/>
        <w:spacing w:line="276" w:lineRule="auto"/>
        <w:ind w:left="993" w:hanging="709"/>
        <w:contextualSpacing/>
        <w:jc w:val="both"/>
        <w:rPr>
          <w:szCs w:val="24"/>
          <w:lang w:bidi="en-US"/>
        </w:rPr>
      </w:pPr>
      <w:r w:rsidRPr="007F69DA">
        <w:rPr>
          <w:szCs w:val="24"/>
          <w:lang w:bidi="en-US"/>
        </w:rPr>
        <w:t xml:space="preserve">welche Ziele sie dabei verfolgen (= Finalattribution), </w:t>
      </w:r>
    </w:p>
    <w:p w14:paraId="3BEB7491" w14:textId="77777777" w:rsidR="0069244A" w:rsidRPr="007F69DA" w:rsidRDefault="0069244A" w:rsidP="0069244A">
      <w:pPr>
        <w:spacing w:line="276" w:lineRule="auto"/>
        <w:jc w:val="both"/>
        <w:rPr>
          <w:szCs w:val="24"/>
          <w:lang w:bidi="en-US"/>
        </w:rPr>
      </w:pPr>
    </w:p>
    <w:p w14:paraId="52E3BC09" w14:textId="77777777" w:rsidR="0069244A" w:rsidRPr="007F69DA" w:rsidRDefault="0069244A" w:rsidP="0069244A">
      <w:pPr>
        <w:spacing w:line="276" w:lineRule="auto"/>
        <w:contextualSpacing/>
        <w:jc w:val="both"/>
        <w:rPr>
          <w:szCs w:val="24"/>
          <w:lang w:bidi="en-US"/>
        </w:rPr>
      </w:pPr>
      <w:r w:rsidRPr="007F69DA">
        <w:rPr>
          <w:szCs w:val="24"/>
          <w:lang w:bidi="en-US"/>
        </w:rPr>
        <w:t>kann soziale Ereignisse sowie interaktives Verhalten vorhersagen und beeinflussen. Eine wichtige Rolle spielt auch die Fähigkeit, mit Lob und Kritik kulturadäquat umzugehen.</w:t>
      </w:r>
    </w:p>
    <w:p w14:paraId="05B18B8D" w14:textId="77777777" w:rsidR="0069244A" w:rsidRPr="007F69DA" w:rsidRDefault="0069244A" w:rsidP="0069244A">
      <w:pPr>
        <w:spacing w:line="276" w:lineRule="auto"/>
        <w:jc w:val="both"/>
        <w:rPr>
          <w:szCs w:val="24"/>
          <w:lang w:bidi="en-US"/>
        </w:rPr>
      </w:pPr>
    </w:p>
    <w:p w14:paraId="07435161" w14:textId="77777777" w:rsidR="0069244A" w:rsidRPr="008D1F1D" w:rsidRDefault="0069244A" w:rsidP="0069244A">
      <w:pPr>
        <w:spacing w:line="276" w:lineRule="auto"/>
        <w:jc w:val="both"/>
        <w:rPr>
          <w:b/>
          <w:i/>
          <w:iCs/>
          <w:szCs w:val="24"/>
          <w:lang w:bidi="en-US"/>
        </w:rPr>
      </w:pPr>
      <w:r w:rsidRPr="008D1F1D">
        <w:rPr>
          <w:i/>
          <w:iCs/>
          <w:szCs w:val="24"/>
          <w:lang w:bidi="en-US"/>
        </w:rPr>
        <w:t>Kulturspezifischer Umgang mit Kritik</w:t>
      </w:r>
      <w:r w:rsidRPr="008D1F1D">
        <w:rPr>
          <w:b/>
          <w:i/>
          <w:iCs/>
          <w:szCs w:val="24"/>
          <w:lang w:bidi="en-US"/>
        </w:rPr>
        <w:t xml:space="preserve"> </w:t>
      </w:r>
    </w:p>
    <w:p w14:paraId="3C95AFB5" w14:textId="77777777" w:rsidR="0069244A" w:rsidRPr="007F69DA" w:rsidRDefault="0069244A" w:rsidP="0069244A">
      <w:pPr>
        <w:spacing w:line="276" w:lineRule="auto"/>
        <w:jc w:val="both"/>
        <w:rPr>
          <w:b/>
          <w:iCs/>
          <w:szCs w:val="24"/>
          <w:lang w:bidi="en-US"/>
        </w:rPr>
      </w:pPr>
      <w:r w:rsidRPr="007F69DA">
        <w:rPr>
          <w:szCs w:val="24"/>
          <w:lang w:bidi="en-US"/>
        </w:rPr>
        <w:t xml:space="preserve">In Deutschland und kulturell ähnlichen Gesellschaften lautet ein Kulturstandard: Kritik ist, wenn sie sachorientiert geäußert wird, grundsätzlich positiv. Die beziehungsorientierten, z.B. südostasiatischen Gesellschaften befolgen ganz andere Regeln. Höherrangige werden grundsätzlich nicht kritisiert, weshalb Vorgesetzte sich erst gegen Ende einer Diskussion bzw. eines Problemlösungsprozesses – d.h. wenn der Ausgang absehbar ist – zu Wort melden. Im Übrigen sind alle Teilnehmer bemüht, nur auf die positiven Ansätze der Beiträge ihrer Vorredner einzugehen. Kritische Anmerkungen werden „überhört“ und nicht mehr aufgegriffen. Diese Technik der </w:t>
      </w:r>
      <w:r w:rsidRPr="007F69DA">
        <w:rPr>
          <w:iCs/>
          <w:szCs w:val="24"/>
          <w:lang w:bidi="en-US"/>
        </w:rPr>
        <w:t>indirekt</w:t>
      </w:r>
      <w:r w:rsidRPr="007F69DA">
        <w:rPr>
          <w:szCs w:val="24"/>
          <w:lang w:bidi="en-US"/>
        </w:rPr>
        <w:t xml:space="preserve">en Kritik ist für Kulturfremde nur schwer erlernbar. </w:t>
      </w:r>
    </w:p>
    <w:p w14:paraId="558298CE" w14:textId="77777777" w:rsidR="0069244A" w:rsidRPr="007F69DA" w:rsidRDefault="0069244A" w:rsidP="0069244A">
      <w:pPr>
        <w:spacing w:line="276" w:lineRule="auto"/>
        <w:jc w:val="both"/>
        <w:rPr>
          <w:szCs w:val="24"/>
          <w:lang w:bidi="en-US"/>
        </w:rPr>
      </w:pPr>
    </w:p>
    <w:p w14:paraId="0E2CFFD0" w14:textId="77777777" w:rsidR="0069244A" w:rsidRPr="007F69DA" w:rsidRDefault="0069244A" w:rsidP="0069244A">
      <w:pPr>
        <w:spacing w:line="276" w:lineRule="auto"/>
        <w:jc w:val="both"/>
        <w:rPr>
          <w:szCs w:val="24"/>
          <w:lang w:bidi="en-US"/>
        </w:rPr>
      </w:pPr>
      <w:r w:rsidRPr="007F69DA">
        <w:rPr>
          <w:szCs w:val="24"/>
          <w:lang w:bidi="en-US"/>
        </w:rPr>
        <w:t>Wie die Negativbeispiele Olympus und Tepco in diesem Zusammenhang belegen, kann die Tabuisierung von Kritik, die Kehrseite des früher bewunderten „Management by Trust“, verantwortlich für den Niedergang großer Unternehmen sein. „So werden schon Schüler und Studenten sozialisiert. Grenzenloses Vertrauen und Loyalität bedeuten aber auch: Kontrollen und Kritik gelten als äußerst unhöflich. Wer es dennoch tut, ist ein Nestbeschmutzer“ (Fromm et al. 2011, S.34).</w:t>
      </w:r>
    </w:p>
    <w:p w14:paraId="6F5E9465" w14:textId="77777777" w:rsidR="0069244A" w:rsidRPr="007F69DA" w:rsidRDefault="0069244A" w:rsidP="0069244A">
      <w:pPr>
        <w:spacing w:line="360" w:lineRule="auto"/>
        <w:jc w:val="both"/>
        <w:rPr>
          <w:szCs w:val="24"/>
          <w:lang w:bidi="en-US"/>
        </w:rPr>
      </w:pPr>
    </w:p>
    <w:p w14:paraId="1A6FCB9F" w14:textId="77777777" w:rsidR="0069244A" w:rsidRPr="007F69DA" w:rsidRDefault="0069244A" w:rsidP="0069244A">
      <w:pPr>
        <w:shd w:val="clear" w:color="auto" w:fill="DEEAF6" w:themeFill="accent1" w:themeFillTint="33"/>
        <w:spacing w:line="360" w:lineRule="auto"/>
        <w:jc w:val="center"/>
        <w:rPr>
          <w:sz w:val="18"/>
          <w:szCs w:val="18"/>
          <w:lang w:bidi="en-US"/>
        </w:rPr>
      </w:pPr>
      <w:r w:rsidRPr="007F69DA">
        <w:rPr>
          <w:sz w:val="18"/>
          <w:szCs w:val="18"/>
          <w:lang w:bidi="en-US"/>
        </w:rPr>
        <w:t>Außenseiter &amp; Nestbeschmutzer</w:t>
      </w:r>
    </w:p>
    <w:p w14:paraId="4DE36003" w14:textId="77777777" w:rsidR="0069244A" w:rsidRPr="007F69DA" w:rsidRDefault="0069244A" w:rsidP="0069244A">
      <w:pPr>
        <w:shd w:val="clear" w:color="auto" w:fill="DEEAF6" w:themeFill="accent1" w:themeFillTint="33"/>
        <w:jc w:val="both"/>
        <w:rPr>
          <w:sz w:val="18"/>
          <w:szCs w:val="18"/>
          <w:lang w:bidi="en-US"/>
        </w:rPr>
      </w:pPr>
      <w:r w:rsidRPr="007F69DA">
        <w:rPr>
          <w:sz w:val="18"/>
          <w:szCs w:val="18"/>
          <w:lang w:bidi="en-US"/>
        </w:rPr>
        <w:t xml:space="preserve">K. Sugaoka wagte es, dem großen japanischen Atomkonzern Tepco Ärger zur machen. […] Sugaoka sieht zwar aus wie ein Japaner. Und er heißt wie ein Japaner. Eigentlich aber ist Sugaoka Amerikaner. Und deswegen war er nicht Teil des Systems. Der Mann mit dem japanischen Gesicht und der amerikanischen Kultur war eine Art Systemfehler. Nicht vorgesehen. Die Geschichte des Systemfehlers begann 1989. Der Sicherheitsexperte des US-Konzerns General Electric (GE) war gerade für eine Routineprüfung in die Kühlanlage des Atomreaktors von Fukushima hinunter geklettert, als er tiefe Risse und ein falsch eingestelltes Ventil entdeckte. Der Ingenieur tat seine Pflicht. Schrieb auf, was er sah. Und wunderte sich, als der AKW-Betreiber Tepco die Schäden später wieder aus seinem Inspektionsprotokoll strich und ihn anwies, die dazugehörigen Videoaufnahmen zu fälschen. Sugaoka glaubte immer noch, das Richtige zu tun, als er die japanische Nuklearaufsicht einschaltete. Doch der löchrige Reaktor lief  weiter, bis er bei dem schweren Erdbeben vom 11. März 2011 zerstört wurde. </w:t>
      </w:r>
    </w:p>
    <w:p w14:paraId="26E73759" w14:textId="77777777" w:rsidR="0069244A" w:rsidRPr="007F69DA" w:rsidRDefault="0069244A" w:rsidP="0069244A">
      <w:pPr>
        <w:shd w:val="clear" w:color="auto" w:fill="DEEAF6" w:themeFill="accent1" w:themeFillTint="33"/>
        <w:jc w:val="both"/>
        <w:rPr>
          <w:sz w:val="18"/>
          <w:szCs w:val="18"/>
          <w:lang w:bidi="en-US"/>
        </w:rPr>
      </w:pPr>
    </w:p>
    <w:p w14:paraId="0F430629" w14:textId="77777777" w:rsidR="0069244A" w:rsidRPr="007F69DA" w:rsidRDefault="0069244A" w:rsidP="0069244A">
      <w:pPr>
        <w:shd w:val="clear" w:color="auto" w:fill="DEEAF6" w:themeFill="accent1" w:themeFillTint="33"/>
        <w:jc w:val="both"/>
        <w:rPr>
          <w:sz w:val="18"/>
          <w:szCs w:val="18"/>
          <w:lang w:bidi="en-US"/>
        </w:rPr>
      </w:pPr>
      <w:r w:rsidRPr="007F69DA">
        <w:rPr>
          <w:sz w:val="18"/>
          <w:szCs w:val="18"/>
          <w:lang w:bidi="en-US"/>
        </w:rPr>
        <w:t>Untersuchungen förderten später zutage, was eigentlich unter der Decke bleiben sollte: Fälschungen, Manipulationen und Vertuschungen aus Jahrzehnten Atom-Management. Viele Tepco-Manager blieben im Amt, wendeten einen Konkurs ab und schirmten ihr Unternehmen erfolgreich gegen Schadenersatzansprüche ab. Sie wahrten ihr Gesicht. Nur Sugaoka, der besonnene Amerikaner mit japanischen Wurzeln, wurde seinerzeit entlassen. Für Kollegen und Vorgesetzte war der Whistleblower ein Verräter. Einer, der sich nicht an die Spielregeln gehalten hatte“ (Fromm et al. 2011, S.34).</w:t>
      </w:r>
    </w:p>
    <w:p w14:paraId="1950088C" w14:textId="77777777" w:rsidR="0069244A" w:rsidRPr="007F69DA" w:rsidRDefault="0069244A" w:rsidP="0069244A">
      <w:pPr>
        <w:spacing w:line="360" w:lineRule="auto"/>
        <w:jc w:val="right"/>
        <w:rPr>
          <w:szCs w:val="24"/>
          <w:lang w:bidi="en-US"/>
        </w:rPr>
      </w:pPr>
    </w:p>
    <w:p w14:paraId="2E64986F" w14:textId="77777777" w:rsidR="0069244A" w:rsidRPr="008D1F1D" w:rsidRDefault="0069244A" w:rsidP="0069244A">
      <w:pPr>
        <w:spacing w:line="360" w:lineRule="auto"/>
        <w:jc w:val="both"/>
        <w:rPr>
          <w:i/>
          <w:iCs/>
          <w:szCs w:val="24"/>
          <w:lang w:bidi="en-US"/>
        </w:rPr>
      </w:pPr>
      <w:r w:rsidRPr="008D1F1D">
        <w:rPr>
          <w:i/>
          <w:iCs/>
          <w:szCs w:val="24"/>
          <w:lang w:bidi="en-US"/>
        </w:rPr>
        <w:t xml:space="preserve">Kulturspezifischer Umgang mit Lob </w:t>
      </w:r>
    </w:p>
    <w:p w14:paraId="6438AF4B" w14:textId="77777777" w:rsidR="0069244A" w:rsidRPr="007F69DA" w:rsidRDefault="0069244A" w:rsidP="0069244A">
      <w:pPr>
        <w:spacing w:line="276" w:lineRule="auto"/>
        <w:jc w:val="both"/>
        <w:rPr>
          <w:szCs w:val="24"/>
          <w:lang w:bidi="en-US"/>
        </w:rPr>
      </w:pPr>
      <w:r w:rsidRPr="007F69DA">
        <w:rPr>
          <w:szCs w:val="24"/>
          <w:lang w:bidi="en-US"/>
        </w:rPr>
        <w:t xml:space="preserve">Nicht nur Kritik, auch Lob ist in konfuzianisch geprägten Gesellschaften geeignet, soziale Beziehungen </w:t>
      </w:r>
      <w:r w:rsidRPr="007F69DA">
        <w:rPr>
          <w:szCs w:val="24"/>
          <w:lang w:bidi="en-US"/>
        </w:rPr>
        <w:lastRenderedPageBreak/>
        <w:t>zu belasten: nämlich dann, wenn Einzelne und nicht die gesamte Gruppe gelobt werden. Denn zum einen hebt individuelles Lob die Einzelperson auf unangemessene Weise aus der Gruppe hervor und zum anderen impliziert es einen sozialen Vergleich, der zu Lasten der nicht gelobten Gruppenmitglieder geht und ihnen das „Gesicht“ nimmt.</w:t>
      </w:r>
    </w:p>
    <w:p w14:paraId="6DA9A955" w14:textId="77777777" w:rsidR="0069244A" w:rsidRPr="007F69DA" w:rsidRDefault="0069244A" w:rsidP="0069244A">
      <w:pPr>
        <w:spacing w:line="276" w:lineRule="auto"/>
        <w:jc w:val="both"/>
        <w:rPr>
          <w:szCs w:val="24"/>
          <w:lang w:bidi="en-US"/>
        </w:rPr>
      </w:pPr>
    </w:p>
    <w:p w14:paraId="20D220F6" w14:textId="77777777" w:rsidR="0069244A" w:rsidRPr="007F69DA" w:rsidRDefault="0069244A" w:rsidP="0069244A">
      <w:pPr>
        <w:spacing w:line="276" w:lineRule="auto"/>
        <w:jc w:val="both"/>
        <w:rPr>
          <w:szCs w:val="24"/>
          <w:lang w:bidi="en-US"/>
        </w:rPr>
      </w:pPr>
      <w:r w:rsidRPr="007F69DA">
        <w:rPr>
          <w:szCs w:val="24"/>
          <w:lang w:bidi="en-US"/>
        </w:rPr>
        <w:t xml:space="preserve">Wie Cushner (1989, S.137f.) ermittelte, wirkt ein Training mit dem Culture-General Assimilator vorbeugend: Studenten, die damit auf einen Auslandsaufenthalt vorbereitet wurden, konnten sich den Lebens- und Arbeitsbedingungen im Zielland besser anpassen und effektivere Problemlösungsstrategien einsetzen. Unternehmen allerdings sind bestrebt, ihre Entsandten nicht kultur-generell, sondern kultur-spezifisch vorzubereiten. Dafür bieten sich u.a. die von A. Thomas entwickelten kultur-spezifischen Trainingsprogramme „Beruflich in …“ an (z.B. Fischer et al. 2007; Thomas/Schenk 2005; Brüch/Thomas 2004). Sie modifizieren die klassische Kritische-Ereignis-Methode insofern, als die Probanden kritische Situationen zwischen Angehörigen unterschiedlicher Kulturen anhand mehrerer Antwortmöglichkeiten interpretieren. Diese Verhaltensoptionen beschreiben mehr oder minder kulturadäquate Reaktionen: von „dem Kulturkreis angemessen“ (= beste Antwort) bis „den Gastgeber vor den Kopf stoßend“ (= schlechteste Antwort). Die Häufigkeit der besten Antworten ist ein Maß der kulturellen Sensibilität des Probanden und lässt Rückschlüsse auf seinen potentiellen Auslandserfolg zu. </w:t>
      </w:r>
    </w:p>
    <w:p w14:paraId="3847333E" w14:textId="77777777" w:rsidR="0069244A" w:rsidRPr="007F69DA" w:rsidRDefault="0069244A" w:rsidP="0069244A">
      <w:pPr>
        <w:spacing w:line="276" w:lineRule="auto"/>
        <w:jc w:val="both"/>
        <w:rPr>
          <w:szCs w:val="24"/>
          <w:lang w:bidi="en-US"/>
        </w:rPr>
      </w:pPr>
    </w:p>
    <w:p w14:paraId="1E859C01" w14:textId="77777777" w:rsidR="0069244A" w:rsidRPr="007F69DA" w:rsidRDefault="0069244A" w:rsidP="0069244A">
      <w:pPr>
        <w:jc w:val="both"/>
        <w:rPr>
          <w:szCs w:val="24"/>
          <w:lang w:bidi="en-US"/>
        </w:rPr>
      </w:pPr>
      <w:bookmarkStart w:id="172" w:name="_Toc417287375"/>
      <w:r w:rsidRPr="007F69DA">
        <w:rPr>
          <w:szCs w:val="24"/>
          <w:lang w:bidi="en-US"/>
        </w:rPr>
        <w:t>3 Trainingsziele</w:t>
      </w:r>
      <w:bookmarkEnd w:id="172"/>
      <w:r w:rsidRPr="007F69DA">
        <w:rPr>
          <w:szCs w:val="24"/>
          <w:lang w:bidi="en-US"/>
        </w:rPr>
        <w:t xml:space="preserve"> </w:t>
      </w:r>
    </w:p>
    <w:p w14:paraId="06BE9AF9" w14:textId="77777777" w:rsidR="0069244A" w:rsidRPr="007F69DA" w:rsidRDefault="0069244A" w:rsidP="0069244A">
      <w:pPr>
        <w:jc w:val="both"/>
        <w:rPr>
          <w:szCs w:val="24"/>
          <w:lang w:bidi="en-US"/>
        </w:rPr>
      </w:pPr>
      <w:r w:rsidRPr="007F69DA">
        <w:rPr>
          <w:szCs w:val="24"/>
          <w:lang w:bidi="en-US"/>
        </w:rPr>
        <w:t xml:space="preserve">Unabhängig davon, welches didaktisch-organisatorische Konzept verfolgt wird, lassen sich folgende </w:t>
      </w:r>
      <w:r w:rsidRPr="007F69DA">
        <w:rPr>
          <w:iCs/>
          <w:szCs w:val="24"/>
          <w:lang w:bidi="en-US"/>
        </w:rPr>
        <w:t>Trainingsziele</w:t>
      </w:r>
      <w:r w:rsidRPr="007F69DA">
        <w:rPr>
          <w:szCs w:val="24"/>
          <w:lang w:bidi="en-US"/>
        </w:rPr>
        <w:t xml:space="preserve"> unterscheiden:</w:t>
      </w:r>
    </w:p>
    <w:p w14:paraId="594BF64E" w14:textId="77777777" w:rsidR="0069244A" w:rsidRPr="007F69DA" w:rsidRDefault="0069244A">
      <w:pPr>
        <w:widowControl/>
        <w:numPr>
          <w:ilvl w:val="0"/>
          <w:numId w:val="56"/>
        </w:numPr>
        <w:autoSpaceDE/>
        <w:autoSpaceDN/>
        <w:contextualSpacing/>
        <w:jc w:val="both"/>
        <w:rPr>
          <w:szCs w:val="24"/>
          <w:lang w:bidi="en-US"/>
        </w:rPr>
      </w:pPr>
      <w:r w:rsidRPr="007F69DA">
        <w:rPr>
          <w:szCs w:val="24"/>
          <w:lang w:bidi="en-US"/>
        </w:rPr>
        <w:t>kogniti</w:t>
      </w:r>
      <w:r w:rsidRPr="007F69DA">
        <w:rPr>
          <w:szCs w:val="24"/>
          <w:lang w:bidi="en-US"/>
        </w:rPr>
        <w:softHyphen/>
        <w:t xml:space="preserve">ve Ziele (u.a. Kenntnis der jeweiligen Kulturstandards, Werte und Bedürfnisse), </w:t>
      </w:r>
    </w:p>
    <w:p w14:paraId="523502D9" w14:textId="77777777" w:rsidR="0069244A" w:rsidRPr="007F69DA" w:rsidRDefault="0069244A">
      <w:pPr>
        <w:widowControl/>
        <w:numPr>
          <w:ilvl w:val="0"/>
          <w:numId w:val="56"/>
        </w:numPr>
        <w:autoSpaceDE/>
        <w:autoSpaceDN/>
        <w:contextualSpacing/>
        <w:jc w:val="both"/>
        <w:rPr>
          <w:szCs w:val="24"/>
          <w:lang w:bidi="en-US"/>
        </w:rPr>
      </w:pPr>
      <w:r w:rsidRPr="007F69DA">
        <w:rPr>
          <w:szCs w:val="24"/>
          <w:lang w:bidi="en-US"/>
        </w:rPr>
        <w:t>af</w:t>
      </w:r>
      <w:r w:rsidRPr="007F69DA">
        <w:rPr>
          <w:szCs w:val="24"/>
          <w:lang w:bidi="en-US"/>
        </w:rPr>
        <w:softHyphen/>
        <w:t xml:space="preserve">fektive Ziele (u.a. Steigerung von Empathiefähigkeit, Toleranz und Weltoffenheit), </w:t>
      </w:r>
    </w:p>
    <w:p w14:paraId="56BB29FA" w14:textId="77777777" w:rsidR="0069244A" w:rsidRPr="007F69DA" w:rsidRDefault="0069244A">
      <w:pPr>
        <w:widowControl/>
        <w:numPr>
          <w:ilvl w:val="0"/>
          <w:numId w:val="56"/>
        </w:numPr>
        <w:autoSpaceDE/>
        <w:autoSpaceDN/>
        <w:contextualSpacing/>
        <w:jc w:val="both"/>
        <w:rPr>
          <w:szCs w:val="24"/>
          <w:lang w:bidi="en-US"/>
        </w:rPr>
      </w:pPr>
      <w:r w:rsidRPr="007F69DA">
        <w:rPr>
          <w:szCs w:val="24"/>
          <w:lang w:bidi="en-US"/>
        </w:rPr>
        <w:t>verhal</w:t>
      </w:r>
      <w:r w:rsidRPr="007F69DA">
        <w:rPr>
          <w:szCs w:val="24"/>
          <w:lang w:bidi="en-US"/>
        </w:rPr>
        <w:softHyphen/>
        <w:t>tensorientierte Ziele (u.a. Handlungssicherheit, Konfliktfähigkeit)Hofstede</w:t>
      </w:r>
    </w:p>
    <w:p w14:paraId="65465248" w14:textId="77777777" w:rsidR="0069244A" w:rsidRPr="007F69DA" w:rsidRDefault="0069244A" w:rsidP="0069244A">
      <w:pPr>
        <w:ind w:left="720"/>
        <w:contextualSpacing/>
        <w:jc w:val="both"/>
        <w:rPr>
          <w:szCs w:val="24"/>
          <w:lang w:bidi="en-US"/>
        </w:rPr>
      </w:pPr>
    </w:p>
    <w:p w14:paraId="55CF74AA" w14:textId="77777777" w:rsidR="0069244A" w:rsidRDefault="0069244A" w:rsidP="0069244A">
      <w:pPr>
        <w:jc w:val="both"/>
        <w:rPr>
          <w:szCs w:val="24"/>
          <w:lang w:bidi="en-US"/>
        </w:rPr>
      </w:pPr>
      <w:r w:rsidRPr="007F69DA">
        <w:rPr>
          <w:szCs w:val="24"/>
          <w:lang w:bidi="en-US"/>
        </w:rPr>
        <w:t xml:space="preserve">Letztlich sollen Entsandte in die Lage versetzen werden, sich während eines Auslandseinsatzes an die jeweiligen fremdkulturellen Bedingungen anzupassen (vgl. Thomas et al. 2003; Thomas 1989). Es liegt auf der Hand, dass dies nur gelingen kann, wenn das Trainingsprogramm alle Bereiche fördert, also die kognitive und die affektive und die Verhaltensebene. Dies ist jedoch nur ausnahmsweise der Fall. Der Intercultural Sensitizer etwa spricht ausschließlich die kognitive Ebene an. Trainingsteilnehmer erwerben nur Wissen darüber, welches Verhalten in kulturell kritischen Situationen angemessen ist. Ob und wie dieses Wissen auch genutzt – d.h. in kulturadäquates Verhalten umgesetzt – wird, ist ungewiss. </w:t>
      </w:r>
    </w:p>
    <w:p w14:paraId="3E3C310B" w14:textId="77777777" w:rsidR="008D1F1D" w:rsidRPr="007F69DA" w:rsidRDefault="008D1F1D" w:rsidP="0069244A">
      <w:pPr>
        <w:jc w:val="both"/>
        <w:rPr>
          <w:szCs w:val="24"/>
          <w:lang w:bidi="en-US"/>
        </w:rPr>
      </w:pPr>
    </w:p>
    <w:p w14:paraId="12BB75CD" w14:textId="77777777" w:rsidR="0069244A" w:rsidRPr="007F69DA" w:rsidRDefault="0069244A" w:rsidP="008D1F1D">
      <w:pPr>
        <w:pStyle w:val="Literatur"/>
        <w:numPr>
          <w:ilvl w:val="0"/>
          <w:numId w:val="0"/>
        </w:numPr>
        <w:spacing w:line="240" w:lineRule="auto"/>
        <w:rPr>
          <w:sz w:val="22"/>
          <w:szCs w:val="22"/>
        </w:rPr>
      </w:pPr>
      <w:r w:rsidRPr="008D1F1D">
        <w:rPr>
          <w:b/>
          <w:bCs w:val="0"/>
          <w:i/>
          <w:sz w:val="22"/>
          <w:szCs w:val="22"/>
          <w:lang w:val="en-GB"/>
        </w:rPr>
        <w:t>Literatur:</w:t>
      </w:r>
      <w:r w:rsidRPr="00330087">
        <w:rPr>
          <w:i/>
          <w:sz w:val="22"/>
          <w:szCs w:val="22"/>
          <w:lang w:val="en-GB"/>
        </w:rPr>
        <w:t xml:space="preserve"> </w:t>
      </w:r>
      <w:r w:rsidRPr="007F69DA">
        <w:rPr>
          <w:sz w:val="22"/>
          <w:szCs w:val="22"/>
          <w:lang w:val="en-GB"/>
        </w:rPr>
        <w:t xml:space="preserve">Adair, W.L.; Brett, J.M.; Okumura, T. (2001): Negotiation Behavior when Cultures Collide. </w:t>
      </w:r>
      <w:r w:rsidRPr="007F69DA">
        <w:rPr>
          <w:sz w:val="22"/>
          <w:szCs w:val="22"/>
          <w:lang w:val="en-US"/>
        </w:rPr>
        <w:t xml:space="preserve">The United States and Japan, Journal of Applied Psychology, 86(3): 371-383.   </w:t>
      </w:r>
      <w:r w:rsidRPr="007F69DA">
        <w:rPr>
          <w:sz w:val="22"/>
          <w:szCs w:val="22"/>
          <w:lang w:val="en-GB"/>
        </w:rPr>
        <w:t xml:space="preserve">Bolten, J. (2002a): Interact 2.0 - Interkulturelles Verhandlungstraining, Sternenfels: Wissenschaft &amp; Praxis. </w:t>
      </w:r>
      <w:r w:rsidRPr="007F69DA">
        <w:rPr>
          <w:sz w:val="22"/>
          <w:szCs w:val="22"/>
          <w:lang w:val="en-US"/>
        </w:rPr>
        <w:t xml:space="preserve">  </w:t>
      </w:r>
      <w:r w:rsidRPr="007F69DA">
        <w:rPr>
          <w:sz w:val="22"/>
          <w:szCs w:val="22"/>
          <w:lang w:val="en-GB"/>
        </w:rPr>
        <w:t xml:space="preserve">Bolten, J. (2002b): InterAct. </w:t>
      </w:r>
      <w:r w:rsidRPr="007F69DA">
        <w:rPr>
          <w:sz w:val="22"/>
          <w:szCs w:val="22"/>
        </w:rPr>
        <w:t xml:space="preserve">Ein wirtschaftsbezogenes interkulturelles Planspiel für die Zielkulturen Australien, China, Chile, Deutschland, Frankreich, Großbritannien, Italien, Niederlande, Russland, Spanien und USA, 2. Aufl., Sternenfels: Wissenschaft &amp; Praxis.    Brüch, A.; Thomas, A. (2004): Beruflich in Südkorea. Trainingsprogramm für Manager, Fach- und Führungskräfte, 2. Aufl., Göttingen: Vandenhoeck &amp; Ruprecht.   </w:t>
      </w:r>
      <w:r w:rsidRPr="007F69DA">
        <w:rPr>
          <w:sz w:val="22"/>
          <w:szCs w:val="22"/>
          <w:lang w:val="en-US"/>
        </w:rPr>
        <w:t xml:space="preserve">Cushner, K. (1989): Assessing the Impact of a Culture-General Assimilator, International Journal of Intercultural Relations, 13(2): 125-146.   </w:t>
      </w:r>
      <w:r w:rsidRPr="007F69DA">
        <w:rPr>
          <w:sz w:val="22"/>
          <w:szCs w:val="22"/>
          <w:lang w:val="en-GB"/>
        </w:rPr>
        <w:t>Earley, C.P.; Peterson, R.S. (2004): The Elusive Cultural Chameleon. Cultural Intelligence as a New Approach to Intercultural Training to Global Manager, Academy of Management Learning and Education, 3(3): 100-115.</w:t>
      </w:r>
      <w:r w:rsidRPr="007F69DA">
        <w:rPr>
          <w:iCs/>
          <w:sz w:val="22"/>
          <w:szCs w:val="22"/>
          <w:lang w:val="en-GB"/>
        </w:rPr>
        <w:t xml:space="preserve">    </w:t>
      </w:r>
      <w:r w:rsidRPr="007F69DA">
        <w:rPr>
          <w:sz w:val="22"/>
          <w:szCs w:val="22"/>
          <w:lang w:val="en-US"/>
        </w:rPr>
        <w:t xml:space="preserve">Fiedler, F.E.; Mitchell, T.; Triandis H.C. (1971): The Culture Assimilator. An Approach to Cross-Cultural Training, Journal of Applied Psychology, 55(2): 95-102.   </w:t>
      </w:r>
      <w:r w:rsidRPr="007F69DA">
        <w:rPr>
          <w:sz w:val="22"/>
          <w:szCs w:val="22"/>
        </w:rPr>
        <w:t xml:space="preserve">Fischer, K.; Dünstl, S.; Thomas, A. (2007): Beruflich in Polen. Trainingsprogramm für Manager, Fach- und Führungskräfte, Göttingen: Vandenhoeck &amp; Ruprecht.   </w:t>
      </w:r>
      <w:r w:rsidRPr="007F69DA">
        <w:rPr>
          <w:sz w:val="22"/>
          <w:szCs w:val="22"/>
          <w:lang w:val="en-US"/>
        </w:rPr>
        <w:t>Gudykunst, W.B.; Guzley, R.M.; Hammer, M.R. (1996): Designing Intercultural Training, in: Landis, D.; Bhagat, R.S. (Ed.), Handbook of Intercultural Training, 2nd Ed., 61-80, Thousand Oaks/CA: Sage.</w:t>
      </w:r>
      <w:r w:rsidRPr="007F69DA">
        <w:rPr>
          <w:iCs/>
          <w:sz w:val="22"/>
          <w:szCs w:val="22"/>
          <w:lang w:val="en-US"/>
        </w:rPr>
        <w:t xml:space="preserve"> </w:t>
      </w:r>
      <w:r w:rsidRPr="007F69DA">
        <w:rPr>
          <w:sz w:val="22"/>
          <w:szCs w:val="22"/>
          <w:lang w:val="en-US"/>
        </w:rPr>
        <w:t xml:space="preserve">   </w:t>
      </w:r>
      <w:r w:rsidRPr="007F69DA">
        <w:rPr>
          <w:sz w:val="22"/>
          <w:szCs w:val="22"/>
        </w:rPr>
        <w:t xml:space="preserve">Herbrand, F. (2000): Interkulturelle Kompetenz. Wettbewerbsvorteil in einer globalisierenden Wirtschaft, Bern: Haupt.   </w:t>
      </w:r>
      <w:r w:rsidRPr="007F69DA">
        <w:rPr>
          <w:sz w:val="22"/>
          <w:szCs w:val="22"/>
          <w:lang w:val="en-US"/>
        </w:rPr>
        <w:t xml:space="preserve">Shirts, R.G. (1977): Bafa Bafa. A Cross-Culture Simulation, Del Mar/CA: Simulation Training Systems.   </w:t>
      </w:r>
      <w:r w:rsidRPr="007F69DA">
        <w:rPr>
          <w:sz w:val="22"/>
          <w:szCs w:val="22"/>
        </w:rPr>
        <w:t xml:space="preserve">Stumpf, S.; Michel, T.; Sokolowski, M.; Wenzel, A. (2003): Verhaltensplanspiel Atlanticon, Wirtschaftspsychologie aktuell, 1(2): 47-53.   Thomas, A. (1989): Interkulturelles </w:t>
      </w:r>
      <w:r w:rsidRPr="007F69DA">
        <w:rPr>
          <w:sz w:val="22"/>
          <w:szCs w:val="22"/>
        </w:rPr>
        <w:lastRenderedPageBreak/>
        <w:t xml:space="preserve">Handlungstraining in der Managerausbildung, Wirtschaftswissenschaftliches Studium, 18(6): 281-287.   Thomas, A. (Hrsg.) (2003): Psychologie interkulturellen Handelns, 2. Aufl., Göttingen: Hogrefe (1. Aufl. = 1996).   Thomas, A.; Schenk, E. (2005): Beruflich in China. Trainingsprogramm für Manager, Fach- und Führungskräfte, 2.Aufl., Göttingen: Vandenhoeck &amp; Ruprecht.   </w:t>
      </w:r>
      <w:r w:rsidRPr="007F69DA">
        <w:rPr>
          <w:sz w:val="22"/>
          <w:szCs w:val="22"/>
          <w:lang w:val="en-US"/>
        </w:rPr>
        <w:t xml:space="preserve">Waxin, M.-F.; Panacccio, A. (2005): Cross-Cultural Training to Facilitate Expatriate Adjustment. </w:t>
      </w:r>
      <w:r w:rsidRPr="007F69DA">
        <w:rPr>
          <w:sz w:val="22"/>
          <w:szCs w:val="22"/>
        </w:rPr>
        <w:t xml:space="preserve">Works! Personnel Review, 34(1): 51-67.  Welge, M.K.; Holtbrügge, D. (2006): Internationales Management, 4. Aufl., Stuttgart: Schäffer-Poeschel. </w:t>
      </w:r>
    </w:p>
    <w:p w14:paraId="0EB060B8" w14:textId="77777777" w:rsidR="00FF7799" w:rsidRPr="008D1F1D" w:rsidRDefault="00FF7799" w:rsidP="008D1F1D">
      <w:pPr>
        <w:keepNext/>
        <w:keepLines/>
        <w:spacing w:before="240" w:line="276" w:lineRule="auto"/>
        <w:jc w:val="both"/>
        <w:outlineLvl w:val="1"/>
        <w:rPr>
          <w:b/>
          <w:bCs/>
          <w:color w:val="2E74B5"/>
          <w:sz w:val="24"/>
        </w:rPr>
      </w:pPr>
      <w:r w:rsidRPr="008D1F1D">
        <w:rPr>
          <w:b/>
          <w:bCs/>
          <w:color w:val="2E74B5"/>
          <w:sz w:val="24"/>
        </w:rPr>
        <w:t>Transferpreise</w:t>
      </w:r>
    </w:p>
    <w:p w14:paraId="1F7B3A54" w14:textId="77777777" w:rsidR="00FF7799" w:rsidRPr="00E73F6F" w:rsidRDefault="00FF7799" w:rsidP="000B3A5C">
      <w:pPr>
        <w:pStyle w:val="StandardText"/>
      </w:pPr>
      <w:r w:rsidRPr="00E73F6F">
        <w:rPr>
          <w:spacing w:val="-2"/>
        </w:rPr>
        <w:t>konzerninterne Verrechnungspreise.</w:t>
      </w:r>
      <w:r w:rsidRPr="00E73F6F">
        <w:rPr>
          <w:noProof/>
        </w:rPr>
        <w:t xml:space="preserve"> </w:t>
      </w:r>
      <w:r w:rsidRPr="00E73F6F">
        <w:t xml:space="preserve">Wer seine Waren nicht nur exportiert, sondern im Ausland auch Niederlassungen, </w:t>
      </w:r>
      <w:r w:rsidR="00AA49CE">
        <w:sym w:font="Symbol" w:char="F0DE"/>
      </w:r>
      <w:r w:rsidR="00AA49CE">
        <w:t xml:space="preserve"> </w:t>
      </w:r>
      <w:r w:rsidRPr="00E73F6F">
        <w:t>Joint Ventures oder eigene</w:t>
      </w:r>
      <w:r w:rsidRPr="00E73F6F">
        <w:rPr>
          <w:spacing w:val="-6"/>
        </w:rPr>
        <w:t xml:space="preserve"> </w:t>
      </w:r>
      <w:r w:rsidRPr="00E73F6F">
        <w:t>Tochtergesellschaften</w:t>
      </w:r>
      <w:r w:rsidRPr="00E73F6F">
        <w:rPr>
          <w:spacing w:val="-5"/>
        </w:rPr>
        <w:t xml:space="preserve"> </w:t>
      </w:r>
      <w:r w:rsidRPr="00E73F6F">
        <w:t>unterhält,</w:t>
      </w:r>
      <w:r w:rsidRPr="00E73F6F">
        <w:rPr>
          <w:spacing w:val="-7"/>
        </w:rPr>
        <w:t xml:space="preserve"> </w:t>
      </w:r>
      <w:r w:rsidRPr="00E73F6F">
        <w:t>der</w:t>
      </w:r>
      <w:r w:rsidRPr="00E73F6F">
        <w:rPr>
          <w:spacing w:val="-4"/>
        </w:rPr>
        <w:t xml:space="preserve"> </w:t>
      </w:r>
      <w:r w:rsidRPr="00E73F6F">
        <w:t>transferiert zwischen diesen Teilgesellschaften regelmäßig Güter und Leistungen. Die dafür verrechneten Preise beeinflussen</w:t>
      </w:r>
      <w:r w:rsidRPr="00E73F6F">
        <w:rPr>
          <w:spacing w:val="-8"/>
        </w:rPr>
        <w:t xml:space="preserve"> </w:t>
      </w:r>
      <w:r w:rsidRPr="00E73F6F">
        <w:t>unmittelbar</w:t>
      </w:r>
      <w:r w:rsidRPr="00E73F6F">
        <w:rPr>
          <w:spacing w:val="-11"/>
        </w:rPr>
        <w:t xml:space="preserve"> </w:t>
      </w:r>
      <w:r w:rsidRPr="00E73F6F">
        <w:t>die</w:t>
      </w:r>
      <w:r w:rsidRPr="00E73F6F">
        <w:rPr>
          <w:spacing w:val="-9"/>
        </w:rPr>
        <w:t xml:space="preserve"> </w:t>
      </w:r>
      <w:r w:rsidRPr="00E73F6F">
        <w:t>(kalkulatorischen)</w:t>
      </w:r>
      <w:r w:rsidRPr="00E73F6F">
        <w:rPr>
          <w:spacing w:val="-9"/>
        </w:rPr>
        <w:t xml:space="preserve"> </w:t>
      </w:r>
      <w:r w:rsidRPr="00E73F6F">
        <w:t>Kosten des Endprodukts. Unternehmen berechnen hierfür Transferpreise, die häufig aber nicht das „wahre“ Tauschverhältnis widerspiegeln.</w:t>
      </w:r>
    </w:p>
    <w:p w14:paraId="557966EE" w14:textId="77777777" w:rsidR="00FF7799" w:rsidRPr="00E73F6F" w:rsidRDefault="00FF7799" w:rsidP="000B3A5C">
      <w:pPr>
        <w:pStyle w:val="StandardText"/>
      </w:pPr>
      <w:r w:rsidRPr="00E73F6F">
        <w:t xml:space="preserve">Zielsetzung des 'intra-corporate pricing' ist es, die </w:t>
      </w:r>
      <w:r w:rsidRPr="00E73F6F">
        <w:rPr>
          <w:spacing w:val="-2"/>
        </w:rPr>
        <w:t>konzerninternen</w:t>
      </w:r>
      <w:r w:rsidRPr="00E73F6F">
        <w:t xml:space="preserve"> </w:t>
      </w:r>
      <w:r w:rsidRPr="00E73F6F">
        <w:rPr>
          <w:spacing w:val="-2"/>
        </w:rPr>
        <w:t xml:space="preserve">Verrechnungspreise </w:t>
      </w:r>
      <w:r w:rsidRPr="00E73F6F">
        <w:rPr>
          <w:spacing w:val="-5"/>
        </w:rPr>
        <w:t xml:space="preserve">für </w:t>
      </w:r>
      <w:r w:rsidRPr="00E73F6F">
        <w:t>Vorleistungen, die man unternehmensintern aus einem Niedrigsteuer-Land bezieht, „möglichst hoch“ anzusetzen (d.h. so, dass sie bei einer Steuerprüfung gerade noch akzeptiert werden können). Dort sammeln sich die Erträge, während ein Großteil der Kosten in der Niederlassung im importierenden Hochsteuerland anfällt, die folglich geringe Gewinne ausweisen kann (vgl. Raupach 1999). Theoretisch</w:t>
      </w:r>
      <w:r w:rsidRPr="00E73F6F">
        <w:rPr>
          <w:spacing w:val="-2"/>
        </w:rPr>
        <w:t xml:space="preserve"> </w:t>
      </w:r>
      <w:r w:rsidRPr="00E73F6F">
        <w:t>versetzt</w:t>
      </w:r>
      <w:r w:rsidRPr="00E73F6F">
        <w:rPr>
          <w:spacing w:val="-1"/>
        </w:rPr>
        <w:t xml:space="preserve"> </w:t>
      </w:r>
      <w:r w:rsidRPr="00E73F6F">
        <w:t>die</w:t>
      </w:r>
      <w:r w:rsidRPr="00E73F6F">
        <w:rPr>
          <w:spacing w:val="-1"/>
        </w:rPr>
        <w:t xml:space="preserve"> </w:t>
      </w:r>
      <w:r w:rsidRPr="00E73F6F">
        <w:t>Strategie</w:t>
      </w:r>
      <w:r w:rsidRPr="00E73F6F">
        <w:rPr>
          <w:spacing w:val="-3"/>
        </w:rPr>
        <w:t xml:space="preserve"> </w:t>
      </w:r>
      <w:r w:rsidRPr="00E73F6F">
        <w:t>des</w:t>
      </w:r>
      <w:r w:rsidRPr="00E73F6F">
        <w:rPr>
          <w:spacing w:val="-1"/>
        </w:rPr>
        <w:t xml:space="preserve"> </w:t>
      </w:r>
      <w:r w:rsidRPr="00E73F6F">
        <w:t>'earnings</w:t>
      </w:r>
      <w:r w:rsidRPr="00E73F6F">
        <w:rPr>
          <w:spacing w:val="-1"/>
        </w:rPr>
        <w:t xml:space="preserve"> </w:t>
      </w:r>
      <w:r w:rsidRPr="00E73F6F">
        <w:t>management'</w:t>
      </w:r>
      <w:r w:rsidRPr="00E73F6F">
        <w:rPr>
          <w:spacing w:val="-2"/>
        </w:rPr>
        <w:t xml:space="preserve"> </w:t>
      </w:r>
      <w:r w:rsidRPr="00E73F6F">
        <w:t>grenzüberschreitend tätige Unternehmen in die Lage, sich die „beste aller Welten“ zu schaffen: Dort produ-zieren, wo Staat und Gesellschaft Vorleistungen und Infrastruktur in höchster Qualität anbieten, die Steuern aber in Ländern entrichten, deren Steuersystem</w:t>
      </w:r>
      <w:r w:rsidRPr="00E73F6F">
        <w:rPr>
          <w:spacing w:val="-12"/>
        </w:rPr>
        <w:t xml:space="preserve"> </w:t>
      </w:r>
      <w:r w:rsidRPr="00E73F6F">
        <w:t>einen</w:t>
      </w:r>
      <w:r w:rsidRPr="00E73F6F">
        <w:rPr>
          <w:spacing w:val="-11"/>
        </w:rPr>
        <w:t xml:space="preserve"> </w:t>
      </w:r>
      <w:r w:rsidRPr="00E73F6F">
        <w:t>vergleichsweise</w:t>
      </w:r>
      <w:r w:rsidRPr="00E73F6F">
        <w:rPr>
          <w:spacing w:val="-11"/>
        </w:rPr>
        <w:t xml:space="preserve"> </w:t>
      </w:r>
      <w:r w:rsidRPr="00E73F6F">
        <w:t>geringen</w:t>
      </w:r>
      <w:r w:rsidRPr="00E73F6F">
        <w:rPr>
          <w:spacing w:val="-11"/>
        </w:rPr>
        <w:t xml:space="preserve"> </w:t>
      </w:r>
      <w:r w:rsidRPr="00E73F6F">
        <w:t>nominalen</w:t>
      </w:r>
      <w:r w:rsidRPr="00E73F6F">
        <w:rPr>
          <w:spacing w:val="-12"/>
        </w:rPr>
        <w:t xml:space="preserve"> </w:t>
      </w:r>
      <w:r w:rsidRPr="00E73F6F">
        <w:t>Steuersatz</w:t>
      </w:r>
      <w:r w:rsidRPr="00E73F6F">
        <w:rPr>
          <w:spacing w:val="-11"/>
        </w:rPr>
        <w:t xml:space="preserve"> </w:t>
      </w:r>
      <w:r w:rsidRPr="00E73F6F">
        <w:t>mit</w:t>
      </w:r>
      <w:r w:rsidRPr="00E73F6F">
        <w:rPr>
          <w:spacing w:val="-11"/>
        </w:rPr>
        <w:t xml:space="preserve"> </w:t>
      </w:r>
      <w:r w:rsidRPr="00E73F6F">
        <w:t>begrenzten Abschreibungsmöglichkeiten kombiniert (vgl. Ivens 2001, S.1682).</w:t>
      </w:r>
    </w:p>
    <w:p w14:paraId="2D6E9E11" w14:textId="77777777" w:rsidR="00FF7799" w:rsidRPr="00E73F6F" w:rsidRDefault="00FF7799" w:rsidP="000B3A5C">
      <w:pPr>
        <w:pStyle w:val="StandardText"/>
      </w:pPr>
      <w:r w:rsidRPr="00E73F6F">
        <w:t>Wie</w:t>
      </w:r>
      <w:r w:rsidRPr="00E73F6F">
        <w:rPr>
          <w:spacing w:val="-2"/>
        </w:rPr>
        <w:t xml:space="preserve"> </w:t>
      </w:r>
      <w:r w:rsidRPr="00E73F6F">
        <w:t>Cravens</w:t>
      </w:r>
      <w:r w:rsidRPr="00E73F6F">
        <w:rPr>
          <w:spacing w:val="-2"/>
        </w:rPr>
        <w:t xml:space="preserve"> </w:t>
      </w:r>
      <w:r w:rsidRPr="00E73F6F">
        <w:t>(1997,</w:t>
      </w:r>
      <w:r w:rsidRPr="00E73F6F">
        <w:rPr>
          <w:spacing w:val="-3"/>
        </w:rPr>
        <w:t xml:space="preserve"> </w:t>
      </w:r>
      <w:r w:rsidRPr="00E73F6F">
        <w:t>S.136)</w:t>
      </w:r>
      <w:r w:rsidRPr="00E73F6F">
        <w:rPr>
          <w:spacing w:val="-3"/>
        </w:rPr>
        <w:t xml:space="preserve"> </w:t>
      </w:r>
      <w:r w:rsidRPr="00E73F6F">
        <w:t>nach</w:t>
      </w:r>
      <w:r w:rsidRPr="00E73F6F">
        <w:rPr>
          <w:spacing w:val="-4"/>
        </w:rPr>
        <w:t xml:space="preserve"> </w:t>
      </w:r>
      <w:r w:rsidRPr="00E73F6F">
        <w:t>einer Befragung</w:t>
      </w:r>
      <w:r w:rsidRPr="00E73F6F">
        <w:rPr>
          <w:spacing w:val="-2"/>
        </w:rPr>
        <w:t xml:space="preserve"> </w:t>
      </w:r>
      <w:r w:rsidRPr="00E73F6F">
        <w:t>von</w:t>
      </w:r>
      <w:r w:rsidRPr="00E73F6F">
        <w:rPr>
          <w:spacing w:val="-2"/>
        </w:rPr>
        <w:t xml:space="preserve"> </w:t>
      </w:r>
      <w:r w:rsidRPr="00E73F6F">
        <w:t>82</w:t>
      </w:r>
      <w:r w:rsidRPr="00E73F6F">
        <w:rPr>
          <w:spacing w:val="-1"/>
        </w:rPr>
        <w:t xml:space="preserve"> </w:t>
      </w:r>
      <w:r w:rsidRPr="00E73F6F">
        <w:t>'US-based</w:t>
      </w:r>
      <w:r w:rsidRPr="00E73F6F">
        <w:rPr>
          <w:spacing w:val="-1"/>
        </w:rPr>
        <w:t xml:space="preserve"> </w:t>
      </w:r>
      <w:r w:rsidRPr="00E73F6F">
        <w:t>multinational firms'</w:t>
      </w:r>
      <w:r w:rsidRPr="00E73F6F">
        <w:rPr>
          <w:spacing w:val="-2"/>
        </w:rPr>
        <w:t xml:space="preserve"> </w:t>
      </w:r>
      <w:r w:rsidRPr="00E73F6F">
        <w:t>berichtet, verfolgten diese</w:t>
      </w:r>
      <w:r w:rsidRPr="00E73F6F">
        <w:rPr>
          <w:spacing w:val="-1"/>
        </w:rPr>
        <w:t xml:space="preserve"> </w:t>
      </w:r>
      <w:r w:rsidRPr="00E73F6F">
        <w:t>„Multis“</w:t>
      </w:r>
      <w:r w:rsidRPr="00E73F6F">
        <w:rPr>
          <w:spacing w:val="-1"/>
        </w:rPr>
        <w:t xml:space="preserve"> </w:t>
      </w:r>
      <w:r w:rsidRPr="00E73F6F">
        <w:t>mit ihrer</w:t>
      </w:r>
      <w:r w:rsidRPr="00E73F6F">
        <w:rPr>
          <w:spacing w:val="-1"/>
        </w:rPr>
        <w:t xml:space="preserve"> </w:t>
      </w:r>
      <w:r w:rsidRPr="00E73F6F">
        <w:t>Transferpreis-Strategie</w:t>
      </w:r>
      <w:r w:rsidRPr="00E73F6F">
        <w:rPr>
          <w:spacing w:val="-1"/>
        </w:rPr>
        <w:t xml:space="preserve"> </w:t>
      </w:r>
      <w:r w:rsidRPr="00E73F6F">
        <w:t>in</w:t>
      </w:r>
      <w:r w:rsidRPr="00E73F6F">
        <w:rPr>
          <w:spacing w:val="-2"/>
        </w:rPr>
        <w:t xml:space="preserve"> </w:t>
      </w:r>
      <w:r w:rsidRPr="00E73F6F">
        <w:t>den 1990er-Jahren tatsächlich vorrangig (= 51%) das Ziel, ihre Steuerbelastung zu reduzieren, steuerrechtlichen Vorgaben Rechnung zu tragen etc. 28% nannten wettbewerbspolitische Ziele, ('to allow a subsidiary to enter a new market at a competitive price') bzw. das Management von Wechselkursrisiken. 21 % stuften Transferpreise</w:t>
      </w:r>
      <w:r w:rsidRPr="00E73F6F">
        <w:rPr>
          <w:spacing w:val="30"/>
        </w:rPr>
        <w:t xml:space="preserve"> </w:t>
      </w:r>
      <w:r w:rsidRPr="00E73F6F">
        <w:t>als</w:t>
      </w:r>
      <w:r w:rsidRPr="00E73F6F">
        <w:rPr>
          <w:spacing w:val="30"/>
        </w:rPr>
        <w:t xml:space="preserve"> </w:t>
      </w:r>
      <w:r w:rsidRPr="00E73F6F">
        <w:t>ein</w:t>
      </w:r>
      <w:r w:rsidRPr="00E73F6F">
        <w:rPr>
          <w:spacing w:val="31"/>
        </w:rPr>
        <w:t xml:space="preserve"> </w:t>
      </w:r>
      <w:r w:rsidRPr="00E73F6F">
        <w:t>Instrument</w:t>
      </w:r>
      <w:r w:rsidRPr="00E73F6F">
        <w:rPr>
          <w:spacing w:val="31"/>
        </w:rPr>
        <w:t xml:space="preserve"> </w:t>
      </w:r>
      <w:r w:rsidRPr="00E73F6F">
        <w:t>des</w:t>
      </w:r>
      <w:r w:rsidRPr="00E73F6F">
        <w:rPr>
          <w:spacing w:val="30"/>
        </w:rPr>
        <w:t xml:space="preserve"> </w:t>
      </w:r>
      <w:r w:rsidRPr="00E73F6F">
        <w:t>Managements</w:t>
      </w:r>
      <w:r w:rsidRPr="00E73F6F">
        <w:rPr>
          <w:spacing w:val="31"/>
        </w:rPr>
        <w:t xml:space="preserve"> </w:t>
      </w:r>
      <w:r w:rsidRPr="00E73F6F">
        <w:t>von</w:t>
      </w:r>
      <w:r w:rsidRPr="00E73F6F">
        <w:rPr>
          <w:spacing w:val="30"/>
        </w:rPr>
        <w:t xml:space="preserve"> </w:t>
      </w:r>
      <w:r w:rsidRPr="00E73F6F">
        <w:rPr>
          <w:spacing w:val="-2"/>
        </w:rPr>
        <w:t>(Wettbewerbs-</w:t>
      </w:r>
      <w:r w:rsidRPr="00E73F6F">
        <w:t>)Beziehungen</w:t>
      </w:r>
      <w:r w:rsidRPr="00E73F6F">
        <w:rPr>
          <w:spacing w:val="-2"/>
        </w:rPr>
        <w:t xml:space="preserve"> </w:t>
      </w:r>
      <w:r w:rsidRPr="00E73F6F">
        <w:t>im</w:t>
      </w:r>
      <w:r w:rsidRPr="00E73F6F">
        <w:rPr>
          <w:spacing w:val="-2"/>
        </w:rPr>
        <w:t xml:space="preserve"> </w:t>
      </w:r>
      <w:r w:rsidRPr="00E73F6F">
        <w:t>Unternehmensverbund</w:t>
      </w:r>
      <w:r w:rsidRPr="00E73F6F">
        <w:rPr>
          <w:spacing w:val="-1"/>
        </w:rPr>
        <w:t xml:space="preserve"> </w:t>
      </w:r>
      <w:r w:rsidRPr="00E73F6F">
        <w:rPr>
          <w:spacing w:val="-4"/>
        </w:rPr>
        <w:t>ein.</w:t>
      </w:r>
    </w:p>
    <w:p w14:paraId="07B2B158" w14:textId="77777777" w:rsidR="00FF7799" w:rsidRPr="00E73F6F" w:rsidRDefault="00FF7799" w:rsidP="000B3A5C">
      <w:pPr>
        <w:pStyle w:val="StandardText"/>
      </w:pPr>
      <w:r w:rsidRPr="00E73F6F">
        <w:t>In</w:t>
      </w:r>
      <w:r w:rsidRPr="00E73F6F">
        <w:rPr>
          <w:spacing w:val="-3"/>
        </w:rPr>
        <w:t xml:space="preserve"> </w:t>
      </w:r>
      <w:r w:rsidRPr="00E73F6F">
        <w:t>dem</w:t>
      </w:r>
      <w:r w:rsidRPr="00E73F6F">
        <w:rPr>
          <w:spacing w:val="-7"/>
        </w:rPr>
        <w:t xml:space="preserve"> </w:t>
      </w:r>
      <w:r w:rsidRPr="00E73F6F">
        <w:t>Maße</w:t>
      </w:r>
      <w:r w:rsidRPr="00E73F6F">
        <w:rPr>
          <w:spacing w:val="-4"/>
        </w:rPr>
        <w:t xml:space="preserve"> </w:t>
      </w:r>
      <w:r w:rsidRPr="00E73F6F">
        <w:t>jedoch,</w:t>
      </w:r>
      <w:r w:rsidRPr="00E73F6F">
        <w:rPr>
          <w:spacing w:val="-5"/>
        </w:rPr>
        <w:t xml:space="preserve"> </w:t>
      </w:r>
      <w:r w:rsidRPr="00E73F6F">
        <w:t>wie</w:t>
      </w:r>
      <w:r w:rsidRPr="00E73F6F">
        <w:rPr>
          <w:spacing w:val="-5"/>
        </w:rPr>
        <w:t xml:space="preserve"> </w:t>
      </w:r>
      <w:r w:rsidRPr="00E73F6F">
        <w:t>die</w:t>
      </w:r>
      <w:r w:rsidRPr="00E73F6F">
        <w:rPr>
          <w:spacing w:val="-4"/>
        </w:rPr>
        <w:t xml:space="preserve"> </w:t>
      </w:r>
      <w:r w:rsidRPr="00E73F6F">
        <w:t>nationalen</w:t>
      </w:r>
      <w:r w:rsidRPr="00E73F6F">
        <w:rPr>
          <w:spacing w:val="-5"/>
        </w:rPr>
        <w:t xml:space="preserve"> </w:t>
      </w:r>
      <w:r w:rsidRPr="00E73F6F">
        <w:t>Finanzbehörden</w:t>
      </w:r>
      <w:r w:rsidRPr="00E73F6F">
        <w:rPr>
          <w:spacing w:val="-5"/>
        </w:rPr>
        <w:t xml:space="preserve"> </w:t>
      </w:r>
      <w:r w:rsidRPr="00E73F6F">
        <w:t>zunehmend</w:t>
      </w:r>
      <w:r w:rsidRPr="00E73F6F">
        <w:rPr>
          <w:spacing w:val="-5"/>
        </w:rPr>
        <w:t xml:space="preserve"> </w:t>
      </w:r>
      <w:r w:rsidRPr="00E73F6F">
        <w:rPr>
          <w:spacing w:val="-2"/>
        </w:rPr>
        <w:t xml:space="preserve">kooperieren, </w:t>
      </w:r>
      <w:r w:rsidRPr="00E73F6F">
        <w:t>„werden die Unternehmen bei der Festsetzung internationaler Transferpreise überwacht. Preisuntergrenze sind die Herstellkosten, auf die ein angemessener Gewinnaufschlag zu berechnen ist. Daneben sind „Arm’s Length-Preise“, also Entgelte,</w:t>
      </w:r>
      <w:r w:rsidRPr="00E73F6F">
        <w:rPr>
          <w:spacing w:val="-11"/>
        </w:rPr>
        <w:t xml:space="preserve"> </w:t>
      </w:r>
      <w:r w:rsidRPr="00E73F6F">
        <w:t>die</w:t>
      </w:r>
      <w:r w:rsidRPr="00E73F6F">
        <w:rPr>
          <w:spacing w:val="-10"/>
        </w:rPr>
        <w:t xml:space="preserve"> </w:t>
      </w:r>
      <w:r w:rsidRPr="00E73F6F">
        <w:t>von</w:t>
      </w:r>
      <w:r w:rsidRPr="00E73F6F">
        <w:rPr>
          <w:spacing w:val="-10"/>
        </w:rPr>
        <w:t xml:space="preserve"> </w:t>
      </w:r>
      <w:r w:rsidRPr="00E73F6F">
        <w:t>unabhängigen</w:t>
      </w:r>
      <w:r w:rsidRPr="00E73F6F">
        <w:rPr>
          <w:spacing w:val="-9"/>
        </w:rPr>
        <w:t xml:space="preserve"> </w:t>
      </w:r>
      <w:r w:rsidRPr="00E73F6F">
        <w:t>Dritten</w:t>
      </w:r>
      <w:r w:rsidRPr="00E73F6F">
        <w:rPr>
          <w:spacing w:val="-9"/>
        </w:rPr>
        <w:t xml:space="preserve"> </w:t>
      </w:r>
      <w:r w:rsidRPr="00E73F6F">
        <w:t>für</w:t>
      </w:r>
      <w:r w:rsidRPr="00E73F6F">
        <w:rPr>
          <w:spacing w:val="-11"/>
        </w:rPr>
        <w:t xml:space="preserve"> </w:t>
      </w:r>
      <w:r w:rsidRPr="00E73F6F">
        <w:t>die</w:t>
      </w:r>
      <w:r w:rsidRPr="00E73F6F">
        <w:rPr>
          <w:spacing w:val="-10"/>
        </w:rPr>
        <w:t xml:space="preserve"> </w:t>
      </w:r>
      <w:r w:rsidRPr="00E73F6F">
        <w:t>betroffenen</w:t>
      </w:r>
      <w:r w:rsidRPr="00E73F6F">
        <w:rPr>
          <w:spacing w:val="-9"/>
        </w:rPr>
        <w:t xml:space="preserve"> </w:t>
      </w:r>
      <w:r w:rsidRPr="00E73F6F">
        <w:t>Waren</w:t>
      </w:r>
      <w:r w:rsidRPr="00E73F6F">
        <w:rPr>
          <w:spacing w:val="-10"/>
        </w:rPr>
        <w:t xml:space="preserve"> </w:t>
      </w:r>
      <w:r w:rsidRPr="00E73F6F">
        <w:t>oder</w:t>
      </w:r>
      <w:r w:rsidRPr="00E73F6F">
        <w:rPr>
          <w:spacing w:val="-10"/>
        </w:rPr>
        <w:t xml:space="preserve"> </w:t>
      </w:r>
      <w:r w:rsidRPr="00E73F6F">
        <w:t>Leistungen zu entrichten wären, gebräuchlich. [...] Neben externen Effekten kann die Transferpreis-Politik auch im Unternehmen Spannungen erzeugen. So können zu hoch angesetzte Transferpreise die Wettbewerbsfähigkeit der davon betroffenen Auslandstochter</w:t>
      </w:r>
      <w:r w:rsidRPr="00E73F6F">
        <w:rPr>
          <w:spacing w:val="44"/>
        </w:rPr>
        <w:t xml:space="preserve"> </w:t>
      </w:r>
      <w:r w:rsidRPr="00E73F6F">
        <w:t>beeinträchtigen,</w:t>
      </w:r>
      <w:r w:rsidRPr="00E73F6F">
        <w:rPr>
          <w:spacing w:val="44"/>
        </w:rPr>
        <w:t xml:space="preserve"> </w:t>
      </w:r>
      <w:r w:rsidRPr="00E73F6F">
        <w:t>das</w:t>
      </w:r>
      <w:r w:rsidRPr="00E73F6F">
        <w:rPr>
          <w:spacing w:val="46"/>
        </w:rPr>
        <w:t xml:space="preserve"> </w:t>
      </w:r>
      <w:r w:rsidRPr="00E73F6F">
        <w:t>lokale</w:t>
      </w:r>
      <w:r w:rsidRPr="00E73F6F">
        <w:rPr>
          <w:spacing w:val="46"/>
        </w:rPr>
        <w:t xml:space="preserve"> </w:t>
      </w:r>
      <w:r w:rsidRPr="00E73F6F">
        <w:t>Management</w:t>
      </w:r>
      <w:r w:rsidRPr="00E73F6F">
        <w:rPr>
          <w:spacing w:val="46"/>
        </w:rPr>
        <w:t xml:space="preserve"> </w:t>
      </w:r>
      <w:r w:rsidRPr="00E73F6F">
        <w:t>und</w:t>
      </w:r>
      <w:r w:rsidRPr="00E73F6F">
        <w:rPr>
          <w:spacing w:val="45"/>
        </w:rPr>
        <w:t xml:space="preserve"> </w:t>
      </w:r>
      <w:r w:rsidRPr="00E73F6F">
        <w:t>die</w:t>
      </w:r>
      <w:r w:rsidRPr="00E73F6F">
        <w:rPr>
          <w:spacing w:val="46"/>
        </w:rPr>
        <w:t xml:space="preserve"> </w:t>
      </w:r>
      <w:r w:rsidRPr="00E73F6F">
        <w:rPr>
          <w:spacing w:val="-2"/>
        </w:rPr>
        <w:t xml:space="preserve">Mitarbeiter </w:t>
      </w:r>
      <w:r w:rsidRPr="00E73F6F">
        <w:t>demotivieren, Spannungen zwischen Tochtergesellschaften erzeugen und damit letztlich kontraproduktiv wirken“ (Diller 2008, S.305).</w:t>
      </w:r>
    </w:p>
    <w:p w14:paraId="6D4A352A" w14:textId="77777777" w:rsidR="00FF7799" w:rsidRPr="00F675AD" w:rsidRDefault="00FF7799" w:rsidP="000B3A5C">
      <w:pPr>
        <w:pStyle w:val="StandardText"/>
        <w:rPr>
          <w:spacing w:val="-2"/>
          <w:sz w:val="22"/>
          <w:szCs w:val="22"/>
        </w:rPr>
      </w:pPr>
      <w:r w:rsidRPr="00F675AD">
        <w:rPr>
          <w:b/>
          <w:i/>
          <w:sz w:val="22"/>
          <w:szCs w:val="22"/>
          <w:lang w:val="en-US"/>
        </w:rPr>
        <w:t>Literatur</w:t>
      </w:r>
      <w:r w:rsidRPr="00F675AD">
        <w:rPr>
          <w:i/>
          <w:sz w:val="22"/>
          <w:szCs w:val="22"/>
          <w:lang w:val="en-US"/>
        </w:rPr>
        <w:t>:</w:t>
      </w:r>
      <w:r w:rsidRPr="00F675AD">
        <w:rPr>
          <w:sz w:val="22"/>
          <w:szCs w:val="22"/>
          <w:lang w:val="en-US"/>
        </w:rPr>
        <w:t xml:space="preserve"> Cravens, K.S. (1997): Examining the Role of Transfer Pricing as a Strategy of</w:t>
      </w:r>
      <w:r w:rsidRPr="00F675AD">
        <w:rPr>
          <w:spacing w:val="40"/>
          <w:sz w:val="22"/>
          <w:szCs w:val="22"/>
          <w:lang w:val="en-US"/>
        </w:rPr>
        <w:t xml:space="preserve"> </w:t>
      </w:r>
      <w:r w:rsidRPr="00F675AD">
        <w:rPr>
          <w:sz w:val="22"/>
          <w:szCs w:val="22"/>
          <w:lang w:val="en-US"/>
        </w:rPr>
        <w:t>Multinational Firms, International Business Review, 6(2): 127-145.</w:t>
      </w:r>
      <w:r w:rsidRPr="00F675AD">
        <w:rPr>
          <w:spacing w:val="40"/>
          <w:sz w:val="22"/>
          <w:szCs w:val="22"/>
          <w:lang w:val="en-US"/>
        </w:rPr>
        <w:t xml:space="preserve"> </w:t>
      </w:r>
      <w:r w:rsidRPr="00F675AD">
        <w:rPr>
          <w:sz w:val="22"/>
          <w:szCs w:val="22"/>
        </w:rPr>
        <w:t>Diller, H. (2008):</w:t>
      </w:r>
      <w:r w:rsidRPr="00F675AD">
        <w:rPr>
          <w:spacing w:val="40"/>
          <w:sz w:val="22"/>
          <w:szCs w:val="22"/>
        </w:rPr>
        <w:t xml:space="preserve"> </w:t>
      </w:r>
      <w:r w:rsidRPr="00F675AD">
        <w:rPr>
          <w:sz w:val="22"/>
          <w:szCs w:val="22"/>
        </w:rPr>
        <w:t>Preispolitik,</w:t>
      </w:r>
      <w:r w:rsidRPr="00F675AD">
        <w:rPr>
          <w:spacing w:val="-6"/>
          <w:sz w:val="22"/>
          <w:szCs w:val="22"/>
        </w:rPr>
        <w:t xml:space="preserve"> </w:t>
      </w:r>
      <w:r w:rsidRPr="00F675AD">
        <w:rPr>
          <w:sz w:val="22"/>
          <w:szCs w:val="22"/>
        </w:rPr>
        <w:t>4.Aufl.,</w:t>
      </w:r>
      <w:r w:rsidRPr="00F675AD">
        <w:rPr>
          <w:spacing w:val="-6"/>
          <w:sz w:val="22"/>
          <w:szCs w:val="22"/>
        </w:rPr>
        <w:t xml:space="preserve"> </w:t>
      </w:r>
      <w:r w:rsidRPr="00F675AD">
        <w:rPr>
          <w:sz w:val="22"/>
          <w:szCs w:val="22"/>
        </w:rPr>
        <w:t>Stuttgart:</w:t>
      </w:r>
      <w:r w:rsidRPr="00F675AD">
        <w:rPr>
          <w:spacing w:val="-6"/>
          <w:sz w:val="22"/>
          <w:szCs w:val="22"/>
        </w:rPr>
        <w:t xml:space="preserve"> </w:t>
      </w:r>
      <w:r w:rsidRPr="00F675AD">
        <w:rPr>
          <w:sz w:val="22"/>
          <w:szCs w:val="22"/>
        </w:rPr>
        <w:t>Kohlhammer.</w:t>
      </w:r>
      <w:r w:rsidRPr="00F675AD">
        <w:rPr>
          <w:spacing w:val="40"/>
          <w:sz w:val="22"/>
          <w:szCs w:val="22"/>
        </w:rPr>
        <w:t xml:space="preserve"> </w:t>
      </w:r>
      <w:r w:rsidRPr="00F675AD">
        <w:rPr>
          <w:sz w:val="22"/>
          <w:szCs w:val="22"/>
        </w:rPr>
        <w:t>Ivens,</w:t>
      </w:r>
      <w:r w:rsidRPr="00F675AD">
        <w:rPr>
          <w:spacing w:val="-4"/>
          <w:sz w:val="22"/>
          <w:szCs w:val="22"/>
        </w:rPr>
        <w:t xml:space="preserve"> </w:t>
      </w:r>
      <w:r w:rsidRPr="00F675AD">
        <w:rPr>
          <w:sz w:val="22"/>
          <w:szCs w:val="22"/>
        </w:rPr>
        <w:t>B.</w:t>
      </w:r>
      <w:r w:rsidRPr="00F675AD">
        <w:rPr>
          <w:spacing w:val="-5"/>
          <w:sz w:val="22"/>
          <w:szCs w:val="22"/>
        </w:rPr>
        <w:t xml:space="preserve"> </w:t>
      </w:r>
      <w:r w:rsidRPr="00F675AD">
        <w:rPr>
          <w:sz w:val="22"/>
          <w:szCs w:val="22"/>
        </w:rPr>
        <w:t>(2001):</w:t>
      </w:r>
      <w:r w:rsidRPr="00F675AD">
        <w:rPr>
          <w:spacing w:val="-6"/>
          <w:sz w:val="22"/>
          <w:szCs w:val="22"/>
        </w:rPr>
        <w:t xml:space="preserve"> </w:t>
      </w:r>
      <w:r w:rsidRPr="00F675AD">
        <w:rPr>
          <w:sz w:val="22"/>
          <w:szCs w:val="22"/>
        </w:rPr>
        <w:t>Transferpreise,</w:t>
      </w:r>
      <w:r w:rsidRPr="00F675AD">
        <w:rPr>
          <w:spacing w:val="-3"/>
          <w:sz w:val="22"/>
          <w:szCs w:val="22"/>
        </w:rPr>
        <w:t xml:space="preserve"> </w:t>
      </w:r>
      <w:r w:rsidRPr="00F675AD">
        <w:rPr>
          <w:sz w:val="22"/>
          <w:szCs w:val="22"/>
        </w:rPr>
        <w:t>in:</w:t>
      </w:r>
      <w:r w:rsidRPr="00F675AD">
        <w:rPr>
          <w:spacing w:val="-6"/>
          <w:sz w:val="22"/>
          <w:szCs w:val="22"/>
        </w:rPr>
        <w:t xml:space="preserve"> </w:t>
      </w:r>
      <w:r w:rsidRPr="00F675AD">
        <w:rPr>
          <w:sz w:val="22"/>
          <w:szCs w:val="22"/>
        </w:rPr>
        <w:t>Diller,</w:t>
      </w:r>
      <w:r w:rsidRPr="00F675AD">
        <w:rPr>
          <w:spacing w:val="-4"/>
          <w:sz w:val="22"/>
          <w:szCs w:val="22"/>
        </w:rPr>
        <w:t xml:space="preserve"> </w:t>
      </w:r>
      <w:r w:rsidRPr="00F675AD">
        <w:rPr>
          <w:sz w:val="22"/>
          <w:szCs w:val="22"/>
        </w:rPr>
        <w:t>H.</w:t>
      </w:r>
      <w:r w:rsidRPr="00F675AD">
        <w:rPr>
          <w:spacing w:val="40"/>
          <w:sz w:val="22"/>
          <w:szCs w:val="22"/>
        </w:rPr>
        <w:t xml:space="preserve"> </w:t>
      </w:r>
      <w:r w:rsidRPr="00F675AD">
        <w:rPr>
          <w:sz w:val="22"/>
          <w:szCs w:val="22"/>
        </w:rPr>
        <w:t>(Hrsg.), Vahlens Großes Marketing Lexikon, 2.Aufl., 1682-1683, München: Vahlen.</w:t>
      </w:r>
      <w:r w:rsidRPr="00F675AD">
        <w:rPr>
          <w:spacing w:val="40"/>
          <w:sz w:val="22"/>
          <w:szCs w:val="22"/>
        </w:rPr>
        <w:t xml:space="preserve"> </w:t>
      </w:r>
      <w:r w:rsidRPr="00F675AD">
        <w:rPr>
          <w:sz w:val="22"/>
          <w:szCs w:val="22"/>
        </w:rPr>
        <w:t>Raupach,</w:t>
      </w:r>
      <w:r w:rsidRPr="00F675AD">
        <w:rPr>
          <w:spacing w:val="-1"/>
          <w:sz w:val="22"/>
          <w:szCs w:val="22"/>
        </w:rPr>
        <w:t xml:space="preserve"> </w:t>
      </w:r>
      <w:r w:rsidRPr="00F675AD">
        <w:rPr>
          <w:sz w:val="22"/>
          <w:szCs w:val="22"/>
        </w:rPr>
        <w:t>A. (1999): Funktionsgerechte</w:t>
      </w:r>
      <w:r w:rsidRPr="00F675AD">
        <w:rPr>
          <w:spacing w:val="-1"/>
          <w:sz w:val="22"/>
          <w:szCs w:val="22"/>
        </w:rPr>
        <w:t xml:space="preserve"> </w:t>
      </w:r>
      <w:r w:rsidRPr="00F675AD">
        <w:rPr>
          <w:sz w:val="22"/>
          <w:szCs w:val="22"/>
        </w:rPr>
        <w:t>Bemessung von Verrechnungspreisen, in:</w:t>
      </w:r>
      <w:r w:rsidRPr="00F675AD">
        <w:rPr>
          <w:spacing w:val="-1"/>
          <w:sz w:val="22"/>
          <w:szCs w:val="22"/>
        </w:rPr>
        <w:t xml:space="preserve"> </w:t>
      </w:r>
      <w:r w:rsidRPr="00F675AD">
        <w:rPr>
          <w:sz w:val="22"/>
          <w:szCs w:val="22"/>
        </w:rPr>
        <w:t>Raupach,</w:t>
      </w:r>
      <w:r w:rsidRPr="00F675AD">
        <w:rPr>
          <w:spacing w:val="40"/>
          <w:sz w:val="22"/>
          <w:szCs w:val="22"/>
        </w:rPr>
        <w:t xml:space="preserve"> </w:t>
      </w:r>
      <w:r w:rsidRPr="00F675AD">
        <w:rPr>
          <w:sz w:val="22"/>
          <w:szCs w:val="22"/>
        </w:rPr>
        <w:t>A.; Pohl, D. (Hrsg.), Verrechnungspreissysteme multinationaler Unternehmen in</w:t>
      </w:r>
      <w:r w:rsidRPr="00F675AD">
        <w:rPr>
          <w:spacing w:val="40"/>
          <w:sz w:val="22"/>
          <w:szCs w:val="22"/>
        </w:rPr>
        <w:t xml:space="preserve"> </w:t>
      </w:r>
      <w:r w:rsidRPr="00F675AD">
        <w:rPr>
          <w:sz w:val="22"/>
          <w:szCs w:val="22"/>
        </w:rPr>
        <w:t>betriebswirtschaftlicher, gesellschafts- und steuerrechtlicher Sicht, Herne: Verlag Neue</w:t>
      </w:r>
      <w:r w:rsidRPr="00F675AD">
        <w:rPr>
          <w:spacing w:val="40"/>
          <w:sz w:val="22"/>
          <w:szCs w:val="22"/>
        </w:rPr>
        <w:t xml:space="preserve"> </w:t>
      </w:r>
      <w:r w:rsidRPr="00F675AD">
        <w:rPr>
          <w:spacing w:val="-2"/>
          <w:sz w:val="22"/>
          <w:szCs w:val="22"/>
        </w:rPr>
        <w:t>Wirtschaftsbriefe.</w:t>
      </w:r>
    </w:p>
    <w:p w14:paraId="52E66EF0" w14:textId="77777777" w:rsidR="00FF7799" w:rsidRPr="00E73F6F" w:rsidRDefault="00FF7799" w:rsidP="000B3A5C">
      <w:pPr>
        <w:pStyle w:val="StandardText"/>
      </w:pPr>
    </w:p>
    <w:p w14:paraId="6D3ACF91" w14:textId="77777777" w:rsidR="00FF7799" w:rsidRPr="008D1F1D" w:rsidRDefault="00FF7799" w:rsidP="008D1F1D">
      <w:pPr>
        <w:keepNext/>
        <w:keepLines/>
        <w:spacing w:before="240" w:line="276" w:lineRule="auto"/>
        <w:jc w:val="both"/>
        <w:outlineLvl w:val="1"/>
        <w:rPr>
          <w:b/>
          <w:bCs/>
          <w:color w:val="2E74B5"/>
          <w:sz w:val="24"/>
        </w:rPr>
      </w:pPr>
      <w:r w:rsidRPr="008D1F1D">
        <w:rPr>
          <w:b/>
          <w:bCs/>
          <w:color w:val="2E74B5"/>
          <w:sz w:val="24"/>
        </w:rPr>
        <w:t>Transnationale Unternehmen</w:t>
      </w:r>
    </w:p>
    <w:p w14:paraId="0439DA7A" w14:textId="77777777" w:rsidR="00FF7799" w:rsidRPr="00E73F6F" w:rsidRDefault="00FF7799" w:rsidP="000B3A5C">
      <w:pPr>
        <w:pStyle w:val="StandardText"/>
      </w:pPr>
      <w:r w:rsidRPr="00E73F6F">
        <w:t>global</w:t>
      </w:r>
      <w:r w:rsidRPr="00E73F6F">
        <w:rPr>
          <w:spacing w:val="-6"/>
        </w:rPr>
        <w:t xml:space="preserve"> </w:t>
      </w:r>
      <w:r w:rsidRPr="00E73F6F">
        <w:t>agierende</w:t>
      </w:r>
      <w:r w:rsidRPr="00E73F6F">
        <w:rPr>
          <w:spacing w:val="-6"/>
        </w:rPr>
        <w:t xml:space="preserve"> </w:t>
      </w:r>
      <w:r w:rsidRPr="00E73F6F">
        <w:t>Unternehmen,</w:t>
      </w:r>
      <w:r w:rsidRPr="00E73F6F">
        <w:rPr>
          <w:spacing w:val="-4"/>
        </w:rPr>
        <w:t xml:space="preserve"> </w:t>
      </w:r>
      <w:r w:rsidRPr="00E73F6F">
        <w:t>für</w:t>
      </w:r>
      <w:r w:rsidRPr="00E73F6F">
        <w:rPr>
          <w:spacing w:val="-6"/>
        </w:rPr>
        <w:t xml:space="preserve"> </w:t>
      </w:r>
      <w:r w:rsidRPr="00E73F6F">
        <w:t>deren</w:t>
      </w:r>
      <w:r w:rsidRPr="00E73F6F">
        <w:rPr>
          <w:spacing w:val="-5"/>
        </w:rPr>
        <w:t xml:space="preserve"> </w:t>
      </w:r>
      <w:r w:rsidRPr="00E73F6F">
        <w:t>Identität,</w:t>
      </w:r>
      <w:r w:rsidRPr="00E73F6F">
        <w:rPr>
          <w:spacing w:val="-6"/>
        </w:rPr>
        <w:t xml:space="preserve"> </w:t>
      </w:r>
      <w:r w:rsidRPr="00E73F6F">
        <w:t>Strategie</w:t>
      </w:r>
      <w:r w:rsidRPr="00E73F6F">
        <w:rPr>
          <w:spacing w:val="-8"/>
        </w:rPr>
        <w:t xml:space="preserve"> </w:t>
      </w:r>
      <w:r w:rsidRPr="00E73F6F">
        <w:t>und</w:t>
      </w:r>
      <w:r w:rsidRPr="00E73F6F">
        <w:rPr>
          <w:spacing w:val="-5"/>
        </w:rPr>
        <w:t xml:space="preserve"> </w:t>
      </w:r>
      <w:r w:rsidRPr="00E73F6F">
        <w:t>Marktauftritt</w:t>
      </w:r>
      <w:r w:rsidRPr="00E73F6F">
        <w:rPr>
          <w:spacing w:val="-7"/>
        </w:rPr>
        <w:t xml:space="preserve"> </w:t>
      </w:r>
      <w:r w:rsidRPr="00E73F6F">
        <w:t>das einstmalige</w:t>
      </w:r>
      <w:r w:rsidRPr="00E73F6F">
        <w:rPr>
          <w:spacing w:val="8"/>
        </w:rPr>
        <w:t xml:space="preserve"> </w:t>
      </w:r>
      <w:r w:rsidRPr="00E73F6F">
        <w:t>Herkunftsland</w:t>
      </w:r>
      <w:r w:rsidRPr="00E73F6F">
        <w:rPr>
          <w:spacing w:val="10"/>
        </w:rPr>
        <w:t xml:space="preserve"> </w:t>
      </w:r>
      <w:r w:rsidRPr="00E73F6F">
        <w:t>keine</w:t>
      </w:r>
      <w:r w:rsidRPr="00E73F6F">
        <w:rPr>
          <w:spacing w:val="8"/>
        </w:rPr>
        <w:t xml:space="preserve"> </w:t>
      </w:r>
      <w:r w:rsidRPr="00E73F6F">
        <w:t>Rolle</w:t>
      </w:r>
      <w:r w:rsidRPr="00E73F6F">
        <w:rPr>
          <w:spacing w:val="10"/>
        </w:rPr>
        <w:t xml:space="preserve"> </w:t>
      </w:r>
      <w:r w:rsidRPr="00E73F6F">
        <w:t>mehr</w:t>
      </w:r>
      <w:r w:rsidRPr="00E73F6F">
        <w:rPr>
          <w:spacing w:val="11"/>
        </w:rPr>
        <w:t xml:space="preserve"> </w:t>
      </w:r>
      <w:r w:rsidRPr="00E73F6F">
        <w:t>spielt.</w:t>
      </w:r>
      <w:r w:rsidRPr="00E73F6F">
        <w:rPr>
          <w:spacing w:val="17"/>
        </w:rPr>
        <w:t xml:space="preserve"> </w:t>
      </w:r>
      <w:r w:rsidRPr="00E73F6F">
        <w:t>Transnationale</w:t>
      </w:r>
      <w:r w:rsidRPr="00E73F6F">
        <w:rPr>
          <w:spacing w:val="12"/>
        </w:rPr>
        <w:t xml:space="preserve"> </w:t>
      </w:r>
      <w:r w:rsidRPr="00E73F6F">
        <w:rPr>
          <w:spacing w:val="-2"/>
        </w:rPr>
        <w:t xml:space="preserve">Unternehmen </w:t>
      </w:r>
      <w:r w:rsidRPr="00E73F6F">
        <w:t>„versuchen, globale Effizienz, lokale Anpassungsfähigkeit und weltweite Lernfähigkeit</w:t>
      </w:r>
      <w:r w:rsidRPr="00E73F6F">
        <w:rPr>
          <w:spacing w:val="-12"/>
        </w:rPr>
        <w:t xml:space="preserve"> </w:t>
      </w:r>
      <w:r w:rsidRPr="00E73F6F">
        <w:t>[miteinander]</w:t>
      </w:r>
      <w:r w:rsidRPr="00E73F6F">
        <w:rPr>
          <w:spacing w:val="-11"/>
        </w:rPr>
        <w:t xml:space="preserve"> </w:t>
      </w:r>
      <w:r w:rsidRPr="00E73F6F">
        <w:t>zu</w:t>
      </w:r>
      <w:r w:rsidRPr="00E73F6F">
        <w:rPr>
          <w:spacing w:val="-11"/>
        </w:rPr>
        <w:t xml:space="preserve"> </w:t>
      </w:r>
      <w:r w:rsidRPr="00E73F6F">
        <w:t>verbinden.</w:t>
      </w:r>
      <w:r w:rsidRPr="00E73F6F">
        <w:rPr>
          <w:spacing w:val="-11"/>
        </w:rPr>
        <w:t xml:space="preserve"> </w:t>
      </w:r>
      <w:r w:rsidRPr="00E73F6F">
        <w:t>Durch</w:t>
      </w:r>
      <w:r w:rsidRPr="00E73F6F">
        <w:rPr>
          <w:spacing w:val="-12"/>
        </w:rPr>
        <w:t xml:space="preserve"> </w:t>
      </w:r>
      <w:r w:rsidRPr="00E73F6F">
        <w:t>eine</w:t>
      </w:r>
      <w:r w:rsidRPr="00E73F6F">
        <w:rPr>
          <w:spacing w:val="-11"/>
        </w:rPr>
        <w:t xml:space="preserve"> </w:t>
      </w:r>
      <w:r w:rsidRPr="00E73F6F">
        <w:t>netzwerkartige</w:t>
      </w:r>
      <w:r w:rsidRPr="00E73F6F">
        <w:rPr>
          <w:spacing w:val="-11"/>
        </w:rPr>
        <w:t xml:space="preserve"> </w:t>
      </w:r>
      <w:r w:rsidRPr="00E73F6F">
        <w:t>Organisation sollen weitgestreute und interdependente Werte und Ressourcen genutzt werden“ (Kutschker/Schmid 2011, S.298).</w:t>
      </w:r>
    </w:p>
    <w:p w14:paraId="3A7F23E8" w14:textId="77777777" w:rsidR="00FF7799" w:rsidRPr="00F675AD" w:rsidRDefault="00FF7799" w:rsidP="000B3A5C">
      <w:pPr>
        <w:pStyle w:val="StandardText"/>
        <w:rPr>
          <w:sz w:val="22"/>
          <w:szCs w:val="22"/>
        </w:rPr>
      </w:pPr>
      <w:r w:rsidRPr="00F675AD">
        <w:rPr>
          <w:b/>
          <w:i/>
          <w:sz w:val="22"/>
          <w:szCs w:val="22"/>
        </w:rPr>
        <w:t>Literatur</w:t>
      </w:r>
      <w:r w:rsidRPr="00F675AD">
        <w:rPr>
          <w:i/>
          <w:sz w:val="22"/>
          <w:szCs w:val="22"/>
        </w:rPr>
        <w:t>:</w:t>
      </w:r>
      <w:r w:rsidRPr="00F675AD">
        <w:rPr>
          <w:sz w:val="22"/>
          <w:szCs w:val="22"/>
        </w:rPr>
        <w:t xml:space="preserve"> Kutschker, M.; Schmid, S. (2011): Internationales Management, 7.Aufl.,</w:t>
      </w:r>
      <w:r w:rsidRPr="00F675AD">
        <w:rPr>
          <w:spacing w:val="40"/>
          <w:sz w:val="22"/>
          <w:szCs w:val="22"/>
        </w:rPr>
        <w:t xml:space="preserve"> </w:t>
      </w:r>
      <w:r w:rsidRPr="00F675AD">
        <w:rPr>
          <w:sz w:val="22"/>
          <w:szCs w:val="22"/>
        </w:rPr>
        <w:t>München: Oldenbourg.</w:t>
      </w:r>
    </w:p>
    <w:p w14:paraId="3A914DDA" w14:textId="77777777" w:rsidR="00FF7799" w:rsidRPr="00F675AD" w:rsidRDefault="00FF7799" w:rsidP="000B3A5C">
      <w:pPr>
        <w:pStyle w:val="StandardText"/>
        <w:rPr>
          <w:sz w:val="22"/>
          <w:szCs w:val="22"/>
        </w:rPr>
      </w:pPr>
    </w:p>
    <w:p w14:paraId="7364847A" w14:textId="77777777" w:rsidR="00FF7799" w:rsidRPr="00E73F6F" w:rsidRDefault="00FF7799" w:rsidP="00283937">
      <w:pPr>
        <w:pStyle w:val="berschrift1"/>
      </w:pPr>
      <w:r w:rsidRPr="008D1F1D">
        <w:rPr>
          <w:color w:val="2E74B5"/>
        </w:rPr>
        <w:t>Transparency International</w:t>
      </w:r>
      <w:r w:rsidRPr="00E73F6F">
        <w:rPr>
          <w:spacing w:val="-3"/>
        </w:rPr>
        <w:t xml:space="preserve"> </w:t>
      </w:r>
      <w:r w:rsidRPr="00E73F6F">
        <w:rPr>
          <w:b w:val="0"/>
        </w:rPr>
        <w:t>→</w:t>
      </w:r>
      <w:r w:rsidRPr="00E73F6F">
        <w:rPr>
          <w:b w:val="0"/>
          <w:spacing w:val="-3"/>
        </w:rPr>
        <w:t xml:space="preserve"> </w:t>
      </w:r>
      <w:r w:rsidRPr="00E73F6F">
        <w:rPr>
          <w:b w:val="0"/>
          <w:spacing w:val="-2"/>
        </w:rPr>
        <w:t>Korruption</w:t>
      </w:r>
    </w:p>
    <w:p w14:paraId="723B25D1" w14:textId="77777777" w:rsidR="00FF7799" w:rsidRPr="008D1F1D" w:rsidRDefault="00FF7799" w:rsidP="008D1F1D">
      <w:pPr>
        <w:keepNext/>
        <w:keepLines/>
        <w:spacing w:before="240" w:line="276" w:lineRule="auto"/>
        <w:jc w:val="both"/>
        <w:outlineLvl w:val="1"/>
        <w:rPr>
          <w:b/>
          <w:bCs/>
          <w:color w:val="2E74B5"/>
          <w:sz w:val="24"/>
        </w:rPr>
      </w:pPr>
      <w:r w:rsidRPr="008D1F1D">
        <w:rPr>
          <w:b/>
          <w:bCs/>
          <w:color w:val="2E74B5"/>
          <w:sz w:val="24"/>
        </w:rPr>
        <w:t>Universal Appeal</w:t>
      </w:r>
    </w:p>
    <w:p w14:paraId="6226B989" w14:textId="77777777" w:rsidR="00FF7799" w:rsidRPr="00E73F6F" w:rsidRDefault="00FF7799" w:rsidP="00D6697D">
      <w:pPr>
        <w:pStyle w:val="StandardText"/>
      </w:pPr>
      <w:r w:rsidRPr="00E73F6F">
        <w:t xml:space="preserve">Werbeappelle bzw. Werbebotschaften, die, unabhängig von der Landeskultur, welcher die jeweilige </w:t>
      </w:r>
      <w:r w:rsidR="00F3160E">
        <w:sym w:font="Symbol" w:char="F0DE"/>
      </w:r>
      <w:r w:rsidR="00F3160E">
        <w:t xml:space="preserve"> </w:t>
      </w:r>
      <w:r w:rsidRPr="00E73F6F">
        <w:t>Zielgruppe angehört, auf alle Menschen prinzipiell gleichermaßen anziehend oder abstoßend wirken und überall gleichartig verstanden werden, weil sie weltweit verbreitete Bedürfnisse z.B. nach (körperlicher) Attraktivität, Prestige und Schönheit thematisieren (vgl. Müller 1997, S.16ff). Davon abgesehen lösen weltweit vor allem Gesundheit, Entspannung sowie Spaß positive Assoziationen aus (vgl. Whitelock/Chung 1984). Botschaften, die sich dieser Emotionen bzw. Werte bedienen, eignen sich mehr als andere für standardisierte Kommunikationsstrategien. Anders als bei emotionalen</w:t>
      </w:r>
      <w:r w:rsidRPr="00E73F6F">
        <w:rPr>
          <w:spacing w:val="-12"/>
        </w:rPr>
        <w:t xml:space="preserve"> </w:t>
      </w:r>
      <w:r w:rsidRPr="00E73F6F">
        <w:t>Werbestrategien</w:t>
      </w:r>
      <w:r w:rsidRPr="00E73F6F">
        <w:rPr>
          <w:spacing w:val="-11"/>
        </w:rPr>
        <w:t xml:space="preserve"> </w:t>
      </w:r>
      <w:r w:rsidRPr="00E73F6F">
        <w:t>spielen</w:t>
      </w:r>
      <w:r w:rsidRPr="00E73F6F">
        <w:rPr>
          <w:spacing w:val="-11"/>
        </w:rPr>
        <w:t xml:space="preserve"> </w:t>
      </w:r>
      <w:r w:rsidRPr="00E73F6F">
        <w:t>'universal</w:t>
      </w:r>
      <w:r w:rsidRPr="00E73F6F">
        <w:rPr>
          <w:spacing w:val="-11"/>
        </w:rPr>
        <w:t xml:space="preserve"> </w:t>
      </w:r>
      <w:r w:rsidRPr="00E73F6F">
        <w:t>appeals'</w:t>
      </w:r>
      <w:r w:rsidRPr="00E73F6F">
        <w:rPr>
          <w:spacing w:val="-12"/>
        </w:rPr>
        <w:t xml:space="preserve"> </w:t>
      </w:r>
      <w:r w:rsidRPr="00E73F6F">
        <w:t>bei</w:t>
      </w:r>
      <w:r w:rsidRPr="00E73F6F">
        <w:rPr>
          <w:spacing w:val="-11"/>
        </w:rPr>
        <w:t xml:space="preserve"> </w:t>
      </w:r>
      <w:r w:rsidRPr="00E73F6F">
        <w:t>informativer</w:t>
      </w:r>
      <w:r w:rsidRPr="00E73F6F">
        <w:rPr>
          <w:spacing w:val="-11"/>
        </w:rPr>
        <w:t xml:space="preserve"> </w:t>
      </w:r>
      <w:r w:rsidRPr="00E73F6F">
        <w:t>Werbung eine geringe Rolle. Denn es wird davon ausgegangen, dass deren Standardisierungspotenzial generell größer ist.</w:t>
      </w:r>
    </w:p>
    <w:p w14:paraId="02A8AB4B" w14:textId="77777777" w:rsidR="00FF7799" w:rsidRPr="00F675AD" w:rsidRDefault="00FF7799" w:rsidP="00D6697D">
      <w:pPr>
        <w:pStyle w:val="StandardText"/>
        <w:rPr>
          <w:sz w:val="22"/>
          <w:szCs w:val="22"/>
          <w:lang w:val="en-US"/>
        </w:rPr>
      </w:pPr>
      <w:r w:rsidRPr="00F675AD">
        <w:rPr>
          <w:b/>
          <w:i/>
          <w:sz w:val="22"/>
          <w:szCs w:val="22"/>
        </w:rPr>
        <w:t>Literatur:</w:t>
      </w:r>
      <w:r w:rsidRPr="00F675AD">
        <w:rPr>
          <w:b/>
          <w:spacing w:val="40"/>
          <w:sz w:val="22"/>
          <w:szCs w:val="22"/>
        </w:rPr>
        <w:t xml:space="preserve"> </w:t>
      </w:r>
      <w:r w:rsidRPr="00F675AD">
        <w:rPr>
          <w:sz w:val="22"/>
          <w:szCs w:val="22"/>
        </w:rPr>
        <w:t>Müller,</w:t>
      </w:r>
      <w:r w:rsidRPr="00F675AD">
        <w:rPr>
          <w:spacing w:val="40"/>
          <w:sz w:val="22"/>
          <w:szCs w:val="22"/>
        </w:rPr>
        <w:t xml:space="preserve"> </w:t>
      </w:r>
      <w:r w:rsidRPr="00F675AD">
        <w:rPr>
          <w:sz w:val="22"/>
          <w:szCs w:val="22"/>
        </w:rPr>
        <w:t>W.G.</w:t>
      </w:r>
      <w:r w:rsidRPr="00F675AD">
        <w:rPr>
          <w:spacing w:val="40"/>
          <w:sz w:val="22"/>
          <w:szCs w:val="22"/>
        </w:rPr>
        <w:t xml:space="preserve"> </w:t>
      </w:r>
      <w:r w:rsidRPr="00F675AD">
        <w:rPr>
          <w:sz w:val="22"/>
          <w:szCs w:val="22"/>
        </w:rPr>
        <w:t>(1997):</w:t>
      </w:r>
      <w:r w:rsidRPr="00F675AD">
        <w:rPr>
          <w:spacing w:val="40"/>
          <w:sz w:val="22"/>
          <w:szCs w:val="22"/>
        </w:rPr>
        <w:t xml:space="preserve"> </w:t>
      </w:r>
      <w:r w:rsidRPr="00F675AD">
        <w:rPr>
          <w:sz w:val="22"/>
          <w:szCs w:val="22"/>
        </w:rPr>
        <w:t>Interkulturelle</w:t>
      </w:r>
      <w:r w:rsidRPr="00F675AD">
        <w:rPr>
          <w:spacing w:val="40"/>
          <w:sz w:val="22"/>
          <w:szCs w:val="22"/>
        </w:rPr>
        <w:t xml:space="preserve"> </w:t>
      </w:r>
      <w:r w:rsidRPr="00F675AD">
        <w:rPr>
          <w:sz w:val="22"/>
          <w:szCs w:val="22"/>
        </w:rPr>
        <w:t>Werbung,</w:t>
      </w:r>
      <w:r w:rsidRPr="00F675AD">
        <w:rPr>
          <w:spacing w:val="40"/>
          <w:sz w:val="22"/>
          <w:szCs w:val="22"/>
        </w:rPr>
        <w:t xml:space="preserve"> </w:t>
      </w:r>
      <w:r w:rsidRPr="00F675AD">
        <w:rPr>
          <w:sz w:val="22"/>
          <w:szCs w:val="22"/>
        </w:rPr>
        <w:t>Heidelberg:</w:t>
      </w:r>
      <w:r w:rsidRPr="00F675AD">
        <w:rPr>
          <w:spacing w:val="40"/>
          <w:sz w:val="22"/>
          <w:szCs w:val="22"/>
        </w:rPr>
        <w:t xml:space="preserve"> </w:t>
      </w:r>
      <w:r w:rsidRPr="00F675AD">
        <w:rPr>
          <w:sz w:val="22"/>
          <w:szCs w:val="22"/>
        </w:rPr>
        <w:t>Physica.</w:t>
      </w:r>
      <w:r w:rsidRPr="00F675AD">
        <w:rPr>
          <w:spacing w:val="40"/>
          <w:sz w:val="22"/>
          <w:szCs w:val="22"/>
        </w:rPr>
        <w:t xml:space="preserve"> </w:t>
      </w:r>
      <w:r w:rsidRPr="00F675AD">
        <w:rPr>
          <w:sz w:val="22"/>
          <w:szCs w:val="22"/>
          <w:lang w:val="en-US"/>
        </w:rPr>
        <w:t>Whitelock, J.; Chung, D. (1989): Cross-Cultural Advertising. An Empirical Study,</w:t>
      </w:r>
      <w:r w:rsidRPr="00F675AD">
        <w:rPr>
          <w:spacing w:val="40"/>
          <w:sz w:val="22"/>
          <w:szCs w:val="22"/>
          <w:lang w:val="en-US"/>
        </w:rPr>
        <w:t xml:space="preserve"> </w:t>
      </w:r>
      <w:r w:rsidRPr="00F675AD">
        <w:rPr>
          <w:sz w:val="22"/>
          <w:szCs w:val="22"/>
          <w:lang w:val="en-US"/>
        </w:rPr>
        <w:t>International Journal of Advertising, 8(4): 291-310.</w:t>
      </w:r>
    </w:p>
    <w:p w14:paraId="1BC00CA7" w14:textId="77777777" w:rsidR="00FF7799" w:rsidRPr="00E73F6F" w:rsidRDefault="00FF7799" w:rsidP="00370236">
      <w:pPr>
        <w:pStyle w:val="berschrift1"/>
        <w:rPr>
          <w:spacing w:val="-2"/>
        </w:rPr>
      </w:pPr>
      <w:r w:rsidRPr="008D1F1D">
        <w:rPr>
          <w:color w:val="2E74B5"/>
        </w:rPr>
        <w:t>Universalismus</w:t>
      </w:r>
      <w:r w:rsidRPr="00E73F6F">
        <w:t xml:space="preserve"> </w:t>
      </w:r>
      <w:r w:rsidRPr="00E73F6F">
        <w:rPr>
          <w:b w:val="0"/>
        </w:rPr>
        <w:sym w:font="Symbol" w:char="F0AE"/>
      </w:r>
      <w:r w:rsidRPr="00E73F6F">
        <w:rPr>
          <w:b w:val="0"/>
          <w:spacing w:val="-3"/>
        </w:rPr>
        <w:t xml:space="preserve"> </w:t>
      </w:r>
      <w:r w:rsidRPr="00E73F6F">
        <w:rPr>
          <w:b w:val="0"/>
        </w:rPr>
        <w:t>Kulturdimensionen</w:t>
      </w:r>
      <w:r w:rsidRPr="00E73F6F">
        <w:rPr>
          <w:b w:val="0"/>
          <w:spacing w:val="-4"/>
        </w:rPr>
        <w:t xml:space="preserve"> </w:t>
      </w:r>
      <w:r w:rsidRPr="00E73F6F">
        <w:rPr>
          <w:b w:val="0"/>
        </w:rPr>
        <w:t>nach</w:t>
      </w:r>
      <w:r w:rsidRPr="00E73F6F">
        <w:rPr>
          <w:b w:val="0"/>
          <w:spacing w:val="-2"/>
        </w:rPr>
        <w:t xml:space="preserve"> Trompenaars</w:t>
      </w:r>
    </w:p>
    <w:p w14:paraId="31B2232F" w14:textId="77777777" w:rsidR="00FF7799" w:rsidRPr="008D1F1D" w:rsidRDefault="00FF7799" w:rsidP="00283937">
      <w:pPr>
        <w:pStyle w:val="berschrift1"/>
        <w:rPr>
          <w:color w:val="2E74B5"/>
        </w:rPr>
      </w:pPr>
      <w:r w:rsidRPr="008D1F1D">
        <w:rPr>
          <w:color w:val="2E74B5"/>
        </w:rPr>
        <w:t>Universals</w:t>
      </w:r>
    </w:p>
    <w:p w14:paraId="19FC9B9E" w14:textId="77777777" w:rsidR="00FF7799" w:rsidRPr="00E73F6F" w:rsidRDefault="00FF7799" w:rsidP="000B3A5C">
      <w:pPr>
        <w:pStyle w:val="StandardText"/>
      </w:pPr>
      <w:r w:rsidRPr="00E73F6F">
        <w:t>Verhaltenstendenzen bzw. Gesetzmäßigkeiten, welche sich das Marketing zu Nutze machen kann bzw. beachten muss. Als</w:t>
      </w:r>
      <w:r w:rsidRPr="00E73F6F">
        <w:rPr>
          <w:spacing w:val="-4"/>
        </w:rPr>
        <w:t xml:space="preserve"> </w:t>
      </w:r>
      <w:r w:rsidRPr="00E73F6F">
        <w:t>Marketing</w:t>
      </w:r>
      <w:r w:rsidRPr="00E73F6F">
        <w:rPr>
          <w:spacing w:val="-3"/>
        </w:rPr>
        <w:t xml:space="preserve"> </w:t>
      </w:r>
      <w:r w:rsidRPr="00E73F6F">
        <w:t>Universals</w:t>
      </w:r>
      <w:r w:rsidRPr="00E73F6F">
        <w:rPr>
          <w:spacing w:val="-4"/>
        </w:rPr>
        <w:t xml:space="preserve"> </w:t>
      </w:r>
      <w:r w:rsidRPr="00E73F6F">
        <w:t>werden</w:t>
      </w:r>
      <w:r w:rsidRPr="00E73F6F">
        <w:rPr>
          <w:spacing w:val="-1"/>
        </w:rPr>
        <w:t xml:space="preserve"> </w:t>
      </w:r>
      <w:r w:rsidRPr="00E73F6F">
        <w:t>bezeichnet</w:t>
      </w:r>
      <w:r w:rsidRPr="00E73F6F">
        <w:rPr>
          <w:spacing w:val="-4"/>
        </w:rPr>
        <w:t xml:space="preserve"> </w:t>
      </w:r>
      <w:r w:rsidRPr="00E73F6F">
        <w:rPr>
          <w:spacing w:val="-10"/>
        </w:rPr>
        <w:t>…</w:t>
      </w:r>
    </w:p>
    <w:p w14:paraId="0AEAB233" w14:textId="77777777" w:rsidR="00FF7799" w:rsidRPr="00E73F6F" w:rsidRDefault="00FF7799" w:rsidP="008D1F1D">
      <w:pPr>
        <w:pStyle w:val="StandardTextAufzhlung"/>
        <w:ind w:left="567"/>
      </w:pPr>
      <w:r w:rsidRPr="00E73F6F">
        <w:t>im</w:t>
      </w:r>
      <w:r w:rsidRPr="00E73F6F">
        <w:rPr>
          <w:spacing w:val="-2"/>
        </w:rPr>
        <w:t xml:space="preserve"> </w:t>
      </w:r>
      <w:r w:rsidRPr="00E73F6F">
        <w:t>weiteren</w:t>
      </w:r>
      <w:r w:rsidRPr="00E73F6F">
        <w:rPr>
          <w:spacing w:val="-2"/>
        </w:rPr>
        <w:t xml:space="preserve"> </w:t>
      </w:r>
      <w:r w:rsidRPr="00E73F6F">
        <w:t>Sinn</w:t>
      </w:r>
      <w:r w:rsidRPr="00E73F6F">
        <w:rPr>
          <w:spacing w:val="-1"/>
        </w:rPr>
        <w:t xml:space="preserve"> </w:t>
      </w:r>
      <w:r w:rsidRPr="00E73F6F">
        <w:t>kulturinvariante</w:t>
      </w:r>
      <w:r w:rsidRPr="00E73F6F">
        <w:rPr>
          <w:spacing w:val="-4"/>
        </w:rPr>
        <w:t xml:space="preserve"> </w:t>
      </w:r>
      <w:r w:rsidRPr="00E73F6F">
        <w:t>Verhaltensweisen</w:t>
      </w:r>
      <w:r w:rsidRPr="00E73F6F">
        <w:rPr>
          <w:spacing w:val="-2"/>
        </w:rPr>
        <w:t xml:space="preserve"> </w:t>
      </w:r>
      <w:r w:rsidRPr="00E73F6F">
        <w:t>von</w:t>
      </w:r>
      <w:r w:rsidRPr="00E73F6F">
        <w:rPr>
          <w:spacing w:val="-1"/>
        </w:rPr>
        <w:t xml:space="preserve"> </w:t>
      </w:r>
      <w:r w:rsidRPr="00E73F6F">
        <w:t>Konsumenten</w:t>
      </w:r>
      <w:r w:rsidRPr="00E73F6F">
        <w:rPr>
          <w:spacing w:val="-3"/>
        </w:rPr>
        <w:t xml:space="preserve"> </w:t>
      </w:r>
      <w:r w:rsidRPr="00E73F6F">
        <w:rPr>
          <w:spacing w:val="-5"/>
        </w:rPr>
        <w:t>und</w:t>
      </w:r>
    </w:p>
    <w:p w14:paraId="68C31209" w14:textId="77777777" w:rsidR="00FF7799" w:rsidRPr="00E73F6F" w:rsidRDefault="00FF7799" w:rsidP="008D1F1D">
      <w:pPr>
        <w:pStyle w:val="StandardTextAufzhlung"/>
        <w:ind w:left="567"/>
      </w:pPr>
      <w:r w:rsidRPr="00E73F6F">
        <w:t>im</w:t>
      </w:r>
      <w:r w:rsidRPr="00E73F6F">
        <w:rPr>
          <w:spacing w:val="31"/>
        </w:rPr>
        <w:t xml:space="preserve"> </w:t>
      </w:r>
      <w:r w:rsidRPr="00E73F6F">
        <w:t>engeren</w:t>
      </w:r>
      <w:r w:rsidRPr="00E73F6F">
        <w:rPr>
          <w:spacing w:val="30"/>
        </w:rPr>
        <w:t xml:space="preserve"> </w:t>
      </w:r>
      <w:r w:rsidRPr="00E73F6F">
        <w:t>Sinn</w:t>
      </w:r>
      <w:r w:rsidRPr="00E73F6F">
        <w:rPr>
          <w:spacing w:val="30"/>
        </w:rPr>
        <w:t xml:space="preserve"> </w:t>
      </w:r>
      <w:r w:rsidR="00E17A2B" w:rsidRPr="00E73F6F">
        <w:t>kulturinvariante</w:t>
      </w:r>
      <w:r w:rsidR="00E17A2B" w:rsidRPr="00E73F6F">
        <w:rPr>
          <w:spacing w:val="-4"/>
        </w:rPr>
        <w:t xml:space="preserve"> </w:t>
      </w:r>
      <w:r w:rsidR="00E17A2B" w:rsidRPr="00E73F6F">
        <w:t>Verhaltensweisen</w:t>
      </w:r>
      <w:r w:rsidR="00E17A2B" w:rsidRPr="00E73F6F">
        <w:rPr>
          <w:spacing w:val="-2"/>
        </w:rPr>
        <w:t xml:space="preserve"> </w:t>
      </w:r>
      <w:r w:rsidRPr="00E73F6F">
        <w:t>von</w:t>
      </w:r>
      <w:r w:rsidRPr="00E73F6F">
        <w:rPr>
          <w:spacing w:val="32"/>
        </w:rPr>
        <w:t xml:space="preserve"> </w:t>
      </w:r>
      <w:r w:rsidRPr="00E73F6F">
        <w:t>Angehörigen</w:t>
      </w:r>
      <w:r w:rsidRPr="00E73F6F">
        <w:rPr>
          <w:spacing w:val="32"/>
        </w:rPr>
        <w:t xml:space="preserve"> </w:t>
      </w:r>
      <w:r w:rsidRPr="00E73F6F">
        <w:t>einer</w:t>
      </w:r>
      <w:r w:rsidRPr="00E73F6F">
        <w:rPr>
          <w:spacing w:val="29"/>
        </w:rPr>
        <w:t xml:space="preserve"> </w:t>
      </w:r>
      <w:r w:rsidRPr="00E73F6F">
        <w:t>bestimmten</w:t>
      </w:r>
      <w:r w:rsidRPr="00E73F6F">
        <w:rPr>
          <w:spacing w:val="32"/>
        </w:rPr>
        <w:t xml:space="preserve"> </w:t>
      </w:r>
      <w:r w:rsidR="00F3160E">
        <w:rPr>
          <w:spacing w:val="32"/>
        </w:rPr>
        <w:sym w:font="Symbol" w:char="F0DE"/>
      </w:r>
      <w:r w:rsidR="00F3160E">
        <w:rPr>
          <w:spacing w:val="32"/>
        </w:rPr>
        <w:t xml:space="preserve"> </w:t>
      </w:r>
      <w:r w:rsidRPr="00E73F6F">
        <w:t>Zielgruppe</w:t>
      </w:r>
      <w:r w:rsidRPr="00E73F6F">
        <w:rPr>
          <w:spacing w:val="28"/>
        </w:rPr>
        <w:t xml:space="preserve"> </w:t>
      </w:r>
      <w:r w:rsidRPr="00E73F6F">
        <w:t>innerhalb einer bestimmten Produktkategorie.</w:t>
      </w:r>
    </w:p>
    <w:p w14:paraId="09BC2572" w14:textId="77777777" w:rsidR="008D1F1D" w:rsidRDefault="008D1F1D" w:rsidP="000B3A5C">
      <w:pPr>
        <w:pStyle w:val="StandardText"/>
      </w:pPr>
    </w:p>
    <w:p w14:paraId="1E97D65D" w14:textId="46E63CED" w:rsidR="00FF7799" w:rsidRPr="00E73F6F" w:rsidRDefault="00FF7799" w:rsidP="000B3A5C">
      <w:pPr>
        <w:pStyle w:val="StandardText"/>
      </w:pPr>
      <w:r w:rsidRPr="00E73F6F">
        <w:t>Wie Dawar/Parker (1994) berichten, zieht weltweit die Zielgruppe der jungen, mobilen und gut ausgebildeten Konsumenten es vor,</w:t>
      </w:r>
      <w:r w:rsidRPr="00E73F6F">
        <w:rPr>
          <w:spacing w:val="40"/>
        </w:rPr>
        <w:t xml:space="preserve"> </w:t>
      </w:r>
      <w:r w:rsidRPr="00E73F6F">
        <w:t>andere um Rat zu fragen, wenn sie sich über elektronische Gebrauchsgüter informieren will, während sie TV-Werbespots und insbesondere Radiospots in diesem Zusammenhang wenig beachtet. Signifikante Unterschiede bestehen auch hinsichtlich der Informationsfunktion von Tageszeitungen, die im deutschsprachigen Kulturraum wesentlich bedeutsamer ist als in englischsprachigen Ländern. In Skandinavien wiederum finden einschlägige Informationen, welche das Verkaufspersonal gibt, weitaus mehr Beachtung als vor allem in lateinischsprachigen Ländern.</w:t>
      </w:r>
    </w:p>
    <w:p w14:paraId="42076143" w14:textId="77777777" w:rsidR="00FF7799" w:rsidRPr="00F675AD" w:rsidRDefault="00FF7799" w:rsidP="000B3A5C">
      <w:pPr>
        <w:pStyle w:val="StandardText"/>
        <w:rPr>
          <w:sz w:val="22"/>
          <w:szCs w:val="22"/>
          <w:lang w:val="en-US"/>
        </w:rPr>
      </w:pPr>
      <w:r w:rsidRPr="00F675AD">
        <w:rPr>
          <w:b/>
          <w:i/>
          <w:sz w:val="22"/>
          <w:szCs w:val="22"/>
          <w:lang w:val="en-US"/>
        </w:rPr>
        <w:lastRenderedPageBreak/>
        <w:t>Literatur:</w:t>
      </w:r>
      <w:r w:rsidRPr="00F675AD">
        <w:rPr>
          <w:b/>
          <w:sz w:val="22"/>
          <w:szCs w:val="22"/>
          <w:lang w:val="en-US"/>
        </w:rPr>
        <w:t xml:space="preserve"> </w:t>
      </w:r>
      <w:r w:rsidRPr="00F675AD">
        <w:rPr>
          <w:sz w:val="22"/>
          <w:szCs w:val="22"/>
          <w:lang w:val="en-US"/>
        </w:rPr>
        <w:t>Dawar, N.; Parker, P. (1994): Marketing Universals. Consumers Use of Brand</w:t>
      </w:r>
      <w:r w:rsidRPr="00F675AD">
        <w:rPr>
          <w:spacing w:val="40"/>
          <w:sz w:val="22"/>
          <w:szCs w:val="22"/>
          <w:lang w:val="en-US"/>
        </w:rPr>
        <w:t xml:space="preserve"> </w:t>
      </w:r>
      <w:r w:rsidRPr="00F675AD">
        <w:rPr>
          <w:sz w:val="22"/>
          <w:szCs w:val="22"/>
          <w:lang w:val="en-US"/>
        </w:rPr>
        <w:t>Name, Price, Physical Appearance, and Retailer Reputation as Signals of Product Quality,</w:t>
      </w:r>
      <w:r w:rsidRPr="00F675AD">
        <w:rPr>
          <w:spacing w:val="40"/>
          <w:sz w:val="22"/>
          <w:szCs w:val="22"/>
          <w:lang w:val="en-US"/>
        </w:rPr>
        <w:t xml:space="preserve"> </w:t>
      </w:r>
      <w:r w:rsidRPr="00F675AD">
        <w:rPr>
          <w:sz w:val="22"/>
          <w:szCs w:val="22"/>
          <w:lang w:val="en-US"/>
        </w:rPr>
        <w:t>Journal of Marketing, 58(April): 81-95.</w:t>
      </w:r>
    </w:p>
    <w:p w14:paraId="302B1903" w14:textId="77777777" w:rsidR="00FF7799" w:rsidRPr="00E73F6F" w:rsidRDefault="00FF7799" w:rsidP="00370236">
      <w:pPr>
        <w:pStyle w:val="berschrift1"/>
      </w:pPr>
      <w:r w:rsidRPr="008D1F1D">
        <w:rPr>
          <w:color w:val="2E74B5"/>
        </w:rPr>
        <w:t xml:space="preserve">Unternehmenskultur </w:t>
      </w:r>
      <w:r w:rsidRPr="00E73F6F">
        <w:rPr>
          <w:b w:val="0"/>
        </w:rPr>
        <w:sym w:font="Symbol" w:char="F0AE"/>
      </w:r>
      <w:r w:rsidRPr="00E73F6F">
        <w:rPr>
          <w:b w:val="0"/>
        </w:rPr>
        <w:t xml:space="preserve"> Interkulturelles Management</w:t>
      </w:r>
    </w:p>
    <w:p w14:paraId="006B617C" w14:textId="77777777" w:rsidR="00FF7799" w:rsidRPr="008D1F1D" w:rsidRDefault="00FF7799" w:rsidP="00370236">
      <w:pPr>
        <w:pStyle w:val="berschrift1"/>
        <w:rPr>
          <w:color w:val="2E74B5"/>
        </w:rPr>
      </w:pPr>
      <w:r w:rsidRPr="008D1F1D">
        <w:rPr>
          <w:color w:val="2E74B5"/>
        </w:rPr>
        <w:t>Validität</w:t>
      </w:r>
    </w:p>
    <w:p w14:paraId="328779E9" w14:textId="77777777" w:rsidR="00FF7799" w:rsidRPr="00E73F6F" w:rsidRDefault="00A23255" w:rsidP="00D6697D">
      <w:pPr>
        <w:pStyle w:val="StandardText"/>
      </w:pPr>
      <w:r>
        <w:t xml:space="preserve">wichtiges </w:t>
      </w:r>
      <w:r w:rsidR="00FF7799" w:rsidRPr="00E73F6F">
        <w:t>Gütekriterium der empirischen Forschung. Es gibt verschiedene Validitätsarten, allen</w:t>
      </w:r>
      <w:r w:rsidR="00FF7799" w:rsidRPr="00E73F6F">
        <w:rPr>
          <w:spacing w:val="-6"/>
        </w:rPr>
        <w:t xml:space="preserve"> </w:t>
      </w:r>
      <w:r w:rsidR="00FF7799" w:rsidRPr="00E73F6F">
        <w:t>voran</w:t>
      </w:r>
      <w:r w:rsidR="00FF7799" w:rsidRPr="00E73F6F">
        <w:rPr>
          <w:spacing w:val="-8"/>
        </w:rPr>
        <w:t xml:space="preserve"> </w:t>
      </w:r>
      <w:r w:rsidR="00FF7799" w:rsidRPr="00E73F6F">
        <w:t>die</w:t>
      </w:r>
      <w:r w:rsidR="00FF7799" w:rsidRPr="00E73F6F">
        <w:rPr>
          <w:spacing w:val="-7"/>
        </w:rPr>
        <w:t xml:space="preserve"> </w:t>
      </w:r>
      <w:r w:rsidR="00FF7799" w:rsidRPr="00E73F6F">
        <w:t>Konstruktvalidität:</w:t>
      </w:r>
      <w:r w:rsidR="00FF7799" w:rsidRPr="00E73F6F">
        <w:rPr>
          <w:spacing w:val="-6"/>
        </w:rPr>
        <w:t xml:space="preserve"> </w:t>
      </w:r>
      <w:r w:rsidR="00FF7799" w:rsidRPr="00E73F6F">
        <w:t>Misst</w:t>
      </w:r>
      <w:r w:rsidR="00FF7799" w:rsidRPr="00E73F6F">
        <w:rPr>
          <w:spacing w:val="-7"/>
        </w:rPr>
        <w:t xml:space="preserve"> </w:t>
      </w:r>
      <w:r w:rsidR="00FF7799" w:rsidRPr="00E73F6F">
        <w:t>ein</w:t>
      </w:r>
      <w:r w:rsidR="00FF7799" w:rsidRPr="00E73F6F">
        <w:rPr>
          <w:spacing w:val="-5"/>
        </w:rPr>
        <w:t xml:space="preserve"> </w:t>
      </w:r>
      <w:r w:rsidR="00FF7799" w:rsidRPr="00E73F6F">
        <w:t>Messverfahren</w:t>
      </w:r>
      <w:r w:rsidR="00FF7799" w:rsidRPr="00E73F6F">
        <w:rPr>
          <w:spacing w:val="-6"/>
        </w:rPr>
        <w:t xml:space="preserve"> </w:t>
      </w:r>
      <w:r w:rsidR="00FF7799" w:rsidRPr="00E73F6F">
        <w:t>das,</w:t>
      </w:r>
      <w:r w:rsidR="00FF7799" w:rsidRPr="00E73F6F">
        <w:rPr>
          <w:spacing w:val="-6"/>
        </w:rPr>
        <w:t xml:space="preserve"> </w:t>
      </w:r>
      <w:r w:rsidR="00FF7799" w:rsidRPr="00E73F6F">
        <w:t>was</w:t>
      </w:r>
      <w:r w:rsidR="00FF7799" w:rsidRPr="00E73F6F">
        <w:rPr>
          <w:spacing w:val="-7"/>
        </w:rPr>
        <w:t xml:space="preserve"> </w:t>
      </w:r>
      <w:r w:rsidR="00FF7799" w:rsidRPr="00E73F6F">
        <w:t>es</w:t>
      </w:r>
      <w:r w:rsidR="00FF7799" w:rsidRPr="00E73F6F">
        <w:rPr>
          <w:spacing w:val="-7"/>
        </w:rPr>
        <w:t xml:space="preserve"> </w:t>
      </w:r>
      <w:r w:rsidR="00FF7799" w:rsidRPr="00E73F6F">
        <w:t>zu</w:t>
      </w:r>
      <w:r w:rsidR="00FF7799" w:rsidRPr="00E73F6F">
        <w:rPr>
          <w:spacing w:val="-6"/>
        </w:rPr>
        <w:t xml:space="preserve"> </w:t>
      </w:r>
      <w:r w:rsidR="00FF7799" w:rsidRPr="00E73F6F">
        <w:t xml:space="preserve">messen vorgibt (z.B. ein Intelligenztest Intelligenz)? Diskriminanzvalidität setzt voraus, dass Daten, die Indikatoren theoretisch unterschiedlich begründeter </w:t>
      </w:r>
      <w:r w:rsidR="00FF7799" w:rsidRPr="00E73F6F">
        <w:rPr>
          <w:rFonts w:ascii="Cambria Math" w:hAnsi="Cambria Math" w:cs="Cambria Math"/>
        </w:rPr>
        <w:t>⇒</w:t>
      </w:r>
      <w:r w:rsidR="00FF7799" w:rsidRPr="00E73F6F">
        <w:rPr>
          <w:spacing w:val="40"/>
        </w:rPr>
        <w:t xml:space="preserve"> </w:t>
      </w:r>
      <w:r w:rsidR="00FF7799" w:rsidRPr="00E73F6F">
        <w:t>Konstrukte sein sollen, möglichst gering korrelieren. Das Kriterium der externen Validität drückt aus, ob Untersuchungsbefunde generalisierbar, d.h. auf andere Personengruppen und Kontexte übertragbar sind.</w:t>
      </w:r>
    </w:p>
    <w:p w14:paraId="125CAB67" w14:textId="77777777" w:rsidR="00FF7799" w:rsidRPr="00E73F6F" w:rsidRDefault="00FF7799" w:rsidP="00D6697D">
      <w:pPr>
        <w:pStyle w:val="StandardText"/>
      </w:pPr>
    </w:p>
    <w:p w14:paraId="08283F8A" w14:textId="77777777" w:rsidR="00FF7799" w:rsidRPr="00E35FFF" w:rsidRDefault="00FF7799" w:rsidP="00370236">
      <w:pPr>
        <w:pStyle w:val="berschrift1"/>
        <w:rPr>
          <w:lang w:val="en-US"/>
        </w:rPr>
      </w:pPr>
      <w:r w:rsidRPr="008D1F1D">
        <w:rPr>
          <w:color w:val="2E74B5"/>
        </w:rPr>
        <w:t>Variable</w:t>
      </w:r>
      <w:r w:rsidRPr="00E35FFF">
        <w:rPr>
          <w:spacing w:val="-3"/>
          <w:lang w:val="en-US"/>
        </w:rPr>
        <w:t xml:space="preserve"> </w:t>
      </w:r>
      <w:r w:rsidRPr="00E73F6F">
        <w:rPr>
          <w:b w:val="0"/>
        </w:rPr>
        <w:sym w:font="Symbol" w:char="F0AE"/>
      </w:r>
      <w:r w:rsidRPr="00E35FFF">
        <w:rPr>
          <w:b w:val="0"/>
          <w:spacing w:val="-2"/>
          <w:lang w:val="en-US"/>
        </w:rPr>
        <w:t xml:space="preserve"> </w:t>
      </w:r>
      <w:r w:rsidRPr="00E35FFF">
        <w:rPr>
          <w:b w:val="0"/>
          <w:lang w:val="en-US"/>
        </w:rPr>
        <w:t>Mediator</w:t>
      </w:r>
      <w:r w:rsidRPr="00E35FFF">
        <w:rPr>
          <w:b w:val="0"/>
          <w:spacing w:val="-3"/>
          <w:lang w:val="en-US"/>
        </w:rPr>
        <w:t xml:space="preserve"> </w:t>
      </w:r>
      <w:r w:rsidRPr="00E35FFF">
        <w:rPr>
          <w:b w:val="0"/>
          <w:lang w:val="en-US"/>
        </w:rPr>
        <w:t>(Mediations-Effekt)</w:t>
      </w:r>
      <w:r w:rsidR="00E631DD">
        <w:rPr>
          <w:b w:val="0"/>
          <w:lang w:val="en-US"/>
        </w:rPr>
        <w:t>;</w:t>
      </w:r>
      <w:r w:rsidRPr="00E35FFF">
        <w:rPr>
          <w:b w:val="0"/>
          <w:spacing w:val="-1"/>
          <w:lang w:val="en-US"/>
        </w:rPr>
        <w:t xml:space="preserve"> </w:t>
      </w:r>
      <w:r w:rsidRPr="00E73F6F">
        <w:rPr>
          <w:b w:val="0"/>
        </w:rPr>
        <w:sym w:font="Symbol" w:char="F0AE"/>
      </w:r>
      <w:r w:rsidRPr="00E35FFF">
        <w:rPr>
          <w:b w:val="0"/>
          <w:lang w:val="en-US"/>
        </w:rPr>
        <w:t xml:space="preserve"> Moderator</w:t>
      </w:r>
      <w:r w:rsidR="006E7958">
        <w:rPr>
          <w:b w:val="0"/>
          <w:lang w:val="en-US"/>
        </w:rPr>
        <w:t>;</w:t>
      </w:r>
      <w:r w:rsidRPr="00E35FFF">
        <w:rPr>
          <w:b w:val="0"/>
          <w:spacing w:val="-1"/>
          <w:lang w:val="en-US"/>
        </w:rPr>
        <w:t xml:space="preserve"> </w:t>
      </w:r>
      <w:r w:rsidRPr="00E73F6F">
        <w:rPr>
          <w:b w:val="0"/>
        </w:rPr>
        <w:sym w:font="Symbol" w:char="F0AE"/>
      </w:r>
      <w:r w:rsidRPr="00E35FFF">
        <w:rPr>
          <w:b w:val="0"/>
          <w:lang w:val="en-US"/>
        </w:rPr>
        <w:t xml:space="preserve"> Proxy-</w:t>
      </w:r>
      <w:r w:rsidRPr="00E35FFF">
        <w:rPr>
          <w:b w:val="0"/>
          <w:spacing w:val="-2"/>
          <w:lang w:val="en-US"/>
        </w:rPr>
        <w:t>Variable</w:t>
      </w:r>
    </w:p>
    <w:p w14:paraId="0B1A33F1" w14:textId="77777777" w:rsidR="00FF7799" w:rsidRPr="00E73F6F" w:rsidRDefault="00FF7799" w:rsidP="00370236">
      <w:pPr>
        <w:pStyle w:val="berschrift1"/>
      </w:pPr>
      <w:r w:rsidRPr="008D1F1D">
        <w:rPr>
          <w:color w:val="2E74B5"/>
        </w:rPr>
        <w:t>Vergleichende Landeskulturforschung</w:t>
      </w:r>
      <w:r w:rsidRPr="00E73F6F">
        <w:rPr>
          <w:spacing w:val="-4"/>
        </w:rPr>
        <w:t xml:space="preserve"> </w:t>
      </w:r>
      <w:r w:rsidRPr="00E73F6F">
        <w:rPr>
          <w:b w:val="0"/>
        </w:rPr>
        <w:t>→</w:t>
      </w:r>
      <w:r w:rsidRPr="00E73F6F">
        <w:rPr>
          <w:b w:val="0"/>
          <w:spacing w:val="-6"/>
        </w:rPr>
        <w:t xml:space="preserve"> </w:t>
      </w:r>
      <w:r w:rsidRPr="00E73F6F">
        <w:rPr>
          <w:b w:val="0"/>
        </w:rPr>
        <w:t>Comparative</w:t>
      </w:r>
      <w:r w:rsidRPr="00E73F6F">
        <w:rPr>
          <w:b w:val="0"/>
          <w:spacing w:val="-7"/>
        </w:rPr>
        <w:t xml:space="preserve"> </w:t>
      </w:r>
      <w:r w:rsidRPr="00E73F6F">
        <w:rPr>
          <w:b w:val="0"/>
          <w:spacing w:val="-2"/>
        </w:rPr>
        <w:t>Marketing</w:t>
      </w:r>
    </w:p>
    <w:p w14:paraId="0747531F" w14:textId="77777777" w:rsidR="00FF7799" w:rsidRPr="008D1F1D" w:rsidRDefault="00FF7799" w:rsidP="00370236">
      <w:pPr>
        <w:pStyle w:val="berschrift1"/>
        <w:rPr>
          <w:color w:val="2E74B5"/>
        </w:rPr>
      </w:pPr>
      <w:r w:rsidRPr="008D1F1D">
        <w:rPr>
          <w:color w:val="2E74B5"/>
        </w:rPr>
        <w:t>Verhaltensprognose</w:t>
      </w:r>
    </w:p>
    <w:p w14:paraId="564C8EAF" w14:textId="77777777" w:rsidR="00FF7799" w:rsidRPr="00E73F6F" w:rsidRDefault="00FF7799" w:rsidP="00D6697D">
      <w:pPr>
        <w:pStyle w:val="StandardText"/>
      </w:pPr>
      <w:r w:rsidRPr="00E73F6F">
        <w:t>fällt nicht nur, aber gerade auch im interkulturellen Kontext zumeist schwer, da Werte, Einstellungen und Verhalten oft nur wenig korrelieren. Dazu tragen viele Faktoren</w:t>
      </w:r>
      <w:r w:rsidRPr="00E73F6F">
        <w:rPr>
          <w:spacing w:val="-12"/>
        </w:rPr>
        <w:t xml:space="preserve"> </w:t>
      </w:r>
      <w:r w:rsidRPr="00E73F6F">
        <w:t>bei,</w:t>
      </w:r>
      <w:r w:rsidRPr="00E73F6F">
        <w:rPr>
          <w:spacing w:val="-11"/>
        </w:rPr>
        <w:t xml:space="preserve"> </w:t>
      </w:r>
      <w:r w:rsidRPr="00E73F6F">
        <w:t>u.a.</w:t>
      </w:r>
      <w:r w:rsidRPr="00E73F6F">
        <w:rPr>
          <w:spacing w:val="-11"/>
        </w:rPr>
        <w:t xml:space="preserve"> </w:t>
      </w:r>
      <w:r w:rsidRPr="00E73F6F">
        <w:t>die</w:t>
      </w:r>
      <w:r w:rsidRPr="00E73F6F">
        <w:rPr>
          <w:spacing w:val="-11"/>
        </w:rPr>
        <w:t xml:space="preserve"> </w:t>
      </w:r>
      <w:r w:rsidRPr="00E73F6F">
        <w:t>häufig</w:t>
      </w:r>
      <w:r w:rsidRPr="00E73F6F">
        <w:rPr>
          <w:spacing w:val="-12"/>
        </w:rPr>
        <w:t xml:space="preserve"> </w:t>
      </w:r>
      <w:r w:rsidRPr="00E73F6F">
        <w:t>nicht</w:t>
      </w:r>
      <w:r w:rsidRPr="00E73F6F">
        <w:rPr>
          <w:spacing w:val="-11"/>
        </w:rPr>
        <w:t xml:space="preserve"> </w:t>
      </w:r>
      <w:r w:rsidRPr="00E73F6F">
        <w:t>gegebene</w:t>
      </w:r>
      <w:r w:rsidRPr="00E73F6F">
        <w:rPr>
          <w:spacing w:val="-11"/>
        </w:rPr>
        <w:t xml:space="preserve"> </w:t>
      </w:r>
      <w:r w:rsidRPr="00E73F6F">
        <w:t>Spezifität</w:t>
      </w:r>
      <w:r w:rsidRPr="00E73F6F">
        <w:rPr>
          <w:spacing w:val="-11"/>
        </w:rPr>
        <w:t xml:space="preserve"> </w:t>
      </w:r>
      <w:r w:rsidRPr="00E73F6F">
        <w:t>der</w:t>
      </w:r>
      <w:r w:rsidRPr="00E73F6F">
        <w:rPr>
          <w:spacing w:val="-12"/>
        </w:rPr>
        <w:t xml:space="preserve"> </w:t>
      </w:r>
      <w:r w:rsidRPr="00E73F6F">
        <w:t>verschiedenen</w:t>
      </w:r>
      <w:r w:rsidRPr="00E73F6F">
        <w:rPr>
          <w:spacing w:val="-11"/>
        </w:rPr>
        <w:t xml:space="preserve"> </w:t>
      </w:r>
      <w:r w:rsidRPr="00E73F6F">
        <w:t>Variablen des Erklärungsmodells. Auch bemühen sich Menschen, die bspw. den Wert Umweltbewusstsein</w:t>
      </w:r>
      <w:r w:rsidRPr="00E73F6F">
        <w:rPr>
          <w:spacing w:val="52"/>
        </w:rPr>
        <w:t xml:space="preserve"> </w:t>
      </w:r>
      <w:r w:rsidRPr="00E73F6F">
        <w:t>verinnerlicht</w:t>
      </w:r>
      <w:r w:rsidRPr="00E73F6F">
        <w:rPr>
          <w:spacing w:val="51"/>
        </w:rPr>
        <w:t xml:space="preserve"> </w:t>
      </w:r>
      <w:r w:rsidRPr="00E73F6F">
        <w:t>haben,</w:t>
      </w:r>
      <w:r w:rsidRPr="00E73F6F">
        <w:rPr>
          <w:spacing w:val="52"/>
        </w:rPr>
        <w:t xml:space="preserve"> </w:t>
      </w:r>
      <w:r w:rsidRPr="00E73F6F">
        <w:t>aber</w:t>
      </w:r>
      <w:r w:rsidRPr="00E73F6F">
        <w:rPr>
          <w:spacing w:val="48"/>
        </w:rPr>
        <w:t xml:space="preserve"> </w:t>
      </w:r>
      <w:r w:rsidRPr="00E73F6F">
        <w:t>gemäß</w:t>
      </w:r>
      <w:r w:rsidRPr="00E73F6F">
        <w:rPr>
          <w:spacing w:val="51"/>
        </w:rPr>
        <w:t xml:space="preserve"> </w:t>
      </w:r>
      <w:r w:rsidRPr="00E73F6F">
        <w:t>der</w:t>
      </w:r>
      <w:r w:rsidRPr="00E73F6F">
        <w:rPr>
          <w:spacing w:val="51"/>
        </w:rPr>
        <w:t xml:space="preserve"> </w:t>
      </w:r>
      <w:r w:rsidRPr="00E73F6F">
        <w:t>Small</w:t>
      </w:r>
      <w:r w:rsidRPr="00E73F6F">
        <w:rPr>
          <w:spacing w:val="52"/>
        </w:rPr>
        <w:t xml:space="preserve"> </w:t>
      </w:r>
      <w:r w:rsidRPr="00E73F6F">
        <w:t>Agent-</w:t>
      </w:r>
      <w:r w:rsidRPr="00E73F6F">
        <w:rPr>
          <w:spacing w:val="-2"/>
        </w:rPr>
        <w:t xml:space="preserve">These </w:t>
      </w:r>
      <w:r w:rsidRPr="00E73F6F">
        <w:t>davon überzeugt sind, dass ihre eigenen Kauf- bzw. Verbrauchsgewohnheiten ohne nachhaltige Konsequenzen für den Zustand der Umwelt sind, im Regelfall nicht,</w:t>
      </w:r>
      <w:r w:rsidRPr="00E73F6F">
        <w:rPr>
          <w:spacing w:val="-12"/>
        </w:rPr>
        <w:t xml:space="preserve"> </w:t>
      </w:r>
      <w:r w:rsidRPr="00E73F6F">
        <w:t>sich</w:t>
      </w:r>
      <w:r w:rsidRPr="00E73F6F">
        <w:rPr>
          <w:spacing w:val="-11"/>
        </w:rPr>
        <w:t xml:space="preserve"> </w:t>
      </w:r>
      <w:r w:rsidRPr="00E73F6F">
        <w:t>wertekonform,</w:t>
      </w:r>
      <w:r w:rsidRPr="00E73F6F">
        <w:rPr>
          <w:spacing w:val="-11"/>
        </w:rPr>
        <w:t xml:space="preserve"> </w:t>
      </w:r>
      <w:r w:rsidRPr="00E73F6F">
        <w:t>d.h.</w:t>
      </w:r>
      <w:r w:rsidRPr="00E73F6F">
        <w:rPr>
          <w:spacing w:val="-11"/>
        </w:rPr>
        <w:t xml:space="preserve"> </w:t>
      </w:r>
      <w:r w:rsidRPr="00E73F6F">
        <w:t>umweltbewusst</w:t>
      </w:r>
      <w:r w:rsidRPr="00E73F6F">
        <w:rPr>
          <w:spacing w:val="-12"/>
        </w:rPr>
        <w:t xml:space="preserve"> </w:t>
      </w:r>
      <w:r w:rsidRPr="00E73F6F">
        <w:t>zu</w:t>
      </w:r>
      <w:r w:rsidRPr="00E73F6F">
        <w:rPr>
          <w:spacing w:val="-11"/>
        </w:rPr>
        <w:t xml:space="preserve"> </w:t>
      </w:r>
      <w:r w:rsidRPr="00E73F6F">
        <w:t>verhalten.</w:t>
      </w:r>
      <w:r w:rsidRPr="00E73F6F">
        <w:rPr>
          <w:spacing w:val="-11"/>
        </w:rPr>
        <w:t xml:space="preserve"> </w:t>
      </w:r>
      <w:r w:rsidRPr="00E73F6F">
        <w:t>Vor</w:t>
      </w:r>
      <w:r w:rsidRPr="00E73F6F">
        <w:rPr>
          <w:spacing w:val="-11"/>
        </w:rPr>
        <w:t xml:space="preserve"> </w:t>
      </w:r>
      <w:r w:rsidRPr="00E73F6F">
        <w:t>allem</w:t>
      </w:r>
      <w:r w:rsidRPr="00E73F6F">
        <w:rPr>
          <w:spacing w:val="-11"/>
        </w:rPr>
        <w:t xml:space="preserve"> </w:t>
      </w:r>
      <w:r w:rsidRPr="00E73F6F">
        <w:t>Angehörige von Kulturen mit einer starken Tendenz zur Ungewissheitsvermeidung (wie Griechenland oder Portugal = 104) sind anfällig für das Gefühl der (erlernten) Hilflosigkeit. Deshalb eignen sich dort globale Werte weniger gut, konkrete Verhaltensweisen, welche Aktivität und Eigenverantwortung voraussetzen, vorherzusagen,</w:t>
      </w:r>
      <w:r w:rsidRPr="00E73F6F">
        <w:rPr>
          <w:spacing w:val="-9"/>
        </w:rPr>
        <w:t xml:space="preserve"> </w:t>
      </w:r>
      <w:r w:rsidRPr="00E73F6F">
        <w:t>als</w:t>
      </w:r>
      <w:r w:rsidRPr="00E73F6F">
        <w:rPr>
          <w:spacing w:val="-9"/>
        </w:rPr>
        <w:t xml:space="preserve"> </w:t>
      </w:r>
      <w:r w:rsidRPr="00E73F6F">
        <w:t>in</w:t>
      </w:r>
      <w:r w:rsidRPr="00E73F6F">
        <w:rPr>
          <w:spacing w:val="-8"/>
        </w:rPr>
        <w:t xml:space="preserve"> </w:t>
      </w:r>
      <w:r w:rsidRPr="00E73F6F">
        <w:t>Singapur</w:t>
      </w:r>
      <w:r w:rsidRPr="00E73F6F">
        <w:rPr>
          <w:spacing w:val="-9"/>
        </w:rPr>
        <w:t xml:space="preserve"> </w:t>
      </w:r>
      <w:r w:rsidRPr="00E73F6F">
        <w:t>(=</w:t>
      </w:r>
      <w:r w:rsidRPr="00E73F6F">
        <w:rPr>
          <w:spacing w:val="-12"/>
        </w:rPr>
        <w:t xml:space="preserve"> </w:t>
      </w:r>
      <w:r w:rsidRPr="00E73F6F">
        <w:t>8),</w:t>
      </w:r>
      <w:r w:rsidRPr="00E73F6F">
        <w:rPr>
          <w:spacing w:val="-8"/>
        </w:rPr>
        <w:t xml:space="preserve"> </w:t>
      </w:r>
      <w:r w:rsidRPr="00E73F6F">
        <w:t>Jamaika</w:t>
      </w:r>
      <w:r w:rsidRPr="00E73F6F">
        <w:rPr>
          <w:spacing w:val="-10"/>
        </w:rPr>
        <w:t xml:space="preserve"> </w:t>
      </w:r>
      <w:r w:rsidRPr="00E73F6F">
        <w:t>(=</w:t>
      </w:r>
      <w:r w:rsidRPr="00E73F6F">
        <w:rPr>
          <w:spacing w:val="-10"/>
        </w:rPr>
        <w:t xml:space="preserve"> </w:t>
      </w:r>
      <w:r w:rsidRPr="00E73F6F">
        <w:t>13),</w:t>
      </w:r>
      <w:r w:rsidRPr="00E73F6F">
        <w:rPr>
          <w:spacing w:val="-9"/>
        </w:rPr>
        <w:t xml:space="preserve"> </w:t>
      </w:r>
      <w:r w:rsidRPr="00E73F6F">
        <w:t>Dänemark</w:t>
      </w:r>
      <w:r w:rsidRPr="00E73F6F">
        <w:rPr>
          <w:spacing w:val="-8"/>
        </w:rPr>
        <w:t xml:space="preserve"> </w:t>
      </w:r>
      <w:r w:rsidRPr="00E73F6F">
        <w:t>(=</w:t>
      </w:r>
      <w:r w:rsidRPr="00E73F6F">
        <w:rPr>
          <w:spacing w:val="-10"/>
        </w:rPr>
        <w:t xml:space="preserve"> </w:t>
      </w:r>
      <w:r w:rsidRPr="00E73F6F">
        <w:t>23),</w:t>
      </w:r>
      <w:r w:rsidRPr="00E73F6F">
        <w:rPr>
          <w:spacing w:val="-9"/>
        </w:rPr>
        <w:t xml:space="preserve"> </w:t>
      </w:r>
      <w:r w:rsidRPr="00E73F6F">
        <w:t>Hongkong (= 29) oder Schweden (= 29), wo Kontrollüberzeugung vorherrscht.</w:t>
      </w:r>
    </w:p>
    <w:p w14:paraId="520ABD88" w14:textId="77777777" w:rsidR="00FF7799" w:rsidRPr="00E73F6F" w:rsidRDefault="00FF7799" w:rsidP="00D6697D">
      <w:pPr>
        <w:pStyle w:val="StandardText"/>
      </w:pPr>
    </w:p>
    <w:p w14:paraId="0115E66C" w14:textId="09D1BAB4" w:rsidR="00FF7799" w:rsidRPr="008D1F1D" w:rsidRDefault="00FF7799" w:rsidP="000956CB">
      <w:pPr>
        <w:pStyle w:val="BeschriftungTab"/>
        <w:rPr>
          <w:i/>
          <w:iCs/>
        </w:rPr>
      </w:pPr>
      <w:r w:rsidRPr="008D1F1D">
        <w:rPr>
          <w:i/>
          <w:iCs/>
        </w:rPr>
        <w:t>Abb. 1: Erweitertes</w:t>
      </w:r>
      <w:r w:rsidRPr="008D1F1D">
        <w:rPr>
          <w:i/>
          <w:iCs/>
          <w:spacing w:val="-3"/>
        </w:rPr>
        <w:t xml:space="preserve"> </w:t>
      </w:r>
      <w:r w:rsidRPr="008D1F1D">
        <w:rPr>
          <w:i/>
          <w:iCs/>
        </w:rPr>
        <w:t>Werte/Einstellungs-</w:t>
      </w:r>
      <w:r w:rsidRPr="008D1F1D">
        <w:rPr>
          <w:i/>
          <w:iCs/>
          <w:spacing w:val="-2"/>
        </w:rPr>
        <w:t xml:space="preserve">/Verhaltensmodell </w:t>
      </w:r>
    </w:p>
    <w:p w14:paraId="403572CF" w14:textId="77777777" w:rsidR="00FF7799" w:rsidRPr="008D1F1D" w:rsidRDefault="00FF7799" w:rsidP="00862DBA">
      <w:pPr>
        <w:rPr>
          <w:i/>
          <w:iCs/>
          <w:sz w:val="24"/>
          <w:szCs w:val="24"/>
        </w:rPr>
      </w:pPr>
    </w:p>
    <w:p w14:paraId="5D82442B" w14:textId="77777777" w:rsidR="00FF7799" w:rsidRPr="00E73F6F" w:rsidRDefault="008970E4" w:rsidP="00862DBA">
      <w:pPr>
        <w:rPr>
          <w:i/>
          <w:sz w:val="24"/>
          <w:szCs w:val="24"/>
        </w:rPr>
      </w:pPr>
      <w:r>
        <w:rPr>
          <w:i/>
          <w:noProof/>
          <w:sz w:val="24"/>
          <w:szCs w:val="24"/>
          <w:lang w:eastAsia="de-DE"/>
        </w:rPr>
        <w:lastRenderedPageBreak/>
        <w:drawing>
          <wp:inline distT="0" distB="0" distL="0" distR="0" wp14:anchorId="4252A731" wp14:editId="77E4D166">
            <wp:extent cx="5952062" cy="4305300"/>
            <wp:effectExtent l="0" t="0" r="0" b="0"/>
            <wp:docPr id="2296738" name="Grafik 2296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5970410" cy="4318571"/>
                    </a:xfrm>
                    <a:prstGeom prst="rect">
                      <a:avLst/>
                    </a:prstGeom>
                    <a:noFill/>
                  </pic:spPr>
                </pic:pic>
              </a:graphicData>
            </a:graphic>
          </wp:inline>
        </w:drawing>
      </w:r>
    </w:p>
    <w:p w14:paraId="697E0A2C" w14:textId="77777777" w:rsidR="00FF7799" w:rsidRPr="00E73F6F" w:rsidRDefault="00FF7799" w:rsidP="00862DBA">
      <w:pPr>
        <w:rPr>
          <w:i/>
          <w:sz w:val="24"/>
          <w:szCs w:val="24"/>
        </w:rPr>
      </w:pPr>
    </w:p>
    <w:p w14:paraId="2359310C" w14:textId="77777777" w:rsidR="00FF7799" w:rsidRPr="00B3497B" w:rsidRDefault="00FF7799" w:rsidP="00D6697D">
      <w:pPr>
        <w:pStyle w:val="StandardText"/>
        <w:rPr>
          <w:sz w:val="22"/>
          <w:szCs w:val="22"/>
          <w:lang w:val="en-US"/>
        </w:rPr>
      </w:pPr>
      <w:r w:rsidRPr="00B3497B">
        <w:rPr>
          <w:b/>
          <w:i/>
          <w:sz w:val="22"/>
          <w:szCs w:val="22"/>
          <w:lang w:val="en-US"/>
        </w:rPr>
        <w:t>Literatur:</w:t>
      </w:r>
      <w:r w:rsidRPr="00B3497B">
        <w:rPr>
          <w:b/>
          <w:spacing w:val="-9"/>
          <w:sz w:val="22"/>
          <w:szCs w:val="22"/>
          <w:lang w:val="en-US"/>
        </w:rPr>
        <w:t xml:space="preserve"> </w:t>
      </w:r>
      <w:r w:rsidRPr="00B3497B">
        <w:rPr>
          <w:sz w:val="22"/>
          <w:szCs w:val="22"/>
          <w:lang w:val="en-US"/>
        </w:rPr>
        <w:t>Seligman,</w:t>
      </w:r>
      <w:r w:rsidRPr="00B3497B">
        <w:rPr>
          <w:spacing w:val="-8"/>
          <w:sz w:val="22"/>
          <w:szCs w:val="22"/>
          <w:lang w:val="en-US"/>
        </w:rPr>
        <w:t xml:space="preserve"> </w:t>
      </w:r>
      <w:r w:rsidRPr="00B3497B">
        <w:rPr>
          <w:sz w:val="22"/>
          <w:szCs w:val="22"/>
          <w:lang w:val="en-US"/>
        </w:rPr>
        <w:t>M.E.P.</w:t>
      </w:r>
      <w:r w:rsidRPr="00B3497B">
        <w:rPr>
          <w:spacing w:val="-8"/>
          <w:sz w:val="22"/>
          <w:szCs w:val="22"/>
          <w:lang w:val="en-US"/>
        </w:rPr>
        <w:t xml:space="preserve"> </w:t>
      </w:r>
      <w:r w:rsidRPr="00B3497B">
        <w:rPr>
          <w:sz w:val="22"/>
          <w:szCs w:val="22"/>
          <w:lang w:val="en-US"/>
        </w:rPr>
        <w:t>(1975):</w:t>
      </w:r>
      <w:r w:rsidRPr="00B3497B">
        <w:rPr>
          <w:spacing w:val="-10"/>
          <w:sz w:val="22"/>
          <w:szCs w:val="22"/>
          <w:lang w:val="en-US"/>
        </w:rPr>
        <w:t xml:space="preserve"> </w:t>
      </w:r>
      <w:r w:rsidRPr="00B3497B">
        <w:rPr>
          <w:sz w:val="22"/>
          <w:szCs w:val="22"/>
          <w:lang w:val="en-US"/>
        </w:rPr>
        <w:t>Helplessness,</w:t>
      </w:r>
      <w:r w:rsidRPr="00B3497B">
        <w:rPr>
          <w:spacing w:val="-6"/>
          <w:sz w:val="22"/>
          <w:szCs w:val="22"/>
          <w:lang w:val="en-US"/>
        </w:rPr>
        <w:t xml:space="preserve"> </w:t>
      </w:r>
      <w:r w:rsidRPr="00B3497B">
        <w:rPr>
          <w:sz w:val="22"/>
          <w:szCs w:val="22"/>
          <w:lang w:val="en-US"/>
        </w:rPr>
        <w:t>San</w:t>
      </w:r>
      <w:r w:rsidRPr="00B3497B">
        <w:rPr>
          <w:spacing w:val="-8"/>
          <w:sz w:val="22"/>
          <w:szCs w:val="22"/>
          <w:lang w:val="en-US"/>
        </w:rPr>
        <w:t xml:space="preserve"> </w:t>
      </w:r>
      <w:r w:rsidRPr="00B3497B">
        <w:rPr>
          <w:sz w:val="22"/>
          <w:szCs w:val="22"/>
          <w:lang w:val="en-US"/>
        </w:rPr>
        <w:t>Francisco/CA:</w:t>
      </w:r>
      <w:r w:rsidRPr="00B3497B">
        <w:rPr>
          <w:spacing w:val="-5"/>
          <w:sz w:val="22"/>
          <w:szCs w:val="22"/>
          <w:lang w:val="en-US"/>
        </w:rPr>
        <w:t xml:space="preserve"> </w:t>
      </w:r>
      <w:r w:rsidRPr="00B3497B">
        <w:rPr>
          <w:spacing w:val="-2"/>
          <w:sz w:val="22"/>
          <w:szCs w:val="22"/>
          <w:lang w:val="en-US"/>
        </w:rPr>
        <w:t>Freeman.</w:t>
      </w:r>
    </w:p>
    <w:p w14:paraId="2FBB64E3" w14:textId="77777777" w:rsidR="00FF7799" w:rsidRPr="00B3497B" w:rsidRDefault="00FF7799" w:rsidP="00D6697D">
      <w:pPr>
        <w:pStyle w:val="StandardText"/>
        <w:rPr>
          <w:sz w:val="22"/>
          <w:szCs w:val="22"/>
          <w:lang w:val="en-US"/>
        </w:rPr>
      </w:pPr>
    </w:p>
    <w:p w14:paraId="431A35E7" w14:textId="77777777" w:rsidR="00FF7799" w:rsidRPr="00E73F6F" w:rsidRDefault="00FF7799" w:rsidP="00370236">
      <w:pPr>
        <w:pStyle w:val="berschrift1"/>
      </w:pPr>
      <w:r w:rsidRPr="008D1F1D">
        <w:rPr>
          <w:color w:val="2E74B5"/>
        </w:rPr>
        <w:t>Verhandlungs-Arbitrage</w:t>
      </w:r>
      <w:r w:rsidRPr="00E73F6F">
        <w:rPr>
          <w:spacing w:val="-10"/>
        </w:rPr>
        <w:t xml:space="preserve"> </w:t>
      </w:r>
      <w:r w:rsidRPr="00E73F6F">
        <w:rPr>
          <w:b w:val="0"/>
        </w:rPr>
        <w:sym w:font="Symbol" w:char="F0AE"/>
      </w:r>
      <w:r w:rsidRPr="00E73F6F">
        <w:rPr>
          <w:b w:val="0"/>
          <w:spacing w:val="-5"/>
        </w:rPr>
        <w:t xml:space="preserve"> </w:t>
      </w:r>
      <w:r w:rsidRPr="00E73F6F">
        <w:rPr>
          <w:b w:val="0"/>
        </w:rPr>
        <w:t>Arbitrage-</w:t>
      </w:r>
      <w:r w:rsidRPr="00E73F6F">
        <w:rPr>
          <w:b w:val="0"/>
          <w:spacing w:val="-2"/>
        </w:rPr>
        <w:t>Handel</w:t>
      </w:r>
    </w:p>
    <w:p w14:paraId="5C08F37D" w14:textId="77777777" w:rsidR="007745DA" w:rsidRPr="008D1F1D" w:rsidRDefault="007745DA" w:rsidP="007745DA">
      <w:pPr>
        <w:keepNext/>
        <w:keepLines/>
        <w:spacing w:before="240"/>
        <w:jc w:val="both"/>
        <w:outlineLvl w:val="1"/>
        <w:rPr>
          <w:b/>
          <w:bCs/>
          <w:color w:val="2E74B5"/>
          <w:sz w:val="24"/>
        </w:rPr>
      </w:pPr>
      <w:bookmarkStart w:id="173" w:name="_Toc310454138"/>
      <w:bookmarkStart w:id="174" w:name="_Toc310454348"/>
      <w:bookmarkStart w:id="175" w:name="_Toc310455639"/>
      <w:bookmarkStart w:id="176" w:name="_Toc332808311"/>
      <w:r w:rsidRPr="008D1F1D">
        <w:rPr>
          <w:b/>
          <w:bCs/>
          <w:color w:val="2E74B5"/>
          <w:sz w:val="24"/>
        </w:rPr>
        <w:t>Verkaufsförderung</w:t>
      </w:r>
      <w:bookmarkEnd w:id="173"/>
      <w:bookmarkEnd w:id="174"/>
      <w:bookmarkEnd w:id="175"/>
      <w:bookmarkEnd w:id="176"/>
    </w:p>
    <w:p w14:paraId="5E71E504" w14:textId="77777777" w:rsidR="007745DA" w:rsidRDefault="007745DA" w:rsidP="007745DA">
      <w:pPr>
        <w:jc w:val="both"/>
        <w:rPr>
          <w:szCs w:val="24"/>
          <w:lang w:bidi="en-US"/>
        </w:rPr>
      </w:pPr>
      <w:bookmarkStart w:id="177" w:name="_Toc69029337"/>
      <w:bookmarkStart w:id="178" w:name="_Toc358883027"/>
    </w:p>
    <w:p w14:paraId="526BA5CA" w14:textId="77777777" w:rsidR="007745DA" w:rsidRPr="007F69DA" w:rsidRDefault="007745DA" w:rsidP="007745DA">
      <w:pPr>
        <w:jc w:val="both"/>
        <w:rPr>
          <w:szCs w:val="24"/>
          <w:lang w:bidi="en-US"/>
        </w:rPr>
      </w:pPr>
      <w:r w:rsidRPr="007F69DA">
        <w:rPr>
          <w:szCs w:val="24"/>
          <w:lang w:bidi="en-US"/>
        </w:rPr>
        <w:t>1  Prinzip &amp; Nutzen der Verkaufsförderung</w:t>
      </w:r>
      <w:bookmarkEnd w:id="177"/>
      <w:bookmarkEnd w:id="178"/>
    </w:p>
    <w:p w14:paraId="06C42056" w14:textId="77777777" w:rsidR="007745DA" w:rsidRPr="007F69DA" w:rsidRDefault="007745DA" w:rsidP="007745DA">
      <w:pPr>
        <w:jc w:val="both"/>
        <w:rPr>
          <w:szCs w:val="24"/>
          <w:lang w:bidi="en-US"/>
        </w:rPr>
      </w:pPr>
      <w:r w:rsidRPr="007F69DA">
        <w:rPr>
          <w:szCs w:val="24"/>
          <w:lang w:bidi="en-US"/>
        </w:rPr>
        <w:t>Zeitlich befristete Aktionen, welche dazu bestimmt sind, den Verkauf von Waren und Dienstleistungen kurzfristig zu stimulieren (z.B. Zugaben), werden als Verkaufsförderung bzw. Sales Promotion bezeichnet. Zwar umwerben Hersteller auf diese Weise auch ihre Handelspartner, z.B. indem sie ihnen zeitlich befristete Sonderkonditionen, Werbekostenzuschüsse etc. gewähren oder andere Instrumente der Handels-Promotions einsetzen. Zumeist steht jedoch der Endverbraucher im Mittelpunkt der zahllosen Verkaufsförderungsaktionen von Herstellern und Händlern: d.h. die Verbraucher-Promotions. Deren Kaufintensität bzw. Kauffrequenz sollen gesteigert werden. Häufig verfolgt man auch das Ziel, ein neues Produkt bekannt zu machen – z.B. durch Verkostungsaktionen.</w:t>
      </w:r>
    </w:p>
    <w:p w14:paraId="2D193093" w14:textId="77777777" w:rsidR="007745DA" w:rsidRPr="007F69DA" w:rsidRDefault="007745DA" w:rsidP="007745DA">
      <w:pPr>
        <w:spacing w:line="360" w:lineRule="auto"/>
        <w:jc w:val="both"/>
        <w:rPr>
          <w:szCs w:val="24"/>
          <w:lang w:bidi="en-US"/>
        </w:rPr>
      </w:pPr>
    </w:p>
    <w:p w14:paraId="3A694D1F" w14:textId="77777777" w:rsidR="007745DA" w:rsidRPr="007F69DA" w:rsidRDefault="007745DA" w:rsidP="007745DA">
      <w:pPr>
        <w:jc w:val="both"/>
        <w:rPr>
          <w:szCs w:val="24"/>
          <w:lang w:bidi="en-US"/>
        </w:rPr>
      </w:pPr>
      <w:r w:rsidRPr="007F69DA">
        <w:rPr>
          <w:szCs w:val="24"/>
          <w:lang w:bidi="en-US"/>
        </w:rPr>
        <w:t xml:space="preserve">Das Instrumentarium der Verkaufsförderung ist vielgestaltig (vgl. Tab. 1). Die Wahrscheinlichkeit, dass Produkte aus einem bestimmten Land gekauft werden, lässt sich u.a. dadurch erhöhen, dass am Point-of-Sales landestypische Musik ausgestrahlt wird. North et al (1999) wiesen diesen Effekt am Beispiel von Wein aus Frankreich, der mit Musette-Musik beworben wird, empirisch nach. Ein anderes Beispiel: Clubkarten räumen ihren Besitzern diverse Vorteile ein (etwa frühzeitige Information, Mengenrabatte oder gelegentliche kostenlose Zugaben). Inhaber der Ikea Family Card etwa erhalten anlässlich des jährlichen Mittsommerfestes regelmäßig ein kleines Geschenk. Neuere Clubkarten sind mit einem Magnetstreifen ausgestattet, der es erlaubt, Rabattpunkte elektronisch zu sammeln. Diese ‘smart cards‘ sind üblicherweise Bestandteil eines Loyalitätsprogramms, welches die Kundenbindung stärken soll und den </w:t>
      </w:r>
      <w:r w:rsidRPr="007F69DA">
        <w:rPr>
          <w:szCs w:val="24"/>
          <w:lang w:bidi="en-US"/>
        </w:rPr>
        <w:lastRenderedPageBreak/>
        <w:t>beteiligten Unternehmen wertvolle Informationen über das Kaufverhalten ihrer Kunden liefert (z.B. Payback).</w:t>
      </w:r>
    </w:p>
    <w:p w14:paraId="74C0704E" w14:textId="77777777" w:rsidR="007745DA" w:rsidRPr="007F69DA" w:rsidRDefault="007745DA" w:rsidP="007745DA">
      <w:pPr>
        <w:spacing w:line="360" w:lineRule="auto"/>
        <w:jc w:val="both"/>
        <w:rPr>
          <w:szCs w:val="24"/>
          <w:lang w:bidi="en-US"/>
        </w:rPr>
      </w:pPr>
    </w:p>
    <w:p w14:paraId="15A15C92" w14:textId="77777777" w:rsidR="007745DA" w:rsidRPr="00330087" w:rsidRDefault="007745DA" w:rsidP="000B723F">
      <w:pPr>
        <w:spacing w:line="360" w:lineRule="auto"/>
        <w:jc w:val="center"/>
        <w:rPr>
          <w:i/>
          <w:szCs w:val="24"/>
          <w:lang w:bidi="en-US"/>
        </w:rPr>
      </w:pPr>
      <w:r w:rsidRPr="00330087">
        <w:rPr>
          <w:i/>
          <w:szCs w:val="24"/>
          <w:lang w:bidi="en-US"/>
        </w:rPr>
        <w:t>Tab. 1: Ausgewählte Instrumente der Verkaufsförderung</w:t>
      </w:r>
    </w:p>
    <w:tbl>
      <w:tblPr>
        <w:tblW w:w="8806" w:type="dxa"/>
        <w:tblInd w:w="70" w:type="dxa"/>
        <w:tblBorders>
          <w:top w:val="single" w:sz="4" w:space="0" w:color="auto"/>
          <w:left w:val="single" w:sz="4" w:space="0" w:color="auto"/>
          <w:bottom w:val="single" w:sz="4" w:space="0" w:color="auto"/>
          <w:right w:val="single" w:sz="4" w:space="0" w:color="auto"/>
          <w:insideH w:val="single" w:sz="4" w:space="0" w:color="auto"/>
        </w:tblBorders>
        <w:tblLayout w:type="fixed"/>
        <w:tblCellMar>
          <w:left w:w="70" w:type="dxa"/>
          <w:right w:w="70" w:type="dxa"/>
        </w:tblCellMar>
        <w:tblLook w:val="0000" w:firstRow="0" w:lastRow="0" w:firstColumn="0" w:lastColumn="0" w:noHBand="0" w:noVBand="0"/>
      </w:tblPr>
      <w:tblGrid>
        <w:gridCol w:w="1444"/>
        <w:gridCol w:w="3229"/>
        <w:gridCol w:w="4133"/>
      </w:tblGrid>
      <w:tr w:rsidR="007745DA" w:rsidRPr="007F69DA" w14:paraId="2477AF36" w14:textId="77777777" w:rsidTr="000B723F">
        <w:trPr>
          <w:trHeight w:val="406"/>
        </w:trPr>
        <w:tc>
          <w:tcPr>
            <w:tcW w:w="1444" w:type="dxa"/>
            <w:tcBorders>
              <w:right w:val="single" w:sz="4" w:space="0" w:color="auto"/>
            </w:tcBorders>
            <w:shd w:val="clear" w:color="auto" w:fill="FFC000" w:themeFill="accent4"/>
          </w:tcPr>
          <w:p w14:paraId="6A6906CE" w14:textId="77777777" w:rsidR="007745DA" w:rsidRPr="007F69DA" w:rsidRDefault="007745DA" w:rsidP="00F46ACB">
            <w:pPr>
              <w:spacing w:line="360" w:lineRule="auto"/>
              <w:jc w:val="both"/>
              <w:rPr>
                <w:szCs w:val="24"/>
                <w:lang w:bidi="en-US"/>
              </w:rPr>
            </w:pPr>
            <w:r w:rsidRPr="007F69DA">
              <w:rPr>
                <w:szCs w:val="24"/>
                <w:lang w:bidi="en-US"/>
              </w:rPr>
              <w:t>Instrument</w:t>
            </w:r>
          </w:p>
        </w:tc>
        <w:tc>
          <w:tcPr>
            <w:tcW w:w="3229" w:type="dxa"/>
            <w:tcBorders>
              <w:left w:val="single" w:sz="4" w:space="0" w:color="auto"/>
            </w:tcBorders>
            <w:shd w:val="clear" w:color="auto" w:fill="FFC000" w:themeFill="accent4"/>
          </w:tcPr>
          <w:p w14:paraId="5A370EC3" w14:textId="77777777" w:rsidR="007745DA" w:rsidRPr="007F69DA" w:rsidRDefault="007745DA" w:rsidP="000B723F">
            <w:pPr>
              <w:spacing w:line="360" w:lineRule="auto"/>
              <w:jc w:val="center"/>
              <w:rPr>
                <w:szCs w:val="24"/>
                <w:lang w:bidi="en-US"/>
              </w:rPr>
            </w:pPr>
            <w:r w:rsidRPr="007F69DA">
              <w:rPr>
                <w:szCs w:val="24"/>
                <w:lang w:bidi="en-US"/>
              </w:rPr>
              <w:t>Prinzip</w:t>
            </w:r>
          </w:p>
        </w:tc>
        <w:tc>
          <w:tcPr>
            <w:tcW w:w="4133" w:type="dxa"/>
            <w:shd w:val="clear" w:color="auto" w:fill="FFC000" w:themeFill="accent4"/>
          </w:tcPr>
          <w:p w14:paraId="0D3E2755" w14:textId="77777777" w:rsidR="007745DA" w:rsidRPr="007F69DA" w:rsidRDefault="007745DA" w:rsidP="000B723F">
            <w:pPr>
              <w:spacing w:line="360" w:lineRule="auto"/>
              <w:jc w:val="center"/>
              <w:rPr>
                <w:szCs w:val="24"/>
                <w:lang w:bidi="en-US"/>
              </w:rPr>
            </w:pPr>
            <w:r w:rsidRPr="007F69DA">
              <w:rPr>
                <w:szCs w:val="24"/>
                <w:lang w:bidi="en-US"/>
              </w:rPr>
              <w:t>Erhoffte Wirkung</w:t>
            </w:r>
          </w:p>
        </w:tc>
      </w:tr>
      <w:tr w:rsidR="007745DA" w:rsidRPr="007F69DA" w14:paraId="02DAB1C7" w14:textId="77777777" w:rsidTr="000B723F">
        <w:trPr>
          <w:trHeight w:val="1217"/>
        </w:trPr>
        <w:tc>
          <w:tcPr>
            <w:tcW w:w="1444" w:type="dxa"/>
            <w:tcBorders>
              <w:right w:val="single" w:sz="4" w:space="0" w:color="auto"/>
            </w:tcBorders>
            <w:shd w:val="clear" w:color="auto" w:fill="FFF2CC" w:themeFill="accent4" w:themeFillTint="33"/>
          </w:tcPr>
          <w:p w14:paraId="1E898176" w14:textId="77777777" w:rsidR="007745DA" w:rsidRPr="007F69DA" w:rsidRDefault="007745DA" w:rsidP="00F46ACB">
            <w:pPr>
              <w:spacing w:line="360" w:lineRule="auto"/>
              <w:jc w:val="both"/>
              <w:rPr>
                <w:szCs w:val="24"/>
                <w:lang w:bidi="en-US"/>
              </w:rPr>
            </w:pPr>
            <w:r w:rsidRPr="007F69DA">
              <w:rPr>
                <w:szCs w:val="24"/>
                <w:lang w:bidi="en-US"/>
              </w:rPr>
              <w:t>Gewinnspiel</w:t>
            </w:r>
          </w:p>
        </w:tc>
        <w:tc>
          <w:tcPr>
            <w:tcW w:w="3229" w:type="dxa"/>
            <w:tcBorders>
              <w:left w:val="single" w:sz="4" w:space="0" w:color="auto"/>
            </w:tcBorders>
          </w:tcPr>
          <w:p w14:paraId="1C38535A" w14:textId="77777777" w:rsidR="007745DA" w:rsidRPr="007F69DA" w:rsidRDefault="007745DA" w:rsidP="00F46ACB">
            <w:pPr>
              <w:spacing w:line="360" w:lineRule="auto"/>
              <w:jc w:val="both"/>
              <w:rPr>
                <w:szCs w:val="24"/>
                <w:lang w:bidi="en-US"/>
              </w:rPr>
            </w:pPr>
            <w:r w:rsidRPr="007F69DA">
              <w:rPr>
                <w:szCs w:val="24"/>
                <w:lang w:bidi="en-US"/>
              </w:rPr>
              <w:t>Kunde kann Produkte oder Dienstleistungen des Anbieters gewinnen</w:t>
            </w:r>
          </w:p>
        </w:tc>
        <w:tc>
          <w:tcPr>
            <w:tcW w:w="4133" w:type="dxa"/>
          </w:tcPr>
          <w:p w14:paraId="37E2621D" w14:textId="77777777" w:rsidR="007745DA" w:rsidRPr="007F69DA" w:rsidRDefault="007745DA" w:rsidP="00F46ACB">
            <w:pPr>
              <w:spacing w:line="360" w:lineRule="auto"/>
              <w:jc w:val="both"/>
              <w:rPr>
                <w:szCs w:val="24"/>
                <w:lang w:bidi="en-US"/>
              </w:rPr>
            </w:pPr>
            <w:r w:rsidRPr="007F69DA">
              <w:rPr>
                <w:szCs w:val="24"/>
                <w:lang w:bidi="en-US"/>
              </w:rPr>
              <w:t>Steigerung der Aufmerksamkeit und Verkaufsmenge, Sammlung von Kundendaten</w:t>
            </w:r>
          </w:p>
        </w:tc>
      </w:tr>
      <w:tr w:rsidR="007745DA" w:rsidRPr="007F69DA" w14:paraId="0B979961" w14:textId="77777777" w:rsidTr="000B723F">
        <w:trPr>
          <w:trHeight w:val="811"/>
        </w:trPr>
        <w:tc>
          <w:tcPr>
            <w:tcW w:w="1444" w:type="dxa"/>
            <w:tcBorders>
              <w:right w:val="single" w:sz="4" w:space="0" w:color="auto"/>
            </w:tcBorders>
            <w:shd w:val="clear" w:color="auto" w:fill="FFF2CC" w:themeFill="accent4" w:themeFillTint="33"/>
          </w:tcPr>
          <w:p w14:paraId="1AE2DE76" w14:textId="77777777" w:rsidR="007745DA" w:rsidRPr="007F69DA" w:rsidRDefault="007745DA" w:rsidP="00F46ACB">
            <w:pPr>
              <w:spacing w:line="360" w:lineRule="auto"/>
              <w:jc w:val="both"/>
              <w:rPr>
                <w:szCs w:val="24"/>
                <w:lang w:bidi="en-US"/>
              </w:rPr>
            </w:pPr>
            <w:r w:rsidRPr="007F69DA">
              <w:rPr>
                <w:szCs w:val="24"/>
                <w:lang w:bidi="en-US"/>
              </w:rPr>
              <w:t>Preissenkung</w:t>
            </w:r>
          </w:p>
        </w:tc>
        <w:tc>
          <w:tcPr>
            <w:tcW w:w="3229" w:type="dxa"/>
            <w:tcBorders>
              <w:left w:val="single" w:sz="4" w:space="0" w:color="auto"/>
            </w:tcBorders>
          </w:tcPr>
          <w:p w14:paraId="0C7D0D12" w14:textId="77777777" w:rsidR="007745DA" w:rsidRPr="007F69DA" w:rsidRDefault="007745DA" w:rsidP="00F46ACB">
            <w:pPr>
              <w:spacing w:line="360" w:lineRule="auto"/>
              <w:jc w:val="both"/>
              <w:rPr>
                <w:szCs w:val="24"/>
                <w:lang w:bidi="en-US"/>
              </w:rPr>
            </w:pPr>
            <w:r w:rsidRPr="007F69DA">
              <w:rPr>
                <w:szCs w:val="24"/>
                <w:lang w:bidi="en-US"/>
              </w:rPr>
              <w:t>Kurzfristige Reduktion des Endpreises</w:t>
            </w:r>
          </w:p>
        </w:tc>
        <w:tc>
          <w:tcPr>
            <w:tcW w:w="4133" w:type="dxa"/>
          </w:tcPr>
          <w:p w14:paraId="346B187F" w14:textId="77777777" w:rsidR="007745DA" w:rsidRPr="007F69DA" w:rsidRDefault="007745DA" w:rsidP="00F46ACB">
            <w:pPr>
              <w:spacing w:line="360" w:lineRule="auto"/>
              <w:jc w:val="both"/>
              <w:rPr>
                <w:szCs w:val="24"/>
                <w:lang w:bidi="en-US"/>
              </w:rPr>
            </w:pPr>
            <w:r w:rsidRPr="007F69DA">
              <w:rPr>
                <w:szCs w:val="24"/>
                <w:lang w:bidi="en-US"/>
              </w:rPr>
              <w:t>Erhöhung der Verkaufsmenge</w:t>
            </w:r>
          </w:p>
        </w:tc>
      </w:tr>
      <w:tr w:rsidR="007745DA" w:rsidRPr="007F69DA" w14:paraId="0D45DEDA" w14:textId="77777777" w:rsidTr="000B723F">
        <w:trPr>
          <w:trHeight w:val="1639"/>
        </w:trPr>
        <w:tc>
          <w:tcPr>
            <w:tcW w:w="1444" w:type="dxa"/>
            <w:tcBorders>
              <w:right w:val="single" w:sz="4" w:space="0" w:color="auto"/>
            </w:tcBorders>
            <w:shd w:val="clear" w:color="auto" w:fill="FFF2CC" w:themeFill="accent4" w:themeFillTint="33"/>
          </w:tcPr>
          <w:p w14:paraId="51E3DE87" w14:textId="77777777" w:rsidR="007745DA" w:rsidRPr="007F69DA" w:rsidRDefault="007745DA" w:rsidP="00F46ACB">
            <w:pPr>
              <w:spacing w:line="360" w:lineRule="auto"/>
              <w:jc w:val="both"/>
              <w:rPr>
                <w:szCs w:val="24"/>
                <w:lang w:bidi="en-US"/>
              </w:rPr>
            </w:pPr>
            <w:r w:rsidRPr="007F69DA">
              <w:rPr>
                <w:szCs w:val="24"/>
                <w:lang w:bidi="en-US"/>
              </w:rPr>
              <w:t>Preis</w:t>
            </w:r>
            <w:r w:rsidRPr="007F69DA">
              <w:rPr>
                <w:szCs w:val="24"/>
                <w:lang w:bidi="en-US"/>
              </w:rPr>
              <w:softHyphen/>
              <w:t>bündelung</w:t>
            </w:r>
          </w:p>
        </w:tc>
        <w:tc>
          <w:tcPr>
            <w:tcW w:w="3229" w:type="dxa"/>
            <w:tcBorders>
              <w:left w:val="single" w:sz="4" w:space="0" w:color="auto"/>
            </w:tcBorders>
          </w:tcPr>
          <w:p w14:paraId="2DDCB50A" w14:textId="77777777" w:rsidR="007745DA" w:rsidRPr="007F69DA" w:rsidRDefault="007745DA" w:rsidP="00F46ACB">
            <w:pPr>
              <w:spacing w:line="360" w:lineRule="auto"/>
              <w:jc w:val="both"/>
              <w:rPr>
                <w:szCs w:val="24"/>
                <w:lang w:bidi="en-US"/>
              </w:rPr>
            </w:pPr>
            <w:r w:rsidRPr="007F69DA">
              <w:rPr>
                <w:szCs w:val="24"/>
                <w:lang w:bidi="en-US"/>
              </w:rPr>
              <w:t>Preisreduktion zweier oder mehrerer Artikel, wenn diese nicht einzeln, sondern gemeinsam gekauft werden</w:t>
            </w:r>
          </w:p>
        </w:tc>
        <w:tc>
          <w:tcPr>
            <w:tcW w:w="4133" w:type="dxa"/>
          </w:tcPr>
          <w:p w14:paraId="071A0BDD" w14:textId="77777777" w:rsidR="007745DA" w:rsidRPr="007F69DA" w:rsidRDefault="007745DA" w:rsidP="00F46ACB">
            <w:pPr>
              <w:spacing w:line="360" w:lineRule="auto"/>
              <w:jc w:val="both"/>
              <w:rPr>
                <w:szCs w:val="24"/>
                <w:lang w:bidi="en-US"/>
              </w:rPr>
            </w:pPr>
            <w:r w:rsidRPr="007F69DA">
              <w:rPr>
                <w:szCs w:val="24"/>
                <w:lang w:bidi="en-US"/>
              </w:rPr>
              <w:t>Erhöhung der Verkaufsmenge</w:t>
            </w:r>
          </w:p>
        </w:tc>
      </w:tr>
      <w:tr w:rsidR="007745DA" w:rsidRPr="007F69DA" w14:paraId="2D505C45" w14:textId="77777777" w:rsidTr="000B723F">
        <w:trPr>
          <w:trHeight w:val="811"/>
        </w:trPr>
        <w:tc>
          <w:tcPr>
            <w:tcW w:w="1444" w:type="dxa"/>
            <w:tcBorders>
              <w:right w:val="single" w:sz="4" w:space="0" w:color="auto"/>
            </w:tcBorders>
            <w:shd w:val="clear" w:color="auto" w:fill="FFF2CC" w:themeFill="accent4" w:themeFillTint="33"/>
          </w:tcPr>
          <w:p w14:paraId="4C830233" w14:textId="77777777" w:rsidR="007745DA" w:rsidRPr="007F69DA" w:rsidRDefault="007745DA" w:rsidP="00F46ACB">
            <w:pPr>
              <w:spacing w:line="360" w:lineRule="auto"/>
              <w:jc w:val="both"/>
              <w:rPr>
                <w:szCs w:val="24"/>
                <w:lang w:bidi="en-US"/>
              </w:rPr>
            </w:pPr>
            <w:r w:rsidRPr="007F69DA">
              <w:rPr>
                <w:szCs w:val="24"/>
                <w:lang w:bidi="en-US"/>
              </w:rPr>
              <w:t>Produktzugabe</w:t>
            </w:r>
          </w:p>
        </w:tc>
        <w:tc>
          <w:tcPr>
            <w:tcW w:w="3229" w:type="dxa"/>
            <w:tcBorders>
              <w:left w:val="single" w:sz="4" w:space="0" w:color="auto"/>
            </w:tcBorders>
          </w:tcPr>
          <w:p w14:paraId="58F8306C" w14:textId="77777777" w:rsidR="007745DA" w:rsidRPr="007F69DA" w:rsidRDefault="007745DA" w:rsidP="00F46ACB">
            <w:pPr>
              <w:spacing w:line="360" w:lineRule="auto"/>
              <w:jc w:val="both"/>
              <w:rPr>
                <w:szCs w:val="24"/>
                <w:lang w:bidi="en-US"/>
              </w:rPr>
            </w:pPr>
            <w:r w:rsidRPr="007F69DA">
              <w:rPr>
                <w:szCs w:val="24"/>
                <w:lang w:bidi="en-US"/>
              </w:rPr>
              <w:t xml:space="preserve">Verteilung von Gratisproben </w:t>
            </w:r>
          </w:p>
        </w:tc>
        <w:tc>
          <w:tcPr>
            <w:tcW w:w="4133" w:type="dxa"/>
          </w:tcPr>
          <w:p w14:paraId="44668D87" w14:textId="77777777" w:rsidR="007745DA" w:rsidRPr="007F69DA" w:rsidRDefault="007745DA" w:rsidP="00F46ACB">
            <w:pPr>
              <w:spacing w:line="360" w:lineRule="auto"/>
              <w:jc w:val="both"/>
              <w:rPr>
                <w:szCs w:val="24"/>
                <w:lang w:bidi="en-US"/>
              </w:rPr>
            </w:pPr>
            <w:r w:rsidRPr="007F69DA">
              <w:rPr>
                <w:szCs w:val="24"/>
                <w:lang w:bidi="en-US"/>
              </w:rPr>
              <w:t>Steigerung der Aufmerksamkeit und der Erstkaufrate</w:t>
            </w:r>
          </w:p>
        </w:tc>
      </w:tr>
      <w:tr w:rsidR="007745DA" w:rsidRPr="007F69DA" w14:paraId="441E3900" w14:textId="77777777" w:rsidTr="000B723F">
        <w:trPr>
          <w:trHeight w:val="2452"/>
        </w:trPr>
        <w:tc>
          <w:tcPr>
            <w:tcW w:w="1444" w:type="dxa"/>
            <w:tcBorders>
              <w:right w:val="single" w:sz="4" w:space="0" w:color="auto"/>
            </w:tcBorders>
            <w:shd w:val="clear" w:color="auto" w:fill="FFF2CC" w:themeFill="accent4" w:themeFillTint="33"/>
          </w:tcPr>
          <w:p w14:paraId="7EF08FF0" w14:textId="77777777" w:rsidR="007745DA" w:rsidRPr="007F69DA" w:rsidRDefault="007745DA" w:rsidP="00F46ACB">
            <w:pPr>
              <w:spacing w:line="360" w:lineRule="auto"/>
              <w:jc w:val="both"/>
              <w:rPr>
                <w:szCs w:val="24"/>
                <w:lang w:bidi="en-US"/>
              </w:rPr>
            </w:pPr>
            <w:r w:rsidRPr="007F69DA">
              <w:rPr>
                <w:szCs w:val="24"/>
                <w:lang w:bidi="en-US"/>
              </w:rPr>
              <w:t>Coupons</w:t>
            </w:r>
          </w:p>
        </w:tc>
        <w:tc>
          <w:tcPr>
            <w:tcW w:w="3229" w:type="dxa"/>
            <w:tcBorders>
              <w:left w:val="single" w:sz="4" w:space="0" w:color="auto"/>
            </w:tcBorders>
          </w:tcPr>
          <w:p w14:paraId="6DCEF853" w14:textId="77777777" w:rsidR="007745DA" w:rsidRPr="007F69DA" w:rsidRDefault="007745DA" w:rsidP="00F46ACB">
            <w:pPr>
              <w:spacing w:line="360" w:lineRule="auto"/>
              <w:jc w:val="both"/>
              <w:rPr>
                <w:szCs w:val="24"/>
                <w:lang w:bidi="en-US"/>
              </w:rPr>
            </w:pPr>
            <w:r w:rsidRPr="007F69DA">
              <w:rPr>
                <w:szCs w:val="24"/>
                <w:lang w:bidi="en-US"/>
              </w:rPr>
              <w:t>Verteilung von Wertgutscheinen (z.B. in Zeitungen, auf den Kassenbon bzw. auf die Verpackung gedruckt oder per Direct Mail versandt)</w:t>
            </w:r>
          </w:p>
        </w:tc>
        <w:tc>
          <w:tcPr>
            <w:tcW w:w="4133" w:type="dxa"/>
          </w:tcPr>
          <w:p w14:paraId="38197805" w14:textId="77777777" w:rsidR="007745DA" w:rsidRPr="007F69DA" w:rsidRDefault="007745DA" w:rsidP="00F46ACB">
            <w:pPr>
              <w:spacing w:line="360" w:lineRule="auto"/>
              <w:jc w:val="both"/>
              <w:rPr>
                <w:szCs w:val="24"/>
                <w:lang w:bidi="en-US"/>
              </w:rPr>
            </w:pPr>
            <w:r w:rsidRPr="007F69DA">
              <w:rPr>
                <w:szCs w:val="24"/>
                <w:lang w:bidi="en-US"/>
              </w:rPr>
              <w:t>Erhöhung der Verkaufsmenge</w:t>
            </w:r>
          </w:p>
        </w:tc>
      </w:tr>
      <w:tr w:rsidR="007745DA" w:rsidRPr="007F69DA" w14:paraId="3587E304" w14:textId="77777777" w:rsidTr="000B723F">
        <w:trPr>
          <w:trHeight w:val="1639"/>
        </w:trPr>
        <w:tc>
          <w:tcPr>
            <w:tcW w:w="1444" w:type="dxa"/>
            <w:tcBorders>
              <w:right w:val="single" w:sz="4" w:space="0" w:color="auto"/>
            </w:tcBorders>
            <w:shd w:val="clear" w:color="auto" w:fill="FFF2CC" w:themeFill="accent4" w:themeFillTint="33"/>
          </w:tcPr>
          <w:p w14:paraId="567D7F07" w14:textId="77777777" w:rsidR="007745DA" w:rsidRPr="007F69DA" w:rsidRDefault="007745DA" w:rsidP="00F46ACB">
            <w:pPr>
              <w:spacing w:line="360" w:lineRule="auto"/>
              <w:jc w:val="both"/>
              <w:rPr>
                <w:szCs w:val="24"/>
                <w:lang w:bidi="en-US"/>
              </w:rPr>
            </w:pPr>
            <w:r w:rsidRPr="007F69DA">
              <w:rPr>
                <w:szCs w:val="24"/>
                <w:lang w:bidi="en-US"/>
              </w:rPr>
              <w:t>Verkostung</w:t>
            </w:r>
          </w:p>
        </w:tc>
        <w:tc>
          <w:tcPr>
            <w:tcW w:w="3229" w:type="dxa"/>
            <w:tcBorders>
              <w:left w:val="single" w:sz="4" w:space="0" w:color="auto"/>
            </w:tcBorders>
          </w:tcPr>
          <w:p w14:paraId="277F1B11" w14:textId="77777777" w:rsidR="007745DA" w:rsidRPr="007F69DA" w:rsidRDefault="007745DA" w:rsidP="00F46ACB">
            <w:pPr>
              <w:spacing w:line="360" w:lineRule="auto"/>
              <w:jc w:val="both"/>
              <w:rPr>
                <w:szCs w:val="24"/>
                <w:lang w:bidi="en-US"/>
              </w:rPr>
            </w:pPr>
            <w:r w:rsidRPr="007F69DA">
              <w:rPr>
                <w:szCs w:val="24"/>
                <w:lang w:bidi="en-US"/>
              </w:rPr>
              <w:t>Kunde kann am Point-of-Sale</w:t>
            </w:r>
            <w:r w:rsidRPr="007F69DA">
              <w:rPr>
                <w:szCs w:val="24"/>
                <w:lang w:bidi="en-US"/>
              </w:rPr>
              <w:br/>
              <w:t>kostenlos Lebensmittel probieren</w:t>
            </w:r>
          </w:p>
        </w:tc>
        <w:tc>
          <w:tcPr>
            <w:tcW w:w="4133" w:type="dxa"/>
          </w:tcPr>
          <w:p w14:paraId="523E27C0" w14:textId="77777777" w:rsidR="007745DA" w:rsidRPr="007F69DA" w:rsidRDefault="007745DA" w:rsidP="00F46ACB">
            <w:pPr>
              <w:spacing w:line="360" w:lineRule="auto"/>
              <w:jc w:val="both"/>
              <w:rPr>
                <w:szCs w:val="24"/>
                <w:lang w:bidi="en-US"/>
              </w:rPr>
            </w:pPr>
            <w:r w:rsidRPr="007F69DA">
              <w:rPr>
                <w:szCs w:val="24"/>
                <w:lang w:bidi="en-US"/>
              </w:rPr>
              <w:t>Steigerung der Aufmerksamkeit und der Erstkaufrate</w:t>
            </w:r>
          </w:p>
        </w:tc>
      </w:tr>
      <w:tr w:rsidR="007745DA" w:rsidRPr="007F69DA" w14:paraId="2DE5B745" w14:textId="77777777" w:rsidTr="000B723F">
        <w:trPr>
          <w:trHeight w:val="1217"/>
        </w:trPr>
        <w:tc>
          <w:tcPr>
            <w:tcW w:w="1444" w:type="dxa"/>
            <w:tcBorders>
              <w:right w:val="single" w:sz="4" w:space="0" w:color="auto"/>
            </w:tcBorders>
            <w:shd w:val="clear" w:color="auto" w:fill="FFF2CC" w:themeFill="accent4" w:themeFillTint="33"/>
          </w:tcPr>
          <w:p w14:paraId="391CEA5E" w14:textId="77777777" w:rsidR="007745DA" w:rsidRPr="007F69DA" w:rsidRDefault="007745DA" w:rsidP="00F46ACB">
            <w:pPr>
              <w:spacing w:line="360" w:lineRule="auto"/>
              <w:jc w:val="both"/>
              <w:rPr>
                <w:szCs w:val="24"/>
                <w:lang w:bidi="en-US"/>
              </w:rPr>
            </w:pPr>
            <w:r w:rsidRPr="007F69DA">
              <w:rPr>
                <w:szCs w:val="24"/>
                <w:lang w:bidi="en-US"/>
              </w:rPr>
              <w:t>Zweit-platzierung</w:t>
            </w:r>
          </w:p>
        </w:tc>
        <w:tc>
          <w:tcPr>
            <w:tcW w:w="3229" w:type="dxa"/>
            <w:tcBorders>
              <w:left w:val="single" w:sz="4" w:space="0" w:color="auto"/>
            </w:tcBorders>
          </w:tcPr>
          <w:p w14:paraId="2557F0CA" w14:textId="77777777" w:rsidR="007745DA" w:rsidRPr="007F69DA" w:rsidRDefault="007745DA" w:rsidP="00F46ACB">
            <w:pPr>
              <w:spacing w:line="360" w:lineRule="auto"/>
              <w:jc w:val="both"/>
              <w:rPr>
                <w:szCs w:val="24"/>
                <w:lang w:bidi="en-US"/>
              </w:rPr>
            </w:pPr>
            <w:r w:rsidRPr="007F69DA">
              <w:rPr>
                <w:szCs w:val="24"/>
                <w:lang w:bidi="en-US"/>
              </w:rPr>
              <w:t>Präsentation von Produkten an hervorgehobenen Stellen in der Einkaufsstätte</w:t>
            </w:r>
          </w:p>
        </w:tc>
        <w:tc>
          <w:tcPr>
            <w:tcW w:w="4133" w:type="dxa"/>
          </w:tcPr>
          <w:p w14:paraId="39BD4AA7" w14:textId="77777777" w:rsidR="007745DA" w:rsidRPr="007F69DA" w:rsidRDefault="007745DA" w:rsidP="00F46ACB">
            <w:pPr>
              <w:spacing w:line="360" w:lineRule="auto"/>
              <w:jc w:val="both"/>
              <w:rPr>
                <w:szCs w:val="24"/>
                <w:lang w:bidi="en-US"/>
              </w:rPr>
            </w:pPr>
            <w:r w:rsidRPr="007F69DA">
              <w:rPr>
                <w:szCs w:val="24"/>
                <w:lang w:bidi="en-US"/>
              </w:rPr>
              <w:t>Steigerung der Aufmerksamkeit und der Erstkaufrate</w:t>
            </w:r>
          </w:p>
        </w:tc>
      </w:tr>
    </w:tbl>
    <w:p w14:paraId="60B49A4C" w14:textId="77777777" w:rsidR="007745DA" w:rsidRPr="007F69DA" w:rsidRDefault="007745DA" w:rsidP="007745DA">
      <w:pPr>
        <w:spacing w:line="360" w:lineRule="auto"/>
        <w:jc w:val="both"/>
        <w:rPr>
          <w:szCs w:val="24"/>
          <w:lang w:bidi="en-US"/>
        </w:rPr>
      </w:pPr>
      <w:r w:rsidRPr="007F69DA">
        <w:rPr>
          <w:szCs w:val="24"/>
          <w:lang w:bidi="en-US"/>
        </w:rPr>
        <w:t>Quelle: Gedenk et al. (2006); Keegan/Schlegelmilch (2001, S.484).</w:t>
      </w:r>
    </w:p>
    <w:p w14:paraId="0B903359" w14:textId="77777777" w:rsidR="007745DA" w:rsidRPr="007F69DA" w:rsidRDefault="007745DA" w:rsidP="007745DA">
      <w:pPr>
        <w:spacing w:line="360" w:lineRule="auto"/>
        <w:jc w:val="both"/>
        <w:rPr>
          <w:szCs w:val="24"/>
          <w:lang w:bidi="en-US"/>
        </w:rPr>
      </w:pPr>
    </w:p>
    <w:p w14:paraId="360E99BA" w14:textId="77777777" w:rsidR="007745DA" w:rsidRPr="007F69DA" w:rsidRDefault="007745DA" w:rsidP="007745DA">
      <w:pPr>
        <w:jc w:val="both"/>
        <w:rPr>
          <w:szCs w:val="24"/>
          <w:lang w:bidi="en-US"/>
        </w:rPr>
      </w:pPr>
      <w:r w:rsidRPr="007F69DA">
        <w:rPr>
          <w:szCs w:val="24"/>
          <w:lang w:bidi="en-US"/>
        </w:rPr>
        <w:t>Viele der Instrumente sind mehr oder minder versteckte Zugaben oder Rabatte. Mit Hilfe von 3-für-2-Angeboten und anderen Formen der Preis-Promotions lässt sich zwar kurzfristig der Absatz intensivieren. Langfristig aber besteht die Gefahr, dass sich der Kunde an diese Vorteile gewöhnt und kaum mehr bereit ist, die so beworbenen Produkte zu „normalen“ Konditionen zu erwerben. Da entzogene Belohnungen wie Strafen wirken, besteht die Gefahr, dass die Rückkehr zu dem Preisniveau, das vor der Verkaufsförderungsaktion bestand, wie eine Preiserhöhung empfunden wird.</w:t>
      </w:r>
    </w:p>
    <w:p w14:paraId="692C377B" w14:textId="77777777" w:rsidR="007745DA" w:rsidRPr="007F69DA" w:rsidRDefault="007745DA" w:rsidP="007745DA">
      <w:pPr>
        <w:spacing w:line="360" w:lineRule="auto"/>
        <w:ind w:right="-851"/>
      </w:pPr>
    </w:p>
    <w:p w14:paraId="60594B63" w14:textId="77777777" w:rsidR="007745DA" w:rsidRPr="007F69DA" w:rsidRDefault="007745DA">
      <w:pPr>
        <w:pStyle w:val="Listenabsatz"/>
        <w:widowControl/>
        <w:numPr>
          <w:ilvl w:val="0"/>
          <w:numId w:val="68"/>
        </w:numPr>
        <w:autoSpaceDE/>
        <w:autoSpaceDN/>
        <w:ind w:left="426"/>
        <w:contextualSpacing/>
        <w:rPr>
          <w:szCs w:val="24"/>
          <w:lang w:bidi="en-US"/>
        </w:rPr>
      </w:pPr>
      <w:bookmarkStart w:id="179" w:name="_Toc69029338"/>
      <w:bookmarkStart w:id="180" w:name="_Toc358883028"/>
      <w:r w:rsidRPr="007F69DA">
        <w:rPr>
          <w:szCs w:val="24"/>
          <w:lang w:bidi="en-US"/>
        </w:rPr>
        <w:lastRenderedPageBreak/>
        <w:t>Nationale &amp; interkulturelle Unterschiede</w:t>
      </w:r>
      <w:bookmarkEnd w:id="179"/>
      <w:bookmarkEnd w:id="180"/>
      <w:r w:rsidRPr="007F69DA">
        <w:rPr>
          <w:szCs w:val="24"/>
          <w:lang w:bidi="en-US"/>
        </w:rPr>
        <w:t xml:space="preserve"> </w:t>
      </w:r>
      <w:bookmarkStart w:id="181" w:name="_Toc69029339"/>
      <w:bookmarkStart w:id="182" w:name="_Toc358883029"/>
    </w:p>
    <w:p w14:paraId="5CAE0FC5" w14:textId="77777777" w:rsidR="007745DA" w:rsidRPr="007F69DA" w:rsidRDefault="007745DA" w:rsidP="007745DA">
      <w:pPr>
        <w:jc w:val="both"/>
        <w:rPr>
          <w:szCs w:val="24"/>
          <w:lang w:bidi="en-US"/>
        </w:rPr>
      </w:pPr>
    </w:p>
    <w:p w14:paraId="1C9FED9B" w14:textId="3012576F" w:rsidR="007745DA" w:rsidRPr="00330087" w:rsidRDefault="000B723F" w:rsidP="007745DA">
      <w:pPr>
        <w:jc w:val="both"/>
        <w:rPr>
          <w:szCs w:val="24"/>
          <w:lang w:bidi="en-US"/>
        </w:rPr>
      </w:pPr>
      <w:r>
        <w:rPr>
          <w:szCs w:val="24"/>
          <w:lang w:bidi="en-US"/>
        </w:rPr>
        <w:t xml:space="preserve">2.1 </w:t>
      </w:r>
      <w:r w:rsidR="007745DA" w:rsidRPr="00330087">
        <w:rPr>
          <w:szCs w:val="24"/>
          <w:lang w:bidi="en-US"/>
        </w:rPr>
        <w:t>Einfluss des Recht</w:t>
      </w:r>
      <w:bookmarkEnd w:id="181"/>
      <w:bookmarkEnd w:id="182"/>
      <w:r w:rsidR="007745DA" w:rsidRPr="00330087">
        <w:rPr>
          <w:szCs w:val="24"/>
          <w:lang w:bidi="en-US"/>
        </w:rPr>
        <w:t>ssystems</w:t>
      </w:r>
    </w:p>
    <w:p w14:paraId="3E6B2282" w14:textId="77777777" w:rsidR="007745DA" w:rsidRPr="007F69DA" w:rsidRDefault="007745DA" w:rsidP="007745DA">
      <w:pPr>
        <w:jc w:val="both"/>
        <w:rPr>
          <w:szCs w:val="24"/>
          <w:lang w:bidi="en-US"/>
        </w:rPr>
      </w:pPr>
      <w:r w:rsidRPr="007F69DA">
        <w:rPr>
          <w:szCs w:val="24"/>
          <w:lang w:bidi="en-US"/>
        </w:rPr>
        <w:t xml:space="preserve">Auch hinsichtlich der Verkaufsförderung gelten die USA als das Land der „unbegrenzten Möglichkeiten“. Nirgendwo werden mehr Coupons verteilt. Im europäischen Binnenmarkt regeln zahlreiche Gesetze Art und Intensität der Sales Promotion. Vor allem ist sie laut Richtlinie 2000/31/EG eindeutig als Werbung zu kennzeichnen. Die natürliche oder juristische Person, welche Gewinnspiele, Preisnachlässe, Preisausschreiben, Zugaben, Geschenke etc. in Auftrag gegeben hat, muss identifizierbar sein. Weiterhin ist sicherzustellen, dass jedermann leicht in den Genuss dieser Maßnahmen kommen kann. Die Bedingungen, unter denen dies möglich ist, sind klar und unzweideutig zu kommunizieren. Nicht angeforderte Angebote, z.B. in Gestalt von elektronischer Post, müssen vom Adressaten als solche eindeutig erkennbar sein. Im Übrigen gilt das </w:t>
      </w:r>
      <w:r w:rsidRPr="007F69DA">
        <w:rPr>
          <w:rFonts w:ascii="Cambria Math" w:hAnsi="Cambria Math" w:cs="Cambria Math"/>
          <w:szCs w:val="24"/>
          <w:lang w:bidi="en-US"/>
        </w:rPr>
        <w:t>⇒</w:t>
      </w:r>
      <w:r w:rsidRPr="007F69DA">
        <w:rPr>
          <w:szCs w:val="24"/>
          <w:lang w:bidi="en-US"/>
        </w:rPr>
        <w:t xml:space="preserve"> Herkunftslandprinzip.</w:t>
      </w:r>
    </w:p>
    <w:p w14:paraId="2F17AED8" w14:textId="77777777" w:rsidR="007745DA" w:rsidRPr="007F69DA" w:rsidRDefault="007745DA" w:rsidP="007745DA">
      <w:pPr>
        <w:spacing w:line="360" w:lineRule="auto"/>
        <w:ind w:right="-851"/>
        <w:jc w:val="both"/>
        <w:rPr>
          <w:bCs/>
          <w:lang w:eastAsia="de-DE"/>
        </w:rPr>
      </w:pPr>
    </w:p>
    <w:p w14:paraId="3A9B513C" w14:textId="77777777" w:rsidR="007745DA" w:rsidRPr="007F69DA" w:rsidRDefault="007745DA" w:rsidP="007745DA">
      <w:pPr>
        <w:jc w:val="both"/>
        <w:rPr>
          <w:szCs w:val="24"/>
          <w:lang w:bidi="en-US"/>
        </w:rPr>
      </w:pPr>
      <w:r w:rsidRPr="007F69DA">
        <w:rPr>
          <w:szCs w:val="24"/>
          <w:lang w:bidi="en-US"/>
        </w:rPr>
        <w:t>Davon abgesehen herrschen in Großbritannien und Griechenland relativ liberale Bedingungen, während etwa in der Schweiz und insb. in Schweden vergleichsweise restriktive Auflagen die Möglichkeiten der Verkaufsförderung beschränken. So schreibt das schwedische „Marketing-Gesetz“ vor, dass mögliche Teilnehmer an Gewinnspielen eindeutig darüber informiert werden müssen, …</w:t>
      </w:r>
    </w:p>
    <w:p w14:paraId="7388508C" w14:textId="77777777" w:rsidR="007745DA" w:rsidRPr="007F69DA" w:rsidRDefault="007745DA" w:rsidP="000B723F">
      <w:pPr>
        <w:widowControl/>
        <w:numPr>
          <w:ilvl w:val="0"/>
          <w:numId w:val="70"/>
        </w:numPr>
        <w:autoSpaceDE/>
        <w:autoSpaceDN/>
        <w:ind w:left="567" w:right="-851"/>
        <w:contextualSpacing/>
        <w:jc w:val="both"/>
        <w:rPr>
          <w:lang w:bidi="en-US"/>
        </w:rPr>
      </w:pPr>
      <w:r w:rsidRPr="007F69DA">
        <w:rPr>
          <w:lang w:bidi="en-US"/>
        </w:rPr>
        <w:t xml:space="preserve">wie das Spiel funktioniert, </w:t>
      </w:r>
    </w:p>
    <w:p w14:paraId="4F86FE53" w14:textId="77777777" w:rsidR="007745DA" w:rsidRPr="007F69DA" w:rsidRDefault="007745DA" w:rsidP="000B723F">
      <w:pPr>
        <w:widowControl/>
        <w:numPr>
          <w:ilvl w:val="0"/>
          <w:numId w:val="70"/>
        </w:numPr>
        <w:autoSpaceDE/>
        <w:autoSpaceDN/>
        <w:ind w:left="567" w:right="-851"/>
        <w:contextualSpacing/>
        <w:jc w:val="both"/>
        <w:rPr>
          <w:lang w:bidi="en-US"/>
        </w:rPr>
      </w:pPr>
      <w:r w:rsidRPr="007F69DA">
        <w:rPr>
          <w:lang w:bidi="en-US"/>
        </w:rPr>
        <w:t xml:space="preserve">wie der Gewinner bestimmt und benachrichtigt wird, </w:t>
      </w:r>
    </w:p>
    <w:p w14:paraId="08D78C8C" w14:textId="77777777" w:rsidR="007745DA" w:rsidRPr="007F69DA" w:rsidRDefault="007745DA" w:rsidP="000B723F">
      <w:pPr>
        <w:widowControl/>
        <w:numPr>
          <w:ilvl w:val="0"/>
          <w:numId w:val="70"/>
        </w:numPr>
        <w:autoSpaceDE/>
        <w:autoSpaceDN/>
        <w:ind w:left="567" w:right="-851"/>
        <w:contextualSpacing/>
        <w:jc w:val="both"/>
        <w:rPr>
          <w:lang w:bidi="en-US"/>
        </w:rPr>
      </w:pPr>
      <w:r w:rsidRPr="007F69DA">
        <w:rPr>
          <w:lang w:bidi="en-US"/>
        </w:rPr>
        <w:t>welche Preise es zu gewinnen gibt,</w:t>
      </w:r>
    </w:p>
    <w:p w14:paraId="50379AE5" w14:textId="77777777" w:rsidR="007745DA" w:rsidRPr="007F69DA" w:rsidRDefault="007745DA" w:rsidP="000B723F">
      <w:pPr>
        <w:widowControl/>
        <w:numPr>
          <w:ilvl w:val="0"/>
          <w:numId w:val="70"/>
        </w:numPr>
        <w:autoSpaceDE/>
        <w:autoSpaceDN/>
        <w:ind w:left="567" w:right="-851"/>
        <w:contextualSpacing/>
        <w:jc w:val="both"/>
        <w:rPr>
          <w:lang w:bidi="en-US"/>
        </w:rPr>
      </w:pPr>
      <w:r w:rsidRPr="007F69DA">
        <w:rPr>
          <w:lang w:bidi="en-US"/>
        </w:rPr>
        <w:t xml:space="preserve">ob darauf Steuern zu entrichten sind. </w:t>
      </w:r>
    </w:p>
    <w:p w14:paraId="003E1A56" w14:textId="77777777" w:rsidR="007745DA" w:rsidRPr="007F69DA" w:rsidRDefault="007745DA" w:rsidP="000B723F">
      <w:pPr>
        <w:ind w:left="567" w:right="-851"/>
      </w:pPr>
    </w:p>
    <w:p w14:paraId="6985123B" w14:textId="77777777" w:rsidR="007745DA" w:rsidRPr="007F69DA" w:rsidRDefault="007745DA" w:rsidP="007745DA">
      <w:pPr>
        <w:jc w:val="both"/>
        <w:rPr>
          <w:szCs w:val="24"/>
          <w:lang w:bidi="en-US"/>
        </w:rPr>
      </w:pPr>
      <w:r w:rsidRPr="007F69DA">
        <w:rPr>
          <w:szCs w:val="24"/>
          <w:lang w:bidi="en-US"/>
        </w:rPr>
        <w:t>Einige Arten von Gewinnspielen unterliegen sogar dem Lotterie-Gesetz. Es legt fest, dass in Schweden Lotterien lediglich als Privatveranstaltungen erlaubt sind sowie nur dann, wenn sie einen gemeinnützigen Zweck verfolgen und nur relativ geringwertige Gewinne ausloben.</w:t>
      </w:r>
    </w:p>
    <w:p w14:paraId="31195C18" w14:textId="77777777" w:rsidR="007745DA" w:rsidRPr="007F69DA" w:rsidRDefault="007745DA" w:rsidP="007745DA">
      <w:pPr>
        <w:jc w:val="both"/>
        <w:rPr>
          <w:szCs w:val="24"/>
          <w:lang w:bidi="en-US"/>
        </w:rPr>
      </w:pPr>
    </w:p>
    <w:p w14:paraId="34EED3D8" w14:textId="77777777" w:rsidR="007745DA" w:rsidRPr="007F69DA" w:rsidRDefault="007745DA" w:rsidP="007745DA">
      <w:pPr>
        <w:jc w:val="both"/>
        <w:rPr>
          <w:szCs w:val="24"/>
          <w:lang w:bidi="en-US"/>
        </w:rPr>
      </w:pPr>
    </w:p>
    <w:p w14:paraId="4941D81D" w14:textId="061CC8DB" w:rsidR="007745DA" w:rsidRPr="00330087" w:rsidRDefault="000B723F" w:rsidP="007745DA">
      <w:pPr>
        <w:jc w:val="both"/>
        <w:rPr>
          <w:szCs w:val="24"/>
          <w:lang w:bidi="en-US"/>
        </w:rPr>
      </w:pPr>
      <w:bookmarkStart w:id="183" w:name="_Toc69029340"/>
      <w:bookmarkStart w:id="184" w:name="_Toc358883030"/>
      <w:r>
        <w:rPr>
          <w:szCs w:val="24"/>
          <w:lang w:bidi="en-US"/>
        </w:rPr>
        <w:t xml:space="preserve">2.2 </w:t>
      </w:r>
      <w:r w:rsidR="007745DA" w:rsidRPr="00330087">
        <w:rPr>
          <w:szCs w:val="24"/>
          <w:lang w:bidi="en-US"/>
        </w:rPr>
        <w:t>Akzeptanz von Verkaufsförderung</w:t>
      </w:r>
      <w:bookmarkEnd w:id="183"/>
      <w:bookmarkEnd w:id="184"/>
    </w:p>
    <w:p w14:paraId="7E0CB7C8" w14:textId="77777777" w:rsidR="007745DA" w:rsidRPr="007F69DA" w:rsidRDefault="007745DA" w:rsidP="007745DA">
      <w:pPr>
        <w:jc w:val="both"/>
        <w:rPr>
          <w:szCs w:val="24"/>
          <w:lang w:bidi="en-US"/>
        </w:rPr>
      </w:pPr>
      <w:r w:rsidRPr="007F69DA">
        <w:rPr>
          <w:szCs w:val="24"/>
          <w:lang w:bidi="en-US"/>
        </w:rPr>
        <w:t>Junge Konsumenten lehnen Verkaufsförderung zumeist weniger ab als traditionelle Medienwerbung (z.B. Werbespots im Fernsehen). Dies lässt sich u.a. den Ergebnissen des Yankelovich-Monitors aus dem Jahre 1993 entnehmen. Damals wurden 15- bis 34-Jährige aus sieben Ländern danach gefragt, welches der beiden Instrumente aus ihrer Sicht besser geeignet sei, neue Produkte bekannt zu machen. Während Werbung länderübergreifend offensichtlich wenig Vertrauen genießt, zeigen sich deutliche Unterschiede in der Akzeptanz von Sales Promotion. Nahezu die Hälfte der Amerikaner und Schweden, aber nur etwa jeder fünfte Deutsche oder Niederländer halten dieses Instrument für geeignet, sie über ein neue Produkte zu informieren (vgl. Abb. 1).</w:t>
      </w:r>
    </w:p>
    <w:p w14:paraId="48F37F66" w14:textId="77777777" w:rsidR="007745DA" w:rsidRPr="007F69DA" w:rsidRDefault="007745DA" w:rsidP="007745DA">
      <w:pPr>
        <w:spacing w:line="360" w:lineRule="auto"/>
        <w:ind w:right="-851"/>
      </w:pPr>
    </w:p>
    <w:p w14:paraId="406B3CC1" w14:textId="77777777" w:rsidR="007745DA" w:rsidRPr="00330087" w:rsidRDefault="007745DA" w:rsidP="007745DA">
      <w:pPr>
        <w:spacing w:after="120" w:line="360" w:lineRule="auto"/>
        <w:ind w:right="-851"/>
        <w:jc w:val="center"/>
        <w:rPr>
          <w:i/>
          <w:lang w:eastAsia="de-DE"/>
        </w:rPr>
      </w:pPr>
      <w:bookmarkStart w:id="185" w:name="_Ref76457960"/>
      <w:r w:rsidRPr="00330087">
        <w:rPr>
          <w:i/>
          <w:lang w:eastAsia="de-DE"/>
        </w:rPr>
        <w:t>Abb.</w:t>
      </w:r>
      <w:bookmarkEnd w:id="185"/>
      <w:r w:rsidRPr="00330087">
        <w:rPr>
          <w:i/>
          <w:lang w:eastAsia="de-DE"/>
        </w:rPr>
        <w:t xml:space="preserve"> 1: Akzeptanz von Verkaufsförderung &amp; Werbung zur Produkteinführung </w:t>
      </w:r>
    </w:p>
    <w:p w14:paraId="6D0683A3" w14:textId="77777777" w:rsidR="007745DA" w:rsidRPr="007F69DA" w:rsidRDefault="007745DA" w:rsidP="007745DA">
      <w:pPr>
        <w:spacing w:after="120" w:line="360" w:lineRule="auto"/>
        <w:ind w:right="-851"/>
        <w:jc w:val="center"/>
      </w:pPr>
      <w:r w:rsidRPr="007F69DA">
        <w:rPr>
          <w:noProof/>
          <w:lang w:eastAsia="de-DE"/>
        </w:rPr>
        <w:lastRenderedPageBreak/>
        <w:drawing>
          <wp:inline distT="0" distB="0" distL="0" distR="0" wp14:anchorId="7E879708" wp14:editId="32B9FBFA">
            <wp:extent cx="5603133" cy="2962275"/>
            <wp:effectExtent l="0" t="0" r="0" b="0"/>
            <wp:docPr id="1936165295" name="Grafik 1936165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5609371" cy="2965573"/>
                    </a:xfrm>
                    <a:prstGeom prst="rect">
                      <a:avLst/>
                    </a:prstGeom>
                    <a:noFill/>
                  </pic:spPr>
                </pic:pic>
              </a:graphicData>
            </a:graphic>
          </wp:inline>
        </w:drawing>
      </w:r>
    </w:p>
    <w:p w14:paraId="2DF50804" w14:textId="77777777" w:rsidR="007745DA" w:rsidRPr="007F69DA" w:rsidRDefault="007745DA" w:rsidP="007745DA">
      <w:pPr>
        <w:spacing w:before="120" w:after="120" w:line="360" w:lineRule="auto"/>
        <w:ind w:left="624" w:right="-851" w:hanging="624"/>
        <w:rPr>
          <w:lang w:eastAsia="de-DE"/>
        </w:rPr>
      </w:pPr>
      <w:r w:rsidRPr="007F69DA">
        <w:rPr>
          <w:lang w:eastAsia="de-DE"/>
        </w:rPr>
        <w:t>Quelle: Müller/Kornmeier (1994, S.56), auf der Basis des Yankelovich-Monitors (1993).</w:t>
      </w:r>
    </w:p>
    <w:p w14:paraId="2C414869" w14:textId="77777777" w:rsidR="007745DA" w:rsidRPr="007F69DA" w:rsidRDefault="007745DA" w:rsidP="007745DA">
      <w:pPr>
        <w:spacing w:line="360" w:lineRule="auto"/>
        <w:ind w:right="-851"/>
      </w:pPr>
    </w:p>
    <w:p w14:paraId="5F83BE82" w14:textId="77777777" w:rsidR="007745DA" w:rsidRPr="007F69DA" w:rsidRDefault="007745DA" w:rsidP="007745DA">
      <w:pPr>
        <w:jc w:val="both"/>
        <w:rPr>
          <w:szCs w:val="24"/>
          <w:lang w:bidi="en-US"/>
        </w:rPr>
      </w:pPr>
      <w:r w:rsidRPr="007F69DA">
        <w:rPr>
          <w:szCs w:val="24"/>
          <w:lang w:bidi="en-US"/>
        </w:rPr>
        <w:t xml:space="preserve">Auch innerhalb der einzelnen Instrumente bestehen deutliche Unterschiede. Junge amerikanische Käufer etwa schätzen Couponing mehr als ihre holländischen und deutschen Altersgenossen. Dies schlägt sich nicht zuletzt im Kommunikationsbudget amerikanischer Hersteller nieder: 70% der Gesamtausgaben für Promotion entfallen auf solche Gutscheine: (vgl. Keegan/Schlegelmilch 2001, S.482). </w:t>
      </w:r>
    </w:p>
    <w:p w14:paraId="5C305D50" w14:textId="77777777" w:rsidR="007745DA" w:rsidRPr="007F69DA" w:rsidRDefault="007745DA" w:rsidP="007745DA">
      <w:pPr>
        <w:spacing w:line="360" w:lineRule="auto"/>
        <w:ind w:right="-851"/>
      </w:pPr>
    </w:p>
    <w:p w14:paraId="4678A8F8" w14:textId="77777777" w:rsidR="007745DA" w:rsidRPr="007F69DA" w:rsidRDefault="007745DA" w:rsidP="007745DA">
      <w:pPr>
        <w:spacing w:line="360" w:lineRule="auto"/>
        <w:ind w:right="-851"/>
      </w:pPr>
    </w:p>
    <w:p w14:paraId="1DF702F2" w14:textId="7F51B28D" w:rsidR="007745DA" w:rsidRPr="00330087" w:rsidRDefault="000B723F" w:rsidP="007745DA">
      <w:pPr>
        <w:jc w:val="both"/>
        <w:rPr>
          <w:szCs w:val="24"/>
          <w:lang w:bidi="en-US"/>
        </w:rPr>
      </w:pPr>
      <w:bookmarkStart w:id="186" w:name="_Toc358883031"/>
      <w:r>
        <w:rPr>
          <w:szCs w:val="24"/>
          <w:lang w:bidi="en-US"/>
        </w:rPr>
        <w:t xml:space="preserve">3 </w:t>
      </w:r>
      <w:r w:rsidR="007745DA" w:rsidRPr="00330087">
        <w:rPr>
          <w:szCs w:val="24"/>
          <w:lang w:bidi="en-US"/>
        </w:rPr>
        <w:t>Wirkung von Verkaufsförderung</w:t>
      </w:r>
      <w:bookmarkEnd w:id="186"/>
    </w:p>
    <w:p w14:paraId="2838B104" w14:textId="77777777" w:rsidR="007745DA" w:rsidRPr="007F69DA" w:rsidRDefault="007745DA" w:rsidP="007745DA">
      <w:pPr>
        <w:jc w:val="both"/>
        <w:rPr>
          <w:szCs w:val="24"/>
          <w:lang w:bidi="en-US"/>
        </w:rPr>
      </w:pPr>
      <w:r w:rsidRPr="007F69DA">
        <w:rPr>
          <w:szCs w:val="24"/>
          <w:lang w:bidi="en-US"/>
        </w:rPr>
        <w:t xml:space="preserve">So bedeutend Verkaufsförderungsmaßnahmen für die Unternehmenspraxis sein mögen: Die kulturvergleichende Forschung hat diese Thematik bislang weitgehend vernachlässigt. Zwei der Studien, über die in diesem Zusammenhang vorrangig zu berichten ist, sind dem </w:t>
      </w:r>
      <w:r w:rsidRPr="007F69DA">
        <w:rPr>
          <w:szCs w:val="24"/>
          <w:lang w:bidi="en-US"/>
        </w:rPr>
        <w:sym w:font="Symbol" w:char="F0DE"/>
      </w:r>
      <w:r w:rsidRPr="007F69DA">
        <w:rPr>
          <w:szCs w:val="24"/>
          <w:lang w:bidi="en-US"/>
        </w:rPr>
        <w:t xml:space="preserve"> Ethno-Marketing zuzuordnen. </w:t>
      </w:r>
    </w:p>
    <w:p w14:paraId="21EBBBA6" w14:textId="77777777" w:rsidR="007745DA" w:rsidRPr="007F69DA" w:rsidRDefault="007745DA" w:rsidP="007745DA">
      <w:pPr>
        <w:spacing w:line="360" w:lineRule="auto"/>
        <w:ind w:right="-851"/>
      </w:pPr>
    </w:p>
    <w:p w14:paraId="6B8A96EF" w14:textId="77777777" w:rsidR="007745DA" w:rsidRPr="007F69DA" w:rsidRDefault="007745DA" w:rsidP="007745DA">
      <w:pPr>
        <w:jc w:val="both"/>
        <w:rPr>
          <w:szCs w:val="24"/>
          <w:lang w:bidi="en-US"/>
        </w:rPr>
      </w:pPr>
      <w:r w:rsidRPr="007F69DA">
        <w:rPr>
          <w:szCs w:val="24"/>
          <w:lang w:bidi="en-US"/>
        </w:rPr>
        <w:t>Coupons, welche einen Preisvorteil versprechen, steigern die Kaufbereitschaft junger Chinesen weniger als die Kaufbereitschaft junger Amerikaner (vgl. Zhou/Nakamoto 2001). Innerhalb der USA sind, wie Green (1995) Jahre zuvor bereits festgestellt hatte, Anglo-Amerikaner allerdings für diese Verkaufsförderungsmaßnahme aufgeschlossener als Afro-Amerikaner. Dies und den Umstand, dass sie bei den übrigen Promotionsmaßnahmen (Produktdisplay, Plakate, Preisnachlass) keine signifikanten Unterschiede feststellte, erklärte die Wissenschaftlerin mit der moderierenden Wirkung der klassischen Medienwerbung: Während Coupons in erheblichem Maße durch elektronische Medien bzw. Printmedien unterstützt werden müssen, sind die drei anderen Maßnahmen als reine In Store-Maßnahmen weit weniger auf mediale Unterstützung angewiesen. Und da Afro-Amerikaner im Mittel insb. Printmedien seltener nutzen als Anglo-Amerikaner, erscheint die unterschiedliche Intensität des Gebrauchs von Coupons erklärbar.</w:t>
      </w:r>
    </w:p>
    <w:p w14:paraId="3ECD418A" w14:textId="77777777" w:rsidR="007745DA" w:rsidRPr="007F69DA" w:rsidRDefault="007745DA" w:rsidP="007745DA">
      <w:pPr>
        <w:spacing w:line="360" w:lineRule="auto"/>
        <w:ind w:right="-851"/>
      </w:pPr>
    </w:p>
    <w:p w14:paraId="63582891" w14:textId="77777777" w:rsidR="007745DA" w:rsidRPr="007F69DA" w:rsidRDefault="007745DA" w:rsidP="007745DA">
      <w:pPr>
        <w:jc w:val="both"/>
        <w:rPr>
          <w:szCs w:val="24"/>
          <w:lang w:bidi="en-US"/>
        </w:rPr>
      </w:pPr>
      <w:r w:rsidRPr="007F69DA">
        <w:rPr>
          <w:szCs w:val="24"/>
          <w:lang w:bidi="en-US"/>
        </w:rPr>
        <w:t>Kwok/Uncles (2005) wollten wissen, ob Angehörige von kollektivistischen, maskulinen, unsicherheitsaversen, kurzfristorientierten und Machtdistanz ablehnenden Kulturen überdurchschnittlich empfänglich für Preispromotions sind. Hierzu befragten sie Anglo-Australier und China-stämmige Australier. Es zeigte sich, dass die Probanden generell, d.h. unabhängig von ihrer ethnischen Zugehörigkeit oder ihrer individuell gemessenen kulturellen Orientierung, Preispromotions mehr schätzen als andere Promotionstrategien. Da sich auch andere erwartete Unterschiede zwischen beiden Ethnien empirisch nicht bestätigen ließen, empfahlen die beiden Wissenschaftler den Unternehmen, ihre Verkaufsförderung kulturübergreifend zu standardisieren.</w:t>
      </w:r>
    </w:p>
    <w:p w14:paraId="48192FEC" w14:textId="77777777" w:rsidR="007745DA" w:rsidRPr="007F69DA" w:rsidRDefault="007745DA" w:rsidP="007745DA">
      <w:pPr>
        <w:jc w:val="both"/>
        <w:rPr>
          <w:szCs w:val="24"/>
          <w:lang w:bidi="en-US"/>
        </w:rPr>
      </w:pPr>
    </w:p>
    <w:p w14:paraId="09504422" w14:textId="77777777" w:rsidR="007745DA" w:rsidRPr="007F69DA" w:rsidRDefault="007745DA" w:rsidP="007745DA">
      <w:pPr>
        <w:jc w:val="both"/>
        <w:rPr>
          <w:szCs w:val="24"/>
          <w:lang w:bidi="en-US"/>
        </w:rPr>
      </w:pPr>
      <w:r w:rsidRPr="007F69DA">
        <w:rPr>
          <w:szCs w:val="24"/>
          <w:lang w:bidi="en-US"/>
        </w:rPr>
        <w:t>Indirekt unterstützt wird diese Empfehlung durch eine Studie, welche Huff/Alden (1999) in Malaysia, Taiwan und Thailand durchgeführt haben. Ihr Fazit lautet, dass die Akzeptanz von Coupons weniger von kulturspezifischen sozialen Normen abhängt als von der Vertrautheit der befragten Konsumenten mit diesem Marketinginstrument und dessen Verfügbarkeit.</w:t>
      </w:r>
    </w:p>
    <w:p w14:paraId="67528632" w14:textId="77777777" w:rsidR="007745DA" w:rsidRPr="007F69DA" w:rsidRDefault="007745DA" w:rsidP="007745DA"/>
    <w:p w14:paraId="63F30EB1" w14:textId="77777777" w:rsidR="007745DA" w:rsidRDefault="007745DA" w:rsidP="007745DA">
      <w:pPr>
        <w:rPr>
          <w:lang w:val="en-US"/>
        </w:rPr>
      </w:pPr>
      <w:r w:rsidRPr="000B723F">
        <w:rPr>
          <w:b/>
          <w:bCs/>
          <w:i/>
        </w:rPr>
        <w:t>Literatur:</w:t>
      </w:r>
      <w:r w:rsidRPr="007F69DA">
        <w:t xml:space="preserve"> Gedenk, K.; Neslin, S.A.; Ailawadi, K.L. (2006): Sales Promotion, in: Kraft, M.; Mantrala, M.K. (Eds.), Retailing in the 21st Century, 345-369, Berlin: Springer.   </w:t>
      </w:r>
      <w:r w:rsidRPr="007F69DA">
        <w:rPr>
          <w:lang w:val="en-US"/>
        </w:rPr>
        <w:t xml:space="preserve">Green, C.L. (1995): Differential Responses to Retail Sales Promotion among African-American and Anglo-American Consumers, Journal of Retailing, 71(1): 83-92.   Huff, L.C.; Alden, D. L. (1999): An Investigation of Consumer Response to Sales Promotion in Developing Markets. A Three Country Analysis, Advances in Consumer Research, 26: 41-42.   </w:t>
      </w:r>
      <w:r w:rsidRPr="007F69DA">
        <w:rPr>
          <w:lang w:val="en-GB"/>
        </w:rPr>
        <w:t xml:space="preserve">Keegan, W.J.; Schlegelmilch, B.B. (2001): Global Marketing Management. A </w:t>
      </w:r>
      <w:r w:rsidRPr="007F69DA">
        <w:rPr>
          <w:lang w:val="en-US"/>
        </w:rPr>
        <w:t>European</w:t>
      </w:r>
      <w:r w:rsidRPr="007F69DA">
        <w:rPr>
          <w:lang w:val="en-GB"/>
        </w:rPr>
        <w:t xml:space="preserve"> Perspective, Edinburgh: Prentice Hall.    </w:t>
      </w:r>
      <w:r w:rsidRPr="007F69DA">
        <w:rPr>
          <w:lang w:val="en-US"/>
        </w:rPr>
        <w:t xml:space="preserve">Kwok, S.; Uncles, M. (2005): Sales Promotion Effectiveness. The Impact of Consumer Differences at an Ethnic-Group Level, Journal of Product &amp; Brand Management, 14(3): 170-186.   </w:t>
      </w:r>
      <w:r w:rsidRPr="007F69DA">
        <w:t xml:space="preserve">Müller, S.; Kornmeier, M. (1994): Internationales Marketing. Eine interkulturelle Perspektive, Dresdner Beiträge zur Betriebswirtschaftslehre Nr.1, Dresden: TU Dresden.   </w:t>
      </w:r>
      <w:r w:rsidRPr="007F69DA">
        <w:rPr>
          <w:lang w:val="en-US"/>
        </w:rPr>
        <w:t>North, A.C.; Hargreaves, D.J.; McKendrick, J. (1999): The Influence of In-Store Music on Wine Selection, Journal of Applied Psychology, 84(2): 271-276.  Zhou, Z.; Nakamoto, K. (2001): Price Perceptions. A Cross-National Study between American and Chinese Young Consumers, in: Gilly, M.C.; Meyers-Levy, J. (Eds.), Advances in Consumer Research, Vol.28, 161-168, Valdosta/GA: Association for Consumer Research.</w:t>
      </w:r>
    </w:p>
    <w:p w14:paraId="56B48003" w14:textId="77777777" w:rsidR="000B723F" w:rsidRPr="007F69DA" w:rsidRDefault="000B723F" w:rsidP="007745DA">
      <w:pPr>
        <w:rPr>
          <w:lang w:val="en-US"/>
        </w:rPr>
      </w:pPr>
    </w:p>
    <w:p w14:paraId="5F92A5CC" w14:textId="77777777" w:rsidR="00FF7799" w:rsidRPr="000B723F" w:rsidRDefault="00FF7799" w:rsidP="000B723F">
      <w:pPr>
        <w:keepNext/>
        <w:keepLines/>
        <w:spacing w:before="240"/>
        <w:jc w:val="both"/>
        <w:outlineLvl w:val="1"/>
        <w:rPr>
          <w:b/>
          <w:bCs/>
          <w:color w:val="2E74B5"/>
          <w:sz w:val="24"/>
        </w:rPr>
      </w:pPr>
      <w:r w:rsidRPr="000B723F">
        <w:rPr>
          <w:b/>
          <w:bCs/>
          <w:color w:val="2E74B5"/>
          <w:sz w:val="24"/>
        </w:rPr>
        <w:t>Verteilungsgerechtigkeit</w:t>
      </w:r>
    </w:p>
    <w:p w14:paraId="17EF7CDF" w14:textId="77777777" w:rsidR="00FF7799" w:rsidRPr="00E73F6F" w:rsidRDefault="00FF7799" w:rsidP="00D6697D">
      <w:pPr>
        <w:pStyle w:val="StandardText"/>
      </w:pPr>
      <w:r w:rsidRPr="00E73F6F">
        <w:t>von den Angehörigen einer Gesellschaft bzw. eines Kulturraumes akzeptierte Vorstellung darüber, wie die Ergebnisse gemeinsamen Handelns unter den Akteuren</w:t>
      </w:r>
      <w:r w:rsidRPr="00E73F6F">
        <w:rPr>
          <w:spacing w:val="-12"/>
        </w:rPr>
        <w:t xml:space="preserve"> </w:t>
      </w:r>
      <w:r w:rsidRPr="00E73F6F">
        <w:t>bzw.</w:t>
      </w:r>
      <w:r w:rsidRPr="00E73F6F">
        <w:rPr>
          <w:spacing w:val="-11"/>
        </w:rPr>
        <w:t xml:space="preserve"> </w:t>
      </w:r>
      <w:r w:rsidRPr="00E73F6F">
        <w:t>Berechtigten</w:t>
      </w:r>
      <w:r w:rsidRPr="00E73F6F">
        <w:rPr>
          <w:spacing w:val="-11"/>
        </w:rPr>
        <w:t xml:space="preserve"> </w:t>
      </w:r>
      <w:r w:rsidRPr="00E73F6F">
        <w:t>gerechterweise</w:t>
      </w:r>
      <w:r w:rsidRPr="00E73F6F">
        <w:rPr>
          <w:spacing w:val="-11"/>
        </w:rPr>
        <w:t xml:space="preserve"> </w:t>
      </w:r>
      <w:r w:rsidRPr="00E73F6F">
        <w:t>aufzuteilen</w:t>
      </w:r>
      <w:r w:rsidRPr="00E73F6F">
        <w:rPr>
          <w:spacing w:val="-12"/>
        </w:rPr>
        <w:t xml:space="preserve"> </w:t>
      </w:r>
      <w:r w:rsidRPr="00E73F6F">
        <w:t>sind.</w:t>
      </w:r>
      <w:r w:rsidRPr="00E73F6F">
        <w:rPr>
          <w:spacing w:val="-11"/>
        </w:rPr>
        <w:t xml:space="preserve"> </w:t>
      </w:r>
      <w:r w:rsidRPr="00E73F6F">
        <w:t>Kollektivistische,</w:t>
      </w:r>
      <w:r w:rsidRPr="00E73F6F">
        <w:rPr>
          <w:spacing w:val="-11"/>
        </w:rPr>
        <w:t xml:space="preserve"> </w:t>
      </w:r>
      <w:r w:rsidRPr="00E73F6F">
        <w:t>am sozialen Konsens orientierte Gesellschaften bevorzugen dann das Equality- Prinzip. Es sieht eine Gleichbehandlung aller Beteiligten vor. Individualistische Gesellschaften orientieren sich hingegen am konträren Equity-Prinzip. Erfolgsbeteiligung</w:t>
      </w:r>
      <w:r w:rsidRPr="00E73F6F">
        <w:rPr>
          <w:spacing w:val="16"/>
        </w:rPr>
        <w:t xml:space="preserve"> </w:t>
      </w:r>
      <w:r w:rsidRPr="00E73F6F">
        <w:t>entsprechend</w:t>
      </w:r>
      <w:r w:rsidRPr="00E73F6F">
        <w:rPr>
          <w:spacing w:val="17"/>
        </w:rPr>
        <w:t xml:space="preserve"> </w:t>
      </w:r>
      <w:r w:rsidRPr="00E73F6F">
        <w:t>dem</w:t>
      </w:r>
      <w:r w:rsidRPr="00E73F6F">
        <w:rPr>
          <w:spacing w:val="17"/>
        </w:rPr>
        <w:t xml:space="preserve"> </w:t>
      </w:r>
      <w:r w:rsidRPr="00E73F6F">
        <w:t>jeweiligen</w:t>
      </w:r>
      <w:r w:rsidRPr="00E73F6F">
        <w:rPr>
          <w:spacing w:val="18"/>
        </w:rPr>
        <w:t xml:space="preserve"> </w:t>
      </w:r>
      <w:r w:rsidRPr="00E73F6F">
        <w:t>Leistungsbeitrag</w:t>
      </w:r>
      <w:r w:rsidRPr="00E73F6F">
        <w:rPr>
          <w:spacing w:val="17"/>
        </w:rPr>
        <w:t xml:space="preserve"> </w:t>
      </w:r>
      <w:r w:rsidRPr="00E73F6F">
        <w:t>des</w:t>
      </w:r>
      <w:r w:rsidRPr="00E73F6F">
        <w:rPr>
          <w:spacing w:val="18"/>
        </w:rPr>
        <w:t xml:space="preserve"> </w:t>
      </w:r>
      <w:r w:rsidRPr="00E73F6F">
        <w:rPr>
          <w:spacing w:val="-2"/>
        </w:rPr>
        <w:t xml:space="preserve">Einzelnen </w:t>
      </w:r>
      <w:r w:rsidRPr="00E73F6F">
        <w:t>vor. Das dritte Prinzip der Verteilungsgerechtigkeit ist die Aufteilu</w:t>
      </w:r>
      <w:r w:rsidR="00A23255">
        <w:t>ng gemäß Bedürftigkeit (‘need‘).</w:t>
      </w:r>
    </w:p>
    <w:p w14:paraId="599630DB" w14:textId="77777777" w:rsidR="00FF7799" w:rsidRPr="00A23255" w:rsidRDefault="00FF7799" w:rsidP="00D6697D">
      <w:pPr>
        <w:pStyle w:val="StandardText"/>
        <w:rPr>
          <w:sz w:val="22"/>
          <w:szCs w:val="22"/>
        </w:rPr>
      </w:pPr>
      <w:r w:rsidRPr="00A23255">
        <w:rPr>
          <w:b/>
          <w:i/>
          <w:sz w:val="22"/>
          <w:szCs w:val="22"/>
        </w:rPr>
        <w:t>Literatur</w:t>
      </w:r>
      <w:r w:rsidRPr="00A23255">
        <w:rPr>
          <w:i/>
          <w:sz w:val="22"/>
          <w:szCs w:val="22"/>
        </w:rPr>
        <w:t>:</w:t>
      </w:r>
      <w:r w:rsidRPr="00A23255">
        <w:rPr>
          <w:sz w:val="22"/>
          <w:szCs w:val="22"/>
        </w:rPr>
        <w:t xml:space="preserve"> Lüdtke, S.; Streicher, B.; Traut-Mattausch, E.; Frey, D. (2012):</w:t>
      </w:r>
      <w:r w:rsidRPr="00A23255">
        <w:rPr>
          <w:spacing w:val="40"/>
          <w:sz w:val="22"/>
          <w:szCs w:val="22"/>
        </w:rPr>
        <w:t xml:space="preserve"> </w:t>
      </w:r>
      <w:r w:rsidRPr="00A23255">
        <w:rPr>
          <w:sz w:val="22"/>
          <w:szCs w:val="22"/>
        </w:rPr>
        <w:t>Chancengleichheit und Nachhaltigkeit. Die Wechselbeziehung der drei</w:t>
      </w:r>
      <w:r w:rsidRPr="00A23255">
        <w:rPr>
          <w:spacing w:val="40"/>
          <w:sz w:val="22"/>
          <w:szCs w:val="22"/>
        </w:rPr>
        <w:t xml:space="preserve"> </w:t>
      </w:r>
      <w:r w:rsidRPr="00A23255">
        <w:rPr>
          <w:sz w:val="22"/>
          <w:szCs w:val="22"/>
        </w:rPr>
        <w:t>Gerechtigkeitsprinzipien need,</w:t>
      </w:r>
      <w:r w:rsidRPr="00A23255">
        <w:rPr>
          <w:spacing w:val="-1"/>
          <w:sz w:val="22"/>
          <w:szCs w:val="22"/>
        </w:rPr>
        <w:t xml:space="preserve"> </w:t>
      </w:r>
      <w:r w:rsidRPr="00A23255">
        <w:rPr>
          <w:sz w:val="22"/>
          <w:szCs w:val="22"/>
        </w:rPr>
        <w:t>equality und equity in Abhängigkeit von Chancengleichheit,</w:t>
      </w:r>
      <w:r w:rsidRPr="00A23255">
        <w:rPr>
          <w:spacing w:val="40"/>
          <w:sz w:val="22"/>
          <w:szCs w:val="22"/>
        </w:rPr>
        <w:t xml:space="preserve"> </w:t>
      </w:r>
      <w:r w:rsidRPr="00A23255">
        <w:rPr>
          <w:sz w:val="22"/>
          <w:szCs w:val="22"/>
        </w:rPr>
        <w:t>Umweltpsychologie, 16(2): 8-28.</w:t>
      </w:r>
    </w:p>
    <w:p w14:paraId="71DD2416" w14:textId="77777777" w:rsidR="00FF7799" w:rsidRPr="00A23255" w:rsidRDefault="00FF7799" w:rsidP="00D6697D">
      <w:pPr>
        <w:pStyle w:val="StandardText"/>
        <w:rPr>
          <w:sz w:val="22"/>
          <w:szCs w:val="22"/>
        </w:rPr>
      </w:pPr>
    </w:p>
    <w:p w14:paraId="4BBE5AB9" w14:textId="77777777" w:rsidR="00FF7799" w:rsidRPr="00E73F6F" w:rsidRDefault="00FF7799" w:rsidP="00370236">
      <w:pPr>
        <w:pStyle w:val="berschrift1"/>
      </w:pPr>
      <w:r w:rsidRPr="000B723F">
        <w:rPr>
          <w:color w:val="2E74B5"/>
        </w:rPr>
        <w:t>Vertrauensgesellschaften</w:t>
      </w:r>
      <w:r w:rsidRPr="00E73F6F">
        <w:rPr>
          <w:spacing w:val="-6"/>
        </w:rPr>
        <w:t xml:space="preserve"> </w:t>
      </w:r>
      <w:r w:rsidRPr="00E73F6F">
        <w:rPr>
          <w:b w:val="0"/>
        </w:rPr>
        <w:sym w:font="Symbol" w:char="F0AE"/>
      </w:r>
      <w:r w:rsidRPr="00E73F6F">
        <w:rPr>
          <w:b w:val="0"/>
          <w:spacing w:val="-9"/>
        </w:rPr>
        <w:t xml:space="preserve"> </w:t>
      </w:r>
      <w:r w:rsidRPr="00E73F6F">
        <w:rPr>
          <w:b w:val="0"/>
        </w:rPr>
        <w:t>Kulturelle</w:t>
      </w:r>
      <w:r w:rsidRPr="00E73F6F">
        <w:rPr>
          <w:b w:val="0"/>
          <w:spacing w:val="-9"/>
        </w:rPr>
        <w:t xml:space="preserve"> </w:t>
      </w:r>
      <w:r w:rsidRPr="00E73F6F">
        <w:rPr>
          <w:b w:val="0"/>
        </w:rPr>
        <w:t>Orientierungen</w:t>
      </w:r>
      <w:r w:rsidRPr="00E73F6F">
        <w:rPr>
          <w:b w:val="0"/>
          <w:spacing w:val="-10"/>
        </w:rPr>
        <w:t xml:space="preserve"> </w:t>
      </w:r>
      <w:r w:rsidRPr="00E73F6F">
        <w:rPr>
          <w:b w:val="0"/>
        </w:rPr>
        <w:t>nach</w:t>
      </w:r>
      <w:r w:rsidRPr="00E73F6F">
        <w:rPr>
          <w:b w:val="0"/>
          <w:spacing w:val="-8"/>
        </w:rPr>
        <w:t xml:space="preserve"> </w:t>
      </w:r>
      <w:r w:rsidRPr="00E73F6F">
        <w:rPr>
          <w:b w:val="0"/>
        </w:rPr>
        <w:t>Kluckhohn</w:t>
      </w:r>
      <w:r w:rsidRPr="00E73F6F">
        <w:rPr>
          <w:b w:val="0"/>
          <w:spacing w:val="-8"/>
        </w:rPr>
        <w:t xml:space="preserve"> </w:t>
      </w:r>
      <w:r w:rsidRPr="00E73F6F">
        <w:rPr>
          <w:b w:val="0"/>
        </w:rPr>
        <w:t xml:space="preserve">&amp; </w:t>
      </w:r>
      <w:r w:rsidRPr="00E73F6F">
        <w:rPr>
          <w:b w:val="0"/>
          <w:spacing w:val="-2"/>
        </w:rPr>
        <w:t>Strodtbeck</w:t>
      </w:r>
    </w:p>
    <w:p w14:paraId="60AB596D" w14:textId="77777777" w:rsidR="00FF7799" w:rsidRPr="000B723F" w:rsidRDefault="00FF7799" w:rsidP="00370236">
      <w:pPr>
        <w:pStyle w:val="berschrift1"/>
        <w:rPr>
          <w:color w:val="2E74B5"/>
        </w:rPr>
      </w:pPr>
      <w:r w:rsidRPr="000B723F">
        <w:rPr>
          <w:color w:val="2E74B5"/>
        </w:rPr>
        <w:t>Volk</w:t>
      </w:r>
    </w:p>
    <w:p w14:paraId="28928BDB" w14:textId="77777777" w:rsidR="00FF7799" w:rsidRPr="00E73F6F" w:rsidRDefault="00FF7799" w:rsidP="00D6697D">
      <w:pPr>
        <w:pStyle w:val="StandardText"/>
      </w:pPr>
      <w:r w:rsidRPr="00E73F6F">
        <w:t>ursprünglich zum einen „der Heerhaufen bzw. die Kriegsschar“ und zum anderen, d.h. im täglichen Leben, „das Gesinde oder die Hausgemeinschaft“. Später bezeichnete Volk eine durch gemeinsame Herkunft, Geschichte, Kultur und Sprache verbundene Gesamtheit von Menschen.</w:t>
      </w:r>
    </w:p>
    <w:p w14:paraId="190C218F" w14:textId="77777777" w:rsidR="00FF7799" w:rsidRPr="00E73F6F" w:rsidRDefault="00FF7799" w:rsidP="00D6697D">
      <w:pPr>
        <w:pStyle w:val="StandardText"/>
      </w:pPr>
    </w:p>
    <w:p w14:paraId="01702BFE" w14:textId="77777777" w:rsidR="00FF7799" w:rsidRPr="000B723F" w:rsidRDefault="00FF7799" w:rsidP="00370236">
      <w:pPr>
        <w:pStyle w:val="berschrift1"/>
        <w:rPr>
          <w:color w:val="2E74B5"/>
        </w:rPr>
      </w:pPr>
      <w:r w:rsidRPr="000B723F">
        <w:rPr>
          <w:color w:val="2E74B5"/>
        </w:rPr>
        <w:t>Völkerkunde</w:t>
      </w:r>
    </w:p>
    <w:p w14:paraId="475455DD" w14:textId="77777777" w:rsidR="00FF7799" w:rsidRPr="00E73F6F" w:rsidRDefault="00FF7799" w:rsidP="00D6697D">
      <w:pPr>
        <w:pStyle w:val="StandardText"/>
      </w:pPr>
      <w:r w:rsidRPr="00E73F6F">
        <w:t xml:space="preserve">analog zur Erdkunde gebildeter Begriff. Während die moderne → Anthropologie als die „Wissenschaft vom kulturell Fremden“ charakterisiert wurde </w:t>
      </w:r>
      <w:r w:rsidRPr="00E73F6F">
        <w:rPr>
          <w:i/>
        </w:rPr>
        <w:t>(K.-H. Kohl)</w:t>
      </w:r>
      <w:r w:rsidRPr="00E73F6F">
        <w:t xml:space="preserve">, konzentrierte sich die von </w:t>
      </w:r>
      <w:r w:rsidRPr="00E73F6F">
        <w:rPr>
          <w:i/>
        </w:rPr>
        <w:t>A. Bastian</w:t>
      </w:r>
      <w:r w:rsidRPr="00E73F6F">
        <w:t xml:space="preserve"> (1826-1905) initiierte Völkerkunde auf die „ganzheitlich-enzyklopädische Bestandsaufnahme (</w:t>
      </w:r>
      <w:hyperlink r:id="rId202" w:history="1">
        <w:r w:rsidRPr="00E73F6F">
          <w:rPr>
            <w:rStyle w:val="Hyperlink"/>
          </w:rPr>
          <w:t>https://www.spektrum.de/lexikon/geographie/voelkerkunde/8724/</w:t>
        </w:r>
      </w:hyperlink>
      <w:r w:rsidRPr="00E73F6F">
        <w:t xml:space="preserve"> </w:t>
      </w:r>
      <w:r w:rsidRPr="00E73F6F">
        <w:lastRenderedPageBreak/>
        <w:t>(21.02.2024) der Sitten, Gebräuche, Rituale etc. einfacher Naturvölker. Ein wesentlicher Impulsgeber war der Kolonialismus, der damals in Europa ein breites Interesse insb. an den Kolonien in Afrika geweckt hat.</w:t>
      </w:r>
    </w:p>
    <w:p w14:paraId="096EC7AC" w14:textId="77777777" w:rsidR="00FF7799" w:rsidRPr="00A23255" w:rsidRDefault="00FF7799" w:rsidP="00D6697D">
      <w:pPr>
        <w:pStyle w:val="StandardText"/>
        <w:rPr>
          <w:sz w:val="22"/>
          <w:szCs w:val="22"/>
        </w:rPr>
      </w:pPr>
      <w:r w:rsidRPr="00A23255">
        <w:rPr>
          <w:b/>
          <w:i/>
          <w:sz w:val="22"/>
          <w:szCs w:val="22"/>
        </w:rPr>
        <w:t>Literatur:</w:t>
      </w:r>
      <w:r w:rsidRPr="00A23255">
        <w:rPr>
          <w:sz w:val="22"/>
          <w:szCs w:val="22"/>
        </w:rPr>
        <w:t xml:space="preserve"> Bastian, A. (1881): Die Vorgeschichte der Ethnologie, Berlin: Ferd. Dümmlers Verlagsbuchhandlung. Peschel, O. (1878): Abhandlungen zur Erd-und Völkerkunde, Berlin: Duncker &amp; Humblot. Schmidt, M. (1924): Völkerkunde, Berlin: Ullstein.</w:t>
      </w:r>
    </w:p>
    <w:p w14:paraId="79EEBBE4" w14:textId="77777777" w:rsidR="00FF7799" w:rsidRPr="00E73F6F" w:rsidRDefault="00FF7799" w:rsidP="00862DBA">
      <w:pPr>
        <w:rPr>
          <w:sz w:val="24"/>
          <w:szCs w:val="24"/>
        </w:rPr>
      </w:pPr>
    </w:p>
    <w:p w14:paraId="56AB12B0" w14:textId="77777777" w:rsidR="00FF7799" w:rsidRPr="00E73F6F" w:rsidRDefault="00FF7799" w:rsidP="00370236">
      <w:pPr>
        <w:pStyle w:val="berschrift1"/>
      </w:pPr>
      <w:r w:rsidRPr="000B723F">
        <w:rPr>
          <w:color w:val="2E74B5"/>
        </w:rPr>
        <w:t>Völkerpsychologie</w:t>
      </w:r>
      <w:r w:rsidRPr="00E73F6F">
        <w:t xml:space="preserve"> </w:t>
      </w:r>
    </w:p>
    <w:p w14:paraId="7BF8C353" w14:textId="77777777" w:rsidR="00FF7799" w:rsidRPr="00E73F6F" w:rsidRDefault="00FF7799" w:rsidP="00D6697D">
      <w:pPr>
        <w:pStyle w:val="StandardText"/>
      </w:pPr>
      <w:r w:rsidRPr="00E73F6F">
        <w:t xml:space="preserve">weitgehend wertfreie und vorrangig im deutschsprachigen Bereich betriebene Wissenschaft, die in der zweiten Hälfte des 19. Jahrhunderts als Vorläufer der Sozialpsychologie die geistigen und kulturellen </w:t>
      </w:r>
      <w:r w:rsidR="00A23255">
        <w:t>„</w:t>
      </w:r>
      <w:r w:rsidRPr="00E73F6F">
        <w:t>Produkte</w:t>
      </w:r>
      <w:r w:rsidR="00A23255">
        <w:t>“</w:t>
      </w:r>
      <w:r w:rsidRPr="00E73F6F">
        <w:t xml:space="preserve"> der verschiedenen Völker untersuchte (insb. Spra</w:t>
      </w:r>
      <w:r w:rsidR="00A23255">
        <w:t xml:space="preserve">che, Religion, Mythen, Sitten; </w:t>
      </w:r>
      <w:r w:rsidR="00A23255">
        <w:sym w:font="Symbol" w:char="F0DE"/>
      </w:r>
      <w:r w:rsidRPr="00E73F6F">
        <w:rPr>
          <w:spacing w:val="-4"/>
        </w:rPr>
        <w:t xml:space="preserve"> </w:t>
      </w:r>
      <w:r w:rsidRPr="00E73F6F">
        <w:t>Interkulturelles</w:t>
      </w:r>
      <w:r w:rsidRPr="00E73F6F">
        <w:rPr>
          <w:spacing w:val="-4"/>
        </w:rPr>
        <w:t xml:space="preserve"> </w:t>
      </w:r>
      <w:r w:rsidRPr="00E73F6F">
        <w:rPr>
          <w:spacing w:val="-2"/>
        </w:rPr>
        <w:t>Marketing</w:t>
      </w:r>
      <w:r w:rsidRPr="00E73F6F">
        <w:t>).</w:t>
      </w:r>
    </w:p>
    <w:p w14:paraId="116A3BBE" w14:textId="77777777" w:rsidR="00FF7799" w:rsidRPr="00A23255" w:rsidRDefault="00FF7799" w:rsidP="00D6697D">
      <w:pPr>
        <w:pStyle w:val="StandardText"/>
        <w:rPr>
          <w:sz w:val="22"/>
          <w:szCs w:val="22"/>
        </w:rPr>
      </w:pPr>
      <w:r w:rsidRPr="00A23255">
        <w:rPr>
          <w:b/>
          <w:i/>
          <w:sz w:val="22"/>
          <w:szCs w:val="22"/>
        </w:rPr>
        <w:t>Literatur</w:t>
      </w:r>
      <w:r w:rsidRPr="00A23255">
        <w:rPr>
          <w:i/>
          <w:sz w:val="22"/>
          <w:szCs w:val="22"/>
        </w:rPr>
        <w:t>:</w:t>
      </w:r>
      <w:r w:rsidRPr="00A23255">
        <w:rPr>
          <w:sz w:val="22"/>
          <w:szCs w:val="22"/>
        </w:rPr>
        <w:t xml:space="preserve"> Wundt, W.M. (1900-1920): Völkerpsychologie in 10 Bänden, Leipzig: Adler. Wundt, W.M. (1911): Probleme der Völkerpsychologie, Leipzig: Wiegandt</w:t>
      </w:r>
    </w:p>
    <w:p w14:paraId="3382B3C7" w14:textId="77777777" w:rsidR="00FF7799" w:rsidRPr="00A23255" w:rsidRDefault="00FF7799" w:rsidP="00D6697D">
      <w:pPr>
        <w:pStyle w:val="StandardText"/>
        <w:rPr>
          <w:sz w:val="22"/>
          <w:szCs w:val="22"/>
        </w:rPr>
      </w:pPr>
    </w:p>
    <w:p w14:paraId="3837A545" w14:textId="77777777" w:rsidR="00FF7799" w:rsidRPr="00E73F6F" w:rsidRDefault="00FF7799" w:rsidP="00370236">
      <w:pPr>
        <w:pStyle w:val="berschrift1"/>
        <w:rPr>
          <w:spacing w:val="-2"/>
        </w:rPr>
      </w:pPr>
      <w:r w:rsidRPr="000B723F">
        <w:rPr>
          <w:color w:val="2E74B5"/>
        </w:rPr>
        <w:t xml:space="preserve">Volksgeist </w:t>
      </w:r>
      <w:r w:rsidRPr="00E73F6F">
        <w:rPr>
          <w:b w:val="0"/>
        </w:rPr>
        <w:t>→</w:t>
      </w:r>
      <w:r w:rsidRPr="00E73F6F">
        <w:rPr>
          <w:b w:val="0"/>
          <w:spacing w:val="-2"/>
        </w:rPr>
        <w:t xml:space="preserve"> Nation</w:t>
      </w:r>
    </w:p>
    <w:p w14:paraId="49CC28F3" w14:textId="77777777" w:rsidR="00FF7799" w:rsidRPr="000B723F" w:rsidRDefault="00FF7799" w:rsidP="00370236">
      <w:pPr>
        <w:pStyle w:val="berschrift1"/>
        <w:rPr>
          <w:color w:val="2E74B5"/>
        </w:rPr>
      </w:pPr>
      <w:r w:rsidRPr="000B723F">
        <w:rPr>
          <w:color w:val="2E74B5"/>
        </w:rPr>
        <w:t>Voluntarismus</w:t>
      </w:r>
    </w:p>
    <w:p w14:paraId="384BC6CC" w14:textId="26D80C3F" w:rsidR="00FF7799" w:rsidRPr="00E73F6F" w:rsidRDefault="00FF7799" w:rsidP="00D6697D">
      <w:pPr>
        <w:pStyle w:val="StandardText"/>
      </w:pPr>
      <w:r w:rsidRPr="00E73F6F">
        <w:t xml:space="preserve">Überzeugung, dass </w:t>
      </w:r>
      <w:r w:rsidR="000B723F" w:rsidRPr="00E73F6F">
        <w:t xml:space="preserve">jeder Mensch </w:t>
      </w:r>
      <w:r w:rsidRPr="00E73F6F">
        <w:t xml:space="preserve">dank seines freien Willens seine Zukunft im Wesentlichen selbst gestalten kann. Das voluntaristische </w:t>
      </w:r>
      <w:r w:rsidRPr="00E73F6F">
        <w:rPr>
          <w:rFonts w:ascii="Cambria Math" w:hAnsi="Cambria Math" w:cs="Cambria Math"/>
        </w:rPr>
        <w:t>⇒</w:t>
      </w:r>
      <w:r w:rsidRPr="00E73F6F">
        <w:t xml:space="preserve"> Weltbild begründet den in Industrieländern häufig anzutreffenden Glauben an die Gestaltbarkeit der Zukunft sowie an den technischen Fortschritt. Es steht im Gegensatz zum deterministischen Selbstverständnis ar</w:t>
      </w:r>
      <w:r w:rsidR="00A23255">
        <w:t>chaischer Gesellschaftsformen (</w:t>
      </w:r>
      <w:r w:rsidR="00A23255">
        <w:sym w:font="Symbol" w:char="F0DE"/>
      </w:r>
      <w:r w:rsidRPr="00E73F6F">
        <w:rPr>
          <w:spacing w:val="40"/>
        </w:rPr>
        <w:t xml:space="preserve"> </w:t>
      </w:r>
      <w:r w:rsidRPr="00E73F6F">
        <w:rPr>
          <w:spacing w:val="-2"/>
        </w:rPr>
        <w:t>Determinismus).</w:t>
      </w:r>
    </w:p>
    <w:p w14:paraId="4E1655C0" w14:textId="77777777" w:rsidR="00FF7799" w:rsidRPr="00A23255" w:rsidRDefault="00FF7799" w:rsidP="00D6697D">
      <w:pPr>
        <w:pStyle w:val="StandardText"/>
        <w:rPr>
          <w:spacing w:val="-2"/>
          <w:sz w:val="22"/>
          <w:szCs w:val="22"/>
          <w:lang w:val="en-US"/>
        </w:rPr>
      </w:pPr>
      <w:r w:rsidRPr="00A23255">
        <w:rPr>
          <w:b/>
          <w:i/>
          <w:sz w:val="22"/>
          <w:szCs w:val="22"/>
          <w:lang w:val="en-US"/>
        </w:rPr>
        <w:t>Literatur</w:t>
      </w:r>
      <w:r w:rsidRPr="00A23255">
        <w:rPr>
          <w:i/>
          <w:sz w:val="22"/>
          <w:szCs w:val="22"/>
          <w:lang w:val="en-US"/>
        </w:rPr>
        <w:t xml:space="preserve">: </w:t>
      </w:r>
      <w:r w:rsidRPr="00A23255">
        <w:rPr>
          <w:sz w:val="22"/>
          <w:szCs w:val="22"/>
          <w:lang w:val="en-US"/>
        </w:rPr>
        <w:t>Mbiti,</w:t>
      </w:r>
      <w:r w:rsidRPr="00A23255">
        <w:rPr>
          <w:spacing w:val="-5"/>
          <w:sz w:val="22"/>
          <w:szCs w:val="22"/>
          <w:lang w:val="en-US"/>
        </w:rPr>
        <w:t xml:space="preserve"> </w:t>
      </w:r>
      <w:r w:rsidRPr="00A23255">
        <w:rPr>
          <w:sz w:val="22"/>
          <w:szCs w:val="22"/>
          <w:lang w:val="en-US"/>
        </w:rPr>
        <w:t>J.S.</w:t>
      </w:r>
      <w:r w:rsidRPr="00A23255">
        <w:rPr>
          <w:spacing w:val="-2"/>
          <w:sz w:val="22"/>
          <w:szCs w:val="22"/>
          <w:lang w:val="en-US"/>
        </w:rPr>
        <w:t xml:space="preserve"> </w:t>
      </w:r>
      <w:r w:rsidRPr="00A23255">
        <w:rPr>
          <w:sz w:val="22"/>
          <w:szCs w:val="22"/>
          <w:lang w:val="en-US"/>
        </w:rPr>
        <w:t>(1989):</w:t>
      </w:r>
      <w:r w:rsidRPr="00A23255">
        <w:rPr>
          <w:spacing w:val="-2"/>
          <w:sz w:val="22"/>
          <w:szCs w:val="22"/>
          <w:lang w:val="en-US"/>
        </w:rPr>
        <w:t xml:space="preserve"> </w:t>
      </w:r>
      <w:r w:rsidRPr="00A23255">
        <w:rPr>
          <w:sz w:val="22"/>
          <w:szCs w:val="22"/>
          <w:lang w:val="en-US"/>
        </w:rPr>
        <w:t>African</w:t>
      </w:r>
      <w:r w:rsidRPr="00A23255">
        <w:rPr>
          <w:spacing w:val="-4"/>
          <w:sz w:val="22"/>
          <w:szCs w:val="22"/>
          <w:lang w:val="en-US"/>
        </w:rPr>
        <w:t xml:space="preserve"> </w:t>
      </w:r>
      <w:r w:rsidRPr="00A23255">
        <w:rPr>
          <w:sz w:val="22"/>
          <w:szCs w:val="22"/>
          <w:lang w:val="en-US"/>
        </w:rPr>
        <w:t>Religions</w:t>
      </w:r>
      <w:r w:rsidRPr="00A23255">
        <w:rPr>
          <w:spacing w:val="-3"/>
          <w:sz w:val="22"/>
          <w:szCs w:val="22"/>
          <w:lang w:val="en-US"/>
        </w:rPr>
        <w:t xml:space="preserve"> </w:t>
      </w:r>
      <w:r w:rsidRPr="00A23255">
        <w:rPr>
          <w:sz w:val="22"/>
          <w:szCs w:val="22"/>
          <w:lang w:val="en-US"/>
        </w:rPr>
        <w:t>and</w:t>
      </w:r>
      <w:r w:rsidRPr="00A23255">
        <w:rPr>
          <w:spacing w:val="-2"/>
          <w:sz w:val="22"/>
          <w:szCs w:val="22"/>
          <w:lang w:val="en-US"/>
        </w:rPr>
        <w:t xml:space="preserve"> </w:t>
      </w:r>
      <w:r w:rsidRPr="00A23255">
        <w:rPr>
          <w:sz w:val="22"/>
          <w:szCs w:val="22"/>
          <w:lang w:val="en-US"/>
        </w:rPr>
        <w:t>Philosophy,</w:t>
      </w:r>
      <w:r w:rsidRPr="00A23255">
        <w:rPr>
          <w:spacing w:val="-5"/>
          <w:sz w:val="22"/>
          <w:szCs w:val="22"/>
          <w:lang w:val="en-US"/>
        </w:rPr>
        <w:t xml:space="preserve"> </w:t>
      </w:r>
      <w:r w:rsidRPr="00A23255">
        <w:rPr>
          <w:sz w:val="22"/>
          <w:szCs w:val="22"/>
          <w:lang w:val="en-US"/>
        </w:rPr>
        <w:t>2nd</w:t>
      </w:r>
      <w:r w:rsidRPr="00A23255">
        <w:rPr>
          <w:spacing w:val="-2"/>
          <w:sz w:val="22"/>
          <w:szCs w:val="22"/>
          <w:lang w:val="en-US"/>
        </w:rPr>
        <w:t xml:space="preserve"> </w:t>
      </w:r>
      <w:r w:rsidRPr="00A23255">
        <w:rPr>
          <w:sz w:val="22"/>
          <w:szCs w:val="22"/>
          <w:lang w:val="en-US"/>
        </w:rPr>
        <w:t>Ed.,</w:t>
      </w:r>
      <w:r w:rsidRPr="00A23255">
        <w:rPr>
          <w:spacing w:val="-5"/>
          <w:sz w:val="22"/>
          <w:szCs w:val="22"/>
          <w:lang w:val="en-US"/>
        </w:rPr>
        <w:t xml:space="preserve"> </w:t>
      </w:r>
      <w:r w:rsidRPr="00A23255">
        <w:rPr>
          <w:sz w:val="22"/>
          <w:szCs w:val="22"/>
          <w:lang w:val="en-US"/>
        </w:rPr>
        <w:t>Oxford:</w:t>
      </w:r>
      <w:r w:rsidRPr="00A23255">
        <w:rPr>
          <w:spacing w:val="40"/>
          <w:sz w:val="22"/>
          <w:szCs w:val="22"/>
          <w:lang w:val="en-US"/>
        </w:rPr>
        <w:t xml:space="preserve"> </w:t>
      </w:r>
      <w:r w:rsidRPr="00A23255">
        <w:rPr>
          <w:spacing w:val="-2"/>
          <w:sz w:val="22"/>
          <w:szCs w:val="22"/>
          <w:lang w:val="en-US"/>
        </w:rPr>
        <w:t>Heinemann.</w:t>
      </w:r>
    </w:p>
    <w:p w14:paraId="49E49831" w14:textId="77777777" w:rsidR="00FF7799" w:rsidRPr="00A23255" w:rsidRDefault="00FF7799" w:rsidP="00D6697D">
      <w:pPr>
        <w:pStyle w:val="StandardText"/>
        <w:rPr>
          <w:sz w:val="22"/>
          <w:szCs w:val="22"/>
          <w:lang w:val="en-US"/>
        </w:rPr>
      </w:pPr>
    </w:p>
    <w:p w14:paraId="61AF69CA" w14:textId="77777777" w:rsidR="00FF7799" w:rsidRPr="000B723F" w:rsidRDefault="00FF7799" w:rsidP="00370236">
      <w:pPr>
        <w:pStyle w:val="berschrift1"/>
        <w:rPr>
          <w:color w:val="2E74B5"/>
        </w:rPr>
      </w:pPr>
      <w:r w:rsidRPr="000B723F">
        <w:rPr>
          <w:color w:val="2E74B5"/>
        </w:rPr>
        <w:t>Vorausurteil</w:t>
      </w:r>
    </w:p>
    <w:p w14:paraId="217A49FE" w14:textId="77777777" w:rsidR="00FF7799" w:rsidRPr="00E73F6F" w:rsidRDefault="00FF7799" w:rsidP="00A138DF">
      <w:pPr>
        <w:spacing w:before="58"/>
        <w:jc w:val="both"/>
        <w:rPr>
          <w:sz w:val="24"/>
          <w:szCs w:val="24"/>
        </w:rPr>
      </w:pPr>
      <w:r w:rsidRPr="00E73F6F">
        <w:rPr>
          <w:sz w:val="24"/>
          <w:szCs w:val="24"/>
        </w:rPr>
        <w:t>vermutlich der begriffliche Vorläufer des Vorurteils. Dessen etymologische Herkunft</w:t>
      </w:r>
      <w:r w:rsidRPr="00E73F6F">
        <w:rPr>
          <w:spacing w:val="-5"/>
          <w:sz w:val="24"/>
          <w:szCs w:val="24"/>
        </w:rPr>
        <w:t xml:space="preserve"> </w:t>
      </w:r>
      <w:r w:rsidRPr="00E73F6F">
        <w:rPr>
          <w:sz w:val="24"/>
          <w:szCs w:val="24"/>
        </w:rPr>
        <w:t>ist</w:t>
      </w:r>
      <w:r w:rsidRPr="00E73F6F">
        <w:rPr>
          <w:spacing w:val="-2"/>
          <w:sz w:val="24"/>
          <w:szCs w:val="24"/>
        </w:rPr>
        <w:t xml:space="preserve"> </w:t>
      </w:r>
      <w:r w:rsidRPr="00E73F6F">
        <w:rPr>
          <w:sz w:val="24"/>
          <w:szCs w:val="24"/>
        </w:rPr>
        <w:t>-</w:t>
      </w:r>
      <w:r w:rsidRPr="00E73F6F">
        <w:rPr>
          <w:spacing w:val="-5"/>
          <w:sz w:val="24"/>
          <w:szCs w:val="24"/>
        </w:rPr>
        <w:t xml:space="preserve"> </w:t>
      </w:r>
      <w:r w:rsidRPr="00E73F6F">
        <w:rPr>
          <w:sz w:val="24"/>
          <w:szCs w:val="24"/>
        </w:rPr>
        <w:t>anders</w:t>
      </w:r>
      <w:r w:rsidRPr="00E73F6F">
        <w:rPr>
          <w:spacing w:val="-3"/>
          <w:sz w:val="24"/>
          <w:szCs w:val="24"/>
        </w:rPr>
        <w:t xml:space="preserve"> </w:t>
      </w:r>
      <w:r w:rsidRPr="00E73F6F">
        <w:rPr>
          <w:sz w:val="24"/>
          <w:szCs w:val="24"/>
        </w:rPr>
        <w:t>als</w:t>
      </w:r>
      <w:r w:rsidRPr="00E73F6F">
        <w:rPr>
          <w:spacing w:val="-4"/>
          <w:sz w:val="24"/>
          <w:szCs w:val="24"/>
        </w:rPr>
        <w:t xml:space="preserve"> </w:t>
      </w:r>
      <w:r w:rsidRPr="00E73F6F">
        <w:rPr>
          <w:sz w:val="24"/>
          <w:szCs w:val="24"/>
        </w:rPr>
        <w:t>die</w:t>
      </w:r>
      <w:r w:rsidRPr="00E73F6F">
        <w:rPr>
          <w:spacing w:val="-6"/>
          <w:sz w:val="24"/>
          <w:szCs w:val="24"/>
        </w:rPr>
        <w:t xml:space="preserve"> </w:t>
      </w:r>
      <w:r w:rsidRPr="00E73F6F">
        <w:rPr>
          <w:sz w:val="24"/>
          <w:szCs w:val="24"/>
        </w:rPr>
        <w:t>des</w:t>
      </w:r>
      <w:r w:rsidRPr="00E73F6F">
        <w:rPr>
          <w:spacing w:val="-4"/>
          <w:sz w:val="24"/>
          <w:szCs w:val="24"/>
        </w:rPr>
        <w:t xml:space="preserve"> </w:t>
      </w:r>
      <w:r w:rsidRPr="00E73F6F">
        <w:rPr>
          <w:rFonts w:ascii="Cambria Math" w:hAnsi="Cambria Math" w:cs="Cambria Math"/>
          <w:sz w:val="24"/>
          <w:szCs w:val="24"/>
        </w:rPr>
        <w:t>⇒</w:t>
      </w:r>
      <w:r w:rsidRPr="00E73F6F">
        <w:rPr>
          <w:sz w:val="24"/>
          <w:szCs w:val="24"/>
        </w:rPr>
        <w:t xml:space="preserve"> Stereotyps</w:t>
      </w:r>
      <w:r w:rsidRPr="00E73F6F">
        <w:rPr>
          <w:spacing w:val="-2"/>
          <w:sz w:val="24"/>
          <w:szCs w:val="24"/>
        </w:rPr>
        <w:t xml:space="preserve"> </w:t>
      </w:r>
      <w:r w:rsidRPr="00E73F6F">
        <w:rPr>
          <w:sz w:val="24"/>
          <w:szCs w:val="24"/>
        </w:rPr>
        <w:t>-</w:t>
      </w:r>
      <w:r w:rsidRPr="00E73F6F">
        <w:rPr>
          <w:spacing w:val="-5"/>
          <w:sz w:val="24"/>
          <w:szCs w:val="24"/>
        </w:rPr>
        <w:t xml:space="preserve"> </w:t>
      </w:r>
      <w:r w:rsidRPr="00E73F6F">
        <w:rPr>
          <w:sz w:val="24"/>
          <w:szCs w:val="24"/>
        </w:rPr>
        <w:t>nicht</w:t>
      </w:r>
      <w:r w:rsidRPr="00E73F6F">
        <w:rPr>
          <w:spacing w:val="-3"/>
          <w:sz w:val="24"/>
          <w:szCs w:val="24"/>
        </w:rPr>
        <w:t xml:space="preserve"> </w:t>
      </w:r>
      <w:r w:rsidRPr="00E73F6F">
        <w:rPr>
          <w:sz w:val="24"/>
          <w:szCs w:val="24"/>
        </w:rPr>
        <w:t>eindeutig</w:t>
      </w:r>
      <w:r w:rsidRPr="00E73F6F">
        <w:rPr>
          <w:spacing w:val="-4"/>
          <w:sz w:val="24"/>
          <w:szCs w:val="24"/>
        </w:rPr>
        <w:t xml:space="preserve"> </w:t>
      </w:r>
      <w:r w:rsidRPr="00A23255">
        <w:rPr>
          <w:sz w:val="24"/>
          <w:szCs w:val="24"/>
        </w:rPr>
        <w:t>geklärt.</w:t>
      </w:r>
      <w:r w:rsidRPr="00A23255">
        <w:rPr>
          <w:spacing w:val="-3"/>
          <w:sz w:val="24"/>
          <w:szCs w:val="24"/>
        </w:rPr>
        <w:t xml:space="preserve"> </w:t>
      </w:r>
      <w:r w:rsidRPr="00A23255">
        <w:rPr>
          <w:sz w:val="24"/>
          <w:szCs w:val="24"/>
        </w:rPr>
        <w:t>Allerdings verweisen bereits die Gebrüder Grimm in ihrem Deutschen Wörterbuch auf das Vorausurteil</w:t>
      </w:r>
      <w:r w:rsidRPr="00E73F6F">
        <w:rPr>
          <w:sz w:val="24"/>
          <w:szCs w:val="24"/>
        </w:rPr>
        <w:t>.</w:t>
      </w:r>
      <w:r w:rsidRPr="00E73F6F">
        <w:rPr>
          <w:spacing w:val="37"/>
          <w:sz w:val="24"/>
          <w:szCs w:val="24"/>
        </w:rPr>
        <w:t xml:space="preserve"> </w:t>
      </w:r>
      <w:r w:rsidRPr="00E73F6F">
        <w:rPr>
          <w:sz w:val="24"/>
          <w:szCs w:val="24"/>
        </w:rPr>
        <w:t>Der</w:t>
      </w:r>
      <w:r w:rsidRPr="00E73F6F">
        <w:rPr>
          <w:spacing w:val="39"/>
          <w:sz w:val="24"/>
          <w:szCs w:val="24"/>
        </w:rPr>
        <w:t xml:space="preserve"> </w:t>
      </w:r>
      <w:r w:rsidRPr="00E73F6F">
        <w:rPr>
          <w:sz w:val="24"/>
          <w:szCs w:val="24"/>
        </w:rPr>
        <w:t>Begriff</w:t>
      </w:r>
      <w:r w:rsidRPr="00E73F6F">
        <w:rPr>
          <w:spacing w:val="38"/>
          <w:sz w:val="24"/>
          <w:szCs w:val="24"/>
        </w:rPr>
        <w:t xml:space="preserve"> </w:t>
      </w:r>
      <w:r w:rsidRPr="00E73F6F">
        <w:rPr>
          <w:sz w:val="24"/>
          <w:szCs w:val="24"/>
        </w:rPr>
        <w:t>entstamme</w:t>
      </w:r>
      <w:r w:rsidRPr="00E73F6F">
        <w:rPr>
          <w:spacing w:val="39"/>
          <w:sz w:val="24"/>
          <w:szCs w:val="24"/>
        </w:rPr>
        <w:t xml:space="preserve"> </w:t>
      </w:r>
      <w:r w:rsidRPr="00E73F6F">
        <w:rPr>
          <w:sz w:val="24"/>
          <w:szCs w:val="24"/>
        </w:rPr>
        <w:t>dem</w:t>
      </w:r>
      <w:r w:rsidRPr="00E73F6F">
        <w:rPr>
          <w:spacing w:val="38"/>
          <w:sz w:val="24"/>
          <w:szCs w:val="24"/>
        </w:rPr>
        <w:t xml:space="preserve"> </w:t>
      </w:r>
      <w:r w:rsidRPr="00E73F6F">
        <w:rPr>
          <w:sz w:val="24"/>
          <w:szCs w:val="24"/>
        </w:rPr>
        <w:t>Gerichtswesen</w:t>
      </w:r>
      <w:r w:rsidRPr="00E73F6F">
        <w:rPr>
          <w:spacing w:val="41"/>
          <w:sz w:val="24"/>
          <w:szCs w:val="24"/>
        </w:rPr>
        <w:t xml:space="preserve"> </w:t>
      </w:r>
      <w:r w:rsidRPr="00E73F6F">
        <w:rPr>
          <w:sz w:val="24"/>
          <w:szCs w:val="24"/>
        </w:rPr>
        <w:t>und</w:t>
      </w:r>
      <w:r w:rsidRPr="00E73F6F">
        <w:rPr>
          <w:spacing w:val="38"/>
          <w:sz w:val="24"/>
          <w:szCs w:val="24"/>
        </w:rPr>
        <w:t xml:space="preserve"> </w:t>
      </w:r>
      <w:r w:rsidRPr="00E73F6F">
        <w:rPr>
          <w:spacing w:val="-2"/>
          <w:sz w:val="24"/>
          <w:szCs w:val="24"/>
        </w:rPr>
        <w:t xml:space="preserve">bedeute </w:t>
      </w:r>
      <w:r w:rsidRPr="00E73F6F">
        <w:rPr>
          <w:sz w:val="24"/>
          <w:szCs w:val="24"/>
        </w:rPr>
        <w:t>„vorgefasstes, irriges Urteil“. Im Vergleich zum Vorurteil ist das Vorausurteil weniger stark emotional verankert und damit leichter veränderbar.</w:t>
      </w:r>
    </w:p>
    <w:p w14:paraId="6B75666B" w14:textId="77777777" w:rsidR="00FF7799" w:rsidRPr="00E73F6F" w:rsidRDefault="00FF7799" w:rsidP="00A138DF">
      <w:pPr>
        <w:spacing w:before="58"/>
        <w:jc w:val="both"/>
        <w:rPr>
          <w:sz w:val="24"/>
          <w:szCs w:val="24"/>
        </w:rPr>
      </w:pPr>
    </w:p>
    <w:p w14:paraId="11E70C36" w14:textId="77777777" w:rsidR="00FF7799" w:rsidRPr="00E73F6F" w:rsidRDefault="00FF7799" w:rsidP="00370236">
      <w:pPr>
        <w:pStyle w:val="berschrift1"/>
      </w:pPr>
      <w:r w:rsidRPr="000B723F">
        <w:rPr>
          <w:color w:val="2E74B5"/>
        </w:rPr>
        <w:t>Wahrung des Gesichts</w:t>
      </w:r>
      <w:r w:rsidRPr="00E73F6F">
        <w:rPr>
          <w:spacing w:val="-1"/>
        </w:rPr>
        <w:t xml:space="preserve"> </w:t>
      </w:r>
      <w:r w:rsidRPr="00E73F6F">
        <w:rPr>
          <w:b w:val="0"/>
        </w:rPr>
        <w:t>→</w:t>
      </w:r>
      <w:r w:rsidRPr="00E73F6F">
        <w:rPr>
          <w:b w:val="0"/>
          <w:spacing w:val="-4"/>
        </w:rPr>
        <w:t xml:space="preserve"> </w:t>
      </w:r>
      <w:r w:rsidRPr="00E73F6F">
        <w:rPr>
          <w:b w:val="0"/>
        </w:rPr>
        <w:t>Gesicht</w:t>
      </w:r>
      <w:r w:rsidRPr="00E73F6F">
        <w:rPr>
          <w:b w:val="0"/>
          <w:spacing w:val="-1"/>
        </w:rPr>
        <w:t xml:space="preserve"> </w:t>
      </w:r>
      <w:r w:rsidRPr="00E73F6F">
        <w:rPr>
          <w:b w:val="0"/>
          <w:spacing w:val="-2"/>
        </w:rPr>
        <w:t>wahren</w:t>
      </w:r>
    </w:p>
    <w:p w14:paraId="67CC3879" w14:textId="77777777" w:rsidR="00FF7799" w:rsidRPr="00E73F6F" w:rsidRDefault="00FF7799" w:rsidP="00370236">
      <w:pPr>
        <w:pStyle w:val="berschrift1"/>
      </w:pPr>
      <w:r w:rsidRPr="000B723F">
        <w:rPr>
          <w:color w:val="2E74B5"/>
        </w:rPr>
        <w:t>Wandel, kultureller</w:t>
      </w:r>
      <w:r w:rsidRPr="00E73F6F">
        <w:rPr>
          <w:spacing w:val="-4"/>
        </w:rPr>
        <w:t xml:space="preserve"> </w:t>
      </w:r>
      <w:r w:rsidRPr="00E73F6F">
        <w:rPr>
          <w:b w:val="0"/>
        </w:rPr>
        <w:t>→</w:t>
      </w:r>
      <w:r w:rsidRPr="00E73F6F">
        <w:rPr>
          <w:b w:val="0"/>
          <w:spacing w:val="-4"/>
        </w:rPr>
        <w:t xml:space="preserve"> </w:t>
      </w:r>
      <w:r w:rsidRPr="00E73F6F">
        <w:rPr>
          <w:b w:val="0"/>
        </w:rPr>
        <w:t>Postmaterialismus-</w:t>
      </w:r>
      <w:r w:rsidRPr="00E73F6F">
        <w:rPr>
          <w:b w:val="0"/>
          <w:spacing w:val="-4"/>
        </w:rPr>
        <w:t>These</w:t>
      </w:r>
    </w:p>
    <w:p w14:paraId="209F7764" w14:textId="77777777" w:rsidR="00FF7799" w:rsidRPr="000B723F" w:rsidRDefault="00FF7799" w:rsidP="00370236">
      <w:pPr>
        <w:pStyle w:val="berschrift1"/>
        <w:rPr>
          <w:color w:val="2E74B5"/>
        </w:rPr>
      </w:pPr>
      <w:r w:rsidRPr="000B723F">
        <w:rPr>
          <w:color w:val="2E74B5"/>
        </w:rPr>
        <w:t>Ward-Verfahren</w:t>
      </w:r>
    </w:p>
    <w:p w14:paraId="20B3ED5B" w14:textId="77777777" w:rsidR="00FF7799" w:rsidRPr="00E73F6F" w:rsidRDefault="00FF7799" w:rsidP="00862DBA">
      <w:pPr>
        <w:spacing w:before="61"/>
        <w:jc w:val="both"/>
        <w:rPr>
          <w:sz w:val="24"/>
          <w:szCs w:val="24"/>
        </w:rPr>
      </w:pPr>
      <w:r w:rsidRPr="00E73F6F">
        <w:rPr>
          <w:sz w:val="24"/>
          <w:szCs w:val="24"/>
        </w:rPr>
        <w:t>clusteranalytisches Verfahren,</w:t>
      </w:r>
      <w:r w:rsidRPr="00E73F6F">
        <w:rPr>
          <w:spacing w:val="-2"/>
          <w:sz w:val="24"/>
          <w:szCs w:val="24"/>
        </w:rPr>
        <w:t xml:space="preserve"> </w:t>
      </w:r>
      <w:r w:rsidRPr="00E73F6F">
        <w:rPr>
          <w:sz w:val="24"/>
          <w:szCs w:val="24"/>
        </w:rPr>
        <w:t>welches</w:t>
      </w:r>
      <w:r w:rsidRPr="00E73F6F">
        <w:rPr>
          <w:spacing w:val="-1"/>
          <w:sz w:val="24"/>
          <w:szCs w:val="24"/>
        </w:rPr>
        <w:t xml:space="preserve"> </w:t>
      </w:r>
      <w:r w:rsidR="00A23255">
        <w:rPr>
          <w:sz w:val="24"/>
          <w:szCs w:val="24"/>
        </w:rPr>
        <w:t>die Wahrscheinlichkeit erhöht</w:t>
      </w:r>
      <w:r w:rsidRPr="00E73F6F">
        <w:rPr>
          <w:sz w:val="24"/>
          <w:szCs w:val="24"/>
        </w:rPr>
        <w:t>,</w:t>
      </w:r>
      <w:r w:rsidRPr="00E73F6F">
        <w:rPr>
          <w:spacing w:val="-2"/>
          <w:sz w:val="24"/>
          <w:szCs w:val="24"/>
        </w:rPr>
        <w:t xml:space="preserve"> </w:t>
      </w:r>
      <w:r w:rsidRPr="00E73F6F">
        <w:rPr>
          <w:sz w:val="24"/>
          <w:szCs w:val="24"/>
        </w:rPr>
        <w:t>Cluster</w:t>
      </w:r>
      <w:r w:rsidRPr="00E73F6F">
        <w:rPr>
          <w:spacing w:val="-3"/>
          <w:sz w:val="24"/>
          <w:szCs w:val="24"/>
        </w:rPr>
        <w:t xml:space="preserve"> </w:t>
      </w:r>
      <w:r w:rsidRPr="00E73F6F">
        <w:rPr>
          <w:sz w:val="24"/>
          <w:szCs w:val="24"/>
        </w:rPr>
        <w:t>gleichartiger Größe</w:t>
      </w:r>
      <w:r w:rsidRPr="00E73F6F">
        <w:rPr>
          <w:spacing w:val="-1"/>
          <w:sz w:val="24"/>
          <w:szCs w:val="24"/>
        </w:rPr>
        <w:t xml:space="preserve"> </w:t>
      </w:r>
      <w:r w:rsidR="00A23255">
        <w:rPr>
          <w:sz w:val="24"/>
          <w:szCs w:val="24"/>
        </w:rPr>
        <w:t>zu identifizieren (</w:t>
      </w:r>
      <w:r w:rsidR="00A23255">
        <w:rPr>
          <w:sz w:val="24"/>
          <w:szCs w:val="24"/>
        </w:rPr>
        <w:sym w:font="Symbol" w:char="F0DE"/>
      </w:r>
      <w:r w:rsidRPr="00E73F6F">
        <w:rPr>
          <w:sz w:val="24"/>
          <w:szCs w:val="24"/>
        </w:rPr>
        <w:t xml:space="preserve"> Single Linkage-Verfahren)</w:t>
      </w:r>
    </w:p>
    <w:p w14:paraId="31A56E1D" w14:textId="77777777" w:rsidR="00FF7799" w:rsidRPr="00E73F6F" w:rsidRDefault="00FF7799" w:rsidP="00862DBA">
      <w:pPr>
        <w:spacing w:before="9"/>
        <w:rPr>
          <w:sz w:val="24"/>
          <w:szCs w:val="24"/>
        </w:rPr>
      </w:pPr>
    </w:p>
    <w:p w14:paraId="327E0EE6" w14:textId="77777777" w:rsidR="00FF7799" w:rsidRPr="000B723F" w:rsidRDefault="00FF7799" w:rsidP="00370236">
      <w:pPr>
        <w:pStyle w:val="berschrift1"/>
        <w:rPr>
          <w:color w:val="2E74B5"/>
        </w:rPr>
      </w:pPr>
      <w:r w:rsidRPr="000B723F">
        <w:rPr>
          <w:color w:val="2E74B5"/>
        </w:rPr>
        <w:lastRenderedPageBreak/>
        <w:t>Wassertropfen-Strategie</w:t>
      </w:r>
    </w:p>
    <w:p w14:paraId="290E6885" w14:textId="77777777" w:rsidR="00FF7799" w:rsidRPr="00E73F6F" w:rsidRDefault="00FF7799" w:rsidP="00862DBA">
      <w:pPr>
        <w:spacing w:before="60"/>
        <w:jc w:val="both"/>
        <w:rPr>
          <w:sz w:val="24"/>
          <w:szCs w:val="24"/>
        </w:rPr>
      </w:pPr>
      <w:r w:rsidRPr="00E73F6F">
        <w:rPr>
          <w:sz w:val="24"/>
          <w:szCs w:val="24"/>
        </w:rPr>
        <w:t>internationale</w:t>
      </w:r>
      <w:r w:rsidRPr="00E73F6F">
        <w:rPr>
          <w:spacing w:val="-6"/>
          <w:sz w:val="24"/>
          <w:szCs w:val="24"/>
        </w:rPr>
        <w:t xml:space="preserve"> </w:t>
      </w:r>
      <w:r w:rsidRPr="00E73F6F">
        <w:rPr>
          <w:sz w:val="24"/>
          <w:szCs w:val="24"/>
        </w:rPr>
        <w:t>Markteintrittsstrategie.</w:t>
      </w:r>
      <w:r w:rsidRPr="00E73F6F">
        <w:rPr>
          <w:spacing w:val="-3"/>
          <w:sz w:val="24"/>
          <w:szCs w:val="24"/>
        </w:rPr>
        <w:t xml:space="preserve"> </w:t>
      </w:r>
      <w:r w:rsidRPr="00E73F6F">
        <w:rPr>
          <w:sz w:val="24"/>
          <w:szCs w:val="24"/>
        </w:rPr>
        <w:t>Das</w:t>
      </w:r>
      <w:r w:rsidRPr="00E73F6F">
        <w:rPr>
          <w:spacing w:val="-6"/>
          <w:sz w:val="24"/>
          <w:szCs w:val="24"/>
        </w:rPr>
        <w:t xml:space="preserve"> </w:t>
      </w:r>
      <w:r w:rsidRPr="00E73F6F">
        <w:rPr>
          <w:sz w:val="24"/>
          <w:szCs w:val="24"/>
        </w:rPr>
        <w:t>Unternehmen</w:t>
      </w:r>
      <w:r w:rsidRPr="00E73F6F">
        <w:rPr>
          <w:spacing w:val="-4"/>
          <w:sz w:val="24"/>
          <w:szCs w:val="24"/>
        </w:rPr>
        <w:t xml:space="preserve"> </w:t>
      </w:r>
      <w:r w:rsidRPr="00E73F6F">
        <w:rPr>
          <w:sz w:val="24"/>
          <w:szCs w:val="24"/>
        </w:rPr>
        <w:t>entscheidet</w:t>
      </w:r>
      <w:r w:rsidRPr="00E73F6F">
        <w:rPr>
          <w:spacing w:val="-6"/>
          <w:sz w:val="24"/>
          <w:szCs w:val="24"/>
        </w:rPr>
        <w:t xml:space="preserve"> </w:t>
      </w:r>
      <w:r w:rsidRPr="00E73F6F">
        <w:rPr>
          <w:sz w:val="24"/>
          <w:szCs w:val="24"/>
        </w:rPr>
        <w:t>sich</w:t>
      </w:r>
      <w:r w:rsidRPr="00E73F6F">
        <w:rPr>
          <w:spacing w:val="-4"/>
          <w:sz w:val="24"/>
          <w:szCs w:val="24"/>
        </w:rPr>
        <w:t xml:space="preserve"> </w:t>
      </w:r>
      <w:r w:rsidRPr="00E73F6F">
        <w:rPr>
          <w:sz w:val="24"/>
          <w:szCs w:val="24"/>
        </w:rPr>
        <w:t>zunächst für</w:t>
      </w:r>
      <w:r w:rsidRPr="00E73F6F">
        <w:rPr>
          <w:spacing w:val="-7"/>
          <w:sz w:val="24"/>
          <w:szCs w:val="24"/>
        </w:rPr>
        <w:t xml:space="preserve"> </w:t>
      </w:r>
      <w:r w:rsidRPr="00E73F6F">
        <w:rPr>
          <w:sz w:val="24"/>
          <w:szCs w:val="24"/>
        </w:rPr>
        <w:t>eine</w:t>
      </w:r>
      <w:r w:rsidRPr="00E73F6F">
        <w:rPr>
          <w:spacing w:val="-7"/>
          <w:sz w:val="24"/>
          <w:szCs w:val="24"/>
        </w:rPr>
        <w:t xml:space="preserve"> </w:t>
      </w:r>
      <w:r w:rsidRPr="00E73F6F">
        <w:rPr>
          <w:sz w:val="24"/>
          <w:szCs w:val="24"/>
        </w:rPr>
        <w:t>bestimmte</w:t>
      </w:r>
      <w:r w:rsidRPr="00E73F6F">
        <w:rPr>
          <w:spacing w:val="-7"/>
          <w:sz w:val="24"/>
          <w:szCs w:val="24"/>
        </w:rPr>
        <w:t xml:space="preserve"> </w:t>
      </w:r>
      <w:r w:rsidRPr="00E73F6F">
        <w:rPr>
          <w:sz w:val="24"/>
          <w:szCs w:val="24"/>
        </w:rPr>
        <w:t>Region</w:t>
      </w:r>
      <w:r w:rsidRPr="00E73F6F">
        <w:rPr>
          <w:spacing w:val="-6"/>
          <w:sz w:val="24"/>
          <w:szCs w:val="24"/>
        </w:rPr>
        <w:t xml:space="preserve"> </w:t>
      </w:r>
      <w:r w:rsidRPr="00E73F6F">
        <w:rPr>
          <w:sz w:val="24"/>
          <w:szCs w:val="24"/>
        </w:rPr>
        <w:t>(z.B.</w:t>
      </w:r>
      <w:r w:rsidRPr="00E73F6F">
        <w:rPr>
          <w:spacing w:val="-6"/>
          <w:sz w:val="24"/>
          <w:szCs w:val="24"/>
        </w:rPr>
        <w:t xml:space="preserve"> </w:t>
      </w:r>
      <w:r w:rsidRPr="00E73F6F">
        <w:rPr>
          <w:sz w:val="24"/>
          <w:szCs w:val="24"/>
        </w:rPr>
        <w:t>Lateinamerika),</w:t>
      </w:r>
      <w:r w:rsidRPr="00E73F6F">
        <w:rPr>
          <w:spacing w:val="-6"/>
          <w:sz w:val="24"/>
          <w:szCs w:val="24"/>
        </w:rPr>
        <w:t xml:space="preserve"> </w:t>
      </w:r>
      <w:r w:rsidRPr="00E73F6F">
        <w:rPr>
          <w:sz w:val="24"/>
          <w:szCs w:val="24"/>
        </w:rPr>
        <w:t>um</w:t>
      </w:r>
      <w:r w:rsidRPr="00E73F6F">
        <w:rPr>
          <w:spacing w:val="-8"/>
          <w:sz w:val="24"/>
          <w:szCs w:val="24"/>
        </w:rPr>
        <w:t xml:space="preserve"> </w:t>
      </w:r>
      <w:r w:rsidRPr="00E73F6F">
        <w:rPr>
          <w:sz w:val="24"/>
          <w:szCs w:val="24"/>
        </w:rPr>
        <w:t>dann</w:t>
      </w:r>
      <w:r w:rsidRPr="00E73F6F">
        <w:rPr>
          <w:spacing w:val="-6"/>
          <w:sz w:val="24"/>
          <w:szCs w:val="24"/>
        </w:rPr>
        <w:t xml:space="preserve"> </w:t>
      </w:r>
      <w:r w:rsidRPr="00E73F6F">
        <w:rPr>
          <w:sz w:val="24"/>
          <w:szCs w:val="24"/>
        </w:rPr>
        <w:t>innerhalb</w:t>
      </w:r>
      <w:r w:rsidRPr="00E73F6F">
        <w:rPr>
          <w:spacing w:val="-8"/>
          <w:sz w:val="24"/>
          <w:szCs w:val="24"/>
        </w:rPr>
        <w:t xml:space="preserve"> </w:t>
      </w:r>
      <w:r w:rsidRPr="00E73F6F">
        <w:rPr>
          <w:sz w:val="24"/>
          <w:szCs w:val="24"/>
        </w:rPr>
        <w:t>dieser</w:t>
      </w:r>
      <w:r w:rsidRPr="00E73F6F">
        <w:rPr>
          <w:spacing w:val="-7"/>
          <w:sz w:val="24"/>
          <w:szCs w:val="24"/>
        </w:rPr>
        <w:t xml:space="preserve"> </w:t>
      </w:r>
      <w:r w:rsidRPr="00E73F6F">
        <w:rPr>
          <w:sz w:val="24"/>
          <w:szCs w:val="24"/>
        </w:rPr>
        <w:t xml:space="preserve">Region einen ‘lead market‘ auszuwählen, den es als ersten lateinamerikanischen Markt </w:t>
      </w:r>
      <w:r w:rsidRPr="00E73F6F">
        <w:rPr>
          <w:spacing w:val="-2"/>
          <w:sz w:val="24"/>
          <w:szCs w:val="24"/>
        </w:rPr>
        <w:t>bearbeitet.</w:t>
      </w:r>
    </w:p>
    <w:p w14:paraId="28CC7D6D" w14:textId="77777777" w:rsidR="00FF7799" w:rsidRPr="00E73F6F" w:rsidRDefault="00FF7799" w:rsidP="00862DBA">
      <w:pPr>
        <w:spacing w:before="10"/>
        <w:rPr>
          <w:sz w:val="24"/>
          <w:szCs w:val="24"/>
        </w:rPr>
      </w:pPr>
    </w:p>
    <w:p w14:paraId="47F48089" w14:textId="77777777" w:rsidR="00FF7799" w:rsidRPr="00E73F6F" w:rsidRDefault="00FF7799" w:rsidP="00370236">
      <w:pPr>
        <w:pStyle w:val="berschrift1"/>
      </w:pPr>
      <w:r w:rsidRPr="000B723F">
        <w:rPr>
          <w:color w:val="2E74B5"/>
        </w:rPr>
        <w:t xml:space="preserve">Wechselkurs </w:t>
      </w:r>
      <w:r w:rsidRPr="00E73F6F">
        <w:rPr>
          <w:b w:val="0"/>
        </w:rPr>
        <w:t>→</w:t>
      </w:r>
      <w:r w:rsidRPr="00E73F6F">
        <w:rPr>
          <w:b w:val="0"/>
          <w:spacing w:val="-3"/>
        </w:rPr>
        <w:t xml:space="preserve"> </w:t>
      </w:r>
      <w:r w:rsidRPr="00E73F6F">
        <w:rPr>
          <w:b w:val="0"/>
        </w:rPr>
        <w:t>Preisfindung</w:t>
      </w:r>
      <w:r w:rsidRPr="00E73F6F">
        <w:rPr>
          <w:b w:val="0"/>
          <w:spacing w:val="-1"/>
        </w:rPr>
        <w:t xml:space="preserve"> </w:t>
      </w:r>
      <w:r w:rsidRPr="00E73F6F">
        <w:rPr>
          <w:b w:val="0"/>
        </w:rPr>
        <w:t>international</w:t>
      </w:r>
      <w:r w:rsidRPr="00E73F6F">
        <w:rPr>
          <w:b w:val="0"/>
          <w:spacing w:val="-2"/>
        </w:rPr>
        <w:t xml:space="preserve"> </w:t>
      </w:r>
      <w:r w:rsidRPr="00E73F6F">
        <w:rPr>
          <w:b w:val="0"/>
        </w:rPr>
        <w:t>tätiger</w:t>
      </w:r>
      <w:r w:rsidRPr="00E73F6F">
        <w:rPr>
          <w:b w:val="0"/>
          <w:spacing w:val="1"/>
        </w:rPr>
        <w:t xml:space="preserve"> </w:t>
      </w:r>
      <w:r w:rsidRPr="00E73F6F">
        <w:rPr>
          <w:b w:val="0"/>
          <w:spacing w:val="-2"/>
        </w:rPr>
        <w:t>Unternehmen</w:t>
      </w:r>
    </w:p>
    <w:p w14:paraId="09F3DB9E" w14:textId="77777777" w:rsidR="00FF7799" w:rsidRPr="000B723F" w:rsidRDefault="00FF7799" w:rsidP="00370236">
      <w:pPr>
        <w:pStyle w:val="berschrift1"/>
        <w:rPr>
          <w:color w:val="2E74B5"/>
        </w:rPr>
      </w:pPr>
      <w:r w:rsidRPr="000B723F">
        <w:rPr>
          <w:color w:val="2E74B5"/>
        </w:rPr>
        <w:t>Weltbild</w:t>
      </w:r>
    </w:p>
    <w:p w14:paraId="6B3CF9B0" w14:textId="77777777" w:rsidR="00FF7799" w:rsidRPr="00A23255" w:rsidRDefault="00FF7799" w:rsidP="00A138DF">
      <w:pPr>
        <w:pStyle w:val="StandardText"/>
        <w:rPr>
          <w:spacing w:val="-2"/>
        </w:rPr>
      </w:pPr>
      <w:r w:rsidRPr="00A23255">
        <w:t>Summe des Wissens, das eine Gesellschaft „über die Welt“ besitzt und deren fundamentalen Annahmen darüber, „wie die Welt funktioniert“. Das Weltbild konkretisiert</w:t>
      </w:r>
      <w:r w:rsidRPr="00A23255">
        <w:rPr>
          <w:spacing w:val="-5"/>
        </w:rPr>
        <w:t xml:space="preserve"> </w:t>
      </w:r>
      <w:r w:rsidRPr="00A23255">
        <w:t>sich</w:t>
      </w:r>
      <w:r w:rsidRPr="00A23255">
        <w:rPr>
          <w:spacing w:val="-5"/>
        </w:rPr>
        <w:t xml:space="preserve"> </w:t>
      </w:r>
      <w:r w:rsidRPr="00A23255">
        <w:t>in</w:t>
      </w:r>
      <w:r w:rsidRPr="00A23255">
        <w:rPr>
          <w:spacing w:val="-5"/>
        </w:rPr>
        <w:t xml:space="preserve"> </w:t>
      </w:r>
      <w:r w:rsidRPr="00A23255">
        <w:t>kulturspezifischen</w:t>
      </w:r>
      <w:r w:rsidRPr="00A23255">
        <w:rPr>
          <w:spacing w:val="-4"/>
        </w:rPr>
        <w:t xml:space="preserve"> </w:t>
      </w:r>
      <w:r w:rsidRPr="00A23255">
        <w:t>Vorstellungen</w:t>
      </w:r>
      <w:r w:rsidRPr="00A23255">
        <w:rPr>
          <w:spacing w:val="-4"/>
        </w:rPr>
        <w:t xml:space="preserve"> </w:t>
      </w:r>
      <w:r w:rsidRPr="00A23255">
        <w:t>über</w:t>
      </w:r>
      <w:r w:rsidRPr="00A23255">
        <w:rPr>
          <w:spacing w:val="-5"/>
        </w:rPr>
        <w:t xml:space="preserve"> </w:t>
      </w:r>
      <w:r w:rsidRPr="00A23255">
        <w:t>Struktur</w:t>
      </w:r>
      <w:r w:rsidRPr="00A23255">
        <w:rPr>
          <w:spacing w:val="-6"/>
        </w:rPr>
        <w:t xml:space="preserve"> </w:t>
      </w:r>
      <w:r w:rsidRPr="00A23255">
        <w:t>und</w:t>
      </w:r>
      <w:r w:rsidRPr="00A23255">
        <w:rPr>
          <w:spacing w:val="-5"/>
        </w:rPr>
        <w:t xml:space="preserve"> </w:t>
      </w:r>
      <w:r w:rsidRPr="00A23255">
        <w:t>Dynamik von Natur, Gesellschaft und Herrschaft, Zeit, Selbstverständnis und andere zentrale Objekten menschlicher Erfahrung. Eine Schlüsselrolle spielen dabei die Handlungsmöglichkeiten, welche eine Gesellschaft dem Individuum oder bestimmten sozialen Gruppen zubilligt (Kontrollüberzeugung vs. Kontrollverlust).</w:t>
      </w:r>
      <w:r w:rsidRPr="00A23255">
        <w:rPr>
          <w:spacing w:val="-4"/>
        </w:rPr>
        <w:t xml:space="preserve"> </w:t>
      </w:r>
      <w:r w:rsidRPr="00A23255">
        <w:t>Müller</w:t>
      </w:r>
      <w:r w:rsidRPr="00A23255">
        <w:rPr>
          <w:spacing w:val="-5"/>
        </w:rPr>
        <w:t xml:space="preserve"> </w:t>
      </w:r>
      <w:r w:rsidRPr="00A23255">
        <w:t>&amp;</w:t>
      </w:r>
      <w:r w:rsidRPr="00A23255">
        <w:rPr>
          <w:spacing w:val="-5"/>
        </w:rPr>
        <w:t xml:space="preserve"> </w:t>
      </w:r>
      <w:r w:rsidRPr="00A23255">
        <w:t>Gelbrich</w:t>
      </w:r>
      <w:r w:rsidRPr="00A23255">
        <w:rPr>
          <w:spacing w:val="-2"/>
        </w:rPr>
        <w:t xml:space="preserve"> </w:t>
      </w:r>
      <w:r w:rsidRPr="00A23255">
        <w:t>(S.</w:t>
      </w:r>
      <w:r w:rsidRPr="00A23255">
        <w:rPr>
          <w:spacing w:val="-6"/>
        </w:rPr>
        <w:t xml:space="preserve"> </w:t>
      </w:r>
      <w:r w:rsidRPr="00A23255">
        <w:t>128ff.)</w:t>
      </w:r>
      <w:r w:rsidRPr="00A23255">
        <w:rPr>
          <w:spacing w:val="-4"/>
        </w:rPr>
        <w:t xml:space="preserve"> </w:t>
      </w:r>
      <w:r w:rsidRPr="00A23255">
        <w:t>erörtern</w:t>
      </w:r>
      <w:r w:rsidRPr="00A23255">
        <w:rPr>
          <w:spacing w:val="-6"/>
        </w:rPr>
        <w:t xml:space="preserve"> </w:t>
      </w:r>
      <w:r w:rsidRPr="00A23255">
        <w:t>die</w:t>
      </w:r>
      <w:r w:rsidRPr="00A23255">
        <w:rPr>
          <w:spacing w:val="-4"/>
        </w:rPr>
        <w:t xml:space="preserve"> </w:t>
      </w:r>
      <w:r w:rsidRPr="00A23255">
        <w:t xml:space="preserve">wichtigsten </w:t>
      </w:r>
      <w:r w:rsidRPr="00A23255">
        <w:rPr>
          <w:spacing w:val="-2"/>
        </w:rPr>
        <w:t>Weltbilder (vgl. Tab. 1).</w:t>
      </w:r>
    </w:p>
    <w:p w14:paraId="1D43C51C" w14:textId="77777777" w:rsidR="00FF7799" w:rsidRPr="00A23255" w:rsidRDefault="00FF7799" w:rsidP="00A138DF">
      <w:pPr>
        <w:pStyle w:val="StandardText"/>
        <w:rPr>
          <w:spacing w:val="-2"/>
        </w:rPr>
      </w:pPr>
    </w:p>
    <w:p w14:paraId="4BED7380" w14:textId="77777777" w:rsidR="00FF7799" w:rsidRPr="000B723F" w:rsidRDefault="00FF7799" w:rsidP="00A138DF">
      <w:pPr>
        <w:pStyle w:val="BeschriftungTab"/>
        <w:rPr>
          <w:i/>
          <w:iCs/>
        </w:rPr>
      </w:pPr>
      <w:r w:rsidRPr="000B723F">
        <w:rPr>
          <w:i/>
          <w:iCs/>
        </w:rPr>
        <w:t>Tab. 1: Die wichtigsten Weltbilder</w:t>
      </w:r>
    </w:p>
    <w:tbl>
      <w:tblPr>
        <w:tblStyle w:val="TableNormal"/>
        <w:tblW w:w="5000" w:type="pct"/>
        <w:tblBorders>
          <w:top w:val="single" w:sz="4" w:space="0" w:color="000000"/>
          <w:bottom w:val="single" w:sz="4" w:space="0" w:color="000000"/>
          <w:insideH w:val="single" w:sz="4" w:space="0" w:color="000000"/>
        </w:tblBorders>
        <w:tblLook w:val="01E0" w:firstRow="1" w:lastRow="1" w:firstColumn="1" w:lastColumn="1" w:noHBand="0" w:noVBand="0"/>
      </w:tblPr>
      <w:tblGrid>
        <w:gridCol w:w="2967"/>
        <w:gridCol w:w="2899"/>
        <w:gridCol w:w="3206"/>
      </w:tblGrid>
      <w:tr w:rsidR="00FF7799" w:rsidRPr="00E73F6F" w14:paraId="494E80AB" w14:textId="77777777" w:rsidTr="00A138DF">
        <w:trPr>
          <w:trHeight w:val="369"/>
        </w:trPr>
        <w:tc>
          <w:tcPr>
            <w:tcW w:w="1635" w:type="pct"/>
          </w:tcPr>
          <w:p w14:paraId="6F74D568" w14:textId="77777777" w:rsidR="00FF7799" w:rsidRPr="00E73F6F" w:rsidRDefault="00FF7799" w:rsidP="00A138DF">
            <w:pPr>
              <w:pStyle w:val="StandardText"/>
              <w:jc w:val="left"/>
              <w:rPr>
                <w:lang w:val="de-DE"/>
              </w:rPr>
            </w:pPr>
            <w:r w:rsidRPr="00E73F6F">
              <w:rPr>
                <w:lang w:val="de-DE"/>
              </w:rPr>
              <w:t>magisches</w:t>
            </w:r>
            <w:r w:rsidRPr="00E73F6F">
              <w:rPr>
                <w:spacing w:val="40"/>
                <w:lang w:val="de-DE"/>
              </w:rPr>
              <w:t xml:space="preserve"> </w:t>
            </w:r>
            <w:r w:rsidRPr="00E73F6F">
              <w:rPr>
                <w:lang w:val="de-DE"/>
              </w:rPr>
              <w:t>Weltbild</w:t>
            </w:r>
          </w:p>
        </w:tc>
        <w:tc>
          <w:tcPr>
            <w:tcW w:w="1598" w:type="pct"/>
          </w:tcPr>
          <w:p w14:paraId="702BE3CD" w14:textId="77777777" w:rsidR="00FF7799" w:rsidRPr="00E73F6F" w:rsidRDefault="00FF7799" w:rsidP="00A138DF">
            <w:pPr>
              <w:pStyle w:val="StandardText"/>
              <w:jc w:val="left"/>
              <w:rPr>
                <w:lang w:val="de-DE"/>
              </w:rPr>
            </w:pPr>
            <w:r w:rsidRPr="00E73F6F">
              <w:rPr>
                <w:lang w:val="de-DE"/>
              </w:rPr>
              <w:t>christlich-abendländisches</w:t>
            </w:r>
            <w:r w:rsidRPr="00E73F6F">
              <w:rPr>
                <w:spacing w:val="-10"/>
                <w:lang w:val="de-DE"/>
              </w:rPr>
              <w:t xml:space="preserve"> </w:t>
            </w:r>
            <w:r w:rsidRPr="00E73F6F">
              <w:rPr>
                <w:lang w:val="de-DE"/>
              </w:rPr>
              <w:t>Weltbild</w:t>
            </w:r>
          </w:p>
        </w:tc>
        <w:tc>
          <w:tcPr>
            <w:tcW w:w="1767" w:type="pct"/>
          </w:tcPr>
          <w:p w14:paraId="5ECF1466" w14:textId="77777777" w:rsidR="00FF7799" w:rsidRPr="00E73F6F" w:rsidRDefault="00FF7799" w:rsidP="00A138DF">
            <w:pPr>
              <w:pStyle w:val="StandardText"/>
              <w:jc w:val="left"/>
              <w:rPr>
                <w:lang w:val="de-DE"/>
              </w:rPr>
            </w:pPr>
            <w:r w:rsidRPr="00E73F6F">
              <w:rPr>
                <w:lang w:val="de-DE"/>
              </w:rPr>
              <w:t>voluntaristisches</w:t>
            </w:r>
            <w:r w:rsidRPr="00E73F6F">
              <w:rPr>
                <w:spacing w:val="40"/>
                <w:lang w:val="de-DE"/>
              </w:rPr>
              <w:t xml:space="preserve"> </w:t>
            </w:r>
            <w:r w:rsidRPr="00E73F6F">
              <w:rPr>
                <w:lang w:val="de-DE"/>
              </w:rPr>
              <w:t>Weltbild</w:t>
            </w:r>
          </w:p>
        </w:tc>
      </w:tr>
      <w:tr w:rsidR="00FF7799" w:rsidRPr="00E73F6F" w14:paraId="33FDD997" w14:textId="77777777" w:rsidTr="00A138DF">
        <w:trPr>
          <w:trHeight w:val="366"/>
        </w:trPr>
        <w:tc>
          <w:tcPr>
            <w:tcW w:w="1635" w:type="pct"/>
          </w:tcPr>
          <w:p w14:paraId="63AB0460" w14:textId="77777777" w:rsidR="00FF7799" w:rsidRPr="00E73F6F" w:rsidRDefault="00FF7799" w:rsidP="00A138DF">
            <w:pPr>
              <w:pStyle w:val="StandardText"/>
              <w:jc w:val="left"/>
              <w:rPr>
                <w:lang w:val="de-DE"/>
              </w:rPr>
            </w:pPr>
            <w:r w:rsidRPr="00E73F6F">
              <w:rPr>
                <w:lang w:val="de-DE"/>
              </w:rPr>
              <w:t>deterministisches</w:t>
            </w:r>
            <w:r w:rsidRPr="00E73F6F">
              <w:rPr>
                <w:spacing w:val="40"/>
                <w:lang w:val="de-DE"/>
              </w:rPr>
              <w:t xml:space="preserve"> </w:t>
            </w:r>
            <w:r w:rsidRPr="00E73F6F">
              <w:rPr>
                <w:lang w:val="de-DE"/>
              </w:rPr>
              <w:t>Weltbild</w:t>
            </w:r>
          </w:p>
        </w:tc>
        <w:tc>
          <w:tcPr>
            <w:tcW w:w="1598" w:type="pct"/>
          </w:tcPr>
          <w:p w14:paraId="32D3B210" w14:textId="77777777" w:rsidR="00FF7799" w:rsidRPr="00E73F6F" w:rsidRDefault="00FF7799" w:rsidP="00A138DF">
            <w:pPr>
              <w:pStyle w:val="StandardText"/>
              <w:jc w:val="left"/>
              <w:rPr>
                <w:lang w:val="de-DE"/>
              </w:rPr>
            </w:pPr>
            <w:r w:rsidRPr="00E73F6F">
              <w:rPr>
                <w:lang w:val="de-DE"/>
              </w:rPr>
              <w:t>cartesianisches</w:t>
            </w:r>
            <w:r w:rsidRPr="00E73F6F">
              <w:rPr>
                <w:spacing w:val="40"/>
                <w:lang w:val="de-DE"/>
              </w:rPr>
              <w:t xml:space="preserve"> </w:t>
            </w:r>
            <w:r w:rsidRPr="00E73F6F">
              <w:rPr>
                <w:lang w:val="de-DE"/>
              </w:rPr>
              <w:t>Weltbild</w:t>
            </w:r>
          </w:p>
        </w:tc>
        <w:tc>
          <w:tcPr>
            <w:tcW w:w="1767" w:type="pct"/>
          </w:tcPr>
          <w:p w14:paraId="7E62EBD2" w14:textId="77777777" w:rsidR="00FF7799" w:rsidRPr="00E73F6F" w:rsidRDefault="00FF7799" w:rsidP="00A138DF">
            <w:pPr>
              <w:pStyle w:val="StandardText"/>
              <w:jc w:val="left"/>
              <w:rPr>
                <w:lang w:val="de-DE"/>
              </w:rPr>
            </w:pPr>
            <w:r w:rsidRPr="00E73F6F">
              <w:rPr>
                <w:lang w:val="de-DE"/>
              </w:rPr>
              <w:t>marxistisches</w:t>
            </w:r>
            <w:r w:rsidRPr="00E73F6F">
              <w:rPr>
                <w:spacing w:val="40"/>
                <w:lang w:val="de-DE"/>
              </w:rPr>
              <w:t xml:space="preserve"> </w:t>
            </w:r>
            <w:r w:rsidRPr="00E73F6F">
              <w:rPr>
                <w:lang w:val="de-DE"/>
              </w:rPr>
              <w:t>Weltbild</w:t>
            </w:r>
          </w:p>
        </w:tc>
      </w:tr>
      <w:tr w:rsidR="00FF7799" w:rsidRPr="00E73F6F" w14:paraId="6FE8CD19" w14:textId="77777777" w:rsidTr="00A138DF">
        <w:trPr>
          <w:trHeight w:val="369"/>
        </w:trPr>
        <w:tc>
          <w:tcPr>
            <w:tcW w:w="1635" w:type="pct"/>
          </w:tcPr>
          <w:p w14:paraId="2C914AE7" w14:textId="77777777" w:rsidR="00FF7799" w:rsidRPr="00E73F6F" w:rsidRDefault="00FF7799" w:rsidP="00A138DF">
            <w:pPr>
              <w:pStyle w:val="StandardText"/>
              <w:jc w:val="left"/>
              <w:rPr>
                <w:lang w:val="de-DE"/>
              </w:rPr>
            </w:pPr>
            <w:r w:rsidRPr="00E73F6F">
              <w:rPr>
                <w:lang w:val="de-DE"/>
              </w:rPr>
              <w:t>konfuzianisches</w:t>
            </w:r>
            <w:r w:rsidRPr="00E73F6F">
              <w:rPr>
                <w:spacing w:val="40"/>
                <w:lang w:val="de-DE"/>
              </w:rPr>
              <w:t xml:space="preserve"> </w:t>
            </w:r>
            <w:r w:rsidRPr="00E73F6F">
              <w:rPr>
                <w:lang w:val="de-DE"/>
              </w:rPr>
              <w:t>Weltbild</w:t>
            </w:r>
          </w:p>
        </w:tc>
        <w:tc>
          <w:tcPr>
            <w:tcW w:w="1598" w:type="pct"/>
          </w:tcPr>
          <w:p w14:paraId="5CF3399C" w14:textId="77777777" w:rsidR="00FF7799" w:rsidRPr="00E73F6F" w:rsidRDefault="00FF7799" w:rsidP="00A138DF">
            <w:pPr>
              <w:pStyle w:val="StandardText"/>
              <w:jc w:val="left"/>
              <w:rPr>
                <w:lang w:val="de-DE"/>
              </w:rPr>
            </w:pPr>
            <w:r w:rsidRPr="00E73F6F">
              <w:rPr>
                <w:lang w:val="de-DE"/>
              </w:rPr>
              <w:t>neues</w:t>
            </w:r>
            <w:r w:rsidRPr="00E73F6F">
              <w:rPr>
                <w:spacing w:val="40"/>
                <w:lang w:val="de-DE"/>
              </w:rPr>
              <w:t xml:space="preserve"> </w:t>
            </w:r>
            <w:r w:rsidRPr="00E73F6F">
              <w:rPr>
                <w:lang w:val="de-DE"/>
              </w:rPr>
              <w:t>Weltbild</w:t>
            </w:r>
          </w:p>
        </w:tc>
        <w:tc>
          <w:tcPr>
            <w:tcW w:w="1767" w:type="pct"/>
          </w:tcPr>
          <w:p w14:paraId="79F610A0" w14:textId="77777777" w:rsidR="00FF7799" w:rsidRPr="00E73F6F" w:rsidRDefault="00FF7799" w:rsidP="00A138DF">
            <w:pPr>
              <w:pStyle w:val="StandardText"/>
              <w:jc w:val="left"/>
              <w:rPr>
                <w:lang w:val="de-DE"/>
              </w:rPr>
            </w:pPr>
            <w:r w:rsidRPr="00E73F6F">
              <w:rPr>
                <w:lang w:val="de-DE"/>
              </w:rPr>
              <w:t>fundamentalistisches</w:t>
            </w:r>
            <w:r w:rsidRPr="00E73F6F">
              <w:rPr>
                <w:spacing w:val="40"/>
                <w:lang w:val="de-DE"/>
              </w:rPr>
              <w:t xml:space="preserve"> </w:t>
            </w:r>
            <w:r w:rsidRPr="00E73F6F">
              <w:rPr>
                <w:lang w:val="de-DE"/>
              </w:rPr>
              <w:t>Weltbild</w:t>
            </w:r>
          </w:p>
        </w:tc>
      </w:tr>
    </w:tbl>
    <w:p w14:paraId="51112567" w14:textId="77777777" w:rsidR="00FF7799" w:rsidRPr="00E73F6F" w:rsidRDefault="00FF7799" w:rsidP="00CD7F6A">
      <w:pPr>
        <w:pStyle w:val="StandardText"/>
      </w:pPr>
    </w:p>
    <w:p w14:paraId="19D4BADC" w14:textId="77777777" w:rsidR="00FF7799" w:rsidRPr="00A23255" w:rsidRDefault="00FF7799" w:rsidP="00862DBA">
      <w:pPr>
        <w:rPr>
          <w:spacing w:val="-2"/>
        </w:rPr>
      </w:pPr>
      <w:r w:rsidRPr="00A23255">
        <w:rPr>
          <w:b/>
          <w:i/>
        </w:rPr>
        <w:t>Literatur</w:t>
      </w:r>
      <w:r w:rsidRPr="00A23255">
        <w:t>:</w:t>
      </w:r>
      <w:r w:rsidRPr="00A23255">
        <w:rPr>
          <w:spacing w:val="-4"/>
        </w:rPr>
        <w:t xml:space="preserve"> </w:t>
      </w:r>
      <w:r w:rsidRPr="00A23255">
        <w:t>Müller,</w:t>
      </w:r>
      <w:r w:rsidRPr="00A23255">
        <w:rPr>
          <w:spacing w:val="-5"/>
        </w:rPr>
        <w:t xml:space="preserve"> </w:t>
      </w:r>
      <w:r w:rsidRPr="00A23255">
        <w:t>S.;</w:t>
      </w:r>
      <w:r w:rsidRPr="00A23255">
        <w:rPr>
          <w:spacing w:val="-6"/>
        </w:rPr>
        <w:t xml:space="preserve"> </w:t>
      </w:r>
      <w:r w:rsidRPr="00A23255">
        <w:t>Gelbrich,</w:t>
      </w:r>
      <w:r w:rsidRPr="00A23255">
        <w:rPr>
          <w:spacing w:val="-5"/>
        </w:rPr>
        <w:t xml:space="preserve"> </w:t>
      </w:r>
      <w:r w:rsidRPr="00A23255">
        <w:t>K.</w:t>
      </w:r>
      <w:r w:rsidRPr="00A23255">
        <w:rPr>
          <w:spacing w:val="-1"/>
        </w:rPr>
        <w:t xml:space="preserve"> </w:t>
      </w:r>
      <w:r w:rsidRPr="00A23255">
        <w:t>(2014):</w:t>
      </w:r>
      <w:r w:rsidRPr="00A23255">
        <w:rPr>
          <w:spacing w:val="-4"/>
        </w:rPr>
        <w:t xml:space="preserve"> </w:t>
      </w:r>
      <w:r w:rsidRPr="00A23255">
        <w:t>Interkulturelle</w:t>
      </w:r>
      <w:r w:rsidRPr="00A23255">
        <w:rPr>
          <w:spacing w:val="-5"/>
        </w:rPr>
        <w:t xml:space="preserve"> </w:t>
      </w:r>
      <w:r w:rsidRPr="00A23255">
        <w:t>Kommunikation,</w:t>
      </w:r>
      <w:r w:rsidRPr="00A23255">
        <w:rPr>
          <w:spacing w:val="-5"/>
        </w:rPr>
        <w:t xml:space="preserve"> </w:t>
      </w:r>
      <w:r w:rsidRPr="00A23255">
        <w:t>München:</w:t>
      </w:r>
      <w:r w:rsidRPr="00A23255">
        <w:rPr>
          <w:spacing w:val="40"/>
        </w:rPr>
        <w:t xml:space="preserve"> </w:t>
      </w:r>
      <w:r w:rsidRPr="00A23255">
        <w:rPr>
          <w:spacing w:val="-2"/>
        </w:rPr>
        <w:t>Vahlen.</w:t>
      </w:r>
    </w:p>
    <w:p w14:paraId="1111469E" w14:textId="77777777" w:rsidR="00FF7799" w:rsidRPr="00E73F6F" w:rsidRDefault="00FF7799" w:rsidP="00862DBA">
      <w:pPr>
        <w:rPr>
          <w:sz w:val="24"/>
          <w:szCs w:val="24"/>
        </w:rPr>
      </w:pPr>
    </w:p>
    <w:p w14:paraId="5ECED3D1" w14:textId="77777777" w:rsidR="00FF7799" w:rsidRPr="00E73F6F" w:rsidRDefault="00FF7799" w:rsidP="00370236">
      <w:pPr>
        <w:pStyle w:val="berschrift1"/>
      </w:pPr>
      <w:r w:rsidRPr="000B723F">
        <w:rPr>
          <w:color w:val="2E74B5"/>
        </w:rPr>
        <w:t>Weltbürger</w:t>
      </w:r>
      <w:r w:rsidRPr="00E73F6F">
        <w:t xml:space="preserve"> </w:t>
      </w:r>
      <w:r w:rsidRPr="00E73F6F">
        <w:rPr>
          <w:b w:val="0"/>
        </w:rPr>
        <w:sym w:font="Symbol" w:char="F0AE"/>
      </w:r>
      <w:r w:rsidRPr="00E73F6F">
        <w:rPr>
          <w:b w:val="0"/>
        </w:rPr>
        <w:t xml:space="preserve"> Global Citizen</w:t>
      </w:r>
      <w:r w:rsidRPr="00E73F6F">
        <w:t xml:space="preserve"> </w:t>
      </w:r>
    </w:p>
    <w:p w14:paraId="3FA0F083" w14:textId="77777777" w:rsidR="00FF7799" w:rsidRPr="00E73F6F" w:rsidRDefault="00FF7799" w:rsidP="00370236">
      <w:pPr>
        <w:pStyle w:val="berschrift1"/>
      </w:pPr>
      <w:r w:rsidRPr="000B723F">
        <w:rPr>
          <w:color w:val="2E74B5"/>
        </w:rPr>
        <w:t xml:space="preserve">Wertewandel </w:t>
      </w:r>
      <w:r w:rsidRPr="00E73F6F">
        <w:rPr>
          <w:b w:val="0"/>
        </w:rPr>
        <w:t>→</w:t>
      </w:r>
      <w:r w:rsidRPr="00E73F6F">
        <w:rPr>
          <w:b w:val="0"/>
          <w:spacing w:val="-8"/>
        </w:rPr>
        <w:t xml:space="preserve"> </w:t>
      </w:r>
      <w:r w:rsidRPr="00E73F6F">
        <w:rPr>
          <w:b w:val="0"/>
        </w:rPr>
        <w:t>Postmaterialismus-</w:t>
      </w:r>
      <w:r w:rsidRPr="00E73F6F">
        <w:rPr>
          <w:b w:val="0"/>
          <w:spacing w:val="-4"/>
        </w:rPr>
        <w:t>These</w:t>
      </w:r>
    </w:p>
    <w:p w14:paraId="1C37A789" w14:textId="77777777" w:rsidR="00FF7799" w:rsidRPr="00E35FFF" w:rsidRDefault="00FF7799" w:rsidP="00370236">
      <w:pPr>
        <w:pStyle w:val="berschrift1"/>
        <w:rPr>
          <w:lang w:val="en-US"/>
        </w:rPr>
      </w:pPr>
      <w:r w:rsidRPr="000B723F">
        <w:rPr>
          <w:color w:val="2E74B5"/>
        </w:rPr>
        <w:t>World Values Survey</w:t>
      </w:r>
      <w:r w:rsidRPr="00E35FFF">
        <w:rPr>
          <w:spacing w:val="-1"/>
          <w:lang w:val="en-US"/>
        </w:rPr>
        <w:t xml:space="preserve"> </w:t>
      </w:r>
      <w:r w:rsidRPr="00E35FFF">
        <w:rPr>
          <w:b w:val="0"/>
          <w:lang w:val="en-US"/>
        </w:rPr>
        <w:t>→</w:t>
      </w:r>
      <w:r w:rsidRPr="00E35FFF">
        <w:rPr>
          <w:b w:val="0"/>
          <w:spacing w:val="-1"/>
          <w:lang w:val="en-US"/>
        </w:rPr>
        <w:t xml:space="preserve"> </w:t>
      </w:r>
      <w:r w:rsidRPr="00E35FFF">
        <w:rPr>
          <w:b w:val="0"/>
          <w:lang w:val="en-US"/>
        </w:rPr>
        <w:t>Postmaterialismus-</w:t>
      </w:r>
      <w:r w:rsidRPr="00E35FFF">
        <w:rPr>
          <w:b w:val="0"/>
          <w:spacing w:val="-4"/>
          <w:lang w:val="en-US"/>
        </w:rPr>
        <w:t>These</w:t>
      </w:r>
    </w:p>
    <w:p w14:paraId="1E22F35C" w14:textId="77777777" w:rsidR="00FF7799" w:rsidRPr="000B723F" w:rsidRDefault="00FF7799" w:rsidP="00370236">
      <w:pPr>
        <w:pStyle w:val="berschrift1"/>
        <w:rPr>
          <w:color w:val="2E74B5"/>
        </w:rPr>
      </w:pPr>
      <w:r w:rsidRPr="000B723F">
        <w:rPr>
          <w:color w:val="2E74B5"/>
        </w:rPr>
        <w:t>Xenophobie</w:t>
      </w:r>
    </w:p>
    <w:p w14:paraId="3DDED9ED" w14:textId="77777777" w:rsidR="00FF7799" w:rsidRPr="00E73F6F" w:rsidRDefault="00FF7799" w:rsidP="00A138DF">
      <w:pPr>
        <w:pStyle w:val="StandardText"/>
      </w:pPr>
      <w:r w:rsidRPr="00E73F6F">
        <w:t>generalisierte</w:t>
      </w:r>
      <w:r w:rsidRPr="00E73F6F">
        <w:rPr>
          <w:spacing w:val="-12"/>
        </w:rPr>
        <w:t xml:space="preserve"> </w:t>
      </w:r>
      <w:r w:rsidRPr="00E73F6F">
        <w:t>Furcht</w:t>
      </w:r>
      <w:r w:rsidRPr="00E73F6F">
        <w:rPr>
          <w:spacing w:val="-11"/>
        </w:rPr>
        <w:t xml:space="preserve"> </w:t>
      </w:r>
      <w:r w:rsidRPr="00E73F6F">
        <w:t>vor</w:t>
      </w:r>
      <w:r w:rsidRPr="00E73F6F">
        <w:rPr>
          <w:spacing w:val="-11"/>
        </w:rPr>
        <w:t xml:space="preserve"> </w:t>
      </w:r>
      <w:r w:rsidRPr="00E73F6F">
        <w:t>und</w:t>
      </w:r>
      <w:r w:rsidRPr="00E73F6F">
        <w:rPr>
          <w:spacing w:val="-11"/>
        </w:rPr>
        <w:t xml:space="preserve"> </w:t>
      </w:r>
      <w:r w:rsidRPr="00E73F6F">
        <w:t>Feindseligkeit</w:t>
      </w:r>
      <w:r w:rsidRPr="00E73F6F">
        <w:rPr>
          <w:spacing w:val="-12"/>
        </w:rPr>
        <w:t xml:space="preserve"> </w:t>
      </w:r>
      <w:r w:rsidRPr="00E73F6F">
        <w:t>gegenüber</w:t>
      </w:r>
      <w:r w:rsidRPr="00E73F6F">
        <w:rPr>
          <w:spacing w:val="-11"/>
        </w:rPr>
        <w:t xml:space="preserve"> </w:t>
      </w:r>
      <w:r w:rsidRPr="00E73F6F">
        <w:t>Fremden</w:t>
      </w:r>
      <w:r w:rsidRPr="00E73F6F">
        <w:rPr>
          <w:spacing w:val="-11"/>
        </w:rPr>
        <w:t xml:space="preserve"> </w:t>
      </w:r>
      <w:r w:rsidRPr="00E73F6F">
        <w:t>und</w:t>
      </w:r>
      <w:r w:rsidRPr="00E73F6F">
        <w:rPr>
          <w:spacing w:val="-11"/>
        </w:rPr>
        <w:t xml:space="preserve"> </w:t>
      </w:r>
      <w:r w:rsidRPr="00E73F6F">
        <w:t>dem</w:t>
      </w:r>
      <w:r w:rsidRPr="00E73F6F">
        <w:rPr>
          <w:spacing w:val="-12"/>
        </w:rPr>
        <w:t xml:space="preserve"> </w:t>
      </w:r>
      <w:r w:rsidRPr="00E73F6F">
        <w:t xml:space="preserve">Fremden an sich. Das Gegensatzwort (Antonym) von Xenophobie ist Xenophilie: Die generalisierte Vorliebe für Fremde und Fremdes (z.B. Russophobie vs. </w:t>
      </w:r>
      <w:r w:rsidRPr="00E73F6F">
        <w:rPr>
          <w:spacing w:val="-2"/>
        </w:rPr>
        <w:t>Frankophilie).</w:t>
      </w:r>
    </w:p>
    <w:p w14:paraId="295B3A35" w14:textId="61CECD26" w:rsidR="00FF7799" w:rsidRPr="00E73F6F" w:rsidRDefault="00FF7799" w:rsidP="00370236">
      <w:pPr>
        <w:pStyle w:val="berschrift1"/>
      </w:pPr>
      <w:r w:rsidRPr="000B723F">
        <w:rPr>
          <w:color w:val="2E74B5"/>
        </w:rPr>
        <w:t>Zahlensymbolik</w:t>
      </w:r>
      <w:r w:rsidRPr="000B723F">
        <w:rPr>
          <w:b w:val="0"/>
          <w:bCs w:val="0"/>
          <w:color w:val="2E74B5"/>
        </w:rPr>
        <w:t xml:space="preserve"> </w:t>
      </w:r>
      <w:r w:rsidRPr="00E73F6F">
        <w:rPr>
          <w:b w:val="0"/>
        </w:rPr>
        <w:t>→</w:t>
      </w:r>
      <w:r w:rsidRPr="00E73F6F">
        <w:rPr>
          <w:b w:val="0"/>
          <w:spacing w:val="-5"/>
        </w:rPr>
        <w:t xml:space="preserve"> </w:t>
      </w:r>
      <w:r w:rsidRPr="00E73F6F">
        <w:rPr>
          <w:b w:val="0"/>
          <w:spacing w:val="-2"/>
        </w:rPr>
        <w:t>Symbol</w:t>
      </w:r>
    </w:p>
    <w:p w14:paraId="2BD4C651" w14:textId="77777777" w:rsidR="00FF7799" w:rsidRPr="000B723F" w:rsidRDefault="00FF7799" w:rsidP="000B723F">
      <w:pPr>
        <w:pStyle w:val="berschrift1"/>
        <w:rPr>
          <w:color w:val="2E74B5"/>
        </w:rPr>
      </w:pPr>
      <w:r w:rsidRPr="000B723F">
        <w:rPr>
          <w:color w:val="2E74B5"/>
        </w:rPr>
        <w:t>Zeit</w:t>
      </w:r>
    </w:p>
    <w:p w14:paraId="1CC8DAB5" w14:textId="77777777" w:rsidR="00FF7799" w:rsidRPr="00E73F6F" w:rsidRDefault="00FF7799" w:rsidP="00A138DF">
      <w:pPr>
        <w:pStyle w:val="StandardText"/>
      </w:pPr>
      <w:r w:rsidRPr="00E73F6F">
        <w:t xml:space="preserve">von der traditionellen Betriebswirtschaftslehre zunächst vernachlässigtes Phänomen. Erst relativ spät schenkte sie der „Zeit“ Beachtung, insb. im Zuge der Diskussion über den Zeitwettbewerb (vgl. Chandler 1977). Hierbei, wie auch in den verschiedenen Lebenszykluskonzepten </w:t>
      </w:r>
      <w:r w:rsidRPr="00E73F6F">
        <w:lastRenderedPageBreak/>
        <w:t xml:space="preserve">(z.B. Produkt-, Vertriebsformen-, Kundenlebenszyklus), wird dieses </w:t>
      </w:r>
      <w:r w:rsidRPr="00E73F6F">
        <w:rPr>
          <w:rFonts w:ascii="Cambria Math" w:hAnsi="Cambria Math" w:cs="Cambria Math"/>
        </w:rPr>
        <w:t>⇒</w:t>
      </w:r>
      <w:r w:rsidRPr="00E73F6F">
        <w:t xml:space="preserve"> Konstrukt jedoch auf seine quantitativ- lineare Dimension reduziert (vgl. Tab. 1).</w:t>
      </w:r>
    </w:p>
    <w:p w14:paraId="607B1DF4" w14:textId="77777777" w:rsidR="00FF7799" w:rsidRPr="00E73F6F" w:rsidRDefault="00FF7799" w:rsidP="00A138DF">
      <w:pPr>
        <w:pStyle w:val="StandardText"/>
      </w:pPr>
    </w:p>
    <w:p w14:paraId="6E390F6D" w14:textId="77777777" w:rsidR="00FF7799" w:rsidRPr="000B723F" w:rsidRDefault="00FF7799" w:rsidP="00A138DF">
      <w:pPr>
        <w:pStyle w:val="BeschriftungTab"/>
        <w:rPr>
          <w:i/>
          <w:iCs/>
        </w:rPr>
      </w:pPr>
      <w:r w:rsidRPr="000B723F">
        <w:rPr>
          <w:i/>
          <w:iCs/>
        </w:rPr>
        <w:t>Tab.</w:t>
      </w:r>
      <w:r w:rsidRPr="000B723F">
        <w:rPr>
          <w:i/>
          <w:iCs/>
          <w:spacing w:val="-5"/>
        </w:rPr>
        <w:t xml:space="preserve"> </w:t>
      </w:r>
      <w:r w:rsidRPr="000B723F">
        <w:rPr>
          <w:i/>
          <w:iCs/>
        </w:rPr>
        <w:t>1:</w:t>
      </w:r>
      <w:r w:rsidRPr="000B723F">
        <w:rPr>
          <w:i/>
          <w:iCs/>
          <w:spacing w:val="-5"/>
        </w:rPr>
        <w:t xml:space="preserve"> </w:t>
      </w:r>
      <w:r w:rsidRPr="000B723F">
        <w:rPr>
          <w:i/>
          <w:iCs/>
        </w:rPr>
        <w:t>Ausgewählte</w:t>
      </w:r>
      <w:r w:rsidRPr="000B723F">
        <w:rPr>
          <w:i/>
          <w:iCs/>
          <w:spacing w:val="-6"/>
        </w:rPr>
        <w:t xml:space="preserve"> </w:t>
      </w:r>
      <w:r w:rsidRPr="000B723F">
        <w:rPr>
          <w:i/>
          <w:iCs/>
        </w:rPr>
        <w:t>Beispiele</w:t>
      </w:r>
      <w:r w:rsidRPr="000B723F">
        <w:rPr>
          <w:i/>
          <w:iCs/>
          <w:spacing w:val="-4"/>
        </w:rPr>
        <w:t xml:space="preserve"> </w:t>
      </w:r>
      <w:r w:rsidRPr="000B723F">
        <w:rPr>
          <w:i/>
          <w:iCs/>
        </w:rPr>
        <w:t>der Relevanz</w:t>
      </w:r>
      <w:r w:rsidRPr="000B723F">
        <w:rPr>
          <w:i/>
          <w:iCs/>
          <w:spacing w:val="-4"/>
        </w:rPr>
        <w:t xml:space="preserve"> </w:t>
      </w:r>
      <w:r w:rsidRPr="000B723F">
        <w:rPr>
          <w:i/>
          <w:iCs/>
        </w:rPr>
        <w:t>des</w:t>
      </w:r>
      <w:r w:rsidRPr="000B723F">
        <w:rPr>
          <w:i/>
          <w:iCs/>
          <w:spacing w:val="-4"/>
        </w:rPr>
        <w:t xml:space="preserve"> </w:t>
      </w:r>
      <w:r w:rsidRPr="000B723F">
        <w:rPr>
          <w:i/>
          <w:iCs/>
        </w:rPr>
        <w:t>Phänomens</w:t>
      </w:r>
      <w:r w:rsidRPr="000B723F">
        <w:rPr>
          <w:i/>
          <w:iCs/>
          <w:spacing w:val="-4"/>
        </w:rPr>
        <w:t xml:space="preserve"> </w:t>
      </w:r>
      <w:r w:rsidRPr="000B723F">
        <w:rPr>
          <w:i/>
          <w:iCs/>
        </w:rPr>
        <w:t>„Zeit“</w:t>
      </w:r>
      <w:r w:rsidRPr="000B723F">
        <w:rPr>
          <w:i/>
          <w:iCs/>
          <w:spacing w:val="-3"/>
        </w:rPr>
        <w:t xml:space="preserve"> </w:t>
      </w:r>
      <w:r w:rsidRPr="000B723F">
        <w:rPr>
          <w:i/>
          <w:iCs/>
          <w:spacing w:val="-3"/>
        </w:rPr>
        <w:br/>
      </w:r>
      <w:r w:rsidRPr="000B723F">
        <w:rPr>
          <w:i/>
          <w:iCs/>
        </w:rPr>
        <w:t>als</w:t>
      </w:r>
      <w:r w:rsidRPr="000B723F">
        <w:rPr>
          <w:i/>
          <w:iCs/>
          <w:spacing w:val="-4"/>
        </w:rPr>
        <w:t xml:space="preserve"> </w:t>
      </w:r>
      <w:r w:rsidRPr="000B723F">
        <w:rPr>
          <w:i/>
          <w:iCs/>
        </w:rPr>
        <w:t>zentrale Bestimmungsgröße betriebswirtschaftlichen Handelns</w:t>
      </w:r>
    </w:p>
    <w:tbl>
      <w:tblPr>
        <w:tblStyle w:val="TableNormal"/>
        <w:tblW w:w="5000" w:type="pct"/>
        <w:tblLook w:val="01E0" w:firstRow="1" w:lastRow="1" w:firstColumn="1" w:lastColumn="1" w:noHBand="0" w:noVBand="0"/>
      </w:tblPr>
      <w:tblGrid>
        <w:gridCol w:w="3736"/>
        <w:gridCol w:w="5336"/>
      </w:tblGrid>
      <w:tr w:rsidR="00FF7799" w:rsidRPr="00E73F6F" w14:paraId="79C31384" w14:textId="77777777" w:rsidTr="00A806BE">
        <w:trPr>
          <w:trHeight w:val="2697"/>
        </w:trPr>
        <w:tc>
          <w:tcPr>
            <w:tcW w:w="2059" w:type="pct"/>
            <w:tcBorders>
              <w:top w:val="single" w:sz="4" w:space="0" w:color="000000"/>
              <w:bottom w:val="single" w:sz="4" w:space="0" w:color="000000"/>
            </w:tcBorders>
          </w:tcPr>
          <w:p w14:paraId="1E11B71F" w14:textId="77777777" w:rsidR="00FF7799" w:rsidRPr="00E73F6F" w:rsidRDefault="00FF7799" w:rsidP="000A5184">
            <w:pPr>
              <w:pStyle w:val="StandardTextAufzhlung"/>
              <w:ind w:left="1134"/>
              <w:rPr>
                <w:lang w:val="de-DE"/>
              </w:rPr>
            </w:pPr>
            <w:r w:rsidRPr="00E73F6F">
              <w:rPr>
                <w:lang w:val="de-DE"/>
              </w:rPr>
              <w:t>Antizyklische</w:t>
            </w:r>
            <w:r w:rsidRPr="00E73F6F">
              <w:rPr>
                <w:spacing w:val="15"/>
                <w:lang w:val="de-DE"/>
              </w:rPr>
              <w:t xml:space="preserve"> </w:t>
            </w:r>
            <w:r w:rsidRPr="00E73F6F">
              <w:rPr>
                <w:lang w:val="de-DE"/>
              </w:rPr>
              <w:t>Werbung</w:t>
            </w:r>
          </w:p>
          <w:p w14:paraId="28AAD0BE" w14:textId="77777777" w:rsidR="00FF7799" w:rsidRPr="00E73F6F" w:rsidRDefault="00FF7799" w:rsidP="000A5184">
            <w:pPr>
              <w:pStyle w:val="StandardTextAufzhlung"/>
              <w:ind w:left="1134"/>
              <w:rPr>
                <w:lang w:val="de-DE"/>
              </w:rPr>
            </w:pPr>
            <w:r w:rsidRPr="00E73F6F">
              <w:rPr>
                <w:lang w:val="de-DE"/>
              </w:rPr>
              <w:t>Carry</w:t>
            </w:r>
            <w:r w:rsidRPr="00E73F6F">
              <w:rPr>
                <w:spacing w:val="-7"/>
                <w:lang w:val="de-DE"/>
              </w:rPr>
              <w:t xml:space="preserve"> </w:t>
            </w:r>
            <w:r w:rsidRPr="00E73F6F">
              <w:rPr>
                <w:lang w:val="de-DE"/>
              </w:rPr>
              <w:t>Over-Effekt</w:t>
            </w:r>
          </w:p>
          <w:p w14:paraId="3C16D081" w14:textId="77777777" w:rsidR="00FF7799" w:rsidRPr="00E73F6F" w:rsidRDefault="00FF7799" w:rsidP="000A5184">
            <w:pPr>
              <w:pStyle w:val="StandardTextAufzhlung"/>
              <w:ind w:left="1134"/>
              <w:rPr>
                <w:lang w:val="de-DE"/>
              </w:rPr>
            </w:pPr>
            <w:r w:rsidRPr="00E73F6F">
              <w:rPr>
                <w:lang w:val="de-DE"/>
              </w:rPr>
              <w:t>Cash</w:t>
            </w:r>
            <w:r w:rsidRPr="00E73F6F">
              <w:rPr>
                <w:spacing w:val="-9"/>
                <w:lang w:val="de-DE"/>
              </w:rPr>
              <w:t xml:space="preserve"> </w:t>
            </w:r>
            <w:r w:rsidRPr="00E73F6F">
              <w:rPr>
                <w:lang w:val="de-DE"/>
              </w:rPr>
              <w:t>Flow-Analyse</w:t>
            </w:r>
          </w:p>
          <w:p w14:paraId="5249C9A4" w14:textId="77777777" w:rsidR="00FF7799" w:rsidRPr="00E73F6F" w:rsidRDefault="00FF7799" w:rsidP="000A5184">
            <w:pPr>
              <w:pStyle w:val="StandardTextAufzhlung"/>
              <w:ind w:left="1134"/>
              <w:rPr>
                <w:lang w:val="de-DE"/>
              </w:rPr>
            </w:pPr>
            <w:r w:rsidRPr="00E73F6F">
              <w:rPr>
                <w:lang w:val="de-DE"/>
              </w:rPr>
              <w:t>First</w:t>
            </w:r>
            <w:r w:rsidRPr="00E73F6F">
              <w:rPr>
                <w:spacing w:val="-5"/>
                <w:lang w:val="de-DE"/>
              </w:rPr>
              <w:t xml:space="preserve"> </w:t>
            </w:r>
            <w:r w:rsidRPr="00E73F6F">
              <w:rPr>
                <w:lang w:val="de-DE"/>
              </w:rPr>
              <w:t>to</w:t>
            </w:r>
            <w:r w:rsidRPr="00E73F6F">
              <w:rPr>
                <w:spacing w:val="-4"/>
                <w:lang w:val="de-DE"/>
              </w:rPr>
              <w:t xml:space="preserve"> </w:t>
            </w:r>
            <w:r w:rsidRPr="00E73F6F">
              <w:rPr>
                <w:lang w:val="de-DE"/>
              </w:rPr>
              <w:t>Market-Strategie</w:t>
            </w:r>
          </w:p>
          <w:p w14:paraId="73C97E2E" w14:textId="77777777" w:rsidR="00FF7799" w:rsidRPr="00E73F6F" w:rsidRDefault="00FF7799" w:rsidP="000A5184">
            <w:pPr>
              <w:pStyle w:val="StandardTextAufzhlung"/>
              <w:ind w:left="1134"/>
              <w:rPr>
                <w:lang w:val="de-DE"/>
              </w:rPr>
            </w:pPr>
            <w:r w:rsidRPr="00E73F6F">
              <w:rPr>
                <w:lang w:val="de-DE"/>
              </w:rPr>
              <w:t>Follow</w:t>
            </w:r>
            <w:r w:rsidRPr="00E73F6F">
              <w:rPr>
                <w:spacing w:val="-7"/>
                <w:lang w:val="de-DE"/>
              </w:rPr>
              <w:t xml:space="preserve"> </w:t>
            </w:r>
            <w:r w:rsidRPr="00E73F6F">
              <w:rPr>
                <w:lang w:val="de-DE"/>
              </w:rPr>
              <w:t>the</w:t>
            </w:r>
            <w:r w:rsidRPr="00E73F6F">
              <w:rPr>
                <w:spacing w:val="-6"/>
                <w:lang w:val="de-DE"/>
              </w:rPr>
              <w:t xml:space="preserve"> </w:t>
            </w:r>
            <w:r w:rsidRPr="00E73F6F">
              <w:rPr>
                <w:lang w:val="de-DE"/>
              </w:rPr>
              <w:t>Leader-Strategie</w:t>
            </w:r>
          </w:p>
          <w:p w14:paraId="13FA903E" w14:textId="77777777" w:rsidR="00FF7799" w:rsidRPr="00E73F6F" w:rsidRDefault="00FF7799" w:rsidP="000A5184">
            <w:pPr>
              <w:pStyle w:val="StandardTextAufzhlung"/>
              <w:ind w:left="1134"/>
              <w:rPr>
                <w:lang w:val="de-DE"/>
              </w:rPr>
            </w:pPr>
            <w:r w:rsidRPr="00E73F6F">
              <w:rPr>
                <w:lang w:val="de-DE"/>
              </w:rPr>
              <w:t>Just in</w:t>
            </w:r>
            <w:r w:rsidRPr="00E73F6F">
              <w:rPr>
                <w:spacing w:val="1"/>
                <w:lang w:val="de-DE"/>
              </w:rPr>
              <w:t xml:space="preserve"> </w:t>
            </w:r>
            <w:r w:rsidRPr="00E73F6F">
              <w:rPr>
                <w:spacing w:val="-4"/>
                <w:lang w:val="de-DE"/>
              </w:rPr>
              <w:t>Time</w:t>
            </w:r>
          </w:p>
          <w:p w14:paraId="0E7C52CC" w14:textId="77777777" w:rsidR="00FF7799" w:rsidRPr="00E73F6F" w:rsidRDefault="00FF7799" w:rsidP="000A5184">
            <w:pPr>
              <w:pStyle w:val="StandardTextAufzhlung"/>
              <w:ind w:left="1134"/>
              <w:rPr>
                <w:lang w:val="de-DE"/>
              </w:rPr>
            </w:pPr>
            <w:r w:rsidRPr="00E73F6F">
              <w:rPr>
                <w:lang w:val="de-DE"/>
              </w:rPr>
              <w:t>Karriereplanung</w:t>
            </w:r>
          </w:p>
          <w:p w14:paraId="52811F65" w14:textId="77777777" w:rsidR="00FF7799" w:rsidRPr="00E73F6F" w:rsidRDefault="00FF7799" w:rsidP="000A5184">
            <w:pPr>
              <w:pStyle w:val="StandardTextAufzhlung"/>
              <w:ind w:left="1134"/>
              <w:rPr>
                <w:lang w:val="de-DE"/>
              </w:rPr>
            </w:pPr>
            <w:r w:rsidRPr="00E73F6F">
              <w:rPr>
                <w:lang w:val="de-DE"/>
              </w:rPr>
              <w:t>Kundenbindung</w:t>
            </w:r>
          </w:p>
          <w:p w14:paraId="3E9E43E0" w14:textId="77777777" w:rsidR="00FF7799" w:rsidRPr="00E73F6F" w:rsidRDefault="00FF7799" w:rsidP="000A5184">
            <w:pPr>
              <w:pStyle w:val="StandardTextAufzhlung"/>
              <w:ind w:left="1134"/>
              <w:rPr>
                <w:lang w:val="de-DE"/>
              </w:rPr>
            </w:pPr>
            <w:r w:rsidRPr="00E73F6F">
              <w:rPr>
                <w:lang w:val="de-DE"/>
              </w:rPr>
              <w:t>Lieferzeit</w:t>
            </w:r>
          </w:p>
          <w:p w14:paraId="589ECE93" w14:textId="77777777" w:rsidR="00FF7799" w:rsidRPr="00E73F6F" w:rsidRDefault="00FF7799" w:rsidP="000A5184">
            <w:pPr>
              <w:pStyle w:val="StandardTextAufzhlung"/>
              <w:ind w:left="1134"/>
              <w:rPr>
                <w:lang w:val="de-DE"/>
              </w:rPr>
            </w:pPr>
            <w:r w:rsidRPr="00E73F6F">
              <w:rPr>
                <w:lang w:val="de-DE"/>
              </w:rPr>
              <w:t>Marktaustrittskosten</w:t>
            </w:r>
          </w:p>
        </w:tc>
        <w:tc>
          <w:tcPr>
            <w:tcW w:w="2941" w:type="pct"/>
            <w:tcBorders>
              <w:top w:val="single" w:sz="4" w:space="0" w:color="000000"/>
              <w:bottom w:val="single" w:sz="4" w:space="0" w:color="000000"/>
            </w:tcBorders>
          </w:tcPr>
          <w:p w14:paraId="5F67D450" w14:textId="77777777" w:rsidR="00FF7799" w:rsidRPr="00E73F6F" w:rsidRDefault="00FF7799" w:rsidP="000A5184">
            <w:pPr>
              <w:pStyle w:val="StandardTextAufzhlung"/>
              <w:ind w:left="1134"/>
              <w:rPr>
                <w:lang w:val="de-DE"/>
              </w:rPr>
            </w:pPr>
            <w:r w:rsidRPr="00E73F6F">
              <w:rPr>
                <w:lang w:val="de-DE"/>
              </w:rPr>
              <w:t>Markteinführungsstratgie</w:t>
            </w:r>
          </w:p>
          <w:p w14:paraId="2D48E505" w14:textId="77777777" w:rsidR="00FF7799" w:rsidRPr="00E73F6F" w:rsidRDefault="00FF7799" w:rsidP="000A5184">
            <w:pPr>
              <w:pStyle w:val="StandardTextAufzhlung"/>
              <w:ind w:left="1134"/>
              <w:rPr>
                <w:lang w:val="de-DE"/>
              </w:rPr>
            </w:pPr>
            <w:r w:rsidRPr="00E73F6F">
              <w:rPr>
                <w:lang w:val="de-DE"/>
              </w:rPr>
              <w:t>Natural</w:t>
            </w:r>
            <w:r w:rsidRPr="00E73F6F">
              <w:rPr>
                <w:spacing w:val="-6"/>
                <w:lang w:val="de-DE"/>
              </w:rPr>
              <w:t xml:space="preserve"> </w:t>
            </w:r>
            <w:r w:rsidRPr="00E73F6F">
              <w:rPr>
                <w:lang w:val="de-DE"/>
              </w:rPr>
              <w:t>Hedging</w:t>
            </w:r>
          </w:p>
          <w:p w14:paraId="6086B021" w14:textId="77777777" w:rsidR="00FF7799" w:rsidRPr="00E73F6F" w:rsidRDefault="00FF7799" w:rsidP="000A5184">
            <w:pPr>
              <w:pStyle w:val="StandardTextAufzhlung"/>
              <w:ind w:left="1134"/>
              <w:rPr>
                <w:lang w:val="de-DE"/>
              </w:rPr>
            </w:pPr>
            <w:r w:rsidRPr="00E73F6F">
              <w:rPr>
                <w:lang w:val="de-DE"/>
              </w:rPr>
              <w:t>Produktlebenszyklus</w:t>
            </w:r>
          </w:p>
          <w:p w14:paraId="2A1FCE7C" w14:textId="77777777" w:rsidR="00FF7799" w:rsidRPr="00E73F6F" w:rsidRDefault="00FF7799" w:rsidP="000A5184">
            <w:pPr>
              <w:pStyle w:val="StandardTextAufzhlung"/>
              <w:ind w:left="1134"/>
              <w:rPr>
                <w:lang w:val="de-DE"/>
              </w:rPr>
            </w:pPr>
            <w:r w:rsidRPr="00E73F6F">
              <w:rPr>
                <w:lang w:val="de-DE"/>
              </w:rPr>
              <w:t>Quick</w:t>
            </w:r>
            <w:r w:rsidRPr="00E73F6F">
              <w:rPr>
                <w:spacing w:val="-4"/>
                <w:lang w:val="de-DE"/>
              </w:rPr>
              <w:t xml:space="preserve"> </w:t>
            </w:r>
            <w:r w:rsidRPr="00E73F6F">
              <w:rPr>
                <w:lang w:val="de-DE"/>
              </w:rPr>
              <w:t>Response</w:t>
            </w:r>
          </w:p>
          <w:p w14:paraId="2141457D" w14:textId="77777777" w:rsidR="00FF7799" w:rsidRPr="00E73F6F" w:rsidRDefault="00FF7799" w:rsidP="000A5184">
            <w:pPr>
              <w:pStyle w:val="StandardTextAufzhlung"/>
              <w:ind w:left="1134"/>
              <w:rPr>
                <w:lang w:val="de-DE"/>
              </w:rPr>
            </w:pPr>
            <w:r w:rsidRPr="00E73F6F">
              <w:rPr>
                <w:lang w:val="de-DE"/>
              </w:rPr>
              <w:t>Schutzfrist</w:t>
            </w:r>
            <w:r w:rsidRPr="00E73F6F">
              <w:rPr>
                <w:spacing w:val="-6"/>
                <w:lang w:val="de-DE"/>
              </w:rPr>
              <w:t xml:space="preserve"> </w:t>
            </w:r>
            <w:r w:rsidRPr="00E73F6F">
              <w:rPr>
                <w:lang w:val="de-DE"/>
              </w:rPr>
              <w:t>(von</w:t>
            </w:r>
            <w:r w:rsidRPr="00E73F6F">
              <w:rPr>
                <w:spacing w:val="-7"/>
                <w:lang w:val="de-DE"/>
              </w:rPr>
              <w:t xml:space="preserve"> </w:t>
            </w:r>
            <w:r w:rsidRPr="00E73F6F">
              <w:rPr>
                <w:lang w:val="de-DE"/>
              </w:rPr>
              <w:t>Patenten)</w:t>
            </w:r>
          </w:p>
          <w:p w14:paraId="6013891A" w14:textId="77777777" w:rsidR="00FF7799" w:rsidRPr="00E73F6F" w:rsidRDefault="00FF7799" w:rsidP="000A5184">
            <w:pPr>
              <w:pStyle w:val="StandardTextAufzhlung"/>
              <w:ind w:left="1134"/>
              <w:rPr>
                <w:lang w:val="de-DE"/>
              </w:rPr>
            </w:pPr>
            <w:r w:rsidRPr="00E73F6F">
              <w:rPr>
                <w:lang w:val="de-DE"/>
              </w:rPr>
              <w:t>Simultaneous</w:t>
            </w:r>
            <w:r w:rsidRPr="00E73F6F">
              <w:rPr>
                <w:spacing w:val="13"/>
                <w:lang w:val="de-DE"/>
              </w:rPr>
              <w:t xml:space="preserve"> </w:t>
            </w:r>
            <w:r w:rsidRPr="00E73F6F">
              <w:rPr>
                <w:lang w:val="de-DE"/>
              </w:rPr>
              <w:t>Engineering</w:t>
            </w:r>
          </w:p>
          <w:p w14:paraId="687F893A" w14:textId="77777777" w:rsidR="00FF7799" w:rsidRPr="00E73F6F" w:rsidRDefault="00FF7799" w:rsidP="000A5184">
            <w:pPr>
              <w:pStyle w:val="StandardTextAufzhlung"/>
              <w:ind w:left="1134"/>
              <w:rPr>
                <w:lang w:val="de-DE"/>
              </w:rPr>
            </w:pPr>
            <w:r w:rsidRPr="00E73F6F">
              <w:rPr>
                <w:lang w:val="de-DE"/>
              </w:rPr>
              <w:t>Transaktionskosten</w:t>
            </w:r>
          </w:p>
          <w:p w14:paraId="7FC06DA7" w14:textId="77777777" w:rsidR="00FF7799" w:rsidRPr="00E73F6F" w:rsidRDefault="00FF7799" w:rsidP="000A5184">
            <w:pPr>
              <w:pStyle w:val="StandardTextAufzhlung"/>
              <w:ind w:left="1134"/>
              <w:rPr>
                <w:lang w:val="de-DE"/>
              </w:rPr>
            </w:pPr>
            <w:r w:rsidRPr="00E73F6F">
              <w:rPr>
                <w:lang w:val="de-DE"/>
              </w:rPr>
              <w:t>Timing-Strategie</w:t>
            </w:r>
          </w:p>
          <w:p w14:paraId="143B9BFA" w14:textId="77777777" w:rsidR="00FF7799" w:rsidRPr="00E73F6F" w:rsidRDefault="00FF7799" w:rsidP="000A5184">
            <w:pPr>
              <w:pStyle w:val="StandardTextAufzhlung"/>
              <w:ind w:left="1134"/>
              <w:rPr>
                <w:lang w:val="de-DE"/>
              </w:rPr>
            </w:pPr>
            <w:r w:rsidRPr="00E73F6F">
              <w:rPr>
                <w:lang w:val="de-DE"/>
              </w:rPr>
              <w:t>Zahlungsfrist</w:t>
            </w:r>
          </w:p>
          <w:p w14:paraId="4DDB867C" w14:textId="77777777" w:rsidR="00FF7799" w:rsidRPr="00E73F6F" w:rsidRDefault="00FF7799" w:rsidP="000A5184">
            <w:pPr>
              <w:pStyle w:val="StandardTextAufzhlung"/>
              <w:ind w:left="1134"/>
              <w:rPr>
                <w:lang w:val="de-DE"/>
              </w:rPr>
            </w:pPr>
            <w:r w:rsidRPr="00E73F6F">
              <w:rPr>
                <w:lang w:val="de-DE"/>
              </w:rPr>
              <w:t>Zinsniveau/Opportunitätskosten</w:t>
            </w:r>
          </w:p>
        </w:tc>
      </w:tr>
    </w:tbl>
    <w:p w14:paraId="4BD0B24D" w14:textId="77777777" w:rsidR="00FF7799" w:rsidRPr="00E73F6F" w:rsidRDefault="00FF7799" w:rsidP="00862DBA">
      <w:pPr>
        <w:rPr>
          <w:i/>
          <w:sz w:val="24"/>
          <w:szCs w:val="24"/>
        </w:rPr>
      </w:pPr>
    </w:p>
    <w:p w14:paraId="20551DD9" w14:textId="77777777" w:rsidR="00FF7799" w:rsidRPr="00D22D27" w:rsidRDefault="00FF7799" w:rsidP="00A138DF">
      <w:pPr>
        <w:pStyle w:val="StandardTextkursiv"/>
        <w:rPr>
          <w:i w:val="0"/>
        </w:rPr>
      </w:pPr>
      <w:r w:rsidRPr="00D22D27">
        <w:rPr>
          <w:i w:val="0"/>
        </w:rPr>
        <w:t>1</w:t>
      </w:r>
      <w:r w:rsidRPr="00D22D27">
        <w:rPr>
          <w:i w:val="0"/>
          <w:spacing w:val="44"/>
        </w:rPr>
        <w:t xml:space="preserve"> </w:t>
      </w:r>
      <w:r w:rsidRPr="00D22D27">
        <w:rPr>
          <w:i w:val="0"/>
        </w:rPr>
        <w:t>Funktionen</w:t>
      </w:r>
      <w:r w:rsidRPr="00D22D27">
        <w:rPr>
          <w:i w:val="0"/>
          <w:spacing w:val="-2"/>
        </w:rPr>
        <w:t xml:space="preserve"> </w:t>
      </w:r>
      <w:r w:rsidRPr="00D22D27">
        <w:rPr>
          <w:i w:val="0"/>
        </w:rPr>
        <w:t>von</w:t>
      </w:r>
      <w:r w:rsidRPr="00D22D27">
        <w:rPr>
          <w:i w:val="0"/>
          <w:spacing w:val="-3"/>
        </w:rPr>
        <w:t xml:space="preserve"> </w:t>
      </w:r>
      <w:r w:rsidRPr="00D22D27">
        <w:rPr>
          <w:i w:val="0"/>
          <w:spacing w:val="-4"/>
        </w:rPr>
        <w:t>Zeit</w:t>
      </w:r>
    </w:p>
    <w:p w14:paraId="7C66DA8E" w14:textId="77777777" w:rsidR="00FF7799" w:rsidRPr="00E73F6F" w:rsidRDefault="00FF7799" w:rsidP="00A138DF">
      <w:pPr>
        <w:pStyle w:val="StandardText"/>
      </w:pPr>
      <w:r w:rsidRPr="00E73F6F">
        <w:t>Frühzeitig wies Frank (1938) auf die Bedeutung dieses Konstrukts für das menschliche</w:t>
      </w:r>
      <w:r w:rsidRPr="00E73F6F">
        <w:rPr>
          <w:spacing w:val="-12"/>
        </w:rPr>
        <w:t xml:space="preserve"> </w:t>
      </w:r>
      <w:r w:rsidRPr="00E73F6F">
        <w:t>Verhalten</w:t>
      </w:r>
      <w:r w:rsidRPr="00E73F6F">
        <w:rPr>
          <w:spacing w:val="-9"/>
        </w:rPr>
        <w:t xml:space="preserve"> </w:t>
      </w:r>
      <w:r w:rsidRPr="00E73F6F">
        <w:t>hin.</w:t>
      </w:r>
      <w:r w:rsidRPr="00E73F6F">
        <w:rPr>
          <w:spacing w:val="-11"/>
        </w:rPr>
        <w:t xml:space="preserve"> </w:t>
      </w:r>
      <w:r w:rsidRPr="00E73F6F">
        <w:t>Seither</w:t>
      </w:r>
      <w:r w:rsidRPr="00E73F6F">
        <w:rPr>
          <w:spacing w:val="-11"/>
        </w:rPr>
        <w:t xml:space="preserve"> </w:t>
      </w:r>
      <w:r w:rsidRPr="00E73F6F">
        <w:t>haben</w:t>
      </w:r>
      <w:r w:rsidRPr="00E73F6F">
        <w:rPr>
          <w:spacing w:val="-10"/>
        </w:rPr>
        <w:t xml:space="preserve"> </w:t>
      </w:r>
      <w:r w:rsidRPr="00E73F6F">
        <w:t>sich</w:t>
      </w:r>
      <w:r w:rsidRPr="00E73F6F">
        <w:rPr>
          <w:spacing w:val="-12"/>
        </w:rPr>
        <w:t xml:space="preserve"> </w:t>
      </w:r>
      <w:r w:rsidRPr="00E73F6F">
        <w:t>die</w:t>
      </w:r>
      <w:r w:rsidRPr="00E73F6F">
        <w:rPr>
          <w:spacing w:val="-11"/>
        </w:rPr>
        <w:t xml:space="preserve"> </w:t>
      </w:r>
      <w:r w:rsidRPr="00E73F6F">
        <w:t>verschiedensten</w:t>
      </w:r>
      <w:r w:rsidRPr="00E73F6F">
        <w:rPr>
          <w:spacing w:val="-11"/>
        </w:rPr>
        <w:t xml:space="preserve"> </w:t>
      </w:r>
      <w:r w:rsidRPr="00E73F6F">
        <w:t>Disziplinen</w:t>
      </w:r>
      <w:r w:rsidRPr="00E73F6F">
        <w:rPr>
          <w:spacing w:val="-9"/>
        </w:rPr>
        <w:t xml:space="preserve"> </w:t>
      </w:r>
      <w:r w:rsidRPr="00E73F6F">
        <w:t>mit diesem</w:t>
      </w:r>
      <w:r w:rsidRPr="00E73F6F">
        <w:rPr>
          <w:spacing w:val="-7"/>
        </w:rPr>
        <w:t xml:space="preserve"> </w:t>
      </w:r>
      <w:r w:rsidRPr="00E73F6F">
        <w:t>Phänomen</w:t>
      </w:r>
      <w:r w:rsidRPr="00E73F6F">
        <w:rPr>
          <w:spacing w:val="-6"/>
        </w:rPr>
        <w:t xml:space="preserve"> </w:t>
      </w:r>
      <w:r w:rsidRPr="00E73F6F">
        <w:t>wissenschaftlich</w:t>
      </w:r>
      <w:r w:rsidRPr="00E73F6F">
        <w:rPr>
          <w:spacing w:val="-6"/>
        </w:rPr>
        <w:t xml:space="preserve"> </w:t>
      </w:r>
      <w:r w:rsidRPr="00E73F6F">
        <w:t>auseinandergesetzt</w:t>
      </w:r>
      <w:r w:rsidRPr="00E73F6F">
        <w:rPr>
          <w:spacing w:val="-7"/>
        </w:rPr>
        <w:t xml:space="preserve"> </w:t>
      </w:r>
      <w:r w:rsidRPr="00E73F6F">
        <w:t>(vgl.</w:t>
      </w:r>
      <w:r w:rsidRPr="00E73F6F">
        <w:rPr>
          <w:spacing w:val="-7"/>
        </w:rPr>
        <w:t xml:space="preserve"> </w:t>
      </w:r>
      <w:r w:rsidRPr="00E73F6F">
        <w:t>z.B.</w:t>
      </w:r>
      <w:r w:rsidRPr="00E73F6F">
        <w:rPr>
          <w:spacing w:val="-8"/>
        </w:rPr>
        <w:t xml:space="preserve"> </w:t>
      </w:r>
      <w:r w:rsidRPr="00E73F6F">
        <w:t>Feldman/Hornik 1981; Jacoby et al. 1976).</w:t>
      </w:r>
    </w:p>
    <w:p w14:paraId="10DB79CB" w14:textId="77777777" w:rsidR="00FF7799" w:rsidRPr="00E73F6F" w:rsidRDefault="00FF7799" w:rsidP="00A138DF">
      <w:pPr>
        <w:pStyle w:val="StandardText"/>
      </w:pPr>
      <w:r w:rsidRPr="00E73F6F">
        <w:t>Obwohl</w:t>
      </w:r>
      <w:r w:rsidRPr="00E73F6F">
        <w:rPr>
          <w:spacing w:val="-11"/>
        </w:rPr>
        <w:t xml:space="preserve"> </w:t>
      </w:r>
      <w:r w:rsidRPr="00E73F6F">
        <w:t>sie</w:t>
      </w:r>
      <w:r w:rsidRPr="00E73F6F">
        <w:rPr>
          <w:spacing w:val="-10"/>
        </w:rPr>
        <w:t xml:space="preserve"> </w:t>
      </w:r>
      <w:r w:rsidRPr="00E73F6F">
        <w:t>quantifizierbar</w:t>
      </w:r>
      <w:r w:rsidRPr="00E73F6F">
        <w:rPr>
          <w:spacing w:val="-11"/>
        </w:rPr>
        <w:t xml:space="preserve"> </w:t>
      </w:r>
      <w:r w:rsidRPr="00E73F6F">
        <w:t>ist</w:t>
      </w:r>
      <w:r w:rsidRPr="00E73F6F">
        <w:rPr>
          <w:spacing w:val="-9"/>
        </w:rPr>
        <w:t xml:space="preserve"> </w:t>
      </w:r>
      <w:r w:rsidRPr="00E73F6F">
        <w:t>wie</w:t>
      </w:r>
      <w:r w:rsidRPr="00E73F6F">
        <w:rPr>
          <w:spacing w:val="-12"/>
        </w:rPr>
        <w:t xml:space="preserve"> </w:t>
      </w:r>
      <w:r w:rsidRPr="00E73F6F">
        <w:t>kaum</w:t>
      </w:r>
      <w:r w:rsidRPr="00E73F6F">
        <w:rPr>
          <w:spacing w:val="-9"/>
        </w:rPr>
        <w:t xml:space="preserve"> </w:t>
      </w:r>
      <w:r w:rsidRPr="00E73F6F">
        <w:t>eine</w:t>
      </w:r>
      <w:r w:rsidRPr="00E73F6F">
        <w:rPr>
          <w:spacing w:val="-10"/>
        </w:rPr>
        <w:t xml:space="preserve"> </w:t>
      </w:r>
      <w:r w:rsidRPr="00E73F6F">
        <w:t>andere</w:t>
      </w:r>
      <w:r w:rsidRPr="00E73F6F">
        <w:rPr>
          <w:spacing w:val="-10"/>
        </w:rPr>
        <w:t xml:space="preserve"> </w:t>
      </w:r>
      <w:r w:rsidRPr="00E73F6F">
        <w:t>Variable,</w:t>
      </w:r>
      <w:r w:rsidRPr="00E73F6F">
        <w:rPr>
          <w:spacing w:val="-9"/>
        </w:rPr>
        <w:t xml:space="preserve"> </w:t>
      </w:r>
      <w:r w:rsidRPr="00E73F6F">
        <w:t>wurde</w:t>
      </w:r>
      <w:r w:rsidRPr="00E73F6F">
        <w:rPr>
          <w:spacing w:val="-10"/>
        </w:rPr>
        <w:t xml:space="preserve"> </w:t>
      </w:r>
      <w:r w:rsidRPr="00E73F6F">
        <w:t>Zeit</w:t>
      </w:r>
      <w:r w:rsidRPr="00E73F6F">
        <w:rPr>
          <w:spacing w:val="-9"/>
        </w:rPr>
        <w:t xml:space="preserve"> </w:t>
      </w:r>
      <w:r w:rsidRPr="00E73F6F">
        <w:t>zunächst primär</w:t>
      </w:r>
      <w:r w:rsidRPr="00E73F6F">
        <w:rPr>
          <w:spacing w:val="-6"/>
        </w:rPr>
        <w:t xml:space="preserve"> </w:t>
      </w:r>
      <w:r w:rsidRPr="00E73F6F">
        <w:t>als</w:t>
      </w:r>
      <w:r w:rsidRPr="00E73F6F">
        <w:rPr>
          <w:spacing w:val="-6"/>
        </w:rPr>
        <w:t xml:space="preserve"> </w:t>
      </w:r>
      <w:r w:rsidRPr="00E73F6F">
        <w:t>soziales</w:t>
      </w:r>
      <w:r w:rsidRPr="00E73F6F">
        <w:rPr>
          <w:spacing w:val="-8"/>
        </w:rPr>
        <w:t xml:space="preserve"> </w:t>
      </w:r>
      <w:r w:rsidRPr="00E73F6F">
        <w:t>und</w:t>
      </w:r>
      <w:r w:rsidRPr="00E73F6F">
        <w:rPr>
          <w:spacing w:val="-7"/>
        </w:rPr>
        <w:t xml:space="preserve"> </w:t>
      </w:r>
      <w:r w:rsidRPr="00E73F6F">
        <w:t>weniger</w:t>
      </w:r>
      <w:r w:rsidRPr="00E73F6F">
        <w:rPr>
          <w:spacing w:val="-8"/>
        </w:rPr>
        <w:t xml:space="preserve"> </w:t>
      </w:r>
      <w:r w:rsidRPr="00E73F6F">
        <w:t>als</w:t>
      </w:r>
      <w:r w:rsidRPr="00E73F6F">
        <w:rPr>
          <w:spacing w:val="-7"/>
        </w:rPr>
        <w:t xml:space="preserve"> </w:t>
      </w:r>
      <w:r w:rsidRPr="00E73F6F">
        <w:t>ein</w:t>
      </w:r>
      <w:r w:rsidRPr="00E73F6F">
        <w:rPr>
          <w:spacing w:val="-7"/>
        </w:rPr>
        <w:t xml:space="preserve"> </w:t>
      </w:r>
      <w:r w:rsidRPr="00E73F6F">
        <w:t>objektives,</w:t>
      </w:r>
      <w:r w:rsidRPr="00E73F6F">
        <w:rPr>
          <w:spacing w:val="-7"/>
        </w:rPr>
        <w:t xml:space="preserve"> </w:t>
      </w:r>
      <w:r w:rsidRPr="00E73F6F">
        <w:t>naturwissenschaftlich</w:t>
      </w:r>
      <w:r w:rsidRPr="00E73F6F">
        <w:rPr>
          <w:spacing w:val="-6"/>
        </w:rPr>
        <w:t xml:space="preserve"> </w:t>
      </w:r>
      <w:r w:rsidRPr="00E73F6F">
        <w:t xml:space="preserve">fassbares Phänomen definiert (vgl. Moscovici 1981): Zeit als eine aus der menschlichen Wahrnehmung gewonnene Abstraktion (vgl. Pöppel 1989, S.262), die Anthropologen, Psychologen und Wirtschafts- bzw. Sozialwissenschaftler mit Hilfe geisteswissenschaftlicher Methoden eingehend untersucht haben (vgl. Tab. </w:t>
      </w:r>
      <w:r w:rsidRPr="00E73F6F">
        <w:rPr>
          <w:spacing w:val="-4"/>
        </w:rPr>
        <w:t>2).</w:t>
      </w:r>
    </w:p>
    <w:p w14:paraId="4EDC0C21" w14:textId="77777777" w:rsidR="00FF7799" w:rsidRPr="00E73F6F" w:rsidRDefault="00FF7799" w:rsidP="00A138DF">
      <w:pPr>
        <w:pStyle w:val="StandardText"/>
      </w:pPr>
    </w:p>
    <w:p w14:paraId="6ACA2E58" w14:textId="77777777" w:rsidR="00FF7799" w:rsidRPr="000B723F" w:rsidRDefault="00FF7799" w:rsidP="00A138DF">
      <w:pPr>
        <w:pStyle w:val="BeschriftungTab"/>
        <w:rPr>
          <w:i/>
          <w:iCs/>
        </w:rPr>
      </w:pPr>
      <w:r w:rsidRPr="000B723F">
        <w:rPr>
          <w:i/>
          <w:iCs/>
        </w:rPr>
        <w:t>Tab.</w:t>
      </w:r>
      <w:r w:rsidRPr="000B723F">
        <w:rPr>
          <w:i/>
          <w:iCs/>
          <w:spacing w:val="-1"/>
        </w:rPr>
        <w:t xml:space="preserve"> </w:t>
      </w:r>
      <w:r w:rsidRPr="000B723F">
        <w:rPr>
          <w:i/>
          <w:iCs/>
        </w:rPr>
        <w:t>2:</w:t>
      </w:r>
      <w:r w:rsidRPr="000B723F">
        <w:rPr>
          <w:i/>
          <w:iCs/>
          <w:spacing w:val="-2"/>
        </w:rPr>
        <w:t xml:space="preserve"> </w:t>
      </w:r>
      <w:r w:rsidRPr="000B723F">
        <w:rPr>
          <w:i/>
          <w:iCs/>
        </w:rPr>
        <w:t>Zeit</w:t>
      </w:r>
      <w:r w:rsidRPr="000B723F">
        <w:rPr>
          <w:i/>
          <w:iCs/>
          <w:spacing w:val="-2"/>
        </w:rPr>
        <w:t xml:space="preserve"> </w:t>
      </w:r>
      <w:r w:rsidRPr="000B723F">
        <w:rPr>
          <w:i/>
          <w:iCs/>
        </w:rPr>
        <w:t>als soziales</w:t>
      </w:r>
      <w:r w:rsidRPr="000B723F">
        <w:rPr>
          <w:i/>
          <w:iCs/>
          <w:spacing w:val="-1"/>
        </w:rPr>
        <w:t xml:space="preserve"> </w:t>
      </w:r>
      <w:r w:rsidRPr="000B723F">
        <w:rPr>
          <w:i/>
          <w:iCs/>
          <w:spacing w:val="-2"/>
        </w:rPr>
        <w:t>Phänomen</w:t>
      </w:r>
    </w:p>
    <w:tbl>
      <w:tblPr>
        <w:tblStyle w:val="TableNormal"/>
        <w:tblW w:w="5000" w:type="pct"/>
        <w:tblLook w:val="01E0" w:firstRow="1" w:lastRow="1" w:firstColumn="1" w:lastColumn="1" w:noHBand="0" w:noVBand="0"/>
      </w:tblPr>
      <w:tblGrid>
        <w:gridCol w:w="2310"/>
        <w:gridCol w:w="6762"/>
      </w:tblGrid>
      <w:tr w:rsidR="00FF7799" w:rsidRPr="00E73F6F" w14:paraId="3DEBC441" w14:textId="77777777" w:rsidTr="00CD7F6A">
        <w:trPr>
          <w:trHeight w:val="323"/>
          <w:tblHeader/>
        </w:trPr>
        <w:tc>
          <w:tcPr>
            <w:tcW w:w="1273" w:type="pct"/>
            <w:tcBorders>
              <w:top w:val="single" w:sz="4" w:space="0" w:color="000000"/>
              <w:bottom w:val="single" w:sz="4" w:space="0" w:color="000000"/>
            </w:tcBorders>
            <w:shd w:val="clear" w:color="auto" w:fill="FFC000"/>
          </w:tcPr>
          <w:p w14:paraId="6960D66F" w14:textId="77777777" w:rsidR="00FF7799" w:rsidRPr="00E73F6F" w:rsidRDefault="00FF7799" w:rsidP="00A138DF">
            <w:pPr>
              <w:spacing w:before="120" w:after="120"/>
              <w:rPr>
                <w:b/>
                <w:sz w:val="24"/>
                <w:szCs w:val="24"/>
                <w:lang w:val="de-DE"/>
              </w:rPr>
            </w:pPr>
            <w:r w:rsidRPr="00E73F6F">
              <w:rPr>
                <w:b/>
                <w:spacing w:val="-2"/>
                <w:sz w:val="24"/>
                <w:szCs w:val="24"/>
                <w:lang w:val="de-DE"/>
              </w:rPr>
              <w:t>Dimension</w:t>
            </w:r>
          </w:p>
        </w:tc>
        <w:tc>
          <w:tcPr>
            <w:tcW w:w="3727" w:type="pct"/>
            <w:tcBorders>
              <w:top w:val="single" w:sz="4" w:space="0" w:color="000000"/>
              <w:bottom w:val="single" w:sz="4" w:space="0" w:color="000000"/>
            </w:tcBorders>
            <w:shd w:val="clear" w:color="auto" w:fill="FFC000"/>
          </w:tcPr>
          <w:p w14:paraId="430F52E4" w14:textId="77777777" w:rsidR="00FF7799" w:rsidRPr="00E73F6F" w:rsidRDefault="00FF7799" w:rsidP="000B723F">
            <w:pPr>
              <w:spacing w:before="120" w:after="120"/>
              <w:jc w:val="center"/>
              <w:rPr>
                <w:b/>
                <w:sz w:val="24"/>
                <w:szCs w:val="24"/>
                <w:lang w:val="de-DE"/>
              </w:rPr>
            </w:pPr>
            <w:r w:rsidRPr="00E73F6F">
              <w:rPr>
                <w:b/>
                <w:spacing w:val="-2"/>
                <w:sz w:val="24"/>
                <w:szCs w:val="24"/>
                <w:lang w:val="de-DE"/>
              </w:rPr>
              <w:t>Kriterium</w:t>
            </w:r>
          </w:p>
        </w:tc>
      </w:tr>
      <w:tr w:rsidR="00FF7799" w:rsidRPr="00E73F6F" w14:paraId="2789E504" w14:textId="77777777" w:rsidTr="00D22D27">
        <w:trPr>
          <w:trHeight w:val="602"/>
        </w:trPr>
        <w:tc>
          <w:tcPr>
            <w:tcW w:w="1273" w:type="pct"/>
            <w:tcBorders>
              <w:top w:val="single" w:sz="4" w:space="0" w:color="000000"/>
              <w:bottom w:val="single" w:sz="4" w:space="0" w:color="000000"/>
            </w:tcBorders>
            <w:shd w:val="clear" w:color="auto" w:fill="FFF2CC" w:themeFill="accent4" w:themeFillTint="33"/>
          </w:tcPr>
          <w:p w14:paraId="18D4B9C6" w14:textId="77777777" w:rsidR="00FF7799" w:rsidRPr="00E73F6F" w:rsidRDefault="00FF7799" w:rsidP="00862DBA">
            <w:pPr>
              <w:spacing w:before="72"/>
              <w:rPr>
                <w:sz w:val="24"/>
                <w:szCs w:val="24"/>
                <w:lang w:val="de-DE"/>
              </w:rPr>
            </w:pPr>
            <w:r w:rsidRPr="00E73F6F">
              <w:rPr>
                <w:spacing w:val="-2"/>
                <w:sz w:val="24"/>
                <w:szCs w:val="24"/>
                <w:lang w:val="de-DE"/>
              </w:rPr>
              <w:t>Maßstab</w:t>
            </w:r>
          </w:p>
        </w:tc>
        <w:tc>
          <w:tcPr>
            <w:tcW w:w="3727" w:type="pct"/>
            <w:tcBorders>
              <w:top w:val="single" w:sz="4" w:space="0" w:color="000000"/>
              <w:bottom w:val="single" w:sz="4" w:space="0" w:color="000000"/>
            </w:tcBorders>
          </w:tcPr>
          <w:p w14:paraId="33E79156" w14:textId="77777777" w:rsidR="00FF7799" w:rsidRPr="00E73F6F" w:rsidRDefault="00FF7799" w:rsidP="000B723F">
            <w:pPr>
              <w:pStyle w:val="StandardTextAufzhlung"/>
              <w:ind w:left="660"/>
              <w:rPr>
                <w:lang w:val="de-DE"/>
              </w:rPr>
            </w:pPr>
            <w:r w:rsidRPr="00E73F6F">
              <w:rPr>
                <w:lang w:val="de-DE"/>
              </w:rPr>
              <w:t>Qualitative</w:t>
            </w:r>
            <w:r w:rsidRPr="00E73F6F">
              <w:rPr>
                <w:spacing w:val="-8"/>
                <w:lang w:val="de-DE"/>
              </w:rPr>
              <w:t xml:space="preserve"> </w:t>
            </w:r>
            <w:r w:rsidRPr="00E73F6F">
              <w:rPr>
                <w:lang w:val="de-DE"/>
              </w:rPr>
              <w:t>Kriterien</w:t>
            </w:r>
            <w:r w:rsidRPr="00E73F6F">
              <w:rPr>
                <w:spacing w:val="-6"/>
                <w:lang w:val="de-DE"/>
              </w:rPr>
              <w:t xml:space="preserve"> </w:t>
            </w:r>
            <w:r w:rsidRPr="00E73F6F">
              <w:rPr>
                <w:lang w:val="de-DE"/>
              </w:rPr>
              <w:t>(z.B.</w:t>
            </w:r>
            <w:r w:rsidRPr="00E73F6F">
              <w:rPr>
                <w:spacing w:val="-7"/>
                <w:lang w:val="de-DE"/>
              </w:rPr>
              <w:t xml:space="preserve"> </w:t>
            </w:r>
            <w:r w:rsidRPr="00E73F6F">
              <w:rPr>
                <w:lang w:val="de-DE"/>
              </w:rPr>
              <w:t>soziale</w:t>
            </w:r>
            <w:r w:rsidRPr="00E73F6F">
              <w:rPr>
                <w:spacing w:val="-7"/>
                <w:lang w:val="de-DE"/>
              </w:rPr>
              <w:t xml:space="preserve"> </w:t>
            </w:r>
            <w:r w:rsidRPr="00E73F6F">
              <w:rPr>
                <w:spacing w:val="-2"/>
                <w:lang w:val="de-DE"/>
              </w:rPr>
              <w:t>Ereignisse)</w:t>
            </w:r>
          </w:p>
          <w:p w14:paraId="55BF50C1" w14:textId="77777777" w:rsidR="00FF7799" w:rsidRPr="00E73F6F" w:rsidRDefault="00FF7799" w:rsidP="000B723F">
            <w:pPr>
              <w:pStyle w:val="StandardTextAufzhlung"/>
              <w:ind w:left="660"/>
              <w:rPr>
                <w:lang w:val="de-DE"/>
              </w:rPr>
            </w:pPr>
            <w:r w:rsidRPr="00E73F6F">
              <w:rPr>
                <w:lang w:val="de-DE"/>
              </w:rPr>
              <w:t>Quantitative</w:t>
            </w:r>
            <w:r w:rsidRPr="00E73F6F">
              <w:rPr>
                <w:spacing w:val="-10"/>
                <w:lang w:val="de-DE"/>
              </w:rPr>
              <w:t xml:space="preserve"> </w:t>
            </w:r>
            <w:r w:rsidRPr="00E73F6F">
              <w:rPr>
                <w:lang w:val="de-DE"/>
              </w:rPr>
              <w:t>Kriterien</w:t>
            </w:r>
            <w:r w:rsidRPr="00E73F6F">
              <w:rPr>
                <w:spacing w:val="-7"/>
                <w:lang w:val="de-DE"/>
              </w:rPr>
              <w:t xml:space="preserve"> </w:t>
            </w:r>
            <w:r w:rsidRPr="00E73F6F">
              <w:rPr>
                <w:lang w:val="de-DE"/>
              </w:rPr>
              <w:t>(z.B.</w:t>
            </w:r>
            <w:r w:rsidRPr="00E73F6F">
              <w:rPr>
                <w:spacing w:val="-6"/>
                <w:lang w:val="de-DE"/>
              </w:rPr>
              <w:t xml:space="preserve"> </w:t>
            </w:r>
            <w:r w:rsidRPr="00E73F6F">
              <w:rPr>
                <w:lang w:val="de-DE"/>
              </w:rPr>
              <w:t>Uhren,</w:t>
            </w:r>
            <w:r w:rsidRPr="00E73F6F">
              <w:rPr>
                <w:spacing w:val="-8"/>
                <w:lang w:val="de-DE"/>
              </w:rPr>
              <w:t xml:space="preserve"> </w:t>
            </w:r>
            <w:r w:rsidRPr="00E73F6F">
              <w:rPr>
                <w:spacing w:val="-2"/>
                <w:lang w:val="de-DE"/>
              </w:rPr>
              <w:t>Kalender)</w:t>
            </w:r>
          </w:p>
        </w:tc>
      </w:tr>
      <w:tr w:rsidR="00FF7799" w:rsidRPr="00E73F6F" w14:paraId="2A0C0246" w14:textId="77777777" w:rsidTr="00D22D27">
        <w:trPr>
          <w:trHeight w:val="508"/>
        </w:trPr>
        <w:tc>
          <w:tcPr>
            <w:tcW w:w="1273" w:type="pct"/>
            <w:tcBorders>
              <w:top w:val="single" w:sz="4" w:space="0" w:color="000000"/>
              <w:bottom w:val="single" w:sz="4" w:space="0" w:color="000000"/>
            </w:tcBorders>
            <w:shd w:val="clear" w:color="auto" w:fill="FFF2CC" w:themeFill="accent4" w:themeFillTint="33"/>
          </w:tcPr>
          <w:p w14:paraId="70238951" w14:textId="77777777" w:rsidR="00FF7799" w:rsidRPr="00E73F6F" w:rsidRDefault="00FF7799" w:rsidP="00862DBA">
            <w:pPr>
              <w:spacing w:before="71"/>
              <w:rPr>
                <w:sz w:val="24"/>
                <w:szCs w:val="24"/>
                <w:lang w:val="de-DE"/>
              </w:rPr>
            </w:pPr>
            <w:r w:rsidRPr="00E73F6F">
              <w:rPr>
                <w:spacing w:val="-2"/>
                <w:sz w:val="24"/>
                <w:szCs w:val="24"/>
                <w:lang w:val="de-DE"/>
              </w:rPr>
              <w:t>Orientierung</w:t>
            </w:r>
          </w:p>
        </w:tc>
        <w:tc>
          <w:tcPr>
            <w:tcW w:w="3727" w:type="pct"/>
            <w:tcBorders>
              <w:top w:val="single" w:sz="4" w:space="0" w:color="000000"/>
              <w:bottom w:val="single" w:sz="4" w:space="0" w:color="000000"/>
            </w:tcBorders>
          </w:tcPr>
          <w:p w14:paraId="1E57D17A" w14:textId="77777777" w:rsidR="00FF7799" w:rsidRPr="00E73F6F" w:rsidRDefault="00FF7799" w:rsidP="00862DBA">
            <w:pPr>
              <w:spacing w:before="71"/>
              <w:rPr>
                <w:sz w:val="24"/>
                <w:szCs w:val="24"/>
                <w:lang w:val="de-DE"/>
              </w:rPr>
            </w:pPr>
            <w:r w:rsidRPr="00E73F6F">
              <w:rPr>
                <w:sz w:val="24"/>
                <w:szCs w:val="24"/>
                <w:lang w:val="de-DE"/>
              </w:rPr>
              <w:t>Relative</w:t>
            </w:r>
            <w:r w:rsidRPr="00E73F6F">
              <w:rPr>
                <w:spacing w:val="-9"/>
                <w:sz w:val="24"/>
                <w:szCs w:val="24"/>
                <w:lang w:val="de-DE"/>
              </w:rPr>
              <w:t xml:space="preserve"> </w:t>
            </w:r>
            <w:r w:rsidRPr="00E73F6F">
              <w:rPr>
                <w:sz w:val="24"/>
                <w:szCs w:val="24"/>
                <w:lang w:val="de-DE"/>
              </w:rPr>
              <w:t>Bedeutung</w:t>
            </w:r>
            <w:r w:rsidRPr="00E73F6F">
              <w:rPr>
                <w:spacing w:val="-8"/>
                <w:sz w:val="24"/>
                <w:szCs w:val="24"/>
                <w:lang w:val="de-DE"/>
              </w:rPr>
              <w:t xml:space="preserve"> </w:t>
            </w:r>
            <w:r w:rsidRPr="00E73F6F">
              <w:rPr>
                <w:sz w:val="24"/>
                <w:szCs w:val="24"/>
                <w:lang w:val="de-DE"/>
              </w:rPr>
              <w:t>von</w:t>
            </w:r>
            <w:r w:rsidRPr="00E73F6F">
              <w:rPr>
                <w:spacing w:val="-7"/>
                <w:sz w:val="24"/>
                <w:szCs w:val="24"/>
                <w:lang w:val="de-DE"/>
              </w:rPr>
              <w:t xml:space="preserve"> </w:t>
            </w:r>
            <w:r w:rsidRPr="00E73F6F">
              <w:rPr>
                <w:sz w:val="24"/>
                <w:szCs w:val="24"/>
                <w:lang w:val="de-DE"/>
              </w:rPr>
              <w:t>Vergangenheit,</w:t>
            </w:r>
            <w:r w:rsidRPr="00E73F6F">
              <w:rPr>
                <w:spacing w:val="-9"/>
                <w:sz w:val="24"/>
                <w:szCs w:val="24"/>
                <w:lang w:val="de-DE"/>
              </w:rPr>
              <w:t xml:space="preserve"> </w:t>
            </w:r>
            <w:r w:rsidRPr="00E73F6F">
              <w:rPr>
                <w:sz w:val="24"/>
                <w:szCs w:val="24"/>
                <w:lang w:val="de-DE"/>
              </w:rPr>
              <w:t>Gegenwart</w:t>
            </w:r>
            <w:r w:rsidRPr="00E73F6F">
              <w:rPr>
                <w:spacing w:val="-8"/>
                <w:sz w:val="24"/>
                <w:szCs w:val="24"/>
                <w:lang w:val="de-DE"/>
              </w:rPr>
              <w:t xml:space="preserve"> </w:t>
            </w:r>
            <w:r w:rsidRPr="00E73F6F">
              <w:rPr>
                <w:sz w:val="24"/>
                <w:szCs w:val="24"/>
                <w:lang w:val="de-DE"/>
              </w:rPr>
              <w:t>und</w:t>
            </w:r>
            <w:r w:rsidRPr="00E73F6F">
              <w:rPr>
                <w:spacing w:val="40"/>
                <w:sz w:val="24"/>
                <w:szCs w:val="24"/>
                <w:lang w:val="de-DE"/>
              </w:rPr>
              <w:t xml:space="preserve"> </w:t>
            </w:r>
            <w:r w:rsidRPr="00E73F6F">
              <w:rPr>
                <w:spacing w:val="-2"/>
                <w:sz w:val="24"/>
                <w:szCs w:val="24"/>
                <w:lang w:val="de-DE"/>
              </w:rPr>
              <w:t>Zukunft</w:t>
            </w:r>
          </w:p>
        </w:tc>
      </w:tr>
      <w:tr w:rsidR="00FF7799" w:rsidRPr="00E73F6F" w14:paraId="47C6AC86" w14:textId="77777777" w:rsidTr="00D22D27">
        <w:trPr>
          <w:trHeight w:val="323"/>
        </w:trPr>
        <w:tc>
          <w:tcPr>
            <w:tcW w:w="1273" w:type="pct"/>
            <w:tcBorders>
              <w:top w:val="single" w:sz="4" w:space="0" w:color="000000"/>
              <w:bottom w:val="single" w:sz="4" w:space="0" w:color="000000"/>
            </w:tcBorders>
            <w:shd w:val="clear" w:color="auto" w:fill="FFF2CC" w:themeFill="accent4" w:themeFillTint="33"/>
          </w:tcPr>
          <w:p w14:paraId="29BFFFD0" w14:textId="77777777" w:rsidR="00FF7799" w:rsidRPr="00E73F6F" w:rsidRDefault="00FF7799" w:rsidP="00862DBA">
            <w:pPr>
              <w:spacing w:before="71"/>
              <w:rPr>
                <w:sz w:val="24"/>
                <w:szCs w:val="24"/>
                <w:lang w:val="de-DE"/>
              </w:rPr>
            </w:pPr>
            <w:r w:rsidRPr="00E73F6F">
              <w:rPr>
                <w:spacing w:val="-2"/>
                <w:sz w:val="24"/>
                <w:szCs w:val="24"/>
                <w:lang w:val="de-DE"/>
              </w:rPr>
              <w:t>Dauer</w:t>
            </w:r>
          </w:p>
        </w:tc>
        <w:tc>
          <w:tcPr>
            <w:tcW w:w="3727" w:type="pct"/>
            <w:tcBorders>
              <w:top w:val="single" w:sz="4" w:space="0" w:color="000000"/>
              <w:bottom w:val="single" w:sz="4" w:space="0" w:color="000000"/>
            </w:tcBorders>
          </w:tcPr>
          <w:p w14:paraId="45C593DF" w14:textId="77777777" w:rsidR="00FF7799" w:rsidRPr="00E73F6F" w:rsidRDefault="00FF7799" w:rsidP="00862DBA">
            <w:pPr>
              <w:spacing w:before="71"/>
              <w:rPr>
                <w:sz w:val="24"/>
                <w:szCs w:val="24"/>
                <w:lang w:val="de-DE"/>
              </w:rPr>
            </w:pPr>
            <w:r w:rsidRPr="00E73F6F">
              <w:rPr>
                <w:sz w:val="24"/>
                <w:szCs w:val="24"/>
                <w:lang w:val="de-DE"/>
              </w:rPr>
              <w:t>Länge</w:t>
            </w:r>
            <w:r w:rsidRPr="00E73F6F">
              <w:rPr>
                <w:spacing w:val="-9"/>
                <w:sz w:val="24"/>
                <w:szCs w:val="24"/>
                <w:lang w:val="de-DE"/>
              </w:rPr>
              <w:t xml:space="preserve"> </w:t>
            </w:r>
            <w:r w:rsidRPr="00E73F6F">
              <w:rPr>
                <w:sz w:val="24"/>
                <w:szCs w:val="24"/>
                <w:lang w:val="de-DE"/>
              </w:rPr>
              <w:t>(z.B.</w:t>
            </w:r>
            <w:r w:rsidRPr="00E73F6F">
              <w:rPr>
                <w:spacing w:val="-8"/>
                <w:sz w:val="24"/>
                <w:szCs w:val="24"/>
                <w:lang w:val="de-DE"/>
              </w:rPr>
              <w:t xml:space="preserve"> </w:t>
            </w:r>
            <w:r w:rsidRPr="00E73F6F">
              <w:rPr>
                <w:sz w:val="24"/>
                <w:szCs w:val="24"/>
                <w:lang w:val="de-DE"/>
              </w:rPr>
              <w:t>Wahlperiode,</w:t>
            </w:r>
            <w:r w:rsidRPr="00E73F6F">
              <w:rPr>
                <w:spacing w:val="-6"/>
                <w:sz w:val="24"/>
                <w:szCs w:val="24"/>
                <w:lang w:val="de-DE"/>
              </w:rPr>
              <w:t xml:space="preserve"> </w:t>
            </w:r>
            <w:r w:rsidRPr="00E73F6F">
              <w:rPr>
                <w:sz w:val="24"/>
                <w:szCs w:val="24"/>
                <w:lang w:val="de-DE"/>
              </w:rPr>
              <w:t>Geschäftsjahr,</w:t>
            </w:r>
            <w:r w:rsidRPr="00E73F6F">
              <w:rPr>
                <w:spacing w:val="-6"/>
                <w:sz w:val="24"/>
                <w:szCs w:val="24"/>
                <w:lang w:val="de-DE"/>
              </w:rPr>
              <w:t xml:space="preserve"> </w:t>
            </w:r>
            <w:r w:rsidRPr="00E73F6F">
              <w:rPr>
                <w:spacing w:val="-2"/>
                <w:sz w:val="24"/>
                <w:szCs w:val="24"/>
                <w:lang w:val="de-DE"/>
              </w:rPr>
              <w:t>Nutzungsdauer)</w:t>
            </w:r>
          </w:p>
        </w:tc>
      </w:tr>
      <w:tr w:rsidR="00FF7799" w:rsidRPr="00E73F6F" w14:paraId="6A417FFB" w14:textId="77777777" w:rsidTr="00D22D27">
        <w:trPr>
          <w:trHeight w:val="868"/>
        </w:trPr>
        <w:tc>
          <w:tcPr>
            <w:tcW w:w="1273" w:type="pct"/>
            <w:tcBorders>
              <w:top w:val="single" w:sz="4" w:space="0" w:color="000000"/>
              <w:bottom w:val="single" w:sz="4" w:space="0" w:color="000000"/>
            </w:tcBorders>
            <w:shd w:val="clear" w:color="auto" w:fill="FFF2CC" w:themeFill="accent4" w:themeFillTint="33"/>
          </w:tcPr>
          <w:p w14:paraId="2BD57AB4" w14:textId="77777777" w:rsidR="00FF7799" w:rsidRPr="00E73F6F" w:rsidRDefault="00FF7799" w:rsidP="00862DBA">
            <w:pPr>
              <w:spacing w:before="71"/>
              <w:rPr>
                <w:sz w:val="24"/>
                <w:szCs w:val="24"/>
                <w:lang w:val="de-DE"/>
              </w:rPr>
            </w:pPr>
            <w:r w:rsidRPr="00E73F6F">
              <w:rPr>
                <w:spacing w:val="-2"/>
                <w:sz w:val="24"/>
                <w:szCs w:val="24"/>
                <w:lang w:val="de-DE"/>
              </w:rPr>
              <w:t>Gerichtetheit</w:t>
            </w:r>
          </w:p>
        </w:tc>
        <w:tc>
          <w:tcPr>
            <w:tcW w:w="3727" w:type="pct"/>
            <w:tcBorders>
              <w:top w:val="single" w:sz="4" w:space="0" w:color="000000"/>
              <w:bottom w:val="single" w:sz="4" w:space="0" w:color="000000"/>
            </w:tcBorders>
          </w:tcPr>
          <w:p w14:paraId="37D1260E" w14:textId="77777777" w:rsidR="00FF7799" w:rsidRPr="00E73F6F" w:rsidRDefault="00FF7799" w:rsidP="000B723F">
            <w:pPr>
              <w:pStyle w:val="StandardTextAufzhlung"/>
              <w:ind w:left="-49" w:firstLine="426"/>
              <w:rPr>
                <w:lang w:val="de-DE"/>
              </w:rPr>
            </w:pPr>
            <w:r w:rsidRPr="00E73F6F">
              <w:rPr>
                <w:lang w:val="de-DE"/>
              </w:rPr>
              <w:t>Linearität</w:t>
            </w:r>
            <w:r w:rsidRPr="00E73F6F">
              <w:rPr>
                <w:spacing w:val="-7"/>
                <w:lang w:val="de-DE"/>
              </w:rPr>
              <w:t xml:space="preserve"> </w:t>
            </w:r>
            <w:r w:rsidRPr="00E73F6F">
              <w:rPr>
                <w:lang w:val="de-DE"/>
              </w:rPr>
              <w:t>(„Alles</w:t>
            </w:r>
            <w:r w:rsidRPr="00E73F6F">
              <w:rPr>
                <w:spacing w:val="-6"/>
                <w:lang w:val="de-DE"/>
              </w:rPr>
              <w:t xml:space="preserve"> </w:t>
            </w:r>
            <w:r w:rsidRPr="00E73F6F">
              <w:rPr>
                <w:spacing w:val="-2"/>
                <w:lang w:val="de-DE"/>
              </w:rPr>
              <w:t>fließt“)</w:t>
            </w:r>
          </w:p>
          <w:p w14:paraId="6DADB8AE" w14:textId="77777777" w:rsidR="00FF7799" w:rsidRPr="00E73F6F" w:rsidRDefault="00FF7799" w:rsidP="000B723F">
            <w:pPr>
              <w:pStyle w:val="StandardTextAufzhlung"/>
              <w:ind w:left="-49" w:firstLine="426"/>
              <w:rPr>
                <w:lang w:val="de-DE"/>
              </w:rPr>
            </w:pPr>
            <w:r w:rsidRPr="00E73F6F">
              <w:rPr>
                <w:lang w:val="de-DE"/>
              </w:rPr>
              <w:t>Zyklizität</w:t>
            </w:r>
            <w:r w:rsidRPr="00E73F6F">
              <w:rPr>
                <w:spacing w:val="-5"/>
                <w:lang w:val="de-DE"/>
              </w:rPr>
              <w:t xml:space="preserve"> </w:t>
            </w:r>
            <w:r w:rsidRPr="00E73F6F">
              <w:rPr>
                <w:lang w:val="de-DE"/>
              </w:rPr>
              <w:t>(„Mythos</w:t>
            </w:r>
            <w:r w:rsidRPr="00E73F6F">
              <w:rPr>
                <w:spacing w:val="-8"/>
                <w:lang w:val="de-DE"/>
              </w:rPr>
              <w:t xml:space="preserve"> </w:t>
            </w:r>
            <w:r w:rsidRPr="00E73F6F">
              <w:rPr>
                <w:lang w:val="de-DE"/>
              </w:rPr>
              <w:t>der</w:t>
            </w:r>
            <w:r w:rsidRPr="00E73F6F">
              <w:rPr>
                <w:spacing w:val="-8"/>
                <w:lang w:val="de-DE"/>
              </w:rPr>
              <w:t xml:space="preserve"> </w:t>
            </w:r>
            <w:r w:rsidRPr="00E73F6F">
              <w:rPr>
                <w:lang w:val="de-DE"/>
              </w:rPr>
              <w:t>ewigen</w:t>
            </w:r>
            <w:r w:rsidRPr="00E73F6F">
              <w:rPr>
                <w:spacing w:val="-4"/>
                <w:lang w:val="de-DE"/>
              </w:rPr>
              <w:t xml:space="preserve"> </w:t>
            </w:r>
            <w:r w:rsidRPr="00E73F6F">
              <w:rPr>
                <w:spacing w:val="-2"/>
                <w:lang w:val="de-DE"/>
              </w:rPr>
              <w:t>Wiederkehr“)</w:t>
            </w:r>
          </w:p>
          <w:p w14:paraId="3C92E3FF" w14:textId="77777777" w:rsidR="00FF7799" w:rsidRPr="00E73F6F" w:rsidRDefault="00FF7799" w:rsidP="000B723F">
            <w:pPr>
              <w:pStyle w:val="StandardTextAufzhlung"/>
              <w:ind w:left="-49" w:firstLine="426"/>
              <w:rPr>
                <w:lang w:val="de-DE"/>
              </w:rPr>
            </w:pPr>
            <w:r w:rsidRPr="00E73F6F">
              <w:rPr>
                <w:lang w:val="de-DE"/>
              </w:rPr>
              <w:t>Spiralförmigkeit</w:t>
            </w:r>
            <w:r w:rsidRPr="00E73F6F">
              <w:rPr>
                <w:spacing w:val="-9"/>
                <w:lang w:val="de-DE"/>
              </w:rPr>
              <w:t xml:space="preserve"> </w:t>
            </w:r>
            <w:r w:rsidRPr="00E73F6F">
              <w:rPr>
                <w:lang w:val="de-DE"/>
              </w:rPr>
              <w:t>(„Bleibt</w:t>
            </w:r>
            <w:r w:rsidRPr="00E73F6F">
              <w:rPr>
                <w:spacing w:val="-8"/>
                <w:lang w:val="de-DE"/>
              </w:rPr>
              <w:t xml:space="preserve"> </w:t>
            </w:r>
            <w:r w:rsidRPr="00E73F6F">
              <w:rPr>
                <w:lang w:val="de-DE"/>
              </w:rPr>
              <w:t>alles</w:t>
            </w:r>
            <w:r w:rsidRPr="00E73F6F">
              <w:rPr>
                <w:spacing w:val="-9"/>
                <w:lang w:val="de-DE"/>
              </w:rPr>
              <w:t xml:space="preserve"> </w:t>
            </w:r>
            <w:r w:rsidRPr="00E73F6F">
              <w:rPr>
                <w:spacing w:val="-2"/>
                <w:lang w:val="de-DE"/>
              </w:rPr>
              <w:t>anders“)</w:t>
            </w:r>
          </w:p>
        </w:tc>
      </w:tr>
      <w:tr w:rsidR="00FF7799" w:rsidRPr="00E73F6F" w14:paraId="330ADCC8" w14:textId="77777777" w:rsidTr="00D22D27">
        <w:trPr>
          <w:trHeight w:val="508"/>
        </w:trPr>
        <w:tc>
          <w:tcPr>
            <w:tcW w:w="1273" w:type="pct"/>
            <w:tcBorders>
              <w:top w:val="single" w:sz="4" w:space="0" w:color="000000"/>
              <w:bottom w:val="single" w:sz="4" w:space="0" w:color="000000"/>
            </w:tcBorders>
            <w:shd w:val="clear" w:color="auto" w:fill="FFF2CC" w:themeFill="accent4" w:themeFillTint="33"/>
          </w:tcPr>
          <w:p w14:paraId="6DD7B1EC" w14:textId="77777777" w:rsidR="00FF7799" w:rsidRPr="00E73F6F" w:rsidRDefault="00FF7799" w:rsidP="00862DBA">
            <w:pPr>
              <w:spacing w:before="71"/>
              <w:rPr>
                <w:sz w:val="24"/>
                <w:szCs w:val="24"/>
                <w:lang w:val="de-DE"/>
              </w:rPr>
            </w:pPr>
            <w:r w:rsidRPr="00E73F6F">
              <w:rPr>
                <w:spacing w:val="-2"/>
                <w:sz w:val="24"/>
                <w:szCs w:val="24"/>
                <w:lang w:val="de-DE"/>
              </w:rPr>
              <w:t>Geschwindigkeit</w:t>
            </w:r>
          </w:p>
        </w:tc>
        <w:tc>
          <w:tcPr>
            <w:tcW w:w="3727" w:type="pct"/>
            <w:tcBorders>
              <w:top w:val="single" w:sz="4" w:space="0" w:color="000000"/>
              <w:bottom w:val="single" w:sz="4" w:space="0" w:color="000000"/>
            </w:tcBorders>
          </w:tcPr>
          <w:p w14:paraId="06D1A09A" w14:textId="77777777" w:rsidR="00FF7799" w:rsidRPr="00E73F6F" w:rsidRDefault="00FF7799" w:rsidP="00862DBA">
            <w:pPr>
              <w:spacing w:before="71"/>
              <w:rPr>
                <w:sz w:val="24"/>
                <w:szCs w:val="24"/>
                <w:lang w:val="de-DE"/>
              </w:rPr>
            </w:pPr>
            <w:r w:rsidRPr="00E73F6F">
              <w:rPr>
                <w:sz w:val="24"/>
                <w:szCs w:val="24"/>
                <w:lang w:val="de-DE"/>
              </w:rPr>
              <w:t>Anzahl</w:t>
            </w:r>
            <w:r w:rsidRPr="00E73F6F">
              <w:rPr>
                <w:spacing w:val="-9"/>
                <w:sz w:val="24"/>
                <w:szCs w:val="24"/>
                <w:lang w:val="de-DE"/>
              </w:rPr>
              <w:t xml:space="preserve"> </w:t>
            </w:r>
            <w:r w:rsidRPr="00E73F6F">
              <w:rPr>
                <w:sz w:val="24"/>
                <w:szCs w:val="24"/>
                <w:lang w:val="de-DE"/>
              </w:rPr>
              <w:t>und</w:t>
            </w:r>
            <w:r w:rsidRPr="00E73F6F">
              <w:rPr>
                <w:spacing w:val="-7"/>
                <w:sz w:val="24"/>
                <w:szCs w:val="24"/>
                <w:lang w:val="de-DE"/>
              </w:rPr>
              <w:t xml:space="preserve"> </w:t>
            </w:r>
            <w:r w:rsidRPr="00E73F6F">
              <w:rPr>
                <w:sz w:val="24"/>
                <w:szCs w:val="24"/>
                <w:lang w:val="de-DE"/>
              </w:rPr>
              <w:t>Verschiedenheit</w:t>
            </w:r>
            <w:r w:rsidRPr="00E73F6F">
              <w:rPr>
                <w:spacing w:val="-7"/>
                <w:sz w:val="24"/>
                <w:szCs w:val="24"/>
                <w:lang w:val="de-DE"/>
              </w:rPr>
              <w:t xml:space="preserve"> </w:t>
            </w:r>
            <w:r w:rsidRPr="00E73F6F">
              <w:rPr>
                <w:sz w:val="24"/>
                <w:szCs w:val="24"/>
                <w:lang w:val="de-DE"/>
              </w:rPr>
              <w:t>der</w:t>
            </w:r>
            <w:r w:rsidRPr="00E73F6F">
              <w:rPr>
                <w:spacing w:val="-9"/>
                <w:sz w:val="24"/>
                <w:szCs w:val="24"/>
                <w:lang w:val="de-DE"/>
              </w:rPr>
              <w:t xml:space="preserve"> </w:t>
            </w:r>
            <w:r w:rsidRPr="00E73F6F">
              <w:rPr>
                <w:sz w:val="24"/>
                <w:szCs w:val="24"/>
                <w:lang w:val="de-DE"/>
              </w:rPr>
              <w:t>wahrgenommenen</w:t>
            </w:r>
            <w:r w:rsidRPr="00E73F6F">
              <w:rPr>
                <w:spacing w:val="-7"/>
                <w:sz w:val="24"/>
                <w:szCs w:val="24"/>
                <w:lang w:val="de-DE"/>
              </w:rPr>
              <w:t xml:space="preserve"> </w:t>
            </w:r>
            <w:r w:rsidRPr="00E73F6F">
              <w:rPr>
                <w:sz w:val="24"/>
                <w:szCs w:val="24"/>
                <w:lang w:val="de-DE"/>
              </w:rPr>
              <w:t>Ereignisse</w:t>
            </w:r>
            <w:r w:rsidRPr="00E73F6F">
              <w:rPr>
                <w:spacing w:val="40"/>
                <w:sz w:val="24"/>
                <w:szCs w:val="24"/>
                <w:lang w:val="de-DE"/>
              </w:rPr>
              <w:t xml:space="preserve"> </w:t>
            </w:r>
            <w:r w:rsidRPr="00E73F6F">
              <w:rPr>
                <w:sz w:val="24"/>
                <w:szCs w:val="24"/>
                <w:lang w:val="de-DE"/>
              </w:rPr>
              <w:t>in einem bestimmten Zeitraum</w:t>
            </w:r>
          </w:p>
        </w:tc>
      </w:tr>
      <w:tr w:rsidR="00FF7799" w:rsidRPr="00E73F6F" w14:paraId="53DFA3EA" w14:textId="77777777" w:rsidTr="00D22D27">
        <w:trPr>
          <w:trHeight w:val="508"/>
        </w:trPr>
        <w:tc>
          <w:tcPr>
            <w:tcW w:w="1273" w:type="pct"/>
            <w:tcBorders>
              <w:top w:val="single" w:sz="4" w:space="0" w:color="000000"/>
              <w:bottom w:val="single" w:sz="4" w:space="0" w:color="000000"/>
            </w:tcBorders>
            <w:shd w:val="clear" w:color="auto" w:fill="FFF2CC" w:themeFill="accent4" w:themeFillTint="33"/>
          </w:tcPr>
          <w:p w14:paraId="42C4BE45" w14:textId="77777777" w:rsidR="00FF7799" w:rsidRPr="00E73F6F" w:rsidRDefault="00FF7799" w:rsidP="00862DBA">
            <w:pPr>
              <w:spacing w:before="71"/>
              <w:rPr>
                <w:sz w:val="24"/>
                <w:szCs w:val="24"/>
                <w:lang w:val="de-DE"/>
              </w:rPr>
            </w:pPr>
            <w:r w:rsidRPr="00E73F6F">
              <w:rPr>
                <w:spacing w:val="-2"/>
                <w:sz w:val="24"/>
                <w:szCs w:val="24"/>
                <w:lang w:val="de-DE"/>
              </w:rPr>
              <w:t>Kontinuität</w:t>
            </w:r>
          </w:p>
        </w:tc>
        <w:tc>
          <w:tcPr>
            <w:tcW w:w="3727" w:type="pct"/>
            <w:tcBorders>
              <w:top w:val="single" w:sz="4" w:space="0" w:color="000000"/>
              <w:bottom w:val="single" w:sz="4" w:space="0" w:color="000000"/>
            </w:tcBorders>
          </w:tcPr>
          <w:p w14:paraId="10C44033" w14:textId="77777777" w:rsidR="00FF7799" w:rsidRPr="00E73F6F" w:rsidRDefault="00FF7799" w:rsidP="00862DBA">
            <w:pPr>
              <w:spacing w:before="71"/>
              <w:rPr>
                <w:sz w:val="24"/>
                <w:szCs w:val="24"/>
                <w:lang w:val="de-DE"/>
              </w:rPr>
            </w:pPr>
            <w:r w:rsidRPr="00E73F6F">
              <w:rPr>
                <w:sz w:val="24"/>
                <w:szCs w:val="24"/>
                <w:lang w:val="de-DE"/>
              </w:rPr>
              <w:t>Anzahl der wahrgenommenen strukturellen Brüche in einem</w:t>
            </w:r>
            <w:r w:rsidRPr="00E73F6F">
              <w:rPr>
                <w:spacing w:val="40"/>
                <w:sz w:val="24"/>
                <w:szCs w:val="24"/>
                <w:lang w:val="de-DE"/>
              </w:rPr>
              <w:t xml:space="preserve"> </w:t>
            </w:r>
            <w:r w:rsidRPr="00E73F6F">
              <w:rPr>
                <w:sz w:val="24"/>
                <w:szCs w:val="24"/>
                <w:lang w:val="de-DE"/>
              </w:rPr>
              <w:t>bestimmten</w:t>
            </w:r>
            <w:r w:rsidRPr="00E73F6F">
              <w:rPr>
                <w:spacing w:val="-3"/>
                <w:sz w:val="24"/>
                <w:szCs w:val="24"/>
                <w:lang w:val="de-DE"/>
              </w:rPr>
              <w:t xml:space="preserve"> </w:t>
            </w:r>
            <w:r w:rsidRPr="00E73F6F">
              <w:rPr>
                <w:sz w:val="24"/>
                <w:szCs w:val="24"/>
                <w:lang w:val="de-DE"/>
              </w:rPr>
              <w:t>Zeitraum</w:t>
            </w:r>
          </w:p>
        </w:tc>
      </w:tr>
    </w:tbl>
    <w:p w14:paraId="45A03B79" w14:textId="77777777" w:rsidR="00FF7799" w:rsidRPr="00E73F6F" w:rsidRDefault="00FF7799" w:rsidP="00A138DF">
      <w:pPr>
        <w:pStyle w:val="Quellen"/>
      </w:pPr>
      <w:r w:rsidRPr="00E73F6F">
        <w:rPr>
          <w:spacing w:val="-2"/>
        </w:rPr>
        <w:t>Quelle:</w:t>
      </w:r>
      <w:r w:rsidRPr="00E73F6F">
        <w:tab/>
        <w:t>Chandler</w:t>
      </w:r>
      <w:r w:rsidRPr="00E73F6F">
        <w:rPr>
          <w:spacing w:val="-3"/>
        </w:rPr>
        <w:t xml:space="preserve"> </w:t>
      </w:r>
      <w:r w:rsidRPr="00E73F6F">
        <w:t>(1977,</w:t>
      </w:r>
      <w:r w:rsidRPr="00E73F6F">
        <w:rPr>
          <w:spacing w:val="-2"/>
        </w:rPr>
        <w:t xml:space="preserve"> </w:t>
      </w:r>
      <w:r w:rsidRPr="00E73F6F">
        <w:t>S.527),</w:t>
      </w:r>
      <w:r w:rsidRPr="00E73F6F">
        <w:rPr>
          <w:spacing w:val="-2"/>
        </w:rPr>
        <w:t xml:space="preserve"> </w:t>
      </w:r>
      <w:r w:rsidRPr="00E73F6F">
        <w:t xml:space="preserve">leicht </w:t>
      </w:r>
      <w:r w:rsidRPr="00E73F6F">
        <w:rPr>
          <w:spacing w:val="-2"/>
        </w:rPr>
        <w:t>modifiziert.</w:t>
      </w:r>
    </w:p>
    <w:p w14:paraId="2F166747" w14:textId="77777777" w:rsidR="00FF7799" w:rsidRPr="00E73F6F" w:rsidRDefault="00FF7799" w:rsidP="00862DBA">
      <w:pPr>
        <w:rPr>
          <w:sz w:val="24"/>
          <w:szCs w:val="24"/>
        </w:rPr>
      </w:pPr>
    </w:p>
    <w:p w14:paraId="5A375FBF" w14:textId="19611927" w:rsidR="000B723F" w:rsidRDefault="00FF7799" w:rsidP="00A138DF">
      <w:pPr>
        <w:pStyle w:val="StandardText"/>
      </w:pPr>
      <w:r w:rsidRPr="000B723F">
        <w:rPr>
          <w:i/>
          <w:iCs/>
        </w:rPr>
        <w:lastRenderedPageBreak/>
        <w:t>Soziale Funktion</w:t>
      </w:r>
    </w:p>
    <w:p w14:paraId="0984CBDD" w14:textId="6D225C2F" w:rsidR="00FF7799" w:rsidRPr="00D22D27" w:rsidRDefault="00FF7799" w:rsidP="00A138DF">
      <w:pPr>
        <w:pStyle w:val="StandardText"/>
      </w:pPr>
      <w:r w:rsidRPr="00D22D27">
        <w:t>Ein für eine Gemeinschaft von Menschen verbindliches Zeitraster hilft, Ordnung zu schaffen. Das Verhalten der Individuen wird synchronisiert</w:t>
      </w:r>
      <w:r w:rsidRPr="00D22D27">
        <w:rPr>
          <w:spacing w:val="-7"/>
        </w:rPr>
        <w:t xml:space="preserve"> </w:t>
      </w:r>
      <w:r w:rsidRPr="00D22D27">
        <w:t>(vgl.</w:t>
      </w:r>
      <w:r w:rsidRPr="00D22D27">
        <w:rPr>
          <w:spacing w:val="-8"/>
        </w:rPr>
        <w:t xml:space="preserve"> </w:t>
      </w:r>
      <w:r w:rsidRPr="00D22D27">
        <w:t>z.B.</w:t>
      </w:r>
      <w:r w:rsidRPr="00D22D27">
        <w:rPr>
          <w:spacing w:val="-6"/>
        </w:rPr>
        <w:t xml:space="preserve"> </w:t>
      </w:r>
      <w:r w:rsidRPr="00D22D27">
        <w:t>Zerubavel</w:t>
      </w:r>
      <w:r w:rsidRPr="00D22D27">
        <w:rPr>
          <w:spacing w:val="-6"/>
        </w:rPr>
        <w:t xml:space="preserve"> </w:t>
      </w:r>
      <w:r w:rsidRPr="00D22D27">
        <w:t>1981)</w:t>
      </w:r>
      <w:r w:rsidRPr="00D22D27">
        <w:rPr>
          <w:spacing w:val="-9"/>
        </w:rPr>
        <w:t xml:space="preserve"> </w:t>
      </w:r>
      <w:r w:rsidRPr="00D22D27">
        <w:t>und</w:t>
      </w:r>
      <w:r w:rsidRPr="00D22D27">
        <w:rPr>
          <w:spacing w:val="-6"/>
        </w:rPr>
        <w:t xml:space="preserve"> </w:t>
      </w:r>
      <w:r w:rsidRPr="00D22D27">
        <w:t>so</w:t>
      </w:r>
      <w:r w:rsidRPr="00D22D27">
        <w:rPr>
          <w:spacing w:val="-9"/>
        </w:rPr>
        <w:t xml:space="preserve"> </w:t>
      </w:r>
      <w:r w:rsidRPr="00D22D27">
        <w:t>das</w:t>
      </w:r>
      <w:r w:rsidRPr="00D22D27">
        <w:rPr>
          <w:spacing w:val="-7"/>
        </w:rPr>
        <w:t xml:space="preserve"> </w:t>
      </w:r>
      <w:r w:rsidRPr="00D22D27">
        <w:t>Fundament</w:t>
      </w:r>
      <w:r w:rsidRPr="00D22D27">
        <w:rPr>
          <w:spacing w:val="-6"/>
        </w:rPr>
        <w:t xml:space="preserve"> </w:t>
      </w:r>
      <w:r w:rsidRPr="00D22D27">
        <w:t>dafür</w:t>
      </w:r>
      <w:r w:rsidRPr="00D22D27">
        <w:rPr>
          <w:spacing w:val="-7"/>
        </w:rPr>
        <w:t xml:space="preserve"> </w:t>
      </w:r>
      <w:r w:rsidRPr="00D22D27">
        <w:t>gelegt,</w:t>
      </w:r>
      <w:r w:rsidRPr="00D22D27">
        <w:rPr>
          <w:spacing w:val="-6"/>
        </w:rPr>
        <w:t xml:space="preserve"> </w:t>
      </w:r>
      <w:r w:rsidRPr="00D22D27">
        <w:t>dass deren</w:t>
      </w:r>
      <w:r w:rsidRPr="00D22D27">
        <w:rPr>
          <w:spacing w:val="-12"/>
        </w:rPr>
        <w:t xml:space="preserve"> </w:t>
      </w:r>
      <w:r w:rsidRPr="00D22D27">
        <w:t>gemeinsames</w:t>
      </w:r>
      <w:r w:rsidRPr="00D22D27">
        <w:rPr>
          <w:spacing w:val="-11"/>
        </w:rPr>
        <w:t xml:space="preserve"> </w:t>
      </w:r>
      <w:r w:rsidRPr="00D22D27">
        <w:t>Leben</w:t>
      </w:r>
      <w:r w:rsidRPr="00D22D27">
        <w:rPr>
          <w:spacing w:val="-11"/>
        </w:rPr>
        <w:t xml:space="preserve"> </w:t>
      </w:r>
      <w:r w:rsidRPr="00D22D27">
        <w:t>geordnet</w:t>
      </w:r>
      <w:r w:rsidRPr="00D22D27">
        <w:rPr>
          <w:spacing w:val="-11"/>
        </w:rPr>
        <w:t xml:space="preserve"> </w:t>
      </w:r>
      <w:r w:rsidRPr="00D22D27">
        <w:t>und</w:t>
      </w:r>
      <w:r w:rsidRPr="00D22D27">
        <w:rPr>
          <w:spacing w:val="-12"/>
        </w:rPr>
        <w:t xml:space="preserve"> </w:t>
      </w:r>
      <w:r w:rsidRPr="00D22D27">
        <w:t>koordiniert</w:t>
      </w:r>
      <w:r w:rsidRPr="00D22D27">
        <w:rPr>
          <w:spacing w:val="-11"/>
        </w:rPr>
        <w:t xml:space="preserve"> </w:t>
      </w:r>
      <w:r w:rsidRPr="00D22D27">
        <w:t>ablaufen</w:t>
      </w:r>
      <w:r w:rsidRPr="00D22D27">
        <w:rPr>
          <w:spacing w:val="-11"/>
        </w:rPr>
        <w:t xml:space="preserve"> </w:t>
      </w:r>
      <w:r w:rsidRPr="00D22D27">
        <w:t>kann.</w:t>
      </w:r>
      <w:r w:rsidRPr="00D22D27">
        <w:rPr>
          <w:spacing w:val="-11"/>
        </w:rPr>
        <w:t xml:space="preserve"> </w:t>
      </w:r>
      <w:r w:rsidRPr="00D22D27">
        <w:t>Deshalb</w:t>
      </w:r>
      <w:r w:rsidRPr="00D22D27">
        <w:rPr>
          <w:spacing w:val="-12"/>
        </w:rPr>
        <w:t xml:space="preserve"> </w:t>
      </w:r>
      <w:r w:rsidRPr="00D22D27">
        <w:t>nimmt Zeit in den meisten Ansätzen zur Erklärung von Kultur in Gestalt der kulturellen Determiniertheit von Zeitwahrnehmung bzw. Zeitbewusstsein breiten Raum ein. Beide Konstrukte beeinflussen das Verhalten der Menschen, gleichgültig, ob sie als</w:t>
      </w:r>
      <w:r w:rsidRPr="00D22D27">
        <w:rPr>
          <w:spacing w:val="31"/>
        </w:rPr>
        <w:t xml:space="preserve"> </w:t>
      </w:r>
      <w:r w:rsidRPr="00D22D27">
        <w:t>Privatpersonen</w:t>
      </w:r>
      <w:r w:rsidRPr="00D22D27">
        <w:rPr>
          <w:spacing w:val="-7"/>
        </w:rPr>
        <w:t xml:space="preserve"> </w:t>
      </w:r>
      <w:r w:rsidRPr="00D22D27">
        <w:t>(vgl.</w:t>
      </w:r>
      <w:r w:rsidRPr="00D22D27">
        <w:rPr>
          <w:spacing w:val="-7"/>
        </w:rPr>
        <w:t xml:space="preserve"> </w:t>
      </w:r>
      <w:r w:rsidRPr="00D22D27">
        <w:t>Bergadaà</w:t>
      </w:r>
      <w:r w:rsidRPr="00D22D27">
        <w:rPr>
          <w:spacing w:val="-11"/>
        </w:rPr>
        <w:t xml:space="preserve"> </w:t>
      </w:r>
      <w:r w:rsidRPr="00D22D27">
        <w:t>1990),</w:t>
      </w:r>
      <w:r w:rsidRPr="00D22D27">
        <w:rPr>
          <w:spacing w:val="-9"/>
        </w:rPr>
        <w:t xml:space="preserve"> </w:t>
      </w:r>
      <w:r w:rsidRPr="00D22D27">
        <w:t>Konsumenten</w:t>
      </w:r>
      <w:r w:rsidRPr="00D22D27">
        <w:rPr>
          <w:spacing w:val="-7"/>
        </w:rPr>
        <w:t xml:space="preserve"> </w:t>
      </w:r>
      <w:r w:rsidRPr="00D22D27">
        <w:t>(vgl.</w:t>
      </w:r>
      <w:r w:rsidRPr="00D22D27">
        <w:rPr>
          <w:spacing w:val="-7"/>
        </w:rPr>
        <w:t xml:space="preserve"> </w:t>
      </w:r>
      <w:r w:rsidRPr="00D22D27">
        <w:t>Hawes</w:t>
      </w:r>
      <w:r w:rsidRPr="00D22D27">
        <w:rPr>
          <w:spacing w:val="-8"/>
        </w:rPr>
        <w:t xml:space="preserve"> </w:t>
      </w:r>
      <w:r w:rsidRPr="00D22D27">
        <w:t>1980;</w:t>
      </w:r>
      <w:r w:rsidRPr="00D22D27">
        <w:rPr>
          <w:spacing w:val="-10"/>
        </w:rPr>
        <w:t xml:space="preserve"> </w:t>
      </w:r>
      <w:r w:rsidRPr="00D22D27">
        <w:t>Jacoby et</w:t>
      </w:r>
      <w:r w:rsidRPr="00D22D27">
        <w:rPr>
          <w:spacing w:val="-7"/>
        </w:rPr>
        <w:t xml:space="preserve"> </w:t>
      </w:r>
      <w:r w:rsidRPr="00D22D27">
        <w:t>al.</w:t>
      </w:r>
      <w:r w:rsidRPr="00D22D27">
        <w:rPr>
          <w:spacing w:val="-7"/>
        </w:rPr>
        <w:t xml:space="preserve"> </w:t>
      </w:r>
      <w:r w:rsidRPr="00D22D27">
        <w:t>1976)</w:t>
      </w:r>
      <w:r w:rsidRPr="00D22D27">
        <w:rPr>
          <w:spacing w:val="-10"/>
        </w:rPr>
        <w:t xml:space="preserve"> </w:t>
      </w:r>
      <w:r w:rsidRPr="00D22D27">
        <w:t>oder</w:t>
      </w:r>
      <w:r w:rsidRPr="00D22D27">
        <w:rPr>
          <w:spacing w:val="-7"/>
        </w:rPr>
        <w:t xml:space="preserve"> </w:t>
      </w:r>
      <w:r w:rsidRPr="00D22D27">
        <w:t>Angehörige</w:t>
      </w:r>
      <w:r w:rsidRPr="00D22D27">
        <w:rPr>
          <w:spacing w:val="-8"/>
        </w:rPr>
        <w:t xml:space="preserve"> </w:t>
      </w:r>
      <w:r w:rsidRPr="00D22D27">
        <w:t>von</w:t>
      </w:r>
      <w:r w:rsidRPr="00D22D27">
        <w:rPr>
          <w:spacing w:val="-9"/>
        </w:rPr>
        <w:t xml:space="preserve"> </w:t>
      </w:r>
      <w:r w:rsidRPr="00D22D27">
        <w:t>Unternehmen</w:t>
      </w:r>
      <w:r w:rsidRPr="00D22D27">
        <w:rPr>
          <w:spacing w:val="-7"/>
        </w:rPr>
        <w:t xml:space="preserve"> </w:t>
      </w:r>
      <w:r w:rsidRPr="00D22D27">
        <w:t>bzw.</w:t>
      </w:r>
      <w:r w:rsidRPr="00D22D27">
        <w:rPr>
          <w:spacing w:val="-7"/>
        </w:rPr>
        <w:t xml:space="preserve"> </w:t>
      </w:r>
      <w:r w:rsidRPr="00D22D27">
        <w:t>anderen</w:t>
      </w:r>
      <w:r w:rsidRPr="00D22D27">
        <w:rPr>
          <w:spacing w:val="-7"/>
        </w:rPr>
        <w:t xml:space="preserve"> </w:t>
      </w:r>
      <w:r w:rsidRPr="00D22D27">
        <w:t>Organisationen</w:t>
      </w:r>
      <w:r w:rsidRPr="00D22D27">
        <w:rPr>
          <w:spacing w:val="-6"/>
        </w:rPr>
        <w:t xml:space="preserve"> </w:t>
      </w:r>
      <w:r w:rsidRPr="00D22D27">
        <w:t>(vgl. Usunier 1991) handeln.</w:t>
      </w:r>
    </w:p>
    <w:p w14:paraId="70C24CA1" w14:textId="77777777" w:rsidR="000B723F" w:rsidRDefault="00FF7799" w:rsidP="00A138DF">
      <w:pPr>
        <w:pStyle w:val="StandardText"/>
      </w:pPr>
      <w:r w:rsidRPr="000B723F">
        <w:rPr>
          <w:i/>
          <w:iCs/>
        </w:rPr>
        <w:t>Kulturelle Funktion</w:t>
      </w:r>
    </w:p>
    <w:p w14:paraId="468D922F" w14:textId="2EFE6701" w:rsidR="00FF7799" w:rsidRPr="00D22D27" w:rsidRDefault="00FF7799" w:rsidP="00A138DF">
      <w:pPr>
        <w:pStyle w:val="StandardText"/>
      </w:pPr>
      <w:r w:rsidRPr="00D22D27">
        <w:t>Die Lebensrhythmen sowie die zeitlichen Regeln des Zusammenlebens (Zeitnormen und Zeitbewertungen) sind kulturell geprägt (vgl. Spies 1995, S. 9). Dies wird unmittelbar nachvollziehbar, wenn wir an die unterschiedlichen Ansichten denken, die weltweit bspw. über zeitbezogene Phänomene herrschen (z.B. Pünktlichkeit, Vorsorge u.a.).</w:t>
      </w:r>
    </w:p>
    <w:p w14:paraId="14E55563" w14:textId="77777777" w:rsidR="000B723F" w:rsidRPr="000B723F" w:rsidRDefault="00FF7799" w:rsidP="00A138DF">
      <w:pPr>
        <w:pStyle w:val="StandardText"/>
        <w:rPr>
          <w:i/>
          <w:iCs/>
        </w:rPr>
      </w:pPr>
      <w:r w:rsidRPr="000B723F">
        <w:rPr>
          <w:i/>
          <w:iCs/>
        </w:rPr>
        <w:t>Objektive Funktion</w:t>
      </w:r>
    </w:p>
    <w:p w14:paraId="402DF80E" w14:textId="77FBE0A0" w:rsidR="00FF7799" w:rsidRPr="00D22D27" w:rsidRDefault="00FF7799" w:rsidP="00A138DF">
      <w:pPr>
        <w:pStyle w:val="StandardText"/>
      </w:pPr>
      <w:r w:rsidRPr="00D22D27">
        <w:t>Unbeeinflusst von äußeren Einflüssen verläuft Zeit, von Uhren, Kalendern</w:t>
      </w:r>
      <w:r w:rsidRPr="00D22D27">
        <w:rPr>
          <w:spacing w:val="-2"/>
        </w:rPr>
        <w:t xml:space="preserve"> </w:t>
      </w:r>
      <w:r w:rsidRPr="00D22D27">
        <w:t>und Chronologien gleichmäßig unterteilt</w:t>
      </w:r>
      <w:r w:rsidRPr="00D22D27">
        <w:rPr>
          <w:spacing w:val="-2"/>
        </w:rPr>
        <w:t xml:space="preserve"> </w:t>
      </w:r>
      <w:r w:rsidRPr="00D22D27">
        <w:t>bzw. strukturiert,</w:t>
      </w:r>
      <w:r w:rsidRPr="00D22D27">
        <w:rPr>
          <w:spacing w:val="-2"/>
        </w:rPr>
        <w:t xml:space="preserve"> </w:t>
      </w:r>
      <w:r w:rsidRPr="00D22D27">
        <w:t>von der Vergangenheit über die Gegenwart zur Zukunft.</w:t>
      </w:r>
    </w:p>
    <w:p w14:paraId="193FA321" w14:textId="77777777" w:rsidR="000B723F" w:rsidRPr="000B723F" w:rsidRDefault="00FF7799" w:rsidP="00A138DF">
      <w:pPr>
        <w:pStyle w:val="StandardText"/>
        <w:rPr>
          <w:i/>
          <w:iCs/>
        </w:rPr>
      </w:pPr>
      <w:r w:rsidRPr="000B723F">
        <w:rPr>
          <w:i/>
          <w:iCs/>
        </w:rPr>
        <w:t>Subjektive Funktion</w:t>
      </w:r>
    </w:p>
    <w:p w14:paraId="3E9208E7" w14:textId="650F5BBF" w:rsidR="00FF7799" w:rsidRPr="00E73F6F" w:rsidRDefault="00FF7799" w:rsidP="00A138DF">
      <w:pPr>
        <w:pStyle w:val="StandardText"/>
      </w:pPr>
      <w:r w:rsidRPr="00D22D27">
        <w:t>Die sog. Eigenzeit ist, als Korrelat des individuellen Erinnerns und Erlebens, nicht homogen. Sie vergeht inter- und intraindividuell unterschiedlich „schnell“ oder „langsam“ (vgl. Fürstenberg 1986, S.28). Ereignisreiche</w:t>
      </w:r>
      <w:r w:rsidRPr="00D22D27">
        <w:rPr>
          <w:spacing w:val="-12"/>
        </w:rPr>
        <w:t xml:space="preserve"> </w:t>
      </w:r>
      <w:r w:rsidRPr="00D22D27">
        <w:t>Lebensphasen</w:t>
      </w:r>
      <w:r w:rsidRPr="00D22D27">
        <w:rPr>
          <w:spacing w:val="-11"/>
        </w:rPr>
        <w:t xml:space="preserve"> </w:t>
      </w:r>
      <w:r w:rsidRPr="00D22D27">
        <w:t>werden</w:t>
      </w:r>
      <w:r w:rsidRPr="00D22D27">
        <w:rPr>
          <w:spacing w:val="-11"/>
        </w:rPr>
        <w:t xml:space="preserve"> </w:t>
      </w:r>
      <w:r w:rsidRPr="00D22D27">
        <w:t>in</w:t>
      </w:r>
      <w:r w:rsidRPr="00D22D27">
        <w:rPr>
          <w:spacing w:val="-11"/>
        </w:rPr>
        <w:t xml:space="preserve"> </w:t>
      </w:r>
      <w:r w:rsidRPr="00D22D27">
        <w:t>der</w:t>
      </w:r>
      <w:r w:rsidRPr="00D22D27">
        <w:rPr>
          <w:spacing w:val="-12"/>
        </w:rPr>
        <w:t xml:space="preserve"> </w:t>
      </w:r>
      <w:r w:rsidRPr="00D22D27">
        <w:t>Erinnerung</w:t>
      </w:r>
      <w:r w:rsidRPr="00D22D27">
        <w:rPr>
          <w:spacing w:val="-11"/>
        </w:rPr>
        <w:t xml:space="preserve"> </w:t>
      </w:r>
      <w:r w:rsidRPr="00D22D27">
        <w:t>als</w:t>
      </w:r>
      <w:r w:rsidRPr="00D22D27">
        <w:rPr>
          <w:spacing w:val="-11"/>
        </w:rPr>
        <w:t xml:space="preserve"> </w:t>
      </w:r>
      <w:r w:rsidRPr="00D22D27">
        <w:t>„lang“</w:t>
      </w:r>
      <w:r w:rsidRPr="00D22D27">
        <w:rPr>
          <w:spacing w:val="-11"/>
        </w:rPr>
        <w:t xml:space="preserve"> </w:t>
      </w:r>
      <w:r w:rsidRPr="00D22D27">
        <w:t>empfunden.</w:t>
      </w:r>
      <w:r w:rsidRPr="00D22D27">
        <w:rPr>
          <w:spacing w:val="-12"/>
        </w:rPr>
        <w:t xml:space="preserve"> </w:t>
      </w:r>
      <w:r w:rsidRPr="00D22D27">
        <w:t>Das Konzept der „inneren Uhr</w:t>
      </w:r>
      <w:r w:rsidRPr="00E73F6F">
        <w:t>“ bringt zum Ausdruck, dass viele Phänomene (z.B. Schlaf/Wach-Rhythmus, Aufmerksamkeit) durch unbewusste Mechanismen gesteuert werden.</w:t>
      </w:r>
    </w:p>
    <w:p w14:paraId="036C5B44" w14:textId="77777777" w:rsidR="00FF7799" w:rsidRPr="00E73F6F" w:rsidRDefault="00FF7799" w:rsidP="00A138DF">
      <w:pPr>
        <w:pStyle w:val="StandardText"/>
      </w:pPr>
    </w:p>
    <w:tbl>
      <w:tblPr>
        <w:tblStyle w:val="Tabellenraster"/>
        <w:tblW w:w="0" w:type="auto"/>
        <w:tblLook w:val="04A0" w:firstRow="1" w:lastRow="0" w:firstColumn="1" w:lastColumn="0" w:noHBand="0" w:noVBand="1"/>
      </w:tblPr>
      <w:tblGrid>
        <w:gridCol w:w="9062"/>
      </w:tblGrid>
      <w:tr w:rsidR="00FF7799" w:rsidRPr="00E73F6F" w14:paraId="01E5EFE4" w14:textId="77777777" w:rsidTr="00D22D27">
        <w:tc>
          <w:tcPr>
            <w:tcW w:w="9062" w:type="dxa"/>
            <w:shd w:val="clear" w:color="auto" w:fill="DEEAF6" w:themeFill="accent1" w:themeFillTint="33"/>
          </w:tcPr>
          <w:p w14:paraId="6EF5EEE8" w14:textId="77777777" w:rsidR="00D22D27" w:rsidRDefault="00D22D27" w:rsidP="00D22D27">
            <w:pPr>
              <w:spacing w:before="120" w:after="120"/>
              <w:ind w:left="82" w:right="76"/>
              <w:jc w:val="center"/>
            </w:pPr>
            <w:r>
              <w:t>Beschleunigung des Lebens</w:t>
            </w:r>
          </w:p>
          <w:p w14:paraId="6BDB24C1" w14:textId="77777777" w:rsidR="00FF7799" w:rsidRPr="00E73F6F" w:rsidRDefault="00FF7799" w:rsidP="00A138DF">
            <w:pPr>
              <w:spacing w:before="120" w:after="120"/>
              <w:ind w:left="82" w:right="76"/>
              <w:jc w:val="both"/>
            </w:pPr>
            <w:r w:rsidRPr="00E73F6F">
              <w:t>„Die nachhaltigste Umwälzung der Neuzeit, die Industrielle Revolution, wäre ohne den technischen Durchbruch bei der Zeitmessung undenkbar gewesen: Nicht</w:t>
            </w:r>
            <w:r w:rsidRPr="00E73F6F">
              <w:rPr>
                <w:spacing w:val="-8"/>
              </w:rPr>
              <w:t xml:space="preserve"> </w:t>
            </w:r>
            <w:r w:rsidRPr="00E73F6F">
              <w:t>Dampfmaschinen,</w:t>
            </w:r>
            <w:r w:rsidRPr="00E73F6F">
              <w:rPr>
                <w:spacing w:val="-8"/>
              </w:rPr>
              <w:t xml:space="preserve"> </w:t>
            </w:r>
            <w:r w:rsidRPr="00E73F6F">
              <w:t>sondern</w:t>
            </w:r>
            <w:r w:rsidRPr="00E73F6F">
              <w:rPr>
                <w:spacing w:val="-10"/>
              </w:rPr>
              <w:t xml:space="preserve"> </w:t>
            </w:r>
            <w:r w:rsidRPr="00E73F6F">
              <w:t>Uhren</w:t>
            </w:r>
            <w:r w:rsidRPr="00E73F6F">
              <w:rPr>
                <w:spacing w:val="-8"/>
              </w:rPr>
              <w:t xml:space="preserve"> </w:t>
            </w:r>
            <w:r w:rsidRPr="00E73F6F">
              <w:t>in</w:t>
            </w:r>
            <w:r w:rsidRPr="00E73F6F">
              <w:rPr>
                <w:spacing w:val="-10"/>
              </w:rPr>
              <w:t xml:space="preserve"> </w:t>
            </w:r>
            <w:r w:rsidRPr="00E73F6F">
              <w:t>der</w:t>
            </w:r>
            <w:r w:rsidRPr="00E73F6F">
              <w:rPr>
                <w:spacing w:val="-9"/>
              </w:rPr>
              <w:t xml:space="preserve"> </w:t>
            </w:r>
            <w:r w:rsidRPr="00E73F6F">
              <w:t>Tasche</w:t>
            </w:r>
            <w:r w:rsidRPr="00E73F6F">
              <w:rPr>
                <w:spacing w:val="-9"/>
              </w:rPr>
              <w:t xml:space="preserve"> </w:t>
            </w:r>
            <w:r w:rsidRPr="00E73F6F">
              <w:t>jedes</w:t>
            </w:r>
            <w:r w:rsidRPr="00E73F6F">
              <w:rPr>
                <w:spacing w:val="-9"/>
              </w:rPr>
              <w:t xml:space="preserve"> </w:t>
            </w:r>
            <w:r w:rsidRPr="00E73F6F">
              <w:t>Arbeiters</w:t>
            </w:r>
            <w:r w:rsidRPr="00E73F6F">
              <w:rPr>
                <w:spacing w:val="-9"/>
              </w:rPr>
              <w:t xml:space="preserve"> </w:t>
            </w:r>
            <w:r w:rsidRPr="00E73F6F">
              <w:t>waren</w:t>
            </w:r>
            <w:r w:rsidRPr="00E73F6F">
              <w:rPr>
                <w:spacing w:val="-8"/>
              </w:rPr>
              <w:t xml:space="preserve"> </w:t>
            </w:r>
            <w:r w:rsidRPr="00E73F6F">
              <w:t>»die Schlüsselmaschinen für das Industriezeitalter«. Erst sie erlaubten es, die Menschenscharen in den immer größeren Fabriken der Gründerzeit zu koordinieren. Ohne die Uhr am Fabriktor hätten die Geburtsstätten des Massenwohlstandes, die Fließbänder, nie funktioniert. Als die ersten Bänder 1910</w:t>
            </w:r>
            <w:r w:rsidRPr="00E73F6F">
              <w:rPr>
                <w:spacing w:val="-5"/>
              </w:rPr>
              <w:t xml:space="preserve"> </w:t>
            </w:r>
            <w:r w:rsidRPr="00E73F6F">
              <w:t>in</w:t>
            </w:r>
            <w:r w:rsidRPr="00E73F6F">
              <w:rPr>
                <w:spacing w:val="-8"/>
              </w:rPr>
              <w:t xml:space="preserve"> </w:t>
            </w:r>
            <w:r w:rsidRPr="00E73F6F">
              <w:t>den</w:t>
            </w:r>
            <w:r w:rsidRPr="00E73F6F">
              <w:rPr>
                <w:spacing w:val="-8"/>
              </w:rPr>
              <w:t xml:space="preserve"> </w:t>
            </w:r>
            <w:r w:rsidRPr="00E73F6F">
              <w:t>Schlachthöfen</w:t>
            </w:r>
            <w:r w:rsidRPr="00E73F6F">
              <w:rPr>
                <w:spacing w:val="-8"/>
              </w:rPr>
              <w:t xml:space="preserve"> </w:t>
            </w:r>
            <w:r w:rsidRPr="00E73F6F">
              <w:t>von</w:t>
            </w:r>
            <w:r w:rsidRPr="00E73F6F">
              <w:rPr>
                <w:spacing w:val="-5"/>
              </w:rPr>
              <w:t xml:space="preserve"> </w:t>
            </w:r>
            <w:r w:rsidRPr="00E73F6F">
              <w:t>Chicago</w:t>
            </w:r>
            <w:r w:rsidRPr="00E73F6F">
              <w:rPr>
                <w:spacing w:val="-5"/>
              </w:rPr>
              <w:t xml:space="preserve"> </w:t>
            </w:r>
            <w:r w:rsidRPr="00E73F6F">
              <w:t>anliefen,</w:t>
            </w:r>
            <w:r w:rsidRPr="00E73F6F">
              <w:rPr>
                <w:spacing w:val="-2"/>
              </w:rPr>
              <w:t xml:space="preserve"> </w:t>
            </w:r>
            <w:r w:rsidRPr="00E73F6F">
              <w:t>waren</w:t>
            </w:r>
            <w:r w:rsidRPr="00E73F6F">
              <w:rPr>
                <w:spacing w:val="-8"/>
              </w:rPr>
              <w:t xml:space="preserve"> </w:t>
            </w:r>
            <w:r w:rsidRPr="00E73F6F">
              <w:t>die</w:t>
            </w:r>
            <w:r w:rsidRPr="00E73F6F">
              <w:rPr>
                <w:spacing w:val="-7"/>
              </w:rPr>
              <w:t xml:space="preserve"> </w:t>
            </w:r>
            <w:r w:rsidRPr="00E73F6F">
              <w:t>Menschen</w:t>
            </w:r>
            <w:r w:rsidRPr="00E73F6F">
              <w:rPr>
                <w:spacing w:val="-8"/>
              </w:rPr>
              <w:t xml:space="preserve"> </w:t>
            </w:r>
            <w:r w:rsidRPr="00E73F6F">
              <w:t>bereits</w:t>
            </w:r>
            <w:r w:rsidRPr="00E73F6F">
              <w:rPr>
                <w:spacing w:val="-7"/>
              </w:rPr>
              <w:t xml:space="preserve"> </w:t>
            </w:r>
            <w:r w:rsidRPr="00E73F6F">
              <w:t>an jenen Minutentakt gewöhnt, nach dem die industrialisierte Erde tickt; denn Eisenbahn,</w:t>
            </w:r>
            <w:r w:rsidRPr="00E73F6F">
              <w:rPr>
                <w:spacing w:val="-12"/>
              </w:rPr>
              <w:t xml:space="preserve"> </w:t>
            </w:r>
            <w:r w:rsidRPr="00E73F6F">
              <w:t>Seefahrt</w:t>
            </w:r>
            <w:r w:rsidRPr="00E73F6F">
              <w:rPr>
                <w:spacing w:val="-11"/>
              </w:rPr>
              <w:t xml:space="preserve"> </w:t>
            </w:r>
            <w:r w:rsidRPr="00E73F6F">
              <w:t>und</w:t>
            </w:r>
            <w:r w:rsidRPr="00E73F6F">
              <w:rPr>
                <w:spacing w:val="-11"/>
              </w:rPr>
              <w:t xml:space="preserve"> </w:t>
            </w:r>
            <w:r w:rsidRPr="00E73F6F">
              <w:t>Telegraph</w:t>
            </w:r>
            <w:r w:rsidRPr="00E73F6F">
              <w:rPr>
                <w:spacing w:val="-11"/>
              </w:rPr>
              <w:t xml:space="preserve"> </w:t>
            </w:r>
            <w:r w:rsidRPr="00E73F6F">
              <w:t>hatten</w:t>
            </w:r>
            <w:r w:rsidRPr="00E73F6F">
              <w:rPr>
                <w:spacing w:val="-12"/>
              </w:rPr>
              <w:t xml:space="preserve"> </w:t>
            </w:r>
            <w:r w:rsidRPr="00E73F6F">
              <w:t>schon</w:t>
            </w:r>
            <w:r w:rsidRPr="00E73F6F">
              <w:rPr>
                <w:spacing w:val="-11"/>
              </w:rPr>
              <w:t xml:space="preserve"> </w:t>
            </w:r>
            <w:r w:rsidRPr="00E73F6F">
              <w:t>gegen</w:t>
            </w:r>
            <w:r w:rsidRPr="00E73F6F">
              <w:rPr>
                <w:spacing w:val="-11"/>
              </w:rPr>
              <w:t xml:space="preserve"> </w:t>
            </w:r>
            <w:r w:rsidRPr="00E73F6F">
              <w:t>Ende</w:t>
            </w:r>
            <w:r w:rsidRPr="00E73F6F">
              <w:rPr>
                <w:spacing w:val="-11"/>
              </w:rPr>
              <w:t xml:space="preserve"> </w:t>
            </w:r>
            <w:r w:rsidRPr="00E73F6F">
              <w:t>des</w:t>
            </w:r>
            <w:r w:rsidRPr="00E73F6F">
              <w:rPr>
                <w:spacing w:val="-12"/>
              </w:rPr>
              <w:t xml:space="preserve"> </w:t>
            </w:r>
            <w:r w:rsidRPr="00E73F6F">
              <w:t>19.</w:t>
            </w:r>
            <w:r w:rsidRPr="00E73F6F">
              <w:rPr>
                <w:spacing w:val="-11"/>
              </w:rPr>
              <w:t xml:space="preserve"> </w:t>
            </w:r>
            <w:r w:rsidRPr="00E73F6F">
              <w:t xml:space="preserve">Jahrhunderts </w:t>
            </w:r>
            <w:r w:rsidRPr="00E73F6F">
              <w:rPr>
                <w:spacing w:val="-2"/>
              </w:rPr>
              <w:t xml:space="preserve">die Feinabstimmung der Zeit erfordert. 1905 sandten Küstenfunkstellen die ersten </w:t>
            </w:r>
            <w:r w:rsidRPr="00E73F6F">
              <w:t>Zeitzeichen in den Äther.</w:t>
            </w:r>
          </w:p>
          <w:p w14:paraId="511DDE4C" w14:textId="77777777" w:rsidR="00FF7799" w:rsidRPr="00E73F6F" w:rsidRDefault="00FF7799" w:rsidP="00D22D27">
            <w:pPr>
              <w:spacing w:before="120" w:after="120"/>
              <w:ind w:left="82" w:right="78"/>
              <w:jc w:val="both"/>
            </w:pPr>
            <w:r w:rsidRPr="00E73F6F">
              <w:t>Und</w:t>
            </w:r>
            <w:r w:rsidRPr="00E73F6F">
              <w:rPr>
                <w:spacing w:val="-12"/>
              </w:rPr>
              <w:t xml:space="preserve"> </w:t>
            </w:r>
            <w:r w:rsidRPr="00E73F6F">
              <w:t>während</w:t>
            </w:r>
            <w:r w:rsidRPr="00E73F6F">
              <w:rPr>
                <w:spacing w:val="-11"/>
              </w:rPr>
              <w:t xml:space="preserve"> </w:t>
            </w:r>
            <w:r w:rsidRPr="00E73F6F">
              <w:t>Satelliten-Handys,</w:t>
            </w:r>
            <w:r w:rsidRPr="00E73F6F">
              <w:rPr>
                <w:spacing w:val="-11"/>
              </w:rPr>
              <w:t xml:space="preserve"> </w:t>
            </w:r>
            <w:r w:rsidRPr="00E73F6F">
              <w:t>Hochgeschwindigkeitszüge</w:t>
            </w:r>
            <w:r w:rsidRPr="00E73F6F">
              <w:rPr>
                <w:spacing w:val="-11"/>
              </w:rPr>
              <w:t xml:space="preserve"> </w:t>
            </w:r>
            <w:r w:rsidRPr="00E73F6F">
              <w:t>und</w:t>
            </w:r>
            <w:r w:rsidRPr="00E73F6F">
              <w:rPr>
                <w:spacing w:val="-12"/>
              </w:rPr>
              <w:t xml:space="preserve"> </w:t>
            </w:r>
            <w:r w:rsidRPr="00E73F6F">
              <w:t>Computernetze inzwischen den Glauben nähren, der Planet sei zu einem globalen Dorf zusammengeschmolzen, scheint die ständige Beschleunigung des Lebens die Gewichte der Weltkoordinaten zu verschieben: Die Zeit entmachtet den Raum. Nicht mehr Entfernungen, argumentiert etwa der Philosoph Paul Virilio, entscheiden</w:t>
            </w:r>
            <w:r w:rsidRPr="00E73F6F">
              <w:rPr>
                <w:spacing w:val="-10"/>
              </w:rPr>
              <w:t xml:space="preserve"> </w:t>
            </w:r>
            <w:r w:rsidRPr="00E73F6F">
              <w:t>über</w:t>
            </w:r>
            <w:r w:rsidRPr="00E73F6F">
              <w:rPr>
                <w:spacing w:val="-11"/>
              </w:rPr>
              <w:t xml:space="preserve"> </w:t>
            </w:r>
            <w:r w:rsidRPr="00E73F6F">
              <w:t>Wohl</w:t>
            </w:r>
            <w:r w:rsidRPr="00E73F6F">
              <w:rPr>
                <w:spacing w:val="-11"/>
              </w:rPr>
              <w:t xml:space="preserve"> </w:t>
            </w:r>
            <w:r w:rsidRPr="00E73F6F">
              <w:t>und</w:t>
            </w:r>
            <w:r w:rsidRPr="00E73F6F">
              <w:rPr>
                <w:spacing w:val="-12"/>
              </w:rPr>
              <w:t xml:space="preserve"> </w:t>
            </w:r>
            <w:r w:rsidRPr="00E73F6F">
              <w:t>Wehe</w:t>
            </w:r>
            <w:r w:rsidRPr="00E73F6F">
              <w:rPr>
                <w:spacing w:val="-11"/>
              </w:rPr>
              <w:t xml:space="preserve"> </w:t>
            </w:r>
            <w:r w:rsidRPr="00E73F6F">
              <w:t>eines</w:t>
            </w:r>
            <w:r w:rsidRPr="00E73F6F">
              <w:rPr>
                <w:spacing w:val="-11"/>
              </w:rPr>
              <w:t xml:space="preserve"> </w:t>
            </w:r>
            <w:r w:rsidRPr="00E73F6F">
              <w:t>Vorhabens.</w:t>
            </w:r>
            <w:r w:rsidRPr="00E73F6F">
              <w:rPr>
                <w:spacing w:val="-10"/>
              </w:rPr>
              <w:t xml:space="preserve"> </w:t>
            </w:r>
            <w:r w:rsidRPr="00E73F6F">
              <w:t>Die</w:t>
            </w:r>
            <w:r w:rsidRPr="00E73F6F">
              <w:rPr>
                <w:spacing w:val="-12"/>
              </w:rPr>
              <w:t xml:space="preserve"> </w:t>
            </w:r>
            <w:r w:rsidRPr="00E73F6F">
              <w:t>Schicksalsdimension</w:t>
            </w:r>
            <w:r w:rsidRPr="00E73F6F">
              <w:rPr>
                <w:spacing w:val="-9"/>
              </w:rPr>
              <w:t xml:space="preserve"> </w:t>
            </w:r>
            <w:r w:rsidRPr="00E73F6F">
              <w:t>der Geschichte sei nunmehr die Zeit, die zwischen Geschehnissen verrinnt“</w:t>
            </w:r>
            <w:r w:rsidR="00D22D27">
              <w:t xml:space="preserve"> </w:t>
            </w:r>
            <w:r w:rsidR="00D22D27" w:rsidRPr="00E73F6F">
              <w:t>(Klein 1998, S.95f.).</w:t>
            </w:r>
          </w:p>
        </w:tc>
      </w:tr>
    </w:tbl>
    <w:p w14:paraId="6D30AEFB" w14:textId="77777777" w:rsidR="00FF7799" w:rsidRPr="00E73F6F" w:rsidRDefault="00FF7799" w:rsidP="00A138DF">
      <w:pPr>
        <w:pStyle w:val="StandardText"/>
      </w:pPr>
    </w:p>
    <w:p w14:paraId="035021E4" w14:textId="77777777" w:rsidR="000A5184" w:rsidRPr="000A5184" w:rsidRDefault="00FF7799" w:rsidP="00A138DF">
      <w:pPr>
        <w:pStyle w:val="StandardText"/>
        <w:rPr>
          <w:i/>
          <w:iCs/>
        </w:rPr>
      </w:pPr>
      <w:r w:rsidRPr="000A5184">
        <w:rPr>
          <w:i/>
          <w:iCs/>
        </w:rPr>
        <w:t>Ökonomische Funktion</w:t>
      </w:r>
    </w:p>
    <w:p w14:paraId="7FB5B304" w14:textId="3430D3F6" w:rsidR="00FF7799" w:rsidRDefault="000A5184" w:rsidP="00A138DF">
      <w:pPr>
        <w:pStyle w:val="StandardText"/>
      </w:pPr>
      <w:r>
        <w:t>Z</w:t>
      </w:r>
      <w:r w:rsidR="00FF7799" w:rsidRPr="00D22D27">
        <w:t>eit ist ein knappes Gut und kann gegen Geld oder Anstrengung getauscht werden. Mehr noch: „Zeit ist Geld!“ Zeit vergeht nicht einfach, sie wird genutzt. Neben anderen belegt u.a. das Konzept des Produktlebenszyklus ihre strategische Bedeutung für das Marketing. Andere Be</w:t>
      </w:r>
      <w:r w:rsidR="00FF7799" w:rsidRPr="00D22D27">
        <w:lastRenderedPageBreak/>
        <w:t>reiche der Betriebswirtschaftslehre tragen ihr gleichfalls Rechnung, bspw. die Produktionswirtschaft mit der „Methode des kritischen Pfades“. Zusätzlich schärften zuletzt die Globalisierung und mit ihr die Intensivierung des internationalen</w:t>
      </w:r>
      <w:r w:rsidR="00FF7799" w:rsidRPr="00D22D27">
        <w:rPr>
          <w:spacing w:val="-4"/>
        </w:rPr>
        <w:t xml:space="preserve"> </w:t>
      </w:r>
      <w:r w:rsidR="00FF7799" w:rsidRPr="00D22D27">
        <w:t>Wettbewerbs</w:t>
      </w:r>
      <w:r w:rsidR="00FF7799" w:rsidRPr="00D22D27">
        <w:rPr>
          <w:spacing w:val="-6"/>
        </w:rPr>
        <w:t xml:space="preserve"> </w:t>
      </w:r>
      <w:r w:rsidR="00FF7799" w:rsidRPr="00D22D27">
        <w:t>das</w:t>
      </w:r>
      <w:r w:rsidR="00FF7799" w:rsidRPr="00D22D27">
        <w:rPr>
          <w:spacing w:val="-8"/>
        </w:rPr>
        <w:t xml:space="preserve"> </w:t>
      </w:r>
      <w:r w:rsidR="00FF7799" w:rsidRPr="00D22D27">
        <w:t>Bewusstsein,</w:t>
      </w:r>
      <w:r w:rsidR="00FF7799" w:rsidRPr="00D22D27">
        <w:rPr>
          <w:spacing w:val="-5"/>
        </w:rPr>
        <w:t xml:space="preserve"> </w:t>
      </w:r>
      <w:r w:rsidR="00FF7799" w:rsidRPr="00D22D27">
        <w:t>dass</w:t>
      </w:r>
      <w:r w:rsidR="00FF7799" w:rsidRPr="00D22D27">
        <w:rPr>
          <w:spacing w:val="-6"/>
        </w:rPr>
        <w:t xml:space="preserve"> </w:t>
      </w:r>
      <w:r w:rsidR="00FF7799" w:rsidRPr="00D22D27">
        <w:t>Zeit</w:t>
      </w:r>
      <w:r w:rsidR="00FF7799" w:rsidRPr="00D22D27">
        <w:rPr>
          <w:spacing w:val="-5"/>
        </w:rPr>
        <w:t xml:space="preserve"> </w:t>
      </w:r>
      <w:r w:rsidR="00FF7799" w:rsidRPr="00D22D27">
        <w:t>eine</w:t>
      </w:r>
      <w:r w:rsidR="00FF7799" w:rsidRPr="00D22D27">
        <w:rPr>
          <w:spacing w:val="-6"/>
        </w:rPr>
        <w:t xml:space="preserve"> </w:t>
      </w:r>
      <w:r w:rsidR="00FF7799" w:rsidRPr="00D22D27">
        <w:t>zentrale</w:t>
      </w:r>
      <w:r w:rsidR="00FF7799" w:rsidRPr="00D22D27">
        <w:rPr>
          <w:spacing w:val="-6"/>
        </w:rPr>
        <w:t xml:space="preserve"> </w:t>
      </w:r>
      <w:r w:rsidR="00FF7799" w:rsidRPr="00D22D27">
        <w:t>„Dimension betriebswirtschaftlichen Denkens und Handelns“ (Kern 1992) ist. Nicht von ungefähr fanden</w:t>
      </w:r>
      <w:r w:rsidR="00FF7799" w:rsidRPr="00D22D27">
        <w:rPr>
          <w:spacing w:val="-1"/>
        </w:rPr>
        <w:t xml:space="preserve"> </w:t>
      </w:r>
      <w:r w:rsidR="00FF7799" w:rsidRPr="00D22D27">
        <w:t>der bahnbrechende Aufsatz von Becker (1965) „A Theory</w:t>
      </w:r>
      <w:r w:rsidR="00FF7799" w:rsidRPr="00D22D27">
        <w:rPr>
          <w:spacing w:val="-1"/>
        </w:rPr>
        <w:t xml:space="preserve"> </w:t>
      </w:r>
      <w:r w:rsidR="00FF7799" w:rsidRPr="00D22D27">
        <w:t>of the Allocation of Time“ und mit ihr die „Ökonomische Theorie der Zeit“ erst dann breite</w:t>
      </w:r>
      <w:r w:rsidR="00FF7799" w:rsidRPr="00D22D27">
        <w:rPr>
          <w:spacing w:val="-3"/>
        </w:rPr>
        <w:t xml:space="preserve"> </w:t>
      </w:r>
      <w:r w:rsidR="00FF7799" w:rsidRPr="00D22D27">
        <w:t>Beachtung,</w:t>
      </w:r>
      <w:r w:rsidR="00FF7799" w:rsidRPr="00D22D27">
        <w:rPr>
          <w:spacing w:val="-2"/>
        </w:rPr>
        <w:t xml:space="preserve"> </w:t>
      </w:r>
      <w:r w:rsidR="00FF7799" w:rsidRPr="00D22D27">
        <w:t>als</w:t>
      </w:r>
      <w:r w:rsidR="00FF7799" w:rsidRPr="00D22D27">
        <w:rPr>
          <w:spacing w:val="-2"/>
        </w:rPr>
        <w:t xml:space="preserve"> </w:t>
      </w:r>
      <w:r w:rsidR="00FF7799" w:rsidRPr="00D22D27">
        <w:t>das</w:t>
      </w:r>
      <w:r w:rsidR="00FF7799" w:rsidRPr="00D22D27">
        <w:rPr>
          <w:spacing w:val="-2"/>
        </w:rPr>
        <w:t xml:space="preserve"> </w:t>
      </w:r>
      <w:r w:rsidR="00FF7799" w:rsidRPr="00D22D27">
        <w:t>Schlagwort</w:t>
      </w:r>
      <w:r w:rsidR="00FF7799" w:rsidRPr="00D22D27">
        <w:rPr>
          <w:spacing w:val="-2"/>
        </w:rPr>
        <w:t xml:space="preserve"> </w:t>
      </w:r>
      <w:r w:rsidR="00FF7799" w:rsidRPr="00D22D27">
        <w:t>vom</w:t>
      </w:r>
      <w:r w:rsidR="00FF7799" w:rsidRPr="00D22D27">
        <w:rPr>
          <w:spacing w:val="-3"/>
        </w:rPr>
        <w:t xml:space="preserve"> </w:t>
      </w:r>
      <w:r w:rsidR="00FF7799" w:rsidRPr="00D22D27">
        <w:t>Zeitwettbewerb</w:t>
      </w:r>
      <w:r w:rsidR="00FF7799" w:rsidRPr="00D22D27">
        <w:rPr>
          <w:spacing w:val="-2"/>
        </w:rPr>
        <w:t xml:space="preserve"> </w:t>
      </w:r>
      <w:r w:rsidR="00FF7799" w:rsidRPr="00D22D27">
        <w:t>(z.B.</w:t>
      </w:r>
      <w:r w:rsidR="00FF7799" w:rsidRPr="00D22D27">
        <w:rPr>
          <w:spacing w:val="-2"/>
        </w:rPr>
        <w:t xml:space="preserve"> </w:t>
      </w:r>
      <w:r w:rsidR="00FF7799" w:rsidRPr="00D22D27">
        <w:t>Stalk/Hout</w:t>
      </w:r>
      <w:r w:rsidR="00FF7799" w:rsidRPr="00D22D27">
        <w:rPr>
          <w:spacing w:val="-2"/>
        </w:rPr>
        <w:t xml:space="preserve"> </w:t>
      </w:r>
      <w:r w:rsidR="00FF7799" w:rsidRPr="00D22D27">
        <w:t>1992) populär wurde und alle davon sprachen, dass „nicht der Große den Kleinen, sondern</w:t>
      </w:r>
      <w:r w:rsidR="00FF7799" w:rsidRPr="00D22D27">
        <w:rPr>
          <w:spacing w:val="32"/>
        </w:rPr>
        <w:t xml:space="preserve"> </w:t>
      </w:r>
      <w:r w:rsidR="00FF7799" w:rsidRPr="00D22D27">
        <w:t>der</w:t>
      </w:r>
      <w:r w:rsidR="00FF7799" w:rsidRPr="00D22D27">
        <w:rPr>
          <w:spacing w:val="34"/>
        </w:rPr>
        <w:t xml:space="preserve"> </w:t>
      </w:r>
      <w:r w:rsidR="00FF7799" w:rsidRPr="00D22D27">
        <w:t>Schnelle</w:t>
      </w:r>
      <w:r w:rsidR="00FF7799" w:rsidRPr="00D22D27">
        <w:rPr>
          <w:spacing w:val="30"/>
        </w:rPr>
        <w:t xml:space="preserve"> </w:t>
      </w:r>
      <w:r w:rsidR="00FF7799" w:rsidRPr="00D22D27">
        <w:t>den</w:t>
      </w:r>
      <w:r w:rsidR="00FF7799" w:rsidRPr="00D22D27">
        <w:rPr>
          <w:spacing w:val="33"/>
        </w:rPr>
        <w:t xml:space="preserve"> </w:t>
      </w:r>
      <w:r w:rsidR="00FF7799" w:rsidRPr="00D22D27">
        <w:t>Langsamen</w:t>
      </w:r>
      <w:r w:rsidR="00FF7799" w:rsidRPr="00D22D27">
        <w:rPr>
          <w:spacing w:val="34"/>
        </w:rPr>
        <w:t xml:space="preserve"> </w:t>
      </w:r>
      <w:r w:rsidR="00FF7799" w:rsidRPr="00D22D27">
        <w:t>„fresse“:</w:t>
      </w:r>
      <w:r w:rsidR="00FF7799" w:rsidRPr="00D22D27">
        <w:rPr>
          <w:spacing w:val="34"/>
        </w:rPr>
        <w:t xml:space="preserve"> </w:t>
      </w:r>
      <w:r w:rsidR="00FF7799" w:rsidRPr="00D22D27">
        <w:t>Zeit</w:t>
      </w:r>
      <w:r w:rsidR="00FF7799" w:rsidRPr="00D22D27">
        <w:rPr>
          <w:spacing w:val="33"/>
        </w:rPr>
        <w:t xml:space="preserve"> </w:t>
      </w:r>
      <w:r w:rsidR="00FF7799" w:rsidRPr="00D22D27">
        <w:t>als</w:t>
      </w:r>
      <w:r w:rsidR="00FF7799" w:rsidRPr="00D22D27">
        <w:rPr>
          <w:spacing w:val="34"/>
        </w:rPr>
        <w:t xml:space="preserve"> </w:t>
      </w:r>
      <w:r w:rsidR="00FF7799" w:rsidRPr="00D22D27">
        <w:t>wertvolle</w:t>
      </w:r>
      <w:r w:rsidR="00FF7799" w:rsidRPr="00D22D27">
        <w:rPr>
          <w:spacing w:val="37"/>
        </w:rPr>
        <w:t xml:space="preserve"> </w:t>
      </w:r>
      <w:r w:rsidR="00FF7799" w:rsidRPr="00D22D27">
        <w:t>und</w:t>
      </w:r>
      <w:r w:rsidR="00FF7799" w:rsidRPr="00D22D27">
        <w:rPr>
          <w:spacing w:val="33"/>
        </w:rPr>
        <w:t xml:space="preserve"> </w:t>
      </w:r>
      <w:r w:rsidR="00FF7799" w:rsidRPr="00D22D27">
        <w:rPr>
          <w:spacing w:val="-2"/>
        </w:rPr>
        <w:t xml:space="preserve">knappe </w:t>
      </w:r>
      <w:r w:rsidR="00FF7799" w:rsidRPr="00D22D27">
        <w:t>Ressource, deren Schattenpreis dem entgangenen Nutzen alternativer Verwendungen entspricht (vgl. Kuhn/Maurer 1995).</w:t>
      </w:r>
    </w:p>
    <w:p w14:paraId="2A06D5A3" w14:textId="77777777" w:rsidR="000A5184" w:rsidRPr="00D22D27" w:rsidRDefault="000A5184" w:rsidP="00A138DF">
      <w:pPr>
        <w:pStyle w:val="StandardText"/>
      </w:pPr>
    </w:p>
    <w:p w14:paraId="5056E0D5" w14:textId="2FFC388D" w:rsidR="000A5184" w:rsidRPr="000A5184" w:rsidRDefault="00FF7799" w:rsidP="00A138DF">
      <w:pPr>
        <w:pStyle w:val="StandardText"/>
        <w:rPr>
          <w:i/>
          <w:iCs/>
        </w:rPr>
      </w:pPr>
      <w:r w:rsidRPr="000A5184">
        <w:rPr>
          <w:i/>
          <w:iCs/>
        </w:rPr>
        <w:t xml:space="preserve">Alternative Funktionen </w:t>
      </w:r>
    </w:p>
    <w:p w14:paraId="78A19D81" w14:textId="50405DAF" w:rsidR="00FF7799" w:rsidRPr="00D22D27" w:rsidRDefault="00FF7799" w:rsidP="00A138DF">
      <w:pPr>
        <w:pStyle w:val="StandardText"/>
      </w:pPr>
      <w:r w:rsidRPr="00D22D27">
        <w:t>Die Gegenkultur betonte demgegenüber die „Kreativität der Langsamkeit“ (Reheis 1998), die „Ökologie der Zeit“ (Held/Geißler 1993) oder</w:t>
      </w:r>
      <w:r w:rsidRPr="00D22D27">
        <w:rPr>
          <w:spacing w:val="-4"/>
        </w:rPr>
        <w:t xml:space="preserve"> </w:t>
      </w:r>
      <w:r w:rsidRPr="00D22D27">
        <w:t>die</w:t>
      </w:r>
      <w:r w:rsidRPr="00D22D27">
        <w:rPr>
          <w:spacing w:val="-4"/>
        </w:rPr>
        <w:t xml:space="preserve"> </w:t>
      </w:r>
      <w:r w:rsidRPr="00D22D27">
        <w:t>„Beschleunigungsfalle“</w:t>
      </w:r>
      <w:r w:rsidRPr="00D22D27">
        <w:rPr>
          <w:spacing w:val="-2"/>
        </w:rPr>
        <w:t xml:space="preserve"> </w:t>
      </w:r>
      <w:r w:rsidRPr="00D22D27">
        <w:t>(Backhaus/Bonus</w:t>
      </w:r>
      <w:r w:rsidRPr="00D22D27">
        <w:rPr>
          <w:spacing w:val="-5"/>
        </w:rPr>
        <w:t xml:space="preserve"> </w:t>
      </w:r>
      <w:r w:rsidRPr="00D22D27">
        <w:t>1998). In</w:t>
      </w:r>
      <w:r w:rsidRPr="00D22D27">
        <w:rPr>
          <w:spacing w:val="-3"/>
        </w:rPr>
        <w:t xml:space="preserve"> </w:t>
      </w:r>
      <w:r w:rsidRPr="00D22D27">
        <w:t>der</w:t>
      </w:r>
      <w:r w:rsidRPr="00D22D27">
        <w:rPr>
          <w:spacing w:val="-4"/>
        </w:rPr>
        <w:t xml:space="preserve"> </w:t>
      </w:r>
      <w:r w:rsidRPr="00D22D27">
        <w:t>„entschleunigten Gesellschaft“, welche „die Langsamkeit entdeckt“ hat, werden insb. die Slobbies geschätzt:</w:t>
      </w:r>
      <w:r w:rsidRPr="00D22D27">
        <w:rPr>
          <w:spacing w:val="-3"/>
        </w:rPr>
        <w:t xml:space="preserve"> </w:t>
      </w:r>
      <w:r w:rsidRPr="00D22D27">
        <w:t>„slower</w:t>
      </w:r>
      <w:r w:rsidRPr="00D22D27">
        <w:rPr>
          <w:spacing w:val="-3"/>
        </w:rPr>
        <w:t xml:space="preserve"> </w:t>
      </w:r>
      <w:r w:rsidRPr="00D22D27">
        <w:t>but</w:t>
      </w:r>
      <w:r w:rsidRPr="00D22D27">
        <w:rPr>
          <w:spacing w:val="-3"/>
        </w:rPr>
        <w:t xml:space="preserve"> </w:t>
      </w:r>
      <w:r w:rsidRPr="00D22D27">
        <w:t>better</w:t>
      </w:r>
      <w:r w:rsidRPr="00D22D27">
        <w:rPr>
          <w:spacing w:val="-3"/>
        </w:rPr>
        <w:t xml:space="preserve"> </w:t>
      </w:r>
      <w:r w:rsidRPr="00D22D27">
        <w:t>working</w:t>
      </w:r>
      <w:r w:rsidRPr="00D22D27">
        <w:rPr>
          <w:spacing w:val="-2"/>
        </w:rPr>
        <w:t xml:space="preserve"> </w:t>
      </w:r>
      <w:r w:rsidRPr="00D22D27">
        <w:t>people.“</w:t>
      </w:r>
      <w:r w:rsidRPr="00D22D27">
        <w:rPr>
          <w:spacing w:val="-3"/>
        </w:rPr>
        <w:t xml:space="preserve"> </w:t>
      </w:r>
      <w:r w:rsidRPr="00D22D27">
        <w:t>Und</w:t>
      </w:r>
      <w:r w:rsidRPr="00D22D27">
        <w:rPr>
          <w:spacing w:val="-3"/>
        </w:rPr>
        <w:t xml:space="preserve"> </w:t>
      </w:r>
      <w:r w:rsidRPr="00D22D27">
        <w:t>die</w:t>
      </w:r>
      <w:r w:rsidRPr="00D22D27">
        <w:rPr>
          <w:spacing w:val="-3"/>
        </w:rPr>
        <w:t xml:space="preserve"> </w:t>
      </w:r>
      <w:r w:rsidRPr="00D22D27">
        <w:t>Konstrukteure</w:t>
      </w:r>
      <w:r w:rsidRPr="00D22D27">
        <w:rPr>
          <w:spacing w:val="-3"/>
        </w:rPr>
        <w:t xml:space="preserve"> </w:t>
      </w:r>
      <w:r w:rsidRPr="00D22D27">
        <w:t>bekommen wieder</w:t>
      </w:r>
      <w:r w:rsidRPr="00D22D27">
        <w:rPr>
          <w:spacing w:val="-2"/>
        </w:rPr>
        <w:t xml:space="preserve"> </w:t>
      </w:r>
      <w:r w:rsidRPr="00D22D27">
        <w:t>die</w:t>
      </w:r>
      <w:r w:rsidRPr="00D22D27">
        <w:rPr>
          <w:spacing w:val="-2"/>
        </w:rPr>
        <w:t xml:space="preserve"> </w:t>
      </w:r>
      <w:r w:rsidRPr="00D22D27">
        <w:t>Zeit,</w:t>
      </w:r>
      <w:r w:rsidRPr="00D22D27">
        <w:rPr>
          <w:spacing w:val="-4"/>
        </w:rPr>
        <w:t xml:space="preserve"> </w:t>
      </w:r>
      <w:r w:rsidRPr="00D22D27">
        <w:t>die</w:t>
      </w:r>
      <w:r w:rsidRPr="00D22D27">
        <w:rPr>
          <w:spacing w:val="-2"/>
        </w:rPr>
        <w:t xml:space="preserve"> </w:t>
      </w:r>
      <w:r w:rsidRPr="00D22D27">
        <w:t>erforderlich</w:t>
      </w:r>
      <w:r w:rsidRPr="00D22D27">
        <w:rPr>
          <w:spacing w:val="-3"/>
        </w:rPr>
        <w:t xml:space="preserve"> </w:t>
      </w:r>
      <w:r w:rsidRPr="00D22D27">
        <w:t>ist,</w:t>
      </w:r>
      <w:r w:rsidRPr="00D22D27">
        <w:rPr>
          <w:spacing w:val="-2"/>
        </w:rPr>
        <w:t xml:space="preserve"> </w:t>
      </w:r>
      <w:r w:rsidRPr="00D22D27">
        <w:t>um</w:t>
      </w:r>
      <w:r w:rsidRPr="00D22D27">
        <w:rPr>
          <w:spacing w:val="-5"/>
        </w:rPr>
        <w:t xml:space="preserve"> </w:t>
      </w:r>
      <w:r w:rsidRPr="00D22D27">
        <w:t>Pannen</w:t>
      </w:r>
      <w:r w:rsidRPr="00D22D27">
        <w:rPr>
          <w:spacing w:val="-3"/>
        </w:rPr>
        <w:t xml:space="preserve"> </w:t>
      </w:r>
      <w:r w:rsidRPr="00D22D27">
        <w:t>wie</w:t>
      </w:r>
      <w:r w:rsidRPr="00D22D27">
        <w:rPr>
          <w:spacing w:val="-5"/>
        </w:rPr>
        <w:t xml:space="preserve"> </w:t>
      </w:r>
      <w:r w:rsidRPr="00D22D27">
        <w:t>bei</w:t>
      </w:r>
      <w:r w:rsidRPr="00D22D27">
        <w:rPr>
          <w:spacing w:val="-2"/>
        </w:rPr>
        <w:t xml:space="preserve"> </w:t>
      </w:r>
      <w:r w:rsidRPr="00D22D27">
        <w:t>der</w:t>
      </w:r>
      <w:r w:rsidRPr="00D22D27">
        <w:rPr>
          <w:spacing w:val="-4"/>
        </w:rPr>
        <w:t xml:space="preserve"> </w:t>
      </w:r>
      <w:r w:rsidRPr="00D22D27">
        <w:t>Einführung</w:t>
      </w:r>
      <w:r w:rsidRPr="00D22D27">
        <w:rPr>
          <w:spacing w:val="-3"/>
        </w:rPr>
        <w:t xml:space="preserve"> </w:t>
      </w:r>
      <w:r w:rsidRPr="00D22D27">
        <w:t>von</w:t>
      </w:r>
      <w:r w:rsidRPr="00D22D27">
        <w:rPr>
          <w:spacing w:val="-3"/>
        </w:rPr>
        <w:t xml:space="preserve"> </w:t>
      </w:r>
      <w:r w:rsidRPr="00D22D27">
        <w:t>Smart und A-Klasse zu vermeiden (vgl. Blüthmann 1997).</w:t>
      </w:r>
    </w:p>
    <w:p w14:paraId="6B246435" w14:textId="77777777" w:rsidR="00FF7799" w:rsidRPr="00D22D27" w:rsidRDefault="00FF7799" w:rsidP="00A138DF">
      <w:pPr>
        <w:pStyle w:val="StandardText"/>
      </w:pPr>
    </w:p>
    <w:p w14:paraId="6E253951" w14:textId="77777777" w:rsidR="00FF7799" w:rsidRPr="00D22D27" w:rsidRDefault="00FF7799" w:rsidP="00A138DF">
      <w:pPr>
        <w:pStyle w:val="StandardTextkursiv"/>
        <w:rPr>
          <w:i w:val="0"/>
        </w:rPr>
      </w:pPr>
      <w:r w:rsidRPr="00D22D27">
        <w:rPr>
          <w:i w:val="0"/>
        </w:rPr>
        <w:t>2 Zeit</w:t>
      </w:r>
      <w:r w:rsidRPr="00D22D27">
        <w:rPr>
          <w:i w:val="0"/>
          <w:spacing w:val="-2"/>
        </w:rPr>
        <w:t xml:space="preserve"> </w:t>
      </w:r>
      <w:r w:rsidRPr="00D22D27">
        <w:rPr>
          <w:i w:val="0"/>
        </w:rPr>
        <w:t>als</w:t>
      </w:r>
      <w:r w:rsidRPr="00D22D27">
        <w:rPr>
          <w:i w:val="0"/>
          <w:spacing w:val="-3"/>
        </w:rPr>
        <w:t xml:space="preserve"> </w:t>
      </w:r>
      <w:r w:rsidRPr="00D22D27">
        <w:rPr>
          <w:i w:val="0"/>
        </w:rPr>
        <w:t>Erkenntnisobjekt</w:t>
      </w:r>
      <w:r w:rsidRPr="00D22D27">
        <w:rPr>
          <w:i w:val="0"/>
          <w:spacing w:val="-3"/>
        </w:rPr>
        <w:t xml:space="preserve"> </w:t>
      </w:r>
      <w:r w:rsidRPr="00D22D27">
        <w:rPr>
          <w:i w:val="0"/>
        </w:rPr>
        <w:t>von</w:t>
      </w:r>
      <w:r w:rsidRPr="00D22D27">
        <w:rPr>
          <w:i w:val="0"/>
          <w:spacing w:val="-2"/>
        </w:rPr>
        <w:t xml:space="preserve"> </w:t>
      </w:r>
      <w:r w:rsidRPr="00D22D27">
        <w:rPr>
          <w:i w:val="0"/>
        </w:rPr>
        <w:t>Biologie,</w:t>
      </w:r>
      <w:r w:rsidRPr="00D22D27">
        <w:rPr>
          <w:i w:val="0"/>
          <w:spacing w:val="-1"/>
        </w:rPr>
        <w:t xml:space="preserve"> </w:t>
      </w:r>
      <w:r w:rsidRPr="00D22D27">
        <w:rPr>
          <w:i w:val="0"/>
        </w:rPr>
        <w:t>Physiologie</w:t>
      </w:r>
      <w:r w:rsidRPr="00D22D27">
        <w:rPr>
          <w:i w:val="0"/>
          <w:spacing w:val="-4"/>
        </w:rPr>
        <w:t xml:space="preserve"> </w:t>
      </w:r>
      <w:r w:rsidRPr="00D22D27">
        <w:rPr>
          <w:i w:val="0"/>
        </w:rPr>
        <w:t xml:space="preserve">und </w:t>
      </w:r>
      <w:r w:rsidRPr="00D22D27">
        <w:rPr>
          <w:i w:val="0"/>
          <w:spacing w:val="-2"/>
        </w:rPr>
        <w:t>Psychologie</w:t>
      </w:r>
    </w:p>
    <w:p w14:paraId="2514C034" w14:textId="77777777" w:rsidR="00FF7799" w:rsidRPr="00D22D27" w:rsidRDefault="00FF7799" w:rsidP="00A138DF">
      <w:pPr>
        <w:pStyle w:val="StandardText"/>
      </w:pPr>
      <w:r w:rsidRPr="00D22D27">
        <w:t>1729 fiel dem Astronom Jean-Jacques d´Ortous de Mairan auf, dass die Blätter von Mimosen sich im Rhythmus von 24 Stunden öffnen und schließen. Am Sonnenlicht konnte es nicht gelegen haben. Denn an dem Vorgang änderte sich nichts, als er die Pflanzen in einen dunklen Raum stellte. Ähnliches beobachtete der Naturforscher Carl von Linné, der in seinem Garten eine „Blumenuhr“ pflanzte. Je</w:t>
      </w:r>
      <w:r w:rsidRPr="00D22D27">
        <w:rPr>
          <w:spacing w:val="-1"/>
        </w:rPr>
        <w:t xml:space="preserve"> </w:t>
      </w:r>
      <w:r w:rsidRPr="00D22D27">
        <w:t>nachdem, wann sich die Blüte einer bestimmten Pflanze öffnete bzw. schloss, konnte er damit</w:t>
      </w:r>
      <w:r w:rsidRPr="00D22D27">
        <w:rPr>
          <w:spacing w:val="-2"/>
        </w:rPr>
        <w:t xml:space="preserve"> </w:t>
      </w:r>
      <w:r w:rsidRPr="00D22D27">
        <w:t>die Tageszeit auf eine halbe</w:t>
      </w:r>
      <w:r w:rsidRPr="00D22D27">
        <w:rPr>
          <w:spacing w:val="-3"/>
        </w:rPr>
        <w:t xml:space="preserve"> </w:t>
      </w:r>
      <w:r w:rsidRPr="00D22D27">
        <w:t>Stunde</w:t>
      </w:r>
      <w:r w:rsidRPr="00D22D27">
        <w:rPr>
          <w:spacing w:val="-3"/>
        </w:rPr>
        <w:t xml:space="preserve"> </w:t>
      </w:r>
      <w:r w:rsidRPr="00D22D27">
        <w:t>genau</w:t>
      </w:r>
      <w:r w:rsidRPr="00D22D27">
        <w:rPr>
          <w:spacing w:val="-1"/>
        </w:rPr>
        <w:t xml:space="preserve"> </w:t>
      </w:r>
      <w:r w:rsidRPr="00D22D27">
        <w:t>erkennen. Die Tigerblume</w:t>
      </w:r>
      <w:r w:rsidRPr="00D22D27">
        <w:rPr>
          <w:spacing w:val="-5"/>
        </w:rPr>
        <w:t xml:space="preserve"> </w:t>
      </w:r>
      <w:r w:rsidRPr="00D22D27">
        <w:t>etwa</w:t>
      </w:r>
      <w:r w:rsidRPr="00D22D27">
        <w:rPr>
          <w:spacing w:val="-5"/>
        </w:rPr>
        <w:t xml:space="preserve"> </w:t>
      </w:r>
      <w:r w:rsidRPr="00D22D27">
        <w:t>erblühte</w:t>
      </w:r>
      <w:r w:rsidRPr="00D22D27">
        <w:rPr>
          <w:spacing w:val="-4"/>
        </w:rPr>
        <w:t xml:space="preserve"> </w:t>
      </w:r>
      <w:r w:rsidRPr="00D22D27">
        <w:t>gegen</w:t>
      </w:r>
      <w:r w:rsidRPr="00D22D27">
        <w:rPr>
          <w:spacing w:val="-6"/>
        </w:rPr>
        <w:t xml:space="preserve"> </w:t>
      </w:r>
      <w:r w:rsidRPr="00D22D27">
        <w:t>11</w:t>
      </w:r>
      <w:r w:rsidRPr="00D22D27">
        <w:rPr>
          <w:spacing w:val="-3"/>
        </w:rPr>
        <w:t xml:space="preserve"> </w:t>
      </w:r>
      <w:r w:rsidRPr="00D22D27">
        <w:t>Uhr</w:t>
      </w:r>
      <w:r w:rsidRPr="00D22D27">
        <w:rPr>
          <w:spacing w:val="-7"/>
        </w:rPr>
        <w:t xml:space="preserve"> </w:t>
      </w:r>
      <w:r w:rsidRPr="00D22D27">
        <w:t>vormittags,</w:t>
      </w:r>
      <w:r w:rsidRPr="00D22D27">
        <w:rPr>
          <w:spacing w:val="-4"/>
        </w:rPr>
        <w:t xml:space="preserve"> </w:t>
      </w:r>
      <w:r w:rsidRPr="00D22D27">
        <w:t>und</w:t>
      </w:r>
      <w:r w:rsidRPr="00D22D27">
        <w:rPr>
          <w:spacing w:val="-6"/>
        </w:rPr>
        <w:t xml:space="preserve"> </w:t>
      </w:r>
      <w:r w:rsidRPr="00D22D27">
        <w:t>die</w:t>
      </w:r>
      <w:r w:rsidRPr="00D22D27">
        <w:rPr>
          <w:spacing w:val="-5"/>
        </w:rPr>
        <w:t xml:space="preserve"> </w:t>
      </w:r>
      <w:r w:rsidRPr="00D22D27">
        <w:t>Blätter</w:t>
      </w:r>
      <w:r w:rsidRPr="00D22D27">
        <w:rPr>
          <w:spacing w:val="-4"/>
        </w:rPr>
        <w:t xml:space="preserve"> </w:t>
      </w:r>
      <w:r w:rsidRPr="00D22D27">
        <w:t>der</w:t>
      </w:r>
      <w:r w:rsidRPr="00D22D27">
        <w:rPr>
          <w:spacing w:val="-4"/>
        </w:rPr>
        <w:t xml:space="preserve"> </w:t>
      </w:r>
      <w:r w:rsidRPr="00D22D27">
        <w:t>Wegwarte klappten gegen 14 Uhr zu.</w:t>
      </w:r>
    </w:p>
    <w:p w14:paraId="281E5466" w14:textId="77777777" w:rsidR="00FF7799" w:rsidRPr="00D22D27" w:rsidRDefault="00FF7799" w:rsidP="00A138DF">
      <w:pPr>
        <w:pStyle w:val="StandardText"/>
      </w:pPr>
      <w:r w:rsidRPr="00D22D27">
        <w:t>Wie der Biologe Stephen Jay Gould berichtet, tickt die „innere Uhr“ von Tieren umso</w:t>
      </w:r>
      <w:r w:rsidRPr="00D22D27">
        <w:rPr>
          <w:spacing w:val="-5"/>
        </w:rPr>
        <w:t xml:space="preserve"> </w:t>
      </w:r>
      <w:r w:rsidRPr="00D22D27">
        <w:t>schneller,</w:t>
      </w:r>
      <w:r w:rsidRPr="00D22D27">
        <w:rPr>
          <w:spacing w:val="-5"/>
        </w:rPr>
        <w:t xml:space="preserve"> </w:t>
      </w:r>
      <w:r w:rsidRPr="00D22D27">
        <w:t>je</w:t>
      </w:r>
      <w:r w:rsidRPr="00D22D27">
        <w:rPr>
          <w:spacing w:val="-7"/>
        </w:rPr>
        <w:t xml:space="preserve"> </w:t>
      </w:r>
      <w:r w:rsidRPr="00D22D27">
        <w:t>kleiner</w:t>
      </w:r>
      <w:r w:rsidRPr="00D22D27">
        <w:rPr>
          <w:spacing w:val="-5"/>
        </w:rPr>
        <w:t xml:space="preserve"> </w:t>
      </w:r>
      <w:r w:rsidRPr="00D22D27">
        <w:t>ein</w:t>
      </w:r>
      <w:r w:rsidRPr="00D22D27">
        <w:rPr>
          <w:spacing w:val="-6"/>
        </w:rPr>
        <w:t xml:space="preserve"> </w:t>
      </w:r>
      <w:r w:rsidRPr="00D22D27">
        <w:t>Tier</w:t>
      </w:r>
      <w:r w:rsidRPr="00D22D27">
        <w:rPr>
          <w:spacing w:val="-7"/>
        </w:rPr>
        <w:t xml:space="preserve"> </w:t>
      </w:r>
      <w:r w:rsidRPr="00D22D27">
        <w:t>ist.</w:t>
      </w:r>
      <w:r w:rsidRPr="00D22D27">
        <w:rPr>
          <w:spacing w:val="-6"/>
        </w:rPr>
        <w:t xml:space="preserve"> </w:t>
      </w:r>
      <w:r w:rsidRPr="00D22D27">
        <w:t>„Die</w:t>
      </w:r>
      <w:r w:rsidRPr="00D22D27">
        <w:rPr>
          <w:spacing w:val="-6"/>
        </w:rPr>
        <w:t xml:space="preserve"> </w:t>
      </w:r>
      <w:r w:rsidRPr="00D22D27">
        <w:t>Maus</w:t>
      </w:r>
      <w:r w:rsidRPr="00D22D27">
        <w:rPr>
          <w:spacing w:val="-7"/>
        </w:rPr>
        <w:t xml:space="preserve"> </w:t>
      </w:r>
      <w:r w:rsidRPr="00D22D27">
        <w:t>huscht</w:t>
      </w:r>
      <w:r w:rsidRPr="00D22D27">
        <w:rPr>
          <w:spacing w:val="-6"/>
        </w:rPr>
        <w:t xml:space="preserve"> </w:t>
      </w:r>
      <w:r w:rsidRPr="00D22D27">
        <w:t>dahin,</w:t>
      </w:r>
      <w:r w:rsidRPr="00D22D27">
        <w:rPr>
          <w:spacing w:val="-7"/>
        </w:rPr>
        <w:t xml:space="preserve"> </w:t>
      </w:r>
      <w:r w:rsidRPr="00D22D27">
        <w:t>der</w:t>
      </w:r>
      <w:r w:rsidRPr="00D22D27">
        <w:rPr>
          <w:spacing w:val="-7"/>
        </w:rPr>
        <w:t xml:space="preserve"> </w:t>
      </w:r>
      <w:r w:rsidRPr="00D22D27">
        <w:t>Löwe</w:t>
      </w:r>
      <w:r w:rsidRPr="00D22D27">
        <w:rPr>
          <w:spacing w:val="-6"/>
        </w:rPr>
        <w:t xml:space="preserve"> </w:t>
      </w:r>
      <w:r w:rsidRPr="00D22D27">
        <w:t>schreitet gemessen, das Nilpferd watet wie in Zeitlupe“ (Klein 1998, S.99).</w:t>
      </w:r>
    </w:p>
    <w:p w14:paraId="2E9887CD" w14:textId="77777777" w:rsidR="00FF7799" w:rsidRPr="00D22D27" w:rsidRDefault="00FF7799" w:rsidP="00A138DF">
      <w:pPr>
        <w:pStyle w:val="StandardText"/>
      </w:pPr>
      <w:r w:rsidRPr="00D22D27">
        <w:t>Zu</w:t>
      </w:r>
      <w:r w:rsidRPr="00D22D27">
        <w:rPr>
          <w:spacing w:val="40"/>
        </w:rPr>
        <w:t xml:space="preserve"> </w:t>
      </w:r>
      <w:r w:rsidRPr="00D22D27">
        <w:t>den</w:t>
      </w:r>
      <w:r w:rsidRPr="00D22D27">
        <w:rPr>
          <w:spacing w:val="40"/>
        </w:rPr>
        <w:t xml:space="preserve"> </w:t>
      </w:r>
      <w:r w:rsidRPr="00D22D27">
        <w:t>physiologischen</w:t>
      </w:r>
      <w:r w:rsidRPr="00D22D27">
        <w:rPr>
          <w:spacing w:val="40"/>
        </w:rPr>
        <w:t xml:space="preserve"> </w:t>
      </w:r>
      <w:r w:rsidRPr="00D22D27">
        <w:t>Grundlagen</w:t>
      </w:r>
      <w:r w:rsidRPr="00D22D27">
        <w:rPr>
          <w:spacing w:val="40"/>
        </w:rPr>
        <w:t xml:space="preserve"> </w:t>
      </w:r>
      <w:r w:rsidRPr="00D22D27">
        <w:t>der</w:t>
      </w:r>
      <w:r w:rsidRPr="00D22D27">
        <w:rPr>
          <w:spacing w:val="40"/>
        </w:rPr>
        <w:t xml:space="preserve"> </w:t>
      </w:r>
      <w:r w:rsidRPr="00D22D27">
        <w:t>Zeitwahrnehmung</w:t>
      </w:r>
      <w:r w:rsidRPr="00D22D27">
        <w:rPr>
          <w:spacing w:val="40"/>
        </w:rPr>
        <w:t xml:space="preserve"> </w:t>
      </w:r>
      <w:r w:rsidRPr="00D22D27">
        <w:t>zählen</w:t>
      </w:r>
      <w:r w:rsidRPr="00D22D27">
        <w:rPr>
          <w:spacing w:val="40"/>
        </w:rPr>
        <w:t xml:space="preserve"> </w:t>
      </w:r>
      <w:r w:rsidRPr="00D22D27">
        <w:t>folgende Konzepte (vgl. Klein 1998, S.99f.):</w:t>
      </w:r>
    </w:p>
    <w:p w14:paraId="2C9E8689" w14:textId="77777777" w:rsidR="00FF7799" w:rsidRPr="00D22D27" w:rsidRDefault="00FF7799" w:rsidP="000A5184">
      <w:pPr>
        <w:pStyle w:val="StandardTextAufzhlung"/>
        <w:ind w:left="426"/>
      </w:pPr>
      <w:r w:rsidRPr="00D22D27">
        <w:t>Rhythmus: Der sog. supra-chiasmatische Nukleus, ein autonomes Hirnzentrum,</w:t>
      </w:r>
      <w:r w:rsidRPr="00D22D27">
        <w:rPr>
          <w:spacing w:val="-4"/>
        </w:rPr>
        <w:t xml:space="preserve"> </w:t>
      </w:r>
      <w:r w:rsidRPr="00D22D27">
        <w:t>steuert</w:t>
      </w:r>
      <w:r w:rsidRPr="00D22D27">
        <w:rPr>
          <w:spacing w:val="-6"/>
        </w:rPr>
        <w:t xml:space="preserve"> </w:t>
      </w:r>
      <w:r w:rsidRPr="00D22D27">
        <w:t>den</w:t>
      </w:r>
      <w:r w:rsidRPr="00D22D27">
        <w:rPr>
          <w:spacing w:val="-3"/>
        </w:rPr>
        <w:t xml:space="preserve"> </w:t>
      </w:r>
      <w:r w:rsidRPr="00D22D27">
        <w:t>Tagesrhythmus.</w:t>
      </w:r>
      <w:r w:rsidRPr="00D22D27">
        <w:rPr>
          <w:spacing w:val="-6"/>
        </w:rPr>
        <w:t xml:space="preserve"> </w:t>
      </w:r>
      <w:r w:rsidRPr="00D22D27">
        <w:t>Sobald</w:t>
      </w:r>
      <w:r w:rsidRPr="00D22D27">
        <w:rPr>
          <w:spacing w:val="-5"/>
        </w:rPr>
        <w:t xml:space="preserve"> </w:t>
      </w:r>
      <w:r w:rsidRPr="00D22D27">
        <w:t>es</w:t>
      </w:r>
      <w:r w:rsidRPr="00D22D27">
        <w:rPr>
          <w:spacing w:val="-4"/>
        </w:rPr>
        <w:t xml:space="preserve"> </w:t>
      </w:r>
      <w:r w:rsidRPr="00D22D27">
        <w:t>dämmert,</w:t>
      </w:r>
      <w:r w:rsidRPr="00D22D27">
        <w:rPr>
          <w:spacing w:val="-3"/>
        </w:rPr>
        <w:t xml:space="preserve"> </w:t>
      </w:r>
      <w:r w:rsidRPr="00D22D27">
        <w:t>leitet</w:t>
      </w:r>
      <w:r w:rsidRPr="00D22D27">
        <w:rPr>
          <w:spacing w:val="-4"/>
        </w:rPr>
        <w:t xml:space="preserve"> </w:t>
      </w:r>
      <w:r w:rsidRPr="00D22D27">
        <w:t>die Netzhaut diese Information über eine Nervenleitung an das Gehirn weiter, das wiederum die Körpertemperatur steigert und die Hormone stimuliert.</w:t>
      </w:r>
      <w:r w:rsidRPr="00D22D27">
        <w:rPr>
          <w:spacing w:val="-2"/>
        </w:rPr>
        <w:t xml:space="preserve"> </w:t>
      </w:r>
      <w:r w:rsidRPr="00D22D27">
        <w:t>Dies</w:t>
      </w:r>
      <w:r w:rsidRPr="00D22D27">
        <w:rPr>
          <w:spacing w:val="-3"/>
        </w:rPr>
        <w:t xml:space="preserve"> </w:t>
      </w:r>
      <w:r w:rsidRPr="00D22D27">
        <w:t>erklärt</w:t>
      </w:r>
      <w:r w:rsidRPr="00D22D27">
        <w:rPr>
          <w:spacing w:val="-5"/>
        </w:rPr>
        <w:t xml:space="preserve"> </w:t>
      </w:r>
      <w:r w:rsidRPr="00D22D27">
        <w:t>bspw.,</w:t>
      </w:r>
      <w:r w:rsidRPr="00D22D27">
        <w:rPr>
          <w:spacing w:val="-5"/>
        </w:rPr>
        <w:t xml:space="preserve"> </w:t>
      </w:r>
      <w:r w:rsidRPr="00D22D27">
        <w:t>warum</w:t>
      </w:r>
      <w:r w:rsidRPr="00D22D27">
        <w:rPr>
          <w:spacing w:val="-4"/>
        </w:rPr>
        <w:t xml:space="preserve"> </w:t>
      </w:r>
      <w:r w:rsidRPr="00D22D27">
        <w:t>viele</w:t>
      </w:r>
      <w:r w:rsidRPr="00D22D27">
        <w:rPr>
          <w:spacing w:val="-4"/>
        </w:rPr>
        <w:t xml:space="preserve"> </w:t>
      </w:r>
      <w:r w:rsidRPr="00D22D27">
        <w:t>Menschen</w:t>
      </w:r>
      <w:r w:rsidRPr="00D22D27">
        <w:rPr>
          <w:spacing w:val="-2"/>
        </w:rPr>
        <w:t xml:space="preserve"> </w:t>
      </w:r>
      <w:r w:rsidRPr="00D22D27">
        <w:t>aufwachen,</w:t>
      </w:r>
      <w:r w:rsidRPr="00D22D27">
        <w:rPr>
          <w:spacing w:val="-5"/>
        </w:rPr>
        <w:t xml:space="preserve"> </w:t>
      </w:r>
      <w:r w:rsidRPr="00D22D27">
        <w:t>noch bevor ihr Wecker klingelt.</w:t>
      </w:r>
    </w:p>
    <w:p w14:paraId="589BFF0C" w14:textId="77777777" w:rsidR="00FF7799" w:rsidRPr="00D22D27" w:rsidRDefault="00FF7799" w:rsidP="000A5184">
      <w:pPr>
        <w:pStyle w:val="StandardTextAufzhlung"/>
        <w:ind w:left="426"/>
      </w:pPr>
      <w:r w:rsidRPr="00D22D27">
        <w:t>Geschwindigkeit:</w:t>
      </w:r>
      <w:r w:rsidRPr="00D22D27">
        <w:rPr>
          <w:spacing w:val="-1"/>
        </w:rPr>
        <w:t xml:space="preserve"> </w:t>
      </w:r>
      <w:r w:rsidRPr="00D22D27">
        <w:t>Für</w:t>
      </w:r>
      <w:r w:rsidRPr="00D22D27">
        <w:rPr>
          <w:spacing w:val="-3"/>
        </w:rPr>
        <w:t xml:space="preserve"> </w:t>
      </w:r>
      <w:r w:rsidRPr="00D22D27">
        <w:t>das</w:t>
      </w:r>
      <w:r w:rsidRPr="00D22D27">
        <w:rPr>
          <w:spacing w:val="-1"/>
        </w:rPr>
        <w:t xml:space="preserve"> </w:t>
      </w:r>
      <w:r w:rsidRPr="00D22D27">
        <w:t>Zeitgefühl</w:t>
      </w:r>
      <w:r w:rsidRPr="00D22D27">
        <w:rPr>
          <w:spacing w:val="-1"/>
        </w:rPr>
        <w:t xml:space="preserve"> </w:t>
      </w:r>
      <w:r w:rsidRPr="00D22D27">
        <w:t>wiederum</w:t>
      </w:r>
      <w:r w:rsidRPr="00D22D27">
        <w:rPr>
          <w:spacing w:val="-2"/>
        </w:rPr>
        <w:t xml:space="preserve"> </w:t>
      </w:r>
      <w:r w:rsidRPr="00D22D27">
        <w:t>sorgt</w:t>
      </w:r>
      <w:r w:rsidRPr="00D22D27">
        <w:rPr>
          <w:spacing w:val="-1"/>
        </w:rPr>
        <w:t xml:space="preserve"> </w:t>
      </w:r>
      <w:r w:rsidRPr="00D22D27">
        <w:t>Dopamin,</w:t>
      </w:r>
      <w:r w:rsidRPr="00D22D27">
        <w:rPr>
          <w:spacing w:val="-3"/>
        </w:rPr>
        <w:t xml:space="preserve"> </w:t>
      </w:r>
      <w:r w:rsidRPr="00D22D27">
        <w:t>das</w:t>
      </w:r>
      <w:r w:rsidRPr="00D22D27">
        <w:rPr>
          <w:spacing w:val="-1"/>
        </w:rPr>
        <w:t xml:space="preserve"> </w:t>
      </w:r>
      <w:r w:rsidRPr="00D22D27">
        <w:t>man (bislang) nur beim Menschen und höheren Tieren nachweisen konnte. Einer Sanduhr vergleichbar tropft dieser Neurotransmitter in einen Zell- Behälter;</w:t>
      </w:r>
      <w:r w:rsidRPr="00D22D27">
        <w:rPr>
          <w:spacing w:val="-4"/>
        </w:rPr>
        <w:t xml:space="preserve"> </w:t>
      </w:r>
      <w:r w:rsidRPr="00D22D27">
        <w:t>das</w:t>
      </w:r>
      <w:r w:rsidRPr="00D22D27">
        <w:rPr>
          <w:spacing w:val="-4"/>
        </w:rPr>
        <w:t xml:space="preserve"> </w:t>
      </w:r>
      <w:r w:rsidRPr="00D22D27">
        <w:t>über</w:t>
      </w:r>
      <w:r w:rsidRPr="00D22D27">
        <w:rPr>
          <w:spacing w:val="-4"/>
        </w:rPr>
        <w:t xml:space="preserve"> </w:t>
      </w:r>
      <w:r w:rsidRPr="00D22D27">
        <w:t>eine</w:t>
      </w:r>
      <w:r w:rsidRPr="00D22D27">
        <w:rPr>
          <w:spacing w:val="-5"/>
        </w:rPr>
        <w:t xml:space="preserve"> </w:t>
      </w:r>
      <w:r w:rsidRPr="00D22D27">
        <w:t>Nervenleitung</w:t>
      </w:r>
      <w:r w:rsidRPr="00D22D27">
        <w:rPr>
          <w:spacing w:val="-4"/>
        </w:rPr>
        <w:t xml:space="preserve"> </w:t>
      </w:r>
      <w:r w:rsidRPr="00D22D27">
        <w:t>verbundene</w:t>
      </w:r>
      <w:r w:rsidRPr="00D22D27">
        <w:rPr>
          <w:spacing w:val="-5"/>
        </w:rPr>
        <w:t xml:space="preserve"> </w:t>
      </w:r>
      <w:r w:rsidRPr="00D22D27">
        <w:t>Großhirn</w:t>
      </w:r>
      <w:r w:rsidRPr="00D22D27">
        <w:rPr>
          <w:spacing w:val="-5"/>
        </w:rPr>
        <w:t xml:space="preserve"> </w:t>
      </w:r>
      <w:r w:rsidRPr="00D22D27">
        <w:t>kann</w:t>
      </w:r>
      <w:r w:rsidRPr="00D22D27">
        <w:rPr>
          <w:spacing w:val="-5"/>
        </w:rPr>
        <w:t xml:space="preserve"> </w:t>
      </w:r>
      <w:r w:rsidRPr="00D22D27">
        <w:t>dessen Pegelstand ablesen. Fließt wie</w:t>
      </w:r>
      <w:r w:rsidRPr="00D22D27">
        <w:rPr>
          <w:spacing w:val="-3"/>
        </w:rPr>
        <w:t xml:space="preserve"> </w:t>
      </w:r>
      <w:r w:rsidRPr="00D22D27">
        <w:t>bei Menschen, die an</w:t>
      </w:r>
      <w:r w:rsidRPr="00D22D27">
        <w:rPr>
          <w:spacing w:val="-2"/>
        </w:rPr>
        <w:t xml:space="preserve"> </w:t>
      </w:r>
      <w:r w:rsidRPr="00D22D27">
        <w:t>der Parkinsonschen Krankheit leiden, kein Dopamin, dann verlieren sie die Fähigkeit, Zeitabstände zu unterscheiden. Auch ihr Erinnerungsvermögen schwindet. Ist der Neurotransmitter hingegen im Übermaß vorhanden, dann beginnt die Lebenszeit zu „rasen“.</w:t>
      </w:r>
    </w:p>
    <w:p w14:paraId="739461EC" w14:textId="77777777" w:rsidR="00FF7799" w:rsidRPr="00D22D27" w:rsidRDefault="00FF7799" w:rsidP="00A138DF">
      <w:pPr>
        <w:pStyle w:val="StandardText"/>
      </w:pPr>
      <w:r w:rsidRPr="00D22D27">
        <w:lastRenderedPageBreak/>
        <w:t>Die einzelnen Erscheinungsformen von Zeit (Vergangenheit, Gegenwart und Zukunft) sind nicht eindeutig abgrenzbar. Im Gegenteil: In den verschiedensten theoretischen Modellen werden sie miteinander verbunden bzw. aufeinander bezogen.</w:t>
      </w:r>
      <w:r w:rsidRPr="00D22D27">
        <w:rPr>
          <w:spacing w:val="14"/>
        </w:rPr>
        <w:t xml:space="preserve"> </w:t>
      </w:r>
      <w:r w:rsidRPr="00D22D27">
        <w:t>Hinter</w:t>
      </w:r>
      <w:r w:rsidRPr="00D22D27">
        <w:rPr>
          <w:spacing w:val="15"/>
        </w:rPr>
        <w:t xml:space="preserve"> </w:t>
      </w:r>
      <w:r w:rsidRPr="00D22D27">
        <w:t>Konzepten</w:t>
      </w:r>
      <w:r w:rsidRPr="00D22D27">
        <w:rPr>
          <w:spacing w:val="17"/>
        </w:rPr>
        <w:t xml:space="preserve"> </w:t>
      </w:r>
      <w:r w:rsidRPr="00D22D27">
        <w:t>wie</w:t>
      </w:r>
      <w:r w:rsidRPr="00D22D27">
        <w:rPr>
          <w:spacing w:val="16"/>
        </w:rPr>
        <w:t xml:space="preserve"> </w:t>
      </w:r>
      <w:r w:rsidRPr="00D22D27">
        <w:t>„kritische</w:t>
      </w:r>
      <w:r w:rsidRPr="00D22D27">
        <w:rPr>
          <w:spacing w:val="15"/>
        </w:rPr>
        <w:t xml:space="preserve"> </w:t>
      </w:r>
      <w:r w:rsidRPr="00D22D27">
        <w:t>Entwicklungsphasen“</w:t>
      </w:r>
      <w:r w:rsidRPr="00D22D27">
        <w:rPr>
          <w:spacing w:val="15"/>
        </w:rPr>
        <w:t xml:space="preserve"> </w:t>
      </w:r>
      <w:r w:rsidRPr="00D22D27">
        <w:t>bzw.</w:t>
      </w:r>
      <w:r w:rsidRPr="00D22D27">
        <w:rPr>
          <w:spacing w:val="17"/>
        </w:rPr>
        <w:t xml:space="preserve"> </w:t>
      </w:r>
      <w:r w:rsidRPr="00D22D27">
        <w:rPr>
          <w:spacing w:val="-2"/>
        </w:rPr>
        <w:t xml:space="preserve">„kritische </w:t>
      </w:r>
      <w:r w:rsidRPr="00D22D27">
        <w:t xml:space="preserve">Lebensereignisse“, die in der Vorstellungswelt der Psychologie westlicher Prägung weit verbreitet sind, verbirgt sich die </w:t>
      </w:r>
      <w:r w:rsidR="00D22D27">
        <w:rPr>
          <w:b/>
        </w:rPr>
        <w:sym w:font="Symbol" w:char="F0DE"/>
      </w:r>
      <w:r w:rsidRPr="00D22D27">
        <w:t xml:space="preserve"> deterministische Vorstellung, dass die ersten Lebensjahre maßgeblich dafür sind, welche Erfahrungen ein Mensch</w:t>
      </w:r>
      <w:r w:rsidRPr="00D22D27">
        <w:rPr>
          <w:spacing w:val="-8"/>
        </w:rPr>
        <w:t xml:space="preserve"> </w:t>
      </w:r>
      <w:r w:rsidRPr="00D22D27">
        <w:t>in</w:t>
      </w:r>
      <w:r w:rsidRPr="00D22D27">
        <w:rPr>
          <w:spacing w:val="-8"/>
        </w:rPr>
        <w:t xml:space="preserve"> </w:t>
      </w:r>
      <w:r w:rsidRPr="00D22D27">
        <w:t>der</w:t>
      </w:r>
      <w:r w:rsidRPr="00D22D27">
        <w:rPr>
          <w:spacing w:val="-9"/>
        </w:rPr>
        <w:t xml:space="preserve"> </w:t>
      </w:r>
      <w:r w:rsidRPr="00D22D27">
        <w:t>Gegenwart</w:t>
      </w:r>
      <w:r w:rsidRPr="00D22D27">
        <w:rPr>
          <w:spacing w:val="-9"/>
        </w:rPr>
        <w:t xml:space="preserve"> </w:t>
      </w:r>
      <w:r w:rsidRPr="00D22D27">
        <w:t>und</w:t>
      </w:r>
      <w:r w:rsidRPr="00D22D27">
        <w:rPr>
          <w:spacing w:val="-10"/>
        </w:rPr>
        <w:t xml:space="preserve"> </w:t>
      </w:r>
      <w:r w:rsidRPr="00D22D27">
        <w:t>der</w:t>
      </w:r>
      <w:r w:rsidRPr="00D22D27">
        <w:rPr>
          <w:spacing w:val="-9"/>
        </w:rPr>
        <w:t xml:space="preserve"> </w:t>
      </w:r>
      <w:r w:rsidRPr="00D22D27">
        <w:t>Zukunft</w:t>
      </w:r>
      <w:r w:rsidRPr="00D22D27">
        <w:rPr>
          <w:spacing w:val="-9"/>
        </w:rPr>
        <w:t xml:space="preserve"> </w:t>
      </w:r>
      <w:r w:rsidRPr="00D22D27">
        <w:t>sammelt</w:t>
      </w:r>
      <w:r w:rsidRPr="00D22D27">
        <w:rPr>
          <w:spacing w:val="-9"/>
        </w:rPr>
        <w:t xml:space="preserve"> </w:t>
      </w:r>
      <w:r w:rsidRPr="00D22D27">
        <w:t>und</w:t>
      </w:r>
      <w:r w:rsidRPr="00D22D27">
        <w:rPr>
          <w:spacing w:val="-8"/>
        </w:rPr>
        <w:t xml:space="preserve"> </w:t>
      </w:r>
      <w:r w:rsidRPr="00D22D27">
        <w:t>wie</w:t>
      </w:r>
      <w:r w:rsidRPr="00D22D27">
        <w:rPr>
          <w:spacing w:val="-10"/>
        </w:rPr>
        <w:t xml:space="preserve"> </w:t>
      </w:r>
      <w:r w:rsidRPr="00D22D27">
        <w:t>er</w:t>
      </w:r>
      <w:r w:rsidRPr="00D22D27">
        <w:rPr>
          <w:spacing w:val="-9"/>
        </w:rPr>
        <w:t xml:space="preserve"> </w:t>
      </w:r>
      <w:r w:rsidRPr="00D22D27">
        <w:t>sie</w:t>
      </w:r>
      <w:r w:rsidRPr="00D22D27">
        <w:rPr>
          <w:spacing w:val="-10"/>
        </w:rPr>
        <w:t xml:space="preserve"> </w:t>
      </w:r>
      <w:r w:rsidRPr="00D22D27">
        <w:t>verarbeitet</w:t>
      </w:r>
      <w:r w:rsidRPr="00D22D27">
        <w:rPr>
          <w:spacing w:val="-9"/>
        </w:rPr>
        <w:t xml:space="preserve"> </w:t>
      </w:r>
      <w:r w:rsidRPr="00D22D27">
        <w:t>(vgl. Kagan 2000).</w:t>
      </w:r>
    </w:p>
    <w:p w14:paraId="1E7D9086" w14:textId="77777777" w:rsidR="00FF7799" w:rsidRPr="00D22D27" w:rsidRDefault="00FF7799" w:rsidP="00862DBA">
      <w:pPr>
        <w:spacing w:before="11"/>
        <w:rPr>
          <w:sz w:val="24"/>
          <w:szCs w:val="24"/>
        </w:rPr>
      </w:pPr>
    </w:p>
    <w:p w14:paraId="521E2CD6" w14:textId="77777777" w:rsidR="00FF7799" w:rsidRPr="00D22D27" w:rsidRDefault="00FF7799" w:rsidP="00A138DF">
      <w:pPr>
        <w:pStyle w:val="StandardTextkursiv"/>
        <w:rPr>
          <w:i w:val="0"/>
        </w:rPr>
      </w:pPr>
      <w:r w:rsidRPr="00D22D27">
        <w:rPr>
          <w:i w:val="0"/>
        </w:rPr>
        <w:t>3 Zeitverständnis &amp;</w:t>
      </w:r>
      <w:r w:rsidRPr="00D22D27">
        <w:rPr>
          <w:i w:val="0"/>
          <w:spacing w:val="-1"/>
        </w:rPr>
        <w:t xml:space="preserve"> </w:t>
      </w:r>
      <w:r w:rsidRPr="00D22D27">
        <w:rPr>
          <w:i w:val="0"/>
        </w:rPr>
        <w:t>Unternehmenskultur</w:t>
      </w:r>
    </w:p>
    <w:p w14:paraId="6AAAE482" w14:textId="77777777" w:rsidR="00260661" w:rsidRDefault="00FF7799" w:rsidP="00260661">
      <w:pPr>
        <w:jc w:val="both"/>
        <w:rPr>
          <w:sz w:val="24"/>
          <w:szCs w:val="24"/>
          <w:lang w:bidi="en-US"/>
        </w:rPr>
      </w:pPr>
      <w:r w:rsidRPr="00260661">
        <w:rPr>
          <w:sz w:val="24"/>
          <w:szCs w:val="24"/>
        </w:rPr>
        <w:t xml:space="preserve">Dass Zeit kulturspezifisch wahrgenommen wird, zählt zu den grundlegenden Erkenntnissen der kulturvergleichenden </w:t>
      </w:r>
      <w:r w:rsidR="00D22D27" w:rsidRPr="00260661">
        <w:rPr>
          <w:sz w:val="24"/>
          <w:szCs w:val="24"/>
        </w:rPr>
        <w:t>Wissenschaften. Neben anderen (</w:t>
      </w:r>
      <w:r w:rsidR="00D22D27" w:rsidRPr="00260661">
        <w:rPr>
          <w:sz w:val="24"/>
          <w:szCs w:val="24"/>
        </w:rPr>
        <w:sym w:font="Symbol" w:char="F0DE"/>
      </w:r>
      <w:r w:rsidRPr="00260661">
        <w:rPr>
          <w:sz w:val="24"/>
          <w:szCs w:val="24"/>
        </w:rPr>
        <w:t xml:space="preserve"> Kulturdimensionen nach Trompenaars) war für Triandis (1994, 1972) und Adler et</w:t>
      </w:r>
      <w:r w:rsidRPr="00260661">
        <w:rPr>
          <w:spacing w:val="-10"/>
          <w:sz w:val="24"/>
          <w:szCs w:val="24"/>
        </w:rPr>
        <w:t xml:space="preserve"> </w:t>
      </w:r>
      <w:r w:rsidRPr="00260661">
        <w:rPr>
          <w:sz w:val="24"/>
          <w:szCs w:val="24"/>
        </w:rPr>
        <w:t>al.</w:t>
      </w:r>
      <w:r w:rsidRPr="00260661">
        <w:rPr>
          <w:spacing w:val="-9"/>
          <w:sz w:val="24"/>
          <w:szCs w:val="24"/>
        </w:rPr>
        <w:t xml:space="preserve"> </w:t>
      </w:r>
      <w:r w:rsidRPr="00260661">
        <w:rPr>
          <w:sz w:val="24"/>
          <w:szCs w:val="24"/>
        </w:rPr>
        <w:t>(1986;</w:t>
      </w:r>
      <w:r w:rsidRPr="00260661">
        <w:rPr>
          <w:spacing w:val="-11"/>
          <w:sz w:val="24"/>
          <w:szCs w:val="24"/>
        </w:rPr>
        <w:t xml:space="preserve"> </w:t>
      </w:r>
      <w:r w:rsidRPr="00260661">
        <w:rPr>
          <w:sz w:val="24"/>
          <w:szCs w:val="24"/>
        </w:rPr>
        <w:t>1983)</w:t>
      </w:r>
      <w:r w:rsidRPr="00260661">
        <w:rPr>
          <w:spacing w:val="-11"/>
          <w:sz w:val="24"/>
          <w:szCs w:val="24"/>
        </w:rPr>
        <w:t xml:space="preserve"> </w:t>
      </w:r>
      <w:r w:rsidRPr="00260661">
        <w:rPr>
          <w:sz w:val="24"/>
          <w:szCs w:val="24"/>
        </w:rPr>
        <w:t>maßgeblich,</w:t>
      </w:r>
      <w:r w:rsidRPr="00260661">
        <w:rPr>
          <w:spacing w:val="-11"/>
          <w:sz w:val="24"/>
          <w:szCs w:val="24"/>
        </w:rPr>
        <w:t xml:space="preserve"> </w:t>
      </w:r>
      <w:r w:rsidRPr="00260661">
        <w:rPr>
          <w:sz w:val="24"/>
          <w:szCs w:val="24"/>
        </w:rPr>
        <w:t>ob</w:t>
      </w:r>
      <w:r w:rsidRPr="00260661">
        <w:rPr>
          <w:spacing w:val="-11"/>
          <w:sz w:val="24"/>
          <w:szCs w:val="24"/>
        </w:rPr>
        <w:t xml:space="preserve"> </w:t>
      </w:r>
      <w:r w:rsidRPr="00260661">
        <w:rPr>
          <w:sz w:val="24"/>
          <w:szCs w:val="24"/>
        </w:rPr>
        <w:t>Kulturen</w:t>
      </w:r>
      <w:r w:rsidRPr="00260661">
        <w:rPr>
          <w:spacing w:val="-9"/>
          <w:sz w:val="24"/>
          <w:szCs w:val="24"/>
        </w:rPr>
        <w:t xml:space="preserve"> </w:t>
      </w:r>
      <w:r w:rsidRPr="00260661">
        <w:rPr>
          <w:sz w:val="24"/>
          <w:szCs w:val="24"/>
        </w:rPr>
        <w:t>sich</w:t>
      </w:r>
      <w:r w:rsidRPr="00260661">
        <w:rPr>
          <w:spacing w:val="-11"/>
          <w:sz w:val="24"/>
          <w:szCs w:val="24"/>
        </w:rPr>
        <w:t xml:space="preserve"> </w:t>
      </w:r>
      <w:r w:rsidRPr="00260661">
        <w:rPr>
          <w:sz w:val="24"/>
          <w:szCs w:val="24"/>
        </w:rPr>
        <w:t>primär</w:t>
      </w:r>
      <w:r w:rsidRPr="00260661">
        <w:rPr>
          <w:spacing w:val="-10"/>
          <w:sz w:val="24"/>
          <w:szCs w:val="24"/>
        </w:rPr>
        <w:t xml:space="preserve"> </w:t>
      </w:r>
      <w:r w:rsidRPr="00260661">
        <w:rPr>
          <w:sz w:val="24"/>
          <w:szCs w:val="24"/>
        </w:rPr>
        <w:t>an</w:t>
      </w:r>
      <w:r w:rsidRPr="00260661">
        <w:rPr>
          <w:spacing w:val="-11"/>
          <w:sz w:val="24"/>
          <w:szCs w:val="24"/>
        </w:rPr>
        <w:t xml:space="preserve"> </w:t>
      </w:r>
      <w:r w:rsidRPr="00260661">
        <w:rPr>
          <w:sz w:val="24"/>
          <w:szCs w:val="24"/>
        </w:rPr>
        <w:t>der</w:t>
      </w:r>
      <w:r w:rsidRPr="00260661">
        <w:rPr>
          <w:spacing w:val="-11"/>
          <w:sz w:val="24"/>
          <w:szCs w:val="24"/>
        </w:rPr>
        <w:t xml:space="preserve"> </w:t>
      </w:r>
      <w:r w:rsidRPr="00260661">
        <w:rPr>
          <w:sz w:val="24"/>
          <w:szCs w:val="24"/>
        </w:rPr>
        <w:t>Vergangenheit</w:t>
      </w:r>
      <w:r w:rsidRPr="00260661">
        <w:rPr>
          <w:spacing w:val="-11"/>
          <w:sz w:val="24"/>
          <w:szCs w:val="24"/>
        </w:rPr>
        <w:t xml:space="preserve"> </w:t>
      </w:r>
      <w:r w:rsidRPr="00260661">
        <w:rPr>
          <w:sz w:val="24"/>
          <w:szCs w:val="24"/>
        </w:rPr>
        <w:t xml:space="preserve">oder primär an der Zukunft orientieren. Hofstede (1980) beschrieb die Kurz- bzw. Langfristigkeit des Zeitverständnisses als eigenständige Kulturdimension. Im Mittelpunkt der Arbeit von Hall/Hall (1990) steht die Unterscheidung von monochronem und polychronem Zeitverständnis. </w:t>
      </w:r>
      <w:r w:rsidR="00260661" w:rsidRPr="00260661">
        <w:rPr>
          <w:sz w:val="24"/>
          <w:szCs w:val="24"/>
          <w:lang w:bidi="en-US"/>
        </w:rPr>
        <w:t>Monochrone Gesellschaften haben ein abstraktes, lineares Zeitverst</w:t>
      </w:r>
      <w:r w:rsidR="00260661">
        <w:rPr>
          <w:sz w:val="24"/>
          <w:szCs w:val="24"/>
          <w:lang w:bidi="en-US"/>
        </w:rPr>
        <w:t>ändnis entwickelt (vgl. Abb. 1</w:t>
      </w:r>
      <w:r w:rsidR="00260661" w:rsidRPr="00260661">
        <w:rPr>
          <w:sz w:val="24"/>
          <w:szCs w:val="24"/>
          <w:lang w:bidi="en-US"/>
        </w:rPr>
        <w:t xml:space="preserve">). Vergangenheit, Gegenwart und Zukunft werden als eine unumkehrbare Abfolge erlebt. Zeit gilt ihnen als ein knappes und kostbares Gut, weshalb diese möglichst exakt gemessen wird – nötigenfalls in Millisekunden. Dagegen orientiert sich die Zeitwahrnehmung in polychronen Gesellschaften an realen, in unregelmäßigen Abständen wiederkehrenden Vorkommnissen (z.B. Naturereignisse, Jahreszeiten, Feiertage). </w:t>
      </w:r>
    </w:p>
    <w:p w14:paraId="390D361B" w14:textId="77777777" w:rsidR="00260661" w:rsidRDefault="00260661" w:rsidP="00260661">
      <w:pPr>
        <w:jc w:val="both"/>
        <w:rPr>
          <w:sz w:val="24"/>
          <w:szCs w:val="24"/>
          <w:lang w:bidi="en-US"/>
        </w:rPr>
      </w:pPr>
    </w:p>
    <w:p w14:paraId="4AE16C58" w14:textId="77777777" w:rsidR="00260661" w:rsidRPr="00E94F37" w:rsidRDefault="00260661" w:rsidP="00260661">
      <w:pPr>
        <w:spacing w:line="360" w:lineRule="auto"/>
        <w:jc w:val="center"/>
        <w:rPr>
          <w:i/>
          <w:sz w:val="24"/>
          <w:szCs w:val="24"/>
          <w:lang w:bidi="en-US"/>
        </w:rPr>
      </w:pPr>
      <w:r>
        <w:rPr>
          <w:i/>
          <w:sz w:val="24"/>
          <w:szCs w:val="24"/>
          <w:lang w:bidi="en-US"/>
        </w:rPr>
        <w:t>Abb. 1</w:t>
      </w:r>
      <w:r w:rsidRPr="00E94F37">
        <w:rPr>
          <w:i/>
          <w:sz w:val="24"/>
          <w:szCs w:val="24"/>
          <w:lang w:bidi="en-US"/>
        </w:rPr>
        <w:t>: Zeitverständnis monochroner vs. polychroner Gesellschaften</w:t>
      </w:r>
    </w:p>
    <w:p w14:paraId="45065132" w14:textId="77777777" w:rsidR="00260661" w:rsidRPr="00E94F37" w:rsidRDefault="00260661" w:rsidP="00260661">
      <w:pPr>
        <w:spacing w:line="360" w:lineRule="auto"/>
        <w:jc w:val="both"/>
        <w:rPr>
          <w:sz w:val="24"/>
          <w:szCs w:val="24"/>
          <w:lang w:bidi="en-US"/>
        </w:rPr>
      </w:pPr>
      <w:r w:rsidRPr="00E94F37">
        <w:rPr>
          <w:noProof/>
          <w:sz w:val="24"/>
          <w:szCs w:val="24"/>
          <w:lang w:eastAsia="de-DE"/>
        </w:rPr>
        <w:drawing>
          <wp:inline distT="0" distB="0" distL="0" distR="0" wp14:anchorId="204224A7" wp14:editId="2484D20B">
            <wp:extent cx="6200140" cy="3550598"/>
            <wp:effectExtent l="0" t="0" r="0" b="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6227029" cy="3565996"/>
                    </a:xfrm>
                    <a:prstGeom prst="rect">
                      <a:avLst/>
                    </a:prstGeom>
                    <a:noFill/>
                  </pic:spPr>
                </pic:pic>
              </a:graphicData>
            </a:graphic>
          </wp:inline>
        </w:drawing>
      </w:r>
    </w:p>
    <w:p w14:paraId="1E65D437" w14:textId="77777777" w:rsidR="00260661" w:rsidRPr="009D218F" w:rsidRDefault="00260661" w:rsidP="00260661">
      <w:pPr>
        <w:spacing w:line="360" w:lineRule="auto"/>
        <w:jc w:val="both"/>
        <w:rPr>
          <w:sz w:val="18"/>
          <w:szCs w:val="18"/>
          <w:lang w:bidi="en-US"/>
        </w:rPr>
      </w:pPr>
      <w:r w:rsidRPr="009D218F">
        <w:rPr>
          <w:sz w:val="18"/>
          <w:szCs w:val="18"/>
          <w:lang w:bidi="en-US"/>
        </w:rPr>
        <w:t xml:space="preserve">Quelle: Eigene Darstellung auf Basis von </w:t>
      </w:r>
      <w:r w:rsidRPr="009D218F">
        <w:rPr>
          <w:sz w:val="18"/>
          <w:szCs w:val="18"/>
          <w:highlight w:val="yellow"/>
          <w:lang w:bidi="en-US"/>
        </w:rPr>
        <w:t>Hall/Hall (1990, S. 15</w:t>
      </w:r>
      <w:r w:rsidRPr="009D218F">
        <w:rPr>
          <w:sz w:val="18"/>
          <w:szCs w:val="18"/>
          <w:lang w:bidi="en-US"/>
        </w:rPr>
        <w:t>).</w:t>
      </w:r>
    </w:p>
    <w:p w14:paraId="438B0EC8" w14:textId="77777777" w:rsidR="00260661" w:rsidRPr="00260661" w:rsidRDefault="00260661" w:rsidP="00260661">
      <w:pPr>
        <w:jc w:val="both"/>
        <w:rPr>
          <w:sz w:val="24"/>
          <w:szCs w:val="24"/>
          <w:lang w:bidi="en-US"/>
        </w:rPr>
      </w:pPr>
    </w:p>
    <w:p w14:paraId="48C2EF77" w14:textId="77777777" w:rsidR="00FF7799" w:rsidRPr="00260661" w:rsidRDefault="00FF7799" w:rsidP="00260661">
      <w:pPr>
        <w:pStyle w:val="StandardText"/>
        <w:rPr>
          <w:szCs w:val="24"/>
        </w:rPr>
      </w:pPr>
      <w:r w:rsidRPr="00260661">
        <w:rPr>
          <w:szCs w:val="24"/>
        </w:rPr>
        <w:t>Angehörige von monochron orientierten Gesellschaften („M-Time-Kulturen“) neigen zu einer sequentiellen Arbeitsweise. Aufgaben werden vorzugsweise nacheinander erledigt. Die Folge sind Inflexibilität, aber auch die Bereitschaft und Fähigkeit, Terminpläne einzuhalten (d.h. Ter</w:t>
      </w:r>
      <w:r w:rsidRPr="00260661">
        <w:rPr>
          <w:szCs w:val="24"/>
        </w:rPr>
        <w:lastRenderedPageBreak/>
        <w:t xml:space="preserve">mintreue). Monochrone wie Japaner oder Deutsche achten auch darauf, dass geschäftliche Besprechungen, Verhandlungen etc. pünktlich </w:t>
      </w:r>
      <w:r w:rsidRPr="00260661">
        <w:rPr>
          <w:spacing w:val="-2"/>
          <w:szCs w:val="24"/>
        </w:rPr>
        <w:t>beginnen.</w:t>
      </w:r>
      <w:r w:rsidR="00260661">
        <w:rPr>
          <w:szCs w:val="24"/>
        </w:rPr>
        <w:t xml:space="preserve"> </w:t>
      </w:r>
      <w:r w:rsidRPr="00260661">
        <w:rPr>
          <w:szCs w:val="24"/>
        </w:rPr>
        <w:t>In polychronen Gesellschaften („P-Time-Kulturen“) ist es hingegen üblich, mehrere Aufgaben gleichzeitig zu bearbeiten. Dieses Zeitverständnis ist u.a. in Entwicklungsländern weit verbreitet (vgl. Tab. 3). Aber auch US-amerikanische Manager haben eine Affinität zum „Multi Tasking“ (vgl. Tinsley 2001, S.321). Menschen, die Aufgaben synchron bearbeiten, müssen in der Lage sein, verschiedene Alternativen zu sichten und zu bewerten. Eine Fähigkeit, die es im modernen Berufsleben, mit seinen ständig wechselnden Herausforderungen alltäglich unter Beweis zu stellen gilt und bei Menschen mit polychronem Zeitverständnis stärker ausgeprägt ist als bei Menschen mit monochronem Zeitverständnis.</w:t>
      </w:r>
      <w:r w:rsidRPr="00260661">
        <w:rPr>
          <w:spacing w:val="-12"/>
          <w:szCs w:val="24"/>
        </w:rPr>
        <w:t xml:space="preserve"> </w:t>
      </w:r>
      <w:r w:rsidRPr="00260661">
        <w:rPr>
          <w:szCs w:val="24"/>
        </w:rPr>
        <w:t>Sie</w:t>
      </w:r>
      <w:r w:rsidRPr="00260661">
        <w:rPr>
          <w:spacing w:val="-11"/>
          <w:szCs w:val="24"/>
        </w:rPr>
        <w:t xml:space="preserve"> </w:t>
      </w:r>
      <w:r w:rsidRPr="00260661">
        <w:rPr>
          <w:szCs w:val="24"/>
        </w:rPr>
        <w:t>hilft</w:t>
      </w:r>
      <w:r w:rsidRPr="00260661">
        <w:rPr>
          <w:spacing w:val="-11"/>
          <w:szCs w:val="24"/>
        </w:rPr>
        <w:t xml:space="preserve"> </w:t>
      </w:r>
      <w:r w:rsidRPr="00260661">
        <w:rPr>
          <w:szCs w:val="24"/>
        </w:rPr>
        <w:t>auch</w:t>
      </w:r>
      <w:r w:rsidRPr="00260661">
        <w:rPr>
          <w:spacing w:val="-11"/>
          <w:szCs w:val="24"/>
        </w:rPr>
        <w:t xml:space="preserve"> </w:t>
      </w:r>
      <w:r w:rsidRPr="00260661">
        <w:rPr>
          <w:szCs w:val="24"/>
        </w:rPr>
        <w:t>Interessenkonflikte</w:t>
      </w:r>
      <w:r w:rsidRPr="00260661">
        <w:rPr>
          <w:spacing w:val="-12"/>
          <w:szCs w:val="24"/>
        </w:rPr>
        <w:t xml:space="preserve"> </w:t>
      </w:r>
      <w:r w:rsidRPr="00260661">
        <w:rPr>
          <w:szCs w:val="24"/>
        </w:rPr>
        <w:t>frühzeitig</w:t>
      </w:r>
      <w:r w:rsidRPr="00260661">
        <w:rPr>
          <w:spacing w:val="-11"/>
          <w:szCs w:val="24"/>
        </w:rPr>
        <w:t xml:space="preserve"> </w:t>
      </w:r>
      <w:r w:rsidRPr="00260661">
        <w:rPr>
          <w:szCs w:val="24"/>
        </w:rPr>
        <w:t>zu</w:t>
      </w:r>
      <w:r w:rsidRPr="00260661">
        <w:rPr>
          <w:spacing w:val="-11"/>
          <w:szCs w:val="24"/>
        </w:rPr>
        <w:t xml:space="preserve"> </w:t>
      </w:r>
      <w:r w:rsidRPr="00260661">
        <w:rPr>
          <w:szCs w:val="24"/>
        </w:rPr>
        <w:t>erkennen</w:t>
      </w:r>
      <w:r w:rsidRPr="00260661">
        <w:rPr>
          <w:spacing w:val="-11"/>
          <w:szCs w:val="24"/>
        </w:rPr>
        <w:t xml:space="preserve"> </w:t>
      </w:r>
      <w:r w:rsidRPr="00260661">
        <w:rPr>
          <w:szCs w:val="24"/>
        </w:rPr>
        <w:t>und</w:t>
      </w:r>
      <w:r w:rsidRPr="00260661">
        <w:rPr>
          <w:spacing w:val="-12"/>
          <w:szCs w:val="24"/>
        </w:rPr>
        <w:t xml:space="preserve"> </w:t>
      </w:r>
      <w:r w:rsidRPr="00260661">
        <w:rPr>
          <w:szCs w:val="24"/>
        </w:rPr>
        <w:t>diese zu</w:t>
      </w:r>
      <w:r w:rsidRPr="00260661">
        <w:rPr>
          <w:spacing w:val="-1"/>
          <w:szCs w:val="24"/>
        </w:rPr>
        <w:t xml:space="preserve"> </w:t>
      </w:r>
      <w:r w:rsidRPr="00260661">
        <w:rPr>
          <w:szCs w:val="24"/>
        </w:rPr>
        <w:t>bewältigen</w:t>
      </w:r>
      <w:r w:rsidR="009B5040" w:rsidRPr="00260661">
        <w:rPr>
          <w:szCs w:val="24"/>
        </w:rPr>
        <w:t xml:space="preserve"> (</w:t>
      </w:r>
      <w:r w:rsidR="009B5040" w:rsidRPr="00260661">
        <w:rPr>
          <w:szCs w:val="24"/>
        </w:rPr>
        <w:sym w:font="Symbol" w:char="F0DE"/>
      </w:r>
      <w:r w:rsidR="009B5040" w:rsidRPr="00260661">
        <w:rPr>
          <w:szCs w:val="24"/>
        </w:rPr>
        <w:t xml:space="preserve"> Konflikte)</w:t>
      </w:r>
      <w:r w:rsidRPr="00260661">
        <w:rPr>
          <w:szCs w:val="24"/>
        </w:rPr>
        <w:t>.</w:t>
      </w:r>
      <w:r w:rsidRPr="00260661">
        <w:rPr>
          <w:spacing w:val="-1"/>
          <w:szCs w:val="24"/>
        </w:rPr>
        <w:t xml:space="preserve"> </w:t>
      </w:r>
      <w:r w:rsidRPr="00260661">
        <w:rPr>
          <w:szCs w:val="24"/>
        </w:rPr>
        <w:t>Daher</w:t>
      </w:r>
      <w:r w:rsidRPr="00260661">
        <w:rPr>
          <w:spacing w:val="-3"/>
          <w:szCs w:val="24"/>
        </w:rPr>
        <w:t xml:space="preserve"> </w:t>
      </w:r>
      <w:r w:rsidRPr="00260661">
        <w:rPr>
          <w:szCs w:val="24"/>
        </w:rPr>
        <w:t>wählen</w:t>
      </w:r>
      <w:r w:rsidRPr="00260661">
        <w:rPr>
          <w:spacing w:val="-2"/>
          <w:szCs w:val="24"/>
        </w:rPr>
        <w:t xml:space="preserve"> </w:t>
      </w:r>
      <w:r w:rsidRPr="00260661">
        <w:rPr>
          <w:szCs w:val="24"/>
        </w:rPr>
        <w:t>Personen</w:t>
      </w:r>
      <w:r w:rsidRPr="00260661">
        <w:rPr>
          <w:spacing w:val="-2"/>
          <w:szCs w:val="24"/>
        </w:rPr>
        <w:t xml:space="preserve"> </w:t>
      </w:r>
      <w:r w:rsidRPr="00260661">
        <w:rPr>
          <w:szCs w:val="24"/>
        </w:rPr>
        <w:t>mit</w:t>
      </w:r>
      <w:r w:rsidRPr="00260661">
        <w:rPr>
          <w:spacing w:val="-3"/>
          <w:szCs w:val="24"/>
        </w:rPr>
        <w:t xml:space="preserve"> </w:t>
      </w:r>
      <w:r w:rsidRPr="00260661">
        <w:rPr>
          <w:szCs w:val="24"/>
        </w:rPr>
        <w:t>polychronem</w:t>
      </w:r>
      <w:r w:rsidRPr="00260661">
        <w:rPr>
          <w:spacing w:val="-2"/>
          <w:szCs w:val="24"/>
        </w:rPr>
        <w:t xml:space="preserve"> </w:t>
      </w:r>
      <w:r w:rsidRPr="00260661">
        <w:rPr>
          <w:szCs w:val="24"/>
        </w:rPr>
        <w:t>Zeitverständnis</w:t>
      </w:r>
      <w:r w:rsidRPr="00260661">
        <w:rPr>
          <w:spacing w:val="-3"/>
          <w:szCs w:val="24"/>
        </w:rPr>
        <w:t xml:space="preserve"> </w:t>
      </w:r>
      <w:r w:rsidRPr="00260661">
        <w:rPr>
          <w:szCs w:val="24"/>
        </w:rPr>
        <w:t>häufiger den interessenorientierten Konfliktstil (‘interest‘) des IRP-Modells als Vertreter von Kulturen mit monochronem Zeitverständnis (vgl. Tinsley 2001, 1998; Tinsley/Brett 2001, 1997).</w:t>
      </w:r>
    </w:p>
    <w:p w14:paraId="796975C7" w14:textId="77777777" w:rsidR="00FF7799" w:rsidRPr="00E73F6F" w:rsidRDefault="00FF7799" w:rsidP="00A138DF">
      <w:pPr>
        <w:pStyle w:val="StandardText"/>
      </w:pPr>
    </w:p>
    <w:p w14:paraId="5DD8536B" w14:textId="77777777" w:rsidR="00FF7799" w:rsidRPr="000A5184" w:rsidRDefault="00FF7799" w:rsidP="00A138DF">
      <w:pPr>
        <w:pStyle w:val="BeschriftungTab"/>
        <w:rPr>
          <w:i/>
          <w:iCs/>
        </w:rPr>
      </w:pPr>
      <w:r w:rsidRPr="000A5184">
        <w:rPr>
          <w:i/>
          <w:iCs/>
        </w:rPr>
        <w:t>Tab.</w:t>
      </w:r>
      <w:r w:rsidRPr="000A5184">
        <w:rPr>
          <w:i/>
          <w:iCs/>
          <w:spacing w:val="-1"/>
        </w:rPr>
        <w:t xml:space="preserve"> </w:t>
      </w:r>
      <w:r w:rsidRPr="000A5184">
        <w:rPr>
          <w:i/>
          <w:iCs/>
        </w:rPr>
        <w:t>3:</w:t>
      </w:r>
      <w:r w:rsidRPr="000A5184">
        <w:rPr>
          <w:i/>
          <w:iCs/>
          <w:spacing w:val="-3"/>
        </w:rPr>
        <w:t xml:space="preserve"> </w:t>
      </w:r>
      <w:r w:rsidRPr="000A5184">
        <w:rPr>
          <w:i/>
          <w:iCs/>
        </w:rPr>
        <w:t>Auswirkungen</w:t>
      </w:r>
      <w:r w:rsidRPr="000A5184">
        <w:rPr>
          <w:i/>
          <w:iCs/>
          <w:spacing w:val="-1"/>
        </w:rPr>
        <w:t xml:space="preserve"> </w:t>
      </w:r>
      <w:r w:rsidRPr="000A5184">
        <w:rPr>
          <w:i/>
          <w:iCs/>
        </w:rPr>
        <w:t>des</w:t>
      </w:r>
      <w:r w:rsidRPr="000A5184">
        <w:rPr>
          <w:i/>
          <w:iCs/>
          <w:spacing w:val="-1"/>
        </w:rPr>
        <w:t xml:space="preserve"> </w:t>
      </w:r>
      <w:r w:rsidRPr="000A5184">
        <w:rPr>
          <w:i/>
          <w:iCs/>
        </w:rPr>
        <w:t>Zeitverständnisses auf</w:t>
      </w:r>
      <w:r w:rsidRPr="000A5184">
        <w:rPr>
          <w:i/>
          <w:iCs/>
          <w:spacing w:val="-1"/>
        </w:rPr>
        <w:t xml:space="preserve"> </w:t>
      </w:r>
      <w:r w:rsidRPr="000A5184">
        <w:rPr>
          <w:i/>
          <w:iCs/>
        </w:rPr>
        <w:t xml:space="preserve">das </w:t>
      </w:r>
      <w:r w:rsidRPr="000A5184">
        <w:rPr>
          <w:i/>
          <w:iCs/>
          <w:spacing w:val="-2"/>
        </w:rPr>
        <w:t>Arbeitsleben</w:t>
      </w:r>
    </w:p>
    <w:tbl>
      <w:tblPr>
        <w:tblStyle w:val="TableNormal"/>
        <w:tblW w:w="5000" w:type="pct"/>
        <w:tblBorders>
          <w:top w:val="single" w:sz="4" w:space="0" w:color="000000"/>
          <w:bottom w:val="single" w:sz="4" w:space="0" w:color="000000"/>
          <w:insideH w:val="single" w:sz="4" w:space="0" w:color="000000"/>
        </w:tblBorders>
        <w:tblLook w:val="01E0" w:firstRow="1" w:lastRow="1" w:firstColumn="1" w:lastColumn="1" w:noHBand="0" w:noVBand="0"/>
      </w:tblPr>
      <w:tblGrid>
        <w:gridCol w:w="4757"/>
        <w:gridCol w:w="4315"/>
      </w:tblGrid>
      <w:tr w:rsidR="00FF7799" w:rsidRPr="00E73F6F" w14:paraId="4B8F98A9" w14:textId="77777777" w:rsidTr="00CD7F6A">
        <w:trPr>
          <w:trHeight w:val="308"/>
          <w:tblHeader/>
        </w:trPr>
        <w:tc>
          <w:tcPr>
            <w:tcW w:w="2622" w:type="pct"/>
            <w:shd w:val="clear" w:color="auto" w:fill="FFC000"/>
          </w:tcPr>
          <w:p w14:paraId="4F052116" w14:textId="77777777" w:rsidR="00FF7799" w:rsidRPr="00E73F6F" w:rsidRDefault="00FF7799" w:rsidP="00A138DF">
            <w:pPr>
              <w:pStyle w:val="StandardText"/>
              <w:spacing w:after="120"/>
              <w:jc w:val="center"/>
              <w:rPr>
                <w:b/>
                <w:lang w:val="de-DE"/>
              </w:rPr>
            </w:pPr>
            <w:r w:rsidRPr="00E73F6F">
              <w:rPr>
                <w:b/>
                <w:lang w:val="de-DE"/>
              </w:rPr>
              <w:t>Monochrones Zeitverständnis</w:t>
            </w:r>
          </w:p>
        </w:tc>
        <w:tc>
          <w:tcPr>
            <w:tcW w:w="2378" w:type="pct"/>
            <w:shd w:val="clear" w:color="auto" w:fill="FFC000"/>
          </w:tcPr>
          <w:p w14:paraId="12D33471" w14:textId="77777777" w:rsidR="00FF7799" w:rsidRPr="00E73F6F" w:rsidRDefault="00FF7799" w:rsidP="00A138DF">
            <w:pPr>
              <w:pStyle w:val="StandardText"/>
              <w:spacing w:after="120"/>
              <w:jc w:val="center"/>
              <w:rPr>
                <w:b/>
                <w:lang w:val="de-DE"/>
              </w:rPr>
            </w:pPr>
            <w:r w:rsidRPr="00E73F6F">
              <w:rPr>
                <w:b/>
                <w:lang w:val="de-DE"/>
              </w:rPr>
              <w:t>Polychrones</w:t>
            </w:r>
            <w:r w:rsidRPr="00E73F6F">
              <w:rPr>
                <w:b/>
                <w:spacing w:val="-3"/>
                <w:lang w:val="de-DE"/>
              </w:rPr>
              <w:t xml:space="preserve"> </w:t>
            </w:r>
            <w:r w:rsidRPr="00E73F6F">
              <w:rPr>
                <w:b/>
                <w:lang w:val="de-DE"/>
              </w:rPr>
              <w:t>Zeitverständnis</w:t>
            </w:r>
          </w:p>
        </w:tc>
      </w:tr>
      <w:tr w:rsidR="00FF7799" w:rsidRPr="00E73F6F" w14:paraId="447D254E" w14:textId="77777777" w:rsidTr="00A138DF">
        <w:trPr>
          <w:trHeight w:val="443"/>
        </w:trPr>
        <w:tc>
          <w:tcPr>
            <w:tcW w:w="2622" w:type="pct"/>
          </w:tcPr>
          <w:p w14:paraId="5EE05B6B" w14:textId="77777777" w:rsidR="00FF7799" w:rsidRPr="00E73F6F" w:rsidRDefault="00FF7799" w:rsidP="000A5184">
            <w:pPr>
              <w:pStyle w:val="StandardTextAufzhlung"/>
              <w:ind w:left="1134"/>
              <w:jc w:val="left"/>
              <w:rPr>
                <w:lang w:val="de-DE"/>
              </w:rPr>
            </w:pPr>
            <w:r w:rsidRPr="00E73F6F">
              <w:rPr>
                <w:lang w:val="de-DE"/>
              </w:rPr>
              <w:t>Aufgaben</w:t>
            </w:r>
            <w:r w:rsidRPr="00E73F6F">
              <w:rPr>
                <w:spacing w:val="-10"/>
                <w:lang w:val="de-DE"/>
              </w:rPr>
              <w:t xml:space="preserve"> </w:t>
            </w:r>
            <w:r w:rsidRPr="00E73F6F">
              <w:rPr>
                <w:lang w:val="de-DE"/>
              </w:rPr>
              <w:t>werden</w:t>
            </w:r>
            <w:r w:rsidRPr="00E73F6F">
              <w:rPr>
                <w:spacing w:val="-10"/>
                <w:lang w:val="de-DE"/>
              </w:rPr>
              <w:t xml:space="preserve"> </w:t>
            </w:r>
            <w:r w:rsidRPr="00E73F6F">
              <w:rPr>
                <w:lang w:val="de-DE"/>
              </w:rPr>
              <w:t>nacheinander</w:t>
            </w:r>
            <w:r w:rsidRPr="00E73F6F">
              <w:rPr>
                <w:spacing w:val="40"/>
                <w:lang w:val="de-DE"/>
              </w:rPr>
              <w:t xml:space="preserve"> </w:t>
            </w:r>
            <w:r w:rsidRPr="00E73F6F">
              <w:rPr>
                <w:lang w:val="de-DE"/>
              </w:rPr>
              <w:t>bearbeitet</w:t>
            </w:r>
          </w:p>
        </w:tc>
        <w:tc>
          <w:tcPr>
            <w:tcW w:w="2378" w:type="pct"/>
          </w:tcPr>
          <w:p w14:paraId="601FF169" w14:textId="07A30240" w:rsidR="00FF7799" w:rsidRPr="00E73F6F" w:rsidRDefault="00FF7799" w:rsidP="000A5184">
            <w:pPr>
              <w:pStyle w:val="StandardTextAufzhlung"/>
              <w:ind w:left="1134"/>
              <w:jc w:val="left"/>
              <w:rPr>
                <w:lang w:val="de-DE"/>
              </w:rPr>
            </w:pPr>
            <w:r w:rsidRPr="00E73F6F">
              <w:rPr>
                <w:lang w:val="de-DE"/>
              </w:rPr>
              <w:t>Aufgaben</w:t>
            </w:r>
            <w:r w:rsidR="000A5184">
              <w:rPr>
                <w:lang w:val="de-DE"/>
              </w:rPr>
              <w:t xml:space="preserve"> </w:t>
            </w:r>
            <w:r w:rsidRPr="00E73F6F">
              <w:rPr>
                <w:lang w:val="de-DE"/>
              </w:rPr>
              <w:t>w</w:t>
            </w:r>
            <w:r w:rsidR="000A5184">
              <w:rPr>
                <w:lang w:val="de-DE"/>
              </w:rPr>
              <w:t>e</w:t>
            </w:r>
            <w:r w:rsidRPr="00E73F6F">
              <w:rPr>
                <w:lang w:val="de-DE"/>
              </w:rPr>
              <w:t>rden parallel</w:t>
            </w:r>
            <w:r w:rsidRPr="00E73F6F">
              <w:rPr>
                <w:spacing w:val="40"/>
                <w:lang w:val="de-DE"/>
              </w:rPr>
              <w:t xml:space="preserve"> </w:t>
            </w:r>
            <w:r w:rsidRPr="00E73F6F">
              <w:rPr>
                <w:lang w:val="de-DE"/>
              </w:rPr>
              <w:t>bearbeitet</w:t>
            </w:r>
          </w:p>
        </w:tc>
      </w:tr>
      <w:tr w:rsidR="00FF7799" w:rsidRPr="00E73F6F" w14:paraId="7BE580CE" w14:textId="77777777" w:rsidTr="00A138DF">
        <w:trPr>
          <w:trHeight w:val="879"/>
        </w:trPr>
        <w:tc>
          <w:tcPr>
            <w:tcW w:w="2622" w:type="pct"/>
          </w:tcPr>
          <w:p w14:paraId="100D0B36" w14:textId="77777777" w:rsidR="00FF7799" w:rsidRPr="00E73F6F" w:rsidRDefault="00D22D27" w:rsidP="000A5184">
            <w:pPr>
              <w:pStyle w:val="StandardTextAufzhlung"/>
              <w:ind w:left="1134"/>
              <w:jc w:val="left"/>
              <w:rPr>
                <w:lang w:val="de-DE"/>
              </w:rPr>
            </w:pPr>
            <w:r>
              <w:rPr>
                <w:lang w:val="de-DE"/>
              </w:rPr>
              <w:t xml:space="preserve">Mitarbeiter nehmen Zeitvorgaben </w:t>
            </w:r>
            <w:r w:rsidR="00FF7799" w:rsidRPr="00E73F6F">
              <w:rPr>
                <w:lang w:val="de-DE"/>
              </w:rPr>
              <w:t>(Fristen,</w:t>
            </w:r>
            <w:r w:rsidR="00FF7799" w:rsidRPr="00E73F6F">
              <w:rPr>
                <w:spacing w:val="40"/>
                <w:lang w:val="de-DE"/>
              </w:rPr>
              <w:t xml:space="preserve"> </w:t>
            </w:r>
            <w:r w:rsidR="00FF7799" w:rsidRPr="00E73F6F">
              <w:rPr>
                <w:lang w:val="de-DE"/>
              </w:rPr>
              <w:t>Zeitpläne</w:t>
            </w:r>
            <w:r>
              <w:rPr>
                <w:lang w:val="de-DE"/>
              </w:rPr>
              <w:t xml:space="preserve"> etc.</w:t>
            </w:r>
            <w:r w:rsidR="00FF7799" w:rsidRPr="00E73F6F">
              <w:rPr>
                <w:lang w:val="de-DE"/>
              </w:rPr>
              <w:t>) sehr ernst</w:t>
            </w:r>
          </w:p>
        </w:tc>
        <w:tc>
          <w:tcPr>
            <w:tcW w:w="2378" w:type="pct"/>
          </w:tcPr>
          <w:p w14:paraId="5F73E358" w14:textId="77777777" w:rsidR="00FF7799" w:rsidRPr="00E73F6F" w:rsidRDefault="00FF7799" w:rsidP="000A5184">
            <w:pPr>
              <w:pStyle w:val="StandardTextAufzhlung"/>
              <w:ind w:left="1134"/>
              <w:jc w:val="left"/>
              <w:rPr>
                <w:lang w:val="de-DE"/>
              </w:rPr>
            </w:pPr>
            <w:r w:rsidRPr="00E73F6F">
              <w:rPr>
                <w:lang w:val="de-DE"/>
              </w:rPr>
              <w:t>Mitarbeiter betrachten</w:t>
            </w:r>
            <w:r w:rsidRPr="00E73F6F">
              <w:rPr>
                <w:spacing w:val="40"/>
                <w:lang w:val="de-DE"/>
              </w:rPr>
              <w:t xml:space="preserve"> </w:t>
            </w:r>
            <w:r w:rsidRPr="00E73F6F">
              <w:rPr>
                <w:lang w:val="de-DE"/>
              </w:rPr>
              <w:t>Zeitvorgaben als ein Ziel, das</w:t>
            </w:r>
            <w:r w:rsidRPr="00E73F6F">
              <w:rPr>
                <w:spacing w:val="40"/>
                <w:lang w:val="de-DE"/>
              </w:rPr>
              <w:t xml:space="preserve"> </w:t>
            </w:r>
            <w:r w:rsidRPr="00E73F6F">
              <w:rPr>
                <w:lang w:val="de-DE"/>
              </w:rPr>
              <w:t>(wenn möglich) erreicht</w:t>
            </w:r>
            <w:r w:rsidRPr="00E73F6F">
              <w:rPr>
                <w:spacing w:val="1"/>
                <w:lang w:val="de-DE"/>
              </w:rPr>
              <w:t xml:space="preserve"> </w:t>
            </w:r>
            <w:r w:rsidRPr="00E73F6F">
              <w:rPr>
                <w:lang w:val="de-DE"/>
              </w:rPr>
              <w:t>werden sollte</w:t>
            </w:r>
          </w:p>
        </w:tc>
      </w:tr>
      <w:tr w:rsidR="00FF7799" w:rsidRPr="00E73F6F" w14:paraId="6CED3762" w14:textId="77777777" w:rsidTr="00A138DF">
        <w:trPr>
          <w:trHeight w:val="660"/>
        </w:trPr>
        <w:tc>
          <w:tcPr>
            <w:tcW w:w="2622" w:type="pct"/>
          </w:tcPr>
          <w:p w14:paraId="2E8B56DF" w14:textId="77777777" w:rsidR="00FF7799" w:rsidRPr="00E73F6F" w:rsidRDefault="00FF7799" w:rsidP="000A5184">
            <w:pPr>
              <w:pStyle w:val="StandardTextAufzhlung"/>
              <w:ind w:left="1134"/>
              <w:jc w:val="left"/>
              <w:rPr>
                <w:lang w:val="de-DE"/>
              </w:rPr>
            </w:pPr>
            <w:r w:rsidRPr="00E73F6F">
              <w:rPr>
                <w:lang w:val="de-DE"/>
              </w:rPr>
              <w:t>betonen</w:t>
            </w:r>
            <w:r w:rsidRPr="00E73F6F">
              <w:rPr>
                <w:spacing w:val="40"/>
                <w:lang w:val="de-DE"/>
              </w:rPr>
              <w:t xml:space="preserve"> </w:t>
            </w:r>
            <w:r w:rsidRPr="00E73F6F">
              <w:rPr>
                <w:lang w:val="de-DE"/>
              </w:rPr>
              <w:t>Schnelligkeit</w:t>
            </w:r>
            <w:r w:rsidRPr="00E73F6F">
              <w:rPr>
                <w:spacing w:val="40"/>
                <w:lang w:val="de-DE"/>
              </w:rPr>
              <w:t xml:space="preserve"> </w:t>
            </w:r>
            <w:r w:rsidRPr="00E73F6F">
              <w:rPr>
                <w:lang w:val="de-DE"/>
              </w:rPr>
              <w:t>in</w:t>
            </w:r>
            <w:r w:rsidRPr="00E73F6F">
              <w:rPr>
                <w:spacing w:val="40"/>
                <w:lang w:val="de-DE"/>
              </w:rPr>
              <w:t xml:space="preserve"> </w:t>
            </w:r>
            <w:r w:rsidRPr="00E73F6F">
              <w:rPr>
                <w:lang w:val="de-DE"/>
              </w:rPr>
              <w:t>der</w:t>
            </w:r>
            <w:r w:rsidRPr="00E73F6F">
              <w:rPr>
                <w:spacing w:val="40"/>
                <w:lang w:val="de-DE"/>
              </w:rPr>
              <w:t xml:space="preserve"> </w:t>
            </w:r>
            <w:r w:rsidRPr="00E73F6F">
              <w:rPr>
                <w:lang w:val="de-DE"/>
              </w:rPr>
              <w:t>Bearbeitung</w:t>
            </w:r>
          </w:p>
        </w:tc>
        <w:tc>
          <w:tcPr>
            <w:tcW w:w="2378" w:type="pct"/>
          </w:tcPr>
          <w:p w14:paraId="3290828D" w14:textId="77777777" w:rsidR="00FF7799" w:rsidRPr="00E73F6F" w:rsidRDefault="00FF7799" w:rsidP="000A5184">
            <w:pPr>
              <w:pStyle w:val="StandardTextAufzhlung"/>
              <w:ind w:left="1134"/>
              <w:jc w:val="left"/>
              <w:rPr>
                <w:lang w:val="de-DE"/>
              </w:rPr>
            </w:pPr>
            <w:r w:rsidRPr="00E73F6F">
              <w:rPr>
                <w:lang w:val="de-DE"/>
              </w:rPr>
              <w:t xml:space="preserve">Schnelligkeit </w:t>
            </w:r>
            <w:r w:rsidRPr="00E73F6F">
              <w:rPr>
                <w:spacing w:val="-5"/>
                <w:lang w:val="de-DE"/>
              </w:rPr>
              <w:t>in</w:t>
            </w:r>
            <w:r w:rsidRPr="00E73F6F">
              <w:rPr>
                <w:lang w:val="de-DE"/>
              </w:rPr>
              <w:t xml:space="preserve"> </w:t>
            </w:r>
            <w:r w:rsidRPr="00E73F6F">
              <w:rPr>
                <w:spacing w:val="-5"/>
                <w:lang w:val="de-DE"/>
              </w:rPr>
              <w:t xml:space="preserve">der </w:t>
            </w:r>
            <w:r w:rsidRPr="00E73F6F">
              <w:rPr>
                <w:lang w:val="de-DE"/>
              </w:rPr>
              <w:t>Bearbeitung</w:t>
            </w:r>
            <w:r w:rsidRPr="00E73F6F">
              <w:rPr>
                <w:spacing w:val="-10"/>
                <w:lang w:val="de-DE"/>
              </w:rPr>
              <w:t xml:space="preserve"> </w:t>
            </w:r>
            <w:r w:rsidRPr="00E73F6F">
              <w:rPr>
                <w:lang w:val="de-DE"/>
              </w:rPr>
              <w:t>gründet</w:t>
            </w:r>
            <w:r w:rsidRPr="00E73F6F">
              <w:rPr>
                <w:spacing w:val="-10"/>
                <w:lang w:val="de-DE"/>
              </w:rPr>
              <w:t xml:space="preserve"> </w:t>
            </w:r>
            <w:r w:rsidRPr="00E73F6F">
              <w:rPr>
                <w:lang w:val="de-DE"/>
              </w:rPr>
              <w:t>auf</w:t>
            </w:r>
            <w:r w:rsidRPr="00E73F6F">
              <w:rPr>
                <w:spacing w:val="-10"/>
                <w:lang w:val="de-DE"/>
              </w:rPr>
              <w:t xml:space="preserve"> </w:t>
            </w:r>
            <w:r w:rsidRPr="00E73F6F">
              <w:rPr>
                <w:lang w:val="de-DE"/>
              </w:rPr>
              <w:t>der</w:t>
            </w:r>
            <w:r w:rsidRPr="00E73F6F">
              <w:rPr>
                <w:spacing w:val="-10"/>
                <w:lang w:val="de-DE"/>
              </w:rPr>
              <w:t xml:space="preserve"> </w:t>
            </w:r>
            <w:r w:rsidRPr="00E73F6F">
              <w:rPr>
                <w:lang w:val="de-DE"/>
              </w:rPr>
              <w:t>Art</w:t>
            </w:r>
            <w:r w:rsidRPr="00E73F6F">
              <w:rPr>
                <w:spacing w:val="40"/>
                <w:lang w:val="de-DE"/>
              </w:rPr>
              <w:t xml:space="preserve"> </w:t>
            </w:r>
            <w:r w:rsidRPr="00E73F6F">
              <w:rPr>
                <w:lang w:val="de-DE"/>
              </w:rPr>
              <w:t>der</w:t>
            </w:r>
            <w:r w:rsidRPr="00E73F6F">
              <w:rPr>
                <w:spacing w:val="-7"/>
                <w:lang w:val="de-DE"/>
              </w:rPr>
              <w:t xml:space="preserve"> </w:t>
            </w:r>
            <w:r w:rsidRPr="00E73F6F">
              <w:rPr>
                <w:lang w:val="de-DE"/>
              </w:rPr>
              <w:t>Beziehung</w:t>
            </w:r>
          </w:p>
        </w:tc>
      </w:tr>
      <w:tr w:rsidR="00FF7799" w:rsidRPr="00E73F6F" w14:paraId="507C3F1E" w14:textId="77777777" w:rsidTr="00A138DF">
        <w:trPr>
          <w:trHeight w:val="440"/>
        </w:trPr>
        <w:tc>
          <w:tcPr>
            <w:tcW w:w="2622" w:type="pct"/>
          </w:tcPr>
          <w:p w14:paraId="3DB6D91F" w14:textId="7CEBCE7C" w:rsidR="00FF7799" w:rsidRPr="00E73F6F" w:rsidRDefault="00FF7799" w:rsidP="000A5184">
            <w:pPr>
              <w:pStyle w:val="StandardTextAufzhlung"/>
              <w:ind w:left="1134"/>
              <w:jc w:val="left"/>
              <w:rPr>
                <w:lang w:val="de-DE"/>
              </w:rPr>
            </w:pPr>
            <w:r w:rsidRPr="00E73F6F">
              <w:rPr>
                <w:lang w:val="de-DE"/>
              </w:rPr>
              <w:t xml:space="preserve">Tendenz </w:t>
            </w:r>
            <w:r w:rsidRPr="00E73F6F">
              <w:rPr>
                <w:spacing w:val="-5"/>
                <w:lang w:val="de-DE"/>
              </w:rPr>
              <w:t>zu</w:t>
            </w:r>
            <w:r w:rsidRPr="00E73F6F">
              <w:rPr>
                <w:lang w:val="de-DE"/>
              </w:rPr>
              <w:t xml:space="preserve"> kurzfristigen</w:t>
            </w:r>
            <w:r w:rsidR="000A5184">
              <w:rPr>
                <w:lang w:val="de-DE"/>
              </w:rPr>
              <w:t xml:space="preserve"> </w:t>
            </w:r>
            <w:r w:rsidRPr="00E73F6F">
              <w:rPr>
                <w:lang w:val="de-DE"/>
              </w:rPr>
              <w:t>Beziehungen</w:t>
            </w:r>
          </w:p>
        </w:tc>
        <w:tc>
          <w:tcPr>
            <w:tcW w:w="2378" w:type="pct"/>
          </w:tcPr>
          <w:p w14:paraId="2AB45B12" w14:textId="77777777" w:rsidR="00FF7799" w:rsidRPr="00E73F6F" w:rsidRDefault="00FF7799" w:rsidP="000A5184">
            <w:pPr>
              <w:pStyle w:val="StandardTextAufzhlung"/>
              <w:ind w:left="1134"/>
              <w:jc w:val="left"/>
              <w:rPr>
                <w:lang w:val="de-DE"/>
              </w:rPr>
            </w:pPr>
            <w:r w:rsidRPr="00E73F6F">
              <w:rPr>
                <w:lang w:val="de-DE"/>
              </w:rPr>
              <w:t xml:space="preserve">Tendenz </w:t>
            </w:r>
            <w:r w:rsidRPr="00E73F6F">
              <w:rPr>
                <w:spacing w:val="-5"/>
                <w:lang w:val="de-DE"/>
              </w:rPr>
              <w:t>zu</w:t>
            </w:r>
            <w:r w:rsidRPr="00E73F6F">
              <w:rPr>
                <w:lang w:val="de-DE"/>
              </w:rPr>
              <w:t xml:space="preserve"> langfristigen</w:t>
            </w:r>
          </w:p>
          <w:p w14:paraId="64168F17" w14:textId="77777777" w:rsidR="00FF7799" w:rsidRPr="00E73F6F" w:rsidRDefault="00FF7799" w:rsidP="000A5184">
            <w:pPr>
              <w:pStyle w:val="StandardTextAufzhlung"/>
              <w:numPr>
                <w:ilvl w:val="0"/>
                <w:numId w:val="0"/>
              </w:numPr>
              <w:ind w:left="1134"/>
              <w:jc w:val="left"/>
              <w:rPr>
                <w:lang w:val="de-DE"/>
              </w:rPr>
            </w:pPr>
            <w:r w:rsidRPr="00E73F6F">
              <w:rPr>
                <w:lang w:val="de-DE"/>
              </w:rPr>
              <w:t>Beziehungen</w:t>
            </w:r>
          </w:p>
        </w:tc>
      </w:tr>
      <w:tr w:rsidR="00FF7799" w:rsidRPr="00E73F6F" w14:paraId="7BD02D39" w14:textId="77777777" w:rsidTr="00A138DF">
        <w:trPr>
          <w:trHeight w:val="657"/>
        </w:trPr>
        <w:tc>
          <w:tcPr>
            <w:tcW w:w="2622" w:type="pct"/>
          </w:tcPr>
          <w:p w14:paraId="7411AB3D" w14:textId="574AC0AF" w:rsidR="00FF7799" w:rsidRPr="00E73F6F" w:rsidRDefault="00FF7799" w:rsidP="000A5184">
            <w:pPr>
              <w:pStyle w:val="StandardTextAufzhlung"/>
              <w:ind w:left="1134"/>
              <w:jc w:val="left"/>
              <w:rPr>
                <w:lang w:val="de-DE"/>
              </w:rPr>
            </w:pPr>
            <w:r w:rsidRPr="00E73F6F">
              <w:rPr>
                <w:lang w:val="de-DE"/>
              </w:rPr>
              <w:t xml:space="preserve">Wählen seltener </w:t>
            </w:r>
            <w:r w:rsidRPr="00E73F6F">
              <w:rPr>
                <w:spacing w:val="-4"/>
                <w:lang w:val="de-DE"/>
              </w:rPr>
              <w:t>den</w:t>
            </w:r>
            <w:r w:rsidRPr="00E73F6F">
              <w:rPr>
                <w:spacing w:val="40"/>
                <w:lang w:val="de-DE"/>
              </w:rPr>
              <w:t xml:space="preserve"> </w:t>
            </w:r>
            <w:r w:rsidRPr="00E73F6F">
              <w:rPr>
                <w:lang w:val="de-DE"/>
              </w:rPr>
              <w:t>interessenorientierten</w:t>
            </w:r>
            <w:r w:rsidR="000A5184">
              <w:rPr>
                <w:lang w:val="de-DE"/>
              </w:rPr>
              <w:t xml:space="preserve"> </w:t>
            </w:r>
            <w:r w:rsidRPr="00E73F6F">
              <w:rPr>
                <w:lang w:val="de-DE"/>
              </w:rPr>
              <w:t>Konfliktstil</w:t>
            </w:r>
          </w:p>
        </w:tc>
        <w:tc>
          <w:tcPr>
            <w:tcW w:w="2378" w:type="pct"/>
          </w:tcPr>
          <w:p w14:paraId="64E3375F" w14:textId="77777777" w:rsidR="00FF7799" w:rsidRPr="00E73F6F" w:rsidRDefault="00FF7799" w:rsidP="000A5184">
            <w:pPr>
              <w:pStyle w:val="StandardTextAufzhlung"/>
              <w:ind w:left="1134"/>
              <w:jc w:val="left"/>
              <w:rPr>
                <w:lang w:val="de-DE"/>
              </w:rPr>
            </w:pPr>
            <w:r w:rsidRPr="00E73F6F">
              <w:rPr>
                <w:lang w:val="de-DE"/>
              </w:rPr>
              <w:t xml:space="preserve">Wählen häufiger </w:t>
            </w:r>
            <w:r w:rsidRPr="00E73F6F">
              <w:rPr>
                <w:spacing w:val="-4"/>
                <w:lang w:val="de-DE"/>
              </w:rPr>
              <w:t>den</w:t>
            </w:r>
            <w:r w:rsidRPr="00E73F6F">
              <w:rPr>
                <w:spacing w:val="40"/>
                <w:lang w:val="de-DE"/>
              </w:rPr>
              <w:t xml:space="preserve"> </w:t>
            </w:r>
            <w:r w:rsidRPr="00E73F6F">
              <w:rPr>
                <w:lang w:val="de-DE"/>
              </w:rPr>
              <w:t>interessenorientierten Konfliktstil</w:t>
            </w:r>
          </w:p>
        </w:tc>
      </w:tr>
    </w:tbl>
    <w:p w14:paraId="7C63CB41" w14:textId="77777777" w:rsidR="00FF7799" w:rsidRPr="00E73F6F" w:rsidRDefault="00FF7799" w:rsidP="00862DBA">
      <w:pPr>
        <w:spacing w:before="8"/>
        <w:rPr>
          <w:i/>
          <w:sz w:val="24"/>
          <w:szCs w:val="24"/>
        </w:rPr>
      </w:pPr>
    </w:p>
    <w:p w14:paraId="1B797E04" w14:textId="77777777" w:rsidR="00FF7799" w:rsidRPr="00E73F6F" w:rsidRDefault="00FF7799" w:rsidP="00A138DF">
      <w:pPr>
        <w:pStyle w:val="StandardText"/>
      </w:pPr>
      <w:r w:rsidRPr="00E73F6F">
        <w:t>Für die Unternehmenskultur gilt im Besonderen, was für die Landeskultur im Allgemeinen</w:t>
      </w:r>
      <w:r w:rsidRPr="00E73F6F">
        <w:rPr>
          <w:spacing w:val="-12"/>
        </w:rPr>
        <w:t xml:space="preserve"> </w:t>
      </w:r>
      <w:r w:rsidRPr="00E73F6F">
        <w:t>beschrieben</w:t>
      </w:r>
      <w:r w:rsidRPr="00E73F6F">
        <w:rPr>
          <w:spacing w:val="-11"/>
        </w:rPr>
        <w:t xml:space="preserve"> </w:t>
      </w:r>
      <w:r w:rsidRPr="00E73F6F">
        <w:t>wurde:</w:t>
      </w:r>
      <w:r w:rsidRPr="00E73F6F">
        <w:rPr>
          <w:spacing w:val="-11"/>
        </w:rPr>
        <w:t xml:space="preserve"> </w:t>
      </w:r>
      <w:r w:rsidRPr="00E73F6F">
        <w:t>Für</w:t>
      </w:r>
      <w:r w:rsidRPr="00E73F6F">
        <w:rPr>
          <w:spacing w:val="-11"/>
        </w:rPr>
        <w:t xml:space="preserve"> </w:t>
      </w:r>
      <w:r w:rsidRPr="00E73F6F">
        <w:t>beide</w:t>
      </w:r>
      <w:r w:rsidRPr="00E73F6F">
        <w:rPr>
          <w:spacing w:val="-12"/>
        </w:rPr>
        <w:t xml:space="preserve"> </w:t>
      </w:r>
      <w:r w:rsidRPr="00E73F6F">
        <w:t>Konstrukte</w:t>
      </w:r>
      <w:r w:rsidRPr="00E73F6F">
        <w:rPr>
          <w:spacing w:val="-11"/>
        </w:rPr>
        <w:t xml:space="preserve"> </w:t>
      </w:r>
      <w:r w:rsidRPr="00E73F6F">
        <w:t>spielen</w:t>
      </w:r>
      <w:r w:rsidRPr="00E73F6F">
        <w:rPr>
          <w:spacing w:val="-11"/>
        </w:rPr>
        <w:t xml:space="preserve"> </w:t>
      </w:r>
      <w:r w:rsidRPr="00E73F6F">
        <w:t>Zeitverständnis</w:t>
      </w:r>
      <w:r w:rsidRPr="00E73F6F">
        <w:rPr>
          <w:spacing w:val="-11"/>
        </w:rPr>
        <w:t xml:space="preserve"> </w:t>
      </w:r>
      <w:r w:rsidRPr="00E73F6F">
        <w:t xml:space="preserve">und Zeitwahrnehmung eine prominente Rolle. Wie aus den Unternehmensleitlinien ablesbar, orientieren sich amerikanische Unternehmen stärker an dem für ihre Gesellschaft typischen „reduktionistischen“ </w:t>
      </w:r>
      <w:r w:rsidR="00D22D27">
        <w:sym w:font="Symbol" w:char="F0DE"/>
      </w:r>
      <w:r w:rsidR="00D22D27">
        <w:t xml:space="preserve"> </w:t>
      </w:r>
      <w:r w:rsidRPr="00E73F6F">
        <w:t>Weltbild. Es geht davon aus, dass zahlreiche Erscheinungsformen unseres Lebens prinzipiell erklärbar und damit beeinflussbar</w:t>
      </w:r>
      <w:r w:rsidRPr="00E73F6F">
        <w:rPr>
          <w:spacing w:val="30"/>
        </w:rPr>
        <w:t xml:space="preserve"> </w:t>
      </w:r>
      <w:r w:rsidRPr="00E73F6F">
        <w:t>sind.</w:t>
      </w:r>
      <w:r w:rsidRPr="00E73F6F">
        <w:rPr>
          <w:spacing w:val="31"/>
        </w:rPr>
        <w:t xml:space="preserve"> </w:t>
      </w:r>
      <w:r w:rsidRPr="00E73F6F">
        <w:t>Für</w:t>
      </w:r>
      <w:r w:rsidRPr="00E73F6F">
        <w:rPr>
          <w:spacing w:val="30"/>
        </w:rPr>
        <w:t xml:space="preserve"> </w:t>
      </w:r>
      <w:r w:rsidRPr="00E73F6F">
        <w:t>japanische</w:t>
      </w:r>
      <w:r w:rsidRPr="00E73F6F">
        <w:rPr>
          <w:spacing w:val="31"/>
        </w:rPr>
        <w:t xml:space="preserve"> </w:t>
      </w:r>
      <w:r w:rsidRPr="00E73F6F">
        <w:t>Unternehmen</w:t>
      </w:r>
      <w:r w:rsidRPr="00E73F6F">
        <w:rPr>
          <w:spacing w:val="30"/>
        </w:rPr>
        <w:t xml:space="preserve"> </w:t>
      </w:r>
      <w:r w:rsidRPr="00E73F6F">
        <w:t>hingegen</w:t>
      </w:r>
      <w:r w:rsidRPr="00E73F6F">
        <w:rPr>
          <w:spacing w:val="30"/>
        </w:rPr>
        <w:t xml:space="preserve"> </w:t>
      </w:r>
      <w:r w:rsidRPr="00E73F6F">
        <w:t>ist</w:t>
      </w:r>
      <w:r w:rsidRPr="00E73F6F">
        <w:rPr>
          <w:spacing w:val="30"/>
        </w:rPr>
        <w:t xml:space="preserve"> </w:t>
      </w:r>
      <w:r w:rsidRPr="00E73F6F">
        <w:t>eher</w:t>
      </w:r>
      <w:r w:rsidRPr="00E73F6F">
        <w:rPr>
          <w:spacing w:val="31"/>
        </w:rPr>
        <w:t xml:space="preserve"> </w:t>
      </w:r>
      <w:r w:rsidRPr="00E73F6F">
        <w:rPr>
          <w:spacing w:val="-5"/>
        </w:rPr>
        <w:t>das</w:t>
      </w:r>
      <w:r w:rsidR="00D22D27">
        <w:t xml:space="preserve"> </w:t>
      </w:r>
      <w:r w:rsidRPr="00E73F6F">
        <w:t>„holistische“ Weltbild charakteristisch, welches das geisteswissenschaftliche Verstehen an die Stelle von (naturwissenschaftlichem) Erklären setzt. Hinzu kommt ein zirkuläres Zeitverständnis, während amerikanische Unternehmen Zeit linear strukturieren und eher kurzfristige Perspektiven haben (vgl. Tab. 4). Das Weltbild europäischer Unternehmen ist demgegenüber variabler. Insgesamt gesehen</w:t>
      </w:r>
      <w:r w:rsidRPr="00E73F6F">
        <w:rPr>
          <w:spacing w:val="-12"/>
        </w:rPr>
        <w:t xml:space="preserve"> </w:t>
      </w:r>
      <w:r w:rsidRPr="00E73F6F">
        <w:t>tendiert</w:t>
      </w:r>
      <w:r w:rsidRPr="00E73F6F">
        <w:rPr>
          <w:spacing w:val="-11"/>
        </w:rPr>
        <w:t xml:space="preserve"> </w:t>
      </w:r>
      <w:r w:rsidRPr="00E73F6F">
        <w:t>es</w:t>
      </w:r>
      <w:r w:rsidRPr="00E73F6F">
        <w:rPr>
          <w:spacing w:val="-11"/>
        </w:rPr>
        <w:t xml:space="preserve"> </w:t>
      </w:r>
      <w:r w:rsidRPr="00E73F6F">
        <w:t>aber</w:t>
      </w:r>
      <w:r w:rsidRPr="00E73F6F">
        <w:rPr>
          <w:spacing w:val="-11"/>
        </w:rPr>
        <w:t xml:space="preserve"> </w:t>
      </w:r>
      <w:r w:rsidRPr="00E73F6F">
        <w:t>mehr</w:t>
      </w:r>
      <w:r w:rsidRPr="00E73F6F">
        <w:rPr>
          <w:spacing w:val="-12"/>
        </w:rPr>
        <w:t xml:space="preserve"> </w:t>
      </w:r>
      <w:r w:rsidRPr="00E73F6F">
        <w:t>zum</w:t>
      </w:r>
      <w:r w:rsidRPr="00E73F6F">
        <w:rPr>
          <w:spacing w:val="-11"/>
        </w:rPr>
        <w:t xml:space="preserve"> </w:t>
      </w:r>
      <w:r w:rsidRPr="00E73F6F">
        <w:t>Typ</w:t>
      </w:r>
      <w:r w:rsidRPr="00E73F6F">
        <w:rPr>
          <w:spacing w:val="-11"/>
        </w:rPr>
        <w:t xml:space="preserve"> </w:t>
      </w:r>
      <w:r w:rsidRPr="00E73F6F">
        <w:t>A,</w:t>
      </w:r>
      <w:r w:rsidRPr="00E73F6F">
        <w:rPr>
          <w:spacing w:val="-11"/>
        </w:rPr>
        <w:t xml:space="preserve"> </w:t>
      </w:r>
      <w:r w:rsidRPr="00E73F6F">
        <w:t>in</w:t>
      </w:r>
      <w:r w:rsidRPr="00E73F6F">
        <w:rPr>
          <w:spacing w:val="-12"/>
        </w:rPr>
        <w:t xml:space="preserve"> </w:t>
      </w:r>
      <w:r w:rsidRPr="00E73F6F">
        <w:t>dem</w:t>
      </w:r>
      <w:r w:rsidRPr="00E73F6F">
        <w:rPr>
          <w:spacing w:val="-11"/>
        </w:rPr>
        <w:t xml:space="preserve"> </w:t>
      </w:r>
      <w:r w:rsidRPr="00E73F6F">
        <w:t>soziale</w:t>
      </w:r>
      <w:r w:rsidRPr="00E73F6F">
        <w:rPr>
          <w:spacing w:val="-11"/>
        </w:rPr>
        <w:t xml:space="preserve"> </w:t>
      </w:r>
      <w:r w:rsidRPr="00E73F6F">
        <w:t>Effizienz</w:t>
      </w:r>
      <w:r w:rsidRPr="00E73F6F">
        <w:rPr>
          <w:spacing w:val="-11"/>
        </w:rPr>
        <w:t xml:space="preserve"> </w:t>
      </w:r>
      <w:r w:rsidRPr="00E73F6F">
        <w:t>und</w:t>
      </w:r>
      <w:r w:rsidRPr="00E73F6F">
        <w:rPr>
          <w:spacing w:val="-12"/>
        </w:rPr>
        <w:t xml:space="preserve"> </w:t>
      </w:r>
      <w:r w:rsidRPr="00E73F6F">
        <w:t>langfristige Existenzsicherung</w:t>
      </w:r>
      <w:r w:rsidRPr="00E73F6F">
        <w:rPr>
          <w:spacing w:val="-12"/>
        </w:rPr>
        <w:t xml:space="preserve"> </w:t>
      </w:r>
      <w:r w:rsidRPr="00E73F6F">
        <w:t>einen</w:t>
      </w:r>
      <w:r w:rsidRPr="00E73F6F">
        <w:rPr>
          <w:spacing w:val="-11"/>
        </w:rPr>
        <w:t xml:space="preserve"> </w:t>
      </w:r>
      <w:r w:rsidRPr="00E73F6F">
        <w:t>relativ</w:t>
      </w:r>
      <w:r w:rsidRPr="00E73F6F">
        <w:rPr>
          <w:spacing w:val="-11"/>
        </w:rPr>
        <w:t xml:space="preserve"> </w:t>
      </w:r>
      <w:r w:rsidRPr="00E73F6F">
        <w:t>großen</w:t>
      </w:r>
      <w:r w:rsidRPr="00E73F6F">
        <w:rPr>
          <w:spacing w:val="-11"/>
        </w:rPr>
        <w:t xml:space="preserve"> </w:t>
      </w:r>
      <w:r w:rsidRPr="00E73F6F">
        <w:t>Stellenwert</w:t>
      </w:r>
      <w:r w:rsidRPr="00E73F6F">
        <w:rPr>
          <w:spacing w:val="-12"/>
        </w:rPr>
        <w:t xml:space="preserve"> </w:t>
      </w:r>
      <w:r w:rsidRPr="00E73F6F">
        <w:t>haben.</w:t>
      </w:r>
      <w:r w:rsidRPr="00E73F6F">
        <w:rPr>
          <w:spacing w:val="-11"/>
        </w:rPr>
        <w:t xml:space="preserve"> </w:t>
      </w:r>
      <w:r w:rsidRPr="00E73F6F">
        <w:t>Beim</w:t>
      </w:r>
      <w:r w:rsidRPr="00E73F6F">
        <w:rPr>
          <w:spacing w:val="-11"/>
        </w:rPr>
        <w:t xml:space="preserve"> </w:t>
      </w:r>
      <w:r w:rsidRPr="00E73F6F">
        <w:t>Typ</w:t>
      </w:r>
      <w:r w:rsidRPr="00E73F6F">
        <w:rPr>
          <w:spacing w:val="-11"/>
        </w:rPr>
        <w:t xml:space="preserve"> </w:t>
      </w:r>
      <w:r w:rsidRPr="00E73F6F">
        <w:t>B</w:t>
      </w:r>
      <w:r w:rsidRPr="00E73F6F">
        <w:rPr>
          <w:spacing w:val="-12"/>
        </w:rPr>
        <w:t xml:space="preserve"> </w:t>
      </w:r>
      <w:r w:rsidRPr="00E73F6F">
        <w:t>dominieren die Ziele ökonomischer Effizienz sowie kurzfristig erreich- und kontrollierbarer Unternehmenserfolg (vgl. Bleicher 1990, S.13).</w:t>
      </w:r>
    </w:p>
    <w:p w14:paraId="1EE42D9B" w14:textId="77777777" w:rsidR="00FF7799" w:rsidRPr="00E73F6F" w:rsidRDefault="00FF7799" w:rsidP="00A138DF">
      <w:pPr>
        <w:pStyle w:val="StandardText"/>
      </w:pPr>
    </w:p>
    <w:p w14:paraId="32B65818" w14:textId="77777777" w:rsidR="00FF7799" w:rsidRPr="000A5184" w:rsidRDefault="00FF7799" w:rsidP="00A138DF">
      <w:pPr>
        <w:pStyle w:val="BeschriftungTab"/>
        <w:rPr>
          <w:i/>
          <w:iCs/>
        </w:rPr>
      </w:pPr>
      <w:r w:rsidRPr="000A5184">
        <w:rPr>
          <w:i/>
          <w:iCs/>
        </w:rPr>
        <w:t>Tab.</w:t>
      </w:r>
      <w:r w:rsidRPr="000A5184">
        <w:rPr>
          <w:i/>
          <w:iCs/>
          <w:spacing w:val="-2"/>
        </w:rPr>
        <w:t xml:space="preserve"> </w:t>
      </w:r>
      <w:r w:rsidRPr="000A5184">
        <w:rPr>
          <w:i/>
          <w:iCs/>
        </w:rPr>
        <w:t>4:</w:t>
      </w:r>
      <w:r w:rsidRPr="000A5184">
        <w:rPr>
          <w:i/>
          <w:iCs/>
          <w:spacing w:val="-4"/>
        </w:rPr>
        <w:t xml:space="preserve"> </w:t>
      </w:r>
      <w:r w:rsidRPr="000A5184">
        <w:rPr>
          <w:i/>
          <w:iCs/>
        </w:rPr>
        <w:t>Zeitverlauf,</w:t>
      </w:r>
      <w:r w:rsidRPr="000A5184">
        <w:rPr>
          <w:i/>
          <w:iCs/>
          <w:spacing w:val="-2"/>
        </w:rPr>
        <w:t xml:space="preserve"> </w:t>
      </w:r>
      <w:r w:rsidRPr="000A5184">
        <w:rPr>
          <w:i/>
          <w:iCs/>
        </w:rPr>
        <w:t>Weltbild</w:t>
      </w:r>
      <w:r w:rsidRPr="000A5184">
        <w:rPr>
          <w:i/>
          <w:iCs/>
          <w:spacing w:val="-3"/>
        </w:rPr>
        <w:t xml:space="preserve"> </w:t>
      </w:r>
      <w:r w:rsidRPr="000A5184">
        <w:rPr>
          <w:i/>
          <w:iCs/>
        </w:rPr>
        <w:t>und</w:t>
      </w:r>
      <w:r w:rsidRPr="000A5184">
        <w:rPr>
          <w:i/>
          <w:iCs/>
          <w:spacing w:val="-2"/>
        </w:rPr>
        <w:t xml:space="preserve"> Unternehmenskultur</w:t>
      </w:r>
    </w:p>
    <w:tbl>
      <w:tblPr>
        <w:tblStyle w:val="TableNormal"/>
        <w:tblW w:w="5000" w:type="pct"/>
        <w:tblBorders>
          <w:top w:val="single" w:sz="4" w:space="0" w:color="auto"/>
          <w:bottom w:val="single" w:sz="4" w:space="0" w:color="auto"/>
          <w:insideH w:val="single" w:sz="4" w:space="0" w:color="auto"/>
        </w:tblBorders>
        <w:tblLook w:val="01E0" w:firstRow="1" w:lastRow="1" w:firstColumn="1" w:lastColumn="1" w:noHBand="0" w:noVBand="0"/>
      </w:tblPr>
      <w:tblGrid>
        <w:gridCol w:w="4536"/>
        <w:gridCol w:w="4536"/>
      </w:tblGrid>
      <w:tr w:rsidR="00FF7799" w:rsidRPr="00E73F6F" w14:paraId="04F6A619" w14:textId="77777777" w:rsidTr="00140268">
        <w:trPr>
          <w:trHeight w:val="1205"/>
          <w:tblHeader/>
        </w:trPr>
        <w:tc>
          <w:tcPr>
            <w:tcW w:w="2500" w:type="pct"/>
            <w:shd w:val="clear" w:color="auto" w:fill="FFC000"/>
          </w:tcPr>
          <w:p w14:paraId="185E60D2" w14:textId="77777777" w:rsidR="00FF7799" w:rsidRPr="00E73F6F" w:rsidRDefault="00FF7799" w:rsidP="00140268">
            <w:pPr>
              <w:spacing w:before="120" w:after="120"/>
              <w:jc w:val="center"/>
              <w:rPr>
                <w:b/>
                <w:sz w:val="24"/>
                <w:szCs w:val="24"/>
                <w:lang w:val="de-DE"/>
              </w:rPr>
            </w:pPr>
            <w:r w:rsidRPr="00E73F6F">
              <w:rPr>
                <w:b/>
                <w:spacing w:val="-2"/>
                <w:sz w:val="24"/>
                <w:szCs w:val="24"/>
                <w:lang w:val="de-DE"/>
              </w:rPr>
              <w:lastRenderedPageBreak/>
              <w:t>Reduktionistisches</w:t>
            </w:r>
            <w:r w:rsidRPr="00E73F6F">
              <w:rPr>
                <w:b/>
                <w:spacing w:val="24"/>
                <w:sz w:val="24"/>
                <w:szCs w:val="24"/>
                <w:lang w:val="de-DE"/>
              </w:rPr>
              <w:t xml:space="preserve"> </w:t>
            </w:r>
            <w:r w:rsidRPr="00E73F6F">
              <w:rPr>
                <w:b/>
                <w:spacing w:val="-2"/>
                <w:sz w:val="24"/>
                <w:szCs w:val="24"/>
                <w:lang w:val="de-DE"/>
              </w:rPr>
              <w:t>Weltbild</w:t>
            </w:r>
          </w:p>
          <w:p w14:paraId="77B5126E" w14:textId="77777777" w:rsidR="00FF7799" w:rsidRPr="00E73F6F" w:rsidRDefault="00FF7799" w:rsidP="00140268">
            <w:pPr>
              <w:spacing w:before="61"/>
              <w:jc w:val="center"/>
              <w:rPr>
                <w:sz w:val="24"/>
                <w:szCs w:val="24"/>
                <w:lang w:val="de-DE"/>
              </w:rPr>
            </w:pPr>
            <w:r w:rsidRPr="00E73F6F">
              <w:rPr>
                <w:sz w:val="24"/>
                <w:szCs w:val="24"/>
                <w:lang w:val="de-DE"/>
              </w:rPr>
              <w:t>(=</w:t>
            </w:r>
            <w:r w:rsidRPr="00E73F6F">
              <w:rPr>
                <w:spacing w:val="-4"/>
                <w:sz w:val="24"/>
                <w:szCs w:val="24"/>
                <w:lang w:val="de-DE"/>
              </w:rPr>
              <w:t xml:space="preserve"> </w:t>
            </w:r>
            <w:r w:rsidRPr="00E73F6F">
              <w:rPr>
                <w:sz w:val="24"/>
                <w:szCs w:val="24"/>
                <w:lang w:val="de-DE"/>
              </w:rPr>
              <w:t>erklärbare</w:t>
            </w:r>
            <w:r w:rsidRPr="00E73F6F">
              <w:rPr>
                <w:spacing w:val="-6"/>
                <w:sz w:val="24"/>
                <w:szCs w:val="24"/>
                <w:lang w:val="de-DE"/>
              </w:rPr>
              <w:t xml:space="preserve"> </w:t>
            </w:r>
            <w:r w:rsidRPr="00E73F6F">
              <w:rPr>
                <w:spacing w:val="-2"/>
                <w:sz w:val="24"/>
                <w:szCs w:val="24"/>
                <w:lang w:val="de-DE"/>
              </w:rPr>
              <w:t>Welt)</w:t>
            </w:r>
          </w:p>
          <w:p w14:paraId="7891045D" w14:textId="77777777" w:rsidR="00FF7799" w:rsidRPr="00E73F6F" w:rsidRDefault="00FF7799" w:rsidP="00862DBA">
            <w:pPr>
              <w:spacing w:before="56"/>
              <w:jc w:val="center"/>
              <w:rPr>
                <w:b/>
                <w:sz w:val="24"/>
                <w:szCs w:val="24"/>
                <w:lang w:val="de-DE"/>
              </w:rPr>
            </w:pPr>
            <w:r w:rsidRPr="00E73F6F">
              <w:rPr>
                <w:b/>
                <w:sz w:val="24"/>
                <w:szCs w:val="24"/>
                <w:lang w:val="de-DE"/>
              </w:rPr>
              <w:t>Typ</w:t>
            </w:r>
            <w:r w:rsidRPr="00E73F6F">
              <w:rPr>
                <w:b/>
                <w:spacing w:val="-3"/>
                <w:sz w:val="24"/>
                <w:szCs w:val="24"/>
                <w:lang w:val="de-DE"/>
              </w:rPr>
              <w:t xml:space="preserve"> </w:t>
            </w:r>
            <w:r w:rsidRPr="00E73F6F">
              <w:rPr>
                <w:b/>
                <w:spacing w:val="-10"/>
                <w:sz w:val="24"/>
                <w:szCs w:val="24"/>
                <w:lang w:val="de-DE"/>
              </w:rPr>
              <w:t>B</w:t>
            </w:r>
          </w:p>
        </w:tc>
        <w:tc>
          <w:tcPr>
            <w:tcW w:w="2500" w:type="pct"/>
            <w:shd w:val="clear" w:color="auto" w:fill="FFC000"/>
          </w:tcPr>
          <w:p w14:paraId="6E614E1B" w14:textId="77777777" w:rsidR="00FF7799" w:rsidRPr="00E73F6F" w:rsidRDefault="00FF7799" w:rsidP="00140268">
            <w:pPr>
              <w:spacing w:before="120" w:after="120"/>
              <w:jc w:val="center"/>
              <w:rPr>
                <w:b/>
                <w:sz w:val="24"/>
                <w:szCs w:val="24"/>
                <w:lang w:val="de-DE"/>
              </w:rPr>
            </w:pPr>
            <w:r w:rsidRPr="00E73F6F">
              <w:rPr>
                <w:b/>
                <w:sz w:val="24"/>
                <w:szCs w:val="24"/>
                <w:lang w:val="de-DE"/>
              </w:rPr>
              <w:t>Holistisches</w:t>
            </w:r>
            <w:r w:rsidRPr="00E73F6F">
              <w:rPr>
                <w:b/>
                <w:spacing w:val="-9"/>
                <w:sz w:val="24"/>
                <w:szCs w:val="24"/>
                <w:lang w:val="de-DE"/>
              </w:rPr>
              <w:t xml:space="preserve"> </w:t>
            </w:r>
            <w:r w:rsidRPr="00E73F6F">
              <w:rPr>
                <w:b/>
                <w:spacing w:val="-2"/>
                <w:sz w:val="24"/>
                <w:szCs w:val="24"/>
                <w:lang w:val="de-DE"/>
              </w:rPr>
              <w:t>Weltbild</w:t>
            </w:r>
          </w:p>
          <w:p w14:paraId="25FE586C" w14:textId="77777777" w:rsidR="00FF7799" w:rsidRPr="00E73F6F" w:rsidRDefault="00FF7799" w:rsidP="00140268">
            <w:pPr>
              <w:spacing w:before="61"/>
              <w:jc w:val="center"/>
              <w:rPr>
                <w:sz w:val="24"/>
                <w:szCs w:val="24"/>
                <w:lang w:val="de-DE"/>
              </w:rPr>
            </w:pPr>
            <w:r w:rsidRPr="00E73F6F">
              <w:rPr>
                <w:sz w:val="24"/>
                <w:szCs w:val="24"/>
                <w:lang w:val="de-DE"/>
              </w:rPr>
              <w:t>(=</w:t>
            </w:r>
            <w:r w:rsidRPr="00E73F6F">
              <w:rPr>
                <w:spacing w:val="-4"/>
                <w:sz w:val="24"/>
                <w:szCs w:val="24"/>
                <w:lang w:val="de-DE"/>
              </w:rPr>
              <w:t xml:space="preserve"> </w:t>
            </w:r>
            <w:r w:rsidRPr="00E73F6F">
              <w:rPr>
                <w:sz w:val="24"/>
                <w:szCs w:val="24"/>
                <w:lang w:val="de-DE"/>
              </w:rPr>
              <w:t>verstehbare</w:t>
            </w:r>
            <w:r w:rsidRPr="00E73F6F">
              <w:rPr>
                <w:spacing w:val="-6"/>
                <w:sz w:val="24"/>
                <w:szCs w:val="24"/>
                <w:lang w:val="de-DE"/>
              </w:rPr>
              <w:t xml:space="preserve"> </w:t>
            </w:r>
            <w:r w:rsidRPr="00E73F6F">
              <w:rPr>
                <w:spacing w:val="-2"/>
                <w:sz w:val="24"/>
                <w:szCs w:val="24"/>
                <w:lang w:val="de-DE"/>
              </w:rPr>
              <w:t>Welt)</w:t>
            </w:r>
          </w:p>
          <w:p w14:paraId="2992EF64" w14:textId="77777777" w:rsidR="00FF7799" w:rsidRPr="00E73F6F" w:rsidRDefault="00FF7799" w:rsidP="00862DBA">
            <w:pPr>
              <w:spacing w:before="56"/>
              <w:jc w:val="center"/>
              <w:rPr>
                <w:b/>
                <w:sz w:val="24"/>
                <w:szCs w:val="24"/>
                <w:lang w:val="de-DE"/>
              </w:rPr>
            </w:pPr>
            <w:r w:rsidRPr="00E73F6F">
              <w:rPr>
                <w:b/>
                <w:sz w:val="24"/>
                <w:szCs w:val="24"/>
                <w:lang w:val="de-DE"/>
              </w:rPr>
              <w:t xml:space="preserve">Typ </w:t>
            </w:r>
            <w:r w:rsidRPr="00E73F6F">
              <w:rPr>
                <w:b/>
                <w:spacing w:val="-10"/>
                <w:sz w:val="24"/>
                <w:szCs w:val="24"/>
                <w:lang w:val="de-DE"/>
              </w:rPr>
              <w:t>A</w:t>
            </w:r>
          </w:p>
        </w:tc>
      </w:tr>
      <w:tr w:rsidR="00FF7799" w:rsidRPr="00E73F6F" w14:paraId="3B32291E" w14:textId="77777777" w:rsidTr="00140268">
        <w:trPr>
          <w:trHeight w:val="304"/>
        </w:trPr>
        <w:tc>
          <w:tcPr>
            <w:tcW w:w="5000" w:type="pct"/>
            <w:gridSpan w:val="2"/>
            <w:shd w:val="clear" w:color="auto" w:fill="FFF2CC" w:themeFill="accent4" w:themeFillTint="33"/>
          </w:tcPr>
          <w:p w14:paraId="054ECD99" w14:textId="77777777" w:rsidR="00FF7799" w:rsidRPr="00E73F6F" w:rsidRDefault="00FF7799" w:rsidP="00140268">
            <w:pPr>
              <w:spacing w:before="120" w:after="120"/>
              <w:jc w:val="center"/>
              <w:rPr>
                <w:b/>
                <w:sz w:val="24"/>
                <w:szCs w:val="24"/>
                <w:lang w:val="de-DE"/>
              </w:rPr>
            </w:pPr>
            <w:r w:rsidRPr="00E73F6F">
              <w:rPr>
                <w:b/>
                <w:spacing w:val="-2"/>
                <w:sz w:val="24"/>
                <w:szCs w:val="24"/>
                <w:lang w:val="de-DE"/>
              </w:rPr>
              <w:t>Lebensweltliche</w:t>
            </w:r>
            <w:r w:rsidRPr="00E73F6F">
              <w:rPr>
                <w:b/>
                <w:spacing w:val="18"/>
                <w:sz w:val="24"/>
                <w:szCs w:val="24"/>
                <w:lang w:val="de-DE"/>
              </w:rPr>
              <w:t xml:space="preserve"> </w:t>
            </w:r>
            <w:r w:rsidRPr="00E73F6F">
              <w:rPr>
                <w:b/>
                <w:spacing w:val="-2"/>
                <w:sz w:val="24"/>
                <w:szCs w:val="24"/>
                <w:lang w:val="de-DE"/>
              </w:rPr>
              <w:t>Grundlagen</w:t>
            </w:r>
          </w:p>
        </w:tc>
      </w:tr>
      <w:tr w:rsidR="00FF7799" w:rsidRPr="00E73F6F" w14:paraId="1EE239AD" w14:textId="77777777" w:rsidTr="00140268">
        <w:trPr>
          <w:trHeight w:val="307"/>
        </w:trPr>
        <w:tc>
          <w:tcPr>
            <w:tcW w:w="5000" w:type="pct"/>
            <w:gridSpan w:val="2"/>
          </w:tcPr>
          <w:p w14:paraId="0E604921" w14:textId="77777777" w:rsidR="00FF7799" w:rsidRPr="00E73F6F" w:rsidRDefault="00FF7799" w:rsidP="00140268">
            <w:pPr>
              <w:spacing w:before="61" w:after="60"/>
              <w:jc w:val="center"/>
              <w:rPr>
                <w:b/>
                <w:sz w:val="24"/>
                <w:szCs w:val="24"/>
                <w:lang w:val="de-DE"/>
              </w:rPr>
            </w:pPr>
            <w:r w:rsidRPr="00E73F6F">
              <w:rPr>
                <w:b/>
                <w:spacing w:val="-2"/>
                <w:sz w:val="24"/>
                <w:szCs w:val="24"/>
                <w:lang w:val="de-DE"/>
              </w:rPr>
              <w:t>Menschenbild</w:t>
            </w:r>
          </w:p>
        </w:tc>
      </w:tr>
      <w:tr w:rsidR="00FF7799" w:rsidRPr="00E73F6F" w14:paraId="535DA116" w14:textId="77777777" w:rsidTr="00140268">
        <w:trPr>
          <w:trHeight w:val="425"/>
        </w:trPr>
        <w:tc>
          <w:tcPr>
            <w:tcW w:w="2500" w:type="pct"/>
          </w:tcPr>
          <w:p w14:paraId="67CB6EA6" w14:textId="77777777" w:rsidR="00FF7799" w:rsidRPr="00E73F6F" w:rsidRDefault="00FF7799" w:rsidP="00140268">
            <w:pPr>
              <w:pStyle w:val="StandardText"/>
              <w:jc w:val="center"/>
              <w:rPr>
                <w:lang w:val="de-DE"/>
              </w:rPr>
            </w:pPr>
            <w:r w:rsidRPr="00E73F6F">
              <w:rPr>
                <w:lang w:val="de-DE"/>
              </w:rPr>
              <w:t>ökonomisch-rational</w:t>
            </w:r>
          </w:p>
        </w:tc>
        <w:tc>
          <w:tcPr>
            <w:tcW w:w="2500" w:type="pct"/>
          </w:tcPr>
          <w:p w14:paraId="0260B71E" w14:textId="77777777" w:rsidR="00FF7799" w:rsidRPr="00E73F6F" w:rsidRDefault="00FF7799" w:rsidP="00140268">
            <w:pPr>
              <w:pStyle w:val="StandardText"/>
              <w:jc w:val="center"/>
              <w:rPr>
                <w:lang w:val="de-DE"/>
              </w:rPr>
            </w:pPr>
            <w:r w:rsidRPr="00E73F6F">
              <w:rPr>
                <w:lang w:val="de-DE"/>
              </w:rPr>
              <w:t>sozial-komplex</w:t>
            </w:r>
          </w:p>
        </w:tc>
      </w:tr>
      <w:tr w:rsidR="00FF7799" w:rsidRPr="00E73F6F" w14:paraId="08E5CE30" w14:textId="77777777" w:rsidTr="00140268">
        <w:trPr>
          <w:trHeight w:val="240"/>
        </w:trPr>
        <w:tc>
          <w:tcPr>
            <w:tcW w:w="5000" w:type="pct"/>
            <w:gridSpan w:val="2"/>
          </w:tcPr>
          <w:p w14:paraId="49F9A2C2" w14:textId="77777777" w:rsidR="00FF7799" w:rsidRPr="00E73F6F" w:rsidRDefault="00FF7799" w:rsidP="00140268">
            <w:pPr>
              <w:spacing w:before="61" w:after="60"/>
              <w:jc w:val="center"/>
              <w:rPr>
                <w:b/>
                <w:sz w:val="24"/>
                <w:szCs w:val="24"/>
                <w:lang w:val="de-DE"/>
              </w:rPr>
            </w:pPr>
            <w:r w:rsidRPr="00E73F6F">
              <w:rPr>
                <w:b/>
                <w:spacing w:val="-2"/>
                <w:sz w:val="24"/>
                <w:szCs w:val="24"/>
                <w:lang w:val="de-DE"/>
              </w:rPr>
              <w:t>Raumbild</w:t>
            </w:r>
          </w:p>
        </w:tc>
      </w:tr>
      <w:tr w:rsidR="00FF7799" w:rsidRPr="00E73F6F" w14:paraId="20A948A0" w14:textId="77777777" w:rsidTr="00140268">
        <w:trPr>
          <w:trHeight w:val="384"/>
        </w:trPr>
        <w:tc>
          <w:tcPr>
            <w:tcW w:w="2500" w:type="pct"/>
          </w:tcPr>
          <w:p w14:paraId="7323B584" w14:textId="77777777" w:rsidR="00FF7799" w:rsidRPr="00E73F6F" w:rsidRDefault="00FF7799" w:rsidP="00140268">
            <w:pPr>
              <w:spacing w:before="56"/>
              <w:jc w:val="center"/>
              <w:rPr>
                <w:sz w:val="24"/>
                <w:szCs w:val="24"/>
                <w:lang w:val="de-DE"/>
              </w:rPr>
            </w:pPr>
            <w:r w:rsidRPr="00E73F6F">
              <w:rPr>
                <w:sz w:val="24"/>
                <w:szCs w:val="24"/>
                <w:lang w:val="de-DE"/>
              </w:rPr>
              <w:t>Suche</w:t>
            </w:r>
            <w:r w:rsidRPr="00E73F6F">
              <w:rPr>
                <w:spacing w:val="-8"/>
                <w:sz w:val="24"/>
                <w:szCs w:val="24"/>
                <w:lang w:val="de-DE"/>
              </w:rPr>
              <w:t xml:space="preserve"> </w:t>
            </w:r>
            <w:r w:rsidRPr="00E73F6F">
              <w:rPr>
                <w:sz w:val="24"/>
                <w:szCs w:val="24"/>
                <w:lang w:val="de-DE"/>
              </w:rPr>
              <w:t>nach</w:t>
            </w:r>
            <w:r w:rsidRPr="00E73F6F">
              <w:rPr>
                <w:spacing w:val="-2"/>
                <w:sz w:val="24"/>
                <w:szCs w:val="24"/>
                <w:lang w:val="de-DE"/>
              </w:rPr>
              <w:t xml:space="preserve"> Distanz, konzentrisch</w:t>
            </w:r>
          </w:p>
        </w:tc>
        <w:tc>
          <w:tcPr>
            <w:tcW w:w="2500" w:type="pct"/>
          </w:tcPr>
          <w:p w14:paraId="3BF77DFE" w14:textId="77777777" w:rsidR="00FF7799" w:rsidRPr="00E73F6F" w:rsidRDefault="00FF7799" w:rsidP="00140268">
            <w:pPr>
              <w:spacing w:before="58"/>
              <w:jc w:val="center"/>
              <w:rPr>
                <w:sz w:val="24"/>
                <w:szCs w:val="24"/>
                <w:lang w:val="de-DE"/>
              </w:rPr>
            </w:pPr>
            <w:r w:rsidRPr="00E73F6F">
              <w:rPr>
                <w:sz w:val="24"/>
                <w:szCs w:val="24"/>
                <w:lang w:val="de-DE"/>
              </w:rPr>
              <w:t>Suche</w:t>
            </w:r>
            <w:r w:rsidRPr="00E73F6F">
              <w:rPr>
                <w:spacing w:val="-6"/>
                <w:sz w:val="24"/>
                <w:szCs w:val="24"/>
                <w:lang w:val="de-DE"/>
              </w:rPr>
              <w:t xml:space="preserve"> </w:t>
            </w:r>
            <w:r w:rsidRPr="00E73F6F">
              <w:rPr>
                <w:sz w:val="24"/>
                <w:szCs w:val="24"/>
                <w:lang w:val="de-DE"/>
              </w:rPr>
              <w:t>nach</w:t>
            </w:r>
            <w:r w:rsidRPr="00E73F6F">
              <w:rPr>
                <w:spacing w:val="-3"/>
                <w:sz w:val="24"/>
                <w:szCs w:val="24"/>
                <w:lang w:val="de-DE"/>
              </w:rPr>
              <w:t xml:space="preserve"> </w:t>
            </w:r>
            <w:r w:rsidRPr="00E73F6F">
              <w:rPr>
                <w:sz w:val="24"/>
                <w:szCs w:val="24"/>
                <w:lang w:val="de-DE"/>
              </w:rPr>
              <w:t>Nähe,</w:t>
            </w:r>
            <w:r w:rsidRPr="00E73F6F">
              <w:rPr>
                <w:spacing w:val="-3"/>
                <w:sz w:val="24"/>
                <w:szCs w:val="24"/>
                <w:lang w:val="de-DE"/>
              </w:rPr>
              <w:t xml:space="preserve"> </w:t>
            </w:r>
            <w:r w:rsidRPr="00E73F6F">
              <w:rPr>
                <w:spacing w:val="-2"/>
                <w:sz w:val="24"/>
                <w:szCs w:val="24"/>
                <w:lang w:val="de-DE"/>
              </w:rPr>
              <w:t>föderalistisch</w:t>
            </w:r>
          </w:p>
        </w:tc>
      </w:tr>
      <w:tr w:rsidR="00FF7799" w:rsidRPr="00E73F6F" w14:paraId="42444EF3" w14:textId="77777777" w:rsidTr="00140268">
        <w:trPr>
          <w:trHeight w:val="304"/>
        </w:trPr>
        <w:tc>
          <w:tcPr>
            <w:tcW w:w="5000" w:type="pct"/>
            <w:gridSpan w:val="2"/>
          </w:tcPr>
          <w:p w14:paraId="1953E351" w14:textId="77777777" w:rsidR="00FF7799" w:rsidRPr="00E73F6F" w:rsidRDefault="00FF7799" w:rsidP="00140268">
            <w:pPr>
              <w:spacing w:before="61" w:after="60"/>
              <w:jc w:val="center"/>
              <w:rPr>
                <w:b/>
                <w:sz w:val="24"/>
                <w:szCs w:val="24"/>
                <w:lang w:val="de-DE"/>
              </w:rPr>
            </w:pPr>
            <w:r w:rsidRPr="00E73F6F">
              <w:rPr>
                <w:b/>
                <w:spacing w:val="-2"/>
                <w:sz w:val="24"/>
                <w:szCs w:val="24"/>
                <w:lang w:val="de-DE"/>
              </w:rPr>
              <w:t>Zeitbild</w:t>
            </w:r>
          </w:p>
        </w:tc>
      </w:tr>
      <w:tr w:rsidR="00FF7799" w:rsidRPr="00E73F6F" w14:paraId="35F09BF4" w14:textId="77777777" w:rsidTr="00140268">
        <w:trPr>
          <w:trHeight w:val="297"/>
        </w:trPr>
        <w:tc>
          <w:tcPr>
            <w:tcW w:w="2500" w:type="pct"/>
          </w:tcPr>
          <w:p w14:paraId="5195A6C7" w14:textId="77777777" w:rsidR="00FF7799" w:rsidRPr="00E73F6F" w:rsidRDefault="00FF7799" w:rsidP="00140268">
            <w:pPr>
              <w:spacing w:before="57"/>
              <w:jc w:val="center"/>
              <w:rPr>
                <w:sz w:val="24"/>
                <w:szCs w:val="24"/>
                <w:lang w:val="de-DE"/>
              </w:rPr>
            </w:pPr>
            <w:r w:rsidRPr="00E73F6F">
              <w:rPr>
                <w:sz w:val="24"/>
                <w:szCs w:val="24"/>
                <w:lang w:val="de-DE"/>
              </w:rPr>
              <w:t>linear,</w:t>
            </w:r>
            <w:r w:rsidRPr="00E73F6F">
              <w:rPr>
                <w:spacing w:val="-8"/>
                <w:sz w:val="24"/>
                <w:szCs w:val="24"/>
                <w:lang w:val="de-DE"/>
              </w:rPr>
              <w:t xml:space="preserve"> </w:t>
            </w:r>
            <w:r w:rsidRPr="00E73F6F">
              <w:rPr>
                <w:spacing w:val="-2"/>
                <w:sz w:val="24"/>
                <w:szCs w:val="24"/>
                <w:lang w:val="de-DE"/>
              </w:rPr>
              <w:t>kurzzeitlich</w:t>
            </w:r>
          </w:p>
        </w:tc>
        <w:tc>
          <w:tcPr>
            <w:tcW w:w="2500" w:type="pct"/>
          </w:tcPr>
          <w:p w14:paraId="752C0CB6" w14:textId="77777777" w:rsidR="00FF7799" w:rsidRPr="00E73F6F" w:rsidRDefault="00FF7799" w:rsidP="00140268">
            <w:pPr>
              <w:spacing w:before="57"/>
              <w:jc w:val="center"/>
              <w:rPr>
                <w:sz w:val="24"/>
                <w:szCs w:val="24"/>
                <w:lang w:val="de-DE"/>
              </w:rPr>
            </w:pPr>
            <w:r w:rsidRPr="00E73F6F">
              <w:rPr>
                <w:sz w:val="24"/>
                <w:szCs w:val="24"/>
                <w:lang w:val="de-DE"/>
              </w:rPr>
              <w:t>zirkulär,</w:t>
            </w:r>
            <w:r w:rsidRPr="00E73F6F">
              <w:rPr>
                <w:spacing w:val="-10"/>
                <w:sz w:val="24"/>
                <w:szCs w:val="24"/>
                <w:lang w:val="de-DE"/>
              </w:rPr>
              <w:t xml:space="preserve"> </w:t>
            </w:r>
            <w:r w:rsidRPr="00E73F6F">
              <w:rPr>
                <w:spacing w:val="-2"/>
                <w:sz w:val="24"/>
                <w:szCs w:val="24"/>
                <w:lang w:val="de-DE"/>
              </w:rPr>
              <w:t>langzeitlich</w:t>
            </w:r>
          </w:p>
        </w:tc>
      </w:tr>
      <w:tr w:rsidR="00FF7799" w:rsidRPr="00E73F6F" w14:paraId="6F6D204A" w14:textId="77777777" w:rsidTr="00140268">
        <w:trPr>
          <w:trHeight w:val="304"/>
        </w:trPr>
        <w:tc>
          <w:tcPr>
            <w:tcW w:w="5000" w:type="pct"/>
            <w:gridSpan w:val="2"/>
            <w:shd w:val="clear" w:color="auto" w:fill="FFF2CC" w:themeFill="accent4" w:themeFillTint="33"/>
          </w:tcPr>
          <w:p w14:paraId="6A9BA09A" w14:textId="77777777" w:rsidR="00FF7799" w:rsidRPr="00E73F6F" w:rsidRDefault="00FF7799" w:rsidP="00140268">
            <w:pPr>
              <w:spacing w:before="120" w:after="120"/>
              <w:jc w:val="center"/>
              <w:rPr>
                <w:b/>
                <w:sz w:val="24"/>
                <w:szCs w:val="24"/>
                <w:lang w:val="de-DE"/>
              </w:rPr>
            </w:pPr>
            <w:r w:rsidRPr="00E73F6F">
              <w:rPr>
                <w:b/>
                <w:spacing w:val="-2"/>
                <w:sz w:val="24"/>
                <w:szCs w:val="24"/>
                <w:lang w:val="de-DE"/>
              </w:rPr>
              <w:t>Strukturbild</w:t>
            </w:r>
          </w:p>
        </w:tc>
      </w:tr>
      <w:tr w:rsidR="00FF7799" w:rsidRPr="00E73F6F" w14:paraId="2D62CA7B" w14:textId="77777777" w:rsidTr="00140268">
        <w:trPr>
          <w:trHeight w:val="310"/>
        </w:trPr>
        <w:tc>
          <w:tcPr>
            <w:tcW w:w="2500" w:type="pct"/>
          </w:tcPr>
          <w:p w14:paraId="487CA9BF" w14:textId="77777777" w:rsidR="00FF7799" w:rsidRPr="00E73F6F" w:rsidRDefault="00FF7799" w:rsidP="00140268">
            <w:pPr>
              <w:spacing w:before="61"/>
              <w:jc w:val="center"/>
              <w:rPr>
                <w:sz w:val="24"/>
                <w:szCs w:val="24"/>
                <w:lang w:val="de-DE"/>
              </w:rPr>
            </w:pPr>
            <w:r w:rsidRPr="00E73F6F">
              <w:rPr>
                <w:spacing w:val="-2"/>
                <w:sz w:val="24"/>
                <w:szCs w:val="24"/>
                <w:lang w:val="de-DE"/>
              </w:rPr>
              <w:t>mono-</w:t>
            </w:r>
            <w:r w:rsidRPr="00E73F6F">
              <w:rPr>
                <w:spacing w:val="40"/>
                <w:sz w:val="24"/>
                <w:szCs w:val="24"/>
                <w:lang w:val="de-DE"/>
              </w:rPr>
              <w:t xml:space="preserve"> </w:t>
            </w:r>
            <w:r w:rsidRPr="00E73F6F">
              <w:rPr>
                <w:spacing w:val="-2"/>
                <w:sz w:val="24"/>
                <w:szCs w:val="24"/>
                <w:lang w:val="de-DE"/>
              </w:rPr>
              <w:t>interessenabhängig</w:t>
            </w:r>
          </w:p>
        </w:tc>
        <w:tc>
          <w:tcPr>
            <w:tcW w:w="2500" w:type="pct"/>
          </w:tcPr>
          <w:p w14:paraId="7188EFC2" w14:textId="77777777" w:rsidR="00FF7799" w:rsidRPr="00E73F6F" w:rsidRDefault="00FF7799" w:rsidP="00140268">
            <w:pPr>
              <w:spacing w:before="61"/>
              <w:jc w:val="center"/>
              <w:rPr>
                <w:sz w:val="24"/>
                <w:szCs w:val="24"/>
                <w:lang w:val="de-DE"/>
              </w:rPr>
            </w:pPr>
            <w:r w:rsidRPr="00E73F6F">
              <w:rPr>
                <w:spacing w:val="-2"/>
                <w:sz w:val="24"/>
                <w:szCs w:val="24"/>
                <w:lang w:val="de-DE"/>
              </w:rPr>
              <w:t>multi-interessenabhängig</w:t>
            </w:r>
          </w:p>
        </w:tc>
      </w:tr>
      <w:tr w:rsidR="00FF7799" w:rsidRPr="00E73F6F" w14:paraId="45BFEE65" w14:textId="77777777" w:rsidTr="00140268">
        <w:trPr>
          <w:trHeight w:val="303"/>
        </w:trPr>
        <w:tc>
          <w:tcPr>
            <w:tcW w:w="2500" w:type="pct"/>
          </w:tcPr>
          <w:p w14:paraId="41FEA4D4" w14:textId="77777777" w:rsidR="00FF7799" w:rsidRPr="00E73F6F" w:rsidRDefault="00FF7799" w:rsidP="00140268">
            <w:pPr>
              <w:spacing w:before="57"/>
              <w:jc w:val="center"/>
              <w:rPr>
                <w:sz w:val="24"/>
                <w:szCs w:val="24"/>
                <w:lang w:val="de-DE"/>
              </w:rPr>
            </w:pPr>
            <w:r w:rsidRPr="00E73F6F">
              <w:rPr>
                <w:spacing w:val="-2"/>
                <w:sz w:val="24"/>
                <w:szCs w:val="24"/>
                <w:lang w:val="de-DE"/>
              </w:rPr>
              <w:t>Stabilität</w:t>
            </w:r>
          </w:p>
        </w:tc>
        <w:tc>
          <w:tcPr>
            <w:tcW w:w="2500" w:type="pct"/>
          </w:tcPr>
          <w:p w14:paraId="6106322E" w14:textId="77777777" w:rsidR="00FF7799" w:rsidRPr="00E73F6F" w:rsidRDefault="00FF7799" w:rsidP="00140268">
            <w:pPr>
              <w:spacing w:before="57"/>
              <w:jc w:val="center"/>
              <w:rPr>
                <w:sz w:val="24"/>
                <w:szCs w:val="24"/>
                <w:lang w:val="de-DE"/>
              </w:rPr>
            </w:pPr>
            <w:r w:rsidRPr="00E73F6F">
              <w:rPr>
                <w:spacing w:val="-2"/>
                <w:sz w:val="24"/>
                <w:szCs w:val="24"/>
                <w:lang w:val="de-DE"/>
              </w:rPr>
              <w:t>Flexibilität</w:t>
            </w:r>
          </w:p>
        </w:tc>
      </w:tr>
      <w:tr w:rsidR="00FF7799" w:rsidRPr="00E73F6F" w14:paraId="6A125E3E" w14:textId="77777777" w:rsidTr="00140268">
        <w:trPr>
          <w:trHeight w:val="303"/>
        </w:trPr>
        <w:tc>
          <w:tcPr>
            <w:tcW w:w="2500" w:type="pct"/>
          </w:tcPr>
          <w:p w14:paraId="6F2970CE" w14:textId="77777777" w:rsidR="00FF7799" w:rsidRPr="00E73F6F" w:rsidRDefault="00FF7799" w:rsidP="00140268">
            <w:pPr>
              <w:spacing w:before="56"/>
              <w:jc w:val="center"/>
              <w:rPr>
                <w:sz w:val="24"/>
                <w:szCs w:val="24"/>
                <w:lang w:val="de-DE"/>
              </w:rPr>
            </w:pPr>
            <w:r w:rsidRPr="00E73F6F">
              <w:rPr>
                <w:spacing w:val="-2"/>
                <w:sz w:val="24"/>
                <w:szCs w:val="24"/>
                <w:lang w:val="de-DE"/>
              </w:rPr>
              <w:t>Inwelt-orientiert</w:t>
            </w:r>
          </w:p>
        </w:tc>
        <w:tc>
          <w:tcPr>
            <w:tcW w:w="2500" w:type="pct"/>
          </w:tcPr>
          <w:p w14:paraId="23D9800E" w14:textId="77777777" w:rsidR="00FF7799" w:rsidRPr="00E73F6F" w:rsidRDefault="00FF7799" w:rsidP="00140268">
            <w:pPr>
              <w:spacing w:before="56"/>
              <w:jc w:val="center"/>
              <w:rPr>
                <w:sz w:val="24"/>
                <w:szCs w:val="24"/>
                <w:lang w:val="de-DE"/>
              </w:rPr>
            </w:pPr>
            <w:r w:rsidRPr="00E73F6F">
              <w:rPr>
                <w:spacing w:val="-2"/>
                <w:sz w:val="24"/>
                <w:szCs w:val="24"/>
                <w:lang w:val="de-DE"/>
              </w:rPr>
              <w:t>Umwelt-orientiert</w:t>
            </w:r>
          </w:p>
        </w:tc>
      </w:tr>
      <w:tr w:rsidR="00FF7799" w:rsidRPr="00E73F6F" w14:paraId="19632A45" w14:textId="77777777" w:rsidTr="00140268">
        <w:trPr>
          <w:trHeight w:val="256"/>
        </w:trPr>
        <w:tc>
          <w:tcPr>
            <w:tcW w:w="2500" w:type="pct"/>
          </w:tcPr>
          <w:p w14:paraId="5DB66376" w14:textId="77777777" w:rsidR="00FF7799" w:rsidRPr="00E73F6F" w:rsidRDefault="00FF7799" w:rsidP="00140268">
            <w:pPr>
              <w:spacing w:before="57"/>
              <w:jc w:val="center"/>
              <w:rPr>
                <w:sz w:val="24"/>
                <w:szCs w:val="24"/>
                <w:lang w:val="de-DE"/>
              </w:rPr>
            </w:pPr>
            <w:r w:rsidRPr="00E73F6F">
              <w:rPr>
                <w:spacing w:val="-2"/>
                <w:sz w:val="24"/>
                <w:szCs w:val="24"/>
                <w:lang w:val="de-DE"/>
              </w:rPr>
              <w:t>arbeitsteilig</w:t>
            </w:r>
            <w:r w:rsidRPr="00E73F6F">
              <w:rPr>
                <w:spacing w:val="40"/>
                <w:sz w:val="24"/>
                <w:szCs w:val="24"/>
                <w:lang w:val="de-DE"/>
              </w:rPr>
              <w:t xml:space="preserve"> </w:t>
            </w:r>
            <w:r w:rsidRPr="00E73F6F">
              <w:rPr>
                <w:spacing w:val="-2"/>
                <w:sz w:val="24"/>
                <w:szCs w:val="24"/>
                <w:lang w:val="de-DE"/>
              </w:rPr>
              <w:t>gegliedert</w:t>
            </w:r>
          </w:p>
        </w:tc>
        <w:tc>
          <w:tcPr>
            <w:tcW w:w="2500" w:type="pct"/>
          </w:tcPr>
          <w:p w14:paraId="39129822" w14:textId="77777777" w:rsidR="00FF7799" w:rsidRPr="00E73F6F" w:rsidRDefault="00FF7799" w:rsidP="00140268">
            <w:pPr>
              <w:spacing w:before="57"/>
              <w:jc w:val="center"/>
              <w:rPr>
                <w:sz w:val="24"/>
                <w:szCs w:val="24"/>
                <w:lang w:val="de-DE"/>
              </w:rPr>
            </w:pPr>
            <w:r w:rsidRPr="00E73F6F">
              <w:rPr>
                <w:spacing w:val="-2"/>
                <w:sz w:val="24"/>
                <w:szCs w:val="24"/>
                <w:lang w:val="de-DE"/>
              </w:rPr>
              <w:t>integrativ-vernetzt</w:t>
            </w:r>
          </w:p>
        </w:tc>
      </w:tr>
      <w:tr w:rsidR="00FF7799" w:rsidRPr="00E73F6F" w14:paraId="63C2A6C2" w14:textId="77777777" w:rsidTr="00140268">
        <w:trPr>
          <w:trHeight w:val="298"/>
        </w:trPr>
        <w:tc>
          <w:tcPr>
            <w:tcW w:w="2500" w:type="pct"/>
          </w:tcPr>
          <w:p w14:paraId="0C594B59" w14:textId="77777777" w:rsidR="00FF7799" w:rsidRPr="00E73F6F" w:rsidRDefault="00FF7799" w:rsidP="00140268">
            <w:pPr>
              <w:spacing w:before="56"/>
              <w:jc w:val="center"/>
              <w:rPr>
                <w:sz w:val="24"/>
                <w:szCs w:val="24"/>
                <w:lang w:val="de-DE"/>
              </w:rPr>
            </w:pPr>
            <w:r w:rsidRPr="00E73F6F">
              <w:rPr>
                <w:spacing w:val="-2"/>
                <w:sz w:val="24"/>
                <w:szCs w:val="24"/>
                <w:lang w:val="de-DE"/>
              </w:rPr>
              <w:t>Misstrauen</w:t>
            </w:r>
          </w:p>
        </w:tc>
        <w:tc>
          <w:tcPr>
            <w:tcW w:w="2500" w:type="pct"/>
          </w:tcPr>
          <w:p w14:paraId="58AC443C" w14:textId="77777777" w:rsidR="00FF7799" w:rsidRPr="00E73F6F" w:rsidRDefault="00FF7799" w:rsidP="00140268">
            <w:pPr>
              <w:spacing w:before="56"/>
              <w:jc w:val="center"/>
              <w:rPr>
                <w:sz w:val="24"/>
                <w:szCs w:val="24"/>
                <w:lang w:val="de-DE"/>
              </w:rPr>
            </w:pPr>
            <w:r w:rsidRPr="00E73F6F">
              <w:rPr>
                <w:spacing w:val="-2"/>
                <w:sz w:val="24"/>
                <w:szCs w:val="24"/>
                <w:lang w:val="de-DE"/>
              </w:rPr>
              <w:t>Vertrauen</w:t>
            </w:r>
          </w:p>
        </w:tc>
      </w:tr>
      <w:tr w:rsidR="00FF7799" w:rsidRPr="00E73F6F" w14:paraId="17DA4347" w14:textId="77777777" w:rsidTr="00140268">
        <w:trPr>
          <w:trHeight w:val="304"/>
        </w:trPr>
        <w:tc>
          <w:tcPr>
            <w:tcW w:w="5000" w:type="pct"/>
            <w:gridSpan w:val="2"/>
            <w:shd w:val="clear" w:color="auto" w:fill="FFF2CC" w:themeFill="accent4" w:themeFillTint="33"/>
          </w:tcPr>
          <w:p w14:paraId="3D844F12" w14:textId="77777777" w:rsidR="00FF7799" w:rsidRPr="00E73F6F" w:rsidRDefault="00FF7799" w:rsidP="00140268">
            <w:pPr>
              <w:spacing w:before="120" w:after="120"/>
              <w:jc w:val="center"/>
              <w:rPr>
                <w:b/>
                <w:sz w:val="24"/>
                <w:szCs w:val="24"/>
                <w:lang w:val="de-DE"/>
              </w:rPr>
            </w:pPr>
            <w:r w:rsidRPr="00E73F6F">
              <w:rPr>
                <w:b/>
                <w:spacing w:val="-2"/>
                <w:sz w:val="24"/>
                <w:szCs w:val="24"/>
                <w:lang w:val="de-DE"/>
              </w:rPr>
              <w:t>Mitarbeiterbild</w:t>
            </w:r>
          </w:p>
        </w:tc>
      </w:tr>
      <w:tr w:rsidR="00FF7799" w:rsidRPr="00E73F6F" w14:paraId="43678B0A" w14:textId="77777777" w:rsidTr="00140268">
        <w:trPr>
          <w:trHeight w:val="307"/>
        </w:trPr>
        <w:tc>
          <w:tcPr>
            <w:tcW w:w="2500" w:type="pct"/>
          </w:tcPr>
          <w:p w14:paraId="2B53B730" w14:textId="77777777" w:rsidR="00FF7799" w:rsidRPr="00E73F6F" w:rsidRDefault="00FF7799" w:rsidP="00140268">
            <w:pPr>
              <w:spacing w:before="61"/>
              <w:jc w:val="center"/>
              <w:rPr>
                <w:sz w:val="24"/>
                <w:szCs w:val="24"/>
                <w:lang w:val="de-DE"/>
              </w:rPr>
            </w:pPr>
            <w:r w:rsidRPr="00E73F6F">
              <w:rPr>
                <w:spacing w:val="-2"/>
                <w:sz w:val="24"/>
                <w:szCs w:val="24"/>
                <w:lang w:val="de-DE"/>
              </w:rPr>
              <w:t>hierarchisch</w:t>
            </w:r>
          </w:p>
        </w:tc>
        <w:tc>
          <w:tcPr>
            <w:tcW w:w="2500" w:type="pct"/>
          </w:tcPr>
          <w:p w14:paraId="45A76F59" w14:textId="77777777" w:rsidR="00FF7799" w:rsidRPr="00E73F6F" w:rsidRDefault="00FF7799" w:rsidP="00140268">
            <w:pPr>
              <w:spacing w:before="61"/>
              <w:jc w:val="center"/>
              <w:rPr>
                <w:sz w:val="24"/>
                <w:szCs w:val="24"/>
                <w:lang w:val="de-DE"/>
              </w:rPr>
            </w:pPr>
            <w:r w:rsidRPr="00E73F6F">
              <w:rPr>
                <w:spacing w:val="-2"/>
                <w:sz w:val="24"/>
                <w:szCs w:val="24"/>
                <w:lang w:val="de-DE"/>
              </w:rPr>
              <w:t>professionell-vernetzt</w:t>
            </w:r>
          </w:p>
        </w:tc>
      </w:tr>
      <w:tr w:rsidR="00FF7799" w:rsidRPr="00E73F6F" w14:paraId="0D3E10E7" w14:textId="77777777" w:rsidTr="00140268">
        <w:trPr>
          <w:trHeight w:val="330"/>
        </w:trPr>
        <w:tc>
          <w:tcPr>
            <w:tcW w:w="2500" w:type="pct"/>
          </w:tcPr>
          <w:p w14:paraId="764DD313" w14:textId="77777777" w:rsidR="00FF7799" w:rsidRPr="00E73F6F" w:rsidRDefault="00FF7799" w:rsidP="00140268">
            <w:pPr>
              <w:spacing w:before="56"/>
              <w:jc w:val="center"/>
              <w:rPr>
                <w:sz w:val="24"/>
                <w:szCs w:val="24"/>
                <w:lang w:val="de-DE"/>
              </w:rPr>
            </w:pPr>
            <w:r w:rsidRPr="00E73F6F">
              <w:rPr>
                <w:spacing w:val="-2"/>
                <w:sz w:val="24"/>
                <w:szCs w:val="24"/>
                <w:lang w:val="de-DE"/>
              </w:rPr>
              <w:t>repetitiv-standardisiert</w:t>
            </w:r>
          </w:p>
        </w:tc>
        <w:tc>
          <w:tcPr>
            <w:tcW w:w="2500" w:type="pct"/>
          </w:tcPr>
          <w:p w14:paraId="22A774F1" w14:textId="77777777" w:rsidR="00FF7799" w:rsidRPr="00E73F6F" w:rsidRDefault="00FF7799" w:rsidP="00140268">
            <w:pPr>
              <w:spacing w:before="58"/>
              <w:jc w:val="center"/>
              <w:rPr>
                <w:sz w:val="24"/>
                <w:szCs w:val="24"/>
                <w:lang w:val="de-DE"/>
              </w:rPr>
            </w:pPr>
            <w:r w:rsidRPr="00E73F6F">
              <w:rPr>
                <w:spacing w:val="-2"/>
                <w:sz w:val="24"/>
                <w:szCs w:val="24"/>
                <w:lang w:val="de-DE"/>
              </w:rPr>
              <w:t>innovativ-differenziert</w:t>
            </w:r>
          </w:p>
        </w:tc>
      </w:tr>
      <w:tr w:rsidR="00FF7799" w:rsidRPr="00E73F6F" w14:paraId="137A082B" w14:textId="77777777" w:rsidTr="00140268">
        <w:trPr>
          <w:trHeight w:val="265"/>
        </w:trPr>
        <w:tc>
          <w:tcPr>
            <w:tcW w:w="2500" w:type="pct"/>
          </w:tcPr>
          <w:p w14:paraId="211B2F1C" w14:textId="77777777" w:rsidR="00FF7799" w:rsidRPr="00E73F6F" w:rsidRDefault="00FF7799" w:rsidP="00140268">
            <w:pPr>
              <w:spacing w:before="57"/>
              <w:jc w:val="center"/>
              <w:rPr>
                <w:sz w:val="24"/>
                <w:szCs w:val="24"/>
                <w:lang w:val="de-DE"/>
              </w:rPr>
            </w:pPr>
            <w:r w:rsidRPr="00E73F6F">
              <w:rPr>
                <w:sz w:val="24"/>
                <w:szCs w:val="24"/>
                <w:lang w:val="de-DE"/>
              </w:rPr>
              <w:t>Suche</w:t>
            </w:r>
            <w:r w:rsidRPr="00E73F6F">
              <w:rPr>
                <w:spacing w:val="-10"/>
                <w:sz w:val="24"/>
                <w:szCs w:val="24"/>
                <w:lang w:val="de-DE"/>
              </w:rPr>
              <w:t xml:space="preserve"> </w:t>
            </w:r>
            <w:r w:rsidRPr="00E73F6F">
              <w:rPr>
                <w:sz w:val="24"/>
                <w:szCs w:val="24"/>
                <w:lang w:val="de-DE"/>
              </w:rPr>
              <w:t>nach</w:t>
            </w:r>
            <w:r w:rsidRPr="00E73F6F">
              <w:rPr>
                <w:spacing w:val="40"/>
                <w:sz w:val="24"/>
                <w:szCs w:val="24"/>
                <w:lang w:val="de-DE"/>
              </w:rPr>
              <w:t xml:space="preserve"> </w:t>
            </w:r>
            <w:r w:rsidRPr="00E73F6F">
              <w:rPr>
                <w:spacing w:val="-2"/>
                <w:sz w:val="24"/>
                <w:szCs w:val="24"/>
                <w:lang w:val="de-DE"/>
              </w:rPr>
              <w:t>Lebenserhaltung</w:t>
            </w:r>
          </w:p>
        </w:tc>
        <w:tc>
          <w:tcPr>
            <w:tcW w:w="2500" w:type="pct"/>
          </w:tcPr>
          <w:p w14:paraId="2AEAF9B3" w14:textId="77777777" w:rsidR="00FF7799" w:rsidRPr="00E73F6F" w:rsidRDefault="00FF7799" w:rsidP="00140268">
            <w:pPr>
              <w:spacing w:before="57"/>
              <w:jc w:val="center"/>
              <w:rPr>
                <w:sz w:val="24"/>
                <w:szCs w:val="24"/>
                <w:lang w:val="de-DE"/>
              </w:rPr>
            </w:pPr>
            <w:r w:rsidRPr="00E73F6F">
              <w:rPr>
                <w:sz w:val="24"/>
                <w:szCs w:val="24"/>
                <w:lang w:val="de-DE"/>
              </w:rPr>
              <w:t>Suche</w:t>
            </w:r>
            <w:r w:rsidRPr="00E73F6F">
              <w:rPr>
                <w:spacing w:val="-8"/>
                <w:sz w:val="24"/>
                <w:szCs w:val="24"/>
                <w:lang w:val="de-DE"/>
              </w:rPr>
              <w:t xml:space="preserve"> </w:t>
            </w:r>
            <w:r w:rsidRPr="00E73F6F">
              <w:rPr>
                <w:sz w:val="24"/>
                <w:szCs w:val="24"/>
                <w:lang w:val="de-DE"/>
              </w:rPr>
              <w:t>nach</w:t>
            </w:r>
            <w:r w:rsidRPr="00E73F6F">
              <w:rPr>
                <w:spacing w:val="-2"/>
                <w:sz w:val="24"/>
                <w:szCs w:val="24"/>
                <w:lang w:val="de-DE"/>
              </w:rPr>
              <w:t xml:space="preserve"> Sinngebung</w:t>
            </w:r>
          </w:p>
        </w:tc>
      </w:tr>
      <w:tr w:rsidR="00FF7799" w:rsidRPr="00E73F6F" w14:paraId="08BFDF64" w14:textId="77777777" w:rsidTr="00140268">
        <w:trPr>
          <w:trHeight w:val="303"/>
        </w:trPr>
        <w:tc>
          <w:tcPr>
            <w:tcW w:w="2500" w:type="pct"/>
          </w:tcPr>
          <w:p w14:paraId="4B981FAE" w14:textId="77777777" w:rsidR="00FF7799" w:rsidRPr="00E73F6F" w:rsidRDefault="00FF7799" w:rsidP="00140268">
            <w:pPr>
              <w:spacing w:before="56"/>
              <w:jc w:val="center"/>
              <w:rPr>
                <w:sz w:val="24"/>
                <w:szCs w:val="24"/>
                <w:lang w:val="de-DE"/>
              </w:rPr>
            </w:pPr>
            <w:r w:rsidRPr="00E73F6F">
              <w:rPr>
                <w:spacing w:val="-2"/>
                <w:sz w:val="24"/>
                <w:szCs w:val="24"/>
                <w:lang w:val="de-DE"/>
              </w:rPr>
              <w:t>Isolation</w:t>
            </w:r>
          </w:p>
        </w:tc>
        <w:tc>
          <w:tcPr>
            <w:tcW w:w="2500" w:type="pct"/>
          </w:tcPr>
          <w:p w14:paraId="260429AF" w14:textId="77777777" w:rsidR="00FF7799" w:rsidRPr="00E73F6F" w:rsidRDefault="00FF7799" w:rsidP="00140268">
            <w:pPr>
              <w:spacing w:before="56"/>
              <w:jc w:val="center"/>
              <w:rPr>
                <w:sz w:val="24"/>
                <w:szCs w:val="24"/>
                <w:lang w:val="de-DE"/>
              </w:rPr>
            </w:pPr>
            <w:r w:rsidRPr="00E73F6F">
              <w:rPr>
                <w:sz w:val="24"/>
                <w:szCs w:val="24"/>
                <w:lang w:val="de-DE"/>
              </w:rPr>
              <w:t>sozialer</w:t>
            </w:r>
            <w:r w:rsidRPr="00E73F6F">
              <w:rPr>
                <w:spacing w:val="-9"/>
                <w:sz w:val="24"/>
                <w:szCs w:val="24"/>
                <w:lang w:val="de-DE"/>
              </w:rPr>
              <w:t xml:space="preserve"> </w:t>
            </w:r>
            <w:r w:rsidRPr="00E73F6F">
              <w:rPr>
                <w:spacing w:val="-2"/>
                <w:sz w:val="24"/>
                <w:szCs w:val="24"/>
                <w:lang w:val="de-DE"/>
              </w:rPr>
              <w:t>Kontakt</w:t>
            </w:r>
          </w:p>
        </w:tc>
      </w:tr>
      <w:tr w:rsidR="00FF7799" w:rsidRPr="00E73F6F" w14:paraId="65CD41F2" w14:textId="77777777" w:rsidTr="00140268">
        <w:trPr>
          <w:trHeight w:val="346"/>
        </w:trPr>
        <w:tc>
          <w:tcPr>
            <w:tcW w:w="2500" w:type="pct"/>
          </w:tcPr>
          <w:p w14:paraId="43E9B760" w14:textId="77777777" w:rsidR="00FF7799" w:rsidRPr="00E73F6F" w:rsidRDefault="00FF7799" w:rsidP="00140268">
            <w:pPr>
              <w:spacing w:before="57"/>
              <w:jc w:val="center"/>
              <w:rPr>
                <w:sz w:val="24"/>
                <w:szCs w:val="24"/>
                <w:lang w:val="de-DE"/>
              </w:rPr>
            </w:pPr>
            <w:r w:rsidRPr="00E73F6F">
              <w:rPr>
                <w:spacing w:val="-2"/>
                <w:sz w:val="24"/>
                <w:szCs w:val="24"/>
                <w:lang w:val="de-DE"/>
              </w:rPr>
              <w:t>Spezialisierung (Tiefe)</w:t>
            </w:r>
          </w:p>
        </w:tc>
        <w:tc>
          <w:tcPr>
            <w:tcW w:w="2500" w:type="pct"/>
          </w:tcPr>
          <w:p w14:paraId="782CB29E" w14:textId="77777777" w:rsidR="00FF7799" w:rsidRPr="00E73F6F" w:rsidRDefault="00FF7799" w:rsidP="00140268">
            <w:pPr>
              <w:spacing w:before="57"/>
              <w:jc w:val="center"/>
              <w:rPr>
                <w:sz w:val="24"/>
                <w:szCs w:val="24"/>
                <w:lang w:val="de-DE"/>
              </w:rPr>
            </w:pPr>
            <w:r w:rsidRPr="00E73F6F">
              <w:rPr>
                <w:spacing w:val="-2"/>
                <w:sz w:val="24"/>
                <w:szCs w:val="24"/>
                <w:lang w:val="de-DE"/>
              </w:rPr>
              <w:t>Generalisierung</w:t>
            </w:r>
            <w:r w:rsidRPr="00E73F6F">
              <w:rPr>
                <w:spacing w:val="14"/>
                <w:sz w:val="24"/>
                <w:szCs w:val="24"/>
                <w:lang w:val="de-DE"/>
              </w:rPr>
              <w:t xml:space="preserve"> </w:t>
            </w:r>
            <w:r w:rsidRPr="00E73F6F">
              <w:rPr>
                <w:spacing w:val="-2"/>
                <w:sz w:val="24"/>
                <w:szCs w:val="24"/>
                <w:lang w:val="de-DE"/>
              </w:rPr>
              <w:t>(Breite)</w:t>
            </w:r>
          </w:p>
        </w:tc>
      </w:tr>
      <w:tr w:rsidR="00FF7799" w:rsidRPr="00E73F6F" w14:paraId="167D4831" w14:textId="77777777" w:rsidTr="00140268">
        <w:trPr>
          <w:trHeight w:val="666"/>
        </w:trPr>
        <w:tc>
          <w:tcPr>
            <w:tcW w:w="2500" w:type="pct"/>
          </w:tcPr>
          <w:p w14:paraId="0E67C625" w14:textId="77777777" w:rsidR="00FF7799" w:rsidRPr="00E73F6F" w:rsidRDefault="00FF7799" w:rsidP="00140268">
            <w:pPr>
              <w:spacing w:before="56"/>
              <w:jc w:val="center"/>
              <w:rPr>
                <w:sz w:val="24"/>
                <w:szCs w:val="24"/>
                <w:lang w:val="de-DE"/>
              </w:rPr>
            </w:pPr>
            <w:r w:rsidRPr="00E73F6F">
              <w:rPr>
                <w:sz w:val="24"/>
                <w:szCs w:val="24"/>
                <w:lang w:val="de-DE"/>
              </w:rPr>
              <w:t>Mensch</w:t>
            </w:r>
            <w:r w:rsidRPr="00E73F6F">
              <w:rPr>
                <w:spacing w:val="-10"/>
                <w:sz w:val="24"/>
                <w:szCs w:val="24"/>
                <w:lang w:val="de-DE"/>
              </w:rPr>
              <w:t xml:space="preserve"> </w:t>
            </w:r>
            <w:r w:rsidRPr="00E73F6F">
              <w:rPr>
                <w:sz w:val="24"/>
                <w:szCs w:val="24"/>
                <w:lang w:val="de-DE"/>
              </w:rPr>
              <w:t>als</w:t>
            </w:r>
            <w:r w:rsidRPr="00E73F6F">
              <w:rPr>
                <w:spacing w:val="-10"/>
                <w:sz w:val="24"/>
                <w:szCs w:val="24"/>
                <w:lang w:val="de-DE"/>
              </w:rPr>
              <w:t xml:space="preserve"> </w:t>
            </w:r>
            <w:r w:rsidRPr="00E73F6F">
              <w:rPr>
                <w:sz w:val="24"/>
                <w:szCs w:val="24"/>
                <w:lang w:val="de-DE"/>
              </w:rPr>
              <w:t>Ware</w:t>
            </w:r>
          </w:p>
        </w:tc>
        <w:tc>
          <w:tcPr>
            <w:tcW w:w="2500" w:type="pct"/>
          </w:tcPr>
          <w:p w14:paraId="3E293C21" w14:textId="77777777" w:rsidR="00FF7799" w:rsidRPr="00E73F6F" w:rsidRDefault="00FF7799" w:rsidP="00140268">
            <w:pPr>
              <w:spacing w:before="56"/>
              <w:jc w:val="center"/>
              <w:rPr>
                <w:sz w:val="24"/>
                <w:szCs w:val="24"/>
                <w:lang w:val="de-DE"/>
              </w:rPr>
            </w:pPr>
            <w:r w:rsidRPr="00E73F6F">
              <w:rPr>
                <w:sz w:val="24"/>
                <w:szCs w:val="24"/>
                <w:lang w:val="de-DE"/>
              </w:rPr>
              <w:t>Mensch</w:t>
            </w:r>
            <w:r w:rsidRPr="00E73F6F">
              <w:rPr>
                <w:spacing w:val="-10"/>
                <w:sz w:val="24"/>
                <w:szCs w:val="24"/>
                <w:lang w:val="de-DE"/>
              </w:rPr>
              <w:t xml:space="preserve"> </w:t>
            </w:r>
            <w:r w:rsidRPr="00E73F6F">
              <w:rPr>
                <w:sz w:val="24"/>
                <w:szCs w:val="24"/>
                <w:lang w:val="de-DE"/>
              </w:rPr>
              <w:t>als</w:t>
            </w:r>
            <w:r w:rsidRPr="00E73F6F">
              <w:rPr>
                <w:spacing w:val="-10"/>
                <w:sz w:val="24"/>
                <w:szCs w:val="24"/>
                <w:lang w:val="de-DE"/>
              </w:rPr>
              <w:t xml:space="preserve"> </w:t>
            </w:r>
            <w:r w:rsidRPr="00E73F6F">
              <w:rPr>
                <w:sz w:val="24"/>
                <w:szCs w:val="24"/>
                <w:lang w:val="de-DE"/>
              </w:rPr>
              <w:t>intelligenter</w:t>
            </w:r>
            <w:r w:rsidRPr="00E73F6F">
              <w:rPr>
                <w:spacing w:val="-10"/>
                <w:sz w:val="24"/>
                <w:szCs w:val="24"/>
                <w:lang w:val="de-DE"/>
              </w:rPr>
              <w:t xml:space="preserve"> </w:t>
            </w:r>
            <w:r w:rsidRPr="00E73F6F">
              <w:rPr>
                <w:sz w:val="24"/>
                <w:szCs w:val="24"/>
                <w:lang w:val="de-DE"/>
              </w:rPr>
              <w:t>Träger</w:t>
            </w:r>
            <w:r w:rsidRPr="00E73F6F">
              <w:rPr>
                <w:spacing w:val="40"/>
                <w:sz w:val="24"/>
                <w:szCs w:val="24"/>
                <w:lang w:val="de-DE"/>
              </w:rPr>
              <w:t xml:space="preserve"> </w:t>
            </w:r>
            <w:r w:rsidRPr="00E73F6F">
              <w:rPr>
                <w:spacing w:val="-4"/>
                <w:sz w:val="24"/>
                <w:szCs w:val="24"/>
                <w:lang w:val="de-DE"/>
              </w:rPr>
              <w:t>der</w:t>
            </w:r>
          </w:p>
          <w:p w14:paraId="4EF48ACA" w14:textId="77777777" w:rsidR="00FF7799" w:rsidRPr="00E73F6F" w:rsidRDefault="00FF7799" w:rsidP="00140268">
            <w:pPr>
              <w:spacing w:before="1"/>
              <w:jc w:val="center"/>
              <w:rPr>
                <w:sz w:val="24"/>
                <w:szCs w:val="24"/>
                <w:lang w:val="de-DE"/>
              </w:rPr>
            </w:pPr>
            <w:r w:rsidRPr="00E73F6F">
              <w:rPr>
                <w:spacing w:val="-2"/>
                <w:sz w:val="24"/>
                <w:szCs w:val="24"/>
                <w:lang w:val="de-DE"/>
              </w:rPr>
              <w:t>Entwicklung</w:t>
            </w:r>
          </w:p>
        </w:tc>
      </w:tr>
      <w:tr w:rsidR="00FF7799" w:rsidRPr="00E73F6F" w14:paraId="4D6F4F75" w14:textId="77777777" w:rsidTr="00140268">
        <w:trPr>
          <w:trHeight w:val="304"/>
        </w:trPr>
        <w:tc>
          <w:tcPr>
            <w:tcW w:w="5000" w:type="pct"/>
            <w:gridSpan w:val="2"/>
            <w:shd w:val="clear" w:color="auto" w:fill="FFF2CC" w:themeFill="accent4" w:themeFillTint="33"/>
          </w:tcPr>
          <w:p w14:paraId="5F474D5A" w14:textId="77777777" w:rsidR="00FF7799" w:rsidRPr="00E73F6F" w:rsidRDefault="00FF7799" w:rsidP="00140268">
            <w:pPr>
              <w:spacing w:before="120" w:after="120"/>
              <w:jc w:val="center"/>
              <w:rPr>
                <w:b/>
                <w:sz w:val="24"/>
                <w:szCs w:val="24"/>
                <w:lang w:val="de-DE"/>
              </w:rPr>
            </w:pPr>
            <w:r w:rsidRPr="00E73F6F">
              <w:rPr>
                <w:b/>
                <w:spacing w:val="-2"/>
                <w:sz w:val="24"/>
                <w:szCs w:val="24"/>
                <w:lang w:val="de-DE"/>
              </w:rPr>
              <w:t>Führungsverständnis</w:t>
            </w:r>
          </w:p>
        </w:tc>
      </w:tr>
      <w:tr w:rsidR="00FF7799" w:rsidRPr="00E73F6F" w14:paraId="461B8113" w14:textId="77777777" w:rsidTr="00140268">
        <w:trPr>
          <w:trHeight w:val="309"/>
        </w:trPr>
        <w:tc>
          <w:tcPr>
            <w:tcW w:w="2500" w:type="pct"/>
          </w:tcPr>
          <w:p w14:paraId="42482C92" w14:textId="77777777" w:rsidR="00FF7799" w:rsidRPr="00E73F6F" w:rsidRDefault="00FF7799" w:rsidP="00140268">
            <w:pPr>
              <w:spacing w:before="61"/>
              <w:jc w:val="center"/>
              <w:rPr>
                <w:sz w:val="24"/>
                <w:szCs w:val="24"/>
                <w:lang w:val="de-DE"/>
              </w:rPr>
            </w:pPr>
            <w:r w:rsidRPr="00E73F6F">
              <w:rPr>
                <w:spacing w:val="-2"/>
                <w:sz w:val="24"/>
                <w:szCs w:val="24"/>
                <w:lang w:val="de-DE"/>
              </w:rPr>
              <w:t>Machbarkeit</w:t>
            </w:r>
          </w:p>
        </w:tc>
        <w:tc>
          <w:tcPr>
            <w:tcW w:w="2500" w:type="pct"/>
          </w:tcPr>
          <w:p w14:paraId="65E2BA8C" w14:textId="77777777" w:rsidR="00FF7799" w:rsidRPr="00E73F6F" w:rsidRDefault="00FF7799" w:rsidP="00140268">
            <w:pPr>
              <w:spacing w:before="61"/>
              <w:jc w:val="center"/>
              <w:rPr>
                <w:sz w:val="24"/>
                <w:szCs w:val="24"/>
                <w:lang w:val="de-DE"/>
              </w:rPr>
            </w:pPr>
            <w:r w:rsidRPr="00E73F6F">
              <w:rPr>
                <w:spacing w:val="-2"/>
                <w:sz w:val="24"/>
                <w:szCs w:val="24"/>
                <w:lang w:val="de-DE"/>
              </w:rPr>
              <w:t>Kultiviertheit</w:t>
            </w:r>
          </w:p>
        </w:tc>
      </w:tr>
      <w:tr w:rsidR="00FF7799" w:rsidRPr="00E73F6F" w14:paraId="2F695C79" w14:textId="77777777" w:rsidTr="00140268">
        <w:trPr>
          <w:trHeight w:val="345"/>
        </w:trPr>
        <w:tc>
          <w:tcPr>
            <w:tcW w:w="2500" w:type="pct"/>
          </w:tcPr>
          <w:p w14:paraId="2833852E" w14:textId="77777777" w:rsidR="00FF7799" w:rsidRPr="00E73F6F" w:rsidRDefault="00FF7799" w:rsidP="00140268">
            <w:pPr>
              <w:spacing w:before="57"/>
              <w:jc w:val="center"/>
              <w:rPr>
                <w:sz w:val="24"/>
                <w:szCs w:val="24"/>
                <w:lang w:val="de-DE"/>
              </w:rPr>
            </w:pPr>
            <w:r w:rsidRPr="00E73F6F">
              <w:rPr>
                <w:spacing w:val="-2"/>
                <w:sz w:val="24"/>
                <w:szCs w:val="24"/>
                <w:lang w:val="de-DE"/>
              </w:rPr>
              <w:t>Instrumentenorientierung (hart)</w:t>
            </w:r>
          </w:p>
        </w:tc>
        <w:tc>
          <w:tcPr>
            <w:tcW w:w="2500" w:type="pct"/>
          </w:tcPr>
          <w:p w14:paraId="5B88EFEE" w14:textId="77777777" w:rsidR="00FF7799" w:rsidRPr="00E73F6F" w:rsidRDefault="00FF7799" w:rsidP="00140268">
            <w:pPr>
              <w:spacing w:before="57"/>
              <w:jc w:val="center"/>
              <w:rPr>
                <w:sz w:val="24"/>
                <w:szCs w:val="24"/>
                <w:lang w:val="de-DE"/>
              </w:rPr>
            </w:pPr>
            <w:r w:rsidRPr="00E73F6F">
              <w:rPr>
                <w:spacing w:val="-2"/>
                <w:sz w:val="24"/>
                <w:szCs w:val="24"/>
                <w:lang w:val="de-DE"/>
              </w:rPr>
              <w:t>Kulturorientierung</w:t>
            </w:r>
            <w:r w:rsidRPr="00E73F6F">
              <w:rPr>
                <w:spacing w:val="19"/>
                <w:sz w:val="24"/>
                <w:szCs w:val="24"/>
                <w:lang w:val="de-DE"/>
              </w:rPr>
              <w:t xml:space="preserve"> </w:t>
            </w:r>
            <w:r w:rsidRPr="00E73F6F">
              <w:rPr>
                <w:spacing w:val="-2"/>
                <w:sz w:val="24"/>
                <w:szCs w:val="24"/>
                <w:lang w:val="de-DE"/>
              </w:rPr>
              <w:t>(weich)</w:t>
            </w:r>
          </w:p>
        </w:tc>
      </w:tr>
      <w:tr w:rsidR="00FF7799" w:rsidRPr="00E73F6F" w14:paraId="0378B640" w14:textId="77777777" w:rsidTr="00140268">
        <w:trPr>
          <w:trHeight w:val="187"/>
        </w:trPr>
        <w:tc>
          <w:tcPr>
            <w:tcW w:w="2500" w:type="pct"/>
          </w:tcPr>
          <w:p w14:paraId="780D4DB8" w14:textId="77777777" w:rsidR="00FF7799" w:rsidRPr="00E73F6F" w:rsidRDefault="00FF7799" w:rsidP="00140268">
            <w:pPr>
              <w:spacing w:before="56"/>
              <w:jc w:val="center"/>
              <w:rPr>
                <w:sz w:val="24"/>
                <w:szCs w:val="24"/>
                <w:lang w:val="de-DE"/>
              </w:rPr>
            </w:pPr>
            <w:r w:rsidRPr="00E73F6F">
              <w:rPr>
                <w:sz w:val="24"/>
                <w:szCs w:val="24"/>
                <w:lang w:val="de-DE"/>
              </w:rPr>
              <w:t>autoritative</w:t>
            </w:r>
            <w:r w:rsidRPr="00E73F6F">
              <w:rPr>
                <w:spacing w:val="-12"/>
                <w:sz w:val="24"/>
                <w:szCs w:val="24"/>
                <w:lang w:val="de-DE"/>
              </w:rPr>
              <w:t xml:space="preserve"> </w:t>
            </w:r>
            <w:r w:rsidRPr="00E73F6F">
              <w:rPr>
                <w:sz w:val="24"/>
                <w:szCs w:val="24"/>
                <w:lang w:val="de-DE"/>
              </w:rPr>
              <w:t>Vorgabe</w:t>
            </w:r>
            <w:r w:rsidRPr="00E73F6F">
              <w:rPr>
                <w:spacing w:val="-9"/>
                <w:sz w:val="24"/>
                <w:szCs w:val="24"/>
                <w:lang w:val="de-DE"/>
              </w:rPr>
              <w:t xml:space="preserve"> </w:t>
            </w:r>
            <w:r w:rsidRPr="00E73F6F">
              <w:rPr>
                <w:spacing w:val="-4"/>
                <w:sz w:val="24"/>
                <w:szCs w:val="24"/>
                <w:lang w:val="de-DE"/>
              </w:rPr>
              <w:t xml:space="preserve">durch </w:t>
            </w:r>
            <w:r w:rsidRPr="00E73F6F">
              <w:rPr>
                <w:spacing w:val="-2"/>
                <w:sz w:val="24"/>
                <w:szCs w:val="24"/>
                <w:lang w:val="de-DE"/>
              </w:rPr>
              <w:t>wenige</w:t>
            </w:r>
          </w:p>
        </w:tc>
        <w:tc>
          <w:tcPr>
            <w:tcW w:w="2500" w:type="pct"/>
          </w:tcPr>
          <w:p w14:paraId="316B7BCA" w14:textId="77777777" w:rsidR="00FF7799" w:rsidRPr="00E73F6F" w:rsidRDefault="00FF7799" w:rsidP="00140268">
            <w:pPr>
              <w:spacing w:before="56"/>
              <w:jc w:val="center"/>
              <w:rPr>
                <w:sz w:val="24"/>
                <w:szCs w:val="24"/>
                <w:lang w:val="de-DE"/>
              </w:rPr>
            </w:pPr>
            <w:r w:rsidRPr="00E73F6F">
              <w:rPr>
                <w:sz w:val="24"/>
                <w:szCs w:val="24"/>
                <w:lang w:val="de-DE"/>
              </w:rPr>
              <w:t>partizipative</w:t>
            </w:r>
            <w:r w:rsidRPr="00E73F6F">
              <w:rPr>
                <w:spacing w:val="-10"/>
                <w:sz w:val="24"/>
                <w:szCs w:val="24"/>
                <w:lang w:val="de-DE"/>
              </w:rPr>
              <w:t xml:space="preserve"> </w:t>
            </w:r>
            <w:r w:rsidRPr="00E73F6F">
              <w:rPr>
                <w:sz w:val="24"/>
                <w:szCs w:val="24"/>
                <w:lang w:val="de-DE"/>
              </w:rPr>
              <w:t>Vereinbarung</w:t>
            </w:r>
            <w:r w:rsidRPr="00E73F6F">
              <w:rPr>
                <w:spacing w:val="40"/>
                <w:sz w:val="24"/>
                <w:szCs w:val="24"/>
                <w:lang w:val="de-DE"/>
              </w:rPr>
              <w:t xml:space="preserve"> </w:t>
            </w:r>
            <w:r w:rsidRPr="00E73F6F">
              <w:rPr>
                <w:sz w:val="24"/>
                <w:szCs w:val="24"/>
                <w:lang w:val="de-DE"/>
              </w:rPr>
              <w:t>durch</w:t>
            </w:r>
            <w:r w:rsidRPr="00E73F6F">
              <w:rPr>
                <w:spacing w:val="-3"/>
                <w:sz w:val="24"/>
                <w:szCs w:val="24"/>
                <w:lang w:val="de-DE"/>
              </w:rPr>
              <w:t xml:space="preserve"> </w:t>
            </w:r>
            <w:r w:rsidRPr="00E73F6F">
              <w:rPr>
                <w:sz w:val="24"/>
                <w:szCs w:val="24"/>
                <w:lang w:val="de-DE"/>
              </w:rPr>
              <w:t>viele</w:t>
            </w:r>
          </w:p>
        </w:tc>
      </w:tr>
      <w:tr w:rsidR="00FF7799" w:rsidRPr="00E73F6F" w14:paraId="03806429" w14:textId="77777777" w:rsidTr="00140268">
        <w:trPr>
          <w:trHeight w:val="673"/>
        </w:trPr>
        <w:tc>
          <w:tcPr>
            <w:tcW w:w="2500" w:type="pct"/>
          </w:tcPr>
          <w:p w14:paraId="48F45BC3" w14:textId="77777777" w:rsidR="00FF7799" w:rsidRPr="00E73F6F" w:rsidRDefault="00FF7799" w:rsidP="00140268">
            <w:pPr>
              <w:spacing w:before="56"/>
              <w:jc w:val="center"/>
              <w:rPr>
                <w:sz w:val="24"/>
                <w:szCs w:val="24"/>
                <w:lang w:val="de-DE"/>
              </w:rPr>
            </w:pPr>
            <w:r w:rsidRPr="00E73F6F">
              <w:rPr>
                <w:spacing w:val="-2"/>
                <w:sz w:val="24"/>
                <w:szCs w:val="24"/>
                <w:lang w:val="de-DE"/>
              </w:rPr>
              <w:t>analytische,</w:t>
            </w:r>
            <w:r w:rsidRPr="00E73F6F">
              <w:rPr>
                <w:spacing w:val="40"/>
                <w:sz w:val="24"/>
                <w:szCs w:val="24"/>
                <w:lang w:val="de-DE"/>
              </w:rPr>
              <w:t xml:space="preserve"> </w:t>
            </w:r>
            <w:r w:rsidRPr="00E73F6F">
              <w:rPr>
                <w:spacing w:val="-2"/>
                <w:sz w:val="24"/>
                <w:szCs w:val="24"/>
                <w:lang w:val="de-DE"/>
              </w:rPr>
              <w:t>ergebnisorientierte</w:t>
            </w:r>
            <w:r w:rsidRPr="00E73F6F">
              <w:rPr>
                <w:spacing w:val="20"/>
                <w:sz w:val="24"/>
                <w:szCs w:val="24"/>
                <w:lang w:val="de-DE"/>
              </w:rPr>
              <w:t xml:space="preserve"> </w:t>
            </w:r>
            <w:r w:rsidRPr="00E73F6F">
              <w:rPr>
                <w:spacing w:val="-2"/>
                <w:sz w:val="24"/>
                <w:szCs w:val="24"/>
                <w:lang w:val="de-DE"/>
              </w:rPr>
              <w:t>reaktive</w:t>
            </w:r>
          </w:p>
          <w:p w14:paraId="61712F9D" w14:textId="77777777" w:rsidR="00FF7799" w:rsidRPr="00E73F6F" w:rsidRDefault="00FF7799" w:rsidP="00140268">
            <w:pPr>
              <w:spacing w:before="1"/>
              <w:jc w:val="center"/>
              <w:rPr>
                <w:sz w:val="24"/>
                <w:szCs w:val="24"/>
                <w:lang w:val="de-DE"/>
              </w:rPr>
            </w:pPr>
            <w:r w:rsidRPr="00E73F6F">
              <w:rPr>
                <w:spacing w:val="-2"/>
                <w:sz w:val="24"/>
                <w:szCs w:val="24"/>
                <w:lang w:val="de-DE"/>
              </w:rPr>
              <w:t>Problemlösung</w:t>
            </w:r>
          </w:p>
        </w:tc>
        <w:tc>
          <w:tcPr>
            <w:tcW w:w="2500" w:type="pct"/>
          </w:tcPr>
          <w:p w14:paraId="4E3C89D4" w14:textId="77777777" w:rsidR="00FF7799" w:rsidRPr="00E73F6F" w:rsidRDefault="00FF7799" w:rsidP="00140268">
            <w:pPr>
              <w:spacing w:before="56"/>
              <w:jc w:val="center"/>
              <w:rPr>
                <w:sz w:val="24"/>
                <w:szCs w:val="24"/>
                <w:lang w:val="de-DE"/>
              </w:rPr>
            </w:pPr>
            <w:r w:rsidRPr="00E73F6F">
              <w:rPr>
                <w:sz w:val="24"/>
                <w:szCs w:val="24"/>
                <w:lang w:val="de-DE"/>
              </w:rPr>
              <w:t>synthetische,</w:t>
            </w:r>
            <w:r w:rsidRPr="00E73F6F">
              <w:rPr>
                <w:spacing w:val="-10"/>
                <w:sz w:val="24"/>
                <w:szCs w:val="24"/>
                <w:lang w:val="de-DE"/>
              </w:rPr>
              <w:t xml:space="preserve"> </w:t>
            </w:r>
            <w:r w:rsidRPr="00E73F6F">
              <w:rPr>
                <w:sz w:val="24"/>
                <w:szCs w:val="24"/>
                <w:lang w:val="de-DE"/>
              </w:rPr>
              <w:t>musterorientierte</w:t>
            </w:r>
            <w:r w:rsidRPr="00E73F6F">
              <w:rPr>
                <w:spacing w:val="40"/>
                <w:sz w:val="24"/>
                <w:szCs w:val="24"/>
                <w:lang w:val="de-DE"/>
              </w:rPr>
              <w:t xml:space="preserve"> </w:t>
            </w:r>
            <w:r w:rsidRPr="00E73F6F">
              <w:rPr>
                <w:sz w:val="24"/>
                <w:szCs w:val="24"/>
                <w:lang w:val="de-DE"/>
              </w:rPr>
              <w:t>pro-aktive Problemlösung</w:t>
            </w:r>
          </w:p>
        </w:tc>
      </w:tr>
      <w:tr w:rsidR="00FF7799" w:rsidRPr="00E73F6F" w14:paraId="546487C3" w14:textId="77777777" w:rsidTr="00140268">
        <w:trPr>
          <w:trHeight w:val="297"/>
        </w:trPr>
        <w:tc>
          <w:tcPr>
            <w:tcW w:w="2500" w:type="pct"/>
          </w:tcPr>
          <w:p w14:paraId="6F8F19B6" w14:textId="77777777" w:rsidR="00FF7799" w:rsidRPr="00E73F6F" w:rsidRDefault="00FF7799" w:rsidP="00140268">
            <w:pPr>
              <w:spacing w:before="57"/>
              <w:jc w:val="center"/>
              <w:rPr>
                <w:sz w:val="24"/>
                <w:szCs w:val="24"/>
                <w:lang w:val="de-DE"/>
              </w:rPr>
            </w:pPr>
            <w:r w:rsidRPr="00E73F6F">
              <w:rPr>
                <w:spacing w:val="-2"/>
                <w:sz w:val="24"/>
                <w:szCs w:val="24"/>
                <w:lang w:val="de-DE"/>
              </w:rPr>
              <w:t>Intervention</w:t>
            </w:r>
          </w:p>
        </w:tc>
        <w:tc>
          <w:tcPr>
            <w:tcW w:w="2500" w:type="pct"/>
          </w:tcPr>
          <w:p w14:paraId="5FDA4A62" w14:textId="77777777" w:rsidR="00FF7799" w:rsidRPr="00E73F6F" w:rsidRDefault="00FF7799" w:rsidP="00140268">
            <w:pPr>
              <w:spacing w:before="57"/>
              <w:jc w:val="center"/>
              <w:rPr>
                <w:sz w:val="24"/>
                <w:szCs w:val="24"/>
                <w:lang w:val="de-DE"/>
              </w:rPr>
            </w:pPr>
            <w:r w:rsidRPr="00E73F6F">
              <w:rPr>
                <w:spacing w:val="-2"/>
                <w:sz w:val="24"/>
                <w:szCs w:val="24"/>
                <w:lang w:val="de-DE"/>
              </w:rPr>
              <w:t>Moderation</w:t>
            </w:r>
          </w:p>
        </w:tc>
      </w:tr>
    </w:tbl>
    <w:p w14:paraId="2FB92ED7" w14:textId="77777777" w:rsidR="00FF7799" w:rsidRPr="00E73F6F" w:rsidRDefault="00FF7799" w:rsidP="00140268">
      <w:pPr>
        <w:pStyle w:val="Quellen"/>
        <w:rPr>
          <w:spacing w:val="-2"/>
        </w:rPr>
      </w:pPr>
      <w:r w:rsidRPr="00E73F6F">
        <w:rPr>
          <w:spacing w:val="-2"/>
        </w:rPr>
        <w:t>Quelle:</w:t>
      </w:r>
      <w:r w:rsidRPr="00E73F6F">
        <w:tab/>
        <w:t>Bleicher</w:t>
      </w:r>
      <w:r w:rsidRPr="00E73F6F">
        <w:rPr>
          <w:spacing w:val="-1"/>
        </w:rPr>
        <w:t xml:space="preserve"> </w:t>
      </w:r>
      <w:r w:rsidRPr="00E73F6F">
        <w:t>(1990,</w:t>
      </w:r>
      <w:r w:rsidRPr="00E73F6F">
        <w:rPr>
          <w:spacing w:val="-1"/>
        </w:rPr>
        <w:t xml:space="preserve"> </w:t>
      </w:r>
      <w:r w:rsidRPr="00E73F6F">
        <w:t>S.7);</w:t>
      </w:r>
      <w:r w:rsidRPr="00E73F6F">
        <w:rPr>
          <w:spacing w:val="-1"/>
        </w:rPr>
        <w:t xml:space="preserve"> </w:t>
      </w:r>
      <w:r w:rsidRPr="00E73F6F">
        <w:t>entnommen:</w:t>
      </w:r>
      <w:r w:rsidRPr="00E73F6F">
        <w:rPr>
          <w:spacing w:val="-2"/>
        </w:rPr>
        <w:t xml:space="preserve"> </w:t>
      </w:r>
      <w:r w:rsidRPr="00E73F6F">
        <w:t>Hermanns</w:t>
      </w:r>
      <w:r w:rsidRPr="00E73F6F">
        <w:rPr>
          <w:spacing w:val="-2"/>
        </w:rPr>
        <w:t xml:space="preserve"> </w:t>
      </w:r>
      <w:r w:rsidRPr="00E73F6F">
        <w:t>(1995,</w:t>
      </w:r>
      <w:r w:rsidRPr="00E73F6F">
        <w:rPr>
          <w:spacing w:val="1"/>
        </w:rPr>
        <w:t xml:space="preserve"> </w:t>
      </w:r>
      <w:r w:rsidRPr="00E73F6F">
        <w:rPr>
          <w:spacing w:val="-2"/>
        </w:rPr>
        <w:t>S.45).</w:t>
      </w:r>
    </w:p>
    <w:p w14:paraId="6E46B044" w14:textId="77777777" w:rsidR="00FF7799" w:rsidRPr="00E73F6F" w:rsidRDefault="00FF7799" w:rsidP="00001EBB">
      <w:pPr>
        <w:pStyle w:val="StandardText"/>
      </w:pPr>
    </w:p>
    <w:p w14:paraId="28E50974" w14:textId="77777777" w:rsidR="00FF7799" w:rsidRPr="009B5040" w:rsidRDefault="00FF7799" w:rsidP="00001EBB">
      <w:pPr>
        <w:pStyle w:val="StandardTextkursiv"/>
        <w:rPr>
          <w:i w:val="0"/>
        </w:rPr>
      </w:pPr>
      <w:r w:rsidRPr="009B5040">
        <w:rPr>
          <w:i w:val="0"/>
        </w:rPr>
        <w:t>4 Soziales</w:t>
      </w:r>
      <w:r w:rsidRPr="009B5040">
        <w:rPr>
          <w:i w:val="0"/>
          <w:spacing w:val="-5"/>
        </w:rPr>
        <w:t xml:space="preserve"> </w:t>
      </w:r>
      <w:r w:rsidRPr="009B5040">
        <w:rPr>
          <w:i w:val="0"/>
          <w:spacing w:val="-2"/>
        </w:rPr>
        <w:t>Tempo</w:t>
      </w:r>
    </w:p>
    <w:p w14:paraId="75A87E94" w14:textId="77777777" w:rsidR="00FF7799" w:rsidRPr="00E73F6F" w:rsidRDefault="00FF7799" w:rsidP="00001EBB">
      <w:pPr>
        <w:pStyle w:val="StandardText"/>
      </w:pPr>
      <w:r w:rsidRPr="00E73F6F">
        <w:t xml:space="preserve">Empirisch lässt sich nachweisen, dass bspw. in Nordamerika die Uhren nicht nur im übertragenen Sinn, sondern auch objektiv gesehen genauer gehen als in Südamerika. Brasilianern fällt es demzufolge vergleichsweise schwer, die Tageszeit zu schätzen. Sie verspäten sich häufiger und </w:t>
      </w:r>
      <w:r w:rsidRPr="00E73F6F">
        <w:lastRenderedPageBreak/>
        <w:t>definieren die Zeitkategorien „früh“ und „spät“ flexibler als Nordamerikaner. Auch machen sie für ihr Zuspätkommen im Regelfall andere Personen oder ungünstige Umstände verantwortlich und nicht sich selbst (d.h. sie attribuierten vorzugsweise externe, von ihnen nicht zu verantwortende Gründe).</w:t>
      </w:r>
    </w:p>
    <w:p w14:paraId="5C0CF2FE" w14:textId="77777777" w:rsidR="00FF7799" w:rsidRPr="00E73F6F" w:rsidRDefault="00FF7799" w:rsidP="00001EBB">
      <w:pPr>
        <w:pStyle w:val="StandardText"/>
      </w:pPr>
    </w:p>
    <w:p w14:paraId="77D2E498" w14:textId="77777777" w:rsidR="00FF7799" w:rsidRPr="000A5184" w:rsidRDefault="00FF7799" w:rsidP="00001EBB">
      <w:pPr>
        <w:pStyle w:val="BeschriftungTab"/>
        <w:rPr>
          <w:i/>
          <w:iCs/>
        </w:rPr>
      </w:pPr>
      <w:r w:rsidRPr="000A5184">
        <w:rPr>
          <w:i/>
          <w:iCs/>
        </w:rPr>
        <w:t>Tab.</w:t>
      </w:r>
      <w:r w:rsidRPr="000A5184">
        <w:rPr>
          <w:i/>
          <w:iCs/>
          <w:spacing w:val="-1"/>
        </w:rPr>
        <w:t xml:space="preserve"> </w:t>
      </w:r>
      <w:r w:rsidRPr="000A5184">
        <w:rPr>
          <w:i/>
          <w:iCs/>
        </w:rPr>
        <w:t>5:</w:t>
      </w:r>
      <w:r w:rsidRPr="000A5184">
        <w:rPr>
          <w:i/>
          <w:iCs/>
          <w:spacing w:val="-3"/>
        </w:rPr>
        <w:t xml:space="preserve"> </w:t>
      </w:r>
      <w:r w:rsidRPr="000A5184">
        <w:rPr>
          <w:i/>
          <w:iCs/>
        </w:rPr>
        <w:t>Rangfolge</w:t>
      </w:r>
      <w:r w:rsidRPr="000A5184">
        <w:rPr>
          <w:i/>
          <w:iCs/>
          <w:spacing w:val="-1"/>
        </w:rPr>
        <w:t xml:space="preserve"> </w:t>
      </w:r>
      <w:r w:rsidRPr="000A5184">
        <w:rPr>
          <w:i/>
          <w:iCs/>
        </w:rPr>
        <w:t>des</w:t>
      </w:r>
      <w:r w:rsidRPr="000A5184">
        <w:rPr>
          <w:i/>
          <w:iCs/>
          <w:spacing w:val="-1"/>
        </w:rPr>
        <w:t xml:space="preserve"> </w:t>
      </w:r>
      <w:r w:rsidRPr="000A5184">
        <w:rPr>
          <w:i/>
          <w:iCs/>
        </w:rPr>
        <w:t>sozialen</w:t>
      </w:r>
      <w:r w:rsidRPr="000A5184">
        <w:rPr>
          <w:i/>
          <w:iCs/>
          <w:spacing w:val="1"/>
        </w:rPr>
        <w:t xml:space="preserve"> </w:t>
      </w:r>
      <w:r w:rsidRPr="000A5184">
        <w:rPr>
          <w:i/>
          <w:iCs/>
          <w:spacing w:val="-2"/>
        </w:rPr>
        <w:t>Tempos</w:t>
      </w:r>
    </w:p>
    <w:tbl>
      <w:tblPr>
        <w:tblStyle w:val="TableNormal"/>
        <w:tblW w:w="5000" w:type="pct"/>
        <w:tblBorders>
          <w:top w:val="single" w:sz="4" w:space="0" w:color="auto"/>
          <w:bottom w:val="single" w:sz="4" w:space="0" w:color="auto"/>
          <w:insideH w:val="single" w:sz="4" w:space="0" w:color="auto"/>
        </w:tblBorders>
        <w:tblLook w:val="01E0" w:firstRow="1" w:lastRow="1" w:firstColumn="1" w:lastColumn="1" w:noHBand="0" w:noVBand="0"/>
      </w:tblPr>
      <w:tblGrid>
        <w:gridCol w:w="1815"/>
        <w:gridCol w:w="1815"/>
        <w:gridCol w:w="1814"/>
        <w:gridCol w:w="1814"/>
        <w:gridCol w:w="1814"/>
      </w:tblGrid>
      <w:tr w:rsidR="00FF7799" w:rsidRPr="00E73F6F" w14:paraId="51357000" w14:textId="77777777" w:rsidTr="00001EBB">
        <w:trPr>
          <w:trHeight w:val="460"/>
          <w:tblHeader/>
        </w:trPr>
        <w:tc>
          <w:tcPr>
            <w:tcW w:w="1000" w:type="pct"/>
            <w:shd w:val="clear" w:color="auto" w:fill="FFC000" w:themeFill="accent4"/>
          </w:tcPr>
          <w:p w14:paraId="709891C1" w14:textId="77777777" w:rsidR="00FF7799" w:rsidRPr="00E73F6F" w:rsidRDefault="00FF7799" w:rsidP="00001EBB">
            <w:pPr>
              <w:pStyle w:val="StandardText"/>
              <w:jc w:val="center"/>
              <w:rPr>
                <w:b/>
                <w:lang w:val="de-DE"/>
              </w:rPr>
            </w:pPr>
            <w:r w:rsidRPr="00E73F6F">
              <w:rPr>
                <w:b/>
                <w:lang w:val="de-DE"/>
              </w:rPr>
              <w:t>Land</w:t>
            </w:r>
          </w:p>
        </w:tc>
        <w:tc>
          <w:tcPr>
            <w:tcW w:w="1000" w:type="pct"/>
            <w:shd w:val="clear" w:color="auto" w:fill="FFC000" w:themeFill="accent4"/>
          </w:tcPr>
          <w:p w14:paraId="281C80BE" w14:textId="77777777" w:rsidR="00FF7799" w:rsidRPr="00E73F6F" w:rsidRDefault="00FF7799" w:rsidP="00140268">
            <w:pPr>
              <w:pStyle w:val="StandardText"/>
              <w:spacing w:after="120"/>
              <w:jc w:val="center"/>
              <w:rPr>
                <w:b/>
                <w:lang w:val="de-DE"/>
              </w:rPr>
            </w:pPr>
            <w:r w:rsidRPr="00E73F6F">
              <w:rPr>
                <w:b/>
                <w:spacing w:val="-2"/>
                <w:lang w:val="de-DE"/>
              </w:rPr>
              <w:t>Gesamttempo</w:t>
            </w:r>
          </w:p>
        </w:tc>
        <w:tc>
          <w:tcPr>
            <w:tcW w:w="1000" w:type="pct"/>
            <w:shd w:val="clear" w:color="auto" w:fill="FFC000" w:themeFill="accent4"/>
          </w:tcPr>
          <w:p w14:paraId="6883B497" w14:textId="77777777" w:rsidR="00FF7799" w:rsidRPr="00E73F6F" w:rsidRDefault="00FF7799" w:rsidP="00140268">
            <w:pPr>
              <w:pStyle w:val="StandardText"/>
              <w:spacing w:after="120"/>
              <w:jc w:val="center"/>
              <w:rPr>
                <w:b/>
                <w:lang w:val="de-DE"/>
              </w:rPr>
            </w:pPr>
            <w:r w:rsidRPr="00E73F6F">
              <w:rPr>
                <w:b/>
                <w:spacing w:val="-4"/>
                <w:lang w:val="de-DE"/>
              </w:rPr>
              <w:t>Geh</w:t>
            </w:r>
            <w:r w:rsidRPr="00E73F6F">
              <w:rPr>
                <w:b/>
                <w:spacing w:val="-2"/>
                <w:lang w:val="de-DE"/>
              </w:rPr>
              <w:t>geschwindigkeit</w:t>
            </w:r>
          </w:p>
        </w:tc>
        <w:tc>
          <w:tcPr>
            <w:tcW w:w="1000" w:type="pct"/>
            <w:shd w:val="clear" w:color="auto" w:fill="FFC000" w:themeFill="accent4"/>
          </w:tcPr>
          <w:p w14:paraId="1FB3EE35" w14:textId="77777777" w:rsidR="00FF7799" w:rsidRPr="00E73F6F" w:rsidRDefault="00FF7799" w:rsidP="00140268">
            <w:pPr>
              <w:pStyle w:val="StandardText"/>
              <w:spacing w:after="120"/>
              <w:jc w:val="center"/>
              <w:rPr>
                <w:b/>
                <w:lang w:val="de-DE"/>
              </w:rPr>
            </w:pPr>
            <w:r w:rsidRPr="00E73F6F">
              <w:rPr>
                <w:b/>
                <w:spacing w:val="-2"/>
                <w:lang w:val="de-DE"/>
              </w:rPr>
              <w:t>Bedienungszeit</w:t>
            </w:r>
            <w:r w:rsidRPr="00E73F6F">
              <w:rPr>
                <w:b/>
                <w:spacing w:val="40"/>
                <w:lang w:val="de-DE"/>
              </w:rPr>
              <w:t xml:space="preserve"> </w:t>
            </w:r>
            <w:r w:rsidRPr="00E73F6F">
              <w:rPr>
                <w:b/>
                <w:lang w:val="de-DE"/>
              </w:rPr>
              <w:t>bei der Post</w:t>
            </w:r>
          </w:p>
        </w:tc>
        <w:tc>
          <w:tcPr>
            <w:tcW w:w="1000" w:type="pct"/>
            <w:shd w:val="clear" w:color="auto" w:fill="FFC000" w:themeFill="accent4"/>
          </w:tcPr>
          <w:p w14:paraId="54C62991" w14:textId="77777777" w:rsidR="00FF7799" w:rsidRPr="00E73F6F" w:rsidRDefault="00FF7799" w:rsidP="00140268">
            <w:pPr>
              <w:pStyle w:val="StandardText"/>
              <w:spacing w:after="120"/>
              <w:jc w:val="center"/>
              <w:rPr>
                <w:b/>
                <w:lang w:val="de-DE"/>
              </w:rPr>
            </w:pPr>
            <w:r w:rsidRPr="00E73F6F">
              <w:rPr>
                <w:b/>
                <w:spacing w:val="-2"/>
                <w:lang w:val="de-DE"/>
              </w:rPr>
              <w:t xml:space="preserve">Genauigkeit </w:t>
            </w:r>
            <w:r w:rsidRPr="00E73F6F">
              <w:rPr>
                <w:b/>
                <w:spacing w:val="-2"/>
                <w:lang w:val="de-DE"/>
              </w:rPr>
              <w:br/>
            </w:r>
            <w:r w:rsidRPr="00E73F6F">
              <w:rPr>
                <w:b/>
                <w:lang w:val="de-DE"/>
              </w:rPr>
              <w:t>der Uhren</w:t>
            </w:r>
          </w:p>
        </w:tc>
      </w:tr>
      <w:tr w:rsidR="00FF7799" w:rsidRPr="00E73F6F" w14:paraId="4F0FD298" w14:textId="77777777" w:rsidTr="009B5040">
        <w:trPr>
          <w:trHeight w:val="369"/>
        </w:trPr>
        <w:tc>
          <w:tcPr>
            <w:tcW w:w="1000" w:type="pct"/>
            <w:shd w:val="clear" w:color="auto" w:fill="FFF2CC" w:themeFill="accent4" w:themeFillTint="33"/>
          </w:tcPr>
          <w:p w14:paraId="0A167F0E" w14:textId="77777777" w:rsidR="00FF7799" w:rsidRPr="009B5040" w:rsidRDefault="00FF7799" w:rsidP="00001EBB">
            <w:pPr>
              <w:pStyle w:val="StandardText"/>
              <w:rPr>
                <w:lang w:val="de-DE"/>
              </w:rPr>
            </w:pPr>
            <w:r w:rsidRPr="009B5040">
              <w:rPr>
                <w:spacing w:val="-2"/>
                <w:lang w:val="de-DE"/>
              </w:rPr>
              <w:t>Schweiz</w:t>
            </w:r>
          </w:p>
        </w:tc>
        <w:tc>
          <w:tcPr>
            <w:tcW w:w="1000" w:type="pct"/>
          </w:tcPr>
          <w:p w14:paraId="1C14E167" w14:textId="77777777" w:rsidR="00FF7799" w:rsidRPr="00E73F6F" w:rsidRDefault="00FF7799" w:rsidP="00140268">
            <w:pPr>
              <w:pStyle w:val="StandardText"/>
              <w:jc w:val="center"/>
              <w:rPr>
                <w:lang w:val="de-DE"/>
              </w:rPr>
            </w:pPr>
            <w:r w:rsidRPr="00E73F6F">
              <w:rPr>
                <w:lang w:val="de-DE"/>
              </w:rPr>
              <w:t>1</w:t>
            </w:r>
          </w:p>
        </w:tc>
        <w:tc>
          <w:tcPr>
            <w:tcW w:w="1000" w:type="pct"/>
          </w:tcPr>
          <w:p w14:paraId="6817F16D" w14:textId="77777777" w:rsidR="00FF7799" w:rsidRPr="00E73F6F" w:rsidRDefault="00FF7799" w:rsidP="00140268">
            <w:pPr>
              <w:pStyle w:val="StandardText"/>
              <w:jc w:val="center"/>
              <w:rPr>
                <w:lang w:val="de-DE"/>
              </w:rPr>
            </w:pPr>
            <w:r w:rsidRPr="00E73F6F">
              <w:rPr>
                <w:lang w:val="de-DE"/>
              </w:rPr>
              <w:t>3</w:t>
            </w:r>
          </w:p>
        </w:tc>
        <w:tc>
          <w:tcPr>
            <w:tcW w:w="1000" w:type="pct"/>
          </w:tcPr>
          <w:p w14:paraId="7995C799" w14:textId="77777777" w:rsidR="00FF7799" w:rsidRPr="00E73F6F" w:rsidRDefault="00FF7799" w:rsidP="00140268">
            <w:pPr>
              <w:pStyle w:val="StandardText"/>
              <w:jc w:val="center"/>
              <w:rPr>
                <w:lang w:val="de-DE"/>
              </w:rPr>
            </w:pPr>
            <w:r w:rsidRPr="00E73F6F">
              <w:rPr>
                <w:lang w:val="de-DE"/>
              </w:rPr>
              <w:t>2</w:t>
            </w:r>
          </w:p>
        </w:tc>
        <w:tc>
          <w:tcPr>
            <w:tcW w:w="1000" w:type="pct"/>
          </w:tcPr>
          <w:p w14:paraId="02173318" w14:textId="77777777" w:rsidR="00FF7799" w:rsidRPr="00E73F6F" w:rsidRDefault="00FF7799" w:rsidP="00140268">
            <w:pPr>
              <w:pStyle w:val="StandardText"/>
              <w:jc w:val="center"/>
              <w:rPr>
                <w:lang w:val="de-DE"/>
              </w:rPr>
            </w:pPr>
            <w:r w:rsidRPr="00E73F6F">
              <w:rPr>
                <w:lang w:val="de-DE"/>
              </w:rPr>
              <w:t>1</w:t>
            </w:r>
          </w:p>
        </w:tc>
      </w:tr>
      <w:tr w:rsidR="00FF7799" w:rsidRPr="00E73F6F" w14:paraId="6B2D8D2C" w14:textId="77777777" w:rsidTr="009B5040">
        <w:trPr>
          <w:trHeight w:val="366"/>
        </w:trPr>
        <w:tc>
          <w:tcPr>
            <w:tcW w:w="1000" w:type="pct"/>
            <w:shd w:val="clear" w:color="auto" w:fill="FFF2CC" w:themeFill="accent4" w:themeFillTint="33"/>
          </w:tcPr>
          <w:p w14:paraId="2D0EF7E0" w14:textId="77777777" w:rsidR="00FF7799" w:rsidRPr="009B5040" w:rsidRDefault="00FF7799" w:rsidP="00001EBB">
            <w:pPr>
              <w:pStyle w:val="StandardText"/>
              <w:rPr>
                <w:lang w:val="de-DE"/>
              </w:rPr>
            </w:pPr>
            <w:r w:rsidRPr="009B5040">
              <w:rPr>
                <w:spacing w:val="-2"/>
                <w:lang w:val="de-DE"/>
              </w:rPr>
              <w:t>Irland</w:t>
            </w:r>
          </w:p>
        </w:tc>
        <w:tc>
          <w:tcPr>
            <w:tcW w:w="1000" w:type="pct"/>
          </w:tcPr>
          <w:p w14:paraId="32481103" w14:textId="77777777" w:rsidR="00FF7799" w:rsidRPr="00E73F6F" w:rsidRDefault="00FF7799" w:rsidP="00140268">
            <w:pPr>
              <w:pStyle w:val="StandardText"/>
              <w:jc w:val="center"/>
              <w:rPr>
                <w:lang w:val="de-DE"/>
              </w:rPr>
            </w:pPr>
            <w:r w:rsidRPr="00E73F6F">
              <w:rPr>
                <w:lang w:val="de-DE"/>
              </w:rPr>
              <w:t>2</w:t>
            </w:r>
          </w:p>
        </w:tc>
        <w:tc>
          <w:tcPr>
            <w:tcW w:w="1000" w:type="pct"/>
          </w:tcPr>
          <w:p w14:paraId="11C16241" w14:textId="77777777" w:rsidR="00FF7799" w:rsidRPr="00E73F6F" w:rsidRDefault="00FF7799" w:rsidP="00140268">
            <w:pPr>
              <w:pStyle w:val="StandardText"/>
              <w:jc w:val="center"/>
              <w:rPr>
                <w:lang w:val="de-DE"/>
              </w:rPr>
            </w:pPr>
            <w:r w:rsidRPr="00E73F6F">
              <w:rPr>
                <w:lang w:val="de-DE"/>
              </w:rPr>
              <w:t>1</w:t>
            </w:r>
          </w:p>
        </w:tc>
        <w:tc>
          <w:tcPr>
            <w:tcW w:w="1000" w:type="pct"/>
          </w:tcPr>
          <w:p w14:paraId="42E31A00" w14:textId="77777777" w:rsidR="00FF7799" w:rsidRPr="00E73F6F" w:rsidRDefault="00FF7799" w:rsidP="00140268">
            <w:pPr>
              <w:pStyle w:val="StandardText"/>
              <w:jc w:val="center"/>
              <w:rPr>
                <w:lang w:val="de-DE"/>
              </w:rPr>
            </w:pPr>
            <w:r w:rsidRPr="00E73F6F">
              <w:rPr>
                <w:lang w:val="de-DE"/>
              </w:rPr>
              <w:t>3</w:t>
            </w:r>
          </w:p>
        </w:tc>
        <w:tc>
          <w:tcPr>
            <w:tcW w:w="1000" w:type="pct"/>
          </w:tcPr>
          <w:p w14:paraId="1D69494B" w14:textId="77777777" w:rsidR="00FF7799" w:rsidRPr="00E73F6F" w:rsidRDefault="00FF7799" w:rsidP="00140268">
            <w:pPr>
              <w:pStyle w:val="StandardText"/>
              <w:jc w:val="center"/>
              <w:rPr>
                <w:lang w:val="de-DE"/>
              </w:rPr>
            </w:pPr>
            <w:r w:rsidRPr="00E73F6F">
              <w:rPr>
                <w:spacing w:val="-5"/>
                <w:lang w:val="de-DE"/>
              </w:rPr>
              <w:t>11</w:t>
            </w:r>
          </w:p>
        </w:tc>
      </w:tr>
      <w:tr w:rsidR="00FF7799" w:rsidRPr="00E73F6F" w14:paraId="2B069F07" w14:textId="77777777" w:rsidTr="009B5040">
        <w:trPr>
          <w:trHeight w:val="366"/>
        </w:trPr>
        <w:tc>
          <w:tcPr>
            <w:tcW w:w="1000" w:type="pct"/>
            <w:shd w:val="clear" w:color="auto" w:fill="FFF2CC" w:themeFill="accent4" w:themeFillTint="33"/>
          </w:tcPr>
          <w:p w14:paraId="4D8DC366" w14:textId="77777777" w:rsidR="00FF7799" w:rsidRPr="009B5040" w:rsidRDefault="00FF7799" w:rsidP="00001EBB">
            <w:pPr>
              <w:pStyle w:val="StandardText"/>
              <w:rPr>
                <w:lang w:val="de-DE"/>
              </w:rPr>
            </w:pPr>
            <w:r w:rsidRPr="009B5040">
              <w:rPr>
                <w:spacing w:val="-2"/>
                <w:lang w:val="de-DE"/>
              </w:rPr>
              <w:t>Deutschland</w:t>
            </w:r>
          </w:p>
        </w:tc>
        <w:tc>
          <w:tcPr>
            <w:tcW w:w="1000" w:type="pct"/>
          </w:tcPr>
          <w:p w14:paraId="528E07FB" w14:textId="77777777" w:rsidR="00FF7799" w:rsidRPr="00E73F6F" w:rsidRDefault="00FF7799" w:rsidP="00140268">
            <w:pPr>
              <w:pStyle w:val="StandardText"/>
              <w:jc w:val="center"/>
              <w:rPr>
                <w:lang w:val="de-DE"/>
              </w:rPr>
            </w:pPr>
            <w:r w:rsidRPr="00E73F6F">
              <w:rPr>
                <w:lang w:val="de-DE"/>
              </w:rPr>
              <w:t>3</w:t>
            </w:r>
          </w:p>
        </w:tc>
        <w:tc>
          <w:tcPr>
            <w:tcW w:w="1000" w:type="pct"/>
          </w:tcPr>
          <w:p w14:paraId="2DD4FF8D" w14:textId="77777777" w:rsidR="00FF7799" w:rsidRPr="00E73F6F" w:rsidRDefault="00FF7799" w:rsidP="00140268">
            <w:pPr>
              <w:pStyle w:val="StandardText"/>
              <w:jc w:val="center"/>
              <w:rPr>
                <w:lang w:val="de-DE"/>
              </w:rPr>
            </w:pPr>
            <w:r w:rsidRPr="00E73F6F">
              <w:rPr>
                <w:lang w:val="de-DE"/>
              </w:rPr>
              <w:t>5</w:t>
            </w:r>
          </w:p>
        </w:tc>
        <w:tc>
          <w:tcPr>
            <w:tcW w:w="1000" w:type="pct"/>
          </w:tcPr>
          <w:p w14:paraId="5F5C961E" w14:textId="77777777" w:rsidR="00FF7799" w:rsidRPr="00E73F6F" w:rsidRDefault="00FF7799" w:rsidP="00140268">
            <w:pPr>
              <w:pStyle w:val="StandardText"/>
              <w:jc w:val="center"/>
              <w:rPr>
                <w:lang w:val="de-DE"/>
              </w:rPr>
            </w:pPr>
            <w:r w:rsidRPr="00E73F6F">
              <w:rPr>
                <w:lang w:val="de-DE"/>
              </w:rPr>
              <w:t>1</w:t>
            </w:r>
          </w:p>
        </w:tc>
        <w:tc>
          <w:tcPr>
            <w:tcW w:w="1000" w:type="pct"/>
          </w:tcPr>
          <w:p w14:paraId="7DF7EB30" w14:textId="77777777" w:rsidR="00FF7799" w:rsidRPr="00E73F6F" w:rsidRDefault="00FF7799" w:rsidP="00140268">
            <w:pPr>
              <w:pStyle w:val="StandardText"/>
              <w:jc w:val="center"/>
              <w:rPr>
                <w:lang w:val="de-DE"/>
              </w:rPr>
            </w:pPr>
            <w:r w:rsidRPr="00E73F6F">
              <w:rPr>
                <w:lang w:val="de-DE"/>
              </w:rPr>
              <w:t>8</w:t>
            </w:r>
          </w:p>
        </w:tc>
      </w:tr>
      <w:tr w:rsidR="00FF7799" w:rsidRPr="00E73F6F" w14:paraId="2226C8D3" w14:textId="77777777" w:rsidTr="009B5040">
        <w:trPr>
          <w:trHeight w:val="369"/>
        </w:trPr>
        <w:tc>
          <w:tcPr>
            <w:tcW w:w="1000" w:type="pct"/>
            <w:shd w:val="clear" w:color="auto" w:fill="FFF2CC" w:themeFill="accent4" w:themeFillTint="33"/>
          </w:tcPr>
          <w:p w14:paraId="380F9C7F" w14:textId="77777777" w:rsidR="00FF7799" w:rsidRPr="009B5040" w:rsidRDefault="00FF7799" w:rsidP="00001EBB">
            <w:pPr>
              <w:pStyle w:val="StandardText"/>
              <w:rPr>
                <w:lang w:val="de-DE"/>
              </w:rPr>
            </w:pPr>
            <w:r w:rsidRPr="009B5040">
              <w:rPr>
                <w:spacing w:val="-2"/>
                <w:lang w:val="de-DE"/>
              </w:rPr>
              <w:t>Japan</w:t>
            </w:r>
          </w:p>
        </w:tc>
        <w:tc>
          <w:tcPr>
            <w:tcW w:w="1000" w:type="pct"/>
          </w:tcPr>
          <w:p w14:paraId="49F37C84" w14:textId="77777777" w:rsidR="00FF7799" w:rsidRPr="00E73F6F" w:rsidRDefault="00FF7799" w:rsidP="00140268">
            <w:pPr>
              <w:pStyle w:val="StandardText"/>
              <w:jc w:val="center"/>
              <w:rPr>
                <w:lang w:val="de-DE"/>
              </w:rPr>
            </w:pPr>
            <w:r w:rsidRPr="00E73F6F">
              <w:rPr>
                <w:lang w:val="de-DE"/>
              </w:rPr>
              <w:t>4</w:t>
            </w:r>
          </w:p>
        </w:tc>
        <w:tc>
          <w:tcPr>
            <w:tcW w:w="1000" w:type="pct"/>
          </w:tcPr>
          <w:p w14:paraId="1CFCBFA1" w14:textId="77777777" w:rsidR="00FF7799" w:rsidRPr="00E73F6F" w:rsidRDefault="00FF7799" w:rsidP="00140268">
            <w:pPr>
              <w:pStyle w:val="StandardText"/>
              <w:jc w:val="center"/>
              <w:rPr>
                <w:lang w:val="de-DE"/>
              </w:rPr>
            </w:pPr>
            <w:r w:rsidRPr="00E73F6F">
              <w:rPr>
                <w:lang w:val="de-DE"/>
              </w:rPr>
              <w:t>7</w:t>
            </w:r>
          </w:p>
        </w:tc>
        <w:tc>
          <w:tcPr>
            <w:tcW w:w="1000" w:type="pct"/>
          </w:tcPr>
          <w:p w14:paraId="275037A4" w14:textId="77777777" w:rsidR="00FF7799" w:rsidRPr="00E73F6F" w:rsidRDefault="00FF7799" w:rsidP="00140268">
            <w:pPr>
              <w:pStyle w:val="StandardText"/>
              <w:jc w:val="center"/>
              <w:rPr>
                <w:lang w:val="de-DE"/>
              </w:rPr>
            </w:pPr>
            <w:r w:rsidRPr="00E73F6F">
              <w:rPr>
                <w:lang w:val="de-DE"/>
              </w:rPr>
              <w:t>4</w:t>
            </w:r>
          </w:p>
        </w:tc>
        <w:tc>
          <w:tcPr>
            <w:tcW w:w="1000" w:type="pct"/>
          </w:tcPr>
          <w:p w14:paraId="4B73523D" w14:textId="77777777" w:rsidR="00FF7799" w:rsidRPr="00E73F6F" w:rsidRDefault="00FF7799" w:rsidP="00140268">
            <w:pPr>
              <w:pStyle w:val="StandardText"/>
              <w:jc w:val="center"/>
              <w:rPr>
                <w:lang w:val="de-DE"/>
              </w:rPr>
            </w:pPr>
            <w:r w:rsidRPr="00E73F6F">
              <w:rPr>
                <w:lang w:val="de-DE"/>
              </w:rPr>
              <w:t>6</w:t>
            </w:r>
          </w:p>
        </w:tc>
      </w:tr>
      <w:tr w:rsidR="00FF7799" w:rsidRPr="00E73F6F" w14:paraId="3600D1F2" w14:textId="77777777" w:rsidTr="009B5040">
        <w:trPr>
          <w:trHeight w:val="366"/>
        </w:trPr>
        <w:tc>
          <w:tcPr>
            <w:tcW w:w="1000" w:type="pct"/>
            <w:shd w:val="clear" w:color="auto" w:fill="FFF2CC" w:themeFill="accent4" w:themeFillTint="33"/>
          </w:tcPr>
          <w:p w14:paraId="44F31840" w14:textId="77777777" w:rsidR="00FF7799" w:rsidRPr="009B5040" w:rsidRDefault="00FF7799" w:rsidP="00001EBB">
            <w:pPr>
              <w:pStyle w:val="StandardText"/>
              <w:rPr>
                <w:lang w:val="de-DE"/>
              </w:rPr>
            </w:pPr>
            <w:r w:rsidRPr="009B5040">
              <w:rPr>
                <w:spacing w:val="-2"/>
                <w:lang w:val="de-DE"/>
              </w:rPr>
              <w:t>Italien</w:t>
            </w:r>
          </w:p>
        </w:tc>
        <w:tc>
          <w:tcPr>
            <w:tcW w:w="1000" w:type="pct"/>
          </w:tcPr>
          <w:p w14:paraId="3CF621AC" w14:textId="77777777" w:rsidR="00FF7799" w:rsidRPr="00E73F6F" w:rsidRDefault="00FF7799" w:rsidP="00140268">
            <w:pPr>
              <w:pStyle w:val="StandardText"/>
              <w:jc w:val="center"/>
              <w:rPr>
                <w:lang w:val="de-DE"/>
              </w:rPr>
            </w:pPr>
            <w:r w:rsidRPr="00E73F6F">
              <w:rPr>
                <w:lang w:val="de-DE"/>
              </w:rPr>
              <w:t>5</w:t>
            </w:r>
          </w:p>
        </w:tc>
        <w:tc>
          <w:tcPr>
            <w:tcW w:w="1000" w:type="pct"/>
          </w:tcPr>
          <w:p w14:paraId="497695D5" w14:textId="77777777" w:rsidR="00FF7799" w:rsidRPr="00E73F6F" w:rsidRDefault="00FF7799" w:rsidP="00140268">
            <w:pPr>
              <w:pStyle w:val="StandardText"/>
              <w:jc w:val="center"/>
              <w:rPr>
                <w:lang w:val="de-DE"/>
              </w:rPr>
            </w:pPr>
            <w:r w:rsidRPr="00E73F6F">
              <w:rPr>
                <w:spacing w:val="-5"/>
                <w:lang w:val="de-DE"/>
              </w:rPr>
              <w:t>10</w:t>
            </w:r>
          </w:p>
        </w:tc>
        <w:tc>
          <w:tcPr>
            <w:tcW w:w="1000" w:type="pct"/>
          </w:tcPr>
          <w:p w14:paraId="655ED7C1" w14:textId="77777777" w:rsidR="00FF7799" w:rsidRPr="00E73F6F" w:rsidRDefault="00FF7799" w:rsidP="00140268">
            <w:pPr>
              <w:pStyle w:val="StandardText"/>
              <w:jc w:val="center"/>
              <w:rPr>
                <w:lang w:val="de-DE"/>
              </w:rPr>
            </w:pPr>
            <w:r w:rsidRPr="00E73F6F">
              <w:rPr>
                <w:spacing w:val="-5"/>
                <w:lang w:val="de-DE"/>
              </w:rPr>
              <w:t>12</w:t>
            </w:r>
          </w:p>
        </w:tc>
        <w:tc>
          <w:tcPr>
            <w:tcW w:w="1000" w:type="pct"/>
          </w:tcPr>
          <w:p w14:paraId="0287FCFB" w14:textId="77777777" w:rsidR="00FF7799" w:rsidRPr="00E73F6F" w:rsidRDefault="00FF7799" w:rsidP="00140268">
            <w:pPr>
              <w:pStyle w:val="StandardText"/>
              <w:jc w:val="center"/>
              <w:rPr>
                <w:lang w:val="de-DE"/>
              </w:rPr>
            </w:pPr>
            <w:r w:rsidRPr="00E73F6F">
              <w:rPr>
                <w:lang w:val="de-DE"/>
              </w:rPr>
              <w:t>2</w:t>
            </w:r>
          </w:p>
        </w:tc>
      </w:tr>
      <w:tr w:rsidR="00FF7799" w:rsidRPr="00E73F6F" w14:paraId="2749D4F2" w14:textId="77777777" w:rsidTr="009B5040">
        <w:trPr>
          <w:trHeight w:val="369"/>
        </w:trPr>
        <w:tc>
          <w:tcPr>
            <w:tcW w:w="1000" w:type="pct"/>
            <w:shd w:val="clear" w:color="auto" w:fill="FFF2CC" w:themeFill="accent4" w:themeFillTint="33"/>
          </w:tcPr>
          <w:p w14:paraId="58830390" w14:textId="77777777" w:rsidR="00FF7799" w:rsidRPr="009B5040" w:rsidRDefault="00FF7799" w:rsidP="00001EBB">
            <w:pPr>
              <w:pStyle w:val="StandardText"/>
              <w:rPr>
                <w:lang w:val="de-DE"/>
              </w:rPr>
            </w:pPr>
            <w:r w:rsidRPr="009B5040">
              <w:rPr>
                <w:spacing w:val="-2"/>
                <w:lang w:val="de-DE"/>
              </w:rPr>
              <w:t>Großbritannien</w:t>
            </w:r>
          </w:p>
        </w:tc>
        <w:tc>
          <w:tcPr>
            <w:tcW w:w="1000" w:type="pct"/>
          </w:tcPr>
          <w:p w14:paraId="352C8334" w14:textId="77777777" w:rsidR="00FF7799" w:rsidRPr="00E73F6F" w:rsidRDefault="00FF7799" w:rsidP="00140268">
            <w:pPr>
              <w:pStyle w:val="StandardText"/>
              <w:jc w:val="center"/>
              <w:rPr>
                <w:lang w:val="de-DE"/>
              </w:rPr>
            </w:pPr>
            <w:r w:rsidRPr="00E73F6F">
              <w:rPr>
                <w:lang w:val="de-DE"/>
              </w:rPr>
              <w:t>6</w:t>
            </w:r>
          </w:p>
        </w:tc>
        <w:tc>
          <w:tcPr>
            <w:tcW w:w="1000" w:type="pct"/>
          </w:tcPr>
          <w:p w14:paraId="07B23E35" w14:textId="77777777" w:rsidR="00FF7799" w:rsidRPr="00E73F6F" w:rsidRDefault="00FF7799" w:rsidP="00140268">
            <w:pPr>
              <w:pStyle w:val="StandardText"/>
              <w:jc w:val="center"/>
              <w:rPr>
                <w:lang w:val="de-DE"/>
              </w:rPr>
            </w:pPr>
            <w:r w:rsidRPr="00E73F6F">
              <w:rPr>
                <w:lang w:val="de-DE"/>
              </w:rPr>
              <w:t>4</w:t>
            </w:r>
          </w:p>
        </w:tc>
        <w:tc>
          <w:tcPr>
            <w:tcW w:w="1000" w:type="pct"/>
          </w:tcPr>
          <w:p w14:paraId="5C092256" w14:textId="77777777" w:rsidR="00FF7799" w:rsidRPr="00E73F6F" w:rsidRDefault="00FF7799" w:rsidP="00140268">
            <w:pPr>
              <w:pStyle w:val="StandardText"/>
              <w:jc w:val="center"/>
              <w:rPr>
                <w:lang w:val="de-DE"/>
              </w:rPr>
            </w:pPr>
            <w:r w:rsidRPr="00E73F6F">
              <w:rPr>
                <w:lang w:val="de-DE"/>
              </w:rPr>
              <w:t>9</w:t>
            </w:r>
          </w:p>
        </w:tc>
        <w:tc>
          <w:tcPr>
            <w:tcW w:w="1000" w:type="pct"/>
          </w:tcPr>
          <w:p w14:paraId="65772817" w14:textId="77777777" w:rsidR="00FF7799" w:rsidRPr="00E73F6F" w:rsidRDefault="00FF7799" w:rsidP="00140268">
            <w:pPr>
              <w:pStyle w:val="StandardText"/>
              <w:jc w:val="center"/>
              <w:rPr>
                <w:lang w:val="de-DE"/>
              </w:rPr>
            </w:pPr>
            <w:r w:rsidRPr="00E73F6F">
              <w:rPr>
                <w:spacing w:val="-5"/>
                <w:lang w:val="de-DE"/>
              </w:rPr>
              <w:t>13</w:t>
            </w:r>
          </w:p>
        </w:tc>
      </w:tr>
      <w:tr w:rsidR="00FF7799" w:rsidRPr="00E73F6F" w14:paraId="633AE2AC" w14:textId="77777777" w:rsidTr="009B5040">
        <w:trPr>
          <w:trHeight w:val="366"/>
        </w:trPr>
        <w:tc>
          <w:tcPr>
            <w:tcW w:w="1000" w:type="pct"/>
            <w:shd w:val="clear" w:color="auto" w:fill="FFF2CC" w:themeFill="accent4" w:themeFillTint="33"/>
          </w:tcPr>
          <w:p w14:paraId="567B128B" w14:textId="77777777" w:rsidR="00FF7799" w:rsidRPr="009B5040" w:rsidRDefault="00FF7799" w:rsidP="00001EBB">
            <w:pPr>
              <w:pStyle w:val="StandardText"/>
              <w:rPr>
                <w:lang w:val="de-DE"/>
              </w:rPr>
            </w:pPr>
            <w:r w:rsidRPr="009B5040">
              <w:rPr>
                <w:spacing w:val="-2"/>
                <w:lang w:val="de-DE"/>
              </w:rPr>
              <w:t>Schweden</w:t>
            </w:r>
          </w:p>
        </w:tc>
        <w:tc>
          <w:tcPr>
            <w:tcW w:w="1000" w:type="pct"/>
          </w:tcPr>
          <w:p w14:paraId="4A83350A" w14:textId="77777777" w:rsidR="00FF7799" w:rsidRPr="00E73F6F" w:rsidRDefault="00FF7799" w:rsidP="00140268">
            <w:pPr>
              <w:pStyle w:val="StandardText"/>
              <w:jc w:val="center"/>
              <w:rPr>
                <w:lang w:val="de-DE"/>
              </w:rPr>
            </w:pPr>
            <w:r w:rsidRPr="00E73F6F">
              <w:rPr>
                <w:lang w:val="de-DE"/>
              </w:rPr>
              <w:t>7</w:t>
            </w:r>
          </w:p>
        </w:tc>
        <w:tc>
          <w:tcPr>
            <w:tcW w:w="1000" w:type="pct"/>
          </w:tcPr>
          <w:p w14:paraId="2696929B" w14:textId="77777777" w:rsidR="00FF7799" w:rsidRPr="00E73F6F" w:rsidRDefault="00FF7799" w:rsidP="00140268">
            <w:pPr>
              <w:pStyle w:val="StandardText"/>
              <w:jc w:val="center"/>
              <w:rPr>
                <w:lang w:val="de-DE"/>
              </w:rPr>
            </w:pPr>
            <w:r w:rsidRPr="00E73F6F">
              <w:rPr>
                <w:spacing w:val="-5"/>
                <w:lang w:val="de-DE"/>
              </w:rPr>
              <w:t>13</w:t>
            </w:r>
          </w:p>
        </w:tc>
        <w:tc>
          <w:tcPr>
            <w:tcW w:w="1000" w:type="pct"/>
          </w:tcPr>
          <w:p w14:paraId="79831334" w14:textId="77777777" w:rsidR="00FF7799" w:rsidRPr="00E73F6F" w:rsidRDefault="00FF7799" w:rsidP="00140268">
            <w:pPr>
              <w:pStyle w:val="StandardText"/>
              <w:jc w:val="center"/>
              <w:rPr>
                <w:lang w:val="de-DE"/>
              </w:rPr>
            </w:pPr>
            <w:r w:rsidRPr="00E73F6F">
              <w:rPr>
                <w:lang w:val="de-DE"/>
              </w:rPr>
              <w:t>5</w:t>
            </w:r>
          </w:p>
        </w:tc>
        <w:tc>
          <w:tcPr>
            <w:tcW w:w="1000" w:type="pct"/>
          </w:tcPr>
          <w:p w14:paraId="3484BC5C" w14:textId="77777777" w:rsidR="00FF7799" w:rsidRPr="00E73F6F" w:rsidRDefault="00FF7799" w:rsidP="00140268">
            <w:pPr>
              <w:pStyle w:val="StandardText"/>
              <w:jc w:val="center"/>
              <w:rPr>
                <w:lang w:val="de-DE"/>
              </w:rPr>
            </w:pPr>
            <w:r w:rsidRPr="00E73F6F">
              <w:rPr>
                <w:lang w:val="de-DE"/>
              </w:rPr>
              <w:t>7</w:t>
            </w:r>
          </w:p>
        </w:tc>
      </w:tr>
      <w:tr w:rsidR="00FF7799" w:rsidRPr="00E73F6F" w14:paraId="2B2E9BB6" w14:textId="77777777" w:rsidTr="009B5040">
        <w:trPr>
          <w:trHeight w:val="369"/>
        </w:trPr>
        <w:tc>
          <w:tcPr>
            <w:tcW w:w="1000" w:type="pct"/>
            <w:shd w:val="clear" w:color="auto" w:fill="FFF2CC" w:themeFill="accent4" w:themeFillTint="33"/>
          </w:tcPr>
          <w:p w14:paraId="6516C4BD" w14:textId="77777777" w:rsidR="00FF7799" w:rsidRPr="009B5040" w:rsidRDefault="00FF7799" w:rsidP="00001EBB">
            <w:pPr>
              <w:pStyle w:val="StandardText"/>
              <w:rPr>
                <w:lang w:val="de-DE"/>
              </w:rPr>
            </w:pPr>
            <w:r w:rsidRPr="009B5040">
              <w:rPr>
                <w:spacing w:val="-2"/>
                <w:lang w:val="de-DE"/>
              </w:rPr>
              <w:t>Österreich</w:t>
            </w:r>
          </w:p>
        </w:tc>
        <w:tc>
          <w:tcPr>
            <w:tcW w:w="1000" w:type="pct"/>
          </w:tcPr>
          <w:p w14:paraId="358661D9" w14:textId="77777777" w:rsidR="00FF7799" w:rsidRPr="00E73F6F" w:rsidRDefault="00FF7799" w:rsidP="00140268">
            <w:pPr>
              <w:pStyle w:val="StandardText"/>
              <w:jc w:val="center"/>
              <w:rPr>
                <w:lang w:val="de-DE"/>
              </w:rPr>
            </w:pPr>
            <w:r w:rsidRPr="00E73F6F">
              <w:rPr>
                <w:lang w:val="de-DE"/>
              </w:rPr>
              <w:t>8</w:t>
            </w:r>
          </w:p>
        </w:tc>
        <w:tc>
          <w:tcPr>
            <w:tcW w:w="1000" w:type="pct"/>
          </w:tcPr>
          <w:p w14:paraId="7F649DD7" w14:textId="77777777" w:rsidR="00FF7799" w:rsidRPr="00E73F6F" w:rsidRDefault="00FF7799" w:rsidP="00140268">
            <w:pPr>
              <w:pStyle w:val="StandardText"/>
              <w:jc w:val="center"/>
              <w:rPr>
                <w:lang w:val="de-DE"/>
              </w:rPr>
            </w:pPr>
            <w:r w:rsidRPr="00E73F6F">
              <w:rPr>
                <w:spacing w:val="-5"/>
                <w:lang w:val="de-DE"/>
              </w:rPr>
              <w:t>23</w:t>
            </w:r>
          </w:p>
        </w:tc>
        <w:tc>
          <w:tcPr>
            <w:tcW w:w="1000" w:type="pct"/>
          </w:tcPr>
          <w:p w14:paraId="52084368" w14:textId="77777777" w:rsidR="00FF7799" w:rsidRPr="00E73F6F" w:rsidRDefault="00FF7799" w:rsidP="00140268">
            <w:pPr>
              <w:pStyle w:val="StandardText"/>
              <w:jc w:val="center"/>
              <w:rPr>
                <w:lang w:val="de-DE"/>
              </w:rPr>
            </w:pPr>
            <w:r w:rsidRPr="00E73F6F">
              <w:rPr>
                <w:lang w:val="de-DE"/>
              </w:rPr>
              <w:t>8</w:t>
            </w:r>
          </w:p>
        </w:tc>
        <w:tc>
          <w:tcPr>
            <w:tcW w:w="1000" w:type="pct"/>
          </w:tcPr>
          <w:p w14:paraId="220EC1D4" w14:textId="77777777" w:rsidR="00FF7799" w:rsidRPr="00E73F6F" w:rsidRDefault="00FF7799" w:rsidP="00140268">
            <w:pPr>
              <w:pStyle w:val="StandardText"/>
              <w:jc w:val="center"/>
              <w:rPr>
                <w:lang w:val="de-DE"/>
              </w:rPr>
            </w:pPr>
            <w:r w:rsidRPr="00E73F6F">
              <w:rPr>
                <w:lang w:val="de-DE"/>
              </w:rPr>
              <w:t>3</w:t>
            </w:r>
          </w:p>
        </w:tc>
      </w:tr>
      <w:tr w:rsidR="00FF7799" w:rsidRPr="00E73F6F" w14:paraId="37064E5F" w14:textId="77777777" w:rsidTr="009B5040">
        <w:trPr>
          <w:trHeight w:val="366"/>
        </w:trPr>
        <w:tc>
          <w:tcPr>
            <w:tcW w:w="1000" w:type="pct"/>
            <w:shd w:val="clear" w:color="auto" w:fill="FFF2CC" w:themeFill="accent4" w:themeFillTint="33"/>
          </w:tcPr>
          <w:p w14:paraId="361869B6" w14:textId="77777777" w:rsidR="00FF7799" w:rsidRPr="009B5040" w:rsidRDefault="00FF7799" w:rsidP="00001EBB">
            <w:pPr>
              <w:pStyle w:val="StandardText"/>
              <w:rPr>
                <w:lang w:val="de-DE"/>
              </w:rPr>
            </w:pPr>
            <w:r w:rsidRPr="009B5040">
              <w:rPr>
                <w:spacing w:val="-2"/>
                <w:lang w:val="de-DE"/>
              </w:rPr>
              <w:t>Niederlande</w:t>
            </w:r>
          </w:p>
        </w:tc>
        <w:tc>
          <w:tcPr>
            <w:tcW w:w="1000" w:type="pct"/>
          </w:tcPr>
          <w:p w14:paraId="619C47BA" w14:textId="77777777" w:rsidR="00FF7799" w:rsidRPr="00E73F6F" w:rsidRDefault="00FF7799" w:rsidP="00140268">
            <w:pPr>
              <w:pStyle w:val="StandardText"/>
              <w:jc w:val="center"/>
              <w:rPr>
                <w:lang w:val="de-DE"/>
              </w:rPr>
            </w:pPr>
            <w:r w:rsidRPr="00E73F6F">
              <w:rPr>
                <w:lang w:val="de-DE"/>
              </w:rPr>
              <w:t>9</w:t>
            </w:r>
          </w:p>
        </w:tc>
        <w:tc>
          <w:tcPr>
            <w:tcW w:w="1000" w:type="pct"/>
          </w:tcPr>
          <w:p w14:paraId="437897E4" w14:textId="77777777" w:rsidR="00FF7799" w:rsidRPr="00E73F6F" w:rsidRDefault="00FF7799" w:rsidP="00140268">
            <w:pPr>
              <w:pStyle w:val="StandardText"/>
              <w:jc w:val="center"/>
              <w:rPr>
                <w:lang w:val="de-DE"/>
              </w:rPr>
            </w:pPr>
            <w:r w:rsidRPr="00E73F6F">
              <w:rPr>
                <w:lang w:val="de-DE"/>
              </w:rPr>
              <w:t>2</w:t>
            </w:r>
          </w:p>
        </w:tc>
        <w:tc>
          <w:tcPr>
            <w:tcW w:w="1000" w:type="pct"/>
          </w:tcPr>
          <w:p w14:paraId="0467E032" w14:textId="77777777" w:rsidR="00FF7799" w:rsidRPr="00E73F6F" w:rsidRDefault="00FF7799" w:rsidP="00140268">
            <w:pPr>
              <w:pStyle w:val="StandardText"/>
              <w:jc w:val="center"/>
              <w:rPr>
                <w:lang w:val="de-DE"/>
              </w:rPr>
            </w:pPr>
            <w:r w:rsidRPr="00E73F6F">
              <w:rPr>
                <w:spacing w:val="-5"/>
                <w:lang w:val="de-DE"/>
              </w:rPr>
              <w:t>14</w:t>
            </w:r>
          </w:p>
        </w:tc>
        <w:tc>
          <w:tcPr>
            <w:tcW w:w="1000" w:type="pct"/>
          </w:tcPr>
          <w:p w14:paraId="201093E4" w14:textId="77777777" w:rsidR="00FF7799" w:rsidRPr="00E73F6F" w:rsidRDefault="00FF7799" w:rsidP="00140268">
            <w:pPr>
              <w:pStyle w:val="StandardText"/>
              <w:jc w:val="center"/>
              <w:rPr>
                <w:lang w:val="de-DE"/>
              </w:rPr>
            </w:pPr>
            <w:r w:rsidRPr="00E73F6F">
              <w:rPr>
                <w:spacing w:val="-5"/>
                <w:lang w:val="de-DE"/>
              </w:rPr>
              <w:t>25</w:t>
            </w:r>
          </w:p>
        </w:tc>
      </w:tr>
      <w:tr w:rsidR="00FF7799" w:rsidRPr="00E73F6F" w14:paraId="7A13FF8D" w14:textId="77777777" w:rsidTr="009B5040">
        <w:trPr>
          <w:trHeight w:val="369"/>
        </w:trPr>
        <w:tc>
          <w:tcPr>
            <w:tcW w:w="1000" w:type="pct"/>
            <w:shd w:val="clear" w:color="auto" w:fill="FFF2CC" w:themeFill="accent4" w:themeFillTint="33"/>
          </w:tcPr>
          <w:p w14:paraId="07F9635D" w14:textId="77777777" w:rsidR="00FF7799" w:rsidRPr="009B5040" w:rsidRDefault="00FF7799" w:rsidP="00001EBB">
            <w:pPr>
              <w:pStyle w:val="StandardText"/>
              <w:rPr>
                <w:lang w:val="de-DE"/>
              </w:rPr>
            </w:pPr>
            <w:r w:rsidRPr="009B5040">
              <w:rPr>
                <w:spacing w:val="-2"/>
                <w:lang w:val="de-DE"/>
              </w:rPr>
              <w:t>Hongkong</w:t>
            </w:r>
          </w:p>
        </w:tc>
        <w:tc>
          <w:tcPr>
            <w:tcW w:w="1000" w:type="pct"/>
          </w:tcPr>
          <w:p w14:paraId="056599E4" w14:textId="77777777" w:rsidR="00FF7799" w:rsidRPr="00E73F6F" w:rsidRDefault="00FF7799" w:rsidP="00140268">
            <w:pPr>
              <w:pStyle w:val="StandardText"/>
              <w:jc w:val="center"/>
              <w:rPr>
                <w:lang w:val="de-DE"/>
              </w:rPr>
            </w:pPr>
            <w:r w:rsidRPr="00E73F6F">
              <w:rPr>
                <w:spacing w:val="-5"/>
                <w:lang w:val="de-DE"/>
              </w:rPr>
              <w:t>10</w:t>
            </w:r>
          </w:p>
        </w:tc>
        <w:tc>
          <w:tcPr>
            <w:tcW w:w="1000" w:type="pct"/>
          </w:tcPr>
          <w:p w14:paraId="25CD6EA9" w14:textId="77777777" w:rsidR="00FF7799" w:rsidRPr="00E73F6F" w:rsidRDefault="00FF7799" w:rsidP="00140268">
            <w:pPr>
              <w:pStyle w:val="StandardText"/>
              <w:jc w:val="center"/>
              <w:rPr>
                <w:lang w:val="de-DE"/>
              </w:rPr>
            </w:pPr>
            <w:r w:rsidRPr="00E73F6F">
              <w:rPr>
                <w:spacing w:val="-5"/>
                <w:lang w:val="de-DE"/>
              </w:rPr>
              <w:t>14</w:t>
            </w:r>
          </w:p>
        </w:tc>
        <w:tc>
          <w:tcPr>
            <w:tcW w:w="1000" w:type="pct"/>
          </w:tcPr>
          <w:p w14:paraId="551B1106" w14:textId="77777777" w:rsidR="00FF7799" w:rsidRPr="00E73F6F" w:rsidRDefault="00FF7799" w:rsidP="00140268">
            <w:pPr>
              <w:pStyle w:val="StandardText"/>
              <w:jc w:val="center"/>
              <w:rPr>
                <w:lang w:val="de-DE"/>
              </w:rPr>
            </w:pPr>
            <w:r w:rsidRPr="00E73F6F">
              <w:rPr>
                <w:lang w:val="de-DE"/>
              </w:rPr>
              <w:t>6</w:t>
            </w:r>
          </w:p>
        </w:tc>
        <w:tc>
          <w:tcPr>
            <w:tcW w:w="1000" w:type="pct"/>
          </w:tcPr>
          <w:p w14:paraId="0A6905E6" w14:textId="77777777" w:rsidR="00FF7799" w:rsidRPr="00E73F6F" w:rsidRDefault="00FF7799" w:rsidP="00140268">
            <w:pPr>
              <w:pStyle w:val="StandardText"/>
              <w:jc w:val="center"/>
              <w:rPr>
                <w:lang w:val="de-DE"/>
              </w:rPr>
            </w:pPr>
            <w:r w:rsidRPr="00E73F6F">
              <w:rPr>
                <w:spacing w:val="-5"/>
                <w:lang w:val="de-DE"/>
              </w:rPr>
              <w:t>14</w:t>
            </w:r>
          </w:p>
        </w:tc>
      </w:tr>
      <w:tr w:rsidR="00FF7799" w:rsidRPr="00E73F6F" w14:paraId="477193DC" w14:textId="77777777" w:rsidTr="009B5040">
        <w:trPr>
          <w:trHeight w:val="366"/>
        </w:trPr>
        <w:tc>
          <w:tcPr>
            <w:tcW w:w="1000" w:type="pct"/>
            <w:shd w:val="clear" w:color="auto" w:fill="FFF2CC" w:themeFill="accent4" w:themeFillTint="33"/>
          </w:tcPr>
          <w:p w14:paraId="6C3FAA7F" w14:textId="77777777" w:rsidR="00FF7799" w:rsidRPr="009B5040" w:rsidRDefault="00FF7799" w:rsidP="00001EBB">
            <w:pPr>
              <w:pStyle w:val="StandardText"/>
              <w:rPr>
                <w:lang w:val="de-DE"/>
              </w:rPr>
            </w:pPr>
            <w:r w:rsidRPr="009B5040">
              <w:rPr>
                <w:spacing w:val="-2"/>
                <w:lang w:val="de-DE"/>
              </w:rPr>
              <w:t>Frankreich</w:t>
            </w:r>
          </w:p>
        </w:tc>
        <w:tc>
          <w:tcPr>
            <w:tcW w:w="1000" w:type="pct"/>
          </w:tcPr>
          <w:p w14:paraId="617CC817" w14:textId="77777777" w:rsidR="00FF7799" w:rsidRPr="00E73F6F" w:rsidRDefault="00FF7799" w:rsidP="00140268">
            <w:pPr>
              <w:pStyle w:val="StandardText"/>
              <w:jc w:val="center"/>
              <w:rPr>
                <w:lang w:val="de-DE"/>
              </w:rPr>
            </w:pPr>
            <w:r w:rsidRPr="00E73F6F">
              <w:rPr>
                <w:spacing w:val="-5"/>
                <w:lang w:val="de-DE"/>
              </w:rPr>
              <w:t>11</w:t>
            </w:r>
          </w:p>
        </w:tc>
        <w:tc>
          <w:tcPr>
            <w:tcW w:w="1000" w:type="pct"/>
          </w:tcPr>
          <w:p w14:paraId="0B15013C" w14:textId="77777777" w:rsidR="00FF7799" w:rsidRPr="00E73F6F" w:rsidRDefault="00FF7799" w:rsidP="00140268">
            <w:pPr>
              <w:pStyle w:val="StandardText"/>
              <w:jc w:val="center"/>
              <w:rPr>
                <w:lang w:val="de-DE"/>
              </w:rPr>
            </w:pPr>
            <w:r w:rsidRPr="00E73F6F">
              <w:rPr>
                <w:lang w:val="de-DE"/>
              </w:rPr>
              <w:t>8</w:t>
            </w:r>
          </w:p>
        </w:tc>
        <w:tc>
          <w:tcPr>
            <w:tcW w:w="1000" w:type="pct"/>
          </w:tcPr>
          <w:p w14:paraId="3FDD1D55" w14:textId="77777777" w:rsidR="00FF7799" w:rsidRPr="00E73F6F" w:rsidRDefault="00FF7799" w:rsidP="00140268">
            <w:pPr>
              <w:pStyle w:val="StandardText"/>
              <w:jc w:val="center"/>
              <w:rPr>
                <w:lang w:val="de-DE"/>
              </w:rPr>
            </w:pPr>
            <w:r w:rsidRPr="00E73F6F">
              <w:rPr>
                <w:spacing w:val="-5"/>
                <w:lang w:val="de-DE"/>
              </w:rPr>
              <w:t>18</w:t>
            </w:r>
          </w:p>
        </w:tc>
        <w:tc>
          <w:tcPr>
            <w:tcW w:w="1000" w:type="pct"/>
          </w:tcPr>
          <w:p w14:paraId="20BB2B1C" w14:textId="77777777" w:rsidR="00FF7799" w:rsidRPr="00E73F6F" w:rsidRDefault="00FF7799" w:rsidP="00140268">
            <w:pPr>
              <w:pStyle w:val="StandardText"/>
              <w:jc w:val="center"/>
              <w:rPr>
                <w:lang w:val="de-DE"/>
              </w:rPr>
            </w:pPr>
            <w:r w:rsidRPr="00E73F6F">
              <w:rPr>
                <w:spacing w:val="-5"/>
                <w:lang w:val="de-DE"/>
              </w:rPr>
              <w:t>10</w:t>
            </w:r>
          </w:p>
        </w:tc>
      </w:tr>
      <w:tr w:rsidR="00FF7799" w:rsidRPr="00E73F6F" w14:paraId="2D623BD0" w14:textId="77777777" w:rsidTr="009B5040">
        <w:trPr>
          <w:trHeight w:val="369"/>
        </w:trPr>
        <w:tc>
          <w:tcPr>
            <w:tcW w:w="1000" w:type="pct"/>
            <w:shd w:val="clear" w:color="auto" w:fill="FFF2CC" w:themeFill="accent4" w:themeFillTint="33"/>
          </w:tcPr>
          <w:p w14:paraId="6B422BB9" w14:textId="77777777" w:rsidR="00FF7799" w:rsidRPr="009B5040" w:rsidRDefault="00FF7799" w:rsidP="00001EBB">
            <w:pPr>
              <w:pStyle w:val="StandardText"/>
              <w:rPr>
                <w:lang w:val="de-DE"/>
              </w:rPr>
            </w:pPr>
            <w:r w:rsidRPr="009B5040">
              <w:rPr>
                <w:spacing w:val="-2"/>
                <w:lang w:val="de-DE"/>
              </w:rPr>
              <w:t>Polen</w:t>
            </w:r>
          </w:p>
        </w:tc>
        <w:tc>
          <w:tcPr>
            <w:tcW w:w="1000" w:type="pct"/>
          </w:tcPr>
          <w:p w14:paraId="64943903" w14:textId="77777777" w:rsidR="00FF7799" w:rsidRPr="00E73F6F" w:rsidRDefault="00FF7799" w:rsidP="00140268">
            <w:pPr>
              <w:pStyle w:val="StandardText"/>
              <w:jc w:val="center"/>
              <w:rPr>
                <w:lang w:val="de-DE"/>
              </w:rPr>
            </w:pPr>
            <w:r w:rsidRPr="00E73F6F">
              <w:rPr>
                <w:spacing w:val="-5"/>
                <w:lang w:val="de-DE"/>
              </w:rPr>
              <w:t>12</w:t>
            </w:r>
          </w:p>
        </w:tc>
        <w:tc>
          <w:tcPr>
            <w:tcW w:w="1000" w:type="pct"/>
          </w:tcPr>
          <w:p w14:paraId="255C1C02" w14:textId="77777777" w:rsidR="00FF7799" w:rsidRPr="00E73F6F" w:rsidRDefault="00FF7799" w:rsidP="00140268">
            <w:pPr>
              <w:pStyle w:val="StandardText"/>
              <w:jc w:val="center"/>
              <w:rPr>
                <w:lang w:val="de-DE"/>
              </w:rPr>
            </w:pPr>
            <w:r w:rsidRPr="00E73F6F">
              <w:rPr>
                <w:spacing w:val="-5"/>
                <w:lang w:val="de-DE"/>
              </w:rPr>
              <w:t>12</w:t>
            </w:r>
          </w:p>
        </w:tc>
        <w:tc>
          <w:tcPr>
            <w:tcW w:w="1000" w:type="pct"/>
          </w:tcPr>
          <w:p w14:paraId="59AB2C20" w14:textId="77777777" w:rsidR="00FF7799" w:rsidRPr="00E73F6F" w:rsidRDefault="00FF7799" w:rsidP="00140268">
            <w:pPr>
              <w:pStyle w:val="StandardText"/>
              <w:jc w:val="center"/>
              <w:rPr>
                <w:lang w:val="de-DE"/>
              </w:rPr>
            </w:pPr>
            <w:r w:rsidRPr="00E73F6F">
              <w:rPr>
                <w:spacing w:val="-5"/>
                <w:lang w:val="de-DE"/>
              </w:rPr>
              <w:t>15</w:t>
            </w:r>
          </w:p>
        </w:tc>
        <w:tc>
          <w:tcPr>
            <w:tcW w:w="1000" w:type="pct"/>
          </w:tcPr>
          <w:p w14:paraId="16C8B8B2" w14:textId="77777777" w:rsidR="00FF7799" w:rsidRPr="00E73F6F" w:rsidRDefault="00FF7799" w:rsidP="00140268">
            <w:pPr>
              <w:pStyle w:val="StandardText"/>
              <w:jc w:val="center"/>
              <w:rPr>
                <w:lang w:val="de-DE"/>
              </w:rPr>
            </w:pPr>
            <w:r w:rsidRPr="00E73F6F">
              <w:rPr>
                <w:lang w:val="de-DE"/>
              </w:rPr>
              <w:t>8</w:t>
            </w:r>
          </w:p>
        </w:tc>
      </w:tr>
      <w:tr w:rsidR="00FF7799" w:rsidRPr="00E73F6F" w14:paraId="51B48B67" w14:textId="77777777" w:rsidTr="009B5040">
        <w:trPr>
          <w:trHeight w:val="367"/>
        </w:trPr>
        <w:tc>
          <w:tcPr>
            <w:tcW w:w="1000" w:type="pct"/>
            <w:shd w:val="clear" w:color="auto" w:fill="FFF2CC" w:themeFill="accent4" w:themeFillTint="33"/>
          </w:tcPr>
          <w:p w14:paraId="2C9D686A" w14:textId="77777777" w:rsidR="00FF7799" w:rsidRPr="009B5040" w:rsidRDefault="00FF7799" w:rsidP="00001EBB">
            <w:pPr>
              <w:pStyle w:val="StandardText"/>
              <w:rPr>
                <w:lang w:val="de-DE"/>
              </w:rPr>
            </w:pPr>
            <w:r w:rsidRPr="009B5040">
              <w:rPr>
                <w:lang w:val="de-DE"/>
              </w:rPr>
              <w:t>Costa</w:t>
            </w:r>
            <w:r w:rsidRPr="009B5040">
              <w:rPr>
                <w:spacing w:val="-5"/>
                <w:lang w:val="de-DE"/>
              </w:rPr>
              <w:t xml:space="preserve"> </w:t>
            </w:r>
            <w:r w:rsidRPr="009B5040">
              <w:rPr>
                <w:spacing w:val="-4"/>
                <w:lang w:val="de-DE"/>
              </w:rPr>
              <w:t>Rica</w:t>
            </w:r>
          </w:p>
        </w:tc>
        <w:tc>
          <w:tcPr>
            <w:tcW w:w="1000" w:type="pct"/>
          </w:tcPr>
          <w:p w14:paraId="2DBB79C9" w14:textId="77777777" w:rsidR="00FF7799" w:rsidRPr="00E73F6F" w:rsidRDefault="00FF7799" w:rsidP="00140268">
            <w:pPr>
              <w:pStyle w:val="StandardText"/>
              <w:jc w:val="center"/>
              <w:rPr>
                <w:lang w:val="de-DE"/>
              </w:rPr>
            </w:pPr>
            <w:r w:rsidRPr="00E73F6F">
              <w:rPr>
                <w:spacing w:val="-5"/>
                <w:lang w:val="de-DE"/>
              </w:rPr>
              <w:t>13</w:t>
            </w:r>
          </w:p>
        </w:tc>
        <w:tc>
          <w:tcPr>
            <w:tcW w:w="1000" w:type="pct"/>
          </w:tcPr>
          <w:p w14:paraId="0C3BCE3E" w14:textId="77777777" w:rsidR="00FF7799" w:rsidRPr="00E73F6F" w:rsidRDefault="00FF7799" w:rsidP="00140268">
            <w:pPr>
              <w:pStyle w:val="StandardText"/>
              <w:jc w:val="center"/>
              <w:rPr>
                <w:lang w:val="de-DE"/>
              </w:rPr>
            </w:pPr>
            <w:r w:rsidRPr="00E73F6F">
              <w:rPr>
                <w:spacing w:val="-5"/>
                <w:lang w:val="de-DE"/>
              </w:rPr>
              <w:t>16</w:t>
            </w:r>
          </w:p>
        </w:tc>
        <w:tc>
          <w:tcPr>
            <w:tcW w:w="1000" w:type="pct"/>
          </w:tcPr>
          <w:p w14:paraId="6D63D92B" w14:textId="77777777" w:rsidR="00FF7799" w:rsidRPr="00E73F6F" w:rsidRDefault="00FF7799" w:rsidP="00140268">
            <w:pPr>
              <w:pStyle w:val="StandardText"/>
              <w:jc w:val="center"/>
              <w:rPr>
                <w:lang w:val="de-DE"/>
              </w:rPr>
            </w:pPr>
            <w:r w:rsidRPr="00E73F6F">
              <w:rPr>
                <w:spacing w:val="-5"/>
                <w:lang w:val="de-DE"/>
              </w:rPr>
              <w:t>10</w:t>
            </w:r>
          </w:p>
        </w:tc>
        <w:tc>
          <w:tcPr>
            <w:tcW w:w="1000" w:type="pct"/>
          </w:tcPr>
          <w:p w14:paraId="2A8F2CC0" w14:textId="77777777" w:rsidR="00FF7799" w:rsidRPr="00E73F6F" w:rsidRDefault="00FF7799" w:rsidP="00140268">
            <w:pPr>
              <w:pStyle w:val="StandardText"/>
              <w:jc w:val="center"/>
              <w:rPr>
                <w:lang w:val="de-DE"/>
              </w:rPr>
            </w:pPr>
            <w:r w:rsidRPr="00E73F6F">
              <w:rPr>
                <w:spacing w:val="-5"/>
                <w:lang w:val="de-DE"/>
              </w:rPr>
              <w:t>15</w:t>
            </w:r>
          </w:p>
        </w:tc>
      </w:tr>
      <w:tr w:rsidR="00FF7799" w:rsidRPr="00E73F6F" w14:paraId="34D1C8A1" w14:textId="77777777" w:rsidTr="009B5040">
        <w:trPr>
          <w:trHeight w:val="369"/>
        </w:trPr>
        <w:tc>
          <w:tcPr>
            <w:tcW w:w="1000" w:type="pct"/>
            <w:shd w:val="clear" w:color="auto" w:fill="FFF2CC" w:themeFill="accent4" w:themeFillTint="33"/>
          </w:tcPr>
          <w:p w14:paraId="1654DD77" w14:textId="77777777" w:rsidR="00FF7799" w:rsidRPr="009B5040" w:rsidRDefault="00FF7799" w:rsidP="00001EBB">
            <w:pPr>
              <w:pStyle w:val="StandardText"/>
              <w:rPr>
                <w:lang w:val="de-DE"/>
              </w:rPr>
            </w:pPr>
            <w:r w:rsidRPr="009B5040">
              <w:rPr>
                <w:spacing w:val="-2"/>
                <w:lang w:val="de-DE"/>
              </w:rPr>
              <w:t>Taiwan</w:t>
            </w:r>
          </w:p>
        </w:tc>
        <w:tc>
          <w:tcPr>
            <w:tcW w:w="1000" w:type="pct"/>
          </w:tcPr>
          <w:p w14:paraId="50C0D90C" w14:textId="77777777" w:rsidR="00FF7799" w:rsidRPr="00E73F6F" w:rsidRDefault="00FF7799" w:rsidP="00140268">
            <w:pPr>
              <w:pStyle w:val="StandardText"/>
              <w:jc w:val="center"/>
              <w:rPr>
                <w:lang w:val="de-DE"/>
              </w:rPr>
            </w:pPr>
            <w:r w:rsidRPr="00E73F6F">
              <w:rPr>
                <w:spacing w:val="-5"/>
                <w:lang w:val="de-DE"/>
              </w:rPr>
              <w:t>14</w:t>
            </w:r>
          </w:p>
        </w:tc>
        <w:tc>
          <w:tcPr>
            <w:tcW w:w="1000" w:type="pct"/>
          </w:tcPr>
          <w:p w14:paraId="115391C1" w14:textId="77777777" w:rsidR="00FF7799" w:rsidRPr="00E73F6F" w:rsidRDefault="00FF7799" w:rsidP="00140268">
            <w:pPr>
              <w:pStyle w:val="StandardText"/>
              <w:jc w:val="center"/>
              <w:rPr>
                <w:lang w:val="de-DE"/>
              </w:rPr>
            </w:pPr>
            <w:r w:rsidRPr="00E73F6F">
              <w:rPr>
                <w:spacing w:val="-5"/>
                <w:lang w:val="de-DE"/>
              </w:rPr>
              <w:t>18</w:t>
            </w:r>
          </w:p>
        </w:tc>
        <w:tc>
          <w:tcPr>
            <w:tcW w:w="1000" w:type="pct"/>
          </w:tcPr>
          <w:p w14:paraId="4E0B5E46" w14:textId="77777777" w:rsidR="00FF7799" w:rsidRPr="00E73F6F" w:rsidRDefault="00FF7799" w:rsidP="00140268">
            <w:pPr>
              <w:pStyle w:val="StandardText"/>
              <w:jc w:val="center"/>
              <w:rPr>
                <w:lang w:val="de-DE"/>
              </w:rPr>
            </w:pPr>
            <w:r w:rsidRPr="00E73F6F">
              <w:rPr>
                <w:lang w:val="de-DE"/>
              </w:rPr>
              <w:t>7</w:t>
            </w:r>
          </w:p>
        </w:tc>
        <w:tc>
          <w:tcPr>
            <w:tcW w:w="1000" w:type="pct"/>
          </w:tcPr>
          <w:p w14:paraId="252C7002" w14:textId="77777777" w:rsidR="00FF7799" w:rsidRPr="00E73F6F" w:rsidRDefault="00FF7799" w:rsidP="00140268">
            <w:pPr>
              <w:pStyle w:val="StandardText"/>
              <w:jc w:val="center"/>
              <w:rPr>
                <w:lang w:val="de-DE"/>
              </w:rPr>
            </w:pPr>
            <w:r w:rsidRPr="00E73F6F">
              <w:rPr>
                <w:spacing w:val="-5"/>
                <w:lang w:val="de-DE"/>
              </w:rPr>
              <w:t>21</w:t>
            </w:r>
          </w:p>
        </w:tc>
      </w:tr>
      <w:tr w:rsidR="00FF7799" w:rsidRPr="00E73F6F" w14:paraId="6E347FE1" w14:textId="77777777" w:rsidTr="009B5040">
        <w:trPr>
          <w:trHeight w:val="366"/>
        </w:trPr>
        <w:tc>
          <w:tcPr>
            <w:tcW w:w="1000" w:type="pct"/>
            <w:shd w:val="clear" w:color="auto" w:fill="FFF2CC" w:themeFill="accent4" w:themeFillTint="33"/>
          </w:tcPr>
          <w:p w14:paraId="6F0AA266" w14:textId="77777777" w:rsidR="00FF7799" w:rsidRPr="009B5040" w:rsidRDefault="00FF7799" w:rsidP="00001EBB">
            <w:pPr>
              <w:pStyle w:val="StandardText"/>
              <w:rPr>
                <w:lang w:val="de-DE"/>
              </w:rPr>
            </w:pPr>
            <w:r w:rsidRPr="009B5040">
              <w:rPr>
                <w:spacing w:val="-2"/>
                <w:lang w:val="de-DE"/>
              </w:rPr>
              <w:t>Singapur</w:t>
            </w:r>
          </w:p>
        </w:tc>
        <w:tc>
          <w:tcPr>
            <w:tcW w:w="1000" w:type="pct"/>
          </w:tcPr>
          <w:p w14:paraId="06052210" w14:textId="77777777" w:rsidR="00FF7799" w:rsidRPr="00E73F6F" w:rsidRDefault="00FF7799" w:rsidP="00140268">
            <w:pPr>
              <w:pStyle w:val="StandardText"/>
              <w:jc w:val="center"/>
              <w:rPr>
                <w:lang w:val="de-DE"/>
              </w:rPr>
            </w:pPr>
            <w:r w:rsidRPr="00E73F6F">
              <w:rPr>
                <w:spacing w:val="-5"/>
                <w:lang w:val="de-DE"/>
              </w:rPr>
              <w:t>15</w:t>
            </w:r>
          </w:p>
        </w:tc>
        <w:tc>
          <w:tcPr>
            <w:tcW w:w="1000" w:type="pct"/>
          </w:tcPr>
          <w:p w14:paraId="0DF86ECC" w14:textId="77777777" w:rsidR="00FF7799" w:rsidRPr="00E73F6F" w:rsidRDefault="00FF7799" w:rsidP="00140268">
            <w:pPr>
              <w:pStyle w:val="StandardText"/>
              <w:jc w:val="center"/>
              <w:rPr>
                <w:lang w:val="de-DE"/>
              </w:rPr>
            </w:pPr>
            <w:r w:rsidRPr="00E73F6F">
              <w:rPr>
                <w:spacing w:val="-5"/>
                <w:lang w:val="de-DE"/>
              </w:rPr>
              <w:t>25</w:t>
            </w:r>
          </w:p>
        </w:tc>
        <w:tc>
          <w:tcPr>
            <w:tcW w:w="1000" w:type="pct"/>
          </w:tcPr>
          <w:p w14:paraId="0EBF3751" w14:textId="77777777" w:rsidR="00FF7799" w:rsidRPr="00E73F6F" w:rsidRDefault="00FF7799" w:rsidP="00140268">
            <w:pPr>
              <w:pStyle w:val="StandardText"/>
              <w:jc w:val="center"/>
              <w:rPr>
                <w:lang w:val="de-DE"/>
              </w:rPr>
            </w:pPr>
            <w:r w:rsidRPr="00E73F6F">
              <w:rPr>
                <w:spacing w:val="-5"/>
                <w:lang w:val="de-DE"/>
              </w:rPr>
              <w:t>11</w:t>
            </w:r>
          </w:p>
        </w:tc>
        <w:tc>
          <w:tcPr>
            <w:tcW w:w="1000" w:type="pct"/>
          </w:tcPr>
          <w:p w14:paraId="58B9E289" w14:textId="77777777" w:rsidR="00FF7799" w:rsidRPr="00E73F6F" w:rsidRDefault="00FF7799" w:rsidP="00140268">
            <w:pPr>
              <w:pStyle w:val="StandardText"/>
              <w:jc w:val="center"/>
              <w:rPr>
                <w:lang w:val="de-DE"/>
              </w:rPr>
            </w:pPr>
            <w:r w:rsidRPr="00E73F6F">
              <w:rPr>
                <w:lang w:val="de-DE"/>
              </w:rPr>
              <w:t>4</w:t>
            </w:r>
          </w:p>
        </w:tc>
      </w:tr>
      <w:tr w:rsidR="00FF7799" w:rsidRPr="00E73F6F" w14:paraId="7B43149D" w14:textId="77777777" w:rsidTr="009B5040">
        <w:trPr>
          <w:trHeight w:val="369"/>
        </w:trPr>
        <w:tc>
          <w:tcPr>
            <w:tcW w:w="1000" w:type="pct"/>
            <w:shd w:val="clear" w:color="auto" w:fill="FFF2CC" w:themeFill="accent4" w:themeFillTint="33"/>
          </w:tcPr>
          <w:p w14:paraId="6F1AB9F8" w14:textId="77777777" w:rsidR="00FF7799" w:rsidRPr="009B5040" w:rsidRDefault="00FF7799" w:rsidP="00001EBB">
            <w:pPr>
              <w:pStyle w:val="StandardText"/>
              <w:rPr>
                <w:lang w:val="de-DE"/>
              </w:rPr>
            </w:pPr>
            <w:r w:rsidRPr="009B5040">
              <w:rPr>
                <w:spacing w:val="-5"/>
                <w:lang w:val="de-DE"/>
              </w:rPr>
              <w:t>USA</w:t>
            </w:r>
          </w:p>
        </w:tc>
        <w:tc>
          <w:tcPr>
            <w:tcW w:w="1000" w:type="pct"/>
          </w:tcPr>
          <w:p w14:paraId="6F5D5A33" w14:textId="77777777" w:rsidR="00FF7799" w:rsidRPr="00E73F6F" w:rsidRDefault="00FF7799" w:rsidP="00140268">
            <w:pPr>
              <w:pStyle w:val="StandardText"/>
              <w:jc w:val="center"/>
              <w:rPr>
                <w:lang w:val="de-DE"/>
              </w:rPr>
            </w:pPr>
            <w:r w:rsidRPr="00E73F6F">
              <w:rPr>
                <w:spacing w:val="-5"/>
                <w:lang w:val="de-DE"/>
              </w:rPr>
              <w:t>16</w:t>
            </w:r>
          </w:p>
        </w:tc>
        <w:tc>
          <w:tcPr>
            <w:tcW w:w="1000" w:type="pct"/>
          </w:tcPr>
          <w:p w14:paraId="6B5A4126" w14:textId="77777777" w:rsidR="00FF7799" w:rsidRPr="00E73F6F" w:rsidRDefault="00FF7799" w:rsidP="00140268">
            <w:pPr>
              <w:pStyle w:val="StandardText"/>
              <w:jc w:val="center"/>
              <w:rPr>
                <w:lang w:val="de-DE"/>
              </w:rPr>
            </w:pPr>
            <w:r w:rsidRPr="00E73F6F">
              <w:rPr>
                <w:lang w:val="de-DE"/>
              </w:rPr>
              <w:t>6</w:t>
            </w:r>
          </w:p>
        </w:tc>
        <w:tc>
          <w:tcPr>
            <w:tcW w:w="1000" w:type="pct"/>
          </w:tcPr>
          <w:p w14:paraId="00823AEE" w14:textId="77777777" w:rsidR="00FF7799" w:rsidRPr="00E73F6F" w:rsidRDefault="00FF7799" w:rsidP="00140268">
            <w:pPr>
              <w:pStyle w:val="StandardText"/>
              <w:jc w:val="center"/>
              <w:rPr>
                <w:lang w:val="de-DE"/>
              </w:rPr>
            </w:pPr>
            <w:r w:rsidRPr="00E73F6F">
              <w:rPr>
                <w:spacing w:val="-5"/>
                <w:lang w:val="de-DE"/>
              </w:rPr>
              <w:t>23</w:t>
            </w:r>
          </w:p>
        </w:tc>
        <w:tc>
          <w:tcPr>
            <w:tcW w:w="1000" w:type="pct"/>
          </w:tcPr>
          <w:p w14:paraId="1F1B7423" w14:textId="77777777" w:rsidR="00FF7799" w:rsidRPr="00E73F6F" w:rsidRDefault="00FF7799" w:rsidP="00140268">
            <w:pPr>
              <w:pStyle w:val="StandardText"/>
              <w:jc w:val="center"/>
              <w:rPr>
                <w:lang w:val="de-DE"/>
              </w:rPr>
            </w:pPr>
            <w:r w:rsidRPr="00E73F6F">
              <w:rPr>
                <w:spacing w:val="-5"/>
                <w:lang w:val="de-DE"/>
              </w:rPr>
              <w:t>20</w:t>
            </w:r>
          </w:p>
        </w:tc>
      </w:tr>
      <w:tr w:rsidR="00FF7799" w:rsidRPr="00E73F6F" w14:paraId="256BA0FB" w14:textId="77777777" w:rsidTr="009B5040">
        <w:trPr>
          <w:trHeight w:val="366"/>
        </w:trPr>
        <w:tc>
          <w:tcPr>
            <w:tcW w:w="1000" w:type="pct"/>
            <w:shd w:val="clear" w:color="auto" w:fill="FFF2CC" w:themeFill="accent4" w:themeFillTint="33"/>
          </w:tcPr>
          <w:p w14:paraId="577AD5B0" w14:textId="77777777" w:rsidR="00FF7799" w:rsidRPr="009B5040" w:rsidRDefault="00FF7799" w:rsidP="00001EBB">
            <w:pPr>
              <w:pStyle w:val="StandardText"/>
              <w:rPr>
                <w:lang w:val="de-DE"/>
              </w:rPr>
            </w:pPr>
            <w:r w:rsidRPr="009B5040">
              <w:rPr>
                <w:spacing w:val="-2"/>
                <w:lang w:val="de-DE"/>
              </w:rPr>
              <w:t>Kanada</w:t>
            </w:r>
          </w:p>
        </w:tc>
        <w:tc>
          <w:tcPr>
            <w:tcW w:w="1000" w:type="pct"/>
          </w:tcPr>
          <w:p w14:paraId="1E64B2E8" w14:textId="77777777" w:rsidR="00FF7799" w:rsidRPr="00E73F6F" w:rsidRDefault="00FF7799" w:rsidP="00140268">
            <w:pPr>
              <w:pStyle w:val="StandardText"/>
              <w:jc w:val="center"/>
              <w:rPr>
                <w:lang w:val="de-DE"/>
              </w:rPr>
            </w:pPr>
            <w:r w:rsidRPr="00E73F6F">
              <w:rPr>
                <w:spacing w:val="-5"/>
                <w:lang w:val="de-DE"/>
              </w:rPr>
              <w:t>17</w:t>
            </w:r>
          </w:p>
        </w:tc>
        <w:tc>
          <w:tcPr>
            <w:tcW w:w="1000" w:type="pct"/>
          </w:tcPr>
          <w:p w14:paraId="18302C53" w14:textId="77777777" w:rsidR="00FF7799" w:rsidRPr="00E73F6F" w:rsidRDefault="00FF7799" w:rsidP="00140268">
            <w:pPr>
              <w:pStyle w:val="StandardText"/>
              <w:jc w:val="center"/>
              <w:rPr>
                <w:lang w:val="de-DE"/>
              </w:rPr>
            </w:pPr>
            <w:r w:rsidRPr="00E73F6F">
              <w:rPr>
                <w:spacing w:val="-5"/>
                <w:lang w:val="de-DE"/>
              </w:rPr>
              <w:t>11</w:t>
            </w:r>
          </w:p>
        </w:tc>
        <w:tc>
          <w:tcPr>
            <w:tcW w:w="1000" w:type="pct"/>
          </w:tcPr>
          <w:p w14:paraId="0B212EEB" w14:textId="77777777" w:rsidR="00FF7799" w:rsidRPr="00E73F6F" w:rsidRDefault="00FF7799" w:rsidP="00140268">
            <w:pPr>
              <w:pStyle w:val="StandardText"/>
              <w:jc w:val="center"/>
              <w:rPr>
                <w:lang w:val="de-DE"/>
              </w:rPr>
            </w:pPr>
            <w:r w:rsidRPr="00E73F6F">
              <w:rPr>
                <w:spacing w:val="-5"/>
                <w:lang w:val="de-DE"/>
              </w:rPr>
              <w:t>21</w:t>
            </w:r>
          </w:p>
        </w:tc>
        <w:tc>
          <w:tcPr>
            <w:tcW w:w="1000" w:type="pct"/>
          </w:tcPr>
          <w:p w14:paraId="13119AC8" w14:textId="77777777" w:rsidR="00FF7799" w:rsidRPr="00E73F6F" w:rsidRDefault="00FF7799" w:rsidP="00140268">
            <w:pPr>
              <w:pStyle w:val="StandardText"/>
              <w:jc w:val="center"/>
              <w:rPr>
                <w:lang w:val="de-DE"/>
              </w:rPr>
            </w:pPr>
            <w:r w:rsidRPr="00E73F6F">
              <w:rPr>
                <w:spacing w:val="-5"/>
                <w:lang w:val="de-DE"/>
              </w:rPr>
              <w:t>22</w:t>
            </w:r>
          </w:p>
        </w:tc>
      </w:tr>
      <w:tr w:rsidR="00FF7799" w:rsidRPr="00E73F6F" w14:paraId="488F9F6F" w14:textId="77777777" w:rsidTr="009B5040">
        <w:trPr>
          <w:trHeight w:val="369"/>
        </w:trPr>
        <w:tc>
          <w:tcPr>
            <w:tcW w:w="1000" w:type="pct"/>
            <w:shd w:val="clear" w:color="auto" w:fill="FFF2CC" w:themeFill="accent4" w:themeFillTint="33"/>
          </w:tcPr>
          <w:p w14:paraId="2D0B8B1C" w14:textId="77777777" w:rsidR="00FF7799" w:rsidRPr="009B5040" w:rsidRDefault="00FF7799" w:rsidP="00001EBB">
            <w:pPr>
              <w:pStyle w:val="StandardText"/>
              <w:rPr>
                <w:lang w:val="de-DE"/>
              </w:rPr>
            </w:pPr>
            <w:r w:rsidRPr="009B5040">
              <w:rPr>
                <w:spacing w:val="-2"/>
                <w:lang w:val="de-DE"/>
              </w:rPr>
              <w:t>Südkorea</w:t>
            </w:r>
          </w:p>
        </w:tc>
        <w:tc>
          <w:tcPr>
            <w:tcW w:w="1000" w:type="pct"/>
          </w:tcPr>
          <w:p w14:paraId="2EE4876A" w14:textId="77777777" w:rsidR="00FF7799" w:rsidRPr="00E73F6F" w:rsidRDefault="00FF7799" w:rsidP="00140268">
            <w:pPr>
              <w:pStyle w:val="StandardText"/>
              <w:jc w:val="center"/>
              <w:rPr>
                <w:lang w:val="de-DE"/>
              </w:rPr>
            </w:pPr>
            <w:r w:rsidRPr="00E73F6F">
              <w:rPr>
                <w:spacing w:val="-5"/>
                <w:lang w:val="de-DE"/>
              </w:rPr>
              <w:t>18</w:t>
            </w:r>
          </w:p>
        </w:tc>
        <w:tc>
          <w:tcPr>
            <w:tcW w:w="1000" w:type="pct"/>
          </w:tcPr>
          <w:p w14:paraId="102BC9F9" w14:textId="77777777" w:rsidR="00FF7799" w:rsidRPr="00E73F6F" w:rsidRDefault="00FF7799" w:rsidP="00140268">
            <w:pPr>
              <w:pStyle w:val="StandardText"/>
              <w:jc w:val="center"/>
              <w:rPr>
                <w:lang w:val="de-DE"/>
              </w:rPr>
            </w:pPr>
            <w:r w:rsidRPr="00E73F6F">
              <w:rPr>
                <w:spacing w:val="-5"/>
                <w:lang w:val="de-DE"/>
              </w:rPr>
              <w:t>20</w:t>
            </w:r>
          </w:p>
        </w:tc>
        <w:tc>
          <w:tcPr>
            <w:tcW w:w="1000" w:type="pct"/>
          </w:tcPr>
          <w:p w14:paraId="7AF00E79" w14:textId="77777777" w:rsidR="00FF7799" w:rsidRPr="00E73F6F" w:rsidRDefault="00FF7799" w:rsidP="00140268">
            <w:pPr>
              <w:pStyle w:val="StandardText"/>
              <w:jc w:val="center"/>
              <w:rPr>
                <w:lang w:val="de-DE"/>
              </w:rPr>
            </w:pPr>
            <w:r w:rsidRPr="00E73F6F">
              <w:rPr>
                <w:spacing w:val="-5"/>
                <w:lang w:val="de-DE"/>
              </w:rPr>
              <w:t>20</w:t>
            </w:r>
          </w:p>
        </w:tc>
        <w:tc>
          <w:tcPr>
            <w:tcW w:w="1000" w:type="pct"/>
          </w:tcPr>
          <w:p w14:paraId="666840ED" w14:textId="77777777" w:rsidR="00FF7799" w:rsidRPr="00E73F6F" w:rsidRDefault="00FF7799" w:rsidP="00140268">
            <w:pPr>
              <w:pStyle w:val="StandardText"/>
              <w:jc w:val="center"/>
              <w:rPr>
                <w:lang w:val="de-DE"/>
              </w:rPr>
            </w:pPr>
            <w:r w:rsidRPr="00E73F6F">
              <w:rPr>
                <w:spacing w:val="-5"/>
                <w:lang w:val="de-DE"/>
              </w:rPr>
              <w:t>16</w:t>
            </w:r>
          </w:p>
        </w:tc>
      </w:tr>
      <w:tr w:rsidR="00FF7799" w:rsidRPr="00E73F6F" w14:paraId="5D7B77C5" w14:textId="77777777" w:rsidTr="009B5040">
        <w:trPr>
          <w:trHeight w:val="369"/>
        </w:trPr>
        <w:tc>
          <w:tcPr>
            <w:tcW w:w="1000" w:type="pct"/>
            <w:shd w:val="clear" w:color="auto" w:fill="FFF2CC" w:themeFill="accent4" w:themeFillTint="33"/>
          </w:tcPr>
          <w:p w14:paraId="48E44F46" w14:textId="77777777" w:rsidR="00FF7799" w:rsidRPr="009B5040" w:rsidRDefault="00FF7799" w:rsidP="00001EBB">
            <w:pPr>
              <w:pStyle w:val="StandardText"/>
              <w:rPr>
                <w:lang w:val="de-DE"/>
              </w:rPr>
            </w:pPr>
            <w:r w:rsidRPr="009B5040">
              <w:rPr>
                <w:spacing w:val="-2"/>
                <w:lang w:val="de-DE"/>
              </w:rPr>
              <w:t>Ungarn</w:t>
            </w:r>
          </w:p>
        </w:tc>
        <w:tc>
          <w:tcPr>
            <w:tcW w:w="1000" w:type="pct"/>
          </w:tcPr>
          <w:p w14:paraId="79C2041F" w14:textId="77777777" w:rsidR="00FF7799" w:rsidRPr="00E73F6F" w:rsidRDefault="00FF7799" w:rsidP="00140268">
            <w:pPr>
              <w:pStyle w:val="StandardText"/>
              <w:jc w:val="center"/>
              <w:rPr>
                <w:lang w:val="de-DE"/>
              </w:rPr>
            </w:pPr>
            <w:r w:rsidRPr="00E73F6F">
              <w:rPr>
                <w:spacing w:val="-5"/>
                <w:lang w:val="de-DE"/>
              </w:rPr>
              <w:t>19</w:t>
            </w:r>
          </w:p>
        </w:tc>
        <w:tc>
          <w:tcPr>
            <w:tcW w:w="1000" w:type="pct"/>
          </w:tcPr>
          <w:p w14:paraId="23251558" w14:textId="77777777" w:rsidR="00FF7799" w:rsidRPr="00E73F6F" w:rsidRDefault="00FF7799" w:rsidP="00140268">
            <w:pPr>
              <w:pStyle w:val="StandardText"/>
              <w:jc w:val="center"/>
              <w:rPr>
                <w:lang w:val="de-DE"/>
              </w:rPr>
            </w:pPr>
            <w:r w:rsidRPr="00E73F6F">
              <w:rPr>
                <w:spacing w:val="-5"/>
                <w:lang w:val="de-DE"/>
              </w:rPr>
              <w:t>19</w:t>
            </w:r>
          </w:p>
        </w:tc>
        <w:tc>
          <w:tcPr>
            <w:tcW w:w="1000" w:type="pct"/>
          </w:tcPr>
          <w:p w14:paraId="60B0A303" w14:textId="77777777" w:rsidR="00FF7799" w:rsidRPr="00E73F6F" w:rsidRDefault="00FF7799" w:rsidP="00140268">
            <w:pPr>
              <w:pStyle w:val="StandardText"/>
              <w:jc w:val="center"/>
              <w:rPr>
                <w:lang w:val="de-DE"/>
              </w:rPr>
            </w:pPr>
            <w:r w:rsidRPr="00E73F6F">
              <w:rPr>
                <w:spacing w:val="-5"/>
                <w:lang w:val="de-DE"/>
              </w:rPr>
              <w:t>19</w:t>
            </w:r>
          </w:p>
        </w:tc>
        <w:tc>
          <w:tcPr>
            <w:tcW w:w="1000" w:type="pct"/>
          </w:tcPr>
          <w:p w14:paraId="736AA651" w14:textId="77777777" w:rsidR="00FF7799" w:rsidRPr="00E73F6F" w:rsidRDefault="00FF7799" w:rsidP="00140268">
            <w:pPr>
              <w:pStyle w:val="StandardText"/>
              <w:jc w:val="center"/>
              <w:rPr>
                <w:lang w:val="de-DE"/>
              </w:rPr>
            </w:pPr>
            <w:r w:rsidRPr="00E73F6F">
              <w:rPr>
                <w:spacing w:val="-5"/>
                <w:lang w:val="de-DE"/>
              </w:rPr>
              <w:t>18</w:t>
            </w:r>
          </w:p>
        </w:tc>
      </w:tr>
      <w:tr w:rsidR="00FF7799" w:rsidRPr="00E73F6F" w14:paraId="22E4C08B" w14:textId="77777777" w:rsidTr="009B5040">
        <w:trPr>
          <w:trHeight w:val="366"/>
        </w:trPr>
        <w:tc>
          <w:tcPr>
            <w:tcW w:w="1000" w:type="pct"/>
            <w:shd w:val="clear" w:color="auto" w:fill="FFF2CC" w:themeFill="accent4" w:themeFillTint="33"/>
          </w:tcPr>
          <w:p w14:paraId="64AEB4A1" w14:textId="77777777" w:rsidR="00FF7799" w:rsidRPr="009B5040" w:rsidRDefault="00FF7799" w:rsidP="00001EBB">
            <w:pPr>
              <w:pStyle w:val="StandardText"/>
              <w:rPr>
                <w:lang w:val="de-DE"/>
              </w:rPr>
            </w:pPr>
            <w:r w:rsidRPr="009B5040">
              <w:rPr>
                <w:spacing w:val="-2"/>
                <w:lang w:val="de-DE"/>
              </w:rPr>
              <w:t>Tschechien</w:t>
            </w:r>
          </w:p>
        </w:tc>
        <w:tc>
          <w:tcPr>
            <w:tcW w:w="1000" w:type="pct"/>
          </w:tcPr>
          <w:p w14:paraId="1D546C31" w14:textId="77777777" w:rsidR="00FF7799" w:rsidRPr="00E73F6F" w:rsidRDefault="00FF7799" w:rsidP="00140268">
            <w:pPr>
              <w:pStyle w:val="StandardText"/>
              <w:jc w:val="center"/>
              <w:rPr>
                <w:lang w:val="de-DE"/>
              </w:rPr>
            </w:pPr>
            <w:r w:rsidRPr="00E73F6F">
              <w:rPr>
                <w:spacing w:val="-5"/>
                <w:lang w:val="de-DE"/>
              </w:rPr>
              <w:t>20</w:t>
            </w:r>
          </w:p>
        </w:tc>
        <w:tc>
          <w:tcPr>
            <w:tcW w:w="1000" w:type="pct"/>
          </w:tcPr>
          <w:p w14:paraId="4AC75643" w14:textId="77777777" w:rsidR="00FF7799" w:rsidRPr="00E73F6F" w:rsidRDefault="00FF7799" w:rsidP="00140268">
            <w:pPr>
              <w:pStyle w:val="StandardText"/>
              <w:jc w:val="center"/>
              <w:rPr>
                <w:lang w:val="de-DE"/>
              </w:rPr>
            </w:pPr>
            <w:r w:rsidRPr="00E73F6F">
              <w:rPr>
                <w:spacing w:val="-5"/>
                <w:lang w:val="de-DE"/>
              </w:rPr>
              <w:t>21</w:t>
            </w:r>
          </w:p>
        </w:tc>
        <w:tc>
          <w:tcPr>
            <w:tcW w:w="1000" w:type="pct"/>
          </w:tcPr>
          <w:p w14:paraId="5C452699" w14:textId="77777777" w:rsidR="00FF7799" w:rsidRPr="00E73F6F" w:rsidRDefault="00FF7799" w:rsidP="00140268">
            <w:pPr>
              <w:pStyle w:val="StandardText"/>
              <w:jc w:val="center"/>
              <w:rPr>
                <w:lang w:val="de-DE"/>
              </w:rPr>
            </w:pPr>
            <w:r w:rsidRPr="00E73F6F">
              <w:rPr>
                <w:spacing w:val="-5"/>
                <w:lang w:val="de-DE"/>
              </w:rPr>
              <w:t>17</w:t>
            </w:r>
          </w:p>
        </w:tc>
        <w:tc>
          <w:tcPr>
            <w:tcW w:w="1000" w:type="pct"/>
          </w:tcPr>
          <w:p w14:paraId="63E6A8C0" w14:textId="77777777" w:rsidR="00FF7799" w:rsidRPr="00E73F6F" w:rsidRDefault="00FF7799" w:rsidP="00140268">
            <w:pPr>
              <w:pStyle w:val="StandardText"/>
              <w:jc w:val="center"/>
              <w:rPr>
                <w:lang w:val="de-DE"/>
              </w:rPr>
            </w:pPr>
            <w:r w:rsidRPr="00E73F6F">
              <w:rPr>
                <w:spacing w:val="-5"/>
                <w:lang w:val="de-DE"/>
              </w:rPr>
              <w:t>23</w:t>
            </w:r>
          </w:p>
        </w:tc>
      </w:tr>
      <w:tr w:rsidR="00FF7799" w:rsidRPr="00E73F6F" w14:paraId="4A097351" w14:textId="77777777" w:rsidTr="009B5040">
        <w:trPr>
          <w:trHeight w:val="369"/>
        </w:trPr>
        <w:tc>
          <w:tcPr>
            <w:tcW w:w="1000" w:type="pct"/>
            <w:shd w:val="clear" w:color="auto" w:fill="FFF2CC" w:themeFill="accent4" w:themeFillTint="33"/>
          </w:tcPr>
          <w:p w14:paraId="3CBB5276" w14:textId="77777777" w:rsidR="00FF7799" w:rsidRPr="009B5040" w:rsidRDefault="00FF7799" w:rsidP="00001EBB">
            <w:pPr>
              <w:pStyle w:val="StandardText"/>
              <w:rPr>
                <w:lang w:val="de-DE"/>
              </w:rPr>
            </w:pPr>
            <w:r w:rsidRPr="009B5040">
              <w:rPr>
                <w:spacing w:val="-2"/>
                <w:lang w:val="de-DE"/>
              </w:rPr>
              <w:t>Griechenland</w:t>
            </w:r>
          </w:p>
        </w:tc>
        <w:tc>
          <w:tcPr>
            <w:tcW w:w="1000" w:type="pct"/>
          </w:tcPr>
          <w:p w14:paraId="79575B05" w14:textId="77777777" w:rsidR="00FF7799" w:rsidRPr="00E73F6F" w:rsidRDefault="00FF7799" w:rsidP="00140268">
            <w:pPr>
              <w:pStyle w:val="StandardText"/>
              <w:jc w:val="center"/>
              <w:rPr>
                <w:lang w:val="de-DE"/>
              </w:rPr>
            </w:pPr>
            <w:r w:rsidRPr="00E73F6F">
              <w:rPr>
                <w:spacing w:val="-5"/>
                <w:lang w:val="de-DE"/>
              </w:rPr>
              <w:t>21</w:t>
            </w:r>
          </w:p>
        </w:tc>
        <w:tc>
          <w:tcPr>
            <w:tcW w:w="1000" w:type="pct"/>
          </w:tcPr>
          <w:p w14:paraId="274BCD13" w14:textId="77777777" w:rsidR="00FF7799" w:rsidRPr="00E73F6F" w:rsidRDefault="00FF7799" w:rsidP="00140268">
            <w:pPr>
              <w:pStyle w:val="StandardText"/>
              <w:jc w:val="center"/>
              <w:rPr>
                <w:lang w:val="de-DE"/>
              </w:rPr>
            </w:pPr>
            <w:r w:rsidRPr="00E73F6F">
              <w:rPr>
                <w:spacing w:val="-5"/>
                <w:lang w:val="de-DE"/>
              </w:rPr>
              <w:t>14</w:t>
            </w:r>
          </w:p>
        </w:tc>
        <w:tc>
          <w:tcPr>
            <w:tcW w:w="1000" w:type="pct"/>
          </w:tcPr>
          <w:p w14:paraId="220707EE" w14:textId="77777777" w:rsidR="00FF7799" w:rsidRPr="00E73F6F" w:rsidRDefault="00FF7799" w:rsidP="00140268">
            <w:pPr>
              <w:pStyle w:val="StandardText"/>
              <w:jc w:val="center"/>
              <w:rPr>
                <w:lang w:val="de-DE"/>
              </w:rPr>
            </w:pPr>
            <w:r w:rsidRPr="00E73F6F">
              <w:rPr>
                <w:spacing w:val="-5"/>
                <w:lang w:val="de-DE"/>
              </w:rPr>
              <w:t>13</w:t>
            </w:r>
          </w:p>
        </w:tc>
        <w:tc>
          <w:tcPr>
            <w:tcW w:w="1000" w:type="pct"/>
          </w:tcPr>
          <w:p w14:paraId="02C7E784" w14:textId="77777777" w:rsidR="00FF7799" w:rsidRPr="00E73F6F" w:rsidRDefault="00FF7799" w:rsidP="00140268">
            <w:pPr>
              <w:pStyle w:val="StandardText"/>
              <w:jc w:val="center"/>
              <w:rPr>
                <w:lang w:val="de-DE"/>
              </w:rPr>
            </w:pPr>
            <w:r w:rsidRPr="00E73F6F">
              <w:rPr>
                <w:spacing w:val="-5"/>
                <w:lang w:val="de-DE"/>
              </w:rPr>
              <w:t>29</w:t>
            </w:r>
          </w:p>
        </w:tc>
      </w:tr>
      <w:tr w:rsidR="00FF7799" w:rsidRPr="00E73F6F" w14:paraId="0DF68995" w14:textId="77777777" w:rsidTr="009B5040">
        <w:trPr>
          <w:trHeight w:val="366"/>
        </w:trPr>
        <w:tc>
          <w:tcPr>
            <w:tcW w:w="1000" w:type="pct"/>
            <w:shd w:val="clear" w:color="auto" w:fill="FFF2CC" w:themeFill="accent4" w:themeFillTint="33"/>
          </w:tcPr>
          <w:p w14:paraId="6799C564" w14:textId="77777777" w:rsidR="00FF7799" w:rsidRPr="009B5040" w:rsidRDefault="00FF7799" w:rsidP="00001EBB">
            <w:pPr>
              <w:pStyle w:val="StandardText"/>
              <w:rPr>
                <w:lang w:val="de-DE"/>
              </w:rPr>
            </w:pPr>
            <w:r w:rsidRPr="009B5040">
              <w:rPr>
                <w:spacing w:val="-2"/>
                <w:lang w:val="de-DE"/>
              </w:rPr>
              <w:t>Kenia</w:t>
            </w:r>
          </w:p>
        </w:tc>
        <w:tc>
          <w:tcPr>
            <w:tcW w:w="1000" w:type="pct"/>
          </w:tcPr>
          <w:p w14:paraId="11366B71" w14:textId="77777777" w:rsidR="00FF7799" w:rsidRPr="00E73F6F" w:rsidRDefault="00FF7799" w:rsidP="00140268">
            <w:pPr>
              <w:pStyle w:val="StandardText"/>
              <w:jc w:val="center"/>
              <w:rPr>
                <w:lang w:val="de-DE"/>
              </w:rPr>
            </w:pPr>
            <w:r w:rsidRPr="00E73F6F">
              <w:rPr>
                <w:spacing w:val="-5"/>
                <w:lang w:val="de-DE"/>
              </w:rPr>
              <w:t>22</w:t>
            </w:r>
          </w:p>
        </w:tc>
        <w:tc>
          <w:tcPr>
            <w:tcW w:w="1000" w:type="pct"/>
          </w:tcPr>
          <w:p w14:paraId="6FC486EB" w14:textId="77777777" w:rsidR="00FF7799" w:rsidRPr="00E73F6F" w:rsidRDefault="00FF7799" w:rsidP="00140268">
            <w:pPr>
              <w:pStyle w:val="StandardText"/>
              <w:jc w:val="center"/>
              <w:rPr>
                <w:lang w:val="de-DE"/>
              </w:rPr>
            </w:pPr>
            <w:r w:rsidRPr="00E73F6F">
              <w:rPr>
                <w:lang w:val="de-DE"/>
              </w:rPr>
              <w:t>9</w:t>
            </w:r>
          </w:p>
        </w:tc>
        <w:tc>
          <w:tcPr>
            <w:tcW w:w="1000" w:type="pct"/>
          </w:tcPr>
          <w:p w14:paraId="6178E067" w14:textId="77777777" w:rsidR="00FF7799" w:rsidRPr="00E73F6F" w:rsidRDefault="00FF7799" w:rsidP="00140268">
            <w:pPr>
              <w:pStyle w:val="StandardText"/>
              <w:jc w:val="center"/>
              <w:rPr>
                <w:lang w:val="de-DE"/>
              </w:rPr>
            </w:pPr>
            <w:r w:rsidRPr="00E73F6F">
              <w:rPr>
                <w:spacing w:val="-5"/>
                <w:lang w:val="de-DE"/>
              </w:rPr>
              <w:t>30</w:t>
            </w:r>
          </w:p>
        </w:tc>
        <w:tc>
          <w:tcPr>
            <w:tcW w:w="1000" w:type="pct"/>
          </w:tcPr>
          <w:p w14:paraId="7545B325" w14:textId="77777777" w:rsidR="00FF7799" w:rsidRPr="00E73F6F" w:rsidRDefault="00FF7799" w:rsidP="00140268">
            <w:pPr>
              <w:pStyle w:val="StandardText"/>
              <w:jc w:val="center"/>
              <w:rPr>
                <w:lang w:val="de-DE"/>
              </w:rPr>
            </w:pPr>
            <w:r w:rsidRPr="00E73F6F">
              <w:rPr>
                <w:spacing w:val="-5"/>
                <w:lang w:val="de-DE"/>
              </w:rPr>
              <w:t>24</w:t>
            </w:r>
          </w:p>
        </w:tc>
      </w:tr>
      <w:tr w:rsidR="00FF7799" w:rsidRPr="00E73F6F" w14:paraId="6FC41D7B" w14:textId="77777777" w:rsidTr="009B5040">
        <w:trPr>
          <w:trHeight w:val="369"/>
        </w:trPr>
        <w:tc>
          <w:tcPr>
            <w:tcW w:w="1000" w:type="pct"/>
            <w:shd w:val="clear" w:color="auto" w:fill="FFF2CC" w:themeFill="accent4" w:themeFillTint="33"/>
          </w:tcPr>
          <w:p w14:paraId="4608C569" w14:textId="77777777" w:rsidR="00FF7799" w:rsidRPr="009B5040" w:rsidRDefault="00FF7799" w:rsidP="00001EBB">
            <w:pPr>
              <w:pStyle w:val="StandardText"/>
              <w:rPr>
                <w:lang w:val="de-DE"/>
              </w:rPr>
            </w:pPr>
            <w:r w:rsidRPr="009B5040">
              <w:rPr>
                <w:spacing w:val="-2"/>
                <w:lang w:val="de-DE"/>
              </w:rPr>
              <w:t>China</w:t>
            </w:r>
          </w:p>
        </w:tc>
        <w:tc>
          <w:tcPr>
            <w:tcW w:w="1000" w:type="pct"/>
          </w:tcPr>
          <w:p w14:paraId="598A3465" w14:textId="77777777" w:rsidR="00FF7799" w:rsidRPr="00E73F6F" w:rsidRDefault="00FF7799" w:rsidP="00140268">
            <w:pPr>
              <w:pStyle w:val="StandardText"/>
              <w:jc w:val="center"/>
              <w:rPr>
                <w:lang w:val="de-DE"/>
              </w:rPr>
            </w:pPr>
            <w:r w:rsidRPr="00E73F6F">
              <w:rPr>
                <w:spacing w:val="-5"/>
                <w:lang w:val="de-DE"/>
              </w:rPr>
              <w:t>23</w:t>
            </w:r>
          </w:p>
        </w:tc>
        <w:tc>
          <w:tcPr>
            <w:tcW w:w="1000" w:type="pct"/>
          </w:tcPr>
          <w:p w14:paraId="2608EC12" w14:textId="77777777" w:rsidR="00FF7799" w:rsidRPr="00E73F6F" w:rsidRDefault="00FF7799" w:rsidP="00140268">
            <w:pPr>
              <w:pStyle w:val="StandardText"/>
              <w:jc w:val="center"/>
              <w:rPr>
                <w:lang w:val="de-DE"/>
              </w:rPr>
            </w:pPr>
            <w:r w:rsidRPr="00E73F6F">
              <w:rPr>
                <w:spacing w:val="-5"/>
                <w:lang w:val="de-DE"/>
              </w:rPr>
              <w:t>24</w:t>
            </w:r>
          </w:p>
        </w:tc>
        <w:tc>
          <w:tcPr>
            <w:tcW w:w="1000" w:type="pct"/>
          </w:tcPr>
          <w:p w14:paraId="3F553F2A" w14:textId="77777777" w:rsidR="00FF7799" w:rsidRPr="00E73F6F" w:rsidRDefault="00FF7799" w:rsidP="00140268">
            <w:pPr>
              <w:pStyle w:val="StandardText"/>
              <w:jc w:val="center"/>
              <w:rPr>
                <w:lang w:val="de-DE"/>
              </w:rPr>
            </w:pPr>
            <w:r w:rsidRPr="00E73F6F">
              <w:rPr>
                <w:spacing w:val="-5"/>
                <w:lang w:val="de-DE"/>
              </w:rPr>
              <w:t>25</w:t>
            </w:r>
          </w:p>
        </w:tc>
        <w:tc>
          <w:tcPr>
            <w:tcW w:w="1000" w:type="pct"/>
          </w:tcPr>
          <w:p w14:paraId="4464F2D1" w14:textId="77777777" w:rsidR="00FF7799" w:rsidRPr="00E73F6F" w:rsidRDefault="00FF7799" w:rsidP="00140268">
            <w:pPr>
              <w:pStyle w:val="StandardText"/>
              <w:jc w:val="center"/>
              <w:rPr>
                <w:lang w:val="de-DE"/>
              </w:rPr>
            </w:pPr>
            <w:r w:rsidRPr="00E73F6F">
              <w:rPr>
                <w:spacing w:val="-5"/>
                <w:lang w:val="de-DE"/>
              </w:rPr>
              <w:t>12</w:t>
            </w:r>
          </w:p>
        </w:tc>
      </w:tr>
      <w:tr w:rsidR="00FF7799" w:rsidRPr="00E73F6F" w14:paraId="72768FA9" w14:textId="77777777" w:rsidTr="009B5040">
        <w:trPr>
          <w:trHeight w:val="366"/>
        </w:trPr>
        <w:tc>
          <w:tcPr>
            <w:tcW w:w="1000" w:type="pct"/>
            <w:shd w:val="clear" w:color="auto" w:fill="FFF2CC" w:themeFill="accent4" w:themeFillTint="33"/>
          </w:tcPr>
          <w:p w14:paraId="51ABE48E" w14:textId="77777777" w:rsidR="00FF7799" w:rsidRPr="009B5040" w:rsidRDefault="00FF7799" w:rsidP="00001EBB">
            <w:pPr>
              <w:pStyle w:val="StandardText"/>
              <w:rPr>
                <w:lang w:val="de-DE"/>
              </w:rPr>
            </w:pPr>
            <w:r w:rsidRPr="009B5040">
              <w:rPr>
                <w:spacing w:val="-2"/>
                <w:lang w:val="de-DE"/>
              </w:rPr>
              <w:t>Bulgarien</w:t>
            </w:r>
          </w:p>
        </w:tc>
        <w:tc>
          <w:tcPr>
            <w:tcW w:w="1000" w:type="pct"/>
          </w:tcPr>
          <w:p w14:paraId="4A6BF294" w14:textId="77777777" w:rsidR="00FF7799" w:rsidRPr="00E73F6F" w:rsidRDefault="00FF7799" w:rsidP="00140268">
            <w:pPr>
              <w:pStyle w:val="StandardText"/>
              <w:jc w:val="center"/>
              <w:rPr>
                <w:lang w:val="de-DE"/>
              </w:rPr>
            </w:pPr>
            <w:r w:rsidRPr="00E73F6F">
              <w:rPr>
                <w:spacing w:val="-5"/>
                <w:lang w:val="de-DE"/>
              </w:rPr>
              <w:t>24</w:t>
            </w:r>
          </w:p>
        </w:tc>
        <w:tc>
          <w:tcPr>
            <w:tcW w:w="1000" w:type="pct"/>
          </w:tcPr>
          <w:p w14:paraId="2A45ED2F" w14:textId="77777777" w:rsidR="00FF7799" w:rsidRPr="00E73F6F" w:rsidRDefault="00FF7799" w:rsidP="00140268">
            <w:pPr>
              <w:pStyle w:val="StandardText"/>
              <w:jc w:val="center"/>
              <w:rPr>
                <w:lang w:val="de-DE"/>
              </w:rPr>
            </w:pPr>
            <w:r w:rsidRPr="00E73F6F">
              <w:rPr>
                <w:spacing w:val="-5"/>
                <w:lang w:val="de-DE"/>
              </w:rPr>
              <w:t>27</w:t>
            </w:r>
          </w:p>
        </w:tc>
        <w:tc>
          <w:tcPr>
            <w:tcW w:w="1000" w:type="pct"/>
          </w:tcPr>
          <w:p w14:paraId="57A9009C" w14:textId="77777777" w:rsidR="00FF7799" w:rsidRPr="00E73F6F" w:rsidRDefault="00FF7799" w:rsidP="00140268">
            <w:pPr>
              <w:pStyle w:val="StandardText"/>
              <w:jc w:val="center"/>
              <w:rPr>
                <w:lang w:val="de-DE"/>
              </w:rPr>
            </w:pPr>
            <w:r w:rsidRPr="00E73F6F">
              <w:rPr>
                <w:spacing w:val="-5"/>
                <w:lang w:val="de-DE"/>
              </w:rPr>
              <w:t>22</w:t>
            </w:r>
          </w:p>
        </w:tc>
        <w:tc>
          <w:tcPr>
            <w:tcW w:w="1000" w:type="pct"/>
          </w:tcPr>
          <w:p w14:paraId="09894707" w14:textId="77777777" w:rsidR="00FF7799" w:rsidRPr="00E73F6F" w:rsidRDefault="00FF7799" w:rsidP="00140268">
            <w:pPr>
              <w:pStyle w:val="StandardText"/>
              <w:jc w:val="center"/>
              <w:rPr>
                <w:lang w:val="de-DE"/>
              </w:rPr>
            </w:pPr>
            <w:r w:rsidRPr="00E73F6F">
              <w:rPr>
                <w:spacing w:val="-5"/>
                <w:lang w:val="de-DE"/>
              </w:rPr>
              <w:t>17</w:t>
            </w:r>
          </w:p>
        </w:tc>
      </w:tr>
      <w:tr w:rsidR="00FF7799" w:rsidRPr="00E73F6F" w14:paraId="2EFA3550" w14:textId="77777777" w:rsidTr="009B5040">
        <w:trPr>
          <w:trHeight w:val="369"/>
        </w:trPr>
        <w:tc>
          <w:tcPr>
            <w:tcW w:w="1000" w:type="pct"/>
            <w:shd w:val="clear" w:color="auto" w:fill="FFF2CC" w:themeFill="accent4" w:themeFillTint="33"/>
          </w:tcPr>
          <w:p w14:paraId="49724878" w14:textId="77777777" w:rsidR="00FF7799" w:rsidRPr="009B5040" w:rsidRDefault="00FF7799" w:rsidP="00001EBB">
            <w:pPr>
              <w:pStyle w:val="StandardText"/>
              <w:rPr>
                <w:lang w:val="de-DE"/>
              </w:rPr>
            </w:pPr>
            <w:r w:rsidRPr="009B5040">
              <w:rPr>
                <w:spacing w:val="-2"/>
                <w:lang w:val="de-DE"/>
              </w:rPr>
              <w:t>Rumänien</w:t>
            </w:r>
          </w:p>
        </w:tc>
        <w:tc>
          <w:tcPr>
            <w:tcW w:w="1000" w:type="pct"/>
          </w:tcPr>
          <w:p w14:paraId="40530A05" w14:textId="77777777" w:rsidR="00FF7799" w:rsidRPr="00E73F6F" w:rsidRDefault="00FF7799" w:rsidP="00140268">
            <w:pPr>
              <w:pStyle w:val="StandardText"/>
              <w:jc w:val="center"/>
              <w:rPr>
                <w:lang w:val="de-DE"/>
              </w:rPr>
            </w:pPr>
            <w:r w:rsidRPr="00E73F6F">
              <w:rPr>
                <w:spacing w:val="-5"/>
                <w:lang w:val="de-DE"/>
              </w:rPr>
              <w:t>25</w:t>
            </w:r>
          </w:p>
        </w:tc>
        <w:tc>
          <w:tcPr>
            <w:tcW w:w="1000" w:type="pct"/>
          </w:tcPr>
          <w:p w14:paraId="4CB44745" w14:textId="77777777" w:rsidR="00FF7799" w:rsidRPr="00E73F6F" w:rsidRDefault="00FF7799" w:rsidP="00140268">
            <w:pPr>
              <w:pStyle w:val="StandardText"/>
              <w:jc w:val="center"/>
              <w:rPr>
                <w:lang w:val="de-DE"/>
              </w:rPr>
            </w:pPr>
            <w:r w:rsidRPr="00E73F6F">
              <w:rPr>
                <w:spacing w:val="-5"/>
                <w:lang w:val="de-DE"/>
              </w:rPr>
              <w:t>30</w:t>
            </w:r>
          </w:p>
        </w:tc>
        <w:tc>
          <w:tcPr>
            <w:tcW w:w="1000" w:type="pct"/>
          </w:tcPr>
          <w:p w14:paraId="3B1EF9A9" w14:textId="77777777" w:rsidR="00FF7799" w:rsidRPr="00E73F6F" w:rsidRDefault="00FF7799" w:rsidP="00140268">
            <w:pPr>
              <w:pStyle w:val="StandardText"/>
              <w:jc w:val="center"/>
              <w:rPr>
                <w:lang w:val="de-DE"/>
              </w:rPr>
            </w:pPr>
            <w:r w:rsidRPr="00E73F6F">
              <w:rPr>
                <w:spacing w:val="-5"/>
                <w:lang w:val="de-DE"/>
              </w:rPr>
              <w:t>29</w:t>
            </w:r>
          </w:p>
        </w:tc>
        <w:tc>
          <w:tcPr>
            <w:tcW w:w="1000" w:type="pct"/>
          </w:tcPr>
          <w:p w14:paraId="2E5C88D6" w14:textId="77777777" w:rsidR="00FF7799" w:rsidRPr="00E73F6F" w:rsidRDefault="00FF7799" w:rsidP="00140268">
            <w:pPr>
              <w:pStyle w:val="StandardText"/>
              <w:jc w:val="center"/>
              <w:rPr>
                <w:lang w:val="de-DE"/>
              </w:rPr>
            </w:pPr>
            <w:r w:rsidRPr="00E73F6F">
              <w:rPr>
                <w:lang w:val="de-DE"/>
              </w:rPr>
              <w:t>5</w:t>
            </w:r>
          </w:p>
        </w:tc>
      </w:tr>
      <w:tr w:rsidR="00FF7799" w:rsidRPr="00E73F6F" w14:paraId="11DAE358" w14:textId="77777777" w:rsidTr="009B5040">
        <w:trPr>
          <w:trHeight w:val="366"/>
        </w:trPr>
        <w:tc>
          <w:tcPr>
            <w:tcW w:w="1000" w:type="pct"/>
            <w:shd w:val="clear" w:color="auto" w:fill="FFF2CC" w:themeFill="accent4" w:themeFillTint="33"/>
          </w:tcPr>
          <w:p w14:paraId="4FDC010C" w14:textId="77777777" w:rsidR="00FF7799" w:rsidRPr="009B5040" w:rsidRDefault="00FF7799" w:rsidP="00001EBB">
            <w:pPr>
              <w:pStyle w:val="StandardText"/>
              <w:rPr>
                <w:lang w:val="de-DE"/>
              </w:rPr>
            </w:pPr>
            <w:r w:rsidRPr="009B5040">
              <w:rPr>
                <w:spacing w:val="-2"/>
                <w:lang w:val="de-DE"/>
              </w:rPr>
              <w:t>Jordanien</w:t>
            </w:r>
          </w:p>
        </w:tc>
        <w:tc>
          <w:tcPr>
            <w:tcW w:w="1000" w:type="pct"/>
          </w:tcPr>
          <w:p w14:paraId="46211209" w14:textId="77777777" w:rsidR="00FF7799" w:rsidRPr="00E73F6F" w:rsidRDefault="00FF7799" w:rsidP="00140268">
            <w:pPr>
              <w:pStyle w:val="StandardText"/>
              <w:jc w:val="center"/>
              <w:rPr>
                <w:lang w:val="de-DE"/>
              </w:rPr>
            </w:pPr>
            <w:r w:rsidRPr="00E73F6F">
              <w:rPr>
                <w:spacing w:val="-5"/>
                <w:lang w:val="de-DE"/>
              </w:rPr>
              <w:t>26</w:t>
            </w:r>
          </w:p>
        </w:tc>
        <w:tc>
          <w:tcPr>
            <w:tcW w:w="1000" w:type="pct"/>
          </w:tcPr>
          <w:p w14:paraId="7DBDB397" w14:textId="77777777" w:rsidR="00FF7799" w:rsidRPr="00E73F6F" w:rsidRDefault="00FF7799" w:rsidP="00140268">
            <w:pPr>
              <w:pStyle w:val="StandardText"/>
              <w:jc w:val="center"/>
              <w:rPr>
                <w:lang w:val="de-DE"/>
              </w:rPr>
            </w:pPr>
            <w:r w:rsidRPr="00E73F6F">
              <w:rPr>
                <w:spacing w:val="-5"/>
                <w:lang w:val="de-DE"/>
              </w:rPr>
              <w:t>28</w:t>
            </w:r>
          </w:p>
        </w:tc>
        <w:tc>
          <w:tcPr>
            <w:tcW w:w="1000" w:type="pct"/>
          </w:tcPr>
          <w:p w14:paraId="719F9D44" w14:textId="77777777" w:rsidR="00FF7799" w:rsidRPr="00E73F6F" w:rsidRDefault="00FF7799" w:rsidP="00140268">
            <w:pPr>
              <w:pStyle w:val="StandardText"/>
              <w:jc w:val="center"/>
              <w:rPr>
                <w:lang w:val="de-DE"/>
              </w:rPr>
            </w:pPr>
            <w:r w:rsidRPr="00E73F6F">
              <w:rPr>
                <w:spacing w:val="-5"/>
                <w:lang w:val="de-DE"/>
              </w:rPr>
              <w:t>27</w:t>
            </w:r>
          </w:p>
        </w:tc>
        <w:tc>
          <w:tcPr>
            <w:tcW w:w="1000" w:type="pct"/>
          </w:tcPr>
          <w:p w14:paraId="13612BD2" w14:textId="77777777" w:rsidR="00FF7799" w:rsidRPr="00E73F6F" w:rsidRDefault="00FF7799" w:rsidP="00140268">
            <w:pPr>
              <w:pStyle w:val="StandardText"/>
              <w:jc w:val="center"/>
              <w:rPr>
                <w:lang w:val="de-DE"/>
              </w:rPr>
            </w:pPr>
            <w:r w:rsidRPr="00E73F6F">
              <w:rPr>
                <w:spacing w:val="-5"/>
                <w:lang w:val="de-DE"/>
              </w:rPr>
              <w:t>19</w:t>
            </w:r>
          </w:p>
        </w:tc>
      </w:tr>
      <w:tr w:rsidR="00FF7799" w:rsidRPr="00E73F6F" w14:paraId="695A480C" w14:textId="77777777" w:rsidTr="009B5040">
        <w:trPr>
          <w:trHeight w:val="369"/>
        </w:trPr>
        <w:tc>
          <w:tcPr>
            <w:tcW w:w="1000" w:type="pct"/>
            <w:shd w:val="clear" w:color="auto" w:fill="FFF2CC" w:themeFill="accent4" w:themeFillTint="33"/>
          </w:tcPr>
          <w:p w14:paraId="15506876" w14:textId="77777777" w:rsidR="00FF7799" w:rsidRPr="009B5040" w:rsidRDefault="00FF7799" w:rsidP="00001EBB">
            <w:pPr>
              <w:pStyle w:val="StandardText"/>
              <w:rPr>
                <w:lang w:val="de-DE"/>
              </w:rPr>
            </w:pPr>
            <w:r w:rsidRPr="009B5040">
              <w:rPr>
                <w:spacing w:val="-2"/>
                <w:lang w:val="de-DE"/>
              </w:rPr>
              <w:t>Syrien</w:t>
            </w:r>
          </w:p>
        </w:tc>
        <w:tc>
          <w:tcPr>
            <w:tcW w:w="1000" w:type="pct"/>
          </w:tcPr>
          <w:p w14:paraId="48C420E7" w14:textId="77777777" w:rsidR="00FF7799" w:rsidRPr="00E73F6F" w:rsidRDefault="00FF7799" w:rsidP="00140268">
            <w:pPr>
              <w:pStyle w:val="StandardText"/>
              <w:jc w:val="center"/>
              <w:rPr>
                <w:lang w:val="de-DE"/>
              </w:rPr>
            </w:pPr>
            <w:r w:rsidRPr="00E73F6F">
              <w:rPr>
                <w:spacing w:val="-5"/>
                <w:lang w:val="de-DE"/>
              </w:rPr>
              <w:t>27</w:t>
            </w:r>
          </w:p>
        </w:tc>
        <w:tc>
          <w:tcPr>
            <w:tcW w:w="1000" w:type="pct"/>
          </w:tcPr>
          <w:p w14:paraId="272F13F0" w14:textId="77777777" w:rsidR="00FF7799" w:rsidRPr="00E73F6F" w:rsidRDefault="00FF7799" w:rsidP="00140268">
            <w:pPr>
              <w:pStyle w:val="StandardText"/>
              <w:jc w:val="center"/>
              <w:rPr>
                <w:lang w:val="de-DE"/>
              </w:rPr>
            </w:pPr>
            <w:r w:rsidRPr="00E73F6F">
              <w:rPr>
                <w:spacing w:val="-5"/>
                <w:lang w:val="de-DE"/>
              </w:rPr>
              <w:t>29</w:t>
            </w:r>
          </w:p>
        </w:tc>
        <w:tc>
          <w:tcPr>
            <w:tcW w:w="1000" w:type="pct"/>
          </w:tcPr>
          <w:p w14:paraId="541CA5BE" w14:textId="77777777" w:rsidR="00FF7799" w:rsidRPr="00E73F6F" w:rsidRDefault="00FF7799" w:rsidP="00140268">
            <w:pPr>
              <w:pStyle w:val="StandardText"/>
              <w:jc w:val="center"/>
              <w:rPr>
                <w:lang w:val="de-DE"/>
              </w:rPr>
            </w:pPr>
            <w:r w:rsidRPr="00E73F6F">
              <w:rPr>
                <w:spacing w:val="-5"/>
                <w:lang w:val="de-DE"/>
              </w:rPr>
              <w:t>28</w:t>
            </w:r>
          </w:p>
        </w:tc>
        <w:tc>
          <w:tcPr>
            <w:tcW w:w="1000" w:type="pct"/>
          </w:tcPr>
          <w:p w14:paraId="6A0F55C5" w14:textId="77777777" w:rsidR="00FF7799" w:rsidRPr="00E73F6F" w:rsidRDefault="00FF7799" w:rsidP="00140268">
            <w:pPr>
              <w:pStyle w:val="StandardText"/>
              <w:jc w:val="center"/>
              <w:rPr>
                <w:lang w:val="de-DE"/>
              </w:rPr>
            </w:pPr>
            <w:r w:rsidRPr="00E73F6F">
              <w:rPr>
                <w:spacing w:val="-5"/>
                <w:lang w:val="de-DE"/>
              </w:rPr>
              <w:t>27</w:t>
            </w:r>
          </w:p>
        </w:tc>
      </w:tr>
      <w:tr w:rsidR="00FF7799" w:rsidRPr="00E73F6F" w14:paraId="2A446228" w14:textId="77777777" w:rsidTr="009B5040">
        <w:trPr>
          <w:trHeight w:val="366"/>
        </w:trPr>
        <w:tc>
          <w:tcPr>
            <w:tcW w:w="1000" w:type="pct"/>
            <w:shd w:val="clear" w:color="auto" w:fill="FFF2CC" w:themeFill="accent4" w:themeFillTint="33"/>
          </w:tcPr>
          <w:p w14:paraId="478ADA43" w14:textId="77777777" w:rsidR="00FF7799" w:rsidRPr="009B5040" w:rsidRDefault="00FF7799" w:rsidP="00001EBB">
            <w:pPr>
              <w:pStyle w:val="StandardText"/>
              <w:rPr>
                <w:lang w:val="de-DE"/>
              </w:rPr>
            </w:pPr>
            <w:r w:rsidRPr="009B5040">
              <w:rPr>
                <w:lang w:val="de-DE"/>
              </w:rPr>
              <w:t>El</w:t>
            </w:r>
            <w:r w:rsidRPr="009B5040">
              <w:rPr>
                <w:spacing w:val="1"/>
                <w:lang w:val="de-DE"/>
              </w:rPr>
              <w:t xml:space="preserve"> </w:t>
            </w:r>
            <w:r w:rsidRPr="009B5040">
              <w:rPr>
                <w:spacing w:val="-2"/>
                <w:lang w:val="de-DE"/>
              </w:rPr>
              <w:t>Salvador</w:t>
            </w:r>
          </w:p>
        </w:tc>
        <w:tc>
          <w:tcPr>
            <w:tcW w:w="1000" w:type="pct"/>
          </w:tcPr>
          <w:p w14:paraId="34E41761" w14:textId="77777777" w:rsidR="00FF7799" w:rsidRPr="00E73F6F" w:rsidRDefault="00FF7799" w:rsidP="00140268">
            <w:pPr>
              <w:pStyle w:val="StandardText"/>
              <w:jc w:val="center"/>
              <w:rPr>
                <w:lang w:val="de-DE"/>
              </w:rPr>
            </w:pPr>
            <w:r w:rsidRPr="00E73F6F">
              <w:rPr>
                <w:spacing w:val="-5"/>
                <w:lang w:val="de-DE"/>
              </w:rPr>
              <w:t>28</w:t>
            </w:r>
          </w:p>
        </w:tc>
        <w:tc>
          <w:tcPr>
            <w:tcW w:w="1000" w:type="pct"/>
          </w:tcPr>
          <w:p w14:paraId="2D61B251" w14:textId="77777777" w:rsidR="00FF7799" w:rsidRPr="00E73F6F" w:rsidRDefault="00FF7799" w:rsidP="00140268">
            <w:pPr>
              <w:pStyle w:val="StandardText"/>
              <w:jc w:val="center"/>
              <w:rPr>
                <w:lang w:val="de-DE"/>
              </w:rPr>
            </w:pPr>
            <w:r w:rsidRPr="00E73F6F">
              <w:rPr>
                <w:spacing w:val="-5"/>
                <w:lang w:val="de-DE"/>
              </w:rPr>
              <w:t>22</w:t>
            </w:r>
          </w:p>
        </w:tc>
        <w:tc>
          <w:tcPr>
            <w:tcW w:w="1000" w:type="pct"/>
          </w:tcPr>
          <w:p w14:paraId="18028B3F" w14:textId="77777777" w:rsidR="00FF7799" w:rsidRPr="00E73F6F" w:rsidRDefault="00FF7799" w:rsidP="00140268">
            <w:pPr>
              <w:pStyle w:val="StandardText"/>
              <w:jc w:val="center"/>
              <w:rPr>
                <w:lang w:val="de-DE"/>
              </w:rPr>
            </w:pPr>
            <w:r w:rsidRPr="00E73F6F">
              <w:rPr>
                <w:spacing w:val="-5"/>
                <w:lang w:val="de-DE"/>
              </w:rPr>
              <w:t>16</w:t>
            </w:r>
          </w:p>
        </w:tc>
        <w:tc>
          <w:tcPr>
            <w:tcW w:w="1000" w:type="pct"/>
          </w:tcPr>
          <w:p w14:paraId="34A49DBE" w14:textId="77777777" w:rsidR="00FF7799" w:rsidRPr="00E73F6F" w:rsidRDefault="00FF7799" w:rsidP="00140268">
            <w:pPr>
              <w:pStyle w:val="StandardText"/>
              <w:jc w:val="center"/>
              <w:rPr>
                <w:lang w:val="de-DE"/>
              </w:rPr>
            </w:pPr>
            <w:r w:rsidRPr="00E73F6F">
              <w:rPr>
                <w:spacing w:val="-5"/>
                <w:lang w:val="de-DE"/>
              </w:rPr>
              <w:t>31</w:t>
            </w:r>
          </w:p>
        </w:tc>
      </w:tr>
      <w:tr w:rsidR="00FF7799" w:rsidRPr="00E73F6F" w14:paraId="0FC39DF5" w14:textId="77777777" w:rsidTr="009B5040">
        <w:trPr>
          <w:trHeight w:val="369"/>
        </w:trPr>
        <w:tc>
          <w:tcPr>
            <w:tcW w:w="1000" w:type="pct"/>
            <w:shd w:val="clear" w:color="auto" w:fill="FFF2CC" w:themeFill="accent4" w:themeFillTint="33"/>
          </w:tcPr>
          <w:p w14:paraId="1C767419" w14:textId="77777777" w:rsidR="00FF7799" w:rsidRPr="009B5040" w:rsidRDefault="00FF7799" w:rsidP="00001EBB">
            <w:pPr>
              <w:pStyle w:val="StandardText"/>
              <w:rPr>
                <w:lang w:val="de-DE"/>
              </w:rPr>
            </w:pPr>
            <w:r w:rsidRPr="009B5040">
              <w:rPr>
                <w:spacing w:val="-2"/>
                <w:lang w:val="de-DE"/>
              </w:rPr>
              <w:lastRenderedPageBreak/>
              <w:t>Brasilien</w:t>
            </w:r>
          </w:p>
        </w:tc>
        <w:tc>
          <w:tcPr>
            <w:tcW w:w="1000" w:type="pct"/>
          </w:tcPr>
          <w:p w14:paraId="07509536" w14:textId="77777777" w:rsidR="00FF7799" w:rsidRPr="00E73F6F" w:rsidRDefault="00FF7799" w:rsidP="00140268">
            <w:pPr>
              <w:pStyle w:val="StandardText"/>
              <w:jc w:val="center"/>
              <w:rPr>
                <w:lang w:val="de-DE"/>
              </w:rPr>
            </w:pPr>
            <w:r w:rsidRPr="00E73F6F">
              <w:rPr>
                <w:spacing w:val="-5"/>
                <w:lang w:val="de-DE"/>
              </w:rPr>
              <w:t>29</w:t>
            </w:r>
          </w:p>
        </w:tc>
        <w:tc>
          <w:tcPr>
            <w:tcW w:w="1000" w:type="pct"/>
          </w:tcPr>
          <w:p w14:paraId="3978FFF3" w14:textId="77777777" w:rsidR="00FF7799" w:rsidRPr="00E73F6F" w:rsidRDefault="00FF7799" w:rsidP="00140268">
            <w:pPr>
              <w:pStyle w:val="StandardText"/>
              <w:jc w:val="center"/>
              <w:rPr>
                <w:lang w:val="de-DE"/>
              </w:rPr>
            </w:pPr>
            <w:r w:rsidRPr="00E73F6F">
              <w:rPr>
                <w:spacing w:val="-5"/>
                <w:lang w:val="de-DE"/>
              </w:rPr>
              <w:t>31</w:t>
            </w:r>
          </w:p>
        </w:tc>
        <w:tc>
          <w:tcPr>
            <w:tcW w:w="1000" w:type="pct"/>
          </w:tcPr>
          <w:p w14:paraId="71FFE41E" w14:textId="77777777" w:rsidR="00FF7799" w:rsidRPr="00E73F6F" w:rsidRDefault="00FF7799" w:rsidP="00140268">
            <w:pPr>
              <w:pStyle w:val="StandardText"/>
              <w:jc w:val="center"/>
              <w:rPr>
                <w:lang w:val="de-DE"/>
              </w:rPr>
            </w:pPr>
            <w:r w:rsidRPr="00E73F6F">
              <w:rPr>
                <w:spacing w:val="-5"/>
                <w:lang w:val="de-DE"/>
              </w:rPr>
              <w:t>24</w:t>
            </w:r>
          </w:p>
        </w:tc>
        <w:tc>
          <w:tcPr>
            <w:tcW w:w="1000" w:type="pct"/>
          </w:tcPr>
          <w:p w14:paraId="00DF40BF" w14:textId="77777777" w:rsidR="00FF7799" w:rsidRPr="00E73F6F" w:rsidRDefault="00FF7799" w:rsidP="00140268">
            <w:pPr>
              <w:pStyle w:val="StandardText"/>
              <w:jc w:val="center"/>
              <w:rPr>
                <w:lang w:val="de-DE"/>
              </w:rPr>
            </w:pPr>
            <w:r w:rsidRPr="00E73F6F">
              <w:rPr>
                <w:spacing w:val="-5"/>
                <w:lang w:val="de-DE"/>
              </w:rPr>
              <w:t>28</w:t>
            </w:r>
          </w:p>
        </w:tc>
      </w:tr>
      <w:tr w:rsidR="00FF7799" w:rsidRPr="00E73F6F" w14:paraId="692751ED" w14:textId="77777777" w:rsidTr="009B5040">
        <w:trPr>
          <w:trHeight w:val="366"/>
        </w:trPr>
        <w:tc>
          <w:tcPr>
            <w:tcW w:w="1000" w:type="pct"/>
            <w:shd w:val="clear" w:color="auto" w:fill="FFF2CC" w:themeFill="accent4" w:themeFillTint="33"/>
          </w:tcPr>
          <w:p w14:paraId="5E8F66D1" w14:textId="77777777" w:rsidR="00FF7799" w:rsidRPr="009B5040" w:rsidRDefault="00FF7799" w:rsidP="00001EBB">
            <w:pPr>
              <w:pStyle w:val="StandardText"/>
              <w:rPr>
                <w:lang w:val="de-DE"/>
              </w:rPr>
            </w:pPr>
            <w:r w:rsidRPr="009B5040">
              <w:rPr>
                <w:spacing w:val="-2"/>
                <w:lang w:val="de-DE"/>
              </w:rPr>
              <w:t>Indonesien</w:t>
            </w:r>
          </w:p>
        </w:tc>
        <w:tc>
          <w:tcPr>
            <w:tcW w:w="1000" w:type="pct"/>
          </w:tcPr>
          <w:p w14:paraId="3E6848B7" w14:textId="77777777" w:rsidR="00FF7799" w:rsidRPr="00E73F6F" w:rsidRDefault="00FF7799" w:rsidP="00140268">
            <w:pPr>
              <w:pStyle w:val="StandardText"/>
              <w:jc w:val="center"/>
              <w:rPr>
                <w:lang w:val="de-DE"/>
              </w:rPr>
            </w:pPr>
            <w:r w:rsidRPr="00E73F6F">
              <w:rPr>
                <w:spacing w:val="-5"/>
                <w:lang w:val="de-DE"/>
              </w:rPr>
              <w:t>30</w:t>
            </w:r>
          </w:p>
        </w:tc>
        <w:tc>
          <w:tcPr>
            <w:tcW w:w="1000" w:type="pct"/>
          </w:tcPr>
          <w:p w14:paraId="41BA5C1D" w14:textId="77777777" w:rsidR="00FF7799" w:rsidRPr="00E73F6F" w:rsidRDefault="00FF7799" w:rsidP="00140268">
            <w:pPr>
              <w:pStyle w:val="StandardText"/>
              <w:jc w:val="center"/>
              <w:rPr>
                <w:lang w:val="de-DE"/>
              </w:rPr>
            </w:pPr>
            <w:r w:rsidRPr="00E73F6F">
              <w:rPr>
                <w:spacing w:val="-5"/>
                <w:lang w:val="de-DE"/>
              </w:rPr>
              <w:t>26</w:t>
            </w:r>
          </w:p>
        </w:tc>
        <w:tc>
          <w:tcPr>
            <w:tcW w:w="1000" w:type="pct"/>
          </w:tcPr>
          <w:p w14:paraId="256C90E4" w14:textId="77777777" w:rsidR="00FF7799" w:rsidRPr="00E73F6F" w:rsidRDefault="00FF7799" w:rsidP="00140268">
            <w:pPr>
              <w:pStyle w:val="StandardText"/>
              <w:jc w:val="center"/>
              <w:rPr>
                <w:lang w:val="de-DE"/>
              </w:rPr>
            </w:pPr>
            <w:r w:rsidRPr="00E73F6F">
              <w:rPr>
                <w:spacing w:val="-5"/>
                <w:lang w:val="de-DE"/>
              </w:rPr>
              <w:t>26</w:t>
            </w:r>
          </w:p>
        </w:tc>
        <w:tc>
          <w:tcPr>
            <w:tcW w:w="1000" w:type="pct"/>
          </w:tcPr>
          <w:p w14:paraId="50FF31D3" w14:textId="77777777" w:rsidR="00FF7799" w:rsidRPr="00E73F6F" w:rsidRDefault="00FF7799" w:rsidP="00140268">
            <w:pPr>
              <w:pStyle w:val="StandardText"/>
              <w:jc w:val="center"/>
              <w:rPr>
                <w:lang w:val="de-DE"/>
              </w:rPr>
            </w:pPr>
            <w:r w:rsidRPr="00E73F6F">
              <w:rPr>
                <w:spacing w:val="-5"/>
                <w:lang w:val="de-DE"/>
              </w:rPr>
              <w:t>30</w:t>
            </w:r>
          </w:p>
        </w:tc>
      </w:tr>
      <w:tr w:rsidR="00FF7799" w:rsidRPr="00E73F6F" w14:paraId="2B09CB31" w14:textId="77777777" w:rsidTr="009B5040">
        <w:trPr>
          <w:trHeight w:val="369"/>
        </w:trPr>
        <w:tc>
          <w:tcPr>
            <w:tcW w:w="1000" w:type="pct"/>
            <w:shd w:val="clear" w:color="auto" w:fill="FFF2CC" w:themeFill="accent4" w:themeFillTint="33"/>
          </w:tcPr>
          <w:p w14:paraId="247EEEFB" w14:textId="77777777" w:rsidR="00FF7799" w:rsidRPr="009B5040" w:rsidRDefault="00FF7799" w:rsidP="00001EBB">
            <w:pPr>
              <w:pStyle w:val="StandardText"/>
              <w:rPr>
                <w:lang w:val="de-DE"/>
              </w:rPr>
            </w:pPr>
            <w:r w:rsidRPr="009B5040">
              <w:rPr>
                <w:spacing w:val="-2"/>
                <w:lang w:val="de-DE"/>
              </w:rPr>
              <w:t>Mexiko</w:t>
            </w:r>
          </w:p>
        </w:tc>
        <w:tc>
          <w:tcPr>
            <w:tcW w:w="1000" w:type="pct"/>
          </w:tcPr>
          <w:p w14:paraId="34A2CCA8" w14:textId="77777777" w:rsidR="00FF7799" w:rsidRPr="00E73F6F" w:rsidRDefault="00FF7799" w:rsidP="00140268">
            <w:pPr>
              <w:pStyle w:val="StandardText"/>
              <w:jc w:val="center"/>
              <w:rPr>
                <w:lang w:val="de-DE"/>
              </w:rPr>
            </w:pPr>
            <w:r w:rsidRPr="00E73F6F">
              <w:rPr>
                <w:spacing w:val="-5"/>
                <w:lang w:val="de-DE"/>
              </w:rPr>
              <w:t>31</w:t>
            </w:r>
          </w:p>
        </w:tc>
        <w:tc>
          <w:tcPr>
            <w:tcW w:w="1000" w:type="pct"/>
          </w:tcPr>
          <w:p w14:paraId="649208B8" w14:textId="77777777" w:rsidR="00FF7799" w:rsidRPr="00E73F6F" w:rsidRDefault="00FF7799" w:rsidP="00140268">
            <w:pPr>
              <w:pStyle w:val="StandardText"/>
              <w:jc w:val="center"/>
              <w:rPr>
                <w:lang w:val="de-DE"/>
              </w:rPr>
            </w:pPr>
            <w:r w:rsidRPr="00E73F6F">
              <w:rPr>
                <w:spacing w:val="-5"/>
                <w:lang w:val="de-DE"/>
              </w:rPr>
              <w:t>17</w:t>
            </w:r>
          </w:p>
        </w:tc>
        <w:tc>
          <w:tcPr>
            <w:tcW w:w="1000" w:type="pct"/>
          </w:tcPr>
          <w:p w14:paraId="516563D1" w14:textId="77777777" w:rsidR="00FF7799" w:rsidRPr="00E73F6F" w:rsidRDefault="00FF7799" w:rsidP="00140268">
            <w:pPr>
              <w:pStyle w:val="StandardText"/>
              <w:jc w:val="center"/>
              <w:rPr>
                <w:lang w:val="de-DE"/>
              </w:rPr>
            </w:pPr>
            <w:r w:rsidRPr="00E73F6F">
              <w:rPr>
                <w:spacing w:val="-5"/>
                <w:lang w:val="de-DE"/>
              </w:rPr>
              <w:t>31</w:t>
            </w:r>
          </w:p>
        </w:tc>
        <w:tc>
          <w:tcPr>
            <w:tcW w:w="1000" w:type="pct"/>
          </w:tcPr>
          <w:p w14:paraId="39B3351F" w14:textId="77777777" w:rsidR="00FF7799" w:rsidRPr="00E73F6F" w:rsidRDefault="00FF7799" w:rsidP="00140268">
            <w:pPr>
              <w:pStyle w:val="StandardText"/>
              <w:jc w:val="center"/>
              <w:rPr>
                <w:lang w:val="de-DE"/>
              </w:rPr>
            </w:pPr>
            <w:r w:rsidRPr="00E73F6F">
              <w:rPr>
                <w:spacing w:val="-5"/>
                <w:lang w:val="de-DE"/>
              </w:rPr>
              <w:t>26</w:t>
            </w:r>
          </w:p>
        </w:tc>
      </w:tr>
    </w:tbl>
    <w:p w14:paraId="31C4E3FA" w14:textId="77777777" w:rsidR="00FF7799" w:rsidRPr="00E73F6F" w:rsidRDefault="00FF7799" w:rsidP="00001EBB">
      <w:pPr>
        <w:pStyle w:val="Quellen"/>
      </w:pPr>
      <w:r w:rsidRPr="00E73F6F">
        <w:rPr>
          <w:spacing w:val="-2"/>
        </w:rPr>
        <w:t>Quelle:</w:t>
      </w:r>
      <w:r w:rsidRPr="00E73F6F">
        <w:tab/>
        <w:t>Levine/Norenzayan</w:t>
      </w:r>
      <w:r w:rsidRPr="00E73F6F">
        <w:rPr>
          <w:spacing w:val="-3"/>
        </w:rPr>
        <w:t xml:space="preserve"> </w:t>
      </w:r>
      <w:r w:rsidRPr="00E73F6F">
        <w:t>(1999,</w:t>
      </w:r>
      <w:r w:rsidRPr="00E73F6F">
        <w:rPr>
          <w:spacing w:val="-1"/>
        </w:rPr>
        <w:t xml:space="preserve"> </w:t>
      </w:r>
      <w:r w:rsidRPr="00E73F6F">
        <w:rPr>
          <w:spacing w:val="-2"/>
        </w:rPr>
        <w:t>S.190).</w:t>
      </w:r>
    </w:p>
    <w:p w14:paraId="696ACB1B" w14:textId="77777777" w:rsidR="00FF7799" w:rsidRPr="00E73F6F" w:rsidRDefault="00FF7799" w:rsidP="00001EBB">
      <w:pPr>
        <w:pStyle w:val="StandardText"/>
      </w:pPr>
    </w:p>
    <w:p w14:paraId="40FEAA1E" w14:textId="77777777" w:rsidR="00FF7799" w:rsidRPr="009B5040" w:rsidRDefault="00FF7799" w:rsidP="00001EBB">
      <w:pPr>
        <w:pStyle w:val="StandardText"/>
        <w:rPr>
          <w:sz w:val="22"/>
          <w:szCs w:val="22"/>
          <w:lang w:val="en-US"/>
        </w:rPr>
      </w:pPr>
      <w:r w:rsidRPr="009B5040">
        <w:rPr>
          <w:b/>
          <w:i/>
          <w:sz w:val="22"/>
          <w:szCs w:val="22"/>
          <w:lang w:val="en-US"/>
        </w:rPr>
        <w:t>Literatur:</w:t>
      </w:r>
      <w:r w:rsidRPr="009B5040">
        <w:rPr>
          <w:b/>
          <w:sz w:val="22"/>
          <w:szCs w:val="22"/>
          <w:lang w:val="en-US"/>
        </w:rPr>
        <w:t xml:space="preserve"> </w:t>
      </w:r>
      <w:r w:rsidRPr="009B5040">
        <w:rPr>
          <w:sz w:val="22"/>
          <w:szCs w:val="22"/>
          <w:lang w:val="en-US"/>
        </w:rPr>
        <w:t>Adler, N.J. (1983): A Typology of Management Studies Involving Culture,</w:t>
      </w:r>
      <w:r w:rsidRPr="009B5040">
        <w:rPr>
          <w:spacing w:val="40"/>
          <w:sz w:val="22"/>
          <w:szCs w:val="22"/>
          <w:lang w:val="en-US"/>
        </w:rPr>
        <w:t xml:space="preserve"> </w:t>
      </w:r>
      <w:r w:rsidRPr="009B5040">
        <w:rPr>
          <w:sz w:val="22"/>
          <w:szCs w:val="22"/>
          <w:lang w:val="en-US"/>
        </w:rPr>
        <w:t>Journal of international business studies, 14(2): 29-47.</w:t>
      </w:r>
      <w:r w:rsidRPr="009B5040">
        <w:rPr>
          <w:spacing w:val="80"/>
          <w:sz w:val="22"/>
          <w:szCs w:val="22"/>
          <w:lang w:val="en-US"/>
        </w:rPr>
        <w:t xml:space="preserve"> </w:t>
      </w:r>
      <w:r w:rsidRPr="009B5040">
        <w:rPr>
          <w:sz w:val="22"/>
          <w:szCs w:val="22"/>
          <w:lang w:val="en-US"/>
        </w:rPr>
        <w:t>Adler, N.J.; Doktor, R.; Redding, S.G.</w:t>
      </w:r>
      <w:r w:rsidRPr="009B5040">
        <w:rPr>
          <w:spacing w:val="-10"/>
          <w:sz w:val="22"/>
          <w:szCs w:val="22"/>
          <w:lang w:val="en-US"/>
        </w:rPr>
        <w:t xml:space="preserve"> </w:t>
      </w:r>
      <w:r w:rsidRPr="009B5040">
        <w:rPr>
          <w:sz w:val="22"/>
          <w:szCs w:val="22"/>
          <w:lang w:val="en-US"/>
        </w:rPr>
        <w:t>(1986):</w:t>
      </w:r>
      <w:r w:rsidRPr="009B5040">
        <w:rPr>
          <w:spacing w:val="-10"/>
          <w:sz w:val="22"/>
          <w:szCs w:val="22"/>
          <w:lang w:val="en-US"/>
        </w:rPr>
        <w:t xml:space="preserve"> </w:t>
      </w:r>
      <w:r w:rsidRPr="009B5040">
        <w:rPr>
          <w:sz w:val="22"/>
          <w:szCs w:val="22"/>
          <w:lang w:val="en-US"/>
        </w:rPr>
        <w:t>From</w:t>
      </w:r>
      <w:r w:rsidRPr="009B5040">
        <w:rPr>
          <w:spacing w:val="-10"/>
          <w:sz w:val="22"/>
          <w:szCs w:val="22"/>
          <w:lang w:val="en-US"/>
        </w:rPr>
        <w:t xml:space="preserve"> </w:t>
      </w:r>
      <w:r w:rsidRPr="009B5040">
        <w:rPr>
          <w:sz w:val="22"/>
          <w:szCs w:val="22"/>
          <w:lang w:val="en-US"/>
        </w:rPr>
        <w:t>the</w:t>
      </w:r>
      <w:r w:rsidRPr="009B5040">
        <w:rPr>
          <w:spacing w:val="-10"/>
          <w:sz w:val="22"/>
          <w:szCs w:val="22"/>
          <w:lang w:val="en-US"/>
        </w:rPr>
        <w:t xml:space="preserve"> </w:t>
      </w:r>
      <w:r w:rsidRPr="009B5040">
        <w:rPr>
          <w:sz w:val="22"/>
          <w:szCs w:val="22"/>
          <w:lang w:val="en-US"/>
        </w:rPr>
        <w:t>Atlantic</w:t>
      </w:r>
      <w:r w:rsidRPr="009B5040">
        <w:rPr>
          <w:spacing w:val="-10"/>
          <w:sz w:val="22"/>
          <w:szCs w:val="22"/>
          <w:lang w:val="en-US"/>
        </w:rPr>
        <w:t xml:space="preserve"> </w:t>
      </w:r>
      <w:r w:rsidRPr="009B5040">
        <w:rPr>
          <w:sz w:val="22"/>
          <w:szCs w:val="22"/>
          <w:lang w:val="en-US"/>
        </w:rPr>
        <w:t>to</w:t>
      </w:r>
      <w:r w:rsidRPr="009B5040">
        <w:rPr>
          <w:spacing w:val="-10"/>
          <w:sz w:val="22"/>
          <w:szCs w:val="22"/>
          <w:lang w:val="en-US"/>
        </w:rPr>
        <w:t xml:space="preserve"> </w:t>
      </w:r>
      <w:r w:rsidRPr="009B5040">
        <w:rPr>
          <w:sz w:val="22"/>
          <w:szCs w:val="22"/>
          <w:lang w:val="en-US"/>
        </w:rPr>
        <w:t>the</w:t>
      </w:r>
      <w:r w:rsidRPr="009B5040">
        <w:rPr>
          <w:spacing w:val="-10"/>
          <w:sz w:val="22"/>
          <w:szCs w:val="22"/>
          <w:lang w:val="en-US"/>
        </w:rPr>
        <w:t xml:space="preserve"> </w:t>
      </w:r>
      <w:r w:rsidRPr="009B5040">
        <w:rPr>
          <w:sz w:val="22"/>
          <w:szCs w:val="22"/>
          <w:lang w:val="en-US"/>
        </w:rPr>
        <w:t>Pacific</w:t>
      </w:r>
      <w:r w:rsidRPr="009B5040">
        <w:rPr>
          <w:spacing w:val="-10"/>
          <w:sz w:val="22"/>
          <w:szCs w:val="22"/>
          <w:lang w:val="en-US"/>
        </w:rPr>
        <w:t xml:space="preserve"> </w:t>
      </w:r>
      <w:r w:rsidRPr="009B5040">
        <w:rPr>
          <w:sz w:val="22"/>
          <w:szCs w:val="22"/>
          <w:lang w:val="en-US"/>
        </w:rPr>
        <w:t>Century.</w:t>
      </w:r>
      <w:r w:rsidRPr="009B5040">
        <w:rPr>
          <w:spacing w:val="-10"/>
          <w:sz w:val="22"/>
          <w:szCs w:val="22"/>
          <w:lang w:val="en-US"/>
        </w:rPr>
        <w:t xml:space="preserve"> </w:t>
      </w:r>
      <w:r w:rsidRPr="009B5040">
        <w:rPr>
          <w:sz w:val="22"/>
          <w:szCs w:val="22"/>
          <w:lang w:val="en-US"/>
        </w:rPr>
        <w:t>Cross</w:t>
      </w:r>
      <w:r w:rsidRPr="009B5040">
        <w:rPr>
          <w:spacing w:val="-10"/>
          <w:sz w:val="22"/>
          <w:szCs w:val="22"/>
          <w:lang w:val="en-US"/>
        </w:rPr>
        <w:t xml:space="preserve"> </w:t>
      </w:r>
      <w:r w:rsidRPr="009B5040">
        <w:rPr>
          <w:sz w:val="22"/>
          <w:szCs w:val="22"/>
          <w:lang w:val="en-US"/>
        </w:rPr>
        <w:t>Cultural</w:t>
      </w:r>
      <w:r w:rsidRPr="009B5040">
        <w:rPr>
          <w:spacing w:val="-10"/>
          <w:sz w:val="22"/>
          <w:szCs w:val="22"/>
          <w:lang w:val="en-US"/>
        </w:rPr>
        <w:t xml:space="preserve"> </w:t>
      </w:r>
      <w:r w:rsidRPr="009B5040">
        <w:rPr>
          <w:sz w:val="22"/>
          <w:szCs w:val="22"/>
          <w:lang w:val="en-US"/>
        </w:rPr>
        <w:t>Management</w:t>
      </w:r>
      <w:r w:rsidRPr="009B5040">
        <w:rPr>
          <w:spacing w:val="-10"/>
          <w:sz w:val="22"/>
          <w:szCs w:val="22"/>
          <w:lang w:val="en-US"/>
        </w:rPr>
        <w:t xml:space="preserve"> </w:t>
      </w:r>
      <w:r w:rsidRPr="009B5040">
        <w:rPr>
          <w:sz w:val="22"/>
          <w:szCs w:val="22"/>
          <w:lang w:val="en-US"/>
        </w:rPr>
        <w:t>Reviewed,</w:t>
      </w:r>
      <w:r w:rsidRPr="009B5040">
        <w:rPr>
          <w:spacing w:val="40"/>
          <w:sz w:val="22"/>
          <w:szCs w:val="22"/>
          <w:lang w:val="en-US"/>
        </w:rPr>
        <w:t xml:space="preserve"> </w:t>
      </w:r>
      <w:r w:rsidRPr="009B5040">
        <w:rPr>
          <w:sz w:val="22"/>
          <w:szCs w:val="22"/>
          <w:lang w:val="en-US"/>
        </w:rPr>
        <w:t>Journal of Management, 12(2): 295-318.</w:t>
      </w:r>
      <w:r w:rsidRPr="009B5040">
        <w:rPr>
          <w:spacing w:val="80"/>
          <w:sz w:val="22"/>
          <w:szCs w:val="22"/>
          <w:lang w:val="en-US"/>
        </w:rPr>
        <w:t xml:space="preserve"> </w:t>
      </w:r>
      <w:r w:rsidRPr="009B5040">
        <w:rPr>
          <w:sz w:val="22"/>
          <w:szCs w:val="22"/>
          <w:lang w:val="en-US"/>
        </w:rPr>
        <w:t xml:space="preserve">Backhaus, K.; Bonus, H. (Hrsg.) </w:t>
      </w:r>
      <w:r w:rsidRPr="009B5040">
        <w:rPr>
          <w:sz w:val="22"/>
          <w:szCs w:val="22"/>
        </w:rPr>
        <w:t>(1998): Die</w:t>
      </w:r>
      <w:r w:rsidRPr="009B5040">
        <w:rPr>
          <w:spacing w:val="40"/>
          <w:sz w:val="22"/>
          <w:szCs w:val="22"/>
        </w:rPr>
        <w:t xml:space="preserve"> </w:t>
      </w:r>
      <w:r w:rsidRPr="009B5040">
        <w:rPr>
          <w:sz w:val="22"/>
          <w:szCs w:val="22"/>
        </w:rPr>
        <w:t xml:space="preserve">Beschleunigungsfalle oder der Triumph der Schildkröte, 3. </w:t>
      </w:r>
      <w:r w:rsidRPr="0032014E">
        <w:rPr>
          <w:sz w:val="22"/>
          <w:szCs w:val="22"/>
        </w:rPr>
        <w:t>Aufl., Stuttgart: Schäffer-</w:t>
      </w:r>
      <w:r w:rsidRPr="0032014E">
        <w:rPr>
          <w:spacing w:val="40"/>
          <w:sz w:val="22"/>
          <w:szCs w:val="22"/>
        </w:rPr>
        <w:t xml:space="preserve"> </w:t>
      </w:r>
      <w:r w:rsidRPr="0032014E">
        <w:rPr>
          <w:sz w:val="22"/>
          <w:szCs w:val="22"/>
        </w:rPr>
        <w:t>Poeschel.</w:t>
      </w:r>
      <w:r w:rsidRPr="0032014E">
        <w:rPr>
          <w:spacing w:val="40"/>
          <w:sz w:val="22"/>
          <w:szCs w:val="22"/>
        </w:rPr>
        <w:t xml:space="preserve"> </w:t>
      </w:r>
      <w:r w:rsidRPr="009B5040">
        <w:rPr>
          <w:sz w:val="22"/>
          <w:szCs w:val="22"/>
          <w:lang w:val="en-US"/>
        </w:rPr>
        <w:t>Becker,</w:t>
      </w:r>
      <w:r w:rsidRPr="009B5040">
        <w:rPr>
          <w:spacing w:val="-6"/>
          <w:sz w:val="22"/>
          <w:szCs w:val="22"/>
          <w:lang w:val="en-US"/>
        </w:rPr>
        <w:t xml:space="preserve"> </w:t>
      </w:r>
      <w:r w:rsidRPr="009B5040">
        <w:rPr>
          <w:sz w:val="22"/>
          <w:szCs w:val="22"/>
          <w:lang w:val="en-US"/>
        </w:rPr>
        <w:t>G.S.</w:t>
      </w:r>
      <w:r w:rsidRPr="009B5040">
        <w:rPr>
          <w:spacing w:val="-5"/>
          <w:sz w:val="22"/>
          <w:szCs w:val="22"/>
          <w:lang w:val="en-US"/>
        </w:rPr>
        <w:t xml:space="preserve"> </w:t>
      </w:r>
      <w:r w:rsidRPr="009B5040">
        <w:rPr>
          <w:sz w:val="22"/>
          <w:szCs w:val="22"/>
          <w:lang w:val="en-US"/>
        </w:rPr>
        <w:t>(1965):</w:t>
      </w:r>
      <w:r w:rsidRPr="009B5040">
        <w:rPr>
          <w:spacing w:val="-6"/>
          <w:sz w:val="22"/>
          <w:szCs w:val="22"/>
          <w:lang w:val="en-US"/>
        </w:rPr>
        <w:t xml:space="preserve"> </w:t>
      </w:r>
      <w:r w:rsidRPr="009B5040">
        <w:rPr>
          <w:sz w:val="22"/>
          <w:szCs w:val="22"/>
          <w:lang w:val="en-US"/>
        </w:rPr>
        <w:t>A</w:t>
      </w:r>
      <w:r w:rsidRPr="009B5040">
        <w:rPr>
          <w:spacing w:val="-5"/>
          <w:sz w:val="22"/>
          <w:szCs w:val="22"/>
          <w:lang w:val="en-US"/>
        </w:rPr>
        <w:t xml:space="preserve"> </w:t>
      </w:r>
      <w:r w:rsidRPr="009B5040">
        <w:rPr>
          <w:sz w:val="22"/>
          <w:szCs w:val="22"/>
          <w:lang w:val="en-US"/>
        </w:rPr>
        <w:t>Theory</w:t>
      </w:r>
      <w:r w:rsidRPr="009B5040">
        <w:rPr>
          <w:spacing w:val="-6"/>
          <w:sz w:val="22"/>
          <w:szCs w:val="22"/>
          <w:lang w:val="en-US"/>
        </w:rPr>
        <w:t xml:space="preserve"> </w:t>
      </w:r>
      <w:r w:rsidRPr="009B5040">
        <w:rPr>
          <w:sz w:val="22"/>
          <w:szCs w:val="22"/>
          <w:lang w:val="en-US"/>
        </w:rPr>
        <w:t>of</w:t>
      </w:r>
      <w:r w:rsidRPr="009B5040">
        <w:rPr>
          <w:spacing w:val="-6"/>
          <w:sz w:val="22"/>
          <w:szCs w:val="22"/>
          <w:lang w:val="en-US"/>
        </w:rPr>
        <w:t xml:space="preserve"> </w:t>
      </w:r>
      <w:r w:rsidRPr="009B5040">
        <w:rPr>
          <w:sz w:val="22"/>
          <w:szCs w:val="22"/>
          <w:lang w:val="en-US"/>
        </w:rPr>
        <w:t>the</w:t>
      </w:r>
      <w:r w:rsidRPr="009B5040">
        <w:rPr>
          <w:spacing w:val="-4"/>
          <w:sz w:val="22"/>
          <w:szCs w:val="22"/>
          <w:lang w:val="en-US"/>
        </w:rPr>
        <w:t xml:space="preserve"> </w:t>
      </w:r>
      <w:r w:rsidRPr="009B5040">
        <w:rPr>
          <w:sz w:val="22"/>
          <w:szCs w:val="22"/>
          <w:lang w:val="en-US"/>
        </w:rPr>
        <w:t>Allocation</w:t>
      </w:r>
      <w:r w:rsidRPr="009B5040">
        <w:rPr>
          <w:spacing w:val="-6"/>
          <w:sz w:val="22"/>
          <w:szCs w:val="22"/>
          <w:lang w:val="en-US"/>
        </w:rPr>
        <w:t xml:space="preserve"> </w:t>
      </w:r>
      <w:r w:rsidRPr="009B5040">
        <w:rPr>
          <w:sz w:val="22"/>
          <w:szCs w:val="22"/>
          <w:lang w:val="en-US"/>
        </w:rPr>
        <w:t>of</w:t>
      </w:r>
      <w:r w:rsidRPr="009B5040">
        <w:rPr>
          <w:spacing w:val="-6"/>
          <w:sz w:val="22"/>
          <w:szCs w:val="22"/>
          <w:lang w:val="en-US"/>
        </w:rPr>
        <w:t xml:space="preserve"> </w:t>
      </w:r>
      <w:r w:rsidRPr="009B5040">
        <w:rPr>
          <w:sz w:val="22"/>
          <w:szCs w:val="22"/>
          <w:lang w:val="en-US"/>
        </w:rPr>
        <w:t>Time,</w:t>
      </w:r>
      <w:r w:rsidRPr="009B5040">
        <w:rPr>
          <w:spacing w:val="-6"/>
          <w:sz w:val="22"/>
          <w:szCs w:val="22"/>
          <w:lang w:val="en-US"/>
        </w:rPr>
        <w:t xml:space="preserve"> </w:t>
      </w:r>
      <w:r w:rsidRPr="009B5040">
        <w:rPr>
          <w:sz w:val="22"/>
          <w:szCs w:val="22"/>
          <w:lang w:val="en-US"/>
        </w:rPr>
        <w:t>The</w:t>
      </w:r>
      <w:r w:rsidRPr="009B5040">
        <w:rPr>
          <w:spacing w:val="-6"/>
          <w:sz w:val="22"/>
          <w:szCs w:val="22"/>
          <w:lang w:val="en-US"/>
        </w:rPr>
        <w:t xml:space="preserve"> </w:t>
      </w:r>
      <w:r w:rsidRPr="009B5040">
        <w:rPr>
          <w:sz w:val="22"/>
          <w:szCs w:val="22"/>
          <w:lang w:val="en-US"/>
        </w:rPr>
        <w:t>Economic</w:t>
      </w:r>
      <w:r w:rsidRPr="009B5040">
        <w:rPr>
          <w:spacing w:val="-6"/>
          <w:sz w:val="22"/>
          <w:szCs w:val="22"/>
          <w:lang w:val="en-US"/>
        </w:rPr>
        <w:t xml:space="preserve"> </w:t>
      </w:r>
      <w:r w:rsidRPr="009B5040">
        <w:rPr>
          <w:sz w:val="22"/>
          <w:szCs w:val="22"/>
          <w:lang w:val="en-US"/>
        </w:rPr>
        <w:t>Journal,</w:t>
      </w:r>
      <w:r w:rsidRPr="009B5040">
        <w:rPr>
          <w:spacing w:val="40"/>
          <w:sz w:val="22"/>
          <w:szCs w:val="22"/>
          <w:lang w:val="en-US"/>
        </w:rPr>
        <w:t xml:space="preserve"> </w:t>
      </w:r>
      <w:r w:rsidRPr="009B5040">
        <w:rPr>
          <w:sz w:val="22"/>
          <w:szCs w:val="22"/>
          <w:lang w:val="en-US"/>
        </w:rPr>
        <w:t>75(299):</w:t>
      </w:r>
      <w:r w:rsidRPr="009B5040">
        <w:rPr>
          <w:spacing w:val="-10"/>
          <w:sz w:val="22"/>
          <w:szCs w:val="22"/>
          <w:lang w:val="en-US"/>
        </w:rPr>
        <w:t xml:space="preserve"> </w:t>
      </w:r>
      <w:r w:rsidRPr="009B5040">
        <w:rPr>
          <w:sz w:val="22"/>
          <w:szCs w:val="22"/>
          <w:lang w:val="en-US"/>
        </w:rPr>
        <w:t>493-517.</w:t>
      </w:r>
      <w:r w:rsidRPr="009B5040">
        <w:rPr>
          <w:spacing w:val="21"/>
          <w:sz w:val="22"/>
          <w:szCs w:val="22"/>
          <w:lang w:val="en-US"/>
        </w:rPr>
        <w:t xml:space="preserve"> </w:t>
      </w:r>
      <w:r w:rsidRPr="009B5040">
        <w:rPr>
          <w:sz w:val="22"/>
          <w:szCs w:val="22"/>
          <w:lang w:val="en-US"/>
        </w:rPr>
        <w:t>Bergadaà,</w:t>
      </w:r>
      <w:r w:rsidRPr="009B5040">
        <w:rPr>
          <w:spacing w:val="-10"/>
          <w:sz w:val="22"/>
          <w:szCs w:val="22"/>
          <w:lang w:val="en-US"/>
        </w:rPr>
        <w:t xml:space="preserve"> </w:t>
      </w:r>
      <w:r w:rsidRPr="009B5040">
        <w:rPr>
          <w:sz w:val="22"/>
          <w:szCs w:val="22"/>
          <w:lang w:val="en-US"/>
        </w:rPr>
        <w:t>M.M.</w:t>
      </w:r>
      <w:r w:rsidRPr="009B5040">
        <w:rPr>
          <w:spacing w:val="-8"/>
          <w:sz w:val="22"/>
          <w:szCs w:val="22"/>
          <w:lang w:val="en-US"/>
        </w:rPr>
        <w:t xml:space="preserve"> </w:t>
      </w:r>
      <w:r w:rsidRPr="009B5040">
        <w:rPr>
          <w:sz w:val="22"/>
          <w:szCs w:val="22"/>
          <w:lang w:val="en-US"/>
        </w:rPr>
        <w:t>(1990):</w:t>
      </w:r>
      <w:r w:rsidRPr="009B5040">
        <w:rPr>
          <w:spacing w:val="-10"/>
          <w:sz w:val="22"/>
          <w:szCs w:val="22"/>
          <w:lang w:val="en-US"/>
        </w:rPr>
        <w:t xml:space="preserve"> </w:t>
      </w:r>
      <w:r w:rsidRPr="009B5040">
        <w:rPr>
          <w:sz w:val="22"/>
          <w:szCs w:val="22"/>
          <w:lang w:val="en-US"/>
        </w:rPr>
        <w:t>The</w:t>
      </w:r>
      <w:r w:rsidRPr="009B5040">
        <w:rPr>
          <w:spacing w:val="-10"/>
          <w:sz w:val="22"/>
          <w:szCs w:val="22"/>
          <w:lang w:val="en-US"/>
        </w:rPr>
        <w:t xml:space="preserve"> </w:t>
      </w:r>
      <w:r w:rsidRPr="009B5040">
        <w:rPr>
          <w:sz w:val="22"/>
          <w:szCs w:val="22"/>
          <w:lang w:val="en-US"/>
        </w:rPr>
        <w:t>Role</w:t>
      </w:r>
      <w:r w:rsidRPr="009B5040">
        <w:rPr>
          <w:spacing w:val="-10"/>
          <w:sz w:val="22"/>
          <w:szCs w:val="22"/>
          <w:lang w:val="en-US"/>
        </w:rPr>
        <w:t xml:space="preserve"> </w:t>
      </w:r>
      <w:r w:rsidRPr="009B5040">
        <w:rPr>
          <w:sz w:val="22"/>
          <w:szCs w:val="22"/>
          <w:lang w:val="en-US"/>
        </w:rPr>
        <w:t>of</w:t>
      </w:r>
      <w:r w:rsidRPr="009B5040">
        <w:rPr>
          <w:spacing w:val="-10"/>
          <w:sz w:val="22"/>
          <w:szCs w:val="22"/>
          <w:lang w:val="en-US"/>
        </w:rPr>
        <w:t xml:space="preserve"> </w:t>
      </w:r>
      <w:r w:rsidRPr="009B5040">
        <w:rPr>
          <w:sz w:val="22"/>
          <w:szCs w:val="22"/>
          <w:lang w:val="en-US"/>
        </w:rPr>
        <w:t>Time</w:t>
      </w:r>
      <w:r w:rsidRPr="009B5040">
        <w:rPr>
          <w:spacing w:val="-10"/>
          <w:sz w:val="22"/>
          <w:szCs w:val="22"/>
          <w:lang w:val="en-US"/>
        </w:rPr>
        <w:t xml:space="preserve"> </w:t>
      </w:r>
      <w:r w:rsidRPr="009B5040">
        <w:rPr>
          <w:sz w:val="22"/>
          <w:szCs w:val="22"/>
          <w:lang w:val="en-US"/>
        </w:rPr>
        <w:t>in</w:t>
      </w:r>
      <w:r w:rsidRPr="009B5040">
        <w:rPr>
          <w:spacing w:val="-10"/>
          <w:sz w:val="22"/>
          <w:szCs w:val="22"/>
          <w:lang w:val="en-US"/>
        </w:rPr>
        <w:t xml:space="preserve"> </w:t>
      </w:r>
      <w:r w:rsidRPr="009B5040">
        <w:rPr>
          <w:sz w:val="22"/>
          <w:szCs w:val="22"/>
          <w:lang w:val="en-US"/>
        </w:rPr>
        <w:t>the</w:t>
      </w:r>
      <w:r w:rsidRPr="009B5040">
        <w:rPr>
          <w:spacing w:val="-10"/>
          <w:sz w:val="22"/>
          <w:szCs w:val="22"/>
          <w:lang w:val="en-US"/>
        </w:rPr>
        <w:t xml:space="preserve"> </w:t>
      </w:r>
      <w:r w:rsidRPr="009B5040">
        <w:rPr>
          <w:sz w:val="22"/>
          <w:szCs w:val="22"/>
          <w:lang w:val="en-US"/>
        </w:rPr>
        <w:t>Action</w:t>
      </w:r>
      <w:r w:rsidRPr="009B5040">
        <w:rPr>
          <w:spacing w:val="-10"/>
          <w:sz w:val="22"/>
          <w:szCs w:val="22"/>
          <w:lang w:val="en-US"/>
        </w:rPr>
        <w:t xml:space="preserve"> </w:t>
      </w:r>
      <w:r w:rsidRPr="009B5040">
        <w:rPr>
          <w:sz w:val="22"/>
          <w:szCs w:val="22"/>
          <w:lang w:val="en-US"/>
        </w:rPr>
        <w:t>of</w:t>
      </w:r>
      <w:r w:rsidRPr="009B5040">
        <w:rPr>
          <w:spacing w:val="-10"/>
          <w:sz w:val="22"/>
          <w:szCs w:val="22"/>
          <w:lang w:val="en-US"/>
        </w:rPr>
        <w:t xml:space="preserve"> </w:t>
      </w:r>
      <w:r w:rsidRPr="009B5040">
        <w:rPr>
          <w:sz w:val="22"/>
          <w:szCs w:val="22"/>
          <w:lang w:val="en-US"/>
        </w:rPr>
        <w:t>the</w:t>
      </w:r>
      <w:r w:rsidRPr="009B5040">
        <w:rPr>
          <w:spacing w:val="-10"/>
          <w:sz w:val="22"/>
          <w:szCs w:val="22"/>
          <w:lang w:val="en-US"/>
        </w:rPr>
        <w:t xml:space="preserve"> </w:t>
      </w:r>
      <w:r w:rsidRPr="009B5040">
        <w:rPr>
          <w:sz w:val="22"/>
          <w:szCs w:val="22"/>
          <w:lang w:val="en-US"/>
        </w:rPr>
        <w:t>Consumer,</w:t>
      </w:r>
      <w:r w:rsidRPr="009B5040">
        <w:rPr>
          <w:spacing w:val="40"/>
          <w:sz w:val="22"/>
          <w:szCs w:val="22"/>
          <w:lang w:val="en-US"/>
        </w:rPr>
        <w:t xml:space="preserve"> </w:t>
      </w:r>
      <w:r w:rsidRPr="009B5040">
        <w:rPr>
          <w:sz w:val="22"/>
          <w:szCs w:val="22"/>
          <w:lang w:val="en-US"/>
        </w:rPr>
        <w:t>Journal of Consumer Research, 17(3): 289-302.</w:t>
      </w:r>
      <w:r w:rsidRPr="009B5040">
        <w:rPr>
          <w:sz w:val="22"/>
          <w:szCs w:val="22"/>
          <w:lang w:val="en-US"/>
        </w:rPr>
        <w:tab/>
      </w:r>
      <w:r w:rsidRPr="009B5040">
        <w:rPr>
          <w:sz w:val="22"/>
          <w:szCs w:val="22"/>
        </w:rPr>
        <w:t>Bleicher, K. (1990):</w:t>
      </w:r>
      <w:r w:rsidRPr="009B5040">
        <w:rPr>
          <w:spacing w:val="40"/>
          <w:sz w:val="22"/>
          <w:szCs w:val="22"/>
        </w:rPr>
        <w:t xml:space="preserve"> </w:t>
      </w:r>
      <w:r w:rsidRPr="009B5040">
        <w:rPr>
          <w:sz w:val="22"/>
          <w:szCs w:val="22"/>
        </w:rPr>
        <w:t>Unternehmensphilosophien im internationalen Wettbewerb, Zeitschrift Führung und</w:t>
      </w:r>
      <w:r w:rsidRPr="009B5040">
        <w:rPr>
          <w:spacing w:val="40"/>
          <w:sz w:val="22"/>
          <w:szCs w:val="22"/>
        </w:rPr>
        <w:t xml:space="preserve"> </w:t>
      </w:r>
      <w:r w:rsidRPr="009B5040">
        <w:rPr>
          <w:sz w:val="22"/>
          <w:szCs w:val="22"/>
        </w:rPr>
        <w:t>Organisation,</w:t>
      </w:r>
      <w:r w:rsidRPr="009B5040">
        <w:rPr>
          <w:spacing w:val="-6"/>
          <w:sz w:val="22"/>
          <w:szCs w:val="22"/>
        </w:rPr>
        <w:t xml:space="preserve"> </w:t>
      </w:r>
      <w:r w:rsidRPr="009B5040">
        <w:rPr>
          <w:sz w:val="22"/>
          <w:szCs w:val="22"/>
        </w:rPr>
        <w:t>59(1):</w:t>
      </w:r>
      <w:r w:rsidRPr="009B5040">
        <w:rPr>
          <w:spacing w:val="-6"/>
          <w:sz w:val="22"/>
          <w:szCs w:val="22"/>
        </w:rPr>
        <w:t xml:space="preserve"> </w:t>
      </w:r>
      <w:r w:rsidRPr="009B5040">
        <w:rPr>
          <w:sz w:val="22"/>
          <w:szCs w:val="22"/>
        </w:rPr>
        <w:t>5-14.</w:t>
      </w:r>
      <w:r w:rsidRPr="009B5040">
        <w:rPr>
          <w:spacing w:val="40"/>
          <w:sz w:val="22"/>
          <w:szCs w:val="22"/>
        </w:rPr>
        <w:t xml:space="preserve"> </w:t>
      </w:r>
      <w:r w:rsidRPr="009B5040">
        <w:rPr>
          <w:sz w:val="22"/>
          <w:szCs w:val="22"/>
        </w:rPr>
        <w:t>Blüthmann,</w:t>
      </w:r>
      <w:r w:rsidRPr="009B5040">
        <w:rPr>
          <w:spacing w:val="-6"/>
          <w:sz w:val="22"/>
          <w:szCs w:val="22"/>
        </w:rPr>
        <w:t xml:space="preserve"> </w:t>
      </w:r>
      <w:r w:rsidRPr="009B5040">
        <w:rPr>
          <w:sz w:val="22"/>
          <w:szCs w:val="22"/>
        </w:rPr>
        <w:t>H.</w:t>
      </w:r>
      <w:r w:rsidRPr="009B5040">
        <w:rPr>
          <w:spacing w:val="-3"/>
          <w:sz w:val="22"/>
          <w:szCs w:val="22"/>
        </w:rPr>
        <w:t xml:space="preserve"> </w:t>
      </w:r>
      <w:r w:rsidRPr="009B5040">
        <w:rPr>
          <w:sz w:val="22"/>
          <w:szCs w:val="22"/>
        </w:rPr>
        <w:t>(1997):</w:t>
      </w:r>
      <w:r w:rsidRPr="009B5040">
        <w:rPr>
          <w:spacing w:val="-6"/>
          <w:sz w:val="22"/>
          <w:szCs w:val="22"/>
        </w:rPr>
        <w:t xml:space="preserve"> </w:t>
      </w:r>
      <w:r w:rsidRPr="009B5040">
        <w:rPr>
          <w:sz w:val="22"/>
          <w:szCs w:val="22"/>
        </w:rPr>
        <w:t>In</w:t>
      </w:r>
      <w:r w:rsidRPr="009B5040">
        <w:rPr>
          <w:spacing w:val="-3"/>
          <w:sz w:val="22"/>
          <w:szCs w:val="22"/>
        </w:rPr>
        <w:t xml:space="preserve"> </w:t>
      </w:r>
      <w:r w:rsidRPr="009B5040">
        <w:rPr>
          <w:sz w:val="22"/>
          <w:szCs w:val="22"/>
        </w:rPr>
        <w:t>die</w:t>
      </w:r>
      <w:r w:rsidRPr="009B5040">
        <w:rPr>
          <w:spacing w:val="-6"/>
          <w:sz w:val="22"/>
          <w:szCs w:val="22"/>
        </w:rPr>
        <w:t xml:space="preserve"> </w:t>
      </w:r>
      <w:r w:rsidRPr="009B5040">
        <w:rPr>
          <w:sz w:val="22"/>
          <w:szCs w:val="22"/>
        </w:rPr>
        <w:t>Falle</w:t>
      </w:r>
      <w:r w:rsidRPr="009B5040">
        <w:rPr>
          <w:spacing w:val="-8"/>
          <w:sz w:val="22"/>
          <w:szCs w:val="22"/>
        </w:rPr>
        <w:t xml:space="preserve"> </w:t>
      </w:r>
      <w:r w:rsidRPr="009B5040">
        <w:rPr>
          <w:sz w:val="22"/>
          <w:szCs w:val="22"/>
        </w:rPr>
        <w:t>der</w:t>
      </w:r>
      <w:r w:rsidRPr="009B5040">
        <w:rPr>
          <w:spacing w:val="-5"/>
          <w:sz w:val="22"/>
          <w:szCs w:val="22"/>
        </w:rPr>
        <w:t xml:space="preserve"> </w:t>
      </w:r>
      <w:r w:rsidRPr="009B5040">
        <w:rPr>
          <w:sz w:val="22"/>
          <w:szCs w:val="22"/>
        </w:rPr>
        <w:t>Japaner</w:t>
      </w:r>
      <w:r w:rsidRPr="009B5040">
        <w:rPr>
          <w:spacing w:val="-7"/>
          <w:sz w:val="22"/>
          <w:szCs w:val="22"/>
        </w:rPr>
        <w:t xml:space="preserve"> </w:t>
      </w:r>
      <w:r w:rsidRPr="009B5040">
        <w:rPr>
          <w:sz w:val="22"/>
          <w:szCs w:val="22"/>
        </w:rPr>
        <w:t>getappt,</w:t>
      </w:r>
      <w:r w:rsidRPr="009B5040">
        <w:rPr>
          <w:spacing w:val="-6"/>
          <w:sz w:val="22"/>
          <w:szCs w:val="22"/>
        </w:rPr>
        <w:t xml:space="preserve"> </w:t>
      </w:r>
      <w:r w:rsidRPr="009B5040">
        <w:rPr>
          <w:sz w:val="22"/>
          <w:szCs w:val="22"/>
        </w:rPr>
        <w:t>Die</w:t>
      </w:r>
      <w:r w:rsidRPr="009B5040">
        <w:rPr>
          <w:spacing w:val="-6"/>
          <w:sz w:val="22"/>
          <w:szCs w:val="22"/>
        </w:rPr>
        <w:t xml:space="preserve"> </w:t>
      </w:r>
      <w:r w:rsidRPr="009B5040">
        <w:rPr>
          <w:sz w:val="22"/>
          <w:szCs w:val="22"/>
        </w:rPr>
        <w:t>Zeit,</w:t>
      </w:r>
      <w:r w:rsidRPr="009B5040">
        <w:rPr>
          <w:spacing w:val="40"/>
          <w:sz w:val="22"/>
          <w:szCs w:val="22"/>
        </w:rPr>
        <w:t xml:space="preserve"> </w:t>
      </w:r>
      <w:r w:rsidRPr="009B5040">
        <w:rPr>
          <w:sz w:val="22"/>
          <w:szCs w:val="22"/>
        </w:rPr>
        <w:t>52(1): 21.</w:t>
      </w:r>
      <w:r w:rsidRPr="009B5040">
        <w:rPr>
          <w:spacing w:val="40"/>
          <w:sz w:val="22"/>
          <w:szCs w:val="22"/>
        </w:rPr>
        <w:t xml:space="preserve"> </w:t>
      </w:r>
      <w:r w:rsidRPr="009B5040">
        <w:rPr>
          <w:sz w:val="22"/>
          <w:szCs w:val="22"/>
          <w:lang w:val="en-US"/>
        </w:rPr>
        <w:t>Chandler, A.D. (1977): The Visible Hand. The Managerial Revolution in</w:t>
      </w:r>
      <w:r w:rsidRPr="009B5040">
        <w:rPr>
          <w:spacing w:val="40"/>
          <w:sz w:val="22"/>
          <w:szCs w:val="22"/>
          <w:lang w:val="en-US"/>
        </w:rPr>
        <w:t xml:space="preserve"> </w:t>
      </w:r>
      <w:r w:rsidRPr="009B5040">
        <w:rPr>
          <w:sz w:val="22"/>
          <w:szCs w:val="22"/>
          <w:lang w:val="en-US"/>
        </w:rPr>
        <w:t>American Business, Cambridge/MA: Harvard Belknap.</w:t>
      </w:r>
      <w:r w:rsidRPr="009B5040">
        <w:rPr>
          <w:spacing w:val="40"/>
          <w:sz w:val="22"/>
          <w:szCs w:val="22"/>
          <w:lang w:val="en-US"/>
        </w:rPr>
        <w:t xml:space="preserve"> </w:t>
      </w:r>
      <w:r w:rsidRPr="009B5040">
        <w:rPr>
          <w:sz w:val="22"/>
          <w:szCs w:val="22"/>
          <w:lang w:val="en-US"/>
        </w:rPr>
        <w:t>Feldman, L.P.; Hornik, J. (1981):</w:t>
      </w:r>
      <w:r w:rsidRPr="009B5040">
        <w:rPr>
          <w:spacing w:val="40"/>
          <w:sz w:val="22"/>
          <w:szCs w:val="22"/>
          <w:lang w:val="en-US"/>
        </w:rPr>
        <w:t xml:space="preserve"> </w:t>
      </w:r>
      <w:r w:rsidRPr="009B5040">
        <w:rPr>
          <w:sz w:val="22"/>
          <w:szCs w:val="22"/>
          <w:lang w:val="en-US"/>
        </w:rPr>
        <w:t>The Use of Time. An Integrated Conceptual Model, Journal of Consumer Research, 7(4):</w:t>
      </w:r>
      <w:r w:rsidRPr="009B5040">
        <w:rPr>
          <w:spacing w:val="40"/>
          <w:sz w:val="22"/>
          <w:szCs w:val="22"/>
          <w:lang w:val="en-US"/>
        </w:rPr>
        <w:t xml:space="preserve"> </w:t>
      </w:r>
      <w:r w:rsidRPr="009B5040">
        <w:rPr>
          <w:sz w:val="22"/>
          <w:szCs w:val="22"/>
          <w:lang w:val="en-US"/>
        </w:rPr>
        <w:t>407-419.</w:t>
      </w:r>
      <w:r w:rsidRPr="009B5040">
        <w:rPr>
          <w:spacing w:val="80"/>
          <w:sz w:val="22"/>
          <w:szCs w:val="22"/>
          <w:lang w:val="en-US"/>
        </w:rPr>
        <w:t xml:space="preserve"> </w:t>
      </w:r>
      <w:r w:rsidRPr="009B5040">
        <w:rPr>
          <w:sz w:val="22"/>
          <w:szCs w:val="22"/>
        </w:rPr>
        <w:t>Frank, L.K. (1939): Time Perspectives, Journal of Social Philosophyy, 4: 292-312.</w:t>
      </w:r>
      <w:r w:rsidRPr="009B5040">
        <w:rPr>
          <w:spacing w:val="40"/>
          <w:sz w:val="22"/>
          <w:szCs w:val="22"/>
        </w:rPr>
        <w:t xml:space="preserve"> </w:t>
      </w:r>
      <w:r w:rsidRPr="009B5040">
        <w:rPr>
          <w:sz w:val="22"/>
          <w:szCs w:val="22"/>
        </w:rPr>
        <w:t>Fürstenberg, F. (1986): Zeit als Strukturdimension soziologischer Analyse, in:</w:t>
      </w:r>
      <w:r w:rsidRPr="009B5040">
        <w:rPr>
          <w:spacing w:val="40"/>
          <w:sz w:val="22"/>
          <w:szCs w:val="22"/>
        </w:rPr>
        <w:t xml:space="preserve"> </w:t>
      </w:r>
      <w:r w:rsidRPr="009B5040">
        <w:rPr>
          <w:sz w:val="22"/>
          <w:szCs w:val="22"/>
        </w:rPr>
        <w:t>Fürstenberg,</w:t>
      </w:r>
      <w:r w:rsidRPr="009B5040">
        <w:rPr>
          <w:spacing w:val="-8"/>
          <w:sz w:val="22"/>
          <w:szCs w:val="22"/>
        </w:rPr>
        <w:t xml:space="preserve"> </w:t>
      </w:r>
      <w:r w:rsidRPr="009B5040">
        <w:rPr>
          <w:sz w:val="22"/>
          <w:szCs w:val="22"/>
        </w:rPr>
        <w:t>F.;</w:t>
      </w:r>
      <w:r w:rsidRPr="009B5040">
        <w:rPr>
          <w:spacing w:val="-10"/>
          <w:sz w:val="22"/>
          <w:szCs w:val="22"/>
        </w:rPr>
        <w:t xml:space="preserve"> </w:t>
      </w:r>
      <w:r w:rsidRPr="009B5040">
        <w:rPr>
          <w:sz w:val="22"/>
          <w:szCs w:val="22"/>
        </w:rPr>
        <w:t>Mörth,</w:t>
      </w:r>
      <w:r w:rsidRPr="009B5040">
        <w:rPr>
          <w:spacing w:val="-8"/>
          <w:sz w:val="22"/>
          <w:szCs w:val="22"/>
        </w:rPr>
        <w:t xml:space="preserve"> </w:t>
      </w:r>
      <w:r w:rsidRPr="009B5040">
        <w:rPr>
          <w:sz w:val="22"/>
          <w:szCs w:val="22"/>
        </w:rPr>
        <w:t>I.</w:t>
      </w:r>
      <w:r w:rsidRPr="009B5040">
        <w:rPr>
          <w:spacing w:val="-8"/>
          <w:sz w:val="22"/>
          <w:szCs w:val="22"/>
        </w:rPr>
        <w:t xml:space="preserve"> </w:t>
      </w:r>
      <w:r w:rsidRPr="009B5040">
        <w:rPr>
          <w:sz w:val="22"/>
          <w:szCs w:val="22"/>
        </w:rPr>
        <w:t>(Hrsg.),</w:t>
      </w:r>
      <w:r w:rsidRPr="009B5040">
        <w:rPr>
          <w:spacing w:val="-8"/>
          <w:sz w:val="22"/>
          <w:szCs w:val="22"/>
        </w:rPr>
        <w:t xml:space="preserve"> </w:t>
      </w:r>
      <w:r w:rsidRPr="009B5040">
        <w:rPr>
          <w:sz w:val="22"/>
          <w:szCs w:val="22"/>
        </w:rPr>
        <w:t>Zeit</w:t>
      </w:r>
      <w:r w:rsidRPr="009B5040">
        <w:rPr>
          <w:spacing w:val="-10"/>
          <w:sz w:val="22"/>
          <w:szCs w:val="22"/>
        </w:rPr>
        <w:t xml:space="preserve"> </w:t>
      </w:r>
      <w:r w:rsidRPr="009B5040">
        <w:rPr>
          <w:sz w:val="22"/>
          <w:szCs w:val="22"/>
        </w:rPr>
        <w:t>als</w:t>
      </w:r>
      <w:r w:rsidRPr="009B5040">
        <w:rPr>
          <w:spacing w:val="-9"/>
          <w:sz w:val="22"/>
          <w:szCs w:val="22"/>
        </w:rPr>
        <w:t xml:space="preserve"> </w:t>
      </w:r>
      <w:r w:rsidRPr="009B5040">
        <w:rPr>
          <w:sz w:val="22"/>
          <w:szCs w:val="22"/>
        </w:rPr>
        <w:t>Strukturelement</w:t>
      </w:r>
      <w:r w:rsidRPr="009B5040">
        <w:rPr>
          <w:spacing w:val="-10"/>
          <w:sz w:val="22"/>
          <w:szCs w:val="22"/>
        </w:rPr>
        <w:t xml:space="preserve"> </w:t>
      </w:r>
      <w:r w:rsidRPr="009B5040">
        <w:rPr>
          <w:sz w:val="22"/>
          <w:szCs w:val="22"/>
        </w:rPr>
        <w:t>von</w:t>
      </w:r>
      <w:r w:rsidRPr="009B5040">
        <w:rPr>
          <w:spacing w:val="-8"/>
          <w:sz w:val="22"/>
          <w:szCs w:val="22"/>
        </w:rPr>
        <w:t xml:space="preserve"> </w:t>
      </w:r>
      <w:r w:rsidRPr="009B5040">
        <w:rPr>
          <w:sz w:val="22"/>
          <w:szCs w:val="22"/>
        </w:rPr>
        <w:t>Lebenswelt</w:t>
      </w:r>
      <w:r w:rsidRPr="009B5040">
        <w:rPr>
          <w:spacing w:val="-10"/>
          <w:sz w:val="22"/>
          <w:szCs w:val="22"/>
        </w:rPr>
        <w:t xml:space="preserve"> </w:t>
      </w:r>
      <w:r w:rsidRPr="009B5040">
        <w:rPr>
          <w:sz w:val="22"/>
          <w:szCs w:val="22"/>
        </w:rPr>
        <w:t>und</w:t>
      </w:r>
      <w:r w:rsidRPr="009B5040">
        <w:rPr>
          <w:spacing w:val="-8"/>
          <w:sz w:val="22"/>
          <w:szCs w:val="22"/>
        </w:rPr>
        <w:t xml:space="preserve"> </w:t>
      </w:r>
      <w:r w:rsidRPr="009B5040">
        <w:rPr>
          <w:sz w:val="22"/>
          <w:szCs w:val="22"/>
        </w:rPr>
        <w:t>Gesellschaft,</w:t>
      </w:r>
      <w:r w:rsidRPr="009B5040">
        <w:rPr>
          <w:spacing w:val="40"/>
          <w:sz w:val="22"/>
          <w:szCs w:val="22"/>
        </w:rPr>
        <w:t xml:space="preserve"> </w:t>
      </w:r>
      <w:r w:rsidRPr="009B5040">
        <w:rPr>
          <w:sz w:val="22"/>
          <w:szCs w:val="22"/>
        </w:rPr>
        <w:t>23-26, Linz: Trauner.</w:t>
      </w:r>
      <w:r w:rsidRPr="009B5040">
        <w:rPr>
          <w:spacing w:val="40"/>
          <w:sz w:val="22"/>
          <w:szCs w:val="22"/>
        </w:rPr>
        <w:t xml:space="preserve"> </w:t>
      </w:r>
      <w:r w:rsidRPr="009B5040">
        <w:rPr>
          <w:sz w:val="22"/>
          <w:szCs w:val="22"/>
          <w:lang w:val="en-US"/>
        </w:rPr>
        <w:t>Hall, E.T.; Hall, M.R. (1990): Understanding Cultural Differences,</w:t>
      </w:r>
      <w:r w:rsidRPr="009B5040">
        <w:rPr>
          <w:spacing w:val="40"/>
          <w:sz w:val="22"/>
          <w:szCs w:val="22"/>
          <w:lang w:val="en-US"/>
        </w:rPr>
        <w:t xml:space="preserve"> </w:t>
      </w:r>
      <w:r w:rsidRPr="009B5040">
        <w:rPr>
          <w:sz w:val="22"/>
          <w:szCs w:val="22"/>
          <w:lang w:val="en-US"/>
        </w:rPr>
        <w:t>Yarmouth/ME.</w:t>
      </w:r>
      <w:r w:rsidRPr="009B5040">
        <w:rPr>
          <w:spacing w:val="40"/>
          <w:sz w:val="22"/>
          <w:szCs w:val="22"/>
          <w:lang w:val="en-US"/>
        </w:rPr>
        <w:t xml:space="preserve"> </w:t>
      </w:r>
      <w:r w:rsidRPr="009B5040">
        <w:rPr>
          <w:sz w:val="22"/>
          <w:szCs w:val="22"/>
          <w:lang w:val="en-US"/>
        </w:rPr>
        <w:t>Hawes,</w:t>
      </w:r>
      <w:r w:rsidRPr="009B5040">
        <w:rPr>
          <w:spacing w:val="-1"/>
          <w:sz w:val="22"/>
          <w:szCs w:val="22"/>
          <w:lang w:val="en-US"/>
        </w:rPr>
        <w:t xml:space="preserve"> </w:t>
      </w:r>
      <w:r w:rsidRPr="009B5040">
        <w:rPr>
          <w:sz w:val="22"/>
          <w:szCs w:val="22"/>
          <w:lang w:val="en-US"/>
        </w:rPr>
        <w:t>D.K.</w:t>
      </w:r>
      <w:r w:rsidRPr="009B5040">
        <w:rPr>
          <w:spacing w:val="-2"/>
          <w:sz w:val="22"/>
          <w:szCs w:val="22"/>
          <w:lang w:val="en-US"/>
        </w:rPr>
        <w:t xml:space="preserve"> </w:t>
      </w:r>
      <w:r w:rsidRPr="009B5040">
        <w:rPr>
          <w:sz w:val="22"/>
          <w:szCs w:val="22"/>
          <w:lang w:val="en-US"/>
        </w:rPr>
        <w:t>(1980):</w:t>
      </w:r>
      <w:r w:rsidRPr="009B5040">
        <w:rPr>
          <w:spacing w:val="-3"/>
          <w:sz w:val="22"/>
          <w:szCs w:val="22"/>
          <w:lang w:val="en-US"/>
        </w:rPr>
        <w:t xml:space="preserve"> </w:t>
      </w:r>
      <w:r w:rsidRPr="009B5040">
        <w:rPr>
          <w:sz w:val="22"/>
          <w:szCs w:val="22"/>
          <w:lang w:val="en-US"/>
        </w:rPr>
        <w:t>The</w:t>
      </w:r>
      <w:r w:rsidRPr="009B5040">
        <w:rPr>
          <w:spacing w:val="-4"/>
          <w:sz w:val="22"/>
          <w:szCs w:val="22"/>
          <w:lang w:val="en-US"/>
        </w:rPr>
        <w:t xml:space="preserve"> </w:t>
      </w:r>
      <w:r w:rsidRPr="009B5040">
        <w:rPr>
          <w:sz w:val="22"/>
          <w:szCs w:val="22"/>
          <w:lang w:val="en-US"/>
        </w:rPr>
        <w:t>Time</w:t>
      </w:r>
      <w:r w:rsidRPr="009B5040">
        <w:rPr>
          <w:spacing w:val="-1"/>
          <w:sz w:val="22"/>
          <w:szCs w:val="22"/>
          <w:lang w:val="en-US"/>
        </w:rPr>
        <w:t xml:space="preserve"> </w:t>
      </w:r>
      <w:r w:rsidRPr="009B5040">
        <w:rPr>
          <w:sz w:val="22"/>
          <w:szCs w:val="22"/>
          <w:lang w:val="en-US"/>
        </w:rPr>
        <w:t>Variable</w:t>
      </w:r>
      <w:r w:rsidRPr="009B5040">
        <w:rPr>
          <w:spacing w:val="-1"/>
          <w:sz w:val="22"/>
          <w:szCs w:val="22"/>
          <w:lang w:val="en-US"/>
        </w:rPr>
        <w:t xml:space="preserve"> </w:t>
      </w:r>
      <w:r w:rsidRPr="009B5040">
        <w:rPr>
          <w:sz w:val="22"/>
          <w:szCs w:val="22"/>
          <w:lang w:val="en-US"/>
        </w:rPr>
        <w:t>in</w:t>
      </w:r>
      <w:r w:rsidRPr="009B5040">
        <w:rPr>
          <w:spacing w:val="-3"/>
          <w:sz w:val="22"/>
          <w:szCs w:val="22"/>
          <w:lang w:val="en-US"/>
        </w:rPr>
        <w:t xml:space="preserve"> </w:t>
      </w:r>
      <w:r w:rsidRPr="009B5040">
        <w:rPr>
          <w:sz w:val="22"/>
          <w:szCs w:val="22"/>
          <w:lang w:val="en-US"/>
        </w:rPr>
        <w:t>Models</w:t>
      </w:r>
      <w:r w:rsidRPr="009B5040">
        <w:rPr>
          <w:spacing w:val="-4"/>
          <w:sz w:val="22"/>
          <w:szCs w:val="22"/>
          <w:lang w:val="en-US"/>
        </w:rPr>
        <w:t xml:space="preserve"> </w:t>
      </w:r>
      <w:r w:rsidRPr="009B5040">
        <w:rPr>
          <w:sz w:val="22"/>
          <w:szCs w:val="22"/>
          <w:lang w:val="en-US"/>
        </w:rPr>
        <w:t>of</w:t>
      </w:r>
      <w:r w:rsidRPr="009B5040">
        <w:rPr>
          <w:spacing w:val="-5"/>
          <w:sz w:val="22"/>
          <w:szCs w:val="22"/>
          <w:lang w:val="en-US"/>
        </w:rPr>
        <w:t xml:space="preserve"> </w:t>
      </w:r>
      <w:r w:rsidRPr="009B5040">
        <w:rPr>
          <w:sz w:val="22"/>
          <w:szCs w:val="22"/>
          <w:lang w:val="en-US"/>
        </w:rPr>
        <w:t>Consumer</w:t>
      </w:r>
      <w:r w:rsidRPr="009B5040">
        <w:rPr>
          <w:spacing w:val="-5"/>
          <w:sz w:val="22"/>
          <w:szCs w:val="22"/>
          <w:lang w:val="en-US"/>
        </w:rPr>
        <w:t xml:space="preserve"> </w:t>
      </w:r>
      <w:r w:rsidRPr="009B5040">
        <w:rPr>
          <w:sz w:val="22"/>
          <w:szCs w:val="22"/>
          <w:lang w:val="en-US"/>
        </w:rPr>
        <w:t>Behavior,</w:t>
      </w:r>
      <w:r w:rsidRPr="009B5040">
        <w:rPr>
          <w:spacing w:val="40"/>
          <w:sz w:val="22"/>
          <w:szCs w:val="22"/>
          <w:lang w:val="en-US"/>
        </w:rPr>
        <w:t xml:space="preserve"> </w:t>
      </w:r>
      <w:r w:rsidRPr="009B5040">
        <w:rPr>
          <w:sz w:val="22"/>
          <w:szCs w:val="22"/>
          <w:lang w:val="en-US"/>
        </w:rPr>
        <w:t>Advances in Consumer Research, 7(1): 442-447.</w:t>
      </w:r>
      <w:r w:rsidRPr="009B5040">
        <w:rPr>
          <w:spacing w:val="40"/>
          <w:sz w:val="22"/>
          <w:szCs w:val="22"/>
          <w:lang w:val="en-US"/>
        </w:rPr>
        <w:t xml:space="preserve"> </w:t>
      </w:r>
      <w:r w:rsidRPr="009B5040">
        <w:rPr>
          <w:sz w:val="22"/>
          <w:szCs w:val="22"/>
        </w:rPr>
        <w:t>Held, M.; Geißler, K. (Hrsg.) (1993):</w:t>
      </w:r>
      <w:r w:rsidRPr="009B5040">
        <w:rPr>
          <w:spacing w:val="40"/>
          <w:sz w:val="22"/>
          <w:szCs w:val="22"/>
        </w:rPr>
        <w:t xml:space="preserve"> </w:t>
      </w:r>
      <w:r w:rsidRPr="009B5040">
        <w:rPr>
          <w:sz w:val="22"/>
          <w:szCs w:val="22"/>
        </w:rPr>
        <w:t>Ökologie der Zeit. Vom Finden der rechten Zeitmaße, Stuttgart: Hirzel.</w:t>
      </w:r>
      <w:r w:rsidRPr="009B5040">
        <w:rPr>
          <w:spacing w:val="40"/>
          <w:sz w:val="22"/>
          <w:szCs w:val="22"/>
        </w:rPr>
        <w:t xml:space="preserve"> </w:t>
      </w:r>
      <w:r w:rsidRPr="009B5040">
        <w:rPr>
          <w:sz w:val="22"/>
          <w:szCs w:val="22"/>
        </w:rPr>
        <w:t>Hermanns, A.</w:t>
      </w:r>
      <w:r w:rsidRPr="009B5040">
        <w:rPr>
          <w:spacing w:val="40"/>
          <w:sz w:val="22"/>
          <w:szCs w:val="22"/>
        </w:rPr>
        <w:t xml:space="preserve"> </w:t>
      </w:r>
      <w:r w:rsidRPr="009B5040">
        <w:rPr>
          <w:sz w:val="22"/>
          <w:szCs w:val="22"/>
        </w:rPr>
        <w:t>(1995): Aufgaben des internationalen Marketing-Managements, in: Hermanns, A.;</w:t>
      </w:r>
      <w:r w:rsidRPr="009B5040">
        <w:rPr>
          <w:spacing w:val="40"/>
          <w:sz w:val="22"/>
          <w:szCs w:val="22"/>
        </w:rPr>
        <w:t xml:space="preserve"> </w:t>
      </w:r>
      <w:r w:rsidRPr="009B5040">
        <w:rPr>
          <w:sz w:val="22"/>
          <w:szCs w:val="22"/>
        </w:rPr>
        <w:t>Wißmeier,</w:t>
      </w:r>
      <w:r w:rsidRPr="009B5040">
        <w:rPr>
          <w:spacing w:val="-3"/>
          <w:sz w:val="22"/>
          <w:szCs w:val="22"/>
        </w:rPr>
        <w:t xml:space="preserve"> </w:t>
      </w:r>
      <w:r w:rsidRPr="009B5040">
        <w:rPr>
          <w:sz w:val="22"/>
          <w:szCs w:val="22"/>
        </w:rPr>
        <w:t>U.K.</w:t>
      </w:r>
      <w:r w:rsidRPr="009B5040">
        <w:rPr>
          <w:spacing w:val="-6"/>
          <w:sz w:val="22"/>
          <w:szCs w:val="22"/>
        </w:rPr>
        <w:t xml:space="preserve"> </w:t>
      </w:r>
      <w:r w:rsidRPr="009B5040">
        <w:rPr>
          <w:sz w:val="22"/>
          <w:szCs w:val="22"/>
        </w:rPr>
        <w:t>(Hrsg.)</w:t>
      </w:r>
      <w:r w:rsidRPr="009B5040">
        <w:rPr>
          <w:spacing w:val="-3"/>
          <w:sz w:val="22"/>
          <w:szCs w:val="22"/>
        </w:rPr>
        <w:t xml:space="preserve"> </w:t>
      </w:r>
      <w:r w:rsidRPr="009B5040">
        <w:rPr>
          <w:sz w:val="22"/>
          <w:szCs w:val="22"/>
          <w:lang w:val="en-US"/>
        </w:rPr>
        <w:t>(1995):</w:t>
      </w:r>
      <w:r w:rsidRPr="009B5040">
        <w:rPr>
          <w:spacing w:val="-3"/>
          <w:sz w:val="22"/>
          <w:szCs w:val="22"/>
          <w:lang w:val="en-US"/>
        </w:rPr>
        <w:t xml:space="preserve"> </w:t>
      </w:r>
      <w:r w:rsidRPr="009B5040">
        <w:rPr>
          <w:sz w:val="22"/>
          <w:szCs w:val="22"/>
          <w:lang w:val="en-US"/>
        </w:rPr>
        <w:t>Internationales</w:t>
      </w:r>
      <w:r w:rsidRPr="009B5040">
        <w:rPr>
          <w:spacing w:val="-6"/>
          <w:sz w:val="22"/>
          <w:szCs w:val="22"/>
          <w:lang w:val="en-US"/>
        </w:rPr>
        <w:t xml:space="preserve"> </w:t>
      </w:r>
      <w:r w:rsidRPr="009B5040">
        <w:rPr>
          <w:sz w:val="22"/>
          <w:szCs w:val="22"/>
          <w:lang w:val="en-US"/>
        </w:rPr>
        <w:t>Marketing-Management,</w:t>
      </w:r>
      <w:r w:rsidRPr="009B5040">
        <w:rPr>
          <w:spacing w:val="-7"/>
          <w:sz w:val="22"/>
          <w:szCs w:val="22"/>
          <w:lang w:val="en-US"/>
        </w:rPr>
        <w:t xml:space="preserve"> </w:t>
      </w:r>
      <w:r w:rsidRPr="009B5040">
        <w:rPr>
          <w:sz w:val="22"/>
          <w:szCs w:val="22"/>
          <w:lang w:val="en-US"/>
        </w:rPr>
        <w:t>München:</w:t>
      </w:r>
      <w:r w:rsidRPr="009B5040">
        <w:rPr>
          <w:spacing w:val="-3"/>
          <w:sz w:val="22"/>
          <w:szCs w:val="22"/>
          <w:lang w:val="en-US"/>
        </w:rPr>
        <w:t xml:space="preserve"> </w:t>
      </w:r>
      <w:r w:rsidRPr="009B5040">
        <w:rPr>
          <w:sz w:val="22"/>
          <w:szCs w:val="22"/>
          <w:lang w:val="en-US"/>
        </w:rPr>
        <w:t>Vahlen.</w:t>
      </w:r>
      <w:r w:rsidRPr="009B5040">
        <w:rPr>
          <w:spacing w:val="40"/>
          <w:sz w:val="22"/>
          <w:szCs w:val="22"/>
          <w:lang w:val="en-US"/>
        </w:rPr>
        <w:t xml:space="preserve"> </w:t>
      </w:r>
      <w:r w:rsidRPr="009B5040">
        <w:rPr>
          <w:sz w:val="22"/>
          <w:szCs w:val="22"/>
          <w:lang w:val="en-US"/>
        </w:rPr>
        <w:t>Hofstede, G. (2002): Culture’s Consequences. International Differences in Work-Related</w:t>
      </w:r>
      <w:r w:rsidRPr="009B5040">
        <w:rPr>
          <w:spacing w:val="40"/>
          <w:sz w:val="22"/>
          <w:szCs w:val="22"/>
          <w:lang w:val="en-US"/>
        </w:rPr>
        <w:t xml:space="preserve"> </w:t>
      </w:r>
      <w:r w:rsidRPr="009B5040">
        <w:rPr>
          <w:sz w:val="22"/>
          <w:szCs w:val="22"/>
          <w:lang w:val="en-US"/>
        </w:rPr>
        <w:t xml:space="preserve">Values, 2nd Ed., Beverly Hills/CA: Sage (1st Ed. </w:t>
      </w:r>
      <w:r w:rsidRPr="009B5040">
        <w:rPr>
          <w:sz w:val="22"/>
          <w:szCs w:val="22"/>
        </w:rPr>
        <w:t>= 1980). Hofstede, G.; Hofstede, G.J.;</w:t>
      </w:r>
      <w:r w:rsidRPr="009B5040">
        <w:rPr>
          <w:spacing w:val="40"/>
          <w:sz w:val="22"/>
          <w:szCs w:val="22"/>
        </w:rPr>
        <w:t xml:space="preserve"> </w:t>
      </w:r>
      <w:r w:rsidRPr="009B5040">
        <w:rPr>
          <w:sz w:val="22"/>
          <w:szCs w:val="22"/>
        </w:rPr>
        <w:t>Minkov,</w:t>
      </w:r>
      <w:r w:rsidRPr="009B5040">
        <w:rPr>
          <w:spacing w:val="-7"/>
          <w:sz w:val="22"/>
          <w:szCs w:val="22"/>
        </w:rPr>
        <w:t xml:space="preserve"> </w:t>
      </w:r>
      <w:r w:rsidRPr="009B5040">
        <w:rPr>
          <w:sz w:val="22"/>
          <w:szCs w:val="22"/>
        </w:rPr>
        <w:t>M.</w:t>
      </w:r>
      <w:r w:rsidRPr="009B5040">
        <w:rPr>
          <w:spacing w:val="-3"/>
          <w:sz w:val="22"/>
          <w:szCs w:val="22"/>
        </w:rPr>
        <w:t xml:space="preserve"> </w:t>
      </w:r>
      <w:r w:rsidRPr="009B5040">
        <w:rPr>
          <w:sz w:val="22"/>
          <w:szCs w:val="22"/>
        </w:rPr>
        <w:t>(2017):</w:t>
      </w:r>
      <w:r w:rsidRPr="009B5040">
        <w:rPr>
          <w:spacing w:val="-7"/>
          <w:sz w:val="22"/>
          <w:szCs w:val="22"/>
        </w:rPr>
        <w:t xml:space="preserve"> </w:t>
      </w:r>
      <w:r w:rsidRPr="009B5040">
        <w:rPr>
          <w:sz w:val="22"/>
          <w:szCs w:val="22"/>
        </w:rPr>
        <w:t>Lokales</w:t>
      </w:r>
      <w:r w:rsidRPr="009B5040">
        <w:rPr>
          <w:spacing w:val="-5"/>
          <w:sz w:val="22"/>
          <w:szCs w:val="22"/>
        </w:rPr>
        <w:t xml:space="preserve"> </w:t>
      </w:r>
      <w:r w:rsidRPr="009B5040">
        <w:rPr>
          <w:sz w:val="22"/>
          <w:szCs w:val="22"/>
        </w:rPr>
        <w:t>Denken,</w:t>
      </w:r>
      <w:r w:rsidRPr="009B5040">
        <w:rPr>
          <w:spacing w:val="-7"/>
          <w:sz w:val="22"/>
          <w:szCs w:val="22"/>
        </w:rPr>
        <w:t xml:space="preserve"> </w:t>
      </w:r>
      <w:r w:rsidRPr="009B5040">
        <w:rPr>
          <w:sz w:val="22"/>
          <w:szCs w:val="22"/>
        </w:rPr>
        <w:t>globales</w:t>
      </w:r>
      <w:r w:rsidRPr="009B5040">
        <w:rPr>
          <w:spacing w:val="-5"/>
          <w:sz w:val="22"/>
          <w:szCs w:val="22"/>
        </w:rPr>
        <w:t xml:space="preserve"> </w:t>
      </w:r>
      <w:r w:rsidRPr="009B5040">
        <w:rPr>
          <w:sz w:val="22"/>
          <w:szCs w:val="22"/>
        </w:rPr>
        <w:t>Handeln.</w:t>
      </w:r>
      <w:r w:rsidRPr="009B5040">
        <w:rPr>
          <w:spacing w:val="-5"/>
          <w:sz w:val="22"/>
          <w:szCs w:val="22"/>
        </w:rPr>
        <w:t xml:space="preserve"> </w:t>
      </w:r>
      <w:r w:rsidRPr="009B5040">
        <w:rPr>
          <w:sz w:val="22"/>
          <w:szCs w:val="22"/>
        </w:rPr>
        <w:t>Interkulturelle</w:t>
      </w:r>
      <w:r w:rsidRPr="009B5040">
        <w:rPr>
          <w:spacing w:val="-7"/>
          <w:sz w:val="22"/>
          <w:szCs w:val="22"/>
        </w:rPr>
        <w:t xml:space="preserve"> </w:t>
      </w:r>
      <w:r w:rsidRPr="009B5040">
        <w:rPr>
          <w:sz w:val="22"/>
          <w:szCs w:val="22"/>
        </w:rPr>
        <w:t>Zusammenarbeit</w:t>
      </w:r>
      <w:r w:rsidRPr="009B5040">
        <w:rPr>
          <w:spacing w:val="-4"/>
          <w:sz w:val="22"/>
          <w:szCs w:val="22"/>
        </w:rPr>
        <w:t xml:space="preserve"> </w:t>
      </w:r>
      <w:r w:rsidRPr="009B5040">
        <w:rPr>
          <w:sz w:val="22"/>
          <w:szCs w:val="22"/>
        </w:rPr>
        <w:t xml:space="preserve">und globales Management, 6. Aufl., München: Beck. </w:t>
      </w:r>
      <w:r w:rsidRPr="0032014E">
        <w:rPr>
          <w:sz w:val="22"/>
          <w:szCs w:val="22"/>
        </w:rPr>
        <w:t>Jacoby, J.; Szybillo, G.J.; Berning, C.K.</w:t>
      </w:r>
      <w:r w:rsidRPr="0032014E">
        <w:rPr>
          <w:spacing w:val="40"/>
          <w:sz w:val="22"/>
          <w:szCs w:val="22"/>
        </w:rPr>
        <w:t xml:space="preserve"> </w:t>
      </w:r>
      <w:r w:rsidRPr="0032014E">
        <w:rPr>
          <w:sz w:val="22"/>
          <w:szCs w:val="22"/>
        </w:rPr>
        <w:t>(1976): Time and Consumer Behavior, Journal of Consumer Research, 2(4): 320-339.</w:t>
      </w:r>
      <w:r w:rsidRPr="0032014E">
        <w:rPr>
          <w:spacing w:val="40"/>
          <w:sz w:val="22"/>
          <w:szCs w:val="22"/>
        </w:rPr>
        <w:t xml:space="preserve"> </w:t>
      </w:r>
      <w:r w:rsidRPr="009B5040">
        <w:rPr>
          <w:sz w:val="22"/>
          <w:szCs w:val="22"/>
        </w:rPr>
        <w:t>Kagan, J. (2000): Die drei Grundirrtümer der Psychologie, Weinheim: Beltz.</w:t>
      </w:r>
      <w:r w:rsidRPr="009B5040">
        <w:rPr>
          <w:spacing w:val="40"/>
          <w:sz w:val="22"/>
          <w:szCs w:val="22"/>
        </w:rPr>
        <w:t xml:space="preserve"> </w:t>
      </w:r>
      <w:r w:rsidRPr="009B5040">
        <w:rPr>
          <w:sz w:val="22"/>
          <w:szCs w:val="22"/>
        </w:rPr>
        <w:t>Kern, W.</w:t>
      </w:r>
      <w:r w:rsidRPr="009B5040">
        <w:rPr>
          <w:spacing w:val="40"/>
          <w:sz w:val="22"/>
          <w:szCs w:val="22"/>
        </w:rPr>
        <w:t xml:space="preserve"> </w:t>
      </w:r>
      <w:r w:rsidRPr="009B5040">
        <w:rPr>
          <w:sz w:val="22"/>
          <w:szCs w:val="22"/>
        </w:rPr>
        <w:t>(1992): Die Zeit als Dimension betriebswirtschaftlichen Denkens und Handelns, Die</w:t>
      </w:r>
      <w:r w:rsidRPr="009B5040">
        <w:rPr>
          <w:spacing w:val="40"/>
          <w:sz w:val="22"/>
          <w:szCs w:val="22"/>
        </w:rPr>
        <w:t xml:space="preserve"> </w:t>
      </w:r>
      <w:r w:rsidRPr="009B5040">
        <w:rPr>
          <w:sz w:val="22"/>
          <w:szCs w:val="22"/>
        </w:rPr>
        <w:t>Betriebswirtschaft,</w:t>
      </w:r>
      <w:r w:rsidRPr="009B5040">
        <w:rPr>
          <w:spacing w:val="-10"/>
          <w:sz w:val="22"/>
          <w:szCs w:val="22"/>
        </w:rPr>
        <w:t xml:space="preserve"> </w:t>
      </w:r>
      <w:r w:rsidRPr="009B5040">
        <w:rPr>
          <w:sz w:val="22"/>
          <w:szCs w:val="22"/>
        </w:rPr>
        <w:t>52(1):</w:t>
      </w:r>
      <w:r w:rsidRPr="009B5040">
        <w:rPr>
          <w:spacing w:val="-10"/>
          <w:sz w:val="22"/>
          <w:szCs w:val="22"/>
        </w:rPr>
        <w:t xml:space="preserve"> </w:t>
      </w:r>
      <w:r w:rsidRPr="009B5040">
        <w:rPr>
          <w:sz w:val="22"/>
          <w:szCs w:val="22"/>
        </w:rPr>
        <w:t>41-58.</w:t>
      </w:r>
      <w:r w:rsidRPr="009B5040">
        <w:rPr>
          <w:spacing w:val="40"/>
          <w:sz w:val="22"/>
          <w:szCs w:val="22"/>
        </w:rPr>
        <w:t xml:space="preserve"> </w:t>
      </w:r>
      <w:r w:rsidRPr="009B5040">
        <w:rPr>
          <w:sz w:val="22"/>
          <w:szCs w:val="22"/>
        </w:rPr>
        <w:t>Klein,</w:t>
      </w:r>
      <w:r w:rsidRPr="009B5040">
        <w:rPr>
          <w:spacing w:val="-10"/>
          <w:sz w:val="22"/>
          <w:szCs w:val="22"/>
        </w:rPr>
        <w:t xml:space="preserve"> </w:t>
      </w:r>
      <w:r w:rsidRPr="009B5040">
        <w:rPr>
          <w:sz w:val="22"/>
          <w:szCs w:val="22"/>
        </w:rPr>
        <w:t>S.</w:t>
      </w:r>
      <w:r w:rsidRPr="009B5040">
        <w:rPr>
          <w:spacing w:val="-8"/>
          <w:sz w:val="22"/>
          <w:szCs w:val="22"/>
        </w:rPr>
        <w:t xml:space="preserve"> </w:t>
      </w:r>
      <w:r w:rsidRPr="009B5040">
        <w:rPr>
          <w:sz w:val="22"/>
          <w:szCs w:val="22"/>
        </w:rPr>
        <w:t>(1998):</w:t>
      </w:r>
      <w:r w:rsidRPr="009B5040">
        <w:rPr>
          <w:spacing w:val="-10"/>
          <w:sz w:val="22"/>
          <w:szCs w:val="22"/>
        </w:rPr>
        <w:t xml:space="preserve"> </w:t>
      </w:r>
      <w:r w:rsidRPr="009B5040">
        <w:rPr>
          <w:sz w:val="22"/>
          <w:szCs w:val="22"/>
        </w:rPr>
        <w:t>Die</w:t>
      </w:r>
      <w:r w:rsidRPr="009B5040">
        <w:rPr>
          <w:spacing w:val="-10"/>
          <w:sz w:val="22"/>
          <w:szCs w:val="22"/>
        </w:rPr>
        <w:t xml:space="preserve"> </w:t>
      </w:r>
      <w:r w:rsidRPr="009B5040">
        <w:rPr>
          <w:sz w:val="22"/>
          <w:szCs w:val="22"/>
        </w:rPr>
        <w:t>Entmachtung</w:t>
      </w:r>
      <w:r w:rsidRPr="009B5040">
        <w:rPr>
          <w:spacing w:val="-10"/>
          <w:sz w:val="22"/>
          <w:szCs w:val="22"/>
        </w:rPr>
        <w:t xml:space="preserve"> </w:t>
      </w:r>
      <w:r w:rsidRPr="009B5040">
        <w:rPr>
          <w:sz w:val="22"/>
          <w:szCs w:val="22"/>
        </w:rPr>
        <w:t>der</w:t>
      </w:r>
      <w:r w:rsidRPr="009B5040">
        <w:rPr>
          <w:spacing w:val="-10"/>
          <w:sz w:val="22"/>
          <w:szCs w:val="22"/>
        </w:rPr>
        <w:t xml:space="preserve"> </w:t>
      </w:r>
      <w:r w:rsidRPr="009B5040">
        <w:rPr>
          <w:sz w:val="22"/>
          <w:szCs w:val="22"/>
        </w:rPr>
        <w:t>Uhren,</w:t>
      </w:r>
      <w:r w:rsidRPr="009B5040">
        <w:rPr>
          <w:spacing w:val="-10"/>
          <w:sz w:val="22"/>
          <w:szCs w:val="22"/>
        </w:rPr>
        <w:t xml:space="preserve"> </w:t>
      </w:r>
      <w:r w:rsidRPr="009B5040">
        <w:rPr>
          <w:sz w:val="22"/>
          <w:szCs w:val="22"/>
        </w:rPr>
        <w:t>Der</w:t>
      </w:r>
      <w:r w:rsidRPr="009B5040">
        <w:rPr>
          <w:spacing w:val="-10"/>
          <w:sz w:val="22"/>
          <w:szCs w:val="22"/>
        </w:rPr>
        <w:t xml:space="preserve"> </w:t>
      </w:r>
      <w:r w:rsidRPr="009B5040">
        <w:rPr>
          <w:sz w:val="22"/>
          <w:szCs w:val="22"/>
        </w:rPr>
        <w:t>Spiegel,</w:t>
      </w:r>
      <w:r w:rsidRPr="009B5040">
        <w:rPr>
          <w:spacing w:val="40"/>
          <w:sz w:val="22"/>
          <w:szCs w:val="22"/>
        </w:rPr>
        <w:t xml:space="preserve"> </w:t>
      </w:r>
      <w:r w:rsidRPr="009B5040">
        <w:rPr>
          <w:sz w:val="22"/>
          <w:szCs w:val="22"/>
        </w:rPr>
        <w:t>51(1): 92-101.</w:t>
      </w:r>
      <w:r w:rsidRPr="009B5040">
        <w:rPr>
          <w:spacing w:val="40"/>
          <w:sz w:val="22"/>
          <w:szCs w:val="22"/>
        </w:rPr>
        <w:t xml:space="preserve"> </w:t>
      </w:r>
      <w:r w:rsidRPr="009B5040">
        <w:rPr>
          <w:sz w:val="22"/>
          <w:szCs w:val="22"/>
        </w:rPr>
        <w:t>Kuhn, T.; Maurer, A. (1995): Ökonomische Theorie der Zeit,</w:t>
      </w:r>
      <w:r w:rsidRPr="009B5040">
        <w:rPr>
          <w:spacing w:val="40"/>
          <w:sz w:val="22"/>
          <w:szCs w:val="22"/>
        </w:rPr>
        <w:t xml:space="preserve"> </w:t>
      </w:r>
      <w:r w:rsidRPr="009B5040">
        <w:rPr>
          <w:sz w:val="22"/>
          <w:szCs w:val="22"/>
        </w:rPr>
        <w:t>Wirtschaftswissenschaftliches Studium, 24(1):</w:t>
      </w:r>
      <w:r w:rsidRPr="009B5040">
        <w:rPr>
          <w:spacing w:val="-1"/>
          <w:sz w:val="22"/>
          <w:szCs w:val="22"/>
        </w:rPr>
        <w:t xml:space="preserve"> </w:t>
      </w:r>
      <w:r w:rsidRPr="009B5040">
        <w:rPr>
          <w:sz w:val="22"/>
          <w:szCs w:val="22"/>
        </w:rPr>
        <w:t>16-20.</w:t>
      </w:r>
      <w:r w:rsidRPr="009B5040">
        <w:rPr>
          <w:spacing w:val="40"/>
          <w:sz w:val="22"/>
          <w:szCs w:val="22"/>
        </w:rPr>
        <w:t xml:space="preserve"> </w:t>
      </w:r>
      <w:r w:rsidRPr="009B5040">
        <w:rPr>
          <w:sz w:val="22"/>
          <w:szCs w:val="22"/>
          <w:lang w:val="en-US"/>
        </w:rPr>
        <w:t>Levin, R.V.; Norenzayan, A. (1999):</w:t>
      </w:r>
      <w:r w:rsidRPr="009B5040">
        <w:rPr>
          <w:spacing w:val="40"/>
          <w:sz w:val="22"/>
          <w:szCs w:val="22"/>
          <w:lang w:val="en-US"/>
        </w:rPr>
        <w:t xml:space="preserve"> </w:t>
      </w:r>
      <w:r w:rsidRPr="009B5040">
        <w:rPr>
          <w:sz w:val="22"/>
          <w:szCs w:val="22"/>
          <w:lang w:val="en-US"/>
        </w:rPr>
        <w:t>The Pace of Life in 31 Countries, Journal of Cross-Cultural Psychology, 30(2): 178-205.</w:t>
      </w:r>
      <w:r w:rsidRPr="009B5040">
        <w:rPr>
          <w:spacing w:val="40"/>
          <w:sz w:val="22"/>
          <w:szCs w:val="22"/>
          <w:lang w:val="en-US"/>
        </w:rPr>
        <w:t xml:space="preserve"> </w:t>
      </w:r>
      <w:r w:rsidRPr="009B5040">
        <w:rPr>
          <w:sz w:val="22"/>
          <w:szCs w:val="22"/>
          <w:lang w:val="en-US"/>
        </w:rPr>
        <w:t>Moscovici, S. (1981): On Social Representations, in: Forgas, J.P. (Ed.), Social Cognition.</w:t>
      </w:r>
      <w:r w:rsidRPr="009B5040">
        <w:rPr>
          <w:spacing w:val="40"/>
          <w:sz w:val="22"/>
          <w:szCs w:val="22"/>
          <w:lang w:val="en-US"/>
        </w:rPr>
        <w:t xml:space="preserve"> </w:t>
      </w:r>
      <w:r w:rsidRPr="009B5040">
        <w:rPr>
          <w:sz w:val="22"/>
          <w:szCs w:val="22"/>
        </w:rPr>
        <w:t>Perspectives on Everyday Understanding, 181-209, London: Academic.</w:t>
      </w:r>
      <w:r w:rsidRPr="009B5040">
        <w:rPr>
          <w:spacing w:val="40"/>
          <w:sz w:val="22"/>
          <w:szCs w:val="22"/>
        </w:rPr>
        <w:t xml:space="preserve"> </w:t>
      </w:r>
      <w:r w:rsidRPr="009B5040">
        <w:rPr>
          <w:sz w:val="22"/>
          <w:szCs w:val="22"/>
        </w:rPr>
        <w:t>Müller, S.;</w:t>
      </w:r>
      <w:r w:rsidRPr="009B5040">
        <w:rPr>
          <w:spacing w:val="40"/>
          <w:sz w:val="22"/>
          <w:szCs w:val="22"/>
        </w:rPr>
        <w:t xml:space="preserve"> </w:t>
      </w:r>
      <w:r w:rsidRPr="009B5040">
        <w:rPr>
          <w:sz w:val="22"/>
          <w:szCs w:val="22"/>
        </w:rPr>
        <w:t>Kornmeier, M. (2000a): Internationale Wettbewerbsfähigkeit. Irrungen und Wirrungen der</w:t>
      </w:r>
      <w:r w:rsidRPr="009B5040">
        <w:rPr>
          <w:spacing w:val="40"/>
          <w:sz w:val="22"/>
          <w:szCs w:val="22"/>
        </w:rPr>
        <w:t xml:space="preserve"> </w:t>
      </w:r>
      <w:r w:rsidRPr="009B5040">
        <w:rPr>
          <w:sz w:val="22"/>
          <w:szCs w:val="22"/>
        </w:rPr>
        <w:t>Standort-Diskussion, München: Vahlen.</w:t>
      </w:r>
      <w:r w:rsidRPr="009B5040">
        <w:rPr>
          <w:sz w:val="22"/>
          <w:szCs w:val="22"/>
        </w:rPr>
        <w:tab/>
        <w:t>Müller, S.; Kornmeier, M. (2000b):</w:t>
      </w:r>
      <w:r w:rsidRPr="009B5040">
        <w:rPr>
          <w:spacing w:val="40"/>
          <w:sz w:val="22"/>
          <w:szCs w:val="22"/>
        </w:rPr>
        <w:t xml:space="preserve"> </w:t>
      </w:r>
      <w:r w:rsidRPr="009B5040">
        <w:rPr>
          <w:sz w:val="22"/>
          <w:szCs w:val="22"/>
        </w:rPr>
        <w:t>Internationalisierung von klein- und mittelständischen Unternehmen, in: Meyer, J.-A.</w:t>
      </w:r>
      <w:r w:rsidRPr="009B5040">
        <w:rPr>
          <w:spacing w:val="40"/>
          <w:sz w:val="22"/>
          <w:szCs w:val="22"/>
        </w:rPr>
        <w:t xml:space="preserve"> </w:t>
      </w:r>
      <w:r w:rsidRPr="009B5040">
        <w:rPr>
          <w:sz w:val="22"/>
          <w:szCs w:val="22"/>
        </w:rPr>
        <w:t>(Hrsg.), Jahrbuch der KMU-Forschung 2000: Marketing in kleinen und mittleren</w:t>
      </w:r>
      <w:r w:rsidRPr="009B5040">
        <w:rPr>
          <w:spacing w:val="40"/>
          <w:sz w:val="22"/>
          <w:szCs w:val="22"/>
        </w:rPr>
        <w:t xml:space="preserve"> </w:t>
      </w:r>
      <w:r w:rsidRPr="009B5040">
        <w:rPr>
          <w:sz w:val="22"/>
          <w:szCs w:val="22"/>
        </w:rPr>
        <w:t>Unternehmen, 59-87, München: Vahlen.</w:t>
      </w:r>
      <w:r w:rsidRPr="009B5040">
        <w:rPr>
          <w:spacing w:val="40"/>
          <w:sz w:val="22"/>
          <w:szCs w:val="22"/>
        </w:rPr>
        <w:t xml:space="preserve"> </w:t>
      </w:r>
      <w:r w:rsidRPr="009B5040">
        <w:rPr>
          <w:sz w:val="22"/>
          <w:szCs w:val="22"/>
        </w:rPr>
        <w:t>Müller, S.; Kornmeier, M. (2000c): Mentale</w:t>
      </w:r>
      <w:r w:rsidRPr="009B5040">
        <w:rPr>
          <w:spacing w:val="40"/>
          <w:sz w:val="22"/>
          <w:szCs w:val="22"/>
        </w:rPr>
        <w:t xml:space="preserve"> </w:t>
      </w:r>
      <w:r w:rsidRPr="009B5040">
        <w:rPr>
          <w:sz w:val="22"/>
          <w:szCs w:val="22"/>
        </w:rPr>
        <w:t>Eintrittsbarrieren. Subjektive Einflüsse auf Art und Weise der präferierten</w:t>
      </w:r>
      <w:r w:rsidRPr="009B5040">
        <w:rPr>
          <w:spacing w:val="40"/>
          <w:sz w:val="22"/>
          <w:szCs w:val="22"/>
        </w:rPr>
        <w:t xml:space="preserve"> </w:t>
      </w:r>
      <w:r w:rsidRPr="009B5040">
        <w:rPr>
          <w:sz w:val="22"/>
          <w:szCs w:val="22"/>
        </w:rPr>
        <w:t>Markteintrittstrategie, in: von der Oelsnitz, D. (Hrsg.), Markteintrittsmanagement, 13-42,</w:t>
      </w:r>
      <w:r w:rsidRPr="009B5040">
        <w:rPr>
          <w:spacing w:val="40"/>
          <w:sz w:val="22"/>
          <w:szCs w:val="22"/>
        </w:rPr>
        <w:t xml:space="preserve"> </w:t>
      </w:r>
      <w:r w:rsidRPr="009B5040">
        <w:rPr>
          <w:sz w:val="22"/>
          <w:szCs w:val="22"/>
        </w:rPr>
        <w:t>Stuttgart: Schäffer-Poeschel.</w:t>
      </w:r>
      <w:r w:rsidRPr="009B5040">
        <w:rPr>
          <w:spacing w:val="40"/>
          <w:sz w:val="22"/>
          <w:szCs w:val="22"/>
        </w:rPr>
        <w:t xml:space="preserve"> </w:t>
      </w:r>
      <w:r w:rsidRPr="009B5040">
        <w:rPr>
          <w:sz w:val="22"/>
          <w:szCs w:val="22"/>
        </w:rPr>
        <w:t>Müller, S.; Kornmeier, M. (2001a): Streitfall</w:t>
      </w:r>
      <w:r w:rsidRPr="009B5040">
        <w:rPr>
          <w:spacing w:val="-1"/>
          <w:sz w:val="22"/>
          <w:szCs w:val="22"/>
        </w:rPr>
        <w:t xml:space="preserve"> </w:t>
      </w:r>
      <w:r w:rsidRPr="009B5040">
        <w:rPr>
          <w:sz w:val="22"/>
          <w:szCs w:val="22"/>
        </w:rPr>
        <w:t>Globalisierung,</w:t>
      </w:r>
      <w:r w:rsidRPr="009B5040">
        <w:rPr>
          <w:spacing w:val="40"/>
          <w:sz w:val="22"/>
          <w:szCs w:val="22"/>
        </w:rPr>
        <w:t xml:space="preserve"> </w:t>
      </w:r>
      <w:r w:rsidRPr="009B5040">
        <w:rPr>
          <w:sz w:val="22"/>
          <w:szCs w:val="22"/>
        </w:rPr>
        <w:t>München: Oldenbourg.</w:t>
      </w:r>
      <w:r w:rsidRPr="009B5040">
        <w:rPr>
          <w:spacing w:val="40"/>
          <w:sz w:val="22"/>
          <w:szCs w:val="22"/>
        </w:rPr>
        <w:t xml:space="preserve"> </w:t>
      </w:r>
      <w:r w:rsidRPr="009B5040">
        <w:rPr>
          <w:sz w:val="22"/>
          <w:szCs w:val="22"/>
        </w:rPr>
        <w:t>Müller, S.; Kornmeier, M. (2001b): Internationalisierung von</w:t>
      </w:r>
      <w:r w:rsidRPr="009B5040">
        <w:rPr>
          <w:spacing w:val="40"/>
          <w:sz w:val="22"/>
          <w:szCs w:val="22"/>
        </w:rPr>
        <w:t xml:space="preserve"> </w:t>
      </w:r>
      <w:r w:rsidRPr="009B5040">
        <w:rPr>
          <w:sz w:val="22"/>
          <w:szCs w:val="22"/>
        </w:rPr>
        <w:t>Dienstleistungsunternehmen, Dresdner Beiträge zur Betriebswirtschaftslehre Nr. 49,</w:t>
      </w:r>
      <w:r w:rsidRPr="009B5040">
        <w:rPr>
          <w:spacing w:val="40"/>
          <w:sz w:val="22"/>
          <w:szCs w:val="22"/>
        </w:rPr>
        <w:t xml:space="preserve"> </w:t>
      </w:r>
      <w:r w:rsidRPr="009B5040">
        <w:rPr>
          <w:sz w:val="22"/>
          <w:szCs w:val="22"/>
        </w:rPr>
        <w:t>Dresden: TU Dresden, Fakultät Wirtschaftswissenschaften.</w:t>
      </w:r>
      <w:r w:rsidRPr="009B5040">
        <w:rPr>
          <w:spacing w:val="40"/>
          <w:sz w:val="22"/>
          <w:szCs w:val="22"/>
        </w:rPr>
        <w:t xml:space="preserve"> </w:t>
      </w:r>
      <w:r w:rsidRPr="009B5040">
        <w:rPr>
          <w:sz w:val="22"/>
          <w:szCs w:val="22"/>
        </w:rPr>
        <w:t>Müller, S.; Kornmeier, M.</w:t>
      </w:r>
      <w:r w:rsidRPr="009B5040">
        <w:rPr>
          <w:spacing w:val="40"/>
          <w:sz w:val="22"/>
          <w:szCs w:val="22"/>
        </w:rPr>
        <w:t xml:space="preserve"> </w:t>
      </w:r>
      <w:r w:rsidRPr="009B5040">
        <w:rPr>
          <w:sz w:val="22"/>
          <w:szCs w:val="22"/>
        </w:rPr>
        <w:t>(2001c): Globalisierung</w:t>
      </w:r>
      <w:r w:rsidRPr="009B5040">
        <w:rPr>
          <w:spacing w:val="-1"/>
          <w:sz w:val="22"/>
          <w:szCs w:val="22"/>
        </w:rPr>
        <w:t xml:space="preserve"> </w:t>
      </w:r>
      <w:r w:rsidRPr="009B5040">
        <w:rPr>
          <w:sz w:val="22"/>
          <w:szCs w:val="22"/>
        </w:rPr>
        <w:t>als</w:t>
      </w:r>
      <w:r w:rsidRPr="009B5040">
        <w:rPr>
          <w:spacing w:val="-2"/>
          <w:sz w:val="22"/>
          <w:szCs w:val="22"/>
        </w:rPr>
        <w:t xml:space="preserve"> </w:t>
      </w:r>
      <w:r w:rsidRPr="009B5040">
        <w:rPr>
          <w:sz w:val="22"/>
          <w:szCs w:val="22"/>
        </w:rPr>
        <w:t>Herausforderung für</w:t>
      </w:r>
      <w:r w:rsidRPr="009B5040">
        <w:rPr>
          <w:spacing w:val="-3"/>
          <w:sz w:val="22"/>
          <w:szCs w:val="22"/>
        </w:rPr>
        <w:t xml:space="preserve"> </w:t>
      </w:r>
      <w:r w:rsidRPr="009B5040">
        <w:rPr>
          <w:sz w:val="22"/>
          <w:szCs w:val="22"/>
        </w:rPr>
        <w:t>den</w:t>
      </w:r>
      <w:r w:rsidRPr="009B5040">
        <w:rPr>
          <w:spacing w:val="-1"/>
          <w:sz w:val="22"/>
          <w:szCs w:val="22"/>
        </w:rPr>
        <w:t xml:space="preserve"> </w:t>
      </w:r>
      <w:r w:rsidRPr="009B5040">
        <w:rPr>
          <w:sz w:val="22"/>
          <w:szCs w:val="22"/>
        </w:rPr>
        <w:t>Standort Deutschland,</w:t>
      </w:r>
      <w:r w:rsidRPr="009B5040">
        <w:rPr>
          <w:spacing w:val="-4"/>
          <w:sz w:val="22"/>
          <w:szCs w:val="22"/>
        </w:rPr>
        <w:t xml:space="preserve"> </w:t>
      </w:r>
      <w:r w:rsidRPr="009B5040">
        <w:rPr>
          <w:sz w:val="22"/>
          <w:szCs w:val="22"/>
        </w:rPr>
        <w:t>Aus Politik</w:t>
      </w:r>
      <w:r w:rsidRPr="009B5040">
        <w:rPr>
          <w:spacing w:val="-3"/>
          <w:sz w:val="22"/>
          <w:szCs w:val="22"/>
        </w:rPr>
        <w:t xml:space="preserve"> </w:t>
      </w:r>
      <w:r w:rsidRPr="009B5040">
        <w:rPr>
          <w:sz w:val="22"/>
          <w:szCs w:val="22"/>
        </w:rPr>
        <w:t>und</w:t>
      </w:r>
      <w:r w:rsidRPr="009B5040">
        <w:rPr>
          <w:spacing w:val="40"/>
          <w:sz w:val="22"/>
          <w:szCs w:val="22"/>
        </w:rPr>
        <w:t xml:space="preserve"> </w:t>
      </w:r>
      <w:r w:rsidRPr="009B5040">
        <w:rPr>
          <w:sz w:val="22"/>
          <w:szCs w:val="22"/>
        </w:rPr>
        <w:t>Zeitgeschichte, 51(B9): 6-14.</w:t>
      </w:r>
      <w:r w:rsidRPr="009B5040">
        <w:rPr>
          <w:spacing w:val="40"/>
          <w:sz w:val="22"/>
          <w:szCs w:val="22"/>
        </w:rPr>
        <w:t xml:space="preserve"> </w:t>
      </w:r>
      <w:r w:rsidRPr="009B5040">
        <w:rPr>
          <w:sz w:val="22"/>
          <w:szCs w:val="22"/>
        </w:rPr>
        <w:t>Pöppel, E. (1989): Erlebte Zeit und die Zeit überhaupt. Ein</w:t>
      </w:r>
      <w:r w:rsidRPr="009B5040">
        <w:rPr>
          <w:spacing w:val="40"/>
          <w:sz w:val="22"/>
          <w:szCs w:val="22"/>
        </w:rPr>
        <w:t xml:space="preserve"> </w:t>
      </w:r>
      <w:r w:rsidRPr="009B5040">
        <w:rPr>
          <w:sz w:val="22"/>
          <w:szCs w:val="22"/>
        </w:rPr>
        <w:t>Versuch</w:t>
      </w:r>
      <w:r w:rsidRPr="009B5040">
        <w:rPr>
          <w:spacing w:val="-2"/>
          <w:sz w:val="22"/>
          <w:szCs w:val="22"/>
        </w:rPr>
        <w:t xml:space="preserve"> </w:t>
      </w:r>
      <w:r w:rsidRPr="009B5040">
        <w:rPr>
          <w:sz w:val="22"/>
          <w:szCs w:val="22"/>
        </w:rPr>
        <w:t>der</w:t>
      </w:r>
      <w:r w:rsidRPr="009B5040">
        <w:rPr>
          <w:spacing w:val="-1"/>
          <w:sz w:val="22"/>
          <w:szCs w:val="22"/>
        </w:rPr>
        <w:t xml:space="preserve"> </w:t>
      </w:r>
      <w:r w:rsidRPr="009B5040">
        <w:rPr>
          <w:sz w:val="22"/>
          <w:szCs w:val="22"/>
        </w:rPr>
        <w:t>Integration,</w:t>
      </w:r>
      <w:r w:rsidRPr="009B5040">
        <w:rPr>
          <w:spacing w:val="-2"/>
          <w:sz w:val="22"/>
          <w:szCs w:val="22"/>
        </w:rPr>
        <w:t xml:space="preserve"> </w:t>
      </w:r>
      <w:r w:rsidRPr="009B5040">
        <w:rPr>
          <w:sz w:val="22"/>
          <w:szCs w:val="22"/>
        </w:rPr>
        <w:t>in:</w:t>
      </w:r>
      <w:r w:rsidRPr="009B5040">
        <w:rPr>
          <w:spacing w:val="-2"/>
          <w:sz w:val="22"/>
          <w:szCs w:val="22"/>
        </w:rPr>
        <w:t xml:space="preserve"> </w:t>
      </w:r>
      <w:r w:rsidRPr="009B5040">
        <w:rPr>
          <w:sz w:val="22"/>
          <w:szCs w:val="22"/>
        </w:rPr>
        <w:t>Gumin,</w:t>
      </w:r>
      <w:r w:rsidRPr="009B5040">
        <w:rPr>
          <w:spacing w:val="-2"/>
          <w:sz w:val="22"/>
          <w:szCs w:val="22"/>
        </w:rPr>
        <w:t xml:space="preserve"> </w:t>
      </w:r>
      <w:r w:rsidRPr="009B5040">
        <w:rPr>
          <w:sz w:val="22"/>
          <w:szCs w:val="22"/>
        </w:rPr>
        <w:t>H.;</w:t>
      </w:r>
      <w:r w:rsidRPr="009B5040">
        <w:rPr>
          <w:spacing w:val="-2"/>
          <w:sz w:val="22"/>
          <w:szCs w:val="22"/>
        </w:rPr>
        <w:t xml:space="preserve"> </w:t>
      </w:r>
      <w:r w:rsidRPr="009B5040">
        <w:rPr>
          <w:sz w:val="22"/>
          <w:szCs w:val="22"/>
        </w:rPr>
        <w:t>Meier, H. (Hrsg.):</w:t>
      </w:r>
      <w:r w:rsidRPr="009B5040">
        <w:rPr>
          <w:spacing w:val="-2"/>
          <w:sz w:val="22"/>
          <w:szCs w:val="22"/>
        </w:rPr>
        <w:t xml:space="preserve"> </w:t>
      </w:r>
      <w:r w:rsidRPr="009B5040">
        <w:rPr>
          <w:sz w:val="22"/>
          <w:szCs w:val="22"/>
        </w:rPr>
        <w:t>Die</w:t>
      </w:r>
      <w:r w:rsidRPr="009B5040">
        <w:rPr>
          <w:spacing w:val="-2"/>
          <w:sz w:val="22"/>
          <w:szCs w:val="22"/>
        </w:rPr>
        <w:t xml:space="preserve"> </w:t>
      </w:r>
      <w:r w:rsidRPr="009B5040">
        <w:rPr>
          <w:sz w:val="22"/>
          <w:szCs w:val="22"/>
        </w:rPr>
        <w:t>Zeit.</w:t>
      </w:r>
      <w:r w:rsidRPr="009B5040">
        <w:rPr>
          <w:spacing w:val="-2"/>
          <w:sz w:val="22"/>
          <w:szCs w:val="22"/>
        </w:rPr>
        <w:t xml:space="preserve"> </w:t>
      </w:r>
      <w:r w:rsidRPr="009B5040">
        <w:rPr>
          <w:sz w:val="22"/>
          <w:szCs w:val="22"/>
        </w:rPr>
        <w:t>Dauer und</w:t>
      </w:r>
      <w:r w:rsidRPr="009B5040">
        <w:rPr>
          <w:spacing w:val="-2"/>
          <w:sz w:val="22"/>
          <w:szCs w:val="22"/>
        </w:rPr>
        <w:t xml:space="preserve"> </w:t>
      </w:r>
      <w:r w:rsidRPr="009B5040">
        <w:rPr>
          <w:sz w:val="22"/>
          <w:szCs w:val="22"/>
        </w:rPr>
        <w:t>Augenblick,</w:t>
      </w:r>
      <w:r w:rsidRPr="009B5040">
        <w:rPr>
          <w:spacing w:val="40"/>
          <w:sz w:val="22"/>
          <w:szCs w:val="22"/>
        </w:rPr>
        <w:t xml:space="preserve"> </w:t>
      </w:r>
      <w:r w:rsidRPr="009B5040">
        <w:rPr>
          <w:sz w:val="22"/>
          <w:szCs w:val="22"/>
        </w:rPr>
        <w:t>260-272,</w:t>
      </w:r>
      <w:r w:rsidRPr="009B5040">
        <w:rPr>
          <w:spacing w:val="-1"/>
          <w:sz w:val="22"/>
          <w:szCs w:val="22"/>
        </w:rPr>
        <w:t xml:space="preserve"> </w:t>
      </w:r>
      <w:r w:rsidRPr="009B5040">
        <w:rPr>
          <w:sz w:val="22"/>
          <w:szCs w:val="22"/>
        </w:rPr>
        <w:t>München: Piper.</w:t>
      </w:r>
      <w:r w:rsidRPr="009B5040">
        <w:rPr>
          <w:spacing w:val="40"/>
          <w:sz w:val="22"/>
          <w:szCs w:val="22"/>
        </w:rPr>
        <w:t xml:space="preserve"> </w:t>
      </w:r>
      <w:r w:rsidRPr="009B5040">
        <w:rPr>
          <w:sz w:val="22"/>
          <w:szCs w:val="22"/>
        </w:rPr>
        <w:t>Reheis, F. (1998): Die</w:t>
      </w:r>
      <w:r w:rsidRPr="009B5040">
        <w:rPr>
          <w:spacing w:val="-1"/>
          <w:sz w:val="22"/>
          <w:szCs w:val="22"/>
        </w:rPr>
        <w:t xml:space="preserve"> </w:t>
      </w:r>
      <w:r w:rsidRPr="009B5040">
        <w:rPr>
          <w:sz w:val="22"/>
          <w:szCs w:val="22"/>
        </w:rPr>
        <w:t>Kreativität der Langsamkeit, Darm</w:t>
      </w:r>
      <w:r w:rsidRPr="009B5040">
        <w:rPr>
          <w:sz w:val="22"/>
          <w:szCs w:val="22"/>
        </w:rPr>
        <w:lastRenderedPageBreak/>
        <w:t>stadt:</w:t>
      </w:r>
      <w:r w:rsidRPr="009B5040">
        <w:rPr>
          <w:spacing w:val="40"/>
          <w:sz w:val="22"/>
          <w:szCs w:val="22"/>
        </w:rPr>
        <w:t xml:space="preserve"> </w:t>
      </w:r>
      <w:r w:rsidRPr="009B5040">
        <w:rPr>
          <w:sz w:val="22"/>
          <w:szCs w:val="22"/>
        </w:rPr>
        <w:t>Primus.</w:t>
      </w:r>
      <w:r w:rsidRPr="009B5040">
        <w:rPr>
          <w:spacing w:val="40"/>
          <w:sz w:val="22"/>
          <w:szCs w:val="22"/>
        </w:rPr>
        <w:t xml:space="preserve"> </w:t>
      </w:r>
      <w:r w:rsidRPr="009B5040">
        <w:rPr>
          <w:sz w:val="22"/>
          <w:szCs w:val="22"/>
        </w:rPr>
        <w:t>Spies,</w:t>
      </w:r>
      <w:r w:rsidRPr="009B5040">
        <w:rPr>
          <w:spacing w:val="-8"/>
          <w:sz w:val="22"/>
          <w:szCs w:val="22"/>
        </w:rPr>
        <w:t xml:space="preserve"> </w:t>
      </w:r>
      <w:r w:rsidRPr="009B5040">
        <w:rPr>
          <w:sz w:val="22"/>
          <w:szCs w:val="22"/>
        </w:rPr>
        <w:t>S.</w:t>
      </w:r>
      <w:r w:rsidRPr="009B5040">
        <w:rPr>
          <w:spacing w:val="-6"/>
          <w:sz w:val="22"/>
          <w:szCs w:val="22"/>
        </w:rPr>
        <w:t xml:space="preserve"> </w:t>
      </w:r>
      <w:r w:rsidRPr="009B5040">
        <w:rPr>
          <w:sz w:val="22"/>
          <w:szCs w:val="22"/>
        </w:rPr>
        <w:t>(1995):</w:t>
      </w:r>
      <w:r w:rsidRPr="009B5040">
        <w:rPr>
          <w:spacing w:val="-6"/>
          <w:sz w:val="22"/>
          <w:szCs w:val="22"/>
        </w:rPr>
        <w:t xml:space="preserve"> </w:t>
      </w:r>
      <w:r w:rsidRPr="009B5040">
        <w:rPr>
          <w:sz w:val="22"/>
          <w:szCs w:val="22"/>
        </w:rPr>
        <w:t>Entwicklung</w:t>
      </w:r>
      <w:r w:rsidRPr="009B5040">
        <w:rPr>
          <w:spacing w:val="-6"/>
          <w:sz w:val="22"/>
          <w:szCs w:val="22"/>
        </w:rPr>
        <w:t xml:space="preserve"> </w:t>
      </w:r>
      <w:r w:rsidRPr="009B5040">
        <w:rPr>
          <w:sz w:val="22"/>
          <w:szCs w:val="22"/>
        </w:rPr>
        <w:t>des</w:t>
      </w:r>
      <w:r w:rsidRPr="009B5040">
        <w:rPr>
          <w:spacing w:val="-4"/>
          <w:sz w:val="22"/>
          <w:szCs w:val="22"/>
        </w:rPr>
        <w:t xml:space="preserve"> </w:t>
      </w:r>
      <w:r w:rsidRPr="009B5040">
        <w:rPr>
          <w:sz w:val="22"/>
          <w:szCs w:val="22"/>
        </w:rPr>
        <w:t>Zeitbegriffs</w:t>
      </w:r>
      <w:r w:rsidRPr="009B5040">
        <w:rPr>
          <w:spacing w:val="-7"/>
          <w:sz w:val="22"/>
          <w:szCs w:val="22"/>
        </w:rPr>
        <w:t xml:space="preserve"> </w:t>
      </w:r>
      <w:r w:rsidRPr="009B5040">
        <w:rPr>
          <w:sz w:val="22"/>
          <w:szCs w:val="22"/>
        </w:rPr>
        <w:t>im</w:t>
      </w:r>
      <w:r w:rsidRPr="009B5040">
        <w:rPr>
          <w:spacing w:val="-7"/>
          <w:sz w:val="22"/>
          <w:szCs w:val="22"/>
        </w:rPr>
        <w:t xml:space="preserve"> </w:t>
      </w:r>
      <w:r w:rsidRPr="009B5040">
        <w:rPr>
          <w:sz w:val="22"/>
          <w:szCs w:val="22"/>
        </w:rPr>
        <w:t>kulturellen</w:t>
      </w:r>
      <w:r w:rsidRPr="009B5040">
        <w:rPr>
          <w:spacing w:val="-6"/>
          <w:sz w:val="22"/>
          <w:szCs w:val="22"/>
        </w:rPr>
        <w:t xml:space="preserve"> </w:t>
      </w:r>
      <w:r w:rsidRPr="009B5040">
        <w:rPr>
          <w:sz w:val="22"/>
          <w:szCs w:val="22"/>
        </w:rPr>
        <w:t>Lebenskontext,</w:t>
      </w:r>
      <w:r w:rsidRPr="009B5040">
        <w:rPr>
          <w:spacing w:val="-6"/>
          <w:sz w:val="22"/>
          <w:szCs w:val="22"/>
        </w:rPr>
        <w:t xml:space="preserve"> </w:t>
      </w:r>
      <w:r w:rsidRPr="009B5040">
        <w:rPr>
          <w:sz w:val="22"/>
          <w:szCs w:val="22"/>
        </w:rPr>
        <w:t>Diss.,</w:t>
      </w:r>
      <w:r w:rsidRPr="009B5040">
        <w:rPr>
          <w:spacing w:val="40"/>
          <w:sz w:val="22"/>
          <w:szCs w:val="22"/>
        </w:rPr>
        <w:t xml:space="preserve"> </w:t>
      </w:r>
      <w:r w:rsidRPr="009B5040">
        <w:rPr>
          <w:sz w:val="22"/>
          <w:szCs w:val="22"/>
        </w:rPr>
        <w:t>Technische Hochschule Darmstadt, Hamburg: Kovac.</w:t>
      </w:r>
      <w:r w:rsidRPr="009B5040">
        <w:rPr>
          <w:spacing w:val="40"/>
          <w:sz w:val="22"/>
          <w:szCs w:val="22"/>
        </w:rPr>
        <w:t xml:space="preserve"> </w:t>
      </w:r>
      <w:r w:rsidRPr="009B5040">
        <w:rPr>
          <w:sz w:val="22"/>
          <w:szCs w:val="22"/>
        </w:rPr>
        <w:t>Stalk, G.; Hout, T.M. (1992):</w:t>
      </w:r>
      <w:r w:rsidRPr="009B5040">
        <w:rPr>
          <w:spacing w:val="40"/>
          <w:sz w:val="22"/>
          <w:szCs w:val="22"/>
        </w:rPr>
        <w:t xml:space="preserve"> </w:t>
      </w:r>
      <w:r w:rsidRPr="009B5040">
        <w:rPr>
          <w:sz w:val="22"/>
          <w:szCs w:val="22"/>
        </w:rPr>
        <w:t>Zeitwettbewerb, 3. Aufl., Frankfurt/Main: Campus.</w:t>
      </w:r>
      <w:r w:rsidRPr="009B5040">
        <w:rPr>
          <w:spacing w:val="40"/>
          <w:sz w:val="22"/>
          <w:szCs w:val="22"/>
        </w:rPr>
        <w:t xml:space="preserve"> </w:t>
      </w:r>
      <w:r w:rsidRPr="009B5040">
        <w:rPr>
          <w:sz w:val="22"/>
          <w:szCs w:val="22"/>
          <w:lang w:val="en-US"/>
        </w:rPr>
        <w:t>Usunier, J.-C. (1991): Business Time</w:t>
      </w:r>
      <w:r w:rsidRPr="009B5040">
        <w:rPr>
          <w:spacing w:val="40"/>
          <w:sz w:val="22"/>
          <w:szCs w:val="22"/>
          <w:lang w:val="en-US"/>
        </w:rPr>
        <w:t xml:space="preserve"> </w:t>
      </w:r>
      <w:r w:rsidRPr="009B5040">
        <w:rPr>
          <w:sz w:val="22"/>
          <w:szCs w:val="22"/>
          <w:lang w:val="en-US"/>
        </w:rPr>
        <w:t>Perceptions and National Cultures. A Comparative Survey, Management International</w:t>
      </w:r>
      <w:r w:rsidRPr="009B5040">
        <w:rPr>
          <w:spacing w:val="40"/>
          <w:sz w:val="22"/>
          <w:szCs w:val="22"/>
          <w:lang w:val="en-US"/>
        </w:rPr>
        <w:t xml:space="preserve"> </w:t>
      </w:r>
      <w:r w:rsidRPr="009B5040">
        <w:rPr>
          <w:sz w:val="22"/>
          <w:szCs w:val="22"/>
          <w:lang w:val="en-US"/>
        </w:rPr>
        <w:t>Review, 31(3):</w:t>
      </w:r>
      <w:r w:rsidRPr="009B5040">
        <w:rPr>
          <w:spacing w:val="-1"/>
          <w:sz w:val="22"/>
          <w:szCs w:val="22"/>
          <w:lang w:val="en-US"/>
        </w:rPr>
        <w:t xml:space="preserve"> </w:t>
      </w:r>
      <w:r w:rsidRPr="009B5040">
        <w:rPr>
          <w:sz w:val="22"/>
          <w:szCs w:val="22"/>
          <w:lang w:val="en-US"/>
        </w:rPr>
        <w:t>197-217.</w:t>
      </w:r>
      <w:r w:rsidRPr="009B5040">
        <w:rPr>
          <w:spacing w:val="80"/>
          <w:sz w:val="22"/>
          <w:szCs w:val="22"/>
          <w:lang w:val="en-US"/>
        </w:rPr>
        <w:t xml:space="preserve"> </w:t>
      </w:r>
      <w:r w:rsidRPr="009B5040">
        <w:rPr>
          <w:sz w:val="22"/>
          <w:szCs w:val="22"/>
          <w:lang w:val="en-US"/>
        </w:rPr>
        <w:t>Tinsley,</w:t>
      </w:r>
      <w:r w:rsidRPr="009B5040">
        <w:rPr>
          <w:spacing w:val="-1"/>
          <w:sz w:val="22"/>
          <w:szCs w:val="22"/>
          <w:lang w:val="en-US"/>
        </w:rPr>
        <w:t xml:space="preserve"> </w:t>
      </w:r>
      <w:r w:rsidRPr="009B5040">
        <w:rPr>
          <w:sz w:val="22"/>
          <w:szCs w:val="22"/>
          <w:lang w:val="en-US"/>
        </w:rPr>
        <w:t>C.H.;</w:t>
      </w:r>
      <w:r w:rsidRPr="009B5040">
        <w:rPr>
          <w:spacing w:val="-1"/>
          <w:sz w:val="22"/>
          <w:szCs w:val="22"/>
          <w:lang w:val="en-US"/>
        </w:rPr>
        <w:t xml:space="preserve"> </w:t>
      </w:r>
      <w:r w:rsidRPr="009B5040">
        <w:rPr>
          <w:sz w:val="22"/>
          <w:szCs w:val="22"/>
          <w:lang w:val="en-US"/>
        </w:rPr>
        <w:t>Brett,</w:t>
      </w:r>
      <w:r w:rsidRPr="009B5040">
        <w:rPr>
          <w:spacing w:val="-1"/>
          <w:sz w:val="22"/>
          <w:szCs w:val="22"/>
          <w:lang w:val="en-US"/>
        </w:rPr>
        <w:t xml:space="preserve"> </w:t>
      </w:r>
      <w:r w:rsidRPr="009B5040">
        <w:rPr>
          <w:sz w:val="22"/>
          <w:szCs w:val="22"/>
          <w:lang w:val="en-US"/>
        </w:rPr>
        <w:t>J.M. (1997): Managing Workplace Conflict.</w:t>
      </w:r>
      <w:r w:rsidRPr="009B5040">
        <w:rPr>
          <w:spacing w:val="40"/>
          <w:sz w:val="22"/>
          <w:szCs w:val="22"/>
          <w:lang w:val="en-US"/>
        </w:rPr>
        <w:t xml:space="preserve"> </w:t>
      </w:r>
      <w:r w:rsidRPr="009B5040">
        <w:rPr>
          <w:sz w:val="22"/>
          <w:szCs w:val="22"/>
          <w:lang w:val="en-US"/>
        </w:rPr>
        <w:t>A</w:t>
      </w:r>
      <w:r w:rsidRPr="009B5040">
        <w:rPr>
          <w:spacing w:val="-3"/>
          <w:sz w:val="22"/>
          <w:szCs w:val="22"/>
          <w:lang w:val="en-US"/>
        </w:rPr>
        <w:t xml:space="preserve"> </w:t>
      </w:r>
      <w:r w:rsidRPr="009B5040">
        <w:rPr>
          <w:sz w:val="22"/>
          <w:szCs w:val="22"/>
          <w:lang w:val="en-US"/>
        </w:rPr>
        <w:t>Comparison</w:t>
      </w:r>
      <w:r w:rsidRPr="009B5040">
        <w:rPr>
          <w:spacing w:val="-3"/>
          <w:sz w:val="22"/>
          <w:szCs w:val="22"/>
          <w:lang w:val="en-US"/>
        </w:rPr>
        <w:t xml:space="preserve"> </w:t>
      </w:r>
      <w:r w:rsidRPr="009B5040">
        <w:rPr>
          <w:sz w:val="22"/>
          <w:szCs w:val="22"/>
          <w:lang w:val="en-US"/>
        </w:rPr>
        <w:t>of</w:t>
      </w:r>
      <w:r w:rsidRPr="009B5040">
        <w:rPr>
          <w:spacing w:val="-5"/>
          <w:sz w:val="22"/>
          <w:szCs w:val="22"/>
          <w:lang w:val="en-US"/>
        </w:rPr>
        <w:t xml:space="preserve"> </w:t>
      </w:r>
      <w:r w:rsidRPr="009B5040">
        <w:rPr>
          <w:sz w:val="22"/>
          <w:szCs w:val="22"/>
          <w:lang w:val="en-US"/>
        </w:rPr>
        <w:t>Conflict</w:t>
      </w:r>
      <w:r w:rsidRPr="009B5040">
        <w:rPr>
          <w:spacing w:val="-1"/>
          <w:sz w:val="22"/>
          <w:szCs w:val="22"/>
          <w:lang w:val="en-US"/>
        </w:rPr>
        <w:t xml:space="preserve"> </w:t>
      </w:r>
      <w:r w:rsidRPr="009B5040">
        <w:rPr>
          <w:sz w:val="22"/>
          <w:szCs w:val="22"/>
          <w:lang w:val="en-US"/>
        </w:rPr>
        <w:t>Frames</w:t>
      </w:r>
      <w:r w:rsidRPr="009B5040">
        <w:rPr>
          <w:spacing w:val="-4"/>
          <w:sz w:val="22"/>
          <w:szCs w:val="22"/>
          <w:lang w:val="en-US"/>
        </w:rPr>
        <w:t xml:space="preserve"> </w:t>
      </w:r>
      <w:r w:rsidRPr="009B5040">
        <w:rPr>
          <w:sz w:val="22"/>
          <w:szCs w:val="22"/>
          <w:lang w:val="en-US"/>
        </w:rPr>
        <w:t>and</w:t>
      </w:r>
      <w:r w:rsidRPr="009B5040">
        <w:rPr>
          <w:spacing w:val="-3"/>
          <w:sz w:val="22"/>
          <w:szCs w:val="22"/>
          <w:lang w:val="en-US"/>
        </w:rPr>
        <w:t xml:space="preserve"> </w:t>
      </w:r>
      <w:r w:rsidRPr="009B5040">
        <w:rPr>
          <w:sz w:val="22"/>
          <w:szCs w:val="22"/>
          <w:lang w:val="en-US"/>
        </w:rPr>
        <w:t>Resolutions</w:t>
      </w:r>
      <w:r w:rsidRPr="009B5040">
        <w:rPr>
          <w:spacing w:val="-4"/>
          <w:sz w:val="22"/>
          <w:szCs w:val="22"/>
          <w:lang w:val="en-US"/>
        </w:rPr>
        <w:t xml:space="preserve"> </w:t>
      </w:r>
      <w:r w:rsidRPr="009B5040">
        <w:rPr>
          <w:sz w:val="22"/>
          <w:szCs w:val="22"/>
          <w:lang w:val="en-US"/>
        </w:rPr>
        <w:t>in</w:t>
      </w:r>
      <w:r w:rsidRPr="009B5040">
        <w:rPr>
          <w:spacing w:val="-5"/>
          <w:sz w:val="22"/>
          <w:szCs w:val="22"/>
          <w:lang w:val="en-US"/>
        </w:rPr>
        <w:t xml:space="preserve"> </w:t>
      </w:r>
      <w:r w:rsidRPr="009B5040">
        <w:rPr>
          <w:sz w:val="22"/>
          <w:szCs w:val="22"/>
          <w:lang w:val="en-US"/>
        </w:rPr>
        <w:t>the</w:t>
      </w:r>
      <w:r w:rsidRPr="009B5040">
        <w:rPr>
          <w:spacing w:val="-1"/>
          <w:sz w:val="22"/>
          <w:szCs w:val="22"/>
          <w:lang w:val="en-US"/>
        </w:rPr>
        <w:t xml:space="preserve"> </w:t>
      </w:r>
      <w:r w:rsidRPr="009B5040">
        <w:rPr>
          <w:sz w:val="22"/>
          <w:szCs w:val="22"/>
          <w:lang w:val="en-US"/>
        </w:rPr>
        <w:t>U.S.</w:t>
      </w:r>
      <w:r w:rsidRPr="009B5040">
        <w:rPr>
          <w:spacing w:val="-4"/>
          <w:sz w:val="22"/>
          <w:szCs w:val="22"/>
          <w:lang w:val="en-US"/>
        </w:rPr>
        <w:t xml:space="preserve"> </w:t>
      </w:r>
      <w:r w:rsidRPr="009B5040">
        <w:rPr>
          <w:sz w:val="22"/>
          <w:szCs w:val="22"/>
          <w:lang w:val="en-US"/>
        </w:rPr>
        <w:t>and</w:t>
      </w:r>
      <w:r w:rsidRPr="009B5040">
        <w:rPr>
          <w:spacing w:val="-3"/>
          <w:sz w:val="22"/>
          <w:szCs w:val="22"/>
          <w:lang w:val="en-US"/>
        </w:rPr>
        <w:t xml:space="preserve"> </w:t>
      </w:r>
      <w:r w:rsidRPr="009B5040">
        <w:rPr>
          <w:sz w:val="22"/>
          <w:szCs w:val="22"/>
          <w:lang w:val="en-US"/>
        </w:rPr>
        <w:t>Hong</w:t>
      </w:r>
      <w:r w:rsidRPr="009B5040">
        <w:rPr>
          <w:spacing w:val="-5"/>
          <w:sz w:val="22"/>
          <w:szCs w:val="22"/>
          <w:lang w:val="en-US"/>
        </w:rPr>
        <w:t xml:space="preserve"> </w:t>
      </w:r>
      <w:r w:rsidRPr="009B5040">
        <w:rPr>
          <w:sz w:val="22"/>
          <w:szCs w:val="22"/>
          <w:lang w:val="en-US"/>
        </w:rPr>
        <w:t>Kong,</w:t>
      </w:r>
      <w:r w:rsidRPr="009B5040">
        <w:rPr>
          <w:spacing w:val="-1"/>
          <w:sz w:val="22"/>
          <w:szCs w:val="22"/>
          <w:lang w:val="en-US"/>
        </w:rPr>
        <w:t xml:space="preserve"> </w:t>
      </w:r>
      <w:r w:rsidRPr="009B5040">
        <w:rPr>
          <w:sz w:val="22"/>
          <w:szCs w:val="22"/>
          <w:lang w:val="en-US"/>
        </w:rPr>
        <w:t>Academy</w:t>
      </w:r>
      <w:r w:rsidRPr="009B5040">
        <w:rPr>
          <w:spacing w:val="-3"/>
          <w:sz w:val="22"/>
          <w:szCs w:val="22"/>
          <w:lang w:val="en-US"/>
        </w:rPr>
        <w:t xml:space="preserve"> </w:t>
      </w:r>
      <w:r w:rsidRPr="009B5040">
        <w:rPr>
          <w:sz w:val="22"/>
          <w:szCs w:val="22"/>
          <w:lang w:val="en-US"/>
        </w:rPr>
        <w:t>of</w:t>
      </w:r>
      <w:r w:rsidRPr="009B5040">
        <w:rPr>
          <w:spacing w:val="40"/>
          <w:sz w:val="22"/>
          <w:szCs w:val="22"/>
          <w:lang w:val="en-US"/>
        </w:rPr>
        <w:t xml:space="preserve"> </w:t>
      </w:r>
      <w:r w:rsidRPr="009B5040">
        <w:rPr>
          <w:sz w:val="22"/>
          <w:szCs w:val="22"/>
          <w:lang w:val="en-US"/>
        </w:rPr>
        <w:t>Management Proceedings, 87-91.</w:t>
      </w:r>
      <w:r w:rsidRPr="009B5040">
        <w:rPr>
          <w:spacing w:val="40"/>
          <w:sz w:val="22"/>
          <w:szCs w:val="22"/>
          <w:lang w:val="en-US"/>
        </w:rPr>
        <w:t xml:space="preserve"> </w:t>
      </w:r>
      <w:r w:rsidRPr="009B5040">
        <w:rPr>
          <w:sz w:val="22"/>
          <w:szCs w:val="22"/>
          <w:lang w:val="en-US"/>
        </w:rPr>
        <w:t>Tinsley, C.H. (1998): Models of Conflict Resolution in</w:t>
      </w:r>
      <w:r w:rsidRPr="009B5040">
        <w:rPr>
          <w:spacing w:val="40"/>
          <w:sz w:val="22"/>
          <w:szCs w:val="22"/>
          <w:lang w:val="en-US"/>
        </w:rPr>
        <w:t xml:space="preserve"> </w:t>
      </w:r>
      <w:r w:rsidRPr="009B5040">
        <w:rPr>
          <w:sz w:val="22"/>
          <w:szCs w:val="22"/>
          <w:lang w:val="en-US"/>
        </w:rPr>
        <w:t>Japanese, German and American Cultures, Journal of Applied Psychology, 83(2): 316-323.</w:t>
      </w:r>
      <w:r w:rsidRPr="009B5040">
        <w:rPr>
          <w:spacing w:val="40"/>
          <w:sz w:val="22"/>
          <w:szCs w:val="22"/>
          <w:lang w:val="en-US"/>
        </w:rPr>
        <w:t xml:space="preserve"> </w:t>
      </w:r>
      <w:r w:rsidRPr="009B5040">
        <w:rPr>
          <w:sz w:val="22"/>
          <w:szCs w:val="22"/>
          <w:lang w:val="en-US"/>
        </w:rPr>
        <w:t>Tinsley, C.H.; Pillutla, M.M. (1998): Negotiating in the United States and Hong Kong,</w:t>
      </w:r>
      <w:r w:rsidRPr="009B5040">
        <w:rPr>
          <w:spacing w:val="40"/>
          <w:sz w:val="22"/>
          <w:szCs w:val="22"/>
          <w:lang w:val="en-US"/>
        </w:rPr>
        <w:t xml:space="preserve"> </w:t>
      </w:r>
      <w:r w:rsidRPr="009B5040">
        <w:rPr>
          <w:sz w:val="22"/>
          <w:szCs w:val="22"/>
          <w:lang w:val="en-US"/>
        </w:rPr>
        <w:t>Journal of International Business Studies, 29(4): 711-727.</w:t>
      </w:r>
      <w:r w:rsidRPr="009B5040">
        <w:rPr>
          <w:spacing w:val="40"/>
          <w:sz w:val="22"/>
          <w:szCs w:val="22"/>
          <w:lang w:val="en-US"/>
        </w:rPr>
        <w:t xml:space="preserve"> </w:t>
      </w:r>
      <w:r w:rsidRPr="009B5040">
        <w:rPr>
          <w:sz w:val="22"/>
          <w:szCs w:val="22"/>
          <w:lang w:val="en-US"/>
        </w:rPr>
        <w:t>Tinsley, C.H. (2001): How</w:t>
      </w:r>
      <w:r w:rsidRPr="009B5040">
        <w:rPr>
          <w:spacing w:val="40"/>
          <w:sz w:val="22"/>
          <w:szCs w:val="22"/>
          <w:lang w:val="en-US"/>
        </w:rPr>
        <w:t xml:space="preserve"> </w:t>
      </w:r>
      <w:r w:rsidRPr="009B5040">
        <w:rPr>
          <w:sz w:val="22"/>
          <w:szCs w:val="22"/>
          <w:lang w:val="en-US"/>
        </w:rPr>
        <w:t>Negotiators Get to Yes. Predicting the Constellation of Strategies Used across Cultures to</w:t>
      </w:r>
      <w:r w:rsidRPr="009B5040">
        <w:rPr>
          <w:spacing w:val="40"/>
          <w:sz w:val="22"/>
          <w:szCs w:val="22"/>
          <w:lang w:val="en-US"/>
        </w:rPr>
        <w:t xml:space="preserve"> </w:t>
      </w:r>
      <w:r w:rsidRPr="009B5040">
        <w:rPr>
          <w:sz w:val="22"/>
          <w:szCs w:val="22"/>
          <w:lang w:val="en-US"/>
        </w:rPr>
        <w:t>Negotiate Conflict, Journal of Applied Psychology, 86(4): 583-593.</w:t>
      </w:r>
      <w:r w:rsidRPr="009B5040">
        <w:rPr>
          <w:spacing w:val="80"/>
          <w:sz w:val="22"/>
          <w:szCs w:val="22"/>
          <w:lang w:val="en-US"/>
        </w:rPr>
        <w:t xml:space="preserve"> </w:t>
      </w:r>
      <w:r w:rsidRPr="009B5040">
        <w:rPr>
          <w:sz w:val="22"/>
          <w:szCs w:val="22"/>
          <w:lang w:val="en-US"/>
        </w:rPr>
        <w:t>Tinsley, C.H.; Brett J.M. (2001): Managing Workplace Conflict in the United States and Hong Kong,</w:t>
      </w:r>
      <w:r w:rsidRPr="009B5040">
        <w:rPr>
          <w:spacing w:val="40"/>
          <w:sz w:val="22"/>
          <w:szCs w:val="22"/>
          <w:lang w:val="en-US"/>
        </w:rPr>
        <w:t xml:space="preserve"> </w:t>
      </w:r>
      <w:r w:rsidRPr="009B5040">
        <w:rPr>
          <w:sz w:val="22"/>
          <w:szCs w:val="22"/>
          <w:lang w:val="en-US"/>
        </w:rPr>
        <w:t>Organizational Behavior &amp; Human Decision Processes, 85(2): 360-381.</w:t>
      </w:r>
      <w:r w:rsidRPr="009B5040">
        <w:rPr>
          <w:spacing w:val="40"/>
          <w:sz w:val="22"/>
          <w:szCs w:val="22"/>
          <w:lang w:val="en-US"/>
        </w:rPr>
        <w:t xml:space="preserve"> </w:t>
      </w:r>
      <w:r w:rsidRPr="009B5040">
        <w:rPr>
          <w:sz w:val="22"/>
          <w:szCs w:val="22"/>
          <w:lang w:val="en-US"/>
        </w:rPr>
        <w:t>Triandis, H.C.</w:t>
      </w:r>
      <w:r w:rsidRPr="009B5040">
        <w:rPr>
          <w:spacing w:val="40"/>
          <w:sz w:val="22"/>
          <w:szCs w:val="22"/>
          <w:lang w:val="en-US"/>
        </w:rPr>
        <w:t xml:space="preserve"> </w:t>
      </w:r>
      <w:r w:rsidRPr="009B5040">
        <w:rPr>
          <w:sz w:val="22"/>
          <w:szCs w:val="22"/>
          <w:lang w:val="en-US"/>
        </w:rPr>
        <w:t>(1994): Culture and Social Behavior, New York. Zerubavel, E. (1981): Hidden Rhythms.</w:t>
      </w:r>
      <w:r w:rsidRPr="009B5040">
        <w:rPr>
          <w:spacing w:val="40"/>
          <w:sz w:val="22"/>
          <w:szCs w:val="22"/>
          <w:lang w:val="en-US"/>
        </w:rPr>
        <w:t xml:space="preserve"> </w:t>
      </w:r>
      <w:r w:rsidRPr="009B5040">
        <w:rPr>
          <w:sz w:val="22"/>
          <w:szCs w:val="22"/>
          <w:lang w:val="en-US"/>
        </w:rPr>
        <w:t>Schedules and Calendars in Social Life, Chicago/MA: University of Chicago.</w:t>
      </w:r>
    </w:p>
    <w:p w14:paraId="04D11C8A" w14:textId="77777777" w:rsidR="00FF7799" w:rsidRPr="009B5040" w:rsidRDefault="00FF7799" w:rsidP="00001EBB">
      <w:pPr>
        <w:pStyle w:val="StandardText"/>
        <w:rPr>
          <w:sz w:val="22"/>
          <w:szCs w:val="22"/>
          <w:lang w:val="en-US"/>
        </w:rPr>
      </w:pPr>
    </w:p>
    <w:p w14:paraId="6540933A" w14:textId="77777777" w:rsidR="00FF7799" w:rsidRPr="000A5184" w:rsidRDefault="00FF7799" w:rsidP="00A806BE">
      <w:pPr>
        <w:pStyle w:val="berschrift1"/>
        <w:rPr>
          <w:color w:val="2E74B5"/>
        </w:rPr>
      </w:pPr>
      <w:r w:rsidRPr="000A5184">
        <w:rPr>
          <w:color w:val="2E74B5"/>
        </w:rPr>
        <w:t>Zeitökonomie</w:t>
      </w:r>
    </w:p>
    <w:p w14:paraId="795D01A4" w14:textId="5C5E8480" w:rsidR="00FF7799" w:rsidRPr="00E73F6F" w:rsidRDefault="000A5184" w:rsidP="00A96DE9">
      <w:pPr>
        <w:pStyle w:val="StandardText"/>
        <w:rPr>
          <w:spacing w:val="-2"/>
        </w:rPr>
      </w:pPr>
      <w:r>
        <w:t xml:space="preserve">begreift </w:t>
      </w:r>
      <w:r w:rsidR="00FF7799" w:rsidRPr="00E73F6F">
        <w:t xml:space="preserve">Zeit ist nicht nur </w:t>
      </w:r>
      <w:r>
        <w:t xml:space="preserve">als </w:t>
      </w:r>
      <w:r w:rsidR="00FF7799" w:rsidRPr="00E73F6F">
        <w:t xml:space="preserve">ein knappes, sondern auch </w:t>
      </w:r>
      <w:r>
        <w:t xml:space="preserve">als </w:t>
      </w:r>
      <w:r w:rsidR="00FF7799" w:rsidRPr="00E73F6F">
        <w:t>ein quantifizierbares Gut: Ein 75jähriges Leben bspw. umfasst 657.000 Stunden. Dennoch ist in Kulturen mit einem zyklischen Zeitverlauf das Bewusstsein für die Opportunitätskosten des Zeitkonsums nur schwach ausgeprägt. Die scheinbar geringe Wertigkeit von Zeit führt</w:t>
      </w:r>
      <w:r w:rsidR="00FF7799" w:rsidRPr="00E73F6F">
        <w:rPr>
          <w:spacing w:val="-12"/>
        </w:rPr>
        <w:t xml:space="preserve"> </w:t>
      </w:r>
      <w:r w:rsidR="00FF7799" w:rsidRPr="00E73F6F">
        <w:t>dazu,</w:t>
      </w:r>
      <w:r w:rsidR="00FF7799" w:rsidRPr="00E73F6F">
        <w:rPr>
          <w:spacing w:val="-9"/>
        </w:rPr>
        <w:t xml:space="preserve"> </w:t>
      </w:r>
      <w:r w:rsidR="00FF7799" w:rsidRPr="00E73F6F">
        <w:t>dass</w:t>
      </w:r>
      <w:r w:rsidR="00FF7799" w:rsidRPr="00E73F6F">
        <w:rPr>
          <w:spacing w:val="-11"/>
        </w:rPr>
        <w:t xml:space="preserve"> </w:t>
      </w:r>
      <w:r w:rsidR="00FF7799" w:rsidRPr="00E73F6F">
        <w:t>sie</w:t>
      </w:r>
      <w:r w:rsidR="00FF7799" w:rsidRPr="00E73F6F">
        <w:rPr>
          <w:spacing w:val="-11"/>
        </w:rPr>
        <w:t xml:space="preserve"> </w:t>
      </w:r>
      <w:r w:rsidR="00FF7799" w:rsidRPr="00E73F6F">
        <w:t>nur</w:t>
      </w:r>
      <w:r w:rsidR="00FF7799" w:rsidRPr="00E73F6F">
        <w:rPr>
          <w:spacing w:val="-10"/>
        </w:rPr>
        <w:t xml:space="preserve"> </w:t>
      </w:r>
      <w:r w:rsidR="00FF7799" w:rsidRPr="00E73F6F">
        <w:t>ungenau</w:t>
      </w:r>
      <w:r w:rsidR="00FF7799" w:rsidRPr="00E73F6F">
        <w:rPr>
          <w:spacing w:val="-9"/>
        </w:rPr>
        <w:t xml:space="preserve"> </w:t>
      </w:r>
      <w:r w:rsidR="00FF7799" w:rsidRPr="00E73F6F">
        <w:t>gemessen</w:t>
      </w:r>
      <w:r w:rsidR="00FF7799" w:rsidRPr="00E73F6F">
        <w:rPr>
          <w:spacing w:val="-9"/>
        </w:rPr>
        <w:t xml:space="preserve"> </w:t>
      </w:r>
      <w:r w:rsidR="00FF7799" w:rsidRPr="00E73F6F">
        <w:t>wird.</w:t>
      </w:r>
      <w:r w:rsidR="00FF7799" w:rsidRPr="00E73F6F">
        <w:rPr>
          <w:spacing w:val="-10"/>
        </w:rPr>
        <w:t xml:space="preserve"> </w:t>
      </w:r>
      <w:r w:rsidR="00FF7799" w:rsidRPr="00E73F6F">
        <w:t>Denken</w:t>
      </w:r>
      <w:r w:rsidR="00FF7799" w:rsidRPr="00E73F6F">
        <w:rPr>
          <w:spacing w:val="-11"/>
        </w:rPr>
        <w:t xml:space="preserve"> </w:t>
      </w:r>
      <w:r w:rsidR="00FF7799" w:rsidRPr="00E73F6F">
        <w:t>und</w:t>
      </w:r>
      <w:r w:rsidR="00FF7799" w:rsidRPr="00E73F6F">
        <w:rPr>
          <w:spacing w:val="7"/>
        </w:rPr>
        <w:t xml:space="preserve"> </w:t>
      </w:r>
      <w:r w:rsidR="00FF7799" w:rsidRPr="00E73F6F">
        <w:t>Verhalten</w:t>
      </w:r>
      <w:r w:rsidR="00FF7799" w:rsidRPr="00E73F6F">
        <w:rPr>
          <w:spacing w:val="-9"/>
        </w:rPr>
        <w:t xml:space="preserve"> </w:t>
      </w:r>
      <w:r w:rsidR="00FF7799" w:rsidRPr="00E73F6F">
        <w:t xml:space="preserve">vollziehen sich in langwelligen Rhythmen bzw. Zyklen, weshalb der Eindruck vorherrscht, dass sich nichts ändert. Damit geht eine nur schwach ausgeprägte </w:t>
      </w:r>
      <w:r w:rsidR="00FF7799" w:rsidRPr="00E73F6F">
        <w:rPr>
          <w:spacing w:val="-2"/>
        </w:rPr>
        <w:t>Zukunftsorientierung.</w:t>
      </w:r>
    </w:p>
    <w:p w14:paraId="0014EE2A" w14:textId="77777777" w:rsidR="00FF7799" w:rsidRPr="00E73F6F" w:rsidRDefault="00FF7799" w:rsidP="00A96DE9">
      <w:pPr>
        <w:pStyle w:val="StandardText"/>
      </w:pPr>
    </w:p>
    <w:p w14:paraId="3E015EDB" w14:textId="77777777" w:rsidR="00FF7799" w:rsidRPr="000A5184" w:rsidRDefault="00FF7799" w:rsidP="00A806BE">
      <w:pPr>
        <w:pStyle w:val="berschrift1"/>
        <w:rPr>
          <w:color w:val="2E74B5"/>
        </w:rPr>
      </w:pPr>
      <w:r w:rsidRPr="000A5184">
        <w:rPr>
          <w:color w:val="2E74B5"/>
        </w:rPr>
        <w:t>Zeitstruktur</w:t>
      </w:r>
    </w:p>
    <w:p w14:paraId="55A0C7BB" w14:textId="77777777" w:rsidR="00FF7799" w:rsidRPr="009B5040" w:rsidRDefault="00CD7F6A" w:rsidP="00A96DE9">
      <w:pPr>
        <w:pStyle w:val="StandardTextkursiv"/>
        <w:rPr>
          <w:i w:val="0"/>
        </w:rPr>
      </w:pPr>
      <w:r w:rsidRPr="009B5040">
        <w:rPr>
          <w:i w:val="0"/>
        </w:rPr>
        <w:t xml:space="preserve">1 </w:t>
      </w:r>
      <w:r w:rsidR="00FF7799" w:rsidRPr="009B5040">
        <w:rPr>
          <w:i w:val="0"/>
        </w:rPr>
        <w:t>Polychrone</w:t>
      </w:r>
      <w:r w:rsidR="00FF7799" w:rsidRPr="009B5040">
        <w:rPr>
          <w:i w:val="0"/>
          <w:spacing w:val="-4"/>
        </w:rPr>
        <w:t xml:space="preserve"> </w:t>
      </w:r>
      <w:r w:rsidR="00FF7799" w:rsidRPr="009B5040">
        <w:rPr>
          <w:i w:val="0"/>
        </w:rPr>
        <w:t>Zeitstruktur</w:t>
      </w:r>
    </w:p>
    <w:p w14:paraId="141B460D" w14:textId="77777777" w:rsidR="00FF7799" w:rsidRPr="009B5040" w:rsidRDefault="00FF7799" w:rsidP="00A96DE9">
      <w:pPr>
        <w:pStyle w:val="StandardText"/>
      </w:pPr>
      <w:r w:rsidRPr="009B5040">
        <w:t>Polychrone</w:t>
      </w:r>
      <w:r w:rsidRPr="009B5040">
        <w:rPr>
          <w:spacing w:val="-12"/>
        </w:rPr>
        <w:t xml:space="preserve"> </w:t>
      </w:r>
      <w:r w:rsidRPr="009B5040">
        <w:t>Kulturen</w:t>
      </w:r>
      <w:r w:rsidRPr="009B5040">
        <w:rPr>
          <w:spacing w:val="-11"/>
        </w:rPr>
        <w:t xml:space="preserve"> </w:t>
      </w:r>
      <w:r w:rsidRPr="009B5040">
        <w:t>lassen</w:t>
      </w:r>
      <w:r w:rsidRPr="009B5040">
        <w:rPr>
          <w:spacing w:val="-11"/>
        </w:rPr>
        <w:t xml:space="preserve"> </w:t>
      </w:r>
      <w:r w:rsidRPr="009B5040">
        <w:t>sich</w:t>
      </w:r>
      <w:r w:rsidRPr="009B5040">
        <w:rPr>
          <w:spacing w:val="-11"/>
        </w:rPr>
        <w:t xml:space="preserve"> </w:t>
      </w:r>
      <w:r w:rsidRPr="009B5040">
        <w:t>durch</w:t>
      </w:r>
      <w:r w:rsidRPr="009B5040">
        <w:rPr>
          <w:spacing w:val="-12"/>
        </w:rPr>
        <w:t xml:space="preserve"> </w:t>
      </w:r>
      <w:r w:rsidRPr="009B5040">
        <w:t>die</w:t>
      </w:r>
      <w:r w:rsidRPr="009B5040">
        <w:rPr>
          <w:spacing w:val="-11"/>
        </w:rPr>
        <w:t xml:space="preserve"> </w:t>
      </w:r>
      <w:r w:rsidRPr="009B5040">
        <w:t>Sequenz,</w:t>
      </w:r>
      <w:r w:rsidRPr="009B5040">
        <w:rPr>
          <w:spacing w:val="-11"/>
        </w:rPr>
        <w:t xml:space="preserve"> </w:t>
      </w:r>
      <w:r w:rsidRPr="009B5040">
        <w:t>die</w:t>
      </w:r>
      <w:r w:rsidRPr="009B5040">
        <w:rPr>
          <w:spacing w:val="-11"/>
        </w:rPr>
        <w:t xml:space="preserve"> </w:t>
      </w:r>
      <w:r w:rsidRPr="009B5040">
        <w:t>Dauer</w:t>
      </w:r>
      <w:r w:rsidRPr="009B5040">
        <w:rPr>
          <w:spacing w:val="-12"/>
        </w:rPr>
        <w:t xml:space="preserve"> </w:t>
      </w:r>
      <w:r w:rsidRPr="009B5040">
        <w:t>und</w:t>
      </w:r>
      <w:r w:rsidRPr="009B5040">
        <w:rPr>
          <w:spacing w:val="-11"/>
        </w:rPr>
        <w:t xml:space="preserve"> </w:t>
      </w:r>
      <w:r w:rsidRPr="009B5040">
        <w:t>die</w:t>
      </w:r>
      <w:r w:rsidRPr="009B5040">
        <w:rPr>
          <w:spacing w:val="-11"/>
        </w:rPr>
        <w:t xml:space="preserve"> </w:t>
      </w:r>
      <w:r w:rsidRPr="009B5040">
        <w:t>Simultanität der Bearbeitung von Tätigkeiten von monochronen Gesellschaften unterscheiden (vgl. Hall/Hall 1990). In polychronen Gesellschaften (P-Time-Kultur) werden üblicherweise</w:t>
      </w:r>
      <w:r w:rsidRPr="009B5040">
        <w:rPr>
          <w:spacing w:val="-7"/>
        </w:rPr>
        <w:t xml:space="preserve"> </w:t>
      </w:r>
      <w:r w:rsidRPr="009B5040">
        <w:t>mehrere</w:t>
      </w:r>
      <w:r w:rsidRPr="009B5040">
        <w:rPr>
          <w:spacing w:val="-7"/>
        </w:rPr>
        <w:t xml:space="preserve"> </w:t>
      </w:r>
      <w:r w:rsidRPr="009B5040">
        <w:t>Tätigkeiten</w:t>
      </w:r>
      <w:r w:rsidRPr="009B5040">
        <w:rPr>
          <w:spacing w:val="-5"/>
        </w:rPr>
        <w:t xml:space="preserve"> </w:t>
      </w:r>
      <w:r w:rsidRPr="009B5040">
        <w:t>zeitgleich</w:t>
      </w:r>
      <w:r w:rsidRPr="009B5040">
        <w:rPr>
          <w:spacing w:val="-5"/>
        </w:rPr>
        <w:t xml:space="preserve"> </w:t>
      </w:r>
      <w:r w:rsidRPr="009B5040">
        <w:t>ausgeführt,</w:t>
      </w:r>
      <w:r w:rsidRPr="009B5040">
        <w:rPr>
          <w:spacing w:val="-5"/>
        </w:rPr>
        <w:t xml:space="preserve"> </w:t>
      </w:r>
      <w:r w:rsidRPr="009B5040">
        <w:t>weshalb</w:t>
      </w:r>
      <w:r w:rsidRPr="009B5040">
        <w:rPr>
          <w:spacing w:val="-8"/>
        </w:rPr>
        <w:t xml:space="preserve"> </w:t>
      </w:r>
      <w:r w:rsidRPr="009B5040">
        <w:t>Zeitangaben</w:t>
      </w:r>
      <w:r w:rsidRPr="009B5040">
        <w:rPr>
          <w:spacing w:val="-8"/>
        </w:rPr>
        <w:t xml:space="preserve"> </w:t>
      </w:r>
      <w:r w:rsidRPr="009B5040">
        <w:t>oft ambivalent und unverbindlich sind (z.B. „mañana“ im Spanischen). Für Angehörige von P-Time-Kulturen (z.B. afrikanische, asiatische und südamerikanische</w:t>
      </w:r>
      <w:r w:rsidRPr="009B5040">
        <w:rPr>
          <w:spacing w:val="-11"/>
        </w:rPr>
        <w:t xml:space="preserve"> </w:t>
      </w:r>
      <w:r w:rsidRPr="009B5040">
        <w:t>Länder)</w:t>
      </w:r>
      <w:r w:rsidRPr="009B5040">
        <w:rPr>
          <w:spacing w:val="-10"/>
        </w:rPr>
        <w:t xml:space="preserve"> </w:t>
      </w:r>
      <w:r w:rsidRPr="009B5040">
        <w:t>tritt</w:t>
      </w:r>
      <w:r w:rsidRPr="009B5040">
        <w:rPr>
          <w:spacing w:val="-10"/>
        </w:rPr>
        <w:t xml:space="preserve"> </w:t>
      </w:r>
      <w:r w:rsidRPr="009B5040">
        <w:t>Termintreue</w:t>
      </w:r>
      <w:r w:rsidRPr="009B5040">
        <w:rPr>
          <w:spacing w:val="-11"/>
        </w:rPr>
        <w:t xml:space="preserve"> </w:t>
      </w:r>
      <w:r w:rsidRPr="009B5040">
        <w:t>hinter</w:t>
      </w:r>
      <w:r w:rsidRPr="009B5040">
        <w:rPr>
          <w:spacing w:val="-10"/>
        </w:rPr>
        <w:t xml:space="preserve"> </w:t>
      </w:r>
      <w:r w:rsidRPr="009B5040">
        <w:t>dem</w:t>
      </w:r>
      <w:r w:rsidRPr="009B5040">
        <w:rPr>
          <w:spacing w:val="-11"/>
        </w:rPr>
        <w:t xml:space="preserve"> </w:t>
      </w:r>
      <w:r w:rsidRPr="009B5040">
        <w:t>Ziel</w:t>
      </w:r>
      <w:r w:rsidRPr="009B5040">
        <w:rPr>
          <w:spacing w:val="-10"/>
        </w:rPr>
        <w:t xml:space="preserve"> </w:t>
      </w:r>
      <w:r w:rsidRPr="009B5040">
        <w:t>zurück,</w:t>
      </w:r>
      <w:r w:rsidRPr="009B5040">
        <w:rPr>
          <w:spacing w:val="-12"/>
        </w:rPr>
        <w:t xml:space="preserve"> </w:t>
      </w:r>
      <w:r w:rsidRPr="009B5040">
        <w:t>die</w:t>
      </w:r>
      <w:r w:rsidRPr="009B5040">
        <w:rPr>
          <w:spacing w:val="-10"/>
        </w:rPr>
        <w:t xml:space="preserve"> </w:t>
      </w:r>
      <w:r w:rsidRPr="009B5040">
        <w:t>Beziehung zu anderen aufrecht zu erhalten und zeitliche Flexibilität ist wichtig. So ist es Angehörigen</w:t>
      </w:r>
      <w:r w:rsidRPr="009B5040">
        <w:rPr>
          <w:spacing w:val="-5"/>
        </w:rPr>
        <w:t xml:space="preserve"> </w:t>
      </w:r>
      <w:r w:rsidRPr="009B5040">
        <w:t>dieser</w:t>
      </w:r>
      <w:r w:rsidRPr="009B5040">
        <w:rPr>
          <w:spacing w:val="-4"/>
        </w:rPr>
        <w:t xml:space="preserve"> </w:t>
      </w:r>
      <w:r w:rsidRPr="009B5040">
        <w:t>Kulturen</w:t>
      </w:r>
      <w:r w:rsidRPr="009B5040">
        <w:rPr>
          <w:spacing w:val="-3"/>
        </w:rPr>
        <w:t xml:space="preserve"> </w:t>
      </w:r>
      <w:r w:rsidRPr="009B5040">
        <w:t>wichtiger,</w:t>
      </w:r>
      <w:r w:rsidRPr="009B5040">
        <w:rPr>
          <w:spacing w:val="-6"/>
        </w:rPr>
        <w:t xml:space="preserve"> </w:t>
      </w:r>
      <w:r w:rsidRPr="009B5040">
        <w:t>ein</w:t>
      </w:r>
      <w:r w:rsidRPr="009B5040">
        <w:rPr>
          <w:spacing w:val="-5"/>
        </w:rPr>
        <w:t xml:space="preserve"> </w:t>
      </w:r>
      <w:r w:rsidRPr="009B5040">
        <w:t>aktuelles</w:t>
      </w:r>
      <w:r w:rsidRPr="009B5040">
        <w:rPr>
          <w:spacing w:val="-4"/>
        </w:rPr>
        <w:t xml:space="preserve"> </w:t>
      </w:r>
      <w:r w:rsidRPr="009B5040">
        <w:t>Gespräch</w:t>
      </w:r>
      <w:r w:rsidRPr="009B5040">
        <w:rPr>
          <w:spacing w:val="-3"/>
        </w:rPr>
        <w:t xml:space="preserve"> </w:t>
      </w:r>
      <w:r w:rsidRPr="009B5040">
        <w:t>zu</w:t>
      </w:r>
      <w:r w:rsidRPr="009B5040">
        <w:rPr>
          <w:spacing w:val="-5"/>
        </w:rPr>
        <w:t xml:space="preserve"> </w:t>
      </w:r>
      <w:r w:rsidRPr="009B5040">
        <w:t>Ende</w:t>
      </w:r>
      <w:r w:rsidRPr="009B5040">
        <w:rPr>
          <w:spacing w:val="-5"/>
        </w:rPr>
        <w:t xml:space="preserve"> </w:t>
      </w:r>
      <w:r w:rsidRPr="009B5040">
        <w:t>zu</w:t>
      </w:r>
      <w:r w:rsidRPr="009B5040">
        <w:rPr>
          <w:spacing w:val="-3"/>
        </w:rPr>
        <w:t xml:space="preserve"> </w:t>
      </w:r>
      <w:r w:rsidRPr="009B5040">
        <w:t>führen als pünktlich zum nächsten Termin zu erscheinen.</w:t>
      </w:r>
    </w:p>
    <w:p w14:paraId="755B1086" w14:textId="77777777" w:rsidR="00FF7799" w:rsidRPr="009B5040" w:rsidRDefault="00FF7799" w:rsidP="00A96DE9">
      <w:pPr>
        <w:pStyle w:val="StandardText"/>
      </w:pPr>
    </w:p>
    <w:p w14:paraId="4195E089" w14:textId="77777777" w:rsidR="00FF7799" w:rsidRPr="009B5040" w:rsidRDefault="00CD7F6A" w:rsidP="00A96DE9">
      <w:pPr>
        <w:pStyle w:val="StandardTextkursiv"/>
        <w:rPr>
          <w:i w:val="0"/>
        </w:rPr>
      </w:pPr>
      <w:r w:rsidRPr="009B5040">
        <w:rPr>
          <w:i w:val="0"/>
        </w:rPr>
        <w:t xml:space="preserve">2 </w:t>
      </w:r>
      <w:r w:rsidR="00FF7799" w:rsidRPr="009B5040">
        <w:rPr>
          <w:i w:val="0"/>
        </w:rPr>
        <w:t>Monochrone</w:t>
      </w:r>
      <w:r w:rsidR="00FF7799" w:rsidRPr="009B5040">
        <w:rPr>
          <w:i w:val="0"/>
          <w:spacing w:val="-4"/>
        </w:rPr>
        <w:t xml:space="preserve"> </w:t>
      </w:r>
      <w:r w:rsidR="00FF7799" w:rsidRPr="009B5040">
        <w:rPr>
          <w:i w:val="0"/>
        </w:rPr>
        <w:t>Zeitstruktur</w:t>
      </w:r>
    </w:p>
    <w:p w14:paraId="2DD3CB5A" w14:textId="77777777" w:rsidR="00FF7799" w:rsidRPr="009B5040" w:rsidRDefault="00FF7799" w:rsidP="00A96DE9">
      <w:pPr>
        <w:pStyle w:val="StandardText"/>
      </w:pPr>
      <w:r w:rsidRPr="009B5040">
        <w:t>Mitglieder monochroner Gesellschaften (M-Time-Kulturen) führen Tätigkeiten üblicherweise</w:t>
      </w:r>
      <w:r w:rsidRPr="009B5040">
        <w:rPr>
          <w:spacing w:val="-12"/>
        </w:rPr>
        <w:t xml:space="preserve"> </w:t>
      </w:r>
      <w:r w:rsidRPr="009B5040">
        <w:t>nacheinander</w:t>
      </w:r>
      <w:r w:rsidRPr="009B5040">
        <w:rPr>
          <w:spacing w:val="-10"/>
        </w:rPr>
        <w:t xml:space="preserve"> </w:t>
      </w:r>
      <w:r w:rsidRPr="009B5040">
        <w:t>aus</w:t>
      </w:r>
      <w:r w:rsidRPr="009B5040">
        <w:rPr>
          <w:spacing w:val="-12"/>
        </w:rPr>
        <w:t xml:space="preserve"> </w:t>
      </w:r>
      <w:r w:rsidRPr="009B5040">
        <w:t>und</w:t>
      </w:r>
      <w:r w:rsidRPr="009B5040">
        <w:rPr>
          <w:spacing w:val="-9"/>
        </w:rPr>
        <w:t xml:space="preserve"> </w:t>
      </w:r>
      <w:r w:rsidRPr="009B5040">
        <w:t>widmen</w:t>
      </w:r>
      <w:r w:rsidRPr="009B5040">
        <w:rPr>
          <w:spacing w:val="-9"/>
        </w:rPr>
        <w:t xml:space="preserve"> </w:t>
      </w:r>
      <w:r w:rsidRPr="009B5040">
        <w:t>diesen</w:t>
      </w:r>
      <w:r w:rsidRPr="009B5040">
        <w:rPr>
          <w:spacing w:val="-11"/>
        </w:rPr>
        <w:t xml:space="preserve"> </w:t>
      </w:r>
      <w:r w:rsidRPr="009B5040">
        <w:t>ihre</w:t>
      </w:r>
      <w:r w:rsidRPr="009B5040">
        <w:rPr>
          <w:spacing w:val="-11"/>
        </w:rPr>
        <w:t xml:space="preserve"> </w:t>
      </w:r>
      <w:r w:rsidRPr="009B5040">
        <w:t>volle</w:t>
      </w:r>
      <w:r w:rsidRPr="009B5040">
        <w:rPr>
          <w:spacing w:val="-11"/>
        </w:rPr>
        <w:t xml:space="preserve"> </w:t>
      </w:r>
      <w:r w:rsidRPr="009B5040">
        <w:t>Aufmerksamkeit.</w:t>
      </w:r>
      <w:r w:rsidRPr="009B5040">
        <w:rPr>
          <w:spacing w:val="-10"/>
        </w:rPr>
        <w:t xml:space="preserve"> </w:t>
      </w:r>
      <w:r w:rsidRPr="009B5040">
        <w:t>Da in diesen Gesellschaften (z.B. nordamerikanische und westeuropäische Länder) Zeit zugleich ein knappes Gut ist und meist ein lineares Zeitverständnis vorliegt, werden dezidierte Zeitpläne und die pünktliche Ausführung hochgeschätzt, während zeitliche Flexibilität werden akzeptiert wird.</w:t>
      </w:r>
    </w:p>
    <w:p w14:paraId="312CFE88" w14:textId="77777777" w:rsidR="00FF7799" w:rsidRPr="009B5040" w:rsidRDefault="00FF7799" w:rsidP="00A96DE9">
      <w:pPr>
        <w:pStyle w:val="StandardText"/>
      </w:pPr>
    </w:p>
    <w:p w14:paraId="262D8225" w14:textId="77777777" w:rsidR="00FF7799" w:rsidRPr="009B5040" w:rsidRDefault="00CD7F6A" w:rsidP="00A96DE9">
      <w:pPr>
        <w:pStyle w:val="StandardTextkursiv"/>
        <w:rPr>
          <w:i w:val="0"/>
        </w:rPr>
      </w:pPr>
      <w:r w:rsidRPr="009B5040">
        <w:rPr>
          <w:i w:val="0"/>
        </w:rPr>
        <w:t xml:space="preserve">3 </w:t>
      </w:r>
      <w:r w:rsidR="00FF7799" w:rsidRPr="009B5040">
        <w:rPr>
          <w:i w:val="0"/>
        </w:rPr>
        <w:t>Konsequenzen</w:t>
      </w:r>
    </w:p>
    <w:p w14:paraId="3AE69E02" w14:textId="77777777" w:rsidR="00FF7799" w:rsidRPr="00E73F6F" w:rsidRDefault="00FF7799" w:rsidP="00A96DE9">
      <w:pPr>
        <w:pStyle w:val="StandardText"/>
      </w:pPr>
      <w:r w:rsidRPr="00E73F6F">
        <w:lastRenderedPageBreak/>
        <w:t>Aus der Unterscheidung zwischen polychromer und monochromer Zeitstruktur ergeben sich interkulturelle Unterschiede in der Akzeptanz von Unpünktlichkeit und dem vorherrschenden sozialen Tempo. Lateinamerikaner empfinden allzu große Pünktlichkeit als Ausdruck von Unterwürfigkeit und Abhängigkeit. Und im arabischen Kulturraum ist es üblich, dass Ranghöhere die Uhrzeit ignorieren und Rangniedere warten lassen, ohne diese dafür um Entschuldigung zu bitten. Die meisten</w:t>
      </w:r>
      <w:r w:rsidRPr="00E73F6F">
        <w:rPr>
          <w:spacing w:val="-4"/>
        </w:rPr>
        <w:t xml:space="preserve"> </w:t>
      </w:r>
      <w:r w:rsidRPr="00E73F6F">
        <w:t>westlichen</w:t>
      </w:r>
      <w:r w:rsidRPr="00E73F6F">
        <w:rPr>
          <w:spacing w:val="-3"/>
        </w:rPr>
        <w:t xml:space="preserve"> </w:t>
      </w:r>
      <w:r w:rsidRPr="00E73F6F">
        <w:t>Gesellschaften</w:t>
      </w:r>
      <w:r w:rsidRPr="00E73F6F">
        <w:rPr>
          <w:spacing w:val="-3"/>
        </w:rPr>
        <w:t xml:space="preserve"> </w:t>
      </w:r>
      <w:r w:rsidRPr="00E73F6F">
        <w:t>hingegen</w:t>
      </w:r>
      <w:r w:rsidRPr="00E73F6F">
        <w:rPr>
          <w:spacing w:val="-3"/>
        </w:rPr>
        <w:t xml:space="preserve"> </w:t>
      </w:r>
      <w:r w:rsidRPr="00E73F6F">
        <w:t>erachten</w:t>
      </w:r>
      <w:r w:rsidRPr="00E73F6F">
        <w:rPr>
          <w:spacing w:val="-6"/>
        </w:rPr>
        <w:t xml:space="preserve"> </w:t>
      </w:r>
      <w:r w:rsidRPr="00E73F6F">
        <w:t>Termintreue</w:t>
      </w:r>
      <w:r w:rsidRPr="00E73F6F">
        <w:rPr>
          <w:spacing w:val="-9"/>
        </w:rPr>
        <w:t xml:space="preserve"> </w:t>
      </w:r>
      <w:r w:rsidRPr="00E73F6F">
        <w:t>als</w:t>
      </w:r>
      <w:r w:rsidRPr="00E73F6F">
        <w:rPr>
          <w:spacing w:val="-4"/>
        </w:rPr>
        <w:t xml:space="preserve"> </w:t>
      </w:r>
      <w:r w:rsidRPr="00E73F6F">
        <w:t>eine</w:t>
      </w:r>
      <w:r w:rsidRPr="00E73F6F">
        <w:rPr>
          <w:spacing w:val="-5"/>
        </w:rPr>
        <w:t xml:space="preserve"> </w:t>
      </w:r>
      <w:r w:rsidRPr="00E73F6F">
        <w:t>Tugend und wichtige Voraussetzung für beruflichen Erfolg. Entsprechend wird Unpünktlichkeit als unhöflich, möglicherweise sogar als „Charakterschwäche“ gedeutet: als Unfähigkeit zur Selbstkontrolle. Verabreden sich Angehörige unterschiedlicher Kulturen und sind sich der Relativität ihres Zeitverständnisses nicht bewusst, sind Konflikte unvermeidlich.</w:t>
      </w:r>
    </w:p>
    <w:p w14:paraId="3C488107" w14:textId="77777777" w:rsidR="00FF7799" w:rsidRPr="009B5040" w:rsidRDefault="00FF7799" w:rsidP="00A96DE9">
      <w:pPr>
        <w:pStyle w:val="StandardText"/>
        <w:rPr>
          <w:sz w:val="22"/>
          <w:szCs w:val="22"/>
          <w:lang w:val="en-US"/>
        </w:rPr>
      </w:pPr>
      <w:r w:rsidRPr="009B5040">
        <w:rPr>
          <w:b/>
          <w:i/>
          <w:spacing w:val="-2"/>
          <w:sz w:val="22"/>
          <w:szCs w:val="22"/>
          <w:lang w:val="en-US"/>
        </w:rPr>
        <w:t>Literatur:</w:t>
      </w:r>
      <w:r w:rsidRPr="009B5040">
        <w:rPr>
          <w:b/>
          <w:spacing w:val="-3"/>
          <w:sz w:val="22"/>
          <w:szCs w:val="22"/>
          <w:lang w:val="en-US"/>
        </w:rPr>
        <w:t xml:space="preserve"> </w:t>
      </w:r>
      <w:r w:rsidRPr="009B5040">
        <w:rPr>
          <w:spacing w:val="-2"/>
          <w:sz w:val="22"/>
          <w:szCs w:val="22"/>
          <w:lang w:val="en-US"/>
        </w:rPr>
        <w:t>Hall,</w:t>
      </w:r>
      <w:r w:rsidRPr="009B5040">
        <w:rPr>
          <w:sz w:val="22"/>
          <w:szCs w:val="22"/>
          <w:lang w:val="en-US"/>
        </w:rPr>
        <w:t xml:space="preserve"> </w:t>
      </w:r>
      <w:r w:rsidRPr="009B5040">
        <w:rPr>
          <w:spacing w:val="-2"/>
          <w:sz w:val="22"/>
          <w:szCs w:val="22"/>
          <w:lang w:val="en-US"/>
        </w:rPr>
        <w:t>E.T.;</w:t>
      </w:r>
      <w:r w:rsidRPr="009B5040">
        <w:rPr>
          <w:spacing w:val="-1"/>
          <w:sz w:val="22"/>
          <w:szCs w:val="22"/>
          <w:lang w:val="en-US"/>
        </w:rPr>
        <w:t xml:space="preserve"> </w:t>
      </w:r>
      <w:r w:rsidRPr="009B5040">
        <w:rPr>
          <w:spacing w:val="-2"/>
          <w:sz w:val="22"/>
          <w:szCs w:val="22"/>
          <w:lang w:val="en-US"/>
        </w:rPr>
        <w:t>Hall,</w:t>
      </w:r>
      <w:r w:rsidRPr="009B5040">
        <w:rPr>
          <w:sz w:val="22"/>
          <w:szCs w:val="22"/>
          <w:lang w:val="en-US"/>
        </w:rPr>
        <w:t xml:space="preserve"> </w:t>
      </w:r>
      <w:r w:rsidRPr="009B5040">
        <w:rPr>
          <w:spacing w:val="-2"/>
          <w:sz w:val="22"/>
          <w:szCs w:val="22"/>
          <w:lang w:val="en-US"/>
        </w:rPr>
        <w:t>M.R.</w:t>
      </w:r>
      <w:r w:rsidRPr="009B5040">
        <w:rPr>
          <w:spacing w:val="2"/>
          <w:sz w:val="22"/>
          <w:szCs w:val="22"/>
          <w:lang w:val="en-US"/>
        </w:rPr>
        <w:t xml:space="preserve"> </w:t>
      </w:r>
      <w:r w:rsidRPr="009B5040">
        <w:rPr>
          <w:spacing w:val="-2"/>
          <w:sz w:val="22"/>
          <w:szCs w:val="22"/>
          <w:lang w:val="en-US"/>
        </w:rPr>
        <w:t>(1990):</w:t>
      </w:r>
      <w:r w:rsidRPr="009B5040">
        <w:rPr>
          <w:spacing w:val="1"/>
          <w:sz w:val="22"/>
          <w:szCs w:val="22"/>
          <w:lang w:val="en-US"/>
        </w:rPr>
        <w:t xml:space="preserve"> </w:t>
      </w:r>
      <w:r w:rsidRPr="009B5040">
        <w:rPr>
          <w:spacing w:val="-2"/>
          <w:sz w:val="22"/>
          <w:szCs w:val="22"/>
          <w:lang w:val="en-US"/>
        </w:rPr>
        <w:t>Understanding</w:t>
      </w:r>
      <w:r w:rsidRPr="009B5040">
        <w:rPr>
          <w:spacing w:val="-3"/>
          <w:sz w:val="22"/>
          <w:szCs w:val="22"/>
          <w:lang w:val="en-US"/>
        </w:rPr>
        <w:t xml:space="preserve"> </w:t>
      </w:r>
      <w:r w:rsidRPr="009B5040">
        <w:rPr>
          <w:spacing w:val="-2"/>
          <w:sz w:val="22"/>
          <w:szCs w:val="22"/>
          <w:lang w:val="en-US"/>
        </w:rPr>
        <w:t>Cultural</w:t>
      </w:r>
      <w:r w:rsidRPr="009B5040">
        <w:rPr>
          <w:spacing w:val="2"/>
          <w:sz w:val="22"/>
          <w:szCs w:val="22"/>
          <w:lang w:val="en-US"/>
        </w:rPr>
        <w:t xml:space="preserve"> </w:t>
      </w:r>
      <w:r w:rsidRPr="009B5040">
        <w:rPr>
          <w:spacing w:val="-2"/>
          <w:sz w:val="22"/>
          <w:szCs w:val="22"/>
          <w:lang w:val="en-US"/>
        </w:rPr>
        <w:t>Differences,</w:t>
      </w:r>
      <w:r w:rsidRPr="009B5040">
        <w:rPr>
          <w:spacing w:val="5"/>
          <w:sz w:val="22"/>
          <w:szCs w:val="22"/>
          <w:lang w:val="en-US"/>
        </w:rPr>
        <w:t xml:space="preserve"> </w:t>
      </w:r>
      <w:r w:rsidRPr="009B5040">
        <w:rPr>
          <w:spacing w:val="-2"/>
          <w:sz w:val="22"/>
          <w:szCs w:val="22"/>
          <w:lang w:val="en-US"/>
        </w:rPr>
        <w:t>Yarmouth/ME.</w:t>
      </w:r>
    </w:p>
    <w:p w14:paraId="448ABC44" w14:textId="77777777" w:rsidR="00FF7799" w:rsidRPr="00E35FFF" w:rsidRDefault="00FF7799" w:rsidP="00A96DE9">
      <w:pPr>
        <w:pStyle w:val="StandardText"/>
        <w:rPr>
          <w:lang w:val="en-US"/>
        </w:rPr>
      </w:pPr>
    </w:p>
    <w:p w14:paraId="19654490" w14:textId="77777777" w:rsidR="00FF7799" w:rsidRPr="000A5184" w:rsidRDefault="00FF7799" w:rsidP="00A806BE">
      <w:pPr>
        <w:pStyle w:val="berschrift1"/>
        <w:rPr>
          <w:color w:val="2E74B5"/>
        </w:rPr>
      </w:pPr>
      <w:r w:rsidRPr="000A5184">
        <w:rPr>
          <w:color w:val="2E74B5"/>
        </w:rPr>
        <w:t>Zielgruppen</w:t>
      </w:r>
    </w:p>
    <w:p w14:paraId="5D040334" w14:textId="77777777" w:rsidR="00FF7799" w:rsidRPr="00E73F6F" w:rsidRDefault="00FF7799" w:rsidP="00B61E40">
      <w:pPr>
        <w:pStyle w:val="StandardText"/>
      </w:pPr>
      <w:r w:rsidRPr="00E73F6F">
        <w:t>Gruppierungen von Kunden, Lieferanten etc., die eine gezielte Aufteilung des Marktes ermöglichen. Angesichts der verstärkten Internationalisierung des Wirtschaftsgeschehens</w:t>
      </w:r>
      <w:r w:rsidRPr="00E73F6F">
        <w:rPr>
          <w:spacing w:val="-10"/>
        </w:rPr>
        <w:t xml:space="preserve"> </w:t>
      </w:r>
      <w:r w:rsidRPr="00E73F6F">
        <w:t>wird</w:t>
      </w:r>
      <w:r w:rsidRPr="00E73F6F">
        <w:rPr>
          <w:spacing w:val="-9"/>
        </w:rPr>
        <w:t xml:space="preserve"> </w:t>
      </w:r>
      <w:r w:rsidRPr="00E73F6F">
        <w:t>es</w:t>
      </w:r>
      <w:r w:rsidRPr="00E73F6F">
        <w:rPr>
          <w:spacing w:val="-10"/>
        </w:rPr>
        <w:t xml:space="preserve"> </w:t>
      </w:r>
      <w:r w:rsidRPr="00E73F6F">
        <w:t>immer</w:t>
      </w:r>
      <w:r w:rsidRPr="00E73F6F">
        <w:rPr>
          <w:spacing w:val="-10"/>
        </w:rPr>
        <w:t xml:space="preserve"> </w:t>
      </w:r>
      <w:r w:rsidRPr="00E73F6F">
        <w:t>wichtiger,</w:t>
      </w:r>
      <w:r w:rsidRPr="00E73F6F">
        <w:rPr>
          <w:spacing w:val="-9"/>
        </w:rPr>
        <w:t xml:space="preserve"> </w:t>
      </w:r>
      <w:r w:rsidRPr="00E73F6F">
        <w:t>länderübergreifende</w:t>
      </w:r>
      <w:r w:rsidRPr="00E73F6F">
        <w:rPr>
          <w:spacing w:val="-10"/>
        </w:rPr>
        <w:t xml:space="preserve"> </w:t>
      </w:r>
      <w:r w:rsidRPr="00E73F6F">
        <w:t>Zielgruppen zu erschließen, welche man mit einem weitgehend standardisierten Instrumentarium erreichen kann. Deshalb betrachten wir im folgenden Zielgruppenbildung nicht nur aus der nationalen, sondern insb. auch aus der internationalen Perspektive.</w:t>
      </w:r>
    </w:p>
    <w:p w14:paraId="7DFBD93F" w14:textId="77777777" w:rsidR="00FF7799" w:rsidRPr="00E73F6F" w:rsidRDefault="00FF7799" w:rsidP="00B61E40">
      <w:pPr>
        <w:pStyle w:val="StandardText"/>
      </w:pPr>
    </w:p>
    <w:p w14:paraId="41CA53A7" w14:textId="77777777" w:rsidR="00FF7799" w:rsidRPr="009B5040" w:rsidRDefault="00FF7799" w:rsidP="00B61E40">
      <w:pPr>
        <w:pStyle w:val="StandardTextkursiv"/>
        <w:rPr>
          <w:i w:val="0"/>
        </w:rPr>
      </w:pPr>
      <w:r w:rsidRPr="009B5040">
        <w:rPr>
          <w:i w:val="0"/>
        </w:rPr>
        <w:t>1</w:t>
      </w:r>
      <w:r w:rsidRPr="009B5040">
        <w:rPr>
          <w:i w:val="0"/>
          <w:spacing w:val="43"/>
        </w:rPr>
        <w:t xml:space="preserve"> </w:t>
      </w:r>
      <w:r w:rsidRPr="009B5040">
        <w:rPr>
          <w:i w:val="0"/>
        </w:rPr>
        <w:t>Nationale</w:t>
      </w:r>
      <w:r w:rsidRPr="009B5040">
        <w:rPr>
          <w:i w:val="0"/>
          <w:spacing w:val="-1"/>
        </w:rPr>
        <w:t xml:space="preserve"> </w:t>
      </w:r>
      <w:r w:rsidRPr="009B5040">
        <w:rPr>
          <w:i w:val="0"/>
          <w:spacing w:val="-2"/>
        </w:rPr>
        <w:t>Zielgruppen</w:t>
      </w:r>
    </w:p>
    <w:p w14:paraId="09F7FA9F" w14:textId="77777777" w:rsidR="00FF7799" w:rsidRPr="009B5040" w:rsidRDefault="00FF7799" w:rsidP="00B61E40">
      <w:pPr>
        <w:pStyle w:val="StandardText"/>
      </w:pPr>
      <w:r w:rsidRPr="009B5040">
        <w:t>homogene Untermengen von Kunden, Lieferanten etc., die eine Aufteilung des Inlandsmarktes in unterschiedlich zu bearbeitende Teilmärkte ermöglichen. Ein Käsehersteller bspw. kann durch eine zielgruppengerechte Gestaltung seines Marketing-Mix die Zielgruppen Familien, Singles und Senioren ansprechen, um Differenzierungsvorteile zu erlangen, von der höheren Preisbereitschaft der Single-Haushalte</w:t>
      </w:r>
      <w:r w:rsidRPr="009B5040">
        <w:rPr>
          <w:spacing w:val="-8"/>
        </w:rPr>
        <w:t xml:space="preserve"> </w:t>
      </w:r>
      <w:r w:rsidRPr="009B5040">
        <w:t>zu</w:t>
      </w:r>
      <w:r w:rsidRPr="009B5040">
        <w:rPr>
          <w:spacing w:val="-8"/>
        </w:rPr>
        <w:t xml:space="preserve"> </w:t>
      </w:r>
      <w:r w:rsidRPr="009B5040">
        <w:t>profitieren</w:t>
      </w:r>
      <w:r w:rsidRPr="009B5040">
        <w:rPr>
          <w:spacing w:val="-8"/>
        </w:rPr>
        <w:t xml:space="preserve"> </w:t>
      </w:r>
      <w:r w:rsidRPr="009B5040">
        <w:t>und</w:t>
      </w:r>
      <w:r w:rsidRPr="009B5040">
        <w:rPr>
          <w:spacing w:val="-8"/>
        </w:rPr>
        <w:t xml:space="preserve"> </w:t>
      </w:r>
      <w:r w:rsidRPr="009B5040">
        <w:t>der</w:t>
      </w:r>
      <w:r w:rsidRPr="009B5040">
        <w:rPr>
          <w:spacing w:val="-8"/>
        </w:rPr>
        <w:t xml:space="preserve"> </w:t>
      </w:r>
      <w:r w:rsidRPr="009B5040">
        <w:t>geringeren</w:t>
      </w:r>
      <w:r w:rsidRPr="009B5040">
        <w:rPr>
          <w:spacing w:val="-8"/>
        </w:rPr>
        <w:t xml:space="preserve"> </w:t>
      </w:r>
      <w:r w:rsidRPr="009B5040">
        <w:t>Preisbereitschaft</w:t>
      </w:r>
      <w:r w:rsidRPr="009B5040">
        <w:rPr>
          <w:spacing w:val="-8"/>
        </w:rPr>
        <w:t xml:space="preserve"> </w:t>
      </w:r>
      <w:r w:rsidRPr="009B5040">
        <w:t>der</w:t>
      </w:r>
      <w:r w:rsidRPr="009B5040">
        <w:rPr>
          <w:spacing w:val="-8"/>
        </w:rPr>
        <w:t xml:space="preserve"> </w:t>
      </w:r>
      <w:r w:rsidRPr="009B5040">
        <w:t>Familien- Haushalte</w:t>
      </w:r>
      <w:r w:rsidRPr="009B5040">
        <w:rPr>
          <w:spacing w:val="-7"/>
        </w:rPr>
        <w:t xml:space="preserve"> </w:t>
      </w:r>
      <w:r w:rsidRPr="009B5040">
        <w:t>Rechnung</w:t>
      </w:r>
      <w:r w:rsidRPr="009B5040">
        <w:rPr>
          <w:spacing w:val="-6"/>
        </w:rPr>
        <w:t xml:space="preserve"> </w:t>
      </w:r>
      <w:r w:rsidRPr="009B5040">
        <w:t>zu</w:t>
      </w:r>
      <w:r w:rsidRPr="009B5040">
        <w:rPr>
          <w:spacing w:val="-6"/>
        </w:rPr>
        <w:t xml:space="preserve"> </w:t>
      </w:r>
      <w:r w:rsidRPr="009B5040">
        <w:t>tragen</w:t>
      </w:r>
      <w:r w:rsidRPr="009B5040">
        <w:rPr>
          <w:spacing w:val="-6"/>
        </w:rPr>
        <w:t xml:space="preserve"> </w:t>
      </w:r>
      <w:r w:rsidRPr="009B5040">
        <w:t>etc.</w:t>
      </w:r>
      <w:r w:rsidRPr="009B5040">
        <w:rPr>
          <w:spacing w:val="-6"/>
        </w:rPr>
        <w:t xml:space="preserve"> </w:t>
      </w:r>
      <w:r w:rsidRPr="009B5040">
        <w:t>Mit</w:t>
      </w:r>
      <w:r w:rsidRPr="009B5040">
        <w:rPr>
          <w:spacing w:val="-6"/>
        </w:rPr>
        <w:t xml:space="preserve"> </w:t>
      </w:r>
      <w:r w:rsidRPr="009B5040">
        <w:t>dem</w:t>
      </w:r>
      <w:r w:rsidRPr="009B5040">
        <w:rPr>
          <w:spacing w:val="-8"/>
        </w:rPr>
        <w:t xml:space="preserve"> </w:t>
      </w:r>
      <w:r w:rsidRPr="009B5040">
        <w:t>Standardprodukt</w:t>
      </w:r>
      <w:r w:rsidRPr="009B5040">
        <w:rPr>
          <w:spacing w:val="-6"/>
        </w:rPr>
        <w:t xml:space="preserve"> </w:t>
      </w:r>
      <w:r w:rsidRPr="009B5040">
        <w:t>würde</w:t>
      </w:r>
      <w:r w:rsidRPr="009B5040">
        <w:rPr>
          <w:spacing w:val="-10"/>
        </w:rPr>
        <w:t xml:space="preserve"> </w:t>
      </w:r>
      <w:r w:rsidRPr="009B5040">
        <w:t>er</w:t>
      </w:r>
      <w:r w:rsidRPr="009B5040">
        <w:rPr>
          <w:spacing w:val="-7"/>
        </w:rPr>
        <w:t xml:space="preserve"> </w:t>
      </w:r>
      <w:r w:rsidRPr="009B5040">
        <w:t>sich</w:t>
      </w:r>
      <w:r w:rsidRPr="009B5040">
        <w:rPr>
          <w:spacing w:val="-6"/>
        </w:rPr>
        <w:t xml:space="preserve"> </w:t>
      </w:r>
      <w:r w:rsidRPr="009B5040">
        <w:t>an</w:t>
      </w:r>
      <w:r w:rsidRPr="009B5040">
        <w:rPr>
          <w:spacing w:val="-6"/>
        </w:rPr>
        <w:t xml:space="preserve"> </w:t>
      </w:r>
      <w:r w:rsidRPr="009B5040">
        <w:t>den Normalverwender wenden</w:t>
      </w:r>
      <w:r w:rsidRPr="009B5040">
        <w:rPr>
          <w:spacing w:val="-1"/>
        </w:rPr>
        <w:t xml:space="preserve"> </w:t>
      </w:r>
      <w:r w:rsidRPr="009B5040">
        <w:t>und</w:t>
      </w:r>
      <w:r w:rsidRPr="009B5040">
        <w:rPr>
          <w:spacing w:val="-1"/>
        </w:rPr>
        <w:t xml:space="preserve"> </w:t>
      </w:r>
      <w:r w:rsidRPr="009B5040">
        <w:t>mit einer</w:t>
      </w:r>
      <w:r w:rsidRPr="009B5040">
        <w:rPr>
          <w:spacing w:val="-2"/>
        </w:rPr>
        <w:t xml:space="preserve"> </w:t>
      </w:r>
      <w:r w:rsidRPr="009B5040">
        <w:t>fettarmen Variante</w:t>
      </w:r>
      <w:r w:rsidRPr="009B5040">
        <w:rPr>
          <w:spacing w:val="-2"/>
        </w:rPr>
        <w:t xml:space="preserve"> </w:t>
      </w:r>
      <w:r w:rsidRPr="009B5040">
        <w:t>(= Light-Produkt)</w:t>
      </w:r>
      <w:r w:rsidRPr="009B5040">
        <w:rPr>
          <w:spacing w:val="-1"/>
        </w:rPr>
        <w:t xml:space="preserve"> </w:t>
      </w:r>
      <w:r w:rsidRPr="009B5040">
        <w:t>an jüngere,</w:t>
      </w:r>
      <w:r w:rsidRPr="009B5040">
        <w:rPr>
          <w:spacing w:val="-2"/>
        </w:rPr>
        <w:t xml:space="preserve"> </w:t>
      </w:r>
      <w:r w:rsidRPr="009B5040">
        <w:t>gesundheits-</w:t>
      </w:r>
      <w:r w:rsidRPr="009B5040">
        <w:rPr>
          <w:spacing w:val="-3"/>
        </w:rPr>
        <w:t xml:space="preserve"> </w:t>
      </w:r>
      <w:r w:rsidRPr="009B5040">
        <w:t>und</w:t>
      </w:r>
      <w:r w:rsidRPr="009B5040">
        <w:rPr>
          <w:spacing w:val="-4"/>
        </w:rPr>
        <w:t xml:space="preserve"> </w:t>
      </w:r>
      <w:r w:rsidRPr="009B5040">
        <w:t>fitnessbewusste</w:t>
      </w:r>
      <w:r w:rsidRPr="009B5040">
        <w:rPr>
          <w:spacing w:val="-3"/>
        </w:rPr>
        <w:t xml:space="preserve"> </w:t>
      </w:r>
      <w:r w:rsidRPr="009B5040">
        <w:t>Singles.</w:t>
      </w:r>
      <w:r w:rsidRPr="009B5040">
        <w:rPr>
          <w:spacing w:val="-3"/>
        </w:rPr>
        <w:t xml:space="preserve"> </w:t>
      </w:r>
      <w:r w:rsidRPr="009B5040">
        <w:t>Mit</w:t>
      </w:r>
      <w:r w:rsidRPr="009B5040">
        <w:rPr>
          <w:spacing w:val="-3"/>
        </w:rPr>
        <w:t xml:space="preserve"> </w:t>
      </w:r>
      <w:r w:rsidRPr="009B5040">
        <w:t>Blick</w:t>
      </w:r>
      <w:r w:rsidRPr="009B5040">
        <w:rPr>
          <w:spacing w:val="-2"/>
        </w:rPr>
        <w:t xml:space="preserve"> </w:t>
      </w:r>
      <w:r w:rsidRPr="009B5040">
        <w:t>auf</w:t>
      </w:r>
      <w:r w:rsidRPr="009B5040">
        <w:rPr>
          <w:spacing w:val="-5"/>
        </w:rPr>
        <w:t xml:space="preserve"> </w:t>
      </w:r>
      <w:r w:rsidRPr="009B5040">
        <w:t>das</w:t>
      </w:r>
      <w:r w:rsidRPr="009B5040">
        <w:rPr>
          <w:spacing w:val="-3"/>
        </w:rPr>
        <w:t xml:space="preserve"> </w:t>
      </w:r>
      <w:r w:rsidRPr="009B5040">
        <w:t>Segment</w:t>
      </w:r>
      <w:r w:rsidRPr="009B5040">
        <w:rPr>
          <w:spacing w:val="-3"/>
        </w:rPr>
        <w:t xml:space="preserve"> </w:t>
      </w:r>
      <w:r w:rsidRPr="009B5040">
        <w:t>der Senioren böte es sich an, den Marketing-Mix folgendermaßen zu modifizieren:</w:t>
      </w:r>
    </w:p>
    <w:p w14:paraId="09566E25" w14:textId="77777777" w:rsidR="00FF7799" w:rsidRPr="009B5040" w:rsidRDefault="00FF7799" w:rsidP="000A5184">
      <w:pPr>
        <w:pStyle w:val="StandardTextAufzhlung"/>
        <w:ind w:left="709"/>
      </w:pPr>
      <w:r w:rsidRPr="009B5040">
        <w:t>Produktpolitik</w:t>
      </w:r>
      <w:r w:rsidRPr="009B5040">
        <w:rPr>
          <w:spacing w:val="-3"/>
        </w:rPr>
        <w:t xml:space="preserve"> </w:t>
      </w:r>
      <w:r w:rsidRPr="009B5040">
        <w:t>(kleinere</w:t>
      </w:r>
      <w:r w:rsidRPr="009B5040">
        <w:rPr>
          <w:spacing w:val="-4"/>
        </w:rPr>
        <w:t xml:space="preserve"> </w:t>
      </w:r>
      <w:r w:rsidRPr="009B5040">
        <w:t>Packungsgrößen,</w:t>
      </w:r>
      <w:r w:rsidRPr="009B5040">
        <w:rPr>
          <w:spacing w:val="-5"/>
        </w:rPr>
        <w:t xml:space="preserve"> </w:t>
      </w:r>
      <w:r w:rsidRPr="009B5040">
        <w:t>größere</w:t>
      </w:r>
      <w:r w:rsidRPr="009B5040">
        <w:rPr>
          <w:spacing w:val="-3"/>
        </w:rPr>
        <w:t xml:space="preserve"> </w:t>
      </w:r>
      <w:r w:rsidRPr="009B5040">
        <w:rPr>
          <w:spacing w:val="-2"/>
        </w:rPr>
        <w:t>Schrift),</w:t>
      </w:r>
    </w:p>
    <w:p w14:paraId="53CC46C0" w14:textId="77777777" w:rsidR="00FF7799" w:rsidRPr="009B5040" w:rsidRDefault="00FF7799" w:rsidP="000A5184">
      <w:pPr>
        <w:pStyle w:val="StandardTextAufzhlung"/>
        <w:ind w:left="709"/>
      </w:pPr>
      <w:r w:rsidRPr="009B5040">
        <w:t>Preispolitik</w:t>
      </w:r>
      <w:r w:rsidRPr="009B5040">
        <w:rPr>
          <w:spacing w:val="35"/>
        </w:rPr>
        <w:t xml:space="preserve"> </w:t>
      </w:r>
      <w:r w:rsidRPr="009B5040">
        <w:t>(Orientierung</w:t>
      </w:r>
      <w:r w:rsidRPr="009B5040">
        <w:rPr>
          <w:spacing w:val="37"/>
        </w:rPr>
        <w:t xml:space="preserve"> </w:t>
      </w:r>
      <w:r w:rsidRPr="009B5040">
        <w:t>an</w:t>
      </w:r>
      <w:r w:rsidRPr="009B5040">
        <w:rPr>
          <w:spacing w:val="34"/>
        </w:rPr>
        <w:t xml:space="preserve"> </w:t>
      </w:r>
      <w:r w:rsidRPr="009B5040">
        <w:t>dem</w:t>
      </w:r>
      <w:r w:rsidRPr="009B5040">
        <w:rPr>
          <w:spacing w:val="35"/>
        </w:rPr>
        <w:t xml:space="preserve"> </w:t>
      </w:r>
      <w:r w:rsidRPr="009B5040">
        <w:t>erhöhten</w:t>
      </w:r>
      <w:r w:rsidRPr="009B5040">
        <w:rPr>
          <w:spacing w:val="34"/>
        </w:rPr>
        <w:t xml:space="preserve"> </w:t>
      </w:r>
      <w:r w:rsidRPr="009B5040">
        <w:t>Preisbewusstsein</w:t>
      </w:r>
      <w:r w:rsidRPr="009B5040">
        <w:rPr>
          <w:spacing w:val="35"/>
        </w:rPr>
        <w:t xml:space="preserve"> </w:t>
      </w:r>
      <w:r w:rsidRPr="009B5040">
        <w:t>vieler</w:t>
      </w:r>
      <w:r w:rsidRPr="009B5040">
        <w:rPr>
          <w:spacing w:val="35"/>
        </w:rPr>
        <w:t xml:space="preserve"> </w:t>
      </w:r>
      <w:r w:rsidRPr="009B5040">
        <w:t xml:space="preserve">älterer </w:t>
      </w:r>
      <w:r w:rsidRPr="009B5040">
        <w:rPr>
          <w:spacing w:val="-2"/>
        </w:rPr>
        <w:t>Menschen),</w:t>
      </w:r>
    </w:p>
    <w:p w14:paraId="5EC30E43" w14:textId="77777777" w:rsidR="00FF7799" w:rsidRPr="009B5040" w:rsidRDefault="00FF7799" w:rsidP="000A5184">
      <w:pPr>
        <w:pStyle w:val="StandardTextAufzhlung"/>
        <w:ind w:left="709"/>
      </w:pPr>
      <w:r w:rsidRPr="009B5040">
        <w:t>Kommunikationspolitik</w:t>
      </w:r>
      <w:r w:rsidRPr="009B5040">
        <w:rPr>
          <w:spacing w:val="40"/>
        </w:rPr>
        <w:t xml:space="preserve"> </w:t>
      </w:r>
      <w:r w:rsidRPr="009B5040">
        <w:t>(Werbung</w:t>
      </w:r>
      <w:r w:rsidRPr="009B5040">
        <w:rPr>
          <w:spacing w:val="40"/>
        </w:rPr>
        <w:t xml:space="preserve"> </w:t>
      </w:r>
      <w:r w:rsidRPr="009B5040">
        <w:t>in</w:t>
      </w:r>
      <w:r w:rsidRPr="009B5040">
        <w:rPr>
          <w:spacing w:val="40"/>
        </w:rPr>
        <w:t xml:space="preserve"> </w:t>
      </w:r>
      <w:r w:rsidRPr="009B5040">
        <w:t>von</w:t>
      </w:r>
      <w:r w:rsidRPr="009B5040">
        <w:rPr>
          <w:spacing w:val="40"/>
        </w:rPr>
        <w:t xml:space="preserve"> </w:t>
      </w:r>
      <w:r w:rsidRPr="009B5040">
        <w:t>älteren</w:t>
      </w:r>
      <w:r w:rsidRPr="009B5040">
        <w:rPr>
          <w:spacing w:val="40"/>
        </w:rPr>
        <w:t xml:space="preserve"> </w:t>
      </w:r>
      <w:r w:rsidRPr="009B5040">
        <w:t>Menschen</w:t>
      </w:r>
      <w:r w:rsidRPr="009B5040">
        <w:rPr>
          <w:spacing w:val="40"/>
        </w:rPr>
        <w:t xml:space="preserve"> </w:t>
      </w:r>
      <w:r w:rsidRPr="009B5040">
        <w:t xml:space="preserve">bevorzugten </w:t>
      </w:r>
      <w:r w:rsidRPr="009B5040">
        <w:rPr>
          <w:spacing w:val="-2"/>
        </w:rPr>
        <w:t>Medien),</w:t>
      </w:r>
    </w:p>
    <w:p w14:paraId="7C070A5C" w14:textId="77777777" w:rsidR="00FF7799" w:rsidRPr="009B5040" w:rsidRDefault="00FF7799" w:rsidP="000A5184">
      <w:pPr>
        <w:pStyle w:val="StandardTextAufzhlung"/>
        <w:ind w:left="709"/>
      </w:pPr>
      <w:r w:rsidRPr="009B5040">
        <w:t>Distributionspolitik</w:t>
      </w:r>
      <w:r w:rsidRPr="009B5040">
        <w:rPr>
          <w:spacing w:val="-3"/>
        </w:rPr>
        <w:t xml:space="preserve"> </w:t>
      </w:r>
      <w:r w:rsidRPr="009B5040">
        <w:t>(wohnortnahe</w:t>
      </w:r>
      <w:r w:rsidRPr="009B5040">
        <w:rPr>
          <w:spacing w:val="-3"/>
        </w:rPr>
        <w:t xml:space="preserve"> </w:t>
      </w:r>
      <w:r w:rsidRPr="009B5040">
        <w:rPr>
          <w:spacing w:val="-2"/>
        </w:rPr>
        <w:t>Vertriebskanäle).</w:t>
      </w:r>
    </w:p>
    <w:p w14:paraId="10DFDDDF" w14:textId="77777777" w:rsidR="000A5184" w:rsidRDefault="000A5184" w:rsidP="00B61E40">
      <w:pPr>
        <w:pStyle w:val="StandardText"/>
      </w:pPr>
    </w:p>
    <w:p w14:paraId="35256C73" w14:textId="1F04A94E" w:rsidR="00FF7799" w:rsidRPr="009B5040" w:rsidRDefault="00FF7799" w:rsidP="00B61E40">
      <w:pPr>
        <w:pStyle w:val="StandardText"/>
      </w:pPr>
      <w:r w:rsidRPr="009B5040">
        <w:t xml:space="preserve">Neben den klassischen sozio-demographischen Ansätzen der Zielgruppenbildung setzen sich zunehmend auch modernere, z.B. nutzenorientierte Segmentierungstechniken durch (d.h. Benefit-Segmentierung nach Maßgabe der gewünschten Produkteigenschaften und des Nutzens, den sich Käufer von diesen Eigenschaften versprechen). Diese Segmentierungstechnik verspricht dann Vorteile, wenn das Produkt im Zentrum der Standardisierungsbemühungen steht. Personengebundene Zielgruppen, die standardisiert angesprochen (Kommunikationspolitik) und erreicht (Distributionspolitik) werden können, lassen sich allerdings allein mit der Benefit-Segmentierung jedoch nicht </w:t>
      </w:r>
      <w:r w:rsidRPr="009B5040">
        <w:rPr>
          <w:spacing w:val="-2"/>
        </w:rPr>
        <w:t>aufdecken.</w:t>
      </w:r>
    </w:p>
    <w:p w14:paraId="77BE4985" w14:textId="77777777" w:rsidR="00FF7799" w:rsidRPr="009B5040" w:rsidRDefault="00FF7799" w:rsidP="00B61E40">
      <w:pPr>
        <w:pStyle w:val="StandardText"/>
      </w:pPr>
    </w:p>
    <w:p w14:paraId="5A177A09" w14:textId="77777777" w:rsidR="00FF7799" w:rsidRPr="009B5040" w:rsidRDefault="00FF7799" w:rsidP="00B61E40">
      <w:pPr>
        <w:pStyle w:val="StandardTextkursiv"/>
        <w:rPr>
          <w:i w:val="0"/>
        </w:rPr>
      </w:pPr>
      <w:r w:rsidRPr="009B5040">
        <w:rPr>
          <w:i w:val="0"/>
        </w:rPr>
        <w:t>2</w:t>
      </w:r>
      <w:r w:rsidRPr="009B5040">
        <w:rPr>
          <w:i w:val="0"/>
          <w:spacing w:val="42"/>
        </w:rPr>
        <w:t xml:space="preserve"> </w:t>
      </w:r>
      <w:r w:rsidRPr="009B5040">
        <w:rPr>
          <w:i w:val="0"/>
        </w:rPr>
        <w:t>Internationale</w:t>
      </w:r>
      <w:r w:rsidRPr="009B5040">
        <w:rPr>
          <w:i w:val="0"/>
          <w:spacing w:val="-1"/>
        </w:rPr>
        <w:t xml:space="preserve"> </w:t>
      </w:r>
      <w:r w:rsidRPr="009B5040">
        <w:rPr>
          <w:i w:val="0"/>
          <w:spacing w:val="-2"/>
        </w:rPr>
        <w:t>Zielgruppen</w:t>
      </w:r>
    </w:p>
    <w:p w14:paraId="51B19BE3" w14:textId="77777777" w:rsidR="00FF7799" w:rsidRPr="00E73F6F" w:rsidRDefault="00FF7799" w:rsidP="00B61E40">
      <w:pPr>
        <w:pStyle w:val="StandardText"/>
      </w:pPr>
      <w:r w:rsidRPr="00E73F6F">
        <w:lastRenderedPageBreak/>
        <w:t>Angesichts der verstärkten Internationalisierung des Wirtschaftsgeschehens wird es immer wichtiger, länderübergreifende Zielgruppen zu erschließen, welche auf eine weitgehend standardisierte Marktbearbeitung ansprechen (um weltweit Skalenvorteile nutzen zu können). Da vollständige Standardisierung jedoch die Ausnahme</w:t>
      </w:r>
      <w:r w:rsidRPr="00E73F6F">
        <w:rPr>
          <w:spacing w:val="34"/>
        </w:rPr>
        <w:t xml:space="preserve"> </w:t>
      </w:r>
      <w:r w:rsidRPr="00E73F6F">
        <w:t>von</w:t>
      </w:r>
      <w:r w:rsidRPr="00E73F6F">
        <w:rPr>
          <w:spacing w:val="35"/>
        </w:rPr>
        <w:t xml:space="preserve"> </w:t>
      </w:r>
      <w:r w:rsidRPr="00E73F6F">
        <w:t>der</w:t>
      </w:r>
      <w:r w:rsidRPr="00E73F6F">
        <w:rPr>
          <w:spacing w:val="35"/>
        </w:rPr>
        <w:t xml:space="preserve"> </w:t>
      </w:r>
      <w:r w:rsidRPr="00E73F6F">
        <w:t>Regel</w:t>
      </w:r>
      <w:r w:rsidRPr="00E73F6F">
        <w:rPr>
          <w:spacing w:val="36"/>
        </w:rPr>
        <w:t xml:space="preserve"> </w:t>
      </w:r>
      <w:r w:rsidRPr="00E73F6F">
        <w:t>ist,</w:t>
      </w:r>
      <w:r w:rsidRPr="00E73F6F">
        <w:rPr>
          <w:spacing w:val="36"/>
        </w:rPr>
        <w:t xml:space="preserve"> </w:t>
      </w:r>
      <w:r w:rsidRPr="00E73F6F">
        <w:t>steht</w:t>
      </w:r>
      <w:r w:rsidRPr="00E73F6F">
        <w:rPr>
          <w:spacing w:val="35"/>
        </w:rPr>
        <w:t xml:space="preserve"> </w:t>
      </w:r>
      <w:r w:rsidRPr="00E73F6F">
        <w:t>im</w:t>
      </w:r>
      <w:r w:rsidRPr="00E73F6F">
        <w:rPr>
          <w:spacing w:val="35"/>
        </w:rPr>
        <w:t xml:space="preserve"> </w:t>
      </w:r>
      <w:r w:rsidRPr="00E73F6F">
        <w:t>Folgenden</w:t>
      </w:r>
      <w:r w:rsidRPr="00E73F6F">
        <w:rPr>
          <w:spacing w:val="35"/>
        </w:rPr>
        <w:t xml:space="preserve"> </w:t>
      </w:r>
      <w:r w:rsidRPr="00E73F6F">
        <w:t>die</w:t>
      </w:r>
      <w:r w:rsidRPr="00E73F6F">
        <w:rPr>
          <w:spacing w:val="35"/>
        </w:rPr>
        <w:t xml:space="preserve"> </w:t>
      </w:r>
      <w:r w:rsidRPr="00E73F6F">
        <w:t>Strategie</w:t>
      </w:r>
      <w:r w:rsidRPr="00E73F6F">
        <w:rPr>
          <w:spacing w:val="35"/>
        </w:rPr>
        <w:t xml:space="preserve"> </w:t>
      </w:r>
      <w:r w:rsidRPr="00E73F6F">
        <w:rPr>
          <w:spacing w:val="-5"/>
        </w:rPr>
        <w:t xml:space="preserve">der </w:t>
      </w:r>
      <w:r w:rsidRPr="00E73F6F">
        <w:t>„Standardisierten</w:t>
      </w:r>
      <w:r w:rsidRPr="00E73F6F">
        <w:rPr>
          <w:spacing w:val="-3"/>
        </w:rPr>
        <w:t xml:space="preserve"> </w:t>
      </w:r>
      <w:r w:rsidRPr="00E73F6F">
        <w:t>Differenzierung“</w:t>
      </w:r>
      <w:r w:rsidRPr="00E73F6F">
        <w:rPr>
          <w:spacing w:val="-3"/>
        </w:rPr>
        <w:t xml:space="preserve"> </w:t>
      </w:r>
      <w:r w:rsidRPr="00E73F6F">
        <w:t>im</w:t>
      </w:r>
      <w:r w:rsidRPr="00E73F6F">
        <w:rPr>
          <w:spacing w:val="-2"/>
        </w:rPr>
        <w:t xml:space="preserve"> </w:t>
      </w:r>
      <w:r w:rsidRPr="00E73F6F">
        <w:t>Mittelpunkt</w:t>
      </w:r>
      <w:r w:rsidRPr="00E73F6F">
        <w:rPr>
          <w:spacing w:val="-4"/>
        </w:rPr>
        <w:t xml:space="preserve"> </w:t>
      </w:r>
      <w:r w:rsidRPr="00E73F6F">
        <w:t>der</w:t>
      </w:r>
      <w:r w:rsidRPr="00E73F6F">
        <w:rPr>
          <w:spacing w:val="-1"/>
        </w:rPr>
        <w:t xml:space="preserve"> </w:t>
      </w:r>
      <w:r w:rsidRPr="00E73F6F">
        <w:rPr>
          <w:spacing w:val="-2"/>
        </w:rPr>
        <w:t>Betrachtung.</w:t>
      </w:r>
    </w:p>
    <w:p w14:paraId="25B62D88" w14:textId="77777777" w:rsidR="00FF7799" w:rsidRPr="00E73F6F" w:rsidRDefault="00FF7799" w:rsidP="00B61E40">
      <w:pPr>
        <w:pStyle w:val="StandardText"/>
      </w:pPr>
    </w:p>
    <w:p w14:paraId="58FD7A9E" w14:textId="77777777" w:rsidR="00FF7799" w:rsidRPr="009B5040" w:rsidRDefault="00FF7799" w:rsidP="00B61E40">
      <w:pPr>
        <w:pStyle w:val="StandardTextkursiv"/>
        <w:rPr>
          <w:i w:val="0"/>
        </w:rPr>
      </w:pPr>
      <w:r w:rsidRPr="009B5040">
        <w:rPr>
          <w:i w:val="0"/>
        </w:rPr>
        <w:t xml:space="preserve">2.1 Objektive Segmentierungsmerkmale </w:t>
      </w:r>
    </w:p>
    <w:p w14:paraId="0F55F2CB" w14:textId="77777777" w:rsidR="00FF7799" w:rsidRPr="00E73F6F" w:rsidRDefault="00FF7799" w:rsidP="00B61E40">
      <w:pPr>
        <w:pStyle w:val="StandardText"/>
      </w:pPr>
      <w:r w:rsidRPr="00E73F6F">
        <w:t>Variablen wie Alter, Haushaltsnettoeinkommen oder Urbanisierungsgrad ermöglichen bei der Abgrenzung länderübergreifender Verbrauchersegmente einen „ersten robusten Schritt“. Ein papierverarbeitendes Unternehmen bspw., das Windeln und saugfähige Bettunterlagen produziert, hat im Wesentlichen zwei Zielgruppen: Kleinkinder und - zumeist – ältere Menschen, die an Inkontinenz leiden. Um die internationale</w:t>
      </w:r>
      <w:r w:rsidRPr="00E73F6F">
        <w:rPr>
          <w:spacing w:val="-7"/>
        </w:rPr>
        <w:t xml:space="preserve"> </w:t>
      </w:r>
      <w:r w:rsidRPr="00E73F6F">
        <w:t>Verteilung</w:t>
      </w:r>
      <w:r w:rsidRPr="00E73F6F">
        <w:rPr>
          <w:spacing w:val="-8"/>
        </w:rPr>
        <w:t xml:space="preserve"> </w:t>
      </w:r>
      <w:r w:rsidRPr="00E73F6F">
        <w:t>beider</w:t>
      </w:r>
      <w:r w:rsidRPr="00E73F6F">
        <w:rPr>
          <w:spacing w:val="-6"/>
        </w:rPr>
        <w:t xml:space="preserve"> </w:t>
      </w:r>
      <w:r w:rsidRPr="00E73F6F">
        <w:t>Zielgruppen</w:t>
      </w:r>
      <w:r w:rsidRPr="00E73F6F">
        <w:rPr>
          <w:spacing w:val="-5"/>
        </w:rPr>
        <w:t xml:space="preserve"> </w:t>
      </w:r>
      <w:r w:rsidRPr="00E73F6F">
        <w:t>identifizieren</w:t>
      </w:r>
      <w:r w:rsidRPr="00E73F6F">
        <w:rPr>
          <w:spacing w:val="-5"/>
        </w:rPr>
        <w:t xml:space="preserve"> </w:t>
      </w:r>
      <w:r w:rsidRPr="00E73F6F">
        <w:t>zu</w:t>
      </w:r>
      <w:r w:rsidRPr="00E73F6F">
        <w:rPr>
          <w:spacing w:val="-5"/>
        </w:rPr>
        <w:t xml:space="preserve"> </w:t>
      </w:r>
      <w:r w:rsidRPr="00E73F6F">
        <w:t>können,</w:t>
      </w:r>
      <w:r w:rsidRPr="00E73F6F">
        <w:rPr>
          <w:spacing w:val="-6"/>
        </w:rPr>
        <w:t xml:space="preserve"> </w:t>
      </w:r>
      <w:r w:rsidRPr="00E73F6F">
        <w:t>wurden</w:t>
      </w:r>
      <w:r w:rsidRPr="00E73F6F">
        <w:rPr>
          <w:spacing w:val="-5"/>
        </w:rPr>
        <w:t xml:space="preserve"> </w:t>
      </w:r>
      <w:r w:rsidRPr="00E73F6F">
        <w:t>die Länder, die nach Maßgabe makro-ökonomischer Kriterien (z.B. BIP pro Kopf/Länderrisiko) als prinzipiell geeignete Märkte gelten können, clusteranalytisch anhand zweier Kriterien gruppiert:</w:t>
      </w:r>
    </w:p>
    <w:p w14:paraId="6F4FFEBB" w14:textId="77777777" w:rsidR="00FF7799" w:rsidRPr="00E73F6F" w:rsidRDefault="00FF7799" w:rsidP="000A5184">
      <w:pPr>
        <w:pStyle w:val="StandardTextAufzhlung"/>
        <w:ind w:left="567"/>
      </w:pPr>
      <w:r w:rsidRPr="00E73F6F">
        <w:t>„Anteil</w:t>
      </w:r>
      <w:r w:rsidRPr="00E73F6F">
        <w:rPr>
          <w:spacing w:val="-1"/>
        </w:rPr>
        <w:t xml:space="preserve"> </w:t>
      </w:r>
      <w:r w:rsidRPr="00E73F6F">
        <w:t>der</w:t>
      </w:r>
      <w:r w:rsidRPr="00E73F6F">
        <w:rPr>
          <w:spacing w:val="-1"/>
        </w:rPr>
        <w:t xml:space="preserve"> </w:t>
      </w:r>
      <w:r w:rsidRPr="00E73F6F">
        <w:t>Haushalte</w:t>
      </w:r>
      <w:r w:rsidRPr="00E73F6F">
        <w:rPr>
          <w:spacing w:val="-2"/>
        </w:rPr>
        <w:t xml:space="preserve"> </w:t>
      </w:r>
      <w:r w:rsidRPr="00E73F6F">
        <w:t>mit</w:t>
      </w:r>
      <w:r w:rsidRPr="00E73F6F">
        <w:rPr>
          <w:spacing w:val="-3"/>
        </w:rPr>
        <w:t xml:space="preserve"> </w:t>
      </w:r>
      <w:r w:rsidRPr="00E73F6F">
        <w:t>Kind(ern)</w:t>
      </w:r>
      <w:r w:rsidRPr="00E73F6F">
        <w:rPr>
          <w:spacing w:val="-1"/>
        </w:rPr>
        <w:t xml:space="preserve"> </w:t>
      </w:r>
      <w:r w:rsidRPr="00E73F6F">
        <w:t>unter</w:t>
      </w:r>
      <w:r w:rsidRPr="00E73F6F">
        <w:rPr>
          <w:spacing w:val="-1"/>
        </w:rPr>
        <w:t xml:space="preserve"> </w:t>
      </w:r>
      <w:r w:rsidRPr="00E73F6F">
        <w:t>fünf</w:t>
      </w:r>
      <w:r w:rsidRPr="00E73F6F">
        <w:rPr>
          <w:spacing w:val="-1"/>
        </w:rPr>
        <w:t xml:space="preserve"> </w:t>
      </w:r>
      <w:r w:rsidRPr="00E73F6F">
        <w:t>Jahren“</w:t>
      </w:r>
      <w:r w:rsidRPr="00E73F6F">
        <w:rPr>
          <w:spacing w:val="-1"/>
        </w:rPr>
        <w:t xml:space="preserve"> </w:t>
      </w:r>
      <w:r w:rsidRPr="00E73F6F">
        <w:rPr>
          <w:spacing w:val="-2"/>
        </w:rPr>
        <w:t>sowie</w:t>
      </w:r>
    </w:p>
    <w:p w14:paraId="6AEC337B" w14:textId="77777777" w:rsidR="00FF7799" w:rsidRPr="00E73F6F" w:rsidRDefault="00FF7799" w:rsidP="000A5184">
      <w:pPr>
        <w:pStyle w:val="StandardTextAufzhlung"/>
        <w:ind w:left="567"/>
      </w:pPr>
      <w:r w:rsidRPr="00E73F6F">
        <w:t>„Anteil</w:t>
      </w:r>
      <w:r w:rsidRPr="00E73F6F">
        <w:rPr>
          <w:spacing w:val="-2"/>
        </w:rPr>
        <w:t xml:space="preserve"> </w:t>
      </w:r>
      <w:r w:rsidRPr="00E73F6F">
        <w:t>der</w:t>
      </w:r>
      <w:r w:rsidRPr="00E73F6F">
        <w:rPr>
          <w:spacing w:val="-2"/>
        </w:rPr>
        <w:t xml:space="preserve"> </w:t>
      </w:r>
      <w:r w:rsidRPr="00E73F6F">
        <w:t>über</w:t>
      </w:r>
      <w:r w:rsidRPr="00E73F6F">
        <w:rPr>
          <w:spacing w:val="-1"/>
        </w:rPr>
        <w:t xml:space="preserve"> </w:t>
      </w:r>
      <w:r w:rsidRPr="00E73F6F">
        <w:t>65-Jährigen</w:t>
      </w:r>
      <w:r w:rsidRPr="00E73F6F">
        <w:rPr>
          <w:spacing w:val="-1"/>
        </w:rPr>
        <w:t xml:space="preserve"> </w:t>
      </w:r>
      <w:r w:rsidRPr="00E73F6F">
        <w:t>an</w:t>
      </w:r>
      <w:r w:rsidRPr="00E73F6F">
        <w:rPr>
          <w:spacing w:val="-2"/>
        </w:rPr>
        <w:t xml:space="preserve"> </w:t>
      </w:r>
      <w:r w:rsidRPr="00E73F6F">
        <w:t>der</w:t>
      </w:r>
      <w:r w:rsidRPr="00E73F6F">
        <w:rPr>
          <w:spacing w:val="-2"/>
        </w:rPr>
        <w:t xml:space="preserve"> </w:t>
      </w:r>
      <w:r w:rsidRPr="00E73F6F">
        <w:t>Bevölkerung“</w:t>
      </w:r>
      <w:r w:rsidRPr="00E73F6F">
        <w:rPr>
          <w:spacing w:val="-2"/>
        </w:rPr>
        <w:t xml:space="preserve"> </w:t>
      </w:r>
      <w:r w:rsidRPr="00E73F6F">
        <w:t>(vgl.</w:t>
      </w:r>
      <w:r w:rsidRPr="00E73F6F">
        <w:rPr>
          <w:spacing w:val="1"/>
        </w:rPr>
        <w:t xml:space="preserve"> </w:t>
      </w:r>
      <w:r w:rsidRPr="00E73F6F">
        <w:t>Abb.</w:t>
      </w:r>
      <w:r w:rsidRPr="00E73F6F">
        <w:rPr>
          <w:spacing w:val="-2"/>
        </w:rPr>
        <w:t xml:space="preserve"> </w:t>
      </w:r>
      <w:r w:rsidRPr="00E73F6F">
        <w:rPr>
          <w:spacing w:val="-5"/>
        </w:rPr>
        <w:t>1).</w:t>
      </w:r>
    </w:p>
    <w:p w14:paraId="027FF717" w14:textId="77777777" w:rsidR="00FF7799" w:rsidRPr="00E73F6F" w:rsidRDefault="00FF7799" w:rsidP="000A5184">
      <w:pPr>
        <w:pStyle w:val="StandardText"/>
        <w:ind w:left="567"/>
      </w:pPr>
    </w:p>
    <w:p w14:paraId="0236D526" w14:textId="77777777" w:rsidR="00FF7799" w:rsidRPr="000A5184" w:rsidRDefault="00FF7799" w:rsidP="00B61E40">
      <w:pPr>
        <w:pStyle w:val="BeschriftungTab"/>
        <w:rPr>
          <w:i/>
          <w:iCs/>
        </w:rPr>
      </w:pPr>
      <w:r w:rsidRPr="000A5184">
        <w:rPr>
          <w:i/>
          <w:iCs/>
        </w:rPr>
        <w:t>Abb.</w:t>
      </w:r>
      <w:r w:rsidRPr="000A5184">
        <w:rPr>
          <w:i/>
          <w:iCs/>
          <w:spacing w:val="-4"/>
        </w:rPr>
        <w:t xml:space="preserve"> </w:t>
      </w:r>
      <w:r w:rsidRPr="000A5184">
        <w:rPr>
          <w:i/>
          <w:iCs/>
        </w:rPr>
        <w:t>1:</w:t>
      </w:r>
      <w:r w:rsidRPr="000A5184">
        <w:rPr>
          <w:i/>
          <w:iCs/>
          <w:spacing w:val="-5"/>
        </w:rPr>
        <w:t xml:space="preserve"> </w:t>
      </w:r>
      <w:r w:rsidRPr="000A5184">
        <w:rPr>
          <w:i/>
          <w:iCs/>
        </w:rPr>
        <w:t>Länder-Zielgruppen</w:t>
      </w:r>
      <w:r w:rsidRPr="000A5184">
        <w:rPr>
          <w:i/>
          <w:iCs/>
          <w:spacing w:val="-2"/>
        </w:rPr>
        <w:t xml:space="preserve"> </w:t>
      </w:r>
      <w:r w:rsidRPr="000A5184">
        <w:rPr>
          <w:i/>
          <w:iCs/>
        </w:rPr>
        <w:t>mit</w:t>
      </w:r>
      <w:r w:rsidRPr="000A5184">
        <w:rPr>
          <w:i/>
          <w:iCs/>
          <w:spacing w:val="-5"/>
        </w:rPr>
        <w:t xml:space="preserve"> </w:t>
      </w:r>
      <w:r w:rsidRPr="000A5184">
        <w:rPr>
          <w:i/>
          <w:iCs/>
        </w:rPr>
        <w:t>vergleichbaren</w:t>
      </w:r>
      <w:r w:rsidRPr="000A5184">
        <w:rPr>
          <w:i/>
          <w:iCs/>
          <w:spacing w:val="-4"/>
        </w:rPr>
        <w:t xml:space="preserve"> </w:t>
      </w:r>
      <w:r w:rsidRPr="000A5184">
        <w:rPr>
          <w:i/>
          <w:iCs/>
        </w:rPr>
        <w:t>Anteilen</w:t>
      </w:r>
      <w:r w:rsidRPr="000A5184">
        <w:rPr>
          <w:i/>
          <w:iCs/>
          <w:spacing w:val="-2"/>
        </w:rPr>
        <w:t xml:space="preserve"> </w:t>
      </w:r>
      <w:r w:rsidRPr="000A5184">
        <w:rPr>
          <w:i/>
          <w:iCs/>
        </w:rPr>
        <w:t>an</w:t>
      </w:r>
      <w:r w:rsidRPr="000A5184">
        <w:rPr>
          <w:i/>
          <w:iCs/>
          <w:spacing w:val="-2"/>
        </w:rPr>
        <w:t xml:space="preserve"> </w:t>
      </w:r>
      <w:r w:rsidRPr="000A5184">
        <w:rPr>
          <w:i/>
          <w:iCs/>
        </w:rPr>
        <w:t>Kleinkindern</w:t>
      </w:r>
      <w:r w:rsidRPr="000A5184">
        <w:rPr>
          <w:i/>
          <w:iCs/>
          <w:spacing w:val="-5"/>
        </w:rPr>
        <w:t xml:space="preserve"> </w:t>
      </w:r>
      <w:r w:rsidRPr="000A5184">
        <w:rPr>
          <w:i/>
          <w:iCs/>
        </w:rPr>
        <w:t xml:space="preserve">und </w:t>
      </w:r>
      <w:r w:rsidRPr="000A5184">
        <w:rPr>
          <w:i/>
          <w:iCs/>
          <w:spacing w:val="-2"/>
        </w:rPr>
        <w:t xml:space="preserve">Senioren </w:t>
      </w:r>
    </w:p>
    <w:p w14:paraId="0C9BB13B" w14:textId="77777777" w:rsidR="00FF7799" w:rsidRPr="00E73F6F" w:rsidRDefault="00A12E5D" w:rsidP="00862DBA">
      <w:pPr>
        <w:rPr>
          <w:sz w:val="24"/>
          <w:szCs w:val="24"/>
        </w:rPr>
      </w:pPr>
      <w:r>
        <w:rPr>
          <w:noProof/>
          <w:sz w:val="24"/>
          <w:szCs w:val="24"/>
          <w:lang w:eastAsia="de-DE"/>
        </w:rPr>
        <w:drawing>
          <wp:inline distT="0" distB="0" distL="0" distR="0" wp14:anchorId="167AAC64" wp14:editId="7B343B3C">
            <wp:extent cx="5629275" cy="3270942"/>
            <wp:effectExtent l="0" t="0" r="0" b="571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5632350" cy="3272729"/>
                    </a:xfrm>
                    <a:prstGeom prst="rect">
                      <a:avLst/>
                    </a:prstGeom>
                    <a:noFill/>
                  </pic:spPr>
                </pic:pic>
              </a:graphicData>
            </a:graphic>
          </wp:inline>
        </w:drawing>
      </w:r>
    </w:p>
    <w:p w14:paraId="4BEAE52B" w14:textId="77777777" w:rsidR="00FF7799" w:rsidRPr="00E73F6F" w:rsidRDefault="00FF7799" w:rsidP="00B61E40">
      <w:pPr>
        <w:pStyle w:val="Quellen"/>
      </w:pPr>
      <w:r w:rsidRPr="00E73F6F">
        <w:rPr>
          <w:spacing w:val="-2"/>
        </w:rPr>
        <w:t>Quelle:</w:t>
      </w:r>
      <w:r w:rsidRPr="00E73F6F">
        <w:tab/>
        <w:t>Müller/Kornmeier</w:t>
      </w:r>
      <w:r w:rsidRPr="00E73F6F">
        <w:rPr>
          <w:spacing w:val="-3"/>
        </w:rPr>
        <w:t xml:space="preserve"> </w:t>
      </w:r>
      <w:r w:rsidRPr="00E73F6F">
        <w:t>(2002,</w:t>
      </w:r>
      <w:r w:rsidRPr="00E73F6F">
        <w:rPr>
          <w:spacing w:val="-1"/>
        </w:rPr>
        <w:t xml:space="preserve"> </w:t>
      </w:r>
      <w:r w:rsidRPr="00E73F6F">
        <w:rPr>
          <w:spacing w:val="-2"/>
        </w:rPr>
        <w:t>S.194).</w:t>
      </w:r>
    </w:p>
    <w:p w14:paraId="0D667271" w14:textId="77777777" w:rsidR="00FF7799" w:rsidRPr="00E73F6F" w:rsidRDefault="00FF7799" w:rsidP="00B61E40">
      <w:pPr>
        <w:pStyle w:val="StandardText"/>
      </w:pPr>
    </w:p>
    <w:p w14:paraId="2E4115D2" w14:textId="77777777" w:rsidR="00FF7799" w:rsidRPr="00E73F6F" w:rsidRDefault="00FF7799" w:rsidP="00B61E40">
      <w:pPr>
        <w:pStyle w:val="StandardText"/>
      </w:pPr>
      <w:r w:rsidRPr="00E73F6F">
        <w:t>Auf dieser Analyseebene lässt sich jedoch noch nicht beurteilen, ob eine Bearbeitung aller Märkte eines Clusters Erfolg verspricht. Da objektive Indikatoren häufig nur einen schwachen Bezug zum realen Kaufverhalten aufweisen</w:t>
      </w:r>
      <w:r w:rsidRPr="00E73F6F">
        <w:rPr>
          <w:spacing w:val="-2"/>
        </w:rPr>
        <w:t xml:space="preserve"> </w:t>
      </w:r>
      <w:r w:rsidRPr="00E73F6F">
        <w:t>und</w:t>
      </w:r>
      <w:r w:rsidRPr="00E73F6F">
        <w:rPr>
          <w:spacing w:val="-2"/>
        </w:rPr>
        <w:t xml:space="preserve"> </w:t>
      </w:r>
      <w:r w:rsidRPr="00E73F6F">
        <w:t>bspw.</w:t>
      </w:r>
      <w:r w:rsidRPr="00E73F6F">
        <w:rPr>
          <w:spacing w:val="-2"/>
        </w:rPr>
        <w:t xml:space="preserve"> </w:t>
      </w:r>
      <w:r w:rsidRPr="00E73F6F">
        <w:t>eine</w:t>
      </w:r>
      <w:r w:rsidRPr="00E73F6F">
        <w:rPr>
          <w:spacing w:val="-3"/>
        </w:rPr>
        <w:t xml:space="preserve"> </w:t>
      </w:r>
      <w:r w:rsidRPr="00E73F6F">
        <w:t>standardisierte</w:t>
      </w:r>
      <w:r w:rsidRPr="00E73F6F">
        <w:rPr>
          <w:spacing w:val="-3"/>
        </w:rPr>
        <w:t xml:space="preserve"> </w:t>
      </w:r>
      <w:r w:rsidRPr="00E73F6F">
        <w:t>Kommunikationsstrategie</w:t>
      </w:r>
      <w:r w:rsidRPr="00E73F6F">
        <w:rPr>
          <w:spacing w:val="-3"/>
        </w:rPr>
        <w:t xml:space="preserve"> </w:t>
      </w:r>
      <w:r w:rsidRPr="00E73F6F">
        <w:t>im</w:t>
      </w:r>
      <w:r w:rsidRPr="00E73F6F">
        <w:rPr>
          <w:spacing w:val="-3"/>
        </w:rPr>
        <w:t xml:space="preserve"> </w:t>
      </w:r>
      <w:r w:rsidRPr="00E73F6F">
        <w:t>gewählten Beispiel aufgrund des kulturspezifischen Umgangs der Rezipienten mit dem Gefühl der Scham wenig Erfolg verspräche, muss die Zielgruppenbildung weiter verfeinert werden.</w:t>
      </w:r>
    </w:p>
    <w:p w14:paraId="11EED8AE" w14:textId="77777777" w:rsidR="00FF7799" w:rsidRPr="00E73F6F" w:rsidRDefault="00FF7799" w:rsidP="00B61E40">
      <w:pPr>
        <w:pStyle w:val="StandardText"/>
      </w:pPr>
    </w:p>
    <w:p w14:paraId="12FB5851" w14:textId="77777777" w:rsidR="00FF7799" w:rsidRPr="00A12E5D" w:rsidRDefault="00FF7799" w:rsidP="00B61E40">
      <w:pPr>
        <w:pStyle w:val="StandardTextkursiv"/>
        <w:rPr>
          <w:i w:val="0"/>
        </w:rPr>
      </w:pPr>
      <w:r w:rsidRPr="00A12E5D">
        <w:rPr>
          <w:i w:val="0"/>
        </w:rPr>
        <w:lastRenderedPageBreak/>
        <w:t>2.2 Subjektive Segmentierungsmerkmale</w:t>
      </w:r>
    </w:p>
    <w:p w14:paraId="4F77CB61" w14:textId="77777777" w:rsidR="00FF7799" w:rsidRPr="00A12E5D" w:rsidRDefault="00FF7799" w:rsidP="00B61E40">
      <w:pPr>
        <w:pStyle w:val="StandardText"/>
      </w:pPr>
      <w:r w:rsidRPr="00A12E5D">
        <w:t>Als subjektive Segmentierungskriterien kommen</w:t>
      </w:r>
      <w:r w:rsidRPr="00A12E5D">
        <w:rPr>
          <w:spacing w:val="-1"/>
        </w:rPr>
        <w:t xml:space="preserve"> </w:t>
      </w:r>
      <w:r w:rsidRPr="00A12E5D">
        <w:t>prinzipiell</w:t>
      </w:r>
      <w:r w:rsidRPr="00A12E5D">
        <w:rPr>
          <w:spacing w:val="-4"/>
        </w:rPr>
        <w:t xml:space="preserve"> </w:t>
      </w:r>
      <w:r w:rsidRPr="00A12E5D">
        <w:t>alle</w:t>
      </w:r>
      <w:r w:rsidRPr="00A12E5D">
        <w:rPr>
          <w:spacing w:val="40"/>
        </w:rPr>
        <w:t xml:space="preserve"> </w:t>
      </w:r>
      <w:r w:rsidR="00A12E5D">
        <w:rPr>
          <w:b/>
        </w:rPr>
        <w:sym w:font="Symbol" w:char="F0DE"/>
      </w:r>
      <w:r w:rsidR="00A12E5D">
        <w:rPr>
          <w:b/>
        </w:rPr>
        <w:t xml:space="preserve"> </w:t>
      </w:r>
      <w:r w:rsidRPr="00A12E5D">
        <w:t xml:space="preserve"> Konstrukte</w:t>
      </w:r>
      <w:r w:rsidRPr="00A12E5D">
        <w:rPr>
          <w:spacing w:val="-4"/>
        </w:rPr>
        <w:t xml:space="preserve"> </w:t>
      </w:r>
      <w:r w:rsidRPr="00A12E5D">
        <w:t>der</w:t>
      </w:r>
      <w:r w:rsidRPr="00A12E5D">
        <w:rPr>
          <w:spacing w:val="-2"/>
        </w:rPr>
        <w:t xml:space="preserve"> </w:t>
      </w:r>
      <w:r w:rsidRPr="00A12E5D">
        <w:t>Verhaltensforschung</w:t>
      </w:r>
      <w:r w:rsidRPr="00A12E5D">
        <w:rPr>
          <w:spacing w:val="-1"/>
        </w:rPr>
        <w:t xml:space="preserve"> </w:t>
      </w:r>
      <w:r w:rsidRPr="00A12E5D">
        <w:t>in</w:t>
      </w:r>
      <w:r w:rsidRPr="00A12E5D">
        <w:rPr>
          <w:spacing w:val="-3"/>
        </w:rPr>
        <w:t xml:space="preserve"> </w:t>
      </w:r>
      <w:r w:rsidRPr="00A12E5D">
        <w:t>Betracht</w:t>
      </w:r>
      <w:r w:rsidRPr="00A12E5D">
        <w:rPr>
          <w:spacing w:val="-1"/>
        </w:rPr>
        <w:t xml:space="preserve"> </w:t>
      </w:r>
      <w:r w:rsidRPr="00A12E5D">
        <w:t>(insb. Einstellungen, Akzeptanz oder Verhaltensabsicht).</w:t>
      </w:r>
    </w:p>
    <w:p w14:paraId="41C22BAB" w14:textId="77777777" w:rsidR="00FF7799" w:rsidRPr="00A12E5D" w:rsidRDefault="00FF7799" w:rsidP="00862DBA">
      <w:pPr>
        <w:spacing w:before="10"/>
        <w:rPr>
          <w:sz w:val="24"/>
          <w:szCs w:val="24"/>
        </w:rPr>
      </w:pPr>
    </w:p>
    <w:p w14:paraId="51121A62" w14:textId="77777777" w:rsidR="00FF7799" w:rsidRPr="000A5184" w:rsidRDefault="00FF7799" w:rsidP="00B61E40">
      <w:pPr>
        <w:pStyle w:val="StandardTextkursiv"/>
        <w:rPr>
          <w:iCs/>
        </w:rPr>
      </w:pPr>
      <w:r w:rsidRPr="000A5184">
        <w:rPr>
          <w:iCs/>
        </w:rPr>
        <w:t>Einstellungen</w:t>
      </w:r>
    </w:p>
    <w:p w14:paraId="3E8B0495" w14:textId="77777777" w:rsidR="00FF7799" w:rsidRPr="00E73F6F" w:rsidRDefault="00FF7799" w:rsidP="00B61E40">
      <w:pPr>
        <w:pStyle w:val="StandardText"/>
      </w:pPr>
      <w:r w:rsidRPr="00E73F6F">
        <w:t>Yavas</w:t>
      </w:r>
      <w:r w:rsidRPr="00E73F6F">
        <w:rPr>
          <w:spacing w:val="-6"/>
        </w:rPr>
        <w:t xml:space="preserve"> </w:t>
      </w:r>
      <w:r w:rsidRPr="00E73F6F">
        <w:t>et</w:t>
      </w:r>
      <w:r w:rsidRPr="00E73F6F">
        <w:rPr>
          <w:spacing w:val="-5"/>
        </w:rPr>
        <w:t xml:space="preserve"> </w:t>
      </w:r>
      <w:r w:rsidRPr="00E73F6F">
        <w:t>al.</w:t>
      </w:r>
      <w:r w:rsidRPr="00E73F6F">
        <w:rPr>
          <w:spacing w:val="-5"/>
        </w:rPr>
        <w:t xml:space="preserve"> </w:t>
      </w:r>
      <w:r w:rsidRPr="00E73F6F">
        <w:t>(1992)</w:t>
      </w:r>
      <w:r w:rsidRPr="00E73F6F">
        <w:rPr>
          <w:spacing w:val="-5"/>
        </w:rPr>
        <w:t xml:space="preserve"> </w:t>
      </w:r>
      <w:r w:rsidRPr="00E73F6F">
        <w:t>haben</w:t>
      </w:r>
      <w:r w:rsidRPr="00E73F6F">
        <w:rPr>
          <w:spacing w:val="-4"/>
        </w:rPr>
        <w:t xml:space="preserve"> </w:t>
      </w:r>
      <w:r w:rsidRPr="00E73F6F">
        <w:t>mit</w:t>
      </w:r>
      <w:r w:rsidRPr="00E73F6F">
        <w:rPr>
          <w:spacing w:val="-5"/>
        </w:rPr>
        <w:t xml:space="preserve"> </w:t>
      </w:r>
      <w:r w:rsidRPr="00E73F6F">
        <w:t>Blick</w:t>
      </w:r>
      <w:r w:rsidRPr="00E73F6F">
        <w:rPr>
          <w:spacing w:val="-4"/>
        </w:rPr>
        <w:t xml:space="preserve"> </w:t>
      </w:r>
      <w:r w:rsidRPr="00E73F6F">
        <w:t>auf</w:t>
      </w:r>
      <w:r w:rsidRPr="00E73F6F">
        <w:rPr>
          <w:spacing w:val="-8"/>
        </w:rPr>
        <w:t xml:space="preserve"> </w:t>
      </w:r>
      <w:r w:rsidRPr="00E73F6F">
        <w:t>den</w:t>
      </w:r>
      <w:r w:rsidRPr="00E73F6F">
        <w:rPr>
          <w:spacing w:val="-7"/>
        </w:rPr>
        <w:t xml:space="preserve"> </w:t>
      </w:r>
      <w:r w:rsidRPr="00E73F6F">
        <w:t>Kauf</w:t>
      </w:r>
      <w:r w:rsidRPr="00E73F6F">
        <w:rPr>
          <w:spacing w:val="-5"/>
        </w:rPr>
        <w:t xml:space="preserve"> </w:t>
      </w:r>
      <w:r w:rsidRPr="00E73F6F">
        <w:t>von</w:t>
      </w:r>
      <w:r w:rsidRPr="00E73F6F">
        <w:rPr>
          <w:spacing w:val="-4"/>
        </w:rPr>
        <w:t xml:space="preserve"> </w:t>
      </w:r>
      <w:r w:rsidRPr="00E73F6F">
        <w:t>Seife</w:t>
      </w:r>
      <w:r w:rsidRPr="00E73F6F">
        <w:rPr>
          <w:spacing w:val="-8"/>
        </w:rPr>
        <w:t xml:space="preserve"> </w:t>
      </w:r>
      <w:r w:rsidRPr="00E73F6F">
        <w:t>und Zahncreme von Konsumenten aus den USA, Mexiko, den Niederlanden, der Türkei, Thailand und Saudi-Arabien deren „wahrgenommenes Risiko" und deren „Markenloyalität“ erfragt. Die clusteranalytisch gewonnene Vier-Gruppen- Lösung</w:t>
      </w:r>
      <w:r w:rsidRPr="00E73F6F">
        <w:rPr>
          <w:spacing w:val="37"/>
        </w:rPr>
        <w:t xml:space="preserve"> </w:t>
      </w:r>
      <w:r w:rsidRPr="00E73F6F">
        <w:t>lässt</w:t>
      </w:r>
      <w:r w:rsidRPr="00E73F6F">
        <w:rPr>
          <w:spacing w:val="37"/>
        </w:rPr>
        <w:t xml:space="preserve"> </w:t>
      </w:r>
      <w:r w:rsidRPr="00E73F6F">
        <w:t>sich</w:t>
      </w:r>
      <w:r w:rsidRPr="00E73F6F">
        <w:rPr>
          <w:spacing w:val="37"/>
        </w:rPr>
        <w:t xml:space="preserve"> </w:t>
      </w:r>
      <w:r w:rsidRPr="00E73F6F">
        <w:t>als</w:t>
      </w:r>
      <w:r w:rsidRPr="00E73F6F">
        <w:rPr>
          <w:spacing w:val="37"/>
        </w:rPr>
        <w:t xml:space="preserve"> </w:t>
      </w:r>
      <w:r w:rsidRPr="00E73F6F">
        <w:t>Portfolio</w:t>
      </w:r>
      <w:r w:rsidRPr="00E73F6F">
        <w:rPr>
          <w:spacing w:val="37"/>
        </w:rPr>
        <w:t xml:space="preserve"> </w:t>
      </w:r>
      <w:r w:rsidRPr="00E73F6F">
        <w:t>darstellen,</w:t>
      </w:r>
      <w:r w:rsidRPr="00E73F6F">
        <w:rPr>
          <w:spacing w:val="36"/>
        </w:rPr>
        <w:t xml:space="preserve"> </w:t>
      </w:r>
      <w:r w:rsidRPr="00E73F6F">
        <w:t>wobei</w:t>
      </w:r>
      <w:r w:rsidRPr="00E73F6F">
        <w:rPr>
          <w:spacing w:val="36"/>
        </w:rPr>
        <w:t xml:space="preserve"> </w:t>
      </w:r>
      <w:r w:rsidRPr="00E73F6F">
        <w:t>die</w:t>
      </w:r>
      <w:r w:rsidRPr="00E73F6F">
        <w:rPr>
          <w:spacing w:val="35"/>
        </w:rPr>
        <w:t xml:space="preserve"> </w:t>
      </w:r>
      <w:r w:rsidRPr="00E73F6F">
        <w:t>Zielgruppe</w:t>
      </w:r>
      <w:r w:rsidRPr="00E73F6F">
        <w:rPr>
          <w:spacing w:val="36"/>
        </w:rPr>
        <w:t xml:space="preserve"> </w:t>
      </w:r>
      <w:r w:rsidRPr="00E73F6F">
        <w:rPr>
          <w:spacing w:val="-5"/>
        </w:rPr>
        <w:t xml:space="preserve">der </w:t>
      </w:r>
      <w:r w:rsidRPr="00E73F6F">
        <w:t xml:space="preserve">„Unberechenbaren“ das geringste wahrgenommene Kaufrisiko, aber auch die geringste Markenloyalität (hinsichtlich beider Produkte) aufweist. </w:t>
      </w:r>
      <w:r w:rsidR="00F028A1">
        <w:t xml:space="preserve">Wie diese Wissenschaftler gezeigt haben, leben überproportional viele „treue Zahncreme-Käufer“ </w:t>
      </w:r>
      <w:r w:rsidRPr="00E73F6F">
        <w:t>in den Niederlanden, Mexiko und Saudi- Arabien</w:t>
      </w:r>
      <w:r w:rsidRPr="00E73F6F">
        <w:rPr>
          <w:spacing w:val="-12"/>
        </w:rPr>
        <w:t xml:space="preserve"> </w:t>
      </w:r>
      <w:r w:rsidRPr="00E73F6F">
        <w:t>(=</w:t>
      </w:r>
      <w:r w:rsidRPr="00E73F6F">
        <w:rPr>
          <w:spacing w:val="-11"/>
        </w:rPr>
        <w:t xml:space="preserve"> </w:t>
      </w:r>
      <w:r w:rsidRPr="00E73F6F">
        <w:t>38-48%)</w:t>
      </w:r>
      <w:r w:rsidRPr="00E73F6F">
        <w:rPr>
          <w:spacing w:val="-11"/>
        </w:rPr>
        <w:t xml:space="preserve"> </w:t>
      </w:r>
      <w:r w:rsidRPr="00E73F6F">
        <w:t>und</w:t>
      </w:r>
      <w:r w:rsidRPr="00E73F6F">
        <w:rPr>
          <w:spacing w:val="-11"/>
        </w:rPr>
        <w:t xml:space="preserve"> </w:t>
      </w:r>
      <w:r w:rsidRPr="00E73F6F">
        <w:t>überproportional</w:t>
      </w:r>
      <w:r w:rsidRPr="00E73F6F">
        <w:rPr>
          <w:spacing w:val="-12"/>
        </w:rPr>
        <w:t xml:space="preserve"> </w:t>
      </w:r>
      <w:r w:rsidRPr="00E73F6F">
        <w:t>viele</w:t>
      </w:r>
      <w:r w:rsidRPr="00E73F6F">
        <w:rPr>
          <w:spacing w:val="-11"/>
        </w:rPr>
        <w:t xml:space="preserve"> </w:t>
      </w:r>
      <w:r w:rsidRPr="00E73F6F">
        <w:t>„Zweifler“</w:t>
      </w:r>
      <w:r w:rsidRPr="00E73F6F">
        <w:rPr>
          <w:spacing w:val="-11"/>
        </w:rPr>
        <w:t xml:space="preserve"> </w:t>
      </w:r>
      <w:r w:rsidRPr="00E73F6F">
        <w:t>in</w:t>
      </w:r>
      <w:r w:rsidRPr="00E73F6F">
        <w:rPr>
          <w:spacing w:val="-11"/>
        </w:rPr>
        <w:t xml:space="preserve"> </w:t>
      </w:r>
      <w:r w:rsidRPr="00E73F6F">
        <w:t>der</w:t>
      </w:r>
      <w:r w:rsidRPr="00E73F6F">
        <w:rPr>
          <w:spacing w:val="-11"/>
        </w:rPr>
        <w:t xml:space="preserve"> </w:t>
      </w:r>
      <w:r w:rsidRPr="00E73F6F">
        <w:t>Türkei,</w:t>
      </w:r>
      <w:r w:rsidRPr="00E73F6F">
        <w:rPr>
          <w:spacing w:val="-11"/>
        </w:rPr>
        <w:t xml:space="preserve"> </w:t>
      </w:r>
      <w:r w:rsidRPr="00E73F6F">
        <w:t>den</w:t>
      </w:r>
      <w:r w:rsidRPr="00E73F6F">
        <w:rPr>
          <w:spacing w:val="-10"/>
        </w:rPr>
        <w:t xml:space="preserve"> </w:t>
      </w:r>
      <w:r w:rsidRPr="00E73F6F">
        <w:t>USA und Thailand (= 35-46%).</w:t>
      </w:r>
    </w:p>
    <w:p w14:paraId="763B9FF1" w14:textId="77777777" w:rsidR="00FF7799" w:rsidRPr="00E73F6F" w:rsidRDefault="00FF7799" w:rsidP="00B61E40">
      <w:pPr>
        <w:pStyle w:val="StandardText"/>
      </w:pPr>
    </w:p>
    <w:p w14:paraId="6873DC41" w14:textId="77777777" w:rsidR="00FF7799" w:rsidRPr="000A5184" w:rsidRDefault="00FF7799" w:rsidP="00B61E40">
      <w:pPr>
        <w:pStyle w:val="StandardTextkursiv"/>
        <w:rPr>
          <w:iCs/>
        </w:rPr>
      </w:pPr>
      <w:r w:rsidRPr="000A5184">
        <w:rPr>
          <w:iCs/>
        </w:rPr>
        <w:t>Lebensstil</w:t>
      </w:r>
    </w:p>
    <w:p w14:paraId="3FD5A59F" w14:textId="77777777" w:rsidR="00FF7799" w:rsidRPr="00F028A1" w:rsidRDefault="00FF7799" w:rsidP="00B61E40">
      <w:pPr>
        <w:pStyle w:val="StandardText"/>
      </w:pPr>
      <w:r w:rsidRPr="00F028A1">
        <w:t>Ein Teil der Konsumenten verhält sich nicht immer so, wie man dies bspw. aufgrund ihres gesellschaftlichen Status erwarten könnte: Im Rahmen der psychographischen Segmentierung eröffnet das Life Style-Konzept den bislang besten Ausweg aus dem durch dieses hybride Kaufverhalten erwachsene Pro</w:t>
      </w:r>
      <w:r w:rsidR="00F028A1">
        <w:t xml:space="preserve">gnosedilemma. Der individuelle </w:t>
      </w:r>
      <w:r w:rsidR="00F028A1">
        <w:sym w:font="Symbol" w:char="F0DE"/>
      </w:r>
      <w:r w:rsidR="00F028A1">
        <w:t xml:space="preserve"> </w:t>
      </w:r>
      <w:r w:rsidRPr="00F028A1">
        <w:t>Lebensstil wird durch Demographika und Persönlichkeit</w:t>
      </w:r>
      <w:r w:rsidRPr="00F028A1">
        <w:rPr>
          <w:spacing w:val="-12"/>
        </w:rPr>
        <w:t xml:space="preserve"> </w:t>
      </w:r>
      <w:r w:rsidRPr="00F028A1">
        <w:t>ebenso</w:t>
      </w:r>
      <w:r w:rsidRPr="00F028A1">
        <w:rPr>
          <w:spacing w:val="-11"/>
        </w:rPr>
        <w:t xml:space="preserve"> </w:t>
      </w:r>
      <w:r w:rsidRPr="00F028A1">
        <w:t>beeinflusst</w:t>
      </w:r>
      <w:r w:rsidRPr="00F028A1">
        <w:rPr>
          <w:spacing w:val="-11"/>
        </w:rPr>
        <w:t xml:space="preserve"> </w:t>
      </w:r>
      <w:r w:rsidRPr="00F028A1">
        <w:t>wie</w:t>
      </w:r>
      <w:r w:rsidRPr="00F028A1">
        <w:rPr>
          <w:spacing w:val="-11"/>
        </w:rPr>
        <w:t xml:space="preserve"> </w:t>
      </w:r>
      <w:r w:rsidRPr="00F028A1">
        <w:t>durch</w:t>
      </w:r>
      <w:r w:rsidRPr="00F028A1">
        <w:rPr>
          <w:spacing w:val="-12"/>
        </w:rPr>
        <w:t xml:space="preserve"> </w:t>
      </w:r>
      <w:r w:rsidRPr="00F028A1">
        <w:t>die</w:t>
      </w:r>
      <w:r w:rsidRPr="00F028A1">
        <w:rPr>
          <w:spacing w:val="-11"/>
        </w:rPr>
        <w:t xml:space="preserve"> </w:t>
      </w:r>
      <w:r w:rsidRPr="00F028A1">
        <w:t>Landeskultur.</w:t>
      </w:r>
      <w:r w:rsidRPr="00F028A1">
        <w:rPr>
          <w:spacing w:val="-11"/>
        </w:rPr>
        <w:t xml:space="preserve"> </w:t>
      </w:r>
      <w:r w:rsidRPr="00F028A1">
        <w:t>Er</w:t>
      </w:r>
      <w:r w:rsidRPr="00F028A1">
        <w:rPr>
          <w:spacing w:val="-11"/>
        </w:rPr>
        <w:t xml:space="preserve"> </w:t>
      </w:r>
      <w:r w:rsidRPr="00F028A1">
        <w:t>ist</w:t>
      </w:r>
      <w:r w:rsidRPr="00F028A1">
        <w:rPr>
          <w:spacing w:val="-12"/>
        </w:rPr>
        <w:t xml:space="preserve"> </w:t>
      </w:r>
      <w:r w:rsidRPr="00F028A1">
        <w:t>der</w:t>
      </w:r>
      <w:r w:rsidRPr="00F028A1">
        <w:rPr>
          <w:spacing w:val="-11"/>
        </w:rPr>
        <w:t xml:space="preserve"> </w:t>
      </w:r>
      <w:r w:rsidRPr="00F028A1">
        <w:t>(sichtbare) Ausdruck von wirtschaftlichen Veränderungen und sozialem Wertewandel. Für das Marketing ist der Lebensstil von Interesse, weil er mit charakteristischen Interessen und konkreten Verhaltensweisen (z.B. Kauf-, Verbrauchs-, Freizeit- und Mediaverhalten) einhergeht.</w:t>
      </w:r>
    </w:p>
    <w:p w14:paraId="023F8FD8" w14:textId="77777777" w:rsidR="00FF7799" w:rsidRPr="00F028A1" w:rsidRDefault="00FF7799" w:rsidP="00B61E40">
      <w:pPr>
        <w:pStyle w:val="StandardText"/>
      </w:pPr>
      <w:r w:rsidRPr="00F028A1">
        <w:t>Im Zentrum der Life Style-Ansätze steht die Suche nach länderübergreifenden Zielgruppen,</w:t>
      </w:r>
      <w:r w:rsidRPr="00F028A1">
        <w:rPr>
          <w:spacing w:val="-10"/>
        </w:rPr>
        <w:t xml:space="preserve"> </w:t>
      </w:r>
      <w:r w:rsidRPr="00F028A1">
        <w:t>die</w:t>
      </w:r>
      <w:r w:rsidRPr="00F028A1">
        <w:rPr>
          <w:spacing w:val="-8"/>
        </w:rPr>
        <w:t xml:space="preserve"> </w:t>
      </w:r>
      <w:r w:rsidRPr="00F028A1">
        <w:t>sich</w:t>
      </w:r>
      <w:r w:rsidRPr="00F028A1">
        <w:rPr>
          <w:spacing w:val="-9"/>
        </w:rPr>
        <w:t xml:space="preserve"> </w:t>
      </w:r>
      <w:r w:rsidRPr="00F028A1">
        <w:t>psychographisch</w:t>
      </w:r>
      <w:r w:rsidRPr="00F028A1">
        <w:rPr>
          <w:spacing w:val="-9"/>
        </w:rPr>
        <w:t xml:space="preserve"> </w:t>
      </w:r>
      <w:r w:rsidRPr="00F028A1">
        <w:t>beschreiben</w:t>
      </w:r>
      <w:r w:rsidRPr="00F028A1">
        <w:rPr>
          <w:spacing w:val="-7"/>
        </w:rPr>
        <w:t xml:space="preserve"> </w:t>
      </w:r>
      <w:r w:rsidRPr="00F028A1">
        <w:t>lassen,</w:t>
      </w:r>
      <w:r w:rsidRPr="00F028A1">
        <w:rPr>
          <w:spacing w:val="-9"/>
        </w:rPr>
        <w:t xml:space="preserve"> </w:t>
      </w:r>
      <w:r w:rsidRPr="00F028A1">
        <w:t>da</w:t>
      </w:r>
      <w:r w:rsidRPr="00F028A1">
        <w:rPr>
          <w:spacing w:val="-8"/>
        </w:rPr>
        <w:t xml:space="preserve"> </w:t>
      </w:r>
      <w:r w:rsidRPr="00F028A1">
        <w:t>sie</w:t>
      </w:r>
      <w:r w:rsidRPr="00F028A1">
        <w:rPr>
          <w:spacing w:val="-11"/>
        </w:rPr>
        <w:t xml:space="preserve"> </w:t>
      </w:r>
      <w:r w:rsidRPr="00F028A1">
        <w:t>hinsichtlich</w:t>
      </w:r>
      <w:r w:rsidRPr="00F028A1">
        <w:rPr>
          <w:spacing w:val="-9"/>
        </w:rPr>
        <w:t xml:space="preserve"> </w:t>
      </w:r>
      <w:r w:rsidRPr="00F028A1">
        <w:t>ihrer Werte, Einstellungen, Interessen und konsumbezogenen Verhaltensweisen homogen</w:t>
      </w:r>
      <w:r w:rsidRPr="00F028A1">
        <w:rPr>
          <w:spacing w:val="-7"/>
        </w:rPr>
        <w:t xml:space="preserve"> </w:t>
      </w:r>
      <w:r w:rsidRPr="00F028A1">
        <w:t>sind.</w:t>
      </w:r>
      <w:r w:rsidRPr="00F028A1">
        <w:rPr>
          <w:spacing w:val="-10"/>
        </w:rPr>
        <w:t xml:space="preserve"> </w:t>
      </w:r>
      <w:r w:rsidRPr="00F028A1">
        <w:t>Europaweit</w:t>
      </w:r>
      <w:r w:rsidRPr="00F028A1">
        <w:rPr>
          <w:spacing w:val="-7"/>
        </w:rPr>
        <w:t xml:space="preserve"> </w:t>
      </w:r>
      <w:r w:rsidRPr="00F028A1">
        <w:t>sind</w:t>
      </w:r>
      <w:r w:rsidRPr="00F028A1">
        <w:rPr>
          <w:spacing w:val="-7"/>
        </w:rPr>
        <w:t xml:space="preserve"> </w:t>
      </w:r>
      <w:r w:rsidRPr="00F028A1">
        <w:t>zwei</w:t>
      </w:r>
      <w:r w:rsidRPr="00F028A1">
        <w:rPr>
          <w:spacing w:val="-7"/>
        </w:rPr>
        <w:t xml:space="preserve"> </w:t>
      </w:r>
      <w:r w:rsidRPr="00F028A1">
        <w:t>Lebensstilanalysen</w:t>
      </w:r>
      <w:r w:rsidRPr="00F028A1">
        <w:rPr>
          <w:spacing w:val="-9"/>
        </w:rPr>
        <w:t xml:space="preserve"> </w:t>
      </w:r>
      <w:r w:rsidRPr="00F028A1">
        <w:t>von</w:t>
      </w:r>
      <w:r w:rsidRPr="00F028A1">
        <w:rPr>
          <w:spacing w:val="-7"/>
        </w:rPr>
        <w:t xml:space="preserve"> </w:t>
      </w:r>
      <w:r w:rsidRPr="00F028A1">
        <w:t>Bedeutung:</w:t>
      </w:r>
      <w:r w:rsidRPr="00F028A1">
        <w:rPr>
          <w:spacing w:val="-7"/>
        </w:rPr>
        <w:t xml:space="preserve"> </w:t>
      </w:r>
      <w:r w:rsidRPr="00F028A1">
        <w:t>Die</w:t>
      </w:r>
      <w:r w:rsidRPr="00F028A1">
        <w:rPr>
          <w:spacing w:val="-11"/>
        </w:rPr>
        <w:t xml:space="preserve"> </w:t>
      </w:r>
      <w:r w:rsidRPr="00F028A1">
        <w:t>vom Centre</w:t>
      </w:r>
      <w:r w:rsidRPr="00F028A1">
        <w:rPr>
          <w:spacing w:val="-12"/>
        </w:rPr>
        <w:t xml:space="preserve"> </w:t>
      </w:r>
      <w:r w:rsidRPr="00F028A1">
        <w:t>de</w:t>
      </w:r>
      <w:r w:rsidRPr="00F028A1">
        <w:rPr>
          <w:spacing w:val="-11"/>
        </w:rPr>
        <w:t xml:space="preserve"> </w:t>
      </w:r>
      <w:r w:rsidRPr="00F028A1">
        <w:t>Communication</w:t>
      </w:r>
      <w:r w:rsidRPr="00F028A1">
        <w:rPr>
          <w:spacing w:val="-10"/>
        </w:rPr>
        <w:t xml:space="preserve"> </w:t>
      </w:r>
      <w:r w:rsidRPr="00F028A1">
        <w:t>Avancée</w:t>
      </w:r>
      <w:r w:rsidRPr="00F028A1">
        <w:rPr>
          <w:spacing w:val="-11"/>
        </w:rPr>
        <w:t xml:space="preserve"> </w:t>
      </w:r>
      <w:r w:rsidRPr="00F028A1">
        <w:t>(CCA)</w:t>
      </w:r>
      <w:r w:rsidRPr="00F028A1">
        <w:rPr>
          <w:spacing w:val="-7"/>
        </w:rPr>
        <w:t xml:space="preserve"> </w:t>
      </w:r>
      <w:r w:rsidRPr="00F028A1">
        <w:t>entwickelten</w:t>
      </w:r>
      <w:r w:rsidRPr="00F028A1">
        <w:rPr>
          <w:spacing w:val="-11"/>
        </w:rPr>
        <w:t xml:space="preserve"> </w:t>
      </w:r>
      <w:r w:rsidRPr="00F028A1">
        <w:t>Euro-Styles</w:t>
      </w:r>
      <w:r w:rsidRPr="00F028A1">
        <w:rPr>
          <w:spacing w:val="-12"/>
        </w:rPr>
        <w:t xml:space="preserve"> </w:t>
      </w:r>
      <w:r w:rsidRPr="00F028A1">
        <w:t>und</w:t>
      </w:r>
      <w:r w:rsidRPr="00F028A1">
        <w:rPr>
          <w:spacing w:val="-11"/>
        </w:rPr>
        <w:t xml:space="preserve"> </w:t>
      </w:r>
      <w:r w:rsidRPr="00F028A1">
        <w:t>die</w:t>
      </w:r>
      <w:r w:rsidRPr="00F028A1">
        <w:rPr>
          <w:spacing w:val="-11"/>
        </w:rPr>
        <w:t xml:space="preserve"> </w:t>
      </w:r>
      <w:r w:rsidRPr="00F028A1">
        <w:t>ACE- Studie des Research Institute on Social Change (RISC).</w:t>
      </w:r>
    </w:p>
    <w:p w14:paraId="5B7E0518" w14:textId="77777777" w:rsidR="00FF7799" w:rsidRPr="00F028A1" w:rsidRDefault="00FF7799" w:rsidP="00B61E40">
      <w:pPr>
        <w:pStyle w:val="StandardText"/>
      </w:pPr>
    </w:p>
    <w:p w14:paraId="0C964955" w14:textId="77777777" w:rsidR="00FF7799" w:rsidRPr="00F028A1" w:rsidRDefault="00FF7799" w:rsidP="00B61E40">
      <w:pPr>
        <w:pStyle w:val="StandardTextkursiv"/>
        <w:rPr>
          <w:i w:val="0"/>
        </w:rPr>
      </w:pPr>
      <w:r w:rsidRPr="00F028A1">
        <w:rPr>
          <w:i w:val="0"/>
        </w:rPr>
        <w:t>3 Transnationale Zielgruppen</w:t>
      </w:r>
    </w:p>
    <w:p w14:paraId="7C8803AA" w14:textId="77777777" w:rsidR="00FF7799" w:rsidRPr="00F028A1" w:rsidRDefault="00FF7799" w:rsidP="00B61E40">
      <w:pPr>
        <w:pStyle w:val="StandardText"/>
      </w:pPr>
      <w:r w:rsidRPr="00F028A1">
        <w:t>Transnationale Zielgruppen sind Gruppen von Verbrauchern, die in verschiedenen Ländern leben, aber ähnliche Bedürfnisse, Werte Lebensstile etc. haben und deshalb eine homogene Zielgruppe bilden. Über Ländergrenzen hinweg (= trans - national) verbinden gemeinsame Werte mehr als eine gemeinsame Nationalität. Deutsche und britische Fußballfans etwa sind sich fraglos ähnlicher als deutsche Fußballfans und deutsche Opernfans einerseits sowie britische Fußballfans und britische Opernfans andererseits. Eine spezielle transnationale Zielgruppe sind kosmopolitische Konsumenten. Sie ähneln einander nicht nur aufgrund ihrer Werte und Einstellungen, sondern insb. auch aufgrund ihres sozialen Status.</w:t>
      </w:r>
    </w:p>
    <w:p w14:paraId="09017D08" w14:textId="77777777" w:rsidR="00FF7799" w:rsidRPr="00F028A1" w:rsidRDefault="00FF7799" w:rsidP="00B61E40">
      <w:pPr>
        <w:pStyle w:val="StandardText"/>
      </w:pPr>
      <w:r w:rsidRPr="00F028A1">
        <w:t>Ko et al. (2007) konnten bei europäischen, südkoreanischen und US-amerikanischen Modekunden clusteranalytisch vier Lebensstile nachweisen, welche die Reaktionen der Probanden auf Anzeigen diverser Modelabels stärker beeinflussen als die Nationalität der Befragten: ‘information seekers‘,‘sensation seekers‘,‘utilitarian consumers‘ und ‘conspicious consumers‘.</w:t>
      </w:r>
    </w:p>
    <w:p w14:paraId="19266184" w14:textId="77777777" w:rsidR="00FF7799" w:rsidRPr="00F028A1" w:rsidRDefault="00FF7799" w:rsidP="00B61E40">
      <w:pPr>
        <w:pStyle w:val="StandardText"/>
        <w:rPr>
          <w:lang w:val="en-US"/>
        </w:rPr>
      </w:pPr>
      <w:r w:rsidRPr="00F028A1">
        <w:t xml:space="preserve">Aus Sicht des </w:t>
      </w:r>
      <w:r w:rsidR="00F028A1">
        <w:sym w:font="Symbol" w:char="F0DE"/>
      </w:r>
      <w:r w:rsidRPr="00F028A1">
        <w:t xml:space="preserve"> Interkulturellen Marketing beschreiben die Euro Socio Styles die bedeutendsten transnationalen Zielgruppen. Sie gehen auf das Konzept der transnationalen sozialen Mili</w:t>
      </w:r>
      <w:r w:rsidRPr="00F028A1">
        <w:lastRenderedPageBreak/>
        <w:t xml:space="preserve">eus zurück (vgl. Ueltzhöffer/Flaig 1980). </w:t>
      </w:r>
      <w:r w:rsidRPr="00F028A1">
        <w:rPr>
          <w:lang w:val="en-US"/>
        </w:rPr>
        <w:t>„Social Milieus describe sets of people with characteristic attitudes and basic values. Very broadly speaking they group together social groups, that is to say consumers, with similar basic values, goals in life, everyday aesthetic identities and consumption patterns” (Ueltzhöffer/Ascheberg 1999, S.51).</w:t>
      </w:r>
    </w:p>
    <w:p w14:paraId="7077D4F9" w14:textId="77777777" w:rsidR="00FF7799" w:rsidRPr="00F028A1" w:rsidRDefault="00FF7799" w:rsidP="00B61E40">
      <w:pPr>
        <w:pStyle w:val="StandardText"/>
        <w:rPr>
          <w:sz w:val="22"/>
          <w:szCs w:val="22"/>
        </w:rPr>
      </w:pPr>
      <w:r w:rsidRPr="00F028A1">
        <w:rPr>
          <w:b/>
          <w:i/>
          <w:sz w:val="22"/>
          <w:szCs w:val="22"/>
          <w:lang w:val="en-US"/>
        </w:rPr>
        <w:t>Literatur</w:t>
      </w:r>
      <w:r w:rsidRPr="00F028A1">
        <w:rPr>
          <w:i/>
          <w:sz w:val="22"/>
          <w:szCs w:val="22"/>
          <w:lang w:val="en-US"/>
        </w:rPr>
        <w:t>:</w:t>
      </w:r>
      <w:r w:rsidRPr="00F028A1">
        <w:rPr>
          <w:sz w:val="22"/>
          <w:szCs w:val="22"/>
          <w:lang w:val="en-US"/>
        </w:rPr>
        <w:t xml:space="preserve"> Ko, E.; Kim, E.; Taylor, C.R.; Kim, K.H.; Kang, I.J. (2007): Cross-National Market Segmentation in the Fashion Industry. A Study of European, Korean, and US Consumers, International Marketing Review, 24(5): 629-651. </w:t>
      </w:r>
      <w:r w:rsidRPr="00F028A1">
        <w:rPr>
          <w:sz w:val="22"/>
          <w:szCs w:val="22"/>
        </w:rPr>
        <w:t>Lingenfelder, M. (1995): Lebensstile, in: Tietz, B., Köhler, R., Zentes, J. (Hrsg.), Handwörterbuch des Marketing, 2.Aufl., Sp.1377-1392, Stuttgart: Schäffer-Poeschel.</w:t>
      </w:r>
      <w:r w:rsidRPr="00F028A1">
        <w:rPr>
          <w:spacing w:val="40"/>
          <w:sz w:val="22"/>
          <w:szCs w:val="22"/>
        </w:rPr>
        <w:t xml:space="preserve"> </w:t>
      </w:r>
      <w:r w:rsidRPr="00F028A1">
        <w:rPr>
          <w:sz w:val="22"/>
          <w:szCs w:val="22"/>
        </w:rPr>
        <w:t xml:space="preserve">Müller, S.; Kornmeier, M. (2002): Strategisches Internationales Management, München: Vahlen. Ueltzhöffer, J.; Ascheberg, C. (1999): Transnational Consumer Cultures and Social Milieus, Journal of the Market Research Society, 41(1): 47-268. Ueltzhöffer, J.; Flaig, B. (1980): Lebensweltanalyse. Explorationen zum Alltagsbewusstsein und Alltagshandeln, Heidelberg. </w:t>
      </w:r>
      <w:r w:rsidRPr="00F028A1">
        <w:rPr>
          <w:sz w:val="22"/>
          <w:szCs w:val="22"/>
          <w:lang w:val="en-US"/>
        </w:rPr>
        <w:t xml:space="preserve">Yavas, U.; Verhage, B.J.; Green, R.T. (1992): Global Consumer Segmentation versus Local Market Orientation. </w:t>
      </w:r>
      <w:r w:rsidRPr="00F028A1">
        <w:rPr>
          <w:sz w:val="22"/>
          <w:szCs w:val="22"/>
        </w:rPr>
        <w:t>Empirical Findings, Management International Review, 32(3): 265-272.</w:t>
      </w:r>
    </w:p>
    <w:p w14:paraId="4032545C" w14:textId="77777777" w:rsidR="00FF7799" w:rsidRPr="000A5184" w:rsidRDefault="00FF7799" w:rsidP="00CC57CD">
      <w:pPr>
        <w:pStyle w:val="berschrift1"/>
        <w:rPr>
          <w:color w:val="2E74B5"/>
        </w:rPr>
      </w:pPr>
      <w:r w:rsidRPr="000A5184">
        <w:rPr>
          <w:color w:val="2E74B5"/>
        </w:rPr>
        <w:t>Zivilisation</w:t>
      </w:r>
    </w:p>
    <w:p w14:paraId="65DB29A8" w14:textId="77777777" w:rsidR="00FF7799" w:rsidRPr="00E73F6F" w:rsidRDefault="00FF7799" w:rsidP="006239E7">
      <w:pPr>
        <w:pStyle w:val="StandardText"/>
      </w:pPr>
      <w:r w:rsidRPr="00E73F6F">
        <w:t>mit der Auflösung der</w:t>
      </w:r>
      <w:r w:rsidRPr="00E73F6F">
        <w:rPr>
          <w:spacing w:val="-1"/>
        </w:rPr>
        <w:t xml:space="preserve"> </w:t>
      </w:r>
      <w:r w:rsidRPr="00E73F6F">
        <w:t>Urgesellschaft beginnende</w:t>
      </w:r>
      <w:r w:rsidRPr="00E73F6F">
        <w:rPr>
          <w:spacing w:val="-1"/>
        </w:rPr>
        <w:t xml:space="preserve"> </w:t>
      </w:r>
      <w:r w:rsidRPr="00E73F6F">
        <w:t xml:space="preserve">Zeitabschnitt. Häufig wird aber auch </w:t>
      </w:r>
      <w:r w:rsidR="00F028A1">
        <w:t xml:space="preserve">so </w:t>
      </w:r>
      <w:r w:rsidRPr="00E73F6F">
        <w:t>eine Lebensweise bezeichnet, die auf technischem und wissenschaftlichem Fortschritt beruht, als Zivilisation bezeichnet. Dies führt zu einer dritten Auffassung, welche Zivilisation mit der materiellen Kultur gleichsetzt (Technik, Wirtschaft, Infrastruktur etc.)</w:t>
      </w:r>
      <w:r w:rsidRPr="00E73F6F">
        <w:rPr>
          <w:spacing w:val="-1"/>
        </w:rPr>
        <w:t xml:space="preserve"> </w:t>
      </w:r>
      <w:r w:rsidRPr="00E73F6F">
        <w:t>und</w:t>
      </w:r>
      <w:r w:rsidRPr="00E73F6F">
        <w:rPr>
          <w:spacing w:val="-1"/>
        </w:rPr>
        <w:t xml:space="preserve"> </w:t>
      </w:r>
      <w:r w:rsidRPr="00E73F6F">
        <w:t>von der immateriellen Kultur (Normen, Werte, Mythen, Helden etc.) abgrenzt</w:t>
      </w:r>
      <w:r w:rsidR="00F028A1">
        <w:t xml:space="preserve"> (</w:t>
      </w:r>
      <w:r w:rsidR="00F028A1">
        <w:sym w:font="Symbol" w:char="F0DE"/>
      </w:r>
      <w:r w:rsidR="00F028A1">
        <w:t xml:space="preserve"> Kultur)</w:t>
      </w:r>
      <w:r w:rsidRPr="00E73F6F">
        <w:t>. Schließlich kann mit diesem Begriff, der im Amerikanischen für „Kultur“ steht, auch eine durch Erziehung und Bildung verfeinerte Lebensart gemeint sein.</w:t>
      </w:r>
    </w:p>
    <w:p w14:paraId="23DA02E0" w14:textId="77777777" w:rsidR="00FF7799" w:rsidRPr="00E73F6F" w:rsidRDefault="00FF7799" w:rsidP="006239E7">
      <w:pPr>
        <w:pStyle w:val="StandardText"/>
      </w:pPr>
    </w:p>
    <w:p w14:paraId="7DAD13FA" w14:textId="77777777" w:rsidR="00FF7799" w:rsidRPr="000A5184" w:rsidRDefault="00FF7799" w:rsidP="00CC57CD">
      <w:pPr>
        <w:pStyle w:val="berschrift1"/>
        <w:rPr>
          <w:color w:val="2E74B5"/>
        </w:rPr>
      </w:pPr>
      <w:r w:rsidRPr="000A5184">
        <w:rPr>
          <w:color w:val="2E74B5"/>
        </w:rPr>
        <w:t>Zufriedenheit</w:t>
      </w:r>
    </w:p>
    <w:p w14:paraId="73E45E65" w14:textId="77777777" w:rsidR="00FF7799" w:rsidRPr="00E73F6F" w:rsidRDefault="00FF7799" w:rsidP="006239E7">
      <w:pPr>
        <w:pStyle w:val="StandardText"/>
      </w:pPr>
      <w:r w:rsidRPr="00E73F6F">
        <w:t>Konstrukt, das hauptsächlich au</w:t>
      </w:r>
      <w:r w:rsidR="00F028A1">
        <w:t>f zweierlei Weise genutzt wird. In Gestalt der Kundenzufriedenheit nutzt d</w:t>
      </w:r>
      <w:r w:rsidRPr="00E73F6F">
        <w:t xml:space="preserve">as Marketing dieses </w:t>
      </w:r>
      <w:r w:rsidR="00F028A1">
        <w:sym w:font="Symbol" w:char="F0DE"/>
      </w:r>
      <w:r w:rsidRPr="00E73F6F">
        <w:t>Konstrukt als subjektives Maß der Güte von Marktleistungen. Und im Rahmen von Studien zur Lebensqualität ermitteln Politologen,</w:t>
      </w:r>
      <w:r w:rsidRPr="00E73F6F">
        <w:rPr>
          <w:spacing w:val="-8"/>
        </w:rPr>
        <w:t xml:space="preserve"> </w:t>
      </w:r>
      <w:r w:rsidRPr="00E73F6F">
        <w:t>Soziologen</w:t>
      </w:r>
      <w:r w:rsidRPr="00E73F6F">
        <w:rPr>
          <w:spacing w:val="-5"/>
        </w:rPr>
        <w:t xml:space="preserve"> </w:t>
      </w:r>
      <w:r w:rsidRPr="00E73F6F">
        <w:t>etc.</w:t>
      </w:r>
      <w:r w:rsidRPr="00E73F6F">
        <w:rPr>
          <w:spacing w:val="-8"/>
        </w:rPr>
        <w:t xml:space="preserve"> </w:t>
      </w:r>
      <w:r w:rsidRPr="00E73F6F">
        <w:t>die</w:t>
      </w:r>
      <w:r w:rsidRPr="00E73F6F">
        <w:rPr>
          <w:spacing w:val="-7"/>
        </w:rPr>
        <w:t xml:space="preserve"> </w:t>
      </w:r>
      <w:r w:rsidRPr="00E73F6F">
        <w:t>Lebenszufriedenheit</w:t>
      </w:r>
      <w:r w:rsidRPr="00E73F6F">
        <w:rPr>
          <w:spacing w:val="-6"/>
        </w:rPr>
        <w:t xml:space="preserve"> </w:t>
      </w:r>
      <w:r w:rsidRPr="00E73F6F">
        <w:t>der</w:t>
      </w:r>
      <w:r w:rsidRPr="00E73F6F">
        <w:rPr>
          <w:spacing w:val="-6"/>
        </w:rPr>
        <w:t xml:space="preserve"> </w:t>
      </w:r>
      <w:r w:rsidRPr="00E73F6F">
        <w:t>Bewohner</w:t>
      </w:r>
      <w:r w:rsidRPr="00E73F6F">
        <w:rPr>
          <w:spacing w:val="-9"/>
        </w:rPr>
        <w:t xml:space="preserve"> </w:t>
      </w:r>
      <w:r w:rsidRPr="00E73F6F">
        <w:t>verschiedener Länder bzw. Regionen.</w:t>
      </w:r>
    </w:p>
    <w:p w14:paraId="1B063D35" w14:textId="77777777" w:rsidR="00FF7799" w:rsidRPr="00E73F6F" w:rsidRDefault="00FF7799" w:rsidP="006239E7">
      <w:pPr>
        <w:pStyle w:val="StandardText"/>
      </w:pPr>
      <w:r w:rsidRPr="00E73F6F">
        <w:t>Wie Sheldon et al. (2001) berichtet haben, empfinden amerikanische und koreanische Studenten rückblickend solche Ereignisse als zufriedenheitsstiftend, in</w:t>
      </w:r>
      <w:r w:rsidRPr="00E73F6F">
        <w:rPr>
          <w:spacing w:val="-12"/>
        </w:rPr>
        <w:t xml:space="preserve"> </w:t>
      </w:r>
      <w:r w:rsidRPr="00E73F6F">
        <w:t>denen</w:t>
      </w:r>
      <w:r w:rsidRPr="00E73F6F">
        <w:rPr>
          <w:spacing w:val="-10"/>
        </w:rPr>
        <w:t xml:space="preserve"> </w:t>
      </w:r>
      <w:r w:rsidRPr="00E73F6F">
        <w:t>es</w:t>
      </w:r>
      <w:r w:rsidRPr="00E73F6F">
        <w:rPr>
          <w:spacing w:val="-11"/>
        </w:rPr>
        <w:t xml:space="preserve"> </w:t>
      </w:r>
      <w:r w:rsidRPr="00E73F6F">
        <w:t>ihnen</w:t>
      </w:r>
      <w:r w:rsidRPr="00E73F6F">
        <w:rPr>
          <w:spacing w:val="-11"/>
        </w:rPr>
        <w:t xml:space="preserve"> </w:t>
      </w:r>
      <w:r w:rsidRPr="00E73F6F">
        <w:t>möglich</w:t>
      </w:r>
      <w:r w:rsidRPr="00E73F6F">
        <w:rPr>
          <w:spacing w:val="-9"/>
        </w:rPr>
        <w:t xml:space="preserve"> </w:t>
      </w:r>
      <w:r w:rsidRPr="00E73F6F">
        <w:t>war,</w:t>
      </w:r>
      <w:r w:rsidRPr="00E73F6F">
        <w:rPr>
          <w:spacing w:val="-12"/>
        </w:rPr>
        <w:t xml:space="preserve"> </w:t>
      </w:r>
      <w:r w:rsidRPr="00E73F6F">
        <w:t>selbstbestimmt</w:t>
      </w:r>
      <w:r w:rsidRPr="00E73F6F">
        <w:rPr>
          <w:spacing w:val="-9"/>
        </w:rPr>
        <w:t xml:space="preserve"> </w:t>
      </w:r>
      <w:r w:rsidRPr="00E73F6F">
        <w:t>und</w:t>
      </w:r>
      <w:r w:rsidRPr="00E73F6F">
        <w:rPr>
          <w:spacing w:val="-11"/>
        </w:rPr>
        <w:t xml:space="preserve"> </w:t>
      </w:r>
      <w:r w:rsidRPr="00E73F6F">
        <w:t>kompetent</w:t>
      </w:r>
      <w:r w:rsidRPr="00E73F6F">
        <w:rPr>
          <w:spacing w:val="-12"/>
        </w:rPr>
        <w:t xml:space="preserve"> </w:t>
      </w:r>
      <w:r w:rsidRPr="00E73F6F">
        <w:t>zu</w:t>
      </w:r>
      <w:r w:rsidRPr="00E73F6F">
        <w:rPr>
          <w:spacing w:val="-10"/>
        </w:rPr>
        <w:t xml:space="preserve"> </w:t>
      </w:r>
      <w:r w:rsidRPr="00E73F6F">
        <w:t>handeln,</w:t>
      </w:r>
      <w:r w:rsidRPr="00E73F6F">
        <w:rPr>
          <w:spacing w:val="-10"/>
        </w:rPr>
        <w:t xml:space="preserve"> </w:t>
      </w:r>
      <w:r w:rsidRPr="00E73F6F">
        <w:t>anderen Menschen nahe zu sein und Selbstachtung zu empfinden. Weniger bedeutsam scheinen hingegen der dabei erlebte soziale (= Popularität) und materielle Erfolg (=</w:t>
      </w:r>
      <w:r w:rsidRPr="00E73F6F">
        <w:rPr>
          <w:spacing w:val="-12"/>
        </w:rPr>
        <w:t xml:space="preserve"> </w:t>
      </w:r>
      <w:r w:rsidRPr="00E73F6F">
        <w:t>Macht,</w:t>
      </w:r>
      <w:r w:rsidRPr="00E73F6F">
        <w:rPr>
          <w:spacing w:val="-11"/>
        </w:rPr>
        <w:t xml:space="preserve"> </w:t>
      </w:r>
      <w:r w:rsidRPr="00E73F6F">
        <w:t>Luxus,</w:t>
      </w:r>
      <w:r w:rsidRPr="00E73F6F">
        <w:rPr>
          <w:spacing w:val="-11"/>
        </w:rPr>
        <w:t xml:space="preserve"> </w:t>
      </w:r>
      <w:r w:rsidRPr="00E73F6F">
        <w:t>Geld)</w:t>
      </w:r>
      <w:r w:rsidRPr="00E73F6F">
        <w:rPr>
          <w:spacing w:val="-11"/>
        </w:rPr>
        <w:t xml:space="preserve"> </w:t>
      </w:r>
      <w:r w:rsidRPr="00E73F6F">
        <w:t>zu</w:t>
      </w:r>
      <w:r w:rsidRPr="00E73F6F">
        <w:rPr>
          <w:spacing w:val="-12"/>
        </w:rPr>
        <w:t xml:space="preserve"> </w:t>
      </w:r>
      <w:r w:rsidRPr="00E73F6F">
        <w:t>sein.</w:t>
      </w:r>
      <w:r w:rsidRPr="00E73F6F">
        <w:rPr>
          <w:spacing w:val="-11"/>
        </w:rPr>
        <w:t xml:space="preserve"> </w:t>
      </w:r>
      <w:r w:rsidRPr="00E73F6F">
        <w:t>Die</w:t>
      </w:r>
      <w:r w:rsidRPr="00E73F6F">
        <w:rPr>
          <w:spacing w:val="-11"/>
        </w:rPr>
        <w:t xml:space="preserve"> </w:t>
      </w:r>
      <w:r w:rsidRPr="00E73F6F">
        <w:t>amerikanischen</w:t>
      </w:r>
      <w:r w:rsidRPr="00E73F6F">
        <w:rPr>
          <w:spacing w:val="-11"/>
        </w:rPr>
        <w:t xml:space="preserve"> </w:t>
      </w:r>
      <w:r w:rsidRPr="00E73F6F">
        <w:t>Studenten,</w:t>
      </w:r>
      <w:r w:rsidRPr="00E73F6F">
        <w:rPr>
          <w:spacing w:val="-12"/>
        </w:rPr>
        <w:t xml:space="preserve"> </w:t>
      </w:r>
      <w:r w:rsidRPr="00E73F6F">
        <w:t>als</w:t>
      </w:r>
      <w:r w:rsidRPr="00E73F6F">
        <w:rPr>
          <w:spacing w:val="-11"/>
        </w:rPr>
        <w:t xml:space="preserve"> </w:t>
      </w:r>
      <w:r w:rsidRPr="00E73F6F">
        <w:t xml:space="preserve">Repräsentanten des individualistischen Typus, waren vor allem zu zufrieden, wenn sie einer bestimmten Situation Selbstachtung empfinden konnten, während den eher kollektivistischen koreanischen Auskunftspersonen mehr an menschlicher Nähe </w:t>
      </w:r>
      <w:r w:rsidRPr="00E73F6F">
        <w:rPr>
          <w:spacing w:val="-4"/>
        </w:rPr>
        <w:t>lag.</w:t>
      </w:r>
    </w:p>
    <w:p w14:paraId="5966DF1D" w14:textId="77777777" w:rsidR="00FF7799" w:rsidRPr="00E73F6F" w:rsidRDefault="00FF7799" w:rsidP="006239E7">
      <w:pPr>
        <w:pStyle w:val="StandardText"/>
      </w:pPr>
      <w:r w:rsidRPr="00E73F6F">
        <w:t>Anhand der Aussagen von Studenten aus 31 Ländern präzisierten Diener/Diener (1995) diesen Zusammenhang (vgl. Abb. 1). Sie erkannten: Nur in den ärmeren Ländern besteht ein enger Zusammenhang zwischen Lebenszufriedenheit und Zufriedenheit mit der finanziellen Lage. Bedeutsamer ist der Grad an Individualismus, den die jeweilige Landeskultur ermöglicht. Dies lässt sich auf zweierlei Weise begründen:</w:t>
      </w:r>
    </w:p>
    <w:p w14:paraId="5A8A329A" w14:textId="77777777" w:rsidR="00FF7799" w:rsidRPr="00E73F6F" w:rsidRDefault="00FF7799" w:rsidP="000A5184">
      <w:pPr>
        <w:pStyle w:val="StandardTextAufzhlung"/>
        <w:ind w:left="567"/>
      </w:pPr>
      <w:r w:rsidRPr="00E73F6F">
        <w:t>Individualistische</w:t>
      </w:r>
      <w:r w:rsidRPr="00E73F6F">
        <w:rPr>
          <w:spacing w:val="-4"/>
        </w:rPr>
        <w:t xml:space="preserve"> </w:t>
      </w:r>
      <w:r w:rsidRPr="00E73F6F">
        <w:t>Gesellschaften</w:t>
      </w:r>
      <w:r w:rsidRPr="00E73F6F">
        <w:rPr>
          <w:spacing w:val="-2"/>
        </w:rPr>
        <w:t xml:space="preserve"> </w:t>
      </w:r>
      <w:r w:rsidRPr="00E73F6F">
        <w:t>lassen</w:t>
      </w:r>
      <w:r w:rsidRPr="00E73F6F">
        <w:rPr>
          <w:spacing w:val="-1"/>
        </w:rPr>
        <w:t xml:space="preserve"> </w:t>
      </w:r>
      <w:r w:rsidRPr="00E73F6F">
        <w:t>mehr</w:t>
      </w:r>
      <w:r w:rsidRPr="00E73F6F">
        <w:rPr>
          <w:spacing w:val="-3"/>
        </w:rPr>
        <w:t xml:space="preserve"> </w:t>
      </w:r>
      <w:r w:rsidRPr="00E73F6F">
        <w:t>individuelle</w:t>
      </w:r>
      <w:r w:rsidRPr="00E73F6F">
        <w:rPr>
          <w:spacing w:val="-3"/>
        </w:rPr>
        <w:t xml:space="preserve"> </w:t>
      </w:r>
      <w:r w:rsidRPr="00E73F6F">
        <w:t>Freiheit</w:t>
      </w:r>
      <w:r w:rsidRPr="00E73F6F">
        <w:rPr>
          <w:spacing w:val="-4"/>
        </w:rPr>
        <w:t xml:space="preserve"> </w:t>
      </w:r>
      <w:r w:rsidRPr="00E73F6F">
        <w:rPr>
          <w:spacing w:val="-5"/>
        </w:rPr>
        <w:t>zu.</w:t>
      </w:r>
    </w:p>
    <w:p w14:paraId="02C41A56" w14:textId="77777777" w:rsidR="00FF7799" w:rsidRPr="00E73F6F" w:rsidRDefault="00FF7799" w:rsidP="000A5184">
      <w:pPr>
        <w:pStyle w:val="StandardTextAufzhlung"/>
        <w:ind w:left="567"/>
      </w:pPr>
      <w:r w:rsidRPr="00E73F6F">
        <w:t>In</w:t>
      </w:r>
      <w:r w:rsidRPr="00E73F6F">
        <w:rPr>
          <w:spacing w:val="-7"/>
        </w:rPr>
        <w:t xml:space="preserve"> </w:t>
      </w:r>
      <w:r w:rsidRPr="00E73F6F">
        <w:t>den</w:t>
      </w:r>
      <w:r w:rsidRPr="00E73F6F">
        <w:rPr>
          <w:spacing w:val="-7"/>
        </w:rPr>
        <w:t xml:space="preserve"> </w:t>
      </w:r>
      <w:r w:rsidRPr="00E73F6F">
        <w:t>verschiedenen</w:t>
      </w:r>
      <w:r w:rsidRPr="00E73F6F">
        <w:rPr>
          <w:spacing w:val="-7"/>
        </w:rPr>
        <w:t xml:space="preserve"> </w:t>
      </w:r>
      <w:r w:rsidRPr="00E73F6F">
        <w:t>Kulturräumen</w:t>
      </w:r>
      <w:r w:rsidRPr="00E73F6F">
        <w:rPr>
          <w:spacing w:val="-5"/>
        </w:rPr>
        <w:t xml:space="preserve"> </w:t>
      </w:r>
      <w:r w:rsidRPr="00E73F6F">
        <w:t>gelten</w:t>
      </w:r>
      <w:r w:rsidRPr="00E73F6F">
        <w:rPr>
          <w:spacing w:val="-7"/>
        </w:rPr>
        <w:t xml:space="preserve"> </w:t>
      </w:r>
      <w:r w:rsidRPr="00E73F6F">
        <w:t>unterschiedliche</w:t>
      </w:r>
      <w:r w:rsidRPr="00E73F6F">
        <w:rPr>
          <w:spacing w:val="-7"/>
        </w:rPr>
        <w:t xml:space="preserve"> </w:t>
      </w:r>
      <w:r w:rsidRPr="00E73F6F">
        <w:t>Normen</w:t>
      </w:r>
      <w:r w:rsidRPr="00E73F6F">
        <w:rPr>
          <w:spacing w:val="-5"/>
        </w:rPr>
        <w:t xml:space="preserve"> </w:t>
      </w:r>
      <w:r w:rsidRPr="00E73F6F">
        <w:t xml:space="preserve">für </w:t>
      </w:r>
      <w:r w:rsidRPr="00E73F6F">
        <w:rPr>
          <w:spacing w:val="-2"/>
        </w:rPr>
        <w:t>Zufriedenheit.</w:t>
      </w:r>
    </w:p>
    <w:p w14:paraId="6014ED18" w14:textId="77777777" w:rsidR="000A5184" w:rsidRDefault="000A5184" w:rsidP="006239E7">
      <w:pPr>
        <w:pStyle w:val="StandardText"/>
      </w:pPr>
    </w:p>
    <w:p w14:paraId="3833074C" w14:textId="39612D55" w:rsidR="00FF7799" w:rsidRPr="00E73F6F" w:rsidRDefault="00FF7799" w:rsidP="006239E7">
      <w:pPr>
        <w:pStyle w:val="StandardText"/>
      </w:pPr>
      <w:r w:rsidRPr="00E73F6F">
        <w:t xml:space="preserve">Schließlich korreliert Lebenszufriedenheit vor allem in individualistischen Gesellschaften mit Selbstwertgefühl und mit der Zufriedenheit mit </w:t>
      </w:r>
      <w:r w:rsidRPr="00E73F6F">
        <w:rPr>
          <w:spacing w:val="-2"/>
        </w:rPr>
        <w:t>Freundschaften.</w:t>
      </w:r>
    </w:p>
    <w:p w14:paraId="18ABAEFA" w14:textId="77777777" w:rsidR="00FF7799" w:rsidRPr="00E73F6F" w:rsidRDefault="00FF7799" w:rsidP="006239E7">
      <w:pPr>
        <w:pStyle w:val="StandardText"/>
      </w:pPr>
    </w:p>
    <w:p w14:paraId="0D64786D" w14:textId="77777777" w:rsidR="00FF7799" w:rsidRPr="00AB3FAA" w:rsidRDefault="00FF7799" w:rsidP="006239E7">
      <w:pPr>
        <w:pStyle w:val="BeschriftungTab"/>
        <w:rPr>
          <w:i/>
          <w:iCs/>
          <w:spacing w:val="-2"/>
        </w:rPr>
      </w:pPr>
      <w:r w:rsidRPr="00AB3FAA">
        <w:rPr>
          <w:i/>
          <w:iCs/>
        </w:rPr>
        <w:t>Abb. 1: Korrelate</w:t>
      </w:r>
      <w:r w:rsidRPr="00AB3FAA">
        <w:rPr>
          <w:i/>
          <w:iCs/>
          <w:spacing w:val="-2"/>
        </w:rPr>
        <w:t xml:space="preserve"> </w:t>
      </w:r>
      <w:r w:rsidRPr="00AB3FAA">
        <w:rPr>
          <w:i/>
          <w:iCs/>
        </w:rPr>
        <w:t xml:space="preserve">von </w:t>
      </w:r>
      <w:r w:rsidRPr="00AB3FAA">
        <w:rPr>
          <w:i/>
          <w:iCs/>
          <w:spacing w:val="-2"/>
        </w:rPr>
        <w:t xml:space="preserve">Lebenszufriedenheit </w:t>
      </w:r>
    </w:p>
    <w:p w14:paraId="626CABA3" w14:textId="77777777" w:rsidR="00561664" w:rsidRPr="00E73F6F" w:rsidRDefault="00561664" w:rsidP="006239E7">
      <w:pPr>
        <w:pStyle w:val="BeschriftungTab"/>
      </w:pPr>
      <w:r>
        <w:rPr>
          <w:noProof/>
        </w:rPr>
        <w:drawing>
          <wp:inline distT="0" distB="0" distL="0" distR="0" wp14:anchorId="1DD174DE" wp14:editId="077D3D19">
            <wp:extent cx="5685790" cy="3003972"/>
            <wp:effectExtent l="0" t="0" r="0" b="635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5694074" cy="3008349"/>
                    </a:xfrm>
                    <a:prstGeom prst="rect">
                      <a:avLst/>
                    </a:prstGeom>
                    <a:noFill/>
                  </pic:spPr>
                </pic:pic>
              </a:graphicData>
            </a:graphic>
          </wp:inline>
        </w:drawing>
      </w:r>
    </w:p>
    <w:p w14:paraId="7E017556" w14:textId="77777777" w:rsidR="00FF7799" w:rsidRPr="00E73F6F" w:rsidRDefault="00FF7799" w:rsidP="006239E7">
      <w:pPr>
        <w:pStyle w:val="Quellen"/>
      </w:pPr>
      <w:r w:rsidRPr="00E73F6F">
        <w:t>Quelle:</w:t>
      </w:r>
      <w:r w:rsidRPr="00E73F6F">
        <w:rPr>
          <w:spacing w:val="42"/>
        </w:rPr>
        <w:t xml:space="preserve"> </w:t>
      </w:r>
      <w:r w:rsidRPr="00E73F6F">
        <w:t xml:space="preserve">Diener/Diener </w:t>
      </w:r>
      <w:r w:rsidRPr="00E73F6F">
        <w:rPr>
          <w:spacing w:val="-2"/>
        </w:rPr>
        <w:t>(1995).</w:t>
      </w:r>
    </w:p>
    <w:p w14:paraId="18FF5E61" w14:textId="77777777" w:rsidR="00FF7799" w:rsidRPr="00E73F6F" w:rsidRDefault="00FF7799" w:rsidP="006239E7">
      <w:pPr>
        <w:pStyle w:val="StandardText"/>
      </w:pPr>
    </w:p>
    <w:p w14:paraId="17D465B7" w14:textId="77777777" w:rsidR="00FF7799" w:rsidRPr="00E73F6F" w:rsidRDefault="00FF7799" w:rsidP="006239E7">
      <w:pPr>
        <w:pStyle w:val="StandardText"/>
      </w:pPr>
      <w:r w:rsidRPr="00E73F6F">
        <w:t>Unabhängig von ihrer kulturellen Herkunft und dem Entwicklungsstand ihres Herkunftslandes</w:t>
      </w:r>
      <w:r w:rsidRPr="00E73F6F">
        <w:rPr>
          <w:spacing w:val="-2"/>
        </w:rPr>
        <w:t xml:space="preserve"> </w:t>
      </w:r>
      <w:r w:rsidRPr="00E73F6F">
        <w:t>geben</w:t>
      </w:r>
      <w:r w:rsidRPr="00E73F6F">
        <w:rPr>
          <w:spacing w:val="-3"/>
        </w:rPr>
        <w:t xml:space="preserve"> </w:t>
      </w:r>
      <w:r w:rsidRPr="00E73F6F">
        <w:t>in Umfragen</w:t>
      </w:r>
      <w:r w:rsidRPr="00E73F6F">
        <w:rPr>
          <w:spacing w:val="-1"/>
        </w:rPr>
        <w:t xml:space="preserve"> </w:t>
      </w:r>
      <w:r w:rsidRPr="00E73F6F">
        <w:t>regelmäßig etwa</w:t>
      </w:r>
      <w:r w:rsidRPr="00E73F6F">
        <w:rPr>
          <w:spacing w:val="-2"/>
        </w:rPr>
        <w:t xml:space="preserve"> </w:t>
      </w:r>
      <w:r w:rsidRPr="00E73F6F">
        <w:t>drei</w:t>
      </w:r>
      <w:r w:rsidRPr="00E73F6F">
        <w:rPr>
          <w:spacing w:val="-1"/>
        </w:rPr>
        <w:t xml:space="preserve"> </w:t>
      </w:r>
      <w:r w:rsidRPr="00E73F6F">
        <w:t>Viertel</w:t>
      </w:r>
      <w:r w:rsidRPr="00E73F6F">
        <w:rPr>
          <w:spacing w:val="-2"/>
        </w:rPr>
        <w:t xml:space="preserve"> </w:t>
      </w:r>
      <w:r w:rsidRPr="00E73F6F">
        <w:t>aller</w:t>
      </w:r>
      <w:r w:rsidRPr="00E73F6F">
        <w:rPr>
          <w:spacing w:val="-2"/>
        </w:rPr>
        <w:t xml:space="preserve"> </w:t>
      </w:r>
      <w:r w:rsidRPr="00E73F6F">
        <w:t>Menschen an,</w:t>
      </w:r>
      <w:r w:rsidRPr="00E73F6F">
        <w:rPr>
          <w:spacing w:val="-7"/>
        </w:rPr>
        <w:t xml:space="preserve"> </w:t>
      </w:r>
      <w:r w:rsidRPr="00E73F6F">
        <w:t>sie</w:t>
      </w:r>
      <w:r w:rsidRPr="00E73F6F">
        <w:rPr>
          <w:spacing w:val="-8"/>
        </w:rPr>
        <w:t xml:space="preserve"> </w:t>
      </w:r>
      <w:r w:rsidRPr="00E73F6F">
        <w:t>seien</w:t>
      </w:r>
      <w:r w:rsidRPr="00E73F6F">
        <w:rPr>
          <w:spacing w:val="-7"/>
        </w:rPr>
        <w:t xml:space="preserve"> </w:t>
      </w:r>
      <w:r w:rsidRPr="00E73F6F">
        <w:t>mit</w:t>
      </w:r>
      <w:r w:rsidRPr="00E73F6F">
        <w:rPr>
          <w:spacing w:val="-7"/>
        </w:rPr>
        <w:t xml:space="preserve"> </w:t>
      </w:r>
      <w:r w:rsidRPr="00E73F6F">
        <w:t>ihrem</w:t>
      </w:r>
      <w:r w:rsidRPr="00E73F6F">
        <w:rPr>
          <w:spacing w:val="-9"/>
        </w:rPr>
        <w:t xml:space="preserve"> </w:t>
      </w:r>
      <w:r w:rsidRPr="00E73F6F">
        <w:t>Leben</w:t>
      </w:r>
      <w:r w:rsidRPr="00E73F6F">
        <w:rPr>
          <w:spacing w:val="-7"/>
        </w:rPr>
        <w:t xml:space="preserve"> </w:t>
      </w:r>
      <w:r w:rsidRPr="00E73F6F">
        <w:t>zufrieden.</w:t>
      </w:r>
      <w:r w:rsidRPr="00E73F6F">
        <w:rPr>
          <w:spacing w:val="-7"/>
        </w:rPr>
        <w:t xml:space="preserve"> </w:t>
      </w:r>
      <w:r w:rsidRPr="00E73F6F">
        <w:t>So</w:t>
      </w:r>
      <w:r w:rsidRPr="00E73F6F">
        <w:rPr>
          <w:spacing w:val="-7"/>
        </w:rPr>
        <w:t xml:space="preserve"> </w:t>
      </w:r>
      <w:r w:rsidRPr="00E73F6F">
        <w:t>auch</w:t>
      </w:r>
      <w:r w:rsidRPr="00E73F6F">
        <w:rPr>
          <w:spacing w:val="-7"/>
        </w:rPr>
        <w:t xml:space="preserve"> </w:t>
      </w:r>
      <w:r w:rsidRPr="00E73F6F">
        <w:t>in</w:t>
      </w:r>
      <w:r w:rsidRPr="00E73F6F">
        <w:rPr>
          <w:spacing w:val="-7"/>
        </w:rPr>
        <w:t xml:space="preserve"> </w:t>
      </w:r>
      <w:r w:rsidRPr="00E73F6F">
        <w:t>den</w:t>
      </w:r>
      <w:r w:rsidRPr="00E73F6F">
        <w:rPr>
          <w:spacing w:val="-7"/>
        </w:rPr>
        <w:t xml:space="preserve"> </w:t>
      </w:r>
      <w:r w:rsidRPr="00E73F6F">
        <w:t>jährlichen</w:t>
      </w:r>
      <w:r w:rsidRPr="00E73F6F">
        <w:rPr>
          <w:spacing w:val="-7"/>
        </w:rPr>
        <w:t xml:space="preserve"> </w:t>
      </w:r>
      <w:r w:rsidRPr="00E73F6F">
        <w:t>Erhebungen</w:t>
      </w:r>
      <w:r w:rsidRPr="00E73F6F">
        <w:rPr>
          <w:spacing w:val="-9"/>
        </w:rPr>
        <w:t xml:space="preserve"> </w:t>
      </w:r>
      <w:r w:rsidRPr="00E73F6F">
        <w:t>der Europäischen Union (vgl. Tab. 1).</w:t>
      </w:r>
    </w:p>
    <w:p w14:paraId="4A4ED2FB" w14:textId="77777777" w:rsidR="00FF7799" w:rsidRPr="00E73F6F" w:rsidRDefault="00FF7799" w:rsidP="006239E7">
      <w:pPr>
        <w:pStyle w:val="StandardText"/>
      </w:pPr>
    </w:p>
    <w:p w14:paraId="4D00B52F" w14:textId="77777777" w:rsidR="00FF7799" w:rsidRPr="000A5184" w:rsidRDefault="00FF7799" w:rsidP="006239E7">
      <w:pPr>
        <w:pStyle w:val="BeschriftungTab"/>
        <w:rPr>
          <w:i/>
          <w:iCs/>
        </w:rPr>
      </w:pPr>
      <w:r w:rsidRPr="000A5184">
        <w:rPr>
          <w:i/>
          <w:iCs/>
        </w:rPr>
        <w:t>Tab. 1: Glück</w:t>
      </w:r>
      <w:r w:rsidRPr="000A5184">
        <w:rPr>
          <w:i/>
          <w:iCs/>
          <w:spacing w:val="-4"/>
        </w:rPr>
        <w:t xml:space="preserve"> </w:t>
      </w:r>
      <w:r w:rsidRPr="000A5184">
        <w:rPr>
          <w:i/>
          <w:iCs/>
        </w:rPr>
        <w:t>&amp;</w:t>
      </w:r>
      <w:r w:rsidRPr="000A5184">
        <w:rPr>
          <w:i/>
          <w:iCs/>
          <w:spacing w:val="-3"/>
        </w:rPr>
        <w:t xml:space="preserve"> </w:t>
      </w:r>
      <w:r w:rsidRPr="000A5184">
        <w:rPr>
          <w:i/>
          <w:iCs/>
        </w:rPr>
        <w:t>Zufriedenheit</w:t>
      </w:r>
      <w:r w:rsidRPr="000A5184">
        <w:rPr>
          <w:i/>
          <w:iCs/>
          <w:spacing w:val="-5"/>
        </w:rPr>
        <w:t xml:space="preserve"> </w:t>
      </w:r>
      <w:r w:rsidRPr="000A5184">
        <w:rPr>
          <w:i/>
          <w:iCs/>
        </w:rPr>
        <w:t>in</w:t>
      </w:r>
      <w:r w:rsidRPr="000A5184">
        <w:rPr>
          <w:i/>
          <w:iCs/>
          <w:spacing w:val="-4"/>
        </w:rPr>
        <w:t xml:space="preserve"> </w:t>
      </w:r>
      <w:r w:rsidRPr="000A5184">
        <w:rPr>
          <w:i/>
          <w:iCs/>
        </w:rPr>
        <w:t>Europa</w:t>
      </w:r>
      <w:r w:rsidRPr="000A5184">
        <w:rPr>
          <w:i/>
          <w:iCs/>
          <w:spacing w:val="-3"/>
        </w:rPr>
        <w:t xml:space="preserve"> </w:t>
      </w:r>
      <w:r w:rsidRPr="000A5184">
        <w:rPr>
          <w:i/>
          <w:iCs/>
          <w:spacing w:val="-2"/>
        </w:rPr>
        <w:t>(2015)</w:t>
      </w:r>
    </w:p>
    <w:tbl>
      <w:tblPr>
        <w:tblStyle w:val="TableNormal"/>
        <w:tblW w:w="5000" w:type="pct"/>
        <w:tblBorders>
          <w:top w:val="single" w:sz="4" w:space="0" w:color="auto"/>
          <w:bottom w:val="single" w:sz="4" w:space="0" w:color="auto"/>
          <w:insideH w:val="single" w:sz="4" w:space="0" w:color="auto"/>
        </w:tblBorders>
        <w:tblLook w:val="01E0" w:firstRow="1" w:lastRow="1" w:firstColumn="1" w:lastColumn="1" w:noHBand="0" w:noVBand="0"/>
      </w:tblPr>
      <w:tblGrid>
        <w:gridCol w:w="2268"/>
        <w:gridCol w:w="2268"/>
        <w:gridCol w:w="2268"/>
        <w:gridCol w:w="2268"/>
      </w:tblGrid>
      <w:tr w:rsidR="00FF7799" w:rsidRPr="00E73F6F" w14:paraId="3DCB8415" w14:textId="77777777" w:rsidTr="00473613">
        <w:trPr>
          <w:trHeight w:val="342"/>
          <w:tblHeader/>
        </w:trPr>
        <w:tc>
          <w:tcPr>
            <w:tcW w:w="1250" w:type="pct"/>
            <w:shd w:val="clear" w:color="auto" w:fill="FFC000" w:themeFill="accent4"/>
          </w:tcPr>
          <w:p w14:paraId="2F33A949" w14:textId="77777777" w:rsidR="00FF7799" w:rsidRPr="00E73F6F" w:rsidRDefault="00FF7799" w:rsidP="006239E7">
            <w:pPr>
              <w:pStyle w:val="StandardText"/>
              <w:spacing w:after="120"/>
              <w:jc w:val="center"/>
              <w:rPr>
                <w:b/>
                <w:lang w:val="de-DE"/>
              </w:rPr>
            </w:pPr>
          </w:p>
        </w:tc>
        <w:tc>
          <w:tcPr>
            <w:tcW w:w="1250" w:type="pct"/>
            <w:shd w:val="clear" w:color="auto" w:fill="FFC000" w:themeFill="accent4"/>
          </w:tcPr>
          <w:p w14:paraId="6BF22DDC" w14:textId="77777777" w:rsidR="00FF7799" w:rsidRPr="00E73F6F" w:rsidRDefault="00FF7799" w:rsidP="006239E7">
            <w:pPr>
              <w:pStyle w:val="StandardText"/>
              <w:spacing w:after="120"/>
              <w:jc w:val="center"/>
              <w:rPr>
                <w:b/>
                <w:lang w:val="de-DE"/>
              </w:rPr>
            </w:pPr>
            <w:r w:rsidRPr="00E73F6F">
              <w:rPr>
                <w:b/>
                <w:spacing w:val="-2"/>
                <w:lang w:val="de-DE"/>
              </w:rPr>
              <w:t>Zufriedenheit</w:t>
            </w:r>
          </w:p>
        </w:tc>
        <w:tc>
          <w:tcPr>
            <w:tcW w:w="1250" w:type="pct"/>
            <w:shd w:val="clear" w:color="auto" w:fill="FFC000" w:themeFill="accent4"/>
          </w:tcPr>
          <w:p w14:paraId="44D630AE" w14:textId="77777777" w:rsidR="00FF7799" w:rsidRPr="00E73F6F" w:rsidRDefault="00FF7799" w:rsidP="006239E7">
            <w:pPr>
              <w:pStyle w:val="StandardText"/>
              <w:spacing w:after="120"/>
              <w:jc w:val="center"/>
              <w:rPr>
                <w:b/>
                <w:lang w:val="de-DE"/>
              </w:rPr>
            </w:pPr>
            <w:r w:rsidRPr="00E73F6F">
              <w:rPr>
                <w:b/>
                <w:spacing w:val="-2"/>
                <w:lang w:val="de-DE"/>
              </w:rPr>
              <w:t>Glück</w:t>
            </w:r>
          </w:p>
        </w:tc>
        <w:tc>
          <w:tcPr>
            <w:tcW w:w="1250" w:type="pct"/>
            <w:shd w:val="clear" w:color="auto" w:fill="FFC000" w:themeFill="accent4"/>
          </w:tcPr>
          <w:p w14:paraId="68166271" w14:textId="77777777" w:rsidR="00FF7799" w:rsidRPr="00E73F6F" w:rsidRDefault="00FF7799" w:rsidP="006239E7">
            <w:pPr>
              <w:pStyle w:val="StandardText"/>
              <w:spacing w:after="120"/>
              <w:jc w:val="center"/>
              <w:rPr>
                <w:b/>
                <w:lang w:val="de-DE"/>
              </w:rPr>
            </w:pPr>
            <w:r w:rsidRPr="00E73F6F">
              <w:rPr>
                <w:b/>
                <w:lang w:val="de-DE"/>
              </w:rPr>
              <w:t>BIP</w:t>
            </w:r>
            <w:r w:rsidRPr="00E73F6F">
              <w:rPr>
                <w:b/>
                <w:spacing w:val="-3"/>
                <w:lang w:val="de-DE"/>
              </w:rPr>
              <w:t xml:space="preserve"> </w:t>
            </w:r>
            <w:r w:rsidRPr="00E73F6F">
              <w:rPr>
                <w:b/>
                <w:lang w:val="de-DE"/>
              </w:rPr>
              <w:t xml:space="preserve">pro </w:t>
            </w:r>
            <w:r w:rsidRPr="00E73F6F">
              <w:rPr>
                <w:b/>
                <w:spacing w:val="-4"/>
                <w:lang w:val="de-DE"/>
              </w:rPr>
              <w:t>Kopf</w:t>
            </w:r>
          </w:p>
        </w:tc>
      </w:tr>
      <w:tr w:rsidR="00FF7799" w:rsidRPr="00E73F6F" w14:paraId="5333B9A3" w14:textId="77777777" w:rsidTr="00561664">
        <w:trPr>
          <w:trHeight w:val="287"/>
        </w:trPr>
        <w:tc>
          <w:tcPr>
            <w:tcW w:w="1250" w:type="pct"/>
            <w:shd w:val="clear" w:color="auto" w:fill="FFF2CC" w:themeFill="accent4" w:themeFillTint="33"/>
          </w:tcPr>
          <w:p w14:paraId="4396FD35" w14:textId="77777777" w:rsidR="00FF7799" w:rsidRPr="00E73F6F" w:rsidRDefault="00FF7799" w:rsidP="006239E7">
            <w:pPr>
              <w:pStyle w:val="StandardText"/>
              <w:rPr>
                <w:lang w:val="de-DE"/>
              </w:rPr>
            </w:pPr>
            <w:r w:rsidRPr="00E73F6F">
              <w:rPr>
                <w:spacing w:val="-2"/>
                <w:lang w:val="de-DE"/>
              </w:rPr>
              <w:t>Albanien</w:t>
            </w:r>
          </w:p>
        </w:tc>
        <w:tc>
          <w:tcPr>
            <w:tcW w:w="1250" w:type="pct"/>
          </w:tcPr>
          <w:p w14:paraId="127CC375" w14:textId="77777777" w:rsidR="00FF7799" w:rsidRPr="00E73F6F" w:rsidRDefault="00FF7799" w:rsidP="006239E7">
            <w:pPr>
              <w:pStyle w:val="StandardText"/>
              <w:jc w:val="center"/>
              <w:rPr>
                <w:lang w:val="de-DE"/>
              </w:rPr>
            </w:pPr>
            <w:r w:rsidRPr="00E73F6F">
              <w:rPr>
                <w:spacing w:val="-5"/>
                <w:lang w:val="de-DE"/>
              </w:rPr>
              <w:t>5,1</w:t>
            </w:r>
          </w:p>
        </w:tc>
        <w:tc>
          <w:tcPr>
            <w:tcW w:w="1250" w:type="pct"/>
          </w:tcPr>
          <w:p w14:paraId="576313E1" w14:textId="77777777" w:rsidR="00FF7799" w:rsidRPr="00E73F6F" w:rsidRDefault="00FF7799" w:rsidP="006239E7">
            <w:pPr>
              <w:pStyle w:val="StandardText"/>
              <w:jc w:val="center"/>
              <w:rPr>
                <w:lang w:val="de-DE"/>
              </w:rPr>
            </w:pPr>
            <w:r w:rsidRPr="00E73F6F">
              <w:rPr>
                <w:spacing w:val="-5"/>
                <w:lang w:val="de-DE"/>
              </w:rPr>
              <w:t>2,5</w:t>
            </w:r>
          </w:p>
        </w:tc>
        <w:tc>
          <w:tcPr>
            <w:tcW w:w="1250" w:type="pct"/>
          </w:tcPr>
          <w:p w14:paraId="0EFE774F" w14:textId="77777777" w:rsidR="00FF7799" w:rsidRPr="00E73F6F" w:rsidRDefault="00FF7799" w:rsidP="006239E7">
            <w:pPr>
              <w:pStyle w:val="StandardText"/>
              <w:jc w:val="center"/>
              <w:rPr>
                <w:lang w:val="de-DE"/>
              </w:rPr>
            </w:pPr>
            <w:r w:rsidRPr="00E73F6F">
              <w:rPr>
                <w:spacing w:val="-5"/>
                <w:lang w:val="de-DE"/>
              </w:rPr>
              <w:t>29</w:t>
            </w:r>
          </w:p>
        </w:tc>
      </w:tr>
      <w:tr w:rsidR="00FF7799" w:rsidRPr="00E73F6F" w14:paraId="509A6863" w14:textId="77777777" w:rsidTr="00561664">
        <w:trPr>
          <w:trHeight w:val="327"/>
        </w:trPr>
        <w:tc>
          <w:tcPr>
            <w:tcW w:w="1250" w:type="pct"/>
            <w:shd w:val="clear" w:color="auto" w:fill="FFF2CC" w:themeFill="accent4" w:themeFillTint="33"/>
          </w:tcPr>
          <w:p w14:paraId="026574F1" w14:textId="77777777" w:rsidR="00FF7799" w:rsidRPr="00E73F6F" w:rsidRDefault="00FF7799" w:rsidP="006239E7">
            <w:pPr>
              <w:pStyle w:val="StandardText"/>
              <w:rPr>
                <w:lang w:val="de-DE"/>
              </w:rPr>
            </w:pPr>
            <w:r w:rsidRPr="00E73F6F">
              <w:rPr>
                <w:spacing w:val="-2"/>
                <w:lang w:val="de-DE"/>
              </w:rPr>
              <w:t>Belgien</w:t>
            </w:r>
          </w:p>
        </w:tc>
        <w:tc>
          <w:tcPr>
            <w:tcW w:w="1250" w:type="pct"/>
          </w:tcPr>
          <w:p w14:paraId="0943E30C" w14:textId="77777777" w:rsidR="00FF7799" w:rsidRPr="00E73F6F" w:rsidRDefault="00FF7799" w:rsidP="006239E7">
            <w:pPr>
              <w:pStyle w:val="StandardText"/>
              <w:jc w:val="center"/>
              <w:rPr>
                <w:lang w:val="de-DE"/>
              </w:rPr>
            </w:pPr>
            <w:r w:rsidRPr="00E73F6F">
              <w:rPr>
                <w:spacing w:val="-5"/>
                <w:lang w:val="de-DE"/>
              </w:rPr>
              <w:t>6,9</w:t>
            </w:r>
          </w:p>
        </w:tc>
        <w:tc>
          <w:tcPr>
            <w:tcW w:w="1250" w:type="pct"/>
          </w:tcPr>
          <w:p w14:paraId="0C69FE42" w14:textId="77777777" w:rsidR="00FF7799" w:rsidRPr="00E73F6F" w:rsidRDefault="00FF7799" w:rsidP="006239E7">
            <w:pPr>
              <w:pStyle w:val="StandardText"/>
              <w:jc w:val="center"/>
              <w:rPr>
                <w:lang w:val="de-DE"/>
              </w:rPr>
            </w:pPr>
            <w:r w:rsidRPr="00E73F6F">
              <w:rPr>
                <w:spacing w:val="-5"/>
                <w:lang w:val="de-DE"/>
              </w:rPr>
              <w:t>6,9</w:t>
            </w:r>
          </w:p>
        </w:tc>
        <w:tc>
          <w:tcPr>
            <w:tcW w:w="1250" w:type="pct"/>
          </w:tcPr>
          <w:p w14:paraId="594BEB9A" w14:textId="77777777" w:rsidR="00FF7799" w:rsidRPr="00E73F6F" w:rsidRDefault="00FF7799" w:rsidP="006239E7">
            <w:pPr>
              <w:pStyle w:val="StandardText"/>
              <w:jc w:val="center"/>
              <w:rPr>
                <w:lang w:val="de-DE"/>
              </w:rPr>
            </w:pPr>
            <w:r w:rsidRPr="00E73F6F">
              <w:rPr>
                <w:spacing w:val="-5"/>
                <w:lang w:val="de-DE"/>
              </w:rPr>
              <w:t>119</w:t>
            </w:r>
          </w:p>
        </w:tc>
      </w:tr>
      <w:tr w:rsidR="00FF7799" w:rsidRPr="00E73F6F" w14:paraId="75342889" w14:textId="77777777" w:rsidTr="00561664">
        <w:trPr>
          <w:trHeight w:val="327"/>
        </w:trPr>
        <w:tc>
          <w:tcPr>
            <w:tcW w:w="1250" w:type="pct"/>
            <w:shd w:val="clear" w:color="auto" w:fill="FFF2CC" w:themeFill="accent4" w:themeFillTint="33"/>
          </w:tcPr>
          <w:p w14:paraId="4EA3710F" w14:textId="77777777" w:rsidR="00FF7799" w:rsidRPr="00E73F6F" w:rsidRDefault="00FF7799" w:rsidP="006239E7">
            <w:pPr>
              <w:pStyle w:val="StandardText"/>
              <w:rPr>
                <w:lang w:val="de-DE"/>
              </w:rPr>
            </w:pPr>
            <w:r w:rsidRPr="00E73F6F">
              <w:rPr>
                <w:spacing w:val="-2"/>
                <w:lang w:val="de-DE"/>
              </w:rPr>
              <w:t>Bulgarien</w:t>
            </w:r>
          </w:p>
        </w:tc>
        <w:tc>
          <w:tcPr>
            <w:tcW w:w="1250" w:type="pct"/>
          </w:tcPr>
          <w:p w14:paraId="6F353725" w14:textId="77777777" w:rsidR="00FF7799" w:rsidRPr="00E73F6F" w:rsidRDefault="00FF7799" w:rsidP="006239E7">
            <w:pPr>
              <w:pStyle w:val="StandardText"/>
              <w:jc w:val="center"/>
              <w:rPr>
                <w:lang w:val="de-DE"/>
              </w:rPr>
            </w:pPr>
            <w:r w:rsidRPr="00E73F6F">
              <w:rPr>
                <w:spacing w:val="-5"/>
                <w:lang w:val="de-DE"/>
              </w:rPr>
              <w:t>4,4</w:t>
            </w:r>
          </w:p>
        </w:tc>
        <w:tc>
          <w:tcPr>
            <w:tcW w:w="1250" w:type="pct"/>
          </w:tcPr>
          <w:p w14:paraId="67917974" w14:textId="77777777" w:rsidR="00FF7799" w:rsidRPr="00E73F6F" w:rsidRDefault="00FF7799" w:rsidP="006239E7">
            <w:pPr>
              <w:pStyle w:val="StandardText"/>
              <w:jc w:val="center"/>
              <w:rPr>
                <w:lang w:val="de-DE"/>
              </w:rPr>
            </w:pPr>
            <w:r w:rsidRPr="00E73F6F">
              <w:rPr>
                <w:spacing w:val="-5"/>
                <w:lang w:val="de-DE"/>
              </w:rPr>
              <w:t>4,2</w:t>
            </w:r>
          </w:p>
        </w:tc>
        <w:tc>
          <w:tcPr>
            <w:tcW w:w="1250" w:type="pct"/>
          </w:tcPr>
          <w:p w14:paraId="52ED5073" w14:textId="77777777" w:rsidR="00FF7799" w:rsidRPr="00E73F6F" w:rsidRDefault="00FF7799" w:rsidP="006239E7">
            <w:pPr>
              <w:pStyle w:val="StandardText"/>
              <w:jc w:val="center"/>
              <w:rPr>
                <w:lang w:val="de-DE"/>
              </w:rPr>
            </w:pPr>
            <w:r w:rsidRPr="00E73F6F">
              <w:rPr>
                <w:spacing w:val="-5"/>
                <w:lang w:val="de-DE"/>
              </w:rPr>
              <w:t>47</w:t>
            </w:r>
          </w:p>
        </w:tc>
      </w:tr>
      <w:tr w:rsidR="00FF7799" w:rsidRPr="00E73F6F" w14:paraId="52CDBBB9" w14:textId="77777777" w:rsidTr="00561664">
        <w:trPr>
          <w:trHeight w:val="328"/>
        </w:trPr>
        <w:tc>
          <w:tcPr>
            <w:tcW w:w="1250" w:type="pct"/>
            <w:shd w:val="clear" w:color="auto" w:fill="FFF2CC" w:themeFill="accent4" w:themeFillTint="33"/>
          </w:tcPr>
          <w:p w14:paraId="6D040B06" w14:textId="77777777" w:rsidR="00FF7799" w:rsidRPr="00E73F6F" w:rsidRDefault="00FF7799" w:rsidP="006239E7">
            <w:pPr>
              <w:pStyle w:val="StandardText"/>
              <w:rPr>
                <w:lang w:val="de-DE"/>
              </w:rPr>
            </w:pPr>
            <w:r w:rsidRPr="00E73F6F">
              <w:rPr>
                <w:spacing w:val="-2"/>
                <w:lang w:val="de-DE"/>
              </w:rPr>
              <w:t>Dänemark</w:t>
            </w:r>
          </w:p>
        </w:tc>
        <w:tc>
          <w:tcPr>
            <w:tcW w:w="1250" w:type="pct"/>
          </w:tcPr>
          <w:p w14:paraId="4F27DDBD" w14:textId="77777777" w:rsidR="00FF7799" w:rsidRPr="00E73F6F" w:rsidRDefault="00FF7799" w:rsidP="006239E7">
            <w:pPr>
              <w:pStyle w:val="StandardText"/>
              <w:jc w:val="center"/>
              <w:rPr>
                <w:lang w:val="de-DE"/>
              </w:rPr>
            </w:pPr>
            <w:r w:rsidRPr="00E73F6F">
              <w:rPr>
                <w:spacing w:val="-5"/>
                <w:lang w:val="de-DE"/>
              </w:rPr>
              <w:t>7,5</w:t>
            </w:r>
          </w:p>
        </w:tc>
        <w:tc>
          <w:tcPr>
            <w:tcW w:w="1250" w:type="pct"/>
          </w:tcPr>
          <w:p w14:paraId="47727F8A" w14:textId="77777777" w:rsidR="00FF7799" w:rsidRPr="00E73F6F" w:rsidRDefault="00FF7799" w:rsidP="006239E7">
            <w:pPr>
              <w:pStyle w:val="StandardText"/>
              <w:jc w:val="center"/>
              <w:rPr>
                <w:lang w:val="de-DE"/>
              </w:rPr>
            </w:pPr>
            <w:r w:rsidRPr="00E73F6F">
              <w:rPr>
                <w:spacing w:val="-5"/>
                <w:lang w:val="de-DE"/>
              </w:rPr>
              <w:t>7,5</w:t>
            </w:r>
          </w:p>
        </w:tc>
        <w:tc>
          <w:tcPr>
            <w:tcW w:w="1250" w:type="pct"/>
          </w:tcPr>
          <w:p w14:paraId="0E93AFD8" w14:textId="77777777" w:rsidR="00FF7799" w:rsidRPr="00E73F6F" w:rsidRDefault="00FF7799" w:rsidP="006239E7">
            <w:pPr>
              <w:pStyle w:val="StandardText"/>
              <w:jc w:val="center"/>
              <w:rPr>
                <w:lang w:val="de-DE"/>
              </w:rPr>
            </w:pPr>
            <w:r w:rsidRPr="00E73F6F">
              <w:rPr>
                <w:spacing w:val="-5"/>
                <w:lang w:val="de-DE"/>
              </w:rPr>
              <w:t>127</w:t>
            </w:r>
          </w:p>
        </w:tc>
      </w:tr>
      <w:tr w:rsidR="00FF7799" w:rsidRPr="00E73F6F" w14:paraId="12CAD49B" w14:textId="77777777" w:rsidTr="00561664">
        <w:trPr>
          <w:trHeight w:val="327"/>
        </w:trPr>
        <w:tc>
          <w:tcPr>
            <w:tcW w:w="1250" w:type="pct"/>
            <w:shd w:val="clear" w:color="auto" w:fill="FFF2CC" w:themeFill="accent4" w:themeFillTint="33"/>
          </w:tcPr>
          <w:p w14:paraId="39A78246" w14:textId="77777777" w:rsidR="00FF7799" w:rsidRPr="00E73F6F" w:rsidRDefault="00FF7799" w:rsidP="006239E7">
            <w:pPr>
              <w:pStyle w:val="StandardText"/>
              <w:rPr>
                <w:lang w:val="de-DE"/>
              </w:rPr>
            </w:pPr>
            <w:r w:rsidRPr="00E73F6F">
              <w:rPr>
                <w:spacing w:val="-2"/>
                <w:lang w:val="de-DE"/>
              </w:rPr>
              <w:t>Deutschland</w:t>
            </w:r>
          </w:p>
        </w:tc>
        <w:tc>
          <w:tcPr>
            <w:tcW w:w="1250" w:type="pct"/>
          </w:tcPr>
          <w:p w14:paraId="6A3D77A4" w14:textId="77777777" w:rsidR="00FF7799" w:rsidRPr="00E73F6F" w:rsidRDefault="00FF7799" w:rsidP="006239E7">
            <w:pPr>
              <w:pStyle w:val="StandardText"/>
              <w:jc w:val="center"/>
              <w:rPr>
                <w:lang w:val="de-DE"/>
              </w:rPr>
            </w:pPr>
            <w:r w:rsidRPr="00E73F6F">
              <w:rPr>
                <w:spacing w:val="-5"/>
                <w:lang w:val="de-DE"/>
              </w:rPr>
              <w:t>7,0</w:t>
            </w:r>
          </w:p>
        </w:tc>
        <w:tc>
          <w:tcPr>
            <w:tcW w:w="1250" w:type="pct"/>
          </w:tcPr>
          <w:p w14:paraId="5323C1F8" w14:textId="77777777" w:rsidR="00FF7799" w:rsidRPr="00E73F6F" w:rsidRDefault="00FF7799" w:rsidP="006239E7">
            <w:pPr>
              <w:pStyle w:val="StandardText"/>
              <w:jc w:val="center"/>
              <w:rPr>
                <w:lang w:val="de-DE"/>
              </w:rPr>
            </w:pPr>
            <w:r w:rsidRPr="00E73F6F">
              <w:rPr>
                <w:spacing w:val="-5"/>
                <w:lang w:val="de-DE"/>
              </w:rPr>
              <w:t>7,0</w:t>
            </w:r>
          </w:p>
        </w:tc>
        <w:tc>
          <w:tcPr>
            <w:tcW w:w="1250" w:type="pct"/>
          </w:tcPr>
          <w:p w14:paraId="1DD51672" w14:textId="77777777" w:rsidR="00FF7799" w:rsidRPr="00E73F6F" w:rsidRDefault="00FF7799" w:rsidP="006239E7">
            <w:pPr>
              <w:pStyle w:val="StandardText"/>
              <w:jc w:val="center"/>
              <w:rPr>
                <w:lang w:val="de-DE"/>
              </w:rPr>
            </w:pPr>
            <w:r w:rsidRPr="00E73F6F">
              <w:rPr>
                <w:spacing w:val="-5"/>
                <w:lang w:val="de-DE"/>
              </w:rPr>
              <w:t>124</w:t>
            </w:r>
          </w:p>
        </w:tc>
      </w:tr>
      <w:tr w:rsidR="00FF7799" w:rsidRPr="00E73F6F" w14:paraId="013A39D6" w14:textId="77777777" w:rsidTr="00561664">
        <w:trPr>
          <w:trHeight w:val="327"/>
        </w:trPr>
        <w:tc>
          <w:tcPr>
            <w:tcW w:w="1250" w:type="pct"/>
            <w:shd w:val="clear" w:color="auto" w:fill="FFF2CC" w:themeFill="accent4" w:themeFillTint="33"/>
          </w:tcPr>
          <w:p w14:paraId="0A4AF2D6" w14:textId="77777777" w:rsidR="00FF7799" w:rsidRPr="00E73F6F" w:rsidRDefault="00FF7799" w:rsidP="006239E7">
            <w:pPr>
              <w:pStyle w:val="StandardText"/>
              <w:rPr>
                <w:lang w:val="de-DE"/>
              </w:rPr>
            </w:pPr>
            <w:r w:rsidRPr="00E73F6F">
              <w:rPr>
                <w:spacing w:val="-2"/>
                <w:lang w:val="de-DE"/>
              </w:rPr>
              <w:t>Estland</w:t>
            </w:r>
          </w:p>
        </w:tc>
        <w:tc>
          <w:tcPr>
            <w:tcW w:w="1250" w:type="pct"/>
          </w:tcPr>
          <w:p w14:paraId="7852BBE1" w14:textId="77777777" w:rsidR="00FF7799" w:rsidRPr="00E73F6F" w:rsidRDefault="00FF7799" w:rsidP="006239E7">
            <w:pPr>
              <w:pStyle w:val="StandardText"/>
              <w:jc w:val="center"/>
              <w:rPr>
                <w:lang w:val="de-DE"/>
              </w:rPr>
            </w:pPr>
            <w:r w:rsidRPr="00E73F6F">
              <w:rPr>
                <w:spacing w:val="-5"/>
                <w:lang w:val="de-DE"/>
              </w:rPr>
              <w:t>5,6</w:t>
            </w:r>
          </w:p>
        </w:tc>
        <w:tc>
          <w:tcPr>
            <w:tcW w:w="1250" w:type="pct"/>
          </w:tcPr>
          <w:p w14:paraId="18FE932A" w14:textId="77777777" w:rsidR="00FF7799" w:rsidRPr="00E73F6F" w:rsidRDefault="00FF7799" w:rsidP="006239E7">
            <w:pPr>
              <w:pStyle w:val="StandardText"/>
              <w:jc w:val="center"/>
              <w:rPr>
                <w:lang w:val="de-DE"/>
              </w:rPr>
            </w:pPr>
            <w:r w:rsidRPr="00E73F6F">
              <w:rPr>
                <w:spacing w:val="-5"/>
                <w:lang w:val="de-DE"/>
              </w:rPr>
              <w:t>5,5</w:t>
            </w:r>
          </w:p>
        </w:tc>
        <w:tc>
          <w:tcPr>
            <w:tcW w:w="1250" w:type="pct"/>
          </w:tcPr>
          <w:p w14:paraId="79605F70" w14:textId="77777777" w:rsidR="00FF7799" w:rsidRPr="00E73F6F" w:rsidRDefault="00FF7799" w:rsidP="006239E7">
            <w:pPr>
              <w:pStyle w:val="StandardText"/>
              <w:jc w:val="center"/>
              <w:rPr>
                <w:lang w:val="de-DE"/>
              </w:rPr>
            </w:pPr>
            <w:r w:rsidRPr="00E73F6F">
              <w:rPr>
                <w:spacing w:val="-5"/>
                <w:lang w:val="de-DE"/>
              </w:rPr>
              <w:t>75</w:t>
            </w:r>
          </w:p>
        </w:tc>
      </w:tr>
      <w:tr w:rsidR="00FF7799" w:rsidRPr="00E73F6F" w14:paraId="4D3CD78C" w14:textId="77777777" w:rsidTr="00561664">
        <w:trPr>
          <w:trHeight w:val="328"/>
        </w:trPr>
        <w:tc>
          <w:tcPr>
            <w:tcW w:w="1250" w:type="pct"/>
            <w:shd w:val="clear" w:color="auto" w:fill="FFF2CC" w:themeFill="accent4" w:themeFillTint="33"/>
          </w:tcPr>
          <w:p w14:paraId="31C97AD2" w14:textId="77777777" w:rsidR="00FF7799" w:rsidRPr="00E73F6F" w:rsidRDefault="00FF7799" w:rsidP="006239E7">
            <w:pPr>
              <w:pStyle w:val="StandardText"/>
              <w:rPr>
                <w:lang w:val="de-DE"/>
              </w:rPr>
            </w:pPr>
            <w:r w:rsidRPr="00E73F6F">
              <w:rPr>
                <w:spacing w:val="-2"/>
                <w:lang w:val="de-DE"/>
              </w:rPr>
              <w:t>Finnland</w:t>
            </w:r>
          </w:p>
        </w:tc>
        <w:tc>
          <w:tcPr>
            <w:tcW w:w="1250" w:type="pct"/>
          </w:tcPr>
          <w:p w14:paraId="197986FC" w14:textId="77777777" w:rsidR="00FF7799" w:rsidRPr="00E73F6F" w:rsidRDefault="00FF7799" w:rsidP="006239E7">
            <w:pPr>
              <w:pStyle w:val="StandardText"/>
              <w:jc w:val="center"/>
              <w:rPr>
                <w:lang w:val="de-DE"/>
              </w:rPr>
            </w:pPr>
            <w:r w:rsidRPr="00E73F6F">
              <w:rPr>
                <w:spacing w:val="-5"/>
                <w:lang w:val="de-DE"/>
              </w:rPr>
              <w:t>7,5</w:t>
            </w:r>
          </w:p>
        </w:tc>
        <w:tc>
          <w:tcPr>
            <w:tcW w:w="1250" w:type="pct"/>
          </w:tcPr>
          <w:p w14:paraId="663C3578" w14:textId="77777777" w:rsidR="00FF7799" w:rsidRPr="00E73F6F" w:rsidRDefault="00FF7799" w:rsidP="006239E7">
            <w:pPr>
              <w:pStyle w:val="StandardText"/>
              <w:jc w:val="center"/>
              <w:rPr>
                <w:lang w:val="de-DE"/>
              </w:rPr>
            </w:pPr>
            <w:r w:rsidRPr="00E73F6F">
              <w:rPr>
                <w:spacing w:val="-5"/>
                <w:lang w:val="de-DE"/>
              </w:rPr>
              <w:t>7,4</w:t>
            </w:r>
          </w:p>
        </w:tc>
        <w:tc>
          <w:tcPr>
            <w:tcW w:w="1250" w:type="pct"/>
          </w:tcPr>
          <w:p w14:paraId="2EDC1C77" w14:textId="77777777" w:rsidR="00FF7799" w:rsidRPr="00E73F6F" w:rsidRDefault="00FF7799" w:rsidP="006239E7">
            <w:pPr>
              <w:pStyle w:val="StandardText"/>
              <w:jc w:val="center"/>
              <w:rPr>
                <w:lang w:val="de-DE"/>
              </w:rPr>
            </w:pPr>
            <w:r w:rsidRPr="00E73F6F">
              <w:rPr>
                <w:spacing w:val="-5"/>
                <w:lang w:val="de-DE"/>
              </w:rPr>
              <w:t>109</w:t>
            </w:r>
          </w:p>
        </w:tc>
      </w:tr>
      <w:tr w:rsidR="00FF7799" w:rsidRPr="00E73F6F" w14:paraId="3D0C93F0" w14:textId="77777777" w:rsidTr="00561664">
        <w:trPr>
          <w:trHeight w:val="327"/>
        </w:trPr>
        <w:tc>
          <w:tcPr>
            <w:tcW w:w="1250" w:type="pct"/>
            <w:shd w:val="clear" w:color="auto" w:fill="FFF2CC" w:themeFill="accent4" w:themeFillTint="33"/>
          </w:tcPr>
          <w:p w14:paraId="3225F94A" w14:textId="77777777" w:rsidR="00FF7799" w:rsidRPr="00E73F6F" w:rsidRDefault="00FF7799" w:rsidP="006239E7">
            <w:pPr>
              <w:pStyle w:val="StandardText"/>
              <w:rPr>
                <w:lang w:val="de-DE"/>
              </w:rPr>
            </w:pPr>
            <w:r w:rsidRPr="00E73F6F">
              <w:rPr>
                <w:spacing w:val="-2"/>
                <w:lang w:val="de-DE"/>
              </w:rPr>
              <w:t>Frankreich</w:t>
            </w:r>
          </w:p>
        </w:tc>
        <w:tc>
          <w:tcPr>
            <w:tcW w:w="1250" w:type="pct"/>
          </w:tcPr>
          <w:p w14:paraId="75D96724" w14:textId="77777777" w:rsidR="00FF7799" w:rsidRPr="00E73F6F" w:rsidRDefault="00FF7799" w:rsidP="006239E7">
            <w:pPr>
              <w:pStyle w:val="StandardText"/>
              <w:jc w:val="center"/>
              <w:rPr>
                <w:lang w:val="de-DE"/>
              </w:rPr>
            </w:pPr>
            <w:r w:rsidRPr="00E73F6F">
              <w:rPr>
                <w:spacing w:val="-5"/>
                <w:lang w:val="de-DE"/>
              </w:rPr>
              <w:t>6,4</w:t>
            </w:r>
          </w:p>
        </w:tc>
        <w:tc>
          <w:tcPr>
            <w:tcW w:w="1250" w:type="pct"/>
          </w:tcPr>
          <w:p w14:paraId="3056D96C" w14:textId="77777777" w:rsidR="00FF7799" w:rsidRPr="00E73F6F" w:rsidRDefault="00FF7799" w:rsidP="006239E7">
            <w:pPr>
              <w:pStyle w:val="StandardText"/>
              <w:jc w:val="center"/>
              <w:rPr>
                <w:lang w:val="de-DE"/>
              </w:rPr>
            </w:pPr>
            <w:r w:rsidRPr="00E73F6F">
              <w:rPr>
                <w:spacing w:val="-5"/>
                <w:lang w:val="de-DE"/>
              </w:rPr>
              <w:t>6,5</w:t>
            </w:r>
          </w:p>
        </w:tc>
        <w:tc>
          <w:tcPr>
            <w:tcW w:w="1250" w:type="pct"/>
          </w:tcPr>
          <w:p w14:paraId="0EDFDC21" w14:textId="77777777" w:rsidR="00FF7799" w:rsidRPr="00E73F6F" w:rsidRDefault="00FF7799" w:rsidP="006239E7">
            <w:pPr>
              <w:pStyle w:val="StandardText"/>
              <w:jc w:val="center"/>
              <w:rPr>
                <w:lang w:val="de-DE"/>
              </w:rPr>
            </w:pPr>
            <w:r w:rsidRPr="00E73F6F">
              <w:rPr>
                <w:spacing w:val="-5"/>
                <w:lang w:val="de-DE"/>
              </w:rPr>
              <w:t>105</w:t>
            </w:r>
          </w:p>
        </w:tc>
      </w:tr>
      <w:tr w:rsidR="00FF7799" w:rsidRPr="00E73F6F" w14:paraId="07E2A417" w14:textId="77777777" w:rsidTr="00561664">
        <w:trPr>
          <w:trHeight w:val="327"/>
        </w:trPr>
        <w:tc>
          <w:tcPr>
            <w:tcW w:w="1250" w:type="pct"/>
            <w:shd w:val="clear" w:color="auto" w:fill="FFF2CC" w:themeFill="accent4" w:themeFillTint="33"/>
          </w:tcPr>
          <w:p w14:paraId="26942FA3" w14:textId="77777777" w:rsidR="00FF7799" w:rsidRPr="00E73F6F" w:rsidRDefault="00FF7799" w:rsidP="006239E7">
            <w:pPr>
              <w:pStyle w:val="StandardText"/>
              <w:rPr>
                <w:lang w:val="de-DE"/>
              </w:rPr>
            </w:pPr>
            <w:r w:rsidRPr="00E73F6F">
              <w:rPr>
                <w:spacing w:val="-2"/>
                <w:lang w:val="de-DE"/>
              </w:rPr>
              <w:t>Griechenland.</w:t>
            </w:r>
          </w:p>
        </w:tc>
        <w:tc>
          <w:tcPr>
            <w:tcW w:w="1250" w:type="pct"/>
          </w:tcPr>
          <w:p w14:paraId="1DF444B4" w14:textId="77777777" w:rsidR="00FF7799" w:rsidRPr="00E73F6F" w:rsidRDefault="00FF7799" w:rsidP="006239E7">
            <w:pPr>
              <w:pStyle w:val="StandardText"/>
              <w:jc w:val="center"/>
              <w:rPr>
                <w:lang w:val="de-DE"/>
              </w:rPr>
            </w:pPr>
            <w:r w:rsidRPr="00E73F6F">
              <w:rPr>
                <w:spacing w:val="-5"/>
                <w:lang w:val="de-DE"/>
              </w:rPr>
              <w:t>5,2</w:t>
            </w:r>
          </w:p>
        </w:tc>
        <w:tc>
          <w:tcPr>
            <w:tcW w:w="1250" w:type="pct"/>
          </w:tcPr>
          <w:p w14:paraId="3EFC619E" w14:textId="77777777" w:rsidR="00FF7799" w:rsidRPr="00E73F6F" w:rsidRDefault="00FF7799" w:rsidP="006239E7">
            <w:pPr>
              <w:pStyle w:val="StandardText"/>
              <w:jc w:val="center"/>
              <w:rPr>
                <w:lang w:val="de-DE"/>
              </w:rPr>
            </w:pPr>
            <w:r w:rsidRPr="00E73F6F">
              <w:rPr>
                <w:spacing w:val="-5"/>
                <w:lang w:val="de-DE"/>
              </w:rPr>
              <w:t>5,0</w:t>
            </w:r>
          </w:p>
        </w:tc>
        <w:tc>
          <w:tcPr>
            <w:tcW w:w="1250" w:type="pct"/>
          </w:tcPr>
          <w:p w14:paraId="7339B506" w14:textId="77777777" w:rsidR="00FF7799" w:rsidRPr="00E73F6F" w:rsidRDefault="00FF7799" w:rsidP="006239E7">
            <w:pPr>
              <w:pStyle w:val="StandardText"/>
              <w:jc w:val="center"/>
              <w:rPr>
                <w:lang w:val="de-DE"/>
              </w:rPr>
            </w:pPr>
            <w:r w:rsidRPr="00E73F6F">
              <w:rPr>
                <w:spacing w:val="-5"/>
                <w:lang w:val="de-DE"/>
              </w:rPr>
              <w:t>69</w:t>
            </w:r>
          </w:p>
        </w:tc>
      </w:tr>
      <w:tr w:rsidR="00FF7799" w:rsidRPr="00E73F6F" w14:paraId="58C63A37" w14:textId="77777777" w:rsidTr="00561664">
        <w:trPr>
          <w:trHeight w:val="329"/>
        </w:trPr>
        <w:tc>
          <w:tcPr>
            <w:tcW w:w="1250" w:type="pct"/>
            <w:shd w:val="clear" w:color="auto" w:fill="FFF2CC" w:themeFill="accent4" w:themeFillTint="33"/>
          </w:tcPr>
          <w:p w14:paraId="1CBDB20B" w14:textId="77777777" w:rsidR="00FF7799" w:rsidRPr="00E73F6F" w:rsidRDefault="00FF7799" w:rsidP="006239E7">
            <w:pPr>
              <w:pStyle w:val="StandardText"/>
              <w:rPr>
                <w:lang w:val="de-DE"/>
              </w:rPr>
            </w:pPr>
            <w:r w:rsidRPr="00E73F6F">
              <w:rPr>
                <w:spacing w:val="-2"/>
                <w:lang w:val="de-DE"/>
              </w:rPr>
              <w:t>Großbritannien</w:t>
            </w:r>
          </w:p>
        </w:tc>
        <w:tc>
          <w:tcPr>
            <w:tcW w:w="1250" w:type="pct"/>
          </w:tcPr>
          <w:p w14:paraId="3463FF80" w14:textId="77777777" w:rsidR="00FF7799" w:rsidRPr="00E73F6F" w:rsidRDefault="00FF7799" w:rsidP="006239E7">
            <w:pPr>
              <w:pStyle w:val="StandardText"/>
              <w:jc w:val="center"/>
              <w:rPr>
                <w:lang w:val="de-DE"/>
              </w:rPr>
            </w:pPr>
            <w:r w:rsidRPr="00E73F6F">
              <w:rPr>
                <w:spacing w:val="-5"/>
                <w:lang w:val="de-DE"/>
              </w:rPr>
              <w:t>6,7</w:t>
            </w:r>
          </w:p>
        </w:tc>
        <w:tc>
          <w:tcPr>
            <w:tcW w:w="1250" w:type="pct"/>
          </w:tcPr>
          <w:p w14:paraId="7B4DB17B" w14:textId="77777777" w:rsidR="00FF7799" w:rsidRPr="00E73F6F" w:rsidRDefault="00FF7799" w:rsidP="006239E7">
            <w:pPr>
              <w:pStyle w:val="StandardText"/>
              <w:jc w:val="center"/>
              <w:rPr>
                <w:lang w:val="de-DE"/>
              </w:rPr>
            </w:pPr>
            <w:r w:rsidRPr="00E73F6F">
              <w:rPr>
                <w:spacing w:val="-5"/>
                <w:lang w:val="de-DE"/>
              </w:rPr>
              <w:t>6,7</w:t>
            </w:r>
          </w:p>
        </w:tc>
        <w:tc>
          <w:tcPr>
            <w:tcW w:w="1250" w:type="pct"/>
          </w:tcPr>
          <w:p w14:paraId="6E9EAFAC" w14:textId="77777777" w:rsidR="00FF7799" w:rsidRPr="00E73F6F" w:rsidRDefault="00FF7799" w:rsidP="006239E7">
            <w:pPr>
              <w:pStyle w:val="StandardText"/>
              <w:jc w:val="center"/>
              <w:rPr>
                <w:lang w:val="de-DE"/>
              </w:rPr>
            </w:pPr>
            <w:r w:rsidRPr="00E73F6F">
              <w:rPr>
                <w:spacing w:val="-5"/>
                <w:lang w:val="de-DE"/>
              </w:rPr>
              <w:t>108</w:t>
            </w:r>
          </w:p>
        </w:tc>
      </w:tr>
      <w:tr w:rsidR="00FF7799" w:rsidRPr="00E73F6F" w14:paraId="1B554F9C" w14:textId="77777777" w:rsidTr="00561664">
        <w:trPr>
          <w:trHeight w:val="327"/>
        </w:trPr>
        <w:tc>
          <w:tcPr>
            <w:tcW w:w="1250" w:type="pct"/>
            <w:shd w:val="clear" w:color="auto" w:fill="FFF2CC" w:themeFill="accent4" w:themeFillTint="33"/>
          </w:tcPr>
          <w:p w14:paraId="47B43D00" w14:textId="77777777" w:rsidR="00FF7799" w:rsidRPr="00E73F6F" w:rsidRDefault="00FF7799" w:rsidP="006239E7">
            <w:pPr>
              <w:pStyle w:val="StandardText"/>
              <w:rPr>
                <w:lang w:val="de-DE"/>
              </w:rPr>
            </w:pPr>
            <w:r w:rsidRPr="00E73F6F">
              <w:rPr>
                <w:spacing w:val="-2"/>
                <w:lang w:val="de-DE"/>
              </w:rPr>
              <w:t>Irland</w:t>
            </w:r>
          </w:p>
        </w:tc>
        <w:tc>
          <w:tcPr>
            <w:tcW w:w="1250" w:type="pct"/>
          </w:tcPr>
          <w:p w14:paraId="68950DDA" w14:textId="77777777" w:rsidR="00FF7799" w:rsidRPr="00E73F6F" w:rsidRDefault="00FF7799" w:rsidP="006239E7">
            <w:pPr>
              <w:pStyle w:val="StandardText"/>
              <w:jc w:val="center"/>
              <w:rPr>
                <w:lang w:val="de-DE"/>
              </w:rPr>
            </w:pPr>
            <w:r w:rsidRPr="00E73F6F">
              <w:rPr>
                <w:spacing w:val="-5"/>
                <w:lang w:val="de-DE"/>
              </w:rPr>
              <w:t>7,0</w:t>
            </w:r>
          </w:p>
        </w:tc>
        <w:tc>
          <w:tcPr>
            <w:tcW w:w="1250" w:type="pct"/>
          </w:tcPr>
          <w:p w14:paraId="394150C4" w14:textId="77777777" w:rsidR="00FF7799" w:rsidRPr="00E73F6F" w:rsidRDefault="00FF7799" w:rsidP="006239E7">
            <w:pPr>
              <w:pStyle w:val="StandardText"/>
              <w:jc w:val="center"/>
              <w:rPr>
                <w:lang w:val="de-DE"/>
              </w:rPr>
            </w:pPr>
            <w:r w:rsidRPr="00E73F6F">
              <w:rPr>
                <w:spacing w:val="-5"/>
                <w:lang w:val="de-DE"/>
              </w:rPr>
              <w:t>6,9</w:t>
            </w:r>
          </w:p>
        </w:tc>
        <w:tc>
          <w:tcPr>
            <w:tcW w:w="1250" w:type="pct"/>
          </w:tcPr>
          <w:p w14:paraId="19C4509D" w14:textId="77777777" w:rsidR="00FF7799" w:rsidRPr="00E73F6F" w:rsidRDefault="00FF7799" w:rsidP="006239E7">
            <w:pPr>
              <w:pStyle w:val="StandardText"/>
              <w:jc w:val="center"/>
              <w:rPr>
                <w:lang w:val="de-DE"/>
              </w:rPr>
            </w:pPr>
            <w:r w:rsidRPr="00E73F6F">
              <w:rPr>
                <w:spacing w:val="-5"/>
                <w:lang w:val="de-DE"/>
              </w:rPr>
              <w:t>181</w:t>
            </w:r>
          </w:p>
        </w:tc>
      </w:tr>
      <w:tr w:rsidR="00FF7799" w:rsidRPr="00E73F6F" w14:paraId="713DE9FE" w14:textId="77777777" w:rsidTr="00561664">
        <w:trPr>
          <w:trHeight w:val="327"/>
        </w:trPr>
        <w:tc>
          <w:tcPr>
            <w:tcW w:w="1250" w:type="pct"/>
            <w:shd w:val="clear" w:color="auto" w:fill="FFF2CC" w:themeFill="accent4" w:themeFillTint="33"/>
          </w:tcPr>
          <w:p w14:paraId="32DBCC78" w14:textId="77777777" w:rsidR="00FF7799" w:rsidRPr="00E73F6F" w:rsidRDefault="00FF7799" w:rsidP="006239E7">
            <w:pPr>
              <w:pStyle w:val="StandardText"/>
              <w:rPr>
                <w:lang w:val="de-DE"/>
              </w:rPr>
            </w:pPr>
            <w:r w:rsidRPr="00E73F6F">
              <w:rPr>
                <w:spacing w:val="-2"/>
                <w:lang w:val="de-DE"/>
              </w:rPr>
              <w:t>Italien</w:t>
            </w:r>
          </w:p>
        </w:tc>
        <w:tc>
          <w:tcPr>
            <w:tcW w:w="1250" w:type="pct"/>
          </w:tcPr>
          <w:p w14:paraId="353FE54C" w14:textId="77777777" w:rsidR="00FF7799" w:rsidRPr="00E73F6F" w:rsidRDefault="00FF7799" w:rsidP="006239E7">
            <w:pPr>
              <w:pStyle w:val="StandardText"/>
              <w:jc w:val="center"/>
              <w:rPr>
                <w:lang w:val="de-DE"/>
              </w:rPr>
            </w:pPr>
            <w:r w:rsidRPr="00E73F6F">
              <w:rPr>
                <w:spacing w:val="-5"/>
                <w:lang w:val="de-DE"/>
              </w:rPr>
              <w:t>5,9</w:t>
            </w:r>
          </w:p>
        </w:tc>
        <w:tc>
          <w:tcPr>
            <w:tcW w:w="1250" w:type="pct"/>
          </w:tcPr>
          <w:p w14:paraId="6F4C55F2" w14:textId="77777777" w:rsidR="00FF7799" w:rsidRPr="00E73F6F" w:rsidRDefault="00FF7799" w:rsidP="006239E7">
            <w:pPr>
              <w:pStyle w:val="StandardText"/>
              <w:jc w:val="center"/>
              <w:rPr>
                <w:lang w:val="de-DE"/>
              </w:rPr>
            </w:pPr>
            <w:r w:rsidRPr="00E73F6F">
              <w:rPr>
                <w:spacing w:val="-5"/>
                <w:lang w:val="de-DE"/>
              </w:rPr>
              <w:t>6,0</w:t>
            </w:r>
          </w:p>
        </w:tc>
        <w:tc>
          <w:tcPr>
            <w:tcW w:w="1250" w:type="pct"/>
          </w:tcPr>
          <w:p w14:paraId="5E8A0DBD" w14:textId="77777777" w:rsidR="00FF7799" w:rsidRPr="00E73F6F" w:rsidRDefault="00FF7799" w:rsidP="006239E7">
            <w:pPr>
              <w:pStyle w:val="StandardText"/>
              <w:jc w:val="center"/>
              <w:rPr>
                <w:lang w:val="de-DE"/>
              </w:rPr>
            </w:pPr>
            <w:r w:rsidRPr="00E73F6F">
              <w:rPr>
                <w:spacing w:val="-5"/>
                <w:lang w:val="de-DE"/>
              </w:rPr>
              <w:t>95</w:t>
            </w:r>
          </w:p>
        </w:tc>
      </w:tr>
      <w:tr w:rsidR="00FF7799" w:rsidRPr="00E73F6F" w14:paraId="120A2531" w14:textId="77777777" w:rsidTr="00561664">
        <w:trPr>
          <w:trHeight w:val="328"/>
        </w:trPr>
        <w:tc>
          <w:tcPr>
            <w:tcW w:w="1250" w:type="pct"/>
            <w:shd w:val="clear" w:color="auto" w:fill="FFF2CC" w:themeFill="accent4" w:themeFillTint="33"/>
          </w:tcPr>
          <w:p w14:paraId="6F46A969" w14:textId="77777777" w:rsidR="00FF7799" w:rsidRPr="00E73F6F" w:rsidRDefault="00FF7799" w:rsidP="006239E7">
            <w:pPr>
              <w:pStyle w:val="StandardText"/>
              <w:rPr>
                <w:lang w:val="de-DE"/>
              </w:rPr>
            </w:pPr>
            <w:r w:rsidRPr="00E73F6F">
              <w:rPr>
                <w:spacing w:val="-2"/>
                <w:lang w:val="de-DE"/>
              </w:rPr>
              <w:t>Kroatien</w:t>
            </w:r>
          </w:p>
        </w:tc>
        <w:tc>
          <w:tcPr>
            <w:tcW w:w="1250" w:type="pct"/>
          </w:tcPr>
          <w:p w14:paraId="04DE0FF8" w14:textId="77777777" w:rsidR="00FF7799" w:rsidRPr="00E73F6F" w:rsidRDefault="00FF7799" w:rsidP="006239E7">
            <w:pPr>
              <w:pStyle w:val="StandardText"/>
              <w:jc w:val="center"/>
              <w:rPr>
                <w:lang w:val="de-DE"/>
              </w:rPr>
            </w:pPr>
            <w:r w:rsidRPr="00E73F6F">
              <w:rPr>
                <w:spacing w:val="-5"/>
                <w:lang w:val="de-DE"/>
              </w:rPr>
              <w:t>5,4</w:t>
            </w:r>
          </w:p>
        </w:tc>
        <w:tc>
          <w:tcPr>
            <w:tcW w:w="1250" w:type="pct"/>
          </w:tcPr>
          <w:p w14:paraId="56174315" w14:textId="77777777" w:rsidR="00FF7799" w:rsidRPr="00E73F6F" w:rsidRDefault="00FF7799" w:rsidP="006239E7">
            <w:pPr>
              <w:pStyle w:val="StandardText"/>
              <w:jc w:val="center"/>
              <w:rPr>
                <w:lang w:val="de-DE"/>
              </w:rPr>
            </w:pPr>
            <w:r w:rsidRPr="00E73F6F">
              <w:rPr>
                <w:spacing w:val="-5"/>
                <w:lang w:val="de-DE"/>
              </w:rPr>
              <w:t>5,5</w:t>
            </w:r>
          </w:p>
        </w:tc>
        <w:tc>
          <w:tcPr>
            <w:tcW w:w="1250" w:type="pct"/>
          </w:tcPr>
          <w:p w14:paraId="557559FD" w14:textId="77777777" w:rsidR="00FF7799" w:rsidRPr="00E73F6F" w:rsidRDefault="00FF7799" w:rsidP="006239E7">
            <w:pPr>
              <w:pStyle w:val="StandardText"/>
              <w:jc w:val="center"/>
              <w:rPr>
                <w:lang w:val="de-DE"/>
              </w:rPr>
            </w:pPr>
            <w:r w:rsidRPr="00E73F6F">
              <w:rPr>
                <w:spacing w:val="-5"/>
                <w:lang w:val="de-DE"/>
              </w:rPr>
              <w:t>59</w:t>
            </w:r>
          </w:p>
        </w:tc>
      </w:tr>
      <w:tr w:rsidR="00FF7799" w:rsidRPr="00E73F6F" w14:paraId="7FB14138" w14:textId="77777777" w:rsidTr="00561664">
        <w:trPr>
          <w:trHeight w:val="327"/>
        </w:trPr>
        <w:tc>
          <w:tcPr>
            <w:tcW w:w="1250" w:type="pct"/>
            <w:shd w:val="clear" w:color="auto" w:fill="FFF2CC" w:themeFill="accent4" w:themeFillTint="33"/>
          </w:tcPr>
          <w:p w14:paraId="2A4179F5" w14:textId="77777777" w:rsidR="00FF7799" w:rsidRPr="00E73F6F" w:rsidRDefault="00FF7799" w:rsidP="006239E7">
            <w:pPr>
              <w:pStyle w:val="StandardText"/>
              <w:rPr>
                <w:lang w:val="de-DE"/>
              </w:rPr>
            </w:pPr>
            <w:r w:rsidRPr="00E73F6F">
              <w:rPr>
                <w:spacing w:val="-2"/>
                <w:lang w:val="de-DE"/>
              </w:rPr>
              <w:lastRenderedPageBreak/>
              <w:t>Lettland</w:t>
            </w:r>
          </w:p>
        </w:tc>
        <w:tc>
          <w:tcPr>
            <w:tcW w:w="1250" w:type="pct"/>
          </w:tcPr>
          <w:p w14:paraId="2CF0657A" w14:textId="77777777" w:rsidR="00FF7799" w:rsidRPr="00E73F6F" w:rsidRDefault="00FF7799" w:rsidP="006239E7">
            <w:pPr>
              <w:pStyle w:val="StandardText"/>
              <w:jc w:val="center"/>
              <w:rPr>
                <w:lang w:val="de-DE"/>
              </w:rPr>
            </w:pPr>
            <w:r w:rsidRPr="00E73F6F">
              <w:rPr>
                <w:spacing w:val="-5"/>
                <w:lang w:val="de-DE"/>
              </w:rPr>
              <w:t>5,9</w:t>
            </w:r>
          </w:p>
        </w:tc>
        <w:tc>
          <w:tcPr>
            <w:tcW w:w="1250" w:type="pct"/>
          </w:tcPr>
          <w:p w14:paraId="1D71B903" w14:textId="77777777" w:rsidR="00FF7799" w:rsidRPr="00E73F6F" w:rsidRDefault="00FF7799" w:rsidP="006239E7">
            <w:pPr>
              <w:pStyle w:val="StandardText"/>
              <w:jc w:val="center"/>
              <w:rPr>
                <w:lang w:val="de-DE"/>
              </w:rPr>
            </w:pPr>
            <w:r w:rsidRPr="00E73F6F">
              <w:rPr>
                <w:spacing w:val="-5"/>
                <w:lang w:val="de-DE"/>
              </w:rPr>
              <w:t>5,6</w:t>
            </w:r>
          </w:p>
        </w:tc>
        <w:tc>
          <w:tcPr>
            <w:tcW w:w="1250" w:type="pct"/>
          </w:tcPr>
          <w:p w14:paraId="2ED36AB4" w14:textId="77777777" w:rsidR="00FF7799" w:rsidRPr="00E73F6F" w:rsidRDefault="00FF7799" w:rsidP="006239E7">
            <w:pPr>
              <w:pStyle w:val="StandardText"/>
              <w:jc w:val="center"/>
              <w:rPr>
                <w:lang w:val="de-DE"/>
              </w:rPr>
            </w:pPr>
            <w:r w:rsidRPr="00E73F6F">
              <w:rPr>
                <w:spacing w:val="-5"/>
                <w:lang w:val="de-DE"/>
              </w:rPr>
              <w:t>64</w:t>
            </w:r>
          </w:p>
        </w:tc>
      </w:tr>
      <w:tr w:rsidR="00FF7799" w:rsidRPr="00E73F6F" w14:paraId="38DDB8E2" w14:textId="77777777" w:rsidTr="00561664">
        <w:trPr>
          <w:trHeight w:val="327"/>
        </w:trPr>
        <w:tc>
          <w:tcPr>
            <w:tcW w:w="1250" w:type="pct"/>
            <w:shd w:val="clear" w:color="auto" w:fill="FFF2CC" w:themeFill="accent4" w:themeFillTint="33"/>
          </w:tcPr>
          <w:p w14:paraId="4E200CA3" w14:textId="77777777" w:rsidR="00FF7799" w:rsidRPr="00E73F6F" w:rsidRDefault="00FF7799" w:rsidP="006239E7">
            <w:pPr>
              <w:pStyle w:val="StandardText"/>
              <w:rPr>
                <w:lang w:val="de-DE"/>
              </w:rPr>
            </w:pPr>
            <w:r w:rsidRPr="00E73F6F">
              <w:rPr>
                <w:spacing w:val="-2"/>
                <w:lang w:val="de-DE"/>
              </w:rPr>
              <w:t>Litauen</w:t>
            </w:r>
          </w:p>
        </w:tc>
        <w:tc>
          <w:tcPr>
            <w:tcW w:w="1250" w:type="pct"/>
          </w:tcPr>
          <w:p w14:paraId="3E919677" w14:textId="77777777" w:rsidR="00FF7799" w:rsidRPr="00E73F6F" w:rsidRDefault="00FF7799" w:rsidP="006239E7">
            <w:pPr>
              <w:pStyle w:val="StandardText"/>
              <w:jc w:val="center"/>
              <w:rPr>
                <w:lang w:val="de-DE"/>
              </w:rPr>
            </w:pPr>
            <w:r w:rsidRPr="00E73F6F">
              <w:rPr>
                <w:spacing w:val="-5"/>
                <w:lang w:val="de-DE"/>
              </w:rPr>
              <w:t>5,5</w:t>
            </w:r>
          </w:p>
        </w:tc>
        <w:tc>
          <w:tcPr>
            <w:tcW w:w="1250" w:type="pct"/>
          </w:tcPr>
          <w:p w14:paraId="7246377B" w14:textId="77777777" w:rsidR="00FF7799" w:rsidRPr="00E73F6F" w:rsidRDefault="00FF7799" w:rsidP="006239E7">
            <w:pPr>
              <w:pStyle w:val="StandardText"/>
              <w:jc w:val="center"/>
              <w:rPr>
                <w:lang w:val="de-DE"/>
              </w:rPr>
            </w:pPr>
            <w:r w:rsidRPr="00E73F6F">
              <w:rPr>
                <w:spacing w:val="-5"/>
                <w:lang w:val="de-DE"/>
              </w:rPr>
              <w:t>5,8</w:t>
            </w:r>
          </w:p>
        </w:tc>
        <w:tc>
          <w:tcPr>
            <w:tcW w:w="1250" w:type="pct"/>
          </w:tcPr>
          <w:p w14:paraId="0ACB6B3D" w14:textId="77777777" w:rsidR="00FF7799" w:rsidRPr="00E73F6F" w:rsidRDefault="00FF7799" w:rsidP="006239E7">
            <w:pPr>
              <w:pStyle w:val="StandardText"/>
              <w:jc w:val="center"/>
              <w:rPr>
                <w:lang w:val="de-DE"/>
              </w:rPr>
            </w:pPr>
            <w:r w:rsidRPr="00E73F6F">
              <w:rPr>
                <w:spacing w:val="-5"/>
                <w:lang w:val="de-DE"/>
              </w:rPr>
              <w:t>75</w:t>
            </w:r>
          </w:p>
        </w:tc>
      </w:tr>
      <w:tr w:rsidR="00FF7799" w:rsidRPr="00E73F6F" w14:paraId="56839519" w14:textId="77777777" w:rsidTr="00561664">
        <w:trPr>
          <w:trHeight w:val="328"/>
        </w:trPr>
        <w:tc>
          <w:tcPr>
            <w:tcW w:w="1250" w:type="pct"/>
            <w:shd w:val="clear" w:color="auto" w:fill="FFF2CC" w:themeFill="accent4" w:themeFillTint="33"/>
          </w:tcPr>
          <w:p w14:paraId="2D0A9902" w14:textId="77777777" w:rsidR="00FF7799" w:rsidRPr="00E73F6F" w:rsidRDefault="00FF7799" w:rsidP="006239E7">
            <w:pPr>
              <w:pStyle w:val="StandardText"/>
              <w:rPr>
                <w:lang w:val="de-DE"/>
              </w:rPr>
            </w:pPr>
            <w:r w:rsidRPr="00E73F6F">
              <w:rPr>
                <w:spacing w:val="-2"/>
                <w:lang w:val="de-DE"/>
              </w:rPr>
              <w:t>Luxemburg</w:t>
            </w:r>
          </w:p>
        </w:tc>
        <w:tc>
          <w:tcPr>
            <w:tcW w:w="1250" w:type="pct"/>
          </w:tcPr>
          <w:p w14:paraId="0A9CB294" w14:textId="77777777" w:rsidR="00FF7799" w:rsidRPr="00E73F6F" w:rsidRDefault="00FF7799" w:rsidP="006239E7">
            <w:pPr>
              <w:pStyle w:val="StandardText"/>
              <w:jc w:val="center"/>
              <w:rPr>
                <w:lang w:val="de-DE"/>
              </w:rPr>
            </w:pPr>
            <w:r w:rsidRPr="00E73F6F">
              <w:rPr>
                <w:spacing w:val="-5"/>
                <w:lang w:val="de-DE"/>
              </w:rPr>
              <w:t>6,9</w:t>
            </w:r>
          </w:p>
        </w:tc>
        <w:tc>
          <w:tcPr>
            <w:tcW w:w="1250" w:type="pct"/>
          </w:tcPr>
          <w:p w14:paraId="387B8ADE" w14:textId="77777777" w:rsidR="00FF7799" w:rsidRPr="00E73F6F" w:rsidRDefault="00FF7799" w:rsidP="006239E7">
            <w:pPr>
              <w:pStyle w:val="StandardText"/>
              <w:jc w:val="center"/>
              <w:rPr>
                <w:lang w:val="de-DE"/>
              </w:rPr>
            </w:pPr>
            <w:r w:rsidRPr="00E73F6F">
              <w:rPr>
                <w:spacing w:val="-5"/>
                <w:lang w:val="de-DE"/>
              </w:rPr>
              <w:t>6,9</w:t>
            </w:r>
          </w:p>
        </w:tc>
        <w:tc>
          <w:tcPr>
            <w:tcW w:w="1250" w:type="pct"/>
          </w:tcPr>
          <w:p w14:paraId="768B3BD7" w14:textId="77777777" w:rsidR="00FF7799" w:rsidRPr="00E73F6F" w:rsidRDefault="00FF7799" w:rsidP="006239E7">
            <w:pPr>
              <w:pStyle w:val="StandardText"/>
              <w:jc w:val="center"/>
              <w:rPr>
                <w:lang w:val="de-DE"/>
              </w:rPr>
            </w:pPr>
            <w:r w:rsidRPr="00E73F6F">
              <w:rPr>
                <w:spacing w:val="-5"/>
                <w:lang w:val="de-DE"/>
              </w:rPr>
              <w:t>267</w:t>
            </w:r>
          </w:p>
        </w:tc>
      </w:tr>
      <w:tr w:rsidR="00FF7799" w:rsidRPr="00E73F6F" w14:paraId="31BC5AE1" w14:textId="77777777" w:rsidTr="00561664">
        <w:trPr>
          <w:trHeight w:val="327"/>
        </w:trPr>
        <w:tc>
          <w:tcPr>
            <w:tcW w:w="1250" w:type="pct"/>
            <w:shd w:val="clear" w:color="auto" w:fill="FFF2CC" w:themeFill="accent4" w:themeFillTint="33"/>
          </w:tcPr>
          <w:p w14:paraId="10FBD2CD" w14:textId="77777777" w:rsidR="00FF7799" w:rsidRPr="00E73F6F" w:rsidRDefault="00FF7799" w:rsidP="006239E7">
            <w:pPr>
              <w:pStyle w:val="StandardText"/>
              <w:rPr>
                <w:lang w:val="de-DE"/>
              </w:rPr>
            </w:pPr>
            <w:r w:rsidRPr="00E73F6F">
              <w:rPr>
                <w:spacing w:val="-2"/>
                <w:lang w:val="de-DE"/>
              </w:rPr>
              <w:t>Malta</w:t>
            </w:r>
          </w:p>
        </w:tc>
        <w:tc>
          <w:tcPr>
            <w:tcW w:w="1250" w:type="pct"/>
          </w:tcPr>
          <w:p w14:paraId="27D2B979" w14:textId="77777777" w:rsidR="00FF7799" w:rsidRPr="00E73F6F" w:rsidRDefault="00FF7799" w:rsidP="006239E7">
            <w:pPr>
              <w:pStyle w:val="StandardText"/>
              <w:jc w:val="center"/>
              <w:rPr>
                <w:lang w:val="de-DE"/>
              </w:rPr>
            </w:pPr>
            <w:r w:rsidRPr="00E73F6F">
              <w:rPr>
                <w:spacing w:val="-5"/>
                <w:lang w:val="de-DE"/>
              </w:rPr>
              <w:t>6,8</w:t>
            </w:r>
          </w:p>
        </w:tc>
        <w:tc>
          <w:tcPr>
            <w:tcW w:w="1250" w:type="pct"/>
          </w:tcPr>
          <w:p w14:paraId="5A2216DF" w14:textId="77777777" w:rsidR="00FF7799" w:rsidRPr="00E73F6F" w:rsidRDefault="00FF7799" w:rsidP="006239E7">
            <w:pPr>
              <w:pStyle w:val="StandardText"/>
              <w:jc w:val="center"/>
              <w:rPr>
                <w:lang w:val="de-DE"/>
              </w:rPr>
            </w:pPr>
            <w:r w:rsidRPr="00E73F6F">
              <w:rPr>
                <w:spacing w:val="-5"/>
                <w:lang w:val="de-DE"/>
              </w:rPr>
              <w:t>6,5</w:t>
            </w:r>
          </w:p>
        </w:tc>
        <w:tc>
          <w:tcPr>
            <w:tcW w:w="1250" w:type="pct"/>
          </w:tcPr>
          <w:p w14:paraId="68D44087" w14:textId="77777777" w:rsidR="00FF7799" w:rsidRPr="00E73F6F" w:rsidRDefault="00FF7799" w:rsidP="006239E7">
            <w:pPr>
              <w:pStyle w:val="StandardText"/>
              <w:jc w:val="center"/>
              <w:rPr>
                <w:lang w:val="de-DE"/>
              </w:rPr>
            </w:pPr>
            <w:r w:rsidRPr="00E73F6F">
              <w:rPr>
                <w:spacing w:val="-5"/>
                <w:lang w:val="de-DE"/>
              </w:rPr>
              <w:t>93</w:t>
            </w:r>
          </w:p>
        </w:tc>
      </w:tr>
      <w:tr w:rsidR="00FF7799" w:rsidRPr="00E73F6F" w14:paraId="6A9D6ABF" w14:textId="77777777" w:rsidTr="00561664">
        <w:trPr>
          <w:trHeight w:val="327"/>
        </w:trPr>
        <w:tc>
          <w:tcPr>
            <w:tcW w:w="1250" w:type="pct"/>
            <w:shd w:val="clear" w:color="auto" w:fill="FFF2CC" w:themeFill="accent4" w:themeFillTint="33"/>
          </w:tcPr>
          <w:p w14:paraId="21F7296E" w14:textId="77777777" w:rsidR="00FF7799" w:rsidRPr="00E73F6F" w:rsidRDefault="00FF7799" w:rsidP="006239E7">
            <w:pPr>
              <w:pStyle w:val="StandardText"/>
              <w:rPr>
                <w:lang w:val="de-DE"/>
              </w:rPr>
            </w:pPr>
            <w:r w:rsidRPr="00E73F6F">
              <w:rPr>
                <w:spacing w:val="-2"/>
                <w:lang w:val="de-DE"/>
              </w:rPr>
              <w:t>Montenegro</w:t>
            </w:r>
          </w:p>
        </w:tc>
        <w:tc>
          <w:tcPr>
            <w:tcW w:w="1250" w:type="pct"/>
          </w:tcPr>
          <w:p w14:paraId="21FD2393" w14:textId="77777777" w:rsidR="00FF7799" w:rsidRPr="00E73F6F" w:rsidRDefault="00FF7799" w:rsidP="006239E7">
            <w:pPr>
              <w:pStyle w:val="StandardText"/>
              <w:jc w:val="center"/>
              <w:rPr>
                <w:lang w:val="de-DE"/>
              </w:rPr>
            </w:pPr>
            <w:r w:rsidRPr="00E73F6F">
              <w:rPr>
                <w:spacing w:val="-5"/>
                <w:lang w:val="de-DE"/>
              </w:rPr>
              <w:t>5,0</w:t>
            </w:r>
          </w:p>
        </w:tc>
        <w:tc>
          <w:tcPr>
            <w:tcW w:w="1250" w:type="pct"/>
          </w:tcPr>
          <w:p w14:paraId="074A843D" w14:textId="77777777" w:rsidR="00FF7799" w:rsidRPr="00E73F6F" w:rsidRDefault="00FF7799" w:rsidP="006239E7">
            <w:pPr>
              <w:pStyle w:val="StandardText"/>
              <w:jc w:val="center"/>
              <w:rPr>
                <w:lang w:val="de-DE"/>
              </w:rPr>
            </w:pPr>
            <w:r w:rsidRPr="00E73F6F">
              <w:rPr>
                <w:spacing w:val="-5"/>
                <w:lang w:val="de-DE"/>
              </w:rPr>
              <w:t>5,2</w:t>
            </w:r>
          </w:p>
        </w:tc>
        <w:tc>
          <w:tcPr>
            <w:tcW w:w="1250" w:type="pct"/>
          </w:tcPr>
          <w:p w14:paraId="50BFD6B9" w14:textId="77777777" w:rsidR="00FF7799" w:rsidRPr="00E73F6F" w:rsidRDefault="00FF7799" w:rsidP="006239E7">
            <w:pPr>
              <w:pStyle w:val="StandardText"/>
              <w:jc w:val="center"/>
              <w:rPr>
                <w:lang w:val="de-DE"/>
              </w:rPr>
            </w:pPr>
            <w:r w:rsidRPr="00E73F6F">
              <w:rPr>
                <w:spacing w:val="-5"/>
                <w:lang w:val="de-DE"/>
              </w:rPr>
              <w:t>42</w:t>
            </w:r>
          </w:p>
        </w:tc>
      </w:tr>
      <w:tr w:rsidR="00FF7799" w:rsidRPr="00E73F6F" w14:paraId="3BB07206" w14:textId="77777777" w:rsidTr="00561664">
        <w:trPr>
          <w:trHeight w:val="327"/>
        </w:trPr>
        <w:tc>
          <w:tcPr>
            <w:tcW w:w="1250" w:type="pct"/>
            <w:shd w:val="clear" w:color="auto" w:fill="FFF2CC" w:themeFill="accent4" w:themeFillTint="33"/>
          </w:tcPr>
          <w:p w14:paraId="3414FEAC" w14:textId="77777777" w:rsidR="00FF7799" w:rsidRPr="00E73F6F" w:rsidRDefault="00FF7799" w:rsidP="006239E7">
            <w:pPr>
              <w:pStyle w:val="StandardText"/>
              <w:rPr>
                <w:lang w:val="de-DE"/>
              </w:rPr>
            </w:pPr>
            <w:r w:rsidRPr="00E73F6F">
              <w:rPr>
                <w:spacing w:val="-2"/>
                <w:lang w:val="de-DE"/>
              </w:rPr>
              <w:t>Niederlande</w:t>
            </w:r>
          </w:p>
        </w:tc>
        <w:tc>
          <w:tcPr>
            <w:tcW w:w="1250" w:type="pct"/>
          </w:tcPr>
          <w:p w14:paraId="247AEBCC" w14:textId="77777777" w:rsidR="00FF7799" w:rsidRPr="00E73F6F" w:rsidRDefault="00FF7799" w:rsidP="006239E7">
            <w:pPr>
              <w:pStyle w:val="StandardText"/>
              <w:jc w:val="center"/>
              <w:rPr>
                <w:lang w:val="de-DE"/>
              </w:rPr>
            </w:pPr>
            <w:r w:rsidRPr="00E73F6F">
              <w:rPr>
                <w:spacing w:val="-5"/>
                <w:lang w:val="de-DE"/>
              </w:rPr>
              <w:t>7,4</w:t>
            </w:r>
          </w:p>
        </w:tc>
        <w:tc>
          <w:tcPr>
            <w:tcW w:w="1250" w:type="pct"/>
          </w:tcPr>
          <w:p w14:paraId="1AB4A663" w14:textId="77777777" w:rsidR="00FF7799" w:rsidRPr="00E73F6F" w:rsidRDefault="00FF7799" w:rsidP="006239E7">
            <w:pPr>
              <w:pStyle w:val="StandardText"/>
              <w:jc w:val="center"/>
              <w:rPr>
                <w:lang w:val="de-DE"/>
              </w:rPr>
            </w:pPr>
            <w:r w:rsidRPr="00E73F6F">
              <w:rPr>
                <w:spacing w:val="-5"/>
                <w:lang w:val="de-DE"/>
              </w:rPr>
              <w:t>7,3</w:t>
            </w:r>
          </w:p>
        </w:tc>
        <w:tc>
          <w:tcPr>
            <w:tcW w:w="1250" w:type="pct"/>
          </w:tcPr>
          <w:p w14:paraId="1F5FDD10" w14:textId="77777777" w:rsidR="00FF7799" w:rsidRPr="00E73F6F" w:rsidRDefault="00FF7799" w:rsidP="006239E7">
            <w:pPr>
              <w:pStyle w:val="StandardText"/>
              <w:jc w:val="center"/>
              <w:rPr>
                <w:lang w:val="de-DE"/>
              </w:rPr>
            </w:pPr>
            <w:r w:rsidRPr="00E73F6F">
              <w:rPr>
                <w:spacing w:val="-5"/>
                <w:lang w:val="de-DE"/>
              </w:rPr>
              <w:t>129</w:t>
            </w:r>
          </w:p>
        </w:tc>
      </w:tr>
      <w:tr w:rsidR="00FF7799" w:rsidRPr="00E73F6F" w14:paraId="124A97E9" w14:textId="77777777" w:rsidTr="00561664">
        <w:trPr>
          <w:trHeight w:val="327"/>
        </w:trPr>
        <w:tc>
          <w:tcPr>
            <w:tcW w:w="1250" w:type="pct"/>
            <w:shd w:val="clear" w:color="auto" w:fill="FFF2CC" w:themeFill="accent4" w:themeFillTint="33"/>
          </w:tcPr>
          <w:p w14:paraId="7B132765" w14:textId="77777777" w:rsidR="00FF7799" w:rsidRPr="00E73F6F" w:rsidRDefault="00FF7799" w:rsidP="006239E7">
            <w:pPr>
              <w:pStyle w:val="StandardText"/>
              <w:rPr>
                <w:lang w:val="de-DE"/>
              </w:rPr>
            </w:pPr>
            <w:r w:rsidRPr="00E73F6F">
              <w:rPr>
                <w:spacing w:val="-2"/>
                <w:lang w:val="de-DE"/>
              </w:rPr>
              <w:t>Norwegen</w:t>
            </w:r>
          </w:p>
        </w:tc>
        <w:tc>
          <w:tcPr>
            <w:tcW w:w="1250" w:type="pct"/>
          </w:tcPr>
          <w:p w14:paraId="28DB3804" w14:textId="77777777" w:rsidR="00FF7799" w:rsidRPr="00E73F6F" w:rsidRDefault="00FF7799" w:rsidP="006239E7">
            <w:pPr>
              <w:pStyle w:val="StandardText"/>
              <w:jc w:val="center"/>
              <w:rPr>
                <w:lang w:val="de-DE"/>
              </w:rPr>
            </w:pPr>
            <w:r w:rsidRPr="00E73F6F">
              <w:rPr>
                <w:spacing w:val="-5"/>
                <w:lang w:val="de-DE"/>
              </w:rPr>
              <w:t>7,5</w:t>
            </w:r>
          </w:p>
        </w:tc>
        <w:tc>
          <w:tcPr>
            <w:tcW w:w="1250" w:type="pct"/>
          </w:tcPr>
          <w:p w14:paraId="7D00C1B3" w14:textId="77777777" w:rsidR="00FF7799" w:rsidRPr="00E73F6F" w:rsidRDefault="00FF7799" w:rsidP="006239E7">
            <w:pPr>
              <w:pStyle w:val="StandardText"/>
              <w:jc w:val="center"/>
              <w:rPr>
                <w:lang w:val="de-DE"/>
              </w:rPr>
            </w:pPr>
            <w:r w:rsidRPr="00E73F6F">
              <w:rPr>
                <w:spacing w:val="-5"/>
                <w:lang w:val="de-DE"/>
              </w:rPr>
              <w:t>7,5</w:t>
            </w:r>
          </w:p>
        </w:tc>
        <w:tc>
          <w:tcPr>
            <w:tcW w:w="1250" w:type="pct"/>
          </w:tcPr>
          <w:p w14:paraId="2113DE79" w14:textId="77777777" w:rsidR="00FF7799" w:rsidRPr="00E73F6F" w:rsidRDefault="00FF7799" w:rsidP="006239E7">
            <w:pPr>
              <w:pStyle w:val="StandardText"/>
              <w:jc w:val="center"/>
              <w:rPr>
                <w:lang w:val="de-DE"/>
              </w:rPr>
            </w:pPr>
            <w:r w:rsidRPr="00E73F6F">
              <w:rPr>
                <w:spacing w:val="-5"/>
                <w:lang w:val="de-DE"/>
              </w:rPr>
              <w:t>161</w:t>
            </w:r>
          </w:p>
        </w:tc>
      </w:tr>
      <w:tr w:rsidR="00FF7799" w:rsidRPr="00E73F6F" w14:paraId="0B330F38" w14:textId="77777777" w:rsidTr="00561664">
        <w:trPr>
          <w:trHeight w:val="328"/>
        </w:trPr>
        <w:tc>
          <w:tcPr>
            <w:tcW w:w="1250" w:type="pct"/>
            <w:shd w:val="clear" w:color="auto" w:fill="FFF2CC" w:themeFill="accent4" w:themeFillTint="33"/>
          </w:tcPr>
          <w:p w14:paraId="52B271DA" w14:textId="77777777" w:rsidR="00FF7799" w:rsidRPr="00E73F6F" w:rsidRDefault="00FF7799" w:rsidP="006239E7">
            <w:pPr>
              <w:pStyle w:val="StandardText"/>
              <w:rPr>
                <w:lang w:val="de-DE"/>
              </w:rPr>
            </w:pPr>
            <w:r w:rsidRPr="00E73F6F">
              <w:rPr>
                <w:spacing w:val="-2"/>
                <w:lang w:val="de-DE"/>
              </w:rPr>
              <w:t>Österreich</w:t>
            </w:r>
          </w:p>
        </w:tc>
        <w:tc>
          <w:tcPr>
            <w:tcW w:w="1250" w:type="pct"/>
          </w:tcPr>
          <w:p w14:paraId="22C6987B" w14:textId="77777777" w:rsidR="00FF7799" w:rsidRPr="00E73F6F" w:rsidRDefault="00FF7799" w:rsidP="006239E7">
            <w:pPr>
              <w:pStyle w:val="StandardText"/>
              <w:jc w:val="center"/>
              <w:rPr>
                <w:lang w:val="de-DE"/>
              </w:rPr>
            </w:pPr>
            <w:r w:rsidRPr="00E73F6F">
              <w:rPr>
                <w:spacing w:val="-5"/>
                <w:lang w:val="de-DE"/>
              </w:rPr>
              <w:t>7,0</w:t>
            </w:r>
          </w:p>
        </w:tc>
        <w:tc>
          <w:tcPr>
            <w:tcW w:w="1250" w:type="pct"/>
          </w:tcPr>
          <w:p w14:paraId="37D469D2" w14:textId="77777777" w:rsidR="00FF7799" w:rsidRPr="00E73F6F" w:rsidRDefault="00FF7799" w:rsidP="006239E7">
            <w:pPr>
              <w:pStyle w:val="StandardText"/>
              <w:jc w:val="center"/>
              <w:rPr>
                <w:lang w:val="de-DE"/>
              </w:rPr>
            </w:pPr>
            <w:r w:rsidRPr="00E73F6F">
              <w:rPr>
                <w:spacing w:val="-5"/>
                <w:lang w:val="de-DE"/>
              </w:rPr>
              <w:t>7,1</w:t>
            </w:r>
          </w:p>
        </w:tc>
        <w:tc>
          <w:tcPr>
            <w:tcW w:w="1250" w:type="pct"/>
          </w:tcPr>
          <w:p w14:paraId="6AEC6D89" w14:textId="77777777" w:rsidR="00FF7799" w:rsidRPr="00E73F6F" w:rsidRDefault="00FF7799" w:rsidP="006239E7">
            <w:pPr>
              <w:pStyle w:val="StandardText"/>
              <w:jc w:val="center"/>
              <w:rPr>
                <w:lang w:val="de-DE"/>
              </w:rPr>
            </w:pPr>
            <w:r w:rsidRPr="00E73F6F">
              <w:rPr>
                <w:spacing w:val="-5"/>
                <w:lang w:val="de-DE"/>
              </w:rPr>
              <w:t>130</w:t>
            </w:r>
          </w:p>
        </w:tc>
      </w:tr>
      <w:tr w:rsidR="00FF7799" w:rsidRPr="00E73F6F" w14:paraId="70BC156F" w14:textId="77777777" w:rsidTr="00561664">
        <w:trPr>
          <w:trHeight w:val="327"/>
        </w:trPr>
        <w:tc>
          <w:tcPr>
            <w:tcW w:w="1250" w:type="pct"/>
            <w:shd w:val="clear" w:color="auto" w:fill="FFF2CC" w:themeFill="accent4" w:themeFillTint="33"/>
          </w:tcPr>
          <w:p w14:paraId="40DB80EE" w14:textId="77777777" w:rsidR="00FF7799" w:rsidRPr="00E73F6F" w:rsidRDefault="00FF7799" w:rsidP="006239E7">
            <w:pPr>
              <w:pStyle w:val="StandardText"/>
              <w:rPr>
                <w:lang w:val="de-DE"/>
              </w:rPr>
            </w:pPr>
            <w:r w:rsidRPr="00E73F6F">
              <w:rPr>
                <w:spacing w:val="-2"/>
                <w:lang w:val="de-DE"/>
              </w:rPr>
              <w:t>Polen</w:t>
            </w:r>
          </w:p>
        </w:tc>
        <w:tc>
          <w:tcPr>
            <w:tcW w:w="1250" w:type="pct"/>
          </w:tcPr>
          <w:p w14:paraId="3FEDFD08" w14:textId="77777777" w:rsidR="00FF7799" w:rsidRPr="00E73F6F" w:rsidRDefault="00FF7799" w:rsidP="006239E7">
            <w:pPr>
              <w:pStyle w:val="StandardText"/>
              <w:jc w:val="center"/>
              <w:rPr>
                <w:lang w:val="de-DE"/>
              </w:rPr>
            </w:pPr>
            <w:r w:rsidRPr="00E73F6F">
              <w:rPr>
                <w:spacing w:val="-5"/>
                <w:lang w:val="de-DE"/>
              </w:rPr>
              <w:t>6,0</w:t>
            </w:r>
          </w:p>
        </w:tc>
        <w:tc>
          <w:tcPr>
            <w:tcW w:w="1250" w:type="pct"/>
          </w:tcPr>
          <w:p w14:paraId="2810FC31" w14:textId="77777777" w:rsidR="00FF7799" w:rsidRPr="00E73F6F" w:rsidRDefault="00FF7799" w:rsidP="006239E7">
            <w:pPr>
              <w:pStyle w:val="StandardText"/>
              <w:jc w:val="center"/>
              <w:rPr>
                <w:lang w:val="de-DE"/>
              </w:rPr>
            </w:pPr>
            <w:r w:rsidRPr="00E73F6F">
              <w:rPr>
                <w:spacing w:val="-5"/>
                <w:lang w:val="de-DE"/>
              </w:rPr>
              <w:t>5,8</w:t>
            </w:r>
          </w:p>
        </w:tc>
        <w:tc>
          <w:tcPr>
            <w:tcW w:w="1250" w:type="pct"/>
          </w:tcPr>
          <w:p w14:paraId="2EA7A6F0" w14:textId="77777777" w:rsidR="00FF7799" w:rsidRPr="00E73F6F" w:rsidRDefault="00FF7799" w:rsidP="006239E7">
            <w:pPr>
              <w:pStyle w:val="StandardText"/>
              <w:jc w:val="center"/>
              <w:rPr>
                <w:lang w:val="de-DE"/>
              </w:rPr>
            </w:pPr>
            <w:r w:rsidRPr="00E73F6F">
              <w:rPr>
                <w:spacing w:val="-5"/>
                <w:lang w:val="de-DE"/>
              </w:rPr>
              <w:t>68</w:t>
            </w:r>
          </w:p>
        </w:tc>
      </w:tr>
      <w:tr w:rsidR="00FF7799" w:rsidRPr="00E73F6F" w14:paraId="01CD68C3" w14:textId="77777777" w:rsidTr="00561664">
        <w:trPr>
          <w:trHeight w:val="327"/>
        </w:trPr>
        <w:tc>
          <w:tcPr>
            <w:tcW w:w="1250" w:type="pct"/>
            <w:shd w:val="clear" w:color="auto" w:fill="FFF2CC" w:themeFill="accent4" w:themeFillTint="33"/>
          </w:tcPr>
          <w:p w14:paraId="7A8F31C4" w14:textId="77777777" w:rsidR="00FF7799" w:rsidRPr="00E73F6F" w:rsidRDefault="00FF7799" w:rsidP="006239E7">
            <w:pPr>
              <w:pStyle w:val="StandardText"/>
              <w:rPr>
                <w:lang w:val="de-DE"/>
              </w:rPr>
            </w:pPr>
            <w:r w:rsidRPr="00E73F6F">
              <w:rPr>
                <w:spacing w:val="-2"/>
                <w:lang w:val="de-DE"/>
              </w:rPr>
              <w:t>Portugal</w:t>
            </w:r>
          </w:p>
        </w:tc>
        <w:tc>
          <w:tcPr>
            <w:tcW w:w="1250" w:type="pct"/>
          </w:tcPr>
          <w:p w14:paraId="62752283" w14:textId="77777777" w:rsidR="00FF7799" w:rsidRPr="00E73F6F" w:rsidRDefault="00FF7799" w:rsidP="006239E7">
            <w:pPr>
              <w:pStyle w:val="StandardText"/>
              <w:jc w:val="center"/>
              <w:rPr>
                <w:lang w:val="de-DE"/>
              </w:rPr>
            </w:pPr>
            <w:r w:rsidRPr="00E73F6F">
              <w:rPr>
                <w:spacing w:val="-5"/>
                <w:lang w:val="de-DE"/>
              </w:rPr>
              <w:t>5,2</w:t>
            </w:r>
          </w:p>
        </w:tc>
        <w:tc>
          <w:tcPr>
            <w:tcW w:w="1250" w:type="pct"/>
          </w:tcPr>
          <w:p w14:paraId="42B9F499" w14:textId="77777777" w:rsidR="00FF7799" w:rsidRPr="00E73F6F" w:rsidRDefault="00FF7799" w:rsidP="006239E7">
            <w:pPr>
              <w:pStyle w:val="StandardText"/>
              <w:jc w:val="center"/>
              <w:rPr>
                <w:lang w:val="de-DE"/>
              </w:rPr>
            </w:pPr>
            <w:r w:rsidRPr="00E73F6F">
              <w:rPr>
                <w:spacing w:val="-5"/>
                <w:lang w:val="de-DE"/>
              </w:rPr>
              <w:t>5,1</w:t>
            </w:r>
          </w:p>
        </w:tc>
        <w:tc>
          <w:tcPr>
            <w:tcW w:w="1250" w:type="pct"/>
          </w:tcPr>
          <w:p w14:paraId="72E978D5" w14:textId="77777777" w:rsidR="00FF7799" w:rsidRPr="00E73F6F" w:rsidRDefault="00FF7799" w:rsidP="006239E7">
            <w:pPr>
              <w:pStyle w:val="StandardText"/>
              <w:jc w:val="center"/>
              <w:rPr>
                <w:lang w:val="de-DE"/>
              </w:rPr>
            </w:pPr>
            <w:r w:rsidRPr="00E73F6F">
              <w:rPr>
                <w:spacing w:val="-5"/>
                <w:lang w:val="de-DE"/>
              </w:rPr>
              <w:t>77</w:t>
            </w:r>
          </w:p>
        </w:tc>
      </w:tr>
      <w:tr w:rsidR="00FF7799" w:rsidRPr="00E73F6F" w14:paraId="3F96753E" w14:textId="77777777" w:rsidTr="00561664">
        <w:trPr>
          <w:trHeight w:val="328"/>
        </w:trPr>
        <w:tc>
          <w:tcPr>
            <w:tcW w:w="1250" w:type="pct"/>
            <w:shd w:val="clear" w:color="auto" w:fill="FFF2CC" w:themeFill="accent4" w:themeFillTint="33"/>
          </w:tcPr>
          <w:p w14:paraId="4038AB2D" w14:textId="77777777" w:rsidR="00FF7799" w:rsidRPr="00E73F6F" w:rsidRDefault="00FF7799" w:rsidP="006239E7">
            <w:pPr>
              <w:pStyle w:val="StandardText"/>
              <w:rPr>
                <w:lang w:val="de-DE"/>
              </w:rPr>
            </w:pPr>
            <w:r w:rsidRPr="00E73F6F">
              <w:rPr>
                <w:spacing w:val="-2"/>
                <w:lang w:val="de-DE"/>
              </w:rPr>
              <w:t>Rumänien</w:t>
            </w:r>
          </w:p>
        </w:tc>
        <w:tc>
          <w:tcPr>
            <w:tcW w:w="1250" w:type="pct"/>
          </w:tcPr>
          <w:p w14:paraId="590BA8E0" w14:textId="77777777" w:rsidR="00FF7799" w:rsidRPr="00E73F6F" w:rsidRDefault="00FF7799" w:rsidP="006239E7">
            <w:pPr>
              <w:pStyle w:val="StandardText"/>
              <w:jc w:val="center"/>
              <w:rPr>
                <w:lang w:val="de-DE"/>
              </w:rPr>
            </w:pPr>
            <w:r w:rsidRPr="00E73F6F">
              <w:rPr>
                <w:spacing w:val="-5"/>
                <w:lang w:val="de-DE"/>
              </w:rPr>
              <w:t>5,0</w:t>
            </w:r>
          </w:p>
        </w:tc>
        <w:tc>
          <w:tcPr>
            <w:tcW w:w="1250" w:type="pct"/>
          </w:tcPr>
          <w:p w14:paraId="2F5A8DD1" w14:textId="77777777" w:rsidR="00FF7799" w:rsidRPr="00E73F6F" w:rsidRDefault="00FF7799" w:rsidP="006239E7">
            <w:pPr>
              <w:pStyle w:val="StandardText"/>
              <w:jc w:val="center"/>
              <w:rPr>
                <w:lang w:val="de-DE"/>
              </w:rPr>
            </w:pPr>
            <w:r w:rsidRPr="00E73F6F">
              <w:rPr>
                <w:spacing w:val="-5"/>
                <w:lang w:val="de-DE"/>
              </w:rPr>
              <w:t>5,5</w:t>
            </w:r>
          </w:p>
        </w:tc>
        <w:tc>
          <w:tcPr>
            <w:tcW w:w="1250" w:type="pct"/>
          </w:tcPr>
          <w:p w14:paraId="3FFF48BE" w14:textId="77777777" w:rsidR="00FF7799" w:rsidRPr="00E73F6F" w:rsidRDefault="00FF7799" w:rsidP="006239E7">
            <w:pPr>
              <w:pStyle w:val="StandardText"/>
              <w:jc w:val="center"/>
              <w:rPr>
                <w:lang w:val="de-DE"/>
              </w:rPr>
            </w:pPr>
            <w:r w:rsidRPr="00E73F6F">
              <w:rPr>
                <w:spacing w:val="-5"/>
                <w:lang w:val="de-DE"/>
              </w:rPr>
              <w:t>56</w:t>
            </w:r>
          </w:p>
        </w:tc>
      </w:tr>
      <w:tr w:rsidR="00FF7799" w:rsidRPr="00E73F6F" w14:paraId="2726659F" w14:textId="77777777" w:rsidTr="00561664">
        <w:trPr>
          <w:trHeight w:val="367"/>
        </w:trPr>
        <w:tc>
          <w:tcPr>
            <w:tcW w:w="1250" w:type="pct"/>
            <w:shd w:val="clear" w:color="auto" w:fill="FFF2CC" w:themeFill="accent4" w:themeFillTint="33"/>
          </w:tcPr>
          <w:p w14:paraId="0A1CABA9" w14:textId="77777777" w:rsidR="00FF7799" w:rsidRPr="00E73F6F" w:rsidRDefault="00FF7799" w:rsidP="006239E7">
            <w:pPr>
              <w:pStyle w:val="StandardText"/>
              <w:rPr>
                <w:lang w:val="de-DE"/>
              </w:rPr>
            </w:pPr>
            <w:r w:rsidRPr="00E73F6F">
              <w:rPr>
                <w:spacing w:val="-2"/>
                <w:lang w:val="de-DE"/>
              </w:rPr>
              <w:t>Schweden</w:t>
            </w:r>
          </w:p>
        </w:tc>
        <w:tc>
          <w:tcPr>
            <w:tcW w:w="1250" w:type="pct"/>
          </w:tcPr>
          <w:p w14:paraId="08F22799" w14:textId="77777777" w:rsidR="00FF7799" w:rsidRPr="00E73F6F" w:rsidRDefault="00FF7799" w:rsidP="006239E7">
            <w:pPr>
              <w:pStyle w:val="StandardText"/>
              <w:jc w:val="center"/>
              <w:rPr>
                <w:lang w:val="de-DE"/>
              </w:rPr>
            </w:pPr>
            <w:r w:rsidRPr="00E73F6F">
              <w:rPr>
                <w:spacing w:val="-5"/>
                <w:lang w:val="de-DE"/>
              </w:rPr>
              <w:t>7,3</w:t>
            </w:r>
          </w:p>
        </w:tc>
        <w:tc>
          <w:tcPr>
            <w:tcW w:w="1250" w:type="pct"/>
          </w:tcPr>
          <w:p w14:paraId="4CE5CAB5" w14:textId="77777777" w:rsidR="00FF7799" w:rsidRPr="00E73F6F" w:rsidRDefault="00FF7799" w:rsidP="006239E7">
            <w:pPr>
              <w:pStyle w:val="StandardText"/>
              <w:jc w:val="center"/>
              <w:rPr>
                <w:lang w:val="de-DE"/>
              </w:rPr>
            </w:pPr>
            <w:r w:rsidRPr="00E73F6F">
              <w:rPr>
                <w:spacing w:val="-5"/>
                <w:lang w:val="de-DE"/>
              </w:rPr>
              <w:t>7,3</w:t>
            </w:r>
          </w:p>
        </w:tc>
        <w:tc>
          <w:tcPr>
            <w:tcW w:w="1250" w:type="pct"/>
          </w:tcPr>
          <w:p w14:paraId="269E6F73" w14:textId="77777777" w:rsidR="00FF7799" w:rsidRPr="00E73F6F" w:rsidRDefault="00FF7799" w:rsidP="006239E7">
            <w:pPr>
              <w:pStyle w:val="StandardText"/>
              <w:jc w:val="center"/>
              <w:rPr>
                <w:lang w:val="de-DE"/>
              </w:rPr>
            </w:pPr>
            <w:r w:rsidRPr="00E73F6F">
              <w:rPr>
                <w:spacing w:val="-5"/>
                <w:lang w:val="de-DE"/>
              </w:rPr>
              <w:t>125</w:t>
            </w:r>
          </w:p>
        </w:tc>
      </w:tr>
      <w:tr w:rsidR="00FF7799" w:rsidRPr="00E73F6F" w14:paraId="3A286305" w14:textId="77777777" w:rsidTr="00561664">
        <w:trPr>
          <w:trHeight w:val="287"/>
        </w:trPr>
        <w:tc>
          <w:tcPr>
            <w:tcW w:w="1250" w:type="pct"/>
            <w:shd w:val="clear" w:color="auto" w:fill="FFF2CC" w:themeFill="accent4" w:themeFillTint="33"/>
          </w:tcPr>
          <w:p w14:paraId="07154C3F" w14:textId="77777777" w:rsidR="00FF7799" w:rsidRPr="00E73F6F" w:rsidRDefault="00FF7799" w:rsidP="006239E7">
            <w:pPr>
              <w:pStyle w:val="StandardText"/>
              <w:rPr>
                <w:lang w:val="de-DE"/>
              </w:rPr>
            </w:pPr>
            <w:r w:rsidRPr="00E73F6F">
              <w:rPr>
                <w:spacing w:val="-2"/>
                <w:lang w:val="de-DE"/>
              </w:rPr>
              <w:t>Schweiz</w:t>
            </w:r>
          </w:p>
        </w:tc>
        <w:tc>
          <w:tcPr>
            <w:tcW w:w="1250" w:type="pct"/>
          </w:tcPr>
          <w:p w14:paraId="571ACB4D" w14:textId="77777777" w:rsidR="00FF7799" w:rsidRPr="00E73F6F" w:rsidRDefault="00FF7799" w:rsidP="006239E7">
            <w:pPr>
              <w:pStyle w:val="StandardText"/>
              <w:jc w:val="center"/>
              <w:rPr>
                <w:lang w:val="de-DE"/>
              </w:rPr>
            </w:pPr>
            <w:r w:rsidRPr="00E73F6F">
              <w:rPr>
                <w:spacing w:val="-5"/>
                <w:lang w:val="de-DE"/>
              </w:rPr>
              <w:t>7,5</w:t>
            </w:r>
          </w:p>
        </w:tc>
        <w:tc>
          <w:tcPr>
            <w:tcW w:w="1250" w:type="pct"/>
          </w:tcPr>
          <w:p w14:paraId="39F62E93" w14:textId="77777777" w:rsidR="00FF7799" w:rsidRPr="00E73F6F" w:rsidRDefault="00FF7799" w:rsidP="006239E7">
            <w:pPr>
              <w:pStyle w:val="StandardText"/>
              <w:jc w:val="center"/>
              <w:rPr>
                <w:lang w:val="de-DE"/>
              </w:rPr>
            </w:pPr>
            <w:r w:rsidRPr="00E73F6F">
              <w:rPr>
                <w:spacing w:val="-5"/>
                <w:lang w:val="de-DE"/>
              </w:rPr>
              <w:t>7,5</w:t>
            </w:r>
          </w:p>
        </w:tc>
        <w:tc>
          <w:tcPr>
            <w:tcW w:w="1250" w:type="pct"/>
          </w:tcPr>
          <w:p w14:paraId="3465A2EE" w14:textId="77777777" w:rsidR="00FF7799" w:rsidRPr="00E73F6F" w:rsidRDefault="00FF7799" w:rsidP="006239E7">
            <w:pPr>
              <w:pStyle w:val="StandardText"/>
              <w:jc w:val="center"/>
              <w:rPr>
                <w:lang w:val="de-DE"/>
              </w:rPr>
            </w:pPr>
            <w:r w:rsidRPr="00E73F6F">
              <w:rPr>
                <w:spacing w:val="-5"/>
                <w:lang w:val="de-DE"/>
              </w:rPr>
              <w:t>166</w:t>
            </w:r>
          </w:p>
        </w:tc>
      </w:tr>
      <w:tr w:rsidR="00FF7799" w:rsidRPr="00E73F6F" w14:paraId="507C4565" w14:textId="77777777" w:rsidTr="00561664">
        <w:trPr>
          <w:trHeight w:val="327"/>
        </w:trPr>
        <w:tc>
          <w:tcPr>
            <w:tcW w:w="1250" w:type="pct"/>
            <w:shd w:val="clear" w:color="auto" w:fill="FFF2CC" w:themeFill="accent4" w:themeFillTint="33"/>
          </w:tcPr>
          <w:p w14:paraId="3A6B997F" w14:textId="77777777" w:rsidR="00FF7799" w:rsidRPr="00E73F6F" w:rsidRDefault="00FF7799" w:rsidP="006239E7">
            <w:pPr>
              <w:pStyle w:val="StandardText"/>
              <w:rPr>
                <w:lang w:val="de-DE"/>
              </w:rPr>
            </w:pPr>
            <w:r w:rsidRPr="00E73F6F">
              <w:rPr>
                <w:spacing w:val="-2"/>
                <w:lang w:val="de-DE"/>
              </w:rPr>
              <w:t>Serbien</w:t>
            </w:r>
          </w:p>
        </w:tc>
        <w:tc>
          <w:tcPr>
            <w:tcW w:w="1250" w:type="pct"/>
          </w:tcPr>
          <w:p w14:paraId="4CEC7F71" w14:textId="77777777" w:rsidR="00FF7799" w:rsidRPr="00E73F6F" w:rsidRDefault="00FF7799" w:rsidP="006239E7">
            <w:pPr>
              <w:pStyle w:val="StandardText"/>
              <w:jc w:val="center"/>
              <w:rPr>
                <w:lang w:val="de-DE"/>
              </w:rPr>
            </w:pPr>
            <w:r w:rsidRPr="00E73F6F">
              <w:rPr>
                <w:spacing w:val="-5"/>
                <w:lang w:val="de-DE"/>
              </w:rPr>
              <w:t>4,5</w:t>
            </w:r>
          </w:p>
        </w:tc>
        <w:tc>
          <w:tcPr>
            <w:tcW w:w="1250" w:type="pct"/>
          </w:tcPr>
          <w:p w14:paraId="27E1F7E1" w14:textId="77777777" w:rsidR="00FF7799" w:rsidRPr="00E73F6F" w:rsidRDefault="00FF7799" w:rsidP="006239E7">
            <w:pPr>
              <w:pStyle w:val="StandardText"/>
              <w:jc w:val="center"/>
              <w:rPr>
                <w:lang w:val="de-DE"/>
              </w:rPr>
            </w:pPr>
            <w:r w:rsidRPr="00E73F6F">
              <w:rPr>
                <w:spacing w:val="-5"/>
                <w:lang w:val="de-DE"/>
              </w:rPr>
              <w:t>5,2</w:t>
            </w:r>
          </w:p>
        </w:tc>
        <w:tc>
          <w:tcPr>
            <w:tcW w:w="1250" w:type="pct"/>
          </w:tcPr>
          <w:p w14:paraId="22EF46CF" w14:textId="77777777" w:rsidR="00FF7799" w:rsidRPr="00E73F6F" w:rsidRDefault="00FF7799" w:rsidP="006239E7">
            <w:pPr>
              <w:pStyle w:val="StandardText"/>
              <w:jc w:val="center"/>
              <w:rPr>
                <w:lang w:val="de-DE"/>
              </w:rPr>
            </w:pPr>
            <w:r w:rsidRPr="00E73F6F">
              <w:rPr>
                <w:spacing w:val="-5"/>
                <w:lang w:val="de-DE"/>
              </w:rPr>
              <w:t>36</w:t>
            </w:r>
          </w:p>
        </w:tc>
      </w:tr>
      <w:tr w:rsidR="00FF7799" w:rsidRPr="00E73F6F" w14:paraId="370FF6CE" w14:textId="77777777" w:rsidTr="00561664">
        <w:trPr>
          <w:trHeight w:val="327"/>
        </w:trPr>
        <w:tc>
          <w:tcPr>
            <w:tcW w:w="1250" w:type="pct"/>
            <w:shd w:val="clear" w:color="auto" w:fill="FFF2CC" w:themeFill="accent4" w:themeFillTint="33"/>
          </w:tcPr>
          <w:p w14:paraId="4A7F177F" w14:textId="77777777" w:rsidR="00FF7799" w:rsidRPr="00E73F6F" w:rsidRDefault="00FF7799" w:rsidP="006239E7">
            <w:pPr>
              <w:pStyle w:val="StandardText"/>
              <w:rPr>
                <w:lang w:val="de-DE"/>
              </w:rPr>
            </w:pPr>
            <w:r w:rsidRPr="00E73F6F">
              <w:rPr>
                <w:spacing w:val="-2"/>
                <w:lang w:val="de-DE"/>
              </w:rPr>
              <w:t>Slowakei</w:t>
            </w:r>
          </w:p>
        </w:tc>
        <w:tc>
          <w:tcPr>
            <w:tcW w:w="1250" w:type="pct"/>
          </w:tcPr>
          <w:p w14:paraId="08B53AE2" w14:textId="77777777" w:rsidR="00FF7799" w:rsidRPr="00E73F6F" w:rsidRDefault="00FF7799" w:rsidP="006239E7">
            <w:pPr>
              <w:pStyle w:val="StandardText"/>
              <w:jc w:val="center"/>
              <w:rPr>
                <w:lang w:val="de-DE"/>
              </w:rPr>
            </w:pPr>
            <w:r w:rsidRPr="00E73F6F">
              <w:rPr>
                <w:spacing w:val="-5"/>
                <w:lang w:val="de-DE"/>
              </w:rPr>
              <w:t>6,1</w:t>
            </w:r>
          </w:p>
        </w:tc>
        <w:tc>
          <w:tcPr>
            <w:tcW w:w="1250" w:type="pct"/>
          </w:tcPr>
          <w:p w14:paraId="2BA0981D" w14:textId="77777777" w:rsidR="00FF7799" w:rsidRPr="00E73F6F" w:rsidRDefault="00FF7799" w:rsidP="006239E7">
            <w:pPr>
              <w:pStyle w:val="StandardText"/>
              <w:jc w:val="center"/>
              <w:rPr>
                <w:lang w:val="de-DE"/>
              </w:rPr>
            </w:pPr>
            <w:r w:rsidRPr="00E73F6F">
              <w:rPr>
                <w:spacing w:val="-5"/>
                <w:lang w:val="de-DE"/>
              </w:rPr>
              <w:t>6,1</w:t>
            </w:r>
          </w:p>
        </w:tc>
        <w:tc>
          <w:tcPr>
            <w:tcW w:w="1250" w:type="pct"/>
          </w:tcPr>
          <w:p w14:paraId="4AF86A39" w14:textId="77777777" w:rsidR="00FF7799" w:rsidRPr="00E73F6F" w:rsidRDefault="00FF7799" w:rsidP="006239E7">
            <w:pPr>
              <w:pStyle w:val="StandardText"/>
              <w:jc w:val="center"/>
              <w:rPr>
                <w:lang w:val="de-DE"/>
              </w:rPr>
            </w:pPr>
            <w:r w:rsidRPr="00E73F6F">
              <w:rPr>
                <w:spacing w:val="-5"/>
                <w:lang w:val="de-DE"/>
              </w:rPr>
              <w:t>77</w:t>
            </w:r>
          </w:p>
        </w:tc>
      </w:tr>
      <w:tr w:rsidR="00FF7799" w:rsidRPr="00E73F6F" w14:paraId="7EC6BF17" w14:textId="77777777" w:rsidTr="00561664">
        <w:trPr>
          <w:trHeight w:val="328"/>
        </w:trPr>
        <w:tc>
          <w:tcPr>
            <w:tcW w:w="1250" w:type="pct"/>
            <w:shd w:val="clear" w:color="auto" w:fill="FFF2CC" w:themeFill="accent4" w:themeFillTint="33"/>
          </w:tcPr>
          <w:p w14:paraId="7A7C1E77" w14:textId="77777777" w:rsidR="00FF7799" w:rsidRPr="00E73F6F" w:rsidRDefault="00FF7799" w:rsidP="006239E7">
            <w:pPr>
              <w:pStyle w:val="StandardText"/>
              <w:rPr>
                <w:lang w:val="de-DE"/>
              </w:rPr>
            </w:pPr>
            <w:r w:rsidRPr="00E73F6F">
              <w:rPr>
                <w:spacing w:val="-2"/>
                <w:lang w:val="de-DE"/>
              </w:rPr>
              <w:t>Slowenien</w:t>
            </w:r>
          </w:p>
        </w:tc>
        <w:tc>
          <w:tcPr>
            <w:tcW w:w="1250" w:type="pct"/>
          </w:tcPr>
          <w:p w14:paraId="06A9AF13" w14:textId="77777777" w:rsidR="00FF7799" w:rsidRPr="00E73F6F" w:rsidRDefault="00FF7799" w:rsidP="006239E7">
            <w:pPr>
              <w:pStyle w:val="StandardText"/>
              <w:jc w:val="center"/>
              <w:rPr>
                <w:lang w:val="de-DE"/>
              </w:rPr>
            </w:pPr>
            <w:r w:rsidRPr="00E73F6F">
              <w:rPr>
                <w:spacing w:val="-5"/>
                <w:lang w:val="de-DE"/>
              </w:rPr>
              <w:t>5,8</w:t>
            </w:r>
          </w:p>
        </w:tc>
        <w:tc>
          <w:tcPr>
            <w:tcW w:w="1250" w:type="pct"/>
          </w:tcPr>
          <w:p w14:paraId="36AE187C" w14:textId="77777777" w:rsidR="00FF7799" w:rsidRPr="00E73F6F" w:rsidRDefault="00FF7799" w:rsidP="006239E7">
            <w:pPr>
              <w:pStyle w:val="StandardText"/>
              <w:jc w:val="center"/>
              <w:rPr>
                <w:lang w:val="de-DE"/>
              </w:rPr>
            </w:pPr>
            <w:r w:rsidRPr="00E73F6F">
              <w:rPr>
                <w:spacing w:val="-5"/>
                <w:lang w:val="de-DE"/>
              </w:rPr>
              <w:t>5,8</w:t>
            </w:r>
          </w:p>
        </w:tc>
        <w:tc>
          <w:tcPr>
            <w:tcW w:w="1250" w:type="pct"/>
          </w:tcPr>
          <w:p w14:paraId="4FEE29CF" w14:textId="77777777" w:rsidR="00FF7799" w:rsidRPr="00E73F6F" w:rsidRDefault="00FF7799" w:rsidP="006239E7">
            <w:pPr>
              <w:pStyle w:val="StandardText"/>
              <w:jc w:val="center"/>
              <w:rPr>
                <w:lang w:val="de-DE"/>
              </w:rPr>
            </w:pPr>
            <w:r w:rsidRPr="00E73F6F">
              <w:rPr>
                <w:spacing w:val="-5"/>
                <w:lang w:val="de-DE"/>
              </w:rPr>
              <w:t>82</w:t>
            </w:r>
          </w:p>
        </w:tc>
      </w:tr>
      <w:tr w:rsidR="00FF7799" w:rsidRPr="00E73F6F" w14:paraId="51C58A70" w14:textId="77777777" w:rsidTr="00561664">
        <w:trPr>
          <w:trHeight w:val="327"/>
        </w:trPr>
        <w:tc>
          <w:tcPr>
            <w:tcW w:w="1250" w:type="pct"/>
            <w:shd w:val="clear" w:color="auto" w:fill="FFF2CC" w:themeFill="accent4" w:themeFillTint="33"/>
          </w:tcPr>
          <w:p w14:paraId="299DCDD8" w14:textId="77777777" w:rsidR="00FF7799" w:rsidRPr="00E73F6F" w:rsidRDefault="00FF7799" w:rsidP="006239E7">
            <w:pPr>
              <w:pStyle w:val="StandardText"/>
              <w:rPr>
                <w:lang w:val="de-DE"/>
              </w:rPr>
            </w:pPr>
            <w:r w:rsidRPr="00E73F6F">
              <w:rPr>
                <w:spacing w:val="-2"/>
                <w:lang w:val="de-DE"/>
              </w:rPr>
              <w:t>Spanien</w:t>
            </w:r>
          </w:p>
        </w:tc>
        <w:tc>
          <w:tcPr>
            <w:tcW w:w="1250" w:type="pct"/>
          </w:tcPr>
          <w:p w14:paraId="25EE8DF2" w14:textId="77777777" w:rsidR="00FF7799" w:rsidRPr="00E73F6F" w:rsidRDefault="00FF7799" w:rsidP="006239E7">
            <w:pPr>
              <w:pStyle w:val="StandardText"/>
              <w:jc w:val="center"/>
              <w:rPr>
                <w:lang w:val="de-DE"/>
              </w:rPr>
            </w:pPr>
            <w:r w:rsidRPr="00E73F6F">
              <w:rPr>
                <w:spacing w:val="-5"/>
                <w:lang w:val="de-DE"/>
              </w:rPr>
              <w:t>6,4</w:t>
            </w:r>
          </w:p>
        </w:tc>
        <w:tc>
          <w:tcPr>
            <w:tcW w:w="1250" w:type="pct"/>
          </w:tcPr>
          <w:p w14:paraId="4BC8326A" w14:textId="77777777" w:rsidR="00FF7799" w:rsidRPr="00E73F6F" w:rsidRDefault="00FF7799" w:rsidP="006239E7">
            <w:pPr>
              <w:pStyle w:val="StandardText"/>
              <w:jc w:val="center"/>
              <w:rPr>
                <w:lang w:val="de-DE"/>
              </w:rPr>
            </w:pPr>
            <w:r w:rsidRPr="00E73F6F">
              <w:rPr>
                <w:spacing w:val="-5"/>
                <w:lang w:val="de-DE"/>
              </w:rPr>
              <w:t>6,4</w:t>
            </w:r>
          </w:p>
        </w:tc>
        <w:tc>
          <w:tcPr>
            <w:tcW w:w="1250" w:type="pct"/>
          </w:tcPr>
          <w:p w14:paraId="5A42DA82" w14:textId="77777777" w:rsidR="00FF7799" w:rsidRPr="00E73F6F" w:rsidRDefault="00FF7799" w:rsidP="006239E7">
            <w:pPr>
              <w:pStyle w:val="StandardText"/>
              <w:jc w:val="center"/>
              <w:rPr>
                <w:lang w:val="de-DE"/>
              </w:rPr>
            </w:pPr>
            <w:r w:rsidRPr="00E73F6F">
              <w:rPr>
                <w:spacing w:val="-5"/>
                <w:lang w:val="de-DE"/>
              </w:rPr>
              <w:t>91</w:t>
            </w:r>
          </w:p>
        </w:tc>
      </w:tr>
      <w:tr w:rsidR="00FF7799" w:rsidRPr="00E73F6F" w14:paraId="78F23E88" w14:textId="77777777" w:rsidTr="00561664">
        <w:trPr>
          <w:trHeight w:val="327"/>
        </w:trPr>
        <w:tc>
          <w:tcPr>
            <w:tcW w:w="1250" w:type="pct"/>
            <w:shd w:val="clear" w:color="auto" w:fill="FFF2CC" w:themeFill="accent4" w:themeFillTint="33"/>
          </w:tcPr>
          <w:p w14:paraId="225CC308" w14:textId="77777777" w:rsidR="00FF7799" w:rsidRPr="00E73F6F" w:rsidRDefault="00FF7799" w:rsidP="006239E7">
            <w:pPr>
              <w:pStyle w:val="StandardText"/>
              <w:rPr>
                <w:lang w:val="de-DE"/>
              </w:rPr>
            </w:pPr>
            <w:r w:rsidRPr="00E73F6F">
              <w:rPr>
                <w:spacing w:val="-2"/>
                <w:lang w:val="de-DE"/>
              </w:rPr>
              <w:t>Tschechien</w:t>
            </w:r>
          </w:p>
        </w:tc>
        <w:tc>
          <w:tcPr>
            <w:tcW w:w="1250" w:type="pct"/>
          </w:tcPr>
          <w:p w14:paraId="5BB2C34D" w14:textId="77777777" w:rsidR="00FF7799" w:rsidRPr="00E73F6F" w:rsidRDefault="00FF7799" w:rsidP="006239E7">
            <w:pPr>
              <w:pStyle w:val="StandardText"/>
              <w:jc w:val="center"/>
              <w:rPr>
                <w:lang w:val="de-DE"/>
              </w:rPr>
            </w:pPr>
            <w:r w:rsidRPr="00E73F6F">
              <w:rPr>
                <w:spacing w:val="-5"/>
                <w:lang w:val="de-DE"/>
              </w:rPr>
              <w:t>6,6</w:t>
            </w:r>
          </w:p>
        </w:tc>
        <w:tc>
          <w:tcPr>
            <w:tcW w:w="1250" w:type="pct"/>
          </w:tcPr>
          <w:p w14:paraId="73FB400E" w14:textId="77777777" w:rsidR="00FF7799" w:rsidRPr="00E73F6F" w:rsidRDefault="00FF7799" w:rsidP="006239E7">
            <w:pPr>
              <w:pStyle w:val="StandardText"/>
              <w:jc w:val="center"/>
              <w:rPr>
                <w:lang w:val="de-DE"/>
              </w:rPr>
            </w:pPr>
            <w:r w:rsidRPr="00E73F6F">
              <w:rPr>
                <w:spacing w:val="-5"/>
                <w:lang w:val="de-DE"/>
              </w:rPr>
              <w:t>6,7</w:t>
            </w:r>
          </w:p>
        </w:tc>
        <w:tc>
          <w:tcPr>
            <w:tcW w:w="1250" w:type="pct"/>
          </w:tcPr>
          <w:p w14:paraId="08D5462F" w14:textId="77777777" w:rsidR="00FF7799" w:rsidRPr="00E73F6F" w:rsidRDefault="00FF7799" w:rsidP="006239E7">
            <w:pPr>
              <w:pStyle w:val="StandardText"/>
              <w:jc w:val="center"/>
              <w:rPr>
                <w:lang w:val="de-DE"/>
              </w:rPr>
            </w:pPr>
            <w:r w:rsidRPr="00E73F6F">
              <w:rPr>
                <w:spacing w:val="-5"/>
                <w:lang w:val="de-DE"/>
              </w:rPr>
              <w:t>87</w:t>
            </w:r>
          </w:p>
        </w:tc>
      </w:tr>
      <w:tr w:rsidR="00FF7799" w:rsidRPr="00E73F6F" w14:paraId="2BBC00A9" w14:textId="77777777" w:rsidTr="00561664">
        <w:trPr>
          <w:trHeight w:val="328"/>
        </w:trPr>
        <w:tc>
          <w:tcPr>
            <w:tcW w:w="1250" w:type="pct"/>
            <w:shd w:val="clear" w:color="auto" w:fill="FFF2CC" w:themeFill="accent4" w:themeFillTint="33"/>
          </w:tcPr>
          <w:p w14:paraId="0055CFDC" w14:textId="77777777" w:rsidR="00FF7799" w:rsidRPr="00E73F6F" w:rsidRDefault="00FF7799" w:rsidP="006239E7">
            <w:pPr>
              <w:pStyle w:val="StandardText"/>
              <w:rPr>
                <w:lang w:val="de-DE"/>
              </w:rPr>
            </w:pPr>
            <w:r w:rsidRPr="00E73F6F">
              <w:rPr>
                <w:spacing w:val="-2"/>
                <w:lang w:val="de-DE"/>
              </w:rPr>
              <w:t>Türkei</w:t>
            </w:r>
          </w:p>
        </w:tc>
        <w:tc>
          <w:tcPr>
            <w:tcW w:w="1250" w:type="pct"/>
          </w:tcPr>
          <w:p w14:paraId="7713E67D" w14:textId="77777777" w:rsidR="00FF7799" w:rsidRPr="00E73F6F" w:rsidRDefault="00FF7799" w:rsidP="006239E7">
            <w:pPr>
              <w:pStyle w:val="StandardText"/>
              <w:jc w:val="center"/>
              <w:rPr>
                <w:lang w:val="de-DE"/>
              </w:rPr>
            </w:pPr>
            <w:r w:rsidRPr="00E73F6F">
              <w:rPr>
                <w:spacing w:val="-5"/>
                <w:lang w:val="de-DE"/>
              </w:rPr>
              <w:t>5,5</w:t>
            </w:r>
          </w:p>
        </w:tc>
        <w:tc>
          <w:tcPr>
            <w:tcW w:w="1250" w:type="pct"/>
          </w:tcPr>
          <w:p w14:paraId="517E32C3" w14:textId="77777777" w:rsidR="00FF7799" w:rsidRPr="00E73F6F" w:rsidRDefault="00FF7799" w:rsidP="006239E7">
            <w:pPr>
              <w:pStyle w:val="StandardText"/>
              <w:jc w:val="center"/>
              <w:rPr>
                <w:lang w:val="de-DE"/>
              </w:rPr>
            </w:pPr>
            <w:r w:rsidRPr="00E73F6F">
              <w:rPr>
                <w:spacing w:val="-5"/>
                <w:lang w:val="de-DE"/>
              </w:rPr>
              <w:t>5,4</w:t>
            </w:r>
          </w:p>
        </w:tc>
        <w:tc>
          <w:tcPr>
            <w:tcW w:w="1250" w:type="pct"/>
          </w:tcPr>
          <w:p w14:paraId="716E3389" w14:textId="77777777" w:rsidR="00FF7799" w:rsidRPr="00E73F6F" w:rsidRDefault="00FF7799" w:rsidP="006239E7">
            <w:pPr>
              <w:pStyle w:val="StandardText"/>
              <w:jc w:val="center"/>
              <w:rPr>
                <w:lang w:val="de-DE"/>
              </w:rPr>
            </w:pPr>
            <w:r w:rsidRPr="00E73F6F">
              <w:rPr>
                <w:spacing w:val="-5"/>
                <w:lang w:val="de-DE"/>
              </w:rPr>
              <w:t>65</w:t>
            </w:r>
          </w:p>
        </w:tc>
      </w:tr>
      <w:tr w:rsidR="00FF7799" w:rsidRPr="00E73F6F" w14:paraId="5766C265" w14:textId="77777777" w:rsidTr="00561664">
        <w:trPr>
          <w:trHeight w:val="327"/>
        </w:trPr>
        <w:tc>
          <w:tcPr>
            <w:tcW w:w="1250" w:type="pct"/>
            <w:shd w:val="clear" w:color="auto" w:fill="FFF2CC" w:themeFill="accent4" w:themeFillTint="33"/>
          </w:tcPr>
          <w:p w14:paraId="667230D4" w14:textId="77777777" w:rsidR="00FF7799" w:rsidRPr="00E73F6F" w:rsidRDefault="00FF7799" w:rsidP="006239E7">
            <w:pPr>
              <w:pStyle w:val="StandardText"/>
              <w:rPr>
                <w:lang w:val="de-DE"/>
              </w:rPr>
            </w:pPr>
            <w:r w:rsidRPr="00E73F6F">
              <w:rPr>
                <w:spacing w:val="-2"/>
                <w:lang w:val="de-DE"/>
              </w:rPr>
              <w:t>Ungarn</w:t>
            </w:r>
          </w:p>
        </w:tc>
        <w:tc>
          <w:tcPr>
            <w:tcW w:w="1250" w:type="pct"/>
          </w:tcPr>
          <w:p w14:paraId="45C82243" w14:textId="77777777" w:rsidR="00FF7799" w:rsidRPr="00E73F6F" w:rsidRDefault="00FF7799" w:rsidP="006239E7">
            <w:pPr>
              <w:pStyle w:val="StandardText"/>
              <w:jc w:val="center"/>
              <w:rPr>
                <w:lang w:val="de-DE"/>
              </w:rPr>
            </w:pPr>
            <w:r w:rsidRPr="00E73F6F">
              <w:rPr>
                <w:spacing w:val="-5"/>
                <w:lang w:val="de-DE"/>
              </w:rPr>
              <w:t>5,3</w:t>
            </w:r>
          </w:p>
        </w:tc>
        <w:tc>
          <w:tcPr>
            <w:tcW w:w="1250" w:type="pct"/>
          </w:tcPr>
          <w:p w14:paraId="29D737BD" w14:textId="77777777" w:rsidR="00FF7799" w:rsidRPr="00E73F6F" w:rsidRDefault="00FF7799" w:rsidP="006239E7">
            <w:pPr>
              <w:pStyle w:val="StandardText"/>
              <w:jc w:val="center"/>
              <w:rPr>
                <w:lang w:val="de-DE"/>
              </w:rPr>
            </w:pPr>
            <w:r w:rsidRPr="00E73F6F">
              <w:rPr>
                <w:spacing w:val="-5"/>
                <w:lang w:val="de-DE"/>
              </w:rPr>
              <w:t>5,1</w:t>
            </w:r>
          </w:p>
        </w:tc>
        <w:tc>
          <w:tcPr>
            <w:tcW w:w="1250" w:type="pct"/>
          </w:tcPr>
          <w:p w14:paraId="40820781" w14:textId="77777777" w:rsidR="00FF7799" w:rsidRPr="00E73F6F" w:rsidRDefault="00FF7799" w:rsidP="006239E7">
            <w:pPr>
              <w:pStyle w:val="StandardText"/>
              <w:jc w:val="center"/>
              <w:rPr>
                <w:lang w:val="de-DE"/>
              </w:rPr>
            </w:pPr>
            <w:r w:rsidRPr="00E73F6F">
              <w:rPr>
                <w:spacing w:val="-5"/>
                <w:lang w:val="de-DE"/>
              </w:rPr>
              <w:t>68</w:t>
            </w:r>
          </w:p>
        </w:tc>
      </w:tr>
      <w:tr w:rsidR="00FF7799" w:rsidRPr="00E73F6F" w14:paraId="728461CA" w14:textId="77777777" w:rsidTr="00561664">
        <w:trPr>
          <w:trHeight w:val="368"/>
        </w:trPr>
        <w:tc>
          <w:tcPr>
            <w:tcW w:w="1250" w:type="pct"/>
            <w:shd w:val="clear" w:color="auto" w:fill="FFF2CC" w:themeFill="accent4" w:themeFillTint="33"/>
          </w:tcPr>
          <w:p w14:paraId="1C3C7110" w14:textId="77777777" w:rsidR="00FF7799" w:rsidRPr="00E73F6F" w:rsidRDefault="00FF7799" w:rsidP="006239E7">
            <w:pPr>
              <w:pStyle w:val="StandardText"/>
              <w:rPr>
                <w:lang w:val="de-DE"/>
              </w:rPr>
            </w:pPr>
            <w:r w:rsidRPr="00E73F6F">
              <w:rPr>
                <w:spacing w:val="-2"/>
                <w:lang w:val="de-DE"/>
              </w:rPr>
              <w:t>Zypern</w:t>
            </w:r>
          </w:p>
        </w:tc>
        <w:tc>
          <w:tcPr>
            <w:tcW w:w="1250" w:type="pct"/>
          </w:tcPr>
          <w:p w14:paraId="55CA3A85" w14:textId="77777777" w:rsidR="00FF7799" w:rsidRPr="00E73F6F" w:rsidRDefault="00FF7799" w:rsidP="006239E7">
            <w:pPr>
              <w:pStyle w:val="StandardText"/>
              <w:jc w:val="center"/>
              <w:rPr>
                <w:lang w:val="de-DE"/>
              </w:rPr>
            </w:pPr>
            <w:r w:rsidRPr="00E73F6F">
              <w:rPr>
                <w:spacing w:val="-5"/>
                <w:lang w:val="de-DE"/>
              </w:rPr>
              <w:t>6,5</w:t>
            </w:r>
          </w:p>
        </w:tc>
        <w:tc>
          <w:tcPr>
            <w:tcW w:w="1250" w:type="pct"/>
          </w:tcPr>
          <w:p w14:paraId="4A33D3A3" w14:textId="77777777" w:rsidR="00FF7799" w:rsidRPr="00E73F6F" w:rsidRDefault="00FF7799" w:rsidP="006239E7">
            <w:pPr>
              <w:pStyle w:val="StandardText"/>
              <w:jc w:val="center"/>
              <w:rPr>
                <w:lang w:val="de-DE"/>
              </w:rPr>
            </w:pPr>
            <w:r w:rsidRPr="00E73F6F">
              <w:rPr>
                <w:spacing w:val="-5"/>
                <w:lang w:val="de-DE"/>
              </w:rPr>
              <w:t>5,5</w:t>
            </w:r>
          </w:p>
        </w:tc>
        <w:tc>
          <w:tcPr>
            <w:tcW w:w="1250" w:type="pct"/>
          </w:tcPr>
          <w:p w14:paraId="414AED74" w14:textId="77777777" w:rsidR="00FF7799" w:rsidRPr="00E73F6F" w:rsidRDefault="00FF7799" w:rsidP="006239E7">
            <w:pPr>
              <w:pStyle w:val="StandardText"/>
              <w:jc w:val="center"/>
              <w:rPr>
                <w:lang w:val="de-DE"/>
              </w:rPr>
            </w:pPr>
            <w:r w:rsidRPr="00E73F6F">
              <w:rPr>
                <w:spacing w:val="-5"/>
                <w:lang w:val="de-DE"/>
              </w:rPr>
              <w:t>82</w:t>
            </w:r>
          </w:p>
        </w:tc>
      </w:tr>
    </w:tbl>
    <w:p w14:paraId="5BA87CBD" w14:textId="77777777" w:rsidR="00FF7799" w:rsidRPr="00E35FFF" w:rsidRDefault="00FF7799" w:rsidP="006239E7">
      <w:pPr>
        <w:pStyle w:val="Quellen"/>
        <w:rPr>
          <w:lang w:val="en-US"/>
        </w:rPr>
      </w:pPr>
      <w:r w:rsidRPr="00E35FFF">
        <w:rPr>
          <w:lang w:val="en-US"/>
        </w:rPr>
        <w:t>Quelle:</w:t>
      </w:r>
      <w:r w:rsidRPr="00E35FFF">
        <w:rPr>
          <w:spacing w:val="-10"/>
          <w:lang w:val="en-US"/>
        </w:rPr>
        <w:t xml:space="preserve"> </w:t>
      </w:r>
      <w:r w:rsidRPr="00E35FFF">
        <w:rPr>
          <w:lang w:val="en-US"/>
        </w:rPr>
        <w:t>Eurobarometer</w:t>
      </w:r>
      <w:r w:rsidRPr="00E35FFF">
        <w:rPr>
          <w:spacing w:val="-10"/>
          <w:lang w:val="en-US"/>
        </w:rPr>
        <w:t xml:space="preserve"> </w:t>
      </w:r>
      <w:r w:rsidRPr="00E35FFF">
        <w:rPr>
          <w:lang w:val="en-US"/>
        </w:rPr>
        <w:t>2015</w:t>
      </w:r>
      <w:r w:rsidRPr="00E35FFF">
        <w:rPr>
          <w:spacing w:val="-10"/>
          <w:lang w:val="en-US"/>
        </w:rPr>
        <w:t xml:space="preserve"> </w:t>
      </w:r>
      <w:r w:rsidRPr="00E35FFF">
        <w:rPr>
          <w:lang w:val="en-US"/>
        </w:rPr>
        <w:t>(</w:t>
      </w:r>
      <w:hyperlink r:id="rId206">
        <w:r w:rsidRPr="00E35FFF">
          <w:rPr>
            <w:lang w:val="en-US"/>
          </w:rPr>
          <w:t>www.dpdhl.com/de/presse/mediathek/grafiken/gluecksatlas);</w:t>
        </w:r>
      </w:hyperlink>
      <w:r w:rsidRPr="00E35FFF">
        <w:rPr>
          <w:spacing w:val="40"/>
          <w:lang w:val="en-US"/>
        </w:rPr>
        <w:t xml:space="preserve"> </w:t>
      </w:r>
      <w:r w:rsidRPr="00E35FFF">
        <w:rPr>
          <w:lang w:val="en-US"/>
        </w:rPr>
        <w:t>World Database of Happiness 2015; Eurostat 2015; OECD Better Life-Index.</w:t>
      </w:r>
    </w:p>
    <w:p w14:paraId="69C65053" w14:textId="77777777" w:rsidR="00FF7799" w:rsidRPr="00E35FFF" w:rsidRDefault="00FF7799" w:rsidP="006239E7">
      <w:pPr>
        <w:pStyle w:val="StandardText"/>
        <w:rPr>
          <w:lang w:val="en-US"/>
        </w:rPr>
      </w:pPr>
    </w:p>
    <w:p w14:paraId="78046F0B" w14:textId="77777777" w:rsidR="00FF7799" w:rsidRPr="00E73F6F" w:rsidRDefault="00FF7799" w:rsidP="006239E7">
      <w:pPr>
        <w:pStyle w:val="StandardText"/>
      </w:pPr>
      <w:r w:rsidRPr="00E73F6F">
        <w:t>Die vergleichsweise geringe Varianz der Zufriedenheits- und Glücksangaben entspricht dem, was zahlreiche Studien bereits zu erkennen gegeben haben: Lebenszufriedenheit hängt offenbar nur in begrenztem Maße von den konkreten Lebensumständen,</w:t>
      </w:r>
      <w:r w:rsidRPr="00E73F6F">
        <w:rPr>
          <w:spacing w:val="-5"/>
        </w:rPr>
        <w:t xml:space="preserve"> </w:t>
      </w:r>
      <w:r w:rsidRPr="00E73F6F">
        <w:t>in</w:t>
      </w:r>
      <w:r w:rsidRPr="00E73F6F">
        <w:rPr>
          <w:spacing w:val="-3"/>
        </w:rPr>
        <w:t xml:space="preserve"> </w:t>
      </w:r>
      <w:r w:rsidRPr="00E73F6F">
        <w:t>erheblichem</w:t>
      </w:r>
      <w:r w:rsidRPr="00E73F6F">
        <w:rPr>
          <w:spacing w:val="-6"/>
        </w:rPr>
        <w:t xml:space="preserve"> </w:t>
      </w:r>
      <w:r w:rsidRPr="00E73F6F">
        <w:t>Maße</w:t>
      </w:r>
      <w:r w:rsidRPr="00E73F6F">
        <w:rPr>
          <w:spacing w:val="-6"/>
        </w:rPr>
        <w:t xml:space="preserve"> </w:t>
      </w:r>
      <w:r w:rsidRPr="00E73F6F">
        <w:t>jedoch</w:t>
      </w:r>
      <w:r w:rsidRPr="00E73F6F">
        <w:rPr>
          <w:spacing w:val="-6"/>
        </w:rPr>
        <w:t xml:space="preserve"> </w:t>
      </w:r>
      <w:r w:rsidRPr="00E73F6F">
        <w:t>von</w:t>
      </w:r>
      <w:r w:rsidRPr="00E73F6F">
        <w:rPr>
          <w:spacing w:val="-6"/>
        </w:rPr>
        <w:t xml:space="preserve"> </w:t>
      </w:r>
      <w:r w:rsidRPr="00E73F6F">
        <w:t>der</w:t>
      </w:r>
      <w:r w:rsidRPr="00E73F6F">
        <w:rPr>
          <w:spacing w:val="-7"/>
        </w:rPr>
        <w:t xml:space="preserve"> </w:t>
      </w:r>
      <w:r w:rsidRPr="00E73F6F">
        <w:t>jeweiligen Persönlichkeit ab (z.B. Offenheit für neue Erfahrungen, Toleranz, Selbstbewusstsein). Auch scheint</w:t>
      </w:r>
      <w:r w:rsidRPr="00E73F6F">
        <w:rPr>
          <w:spacing w:val="-5"/>
        </w:rPr>
        <w:t xml:space="preserve"> </w:t>
      </w:r>
      <w:r w:rsidRPr="00E73F6F">
        <w:t>dieses</w:t>
      </w:r>
      <w:r w:rsidRPr="00E73F6F">
        <w:rPr>
          <w:spacing w:val="-3"/>
        </w:rPr>
        <w:t xml:space="preserve"> </w:t>
      </w:r>
      <w:r w:rsidRPr="00E73F6F">
        <w:t>Gefühl</w:t>
      </w:r>
      <w:r w:rsidRPr="00E73F6F">
        <w:rPr>
          <w:spacing w:val="-3"/>
        </w:rPr>
        <w:t xml:space="preserve"> </w:t>
      </w:r>
      <w:r w:rsidRPr="00E73F6F">
        <w:t>zum</w:t>
      </w:r>
      <w:r w:rsidRPr="00E73F6F">
        <w:rPr>
          <w:spacing w:val="-6"/>
        </w:rPr>
        <w:t xml:space="preserve"> </w:t>
      </w:r>
      <w:r w:rsidRPr="00E73F6F">
        <w:t>Teil</w:t>
      </w:r>
      <w:r w:rsidRPr="00E73F6F">
        <w:rPr>
          <w:spacing w:val="-3"/>
        </w:rPr>
        <w:t xml:space="preserve"> </w:t>
      </w:r>
      <w:r w:rsidRPr="00E73F6F">
        <w:t>angeboren</w:t>
      </w:r>
      <w:r w:rsidRPr="00E73F6F">
        <w:rPr>
          <w:spacing w:val="-4"/>
        </w:rPr>
        <w:t xml:space="preserve"> </w:t>
      </w:r>
      <w:r w:rsidRPr="00E73F6F">
        <w:t>zu</w:t>
      </w:r>
      <w:r w:rsidRPr="00E73F6F">
        <w:rPr>
          <w:spacing w:val="-4"/>
        </w:rPr>
        <w:t xml:space="preserve"> </w:t>
      </w:r>
      <w:r w:rsidRPr="00E73F6F">
        <w:t>sein.</w:t>
      </w:r>
      <w:r w:rsidRPr="00E73F6F">
        <w:rPr>
          <w:spacing w:val="-5"/>
        </w:rPr>
        <w:t xml:space="preserve"> </w:t>
      </w:r>
      <w:r w:rsidRPr="00E73F6F">
        <w:t>So</w:t>
      </w:r>
      <w:r w:rsidRPr="00E73F6F">
        <w:rPr>
          <w:spacing w:val="-4"/>
        </w:rPr>
        <w:t xml:space="preserve"> </w:t>
      </w:r>
      <w:r w:rsidRPr="00E73F6F">
        <w:t>sind</w:t>
      </w:r>
      <w:r w:rsidRPr="00E73F6F">
        <w:rPr>
          <w:spacing w:val="-4"/>
        </w:rPr>
        <w:t xml:space="preserve"> </w:t>
      </w:r>
      <w:r w:rsidRPr="00E73F6F">
        <w:t>extravertierte</w:t>
      </w:r>
      <w:r w:rsidRPr="00E73F6F">
        <w:rPr>
          <w:spacing w:val="-4"/>
        </w:rPr>
        <w:t xml:space="preserve"> </w:t>
      </w:r>
      <w:r w:rsidRPr="00E73F6F">
        <w:t>Personen zufriedener bzw. glücklicher, neurotische Menschen hingegen eher unzufrieden.</w:t>
      </w:r>
    </w:p>
    <w:p w14:paraId="5D24F29A" w14:textId="77777777" w:rsidR="00FF7799" w:rsidRPr="00561664" w:rsidRDefault="00FF7799" w:rsidP="006239E7">
      <w:pPr>
        <w:pStyle w:val="StandardText"/>
        <w:rPr>
          <w:sz w:val="22"/>
          <w:szCs w:val="22"/>
        </w:rPr>
      </w:pPr>
      <w:r w:rsidRPr="00561664">
        <w:rPr>
          <w:b/>
          <w:i/>
          <w:sz w:val="22"/>
          <w:szCs w:val="22"/>
          <w:lang w:val="en-US"/>
        </w:rPr>
        <w:t>Literatur</w:t>
      </w:r>
      <w:r w:rsidRPr="00561664">
        <w:rPr>
          <w:i/>
          <w:sz w:val="22"/>
          <w:szCs w:val="22"/>
          <w:lang w:val="en-US"/>
        </w:rPr>
        <w:t>:</w:t>
      </w:r>
      <w:r w:rsidRPr="00561664">
        <w:rPr>
          <w:spacing w:val="-5"/>
          <w:sz w:val="22"/>
          <w:szCs w:val="22"/>
          <w:lang w:val="en-US"/>
        </w:rPr>
        <w:t xml:space="preserve"> </w:t>
      </w:r>
      <w:r w:rsidRPr="00561664">
        <w:rPr>
          <w:sz w:val="22"/>
          <w:szCs w:val="22"/>
          <w:lang w:val="en-US"/>
        </w:rPr>
        <w:t>Diener,</w:t>
      </w:r>
      <w:r w:rsidRPr="00561664">
        <w:rPr>
          <w:spacing w:val="-6"/>
          <w:sz w:val="22"/>
          <w:szCs w:val="22"/>
          <w:lang w:val="en-US"/>
        </w:rPr>
        <w:t xml:space="preserve"> </w:t>
      </w:r>
      <w:r w:rsidRPr="00561664">
        <w:rPr>
          <w:sz w:val="22"/>
          <w:szCs w:val="22"/>
          <w:lang w:val="en-US"/>
        </w:rPr>
        <w:t>E.;</w:t>
      </w:r>
      <w:r w:rsidRPr="00561664">
        <w:rPr>
          <w:spacing w:val="-6"/>
          <w:sz w:val="22"/>
          <w:szCs w:val="22"/>
          <w:lang w:val="en-US"/>
        </w:rPr>
        <w:t xml:space="preserve"> </w:t>
      </w:r>
      <w:r w:rsidRPr="00561664">
        <w:rPr>
          <w:sz w:val="22"/>
          <w:szCs w:val="22"/>
          <w:lang w:val="en-US"/>
        </w:rPr>
        <w:t>Diener,</w:t>
      </w:r>
      <w:r w:rsidRPr="00561664">
        <w:rPr>
          <w:spacing w:val="-6"/>
          <w:sz w:val="22"/>
          <w:szCs w:val="22"/>
          <w:lang w:val="en-US"/>
        </w:rPr>
        <w:t xml:space="preserve"> </w:t>
      </w:r>
      <w:r w:rsidRPr="00561664">
        <w:rPr>
          <w:sz w:val="22"/>
          <w:szCs w:val="22"/>
          <w:lang w:val="en-US"/>
        </w:rPr>
        <w:t>M.</w:t>
      </w:r>
      <w:r w:rsidRPr="00561664">
        <w:rPr>
          <w:spacing w:val="-3"/>
          <w:sz w:val="22"/>
          <w:szCs w:val="22"/>
          <w:lang w:val="en-US"/>
        </w:rPr>
        <w:t xml:space="preserve"> </w:t>
      </w:r>
      <w:r w:rsidRPr="00561664">
        <w:rPr>
          <w:sz w:val="22"/>
          <w:szCs w:val="22"/>
          <w:lang w:val="en-US"/>
        </w:rPr>
        <w:t>(1995):</w:t>
      </w:r>
      <w:r w:rsidRPr="00561664">
        <w:rPr>
          <w:spacing w:val="-4"/>
          <w:sz w:val="22"/>
          <w:szCs w:val="22"/>
          <w:lang w:val="en-US"/>
        </w:rPr>
        <w:t xml:space="preserve"> </w:t>
      </w:r>
      <w:r w:rsidRPr="00561664">
        <w:rPr>
          <w:sz w:val="22"/>
          <w:szCs w:val="22"/>
          <w:lang w:val="en-US"/>
        </w:rPr>
        <w:t>Cross-Cultural</w:t>
      </w:r>
      <w:r w:rsidRPr="00561664">
        <w:rPr>
          <w:spacing w:val="-6"/>
          <w:sz w:val="22"/>
          <w:szCs w:val="22"/>
          <w:lang w:val="en-US"/>
        </w:rPr>
        <w:t xml:space="preserve"> </w:t>
      </w:r>
      <w:r w:rsidRPr="00561664">
        <w:rPr>
          <w:sz w:val="22"/>
          <w:szCs w:val="22"/>
          <w:lang w:val="en-US"/>
        </w:rPr>
        <w:t>Correlates</w:t>
      </w:r>
      <w:r w:rsidRPr="00561664">
        <w:rPr>
          <w:spacing w:val="-7"/>
          <w:sz w:val="22"/>
          <w:szCs w:val="22"/>
          <w:lang w:val="en-US"/>
        </w:rPr>
        <w:t xml:space="preserve"> </w:t>
      </w:r>
      <w:r w:rsidRPr="00561664">
        <w:rPr>
          <w:sz w:val="22"/>
          <w:szCs w:val="22"/>
          <w:lang w:val="en-US"/>
        </w:rPr>
        <w:t>of</w:t>
      </w:r>
      <w:r w:rsidRPr="00561664">
        <w:rPr>
          <w:spacing w:val="-6"/>
          <w:sz w:val="22"/>
          <w:szCs w:val="22"/>
          <w:lang w:val="en-US"/>
        </w:rPr>
        <w:t xml:space="preserve"> </w:t>
      </w:r>
      <w:r w:rsidRPr="00561664">
        <w:rPr>
          <w:sz w:val="22"/>
          <w:szCs w:val="22"/>
          <w:lang w:val="en-US"/>
        </w:rPr>
        <w:t>Life</w:t>
      </w:r>
      <w:r w:rsidRPr="00561664">
        <w:rPr>
          <w:spacing w:val="-6"/>
          <w:sz w:val="22"/>
          <w:szCs w:val="22"/>
          <w:lang w:val="en-US"/>
        </w:rPr>
        <w:t xml:space="preserve"> </w:t>
      </w:r>
      <w:r w:rsidRPr="00561664">
        <w:rPr>
          <w:sz w:val="22"/>
          <w:szCs w:val="22"/>
          <w:lang w:val="en-US"/>
        </w:rPr>
        <w:t>Satisfaction</w:t>
      </w:r>
      <w:r w:rsidRPr="00561664">
        <w:rPr>
          <w:spacing w:val="-6"/>
          <w:sz w:val="22"/>
          <w:szCs w:val="22"/>
          <w:lang w:val="en-US"/>
        </w:rPr>
        <w:t xml:space="preserve"> </w:t>
      </w:r>
      <w:r w:rsidRPr="00561664">
        <w:rPr>
          <w:sz w:val="22"/>
          <w:szCs w:val="22"/>
          <w:lang w:val="en-US"/>
        </w:rPr>
        <w:t>and</w:t>
      </w:r>
      <w:r w:rsidRPr="00561664">
        <w:rPr>
          <w:spacing w:val="40"/>
          <w:sz w:val="22"/>
          <w:szCs w:val="22"/>
          <w:lang w:val="en-US"/>
        </w:rPr>
        <w:t xml:space="preserve"> </w:t>
      </w:r>
      <w:r w:rsidRPr="00561664">
        <w:rPr>
          <w:sz w:val="22"/>
          <w:szCs w:val="22"/>
          <w:lang w:val="en-US"/>
        </w:rPr>
        <w:t>Self-Esteem,</w:t>
      </w:r>
      <w:r w:rsidRPr="00561664">
        <w:rPr>
          <w:spacing w:val="-6"/>
          <w:sz w:val="22"/>
          <w:szCs w:val="22"/>
          <w:lang w:val="en-US"/>
        </w:rPr>
        <w:t xml:space="preserve"> </w:t>
      </w:r>
      <w:r w:rsidRPr="00561664">
        <w:rPr>
          <w:sz w:val="22"/>
          <w:szCs w:val="22"/>
          <w:lang w:val="en-US"/>
        </w:rPr>
        <w:t>Journal</w:t>
      </w:r>
      <w:r w:rsidRPr="00561664">
        <w:rPr>
          <w:spacing w:val="-6"/>
          <w:sz w:val="22"/>
          <w:szCs w:val="22"/>
          <w:lang w:val="en-US"/>
        </w:rPr>
        <w:t xml:space="preserve"> </w:t>
      </w:r>
      <w:r w:rsidRPr="00561664">
        <w:rPr>
          <w:sz w:val="22"/>
          <w:szCs w:val="22"/>
          <w:lang w:val="en-US"/>
        </w:rPr>
        <w:t>of</w:t>
      </w:r>
      <w:r w:rsidRPr="00561664">
        <w:rPr>
          <w:spacing w:val="-7"/>
          <w:sz w:val="22"/>
          <w:szCs w:val="22"/>
          <w:lang w:val="en-US"/>
        </w:rPr>
        <w:t xml:space="preserve"> </w:t>
      </w:r>
      <w:r w:rsidRPr="00561664">
        <w:rPr>
          <w:sz w:val="22"/>
          <w:szCs w:val="22"/>
          <w:lang w:val="en-US"/>
        </w:rPr>
        <w:t>Personality</w:t>
      </w:r>
      <w:r w:rsidRPr="00561664">
        <w:rPr>
          <w:spacing w:val="-5"/>
          <w:sz w:val="22"/>
          <w:szCs w:val="22"/>
          <w:lang w:val="en-US"/>
        </w:rPr>
        <w:t xml:space="preserve"> </w:t>
      </w:r>
      <w:r w:rsidRPr="00561664">
        <w:rPr>
          <w:sz w:val="22"/>
          <w:szCs w:val="22"/>
          <w:lang w:val="en-US"/>
        </w:rPr>
        <w:t>and</w:t>
      </w:r>
      <w:r w:rsidRPr="00561664">
        <w:rPr>
          <w:spacing w:val="-4"/>
          <w:sz w:val="22"/>
          <w:szCs w:val="22"/>
          <w:lang w:val="en-US"/>
        </w:rPr>
        <w:t xml:space="preserve"> </w:t>
      </w:r>
      <w:r w:rsidRPr="00561664">
        <w:rPr>
          <w:sz w:val="22"/>
          <w:szCs w:val="22"/>
          <w:lang w:val="en-US"/>
        </w:rPr>
        <w:t>Social</w:t>
      </w:r>
      <w:r w:rsidRPr="00561664">
        <w:rPr>
          <w:spacing w:val="-4"/>
          <w:sz w:val="22"/>
          <w:szCs w:val="22"/>
          <w:lang w:val="en-US"/>
        </w:rPr>
        <w:t xml:space="preserve"> </w:t>
      </w:r>
      <w:r w:rsidRPr="00561664">
        <w:rPr>
          <w:sz w:val="22"/>
          <w:szCs w:val="22"/>
          <w:lang w:val="en-US"/>
        </w:rPr>
        <w:t>Psychology,</w:t>
      </w:r>
      <w:r w:rsidRPr="00561664">
        <w:rPr>
          <w:spacing w:val="-6"/>
          <w:sz w:val="22"/>
          <w:szCs w:val="22"/>
          <w:lang w:val="en-US"/>
        </w:rPr>
        <w:t xml:space="preserve"> </w:t>
      </w:r>
      <w:r w:rsidRPr="00561664">
        <w:rPr>
          <w:sz w:val="22"/>
          <w:szCs w:val="22"/>
          <w:lang w:val="en-US"/>
        </w:rPr>
        <w:t>68(4):</w:t>
      </w:r>
      <w:r w:rsidRPr="00561664">
        <w:rPr>
          <w:spacing w:val="-8"/>
          <w:sz w:val="22"/>
          <w:szCs w:val="22"/>
          <w:lang w:val="en-US"/>
        </w:rPr>
        <w:t xml:space="preserve"> </w:t>
      </w:r>
      <w:r w:rsidRPr="00561664">
        <w:rPr>
          <w:sz w:val="22"/>
          <w:szCs w:val="22"/>
          <w:lang w:val="en-US"/>
        </w:rPr>
        <w:t>653-663.</w:t>
      </w:r>
      <w:r w:rsidRPr="00561664">
        <w:rPr>
          <w:spacing w:val="40"/>
          <w:sz w:val="22"/>
          <w:szCs w:val="22"/>
          <w:lang w:val="en-US"/>
        </w:rPr>
        <w:t xml:space="preserve"> </w:t>
      </w:r>
      <w:r w:rsidRPr="00561664">
        <w:rPr>
          <w:sz w:val="22"/>
          <w:szCs w:val="22"/>
          <w:lang w:val="en-US"/>
        </w:rPr>
        <w:t>Sheldon,</w:t>
      </w:r>
      <w:r w:rsidRPr="00561664">
        <w:rPr>
          <w:spacing w:val="-8"/>
          <w:sz w:val="22"/>
          <w:szCs w:val="22"/>
          <w:lang w:val="en-US"/>
        </w:rPr>
        <w:t xml:space="preserve"> </w:t>
      </w:r>
      <w:r w:rsidRPr="00561664">
        <w:rPr>
          <w:sz w:val="22"/>
          <w:szCs w:val="22"/>
          <w:lang w:val="en-US"/>
        </w:rPr>
        <w:t>K.M.;</w:t>
      </w:r>
      <w:r w:rsidRPr="00561664">
        <w:rPr>
          <w:spacing w:val="40"/>
          <w:sz w:val="22"/>
          <w:szCs w:val="22"/>
          <w:lang w:val="en-US"/>
        </w:rPr>
        <w:t xml:space="preserve"> </w:t>
      </w:r>
      <w:r w:rsidRPr="00561664">
        <w:rPr>
          <w:sz w:val="22"/>
          <w:szCs w:val="22"/>
          <w:lang w:val="en-US"/>
        </w:rPr>
        <w:t xml:space="preserve">Elliot, A.J.; Kim,Y.; Kasser, T. (2001): What’s Satisfying about Satisfying Events? </w:t>
      </w:r>
      <w:r w:rsidRPr="00561664">
        <w:rPr>
          <w:sz w:val="22"/>
          <w:szCs w:val="22"/>
        </w:rPr>
        <w:t>Journal</w:t>
      </w:r>
      <w:r w:rsidRPr="00561664">
        <w:rPr>
          <w:spacing w:val="40"/>
          <w:sz w:val="22"/>
          <w:szCs w:val="22"/>
        </w:rPr>
        <w:t xml:space="preserve"> </w:t>
      </w:r>
      <w:r w:rsidRPr="00561664">
        <w:rPr>
          <w:sz w:val="22"/>
          <w:szCs w:val="22"/>
        </w:rPr>
        <w:t>of Personality and Social Psychology, 80(2): 325-339.</w:t>
      </w:r>
    </w:p>
    <w:p w14:paraId="6D7BF6A7" w14:textId="77777777" w:rsidR="00FF7799" w:rsidRPr="00E73F6F" w:rsidRDefault="00FF7799" w:rsidP="006239E7">
      <w:pPr>
        <w:pStyle w:val="StandardText"/>
      </w:pPr>
    </w:p>
    <w:sectPr w:rsidR="00FF7799" w:rsidRPr="00E73F6F" w:rsidSect="00C03491">
      <w:headerReference w:type="default" r:id="rId207"/>
      <w:pgSz w:w="11906" w:h="16838" w:code="9"/>
      <w:pgMar w:top="1417" w:right="1417" w:bottom="1134" w:left="1417" w:header="965"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ACB062" w14:textId="77777777" w:rsidR="007252B2" w:rsidRDefault="007252B2">
      <w:r>
        <w:separator/>
      </w:r>
    </w:p>
  </w:endnote>
  <w:endnote w:type="continuationSeparator" w:id="0">
    <w:p w14:paraId="766A79A8" w14:textId="77777777" w:rsidR="007252B2" w:rsidRDefault="00725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W1)">
    <w:altName w:val="Times New Roman"/>
    <w:charset w:val="00"/>
    <w:family w:val="roman"/>
    <w:pitch w:val="variable"/>
    <w:sig w:usb0="00000000" w:usb1="80000000" w:usb2="00000008"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Helvetica">
    <w:panose1 w:val="020B05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Helv">
    <w:panose1 w:val="020B060402020203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1A3CBD" w14:textId="77777777" w:rsidR="007252B2" w:rsidRDefault="007252B2">
      <w:r>
        <w:separator/>
      </w:r>
    </w:p>
  </w:footnote>
  <w:footnote w:type="continuationSeparator" w:id="0">
    <w:p w14:paraId="437641AB" w14:textId="77777777" w:rsidR="007252B2" w:rsidRDefault="007252B2">
      <w:r>
        <w:continuationSeparator/>
      </w:r>
    </w:p>
  </w:footnote>
  <w:footnote w:id="1">
    <w:p w14:paraId="60DBE2C8" w14:textId="77777777" w:rsidR="001B7BA6" w:rsidRDefault="001B7BA6"/>
    <w:p w14:paraId="26F325C8" w14:textId="77777777" w:rsidR="001E58F5" w:rsidRPr="0018289F" w:rsidRDefault="001E58F5" w:rsidP="001E58F5">
      <w:pPr>
        <w:pStyle w:val="Funoten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72EAA" w14:textId="77777777" w:rsidR="00E17A2B" w:rsidRDefault="00E17A2B">
    <w:pPr>
      <w:pStyle w:val="Kopfzeile"/>
      <w:jc w:val="right"/>
    </w:pPr>
  </w:p>
  <w:p w14:paraId="76F60792" w14:textId="77777777" w:rsidR="00E17A2B" w:rsidRPr="007E4573" w:rsidRDefault="00E17A2B" w:rsidP="002A4569">
    <w:pPr>
      <w:tabs>
        <w:tab w:val="left" w:pos="5529"/>
      </w:tabs>
      <w:ind w:right="360" w:firstLine="360"/>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8101603"/>
      <w:docPartObj>
        <w:docPartGallery w:val="Page Numbers (Top of Page)"/>
        <w:docPartUnique/>
      </w:docPartObj>
    </w:sdtPr>
    <w:sdtContent>
      <w:p w14:paraId="66D1E007" w14:textId="77777777" w:rsidR="00E17A2B" w:rsidRDefault="00E17A2B">
        <w:pPr>
          <w:pStyle w:val="Kopfzeile"/>
          <w:jc w:val="right"/>
        </w:pPr>
        <w:r>
          <w:fldChar w:fldCharType="begin"/>
        </w:r>
        <w:r>
          <w:instrText>PAGE   \* MERGEFORMAT</w:instrText>
        </w:r>
        <w:r>
          <w:fldChar w:fldCharType="separate"/>
        </w:r>
        <w:r w:rsidR="00224CC2">
          <w:rPr>
            <w:noProof/>
          </w:rPr>
          <w:t>337</w:t>
        </w:r>
        <w:r>
          <w:fldChar w:fldCharType="end"/>
        </w:r>
      </w:p>
    </w:sdtContent>
  </w:sdt>
  <w:p w14:paraId="1C8C5DFD" w14:textId="77777777" w:rsidR="00E17A2B" w:rsidRPr="007E4573" w:rsidRDefault="00E17A2B" w:rsidP="002A4569">
    <w:pPr>
      <w:tabs>
        <w:tab w:val="left" w:pos="5529"/>
      </w:tabs>
      <w:ind w:right="360" w:firstLine="360"/>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96BD5"/>
    <w:multiLevelType w:val="hybridMultilevel"/>
    <w:tmpl w:val="0D68AB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744862"/>
    <w:multiLevelType w:val="hybridMultilevel"/>
    <w:tmpl w:val="8D185058"/>
    <w:lvl w:ilvl="0" w:tplc="04D26C92">
      <w:start w:val="1"/>
      <w:numFmt w:val="bullet"/>
      <w:lvlText w:val=""/>
      <w:lvlJc w:val="left"/>
      <w:pPr>
        <w:tabs>
          <w:tab w:val="num" w:pos="360"/>
        </w:tabs>
        <w:ind w:left="170" w:hanging="17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2F0613D"/>
    <w:multiLevelType w:val="hybridMultilevel"/>
    <w:tmpl w:val="B8E81018"/>
    <w:lvl w:ilvl="0" w:tplc="BF9C58C2">
      <w:start w:val="1"/>
      <w:numFmt w:val="bullet"/>
      <w:lvlText w:val=""/>
      <w:lvlJc w:val="left"/>
      <w:pPr>
        <w:ind w:left="785" w:hanging="360"/>
      </w:pPr>
      <w:rPr>
        <w:rFonts w:ascii="Symbol" w:hAnsi="Symbol" w:hint="default"/>
        <w:sz w:val="18"/>
        <w:szCs w:val="18"/>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4CC35E3"/>
    <w:multiLevelType w:val="singleLevel"/>
    <w:tmpl w:val="5E5AFCD6"/>
    <w:lvl w:ilvl="0">
      <w:start w:val="1"/>
      <w:numFmt w:val="bullet"/>
      <w:lvlText w:val=""/>
      <w:lvlJc w:val="left"/>
      <w:pPr>
        <w:tabs>
          <w:tab w:val="num" w:pos="357"/>
        </w:tabs>
        <w:ind w:left="170" w:hanging="170"/>
      </w:pPr>
      <w:rPr>
        <w:rFonts w:ascii="Symbol" w:hAnsi="Symbol" w:hint="default"/>
      </w:rPr>
    </w:lvl>
  </w:abstractNum>
  <w:abstractNum w:abstractNumId="4" w15:restartNumberingAfterBreak="0">
    <w:nsid w:val="05DD12B5"/>
    <w:multiLevelType w:val="hybridMultilevel"/>
    <w:tmpl w:val="BA7820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78A7504"/>
    <w:multiLevelType w:val="hybridMultilevel"/>
    <w:tmpl w:val="ED1CD3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A772DDF"/>
    <w:multiLevelType w:val="singleLevel"/>
    <w:tmpl w:val="5E5AFCD6"/>
    <w:lvl w:ilvl="0">
      <w:start w:val="1"/>
      <w:numFmt w:val="bullet"/>
      <w:lvlText w:val=""/>
      <w:lvlJc w:val="left"/>
      <w:pPr>
        <w:tabs>
          <w:tab w:val="num" w:pos="357"/>
        </w:tabs>
        <w:ind w:left="170" w:hanging="170"/>
      </w:pPr>
      <w:rPr>
        <w:rFonts w:ascii="Symbol" w:hAnsi="Symbol" w:hint="default"/>
      </w:rPr>
    </w:lvl>
  </w:abstractNum>
  <w:abstractNum w:abstractNumId="7" w15:restartNumberingAfterBreak="0">
    <w:nsid w:val="0ACE33B3"/>
    <w:multiLevelType w:val="hybridMultilevel"/>
    <w:tmpl w:val="E0A8382A"/>
    <w:lvl w:ilvl="0" w:tplc="A6B05AF4">
      <w:start w:val="13"/>
      <w:numFmt w:val="bullet"/>
      <w:pStyle w:val="Punk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0E3959FF"/>
    <w:multiLevelType w:val="hybridMultilevel"/>
    <w:tmpl w:val="B018256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0F1545C4"/>
    <w:multiLevelType w:val="multilevel"/>
    <w:tmpl w:val="D4F0B8EE"/>
    <w:styleLink w:val="Formatvorlage6"/>
    <w:lvl w:ilvl="0">
      <w:start w:val="2"/>
      <w:numFmt w:val="decimal"/>
      <w:lvlText w:val="%1.1.1"/>
      <w:lvlJc w:val="left"/>
      <w:pPr>
        <w:ind w:left="72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0F94419A"/>
    <w:multiLevelType w:val="hybridMultilevel"/>
    <w:tmpl w:val="E026AA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10814D72"/>
    <w:multiLevelType w:val="hybridMultilevel"/>
    <w:tmpl w:val="C36814CA"/>
    <w:lvl w:ilvl="0" w:tplc="91C6CD6E">
      <w:start w:val="1"/>
      <w:numFmt w:val="bullet"/>
      <w:pStyle w:val="Hauptberschrift"/>
      <w:lvlText w:val=""/>
      <w:lvlJc w:val="left"/>
      <w:pPr>
        <w:ind w:left="360" w:hanging="360"/>
      </w:pPr>
      <w:rPr>
        <w:rFonts w:ascii="Symbol" w:hAnsi="Symbol" w:hint="default"/>
      </w:rPr>
    </w:lvl>
    <w:lvl w:ilvl="1" w:tplc="B45A5052" w:tentative="1">
      <w:start w:val="1"/>
      <w:numFmt w:val="bullet"/>
      <w:lvlText w:val="o"/>
      <w:lvlJc w:val="left"/>
      <w:pPr>
        <w:ind w:left="1080" w:hanging="360"/>
      </w:pPr>
      <w:rPr>
        <w:rFonts w:ascii="Courier New" w:hAnsi="Courier New" w:cs="Courier New" w:hint="default"/>
      </w:rPr>
    </w:lvl>
    <w:lvl w:ilvl="2" w:tplc="CB948408" w:tentative="1">
      <w:start w:val="1"/>
      <w:numFmt w:val="bullet"/>
      <w:lvlText w:val=""/>
      <w:lvlJc w:val="left"/>
      <w:pPr>
        <w:ind w:left="1800" w:hanging="360"/>
      </w:pPr>
      <w:rPr>
        <w:rFonts w:ascii="Wingdings" w:hAnsi="Wingdings" w:hint="default"/>
      </w:rPr>
    </w:lvl>
    <w:lvl w:ilvl="3" w:tplc="A5B80874" w:tentative="1">
      <w:start w:val="1"/>
      <w:numFmt w:val="bullet"/>
      <w:lvlText w:val=""/>
      <w:lvlJc w:val="left"/>
      <w:pPr>
        <w:ind w:left="2520" w:hanging="360"/>
      </w:pPr>
      <w:rPr>
        <w:rFonts w:ascii="Symbol" w:hAnsi="Symbol" w:hint="default"/>
      </w:rPr>
    </w:lvl>
    <w:lvl w:ilvl="4" w:tplc="C400E1E6" w:tentative="1">
      <w:start w:val="1"/>
      <w:numFmt w:val="bullet"/>
      <w:lvlText w:val="o"/>
      <w:lvlJc w:val="left"/>
      <w:pPr>
        <w:ind w:left="3240" w:hanging="360"/>
      </w:pPr>
      <w:rPr>
        <w:rFonts w:ascii="Courier New" w:hAnsi="Courier New" w:cs="Courier New" w:hint="default"/>
      </w:rPr>
    </w:lvl>
    <w:lvl w:ilvl="5" w:tplc="B64297F6" w:tentative="1">
      <w:start w:val="1"/>
      <w:numFmt w:val="bullet"/>
      <w:lvlText w:val=""/>
      <w:lvlJc w:val="left"/>
      <w:pPr>
        <w:ind w:left="3960" w:hanging="360"/>
      </w:pPr>
      <w:rPr>
        <w:rFonts w:ascii="Wingdings" w:hAnsi="Wingdings" w:hint="default"/>
      </w:rPr>
    </w:lvl>
    <w:lvl w:ilvl="6" w:tplc="57E42A04" w:tentative="1">
      <w:start w:val="1"/>
      <w:numFmt w:val="bullet"/>
      <w:lvlText w:val=""/>
      <w:lvlJc w:val="left"/>
      <w:pPr>
        <w:ind w:left="4680" w:hanging="360"/>
      </w:pPr>
      <w:rPr>
        <w:rFonts w:ascii="Symbol" w:hAnsi="Symbol" w:hint="default"/>
      </w:rPr>
    </w:lvl>
    <w:lvl w:ilvl="7" w:tplc="677EE550" w:tentative="1">
      <w:start w:val="1"/>
      <w:numFmt w:val="bullet"/>
      <w:lvlText w:val="o"/>
      <w:lvlJc w:val="left"/>
      <w:pPr>
        <w:ind w:left="5400" w:hanging="360"/>
      </w:pPr>
      <w:rPr>
        <w:rFonts w:ascii="Courier New" w:hAnsi="Courier New" w:cs="Courier New" w:hint="default"/>
      </w:rPr>
    </w:lvl>
    <w:lvl w:ilvl="8" w:tplc="C9CC5630" w:tentative="1">
      <w:start w:val="1"/>
      <w:numFmt w:val="bullet"/>
      <w:lvlText w:val=""/>
      <w:lvlJc w:val="left"/>
      <w:pPr>
        <w:ind w:left="6120" w:hanging="360"/>
      </w:pPr>
      <w:rPr>
        <w:rFonts w:ascii="Wingdings" w:hAnsi="Wingdings" w:hint="default"/>
      </w:rPr>
    </w:lvl>
  </w:abstractNum>
  <w:abstractNum w:abstractNumId="12" w15:restartNumberingAfterBreak="0">
    <w:nsid w:val="127F4695"/>
    <w:multiLevelType w:val="hybridMultilevel"/>
    <w:tmpl w:val="03CE70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635076"/>
    <w:multiLevelType w:val="hybridMultilevel"/>
    <w:tmpl w:val="EBD29E0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7497454"/>
    <w:multiLevelType w:val="hybridMultilevel"/>
    <w:tmpl w:val="24EAAB1A"/>
    <w:lvl w:ilvl="0" w:tplc="04070001">
      <w:start w:val="1"/>
      <w:numFmt w:val="bullet"/>
      <w:lvlText w:val=""/>
      <w:lvlJc w:val="left"/>
      <w:pPr>
        <w:ind w:left="1004" w:hanging="360"/>
      </w:pPr>
      <w:rPr>
        <w:rFonts w:ascii="Symbol" w:hAnsi="Symbol"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5" w15:restartNumberingAfterBreak="0">
    <w:nsid w:val="18482FFE"/>
    <w:multiLevelType w:val="hybridMultilevel"/>
    <w:tmpl w:val="E4E6D4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8676061"/>
    <w:multiLevelType w:val="hybridMultilevel"/>
    <w:tmpl w:val="AC68B988"/>
    <w:lvl w:ilvl="0" w:tplc="0407000B">
      <w:start w:val="1"/>
      <w:numFmt w:val="bullet"/>
      <w:pStyle w:val="Punktklein"/>
      <w:lvlText w:val=""/>
      <w:lvlJc w:val="left"/>
      <w:pPr>
        <w:tabs>
          <w:tab w:val="num" w:pos="284"/>
        </w:tabs>
        <w:ind w:left="-76" w:firstLine="76"/>
      </w:pPr>
      <w:rPr>
        <w:rFonts w:ascii="Symbol" w:hAnsi="Symbol" w:hint="default"/>
        <w:color w:val="auto"/>
        <w:sz w:val="16"/>
        <w:szCs w:val="16"/>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9340569"/>
    <w:multiLevelType w:val="hybridMultilevel"/>
    <w:tmpl w:val="80FA5B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1B3A3FA9"/>
    <w:multiLevelType w:val="hybridMultilevel"/>
    <w:tmpl w:val="156A02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1B6E076A"/>
    <w:multiLevelType w:val="hybridMultilevel"/>
    <w:tmpl w:val="C962590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1C757D55"/>
    <w:multiLevelType w:val="hybridMultilevel"/>
    <w:tmpl w:val="FD12638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1EA312BF"/>
    <w:multiLevelType w:val="hybridMultilevel"/>
    <w:tmpl w:val="D28CDB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206567CF"/>
    <w:multiLevelType w:val="hybridMultilevel"/>
    <w:tmpl w:val="960A753C"/>
    <w:lvl w:ilvl="0" w:tplc="04070001">
      <w:start w:val="1"/>
      <w:numFmt w:val="bullet"/>
      <w:lvlText w:val=""/>
      <w:lvlJc w:val="left"/>
      <w:pPr>
        <w:ind w:left="1004" w:hanging="360"/>
      </w:pPr>
      <w:rPr>
        <w:rFonts w:ascii="Symbol" w:hAnsi="Symbol"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23" w15:restartNumberingAfterBreak="0">
    <w:nsid w:val="23DA2826"/>
    <w:multiLevelType w:val="hybridMultilevel"/>
    <w:tmpl w:val="0C740A1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75B1953"/>
    <w:multiLevelType w:val="hybridMultilevel"/>
    <w:tmpl w:val="718C8E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2B355D4C"/>
    <w:multiLevelType w:val="multilevel"/>
    <w:tmpl w:val="FD94C27C"/>
    <w:lvl w:ilvl="0">
      <w:start w:val="4"/>
      <w:numFmt w:val="decimal"/>
      <w:lvlText w:val="%1"/>
      <w:lvlJc w:val="left"/>
      <w:pPr>
        <w:tabs>
          <w:tab w:val="num" w:pos="432"/>
        </w:tabs>
        <w:ind w:left="432" w:hanging="432"/>
      </w:pPr>
      <w:rPr>
        <w:rFonts w:ascii="Times" w:hAnsi="Times" w:hint="default"/>
        <w:sz w:val="30"/>
      </w:rPr>
    </w:lvl>
    <w:lvl w:ilvl="1">
      <w:start w:val="3"/>
      <w:numFmt w:val="decimal"/>
      <w:lvlText w:val="%1.%2"/>
      <w:lvlJc w:val="left"/>
      <w:pPr>
        <w:tabs>
          <w:tab w:val="num" w:pos="576"/>
        </w:tabs>
        <w:ind w:left="576" w:hanging="576"/>
      </w:pPr>
      <w:rPr>
        <w:rFonts w:hint="default"/>
      </w:rPr>
    </w:lvl>
    <w:lvl w:ilvl="2">
      <w:start w:val="2"/>
      <w:numFmt w:val="decimal"/>
      <w:pStyle w:val="111berschrift"/>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2B7F5958"/>
    <w:multiLevelType w:val="hybridMultilevel"/>
    <w:tmpl w:val="889081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2D2C25FD"/>
    <w:multiLevelType w:val="hybridMultilevel"/>
    <w:tmpl w:val="27567E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2D350601"/>
    <w:multiLevelType w:val="hybridMultilevel"/>
    <w:tmpl w:val="F45CF5BA"/>
    <w:lvl w:ilvl="0" w:tplc="04070001">
      <w:start w:val="1"/>
      <w:numFmt w:val="bullet"/>
      <w:lvlText w:val=""/>
      <w:lvlJc w:val="left"/>
      <w:pPr>
        <w:ind w:left="1004" w:hanging="360"/>
      </w:pPr>
      <w:rPr>
        <w:rFonts w:ascii="Symbol" w:hAnsi="Symbol"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29" w15:restartNumberingAfterBreak="0">
    <w:nsid w:val="30FF62BB"/>
    <w:multiLevelType w:val="hybridMultilevel"/>
    <w:tmpl w:val="D19C08A4"/>
    <w:lvl w:ilvl="0" w:tplc="04070001">
      <w:start w:val="1"/>
      <w:numFmt w:val="bullet"/>
      <w:lvlText w:val=""/>
      <w:lvlJc w:val="left"/>
      <w:pPr>
        <w:ind w:left="1004" w:hanging="360"/>
      </w:pPr>
      <w:rPr>
        <w:rFonts w:ascii="Symbol" w:hAnsi="Symbol"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30" w15:restartNumberingAfterBreak="0">
    <w:nsid w:val="327A3CD7"/>
    <w:multiLevelType w:val="hybridMultilevel"/>
    <w:tmpl w:val="76B814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32E823F1"/>
    <w:multiLevelType w:val="hybridMultilevel"/>
    <w:tmpl w:val="3D9613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3551332C"/>
    <w:multiLevelType w:val="multilevel"/>
    <w:tmpl w:val="53569724"/>
    <w:styleLink w:val="Formatvorlage2"/>
    <w:lvl w:ilvl="0">
      <w:start w:val="4"/>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3" w15:restartNumberingAfterBreak="0">
    <w:nsid w:val="3BE74744"/>
    <w:multiLevelType w:val="hybridMultilevel"/>
    <w:tmpl w:val="713A1D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3D814228"/>
    <w:multiLevelType w:val="hybridMultilevel"/>
    <w:tmpl w:val="8C8E9E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40A66F2F"/>
    <w:multiLevelType w:val="hybridMultilevel"/>
    <w:tmpl w:val="6066B5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43153241"/>
    <w:multiLevelType w:val="hybridMultilevel"/>
    <w:tmpl w:val="505687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435C64C9"/>
    <w:multiLevelType w:val="hybridMultilevel"/>
    <w:tmpl w:val="6ACA2AE8"/>
    <w:lvl w:ilvl="0" w:tplc="04070001">
      <w:start w:val="1"/>
      <w:numFmt w:val="bullet"/>
      <w:lvlText w:val=""/>
      <w:lvlJc w:val="left"/>
      <w:pPr>
        <w:ind w:left="947" w:hanging="360"/>
      </w:pPr>
      <w:rPr>
        <w:rFonts w:ascii="Symbol" w:hAnsi="Symbol" w:hint="default"/>
      </w:rPr>
    </w:lvl>
    <w:lvl w:ilvl="1" w:tplc="04070003" w:tentative="1">
      <w:start w:val="1"/>
      <w:numFmt w:val="bullet"/>
      <w:lvlText w:val="o"/>
      <w:lvlJc w:val="left"/>
      <w:pPr>
        <w:ind w:left="1667" w:hanging="360"/>
      </w:pPr>
      <w:rPr>
        <w:rFonts w:ascii="Courier New" w:hAnsi="Courier New" w:cs="Courier New" w:hint="default"/>
      </w:rPr>
    </w:lvl>
    <w:lvl w:ilvl="2" w:tplc="04070005" w:tentative="1">
      <w:start w:val="1"/>
      <w:numFmt w:val="bullet"/>
      <w:lvlText w:val=""/>
      <w:lvlJc w:val="left"/>
      <w:pPr>
        <w:ind w:left="2387" w:hanging="360"/>
      </w:pPr>
      <w:rPr>
        <w:rFonts w:ascii="Wingdings" w:hAnsi="Wingdings" w:hint="default"/>
      </w:rPr>
    </w:lvl>
    <w:lvl w:ilvl="3" w:tplc="04070001" w:tentative="1">
      <w:start w:val="1"/>
      <w:numFmt w:val="bullet"/>
      <w:lvlText w:val=""/>
      <w:lvlJc w:val="left"/>
      <w:pPr>
        <w:ind w:left="3107" w:hanging="360"/>
      </w:pPr>
      <w:rPr>
        <w:rFonts w:ascii="Symbol" w:hAnsi="Symbol" w:hint="default"/>
      </w:rPr>
    </w:lvl>
    <w:lvl w:ilvl="4" w:tplc="04070003" w:tentative="1">
      <w:start w:val="1"/>
      <w:numFmt w:val="bullet"/>
      <w:lvlText w:val="o"/>
      <w:lvlJc w:val="left"/>
      <w:pPr>
        <w:ind w:left="3827" w:hanging="360"/>
      </w:pPr>
      <w:rPr>
        <w:rFonts w:ascii="Courier New" w:hAnsi="Courier New" w:cs="Courier New" w:hint="default"/>
      </w:rPr>
    </w:lvl>
    <w:lvl w:ilvl="5" w:tplc="04070005" w:tentative="1">
      <w:start w:val="1"/>
      <w:numFmt w:val="bullet"/>
      <w:lvlText w:val=""/>
      <w:lvlJc w:val="left"/>
      <w:pPr>
        <w:ind w:left="4547" w:hanging="360"/>
      </w:pPr>
      <w:rPr>
        <w:rFonts w:ascii="Wingdings" w:hAnsi="Wingdings" w:hint="default"/>
      </w:rPr>
    </w:lvl>
    <w:lvl w:ilvl="6" w:tplc="04070001" w:tentative="1">
      <w:start w:val="1"/>
      <w:numFmt w:val="bullet"/>
      <w:lvlText w:val=""/>
      <w:lvlJc w:val="left"/>
      <w:pPr>
        <w:ind w:left="5267" w:hanging="360"/>
      </w:pPr>
      <w:rPr>
        <w:rFonts w:ascii="Symbol" w:hAnsi="Symbol" w:hint="default"/>
      </w:rPr>
    </w:lvl>
    <w:lvl w:ilvl="7" w:tplc="04070003" w:tentative="1">
      <w:start w:val="1"/>
      <w:numFmt w:val="bullet"/>
      <w:lvlText w:val="o"/>
      <w:lvlJc w:val="left"/>
      <w:pPr>
        <w:ind w:left="5987" w:hanging="360"/>
      </w:pPr>
      <w:rPr>
        <w:rFonts w:ascii="Courier New" w:hAnsi="Courier New" w:cs="Courier New" w:hint="default"/>
      </w:rPr>
    </w:lvl>
    <w:lvl w:ilvl="8" w:tplc="04070005" w:tentative="1">
      <w:start w:val="1"/>
      <w:numFmt w:val="bullet"/>
      <w:lvlText w:val=""/>
      <w:lvlJc w:val="left"/>
      <w:pPr>
        <w:ind w:left="6707" w:hanging="360"/>
      </w:pPr>
      <w:rPr>
        <w:rFonts w:ascii="Wingdings" w:hAnsi="Wingdings" w:hint="default"/>
      </w:rPr>
    </w:lvl>
  </w:abstractNum>
  <w:abstractNum w:abstractNumId="38" w15:restartNumberingAfterBreak="0">
    <w:nsid w:val="44DC7D93"/>
    <w:multiLevelType w:val="hybridMultilevel"/>
    <w:tmpl w:val="8C369414"/>
    <w:lvl w:ilvl="0" w:tplc="FBC452F2">
      <w:numFmt w:val="bullet"/>
      <w:pStyle w:val="TabelleAufzhlung"/>
      <w:lvlText w:val="-"/>
      <w:lvlJc w:val="left"/>
      <w:pPr>
        <w:tabs>
          <w:tab w:val="num" w:pos="777"/>
        </w:tabs>
        <w:ind w:left="777" w:hanging="360"/>
      </w:pPr>
      <w:rPr>
        <w:rFonts w:ascii="Times New Roman" w:eastAsia="Times New Roman" w:hAnsi="Times New Roman" w:cs="Times New Roman" w:hint="default"/>
      </w:rPr>
    </w:lvl>
    <w:lvl w:ilvl="1" w:tplc="A31AA8F2" w:tentative="1">
      <w:start w:val="1"/>
      <w:numFmt w:val="bullet"/>
      <w:lvlText w:val="o"/>
      <w:lvlJc w:val="left"/>
      <w:pPr>
        <w:tabs>
          <w:tab w:val="num" w:pos="1497"/>
        </w:tabs>
        <w:ind w:left="1497" w:hanging="360"/>
      </w:pPr>
      <w:rPr>
        <w:rFonts w:ascii="Courier New" w:hAnsi="Courier New" w:cs="Courier New" w:hint="default"/>
      </w:rPr>
    </w:lvl>
    <w:lvl w:ilvl="2" w:tplc="FB3CE782" w:tentative="1">
      <w:start w:val="1"/>
      <w:numFmt w:val="bullet"/>
      <w:lvlText w:val=""/>
      <w:lvlJc w:val="left"/>
      <w:pPr>
        <w:tabs>
          <w:tab w:val="num" w:pos="2217"/>
        </w:tabs>
        <w:ind w:left="2217" w:hanging="360"/>
      </w:pPr>
      <w:rPr>
        <w:rFonts w:ascii="Wingdings" w:hAnsi="Wingdings" w:hint="default"/>
      </w:rPr>
    </w:lvl>
    <w:lvl w:ilvl="3" w:tplc="29342164" w:tentative="1">
      <w:start w:val="1"/>
      <w:numFmt w:val="bullet"/>
      <w:lvlText w:val=""/>
      <w:lvlJc w:val="left"/>
      <w:pPr>
        <w:tabs>
          <w:tab w:val="num" w:pos="2937"/>
        </w:tabs>
        <w:ind w:left="2937" w:hanging="360"/>
      </w:pPr>
      <w:rPr>
        <w:rFonts w:ascii="Symbol" w:hAnsi="Symbol" w:hint="default"/>
      </w:rPr>
    </w:lvl>
    <w:lvl w:ilvl="4" w:tplc="5FB63B64" w:tentative="1">
      <w:start w:val="1"/>
      <w:numFmt w:val="bullet"/>
      <w:lvlText w:val="o"/>
      <w:lvlJc w:val="left"/>
      <w:pPr>
        <w:tabs>
          <w:tab w:val="num" w:pos="3657"/>
        </w:tabs>
        <w:ind w:left="3657" w:hanging="360"/>
      </w:pPr>
      <w:rPr>
        <w:rFonts w:ascii="Courier New" w:hAnsi="Courier New" w:cs="Courier New" w:hint="default"/>
      </w:rPr>
    </w:lvl>
    <w:lvl w:ilvl="5" w:tplc="B350A150" w:tentative="1">
      <w:start w:val="1"/>
      <w:numFmt w:val="bullet"/>
      <w:lvlText w:val=""/>
      <w:lvlJc w:val="left"/>
      <w:pPr>
        <w:tabs>
          <w:tab w:val="num" w:pos="4377"/>
        </w:tabs>
        <w:ind w:left="4377" w:hanging="360"/>
      </w:pPr>
      <w:rPr>
        <w:rFonts w:ascii="Wingdings" w:hAnsi="Wingdings" w:hint="default"/>
      </w:rPr>
    </w:lvl>
    <w:lvl w:ilvl="6" w:tplc="F274E662" w:tentative="1">
      <w:start w:val="1"/>
      <w:numFmt w:val="bullet"/>
      <w:lvlText w:val=""/>
      <w:lvlJc w:val="left"/>
      <w:pPr>
        <w:tabs>
          <w:tab w:val="num" w:pos="5097"/>
        </w:tabs>
        <w:ind w:left="5097" w:hanging="360"/>
      </w:pPr>
      <w:rPr>
        <w:rFonts w:ascii="Symbol" w:hAnsi="Symbol" w:hint="default"/>
      </w:rPr>
    </w:lvl>
    <w:lvl w:ilvl="7" w:tplc="E03C0FB0" w:tentative="1">
      <w:start w:val="1"/>
      <w:numFmt w:val="bullet"/>
      <w:lvlText w:val="o"/>
      <w:lvlJc w:val="left"/>
      <w:pPr>
        <w:tabs>
          <w:tab w:val="num" w:pos="5817"/>
        </w:tabs>
        <w:ind w:left="5817" w:hanging="360"/>
      </w:pPr>
      <w:rPr>
        <w:rFonts w:ascii="Courier New" w:hAnsi="Courier New" w:cs="Courier New" w:hint="default"/>
      </w:rPr>
    </w:lvl>
    <w:lvl w:ilvl="8" w:tplc="59B4B690" w:tentative="1">
      <w:start w:val="1"/>
      <w:numFmt w:val="bullet"/>
      <w:lvlText w:val=""/>
      <w:lvlJc w:val="left"/>
      <w:pPr>
        <w:tabs>
          <w:tab w:val="num" w:pos="6537"/>
        </w:tabs>
        <w:ind w:left="6537" w:hanging="360"/>
      </w:pPr>
      <w:rPr>
        <w:rFonts w:ascii="Wingdings" w:hAnsi="Wingdings" w:hint="default"/>
      </w:rPr>
    </w:lvl>
  </w:abstractNum>
  <w:abstractNum w:abstractNumId="39" w15:restartNumberingAfterBreak="0">
    <w:nsid w:val="45B8540E"/>
    <w:multiLevelType w:val="multilevel"/>
    <w:tmpl w:val="C7ACCA12"/>
    <w:styleLink w:val="Formatvorlage4"/>
    <w:lvl w:ilvl="0">
      <w:start w:val="2"/>
      <w:numFmt w:val="decimal"/>
      <w:lvlText w:val="%1.1.1"/>
      <w:lvlJc w:val="left"/>
      <w:pPr>
        <w:ind w:left="720" w:hanging="360"/>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4790227E"/>
    <w:multiLevelType w:val="hybridMultilevel"/>
    <w:tmpl w:val="792CF0C8"/>
    <w:lvl w:ilvl="0" w:tplc="BAE474DA">
      <w:start w:val="1"/>
      <w:numFmt w:val="bullet"/>
      <w:lvlText w:val=""/>
      <w:lvlJc w:val="left"/>
      <w:pPr>
        <w:ind w:left="720" w:hanging="360"/>
      </w:pPr>
      <w:rPr>
        <w:rFonts w:ascii="Symbol" w:hAnsi="Symbol" w:hint="default"/>
        <w:sz w:val="18"/>
        <w:szCs w:val="18"/>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48453205"/>
    <w:multiLevelType w:val="hybridMultilevel"/>
    <w:tmpl w:val="567897B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4BA95EE9"/>
    <w:multiLevelType w:val="singleLevel"/>
    <w:tmpl w:val="1CCC219C"/>
    <w:lvl w:ilvl="0">
      <w:start w:val="1"/>
      <w:numFmt w:val="bullet"/>
      <w:lvlText w:val=""/>
      <w:lvlJc w:val="left"/>
      <w:pPr>
        <w:tabs>
          <w:tab w:val="num" w:pos="357"/>
        </w:tabs>
        <w:ind w:left="170" w:hanging="170"/>
      </w:pPr>
      <w:rPr>
        <w:rFonts w:ascii="Symbol" w:hAnsi="Symbol" w:hint="default"/>
      </w:rPr>
    </w:lvl>
  </w:abstractNum>
  <w:abstractNum w:abstractNumId="43" w15:restartNumberingAfterBreak="0">
    <w:nsid w:val="4BFD688A"/>
    <w:multiLevelType w:val="hybridMultilevel"/>
    <w:tmpl w:val="956261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15:restartNumberingAfterBreak="0">
    <w:nsid w:val="4D643D03"/>
    <w:multiLevelType w:val="hybridMultilevel"/>
    <w:tmpl w:val="A1D03D1C"/>
    <w:lvl w:ilvl="0" w:tplc="60203A86">
      <w:start w:val="1"/>
      <w:numFmt w:val="bullet"/>
      <w:lvlText w:val=""/>
      <w:lvlJc w:val="left"/>
      <w:pPr>
        <w:tabs>
          <w:tab w:val="num" w:pos="720"/>
        </w:tabs>
        <w:ind w:left="720" w:hanging="360"/>
      </w:pPr>
      <w:rPr>
        <w:rFonts w:ascii="Symbol" w:hAnsi="Symbol" w:hint="default"/>
      </w:rPr>
    </w:lvl>
    <w:lvl w:ilvl="1" w:tplc="99E2EBFA" w:tentative="1">
      <w:start w:val="1"/>
      <w:numFmt w:val="bullet"/>
      <w:lvlText w:val="o"/>
      <w:lvlJc w:val="left"/>
      <w:pPr>
        <w:tabs>
          <w:tab w:val="num" w:pos="1440"/>
        </w:tabs>
        <w:ind w:left="1440" w:hanging="360"/>
      </w:pPr>
      <w:rPr>
        <w:rFonts w:ascii="Courier New" w:hAnsi="Courier New" w:cs="Courier New" w:hint="default"/>
      </w:rPr>
    </w:lvl>
    <w:lvl w:ilvl="2" w:tplc="6ECADA88" w:tentative="1">
      <w:start w:val="1"/>
      <w:numFmt w:val="bullet"/>
      <w:lvlText w:val=""/>
      <w:lvlJc w:val="left"/>
      <w:pPr>
        <w:tabs>
          <w:tab w:val="num" w:pos="2160"/>
        </w:tabs>
        <w:ind w:left="2160" w:hanging="360"/>
      </w:pPr>
      <w:rPr>
        <w:rFonts w:ascii="Wingdings" w:hAnsi="Wingdings" w:hint="default"/>
      </w:rPr>
    </w:lvl>
    <w:lvl w:ilvl="3" w:tplc="4864A918" w:tentative="1">
      <w:start w:val="1"/>
      <w:numFmt w:val="bullet"/>
      <w:lvlText w:val=""/>
      <w:lvlJc w:val="left"/>
      <w:pPr>
        <w:tabs>
          <w:tab w:val="num" w:pos="2880"/>
        </w:tabs>
        <w:ind w:left="2880" w:hanging="360"/>
      </w:pPr>
      <w:rPr>
        <w:rFonts w:ascii="Symbol" w:hAnsi="Symbol" w:hint="default"/>
      </w:rPr>
    </w:lvl>
    <w:lvl w:ilvl="4" w:tplc="ACF01032" w:tentative="1">
      <w:start w:val="1"/>
      <w:numFmt w:val="bullet"/>
      <w:lvlText w:val="o"/>
      <w:lvlJc w:val="left"/>
      <w:pPr>
        <w:tabs>
          <w:tab w:val="num" w:pos="3600"/>
        </w:tabs>
        <w:ind w:left="3600" w:hanging="360"/>
      </w:pPr>
      <w:rPr>
        <w:rFonts w:ascii="Courier New" w:hAnsi="Courier New" w:cs="Courier New" w:hint="default"/>
      </w:rPr>
    </w:lvl>
    <w:lvl w:ilvl="5" w:tplc="9C9E02EE" w:tentative="1">
      <w:start w:val="1"/>
      <w:numFmt w:val="bullet"/>
      <w:lvlText w:val=""/>
      <w:lvlJc w:val="left"/>
      <w:pPr>
        <w:tabs>
          <w:tab w:val="num" w:pos="4320"/>
        </w:tabs>
        <w:ind w:left="4320" w:hanging="360"/>
      </w:pPr>
      <w:rPr>
        <w:rFonts w:ascii="Wingdings" w:hAnsi="Wingdings" w:hint="default"/>
      </w:rPr>
    </w:lvl>
    <w:lvl w:ilvl="6" w:tplc="E47E54E4" w:tentative="1">
      <w:start w:val="1"/>
      <w:numFmt w:val="bullet"/>
      <w:lvlText w:val=""/>
      <w:lvlJc w:val="left"/>
      <w:pPr>
        <w:tabs>
          <w:tab w:val="num" w:pos="5040"/>
        </w:tabs>
        <w:ind w:left="5040" w:hanging="360"/>
      </w:pPr>
      <w:rPr>
        <w:rFonts w:ascii="Symbol" w:hAnsi="Symbol" w:hint="default"/>
      </w:rPr>
    </w:lvl>
    <w:lvl w:ilvl="7" w:tplc="20E8AC06" w:tentative="1">
      <w:start w:val="1"/>
      <w:numFmt w:val="bullet"/>
      <w:lvlText w:val="o"/>
      <w:lvlJc w:val="left"/>
      <w:pPr>
        <w:tabs>
          <w:tab w:val="num" w:pos="5760"/>
        </w:tabs>
        <w:ind w:left="5760" w:hanging="360"/>
      </w:pPr>
      <w:rPr>
        <w:rFonts w:ascii="Courier New" w:hAnsi="Courier New" w:cs="Courier New" w:hint="default"/>
      </w:rPr>
    </w:lvl>
    <w:lvl w:ilvl="8" w:tplc="D1CE803C"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4F177849"/>
    <w:multiLevelType w:val="hybridMultilevel"/>
    <w:tmpl w:val="9CA4D1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6" w15:restartNumberingAfterBreak="0">
    <w:nsid w:val="4F9E1F4C"/>
    <w:multiLevelType w:val="hybridMultilevel"/>
    <w:tmpl w:val="E0BC4314"/>
    <w:lvl w:ilvl="0" w:tplc="04070001">
      <w:start w:val="1"/>
      <w:numFmt w:val="bullet"/>
      <w:lvlText w:val=""/>
      <w:lvlJc w:val="left"/>
      <w:pPr>
        <w:ind w:left="1287" w:hanging="360"/>
      </w:pPr>
      <w:rPr>
        <w:rFonts w:ascii="Symbol" w:hAnsi="Symbol" w:hint="default"/>
      </w:rPr>
    </w:lvl>
    <w:lvl w:ilvl="1" w:tplc="04070003" w:tentative="1">
      <w:start w:val="1"/>
      <w:numFmt w:val="bullet"/>
      <w:lvlText w:val="o"/>
      <w:lvlJc w:val="left"/>
      <w:pPr>
        <w:ind w:left="2007" w:hanging="360"/>
      </w:pPr>
      <w:rPr>
        <w:rFonts w:ascii="Courier New" w:hAnsi="Courier New" w:cs="Courier New" w:hint="default"/>
      </w:rPr>
    </w:lvl>
    <w:lvl w:ilvl="2" w:tplc="04070005" w:tentative="1">
      <w:start w:val="1"/>
      <w:numFmt w:val="bullet"/>
      <w:lvlText w:val=""/>
      <w:lvlJc w:val="left"/>
      <w:pPr>
        <w:ind w:left="2727" w:hanging="360"/>
      </w:pPr>
      <w:rPr>
        <w:rFonts w:ascii="Wingdings" w:hAnsi="Wingdings" w:hint="default"/>
      </w:rPr>
    </w:lvl>
    <w:lvl w:ilvl="3" w:tplc="04070001" w:tentative="1">
      <w:start w:val="1"/>
      <w:numFmt w:val="bullet"/>
      <w:lvlText w:val=""/>
      <w:lvlJc w:val="left"/>
      <w:pPr>
        <w:ind w:left="3447" w:hanging="360"/>
      </w:pPr>
      <w:rPr>
        <w:rFonts w:ascii="Symbol" w:hAnsi="Symbol" w:hint="default"/>
      </w:rPr>
    </w:lvl>
    <w:lvl w:ilvl="4" w:tplc="04070003" w:tentative="1">
      <w:start w:val="1"/>
      <w:numFmt w:val="bullet"/>
      <w:lvlText w:val="o"/>
      <w:lvlJc w:val="left"/>
      <w:pPr>
        <w:ind w:left="4167" w:hanging="360"/>
      </w:pPr>
      <w:rPr>
        <w:rFonts w:ascii="Courier New" w:hAnsi="Courier New" w:cs="Courier New" w:hint="default"/>
      </w:rPr>
    </w:lvl>
    <w:lvl w:ilvl="5" w:tplc="04070005" w:tentative="1">
      <w:start w:val="1"/>
      <w:numFmt w:val="bullet"/>
      <w:lvlText w:val=""/>
      <w:lvlJc w:val="left"/>
      <w:pPr>
        <w:ind w:left="4887" w:hanging="360"/>
      </w:pPr>
      <w:rPr>
        <w:rFonts w:ascii="Wingdings" w:hAnsi="Wingdings" w:hint="default"/>
      </w:rPr>
    </w:lvl>
    <w:lvl w:ilvl="6" w:tplc="04070001" w:tentative="1">
      <w:start w:val="1"/>
      <w:numFmt w:val="bullet"/>
      <w:lvlText w:val=""/>
      <w:lvlJc w:val="left"/>
      <w:pPr>
        <w:ind w:left="5607" w:hanging="360"/>
      </w:pPr>
      <w:rPr>
        <w:rFonts w:ascii="Symbol" w:hAnsi="Symbol" w:hint="default"/>
      </w:rPr>
    </w:lvl>
    <w:lvl w:ilvl="7" w:tplc="04070003" w:tentative="1">
      <w:start w:val="1"/>
      <w:numFmt w:val="bullet"/>
      <w:lvlText w:val="o"/>
      <w:lvlJc w:val="left"/>
      <w:pPr>
        <w:ind w:left="6327" w:hanging="360"/>
      </w:pPr>
      <w:rPr>
        <w:rFonts w:ascii="Courier New" w:hAnsi="Courier New" w:cs="Courier New" w:hint="default"/>
      </w:rPr>
    </w:lvl>
    <w:lvl w:ilvl="8" w:tplc="04070005" w:tentative="1">
      <w:start w:val="1"/>
      <w:numFmt w:val="bullet"/>
      <w:lvlText w:val=""/>
      <w:lvlJc w:val="left"/>
      <w:pPr>
        <w:ind w:left="7047" w:hanging="360"/>
      </w:pPr>
      <w:rPr>
        <w:rFonts w:ascii="Wingdings" w:hAnsi="Wingdings" w:hint="default"/>
      </w:rPr>
    </w:lvl>
  </w:abstractNum>
  <w:abstractNum w:abstractNumId="47" w15:restartNumberingAfterBreak="0">
    <w:nsid w:val="4FF646DE"/>
    <w:multiLevelType w:val="hybridMultilevel"/>
    <w:tmpl w:val="04DA88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8" w15:restartNumberingAfterBreak="0">
    <w:nsid w:val="50562CAC"/>
    <w:multiLevelType w:val="hybridMultilevel"/>
    <w:tmpl w:val="D7F469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9" w15:restartNumberingAfterBreak="0">
    <w:nsid w:val="50A751A1"/>
    <w:multiLevelType w:val="hybridMultilevel"/>
    <w:tmpl w:val="9F74B6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0" w15:restartNumberingAfterBreak="0">
    <w:nsid w:val="50E06EB5"/>
    <w:multiLevelType w:val="hybridMultilevel"/>
    <w:tmpl w:val="E4E249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1" w15:restartNumberingAfterBreak="0">
    <w:nsid w:val="54CA1DBA"/>
    <w:multiLevelType w:val="hybridMultilevel"/>
    <w:tmpl w:val="33187CAA"/>
    <w:lvl w:ilvl="0" w:tplc="FFFFFFFF">
      <w:start w:val="1"/>
      <w:numFmt w:val="bullet"/>
      <w:pStyle w:val="PunktPfeil"/>
      <w:lvlText w:val=""/>
      <w:lvlJc w:val="left"/>
      <w:pPr>
        <w:tabs>
          <w:tab w:val="num" w:pos="1084"/>
        </w:tabs>
        <w:ind w:left="1084" w:hanging="360"/>
      </w:pPr>
      <w:rPr>
        <w:rFonts w:ascii="Wingdings" w:hAnsi="Wingdings" w:hint="default"/>
      </w:rPr>
    </w:lvl>
    <w:lvl w:ilvl="1" w:tplc="FFFFFFFF" w:tentative="1">
      <w:start w:val="1"/>
      <w:numFmt w:val="bullet"/>
      <w:lvlText w:val="o"/>
      <w:lvlJc w:val="left"/>
      <w:pPr>
        <w:tabs>
          <w:tab w:val="num" w:pos="1804"/>
        </w:tabs>
        <w:ind w:left="1804" w:hanging="360"/>
      </w:pPr>
      <w:rPr>
        <w:rFonts w:ascii="Courier New" w:hAnsi="Courier New" w:hint="default"/>
      </w:rPr>
    </w:lvl>
    <w:lvl w:ilvl="2" w:tplc="FFFFFFFF" w:tentative="1">
      <w:start w:val="1"/>
      <w:numFmt w:val="bullet"/>
      <w:lvlText w:val=""/>
      <w:lvlJc w:val="left"/>
      <w:pPr>
        <w:tabs>
          <w:tab w:val="num" w:pos="2524"/>
        </w:tabs>
        <w:ind w:left="2524" w:hanging="360"/>
      </w:pPr>
      <w:rPr>
        <w:rFonts w:ascii="Wingdings" w:hAnsi="Wingdings" w:hint="default"/>
      </w:rPr>
    </w:lvl>
    <w:lvl w:ilvl="3" w:tplc="FFFFFFFF" w:tentative="1">
      <w:start w:val="1"/>
      <w:numFmt w:val="bullet"/>
      <w:lvlText w:val=""/>
      <w:lvlJc w:val="left"/>
      <w:pPr>
        <w:tabs>
          <w:tab w:val="num" w:pos="3244"/>
        </w:tabs>
        <w:ind w:left="3244" w:hanging="360"/>
      </w:pPr>
      <w:rPr>
        <w:rFonts w:ascii="Symbol" w:hAnsi="Symbol" w:hint="default"/>
      </w:rPr>
    </w:lvl>
    <w:lvl w:ilvl="4" w:tplc="FFFFFFFF" w:tentative="1">
      <w:start w:val="1"/>
      <w:numFmt w:val="bullet"/>
      <w:lvlText w:val="o"/>
      <w:lvlJc w:val="left"/>
      <w:pPr>
        <w:tabs>
          <w:tab w:val="num" w:pos="3964"/>
        </w:tabs>
        <w:ind w:left="3964" w:hanging="360"/>
      </w:pPr>
      <w:rPr>
        <w:rFonts w:ascii="Courier New" w:hAnsi="Courier New" w:hint="default"/>
      </w:rPr>
    </w:lvl>
    <w:lvl w:ilvl="5" w:tplc="FFFFFFFF" w:tentative="1">
      <w:start w:val="1"/>
      <w:numFmt w:val="bullet"/>
      <w:lvlText w:val=""/>
      <w:lvlJc w:val="left"/>
      <w:pPr>
        <w:tabs>
          <w:tab w:val="num" w:pos="4684"/>
        </w:tabs>
        <w:ind w:left="4684" w:hanging="360"/>
      </w:pPr>
      <w:rPr>
        <w:rFonts w:ascii="Wingdings" w:hAnsi="Wingdings" w:hint="default"/>
      </w:rPr>
    </w:lvl>
    <w:lvl w:ilvl="6" w:tplc="FFFFFFFF" w:tentative="1">
      <w:start w:val="1"/>
      <w:numFmt w:val="bullet"/>
      <w:lvlText w:val=""/>
      <w:lvlJc w:val="left"/>
      <w:pPr>
        <w:tabs>
          <w:tab w:val="num" w:pos="5404"/>
        </w:tabs>
        <w:ind w:left="5404" w:hanging="360"/>
      </w:pPr>
      <w:rPr>
        <w:rFonts w:ascii="Symbol" w:hAnsi="Symbol" w:hint="default"/>
      </w:rPr>
    </w:lvl>
    <w:lvl w:ilvl="7" w:tplc="FFFFFFFF" w:tentative="1">
      <w:start w:val="1"/>
      <w:numFmt w:val="bullet"/>
      <w:lvlText w:val="o"/>
      <w:lvlJc w:val="left"/>
      <w:pPr>
        <w:tabs>
          <w:tab w:val="num" w:pos="6124"/>
        </w:tabs>
        <w:ind w:left="6124" w:hanging="360"/>
      </w:pPr>
      <w:rPr>
        <w:rFonts w:ascii="Courier New" w:hAnsi="Courier New" w:hint="default"/>
      </w:rPr>
    </w:lvl>
    <w:lvl w:ilvl="8" w:tplc="FFFFFFFF" w:tentative="1">
      <w:start w:val="1"/>
      <w:numFmt w:val="bullet"/>
      <w:lvlText w:val=""/>
      <w:lvlJc w:val="left"/>
      <w:pPr>
        <w:tabs>
          <w:tab w:val="num" w:pos="6844"/>
        </w:tabs>
        <w:ind w:left="6844" w:hanging="360"/>
      </w:pPr>
      <w:rPr>
        <w:rFonts w:ascii="Wingdings" w:hAnsi="Wingdings" w:hint="default"/>
      </w:rPr>
    </w:lvl>
  </w:abstractNum>
  <w:abstractNum w:abstractNumId="52" w15:restartNumberingAfterBreak="0">
    <w:nsid w:val="55060248"/>
    <w:multiLevelType w:val="hybridMultilevel"/>
    <w:tmpl w:val="52DC4D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3" w15:restartNumberingAfterBreak="0">
    <w:nsid w:val="561F25A1"/>
    <w:multiLevelType w:val="hybridMultilevel"/>
    <w:tmpl w:val="6BB479F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4" w15:restartNumberingAfterBreak="0">
    <w:nsid w:val="56693F6F"/>
    <w:multiLevelType w:val="hybridMultilevel"/>
    <w:tmpl w:val="42DC587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5" w15:restartNumberingAfterBreak="0">
    <w:nsid w:val="58ED4979"/>
    <w:multiLevelType w:val="hybridMultilevel"/>
    <w:tmpl w:val="18CCD246"/>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6" w15:restartNumberingAfterBreak="0">
    <w:nsid w:val="5AC20C54"/>
    <w:multiLevelType w:val="hybridMultilevel"/>
    <w:tmpl w:val="F3745C58"/>
    <w:lvl w:ilvl="0" w:tplc="16C0044A">
      <w:start w:val="1"/>
      <w:numFmt w:val="bullet"/>
      <w:lvlText w:val=""/>
      <w:lvlJc w:val="left"/>
      <w:pPr>
        <w:ind w:left="720" w:hanging="360"/>
      </w:pPr>
      <w:rPr>
        <w:rFonts w:ascii="Symbol" w:hAnsi="Symbol" w:hint="default"/>
        <w:sz w:val="18"/>
        <w:szCs w:val="18"/>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7" w15:restartNumberingAfterBreak="0">
    <w:nsid w:val="5C4936A5"/>
    <w:multiLevelType w:val="singleLevel"/>
    <w:tmpl w:val="5E5AFCD6"/>
    <w:lvl w:ilvl="0">
      <w:start w:val="1"/>
      <w:numFmt w:val="bullet"/>
      <w:lvlText w:val=""/>
      <w:lvlJc w:val="left"/>
      <w:pPr>
        <w:tabs>
          <w:tab w:val="num" w:pos="357"/>
        </w:tabs>
        <w:ind w:left="170" w:hanging="170"/>
      </w:pPr>
      <w:rPr>
        <w:rFonts w:ascii="Symbol" w:hAnsi="Symbol" w:hint="default"/>
      </w:rPr>
    </w:lvl>
  </w:abstractNum>
  <w:abstractNum w:abstractNumId="58" w15:restartNumberingAfterBreak="0">
    <w:nsid w:val="5CEF19AF"/>
    <w:multiLevelType w:val="hybridMultilevel"/>
    <w:tmpl w:val="D37E1146"/>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9" w15:restartNumberingAfterBreak="0">
    <w:nsid w:val="5E1C334C"/>
    <w:multiLevelType w:val="hybridMultilevel"/>
    <w:tmpl w:val="7208406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0" w15:restartNumberingAfterBreak="0">
    <w:nsid w:val="5EB9315A"/>
    <w:multiLevelType w:val="hybridMultilevel"/>
    <w:tmpl w:val="0164C2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1" w15:restartNumberingAfterBreak="0">
    <w:nsid w:val="5F063100"/>
    <w:multiLevelType w:val="hybridMultilevel"/>
    <w:tmpl w:val="F0E29062"/>
    <w:lvl w:ilvl="0" w:tplc="04070001">
      <w:start w:val="1"/>
      <w:numFmt w:val="bullet"/>
      <w:lvlText w:val=""/>
      <w:lvlJc w:val="left"/>
      <w:pPr>
        <w:ind w:left="1287" w:hanging="360"/>
      </w:pPr>
      <w:rPr>
        <w:rFonts w:ascii="Symbol" w:hAnsi="Symbol" w:hint="default"/>
      </w:rPr>
    </w:lvl>
    <w:lvl w:ilvl="1" w:tplc="04070003" w:tentative="1">
      <w:start w:val="1"/>
      <w:numFmt w:val="bullet"/>
      <w:lvlText w:val="o"/>
      <w:lvlJc w:val="left"/>
      <w:pPr>
        <w:ind w:left="2007" w:hanging="360"/>
      </w:pPr>
      <w:rPr>
        <w:rFonts w:ascii="Courier New" w:hAnsi="Courier New" w:cs="Courier New" w:hint="default"/>
      </w:rPr>
    </w:lvl>
    <w:lvl w:ilvl="2" w:tplc="04070005" w:tentative="1">
      <w:start w:val="1"/>
      <w:numFmt w:val="bullet"/>
      <w:lvlText w:val=""/>
      <w:lvlJc w:val="left"/>
      <w:pPr>
        <w:ind w:left="2727" w:hanging="360"/>
      </w:pPr>
      <w:rPr>
        <w:rFonts w:ascii="Wingdings" w:hAnsi="Wingdings" w:hint="default"/>
      </w:rPr>
    </w:lvl>
    <w:lvl w:ilvl="3" w:tplc="04070001" w:tentative="1">
      <w:start w:val="1"/>
      <w:numFmt w:val="bullet"/>
      <w:lvlText w:val=""/>
      <w:lvlJc w:val="left"/>
      <w:pPr>
        <w:ind w:left="3447" w:hanging="360"/>
      </w:pPr>
      <w:rPr>
        <w:rFonts w:ascii="Symbol" w:hAnsi="Symbol" w:hint="default"/>
      </w:rPr>
    </w:lvl>
    <w:lvl w:ilvl="4" w:tplc="04070003" w:tentative="1">
      <w:start w:val="1"/>
      <w:numFmt w:val="bullet"/>
      <w:lvlText w:val="o"/>
      <w:lvlJc w:val="left"/>
      <w:pPr>
        <w:ind w:left="4167" w:hanging="360"/>
      </w:pPr>
      <w:rPr>
        <w:rFonts w:ascii="Courier New" w:hAnsi="Courier New" w:cs="Courier New" w:hint="default"/>
      </w:rPr>
    </w:lvl>
    <w:lvl w:ilvl="5" w:tplc="04070005" w:tentative="1">
      <w:start w:val="1"/>
      <w:numFmt w:val="bullet"/>
      <w:lvlText w:val=""/>
      <w:lvlJc w:val="left"/>
      <w:pPr>
        <w:ind w:left="4887" w:hanging="360"/>
      </w:pPr>
      <w:rPr>
        <w:rFonts w:ascii="Wingdings" w:hAnsi="Wingdings" w:hint="default"/>
      </w:rPr>
    </w:lvl>
    <w:lvl w:ilvl="6" w:tplc="04070001" w:tentative="1">
      <w:start w:val="1"/>
      <w:numFmt w:val="bullet"/>
      <w:lvlText w:val=""/>
      <w:lvlJc w:val="left"/>
      <w:pPr>
        <w:ind w:left="5607" w:hanging="360"/>
      </w:pPr>
      <w:rPr>
        <w:rFonts w:ascii="Symbol" w:hAnsi="Symbol" w:hint="default"/>
      </w:rPr>
    </w:lvl>
    <w:lvl w:ilvl="7" w:tplc="04070003" w:tentative="1">
      <w:start w:val="1"/>
      <w:numFmt w:val="bullet"/>
      <w:lvlText w:val="o"/>
      <w:lvlJc w:val="left"/>
      <w:pPr>
        <w:ind w:left="6327" w:hanging="360"/>
      </w:pPr>
      <w:rPr>
        <w:rFonts w:ascii="Courier New" w:hAnsi="Courier New" w:cs="Courier New" w:hint="default"/>
      </w:rPr>
    </w:lvl>
    <w:lvl w:ilvl="8" w:tplc="04070005" w:tentative="1">
      <w:start w:val="1"/>
      <w:numFmt w:val="bullet"/>
      <w:lvlText w:val=""/>
      <w:lvlJc w:val="left"/>
      <w:pPr>
        <w:ind w:left="7047" w:hanging="360"/>
      </w:pPr>
      <w:rPr>
        <w:rFonts w:ascii="Wingdings" w:hAnsi="Wingdings" w:hint="default"/>
      </w:rPr>
    </w:lvl>
  </w:abstractNum>
  <w:abstractNum w:abstractNumId="62" w15:restartNumberingAfterBreak="0">
    <w:nsid w:val="602957DC"/>
    <w:multiLevelType w:val="hybridMultilevel"/>
    <w:tmpl w:val="A704DC86"/>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3" w15:restartNumberingAfterBreak="0">
    <w:nsid w:val="6187335C"/>
    <w:multiLevelType w:val="hybridMultilevel"/>
    <w:tmpl w:val="3B9662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4" w15:restartNumberingAfterBreak="0">
    <w:nsid w:val="627155BC"/>
    <w:multiLevelType w:val="hybridMultilevel"/>
    <w:tmpl w:val="29B2E844"/>
    <w:lvl w:ilvl="0" w:tplc="FAB0CCB0">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65" w15:restartNumberingAfterBreak="0">
    <w:nsid w:val="63EB071F"/>
    <w:multiLevelType w:val="hybridMultilevel"/>
    <w:tmpl w:val="C3784C70"/>
    <w:lvl w:ilvl="0" w:tplc="04070001">
      <w:start w:val="1"/>
      <w:numFmt w:val="bullet"/>
      <w:lvlText w:val=""/>
      <w:lvlJc w:val="left"/>
      <w:pPr>
        <w:ind w:left="1004" w:hanging="360"/>
      </w:pPr>
      <w:rPr>
        <w:rFonts w:ascii="Symbol" w:hAnsi="Symbol"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66" w15:restartNumberingAfterBreak="0">
    <w:nsid w:val="6479518A"/>
    <w:multiLevelType w:val="hybridMultilevel"/>
    <w:tmpl w:val="BF0A9A0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7" w15:restartNumberingAfterBreak="0">
    <w:nsid w:val="65291502"/>
    <w:multiLevelType w:val="hybridMultilevel"/>
    <w:tmpl w:val="572C9B9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8" w15:restartNumberingAfterBreak="0">
    <w:nsid w:val="65F5224E"/>
    <w:multiLevelType w:val="hybridMultilevel"/>
    <w:tmpl w:val="DD5E1A84"/>
    <w:lvl w:ilvl="0" w:tplc="142EAA6E">
      <w:start w:val="1"/>
      <w:numFmt w:val="bullet"/>
      <w:lvlText w:val=""/>
      <w:lvlJc w:val="left"/>
      <w:pPr>
        <w:ind w:left="644" w:hanging="360"/>
      </w:pPr>
      <w:rPr>
        <w:rFonts w:ascii="Symbol" w:hAnsi="Symbol" w:hint="default"/>
      </w:rPr>
    </w:lvl>
    <w:lvl w:ilvl="1" w:tplc="BB4E46B4" w:tentative="1">
      <w:start w:val="1"/>
      <w:numFmt w:val="bullet"/>
      <w:lvlText w:val="o"/>
      <w:lvlJc w:val="left"/>
      <w:pPr>
        <w:ind w:left="1440" w:hanging="360"/>
      </w:pPr>
      <w:rPr>
        <w:rFonts w:ascii="Courier New" w:hAnsi="Courier New" w:cs="Courier New" w:hint="default"/>
      </w:rPr>
    </w:lvl>
    <w:lvl w:ilvl="2" w:tplc="FA96DBDA" w:tentative="1">
      <w:start w:val="1"/>
      <w:numFmt w:val="bullet"/>
      <w:lvlText w:val=""/>
      <w:lvlJc w:val="left"/>
      <w:pPr>
        <w:ind w:left="2160" w:hanging="360"/>
      </w:pPr>
      <w:rPr>
        <w:rFonts w:ascii="Wingdings" w:hAnsi="Wingdings" w:hint="default"/>
      </w:rPr>
    </w:lvl>
    <w:lvl w:ilvl="3" w:tplc="B4EEB398" w:tentative="1">
      <w:start w:val="1"/>
      <w:numFmt w:val="bullet"/>
      <w:lvlText w:val=""/>
      <w:lvlJc w:val="left"/>
      <w:pPr>
        <w:ind w:left="2880" w:hanging="360"/>
      </w:pPr>
      <w:rPr>
        <w:rFonts w:ascii="Symbol" w:hAnsi="Symbol" w:hint="default"/>
      </w:rPr>
    </w:lvl>
    <w:lvl w:ilvl="4" w:tplc="63F2C6A4" w:tentative="1">
      <w:start w:val="1"/>
      <w:numFmt w:val="bullet"/>
      <w:lvlText w:val="o"/>
      <w:lvlJc w:val="left"/>
      <w:pPr>
        <w:ind w:left="3600" w:hanging="360"/>
      </w:pPr>
      <w:rPr>
        <w:rFonts w:ascii="Courier New" w:hAnsi="Courier New" w:cs="Courier New" w:hint="default"/>
      </w:rPr>
    </w:lvl>
    <w:lvl w:ilvl="5" w:tplc="34A40560" w:tentative="1">
      <w:start w:val="1"/>
      <w:numFmt w:val="bullet"/>
      <w:lvlText w:val=""/>
      <w:lvlJc w:val="left"/>
      <w:pPr>
        <w:ind w:left="4320" w:hanging="360"/>
      </w:pPr>
      <w:rPr>
        <w:rFonts w:ascii="Wingdings" w:hAnsi="Wingdings" w:hint="default"/>
      </w:rPr>
    </w:lvl>
    <w:lvl w:ilvl="6" w:tplc="7ADA7B14" w:tentative="1">
      <w:start w:val="1"/>
      <w:numFmt w:val="bullet"/>
      <w:lvlText w:val=""/>
      <w:lvlJc w:val="left"/>
      <w:pPr>
        <w:ind w:left="5040" w:hanging="360"/>
      </w:pPr>
      <w:rPr>
        <w:rFonts w:ascii="Symbol" w:hAnsi="Symbol" w:hint="default"/>
      </w:rPr>
    </w:lvl>
    <w:lvl w:ilvl="7" w:tplc="5562EA66" w:tentative="1">
      <w:start w:val="1"/>
      <w:numFmt w:val="bullet"/>
      <w:lvlText w:val="o"/>
      <w:lvlJc w:val="left"/>
      <w:pPr>
        <w:ind w:left="5760" w:hanging="360"/>
      </w:pPr>
      <w:rPr>
        <w:rFonts w:ascii="Courier New" w:hAnsi="Courier New" w:cs="Courier New" w:hint="default"/>
      </w:rPr>
    </w:lvl>
    <w:lvl w:ilvl="8" w:tplc="F8F202D4" w:tentative="1">
      <w:start w:val="1"/>
      <w:numFmt w:val="bullet"/>
      <w:lvlText w:val=""/>
      <w:lvlJc w:val="left"/>
      <w:pPr>
        <w:ind w:left="6480" w:hanging="360"/>
      </w:pPr>
      <w:rPr>
        <w:rFonts w:ascii="Wingdings" w:hAnsi="Wingdings" w:hint="default"/>
      </w:rPr>
    </w:lvl>
  </w:abstractNum>
  <w:abstractNum w:abstractNumId="69" w15:restartNumberingAfterBreak="0">
    <w:nsid w:val="696233F7"/>
    <w:multiLevelType w:val="hybridMultilevel"/>
    <w:tmpl w:val="A94EB898"/>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70" w15:restartNumberingAfterBreak="0">
    <w:nsid w:val="6DE53FD6"/>
    <w:multiLevelType w:val="singleLevel"/>
    <w:tmpl w:val="5E5AFCD6"/>
    <w:lvl w:ilvl="0">
      <w:start w:val="1"/>
      <w:numFmt w:val="bullet"/>
      <w:lvlText w:val=""/>
      <w:lvlJc w:val="left"/>
      <w:pPr>
        <w:tabs>
          <w:tab w:val="num" w:pos="357"/>
        </w:tabs>
        <w:ind w:left="170" w:hanging="170"/>
      </w:pPr>
      <w:rPr>
        <w:rFonts w:ascii="Symbol" w:hAnsi="Symbol" w:hint="default"/>
      </w:rPr>
    </w:lvl>
  </w:abstractNum>
  <w:abstractNum w:abstractNumId="71" w15:restartNumberingAfterBreak="0">
    <w:nsid w:val="6E713227"/>
    <w:multiLevelType w:val="hybridMultilevel"/>
    <w:tmpl w:val="A350BC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2" w15:restartNumberingAfterBreak="0">
    <w:nsid w:val="6F513543"/>
    <w:multiLevelType w:val="hybridMultilevel"/>
    <w:tmpl w:val="F8568AB6"/>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3" w15:restartNumberingAfterBreak="0">
    <w:nsid w:val="72AE4CB9"/>
    <w:multiLevelType w:val="hybridMultilevel"/>
    <w:tmpl w:val="BB4008C2"/>
    <w:lvl w:ilvl="0" w:tplc="517A2F96">
      <w:start w:val="1"/>
      <w:numFmt w:val="bullet"/>
      <w:pStyle w:val="Kontakt"/>
      <w:lvlText w:val=""/>
      <w:lvlJc w:val="left"/>
      <w:pPr>
        <w:ind w:left="720" w:hanging="360"/>
      </w:pPr>
      <w:rPr>
        <w:rFonts w:ascii="Wingdings" w:hAnsi="Wingdings" w:hint="default"/>
        <w:b/>
        <w:sz w:val="18"/>
        <w:szCs w:val="18"/>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4" w15:restartNumberingAfterBreak="0">
    <w:nsid w:val="72DD648B"/>
    <w:multiLevelType w:val="multilevel"/>
    <w:tmpl w:val="3ED2833A"/>
    <w:styleLink w:val="Formatvorlage5"/>
    <w:lvl w:ilvl="0">
      <w:start w:val="2"/>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5" w15:restartNumberingAfterBreak="0">
    <w:nsid w:val="75034243"/>
    <w:multiLevelType w:val="hybridMultilevel"/>
    <w:tmpl w:val="B068F210"/>
    <w:lvl w:ilvl="0" w:tplc="76E2260C">
      <w:start w:val="1"/>
      <w:numFmt w:val="bullet"/>
      <w:pStyle w:val="StandardTextAufzhlung"/>
      <w:lvlText w:val=""/>
      <w:lvlJc w:val="left"/>
      <w:pPr>
        <w:ind w:left="19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6" w15:restartNumberingAfterBreak="0">
    <w:nsid w:val="79155C40"/>
    <w:multiLevelType w:val="hybridMultilevel"/>
    <w:tmpl w:val="9B22F4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7" w15:restartNumberingAfterBreak="0">
    <w:nsid w:val="79E4755C"/>
    <w:multiLevelType w:val="hybridMultilevel"/>
    <w:tmpl w:val="F9549CEC"/>
    <w:lvl w:ilvl="0" w:tplc="81644D40">
      <w:start w:val="1"/>
      <w:numFmt w:val="bullet"/>
      <w:lvlText w:val=""/>
      <w:lvlJc w:val="left"/>
      <w:pPr>
        <w:ind w:left="720" w:hanging="360"/>
      </w:pPr>
      <w:rPr>
        <w:rFonts w:ascii="Symbol" w:hAnsi="Symbol" w:hint="default"/>
        <w:sz w:val="18"/>
        <w:szCs w:val="18"/>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8" w15:restartNumberingAfterBreak="0">
    <w:nsid w:val="7D4750F6"/>
    <w:multiLevelType w:val="hybridMultilevel"/>
    <w:tmpl w:val="6A0A69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9" w15:restartNumberingAfterBreak="0">
    <w:nsid w:val="7DCC5EB1"/>
    <w:multiLevelType w:val="hybridMultilevel"/>
    <w:tmpl w:val="0AA2597C"/>
    <w:lvl w:ilvl="0" w:tplc="CCAEBAC0">
      <w:start w:val="1"/>
      <w:numFmt w:val="bullet"/>
      <w:pStyle w:val="Literatur"/>
      <w:lvlText w:val=""/>
      <w:lvlJc w:val="left"/>
      <w:pPr>
        <w:ind w:left="786" w:hanging="360"/>
      </w:pPr>
      <w:rPr>
        <w:rFonts w:ascii="Wingdings" w:hAnsi="Wingdings" w:hint="default"/>
        <w:b/>
        <w:sz w:val="14"/>
        <w:szCs w:val="14"/>
      </w:rPr>
    </w:lvl>
    <w:lvl w:ilvl="1" w:tplc="04070003" w:tentative="1">
      <w:start w:val="1"/>
      <w:numFmt w:val="bullet"/>
      <w:lvlText w:val="o"/>
      <w:lvlJc w:val="left"/>
      <w:pPr>
        <w:ind w:left="-262" w:hanging="360"/>
      </w:pPr>
      <w:rPr>
        <w:rFonts w:ascii="Courier New" w:hAnsi="Courier New" w:cs="Courier New" w:hint="default"/>
      </w:rPr>
    </w:lvl>
    <w:lvl w:ilvl="2" w:tplc="04070005" w:tentative="1">
      <w:start w:val="1"/>
      <w:numFmt w:val="bullet"/>
      <w:lvlText w:val=""/>
      <w:lvlJc w:val="left"/>
      <w:pPr>
        <w:ind w:left="458" w:hanging="360"/>
      </w:pPr>
      <w:rPr>
        <w:rFonts w:ascii="Wingdings" w:hAnsi="Wingdings" w:hint="default"/>
      </w:rPr>
    </w:lvl>
    <w:lvl w:ilvl="3" w:tplc="04070001" w:tentative="1">
      <w:start w:val="1"/>
      <w:numFmt w:val="bullet"/>
      <w:lvlText w:val=""/>
      <w:lvlJc w:val="left"/>
      <w:pPr>
        <w:ind w:left="1178" w:hanging="360"/>
      </w:pPr>
      <w:rPr>
        <w:rFonts w:ascii="Symbol" w:hAnsi="Symbol" w:hint="default"/>
      </w:rPr>
    </w:lvl>
    <w:lvl w:ilvl="4" w:tplc="04070003" w:tentative="1">
      <w:start w:val="1"/>
      <w:numFmt w:val="bullet"/>
      <w:lvlText w:val="o"/>
      <w:lvlJc w:val="left"/>
      <w:pPr>
        <w:ind w:left="1898" w:hanging="360"/>
      </w:pPr>
      <w:rPr>
        <w:rFonts w:ascii="Courier New" w:hAnsi="Courier New" w:cs="Courier New" w:hint="default"/>
      </w:rPr>
    </w:lvl>
    <w:lvl w:ilvl="5" w:tplc="04070005" w:tentative="1">
      <w:start w:val="1"/>
      <w:numFmt w:val="bullet"/>
      <w:lvlText w:val=""/>
      <w:lvlJc w:val="left"/>
      <w:pPr>
        <w:ind w:left="2618" w:hanging="360"/>
      </w:pPr>
      <w:rPr>
        <w:rFonts w:ascii="Wingdings" w:hAnsi="Wingdings" w:hint="default"/>
      </w:rPr>
    </w:lvl>
    <w:lvl w:ilvl="6" w:tplc="04070001" w:tentative="1">
      <w:start w:val="1"/>
      <w:numFmt w:val="bullet"/>
      <w:lvlText w:val=""/>
      <w:lvlJc w:val="left"/>
      <w:pPr>
        <w:ind w:left="3338" w:hanging="360"/>
      </w:pPr>
      <w:rPr>
        <w:rFonts w:ascii="Symbol" w:hAnsi="Symbol" w:hint="default"/>
      </w:rPr>
    </w:lvl>
    <w:lvl w:ilvl="7" w:tplc="04070003" w:tentative="1">
      <w:start w:val="1"/>
      <w:numFmt w:val="bullet"/>
      <w:lvlText w:val="o"/>
      <w:lvlJc w:val="left"/>
      <w:pPr>
        <w:ind w:left="4058" w:hanging="360"/>
      </w:pPr>
      <w:rPr>
        <w:rFonts w:ascii="Courier New" w:hAnsi="Courier New" w:cs="Courier New" w:hint="default"/>
      </w:rPr>
    </w:lvl>
    <w:lvl w:ilvl="8" w:tplc="04070005" w:tentative="1">
      <w:start w:val="1"/>
      <w:numFmt w:val="bullet"/>
      <w:lvlText w:val=""/>
      <w:lvlJc w:val="left"/>
      <w:pPr>
        <w:ind w:left="4778" w:hanging="360"/>
      </w:pPr>
      <w:rPr>
        <w:rFonts w:ascii="Wingdings" w:hAnsi="Wingdings" w:hint="default"/>
      </w:rPr>
    </w:lvl>
  </w:abstractNum>
  <w:abstractNum w:abstractNumId="80" w15:restartNumberingAfterBreak="0">
    <w:nsid w:val="7E2A7091"/>
    <w:multiLevelType w:val="hybridMultilevel"/>
    <w:tmpl w:val="8AB60486"/>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813181192">
    <w:abstractNumId w:val="73"/>
  </w:num>
  <w:num w:numId="2" w16cid:durableId="1516456869">
    <w:abstractNumId w:val="11"/>
  </w:num>
  <w:num w:numId="3" w16cid:durableId="1884563390">
    <w:abstractNumId w:val="25"/>
  </w:num>
  <w:num w:numId="4" w16cid:durableId="665013420">
    <w:abstractNumId w:val="39"/>
  </w:num>
  <w:num w:numId="5" w16cid:durableId="711615050">
    <w:abstractNumId w:val="74"/>
  </w:num>
  <w:num w:numId="6" w16cid:durableId="376391870">
    <w:abstractNumId w:val="9"/>
  </w:num>
  <w:num w:numId="7" w16cid:durableId="670529108">
    <w:abstractNumId w:val="49"/>
  </w:num>
  <w:num w:numId="8" w16cid:durableId="1238980386">
    <w:abstractNumId w:val="34"/>
  </w:num>
  <w:num w:numId="9" w16cid:durableId="665867009">
    <w:abstractNumId w:val="75"/>
  </w:num>
  <w:num w:numId="10" w16cid:durableId="1663317429">
    <w:abstractNumId w:val="54"/>
  </w:num>
  <w:num w:numId="11" w16cid:durableId="1908151008">
    <w:abstractNumId w:val="55"/>
  </w:num>
  <w:num w:numId="12" w16cid:durableId="1004019327">
    <w:abstractNumId w:val="58"/>
  </w:num>
  <w:num w:numId="13" w16cid:durableId="200174859">
    <w:abstractNumId w:val="72"/>
  </w:num>
  <w:num w:numId="14" w16cid:durableId="1861316664">
    <w:abstractNumId w:val="47"/>
  </w:num>
  <w:num w:numId="15" w16cid:durableId="373580683">
    <w:abstractNumId w:val="80"/>
  </w:num>
  <w:num w:numId="16" w16cid:durableId="360012660">
    <w:abstractNumId w:val="62"/>
  </w:num>
  <w:num w:numId="17" w16cid:durableId="2040004720">
    <w:abstractNumId w:val="79"/>
  </w:num>
  <w:num w:numId="18" w16cid:durableId="1582446521">
    <w:abstractNumId w:val="77"/>
  </w:num>
  <w:num w:numId="19" w16cid:durableId="283078473">
    <w:abstractNumId w:val="56"/>
  </w:num>
  <w:num w:numId="20" w16cid:durableId="988754138">
    <w:abstractNumId w:val="40"/>
  </w:num>
  <w:num w:numId="21" w16cid:durableId="669335761">
    <w:abstractNumId w:val="2"/>
  </w:num>
  <w:num w:numId="22" w16cid:durableId="330447912">
    <w:abstractNumId w:val="17"/>
  </w:num>
  <w:num w:numId="23" w16cid:durableId="165832153">
    <w:abstractNumId w:val="7"/>
  </w:num>
  <w:num w:numId="24" w16cid:durableId="893929999">
    <w:abstractNumId w:val="15"/>
  </w:num>
  <w:num w:numId="25" w16cid:durableId="1247961503">
    <w:abstractNumId w:val="37"/>
  </w:num>
  <w:num w:numId="26" w16cid:durableId="1454403524">
    <w:abstractNumId w:val="44"/>
  </w:num>
  <w:num w:numId="27" w16cid:durableId="1676104353">
    <w:abstractNumId w:val="1"/>
  </w:num>
  <w:num w:numId="28" w16cid:durableId="1776515180">
    <w:abstractNumId w:val="68"/>
  </w:num>
  <w:num w:numId="29" w16cid:durableId="199127668">
    <w:abstractNumId w:val="66"/>
  </w:num>
  <w:num w:numId="30" w16cid:durableId="354159031">
    <w:abstractNumId w:val="78"/>
  </w:num>
  <w:num w:numId="31" w16cid:durableId="2063871299">
    <w:abstractNumId w:val="45"/>
  </w:num>
  <w:num w:numId="32" w16cid:durableId="89279113">
    <w:abstractNumId w:val="33"/>
  </w:num>
  <w:num w:numId="33" w16cid:durableId="1466850319">
    <w:abstractNumId w:val="18"/>
  </w:num>
  <w:num w:numId="34" w16cid:durableId="61369588">
    <w:abstractNumId w:val="13"/>
  </w:num>
  <w:num w:numId="35" w16cid:durableId="1600288176">
    <w:abstractNumId w:val="51"/>
  </w:num>
  <w:num w:numId="36" w16cid:durableId="124199672">
    <w:abstractNumId w:val="30"/>
  </w:num>
  <w:num w:numId="37" w16cid:durableId="1564214149">
    <w:abstractNumId w:val="42"/>
  </w:num>
  <w:num w:numId="38" w16cid:durableId="1063794048">
    <w:abstractNumId w:val="23"/>
  </w:num>
  <w:num w:numId="39" w16cid:durableId="1063914096">
    <w:abstractNumId w:val="67"/>
  </w:num>
  <w:num w:numId="40" w16cid:durableId="419372870">
    <w:abstractNumId w:val="0"/>
  </w:num>
  <w:num w:numId="41" w16cid:durableId="1357997002">
    <w:abstractNumId w:val="38"/>
  </w:num>
  <w:num w:numId="42" w16cid:durableId="470707679">
    <w:abstractNumId w:val="70"/>
  </w:num>
  <w:num w:numId="43" w16cid:durableId="1437866314">
    <w:abstractNumId w:val="57"/>
  </w:num>
  <w:num w:numId="44" w16cid:durableId="1820922911">
    <w:abstractNumId w:val="3"/>
  </w:num>
  <w:num w:numId="45" w16cid:durableId="1392076855">
    <w:abstractNumId w:val="6"/>
  </w:num>
  <w:num w:numId="46" w16cid:durableId="7100804">
    <w:abstractNumId w:val="60"/>
  </w:num>
  <w:num w:numId="47" w16cid:durableId="2060131327">
    <w:abstractNumId w:val="4"/>
  </w:num>
  <w:num w:numId="48" w16cid:durableId="1374236036">
    <w:abstractNumId w:val="21"/>
  </w:num>
  <w:num w:numId="49" w16cid:durableId="1128430703">
    <w:abstractNumId w:val="63"/>
  </w:num>
  <w:num w:numId="50" w16cid:durableId="1112164584">
    <w:abstractNumId w:val="26"/>
  </w:num>
  <w:num w:numId="51" w16cid:durableId="1833711910">
    <w:abstractNumId w:val="71"/>
  </w:num>
  <w:num w:numId="52" w16cid:durableId="1099833294">
    <w:abstractNumId w:val="41"/>
  </w:num>
  <w:num w:numId="53" w16cid:durableId="2048215611">
    <w:abstractNumId w:val="10"/>
  </w:num>
  <w:num w:numId="54" w16cid:durableId="682786798">
    <w:abstractNumId w:val="24"/>
  </w:num>
  <w:num w:numId="55" w16cid:durableId="1396314803">
    <w:abstractNumId w:val="43"/>
  </w:num>
  <w:num w:numId="56" w16cid:durableId="1791122140">
    <w:abstractNumId w:val="5"/>
  </w:num>
  <w:num w:numId="57" w16cid:durableId="43529508">
    <w:abstractNumId w:val="48"/>
  </w:num>
  <w:num w:numId="58" w16cid:durableId="1994605190">
    <w:abstractNumId w:val="31"/>
  </w:num>
  <w:num w:numId="59" w16cid:durableId="322853641">
    <w:abstractNumId w:val="59"/>
  </w:num>
  <w:num w:numId="60" w16cid:durableId="1382440434">
    <w:abstractNumId w:val="64"/>
  </w:num>
  <w:num w:numId="61" w16cid:durableId="601688432">
    <w:abstractNumId w:val="76"/>
  </w:num>
  <w:num w:numId="62" w16cid:durableId="342129043">
    <w:abstractNumId w:val="50"/>
  </w:num>
  <w:num w:numId="63" w16cid:durableId="1818497253">
    <w:abstractNumId w:val="69"/>
  </w:num>
  <w:num w:numId="64" w16cid:durableId="1521236633">
    <w:abstractNumId w:val="46"/>
  </w:num>
  <w:num w:numId="65" w16cid:durableId="2039311195">
    <w:abstractNumId w:val="61"/>
  </w:num>
  <w:num w:numId="66" w16cid:durableId="1034041943">
    <w:abstractNumId w:val="28"/>
  </w:num>
  <w:num w:numId="67" w16cid:durableId="1359818665">
    <w:abstractNumId w:val="22"/>
  </w:num>
  <w:num w:numId="68" w16cid:durableId="2013139111">
    <w:abstractNumId w:val="19"/>
  </w:num>
  <w:num w:numId="69" w16cid:durableId="99448511">
    <w:abstractNumId w:val="53"/>
  </w:num>
  <w:num w:numId="70" w16cid:durableId="1830052660">
    <w:abstractNumId w:val="65"/>
  </w:num>
  <w:num w:numId="71" w16cid:durableId="1724521036">
    <w:abstractNumId w:val="35"/>
  </w:num>
  <w:num w:numId="72" w16cid:durableId="585265020">
    <w:abstractNumId w:val="12"/>
  </w:num>
  <w:num w:numId="73" w16cid:durableId="1250886507">
    <w:abstractNumId w:val="14"/>
  </w:num>
  <w:num w:numId="74" w16cid:durableId="103892174">
    <w:abstractNumId w:val="29"/>
  </w:num>
  <w:num w:numId="75" w16cid:durableId="1130368644">
    <w:abstractNumId w:val="32"/>
  </w:num>
  <w:num w:numId="76" w16cid:durableId="795291819">
    <w:abstractNumId w:val="16"/>
  </w:num>
  <w:num w:numId="77" w16cid:durableId="804810509">
    <w:abstractNumId w:val="20"/>
  </w:num>
  <w:num w:numId="78" w16cid:durableId="137386258">
    <w:abstractNumId w:val="8"/>
  </w:num>
  <w:num w:numId="79" w16cid:durableId="1142578827">
    <w:abstractNumId w:val="52"/>
  </w:num>
  <w:num w:numId="80" w16cid:durableId="1393624311">
    <w:abstractNumId w:val="36"/>
  </w:num>
  <w:num w:numId="81" w16cid:durableId="423184076">
    <w:abstractNumId w:val="27"/>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activeWritingStyle w:appName="MSWord" w:lang="it-IT" w:vendorID="64" w:dllVersion="6" w:nlCheck="1" w:checkStyle="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fr-FR" w:vendorID="64" w:dllVersion="6" w:nlCheck="1" w:checkStyle="0"/>
  <w:activeWritingStyle w:appName="MSWord" w:lang="de-DE" w:vendorID="64" w:dllVersion="0" w:nlCheck="1" w:checkStyle="0"/>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proofState w:spelling="clean" w:grammar="clean"/>
  <w:defaultTabStop w:val="680"/>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2C19"/>
    <w:rsid w:val="00001EBB"/>
    <w:rsid w:val="0000202D"/>
    <w:rsid w:val="00003840"/>
    <w:rsid w:val="00003B51"/>
    <w:rsid w:val="00005C21"/>
    <w:rsid w:val="000137EE"/>
    <w:rsid w:val="0001591A"/>
    <w:rsid w:val="00015AD7"/>
    <w:rsid w:val="00021130"/>
    <w:rsid w:val="00024E96"/>
    <w:rsid w:val="00025512"/>
    <w:rsid w:val="00035E56"/>
    <w:rsid w:val="00036DC6"/>
    <w:rsid w:val="00037FAC"/>
    <w:rsid w:val="00042200"/>
    <w:rsid w:val="00043AE9"/>
    <w:rsid w:val="0004668A"/>
    <w:rsid w:val="000510DF"/>
    <w:rsid w:val="00056C69"/>
    <w:rsid w:val="00057A53"/>
    <w:rsid w:val="00060755"/>
    <w:rsid w:val="00063AB1"/>
    <w:rsid w:val="00063BE9"/>
    <w:rsid w:val="000709F3"/>
    <w:rsid w:val="0007144F"/>
    <w:rsid w:val="00072F86"/>
    <w:rsid w:val="00076400"/>
    <w:rsid w:val="000809CD"/>
    <w:rsid w:val="0008380D"/>
    <w:rsid w:val="000843DD"/>
    <w:rsid w:val="0008650E"/>
    <w:rsid w:val="00086BF9"/>
    <w:rsid w:val="00090A54"/>
    <w:rsid w:val="00091DE6"/>
    <w:rsid w:val="000956CB"/>
    <w:rsid w:val="00097748"/>
    <w:rsid w:val="000A361D"/>
    <w:rsid w:val="000A5184"/>
    <w:rsid w:val="000A7608"/>
    <w:rsid w:val="000A7C16"/>
    <w:rsid w:val="000B3A5C"/>
    <w:rsid w:val="000B4618"/>
    <w:rsid w:val="000B723F"/>
    <w:rsid w:val="000D4FAC"/>
    <w:rsid w:val="000D74BB"/>
    <w:rsid w:val="000D7558"/>
    <w:rsid w:val="000E49B6"/>
    <w:rsid w:val="000F0C65"/>
    <w:rsid w:val="000F13EF"/>
    <w:rsid w:val="000F39A8"/>
    <w:rsid w:val="000F7B43"/>
    <w:rsid w:val="00101CE0"/>
    <w:rsid w:val="00107A50"/>
    <w:rsid w:val="00110188"/>
    <w:rsid w:val="00110194"/>
    <w:rsid w:val="00114831"/>
    <w:rsid w:val="00114911"/>
    <w:rsid w:val="00116B2D"/>
    <w:rsid w:val="00120C3B"/>
    <w:rsid w:val="001212D2"/>
    <w:rsid w:val="00126243"/>
    <w:rsid w:val="001264BC"/>
    <w:rsid w:val="00127258"/>
    <w:rsid w:val="00131E3E"/>
    <w:rsid w:val="00133B39"/>
    <w:rsid w:val="00140268"/>
    <w:rsid w:val="00140391"/>
    <w:rsid w:val="00142C19"/>
    <w:rsid w:val="00143847"/>
    <w:rsid w:val="00145AF4"/>
    <w:rsid w:val="001465BB"/>
    <w:rsid w:val="00146CA6"/>
    <w:rsid w:val="0015306E"/>
    <w:rsid w:val="001551AA"/>
    <w:rsid w:val="0015545B"/>
    <w:rsid w:val="00155AFC"/>
    <w:rsid w:val="00157248"/>
    <w:rsid w:val="00160C42"/>
    <w:rsid w:val="0016185B"/>
    <w:rsid w:val="00161C92"/>
    <w:rsid w:val="00162042"/>
    <w:rsid w:val="00163FEF"/>
    <w:rsid w:val="001704FE"/>
    <w:rsid w:val="00171D44"/>
    <w:rsid w:val="00177021"/>
    <w:rsid w:val="001770DC"/>
    <w:rsid w:val="00177529"/>
    <w:rsid w:val="00181BAF"/>
    <w:rsid w:val="00181DA3"/>
    <w:rsid w:val="00182E13"/>
    <w:rsid w:val="00184324"/>
    <w:rsid w:val="0019214D"/>
    <w:rsid w:val="00193869"/>
    <w:rsid w:val="001942B5"/>
    <w:rsid w:val="001A1A41"/>
    <w:rsid w:val="001A2B69"/>
    <w:rsid w:val="001A51DB"/>
    <w:rsid w:val="001B0511"/>
    <w:rsid w:val="001B1E7E"/>
    <w:rsid w:val="001B6BAE"/>
    <w:rsid w:val="001B7BA6"/>
    <w:rsid w:val="001C1AD9"/>
    <w:rsid w:val="001C7BD7"/>
    <w:rsid w:val="001C7C30"/>
    <w:rsid w:val="001D3348"/>
    <w:rsid w:val="001E3EB9"/>
    <w:rsid w:val="001E3F06"/>
    <w:rsid w:val="001E3F72"/>
    <w:rsid w:val="001E58F5"/>
    <w:rsid w:val="001E5B67"/>
    <w:rsid w:val="001F42E2"/>
    <w:rsid w:val="001F4A12"/>
    <w:rsid w:val="001F4A8C"/>
    <w:rsid w:val="001F4D06"/>
    <w:rsid w:val="001F7028"/>
    <w:rsid w:val="001F711F"/>
    <w:rsid w:val="00200F07"/>
    <w:rsid w:val="00201F4B"/>
    <w:rsid w:val="00205B0F"/>
    <w:rsid w:val="00205FBE"/>
    <w:rsid w:val="00206A62"/>
    <w:rsid w:val="00206D53"/>
    <w:rsid w:val="00207394"/>
    <w:rsid w:val="00212B7E"/>
    <w:rsid w:val="00214A16"/>
    <w:rsid w:val="0021501E"/>
    <w:rsid w:val="00215CB3"/>
    <w:rsid w:val="00224CC2"/>
    <w:rsid w:val="002251EC"/>
    <w:rsid w:val="0022698D"/>
    <w:rsid w:val="0023089B"/>
    <w:rsid w:val="0023483F"/>
    <w:rsid w:val="002438F4"/>
    <w:rsid w:val="00243A8D"/>
    <w:rsid w:val="00243CDD"/>
    <w:rsid w:val="00244ED4"/>
    <w:rsid w:val="00247954"/>
    <w:rsid w:val="002479FD"/>
    <w:rsid w:val="00251FFA"/>
    <w:rsid w:val="00252892"/>
    <w:rsid w:val="0025340A"/>
    <w:rsid w:val="00254753"/>
    <w:rsid w:val="00257468"/>
    <w:rsid w:val="00260649"/>
    <w:rsid w:val="00260661"/>
    <w:rsid w:val="0026427E"/>
    <w:rsid w:val="00265D6C"/>
    <w:rsid w:val="002678C8"/>
    <w:rsid w:val="00270173"/>
    <w:rsid w:val="0028085D"/>
    <w:rsid w:val="00283937"/>
    <w:rsid w:val="00286C29"/>
    <w:rsid w:val="00287944"/>
    <w:rsid w:val="0029103A"/>
    <w:rsid w:val="002914DB"/>
    <w:rsid w:val="00292C31"/>
    <w:rsid w:val="0029467E"/>
    <w:rsid w:val="002A0928"/>
    <w:rsid w:val="002A223B"/>
    <w:rsid w:val="002A4187"/>
    <w:rsid w:val="002A44DF"/>
    <w:rsid w:val="002A4569"/>
    <w:rsid w:val="002A501D"/>
    <w:rsid w:val="002B059E"/>
    <w:rsid w:val="002B1205"/>
    <w:rsid w:val="002B3C2E"/>
    <w:rsid w:val="002B4224"/>
    <w:rsid w:val="002B70A7"/>
    <w:rsid w:val="002B7C99"/>
    <w:rsid w:val="002C2441"/>
    <w:rsid w:val="002D2D68"/>
    <w:rsid w:val="002D50A5"/>
    <w:rsid w:val="002E3E4F"/>
    <w:rsid w:val="002E3E66"/>
    <w:rsid w:val="002F1C35"/>
    <w:rsid w:val="002F3A66"/>
    <w:rsid w:val="002F46E5"/>
    <w:rsid w:val="002F72F3"/>
    <w:rsid w:val="00300814"/>
    <w:rsid w:val="0030166F"/>
    <w:rsid w:val="00302979"/>
    <w:rsid w:val="003129C7"/>
    <w:rsid w:val="00312CF9"/>
    <w:rsid w:val="003157FE"/>
    <w:rsid w:val="00315EF6"/>
    <w:rsid w:val="003166E3"/>
    <w:rsid w:val="0032014E"/>
    <w:rsid w:val="00320ED2"/>
    <w:rsid w:val="003253AD"/>
    <w:rsid w:val="003253EA"/>
    <w:rsid w:val="00330BF9"/>
    <w:rsid w:val="00330CCD"/>
    <w:rsid w:val="00331B24"/>
    <w:rsid w:val="00334F09"/>
    <w:rsid w:val="0033765E"/>
    <w:rsid w:val="00342772"/>
    <w:rsid w:val="00345203"/>
    <w:rsid w:val="00351740"/>
    <w:rsid w:val="00357FB3"/>
    <w:rsid w:val="0036091F"/>
    <w:rsid w:val="003656E0"/>
    <w:rsid w:val="003668E8"/>
    <w:rsid w:val="00370236"/>
    <w:rsid w:val="00376BBF"/>
    <w:rsid w:val="00383C01"/>
    <w:rsid w:val="00384C93"/>
    <w:rsid w:val="00391CB8"/>
    <w:rsid w:val="00392AC2"/>
    <w:rsid w:val="00393645"/>
    <w:rsid w:val="003969D6"/>
    <w:rsid w:val="003A0418"/>
    <w:rsid w:val="003A1599"/>
    <w:rsid w:val="003A1BFF"/>
    <w:rsid w:val="003A3B30"/>
    <w:rsid w:val="003A5052"/>
    <w:rsid w:val="003A69FB"/>
    <w:rsid w:val="003A70A0"/>
    <w:rsid w:val="003A7EE3"/>
    <w:rsid w:val="003B03AD"/>
    <w:rsid w:val="003B15BD"/>
    <w:rsid w:val="003B4617"/>
    <w:rsid w:val="003C29E9"/>
    <w:rsid w:val="003C2E8A"/>
    <w:rsid w:val="003C3DC5"/>
    <w:rsid w:val="003C3E46"/>
    <w:rsid w:val="003C4869"/>
    <w:rsid w:val="003C4B3D"/>
    <w:rsid w:val="003C61E5"/>
    <w:rsid w:val="003C624E"/>
    <w:rsid w:val="003C66E0"/>
    <w:rsid w:val="003D2856"/>
    <w:rsid w:val="003D58DC"/>
    <w:rsid w:val="003D5C52"/>
    <w:rsid w:val="003D63C0"/>
    <w:rsid w:val="003E1B88"/>
    <w:rsid w:val="003E274E"/>
    <w:rsid w:val="003E716A"/>
    <w:rsid w:val="003F28F4"/>
    <w:rsid w:val="003F37CA"/>
    <w:rsid w:val="003F42CD"/>
    <w:rsid w:val="003F5DD5"/>
    <w:rsid w:val="003F5EB6"/>
    <w:rsid w:val="003F7F32"/>
    <w:rsid w:val="0040076A"/>
    <w:rsid w:val="00400C35"/>
    <w:rsid w:val="0040267A"/>
    <w:rsid w:val="004048E7"/>
    <w:rsid w:val="0041141A"/>
    <w:rsid w:val="00414BDC"/>
    <w:rsid w:val="00420B47"/>
    <w:rsid w:val="00426B9F"/>
    <w:rsid w:val="00426F89"/>
    <w:rsid w:val="00432D3C"/>
    <w:rsid w:val="004331D5"/>
    <w:rsid w:val="00433784"/>
    <w:rsid w:val="00436113"/>
    <w:rsid w:val="00436621"/>
    <w:rsid w:val="004407DA"/>
    <w:rsid w:val="00443B51"/>
    <w:rsid w:val="0044444D"/>
    <w:rsid w:val="004502EA"/>
    <w:rsid w:val="0046221A"/>
    <w:rsid w:val="0046492B"/>
    <w:rsid w:val="004679D0"/>
    <w:rsid w:val="00467ACF"/>
    <w:rsid w:val="00470242"/>
    <w:rsid w:val="00473613"/>
    <w:rsid w:val="00477109"/>
    <w:rsid w:val="00477EE1"/>
    <w:rsid w:val="0048510D"/>
    <w:rsid w:val="004905D5"/>
    <w:rsid w:val="004916A4"/>
    <w:rsid w:val="0049337F"/>
    <w:rsid w:val="004A009B"/>
    <w:rsid w:val="004A28F6"/>
    <w:rsid w:val="004A4857"/>
    <w:rsid w:val="004A73C1"/>
    <w:rsid w:val="004A774C"/>
    <w:rsid w:val="004B091C"/>
    <w:rsid w:val="004B18FC"/>
    <w:rsid w:val="004B24AB"/>
    <w:rsid w:val="004B4862"/>
    <w:rsid w:val="004B5AEF"/>
    <w:rsid w:val="004B7813"/>
    <w:rsid w:val="004B7C5D"/>
    <w:rsid w:val="004C3317"/>
    <w:rsid w:val="004C382C"/>
    <w:rsid w:val="004C5248"/>
    <w:rsid w:val="004C56ED"/>
    <w:rsid w:val="004C5870"/>
    <w:rsid w:val="004D0571"/>
    <w:rsid w:val="004D2B16"/>
    <w:rsid w:val="004D3467"/>
    <w:rsid w:val="004D34D5"/>
    <w:rsid w:val="004D38C0"/>
    <w:rsid w:val="004D3B6A"/>
    <w:rsid w:val="004E4D6E"/>
    <w:rsid w:val="004F01F6"/>
    <w:rsid w:val="004F0929"/>
    <w:rsid w:val="004F1B95"/>
    <w:rsid w:val="004F4616"/>
    <w:rsid w:val="004F48E5"/>
    <w:rsid w:val="004F4CFA"/>
    <w:rsid w:val="00500190"/>
    <w:rsid w:val="00501437"/>
    <w:rsid w:val="00502AEA"/>
    <w:rsid w:val="00504BA3"/>
    <w:rsid w:val="00510D29"/>
    <w:rsid w:val="00510E20"/>
    <w:rsid w:val="00517303"/>
    <w:rsid w:val="005251EC"/>
    <w:rsid w:val="0052536B"/>
    <w:rsid w:val="005261ED"/>
    <w:rsid w:val="00526808"/>
    <w:rsid w:val="00526D69"/>
    <w:rsid w:val="00535A87"/>
    <w:rsid w:val="00535E2F"/>
    <w:rsid w:val="00546F37"/>
    <w:rsid w:val="005522A6"/>
    <w:rsid w:val="00554347"/>
    <w:rsid w:val="00554E69"/>
    <w:rsid w:val="005551D3"/>
    <w:rsid w:val="005561DB"/>
    <w:rsid w:val="005567BA"/>
    <w:rsid w:val="005571CB"/>
    <w:rsid w:val="00561664"/>
    <w:rsid w:val="00566582"/>
    <w:rsid w:val="005726B5"/>
    <w:rsid w:val="00577F44"/>
    <w:rsid w:val="00580F1D"/>
    <w:rsid w:val="0058116E"/>
    <w:rsid w:val="00584C42"/>
    <w:rsid w:val="005909AD"/>
    <w:rsid w:val="0059425A"/>
    <w:rsid w:val="00594BD1"/>
    <w:rsid w:val="005973CC"/>
    <w:rsid w:val="005A21E1"/>
    <w:rsid w:val="005A3D38"/>
    <w:rsid w:val="005A60A3"/>
    <w:rsid w:val="005A6636"/>
    <w:rsid w:val="005A7326"/>
    <w:rsid w:val="005A7755"/>
    <w:rsid w:val="005B00FE"/>
    <w:rsid w:val="005B116F"/>
    <w:rsid w:val="005B43F5"/>
    <w:rsid w:val="005B49E9"/>
    <w:rsid w:val="005B595E"/>
    <w:rsid w:val="005B7E3A"/>
    <w:rsid w:val="005C1BC0"/>
    <w:rsid w:val="005C3AE6"/>
    <w:rsid w:val="005C5BE5"/>
    <w:rsid w:val="005D11F5"/>
    <w:rsid w:val="005D1E16"/>
    <w:rsid w:val="005E0300"/>
    <w:rsid w:val="005E04A5"/>
    <w:rsid w:val="005E41DD"/>
    <w:rsid w:val="005E50F8"/>
    <w:rsid w:val="005E518E"/>
    <w:rsid w:val="005E53D8"/>
    <w:rsid w:val="005E6288"/>
    <w:rsid w:val="005F3559"/>
    <w:rsid w:val="005F3BAD"/>
    <w:rsid w:val="00600523"/>
    <w:rsid w:val="006061D2"/>
    <w:rsid w:val="0061246F"/>
    <w:rsid w:val="00612FE7"/>
    <w:rsid w:val="00615299"/>
    <w:rsid w:val="00615D94"/>
    <w:rsid w:val="00621B8C"/>
    <w:rsid w:val="00621BAD"/>
    <w:rsid w:val="006239E7"/>
    <w:rsid w:val="006242BA"/>
    <w:rsid w:val="00631AEF"/>
    <w:rsid w:val="00637A79"/>
    <w:rsid w:val="006408B3"/>
    <w:rsid w:val="006432CB"/>
    <w:rsid w:val="00646384"/>
    <w:rsid w:val="0065007A"/>
    <w:rsid w:val="00650404"/>
    <w:rsid w:val="00652046"/>
    <w:rsid w:val="00655DFB"/>
    <w:rsid w:val="00655E75"/>
    <w:rsid w:val="00660B55"/>
    <w:rsid w:val="00662DF1"/>
    <w:rsid w:val="006635D5"/>
    <w:rsid w:val="0067106B"/>
    <w:rsid w:val="0067172E"/>
    <w:rsid w:val="0067388A"/>
    <w:rsid w:val="0067540C"/>
    <w:rsid w:val="0067602F"/>
    <w:rsid w:val="00676924"/>
    <w:rsid w:val="00677BB9"/>
    <w:rsid w:val="00681246"/>
    <w:rsid w:val="00683E8F"/>
    <w:rsid w:val="00684099"/>
    <w:rsid w:val="00685E66"/>
    <w:rsid w:val="00686336"/>
    <w:rsid w:val="00686D3C"/>
    <w:rsid w:val="00687806"/>
    <w:rsid w:val="0069244A"/>
    <w:rsid w:val="00693DB3"/>
    <w:rsid w:val="006942A5"/>
    <w:rsid w:val="00695044"/>
    <w:rsid w:val="006952E5"/>
    <w:rsid w:val="00696285"/>
    <w:rsid w:val="006A285F"/>
    <w:rsid w:val="006A6D9E"/>
    <w:rsid w:val="006B13B4"/>
    <w:rsid w:val="006B330E"/>
    <w:rsid w:val="006B4508"/>
    <w:rsid w:val="006B46AB"/>
    <w:rsid w:val="006B4F07"/>
    <w:rsid w:val="006B65FF"/>
    <w:rsid w:val="006B69DC"/>
    <w:rsid w:val="006B7117"/>
    <w:rsid w:val="006C7A9C"/>
    <w:rsid w:val="006D031E"/>
    <w:rsid w:val="006D0D16"/>
    <w:rsid w:val="006D28E0"/>
    <w:rsid w:val="006E0282"/>
    <w:rsid w:val="006E1828"/>
    <w:rsid w:val="006E44AE"/>
    <w:rsid w:val="006E504E"/>
    <w:rsid w:val="006E5FFC"/>
    <w:rsid w:val="006E735E"/>
    <w:rsid w:val="006E7958"/>
    <w:rsid w:val="006F2F6B"/>
    <w:rsid w:val="006F5B9E"/>
    <w:rsid w:val="0070028E"/>
    <w:rsid w:val="00700F23"/>
    <w:rsid w:val="007058F4"/>
    <w:rsid w:val="00706491"/>
    <w:rsid w:val="00711B4E"/>
    <w:rsid w:val="007134D7"/>
    <w:rsid w:val="00713B65"/>
    <w:rsid w:val="0071457A"/>
    <w:rsid w:val="007216E2"/>
    <w:rsid w:val="00722B9A"/>
    <w:rsid w:val="00722E3F"/>
    <w:rsid w:val="00724903"/>
    <w:rsid w:val="007252B2"/>
    <w:rsid w:val="0073121F"/>
    <w:rsid w:val="0073125C"/>
    <w:rsid w:val="0073398E"/>
    <w:rsid w:val="0073424B"/>
    <w:rsid w:val="00740A8C"/>
    <w:rsid w:val="00740F23"/>
    <w:rsid w:val="0074120C"/>
    <w:rsid w:val="007419E5"/>
    <w:rsid w:val="007424D1"/>
    <w:rsid w:val="007460C9"/>
    <w:rsid w:val="00746E18"/>
    <w:rsid w:val="00747B54"/>
    <w:rsid w:val="00755782"/>
    <w:rsid w:val="00756F53"/>
    <w:rsid w:val="00757C93"/>
    <w:rsid w:val="0076159B"/>
    <w:rsid w:val="0076699A"/>
    <w:rsid w:val="00771C25"/>
    <w:rsid w:val="00773C95"/>
    <w:rsid w:val="007745DA"/>
    <w:rsid w:val="00784481"/>
    <w:rsid w:val="00784BA5"/>
    <w:rsid w:val="0078656A"/>
    <w:rsid w:val="0078772A"/>
    <w:rsid w:val="00787CD1"/>
    <w:rsid w:val="0079133C"/>
    <w:rsid w:val="00793140"/>
    <w:rsid w:val="00793BBD"/>
    <w:rsid w:val="007A178A"/>
    <w:rsid w:val="007A2F41"/>
    <w:rsid w:val="007A3108"/>
    <w:rsid w:val="007A39A7"/>
    <w:rsid w:val="007B345D"/>
    <w:rsid w:val="007B4146"/>
    <w:rsid w:val="007B6B40"/>
    <w:rsid w:val="007C0767"/>
    <w:rsid w:val="007C28B7"/>
    <w:rsid w:val="007C47C4"/>
    <w:rsid w:val="007C6AB2"/>
    <w:rsid w:val="007D4762"/>
    <w:rsid w:val="007D50DA"/>
    <w:rsid w:val="007D6CC1"/>
    <w:rsid w:val="007D7E26"/>
    <w:rsid w:val="007E15D7"/>
    <w:rsid w:val="007E1D1A"/>
    <w:rsid w:val="007E42FF"/>
    <w:rsid w:val="007E67F1"/>
    <w:rsid w:val="007F1A1C"/>
    <w:rsid w:val="007F2875"/>
    <w:rsid w:val="007F412A"/>
    <w:rsid w:val="007F5CCA"/>
    <w:rsid w:val="007F7E3C"/>
    <w:rsid w:val="00800888"/>
    <w:rsid w:val="00804678"/>
    <w:rsid w:val="00805AA4"/>
    <w:rsid w:val="00812008"/>
    <w:rsid w:val="00815338"/>
    <w:rsid w:val="00820BC8"/>
    <w:rsid w:val="00821E44"/>
    <w:rsid w:val="00834A1C"/>
    <w:rsid w:val="008352E6"/>
    <w:rsid w:val="00835A0E"/>
    <w:rsid w:val="00835D2D"/>
    <w:rsid w:val="008408CC"/>
    <w:rsid w:val="008412AB"/>
    <w:rsid w:val="00841CAD"/>
    <w:rsid w:val="00842E0D"/>
    <w:rsid w:val="0084364F"/>
    <w:rsid w:val="00843B80"/>
    <w:rsid w:val="00844171"/>
    <w:rsid w:val="00854C3A"/>
    <w:rsid w:val="00856302"/>
    <w:rsid w:val="00857059"/>
    <w:rsid w:val="00862DBA"/>
    <w:rsid w:val="00866E9C"/>
    <w:rsid w:val="0086708B"/>
    <w:rsid w:val="008702EF"/>
    <w:rsid w:val="00871718"/>
    <w:rsid w:val="00872828"/>
    <w:rsid w:val="0087431D"/>
    <w:rsid w:val="008753A3"/>
    <w:rsid w:val="00876B84"/>
    <w:rsid w:val="008810CF"/>
    <w:rsid w:val="00881A81"/>
    <w:rsid w:val="00886964"/>
    <w:rsid w:val="008903DB"/>
    <w:rsid w:val="00890A27"/>
    <w:rsid w:val="008941AC"/>
    <w:rsid w:val="0089503B"/>
    <w:rsid w:val="008970E4"/>
    <w:rsid w:val="00897614"/>
    <w:rsid w:val="008A2FFC"/>
    <w:rsid w:val="008A71C9"/>
    <w:rsid w:val="008B184E"/>
    <w:rsid w:val="008B3D97"/>
    <w:rsid w:val="008C6143"/>
    <w:rsid w:val="008C6769"/>
    <w:rsid w:val="008D1F1D"/>
    <w:rsid w:val="008D367A"/>
    <w:rsid w:val="008D49C6"/>
    <w:rsid w:val="008D6BC3"/>
    <w:rsid w:val="008D77A3"/>
    <w:rsid w:val="008E038E"/>
    <w:rsid w:val="008E049F"/>
    <w:rsid w:val="008E0959"/>
    <w:rsid w:val="008E2288"/>
    <w:rsid w:val="008E56E8"/>
    <w:rsid w:val="008E74EB"/>
    <w:rsid w:val="008F2987"/>
    <w:rsid w:val="008F4CF0"/>
    <w:rsid w:val="008F6BC2"/>
    <w:rsid w:val="008F7599"/>
    <w:rsid w:val="00900213"/>
    <w:rsid w:val="00902C45"/>
    <w:rsid w:val="00906E9C"/>
    <w:rsid w:val="00914184"/>
    <w:rsid w:val="009161BA"/>
    <w:rsid w:val="00917602"/>
    <w:rsid w:val="00922BC0"/>
    <w:rsid w:val="00925CF1"/>
    <w:rsid w:val="00926158"/>
    <w:rsid w:val="009264C6"/>
    <w:rsid w:val="00926A05"/>
    <w:rsid w:val="009278E0"/>
    <w:rsid w:val="00927A3A"/>
    <w:rsid w:val="0093236A"/>
    <w:rsid w:val="0093424B"/>
    <w:rsid w:val="009355CA"/>
    <w:rsid w:val="00937728"/>
    <w:rsid w:val="00945402"/>
    <w:rsid w:val="00945858"/>
    <w:rsid w:val="009472F0"/>
    <w:rsid w:val="009478EB"/>
    <w:rsid w:val="00951FE7"/>
    <w:rsid w:val="00957B22"/>
    <w:rsid w:val="00964E6B"/>
    <w:rsid w:val="0096535B"/>
    <w:rsid w:val="0097093C"/>
    <w:rsid w:val="00971F57"/>
    <w:rsid w:val="00977CE4"/>
    <w:rsid w:val="009823E6"/>
    <w:rsid w:val="00984840"/>
    <w:rsid w:val="00986611"/>
    <w:rsid w:val="00986FCD"/>
    <w:rsid w:val="00990F5C"/>
    <w:rsid w:val="009954EB"/>
    <w:rsid w:val="0099659C"/>
    <w:rsid w:val="009A0488"/>
    <w:rsid w:val="009A692E"/>
    <w:rsid w:val="009A7494"/>
    <w:rsid w:val="009B2088"/>
    <w:rsid w:val="009B23E7"/>
    <w:rsid w:val="009B24C2"/>
    <w:rsid w:val="009B3FEE"/>
    <w:rsid w:val="009B4A12"/>
    <w:rsid w:val="009B5040"/>
    <w:rsid w:val="009B5F49"/>
    <w:rsid w:val="009C3366"/>
    <w:rsid w:val="009C4E13"/>
    <w:rsid w:val="009C6472"/>
    <w:rsid w:val="009C7D5C"/>
    <w:rsid w:val="009D0040"/>
    <w:rsid w:val="009D1ECA"/>
    <w:rsid w:val="009D25D8"/>
    <w:rsid w:val="009D2A8B"/>
    <w:rsid w:val="009D3335"/>
    <w:rsid w:val="009D4722"/>
    <w:rsid w:val="009D6AE9"/>
    <w:rsid w:val="009D75A3"/>
    <w:rsid w:val="009E3860"/>
    <w:rsid w:val="009E4161"/>
    <w:rsid w:val="009E784D"/>
    <w:rsid w:val="009F1B3F"/>
    <w:rsid w:val="00A076A5"/>
    <w:rsid w:val="00A12C30"/>
    <w:rsid w:val="00A12E5D"/>
    <w:rsid w:val="00A138DF"/>
    <w:rsid w:val="00A1633A"/>
    <w:rsid w:val="00A20BC7"/>
    <w:rsid w:val="00A23255"/>
    <w:rsid w:val="00A23C4D"/>
    <w:rsid w:val="00A248A6"/>
    <w:rsid w:val="00A25134"/>
    <w:rsid w:val="00A315B9"/>
    <w:rsid w:val="00A31BCB"/>
    <w:rsid w:val="00A32069"/>
    <w:rsid w:val="00A368A9"/>
    <w:rsid w:val="00A42467"/>
    <w:rsid w:val="00A42AF5"/>
    <w:rsid w:val="00A51B43"/>
    <w:rsid w:val="00A5611E"/>
    <w:rsid w:val="00A6091D"/>
    <w:rsid w:val="00A62152"/>
    <w:rsid w:val="00A640DC"/>
    <w:rsid w:val="00A67B23"/>
    <w:rsid w:val="00A709A2"/>
    <w:rsid w:val="00A7181D"/>
    <w:rsid w:val="00A7246B"/>
    <w:rsid w:val="00A806BE"/>
    <w:rsid w:val="00A82151"/>
    <w:rsid w:val="00A82595"/>
    <w:rsid w:val="00A85B7F"/>
    <w:rsid w:val="00A8618B"/>
    <w:rsid w:val="00A90E2D"/>
    <w:rsid w:val="00A92766"/>
    <w:rsid w:val="00A946C7"/>
    <w:rsid w:val="00A9485D"/>
    <w:rsid w:val="00A96DE9"/>
    <w:rsid w:val="00A97FC5"/>
    <w:rsid w:val="00AA49CE"/>
    <w:rsid w:val="00AB25D3"/>
    <w:rsid w:val="00AB3FAA"/>
    <w:rsid w:val="00AD0C35"/>
    <w:rsid w:val="00AE299F"/>
    <w:rsid w:val="00AE77FA"/>
    <w:rsid w:val="00B00390"/>
    <w:rsid w:val="00B00471"/>
    <w:rsid w:val="00B00B4D"/>
    <w:rsid w:val="00B016F4"/>
    <w:rsid w:val="00B033AB"/>
    <w:rsid w:val="00B04AF3"/>
    <w:rsid w:val="00B05D04"/>
    <w:rsid w:val="00B063A8"/>
    <w:rsid w:val="00B120B8"/>
    <w:rsid w:val="00B1750F"/>
    <w:rsid w:val="00B2152F"/>
    <w:rsid w:val="00B306FB"/>
    <w:rsid w:val="00B3074B"/>
    <w:rsid w:val="00B30B4F"/>
    <w:rsid w:val="00B31BCF"/>
    <w:rsid w:val="00B3333F"/>
    <w:rsid w:val="00B3438F"/>
    <w:rsid w:val="00B3497B"/>
    <w:rsid w:val="00B35C0E"/>
    <w:rsid w:val="00B41519"/>
    <w:rsid w:val="00B416AD"/>
    <w:rsid w:val="00B417A5"/>
    <w:rsid w:val="00B5011C"/>
    <w:rsid w:val="00B509C5"/>
    <w:rsid w:val="00B5180D"/>
    <w:rsid w:val="00B554E1"/>
    <w:rsid w:val="00B571EF"/>
    <w:rsid w:val="00B60CF7"/>
    <w:rsid w:val="00B61E40"/>
    <w:rsid w:val="00B61F55"/>
    <w:rsid w:val="00B62138"/>
    <w:rsid w:val="00B6675A"/>
    <w:rsid w:val="00B70510"/>
    <w:rsid w:val="00B7163B"/>
    <w:rsid w:val="00B7300F"/>
    <w:rsid w:val="00B7512C"/>
    <w:rsid w:val="00B804A4"/>
    <w:rsid w:val="00B83089"/>
    <w:rsid w:val="00B830DB"/>
    <w:rsid w:val="00B84080"/>
    <w:rsid w:val="00B84A98"/>
    <w:rsid w:val="00B85FE4"/>
    <w:rsid w:val="00B868C2"/>
    <w:rsid w:val="00B87BB8"/>
    <w:rsid w:val="00B96B80"/>
    <w:rsid w:val="00BA06F6"/>
    <w:rsid w:val="00BA0A38"/>
    <w:rsid w:val="00BA2245"/>
    <w:rsid w:val="00BA3271"/>
    <w:rsid w:val="00BA71D3"/>
    <w:rsid w:val="00BA7DE9"/>
    <w:rsid w:val="00BC1130"/>
    <w:rsid w:val="00BC171F"/>
    <w:rsid w:val="00BC34CD"/>
    <w:rsid w:val="00BC3FC7"/>
    <w:rsid w:val="00BC44B0"/>
    <w:rsid w:val="00BC483F"/>
    <w:rsid w:val="00BC5F0B"/>
    <w:rsid w:val="00BD2D36"/>
    <w:rsid w:val="00BD3D32"/>
    <w:rsid w:val="00BD43BB"/>
    <w:rsid w:val="00BD4524"/>
    <w:rsid w:val="00BD6882"/>
    <w:rsid w:val="00BD7B58"/>
    <w:rsid w:val="00BF2DBF"/>
    <w:rsid w:val="00BF578F"/>
    <w:rsid w:val="00C03491"/>
    <w:rsid w:val="00C06B38"/>
    <w:rsid w:val="00C11953"/>
    <w:rsid w:val="00C139BC"/>
    <w:rsid w:val="00C16087"/>
    <w:rsid w:val="00C22CE3"/>
    <w:rsid w:val="00C22FC5"/>
    <w:rsid w:val="00C2368B"/>
    <w:rsid w:val="00C274AE"/>
    <w:rsid w:val="00C31AB4"/>
    <w:rsid w:val="00C31CB0"/>
    <w:rsid w:val="00C33A6A"/>
    <w:rsid w:val="00C35CF8"/>
    <w:rsid w:val="00C36EF3"/>
    <w:rsid w:val="00C376EC"/>
    <w:rsid w:val="00C50682"/>
    <w:rsid w:val="00C5402C"/>
    <w:rsid w:val="00C57646"/>
    <w:rsid w:val="00C60F01"/>
    <w:rsid w:val="00C66133"/>
    <w:rsid w:val="00C66501"/>
    <w:rsid w:val="00C75F20"/>
    <w:rsid w:val="00C76DC3"/>
    <w:rsid w:val="00C77E75"/>
    <w:rsid w:val="00C83D33"/>
    <w:rsid w:val="00C8550D"/>
    <w:rsid w:val="00C85BF5"/>
    <w:rsid w:val="00C85DB6"/>
    <w:rsid w:val="00C86927"/>
    <w:rsid w:val="00C87F92"/>
    <w:rsid w:val="00C9796F"/>
    <w:rsid w:val="00CA154B"/>
    <w:rsid w:val="00CA7271"/>
    <w:rsid w:val="00CA75A3"/>
    <w:rsid w:val="00CA7CD6"/>
    <w:rsid w:val="00CC57CD"/>
    <w:rsid w:val="00CC7E68"/>
    <w:rsid w:val="00CD576B"/>
    <w:rsid w:val="00CD6CC4"/>
    <w:rsid w:val="00CD72AC"/>
    <w:rsid w:val="00CD7F6A"/>
    <w:rsid w:val="00CE3C20"/>
    <w:rsid w:val="00CF151F"/>
    <w:rsid w:val="00CF36A3"/>
    <w:rsid w:val="00CF3D78"/>
    <w:rsid w:val="00CF6957"/>
    <w:rsid w:val="00D0171D"/>
    <w:rsid w:val="00D046C8"/>
    <w:rsid w:val="00D05C9A"/>
    <w:rsid w:val="00D105BC"/>
    <w:rsid w:val="00D12768"/>
    <w:rsid w:val="00D14409"/>
    <w:rsid w:val="00D14657"/>
    <w:rsid w:val="00D14B53"/>
    <w:rsid w:val="00D16D31"/>
    <w:rsid w:val="00D2086D"/>
    <w:rsid w:val="00D22D27"/>
    <w:rsid w:val="00D23B88"/>
    <w:rsid w:val="00D30F85"/>
    <w:rsid w:val="00D330BD"/>
    <w:rsid w:val="00D346BC"/>
    <w:rsid w:val="00D367D3"/>
    <w:rsid w:val="00D42EC4"/>
    <w:rsid w:val="00D46779"/>
    <w:rsid w:val="00D4774F"/>
    <w:rsid w:val="00D50F94"/>
    <w:rsid w:val="00D5227F"/>
    <w:rsid w:val="00D52E5E"/>
    <w:rsid w:val="00D57779"/>
    <w:rsid w:val="00D60BAD"/>
    <w:rsid w:val="00D60D29"/>
    <w:rsid w:val="00D6522D"/>
    <w:rsid w:val="00D6697D"/>
    <w:rsid w:val="00D6735B"/>
    <w:rsid w:val="00D70B73"/>
    <w:rsid w:val="00D71E71"/>
    <w:rsid w:val="00D833D6"/>
    <w:rsid w:val="00D83ABA"/>
    <w:rsid w:val="00D83E18"/>
    <w:rsid w:val="00D84ACF"/>
    <w:rsid w:val="00D86DDF"/>
    <w:rsid w:val="00D955E8"/>
    <w:rsid w:val="00D97BAA"/>
    <w:rsid w:val="00DA1E27"/>
    <w:rsid w:val="00DA38AB"/>
    <w:rsid w:val="00DA55B4"/>
    <w:rsid w:val="00DA5735"/>
    <w:rsid w:val="00DA5C32"/>
    <w:rsid w:val="00DB02E3"/>
    <w:rsid w:val="00DB0CC7"/>
    <w:rsid w:val="00DB2AAA"/>
    <w:rsid w:val="00DB423D"/>
    <w:rsid w:val="00DB5888"/>
    <w:rsid w:val="00DB5E2D"/>
    <w:rsid w:val="00DC06E8"/>
    <w:rsid w:val="00DC0CC2"/>
    <w:rsid w:val="00DC53F5"/>
    <w:rsid w:val="00DD066F"/>
    <w:rsid w:val="00DD1FDC"/>
    <w:rsid w:val="00DD4A5A"/>
    <w:rsid w:val="00DD4E52"/>
    <w:rsid w:val="00DE1BA2"/>
    <w:rsid w:val="00DE2595"/>
    <w:rsid w:val="00DE26EA"/>
    <w:rsid w:val="00DE33FA"/>
    <w:rsid w:val="00DE3A56"/>
    <w:rsid w:val="00DF0ED0"/>
    <w:rsid w:val="00DF2D75"/>
    <w:rsid w:val="00DF4548"/>
    <w:rsid w:val="00DF5332"/>
    <w:rsid w:val="00DF7FFA"/>
    <w:rsid w:val="00E00FC4"/>
    <w:rsid w:val="00E01A39"/>
    <w:rsid w:val="00E054C3"/>
    <w:rsid w:val="00E064B9"/>
    <w:rsid w:val="00E1375A"/>
    <w:rsid w:val="00E16FE7"/>
    <w:rsid w:val="00E17A2B"/>
    <w:rsid w:val="00E17A9C"/>
    <w:rsid w:val="00E24D19"/>
    <w:rsid w:val="00E26480"/>
    <w:rsid w:val="00E31EDE"/>
    <w:rsid w:val="00E35B4A"/>
    <w:rsid w:val="00E35FFF"/>
    <w:rsid w:val="00E3776F"/>
    <w:rsid w:val="00E42244"/>
    <w:rsid w:val="00E445CF"/>
    <w:rsid w:val="00E47B03"/>
    <w:rsid w:val="00E520DC"/>
    <w:rsid w:val="00E572C5"/>
    <w:rsid w:val="00E60A3B"/>
    <w:rsid w:val="00E60FBD"/>
    <w:rsid w:val="00E61226"/>
    <w:rsid w:val="00E617D2"/>
    <w:rsid w:val="00E61C46"/>
    <w:rsid w:val="00E6213E"/>
    <w:rsid w:val="00E631DD"/>
    <w:rsid w:val="00E6655D"/>
    <w:rsid w:val="00E67645"/>
    <w:rsid w:val="00E73F6F"/>
    <w:rsid w:val="00E84CB9"/>
    <w:rsid w:val="00E85CE7"/>
    <w:rsid w:val="00E86BBF"/>
    <w:rsid w:val="00E86CF6"/>
    <w:rsid w:val="00E90FB4"/>
    <w:rsid w:val="00E91385"/>
    <w:rsid w:val="00E94FD0"/>
    <w:rsid w:val="00E964B1"/>
    <w:rsid w:val="00E97990"/>
    <w:rsid w:val="00EA2A58"/>
    <w:rsid w:val="00EA4F91"/>
    <w:rsid w:val="00EA5D3D"/>
    <w:rsid w:val="00EA5D69"/>
    <w:rsid w:val="00EA5DE3"/>
    <w:rsid w:val="00EA7901"/>
    <w:rsid w:val="00EB5484"/>
    <w:rsid w:val="00EB5A06"/>
    <w:rsid w:val="00EC4358"/>
    <w:rsid w:val="00EC6BDF"/>
    <w:rsid w:val="00ED21DF"/>
    <w:rsid w:val="00ED4C94"/>
    <w:rsid w:val="00ED7061"/>
    <w:rsid w:val="00EE0A75"/>
    <w:rsid w:val="00EE2354"/>
    <w:rsid w:val="00EE2C69"/>
    <w:rsid w:val="00EE3CE0"/>
    <w:rsid w:val="00EE6E95"/>
    <w:rsid w:val="00EF1514"/>
    <w:rsid w:val="00EF3983"/>
    <w:rsid w:val="00EF6F53"/>
    <w:rsid w:val="00EF71BD"/>
    <w:rsid w:val="00EF7F03"/>
    <w:rsid w:val="00F028A1"/>
    <w:rsid w:val="00F0561E"/>
    <w:rsid w:val="00F066E4"/>
    <w:rsid w:val="00F07781"/>
    <w:rsid w:val="00F16E9A"/>
    <w:rsid w:val="00F173A4"/>
    <w:rsid w:val="00F20309"/>
    <w:rsid w:val="00F2171C"/>
    <w:rsid w:val="00F22504"/>
    <w:rsid w:val="00F23ECD"/>
    <w:rsid w:val="00F264AD"/>
    <w:rsid w:val="00F30607"/>
    <w:rsid w:val="00F3090F"/>
    <w:rsid w:val="00F3160E"/>
    <w:rsid w:val="00F32C7B"/>
    <w:rsid w:val="00F34173"/>
    <w:rsid w:val="00F36312"/>
    <w:rsid w:val="00F40DE8"/>
    <w:rsid w:val="00F4632A"/>
    <w:rsid w:val="00F46ACB"/>
    <w:rsid w:val="00F54454"/>
    <w:rsid w:val="00F60741"/>
    <w:rsid w:val="00F62D25"/>
    <w:rsid w:val="00F62D5C"/>
    <w:rsid w:val="00F64367"/>
    <w:rsid w:val="00F675AD"/>
    <w:rsid w:val="00F678B9"/>
    <w:rsid w:val="00F73C03"/>
    <w:rsid w:val="00F74287"/>
    <w:rsid w:val="00F760E9"/>
    <w:rsid w:val="00F77A92"/>
    <w:rsid w:val="00F82AAA"/>
    <w:rsid w:val="00F84D87"/>
    <w:rsid w:val="00F85CA4"/>
    <w:rsid w:val="00F8649D"/>
    <w:rsid w:val="00F91246"/>
    <w:rsid w:val="00F91DEF"/>
    <w:rsid w:val="00F925C4"/>
    <w:rsid w:val="00F93A37"/>
    <w:rsid w:val="00FA012A"/>
    <w:rsid w:val="00FA1D94"/>
    <w:rsid w:val="00FA7517"/>
    <w:rsid w:val="00FB1DDB"/>
    <w:rsid w:val="00FB1E6E"/>
    <w:rsid w:val="00FB1F0F"/>
    <w:rsid w:val="00FB22FD"/>
    <w:rsid w:val="00FB26A6"/>
    <w:rsid w:val="00FB703F"/>
    <w:rsid w:val="00FC0505"/>
    <w:rsid w:val="00FC3483"/>
    <w:rsid w:val="00FC5970"/>
    <w:rsid w:val="00FC6443"/>
    <w:rsid w:val="00FD2D51"/>
    <w:rsid w:val="00FD3A20"/>
    <w:rsid w:val="00FE723B"/>
    <w:rsid w:val="00FF00B7"/>
    <w:rsid w:val="00FF143A"/>
    <w:rsid w:val="00FF5ADF"/>
    <w:rsid w:val="00FF779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2050"/>
    <o:shapelayout v:ext="edit">
      <o:idmap v:ext="edit" data="2"/>
    </o:shapelayout>
  </w:shapeDefaults>
  <w:decimalSymbol w:val=","/>
  <w:listSeparator w:val=";"/>
  <w14:docId w14:val="46ECF9A4"/>
  <w15:chartTrackingRefBased/>
  <w15:docId w15:val="{E0EB724E-67E6-4F73-81D8-CFF5D23DB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0"/>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1"/>
    <w:qFormat/>
    <w:rsid w:val="00A709A2"/>
    <w:pPr>
      <w:widowControl w:val="0"/>
      <w:autoSpaceDE w:val="0"/>
      <w:autoSpaceDN w:val="0"/>
      <w:spacing w:after="0" w:line="240" w:lineRule="auto"/>
    </w:pPr>
    <w:rPr>
      <w:rFonts w:ascii="Times New Roman" w:eastAsia="Times New Roman" w:hAnsi="Times New Roman" w:cs="Times New Roman"/>
    </w:rPr>
  </w:style>
  <w:style w:type="paragraph" w:styleId="berschrift1">
    <w:name w:val="heading 1"/>
    <w:basedOn w:val="Standard"/>
    <w:link w:val="berschrift1Zchn"/>
    <w:qFormat/>
    <w:rsid w:val="00DD066F"/>
    <w:pPr>
      <w:spacing w:before="240" w:after="120" w:line="360" w:lineRule="auto"/>
      <w:outlineLvl w:val="0"/>
    </w:pPr>
    <w:rPr>
      <w:b/>
      <w:bCs/>
      <w:sz w:val="24"/>
    </w:rPr>
  </w:style>
  <w:style w:type="paragraph" w:styleId="berschrift2">
    <w:name w:val="heading 2"/>
    <w:basedOn w:val="Standard"/>
    <w:link w:val="berschrift2Zchn"/>
    <w:qFormat/>
    <w:rsid w:val="004F0929"/>
    <w:pPr>
      <w:ind w:left="672"/>
      <w:outlineLvl w:val="1"/>
    </w:pPr>
    <w:rPr>
      <w:b/>
      <w:bCs/>
      <w:sz w:val="20"/>
      <w:szCs w:val="20"/>
    </w:rPr>
  </w:style>
  <w:style w:type="paragraph" w:styleId="berschrift3">
    <w:name w:val="heading 3"/>
    <w:basedOn w:val="Standard"/>
    <w:link w:val="berschrift3Zchn"/>
    <w:qFormat/>
    <w:rsid w:val="004F0929"/>
    <w:pPr>
      <w:ind w:left="672" w:hanging="200"/>
      <w:jc w:val="both"/>
      <w:outlineLvl w:val="2"/>
    </w:pPr>
    <w:rPr>
      <w:sz w:val="20"/>
      <w:szCs w:val="20"/>
    </w:rPr>
  </w:style>
  <w:style w:type="paragraph" w:styleId="berschrift4">
    <w:name w:val="heading 4"/>
    <w:basedOn w:val="Standard"/>
    <w:link w:val="berschrift4Zchn"/>
    <w:qFormat/>
    <w:rsid w:val="004F0929"/>
    <w:pPr>
      <w:ind w:left="1173" w:right="957"/>
      <w:jc w:val="center"/>
      <w:outlineLvl w:val="3"/>
    </w:pPr>
    <w:rPr>
      <w:i/>
      <w:iCs/>
      <w:sz w:val="20"/>
      <w:szCs w:val="20"/>
    </w:rPr>
  </w:style>
  <w:style w:type="paragraph" w:styleId="berschrift5">
    <w:name w:val="heading 5"/>
    <w:basedOn w:val="Standard"/>
    <w:next w:val="Standard"/>
    <w:link w:val="berschrift5Zchn"/>
    <w:qFormat/>
    <w:rsid w:val="00DA38AB"/>
    <w:pPr>
      <w:widowControl/>
      <w:autoSpaceDE/>
      <w:autoSpaceDN/>
      <w:spacing w:before="240" w:after="60" w:line="360" w:lineRule="auto"/>
      <w:jc w:val="both"/>
      <w:outlineLvl w:val="4"/>
    </w:pPr>
    <w:rPr>
      <w:b/>
      <w:bCs/>
      <w:iCs/>
      <w:sz w:val="24"/>
      <w:szCs w:val="26"/>
      <w:lang w:bidi="en-US"/>
    </w:rPr>
  </w:style>
  <w:style w:type="paragraph" w:styleId="berschrift6">
    <w:name w:val="heading 6"/>
    <w:basedOn w:val="Standard"/>
    <w:next w:val="Standard"/>
    <w:link w:val="berschrift6Zchn"/>
    <w:qFormat/>
    <w:rsid w:val="00DA38AB"/>
    <w:pPr>
      <w:widowControl/>
      <w:autoSpaceDE/>
      <w:autoSpaceDN/>
      <w:spacing w:before="240" w:after="60" w:line="360" w:lineRule="auto"/>
      <w:jc w:val="both"/>
      <w:outlineLvl w:val="5"/>
    </w:pPr>
    <w:rPr>
      <w:b/>
      <w:bCs/>
      <w:lang w:bidi="en-US"/>
    </w:rPr>
  </w:style>
  <w:style w:type="paragraph" w:styleId="berschrift7">
    <w:name w:val="heading 7"/>
    <w:basedOn w:val="Standard"/>
    <w:next w:val="Standard"/>
    <w:link w:val="berschrift7Zchn"/>
    <w:qFormat/>
    <w:rsid w:val="00DA38AB"/>
    <w:pPr>
      <w:widowControl/>
      <w:autoSpaceDE/>
      <w:autoSpaceDN/>
      <w:spacing w:before="240" w:after="60" w:line="360" w:lineRule="auto"/>
      <w:jc w:val="both"/>
      <w:outlineLvl w:val="6"/>
    </w:pPr>
    <w:rPr>
      <w:sz w:val="24"/>
      <w:szCs w:val="24"/>
      <w:lang w:bidi="en-US"/>
    </w:rPr>
  </w:style>
  <w:style w:type="paragraph" w:styleId="berschrift8">
    <w:name w:val="heading 8"/>
    <w:basedOn w:val="Standard"/>
    <w:next w:val="Standard"/>
    <w:link w:val="berschrift8Zchn"/>
    <w:qFormat/>
    <w:rsid w:val="00DA38AB"/>
    <w:pPr>
      <w:widowControl/>
      <w:autoSpaceDE/>
      <w:autoSpaceDN/>
      <w:spacing w:before="240" w:after="60" w:line="360" w:lineRule="auto"/>
      <w:jc w:val="both"/>
      <w:outlineLvl w:val="7"/>
    </w:pPr>
    <w:rPr>
      <w:i/>
      <w:iCs/>
      <w:sz w:val="24"/>
      <w:szCs w:val="24"/>
      <w:lang w:bidi="en-US"/>
    </w:rPr>
  </w:style>
  <w:style w:type="paragraph" w:styleId="berschrift9">
    <w:name w:val="heading 9"/>
    <w:basedOn w:val="Standard"/>
    <w:next w:val="Standard"/>
    <w:link w:val="berschrift9Zchn"/>
    <w:qFormat/>
    <w:rsid w:val="00DA38AB"/>
    <w:pPr>
      <w:widowControl/>
      <w:autoSpaceDE/>
      <w:autoSpaceDN/>
      <w:spacing w:before="240" w:after="60" w:line="360" w:lineRule="auto"/>
      <w:jc w:val="both"/>
      <w:outlineLvl w:val="8"/>
    </w:pPr>
    <w:rPr>
      <w:rFonts w:ascii="Cambria" w:hAnsi="Cambria"/>
      <w:lang w:bidi="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DD066F"/>
    <w:rPr>
      <w:rFonts w:ascii="Times New Roman" w:eastAsia="Times New Roman" w:hAnsi="Times New Roman" w:cs="Times New Roman"/>
      <w:b/>
      <w:bCs/>
      <w:sz w:val="24"/>
    </w:rPr>
  </w:style>
  <w:style w:type="character" w:customStyle="1" w:styleId="berschrift2Zchn">
    <w:name w:val="Überschrift 2 Zchn"/>
    <w:basedOn w:val="Absatz-Standardschriftart"/>
    <w:link w:val="berschrift2"/>
    <w:rsid w:val="004F0929"/>
    <w:rPr>
      <w:rFonts w:ascii="Times New Roman" w:eastAsia="Times New Roman" w:hAnsi="Times New Roman" w:cs="Times New Roman"/>
      <w:b/>
      <w:bCs/>
      <w:sz w:val="20"/>
      <w:szCs w:val="20"/>
    </w:rPr>
  </w:style>
  <w:style w:type="character" w:customStyle="1" w:styleId="berschrift3Zchn">
    <w:name w:val="Überschrift 3 Zchn"/>
    <w:basedOn w:val="Absatz-Standardschriftart"/>
    <w:link w:val="berschrift3"/>
    <w:rsid w:val="004F0929"/>
    <w:rPr>
      <w:rFonts w:ascii="Times New Roman" w:eastAsia="Times New Roman" w:hAnsi="Times New Roman" w:cs="Times New Roman"/>
      <w:sz w:val="20"/>
      <w:szCs w:val="20"/>
    </w:rPr>
  </w:style>
  <w:style w:type="character" w:customStyle="1" w:styleId="berschrift4Zchn">
    <w:name w:val="Überschrift 4 Zchn"/>
    <w:basedOn w:val="Absatz-Standardschriftart"/>
    <w:link w:val="berschrift4"/>
    <w:rsid w:val="004F0929"/>
    <w:rPr>
      <w:rFonts w:ascii="Times New Roman" w:eastAsia="Times New Roman" w:hAnsi="Times New Roman" w:cs="Times New Roman"/>
      <w:i/>
      <w:iCs/>
      <w:sz w:val="20"/>
      <w:szCs w:val="20"/>
    </w:rPr>
  </w:style>
  <w:style w:type="table" w:customStyle="1" w:styleId="TableNormal">
    <w:name w:val="Table Normal"/>
    <w:uiPriority w:val="2"/>
    <w:semiHidden/>
    <w:unhideWhenUsed/>
    <w:qFormat/>
    <w:rsid w:val="004F092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Listenabsatz">
    <w:name w:val="List Paragraph"/>
    <w:basedOn w:val="Standard"/>
    <w:uiPriority w:val="34"/>
    <w:qFormat/>
    <w:rsid w:val="004F0929"/>
    <w:pPr>
      <w:ind w:left="955" w:hanging="360"/>
      <w:jc w:val="both"/>
    </w:pPr>
  </w:style>
  <w:style w:type="paragraph" w:customStyle="1" w:styleId="StandardTextAufzhlung">
    <w:name w:val="Standard Text Aufzählung"/>
    <w:basedOn w:val="StandardText"/>
    <w:uiPriority w:val="1"/>
    <w:qFormat/>
    <w:rsid w:val="000B3A5C"/>
    <w:pPr>
      <w:numPr>
        <w:numId w:val="9"/>
      </w:numPr>
      <w:spacing w:before="0"/>
    </w:pPr>
  </w:style>
  <w:style w:type="paragraph" w:customStyle="1" w:styleId="Literatur">
    <w:name w:val="Literatur"/>
    <w:basedOn w:val="Standard"/>
    <w:link w:val="LiteraturZchn"/>
    <w:rsid w:val="004A73C1"/>
    <w:pPr>
      <w:widowControl/>
      <w:numPr>
        <w:numId w:val="17"/>
      </w:numPr>
      <w:tabs>
        <w:tab w:val="left" w:pos="284"/>
      </w:tabs>
      <w:autoSpaceDE/>
      <w:autoSpaceDN/>
      <w:spacing w:before="60" w:line="160" w:lineRule="atLeast"/>
      <w:jc w:val="both"/>
    </w:pPr>
    <w:rPr>
      <w:bCs/>
      <w:sz w:val="14"/>
      <w:szCs w:val="20"/>
      <w:lang w:eastAsia="de-DE"/>
    </w:rPr>
  </w:style>
  <w:style w:type="character" w:customStyle="1" w:styleId="LiteraturZchn">
    <w:name w:val="Literatur Zchn"/>
    <w:link w:val="Literatur"/>
    <w:rsid w:val="004A73C1"/>
    <w:rPr>
      <w:rFonts w:ascii="Times New Roman" w:eastAsia="Times New Roman" w:hAnsi="Times New Roman" w:cs="Times New Roman"/>
      <w:bCs/>
      <w:sz w:val="14"/>
      <w:szCs w:val="20"/>
      <w:lang w:eastAsia="de-DE"/>
    </w:rPr>
  </w:style>
  <w:style w:type="paragraph" w:customStyle="1" w:styleId="Kontakt">
    <w:name w:val="Kontakt"/>
    <w:basedOn w:val="Literatur"/>
    <w:rsid w:val="004A73C1"/>
    <w:pPr>
      <w:numPr>
        <w:numId w:val="1"/>
      </w:numPr>
    </w:pPr>
  </w:style>
  <w:style w:type="character" w:customStyle="1" w:styleId="berschrift5Zchn">
    <w:name w:val="Überschrift 5 Zchn"/>
    <w:basedOn w:val="Absatz-Standardschriftart"/>
    <w:link w:val="berschrift5"/>
    <w:rsid w:val="00DA38AB"/>
    <w:rPr>
      <w:rFonts w:ascii="Times New Roman" w:eastAsia="Times New Roman" w:hAnsi="Times New Roman" w:cs="Times New Roman"/>
      <w:b/>
      <w:bCs/>
      <w:iCs/>
      <w:sz w:val="24"/>
      <w:szCs w:val="26"/>
      <w:lang w:bidi="en-US"/>
    </w:rPr>
  </w:style>
  <w:style w:type="character" w:customStyle="1" w:styleId="berschrift6Zchn">
    <w:name w:val="Überschrift 6 Zchn"/>
    <w:basedOn w:val="Absatz-Standardschriftart"/>
    <w:link w:val="berschrift6"/>
    <w:rsid w:val="00DA38AB"/>
    <w:rPr>
      <w:rFonts w:ascii="Times New Roman" w:eastAsia="Times New Roman" w:hAnsi="Times New Roman" w:cs="Times New Roman"/>
      <w:b/>
      <w:bCs/>
      <w:lang w:bidi="en-US"/>
    </w:rPr>
  </w:style>
  <w:style w:type="character" w:customStyle="1" w:styleId="berschrift7Zchn">
    <w:name w:val="Überschrift 7 Zchn"/>
    <w:basedOn w:val="Absatz-Standardschriftart"/>
    <w:link w:val="berschrift7"/>
    <w:rsid w:val="00DA38AB"/>
    <w:rPr>
      <w:rFonts w:ascii="Times New Roman" w:eastAsia="Times New Roman" w:hAnsi="Times New Roman" w:cs="Times New Roman"/>
      <w:sz w:val="24"/>
      <w:szCs w:val="24"/>
      <w:lang w:bidi="en-US"/>
    </w:rPr>
  </w:style>
  <w:style w:type="character" w:customStyle="1" w:styleId="berschrift8Zchn">
    <w:name w:val="Überschrift 8 Zchn"/>
    <w:basedOn w:val="Absatz-Standardschriftart"/>
    <w:link w:val="berschrift8"/>
    <w:rsid w:val="00DA38AB"/>
    <w:rPr>
      <w:rFonts w:ascii="Times New Roman" w:eastAsia="Times New Roman" w:hAnsi="Times New Roman" w:cs="Times New Roman"/>
      <w:i/>
      <w:iCs/>
      <w:sz w:val="24"/>
      <w:szCs w:val="24"/>
      <w:lang w:bidi="en-US"/>
    </w:rPr>
  </w:style>
  <w:style w:type="character" w:customStyle="1" w:styleId="berschrift9Zchn">
    <w:name w:val="Überschrift 9 Zchn"/>
    <w:basedOn w:val="Absatz-Standardschriftart"/>
    <w:link w:val="berschrift9"/>
    <w:rsid w:val="00DA38AB"/>
    <w:rPr>
      <w:rFonts w:ascii="Cambria" w:eastAsia="Times New Roman" w:hAnsi="Cambria" w:cs="Times New Roman"/>
      <w:lang w:bidi="en-US"/>
    </w:rPr>
  </w:style>
  <w:style w:type="paragraph" w:styleId="Kopfzeile">
    <w:name w:val="header"/>
    <w:basedOn w:val="Standard"/>
    <w:link w:val="KopfzeileZchn"/>
    <w:unhideWhenUsed/>
    <w:rsid w:val="00DA38AB"/>
    <w:pPr>
      <w:widowControl/>
      <w:tabs>
        <w:tab w:val="center" w:pos="4536"/>
        <w:tab w:val="right" w:pos="9072"/>
      </w:tabs>
      <w:autoSpaceDE/>
      <w:autoSpaceDN/>
      <w:jc w:val="both"/>
    </w:pPr>
    <w:rPr>
      <w:sz w:val="24"/>
      <w:szCs w:val="24"/>
      <w:lang w:bidi="en-US"/>
    </w:rPr>
  </w:style>
  <w:style w:type="character" w:customStyle="1" w:styleId="KopfzeileZchn">
    <w:name w:val="Kopfzeile Zchn"/>
    <w:basedOn w:val="Absatz-Standardschriftart"/>
    <w:link w:val="Kopfzeile"/>
    <w:rsid w:val="00DA38AB"/>
    <w:rPr>
      <w:rFonts w:ascii="Times New Roman" w:eastAsia="Times New Roman" w:hAnsi="Times New Roman" w:cs="Times New Roman"/>
      <w:sz w:val="24"/>
      <w:szCs w:val="24"/>
      <w:lang w:bidi="en-US"/>
    </w:rPr>
  </w:style>
  <w:style w:type="paragraph" w:customStyle="1" w:styleId="MittleresRaster1-Akzent21">
    <w:name w:val="Mittleres Raster 1 - Akzent 21"/>
    <w:basedOn w:val="Standard"/>
    <w:uiPriority w:val="34"/>
    <w:qFormat/>
    <w:rsid w:val="00DA38AB"/>
    <w:pPr>
      <w:widowControl/>
      <w:autoSpaceDE/>
      <w:autoSpaceDN/>
      <w:spacing w:line="360" w:lineRule="auto"/>
      <w:ind w:left="720"/>
      <w:contextualSpacing/>
      <w:jc w:val="both"/>
    </w:pPr>
    <w:rPr>
      <w:sz w:val="24"/>
      <w:szCs w:val="24"/>
      <w:lang w:bidi="en-US"/>
    </w:rPr>
  </w:style>
  <w:style w:type="character" w:styleId="Hervorhebung">
    <w:name w:val="Emphasis"/>
    <w:basedOn w:val="Absatz-Standardschriftart"/>
    <w:uiPriority w:val="20"/>
    <w:qFormat/>
    <w:rsid w:val="00DA38AB"/>
    <w:rPr>
      <w:rFonts w:ascii="Calibri" w:hAnsi="Calibri"/>
      <w:b/>
      <w:i/>
      <w:iCs/>
    </w:rPr>
  </w:style>
  <w:style w:type="paragraph" w:customStyle="1" w:styleId="MittleresRaster2-Akzent21">
    <w:name w:val="Mittleres Raster 2 - Akzent 21"/>
    <w:basedOn w:val="Standard"/>
    <w:next w:val="Standard"/>
    <w:link w:val="MittleresRaster2-Akzent2Zchn"/>
    <w:uiPriority w:val="29"/>
    <w:qFormat/>
    <w:rsid w:val="00DA38AB"/>
    <w:pPr>
      <w:widowControl/>
      <w:autoSpaceDE/>
      <w:autoSpaceDN/>
      <w:spacing w:line="360" w:lineRule="auto"/>
      <w:jc w:val="both"/>
    </w:pPr>
    <w:rPr>
      <w:i/>
      <w:sz w:val="24"/>
      <w:szCs w:val="24"/>
      <w:lang w:bidi="en-US"/>
    </w:rPr>
  </w:style>
  <w:style w:type="character" w:customStyle="1" w:styleId="MittleresRaster2-Akzent2Zchn">
    <w:name w:val="Mittleres Raster 2 - Akzent 2 Zchn"/>
    <w:basedOn w:val="Absatz-Standardschriftart"/>
    <w:link w:val="MittleresRaster2-Akzent21"/>
    <w:uiPriority w:val="29"/>
    <w:rsid w:val="00DA38AB"/>
    <w:rPr>
      <w:rFonts w:ascii="Times New Roman" w:eastAsia="Times New Roman" w:hAnsi="Times New Roman" w:cs="Times New Roman"/>
      <w:i/>
      <w:sz w:val="24"/>
      <w:szCs w:val="24"/>
      <w:lang w:bidi="en-US"/>
    </w:rPr>
  </w:style>
  <w:style w:type="paragraph" w:customStyle="1" w:styleId="MittleresRaster3-Akzent21">
    <w:name w:val="Mittleres Raster 3 - Akzent 21"/>
    <w:basedOn w:val="Standard"/>
    <w:next w:val="Standard"/>
    <w:link w:val="MittleresRaster3-Akzent2Zchn"/>
    <w:uiPriority w:val="30"/>
    <w:qFormat/>
    <w:rsid w:val="00DA38AB"/>
    <w:pPr>
      <w:widowControl/>
      <w:autoSpaceDE/>
      <w:autoSpaceDN/>
      <w:spacing w:line="360" w:lineRule="auto"/>
      <w:ind w:left="720" w:right="720"/>
      <w:jc w:val="both"/>
    </w:pPr>
    <w:rPr>
      <w:b/>
      <w:i/>
      <w:sz w:val="24"/>
      <w:lang w:bidi="en-US"/>
    </w:rPr>
  </w:style>
  <w:style w:type="character" w:customStyle="1" w:styleId="MittleresRaster3-Akzent2Zchn">
    <w:name w:val="Mittleres Raster 3 - Akzent 2 Zchn"/>
    <w:basedOn w:val="Absatz-Standardschriftart"/>
    <w:link w:val="MittleresRaster3-Akzent21"/>
    <w:uiPriority w:val="30"/>
    <w:rsid w:val="00DA38AB"/>
    <w:rPr>
      <w:rFonts w:ascii="Times New Roman" w:eastAsia="Times New Roman" w:hAnsi="Times New Roman" w:cs="Times New Roman"/>
      <w:b/>
      <w:i/>
      <w:sz w:val="24"/>
      <w:lang w:bidi="en-US"/>
    </w:rPr>
  </w:style>
  <w:style w:type="character" w:customStyle="1" w:styleId="SchwacheHervorhebung1">
    <w:name w:val="Schwache Hervorhebung1"/>
    <w:uiPriority w:val="19"/>
    <w:qFormat/>
    <w:rsid w:val="00DA38AB"/>
    <w:rPr>
      <w:i/>
      <w:color w:val="5A5A5A"/>
    </w:rPr>
  </w:style>
  <w:style w:type="character" w:customStyle="1" w:styleId="IntensiveHervorhebung1">
    <w:name w:val="Intensive Hervorhebung1"/>
    <w:basedOn w:val="Absatz-Standardschriftart"/>
    <w:uiPriority w:val="21"/>
    <w:qFormat/>
    <w:rsid w:val="00DA38AB"/>
    <w:rPr>
      <w:b/>
      <w:i/>
      <w:sz w:val="24"/>
      <w:szCs w:val="24"/>
      <w:u w:val="single"/>
    </w:rPr>
  </w:style>
  <w:style w:type="character" w:customStyle="1" w:styleId="SchwacherVerweis1">
    <w:name w:val="Schwacher Verweis1"/>
    <w:basedOn w:val="Absatz-Standardschriftart"/>
    <w:uiPriority w:val="31"/>
    <w:qFormat/>
    <w:rsid w:val="00DA38AB"/>
    <w:rPr>
      <w:sz w:val="24"/>
      <w:szCs w:val="24"/>
      <w:u w:val="single"/>
    </w:rPr>
  </w:style>
  <w:style w:type="character" w:customStyle="1" w:styleId="IntensiverVerweis1">
    <w:name w:val="Intensiver Verweis1"/>
    <w:basedOn w:val="Absatz-Standardschriftart"/>
    <w:uiPriority w:val="32"/>
    <w:qFormat/>
    <w:rsid w:val="00DA38AB"/>
    <w:rPr>
      <w:b/>
      <w:sz w:val="24"/>
      <w:u w:val="single"/>
    </w:rPr>
  </w:style>
  <w:style w:type="paragraph" w:customStyle="1" w:styleId="Inhaltsverzeichnisberschrift1">
    <w:name w:val="Inhaltsverzeichnisüberschrift1"/>
    <w:basedOn w:val="berschrift1"/>
    <w:next w:val="Standard"/>
    <w:uiPriority w:val="39"/>
    <w:unhideWhenUsed/>
    <w:qFormat/>
    <w:rsid w:val="00DA38AB"/>
    <w:pPr>
      <w:keepNext/>
      <w:widowControl/>
      <w:autoSpaceDE/>
      <w:autoSpaceDN/>
      <w:spacing w:after="60"/>
      <w:jc w:val="both"/>
      <w:outlineLvl w:val="9"/>
    </w:pPr>
    <w:rPr>
      <w:kern w:val="32"/>
      <w:szCs w:val="24"/>
      <w:lang w:bidi="en-US"/>
    </w:rPr>
  </w:style>
  <w:style w:type="paragraph" w:styleId="Verzeichnis1">
    <w:name w:val="toc 1"/>
    <w:basedOn w:val="Standard"/>
    <w:next w:val="Standard"/>
    <w:link w:val="Verzeichnis1Zchn"/>
    <w:uiPriority w:val="39"/>
    <w:unhideWhenUsed/>
    <w:qFormat/>
    <w:rsid w:val="00DA38AB"/>
    <w:pPr>
      <w:widowControl/>
      <w:tabs>
        <w:tab w:val="right" w:leader="dot" w:pos="8354"/>
      </w:tabs>
      <w:autoSpaceDE/>
      <w:autoSpaceDN/>
      <w:spacing w:before="120" w:after="120" w:line="360" w:lineRule="auto"/>
    </w:pPr>
    <w:rPr>
      <w:b/>
      <w:bCs/>
      <w:noProof/>
      <w:sz w:val="24"/>
      <w:szCs w:val="20"/>
      <w:lang w:bidi="en-US"/>
    </w:rPr>
  </w:style>
  <w:style w:type="character" w:styleId="Hyperlink">
    <w:name w:val="Hyperlink"/>
    <w:basedOn w:val="Absatz-Standardschriftart"/>
    <w:uiPriority w:val="99"/>
    <w:unhideWhenUsed/>
    <w:rsid w:val="00DA38AB"/>
    <w:rPr>
      <w:color w:val="0000FF"/>
      <w:u w:val="single"/>
    </w:rPr>
  </w:style>
  <w:style w:type="paragraph" w:styleId="Verzeichnis2">
    <w:name w:val="toc 2"/>
    <w:basedOn w:val="Standard"/>
    <w:next w:val="Standard"/>
    <w:autoRedefine/>
    <w:uiPriority w:val="39"/>
    <w:unhideWhenUsed/>
    <w:rsid w:val="00DA38AB"/>
    <w:pPr>
      <w:widowControl/>
      <w:tabs>
        <w:tab w:val="right" w:leader="dot" w:pos="8354"/>
      </w:tabs>
      <w:autoSpaceDE/>
      <w:autoSpaceDN/>
      <w:spacing w:before="120" w:after="120"/>
      <w:ind w:left="426" w:hanging="188"/>
    </w:pPr>
    <w:rPr>
      <w:noProof/>
      <w:sz w:val="24"/>
      <w:szCs w:val="20"/>
      <w:lang w:bidi="en-US"/>
    </w:rPr>
  </w:style>
  <w:style w:type="paragraph" w:styleId="Verzeichnis3">
    <w:name w:val="toc 3"/>
    <w:basedOn w:val="Standard"/>
    <w:next w:val="Standard"/>
    <w:autoRedefine/>
    <w:uiPriority w:val="39"/>
    <w:unhideWhenUsed/>
    <w:rsid w:val="00DA38AB"/>
    <w:pPr>
      <w:widowControl/>
      <w:tabs>
        <w:tab w:val="right" w:leader="dot" w:pos="8354"/>
      </w:tabs>
      <w:autoSpaceDE/>
      <w:autoSpaceDN/>
      <w:spacing w:line="360" w:lineRule="auto"/>
      <w:ind w:left="482"/>
    </w:pPr>
    <w:rPr>
      <w:iCs/>
      <w:noProof/>
      <w:sz w:val="24"/>
      <w:szCs w:val="20"/>
      <w:lang w:bidi="en-US"/>
    </w:rPr>
  </w:style>
  <w:style w:type="paragraph" w:customStyle="1" w:styleId="StandardText">
    <w:name w:val="Standard Text"/>
    <w:basedOn w:val="Standard"/>
    <w:link w:val="StandardTextZchn1"/>
    <w:rsid w:val="004905D5"/>
    <w:pPr>
      <w:widowControl/>
      <w:autoSpaceDE/>
      <w:autoSpaceDN/>
      <w:spacing w:before="120"/>
      <w:jc w:val="both"/>
    </w:pPr>
    <w:rPr>
      <w:sz w:val="24"/>
      <w:szCs w:val="20"/>
      <w:lang w:eastAsia="de-DE"/>
    </w:rPr>
  </w:style>
  <w:style w:type="character" w:customStyle="1" w:styleId="StandardTextZchn1">
    <w:name w:val="Standard Text Zchn1"/>
    <w:basedOn w:val="Absatz-Standardschriftart"/>
    <w:link w:val="StandardText"/>
    <w:rsid w:val="004905D5"/>
    <w:rPr>
      <w:rFonts w:ascii="Times New Roman" w:eastAsia="Times New Roman" w:hAnsi="Times New Roman" w:cs="Times New Roman"/>
      <w:sz w:val="24"/>
      <w:szCs w:val="20"/>
      <w:lang w:eastAsia="de-DE"/>
    </w:rPr>
  </w:style>
  <w:style w:type="table" w:styleId="Tabellenraster">
    <w:name w:val="Table Grid"/>
    <w:basedOn w:val="NormaleTabelle"/>
    <w:rsid w:val="00DA38AB"/>
    <w:pPr>
      <w:spacing w:after="0" w:line="240" w:lineRule="auto"/>
    </w:pPr>
    <w:rPr>
      <w:rFonts w:ascii="Calibri" w:eastAsia="Times New Roman" w:hAnsi="Calibri" w:cs="Times New Roman"/>
      <w:sz w:val="20"/>
      <w:szCs w:val="20"/>
      <w:lang w:eastAsia="de-D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Formatvorlageberschrift4Links">
    <w:name w:val="Formatvorlage Überschrift 4 + Links"/>
    <w:basedOn w:val="berschrift5"/>
    <w:rsid w:val="00DA38AB"/>
    <w:pPr>
      <w:tabs>
        <w:tab w:val="left" w:pos="851"/>
      </w:tabs>
      <w:spacing w:before="0" w:after="120" w:line="264" w:lineRule="auto"/>
      <w:ind w:left="851" w:hanging="851"/>
      <w:jc w:val="left"/>
    </w:pPr>
    <w:rPr>
      <w:iCs w:val="0"/>
      <w:sz w:val="20"/>
      <w:szCs w:val="20"/>
      <w:lang w:eastAsia="de-DE" w:bidi="ar-SA"/>
    </w:rPr>
  </w:style>
  <w:style w:type="paragraph" w:styleId="StandardWeb">
    <w:name w:val="Normal (Web)"/>
    <w:basedOn w:val="Standard"/>
    <w:uiPriority w:val="99"/>
    <w:unhideWhenUsed/>
    <w:rsid w:val="00DA38AB"/>
    <w:pPr>
      <w:widowControl/>
      <w:autoSpaceDE/>
      <w:autoSpaceDN/>
      <w:spacing w:before="100" w:beforeAutospacing="1" w:after="100" w:afterAutospacing="1"/>
    </w:pPr>
    <w:rPr>
      <w:sz w:val="24"/>
      <w:szCs w:val="24"/>
      <w:lang w:eastAsia="de-DE"/>
    </w:rPr>
  </w:style>
  <w:style w:type="paragraph" w:styleId="Verzeichnis4">
    <w:name w:val="toc 4"/>
    <w:basedOn w:val="Standard"/>
    <w:next w:val="Standard"/>
    <w:autoRedefine/>
    <w:uiPriority w:val="39"/>
    <w:unhideWhenUsed/>
    <w:rsid w:val="00DA38AB"/>
    <w:pPr>
      <w:widowControl/>
      <w:tabs>
        <w:tab w:val="right" w:leader="dot" w:pos="8354"/>
      </w:tabs>
      <w:autoSpaceDE/>
      <w:autoSpaceDN/>
      <w:spacing w:line="360" w:lineRule="auto"/>
      <w:ind w:left="720"/>
    </w:pPr>
    <w:rPr>
      <w:noProof/>
      <w:sz w:val="24"/>
      <w:szCs w:val="18"/>
      <w:lang w:bidi="en-US"/>
    </w:rPr>
  </w:style>
  <w:style w:type="paragraph" w:styleId="Verzeichnis5">
    <w:name w:val="toc 5"/>
    <w:basedOn w:val="Standard"/>
    <w:next w:val="Standard"/>
    <w:autoRedefine/>
    <w:uiPriority w:val="39"/>
    <w:unhideWhenUsed/>
    <w:rsid w:val="00DA38AB"/>
    <w:pPr>
      <w:widowControl/>
      <w:tabs>
        <w:tab w:val="right" w:leader="dot" w:pos="8354"/>
      </w:tabs>
      <w:autoSpaceDE/>
      <w:autoSpaceDN/>
      <w:spacing w:line="360" w:lineRule="auto"/>
      <w:ind w:left="960"/>
    </w:pPr>
    <w:rPr>
      <w:noProof/>
      <w:sz w:val="24"/>
      <w:szCs w:val="18"/>
      <w:lang w:bidi="en-US"/>
    </w:rPr>
  </w:style>
  <w:style w:type="paragraph" w:styleId="Verzeichnis6">
    <w:name w:val="toc 6"/>
    <w:basedOn w:val="Standard"/>
    <w:next w:val="Standard"/>
    <w:autoRedefine/>
    <w:uiPriority w:val="39"/>
    <w:unhideWhenUsed/>
    <w:rsid w:val="00DA38AB"/>
    <w:pPr>
      <w:widowControl/>
      <w:autoSpaceDE/>
      <w:autoSpaceDN/>
      <w:spacing w:line="360" w:lineRule="auto"/>
      <w:ind w:left="1200"/>
    </w:pPr>
    <w:rPr>
      <w:sz w:val="24"/>
      <w:szCs w:val="18"/>
      <w:lang w:bidi="en-US"/>
    </w:rPr>
  </w:style>
  <w:style w:type="paragraph" w:styleId="Verzeichnis7">
    <w:name w:val="toc 7"/>
    <w:basedOn w:val="Standard"/>
    <w:next w:val="Standard"/>
    <w:autoRedefine/>
    <w:uiPriority w:val="39"/>
    <w:unhideWhenUsed/>
    <w:rsid w:val="00DA38AB"/>
    <w:pPr>
      <w:widowControl/>
      <w:autoSpaceDE/>
      <w:autoSpaceDN/>
      <w:spacing w:line="360" w:lineRule="auto"/>
      <w:ind w:left="1440"/>
    </w:pPr>
    <w:rPr>
      <w:rFonts w:ascii="Calibri" w:hAnsi="Calibri"/>
      <w:sz w:val="18"/>
      <w:szCs w:val="18"/>
      <w:lang w:bidi="en-US"/>
    </w:rPr>
  </w:style>
  <w:style w:type="paragraph" w:styleId="Verzeichnis8">
    <w:name w:val="toc 8"/>
    <w:basedOn w:val="Standard"/>
    <w:next w:val="Standard"/>
    <w:autoRedefine/>
    <w:uiPriority w:val="39"/>
    <w:unhideWhenUsed/>
    <w:rsid w:val="00DA38AB"/>
    <w:pPr>
      <w:widowControl/>
      <w:autoSpaceDE/>
      <w:autoSpaceDN/>
      <w:spacing w:line="360" w:lineRule="auto"/>
      <w:ind w:left="1680"/>
    </w:pPr>
    <w:rPr>
      <w:rFonts w:ascii="Calibri" w:hAnsi="Calibri"/>
      <w:sz w:val="18"/>
      <w:szCs w:val="18"/>
      <w:lang w:bidi="en-US"/>
    </w:rPr>
  </w:style>
  <w:style w:type="paragraph" w:styleId="Verzeichnis9">
    <w:name w:val="toc 9"/>
    <w:basedOn w:val="Standard"/>
    <w:next w:val="Standard"/>
    <w:autoRedefine/>
    <w:uiPriority w:val="39"/>
    <w:unhideWhenUsed/>
    <w:rsid w:val="00DA38AB"/>
    <w:pPr>
      <w:widowControl/>
      <w:autoSpaceDE/>
      <w:autoSpaceDN/>
      <w:spacing w:line="360" w:lineRule="auto"/>
      <w:ind w:left="1920"/>
    </w:pPr>
    <w:rPr>
      <w:rFonts w:ascii="Calibri" w:hAnsi="Calibri"/>
      <w:sz w:val="18"/>
      <w:szCs w:val="18"/>
      <w:lang w:bidi="en-US"/>
    </w:rPr>
  </w:style>
  <w:style w:type="character" w:customStyle="1" w:styleId="Verzeichnis1Zchn">
    <w:name w:val="Verzeichnis 1 Zchn"/>
    <w:basedOn w:val="Absatz-Standardschriftart"/>
    <w:link w:val="Verzeichnis1"/>
    <w:uiPriority w:val="39"/>
    <w:rsid w:val="00DA38AB"/>
    <w:rPr>
      <w:rFonts w:ascii="Times New Roman" w:eastAsia="Times New Roman" w:hAnsi="Times New Roman" w:cs="Times New Roman"/>
      <w:b/>
      <w:bCs/>
      <w:noProof/>
      <w:sz w:val="24"/>
      <w:szCs w:val="20"/>
      <w:lang w:bidi="en-US"/>
    </w:rPr>
  </w:style>
  <w:style w:type="paragraph" w:styleId="Literaturverzeichnis">
    <w:name w:val="Bibliography"/>
    <w:basedOn w:val="Standard"/>
    <w:next w:val="Standard"/>
    <w:link w:val="LiteraturverzeichnisZchn"/>
    <w:uiPriority w:val="37"/>
    <w:unhideWhenUsed/>
    <w:rsid w:val="00DA38AB"/>
    <w:pPr>
      <w:widowControl/>
      <w:autoSpaceDE/>
      <w:autoSpaceDN/>
      <w:spacing w:line="360" w:lineRule="auto"/>
      <w:jc w:val="both"/>
    </w:pPr>
    <w:rPr>
      <w:rFonts w:ascii="Times New (W1)" w:hAnsi="Times New (W1)" w:cs="Times New (W1)"/>
      <w:sz w:val="24"/>
      <w:szCs w:val="24"/>
      <w:lang w:eastAsia="de-DE"/>
    </w:rPr>
  </w:style>
  <w:style w:type="character" w:customStyle="1" w:styleId="medium-normal">
    <w:name w:val="medium-normal"/>
    <w:basedOn w:val="Absatz-Standardschriftart"/>
    <w:rsid w:val="00DA38AB"/>
  </w:style>
  <w:style w:type="paragraph" w:customStyle="1" w:styleId="Standardklein">
    <w:name w:val="Standard (klein)"/>
    <w:basedOn w:val="Standard"/>
    <w:rsid w:val="00DA38AB"/>
    <w:pPr>
      <w:widowControl/>
      <w:autoSpaceDE/>
      <w:autoSpaceDN/>
      <w:spacing w:line="240" w:lineRule="atLeast"/>
      <w:jc w:val="both"/>
    </w:pPr>
    <w:rPr>
      <w:sz w:val="20"/>
      <w:szCs w:val="20"/>
      <w:lang w:eastAsia="de-DE"/>
    </w:rPr>
  </w:style>
  <w:style w:type="numbering" w:customStyle="1" w:styleId="Formatvorlage3">
    <w:name w:val="Formatvorlage3"/>
    <w:uiPriority w:val="99"/>
    <w:rsid w:val="00DA38AB"/>
  </w:style>
  <w:style w:type="numbering" w:customStyle="1" w:styleId="Formatvorlage31">
    <w:name w:val="Formatvorlage31"/>
    <w:next w:val="Formatvorlage3"/>
    <w:uiPriority w:val="99"/>
    <w:rsid w:val="00DA38AB"/>
  </w:style>
  <w:style w:type="character" w:styleId="Funotenzeichen">
    <w:name w:val="footnote reference"/>
    <w:basedOn w:val="Absatz-Standardschriftart"/>
    <w:rsid w:val="00DA38AB"/>
    <w:rPr>
      <w:position w:val="6"/>
      <w:sz w:val="16"/>
    </w:rPr>
  </w:style>
  <w:style w:type="paragraph" w:styleId="Funotentext">
    <w:name w:val="footnote text"/>
    <w:basedOn w:val="Standard"/>
    <w:link w:val="FunotentextZchn"/>
    <w:rsid w:val="00DA38AB"/>
    <w:pPr>
      <w:widowControl/>
      <w:autoSpaceDE/>
      <w:autoSpaceDN/>
      <w:spacing w:line="200" w:lineRule="atLeast"/>
      <w:ind w:left="284" w:hanging="284"/>
      <w:jc w:val="both"/>
    </w:pPr>
    <w:rPr>
      <w:sz w:val="18"/>
      <w:szCs w:val="20"/>
      <w:lang w:eastAsia="de-DE"/>
    </w:rPr>
  </w:style>
  <w:style w:type="character" w:customStyle="1" w:styleId="FunotentextZchn">
    <w:name w:val="Fußnotentext Zchn"/>
    <w:basedOn w:val="Absatz-Standardschriftart"/>
    <w:link w:val="Funotentext"/>
    <w:rsid w:val="00DA38AB"/>
    <w:rPr>
      <w:rFonts w:ascii="Times New Roman" w:eastAsia="Times New Roman" w:hAnsi="Times New Roman" w:cs="Times New Roman"/>
      <w:sz w:val="18"/>
      <w:szCs w:val="20"/>
      <w:lang w:eastAsia="de-DE"/>
    </w:rPr>
  </w:style>
  <w:style w:type="paragraph" w:styleId="Index1">
    <w:name w:val="index 1"/>
    <w:basedOn w:val="Standard"/>
    <w:next w:val="Standard"/>
    <w:autoRedefine/>
    <w:rsid w:val="00DA38AB"/>
    <w:pPr>
      <w:widowControl/>
      <w:autoSpaceDE/>
      <w:autoSpaceDN/>
      <w:spacing w:line="264" w:lineRule="auto"/>
      <w:ind w:left="260" w:hanging="260"/>
      <w:jc w:val="both"/>
    </w:pPr>
    <w:rPr>
      <w:sz w:val="20"/>
      <w:szCs w:val="20"/>
      <w:lang w:eastAsia="de-DE"/>
    </w:rPr>
  </w:style>
  <w:style w:type="paragraph" w:styleId="Index2">
    <w:name w:val="index 2"/>
    <w:basedOn w:val="Standard"/>
    <w:next w:val="Standard"/>
    <w:autoRedefine/>
    <w:rsid w:val="00DA38AB"/>
    <w:pPr>
      <w:widowControl/>
      <w:autoSpaceDE/>
      <w:autoSpaceDN/>
      <w:spacing w:line="264" w:lineRule="auto"/>
      <w:ind w:left="520" w:hanging="260"/>
      <w:jc w:val="both"/>
    </w:pPr>
    <w:rPr>
      <w:sz w:val="20"/>
      <w:szCs w:val="20"/>
      <w:lang w:eastAsia="de-DE"/>
    </w:rPr>
  </w:style>
  <w:style w:type="paragraph" w:styleId="Index3">
    <w:name w:val="index 3"/>
    <w:basedOn w:val="Standard"/>
    <w:next w:val="Standard"/>
    <w:autoRedefine/>
    <w:rsid w:val="00DA38AB"/>
    <w:pPr>
      <w:widowControl/>
      <w:autoSpaceDE/>
      <w:autoSpaceDN/>
      <w:spacing w:line="264" w:lineRule="auto"/>
      <w:ind w:left="780" w:hanging="260"/>
      <w:jc w:val="both"/>
    </w:pPr>
    <w:rPr>
      <w:sz w:val="20"/>
      <w:szCs w:val="20"/>
      <w:lang w:eastAsia="de-DE"/>
    </w:rPr>
  </w:style>
  <w:style w:type="paragraph" w:styleId="Index4">
    <w:name w:val="index 4"/>
    <w:basedOn w:val="Standard"/>
    <w:next w:val="Standard"/>
    <w:autoRedefine/>
    <w:rsid w:val="00DA38AB"/>
    <w:pPr>
      <w:widowControl/>
      <w:autoSpaceDE/>
      <w:autoSpaceDN/>
      <w:spacing w:line="264" w:lineRule="auto"/>
      <w:ind w:left="1040" w:hanging="260"/>
      <w:jc w:val="both"/>
    </w:pPr>
    <w:rPr>
      <w:sz w:val="20"/>
      <w:szCs w:val="20"/>
      <w:lang w:eastAsia="de-DE"/>
    </w:rPr>
  </w:style>
  <w:style w:type="paragraph" w:styleId="Index5">
    <w:name w:val="index 5"/>
    <w:basedOn w:val="Standard"/>
    <w:next w:val="Standard"/>
    <w:autoRedefine/>
    <w:rsid w:val="00DA38AB"/>
    <w:pPr>
      <w:widowControl/>
      <w:autoSpaceDE/>
      <w:autoSpaceDN/>
      <w:spacing w:line="264" w:lineRule="auto"/>
      <w:ind w:left="1300" w:hanging="260"/>
      <w:jc w:val="both"/>
    </w:pPr>
    <w:rPr>
      <w:sz w:val="20"/>
      <w:szCs w:val="20"/>
      <w:lang w:eastAsia="de-DE"/>
    </w:rPr>
  </w:style>
  <w:style w:type="paragraph" w:styleId="Index6">
    <w:name w:val="index 6"/>
    <w:basedOn w:val="Standard"/>
    <w:next w:val="Standard"/>
    <w:autoRedefine/>
    <w:rsid w:val="00DA38AB"/>
    <w:pPr>
      <w:widowControl/>
      <w:autoSpaceDE/>
      <w:autoSpaceDN/>
      <w:spacing w:line="264" w:lineRule="auto"/>
      <w:ind w:left="1560" w:hanging="260"/>
      <w:jc w:val="both"/>
    </w:pPr>
    <w:rPr>
      <w:sz w:val="20"/>
      <w:szCs w:val="20"/>
      <w:lang w:eastAsia="de-DE"/>
    </w:rPr>
  </w:style>
  <w:style w:type="paragraph" w:styleId="Index7">
    <w:name w:val="index 7"/>
    <w:basedOn w:val="Standard"/>
    <w:next w:val="Standard"/>
    <w:autoRedefine/>
    <w:rsid w:val="00DA38AB"/>
    <w:pPr>
      <w:widowControl/>
      <w:autoSpaceDE/>
      <w:autoSpaceDN/>
      <w:spacing w:line="264" w:lineRule="auto"/>
      <w:ind w:left="1820" w:hanging="260"/>
      <w:jc w:val="both"/>
    </w:pPr>
    <w:rPr>
      <w:sz w:val="20"/>
      <w:szCs w:val="20"/>
      <w:lang w:eastAsia="de-DE"/>
    </w:rPr>
  </w:style>
  <w:style w:type="paragraph" w:styleId="Index8">
    <w:name w:val="index 8"/>
    <w:basedOn w:val="Standard"/>
    <w:next w:val="Standard"/>
    <w:autoRedefine/>
    <w:rsid w:val="00DA38AB"/>
    <w:pPr>
      <w:widowControl/>
      <w:autoSpaceDE/>
      <w:autoSpaceDN/>
      <w:spacing w:line="264" w:lineRule="auto"/>
      <w:ind w:left="2080" w:hanging="260"/>
      <w:jc w:val="both"/>
    </w:pPr>
    <w:rPr>
      <w:sz w:val="20"/>
      <w:szCs w:val="20"/>
      <w:lang w:eastAsia="de-DE"/>
    </w:rPr>
  </w:style>
  <w:style w:type="paragraph" w:styleId="Index9">
    <w:name w:val="index 9"/>
    <w:basedOn w:val="Standard"/>
    <w:next w:val="Standard"/>
    <w:autoRedefine/>
    <w:rsid w:val="00DA38AB"/>
    <w:pPr>
      <w:widowControl/>
      <w:autoSpaceDE/>
      <w:autoSpaceDN/>
      <w:spacing w:line="264" w:lineRule="auto"/>
      <w:ind w:left="2340" w:hanging="260"/>
      <w:jc w:val="both"/>
    </w:pPr>
    <w:rPr>
      <w:sz w:val="20"/>
      <w:szCs w:val="20"/>
      <w:lang w:eastAsia="de-DE"/>
    </w:rPr>
  </w:style>
  <w:style w:type="paragraph" w:customStyle="1" w:styleId="11berschrift">
    <w:name w:val="1.1.Überschrift"/>
    <w:basedOn w:val="Standard"/>
    <w:rsid w:val="00DA38AB"/>
    <w:pPr>
      <w:widowControl/>
      <w:autoSpaceDE/>
      <w:autoSpaceDN/>
      <w:spacing w:before="120" w:after="120" w:line="264" w:lineRule="auto"/>
      <w:ind w:left="567" w:hanging="567"/>
    </w:pPr>
    <w:rPr>
      <w:rFonts w:ascii="Tms Rmn" w:hAnsi="Tms Rmn"/>
      <w:b/>
      <w:sz w:val="26"/>
      <w:szCs w:val="20"/>
      <w:lang w:eastAsia="de-DE"/>
    </w:rPr>
  </w:style>
  <w:style w:type="paragraph" w:customStyle="1" w:styleId="111berschrift">
    <w:name w:val="1.1.1.Überschrift"/>
    <w:basedOn w:val="Standard"/>
    <w:autoRedefine/>
    <w:rsid w:val="00DA38AB"/>
    <w:pPr>
      <w:widowControl/>
      <w:numPr>
        <w:ilvl w:val="2"/>
        <w:numId w:val="3"/>
      </w:numPr>
      <w:autoSpaceDE/>
      <w:autoSpaceDN/>
      <w:spacing w:before="120" w:after="120" w:line="264" w:lineRule="auto"/>
    </w:pPr>
    <w:rPr>
      <w:b/>
      <w:sz w:val="26"/>
      <w:szCs w:val="20"/>
      <w:lang w:eastAsia="de-DE"/>
    </w:rPr>
  </w:style>
  <w:style w:type="paragraph" w:customStyle="1" w:styleId="1berschrift">
    <w:name w:val="1.Überschrift"/>
    <w:basedOn w:val="Standard"/>
    <w:rsid w:val="00DA38AB"/>
    <w:pPr>
      <w:widowControl/>
      <w:autoSpaceDE/>
      <w:autoSpaceDN/>
      <w:spacing w:after="240" w:line="264" w:lineRule="auto"/>
      <w:jc w:val="right"/>
    </w:pPr>
    <w:rPr>
      <w:b/>
      <w:sz w:val="32"/>
      <w:szCs w:val="20"/>
      <w:lang w:eastAsia="de-DE"/>
    </w:rPr>
  </w:style>
  <w:style w:type="paragraph" w:customStyle="1" w:styleId="Quellen">
    <w:name w:val="Quellen"/>
    <w:basedOn w:val="Standard"/>
    <w:rsid w:val="00535A87"/>
    <w:pPr>
      <w:widowControl/>
      <w:autoSpaceDE/>
      <w:autoSpaceDN/>
      <w:spacing w:before="120" w:after="120"/>
    </w:pPr>
    <w:rPr>
      <w:rFonts w:ascii="Tms Rmn" w:hAnsi="Tms Rmn"/>
      <w:szCs w:val="20"/>
      <w:lang w:eastAsia="de-DE"/>
    </w:rPr>
  </w:style>
  <w:style w:type="paragraph" w:customStyle="1" w:styleId="1111berschrift">
    <w:name w:val="1.1.1.1.Überschrift"/>
    <w:basedOn w:val="111berschrift"/>
    <w:rsid w:val="00DA38AB"/>
    <w:pPr>
      <w:spacing w:after="240"/>
      <w:ind w:left="993" w:hanging="993"/>
    </w:pPr>
    <w:rPr>
      <w:rFonts w:ascii="Tms Rmn" w:hAnsi="Tms Rmn"/>
    </w:rPr>
  </w:style>
  <w:style w:type="paragraph" w:customStyle="1" w:styleId="11111berschrift">
    <w:name w:val="1.1.1.1.1.Überschrift"/>
    <w:basedOn w:val="1111berschrift"/>
    <w:rsid w:val="00DA38AB"/>
  </w:style>
  <w:style w:type="paragraph" w:customStyle="1" w:styleId="111111berschrift">
    <w:name w:val="1.1.1.1.1.1.Überschrift"/>
    <w:basedOn w:val="11111berschrift"/>
    <w:rsid w:val="00DA38AB"/>
    <w:pPr>
      <w:ind w:left="1276" w:hanging="1276"/>
    </w:pPr>
  </w:style>
  <w:style w:type="paragraph" w:styleId="Liste">
    <w:name w:val="List"/>
    <w:basedOn w:val="Standard"/>
    <w:rsid w:val="00DA38AB"/>
    <w:pPr>
      <w:widowControl/>
      <w:autoSpaceDE/>
      <w:autoSpaceDN/>
      <w:spacing w:line="264" w:lineRule="auto"/>
      <w:ind w:left="283" w:hanging="283"/>
      <w:jc w:val="both"/>
    </w:pPr>
    <w:rPr>
      <w:sz w:val="26"/>
      <w:szCs w:val="20"/>
      <w:lang w:eastAsia="de-DE"/>
    </w:rPr>
  </w:style>
  <w:style w:type="paragraph" w:styleId="Inhaltsverzeichnisberschrift">
    <w:name w:val="TOC Heading"/>
    <w:basedOn w:val="berschrift1"/>
    <w:next w:val="Standard"/>
    <w:uiPriority w:val="39"/>
    <w:unhideWhenUsed/>
    <w:qFormat/>
    <w:rsid w:val="00DA38AB"/>
    <w:pPr>
      <w:keepNext/>
      <w:keepLines/>
      <w:widowControl/>
      <w:autoSpaceDE/>
      <w:autoSpaceDN/>
      <w:spacing w:before="480" w:line="276" w:lineRule="auto"/>
      <w:outlineLvl w:val="9"/>
    </w:pPr>
    <w:rPr>
      <w:rFonts w:ascii="Cambria" w:hAnsi="Cambria"/>
      <w:color w:val="365F91"/>
      <w:sz w:val="28"/>
      <w:szCs w:val="28"/>
    </w:rPr>
  </w:style>
  <w:style w:type="paragraph" w:customStyle="1" w:styleId="Hauptberschrift">
    <w:name w:val="Hauptüberschrift"/>
    <w:basedOn w:val="berschrift1"/>
    <w:link w:val="HauptberschriftZchn"/>
    <w:qFormat/>
    <w:rsid w:val="00DA38AB"/>
    <w:pPr>
      <w:widowControl/>
      <w:numPr>
        <w:numId w:val="2"/>
      </w:numPr>
      <w:autoSpaceDE/>
      <w:autoSpaceDN/>
      <w:spacing w:line="264" w:lineRule="auto"/>
    </w:pPr>
    <w:rPr>
      <w:bCs w:val="0"/>
      <w:kern w:val="32"/>
      <w:sz w:val="20"/>
      <w:szCs w:val="24"/>
      <w:lang w:eastAsia="de-DE" w:bidi="en-US"/>
    </w:rPr>
  </w:style>
  <w:style w:type="character" w:customStyle="1" w:styleId="HauptberschriftZchn">
    <w:name w:val="Hauptüberschrift Zchn"/>
    <w:basedOn w:val="berschrift1Zchn"/>
    <w:link w:val="Hauptberschrift"/>
    <w:rsid w:val="00DA38AB"/>
    <w:rPr>
      <w:rFonts w:ascii="Times New Roman" w:eastAsia="Times New Roman" w:hAnsi="Times New Roman" w:cs="Times New Roman"/>
      <w:b/>
      <w:bCs w:val="0"/>
      <w:kern w:val="32"/>
      <w:sz w:val="20"/>
      <w:szCs w:val="24"/>
      <w:lang w:eastAsia="de-DE" w:bidi="en-US"/>
    </w:rPr>
  </w:style>
  <w:style w:type="numbering" w:customStyle="1" w:styleId="Formatvorlage4">
    <w:name w:val="Formatvorlage4"/>
    <w:uiPriority w:val="99"/>
    <w:rsid w:val="00DA38AB"/>
    <w:pPr>
      <w:numPr>
        <w:numId w:val="4"/>
      </w:numPr>
    </w:pPr>
  </w:style>
  <w:style w:type="numbering" w:customStyle="1" w:styleId="Formatvorlage5">
    <w:name w:val="Formatvorlage5"/>
    <w:uiPriority w:val="99"/>
    <w:rsid w:val="00DA38AB"/>
    <w:pPr>
      <w:numPr>
        <w:numId w:val="5"/>
      </w:numPr>
    </w:pPr>
  </w:style>
  <w:style w:type="numbering" w:customStyle="1" w:styleId="Formatvorlage6">
    <w:name w:val="Formatvorlage6"/>
    <w:uiPriority w:val="99"/>
    <w:rsid w:val="00DA38AB"/>
    <w:pPr>
      <w:numPr>
        <w:numId w:val="6"/>
      </w:numPr>
    </w:pPr>
  </w:style>
  <w:style w:type="paragraph" w:customStyle="1" w:styleId="BeschriftungTab">
    <w:name w:val="Beschriftung Tab"/>
    <w:basedOn w:val="Standard"/>
    <w:rsid w:val="003F7F32"/>
    <w:pPr>
      <w:widowControl/>
      <w:autoSpaceDE/>
      <w:autoSpaceDN/>
      <w:spacing w:before="120" w:after="120"/>
      <w:jc w:val="center"/>
    </w:pPr>
    <w:rPr>
      <w:sz w:val="24"/>
      <w:szCs w:val="20"/>
      <w:lang w:eastAsia="de-DE"/>
    </w:rPr>
  </w:style>
  <w:style w:type="character" w:styleId="Kommentarzeichen">
    <w:name w:val="annotation reference"/>
    <w:basedOn w:val="Absatz-Standardschriftart"/>
    <w:uiPriority w:val="99"/>
    <w:semiHidden/>
    <w:unhideWhenUsed/>
    <w:rsid w:val="00DA38AB"/>
    <w:rPr>
      <w:sz w:val="16"/>
      <w:szCs w:val="16"/>
    </w:rPr>
  </w:style>
  <w:style w:type="paragraph" w:styleId="Kommentartext">
    <w:name w:val="annotation text"/>
    <w:basedOn w:val="Standard"/>
    <w:link w:val="KommentartextZchn"/>
    <w:uiPriority w:val="99"/>
    <w:semiHidden/>
    <w:unhideWhenUsed/>
    <w:rsid w:val="00DA38AB"/>
    <w:pPr>
      <w:widowControl/>
      <w:autoSpaceDE/>
      <w:autoSpaceDN/>
      <w:jc w:val="both"/>
    </w:pPr>
    <w:rPr>
      <w:sz w:val="20"/>
      <w:szCs w:val="20"/>
      <w:lang w:bidi="en-US"/>
    </w:rPr>
  </w:style>
  <w:style w:type="character" w:customStyle="1" w:styleId="KommentartextZchn">
    <w:name w:val="Kommentartext Zchn"/>
    <w:basedOn w:val="Absatz-Standardschriftart"/>
    <w:link w:val="Kommentartext"/>
    <w:uiPriority w:val="99"/>
    <w:semiHidden/>
    <w:rsid w:val="00DA38AB"/>
    <w:rPr>
      <w:rFonts w:ascii="Times New Roman" w:eastAsia="Times New Roman" w:hAnsi="Times New Roman" w:cs="Times New Roman"/>
      <w:sz w:val="20"/>
      <w:szCs w:val="20"/>
      <w:lang w:bidi="en-US"/>
    </w:rPr>
  </w:style>
  <w:style w:type="paragraph" w:styleId="Kommentarthema">
    <w:name w:val="annotation subject"/>
    <w:basedOn w:val="Kommentartext"/>
    <w:next w:val="Kommentartext"/>
    <w:link w:val="KommentarthemaZchn"/>
    <w:uiPriority w:val="99"/>
    <w:semiHidden/>
    <w:unhideWhenUsed/>
    <w:rsid w:val="00DA38AB"/>
    <w:rPr>
      <w:b/>
      <w:bCs/>
    </w:rPr>
  </w:style>
  <w:style w:type="character" w:customStyle="1" w:styleId="KommentarthemaZchn">
    <w:name w:val="Kommentarthema Zchn"/>
    <w:basedOn w:val="KommentartextZchn"/>
    <w:link w:val="Kommentarthema"/>
    <w:uiPriority w:val="99"/>
    <w:semiHidden/>
    <w:rsid w:val="00DA38AB"/>
    <w:rPr>
      <w:rFonts w:ascii="Times New Roman" w:eastAsia="Times New Roman" w:hAnsi="Times New Roman" w:cs="Times New Roman"/>
      <w:b/>
      <w:bCs/>
      <w:sz w:val="20"/>
      <w:szCs w:val="20"/>
      <w:lang w:bidi="en-US"/>
    </w:rPr>
  </w:style>
  <w:style w:type="table" w:customStyle="1" w:styleId="Tabellenraster1">
    <w:name w:val="Tabellenraster1"/>
    <w:basedOn w:val="NormaleTabelle"/>
    <w:next w:val="Tabellenraster"/>
    <w:uiPriority w:val="39"/>
    <w:rsid w:val="004F1B95"/>
    <w:pPr>
      <w:spacing w:after="0" w:line="240" w:lineRule="auto"/>
    </w:pPr>
    <w:rPr>
      <w:rFonts w:ascii="Calibri" w:eastAsia="Times New Roman" w:hAnsi="Calibri" w:cs="Times New Roman"/>
      <w:sz w:val="20"/>
      <w:szCs w:val="20"/>
      <w:lang w:eastAsia="de-D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dium-font">
    <w:name w:val="medium-font"/>
    <w:basedOn w:val="Absatz-Standardschriftart"/>
    <w:uiPriority w:val="99"/>
    <w:rsid w:val="003C3E46"/>
  </w:style>
  <w:style w:type="paragraph" w:customStyle="1" w:styleId="StandardTextkursiv">
    <w:name w:val="Standard Text kursiv"/>
    <w:basedOn w:val="StandardText"/>
    <w:link w:val="StandardTextkursivZchn"/>
    <w:uiPriority w:val="1"/>
    <w:qFormat/>
    <w:rsid w:val="00B509C5"/>
    <w:rPr>
      <w:i/>
    </w:rPr>
  </w:style>
  <w:style w:type="character" w:customStyle="1" w:styleId="StandardTextkursivZchn">
    <w:name w:val="Standard Text kursiv Zchn"/>
    <w:basedOn w:val="StandardTextZchn1"/>
    <w:link w:val="StandardTextkursiv"/>
    <w:uiPriority w:val="1"/>
    <w:rsid w:val="00B509C5"/>
    <w:rPr>
      <w:rFonts w:ascii="Times New Roman" w:eastAsia="Times New Roman" w:hAnsi="Times New Roman" w:cs="Times New Roman"/>
      <w:i/>
      <w:sz w:val="24"/>
      <w:szCs w:val="20"/>
      <w:lang w:eastAsia="de-DE"/>
    </w:rPr>
  </w:style>
  <w:style w:type="paragraph" w:customStyle="1" w:styleId="Erlaeuterung">
    <w:name w:val="Erlaeuterung"/>
    <w:link w:val="ErlaeuterungZchn"/>
    <w:rsid w:val="00126243"/>
    <w:pPr>
      <w:spacing w:after="0" w:line="220" w:lineRule="atLeast"/>
      <w:jc w:val="both"/>
    </w:pPr>
    <w:rPr>
      <w:rFonts w:ascii="Times New Roman" w:eastAsia="Times New Roman" w:hAnsi="Times New Roman" w:cs="Times New Roman"/>
      <w:bCs/>
      <w:sz w:val="18"/>
      <w:szCs w:val="20"/>
      <w:lang w:eastAsia="de-DE"/>
    </w:rPr>
  </w:style>
  <w:style w:type="paragraph" w:customStyle="1" w:styleId="Begriff">
    <w:name w:val="Begriff"/>
    <w:next w:val="Erlaeuterung"/>
    <w:rsid w:val="00126243"/>
    <w:pPr>
      <w:keepNext/>
      <w:tabs>
        <w:tab w:val="right" w:pos="8222"/>
      </w:tabs>
      <w:spacing w:before="220" w:after="0" w:line="220" w:lineRule="atLeast"/>
    </w:pPr>
    <w:rPr>
      <w:rFonts w:ascii="Helvetica" w:eastAsia="Times New Roman" w:hAnsi="Helvetica" w:cs="Times New Roman"/>
      <w:b/>
      <w:sz w:val="18"/>
      <w:szCs w:val="20"/>
      <w:lang w:eastAsia="de-DE"/>
    </w:rPr>
  </w:style>
  <w:style w:type="paragraph" w:styleId="Sprechblasentext">
    <w:name w:val="Balloon Text"/>
    <w:basedOn w:val="Standard"/>
    <w:link w:val="SprechblasentextZchn"/>
    <w:uiPriority w:val="99"/>
    <w:unhideWhenUsed/>
    <w:rsid w:val="0029103A"/>
    <w:pPr>
      <w:widowControl/>
      <w:autoSpaceDE/>
      <w:autoSpaceDN/>
    </w:pPr>
    <w:rPr>
      <w:rFonts w:ascii="Segoe UI" w:eastAsiaTheme="minorHAnsi" w:hAnsi="Segoe UI" w:cs="Segoe UI"/>
      <w:sz w:val="18"/>
      <w:szCs w:val="18"/>
    </w:rPr>
  </w:style>
  <w:style w:type="character" w:customStyle="1" w:styleId="SprechblasentextZchn">
    <w:name w:val="Sprechblasentext Zchn"/>
    <w:basedOn w:val="Absatz-Standardschriftart"/>
    <w:link w:val="Sprechblasentext"/>
    <w:uiPriority w:val="99"/>
    <w:rsid w:val="0029103A"/>
    <w:rPr>
      <w:rFonts w:ascii="Segoe UI" w:hAnsi="Segoe UI" w:cs="Segoe UI"/>
      <w:sz w:val="18"/>
      <w:szCs w:val="18"/>
    </w:rPr>
  </w:style>
  <w:style w:type="character" w:customStyle="1" w:styleId="LiteraturverzeichnisZchn">
    <w:name w:val="Literaturverzeichnis Zchn"/>
    <w:basedOn w:val="Absatz-Standardschriftart"/>
    <w:link w:val="Literaturverzeichnis"/>
    <w:uiPriority w:val="37"/>
    <w:rsid w:val="0029103A"/>
    <w:rPr>
      <w:rFonts w:ascii="Times New (W1)" w:eastAsia="Times New Roman" w:hAnsi="Times New (W1)" w:cs="Times New (W1)"/>
      <w:sz w:val="24"/>
      <w:szCs w:val="24"/>
      <w:lang w:eastAsia="de-DE"/>
    </w:rPr>
  </w:style>
  <w:style w:type="character" w:customStyle="1" w:styleId="hgkelc">
    <w:name w:val="hgkelc"/>
    <w:basedOn w:val="Absatz-Standardschriftart"/>
    <w:rsid w:val="0029103A"/>
  </w:style>
  <w:style w:type="paragraph" w:styleId="Beschriftung">
    <w:name w:val="caption"/>
    <w:basedOn w:val="Standard"/>
    <w:next w:val="Standard"/>
    <w:link w:val="BeschriftungZchn"/>
    <w:qFormat/>
    <w:rsid w:val="0029103A"/>
    <w:pPr>
      <w:widowControl/>
      <w:autoSpaceDE/>
      <w:autoSpaceDN/>
      <w:spacing w:after="120" w:line="360" w:lineRule="auto"/>
      <w:jc w:val="center"/>
    </w:pPr>
    <w:rPr>
      <w:i/>
      <w:sz w:val="24"/>
      <w:szCs w:val="20"/>
      <w:lang w:eastAsia="de-DE"/>
    </w:rPr>
  </w:style>
  <w:style w:type="character" w:customStyle="1" w:styleId="BeschriftungZchn">
    <w:name w:val="Beschriftung Zchn"/>
    <w:basedOn w:val="Absatz-Standardschriftart"/>
    <w:link w:val="Beschriftung"/>
    <w:rsid w:val="0029103A"/>
    <w:rPr>
      <w:rFonts w:ascii="Times New Roman" w:eastAsia="Times New Roman" w:hAnsi="Times New Roman" w:cs="Times New Roman"/>
      <w:i/>
      <w:sz w:val="24"/>
      <w:szCs w:val="20"/>
      <w:lang w:eastAsia="de-DE"/>
    </w:rPr>
  </w:style>
  <w:style w:type="paragraph" w:customStyle="1" w:styleId="Quelle">
    <w:name w:val="Quelle"/>
    <w:basedOn w:val="Standard"/>
    <w:link w:val="QuelleZchn"/>
    <w:qFormat/>
    <w:rsid w:val="0029103A"/>
    <w:pPr>
      <w:widowControl/>
      <w:autoSpaceDE/>
      <w:autoSpaceDN/>
      <w:spacing w:before="120" w:line="360" w:lineRule="auto"/>
      <w:ind w:left="709" w:hanging="709"/>
      <w:jc w:val="both"/>
    </w:pPr>
    <w:rPr>
      <w:sz w:val="18"/>
      <w:szCs w:val="20"/>
      <w:lang w:eastAsia="de-DE"/>
    </w:rPr>
  </w:style>
  <w:style w:type="character" w:customStyle="1" w:styleId="QuelleZchn">
    <w:name w:val="Quelle Zchn"/>
    <w:basedOn w:val="Absatz-Standardschriftart"/>
    <w:link w:val="Quelle"/>
    <w:rsid w:val="0029103A"/>
    <w:rPr>
      <w:rFonts w:ascii="Times New Roman" w:eastAsia="Times New Roman" w:hAnsi="Times New Roman" w:cs="Times New Roman"/>
      <w:sz w:val="18"/>
      <w:szCs w:val="20"/>
      <w:lang w:eastAsia="de-DE"/>
    </w:rPr>
  </w:style>
  <w:style w:type="paragraph" w:customStyle="1" w:styleId="TabelleBuch">
    <w:name w:val="Tabelle Buch"/>
    <w:basedOn w:val="Standard"/>
    <w:rsid w:val="0029103A"/>
    <w:pPr>
      <w:widowControl/>
      <w:autoSpaceDE/>
      <w:autoSpaceDN/>
      <w:spacing w:before="60" w:after="60" w:line="264" w:lineRule="auto"/>
      <w:jc w:val="both"/>
    </w:pPr>
    <w:rPr>
      <w:rFonts w:ascii="Times" w:hAnsi="Times"/>
      <w:bCs/>
      <w:szCs w:val="20"/>
      <w:lang w:eastAsia="de-DE"/>
    </w:rPr>
  </w:style>
  <w:style w:type="character" w:customStyle="1" w:styleId="wpaicg-chat-message">
    <w:name w:val="wpaicg-chat-message"/>
    <w:basedOn w:val="Absatz-Standardschriftart"/>
    <w:rsid w:val="0029103A"/>
  </w:style>
  <w:style w:type="paragraph" w:customStyle="1" w:styleId="Default">
    <w:name w:val="Default"/>
    <w:rsid w:val="0029103A"/>
    <w:pPr>
      <w:autoSpaceDE w:val="0"/>
      <w:autoSpaceDN w:val="0"/>
      <w:adjustRightInd w:val="0"/>
      <w:spacing w:after="0" w:line="240" w:lineRule="auto"/>
    </w:pPr>
    <w:rPr>
      <w:rFonts w:ascii="Arial" w:hAnsi="Arial" w:cs="Arial"/>
      <w:color w:val="000000"/>
      <w:sz w:val="24"/>
      <w:szCs w:val="24"/>
    </w:rPr>
  </w:style>
  <w:style w:type="paragraph" w:customStyle="1" w:styleId="PunktPfeil">
    <w:name w:val="Punkt/Pfeil"/>
    <w:basedOn w:val="Standard"/>
    <w:rsid w:val="0029103A"/>
    <w:pPr>
      <w:widowControl/>
      <w:numPr>
        <w:numId w:val="35"/>
      </w:numPr>
      <w:tabs>
        <w:tab w:val="clear" w:pos="1084"/>
      </w:tabs>
      <w:autoSpaceDE/>
      <w:autoSpaceDN/>
      <w:spacing w:line="264" w:lineRule="auto"/>
      <w:ind w:left="0" w:firstLine="0"/>
      <w:jc w:val="both"/>
    </w:pPr>
    <w:rPr>
      <w:rFonts w:ascii="Tms Rmn" w:hAnsi="Tms Rmn"/>
      <w:sz w:val="26"/>
      <w:szCs w:val="20"/>
      <w:lang w:eastAsia="de-DE"/>
    </w:rPr>
  </w:style>
  <w:style w:type="paragraph" w:customStyle="1" w:styleId="Punkt">
    <w:name w:val="Punkt"/>
    <w:basedOn w:val="Erlaeuterung"/>
    <w:link w:val="PunktZchn"/>
    <w:rsid w:val="0029103A"/>
    <w:pPr>
      <w:numPr>
        <w:numId w:val="23"/>
      </w:numPr>
      <w:tabs>
        <w:tab w:val="left" w:pos="170"/>
      </w:tabs>
      <w:ind w:left="0" w:firstLine="0"/>
    </w:pPr>
    <w:rPr>
      <w:bCs w:val="0"/>
    </w:rPr>
  </w:style>
  <w:style w:type="character" w:customStyle="1" w:styleId="PunktZchn">
    <w:name w:val="Punkt Zchn"/>
    <w:basedOn w:val="Absatz-Standardschriftart"/>
    <w:link w:val="Punkt"/>
    <w:rsid w:val="0029103A"/>
    <w:rPr>
      <w:rFonts w:ascii="Times New Roman" w:eastAsia="Times New Roman" w:hAnsi="Times New Roman" w:cs="Times New Roman"/>
      <w:sz w:val="18"/>
      <w:szCs w:val="20"/>
      <w:lang w:eastAsia="de-DE"/>
    </w:rPr>
  </w:style>
  <w:style w:type="paragraph" w:styleId="Fuzeile">
    <w:name w:val="footer"/>
    <w:basedOn w:val="Standard"/>
    <w:link w:val="FuzeileZchn"/>
    <w:rsid w:val="0029103A"/>
    <w:pPr>
      <w:widowControl/>
      <w:tabs>
        <w:tab w:val="right" w:pos="6237"/>
      </w:tabs>
      <w:autoSpaceDE/>
      <w:autoSpaceDN/>
      <w:spacing w:after="120" w:line="220" w:lineRule="atLeast"/>
      <w:jc w:val="both"/>
    </w:pPr>
    <w:rPr>
      <w:sz w:val="18"/>
      <w:szCs w:val="20"/>
      <w:lang w:eastAsia="de-DE"/>
    </w:rPr>
  </w:style>
  <w:style w:type="character" w:customStyle="1" w:styleId="FuzeileZchn">
    <w:name w:val="Fußzeile Zchn"/>
    <w:basedOn w:val="Absatz-Standardschriftart"/>
    <w:link w:val="Fuzeile"/>
    <w:rsid w:val="0029103A"/>
    <w:rPr>
      <w:rFonts w:ascii="Times New Roman" w:eastAsia="Times New Roman" w:hAnsi="Times New Roman" w:cs="Times New Roman"/>
      <w:sz w:val="18"/>
      <w:szCs w:val="20"/>
      <w:lang w:eastAsia="de-DE"/>
    </w:rPr>
  </w:style>
  <w:style w:type="paragraph" w:customStyle="1" w:styleId="TabelleAufzhlung">
    <w:name w:val="Tabelle_Aufzählung"/>
    <w:basedOn w:val="Standard"/>
    <w:rsid w:val="0029103A"/>
    <w:pPr>
      <w:widowControl/>
      <w:numPr>
        <w:numId w:val="41"/>
      </w:numPr>
      <w:tabs>
        <w:tab w:val="clear" w:pos="777"/>
        <w:tab w:val="num" w:pos="113"/>
        <w:tab w:val="left" w:pos="227"/>
        <w:tab w:val="num" w:pos="432"/>
        <w:tab w:val="num" w:pos="735"/>
        <w:tab w:val="num" w:pos="1440"/>
      </w:tabs>
      <w:autoSpaceDE/>
      <w:autoSpaceDN/>
      <w:spacing w:before="120" w:after="120" w:line="264" w:lineRule="auto"/>
      <w:ind w:left="0" w:firstLine="0"/>
      <w:jc w:val="both"/>
    </w:pPr>
    <w:rPr>
      <w:rFonts w:ascii="Arial" w:hAnsi="Arial"/>
      <w:sz w:val="18"/>
      <w:szCs w:val="20"/>
      <w:lang w:eastAsia="de-DE"/>
    </w:rPr>
  </w:style>
  <w:style w:type="character" w:customStyle="1" w:styleId="ErlaeuterungZchn">
    <w:name w:val="Erlaeuterung Zchn"/>
    <w:link w:val="Erlaeuterung"/>
    <w:rsid w:val="0029103A"/>
    <w:rPr>
      <w:rFonts w:ascii="Times New Roman" w:eastAsia="Times New Roman" w:hAnsi="Times New Roman" w:cs="Times New Roman"/>
      <w:bCs/>
      <w:sz w:val="18"/>
      <w:szCs w:val="20"/>
      <w:lang w:eastAsia="de-DE"/>
    </w:rPr>
  </w:style>
  <w:style w:type="paragraph" w:customStyle="1" w:styleId="Verzeichnis-Literatur">
    <w:name w:val="Verzeichnis-Literatur"/>
    <w:basedOn w:val="Standard"/>
    <w:link w:val="Verzeichnis-LiteraturZchn"/>
    <w:rsid w:val="0029103A"/>
    <w:pPr>
      <w:widowControl/>
      <w:autoSpaceDE/>
      <w:autoSpaceDN/>
      <w:spacing w:after="120" w:line="230" w:lineRule="atLeast"/>
      <w:jc w:val="both"/>
    </w:pPr>
    <w:rPr>
      <w:rFonts w:ascii="Palatino Linotype" w:hAnsi="Palatino Linotype"/>
      <w:kern w:val="12"/>
      <w:sz w:val="18"/>
      <w:szCs w:val="18"/>
      <w:lang w:eastAsia="de-DE"/>
    </w:rPr>
  </w:style>
  <w:style w:type="character" w:customStyle="1" w:styleId="Verzeichnis-LiteraturZchn">
    <w:name w:val="Verzeichnis-Literatur Zchn"/>
    <w:basedOn w:val="Absatz-Standardschriftart"/>
    <w:link w:val="Verzeichnis-Literatur"/>
    <w:rsid w:val="0029103A"/>
    <w:rPr>
      <w:rFonts w:ascii="Palatino Linotype" w:eastAsia="Times New Roman" w:hAnsi="Palatino Linotype" w:cs="Times New Roman"/>
      <w:kern w:val="12"/>
      <w:sz w:val="18"/>
      <w:szCs w:val="18"/>
      <w:lang w:eastAsia="de-DE"/>
    </w:rPr>
  </w:style>
  <w:style w:type="paragraph" w:customStyle="1" w:styleId="L">
    <w:name w:val="L"/>
    <w:uiPriority w:val="99"/>
    <w:rsid w:val="0029103A"/>
    <w:pPr>
      <w:keepNext/>
      <w:keepLines/>
      <w:tabs>
        <w:tab w:val="left" w:pos="280"/>
        <w:tab w:val="left" w:pos="560"/>
        <w:tab w:val="left" w:pos="840"/>
        <w:tab w:val="left" w:pos="1120"/>
        <w:tab w:val="left" w:pos="1700"/>
        <w:tab w:val="left" w:pos="2260"/>
        <w:tab w:val="left" w:pos="2820"/>
        <w:tab w:val="left" w:pos="3400"/>
        <w:tab w:val="left" w:pos="3960"/>
        <w:tab w:val="right" w:pos="6620"/>
      </w:tabs>
      <w:autoSpaceDE w:val="0"/>
      <w:autoSpaceDN w:val="0"/>
      <w:adjustRightInd w:val="0"/>
      <w:spacing w:before="240" w:after="0" w:line="180" w:lineRule="atLeast"/>
    </w:pPr>
    <w:rPr>
      <w:rFonts w:ascii="Times" w:eastAsia="Times New Roman" w:hAnsi="Times" w:cs="Times"/>
      <w:color w:val="FF0000"/>
      <w:w w:val="0"/>
      <w:sz w:val="16"/>
      <w:szCs w:val="16"/>
      <w:lang w:eastAsia="de-DE"/>
    </w:rPr>
  </w:style>
  <w:style w:type="paragraph" w:customStyle="1" w:styleId="KleinerText">
    <w:name w:val="Kleiner Text"/>
    <w:basedOn w:val="Standard"/>
    <w:rsid w:val="0029103A"/>
    <w:pPr>
      <w:widowControl/>
      <w:autoSpaceDE/>
      <w:autoSpaceDN/>
      <w:jc w:val="both"/>
    </w:pPr>
    <w:rPr>
      <w:rFonts w:ascii="Times" w:hAnsi="Times"/>
      <w:sz w:val="16"/>
      <w:szCs w:val="16"/>
      <w:lang w:eastAsia="de-DE"/>
    </w:rPr>
  </w:style>
  <w:style w:type="paragraph" w:customStyle="1" w:styleId="Glossar">
    <w:name w:val="Glossar"/>
    <w:basedOn w:val="Standard"/>
    <w:rsid w:val="0029103A"/>
    <w:pPr>
      <w:widowControl/>
      <w:autoSpaceDE/>
      <w:autoSpaceDN/>
      <w:spacing w:line="264" w:lineRule="auto"/>
      <w:jc w:val="both"/>
    </w:pPr>
    <w:rPr>
      <w:sz w:val="26"/>
      <w:szCs w:val="20"/>
      <w:lang w:eastAsia="de-DE"/>
    </w:rPr>
  </w:style>
  <w:style w:type="paragraph" w:customStyle="1" w:styleId="QuelleTabelle">
    <w:name w:val="Quelle(Tabelle)"/>
    <w:basedOn w:val="Quelle"/>
    <w:rsid w:val="0029103A"/>
    <w:pPr>
      <w:spacing w:before="60" w:after="120" w:line="240" w:lineRule="auto"/>
      <w:ind w:left="794" w:hanging="794"/>
      <w:jc w:val="left"/>
    </w:pPr>
    <w:rPr>
      <w:rFonts w:ascii="Tms Rmn" w:hAnsi="Tms Rmn"/>
      <w:i/>
      <w:sz w:val="22"/>
    </w:rPr>
  </w:style>
  <w:style w:type="paragraph" w:styleId="Textkrper2">
    <w:name w:val="Body Text 2"/>
    <w:basedOn w:val="Standard"/>
    <w:link w:val="Textkrper2Zchn"/>
    <w:rsid w:val="0029103A"/>
    <w:pPr>
      <w:widowControl/>
      <w:autoSpaceDE/>
      <w:autoSpaceDN/>
      <w:spacing w:before="20" w:after="20"/>
      <w:jc w:val="right"/>
    </w:pPr>
    <w:rPr>
      <w:rFonts w:ascii="Tms Rmn" w:hAnsi="Tms Rmn"/>
      <w:b/>
      <w:szCs w:val="20"/>
      <w:lang w:eastAsia="de-DE"/>
    </w:rPr>
  </w:style>
  <w:style w:type="character" w:customStyle="1" w:styleId="Textkrper2Zchn">
    <w:name w:val="Textkörper 2 Zchn"/>
    <w:basedOn w:val="Absatz-Standardschriftart"/>
    <w:link w:val="Textkrper2"/>
    <w:rsid w:val="0029103A"/>
    <w:rPr>
      <w:rFonts w:ascii="Tms Rmn" w:eastAsia="Times New Roman" w:hAnsi="Tms Rmn" w:cs="Times New Roman"/>
      <w:b/>
      <w:szCs w:val="20"/>
      <w:lang w:eastAsia="de-DE"/>
    </w:rPr>
  </w:style>
  <w:style w:type="paragraph" w:styleId="Titel">
    <w:name w:val="Title"/>
    <w:basedOn w:val="Standard"/>
    <w:next w:val="Standard"/>
    <w:link w:val="TitelZchn"/>
    <w:uiPriority w:val="10"/>
    <w:qFormat/>
    <w:rsid w:val="0029103A"/>
    <w:pPr>
      <w:widowControl/>
      <w:autoSpaceDE/>
      <w:autoSpaceDN/>
      <w:spacing w:before="240" w:after="60" w:line="360" w:lineRule="auto"/>
      <w:jc w:val="center"/>
      <w:outlineLvl w:val="0"/>
    </w:pPr>
    <w:rPr>
      <w:rFonts w:ascii="Cambria" w:hAnsi="Cambria"/>
      <w:b/>
      <w:bCs/>
      <w:kern w:val="28"/>
      <w:sz w:val="32"/>
      <w:szCs w:val="32"/>
      <w:lang w:bidi="en-US"/>
    </w:rPr>
  </w:style>
  <w:style w:type="character" w:customStyle="1" w:styleId="TitelZchn">
    <w:name w:val="Titel Zchn"/>
    <w:basedOn w:val="Absatz-Standardschriftart"/>
    <w:link w:val="Titel"/>
    <w:uiPriority w:val="10"/>
    <w:rsid w:val="0029103A"/>
    <w:rPr>
      <w:rFonts w:ascii="Cambria" w:eastAsia="Times New Roman" w:hAnsi="Cambria" w:cs="Times New Roman"/>
      <w:b/>
      <w:bCs/>
      <w:kern w:val="28"/>
      <w:sz w:val="32"/>
      <w:szCs w:val="32"/>
      <w:lang w:bidi="en-US"/>
    </w:rPr>
  </w:style>
  <w:style w:type="paragraph" w:styleId="Untertitel">
    <w:name w:val="Subtitle"/>
    <w:basedOn w:val="Standard"/>
    <w:next w:val="Standard"/>
    <w:link w:val="UntertitelZchn"/>
    <w:uiPriority w:val="11"/>
    <w:qFormat/>
    <w:rsid w:val="0029103A"/>
    <w:pPr>
      <w:widowControl/>
      <w:autoSpaceDE/>
      <w:autoSpaceDN/>
      <w:spacing w:after="60" w:line="360" w:lineRule="auto"/>
      <w:jc w:val="center"/>
      <w:outlineLvl w:val="1"/>
    </w:pPr>
    <w:rPr>
      <w:rFonts w:ascii="Cambria" w:hAnsi="Cambria"/>
      <w:sz w:val="24"/>
      <w:szCs w:val="24"/>
      <w:lang w:bidi="en-US"/>
    </w:rPr>
  </w:style>
  <w:style w:type="character" w:customStyle="1" w:styleId="UntertitelZchn">
    <w:name w:val="Untertitel Zchn"/>
    <w:basedOn w:val="Absatz-Standardschriftart"/>
    <w:link w:val="Untertitel"/>
    <w:uiPriority w:val="11"/>
    <w:rsid w:val="0029103A"/>
    <w:rPr>
      <w:rFonts w:ascii="Cambria" w:eastAsia="Times New Roman" w:hAnsi="Cambria" w:cs="Times New Roman"/>
      <w:sz w:val="24"/>
      <w:szCs w:val="24"/>
      <w:lang w:bidi="en-US"/>
    </w:rPr>
  </w:style>
  <w:style w:type="character" w:styleId="Fett">
    <w:name w:val="Strong"/>
    <w:uiPriority w:val="22"/>
    <w:qFormat/>
    <w:rsid w:val="0029103A"/>
    <w:rPr>
      <w:b/>
      <w:bCs/>
    </w:rPr>
  </w:style>
  <w:style w:type="paragraph" w:customStyle="1" w:styleId="KeinLeerraum1">
    <w:name w:val="Kein Leerraum1"/>
    <w:basedOn w:val="Standard"/>
    <w:uiPriority w:val="1"/>
    <w:qFormat/>
    <w:rsid w:val="0029103A"/>
    <w:pPr>
      <w:widowControl/>
      <w:autoSpaceDE/>
      <w:autoSpaceDN/>
      <w:spacing w:line="360" w:lineRule="auto"/>
      <w:jc w:val="both"/>
    </w:pPr>
    <w:rPr>
      <w:sz w:val="24"/>
      <w:szCs w:val="32"/>
      <w:lang w:bidi="en-US"/>
    </w:rPr>
  </w:style>
  <w:style w:type="character" w:customStyle="1" w:styleId="Buchtitel1">
    <w:name w:val="Buchtitel1"/>
    <w:uiPriority w:val="33"/>
    <w:qFormat/>
    <w:rsid w:val="0029103A"/>
    <w:rPr>
      <w:rFonts w:ascii="Cambria" w:eastAsia="Times New Roman" w:hAnsi="Cambria"/>
      <w:b/>
      <w:i/>
      <w:sz w:val="24"/>
      <w:szCs w:val="24"/>
    </w:rPr>
  </w:style>
  <w:style w:type="paragraph" w:customStyle="1" w:styleId="Formatvorlage1">
    <w:name w:val="Formatvorlage1"/>
    <w:basedOn w:val="berschrift1"/>
    <w:qFormat/>
    <w:rsid w:val="0029103A"/>
    <w:pPr>
      <w:keepNext/>
      <w:widowControl/>
      <w:autoSpaceDE/>
      <w:autoSpaceDN/>
      <w:spacing w:after="60"/>
      <w:jc w:val="both"/>
    </w:pPr>
    <w:rPr>
      <w:kern w:val="32"/>
      <w:szCs w:val="24"/>
      <w:lang w:bidi="en-US"/>
    </w:rPr>
  </w:style>
  <w:style w:type="paragraph" w:customStyle="1" w:styleId="KleinerTextohneAbstand">
    <w:name w:val="Kleiner Text(ohne Abstand)"/>
    <w:basedOn w:val="Standard"/>
    <w:rsid w:val="0029103A"/>
    <w:pPr>
      <w:widowControl/>
      <w:autoSpaceDE/>
      <w:autoSpaceDN/>
      <w:spacing w:before="60" w:after="60" w:line="240" w:lineRule="atLeast"/>
      <w:jc w:val="both"/>
    </w:pPr>
    <w:rPr>
      <w:szCs w:val="20"/>
      <w:lang w:eastAsia="de-DE"/>
    </w:rPr>
  </w:style>
  <w:style w:type="character" w:customStyle="1" w:styleId="StandardTextZchn">
    <w:name w:val="Standard Text Zchn"/>
    <w:rsid w:val="0029103A"/>
    <w:rPr>
      <w:rFonts w:ascii="Times New Roman" w:eastAsia="Times New Roman" w:hAnsi="Times New Roman"/>
      <w:sz w:val="26"/>
    </w:rPr>
  </w:style>
  <w:style w:type="paragraph" w:customStyle="1" w:styleId="Themenfeld">
    <w:name w:val="Themenfeld"/>
    <w:basedOn w:val="Standard"/>
    <w:qFormat/>
    <w:rsid w:val="0029103A"/>
    <w:pPr>
      <w:widowControl/>
      <w:autoSpaceDE/>
      <w:autoSpaceDN/>
      <w:spacing w:before="120" w:after="60" w:line="360" w:lineRule="auto"/>
      <w:jc w:val="both"/>
    </w:pPr>
    <w:rPr>
      <w:i/>
      <w:sz w:val="24"/>
      <w:szCs w:val="24"/>
      <w:lang w:bidi="en-US"/>
    </w:rPr>
  </w:style>
  <w:style w:type="paragraph" w:customStyle="1" w:styleId="Abbildung">
    <w:name w:val="Abbildung"/>
    <w:basedOn w:val="Quelle"/>
    <w:link w:val="AbbildungZchn"/>
    <w:rsid w:val="0029103A"/>
    <w:pPr>
      <w:spacing w:after="120" w:line="240" w:lineRule="auto"/>
      <w:ind w:left="0" w:firstLine="0"/>
      <w:jc w:val="center"/>
    </w:pPr>
    <w:rPr>
      <w:i/>
      <w:sz w:val="24"/>
    </w:rPr>
  </w:style>
  <w:style w:type="character" w:customStyle="1" w:styleId="AbbildungZchn">
    <w:name w:val="Abbildung Zchn"/>
    <w:link w:val="Abbildung"/>
    <w:rsid w:val="0029103A"/>
    <w:rPr>
      <w:rFonts w:ascii="Times New Roman" w:eastAsia="Times New Roman" w:hAnsi="Times New Roman" w:cs="Times New Roman"/>
      <w:i/>
      <w:sz w:val="24"/>
      <w:szCs w:val="20"/>
      <w:lang w:eastAsia="de-DE"/>
    </w:rPr>
  </w:style>
  <w:style w:type="paragraph" w:customStyle="1" w:styleId="BuchQuelle">
    <w:name w:val="Buch_Quelle"/>
    <w:basedOn w:val="Standard"/>
    <w:link w:val="BuchQuelleZchnZchn"/>
    <w:autoRedefine/>
    <w:rsid w:val="0029103A"/>
    <w:pPr>
      <w:keepNext/>
      <w:widowControl/>
      <w:autoSpaceDE/>
      <w:autoSpaceDN/>
      <w:spacing w:before="120" w:after="240"/>
      <w:ind w:left="709" w:hanging="709"/>
    </w:pPr>
    <w:rPr>
      <w:sz w:val="18"/>
      <w:szCs w:val="20"/>
      <w:lang w:eastAsia="de-DE"/>
    </w:rPr>
  </w:style>
  <w:style w:type="character" w:customStyle="1" w:styleId="BuchQuelleZchnZchn">
    <w:name w:val="Buch_Quelle Zchn Zchn"/>
    <w:link w:val="BuchQuelle"/>
    <w:rsid w:val="0029103A"/>
    <w:rPr>
      <w:rFonts w:ascii="Times New Roman" w:eastAsia="Times New Roman" w:hAnsi="Times New Roman" w:cs="Times New Roman"/>
      <w:sz w:val="18"/>
      <w:szCs w:val="20"/>
      <w:lang w:eastAsia="de-DE"/>
    </w:rPr>
  </w:style>
  <w:style w:type="paragraph" w:customStyle="1" w:styleId="BuchTextkrper">
    <w:name w:val="Buch_Textkörper"/>
    <w:basedOn w:val="Standard"/>
    <w:link w:val="BuchTextkrperZchnZchn"/>
    <w:rsid w:val="0029103A"/>
    <w:pPr>
      <w:widowControl/>
      <w:autoSpaceDE/>
      <w:autoSpaceDN/>
      <w:spacing w:before="120" w:after="240" w:line="264" w:lineRule="auto"/>
      <w:jc w:val="both"/>
    </w:pPr>
    <w:rPr>
      <w:sz w:val="26"/>
      <w:szCs w:val="20"/>
      <w:lang w:eastAsia="de-DE"/>
    </w:rPr>
  </w:style>
  <w:style w:type="character" w:customStyle="1" w:styleId="BuchTextkrperZchnZchn">
    <w:name w:val="Buch_Textkörper Zchn Zchn"/>
    <w:link w:val="BuchTextkrper"/>
    <w:rsid w:val="0029103A"/>
    <w:rPr>
      <w:rFonts w:ascii="Times New Roman" w:eastAsia="Times New Roman" w:hAnsi="Times New Roman" w:cs="Times New Roman"/>
      <w:sz w:val="26"/>
      <w:szCs w:val="20"/>
      <w:lang w:eastAsia="de-DE"/>
    </w:rPr>
  </w:style>
  <w:style w:type="paragraph" w:styleId="Aufzhlungszeichen">
    <w:name w:val="List Bullet"/>
    <w:basedOn w:val="Standard"/>
    <w:rsid w:val="0029103A"/>
    <w:pPr>
      <w:widowControl/>
      <w:tabs>
        <w:tab w:val="num" w:pos="502"/>
      </w:tabs>
      <w:autoSpaceDE/>
      <w:autoSpaceDN/>
      <w:spacing w:line="480" w:lineRule="auto"/>
      <w:ind w:left="502" w:hanging="360"/>
      <w:jc w:val="both"/>
    </w:pPr>
    <w:rPr>
      <w:sz w:val="26"/>
      <w:szCs w:val="20"/>
      <w:lang w:eastAsia="de-DE"/>
    </w:rPr>
  </w:style>
  <w:style w:type="paragraph" w:customStyle="1" w:styleId="BuchAufzhlungszeichen">
    <w:name w:val="Buch_Aufzählungszeichen"/>
    <w:basedOn w:val="Aufzhlungszeichen"/>
    <w:link w:val="BuchAufzhlungszeichenZchn"/>
    <w:rsid w:val="0029103A"/>
    <w:pPr>
      <w:tabs>
        <w:tab w:val="clear" w:pos="502"/>
      </w:tabs>
      <w:spacing w:line="264" w:lineRule="auto"/>
      <w:ind w:left="357" w:hanging="357"/>
    </w:pPr>
  </w:style>
  <w:style w:type="character" w:customStyle="1" w:styleId="BuchAufzhlungszeichenZchn">
    <w:name w:val="Buch_Aufzählungszeichen Zchn"/>
    <w:link w:val="BuchAufzhlungszeichen"/>
    <w:rsid w:val="0029103A"/>
    <w:rPr>
      <w:rFonts w:ascii="Times New Roman" w:eastAsia="Times New Roman" w:hAnsi="Times New Roman" w:cs="Times New Roman"/>
      <w:sz w:val="26"/>
      <w:szCs w:val="20"/>
      <w:lang w:eastAsia="de-DE"/>
    </w:rPr>
  </w:style>
  <w:style w:type="paragraph" w:customStyle="1" w:styleId="BuchTextkrpervorAufzhlung">
    <w:name w:val="Buch_Textkörper (vor Aufzählung)"/>
    <w:basedOn w:val="Standard"/>
    <w:qFormat/>
    <w:rsid w:val="0029103A"/>
    <w:pPr>
      <w:widowControl/>
      <w:autoSpaceDE/>
      <w:autoSpaceDN/>
      <w:spacing w:before="240" w:line="264" w:lineRule="auto"/>
      <w:jc w:val="both"/>
    </w:pPr>
    <w:rPr>
      <w:sz w:val="26"/>
      <w:szCs w:val="20"/>
      <w:lang w:eastAsia="de-DE"/>
    </w:rPr>
  </w:style>
  <w:style w:type="paragraph" w:customStyle="1" w:styleId="BuchAufzhlungszeichenletzte">
    <w:name w:val="Buch_Aufzählungszeichen (letzte)"/>
    <w:basedOn w:val="BuchAufzhlungszeichen"/>
    <w:link w:val="BuchAufzhlungszeichenletzteZchn"/>
    <w:qFormat/>
    <w:rsid w:val="0029103A"/>
    <w:pPr>
      <w:spacing w:after="240"/>
    </w:pPr>
  </w:style>
  <w:style w:type="character" w:customStyle="1" w:styleId="BuchAufzhlungszeichenletzteZchn">
    <w:name w:val="Buch_Aufzählungszeichen (letzte) Zchn"/>
    <w:link w:val="BuchAufzhlungszeichenletzte"/>
    <w:rsid w:val="0029103A"/>
    <w:rPr>
      <w:rFonts w:ascii="Times New Roman" w:eastAsia="Times New Roman" w:hAnsi="Times New Roman" w:cs="Times New Roman"/>
      <w:sz w:val="26"/>
      <w:szCs w:val="20"/>
      <w:lang w:eastAsia="de-DE"/>
    </w:rPr>
  </w:style>
  <w:style w:type="paragraph" w:customStyle="1" w:styleId="StandardTexteingerckt">
    <w:name w:val="Standard Text eingerückt"/>
    <w:basedOn w:val="StandardText"/>
    <w:link w:val="StandardTexteingercktZchn"/>
    <w:autoRedefine/>
    <w:rsid w:val="0029103A"/>
    <w:pPr>
      <w:spacing w:before="0" w:line="360" w:lineRule="auto"/>
    </w:pPr>
    <w:rPr>
      <w:sz w:val="26"/>
    </w:rPr>
  </w:style>
  <w:style w:type="character" w:customStyle="1" w:styleId="StandardTexteingercktZchn">
    <w:name w:val="Standard Text eingerückt Zchn"/>
    <w:link w:val="StandardTexteingerckt"/>
    <w:rsid w:val="0029103A"/>
    <w:rPr>
      <w:rFonts w:ascii="Times New Roman" w:eastAsia="Times New Roman" w:hAnsi="Times New Roman" w:cs="Times New Roman"/>
      <w:sz w:val="26"/>
      <w:szCs w:val="20"/>
      <w:lang w:eastAsia="de-DE"/>
    </w:rPr>
  </w:style>
  <w:style w:type="paragraph" w:customStyle="1" w:styleId="berschriftklein">
    <w:name w:val="Überschrift&quot;klein&quot;"/>
    <w:basedOn w:val="Standard"/>
    <w:rsid w:val="0029103A"/>
    <w:pPr>
      <w:widowControl/>
      <w:autoSpaceDE/>
      <w:autoSpaceDN/>
      <w:spacing w:before="120" w:after="120" w:line="264" w:lineRule="auto"/>
      <w:jc w:val="both"/>
    </w:pPr>
    <w:rPr>
      <w:i/>
      <w:iCs/>
      <w:sz w:val="20"/>
      <w:szCs w:val="20"/>
      <w:lang w:eastAsia="de-DE"/>
    </w:rPr>
  </w:style>
  <w:style w:type="paragraph" w:styleId="Zitat">
    <w:name w:val="Quote"/>
    <w:basedOn w:val="Standard"/>
    <w:next w:val="Standard"/>
    <w:link w:val="ZitatZchn"/>
    <w:qFormat/>
    <w:rsid w:val="0029103A"/>
    <w:pPr>
      <w:widowControl/>
      <w:autoSpaceDE/>
      <w:autoSpaceDN/>
      <w:spacing w:line="360" w:lineRule="auto"/>
      <w:jc w:val="both"/>
    </w:pPr>
    <w:rPr>
      <w:i/>
      <w:iCs/>
      <w:color w:val="000000"/>
      <w:sz w:val="24"/>
      <w:szCs w:val="24"/>
      <w:lang w:bidi="en-US"/>
    </w:rPr>
  </w:style>
  <w:style w:type="character" w:customStyle="1" w:styleId="ZitatZchn">
    <w:name w:val="Zitat Zchn"/>
    <w:basedOn w:val="Absatz-Standardschriftart"/>
    <w:link w:val="Zitat"/>
    <w:rsid w:val="0029103A"/>
    <w:rPr>
      <w:rFonts w:ascii="Times New Roman" w:eastAsia="Times New Roman" w:hAnsi="Times New Roman" w:cs="Times New Roman"/>
      <w:i/>
      <w:iCs/>
      <w:color w:val="000000"/>
      <w:sz w:val="24"/>
      <w:szCs w:val="24"/>
      <w:lang w:bidi="en-US"/>
    </w:rPr>
  </w:style>
  <w:style w:type="paragraph" w:customStyle="1" w:styleId="TabelleFett">
    <w:name w:val="Tabelle + Fett"/>
    <w:basedOn w:val="Standard"/>
    <w:link w:val="TabelleFettChar"/>
    <w:rsid w:val="0029103A"/>
    <w:pPr>
      <w:widowControl/>
      <w:autoSpaceDE/>
      <w:autoSpaceDN/>
      <w:spacing w:before="120" w:after="120" w:line="264" w:lineRule="auto"/>
      <w:ind w:left="57"/>
      <w:jc w:val="center"/>
    </w:pPr>
    <w:rPr>
      <w:rFonts w:ascii="Arial" w:hAnsi="Arial"/>
      <w:b/>
      <w:bCs/>
      <w:sz w:val="18"/>
      <w:szCs w:val="20"/>
      <w:lang w:eastAsia="de-DE"/>
    </w:rPr>
  </w:style>
  <w:style w:type="character" w:customStyle="1" w:styleId="TabelleFettChar">
    <w:name w:val="Tabelle + Fett Char"/>
    <w:link w:val="TabelleFett"/>
    <w:rsid w:val="0029103A"/>
    <w:rPr>
      <w:rFonts w:ascii="Arial" w:eastAsia="Times New Roman" w:hAnsi="Arial" w:cs="Times New Roman"/>
      <w:b/>
      <w:bCs/>
      <w:sz w:val="18"/>
      <w:szCs w:val="20"/>
      <w:lang w:eastAsia="de-DE"/>
    </w:rPr>
  </w:style>
  <w:style w:type="paragraph" w:customStyle="1" w:styleId="Tabellelinksfett">
    <w:name w:val="Tabelle + links/fett"/>
    <w:basedOn w:val="TabelleFett"/>
    <w:rsid w:val="0029103A"/>
    <w:pPr>
      <w:keepNext/>
      <w:jc w:val="left"/>
    </w:pPr>
  </w:style>
  <w:style w:type="paragraph" w:customStyle="1" w:styleId="Beitragstitel">
    <w:name w:val="Beitragstitel"/>
    <w:basedOn w:val="Standard"/>
    <w:rsid w:val="0029103A"/>
    <w:pPr>
      <w:widowControl/>
      <w:autoSpaceDE/>
      <w:autoSpaceDN/>
      <w:spacing w:after="240"/>
    </w:pPr>
    <w:rPr>
      <w:rFonts w:ascii="Arial" w:hAnsi="Arial"/>
      <w:b/>
      <w:sz w:val="28"/>
      <w:szCs w:val="24"/>
      <w:lang w:eastAsia="de-DE"/>
    </w:rPr>
  </w:style>
  <w:style w:type="paragraph" w:customStyle="1" w:styleId="Autoren">
    <w:name w:val="Autoren"/>
    <w:basedOn w:val="Standard"/>
    <w:rsid w:val="0029103A"/>
    <w:pPr>
      <w:widowControl/>
      <w:autoSpaceDE/>
      <w:autoSpaceDN/>
    </w:pPr>
    <w:rPr>
      <w:rFonts w:ascii="Arial" w:hAnsi="Arial"/>
      <w:sz w:val="24"/>
      <w:szCs w:val="24"/>
      <w:lang w:eastAsia="de-DE"/>
    </w:rPr>
  </w:style>
  <w:style w:type="paragraph" w:styleId="Textkrper">
    <w:name w:val="Body Text"/>
    <w:basedOn w:val="Standard"/>
    <w:link w:val="TextkrperZchn"/>
    <w:rsid w:val="0029103A"/>
    <w:pPr>
      <w:widowControl/>
      <w:autoSpaceDE/>
      <w:autoSpaceDN/>
      <w:spacing w:line="360" w:lineRule="auto"/>
      <w:jc w:val="both"/>
    </w:pPr>
    <w:rPr>
      <w:sz w:val="24"/>
      <w:szCs w:val="24"/>
      <w:lang w:eastAsia="de-DE"/>
    </w:rPr>
  </w:style>
  <w:style w:type="character" w:customStyle="1" w:styleId="TextkrperZchn">
    <w:name w:val="Textkörper Zchn"/>
    <w:basedOn w:val="Absatz-Standardschriftart"/>
    <w:link w:val="Textkrper"/>
    <w:rsid w:val="0029103A"/>
    <w:rPr>
      <w:rFonts w:ascii="Times New Roman" w:eastAsia="Times New Roman" w:hAnsi="Times New Roman" w:cs="Times New Roman"/>
      <w:sz w:val="24"/>
      <w:szCs w:val="24"/>
      <w:lang w:eastAsia="de-DE"/>
    </w:rPr>
  </w:style>
  <w:style w:type="paragraph" w:customStyle="1" w:styleId="Beitragstitel-Ergnzung">
    <w:name w:val="Beitragstitel - Ergänzung"/>
    <w:basedOn w:val="Beitragstitel"/>
    <w:rsid w:val="0029103A"/>
    <w:rPr>
      <w:sz w:val="24"/>
    </w:rPr>
  </w:style>
  <w:style w:type="paragraph" w:styleId="Dokumentstruktur">
    <w:name w:val="Document Map"/>
    <w:basedOn w:val="Standard"/>
    <w:link w:val="DokumentstrukturZchn"/>
    <w:rsid w:val="0029103A"/>
    <w:pPr>
      <w:widowControl/>
      <w:shd w:val="clear" w:color="auto" w:fill="000080"/>
      <w:autoSpaceDE/>
      <w:autoSpaceDN/>
    </w:pPr>
    <w:rPr>
      <w:rFonts w:ascii="Tahoma" w:hAnsi="Tahoma" w:cs="Tahoma"/>
      <w:sz w:val="20"/>
      <w:szCs w:val="20"/>
      <w:lang w:eastAsia="de-DE"/>
    </w:rPr>
  </w:style>
  <w:style w:type="character" w:customStyle="1" w:styleId="DokumentstrukturZchn">
    <w:name w:val="Dokumentstruktur Zchn"/>
    <w:basedOn w:val="Absatz-Standardschriftart"/>
    <w:link w:val="Dokumentstruktur"/>
    <w:rsid w:val="0029103A"/>
    <w:rPr>
      <w:rFonts w:ascii="Tahoma" w:eastAsia="Times New Roman" w:hAnsi="Tahoma" w:cs="Tahoma"/>
      <w:sz w:val="20"/>
      <w:szCs w:val="20"/>
      <w:shd w:val="clear" w:color="auto" w:fill="000080"/>
      <w:lang w:eastAsia="de-DE"/>
    </w:rPr>
  </w:style>
  <w:style w:type="paragraph" w:customStyle="1" w:styleId="Abstract">
    <w:name w:val="Abstract"/>
    <w:basedOn w:val="Textkrper"/>
    <w:rsid w:val="0029103A"/>
    <w:rPr>
      <w:b/>
    </w:rPr>
  </w:style>
  <w:style w:type="paragraph" w:customStyle="1" w:styleId="Zusatzberschrift">
    <w:name w:val="Zusatzüberschrift"/>
    <w:basedOn w:val="Textkrper"/>
    <w:rsid w:val="0029103A"/>
    <w:rPr>
      <w:rFonts w:ascii="Arial" w:hAnsi="Arial"/>
      <w:b/>
    </w:rPr>
  </w:style>
  <w:style w:type="paragraph" w:customStyle="1" w:styleId="FormatvorlageLiteraturLinks0cmHngend076cmVor12pt">
    <w:name w:val="Formatvorlage Literatur + Links:  0 cm Hängend:  076 cm Vor:  12 pt"/>
    <w:basedOn w:val="Literatur"/>
    <w:rsid w:val="0029103A"/>
    <w:pPr>
      <w:numPr>
        <w:numId w:val="0"/>
      </w:numPr>
      <w:tabs>
        <w:tab w:val="clear" w:pos="284"/>
      </w:tabs>
      <w:spacing w:before="100" w:line="240" w:lineRule="auto"/>
      <w:ind w:left="431" w:hanging="431"/>
      <w:jc w:val="left"/>
    </w:pPr>
    <w:rPr>
      <w:rFonts w:ascii="Times New (W1)" w:hAnsi="Times New (W1)"/>
      <w:bCs w:val="0"/>
      <w:sz w:val="24"/>
    </w:rPr>
  </w:style>
  <w:style w:type="paragraph" w:customStyle="1" w:styleId="zweiterAbsatz">
    <w:name w:val="zweiter Absatz"/>
    <w:basedOn w:val="Standard"/>
    <w:link w:val="zweiterAbsatzZchn"/>
    <w:rsid w:val="0029103A"/>
    <w:pPr>
      <w:widowControl/>
      <w:autoSpaceDE/>
      <w:autoSpaceDN/>
      <w:spacing w:line="360" w:lineRule="auto"/>
      <w:ind w:firstLine="397"/>
      <w:jc w:val="both"/>
    </w:pPr>
    <w:rPr>
      <w:rFonts w:ascii="Times New (W1)" w:hAnsi="Times New (W1)"/>
      <w:bCs/>
      <w:color w:val="000000"/>
      <w:sz w:val="24"/>
      <w:szCs w:val="24"/>
      <w:lang w:eastAsia="de-DE"/>
    </w:rPr>
  </w:style>
  <w:style w:type="character" w:customStyle="1" w:styleId="zweiterAbsatzZchn">
    <w:name w:val="zweiter Absatz Zchn"/>
    <w:link w:val="zweiterAbsatz"/>
    <w:rsid w:val="0029103A"/>
    <w:rPr>
      <w:rFonts w:ascii="Times New (W1)" w:eastAsia="Times New Roman" w:hAnsi="Times New (W1)" w:cs="Times New Roman"/>
      <w:bCs/>
      <w:color w:val="000000"/>
      <w:sz w:val="24"/>
      <w:szCs w:val="24"/>
      <w:lang w:eastAsia="de-DE"/>
    </w:rPr>
  </w:style>
  <w:style w:type="paragraph" w:customStyle="1" w:styleId="1Aufzhlung">
    <w:name w:val="1) Aufzählung"/>
    <w:basedOn w:val="Standard"/>
    <w:rsid w:val="0029103A"/>
    <w:pPr>
      <w:widowControl/>
      <w:autoSpaceDE/>
      <w:autoSpaceDN/>
      <w:spacing w:line="360" w:lineRule="auto"/>
      <w:ind w:left="426" w:hanging="426"/>
      <w:jc w:val="both"/>
    </w:pPr>
    <w:rPr>
      <w:rFonts w:ascii="Times New (W1)" w:hAnsi="Times New (W1)"/>
      <w:sz w:val="24"/>
      <w:szCs w:val="24"/>
      <w:lang w:eastAsia="de-DE"/>
    </w:rPr>
  </w:style>
  <w:style w:type="paragraph" w:customStyle="1" w:styleId="ersterAbsatz">
    <w:name w:val="erster Absatz"/>
    <w:basedOn w:val="Standard"/>
    <w:link w:val="ersterAbsatzZchn"/>
    <w:rsid w:val="0029103A"/>
    <w:pPr>
      <w:widowControl/>
      <w:autoSpaceDE/>
      <w:autoSpaceDN/>
      <w:spacing w:line="360" w:lineRule="auto"/>
      <w:jc w:val="both"/>
    </w:pPr>
    <w:rPr>
      <w:rFonts w:ascii="Times New (W1)" w:hAnsi="Times New (W1)"/>
      <w:bCs/>
      <w:color w:val="000000"/>
      <w:sz w:val="24"/>
      <w:szCs w:val="24"/>
      <w:lang w:eastAsia="de-DE"/>
    </w:rPr>
  </w:style>
  <w:style w:type="character" w:customStyle="1" w:styleId="ersterAbsatzZchn">
    <w:name w:val="erster Absatz Zchn"/>
    <w:link w:val="ersterAbsatz"/>
    <w:rsid w:val="0029103A"/>
    <w:rPr>
      <w:rFonts w:ascii="Times New (W1)" w:eastAsia="Times New Roman" w:hAnsi="Times New (W1)" w:cs="Times New Roman"/>
      <w:bCs/>
      <w:color w:val="000000"/>
      <w:sz w:val="24"/>
      <w:szCs w:val="24"/>
      <w:lang w:eastAsia="de-DE"/>
    </w:rPr>
  </w:style>
  <w:style w:type="paragraph" w:customStyle="1" w:styleId="Aufzhlung">
    <w:name w:val="Aufzählung"/>
    <w:basedOn w:val="Standard"/>
    <w:rsid w:val="0029103A"/>
    <w:pPr>
      <w:widowControl/>
      <w:autoSpaceDE/>
      <w:autoSpaceDN/>
      <w:spacing w:before="120" w:after="120" w:line="264" w:lineRule="auto"/>
      <w:ind w:left="284" w:hanging="284"/>
      <w:jc w:val="both"/>
    </w:pPr>
    <w:rPr>
      <w:sz w:val="26"/>
      <w:szCs w:val="20"/>
      <w:lang w:eastAsia="de-DE"/>
    </w:rPr>
  </w:style>
  <w:style w:type="paragraph" w:customStyle="1" w:styleId="Titelberschrift">
    <w:name w:val="Titel Überschrift"/>
    <w:basedOn w:val="Titel"/>
    <w:link w:val="TitelberschriftZchn"/>
    <w:qFormat/>
    <w:rsid w:val="0029103A"/>
    <w:pPr>
      <w:jc w:val="left"/>
    </w:pPr>
    <w:rPr>
      <w:rFonts w:ascii="Times New Roman" w:hAnsi="Times New Roman"/>
      <w:sz w:val="24"/>
      <w:szCs w:val="28"/>
    </w:rPr>
  </w:style>
  <w:style w:type="character" w:customStyle="1" w:styleId="TitelberschriftZchn">
    <w:name w:val="Titel Überschrift Zchn"/>
    <w:link w:val="Titelberschrift"/>
    <w:rsid w:val="0029103A"/>
    <w:rPr>
      <w:rFonts w:ascii="Times New Roman" w:eastAsia="Times New Roman" w:hAnsi="Times New Roman" w:cs="Times New Roman"/>
      <w:b/>
      <w:bCs/>
      <w:kern w:val="28"/>
      <w:sz w:val="24"/>
      <w:szCs w:val="28"/>
      <w:lang w:bidi="en-US"/>
    </w:rPr>
  </w:style>
  <w:style w:type="numbering" w:customStyle="1" w:styleId="Formatvorlage2">
    <w:name w:val="Formatvorlage2"/>
    <w:rsid w:val="0029103A"/>
    <w:pPr>
      <w:numPr>
        <w:numId w:val="75"/>
      </w:numPr>
    </w:pPr>
  </w:style>
  <w:style w:type="character" w:customStyle="1" w:styleId="berschriftKursiv">
    <w:name w:val="Überschrift Kursiv"/>
    <w:rsid w:val="0029103A"/>
    <w:rPr>
      <w:rFonts w:ascii="Times New Roman" w:eastAsia="Times New Roman" w:hAnsi="Times New Roman"/>
      <w:i/>
      <w:sz w:val="24"/>
    </w:rPr>
  </w:style>
  <w:style w:type="paragraph" w:customStyle="1" w:styleId="Kopfzeil">
    <w:name w:val="Kopfzeil"/>
    <w:basedOn w:val="Standard"/>
    <w:rsid w:val="0029103A"/>
    <w:pPr>
      <w:widowControl/>
      <w:autoSpaceDE/>
      <w:autoSpaceDN/>
      <w:spacing w:after="360" w:line="264" w:lineRule="auto"/>
      <w:jc w:val="center"/>
    </w:pPr>
    <w:rPr>
      <w:rFonts w:ascii="Times" w:hAnsi="Times"/>
      <w:i/>
      <w:szCs w:val="20"/>
      <w:lang w:eastAsia="de-DE"/>
    </w:rPr>
  </w:style>
  <w:style w:type="paragraph" w:customStyle="1" w:styleId="Seitenzah">
    <w:name w:val="Seitenzah"/>
    <w:basedOn w:val="Standard"/>
    <w:rsid w:val="0029103A"/>
    <w:pPr>
      <w:framePr w:wrap="around" w:vAnchor="text" w:hAnchor="page" w:x="1357" w:y="1"/>
      <w:widowControl/>
      <w:autoSpaceDE/>
      <w:autoSpaceDN/>
      <w:spacing w:line="264" w:lineRule="auto"/>
      <w:ind w:left="284" w:right="357" w:hanging="284"/>
      <w:jc w:val="both"/>
    </w:pPr>
    <w:rPr>
      <w:rFonts w:ascii="Times" w:hAnsi="Times"/>
      <w:sz w:val="24"/>
      <w:szCs w:val="20"/>
      <w:lang w:eastAsia="de-DE"/>
    </w:rPr>
  </w:style>
  <w:style w:type="paragraph" w:customStyle="1" w:styleId="TabelleBuchPunkt">
    <w:name w:val="Tabelle Buch Punkt"/>
    <w:basedOn w:val="TabelleBuch"/>
    <w:rsid w:val="0029103A"/>
    <w:pPr>
      <w:spacing w:before="0" w:after="0"/>
      <w:jc w:val="left"/>
    </w:pPr>
  </w:style>
  <w:style w:type="paragraph" w:customStyle="1" w:styleId="Anmerkung">
    <w:name w:val="Anmerkung"/>
    <w:basedOn w:val="Standard"/>
    <w:rsid w:val="0029103A"/>
    <w:pPr>
      <w:framePr w:h="0" w:hSpace="141" w:wrap="around" w:vAnchor="text" w:hAnchor="text"/>
      <w:widowControl/>
      <w:autoSpaceDE/>
      <w:autoSpaceDN/>
      <w:spacing w:before="120" w:line="360" w:lineRule="auto"/>
      <w:ind w:left="2410" w:hanging="1418"/>
    </w:pPr>
    <w:rPr>
      <w:rFonts w:ascii="Helv" w:hAnsi="Helv"/>
      <w:i/>
      <w:sz w:val="20"/>
      <w:szCs w:val="20"/>
      <w:lang w:eastAsia="de-DE"/>
    </w:rPr>
  </w:style>
  <w:style w:type="paragraph" w:customStyle="1" w:styleId="Punktklein">
    <w:name w:val="Punkt klein"/>
    <w:basedOn w:val="Punkt"/>
    <w:rsid w:val="0029103A"/>
    <w:pPr>
      <w:numPr>
        <w:numId w:val="76"/>
      </w:numPr>
      <w:tabs>
        <w:tab w:val="clear" w:pos="170"/>
        <w:tab w:val="clear" w:pos="284"/>
        <w:tab w:val="left" w:pos="0"/>
        <w:tab w:val="left" w:pos="8364"/>
      </w:tabs>
      <w:spacing w:before="60" w:line="360" w:lineRule="auto"/>
      <w:ind w:left="0" w:firstLine="0"/>
      <w:jc w:val="center"/>
    </w:pPr>
    <w:rPr>
      <w:bCs/>
      <w:i/>
      <w:sz w:val="16"/>
      <w:szCs w:val="16"/>
      <w:lang w:eastAsia="en-US" w:bidi="en-US"/>
    </w:rPr>
  </w:style>
  <w:style w:type="paragraph" w:styleId="Indexberschrift">
    <w:name w:val="index heading"/>
    <w:basedOn w:val="Standard"/>
    <w:next w:val="Index1"/>
    <w:rsid w:val="0029103A"/>
    <w:pPr>
      <w:widowControl/>
      <w:autoSpaceDE/>
      <w:autoSpaceDN/>
      <w:spacing w:line="264" w:lineRule="auto"/>
      <w:jc w:val="both"/>
    </w:pPr>
    <w:rPr>
      <w:sz w:val="20"/>
      <w:szCs w:val="20"/>
      <w:lang w:eastAsia="de-DE"/>
    </w:rPr>
  </w:style>
  <w:style w:type="paragraph" w:customStyle="1" w:styleId="BulletItem">
    <w:name w:val="Bullet Item"/>
    <w:basedOn w:val="Standard"/>
    <w:rsid w:val="0029103A"/>
    <w:pPr>
      <w:widowControl/>
      <w:tabs>
        <w:tab w:val="num" w:pos="360"/>
      </w:tabs>
      <w:autoSpaceDE/>
      <w:autoSpaceDN/>
      <w:spacing w:line="264" w:lineRule="auto"/>
      <w:jc w:val="both"/>
    </w:pPr>
    <w:rPr>
      <w:sz w:val="26"/>
      <w:szCs w:val="20"/>
      <w:lang w:eastAsia="de-DE"/>
    </w:rPr>
  </w:style>
  <w:style w:type="character" w:styleId="BesuchterLink">
    <w:name w:val="FollowedHyperlink"/>
    <w:rsid w:val="0029103A"/>
    <w:rPr>
      <w:color w:val="800080"/>
      <w:u w:val="single"/>
    </w:rPr>
  </w:style>
  <w:style w:type="character" w:styleId="Seitenzahl">
    <w:name w:val="page number"/>
    <w:basedOn w:val="Absatz-Standardschriftart"/>
    <w:rsid w:val="0029103A"/>
  </w:style>
  <w:style w:type="paragraph" w:customStyle="1" w:styleId="1AufzhlungPunkt">
    <w:name w:val="1) Aufzählung/Punkt"/>
    <w:basedOn w:val="1Aufzhlung"/>
    <w:rsid w:val="0029103A"/>
    <w:pPr>
      <w:tabs>
        <w:tab w:val="num" w:pos="1364"/>
      </w:tabs>
      <w:spacing w:line="264" w:lineRule="auto"/>
      <w:ind w:left="709" w:firstLine="76"/>
    </w:pPr>
    <w:rPr>
      <w:rFonts w:ascii="Times New Roman" w:hAnsi="Times New Roman"/>
      <w:sz w:val="26"/>
      <w:szCs w:val="20"/>
    </w:rPr>
  </w:style>
  <w:style w:type="paragraph" w:styleId="Aufzhlungszeichen2">
    <w:name w:val="List Bullet 2"/>
    <w:basedOn w:val="Standard"/>
    <w:autoRedefine/>
    <w:rsid w:val="0029103A"/>
    <w:pPr>
      <w:widowControl/>
      <w:tabs>
        <w:tab w:val="num" w:pos="704"/>
      </w:tabs>
      <w:autoSpaceDE/>
      <w:autoSpaceDN/>
      <w:spacing w:line="264" w:lineRule="auto"/>
      <w:ind w:left="704" w:hanging="420"/>
      <w:jc w:val="both"/>
    </w:pPr>
    <w:rPr>
      <w:sz w:val="26"/>
      <w:szCs w:val="20"/>
      <w:lang w:eastAsia="de-DE"/>
    </w:rPr>
  </w:style>
  <w:style w:type="paragraph" w:styleId="Aufzhlungszeichen3">
    <w:name w:val="List Bullet 3"/>
    <w:basedOn w:val="Standard"/>
    <w:autoRedefine/>
    <w:rsid w:val="0029103A"/>
    <w:pPr>
      <w:widowControl/>
      <w:tabs>
        <w:tab w:val="num" w:pos="432"/>
      </w:tabs>
      <w:autoSpaceDE/>
      <w:autoSpaceDN/>
      <w:spacing w:line="264" w:lineRule="auto"/>
      <w:ind w:left="432" w:hanging="432"/>
      <w:jc w:val="both"/>
    </w:pPr>
    <w:rPr>
      <w:sz w:val="26"/>
      <w:szCs w:val="20"/>
      <w:lang w:eastAsia="de-DE"/>
    </w:rPr>
  </w:style>
  <w:style w:type="paragraph" w:styleId="Aufzhlungszeichen4">
    <w:name w:val="List Bullet 4"/>
    <w:basedOn w:val="Standard"/>
    <w:autoRedefine/>
    <w:rsid w:val="0029103A"/>
    <w:pPr>
      <w:widowControl/>
      <w:tabs>
        <w:tab w:val="num" w:pos="0"/>
      </w:tabs>
      <w:autoSpaceDE/>
      <w:autoSpaceDN/>
      <w:spacing w:line="264" w:lineRule="auto"/>
      <w:ind w:hanging="360"/>
      <w:jc w:val="both"/>
    </w:pPr>
    <w:rPr>
      <w:sz w:val="26"/>
      <w:szCs w:val="20"/>
      <w:lang w:eastAsia="de-DE"/>
    </w:rPr>
  </w:style>
  <w:style w:type="paragraph" w:styleId="Aufzhlungszeichen5">
    <w:name w:val="List Bullet 5"/>
    <w:basedOn w:val="Standard"/>
    <w:autoRedefine/>
    <w:rsid w:val="0029103A"/>
    <w:pPr>
      <w:widowControl/>
      <w:tabs>
        <w:tab w:val="num" w:pos="360"/>
      </w:tabs>
      <w:autoSpaceDE/>
      <w:autoSpaceDN/>
      <w:spacing w:line="264" w:lineRule="auto"/>
      <w:ind w:left="360" w:hanging="360"/>
      <w:jc w:val="both"/>
    </w:pPr>
    <w:rPr>
      <w:sz w:val="26"/>
      <w:szCs w:val="20"/>
      <w:lang w:eastAsia="de-DE"/>
    </w:rPr>
  </w:style>
  <w:style w:type="paragraph" w:customStyle="1" w:styleId="Anstrich">
    <w:name w:val="Anstrich"/>
    <w:basedOn w:val="Punkt"/>
    <w:rsid w:val="0029103A"/>
    <w:pPr>
      <w:numPr>
        <w:numId w:val="0"/>
      </w:numPr>
      <w:tabs>
        <w:tab w:val="clear" w:pos="170"/>
        <w:tab w:val="num" w:pos="0"/>
        <w:tab w:val="left" w:pos="8364"/>
      </w:tabs>
      <w:spacing w:line="264" w:lineRule="auto"/>
      <w:ind w:left="284" w:hanging="284"/>
      <w:jc w:val="center"/>
    </w:pPr>
    <w:rPr>
      <w:rFonts w:ascii="Times New (W1)" w:hAnsi="Times New (W1)"/>
      <w:i/>
      <w:sz w:val="26"/>
      <w:lang w:eastAsia="en-US" w:bidi="en-US"/>
    </w:rPr>
  </w:style>
  <w:style w:type="paragraph" w:customStyle="1" w:styleId="Aberschrift">
    <w:name w:val="A.Überschrift"/>
    <w:basedOn w:val="Standard"/>
    <w:rsid w:val="0029103A"/>
    <w:pPr>
      <w:widowControl/>
      <w:autoSpaceDE/>
      <w:autoSpaceDN/>
      <w:spacing w:after="240" w:line="264" w:lineRule="auto"/>
      <w:jc w:val="center"/>
    </w:pPr>
    <w:rPr>
      <w:b/>
      <w:sz w:val="40"/>
      <w:szCs w:val="20"/>
      <w:lang w:eastAsia="de-DE"/>
    </w:rPr>
  </w:style>
  <w:style w:type="paragraph" w:customStyle="1" w:styleId="Tabelle">
    <w:name w:val="Tabelle"/>
    <w:basedOn w:val="Standard"/>
    <w:link w:val="TabelleZchn"/>
    <w:rsid w:val="0029103A"/>
    <w:pPr>
      <w:widowControl/>
      <w:autoSpaceDE/>
      <w:autoSpaceDN/>
      <w:spacing w:line="360" w:lineRule="atLeast"/>
      <w:ind w:left="1702" w:hanging="851"/>
      <w:jc w:val="both"/>
    </w:pPr>
    <w:rPr>
      <w:rFonts w:ascii="Helv" w:hAnsi="Helv"/>
      <w:sz w:val="24"/>
      <w:szCs w:val="20"/>
      <w:lang w:eastAsia="de-DE"/>
    </w:rPr>
  </w:style>
  <w:style w:type="paragraph" w:customStyle="1" w:styleId="QuelleTab">
    <w:name w:val="Quelle Tab."/>
    <w:basedOn w:val="Standard"/>
    <w:rsid w:val="0029103A"/>
    <w:pPr>
      <w:widowControl/>
      <w:autoSpaceDE/>
      <w:autoSpaceDN/>
      <w:spacing w:after="120"/>
      <w:ind w:left="794" w:hanging="794"/>
    </w:pPr>
    <w:rPr>
      <w:i/>
      <w:sz w:val="24"/>
      <w:szCs w:val="20"/>
      <w:lang w:eastAsia="de-DE"/>
    </w:rPr>
  </w:style>
  <w:style w:type="paragraph" w:customStyle="1" w:styleId="KleinerTextohneAb">
    <w:name w:val="Kleiner Text (ohne Ab)"/>
    <w:basedOn w:val="KleinerText"/>
    <w:rsid w:val="0029103A"/>
    <w:pPr>
      <w:spacing w:line="240" w:lineRule="atLeast"/>
    </w:pPr>
    <w:rPr>
      <w:rFonts w:ascii="Times New Roman" w:hAnsi="Times New Roman"/>
      <w:sz w:val="22"/>
      <w:szCs w:val="20"/>
    </w:rPr>
  </w:style>
  <w:style w:type="paragraph" w:customStyle="1" w:styleId="PunktPfeil0">
    <w:name w:val="PunktPfeil"/>
    <w:basedOn w:val="Standard"/>
    <w:rsid w:val="0029103A"/>
    <w:pPr>
      <w:widowControl/>
      <w:autoSpaceDE/>
      <w:autoSpaceDN/>
      <w:spacing w:line="264" w:lineRule="auto"/>
      <w:ind w:left="709" w:hanging="425"/>
      <w:jc w:val="both"/>
    </w:pPr>
    <w:rPr>
      <w:rFonts w:ascii="Times New (W1)" w:hAnsi="Times New (W1)"/>
      <w:sz w:val="26"/>
      <w:szCs w:val="20"/>
      <w:lang w:eastAsia="de-DE"/>
    </w:rPr>
  </w:style>
  <w:style w:type="paragraph" w:styleId="Standardeinzug">
    <w:name w:val="Normal Indent"/>
    <w:basedOn w:val="Standard"/>
    <w:rsid w:val="0029103A"/>
    <w:pPr>
      <w:widowControl/>
      <w:autoSpaceDE/>
      <w:autoSpaceDN/>
      <w:spacing w:line="264" w:lineRule="auto"/>
      <w:ind w:left="708"/>
      <w:jc w:val="both"/>
    </w:pPr>
    <w:rPr>
      <w:sz w:val="26"/>
      <w:szCs w:val="20"/>
      <w:lang w:eastAsia="de-DE"/>
    </w:rPr>
  </w:style>
  <w:style w:type="paragraph" w:customStyle="1" w:styleId="1berschrift0">
    <w:name w:val="(1) Überschrift"/>
    <w:basedOn w:val="1Aufzhlung"/>
    <w:rsid w:val="0029103A"/>
    <w:pPr>
      <w:spacing w:before="240" w:after="240" w:line="264" w:lineRule="auto"/>
      <w:jc w:val="left"/>
    </w:pPr>
    <w:rPr>
      <w:rFonts w:ascii="Times New Roman" w:hAnsi="Times New Roman"/>
      <w:b/>
      <w:sz w:val="26"/>
      <w:szCs w:val="20"/>
    </w:rPr>
  </w:style>
  <w:style w:type="paragraph" w:customStyle="1" w:styleId="Punkteingerckt">
    <w:name w:val="Punkt(eingerückt)"/>
    <w:basedOn w:val="Punkt"/>
    <w:rsid w:val="0029103A"/>
    <w:pPr>
      <w:numPr>
        <w:numId w:val="0"/>
      </w:numPr>
      <w:tabs>
        <w:tab w:val="clear" w:pos="170"/>
        <w:tab w:val="left" w:pos="0"/>
        <w:tab w:val="left" w:pos="8364"/>
      </w:tabs>
      <w:spacing w:line="264" w:lineRule="auto"/>
      <w:ind w:left="709" w:hanging="283"/>
      <w:jc w:val="center"/>
    </w:pPr>
    <w:rPr>
      <w:i/>
      <w:sz w:val="26"/>
      <w:lang w:eastAsia="en-US" w:bidi="en-US"/>
    </w:rPr>
  </w:style>
  <w:style w:type="paragraph" w:customStyle="1" w:styleId="berschrift">
    <w:name w:val="Überschrift"/>
    <w:basedOn w:val="1berschrift0"/>
    <w:rsid w:val="0029103A"/>
    <w:pPr>
      <w:ind w:left="0" w:firstLine="0"/>
      <w:jc w:val="center"/>
    </w:pPr>
    <w:rPr>
      <w:sz w:val="30"/>
    </w:rPr>
  </w:style>
  <w:style w:type="paragraph" w:customStyle="1" w:styleId="Anmerk">
    <w:name w:val="Anmerk"/>
    <w:basedOn w:val="Anmerkung"/>
    <w:rsid w:val="0029103A"/>
    <w:pPr>
      <w:framePr w:hRule="auto" w:hSpace="0" w:wrap="auto" w:vAnchor="margin"/>
      <w:spacing w:before="0" w:line="240" w:lineRule="atLeast"/>
      <w:ind w:left="0" w:hanging="1134"/>
    </w:pPr>
    <w:rPr>
      <w:rFonts w:ascii="Times New Roman" w:hAnsi="Times New Roman"/>
      <w:i w:val="0"/>
    </w:rPr>
  </w:style>
  <w:style w:type="paragraph" w:customStyle="1" w:styleId="AnmerkungohneEinzug">
    <w:name w:val="Anmerkung (ohne Einzug)"/>
    <w:basedOn w:val="Anmerk"/>
    <w:rsid w:val="0029103A"/>
    <w:pPr>
      <w:ind w:left="993" w:firstLine="0"/>
    </w:pPr>
    <w:rPr>
      <w:i/>
    </w:rPr>
  </w:style>
  <w:style w:type="paragraph" w:customStyle="1" w:styleId="AnmerkungmitEinzug">
    <w:name w:val="Anmerkung(mit Einzug)"/>
    <w:basedOn w:val="Anmerkung"/>
    <w:rsid w:val="0029103A"/>
    <w:pPr>
      <w:framePr w:hRule="auto" w:hSpace="0" w:wrap="auto" w:vAnchor="margin"/>
      <w:spacing w:before="0" w:line="240" w:lineRule="auto"/>
      <w:ind w:left="1134" w:hanging="1134"/>
    </w:pPr>
    <w:rPr>
      <w:rFonts w:ascii="Times New Roman" w:hAnsi="Times New Roman"/>
      <w:i w:val="0"/>
      <w:sz w:val="22"/>
    </w:rPr>
  </w:style>
  <w:style w:type="paragraph" w:customStyle="1" w:styleId="Dimension">
    <w:name w:val="Dimension"/>
    <w:basedOn w:val="1berschrift0"/>
    <w:rsid w:val="0029103A"/>
  </w:style>
  <w:style w:type="paragraph" w:customStyle="1" w:styleId="Nummer">
    <w:name w:val="Nummer"/>
    <w:basedOn w:val="Punkt"/>
    <w:rsid w:val="0029103A"/>
    <w:pPr>
      <w:numPr>
        <w:numId w:val="0"/>
      </w:numPr>
      <w:tabs>
        <w:tab w:val="clear" w:pos="170"/>
        <w:tab w:val="left" w:pos="0"/>
        <w:tab w:val="left" w:pos="8364"/>
      </w:tabs>
      <w:spacing w:line="360" w:lineRule="atLeast"/>
      <w:ind w:left="426" w:hanging="426"/>
      <w:jc w:val="left"/>
    </w:pPr>
    <w:rPr>
      <w:i/>
      <w:sz w:val="26"/>
      <w:lang w:eastAsia="en-US" w:bidi="en-US"/>
    </w:rPr>
  </w:style>
  <w:style w:type="paragraph" w:customStyle="1" w:styleId="1Aufzhlung0">
    <w:name w:val="(1) Aufzählung"/>
    <w:basedOn w:val="1Aufzhlung"/>
    <w:rsid w:val="0029103A"/>
    <w:pPr>
      <w:spacing w:before="60" w:after="60" w:line="264" w:lineRule="auto"/>
      <w:ind w:left="425" w:hanging="425"/>
    </w:pPr>
    <w:rPr>
      <w:rFonts w:ascii="Times New Roman" w:hAnsi="Times New Roman"/>
      <w:sz w:val="26"/>
      <w:szCs w:val="20"/>
    </w:rPr>
  </w:style>
  <w:style w:type="paragraph" w:customStyle="1" w:styleId="1AufzhlungText">
    <w:name w:val="(1) Aufzählung/Text"/>
    <w:basedOn w:val="1Aufzhlung0"/>
    <w:rsid w:val="0029103A"/>
    <w:pPr>
      <w:spacing w:before="0" w:after="0"/>
      <w:ind w:firstLine="1"/>
    </w:pPr>
  </w:style>
  <w:style w:type="paragraph" w:customStyle="1" w:styleId="Anmerkungen">
    <w:name w:val="Anmerkungen"/>
    <w:basedOn w:val="Anmerkung"/>
    <w:rsid w:val="0029103A"/>
    <w:pPr>
      <w:framePr w:hRule="auto" w:hSpace="0" w:wrap="auto" w:vAnchor="margin"/>
      <w:spacing w:line="240" w:lineRule="auto"/>
    </w:pPr>
    <w:rPr>
      <w:rFonts w:ascii="Times New Roman" w:hAnsi="Times New Roman"/>
      <w:i w:val="0"/>
    </w:rPr>
  </w:style>
  <w:style w:type="paragraph" w:customStyle="1" w:styleId="AnmerkungText">
    <w:name w:val="AnmerkungText"/>
    <w:basedOn w:val="Standard"/>
    <w:rsid w:val="0029103A"/>
    <w:pPr>
      <w:widowControl/>
      <w:autoSpaceDE/>
      <w:autoSpaceDN/>
      <w:ind w:left="1276" w:hanging="284"/>
      <w:jc w:val="both"/>
    </w:pPr>
    <w:rPr>
      <w:i/>
      <w:sz w:val="20"/>
      <w:szCs w:val="20"/>
      <w:lang w:eastAsia="de-DE"/>
    </w:rPr>
  </w:style>
  <w:style w:type="paragraph" w:customStyle="1" w:styleId="Punktzweip">
    <w:name w:val="Punkt(zweip)"/>
    <w:basedOn w:val="Standard"/>
    <w:rsid w:val="0029103A"/>
    <w:pPr>
      <w:widowControl/>
      <w:autoSpaceDE/>
      <w:autoSpaceDN/>
      <w:spacing w:line="264" w:lineRule="auto"/>
      <w:ind w:left="624" w:hanging="340"/>
      <w:jc w:val="both"/>
    </w:pPr>
    <w:rPr>
      <w:rFonts w:ascii="Tms Rmn" w:hAnsi="Tms Rmn"/>
      <w:sz w:val="26"/>
      <w:szCs w:val="20"/>
      <w:lang w:eastAsia="de-DE"/>
    </w:rPr>
  </w:style>
  <w:style w:type="paragraph" w:customStyle="1" w:styleId="PunktText">
    <w:name w:val="Punkt(Text)"/>
    <w:basedOn w:val="Punkteingerckt"/>
    <w:rsid w:val="0029103A"/>
    <w:pPr>
      <w:spacing w:after="120"/>
      <w:ind w:left="378" w:firstLine="0"/>
    </w:pPr>
  </w:style>
  <w:style w:type="paragraph" w:customStyle="1" w:styleId="1AufzhlungTextPunkt">
    <w:name w:val="(1) Aufzählung/Text/Punkt"/>
    <w:basedOn w:val="1AufzhlungText"/>
    <w:rsid w:val="0029103A"/>
    <w:pPr>
      <w:ind w:left="709" w:hanging="283"/>
    </w:pPr>
  </w:style>
  <w:style w:type="paragraph" w:customStyle="1" w:styleId="PunktzweipText">
    <w:name w:val="Punkt(zweip/Text)"/>
    <w:basedOn w:val="Punktzweip"/>
    <w:rsid w:val="0029103A"/>
    <w:pPr>
      <w:ind w:firstLine="0"/>
    </w:pPr>
  </w:style>
  <w:style w:type="paragraph" w:styleId="Textkrper3">
    <w:name w:val="Body Text 3"/>
    <w:basedOn w:val="Standard"/>
    <w:link w:val="Textkrper3Zchn"/>
    <w:rsid w:val="0029103A"/>
    <w:pPr>
      <w:widowControl/>
      <w:autoSpaceDE/>
      <w:autoSpaceDN/>
      <w:spacing w:before="20" w:after="20"/>
      <w:jc w:val="right"/>
    </w:pPr>
    <w:rPr>
      <w:rFonts w:ascii="Tms Rmn" w:hAnsi="Tms Rmn"/>
      <w:b/>
      <w:sz w:val="20"/>
      <w:szCs w:val="20"/>
      <w:lang w:eastAsia="de-DE"/>
    </w:rPr>
  </w:style>
  <w:style w:type="character" w:customStyle="1" w:styleId="Textkrper3Zchn">
    <w:name w:val="Textkörper 3 Zchn"/>
    <w:basedOn w:val="Absatz-Standardschriftart"/>
    <w:link w:val="Textkrper3"/>
    <w:rsid w:val="0029103A"/>
    <w:rPr>
      <w:rFonts w:ascii="Tms Rmn" w:eastAsia="Times New Roman" w:hAnsi="Tms Rmn" w:cs="Times New Roman"/>
      <w:b/>
      <w:sz w:val="20"/>
      <w:szCs w:val="20"/>
      <w:lang w:eastAsia="de-DE"/>
    </w:rPr>
  </w:style>
  <w:style w:type="paragraph" w:customStyle="1" w:styleId="PunktStrich">
    <w:name w:val="Punkt(Strich)"/>
    <w:basedOn w:val="PunktText"/>
    <w:rsid w:val="0029103A"/>
    <w:pPr>
      <w:ind w:left="567" w:hanging="283"/>
    </w:pPr>
  </w:style>
  <w:style w:type="paragraph" w:customStyle="1" w:styleId="1">
    <w:name w:val="1"/>
    <w:basedOn w:val="Standard"/>
    <w:next w:val="Textkrper-Zeileneinzug"/>
    <w:rsid w:val="0029103A"/>
    <w:pPr>
      <w:widowControl/>
      <w:autoSpaceDE/>
      <w:autoSpaceDN/>
      <w:ind w:left="454" w:hanging="284"/>
    </w:pPr>
    <w:rPr>
      <w:rFonts w:ascii="Tms Rmn" w:hAnsi="Tms Rmn"/>
      <w:szCs w:val="20"/>
      <w:lang w:eastAsia="de-DE"/>
    </w:rPr>
  </w:style>
  <w:style w:type="paragraph" w:styleId="Textkrper-Zeileneinzug">
    <w:name w:val="Body Text Indent"/>
    <w:basedOn w:val="Standard"/>
    <w:link w:val="Textkrper-ZeileneinzugZchn"/>
    <w:rsid w:val="0029103A"/>
    <w:pPr>
      <w:widowControl/>
      <w:autoSpaceDE/>
      <w:autoSpaceDN/>
      <w:spacing w:after="120" w:line="264" w:lineRule="auto"/>
      <w:ind w:left="283"/>
      <w:jc w:val="both"/>
    </w:pPr>
    <w:rPr>
      <w:sz w:val="20"/>
      <w:szCs w:val="20"/>
      <w:lang w:eastAsia="de-DE"/>
    </w:rPr>
  </w:style>
  <w:style w:type="character" w:customStyle="1" w:styleId="Textkrper-ZeileneinzugZchn">
    <w:name w:val="Textkörper-Zeileneinzug Zchn"/>
    <w:basedOn w:val="Absatz-Standardschriftart"/>
    <w:link w:val="Textkrper-Zeileneinzug"/>
    <w:rsid w:val="0029103A"/>
    <w:rPr>
      <w:rFonts w:ascii="Times New Roman" w:eastAsia="Times New Roman" w:hAnsi="Times New Roman" w:cs="Times New Roman"/>
      <w:sz w:val="20"/>
      <w:szCs w:val="20"/>
      <w:lang w:eastAsia="de-DE"/>
    </w:rPr>
  </w:style>
  <w:style w:type="paragraph" w:customStyle="1" w:styleId="Punkt1Aufzhlung">
    <w:name w:val="Punkt / (1) Aufzählung"/>
    <w:basedOn w:val="Standard"/>
    <w:rsid w:val="0029103A"/>
    <w:pPr>
      <w:widowControl/>
      <w:autoSpaceDE/>
      <w:autoSpaceDN/>
      <w:spacing w:line="264" w:lineRule="auto"/>
      <w:ind w:left="709" w:hanging="425"/>
      <w:jc w:val="both"/>
    </w:pPr>
    <w:rPr>
      <w:sz w:val="26"/>
      <w:szCs w:val="20"/>
      <w:lang w:eastAsia="de-DE"/>
    </w:rPr>
  </w:style>
  <w:style w:type="paragraph" w:customStyle="1" w:styleId="1AufzhlungKleinerText">
    <w:name w:val="(1) Aufzählung (Kleiner Text)"/>
    <w:basedOn w:val="1Aufzhlung0"/>
    <w:rsid w:val="0029103A"/>
    <w:pPr>
      <w:spacing w:before="40" w:after="0"/>
    </w:pPr>
    <w:rPr>
      <w:sz w:val="22"/>
    </w:rPr>
  </w:style>
  <w:style w:type="paragraph" w:customStyle="1" w:styleId="1AufzhlungTextKleinerText">
    <w:name w:val="(1) Aufzählung/Text (Kleiner Text)"/>
    <w:basedOn w:val="1AufzhlungText"/>
    <w:rsid w:val="0029103A"/>
    <w:pPr>
      <w:spacing w:before="20" w:after="20"/>
      <w:ind w:firstLine="0"/>
    </w:pPr>
    <w:rPr>
      <w:sz w:val="22"/>
    </w:rPr>
  </w:style>
  <w:style w:type="paragraph" w:customStyle="1" w:styleId="1Aufzhlungzweip">
    <w:name w:val="(1)Aufzählung(zweip)"/>
    <w:basedOn w:val="Punktzweip"/>
    <w:rsid w:val="0029103A"/>
    <w:pPr>
      <w:ind w:left="794" w:hanging="369"/>
    </w:pPr>
  </w:style>
  <w:style w:type="paragraph" w:styleId="Textkrper-Einzug2">
    <w:name w:val="Body Text Indent 2"/>
    <w:basedOn w:val="Standard"/>
    <w:link w:val="Textkrper-Einzug2Zchn"/>
    <w:rsid w:val="0029103A"/>
    <w:pPr>
      <w:widowControl/>
      <w:autoSpaceDE/>
      <w:autoSpaceDN/>
      <w:spacing w:line="264" w:lineRule="auto"/>
      <w:ind w:left="993" w:hanging="993"/>
      <w:jc w:val="both"/>
    </w:pPr>
    <w:rPr>
      <w:sz w:val="26"/>
      <w:szCs w:val="20"/>
      <w:lang w:eastAsia="de-DE"/>
    </w:rPr>
  </w:style>
  <w:style w:type="character" w:customStyle="1" w:styleId="Textkrper-Einzug2Zchn">
    <w:name w:val="Textkörper-Einzug 2 Zchn"/>
    <w:basedOn w:val="Absatz-Standardschriftart"/>
    <w:link w:val="Textkrper-Einzug2"/>
    <w:rsid w:val="0029103A"/>
    <w:rPr>
      <w:rFonts w:ascii="Times New Roman" w:eastAsia="Times New Roman" w:hAnsi="Times New Roman" w:cs="Times New Roman"/>
      <w:sz w:val="26"/>
      <w:szCs w:val="20"/>
      <w:lang w:eastAsia="de-DE"/>
    </w:rPr>
  </w:style>
  <w:style w:type="paragraph" w:customStyle="1" w:styleId="Legende">
    <w:name w:val="Legende"/>
    <w:basedOn w:val="Anmerkungen"/>
    <w:rsid w:val="0029103A"/>
    <w:pPr>
      <w:ind w:left="1843" w:hanging="850"/>
    </w:pPr>
    <w:rPr>
      <w:rFonts w:ascii="Tms Rmn" w:hAnsi="Tms Rmn"/>
      <w:i/>
    </w:rPr>
  </w:style>
  <w:style w:type="paragraph" w:customStyle="1" w:styleId="PunktmitAbstand">
    <w:name w:val="Punkt(mit Abstand)"/>
    <w:basedOn w:val="Punkt"/>
    <w:rsid w:val="0029103A"/>
    <w:pPr>
      <w:numPr>
        <w:numId w:val="0"/>
      </w:numPr>
      <w:tabs>
        <w:tab w:val="clear" w:pos="170"/>
        <w:tab w:val="left" w:pos="0"/>
        <w:tab w:val="left" w:pos="8364"/>
      </w:tabs>
      <w:spacing w:after="80" w:line="264" w:lineRule="auto"/>
      <w:ind w:left="284" w:hanging="284"/>
      <w:jc w:val="center"/>
    </w:pPr>
    <w:rPr>
      <w:i/>
      <w:sz w:val="26"/>
      <w:lang w:eastAsia="en-US" w:bidi="en-US"/>
    </w:rPr>
  </w:style>
  <w:style w:type="paragraph" w:customStyle="1" w:styleId="Punkteingerckt0">
    <w:name w:val="Punkt (eingerückt"/>
    <w:aliases w:val="(1))"/>
    <w:basedOn w:val="Standard"/>
    <w:rsid w:val="0029103A"/>
    <w:pPr>
      <w:widowControl/>
      <w:autoSpaceDE/>
      <w:autoSpaceDN/>
      <w:spacing w:line="264" w:lineRule="auto"/>
      <w:ind w:left="709" w:hanging="426"/>
      <w:jc w:val="both"/>
    </w:pPr>
    <w:rPr>
      <w:rFonts w:ascii="Tms Rmn" w:hAnsi="Tms Rmn"/>
      <w:sz w:val="26"/>
      <w:szCs w:val="20"/>
      <w:lang w:eastAsia="de-DE"/>
    </w:rPr>
  </w:style>
  <w:style w:type="paragraph" w:customStyle="1" w:styleId="1Aufzhlungnichteinger">
    <w:name w:val="(1) Aufzählung (nicht einger)"/>
    <w:basedOn w:val="1Aufzhlung0"/>
    <w:rsid w:val="0029103A"/>
    <w:pPr>
      <w:ind w:left="0" w:firstLine="0"/>
    </w:pPr>
  </w:style>
  <w:style w:type="paragraph" w:customStyle="1" w:styleId="Kasten">
    <w:name w:val="Kasten"/>
    <w:basedOn w:val="Standard"/>
    <w:rsid w:val="0029103A"/>
    <w:pPr>
      <w:widowControl/>
      <w:autoSpaceDE/>
      <w:autoSpaceDN/>
      <w:jc w:val="both"/>
    </w:pPr>
    <w:rPr>
      <w:rFonts w:ascii="Tms Rmn" w:hAnsi="Tms Rmn"/>
      <w:sz w:val="26"/>
      <w:szCs w:val="20"/>
      <w:lang w:eastAsia="de-DE"/>
    </w:rPr>
  </w:style>
  <w:style w:type="paragraph" w:customStyle="1" w:styleId="1Aufzhlungnichteingerckt">
    <w:name w:val="(1) Aufzählung (nicht eingerückt)"/>
    <w:basedOn w:val="Standard"/>
    <w:rsid w:val="0029103A"/>
    <w:pPr>
      <w:widowControl/>
      <w:autoSpaceDE/>
      <w:autoSpaceDN/>
      <w:spacing w:before="60" w:after="60" w:line="264" w:lineRule="auto"/>
      <w:jc w:val="both"/>
    </w:pPr>
    <w:rPr>
      <w:sz w:val="26"/>
      <w:szCs w:val="20"/>
      <w:lang w:eastAsia="de-DE"/>
    </w:rPr>
  </w:style>
  <w:style w:type="paragraph" w:styleId="Textkrper-Einzug3">
    <w:name w:val="Body Text Indent 3"/>
    <w:basedOn w:val="Standard"/>
    <w:link w:val="Textkrper-Einzug3Zchn"/>
    <w:rsid w:val="0029103A"/>
    <w:pPr>
      <w:widowControl/>
      <w:autoSpaceDE/>
      <w:autoSpaceDN/>
      <w:spacing w:line="264" w:lineRule="auto"/>
      <w:ind w:left="284" w:hanging="284"/>
    </w:pPr>
    <w:rPr>
      <w:szCs w:val="20"/>
      <w:lang w:eastAsia="de-DE"/>
    </w:rPr>
  </w:style>
  <w:style w:type="character" w:customStyle="1" w:styleId="Textkrper-Einzug3Zchn">
    <w:name w:val="Textkörper-Einzug 3 Zchn"/>
    <w:basedOn w:val="Absatz-Standardschriftart"/>
    <w:link w:val="Textkrper-Einzug3"/>
    <w:rsid w:val="0029103A"/>
    <w:rPr>
      <w:rFonts w:ascii="Times New Roman" w:eastAsia="Times New Roman" w:hAnsi="Times New Roman" w:cs="Times New Roman"/>
      <w:szCs w:val="20"/>
      <w:lang w:eastAsia="de-DE"/>
    </w:rPr>
  </w:style>
  <w:style w:type="paragraph" w:customStyle="1" w:styleId="Aufzhlung1Anfang">
    <w:name w:val="Aufzählung 1 Anfang"/>
    <w:basedOn w:val="Liste"/>
    <w:rsid w:val="0029103A"/>
    <w:pPr>
      <w:overflowPunct w:val="0"/>
      <w:autoSpaceDE w:val="0"/>
      <w:autoSpaceDN w:val="0"/>
      <w:adjustRightInd w:val="0"/>
      <w:spacing w:line="240" w:lineRule="auto"/>
      <w:ind w:left="0" w:firstLine="0"/>
      <w:jc w:val="left"/>
      <w:textAlignment w:val="baseline"/>
    </w:pPr>
    <w:rPr>
      <w:sz w:val="20"/>
    </w:rPr>
  </w:style>
  <w:style w:type="paragraph" w:customStyle="1" w:styleId="Aufzhlung1">
    <w:name w:val="Aufzählung 1"/>
    <w:basedOn w:val="Liste"/>
    <w:rsid w:val="0029103A"/>
    <w:pPr>
      <w:overflowPunct w:val="0"/>
      <w:autoSpaceDE w:val="0"/>
      <w:autoSpaceDN w:val="0"/>
      <w:adjustRightInd w:val="0"/>
      <w:spacing w:line="240" w:lineRule="auto"/>
      <w:ind w:left="0" w:firstLine="0"/>
      <w:jc w:val="left"/>
      <w:textAlignment w:val="baseline"/>
    </w:pPr>
    <w:rPr>
      <w:sz w:val="20"/>
    </w:rPr>
  </w:style>
  <w:style w:type="paragraph" w:customStyle="1" w:styleId="Aufzhlung1Ende">
    <w:name w:val="Aufzählung 1 Ende"/>
    <w:basedOn w:val="Liste"/>
    <w:rsid w:val="0029103A"/>
    <w:pPr>
      <w:overflowPunct w:val="0"/>
      <w:autoSpaceDE w:val="0"/>
      <w:autoSpaceDN w:val="0"/>
      <w:adjustRightInd w:val="0"/>
      <w:spacing w:line="240" w:lineRule="auto"/>
      <w:ind w:left="0" w:firstLine="0"/>
      <w:jc w:val="left"/>
      <w:textAlignment w:val="baseline"/>
    </w:pPr>
    <w:rPr>
      <w:sz w:val="20"/>
    </w:rPr>
  </w:style>
  <w:style w:type="paragraph" w:customStyle="1" w:styleId="AufzhlungPunkt">
    <w:name w:val="Aufzählung Punkt"/>
    <w:basedOn w:val="Standard"/>
    <w:rsid w:val="0029103A"/>
    <w:pPr>
      <w:widowControl/>
      <w:autoSpaceDE/>
      <w:autoSpaceDN/>
      <w:spacing w:line="360" w:lineRule="auto"/>
      <w:ind w:left="284" w:hanging="284"/>
      <w:jc w:val="both"/>
    </w:pPr>
    <w:rPr>
      <w:sz w:val="24"/>
      <w:szCs w:val="20"/>
      <w:lang w:eastAsia="de-DE"/>
    </w:rPr>
  </w:style>
  <w:style w:type="paragraph" w:customStyle="1" w:styleId="Standardberschrift">
    <w:name w:val="Standard Überschrift"/>
    <w:basedOn w:val="Standard"/>
    <w:rsid w:val="0029103A"/>
    <w:pPr>
      <w:widowControl/>
      <w:autoSpaceDE/>
      <w:autoSpaceDN/>
      <w:spacing w:line="360" w:lineRule="auto"/>
      <w:jc w:val="both"/>
    </w:pPr>
    <w:rPr>
      <w:b/>
      <w:bCs/>
      <w:sz w:val="26"/>
      <w:szCs w:val="20"/>
      <w:lang w:eastAsia="de-DE"/>
    </w:rPr>
  </w:style>
  <w:style w:type="paragraph" w:styleId="Blocktext">
    <w:name w:val="Block Text"/>
    <w:basedOn w:val="Standard"/>
    <w:rsid w:val="0029103A"/>
    <w:pPr>
      <w:widowControl/>
      <w:autoSpaceDE/>
      <w:autoSpaceDN/>
      <w:spacing w:line="264" w:lineRule="auto"/>
      <w:ind w:left="191" w:right="139" w:hanging="191"/>
      <w:jc w:val="both"/>
    </w:pPr>
    <w:rPr>
      <w:sz w:val="20"/>
      <w:szCs w:val="20"/>
      <w:lang w:eastAsia="de-DE"/>
    </w:rPr>
  </w:style>
  <w:style w:type="paragraph" w:customStyle="1" w:styleId="PfeilText">
    <w:name w:val="Pfeil Text"/>
    <w:basedOn w:val="Standard"/>
    <w:rsid w:val="0029103A"/>
    <w:pPr>
      <w:widowControl/>
      <w:autoSpaceDE/>
      <w:autoSpaceDN/>
      <w:spacing w:line="264" w:lineRule="auto"/>
      <w:ind w:left="360"/>
      <w:jc w:val="both"/>
    </w:pPr>
    <w:rPr>
      <w:sz w:val="26"/>
      <w:szCs w:val="20"/>
      <w:lang w:eastAsia="de-DE"/>
    </w:rPr>
  </w:style>
  <w:style w:type="paragraph" w:customStyle="1" w:styleId="QuelleTabelle0">
    <w:name w:val="Quelle Tabelle"/>
    <w:basedOn w:val="Formatvorlage1"/>
    <w:link w:val="QuelleTabelleZchn"/>
    <w:qFormat/>
    <w:rsid w:val="0029103A"/>
    <w:pPr>
      <w:keepNext w:val="0"/>
      <w:spacing w:before="60" w:after="120" w:line="240" w:lineRule="auto"/>
      <w:ind w:left="425" w:hanging="425"/>
      <w:outlineLvl w:val="9"/>
    </w:pPr>
    <w:rPr>
      <w:b w:val="0"/>
      <w:i/>
      <w:kern w:val="0"/>
      <w:sz w:val="12"/>
      <w:szCs w:val="12"/>
      <w:lang w:eastAsia="de-DE" w:bidi="ar-SA"/>
    </w:rPr>
  </w:style>
  <w:style w:type="character" w:customStyle="1" w:styleId="QuelleTabelleZchn">
    <w:name w:val="Quelle Tabelle Zchn"/>
    <w:link w:val="QuelleTabelle0"/>
    <w:rsid w:val="0029103A"/>
    <w:rPr>
      <w:rFonts w:ascii="Times New Roman" w:eastAsia="Times New Roman" w:hAnsi="Times New Roman" w:cs="Times New Roman"/>
      <w:bCs/>
      <w:i/>
      <w:sz w:val="12"/>
      <w:szCs w:val="12"/>
      <w:lang w:eastAsia="de-DE"/>
    </w:rPr>
  </w:style>
  <w:style w:type="character" w:customStyle="1" w:styleId="fett0">
    <w:name w:val="fett"/>
    <w:rsid w:val="0029103A"/>
    <w:rPr>
      <w:b/>
      <w:bCs/>
    </w:rPr>
  </w:style>
  <w:style w:type="character" w:customStyle="1" w:styleId="TabelleZchn">
    <w:name w:val="Tabelle Zchn"/>
    <w:link w:val="Tabelle"/>
    <w:rsid w:val="0029103A"/>
    <w:rPr>
      <w:rFonts w:ascii="Helv" w:eastAsia="Times New Roman" w:hAnsi="Helv" w:cs="Times New Roman"/>
      <w:sz w:val="24"/>
      <w:szCs w:val="20"/>
      <w:lang w:eastAsia="de-DE"/>
    </w:rPr>
  </w:style>
  <w:style w:type="paragraph" w:customStyle="1" w:styleId="berschriftrechtsoben">
    <w:name w:val="Überschrift rechts oben"/>
    <w:basedOn w:val="berschrift1"/>
    <w:link w:val="berschriftrechtsobenZchn"/>
    <w:qFormat/>
    <w:rsid w:val="0029103A"/>
    <w:pPr>
      <w:widowControl/>
      <w:autoSpaceDE/>
      <w:autoSpaceDN/>
      <w:spacing w:before="0" w:line="264" w:lineRule="auto"/>
    </w:pPr>
    <w:rPr>
      <w:bCs w:val="0"/>
      <w:szCs w:val="24"/>
      <w:lang w:eastAsia="de-DE"/>
    </w:rPr>
  </w:style>
  <w:style w:type="character" w:customStyle="1" w:styleId="berschriftrechtsobenZchn">
    <w:name w:val="Überschrift rechts oben Zchn"/>
    <w:link w:val="berschriftrechtsoben"/>
    <w:rsid w:val="0029103A"/>
    <w:rPr>
      <w:rFonts w:ascii="Times New Roman" w:eastAsia="Times New Roman" w:hAnsi="Times New Roman" w:cs="Times New Roman"/>
      <w:b/>
      <w:sz w:val="24"/>
      <w:szCs w:val="24"/>
      <w:lang w:eastAsia="de-DE"/>
    </w:rPr>
  </w:style>
  <w:style w:type="paragraph" w:customStyle="1" w:styleId="berschriftkursiv0">
    <w:name w:val="Überschrift kursiv"/>
    <w:basedOn w:val="Standard"/>
    <w:link w:val="berschriftkursivZchn"/>
    <w:qFormat/>
    <w:rsid w:val="0029103A"/>
    <w:pPr>
      <w:widowControl/>
      <w:autoSpaceDE/>
      <w:autoSpaceDN/>
      <w:spacing w:before="120" w:after="60" w:line="264" w:lineRule="auto"/>
      <w:jc w:val="both"/>
    </w:pPr>
    <w:rPr>
      <w:i/>
      <w:sz w:val="20"/>
      <w:szCs w:val="20"/>
      <w:lang w:eastAsia="de-DE"/>
    </w:rPr>
  </w:style>
  <w:style w:type="character" w:customStyle="1" w:styleId="berschriftkursivZchn">
    <w:name w:val="Überschrift kursiv Zchn"/>
    <w:link w:val="berschriftkursiv0"/>
    <w:rsid w:val="0029103A"/>
    <w:rPr>
      <w:rFonts w:ascii="Times New Roman" w:eastAsia="Times New Roman" w:hAnsi="Times New Roman" w:cs="Times New Roman"/>
      <w:i/>
      <w:sz w:val="20"/>
      <w:szCs w:val="20"/>
      <w:lang w:eastAsia="de-DE"/>
    </w:rPr>
  </w:style>
  <w:style w:type="character" w:customStyle="1" w:styleId="asset-headline-intro">
    <w:name w:val="asset-headline-intro"/>
    <w:rsid w:val="0029103A"/>
  </w:style>
  <w:style w:type="character" w:customStyle="1" w:styleId="asset-headline">
    <w:name w:val="asset-headline"/>
    <w:rsid w:val="0029103A"/>
  </w:style>
  <w:style w:type="paragraph" w:customStyle="1" w:styleId="AbbildungTabelle">
    <w:name w:val="Abbildung/Tabelle"/>
    <w:basedOn w:val="Beschriftung"/>
    <w:link w:val="AbbildungTabelleZchn"/>
    <w:qFormat/>
    <w:rsid w:val="0029103A"/>
    <w:pPr>
      <w:keepNext/>
      <w:spacing w:before="120" w:after="0"/>
    </w:pPr>
    <w:rPr>
      <w:sz w:val="18"/>
      <w:szCs w:val="18"/>
    </w:rPr>
  </w:style>
  <w:style w:type="character" w:customStyle="1" w:styleId="AbbildungTabelleZchn">
    <w:name w:val="Abbildung/Tabelle Zchn"/>
    <w:link w:val="AbbildungTabelle"/>
    <w:rsid w:val="0029103A"/>
    <w:rPr>
      <w:rFonts w:ascii="Times New Roman" w:eastAsia="Times New Roman" w:hAnsi="Times New Roman" w:cs="Times New Roman"/>
      <w:i/>
      <w:sz w:val="18"/>
      <w:szCs w:val="18"/>
      <w:lang w:eastAsia="de-DE"/>
    </w:rPr>
  </w:style>
  <w:style w:type="paragraph" w:customStyle="1" w:styleId="Normaltext">
    <w:name w:val="Normaltext"/>
    <w:basedOn w:val="Standard"/>
    <w:link w:val="NormaltextZchn"/>
    <w:qFormat/>
    <w:rsid w:val="0029103A"/>
    <w:pPr>
      <w:widowControl/>
      <w:autoSpaceDE/>
      <w:autoSpaceDN/>
      <w:spacing w:line="360" w:lineRule="auto"/>
      <w:jc w:val="both"/>
    </w:pPr>
    <w:rPr>
      <w:sz w:val="18"/>
      <w:szCs w:val="18"/>
      <w:lang w:bidi="en-US"/>
    </w:rPr>
  </w:style>
  <w:style w:type="character" w:customStyle="1" w:styleId="NormaltextZchn">
    <w:name w:val="Normaltext Zchn"/>
    <w:link w:val="Normaltext"/>
    <w:rsid w:val="0029103A"/>
    <w:rPr>
      <w:rFonts w:ascii="Times New Roman" w:eastAsia="Times New Roman" w:hAnsi="Times New Roman" w:cs="Times New Roman"/>
      <w:sz w:val="18"/>
      <w:szCs w:val="18"/>
      <w:lang w:bidi="en-US"/>
    </w:rPr>
  </w:style>
  <w:style w:type="paragraph" w:customStyle="1" w:styleId="prefix1">
    <w:name w:val="prefix_1"/>
    <w:basedOn w:val="Standard"/>
    <w:rsid w:val="0029103A"/>
    <w:pPr>
      <w:widowControl/>
      <w:autoSpaceDE/>
      <w:autoSpaceDN/>
      <w:spacing w:before="100" w:beforeAutospacing="1" w:after="100" w:afterAutospacing="1"/>
    </w:pPr>
    <w:rPr>
      <w:sz w:val="24"/>
      <w:szCs w:val="24"/>
      <w:lang w:eastAsia="de-DE"/>
    </w:rPr>
  </w:style>
  <w:style w:type="character" w:customStyle="1" w:styleId="headline">
    <w:name w:val="headline"/>
    <w:rsid w:val="0029103A"/>
  </w:style>
  <w:style w:type="character" w:customStyle="1" w:styleId="FarbigesRaster-Akzent1Zchn">
    <w:name w:val="Farbiges Raster - Akzent 1 Zchn"/>
    <w:link w:val="FarbigesRaster-Akzent1"/>
    <w:rsid w:val="0029103A"/>
    <w:rPr>
      <w:rFonts w:ascii="Times New Roman" w:hAnsi="Times New Roman"/>
      <w:i/>
      <w:iCs/>
      <w:color w:val="000000"/>
      <w:sz w:val="24"/>
      <w:szCs w:val="24"/>
      <w:lang w:val="en-US" w:eastAsia="en-US" w:bidi="en-US"/>
    </w:rPr>
  </w:style>
  <w:style w:type="table" w:styleId="FarbigesRaster-Akzent1">
    <w:name w:val="Colorful Grid Accent 1"/>
    <w:basedOn w:val="NormaleTabelle"/>
    <w:link w:val="FarbigesRaster-Akzent1Zchn"/>
    <w:rsid w:val="0029103A"/>
    <w:pPr>
      <w:spacing w:after="0" w:line="240" w:lineRule="auto"/>
    </w:pPr>
    <w:rPr>
      <w:rFonts w:ascii="Times New Roman" w:hAnsi="Times New Roman"/>
      <w:i/>
      <w:iCs/>
      <w:color w:val="000000"/>
      <w:sz w:val="24"/>
      <w:szCs w:val="24"/>
      <w:lang w:val="en-US" w:bidi="en-U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styleId="NichtaufgelsteErwhnung">
    <w:name w:val="Unresolved Mention"/>
    <w:basedOn w:val="Absatz-Standardschriftart"/>
    <w:uiPriority w:val="99"/>
    <w:semiHidden/>
    <w:unhideWhenUsed/>
    <w:rsid w:val="002910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6462397">
      <w:bodyDiv w:val="1"/>
      <w:marLeft w:val="0"/>
      <w:marRight w:val="0"/>
      <w:marTop w:val="0"/>
      <w:marBottom w:val="0"/>
      <w:divBdr>
        <w:top w:val="none" w:sz="0" w:space="0" w:color="auto"/>
        <w:left w:val="none" w:sz="0" w:space="0" w:color="auto"/>
        <w:bottom w:val="none" w:sz="0" w:space="0" w:color="auto"/>
        <w:right w:val="none" w:sz="0" w:space="0" w:color="auto"/>
      </w:divBdr>
    </w:div>
    <w:div w:id="1428694260">
      <w:bodyDiv w:val="1"/>
      <w:marLeft w:val="0"/>
      <w:marRight w:val="0"/>
      <w:marTop w:val="0"/>
      <w:marBottom w:val="0"/>
      <w:divBdr>
        <w:top w:val="none" w:sz="0" w:space="0" w:color="auto"/>
        <w:left w:val="none" w:sz="0" w:space="0" w:color="auto"/>
        <w:bottom w:val="none" w:sz="0" w:space="0" w:color="auto"/>
        <w:right w:val="none" w:sz="0" w:space="0" w:color="auto"/>
      </w:divBdr>
      <w:divsChild>
        <w:div w:id="2030450033">
          <w:marLeft w:val="0"/>
          <w:marRight w:val="0"/>
          <w:marTop w:val="0"/>
          <w:marBottom w:val="0"/>
          <w:divBdr>
            <w:top w:val="none" w:sz="0" w:space="0" w:color="auto"/>
            <w:left w:val="none" w:sz="0" w:space="0" w:color="auto"/>
            <w:bottom w:val="none" w:sz="0" w:space="0" w:color="auto"/>
            <w:right w:val="none" w:sz="0" w:space="0" w:color="auto"/>
          </w:divBdr>
        </w:div>
      </w:divsChild>
    </w:div>
    <w:div w:id="1526555205">
      <w:bodyDiv w:val="1"/>
      <w:marLeft w:val="0"/>
      <w:marRight w:val="0"/>
      <w:marTop w:val="0"/>
      <w:marBottom w:val="0"/>
      <w:divBdr>
        <w:top w:val="none" w:sz="0" w:space="0" w:color="auto"/>
        <w:left w:val="none" w:sz="0" w:space="0" w:color="auto"/>
        <w:bottom w:val="none" w:sz="0" w:space="0" w:color="auto"/>
        <w:right w:val="none" w:sz="0" w:space="0" w:color="auto"/>
      </w:divBdr>
      <w:divsChild>
        <w:div w:id="12858464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0.png"/><Relationship Id="rId21" Type="http://schemas.openxmlformats.org/officeDocument/2006/relationships/image" Target="media/image8.png"/><Relationship Id="rId42" Type="http://schemas.openxmlformats.org/officeDocument/2006/relationships/image" Target="media/image23.png"/><Relationship Id="rId63" Type="http://schemas.openxmlformats.org/officeDocument/2006/relationships/hyperlink" Target="http://geert-hofstede.com/national-culture.html" TargetMode="External"/><Relationship Id="rId84" Type="http://schemas.openxmlformats.org/officeDocument/2006/relationships/image" Target="media/image49.png"/><Relationship Id="rId138" Type="http://schemas.openxmlformats.org/officeDocument/2006/relationships/image" Target="media/image101.png"/><Relationship Id="rId159" Type="http://schemas.openxmlformats.org/officeDocument/2006/relationships/image" Target="media/image115.png"/><Relationship Id="rId170" Type="http://schemas.openxmlformats.org/officeDocument/2006/relationships/image" Target="media/image126.png"/><Relationship Id="rId191" Type="http://schemas.openxmlformats.org/officeDocument/2006/relationships/image" Target="media/image142.wmf"/><Relationship Id="rId205" Type="http://schemas.openxmlformats.org/officeDocument/2006/relationships/image" Target="media/image154.png"/><Relationship Id="rId107" Type="http://schemas.openxmlformats.org/officeDocument/2006/relationships/image" Target="media/image70.png"/><Relationship Id="rId11" Type="http://schemas.openxmlformats.org/officeDocument/2006/relationships/hyperlink" Target="http://www.transafrika.org/pages/informationen-afrika/religion" TargetMode="External"/><Relationship Id="rId32" Type="http://schemas.openxmlformats.org/officeDocument/2006/relationships/image" Target="media/image16.png"/><Relationship Id="rId53" Type="http://schemas.openxmlformats.org/officeDocument/2006/relationships/image" Target="media/image30.png"/><Relationship Id="rId74" Type="http://schemas.openxmlformats.org/officeDocument/2006/relationships/image" Target="media/image40.png"/><Relationship Id="rId128" Type="http://schemas.openxmlformats.org/officeDocument/2006/relationships/image" Target="media/image91.png"/><Relationship Id="rId149" Type="http://schemas.openxmlformats.org/officeDocument/2006/relationships/image" Target="media/image110.png"/><Relationship Id="rId5" Type="http://schemas.openxmlformats.org/officeDocument/2006/relationships/webSettings" Target="webSettings.xml"/><Relationship Id="rId95" Type="http://schemas.openxmlformats.org/officeDocument/2006/relationships/image" Target="media/image58.png"/><Relationship Id="rId160" Type="http://schemas.openxmlformats.org/officeDocument/2006/relationships/image" Target="media/image116.png"/><Relationship Id="rId181" Type="http://schemas.openxmlformats.org/officeDocument/2006/relationships/hyperlink" Target="https://www.ihk.de/hamburg/produktmarken/beratung-service/recht-und-steuern/steuerrecht/umsatzsteuer-mehrwertsteuer/umsatzsteuer-mehrwertsteuer-international/warenhandel/umsatzsteuersaetze-eu-drittstaaten-1167702/" TargetMode="External"/><Relationship Id="rId22" Type="http://schemas.openxmlformats.org/officeDocument/2006/relationships/image" Target="media/image9.png"/><Relationship Id="rId43" Type="http://schemas.openxmlformats.org/officeDocument/2006/relationships/image" Target="media/image24.png"/><Relationship Id="rId64" Type="http://schemas.openxmlformats.org/officeDocument/2006/relationships/image" Target="media/image36.png"/><Relationship Id="rId118" Type="http://schemas.openxmlformats.org/officeDocument/2006/relationships/image" Target="media/image81.png"/><Relationship Id="rId139" Type="http://schemas.openxmlformats.org/officeDocument/2006/relationships/image" Target="media/image102.png"/><Relationship Id="rId85" Type="http://schemas.openxmlformats.org/officeDocument/2006/relationships/image" Target="media/image50.png"/><Relationship Id="rId150" Type="http://schemas.openxmlformats.org/officeDocument/2006/relationships/hyperlink" Target="http://www.berkeley-wellness-report.de/" TargetMode="External"/><Relationship Id="rId171" Type="http://schemas.openxmlformats.org/officeDocument/2006/relationships/hyperlink" Target="http://www.spiegel.de/wirtschaft/%20unternehmen/0,1518,druck-680541,00.html/" TargetMode="External"/><Relationship Id="rId192" Type="http://schemas.openxmlformats.org/officeDocument/2006/relationships/image" Target="media/image143.png"/><Relationship Id="rId206" Type="http://schemas.openxmlformats.org/officeDocument/2006/relationships/hyperlink" Target="http://www.dpdhl.com/de/presse/mediathek/grafiken/gluecksatlas)%3B" TargetMode="External"/><Relationship Id="rId12" Type="http://schemas.openxmlformats.org/officeDocument/2006/relationships/image" Target="media/image2.png"/><Relationship Id="rId33" Type="http://schemas.openxmlformats.org/officeDocument/2006/relationships/image" Target="media/image17.png"/><Relationship Id="rId108" Type="http://schemas.openxmlformats.org/officeDocument/2006/relationships/image" Target="media/image71.png"/><Relationship Id="rId129" Type="http://schemas.openxmlformats.org/officeDocument/2006/relationships/image" Target="media/image92.png"/><Relationship Id="rId54" Type="http://schemas.openxmlformats.org/officeDocument/2006/relationships/image" Target="media/image31.png"/><Relationship Id="rId75" Type="http://schemas.openxmlformats.org/officeDocument/2006/relationships/image" Target="media/image41.png"/><Relationship Id="rId96" Type="http://schemas.openxmlformats.org/officeDocument/2006/relationships/image" Target="media/image59.png"/><Relationship Id="rId140" Type="http://schemas.openxmlformats.org/officeDocument/2006/relationships/image" Target="media/image103.png"/><Relationship Id="rId161" Type="http://schemas.openxmlformats.org/officeDocument/2006/relationships/image" Target="media/image117.png"/><Relationship Id="rId182" Type="http://schemas.openxmlformats.org/officeDocument/2006/relationships/hyperlink" Target="http://www.marketing-trends-congress.com/paper" TargetMode="External"/><Relationship Id="rId6" Type="http://schemas.openxmlformats.org/officeDocument/2006/relationships/footnotes" Target="footnotes.xml"/><Relationship Id="rId23" Type="http://schemas.openxmlformats.org/officeDocument/2006/relationships/image" Target="media/image10.png"/><Relationship Id="rId119" Type="http://schemas.openxmlformats.org/officeDocument/2006/relationships/image" Target="media/image82.png"/><Relationship Id="rId44" Type="http://schemas.openxmlformats.org/officeDocument/2006/relationships/image" Target="media/image25.png"/><Relationship Id="rId65" Type="http://schemas.openxmlformats.org/officeDocument/2006/relationships/image" Target="media/image37.png"/><Relationship Id="rId86" Type="http://schemas.openxmlformats.org/officeDocument/2006/relationships/image" Target="media/image51.png"/><Relationship Id="rId130" Type="http://schemas.openxmlformats.org/officeDocument/2006/relationships/image" Target="media/image93.png"/><Relationship Id="rId151" Type="http://schemas.openxmlformats.org/officeDocument/2006/relationships/image" Target="media/image111.emf"/><Relationship Id="rId172" Type="http://schemas.openxmlformats.org/officeDocument/2006/relationships/image" Target="media/image127.png"/><Relationship Id="rId193" Type="http://schemas.openxmlformats.org/officeDocument/2006/relationships/image" Target="media/image144.png"/><Relationship Id="rId207" Type="http://schemas.openxmlformats.org/officeDocument/2006/relationships/header" Target="header2.xml"/><Relationship Id="rId13" Type="http://schemas.openxmlformats.org/officeDocument/2006/relationships/image" Target="media/image3.png"/><Relationship Id="rId109" Type="http://schemas.openxmlformats.org/officeDocument/2006/relationships/image" Target="media/image72.png"/><Relationship Id="rId34" Type="http://schemas.openxmlformats.org/officeDocument/2006/relationships/hyperlink" Target="http://www.blue-genes.de/textarchiv/LEMKE.PDF" TargetMode="External"/><Relationship Id="rId55" Type="http://schemas.openxmlformats.org/officeDocument/2006/relationships/hyperlink" Target="https://de.wikipedia.org/wiki/Marktteilnehmer" TargetMode="External"/><Relationship Id="rId76" Type="http://schemas.openxmlformats.org/officeDocument/2006/relationships/image" Target="media/image42.png"/><Relationship Id="rId97" Type="http://schemas.openxmlformats.org/officeDocument/2006/relationships/image" Target="media/image60.png"/><Relationship Id="rId120" Type="http://schemas.openxmlformats.org/officeDocument/2006/relationships/image" Target="media/image83.png"/><Relationship Id="rId141" Type="http://schemas.openxmlformats.org/officeDocument/2006/relationships/image" Target="media/image104.png"/><Relationship Id="rId7" Type="http://schemas.openxmlformats.org/officeDocument/2006/relationships/endnotes" Target="endnotes.xml"/><Relationship Id="rId162" Type="http://schemas.openxmlformats.org/officeDocument/2006/relationships/image" Target="media/image118.png"/><Relationship Id="rId183" Type="http://schemas.openxmlformats.org/officeDocument/2006/relationships/image" Target="media/image136.png"/><Relationship Id="rId24" Type="http://schemas.openxmlformats.org/officeDocument/2006/relationships/image" Target="media/image11.png"/><Relationship Id="rId45" Type="http://schemas.openxmlformats.org/officeDocument/2006/relationships/image" Target="media/image26.png"/><Relationship Id="rId66" Type="http://schemas.openxmlformats.org/officeDocument/2006/relationships/image" Target="media/image38.png"/><Relationship Id="rId87" Type="http://schemas.openxmlformats.org/officeDocument/2006/relationships/image" Target="media/image52.png"/><Relationship Id="rId110" Type="http://schemas.openxmlformats.org/officeDocument/2006/relationships/image" Target="media/image73.png"/><Relationship Id="rId131" Type="http://schemas.openxmlformats.org/officeDocument/2006/relationships/image" Target="media/image94.png"/><Relationship Id="rId61" Type="http://schemas.openxmlformats.org/officeDocument/2006/relationships/image" Target="media/image34.png"/><Relationship Id="rId82" Type="http://schemas.openxmlformats.org/officeDocument/2006/relationships/image" Target="media/image47.png"/><Relationship Id="rId152" Type="http://schemas.openxmlformats.org/officeDocument/2006/relationships/hyperlink" Target="http://www.acnielsen.de" TargetMode="External"/><Relationship Id="rId173" Type="http://schemas.openxmlformats.org/officeDocument/2006/relationships/image" Target="media/image128.png"/><Relationship Id="rId194" Type="http://schemas.openxmlformats.org/officeDocument/2006/relationships/image" Target="media/image145.png"/><Relationship Id="rId199" Type="http://schemas.openxmlformats.org/officeDocument/2006/relationships/image" Target="media/image149.png"/><Relationship Id="rId203" Type="http://schemas.openxmlformats.org/officeDocument/2006/relationships/image" Target="media/image152.png"/><Relationship Id="rId208" Type="http://schemas.openxmlformats.org/officeDocument/2006/relationships/fontTable" Target="fontTable.xml"/><Relationship Id="rId19" Type="http://schemas.openxmlformats.org/officeDocument/2006/relationships/image" Target="media/image6.png"/><Relationship Id="rId14" Type="http://schemas.openxmlformats.org/officeDocument/2006/relationships/image" Target="media/image4.png"/><Relationship Id="rId30" Type="http://schemas.openxmlformats.org/officeDocument/2006/relationships/image" Target="media/image14.png"/><Relationship Id="rId35" Type="http://schemas.openxmlformats.org/officeDocument/2006/relationships/image" Target="media/image18.png"/><Relationship Id="rId56" Type="http://schemas.openxmlformats.org/officeDocument/2006/relationships/hyperlink" Target="https://de.wikipedia.org/wiki/Entscheidung" TargetMode="External"/><Relationship Id="rId77" Type="http://schemas.openxmlformats.org/officeDocument/2006/relationships/image" Target="media/image43.png"/><Relationship Id="rId100" Type="http://schemas.openxmlformats.org/officeDocument/2006/relationships/image" Target="media/image63.png"/><Relationship Id="rId105" Type="http://schemas.openxmlformats.org/officeDocument/2006/relationships/image" Target="media/image68.png"/><Relationship Id="rId126" Type="http://schemas.openxmlformats.org/officeDocument/2006/relationships/image" Target="media/image89.png"/><Relationship Id="rId147" Type="http://schemas.openxmlformats.org/officeDocument/2006/relationships/hyperlink" Target="http://www.mercer.com/" TargetMode="External"/><Relationship Id="rId168" Type="http://schemas.openxmlformats.org/officeDocument/2006/relationships/image" Target="media/image124.png"/><Relationship Id="rId8" Type="http://schemas.openxmlformats.org/officeDocument/2006/relationships/image" Target="media/image1.png"/><Relationship Id="rId51" Type="http://schemas.openxmlformats.org/officeDocument/2006/relationships/hyperlink" Target="http://www.joe.org/joe/2001december/tt1.php" TargetMode="External"/><Relationship Id="rId72" Type="http://schemas.openxmlformats.org/officeDocument/2006/relationships/hyperlink" Target="http://de.wikipedia.org/wiki/Konzentrationslager" TargetMode="External"/><Relationship Id="rId93" Type="http://schemas.openxmlformats.org/officeDocument/2006/relationships/image" Target="media/image56.png"/><Relationship Id="rId98" Type="http://schemas.openxmlformats.org/officeDocument/2006/relationships/image" Target="media/image61.png"/><Relationship Id="rId121" Type="http://schemas.openxmlformats.org/officeDocument/2006/relationships/image" Target="media/image84.png"/><Relationship Id="rId142" Type="http://schemas.openxmlformats.org/officeDocument/2006/relationships/image" Target="media/image105.png"/><Relationship Id="rId163" Type="http://schemas.openxmlformats.org/officeDocument/2006/relationships/image" Target="media/image119.png"/><Relationship Id="rId184" Type="http://schemas.openxmlformats.org/officeDocument/2006/relationships/image" Target="media/image137.png"/><Relationship Id="rId189" Type="http://schemas.openxmlformats.org/officeDocument/2006/relationships/hyperlink" Target="https://www.bpb.de/themen/rechtsextremismus/dossier-rechtsextremismus/213673/rassen-gibt-s-doch-gar-nicht/" TargetMode="External"/><Relationship Id="rId3" Type="http://schemas.openxmlformats.org/officeDocument/2006/relationships/styles" Target="styles.xml"/><Relationship Id="rId25" Type="http://schemas.openxmlformats.org/officeDocument/2006/relationships/image" Target="media/image12.png"/><Relationship Id="rId46" Type="http://schemas.openxmlformats.org/officeDocument/2006/relationships/image" Target="media/image27.png"/><Relationship Id="rId67" Type="http://schemas.openxmlformats.org/officeDocument/2006/relationships/hyperlink" Target="https://www.culturalsurvival.org/publications/cultural-survival-quarterly/advertising-and-global-culture?utm_source=chatgpt.com/" TargetMode="External"/><Relationship Id="rId116" Type="http://schemas.openxmlformats.org/officeDocument/2006/relationships/image" Target="media/image79.png"/><Relationship Id="rId137" Type="http://schemas.openxmlformats.org/officeDocument/2006/relationships/image" Target="media/image100.png"/><Relationship Id="rId158" Type="http://schemas.openxmlformats.org/officeDocument/2006/relationships/image" Target="media/image114.png"/><Relationship Id="rId20" Type="http://schemas.openxmlformats.org/officeDocument/2006/relationships/image" Target="media/image7.png"/><Relationship Id="rId41" Type="http://schemas.openxmlformats.org/officeDocument/2006/relationships/image" Target="media/image22.png"/><Relationship Id="rId62" Type="http://schemas.openxmlformats.org/officeDocument/2006/relationships/image" Target="media/image35.png"/><Relationship Id="rId83" Type="http://schemas.openxmlformats.org/officeDocument/2006/relationships/image" Target="media/image48.png"/><Relationship Id="rId88" Type="http://schemas.openxmlformats.org/officeDocument/2006/relationships/image" Target="media/image53.png"/><Relationship Id="rId111" Type="http://schemas.openxmlformats.org/officeDocument/2006/relationships/image" Target="media/image74.png"/><Relationship Id="rId132" Type="http://schemas.openxmlformats.org/officeDocument/2006/relationships/image" Target="media/image95.png"/><Relationship Id="rId153" Type="http://schemas.openxmlformats.org/officeDocument/2006/relationships/customXml" Target="ink/ink1.xml"/><Relationship Id="rId174" Type="http://schemas.openxmlformats.org/officeDocument/2006/relationships/image" Target="media/image129.png"/><Relationship Id="rId179" Type="http://schemas.openxmlformats.org/officeDocument/2006/relationships/image" Target="media/image134.png"/><Relationship Id="rId195" Type="http://schemas.openxmlformats.org/officeDocument/2006/relationships/image" Target="media/image146.png"/><Relationship Id="rId209" Type="http://schemas.openxmlformats.org/officeDocument/2006/relationships/theme" Target="theme/theme1.xml"/><Relationship Id="rId190" Type="http://schemas.openxmlformats.org/officeDocument/2006/relationships/image" Target="media/image141.emf"/><Relationship Id="rId204" Type="http://schemas.openxmlformats.org/officeDocument/2006/relationships/image" Target="media/image153.png"/><Relationship Id="rId15" Type="http://schemas.openxmlformats.org/officeDocument/2006/relationships/image" Target="media/image5.png"/><Relationship Id="rId36" Type="http://schemas.openxmlformats.org/officeDocument/2006/relationships/image" Target="media/image19.png"/><Relationship Id="rId57" Type="http://schemas.openxmlformats.org/officeDocument/2006/relationships/image" Target="media/image32.png"/><Relationship Id="rId106" Type="http://schemas.openxmlformats.org/officeDocument/2006/relationships/image" Target="media/image69.png"/><Relationship Id="rId127" Type="http://schemas.openxmlformats.org/officeDocument/2006/relationships/image" Target="media/image90.png"/><Relationship Id="rId10" Type="http://schemas.openxmlformats.org/officeDocument/2006/relationships/hyperlink" Target="http://www.transafrika.org/pages/informationen-afrika/religion" TargetMode="External"/><Relationship Id="rId31" Type="http://schemas.openxmlformats.org/officeDocument/2006/relationships/image" Target="media/image15.png"/><Relationship Id="rId52" Type="http://schemas.openxmlformats.org/officeDocument/2006/relationships/hyperlink" Target="http://www.thunderbird.edu/sites/globe/" TargetMode="External"/><Relationship Id="rId73" Type="http://schemas.openxmlformats.org/officeDocument/2006/relationships/image" Target="media/image39.png"/><Relationship Id="rId78" Type="http://schemas.openxmlformats.org/officeDocument/2006/relationships/image" Target="media/image44.jpeg"/><Relationship Id="rId94" Type="http://schemas.openxmlformats.org/officeDocument/2006/relationships/image" Target="media/image57.png"/><Relationship Id="rId99" Type="http://schemas.openxmlformats.org/officeDocument/2006/relationships/image" Target="media/image62.png"/><Relationship Id="rId101" Type="http://schemas.openxmlformats.org/officeDocument/2006/relationships/image" Target="media/image64.png"/><Relationship Id="rId122" Type="http://schemas.openxmlformats.org/officeDocument/2006/relationships/image" Target="media/image85.png"/><Relationship Id="rId143" Type="http://schemas.openxmlformats.org/officeDocument/2006/relationships/image" Target="media/image106.png"/><Relationship Id="rId148" Type="http://schemas.openxmlformats.org/officeDocument/2006/relationships/hyperlink" Target="http://www.mercer.de/" TargetMode="External"/><Relationship Id="rId164" Type="http://schemas.openxmlformats.org/officeDocument/2006/relationships/image" Target="media/image120.png"/><Relationship Id="rId169" Type="http://schemas.openxmlformats.org/officeDocument/2006/relationships/image" Target="media/image125.png"/><Relationship Id="rId185" Type="http://schemas.openxmlformats.org/officeDocument/2006/relationships/image" Target="media/image138.png"/><Relationship Id="rId4" Type="http://schemas.openxmlformats.org/officeDocument/2006/relationships/settings" Target="settings.xml"/><Relationship Id="rId9" Type="http://schemas.openxmlformats.org/officeDocument/2006/relationships/header" Target="header1.xml"/><Relationship Id="rId180" Type="http://schemas.openxmlformats.org/officeDocument/2006/relationships/image" Target="media/image135.png"/><Relationship Id="rId26" Type="http://schemas.openxmlformats.org/officeDocument/2006/relationships/hyperlink" Target="https://www.zeit.de/thema/virus" TargetMode="External"/><Relationship Id="rId47" Type="http://schemas.openxmlformats.org/officeDocument/2006/relationships/image" Target="media/image28.png"/><Relationship Id="rId68" Type="http://schemas.openxmlformats.org/officeDocument/2006/relationships/hyperlink" Target="http://de.wikipedia.org/wiki/Oskar_Lafontaine" TargetMode="External"/><Relationship Id="rId89" Type="http://schemas.openxmlformats.org/officeDocument/2006/relationships/image" Target="media/image54.png"/><Relationship Id="rId112" Type="http://schemas.openxmlformats.org/officeDocument/2006/relationships/image" Target="media/image75.png"/><Relationship Id="rId133" Type="http://schemas.openxmlformats.org/officeDocument/2006/relationships/image" Target="media/image96.png"/><Relationship Id="rId154" Type="http://schemas.openxmlformats.org/officeDocument/2006/relationships/image" Target="media/image112.png"/><Relationship Id="rId175" Type="http://schemas.openxmlformats.org/officeDocument/2006/relationships/image" Target="media/image130.png"/><Relationship Id="rId196" Type="http://schemas.openxmlformats.org/officeDocument/2006/relationships/image" Target="media/image147.png"/><Relationship Id="rId200" Type="http://schemas.openxmlformats.org/officeDocument/2006/relationships/image" Target="media/image150.png"/><Relationship Id="rId16" Type="http://schemas.openxmlformats.org/officeDocument/2006/relationships/hyperlink" Target="http://www.mercer.com" TargetMode="External"/><Relationship Id="rId37" Type="http://schemas.openxmlformats.org/officeDocument/2006/relationships/image" Target="media/image20.wmf"/><Relationship Id="rId58" Type="http://schemas.openxmlformats.org/officeDocument/2006/relationships/hyperlink" Target="http://gbs-schweiz.org/blog/die-gefahr-positiver-affekte/" TargetMode="External"/><Relationship Id="rId79" Type="http://schemas.openxmlformats.org/officeDocument/2006/relationships/hyperlink" Target="https://diercke.de/content/global-player-basf-978-3-14-100857-9-19-3-1/" TargetMode="External"/><Relationship Id="rId102" Type="http://schemas.openxmlformats.org/officeDocument/2006/relationships/image" Target="media/image65.png"/><Relationship Id="rId123" Type="http://schemas.openxmlformats.org/officeDocument/2006/relationships/image" Target="media/image86.png"/><Relationship Id="rId144" Type="http://schemas.openxmlformats.org/officeDocument/2006/relationships/image" Target="media/image107.png"/><Relationship Id="rId90" Type="http://schemas.openxmlformats.org/officeDocument/2006/relationships/hyperlink" Target="http://www.wirtschaftslexikon24.com/d/netzwerk/netzwerk.htm" TargetMode="External"/><Relationship Id="rId165" Type="http://schemas.openxmlformats.org/officeDocument/2006/relationships/image" Target="media/image121.png"/><Relationship Id="rId186" Type="http://schemas.openxmlformats.org/officeDocument/2006/relationships/hyperlink" Target="http://www.kirchhoff.de/fileadmin/20_Download/2013%20Highlights/Studie_Good_Company_Ranking_2013.pdf" TargetMode="External"/><Relationship Id="rId27" Type="http://schemas.openxmlformats.org/officeDocument/2006/relationships/hyperlink" Target="http://www.spiegel.de/politik/ausland/corona-pandemie-wie-ostasien-die-krise-meistert-a-c2e5dc80-2154-4140-a8ae-7571e929f7a6" TargetMode="External"/><Relationship Id="rId48" Type="http://schemas.openxmlformats.org/officeDocument/2006/relationships/hyperlink" Target="http://www.spiegel.de/wirtschaft/unternehmen/marktforscher-gfk-verliert-ueberraschend-fuehrungsspitze-a-1107324.html" TargetMode="External"/><Relationship Id="rId69" Type="http://schemas.openxmlformats.org/officeDocument/2006/relationships/hyperlink" Target="http://de.wikipedia.org/wiki/Helmut_Schmidt" TargetMode="External"/><Relationship Id="rId113" Type="http://schemas.openxmlformats.org/officeDocument/2006/relationships/image" Target="media/image76.png"/><Relationship Id="rId134" Type="http://schemas.openxmlformats.org/officeDocument/2006/relationships/image" Target="media/image97.png"/><Relationship Id="rId80" Type="http://schemas.openxmlformats.org/officeDocument/2006/relationships/image" Target="media/image45.png"/><Relationship Id="rId155" Type="http://schemas.openxmlformats.org/officeDocument/2006/relationships/customXml" Target="ink/ink2.xml"/><Relationship Id="rId176" Type="http://schemas.openxmlformats.org/officeDocument/2006/relationships/image" Target="media/image131.png"/><Relationship Id="rId197" Type="http://schemas.openxmlformats.org/officeDocument/2006/relationships/hyperlink" Target="http://www.spiegel.de/unispiegel/jobundberuf/0,1518,druck-663918,00.html" TargetMode="External"/><Relationship Id="rId201" Type="http://schemas.openxmlformats.org/officeDocument/2006/relationships/image" Target="media/image151.png"/><Relationship Id="rId17" Type="http://schemas.openxmlformats.org/officeDocument/2006/relationships/hyperlink" Target="http://www.mercer.de" TargetMode="External"/><Relationship Id="rId38" Type="http://schemas.openxmlformats.org/officeDocument/2006/relationships/oleObject" Target="embeddings/oleObject1.bin"/><Relationship Id="rId59" Type="http://schemas.openxmlformats.org/officeDocument/2006/relationships/hyperlink" Target="http://gbs-schweiz.org/blog/die-gefahr-positiver-affekte/" TargetMode="External"/><Relationship Id="rId103" Type="http://schemas.openxmlformats.org/officeDocument/2006/relationships/image" Target="media/image66.png"/><Relationship Id="rId124" Type="http://schemas.openxmlformats.org/officeDocument/2006/relationships/image" Target="media/image87.png"/><Relationship Id="rId70" Type="http://schemas.openxmlformats.org/officeDocument/2006/relationships/hyperlink" Target="http://de.wikipedia.org/wiki/NATO-Doppelbeschluss" TargetMode="External"/><Relationship Id="rId91" Type="http://schemas.openxmlformats.org/officeDocument/2006/relationships/hyperlink" Target="http://www.wirtschaftslexikon24.com/d/unternehmen/unternehmen.htm" TargetMode="External"/><Relationship Id="rId145" Type="http://schemas.openxmlformats.org/officeDocument/2006/relationships/image" Target="media/image108.png"/><Relationship Id="rId166" Type="http://schemas.openxmlformats.org/officeDocument/2006/relationships/image" Target="media/image122.png"/><Relationship Id="rId187" Type="http://schemas.openxmlformats.org/officeDocument/2006/relationships/image" Target="media/image139.png"/><Relationship Id="rId1" Type="http://schemas.openxmlformats.org/officeDocument/2006/relationships/customXml" Target="../customXml/item1.xml"/><Relationship Id="rId28" Type="http://schemas.openxmlformats.org/officeDocument/2006/relationships/hyperlink" Target="http://www.spiegel.de/politik/ausland/corona-pandemie-wie-ostasien-die-krise-meistert-a-c2e5dc80-2154-4140-a8ae-7571e929f7a6" TargetMode="External"/><Relationship Id="rId49" Type="http://schemas.openxmlformats.org/officeDocument/2006/relationships/hyperlink" Target="http://www.chrismon.de/" TargetMode="External"/><Relationship Id="rId114" Type="http://schemas.openxmlformats.org/officeDocument/2006/relationships/image" Target="media/image77.png"/><Relationship Id="rId60" Type="http://schemas.openxmlformats.org/officeDocument/2006/relationships/image" Target="media/image33.png"/><Relationship Id="rId81" Type="http://schemas.openxmlformats.org/officeDocument/2006/relationships/image" Target="media/image46.png"/><Relationship Id="rId135" Type="http://schemas.openxmlformats.org/officeDocument/2006/relationships/image" Target="media/image98.png"/><Relationship Id="rId156" Type="http://schemas.openxmlformats.org/officeDocument/2006/relationships/image" Target="media/image113.png"/><Relationship Id="rId177" Type="http://schemas.openxmlformats.org/officeDocument/2006/relationships/image" Target="media/image132.png"/><Relationship Id="rId198" Type="http://schemas.openxmlformats.org/officeDocument/2006/relationships/image" Target="media/image148.png"/><Relationship Id="rId202" Type="http://schemas.openxmlformats.org/officeDocument/2006/relationships/hyperlink" Target="https://www.spektrum.de/lexikon/geographie/voelkerkunde/8724/" TargetMode="External"/><Relationship Id="rId18" Type="http://schemas.openxmlformats.org/officeDocument/2006/relationships/hyperlink" Target="http://www.networthiq.com" TargetMode="External"/><Relationship Id="rId39" Type="http://schemas.openxmlformats.org/officeDocument/2006/relationships/image" Target="media/image21.wmf"/><Relationship Id="rId50" Type="http://schemas.openxmlformats.org/officeDocument/2006/relationships/image" Target="media/image29.png"/><Relationship Id="rId104" Type="http://schemas.openxmlformats.org/officeDocument/2006/relationships/image" Target="media/image67.png"/><Relationship Id="rId125" Type="http://schemas.openxmlformats.org/officeDocument/2006/relationships/image" Target="media/image88.png"/><Relationship Id="rId146" Type="http://schemas.openxmlformats.org/officeDocument/2006/relationships/image" Target="media/image109.png"/><Relationship Id="rId167" Type="http://schemas.openxmlformats.org/officeDocument/2006/relationships/image" Target="media/image123.png"/><Relationship Id="rId188" Type="http://schemas.openxmlformats.org/officeDocument/2006/relationships/image" Target="media/image140.png"/><Relationship Id="rId71" Type="http://schemas.openxmlformats.org/officeDocument/2006/relationships/hyperlink" Target="http://de.wikipedia.org/wiki/Stern_%28Zeitschrift%29" TargetMode="External"/><Relationship Id="rId92" Type="http://schemas.openxmlformats.org/officeDocument/2006/relationships/image" Target="media/image55.png"/><Relationship Id="rId2" Type="http://schemas.openxmlformats.org/officeDocument/2006/relationships/numbering" Target="numbering.xml"/><Relationship Id="rId29" Type="http://schemas.openxmlformats.org/officeDocument/2006/relationships/image" Target="media/image13.png"/><Relationship Id="rId40" Type="http://schemas.openxmlformats.org/officeDocument/2006/relationships/oleObject" Target="embeddings/oleObject2.bin"/><Relationship Id="rId115" Type="http://schemas.openxmlformats.org/officeDocument/2006/relationships/image" Target="media/image78.png"/><Relationship Id="rId136" Type="http://schemas.openxmlformats.org/officeDocument/2006/relationships/image" Target="media/image99.png"/><Relationship Id="rId157" Type="http://schemas.openxmlformats.org/officeDocument/2006/relationships/customXml" Target="ink/ink3.xml"/><Relationship Id="rId178" Type="http://schemas.openxmlformats.org/officeDocument/2006/relationships/image" Target="media/image133.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6-02-13T14:41:54.385"/>
    </inkml:context>
    <inkml:brush xml:id="br0">
      <inkml:brushProperty name="width" value="0.05" units="cm"/>
      <inkml:brushProperty name="height" value="0.05" units="cm"/>
      <inkml:brushProperty name="ignorePressure" value="1"/>
    </inkml:brush>
  </inkml:definitions>
  <inkml:trace contextRef="#ctx0" brushRef="#br0">0 1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2-13T14:41:49.254"/>
    </inkml:context>
    <inkml:brush xml:id="br0">
      <inkml:brushProperty name="width" value="0.05" units="cm"/>
      <inkml:brushProperty name="height" value="0.05" units="cm"/>
    </inkml:brush>
  </inkml:definitions>
  <inkml:trace contextRef="#ctx0" brushRef="#br0">1 1 24207,'4004'1574'0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6-02-13T14:41:58.068"/>
    </inkml:context>
    <inkml:brush xml:id="br0">
      <inkml:brushProperty name="width" value="0.05" units="cm"/>
      <inkml:brushProperty name="height" value="0.05" units="cm"/>
      <inkml:brushProperty name="ignorePressure" value="1"/>
    </inkml:brush>
  </inkml:definitions>
  <inkml:trace contextRef="#ctx0" brushRef="#br0">0 1,'2'2,"4"3,0 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1ADFB7-8D21-4E1A-9BE7-AB7CD91DAC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484</Pages>
  <Words>182697</Words>
  <Characters>1150998</Characters>
  <Application>Microsoft Office Word</Application>
  <DocSecurity>0</DocSecurity>
  <Lines>9591</Lines>
  <Paragraphs>2662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1331033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dc:creator>
  <cp:keywords/>
  <dc:description/>
  <cp:lastModifiedBy>Katja Gelbrich</cp:lastModifiedBy>
  <cp:revision>9</cp:revision>
  <dcterms:created xsi:type="dcterms:W3CDTF">2025-02-13T08:46:00Z</dcterms:created>
  <dcterms:modified xsi:type="dcterms:W3CDTF">2026-02-13T14:52:00Z</dcterms:modified>
</cp:coreProperties>
</file>